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19" w:type="dxa"/>
        <w:tblLayout w:type="fixed"/>
        <w:tblCellMar>
          <w:left w:w="0" w:type="dxa"/>
          <w:right w:w="0" w:type="dxa"/>
        </w:tblCellMar>
        <w:tblLook w:val="0000" w:firstRow="0" w:lastRow="0" w:firstColumn="0" w:lastColumn="0" w:noHBand="0" w:noVBand="0"/>
      </w:tblPr>
      <w:tblGrid>
        <w:gridCol w:w="1766"/>
        <w:gridCol w:w="7726"/>
      </w:tblGrid>
      <w:tr w:rsidR="002C5025">
        <w:trPr>
          <w:trHeight w:hRule="exact" w:val="540"/>
        </w:trPr>
        <w:tc>
          <w:tcPr>
            <w:tcW w:w="9492" w:type="dxa"/>
            <w:gridSpan w:val="2"/>
            <w:tcBorders>
              <w:top w:val="single" w:sz="4" w:space="0" w:color="000000"/>
              <w:left w:val="single" w:sz="4" w:space="0" w:color="0000FF"/>
              <w:bottom w:val="single" w:sz="4" w:space="0" w:color="000000"/>
              <w:right w:val="single" w:sz="4" w:space="0" w:color="000000"/>
            </w:tcBorders>
          </w:tcPr>
          <w:p w:rsidR="002C5025" w:rsidRDefault="002C5025">
            <w:pPr>
              <w:pStyle w:val="TableParagraph"/>
              <w:kinsoku w:val="0"/>
              <w:overflowPunct w:val="0"/>
              <w:spacing w:line="268" w:lineRule="exact"/>
              <w:ind w:left="2901" w:right="814"/>
              <w:rPr>
                <w:rFonts w:ascii="Times New Roman" w:hAnsi="Times New Roman" w:cs="Times New Roman"/>
              </w:rPr>
            </w:pPr>
            <w:bookmarkStart w:id="0" w:name="Index_of_Public_Comments"/>
            <w:bookmarkEnd w:id="0"/>
            <w:r>
              <w:rPr>
                <w:rFonts w:ascii="Times New Roman" w:hAnsi="Times New Roman" w:cs="Times New Roman"/>
              </w:rPr>
              <w:t>Index for Written and Oral Comments</w:t>
            </w:r>
          </w:p>
        </w:tc>
      </w:tr>
      <w:tr w:rsidR="002C5025">
        <w:trPr>
          <w:trHeight w:hRule="exact" w:val="929"/>
        </w:trPr>
        <w:tc>
          <w:tcPr>
            <w:tcW w:w="176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ind w:right="273"/>
              <w:rPr>
                <w:rFonts w:ascii="Times New Roman" w:hAnsi="Times New Roman" w:cs="Times New Roman"/>
              </w:rPr>
            </w:pPr>
            <w:r>
              <w:rPr>
                <w:rFonts w:ascii="Times New Roman" w:hAnsi="Times New Roman" w:cs="Times New Roman"/>
                <w:b/>
                <w:bCs/>
                <w:sz w:val="20"/>
                <w:szCs w:val="20"/>
              </w:rPr>
              <w:t>Page # (for written comments) or T (oral testimony)</w:t>
            </w:r>
          </w:p>
        </w:tc>
        <w:tc>
          <w:tcPr>
            <w:tcW w:w="772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8" w:lineRule="exact"/>
              <w:ind w:right="822"/>
              <w:rPr>
                <w:rFonts w:ascii="Times New Roman" w:hAnsi="Times New Roman" w:cs="Times New Roman"/>
              </w:rPr>
            </w:pPr>
            <w:r>
              <w:rPr>
                <w:rFonts w:ascii="Times New Roman" w:hAnsi="Times New Roman" w:cs="Times New Roman"/>
                <w:b/>
                <w:bCs/>
                <w:sz w:val="20"/>
                <w:szCs w:val="20"/>
              </w:rPr>
              <w:t>Commenter</w:t>
            </w:r>
          </w:p>
        </w:tc>
      </w:tr>
      <w:tr w:rsidR="002C5025">
        <w:trPr>
          <w:trHeight w:hRule="exact" w:val="240"/>
        </w:trPr>
        <w:tc>
          <w:tcPr>
            <w:tcW w:w="1766" w:type="dxa"/>
            <w:tcBorders>
              <w:top w:val="single" w:sz="4" w:space="0" w:color="000000"/>
              <w:left w:val="single" w:sz="4" w:space="0" w:color="000000"/>
              <w:bottom w:val="single" w:sz="4" w:space="0" w:color="000000"/>
              <w:right w:val="single" w:sz="4" w:space="0" w:color="000000"/>
            </w:tcBorders>
          </w:tcPr>
          <w:p w:rsidR="002C5025" w:rsidRDefault="00344961">
            <w:pPr>
              <w:pStyle w:val="TableParagraph"/>
              <w:kinsoku w:val="0"/>
              <w:overflowPunct w:val="0"/>
              <w:spacing w:line="226" w:lineRule="exact"/>
              <w:ind w:right="273"/>
              <w:rPr>
                <w:rFonts w:ascii="Times New Roman" w:hAnsi="Times New Roman" w:cs="Times New Roman"/>
              </w:rPr>
            </w:pPr>
            <w:r>
              <w:rPr>
                <w:rFonts w:ascii="Times New Roman" w:hAnsi="Times New Roman" w:cs="Times New Roman"/>
                <w:sz w:val="20"/>
                <w:szCs w:val="20"/>
              </w:rPr>
              <w:t>3,4</w:t>
            </w:r>
          </w:p>
        </w:tc>
        <w:tc>
          <w:tcPr>
            <w:tcW w:w="772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6" w:lineRule="exact"/>
              <w:ind w:right="822"/>
              <w:rPr>
                <w:rFonts w:ascii="Times New Roman" w:hAnsi="Times New Roman" w:cs="Times New Roman"/>
              </w:rPr>
            </w:pPr>
            <w:r>
              <w:rPr>
                <w:rFonts w:ascii="Times New Roman" w:hAnsi="Times New Roman" w:cs="Times New Roman"/>
                <w:sz w:val="20"/>
                <w:szCs w:val="20"/>
              </w:rPr>
              <w:t>1199 Service Employees International Union (SEIU)</w:t>
            </w:r>
          </w:p>
        </w:tc>
      </w:tr>
      <w:tr w:rsidR="002C5025">
        <w:trPr>
          <w:trHeight w:hRule="exact" w:val="240"/>
        </w:trPr>
        <w:tc>
          <w:tcPr>
            <w:tcW w:w="1766" w:type="dxa"/>
            <w:tcBorders>
              <w:top w:val="single" w:sz="4" w:space="0" w:color="000000"/>
              <w:left w:val="single" w:sz="4" w:space="0" w:color="000000"/>
              <w:bottom w:val="single" w:sz="4" w:space="0" w:color="000000"/>
              <w:right w:val="single" w:sz="4" w:space="0" w:color="000000"/>
            </w:tcBorders>
          </w:tcPr>
          <w:p w:rsidR="002C5025" w:rsidRDefault="00344961">
            <w:pPr>
              <w:pStyle w:val="TableParagraph"/>
              <w:kinsoku w:val="0"/>
              <w:overflowPunct w:val="0"/>
              <w:spacing w:line="226" w:lineRule="exact"/>
              <w:ind w:right="273"/>
              <w:rPr>
                <w:rFonts w:ascii="Times New Roman" w:hAnsi="Times New Roman" w:cs="Times New Roman"/>
              </w:rPr>
            </w:pPr>
            <w:r>
              <w:rPr>
                <w:rFonts w:ascii="Times New Roman" w:hAnsi="Times New Roman" w:cs="Times New Roman"/>
                <w:sz w:val="20"/>
                <w:szCs w:val="20"/>
              </w:rPr>
              <w:t>15</w:t>
            </w:r>
          </w:p>
        </w:tc>
        <w:tc>
          <w:tcPr>
            <w:tcW w:w="772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6" w:lineRule="exact"/>
              <w:ind w:right="822"/>
              <w:rPr>
                <w:rFonts w:ascii="Times New Roman" w:hAnsi="Times New Roman" w:cs="Times New Roman"/>
              </w:rPr>
            </w:pPr>
            <w:r>
              <w:rPr>
                <w:rFonts w:ascii="Times New Roman" w:hAnsi="Times New Roman" w:cs="Times New Roman"/>
                <w:sz w:val="20"/>
                <w:szCs w:val="20"/>
              </w:rPr>
              <w:t>AARP</w:t>
            </w:r>
          </w:p>
        </w:tc>
      </w:tr>
      <w:tr w:rsidR="002C5025">
        <w:trPr>
          <w:trHeight w:hRule="exact" w:val="240"/>
        </w:trPr>
        <w:tc>
          <w:tcPr>
            <w:tcW w:w="1766" w:type="dxa"/>
            <w:tcBorders>
              <w:top w:val="single" w:sz="4" w:space="0" w:color="000000"/>
              <w:left w:val="single" w:sz="4" w:space="0" w:color="000000"/>
              <w:bottom w:val="single" w:sz="4" w:space="0" w:color="000000"/>
              <w:right w:val="single" w:sz="4" w:space="0" w:color="000000"/>
            </w:tcBorders>
          </w:tcPr>
          <w:p w:rsidR="002C5025" w:rsidRDefault="00344961">
            <w:pPr>
              <w:pStyle w:val="TableParagraph"/>
              <w:kinsoku w:val="0"/>
              <w:overflowPunct w:val="0"/>
              <w:spacing w:line="226" w:lineRule="exact"/>
              <w:ind w:right="273"/>
              <w:rPr>
                <w:rFonts w:ascii="Times New Roman" w:hAnsi="Times New Roman" w:cs="Times New Roman"/>
              </w:rPr>
            </w:pPr>
            <w:r>
              <w:rPr>
                <w:rFonts w:ascii="Times New Roman" w:hAnsi="Times New Roman" w:cs="Times New Roman"/>
                <w:sz w:val="20"/>
                <w:szCs w:val="20"/>
              </w:rPr>
              <w:t>19</w:t>
            </w:r>
          </w:p>
        </w:tc>
        <w:tc>
          <w:tcPr>
            <w:tcW w:w="772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6" w:lineRule="exact"/>
              <w:ind w:right="822"/>
              <w:rPr>
                <w:rFonts w:ascii="Times New Roman" w:hAnsi="Times New Roman" w:cs="Times New Roman"/>
              </w:rPr>
            </w:pPr>
            <w:r>
              <w:rPr>
                <w:rFonts w:ascii="Times New Roman" w:hAnsi="Times New Roman" w:cs="Times New Roman"/>
                <w:sz w:val="20"/>
                <w:szCs w:val="20"/>
              </w:rPr>
              <w:t>Affordable Care Today!! Coalition (ACT!!)</w:t>
            </w:r>
          </w:p>
        </w:tc>
      </w:tr>
      <w:tr w:rsidR="002C5025">
        <w:trPr>
          <w:trHeight w:hRule="exact" w:val="240"/>
        </w:trPr>
        <w:tc>
          <w:tcPr>
            <w:tcW w:w="1766" w:type="dxa"/>
            <w:tcBorders>
              <w:top w:val="single" w:sz="4" w:space="0" w:color="000000"/>
              <w:left w:val="single" w:sz="4" w:space="0" w:color="000000"/>
              <w:bottom w:val="single" w:sz="4" w:space="0" w:color="000000"/>
              <w:right w:val="single" w:sz="4" w:space="0" w:color="000000"/>
            </w:tcBorders>
          </w:tcPr>
          <w:p w:rsidR="002C5025" w:rsidRDefault="00344961">
            <w:pPr>
              <w:pStyle w:val="TableParagraph"/>
              <w:kinsoku w:val="0"/>
              <w:overflowPunct w:val="0"/>
              <w:spacing w:line="226" w:lineRule="exact"/>
              <w:ind w:right="273"/>
              <w:rPr>
                <w:rFonts w:ascii="Times New Roman" w:hAnsi="Times New Roman" w:cs="Times New Roman"/>
              </w:rPr>
            </w:pPr>
            <w:r>
              <w:rPr>
                <w:rFonts w:ascii="Times New Roman" w:hAnsi="Times New Roman" w:cs="Times New Roman"/>
                <w:sz w:val="20"/>
                <w:szCs w:val="20"/>
              </w:rPr>
              <w:t>24, 39</w:t>
            </w:r>
          </w:p>
        </w:tc>
        <w:tc>
          <w:tcPr>
            <w:tcW w:w="772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6" w:lineRule="exact"/>
              <w:ind w:right="822"/>
              <w:rPr>
                <w:rFonts w:ascii="Times New Roman" w:hAnsi="Times New Roman" w:cs="Times New Roman"/>
              </w:rPr>
            </w:pPr>
            <w:r>
              <w:rPr>
                <w:rFonts w:ascii="Times New Roman" w:hAnsi="Times New Roman" w:cs="Times New Roman"/>
                <w:sz w:val="20"/>
                <w:szCs w:val="20"/>
              </w:rPr>
              <w:t>Action for Boston Community Development (ABCD)</w:t>
            </w:r>
          </w:p>
        </w:tc>
      </w:tr>
      <w:tr w:rsidR="002C5025">
        <w:trPr>
          <w:trHeight w:hRule="exact" w:val="240"/>
        </w:trPr>
        <w:tc>
          <w:tcPr>
            <w:tcW w:w="176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6" w:lineRule="exact"/>
              <w:rPr>
                <w:rFonts w:ascii="Times New Roman" w:hAnsi="Times New Roman" w:cs="Times New Roman"/>
              </w:rPr>
            </w:pPr>
            <w:r>
              <w:rPr>
                <w:rFonts w:ascii="Times New Roman" w:hAnsi="Times New Roman" w:cs="Times New Roman"/>
                <w:w w:val="99"/>
                <w:sz w:val="20"/>
                <w:szCs w:val="20"/>
              </w:rPr>
              <w:t>T</w:t>
            </w:r>
          </w:p>
        </w:tc>
        <w:tc>
          <w:tcPr>
            <w:tcW w:w="772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6" w:lineRule="exact"/>
              <w:ind w:right="822"/>
              <w:rPr>
                <w:rFonts w:ascii="Times New Roman" w:hAnsi="Times New Roman" w:cs="Times New Roman"/>
              </w:rPr>
            </w:pPr>
            <w:r>
              <w:rPr>
                <w:rFonts w:ascii="Times New Roman" w:hAnsi="Times New Roman" w:cs="Times New Roman"/>
                <w:sz w:val="20"/>
                <w:szCs w:val="20"/>
              </w:rPr>
              <w:t>Action for Boston Community Development – Oral Comments</w:t>
            </w:r>
          </w:p>
        </w:tc>
      </w:tr>
      <w:tr w:rsidR="002C5025">
        <w:trPr>
          <w:trHeight w:hRule="exact" w:val="240"/>
        </w:trPr>
        <w:tc>
          <w:tcPr>
            <w:tcW w:w="1766" w:type="dxa"/>
            <w:tcBorders>
              <w:top w:val="single" w:sz="4" w:space="0" w:color="000000"/>
              <w:left w:val="single" w:sz="4" w:space="0" w:color="000000"/>
              <w:bottom w:val="single" w:sz="4" w:space="0" w:color="000000"/>
              <w:right w:val="single" w:sz="4" w:space="0" w:color="000000"/>
            </w:tcBorders>
          </w:tcPr>
          <w:p w:rsidR="002C5025" w:rsidRDefault="00344961">
            <w:pPr>
              <w:pStyle w:val="TableParagraph"/>
              <w:kinsoku w:val="0"/>
              <w:overflowPunct w:val="0"/>
              <w:spacing w:line="226" w:lineRule="exact"/>
              <w:ind w:right="273"/>
              <w:rPr>
                <w:rFonts w:ascii="Times New Roman" w:hAnsi="Times New Roman" w:cs="Times New Roman"/>
              </w:rPr>
            </w:pPr>
            <w:r>
              <w:rPr>
                <w:rFonts w:ascii="Times New Roman" w:hAnsi="Times New Roman" w:cs="Times New Roman"/>
                <w:sz w:val="20"/>
                <w:szCs w:val="20"/>
              </w:rPr>
              <w:t>43, 45</w:t>
            </w:r>
          </w:p>
        </w:tc>
        <w:tc>
          <w:tcPr>
            <w:tcW w:w="772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6" w:lineRule="exact"/>
              <w:ind w:right="822"/>
              <w:rPr>
                <w:rFonts w:ascii="Times New Roman" w:hAnsi="Times New Roman" w:cs="Times New Roman"/>
              </w:rPr>
            </w:pPr>
            <w:r>
              <w:rPr>
                <w:rFonts w:ascii="Times New Roman" w:hAnsi="Times New Roman" w:cs="Times New Roman"/>
                <w:sz w:val="20"/>
                <w:szCs w:val="20"/>
              </w:rPr>
              <w:t>Advocates for Autism of Massachusetts</w:t>
            </w:r>
          </w:p>
        </w:tc>
      </w:tr>
      <w:tr w:rsidR="002C5025">
        <w:trPr>
          <w:trHeight w:hRule="exact" w:val="240"/>
        </w:trPr>
        <w:tc>
          <w:tcPr>
            <w:tcW w:w="1766" w:type="dxa"/>
            <w:tcBorders>
              <w:top w:val="single" w:sz="4" w:space="0" w:color="000000"/>
              <w:left w:val="single" w:sz="4" w:space="0" w:color="000000"/>
              <w:bottom w:val="single" w:sz="4" w:space="0" w:color="000000"/>
              <w:right w:val="single" w:sz="4" w:space="0" w:color="000000"/>
            </w:tcBorders>
          </w:tcPr>
          <w:p w:rsidR="002C5025" w:rsidRDefault="00344961">
            <w:pPr>
              <w:pStyle w:val="TableParagraph"/>
              <w:kinsoku w:val="0"/>
              <w:overflowPunct w:val="0"/>
              <w:spacing w:line="226" w:lineRule="exact"/>
              <w:ind w:right="273"/>
              <w:rPr>
                <w:rFonts w:ascii="Times New Roman" w:hAnsi="Times New Roman" w:cs="Times New Roman"/>
              </w:rPr>
            </w:pPr>
            <w:r>
              <w:rPr>
                <w:rFonts w:ascii="Times New Roman" w:hAnsi="Times New Roman" w:cs="Times New Roman"/>
                <w:sz w:val="20"/>
                <w:szCs w:val="20"/>
              </w:rPr>
              <w:t>49</w:t>
            </w:r>
            <w:r w:rsidR="002C5025">
              <w:rPr>
                <w:rFonts w:ascii="Times New Roman" w:hAnsi="Times New Roman" w:cs="Times New Roman"/>
                <w:sz w:val="20"/>
                <w:szCs w:val="20"/>
              </w:rPr>
              <w:t>, T</w:t>
            </w:r>
          </w:p>
        </w:tc>
        <w:tc>
          <w:tcPr>
            <w:tcW w:w="772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6" w:lineRule="exact"/>
              <w:ind w:right="822"/>
              <w:rPr>
                <w:rFonts w:ascii="Times New Roman" w:hAnsi="Times New Roman" w:cs="Times New Roman"/>
              </w:rPr>
            </w:pPr>
            <w:r>
              <w:rPr>
                <w:rFonts w:ascii="Times New Roman" w:hAnsi="Times New Roman" w:cs="Times New Roman"/>
                <w:sz w:val="20"/>
                <w:szCs w:val="20"/>
              </w:rPr>
              <w:t>Alliance of Massachusetts YMCA – Oral Comments</w:t>
            </w:r>
          </w:p>
        </w:tc>
      </w:tr>
      <w:tr w:rsidR="002C5025">
        <w:trPr>
          <w:trHeight w:hRule="exact" w:val="240"/>
        </w:trPr>
        <w:tc>
          <w:tcPr>
            <w:tcW w:w="1766" w:type="dxa"/>
            <w:tcBorders>
              <w:top w:val="single" w:sz="4" w:space="0" w:color="000000"/>
              <w:left w:val="single" w:sz="4" w:space="0" w:color="000000"/>
              <w:bottom w:val="single" w:sz="4" w:space="0" w:color="000000"/>
              <w:right w:val="single" w:sz="4" w:space="0" w:color="000000"/>
            </w:tcBorders>
          </w:tcPr>
          <w:p w:rsidR="002C5025" w:rsidRDefault="00344961">
            <w:pPr>
              <w:pStyle w:val="TableParagraph"/>
              <w:kinsoku w:val="0"/>
              <w:overflowPunct w:val="0"/>
              <w:spacing w:line="226" w:lineRule="exact"/>
              <w:ind w:right="273"/>
              <w:rPr>
                <w:rFonts w:ascii="Times New Roman" w:hAnsi="Times New Roman" w:cs="Times New Roman"/>
              </w:rPr>
            </w:pPr>
            <w:r>
              <w:rPr>
                <w:rFonts w:ascii="Times New Roman" w:hAnsi="Times New Roman" w:cs="Times New Roman"/>
                <w:sz w:val="20"/>
                <w:szCs w:val="20"/>
              </w:rPr>
              <w:t>51</w:t>
            </w:r>
          </w:p>
        </w:tc>
        <w:tc>
          <w:tcPr>
            <w:tcW w:w="772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6" w:lineRule="exact"/>
              <w:ind w:right="822"/>
              <w:rPr>
                <w:rFonts w:ascii="Times New Roman" w:hAnsi="Times New Roman" w:cs="Times New Roman"/>
              </w:rPr>
            </w:pPr>
            <w:r>
              <w:rPr>
                <w:rFonts w:ascii="Times New Roman" w:hAnsi="Times New Roman" w:cs="Times New Roman"/>
                <w:sz w:val="20"/>
                <w:szCs w:val="20"/>
              </w:rPr>
              <w:t>Association for Behavioral Healthcare (ABH)</w:t>
            </w:r>
          </w:p>
        </w:tc>
      </w:tr>
      <w:tr w:rsidR="002C5025">
        <w:trPr>
          <w:trHeight w:hRule="exact" w:val="240"/>
        </w:trPr>
        <w:tc>
          <w:tcPr>
            <w:tcW w:w="1766" w:type="dxa"/>
            <w:tcBorders>
              <w:top w:val="single" w:sz="4" w:space="0" w:color="000000"/>
              <w:left w:val="single" w:sz="4" w:space="0" w:color="000000"/>
              <w:bottom w:val="single" w:sz="4" w:space="0" w:color="000000"/>
              <w:right w:val="single" w:sz="4" w:space="0" w:color="000000"/>
            </w:tcBorders>
          </w:tcPr>
          <w:p w:rsidR="002C5025" w:rsidRDefault="00344961">
            <w:pPr>
              <w:pStyle w:val="TableParagraph"/>
              <w:kinsoku w:val="0"/>
              <w:overflowPunct w:val="0"/>
              <w:spacing w:line="226" w:lineRule="exact"/>
              <w:ind w:right="273"/>
              <w:rPr>
                <w:rFonts w:ascii="Times New Roman" w:hAnsi="Times New Roman" w:cs="Times New Roman"/>
              </w:rPr>
            </w:pPr>
            <w:r>
              <w:rPr>
                <w:rFonts w:ascii="Times New Roman" w:hAnsi="Times New Roman" w:cs="Times New Roman"/>
                <w:sz w:val="20"/>
                <w:szCs w:val="20"/>
              </w:rPr>
              <w:t>69</w:t>
            </w:r>
          </w:p>
        </w:tc>
        <w:tc>
          <w:tcPr>
            <w:tcW w:w="772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6" w:lineRule="exact"/>
              <w:ind w:right="822"/>
              <w:rPr>
                <w:rFonts w:ascii="Times New Roman" w:hAnsi="Times New Roman" w:cs="Times New Roman"/>
              </w:rPr>
            </w:pPr>
            <w:r>
              <w:rPr>
                <w:rFonts w:ascii="Times New Roman" w:hAnsi="Times New Roman" w:cs="Times New Roman"/>
                <w:sz w:val="20"/>
                <w:szCs w:val="20"/>
              </w:rPr>
              <w:t>Association of Developmental Disabilities Providers (ADDP)</w:t>
            </w:r>
          </w:p>
        </w:tc>
      </w:tr>
      <w:tr w:rsidR="002C5025">
        <w:trPr>
          <w:trHeight w:hRule="exact" w:val="240"/>
        </w:trPr>
        <w:tc>
          <w:tcPr>
            <w:tcW w:w="1766" w:type="dxa"/>
            <w:tcBorders>
              <w:top w:val="single" w:sz="4" w:space="0" w:color="000000"/>
              <w:left w:val="single" w:sz="4" w:space="0" w:color="000000"/>
              <w:bottom w:val="single" w:sz="4" w:space="0" w:color="000000"/>
              <w:right w:val="single" w:sz="4" w:space="0" w:color="000000"/>
            </w:tcBorders>
          </w:tcPr>
          <w:p w:rsidR="002C5025" w:rsidRDefault="00344961">
            <w:pPr>
              <w:pStyle w:val="TableParagraph"/>
              <w:kinsoku w:val="0"/>
              <w:overflowPunct w:val="0"/>
              <w:spacing w:line="226" w:lineRule="exact"/>
              <w:ind w:right="273"/>
              <w:rPr>
                <w:rFonts w:ascii="Times New Roman" w:hAnsi="Times New Roman" w:cs="Times New Roman"/>
              </w:rPr>
            </w:pPr>
            <w:r>
              <w:rPr>
                <w:rFonts w:ascii="Times New Roman" w:hAnsi="Times New Roman" w:cs="Times New Roman"/>
                <w:sz w:val="20"/>
                <w:szCs w:val="20"/>
              </w:rPr>
              <w:t>72</w:t>
            </w:r>
          </w:p>
        </w:tc>
        <w:tc>
          <w:tcPr>
            <w:tcW w:w="772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6" w:lineRule="exact"/>
              <w:ind w:right="822"/>
              <w:rPr>
                <w:rFonts w:ascii="Times New Roman" w:hAnsi="Times New Roman" w:cs="Times New Roman"/>
              </w:rPr>
            </w:pPr>
            <w:r>
              <w:rPr>
                <w:rFonts w:ascii="Times New Roman" w:hAnsi="Times New Roman" w:cs="Times New Roman"/>
                <w:sz w:val="20"/>
                <w:szCs w:val="20"/>
              </w:rPr>
              <w:t>Autism Housing Pathways</w:t>
            </w:r>
          </w:p>
        </w:tc>
      </w:tr>
      <w:tr w:rsidR="002C5025">
        <w:trPr>
          <w:trHeight w:hRule="exact" w:val="240"/>
        </w:trPr>
        <w:tc>
          <w:tcPr>
            <w:tcW w:w="1766" w:type="dxa"/>
            <w:tcBorders>
              <w:top w:val="single" w:sz="4" w:space="0" w:color="000000"/>
              <w:left w:val="single" w:sz="4" w:space="0" w:color="000000"/>
              <w:bottom w:val="single" w:sz="4" w:space="0" w:color="000000"/>
              <w:right w:val="single" w:sz="4" w:space="0" w:color="000000"/>
            </w:tcBorders>
          </w:tcPr>
          <w:p w:rsidR="002C5025" w:rsidRDefault="00344961">
            <w:pPr>
              <w:pStyle w:val="TableParagraph"/>
              <w:kinsoku w:val="0"/>
              <w:overflowPunct w:val="0"/>
              <w:spacing w:line="226" w:lineRule="exact"/>
              <w:ind w:right="273"/>
              <w:rPr>
                <w:rFonts w:ascii="Times New Roman" w:hAnsi="Times New Roman" w:cs="Times New Roman"/>
              </w:rPr>
            </w:pPr>
            <w:r>
              <w:rPr>
                <w:rFonts w:ascii="Times New Roman" w:hAnsi="Times New Roman" w:cs="Times New Roman"/>
                <w:sz w:val="20"/>
                <w:szCs w:val="20"/>
              </w:rPr>
              <w:t>76</w:t>
            </w:r>
          </w:p>
        </w:tc>
        <w:tc>
          <w:tcPr>
            <w:tcW w:w="772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6" w:lineRule="exact"/>
              <w:ind w:right="822"/>
              <w:rPr>
                <w:rFonts w:ascii="Times New Roman" w:hAnsi="Times New Roman" w:cs="Times New Roman"/>
              </w:rPr>
            </w:pPr>
            <w:r>
              <w:rPr>
                <w:rFonts w:ascii="Times New Roman" w:hAnsi="Times New Roman" w:cs="Times New Roman"/>
                <w:sz w:val="20"/>
                <w:szCs w:val="20"/>
              </w:rPr>
              <w:t>Beacon Health Options</w:t>
            </w:r>
          </w:p>
        </w:tc>
      </w:tr>
      <w:tr w:rsidR="002C5025">
        <w:trPr>
          <w:trHeight w:hRule="exact" w:val="470"/>
        </w:trPr>
        <w:tc>
          <w:tcPr>
            <w:tcW w:w="1766" w:type="dxa"/>
            <w:tcBorders>
              <w:top w:val="single" w:sz="4" w:space="0" w:color="000000"/>
              <w:left w:val="single" w:sz="4" w:space="0" w:color="000000"/>
              <w:bottom w:val="single" w:sz="4" w:space="0" w:color="000000"/>
              <w:right w:val="single" w:sz="4" w:space="0" w:color="000000"/>
            </w:tcBorders>
          </w:tcPr>
          <w:p w:rsidR="002C5025" w:rsidRDefault="00344961">
            <w:pPr>
              <w:pStyle w:val="TableParagraph"/>
              <w:kinsoku w:val="0"/>
              <w:overflowPunct w:val="0"/>
              <w:spacing w:line="226" w:lineRule="exact"/>
              <w:ind w:right="273"/>
              <w:rPr>
                <w:rFonts w:ascii="Times New Roman" w:hAnsi="Times New Roman" w:cs="Times New Roman"/>
              </w:rPr>
            </w:pPr>
            <w:r>
              <w:rPr>
                <w:rFonts w:ascii="Times New Roman" w:hAnsi="Times New Roman" w:cs="Times New Roman"/>
                <w:sz w:val="20"/>
                <w:szCs w:val="20"/>
              </w:rPr>
              <w:t>252</w:t>
            </w:r>
          </w:p>
        </w:tc>
        <w:tc>
          <w:tcPr>
            <w:tcW w:w="772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8" w:lineRule="exact"/>
              <w:ind w:right="822"/>
              <w:rPr>
                <w:rFonts w:ascii="Times New Roman" w:hAnsi="Times New Roman" w:cs="Times New Roman"/>
              </w:rPr>
            </w:pPr>
            <w:r>
              <w:rPr>
                <w:rFonts w:ascii="Times New Roman" w:hAnsi="Times New Roman" w:cs="Times New Roman"/>
                <w:sz w:val="20"/>
                <w:szCs w:val="20"/>
              </w:rPr>
              <w:t>Boston Center for Independent Living (BCIL)/ Disability Advocates Advancing Our Healthcare Rights (DAAHR)</w:t>
            </w:r>
          </w:p>
        </w:tc>
      </w:tr>
      <w:tr w:rsidR="002C5025">
        <w:trPr>
          <w:trHeight w:hRule="exact" w:val="470"/>
        </w:trPr>
        <w:tc>
          <w:tcPr>
            <w:tcW w:w="176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rPr>
                <w:rFonts w:ascii="Times New Roman" w:hAnsi="Times New Roman" w:cs="Times New Roman"/>
              </w:rPr>
            </w:pPr>
            <w:r>
              <w:rPr>
                <w:rFonts w:ascii="Times New Roman" w:hAnsi="Times New Roman" w:cs="Times New Roman"/>
                <w:w w:val="99"/>
                <w:sz w:val="20"/>
                <w:szCs w:val="20"/>
              </w:rPr>
              <w:t>T</w:t>
            </w:r>
          </w:p>
        </w:tc>
        <w:tc>
          <w:tcPr>
            <w:tcW w:w="772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ind w:right="822"/>
              <w:rPr>
                <w:rFonts w:ascii="Times New Roman" w:hAnsi="Times New Roman" w:cs="Times New Roman"/>
              </w:rPr>
            </w:pPr>
            <w:r>
              <w:rPr>
                <w:rFonts w:ascii="Times New Roman" w:hAnsi="Times New Roman" w:cs="Times New Roman"/>
                <w:sz w:val="20"/>
                <w:szCs w:val="20"/>
              </w:rPr>
              <w:t>Boston Center for Independent Living (BCIL)/ Disability Advocates Advancing our Healthcare Rights – (DAAHR) Oral Comments</w:t>
            </w:r>
          </w:p>
        </w:tc>
      </w:tr>
      <w:tr w:rsidR="002C5025">
        <w:trPr>
          <w:trHeight w:hRule="exact" w:val="240"/>
        </w:trPr>
        <w:tc>
          <w:tcPr>
            <w:tcW w:w="1766" w:type="dxa"/>
            <w:tcBorders>
              <w:top w:val="single" w:sz="4" w:space="0" w:color="000000"/>
              <w:left w:val="single" w:sz="4" w:space="0" w:color="000000"/>
              <w:bottom w:val="single" w:sz="4" w:space="0" w:color="000000"/>
              <w:right w:val="single" w:sz="4" w:space="0" w:color="000000"/>
            </w:tcBorders>
          </w:tcPr>
          <w:p w:rsidR="002C5025" w:rsidRDefault="00344961">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85</w:t>
            </w:r>
          </w:p>
        </w:tc>
        <w:tc>
          <w:tcPr>
            <w:tcW w:w="772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Boston Accountable Care Organization (BACO)</w:t>
            </w:r>
          </w:p>
        </w:tc>
      </w:tr>
      <w:tr w:rsidR="002C5025">
        <w:trPr>
          <w:trHeight w:hRule="exact" w:val="240"/>
        </w:trPr>
        <w:tc>
          <w:tcPr>
            <w:tcW w:w="1766" w:type="dxa"/>
            <w:tcBorders>
              <w:top w:val="single" w:sz="4" w:space="0" w:color="000000"/>
              <w:left w:val="single" w:sz="4" w:space="0" w:color="000000"/>
              <w:bottom w:val="single" w:sz="4" w:space="0" w:color="000000"/>
              <w:right w:val="single" w:sz="4" w:space="0" w:color="000000"/>
            </w:tcBorders>
          </w:tcPr>
          <w:p w:rsidR="002C5025" w:rsidRDefault="00344961">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88</w:t>
            </w:r>
          </w:p>
        </w:tc>
        <w:tc>
          <w:tcPr>
            <w:tcW w:w="772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Boston Public Health Commission (BPHC)</w:t>
            </w:r>
          </w:p>
        </w:tc>
      </w:tr>
      <w:tr w:rsidR="002C5025">
        <w:trPr>
          <w:trHeight w:hRule="exact" w:val="240"/>
        </w:trPr>
        <w:tc>
          <w:tcPr>
            <w:tcW w:w="1766" w:type="dxa"/>
            <w:tcBorders>
              <w:top w:val="single" w:sz="4" w:space="0" w:color="000000"/>
              <w:left w:val="single" w:sz="4" w:space="0" w:color="000000"/>
              <w:bottom w:val="single" w:sz="4" w:space="0" w:color="000000"/>
              <w:right w:val="single" w:sz="4" w:space="0" w:color="000000"/>
            </w:tcBorders>
          </w:tcPr>
          <w:p w:rsidR="002C5025" w:rsidRDefault="00344961">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93</w:t>
            </w:r>
          </w:p>
        </w:tc>
        <w:tc>
          <w:tcPr>
            <w:tcW w:w="772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Brian Coppola</w:t>
            </w:r>
          </w:p>
        </w:tc>
      </w:tr>
      <w:tr w:rsidR="002C5025">
        <w:trPr>
          <w:trHeight w:hRule="exact" w:val="470"/>
        </w:trPr>
        <w:tc>
          <w:tcPr>
            <w:tcW w:w="1766" w:type="dxa"/>
            <w:tcBorders>
              <w:top w:val="single" w:sz="4" w:space="0" w:color="000000"/>
              <w:left w:val="single" w:sz="4" w:space="0" w:color="000000"/>
              <w:bottom w:val="single" w:sz="4" w:space="0" w:color="000000"/>
              <w:right w:val="single" w:sz="4" w:space="0" w:color="000000"/>
            </w:tcBorders>
          </w:tcPr>
          <w:p w:rsidR="002C5025" w:rsidRDefault="00344961">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96</w:t>
            </w:r>
          </w:p>
        </w:tc>
        <w:tc>
          <w:tcPr>
            <w:tcW w:w="772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ind w:right="84"/>
              <w:rPr>
                <w:rFonts w:ascii="Times New Roman" w:hAnsi="Times New Roman" w:cs="Times New Roman"/>
              </w:rPr>
            </w:pPr>
            <w:r>
              <w:rPr>
                <w:rFonts w:ascii="Times New Roman" w:hAnsi="Times New Roman" w:cs="Times New Roman"/>
                <w:sz w:val="20"/>
                <w:szCs w:val="20"/>
              </w:rPr>
              <w:t xml:space="preserve">Carole Upshur, </w:t>
            </w:r>
            <w:proofErr w:type="spellStart"/>
            <w:r>
              <w:rPr>
                <w:rFonts w:ascii="Times New Roman" w:hAnsi="Times New Roman" w:cs="Times New Roman"/>
                <w:sz w:val="20"/>
                <w:szCs w:val="20"/>
              </w:rPr>
              <w:t>EdD</w:t>
            </w:r>
            <w:proofErr w:type="spellEnd"/>
            <w:r>
              <w:rPr>
                <w:rFonts w:ascii="Times New Roman" w:hAnsi="Times New Roman" w:cs="Times New Roman"/>
                <w:sz w:val="20"/>
                <w:szCs w:val="20"/>
              </w:rPr>
              <w:t>, Professor, Director of Research Training and Development, Department of Family Medicine and Community Health, UMMS</w:t>
            </w:r>
          </w:p>
        </w:tc>
      </w:tr>
      <w:tr w:rsidR="002C5025">
        <w:trPr>
          <w:trHeight w:hRule="exact" w:val="240"/>
        </w:trPr>
        <w:tc>
          <w:tcPr>
            <w:tcW w:w="1766" w:type="dxa"/>
            <w:tcBorders>
              <w:top w:val="single" w:sz="4" w:space="0" w:color="000000"/>
              <w:left w:val="single" w:sz="4" w:space="0" w:color="000000"/>
              <w:bottom w:val="single" w:sz="4" w:space="0" w:color="000000"/>
              <w:right w:val="single" w:sz="4" w:space="0" w:color="000000"/>
            </w:tcBorders>
          </w:tcPr>
          <w:p w:rsidR="002C5025" w:rsidRDefault="00344961">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98</w:t>
            </w:r>
          </w:p>
        </w:tc>
        <w:tc>
          <w:tcPr>
            <w:tcW w:w="772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Casa Esperanza</w:t>
            </w:r>
          </w:p>
        </w:tc>
      </w:tr>
      <w:tr w:rsidR="002C5025">
        <w:trPr>
          <w:trHeight w:hRule="exact" w:val="240"/>
        </w:trPr>
        <w:tc>
          <w:tcPr>
            <w:tcW w:w="1766" w:type="dxa"/>
            <w:tcBorders>
              <w:top w:val="single" w:sz="4" w:space="0" w:color="000000"/>
              <w:left w:val="single" w:sz="4" w:space="0" w:color="000000"/>
              <w:bottom w:val="single" w:sz="4" w:space="0" w:color="000000"/>
              <w:right w:val="single" w:sz="4" w:space="0" w:color="000000"/>
            </w:tcBorders>
          </w:tcPr>
          <w:p w:rsidR="002C5025" w:rsidRDefault="00344961">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101</w:t>
            </w:r>
          </w:p>
        </w:tc>
        <w:tc>
          <w:tcPr>
            <w:tcW w:w="772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Catherine Boyle</w:t>
            </w:r>
          </w:p>
        </w:tc>
      </w:tr>
      <w:tr w:rsidR="002C5025">
        <w:trPr>
          <w:trHeight w:hRule="exact" w:val="240"/>
        </w:trPr>
        <w:tc>
          <w:tcPr>
            <w:tcW w:w="1766" w:type="dxa"/>
            <w:tcBorders>
              <w:top w:val="single" w:sz="4" w:space="0" w:color="000000"/>
              <w:left w:val="single" w:sz="4" w:space="0" w:color="000000"/>
              <w:bottom w:val="single" w:sz="4" w:space="0" w:color="000000"/>
              <w:right w:val="single" w:sz="4" w:space="0" w:color="000000"/>
            </w:tcBorders>
          </w:tcPr>
          <w:p w:rsidR="002C5025" w:rsidRDefault="00344961">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102</w:t>
            </w:r>
          </w:p>
        </w:tc>
        <w:tc>
          <w:tcPr>
            <w:tcW w:w="772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Center for Health Law and Policy Innovation, Harvard Law School</w:t>
            </w:r>
          </w:p>
        </w:tc>
      </w:tr>
      <w:tr w:rsidR="002C5025">
        <w:trPr>
          <w:trHeight w:hRule="exact" w:val="240"/>
        </w:trPr>
        <w:tc>
          <w:tcPr>
            <w:tcW w:w="176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rPr>
                <w:rFonts w:ascii="Times New Roman" w:hAnsi="Times New Roman" w:cs="Times New Roman"/>
              </w:rPr>
            </w:pPr>
            <w:r>
              <w:rPr>
                <w:rFonts w:ascii="Times New Roman" w:hAnsi="Times New Roman" w:cs="Times New Roman"/>
                <w:w w:val="99"/>
                <w:sz w:val="20"/>
                <w:szCs w:val="20"/>
              </w:rPr>
              <w:t>T</w:t>
            </w:r>
          </w:p>
        </w:tc>
        <w:tc>
          <w:tcPr>
            <w:tcW w:w="772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Center for Health Policy Innovation, Harvard Law School  - Oral Comments</w:t>
            </w:r>
          </w:p>
        </w:tc>
      </w:tr>
      <w:tr w:rsidR="002C5025">
        <w:trPr>
          <w:trHeight w:hRule="exact" w:val="240"/>
        </w:trPr>
        <w:tc>
          <w:tcPr>
            <w:tcW w:w="1766" w:type="dxa"/>
            <w:tcBorders>
              <w:top w:val="single" w:sz="4" w:space="0" w:color="000000"/>
              <w:left w:val="single" w:sz="4" w:space="0" w:color="000000"/>
              <w:bottom w:val="single" w:sz="4" w:space="0" w:color="000000"/>
              <w:right w:val="single" w:sz="4" w:space="0" w:color="000000"/>
            </w:tcBorders>
          </w:tcPr>
          <w:p w:rsidR="002C5025" w:rsidRDefault="00344961">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108</w:t>
            </w:r>
          </w:p>
        </w:tc>
        <w:tc>
          <w:tcPr>
            <w:tcW w:w="772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Citizen’s Housing and Planning Association</w:t>
            </w:r>
          </w:p>
        </w:tc>
      </w:tr>
      <w:tr w:rsidR="002C5025">
        <w:trPr>
          <w:trHeight w:hRule="exact" w:val="240"/>
        </w:trPr>
        <w:tc>
          <w:tcPr>
            <w:tcW w:w="1766" w:type="dxa"/>
            <w:tcBorders>
              <w:top w:val="single" w:sz="4" w:space="0" w:color="000000"/>
              <w:left w:val="single" w:sz="4" w:space="0" w:color="000000"/>
              <w:bottom w:val="single" w:sz="4" w:space="0" w:color="000000"/>
              <w:right w:val="single" w:sz="4" w:space="0" w:color="000000"/>
            </w:tcBorders>
          </w:tcPr>
          <w:p w:rsidR="002C5025" w:rsidRDefault="00344961">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110</w:t>
            </w:r>
          </w:p>
        </w:tc>
        <w:tc>
          <w:tcPr>
            <w:tcW w:w="772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 xml:space="preserve">Children’s </w:t>
            </w:r>
            <w:proofErr w:type="spellStart"/>
            <w:r>
              <w:rPr>
                <w:rFonts w:ascii="Times New Roman" w:hAnsi="Times New Roman" w:cs="Times New Roman"/>
                <w:sz w:val="20"/>
                <w:szCs w:val="20"/>
              </w:rPr>
              <w:t>HealthWatch</w:t>
            </w:r>
            <w:proofErr w:type="spellEnd"/>
          </w:p>
        </w:tc>
      </w:tr>
      <w:tr w:rsidR="002C5025">
        <w:trPr>
          <w:trHeight w:hRule="exact" w:val="240"/>
        </w:trPr>
        <w:tc>
          <w:tcPr>
            <w:tcW w:w="1766" w:type="dxa"/>
            <w:tcBorders>
              <w:top w:val="single" w:sz="4" w:space="0" w:color="000000"/>
              <w:left w:val="single" w:sz="4" w:space="0" w:color="000000"/>
              <w:bottom w:val="single" w:sz="4" w:space="0" w:color="000000"/>
              <w:right w:val="single" w:sz="4" w:space="0" w:color="000000"/>
            </w:tcBorders>
          </w:tcPr>
          <w:p w:rsidR="002C5025" w:rsidRDefault="00344961">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113</w:t>
            </w:r>
          </w:p>
        </w:tc>
        <w:tc>
          <w:tcPr>
            <w:tcW w:w="772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Children’s Mental Health Campaign</w:t>
            </w:r>
          </w:p>
        </w:tc>
      </w:tr>
      <w:tr w:rsidR="002C5025">
        <w:trPr>
          <w:trHeight w:hRule="exact" w:val="240"/>
        </w:trPr>
        <w:tc>
          <w:tcPr>
            <w:tcW w:w="1766" w:type="dxa"/>
            <w:tcBorders>
              <w:top w:val="single" w:sz="4" w:space="0" w:color="000000"/>
              <w:left w:val="single" w:sz="4" w:space="0" w:color="000000"/>
              <w:bottom w:val="single" w:sz="4" w:space="0" w:color="000000"/>
              <w:right w:val="single" w:sz="4" w:space="0" w:color="000000"/>
            </w:tcBorders>
          </w:tcPr>
          <w:p w:rsidR="002C5025" w:rsidRDefault="00344961">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115</w:t>
            </w:r>
          </w:p>
        </w:tc>
        <w:tc>
          <w:tcPr>
            <w:tcW w:w="772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Clinicians UNITED</w:t>
            </w:r>
          </w:p>
        </w:tc>
      </w:tr>
      <w:tr w:rsidR="002C5025">
        <w:trPr>
          <w:trHeight w:hRule="exact" w:val="240"/>
        </w:trPr>
        <w:tc>
          <w:tcPr>
            <w:tcW w:w="1766" w:type="dxa"/>
            <w:tcBorders>
              <w:top w:val="single" w:sz="4" w:space="0" w:color="000000"/>
              <w:left w:val="single" w:sz="4" w:space="0" w:color="000000"/>
              <w:bottom w:val="single" w:sz="4" w:space="0" w:color="000000"/>
              <w:right w:val="single" w:sz="4" w:space="0" w:color="000000"/>
            </w:tcBorders>
          </w:tcPr>
          <w:p w:rsidR="002C5025" w:rsidRDefault="00344961">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117</w:t>
            </w:r>
          </w:p>
        </w:tc>
        <w:tc>
          <w:tcPr>
            <w:tcW w:w="772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Community Care Cooperative</w:t>
            </w:r>
          </w:p>
        </w:tc>
      </w:tr>
      <w:tr w:rsidR="002C5025">
        <w:trPr>
          <w:trHeight w:hRule="exact" w:val="240"/>
        </w:trPr>
        <w:tc>
          <w:tcPr>
            <w:tcW w:w="1766" w:type="dxa"/>
            <w:tcBorders>
              <w:top w:val="single" w:sz="4" w:space="0" w:color="000000"/>
              <w:left w:val="single" w:sz="4" w:space="0" w:color="000000"/>
              <w:bottom w:val="single" w:sz="4" w:space="0" w:color="000000"/>
              <w:right w:val="single" w:sz="4" w:space="0" w:color="000000"/>
            </w:tcBorders>
          </w:tcPr>
          <w:p w:rsidR="002C5025" w:rsidRDefault="00344961">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122</w:t>
            </w:r>
          </w:p>
        </w:tc>
        <w:tc>
          <w:tcPr>
            <w:tcW w:w="772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Community Servings</w:t>
            </w:r>
          </w:p>
        </w:tc>
      </w:tr>
      <w:tr w:rsidR="002C5025">
        <w:trPr>
          <w:trHeight w:hRule="exact" w:val="240"/>
        </w:trPr>
        <w:tc>
          <w:tcPr>
            <w:tcW w:w="176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rPr>
                <w:rFonts w:ascii="Times New Roman" w:hAnsi="Times New Roman" w:cs="Times New Roman"/>
              </w:rPr>
            </w:pPr>
            <w:r>
              <w:rPr>
                <w:rFonts w:ascii="Times New Roman" w:hAnsi="Times New Roman" w:cs="Times New Roman"/>
                <w:w w:val="99"/>
                <w:sz w:val="20"/>
                <w:szCs w:val="20"/>
              </w:rPr>
              <w:t>T</w:t>
            </w:r>
          </w:p>
        </w:tc>
        <w:tc>
          <w:tcPr>
            <w:tcW w:w="772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Craven, Gloria – Oral Comments</w:t>
            </w:r>
          </w:p>
        </w:tc>
      </w:tr>
      <w:tr w:rsidR="002C5025">
        <w:trPr>
          <w:trHeight w:hRule="exact" w:val="240"/>
        </w:trPr>
        <w:tc>
          <w:tcPr>
            <w:tcW w:w="1766" w:type="dxa"/>
            <w:tcBorders>
              <w:top w:val="single" w:sz="4" w:space="0" w:color="000000"/>
              <w:left w:val="single" w:sz="4" w:space="0" w:color="000000"/>
              <w:bottom w:val="single" w:sz="4" w:space="0" w:color="000000"/>
              <w:right w:val="single" w:sz="4" w:space="0" w:color="000000"/>
            </w:tcBorders>
          </w:tcPr>
          <w:p w:rsidR="002C5025" w:rsidRDefault="00344961">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128, 130</w:t>
            </w:r>
          </w:p>
        </w:tc>
        <w:tc>
          <w:tcPr>
            <w:tcW w:w="772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Craven &amp; Ober Policy Strategists</w:t>
            </w:r>
          </w:p>
        </w:tc>
      </w:tr>
      <w:tr w:rsidR="002C5025">
        <w:trPr>
          <w:trHeight w:hRule="exact" w:val="240"/>
        </w:trPr>
        <w:tc>
          <w:tcPr>
            <w:tcW w:w="1766" w:type="dxa"/>
            <w:tcBorders>
              <w:top w:val="single" w:sz="4" w:space="0" w:color="000000"/>
              <w:left w:val="single" w:sz="4" w:space="0" w:color="000000"/>
              <w:bottom w:val="single" w:sz="4" w:space="0" w:color="000000"/>
              <w:right w:val="single" w:sz="4" w:space="0" w:color="000000"/>
            </w:tcBorders>
          </w:tcPr>
          <w:p w:rsidR="002C5025" w:rsidRDefault="00344961">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132</w:t>
            </w:r>
          </w:p>
        </w:tc>
        <w:tc>
          <w:tcPr>
            <w:tcW w:w="772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Critical Access Hospitals (Martha’s Vineyard, Athol, Fairview)</w:t>
            </w:r>
          </w:p>
        </w:tc>
      </w:tr>
      <w:tr w:rsidR="002C5025">
        <w:trPr>
          <w:trHeight w:hRule="exact" w:val="240"/>
        </w:trPr>
        <w:tc>
          <w:tcPr>
            <w:tcW w:w="1766" w:type="dxa"/>
            <w:tcBorders>
              <w:top w:val="single" w:sz="4" w:space="0" w:color="000000"/>
              <w:left w:val="single" w:sz="4" w:space="0" w:color="000000"/>
              <w:bottom w:val="single" w:sz="4" w:space="0" w:color="000000"/>
              <w:right w:val="single" w:sz="4" w:space="0" w:color="000000"/>
            </w:tcBorders>
          </w:tcPr>
          <w:p w:rsidR="002C5025" w:rsidRDefault="00344961">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133,138,141</w:t>
            </w:r>
          </w:p>
        </w:tc>
        <w:tc>
          <w:tcPr>
            <w:tcW w:w="772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Disability Advocates Advancing our Healthcare Rights (DAAHR)</w:t>
            </w:r>
          </w:p>
        </w:tc>
      </w:tr>
      <w:tr w:rsidR="002C5025">
        <w:trPr>
          <w:trHeight w:hRule="exact" w:val="240"/>
        </w:trPr>
        <w:tc>
          <w:tcPr>
            <w:tcW w:w="1766" w:type="dxa"/>
            <w:tcBorders>
              <w:top w:val="single" w:sz="4" w:space="0" w:color="000000"/>
              <w:left w:val="single" w:sz="4" w:space="0" w:color="000000"/>
              <w:bottom w:val="single" w:sz="4" w:space="0" w:color="000000"/>
              <w:right w:val="single" w:sz="4" w:space="0" w:color="000000"/>
            </w:tcBorders>
          </w:tcPr>
          <w:p w:rsidR="002C5025" w:rsidRDefault="00344961">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152</w:t>
            </w:r>
          </w:p>
        </w:tc>
        <w:tc>
          <w:tcPr>
            <w:tcW w:w="772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Dana-Farber</w:t>
            </w:r>
          </w:p>
        </w:tc>
      </w:tr>
      <w:tr w:rsidR="002C5025">
        <w:trPr>
          <w:trHeight w:hRule="exact" w:val="240"/>
        </w:trPr>
        <w:tc>
          <w:tcPr>
            <w:tcW w:w="1766" w:type="dxa"/>
            <w:tcBorders>
              <w:top w:val="single" w:sz="4" w:space="0" w:color="000000"/>
              <w:left w:val="single" w:sz="4" w:space="0" w:color="000000"/>
              <w:bottom w:val="single" w:sz="4" w:space="0" w:color="000000"/>
              <w:right w:val="single" w:sz="4" w:space="0" w:color="000000"/>
            </w:tcBorders>
          </w:tcPr>
          <w:p w:rsidR="002C5025" w:rsidRDefault="00344961">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155</w:t>
            </w:r>
          </w:p>
        </w:tc>
        <w:tc>
          <w:tcPr>
            <w:tcW w:w="772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Disability Law Center, Inc.</w:t>
            </w:r>
          </w:p>
        </w:tc>
      </w:tr>
      <w:tr w:rsidR="002C5025">
        <w:trPr>
          <w:trHeight w:hRule="exact" w:val="240"/>
        </w:trPr>
        <w:tc>
          <w:tcPr>
            <w:tcW w:w="1766" w:type="dxa"/>
            <w:tcBorders>
              <w:top w:val="single" w:sz="4" w:space="0" w:color="000000"/>
              <w:left w:val="single" w:sz="4" w:space="0" w:color="000000"/>
              <w:bottom w:val="single" w:sz="4" w:space="0" w:color="000000"/>
              <w:right w:val="single" w:sz="4" w:space="0" w:color="000000"/>
            </w:tcBorders>
          </w:tcPr>
          <w:p w:rsidR="002C5025" w:rsidRDefault="00344961">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159</w:t>
            </w:r>
          </w:p>
        </w:tc>
        <w:tc>
          <w:tcPr>
            <w:tcW w:w="772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Doctors for America</w:t>
            </w:r>
          </w:p>
        </w:tc>
      </w:tr>
      <w:tr w:rsidR="002C5025">
        <w:trPr>
          <w:trHeight w:hRule="exact" w:val="240"/>
        </w:trPr>
        <w:tc>
          <w:tcPr>
            <w:tcW w:w="1766" w:type="dxa"/>
            <w:tcBorders>
              <w:top w:val="single" w:sz="4" w:space="0" w:color="000000"/>
              <w:left w:val="single" w:sz="4" w:space="0" w:color="000000"/>
              <w:bottom w:val="single" w:sz="4" w:space="0" w:color="000000"/>
              <w:right w:val="single" w:sz="4" w:space="0" w:color="000000"/>
            </w:tcBorders>
          </w:tcPr>
          <w:p w:rsidR="002C5025" w:rsidRDefault="00344961">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178</w:t>
            </w:r>
          </w:p>
        </w:tc>
        <w:tc>
          <w:tcPr>
            <w:tcW w:w="772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East Boston Neighborhood Health Center</w:t>
            </w:r>
          </w:p>
        </w:tc>
      </w:tr>
      <w:tr w:rsidR="002C5025">
        <w:trPr>
          <w:trHeight w:hRule="exact" w:val="240"/>
        </w:trPr>
        <w:tc>
          <w:tcPr>
            <w:tcW w:w="176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rPr>
                <w:rFonts w:ascii="Times New Roman" w:hAnsi="Times New Roman" w:cs="Times New Roman"/>
              </w:rPr>
            </w:pPr>
            <w:r>
              <w:rPr>
                <w:rFonts w:ascii="Times New Roman" w:hAnsi="Times New Roman" w:cs="Times New Roman"/>
                <w:w w:val="99"/>
                <w:sz w:val="20"/>
                <w:szCs w:val="20"/>
              </w:rPr>
              <w:t>T</w:t>
            </w:r>
          </w:p>
        </w:tc>
        <w:tc>
          <w:tcPr>
            <w:tcW w:w="772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Eliot Community Human Services – Oral Comments</w:t>
            </w:r>
          </w:p>
        </w:tc>
      </w:tr>
      <w:tr w:rsidR="002C5025">
        <w:trPr>
          <w:trHeight w:hRule="exact" w:val="240"/>
        </w:trPr>
        <w:tc>
          <w:tcPr>
            <w:tcW w:w="1766" w:type="dxa"/>
            <w:tcBorders>
              <w:top w:val="single" w:sz="4" w:space="0" w:color="000000"/>
              <w:left w:val="single" w:sz="4" w:space="0" w:color="000000"/>
              <w:bottom w:val="single" w:sz="4" w:space="0" w:color="000000"/>
              <w:right w:val="single" w:sz="4" w:space="0" w:color="000000"/>
            </w:tcBorders>
          </w:tcPr>
          <w:p w:rsidR="002C5025" w:rsidRDefault="00344961">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181</w:t>
            </w:r>
          </w:p>
        </w:tc>
        <w:tc>
          <w:tcPr>
            <w:tcW w:w="772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Ethos</w:t>
            </w:r>
          </w:p>
        </w:tc>
      </w:tr>
      <w:tr w:rsidR="002C5025">
        <w:trPr>
          <w:trHeight w:hRule="exact" w:val="240"/>
        </w:trPr>
        <w:tc>
          <w:tcPr>
            <w:tcW w:w="1766" w:type="dxa"/>
            <w:tcBorders>
              <w:top w:val="single" w:sz="4" w:space="0" w:color="000000"/>
              <w:left w:val="single" w:sz="4" w:space="0" w:color="000000"/>
              <w:bottom w:val="single" w:sz="4" w:space="0" w:color="000000"/>
              <w:right w:val="single" w:sz="4" w:space="0" w:color="000000"/>
            </w:tcBorders>
          </w:tcPr>
          <w:p w:rsidR="002C5025" w:rsidRDefault="00344961">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182</w:t>
            </w:r>
          </w:p>
        </w:tc>
        <w:tc>
          <w:tcPr>
            <w:tcW w:w="772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Fresenius Medical Care</w:t>
            </w:r>
          </w:p>
        </w:tc>
      </w:tr>
      <w:tr w:rsidR="002C5025">
        <w:trPr>
          <w:trHeight w:hRule="exact" w:val="240"/>
        </w:trPr>
        <w:tc>
          <w:tcPr>
            <w:tcW w:w="1766" w:type="dxa"/>
            <w:tcBorders>
              <w:top w:val="single" w:sz="4" w:space="0" w:color="000000"/>
              <w:left w:val="single" w:sz="4" w:space="0" w:color="000000"/>
              <w:bottom w:val="single" w:sz="4" w:space="0" w:color="000000"/>
              <w:right w:val="single" w:sz="4" w:space="0" w:color="000000"/>
            </w:tcBorders>
          </w:tcPr>
          <w:p w:rsidR="002C5025" w:rsidRDefault="00344961">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185</w:t>
            </w:r>
          </w:p>
        </w:tc>
        <w:tc>
          <w:tcPr>
            <w:tcW w:w="772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Health Care for All</w:t>
            </w:r>
          </w:p>
        </w:tc>
      </w:tr>
      <w:tr w:rsidR="002C5025">
        <w:trPr>
          <w:trHeight w:hRule="exact" w:val="240"/>
        </w:trPr>
        <w:tc>
          <w:tcPr>
            <w:tcW w:w="176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rPr>
                <w:rFonts w:ascii="Times New Roman" w:hAnsi="Times New Roman" w:cs="Times New Roman"/>
              </w:rPr>
            </w:pPr>
            <w:r>
              <w:rPr>
                <w:rFonts w:ascii="Times New Roman" w:hAnsi="Times New Roman" w:cs="Times New Roman"/>
                <w:w w:val="99"/>
                <w:sz w:val="20"/>
                <w:szCs w:val="20"/>
              </w:rPr>
              <w:t>T</w:t>
            </w:r>
          </w:p>
        </w:tc>
        <w:tc>
          <w:tcPr>
            <w:tcW w:w="772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Health Care for All – Oral Comments</w:t>
            </w:r>
          </w:p>
        </w:tc>
      </w:tr>
      <w:tr w:rsidR="002C5025">
        <w:trPr>
          <w:trHeight w:hRule="exact" w:val="240"/>
        </w:trPr>
        <w:tc>
          <w:tcPr>
            <w:tcW w:w="176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rPr>
                <w:rFonts w:ascii="Times New Roman" w:hAnsi="Times New Roman" w:cs="Times New Roman"/>
              </w:rPr>
            </w:pPr>
            <w:r>
              <w:rPr>
                <w:rFonts w:ascii="Times New Roman" w:hAnsi="Times New Roman" w:cs="Times New Roman"/>
                <w:w w:val="99"/>
                <w:sz w:val="20"/>
                <w:szCs w:val="20"/>
              </w:rPr>
              <w:t>T</w:t>
            </w:r>
          </w:p>
        </w:tc>
        <w:tc>
          <w:tcPr>
            <w:tcW w:w="772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 xml:space="preserve">Health Care for All </w:t>
            </w:r>
            <w:proofErr w:type="spellStart"/>
            <w:r>
              <w:rPr>
                <w:rFonts w:ascii="Times New Roman" w:hAnsi="Times New Roman" w:cs="Times New Roman"/>
                <w:sz w:val="20"/>
                <w:szCs w:val="20"/>
              </w:rPr>
              <w:t>HelpLine</w:t>
            </w:r>
            <w:proofErr w:type="spellEnd"/>
            <w:r>
              <w:rPr>
                <w:rFonts w:ascii="Times New Roman" w:hAnsi="Times New Roman" w:cs="Times New Roman"/>
                <w:sz w:val="20"/>
                <w:szCs w:val="20"/>
              </w:rPr>
              <w:t xml:space="preserve"> – Oral Comments</w:t>
            </w:r>
          </w:p>
        </w:tc>
      </w:tr>
      <w:tr w:rsidR="002C5025">
        <w:trPr>
          <w:trHeight w:hRule="exact" w:val="240"/>
        </w:trPr>
        <w:tc>
          <w:tcPr>
            <w:tcW w:w="1766" w:type="dxa"/>
            <w:tcBorders>
              <w:top w:val="single" w:sz="4" w:space="0" w:color="000000"/>
              <w:left w:val="single" w:sz="4" w:space="0" w:color="000000"/>
              <w:bottom w:val="single" w:sz="4" w:space="0" w:color="000000"/>
              <w:right w:val="single" w:sz="4" w:space="0" w:color="000000"/>
            </w:tcBorders>
          </w:tcPr>
          <w:p w:rsidR="002C5025" w:rsidRDefault="000F3942">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211</w:t>
            </w:r>
          </w:p>
        </w:tc>
        <w:tc>
          <w:tcPr>
            <w:tcW w:w="772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Health Law Advocates (HLA)</w:t>
            </w:r>
          </w:p>
        </w:tc>
      </w:tr>
      <w:tr w:rsidR="002C5025">
        <w:trPr>
          <w:trHeight w:hRule="exact" w:val="240"/>
        </w:trPr>
        <w:tc>
          <w:tcPr>
            <w:tcW w:w="1766" w:type="dxa"/>
            <w:tcBorders>
              <w:top w:val="single" w:sz="4" w:space="0" w:color="000000"/>
              <w:left w:val="single" w:sz="4" w:space="0" w:color="000000"/>
              <w:bottom w:val="single" w:sz="4" w:space="0" w:color="000000"/>
              <w:right w:val="single" w:sz="4" w:space="0" w:color="000000"/>
            </w:tcBorders>
          </w:tcPr>
          <w:p w:rsidR="002C5025" w:rsidRDefault="000F3942">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220</w:t>
            </w:r>
          </w:p>
        </w:tc>
        <w:tc>
          <w:tcPr>
            <w:tcW w:w="772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HMS</w:t>
            </w:r>
          </w:p>
        </w:tc>
      </w:tr>
      <w:tr w:rsidR="002C5025">
        <w:trPr>
          <w:trHeight w:hRule="exact" w:val="240"/>
        </w:trPr>
        <w:tc>
          <w:tcPr>
            <w:tcW w:w="1766" w:type="dxa"/>
            <w:tcBorders>
              <w:top w:val="single" w:sz="4" w:space="0" w:color="000000"/>
              <w:left w:val="single" w:sz="4" w:space="0" w:color="000000"/>
              <w:bottom w:val="single" w:sz="4" w:space="0" w:color="000000"/>
              <w:right w:val="single" w:sz="4" w:space="0" w:color="000000"/>
            </w:tcBorders>
          </w:tcPr>
          <w:p w:rsidR="002C5025" w:rsidRDefault="000F3942">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224</w:t>
            </w:r>
          </w:p>
        </w:tc>
        <w:tc>
          <w:tcPr>
            <w:tcW w:w="772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Home Care Aide Council</w:t>
            </w:r>
          </w:p>
        </w:tc>
      </w:tr>
      <w:tr w:rsidR="002C5025">
        <w:trPr>
          <w:trHeight w:hRule="exact" w:val="240"/>
        </w:trPr>
        <w:tc>
          <w:tcPr>
            <w:tcW w:w="1766" w:type="dxa"/>
            <w:tcBorders>
              <w:top w:val="single" w:sz="4" w:space="0" w:color="000000"/>
              <w:left w:val="single" w:sz="4" w:space="0" w:color="000000"/>
              <w:bottom w:val="single" w:sz="4" w:space="0" w:color="000000"/>
              <w:right w:val="single" w:sz="4" w:space="0" w:color="000000"/>
            </w:tcBorders>
          </w:tcPr>
          <w:p w:rsidR="002C5025" w:rsidRDefault="000F3942">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226</w:t>
            </w:r>
          </w:p>
        </w:tc>
        <w:tc>
          <w:tcPr>
            <w:tcW w:w="772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Home Care Alliance</w:t>
            </w:r>
          </w:p>
        </w:tc>
      </w:tr>
      <w:tr w:rsidR="002C5025">
        <w:trPr>
          <w:trHeight w:hRule="exact" w:val="240"/>
        </w:trPr>
        <w:tc>
          <w:tcPr>
            <w:tcW w:w="1766" w:type="dxa"/>
            <w:tcBorders>
              <w:top w:val="single" w:sz="4" w:space="0" w:color="000000"/>
              <w:left w:val="single" w:sz="4" w:space="0" w:color="000000"/>
              <w:bottom w:val="single" w:sz="4" w:space="0" w:color="000000"/>
              <w:right w:val="single" w:sz="4" w:space="0" w:color="000000"/>
            </w:tcBorders>
          </w:tcPr>
          <w:p w:rsidR="002C5025" w:rsidRDefault="000F3942">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229</w:t>
            </w:r>
          </w:p>
        </w:tc>
        <w:tc>
          <w:tcPr>
            <w:tcW w:w="772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Jane Doe Inc. (JDI)</w:t>
            </w:r>
          </w:p>
        </w:tc>
      </w:tr>
      <w:tr w:rsidR="002C5025">
        <w:trPr>
          <w:trHeight w:hRule="exact" w:val="240"/>
        </w:trPr>
        <w:tc>
          <w:tcPr>
            <w:tcW w:w="176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234</w:t>
            </w:r>
          </w:p>
        </w:tc>
        <w:tc>
          <w:tcPr>
            <w:tcW w:w="772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 xml:space="preserve">Leann </w:t>
            </w:r>
            <w:proofErr w:type="spellStart"/>
            <w:r>
              <w:rPr>
                <w:rFonts w:ascii="Times New Roman" w:hAnsi="Times New Roman" w:cs="Times New Roman"/>
                <w:sz w:val="20"/>
                <w:szCs w:val="20"/>
              </w:rPr>
              <w:t>DiDomenico</w:t>
            </w:r>
            <w:proofErr w:type="spellEnd"/>
          </w:p>
        </w:tc>
      </w:tr>
      <w:tr w:rsidR="002C5025">
        <w:trPr>
          <w:trHeight w:hRule="exact" w:val="240"/>
        </w:trPr>
        <w:tc>
          <w:tcPr>
            <w:tcW w:w="176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235</w:t>
            </w:r>
          </w:p>
        </w:tc>
        <w:tc>
          <w:tcPr>
            <w:tcW w:w="772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Lynch Associates</w:t>
            </w:r>
          </w:p>
        </w:tc>
      </w:tr>
      <w:tr w:rsidR="002C5025">
        <w:trPr>
          <w:trHeight w:hRule="exact" w:val="470"/>
        </w:trPr>
        <w:tc>
          <w:tcPr>
            <w:tcW w:w="176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236</w:t>
            </w:r>
          </w:p>
        </w:tc>
        <w:tc>
          <w:tcPr>
            <w:tcW w:w="7726"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ind w:right="84"/>
              <w:rPr>
                <w:rFonts w:ascii="Times New Roman" w:hAnsi="Times New Roman" w:cs="Times New Roman"/>
              </w:rPr>
            </w:pPr>
            <w:r>
              <w:rPr>
                <w:rFonts w:ascii="Times New Roman" w:hAnsi="Times New Roman" w:cs="Times New Roman"/>
                <w:sz w:val="20"/>
                <w:szCs w:val="20"/>
              </w:rPr>
              <w:t xml:space="preserve">Mark E. </w:t>
            </w:r>
            <w:proofErr w:type="spellStart"/>
            <w:r>
              <w:rPr>
                <w:rFonts w:ascii="Times New Roman" w:hAnsi="Times New Roman" w:cs="Times New Roman"/>
                <w:sz w:val="20"/>
                <w:szCs w:val="20"/>
              </w:rPr>
              <w:t>Nehring</w:t>
            </w:r>
            <w:proofErr w:type="spellEnd"/>
            <w:r>
              <w:rPr>
                <w:rFonts w:ascii="Times New Roman" w:hAnsi="Times New Roman" w:cs="Times New Roman"/>
                <w:sz w:val="20"/>
                <w:szCs w:val="20"/>
              </w:rPr>
              <w:t xml:space="preserve">, Chair, </w:t>
            </w:r>
            <w:proofErr w:type="spellStart"/>
            <w:r>
              <w:rPr>
                <w:rFonts w:ascii="Times New Roman" w:hAnsi="Times New Roman" w:cs="Times New Roman"/>
                <w:sz w:val="20"/>
                <w:szCs w:val="20"/>
              </w:rPr>
              <w:t>Dept</w:t>
            </w:r>
            <w:proofErr w:type="spellEnd"/>
            <w:r>
              <w:rPr>
                <w:rFonts w:ascii="Times New Roman" w:hAnsi="Times New Roman" w:cs="Times New Roman"/>
                <w:sz w:val="20"/>
                <w:szCs w:val="20"/>
              </w:rPr>
              <w:t xml:space="preserve"> of Public Health and Community Service, Tufts School Dental Medicine</w:t>
            </w:r>
          </w:p>
        </w:tc>
      </w:tr>
    </w:tbl>
    <w:p w:rsidR="002C5025" w:rsidRDefault="002C5025">
      <w:pPr>
        <w:pStyle w:val="BodyText"/>
        <w:tabs>
          <w:tab w:val="left" w:pos="10233"/>
        </w:tabs>
        <w:kinsoku w:val="0"/>
        <w:overflowPunct w:val="0"/>
        <w:spacing w:before="50"/>
        <w:ind w:left="5337"/>
        <w:rPr>
          <w:rFonts w:ascii="Times New Roman" w:hAnsi="Times New Roman" w:cs="Times New Roman"/>
          <w:i/>
          <w:iCs/>
          <w:sz w:val="16"/>
          <w:szCs w:val="16"/>
        </w:rPr>
      </w:pPr>
      <w:r>
        <w:rPr>
          <w:rFonts w:ascii="Times New Roman" w:hAnsi="Times New Roman" w:cs="Times New Roman"/>
          <w:sz w:val="16"/>
          <w:szCs w:val="16"/>
        </w:rPr>
        <w:t xml:space="preserve">Page </w:t>
      </w:r>
      <w:r>
        <w:rPr>
          <w:rFonts w:ascii="Times New Roman" w:hAnsi="Times New Roman" w:cs="Times New Roman"/>
          <w:b/>
          <w:bCs/>
          <w:sz w:val="16"/>
          <w:szCs w:val="16"/>
        </w:rPr>
        <w:t>1</w:t>
      </w:r>
      <w:r>
        <w:rPr>
          <w:rFonts w:ascii="Times New Roman" w:hAnsi="Times New Roman" w:cs="Times New Roman"/>
          <w:b/>
          <w:bCs/>
          <w:spacing w:val="-1"/>
          <w:sz w:val="16"/>
          <w:szCs w:val="16"/>
        </w:rPr>
        <w:t xml:space="preserve"> </w:t>
      </w:r>
      <w:r>
        <w:rPr>
          <w:rFonts w:ascii="Times New Roman" w:hAnsi="Times New Roman" w:cs="Times New Roman"/>
          <w:sz w:val="16"/>
          <w:szCs w:val="16"/>
        </w:rPr>
        <w:t>of</w:t>
      </w:r>
      <w:r>
        <w:rPr>
          <w:rFonts w:ascii="Times New Roman" w:hAnsi="Times New Roman" w:cs="Times New Roman"/>
          <w:spacing w:val="-1"/>
          <w:sz w:val="16"/>
          <w:szCs w:val="16"/>
        </w:rPr>
        <w:t xml:space="preserve"> </w:t>
      </w:r>
      <w:r>
        <w:rPr>
          <w:rFonts w:ascii="Times New Roman" w:hAnsi="Times New Roman" w:cs="Times New Roman"/>
          <w:b/>
          <w:bCs/>
          <w:sz w:val="16"/>
          <w:szCs w:val="16"/>
        </w:rPr>
        <w:t>2</w:t>
      </w:r>
      <w:r>
        <w:rPr>
          <w:rFonts w:ascii="Times New Roman" w:hAnsi="Times New Roman" w:cs="Times New Roman"/>
          <w:b/>
          <w:bCs/>
          <w:sz w:val="16"/>
          <w:szCs w:val="16"/>
        </w:rPr>
        <w:tab/>
      </w:r>
      <w:r>
        <w:rPr>
          <w:rFonts w:ascii="Times New Roman" w:hAnsi="Times New Roman" w:cs="Times New Roman"/>
          <w:i/>
          <w:iCs/>
          <w:sz w:val="16"/>
          <w:szCs w:val="16"/>
        </w:rPr>
        <w:t>July 19,</w:t>
      </w:r>
      <w:r>
        <w:rPr>
          <w:rFonts w:ascii="Times New Roman" w:hAnsi="Times New Roman" w:cs="Times New Roman"/>
          <w:i/>
          <w:iCs/>
          <w:spacing w:val="-5"/>
          <w:sz w:val="16"/>
          <w:szCs w:val="16"/>
        </w:rPr>
        <w:t xml:space="preserve"> </w:t>
      </w:r>
      <w:r>
        <w:rPr>
          <w:rFonts w:ascii="Times New Roman" w:hAnsi="Times New Roman" w:cs="Times New Roman"/>
          <w:i/>
          <w:iCs/>
          <w:sz w:val="16"/>
          <w:szCs w:val="16"/>
        </w:rPr>
        <w:t>2016</w:t>
      </w:r>
    </w:p>
    <w:p w:rsidR="002C5025" w:rsidRDefault="002C5025">
      <w:pPr>
        <w:pStyle w:val="BodyText"/>
        <w:tabs>
          <w:tab w:val="left" w:pos="10233"/>
        </w:tabs>
        <w:kinsoku w:val="0"/>
        <w:overflowPunct w:val="0"/>
        <w:spacing w:before="50"/>
        <w:ind w:left="5337"/>
        <w:rPr>
          <w:rFonts w:ascii="Times New Roman" w:hAnsi="Times New Roman" w:cs="Times New Roman"/>
          <w:i/>
          <w:iCs/>
          <w:sz w:val="16"/>
          <w:szCs w:val="16"/>
        </w:rPr>
        <w:sectPr w:rsidR="002C5025">
          <w:type w:val="continuous"/>
          <w:pgSz w:w="12240" w:h="15840"/>
          <w:pgMar w:top="720" w:right="600" w:bottom="280" w:left="420" w:header="720" w:footer="720" w:gutter="0"/>
          <w:cols w:space="720"/>
          <w:noEndnote/>
        </w:sectPr>
      </w:pPr>
    </w:p>
    <w:tbl>
      <w:tblPr>
        <w:tblW w:w="0" w:type="auto"/>
        <w:tblInd w:w="120" w:type="dxa"/>
        <w:tblLayout w:type="fixed"/>
        <w:tblCellMar>
          <w:left w:w="0" w:type="dxa"/>
          <w:right w:w="0" w:type="dxa"/>
        </w:tblCellMar>
        <w:tblLook w:val="0000" w:firstRow="0" w:lastRow="0" w:firstColumn="0" w:lastColumn="0" w:noHBand="0" w:noVBand="0"/>
      </w:tblPr>
      <w:tblGrid>
        <w:gridCol w:w="1767"/>
        <w:gridCol w:w="7725"/>
      </w:tblGrid>
      <w:tr w:rsidR="002C5025">
        <w:trPr>
          <w:trHeight w:hRule="exact" w:val="240"/>
        </w:trPr>
        <w:tc>
          <w:tcPr>
            <w:tcW w:w="1767"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rPr>
                <w:rFonts w:ascii="Times New Roman" w:hAnsi="Times New Roman" w:cs="Times New Roman"/>
              </w:rPr>
            </w:pPr>
            <w:r>
              <w:rPr>
                <w:rFonts w:ascii="Times New Roman" w:hAnsi="Times New Roman" w:cs="Times New Roman"/>
                <w:w w:val="99"/>
                <w:sz w:val="20"/>
                <w:szCs w:val="20"/>
              </w:rPr>
              <w:lastRenderedPageBreak/>
              <w:t>T</w:t>
            </w:r>
          </w:p>
        </w:tc>
        <w:tc>
          <w:tcPr>
            <w:tcW w:w="772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MA Association of Community Health Workers – Oral Comments</w:t>
            </w:r>
          </w:p>
        </w:tc>
      </w:tr>
      <w:tr w:rsidR="002C5025">
        <w:trPr>
          <w:trHeight w:hRule="exact" w:val="240"/>
        </w:trPr>
        <w:tc>
          <w:tcPr>
            <w:tcW w:w="1767"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rPr>
                <w:rFonts w:ascii="Times New Roman" w:hAnsi="Times New Roman" w:cs="Times New Roman"/>
              </w:rPr>
            </w:pPr>
            <w:r>
              <w:rPr>
                <w:rFonts w:ascii="Times New Roman" w:hAnsi="Times New Roman" w:cs="Times New Roman"/>
                <w:w w:val="99"/>
                <w:sz w:val="20"/>
                <w:szCs w:val="20"/>
              </w:rPr>
              <w:t>T</w:t>
            </w:r>
          </w:p>
        </w:tc>
        <w:tc>
          <w:tcPr>
            <w:tcW w:w="772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MA Hospital Association – Oral Comments</w:t>
            </w:r>
          </w:p>
        </w:tc>
      </w:tr>
      <w:tr w:rsidR="000F3942">
        <w:trPr>
          <w:trHeight w:hRule="exact" w:val="240"/>
        </w:trPr>
        <w:tc>
          <w:tcPr>
            <w:tcW w:w="1767" w:type="dxa"/>
            <w:tcBorders>
              <w:top w:val="single" w:sz="4" w:space="0" w:color="000000"/>
              <w:left w:val="single" w:sz="4" w:space="0" w:color="000000"/>
              <w:bottom w:val="single" w:sz="4" w:space="0" w:color="000000"/>
              <w:right w:val="single" w:sz="4" w:space="0" w:color="000000"/>
            </w:tcBorders>
          </w:tcPr>
          <w:p w:rsidR="000F3942" w:rsidRDefault="000F3942">
            <w:pPr>
              <w:pStyle w:val="TableParagraph"/>
              <w:kinsoku w:val="0"/>
              <w:overflowPunct w:val="0"/>
              <w:spacing w:line="223" w:lineRule="exact"/>
              <w:ind w:right="273"/>
              <w:rPr>
                <w:rFonts w:ascii="Times New Roman" w:hAnsi="Times New Roman" w:cs="Times New Roman"/>
                <w:sz w:val="20"/>
                <w:szCs w:val="20"/>
              </w:rPr>
            </w:pPr>
            <w:r>
              <w:rPr>
                <w:rFonts w:ascii="Times New Roman" w:hAnsi="Times New Roman" w:cs="Times New Roman"/>
                <w:sz w:val="20"/>
                <w:szCs w:val="20"/>
              </w:rPr>
              <w:t>237</w:t>
            </w:r>
          </w:p>
        </w:tc>
        <w:tc>
          <w:tcPr>
            <w:tcW w:w="7725" w:type="dxa"/>
            <w:tcBorders>
              <w:top w:val="single" w:sz="4" w:space="0" w:color="000000"/>
              <w:left w:val="single" w:sz="4" w:space="0" w:color="000000"/>
              <w:bottom w:val="single" w:sz="4" w:space="0" w:color="000000"/>
              <w:right w:val="single" w:sz="4" w:space="0" w:color="000000"/>
            </w:tcBorders>
          </w:tcPr>
          <w:p w:rsidR="000F3942" w:rsidRDefault="000F3942">
            <w:pPr>
              <w:pStyle w:val="TableParagraph"/>
              <w:kinsoku w:val="0"/>
              <w:overflowPunct w:val="0"/>
              <w:spacing w:line="223" w:lineRule="exact"/>
              <w:ind w:right="822"/>
              <w:rPr>
                <w:rFonts w:ascii="Times New Roman" w:hAnsi="Times New Roman" w:cs="Times New Roman"/>
                <w:sz w:val="20"/>
                <w:szCs w:val="20"/>
              </w:rPr>
            </w:pPr>
            <w:r>
              <w:rPr>
                <w:rFonts w:ascii="Times New Roman" w:hAnsi="Times New Roman" w:cs="Times New Roman"/>
                <w:sz w:val="20"/>
                <w:szCs w:val="20"/>
              </w:rPr>
              <w:t>Mass Home Care June 24, 2016</w:t>
            </w:r>
          </w:p>
        </w:tc>
      </w:tr>
      <w:tr w:rsidR="002C5025">
        <w:trPr>
          <w:trHeight w:hRule="exact" w:val="240"/>
        </w:trPr>
        <w:tc>
          <w:tcPr>
            <w:tcW w:w="1767" w:type="dxa"/>
            <w:tcBorders>
              <w:top w:val="single" w:sz="4" w:space="0" w:color="000000"/>
              <w:left w:val="single" w:sz="4" w:space="0" w:color="000000"/>
              <w:bottom w:val="single" w:sz="4" w:space="0" w:color="000000"/>
              <w:right w:val="single" w:sz="4" w:space="0" w:color="000000"/>
            </w:tcBorders>
          </w:tcPr>
          <w:p w:rsidR="002C5025" w:rsidRDefault="000F3942">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246</w:t>
            </w:r>
          </w:p>
        </w:tc>
        <w:tc>
          <w:tcPr>
            <w:tcW w:w="772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Mass Home Care</w:t>
            </w:r>
            <w:r w:rsidR="000F3942">
              <w:rPr>
                <w:rFonts w:ascii="Times New Roman" w:hAnsi="Times New Roman" w:cs="Times New Roman"/>
                <w:sz w:val="20"/>
                <w:szCs w:val="20"/>
              </w:rPr>
              <w:t xml:space="preserve"> June 27, 2016</w:t>
            </w:r>
          </w:p>
        </w:tc>
      </w:tr>
      <w:tr w:rsidR="002C5025">
        <w:trPr>
          <w:trHeight w:hRule="exact" w:val="240"/>
        </w:trPr>
        <w:tc>
          <w:tcPr>
            <w:tcW w:w="1767" w:type="dxa"/>
            <w:tcBorders>
              <w:top w:val="single" w:sz="4" w:space="0" w:color="000000"/>
              <w:left w:val="single" w:sz="4" w:space="0" w:color="000000"/>
              <w:bottom w:val="single" w:sz="4" w:space="0" w:color="000000"/>
              <w:right w:val="single" w:sz="4" w:space="0" w:color="000000"/>
            </w:tcBorders>
          </w:tcPr>
          <w:p w:rsidR="002C5025" w:rsidRDefault="000F3942">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259</w:t>
            </w:r>
          </w:p>
        </w:tc>
        <w:tc>
          <w:tcPr>
            <w:tcW w:w="772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Massachusetts Association of Behavioral Health Systems (MABHS)</w:t>
            </w:r>
          </w:p>
        </w:tc>
      </w:tr>
      <w:tr w:rsidR="002C5025">
        <w:trPr>
          <w:trHeight w:hRule="exact" w:val="240"/>
        </w:trPr>
        <w:tc>
          <w:tcPr>
            <w:tcW w:w="1767"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rPr>
                <w:rFonts w:ascii="Times New Roman" w:hAnsi="Times New Roman" w:cs="Times New Roman"/>
              </w:rPr>
            </w:pPr>
            <w:r>
              <w:rPr>
                <w:rFonts w:ascii="Times New Roman" w:hAnsi="Times New Roman" w:cs="Times New Roman"/>
                <w:w w:val="99"/>
                <w:sz w:val="20"/>
                <w:szCs w:val="20"/>
              </w:rPr>
              <w:t>T</w:t>
            </w:r>
          </w:p>
        </w:tc>
        <w:tc>
          <w:tcPr>
            <w:tcW w:w="772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Massachusetts Association of Behavioral Health Systems  - Oral Comments</w:t>
            </w:r>
          </w:p>
        </w:tc>
      </w:tr>
      <w:tr w:rsidR="002C5025">
        <w:trPr>
          <w:trHeight w:hRule="exact" w:val="240"/>
        </w:trPr>
        <w:tc>
          <w:tcPr>
            <w:tcW w:w="1767" w:type="dxa"/>
            <w:tcBorders>
              <w:top w:val="single" w:sz="4" w:space="0" w:color="000000"/>
              <w:left w:val="single" w:sz="4" w:space="0" w:color="000000"/>
              <w:bottom w:val="single" w:sz="4" w:space="0" w:color="000000"/>
              <w:right w:val="single" w:sz="4" w:space="0" w:color="000000"/>
            </w:tcBorders>
          </w:tcPr>
          <w:p w:rsidR="002C5025" w:rsidRDefault="000F3942">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261</w:t>
            </w:r>
          </w:p>
        </w:tc>
        <w:tc>
          <w:tcPr>
            <w:tcW w:w="772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Massachusetts Association of Community Health Workers (MACHW)</w:t>
            </w:r>
          </w:p>
        </w:tc>
      </w:tr>
      <w:tr w:rsidR="002C5025">
        <w:trPr>
          <w:trHeight w:hRule="exact" w:val="240"/>
        </w:trPr>
        <w:tc>
          <w:tcPr>
            <w:tcW w:w="1767" w:type="dxa"/>
            <w:tcBorders>
              <w:top w:val="single" w:sz="4" w:space="0" w:color="000000"/>
              <w:left w:val="single" w:sz="4" w:space="0" w:color="000000"/>
              <w:bottom w:val="single" w:sz="4" w:space="0" w:color="000000"/>
              <w:right w:val="single" w:sz="4" w:space="0" w:color="000000"/>
            </w:tcBorders>
          </w:tcPr>
          <w:p w:rsidR="002C5025" w:rsidRDefault="000F3942">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262</w:t>
            </w:r>
          </w:p>
        </w:tc>
        <w:tc>
          <w:tcPr>
            <w:tcW w:w="772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Mass. Association of Health Plans (MAHP)</w:t>
            </w:r>
          </w:p>
        </w:tc>
      </w:tr>
      <w:tr w:rsidR="002C5025">
        <w:trPr>
          <w:trHeight w:hRule="exact" w:val="240"/>
        </w:trPr>
        <w:tc>
          <w:tcPr>
            <w:tcW w:w="1767" w:type="dxa"/>
            <w:tcBorders>
              <w:top w:val="single" w:sz="4" w:space="0" w:color="000000"/>
              <w:left w:val="single" w:sz="4" w:space="0" w:color="000000"/>
              <w:bottom w:val="single" w:sz="4" w:space="0" w:color="000000"/>
              <w:right w:val="single" w:sz="4" w:space="0" w:color="000000"/>
            </w:tcBorders>
          </w:tcPr>
          <w:p w:rsidR="002C5025" w:rsidRDefault="000F3942">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266</w:t>
            </w:r>
          </w:p>
        </w:tc>
        <w:tc>
          <w:tcPr>
            <w:tcW w:w="772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Mass. Chapter American Academy of Pediatrics</w:t>
            </w:r>
          </w:p>
        </w:tc>
      </w:tr>
      <w:tr w:rsidR="002C5025">
        <w:trPr>
          <w:trHeight w:hRule="exact" w:val="240"/>
        </w:trPr>
        <w:tc>
          <w:tcPr>
            <w:tcW w:w="1767"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rPr>
                <w:rFonts w:ascii="Times New Roman" w:hAnsi="Times New Roman" w:cs="Times New Roman"/>
              </w:rPr>
            </w:pPr>
            <w:r>
              <w:rPr>
                <w:rFonts w:ascii="Times New Roman" w:hAnsi="Times New Roman" w:cs="Times New Roman"/>
                <w:w w:val="99"/>
                <w:sz w:val="20"/>
                <w:szCs w:val="20"/>
              </w:rPr>
              <w:t>T</w:t>
            </w:r>
          </w:p>
        </w:tc>
        <w:tc>
          <w:tcPr>
            <w:tcW w:w="772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Massachusetts Comprehensive Assessment Profile – Oral Comments</w:t>
            </w:r>
          </w:p>
        </w:tc>
      </w:tr>
      <w:tr w:rsidR="002C5025">
        <w:trPr>
          <w:trHeight w:hRule="exact" w:val="240"/>
        </w:trPr>
        <w:tc>
          <w:tcPr>
            <w:tcW w:w="1767" w:type="dxa"/>
            <w:tcBorders>
              <w:top w:val="single" w:sz="4" w:space="0" w:color="000000"/>
              <w:left w:val="single" w:sz="4" w:space="0" w:color="000000"/>
              <w:bottom w:val="single" w:sz="4" w:space="0" w:color="000000"/>
              <w:right w:val="single" w:sz="4" w:space="0" w:color="000000"/>
            </w:tcBorders>
          </w:tcPr>
          <w:p w:rsidR="002C5025" w:rsidRDefault="000F3942">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272</w:t>
            </w:r>
          </w:p>
        </w:tc>
        <w:tc>
          <w:tcPr>
            <w:tcW w:w="772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Mass. Dental Society</w:t>
            </w:r>
          </w:p>
        </w:tc>
      </w:tr>
      <w:tr w:rsidR="002C5025">
        <w:trPr>
          <w:trHeight w:hRule="exact" w:val="240"/>
        </w:trPr>
        <w:tc>
          <w:tcPr>
            <w:tcW w:w="1767" w:type="dxa"/>
            <w:tcBorders>
              <w:top w:val="single" w:sz="4" w:space="0" w:color="000000"/>
              <w:left w:val="single" w:sz="4" w:space="0" w:color="000000"/>
              <w:bottom w:val="single" w:sz="4" w:space="0" w:color="000000"/>
              <w:right w:val="single" w:sz="4" w:space="0" w:color="000000"/>
            </w:tcBorders>
          </w:tcPr>
          <w:p w:rsidR="002C5025" w:rsidRDefault="000F3942">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274</w:t>
            </w:r>
          </w:p>
        </w:tc>
        <w:tc>
          <w:tcPr>
            <w:tcW w:w="772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Mass. General Hospital for Children, Dept. of Pediatrics (MGH Pediatrics)</w:t>
            </w:r>
          </w:p>
        </w:tc>
      </w:tr>
      <w:tr w:rsidR="002C5025">
        <w:trPr>
          <w:trHeight w:hRule="exact" w:val="240"/>
        </w:trPr>
        <w:tc>
          <w:tcPr>
            <w:tcW w:w="1767"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rPr>
                <w:rFonts w:ascii="Times New Roman" w:hAnsi="Times New Roman" w:cs="Times New Roman"/>
              </w:rPr>
            </w:pPr>
            <w:r>
              <w:rPr>
                <w:rFonts w:ascii="Times New Roman" w:hAnsi="Times New Roman" w:cs="Times New Roman"/>
                <w:w w:val="99"/>
                <w:sz w:val="20"/>
                <w:szCs w:val="20"/>
              </w:rPr>
              <w:t>T</w:t>
            </w:r>
          </w:p>
        </w:tc>
        <w:tc>
          <w:tcPr>
            <w:tcW w:w="772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Mass Home Care (testified at both hearings) – Oral Comments</w:t>
            </w:r>
          </w:p>
        </w:tc>
      </w:tr>
      <w:tr w:rsidR="002C5025">
        <w:trPr>
          <w:trHeight w:hRule="exact" w:val="240"/>
        </w:trPr>
        <w:tc>
          <w:tcPr>
            <w:tcW w:w="1767" w:type="dxa"/>
            <w:tcBorders>
              <w:top w:val="single" w:sz="4" w:space="0" w:color="000000"/>
              <w:left w:val="single" w:sz="4" w:space="0" w:color="000000"/>
              <w:bottom w:val="single" w:sz="4" w:space="0" w:color="000000"/>
              <w:right w:val="single" w:sz="4" w:space="0" w:color="000000"/>
            </w:tcBorders>
          </w:tcPr>
          <w:p w:rsidR="002C5025" w:rsidRDefault="000F3942">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277</w:t>
            </w:r>
          </w:p>
        </w:tc>
        <w:tc>
          <w:tcPr>
            <w:tcW w:w="772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Mass. Hospital Association</w:t>
            </w:r>
          </w:p>
        </w:tc>
      </w:tr>
      <w:tr w:rsidR="002C5025">
        <w:trPr>
          <w:trHeight w:hRule="exact" w:val="240"/>
        </w:trPr>
        <w:tc>
          <w:tcPr>
            <w:tcW w:w="1767" w:type="dxa"/>
            <w:tcBorders>
              <w:top w:val="single" w:sz="4" w:space="0" w:color="000000"/>
              <w:left w:val="single" w:sz="4" w:space="0" w:color="000000"/>
              <w:bottom w:val="single" w:sz="4" w:space="0" w:color="000000"/>
              <w:right w:val="single" w:sz="4" w:space="0" w:color="000000"/>
            </w:tcBorders>
          </w:tcPr>
          <w:p w:rsidR="002C5025" w:rsidRDefault="000F3942">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284</w:t>
            </w:r>
          </w:p>
        </w:tc>
        <w:tc>
          <w:tcPr>
            <w:tcW w:w="772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Mass. Housing</w:t>
            </w:r>
          </w:p>
        </w:tc>
      </w:tr>
      <w:tr w:rsidR="002C5025">
        <w:trPr>
          <w:trHeight w:hRule="exact" w:val="240"/>
        </w:trPr>
        <w:tc>
          <w:tcPr>
            <w:tcW w:w="1767" w:type="dxa"/>
            <w:tcBorders>
              <w:top w:val="single" w:sz="4" w:space="0" w:color="000000"/>
              <w:left w:val="single" w:sz="4" w:space="0" w:color="000000"/>
              <w:bottom w:val="single" w:sz="4" w:space="0" w:color="000000"/>
              <w:right w:val="single" w:sz="4" w:space="0" w:color="000000"/>
            </w:tcBorders>
          </w:tcPr>
          <w:p w:rsidR="002C5025" w:rsidRDefault="000F3942">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286</w:t>
            </w:r>
          </w:p>
        </w:tc>
        <w:tc>
          <w:tcPr>
            <w:tcW w:w="772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Massachusetts Housing and Shelter Alliance (MHSA)</w:t>
            </w:r>
          </w:p>
        </w:tc>
      </w:tr>
      <w:tr w:rsidR="002C5025">
        <w:trPr>
          <w:trHeight w:hRule="exact" w:val="240"/>
        </w:trPr>
        <w:tc>
          <w:tcPr>
            <w:tcW w:w="1767"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rPr>
                <w:rFonts w:ascii="Times New Roman" w:hAnsi="Times New Roman" w:cs="Times New Roman"/>
              </w:rPr>
            </w:pPr>
            <w:r>
              <w:rPr>
                <w:rFonts w:ascii="Times New Roman" w:hAnsi="Times New Roman" w:cs="Times New Roman"/>
                <w:w w:val="99"/>
                <w:sz w:val="20"/>
                <w:szCs w:val="20"/>
              </w:rPr>
              <w:t>T</w:t>
            </w:r>
          </w:p>
        </w:tc>
        <w:tc>
          <w:tcPr>
            <w:tcW w:w="772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Massachusetts Housing and Shelter Alliance – Oral Comments</w:t>
            </w:r>
          </w:p>
        </w:tc>
      </w:tr>
      <w:tr w:rsidR="002C5025">
        <w:trPr>
          <w:trHeight w:hRule="exact" w:val="240"/>
        </w:trPr>
        <w:tc>
          <w:tcPr>
            <w:tcW w:w="1767" w:type="dxa"/>
            <w:tcBorders>
              <w:top w:val="single" w:sz="4" w:space="0" w:color="000000"/>
              <w:left w:val="single" w:sz="4" w:space="0" w:color="000000"/>
              <w:bottom w:val="single" w:sz="4" w:space="0" w:color="000000"/>
              <w:right w:val="single" w:sz="4" w:space="0" w:color="000000"/>
            </w:tcBorders>
          </w:tcPr>
          <w:p w:rsidR="002C5025" w:rsidRDefault="000F3942">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288</w:t>
            </w:r>
          </w:p>
        </w:tc>
        <w:tc>
          <w:tcPr>
            <w:tcW w:w="772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Mass. Law Reform Institute (MLRI)</w:t>
            </w:r>
          </w:p>
        </w:tc>
      </w:tr>
      <w:tr w:rsidR="002C5025">
        <w:trPr>
          <w:trHeight w:hRule="exact" w:val="240"/>
        </w:trPr>
        <w:tc>
          <w:tcPr>
            <w:tcW w:w="1767" w:type="dxa"/>
            <w:tcBorders>
              <w:top w:val="single" w:sz="4" w:space="0" w:color="000000"/>
              <w:left w:val="single" w:sz="4" w:space="0" w:color="000000"/>
              <w:bottom w:val="single" w:sz="4" w:space="0" w:color="000000"/>
              <w:right w:val="single" w:sz="4" w:space="0" w:color="000000"/>
            </w:tcBorders>
          </w:tcPr>
          <w:p w:rsidR="002C5025" w:rsidRDefault="000F3942">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296</w:t>
            </w:r>
          </w:p>
        </w:tc>
        <w:tc>
          <w:tcPr>
            <w:tcW w:w="772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Mass. League of Community Health Centers (MLCHC)</w:t>
            </w:r>
          </w:p>
        </w:tc>
      </w:tr>
      <w:tr w:rsidR="002C5025">
        <w:trPr>
          <w:trHeight w:hRule="exact" w:val="240"/>
        </w:trPr>
        <w:tc>
          <w:tcPr>
            <w:tcW w:w="1767"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rPr>
                <w:rFonts w:ascii="Times New Roman" w:hAnsi="Times New Roman" w:cs="Times New Roman"/>
              </w:rPr>
            </w:pPr>
            <w:r>
              <w:rPr>
                <w:rFonts w:ascii="Times New Roman" w:hAnsi="Times New Roman" w:cs="Times New Roman"/>
                <w:w w:val="99"/>
                <w:sz w:val="20"/>
                <w:szCs w:val="20"/>
              </w:rPr>
              <w:t>T</w:t>
            </w:r>
          </w:p>
        </w:tc>
        <w:tc>
          <w:tcPr>
            <w:tcW w:w="772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Mass League of Community Health Centers – Oral Comments</w:t>
            </w:r>
          </w:p>
        </w:tc>
      </w:tr>
      <w:tr w:rsidR="002C5025">
        <w:trPr>
          <w:trHeight w:hRule="exact" w:val="240"/>
        </w:trPr>
        <w:tc>
          <w:tcPr>
            <w:tcW w:w="1767" w:type="dxa"/>
            <w:tcBorders>
              <w:top w:val="single" w:sz="4" w:space="0" w:color="000000"/>
              <w:left w:val="single" w:sz="4" w:space="0" w:color="000000"/>
              <w:bottom w:val="single" w:sz="4" w:space="0" w:color="000000"/>
              <w:right w:val="single" w:sz="4" w:space="0" w:color="000000"/>
            </w:tcBorders>
          </w:tcPr>
          <w:p w:rsidR="002C5025" w:rsidRDefault="000F3942">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300</w:t>
            </w:r>
          </w:p>
        </w:tc>
        <w:tc>
          <w:tcPr>
            <w:tcW w:w="772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Massachusetts Medicaid Policy Institute (MMPI)</w:t>
            </w:r>
          </w:p>
        </w:tc>
      </w:tr>
      <w:tr w:rsidR="002C5025">
        <w:trPr>
          <w:trHeight w:hRule="exact" w:val="240"/>
        </w:trPr>
        <w:tc>
          <w:tcPr>
            <w:tcW w:w="1767"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rPr>
                <w:rFonts w:ascii="Times New Roman" w:hAnsi="Times New Roman" w:cs="Times New Roman"/>
              </w:rPr>
            </w:pPr>
            <w:r>
              <w:rPr>
                <w:rFonts w:ascii="Times New Roman" w:hAnsi="Times New Roman" w:cs="Times New Roman"/>
                <w:w w:val="99"/>
                <w:sz w:val="20"/>
                <w:szCs w:val="20"/>
              </w:rPr>
              <w:t>T</w:t>
            </w:r>
          </w:p>
        </w:tc>
        <w:tc>
          <w:tcPr>
            <w:tcW w:w="772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Massachusetts Medicaid Policy Institute – Oral Comments</w:t>
            </w:r>
          </w:p>
        </w:tc>
      </w:tr>
      <w:tr w:rsidR="002C5025">
        <w:trPr>
          <w:trHeight w:hRule="exact" w:val="240"/>
        </w:trPr>
        <w:tc>
          <w:tcPr>
            <w:tcW w:w="1767" w:type="dxa"/>
            <w:tcBorders>
              <w:top w:val="single" w:sz="4" w:space="0" w:color="000000"/>
              <w:left w:val="single" w:sz="4" w:space="0" w:color="000000"/>
              <w:bottom w:val="single" w:sz="4" w:space="0" w:color="000000"/>
              <w:right w:val="single" w:sz="4" w:space="0" w:color="000000"/>
            </w:tcBorders>
          </w:tcPr>
          <w:p w:rsidR="002C5025" w:rsidRDefault="000F3942">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303</w:t>
            </w:r>
          </w:p>
        </w:tc>
        <w:tc>
          <w:tcPr>
            <w:tcW w:w="772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Mass. Medical Society</w:t>
            </w:r>
          </w:p>
        </w:tc>
      </w:tr>
      <w:tr w:rsidR="002C5025">
        <w:trPr>
          <w:trHeight w:hRule="exact" w:val="240"/>
        </w:trPr>
        <w:tc>
          <w:tcPr>
            <w:tcW w:w="1767"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rPr>
                <w:rFonts w:ascii="Times New Roman" w:hAnsi="Times New Roman" w:cs="Times New Roman"/>
              </w:rPr>
            </w:pPr>
            <w:r>
              <w:rPr>
                <w:rFonts w:ascii="Times New Roman" w:hAnsi="Times New Roman" w:cs="Times New Roman"/>
                <w:w w:val="99"/>
                <w:sz w:val="20"/>
                <w:szCs w:val="20"/>
              </w:rPr>
              <w:t>T</w:t>
            </w:r>
          </w:p>
        </w:tc>
        <w:tc>
          <w:tcPr>
            <w:tcW w:w="772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Mass. Medical Society – Oral Comments</w:t>
            </w:r>
          </w:p>
        </w:tc>
      </w:tr>
      <w:tr w:rsidR="002C5025">
        <w:trPr>
          <w:trHeight w:hRule="exact" w:val="240"/>
        </w:trPr>
        <w:tc>
          <w:tcPr>
            <w:tcW w:w="1767" w:type="dxa"/>
            <w:tcBorders>
              <w:top w:val="single" w:sz="4" w:space="0" w:color="000000"/>
              <w:left w:val="single" w:sz="4" w:space="0" w:color="000000"/>
              <w:bottom w:val="single" w:sz="4" w:space="0" w:color="000000"/>
              <w:right w:val="single" w:sz="4" w:space="0" w:color="000000"/>
            </w:tcBorders>
          </w:tcPr>
          <w:p w:rsidR="002C5025" w:rsidRDefault="000F3942">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308</w:t>
            </w:r>
          </w:p>
        </w:tc>
        <w:tc>
          <w:tcPr>
            <w:tcW w:w="772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Massachusetts Neuropsychological Society</w:t>
            </w:r>
          </w:p>
        </w:tc>
      </w:tr>
      <w:tr w:rsidR="002C5025">
        <w:trPr>
          <w:trHeight w:hRule="exact" w:val="240"/>
        </w:trPr>
        <w:tc>
          <w:tcPr>
            <w:tcW w:w="1767" w:type="dxa"/>
            <w:tcBorders>
              <w:top w:val="single" w:sz="4" w:space="0" w:color="000000"/>
              <w:left w:val="single" w:sz="4" w:space="0" w:color="000000"/>
              <w:bottom w:val="single" w:sz="4" w:space="0" w:color="000000"/>
              <w:right w:val="single" w:sz="4" w:space="0" w:color="000000"/>
            </w:tcBorders>
          </w:tcPr>
          <w:p w:rsidR="002C5025" w:rsidRDefault="000F3942">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310</w:t>
            </w:r>
          </w:p>
        </w:tc>
        <w:tc>
          <w:tcPr>
            <w:tcW w:w="772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Massachusetts Organization for Addiction Recovery (MOAR)</w:t>
            </w:r>
          </w:p>
        </w:tc>
      </w:tr>
      <w:tr w:rsidR="002C5025">
        <w:trPr>
          <w:trHeight w:hRule="exact" w:val="240"/>
        </w:trPr>
        <w:tc>
          <w:tcPr>
            <w:tcW w:w="1767" w:type="dxa"/>
            <w:tcBorders>
              <w:top w:val="single" w:sz="4" w:space="0" w:color="000000"/>
              <w:left w:val="single" w:sz="4" w:space="0" w:color="000000"/>
              <w:bottom w:val="single" w:sz="4" w:space="0" w:color="000000"/>
              <w:right w:val="single" w:sz="4" w:space="0" w:color="000000"/>
            </w:tcBorders>
          </w:tcPr>
          <w:p w:rsidR="002C5025" w:rsidRDefault="000F3942">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315</w:t>
            </w:r>
          </w:p>
        </w:tc>
        <w:tc>
          <w:tcPr>
            <w:tcW w:w="772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Mass. Public Health Association</w:t>
            </w:r>
          </w:p>
        </w:tc>
      </w:tr>
      <w:tr w:rsidR="002C5025">
        <w:trPr>
          <w:trHeight w:hRule="exact" w:val="240"/>
        </w:trPr>
        <w:tc>
          <w:tcPr>
            <w:tcW w:w="1767" w:type="dxa"/>
            <w:tcBorders>
              <w:top w:val="single" w:sz="4" w:space="0" w:color="000000"/>
              <w:left w:val="single" w:sz="4" w:space="0" w:color="000000"/>
              <w:bottom w:val="single" w:sz="4" w:space="0" w:color="000000"/>
              <w:right w:val="single" w:sz="4" w:space="0" w:color="000000"/>
            </w:tcBorders>
          </w:tcPr>
          <w:p w:rsidR="002C5025" w:rsidRDefault="000F3942">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321</w:t>
            </w:r>
          </w:p>
        </w:tc>
        <w:tc>
          <w:tcPr>
            <w:tcW w:w="772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Mass. Society of Optometrists</w:t>
            </w:r>
          </w:p>
        </w:tc>
      </w:tr>
      <w:tr w:rsidR="002C5025">
        <w:trPr>
          <w:trHeight w:hRule="exact" w:val="240"/>
        </w:trPr>
        <w:tc>
          <w:tcPr>
            <w:tcW w:w="1767" w:type="dxa"/>
            <w:tcBorders>
              <w:top w:val="single" w:sz="4" w:space="0" w:color="000000"/>
              <w:left w:val="single" w:sz="4" w:space="0" w:color="000000"/>
              <w:bottom w:val="single" w:sz="4" w:space="0" w:color="000000"/>
              <w:right w:val="single" w:sz="4" w:space="0" w:color="000000"/>
            </w:tcBorders>
          </w:tcPr>
          <w:p w:rsidR="002C5025" w:rsidRDefault="000F3942">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323</w:t>
            </w:r>
          </w:p>
        </w:tc>
        <w:tc>
          <w:tcPr>
            <w:tcW w:w="772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Medical Legal Partnership Boston</w:t>
            </w:r>
          </w:p>
        </w:tc>
      </w:tr>
      <w:tr w:rsidR="002C5025">
        <w:trPr>
          <w:trHeight w:hRule="exact" w:val="240"/>
        </w:trPr>
        <w:tc>
          <w:tcPr>
            <w:tcW w:w="1767" w:type="dxa"/>
            <w:tcBorders>
              <w:top w:val="single" w:sz="4" w:space="0" w:color="000000"/>
              <w:left w:val="single" w:sz="4" w:space="0" w:color="000000"/>
              <w:bottom w:val="single" w:sz="4" w:space="0" w:color="000000"/>
              <w:right w:val="single" w:sz="4" w:space="0" w:color="000000"/>
            </w:tcBorders>
          </w:tcPr>
          <w:p w:rsidR="002C5025" w:rsidRDefault="000F3942">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325</w:t>
            </w:r>
          </w:p>
        </w:tc>
        <w:tc>
          <w:tcPr>
            <w:tcW w:w="772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Mental Health Legal Advisors Committee</w:t>
            </w:r>
          </w:p>
        </w:tc>
      </w:tr>
      <w:tr w:rsidR="002C5025">
        <w:trPr>
          <w:trHeight w:hRule="exact" w:val="240"/>
        </w:trPr>
        <w:tc>
          <w:tcPr>
            <w:tcW w:w="1767" w:type="dxa"/>
            <w:tcBorders>
              <w:top w:val="single" w:sz="4" w:space="0" w:color="000000"/>
              <w:left w:val="single" w:sz="4" w:space="0" w:color="000000"/>
              <w:bottom w:val="single" w:sz="4" w:space="0" w:color="000000"/>
              <w:right w:val="single" w:sz="4" w:space="0" w:color="000000"/>
            </w:tcBorders>
          </w:tcPr>
          <w:p w:rsidR="002C5025" w:rsidRDefault="000F3942">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343</w:t>
            </w:r>
          </w:p>
        </w:tc>
        <w:tc>
          <w:tcPr>
            <w:tcW w:w="772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New England College of Optometry</w:t>
            </w:r>
          </w:p>
        </w:tc>
      </w:tr>
      <w:tr w:rsidR="002C5025">
        <w:trPr>
          <w:trHeight w:hRule="exact" w:val="240"/>
        </w:trPr>
        <w:tc>
          <w:tcPr>
            <w:tcW w:w="1767" w:type="dxa"/>
            <w:tcBorders>
              <w:top w:val="single" w:sz="4" w:space="0" w:color="000000"/>
              <w:left w:val="single" w:sz="4" w:space="0" w:color="000000"/>
              <w:bottom w:val="single" w:sz="4" w:space="0" w:color="000000"/>
              <w:right w:val="single" w:sz="4" w:space="0" w:color="000000"/>
            </w:tcBorders>
          </w:tcPr>
          <w:p w:rsidR="002C5025" w:rsidRDefault="000F3942">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345</w:t>
            </w:r>
          </w:p>
        </w:tc>
        <w:tc>
          <w:tcPr>
            <w:tcW w:w="772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On Solid Ground</w:t>
            </w:r>
          </w:p>
        </w:tc>
      </w:tr>
      <w:tr w:rsidR="002C5025">
        <w:trPr>
          <w:trHeight w:hRule="exact" w:val="240"/>
        </w:trPr>
        <w:tc>
          <w:tcPr>
            <w:tcW w:w="1767" w:type="dxa"/>
            <w:tcBorders>
              <w:top w:val="single" w:sz="4" w:space="0" w:color="000000"/>
              <w:left w:val="single" w:sz="4" w:space="0" w:color="000000"/>
              <w:bottom w:val="single" w:sz="4" w:space="0" w:color="000000"/>
              <w:right w:val="single" w:sz="4" w:space="0" w:color="000000"/>
            </w:tcBorders>
          </w:tcPr>
          <w:p w:rsidR="002C5025" w:rsidRDefault="000F3942">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347</w:t>
            </w:r>
          </w:p>
        </w:tc>
        <w:tc>
          <w:tcPr>
            <w:tcW w:w="772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Oral Health Integration Project (OHIP)</w:t>
            </w:r>
          </w:p>
        </w:tc>
      </w:tr>
      <w:tr w:rsidR="002C5025">
        <w:trPr>
          <w:trHeight w:hRule="exact" w:val="240"/>
        </w:trPr>
        <w:tc>
          <w:tcPr>
            <w:tcW w:w="1767"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rPr>
                <w:rFonts w:ascii="Times New Roman" w:hAnsi="Times New Roman" w:cs="Times New Roman"/>
              </w:rPr>
            </w:pPr>
            <w:r>
              <w:rPr>
                <w:rFonts w:ascii="Times New Roman" w:hAnsi="Times New Roman" w:cs="Times New Roman"/>
                <w:w w:val="99"/>
                <w:sz w:val="20"/>
                <w:szCs w:val="20"/>
              </w:rPr>
              <w:t>T</w:t>
            </w:r>
          </w:p>
        </w:tc>
        <w:tc>
          <w:tcPr>
            <w:tcW w:w="772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Oral Health Integration Project – Oral Comments</w:t>
            </w:r>
          </w:p>
        </w:tc>
      </w:tr>
      <w:tr w:rsidR="002C5025">
        <w:trPr>
          <w:trHeight w:hRule="exact" w:val="240"/>
        </w:trPr>
        <w:tc>
          <w:tcPr>
            <w:tcW w:w="1767" w:type="dxa"/>
            <w:tcBorders>
              <w:top w:val="single" w:sz="4" w:space="0" w:color="000000"/>
              <w:left w:val="single" w:sz="4" w:space="0" w:color="000000"/>
              <w:bottom w:val="single" w:sz="4" w:space="0" w:color="000000"/>
              <w:right w:val="single" w:sz="4" w:space="0" w:color="000000"/>
            </w:tcBorders>
          </w:tcPr>
          <w:p w:rsidR="002C5025" w:rsidRDefault="000F3942">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357</w:t>
            </w:r>
          </w:p>
        </w:tc>
        <w:tc>
          <w:tcPr>
            <w:tcW w:w="772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Partners HealthCare</w:t>
            </w:r>
          </w:p>
        </w:tc>
      </w:tr>
      <w:tr w:rsidR="002C5025">
        <w:trPr>
          <w:trHeight w:hRule="exact" w:val="240"/>
        </w:trPr>
        <w:tc>
          <w:tcPr>
            <w:tcW w:w="1767" w:type="dxa"/>
            <w:tcBorders>
              <w:top w:val="single" w:sz="4" w:space="0" w:color="000000"/>
              <w:left w:val="single" w:sz="4" w:space="0" w:color="000000"/>
              <w:bottom w:val="single" w:sz="4" w:space="0" w:color="000000"/>
              <w:right w:val="single" w:sz="4" w:space="0" w:color="000000"/>
            </w:tcBorders>
          </w:tcPr>
          <w:p w:rsidR="002C5025" w:rsidRDefault="000F3942">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360</w:t>
            </w:r>
          </w:p>
        </w:tc>
        <w:tc>
          <w:tcPr>
            <w:tcW w:w="772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Pediatric Associates of Greater Salem, Mark W. McKenna, CFO</w:t>
            </w:r>
          </w:p>
        </w:tc>
      </w:tr>
      <w:tr w:rsidR="002C5025">
        <w:trPr>
          <w:trHeight w:hRule="exact" w:val="240"/>
        </w:trPr>
        <w:tc>
          <w:tcPr>
            <w:tcW w:w="1767" w:type="dxa"/>
            <w:tcBorders>
              <w:top w:val="single" w:sz="4" w:space="0" w:color="000000"/>
              <w:left w:val="single" w:sz="4" w:space="0" w:color="000000"/>
              <w:bottom w:val="single" w:sz="4" w:space="0" w:color="000000"/>
              <w:right w:val="single" w:sz="4" w:space="0" w:color="000000"/>
            </w:tcBorders>
          </w:tcPr>
          <w:p w:rsidR="002C5025" w:rsidRDefault="000F3942">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364</w:t>
            </w:r>
          </w:p>
        </w:tc>
        <w:tc>
          <w:tcPr>
            <w:tcW w:w="772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Pine Street Inn</w:t>
            </w:r>
          </w:p>
        </w:tc>
      </w:tr>
      <w:tr w:rsidR="002C5025">
        <w:trPr>
          <w:trHeight w:hRule="exact" w:val="240"/>
        </w:trPr>
        <w:tc>
          <w:tcPr>
            <w:tcW w:w="1767"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rPr>
                <w:rFonts w:ascii="Times New Roman" w:hAnsi="Times New Roman" w:cs="Times New Roman"/>
              </w:rPr>
            </w:pPr>
            <w:r>
              <w:rPr>
                <w:rFonts w:ascii="Times New Roman" w:hAnsi="Times New Roman" w:cs="Times New Roman"/>
                <w:w w:val="99"/>
                <w:sz w:val="20"/>
                <w:szCs w:val="20"/>
              </w:rPr>
              <w:t>T</w:t>
            </w:r>
          </w:p>
        </w:tc>
        <w:tc>
          <w:tcPr>
            <w:tcW w:w="772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Pine Street Inn – Oral Comments</w:t>
            </w:r>
          </w:p>
        </w:tc>
      </w:tr>
      <w:tr w:rsidR="002C5025">
        <w:trPr>
          <w:trHeight w:hRule="exact" w:val="240"/>
        </w:trPr>
        <w:tc>
          <w:tcPr>
            <w:tcW w:w="1767" w:type="dxa"/>
            <w:tcBorders>
              <w:top w:val="single" w:sz="4" w:space="0" w:color="000000"/>
              <w:left w:val="single" w:sz="4" w:space="0" w:color="000000"/>
              <w:bottom w:val="single" w:sz="4" w:space="0" w:color="000000"/>
              <w:right w:val="single" w:sz="4" w:space="0" w:color="000000"/>
            </w:tcBorders>
          </w:tcPr>
          <w:p w:rsidR="002C5025" w:rsidRDefault="000F3942">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370</w:t>
            </w:r>
          </w:p>
        </w:tc>
        <w:tc>
          <w:tcPr>
            <w:tcW w:w="772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Planned Parenthood League of Mass.</w:t>
            </w:r>
          </w:p>
        </w:tc>
      </w:tr>
      <w:tr w:rsidR="002C5025">
        <w:trPr>
          <w:trHeight w:hRule="exact" w:val="240"/>
        </w:trPr>
        <w:tc>
          <w:tcPr>
            <w:tcW w:w="1767" w:type="dxa"/>
            <w:tcBorders>
              <w:top w:val="single" w:sz="4" w:space="0" w:color="000000"/>
              <w:left w:val="single" w:sz="4" w:space="0" w:color="000000"/>
              <w:bottom w:val="single" w:sz="4" w:space="0" w:color="000000"/>
              <w:right w:val="single" w:sz="4" w:space="0" w:color="000000"/>
            </w:tcBorders>
          </w:tcPr>
          <w:p w:rsidR="002C5025" w:rsidRDefault="000F3942">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374</w:t>
            </w:r>
          </w:p>
        </w:tc>
        <w:tc>
          <w:tcPr>
            <w:tcW w:w="772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Rep. Liz Malia</w:t>
            </w:r>
          </w:p>
        </w:tc>
      </w:tr>
      <w:tr w:rsidR="002C5025">
        <w:trPr>
          <w:trHeight w:hRule="exact" w:val="240"/>
        </w:trPr>
        <w:tc>
          <w:tcPr>
            <w:tcW w:w="1767" w:type="dxa"/>
            <w:tcBorders>
              <w:top w:val="single" w:sz="4" w:space="0" w:color="000000"/>
              <w:left w:val="single" w:sz="4" w:space="0" w:color="000000"/>
              <w:bottom w:val="single" w:sz="4" w:space="0" w:color="000000"/>
              <w:right w:val="single" w:sz="4" w:space="0" w:color="000000"/>
            </w:tcBorders>
          </w:tcPr>
          <w:p w:rsidR="002C5025" w:rsidRDefault="000F3942">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375</w:t>
            </w:r>
          </w:p>
        </w:tc>
        <w:tc>
          <w:tcPr>
            <w:tcW w:w="772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proofErr w:type="spellStart"/>
            <w:r>
              <w:rPr>
                <w:rFonts w:ascii="Times New Roman" w:hAnsi="Times New Roman" w:cs="Times New Roman"/>
                <w:sz w:val="20"/>
                <w:szCs w:val="20"/>
              </w:rPr>
              <w:t>SeniorLink</w:t>
            </w:r>
            <w:proofErr w:type="spellEnd"/>
          </w:p>
        </w:tc>
      </w:tr>
      <w:tr w:rsidR="002C5025">
        <w:trPr>
          <w:trHeight w:hRule="exact" w:val="240"/>
        </w:trPr>
        <w:tc>
          <w:tcPr>
            <w:tcW w:w="1767" w:type="dxa"/>
            <w:tcBorders>
              <w:top w:val="single" w:sz="4" w:space="0" w:color="000000"/>
              <w:left w:val="single" w:sz="4" w:space="0" w:color="000000"/>
              <w:bottom w:val="single" w:sz="4" w:space="0" w:color="000000"/>
              <w:right w:val="single" w:sz="4" w:space="0" w:color="000000"/>
            </w:tcBorders>
          </w:tcPr>
          <w:p w:rsidR="002C5025" w:rsidRDefault="000F3942">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379</w:t>
            </w:r>
          </w:p>
        </w:tc>
        <w:tc>
          <w:tcPr>
            <w:tcW w:w="772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 xml:space="preserve">Sheriff Peter </w:t>
            </w:r>
            <w:proofErr w:type="spellStart"/>
            <w:r>
              <w:rPr>
                <w:rFonts w:ascii="Times New Roman" w:hAnsi="Times New Roman" w:cs="Times New Roman"/>
                <w:sz w:val="20"/>
                <w:szCs w:val="20"/>
              </w:rPr>
              <w:t>Koutoujian</w:t>
            </w:r>
            <w:proofErr w:type="spellEnd"/>
          </w:p>
        </w:tc>
      </w:tr>
      <w:tr w:rsidR="002C5025">
        <w:trPr>
          <w:trHeight w:hRule="exact" w:val="240"/>
        </w:trPr>
        <w:tc>
          <w:tcPr>
            <w:tcW w:w="1767"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rPr>
                <w:rFonts w:ascii="Times New Roman" w:hAnsi="Times New Roman" w:cs="Times New Roman"/>
              </w:rPr>
            </w:pPr>
            <w:r>
              <w:rPr>
                <w:rFonts w:ascii="Times New Roman" w:hAnsi="Times New Roman" w:cs="Times New Roman"/>
                <w:w w:val="99"/>
                <w:sz w:val="20"/>
                <w:szCs w:val="20"/>
              </w:rPr>
              <w:t>T</w:t>
            </w:r>
          </w:p>
        </w:tc>
        <w:tc>
          <w:tcPr>
            <w:tcW w:w="772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Steward Healthcare – Oral Comments</w:t>
            </w:r>
          </w:p>
        </w:tc>
      </w:tr>
      <w:tr w:rsidR="002C5025">
        <w:trPr>
          <w:trHeight w:hRule="exact" w:val="240"/>
        </w:trPr>
        <w:tc>
          <w:tcPr>
            <w:tcW w:w="1767" w:type="dxa"/>
            <w:tcBorders>
              <w:top w:val="single" w:sz="4" w:space="0" w:color="000000"/>
              <w:left w:val="single" w:sz="4" w:space="0" w:color="000000"/>
              <w:bottom w:val="single" w:sz="4" w:space="0" w:color="000000"/>
              <w:right w:val="single" w:sz="4" w:space="0" w:color="000000"/>
            </w:tcBorders>
          </w:tcPr>
          <w:p w:rsidR="002C5025" w:rsidRDefault="000F3942">
            <w:pPr>
              <w:pStyle w:val="TableParagraph"/>
              <w:kinsoku w:val="0"/>
              <w:overflowPunct w:val="0"/>
              <w:spacing w:line="223" w:lineRule="exact"/>
              <w:ind w:right="273"/>
              <w:rPr>
                <w:rFonts w:ascii="Times New Roman" w:hAnsi="Times New Roman" w:cs="Times New Roman"/>
              </w:rPr>
            </w:pPr>
            <w:r>
              <w:rPr>
                <w:rFonts w:ascii="Times New Roman" w:hAnsi="Times New Roman" w:cs="Times New Roman"/>
                <w:sz w:val="20"/>
                <w:szCs w:val="20"/>
              </w:rPr>
              <w:t>395</w:t>
            </w:r>
          </w:p>
        </w:tc>
        <w:tc>
          <w:tcPr>
            <w:tcW w:w="772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Steward Health Care Systems</w:t>
            </w:r>
          </w:p>
        </w:tc>
      </w:tr>
      <w:tr w:rsidR="002C5025">
        <w:trPr>
          <w:trHeight w:hRule="exact" w:val="240"/>
        </w:trPr>
        <w:tc>
          <w:tcPr>
            <w:tcW w:w="1767"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rPr>
                <w:rFonts w:ascii="Times New Roman" w:hAnsi="Times New Roman" w:cs="Times New Roman"/>
              </w:rPr>
            </w:pPr>
            <w:r>
              <w:rPr>
                <w:rFonts w:ascii="Times New Roman" w:hAnsi="Times New Roman" w:cs="Times New Roman"/>
                <w:w w:val="99"/>
                <w:sz w:val="20"/>
                <w:szCs w:val="20"/>
              </w:rPr>
              <w:t>T</w:t>
            </w:r>
          </w:p>
        </w:tc>
        <w:tc>
          <w:tcPr>
            <w:tcW w:w="772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The Transformation Center – Oral Comments</w:t>
            </w:r>
          </w:p>
        </w:tc>
      </w:tr>
      <w:tr w:rsidR="002C5025">
        <w:trPr>
          <w:trHeight w:hRule="exact" w:val="240"/>
        </w:trPr>
        <w:tc>
          <w:tcPr>
            <w:tcW w:w="1767"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rPr>
                <w:rFonts w:ascii="Times New Roman" w:hAnsi="Times New Roman" w:cs="Times New Roman"/>
              </w:rPr>
            </w:pPr>
            <w:r>
              <w:rPr>
                <w:rFonts w:ascii="Times New Roman" w:hAnsi="Times New Roman" w:cs="Times New Roman"/>
                <w:w w:val="99"/>
                <w:sz w:val="20"/>
                <w:szCs w:val="20"/>
              </w:rPr>
              <w:t>T</w:t>
            </w:r>
          </w:p>
        </w:tc>
        <w:tc>
          <w:tcPr>
            <w:tcW w:w="772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23" w:lineRule="exact"/>
              <w:ind w:right="822"/>
              <w:rPr>
                <w:rFonts w:ascii="Times New Roman" w:hAnsi="Times New Roman" w:cs="Times New Roman"/>
              </w:rPr>
            </w:pPr>
            <w:r>
              <w:rPr>
                <w:rFonts w:ascii="Times New Roman" w:hAnsi="Times New Roman" w:cs="Times New Roman"/>
                <w:sz w:val="20"/>
                <w:szCs w:val="20"/>
              </w:rPr>
              <w:t>Unidentified participant – Oral Comments</w:t>
            </w:r>
          </w:p>
        </w:tc>
      </w:tr>
    </w:tbl>
    <w:p w:rsidR="002C5025" w:rsidRDefault="002C5025">
      <w:pPr>
        <w:pStyle w:val="BodyText"/>
        <w:kinsoku w:val="0"/>
        <w:overflowPunct w:val="0"/>
        <w:rPr>
          <w:rFonts w:ascii="Times New Roman" w:hAnsi="Times New Roman" w:cs="Times New Roman"/>
          <w:i/>
          <w:iCs/>
          <w:sz w:val="20"/>
          <w:szCs w:val="20"/>
        </w:rPr>
      </w:pPr>
    </w:p>
    <w:p w:rsidR="002C5025" w:rsidRDefault="002C5025">
      <w:pPr>
        <w:pStyle w:val="BodyText"/>
        <w:kinsoku w:val="0"/>
        <w:overflowPunct w:val="0"/>
        <w:rPr>
          <w:rFonts w:ascii="Times New Roman" w:hAnsi="Times New Roman" w:cs="Times New Roman"/>
          <w:i/>
          <w:iCs/>
          <w:sz w:val="20"/>
          <w:szCs w:val="20"/>
        </w:rPr>
      </w:pPr>
    </w:p>
    <w:p w:rsidR="002C5025" w:rsidRDefault="002C5025">
      <w:pPr>
        <w:pStyle w:val="BodyText"/>
        <w:kinsoku w:val="0"/>
        <w:overflowPunct w:val="0"/>
        <w:rPr>
          <w:rFonts w:ascii="Times New Roman" w:hAnsi="Times New Roman" w:cs="Times New Roman"/>
          <w:i/>
          <w:iCs/>
          <w:sz w:val="20"/>
          <w:szCs w:val="20"/>
        </w:rPr>
      </w:pPr>
    </w:p>
    <w:p w:rsidR="002C5025" w:rsidRDefault="002C5025">
      <w:pPr>
        <w:pStyle w:val="BodyText"/>
        <w:kinsoku w:val="0"/>
        <w:overflowPunct w:val="0"/>
        <w:rPr>
          <w:rFonts w:ascii="Times New Roman" w:hAnsi="Times New Roman" w:cs="Times New Roman"/>
          <w:i/>
          <w:iCs/>
          <w:sz w:val="20"/>
          <w:szCs w:val="20"/>
        </w:rPr>
      </w:pPr>
    </w:p>
    <w:p w:rsidR="002C5025" w:rsidRDefault="002C5025">
      <w:pPr>
        <w:pStyle w:val="BodyText"/>
        <w:kinsoku w:val="0"/>
        <w:overflowPunct w:val="0"/>
        <w:rPr>
          <w:rFonts w:ascii="Times New Roman" w:hAnsi="Times New Roman" w:cs="Times New Roman"/>
          <w:i/>
          <w:iCs/>
          <w:sz w:val="20"/>
          <w:szCs w:val="20"/>
        </w:rPr>
      </w:pPr>
    </w:p>
    <w:p w:rsidR="002C5025" w:rsidRDefault="002C5025">
      <w:pPr>
        <w:pStyle w:val="BodyText"/>
        <w:kinsoku w:val="0"/>
        <w:overflowPunct w:val="0"/>
        <w:rPr>
          <w:rFonts w:ascii="Times New Roman" w:hAnsi="Times New Roman" w:cs="Times New Roman"/>
          <w:i/>
          <w:iCs/>
          <w:sz w:val="20"/>
          <w:szCs w:val="20"/>
        </w:rPr>
      </w:pPr>
    </w:p>
    <w:p w:rsidR="002C5025" w:rsidRDefault="002C5025">
      <w:pPr>
        <w:pStyle w:val="BodyText"/>
        <w:kinsoku w:val="0"/>
        <w:overflowPunct w:val="0"/>
        <w:rPr>
          <w:rFonts w:ascii="Times New Roman" w:hAnsi="Times New Roman" w:cs="Times New Roman"/>
          <w:i/>
          <w:iCs/>
          <w:sz w:val="20"/>
          <w:szCs w:val="20"/>
        </w:rPr>
      </w:pPr>
    </w:p>
    <w:p w:rsidR="002C5025" w:rsidRDefault="002C5025">
      <w:pPr>
        <w:pStyle w:val="BodyText"/>
        <w:kinsoku w:val="0"/>
        <w:overflowPunct w:val="0"/>
        <w:rPr>
          <w:rFonts w:ascii="Times New Roman" w:hAnsi="Times New Roman" w:cs="Times New Roman"/>
          <w:i/>
          <w:iCs/>
          <w:sz w:val="20"/>
          <w:szCs w:val="20"/>
        </w:rPr>
      </w:pPr>
    </w:p>
    <w:p w:rsidR="002C5025" w:rsidRDefault="002C5025">
      <w:pPr>
        <w:pStyle w:val="BodyText"/>
        <w:kinsoku w:val="0"/>
        <w:overflowPunct w:val="0"/>
        <w:rPr>
          <w:rFonts w:ascii="Times New Roman" w:hAnsi="Times New Roman" w:cs="Times New Roman"/>
          <w:i/>
          <w:iCs/>
          <w:sz w:val="20"/>
          <w:szCs w:val="20"/>
        </w:rPr>
      </w:pPr>
    </w:p>
    <w:p w:rsidR="002C5025" w:rsidRDefault="002C5025">
      <w:pPr>
        <w:pStyle w:val="BodyText"/>
        <w:kinsoku w:val="0"/>
        <w:overflowPunct w:val="0"/>
        <w:rPr>
          <w:rFonts w:ascii="Times New Roman" w:hAnsi="Times New Roman" w:cs="Times New Roman"/>
          <w:i/>
          <w:iCs/>
          <w:sz w:val="20"/>
          <w:szCs w:val="20"/>
        </w:rPr>
      </w:pPr>
    </w:p>
    <w:p w:rsidR="002C5025" w:rsidRDefault="002C5025">
      <w:pPr>
        <w:pStyle w:val="BodyText"/>
        <w:kinsoku w:val="0"/>
        <w:overflowPunct w:val="0"/>
        <w:rPr>
          <w:rFonts w:ascii="Times New Roman" w:hAnsi="Times New Roman" w:cs="Times New Roman"/>
          <w:i/>
          <w:iCs/>
          <w:sz w:val="20"/>
          <w:szCs w:val="20"/>
        </w:rPr>
      </w:pPr>
    </w:p>
    <w:p w:rsidR="002C5025" w:rsidRDefault="002C5025">
      <w:pPr>
        <w:pStyle w:val="BodyText"/>
        <w:kinsoku w:val="0"/>
        <w:overflowPunct w:val="0"/>
        <w:rPr>
          <w:rFonts w:ascii="Times New Roman" w:hAnsi="Times New Roman" w:cs="Times New Roman"/>
          <w:i/>
          <w:iCs/>
          <w:sz w:val="20"/>
          <w:szCs w:val="20"/>
        </w:rPr>
      </w:pPr>
    </w:p>
    <w:p w:rsidR="002C5025" w:rsidRDefault="002C5025">
      <w:pPr>
        <w:pStyle w:val="BodyText"/>
        <w:kinsoku w:val="0"/>
        <w:overflowPunct w:val="0"/>
        <w:rPr>
          <w:rFonts w:ascii="Times New Roman" w:hAnsi="Times New Roman" w:cs="Times New Roman"/>
          <w:i/>
          <w:iCs/>
          <w:sz w:val="20"/>
          <w:szCs w:val="20"/>
        </w:rPr>
      </w:pPr>
    </w:p>
    <w:p w:rsidR="002C5025" w:rsidRDefault="002C5025">
      <w:pPr>
        <w:pStyle w:val="BodyText"/>
        <w:kinsoku w:val="0"/>
        <w:overflowPunct w:val="0"/>
        <w:spacing w:before="8"/>
        <w:rPr>
          <w:rFonts w:ascii="Times New Roman" w:hAnsi="Times New Roman" w:cs="Times New Roman"/>
          <w:i/>
          <w:iCs/>
          <w:sz w:val="28"/>
          <w:szCs w:val="28"/>
        </w:rPr>
      </w:pPr>
    </w:p>
    <w:p w:rsidR="002C5025" w:rsidRDefault="002C5025">
      <w:pPr>
        <w:pStyle w:val="BodyText"/>
        <w:tabs>
          <w:tab w:val="left" w:pos="10233"/>
        </w:tabs>
        <w:kinsoku w:val="0"/>
        <w:overflowPunct w:val="0"/>
        <w:spacing w:before="80"/>
        <w:ind w:left="5337"/>
        <w:rPr>
          <w:rFonts w:ascii="Times New Roman" w:hAnsi="Times New Roman" w:cs="Times New Roman"/>
          <w:i/>
          <w:iCs/>
          <w:sz w:val="16"/>
          <w:szCs w:val="16"/>
        </w:rPr>
      </w:pPr>
      <w:r>
        <w:rPr>
          <w:rFonts w:ascii="Times New Roman" w:hAnsi="Times New Roman" w:cs="Times New Roman"/>
          <w:sz w:val="16"/>
          <w:szCs w:val="16"/>
        </w:rPr>
        <w:t xml:space="preserve">Page </w:t>
      </w:r>
      <w:r>
        <w:rPr>
          <w:rFonts w:ascii="Times New Roman" w:hAnsi="Times New Roman" w:cs="Times New Roman"/>
          <w:b/>
          <w:bCs/>
          <w:sz w:val="16"/>
          <w:szCs w:val="16"/>
        </w:rPr>
        <w:t>2</w:t>
      </w:r>
      <w:r>
        <w:rPr>
          <w:rFonts w:ascii="Times New Roman" w:hAnsi="Times New Roman" w:cs="Times New Roman"/>
          <w:b/>
          <w:bCs/>
          <w:spacing w:val="-1"/>
          <w:sz w:val="16"/>
          <w:szCs w:val="16"/>
        </w:rPr>
        <w:t xml:space="preserve"> </w:t>
      </w:r>
      <w:r>
        <w:rPr>
          <w:rFonts w:ascii="Times New Roman" w:hAnsi="Times New Roman" w:cs="Times New Roman"/>
          <w:sz w:val="16"/>
          <w:szCs w:val="16"/>
        </w:rPr>
        <w:t>of</w:t>
      </w:r>
      <w:r>
        <w:rPr>
          <w:rFonts w:ascii="Times New Roman" w:hAnsi="Times New Roman" w:cs="Times New Roman"/>
          <w:spacing w:val="-1"/>
          <w:sz w:val="16"/>
          <w:szCs w:val="16"/>
        </w:rPr>
        <w:t xml:space="preserve"> </w:t>
      </w:r>
      <w:r>
        <w:rPr>
          <w:rFonts w:ascii="Times New Roman" w:hAnsi="Times New Roman" w:cs="Times New Roman"/>
          <w:b/>
          <w:bCs/>
          <w:sz w:val="16"/>
          <w:szCs w:val="16"/>
        </w:rPr>
        <w:t>2</w:t>
      </w:r>
      <w:r>
        <w:rPr>
          <w:rFonts w:ascii="Times New Roman" w:hAnsi="Times New Roman" w:cs="Times New Roman"/>
          <w:b/>
          <w:bCs/>
          <w:sz w:val="16"/>
          <w:szCs w:val="16"/>
        </w:rPr>
        <w:tab/>
      </w:r>
      <w:r>
        <w:rPr>
          <w:rFonts w:ascii="Times New Roman" w:hAnsi="Times New Roman" w:cs="Times New Roman"/>
          <w:i/>
          <w:iCs/>
          <w:sz w:val="16"/>
          <w:szCs w:val="16"/>
        </w:rPr>
        <w:t>July 19,</w:t>
      </w:r>
      <w:r>
        <w:rPr>
          <w:rFonts w:ascii="Times New Roman" w:hAnsi="Times New Roman" w:cs="Times New Roman"/>
          <w:i/>
          <w:iCs/>
          <w:spacing w:val="-5"/>
          <w:sz w:val="16"/>
          <w:szCs w:val="16"/>
        </w:rPr>
        <w:t xml:space="preserve"> </w:t>
      </w:r>
      <w:r>
        <w:rPr>
          <w:rFonts w:ascii="Times New Roman" w:hAnsi="Times New Roman" w:cs="Times New Roman"/>
          <w:i/>
          <w:iCs/>
          <w:sz w:val="16"/>
          <w:szCs w:val="16"/>
        </w:rPr>
        <w:t>2016</w:t>
      </w:r>
    </w:p>
    <w:p w:rsidR="002C5025" w:rsidRDefault="002C5025">
      <w:pPr>
        <w:pStyle w:val="BodyText"/>
        <w:tabs>
          <w:tab w:val="left" w:pos="10233"/>
        </w:tabs>
        <w:kinsoku w:val="0"/>
        <w:overflowPunct w:val="0"/>
        <w:spacing w:before="80"/>
        <w:ind w:left="5337"/>
        <w:rPr>
          <w:rFonts w:ascii="Times New Roman" w:hAnsi="Times New Roman" w:cs="Times New Roman"/>
          <w:i/>
          <w:iCs/>
          <w:sz w:val="16"/>
          <w:szCs w:val="16"/>
        </w:rPr>
        <w:sectPr w:rsidR="002C5025">
          <w:pgSz w:w="12240" w:h="15840"/>
          <w:pgMar w:top="720" w:right="600" w:bottom="280" w:left="420" w:header="720" w:footer="720" w:gutter="0"/>
          <w:cols w:space="720"/>
          <w:noEndnote/>
        </w:sectPr>
      </w:pPr>
    </w:p>
    <w:p w:rsidR="002C5025" w:rsidRDefault="002C5025">
      <w:pPr>
        <w:pStyle w:val="BodyText"/>
        <w:kinsoku w:val="0"/>
        <w:overflowPunct w:val="0"/>
        <w:spacing w:before="4" w:line="703" w:lineRule="exact"/>
        <w:ind w:left="3345" w:right="998"/>
        <w:rPr>
          <w:rFonts w:ascii="Arial" w:hAnsi="Arial" w:cs="Arial"/>
          <w:b/>
          <w:bCs/>
          <w:i/>
          <w:iCs/>
          <w:color w:val="373737"/>
          <w:sz w:val="64"/>
          <w:szCs w:val="64"/>
        </w:rPr>
      </w:pPr>
      <w:bookmarkStart w:id="1" w:name="Compiled_Comments_7-22-16"/>
      <w:bookmarkStart w:id="2" w:name="SEIU_excerpt_submitted_testimony_6_27_16"/>
      <w:bookmarkEnd w:id="1"/>
      <w:bookmarkEnd w:id="2"/>
      <w:r>
        <w:rPr>
          <w:rFonts w:ascii="Arial" w:hAnsi="Arial" w:cs="Arial"/>
          <w:b/>
          <w:bCs/>
          <w:i/>
          <w:iCs/>
          <w:color w:val="373737"/>
          <w:sz w:val="64"/>
          <w:szCs w:val="64"/>
        </w:rPr>
        <w:lastRenderedPageBreak/>
        <w:t>1199SEIU</w:t>
      </w:r>
    </w:p>
    <w:p w:rsidR="002C5025" w:rsidRDefault="002C5025">
      <w:pPr>
        <w:pStyle w:val="BodyText"/>
        <w:kinsoku w:val="0"/>
        <w:overflowPunct w:val="0"/>
        <w:spacing w:line="232" w:lineRule="exact"/>
        <w:ind w:left="3384" w:right="998"/>
        <w:rPr>
          <w:rFonts w:ascii="Arial" w:hAnsi="Arial" w:cs="Arial"/>
          <w:color w:val="474747"/>
          <w:sz w:val="23"/>
          <w:szCs w:val="23"/>
        </w:rPr>
      </w:pPr>
      <w:r>
        <w:rPr>
          <w:rFonts w:ascii="Arial" w:hAnsi="Arial" w:cs="Arial"/>
          <w:color w:val="5B5B5B"/>
          <w:sz w:val="19"/>
          <w:szCs w:val="19"/>
        </w:rPr>
        <w:t>Un</w:t>
      </w:r>
      <w:r>
        <w:rPr>
          <w:rFonts w:ascii="Arial" w:hAnsi="Arial" w:cs="Arial"/>
          <w:color w:val="787878"/>
          <w:sz w:val="19"/>
          <w:szCs w:val="19"/>
        </w:rPr>
        <w:t>i</w:t>
      </w:r>
      <w:r>
        <w:rPr>
          <w:rFonts w:ascii="Arial" w:hAnsi="Arial" w:cs="Arial"/>
          <w:color w:val="474747"/>
          <w:sz w:val="19"/>
          <w:szCs w:val="19"/>
        </w:rPr>
        <w:t xml:space="preserve">ted </w:t>
      </w:r>
      <w:r>
        <w:rPr>
          <w:rFonts w:ascii="Arial" w:hAnsi="Arial" w:cs="Arial"/>
          <w:color w:val="5B5B5B"/>
          <w:sz w:val="23"/>
          <w:szCs w:val="23"/>
        </w:rPr>
        <w:t>Healthcare Worke</w:t>
      </w:r>
      <w:r>
        <w:rPr>
          <w:rFonts w:ascii="Arial" w:hAnsi="Arial" w:cs="Arial"/>
          <w:color w:val="787878"/>
          <w:sz w:val="23"/>
          <w:szCs w:val="23"/>
        </w:rPr>
        <w:t>r</w:t>
      </w:r>
      <w:r>
        <w:rPr>
          <w:rFonts w:ascii="Arial" w:hAnsi="Arial" w:cs="Arial"/>
          <w:color w:val="5B5B5B"/>
          <w:sz w:val="23"/>
          <w:szCs w:val="23"/>
        </w:rPr>
        <w:t xml:space="preserve">s </w:t>
      </w:r>
      <w:r>
        <w:rPr>
          <w:rFonts w:ascii="Arial" w:hAnsi="Arial" w:cs="Arial"/>
          <w:color w:val="474747"/>
          <w:sz w:val="23"/>
          <w:szCs w:val="23"/>
        </w:rPr>
        <w:t>East</w:t>
      </w:r>
    </w:p>
    <w:p w:rsidR="002C5025" w:rsidRDefault="002C5025">
      <w:pPr>
        <w:pStyle w:val="BodyText"/>
        <w:kinsoku w:val="0"/>
        <w:overflowPunct w:val="0"/>
        <w:rPr>
          <w:rFonts w:ascii="Arial" w:hAnsi="Arial" w:cs="Arial"/>
        </w:rPr>
      </w:pPr>
    </w:p>
    <w:p w:rsidR="002C5025" w:rsidRDefault="002C5025">
      <w:pPr>
        <w:pStyle w:val="BodyText"/>
        <w:kinsoku w:val="0"/>
        <w:overflowPunct w:val="0"/>
        <w:rPr>
          <w:rFonts w:ascii="Arial" w:hAnsi="Arial" w:cs="Arial"/>
        </w:rPr>
      </w:pPr>
    </w:p>
    <w:p w:rsidR="002C5025" w:rsidRDefault="00FB027C">
      <w:pPr>
        <w:pStyle w:val="BodyText"/>
        <w:kinsoku w:val="0"/>
        <w:overflowPunct w:val="0"/>
        <w:spacing w:before="143"/>
        <w:ind w:left="110" w:right="998"/>
        <w:rPr>
          <w:rFonts w:ascii="Arial" w:hAnsi="Arial" w:cs="Arial"/>
          <w:b/>
          <w:bCs/>
          <w:color w:val="373737"/>
          <w:sz w:val="19"/>
          <w:szCs w:val="19"/>
        </w:rPr>
      </w:pPr>
      <w:r>
        <w:rPr>
          <w:noProof/>
        </w:rPr>
        <mc:AlternateContent>
          <mc:Choice Requires="wps">
            <w:drawing>
              <wp:anchor distT="0" distB="0" distL="114300" distR="114300" simplePos="0" relativeHeight="251449856" behindDoc="1" locked="0" layoutInCell="0" allowOverlap="1">
                <wp:simplePos x="0" y="0"/>
                <wp:positionH relativeFrom="page">
                  <wp:posOffset>4010660</wp:posOffset>
                </wp:positionH>
                <wp:positionV relativeFrom="paragraph">
                  <wp:posOffset>222250</wp:posOffset>
                </wp:positionV>
                <wp:extent cx="33655" cy="12700"/>
                <wp:effectExtent l="0" t="0" r="0" b="0"/>
                <wp:wrapNone/>
                <wp:docPr id="102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655" cy="12700"/>
                        </a:xfrm>
                        <a:custGeom>
                          <a:avLst/>
                          <a:gdLst>
                            <a:gd name="T0" fmla="*/ 0 w 53"/>
                            <a:gd name="T1" fmla="*/ 0 h 20"/>
                            <a:gd name="T2" fmla="*/ 52 w 53"/>
                            <a:gd name="T3" fmla="*/ 0 h 20"/>
                          </a:gdLst>
                          <a:ahLst/>
                          <a:cxnLst>
                            <a:cxn ang="0">
                              <a:pos x="T0" y="T1"/>
                            </a:cxn>
                            <a:cxn ang="0">
                              <a:pos x="T2" y="T3"/>
                            </a:cxn>
                          </a:cxnLst>
                          <a:rect l="0" t="0" r="r" b="b"/>
                          <a:pathLst>
                            <a:path w="53" h="20">
                              <a:moveTo>
                                <a:pt x="0" y="0"/>
                              </a:moveTo>
                              <a:lnTo>
                                <a:pt x="52" y="0"/>
                              </a:lnTo>
                            </a:path>
                          </a:pathLst>
                        </a:custGeom>
                        <a:noFill/>
                        <a:ln w="12192">
                          <a:solidFill>
                            <a:srgbClr val="5B5B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 o:spid="_x0000_s1026" style="position:absolute;z-index:-251866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15.8pt,17.5pt,318.4pt,17.5pt" coordsize="5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" o:allowincell="f" filled="f" strokecolor="#5b5b5b" strokeweight=".96pt">
                <v:path arrowok="t" o:connecttype="custom" o:connectlocs="0,0;33020,0" o:connectangles="0,0"/>
                <w10:wrap anchorx="page"/>
              </v:polyline>
            </w:pict>
          </mc:Fallback>
        </mc:AlternateContent>
      </w:r>
      <w:r w:rsidR="002C5025">
        <w:rPr>
          <w:rFonts w:ascii="Arial" w:hAnsi="Arial" w:cs="Arial"/>
          <w:b/>
          <w:bCs/>
          <w:color w:val="1F1F1F"/>
          <w:sz w:val="19"/>
          <w:szCs w:val="19"/>
          <w:u w:val="single"/>
        </w:rPr>
        <w:t xml:space="preserve">Independent Long </w:t>
      </w:r>
      <w:r w:rsidR="002C5025">
        <w:rPr>
          <w:rFonts w:ascii="Arial" w:hAnsi="Arial" w:cs="Arial"/>
          <w:b/>
          <w:bCs/>
          <w:color w:val="373737"/>
          <w:sz w:val="19"/>
          <w:szCs w:val="19"/>
          <w:u w:val="single"/>
        </w:rPr>
        <w:t>Term Supports an</w:t>
      </w:r>
      <w:r w:rsidR="002C5025">
        <w:rPr>
          <w:rFonts w:ascii="Arial" w:hAnsi="Arial" w:cs="Arial"/>
          <w:b/>
          <w:bCs/>
          <w:color w:val="0B0B0B"/>
          <w:sz w:val="19"/>
          <w:szCs w:val="19"/>
          <w:u w:val="single"/>
        </w:rPr>
        <w:t xml:space="preserve">d </w:t>
      </w:r>
      <w:r w:rsidR="002C5025">
        <w:rPr>
          <w:rFonts w:ascii="Arial" w:hAnsi="Arial" w:cs="Arial"/>
          <w:b/>
          <w:bCs/>
          <w:color w:val="373737"/>
          <w:sz w:val="19"/>
          <w:szCs w:val="19"/>
          <w:u w:val="single"/>
        </w:rPr>
        <w:t>Services Coord</w:t>
      </w:r>
      <w:r w:rsidR="002C5025">
        <w:rPr>
          <w:rFonts w:ascii="Arial" w:hAnsi="Arial" w:cs="Arial"/>
          <w:b/>
          <w:bCs/>
          <w:color w:val="5B5B5B"/>
          <w:sz w:val="19"/>
          <w:szCs w:val="19"/>
        </w:rPr>
        <w:t>i</w:t>
      </w:r>
      <w:r w:rsidR="002C5025">
        <w:rPr>
          <w:rFonts w:ascii="Arial" w:hAnsi="Arial" w:cs="Arial"/>
          <w:b/>
          <w:bCs/>
          <w:color w:val="373737"/>
          <w:sz w:val="19"/>
          <w:szCs w:val="19"/>
          <w:u w:val="single"/>
        </w:rPr>
        <w:t>nator</w:t>
      </w:r>
    </w:p>
    <w:p w:rsidR="002C5025" w:rsidRDefault="002C5025">
      <w:pPr>
        <w:pStyle w:val="BodyText"/>
        <w:kinsoku w:val="0"/>
        <w:overflowPunct w:val="0"/>
        <w:spacing w:before="3"/>
        <w:rPr>
          <w:rFonts w:ascii="Arial" w:hAnsi="Arial" w:cs="Arial"/>
          <w:b/>
          <w:bCs/>
          <w:sz w:val="13"/>
          <w:szCs w:val="13"/>
        </w:rPr>
      </w:pPr>
    </w:p>
    <w:p w:rsidR="002C5025" w:rsidRDefault="002C5025">
      <w:pPr>
        <w:pStyle w:val="BodyText"/>
        <w:kinsoku w:val="0"/>
        <w:overflowPunct w:val="0"/>
        <w:spacing w:before="75" w:line="278" w:lineRule="auto"/>
        <w:ind w:left="132" w:right="998" w:hanging="1"/>
        <w:rPr>
          <w:rFonts w:ascii="Arial" w:hAnsi="Arial" w:cs="Arial"/>
          <w:i/>
          <w:iCs/>
          <w:color w:val="5B5B5B"/>
          <w:sz w:val="19"/>
          <w:szCs w:val="19"/>
        </w:rPr>
      </w:pPr>
      <w:r>
        <w:rPr>
          <w:rFonts w:ascii="Arial" w:hAnsi="Arial" w:cs="Arial"/>
          <w:i/>
          <w:iCs/>
          <w:color w:val="474747"/>
          <w:sz w:val="19"/>
          <w:szCs w:val="19"/>
        </w:rPr>
        <w:t>Util</w:t>
      </w:r>
      <w:r>
        <w:rPr>
          <w:rFonts w:ascii="Arial" w:hAnsi="Arial" w:cs="Arial"/>
          <w:i/>
          <w:iCs/>
          <w:color w:val="787878"/>
          <w:sz w:val="19"/>
          <w:szCs w:val="19"/>
        </w:rPr>
        <w:t>i</w:t>
      </w:r>
      <w:r>
        <w:rPr>
          <w:rFonts w:ascii="Arial" w:hAnsi="Arial" w:cs="Arial"/>
          <w:i/>
          <w:iCs/>
          <w:color w:val="5B5B5B"/>
          <w:sz w:val="19"/>
          <w:szCs w:val="19"/>
        </w:rPr>
        <w:t xml:space="preserve">zing and </w:t>
      </w:r>
      <w:r>
        <w:rPr>
          <w:rFonts w:ascii="Arial" w:hAnsi="Arial" w:cs="Arial"/>
          <w:i/>
          <w:iCs/>
          <w:color w:val="474747"/>
          <w:sz w:val="19"/>
          <w:szCs w:val="19"/>
        </w:rPr>
        <w:t xml:space="preserve">mirroring </w:t>
      </w:r>
      <w:r>
        <w:rPr>
          <w:rFonts w:ascii="Arial" w:hAnsi="Arial" w:cs="Arial"/>
          <w:i/>
          <w:iCs/>
          <w:color w:val="5B5B5B"/>
          <w:sz w:val="19"/>
          <w:szCs w:val="19"/>
        </w:rPr>
        <w:t xml:space="preserve">language from </w:t>
      </w:r>
      <w:r>
        <w:rPr>
          <w:rFonts w:ascii="Arial" w:hAnsi="Arial" w:cs="Arial"/>
          <w:i/>
          <w:iCs/>
          <w:color w:val="373737"/>
          <w:sz w:val="19"/>
          <w:szCs w:val="19"/>
        </w:rPr>
        <w:t>M</w:t>
      </w:r>
      <w:r>
        <w:rPr>
          <w:rFonts w:ascii="Arial" w:hAnsi="Arial" w:cs="Arial"/>
          <w:i/>
          <w:iCs/>
          <w:color w:val="5B5B5B"/>
          <w:sz w:val="19"/>
          <w:szCs w:val="19"/>
        </w:rPr>
        <w:t xml:space="preserve">assHealth's </w:t>
      </w:r>
      <w:r>
        <w:rPr>
          <w:rFonts w:ascii="Arial" w:hAnsi="Arial" w:cs="Arial"/>
          <w:i/>
          <w:iCs/>
          <w:color w:val="474747"/>
          <w:sz w:val="19"/>
          <w:szCs w:val="19"/>
        </w:rPr>
        <w:t xml:space="preserve">recent </w:t>
      </w:r>
      <w:r>
        <w:rPr>
          <w:rFonts w:ascii="Arial" w:hAnsi="Arial" w:cs="Arial"/>
          <w:i/>
          <w:iCs/>
          <w:color w:val="5B5B5B"/>
          <w:sz w:val="19"/>
          <w:szCs w:val="19"/>
        </w:rPr>
        <w:t>One Ca</w:t>
      </w:r>
      <w:r>
        <w:rPr>
          <w:rFonts w:ascii="Arial" w:hAnsi="Arial" w:cs="Arial"/>
          <w:i/>
          <w:iCs/>
          <w:color w:val="373737"/>
          <w:sz w:val="19"/>
          <w:szCs w:val="19"/>
        </w:rPr>
        <w:t>r</w:t>
      </w:r>
      <w:r>
        <w:rPr>
          <w:rFonts w:ascii="Arial" w:hAnsi="Arial" w:cs="Arial"/>
          <w:i/>
          <w:iCs/>
          <w:color w:val="5B5B5B"/>
          <w:sz w:val="19"/>
          <w:szCs w:val="19"/>
        </w:rPr>
        <w:t>e Demonstrat</w:t>
      </w:r>
      <w:r>
        <w:rPr>
          <w:rFonts w:ascii="Arial" w:hAnsi="Arial" w:cs="Arial"/>
          <w:i/>
          <w:iCs/>
          <w:color w:val="787878"/>
          <w:sz w:val="19"/>
          <w:szCs w:val="19"/>
        </w:rPr>
        <w:t>i</w:t>
      </w:r>
      <w:r>
        <w:rPr>
          <w:rFonts w:ascii="Arial" w:hAnsi="Arial" w:cs="Arial"/>
          <w:i/>
          <w:iCs/>
          <w:color w:val="474747"/>
          <w:sz w:val="19"/>
          <w:szCs w:val="19"/>
        </w:rPr>
        <w:t xml:space="preserve">on </w:t>
      </w:r>
      <w:r>
        <w:rPr>
          <w:rFonts w:ascii="Arial" w:hAnsi="Arial" w:cs="Arial"/>
          <w:i/>
          <w:iCs/>
          <w:color w:val="5B5B5B"/>
          <w:sz w:val="19"/>
          <w:szCs w:val="19"/>
        </w:rPr>
        <w:t>Propos</w:t>
      </w:r>
      <w:r>
        <w:rPr>
          <w:rFonts w:ascii="Arial" w:hAnsi="Arial" w:cs="Arial"/>
          <w:i/>
          <w:iCs/>
          <w:color w:val="373737"/>
          <w:sz w:val="19"/>
          <w:szCs w:val="19"/>
        </w:rPr>
        <w:t>a</w:t>
      </w:r>
      <w:r>
        <w:rPr>
          <w:rFonts w:ascii="Arial" w:hAnsi="Arial" w:cs="Arial"/>
          <w:i/>
          <w:iCs/>
          <w:color w:val="5B5B5B"/>
          <w:sz w:val="19"/>
          <w:szCs w:val="19"/>
        </w:rPr>
        <w:t>l tha</w:t>
      </w:r>
      <w:r>
        <w:rPr>
          <w:rFonts w:ascii="Arial" w:hAnsi="Arial" w:cs="Arial"/>
          <w:i/>
          <w:iCs/>
          <w:color w:val="373737"/>
          <w:sz w:val="19"/>
          <w:szCs w:val="19"/>
        </w:rPr>
        <w:t xml:space="preserve">t </w:t>
      </w:r>
      <w:r>
        <w:rPr>
          <w:rFonts w:ascii="Arial" w:hAnsi="Arial" w:cs="Arial"/>
          <w:i/>
          <w:iCs/>
          <w:color w:val="5B5B5B"/>
          <w:sz w:val="19"/>
          <w:szCs w:val="19"/>
        </w:rPr>
        <w:t>es</w:t>
      </w:r>
      <w:r>
        <w:rPr>
          <w:rFonts w:ascii="Arial" w:hAnsi="Arial" w:cs="Arial"/>
          <w:i/>
          <w:iCs/>
          <w:color w:val="373737"/>
          <w:sz w:val="19"/>
          <w:szCs w:val="19"/>
        </w:rPr>
        <w:t>tab</w:t>
      </w:r>
      <w:r>
        <w:rPr>
          <w:rFonts w:ascii="Arial" w:hAnsi="Arial" w:cs="Arial"/>
          <w:i/>
          <w:iCs/>
          <w:color w:val="787878"/>
          <w:sz w:val="19"/>
          <w:szCs w:val="19"/>
        </w:rPr>
        <w:t>l</w:t>
      </w:r>
      <w:r>
        <w:rPr>
          <w:rFonts w:ascii="Arial" w:hAnsi="Arial" w:cs="Arial"/>
          <w:i/>
          <w:iCs/>
          <w:color w:val="5B5B5B"/>
          <w:sz w:val="19"/>
          <w:szCs w:val="19"/>
        </w:rPr>
        <w:t xml:space="preserve">ishes </w:t>
      </w:r>
      <w:r>
        <w:rPr>
          <w:rFonts w:ascii="Arial" w:hAnsi="Arial" w:cs="Arial"/>
          <w:i/>
          <w:iCs/>
          <w:color w:val="474747"/>
          <w:sz w:val="19"/>
          <w:szCs w:val="19"/>
        </w:rPr>
        <w:t xml:space="preserve">on </w:t>
      </w:r>
      <w:r>
        <w:rPr>
          <w:rFonts w:ascii="Arial" w:hAnsi="Arial" w:cs="Arial"/>
          <w:i/>
          <w:iCs/>
          <w:color w:val="5B5B5B"/>
          <w:sz w:val="19"/>
          <w:szCs w:val="19"/>
        </w:rPr>
        <w:t>ILTSS Coordinat</w:t>
      </w:r>
      <w:r>
        <w:rPr>
          <w:rFonts w:ascii="Arial" w:hAnsi="Arial" w:cs="Arial"/>
          <w:i/>
          <w:iCs/>
          <w:color w:val="373737"/>
          <w:sz w:val="19"/>
          <w:szCs w:val="19"/>
        </w:rPr>
        <w:t>or r</w:t>
      </w:r>
      <w:r>
        <w:rPr>
          <w:rFonts w:ascii="Arial" w:hAnsi="Arial" w:cs="Arial"/>
          <w:i/>
          <w:iCs/>
          <w:color w:val="5B5B5B"/>
          <w:sz w:val="19"/>
          <w:szCs w:val="19"/>
        </w:rPr>
        <w:t>ole:</w:t>
      </w:r>
    </w:p>
    <w:p w:rsidR="002C5025" w:rsidRDefault="002C5025">
      <w:pPr>
        <w:pStyle w:val="BodyText"/>
        <w:kinsoku w:val="0"/>
        <w:overflowPunct w:val="0"/>
        <w:spacing w:before="9"/>
        <w:rPr>
          <w:rFonts w:ascii="Arial" w:hAnsi="Arial" w:cs="Arial"/>
          <w:i/>
          <w:iCs/>
          <w:sz w:val="19"/>
          <w:szCs w:val="19"/>
        </w:rPr>
      </w:pPr>
    </w:p>
    <w:p w:rsidR="002C5025" w:rsidRDefault="002C5025">
      <w:pPr>
        <w:pStyle w:val="BodyText"/>
        <w:kinsoku w:val="0"/>
        <w:overflowPunct w:val="0"/>
        <w:ind w:left="131" w:right="389"/>
        <w:rPr>
          <w:rFonts w:ascii="Arial" w:hAnsi="Arial" w:cs="Arial"/>
          <w:color w:val="373737"/>
          <w:sz w:val="19"/>
          <w:szCs w:val="19"/>
        </w:rPr>
      </w:pPr>
      <w:r>
        <w:rPr>
          <w:rFonts w:ascii="Arial" w:hAnsi="Arial" w:cs="Arial"/>
          <w:color w:val="5B5B5B"/>
          <w:sz w:val="19"/>
          <w:szCs w:val="19"/>
        </w:rPr>
        <w:t xml:space="preserve">Home </w:t>
      </w:r>
      <w:r>
        <w:rPr>
          <w:rFonts w:ascii="Arial" w:hAnsi="Arial" w:cs="Arial"/>
          <w:color w:val="474747"/>
          <w:sz w:val="19"/>
          <w:szCs w:val="19"/>
        </w:rPr>
        <w:t xml:space="preserve">and </w:t>
      </w:r>
      <w:r>
        <w:rPr>
          <w:rFonts w:ascii="Arial" w:hAnsi="Arial" w:cs="Arial"/>
          <w:color w:val="373737"/>
          <w:sz w:val="19"/>
          <w:szCs w:val="19"/>
        </w:rPr>
        <w:t>co</w:t>
      </w:r>
      <w:r>
        <w:rPr>
          <w:rFonts w:ascii="Arial" w:hAnsi="Arial" w:cs="Arial"/>
          <w:color w:val="5B5B5B"/>
          <w:sz w:val="19"/>
          <w:szCs w:val="19"/>
        </w:rPr>
        <w:t>mmun</w:t>
      </w:r>
      <w:r>
        <w:rPr>
          <w:rFonts w:ascii="Arial" w:hAnsi="Arial" w:cs="Arial"/>
          <w:color w:val="373737"/>
          <w:sz w:val="19"/>
          <w:szCs w:val="19"/>
        </w:rPr>
        <w:t>it</w:t>
      </w:r>
      <w:r>
        <w:rPr>
          <w:rFonts w:ascii="Arial" w:hAnsi="Arial" w:cs="Arial"/>
          <w:color w:val="5B5B5B"/>
          <w:sz w:val="19"/>
          <w:szCs w:val="19"/>
        </w:rPr>
        <w:t>y</w:t>
      </w:r>
      <w:r>
        <w:rPr>
          <w:rFonts w:ascii="Arial" w:hAnsi="Arial" w:cs="Arial"/>
          <w:color w:val="A2A2A2"/>
          <w:sz w:val="19"/>
          <w:szCs w:val="19"/>
        </w:rPr>
        <w:t>-</w:t>
      </w:r>
      <w:r>
        <w:rPr>
          <w:rFonts w:ascii="Arial" w:hAnsi="Arial" w:cs="Arial"/>
          <w:color w:val="373737"/>
          <w:sz w:val="19"/>
          <w:szCs w:val="19"/>
        </w:rPr>
        <w:t xml:space="preserve">based </w:t>
      </w:r>
      <w:r>
        <w:rPr>
          <w:rFonts w:ascii="Arial" w:hAnsi="Arial" w:cs="Arial"/>
          <w:color w:val="474747"/>
          <w:sz w:val="19"/>
          <w:szCs w:val="19"/>
        </w:rPr>
        <w:t xml:space="preserve">long term </w:t>
      </w:r>
      <w:r>
        <w:rPr>
          <w:rFonts w:ascii="Arial" w:hAnsi="Arial" w:cs="Arial"/>
          <w:color w:val="5B5B5B"/>
          <w:sz w:val="19"/>
          <w:szCs w:val="19"/>
        </w:rPr>
        <w:t>sup</w:t>
      </w:r>
      <w:r>
        <w:rPr>
          <w:rFonts w:ascii="Arial" w:hAnsi="Arial" w:cs="Arial"/>
          <w:color w:val="373737"/>
          <w:sz w:val="19"/>
          <w:szCs w:val="19"/>
        </w:rPr>
        <w:t>port a</w:t>
      </w:r>
      <w:r>
        <w:rPr>
          <w:rFonts w:ascii="Arial" w:hAnsi="Arial" w:cs="Arial"/>
          <w:color w:val="5B5B5B"/>
          <w:sz w:val="19"/>
          <w:szCs w:val="19"/>
        </w:rPr>
        <w:t>n</w:t>
      </w:r>
      <w:r>
        <w:rPr>
          <w:rFonts w:ascii="Arial" w:hAnsi="Arial" w:cs="Arial"/>
          <w:color w:val="373737"/>
          <w:sz w:val="19"/>
          <w:szCs w:val="19"/>
        </w:rPr>
        <w:t xml:space="preserve">d </w:t>
      </w:r>
      <w:r>
        <w:rPr>
          <w:rFonts w:ascii="Arial" w:hAnsi="Arial" w:cs="Arial"/>
          <w:color w:val="474747"/>
          <w:sz w:val="19"/>
          <w:szCs w:val="19"/>
        </w:rPr>
        <w:t xml:space="preserve">services </w:t>
      </w:r>
      <w:r>
        <w:rPr>
          <w:rFonts w:ascii="Arial" w:hAnsi="Arial" w:cs="Arial"/>
          <w:color w:val="5B5B5B"/>
          <w:sz w:val="19"/>
          <w:szCs w:val="19"/>
        </w:rPr>
        <w:t>(LTSS</w:t>
      </w:r>
      <w:r>
        <w:rPr>
          <w:rFonts w:ascii="Arial" w:hAnsi="Arial" w:cs="Arial"/>
          <w:color w:val="373737"/>
          <w:sz w:val="19"/>
          <w:szCs w:val="19"/>
        </w:rPr>
        <w:t xml:space="preserve">) are </w:t>
      </w:r>
      <w:r>
        <w:rPr>
          <w:rFonts w:ascii="Arial" w:hAnsi="Arial" w:cs="Arial"/>
          <w:color w:val="474747"/>
          <w:sz w:val="19"/>
          <w:szCs w:val="19"/>
        </w:rPr>
        <w:t>cr</w:t>
      </w:r>
      <w:r>
        <w:rPr>
          <w:rFonts w:ascii="Arial" w:hAnsi="Arial" w:cs="Arial"/>
          <w:color w:val="1F1F1F"/>
          <w:sz w:val="19"/>
          <w:szCs w:val="19"/>
        </w:rPr>
        <w:t>i</w:t>
      </w:r>
      <w:r>
        <w:rPr>
          <w:rFonts w:ascii="Arial" w:hAnsi="Arial" w:cs="Arial"/>
          <w:color w:val="5B5B5B"/>
          <w:sz w:val="19"/>
          <w:szCs w:val="19"/>
        </w:rPr>
        <w:t xml:space="preserve">tical </w:t>
      </w:r>
      <w:r>
        <w:rPr>
          <w:rFonts w:ascii="Arial" w:hAnsi="Arial" w:cs="Arial"/>
          <w:color w:val="474747"/>
          <w:sz w:val="19"/>
          <w:szCs w:val="19"/>
        </w:rPr>
        <w:t xml:space="preserve">to </w:t>
      </w:r>
      <w:r>
        <w:rPr>
          <w:rFonts w:ascii="Arial" w:hAnsi="Arial" w:cs="Arial"/>
          <w:color w:val="373737"/>
          <w:sz w:val="19"/>
          <w:szCs w:val="19"/>
        </w:rPr>
        <w:t>enabli</w:t>
      </w:r>
      <w:r>
        <w:rPr>
          <w:rFonts w:ascii="Arial" w:hAnsi="Arial" w:cs="Arial"/>
          <w:color w:val="5B5B5B"/>
          <w:sz w:val="19"/>
          <w:szCs w:val="19"/>
        </w:rPr>
        <w:t xml:space="preserve">ng </w:t>
      </w:r>
      <w:r>
        <w:rPr>
          <w:rFonts w:ascii="Arial" w:hAnsi="Arial" w:cs="Arial"/>
          <w:color w:val="373737"/>
          <w:sz w:val="19"/>
          <w:szCs w:val="19"/>
        </w:rPr>
        <w:t>pe</w:t>
      </w:r>
      <w:r>
        <w:rPr>
          <w:rFonts w:ascii="Arial" w:hAnsi="Arial" w:cs="Arial"/>
          <w:color w:val="5B5B5B"/>
          <w:sz w:val="19"/>
          <w:szCs w:val="19"/>
        </w:rPr>
        <w:t>opl</w:t>
      </w:r>
      <w:r>
        <w:rPr>
          <w:rFonts w:ascii="Arial" w:hAnsi="Arial" w:cs="Arial"/>
          <w:color w:val="474747"/>
          <w:sz w:val="19"/>
          <w:szCs w:val="19"/>
        </w:rPr>
        <w:t xml:space="preserve">e </w:t>
      </w:r>
      <w:r>
        <w:rPr>
          <w:rFonts w:ascii="Arial" w:hAnsi="Arial" w:cs="Arial"/>
          <w:color w:val="1F1F1F"/>
          <w:sz w:val="19"/>
          <w:szCs w:val="19"/>
        </w:rPr>
        <w:t>t</w:t>
      </w:r>
      <w:r>
        <w:rPr>
          <w:rFonts w:ascii="Arial" w:hAnsi="Arial" w:cs="Arial"/>
          <w:color w:val="474747"/>
          <w:sz w:val="19"/>
          <w:szCs w:val="19"/>
        </w:rPr>
        <w:t xml:space="preserve">o </w:t>
      </w:r>
      <w:r>
        <w:rPr>
          <w:rFonts w:ascii="Arial" w:hAnsi="Arial" w:cs="Arial"/>
          <w:color w:val="5B5B5B"/>
          <w:sz w:val="19"/>
          <w:szCs w:val="19"/>
        </w:rPr>
        <w:t>l</w:t>
      </w:r>
      <w:r>
        <w:rPr>
          <w:rFonts w:ascii="Arial" w:hAnsi="Arial" w:cs="Arial"/>
          <w:color w:val="373737"/>
          <w:sz w:val="19"/>
          <w:szCs w:val="19"/>
        </w:rPr>
        <w:t>iv</w:t>
      </w:r>
      <w:r>
        <w:rPr>
          <w:rFonts w:ascii="Arial" w:hAnsi="Arial" w:cs="Arial"/>
          <w:color w:val="5B5B5B"/>
          <w:sz w:val="19"/>
          <w:szCs w:val="19"/>
        </w:rPr>
        <w:t xml:space="preserve">e </w:t>
      </w:r>
      <w:r>
        <w:rPr>
          <w:rFonts w:ascii="Arial" w:hAnsi="Arial" w:cs="Arial"/>
          <w:color w:val="474747"/>
          <w:sz w:val="19"/>
          <w:szCs w:val="19"/>
        </w:rPr>
        <w:t xml:space="preserve">independently and </w:t>
      </w:r>
      <w:r>
        <w:rPr>
          <w:rFonts w:ascii="Arial" w:hAnsi="Arial" w:cs="Arial"/>
          <w:color w:val="5B5B5B"/>
          <w:sz w:val="19"/>
          <w:szCs w:val="19"/>
        </w:rPr>
        <w:t xml:space="preserve">to </w:t>
      </w:r>
      <w:r>
        <w:rPr>
          <w:rFonts w:ascii="Arial" w:hAnsi="Arial" w:cs="Arial"/>
          <w:color w:val="474747"/>
          <w:sz w:val="19"/>
          <w:szCs w:val="19"/>
        </w:rPr>
        <w:t>remai</w:t>
      </w:r>
      <w:r>
        <w:rPr>
          <w:rFonts w:ascii="Arial" w:hAnsi="Arial" w:cs="Arial"/>
          <w:color w:val="1F1F1F"/>
          <w:sz w:val="19"/>
          <w:szCs w:val="19"/>
        </w:rPr>
        <w:t xml:space="preserve">n </w:t>
      </w:r>
      <w:r>
        <w:rPr>
          <w:rFonts w:ascii="Arial" w:hAnsi="Arial" w:cs="Arial"/>
          <w:color w:val="474747"/>
          <w:sz w:val="19"/>
          <w:szCs w:val="19"/>
        </w:rPr>
        <w:t xml:space="preserve">in their </w:t>
      </w:r>
      <w:r>
        <w:rPr>
          <w:rFonts w:ascii="Arial" w:hAnsi="Arial" w:cs="Arial"/>
          <w:color w:val="373737"/>
          <w:sz w:val="19"/>
          <w:szCs w:val="19"/>
        </w:rPr>
        <w:t>h</w:t>
      </w:r>
      <w:r>
        <w:rPr>
          <w:rFonts w:ascii="Arial" w:hAnsi="Arial" w:cs="Arial"/>
          <w:color w:val="5B5B5B"/>
          <w:sz w:val="19"/>
          <w:szCs w:val="19"/>
        </w:rPr>
        <w:t xml:space="preserve">omes </w:t>
      </w:r>
      <w:r>
        <w:rPr>
          <w:rFonts w:ascii="Arial" w:hAnsi="Arial" w:cs="Arial"/>
          <w:color w:val="474747"/>
          <w:sz w:val="19"/>
          <w:szCs w:val="19"/>
        </w:rPr>
        <w:t xml:space="preserve">and </w:t>
      </w:r>
      <w:r>
        <w:rPr>
          <w:rFonts w:ascii="Arial" w:hAnsi="Arial" w:cs="Arial"/>
          <w:color w:val="5B5B5B"/>
          <w:sz w:val="19"/>
          <w:szCs w:val="19"/>
        </w:rPr>
        <w:t>co</w:t>
      </w:r>
      <w:r>
        <w:rPr>
          <w:rFonts w:ascii="Arial" w:hAnsi="Arial" w:cs="Arial"/>
          <w:color w:val="373737"/>
          <w:sz w:val="19"/>
          <w:szCs w:val="19"/>
        </w:rPr>
        <w:t>mmun</w:t>
      </w:r>
      <w:r>
        <w:rPr>
          <w:rFonts w:ascii="Arial" w:hAnsi="Arial" w:cs="Arial"/>
          <w:color w:val="5B5B5B"/>
          <w:sz w:val="19"/>
          <w:szCs w:val="19"/>
        </w:rPr>
        <w:t>it</w:t>
      </w:r>
      <w:r>
        <w:rPr>
          <w:rFonts w:ascii="Arial" w:hAnsi="Arial" w:cs="Arial"/>
          <w:color w:val="373737"/>
          <w:sz w:val="19"/>
          <w:szCs w:val="19"/>
        </w:rPr>
        <w:t>ie</w:t>
      </w:r>
      <w:r>
        <w:rPr>
          <w:rFonts w:ascii="Arial" w:hAnsi="Arial" w:cs="Arial"/>
          <w:color w:val="5B5B5B"/>
          <w:sz w:val="19"/>
          <w:szCs w:val="19"/>
        </w:rPr>
        <w:t>s. It is essent</w:t>
      </w:r>
      <w:r>
        <w:rPr>
          <w:rFonts w:ascii="Arial" w:hAnsi="Arial" w:cs="Arial"/>
          <w:color w:val="787878"/>
          <w:sz w:val="19"/>
          <w:szCs w:val="19"/>
        </w:rPr>
        <w:t>i</w:t>
      </w:r>
      <w:r>
        <w:rPr>
          <w:rFonts w:ascii="Arial" w:hAnsi="Arial" w:cs="Arial"/>
          <w:color w:val="474747"/>
          <w:sz w:val="19"/>
          <w:szCs w:val="19"/>
        </w:rPr>
        <w:t xml:space="preserve">al </w:t>
      </w:r>
      <w:r>
        <w:rPr>
          <w:rFonts w:ascii="Arial" w:hAnsi="Arial" w:cs="Arial"/>
          <w:color w:val="373737"/>
          <w:sz w:val="19"/>
          <w:szCs w:val="19"/>
        </w:rPr>
        <w:t xml:space="preserve">that </w:t>
      </w:r>
      <w:r>
        <w:rPr>
          <w:rFonts w:ascii="Arial" w:hAnsi="Arial" w:cs="Arial"/>
          <w:color w:val="474747"/>
          <w:sz w:val="19"/>
          <w:szCs w:val="19"/>
        </w:rPr>
        <w:t>MassHea</w:t>
      </w:r>
      <w:r>
        <w:rPr>
          <w:rFonts w:ascii="Arial" w:hAnsi="Arial" w:cs="Arial"/>
          <w:color w:val="1F1F1F"/>
          <w:sz w:val="19"/>
          <w:szCs w:val="19"/>
        </w:rPr>
        <w:t xml:space="preserve">lth </w:t>
      </w:r>
      <w:r>
        <w:rPr>
          <w:rFonts w:ascii="Arial" w:hAnsi="Arial" w:cs="Arial"/>
          <w:color w:val="474747"/>
          <w:sz w:val="19"/>
          <w:szCs w:val="19"/>
        </w:rPr>
        <w:t xml:space="preserve">ACO care </w:t>
      </w:r>
      <w:r>
        <w:rPr>
          <w:rFonts w:ascii="Arial" w:hAnsi="Arial" w:cs="Arial"/>
          <w:color w:val="373737"/>
          <w:sz w:val="19"/>
          <w:szCs w:val="19"/>
        </w:rPr>
        <w:t>tea</w:t>
      </w:r>
      <w:r>
        <w:rPr>
          <w:rFonts w:ascii="Arial" w:hAnsi="Arial" w:cs="Arial"/>
          <w:color w:val="5B5B5B"/>
          <w:sz w:val="19"/>
          <w:szCs w:val="19"/>
        </w:rPr>
        <w:t xml:space="preserve">ms </w:t>
      </w:r>
      <w:r>
        <w:rPr>
          <w:rFonts w:ascii="Arial" w:hAnsi="Arial" w:cs="Arial"/>
          <w:color w:val="373737"/>
          <w:sz w:val="19"/>
          <w:szCs w:val="19"/>
        </w:rPr>
        <w:t xml:space="preserve">have a </w:t>
      </w:r>
      <w:r>
        <w:rPr>
          <w:rFonts w:ascii="Arial" w:hAnsi="Arial" w:cs="Arial"/>
          <w:color w:val="474747"/>
          <w:sz w:val="19"/>
          <w:szCs w:val="19"/>
        </w:rPr>
        <w:t>desig</w:t>
      </w:r>
      <w:r>
        <w:rPr>
          <w:rFonts w:ascii="Arial" w:hAnsi="Arial" w:cs="Arial"/>
          <w:color w:val="1F1F1F"/>
          <w:sz w:val="19"/>
          <w:szCs w:val="19"/>
        </w:rPr>
        <w:t>n</w:t>
      </w:r>
      <w:r>
        <w:rPr>
          <w:rFonts w:ascii="Arial" w:hAnsi="Arial" w:cs="Arial"/>
          <w:color w:val="474747"/>
          <w:sz w:val="19"/>
          <w:szCs w:val="19"/>
        </w:rPr>
        <w:t>a</w:t>
      </w:r>
      <w:r>
        <w:rPr>
          <w:rFonts w:ascii="Arial" w:hAnsi="Arial" w:cs="Arial"/>
          <w:color w:val="1F1F1F"/>
          <w:sz w:val="19"/>
          <w:szCs w:val="19"/>
        </w:rPr>
        <w:t>t</w:t>
      </w:r>
      <w:r>
        <w:rPr>
          <w:rFonts w:ascii="Arial" w:hAnsi="Arial" w:cs="Arial"/>
          <w:color w:val="474747"/>
          <w:sz w:val="19"/>
          <w:szCs w:val="19"/>
        </w:rPr>
        <w:t xml:space="preserve">ed </w:t>
      </w:r>
      <w:r>
        <w:rPr>
          <w:rFonts w:ascii="Arial" w:hAnsi="Arial" w:cs="Arial"/>
          <w:color w:val="5B5B5B"/>
          <w:sz w:val="19"/>
          <w:szCs w:val="19"/>
        </w:rPr>
        <w:t>resour</w:t>
      </w:r>
      <w:r>
        <w:rPr>
          <w:rFonts w:ascii="Arial" w:hAnsi="Arial" w:cs="Arial"/>
          <w:color w:val="373737"/>
          <w:sz w:val="19"/>
          <w:szCs w:val="19"/>
        </w:rPr>
        <w:t>c</w:t>
      </w:r>
      <w:r>
        <w:rPr>
          <w:rFonts w:ascii="Arial" w:hAnsi="Arial" w:cs="Arial"/>
          <w:color w:val="5B5B5B"/>
          <w:sz w:val="19"/>
          <w:szCs w:val="19"/>
        </w:rPr>
        <w:t xml:space="preserve">e </w:t>
      </w:r>
      <w:r>
        <w:rPr>
          <w:rFonts w:ascii="Arial" w:hAnsi="Arial" w:cs="Arial"/>
          <w:color w:val="373737"/>
          <w:sz w:val="19"/>
          <w:szCs w:val="19"/>
        </w:rPr>
        <w:t>wi</w:t>
      </w:r>
      <w:r>
        <w:rPr>
          <w:rFonts w:ascii="Arial" w:hAnsi="Arial" w:cs="Arial"/>
          <w:color w:val="5B5B5B"/>
          <w:sz w:val="19"/>
          <w:szCs w:val="19"/>
        </w:rPr>
        <w:t>t</w:t>
      </w:r>
      <w:r>
        <w:rPr>
          <w:rFonts w:ascii="Arial" w:hAnsi="Arial" w:cs="Arial"/>
          <w:color w:val="373737"/>
          <w:sz w:val="19"/>
          <w:szCs w:val="19"/>
        </w:rPr>
        <w:t xml:space="preserve">h </w:t>
      </w:r>
      <w:r>
        <w:rPr>
          <w:rFonts w:ascii="Arial" w:hAnsi="Arial" w:cs="Arial"/>
          <w:color w:val="474747"/>
          <w:sz w:val="19"/>
          <w:szCs w:val="19"/>
        </w:rPr>
        <w:t xml:space="preserve">expertise </w:t>
      </w:r>
      <w:r>
        <w:rPr>
          <w:rFonts w:ascii="Arial" w:hAnsi="Arial" w:cs="Arial"/>
          <w:color w:val="373737"/>
          <w:sz w:val="19"/>
          <w:szCs w:val="19"/>
        </w:rPr>
        <w:t xml:space="preserve">in </w:t>
      </w:r>
      <w:r>
        <w:rPr>
          <w:rFonts w:ascii="Arial" w:hAnsi="Arial" w:cs="Arial"/>
          <w:color w:val="5B5B5B"/>
          <w:sz w:val="19"/>
          <w:szCs w:val="19"/>
        </w:rPr>
        <w:t>und</w:t>
      </w:r>
      <w:r>
        <w:rPr>
          <w:rFonts w:ascii="Arial" w:hAnsi="Arial" w:cs="Arial"/>
          <w:color w:val="373737"/>
          <w:sz w:val="19"/>
          <w:szCs w:val="19"/>
        </w:rPr>
        <w:t>erstand</w:t>
      </w:r>
      <w:r>
        <w:rPr>
          <w:rFonts w:ascii="Arial" w:hAnsi="Arial" w:cs="Arial"/>
          <w:color w:val="5B5B5B"/>
          <w:sz w:val="19"/>
          <w:szCs w:val="19"/>
        </w:rPr>
        <w:t xml:space="preserve">ing </w:t>
      </w:r>
      <w:r>
        <w:rPr>
          <w:rFonts w:ascii="Arial" w:hAnsi="Arial" w:cs="Arial"/>
          <w:color w:val="474747"/>
          <w:sz w:val="19"/>
          <w:szCs w:val="19"/>
        </w:rPr>
        <w:t xml:space="preserve">different </w:t>
      </w:r>
      <w:r>
        <w:rPr>
          <w:rFonts w:ascii="Arial" w:hAnsi="Arial" w:cs="Arial"/>
          <w:color w:val="1F1F1F"/>
          <w:sz w:val="19"/>
          <w:szCs w:val="19"/>
        </w:rPr>
        <w:t>k</w:t>
      </w:r>
      <w:r>
        <w:rPr>
          <w:rFonts w:ascii="Arial" w:hAnsi="Arial" w:cs="Arial"/>
          <w:color w:val="5B5B5B"/>
          <w:sz w:val="19"/>
          <w:szCs w:val="19"/>
        </w:rPr>
        <w:t>i</w:t>
      </w:r>
      <w:r>
        <w:rPr>
          <w:rFonts w:ascii="Arial" w:hAnsi="Arial" w:cs="Arial"/>
          <w:color w:val="373737"/>
          <w:sz w:val="19"/>
          <w:szCs w:val="19"/>
        </w:rPr>
        <w:t>nd</w:t>
      </w:r>
      <w:r>
        <w:rPr>
          <w:rFonts w:ascii="Arial" w:hAnsi="Arial" w:cs="Arial"/>
          <w:color w:val="5B5B5B"/>
          <w:sz w:val="19"/>
          <w:szCs w:val="19"/>
        </w:rPr>
        <w:t xml:space="preserve">s </w:t>
      </w:r>
      <w:r>
        <w:rPr>
          <w:rFonts w:ascii="Arial" w:hAnsi="Arial" w:cs="Arial"/>
          <w:color w:val="474747"/>
          <w:sz w:val="19"/>
          <w:szCs w:val="19"/>
        </w:rPr>
        <w:t>o</w:t>
      </w:r>
      <w:r>
        <w:rPr>
          <w:rFonts w:ascii="Arial" w:hAnsi="Arial" w:cs="Arial"/>
          <w:color w:val="1F1F1F"/>
          <w:sz w:val="19"/>
          <w:szCs w:val="19"/>
        </w:rPr>
        <w:t>f L</w:t>
      </w:r>
      <w:r>
        <w:rPr>
          <w:rFonts w:ascii="Arial" w:hAnsi="Arial" w:cs="Arial"/>
          <w:color w:val="5B5B5B"/>
          <w:sz w:val="19"/>
          <w:szCs w:val="19"/>
        </w:rPr>
        <w:t>TSS ne</w:t>
      </w:r>
      <w:r>
        <w:rPr>
          <w:rFonts w:ascii="Arial" w:hAnsi="Arial" w:cs="Arial"/>
          <w:color w:val="373737"/>
          <w:sz w:val="19"/>
          <w:szCs w:val="19"/>
        </w:rPr>
        <w:t>ed</w:t>
      </w:r>
      <w:r>
        <w:rPr>
          <w:rFonts w:ascii="Arial" w:hAnsi="Arial" w:cs="Arial"/>
          <w:color w:val="5B5B5B"/>
          <w:sz w:val="19"/>
          <w:szCs w:val="19"/>
        </w:rPr>
        <w:t>s a</w:t>
      </w:r>
      <w:r>
        <w:rPr>
          <w:rFonts w:ascii="Arial" w:hAnsi="Arial" w:cs="Arial"/>
          <w:color w:val="373737"/>
          <w:sz w:val="19"/>
          <w:szCs w:val="19"/>
        </w:rPr>
        <w:t xml:space="preserve">nd the </w:t>
      </w:r>
      <w:r>
        <w:rPr>
          <w:rFonts w:ascii="Arial" w:hAnsi="Arial" w:cs="Arial"/>
          <w:color w:val="474747"/>
          <w:sz w:val="19"/>
          <w:szCs w:val="19"/>
        </w:rPr>
        <w:t xml:space="preserve">resources </w:t>
      </w:r>
      <w:r>
        <w:rPr>
          <w:rFonts w:ascii="Arial" w:hAnsi="Arial" w:cs="Arial"/>
          <w:color w:val="5B5B5B"/>
          <w:sz w:val="19"/>
          <w:szCs w:val="19"/>
        </w:rPr>
        <w:t>availa</w:t>
      </w:r>
      <w:r>
        <w:rPr>
          <w:rFonts w:ascii="Arial" w:hAnsi="Arial" w:cs="Arial"/>
          <w:color w:val="373737"/>
          <w:sz w:val="19"/>
          <w:szCs w:val="19"/>
        </w:rPr>
        <w:t>b</w:t>
      </w:r>
      <w:r>
        <w:rPr>
          <w:rFonts w:ascii="Arial" w:hAnsi="Arial" w:cs="Arial"/>
          <w:color w:val="5B5B5B"/>
          <w:sz w:val="19"/>
          <w:szCs w:val="19"/>
        </w:rPr>
        <w:t xml:space="preserve">le </w:t>
      </w:r>
      <w:r>
        <w:rPr>
          <w:rFonts w:ascii="Arial" w:hAnsi="Arial" w:cs="Arial"/>
          <w:color w:val="1F1F1F"/>
          <w:sz w:val="19"/>
          <w:szCs w:val="19"/>
        </w:rPr>
        <w:t>i</w:t>
      </w:r>
      <w:r>
        <w:rPr>
          <w:rFonts w:ascii="Arial" w:hAnsi="Arial" w:cs="Arial"/>
          <w:color w:val="5B5B5B"/>
          <w:sz w:val="19"/>
          <w:szCs w:val="19"/>
        </w:rPr>
        <w:t xml:space="preserve">n </w:t>
      </w:r>
      <w:r>
        <w:rPr>
          <w:rFonts w:ascii="Arial" w:hAnsi="Arial" w:cs="Arial"/>
          <w:color w:val="474747"/>
          <w:sz w:val="19"/>
          <w:szCs w:val="19"/>
        </w:rPr>
        <w:t xml:space="preserve">the </w:t>
      </w:r>
      <w:r>
        <w:rPr>
          <w:rFonts w:ascii="Arial" w:hAnsi="Arial" w:cs="Arial"/>
          <w:color w:val="5B5B5B"/>
          <w:sz w:val="19"/>
          <w:szCs w:val="19"/>
        </w:rPr>
        <w:t>co</w:t>
      </w:r>
      <w:r>
        <w:rPr>
          <w:rFonts w:ascii="Arial" w:hAnsi="Arial" w:cs="Arial"/>
          <w:color w:val="373737"/>
          <w:sz w:val="19"/>
          <w:szCs w:val="19"/>
        </w:rPr>
        <w:t>mmun</w:t>
      </w:r>
      <w:r>
        <w:rPr>
          <w:rFonts w:ascii="Arial" w:hAnsi="Arial" w:cs="Arial"/>
          <w:color w:val="5B5B5B"/>
          <w:sz w:val="19"/>
          <w:szCs w:val="19"/>
        </w:rPr>
        <w:t xml:space="preserve">ity </w:t>
      </w:r>
      <w:r>
        <w:rPr>
          <w:rFonts w:ascii="Arial" w:hAnsi="Arial" w:cs="Arial"/>
          <w:color w:val="474747"/>
          <w:sz w:val="19"/>
          <w:szCs w:val="19"/>
        </w:rPr>
        <w:t xml:space="preserve">to address </w:t>
      </w:r>
      <w:r>
        <w:rPr>
          <w:rFonts w:ascii="Arial" w:hAnsi="Arial" w:cs="Arial"/>
          <w:color w:val="5B5B5B"/>
          <w:sz w:val="19"/>
          <w:szCs w:val="19"/>
        </w:rPr>
        <w:t>them</w:t>
      </w:r>
      <w:r>
        <w:rPr>
          <w:rFonts w:ascii="Arial" w:hAnsi="Arial" w:cs="Arial"/>
          <w:color w:val="373737"/>
          <w:sz w:val="19"/>
          <w:szCs w:val="19"/>
        </w:rPr>
        <w:t>.</w:t>
      </w:r>
    </w:p>
    <w:p w:rsidR="002C5025" w:rsidRDefault="002C5025">
      <w:pPr>
        <w:pStyle w:val="BodyText"/>
        <w:kinsoku w:val="0"/>
        <w:overflowPunct w:val="0"/>
        <w:spacing w:before="2"/>
        <w:rPr>
          <w:rFonts w:ascii="Arial" w:hAnsi="Arial" w:cs="Arial"/>
          <w:sz w:val="19"/>
          <w:szCs w:val="19"/>
        </w:rPr>
      </w:pPr>
    </w:p>
    <w:p w:rsidR="002C5025" w:rsidRDefault="002C5025">
      <w:pPr>
        <w:pStyle w:val="BodyText"/>
        <w:kinsoku w:val="0"/>
        <w:overflowPunct w:val="0"/>
        <w:spacing w:line="292" w:lineRule="auto"/>
        <w:ind w:left="131" w:right="179" w:firstLine="14"/>
        <w:rPr>
          <w:rFonts w:ascii="Arial" w:hAnsi="Arial" w:cs="Arial"/>
          <w:color w:val="787878"/>
          <w:sz w:val="19"/>
          <w:szCs w:val="19"/>
        </w:rPr>
      </w:pPr>
      <w:r>
        <w:rPr>
          <w:rFonts w:ascii="Arial" w:hAnsi="Arial" w:cs="Arial"/>
          <w:color w:val="5B5B5B"/>
          <w:sz w:val="19"/>
          <w:szCs w:val="19"/>
        </w:rPr>
        <w:t xml:space="preserve">Each </w:t>
      </w:r>
      <w:r>
        <w:rPr>
          <w:rFonts w:ascii="Arial" w:hAnsi="Arial" w:cs="Arial"/>
          <w:color w:val="373737"/>
          <w:sz w:val="19"/>
          <w:szCs w:val="19"/>
        </w:rPr>
        <w:t>M</w:t>
      </w:r>
      <w:r>
        <w:rPr>
          <w:rFonts w:ascii="Arial" w:hAnsi="Arial" w:cs="Arial"/>
          <w:color w:val="5B5B5B"/>
          <w:sz w:val="19"/>
          <w:szCs w:val="19"/>
        </w:rPr>
        <w:t>assHealt</w:t>
      </w:r>
      <w:r>
        <w:rPr>
          <w:rFonts w:ascii="Arial" w:hAnsi="Arial" w:cs="Arial"/>
          <w:color w:val="373737"/>
          <w:sz w:val="19"/>
          <w:szCs w:val="19"/>
        </w:rPr>
        <w:t xml:space="preserve">h </w:t>
      </w:r>
      <w:r>
        <w:rPr>
          <w:rFonts w:ascii="Arial" w:hAnsi="Arial" w:cs="Arial"/>
          <w:color w:val="474747"/>
          <w:sz w:val="19"/>
          <w:szCs w:val="19"/>
        </w:rPr>
        <w:t xml:space="preserve">ACO </w:t>
      </w:r>
      <w:r>
        <w:rPr>
          <w:rFonts w:ascii="Arial" w:hAnsi="Arial" w:cs="Arial"/>
          <w:color w:val="5B5B5B"/>
          <w:sz w:val="19"/>
          <w:szCs w:val="19"/>
        </w:rPr>
        <w:t xml:space="preserve">applying </w:t>
      </w:r>
      <w:r>
        <w:rPr>
          <w:rFonts w:ascii="Arial" w:hAnsi="Arial" w:cs="Arial"/>
          <w:color w:val="474747"/>
          <w:sz w:val="19"/>
          <w:szCs w:val="19"/>
        </w:rPr>
        <w:t xml:space="preserve">for DSRIP </w:t>
      </w:r>
      <w:r>
        <w:rPr>
          <w:rFonts w:ascii="Arial" w:hAnsi="Arial" w:cs="Arial"/>
          <w:color w:val="5B5B5B"/>
          <w:sz w:val="19"/>
          <w:szCs w:val="19"/>
        </w:rPr>
        <w:t>incen</w:t>
      </w:r>
      <w:r>
        <w:rPr>
          <w:rFonts w:ascii="Arial" w:hAnsi="Arial" w:cs="Arial"/>
          <w:color w:val="373737"/>
          <w:sz w:val="19"/>
          <w:szCs w:val="19"/>
        </w:rPr>
        <w:t>ti</w:t>
      </w:r>
      <w:r>
        <w:rPr>
          <w:rFonts w:ascii="Arial" w:hAnsi="Arial" w:cs="Arial"/>
          <w:color w:val="5B5B5B"/>
          <w:sz w:val="19"/>
          <w:szCs w:val="19"/>
        </w:rPr>
        <w:t xml:space="preserve">ve </w:t>
      </w:r>
      <w:r>
        <w:rPr>
          <w:rFonts w:ascii="Arial" w:hAnsi="Arial" w:cs="Arial"/>
          <w:color w:val="474747"/>
          <w:sz w:val="19"/>
          <w:szCs w:val="19"/>
        </w:rPr>
        <w:t xml:space="preserve">payments will </w:t>
      </w:r>
      <w:r>
        <w:rPr>
          <w:rFonts w:ascii="Arial" w:hAnsi="Arial" w:cs="Arial"/>
          <w:color w:val="5B5B5B"/>
          <w:sz w:val="19"/>
          <w:szCs w:val="19"/>
        </w:rPr>
        <w:t>contrac</w:t>
      </w:r>
      <w:r>
        <w:rPr>
          <w:rFonts w:ascii="Arial" w:hAnsi="Arial" w:cs="Arial"/>
          <w:color w:val="373737"/>
          <w:sz w:val="19"/>
          <w:szCs w:val="19"/>
        </w:rPr>
        <w:t xml:space="preserve">t </w:t>
      </w:r>
      <w:r>
        <w:rPr>
          <w:rFonts w:ascii="Arial" w:hAnsi="Arial" w:cs="Arial"/>
          <w:color w:val="474747"/>
          <w:sz w:val="19"/>
          <w:szCs w:val="19"/>
        </w:rPr>
        <w:t xml:space="preserve">with </w:t>
      </w:r>
      <w:r>
        <w:rPr>
          <w:rFonts w:ascii="Arial" w:hAnsi="Arial" w:cs="Arial"/>
          <w:color w:val="5B5B5B"/>
          <w:sz w:val="19"/>
          <w:szCs w:val="19"/>
        </w:rPr>
        <w:t>an independe</w:t>
      </w:r>
      <w:r>
        <w:rPr>
          <w:rFonts w:ascii="Arial" w:hAnsi="Arial" w:cs="Arial"/>
          <w:color w:val="373737"/>
          <w:sz w:val="19"/>
          <w:szCs w:val="19"/>
        </w:rPr>
        <w:t>n</w:t>
      </w:r>
      <w:r>
        <w:rPr>
          <w:rFonts w:ascii="Arial" w:hAnsi="Arial" w:cs="Arial"/>
          <w:color w:val="5B5B5B"/>
          <w:sz w:val="19"/>
          <w:szCs w:val="19"/>
        </w:rPr>
        <w:t xml:space="preserve">t, </w:t>
      </w:r>
      <w:r>
        <w:rPr>
          <w:rFonts w:ascii="Arial" w:hAnsi="Arial" w:cs="Arial"/>
          <w:color w:val="474747"/>
          <w:sz w:val="19"/>
          <w:szCs w:val="19"/>
        </w:rPr>
        <w:t>qua</w:t>
      </w:r>
      <w:r>
        <w:rPr>
          <w:rFonts w:ascii="Arial" w:hAnsi="Arial" w:cs="Arial"/>
          <w:color w:val="1F1F1F"/>
          <w:sz w:val="19"/>
          <w:szCs w:val="19"/>
        </w:rPr>
        <w:t>l</w:t>
      </w:r>
      <w:r>
        <w:rPr>
          <w:rFonts w:ascii="Arial" w:hAnsi="Arial" w:cs="Arial"/>
          <w:color w:val="474747"/>
          <w:sz w:val="19"/>
          <w:szCs w:val="19"/>
        </w:rPr>
        <w:t xml:space="preserve">ified </w:t>
      </w:r>
      <w:r>
        <w:rPr>
          <w:rFonts w:ascii="Arial" w:hAnsi="Arial" w:cs="Arial"/>
          <w:color w:val="5B5B5B"/>
          <w:sz w:val="19"/>
          <w:szCs w:val="19"/>
        </w:rPr>
        <w:t>L</w:t>
      </w:r>
      <w:r>
        <w:rPr>
          <w:rFonts w:ascii="Arial" w:hAnsi="Arial" w:cs="Arial"/>
          <w:color w:val="373737"/>
          <w:sz w:val="19"/>
          <w:szCs w:val="19"/>
        </w:rPr>
        <w:t>T</w:t>
      </w:r>
      <w:r>
        <w:rPr>
          <w:rFonts w:ascii="Arial" w:hAnsi="Arial" w:cs="Arial"/>
          <w:color w:val="5B5B5B"/>
          <w:sz w:val="19"/>
          <w:szCs w:val="19"/>
        </w:rPr>
        <w:t>SS Coord</w:t>
      </w:r>
      <w:r>
        <w:rPr>
          <w:rFonts w:ascii="Arial" w:hAnsi="Arial" w:cs="Arial"/>
          <w:color w:val="787878"/>
          <w:sz w:val="19"/>
          <w:szCs w:val="19"/>
        </w:rPr>
        <w:t>i</w:t>
      </w:r>
      <w:r>
        <w:rPr>
          <w:rFonts w:ascii="Arial" w:hAnsi="Arial" w:cs="Arial"/>
          <w:color w:val="373737"/>
          <w:sz w:val="19"/>
          <w:szCs w:val="19"/>
        </w:rPr>
        <w:t>nat</w:t>
      </w:r>
      <w:r>
        <w:rPr>
          <w:rFonts w:ascii="Arial" w:hAnsi="Arial" w:cs="Arial"/>
          <w:color w:val="5B5B5B"/>
          <w:sz w:val="19"/>
          <w:szCs w:val="19"/>
        </w:rPr>
        <w:t xml:space="preserve">or </w:t>
      </w:r>
      <w:r>
        <w:rPr>
          <w:rFonts w:ascii="Arial" w:hAnsi="Arial" w:cs="Arial"/>
          <w:color w:val="474747"/>
          <w:sz w:val="19"/>
          <w:szCs w:val="19"/>
        </w:rPr>
        <w:t xml:space="preserve">from </w:t>
      </w:r>
      <w:r>
        <w:rPr>
          <w:rFonts w:ascii="Arial" w:hAnsi="Arial" w:cs="Arial"/>
          <w:color w:val="5B5B5B"/>
          <w:sz w:val="19"/>
          <w:szCs w:val="19"/>
        </w:rPr>
        <w:t>a commu</w:t>
      </w:r>
      <w:r>
        <w:rPr>
          <w:rFonts w:ascii="Arial" w:hAnsi="Arial" w:cs="Arial"/>
          <w:color w:val="373737"/>
          <w:sz w:val="19"/>
          <w:szCs w:val="19"/>
        </w:rPr>
        <w:t>n</w:t>
      </w:r>
      <w:r>
        <w:rPr>
          <w:rFonts w:ascii="Arial" w:hAnsi="Arial" w:cs="Arial"/>
          <w:color w:val="5B5B5B"/>
          <w:sz w:val="19"/>
          <w:szCs w:val="19"/>
        </w:rPr>
        <w:t>ity based organ</w:t>
      </w:r>
      <w:r>
        <w:rPr>
          <w:rFonts w:ascii="Arial" w:hAnsi="Arial" w:cs="Arial"/>
          <w:color w:val="373737"/>
          <w:sz w:val="19"/>
          <w:szCs w:val="19"/>
        </w:rPr>
        <w:t>i</w:t>
      </w:r>
      <w:r>
        <w:rPr>
          <w:rFonts w:ascii="Arial" w:hAnsi="Arial" w:cs="Arial"/>
          <w:color w:val="5B5B5B"/>
          <w:sz w:val="19"/>
          <w:szCs w:val="19"/>
        </w:rPr>
        <w:t>za</w:t>
      </w:r>
      <w:r>
        <w:rPr>
          <w:rFonts w:ascii="Arial" w:hAnsi="Arial" w:cs="Arial"/>
          <w:color w:val="373737"/>
          <w:sz w:val="19"/>
          <w:szCs w:val="19"/>
        </w:rPr>
        <w:t>t</w:t>
      </w:r>
      <w:r>
        <w:rPr>
          <w:rFonts w:ascii="Arial" w:hAnsi="Arial" w:cs="Arial"/>
          <w:color w:val="787878"/>
          <w:sz w:val="19"/>
          <w:szCs w:val="19"/>
        </w:rPr>
        <w:t>i</w:t>
      </w:r>
      <w:r>
        <w:rPr>
          <w:rFonts w:ascii="Arial" w:hAnsi="Arial" w:cs="Arial"/>
          <w:color w:val="474747"/>
          <w:sz w:val="19"/>
          <w:szCs w:val="19"/>
        </w:rPr>
        <w:t xml:space="preserve">on </w:t>
      </w:r>
      <w:r>
        <w:rPr>
          <w:rFonts w:ascii="Arial" w:hAnsi="Arial" w:cs="Arial"/>
          <w:color w:val="5B5B5B"/>
          <w:sz w:val="19"/>
          <w:szCs w:val="19"/>
        </w:rPr>
        <w:t>(CBO) suc</w:t>
      </w:r>
      <w:r>
        <w:rPr>
          <w:rFonts w:ascii="Arial" w:hAnsi="Arial" w:cs="Arial"/>
          <w:color w:val="373737"/>
          <w:sz w:val="19"/>
          <w:szCs w:val="19"/>
        </w:rPr>
        <w:t xml:space="preserve">h </w:t>
      </w:r>
      <w:r>
        <w:rPr>
          <w:rFonts w:ascii="Arial" w:hAnsi="Arial" w:cs="Arial"/>
          <w:color w:val="5B5B5B"/>
          <w:sz w:val="19"/>
          <w:szCs w:val="19"/>
        </w:rPr>
        <w:t>as an Independent Liv</w:t>
      </w:r>
      <w:r>
        <w:rPr>
          <w:rFonts w:ascii="Arial" w:hAnsi="Arial" w:cs="Arial"/>
          <w:color w:val="373737"/>
          <w:sz w:val="19"/>
          <w:szCs w:val="19"/>
        </w:rPr>
        <w:t>in</w:t>
      </w:r>
      <w:r>
        <w:rPr>
          <w:rFonts w:ascii="Arial" w:hAnsi="Arial" w:cs="Arial"/>
          <w:color w:val="5B5B5B"/>
          <w:sz w:val="19"/>
          <w:szCs w:val="19"/>
        </w:rPr>
        <w:t xml:space="preserve">g </w:t>
      </w:r>
      <w:r>
        <w:rPr>
          <w:rFonts w:ascii="Arial" w:hAnsi="Arial" w:cs="Arial"/>
          <w:color w:val="474747"/>
          <w:sz w:val="19"/>
          <w:szCs w:val="19"/>
        </w:rPr>
        <w:t xml:space="preserve">Center </w:t>
      </w:r>
      <w:r>
        <w:rPr>
          <w:rFonts w:ascii="Arial" w:hAnsi="Arial" w:cs="Arial"/>
          <w:color w:val="5B5B5B"/>
          <w:sz w:val="19"/>
          <w:szCs w:val="19"/>
        </w:rPr>
        <w:t>(I</w:t>
      </w:r>
      <w:r>
        <w:rPr>
          <w:rFonts w:ascii="Arial" w:hAnsi="Arial" w:cs="Arial"/>
          <w:color w:val="373737"/>
          <w:sz w:val="19"/>
          <w:szCs w:val="19"/>
        </w:rPr>
        <w:t>L</w:t>
      </w:r>
      <w:r>
        <w:rPr>
          <w:rFonts w:ascii="Arial" w:hAnsi="Arial" w:cs="Arial"/>
          <w:color w:val="5B5B5B"/>
          <w:sz w:val="19"/>
          <w:szCs w:val="19"/>
        </w:rPr>
        <w:t>C), a Recovery L</w:t>
      </w:r>
      <w:r>
        <w:rPr>
          <w:rFonts w:ascii="Arial" w:hAnsi="Arial" w:cs="Arial"/>
          <w:color w:val="474747"/>
          <w:sz w:val="19"/>
          <w:szCs w:val="19"/>
        </w:rPr>
        <w:t xml:space="preserve">earning </w:t>
      </w:r>
      <w:r>
        <w:rPr>
          <w:rFonts w:ascii="Arial" w:hAnsi="Arial" w:cs="Arial"/>
          <w:color w:val="5B5B5B"/>
          <w:sz w:val="19"/>
          <w:szCs w:val="19"/>
        </w:rPr>
        <w:t>Community (RLC}, an Aging Serv</w:t>
      </w:r>
      <w:r>
        <w:rPr>
          <w:rFonts w:ascii="Arial" w:hAnsi="Arial" w:cs="Arial"/>
          <w:color w:val="787878"/>
          <w:sz w:val="19"/>
          <w:szCs w:val="19"/>
        </w:rPr>
        <w:t>i</w:t>
      </w:r>
      <w:r>
        <w:rPr>
          <w:rFonts w:ascii="Arial" w:hAnsi="Arial" w:cs="Arial"/>
          <w:color w:val="474747"/>
          <w:sz w:val="19"/>
          <w:szCs w:val="19"/>
        </w:rPr>
        <w:t xml:space="preserve">ces </w:t>
      </w:r>
      <w:r>
        <w:rPr>
          <w:rFonts w:ascii="Arial" w:hAnsi="Arial" w:cs="Arial"/>
          <w:color w:val="373737"/>
          <w:sz w:val="19"/>
          <w:szCs w:val="19"/>
        </w:rPr>
        <w:t>A</w:t>
      </w:r>
      <w:r>
        <w:rPr>
          <w:rFonts w:ascii="Arial" w:hAnsi="Arial" w:cs="Arial"/>
          <w:color w:val="5B5B5B"/>
          <w:sz w:val="19"/>
          <w:szCs w:val="19"/>
        </w:rPr>
        <w:t xml:space="preserve">ccess </w:t>
      </w:r>
      <w:r>
        <w:rPr>
          <w:rFonts w:ascii="Arial" w:hAnsi="Arial" w:cs="Arial"/>
          <w:color w:val="373737"/>
          <w:sz w:val="19"/>
          <w:szCs w:val="19"/>
        </w:rPr>
        <w:t>P</w:t>
      </w:r>
      <w:r>
        <w:rPr>
          <w:rFonts w:ascii="Arial" w:hAnsi="Arial" w:cs="Arial"/>
          <w:color w:val="5B5B5B"/>
          <w:sz w:val="19"/>
          <w:szCs w:val="19"/>
        </w:rPr>
        <w:t>oi</w:t>
      </w:r>
      <w:r>
        <w:rPr>
          <w:rFonts w:ascii="Arial" w:hAnsi="Arial" w:cs="Arial"/>
          <w:color w:val="474747"/>
          <w:sz w:val="19"/>
          <w:szCs w:val="19"/>
        </w:rPr>
        <w:t xml:space="preserve">nt </w:t>
      </w:r>
      <w:r>
        <w:rPr>
          <w:rFonts w:ascii="Arial" w:hAnsi="Arial" w:cs="Arial"/>
          <w:color w:val="5B5B5B"/>
          <w:sz w:val="19"/>
          <w:szCs w:val="19"/>
        </w:rPr>
        <w:t xml:space="preserve">(ASAP), </w:t>
      </w:r>
      <w:r>
        <w:rPr>
          <w:rFonts w:ascii="Arial" w:hAnsi="Arial" w:cs="Arial"/>
          <w:color w:val="474747"/>
          <w:sz w:val="19"/>
          <w:szCs w:val="19"/>
        </w:rPr>
        <w:t xml:space="preserve">Deaf and </w:t>
      </w:r>
      <w:r>
        <w:rPr>
          <w:rFonts w:ascii="Arial" w:hAnsi="Arial" w:cs="Arial"/>
          <w:color w:val="373737"/>
          <w:sz w:val="19"/>
          <w:szCs w:val="19"/>
        </w:rPr>
        <w:t>H</w:t>
      </w:r>
      <w:r>
        <w:rPr>
          <w:rFonts w:ascii="Arial" w:hAnsi="Arial" w:cs="Arial"/>
          <w:color w:val="5B5B5B"/>
          <w:sz w:val="19"/>
          <w:szCs w:val="19"/>
        </w:rPr>
        <w:t xml:space="preserve">ard </w:t>
      </w:r>
      <w:r>
        <w:rPr>
          <w:rFonts w:ascii="Arial" w:hAnsi="Arial" w:cs="Arial"/>
          <w:color w:val="474747"/>
          <w:sz w:val="19"/>
          <w:szCs w:val="19"/>
        </w:rPr>
        <w:t xml:space="preserve">of </w:t>
      </w:r>
      <w:r>
        <w:rPr>
          <w:rFonts w:ascii="Arial" w:hAnsi="Arial" w:cs="Arial"/>
          <w:color w:val="373737"/>
          <w:sz w:val="19"/>
          <w:szCs w:val="19"/>
        </w:rPr>
        <w:t>Hea</w:t>
      </w:r>
      <w:r>
        <w:rPr>
          <w:rFonts w:ascii="Arial" w:hAnsi="Arial" w:cs="Arial"/>
          <w:color w:val="5B5B5B"/>
          <w:sz w:val="19"/>
          <w:szCs w:val="19"/>
        </w:rPr>
        <w:t xml:space="preserve">ring </w:t>
      </w:r>
      <w:r>
        <w:rPr>
          <w:rFonts w:ascii="Arial" w:hAnsi="Arial" w:cs="Arial"/>
          <w:color w:val="474747"/>
          <w:sz w:val="19"/>
          <w:szCs w:val="19"/>
        </w:rPr>
        <w:t>Independent Liv</w:t>
      </w:r>
      <w:r>
        <w:rPr>
          <w:rFonts w:ascii="Arial" w:hAnsi="Arial" w:cs="Arial"/>
          <w:color w:val="1F1F1F"/>
          <w:sz w:val="19"/>
          <w:szCs w:val="19"/>
        </w:rPr>
        <w:t>i</w:t>
      </w:r>
      <w:r>
        <w:rPr>
          <w:rFonts w:ascii="Arial" w:hAnsi="Arial" w:cs="Arial"/>
          <w:color w:val="5B5B5B"/>
          <w:sz w:val="19"/>
          <w:szCs w:val="19"/>
        </w:rPr>
        <w:t>ng Serv</w:t>
      </w:r>
      <w:r>
        <w:rPr>
          <w:rFonts w:ascii="Arial" w:hAnsi="Arial" w:cs="Arial"/>
          <w:color w:val="1F1F1F"/>
          <w:sz w:val="19"/>
          <w:szCs w:val="19"/>
        </w:rPr>
        <w:t>i</w:t>
      </w:r>
      <w:r>
        <w:rPr>
          <w:rFonts w:ascii="Arial" w:hAnsi="Arial" w:cs="Arial"/>
          <w:color w:val="5B5B5B"/>
          <w:sz w:val="19"/>
          <w:szCs w:val="19"/>
        </w:rPr>
        <w:t xml:space="preserve">ces </w:t>
      </w:r>
      <w:r>
        <w:rPr>
          <w:rFonts w:ascii="Arial" w:hAnsi="Arial" w:cs="Arial"/>
          <w:color w:val="474747"/>
          <w:sz w:val="19"/>
          <w:szCs w:val="19"/>
        </w:rPr>
        <w:t xml:space="preserve">programs, </w:t>
      </w:r>
      <w:r>
        <w:rPr>
          <w:rFonts w:ascii="Arial" w:hAnsi="Arial" w:cs="Arial"/>
          <w:color w:val="5B5B5B"/>
          <w:sz w:val="19"/>
          <w:szCs w:val="19"/>
        </w:rPr>
        <w:t xml:space="preserve">The </w:t>
      </w:r>
      <w:r>
        <w:rPr>
          <w:rFonts w:ascii="Arial" w:hAnsi="Arial" w:cs="Arial"/>
          <w:color w:val="474747"/>
          <w:sz w:val="19"/>
          <w:szCs w:val="19"/>
        </w:rPr>
        <w:t>ARC</w:t>
      </w:r>
      <w:r>
        <w:rPr>
          <w:rFonts w:ascii="Arial" w:hAnsi="Arial" w:cs="Arial"/>
          <w:color w:val="787878"/>
          <w:sz w:val="19"/>
          <w:szCs w:val="19"/>
        </w:rPr>
        <w:t xml:space="preserve">, </w:t>
      </w:r>
      <w:r>
        <w:rPr>
          <w:rFonts w:ascii="Arial" w:hAnsi="Arial" w:cs="Arial"/>
          <w:color w:val="5B5B5B"/>
          <w:sz w:val="19"/>
          <w:szCs w:val="19"/>
        </w:rPr>
        <w:t>or o</w:t>
      </w:r>
      <w:r>
        <w:rPr>
          <w:rFonts w:ascii="Arial" w:hAnsi="Arial" w:cs="Arial"/>
          <w:color w:val="373737"/>
          <w:sz w:val="19"/>
          <w:szCs w:val="19"/>
        </w:rPr>
        <w:t>the</w:t>
      </w:r>
      <w:r>
        <w:rPr>
          <w:rFonts w:ascii="Arial" w:hAnsi="Arial" w:cs="Arial"/>
          <w:color w:val="5B5B5B"/>
          <w:sz w:val="19"/>
          <w:szCs w:val="19"/>
        </w:rPr>
        <w:t>r key organiza</w:t>
      </w:r>
      <w:r>
        <w:rPr>
          <w:rFonts w:ascii="Arial" w:hAnsi="Arial" w:cs="Arial"/>
          <w:color w:val="373737"/>
          <w:sz w:val="19"/>
          <w:szCs w:val="19"/>
        </w:rPr>
        <w:t>ti</w:t>
      </w:r>
      <w:r>
        <w:rPr>
          <w:rFonts w:ascii="Arial" w:hAnsi="Arial" w:cs="Arial"/>
          <w:color w:val="5B5B5B"/>
          <w:sz w:val="19"/>
          <w:szCs w:val="19"/>
        </w:rPr>
        <w:t>ons ex</w:t>
      </w:r>
      <w:r>
        <w:rPr>
          <w:rFonts w:ascii="Arial" w:hAnsi="Arial" w:cs="Arial"/>
          <w:color w:val="373737"/>
          <w:sz w:val="19"/>
          <w:szCs w:val="19"/>
        </w:rPr>
        <w:t>p</w:t>
      </w:r>
      <w:r>
        <w:rPr>
          <w:rFonts w:ascii="Arial" w:hAnsi="Arial" w:cs="Arial"/>
          <w:color w:val="5B5B5B"/>
          <w:sz w:val="19"/>
          <w:szCs w:val="19"/>
        </w:rPr>
        <w:t xml:space="preserve">ert </w:t>
      </w:r>
      <w:r>
        <w:rPr>
          <w:rFonts w:ascii="Arial" w:hAnsi="Arial" w:cs="Arial"/>
          <w:color w:val="787878"/>
          <w:sz w:val="19"/>
          <w:szCs w:val="19"/>
        </w:rPr>
        <w:t>I</w:t>
      </w:r>
      <w:r>
        <w:rPr>
          <w:rFonts w:ascii="Arial" w:hAnsi="Arial" w:cs="Arial"/>
          <w:color w:val="5B5B5B"/>
          <w:sz w:val="19"/>
          <w:szCs w:val="19"/>
        </w:rPr>
        <w:t xml:space="preserve">n </w:t>
      </w:r>
      <w:r>
        <w:rPr>
          <w:rFonts w:ascii="Arial" w:hAnsi="Arial" w:cs="Arial"/>
          <w:color w:val="474747"/>
          <w:sz w:val="19"/>
          <w:szCs w:val="19"/>
        </w:rPr>
        <w:t>working w</w:t>
      </w:r>
      <w:r>
        <w:rPr>
          <w:rFonts w:ascii="Arial" w:hAnsi="Arial" w:cs="Arial"/>
          <w:color w:val="787878"/>
          <w:sz w:val="19"/>
          <w:szCs w:val="19"/>
        </w:rPr>
        <w:t>i</w:t>
      </w:r>
      <w:r>
        <w:rPr>
          <w:rFonts w:ascii="Arial" w:hAnsi="Arial" w:cs="Arial"/>
          <w:color w:val="1F1F1F"/>
          <w:sz w:val="19"/>
          <w:szCs w:val="19"/>
        </w:rPr>
        <w:t>t</w:t>
      </w:r>
      <w:r>
        <w:rPr>
          <w:rFonts w:ascii="Arial" w:hAnsi="Arial" w:cs="Arial"/>
          <w:color w:val="5B5B5B"/>
          <w:sz w:val="19"/>
          <w:szCs w:val="19"/>
        </w:rPr>
        <w:t xml:space="preserve">h people </w:t>
      </w:r>
      <w:r>
        <w:rPr>
          <w:rFonts w:ascii="Arial" w:hAnsi="Arial" w:cs="Arial"/>
          <w:color w:val="474747"/>
          <w:sz w:val="19"/>
          <w:szCs w:val="19"/>
        </w:rPr>
        <w:t xml:space="preserve">with </w:t>
      </w:r>
      <w:r>
        <w:rPr>
          <w:rFonts w:ascii="Arial" w:hAnsi="Arial" w:cs="Arial"/>
          <w:color w:val="5B5B5B"/>
          <w:sz w:val="19"/>
          <w:szCs w:val="19"/>
        </w:rPr>
        <w:t>disa</w:t>
      </w:r>
      <w:r>
        <w:rPr>
          <w:rFonts w:ascii="Arial" w:hAnsi="Arial" w:cs="Arial"/>
          <w:color w:val="373737"/>
          <w:sz w:val="19"/>
          <w:szCs w:val="19"/>
        </w:rPr>
        <w:t>biliti</w:t>
      </w:r>
      <w:r>
        <w:rPr>
          <w:rFonts w:ascii="Arial" w:hAnsi="Arial" w:cs="Arial"/>
          <w:color w:val="474747"/>
          <w:sz w:val="19"/>
          <w:szCs w:val="19"/>
        </w:rPr>
        <w:t xml:space="preserve">es. </w:t>
      </w:r>
      <w:r>
        <w:rPr>
          <w:rFonts w:ascii="Arial" w:hAnsi="Arial" w:cs="Arial"/>
          <w:color w:val="1F1F1F"/>
          <w:sz w:val="19"/>
          <w:szCs w:val="19"/>
        </w:rPr>
        <w:t>M</w:t>
      </w:r>
      <w:r>
        <w:rPr>
          <w:rFonts w:ascii="Arial" w:hAnsi="Arial" w:cs="Arial"/>
          <w:color w:val="474747"/>
          <w:sz w:val="19"/>
          <w:szCs w:val="19"/>
        </w:rPr>
        <w:t>assHea</w:t>
      </w:r>
      <w:r>
        <w:rPr>
          <w:rFonts w:ascii="Arial" w:hAnsi="Arial" w:cs="Arial"/>
          <w:color w:val="787878"/>
          <w:sz w:val="19"/>
          <w:szCs w:val="19"/>
        </w:rPr>
        <w:t>l</w:t>
      </w:r>
      <w:r>
        <w:rPr>
          <w:rFonts w:ascii="Arial" w:hAnsi="Arial" w:cs="Arial"/>
          <w:color w:val="373737"/>
          <w:sz w:val="19"/>
          <w:szCs w:val="19"/>
        </w:rPr>
        <w:t>t</w:t>
      </w:r>
      <w:r>
        <w:rPr>
          <w:rFonts w:ascii="Arial" w:hAnsi="Arial" w:cs="Arial"/>
          <w:color w:val="5B5B5B"/>
          <w:sz w:val="19"/>
          <w:szCs w:val="19"/>
        </w:rPr>
        <w:t xml:space="preserve">h </w:t>
      </w:r>
      <w:r>
        <w:rPr>
          <w:rFonts w:ascii="Arial" w:hAnsi="Arial" w:cs="Arial"/>
          <w:color w:val="373737"/>
          <w:sz w:val="19"/>
          <w:szCs w:val="19"/>
        </w:rPr>
        <w:t>AC</w:t>
      </w:r>
      <w:r>
        <w:rPr>
          <w:rFonts w:ascii="Arial" w:hAnsi="Arial" w:cs="Arial"/>
          <w:color w:val="5B5B5B"/>
          <w:sz w:val="19"/>
          <w:szCs w:val="19"/>
        </w:rPr>
        <w:t xml:space="preserve">Os </w:t>
      </w:r>
      <w:r>
        <w:rPr>
          <w:rFonts w:ascii="Arial" w:hAnsi="Arial" w:cs="Arial"/>
          <w:color w:val="373737"/>
          <w:sz w:val="19"/>
          <w:szCs w:val="19"/>
        </w:rPr>
        <w:t>w</w:t>
      </w:r>
      <w:r>
        <w:rPr>
          <w:rFonts w:ascii="Arial" w:hAnsi="Arial" w:cs="Arial"/>
          <w:color w:val="787878"/>
          <w:sz w:val="19"/>
          <w:szCs w:val="19"/>
        </w:rPr>
        <w:t>i</w:t>
      </w:r>
      <w:r>
        <w:rPr>
          <w:rFonts w:ascii="Arial" w:hAnsi="Arial" w:cs="Arial"/>
          <w:color w:val="0B0B0B"/>
          <w:sz w:val="19"/>
          <w:szCs w:val="19"/>
        </w:rPr>
        <w:t>l</w:t>
      </w:r>
      <w:r>
        <w:rPr>
          <w:rFonts w:ascii="Arial" w:hAnsi="Arial" w:cs="Arial"/>
          <w:color w:val="474747"/>
          <w:sz w:val="19"/>
          <w:szCs w:val="19"/>
        </w:rPr>
        <w:t xml:space="preserve">l </w:t>
      </w:r>
      <w:r>
        <w:rPr>
          <w:rFonts w:ascii="Arial" w:hAnsi="Arial" w:cs="Arial"/>
          <w:color w:val="5B5B5B"/>
          <w:sz w:val="19"/>
          <w:szCs w:val="19"/>
        </w:rPr>
        <w:t xml:space="preserve">contract </w:t>
      </w:r>
      <w:r>
        <w:rPr>
          <w:rFonts w:ascii="Arial" w:hAnsi="Arial" w:cs="Arial"/>
          <w:color w:val="373737"/>
          <w:sz w:val="19"/>
          <w:szCs w:val="19"/>
        </w:rPr>
        <w:t>w</w:t>
      </w:r>
      <w:r>
        <w:rPr>
          <w:rFonts w:ascii="Arial" w:hAnsi="Arial" w:cs="Arial"/>
          <w:color w:val="5B5B5B"/>
          <w:sz w:val="19"/>
          <w:szCs w:val="19"/>
        </w:rPr>
        <w:t>i</w:t>
      </w:r>
      <w:r>
        <w:rPr>
          <w:rFonts w:ascii="Arial" w:hAnsi="Arial" w:cs="Arial"/>
          <w:color w:val="373737"/>
          <w:sz w:val="19"/>
          <w:szCs w:val="19"/>
        </w:rPr>
        <w:t>t</w:t>
      </w:r>
      <w:r>
        <w:rPr>
          <w:rFonts w:ascii="Arial" w:hAnsi="Arial" w:cs="Arial"/>
          <w:color w:val="5B5B5B"/>
          <w:sz w:val="19"/>
          <w:szCs w:val="19"/>
        </w:rPr>
        <w:t xml:space="preserve">h </w:t>
      </w:r>
      <w:r>
        <w:rPr>
          <w:rFonts w:ascii="Arial" w:hAnsi="Arial" w:cs="Arial"/>
          <w:color w:val="373737"/>
          <w:sz w:val="19"/>
          <w:szCs w:val="19"/>
        </w:rPr>
        <w:t>t</w:t>
      </w:r>
      <w:r>
        <w:rPr>
          <w:rFonts w:ascii="Arial" w:hAnsi="Arial" w:cs="Arial"/>
          <w:color w:val="5B5B5B"/>
          <w:sz w:val="19"/>
          <w:szCs w:val="19"/>
        </w:rPr>
        <w:t xml:space="preserve">hese </w:t>
      </w:r>
      <w:r>
        <w:rPr>
          <w:rFonts w:ascii="Arial" w:hAnsi="Arial" w:cs="Arial"/>
          <w:color w:val="373737"/>
          <w:sz w:val="19"/>
          <w:szCs w:val="19"/>
        </w:rPr>
        <w:t>CBO</w:t>
      </w:r>
      <w:r>
        <w:rPr>
          <w:rFonts w:ascii="Arial" w:hAnsi="Arial" w:cs="Arial"/>
          <w:color w:val="5B5B5B"/>
          <w:sz w:val="19"/>
          <w:szCs w:val="19"/>
        </w:rPr>
        <w:t xml:space="preserve">s to </w:t>
      </w:r>
      <w:r>
        <w:rPr>
          <w:rFonts w:ascii="Arial" w:hAnsi="Arial" w:cs="Arial"/>
          <w:color w:val="474747"/>
          <w:sz w:val="19"/>
          <w:szCs w:val="19"/>
        </w:rPr>
        <w:t xml:space="preserve">provide </w:t>
      </w:r>
      <w:r>
        <w:rPr>
          <w:rFonts w:ascii="Arial" w:hAnsi="Arial" w:cs="Arial"/>
          <w:color w:val="5B5B5B"/>
          <w:sz w:val="19"/>
          <w:szCs w:val="19"/>
        </w:rPr>
        <w:t>s</w:t>
      </w:r>
      <w:r>
        <w:rPr>
          <w:rFonts w:ascii="Arial" w:hAnsi="Arial" w:cs="Arial"/>
          <w:color w:val="0B0B0B"/>
          <w:sz w:val="19"/>
          <w:szCs w:val="19"/>
        </w:rPr>
        <w:t>t</w:t>
      </w:r>
      <w:r>
        <w:rPr>
          <w:rFonts w:ascii="Arial" w:hAnsi="Arial" w:cs="Arial"/>
          <w:color w:val="474747"/>
          <w:sz w:val="19"/>
          <w:szCs w:val="19"/>
        </w:rPr>
        <w:t xml:space="preserve">aff </w:t>
      </w:r>
      <w:r>
        <w:rPr>
          <w:rFonts w:ascii="Arial" w:hAnsi="Arial" w:cs="Arial"/>
          <w:color w:val="5B5B5B"/>
          <w:sz w:val="19"/>
          <w:szCs w:val="19"/>
        </w:rPr>
        <w:t>spec</w:t>
      </w:r>
      <w:r>
        <w:rPr>
          <w:rFonts w:ascii="Arial" w:hAnsi="Arial" w:cs="Arial"/>
          <w:color w:val="787878"/>
          <w:sz w:val="19"/>
          <w:szCs w:val="19"/>
        </w:rPr>
        <w:t>i</w:t>
      </w:r>
      <w:r>
        <w:rPr>
          <w:rFonts w:ascii="Arial" w:hAnsi="Arial" w:cs="Arial"/>
          <w:color w:val="373737"/>
          <w:sz w:val="19"/>
          <w:szCs w:val="19"/>
        </w:rPr>
        <w:t>fi</w:t>
      </w:r>
      <w:r>
        <w:rPr>
          <w:rFonts w:ascii="Arial" w:hAnsi="Arial" w:cs="Arial"/>
          <w:color w:val="5B5B5B"/>
          <w:sz w:val="19"/>
          <w:szCs w:val="19"/>
        </w:rPr>
        <w:t xml:space="preserve">cally </w:t>
      </w:r>
      <w:r>
        <w:rPr>
          <w:rFonts w:ascii="Arial" w:hAnsi="Arial" w:cs="Arial"/>
          <w:color w:val="474747"/>
          <w:sz w:val="19"/>
          <w:szCs w:val="19"/>
        </w:rPr>
        <w:t xml:space="preserve">trained to </w:t>
      </w:r>
      <w:r>
        <w:rPr>
          <w:rFonts w:ascii="Arial" w:hAnsi="Arial" w:cs="Arial"/>
          <w:color w:val="5B5B5B"/>
          <w:sz w:val="19"/>
          <w:szCs w:val="19"/>
        </w:rPr>
        <w:t>se</w:t>
      </w:r>
      <w:r>
        <w:rPr>
          <w:rFonts w:ascii="Arial" w:hAnsi="Arial" w:cs="Arial"/>
          <w:color w:val="373737"/>
          <w:sz w:val="19"/>
          <w:szCs w:val="19"/>
        </w:rPr>
        <w:t>rv</w:t>
      </w:r>
      <w:r>
        <w:rPr>
          <w:rFonts w:ascii="Arial" w:hAnsi="Arial" w:cs="Arial"/>
          <w:color w:val="5B5B5B"/>
          <w:sz w:val="19"/>
          <w:szCs w:val="19"/>
        </w:rPr>
        <w:t xml:space="preserve">e </w:t>
      </w:r>
      <w:r>
        <w:rPr>
          <w:rFonts w:ascii="Arial" w:hAnsi="Arial" w:cs="Arial"/>
          <w:color w:val="474747"/>
          <w:sz w:val="19"/>
          <w:szCs w:val="19"/>
        </w:rPr>
        <w:t xml:space="preserve">as </w:t>
      </w:r>
      <w:r>
        <w:rPr>
          <w:rFonts w:ascii="Arial" w:hAnsi="Arial" w:cs="Arial"/>
          <w:color w:val="5B5B5B"/>
          <w:sz w:val="19"/>
          <w:szCs w:val="19"/>
        </w:rPr>
        <w:t>independen</w:t>
      </w:r>
      <w:r>
        <w:rPr>
          <w:rFonts w:ascii="Arial" w:hAnsi="Arial" w:cs="Arial"/>
          <w:color w:val="373737"/>
          <w:sz w:val="19"/>
          <w:szCs w:val="19"/>
        </w:rPr>
        <w:t xml:space="preserve">t </w:t>
      </w:r>
      <w:r>
        <w:rPr>
          <w:rFonts w:ascii="Arial" w:hAnsi="Arial" w:cs="Arial"/>
          <w:color w:val="5B5B5B"/>
          <w:sz w:val="19"/>
          <w:szCs w:val="19"/>
        </w:rPr>
        <w:t>L</w:t>
      </w:r>
      <w:r>
        <w:rPr>
          <w:rFonts w:ascii="Arial" w:hAnsi="Arial" w:cs="Arial"/>
          <w:color w:val="1F1F1F"/>
          <w:sz w:val="19"/>
          <w:szCs w:val="19"/>
        </w:rPr>
        <w:t>T</w:t>
      </w:r>
      <w:r>
        <w:rPr>
          <w:rFonts w:ascii="Arial" w:hAnsi="Arial" w:cs="Arial"/>
          <w:color w:val="5B5B5B"/>
          <w:sz w:val="19"/>
          <w:szCs w:val="19"/>
        </w:rPr>
        <w:t>SS Coor</w:t>
      </w:r>
      <w:r>
        <w:rPr>
          <w:rFonts w:ascii="Arial" w:hAnsi="Arial" w:cs="Arial"/>
          <w:color w:val="373737"/>
          <w:sz w:val="19"/>
          <w:szCs w:val="19"/>
        </w:rPr>
        <w:t>d</w:t>
      </w:r>
      <w:r>
        <w:rPr>
          <w:rFonts w:ascii="Arial" w:hAnsi="Arial" w:cs="Arial"/>
          <w:color w:val="787878"/>
          <w:sz w:val="19"/>
          <w:szCs w:val="19"/>
        </w:rPr>
        <w:t>i</w:t>
      </w:r>
      <w:r>
        <w:rPr>
          <w:rFonts w:ascii="Arial" w:hAnsi="Arial" w:cs="Arial"/>
          <w:color w:val="474747"/>
          <w:sz w:val="19"/>
          <w:szCs w:val="19"/>
        </w:rPr>
        <w:t xml:space="preserve">nators for </w:t>
      </w:r>
      <w:r>
        <w:rPr>
          <w:rFonts w:ascii="Arial" w:hAnsi="Arial" w:cs="Arial"/>
          <w:color w:val="1F1F1F"/>
          <w:sz w:val="19"/>
          <w:szCs w:val="19"/>
        </w:rPr>
        <w:t>t</w:t>
      </w:r>
      <w:r>
        <w:rPr>
          <w:rFonts w:ascii="Arial" w:hAnsi="Arial" w:cs="Arial"/>
          <w:color w:val="5B5B5B"/>
          <w:sz w:val="19"/>
          <w:szCs w:val="19"/>
        </w:rPr>
        <w:t>he</w:t>
      </w:r>
      <w:r>
        <w:rPr>
          <w:rFonts w:ascii="Arial" w:hAnsi="Arial" w:cs="Arial"/>
          <w:color w:val="1F1F1F"/>
          <w:sz w:val="19"/>
          <w:szCs w:val="19"/>
        </w:rPr>
        <w:t>i</w:t>
      </w:r>
      <w:r>
        <w:rPr>
          <w:rFonts w:ascii="Arial" w:hAnsi="Arial" w:cs="Arial"/>
          <w:color w:val="474747"/>
          <w:sz w:val="19"/>
          <w:szCs w:val="19"/>
        </w:rPr>
        <w:t>r enrollees</w:t>
      </w:r>
      <w:r>
        <w:rPr>
          <w:rFonts w:ascii="Arial" w:hAnsi="Arial" w:cs="Arial"/>
          <w:color w:val="787878"/>
          <w:sz w:val="19"/>
          <w:szCs w:val="19"/>
        </w:rPr>
        <w:t>.</w:t>
      </w:r>
    </w:p>
    <w:p w:rsidR="002C5025" w:rsidRDefault="002C5025">
      <w:pPr>
        <w:pStyle w:val="BodyText"/>
        <w:kinsoku w:val="0"/>
        <w:overflowPunct w:val="0"/>
        <w:spacing w:before="3"/>
        <w:rPr>
          <w:rFonts w:ascii="Arial" w:hAnsi="Arial" w:cs="Arial"/>
          <w:sz w:val="19"/>
          <w:szCs w:val="19"/>
        </w:rPr>
      </w:pPr>
    </w:p>
    <w:p w:rsidR="002C5025" w:rsidRDefault="002C5025">
      <w:pPr>
        <w:pStyle w:val="BodyText"/>
        <w:kinsoku w:val="0"/>
        <w:overflowPunct w:val="0"/>
        <w:spacing w:line="292" w:lineRule="auto"/>
        <w:ind w:left="131" w:right="316" w:firstLine="14"/>
        <w:rPr>
          <w:rFonts w:ascii="Arial" w:hAnsi="Arial" w:cs="Arial"/>
          <w:color w:val="A2A2A2"/>
          <w:sz w:val="19"/>
          <w:szCs w:val="19"/>
        </w:rPr>
      </w:pPr>
      <w:r>
        <w:rPr>
          <w:rFonts w:ascii="Arial" w:hAnsi="Arial" w:cs="Arial"/>
          <w:color w:val="373737"/>
          <w:sz w:val="19"/>
          <w:szCs w:val="19"/>
        </w:rPr>
        <w:t>Ma</w:t>
      </w:r>
      <w:r>
        <w:rPr>
          <w:rFonts w:ascii="Arial" w:hAnsi="Arial" w:cs="Arial"/>
          <w:color w:val="5B5B5B"/>
          <w:sz w:val="19"/>
          <w:szCs w:val="19"/>
        </w:rPr>
        <w:t>ssHea</w:t>
      </w:r>
      <w:r>
        <w:rPr>
          <w:rFonts w:ascii="Arial" w:hAnsi="Arial" w:cs="Arial"/>
          <w:color w:val="373737"/>
          <w:sz w:val="19"/>
          <w:szCs w:val="19"/>
        </w:rPr>
        <w:t xml:space="preserve">lth </w:t>
      </w:r>
      <w:r>
        <w:rPr>
          <w:rFonts w:ascii="Arial" w:hAnsi="Arial" w:cs="Arial"/>
          <w:color w:val="5B5B5B"/>
          <w:sz w:val="19"/>
          <w:szCs w:val="19"/>
        </w:rPr>
        <w:t xml:space="preserve">ACOs </w:t>
      </w:r>
      <w:r>
        <w:rPr>
          <w:rFonts w:ascii="Arial" w:hAnsi="Arial" w:cs="Arial"/>
          <w:color w:val="373737"/>
          <w:sz w:val="19"/>
          <w:szCs w:val="19"/>
        </w:rPr>
        <w:t>w</w:t>
      </w:r>
      <w:r>
        <w:rPr>
          <w:rFonts w:ascii="Arial" w:hAnsi="Arial" w:cs="Arial"/>
          <w:color w:val="5B5B5B"/>
          <w:sz w:val="19"/>
          <w:szCs w:val="19"/>
        </w:rPr>
        <w:t xml:space="preserve">ill be </w:t>
      </w:r>
      <w:r>
        <w:rPr>
          <w:rFonts w:ascii="Arial" w:hAnsi="Arial" w:cs="Arial"/>
          <w:color w:val="474747"/>
          <w:sz w:val="19"/>
          <w:szCs w:val="19"/>
        </w:rPr>
        <w:t xml:space="preserve">required </w:t>
      </w:r>
      <w:r>
        <w:rPr>
          <w:rFonts w:ascii="Arial" w:hAnsi="Arial" w:cs="Arial"/>
          <w:color w:val="5B5B5B"/>
          <w:sz w:val="19"/>
          <w:szCs w:val="19"/>
        </w:rPr>
        <w:t>to mai</w:t>
      </w:r>
      <w:r>
        <w:rPr>
          <w:rFonts w:ascii="Arial" w:hAnsi="Arial" w:cs="Arial"/>
          <w:color w:val="373737"/>
          <w:sz w:val="19"/>
          <w:szCs w:val="19"/>
        </w:rPr>
        <w:t>nt</w:t>
      </w:r>
      <w:r>
        <w:rPr>
          <w:rFonts w:ascii="Arial" w:hAnsi="Arial" w:cs="Arial"/>
          <w:color w:val="5B5B5B"/>
          <w:sz w:val="19"/>
          <w:szCs w:val="19"/>
        </w:rPr>
        <w:t>ain contractua</w:t>
      </w:r>
      <w:r>
        <w:rPr>
          <w:rFonts w:ascii="Arial" w:hAnsi="Arial" w:cs="Arial"/>
          <w:color w:val="0B0B0B"/>
          <w:sz w:val="19"/>
          <w:szCs w:val="19"/>
        </w:rPr>
        <w:t xml:space="preserve">l </w:t>
      </w:r>
      <w:r>
        <w:rPr>
          <w:rFonts w:ascii="Arial" w:hAnsi="Arial" w:cs="Arial"/>
          <w:color w:val="5B5B5B"/>
          <w:sz w:val="19"/>
          <w:szCs w:val="19"/>
        </w:rPr>
        <w:t>ag</w:t>
      </w:r>
      <w:r>
        <w:rPr>
          <w:rFonts w:ascii="Arial" w:hAnsi="Arial" w:cs="Arial"/>
          <w:color w:val="373737"/>
          <w:sz w:val="19"/>
          <w:szCs w:val="19"/>
        </w:rPr>
        <w:t>r</w:t>
      </w:r>
      <w:r>
        <w:rPr>
          <w:rFonts w:ascii="Arial" w:hAnsi="Arial" w:cs="Arial"/>
          <w:color w:val="5B5B5B"/>
          <w:sz w:val="19"/>
          <w:szCs w:val="19"/>
        </w:rPr>
        <w:t>eements wi</w:t>
      </w:r>
      <w:r>
        <w:rPr>
          <w:rFonts w:ascii="Arial" w:hAnsi="Arial" w:cs="Arial"/>
          <w:color w:val="373737"/>
          <w:sz w:val="19"/>
          <w:szCs w:val="19"/>
        </w:rPr>
        <w:t>t</w:t>
      </w:r>
      <w:r>
        <w:rPr>
          <w:rFonts w:ascii="Arial" w:hAnsi="Arial" w:cs="Arial"/>
          <w:color w:val="5B5B5B"/>
          <w:sz w:val="19"/>
          <w:szCs w:val="19"/>
        </w:rPr>
        <w:t xml:space="preserve">h </w:t>
      </w:r>
      <w:r>
        <w:rPr>
          <w:rFonts w:ascii="Arial" w:hAnsi="Arial" w:cs="Arial"/>
          <w:color w:val="474747"/>
          <w:sz w:val="19"/>
          <w:szCs w:val="19"/>
        </w:rPr>
        <w:t xml:space="preserve">CBOs </w:t>
      </w:r>
      <w:r>
        <w:rPr>
          <w:rFonts w:ascii="Arial" w:hAnsi="Arial" w:cs="Arial"/>
          <w:color w:val="373737"/>
          <w:sz w:val="19"/>
          <w:szCs w:val="19"/>
        </w:rPr>
        <w:t>t</w:t>
      </w:r>
      <w:r>
        <w:rPr>
          <w:rFonts w:ascii="Arial" w:hAnsi="Arial" w:cs="Arial"/>
          <w:color w:val="5B5B5B"/>
          <w:sz w:val="19"/>
          <w:szCs w:val="19"/>
        </w:rPr>
        <w:t>ha</w:t>
      </w:r>
      <w:r>
        <w:rPr>
          <w:rFonts w:ascii="Arial" w:hAnsi="Arial" w:cs="Arial"/>
          <w:color w:val="373737"/>
          <w:sz w:val="19"/>
          <w:szCs w:val="19"/>
        </w:rPr>
        <w:t xml:space="preserve">t </w:t>
      </w:r>
      <w:r>
        <w:rPr>
          <w:rFonts w:ascii="Arial" w:hAnsi="Arial" w:cs="Arial"/>
          <w:color w:val="5B5B5B"/>
          <w:sz w:val="19"/>
          <w:szCs w:val="19"/>
        </w:rPr>
        <w:t xml:space="preserve">have </w:t>
      </w:r>
      <w:r>
        <w:rPr>
          <w:rFonts w:ascii="Arial" w:hAnsi="Arial" w:cs="Arial"/>
          <w:color w:val="1F1F1F"/>
          <w:sz w:val="19"/>
          <w:szCs w:val="19"/>
        </w:rPr>
        <w:t>t</w:t>
      </w:r>
      <w:r>
        <w:rPr>
          <w:rFonts w:ascii="Arial" w:hAnsi="Arial" w:cs="Arial"/>
          <w:color w:val="474747"/>
          <w:sz w:val="19"/>
          <w:szCs w:val="19"/>
        </w:rPr>
        <w:t xml:space="preserve">he </w:t>
      </w:r>
      <w:r>
        <w:rPr>
          <w:rFonts w:ascii="Arial" w:hAnsi="Arial" w:cs="Arial"/>
          <w:color w:val="5B5B5B"/>
          <w:sz w:val="19"/>
          <w:szCs w:val="19"/>
        </w:rPr>
        <w:t>capacity and expert</w:t>
      </w:r>
      <w:r>
        <w:rPr>
          <w:rFonts w:ascii="Arial" w:hAnsi="Arial" w:cs="Arial"/>
          <w:color w:val="787878"/>
          <w:sz w:val="19"/>
          <w:szCs w:val="19"/>
        </w:rPr>
        <w:t>i</w:t>
      </w:r>
      <w:r>
        <w:rPr>
          <w:rFonts w:ascii="Arial" w:hAnsi="Arial" w:cs="Arial"/>
          <w:color w:val="5B5B5B"/>
          <w:sz w:val="19"/>
          <w:szCs w:val="19"/>
        </w:rPr>
        <w:t xml:space="preserve">se </w:t>
      </w:r>
      <w:r>
        <w:rPr>
          <w:rFonts w:ascii="Arial" w:hAnsi="Arial" w:cs="Arial"/>
          <w:color w:val="474747"/>
          <w:sz w:val="19"/>
          <w:szCs w:val="19"/>
        </w:rPr>
        <w:t>to prov</w:t>
      </w:r>
      <w:r>
        <w:rPr>
          <w:rFonts w:ascii="Arial" w:hAnsi="Arial" w:cs="Arial"/>
          <w:color w:val="787878"/>
          <w:sz w:val="19"/>
          <w:szCs w:val="19"/>
        </w:rPr>
        <w:t>i</w:t>
      </w:r>
      <w:r>
        <w:rPr>
          <w:rFonts w:ascii="Arial" w:hAnsi="Arial" w:cs="Arial"/>
          <w:color w:val="5B5B5B"/>
          <w:sz w:val="19"/>
          <w:szCs w:val="19"/>
        </w:rPr>
        <w:t>de LTSS coord</w:t>
      </w:r>
      <w:r>
        <w:rPr>
          <w:rFonts w:ascii="Arial" w:hAnsi="Arial" w:cs="Arial"/>
          <w:color w:val="373737"/>
          <w:sz w:val="19"/>
          <w:szCs w:val="19"/>
        </w:rPr>
        <w:t>i</w:t>
      </w:r>
      <w:r>
        <w:rPr>
          <w:rFonts w:ascii="Arial" w:hAnsi="Arial" w:cs="Arial"/>
          <w:color w:val="5B5B5B"/>
          <w:sz w:val="19"/>
          <w:szCs w:val="19"/>
        </w:rPr>
        <w:t>nator</w:t>
      </w:r>
      <w:r>
        <w:rPr>
          <w:rFonts w:ascii="Arial" w:hAnsi="Arial" w:cs="Arial"/>
          <w:color w:val="8D8D8D"/>
          <w:sz w:val="19"/>
          <w:szCs w:val="19"/>
        </w:rPr>
        <w:t xml:space="preserve">s </w:t>
      </w:r>
      <w:r>
        <w:rPr>
          <w:rFonts w:ascii="Arial" w:hAnsi="Arial" w:cs="Arial"/>
          <w:color w:val="5B5B5B"/>
          <w:sz w:val="19"/>
          <w:szCs w:val="19"/>
        </w:rPr>
        <w:t xml:space="preserve">and </w:t>
      </w:r>
      <w:r>
        <w:rPr>
          <w:rFonts w:ascii="Arial" w:hAnsi="Arial" w:cs="Arial"/>
          <w:color w:val="474747"/>
          <w:sz w:val="19"/>
          <w:szCs w:val="19"/>
        </w:rPr>
        <w:t xml:space="preserve">to </w:t>
      </w:r>
      <w:r>
        <w:rPr>
          <w:rFonts w:ascii="Arial" w:hAnsi="Arial" w:cs="Arial"/>
          <w:color w:val="5B5B5B"/>
          <w:sz w:val="19"/>
          <w:szCs w:val="19"/>
        </w:rPr>
        <w:t>over</w:t>
      </w:r>
      <w:r>
        <w:rPr>
          <w:rFonts w:ascii="Arial" w:hAnsi="Arial" w:cs="Arial"/>
          <w:color w:val="787878"/>
          <w:sz w:val="19"/>
          <w:szCs w:val="19"/>
        </w:rPr>
        <w:t>s</w:t>
      </w:r>
      <w:r>
        <w:rPr>
          <w:rFonts w:ascii="Arial" w:hAnsi="Arial" w:cs="Arial"/>
          <w:color w:val="5B5B5B"/>
          <w:sz w:val="19"/>
          <w:szCs w:val="19"/>
        </w:rPr>
        <w:t>ee the eva</w:t>
      </w:r>
      <w:r>
        <w:rPr>
          <w:rFonts w:ascii="Arial" w:hAnsi="Arial" w:cs="Arial"/>
          <w:color w:val="1F1F1F"/>
          <w:sz w:val="19"/>
          <w:szCs w:val="19"/>
        </w:rPr>
        <w:t>l</w:t>
      </w:r>
      <w:r>
        <w:rPr>
          <w:rFonts w:ascii="Arial" w:hAnsi="Arial" w:cs="Arial"/>
          <w:color w:val="5B5B5B"/>
          <w:sz w:val="19"/>
          <w:szCs w:val="19"/>
        </w:rPr>
        <w:t>ua</w:t>
      </w:r>
      <w:r>
        <w:rPr>
          <w:rFonts w:ascii="Arial" w:hAnsi="Arial" w:cs="Arial"/>
          <w:color w:val="373737"/>
          <w:sz w:val="19"/>
          <w:szCs w:val="19"/>
        </w:rPr>
        <w:t>ti</w:t>
      </w:r>
      <w:r>
        <w:rPr>
          <w:rFonts w:ascii="Arial" w:hAnsi="Arial" w:cs="Arial"/>
          <w:color w:val="5B5B5B"/>
          <w:sz w:val="19"/>
          <w:szCs w:val="19"/>
        </w:rPr>
        <w:t>on, as</w:t>
      </w:r>
      <w:r>
        <w:rPr>
          <w:rFonts w:ascii="Arial" w:hAnsi="Arial" w:cs="Arial"/>
          <w:color w:val="787878"/>
          <w:sz w:val="19"/>
          <w:szCs w:val="19"/>
        </w:rPr>
        <w:t>s</w:t>
      </w:r>
      <w:r>
        <w:rPr>
          <w:rFonts w:ascii="Arial" w:hAnsi="Arial" w:cs="Arial"/>
          <w:color w:val="5B5B5B"/>
          <w:sz w:val="19"/>
          <w:szCs w:val="19"/>
        </w:rPr>
        <w:t>e</w:t>
      </w:r>
      <w:r>
        <w:rPr>
          <w:rFonts w:ascii="Arial" w:hAnsi="Arial" w:cs="Arial"/>
          <w:color w:val="787878"/>
          <w:sz w:val="19"/>
          <w:szCs w:val="19"/>
        </w:rPr>
        <w:t>ss</w:t>
      </w:r>
      <w:r>
        <w:rPr>
          <w:rFonts w:ascii="Arial" w:hAnsi="Arial" w:cs="Arial"/>
          <w:color w:val="5B5B5B"/>
          <w:sz w:val="19"/>
          <w:szCs w:val="19"/>
        </w:rPr>
        <w:t>ment</w:t>
      </w:r>
      <w:r>
        <w:rPr>
          <w:rFonts w:ascii="Arial" w:hAnsi="Arial" w:cs="Arial"/>
          <w:color w:val="787878"/>
          <w:sz w:val="19"/>
          <w:szCs w:val="19"/>
        </w:rPr>
        <w:t xml:space="preserve">, </w:t>
      </w:r>
      <w:r>
        <w:rPr>
          <w:rFonts w:ascii="Arial" w:hAnsi="Arial" w:cs="Arial"/>
          <w:color w:val="5B5B5B"/>
          <w:sz w:val="19"/>
          <w:szCs w:val="19"/>
        </w:rPr>
        <w:t>a</w:t>
      </w:r>
      <w:r>
        <w:rPr>
          <w:rFonts w:ascii="Arial" w:hAnsi="Arial" w:cs="Arial"/>
          <w:color w:val="373737"/>
          <w:sz w:val="19"/>
          <w:szCs w:val="19"/>
        </w:rPr>
        <w:t>n</w:t>
      </w:r>
      <w:r>
        <w:rPr>
          <w:rFonts w:ascii="Arial" w:hAnsi="Arial" w:cs="Arial"/>
          <w:color w:val="5B5B5B"/>
          <w:sz w:val="19"/>
          <w:szCs w:val="19"/>
        </w:rPr>
        <w:t>d p</w:t>
      </w:r>
      <w:r>
        <w:rPr>
          <w:rFonts w:ascii="Arial" w:hAnsi="Arial" w:cs="Arial"/>
          <w:color w:val="787878"/>
          <w:sz w:val="19"/>
          <w:szCs w:val="19"/>
        </w:rPr>
        <w:t>l</w:t>
      </w:r>
      <w:r>
        <w:rPr>
          <w:rFonts w:ascii="Arial" w:hAnsi="Arial" w:cs="Arial"/>
          <w:color w:val="5B5B5B"/>
          <w:sz w:val="19"/>
          <w:szCs w:val="19"/>
        </w:rPr>
        <w:t xml:space="preserve">an of care </w:t>
      </w:r>
      <w:r>
        <w:rPr>
          <w:rFonts w:ascii="Arial" w:hAnsi="Arial" w:cs="Arial"/>
          <w:color w:val="373737"/>
          <w:sz w:val="19"/>
          <w:szCs w:val="19"/>
        </w:rPr>
        <w:t>f</w:t>
      </w:r>
      <w:r>
        <w:rPr>
          <w:rFonts w:ascii="Arial" w:hAnsi="Arial" w:cs="Arial"/>
          <w:color w:val="5B5B5B"/>
          <w:sz w:val="19"/>
          <w:szCs w:val="19"/>
        </w:rPr>
        <w:t>unc</w:t>
      </w:r>
      <w:r>
        <w:rPr>
          <w:rFonts w:ascii="Arial" w:hAnsi="Arial" w:cs="Arial"/>
          <w:color w:val="373737"/>
          <w:sz w:val="19"/>
          <w:szCs w:val="19"/>
        </w:rPr>
        <w:t>ti</w:t>
      </w:r>
      <w:r>
        <w:rPr>
          <w:rFonts w:ascii="Arial" w:hAnsi="Arial" w:cs="Arial"/>
          <w:color w:val="5B5B5B"/>
          <w:sz w:val="19"/>
          <w:szCs w:val="19"/>
        </w:rPr>
        <w:t xml:space="preserve">ons to assure </w:t>
      </w:r>
      <w:r>
        <w:rPr>
          <w:rFonts w:ascii="Arial" w:hAnsi="Arial" w:cs="Arial"/>
          <w:color w:val="474747"/>
          <w:sz w:val="19"/>
          <w:szCs w:val="19"/>
        </w:rPr>
        <w:t xml:space="preserve">that </w:t>
      </w:r>
      <w:r>
        <w:rPr>
          <w:rFonts w:ascii="Arial" w:hAnsi="Arial" w:cs="Arial"/>
          <w:color w:val="787878"/>
          <w:sz w:val="19"/>
          <w:szCs w:val="19"/>
        </w:rPr>
        <w:t>s</w:t>
      </w:r>
      <w:r>
        <w:rPr>
          <w:rFonts w:ascii="Arial" w:hAnsi="Arial" w:cs="Arial"/>
          <w:color w:val="5B5B5B"/>
          <w:sz w:val="19"/>
          <w:szCs w:val="19"/>
        </w:rPr>
        <w:t>ervices and supports are de</w:t>
      </w:r>
      <w:r>
        <w:rPr>
          <w:rFonts w:ascii="Arial" w:hAnsi="Arial" w:cs="Arial"/>
          <w:color w:val="1F1F1F"/>
          <w:sz w:val="19"/>
          <w:szCs w:val="19"/>
        </w:rPr>
        <w:t>li</w:t>
      </w:r>
      <w:r>
        <w:rPr>
          <w:rFonts w:ascii="Arial" w:hAnsi="Arial" w:cs="Arial"/>
          <w:color w:val="5B5B5B"/>
          <w:sz w:val="19"/>
          <w:szCs w:val="19"/>
        </w:rPr>
        <w:t xml:space="preserve">vered to </w:t>
      </w:r>
      <w:r>
        <w:rPr>
          <w:rFonts w:ascii="Arial" w:hAnsi="Arial" w:cs="Arial"/>
          <w:color w:val="474747"/>
          <w:sz w:val="19"/>
          <w:szCs w:val="19"/>
        </w:rPr>
        <w:t xml:space="preserve">meet the </w:t>
      </w:r>
      <w:r>
        <w:rPr>
          <w:rFonts w:ascii="Arial" w:hAnsi="Arial" w:cs="Arial"/>
          <w:color w:val="5B5B5B"/>
          <w:sz w:val="19"/>
          <w:szCs w:val="19"/>
        </w:rPr>
        <w:t xml:space="preserve">enrollees' needs </w:t>
      </w:r>
      <w:r>
        <w:rPr>
          <w:rFonts w:ascii="Arial" w:hAnsi="Arial" w:cs="Arial"/>
          <w:color w:val="373737"/>
          <w:sz w:val="19"/>
          <w:szCs w:val="19"/>
        </w:rPr>
        <w:t>a</w:t>
      </w:r>
      <w:r>
        <w:rPr>
          <w:rFonts w:ascii="Arial" w:hAnsi="Arial" w:cs="Arial"/>
          <w:color w:val="5B5B5B"/>
          <w:sz w:val="19"/>
          <w:szCs w:val="19"/>
        </w:rPr>
        <w:t>nd a</w:t>
      </w:r>
      <w:r>
        <w:rPr>
          <w:rFonts w:ascii="Arial" w:hAnsi="Arial" w:cs="Arial"/>
          <w:color w:val="787878"/>
          <w:sz w:val="19"/>
          <w:szCs w:val="19"/>
        </w:rPr>
        <w:t>c</w:t>
      </w:r>
      <w:r>
        <w:rPr>
          <w:rFonts w:ascii="Arial" w:hAnsi="Arial" w:cs="Arial"/>
          <w:color w:val="474747"/>
          <w:sz w:val="19"/>
          <w:szCs w:val="19"/>
        </w:rPr>
        <w:t xml:space="preserve">hieve intended </w:t>
      </w:r>
      <w:r>
        <w:rPr>
          <w:rFonts w:ascii="Arial" w:hAnsi="Arial" w:cs="Arial"/>
          <w:color w:val="5B5B5B"/>
          <w:sz w:val="19"/>
          <w:szCs w:val="19"/>
        </w:rPr>
        <w:t>out</w:t>
      </w:r>
      <w:r>
        <w:rPr>
          <w:rFonts w:ascii="Arial" w:hAnsi="Arial" w:cs="Arial"/>
          <w:color w:val="787878"/>
          <w:sz w:val="19"/>
          <w:szCs w:val="19"/>
        </w:rPr>
        <w:t>c</w:t>
      </w:r>
      <w:r>
        <w:rPr>
          <w:rFonts w:ascii="Arial" w:hAnsi="Arial" w:cs="Arial"/>
          <w:color w:val="5B5B5B"/>
          <w:sz w:val="19"/>
          <w:szCs w:val="19"/>
        </w:rPr>
        <w:t>omes</w:t>
      </w:r>
      <w:r>
        <w:rPr>
          <w:rFonts w:ascii="Arial" w:hAnsi="Arial" w:cs="Arial"/>
          <w:color w:val="787878"/>
          <w:sz w:val="19"/>
          <w:szCs w:val="19"/>
        </w:rPr>
        <w:t xml:space="preserve">. </w:t>
      </w:r>
      <w:r>
        <w:rPr>
          <w:rFonts w:ascii="Arial" w:hAnsi="Arial" w:cs="Arial"/>
          <w:color w:val="474747"/>
          <w:sz w:val="19"/>
          <w:szCs w:val="19"/>
        </w:rPr>
        <w:t>The Ma</w:t>
      </w:r>
      <w:r>
        <w:rPr>
          <w:rFonts w:ascii="Arial" w:hAnsi="Arial" w:cs="Arial"/>
          <w:color w:val="787878"/>
          <w:sz w:val="19"/>
          <w:szCs w:val="19"/>
        </w:rPr>
        <w:t>ss</w:t>
      </w:r>
      <w:r>
        <w:rPr>
          <w:rFonts w:ascii="Arial" w:hAnsi="Arial" w:cs="Arial"/>
          <w:color w:val="474747"/>
          <w:sz w:val="19"/>
          <w:szCs w:val="19"/>
        </w:rPr>
        <w:t xml:space="preserve">Health ACO </w:t>
      </w:r>
      <w:r>
        <w:rPr>
          <w:rFonts w:ascii="Arial" w:hAnsi="Arial" w:cs="Arial"/>
          <w:color w:val="787878"/>
          <w:sz w:val="19"/>
          <w:szCs w:val="19"/>
        </w:rPr>
        <w:t>s</w:t>
      </w:r>
      <w:r>
        <w:rPr>
          <w:rFonts w:ascii="Arial" w:hAnsi="Arial" w:cs="Arial"/>
          <w:color w:val="474747"/>
          <w:sz w:val="19"/>
          <w:szCs w:val="19"/>
        </w:rPr>
        <w:t xml:space="preserve">hall </w:t>
      </w:r>
      <w:r>
        <w:rPr>
          <w:rFonts w:ascii="Arial" w:hAnsi="Arial" w:cs="Arial"/>
          <w:color w:val="5B5B5B"/>
          <w:sz w:val="19"/>
          <w:szCs w:val="19"/>
        </w:rPr>
        <w:t xml:space="preserve">not </w:t>
      </w:r>
      <w:r>
        <w:rPr>
          <w:rFonts w:ascii="Arial" w:hAnsi="Arial" w:cs="Arial"/>
          <w:color w:val="373737"/>
          <w:sz w:val="19"/>
          <w:szCs w:val="19"/>
        </w:rPr>
        <w:t>h</w:t>
      </w:r>
      <w:r>
        <w:rPr>
          <w:rFonts w:ascii="Arial" w:hAnsi="Arial" w:cs="Arial"/>
          <w:color w:val="5B5B5B"/>
          <w:sz w:val="19"/>
          <w:szCs w:val="19"/>
        </w:rPr>
        <w:t>ave a d</w:t>
      </w:r>
      <w:r>
        <w:rPr>
          <w:rFonts w:ascii="Arial" w:hAnsi="Arial" w:cs="Arial"/>
          <w:color w:val="787878"/>
          <w:sz w:val="19"/>
          <w:szCs w:val="19"/>
        </w:rPr>
        <w:t>i</w:t>
      </w:r>
      <w:r>
        <w:rPr>
          <w:rFonts w:ascii="Arial" w:hAnsi="Arial" w:cs="Arial"/>
          <w:color w:val="5B5B5B"/>
          <w:sz w:val="19"/>
          <w:szCs w:val="19"/>
        </w:rPr>
        <w:t>rect o</w:t>
      </w:r>
      <w:r>
        <w:rPr>
          <w:rFonts w:ascii="Arial" w:hAnsi="Arial" w:cs="Arial"/>
          <w:color w:val="787878"/>
          <w:sz w:val="19"/>
          <w:szCs w:val="19"/>
        </w:rPr>
        <w:t>r i</w:t>
      </w:r>
      <w:r>
        <w:rPr>
          <w:rFonts w:ascii="Arial" w:hAnsi="Arial" w:cs="Arial"/>
          <w:color w:val="5B5B5B"/>
          <w:sz w:val="19"/>
          <w:szCs w:val="19"/>
        </w:rPr>
        <w:t xml:space="preserve">ndirect </w:t>
      </w:r>
      <w:r>
        <w:rPr>
          <w:rFonts w:ascii="Arial" w:hAnsi="Arial" w:cs="Arial"/>
          <w:color w:val="474747"/>
          <w:sz w:val="19"/>
          <w:szCs w:val="19"/>
        </w:rPr>
        <w:t xml:space="preserve">financial </w:t>
      </w:r>
      <w:r>
        <w:rPr>
          <w:rFonts w:ascii="Arial" w:hAnsi="Arial" w:cs="Arial"/>
          <w:color w:val="5B5B5B"/>
          <w:sz w:val="19"/>
          <w:szCs w:val="19"/>
        </w:rPr>
        <w:t>ownersh</w:t>
      </w:r>
      <w:r>
        <w:rPr>
          <w:rFonts w:ascii="Arial" w:hAnsi="Arial" w:cs="Arial"/>
          <w:color w:val="787878"/>
          <w:sz w:val="19"/>
          <w:szCs w:val="19"/>
        </w:rPr>
        <w:t>i</w:t>
      </w:r>
      <w:r>
        <w:rPr>
          <w:rFonts w:ascii="Arial" w:hAnsi="Arial" w:cs="Arial"/>
          <w:color w:val="5B5B5B"/>
          <w:sz w:val="19"/>
          <w:szCs w:val="19"/>
        </w:rPr>
        <w:t>p intere</w:t>
      </w:r>
      <w:r>
        <w:rPr>
          <w:rFonts w:ascii="Arial" w:hAnsi="Arial" w:cs="Arial"/>
          <w:color w:val="787878"/>
          <w:sz w:val="19"/>
          <w:szCs w:val="19"/>
        </w:rPr>
        <w:t>s</w:t>
      </w:r>
      <w:r>
        <w:rPr>
          <w:rFonts w:ascii="Arial" w:hAnsi="Arial" w:cs="Arial"/>
          <w:color w:val="5B5B5B"/>
          <w:sz w:val="19"/>
          <w:szCs w:val="19"/>
        </w:rPr>
        <w:t xml:space="preserve">t in an entity </w:t>
      </w:r>
      <w:r>
        <w:rPr>
          <w:rFonts w:ascii="Arial" w:hAnsi="Arial" w:cs="Arial"/>
          <w:color w:val="474747"/>
          <w:sz w:val="19"/>
          <w:szCs w:val="19"/>
        </w:rPr>
        <w:t>wh</w:t>
      </w:r>
      <w:r>
        <w:rPr>
          <w:rFonts w:ascii="Arial" w:hAnsi="Arial" w:cs="Arial"/>
          <w:color w:val="787878"/>
          <w:sz w:val="19"/>
          <w:szCs w:val="19"/>
        </w:rPr>
        <w:t>i</w:t>
      </w:r>
      <w:r>
        <w:rPr>
          <w:rFonts w:ascii="Arial" w:hAnsi="Arial" w:cs="Arial"/>
          <w:color w:val="5B5B5B"/>
          <w:sz w:val="19"/>
          <w:szCs w:val="19"/>
        </w:rPr>
        <w:t xml:space="preserve">ch </w:t>
      </w:r>
      <w:r>
        <w:rPr>
          <w:rFonts w:ascii="Arial" w:hAnsi="Arial" w:cs="Arial"/>
          <w:color w:val="474747"/>
          <w:sz w:val="19"/>
          <w:szCs w:val="19"/>
        </w:rPr>
        <w:t>provide</w:t>
      </w:r>
      <w:r>
        <w:rPr>
          <w:rFonts w:ascii="Arial" w:hAnsi="Arial" w:cs="Arial"/>
          <w:color w:val="787878"/>
          <w:sz w:val="19"/>
          <w:szCs w:val="19"/>
        </w:rPr>
        <w:t xml:space="preserve">s </w:t>
      </w:r>
      <w:r>
        <w:rPr>
          <w:rFonts w:ascii="Arial" w:hAnsi="Arial" w:cs="Arial"/>
          <w:color w:val="474747"/>
          <w:sz w:val="19"/>
          <w:szCs w:val="19"/>
        </w:rPr>
        <w:t xml:space="preserve">an LTSS </w:t>
      </w:r>
      <w:r>
        <w:rPr>
          <w:rFonts w:ascii="Arial" w:hAnsi="Arial" w:cs="Arial"/>
          <w:color w:val="5B5B5B"/>
          <w:sz w:val="19"/>
          <w:szCs w:val="19"/>
        </w:rPr>
        <w:t>Coord</w:t>
      </w:r>
      <w:r>
        <w:rPr>
          <w:rFonts w:ascii="Arial" w:hAnsi="Arial" w:cs="Arial"/>
          <w:color w:val="373737"/>
          <w:sz w:val="19"/>
          <w:szCs w:val="19"/>
        </w:rPr>
        <w:t>i</w:t>
      </w:r>
      <w:r>
        <w:rPr>
          <w:rFonts w:ascii="Arial" w:hAnsi="Arial" w:cs="Arial"/>
          <w:color w:val="5B5B5B"/>
          <w:sz w:val="19"/>
          <w:szCs w:val="19"/>
        </w:rPr>
        <w:t>nator</w:t>
      </w:r>
      <w:r>
        <w:rPr>
          <w:rFonts w:ascii="Arial" w:hAnsi="Arial" w:cs="Arial"/>
          <w:color w:val="A2A2A2"/>
          <w:sz w:val="19"/>
          <w:szCs w:val="19"/>
        </w:rPr>
        <w:t>.</w:t>
      </w:r>
    </w:p>
    <w:p w:rsidR="002C5025" w:rsidRDefault="002C5025">
      <w:pPr>
        <w:pStyle w:val="BodyText"/>
        <w:kinsoku w:val="0"/>
        <w:overflowPunct w:val="0"/>
        <w:rPr>
          <w:rFonts w:ascii="Arial" w:hAnsi="Arial" w:cs="Arial"/>
          <w:sz w:val="19"/>
          <w:szCs w:val="19"/>
        </w:rPr>
      </w:pPr>
    </w:p>
    <w:p w:rsidR="002C5025" w:rsidRDefault="002C5025">
      <w:pPr>
        <w:pStyle w:val="BodyText"/>
        <w:kinsoku w:val="0"/>
        <w:overflowPunct w:val="0"/>
        <w:spacing w:line="290" w:lineRule="auto"/>
        <w:ind w:left="146" w:right="231" w:hanging="15"/>
        <w:rPr>
          <w:rFonts w:ascii="Arial" w:hAnsi="Arial" w:cs="Arial"/>
          <w:color w:val="8D8D8D"/>
          <w:sz w:val="19"/>
          <w:szCs w:val="19"/>
        </w:rPr>
      </w:pPr>
      <w:r>
        <w:rPr>
          <w:rFonts w:ascii="Arial" w:hAnsi="Arial" w:cs="Arial"/>
          <w:color w:val="5B5B5B"/>
          <w:sz w:val="19"/>
          <w:szCs w:val="19"/>
        </w:rPr>
        <w:t>T</w:t>
      </w:r>
      <w:r>
        <w:rPr>
          <w:rFonts w:ascii="Arial" w:hAnsi="Arial" w:cs="Arial"/>
          <w:color w:val="373737"/>
          <w:sz w:val="19"/>
          <w:szCs w:val="19"/>
        </w:rPr>
        <w:t>he i</w:t>
      </w:r>
      <w:r>
        <w:rPr>
          <w:rFonts w:ascii="Arial" w:hAnsi="Arial" w:cs="Arial"/>
          <w:color w:val="5B5B5B"/>
          <w:sz w:val="19"/>
          <w:szCs w:val="19"/>
        </w:rPr>
        <w:t xml:space="preserve">ndependent </w:t>
      </w:r>
      <w:r>
        <w:rPr>
          <w:rFonts w:ascii="Arial" w:hAnsi="Arial" w:cs="Arial"/>
          <w:color w:val="474747"/>
          <w:sz w:val="19"/>
          <w:szCs w:val="19"/>
        </w:rPr>
        <w:t xml:space="preserve">LTSS Coordinator </w:t>
      </w:r>
      <w:r>
        <w:rPr>
          <w:rFonts w:ascii="Arial" w:hAnsi="Arial" w:cs="Arial"/>
          <w:color w:val="5B5B5B"/>
          <w:sz w:val="19"/>
          <w:szCs w:val="19"/>
        </w:rPr>
        <w:t xml:space="preserve">shall </w:t>
      </w:r>
      <w:r>
        <w:rPr>
          <w:rFonts w:ascii="Arial" w:hAnsi="Arial" w:cs="Arial"/>
          <w:color w:val="373737"/>
          <w:sz w:val="19"/>
          <w:szCs w:val="19"/>
        </w:rPr>
        <w:t xml:space="preserve">be </w:t>
      </w:r>
      <w:r>
        <w:rPr>
          <w:rFonts w:ascii="Arial" w:hAnsi="Arial" w:cs="Arial"/>
          <w:color w:val="474747"/>
          <w:sz w:val="19"/>
          <w:szCs w:val="19"/>
        </w:rPr>
        <w:t xml:space="preserve">a full member </w:t>
      </w:r>
      <w:r>
        <w:rPr>
          <w:rFonts w:ascii="Arial" w:hAnsi="Arial" w:cs="Arial"/>
          <w:color w:val="5B5B5B"/>
          <w:sz w:val="19"/>
          <w:szCs w:val="19"/>
        </w:rPr>
        <w:t xml:space="preserve">of </w:t>
      </w:r>
      <w:r>
        <w:rPr>
          <w:rFonts w:ascii="Arial" w:hAnsi="Arial" w:cs="Arial"/>
          <w:color w:val="474747"/>
          <w:sz w:val="19"/>
          <w:szCs w:val="19"/>
        </w:rPr>
        <w:t xml:space="preserve">the </w:t>
      </w:r>
      <w:r>
        <w:rPr>
          <w:rFonts w:ascii="Arial" w:hAnsi="Arial" w:cs="Arial"/>
          <w:color w:val="5B5B5B"/>
          <w:sz w:val="19"/>
          <w:szCs w:val="19"/>
        </w:rPr>
        <w:t>care team</w:t>
      </w:r>
      <w:r>
        <w:rPr>
          <w:rFonts w:ascii="Arial" w:hAnsi="Arial" w:cs="Arial"/>
          <w:color w:val="8D8D8D"/>
          <w:sz w:val="19"/>
          <w:szCs w:val="19"/>
        </w:rPr>
        <w:t xml:space="preserve">, </w:t>
      </w:r>
      <w:r>
        <w:rPr>
          <w:rFonts w:ascii="Arial" w:hAnsi="Arial" w:cs="Arial"/>
          <w:color w:val="5B5B5B"/>
          <w:sz w:val="19"/>
          <w:szCs w:val="19"/>
        </w:rPr>
        <w:t>serv</w:t>
      </w:r>
      <w:r>
        <w:rPr>
          <w:rFonts w:ascii="Arial" w:hAnsi="Arial" w:cs="Arial"/>
          <w:color w:val="373737"/>
          <w:sz w:val="19"/>
          <w:szCs w:val="19"/>
        </w:rPr>
        <w:t>in</w:t>
      </w:r>
      <w:r>
        <w:rPr>
          <w:rFonts w:ascii="Arial" w:hAnsi="Arial" w:cs="Arial"/>
          <w:color w:val="5B5B5B"/>
          <w:sz w:val="19"/>
          <w:szCs w:val="19"/>
        </w:rPr>
        <w:t xml:space="preserve">g at </w:t>
      </w:r>
      <w:r>
        <w:rPr>
          <w:rFonts w:ascii="Arial" w:hAnsi="Arial" w:cs="Arial"/>
          <w:color w:val="373737"/>
          <w:sz w:val="19"/>
          <w:szCs w:val="19"/>
        </w:rPr>
        <w:t>t</w:t>
      </w:r>
      <w:r>
        <w:rPr>
          <w:rFonts w:ascii="Arial" w:hAnsi="Arial" w:cs="Arial"/>
          <w:color w:val="5B5B5B"/>
          <w:sz w:val="19"/>
          <w:szCs w:val="19"/>
        </w:rPr>
        <w:t>he discre</w:t>
      </w:r>
      <w:r>
        <w:rPr>
          <w:rFonts w:ascii="Arial" w:hAnsi="Arial" w:cs="Arial"/>
          <w:color w:val="373737"/>
          <w:sz w:val="19"/>
          <w:szCs w:val="19"/>
        </w:rPr>
        <w:t>ti</w:t>
      </w:r>
      <w:r>
        <w:rPr>
          <w:rFonts w:ascii="Arial" w:hAnsi="Arial" w:cs="Arial"/>
          <w:color w:val="5B5B5B"/>
          <w:sz w:val="19"/>
          <w:szCs w:val="19"/>
        </w:rPr>
        <w:t xml:space="preserve">on of the </w:t>
      </w:r>
      <w:r>
        <w:rPr>
          <w:rFonts w:ascii="Arial" w:hAnsi="Arial" w:cs="Arial"/>
          <w:color w:val="474747"/>
          <w:sz w:val="19"/>
          <w:szCs w:val="19"/>
        </w:rPr>
        <w:t>ACO enrollee</w:t>
      </w:r>
      <w:r>
        <w:rPr>
          <w:rFonts w:ascii="Arial" w:hAnsi="Arial" w:cs="Arial"/>
          <w:color w:val="787878"/>
          <w:sz w:val="19"/>
          <w:szCs w:val="19"/>
        </w:rPr>
        <w:t xml:space="preserve">. </w:t>
      </w:r>
      <w:r>
        <w:rPr>
          <w:rFonts w:ascii="Arial" w:hAnsi="Arial" w:cs="Arial"/>
          <w:color w:val="474747"/>
          <w:sz w:val="19"/>
          <w:szCs w:val="19"/>
        </w:rPr>
        <w:t xml:space="preserve">For </w:t>
      </w:r>
      <w:r>
        <w:rPr>
          <w:rFonts w:ascii="Arial" w:hAnsi="Arial" w:cs="Arial"/>
          <w:color w:val="5B5B5B"/>
          <w:sz w:val="19"/>
          <w:szCs w:val="19"/>
        </w:rPr>
        <w:t>enrollees withou</w:t>
      </w:r>
      <w:r>
        <w:rPr>
          <w:rFonts w:ascii="Arial" w:hAnsi="Arial" w:cs="Arial"/>
          <w:color w:val="373737"/>
          <w:sz w:val="19"/>
          <w:szCs w:val="19"/>
        </w:rPr>
        <w:t>t LT</w:t>
      </w:r>
      <w:r>
        <w:rPr>
          <w:rFonts w:ascii="Arial" w:hAnsi="Arial" w:cs="Arial"/>
          <w:color w:val="5B5B5B"/>
          <w:sz w:val="19"/>
          <w:szCs w:val="19"/>
        </w:rPr>
        <w:t>SS nee</w:t>
      </w:r>
      <w:r>
        <w:rPr>
          <w:rFonts w:ascii="Arial" w:hAnsi="Arial" w:cs="Arial"/>
          <w:color w:val="373737"/>
          <w:sz w:val="19"/>
          <w:szCs w:val="19"/>
        </w:rPr>
        <w:t>d</w:t>
      </w:r>
      <w:r>
        <w:rPr>
          <w:rFonts w:ascii="Arial" w:hAnsi="Arial" w:cs="Arial"/>
          <w:color w:val="5B5B5B"/>
          <w:sz w:val="19"/>
          <w:szCs w:val="19"/>
        </w:rPr>
        <w:t>s</w:t>
      </w:r>
      <w:r>
        <w:rPr>
          <w:rFonts w:ascii="Arial" w:hAnsi="Arial" w:cs="Arial"/>
          <w:color w:val="8D8D8D"/>
          <w:sz w:val="19"/>
          <w:szCs w:val="19"/>
        </w:rPr>
        <w:t xml:space="preserve">, </w:t>
      </w:r>
      <w:r>
        <w:rPr>
          <w:rFonts w:ascii="Arial" w:hAnsi="Arial" w:cs="Arial"/>
          <w:color w:val="474747"/>
          <w:sz w:val="19"/>
          <w:szCs w:val="19"/>
        </w:rPr>
        <w:t xml:space="preserve">the LTSS </w:t>
      </w:r>
      <w:r>
        <w:rPr>
          <w:rFonts w:ascii="Arial" w:hAnsi="Arial" w:cs="Arial"/>
          <w:color w:val="5B5B5B"/>
          <w:sz w:val="19"/>
          <w:szCs w:val="19"/>
        </w:rPr>
        <w:t>Coordinato</w:t>
      </w:r>
      <w:r>
        <w:rPr>
          <w:rFonts w:ascii="Arial" w:hAnsi="Arial" w:cs="Arial"/>
          <w:color w:val="787878"/>
          <w:sz w:val="19"/>
          <w:szCs w:val="19"/>
        </w:rPr>
        <w:t xml:space="preserve">r </w:t>
      </w:r>
      <w:r>
        <w:rPr>
          <w:rFonts w:ascii="Arial" w:hAnsi="Arial" w:cs="Arial"/>
          <w:color w:val="474747"/>
          <w:sz w:val="19"/>
          <w:szCs w:val="19"/>
        </w:rPr>
        <w:t xml:space="preserve">need not </w:t>
      </w:r>
      <w:r>
        <w:rPr>
          <w:rFonts w:ascii="Arial" w:hAnsi="Arial" w:cs="Arial"/>
          <w:color w:val="5B5B5B"/>
          <w:sz w:val="19"/>
          <w:szCs w:val="19"/>
        </w:rPr>
        <w:t xml:space="preserve">continue on </w:t>
      </w:r>
      <w:r>
        <w:rPr>
          <w:rFonts w:ascii="Arial" w:hAnsi="Arial" w:cs="Arial"/>
          <w:color w:val="1F1F1F"/>
          <w:sz w:val="19"/>
          <w:szCs w:val="19"/>
        </w:rPr>
        <w:t>t</w:t>
      </w:r>
      <w:r>
        <w:rPr>
          <w:rFonts w:ascii="Arial" w:hAnsi="Arial" w:cs="Arial"/>
          <w:color w:val="5B5B5B"/>
          <w:sz w:val="19"/>
          <w:szCs w:val="19"/>
        </w:rPr>
        <w:t xml:space="preserve">he </w:t>
      </w:r>
      <w:r>
        <w:rPr>
          <w:rFonts w:ascii="Arial" w:hAnsi="Arial" w:cs="Arial"/>
          <w:color w:val="474747"/>
          <w:sz w:val="19"/>
          <w:szCs w:val="19"/>
        </w:rPr>
        <w:t xml:space="preserve">care </w:t>
      </w:r>
      <w:r>
        <w:rPr>
          <w:rFonts w:ascii="Arial" w:hAnsi="Arial" w:cs="Arial"/>
          <w:color w:val="373737"/>
          <w:sz w:val="19"/>
          <w:szCs w:val="19"/>
        </w:rPr>
        <w:t>t</w:t>
      </w:r>
      <w:r>
        <w:rPr>
          <w:rFonts w:ascii="Arial" w:hAnsi="Arial" w:cs="Arial"/>
          <w:color w:val="5B5B5B"/>
          <w:sz w:val="19"/>
          <w:szCs w:val="19"/>
        </w:rPr>
        <w:t>eam</w:t>
      </w:r>
      <w:r>
        <w:rPr>
          <w:rFonts w:ascii="Arial" w:hAnsi="Arial" w:cs="Arial"/>
          <w:color w:val="787878"/>
          <w:sz w:val="19"/>
          <w:szCs w:val="19"/>
        </w:rPr>
        <w:t xml:space="preserve">; </w:t>
      </w:r>
      <w:r>
        <w:rPr>
          <w:rFonts w:ascii="Arial" w:hAnsi="Arial" w:cs="Arial"/>
          <w:color w:val="5B5B5B"/>
          <w:sz w:val="19"/>
          <w:szCs w:val="19"/>
        </w:rPr>
        <w:t>however</w:t>
      </w:r>
      <w:r>
        <w:rPr>
          <w:rFonts w:ascii="Arial" w:hAnsi="Arial" w:cs="Arial"/>
          <w:color w:val="8D8D8D"/>
          <w:sz w:val="19"/>
          <w:szCs w:val="19"/>
        </w:rPr>
        <w:t xml:space="preserve">, </w:t>
      </w:r>
      <w:r>
        <w:rPr>
          <w:rFonts w:ascii="Arial" w:hAnsi="Arial" w:cs="Arial"/>
          <w:color w:val="474747"/>
          <w:sz w:val="19"/>
          <w:szCs w:val="19"/>
        </w:rPr>
        <w:t xml:space="preserve">the ACO must </w:t>
      </w:r>
      <w:r>
        <w:rPr>
          <w:rFonts w:ascii="Arial" w:hAnsi="Arial" w:cs="Arial"/>
          <w:color w:val="373737"/>
          <w:sz w:val="19"/>
          <w:szCs w:val="19"/>
        </w:rPr>
        <w:t xml:space="preserve">make </w:t>
      </w:r>
      <w:r>
        <w:rPr>
          <w:rFonts w:ascii="Arial" w:hAnsi="Arial" w:cs="Arial"/>
          <w:color w:val="5B5B5B"/>
          <w:sz w:val="19"/>
          <w:szCs w:val="19"/>
        </w:rPr>
        <w:t>an L</w:t>
      </w:r>
      <w:r>
        <w:rPr>
          <w:rFonts w:ascii="Arial" w:hAnsi="Arial" w:cs="Arial"/>
          <w:color w:val="373737"/>
          <w:sz w:val="19"/>
          <w:szCs w:val="19"/>
        </w:rPr>
        <w:t>T</w:t>
      </w:r>
      <w:r>
        <w:rPr>
          <w:rFonts w:ascii="Arial" w:hAnsi="Arial" w:cs="Arial"/>
          <w:color w:val="5B5B5B"/>
          <w:sz w:val="19"/>
          <w:szCs w:val="19"/>
        </w:rPr>
        <w:t>SS Coord</w:t>
      </w:r>
      <w:r>
        <w:rPr>
          <w:rFonts w:ascii="Arial" w:hAnsi="Arial" w:cs="Arial"/>
          <w:color w:val="787878"/>
          <w:sz w:val="19"/>
          <w:szCs w:val="19"/>
        </w:rPr>
        <w:t>i</w:t>
      </w:r>
      <w:r>
        <w:rPr>
          <w:rFonts w:ascii="Arial" w:hAnsi="Arial" w:cs="Arial"/>
          <w:color w:val="474747"/>
          <w:sz w:val="19"/>
          <w:szCs w:val="19"/>
        </w:rPr>
        <w:t>nator available a</w:t>
      </w:r>
      <w:r>
        <w:rPr>
          <w:rFonts w:ascii="Arial" w:hAnsi="Arial" w:cs="Arial"/>
          <w:color w:val="1F1F1F"/>
          <w:sz w:val="19"/>
          <w:szCs w:val="19"/>
        </w:rPr>
        <w:t xml:space="preserve">t </w:t>
      </w:r>
      <w:r>
        <w:rPr>
          <w:rFonts w:ascii="Arial" w:hAnsi="Arial" w:cs="Arial"/>
          <w:color w:val="474747"/>
          <w:sz w:val="19"/>
          <w:szCs w:val="19"/>
        </w:rPr>
        <w:t xml:space="preserve">any </w:t>
      </w:r>
      <w:r>
        <w:rPr>
          <w:rFonts w:ascii="Arial" w:hAnsi="Arial" w:cs="Arial"/>
          <w:color w:val="373737"/>
          <w:sz w:val="19"/>
          <w:szCs w:val="19"/>
        </w:rPr>
        <w:t>t</w:t>
      </w:r>
      <w:r>
        <w:rPr>
          <w:rFonts w:ascii="Arial" w:hAnsi="Arial" w:cs="Arial"/>
          <w:color w:val="5B5B5B"/>
          <w:sz w:val="19"/>
          <w:szCs w:val="19"/>
        </w:rPr>
        <w:t xml:space="preserve">ime </w:t>
      </w:r>
      <w:r>
        <w:rPr>
          <w:rFonts w:ascii="Arial" w:hAnsi="Arial" w:cs="Arial"/>
          <w:color w:val="474747"/>
          <w:sz w:val="19"/>
          <w:szCs w:val="19"/>
        </w:rPr>
        <w:t xml:space="preserve">at </w:t>
      </w:r>
      <w:r>
        <w:rPr>
          <w:rFonts w:ascii="Arial" w:hAnsi="Arial" w:cs="Arial"/>
          <w:color w:val="373737"/>
          <w:sz w:val="19"/>
          <w:szCs w:val="19"/>
        </w:rPr>
        <w:t>the r</w:t>
      </w:r>
      <w:r>
        <w:rPr>
          <w:rFonts w:ascii="Arial" w:hAnsi="Arial" w:cs="Arial"/>
          <w:color w:val="5B5B5B"/>
          <w:sz w:val="19"/>
          <w:szCs w:val="19"/>
        </w:rPr>
        <w:t>e</w:t>
      </w:r>
      <w:r>
        <w:rPr>
          <w:rFonts w:ascii="Arial" w:hAnsi="Arial" w:cs="Arial"/>
          <w:color w:val="373737"/>
          <w:sz w:val="19"/>
          <w:szCs w:val="19"/>
        </w:rPr>
        <w:t>qu</w:t>
      </w:r>
      <w:r>
        <w:rPr>
          <w:rFonts w:ascii="Arial" w:hAnsi="Arial" w:cs="Arial"/>
          <w:color w:val="5B5B5B"/>
          <w:sz w:val="19"/>
          <w:szCs w:val="19"/>
        </w:rPr>
        <w:t>est o</w:t>
      </w:r>
      <w:r>
        <w:rPr>
          <w:rFonts w:ascii="Arial" w:hAnsi="Arial" w:cs="Arial"/>
          <w:color w:val="373737"/>
          <w:sz w:val="19"/>
          <w:szCs w:val="19"/>
        </w:rPr>
        <w:t xml:space="preserve">f </w:t>
      </w:r>
      <w:r>
        <w:rPr>
          <w:rFonts w:ascii="Arial" w:hAnsi="Arial" w:cs="Arial"/>
          <w:color w:val="5B5B5B"/>
          <w:sz w:val="19"/>
          <w:szCs w:val="19"/>
        </w:rPr>
        <w:t xml:space="preserve">the enrollee, and </w:t>
      </w:r>
      <w:r>
        <w:rPr>
          <w:rFonts w:ascii="Arial" w:hAnsi="Arial" w:cs="Arial"/>
          <w:color w:val="373737"/>
          <w:sz w:val="19"/>
          <w:szCs w:val="19"/>
        </w:rPr>
        <w:t xml:space="preserve">in </w:t>
      </w:r>
      <w:r>
        <w:rPr>
          <w:rFonts w:ascii="Arial" w:hAnsi="Arial" w:cs="Arial"/>
          <w:color w:val="474747"/>
          <w:sz w:val="19"/>
          <w:szCs w:val="19"/>
        </w:rPr>
        <w:t xml:space="preserve">the </w:t>
      </w:r>
      <w:r>
        <w:rPr>
          <w:rFonts w:ascii="Arial" w:hAnsi="Arial" w:cs="Arial"/>
          <w:color w:val="5B5B5B"/>
          <w:sz w:val="19"/>
          <w:szCs w:val="19"/>
        </w:rPr>
        <w:t>eve</w:t>
      </w:r>
      <w:r>
        <w:rPr>
          <w:rFonts w:ascii="Arial" w:hAnsi="Arial" w:cs="Arial"/>
          <w:color w:val="373737"/>
          <w:sz w:val="19"/>
          <w:szCs w:val="19"/>
        </w:rPr>
        <w:t>n</w:t>
      </w:r>
      <w:r>
        <w:rPr>
          <w:rFonts w:ascii="Arial" w:hAnsi="Arial" w:cs="Arial"/>
          <w:color w:val="5B5B5B"/>
          <w:sz w:val="19"/>
          <w:szCs w:val="19"/>
        </w:rPr>
        <w:t>t o</w:t>
      </w:r>
      <w:r>
        <w:rPr>
          <w:rFonts w:ascii="Arial" w:hAnsi="Arial" w:cs="Arial"/>
          <w:color w:val="373737"/>
          <w:sz w:val="19"/>
          <w:szCs w:val="19"/>
        </w:rPr>
        <w:t xml:space="preserve">f </w:t>
      </w:r>
      <w:r>
        <w:rPr>
          <w:rFonts w:ascii="Arial" w:hAnsi="Arial" w:cs="Arial"/>
          <w:color w:val="474747"/>
          <w:sz w:val="19"/>
          <w:szCs w:val="19"/>
        </w:rPr>
        <w:t xml:space="preserve">any </w:t>
      </w:r>
      <w:r>
        <w:rPr>
          <w:rFonts w:ascii="Arial" w:hAnsi="Arial" w:cs="Arial"/>
          <w:color w:val="5B5B5B"/>
          <w:sz w:val="19"/>
          <w:szCs w:val="19"/>
        </w:rPr>
        <w:t>contemplate</w:t>
      </w:r>
      <w:r>
        <w:rPr>
          <w:rFonts w:ascii="Arial" w:hAnsi="Arial" w:cs="Arial"/>
          <w:color w:val="373737"/>
          <w:sz w:val="19"/>
          <w:szCs w:val="19"/>
        </w:rPr>
        <w:t xml:space="preserve">d </w:t>
      </w:r>
      <w:r>
        <w:rPr>
          <w:rFonts w:ascii="Arial" w:hAnsi="Arial" w:cs="Arial"/>
          <w:color w:val="474747"/>
          <w:sz w:val="19"/>
          <w:szCs w:val="19"/>
        </w:rPr>
        <w:t xml:space="preserve">admission to a nursing </w:t>
      </w:r>
      <w:r>
        <w:rPr>
          <w:rFonts w:ascii="Arial" w:hAnsi="Arial" w:cs="Arial"/>
          <w:color w:val="5B5B5B"/>
          <w:sz w:val="19"/>
          <w:szCs w:val="19"/>
        </w:rPr>
        <w:t xml:space="preserve">facility, </w:t>
      </w:r>
      <w:r>
        <w:rPr>
          <w:rFonts w:ascii="Arial" w:hAnsi="Arial" w:cs="Arial"/>
          <w:color w:val="474747"/>
          <w:sz w:val="19"/>
          <w:szCs w:val="19"/>
        </w:rPr>
        <w:t>psychiatri</w:t>
      </w:r>
      <w:r>
        <w:rPr>
          <w:rFonts w:ascii="Arial" w:hAnsi="Arial" w:cs="Arial"/>
          <w:color w:val="5B5B5B"/>
          <w:sz w:val="19"/>
          <w:szCs w:val="19"/>
        </w:rPr>
        <w:t>c hos</w:t>
      </w:r>
      <w:r>
        <w:rPr>
          <w:rFonts w:ascii="Arial" w:hAnsi="Arial" w:cs="Arial"/>
          <w:color w:val="373737"/>
          <w:sz w:val="19"/>
          <w:szCs w:val="19"/>
        </w:rPr>
        <w:t>p</w:t>
      </w:r>
      <w:r>
        <w:rPr>
          <w:rFonts w:ascii="Arial" w:hAnsi="Arial" w:cs="Arial"/>
          <w:color w:val="5B5B5B"/>
          <w:sz w:val="19"/>
          <w:szCs w:val="19"/>
        </w:rPr>
        <w:t>ita</w:t>
      </w:r>
      <w:r>
        <w:rPr>
          <w:rFonts w:ascii="Arial" w:hAnsi="Arial" w:cs="Arial"/>
          <w:color w:val="1F1F1F"/>
          <w:sz w:val="19"/>
          <w:szCs w:val="19"/>
        </w:rPr>
        <w:t>l</w:t>
      </w:r>
      <w:r>
        <w:rPr>
          <w:rFonts w:ascii="Arial" w:hAnsi="Arial" w:cs="Arial"/>
          <w:color w:val="787878"/>
          <w:sz w:val="19"/>
          <w:szCs w:val="19"/>
        </w:rPr>
        <w:t xml:space="preserve">, </w:t>
      </w:r>
      <w:r>
        <w:rPr>
          <w:rFonts w:ascii="Arial" w:hAnsi="Arial" w:cs="Arial"/>
          <w:color w:val="474747"/>
          <w:sz w:val="19"/>
          <w:szCs w:val="19"/>
        </w:rPr>
        <w:t xml:space="preserve">or </w:t>
      </w:r>
      <w:r>
        <w:rPr>
          <w:rFonts w:ascii="Arial" w:hAnsi="Arial" w:cs="Arial"/>
          <w:color w:val="5B5B5B"/>
          <w:sz w:val="19"/>
          <w:szCs w:val="19"/>
        </w:rPr>
        <w:t xml:space="preserve">other </w:t>
      </w:r>
      <w:r>
        <w:rPr>
          <w:rFonts w:ascii="Arial" w:hAnsi="Arial" w:cs="Arial"/>
          <w:color w:val="474747"/>
          <w:sz w:val="19"/>
          <w:szCs w:val="19"/>
        </w:rPr>
        <w:t>inst</w:t>
      </w:r>
      <w:r>
        <w:rPr>
          <w:rFonts w:ascii="Arial" w:hAnsi="Arial" w:cs="Arial"/>
          <w:color w:val="787878"/>
          <w:sz w:val="19"/>
          <w:szCs w:val="19"/>
        </w:rPr>
        <w:t>i</w:t>
      </w:r>
      <w:r>
        <w:rPr>
          <w:rFonts w:ascii="Arial" w:hAnsi="Arial" w:cs="Arial"/>
          <w:color w:val="474747"/>
          <w:sz w:val="19"/>
          <w:szCs w:val="19"/>
        </w:rPr>
        <w:t>tut</w:t>
      </w:r>
      <w:r>
        <w:rPr>
          <w:rFonts w:ascii="Arial" w:hAnsi="Arial" w:cs="Arial"/>
          <w:color w:val="787878"/>
          <w:sz w:val="19"/>
          <w:szCs w:val="19"/>
        </w:rPr>
        <w:t>i</w:t>
      </w:r>
      <w:r>
        <w:rPr>
          <w:rFonts w:ascii="Arial" w:hAnsi="Arial" w:cs="Arial"/>
          <w:color w:val="5B5B5B"/>
          <w:sz w:val="19"/>
          <w:szCs w:val="19"/>
        </w:rPr>
        <w:t>on</w:t>
      </w:r>
      <w:r>
        <w:rPr>
          <w:rFonts w:ascii="Arial" w:hAnsi="Arial" w:cs="Arial"/>
          <w:color w:val="8D8D8D"/>
          <w:sz w:val="19"/>
          <w:szCs w:val="19"/>
        </w:rPr>
        <w:t>.</w:t>
      </w:r>
    </w:p>
    <w:p w:rsidR="002C5025" w:rsidRDefault="002C5025">
      <w:pPr>
        <w:pStyle w:val="BodyText"/>
        <w:kinsoku w:val="0"/>
        <w:overflowPunct w:val="0"/>
        <w:spacing w:before="8"/>
        <w:rPr>
          <w:rFonts w:ascii="Arial" w:hAnsi="Arial" w:cs="Arial"/>
          <w:sz w:val="19"/>
          <w:szCs w:val="19"/>
        </w:rPr>
      </w:pPr>
    </w:p>
    <w:p w:rsidR="002C5025" w:rsidRDefault="002C5025">
      <w:pPr>
        <w:pStyle w:val="BodyText"/>
        <w:kinsoku w:val="0"/>
        <w:overflowPunct w:val="0"/>
        <w:spacing w:line="288" w:lineRule="auto"/>
        <w:ind w:left="146" w:right="278"/>
        <w:rPr>
          <w:rFonts w:ascii="Arial" w:hAnsi="Arial" w:cs="Arial"/>
          <w:color w:val="5B5B5B"/>
          <w:sz w:val="19"/>
          <w:szCs w:val="19"/>
        </w:rPr>
      </w:pPr>
      <w:r>
        <w:rPr>
          <w:rFonts w:ascii="Arial" w:hAnsi="Arial" w:cs="Arial"/>
          <w:color w:val="5B5B5B"/>
          <w:sz w:val="19"/>
          <w:szCs w:val="19"/>
        </w:rPr>
        <w:t xml:space="preserve">Following </w:t>
      </w:r>
      <w:r>
        <w:rPr>
          <w:rFonts w:ascii="Arial" w:hAnsi="Arial" w:cs="Arial"/>
          <w:color w:val="373737"/>
          <w:sz w:val="19"/>
          <w:szCs w:val="19"/>
        </w:rPr>
        <w:t>th</w:t>
      </w:r>
      <w:r>
        <w:rPr>
          <w:rFonts w:ascii="Arial" w:hAnsi="Arial" w:cs="Arial"/>
          <w:color w:val="5B5B5B"/>
          <w:sz w:val="19"/>
          <w:szCs w:val="19"/>
        </w:rPr>
        <w:t xml:space="preserve">e </w:t>
      </w:r>
      <w:r>
        <w:rPr>
          <w:rFonts w:ascii="Arial" w:hAnsi="Arial" w:cs="Arial"/>
          <w:color w:val="787878"/>
          <w:sz w:val="19"/>
          <w:szCs w:val="19"/>
        </w:rPr>
        <w:t>i</w:t>
      </w:r>
      <w:r>
        <w:rPr>
          <w:rFonts w:ascii="Arial" w:hAnsi="Arial" w:cs="Arial"/>
          <w:color w:val="5B5B5B"/>
          <w:sz w:val="19"/>
          <w:szCs w:val="19"/>
        </w:rPr>
        <w:t>ni</w:t>
      </w:r>
      <w:r>
        <w:rPr>
          <w:rFonts w:ascii="Arial" w:hAnsi="Arial" w:cs="Arial"/>
          <w:color w:val="373737"/>
          <w:sz w:val="19"/>
          <w:szCs w:val="19"/>
        </w:rPr>
        <w:t>t</w:t>
      </w:r>
      <w:r>
        <w:rPr>
          <w:rFonts w:ascii="Arial" w:hAnsi="Arial" w:cs="Arial"/>
          <w:color w:val="787878"/>
          <w:sz w:val="19"/>
          <w:szCs w:val="19"/>
        </w:rPr>
        <w:t>i</w:t>
      </w:r>
      <w:r>
        <w:rPr>
          <w:rFonts w:ascii="Arial" w:hAnsi="Arial" w:cs="Arial"/>
          <w:color w:val="5B5B5B"/>
          <w:sz w:val="19"/>
          <w:szCs w:val="19"/>
        </w:rPr>
        <w:t xml:space="preserve">al </w:t>
      </w:r>
      <w:r>
        <w:rPr>
          <w:rFonts w:ascii="Arial" w:hAnsi="Arial" w:cs="Arial"/>
          <w:color w:val="474747"/>
          <w:sz w:val="19"/>
          <w:szCs w:val="19"/>
        </w:rPr>
        <w:t xml:space="preserve">assessment, </w:t>
      </w:r>
      <w:r>
        <w:rPr>
          <w:rFonts w:ascii="Arial" w:hAnsi="Arial" w:cs="Arial"/>
          <w:color w:val="5B5B5B"/>
          <w:sz w:val="19"/>
          <w:szCs w:val="19"/>
        </w:rPr>
        <w:t>the LTSS Coo</w:t>
      </w:r>
      <w:r>
        <w:rPr>
          <w:rFonts w:ascii="Arial" w:hAnsi="Arial" w:cs="Arial"/>
          <w:color w:val="787878"/>
          <w:sz w:val="19"/>
          <w:szCs w:val="19"/>
        </w:rPr>
        <w:t>r</w:t>
      </w:r>
      <w:r>
        <w:rPr>
          <w:rFonts w:ascii="Arial" w:hAnsi="Arial" w:cs="Arial"/>
          <w:color w:val="474747"/>
          <w:sz w:val="19"/>
          <w:szCs w:val="19"/>
        </w:rPr>
        <w:t>d</w:t>
      </w:r>
      <w:r>
        <w:rPr>
          <w:rFonts w:ascii="Arial" w:hAnsi="Arial" w:cs="Arial"/>
          <w:color w:val="787878"/>
          <w:sz w:val="19"/>
          <w:szCs w:val="19"/>
        </w:rPr>
        <w:t>i</w:t>
      </w:r>
      <w:r>
        <w:rPr>
          <w:rFonts w:ascii="Arial" w:hAnsi="Arial" w:cs="Arial"/>
          <w:color w:val="5B5B5B"/>
          <w:sz w:val="19"/>
          <w:szCs w:val="19"/>
        </w:rPr>
        <w:t xml:space="preserve">nator </w:t>
      </w:r>
      <w:r>
        <w:rPr>
          <w:rFonts w:ascii="Arial" w:hAnsi="Arial" w:cs="Arial"/>
          <w:color w:val="474747"/>
          <w:sz w:val="19"/>
          <w:szCs w:val="19"/>
        </w:rPr>
        <w:t>wil</w:t>
      </w:r>
      <w:r>
        <w:rPr>
          <w:rFonts w:ascii="Arial" w:hAnsi="Arial" w:cs="Arial"/>
          <w:color w:val="1F1F1F"/>
          <w:sz w:val="19"/>
          <w:szCs w:val="19"/>
        </w:rPr>
        <w:t xml:space="preserve">l </w:t>
      </w:r>
      <w:r>
        <w:rPr>
          <w:rFonts w:ascii="Arial" w:hAnsi="Arial" w:cs="Arial"/>
          <w:color w:val="474747"/>
          <w:sz w:val="19"/>
          <w:szCs w:val="19"/>
        </w:rPr>
        <w:t>work w</w:t>
      </w:r>
      <w:r>
        <w:rPr>
          <w:rFonts w:ascii="Arial" w:hAnsi="Arial" w:cs="Arial"/>
          <w:color w:val="787878"/>
          <w:sz w:val="19"/>
          <w:szCs w:val="19"/>
        </w:rPr>
        <w:t>i</w:t>
      </w:r>
      <w:r>
        <w:rPr>
          <w:rFonts w:ascii="Arial" w:hAnsi="Arial" w:cs="Arial"/>
          <w:color w:val="5B5B5B"/>
          <w:sz w:val="19"/>
          <w:szCs w:val="19"/>
        </w:rPr>
        <w:t xml:space="preserve">th the enrollee </w:t>
      </w:r>
      <w:r>
        <w:rPr>
          <w:rFonts w:ascii="Arial" w:hAnsi="Arial" w:cs="Arial"/>
          <w:color w:val="373737"/>
          <w:sz w:val="19"/>
          <w:szCs w:val="19"/>
        </w:rPr>
        <w:t>t</w:t>
      </w:r>
      <w:r>
        <w:rPr>
          <w:rFonts w:ascii="Arial" w:hAnsi="Arial" w:cs="Arial"/>
          <w:color w:val="5B5B5B"/>
          <w:sz w:val="19"/>
          <w:szCs w:val="19"/>
        </w:rPr>
        <w:t xml:space="preserve">o </w:t>
      </w:r>
      <w:r>
        <w:rPr>
          <w:rFonts w:ascii="Arial" w:hAnsi="Arial" w:cs="Arial"/>
          <w:color w:val="474747"/>
          <w:sz w:val="19"/>
          <w:szCs w:val="19"/>
        </w:rPr>
        <w:t xml:space="preserve">address </w:t>
      </w:r>
      <w:r>
        <w:rPr>
          <w:rFonts w:ascii="Arial" w:hAnsi="Arial" w:cs="Arial"/>
          <w:color w:val="5B5B5B"/>
          <w:sz w:val="19"/>
          <w:szCs w:val="19"/>
        </w:rPr>
        <w:t>h</w:t>
      </w:r>
      <w:r>
        <w:rPr>
          <w:rFonts w:ascii="Arial" w:hAnsi="Arial" w:cs="Arial"/>
          <w:color w:val="373737"/>
          <w:sz w:val="19"/>
          <w:szCs w:val="19"/>
        </w:rPr>
        <w:t>i</w:t>
      </w:r>
      <w:r>
        <w:rPr>
          <w:rFonts w:ascii="Arial" w:hAnsi="Arial" w:cs="Arial"/>
          <w:color w:val="5B5B5B"/>
          <w:sz w:val="19"/>
          <w:szCs w:val="19"/>
        </w:rPr>
        <w:t xml:space="preserve">s </w:t>
      </w:r>
      <w:r>
        <w:rPr>
          <w:rFonts w:ascii="Arial" w:hAnsi="Arial" w:cs="Arial"/>
          <w:color w:val="474747"/>
          <w:sz w:val="19"/>
          <w:szCs w:val="19"/>
        </w:rPr>
        <w:t xml:space="preserve">or her </w:t>
      </w:r>
      <w:r>
        <w:rPr>
          <w:rFonts w:ascii="Arial" w:hAnsi="Arial" w:cs="Arial"/>
          <w:color w:val="5B5B5B"/>
          <w:sz w:val="19"/>
          <w:szCs w:val="19"/>
        </w:rPr>
        <w:t>ongoing LTSS need</w:t>
      </w:r>
      <w:r>
        <w:rPr>
          <w:rFonts w:ascii="Arial" w:hAnsi="Arial" w:cs="Arial"/>
          <w:color w:val="787878"/>
          <w:sz w:val="19"/>
          <w:szCs w:val="19"/>
        </w:rPr>
        <w:t>s</w:t>
      </w:r>
      <w:r>
        <w:rPr>
          <w:rFonts w:ascii="Arial" w:hAnsi="Arial" w:cs="Arial"/>
          <w:color w:val="5B5B5B"/>
          <w:sz w:val="19"/>
          <w:szCs w:val="19"/>
        </w:rPr>
        <w:t xml:space="preserve">, </w:t>
      </w:r>
      <w:r>
        <w:rPr>
          <w:rFonts w:ascii="Arial" w:hAnsi="Arial" w:cs="Arial"/>
          <w:color w:val="474747"/>
          <w:sz w:val="19"/>
          <w:szCs w:val="19"/>
        </w:rPr>
        <w:t xml:space="preserve">and </w:t>
      </w:r>
      <w:r>
        <w:rPr>
          <w:rFonts w:ascii="Arial" w:hAnsi="Arial" w:cs="Arial"/>
          <w:color w:val="5B5B5B"/>
          <w:sz w:val="19"/>
          <w:szCs w:val="19"/>
        </w:rPr>
        <w:t xml:space="preserve">to </w:t>
      </w:r>
      <w:r>
        <w:rPr>
          <w:rFonts w:ascii="Arial" w:hAnsi="Arial" w:cs="Arial"/>
          <w:color w:val="474747"/>
          <w:sz w:val="19"/>
          <w:szCs w:val="19"/>
        </w:rPr>
        <w:t xml:space="preserve">incorporate </w:t>
      </w:r>
      <w:r>
        <w:rPr>
          <w:rFonts w:ascii="Arial" w:hAnsi="Arial" w:cs="Arial"/>
          <w:color w:val="5B5B5B"/>
          <w:sz w:val="19"/>
          <w:szCs w:val="19"/>
        </w:rPr>
        <w:t>comm</w:t>
      </w:r>
      <w:r>
        <w:rPr>
          <w:rFonts w:ascii="Arial" w:hAnsi="Arial" w:cs="Arial"/>
          <w:color w:val="373737"/>
          <w:sz w:val="19"/>
          <w:szCs w:val="19"/>
        </w:rPr>
        <w:t>u</w:t>
      </w:r>
      <w:r>
        <w:rPr>
          <w:rFonts w:ascii="Arial" w:hAnsi="Arial" w:cs="Arial"/>
          <w:color w:val="5B5B5B"/>
          <w:sz w:val="19"/>
          <w:szCs w:val="19"/>
        </w:rPr>
        <w:t>nity base</w:t>
      </w:r>
      <w:r>
        <w:rPr>
          <w:rFonts w:ascii="Arial" w:hAnsi="Arial" w:cs="Arial"/>
          <w:color w:val="373737"/>
          <w:sz w:val="19"/>
          <w:szCs w:val="19"/>
        </w:rPr>
        <w:t xml:space="preserve">d </w:t>
      </w:r>
      <w:r>
        <w:rPr>
          <w:rFonts w:ascii="Arial" w:hAnsi="Arial" w:cs="Arial"/>
          <w:color w:val="5B5B5B"/>
          <w:sz w:val="19"/>
          <w:szCs w:val="19"/>
        </w:rPr>
        <w:t xml:space="preserve">services </w:t>
      </w:r>
      <w:r>
        <w:rPr>
          <w:rFonts w:ascii="Arial" w:hAnsi="Arial" w:cs="Arial"/>
          <w:color w:val="474747"/>
          <w:sz w:val="19"/>
          <w:szCs w:val="19"/>
        </w:rPr>
        <w:t xml:space="preserve">and </w:t>
      </w:r>
      <w:r>
        <w:rPr>
          <w:rFonts w:ascii="Arial" w:hAnsi="Arial" w:cs="Arial"/>
          <w:color w:val="5B5B5B"/>
          <w:sz w:val="19"/>
          <w:szCs w:val="19"/>
        </w:rPr>
        <w:t>othe</w:t>
      </w:r>
      <w:r>
        <w:rPr>
          <w:rFonts w:ascii="Arial" w:hAnsi="Arial" w:cs="Arial"/>
          <w:color w:val="373737"/>
          <w:sz w:val="19"/>
          <w:szCs w:val="19"/>
        </w:rPr>
        <w:t xml:space="preserve">r </w:t>
      </w:r>
      <w:r>
        <w:rPr>
          <w:rFonts w:ascii="Arial" w:hAnsi="Arial" w:cs="Arial"/>
          <w:color w:val="5B5B5B"/>
          <w:sz w:val="19"/>
          <w:szCs w:val="19"/>
        </w:rPr>
        <w:t>availab</w:t>
      </w:r>
      <w:r>
        <w:rPr>
          <w:rFonts w:ascii="Arial" w:hAnsi="Arial" w:cs="Arial"/>
          <w:color w:val="787878"/>
          <w:sz w:val="19"/>
          <w:szCs w:val="19"/>
        </w:rPr>
        <w:t>l</w:t>
      </w:r>
      <w:r>
        <w:rPr>
          <w:rFonts w:ascii="Arial" w:hAnsi="Arial" w:cs="Arial"/>
          <w:color w:val="5B5B5B"/>
          <w:sz w:val="19"/>
          <w:szCs w:val="19"/>
        </w:rPr>
        <w:t>e commu</w:t>
      </w:r>
      <w:r>
        <w:rPr>
          <w:rFonts w:ascii="Arial" w:hAnsi="Arial" w:cs="Arial"/>
          <w:color w:val="373737"/>
          <w:sz w:val="19"/>
          <w:szCs w:val="19"/>
        </w:rPr>
        <w:t>n</w:t>
      </w:r>
      <w:r>
        <w:rPr>
          <w:rFonts w:ascii="Arial" w:hAnsi="Arial" w:cs="Arial"/>
          <w:color w:val="787878"/>
          <w:sz w:val="19"/>
          <w:szCs w:val="19"/>
        </w:rPr>
        <w:t>i</w:t>
      </w:r>
      <w:r>
        <w:rPr>
          <w:rFonts w:ascii="Arial" w:hAnsi="Arial" w:cs="Arial"/>
          <w:color w:val="373737"/>
          <w:sz w:val="19"/>
          <w:szCs w:val="19"/>
        </w:rPr>
        <w:t>t</w:t>
      </w:r>
      <w:r>
        <w:rPr>
          <w:rFonts w:ascii="Arial" w:hAnsi="Arial" w:cs="Arial"/>
          <w:color w:val="5B5B5B"/>
          <w:sz w:val="19"/>
          <w:szCs w:val="19"/>
        </w:rPr>
        <w:t>y res</w:t>
      </w:r>
      <w:r>
        <w:rPr>
          <w:rFonts w:ascii="Arial" w:hAnsi="Arial" w:cs="Arial"/>
          <w:color w:val="373737"/>
          <w:sz w:val="19"/>
          <w:szCs w:val="19"/>
        </w:rPr>
        <w:t>o</w:t>
      </w:r>
      <w:r>
        <w:rPr>
          <w:rFonts w:ascii="Arial" w:hAnsi="Arial" w:cs="Arial"/>
          <w:color w:val="5B5B5B"/>
          <w:sz w:val="19"/>
          <w:szCs w:val="19"/>
        </w:rPr>
        <w:t xml:space="preserve">urces </w:t>
      </w:r>
      <w:proofErr w:type="spellStart"/>
      <w:r>
        <w:rPr>
          <w:rFonts w:ascii="Arial" w:hAnsi="Arial" w:cs="Arial"/>
          <w:color w:val="5B5B5B"/>
          <w:sz w:val="19"/>
          <w:szCs w:val="19"/>
        </w:rPr>
        <w:t>a</w:t>
      </w:r>
      <w:proofErr w:type="spellEnd"/>
      <w:r>
        <w:rPr>
          <w:rFonts w:ascii="Arial" w:hAnsi="Arial" w:cs="Arial"/>
          <w:color w:val="5B5B5B"/>
          <w:sz w:val="19"/>
          <w:szCs w:val="19"/>
        </w:rPr>
        <w:t xml:space="preserve"> </w:t>
      </w:r>
      <w:r>
        <w:rPr>
          <w:rFonts w:ascii="Arial" w:hAnsi="Arial" w:cs="Arial"/>
          <w:color w:val="474747"/>
          <w:sz w:val="19"/>
          <w:szCs w:val="19"/>
        </w:rPr>
        <w:t xml:space="preserve">appropriate </w:t>
      </w:r>
      <w:r>
        <w:rPr>
          <w:rFonts w:ascii="Arial" w:hAnsi="Arial" w:cs="Arial"/>
          <w:color w:val="5B5B5B"/>
          <w:sz w:val="19"/>
          <w:szCs w:val="19"/>
        </w:rPr>
        <w:t>in</w:t>
      </w:r>
      <w:r>
        <w:rPr>
          <w:rFonts w:ascii="Arial" w:hAnsi="Arial" w:cs="Arial"/>
          <w:color w:val="373737"/>
          <w:sz w:val="19"/>
          <w:szCs w:val="19"/>
        </w:rPr>
        <w:t>t</w:t>
      </w:r>
      <w:r>
        <w:rPr>
          <w:rFonts w:ascii="Arial" w:hAnsi="Arial" w:cs="Arial"/>
          <w:color w:val="5B5B5B"/>
          <w:sz w:val="19"/>
          <w:szCs w:val="19"/>
        </w:rPr>
        <w:t>o the enro</w:t>
      </w:r>
      <w:r>
        <w:rPr>
          <w:rFonts w:ascii="Arial" w:hAnsi="Arial" w:cs="Arial"/>
          <w:color w:val="373737"/>
          <w:sz w:val="19"/>
          <w:szCs w:val="19"/>
        </w:rPr>
        <w:t>lle</w:t>
      </w:r>
      <w:r>
        <w:rPr>
          <w:rFonts w:ascii="Arial" w:hAnsi="Arial" w:cs="Arial"/>
          <w:color w:val="5B5B5B"/>
          <w:sz w:val="19"/>
          <w:szCs w:val="19"/>
        </w:rPr>
        <w:t xml:space="preserve">e's </w:t>
      </w:r>
      <w:r>
        <w:rPr>
          <w:rFonts w:ascii="Arial" w:hAnsi="Arial" w:cs="Arial"/>
          <w:color w:val="787878"/>
          <w:sz w:val="19"/>
          <w:szCs w:val="19"/>
        </w:rPr>
        <w:t>i</w:t>
      </w:r>
      <w:r>
        <w:rPr>
          <w:rFonts w:ascii="Arial" w:hAnsi="Arial" w:cs="Arial"/>
          <w:color w:val="474747"/>
          <w:sz w:val="19"/>
          <w:szCs w:val="19"/>
        </w:rPr>
        <w:t xml:space="preserve">ndividualized </w:t>
      </w:r>
      <w:r>
        <w:rPr>
          <w:rFonts w:ascii="Arial" w:hAnsi="Arial" w:cs="Arial"/>
          <w:color w:val="5B5B5B"/>
          <w:sz w:val="19"/>
          <w:szCs w:val="19"/>
        </w:rPr>
        <w:t xml:space="preserve">care </w:t>
      </w:r>
      <w:r>
        <w:rPr>
          <w:rFonts w:ascii="Arial" w:hAnsi="Arial" w:cs="Arial"/>
          <w:color w:val="373737"/>
          <w:sz w:val="19"/>
          <w:szCs w:val="19"/>
        </w:rPr>
        <w:t>pl</w:t>
      </w:r>
      <w:r>
        <w:rPr>
          <w:rFonts w:ascii="Arial" w:hAnsi="Arial" w:cs="Arial"/>
          <w:color w:val="5B5B5B"/>
          <w:sz w:val="19"/>
          <w:szCs w:val="19"/>
        </w:rPr>
        <w:t>a</w:t>
      </w:r>
      <w:r>
        <w:rPr>
          <w:rFonts w:ascii="Arial" w:hAnsi="Arial" w:cs="Arial"/>
          <w:color w:val="373737"/>
          <w:sz w:val="19"/>
          <w:szCs w:val="19"/>
        </w:rPr>
        <w:t>n</w:t>
      </w:r>
      <w:r>
        <w:rPr>
          <w:rFonts w:ascii="Arial" w:hAnsi="Arial" w:cs="Arial"/>
          <w:color w:val="8D8D8D"/>
          <w:sz w:val="19"/>
          <w:szCs w:val="19"/>
        </w:rPr>
        <w:t xml:space="preserve">. </w:t>
      </w:r>
      <w:r>
        <w:rPr>
          <w:rFonts w:ascii="Arial" w:hAnsi="Arial" w:cs="Arial"/>
          <w:color w:val="474747"/>
          <w:sz w:val="19"/>
          <w:szCs w:val="19"/>
        </w:rPr>
        <w:t>T</w:t>
      </w:r>
      <w:r>
        <w:rPr>
          <w:rFonts w:ascii="Arial" w:hAnsi="Arial" w:cs="Arial"/>
          <w:color w:val="1F1F1F"/>
          <w:sz w:val="19"/>
          <w:szCs w:val="19"/>
        </w:rPr>
        <w:t>h</w:t>
      </w:r>
      <w:r>
        <w:rPr>
          <w:rFonts w:ascii="Arial" w:hAnsi="Arial" w:cs="Arial"/>
          <w:color w:val="474747"/>
          <w:sz w:val="19"/>
          <w:szCs w:val="19"/>
        </w:rPr>
        <w:t xml:space="preserve">e </w:t>
      </w:r>
      <w:r>
        <w:rPr>
          <w:rFonts w:ascii="Arial" w:hAnsi="Arial" w:cs="Arial"/>
          <w:color w:val="787878"/>
          <w:sz w:val="19"/>
          <w:szCs w:val="19"/>
        </w:rPr>
        <w:t>L</w:t>
      </w:r>
      <w:r>
        <w:rPr>
          <w:rFonts w:ascii="Arial" w:hAnsi="Arial" w:cs="Arial"/>
          <w:color w:val="5B5B5B"/>
          <w:sz w:val="19"/>
          <w:szCs w:val="19"/>
        </w:rPr>
        <w:t xml:space="preserve">TSS </w:t>
      </w:r>
      <w:r>
        <w:rPr>
          <w:rFonts w:ascii="Arial" w:hAnsi="Arial" w:cs="Arial"/>
          <w:color w:val="787878"/>
          <w:sz w:val="19"/>
          <w:szCs w:val="19"/>
        </w:rPr>
        <w:t>C</w:t>
      </w:r>
      <w:r>
        <w:rPr>
          <w:rFonts w:ascii="Arial" w:hAnsi="Arial" w:cs="Arial"/>
          <w:color w:val="5B5B5B"/>
          <w:sz w:val="19"/>
          <w:szCs w:val="19"/>
        </w:rPr>
        <w:t>oord</w:t>
      </w:r>
      <w:r>
        <w:rPr>
          <w:rFonts w:ascii="Arial" w:hAnsi="Arial" w:cs="Arial"/>
          <w:color w:val="787878"/>
          <w:sz w:val="19"/>
          <w:szCs w:val="19"/>
        </w:rPr>
        <w:t>i</w:t>
      </w:r>
      <w:r>
        <w:rPr>
          <w:rFonts w:ascii="Arial" w:hAnsi="Arial" w:cs="Arial"/>
          <w:color w:val="373737"/>
          <w:sz w:val="19"/>
          <w:szCs w:val="19"/>
        </w:rPr>
        <w:t>na</w:t>
      </w:r>
      <w:r>
        <w:rPr>
          <w:rFonts w:ascii="Arial" w:hAnsi="Arial" w:cs="Arial"/>
          <w:color w:val="5B5B5B"/>
          <w:sz w:val="19"/>
          <w:szCs w:val="19"/>
        </w:rPr>
        <w:t xml:space="preserve">tor </w:t>
      </w:r>
      <w:r>
        <w:rPr>
          <w:rFonts w:ascii="Arial" w:hAnsi="Arial" w:cs="Arial"/>
          <w:color w:val="373737"/>
          <w:sz w:val="19"/>
          <w:szCs w:val="19"/>
        </w:rPr>
        <w:t>w</w:t>
      </w:r>
      <w:r>
        <w:rPr>
          <w:rFonts w:ascii="Arial" w:hAnsi="Arial" w:cs="Arial"/>
          <w:color w:val="5B5B5B"/>
          <w:sz w:val="19"/>
          <w:szCs w:val="19"/>
        </w:rPr>
        <w:t xml:space="preserve">ill </w:t>
      </w:r>
      <w:r>
        <w:rPr>
          <w:rFonts w:ascii="Arial" w:hAnsi="Arial" w:cs="Arial"/>
          <w:color w:val="474747"/>
          <w:sz w:val="19"/>
          <w:szCs w:val="19"/>
        </w:rPr>
        <w:t xml:space="preserve">connect </w:t>
      </w:r>
      <w:r>
        <w:rPr>
          <w:rFonts w:ascii="Arial" w:hAnsi="Arial" w:cs="Arial"/>
          <w:color w:val="1F1F1F"/>
          <w:sz w:val="19"/>
          <w:szCs w:val="19"/>
        </w:rPr>
        <w:t xml:space="preserve">the </w:t>
      </w:r>
      <w:r>
        <w:rPr>
          <w:rFonts w:ascii="Arial" w:hAnsi="Arial" w:cs="Arial"/>
          <w:color w:val="474747"/>
          <w:sz w:val="19"/>
          <w:szCs w:val="19"/>
        </w:rPr>
        <w:t xml:space="preserve">enrollee to </w:t>
      </w:r>
      <w:r>
        <w:rPr>
          <w:rFonts w:ascii="Arial" w:hAnsi="Arial" w:cs="Arial"/>
          <w:color w:val="5B5B5B"/>
          <w:sz w:val="19"/>
          <w:szCs w:val="19"/>
        </w:rPr>
        <w:t>se</w:t>
      </w:r>
      <w:r>
        <w:rPr>
          <w:rFonts w:ascii="Arial" w:hAnsi="Arial" w:cs="Arial"/>
          <w:color w:val="373737"/>
          <w:sz w:val="19"/>
          <w:szCs w:val="19"/>
        </w:rPr>
        <w:t>rv</w:t>
      </w:r>
      <w:r>
        <w:rPr>
          <w:rFonts w:ascii="Arial" w:hAnsi="Arial" w:cs="Arial"/>
          <w:color w:val="5B5B5B"/>
          <w:sz w:val="19"/>
          <w:szCs w:val="19"/>
        </w:rPr>
        <w:t xml:space="preserve">ices - </w:t>
      </w:r>
      <w:r>
        <w:rPr>
          <w:rFonts w:ascii="Arial" w:hAnsi="Arial" w:cs="Arial"/>
          <w:color w:val="373737"/>
          <w:sz w:val="19"/>
          <w:szCs w:val="19"/>
        </w:rPr>
        <w:t>dr</w:t>
      </w:r>
      <w:r>
        <w:rPr>
          <w:rFonts w:ascii="Arial" w:hAnsi="Arial" w:cs="Arial"/>
          <w:color w:val="5B5B5B"/>
          <w:sz w:val="19"/>
          <w:szCs w:val="19"/>
        </w:rPr>
        <w:t>aw</w:t>
      </w:r>
      <w:r>
        <w:rPr>
          <w:rFonts w:ascii="Arial" w:hAnsi="Arial" w:cs="Arial"/>
          <w:color w:val="787878"/>
          <w:sz w:val="19"/>
          <w:szCs w:val="19"/>
        </w:rPr>
        <w:t>i</w:t>
      </w:r>
      <w:r>
        <w:rPr>
          <w:rFonts w:ascii="Arial" w:hAnsi="Arial" w:cs="Arial"/>
          <w:color w:val="474747"/>
          <w:sz w:val="19"/>
          <w:szCs w:val="19"/>
        </w:rPr>
        <w:t xml:space="preserve">ng </w:t>
      </w:r>
      <w:r>
        <w:rPr>
          <w:rFonts w:ascii="Arial" w:hAnsi="Arial" w:cs="Arial"/>
          <w:color w:val="5B5B5B"/>
          <w:sz w:val="19"/>
          <w:szCs w:val="19"/>
        </w:rPr>
        <w:t>o</w:t>
      </w:r>
      <w:r>
        <w:rPr>
          <w:rFonts w:ascii="Arial" w:hAnsi="Arial" w:cs="Arial"/>
          <w:color w:val="373737"/>
          <w:sz w:val="19"/>
          <w:szCs w:val="19"/>
        </w:rPr>
        <w:t xml:space="preserve">n the </w:t>
      </w:r>
      <w:r>
        <w:rPr>
          <w:rFonts w:ascii="Arial" w:hAnsi="Arial" w:cs="Arial"/>
          <w:color w:val="474747"/>
          <w:sz w:val="19"/>
          <w:szCs w:val="19"/>
        </w:rPr>
        <w:t>prov</w:t>
      </w:r>
      <w:r>
        <w:rPr>
          <w:rFonts w:ascii="Arial" w:hAnsi="Arial" w:cs="Arial"/>
          <w:color w:val="8D8D8D"/>
          <w:sz w:val="19"/>
          <w:szCs w:val="19"/>
        </w:rPr>
        <w:t>i</w:t>
      </w:r>
      <w:r>
        <w:rPr>
          <w:rFonts w:ascii="Arial" w:hAnsi="Arial" w:cs="Arial"/>
          <w:color w:val="474747"/>
          <w:sz w:val="19"/>
          <w:szCs w:val="19"/>
        </w:rPr>
        <w:t xml:space="preserve">der </w:t>
      </w:r>
      <w:r>
        <w:rPr>
          <w:rFonts w:ascii="Arial" w:hAnsi="Arial" w:cs="Arial"/>
          <w:color w:val="5B5B5B"/>
          <w:sz w:val="19"/>
          <w:szCs w:val="19"/>
        </w:rPr>
        <w:t>netw</w:t>
      </w:r>
      <w:r>
        <w:rPr>
          <w:rFonts w:ascii="Arial" w:hAnsi="Arial" w:cs="Arial"/>
          <w:color w:val="373737"/>
          <w:sz w:val="19"/>
          <w:szCs w:val="19"/>
        </w:rPr>
        <w:t xml:space="preserve">ork </w:t>
      </w:r>
      <w:r>
        <w:rPr>
          <w:rFonts w:ascii="Arial" w:hAnsi="Arial" w:cs="Arial"/>
          <w:color w:val="474747"/>
          <w:sz w:val="19"/>
          <w:szCs w:val="19"/>
        </w:rPr>
        <w:t xml:space="preserve">and </w:t>
      </w:r>
      <w:r>
        <w:rPr>
          <w:rFonts w:ascii="Arial" w:hAnsi="Arial" w:cs="Arial"/>
          <w:color w:val="5B5B5B"/>
          <w:sz w:val="19"/>
          <w:szCs w:val="19"/>
        </w:rPr>
        <w:t>o</w:t>
      </w:r>
      <w:r>
        <w:rPr>
          <w:rFonts w:ascii="Arial" w:hAnsi="Arial" w:cs="Arial"/>
          <w:color w:val="373737"/>
          <w:sz w:val="19"/>
          <w:szCs w:val="19"/>
        </w:rPr>
        <w:t>t</w:t>
      </w:r>
      <w:r>
        <w:rPr>
          <w:rFonts w:ascii="Arial" w:hAnsi="Arial" w:cs="Arial"/>
          <w:color w:val="5B5B5B"/>
          <w:sz w:val="19"/>
          <w:szCs w:val="19"/>
        </w:rPr>
        <w:t>he</w:t>
      </w:r>
      <w:r>
        <w:rPr>
          <w:rFonts w:ascii="Arial" w:hAnsi="Arial" w:cs="Arial"/>
          <w:color w:val="373737"/>
          <w:sz w:val="19"/>
          <w:szCs w:val="19"/>
        </w:rPr>
        <w:t xml:space="preserve">r </w:t>
      </w:r>
      <w:r>
        <w:rPr>
          <w:rFonts w:ascii="Arial" w:hAnsi="Arial" w:cs="Arial"/>
          <w:color w:val="474747"/>
          <w:sz w:val="19"/>
          <w:szCs w:val="19"/>
        </w:rPr>
        <w:t>resources of the ACO, as well a</w:t>
      </w:r>
      <w:r>
        <w:rPr>
          <w:rFonts w:ascii="Arial" w:hAnsi="Arial" w:cs="Arial"/>
          <w:color w:val="787878"/>
          <w:sz w:val="19"/>
          <w:szCs w:val="19"/>
        </w:rPr>
        <w:t xml:space="preserve">s </w:t>
      </w:r>
      <w:r>
        <w:rPr>
          <w:rFonts w:ascii="Arial" w:hAnsi="Arial" w:cs="Arial"/>
          <w:color w:val="373737"/>
          <w:sz w:val="19"/>
          <w:szCs w:val="19"/>
        </w:rPr>
        <w:t xml:space="preserve">on </w:t>
      </w:r>
      <w:r>
        <w:rPr>
          <w:rFonts w:ascii="Arial" w:hAnsi="Arial" w:cs="Arial"/>
          <w:color w:val="474747"/>
          <w:sz w:val="19"/>
          <w:szCs w:val="19"/>
        </w:rPr>
        <w:t>communi</w:t>
      </w:r>
      <w:r>
        <w:rPr>
          <w:rFonts w:ascii="Arial" w:hAnsi="Arial" w:cs="Arial"/>
          <w:color w:val="373737"/>
          <w:sz w:val="19"/>
          <w:szCs w:val="19"/>
        </w:rPr>
        <w:t>ty-</w:t>
      </w:r>
      <w:r>
        <w:rPr>
          <w:rFonts w:ascii="Arial" w:hAnsi="Arial" w:cs="Arial"/>
          <w:color w:val="5B5B5B"/>
          <w:sz w:val="19"/>
          <w:szCs w:val="19"/>
        </w:rPr>
        <w:t>b</w:t>
      </w:r>
      <w:r>
        <w:rPr>
          <w:rFonts w:ascii="Arial" w:hAnsi="Arial" w:cs="Arial"/>
          <w:color w:val="1F1F1F"/>
          <w:sz w:val="19"/>
          <w:szCs w:val="19"/>
        </w:rPr>
        <w:t>a</w:t>
      </w:r>
      <w:r>
        <w:rPr>
          <w:rFonts w:ascii="Arial" w:hAnsi="Arial" w:cs="Arial"/>
          <w:color w:val="5B5B5B"/>
          <w:sz w:val="19"/>
          <w:szCs w:val="19"/>
        </w:rPr>
        <w:t>sed r</w:t>
      </w:r>
      <w:r>
        <w:rPr>
          <w:rFonts w:ascii="Arial" w:hAnsi="Arial" w:cs="Arial"/>
          <w:color w:val="373737"/>
          <w:sz w:val="19"/>
          <w:szCs w:val="19"/>
        </w:rPr>
        <w:t>e</w:t>
      </w:r>
      <w:r>
        <w:rPr>
          <w:rFonts w:ascii="Arial" w:hAnsi="Arial" w:cs="Arial"/>
          <w:color w:val="5B5B5B"/>
          <w:sz w:val="19"/>
          <w:szCs w:val="19"/>
        </w:rPr>
        <w:t>sou</w:t>
      </w:r>
      <w:r>
        <w:rPr>
          <w:rFonts w:ascii="Arial" w:hAnsi="Arial" w:cs="Arial"/>
          <w:color w:val="373737"/>
          <w:sz w:val="19"/>
          <w:szCs w:val="19"/>
        </w:rPr>
        <w:t>r</w:t>
      </w:r>
      <w:r>
        <w:rPr>
          <w:rFonts w:ascii="Arial" w:hAnsi="Arial" w:cs="Arial"/>
          <w:color w:val="5B5B5B"/>
          <w:sz w:val="19"/>
          <w:szCs w:val="19"/>
        </w:rPr>
        <w:t>c</w:t>
      </w:r>
      <w:r>
        <w:rPr>
          <w:rFonts w:ascii="Arial" w:hAnsi="Arial" w:cs="Arial"/>
          <w:color w:val="373737"/>
          <w:sz w:val="19"/>
          <w:szCs w:val="19"/>
        </w:rPr>
        <w:t>e</w:t>
      </w:r>
      <w:r>
        <w:rPr>
          <w:rFonts w:ascii="Arial" w:hAnsi="Arial" w:cs="Arial"/>
          <w:color w:val="5B5B5B"/>
          <w:sz w:val="19"/>
          <w:szCs w:val="19"/>
        </w:rPr>
        <w:t xml:space="preserve">s </w:t>
      </w:r>
      <w:r>
        <w:rPr>
          <w:rFonts w:ascii="Arial" w:hAnsi="Arial" w:cs="Arial"/>
          <w:color w:val="8D8D8D"/>
          <w:sz w:val="19"/>
          <w:szCs w:val="19"/>
        </w:rPr>
        <w:t xml:space="preserve">- </w:t>
      </w:r>
      <w:r>
        <w:rPr>
          <w:rFonts w:ascii="Arial" w:hAnsi="Arial" w:cs="Arial"/>
          <w:color w:val="474747"/>
          <w:sz w:val="19"/>
          <w:szCs w:val="19"/>
        </w:rPr>
        <w:t xml:space="preserve">and assist providers In </w:t>
      </w:r>
      <w:r>
        <w:rPr>
          <w:rFonts w:ascii="Arial" w:hAnsi="Arial" w:cs="Arial"/>
          <w:color w:val="5B5B5B"/>
          <w:sz w:val="19"/>
          <w:szCs w:val="19"/>
        </w:rPr>
        <w:t>s</w:t>
      </w:r>
      <w:r>
        <w:rPr>
          <w:rFonts w:ascii="Arial" w:hAnsi="Arial" w:cs="Arial"/>
          <w:color w:val="373737"/>
          <w:sz w:val="19"/>
          <w:szCs w:val="19"/>
        </w:rPr>
        <w:t>e</w:t>
      </w:r>
      <w:r>
        <w:rPr>
          <w:rFonts w:ascii="Arial" w:hAnsi="Arial" w:cs="Arial"/>
          <w:color w:val="5B5B5B"/>
          <w:sz w:val="19"/>
          <w:szCs w:val="19"/>
        </w:rPr>
        <w:t>curi</w:t>
      </w:r>
      <w:r>
        <w:rPr>
          <w:rFonts w:ascii="Arial" w:hAnsi="Arial" w:cs="Arial"/>
          <w:color w:val="373737"/>
          <w:sz w:val="19"/>
          <w:szCs w:val="19"/>
        </w:rPr>
        <w:t xml:space="preserve">ng </w:t>
      </w:r>
      <w:r>
        <w:rPr>
          <w:rFonts w:ascii="Arial" w:hAnsi="Arial" w:cs="Arial"/>
          <w:color w:val="474747"/>
          <w:sz w:val="19"/>
          <w:szCs w:val="19"/>
        </w:rPr>
        <w:t xml:space="preserve">any authorizations </w:t>
      </w:r>
      <w:r>
        <w:rPr>
          <w:rFonts w:ascii="Arial" w:hAnsi="Arial" w:cs="Arial"/>
          <w:color w:val="5B5B5B"/>
          <w:sz w:val="19"/>
          <w:szCs w:val="19"/>
        </w:rPr>
        <w:t>o</w:t>
      </w:r>
      <w:r>
        <w:rPr>
          <w:rFonts w:ascii="Arial" w:hAnsi="Arial" w:cs="Arial"/>
          <w:color w:val="373737"/>
          <w:sz w:val="19"/>
          <w:szCs w:val="19"/>
        </w:rPr>
        <w:t xml:space="preserve">r </w:t>
      </w:r>
      <w:r>
        <w:rPr>
          <w:rFonts w:ascii="Arial" w:hAnsi="Arial" w:cs="Arial"/>
          <w:color w:val="5B5B5B"/>
          <w:sz w:val="19"/>
          <w:szCs w:val="19"/>
        </w:rPr>
        <w:t xml:space="preserve">service </w:t>
      </w:r>
      <w:r>
        <w:rPr>
          <w:rFonts w:ascii="Arial" w:hAnsi="Arial" w:cs="Arial"/>
          <w:color w:val="474747"/>
          <w:sz w:val="19"/>
          <w:szCs w:val="19"/>
        </w:rPr>
        <w:t xml:space="preserve">orders necessary to begin </w:t>
      </w:r>
      <w:r>
        <w:rPr>
          <w:rFonts w:ascii="Arial" w:hAnsi="Arial" w:cs="Arial"/>
          <w:color w:val="5B5B5B"/>
          <w:sz w:val="19"/>
          <w:szCs w:val="19"/>
        </w:rPr>
        <w:t>s</w:t>
      </w:r>
      <w:r>
        <w:rPr>
          <w:rFonts w:ascii="Arial" w:hAnsi="Arial" w:cs="Arial"/>
          <w:color w:val="373737"/>
          <w:sz w:val="19"/>
          <w:szCs w:val="19"/>
        </w:rPr>
        <w:t>e</w:t>
      </w:r>
      <w:r>
        <w:rPr>
          <w:rFonts w:ascii="Arial" w:hAnsi="Arial" w:cs="Arial"/>
          <w:color w:val="5B5B5B"/>
          <w:sz w:val="19"/>
          <w:szCs w:val="19"/>
        </w:rPr>
        <w:t>rvices.</w:t>
      </w:r>
    </w:p>
    <w:p w:rsidR="002C5025" w:rsidRDefault="002C5025">
      <w:pPr>
        <w:pStyle w:val="BodyText"/>
        <w:kinsoku w:val="0"/>
        <w:overflowPunct w:val="0"/>
        <w:spacing w:before="9"/>
        <w:rPr>
          <w:rFonts w:ascii="Arial" w:hAnsi="Arial" w:cs="Arial"/>
        </w:rPr>
      </w:pPr>
    </w:p>
    <w:p w:rsidR="002C5025" w:rsidRDefault="002C5025">
      <w:pPr>
        <w:pStyle w:val="BodyText"/>
        <w:kinsoku w:val="0"/>
        <w:overflowPunct w:val="0"/>
        <w:spacing w:line="288" w:lineRule="auto"/>
        <w:ind w:left="160" w:right="104"/>
        <w:rPr>
          <w:rFonts w:ascii="Arial" w:hAnsi="Arial" w:cs="Arial"/>
          <w:color w:val="474747"/>
          <w:sz w:val="19"/>
          <w:szCs w:val="19"/>
        </w:rPr>
      </w:pPr>
      <w:r>
        <w:rPr>
          <w:rFonts w:ascii="Arial" w:hAnsi="Arial" w:cs="Arial"/>
          <w:color w:val="373737"/>
          <w:sz w:val="19"/>
          <w:szCs w:val="19"/>
        </w:rPr>
        <w:t>M</w:t>
      </w:r>
      <w:r>
        <w:rPr>
          <w:rFonts w:ascii="Arial" w:hAnsi="Arial" w:cs="Arial"/>
          <w:color w:val="5B5B5B"/>
          <w:sz w:val="19"/>
          <w:szCs w:val="19"/>
        </w:rPr>
        <w:t>assH</w:t>
      </w:r>
      <w:r>
        <w:rPr>
          <w:rFonts w:ascii="Arial" w:hAnsi="Arial" w:cs="Arial"/>
          <w:color w:val="373737"/>
          <w:sz w:val="19"/>
          <w:szCs w:val="19"/>
        </w:rPr>
        <w:t>e</w:t>
      </w:r>
      <w:r>
        <w:rPr>
          <w:rFonts w:ascii="Arial" w:hAnsi="Arial" w:cs="Arial"/>
          <w:color w:val="5B5B5B"/>
          <w:sz w:val="19"/>
          <w:szCs w:val="19"/>
        </w:rPr>
        <w:t xml:space="preserve">alth ACOs </w:t>
      </w:r>
      <w:r>
        <w:rPr>
          <w:rFonts w:ascii="Arial" w:hAnsi="Arial" w:cs="Arial"/>
          <w:color w:val="373737"/>
          <w:sz w:val="19"/>
          <w:szCs w:val="19"/>
        </w:rPr>
        <w:t>w</w:t>
      </w:r>
      <w:r>
        <w:rPr>
          <w:rFonts w:ascii="Arial" w:hAnsi="Arial" w:cs="Arial"/>
          <w:color w:val="5B5B5B"/>
          <w:sz w:val="19"/>
          <w:szCs w:val="19"/>
        </w:rPr>
        <w:t xml:space="preserve">ill </w:t>
      </w:r>
      <w:r>
        <w:rPr>
          <w:rFonts w:ascii="Arial" w:hAnsi="Arial" w:cs="Arial"/>
          <w:color w:val="474747"/>
          <w:sz w:val="19"/>
          <w:szCs w:val="19"/>
        </w:rPr>
        <w:t xml:space="preserve">be </w:t>
      </w:r>
      <w:r>
        <w:rPr>
          <w:rFonts w:ascii="Arial" w:hAnsi="Arial" w:cs="Arial"/>
          <w:color w:val="373737"/>
          <w:sz w:val="19"/>
          <w:szCs w:val="19"/>
        </w:rPr>
        <w:t>res</w:t>
      </w:r>
      <w:r>
        <w:rPr>
          <w:rFonts w:ascii="Arial" w:hAnsi="Arial" w:cs="Arial"/>
          <w:color w:val="5B5B5B"/>
          <w:sz w:val="19"/>
          <w:szCs w:val="19"/>
        </w:rPr>
        <w:t>po</w:t>
      </w:r>
      <w:r>
        <w:rPr>
          <w:rFonts w:ascii="Arial" w:hAnsi="Arial" w:cs="Arial"/>
          <w:color w:val="373737"/>
          <w:sz w:val="19"/>
          <w:szCs w:val="19"/>
        </w:rPr>
        <w:t>n</w:t>
      </w:r>
      <w:r>
        <w:rPr>
          <w:rFonts w:ascii="Arial" w:hAnsi="Arial" w:cs="Arial"/>
          <w:color w:val="5B5B5B"/>
          <w:sz w:val="19"/>
          <w:szCs w:val="19"/>
        </w:rPr>
        <w:t>sib</w:t>
      </w:r>
      <w:r>
        <w:rPr>
          <w:rFonts w:ascii="Arial" w:hAnsi="Arial" w:cs="Arial"/>
          <w:color w:val="787878"/>
          <w:sz w:val="19"/>
          <w:szCs w:val="19"/>
        </w:rPr>
        <w:t>l</w:t>
      </w:r>
      <w:r>
        <w:rPr>
          <w:rFonts w:ascii="Arial" w:hAnsi="Arial" w:cs="Arial"/>
          <w:color w:val="474747"/>
          <w:sz w:val="19"/>
          <w:szCs w:val="19"/>
        </w:rPr>
        <w:t>e fo</w:t>
      </w:r>
      <w:r>
        <w:rPr>
          <w:rFonts w:ascii="Arial" w:hAnsi="Arial" w:cs="Arial"/>
          <w:color w:val="1F1F1F"/>
          <w:sz w:val="19"/>
          <w:szCs w:val="19"/>
        </w:rPr>
        <w:t xml:space="preserve">r </w:t>
      </w:r>
      <w:r>
        <w:rPr>
          <w:rFonts w:ascii="Arial" w:hAnsi="Arial" w:cs="Arial"/>
          <w:color w:val="474747"/>
          <w:sz w:val="19"/>
          <w:szCs w:val="19"/>
        </w:rPr>
        <w:t>ens</w:t>
      </w:r>
      <w:r>
        <w:rPr>
          <w:rFonts w:ascii="Arial" w:hAnsi="Arial" w:cs="Arial"/>
          <w:color w:val="1F1F1F"/>
          <w:sz w:val="19"/>
          <w:szCs w:val="19"/>
        </w:rPr>
        <w:t>ur</w:t>
      </w:r>
      <w:r>
        <w:rPr>
          <w:rFonts w:ascii="Arial" w:hAnsi="Arial" w:cs="Arial"/>
          <w:color w:val="5B5B5B"/>
          <w:sz w:val="19"/>
          <w:szCs w:val="19"/>
        </w:rPr>
        <w:t>i</w:t>
      </w:r>
      <w:r>
        <w:rPr>
          <w:rFonts w:ascii="Arial" w:hAnsi="Arial" w:cs="Arial"/>
          <w:color w:val="373737"/>
          <w:sz w:val="19"/>
          <w:szCs w:val="19"/>
        </w:rPr>
        <w:t xml:space="preserve">ng </w:t>
      </w:r>
      <w:r>
        <w:rPr>
          <w:rFonts w:ascii="Arial" w:hAnsi="Arial" w:cs="Arial"/>
          <w:color w:val="5B5B5B"/>
          <w:sz w:val="19"/>
          <w:szCs w:val="19"/>
        </w:rPr>
        <w:t>that LTSS C</w:t>
      </w:r>
      <w:r>
        <w:rPr>
          <w:rFonts w:ascii="Arial" w:hAnsi="Arial" w:cs="Arial"/>
          <w:color w:val="373737"/>
          <w:sz w:val="19"/>
          <w:szCs w:val="19"/>
        </w:rPr>
        <w:t>oordinator</w:t>
      </w:r>
      <w:r>
        <w:rPr>
          <w:rFonts w:ascii="Arial" w:hAnsi="Arial" w:cs="Arial"/>
          <w:color w:val="5B5B5B"/>
          <w:sz w:val="19"/>
          <w:szCs w:val="19"/>
        </w:rPr>
        <w:t xml:space="preserve">s </w:t>
      </w:r>
      <w:r>
        <w:rPr>
          <w:rFonts w:ascii="Arial" w:hAnsi="Arial" w:cs="Arial"/>
          <w:color w:val="373737"/>
          <w:sz w:val="19"/>
          <w:szCs w:val="19"/>
        </w:rPr>
        <w:t>m</w:t>
      </w:r>
      <w:r>
        <w:rPr>
          <w:rFonts w:ascii="Arial" w:hAnsi="Arial" w:cs="Arial"/>
          <w:color w:val="5B5B5B"/>
          <w:sz w:val="19"/>
          <w:szCs w:val="19"/>
        </w:rPr>
        <w:t>eet s</w:t>
      </w:r>
      <w:r>
        <w:rPr>
          <w:rFonts w:ascii="Arial" w:hAnsi="Arial" w:cs="Arial"/>
          <w:color w:val="373737"/>
          <w:sz w:val="19"/>
          <w:szCs w:val="19"/>
        </w:rPr>
        <w:t>pe</w:t>
      </w:r>
      <w:r>
        <w:rPr>
          <w:rFonts w:ascii="Arial" w:hAnsi="Arial" w:cs="Arial"/>
          <w:color w:val="5B5B5B"/>
          <w:sz w:val="19"/>
          <w:szCs w:val="19"/>
        </w:rPr>
        <w:t>c</w:t>
      </w:r>
      <w:r>
        <w:rPr>
          <w:rFonts w:ascii="Arial" w:hAnsi="Arial" w:cs="Arial"/>
          <w:color w:val="0B0B0B"/>
          <w:sz w:val="19"/>
          <w:szCs w:val="19"/>
        </w:rPr>
        <w:t>i</w:t>
      </w:r>
      <w:r>
        <w:rPr>
          <w:rFonts w:ascii="Arial" w:hAnsi="Arial" w:cs="Arial"/>
          <w:color w:val="373737"/>
          <w:sz w:val="19"/>
          <w:szCs w:val="19"/>
        </w:rPr>
        <w:t>f</w:t>
      </w:r>
      <w:r>
        <w:rPr>
          <w:rFonts w:ascii="Arial" w:hAnsi="Arial" w:cs="Arial"/>
          <w:color w:val="5B5B5B"/>
          <w:sz w:val="19"/>
          <w:szCs w:val="19"/>
        </w:rPr>
        <w:t xml:space="preserve">ic </w:t>
      </w:r>
      <w:r>
        <w:rPr>
          <w:rFonts w:ascii="Arial" w:hAnsi="Arial" w:cs="Arial"/>
          <w:color w:val="373737"/>
          <w:sz w:val="19"/>
          <w:szCs w:val="19"/>
        </w:rPr>
        <w:t>quali</w:t>
      </w:r>
      <w:r>
        <w:rPr>
          <w:rFonts w:ascii="Arial" w:hAnsi="Arial" w:cs="Arial"/>
          <w:color w:val="5B5B5B"/>
          <w:sz w:val="19"/>
          <w:szCs w:val="19"/>
        </w:rPr>
        <w:t>fica</w:t>
      </w:r>
      <w:r>
        <w:rPr>
          <w:rFonts w:ascii="Arial" w:hAnsi="Arial" w:cs="Arial"/>
          <w:color w:val="373737"/>
          <w:sz w:val="19"/>
          <w:szCs w:val="19"/>
        </w:rPr>
        <w:t>t</w:t>
      </w:r>
      <w:r>
        <w:rPr>
          <w:rFonts w:ascii="Arial" w:hAnsi="Arial" w:cs="Arial"/>
          <w:color w:val="787878"/>
          <w:sz w:val="19"/>
          <w:szCs w:val="19"/>
        </w:rPr>
        <w:t>i</w:t>
      </w:r>
      <w:r>
        <w:rPr>
          <w:rFonts w:ascii="Arial" w:hAnsi="Arial" w:cs="Arial"/>
          <w:color w:val="373737"/>
          <w:sz w:val="19"/>
          <w:szCs w:val="19"/>
        </w:rPr>
        <w:t>ons</w:t>
      </w:r>
      <w:r>
        <w:rPr>
          <w:rFonts w:ascii="Arial" w:hAnsi="Arial" w:cs="Arial"/>
          <w:color w:val="5B5B5B"/>
          <w:sz w:val="19"/>
          <w:szCs w:val="19"/>
        </w:rPr>
        <w:t xml:space="preserve">, </w:t>
      </w:r>
      <w:r>
        <w:rPr>
          <w:rFonts w:ascii="Arial" w:hAnsi="Arial" w:cs="Arial"/>
          <w:color w:val="373737"/>
          <w:sz w:val="19"/>
          <w:szCs w:val="19"/>
        </w:rPr>
        <w:t>Includ</w:t>
      </w:r>
      <w:r>
        <w:rPr>
          <w:rFonts w:ascii="Arial" w:hAnsi="Arial" w:cs="Arial"/>
          <w:color w:val="5B5B5B"/>
          <w:sz w:val="19"/>
          <w:szCs w:val="19"/>
        </w:rPr>
        <w:t xml:space="preserve">ing </w:t>
      </w:r>
      <w:r>
        <w:rPr>
          <w:rFonts w:ascii="Arial" w:hAnsi="Arial" w:cs="Arial"/>
          <w:color w:val="474747"/>
          <w:sz w:val="19"/>
          <w:szCs w:val="19"/>
        </w:rPr>
        <w:t xml:space="preserve">necessary </w:t>
      </w:r>
      <w:r>
        <w:rPr>
          <w:rFonts w:ascii="Arial" w:hAnsi="Arial" w:cs="Arial"/>
          <w:color w:val="5B5B5B"/>
          <w:sz w:val="19"/>
          <w:szCs w:val="19"/>
        </w:rPr>
        <w:t>(1</w:t>
      </w:r>
      <w:r>
        <w:rPr>
          <w:rFonts w:ascii="Arial" w:hAnsi="Arial" w:cs="Arial"/>
          <w:color w:val="787878"/>
          <w:sz w:val="19"/>
          <w:szCs w:val="19"/>
        </w:rPr>
        <w:t xml:space="preserve">) </w:t>
      </w:r>
      <w:r>
        <w:rPr>
          <w:rFonts w:ascii="Arial" w:hAnsi="Arial" w:cs="Arial"/>
          <w:color w:val="474747"/>
          <w:sz w:val="19"/>
          <w:szCs w:val="19"/>
        </w:rPr>
        <w:t xml:space="preserve">training, </w:t>
      </w:r>
      <w:r>
        <w:rPr>
          <w:rFonts w:ascii="Arial" w:hAnsi="Arial" w:cs="Arial"/>
          <w:color w:val="5B5B5B"/>
          <w:sz w:val="19"/>
          <w:szCs w:val="19"/>
        </w:rPr>
        <w:t>(2</w:t>
      </w:r>
      <w:r>
        <w:rPr>
          <w:rFonts w:ascii="Arial" w:hAnsi="Arial" w:cs="Arial"/>
          <w:color w:val="373737"/>
          <w:sz w:val="19"/>
          <w:szCs w:val="19"/>
        </w:rPr>
        <w:t xml:space="preserve">) </w:t>
      </w:r>
      <w:r>
        <w:rPr>
          <w:rFonts w:ascii="Arial" w:hAnsi="Arial" w:cs="Arial"/>
          <w:color w:val="474747"/>
          <w:sz w:val="19"/>
          <w:szCs w:val="19"/>
        </w:rPr>
        <w:t>expe</w:t>
      </w:r>
      <w:r>
        <w:rPr>
          <w:rFonts w:ascii="Arial" w:hAnsi="Arial" w:cs="Arial"/>
          <w:color w:val="1F1F1F"/>
          <w:sz w:val="19"/>
          <w:szCs w:val="19"/>
        </w:rPr>
        <w:t>ri</w:t>
      </w:r>
      <w:r>
        <w:rPr>
          <w:rFonts w:ascii="Arial" w:hAnsi="Arial" w:cs="Arial"/>
          <w:color w:val="474747"/>
          <w:sz w:val="19"/>
          <w:szCs w:val="19"/>
        </w:rPr>
        <w:t>en</w:t>
      </w:r>
      <w:r>
        <w:rPr>
          <w:rFonts w:ascii="Arial" w:hAnsi="Arial" w:cs="Arial"/>
          <w:color w:val="1F1F1F"/>
          <w:sz w:val="19"/>
          <w:szCs w:val="19"/>
        </w:rPr>
        <w:t>c</w:t>
      </w:r>
      <w:r>
        <w:rPr>
          <w:rFonts w:ascii="Arial" w:hAnsi="Arial" w:cs="Arial"/>
          <w:color w:val="474747"/>
          <w:sz w:val="19"/>
          <w:szCs w:val="19"/>
        </w:rPr>
        <w:t xml:space="preserve">e </w:t>
      </w:r>
      <w:r>
        <w:rPr>
          <w:rFonts w:ascii="Arial" w:hAnsi="Arial" w:cs="Arial"/>
          <w:color w:val="373737"/>
          <w:sz w:val="19"/>
          <w:szCs w:val="19"/>
        </w:rPr>
        <w:t xml:space="preserve">and </w:t>
      </w:r>
      <w:r>
        <w:rPr>
          <w:rFonts w:ascii="Arial" w:hAnsi="Arial" w:cs="Arial"/>
          <w:color w:val="5B5B5B"/>
          <w:sz w:val="19"/>
          <w:szCs w:val="19"/>
        </w:rPr>
        <w:t xml:space="preserve">(3) </w:t>
      </w:r>
      <w:r>
        <w:rPr>
          <w:rFonts w:ascii="Arial" w:hAnsi="Arial" w:cs="Arial"/>
          <w:color w:val="373737"/>
          <w:sz w:val="19"/>
          <w:szCs w:val="19"/>
        </w:rPr>
        <w:t>exp</w:t>
      </w:r>
      <w:r>
        <w:rPr>
          <w:rFonts w:ascii="Arial" w:hAnsi="Arial" w:cs="Arial"/>
          <w:color w:val="5B5B5B"/>
          <w:sz w:val="19"/>
          <w:szCs w:val="19"/>
        </w:rPr>
        <w:t>ert</w:t>
      </w:r>
      <w:r>
        <w:rPr>
          <w:rFonts w:ascii="Arial" w:hAnsi="Arial" w:cs="Arial"/>
          <w:color w:val="1F1F1F"/>
          <w:sz w:val="19"/>
          <w:szCs w:val="19"/>
        </w:rPr>
        <w:t>i</w:t>
      </w:r>
      <w:r>
        <w:rPr>
          <w:rFonts w:ascii="Arial" w:hAnsi="Arial" w:cs="Arial"/>
          <w:color w:val="5B5B5B"/>
          <w:sz w:val="19"/>
          <w:szCs w:val="19"/>
        </w:rPr>
        <w:t xml:space="preserve">se </w:t>
      </w:r>
      <w:r>
        <w:rPr>
          <w:rFonts w:ascii="Arial" w:hAnsi="Arial" w:cs="Arial"/>
          <w:color w:val="474747"/>
          <w:sz w:val="19"/>
          <w:szCs w:val="19"/>
        </w:rPr>
        <w:t xml:space="preserve">in </w:t>
      </w:r>
      <w:r>
        <w:rPr>
          <w:rFonts w:ascii="Arial" w:hAnsi="Arial" w:cs="Arial"/>
          <w:color w:val="373737"/>
          <w:sz w:val="19"/>
          <w:szCs w:val="19"/>
        </w:rPr>
        <w:t>w</w:t>
      </w:r>
      <w:r>
        <w:rPr>
          <w:rFonts w:ascii="Arial" w:hAnsi="Arial" w:cs="Arial"/>
          <w:color w:val="5B5B5B"/>
          <w:sz w:val="19"/>
          <w:szCs w:val="19"/>
        </w:rPr>
        <w:t>o</w:t>
      </w:r>
      <w:r>
        <w:rPr>
          <w:rFonts w:ascii="Arial" w:hAnsi="Arial" w:cs="Arial"/>
          <w:color w:val="373737"/>
          <w:sz w:val="19"/>
          <w:szCs w:val="19"/>
        </w:rPr>
        <w:t>rkin</w:t>
      </w:r>
      <w:r>
        <w:rPr>
          <w:rFonts w:ascii="Arial" w:hAnsi="Arial" w:cs="Arial"/>
          <w:color w:val="5B5B5B"/>
          <w:sz w:val="19"/>
          <w:szCs w:val="19"/>
        </w:rPr>
        <w:t xml:space="preserve">g </w:t>
      </w:r>
      <w:r>
        <w:rPr>
          <w:rFonts w:ascii="Arial" w:hAnsi="Arial" w:cs="Arial"/>
          <w:color w:val="373737"/>
          <w:sz w:val="19"/>
          <w:szCs w:val="19"/>
        </w:rPr>
        <w:t>w</w:t>
      </w:r>
      <w:r>
        <w:rPr>
          <w:rFonts w:ascii="Arial" w:hAnsi="Arial" w:cs="Arial"/>
          <w:color w:val="787878"/>
          <w:sz w:val="19"/>
          <w:szCs w:val="19"/>
        </w:rPr>
        <w:t>i</w:t>
      </w:r>
      <w:r>
        <w:rPr>
          <w:rFonts w:ascii="Arial" w:hAnsi="Arial" w:cs="Arial"/>
          <w:color w:val="474747"/>
          <w:sz w:val="19"/>
          <w:szCs w:val="19"/>
        </w:rPr>
        <w:t xml:space="preserve">th people </w:t>
      </w:r>
      <w:r>
        <w:rPr>
          <w:rFonts w:ascii="Arial" w:hAnsi="Arial" w:cs="Arial"/>
          <w:color w:val="373737"/>
          <w:sz w:val="19"/>
          <w:szCs w:val="19"/>
        </w:rPr>
        <w:t>with d</w:t>
      </w:r>
      <w:r>
        <w:rPr>
          <w:rFonts w:ascii="Arial" w:hAnsi="Arial" w:cs="Arial"/>
          <w:color w:val="5B5B5B"/>
          <w:sz w:val="19"/>
          <w:szCs w:val="19"/>
        </w:rPr>
        <w:t>isabili</w:t>
      </w:r>
      <w:r>
        <w:rPr>
          <w:rFonts w:ascii="Arial" w:hAnsi="Arial" w:cs="Arial"/>
          <w:color w:val="373737"/>
          <w:sz w:val="19"/>
          <w:szCs w:val="19"/>
        </w:rPr>
        <w:t>ti</w:t>
      </w:r>
      <w:r>
        <w:rPr>
          <w:rFonts w:ascii="Arial" w:hAnsi="Arial" w:cs="Arial"/>
          <w:color w:val="5B5B5B"/>
          <w:sz w:val="19"/>
          <w:szCs w:val="19"/>
        </w:rPr>
        <w:t xml:space="preserve">es </w:t>
      </w:r>
      <w:r>
        <w:rPr>
          <w:rFonts w:ascii="Arial" w:hAnsi="Arial" w:cs="Arial"/>
          <w:color w:val="474747"/>
          <w:sz w:val="19"/>
          <w:szCs w:val="19"/>
        </w:rPr>
        <w:t>and/or elder</w:t>
      </w:r>
      <w:r>
        <w:rPr>
          <w:rFonts w:ascii="Arial" w:hAnsi="Arial" w:cs="Arial"/>
          <w:color w:val="787878"/>
          <w:sz w:val="19"/>
          <w:szCs w:val="19"/>
        </w:rPr>
        <w:t xml:space="preserve">s </w:t>
      </w:r>
      <w:r>
        <w:rPr>
          <w:rFonts w:ascii="Arial" w:hAnsi="Arial" w:cs="Arial"/>
          <w:color w:val="5B5B5B"/>
          <w:sz w:val="19"/>
          <w:szCs w:val="19"/>
        </w:rPr>
        <w:t>i</w:t>
      </w:r>
      <w:r>
        <w:rPr>
          <w:rFonts w:ascii="Arial" w:hAnsi="Arial" w:cs="Arial"/>
          <w:color w:val="373737"/>
          <w:sz w:val="19"/>
          <w:szCs w:val="19"/>
        </w:rPr>
        <w:t xml:space="preserve">n </w:t>
      </w:r>
      <w:r>
        <w:rPr>
          <w:rFonts w:ascii="Arial" w:hAnsi="Arial" w:cs="Arial"/>
          <w:color w:val="5B5B5B"/>
          <w:sz w:val="19"/>
          <w:szCs w:val="19"/>
        </w:rPr>
        <w:t xml:space="preserve">need </w:t>
      </w:r>
      <w:r>
        <w:rPr>
          <w:rFonts w:ascii="Arial" w:hAnsi="Arial" w:cs="Arial"/>
          <w:color w:val="474747"/>
          <w:sz w:val="19"/>
          <w:szCs w:val="19"/>
        </w:rPr>
        <w:t xml:space="preserve">of </w:t>
      </w:r>
      <w:r>
        <w:rPr>
          <w:rFonts w:ascii="Arial" w:hAnsi="Arial" w:cs="Arial"/>
          <w:color w:val="5B5B5B"/>
          <w:sz w:val="19"/>
          <w:szCs w:val="19"/>
        </w:rPr>
        <w:t>In</w:t>
      </w:r>
      <w:r>
        <w:rPr>
          <w:rFonts w:ascii="Arial" w:hAnsi="Arial" w:cs="Arial"/>
          <w:color w:val="373737"/>
          <w:sz w:val="19"/>
          <w:szCs w:val="19"/>
        </w:rPr>
        <w:t>depe</w:t>
      </w:r>
      <w:r>
        <w:rPr>
          <w:rFonts w:ascii="Arial" w:hAnsi="Arial" w:cs="Arial"/>
          <w:color w:val="5B5B5B"/>
          <w:sz w:val="19"/>
          <w:szCs w:val="19"/>
        </w:rPr>
        <w:t>nde</w:t>
      </w:r>
      <w:r>
        <w:rPr>
          <w:rFonts w:ascii="Arial" w:hAnsi="Arial" w:cs="Arial"/>
          <w:color w:val="373737"/>
          <w:sz w:val="19"/>
          <w:szCs w:val="19"/>
        </w:rPr>
        <w:t>n</w:t>
      </w:r>
      <w:r>
        <w:rPr>
          <w:rFonts w:ascii="Arial" w:hAnsi="Arial" w:cs="Arial"/>
          <w:color w:val="5B5B5B"/>
          <w:sz w:val="19"/>
          <w:szCs w:val="19"/>
        </w:rPr>
        <w:t>t liv</w:t>
      </w:r>
      <w:r>
        <w:rPr>
          <w:rFonts w:ascii="Arial" w:hAnsi="Arial" w:cs="Arial"/>
          <w:color w:val="787878"/>
          <w:sz w:val="19"/>
          <w:szCs w:val="19"/>
        </w:rPr>
        <w:t>i</w:t>
      </w:r>
      <w:r>
        <w:rPr>
          <w:rFonts w:ascii="Arial" w:hAnsi="Arial" w:cs="Arial"/>
          <w:color w:val="5B5B5B"/>
          <w:sz w:val="19"/>
          <w:szCs w:val="19"/>
        </w:rPr>
        <w:t>ng s</w:t>
      </w:r>
      <w:r>
        <w:rPr>
          <w:rFonts w:ascii="Arial" w:hAnsi="Arial" w:cs="Arial"/>
          <w:color w:val="373737"/>
          <w:sz w:val="19"/>
          <w:szCs w:val="19"/>
        </w:rPr>
        <w:t>upp</w:t>
      </w:r>
      <w:r>
        <w:rPr>
          <w:rFonts w:ascii="Arial" w:hAnsi="Arial" w:cs="Arial"/>
          <w:color w:val="5B5B5B"/>
          <w:sz w:val="19"/>
          <w:szCs w:val="19"/>
        </w:rPr>
        <w:t>o</w:t>
      </w:r>
      <w:r>
        <w:rPr>
          <w:rFonts w:ascii="Arial" w:hAnsi="Arial" w:cs="Arial"/>
          <w:color w:val="373737"/>
          <w:sz w:val="19"/>
          <w:szCs w:val="19"/>
        </w:rPr>
        <w:t>rt</w:t>
      </w:r>
      <w:r>
        <w:rPr>
          <w:rFonts w:ascii="Arial" w:hAnsi="Arial" w:cs="Arial"/>
          <w:color w:val="5B5B5B"/>
          <w:sz w:val="19"/>
          <w:szCs w:val="19"/>
        </w:rPr>
        <w:t>s an</w:t>
      </w:r>
      <w:r>
        <w:rPr>
          <w:rFonts w:ascii="Arial" w:hAnsi="Arial" w:cs="Arial"/>
          <w:color w:val="373737"/>
          <w:sz w:val="19"/>
          <w:szCs w:val="19"/>
        </w:rPr>
        <w:t xml:space="preserve">d </w:t>
      </w:r>
      <w:r>
        <w:rPr>
          <w:rFonts w:ascii="Arial" w:hAnsi="Arial" w:cs="Arial"/>
          <w:color w:val="5B5B5B"/>
          <w:sz w:val="19"/>
          <w:szCs w:val="19"/>
        </w:rPr>
        <w:t>L</w:t>
      </w:r>
      <w:r>
        <w:rPr>
          <w:rFonts w:ascii="Arial" w:hAnsi="Arial" w:cs="Arial"/>
          <w:color w:val="474747"/>
          <w:sz w:val="19"/>
          <w:szCs w:val="19"/>
        </w:rPr>
        <w:t>TSS</w:t>
      </w:r>
      <w:r>
        <w:rPr>
          <w:rFonts w:ascii="Arial" w:hAnsi="Arial" w:cs="Arial"/>
          <w:color w:val="787878"/>
          <w:sz w:val="19"/>
          <w:szCs w:val="19"/>
        </w:rPr>
        <w:t xml:space="preserve">, </w:t>
      </w:r>
      <w:r>
        <w:rPr>
          <w:rFonts w:ascii="Arial" w:hAnsi="Arial" w:cs="Arial"/>
          <w:color w:val="474747"/>
          <w:sz w:val="19"/>
          <w:szCs w:val="19"/>
        </w:rPr>
        <w:t>an</w:t>
      </w:r>
      <w:r>
        <w:rPr>
          <w:rFonts w:ascii="Arial" w:hAnsi="Arial" w:cs="Arial"/>
          <w:color w:val="1F1F1F"/>
          <w:sz w:val="19"/>
          <w:szCs w:val="19"/>
        </w:rPr>
        <w:t xml:space="preserve">d </w:t>
      </w:r>
      <w:r>
        <w:rPr>
          <w:rFonts w:ascii="Arial" w:hAnsi="Arial" w:cs="Arial"/>
          <w:color w:val="474747"/>
          <w:sz w:val="19"/>
          <w:szCs w:val="19"/>
        </w:rPr>
        <w:t xml:space="preserve">a thorough </w:t>
      </w:r>
      <w:r>
        <w:rPr>
          <w:rFonts w:ascii="Arial" w:hAnsi="Arial" w:cs="Arial"/>
          <w:color w:val="373737"/>
          <w:sz w:val="19"/>
          <w:szCs w:val="19"/>
        </w:rPr>
        <w:t>kn</w:t>
      </w:r>
      <w:r>
        <w:rPr>
          <w:rFonts w:ascii="Arial" w:hAnsi="Arial" w:cs="Arial"/>
          <w:color w:val="5B5B5B"/>
          <w:sz w:val="19"/>
          <w:szCs w:val="19"/>
        </w:rPr>
        <w:t>ow</w:t>
      </w:r>
      <w:r>
        <w:rPr>
          <w:rFonts w:ascii="Arial" w:hAnsi="Arial" w:cs="Arial"/>
          <w:color w:val="373737"/>
          <w:sz w:val="19"/>
          <w:szCs w:val="19"/>
        </w:rPr>
        <w:t>l</w:t>
      </w:r>
      <w:r>
        <w:rPr>
          <w:rFonts w:ascii="Arial" w:hAnsi="Arial" w:cs="Arial"/>
          <w:color w:val="5B5B5B"/>
          <w:sz w:val="19"/>
          <w:szCs w:val="19"/>
        </w:rPr>
        <w:t xml:space="preserve">edge of </w:t>
      </w:r>
      <w:r>
        <w:rPr>
          <w:rFonts w:ascii="Arial" w:hAnsi="Arial" w:cs="Arial"/>
          <w:color w:val="373737"/>
          <w:sz w:val="19"/>
          <w:szCs w:val="19"/>
        </w:rPr>
        <w:t>th</w:t>
      </w:r>
      <w:r>
        <w:rPr>
          <w:rFonts w:ascii="Arial" w:hAnsi="Arial" w:cs="Arial"/>
          <w:color w:val="5B5B5B"/>
          <w:sz w:val="19"/>
          <w:szCs w:val="19"/>
        </w:rPr>
        <w:t>e home and commu</w:t>
      </w:r>
      <w:r>
        <w:rPr>
          <w:rFonts w:ascii="Arial" w:hAnsi="Arial" w:cs="Arial"/>
          <w:color w:val="373737"/>
          <w:sz w:val="19"/>
          <w:szCs w:val="19"/>
        </w:rPr>
        <w:t>ni</w:t>
      </w:r>
      <w:r>
        <w:rPr>
          <w:rFonts w:ascii="Arial" w:hAnsi="Arial" w:cs="Arial"/>
          <w:color w:val="5B5B5B"/>
          <w:sz w:val="19"/>
          <w:szCs w:val="19"/>
        </w:rPr>
        <w:t>ty</w:t>
      </w:r>
      <w:r>
        <w:rPr>
          <w:rFonts w:ascii="Arial" w:hAnsi="Arial" w:cs="Arial"/>
          <w:color w:val="787878"/>
          <w:sz w:val="19"/>
          <w:szCs w:val="19"/>
        </w:rPr>
        <w:t>-</w:t>
      </w:r>
      <w:r>
        <w:rPr>
          <w:rFonts w:ascii="Arial" w:hAnsi="Arial" w:cs="Arial"/>
          <w:color w:val="5B5B5B"/>
          <w:sz w:val="19"/>
          <w:szCs w:val="19"/>
        </w:rPr>
        <w:t xml:space="preserve">based service </w:t>
      </w:r>
      <w:r>
        <w:rPr>
          <w:rFonts w:ascii="Arial" w:hAnsi="Arial" w:cs="Arial"/>
          <w:color w:val="787878"/>
          <w:sz w:val="19"/>
          <w:szCs w:val="19"/>
        </w:rPr>
        <w:t>s</w:t>
      </w:r>
      <w:r>
        <w:rPr>
          <w:rFonts w:ascii="Arial" w:hAnsi="Arial" w:cs="Arial"/>
          <w:color w:val="474747"/>
          <w:sz w:val="19"/>
          <w:szCs w:val="19"/>
        </w:rPr>
        <w:t xml:space="preserve">ystem. ACOs </w:t>
      </w:r>
      <w:r>
        <w:rPr>
          <w:rFonts w:ascii="Arial" w:hAnsi="Arial" w:cs="Arial"/>
          <w:color w:val="5B5B5B"/>
          <w:sz w:val="19"/>
          <w:szCs w:val="19"/>
        </w:rPr>
        <w:t>wi</w:t>
      </w:r>
      <w:r>
        <w:rPr>
          <w:rFonts w:ascii="Arial" w:hAnsi="Arial" w:cs="Arial"/>
          <w:color w:val="1F1F1F"/>
          <w:sz w:val="19"/>
          <w:szCs w:val="19"/>
        </w:rPr>
        <w:t xml:space="preserve">ll </w:t>
      </w:r>
      <w:r>
        <w:rPr>
          <w:rFonts w:ascii="Arial" w:hAnsi="Arial" w:cs="Arial"/>
          <w:color w:val="5B5B5B"/>
          <w:sz w:val="19"/>
          <w:szCs w:val="19"/>
        </w:rPr>
        <w:t xml:space="preserve">need </w:t>
      </w:r>
      <w:r>
        <w:rPr>
          <w:rFonts w:ascii="Arial" w:hAnsi="Arial" w:cs="Arial"/>
          <w:color w:val="373737"/>
          <w:sz w:val="19"/>
          <w:szCs w:val="19"/>
        </w:rPr>
        <w:t xml:space="preserve">to </w:t>
      </w:r>
      <w:r>
        <w:rPr>
          <w:rFonts w:ascii="Arial" w:hAnsi="Arial" w:cs="Arial"/>
          <w:color w:val="5B5B5B"/>
          <w:sz w:val="19"/>
          <w:szCs w:val="19"/>
        </w:rPr>
        <w:t>ve</w:t>
      </w:r>
      <w:r>
        <w:rPr>
          <w:rFonts w:ascii="Arial" w:hAnsi="Arial" w:cs="Arial"/>
          <w:color w:val="787878"/>
          <w:sz w:val="19"/>
          <w:szCs w:val="19"/>
        </w:rPr>
        <w:t>ri</w:t>
      </w:r>
      <w:r>
        <w:rPr>
          <w:rFonts w:ascii="Arial" w:hAnsi="Arial" w:cs="Arial"/>
          <w:color w:val="474747"/>
          <w:sz w:val="19"/>
          <w:szCs w:val="19"/>
        </w:rPr>
        <w:t xml:space="preserve">fy </w:t>
      </w:r>
      <w:r>
        <w:rPr>
          <w:rFonts w:ascii="Arial" w:hAnsi="Arial" w:cs="Arial"/>
          <w:color w:val="5B5B5B"/>
          <w:sz w:val="19"/>
          <w:szCs w:val="19"/>
        </w:rPr>
        <w:t xml:space="preserve">that CBOs </w:t>
      </w:r>
      <w:r>
        <w:rPr>
          <w:rFonts w:ascii="Arial" w:hAnsi="Arial" w:cs="Arial"/>
          <w:color w:val="474747"/>
          <w:sz w:val="19"/>
          <w:szCs w:val="19"/>
        </w:rPr>
        <w:t>provid</w:t>
      </w:r>
      <w:r>
        <w:rPr>
          <w:rFonts w:ascii="Arial" w:hAnsi="Arial" w:cs="Arial"/>
          <w:color w:val="787878"/>
          <w:sz w:val="19"/>
          <w:szCs w:val="19"/>
        </w:rPr>
        <w:t>i</w:t>
      </w:r>
      <w:r>
        <w:rPr>
          <w:rFonts w:ascii="Arial" w:hAnsi="Arial" w:cs="Arial"/>
          <w:color w:val="5B5B5B"/>
          <w:sz w:val="19"/>
          <w:szCs w:val="19"/>
        </w:rPr>
        <w:t>ng LTSS Coo</w:t>
      </w:r>
      <w:r>
        <w:rPr>
          <w:rFonts w:ascii="Arial" w:hAnsi="Arial" w:cs="Arial"/>
          <w:color w:val="373737"/>
          <w:sz w:val="19"/>
          <w:szCs w:val="19"/>
        </w:rPr>
        <w:t>rd</w:t>
      </w:r>
      <w:r>
        <w:rPr>
          <w:rFonts w:ascii="Arial" w:hAnsi="Arial" w:cs="Arial"/>
          <w:color w:val="787878"/>
          <w:sz w:val="19"/>
          <w:szCs w:val="19"/>
        </w:rPr>
        <w:t>i</w:t>
      </w:r>
      <w:r>
        <w:rPr>
          <w:rFonts w:ascii="Arial" w:hAnsi="Arial" w:cs="Arial"/>
          <w:color w:val="5B5B5B"/>
          <w:sz w:val="19"/>
          <w:szCs w:val="19"/>
        </w:rPr>
        <w:t xml:space="preserve">nators are </w:t>
      </w:r>
      <w:r>
        <w:rPr>
          <w:rFonts w:ascii="Arial" w:hAnsi="Arial" w:cs="Arial"/>
          <w:color w:val="474747"/>
          <w:sz w:val="19"/>
          <w:szCs w:val="19"/>
        </w:rPr>
        <w:t xml:space="preserve">not </w:t>
      </w:r>
      <w:r>
        <w:rPr>
          <w:rFonts w:ascii="Arial" w:hAnsi="Arial" w:cs="Arial"/>
          <w:color w:val="373737"/>
          <w:sz w:val="19"/>
          <w:szCs w:val="19"/>
        </w:rPr>
        <w:t>pro</w:t>
      </w:r>
      <w:r>
        <w:rPr>
          <w:rFonts w:ascii="Arial" w:hAnsi="Arial" w:cs="Arial"/>
          <w:color w:val="5B5B5B"/>
          <w:sz w:val="19"/>
          <w:szCs w:val="19"/>
        </w:rPr>
        <w:t>vi</w:t>
      </w:r>
      <w:r>
        <w:rPr>
          <w:rFonts w:ascii="Arial" w:hAnsi="Arial" w:cs="Arial"/>
          <w:color w:val="373737"/>
          <w:sz w:val="19"/>
          <w:szCs w:val="19"/>
        </w:rPr>
        <w:t>d</w:t>
      </w:r>
      <w:r>
        <w:rPr>
          <w:rFonts w:ascii="Arial" w:hAnsi="Arial" w:cs="Arial"/>
          <w:color w:val="5B5B5B"/>
          <w:sz w:val="19"/>
          <w:szCs w:val="19"/>
        </w:rPr>
        <w:t>e</w:t>
      </w:r>
      <w:r>
        <w:rPr>
          <w:rFonts w:ascii="Arial" w:hAnsi="Arial" w:cs="Arial"/>
          <w:color w:val="1F1F1F"/>
          <w:sz w:val="19"/>
          <w:szCs w:val="19"/>
        </w:rPr>
        <w:t>r</w:t>
      </w:r>
      <w:r>
        <w:rPr>
          <w:rFonts w:ascii="Arial" w:hAnsi="Arial" w:cs="Arial"/>
          <w:color w:val="5B5B5B"/>
          <w:sz w:val="19"/>
          <w:szCs w:val="19"/>
        </w:rPr>
        <w:t xml:space="preserve">s of </w:t>
      </w:r>
      <w:r>
        <w:rPr>
          <w:rFonts w:ascii="Arial" w:hAnsi="Arial" w:cs="Arial"/>
          <w:color w:val="474747"/>
          <w:sz w:val="19"/>
          <w:szCs w:val="19"/>
        </w:rPr>
        <w:t xml:space="preserve">other </w:t>
      </w:r>
      <w:r>
        <w:rPr>
          <w:rFonts w:ascii="Arial" w:hAnsi="Arial" w:cs="Arial"/>
          <w:color w:val="5B5B5B"/>
          <w:sz w:val="19"/>
          <w:szCs w:val="19"/>
        </w:rPr>
        <w:t>services covere</w:t>
      </w:r>
      <w:r>
        <w:rPr>
          <w:rFonts w:ascii="Arial" w:hAnsi="Arial" w:cs="Arial"/>
          <w:color w:val="373737"/>
          <w:sz w:val="19"/>
          <w:szCs w:val="19"/>
        </w:rPr>
        <w:t xml:space="preserve">d </w:t>
      </w:r>
      <w:r>
        <w:rPr>
          <w:rFonts w:ascii="Arial" w:hAnsi="Arial" w:cs="Arial"/>
          <w:color w:val="474747"/>
          <w:sz w:val="19"/>
          <w:szCs w:val="19"/>
        </w:rPr>
        <w:t xml:space="preserve">by </w:t>
      </w:r>
      <w:r>
        <w:rPr>
          <w:rFonts w:ascii="Arial" w:hAnsi="Arial" w:cs="Arial"/>
          <w:color w:val="373737"/>
          <w:sz w:val="19"/>
          <w:szCs w:val="19"/>
        </w:rPr>
        <w:t>t</w:t>
      </w:r>
      <w:r>
        <w:rPr>
          <w:rFonts w:ascii="Arial" w:hAnsi="Arial" w:cs="Arial"/>
          <w:color w:val="5B5B5B"/>
          <w:sz w:val="19"/>
          <w:szCs w:val="19"/>
        </w:rPr>
        <w:t xml:space="preserve">he </w:t>
      </w:r>
      <w:r>
        <w:rPr>
          <w:rFonts w:ascii="Arial" w:hAnsi="Arial" w:cs="Arial"/>
          <w:color w:val="474747"/>
          <w:sz w:val="19"/>
          <w:szCs w:val="19"/>
        </w:rPr>
        <w:t xml:space="preserve">Demonstration or, in </w:t>
      </w:r>
      <w:r>
        <w:rPr>
          <w:rFonts w:ascii="Arial" w:hAnsi="Arial" w:cs="Arial"/>
          <w:color w:val="5B5B5B"/>
          <w:sz w:val="19"/>
          <w:szCs w:val="19"/>
        </w:rPr>
        <w:t>si</w:t>
      </w:r>
      <w:r>
        <w:rPr>
          <w:rFonts w:ascii="Arial" w:hAnsi="Arial" w:cs="Arial"/>
          <w:color w:val="373737"/>
          <w:sz w:val="19"/>
          <w:szCs w:val="19"/>
        </w:rPr>
        <w:t>tuat</w:t>
      </w:r>
      <w:r>
        <w:rPr>
          <w:rFonts w:ascii="Arial" w:hAnsi="Arial" w:cs="Arial"/>
          <w:color w:val="5B5B5B"/>
          <w:sz w:val="19"/>
          <w:szCs w:val="19"/>
        </w:rPr>
        <w:t>io</w:t>
      </w:r>
      <w:r>
        <w:rPr>
          <w:rFonts w:ascii="Arial" w:hAnsi="Arial" w:cs="Arial"/>
          <w:color w:val="373737"/>
          <w:sz w:val="19"/>
          <w:szCs w:val="19"/>
        </w:rPr>
        <w:t>n</w:t>
      </w:r>
      <w:r>
        <w:rPr>
          <w:rFonts w:ascii="Arial" w:hAnsi="Arial" w:cs="Arial"/>
          <w:color w:val="5B5B5B"/>
          <w:sz w:val="19"/>
          <w:szCs w:val="19"/>
        </w:rPr>
        <w:t xml:space="preserve">s </w:t>
      </w:r>
      <w:r>
        <w:rPr>
          <w:rFonts w:ascii="Arial" w:hAnsi="Arial" w:cs="Arial"/>
          <w:color w:val="474747"/>
          <w:sz w:val="19"/>
          <w:szCs w:val="19"/>
        </w:rPr>
        <w:t xml:space="preserve">where </w:t>
      </w:r>
      <w:r>
        <w:rPr>
          <w:rFonts w:ascii="Arial" w:hAnsi="Arial" w:cs="Arial"/>
          <w:color w:val="373737"/>
          <w:sz w:val="19"/>
          <w:szCs w:val="19"/>
        </w:rPr>
        <w:t>th</w:t>
      </w:r>
      <w:r>
        <w:rPr>
          <w:rFonts w:ascii="Arial" w:hAnsi="Arial" w:cs="Arial"/>
          <w:color w:val="5B5B5B"/>
          <w:sz w:val="19"/>
          <w:szCs w:val="19"/>
        </w:rPr>
        <w:t xml:space="preserve">is </w:t>
      </w:r>
      <w:r>
        <w:rPr>
          <w:rFonts w:ascii="Arial" w:hAnsi="Arial" w:cs="Arial"/>
          <w:color w:val="1F1F1F"/>
          <w:sz w:val="19"/>
          <w:szCs w:val="19"/>
        </w:rPr>
        <w:t>can</w:t>
      </w:r>
      <w:r>
        <w:rPr>
          <w:rFonts w:ascii="Arial" w:hAnsi="Arial" w:cs="Arial"/>
          <w:color w:val="474747"/>
          <w:sz w:val="19"/>
          <w:szCs w:val="19"/>
        </w:rPr>
        <w:t xml:space="preserve">not </w:t>
      </w:r>
      <w:r>
        <w:rPr>
          <w:rFonts w:ascii="Arial" w:hAnsi="Arial" w:cs="Arial"/>
          <w:color w:val="373737"/>
          <w:sz w:val="19"/>
          <w:szCs w:val="19"/>
        </w:rPr>
        <w:t xml:space="preserve">be </w:t>
      </w:r>
      <w:r>
        <w:rPr>
          <w:rFonts w:ascii="Arial" w:hAnsi="Arial" w:cs="Arial"/>
          <w:color w:val="474747"/>
          <w:sz w:val="19"/>
          <w:szCs w:val="19"/>
        </w:rPr>
        <w:t xml:space="preserve">avoided, </w:t>
      </w:r>
      <w:r>
        <w:rPr>
          <w:rFonts w:ascii="Arial" w:hAnsi="Arial" w:cs="Arial"/>
          <w:color w:val="373737"/>
          <w:sz w:val="19"/>
          <w:szCs w:val="19"/>
        </w:rPr>
        <w:t xml:space="preserve">that </w:t>
      </w:r>
      <w:r>
        <w:rPr>
          <w:rFonts w:ascii="Arial" w:hAnsi="Arial" w:cs="Arial"/>
          <w:color w:val="474747"/>
          <w:sz w:val="19"/>
          <w:szCs w:val="19"/>
        </w:rPr>
        <w:t xml:space="preserve">CBOs </w:t>
      </w:r>
      <w:r>
        <w:rPr>
          <w:rFonts w:ascii="Arial" w:hAnsi="Arial" w:cs="Arial"/>
          <w:color w:val="5B5B5B"/>
          <w:sz w:val="19"/>
          <w:szCs w:val="19"/>
        </w:rPr>
        <w:t>h</w:t>
      </w:r>
      <w:r>
        <w:rPr>
          <w:rFonts w:ascii="Arial" w:hAnsi="Arial" w:cs="Arial"/>
          <w:color w:val="373737"/>
          <w:sz w:val="19"/>
          <w:szCs w:val="19"/>
        </w:rPr>
        <w:t>av</w:t>
      </w:r>
      <w:r>
        <w:rPr>
          <w:rFonts w:ascii="Arial" w:hAnsi="Arial" w:cs="Arial"/>
          <w:color w:val="5B5B5B"/>
          <w:sz w:val="19"/>
          <w:szCs w:val="19"/>
        </w:rPr>
        <w:t xml:space="preserve">e </w:t>
      </w:r>
      <w:r>
        <w:rPr>
          <w:rFonts w:ascii="Arial" w:hAnsi="Arial" w:cs="Arial"/>
          <w:color w:val="474747"/>
          <w:sz w:val="19"/>
          <w:szCs w:val="19"/>
        </w:rPr>
        <w:t xml:space="preserve">the </w:t>
      </w:r>
      <w:r>
        <w:rPr>
          <w:rFonts w:ascii="Arial" w:hAnsi="Arial" w:cs="Arial"/>
          <w:color w:val="373737"/>
          <w:sz w:val="19"/>
          <w:szCs w:val="19"/>
        </w:rPr>
        <w:t>nece</w:t>
      </w:r>
      <w:r>
        <w:rPr>
          <w:rFonts w:ascii="Arial" w:hAnsi="Arial" w:cs="Arial"/>
          <w:color w:val="5B5B5B"/>
          <w:sz w:val="19"/>
          <w:szCs w:val="19"/>
        </w:rPr>
        <w:t>ss</w:t>
      </w:r>
      <w:r>
        <w:rPr>
          <w:rFonts w:ascii="Arial" w:hAnsi="Arial" w:cs="Arial"/>
          <w:color w:val="373737"/>
          <w:sz w:val="19"/>
          <w:szCs w:val="19"/>
        </w:rPr>
        <w:t>a</w:t>
      </w:r>
      <w:r>
        <w:rPr>
          <w:rFonts w:ascii="Arial" w:hAnsi="Arial" w:cs="Arial"/>
          <w:color w:val="5B5B5B"/>
          <w:sz w:val="19"/>
          <w:szCs w:val="19"/>
        </w:rPr>
        <w:t>ry fi</w:t>
      </w:r>
      <w:r>
        <w:rPr>
          <w:rFonts w:ascii="Arial" w:hAnsi="Arial" w:cs="Arial"/>
          <w:color w:val="373737"/>
          <w:sz w:val="19"/>
          <w:szCs w:val="19"/>
        </w:rPr>
        <w:t>rewa</w:t>
      </w:r>
      <w:r>
        <w:rPr>
          <w:rFonts w:ascii="Arial" w:hAnsi="Arial" w:cs="Arial"/>
          <w:color w:val="5B5B5B"/>
          <w:sz w:val="19"/>
          <w:szCs w:val="19"/>
        </w:rPr>
        <w:t xml:space="preserve">lls </w:t>
      </w:r>
      <w:r>
        <w:rPr>
          <w:rFonts w:ascii="Arial" w:hAnsi="Arial" w:cs="Arial"/>
          <w:color w:val="474747"/>
          <w:sz w:val="19"/>
          <w:szCs w:val="19"/>
        </w:rPr>
        <w:t xml:space="preserve">in place to </w:t>
      </w:r>
      <w:r>
        <w:rPr>
          <w:rFonts w:ascii="Arial" w:hAnsi="Arial" w:cs="Arial"/>
          <w:color w:val="373737"/>
          <w:sz w:val="19"/>
          <w:szCs w:val="19"/>
        </w:rPr>
        <w:t>p</w:t>
      </w:r>
      <w:r>
        <w:rPr>
          <w:rFonts w:ascii="Arial" w:hAnsi="Arial" w:cs="Arial"/>
          <w:color w:val="5B5B5B"/>
          <w:sz w:val="19"/>
          <w:szCs w:val="19"/>
        </w:rPr>
        <w:t>reven</w:t>
      </w:r>
      <w:r>
        <w:rPr>
          <w:rFonts w:ascii="Arial" w:hAnsi="Arial" w:cs="Arial"/>
          <w:color w:val="373737"/>
          <w:sz w:val="19"/>
          <w:szCs w:val="19"/>
        </w:rPr>
        <w:t xml:space="preserve">t </w:t>
      </w:r>
      <w:r>
        <w:rPr>
          <w:rFonts w:ascii="Arial" w:hAnsi="Arial" w:cs="Arial"/>
          <w:color w:val="5B5B5B"/>
          <w:sz w:val="19"/>
          <w:szCs w:val="19"/>
        </w:rPr>
        <w:t>self-</w:t>
      </w:r>
      <w:r>
        <w:rPr>
          <w:rFonts w:ascii="Arial" w:hAnsi="Arial" w:cs="Arial"/>
          <w:color w:val="373737"/>
          <w:sz w:val="19"/>
          <w:szCs w:val="19"/>
        </w:rPr>
        <w:t>inte</w:t>
      </w:r>
      <w:r>
        <w:rPr>
          <w:rFonts w:ascii="Arial" w:hAnsi="Arial" w:cs="Arial"/>
          <w:color w:val="5B5B5B"/>
          <w:sz w:val="19"/>
          <w:szCs w:val="19"/>
        </w:rPr>
        <w:t>res</w:t>
      </w:r>
      <w:r>
        <w:rPr>
          <w:rFonts w:ascii="Arial" w:hAnsi="Arial" w:cs="Arial"/>
          <w:color w:val="373737"/>
          <w:sz w:val="19"/>
          <w:szCs w:val="19"/>
        </w:rPr>
        <w:t>t</w:t>
      </w:r>
      <w:r>
        <w:rPr>
          <w:rFonts w:ascii="Arial" w:hAnsi="Arial" w:cs="Arial"/>
          <w:color w:val="5B5B5B"/>
          <w:sz w:val="19"/>
          <w:szCs w:val="19"/>
        </w:rPr>
        <w:t xml:space="preserve">ed </w:t>
      </w:r>
      <w:r>
        <w:rPr>
          <w:rFonts w:ascii="Arial" w:hAnsi="Arial" w:cs="Arial"/>
          <w:color w:val="1F1F1F"/>
          <w:sz w:val="19"/>
          <w:szCs w:val="19"/>
        </w:rPr>
        <w:t>r</w:t>
      </w:r>
      <w:r>
        <w:rPr>
          <w:rFonts w:ascii="Arial" w:hAnsi="Arial" w:cs="Arial"/>
          <w:color w:val="474747"/>
          <w:sz w:val="19"/>
          <w:szCs w:val="19"/>
        </w:rPr>
        <w:t>eferrals.</w:t>
      </w:r>
    </w:p>
    <w:p w:rsidR="002C5025" w:rsidRDefault="002C5025">
      <w:pPr>
        <w:pStyle w:val="BodyText"/>
        <w:kinsoku w:val="0"/>
        <w:overflowPunct w:val="0"/>
        <w:spacing w:line="288" w:lineRule="auto"/>
        <w:ind w:left="160" w:right="104"/>
        <w:rPr>
          <w:rFonts w:ascii="Arial" w:hAnsi="Arial" w:cs="Arial"/>
          <w:color w:val="474747"/>
          <w:sz w:val="19"/>
          <w:szCs w:val="19"/>
        </w:rPr>
        <w:sectPr w:rsidR="002C5025">
          <w:pgSz w:w="12240" w:h="15840"/>
          <w:pgMar w:top="1440" w:right="1560" w:bottom="280" w:left="1320" w:header="720" w:footer="720" w:gutter="0"/>
          <w:cols w:space="720" w:equalWidth="0">
            <w:col w:w="9360"/>
          </w:cols>
          <w:noEndnote/>
        </w:sectPr>
      </w:pPr>
    </w:p>
    <w:p w:rsidR="002C5025" w:rsidRDefault="00FB027C">
      <w:pPr>
        <w:pStyle w:val="BodyText"/>
        <w:kinsoku w:val="0"/>
        <w:overflowPunct w:val="0"/>
        <w:ind w:left="2792"/>
        <w:rPr>
          <w:rFonts w:ascii="Arial" w:hAnsi="Arial" w:cs="Arial"/>
          <w:sz w:val="20"/>
          <w:szCs w:val="20"/>
        </w:rPr>
      </w:pPr>
      <w:r>
        <w:rPr>
          <w:rFonts w:ascii="Arial" w:hAnsi="Arial" w:cs="Arial"/>
          <w:noProof/>
          <w:sz w:val="20"/>
          <w:szCs w:val="20"/>
        </w:rPr>
        <w:lastRenderedPageBreak/>
        <w:drawing>
          <wp:inline distT="0" distB="0" distL="0" distR="0">
            <wp:extent cx="28194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19400" cy="628650"/>
                    </a:xfrm>
                    <a:prstGeom prst="rect">
                      <a:avLst/>
                    </a:prstGeom>
                    <a:noFill/>
                    <a:ln>
                      <a:noFill/>
                    </a:ln>
                  </pic:spPr>
                </pic:pic>
              </a:graphicData>
            </a:graphic>
          </wp:inline>
        </w:drawing>
      </w:r>
    </w:p>
    <w:p w:rsidR="002C5025" w:rsidRDefault="002C5025">
      <w:pPr>
        <w:pStyle w:val="BodyText"/>
        <w:kinsoku w:val="0"/>
        <w:overflowPunct w:val="0"/>
        <w:spacing w:before="8"/>
        <w:rPr>
          <w:rFonts w:ascii="Arial" w:hAnsi="Arial" w:cs="Arial"/>
          <w:sz w:val="17"/>
          <w:szCs w:val="17"/>
        </w:rPr>
      </w:pPr>
    </w:p>
    <w:p w:rsidR="002C5025" w:rsidRDefault="002C5025">
      <w:pPr>
        <w:pStyle w:val="BodyText"/>
        <w:kinsoku w:val="0"/>
        <w:overflowPunct w:val="0"/>
        <w:spacing w:before="69"/>
        <w:ind w:left="115" w:right="5945"/>
        <w:rPr>
          <w:rFonts w:ascii="Times New Roman" w:hAnsi="Times New Roman" w:cs="Times New Roman"/>
          <w:sz w:val="24"/>
          <w:szCs w:val="24"/>
        </w:rPr>
      </w:pPr>
      <w:bookmarkStart w:id="3" w:name="11199SEIU_Official_Comment_-_1115_Demons"/>
      <w:bookmarkEnd w:id="3"/>
      <w:r>
        <w:rPr>
          <w:rFonts w:ascii="Times New Roman" w:hAnsi="Times New Roman" w:cs="Times New Roman"/>
          <w:sz w:val="24"/>
          <w:szCs w:val="24"/>
        </w:rPr>
        <w:t>July 12, 2016</w:t>
      </w:r>
    </w:p>
    <w:p w:rsidR="002C5025" w:rsidRDefault="002C5025">
      <w:pPr>
        <w:pStyle w:val="BodyText"/>
        <w:kinsoku w:val="0"/>
        <w:overflowPunct w:val="0"/>
        <w:rPr>
          <w:rFonts w:ascii="Times New Roman" w:hAnsi="Times New Roman" w:cs="Times New Roman"/>
          <w:sz w:val="14"/>
          <w:szCs w:val="14"/>
        </w:rPr>
      </w:pPr>
    </w:p>
    <w:p w:rsidR="002C5025" w:rsidRDefault="002C5025">
      <w:pPr>
        <w:pStyle w:val="BodyText"/>
        <w:kinsoku w:val="0"/>
        <w:overflowPunct w:val="0"/>
        <w:spacing w:before="69"/>
        <w:ind w:left="115" w:right="5945"/>
        <w:rPr>
          <w:rFonts w:ascii="Times New Roman" w:hAnsi="Times New Roman" w:cs="Times New Roman"/>
          <w:sz w:val="24"/>
          <w:szCs w:val="24"/>
        </w:rPr>
      </w:pPr>
      <w:r>
        <w:rPr>
          <w:rFonts w:ascii="Times New Roman" w:hAnsi="Times New Roman" w:cs="Times New Roman"/>
          <w:sz w:val="24"/>
          <w:szCs w:val="24"/>
        </w:rPr>
        <w:t>Assistant Secretary Daniel Tsai EOHHS Office of Medicaid</w:t>
      </w:r>
    </w:p>
    <w:p w:rsidR="002C5025" w:rsidRDefault="002C5025">
      <w:pPr>
        <w:pStyle w:val="BodyText"/>
        <w:kinsoku w:val="0"/>
        <w:overflowPunct w:val="0"/>
        <w:ind w:left="115" w:right="5945"/>
        <w:rPr>
          <w:rFonts w:ascii="Times New Roman" w:hAnsi="Times New Roman" w:cs="Times New Roman"/>
          <w:sz w:val="24"/>
          <w:szCs w:val="24"/>
        </w:rPr>
      </w:pPr>
      <w:r>
        <w:rPr>
          <w:rFonts w:ascii="Times New Roman" w:hAnsi="Times New Roman" w:cs="Times New Roman"/>
          <w:sz w:val="24"/>
          <w:szCs w:val="24"/>
        </w:rPr>
        <w:t>One Ashburton Place - 11th Floor Boston, MA 02108</w:t>
      </w:r>
    </w:p>
    <w:p w:rsidR="002C5025" w:rsidRDefault="002C5025">
      <w:pPr>
        <w:pStyle w:val="BodyText"/>
        <w:kinsoku w:val="0"/>
        <w:overflowPunct w:val="0"/>
        <w:ind w:left="115" w:right="374"/>
        <w:rPr>
          <w:rFonts w:ascii="Times New Roman" w:hAnsi="Times New Roman" w:cs="Times New Roman"/>
          <w:i/>
          <w:iCs/>
          <w:sz w:val="24"/>
          <w:szCs w:val="24"/>
        </w:rPr>
      </w:pPr>
      <w:r>
        <w:rPr>
          <w:rFonts w:ascii="Times New Roman" w:hAnsi="Times New Roman" w:cs="Times New Roman"/>
          <w:i/>
          <w:iCs/>
          <w:sz w:val="24"/>
          <w:szCs w:val="24"/>
        </w:rPr>
        <w:t>Attention: 1115 Demonstration Comments</w:t>
      </w:r>
    </w:p>
    <w:p w:rsidR="002C5025" w:rsidRDefault="002C5025">
      <w:pPr>
        <w:pStyle w:val="BodyText"/>
        <w:kinsoku w:val="0"/>
        <w:overflowPunct w:val="0"/>
        <w:spacing w:before="9"/>
        <w:rPr>
          <w:rFonts w:ascii="Times New Roman" w:hAnsi="Times New Roman" w:cs="Times New Roman"/>
          <w:i/>
          <w:iCs/>
          <w:sz w:val="19"/>
          <w:szCs w:val="19"/>
        </w:rPr>
      </w:pPr>
    </w:p>
    <w:p w:rsidR="002C5025" w:rsidRDefault="002C5025">
      <w:pPr>
        <w:pStyle w:val="BodyText"/>
        <w:kinsoku w:val="0"/>
        <w:overflowPunct w:val="0"/>
        <w:ind w:left="115" w:right="5945"/>
        <w:rPr>
          <w:rFonts w:ascii="Times New Roman" w:hAnsi="Times New Roman" w:cs="Times New Roman"/>
          <w:sz w:val="24"/>
          <w:szCs w:val="24"/>
        </w:rPr>
      </w:pPr>
      <w:r>
        <w:rPr>
          <w:rFonts w:ascii="Times New Roman" w:hAnsi="Times New Roman" w:cs="Times New Roman"/>
          <w:sz w:val="24"/>
          <w:szCs w:val="24"/>
        </w:rPr>
        <w:t>Dear Assistant Secretary Tsai:</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ind w:left="115" w:right="374"/>
        <w:rPr>
          <w:rFonts w:ascii="Times New Roman" w:hAnsi="Times New Roman" w:cs="Times New Roman"/>
          <w:sz w:val="24"/>
          <w:szCs w:val="24"/>
        </w:rPr>
      </w:pPr>
      <w:r>
        <w:rPr>
          <w:rFonts w:ascii="Times New Roman" w:hAnsi="Times New Roman" w:cs="Times New Roman"/>
          <w:sz w:val="24"/>
          <w:szCs w:val="24"/>
        </w:rPr>
        <w:t>On behalf of the 52,000 healthcare workers of 1199SEIU we write to respectfully share our comments, key priorities and specific recommendations for MassHealth reform and on the state’s request to amend and extend the MassHealth Section 1115 Waiver Demonstration.</w:t>
      </w:r>
    </w:p>
    <w:p w:rsidR="002C5025" w:rsidRDefault="002C5025">
      <w:pPr>
        <w:pStyle w:val="BodyText"/>
        <w:kinsoku w:val="0"/>
        <w:overflowPunct w:val="0"/>
        <w:spacing w:before="9"/>
        <w:rPr>
          <w:rFonts w:ascii="Times New Roman" w:hAnsi="Times New Roman" w:cs="Times New Roman"/>
          <w:sz w:val="19"/>
          <w:szCs w:val="19"/>
        </w:rPr>
      </w:pPr>
    </w:p>
    <w:p w:rsidR="002C5025" w:rsidRDefault="002C5025">
      <w:pPr>
        <w:pStyle w:val="BodyText"/>
        <w:kinsoku w:val="0"/>
        <w:overflowPunct w:val="0"/>
        <w:ind w:left="115" w:right="28"/>
        <w:rPr>
          <w:rFonts w:ascii="Times New Roman" w:hAnsi="Times New Roman" w:cs="Times New Roman"/>
          <w:sz w:val="24"/>
          <w:szCs w:val="24"/>
        </w:rPr>
      </w:pPr>
      <w:r>
        <w:rPr>
          <w:rFonts w:ascii="Times New Roman" w:hAnsi="Times New Roman" w:cs="Times New Roman"/>
          <w:sz w:val="24"/>
          <w:szCs w:val="24"/>
        </w:rPr>
        <w:t>We are fundamentally supportive of the proposed efforts to incentivize delivery system reform. We believe in the real potential for Accountable Care Organizations and the shared savings/shared risk payment structures to provide essential cost savings for the Commonwealth, to improve integrated care for consumers, and to offer quality care incentives for Massachusetts providers. The state’s extension request will certainly help to ensure that the 1115 Waiver Demonstration advances state and national health care reform efforts, incentivizes reform, and furthers cost containment. That said, we do have questions and some concerns about certain aspects of the proposal as outlined below.</w:t>
      </w:r>
    </w:p>
    <w:p w:rsidR="002C5025" w:rsidRDefault="002C5025">
      <w:pPr>
        <w:pStyle w:val="BodyText"/>
        <w:kinsoku w:val="0"/>
        <w:overflowPunct w:val="0"/>
        <w:spacing w:before="10"/>
        <w:rPr>
          <w:rFonts w:ascii="Times New Roman" w:hAnsi="Times New Roman" w:cs="Times New Roman"/>
          <w:sz w:val="20"/>
          <w:szCs w:val="20"/>
        </w:rPr>
      </w:pPr>
    </w:p>
    <w:p w:rsidR="002C5025" w:rsidRDefault="002C5025">
      <w:pPr>
        <w:pStyle w:val="BodyText"/>
        <w:kinsoku w:val="0"/>
        <w:overflowPunct w:val="0"/>
        <w:ind w:left="115" w:right="5945"/>
        <w:rPr>
          <w:rFonts w:ascii="Times New Roman" w:hAnsi="Times New Roman" w:cs="Times New Roman"/>
          <w:b/>
          <w:bCs/>
          <w:i/>
          <w:iCs/>
          <w:sz w:val="24"/>
          <w:szCs w:val="24"/>
        </w:rPr>
      </w:pPr>
      <w:bookmarkStart w:id="4" w:name="Workforce_Engagement_&amp;_Training"/>
      <w:bookmarkEnd w:id="4"/>
      <w:r>
        <w:rPr>
          <w:rFonts w:ascii="Times New Roman" w:hAnsi="Times New Roman" w:cs="Times New Roman"/>
          <w:b/>
          <w:bCs/>
          <w:i/>
          <w:iCs/>
          <w:sz w:val="24"/>
          <w:szCs w:val="24"/>
        </w:rPr>
        <w:t>Workforce Engagement &amp; Training</w:t>
      </w:r>
    </w:p>
    <w:p w:rsidR="002C5025" w:rsidRDefault="002C5025">
      <w:pPr>
        <w:pStyle w:val="BodyText"/>
        <w:kinsoku w:val="0"/>
        <w:overflowPunct w:val="0"/>
        <w:spacing w:before="110"/>
        <w:ind w:left="115" w:right="28"/>
        <w:rPr>
          <w:rFonts w:ascii="Times New Roman" w:hAnsi="Times New Roman" w:cs="Times New Roman"/>
          <w:sz w:val="24"/>
          <w:szCs w:val="24"/>
        </w:rPr>
      </w:pPr>
      <w:r>
        <w:rPr>
          <w:rFonts w:ascii="Times New Roman" w:hAnsi="Times New Roman" w:cs="Times New Roman"/>
          <w:sz w:val="24"/>
          <w:szCs w:val="24"/>
        </w:rPr>
        <w:t>The Commonwealth has made commendable efforts to bring diverse stakeholders together through a collaborative and transparent dialogue in order to achieve the reforms necessary to ensure cost sustainability, and to deliver better integrated and higher quality healthcare. These efforts are compatible with our own organization’s commitment to ensuring that health care workers are at the center of any reform efforts and that special attention is paid to the critical role of acute care, nursing home and home care workers. By ensuring true workforce engagement, healthcare delivery reform will benefit from listening to experienced caregiver voices.</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ind w:left="115" w:right="320"/>
        <w:rPr>
          <w:rFonts w:ascii="Times New Roman" w:hAnsi="Times New Roman" w:cs="Times New Roman"/>
          <w:sz w:val="24"/>
          <w:szCs w:val="24"/>
        </w:rPr>
      </w:pPr>
      <w:r>
        <w:rPr>
          <w:rFonts w:ascii="Times New Roman" w:hAnsi="Times New Roman" w:cs="Times New Roman"/>
          <w:sz w:val="24"/>
          <w:szCs w:val="24"/>
        </w:rPr>
        <w:t>Accordingly, we greatly appreciate the inclusion of the proposed Workforce Development Grant Program (Section 5.5.1.4) and the dedication of DSRIP funds for that purpose under the statewide investment funding stream. We also thank MassHealth for the attention paid throughout the Demonstration to workforce capacity and the multiple clearly-stated commitments to use DSRIP funds to assist Accountable Care Organizations (ACOs) and their Certified Community Partners (CCPs) with their workforce capacity building efforts.</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ind w:left="115" w:right="34"/>
        <w:rPr>
          <w:rFonts w:ascii="Times New Roman" w:hAnsi="Times New Roman" w:cs="Times New Roman"/>
          <w:sz w:val="24"/>
          <w:szCs w:val="24"/>
        </w:rPr>
      </w:pPr>
      <w:r>
        <w:rPr>
          <w:rFonts w:ascii="Times New Roman" w:hAnsi="Times New Roman" w:cs="Times New Roman"/>
          <w:sz w:val="24"/>
          <w:szCs w:val="24"/>
        </w:rPr>
        <w:t>With respect to the Workforce Development Grant Program, we respectfully suggest a few improvements: (1) The required “workforce engagement plans” should include a requirement that ACOs offer a detailed plan for targeting the incumbent workforce; (2) MassHealth ACOs should be required to include a plan for including the incumbent workforce in a cooperative effort to improve care quality care; and (3) Any labor organizations representing the ACOs’ workforces should be mandatory and full members of an ACOs grant implement team. In applying for a grant, the ACOs should also be required to include at least a letter of support from any and all labor representatives of</w:t>
      </w:r>
    </w:p>
    <w:p w:rsidR="002C5025" w:rsidRDefault="002C5025">
      <w:pPr>
        <w:pStyle w:val="BodyText"/>
        <w:kinsoku w:val="0"/>
        <w:overflowPunct w:val="0"/>
        <w:ind w:left="115" w:right="34"/>
        <w:rPr>
          <w:rFonts w:ascii="Times New Roman" w:hAnsi="Times New Roman" w:cs="Times New Roman"/>
          <w:sz w:val="24"/>
          <w:szCs w:val="24"/>
        </w:rPr>
        <w:sectPr w:rsidR="002C5025">
          <w:pgSz w:w="12240" w:h="15840"/>
          <w:pgMar w:top="1000" w:right="1200" w:bottom="280" w:left="1180" w:header="720" w:footer="720" w:gutter="0"/>
          <w:cols w:space="720" w:equalWidth="0">
            <w:col w:w="9860"/>
          </w:cols>
          <w:noEndnote/>
        </w:sectPr>
      </w:pPr>
    </w:p>
    <w:p w:rsidR="002C5025" w:rsidRDefault="002C5025">
      <w:pPr>
        <w:pStyle w:val="BodyText"/>
        <w:kinsoku w:val="0"/>
        <w:overflowPunct w:val="0"/>
        <w:spacing w:before="52"/>
        <w:ind w:left="115" w:right="174"/>
        <w:rPr>
          <w:rFonts w:ascii="Times New Roman" w:hAnsi="Times New Roman" w:cs="Times New Roman"/>
          <w:sz w:val="24"/>
          <w:szCs w:val="24"/>
        </w:rPr>
      </w:pPr>
      <w:r>
        <w:rPr>
          <w:rFonts w:ascii="Times New Roman" w:hAnsi="Times New Roman" w:cs="Times New Roman"/>
          <w:sz w:val="24"/>
          <w:szCs w:val="24"/>
        </w:rPr>
        <w:lastRenderedPageBreak/>
        <w:t>the ACO’s workforce. Finally, we request that a fixed annual dollar amount be formally dedicated to the proposed Workforce Development Grant Program in the Waiver itself. Without such dedicated funding, we are concerned that the Program will unnecessarily compete with the other laudable initiatives included in the “statewide investments funding stream” section of the waiver.</w:t>
      </w:r>
    </w:p>
    <w:p w:rsidR="002C5025" w:rsidRDefault="002C5025">
      <w:pPr>
        <w:pStyle w:val="BodyText"/>
        <w:kinsoku w:val="0"/>
        <w:overflowPunct w:val="0"/>
        <w:spacing w:before="9"/>
        <w:rPr>
          <w:rFonts w:ascii="Times New Roman" w:hAnsi="Times New Roman" w:cs="Times New Roman"/>
          <w:sz w:val="24"/>
          <w:szCs w:val="24"/>
        </w:rPr>
      </w:pPr>
    </w:p>
    <w:p w:rsidR="002C5025" w:rsidRDefault="002C5025">
      <w:pPr>
        <w:pStyle w:val="BodyText"/>
        <w:kinsoku w:val="0"/>
        <w:overflowPunct w:val="0"/>
        <w:ind w:left="115" w:right="174"/>
        <w:rPr>
          <w:rFonts w:ascii="Times New Roman" w:hAnsi="Times New Roman" w:cs="Times New Roman"/>
          <w:b/>
          <w:bCs/>
          <w:i/>
          <w:iCs/>
          <w:sz w:val="24"/>
          <w:szCs w:val="24"/>
        </w:rPr>
      </w:pPr>
      <w:bookmarkStart w:id="5" w:name="Staffing_Impact_Report"/>
      <w:bookmarkEnd w:id="5"/>
      <w:r>
        <w:rPr>
          <w:rFonts w:ascii="Times New Roman" w:hAnsi="Times New Roman" w:cs="Times New Roman"/>
          <w:b/>
          <w:bCs/>
          <w:i/>
          <w:iCs/>
          <w:sz w:val="24"/>
          <w:szCs w:val="24"/>
        </w:rPr>
        <w:t>Staffing Impact Report</w:t>
      </w:r>
    </w:p>
    <w:p w:rsidR="002C5025" w:rsidRDefault="002C5025">
      <w:pPr>
        <w:pStyle w:val="BodyText"/>
        <w:kinsoku w:val="0"/>
        <w:overflowPunct w:val="0"/>
        <w:spacing w:before="110"/>
        <w:ind w:left="115" w:right="293"/>
        <w:jc w:val="both"/>
        <w:rPr>
          <w:rFonts w:ascii="Times New Roman" w:hAnsi="Times New Roman" w:cs="Times New Roman"/>
          <w:sz w:val="24"/>
          <w:szCs w:val="24"/>
        </w:rPr>
      </w:pPr>
      <w:r>
        <w:rPr>
          <w:rFonts w:ascii="Times New Roman" w:hAnsi="Times New Roman" w:cs="Times New Roman"/>
          <w:sz w:val="24"/>
          <w:szCs w:val="24"/>
        </w:rPr>
        <w:t>MassHealth Accountable Care Organizations (ACOs) and the Commonwealth will rely on a skilled and experienced healthcare workforce that is fairly compensated to implement the planned reforms. Restructuring will also have a significant disruptive impact on the entire health care workforce.</w:t>
      </w:r>
    </w:p>
    <w:p w:rsidR="002C5025" w:rsidRDefault="002C5025">
      <w:pPr>
        <w:pStyle w:val="BodyText"/>
        <w:kinsoku w:val="0"/>
        <w:overflowPunct w:val="0"/>
        <w:ind w:left="115" w:right="101"/>
        <w:rPr>
          <w:rFonts w:ascii="Times New Roman" w:hAnsi="Times New Roman" w:cs="Times New Roman"/>
          <w:sz w:val="24"/>
          <w:szCs w:val="24"/>
        </w:rPr>
      </w:pPr>
      <w:r>
        <w:rPr>
          <w:rFonts w:ascii="Times New Roman" w:hAnsi="Times New Roman" w:cs="Times New Roman"/>
          <w:sz w:val="24"/>
          <w:szCs w:val="24"/>
        </w:rPr>
        <w:t>Therefore, the state must fully understand the structural delivery system changes contemplated by the ACOs and must also collect the data needed to better understand the impact of such reforms on the Commonwealth’s current health care workforce.</w:t>
      </w:r>
    </w:p>
    <w:p w:rsidR="002C5025" w:rsidRDefault="002C5025">
      <w:pPr>
        <w:pStyle w:val="BodyText"/>
        <w:kinsoku w:val="0"/>
        <w:overflowPunct w:val="0"/>
        <w:spacing w:before="9"/>
        <w:rPr>
          <w:rFonts w:ascii="Times New Roman" w:hAnsi="Times New Roman" w:cs="Times New Roman"/>
          <w:sz w:val="19"/>
          <w:szCs w:val="19"/>
        </w:rPr>
      </w:pPr>
    </w:p>
    <w:p w:rsidR="002C5025" w:rsidRDefault="002C5025">
      <w:pPr>
        <w:pStyle w:val="BodyText"/>
        <w:kinsoku w:val="0"/>
        <w:overflowPunct w:val="0"/>
        <w:ind w:left="115" w:right="114"/>
        <w:rPr>
          <w:rFonts w:ascii="Times New Roman" w:hAnsi="Times New Roman" w:cs="Times New Roman"/>
          <w:sz w:val="24"/>
          <w:szCs w:val="24"/>
        </w:rPr>
      </w:pPr>
      <w:r>
        <w:rPr>
          <w:rFonts w:ascii="Times New Roman" w:hAnsi="Times New Roman" w:cs="Times New Roman"/>
          <w:sz w:val="24"/>
          <w:szCs w:val="24"/>
        </w:rPr>
        <w:t xml:space="preserve">It is our understanding that Massachusetts hospitals currently report almost no data about how they are building, compensating or structuring their workforces. The new ACOs should be required to submit all workforce data necessary for MassHealth to produce an annual </w:t>
      </w:r>
      <w:r>
        <w:rPr>
          <w:rFonts w:ascii="Times New Roman" w:hAnsi="Times New Roman" w:cs="Times New Roman"/>
          <w:i/>
          <w:iCs/>
          <w:sz w:val="24"/>
          <w:szCs w:val="24"/>
        </w:rPr>
        <w:t>Staffing Impact Report</w:t>
      </w:r>
      <w:r>
        <w:rPr>
          <w:rFonts w:ascii="Times New Roman" w:hAnsi="Times New Roman" w:cs="Times New Roman"/>
          <w:sz w:val="24"/>
          <w:szCs w:val="24"/>
        </w:rPr>
        <w:t>. These data and the report should at least detail any new hiring - including the use of part-time, temporary, per diem and subcontracted staff - as well as redeployment, retraining, or other significant workforce changes. MassHealth, in collaboration with the Center for Health Information and Analysis and/or outside consultants as needed, should then publish a statewide annual report aggregating these data.</w:t>
      </w:r>
    </w:p>
    <w:p w:rsidR="002C5025" w:rsidRDefault="002C5025">
      <w:pPr>
        <w:pStyle w:val="BodyText"/>
        <w:kinsoku w:val="0"/>
        <w:overflowPunct w:val="0"/>
        <w:spacing w:before="9"/>
        <w:rPr>
          <w:rFonts w:ascii="Times New Roman" w:hAnsi="Times New Roman" w:cs="Times New Roman"/>
          <w:sz w:val="24"/>
          <w:szCs w:val="24"/>
        </w:rPr>
      </w:pPr>
    </w:p>
    <w:p w:rsidR="002C5025" w:rsidRDefault="002C5025">
      <w:pPr>
        <w:pStyle w:val="BodyText"/>
        <w:kinsoku w:val="0"/>
        <w:overflowPunct w:val="0"/>
        <w:ind w:left="115" w:right="174"/>
        <w:rPr>
          <w:rFonts w:ascii="Times New Roman" w:hAnsi="Times New Roman" w:cs="Times New Roman"/>
          <w:b/>
          <w:bCs/>
          <w:i/>
          <w:iCs/>
          <w:sz w:val="24"/>
          <w:szCs w:val="24"/>
        </w:rPr>
      </w:pPr>
      <w:bookmarkStart w:id="6" w:name="Safety_Net_Care_Pool"/>
      <w:bookmarkEnd w:id="6"/>
      <w:r>
        <w:rPr>
          <w:rFonts w:ascii="Times New Roman" w:hAnsi="Times New Roman" w:cs="Times New Roman"/>
          <w:b/>
          <w:bCs/>
          <w:i/>
          <w:iCs/>
          <w:sz w:val="24"/>
          <w:szCs w:val="24"/>
        </w:rPr>
        <w:t>Safety Net Care Pool</w:t>
      </w:r>
    </w:p>
    <w:p w:rsidR="002C5025" w:rsidRDefault="002C5025">
      <w:pPr>
        <w:pStyle w:val="BodyText"/>
        <w:kinsoku w:val="0"/>
        <w:overflowPunct w:val="0"/>
        <w:spacing w:before="110"/>
        <w:ind w:left="115" w:right="59"/>
        <w:rPr>
          <w:rFonts w:ascii="Times New Roman" w:hAnsi="Times New Roman" w:cs="Times New Roman"/>
          <w:sz w:val="24"/>
          <w:szCs w:val="24"/>
        </w:rPr>
      </w:pPr>
      <w:r>
        <w:rPr>
          <w:rFonts w:ascii="Times New Roman" w:hAnsi="Times New Roman" w:cs="Times New Roman"/>
          <w:sz w:val="24"/>
          <w:szCs w:val="24"/>
        </w:rPr>
        <w:t xml:space="preserve">Since the renewal of the Commonwealth’s current 1115 Waiver, MassHealth has fully committed to a substantial redesign of our Safety Net Care Pool (SNCP) and the restructuring of payments to safety net providers under the SNCP. Consistent with this commitment, the amendments proposed to the new waiver carefully and creatively align the restructured payments with the new reform outcome measures for the ACOs and the DSRIP program. At the same time, the Commonwealth seeks to use the SNCP to support cost sharing subsidies for the </w:t>
      </w:r>
      <w:proofErr w:type="spellStart"/>
      <w:r>
        <w:rPr>
          <w:rFonts w:ascii="Times New Roman" w:hAnsi="Times New Roman" w:cs="Times New Roman"/>
          <w:sz w:val="24"/>
          <w:szCs w:val="24"/>
        </w:rPr>
        <w:t>ConnectorCare</w:t>
      </w:r>
      <w:proofErr w:type="spellEnd"/>
      <w:r>
        <w:rPr>
          <w:rFonts w:ascii="Times New Roman" w:hAnsi="Times New Roman" w:cs="Times New Roman"/>
          <w:sz w:val="24"/>
          <w:szCs w:val="24"/>
        </w:rPr>
        <w:t xml:space="preserve"> program and to better support care for the uninsured provided by Cambridge Health Alliance and other providers. We fully support each of the underlying goals of the proposed redesign.</w:t>
      </w:r>
    </w:p>
    <w:p w:rsidR="002C5025" w:rsidRDefault="002C5025">
      <w:pPr>
        <w:pStyle w:val="BodyText"/>
        <w:kinsoku w:val="0"/>
        <w:overflowPunct w:val="0"/>
        <w:spacing w:before="9"/>
        <w:rPr>
          <w:rFonts w:ascii="Times New Roman" w:hAnsi="Times New Roman" w:cs="Times New Roman"/>
          <w:sz w:val="19"/>
          <w:szCs w:val="19"/>
        </w:rPr>
      </w:pPr>
    </w:p>
    <w:p w:rsidR="002C5025" w:rsidRDefault="002C5025">
      <w:pPr>
        <w:pStyle w:val="BodyText"/>
        <w:kinsoku w:val="0"/>
        <w:overflowPunct w:val="0"/>
        <w:ind w:left="116" w:right="27"/>
        <w:rPr>
          <w:rFonts w:ascii="Times New Roman" w:hAnsi="Times New Roman" w:cs="Times New Roman"/>
          <w:sz w:val="24"/>
          <w:szCs w:val="24"/>
        </w:rPr>
      </w:pPr>
      <w:r>
        <w:rPr>
          <w:rFonts w:ascii="Times New Roman" w:hAnsi="Times New Roman" w:cs="Times New Roman"/>
          <w:sz w:val="24"/>
          <w:szCs w:val="24"/>
        </w:rPr>
        <w:t>However, the draft request lacks sufficient detail around several aspects of the proposed SNCP redesign. First, MassHealth should provide more details on the proposed value-based performance standards that are to be imposed on the safety net providers that will receive SNCP payments. While we recognize that overall funding levels remain subject to negotiation of a final 1115 waiver extension, we nevertheless believe that the safety net providers deserve more precise estimates of the amount of funding they can expect under the new SNCP in each of the waiver years. Second, stakeholders also need more information around the methodology behind the proposal to expand from seven to eleven the pool of providers eligible to receive SNCP payment. Finally, we’d appreciate additional details and financing estimates around the recommended “glide path” to reduce such payments over the five-year waiver term and the vision for “Year Six” (post-waiver).</w:t>
      </w:r>
    </w:p>
    <w:p w:rsidR="002C5025" w:rsidRDefault="002C5025">
      <w:pPr>
        <w:pStyle w:val="BodyText"/>
        <w:kinsoku w:val="0"/>
        <w:overflowPunct w:val="0"/>
        <w:spacing w:before="9"/>
        <w:rPr>
          <w:rFonts w:ascii="Times New Roman" w:hAnsi="Times New Roman" w:cs="Times New Roman"/>
          <w:sz w:val="24"/>
          <w:szCs w:val="24"/>
        </w:rPr>
      </w:pPr>
    </w:p>
    <w:p w:rsidR="002C5025" w:rsidRDefault="002C5025">
      <w:pPr>
        <w:pStyle w:val="BodyText"/>
        <w:kinsoku w:val="0"/>
        <w:overflowPunct w:val="0"/>
        <w:ind w:left="115" w:right="174"/>
        <w:rPr>
          <w:rFonts w:ascii="Times New Roman" w:hAnsi="Times New Roman" w:cs="Times New Roman"/>
          <w:b/>
          <w:bCs/>
          <w:i/>
          <w:iCs/>
          <w:sz w:val="24"/>
          <w:szCs w:val="24"/>
        </w:rPr>
      </w:pPr>
      <w:bookmarkStart w:id="7" w:name="ACO_Design_&amp;_Fair_Payments"/>
      <w:bookmarkEnd w:id="7"/>
      <w:r>
        <w:rPr>
          <w:rFonts w:ascii="Times New Roman" w:hAnsi="Times New Roman" w:cs="Times New Roman"/>
          <w:b/>
          <w:bCs/>
          <w:i/>
          <w:iCs/>
          <w:sz w:val="24"/>
          <w:szCs w:val="24"/>
        </w:rPr>
        <w:t>ACO Design &amp; Fair Payments</w:t>
      </w:r>
    </w:p>
    <w:p w:rsidR="002C5025" w:rsidRDefault="002C5025">
      <w:pPr>
        <w:pStyle w:val="BodyText"/>
        <w:kinsoku w:val="0"/>
        <w:overflowPunct w:val="0"/>
        <w:ind w:left="115" w:right="342"/>
        <w:rPr>
          <w:rFonts w:ascii="Times New Roman" w:hAnsi="Times New Roman" w:cs="Times New Roman"/>
          <w:sz w:val="24"/>
          <w:szCs w:val="24"/>
        </w:rPr>
      </w:pPr>
      <w:r>
        <w:rPr>
          <w:rFonts w:ascii="Times New Roman" w:hAnsi="Times New Roman" w:cs="Times New Roman"/>
          <w:sz w:val="24"/>
          <w:szCs w:val="24"/>
        </w:rPr>
        <w:t>Offering three distinct models for new ACOs is a creative and laudable approach to moving lead providers with a broad range of current capabilities from the fee-for-service system to accountable, total cost of care models. However, the complexities underlying the contemplated integrated care models deserve additional explanations.</w:t>
      </w:r>
    </w:p>
    <w:p w:rsidR="002C5025" w:rsidRDefault="002C5025">
      <w:pPr>
        <w:pStyle w:val="BodyText"/>
        <w:kinsoku w:val="0"/>
        <w:overflowPunct w:val="0"/>
        <w:ind w:left="115" w:right="342"/>
        <w:rPr>
          <w:rFonts w:ascii="Times New Roman" w:hAnsi="Times New Roman" w:cs="Times New Roman"/>
          <w:sz w:val="24"/>
          <w:szCs w:val="24"/>
        </w:rPr>
        <w:sectPr w:rsidR="002C5025">
          <w:pgSz w:w="12240" w:h="15840"/>
          <w:pgMar w:top="940" w:right="1080" w:bottom="280" w:left="1180" w:header="720" w:footer="720" w:gutter="0"/>
          <w:cols w:space="720" w:equalWidth="0">
            <w:col w:w="9980"/>
          </w:cols>
          <w:noEndnote/>
        </w:sectPr>
      </w:pPr>
    </w:p>
    <w:p w:rsidR="002C5025" w:rsidRDefault="002C5025">
      <w:pPr>
        <w:pStyle w:val="BodyText"/>
        <w:kinsoku w:val="0"/>
        <w:overflowPunct w:val="0"/>
        <w:spacing w:before="52"/>
        <w:ind w:left="115" w:right="241"/>
        <w:rPr>
          <w:rFonts w:ascii="Times New Roman" w:hAnsi="Times New Roman" w:cs="Times New Roman"/>
          <w:sz w:val="24"/>
          <w:szCs w:val="24"/>
        </w:rPr>
      </w:pPr>
      <w:r>
        <w:rPr>
          <w:rFonts w:ascii="Times New Roman" w:hAnsi="Times New Roman" w:cs="Times New Roman"/>
          <w:sz w:val="24"/>
          <w:szCs w:val="24"/>
        </w:rPr>
        <w:lastRenderedPageBreak/>
        <w:t>In particular, while the roles of Medicaid Managed Care Organizations (MCOs) are outlined in the request, stakeholders need additional information about these roles as well as pertinent to the inclusion of the Mass Behavioral Health Partnership as a mandated ACO partner. We request additional details around the planned structures, financing, and payments anticipated under the new model designs. Additionally, more transparency is needed around the planned use of DSRIP incentive payments to support both the ACOs and their Certified Community Partners. Finally, we also request more information around both current MassHealth claims data and the planned methodology for development of total cost of care payment rates.</w:t>
      </w:r>
    </w:p>
    <w:p w:rsidR="002C5025" w:rsidRDefault="002C5025">
      <w:pPr>
        <w:pStyle w:val="BodyText"/>
        <w:kinsoku w:val="0"/>
        <w:overflowPunct w:val="0"/>
        <w:spacing w:before="7"/>
        <w:rPr>
          <w:rFonts w:ascii="Times New Roman" w:hAnsi="Times New Roman" w:cs="Times New Roman"/>
          <w:sz w:val="20"/>
          <w:szCs w:val="20"/>
        </w:rPr>
      </w:pPr>
    </w:p>
    <w:p w:rsidR="002C5025" w:rsidRDefault="002C5025">
      <w:pPr>
        <w:pStyle w:val="BodyText"/>
        <w:kinsoku w:val="0"/>
        <w:overflowPunct w:val="0"/>
        <w:ind w:left="115" w:right="241"/>
        <w:rPr>
          <w:rFonts w:ascii="Times New Roman" w:hAnsi="Times New Roman" w:cs="Times New Roman"/>
          <w:b/>
          <w:bCs/>
          <w:i/>
          <w:iCs/>
          <w:sz w:val="24"/>
          <w:szCs w:val="24"/>
        </w:rPr>
      </w:pPr>
      <w:bookmarkStart w:id="8" w:name="PCA_Program_&amp;_LTSS_Care_Integration"/>
      <w:bookmarkEnd w:id="8"/>
      <w:r>
        <w:rPr>
          <w:rFonts w:ascii="Times New Roman" w:hAnsi="Times New Roman" w:cs="Times New Roman"/>
          <w:b/>
          <w:bCs/>
          <w:i/>
          <w:iCs/>
          <w:sz w:val="24"/>
          <w:szCs w:val="24"/>
        </w:rPr>
        <w:t>PCA Program &amp; LTSS Care Integration</w:t>
      </w:r>
    </w:p>
    <w:p w:rsidR="002C5025" w:rsidRDefault="002C5025">
      <w:pPr>
        <w:pStyle w:val="BodyText"/>
        <w:kinsoku w:val="0"/>
        <w:overflowPunct w:val="0"/>
        <w:spacing w:before="110"/>
        <w:ind w:left="115" w:right="280"/>
        <w:rPr>
          <w:rFonts w:ascii="Times New Roman" w:hAnsi="Times New Roman" w:cs="Times New Roman"/>
          <w:sz w:val="24"/>
          <w:szCs w:val="24"/>
        </w:rPr>
      </w:pPr>
      <w:r>
        <w:rPr>
          <w:rFonts w:ascii="Times New Roman" w:hAnsi="Times New Roman" w:cs="Times New Roman"/>
          <w:sz w:val="24"/>
          <w:szCs w:val="24"/>
        </w:rPr>
        <w:t>The state must continue to ensure the availability of a high-quality workforce prepared to meet the anticipated and growing long term supports and service (LTSS) needs of MassHealth members. As representatives for more than 35,000 personal care attendants serving Massachusetts’ disabled populations, 1199SEIU has a strong interest in protecting the PCA program as well as in ensuring that independent, community-based LTSS services are well-integrated.</w:t>
      </w:r>
    </w:p>
    <w:p w:rsidR="002C5025" w:rsidRDefault="002C5025">
      <w:pPr>
        <w:pStyle w:val="BodyText"/>
        <w:kinsoku w:val="0"/>
        <w:overflowPunct w:val="0"/>
        <w:spacing w:before="2"/>
        <w:rPr>
          <w:rFonts w:ascii="Times New Roman" w:hAnsi="Times New Roman" w:cs="Times New Roman"/>
          <w:sz w:val="20"/>
          <w:szCs w:val="20"/>
        </w:rPr>
      </w:pPr>
    </w:p>
    <w:p w:rsidR="002C5025" w:rsidRDefault="002C5025">
      <w:pPr>
        <w:pStyle w:val="BodyText"/>
        <w:kinsoku w:val="0"/>
        <w:overflowPunct w:val="0"/>
        <w:spacing w:before="1"/>
        <w:ind w:left="115" w:right="114"/>
        <w:rPr>
          <w:rFonts w:ascii="Times New Roman" w:hAnsi="Times New Roman" w:cs="Times New Roman"/>
          <w:sz w:val="24"/>
          <w:szCs w:val="24"/>
        </w:rPr>
      </w:pPr>
      <w:r>
        <w:rPr>
          <w:rFonts w:ascii="Times New Roman" w:hAnsi="Times New Roman" w:cs="Times New Roman"/>
          <w:sz w:val="24"/>
          <w:szCs w:val="24"/>
        </w:rPr>
        <w:t>For these reasons, we appreciate the recognition of the particularly critical role of Personal Care Attendant (PCA) services for members. Under the proposed waiver provisions, an ACO enrollee who chooses to self-direct PCA services will be the employer of the PCA and will be responsible for hiring, training, scheduling and firing workers. MassHealth ACOs will also be required to contract with Personal Care Management (PCM) agencies which will provide skills training to enrollees who choose to self-direct their PCA services. The ACO will retain authority for authorizing all PCA services while the ACO’s community partner will play an essential role on the member’s care team, assisting in facilitating service authorizations and connecting enrollees to a PCM and a Fiscal Intermediary (FI). Even as we continue to advocate for inclusion of an “Independent LTSS Coordinator” on ACO care teams, we fully support these proposals and believe they will help preserve the essential elements of the current program.</w:t>
      </w:r>
    </w:p>
    <w:p w:rsidR="002C5025" w:rsidRDefault="002C5025">
      <w:pPr>
        <w:pStyle w:val="BodyText"/>
        <w:kinsoku w:val="0"/>
        <w:overflowPunct w:val="0"/>
        <w:spacing w:before="9"/>
        <w:rPr>
          <w:rFonts w:ascii="Times New Roman" w:hAnsi="Times New Roman" w:cs="Times New Roman"/>
          <w:sz w:val="19"/>
          <w:szCs w:val="19"/>
        </w:rPr>
      </w:pPr>
    </w:p>
    <w:p w:rsidR="002C5025" w:rsidRDefault="002C5025">
      <w:pPr>
        <w:pStyle w:val="BodyText"/>
        <w:kinsoku w:val="0"/>
        <w:overflowPunct w:val="0"/>
        <w:ind w:left="115" w:right="34"/>
        <w:rPr>
          <w:rFonts w:ascii="Times New Roman" w:hAnsi="Times New Roman" w:cs="Times New Roman"/>
          <w:sz w:val="24"/>
          <w:szCs w:val="24"/>
        </w:rPr>
      </w:pPr>
      <w:r>
        <w:rPr>
          <w:rFonts w:ascii="Times New Roman" w:hAnsi="Times New Roman" w:cs="Times New Roman"/>
          <w:sz w:val="24"/>
          <w:szCs w:val="24"/>
        </w:rPr>
        <w:t>We also greatly appreciate the inclusion of a DSRIP “flexible services” account incentivizing ACOs to use a range of other services as substitutions for utilizing high-cost institutional and other traditional services. With this state support, PCAs working for ACO enrollees could and should be utilized creatively to meet the expected high-demand for community-based LTSS. These dollars could and should also be utilized to offer career ladder opportunities for PCAs. With the explicit permission and cooperation of the enrollee, MassHealth ACOs ought to be encouraged to utilize PCAs to help facilitate more effective communication between the enrollee and their providers and to assist in implementing care plans (including through nutrition counseling, medication administration, and ongoing monitoring of selected mental and physical health metrics).</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ind w:left="116" w:right="173"/>
        <w:rPr>
          <w:rFonts w:ascii="Times New Roman" w:hAnsi="Times New Roman" w:cs="Times New Roman"/>
          <w:sz w:val="24"/>
          <w:szCs w:val="24"/>
        </w:rPr>
      </w:pPr>
      <w:r>
        <w:rPr>
          <w:rFonts w:ascii="Times New Roman" w:hAnsi="Times New Roman" w:cs="Times New Roman"/>
          <w:sz w:val="24"/>
          <w:szCs w:val="24"/>
        </w:rPr>
        <w:t>Thank you for the opportunity to engage in this on-going dialogue. As a union of health care workers, 1199SEIU is fully committed to ensuring quality, accessible health care for all. We intend to remain strong advocates for ensuring the continued success of the Medicaid/MassHealth program through careful reform and fair Medicaid rate payments to providers. We look forward to working with the Commonwealth, the Centers for Medicare &amp; Medicaid Services, and all stakeholders to ensure the success of the state’s new 1115 Waiver Program.</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after="8"/>
        <w:ind w:left="115" w:right="241"/>
        <w:rPr>
          <w:rFonts w:ascii="Times New Roman" w:hAnsi="Times New Roman" w:cs="Times New Roman"/>
          <w:sz w:val="24"/>
          <w:szCs w:val="24"/>
        </w:rPr>
      </w:pPr>
      <w:r>
        <w:rPr>
          <w:rFonts w:ascii="Times New Roman" w:hAnsi="Times New Roman" w:cs="Times New Roman"/>
          <w:sz w:val="24"/>
          <w:szCs w:val="24"/>
        </w:rPr>
        <w:t>Sincerely,</w:t>
      </w:r>
    </w:p>
    <w:p w:rsidR="002C5025" w:rsidRDefault="00FB027C">
      <w:pPr>
        <w:pStyle w:val="BodyText"/>
        <w:kinsoku w:val="0"/>
        <w:overflowPunct w:val="0"/>
        <w:ind w:left="116"/>
        <w:rPr>
          <w:rFonts w:ascii="Times New Roman" w:hAnsi="Times New Roman" w:cs="Times New Roman"/>
          <w:sz w:val="20"/>
          <w:szCs w:val="20"/>
        </w:rPr>
      </w:pPr>
      <w:r>
        <w:rPr>
          <w:rFonts w:ascii="Times New Roman" w:hAnsi="Times New Roman" w:cs="Times New Roman"/>
          <w:noProof/>
          <w:sz w:val="20"/>
          <w:szCs w:val="20"/>
        </w:rPr>
        <w:drawing>
          <wp:inline distT="0" distB="0" distL="0" distR="0">
            <wp:extent cx="1285875" cy="4476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85875" cy="447675"/>
                    </a:xfrm>
                    <a:prstGeom prst="rect">
                      <a:avLst/>
                    </a:prstGeom>
                    <a:noFill/>
                    <a:ln>
                      <a:noFill/>
                    </a:ln>
                  </pic:spPr>
                </pic:pic>
              </a:graphicData>
            </a:graphic>
          </wp:inline>
        </w:drawing>
      </w:r>
    </w:p>
    <w:p w:rsidR="002C5025" w:rsidRDefault="002C5025">
      <w:pPr>
        <w:pStyle w:val="BodyText"/>
        <w:kinsoku w:val="0"/>
        <w:overflowPunct w:val="0"/>
        <w:spacing w:before="12"/>
        <w:ind w:left="115" w:right="241"/>
        <w:rPr>
          <w:rFonts w:ascii="Times New Roman" w:hAnsi="Times New Roman" w:cs="Times New Roman"/>
          <w:sz w:val="24"/>
          <w:szCs w:val="24"/>
        </w:rPr>
      </w:pPr>
      <w:proofErr w:type="spellStart"/>
      <w:r>
        <w:rPr>
          <w:rFonts w:ascii="Times New Roman" w:hAnsi="Times New Roman" w:cs="Times New Roman"/>
          <w:sz w:val="24"/>
          <w:szCs w:val="24"/>
        </w:rPr>
        <w:t>Tyrék</w:t>
      </w:r>
      <w:proofErr w:type="spellEnd"/>
      <w:r>
        <w:rPr>
          <w:rFonts w:ascii="Times New Roman" w:hAnsi="Times New Roman" w:cs="Times New Roman"/>
          <w:sz w:val="24"/>
          <w:szCs w:val="24"/>
        </w:rPr>
        <w:t xml:space="preserve"> D. Lee, Sr.; Executive Vice President</w:t>
      </w:r>
    </w:p>
    <w:p w:rsidR="002C5025" w:rsidRDefault="002C5025">
      <w:pPr>
        <w:pStyle w:val="BodyText"/>
        <w:kinsoku w:val="0"/>
        <w:overflowPunct w:val="0"/>
        <w:spacing w:before="12"/>
        <w:ind w:left="115" w:right="241"/>
        <w:rPr>
          <w:rFonts w:ascii="Times New Roman" w:hAnsi="Times New Roman" w:cs="Times New Roman"/>
          <w:sz w:val="24"/>
          <w:szCs w:val="24"/>
        </w:rPr>
        <w:sectPr w:rsidR="002C5025">
          <w:pgSz w:w="12240" w:h="15840"/>
          <w:pgMar w:top="940" w:right="1140" w:bottom="280" w:left="1180" w:header="720" w:footer="720" w:gutter="0"/>
          <w:cols w:space="720" w:equalWidth="0">
            <w:col w:w="9920"/>
          </w:cols>
          <w:noEndnote/>
        </w:sectPr>
      </w:pPr>
    </w:p>
    <w:p w:rsidR="002C5025" w:rsidRDefault="00FB027C">
      <w:pPr>
        <w:pStyle w:val="BodyText"/>
        <w:kinsoku w:val="0"/>
        <w:overflowPunct w:val="0"/>
        <w:spacing w:before="8"/>
        <w:rPr>
          <w:rFonts w:ascii="Times New Roman" w:hAnsi="Times New Roman" w:cs="Times New Roman"/>
          <w:sz w:val="3"/>
          <w:szCs w:val="3"/>
        </w:rPr>
      </w:pPr>
      <w:r>
        <w:rPr>
          <w:noProof/>
        </w:rPr>
        <w:lastRenderedPageBreak/>
        <mc:AlternateContent>
          <mc:Choice Requires="wpg">
            <w:drawing>
              <wp:anchor distT="0" distB="0" distL="114300" distR="114300" simplePos="0" relativeHeight="251450880" behindDoc="1" locked="0" layoutInCell="0" allowOverlap="1">
                <wp:simplePos x="0" y="0"/>
                <wp:positionH relativeFrom="page">
                  <wp:posOffset>2959735</wp:posOffset>
                </wp:positionH>
                <wp:positionV relativeFrom="page">
                  <wp:posOffset>685800</wp:posOffset>
                </wp:positionV>
                <wp:extent cx="3891915" cy="470535"/>
                <wp:effectExtent l="0" t="0" r="0" b="0"/>
                <wp:wrapNone/>
                <wp:docPr id="1019"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91915" cy="470535"/>
                          <a:chOff x="4661" y="1080"/>
                          <a:chExt cx="6129" cy="741"/>
                        </a:xfrm>
                      </wpg:grpSpPr>
                      <pic:pic xmlns:pic="http://schemas.openxmlformats.org/drawingml/2006/picture">
                        <pic:nvPicPr>
                          <pic:cNvPr id="102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662" y="1424"/>
                            <a:ext cx="202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21"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6751" y="1080"/>
                            <a:ext cx="2000" cy="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22"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8810" y="1331"/>
                            <a:ext cx="198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233.05pt;margin-top:54pt;width:306.45pt;height:37.05pt;z-index:-251865600;mso-position-horizontal-relative:page;mso-position-vertical-relative:page" coordorigin="4661,1080" coordsize="6129,74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4662;top:1424;width:2020;height:3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QRZTPHAAAA3QAAAA8AAABkcnMvZG93bnJldi54bWxEj0FrwkAQhe+F/odlCr2IbppDKamrSBup&#10;UCmYetDbkB2zodnZkF01/vvOodDbDO/Ne9/Ml6Pv1IWG2AY28DTLQBHXwbbcGNh/r6cvoGJCttgF&#10;JgM3irBc3N/NsbDhyju6VKlREsKxQAMupb7QOtaOPMZZ6IlFO4XBY5J1aLQd8CrhvtN5lj1rjy1L&#10;g8Oe3hzVP9XZG8ByWx6q7qP8ej/uPynfTlq3mhjz+DCuXkElGtO/+e96YwU/y4VfvpER9OIX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DQRZTPHAAAA3QAAAA8AAAAAAAAAAAAA&#10;AAAAnwIAAGRycy9kb3ducmV2LnhtbFBLBQYAAAAABAAEAPcAAACTAwAAAAA=&#10;">
                  <v:imagedata r:id="rId11" o:title=""/>
                </v:shape>
                <v:shape id="Picture 5" o:spid="_x0000_s1028" type="#_x0000_t75" style="position:absolute;left:6751;top:1080;width:2000;height:7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Kc1tzFAAAA3QAAAA8AAABkcnMvZG93bnJldi54bWxET01rwkAQvQv9D8sUejMbUxBJXcW2FgsV&#10;wVgRb0N2TEKzszG7jem/7wqCt3m8z5nOe1OLjlpXWVYwimIQxLnVFRcKvncfwwkI55E11pZJwR85&#10;mM8eBlNMtb3wlrrMFyKEsEtRQel9k0rp8pIMusg2xIE72dagD7AtpG7xEsJNLZM4HkuDFYeGEht6&#10;Kyn/yX6Ngv3zK36tj6vFMtnwe3ZYdfo8lko9PfaLFxCeen8X39yfOsyPkxFcvwknyNk/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inNbcxQAAAN0AAAAPAAAAAAAAAAAAAAAA&#10;AJ8CAABkcnMvZG93bnJldi54bWxQSwUGAAAAAAQABAD3AAAAkQMAAAAA&#10;">
                  <v:imagedata r:id="rId12" o:title=""/>
                </v:shape>
                <v:shape id="Picture 6" o:spid="_x0000_s1029" type="#_x0000_t75" style="position:absolute;left:8810;top:1331;width:1980;height:4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9QaqjCAAAA3QAAAA8AAABkcnMvZG93bnJldi54bWxET8lqwzAQvQf6D2IKuYRGqiEldS2HEAhp&#10;j9nugzW1TK2RsRTb6ddXhUJv83jrFJvJtWKgPjSeNTwvFQjiypuGaw2X8/5pDSJEZIOtZ9JwpwCb&#10;8mFWYG78yEcaTrEWKYRDjhpsjF0uZagsOQxL3xEn7tP3DmOCfS1Nj2MKd63MlHqRDhtODRY72lmq&#10;vk43p6FaOVwd3asd1OJ7PX4crtsd7bWeP07bNxCRpvgv/nO/mzRfZRn8fpNOkOU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vUGqowgAAAN0AAAAPAAAAAAAAAAAAAAAAAJ8C&#10;AABkcnMvZG93bnJldi54bWxQSwUGAAAAAAQABAD3AAAAjgMAAAAA&#10;">
                  <v:imagedata r:id="rId13" o:title=""/>
                </v:shape>
                <w10:wrap anchorx="page" anchory="page"/>
              </v:group>
            </w:pict>
          </mc:Fallback>
        </mc:AlternateContent>
      </w:r>
      <w:r>
        <w:rPr>
          <w:noProof/>
        </w:rPr>
        <mc:AlternateContent>
          <mc:Choice Requires="wpg">
            <w:drawing>
              <wp:anchor distT="0" distB="0" distL="114300" distR="114300" simplePos="0" relativeHeight="251451904" behindDoc="1" locked="0" layoutInCell="0" allowOverlap="1">
                <wp:simplePos x="0" y="0"/>
                <wp:positionH relativeFrom="page">
                  <wp:posOffset>4690745</wp:posOffset>
                </wp:positionH>
                <wp:positionV relativeFrom="page">
                  <wp:posOffset>1351280</wp:posOffset>
                </wp:positionV>
                <wp:extent cx="2174875" cy="1114425"/>
                <wp:effectExtent l="0" t="0" r="0" b="0"/>
                <wp:wrapNone/>
                <wp:docPr id="1013"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4875" cy="1114425"/>
                          <a:chOff x="7387" y="2128"/>
                          <a:chExt cx="3425" cy="1755"/>
                        </a:xfrm>
                      </wpg:grpSpPr>
                      <pic:pic xmlns:pic="http://schemas.openxmlformats.org/drawingml/2006/picture">
                        <pic:nvPicPr>
                          <pic:cNvPr id="1014"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9633" y="2128"/>
                            <a:ext cx="1180"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15"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8373" y="2942"/>
                            <a:ext cx="1440" cy="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16"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9863" y="3086"/>
                            <a:ext cx="800" cy="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17"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7760" y="2418"/>
                            <a:ext cx="188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18"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7388" y="3058"/>
                            <a:ext cx="820" cy="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369.35pt;margin-top:106.4pt;width:171.25pt;height:87.75pt;z-index:-251864576;mso-position-horizontal-relative:page;mso-position-vertical-relative:page" coordorigin="7387,2128" coordsize="3425,175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" o:allowincell="f">
                <v:shape id="Picture 8" o:spid="_x0000_s1027" type="#_x0000_t75" style="position:absolute;left:9633;top:2128;width:1180;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RL/fEAAAA3QAAAA8AAABkcnMvZG93bnJldi54bWxET02LwjAQvS/4H8IIe1uTSpGlGkUEwd3F&#10;g7qgx6EZ22IzqU3U6q83wsLe5vE+ZzLrbC2u1PrKsYZkoEAQ585UXGj43S0/PkH4gGywdkwa7uRh&#10;Nu29TTAz7sYbum5DIWII+ww1lCE0mZQ+L8miH7iGOHJH11oMEbaFNC3eYrit5VCpkbRYcWwosaFF&#10;Sflpe7EaqscyXddfyVotftL7fvf4Xh0uZ63f+918DCJQF/7Ff+6VifNVksLrm3iCnD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RL/fEAAAA3QAAAA8AAAAAAAAAAAAAAAAA&#10;nwIAAGRycy9kb3ducmV2LnhtbFBLBQYAAAAABAAEAPcAAACQAwAAAAA=&#10;">
                  <v:imagedata r:id="rId19" o:title=""/>
                </v:shape>
                <v:shape id="Picture 9" o:spid="_x0000_s1028" type="#_x0000_t75" style="position:absolute;left:8373;top:2942;width:1440;height:9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jgX+PEAAAA3QAAAA8AAABkcnMvZG93bnJldi54bWxET01rwkAQvQv+h2UK3nQ3oqWNrqKFgvQi&#10;0RY8DtlpEszOhuwao7++KxS8zeN9znLd21p01PrKsYZkokAQ585UXGj4Pn6O30D4gGywdkwabuRh&#10;vRoOlpgad+WMukMoRAxhn6KGMoQmldLnJVn0E9cQR+7XtRZDhG0hTYvXGG5rOVXqVVqsODaU2NBH&#10;Sfn5cLEa5pft7qRm5j2b3ju1Oe+Tn+wr0Xr00m8WIAL14Sn+d+9MnK+SOTy+iSfI1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jgX+PEAAAA3QAAAA8AAAAAAAAAAAAAAAAA&#10;nwIAAGRycy9kb3ducmV2LnhtbFBLBQYAAAAABAAEAPcAAACQAwAAAAA=&#10;">
                  <v:imagedata r:id="rId20" o:title=""/>
                </v:shape>
                <v:shape id="Picture 10" o:spid="_x0000_s1029" type="#_x0000_t75" style="position:absolute;left:9863;top:3086;width:800;height:8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0u6NjDAAAA3QAAAA8AAABkcnMvZG93bnJldi54bWxET02LwjAQvQv+hzCCF9FUWUSrUXRhQQQP&#10;uiJ4G5qxLTaT2sRa/fUbQdjbPN7nzJeNKURNlcstKxgOIhDEidU5pwqOvz/9CQjnkTUWlknBkxws&#10;F+3WHGNtH7yn+uBTEULYxagg876MpXRJRgbdwJbEgbvYyqAPsEqlrvARwk0hR1E0lgZzDg0ZlvSd&#10;UXI93I2Cmm5f6548n+7rzRaT8+41LemlVLfTrGYgPDX+X/xxb3SYHw3H8P4mnCAX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S7o2MMAAADdAAAADwAAAAAAAAAAAAAAAACf&#10;AgAAZHJzL2Rvd25yZXYueG1sUEsFBgAAAAAEAAQA9wAAAI8DAAAAAA==&#10;">
                  <v:imagedata r:id="rId21" o:title=""/>
                </v:shape>
                <v:shape id="Picture 11" o:spid="_x0000_s1030" type="#_x0000_t75" style="position:absolute;left:7760;top:2418;width:1880;height:3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mWtLEAAAA3QAAAA8AAABkcnMvZG93bnJldi54bWxET01rwkAQvQv+h2WEXqRu4sFK6ioiFbyU&#10;UBVsb0N2TILZ2SW7NdFf7xYK3ubxPmex6k0jrtT62rKCdJKAIC6srrlUcDxsX+cgfEDW2FgmBTfy&#10;sFoOBwvMtO34i677UIoYwj5DBVUILpPSFxUZ9BPriCN3tq3BEGFbSt1iF8NNI6dJMpMGa44NFTra&#10;VFRc9r9GQX7MD59unG+7/pTe9bezPx/GKvUy6tfvIAL14Sn+d+90nJ+kb/D3TTxBLh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wmWtLEAAAA3QAAAA8AAAAAAAAAAAAAAAAA&#10;nwIAAGRycy9kb3ducmV2LnhtbFBLBQYAAAAABAAEAPcAAACQAwAAAAA=&#10;">
                  <v:imagedata r:id="rId22" o:title=""/>
                </v:shape>
                <v:shape id="Picture 12" o:spid="_x0000_s1031" type="#_x0000_t75" style="position:absolute;left:7388;top:3058;width:820;height:8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FDcb/FAAAA3QAAAA8AAABkcnMvZG93bnJldi54bWxEj91Kw0AQhe8LvsMygnftJhaKxG6LKIIo&#10;VPvzAEN2TIKZ2ZBdk9in71wUvJvhnDnnm/V24tYM1McmiIN8kYEhKYNvpHJwOr7OH8DEhOKxDUIO&#10;/ijCdnMzW2Phwyh7Gg6pMhoisUAHdUpdYW0sa2KMi9CRqPYdesaka19Z3+Oo4dza+yxbWcZGtKHG&#10;jp5rKn8Ov+ygyt8/eLncv5x3THka4tcn70bn7m6np0cwiab0b75ev3nFz3LF1W90BLu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BQ3G/xQAAAN0AAAAPAAAAAAAAAAAAAAAA&#10;AJ8CAABkcnMvZG93bnJldi54bWxQSwUGAAAAAAQABAD3AAAAkQMAAAAA&#10;">
                  <v:imagedata r:id="rId23" o:title=""/>
                </v:shape>
                <w10:wrap anchorx="page" anchory="page"/>
              </v:group>
            </w:pict>
          </mc:Fallback>
        </mc:AlternateContent>
      </w:r>
    </w:p>
    <w:p w:rsidR="002C5025" w:rsidRDefault="00FB027C">
      <w:pPr>
        <w:pStyle w:val="BodyText"/>
        <w:kinsoku w:val="0"/>
        <w:overflowPunct w:val="0"/>
        <w:ind w:left="466"/>
        <w:rPr>
          <w:rFonts w:ascii="Times New Roman" w:hAnsi="Times New Roman" w:cs="Times New Roman"/>
          <w:sz w:val="20"/>
          <w:szCs w:val="20"/>
        </w:rPr>
      </w:pPr>
      <w:r>
        <w:rPr>
          <w:rFonts w:ascii="Times New Roman" w:hAnsi="Times New Roman" w:cs="Times New Roman"/>
          <w:noProof/>
          <w:sz w:val="20"/>
          <w:szCs w:val="20"/>
        </w:rPr>
        <mc:AlternateContent>
          <mc:Choice Requires="wpg">
            <w:drawing>
              <wp:inline distT="0" distB="0" distL="0" distR="0">
                <wp:extent cx="3961765" cy="1133475"/>
                <wp:effectExtent l="0" t="0" r="10160" b="0"/>
                <wp:docPr id="1005"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61765" cy="1133475"/>
                          <a:chOff x="0" y="0"/>
                          <a:chExt cx="6239" cy="1785"/>
                        </a:xfrm>
                      </wpg:grpSpPr>
                      <pic:pic xmlns:pic="http://schemas.openxmlformats.org/drawingml/2006/picture">
                        <pic:nvPicPr>
                          <pic:cNvPr id="1006"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23" y="31"/>
                            <a:ext cx="1200" cy="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7"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263" y="0"/>
                            <a:ext cx="1900" cy="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8"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691"/>
                            <a:ext cx="1100" cy="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9"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1094" y="993"/>
                            <a:ext cx="1260" cy="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10" name="Pict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2390" y="1275"/>
                            <a:ext cx="1780"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11" name="Picture 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4226" y="878"/>
                            <a:ext cx="64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12" name="Picture 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4886" y="1185"/>
                            <a:ext cx="1360" cy="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Group 13" o:spid="_x0000_s1026" style="width:311.95pt;height:89.25pt;mso-position-horizontal-relative:char;mso-position-vertical-relative:line" coordsize="6239,17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">
                <v:shape id="Picture 14" o:spid="_x0000_s1027" type="#_x0000_t75" style="position:absolute;left:23;top:31;width:1200;height:6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bAk7FAAAA3QAAAA8AAABkcnMvZG93bnJldi54bWxEj0+LwjAQxe+C3yGMsDdN3YO41bSIIOy6&#10;KPgHwdvYjG2xmZQmq9VPb4QFbzO8937zZpq2phJXalxpWcFwEIEgzqwuOVew3y36YxDOI2usLJOC&#10;OzlIk25nirG2N97QdetzESDsYlRQeF/HUrqsIINuYGvioJ1tY9CHtcmlbvAW4KaSn1E0kgZLDhcK&#10;rGleUHbZ/hkFeWaHR/1rl25zON2//DpaPX4uSn302tkEhKfWv83/6W8d6gcivL4JI8jkC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mwJOxQAAAN0AAAAPAAAAAAAAAAAAAAAA&#10;AJ8CAABkcnMvZG93bnJldi54bWxQSwUGAAAAAAQABAD3AAAAkQMAAAAA&#10;">
                  <v:imagedata r:id="rId31" o:title=""/>
                </v:shape>
                <v:shape id="Picture 15" o:spid="_x0000_s1028" type="#_x0000_t75" style="position:absolute;left:1263;width:1900;height:7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XVVbDAAAA3QAAAA8AAABkcnMvZG93bnJldi54bWxET0trwkAQvgv9D8sUetPditQQXaWUCjnY&#10;gGm9D9nJQ7OzIbvV5N93C4Xe5uN7znY/2k7caPCtYw3PCwWCuHSm5VrD1+dhnoDwAdlg55g0TORh&#10;v3uYbTE17s4nuhWhFjGEfYoamhD6VEpfNmTRL1xPHLnKDRZDhEMtzYD3GG47uVTqRVpsOTY02NNb&#10;Q+W1+LYaPvLTSlbV8WjfL9MqydcOz1mm9dPj+LoBEWgM/+I/d2bifKXW8PtNPEHuf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ddVVsMAAADdAAAADwAAAAAAAAAAAAAAAACf&#10;AgAAZHJzL2Rvd25yZXYueG1sUEsFBgAAAAAEAAQA9wAAAI8DAAAAAA==&#10;">
                  <v:imagedata r:id="rId32" o:title=""/>
                </v:shape>
                <v:shape id="Picture 16" o:spid="_x0000_s1029" type="#_x0000_t75" style="position:absolute;top:691;width:1100;height:1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SF8mDGAAAA3QAAAA8AAABkcnMvZG93bnJldi54bWxEj09PwzAMxe9IfIfISNxYAkjT1C2bJlCB&#10;I/uD2NFqvLajcaokbN0+/XxA4mbrPb/382wx+E4dKaY2sIXHkQFFXAXXcm1huykfJqBSRnbYBSYL&#10;Z0qwmN/ezLBw4cQrOq5zrSSEU4EWmpz7QutUNeQxjUJPLNo+RI9Z1lhrF/Ek4b7TT8aMtceWpaHB&#10;nl4aqn7Wv95CeJ68h9fzdyovy+rzsnr7ioddae393bCcgso05H/z3/WHE3xjBFe+kRH0/Ao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IXyYMYAAADdAAAADwAAAAAAAAAAAAAA&#10;AACfAgAAZHJzL2Rvd25yZXYueG1sUEsFBgAAAAAEAAQA9wAAAJIDAAAAAA==&#10;">
                  <v:imagedata r:id="rId33" o:title=""/>
                </v:shape>
                <v:shape id="Picture 17" o:spid="_x0000_s1030" type="#_x0000_t75" style="position:absolute;left:1094;top:993;width:1260;height:8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UOcbDAAAA3QAAAA8AAABkcnMvZG93bnJldi54bWxET01rAjEQvQv+hzBCL6KJIqJboyyF0p4s&#10;ai+9jZtxs3UzWTaprv/eFARv83ifs9p0rhYXakPlWcNkrEAQF95UXGr4PryPFiBCRDZYeyYNNwqw&#10;Wfd7K8yMv/KOLvtYihTCIUMNNsYmkzIUlhyGsW+IE3fyrcOYYFtK0+I1hbtaTpWaS4cVpwaLDb1Z&#10;Ks77P6dhapfHr5/hR86/+Xw7OZ9mzdbPtH4ZdPkriEhdfIof7k+T5iu1hP9v0glyf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hQ5xsMAAADdAAAADwAAAAAAAAAAAAAAAACf&#10;AgAAZHJzL2Rvd25yZXYueG1sUEsFBgAAAAAEAAQA9wAAAI8DAAAAAA==&#10;">
                  <v:imagedata r:id="rId34" o:title=""/>
                </v:shape>
                <v:shape id="Picture 18" o:spid="_x0000_s1031" type="#_x0000_t75" style="position:absolute;left:2390;top:1275;width:1780;height:5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hoMzHAAAA3QAAAA8AAABkcnMvZG93bnJldi54bWxEj0FPAjEQhe8m/odmTLhJFw6iC4UQiURP&#10;CHiQ27gdu43b6WZbYOHXOwcTbzN5b977ZrboQ6NO1CUf2cBoWIAirqL17Ax87F/uH0GljGyxiUwG&#10;LpRgMb+9mWFp45m3dNplpySEU4kG6pzbUutU1RQwDWNLLNp37AJmWTunbYdnCQ+NHhfFgw7oWRpq&#10;bOm5pupndwwGPv1mcnh3X2/r7XqpV/76tHdVNmZw1y+noDL1+d/8d/1qBb8YCb98IyPo+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LhoMzHAAAA3QAAAA8AAAAAAAAAAAAA&#10;AAAAnwIAAGRycy9kb3ducmV2LnhtbFBLBQYAAAAABAAEAPcAAACTAwAAAAA=&#10;">
                  <v:imagedata r:id="rId35" o:title=""/>
                </v:shape>
                <v:shape id="Picture 19" o:spid="_x0000_s1032" type="#_x0000_t75" style="position:absolute;left:4226;top:878;width:640;height:9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QBmvBAAAA3QAAAA8AAABkcnMvZG93bnJldi54bWxET81qwkAQvhf6DssUvIhu4qG00VVCQMjR&#10;2j7ANDtmo9nZsLua6NN3C4Xe5uP7nc1usr24kQ+dYwX5MgNB3Djdcavg63O/eAMRIrLG3jEpuFOA&#10;3fb5aYOFdiN/0O0YW5FCOBSowMQ4FFKGxpDFsHQDceJOzluMCfpWao9jCre9XGXZq7TYcWowOFBl&#10;qLkcr1YBvX8/zidtqxLnbl5Hnx+M3ys1e5nKNYhIU/wX/7lrneZneQ6/36QT5PY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QBmvBAAAA3QAAAA8AAAAAAAAAAAAAAAAAnwIA&#10;AGRycy9kb3ducmV2LnhtbFBLBQYAAAAABAAEAPcAAACNAwAAAAA=&#10;">
                  <v:imagedata r:id="rId36" o:title=""/>
                </v:shape>
                <v:shape id="Picture 20" o:spid="_x0000_s1033" type="#_x0000_t75" style="position:absolute;left:4886;top:1185;width:1360;height: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8vvebCAAAA3QAAAA8AAABkcnMvZG93bnJldi54bWxET0uLwjAQvi/4H8IIe1sTPUipRhFlQQQR&#10;HyDehmZsQ5tJabLa/fdmYcHbfHzPmS9714gHdcF61jAeKRDEhTeWSw2X8/dXBiJEZIONZ9LwSwGW&#10;i8HHHHPjn3ykxymWIoVwyFFDFWObSxmKihyGkW+JE3f3ncOYYFdK0+EzhbtGTpSaSoeWU0OFLa0r&#10;KurTj9MwrZWL2bXcXY/Zoa5vG7vfKqv157BfzUBE6uNb/O/emjRfjSfw9006QS5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fL73mwgAAAN0AAAAPAAAAAAAAAAAAAAAAAJ8C&#10;AABkcnMvZG93bnJldi54bWxQSwUGAAAAAAQABAD3AAAAjgMAAAAA&#10;">
                  <v:imagedata r:id="rId37" o:title=""/>
                </v:shape>
                <w10:anchorlock/>
              </v:group>
            </w:pict>
          </mc:Fallback>
        </mc:AlternateContent>
      </w:r>
    </w:p>
    <w:p w:rsidR="002C5025" w:rsidRDefault="002C5025">
      <w:pPr>
        <w:pStyle w:val="BodyText"/>
        <w:kinsoku w:val="0"/>
        <w:overflowPunct w:val="0"/>
        <w:spacing w:before="2"/>
        <w:rPr>
          <w:rFonts w:ascii="Times New Roman" w:hAnsi="Times New Roman" w:cs="Times New Roman"/>
          <w:sz w:val="7"/>
          <w:szCs w:val="7"/>
        </w:rPr>
      </w:pPr>
    </w:p>
    <w:p w:rsidR="002C5025" w:rsidRDefault="00FB027C">
      <w:pPr>
        <w:pStyle w:val="BodyText"/>
        <w:kinsoku w:val="0"/>
        <w:overflowPunct w:val="0"/>
        <w:ind w:left="625" w:right="200"/>
        <w:rPr>
          <w:rFonts w:ascii="Times New Roman" w:hAnsi="Times New Roman" w:cs="Times New Roman"/>
          <w:spacing w:val="104"/>
          <w:position w:val="1"/>
          <w:sz w:val="20"/>
          <w:szCs w:val="20"/>
        </w:rPr>
      </w:pPr>
      <w:r>
        <w:rPr>
          <w:rFonts w:ascii="Times New Roman" w:hAnsi="Times New Roman" w:cs="Times New Roman"/>
          <w:noProof/>
          <w:sz w:val="20"/>
          <w:szCs w:val="20"/>
        </w:rPr>
        <w:drawing>
          <wp:inline distT="0" distB="0" distL="0" distR="0">
            <wp:extent cx="561975" cy="5619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r w:rsidR="002C5025">
        <w:rPr>
          <w:rFonts w:ascii="Times New Roman" w:hAnsi="Times New Roman" w:cs="Times New Roman"/>
          <w:spacing w:val="93"/>
          <w:sz w:val="20"/>
          <w:szCs w:val="20"/>
        </w:rPr>
        <w:t xml:space="preserve"> </w:t>
      </w:r>
      <w:r>
        <w:rPr>
          <w:rFonts w:ascii="Times New Roman" w:hAnsi="Times New Roman" w:cs="Times New Roman"/>
          <w:noProof/>
          <w:spacing w:val="93"/>
          <w:position w:val="1"/>
          <w:sz w:val="20"/>
          <w:szCs w:val="20"/>
        </w:rPr>
        <w:drawing>
          <wp:inline distT="0" distB="0" distL="0" distR="0">
            <wp:extent cx="838200" cy="3429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38200" cy="342900"/>
                    </a:xfrm>
                    <a:prstGeom prst="rect">
                      <a:avLst/>
                    </a:prstGeom>
                    <a:noFill/>
                    <a:ln>
                      <a:noFill/>
                    </a:ln>
                  </pic:spPr>
                </pic:pic>
              </a:graphicData>
            </a:graphic>
          </wp:inline>
        </w:drawing>
      </w:r>
      <w:r w:rsidR="002C5025">
        <w:rPr>
          <w:rFonts w:ascii="Times New Roman" w:hAnsi="Times New Roman" w:cs="Times New Roman"/>
          <w:spacing w:val="129"/>
          <w:position w:val="1"/>
          <w:sz w:val="20"/>
          <w:szCs w:val="20"/>
        </w:rPr>
        <w:t xml:space="preserve"> </w:t>
      </w:r>
      <w:r>
        <w:rPr>
          <w:rFonts w:ascii="Times New Roman" w:hAnsi="Times New Roman" w:cs="Times New Roman"/>
          <w:noProof/>
          <w:spacing w:val="129"/>
          <w:sz w:val="20"/>
          <w:szCs w:val="20"/>
        </w:rPr>
        <w:drawing>
          <wp:inline distT="0" distB="0" distL="0" distR="0">
            <wp:extent cx="1038225" cy="3619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38225" cy="361950"/>
                    </a:xfrm>
                    <a:prstGeom prst="rect">
                      <a:avLst/>
                    </a:prstGeom>
                    <a:noFill/>
                    <a:ln>
                      <a:noFill/>
                    </a:ln>
                  </pic:spPr>
                </pic:pic>
              </a:graphicData>
            </a:graphic>
          </wp:inline>
        </w:drawing>
      </w:r>
      <w:r w:rsidR="002C5025">
        <w:rPr>
          <w:rFonts w:ascii="Times New Roman" w:hAnsi="Times New Roman" w:cs="Times New Roman"/>
          <w:spacing w:val="104"/>
          <w:sz w:val="20"/>
          <w:szCs w:val="20"/>
        </w:rPr>
        <w:t xml:space="preserve"> </w:t>
      </w:r>
      <w:r>
        <w:rPr>
          <w:rFonts w:ascii="Times New Roman" w:hAnsi="Times New Roman" w:cs="Times New Roman"/>
          <w:noProof/>
          <w:spacing w:val="104"/>
          <w:position w:val="1"/>
          <w:sz w:val="20"/>
          <w:szCs w:val="20"/>
        </w:rPr>
        <w:drawing>
          <wp:inline distT="0" distB="0" distL="0" distR="0">
            <wp:extent cx="838200" cy="4000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38200" cy="400050"/>
                    </a:xfrm>
                    <a:prstGeom prst="rect">
                      <a:avLst/>
                    </a:prstGeom>
                    <a:noFill/>
                    <a:ln>
                      <a:noFill/>
                    </a:ln>
                  </pic:spPr>
                </pic:pic>
              </a:graphicData>
            </a:graphic>
          </wp:inline>
        </w:drawing>
      </w:r>
    </w:p>
    <w:p w:rsidR="002C5025" w:rsidRDefault="00FB027C">
      <w:pPr>
        <w:pStyle w:val="BodyText"/>
        <w:kinsoku w:val="0"/>
        <w:overflowPunct w:val="0"/>
        <w:spacing w:before="7"/>
        <w:rPr>
          <w:rFonts w:ascii="Times New Roman" w:hAnsi="Times New Roman" w:cs="Times New Roman"/>
          <w:sz w:val="11"/>
          <w:szCs w:val="11"/>
        </w:rPr>
      </w:pPr>
      <w:r>
        <w:rPr>
          <w:noProof/>
        </w:rPr>
        <mc:AlternateContent>
          <mc:Choice Requires="wpg">
            <w:drawing>
              <wp:anchor distT="0" distB="0" distL="0" distR="0" simplePos="0" relativeHeight="251452928" behindDoc="0" locked="0" layoutInCell="0" allowOverlap="1">
                <wp:simplePos x="0" y="0"/>
                <wp:positionH relativeFrom="page">
                  <wp:posOffset>946785</wp:posOffset>
                </wp:positionH>
                <wp:positionV relativeFrom="paragraph">
                  <wp:posOffset>109855</wp:posOffset>
                </wp:positionV>
                <wp:extent cx="5876290" cy="401955"/>
                <wp:effectExtent l="0" t="0" r="0" b="0"/>
                <wp:wrapTopAndBottom/>
                <wp:docPr id="999"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6290" cy="401955"/>
                          <a:chOff x="1491" y="173"/>
                          <a:chExt cx="9254" cy="633"/>
                        </a:xfrm>
                      </wpg:grpSpPr>
                      <pic:pic xmlns:pic="http://schemas.openxmlformats.org/drawingml/2006/picture">
                        <pic:nvPicPr>
                          <pic:cNvPr id="1000" name="Picture 2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1492" y="173"/>
                            <a:ext cx="1520" cy="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 name="Picture 2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3059" y="259"/>
                            <a:ext cx="21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2" name="Picture 2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5297" y="176"/>
                            <a:ext cx="2020" cy="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3" name="Picture 2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7386" y="288"/>
                            <a:ext cx="1560"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4" name="Picture 2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9005" y="356"/>
                            <a:ext cx="1740"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1" o:spid="_x0000_s1026" style="position:absolute;margin-left:74.55pt;margin-top:8.65pt;width:462.7pt;height:31.65pt;z-index:251452928;mso-wrap-distance-left:0;mso-wrap-distance-right:0;mso-position-horizontal-relative:page" coordorigin="1491,173" coordsize="9254,63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&#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" o:allowincell="f">
                <v:shape id="Picture 22" o:spid="_x0000_s1027" type="#_x0000_t75" style="position:absolute;left:1492;top:173;width:1520;height:6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kBNPGAAAA3QAAAA8AAABkcnMvZG93bnJldi54bWxEj09PwzAMxe9IfIfISNxYsiEQ65ZNMITE&#10;Lkx0f85W47XVGqdrwlq+/XxA4mbrPb/383w5+EZdqIt1YAvjkQFFXARXc2lht/14eAEVE7LDJjBZ&#10;+KUIy8XtzRwzF3r+pkueSiUhHDO0UKXUZlrHoiKPcRRaYtGOofOYZO1K7TrsJdw3emLMs/ZYszRU&#10;2NKqouKU/3gLpqdj+5ifn/b7r/Vu+nbY4PtKW3t/N7zOQCUa0r/57/rTCb4xwi/fyAh6cQ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96QE08YAAADdAAAADwAAAAAAAAAAAAAA&#10;AACfAgAAZHJzL2Rvd25yZXYueG1sUEsFBgAAAAAEAAQA9wAAAJIDAAAAAA==&#10;">
                  <v:imagedata r:id="rId47" o:title=""/>
                </v:shape>
                <v:shape id="Picture 23" o:spid="_x0000_s1028" type="#_x0000_t75" style="position:absolute;left:3059;top:259;width:2180;height:5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CSBuDCAAAA3QAAAA8AAABkcnMvZG93bnJldi54bWxET99rwjAQfh/4P4QT9jYTHYh0RhFFGOxh&#10;WOueb82tLTaXksTa/fdGEHy7j+/nLdeDbUVPPjSONUwnCgRx6UzDlYbiuH9bgAgR2WDrmDT8U4D1&#10;avSyxMy4Kx+oz2MlUgiHDDXUMXaZlKGsyWKYuI44cX/OW4wJ+koaj9cUbls5U2ouLTacGmrsaFtT&#10;ec4vVoOZfZ98Xvxc5od9+Y5Kfu1686v163jYfICINMSn+OH+NGm+UlO4f5NOkKsb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AkgbgwgAAAN0AAAAPAAAAAAAAAAAAAAAAAJ8C&#10;AABkcnMvZG93bnJldi54bWxQSwUGAAAAAAQABAD3AAAAjgMAAAAA&#10;">
                  <v:imagedata r:id="rId48" o:title=""/>
                </v:shape>
                <v:shape id="Picture 24" o:spid="_x0000_s1029" type="#_x0000_t75" style="position:absolute;left:5297;top:176;width:2020;height:6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d2ZnCAAAA3QAAAA8AAABkcnMvZG93bnJldi54bWxET02LwjAQvQv+hzDC3jTRw7JWo4hFETws&#10;uoteh2Zsq82kNLF2//1GELzN433OfNnZSrTU+NKxhvFIgSDOnCk51/D7sxl+gfAB2WDlmDT8kYfl&#10;ot+bY2Lcgw/UHkMuYgj7BDUUIdSJlD4ryKIfuZo4chfXWAwRNrk0DT5iuK3kRKlPabHk2FBgTeuC&#10;stvxbjV8X6ddtve7Nt3ep9ak+/R03qRafwy61QxEoC68xS/3zsT5Sk3g+U08QS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8HdmZwgAAAN0AAAAPAAAAAAAAAAAAAAAAAJ8C&#10;AABkcnMvZG93bnJldi54bWxQSwUGAAAAAAQABAD3AAAAjgMAAAAA&#10;">
                  <v:imagedata r:id="rId49" o:title=""/>
                </v:shape>
                <v:shape id="Picture 25" o:spid="_x0000_s1030" type="#_x0000_t75" style="position:absolute;left:7386;top:288;width:1560;height:5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p6a3BAAAA3QAAAA8AAABkcnMvZG93bnJldi54bWxET01LAzEQvQv+hzCCN5u0iixr09JGBfFm&#10;W+/TzTS7dDNZkrhd/70RBG/zeJ+zXE++FyPF1AXWMJ8pEMRNsB07DYf9610FImVki31g0vBNCdar&#10;66sl1jZc+IPGXXaihHCqUUOb81BLmZqWPKZZGIgLdwrRYy4wOmkjXkq47+VCqUfpsePS0OJApqXm&#10;vPvyGh6O7r36NGaft2584SqaIz4brW9vps0TiExT/hf/ud9sma/UPfx+U06Qqx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Tp6a3BAAAA3QAAAA8AAAAAAAAAAAAAAAAAnwIA&#10;AGRycy9kb3ducmV2LnhtbFBLBQYAAAAABAAEAPcAAACNAwAAAAA=&#10;">
                  <v:imagedata r:id="rId50" o:title=""/>
                </v:shape>
                <v:shape id="Picture 26" o:spid="_x0000_s1031" type="#_x0000_t75" style="position:absolute;left:9005;top:356;width:1740;height:4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EKD1zDAAAA3QAAAA8AAABkcnMvZG93bnJldi54bWxET91qwjAUvhf2DuEMdqfJRimjGkWFgXTC&#10;mPoAh+bYVpuTrsnazqdfBgPvzsf3exar0Taip87XjjU8zxQI4sKZmksNp+Pb9BWED8gGG8ek4Yc8&#10;rJYPkwVmxg38Sf0hlCKGsM9QQxVCm0npi4os+plriSN3dp3FEGFXStPhEMNtI1+USqXFmmNDhS1t&#10;Kyquh2+rIf8aNxTs7f3jUrs9pU2Sb/ud1k+P43oOItAY7uJ/987E+Uol8PdNPEEu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QoPXMMAAADdAAAADwAAAAAAAAAAAAAAAACf&#10;AgAAZHJzL2Rvd25yZXYueG1sUEsFBgAAAAAEAAQA9wAAAI8DAAAAAA==&#10;">
                  <v:imagedata r:id="rId51" o:title=""/>
                </v:shape>
                <w10:wrap type="topAndBottom" anchorx="page"/>
              </v:group>
            </w:pict>
          </mc:Fallback>
        </mc:AlternateContent>
      </w:r>
      <w:r>
        <w:rPr>
          <w:noProof/>
        </w:rPr>
        <mc:AlternateContent>
          <mc:Choice Requires="wps">
            <w:drawing>
              <wp:anchor distT="0" distB="0" distL="0" distR="0" simplePos="0" relativeHeight="251453952" behindDoc="0" locked="0" layoutInCell="0" allowOverlap="1">
                <wp:simplePos x="0" y="0"/>
                <wp:positionH relativeFrom="page">
                  <wp:posOffset>685800</wp:posOffset>
                </wp:positionH>
                <wp:positionV relativeFrom="paragraph">
                  <wp:posOffset>810260</wp:posOffset>
                </wp:positionV>
                <wp:extent cx="812800" cy="215900"/>
                <wp:effectExtent l="0" t="0" r="0" b="0"/>
                <wp:wrapTopAndBottom/>
                <wp:docPr id="998"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280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340" w:lineRule="atLeast"/>
                            </w:pPr>
                            <w:r>
                              <w:rPr>
                                <w:noProof/>
                              </w:rPr>
                              <w:drawing>
                                <wp:inline distT="0" distB="0" distL="0" distR="0">
                                  <wp:extent cx="809625" cy="2190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09625" cy="219075"/>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26" style="position:absolute;margin-left:54pt;margin-top:63.8pt;width:64pt;height:17pt;z-index:251453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" o:allowincell="f" filled="f" stroked="f">
                <v:textbox inset="0,0,0,0">
                  <w:txbxContent>
                    <w:p w:rsidR="007B2B7B" w:rsidRDefault="007B2B7B">
                      <w:pPr>
                        <w:widowControl/>
                        <w:autoSpaceDE/>
                        <w:autoSpaceDN/>
                        <w:adjustRightInd/>
                        <w:spacing w:line="340" w:lineRule="atLeast"/>
                      </w:pPr>
                      <w:r>
                        <w:rPr>
                          <w:noProof/>
                        </w:rPr>
                        <w:drawing>
                          <wp:inline distT="0" distB="0" distL="0" distR="0">
                            <wp:extent cx="809625" cy="2190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809625" cy="219075"/>
                                    </a:xfrm>
                                    <a:prstGeom prst="rect">
                                      <a:avLst/>
                                    </a:prstGeom>
                                    <a:noFill/>
                                    <a:ln>
                                      <a:noFill/>
                                    </a:ln>
                                  </pic:spPr>
                                </pic:pic>
                              </a:graphicData>
                            </a:graphic>
                          </wp:inline>
                        </w:drawing>
                      </w:r>
                    </w:p>
                    <w:p w:rsidR="007B2B7B" w:rsidRDefault="007B2B7B"/>
                  </w:txbxContent>
                </v:textbox>
                <w10:wrap type="topAndBottom" anchorx="page"/>
              </v:rect>
            </w:pict>
          </mc:Fallback>
        </mc:AlternateContent>
      </w:r>
      <w:r>
        <w:rPr>
          <w:noProof/>
        </w:rPr>
        <mc:AlternateContent>
          <mc:Choice Requires="wps">
            <w:drawing>
              <wp:anchor distT="0" distB="0" distL="0" distR="0" simplePos="0" relativeHeight="251454976" behindDoc="0" locked="0" layoutInCell="0" allowOverlap="1">
                <wp:simplePos x="0" y="0"/>
                <wp:positionH relativeFrom="page">
                  <wp:posOffset>1570990</wp:posOffset>
                </wp:positionH>
                <wp:positionV relativeFrom="paragraph">
                  <wp:posOffset>728980</wp:posOffset>
                </wp:positionV>
                <wp:extent cx="1397000" cy="304800"/>
                <wp:effectExtent l="0" t="0" r="0" b="0"/>
                <wp:wrapTopAndBottom/>
                <wp:docPr id="997"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480" w:lineRule="atLeast"/>
                            </w:pPr>
                            <w:r>
                              <w:rPr>
                                <w:noProof/>
                              </w:rPr>
                              <w:drawing>
                                <wp:inline distT="0" distB="0" distL="0" distR="0">
                                  <wp:extent cx="1400175" cy="3048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400175" cy="304800"/>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7" style="position:absolute;margin-left:123.7pt;margin-top:57.4pt;width:110pt;height:24pt;z-index:251454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" o:allowincell="f" filled="f" stroked="f">
                <v:textbox inset="0,0,0,0">
                  <w:txbxContent>
                    <w:p w:rsidR="007B2B7B" w:rsidRDefault="007B2B7B">
                      <w:pPr>
                        <w:widowControl/>
                        <w:autoSpaceDE/>
                        <w:autoSpaceDN/>
                        <w:adjustRightInd/>
                        <w:spacing w:line="480" w:lineRule="atLeast"/>
                      </w:pPr>
                      <w:r>
                        <w:rPr>
                          <w:noProof/>
                        </w:rPr>
                        <w:drawing>
                          <wp:inline distT="0" distB="0" distL="0" distR="0">
                            <wp:extent cx="1400175" cy="3048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400175" cy="304800"/>
                                    </a:xfrm>
                                    <a:prstGeom prst="rect">
                                      <a:avLst/>
                                    </a:prstGeom>
                                    <a:noFill/>
                                    <a:ln>
                                      <a:noFill/>
                                    </a:ln>
                                  </pic:spPr>
                                </pic:pic>
                              </a:graphicData>
                            </a:graphic>
                          </wp:inline>
                        </w:drawing>
                      </w:r>
                    </w:p>
                    <w:p w:rsidR="007B2B7B" w:rsidRDefault="007B2B7B"/>
                  </w:txbxContent>
                </v:textbox>
                <w10:wrap type="topAndBottom" anchorx="page"/>
              </v:rect>
            </w:pict>
          </mc:Fallback>
        </mc:AlternateContent>
      </w:r>
      <w:r>
        <w:rPr>
          <w:noProof/>
        </w:rPr>
        <mc:AlternateContent>
          <mc:Choice Requires="wps">
            <w:drawing>
              <wp:anchor distT="0" distB="0" distL="0" distR="0" simplePos="0" relativeHeight="251456000" behindDoc="0" locked="0" layoutInCell="0" allowOverlap="1">
                <wp:simplePos x="0" y="0"/>
                <wp:positionH relativeFrom="page">
                  <wp:posOffset>3051175</wp:posOffset>
                </wp:positionH>
                <wp:positionV relativeFrom="paragraph">
                  <wp:posOffset>770890</wp:posOffset>
                </wp:positionV>
                <wp:extent cx="1536700" cy="266700"/>
                <wp:effectExtent l="0" t="0" r="0" b="0"/>
                <wp:wrapTopAndBottom/>
                <wp:docPr id="996"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67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420" w:lineRule="atLeast"/>
                            </w:pPr>
                            <w:r>
                              <w:rPr>
                                <w:noProof/>
                              </w:rPr>
                              <w:drawing>
                                <wp:inline distT="0" distB="0" distL="0" distR="0">
                                  <wp:extent cx="1524000" cy="2667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0" cy="266700"/>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8" style="position:absolute;margin-left:240.25pt;margin-top:60.7pt;width:121pt;height:21pt;z-index:251456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" o:allowincell="f" filled="f" stroked="f">
                <v:textbox inset="0,0,0,0">
                  <w:txbxContent>
                    <w:p w:rsidR="007B2B7B" w:rsidRDefault="007B2B7B">
                      <w:pPr>
                        <w:widowControl/>
                        <w:autoSpaceDE/>
                        <w:autoSpaceDN/>
                        <w:adjustRightInd/>
                        <w:spacing w:line="420" w:lineRule="atLeast"/>
                      </w:pPr>
                      <w:r>
                        <w:rPr>
                          <w:noProof/>
                        </w:rPr>
                        <w:drawing>
                          <wp:inline distT="0" distB="0" distL="0" distR="0">
                            <wp:extent cx="1524000" cy="2667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524000" cy="266700"/>
                                    </a:xfrm>
                                    <a:prstGeom prst="rect">
                                      <a:avLst/>
                                    </a:prstGeom>
                                    <a:noFill/>
                                    <a:ln>
                                      <a:noFill/>
                                    </a:ln>
                                  </pic:spPr>
                                </pic:pic>
                              </a:graphicData>
                            </a:graphic>
                          </wp:inline>
                        </w:drawing>
                      </w:r>
                    </w:p>
                    <w:p w:rsidR="007B2B7B" w:rsidRDefault="007B2B7B"/>
                  </w:txbxContent>
                </v:textbox>
                <w10:wrap type="topAndBottom" anchorx="page"/>
              </v:rect>
            </w:pict>
          </mc:Fallback>
        </mc:AlternateContent>
      </w:r>
      <w:r>
        <w:rPr>
          <w:noProof/>
        </w:rPr>
        <mc:AlternateContent>
          <mc:Choice Requires="wps">
            <w:drawing>
              <wp:anchor distT="0" distB="0" distL="0" distR="0" simplePos="0" relativeHeight="251457024" behindDoc="0" locked="0" layoutInCell="0" allowOverlap="1">
                <wp:simplePos x="0" y="0"/>
                <wp:positionH relativeFrom="page">
                  <wp:posOffset>4688840</wp:posOffset>
                </wp:positionH>
                <wp:positionV relativeFrom="paragraph">
                  <wp:posOffset>635635</wp:posOffset>
                </wp:positionV>
                <wp:extent cx="736600" cy="406400"/>
                <wp:effectExtent l="0" t="0" r="0" b="0"/>
                <wp:wrapTopAndBottom/>
                <wp:docPr id="995"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0" cy="40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640" w:lineRule="atLeast"/>
                            </w:pPr>
                            <w:r>
                              <w:rPr>
                                <w:noProof/>
                              </w:rPr>
                              <w:drawing>
                                <wp:inline distT="0" distB="0" distL="0" distR="0">
                                  <wp:extent cx="733425" cy="4095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733425" cy="409575"/>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29" style="position:absolute;margin-left:369.2pt;margin-top:50.05pt;width:58pt;height:32pt;z-index:251457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" o:allowincell="f" filled="f" stroked="f">
                <v:textbox inset="0,0,0,0">
                  <w:txbxContent>
                    <w:p w:rsidR="007B2B7B" w:rsidRDefault="007B2B7B">
                      <w:pPr>
                        <w:widowControl/>
                        <w:autoSpaceDE/>
                        <w:autoSpaceDN/>
                        <w:adjustRightInd/>
                        <w:spacing w:line="640" w:lineRule="atLeast"/>
                      </w:pPr>
                      <w:r>
                        <w:rPr>
                          <w:noProof/>
                        </w:rPr>
                        <w:drawing>
                          <wp:inline distT="0" distB="0" distL="0" distR="0">
                            <wp:extent cx="733425" cy="4095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733425" cy="409575"/>
                                    </a:xfrm>
                                    <a:prstGeom prst="rect">
                                      <a:avLst/>
                                    </a:prstGeom>
                                    <a:noFill/>
                                    <a:ln>
                                      <a:noFill/>
                                    </a:ln>
                                  </pic:spPr>
                                </pic:pic>
                              </a:graphicData>
                            </a:graphic>
                          </wp:inline>
                        </w:drawing>
                      </w:r>
                    </w:p>
                    <w:p w:rsidR="007B2B7B" w:rsidRDefault="007B2B7B"/>
                  </w:txbxContent>
                </v:textbox>
                <w10:wrap type="topAndBottom" anchorx="page"/>
              </v:rect>
            </w:pict>
          </mc:Fallback>
        </mc:AlternateContent>
      </w:r>
      <w:r>
        <w:rPr>
          <w:noProof/>
        </w:rPr>
        <mc:AlternateContent>
          <mc:Choice Requires="wps">
            <w:drawing>
              <wp:anchor distT="0" distB="0" distL="0" distR="0" simplePos="0" relativeHeight="251458048" behindDoc="0" locked="0" layoutInCell="0" allowOverlap="1">
                <wp:simplePos x="0" y="0"/>
                <wp:positionH relativeFrom="page">
                  <wp:posOffset>5582920</wp:posOffset>
                </wp:positionH>
                <wp:positionV relativeFrom="paragraph">
                  <wp:posOffset>774065</wp:posOffset>
                </wp:positionV>
                <wp:extent cx="1460500" cy="266700"/>
                <wp:effectExtent l="0" t="0" r="0" b="0"/>
                <wp:wrapTopAndBottom/>
                <wp:docPr id="994"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420" w:lineRule="atLeast"/>
                            </w:pPr>
                            <w:r>
                              <w:rPr>
                                <w:noProof/>
                              </w:rPr>
                              <w:drawing>
                                <wp:inline distT="0" distB="0" distL="0" distR="0">
                                  <wp:extent cx="1438275" cy="2667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438275" cy="266700"/>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30" style="position:absolute;margin-left:439.6pt;margin-top:60.95pt;width:115pt;height:21pt;z-index:251458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" o:allowincell="f" filled="f" stroked="f">
                <v:textbox inset="0,0,0,0">
                  <w:txbxContent>
                    <w:p w:rsidR="007B2B7B" w:rsidRDefault="007B2B7B">
                      <w:pPr>
                        <w:widowControl/>
                        <w:autoSpaceDE/>
                        <w:autoSpaceDN/>
                        <w:adjustRightInd/>
                        <w:spacing w:line="420" w:lineRule="atLeast"/>
                      </w:pPr>
                      <w:r>
                        <w:rPr>
                          <w:noProof/>
                        </w:rPr>
                        <w:drawing>
                          <wp:inline distT="0" distB="0" distL="0" distR="0">
                            <wp:extent cx="1438275" cy="2667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438275" cy="266700"/>
                                    </a:xfrm>
                                    <a:prstGeom prst="rect">
                                      <a:avLst/>
                                    </a:prstGeom>
                                    <a:noFill/>
                                    <a:ln>
                                      <a:noFill/>
                                    </a:ln>
                                  </pic:spPr>
                                </pic:pic>
                              </a:graphicData>
                            </a:graphic>
                          </wp:inline>
                        </w:drawing>
                      </w:r>
                    </w:p>
                    <w:p w:rsidR="007B2B7B" w:rsidRDefault="007B2B7B"/>
                  </w:txbxContent>
                </v:textbox>
                <w10:wrap type="topAndBottom" anchorx="page"/>
              </v:rect>
            </w:pict>
          </mc:Fallback>
        </mc:AlternateContent>
      </w:r>
    </w:p>
    <w:p w:rsidR="002C5025" w:rsidRDefault="002C5025">
      <w:pPr>
        <w:pStyle w:val="BodyText"/>
        <w:kinsoku w:val="0"/>
        <w:overflowPunct w:val="0"/>
        <w:rPr>
          <w:rFonts w:ascii="Times New Roman" w:hAnsi="Times New Roman" w:cs="Times New Roman"/>
          <w:sz w:val="11"/>
          <w:szCs w:val="11"/>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4"/>
        <w:rPr>
          <w:rFonts w:ascii="Times New Roman" w:hAnsi="Times New Roman" w:cs="Times New Roman"/>
          <w:sz w:val="19"/>
          <w:szCs w:val="19"/>
        </w:rPr>
      </w:pPr>
    </w:p>
    <w:p w:rsidR="002C5025" w:rsidRDefault="002C5025">
      <w:pPr>
        <w:pStyle w:val="BodyText"/>
        <w:kinsoku w:val="0"/>
        <w:overflowPunct w:val="0"/>
        <w:spacing w:before="56"/>
        <w:ind w:left="120" w:right="200"/>
      </w:pPr>
      <w:bookmarkStart w:id="9" w:name="29_Advocacy_Organizations"/>
      <w:bookmarkEnd w:id="9"/>
      <w:r>
        <w:t>July 15, 2016</w:t>
      </w:r>
    </w:p>
    <w:p w:rsidR="002C5025" w:rsidRDefault="002C5025">
      <w:pPr>
        <w:pStyle w:val="BodyText"/>
        <w:kinsoku w:val="0"/>
        <w:overflowPunct w:val="0"/>
        <w:spacing w:before="10"/>
        <w:rPr>
          <w:sz w:val="17"/>
          <w:szCs w:val="17"/>
        </w:rPr>
      </w:pPr>
    </w:p>
    <w:p w:rsidR="002C5025" w:rsidRDefault="002C5025">
      <w:pPr>
        <w:pStyle w:val="BodyText"/>
        <w:kinsoku w:val="0"/>
        <w:overflowPunct w:val="0"/>
        <w:spacing w:before="56" w:line="268" w:lineRule="exact"/>
        <w:ind w:left="120" w:right="200"/>
      </w:pPr>
      <w:r>
        <w:t>Daniel Tsai</w:t>
      </w:r>
    </w:p>
    <w:p w:rsidR="002C5025" w:rsidRDefault="002C5025">
      <w:pPr>
        <w:pStyle w:val="BodyText"/>
        <w:kinsoku w:val="0"/>
        <w:overflowPunct w:val="0"/>
        <w:spacing w:line="264" w:lineRule="exact"/>
        <w:ind w:left="120" w:right="200"/>
      </w:pPr>
      <w:r>
        <w:t>Assistant Secretary for MassHealth</w:t>
      </w:r>
    </w:p>
    <w:p w:rsidR="002C5025" w:rsidRDefault="002C5025">
      <w:pPr>
        <w:pStyle w:val="BodyText"/>
        <w:kinsoku w:val="0"/>
        <w:overflowPunct w:val="0"/>
        <w:spacing w:before="17" w:line="216" w:lineRule="auto"/>
        <w:ind w:left="120" w:right="5908"/>
      </w:pPr>
      <w:r>
        <w:t>Executive Office of Health and Human Services One Ashburton Place, 11</w:t>
      </w:r>
      <w:proofErr w:type="spellStart"/>
      <w:r>
        <w:rPr>
          <w:position w:val="10"/>
          <w:sz w:val="14"/>
          <w:szCs w:val="14"/>
        </w:rPr>
        <w:t>th</w:t>
      </w:r>
      <w:proofErr w:type="spellEnd"/>
      <w:r>
        <w:rPr>
          <w:position w:val="10"/>
          <w:sz w:val="14"/>
          <w:szCs w:val="14"/>
        </w:rPr>
        <w:t xml:space="preserve"> </w:t>
      </w:r>
      <w:r>
        <w:t>floor</w:t>
      </w:r>
    </w:p>
    <w:p w:rsidR="002C5025" w:rsidRDefault="002C5025">
      <w:pPr>
        <w:pStyle w:val="BodyText"/>
        <w:kinsoku w:val="0"/>
        <w:overflowPunct w:val="0"/>
        <w:spacing w:before="3"/>
        <w:ind w:left="120" w:right="200"/>
      </w:pPr>
      <w:r>
        <w:t>Boston, MA 02108</w:t>
      </w:r>
    </w:p>
    <w:p w:rsidR="002C5025" w:rsidRDefault="002C5025">
      <w:pPr>
        <w:pStyle w:val="BodyText"/>
        <w:kinsoku w:val="0"/>
        <w:overflowPunct w:val="0"/>
      </w:pPr>
    </w:p>
    <w:p w:rsidR="002C5025" w:rsidRDefault="002C5025">
      <w:pPr>
        <w:pStyle w:val="BodyText"/>
        <w:kinsoku w:val="0"/>
        <w:overflowPunct w:val="0"/>
        <w:ind w:left="120" w:right="200"/>
        <w:rPr>
          <w:i/>
          <w:iCs/>
          <w:color w:val="0000FF"/>
        </w:rPr>
      </w:pPr>
      <w:r>
        <w:rPr>
          <w:i/>
          <w:iCs/>
        </w:rPr>
        <w:t xml:space="preserve">Submitted via email to </w:t>
      </w:r>
      <w:hyperlink r:id="rId62" w:history="1">
        <w:r>
          <w:rPr>
            <w:i/>
            <w:iCs/>
            <w:color w:val="0000FF"/>
            <w:u w:val="single"/>
          </w:rPr>
          <w:t>MassHealth.Innovations@state.ma.us</w:t>
        </w:r>
      </w:hyperlink>
    </w:p>
    <w:p w:rsidR="002C5025" w:rsidRDefault="002C5025">
      <w:pPr>
        <w:pStyle w:val="BodyText"/>
        <w:kinsoku w:val="0"/>
        <w:overflowPunct w:val="0"/>
        <w:spacing w:before="7"/>
        <w:rPr>
          <w:i/>
          <w:iCs/>
          <w:sz w:val="17"/>
          <w:szCs w:val="17"/>
        </w:rPr>
      </w:pPr>
    </w:p>
    <w:p w:rsidR="002C5025" w:rsidRDefault="002C5025">
      <w:pPr>
        <w:pStyle w:val="BodyText"/>
        <w:kinsoku w:val="0"/>
        <w:overflowPunct w:val="0"/>
        <w:spacing w:before="57" w:line="477" w:lineRule="auto"/>
        <w:ind w:left="119" w:right="4021"/>
      </w:pPr>
      <w:r>
        <w:t>Re: Comments on 1115 Medicaid Demonstration Extension Request Dear Assistant Secretary Tsai,</w:t>
      </w:r>
    </w:p>
    <w:p w:rsidR="002C5025" w:rsidRDefault="002C5025">
      <w:pPr>
        <w:pStyle w:val="BodyText"/>
        <w:kinsoku w:val="0"/>
        <w:overflowPunct w:val="0"/>
        <w:spacing w:before="3"/>
        <w:ind w:left="118" w:right="200"/>
        <w:rPr>
          <w:spacing w:val="-3"/>
        </w:rPr>
      </w:pPr>
      <w:r>
        <w:t xml:space="preserve">On behalf of the undersigned organizations, all dedicated to improving the health of Massachusetts residents, thank you for the opportunity to provide comments on MassHealth’s Section 1115 Demonstration Project Amendment and Extension Request. This demonstration proposal is an opportunity to restructure the delivery system to focus on improving quality of care and </w:t>
      </w:r>
      <w:r>
        <w:rPr>
          <w:spacing w:val="-2"/>
        </w:rPr>
        <w:t xml:space="preserve">promoting </w:t>
      </w:r>
      <w:r>
        <w:t xml:space="preserve">the health of MassHealth members while ensuring the sustainability of the MassHealth program. Accountable Care Organizations (ACOs) open the door to a MassHealth </w:t>
      </w:r>
      <w:r>
        <w:rPr>
          <w:spacing w:val="-3"/>
        </w:rPr>
        <w:t xml:space="preserve">system </w:t>
      </w:r>
      <w:r>
        <w:t xml:space="preserve">that treats a member as a whole person, rather than as disconnected </w:t>
      </w:r>
      <w:r>
        <w:rPr>
          <w:spacing w:val="-3"/>
        </w:rPr>
        <w:t>symptoms.</w:t>
      </w:r>
    </w:p>
    <w:p w:rsidR="002C5025" w:rsidRDefault="002C5025">
      <w:pPr>
        <w:pStyle w:val="BodyText"/>
        <w:kinsoku w:val="0"/>
        <w:overflowPunct w:val="0"/>
        <w:spacing w:before="10"/>
        <w:rPr>
          <w:sz w:val="21"/>
          <w:szCs w:val="21"/>
        </w:rPr>
      </w:pPr>
    </w:p>
    <w:p w:rsidR="002C5025" w:rsidRDefault="002C5025">
      <w:pPr>
        <w:pStyle w:val="BodyText"/>
        <w:kinsoku w:val="0"/>
        <w:overflowPunct w:val="0"/>
        <w:ind w:left="117" w:right="200"/>
      </w:pPr>
      <w:r>
        <w:t>We appreciate MassHealth’s thoughtful and open stakeholder engagement process throughout the development of this waiver proposal, and look forward to continuing to work with you to ensure that implementation of the demonstration improves access to and quality of care for MassHealth members. Implementing</w:t>
      </w:r>
      <w:r>
        <w:rPr>
          <w:spacing w:val="-11"/>
        </w:rPr>
        <w:t xml:space="preserve"> </w:t>
      </w:r>
      <w:r>
        <w:t>ACOs</w:t>
      </w:r>
      <w:r>
        <w:rPr>
          <w:spacing w:val="-10"/>
        </w:rPr>
        <w:t xml:space="preserve"> </w:t>
      </w:r>
      <w:r>
        <w:t>will</w:t>
      </w:r>
      <w:r>
        <w:rPr>
          <w:spacing w:val="-8"/>
        </w:rPr>
        <w:t xml:space="preserve"> </w:t>
      </w:r>
      <w:r>
        <w:t>be</w:t>
      </w:r>
      <w:r>
        <w:rPr>
          <w:spacing w:val="-11"/>
        </w:rPr>
        <w:t xml:space="preserve"> </w:t>
      </w:r>
      <w:r>
        <w:t>a</w:t>
      </w:r>
      <w:r>
        <w:rPr>
          <w:spacing w:val="-8"/>
        </w:rPr>
        <w:t xml:space="preserve"> </w:t>
      </w:r>
      <w:r>
        <w:t>challenging</w:t>
      </w:r>
      <w:r>
        <w:rPr>
          <w:spacing w:val="-11"/>
        </w:rPr>
        <w:t xml:space="preserve"> </w:t>
      </w:r>
      <w:r>
        <w:t>process</w:t>
      </w:r>
      <w:r>
        <w:rPr>
          <w:spacing w:val="-10"/>
        </w:rPr>
        <w:t xml:space="preserve"> </w:t>
      </w:r>
      <w:r>
        <w:t>that</w:t>
      </w:r>
      <w:r>
        <w:rPr>
          <w:spacing w:val="-13"/>
        </w:rPr>
        <w:t xml:space="preserve"> </w:t>
      </w:r>
      <w:r>
        <w:t>demands</w:t>
      </w:r>
      <w:r>
        <w:rPr>
          <w:spacing w:val="-11"/>
        </w:rPr>
        <w:t xml:space="preserve"> </w:t>
      </w:r>
      <w:r>
        <w:t>member</w:t>
      </w:r>
      <w:r>
        <w:rPr>
          <w:spacing w:val="-10"/>
        </w:rPr>
        <w:t xml:space="preserve"> </w:t>
      </w:r>
      <w:r>
        <w:t>and</w:t>
      </w:r>
      <w:r>
        <w:rPr>
          <w:spacing w:val="-11"/>
        </w:rPr>
        <w:t xml:space="preserve"> </w:t>
      </w:r>
      <w:r>
        <w:t>stakeholder</w:t>
      </w:r>
      <w:r>
        <w:rPr>
          <w:spacing w:val="-10"/>
        </w:rPr>
        <w:t xml:space="preserve"> </w:t>
      </w:r>
      <w:r>
        <w:t>involvement,</w:t>
      </w:r>
      <w:r>
        <w:rPr>
          <w:spacing w:val="-10"/>
        </w:rPr>
        <w:t xml:space="preserve"> </w:t>
      </w:r>
      <w:r>
        <w:t>clear consumer</w:t>
      </w:r>
      <w:r>
        <w:rPr>
          <w:spacing w:val="-14"/>
        </w:rPr>
        <w:t xml:space="preserve"> </w:t>
      </w:r>
      <w:r>
        <w:t>protections,</w:t>
      </w:r>
      <w:r>
        <w:rPr>
          <w:spacing w:val="-12"/>
        </w:rPr>
        <w:t xml:space="preserve"> </w:t>
      </w:r>
      <w:r>
        <w:t>and</w:t>
      </w:r>
      <w:r>
        <w:rPr>
          <w:spacing w:val="-18"/>
        </w:rPr>
        <w:t xml:space="preserve"> </w:t>
      </w:r>
      <w:r>
        <w:t>robust</w:t>
      </w:r>
      <w:r>
        <w:rPr>
          <w:spacing w:val="-15"/>
        </w:rPr>
        <w:t xml:space="preserve"> </w:t>
      </w:r>
      <w:r>
        <w:t>oversight.</w:t>
      </w:r>
    </w:p>
    <w:p w:rsidR="002C5025" w:rsidRDefault="002C5025">
      <w:pPr>
        <w:pStyle w:val="BodyText"/>
        <w:kinsoku w:val="0"/>
        <w:overflowPunct w:val="0"/>
      </w:pPr>
    </w:p>
    <w:p w:rsidR="002C5025" w:rsidRDefault="002C5025">
      <w:pPr>
        <w:pStyle w:val="BodyText"/>
        <w:kinsoku w:val="0"/>
        <w:overflowPunct w:val="0"/>
        <w:ind w:left="117" w:right="200"/>
      </w:pPr>
      <w:r>
        <w:t>We</w:t>
      </w:r>
      <w:r>
        <w:rPr>
          <w:spacing w:val="-3"/>
        </w:rPr>
        <w:t xml:space="preserve"> have </w:t>
      </w:r>
      <w:r>
        <w:t xml:space="preserve">included below comments on </w:t>
      </w:r>
      <w:r>
        <w:rPr>
          <w:spacing w:val="-3"/>
        </w:rPr>
        <w:t xml:space="preserve">specific </w:t>
      </w:r>
      <w:r>
        <w:t>aspects of the waiver proposal. Many of the undersigned organizations have already or plan to also submit written comments for your consideration.</w:t>
      </w:r>
    </w:p>
    <w:p w:rsidR="002C5025" w:rsidRDefault="002C5025">
      <w:pPr>
        <w:pStyle w:val="BodyText"/>
        <w:kinsoku w:val="0"/>
        <w:overflowPunct w:val="0"/>
        <w:ind w:left="117" w:right="200"/>
        <w:sectPr w:rsidR="002C5025">
          <w:pgSz w:w="12240" w:h="15840"/>
          <w:pgMar w:top="1080" w:right="1060" w:bottom="280" w:left="960" w:header="720" w:footer="720" w:gutter="0"/>
          <w:cols w:space="720" w:equalWidth="0">
            <w:col w:w="10220"/>
          </w:cols>
          <w:noEndnote/>
        </w:sectPr>
      </w:pPr>
    </w:p>
    <w:p w:rsidR="002C5025" w:rsidRDefault="002C5025">
      <w:pPr>
        <w:pStyle w:val="BodyText"/>
        <w:kinsoku w:val="0"/>
        <w:overflowPunct w:val="0"/>
        <w:spacing w:before="34"/>
        <w:ind w:left="120" w:right="63"/>
        <w:rPr>
          <w:b/>
          <w:bCs/>
        </w:rPr>
      </w:pPr>
      <w:bookmarkStart w:id="10" w:name="Benefits_and_Cost-Sharing"/>
      <w:bookmarkEnd w:id="10"/>
      <w:r>
        <w:rPr>
          <w:b/>
          <w:bCs/>
          <w:u w:val="single" w:color="000000"/>
        </w:rPr>
        <w:lastRenderedPageBreak/>
        <w:t>Benefits and Cost-Sharing</w:t>
      </w:r>
    </w:p>
    <w:p w:rsidR="002C5025" w:rsidRDefault="002C5025">
      <w:pPr>
        <w:pStyle w:val="BodyText"/>
        <w:kinsoku w:val="0"/>
        <w:overflowPunct w:val="0"/>
        <w:ind w:left="119" w:right="63"/>
      </w:pPr>
      <w:r>
        <w:t xml:space="preserve">In order to make the ACO options appealing, members need an understandable, unbiased explanation of </w:t>
      </w:r>
      <w:r>
        <w:rPr>
          <w:spacing w:val="-3"/>
        </w:rPr>
        <w:t xml:space="preserve">the </w:t>
      </w:r>
      <w:r>
        <w:t xml:space="preserve">advantages and risks of the available models, and should have </w:t>
      </w:r>
      <w:r>
        <w:rPr>
          <w:spacing w:val="-2"/>
        </w:rPr>
        <w:t xml:space="preserve">the </w:t>
      </w:r>
      <w:r>
        <w:t xml:space="preserve">opportunity to make their own choices </w:t>
      </w:r>
      <w:r>
        <w:rPr>
          <w:spacing w:val="-3"/>
        </w:rPr>
        <w:t xml:space="preserve">about </w:t>
      </w:r>
      <w:r>
        <w:t>what is best for them and their health.</w:t>
      </w:r>
    </w:p>
    <w:p w:rsidR="002C5025" w:rsidRDefault="002C5025">
      <w:pPr>
        <w:pStyle w:val="BodyText"/>
        <w:kinsoku w:val="0"/>
        <w:overflowPunct w:val="0"/>
        <w:spacing w:before="10"/>
        <w:rPr>
          <w:sz w:val="21"/>
          <w:szCs w:val="21"/>
        </w:rPr>
      </w:pPr>
    </w:p>
    <w:p w:rsidR="002C5025" w:rsidRDefault="002C5025">
      <w:pPr>
        <w:pStyle w:val="BodyText"/>
        <w:kinsoku w:val="0"/>
        <w:overflowPunct w:val="0"/>
        <w:ind w:left="120" w:right="63"/>
      </w:pPr>
      <w:r>
        <w:t>We support proposals intended to increase access to services for MassHealth members, including:</w:t>
      </w:r>
    </w:p>
    <w:p w:rsidR="002C5025" w:rsidRDefault="002C5025">
      <w:pPr>
        <w:pStyle w:val="ListParagraph"/>
        <w:numPr>
          <w:ilvl w:val="0"/>
          <w:numId w:val="96"/>
        </w:numPr>
        <w:tabs>
          <w:tab w:val="left" w:pos="840"/>
        </w:tabs>
        <w:kinsoku w:val="0"/>
        <w:overflowPunct w:val="0"/>
        <w:ind w:hanging="360"/>
        <w:rPr>
          <w:rFonts w:ascii="Calibri" w:hAnsi="Calibri" w:cs="Calibri"/>
          <w:spacing w:val="-3"/>
          <w:sz w:val="22"/>
          <w:szCs w:val="22"/>
        </w:rPr>
      </w:pPr>
      <w:r>
        <w:rPr>
          <w:rFonts w:ascii="Calibri" w:hAnsi="Calibri" w:cs="Calibri"/>
          <w:sz w:val="22"/>
          <w:szCs w:val="22"/>
        </w:rPr>
        <w:t>Eliminating</w:t>
      </w:r>
      <w:r>
        <w:rPr>
          <w:rFonts w:ascii="Calibri" w:hAnsi="Calibri" w:cs="Calibri"/>
          <w:spacing w:val="-10"/>
          <w:sz w:val="22"/>
          <w:szCs w:val="22"/>
        </w:rPr>
        <w:t xml:space="preserve"> </w:t>
      </w:r>
      <w:r>
        <w:rPr>
          <w:rFonts w:ascii="Calibri" w:hAnsi="Calibri" w:cs="Calibri"/>
          <w:sz w:val="22"/>
          <w:szCs w:val="22"/>
        </w:rPr>
        <w:t>copays</w:t>
      </w:r>
      <w:r>
        <w:rPr>
          <w:rFonts w:ascii="Calibri" w:hAnsi="Calibri" w:cs="Calibri"/>
          <w:spacing w:val="-7"/>
          <w:sz w:val="22"/>
          <w:szCs w:val="22"/>
        </w:rPr>
        <w:t xml:space="preserve"> </w:t>
      </w:r>
      <w:r>
        <w:rPr>
          <w:rFonts w:ascii="Calibri" w:hAnsi="Calibri" w:cs="Calibri"/>
          <w:sz w:val="22"/>
          <w:szCs w:val="22"/>
        </w:rPr>
        <w:t>for</w:t>
      </w:r>
      <w:r>
        <w:rPr>
          <w:rFonts w:ascii="Calibri" w:hAnsi="Calibri" w:cs="Calibri"/>
          <w:spacing w:val="-10"/>
          <w:sz w:val="22"/>
          <w:szCs w:val="22"/>
        </w:rPr>
        <w:t xml:space="preserve"> </w:t>
      </w:r>
      <w:r>
        <w:rPr>
          <w:rFonts w:ascii="Calibri" w:hAnsi="Calibri" w:cs="Calibri"/>
          <w:sz w:val="22"/>
          <w:szCs w:val="22"/>
        </w:rPr>
        <w:t>MassHealth</w:t>
      </w:r>
      <w:r>
        <w:rPr>
          <w:rFonts w:ascii="Calibri" w:hAnsi="Calibri" w:cs="Calibri"/>
          <w:spacing w:val="-10"/>
          <w:sz w:val="22"/>
          <w:szCs w:val="22"/>
        </w:rPr>
        <w:t xml:space="preserve"> </w:t>
      </w:r>
      <w:r>
        <w:rPr>
          <w:rFonts w:ascii="Calibri" w:hAnsi="Calibri" w:cs="Calibri"/>
          <w:sz w:val="22"/>
          <w:szCs w:val="22"/>
        </w:rPr>
        <w:t>members</w:t>
      </w:r>
      <w:r>
        <w:rPr>
          <w:rFonts w:ascii="Calibri" w:hAnsi="Calibri" w:cs="Calibri"/>
          <w:spacing w:val="-9"/>
          <w:sz w:val="22"/>
          <w:szCs w:val="22"/>
        </w:rPr>
        <w:t xml:space="preserve"> </w:t>
      </w:r>
      <w:r>
        <w:rPr>
          <w:rFonts w:ascii="Calibri" w:hAnsi="Calibri" w:cs="Calibri"/>
          <w:sz w:val="22"/>
          <w:szCs w:val="22"/>
        </w:rPr>
        <w:t>with</w:t>
      </w:r>
      <w:r>
        <w:rPr>
          <w:rFonts w:ascii="Calibri" w:hAnsi="Calibri" w:cs="Calibri"/>
          <w:spacing w:val="-8"/>
          <w:sz w:val="22"/>
          <w:szCs w:val="22"/>
        </w:rPr>
        <w:t xml:space="preserve"> </w:t>
      </w:r>
      <w:r>
        <w:rPr>
          <w:rFonts w:ascii="Calibri" w:hAnsi="Calibri" w:cs="Calibri"/>
          <w:sz w:val="22"/>
          <w:szCs w:val="22"/>
        </w:rPr>
        <w:t>income</w:t>
      </w:r>
      <w:r>
        <w:rPr>
          <w:rFonts w:ascii="Calibri" w:hAnsi="Calibri" w:cs="Calibri"/>
          <w:spacing w:val="-7"/>
          <w:sz w:val="22"/>
          <w:szCs w:val="22"/>
        </w:rPr>
        <w:t xml:space="preserve"> </w:t>
      </w:r>
      <w:r>
        <w:rPr>
          <w:rFonts w:ascii="Calibri" w:hAnsi="Calibri" w:cs="Calibri"/>
          <w:sz w:val="22"/>
          <w:szCs w:val="22"/>
        </w:rPr>
        <w:t>at</w:t>
      </w:r>
      <w:r>
        <w:rPr>
          <w:rFonts w:ascii="Calibri" w:hAnsi="Calibri" w:cs="Calibri"/>
          <w:spacing w:val="-9"/>
          <w:sz w:val="22"/>
          <w:szCs w:val="22"/>
        </w:rPr>
        <w:t xml:space="preserve"> </w:t>
      </w:r>
      <w:r>
        <w:rPr>
          <w:rFonts w:ascii="Calibri" w:hAnsi="Calibri" w:cs="Calibri"/>
          <w:sz w:val="22"/>
          <w:szCs w:val="22"/>
        </w:rPr>
        <w:t>or</w:t>
      </w:r>
      <w:r>
        <w:rPr>
          <w:rFonts w:ascii="Calibri" w:hAnsi="Calibri" w:cs="Calibri"/>
          <w:spacing w:val="-7"/>
          <w:sz w:val="22"/>
          <w:szCs w:val="22"/>
        </w:rPr>
        <w:t xml:space="preserve"> </w:t>
      </w:r>
      <w:r>
        <w:rPr>
          <w:rFonts w:ascii="Calibri" w:hAnsi="Calibri" w:cs="Calibri"/>
          <w:sz w:val="22"/>
          <w:szCs w:val="22"/>
        </w:rPr>
        <w:t>below</w:t>
      </w:r>
      <w:r>
        <w:rPr>
          <w:rFonts w:ascii="Calibri" w:hAnsi="Calibri" w:cs="Calibri"/>
          <w:spacing w:val="-9"/>
          <w:sz w:val="22"/>
          <w:szCs w:val="22"/>
        </w:rPr>
        <w:t xml:space="preserve"> </w:t>
      </w:r>
      <w:r>
        <w:rPr>
          <w:rFonts w:ascii="Calibri" w:hAnsi="Calibri" w:cs="Calibri"/>
          <w:sz w:val="22"/>
          <w:szCs w:val="22"/>
        </w:rPr>
        <w:t>50%</w:t>
      </w:r>
      <w:r>
        <w:rPr>
          <w:rFonts w:ascii="Calibri" w:hAnsi="Calibri" w:cs="Calibri"/>
          <w:spacing w:val="-1"/>
          <w:sz w:val="22"/>
          <w:szCs w:val="22"/>
        </w:rPr>
        <w:t xml:space="preserve"> </w:t>
      </w:r>
      <w:r>
        <w:rPr>
          <w:rFonts w:ascii="Calibri" w:hAnsi="Calibri" w:cs="Calibri"/>
          <w:spacing w:val="-3"/>
          <w:sz w:val="22"/>
          <w:szCs w:val="22"/>
        </w:rPr>
        <w:t>FPL;</w:t>
      </w:r>
    </w:p>
    <w:p w:rsidR="002C5025" w:rsidRDefault="002C5025">
      <w:pPr>
        <w:pStyle w:val="ListParagraph"/>
        <w:numPr>
          <w:ilvl w:val="0"/>
          <w:numId w:val="96"/>
        </w:numPr>
        <w:tabs>
          <w:tab w:val="left" w:pos="840"/>
        </w:tabs>
        <w:kinsoku w:val="0"/>
        <w:overflowPunct w:val="0"/>
        <w:ind w:hanging="360"/>
        <w:rPr>
          <w:rFonts w:ascii="Calibri" w:hAnsi="Calibri" w:cs="Calibri"/>
          <w:sz w:val="22"/>
          <w:szCs w:val="22"/>
        </w:rPr>
      </w:pPr>
      <w:r>
        <w:rPr>
          <w:rFonts w:ascii="Calibri" w:hAnsi="Calibri" w:cs="Calibri"/>
          <w:sz w:val="22"/>
          <w:szCs w:val="22"/>
        </w:rPr>
        <w:t>Assuring</w:t>
      </w:r>
      <w:r>
        <w:rPr>
          <w:rFonts w:ascii="Calibri" w:hAnsi="Calibri" w:cs="Calibri"/>
          <w:spacing w:val="-11"/>
          <w:sz w:val="22"/>
          <w:szCs w:val="22"/>
        </w:rPr>
        <w:t xml:space="preserve"> </w:t>
      </w:r>
      <w:r>
        <w:rPr>
          <w:rFonts w:ascii="Calibri" w:hAnsi="Calibri" w:cs="Calibri"/>
          <w:sz w:val="22"/>
          <w:szCs w:val="22"/>
        </w:rPr>
        <w:t>the</w:t>
      </w:r>
      <w:r>
        <w:rPr>
          <w:rFonts w:ascii="Calibri" w:hAnsi="Calibri" w:cs="Calibri"/>
          <w:spacing w:val="-5"/>
          <w:sz w:val="22"/>
          <w:szCs w:val="22"/>
        </w:rPr>
        <w:t xml:space="preserve"> </w:t>
      </w:r>
      <w:r>
        <w:rPr>
          <w:rFonts w:ascii="Calibri" w:hAnsi="Calibri" w:cs="Calibri"/>
          <w:sz w:val="22"/>
          <w:szCs w:val="22"/>
        </w:rPr>
        <w:t>sustainability</w:t>
      </w:r>
      <w:r>
        <w:rPr>
          <w:rFonts w:ascii="Calibri" w:hAnsi="Calibri" w:cs="Calibri"/>
          <w:spacing w:val="-9"/>
          <w:sz w:val="22"/>
          <w:szCs w:val="22"/>
        </w:rPr>
        <w:t xml:space="preserve"> </w:t>
      </w:r>
      <w:r>
        <w:rPr>
          <w:rFonts w:ascii="Calibri" w:hAnsi="Calibri" w:cs="Calibri"/>
          <w:sz w:val="22"/>
          <w:szCs w:val="22"/>
        </w:rPr>
        <w:t>of</w:t>
      </w:r>
      <w:r>
        <w:rPr>
          <w:rFonts w:ascii="Calibri" w:hAnsi="Calibri" w:cs="Calibri"/>
          <w:spacing w:val="-8"/>
          <w:sz w:val="22"/>
          <w:szCs w:val="22"/>
        </w:rPr>
        <w:t xml:space="preserve"> </w:t>
      </w:r>
      <w:r>
        <w:rPr>
          <w:rFonts w:ascii="Calibri" w:hAnsi="Calibri" w:cs="Calibri"/>
          <w:sz w:val="22"/>
          <w:szCs w:val="22"/>
        </w:rPr>
        <w:t>the</w:t>
      </w:r>
      <w:r>
        <w:rPr>
          <w:rFonts w:ascii="Calibri" w:hAnsi="Calibri" w:cs="Calibri"/>
          <w:spacing w:val="-8"/>
          <w:sz w:val="22"/>
          <w:szCs w:val="22"/>
        </w:rPr>
        <w:t xml:space="preserve"> </w:t>
      </w:r>
      <w:r>
        <w:rPr>
          <w:rFonts w:ascii="Calibri" w:hAnsi="Calibri" w:cs="Calibri"/>
          <w:sz w:val="22"/>
          <w:szCs w:val="22"/>
        </w:rPr>
        <w:t>CommonHealth</w:t>
      </w:r>
      <w:r>
        <w:rPr>
          <w:rFonts w:ascii="Calibri" w:hAnsi="Calibri" w:cs="Calibri"/>
          <w:spacing w:val="-9"/>
          <w:sz w:val="22"/>
          <w:szCs w:val="22"/>
        </w:rPr>
        <w:t xml:space="preserve"> </w:t>
      </w:r>
      <w:r>
        <w:rPr>
          <w:rFonts w:ascii="Calibri" w:hAnsi="Calibri" w:cs="Calibri"/>
          <w:spacing w:val="-3"/>
          <w:sz w:val="22"/>
          <w:szCs w:val="22"/>
        </w:rPr>
        <w:t>program</w:t>
      </w:r>
      <w:r>
        <w:rPr>
          <w:rFonts w:ascii="Calibri" w:hAnsi="Calibri" w:cs="Calibri"/>
          <w:spacing w:val="-7"/>
          <w:sz w:val="22"/>
          <w:szCs w:val="22"/>
        </w:rPr>
        <w:t xml:space="preserve"> </w:t>
      </w:r>
      <w:r>
        <w:rPr>
          <w:rFonts w:ascii="Calibri" w:hAnsi="Calibri" w:cs="Calibri"/>
          <w:sz w:val="22"/>
          <w:szCs w:val="22"/>
        </w:rPr>
        <w:t>for</w:t>
      </w:r>
      <w:r>
        <w:rPr>
          <w:rFonts w:ascii="Calibri" w:hAnsi="Calibri" w:cs="Calibri"/>
          <w:spacing w:val="-11"/>
          <w:sz w:val="22"/>
          <w:szCs w:val="22"/>
        </w:rPr>
        <w:t xml:space="preserve"> </w:t>
      </w:r>
      <w:r>
        <w:rPr>
          <w:rFonts w:ascii="Calibri" w:hAnsi="Calibri" w:cs="Calibri"/>
          <w:sz w:val="22"/>
          <w:szCs w:val="22"/>
        </w:rPr>
        <w:t>working</w:t>
      </w:r>
      <w:r>
        <w:rPr>
          <w:rFonts w:ascii="Calibri" w:hAnsi="Calibri" w:cs="Calibri"/>
          <w:spacing w:val="-9"/>
          <w:sz w:val="22"/>
          <w:szCs w:val="22"/>
        </w:rPr>
        <w:t xml:space="preserve"> </w:t>
      </w:r>
      <w:r>
        <w:rPr>
          <w:rFonts w:ascii="Calibri" w:hAnsi="Calibri" w:cs="Calibri"/>
          <w:sz w:val="22"/>
          <w:szCs w:val="22"/>
        </w:rPr>
        <w:t>disabled</w:t>
      </w:r>
      <w:r>
        <w:rPr>
          <w:rFonts w:ascii="Calibri" w:hAnsi="Calibri" w:cs="Calibri"/>
          <w:spacing w:val="-9"/>
          <w:sz w:val="22"/>
          <w:szCs w:val="22"/>
        </w:rPr>
        <w:t xml:space="preserve"> </w:t>
      </w:r>
      <w:r>
        <w:rPr>
          <w:rFonts w:ascii="Calibri" w:hAnsi="Calibri" w:cs="Calibri"/>
          <w:sz w:val="22"/>
          <w:szCs w:val="22"/>
        </w:rPr>
        <w:t>adults</w:t>
      </w:r>
      <w:r>
        <w:rPr>
          <w:rFonts w:ascii="Calibri" w:hAnsi="Calibri" w:cs="Calibri"/>
          <w:spacing w:val="-8"/>
          <w:sz w:val="22"/>
          <w:szCs w:val="22"/>
        </w:rPr>
        <w:t xml:space="preserve"> </w:t>
      </w:r>
      <w:r>
        <w:rPr>
          <w:rFonts w:ascii="Calibri" w:hAnsi="Calibri" w:cs="Calibri"/>
          <w:sz w:val="22"/>
          <w:szCs w:val="22"/>
        </w:rPr>
        <w:t>age</w:t>
      </w:r>
      <w:r>
        <w:rPr>
          <w:rFonts w:ascii="Calibri" w:hAnsi="Calibri" w:cs="Calibri"/>
          <w:spacing w:val="-7"/>
          <w:sz w:val="22"/>
          <w:szCs w:val="22"/>
        </w:rPr>
        <w:t xml:space="preserve"> </w:t>
      </w:r>
      <w:r>
        <w:rPr>
          <w:rFonts w:ascii="Calibri" w:hAnsi="Calibri" w:cs="Calibri"/>
          <w:sz w:val="22"/>
          <w:szCs w:val="22"/>
        </w:rPr>
        <w:t>65</w:t>
      </w:r>
      <w:r>
        <w:rPr>
          <w:rFonts w:ascii="Calibri" w:hAnsi="Calibri" w:cs="Calibri"/>
          <w:spacing w:val="-7"/>
          <w:sz w:val="22"/>
          <w:szCs w:val="22"/>
        </w:rPr>
        <w:t xml:space="preserve"> </w:t>
      </w:r>
      <w:r>
        <w:rPr>
          <w:rFonts w:ascii="Calibri" w:hAnsi="Calibri" w:cs="Calibri"/>
          <w:sz w:val="22"/>
          <w:szCs w:val="22"/>
        </w:rPr>
        <w:t>and</w:t>
      </w:r>
      <w:r>
        <w:rPr>
          <w:rFonts w:ascii="Calibri" w:hAnsi="Calibri" w:cs="Calibri"/>
          <w:spacing w:val="-11"/>
          <w:sz w:val="22"/>
          <w:szCs w:val="22"/>
        </w:rPr>
        <w:t xml:space="preserve"> </w:t>
      </w:r>
      <w:r>
        <w:rPr>
          <w:rFonts w:ascii="Calibri" w:hAnsi="Calibri" w:cs="Calibri"/>
          <w:sz w:val="22"/>
          <w:szCs w:val="22"/>
        </w:rPr>
        <w:t>older;</w:t>
      </w:r>
    </w:p>
    <w:p w:rsidR="002C5025" w:rsidRDefault="002C5025">
      <w:pPr>
        <w:pStyle w:val="ListParagraph"/>
        <w:numPr>
          <w:ilvl w:val="0"/>
          <w:numId w:val="96"/>
        </w:numPr>
        <w:tabs>
          <w:tab w:val="left" w:pos="840"/>
        </w:tabs>
        <w:kinsoku w:val="0"/>
        <w:overflowPunct w:val="0"/>
        <w:ind w:right="200" w:hanging="360"/>
        <w:rPr>
          <w:rFonts w:ascii="Calibri" w:hAnsi="Calibri" w:cs="Calibri"/>
          <w:spacing w:val="-3"/>
          <w:sz w:val="22"/>
          <w:szCs w:val="22"/>
        </w:rPr>
      </w:pPr>
      <w:r>
        <w:rPr>
          <w:rFonts w:ascii="Calibri" w:hAnsi="Calibri" w:cs="Calibri"/>
          <w:sz w:val="22"/>
          <w:szCs w:val="22"/>
        </w:rPr>
        <w:t>Providing</w:t>
      </w:r>
      <w:r>
        <w:rPr>
          <w:rFonts w:ascii="Calibri" w:hAnsi="Calibri" w:cs="Calibri"/>
          <w:spacing w:val="-11"/>
          <w:sz w:val="22"/>
          <w:szCs w:val="22"/>
        </w:rPr>
        <w:t xml:space="preserve"> </w:t>
      </w:r>
      <w:r>
        <w:rPr>
          <w:rFonts w:ascii="Calibri" w:hAnsi="Calibri" w:cs="Calibri"/>
          <w:sz w:val="22"/>
          <w:szCs w:val="22"/>
        </w:rPr>
        <w:t>continuous</w:t>
      </w:r>
      <w:r>
        <w:rPr>
          <w:rFonts w:ascii="Calibri" w:hAnsi="Calibri" w:cs="Calibri"/>
          <w:spacing w:val="-13"/>
          <w:sz w:val="22"/>
          <w:szCs w:val="22"/>
        </w:rPr>
        <w:t xml:space="preserve"> </w:t>
      </w:r>
      <w:r>
        <w:rPr>
          <w:rFonts w:ascii="Calibri" w:hAnsi="Calibri" w:cs="Calibri"/>
          <w:sz w:val="22"/>
          <w:szCs w:val="22"/>
        </w:rPr>
        <w:t>eligibility</w:t>
      </w:r>
      <w:r>
        <w:rPr>
          <w:rFonts w:ascii="Calibri" w:hAnsi="Calibri" w:cs="Calibri"/>
          <w:spacing w:val="-9"/>
          <w:sz w:val="22"/>
          <w:szCs w:val="22"/>
        </w:rPr>
        <w:t xml:space="preserve"> </w:t>
      </w:r>
      <w:r>
        <w:rPr>
          <w:rFonts w:ascii="Calibri" w:hAnsi="Calibri" w:cs="Calibri"/>
          <w:sz w:val="22"/>
          <w:szCs w:val="22"/>
        </w:rPr>
        <w:t>through</w:t>
      </w:r>
      <w:r>
        <w:rPr>
          <w:rFonts w:ascii="Calibri" w:hAnsi="Calibri" w:cs="Calibri"/>
          <w:spacing w:val="-11"/>
          <w:sz w:val="22"/>
          <w:szCs w:val="22"/>
        </w:rPr>
        <w:t xml:space="preserve"> </w:t>
      </w:r>
      <w:r>
        <w:rPr>
          <w:rFonts w:ascii="Calibri" w:hAnsi="Calibri" w:cs="Calibri"/>
          <w:sz w:val="22"/>
          <w:szCs w:val="22"/>
        </w:rPr>
        <w:t>the</w:t>
      </w:r>
      <w:r>
        <w:rPr>
          <w:rFonts w:ascii="Calibri" w:hAnsi="Calibri" w:cs="Calibri"/>
          <w:spacing w:val="-10"/>
          <w:sz w:val="22"/>
          <w:szCs w:val="22"/>
        </w:rPr>
        <w:t xml:space="preserve"> </w:t>
      </w:r>
      <w:r>
        <w:rPr>
          <w:rFonts w:ascii="Calibri" w:hAnsi="Calibri" w:cs="Calibri"/>
          <w:sz w:val="22"/>
          <w:szCs w:val="22"/>
        </w:rPr>
        <w:t>duration</w:t>
      </w:r>
      <w:r>
        <w:rPr>
          <w:rFonts w:ascii="Calibri" w:hAnsi="Calibri" w:cs="Calibri"/>
          <w:spacing w:val="-13"/>
          <w:sz w:val="22"/>
          <w:szCs w:val="22"/>
        </w:rPr>
        <w:t xml:space="preserve"> </w:t>
      </w:r>
      <w:r>
        <w:rPr>
          <w:rFonts w:ascii="Calibri" w:hAnsi="Calibri" w:cs="Calibri"/>
          <w:sz w:val="22"/>
          <w:szCs w:val="22"/>
        </w:rPr>
        <w:t>of</w:t>
      </w:r>
      <w:r>
        <w:rPr>
          <w:rFonts w:ascii="Calibri" w:hAnsi="Calibri" w:cs="Calibri"/>
          <w:spacing w:val="-10"/>
          <w:sz w:val="22"/>
          <w:szCs w:val="22"/>
        </w:rPr>
        <w:t xml:space="preserve"> </w:t>
      </w:r>
      <w:r>
        <w:rPr>
          <w:rFonts w:ascii="Calibri" w:hAnsi="Calibri" w:cs="Calibri"/>
          <w:sz w:val="22"/>
          <w:szCs w:val="22"/>
        </w:rPr>
        <w:t>the</w:t>
      </w:r>
      <w:r>
        <w:rPr>
          <w:rFonts w:ascii="Calibri" w:hAnsi="Calibri" w:cs="Calibri"/>
          <w:spacing w:val="-10"/>
          <w:sz w:val="22"/>
          <w:szCs w:val="22"/>
        </w:rPr>
        <w:t xml:space="preserve"> </w:t>
      </w:r>
      <w:r>
        <w:rPr>
          <w:rFonts w:ascii="Calibri" w:hAnsi="Calibri" w:cs="Calibri"/>
          <w:sz w:val="22"/>
          <w:szCs w:val="22"/>
        </w:rPr>
        <w:t>Student</w:t>
      </w:r>
      <w:r>
        <w:rPr>
          <w:rFonts w:ascii="Calibri" w:hAnsi="Calibri" w:cs="Calibri"/>
          <w:spacing w:val="-10"/>
          <w:sz w:val="22"/>
          <w:szCs w:val="22"/>
        </w:rPr>
        <w:t xml:space="preserve"> </w:t>
      </w:r>
      <w:r>
        <w:rPr>
          <w:rFonts w:ascii="Calibri" w:hAnsi="Calibri" w:cs="Calibri"/>
          <w:sz w:val="22"/>
          <w:szCs w:val="22"/>
        </w:rPr>
        <w:t>Health</w:t>
      </w:r>
      <w:r>
        <w:rPr>
          <w:rFonts w:ascii="Calibri" w:hAnsi="Calibri" w:cs="Calibri"/>
          <w:spacing w:val="-11"/>
          <w:sz w:val="22"/>
          <w:szCs w:val="22"/>
        </w:rPr>
        <w:t xml:space="preserve"> </w:t>
      </w:r>
      <w:r>
        <w:rPr>
          <w:rFonts w:ascii="Calibri" w:hAnsi="Calibri" w:cs="Calibri"/>
          <w:sz w:val="22"/>
          <w:szCs w:val="22"/>
        </w:rPr>
        <w:t>Insurance</w:t>
      </w:r>
      <w:r>
        <w:rPr>
          <w:rFonts w:ascii="Calibri" w:hAnsi="Calibri" w:cs="Calibri"/>
          <w:spacing w:val="-10"/>
          <w:sz w:val="22"/>
          <w:szCs w:val="22"/>
        </w:rPr>
        <w:t xml:space="preserve"> </w:t>
      </w:r>
      <w:r>
        <w:rPr>
          <w:rFonts w:ascii="Calibri" w:hAnsi="Calibri" w:cs="Calibri"/>
          <w:sz w:val="22"/>
          <w:szCs w:val="22"/>
        </w:rPr>
        <w:t>Plan</w:t>
      </w:r>
      <w:r>
        <w:rPr>
          <w:rFonts w:ascii="Calibri" w:hAnsi="Calibri" w:cs="Calibri"/>
          <w:spacing w:val="-13"/>
          <w:sz w:val="22"/>
          <w:szCs w:val="22"/>
        </w:rPr>
        <w:t xml:space="preserve"> </w:t>
      </w:r>
      <w:r>
        <w:rPr>
          <w:rFonts w:ascii="Calibri" w:hAnsi="Calibri" w:cs="Calibri"/>
          <w:sz w:val="22"/>
          <w:szCs w:val="22"/>
        </w:rPr>
        <w:t>(SHIP)</w:t>
      </w:r>
      <w:r>
        <w:rPr>
          <w:rFonts w:ascii="Calibri" w:hAnsi="Calibri" w:cs="Calibri"/>
          <w:spacing w:val="-10"/>
          <w:sz w:val="22"/>
          <w:szCs w:val="22"/>
        </w:rPr>
        <w:t xml:space="preserve"> </w:t>
      </w:r>
      <w:r>
        <w:rPr>
          <w:rFonts w:ascii="Calibri" w:hAnsi="Calibri" w:cs="Calibri"/>
          <w:sz w:val="22"/>
          <w:szCs w:val="22"/>
        </w:rPr>
        <w:t>period for</w:t>
      </w:r>
      <w:r>
        <w:rPr>
          <w:rFonts w:ascii="Calibri" w:hAnsi="Calibri" w:cs="Calibri"/>
          <w:spacing w:val="-10"/>
          <w:sz w:val="22"/>
          <w:szCs w:val="22"/>
        </w:rPr>
        <w:t xml:space="preserve"> </w:t>
      </w:r>
      <w:r>
        <w:rPr>
          <w:rFonts w:ascii="Calibri" w:hAnsi="Calibri" w:cs="Calibri"/>
          <w:sz w:val="22"/>
          <w:szCs w:val="22"/>
        </w:rPr>
        <w:t>enrollees</w:t>
      </w:r>
      <w:r>
        <w:rPr>
          <w:rFonts w:ascii="Calibri" w:hAnsi="Calibri" w:cs="Calibri"/>
          <w:spacing w:val="-8"/>
          <w:sz w:val="22"/>
          <w:szCs w:val="22"/>
        </w:rPr>
        <w:t xml:space="preserve"> </w:t>
      </w:r>
      <w:r>
        <w:rPr>
          <w:rFonts w:ascii="Calibri" w:hAnsi="Calibri" w:cs="Calibri"/>
          <w:sz w:val="22"/>
          <w:szCs w:val="22"/>
        </w:rPr>
        <w:t>receiving</w:t>
      </w:r>
      <w:r>
        <w:rPr>
          <w:rFonts w:ascii="Calibri" w:hAnsi="Calibri" w:cs="Calibri"/>
          <w:spacing w:val="-13"/>
          <w:sz w:val="22"/>
          <w:szCs w:val="22"/>
        </w:rPr>
        <w:t xml:space="preserve"> </w:t>
      </w:r>
      <w:r>
        <w:rPr>
          <w:rFonts w:ascii="Calibri" w:hAnsi="Calibri" w:cs="Calibri"/>
          <w:sz w:val="22"/>
          <w:szCs w:val="22"/>
        </w:rPr>
        <w:t>Premium</w:t>
      </w:r>
      <w:r>
        <w:rPr>
          <w:rFonts w:ascii="Calibri" w:hAnsi="Calibri" w:cs="Calibri"/>
          <w:spacing w:val="-9"/>
          <w:sz w:val="22"/>
          <w:szCs w:val="22"/>
        </w:rPr>
        <w:t xml:space="preserve"> </w:t>
      </w:r>
      <w:r>
        <w:rPr>
          <w:rFonts w:ascii="Calibri" w:hAnsi="Calibri" w:cs="Calibri"/>
          <w:sz w:val="22"/>
          <w:szCs w:val="22"/>
        </w:rPr>
        <w:t>Assistance</w:t>
      </w:r>
      <w:r>
        <w:rPr>
          <w:rFonts w:ascii="Calibri" w:hAnsi="Calibri" w:cs="Calibri"/>
          <w:spacing w:val="-8"/>
          <w:sz w:val="22"/>
          <w:szCs w:val="22"/>
        </w:rPr>
        <w:t xml:space="preserve"> </w:t>
      </w:r>
      <w:r>
        <w:rPr>
          <w:rFonts w:ascii="Calibri" w:hAnsi="Calibri" w:cs="Calibri"/>
          <w:sz w:val="22"/>
          <w:szCs w:val="22"/>
        </w:rPr>
        <w:t>for</w:t>
      </w:r>
      <w:r>
        <w:rPr>
          <w:rFonts w:ascii="Calibri" w:hAnsi="Calibri" w:cs="Calibri"/>
          <w:spacing w:val="-8"/>
          <w:sz w:val="22"/>
          <w:szCs w:val="22"/>
        </w:rPr>
        <w:t xml:space="preserve"> </w:t>
      </w:r>
      <w:r>
        <w:rPr>
          <w:rFonts w:ascii="Calibri" w:hAnsi="Calibri" w:cs="Calibri"/>
          <w:spacing w:val="-3"/>
          <w:sz w:val="22"/>
          <w:szCs w:val="22"/>
        </w:rPr>
        <w:t>SHIPs;</w:t>
      </w:r>
    </w:p>
    <w:p w:rsidR="002C5025" w:rsidRDefault="002C5025">
      <w:pPr>
        <w:pStyle w:val="ListParagraph"/>
        <w:numPr>
          <w:ilvl w:val="0"/>
          <w:numId w:val="96"/>
        </w:numPr>
        <w:tabs>
          <w:tab w:val="left" w:pos="840"/>
        </w:tabs>
        <w:kinsoku w:val="0"/>
        <w:overflowPunct w:val="0"/>
        <w:spacing w:before="3"/>
        <w:ind w:hanging="360"/>
        <w:rPr>
          <w:rFonts w:ascii="Calibri" w:hAnsi="Calibri" w:cs="Calibri"/>
          <w:sz w:val="22"/>
          <w:szCs w:val="22"/>
        </w:rPr>
      </w:pPr>
      <w:r>
        <w:rPr>
          <w:rFonts w:ascii="Calibri" w:hAnsi="Calibri" w:cs="Calibri"/>
          <w:sz w:val="22"/>
          <w:szCs w:val="22"/>
        </w:rPr>
        <w:t>Ensuring</w:t>
      </w:r>
      <w:r>
        <w:rPr>
          <w:rFonts w:ascii="Calibri" w:hAnsi="Calibri" w:cs="Calibri"/>
          <w:spacing w:val="-12"/>
          <w:sz w:val="22"/>
          <w:szCs w:val="22"/>
        </w:rPr>
        <w:t xml:space="preserve"> </w:t>
      </w:r>
      <w:r>
        <w:rPr>
          <w:rFonts w:ascii="Calibri" w:hAnsi="Calibri" w:cs="Calibri"/>
          <w:spacing w:val="-2"/>
          <w:sz w:val="22"/>
          <w:szCs w:val="22"/>
        </w:rPr>
        <w:t>the</w:t>
      </w:r>
      <w:r>
        <w:rPr>
          <w:rFonts w:ascii="Calibri" w:hAnsi="Calibri" w:cs="Calibri"/>
          <w:spacing w:val="-8"/>
          <w:sz w:val="22"/>
          <w:szCs w:val="22"/>
        </w:rPr>
        <w:t xml:space="preserve"> </w:t>
      </w:r>
      <w:r>
        <w:rPr>
          <w:rFonts w:ascii="Calibri" w:hAnsi="Calibri" w:cs="Calibri"/>
          <w:sz w:val="22"/>
          <w:szCs w:val="22"/>
        </w:rPr>
        <w:t>sustainability</w:t>
      </w:r>
      <w:r>
        <w:rPr>
          <w:rFonts w:ascii="Calibri" w:hAnsi="Calibri" w:cs="Calibri"/>
          <w:spacing w:val="-10"/>
          <w:sz w:val="22"/>
          <w:szCs w:val="22"/>
        </w:rPr>
        <w:t xml:space="preserve"> </w:t>
      </w:r>
      <w:r>
        <w:rPr>
          <w:rFonts w:ascii="Calibri" w:hAnsi="Calibri" w:cs="Calibri"/>
          <w:sz w:val="22"/>
          <w:szCs w:val="22"/>
        </w:rPr>
        <w:t>and</w:t>
      </w:r>
      <w:r>
        <w:rPr>
          <w:rFonts w:ascii="Calibri" w:hAnsi="Calibri" w:cs="Calibri"/>
          <w:spacing w:val="-12"/>
          <w:sz w:val="22"/>
          <w:szCs w:val="22"/>
        </w:rPr>
        <w:t xml:space="preserve"> </w:t>
      </w:r>
      <w:r>
        <w:rPr>
          <w:rFonts w:ascii="Calibri" w:hAnsi="Calibri" w:cs="Calibri"/>
          <w:sz w:val="22"/>
          <w:szCs w:val="22"/>
        </w:rPr>
        <w:t>affordability</w:t>
      </w:r>
      <w:r>
        <w:rPr>
          <w:rFonts w:ascii="Calibri" w:hAnsi="Calibri" w:cs="Calibri"/>
          <w:spacing w:val="-12"/>
          <w:sz w:val="22"/>
          <w:szCs w:val="22"/>
        </w:rPr>
        <w:t xml:space="preserve"> </w:t>
      </w:r>
      <w:r>
        <w:rPr>
          <w:rFonts w:ascii="Calibri" w:hAnsi="Calibri" w:cs="Calibri"/>
          <w:sz w:val="22"/>
          <w:szCs w:val="22"/>
        </w:rPr>
        <w:t>of</w:t>
      </w:r>
      <w:r>
        <w:rPr>
          <w:rFonts w:ascii="Calibri" w:hAnsi="Calibri" w:cs="Calibri"/>
          <w:spacing w:val="-13"/>
          <w:sz w:val="22"/>
          <w:szCs w:val="22"/>
        </w:rPr>
        <w:t xml:space="preserve"> </w:t>
      </w:r>
      <w:r>
        <w:rPr>
          <w:rFonts w:ascii="Calibri" w:hAnsi="Calibri" w:cs="Calibri"/>
          <w:sz w:val="22"/>
          <w:szCs w:val="22"/>
        </w:rPr>
        <w:t>the</w:t>
      </w:r>
      <w:r>
        <w:rPr>
          <w:rFonts w:ascii="Calibri" w:hAnsi="Calibri" w:cs="Calibri"/>
          <w:spacing w:val="-11"/>
          <w:sz w:val="22"/>
          <w:szCs w:val="22"/>
        </w:rPr>
        <w:t xml:space="preserve"> </w:t>
      </w:r>
      <w:proofErr w:type="spellStart"/>
      <w:r>
        <w:rPr>
          <w:rFonts w:ascii="Calibri" w:hAnsi="Calibri" w:cs="Calibri"/>
          <w:sz w:val="22"/>
          <w:szCs w:val="22"/>
        </w:rPr>
        <w:t>ConnectorCare</w:t>
      </w:r>
      <w:proofErr w:type="spellEnd"/>
      <w:r>
        <w:rPr>
          <w:rFonts w:ascii="Calibri" w:hAnsi="Calibri" w:cs="Calibri"/>
          <w:spacing w:val="-11"/>
          <w:sz w:val="22"/>
          <w:szCs w:val="22"/>
        </w:rPr>
        <w:t xml:space="preserve"> </w:t>
      </w:r>
      <w:r>
        <w:rPr>
          <w:rFonts w:ascii="Calibri" w:hAnsi="Calibri" w:cs="Calibri"/>
          <w:sz w:val="22"/>
          <w:szCs w:val="22"/>
        </w:rPr>
        <w:t>program;</w:t>
      </w:r>
      <w:r>
        <w:rPr>
          <w:rFonts w:ascii="Calibri" w:hAnsi="Calibri" w:cs="Calibri"/>
          <w:spacing w:val="-8"/>
          <w:sz w:val="22"/>
          <w:szCs w:val="22"/>
        </w:rPr>
        <w:t xml:space="preserve"> </w:t>
      </w:r>
      <w:r>
        <w:rPr>
          <w:rFonts w:ascii="Calibri" w:hAnsi="Calibri" w:cs="Calibri"/>
          <w:sz w:val="22"/>
          <w:szCs w:val="22"/>
        </w:rPr>
        <w:t>and</w:t>
      </w:r>
    </w:p>
    <w:p w:rsidR="002C5025" w:rsidRDefault="002C5025">
      <w:pPr>
        <w:pStyle w:val="ListParagraph"/>
        <w:numPr>
          <w:ilvl w:val="0"/>
          <w:numId w:val="96"/>
        </w:numPr>
        <w:tabs>
          <w:tab w:val="left" w:pos="840"/>
        </w:tabs>
        <w:kinsoku w:val="0"/>
        <w:overflowPunct w:val="0"/>
        <w:ind w:hanging="360"/>
        <w:rPr>
          <w:rFonts w:ascii="Calibri" w:hAnsi="Calibri" w:cs="Calibri"/>
          <w:sz w:val="22"/>
          <w:szCs w:val="22"/>
        </w:rPr>
      </w:pPr>
      <w:r>
        <w:rPr>
          <w:rFonts w:ascii="Calibri" w:hAnsi="Calibri" w:cs="Calibri"/>
          <w:sz w:val="22"/>
          <w:szCs w:val="22"/>
        </w:rPr>
        <w:t>Expanding</w:t>
      </w:r>
      <w:r>
        <w:rPr>
          <w:rFonts w:ascii="Calibri" w:hAnsi="Calibri" w:cs="Calibri"/>
          <w:spacing w:val="-11"/>
          <w:sz w:val="22"/>
          <w:szCs w:val="22"/>
        </w:rPr>
        <w:t xml:space="preserve"> </w:t>
      </w:r>
      <w:r>
        <w:rPr>
          <w:rFonts w:ascii="Calibri" w:hAnsi="Calibri" w:cs="Calibri"/>
          <w:sz w:val="22"/>
          <w:szCs w:val="22"/>
        </w:rPr>
        <w:t>MassHealth</w:t>
      </w:r>
      <w:r>
        <w:rPr>
          <w:rFonts w:ascii="Calibri" w:hAnsi="Calibri" w:cs="Calibri"/>
          <w:spacing w:val="-10"/>
          <w:sz w:val="22"/>
          <w:szCs w:val="22"/>
        </w:rPr>
        <w:t xml:space="preserve"> </w:t>
      </w:r>
      <w:r>
        <w:rPr>
          <w:rFonts w:ascii="Calibri" w:hAnsi="Calibri" w:cs="Calibri"/>
          <w:spacing w:val="-3"/>
          <w:sz w:val="22"/>
          <w:szCs w:val="22"/>
        </w:rPr>
        <w:t>substance</w:t>
      </w:r>
      <w:r>
        <w:rPr>
          <w:rFonts w:ascii="Calibri" w:hAnsi="Calibri" w:cs="Calibri"/>
          <w:spacing w:val="-10"/>
          <w:sz w:val="22"/>
          <w:szCs w:val="22"/>
        </w:rPr>
        <w:t xml:space="preserve"> </w:t>
      </w:r>
      <w:r>
        <w:rPr>
          <w:rFonts w:ascii="Calibri" w:hAnsi="Calibri" w:cs="Calibri"/>
          <w:spacing w:val="-3"/>
          <w:sz w:val="22"/>
          <w:szCs w:val="22"/>
        </w:rPr>
        <w:t>use</w:t>
      </w:r>
      <w:r>
        <w:rPr>
          <w:rFonts w:ascii="Calibri" w:hAnsi="Calibri" w:cs="Calibri"/>
          <w:spacing w:val="-10"/>
          <w:sz w:val="22"/>
          <w:szCs w:val="22"/>
        </w:rPr>
        <w:t xml:space="preserve"> </w:t>
      </w:r>
      <w:r>
        <w:rPr>
          <w:rFonts w:ascii="Calibri" w:hAnsi="Calibri" w:cs="Calibri"/>
          <w:sz w:val="22"/>
          <w:szCs w:val="22"/>
        </w:rPr>
        <w:t>disorders</w:t>
      </w:r>
      <w:r>
        <w:rPr>
          <w:rFonts w:ascii="Calibri" w:hAnsi="Calibri" w:cs="Calibri"/>
          <w:spacing w:val="-10"/>
          <w:sz w:val="22"/>
          <w:szCs w:val="22"/>
        </w:rPr>
        <w:t xml:space="preserve"> </w:t>
      </w:r>
      <w:r>
        <w:rPr>
          <w:rFonts w:ascii="Calibri" w:hAnsi="Calibri" w:cs="Calibri"/>
          <w:sz w:val="22"/>
          <w:szCs w:val="22"/>
        </w:rPr>
        <w:t>(SUD)</w:t>
      </w:r>
      <w:r>
        <w:rPr>
          <w:rFonts w:ascii="Calibri" w:hAnsi="Calibri" w:cs="Calibri"/>
          <w:spacing w:val="-15"/>
          <w:sz w:val="22"/>
          <w:szCs w:val="22"/>
        </w:rPr>
        <w:t xml:space="preserve"> </w:t>
      </w:r>
      <w:r>
        <w:rPr>
          <w:rFonts w:ascii="Calibri" w:hAnsi="Calibri" w:cs="Calibri"/>
          <w:sz w:val="22"/>
          <w:szCs w:val="22"/>
        </w:rPr>
        <w:t>treatment</w:t>
      </w:r>
      <w:r>
        <w:rPr>
          <w:rFonts w:ascii="Calibri" w:hAnsi="Calibri" w:cs="Calibri"/>
          <w:spacing w:val="-12"/>
          <w:sz w:val="22"/>
          <w:szCs w:val="22"/>
        </w:rPr>
        <w:t xml:space="preserve"> </w:t>
      </w:r>
      <w:r>
        <w:rPr>
          <w:rFonts w:ascii="Calibri" w:hAnsi="Calibri" w:cs="Calibri"/>
          <w:sz w:val="22"/>
          <w:szCs w:val="22"/>
        </w:rPr>
        <w:t>services.</w:t>
      </w:r>
    </w:p>
    <w:p w:rsidR="002C5025" w:rsidRDefault="002C5025">
      <w:pPr>
        <w:pStyle w:val="BodyText"/>
        <w:kinsoku w:val="0"/>
        <w:overflowPunct w:val="0"/>
        <w:spacing w:before="5"/>
        <w:rPr>
          <w:sz w:val="21"/>
          <w:szCs w:val="21"/>
        </w:rPr>
      </w:pPr>
    </w:p>
    <w:p w:rsidR="002C5025" w:rsidRDefault="002C5025">
      <w:pPr>
        <w:pStyle w:val="BodyText"/>
        <w:kinsoku w:val="0"/>
        <w:overflowPunct w:val="0"/>
        <w:ind w:left="119" w:right="63"/>
      </w:pPr>
      <w:r>
        <w:t>However, we strongly oppose the following proposed changes that would restrict access to care:</w:t>
      </w:r>
    </w:p>
    <w:p w:rsidR="002C5025" w:rsidRDefault="002C5025">
      <w:pPr>
        <w:pStyle w:val="ListParagraph"/>
        <w:numPr>
          <w:ilvl w:val="0"/>
          <w:numId w:val="96"/>
        </w:numPr>
        <w:tabs>
          <w:tab w:val="left" w:pos="840"/>
        </w:tabs>
        <w:kinsoku w:val="0"/>
        <w:overflowPunct w:val="0"/>
        <w:ind w:right="608" w:hanging="360"/>
        <w:rPr>
          <w:rFonts w:ascii="Calibri" w:hAnsi="Calibri" w:cs="Calibri"/>
          <w:spacing w:val="-3"/>
          <w:sz w:val="22"/>
          <w:szCs w:val="22"/>
        </w:rPr>
      </w:pPr>
      <w:r>
        <w:rPr>
          <w:rFonts w:ascii="Calibri" w:hAnsi="Calibri" w:cs="Calibri"/>
          <w:sz w:val="22"/>
          <w:szCs w:val="22"/>
        </w:rPr>
        <w:t>Eliminating</w:t>
      </w:r>
      <w:r>
        <w:rPr>
          <w:rFonts w:ascii="Calibri" w:hAnsi="Calibri" w:cs="Calibri"/>
          <w:spacing w:val="-13"/>
          <w:sz w:val="22"/>
          <w:szCs w:val="22"/>
        </w:rPr>
        <w:t xml:space="preserve"> </w:t>
      </w:r>
      <w:r>
        <w:rPr>
          <w:rFonts w:ascii="Calibri" w:hAnsi="Calibri" w:cs="Calibri"/>
          <w:sz w:val="22"/>
          <w:szCs w:val="22"/>
        </w:rPr>
        <w:t>coverage</w:t>
      </w:r>
      <w:r>
        <w:rPr>
          <w:rFonts w:ascii="Calibri" w:hAnsi="Calibri" w:cs="Calibri"/>
          <w:spacing w:val="-10"/>
          <w:sz w:val="22"/>
          <w:szCs w:val="22"/>
        </w:rPr>
        <w:t xml:space="preserve"> </w:t>
      </w:r>
      <w:r>
        <w:rPr>
          <w:rFonts w:ascii="Calibri" w:hAnsi="Calibri" w:cs="Calibri"/>
          <w:sz w:val="22"/>
          <w:szCs w:val="22"/>
        </w:rPr>
        <w:t>of</w:t>
      </w:r>
      <w:r>
        <w:rPr>
          <w:rFonts w:ascii="Calibri" w:hAnsi="Calibri" w:cs="Calibri"/>
          <w:spacing w:val="-13"/>
          <w:sz w:val="22"/>
          <w:szCs w:val="22"/>
        </w:rPr>
        <w:t xml:space="preserve"> </w:t>
      </w:r>
      <w:r>
        <w:rPr>
          <w:rFonts w:ascii="Calibri" w:hAnsi="Calibri" w:cs="Calibri"/>
          <w:sz w:val="22"/>
          <w:szCs w:val="22"/>
        </w:rPr>
        <w:t>chiropractic</w:t>
      </w:r>
      <w:r>
        <w:rPr>
          <w:rFonts w:ascii="Calibri" w:hAnsi="Calibri" w:cs="Calibri"/>
          <w:spacing w:val="-12"/>
          <w:sz w:val="22"/>
          <w:szCs w:val="22"/>
        </w:rPr>
        <w:t xml:space="preserve"> </w:t>
      </w:r>
      <w:r>
        <w:rPr>
          <w:rFonts w:ascii="Calibri" w:hAnsi="Calibri" w:cs="Calibri"/>
          <w:sz w:val="22"/>
          <w:szCs w:val="22"/>
        </w:rPr>
        <w:t>services,</w:t>
      </w:r>
      <w:r>
        <w:rPr>
          <w:rFonts w:ascii="Calibri" w:hAnsi="Calibri" w:cs="Calibri"/>
          <w:spacing w:val="-11"/>
          <w:sz w:val="22"/>
          <w:szCs w:val="22"/>
        </w:rPr>
        <w:t xml:space="preserve"> </w:t>
      </w:r>
      <w:r>
        <w:rPr>
          <w:rFonts w:ascii="Calibri" w:hAnsi="Calibri" w:cs="Calibri"/>
          <w:sz w:val="22"/>
          <w:szCs w:val="22"/>
        </w:rPr>
        <w:t>eyeglasses,</w:t>
      </w:r>
      <w:r>
        <w:rPr>
          <w:rFonts w:ascii="Calibri" w:hAnsi="Calibri" w:cs="Calibri"/>
          <w:spacing w:val="-11"/>
          <w:sz w:val="22"/>
          <w:szCs w:val="22"/>
        </w:rPr>
        <w:t xml:space="preserve"> </w:t>
      </w:r>
      <w:r>
        <w:rPr>
          <w:rFonts w:ascii="Calibri" w:hAnsi="Calibri" w:cs="Calibri"/>
          <w:sz w:val="22"/>
          <w:szCs w:val="22"/>
        </w:rPr>
        <w:t>hearing</w:t>
      </w:r>
      <w:r>
        <w:rPr>
          <w:rFonts w:ascii="Calibri" w:hAnsi="Calibri" w:cs="Calibri"/>
          <w:spacing w:val="-11"/>
          <w:sz w:val="22"/>
          <w:szCs w:val="22"/>
        </w:rPr>
        <w:t xml:space="preserve"> </w:t>
      </w:r>
      <w:r>
        <w:rPr>
          <w:rFonts w:ascii="Calibri" w:hAnsi="Calibri" w:cs="Calibri"/>
          <w:sz w:val="22"/>
          <w:szCs w:val="22"/>
        </w:rPr>
        <w:t>aids,</w:t>
      </w:r>
      <w:r>
        <w:rPr>
          <w:rFonts w:ascii="Calibri" w:hAnsi="Calibri" w:cs="Calibri"/>
          <w:spacing w:val="-12"/>
          <w:sz w:val="22"/>
          <w:szCs w:val="22"/>
        </w:rPr>
        <w:t xml:space="preserve"> </w:t>
      </w:r>
      <w:r>
        <w:rPr>
          <w:rFonts w:ascii="Calibri" w:hAnsi="Calibri" w:cs="Calibri"/>
          <w:sz w:val="22"/>
          <w:szCs w:val="22"/>
        </w:rPr>
        <w:t>orthotics</w:t>
      </w:r>
      <w:r>
        <w:rPr>
          <w:rFonts w:ascii="Calibri" w:hAnsi="Calibri" w:cs="Calibri"/>
          <w:spacing w:val="-13"/>
          <w:sz w:val="22"/>
          <w:szCs w:val="22"/>
        </w:rPr>
        <w:t xml:space="preserve"> </w:t>
      </w:r>
      <w:r>
        <w:rPr>
          <w:rFonts w:ascii="Calibri" w:hAnsi="Calibri" w:cs="Calibri"/>
          <w:sz w:val="22"/>
          <w:szCs w:val="22"/>
        </w:rPr>
        <w:t>or</w:t>
      </w:r>
      <w:r>
        <w:rPr>
          <w:rFonts w:ascii="Calibri" w:hAnsi="Calibri" w:cs="Calibri"/>
          <w:spacing w:val="-13"/>
          <w:sz w:val="22"/>
          <w:szCs w:val="22"/>
        </w:rPr>
        <w:t xml:space="preserve"> </w:t>
      </w:r>
      <w:r>
        <w:rPr>
          <w:rFonts w:ascii="Calibri" w:hAnsi="Calibri" w:cs="Calibri"/>
          <w:sz w:val="22"/>
          <w:szCs w:val="22"/>
        </w:rPr>
        <w:t>other</w:t>
      </w:r>
      <w:r>
        <w:rPr>
          <w:rFonts w:ascii="Calibri" w:hAnsi="Calibri" w:cs="Calibri"/>
          <w:spacing w:val="-11"/>
          <w:sz w:val="22"/>
          <w:szCs w:val="22"/>
        </w:rPr>
        <w:t xml:space="preserve"> </w:t>
      </w:r>
      <w:r>
        <w:rPr>
          <w:rFonts w:ascii="Calibri" w:hAnsi="Calibri" w:cs="Calibri"/>
          <w:sz w:val="22"/>
          <w:szCs w:val="22"/>
        </w:rPr>
        <w:t>state</w:t>
      </w:r>
      <w:r>
        <w:rPr>
          <w:rFonts w:ascii="Calibri" w:hAnsi="Calibri" w:cs="Calibri"/>
          <w:spacing w:val="-8"/>
          <w:sz w:val="22"/>
          <w:szCs w:val="22"/>
        </w:rPr>
        <w:t xml:space="preserve"> </w:t>
      </w:r>
      <w:r>
        <w:rPr>
          <w:rFonts w:ascii="Calibri" w:hAnsi="Calibri" w:cs="Calibri"/>
          <w:sz w:val="22"/>
          <w:szCs w:val="22"/>
        </w:rPr>
        <w:t>plan services</w:t>
      </w:r>
      <w:r>
        <w:rPr>
          <w:rFonts w:ascii="Calibri" w:hAnsi="Calibri" w:cs="Calibri"/>
          <w:spacing w:val="-4"/>
          <w:sz w:val="22"/>
          <w:szCs w:val="22"/>
        </w:rPr>
        <w:t xml:space="preserve"> </w:t>
      </w:r>
      <w:r>
        <w:rPr>
          <w:rFonts w:ascii="Calibri" w:hAnsi="Calibri" w:cs="Calibri"/>
          <w:sz w:val="22"/>
          <w:szCs w:val="22"/>
        </w:rPr>
        <w:t>in</w:t>
      </w:r>
      <w:r>
        <w:rPr>
          <w:rFonts w:ascii="Calibri" w:hAnsi="Calibri" w:cs="Calibri"/>
          <w:spacing w:val="-9"/>
          <w:sz w:val="22"/>
          <w:szCs w:val="22"/>
        </w:rPr>
        <w:t xml:space="preserve"> </w:t>
      </w:r>
      <w:r>
        <w:rPr>
          <w:rFonts w:ascii="Calibri" w:hAnsi="Calibri" w:cs="Calibri"/>
          <w:sz w:val="22"/>
          <w:szCs w:val="22"/>
        </w:rPr>
        <w:t>the</w:t>
      </w:r>
      <w:r>
        <w:rPr>
          <w:rFonts w:ascii="Calibri" w:hAnsi="Calibri" w:cs="Calibri"/>
          <w:spacing w:val="-8"/>
          <w:sz w:val="22"/>
          <w:szCs w:val="22"/>
        </w:rPr>
        <w:t xml:space="preserve"> </w:t>
      </w:r>
      <w:r>
        <w:rPr>
          <w:rFonts w:ascii="Calibri" w:hAnsi="Calibri" w:cs="Calibri"/>
          <w:sz w:val="22"/>
          <w:szCs w:val="22"/>
        </w:rPr>
        <w:t>Primary</w:t>
      </w:r>
      <w:r>
        <w:rPr>
          <w:rFonts w:ascii="Calibri" w:hAnsi="Calibri" w:cs="Calibri"/>
          <w:spacing w:val="-3"/>
          <w:sz w:val="22"/>
          <w:szCs w:val="22"/>
        </w:rPr>
        <w:t xml:space="preserve"> Care</w:t>
      </w:r>
      <w:r>
        <w:rPr>
          <w:rFonts w:ascii="Calibri" w:hAnsi="Calibri" w:cs="Calibri"/>
          <w:spacing w:val="-8"/>
          <w:sz w:val="22"/>
          <w:szCs w:val="22"/>
        </w:rPr>
        <w:t xml:space="preserve"> </w:t>
      </w:r>
      <w:r>
        <w:rPr>
          <w:rFonts w:ascii="Calibri" w:hAnsi="Calibri" w:cs="Calibri"/>
          <w:sz w:val="22"/>
          <w:szCs w:val="22"/>
        </w:rPr>
        <w:t>Clinician</w:t>
      </w:r>
      <w:r>
        <w:rPr>
          <w:rFonts w:ascii="Calibri" w:hAnsi="Calibri" w:cs="Calibri"/>
          <w:spacing w:val="-7"/>
          <w:sz w:val="22"/>
          <w:szCs w:val="22"/>
        </w:rPr>
        <w:t xml:space="preserve"> </w:t>
      </w:r>
      <w:r>
        <w:rPr>
          <w:rFonts w:ascii="Calibri" w:hAnsi="Calibri" w:cs="Calibri"/>
          <w:sz w:val="22"/>
          <w:szCs w:val="22"/>
        </w:rPr>
        <w:t>(PCC)</w:t>
      </w:r>
      <w:r>
        <w:rPr>
          <w:rFonts w:ascii="Calibri" w:hAnsi="Calibri" w:cs="Calibri"/>
          <w:spacing w:val="-4"/>
          <w:sz w:val="22"/>
          <w:szCs w:val="22"/>
        </w:rPr>
        <w:t xml:space="preserve"> </w:t>
      </w:r>
      <w:r>
        <w:rPr>
          <w:rFonts w:ascii="Calibri" w:hAnsi="Calibri" w:cs="Calibri"/>
          <w:spacing w:val="-3"/>
          <w:sz w:val="22"/>
          <w:szCs w:val="22"/>
        </w:rPr>
        <w:t>plan;</w:t>
      </w:r>
    </w:p>
    <w:p w:rsidR="002C5025" w:rsidRDefault="002C5025">
      <w:pPr>
        <w:pStyle w:val="ListParagraph"/>
        <w:numPr>
          <w:ilvl w:val="0"/>
          <w:numId w:val="96"/>
        </w:numPr>
        <w:tabs>
          <w:tab w:val="left" w:pos="840"/>
        </w:tabs>
        <w:kinsoku w:val="0"/>
        <w:overflowPunct w:val="0"/>
        <w:spacing w:before="3"/>
        <w:ind w:hanging="360"/>
        <w:rPr>
          <w:rFonts w:ascii="Calibri" w:hAnsi="Calibri" w:cs="Calibri"/>
          <w:sz w:val="22"/>
          <w:szCs w:val="22"/>
        </w:rPr>
      </w:pPr>
      <w:r>
        <w:rPr>
          <w:rFonts w:ascii="Calibri" w:hAnsi="Calibri" w:cs="Calibri"/>
          <w:sz w:val="22"/>
          <w:szCs w:val="22"/>
        </w:rPr>
        <w:t>Increasing</w:t>
      </w:r>
      <w:r>
        <w:rPr>
          <w:rFonts w:ascii="Calibri" w:hAnsi="Calibri" w:cs="Calibri"/>
          <w:spacing w:val="-11"/>
          <w:sz w:val="22"/>
          <w:szCs w:val="22"/>
        </w:rPr>
        <w:t xml:space="preserve"> </w:t>
      </w:r>
      <w:r>
        <w:rPr>
          <w:rFonts w:ascii="Calibri" w:hAnsi="Calibri" w:cs="Calibri"/>
          <w:sz w:val="22"/>
          <w:szCs w:val="22"/>
        </w:rPr>
        <w:t>copays</w:t>
      </w:r>
      <w:r>
        <w:rPr>
          <w:rFonts w:ascii="Calibri" w:hAnsi="Calibri" w:cs="Calibri"/>
          <w:spacing w:val="-9"/>
          <w:sz w:val="22"/>
          <w:szCs w:val="22"/>
        </w:rPr>
        <w:t xml:space="preserve"> </w:t>
      </w:r>
      <w:r>
        <w:rPr>
          <w:rFonts w:ascii="Calibri" w:hAnsi="Calibri" w:cs="Calibri"/>
          <w:sz w:val="22"/>
          <w:szCs w:val="22"/>
        </w:rPr>
        <w:t>for</w:t>
      </w:r>
      <w:r>
        <w:rPr>
          <w:rFonts w:ascii="Calibri" w:hAnsi="Calibri" w:cs="Calibri"/>
          <w:spacing w:val="-11"/>
          <w:sz w:val="22"/>
          <w:szCs w:val="22"/>
        </w:rPr>
        <w:t xml:space="preserve"> </w:t>
      </w:r>
      <w:r>
        <w:rPr>
          <w:rFonts w:ascii="Calibri" w:hAnsi="Calibri" w:cs="Calibri"/>
          <w:sz w:val="22"/>
          <w:szCs w:val="22"/>
        </w:rPr>
        <w:t>members</w:t>
      </w:r>
      <w:r>
        <w:rPr>
          <w:rFonts w:ascii="Calibri" w:hAnsi="Calibri" w:cs="Calibri"/>
          <w:spacing w:val="-9"/>
          <w:sz w:val="22"/>
          <w:szCs w:val="22"/>
        </w:rPr>
        <w:t xml:space="preserve"> </w:t>
      </w:r>
      <w:r>
        <w:rPr>
          <w:rFonts w:ascii="Calibri" w:hAnsi="Calibri" w:cs="Calibri"/>
          <w:sz w:val="22"/>
          <w:szCs w:val="22"/>
        </w:rPr>
        <w:t>enrolled</w:t>
      </w:r>
      <w:r>
        <w:rPr>
          <w:rFonts w:ascii="Calibri" w:hAnsi="Calibri" w:cs="Calibri"/>
          <w:spacing w:val="-8"/>
          <w:sz w:val="22"/>
          <w:szCs w:val="22"/>
        </w:rPr>
        <w:t xml:space="preserve"> </w:t>
      </w:r>
      <w:r>
        <w:rPr>
          <w:rFonts w:ascii="Calibri" w:hAnsi="Calibri" w:cs="Calibri"/>
          <w:sz w:val="22"/>
          <w:szCs w:val="22"/>
        </w:rPr>
        <w:t>in</w:t>
      </w:r>
      <w:r>
        <w:rPr>
          <w:rFonts w:ascii="Calibri" w:hAnsi="Calibri" w:cs="Calibri"/>
          <w:spacing w:val="-10"/>
          <w:sz w:val="22"/>
          <w:szCs w:val="22"/>
        </w:rPr>
        <w:t xml:space="preserve"> </w:t>
      </w:r>
      <w:r>
        <w:rPr>
          <w:rFonts w:ascii="Calibri" w:hAnsi="Calibri" w:cs="Calibri"/>
          <w:sz w:val="22"/>
          <w:szCs w:val="22"/>
        </w:rPr>
        <w:t>the</w:t>
      </w:r>
      <w:r>
        <w:rPr>
          <w:rFonts w:ascii="Calibri" w:hAnsi="Calibri" w:cs="Calibri"/>
          <w:spacing w:val="-10"/>
          <w:sz w:val="22"/>
          <w:szCs w:val="22"/>
        </w:rPr>
        <w:t xml:space="preserve"> </w:t>
      </w:r>
      <w:r>
        <w:rPr>
          <w:rFonts w:ascii="Calibri" w:hAnsi="Calibri" w:cs="Calibri"/>
          <w:sz w:val="22"/>
          <w:szCs w:val="22"/>
        </w:rPr>
        <w:t>PCC</w:t>
      </w:r>
      <w:r>
        <w:rPr>
          <w:rFonts w:ascii="Calibri" w:hAnsi="Calibri" w:cs="Calibri"/>
          <w:spacing w:val="-7"/>
          <w:sz w:val="22"/>
          <w:szCs w:val="22"/>
        </w:rPr>
        <w:t xml:space="preserve"> </w:t>
      </w:r>
      <w:r>
        <w:rPr>
          <w:rFonts w:ascii="Calibri" w:hAnsi="Calibri" w:cs="Calibri"/>
          <w:sz w:val="22"/>
          <w:szCs w:val="22"/>
        </w:rPr>
        <w:t>plan;</w:t>
      </w:r>
    </w:p>
    <w:p w:rsidR="002C5025" w:rsidRDefault="002C5025">
      <w:pPr>
        <w:pStyle w:val="ListParagraph"/>
        <w:numPr>
          <w:ilvl w:val="0"/>
          <w:numId w:val="96"/>
        </w:numPr>
        <w:tabs>
          <w:tab w:val="left" w:pos="840"/>
        </w:tabs>
        <w:kinsoku w:val="0"/>
        <w:overflowPunct w:val="0"/>
        <w:spacing w:line="277" w:lineRule="exact"/>
        <w:ind w:hanging="360"/>
        <w:rPr>
          <w:rFonts w:ascii="Calibri" w:hAnsi="Calibri" w:cs="Calibri"/>
          <w:sz w:val="22"/>
          <w:szCs w:val="22"/>
        </w:rPr>
      </w:pPr>
      <w:r>
        <w:rPr>
          <w:rFonts w:ascii="Calibri" w:hAnsi="Calibri" w:cs="Calibri"/>
          <w:sz w:val="22"/>
          <w:szCs w:val="22"/>
        </w:rPr>
        <w:t>Expanding</w:t>
      </w:r>
      <w:r>
        <w:rPr>
          <w:rFonts w:ascii="Calibri" w:hAnsi="Calibri" w:cs="Calibri"/>
          <w:spacing w:val="-9"/>
          <w:sz w:val="22"/>
          <w:szCs w:val="22"/>
        </w:rPr>
        <w:t xml:space="preserve"> </w:t>
      </w:r>
      <w:r>
        <w:rPr>
          <w:rFonts w:ascii="Calibri" w:hAnsi="Calibri" w:cs="Calibri"/>
          <w:sz w:val="22"/>
          <w:szCs w:val="22"/>
        </w:rPr>
        <w:t>the</w:t>
      </w:r>
      <w:r>
        <w:rPr>
          <w:rFonts w:ascii="Calibri" w:hAnsi="Calibri" w:cs="Calibri"/>
          <w:spacing w:val="-8"/>
          <w:sz w:val="22"/>
          <w:szCs w:val="22"/>
        </w:rPr>
        <w:t xml:space="preserve"> </w:t>
      </w:r>
      <w:r>
        <w:rPr>
          <w:rFonts w:ascii="Calibri" w:hAnsi="Calibri" w:cs="Calibri"/>
          <w:sz w:val="22"/>
          <w:szCs w:val="22"/>
        </w:rPr>
        <w:t>list</w:t>
      </w:r>
      <w:r>
        <w:rPr>
          <w:rFonts w:ascii="Calibri" w:hAnsi="Calibri" w:cs="Calibri"/>
          <w:spacing w:val="-10"/>
          <w:sz w:val="22"/>
          <w:szCs w:val="22"/>
        </w:rPr>
        <w:t xml:space="preserve"> </w:t>
      </w:r>
      <w:r>
        <w:rPr>
          <w:rFonts w:ascii="Calibri" w:hAnsi="Calibri" w:cs="Calibri"/>
          <w:sz w:val="22"/>
          <w:szCs w:val="22"/>
        </w:rPr>
        <w:t>of</w:t>
      </w:r>
      <w:r>
        <w:rPr>
          <w:rFonts w:ascii="Calibri" w:hAnsi="Calibri" w:cs="Calibri"/>
          <w:spacing w:val="-11"/>
          <w:sz w:val="22"/>
          <w:szCs w:val="22"/>
        </w:rPr>
        <w:t xml:space="preserve"> </w:t>
      </w:r>
      <w:r>
        <w:rPr>
          <w:rFonts w:ascii="Calibri" w:hAnsi="Calibri" w:cs="Calibri"/>
          <w:sz w:val="22"/>
          <w:szCs w:val="22"/>
        </w:rPr>
        <w:t>services</w:t>
      </w:r>
      <w:r>
        <w:rPr>
          <w:rFonts w:ascii="Calibri" w:hAnsi="Calibri" w:cs="Calibri"/>
          <w:spacing w:val="-8"/>
          <w:sz w:val="22"/>
          <w:szCs w:val="22"/>
        </w:rPr>
        <w:t xml:space="preserve"> </w:t>
      </w:r>
      <w:r>
        <w:rPr>
          <w:rFonts w:ascii="Calibri" w:hAnsi="Calibri" w:cs="Calibri"/>
          <w:sz w:val="22"/>
          <w:szCs w:val="22"/>
        </w:rPr>
        <w:t>to</w:t>
      </w:r>
      <w:r>
        <w:rPr>
          <w:rFonts w:ascii="Calibri" w:hAnsi="Calibri" w:cs="Calibri"/>
          <w:spacing w:val="-8"/>
          <w:sz w:val="22"/>
          <w:szCs w:val="22"/>
        </w:rPr>
        <w:t xml:space="preserve"> </w:t>
      </w:r>
      <w:r>
        <w:rPr>
          <w:rFonts w:ascii="Calibri" w:hAnsi="Calibri" w:cs="Calibri"/>
          <w:sz w:val="22"/>
          <w:szCs w:val="22"/>
        </w:rPr>
        <w:t>which</w:t>
      </w:r>
      <w:r>
        <w:rPr>
          <w:rFonts w:ascii="Calibri" w:hAnsi="Calibri" w:cs="Calibri"/>
          <w:spacing w:val="-8"/>
          <w:sz w:val="22"/>
          <w:szCs w:val="22"/>
        </w:rPr>
        <w:t xml:space="preserve"> </w:t>
      </w:r>
      <w:r>
        <w:rPr>
          <w:rFonts w:ascii="Calibri" w:hAnsi="Calibri" w:cs="Calibri"/>
          <w:sz w:val="22"/>
          <w:szCs w:val="22"/>
        </w:rPr>
        <w:t>copays</w:t>
      </w:r>
      <w:r>
        <w:rPr>
          <w:rFonts w:ascii="Calibri" w:hAnsi="Calibri" w:cs="Calibri"/>
          <w:spacing w:val="-7"/>
          <w:sz w:val="22"/>
          <w:szCs w:val="22"/>
        </w:rPr>
        <w:t xml:space="preserve"> </w:t>
      </w:r>
      <w:r>
        <w:rPr>
          <w:rFonts w:ascii="Calibri" w:hAnsi="Calibri" w:cs="Calibri"/>
          <w:sz w:val="22"/>
          <w:szCs w:val="22"/>
        </w:rPr>
        <w:t>apply;</w:t>
      </w:r>
    </w:p>
    <w:p w:rsidR="002C5025" w:rsidRDefault="002C5025">
      <w:pPr>
        <w:pStyle w:val="ListParagraph"/>
        <w:numPr>
          <w:ilvl w:val="0"/>
          <w:numId w:val="96"/>
        </w:numPr>
        <w:tabs>
          <w:tab w:val="left" w:pos="840"/>
        </w:tabs>
        <w:kinsoku w:val="0"/>
        <w:overflowPunct w:val="0"/>
        <w:spacing w:line="277" w:lineRule="exact"/>
        <w:ind w:hanging="360"/>
        <w:rPr>
          <w:rFonts w:ascii="Calibri" w:hAnsi="Calibri" w:cs="Calibri"/>
          <w:sz w:val="22"/>
          <w:szCs w:val="22"/>
        </w:rPr>
      </w:pPr>
      <w:r>
        <w:rPr>
          <w:rFonts w:ascii="Calibri" w:hAnsi="Calibri" w:cs="Calibri"/>
          <w:sz w:val="22"/>
          <w:szCs w:val="22"/>
        </w:rPr>
        <w:t>Potentially</w:t>
      </w:r>
      <w:r>
        <w:rPr>
          <w:rFonts w:ascii="Calibri" w:hAnsi="Calibri" w:cs="Calibri"/>
          <w:spacing w:val="-5"/>
          <w:sz w:val="22"/>
          <w:szCs w:val="22"/>
        </w:rPr>
        <w:t xml:space="preserve"> </w:t>
      </w:r>
      <w:r>
        <w:rPr>
          <w:rFonts w:ascii="Calibri" w:hAnsi="Calibri" w:cs="Calibri"/>
          <w:sz w:val="22"/>
          <w:szCs w:val="22"/>
        </w:rPr>
        <w:t>increasing</w:t>
      </w:r>
      <w:r>
        <w:rPr>
          <w:rFonts w:ascii="Calibri" w:hAnsi="Calibri" w:cs="Calibri"/>
          <w:spacing w:val="-7"/>
          <w:sz w:val="22"/>
          <w:szCs w:val="22"/>
        </w:rPr>
        <w:t xml:space="preserve"> </w:t>
      </w:r>
      <w:r>
        <w:rPr>
          <w:rFonts w:ascii="Calibri" w:hAnsi="Calibri" w:cs="Calibri"/>
          <w:spacing w:val="-3"/>
          <w:sz w:val="22"/>
          <w:szCs w:val="22"/>
        </w:rPr>
        <w:t>premiums</w:t>
      </w:r>
      <w:r>
        <w:rPr>
          <w:rFonts w:ascii="Calibri" w:hAnsi="Calibri" w:cs="Calibri"/>
          <w:spacing w:val="-6"/>
          <w:sz w:val="22"/>
          <w:szCs w:val="22"/>
        </w:rPr>
        <w:t xml:space="preserve"> </w:t>
      </w:r>
      <w:r>
        <w:rPr>
          <w:rFonts w:ascii="Calibri" w:hAnsi="Calibri" w:cs="Calibri"/>
          <w:sz w:val="22"/>
          <w:szCs w:val="22"/>
        </w:rPr>
        <w:t>for</w:t>
      </w:r>
      <w:r>
        <w:rPr>
          <w:rFonts w:ascii="Calibri" w:hAnsi="Calibri" w:cs="Calibri"/>
          <w:spacing w:val="-6"/>
          <w:sz w:val="22"/>
          <w:szCs w:val="22"/>
        </w:rPr>
        <w:t xml:space="preserve"> </w:t>
      </w:r>
      <w:r>
        <w:rPr>
          <w:rFonts w:ascii="Calibri" w:hAnsi="Calibri" w:cs="Calibri"/>
          <w:sz w:val="22"/>
          <w:szCs w:val="22"/>
        </w:rPr>
        <w:t>enrollees</w:t>
      </w:r>
      <w:r>
        <w:rPr>
          <w:rFonts w:ascii="Calibri" w:hAnsi="Calibri" w:cs="Calibri"/>
          <w:spacing w:val="-6"/>
          <w:sz w:val="22"/>
          <w:szCs w:val="22"/>
        </w:rPr>
        <w:t xml:space="preserve"> </w:t>
      </w:r>
      <w:r>
        <w:rPr>
          <w:rFonts w:ascii="Calibri" w:hAnsi="Calibri" w:cs="Calibri"/>
          <w:sz w:val="22"/>
          <w:szCs w:val="22"/>
        </w:rPr>
        <w:t>with</w:t>
      </w:r>
      <w:r>
        <w:rPr>
          <w:rFonts w:ascii="Calibri" w:hAnsi="Calibri" w:cs="Calibri"/>
          <w:spacing w:val="-4"/>
          <w:sz w:val="22"/>
          <w:szCs w:val="22"/>
        </w:rPr>
        <w:t xml:space="preserve"> </w:t>
      </w:r>
      <w:r>
        <w:rPr>
          <w:rFonts w:ascii="Calibri" w:hAnsi="Calibri" w:cs="Calibri"/>
          <w:sz w:val="22"/>
          <w:szCs w:val="22"/>
        </w:rPr>
        <w:t>incomes</w:t>
      </w:r>
      <w:r>
        <w:rPr>
          <w:rFonts w:ascii="Calibri" w:hAnsi="Calibri" w:cs="Calibri"/>
          <w:spacing w:val="-4"/>
          <w:sz w:val="22"/>
          <w:szCs w:val="22"/>
        </w:rPr>
        <w:t xml:space="preserve"> </w:t>
      </w:r>
      <w:r>
        <w:rPr>
          <w:rFonts w:ascii="Calibri" w:hAnsi="Calibri" w:cs="Calibri"/>
          <w:sz w:val="22"/>
          <w:szCs w:val="22"/>
        </w:rPr>
        <w:t>at</w:t>
      </w:r>
      <w:r>
        <w:rPr>
          <w:rFonts w:ascii="Calibri" w:hAnsi="Calibri" w:cs="Calibri"/>
          <w:spacing w:val="-10"/>
          <w:sz w:val="22"/>
          <w:szCs w:val="22"/>
        </w:rPr>
        <w:t xml:space="preserve"> </w:t>
      </w:r>
      <w:r>
        <w:rPr>
          <w:rFonts w:ascii="Calibri" w:hAnsi="Calibri" w:cs="Calibri"/>
          <w:sz w:val="22"/>
          <w:szCs w:val="22"/>
        </w:rPr>
        <w:t>or</w:t>
      </w:r>
      <w:r>
        <w:rPr>
          <w:rFonts w:ascii="Calibri" w:hAnsi="Calibri" w:cs="Calibri"/>
          <w:spacing w:val="-4"/>
          <w:sz w:val="22"/>
          <w:szCs w:val="22"/>
        </w:rPr>
        <w:t xml:space="preserve"> </w:t>
      </w:r>
      <w:r>
        <w:rPr>
          <w:rFonts w:ascii="Calibri" w:hAnsi="Calibri" w:cs="Calibri"/>
          <w:spacing w:val="-3"/>
          <w:sz w:val="22"/>
          <w:szCs w:val="22"/>
        </w:rPr>
        <w:t>above</w:t>
      </w:r>
      <w:r>
        <w:rPr>
          <w:rFonts w:ascii="Calibri" w:hAnsi="Calibri" w:cs="Calibri"/>
          <w:spacing w:val="-8"/>
          <w:sz w:val="22"/>
          <w:szCs w:val="22"/>
        </w:rPr>
        <w:t xml:space="preserve"> </w:t>
      </w:r>
      <w:r>
        <w:rPr>
          <w:rFonts w:ascii="Calibri" w:hAnsi="Calibri" w:cs="Calibri"/>
          <w:sz w:val="22"/>
          <w:szCs w:val="22"/>
        </w:rPr>
        <w:t>150%</w:t>
      </w:r>
      <w:r>
        <w:rPr>
          <w:rFonts w:ascii="Calibri" w:hAnsi="Calibri" w:cs="Calibri"/>
          <w:spacing w:val="-3"/>
          <w:sz w:val="22"/>
          <w:szCs w:val="22"/>
        </w:rPr>
        <w:t xml:space="preserve"> FPL; </w:t>
      </w:r>
      <w:r>
        <w:rPr>
          <w:rFonts w:ascii="Calibri" w:hAnsi="Calibri" w:cs="Calibri"/>
          <w:sz w:val="22"/>
          <w:szCs w:val="22"/>
        </w:rPr>
        <w:t>and</w:t>
      </w:r>
    </w:p>
    <w:p w:rsidR="002C5025" w:rsidRDefault="002C5025">
      <w:pPr>
        <w:pStyle w:val="ListParagraph"/>
        <w:numPr>
          <w:ilvl w:val="0"/>
          <w:numId w:val="96"/>
        </w:numPr>
        <w:tabs>
          <w:tab w:val="left" w:pos="840"/>
        </w:tabs>
        <w:kinsoku w:val="0"/>
        <w:overflowPunct w:val="0"/>
        <w:ind w:hanging="360"/>
        <w:rPr>
          <w:rFonts w:ascii="Calibri" w:hAnsi="Calibri" w:cs="Calibri"/>
          <w:sz w:val="22"/>
          <w:szCs w:val="22"/>
        </w:rPr>
      </w:pPr>
      <w:r>
        <w:rPr>
          <w:rFonts w:ascii="Calibri" w:hAnsi="Calibri" w:cs="Calibri"/>
          <w:sz w:val="22"/>
          <w:szCs w:val="22"/>
        </w:rPr>
        <w:t>Imposing</w:t>
      </w:r>
      <w:r>
        <w:rPr>
          <w:rFonts w:ascii="Calibri" w:hAnsi="Calibri" w:cs="Calibri"/>
          <w:spacing w:val="-17"/>
          <w:sz w:val="22"/>
          <w:szCs w:val="22"/>
        </w:rPr>
        <w:t xml:space="preserve"> </w:t>
      </w:r>
      <w:r>
        <w:rPr>
          <w:rFonts w:ascii="Calibri" w:hAnsi="Calibri" w:cs="Calibri"/>
          <w:sz w:val="22"/>
          <w:szCs w:val="22"/>
        </w:rPr>
        <w:t>12-month</w:t>
      </w:r>
      <w:r>
        <w:rPr>
          <w:rFonts w:ascii="Calibri" w:hAnsi="Calibri" w:cs="Calibri"/>
          <w:spacing w:val="-15"/>
          <w:sz w:val="22"/>
          <w:szCs w:val="22"/>
        </w:rPr>
        <w:t xml:space="preserve"> </w:t>
      </w:r>
      <w:r>
        <w:rPr>
          <w:rFonts w:ascii="Calibri" w:hAnsi="Calibri" w:cs="Calibri"/>
          <w:sz w:val="22"/>
          <w:szCs w:val="22"/>
        </w:rPr>
        <w:t>Managed</w:t>
      </w:r>
      <w:r>
        <w:rPr>
          <w:rFonts w:ascii="Calibri" w:hAnsi="Calibri" w:cs="Calibri"/>
          <w:spacing w:val="-13"/>
          <w:sz w:val="22"/>
          <w:szCs w:val="22"/>
        </w:rPr>
        <w:t xml:space="preserve"> </w:t>
      </w:r>
      <w:r>
        <w:rPr>
          <w:rFonts w:ascii="Calibri" w:hAnsi="Calibri" w:cs="Calibri"/>
          <w:sz w:val="22"/>
          <w:szCs w:val="22"/>
        </w:rPr>
        <w:t>Care</w:t>
      </w:r>
      <w:r>
        <w:rPr>
          <w:rFonts w:ascii="Calibri" w:hAnsi="Calibri" w:cs="Calibri"/>
          <w:spacing w:val="-12"/>
          <w:sz w:val="22"/>
          <w:szCs w:val="22"/>
        </w:rPr>
        <w:t xml:space="preserve"> </w:t>
      </w:r>
      <w:r>
        <w:rPr>
          <w:rFonts w:ascii="Calibri" w:hAnsi="Calibri" w:cs="Calibri"/>
          <w:sz w:val="22"/>
          <w:szCs w:val="22"/>
        </w:rPr>
        <w:t>Organization</w:t>
      </w:r>
      <w:r>
        <w:rPr>
          <w:rFonts w:ascii="Calibri" w:hAnsi="Calibri" w:cs="Calibri"/>
          <w:spacing w:val="-17"/>
          <w:sz w:val="22"/>
          <w:szCs w:val="22"/>
        </w:rPr>
        <w:t xml:space="preserve"> </w:t>
      </w:r>
      <w:r>
        <w:rPr>
          <w:rFonts w:ascii="Calibri" w:hAnsi="Calibri" w:cs="Calibri"/>
          <w:sz w:val="22"/>
          <w:szCs w:val="22"/>
        </w:rPr>
        <w:t>(MCO)</w:t>
      </w:r>
      <w:r>
        <w:rPr>
          <w:rFonts w:ascii="Calibri" w:hAnsi="Calibri" w:cs="Calibri"/>
          <w:spacing w:val="-11"/>
          <w:sz w:val="22"/>
          <w:szCs w:val="22"/>
        </w:rPr>
        <w:t xml:space="preserve"> </w:t>
      </w:r>
      <w:r>
        <w:rPr>
          <w:rFonts w:ascii="Calibri" w:hAnsi="Calibri" w:cs="Calibri"/>
          <w:sz w:val="22"/>
          <w:szCs w:val="22"/>
        </w:rPr>
        <w:t>lock-in</w:t>
      </w:r>
      <w:r>
        <w:rPr>
          <w:rFonts w:ascii="Calibri" w:hAnsi="Calibri" w:cs="Calibri"/>
          <w:spacing w:val="-13"/>
          <w:sz w:val="22"/>
          <w:szCs w:val="22"/>
        </w:rPr>
        <w:t xml:space="preserve"> </w:t>
      </w:r>
      <w:r>
        <w:rPr>
          <w:rFonts w:ascii="Calibri" w:hAnsi="Calibri" w:cs="Calibri"/>
          <w:sz w:val="22"/>
          <w:szCs w:val="22"/>
        </w:rPr>
        <w:t>periods.</w:t>
      </w:r>
    </w:p>
    <w:p w:rsidR="002C5025" w:rsidRDefault="002C5025">
      <w:pPr>
        <w:pStyle w:val="BodyText"/>
        <w:kinsoku w:val="0"/>
        <w:overflowPunct w:val="0"/>
        <w:spacing w:before="10"/>
        <w:rPr>
          <w:sz w:val="21"/>
          <w:szCs w:val="21"/>
        </w:rPr>
      </w:pPr>
    </w:p>
    <w:p w:rsidR="002C5025" w:rsidRDefault="002C5025">
      <w:pPr>
        <w:pStyle w:val="BodyText"/>
        <w:kinsoku w:val="0"/>
        <w:overflowPunct w:val="0"/>
        <w:ind w:left="118" w:right="63"/>
        <w:rPr>
          <w:b/>
          <w:bCs/>
          <w:i/>
          <w:iCs/>
        </w:rPr>
      </w:pPr>
      <w:r>
        <w:rPr>
          <w:b/>
          <w:bCs/>
          <w:i/>
          <w:iCs/>
        </w:rPr>
        <w:t>PCC Plan Changes</w:t>
      </w:r>
    </w:p>
    <w:p w:rsidR="002C5025" w:rsidRDefault="002C5025">
      <w:pPr>
        <w:pStyle w:val="BodyText"/>
        <w:kinsoku w:val="0"/>
        <w:overflowPunct w:val="0"/>
        <w:ind w:left="118" w:right="63"/>
      </w:pPr>
      <w:r>
        <w:t>We</w:t>
      </w:r>
      <w:r>
        <w:rPr>
          <w:spacing w:val="-4"/>
        </w:rPr>
        <w:t xml:space="preserve"> </w:t>
      </w:r>
      <w:r>
        <w:t>understand</w:t>
      </w:r>
      <w:r>
        <w:rPr>
          <w:spacing w:val="-9"/>
        </w:rPr>
        <w:t xml:space="preserve"> </w:t>
      </w:r>
      <w:r>
        <w:t>that</w:t>
      </w:r>
      <w:r>
        <w:rPr>
          <w:spacing w:val="-8"/>
        </w:rPr>
        <w:t xml:space="preserve"> </w:t>
      </w:r>
      <w:r>
        <w:t>MassHealth</w:t>
      </w:r>
      <w:r>
        <w:rPr>
          <w:spacing w:val="-6"/>
        </w:rPr>
        <w:t xml:space="preserve"> </w:t>
      </w:r>
      <w:r>
        <w:t>is</w:t>
      </w:r>
      <w:r>
        <w:rPr>
          <w:spacing w:val="-6"/>
        </w:rPr>
        <w:t xml:space="preserve"> </w:t>
      </w:r>
      <w:r>
        <w:t>proposing</w:t>
      </w:r>
      <w:r>
        <w:rPr>
          <w:spacing w:val="-9"/>
        </w:rPr>
        <w:t xml:space="preserve"> </w:t>
      </w:r>
      <w:r>
        <w:t>changes</w:t>
      </w:r>
      <w:r>
        <w:rPr>
          <w:spacing w:val="-9"/>
        </w:rPr>
        <w:t xml:space="preserve"> </w:t>
      </w:r>
      <w:r>
        <w:t>to</w:t>
      </w:r>
      <w:r>
        <w:rPr>
          <w:spacing w:val="-6"/>
        </w:rPr>
        <w:t xml:space="preserve"> </w:t>
      </w:r>
      <w:r>
        <w:t>the</w:t>
      </w:r>
      <w:r>
        <w:rPr>
          <w:spacing w:val="-8"/>
        </w:rPr>
        <w:t xml:space="preserve"> </w:t>
      </w:r>
      <w:r>
        <w:t>PCC</w:t>
      </w:r>
      <w:r>
        <w:rPr>
          <w:spacing w:val="-9"/>
        </w:rPr>
        <w:t xml:space="preserve"> </w:t>
      </w:r>
      <w:r>
        <w:t>Plan</w:t>
      </w:r>
      <w:r>
        <w:rPr>
          <w:spacing w:val="-7"/>
        </w:rPr>
        <w:t xml:space="preserve"> </w:t>
      </w:r>
      <w:r>
        <w:t>in</w:t>
      </w:r>
      <w:r>
        <w:rPr>
          <w:spacing w:val="-7"/>
        </w:rPr>
        <w:t xml:space="preserve"> </w:t>
      </w:r>
      <w:r>
        <w:t>order</w:t>
      </w:r>
      <w:r>
        <w:rPr>
          <w:spacing w:val="-9"/>
        </w:rPr>
        <w:t xml:space="preserve"> </w:t>
      </w:r>
      <w:r>
        <w:t>to</w:t>
      </w:r>
      <w:r>
        <w:rPr>
          <w:spacing w:val="-7"/>
        </w:rPr>
        <w:t xml:space="preserve"> </w:t>
      </w:r>
      <w:r>
        <w:t>incentive</w:t>
      </w:r>
      <w:r>
        <w:rPr>
          <w:spacing w:val="-10"/>
        </w:rPr>
        <w:t xml:space="preserve"> </w:t>
      </w:r>
      <w:r>
        <w:t>members</w:t>
      </w:r>
      <w:r>
        <w:rPr>
          <w:spacing w:val="-9"/>
        </w:rPr>
        <w:t xml:space="preserve"> </w:t>
      </w:r>
      <w:r>
        <w:t>to</w:t>
      </w:r>
      <w:r>
        <w:rPr>
          <w:spacing w:val="-7"/>
        </w:rPr>
        <w:t xml:space="preserve"> </w:t>
      </w:r>
      <w:r>
        <w:t>enroll</w:t>
      </w:r>
      <w:r>
        <w:rPr>
          <w:spacing w:val="-5"/>
        </w:rPr>
        <w:t xml:space="preserve"> </w:t>
      </w:r>
      <w:r>
        <w:t xml:space="preserve">in an MCO and/or one of the new ACO models. </w:t>
      </w:r>
      <w:r>
        <w:rPr>
          <w:spacing w:val="-3"/>
        </w:rPr>
        <w:t xml:space="preserve">However, </w:t>
      </w:r>
      <w:r>
        <w:t xml:space="preserve">the proposed policies will impose barriers to care for members remaining in the PCC Plan. MassHealth should not </w:t>
      </w:r>
      <w:r>
        <w:rPr>
          <w:spacing w:val="-3"/>
        </w:rPr>
        <w:t xml:space="preserve">penalize </w:t>
      </w:r>
      <w:r>
        <w:t>members who make the “wrong” choice. We</w:t>
      </w:r>
      <w:r>
        <w:rPr>
          <w:spacing w:val="-5"/>
        </w:rPr>
        <w:t xml:space="preserve"> </w:t>
      </w:r>
      <w:r>
        <w:rPr>
          <w:spacing w:val="-3"/>
        </w:rPr>
        <w:t>urge</w:t>
      </w:r>
      <w:r>
        <w:rPr>
          <w:spacing w:val="-7"/>
        </w:rPr>
        <w:t xml:space="preserve"> </w:t>
      </w:r>
      <w:r>
        <w:t>you</w:t>
      </w:r>
      <w:r>
        <w:rPr>
          <w:spacing w:val="-8"/>
        </w:rPr>
        <w:t xml:space="preserve"> </w:t>
      </w:r>
      <w:r>
        <w:t>to</w:t>
      </w:r>
      <w:r>
        <w:rPr>
          <w:spacing w:val="-6"/>
        </w:rPr>
        <w:t xml:space="preserve"> </w:t>
      </w:r>
      <w:r>
        <w:t>rescind</w:t>
      </w:r>
      <w:r>
        <w:rPr>
          <w:spacing w:val="-8"/>
        </w:rPr>
        <w:t xml:space="preserve"> </w:t>
      </w:r>
      <w:r>
        <w:t>the</w:t>
      </w:r>
      <w:r>
        <w:rPr>
          <w:spacing w:val="-9"/>
        </w:rPr>
        <w:t xml:space="preserve"> </w:t>
      </w:r>
      <w:r>
        <w:t>proposal</w:t>
      </w:r>
      <w:r>
        <w:rPr>
          <w:spacing w:val="-7"/>
        </w:rPr>
        <w:t xml:space="preserve"> </w:t>
      </w:r>
      <w:r>
        <w:t>to</w:t>
      </w:r>
      <w:r>
        <w:rPr>
          <w:spacing w:val="-5"/>
        </w:rPr>
        <w:t xml:space="preserve"> </w:t>
      </w:r>
      <w:r>
        <w:t>reduce</w:t>
      </w:r>
      <w:r>
        <w:rPr>
          <w:spacing w:val="-5"/>
        </w:rPr>
        <w:t xml:space="preserve"> </w:t>
      </w:r>
      <w:r>
        <w:t>benefits</w:t>
      </w:r>
      <w:r>
        <w:rPr>
          <w:spacing w:val="-7"/>
        </w:rPr>
        <w:t xml:space="preserve"> </w:t>
      </w:r>
      <w:r>
        <w:t>and</w:t>
      </w:r>
      <w:r>
        <w:rPr>
          <w:spacing w:val="-8"/>
        </w:rPr>
        <w:t xml:space="preserve"> </w:t>
      </w:r>
      <w:r>
        <w:t>increase</w:t>
      </w:r>
      <w:r>
        <w:rPr>
          <w:spacing w:val="-5"/>
        </w:rPr>
        <w:t xml:space="preserve"> </w:t>
      </w:r>
      <w:r>
        <w:t>copays</w:t>
      </w:r>
      <w:r>
        <w:rPr>
          <w:spacing w:val="-7"/>
        </w:rPr>
        <w:t xml:space="preserve"> </w:t>
      </w:r>
      <w:r>
        <w:t>for</w:t>
      </w:r>
      <w:r>
        <w:rPr>
          <w:spacing w:val="-10"/>
        </w:rPr>
        <w:t xml:space="preserve"> </w:t>
      </w:r>
      <w:r>
        <w:t>PCC</w:t>
      </w:r>
      <w:r>
        <w:rPr>
          <w:spacing w:val="-5"/>
        </w:rPr>
        <w:t xml:space="preserve"> </w:t>
      </w:r>
      <w:r>
        <w:t>Plan</w:t>
      </w:r>
      <w:r>
        <w:rPr>
          <w:spacing w:val="-10"/>
        </w:rPr>
        <w:t xml:space="preserve"> </w:t>
      </w:r>
      <w:r>
        <w:t>members.</w:t>
      </w:r>
    </w:p>
    <w:p w:rsidR="002C5025" w:rsidRDefault="002C5025">
      <w:pPr>
        <w:pStyle w:val="BodyText"/>
        <w:kinsoku w:val="0"/>
        <w:overflowPunct w:val="0"/>
        <w:spacing w:before="4"/>
      </w:pPr>
    </w:p>
    <w:p w:rsidR="002C5025" w:rsidRDefault="002C5025">
      <w:pPr>
        <w:pStyle w:val="BodyText"/>
        <w:kinsoku w:val="0"/>
        <w:overflowPunct w:val="0"/>
        <w:spacing w:line="235" w:lineRule="auto"/>
        <w:ind w:left="118" w:right="45" w:firstLine="1"/>
        <w:rPr>
          <w:position w:val="10"/>
          <w:sz w:val="14"/>
          <w:szCs w:val="14"/>
        </w:rPr>
      </w:pPr>
      <w:r>
        <w:t xml:space="preserve">MassHealth MCOs provide good quality care and are the right choice for many members, but an MCO is </w:t>
      </w:r>
      <w:r>
        <w:rPr>
          <w:spacing w:val="-2"/>
        </w:rPr>
        <w:t xml:space="preserve">not </w:t>
      </w:r>
      <w:r>
        <w:t xml:space="preserve">the right choice for everyone. Most MassHealth MCOs’ provider networks exclude some providers who are still available in the PCC Plan. The PCC Plan </w:t>
      </w:r>
      <w:r>
        <w:rPr>
          <w:spacing w:val="-3"/>
        </w:rPr>
        <w:t xml:space="preserve">has </w:t>
      </w:r>
      <w:r>
        <w:t xml:space="preserve">been a lifeline for medically complex patients, including people with disabilities, when faced with </w:t>
      </w:r>
      <w:r>
        <w:rPr>
          <w:spacing w:val="-3"/>
        </w:rPr>
        <w:t xml:space="preserve">narrow </w:t>
      </w:r>
      <w:r>
        <w:t>provider networks and other restrictions in the MassHealth MCOs that may not meet their needs. In fact, PCC Plan membership consists of a higher percentage of people with disabilities (17%) than MCO membership (8%).</w:t>
      </w:r>
      <w:r>
        <w:rPr>
          <w:position w:val="10"/>
          <w:sz w:val="14"/>
          <w:szCs w:val="14"/>
        </w:rPr>
        <w:t>1</w:t>
      </w:r>
    </w:p>
    <w:p w:rsidR="002C5025" w:rsidRDefault="002C5025">
      <w:pPr>
        <w:pStyle w:val="BodyText"/>
        <w:kinsoku w:val="0"/>
        <w:overflowPunct w:val="0"/>
        <w:spacing w:before="11"/>
        <w:rPr>
          <w:sz w:val="21"/>
          <w:szCs w:val="21"/>
        </w:rPr>
      </w:pPr>
    </w:p>
    <w:p w:rsidR="002C5025" w:rsidRDefault="002C5025">
      <w:pPr>
        <w:pStyle w:val="BodyText"/>
        <w:kinsoku w:val="0"/>
        <w:overflowPunct w:val="0"/>
        <w:ind w:left="119" w:right="716"/>
      </w:pPr>
      <w:r>
        <w:t xml:space="preserve">In addition, the PCC Plan </w:t>
      </w:r>
      <w:r>
        <w:rPr>
          <w:spacing w:val="-3"/>
        </w:rPr>
        <w:t xml:space="preserve">has </w:t>
      </w:r>
      <w:r>
        <w:t xml:space="preserve">initiated many innovative programs for people with complex medical </w:t>
      </w:r>
      <w:r>
        <w:rPr>
          <w:spacing w:val="-3"/>
        </w:rPr>
        <w:t xml:space="preserve">needs </w:t>
      </w:r>
      <w:r>
        <w:t>including:</w:t>
      </w:r>
    </w:p>
    <w:p w:rsidR="002C5025" w:rsidRDefault="002C5025">
      <w:pPr>
        <w:pStyle w:val="ListParagraph"/>
        <w:numPr>
          <w:ilvl w:val="0"/>
          <w:numId w:val="96"/>
        </w:numPr>
        <w:tabs>
          <w:tab w:val="left" w:pos="840"/>
        </w:tabs>
        <w:kinsoku w:val="0"/>
        <w:overflowPunct w:val="0"/>
        <w:ind w:left="838" w:right="371" w:hanging="359"/>
        <w:rPr>
          <w:rFonts w:ascii="Calibri" w:hAnsi="Calibri" w:cs="Calibri"/>
          <w:spacing w:val="-4"/>
          <w:sz w:val="22"/>
          <w:szCs w:val="22"/>
        </w:rPr>
      </w:pPr>
      <w:r>
        <w:rPr>
          <w:rFonts w:ascii="Calibri" w:hAnsi="Calibri" w:cs="Calibri"/>
          <w:sz w:val="22"/>
          <w:szCs w:val="22"/>
        </w:rPr>
        <w:t>A</w:t>
      </w:r>
      <w:r>
        <w:rPr>
          <w:rFonts w:ascii="Calibri" w:hAnsi="Calibri" w:cs="Calibri"/>
          <w:spacing w:val="-6"/>
          <w:sz w:val="22"/>
          <w:szCs w:val="22"/>
        </w:rPr>
        <w:t xml:space="preserve"> </w:t>
      </w:r>
      <w:r>
        <w:rPr>
          <w:rFonts w:ascii="Calibri" w:hAnsi="Calibri" w:cs="Calibri"/>
          <w:sz w:val="22"/>
          <w:szCs w:val="22"/>
        </w:rPr>
        <w:t>program</w:t>
      </w:r>
      <w:r>
        <w:rPr>
          <w:rFonts w:ascii="Calibri" w:hAnsi="Calibri" w:cs="Calibri"/>
          <w:spacing w:val="-7"/>
          <w:sz w:val="22"/>
          <w:szCs w:val="22"/>
        </w:rPr>
        <w:t xml:space="preserve"> </w:t>
      </w:r>
      <w:r>
        <w:rPr>
          <w:rFonts w:ascii="Calibri" w:hAnsi="Calibri" w:cs="Calibri"/>
          <w:sz w:val="22"/>
          <w:szCs w:val="22"/>
        </w:rPr>
        <w:t>for</w:t>
      </w:r>
      <w:r>
        <w:rPr>
          <w:rFonts w:ascii="Calibri" w:hAnsi="Calibri" w:cs="Calibri"/>
          <w:spacing w:val="-8"/>
          <w:sz w:val="22"/>
          <w:szCs w:val="22"/>
        </w:rPr>
        <w:t xml:space="preserve"> </w:t>
      </w:r>
      <w:r>
        <w:rPr>
          <w:rFonts w:ascii="Calibri" w:hAnsi="Calibri" w:cs="Calibri"/>
          <w:sz w:val="22"/>
          <w:szCs w:val="22"/>
        </w:rPr>
        <w:t>housing</w:t>
      </w:r>
      <w:r>
        <w:rPr>
          <w:rFonts w:ascii="Calibri" w:hAnsi="Calibri" w:cs="Calibri"/>
          <w:spacing w:val="-9"/>
          <w:sz w:val="22"/>
          <w:szCs w:val="22"/>
        </w:rPr>
        <w:t xml:space="preserve"> </w:t>
      </w:r>
      <w:r>
        <w:rPr>
          <w:rFonts w:ascii="Calibri" w:hAnsi="Calibri" w:cs="Calibri"/>
          <w:sz w:val="22"/>
          <w:szCs w:val="22"/>
        </w:rPr>
        <w:t>support</w:t>
      </w:r>
      <w:r>
        <w:rPr>
          <w:rFonts w:ascii="Calibri" w:hAnsi="Calibri" w:cs="Calibri"/>
          <w:spacing w:val="-8"/>
          <w:sz w:val="22"/>
          <w:szCs w:val="22"/>
        </w:rPr>
        <w:t xml:space="preserve"> </w:t>
      </w:r>
      <w:r>
        <w:rPr>
          <w:rFonts w:ascii="Calibri" w:hAnsi="Calibri" w:cs="Calibri"/>
          <w:sz w:val="22"/>
          <w:szCs w:val="22"/>
        </w:rPr>
        <w:t>services</w:t>
      </w:r>
      <w:r>
        <w:rPr>
          <w:rFonts w:ascii="Calibri" w:hAnsi="Calibri" w:cs="Calibri"/>
          <w:spacing w:val="-8"/>
          <w:sz w:val="22"/>
          <w:szCs w:val="22"/>
        </w:rPr>
        <w:t xml:space="preserve"> </w:t>
      </w:r>
      <w:r>
        <w:rPr>
          <w:rFonts w:ascii="Calibri" w:hAnsi="Calibri" w:cs="Calibri"/>
          <w:sz w:val="22"/>
          <w:szCs w:val="22"/>
        </w:rPr>
        <w:t>for</w:t>
      </w:r>
      <w:r>
        <w:rPr>
          <w:rFonts w:ascii="Calibri" w:hAnsi="Calibri" w:cs="Calibri"/>
          <w:spacing w:val="-8"/>
          <w:sz w:val="22"/>
          <w:szCs w:val="22"/>
        </w:rPr>
        <w:t xml:space="preserve"> </w:t>
      </w:r>
      <w:r>
        <w:rPr>
          <w:rFonts w:ascii="Calibri" w:hAnsi="Calibri" w:cs="Calibri"/>
          <w:sz w:val="22"/>
          <w:szCs w:val="22"/>
        </w:rPr>
        <w:t>chronically</w:t>
      </w:r>
      <w:r>
        <w:rPr>
          <w:rFonts w:ascii="Calibri" w:hAnsi="Calibri" w:cs="Calibri"/>
          <w:spacing w:val="-7"/>
          <w:sz w:val="22"/>
          <w:szCs w:val="22"/>
        </w:rPr>
        <w:t xml:space="preserve"> </w:t>
      </w:r>
      <w:r>
        <w:rPr>
          <w:rFonts w:ascii="Calibri" w:hAnsi="Calibri" w:cs="Calibri"/>
          <w:sz w:val="22"/>
          <w:szCs w:val="22"/>
        </w:rPr>
        <w:t>ill</w:t>
      </w:r>
      <w:r>
        <w:rPr>
          <w:rFonts w:ascii="Calibri" w:hAnsi="Calibri" w:cs="Calibri"/>
          <w:spacing w:val="-6"/>
          <w:sz w:val="22"/>
          <w:szCs w:val="22"/>
        </w:rPr>
        <w:t xml:space="preserve"> </w:t>
      </w:r>
      <w:r>
        <w:rPr>
          <w:rFonts w:ascii="Calibri" w:hAnsi="Calibri" w:cs="Calibri"/>
          <w:sz w:val="22"/>
          <w:szCs w:val="22"/>
        </w:rPr>
        <w:t>and</w:t>
      </w:r>
      <w:r>
        <w:rPr>
          <w:rFonts w:ascii="Calibri" w:hAnsi="Calibri" w:cs="Calibri"/>
          <w:spacing w:val="-9"/>
          <w:sz w:val="22"/>
          <w:szCs w:val="22"/>
        </w:rPr>
        <w:t xml:space="preserve"> </w:t>
      </w:r>
      <w:r>
        <w:rPr>
          <w:rFonts w:ascii="Calibri" w:hAnsi="Calibri" w:cs="Calibri"/>
          <w:sz w:val="22"/>
          <w:szCs w:val="22"/>
        </w:rPr>
        <w:t>homeless</w:t>
      </w:r>
      <w:r>
        <w:rPr>
          <w:rFonts w:ascii="Calibri" w:hAnsi="Calibri" w:cs="Calibri"/>
          <w:spacing w:val="-8"/>
          <w:sz w:val="22"/>
          <w:szCs w:val="22"/>
        </w:rPr>
        <w:t xml:space="preserve"> </w:t>
      </w:r>
      <w:r>
        <w:rPr>
          <w:rFonts w:ascii="Calibri" w:hAnsi="Calibri" w:cs="Calibri"/>
          <w:sz w:val="22"/>
          <w:szCs w:val="22"/>
        </w:rPr>
        <w:t>individuals</w:t>
      </w:r>
      <w:r>
        <w:rPr>
          <w:rFonts w:ascii="Calibri" w:hAnsi="Calibri" w:cs="Calibri"/>
          <w:spacing w:val="-6"/>
          <w:sz w:val="22"/>
          <w:szCs w:val="22"/>
        </w:rPr>
        <w:t xml:space="preserve"> </w:t>
      </w:r>
      <w:r>
        <w:rPr>
          <w:rFonts w:ascii="Calibri" w:hAnsi="Calibri" w:cs="Calibri"/>
          <w:sz w:val="22"/>
          <w:szCs w:val="22"/>
        </w:rPr>
        <w:t>that</w:t>
      </w:r>
      <w:r>
        <w:rPr>
          <w:rFonts w:ascii="Calibri" w:hAnsi="Calibri" w:cs="Calibri"/>
          <w:spacing w:val="-8"/>
          <w:sz w:val="22"/>
          <w:szCs w:val="22"/>
        </w:rPr>
        <w:t xml:space="preserve"> </w:t>
      </w:r>
      <w:r>
        <w:rPr>
          <w:rFonts w:ascii="Calibri" w:hAnsi="Calibri" w:cs="Calibri"/>
          <w:sz w:val="22"/>
          <w:szCs w:val="22"/>
        </w:rPr>
        <w:t>has</w:t>
      </w:r>
      <w:r>
        <w:rPr>
          <w:rFonts w:ascii="Calibri" w:hAnsi="Calibri" w:cs="Calibri"/>
          <w:spacing w:val="-10"/>
          <w:sz w:val="22"/>
          <w:szCs w:val="22"/>
        </w:rPr>
        <w:t xml:space="preserve"> </w:t>
      </w:r>
      <w:r>
        <w:rPr>
          <w:rFonts w:ascii="Calibri" w:hAnsi="Calibri" w:cs="Calibri"/>
          <w:spacing w:val="-2"/>
          <w:sz w:val="22"/>
          <w:szCs w:val="22"/>
        </w:rPr>
        <w:t>now</w:t>
      </w:r>
      <w:r>
        <w:rPr>
          <w:rFonts w:ascii="Calibri" w:hAnsi="Calibri" w:cs="Calibri"/>
          <w:spacing w:val="-8"/>
          <w:sz w:val="22"/>
          <w:szCs w:val="22"/>
        </w:rPr>
        <w:t xml:space="preserve"> </w:t>
      </w:r>
      <w:r>
        <w:rPr>
          <w:rFonts w:ascii="Calibri" w:hAnsi="Calibri" w:cs="Calibri"/>
          <w:sz w:val="22"/>
          <w:szCs w:val="22"/>
        </w:rPr>
        <w:t xml:space="preserve">been extended to </w:t>
      </w:r>
      <w:r>
        <w:rPr>
          <w:rFonts w:ascii="Calibri" w:hAnsi="Calibri" w:cs="Calibri"/>
          <w:spacing w:val="-2"/>
          <w:sz w:val="22"/>
          <w:szCs w:val="22"/>
        </w:rPr>
        <w:t xml:space="preserve">the </w:t>
      </w:r>
      <w:r>
        <w:rPr>
          <w:rFonts w:ascii="Calibri" w:hAnsi="Calibri" w:cs="Calibri"/>
          <w:sz w:val="22"/>
          <w:szCs w:val="22"/>
        </w:rPr>
        <w:t>MCOs</w:t>
      </w:r>
      <w:r>
        <w:rPr>
          <w:rFonts w:ascii="Calibri" w:hAnsi="Calibri" w:cs="Calibri"/>
          <w:spacing w:val="-8"/>
          <w:sz w:val="22"/>
          <w:szCs w:val="22"/>
        </w:rPr>
        <w:t xml:space="preserve"> </w:t>
      </w:r>
      <w:r>
        <w:rPr>
          <w:rFonts w:ascii="Calibri" w:hAnsi="Calibri" w:cs="Calibri"/>
          <w:spacing w:val="-4"/>
          <w:sz w:val="22"/>
          <w:szCs w:val="22"/>
        </w:rPr>
        <w:t>(CSPECH);</w:t>
      </w:r>
    </w:p>
    <w:p w:rsidR="002C5025" w:rsidRDefault="002C5025">
      <w:pPr>
        <w:pStyle w:val="ListParagraph"/>
        <w:numPr>
          <w:ilvl w:val="0"/>
          <w:numId w:val="96"/>
        </w:numPr>
        <w:tabs>
          <w:tab w:val="left" w:pos="839"/>
        </w:tabs>
        <w:kinsoku w:val="0"/>
        <w:overflowPunct w:val="0"/>
        <w:ind w:left="838" w:right="105" w:hanging="360"/>
        <w:rPr>
          <w:rFonts w:ascii="Calibri" w:hAnsi="Calibri" w:cs="Calibri"/>
          <w:sz w:val="22"/>
          <w:szCs w:val="22"/>
        </w:rPr>
      </w:pPr>
      <w:r>
        <w:rPr>
          <w:rFonts w:ascii="Calibri" w:hAnsi="Calibri" w:cs="Calibri"/>
          <w:sz w:val="22"/>
          <w:szCs w:val="22"/>
        </w:rPr>
        <w:t>Recovery</w:t>
      </w:r>
      <w:r>
        <w:rPr>
          <w:rFonts w:ascii="Calibri" w:hAnsi="Calibri" w:cs="Calibri"/>
          <w:spacing w:val="-6"/>
          <w:sz w:val="22"/>
          <w:szCs w:val="22"/>
        </w:rPr>
        <w:t xml:space="preserve"> </w:t>
      </w:r>
      <w:r>
        <w:rPr>
          <w:rFonts w:ascii="Calibri" w:hAnsi="Calibri" w:cs="Calibri"/>
          <w:sz w:val="22"/>
          <w:szCs w:val="22"/>
        </w:rPr>
        <w:t>peer</w:t>
      </w:r>
      <w:r>
        <w:rPr>
          <w:rFonts w:ascii="Calibri" w:hAnsi="Calibri" w:cs="Calibri"/>
          <w:spacing w:val="-7"/>
          <w:sz w:val="22"/>
          <w:szCs w:val="22"/>
        </w:rPr>
        <w:t xml:space="preserve"> </w:t>
      </w:r>
      <w:r>
        <w:rPr>
          <w:rFonts w:ascii="Calibri" w:hAnsi="Calibri" w:cs="Calibri"/>
          <w:sz w:val="22"/>
          <w:szCs w:val="22"/>
        </w:rPr>
        <w:t>navigators</w:t>
      </w:r>
      <w:r>
        <w:rPr>
          <w:rFonts w:ascii="Calibri" w:hAnsi="Calibri" w:cs="Calibri"/>
          <w:spacing w:val="-7"/>
          <w:sz w:val="22"/>
          <w:szCs w:val="22"/>
        </w:rPr>
        <w:t xml:space="preserve"> </w:t>
      </w:r>
      <w:r>
        <w:rPr>
          <w:rFonts w:ascii="Calibri" w:hAnsi="Calibri" w:cs="Calibri"/>
          <w:sz w:val="22"/>
          <w:szCs w:val="22"/>
        </w:rPr>
        <w:t>for</w:t>
      </w:r>
      <w:r>
        <w:rPr>
          <w:rFonts w:ascii="Calibri" w:hAnsi="Calibri" w:cs="Calibri"/>
          <w:spacing w:val="-7"/>
          <w:sz w:val="22"/>
          <w:szCs w:val="22"/>
        </w:rPr>
        <w:t xml:space="preserve"> </w:t>
      </w:r>
      <w:r>
        <w:rPr>
          <w:rFonts w:ascii="Calibri" w:hAnsi="Calibri" w:cs="Calibri"/>
          <w:sz w:val="22"/>
          <w:szCs w:val="22"/>
        </w:rPr>
        <w:t>repeated</w:t>
      </w:r>
      <w:r>
        <w:rPr>
          <w:rFonts w:ascii="Calibri" w:hAnsi="Calibri" w:cs="Calibri"/>
          <w:spacing w:val="-9"/>
          <w:sz w:val="22"/>
          <w:szCs w:val="22"/>
        </w:rPr>
        <w:t xml:space="preserve"> </w:t>
      </w:r>
      <w:r>
        <w:rPr>
          <w:rFonts w:ascii="Calibri" w:hAnsi="Calibri" w:cs="Calibri"/>
          <w:sz w:val="22"/>
          <w:szCs w:val="22"/>
        </w:rPr>
        <w:t>users</w:t>
      </w:r>
      <w:r>
        <w:rPr>
          <w:rFonts w:ascii="Calibri" w:hAnsi="Calibri" w:cs="Calibri"/>
          <w:spacing w:val="-10"/>
          <w:sz w:val="22"/>
          <w:szCs w:val="22"/>
        </w:rPr>
        <w:t xml:space="preserve"> </w:t>
      </w:r>
      <w:r>
        <w:rPr>
          <w:rFonts w:ascii="Calibri" w:hAnsi="Calibri" w:cs="Calibri"/>
          <w:sz w:val="22"/>
          <w:szCs w:val="22"/>
        </w:rPr>
        <w:t>of</w:t>
      </w:r>
      <w:r>
        <w:rPr>
          <w:rFonts w:ascii="Calibri" w:hAnsi="Calibri" w:cs="Calibri"/>
          <w:spacing w:val="-8"/>
          <w:sz w:val="22"/>
          <w:szCs w:val="22"/>
        </w:rPr>
        <w:t xml:space="preserve"> </w:t>
      </w:r>
      <w:r>
        <w:rPr>
          <w:rFonts w:ascii="Calibri" w:hAnsi="Calibri" w:cs="Calibri"/>
          <w:sz w:val="22"/>
          <w:szCs w:val="22"/>
        </w:rPr>
        <w:t>detox</w:t>
      </w:r>
      <w:r>
        <w:rPr>
          <w:rFonts w:ascii="Calibri" w:hAnsi="Calibri" w:cs="Calibri"/>
          <w:spacing w:val="-10"/>
          <w:sz w:val="22"/>
          <w:szCs w:val="22"/>
        </w:rPr>
        <w:t xml:space="preserve"> </w:t>
      </w:r>
      <w:r>
        <w:rPr>
          <w:rFonts w:ascii="Calibri" w:hAnsi="Calibri" w:cs="Calibri"/>
          <w:sz w:val="22"/>
          <w:szCs w:val="22"/>
        </w:rPr>
        <w:t>services</w:t>
      </w:r>
      <w:r>
        <w:rPr>
          <w:rFonts w:ascii="Calibri" w:hAnsi="Calibri" w:cs="Calibri"/>
          <w:spacing w:val="-8"/>
          <w:sz w:val="22"/>
          <w:szCs w:val="22"/>
        </w:rPr>
        <w:t xml:space="preserve"> </w:t>
      </w:r>
      <w:r>
        <w:rPr>
          <w:rFonts w:ascii="Calibri" w:hAnsi="Calibri" w:cs="Calibri"/>
          <w:sz w:val="22"/>
          <w:szCs w:val="22"/>
        </w:rPr>
        <w:t>through</w:t>
      </w:r>
      <w:r>
        <w:rPr>
          <w:rFonts w:ascii="Calibri" w:hAnsi="Calibri" w:cs="Calibri"/>
          <w:spacing w:val="-9"/>
          <w:sz w:val="22"/>
          <w:szCs w:val="22"/>
        </w:rPr>
        <w:t xml:space="preserve"> </w:t>
      </w:r>
      <w:r>
        <w:rPr>
          <w:rFonts w:ascii="Calibri" w:hAnsi="Calibri" w:cs="Calibri"/>
          <w:sz w:val="22"/>
          <w:szCs w:val="22"/>
        </w:rPr>
        <w:t>a</w:t>
      </w:r>
      <w:r>
        <w:rPr>
          <w:rFonts w:ascii="Calibri" w:hAnsi="Calibri" w:cs="Calibri"/>
          <w:spacing w:val="-7"/>
          <w:sz w:val="22"/>
          <w:szCs w:val="22"/>
        </w:rPr>
        <w:t xml:space="preserve"> </w:t>
      </w:r>
      <w:r>
        <w:rPr>
          <w:rFonts w:ascii="Calibri" w:hAnsi="Calibri" w:cs="Calibri"/>
          <w:sz w:val="22"/>
          <w:szCs w:val="22"/>
        </w:rPr>
        <w:t>CMS</w:t>
      </w:r>
      <w:r>
        <w:rPr>
          <w:rFonts w:ascii="Calibri" w:hAnsi="Calibri" w:cs="Calibri"/>
          <w:spacing w:val="-8"/>
          <w:sz w:val="22"/>
          <w:szCs w:val="22"/>
        </w:rPr>
        <w:t xml:space="preserve"> </w:t>
      </w:r>
      <w:r>
        <w:rPr>
          <w:rFonts w:ascii="Calibri" w:hAnsi="Calibri" w:cs="Calibri"/>
          <w:sz w:val="22"/>
          <w:szCs w:val="22"/>
        </w:rPr>
        <w:t>Health</w:t>
      </w:r>
      <w:r>
        <w:rPr>
          <w:rFonts w:ascii="Calibri" w:hAnsi="Calibri" w:cs="Calibri"/>
          <w:spacing w:val="-9"/>
          <w:sz w:val="22"/>
          <w:szCs w:val="22"/>
        </w:rPr>
        <w:t xml:space="preserve"> </w:t>
      </w:r>
      <w:r>
        <w:rPr>
          <w:rFonts w:ascii="Calibri" w:hAnsi="Calibri" w:cs="Calibri"/>
          <w:sz w:val="22"/>
          <w:szCs w:val="22"/>
        </w:rPr>
        <w:t>Innovations</w:t>
      </w:r>
      <w:r>
        <w:rPr>
          <w:rFonts w:ascii="Calibri" w:hAnsi="Calibri" w:cs="Calibri"/>
          <w:spacing w:val="-11"/>
          <w:sz w:val="22"/>
          <w:szCs w:val="22"/>
        </w:rPr>
        <w:t xml:space="preserve"> </w:t>
      </w:r>
      <w:r>
        <w:rPr>
          <w:rFonts w:ascii="Calibri" w:hAnsi="Calibri" w:cs="Calibri"/>
          <w:spacing w:val="-3"/>
          <w:sz w:val="22"/>
          <w:szCs w:val="22"/>
        </w:rPr>
        <w:t xml:space="preserve">Award; </w:t>
      </w:r>
      <w:r>
        <w:rPr>
          <w:rFonts w:ascii="Calibri" w:hAnsi="Calibri" w:cs="Calibri"/>
          <w:sz w:val="22"/>
          <w:szCs w:val="22"/>
        </w:rPr>
        <w:t>and</w:t>
      </w:r>
    </w:p>
    <w:p w:rsidR="002C5025" w:rsidRDefault="002C5025">
      <w:pPr>
        <w:pStyle w:val="ListParagraph"/>
        <w:numPr>
          <w:ilvl w:val="0"/>
          <w:numId w:val="96"/>
        </w:numPr>
        <w:tabs>
          <w:tab w:val="left" w:pos="840"/>
        </w:tabs>
        <w:kinsoku w:val="0"/>
        <w:overflowPunct w:val="0"/>
        <w:ind w:right="444"/>
        <w:rPr>
          <w:rFonts w:ascii="Calibri" w:hAnsi="Calibri" w:cs="Calibri"/>
          <w:sz w:val="22"/>
          <w:szCs w:val="22"/>
        </w:rPr>
      </w:pPr>
      <w:r>
        <w:rPr>
          <w:rFonts w:ascii="Calibri" w:hAnsi="Calibri" w:cs="Calibri"/>
          <w:sz w:val="22"/>
          <w:szCs w:val="22"/>
        </w:rPr>
        <w:t>An</w:t>
      </w:r>
      <w:r>
        <w:rPr>
          <w:rFonts w:ascii="Calibri" w:hAnsi="Calibri" w:cs="Calibri"/>
          <w:spacing w:val="-9"/>
          <w:sz w:val="22"/>
          <w:szCs w:val="22"/>
        </w:rPr>
        <w:t xml:space="preserve"> </w:t>
      </w:r>
      <w:r>
        <w:rPr>
          <w:rFonts w:ascii="Calibri" w:hAnsi="Calibri" w:cs="Calibri"/>
          <w:sz w:val="22"/>
          <w:szCs w:val="22"/>
        </w:rPr>
        <w:t>Integrated</w:t>
      </w:r>
      <w:r>
        <w:rPr>
          <w:rFonts w:ascii="Calibri" w:hAnsi="Calibri" w:cs="Calibri"/>
          <w:spacing w:val="-9"/>
          <w:sz w:val="22"/>
          <w:szCs w:val="22"/>
        </w:rPr>
        <w:t xml:space="preserve"> </w:t>
      </w:r>
      <w:r>
        <w:rPr>
          <w:rFonts w:ascii="Calibri" w:hAnsi="Calibri" w:cs="Calibri"/>
          <w:spacing w:val="-3"/>
          <w:sz w:val="22"/>
          <w:szCs w:val="22"/>
        </w:rPr>
        <w:t>Care</w:t>
      </w:r>
      <w:r>
        <w:rPr>
          <w:rFonts w:ascii="Calibri" w:hAnsi="Calibri" w:cs="Calibri"/>
          <w:spacing w:val="-12"/>
          <w:sz w:val="22"/>
          <w:szCs w:val="22"/>
        </w:rPr>
        <w:t xml:space="preserve"> </w:t>
      </w:r>
      <w:r>
        <w:rPr>
          <w:rFonts w:ascii="Calibri" w:hAnsi="Calibri" w:cs="Calibri"/>
          <w:sz w:val="22"/>
          <w:szCs w:val="22"/>
        </w:rPr>
        <w:t>Management</w:t>
      </w:r>
      <w:r>
        <w:rPr>
          <w:rFonts w:ascii="Calibri" w:hAnsi="Calibri" w:cs="Calibri"/>
          <w:spacing w:val="-8"/>
          <w:sz w:val="22"/>
          <w:szCs w:val="22"/>
        </w:rPr>
        <w:t xml:space="preserve"> </w:t>
      </w:r>
      <w:r>
        <w:rPr>
          <w:rFonts w:ascii="Calibri" w:hAnsi="Calibri" w:cs="Calibri"/>
          <w:sz w:val="22"/>
          <w:szCs w:val="22"/>
        </w:rPr>
        <w:t>program</w:t>
      </w:r>
      <w:r>
        <w:rPr>
          <w:rFonts w:ascii="Calibri" w:hAnsi="Calibri" w:cs="Calibri"/>
          <w:spacing w:val="-7"/>
          <w:sz w:val="22"/>
          <w:szCs w:val="22"/>
        </w:rPr>
        <w:t xml:space="preserve"> </w:t>
      </w:r>
      <w:r>
        <w:rPr>
          <w:rFonts w:ascii="Calibri" w:hAnsi="Calibri" w:cs="Calibri"/>
          <w:sz w:val="22"/>
          <w:szCs w:val="22"/>
        </w:rPr>
        <w:t>for</w:t>
      </w:r>
      <w:r>
        <w:rPr>
          <w:rFonts w:ascii="Calibri" w:hAnsi="Calibri" w:cs="Calibri"/>
          <w:spacing w:val="-10"/>
          <w:sz w:val="22"/>
          <w:szCs w:val="22"/>
        </w:rPr>
        <w:t xml:space="preserve"> </w:t>
      </w:r>
      <w:r>
        <w:rPr>
          <w:rFonts w:ascii="Calibri" w:hAnsi="Calibri" w:cs="Calibri"/>
          <w:sz w:val="22"/>
          <w:szCs w:val="22"/>
        </w:rPr>
        <w:t>members</w:t>
      </w:r>
      <w:r>
        <w:rPr>
          <w:rFonts w:ascii="Calibri" w:hAnsi="Calibri" w:cs="Calibri"/>
          <w:spacing w:val="-6"/>
          <w:sz w:val="22"/>
          <w:szCs w:val="22"/>
        </w:rPr>
        <w:t xml:space="preserve"> </w:t>
      </w:r>
      <w:r>
        <w:rPr>
          <w:rFonts w:ascii="Calibri" w:hAnsi="Calibri" w:cs="Calibri"/>
          <w:sz w:val="22"/>
          <w:szCs w:val="22"/>
        </w:rPr>
        <w:t>with</w:t>
      </w:r>
      <w:r>
        <w:rPr>
          <w:rFonts w:ascii="Calibri" w:hAnsi="Calibri" w:cs="Calibri"/>
          <w:spacing w:val="-11"/>
          <w:sz w:val="22"/>
          <w:szCs w:val="22"/>
        </w:rPr>
        <w:t xml:space="preserve"> </w:t>
      </w:r>
      <w:r>
        <w:rPr>
          <w:rFonts w:ascii="Calibri" w:hAnsi="Calibri" w:cs="Calibri"/>
          <w:sz w:val="22"/>
          <w:szCs w:val="22"/>
        </w:rPr>
        <w:t>complex</w:t>
      </w:r>
      <w:r>
        <w:rPr>
          <w:rFonts w:ascii="Calibri" w:hAnsi="Calibri" w:cs="Calibri"/>
          <w:spacing w:val="-10"/>
          <w:sz w:val="22"/>
          <w:szCs w:val="22"/>
        </w:rPr>
        <w:t xml:space="preserve"> </w:t>
      </w:r>
      <w:r>
        <w:rPr>
          <w:rFonts w:ascii="Calibri" w:hAnsi="Calibri" w:cs="Calibri"/>
          <w:sz w:val="22"/>
          <w:szCs w:val="22"/>
        </w:rPr>
        <w:t>medical,</w:t>
      </w:r>
      <w:r>
        <w:rPr>
          <w:rFonts w:ascii="Calibri" w:hAnsi="Calibri" w:cs="Calibri"/>
          <w:spacing w:val="-10"/>
          <w:sz w:val="22"/>
          <w:szCs w:val="22"/>
        </w:rPr>
        <w:t xml:space="preserve"> </w:t>
      </w:r>
      <w:r>
        <w:rPr>
          <w:rFonts w:ascii="Calibri" w:hAnsi="Calibri" w:cs="Calibri"/>
          <w:sz w:val="22"/>
          <w:szCs w:val="22"/>
        </w:rPr>
        <w:t>mental</w:t>
      </w:r>
      <w:r>
        <w:rPr>
          <w:rFonts w:ascii="Calibri" w:hAnsi="Calibri" w:cs="Calibri"/>
          <w:spacing w:val="-9"/>
          <w:sz w:val="22"/>
          <w:szCs w:val="22"/>
        </w:rPr>
        <w:t xml:space="preserve"> </w:t>
      </w:r>
      <w:r>
        <w:rPr>
          <w:rFonts w:ascii="Calibri" w:hAnsi="Calibri" w:cs="Calibri"/>
          <w:sz w:val="22"/>
          <w:szCs w:val="22"/>
        </w:rPr>
        <w:t>health</w:t>
      </w:r>
      <w:r>
        <w:rPr>
          <w:rFonts w:ascii="Calibri" w:hAnsi="Calibri" w:cs="Calibri"/>
          <w:spacing w:val="-11"/>
          <w:sz w:val="22"/>
          <w:szCs w:val="22"/>
        </w:rPr>
        <w:t xml:space="preserve"> </w:t>
      </w:r>
      <w:r>
        <w:rPr>
          <w:rFonts w:ascii="Calibri" w:hAnsi="Calibri" w:cs="Calibri"/>
          <w:spacing w:val="-2"/>
          <w:sz w:val="22"/>
          <w:szCs w:val="22"/>
        </w:rPr>
        <w:t xml:space="preserve">and/or </w:t>
      </w:r>
      <w:r>
        <w:rPr>
          <w:rFonts w:ascii="Calibri" w:hAnsi="Calibri" w:cs="Calibri"/>
          <w:sz w:val="22"/>
          <w:szCs w:val="22"/>
        </w:rPr>
        <w:t>substance use</w:t>
      </w:r>
      <w:r>
        <w:rPr>
          <w:rFonts w:ascii="Calibri" w:hAnsi="Calibri" w:cs="Calibri"/>
          <w:spacing w:val="-32"/>
          <w:sz w:val="22"/>
          <w:szCs w:val="22"/>
        </w:rPr>
        <w:t xml:space="preserve"> </w:t>
      </w:r>
      <w:r>
        <w:rPr>
          <w:rFonts w:ascii="Calibri" w:hAnsi="Calibri" w:cs="Calibri"/>
          <w:sz w:val="22"/>
          <w:szCs w:val="22"/>
        </w:rPr>
        <w:t>disorders.</w:t>
      </w: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FB027C">
      <w:pPr>
        <w:pStyle w:val="BodyText"/>
        <w:kinsoku w:val="0"/>
        <w:overflowPunct w:val="0"/>
        <w:spacing w:before="6"/>
        <w:rPr>
          <w:sz w:val="24"/>
          <w:szCs w:val="24"/>
        </w:rPr>
      </w:pPr>
      <w:r>
        <w:rPr>
          <w:noProof/>
        </w:rPr>
        <mc:AlternateContent>
          <mc:Choice Requires="wps">
            <w:drawing>
              <wp:anchor distT="0" distB="0" distL="0" distR="0" simplePos="0" relativeHeight="251459072" behindDoc="0" locked="0" layoutInCell="0" allowOverlap="1">
                <wp:simplePos x="0" y="0"/>
                <wp:positionH relativeFrom="page">
                  <wp:posOffset>694690</wp:posOffset>
                </wp:positionH>
                <wp:positionV relativeFrom="paragraph">
                  <wp:posOffset>219710</wp:posOffset>
                </wp:positionV>
                <wp:extent cx="1829435" cy="12700"/>
                <wp:effectExtent l="0" t="0" r="0" b="0"/>
                <wp:wrapTopAndBottom/>
                <wp:docPr id="993"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1 w 2881"/>
                            <a:gd name="T3" fmla="*/ 0 h 20"/>
                          </a:gdLst>
                          <a:ahLst/>
                          <a:cxnLst>
                            <a:cxn ang="0">
                              <a:pos x="T0" y="T1"/>
                            </a:cxn>
                            <a:cxn ang="0">
                              <a:pos x="T2" y="T3"/>
                            </a:cxn>
                          </a:cxnLst>
                          <a:rect l="0" t="0" r="r" b="b"/>
                          <a:pathLst>
                            <a:path w="2881" h="20">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2" o:spid="_x0000_s1026" style="position:absolute;z-index:251459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54.7pt,17.3pt,198.75pt,17.3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" o:allowincell="f" filled="f" strokeweight=".82pt">
                <v:path arrowok="t" o:connecttype="custom" o:connectlocs="0,0;1829435,0" o:connectangles="0,0"/>
                <w10:wrap type="topAndBottom" anchorx="page"/>
              </v:polyline>
            </w:pict>
          </mc:Fallback>
        </mc:AlternateContent>
      </w:r>
    </w:p>
    <w:p w:rsidR="002C5025" w:rsidRDefault="002C5025">
      <w:pPr>
        <w:pStyle w:val="BodyText"/>
        <w:kinsoku w:val="0"/>
        <w:overflowPunct w:val="0"/>
        <w:spacing w:before="37"/>
        <w:ind w:left="120" w:right="3207" w:hanging="1"/>
        <w:rPr>
          <w:color w:val="000000"/>
          <w:sz w:val="18"/>
          <w:szCs w:val="18"/>
        </w:rPr>
      </w:pPr>
      <w:r>
        <w:rPr>
          <w:position w:val="9"/>
          <w:sz w:val="12"/>
          <w:szCs w:val="12"/>
        </w:rPr>
        <w:t xml:space="preserve">1 </w:t>
      </w:r>
      <w:r>
        <w:rPr>
          <w:sz w:val="18"/>
          <w:szCs w:val="18"/>
        </w:rPr>
        <w:t xml:space="preserve">Massachusetts Medicaid Policy Institute, “MassHealth: The Basics (June 2016).” Available at: </w:t>
      </w:r>
      <w:hyperlink r:id="rId63" w:history="1">
        <w:r>
          <w:rPr>
            <w:color w:val="0000FF"/>
            <w:sz w:val="18"/>
            <w:szCs w:val="18"/>
            <w:u w:val="single"/>
          </w:rPr>
          <w:t>http://www.bluecrossfoundation.org/publication/updated-masshealth-basics-june-2016</w:t>
        </w:r>
        <w:r>
          <w:rPr>
            <w:color w:val="000000"/>
            <w:sz w:val="18"/>
            <w:szCs w:val="18"/>
          </w:rPr>
          <w:t>.</w:t>
        </w:r>
      </w:hyperlink>
    </w:p>
    <w:p w:rsidR="002C5025" w:rsidRDefault="002C5025">
      <w:pPr>
        <w:pStyle w:val="BodyText"/>
        <w:kinsoku w:val="0"/>
        <w:overflowPunct w:val="0"/>
        <w:spacing w:before="8"/>
        <w:rPr>
          <w:sz w:val="17"/>
          <w:szCs w:val="17"/>
        </w:rPr>
      </w:pPr>
    </w:p>
    <w:p w:rsidR="002C5025" w:rsidRDefault="002C5025">
      <w:pPr>
        <w:pStyle w:val="BodyText"/>
        <w:kinsoku w:val="0"/>
        <w:overflowPunct w:val="0"/>
        <w:spacing w:before="64"/>
        <w:ind w:left="140"/>
        <w:jc w:val="center"/>
        <w:rPr>
          <w:sz w:val="18"/>
          <w:szCs w:val="18"/>
        </w:rPr>
      </w:pPr>
      <w:r>
        <w:rPr>
          <w:sz w:val="18"/>
          <w:szCs w:val="18"/>
        </w:rPr>
        <w:t>2</w:t>
      </w:r>
    </w:p>
    <w:p w:rsidR="002C5025" w:rsidRDefault="002C5025">
      <w:pPr>
        <w:pStyle w:val="BodyText"/>
        <w:kinsoku w:val="0"/>
        <w:overflowPunct w:val="0"/>
        <w:spacing w:before="64"/>
        <w:ind w:left="140"/>
        <w:jc w:val="center"/>
        <w:rPr>
          <w:sz w:val="18"/>
          <w:szCs w:val="18"/>
        </w:rPr>
        <w:sectPr w:rsidR="002C5025">
          <w:pgSz w:w="12240" w:h="15840"/>
          <w:pgMar w:top="1040" w:right="1100" w:bottom="280" w:left="960" w:header="720" w:footer="720" w:gutter="0"/>
          <w:cols w:space="720" w:equalWidth="0">
            <w:col w:w="10180"/>
          </w:cols>
          <w:noEndnote/>
        </w:sectPr>
      </w:pPr>
    </w:p>
    <w:p w:rsidR="002C5025" w:rsidRDefault="002C5025">
      <w:pPr>
        <w:pStyle w:val="BodyText"/>
        <w:kinsoku w:val="0"/>
        <w:overflowPunct w:val="0"/>
        <w:spacing w:before="34"/>
        <w:ind w:left="118" w:right="335" w:firstLine="1"/>
      </w:pPr>
      <w:r>
        <w:lastRenderedPageBreak/>
        <w:t>For</w:t>
      </w:r>
      <w:r>
        <w:rPr>
          <w:spacing w:val="-10"/>
        </w:rPr>
        <w:t xml:space="preserve"> </w:t>
      </w:r>
      <w:r>
        <w:t>medically</w:t>
      </w:r>
      <w:r>
        <w:rPr>
          <w:spacing w:val="-6"/>
        </w:rPr>
        <w:t xml:space="preserve"> </w:t>
      </w:r>
      <w:r>
        <w:t>complex</w:t>
      </w:r>
      <w:r>
        <w:rPr>
          <w:spacing w:val="-9"/>
        </w:rPr>
        <w:t xml:space="preserve"> </w:t>
      </w:r>
      <w:r>
        <w:t>members,</w:t>
      </w:r>
      <w:r>
        <w:rPr>
          <w:spacing w:val="-9"/>
        </w:rPr>
        <w:t xml:space="preserve"> </w:t>
      </w:r>
      <w:r>
        <w:t>switching</w:t>
      </w:r>
      <w:r>
        <w:rPr>
          <w:spacing w:val="-8"/>
        </w:rPr>
        <w:t xml:space="preserve"> </w:t>
      </w:r>
      <w:r>
        <w:t>to</w:t>
      </w:r>
      <w:r>
        <w:rPr>
          <w:spacing w:val="-6"/>
        </w:rPr>
        <w:t xml:space="preserve"> </w:t>
      </w:r>
      <w:r>
        <w:t>an</w:t>
      </w:r>
      <w:r>
        <w:rPr>
          <w:spacing w:val="-6"/>
        </w:rPr>
        <w:t xml:space="preserve"> </w:t>
      </w:r>
      <w:r>
        <w:rPr>
          <w:spacing w:val="-3"/>
        </w:rPr>
        <w:t>MCO</w:t>
      </w:r>
      <w:r>
        <w:rPr>
          <w:spacing w:val="-9"/>
        </w:rPr>
        <w:t xml:space="preserve"> </w:t>
      </w:r>
      <w:r>
        <w:t>may</w:t>
      </w:r>
      <w:r>
        <w:rPr>
          <w:spacing w:val="-5"/>
        </w:rPr>
        <w:t xml:space="preserve"> </w:t>
      </w:r>
      <w:r>
        <w:t>disrupt</w:t>
      </w:r>
      <w:r>
        <w:rPr>
          <w:spacing w:val="-7"/>
        </w:rPr>
        <w:t xml:space="preserve"> </w:t>
      </w:r>
      <w:r>
        <w:t>their</w:t>
      </w:r>
      <w:r>
        <w:rPr>
          <w:spacing w:val="-7"/>
        </w:rPr>
        <w:t xml:space="preserve"> </w:t>
      </w:r>
      <w:r>
        <w:t>ability</w:t>
      </w:r>
      <w:r>
        <w:rPr>
          <w:spacing w:val="-6"/>
        </w:rPr>
        <w:t xml:space="preserve"> </w:t>
      </w:r>
      <w:r>
        <w:t>to</w:t>
      </w:r>
      <w:r>
        <w:rPr>
          <w:spacing w:val="-5"/>
        </w:rPr>
        <w:t xml:space="preserve"> </w:t>
      </w:r>
      <w:r>
        <w:t>see</w:t>
      </w:r>
      <w:r>
        <w:rPr>
          <w:spacing w:val="-7"/>
        </w:rPr>
        <w:t xml:space="preserve"> </w:t>
      </w:r>
      <w:r>
        <w:t>the</w:t>
      </w:r>
      <w:r>
        <w:rPr>
          <w:spacing w:val="-7"/>
        </w:rPr>
        <w:t xml:space="preserve"> </w:t>
      </w:r>
      <w:r>
        <w:t>providers</w:t>
      </w:r>
      <w:r>
        <w:rPr>
          <w:spacing w:val="-10"/>
        </w:rPr>
        <w:t xml:space="preserve"> </w:t>
      </w:r>
      <w:r>
        <w:t>they</w:t>
      </w:r>
      <w:r>
        <w:rPr>
          <w:spacing w:val="-7"/>
        </w:rPr>
        <w:t xml:space="preserve"> </w:t>
      </w:r>
      <w:r>
        <w:t xml:space="preserve">know and trust. For example, under the proposed change, a disabled child may </w:t>
      </w:r>
      <w:r>
        <w:rPr>
          <w:spacing w:val="-3"/>
        </w:rPr>
        <w:t xml:space="preserve">have </w:t>
      </w:r>
      <w:r>
        <w:t xml:space="preserve">to forego eyeglasses to see </w:t>
      </w:r>
      <w:r>
        <w:rPr>
          <w:spacing w:val="-4"/>
        </w:rPr>
        <w:t xml:space="preserve">the </w:t>
      </w:r>
      <w:r>
        <w:t>medical</w:t>
      </w:r>
      <w:r>
        <w:rPr>
          <w:spacing w:val="-11"/>
        </w:rPr>
        <w:t xml:space="preserve"> </w:t>
      </w:r>
      <w:r>
        <w:t>specialists</w:t>
      </w:r>
      <w:r>
        <w:rPr>
          <w:spacing w:val="-8"/>
        </w:rPr>
        <w:t xml:space="preserve"> </w:t>
      </w:r>
      <w:r>
        <w:t>the</w:t>
      </w:r>
      <w:r>
        <w:rPr>
          <w:spacing w:val="-10"/>
        </w:rPr>
        <w:t xml:space="preserve"> </w:t>
      </w:r>
      <w:r>
        <w:t>child</w:t>
      </w:r>
      <w:r>
        <w:rPr>
          <w:spacing w:val="-9"/>
        </w:rPr>
        <w:t xml:space="preserve"> </w:t>
      </w:r>
      <w:r>
        <w:t>needs</w:t>
      </w:r>
      <w:r>
        <w:rPr>
          <w:spacing w:val="-8"/>
        </w:rPr>
        <w:t xml:space="preserve"> </w:t>
      </w:r>
      <w:r>
        <w:t>given</w:t>
      </w:r>
      <w:r>
        <w:rPr>
          <w:spacing w:val="-9"/>
        </w:rPr>
        <w:t xml:space="preserve"> </w:t>
      </w:r>
      <w:r>
        <w:t>the</w:t>
      </w:r>
      <w:r>
        <w:rPr>
          <w:spacing w:val="-10"/>
        </w:rPr>
        <w:t xml:space="preserve"> </w:t>
      </w:r>
      <w:r>
        <w:t>limited</w:t>
      </w:r>
      <w:r>
        <w:rPr>
          <w:spacing w:val="-12"/>
        </w:rPr>
        <w:t xml:space="preserve"> </w:t>
      </w:r>
      <w:r>
        <w:t>access</w:t>
      </w:r>
      <w:r>
        <w:rPr>
          <w:spacing w:val="-8"/>
        </w:rPr>
        <w:t xml:space="preserve"> </w:t>
      </w:r>
      <w:r>
        <w:t>to</w:t>
      </w:r>
      <w:r>
        <w:rPr>
          <w:spacing w:val="-8"/>
        </w:rPr>
        <w:t xml:space="preserve"> </w:t>
      </w:r>
      <w:r>
        <w:t>certain</w:t>
      </w:r>
      <w:r>
        <w:rPr>
          <w:spacing w:val="-12"/>
        </w:rPr>
        <w:t xml:space="preserve"> </w:t>
      </w:r>
      <w:r>
        <w:t>specialty</w:t>
      </w:r>
      <w:r>
        <w:rPr>
          <w:spacing w:val="-6"/>
        </w:rPr>
        <w:t xml:space="preserve"> </w:t>
      </w:r>
      <w:r>
        <w:t>hospitals</w:t>
      </w:r>
      <w:r>
        <w:rPr>
          <w:spacing w:val="-7"/>
        </w:rPr>
        <w:t xml:space="preserve"> </w:t>
      </w:r>
      <w:r>
        <w:t>in</w:t>
      </w:r>
      <w:r>
        <w:rPr>
          <w:spacing w:val="-11"/>
        </w:rPr>
        <w:t xml:space="preserve"> </w:t>
      </w:r>
      <w:r>
        <w:t>the</w:t>
      </w:r>
      <w:r>
        <w:rPr>
          <w:spacing w:val="-10"/>
        </w:rPr>
        <w:t xml:space="preserve"> </w:t>
      </w:r>
      <w:r>
        <w:t>MCOs</w:t>
      </w:r>
      <w:r>
        <w:rPr>
          <w:spacing w:val="-10"/>
        </w:rPr>
        <w:t xml:space="preserve"> </w:t>
      </w:r>
      <w:r>
        <w:t xml:space="preserve">compared to the PCC Plan. Members should not have to choose between seeing their preferred providers and </w:t>
      </w:r>
      <w:r>
        <w:rPr>
          <w:spacing w:val="-3"/>
        </w:rPr>
        <w:t xml:space="preserve">having </w:t>
      </w:r>
      <w:r>
        <w:t>access</w:t>
      </w:r>
      <w:r>
        <w:rPr>
          <w:spacing w:val="-11"/>
        </w:rPr>
        <w:t xml:space="preserve"> </w:t>
      </w:r>
      <w:r>
        <w:t>to</w:t>
      </w:r>
      <w:r>
        <w:rPr>
          <w:spacing w:val="-10"/>
        </w:rPr>
        <w:t xml:space="preserve"> </w:t>
      </w:r>
      <w:r>
        <w:t>the</w:t>
      </w:r>
      <w:r>
        <w:rPr>
          <w:spacing w:val="-9"/>
        </w:rPr>
        <w:t xml:space="preserve"> </w:t>
      </w:r>
      <w:r>
        <w:t>full</w:t>
      </w:r>
      <w:r>
        <w:rPr>
          <w:spacing w:val="-9"/>
        </w:rPr>
        <w:t xml:space="preserve"> </w:t>
      </w:r>
      <w:r>
        <w:t>range</w:t>
      </w:r>
      <w:r>
        <w:rPr>
          <w:spacing w:val="-11"/>
        </w:rPr>
        <w:t xml:space="preserve"> </w:t>
      </w:r>
      <w:r>
        <w:t>of</w:t>
      </w:r>
      <w:r>
        <w:rPr>
          <w:spacing w:val="-11"/>
        </w:rPr>
        <w:t xml:space="preserve"> </w:t>
      </w:r>
      <w:r>
        <w:t>MassHealth</w:t>
      </w:r>
      <w:r>
        <w:rPr>
          <w:spacing w:val="-8"/>
        </w:rPr>
        <w:t xml:space="preserve"> </w:t>
      </w:r>
      <w:r>
        <w:t>benefits.</w:t>
      </w:r>
    </w:p>
    <w:p w:rsidR="002C5025" w:rsidRDefault="002C5025">
      <w:pPr>
        <w:pStyle w:val="BodyText"/>
        <w:kinsoku w:val="0"/>
        <w:overflowPunct w:val="0"/>
        <w:spacing w:before="9"/>
      </w:pPr>
    </w:p>
    <w:p w:rsidR="002C5025" w:rsidRDefault="002C5025">
      <w:pPr>
        <w:pStyle w:val="BodyText"/>
        <w:kinsoku w:val="0"/>
        <w:overflowPunct w:val="0"/>
        <w:spacing w:line="230" w:lineRule="auto"/>
        <w:ind w:left="119" w:right="120"/>
      </w:pPr>
      <w:r>
        <w:t xml:space="preserve">Further, </w:t>
      </w:r>
      <w:r>
        <w:rPr>
          <w:spacing w:val="-3"/>
        </w:rPr>
        <w:t xml:space="preserve">Early </w:t>
      </w:r>
      <w:r>
        <w:t xml:space="preserve">and Periodic Screening, Diagnostic and Treatment (EPSDT) is a mandatory Medicaid service for children and youth under </w:t>
      </w:r>
      <w:r>
        <w:rPr>
          <w:spacing w:val="-3"/>
        </w:rPr>
        <w:t xml:space="preserve">age </w:t>
      </w:r>
      <w:r>
        <w:t>21.</w:t>
      </w:r>
      <w:r>
        <w:rPr>
          <w:position w:val="10"/>
          <w:sz w:val="14"/>
          <w:szCs w:val="14"/>
        </w:rPr>
        <w:t xml:space="preserve">2 </w:t>
      </w:r>
      <w:r>
        <w:t xml:space="preserve">EPSDT includes all medically necessary Medicaid services regardless of what is in the state plan, and provides comprehensive coverage for dental, vision, </w:t>
      </w:r>
      <w:r>
        <w:rPr>
          <w:spacing w:val="-3"/>
        </w:rPr>
        <w:t xml:space="preserve">hearing, </w:t>
      </w:r>
      <w:r>
        <w:t xml:space="preserve">and medical screenings and treatment. Children enrolled in all types of managed care, including PCC Plans, “are entitled to </w:t>
      </w:r>
      <w:r>
        <w:rPr>
          <w:spacing w:val="-2"/>
        </w:rPr>
        <w:t xml:space="preserve">the </w:t>
      </w:r>
      <w:r>
        <w:t xml:space="preserve">same EPSDT benefits they would have in a fee for service Medicaid delivery system.” </w:t>
      </w:r>
      <w:r>
        <w:rPr>
          <w:position w:val="10"/>
          <w:sz w:val="14"/>
          <w:szCs w:val="14"/>
        </w:rPr>
        <w:t xml:space="preserve">3 </w:t>
      </w:r>
      <w:r>
        <w:t xml:space="preserve">We believe the proposed PCC Plan benefit cuts violate the Federal </w:t>
      </w:r>
      <w:r>
        <w:rPr>
          <w:spacing w:val="-3"/>
        </w:rPr>
        <w:t xml:space="preserve">EPSDT </w:t>
      </w:r>
      <w:r>
        <w:t xml:space="preserve">requirement, </w:t>
      </w:r>
      <w:r>
        <w:rPr>
          <w:spacing w:val="-3"/>
        </w:rPr>
        <w:t xml:space="preserve">and </w:t>
      </w:r>
      <w:r>
        <w:t xml:space="preserve">again </w:t>
      </w:r>
      <w:r>
        <w:rPr>
          <w:spacing w:val="-3"/>
        </w:rPr>
        <w:t xml:space="preserve">urge </w:t>
      </w:r>
      <w:r>
        <w:t>MassHealth not to implement these changes.</w:t>
      </w:r>
    </w:p>
    <w:p w:rsidR="002C5025" w:rsidRDefault="002C5025">
      <w:pPr>
        <w:pStyle w:val="BodyText"/>
        <w:kinsoku w:val="0"/>
        <w:overflowPunct w:val="0"/>
        <w:spacing w:before="9"/>
      </w:pPr>
    </w:p>
    <w:p w:rsidR="002C5025" w:rsidRDefault="002C5025">
      <w:pPr>
        <w:pStyle w:val="BodyText"/>
        <w:kinsoku w:val="0"/>
        <w:overflowPunct w:val="0"/>
        <w:spacing w:before="1" w:line="264" w:lineRule="exact"/>
        <w:ind w:left="119" w:right="335"/>
        <w:rPr>
          <w:b/>
          <w:bCs/>
          <w:i/>
          <w:iCs/>
        </w:rPr>
      </w:pPr>
      <w:r>
        <w:rPr>
          <w:b/>
          <w:bCs/>
          <w:i/>
          <w:iCs/>
        </w:rPr>
        <w:t>MCO Lock-in</w:t>
      </w:r>
    </w:p>
    <w:p w:rsidR="002C5025" w:rsidRDefault="002C5025">
      <w:pPr>
        <w:pStyle w:val="BodyText"/>
        <w:kinsoku w:val="0"/>
        <w:overflowPunct w:val="0"/>
        <w:ind w:left="118" w:right="335"/>
      </w:pPr>
      <w:r>
        <w:t xml:space="preserve">While we urge MassHealth to reconsider </w:t>
      </w:r>
      <w:r>
        <w:rPr>
          <w:spacing w:val="-2"/>
        </w:rPr>
        <w:t xml:space="preserve">the </w:t>
      </w:r>
      <w:r>
        <w:t xml:space="preserve">proposed 12-month MCO lock-in period, we acknowledge that implementation of this policy is set to occur on October 2016 regardless of the status of the demonstration proposal. Any such </w:t>
      </w:r>
      <w:r>
        <w:rPr>
          <w:spacing w:val="-3"/>
        </w:rPr>
        <w:t xml:space="preserve">policy </w:t>
      </w:r>
      <w:r>
        <w:t xml:space="preserve">should include broad exceptions to enable members to change MCOs and access </w:t>
      </w:r>
      <w:r>
        <w:rPr>
          <w:spacing w:val="-3"/>
        </w:rPr>
        <w:t xml:space="preserve">the </w:t>
      </w:r>
      <w:r>
        <w:t xml:space="preserve">care they need. In addition, as most MassHealth enrollment volatility, or “churn”, occurs due to eligibility changes, rather than voluntary plan changes, we believe that policies to reduce churn should address </w:t>
      </w:r>
      <w:r>
        <w:rPr>
          <w:spacing w:val="-3"/>
        </w:rPr>
        <w:t xml:space="preserve">the </w:t>
      </w:r>
      <w:r>
        <w:t xml:space="preserve">primary cause. MassHealth should consider </w:t>
      </w:r>
      <w:r>
        <w:rPr>
          <w:spacing w:val="-3"/>
        </w:rPr>
        <w:t xml:space="preserve">policy </w:t>
      </w:r>
      <w:r>
        <w:t>options such as 12-month continuous eligibility, rather than an MCO lock-in policy, to reduce churn.</w:t>
      </w:r>
    </w:p>
    <w:p w:rsidR="002C5025" w:rsidRDefault="002C5025">
      <w:pPr>
        <w:pStyle w:val="BodyText"/>
        <w:kinsoku w:val="0"/>
        <w:overflowPunct w:val="0"/>
        <w:spacing w:before="10"/>
        <w:rPr>
          <w:sz w:val="21"/>
          <w:szCs w:val="21"/>
        </w:rPr>
      </w:pPr>
    </w:p>
    <w:p w:rsidR="002C5025" w:rsidRDefault="002C5025">
      <w:pPr>
        <w:pStyle w:val="BodyText"/>
        <w:kinsoku w:val="0"/>
        <w:overflowPunct w:val="0"/>
        <w:ind w:left="120" w:right="335"/>
        <w:rPr>
          <w:b/>
          <w:bCs/>
        </w:rPr>
      </w:pPr>
      <w:r>
        <w:rPr>
          <w:b/>
          <w:bCs/>
          <w:u w:val="single"/>
        </w:rPr>
        <w:t>Appeals and Grievances</w:t>
      </w:r>
    </w:p>
    <w:p w:rsidR="002C5025" w:rsidRDefault="002C5025">
      <w:pPr>
        <w:pStyle w:val="BodyText"/>
        <w:kinsoku w:val="0"/>
        <w:overflowPunct w:val="0"/>
        <w:ind w:left="118" w:right="313" w:firstLine="1"/>
      </w:pPr>
      <w:r>
        <w:t xml:space="preserve">Because an individual’s clinicians may </w:t>
      </w:r>
      <w:r>
        <w:rPr>
          <w:spacing w:val="-3"/>
        </w:rPr>
        <w:t xml:space="preserve">have </w:t>
      </w:r>
      <w:r>
        <w:t>a direct financial relationship with the ACO and its participating providers,</w:t>
      </w:r>
      <w:r>
        <w:rPr>
          <w:spacing w:val="-5"/>
        </w:rPr>
        <w:t xml:space="preserve"> </w:t>
      </w:r>
      <w:r>
        <w:t>ACO</w:t>
      </w:r>
      <w:r>
        <w:rPr>
          <w:spacing w:val="-9"/>
        </w:rPr>
        <w:t xml:space="preserve"> </w:t>
      </w:r>
      <w:r>
        <w:t>grievance</w:t>
      </w:r>
      <w:r>
        <w:rPr>
          <w:spacing w:val="-4"/>
        </w:rPr>
        <w:t xml:space="preserve"> </w:t>
      </w:r>
      <w:r>
        <w:rPr>
          <w:spacing w:val="-3"/>
        </w:rPr>
        <w:t>and</w:t>
      </w:r>
      <w:r>
        <w:rPr>
          <w:spacing w:val="-8"/>
        </w:rPr>
        <w:t xml:space="preserve"> </w:t>
      </w:r>
      <w:r>
        <w:t>appeals</w:t>
      </w:r>
      <w:r>
        <w:rPr>
          <w:spacing w:val="-5"/>
        </w:rPr>
        <w:t xml:space="preserve"> </w:t>
      </w:r>
      <w:r>
        <w:t>processes</w:t>
      </w:r>
      <w:r>
        <w:rPr>
          <w:spacing w:val="-5"/>
        </w:rPr>
        <w:t xml:space="preserve"> </w:t>
      </w:r>
      <w:r>
        <w:rPr>
          <w:spacing w:val="-4"/>
        </w:rPr>
        <w:t>should</w:t>
      </w:r>
      <w:r>
        <w:rPr>
          <w:spacing w:val="-8"/>
        </w:rPr>
        <w:t xml:space="preserve"> </w:t>
      </w:r>
      <w:r>
        <w:t>be</w:t>
      </w:r>
      <w:r>
        <w:rPr>
          <w:spacing w:val="-7"/>
        </w:rPr>
        <w:t xml:space="preserve"> </w:t>
      </w:r>
      <w:r>
        <w:t>robust</w:t>
      </w:r>
      <w:r>
        <w:rPr>
          <w:spacing w:val="-7"/>
        </w:rPr>
        <w:t xml:space="preserve"> </w:t>
      </w:r>
      <w:r>
        <w:t>and</w:t>
      </w:r>
      <w:r>
        <w:rPr>
          <w:spacing w:val="-8"/>
        </w:rPr>
        <w:t xml:space="preserve"> </w:t>
      </w:r>
      <w:r>
        <w:t>designed</w:t>
      </w:r>
      <w:r>
        <w:rPr>
          <w:spacing w:val="-10"/>
        </w:rPr>
        <w:t xml:space="preserve"> </w:t>
      </w:r>
      <w:r>
        <w:t>to</w:t>
      </w:r>
      <w:r>
        <w:rPr>
          <w:spacing w:val="-4"/>
        </w:rPr>
        <w:t xml:space="preserve"> </w:t>
      </w:r>
      <w:r>
        <w:t>address</w:t>
      </w:r>
      <w:r>
        <w:rPr>
          <w:spacing w:val="-9"/>
        </w:rPr>
        <w:t xml:space="preserve"> </w:t>
      </w:r>
      <w:r>
        <w:t>new</w:t>
      </w:r>
      <w:r>
        <w:rPr>
          <w:spacing w:val="-7"/>
        </w:rPr>
        <w:t xml:space="preserve"> </w:t>
      </w:r>
      <w:r>
        <w:t>issues</w:t>
      </w:r>
      <w:r>
        <w:rPr>
          <w:spacing w:val="-9"/>
        </w:rPr>
        <w:t xml:space="preserve"> </w:t>
      </w:r>
      <w:r>
        <w:t>that</w:t>
      </w:r>
      <w:r>
        <w:rPr>
          <w:spacing w:val="-9"/>
        </w:rPr>
        <w:t xml:space="preserve"> </w:t>
      </w:r>
      <w:r>
        <w:t>may arise in this context. The introduction of financial incentives makes it even more important that MassHealth members</w:t>
      </w:r>
      <w:r>
        <w:rPr>
          <w:spacing w:val="-6"/>
        </w:rPr>
        <w:t xml:space="preserve"> </w:t>
      </w:r>
      <w:r>
        <w:t>are</w:t>
      </w:r>
      <w:r>
        <w:rPr>
          <w:spacing w:val="-3"/>
        </w:rPr>
        <w:t xml:space="preserve"> </w:t>
      </w:r>
      <w:r>
        <w:t>fully</w:t>
      </w:r>
      <w:r>
        <w:rPr>
          <w:spacing w:val="-3"/>
        </w:rPr>
        <w:t xml:space="preserve"> informed</w:t>
      </w:r>
      <w:r>
        <w:rPr>
          <w:spacing w:val="-7"/>
        </w:rPr>
        <w:t xml:space="preserve"> </w:t>
      </w:r>
      <w:r>
        <w:t>of</w:t>
      </w:r>
      <w:r>
        <w:rPr>
          <w:spacing w:val="-6"/>
        </w:rPr>
        <w:t xml:space="preserve"> </w:t>
      </w:r>
      <w:r>
        <w:t>their</w:t>
      </w:r>
      <w:r>
        <w:rPr>
          <w:spacing w:val="-4"/>
        </w:rPr>
        <w:t xml:space="preserve"> </w:t>
      </w:r>
      <w:r>
        <w:t>treatment</w:t>
      </w:r>
      <w:r>
        <w:rPr>
          <w:spacing w:val="-11"/>
        </w:rPr>
        <w:t xml:space="preserve"> </w:t>
      </w:r>
      <w:r>
        <w:t>options</w:t>
      </w:r>
      <w:r>
        <w:rPr>
          <w:spacing w:val="-4"/>
        </w:rPr>
        <w:t xml:space="preserve"> </w:t>
      </w:r>
      <w:r>
        <w:t>and</w:t>
      </w:r>
      <w:r>
        <w:rPr>
          <w:spacing w:val="-7"/>
        </w:rPr>
        <w:t xml:space="preserve"> </w:t>
      </w:r>
      <w:r>
        <w:t>the</w:t>
      </w:r>
      <w:r>
        <w:rPr>
          <w:spacing w:val="-3"/>
        </w:rPr>
        <w:t xml:space="preserve"> </w:t>
      </w:r>
      <w:r>
        <w:t>reasons</w:t>
      </w:r>
      <w:r>
        <w:rPr>
          <w:spacing w:val="-4"/>
        </w:rPr>
        <w:t xml:space="preserve"> </w:t>
      </w:r>
      <w:r>
        <w:t>a</w:t>
      </w:r>
      <w:r>
        <w:rPr>
          <w:spacing w:val="-6"/>
        </w:rPr>
        <w:t xml:space="preserve"> </w:t>
      </w:r>
      <w:r>
        <w:t>provider</w:t>
      </w:r>
      <w:r>
        <w:rPr>
          <w:spacing w:val="-4"/>
        </w:rPr>
        <w:t xml:space="preserve"> </w:t>
      </w:r>
      <w:r>
        <w:t>is</w:t>
      </w:r>
      <w:r>
        <w:rPr>
          <w:spacing w:val="-4"/>
        </w:rPr>
        <w:t xml:space="preserve"> </w:t>
      </w:r>
      <w:r>
        <w:rPr>
          <w:spacing w:val="-2"/>
        </w:rPr>
        <w:t>recommending</w:t>
      </w:r>
      <w:r>
        <w:rPr>
          <w:spacing w:val="-5"/>
        </w:rPr>
        <w:t xml:space="preserve"> </w:t>
      </w:r>
      <w:r>
        <w:t>one</w:t>
      </w:r>
      <w:r>
        <w:rPr>
          <w:spacing w:val="-8"/>
        </w:rPr>
        <w:t xml:space="preserve"> </w:t>
      </w:r>
      <w:r>
        <w:t>option over</w:t>
      </w:r>
      <w:r>
        <w:rPr>
          <w:spacing w:val="-8"/>
        </w:rPr>
        <w:t xml:space="preserve"> </w:t>
      </w:r>
      <w:r>
        <w:t>another.</w:t>
      </w:r>
      <w:r>
        <w:rPr>
          <w:spacing w:val="-10"/>
        </w:rPr>
        <w:t xml:space="preserve"> </w:t>
      </w:r>
      <w:r>
        <w:t>Members</w:t>
      </w:r>
      <w:r>
        <w:rPr>
          <w:spacing w:val="-10"/>
        </w:rPr>
        <w:t xml:space="preserve"> </w:t>
      </w:r>
      <w:r>
        <w:t>who</w:t>
      </w:r>
      <w:r>
        <w:rPr>
          <w:spacing w:val="-4"/>
        </w:rPr>
        <w:t xml:space="preserve"> </w:t>
      </w:r>
      <w:r>
        <w:t>are</w:t>
      </w:r>
      <w:r>
        <w:rPr>
          <w:spacing w:val="-7"/>
        </w:rPr>
        <w:t xml:space="preserve"> </w:t>
      </w:r>
      <w:r>
        <w:t>concerned</w:t>
      </w:r>
      <w:r>
        <w:rPr>
          <w:spacing w:val="-10"/>
        </w:rPr>
        <w:t xml:space="preserve"> </w:t>
      </w:r>
      <w:r>
        <w:t>about</w:t>
      </w:r>
      <w:r>
        <w:rPr>
          <w:spacing w:val="-7"/>
        </w:rPr>
        <w:t xml:space="preserve"> </w:t>
      </w:r>
      <w:r>
        <w:t>a</w:t>
      </w:r>
      <w:r>
        <w:rPr>
          <w:spacing w:val="-7"/>
        </w:rPr>
        <w:t xml:space="preserve"> </w:t>
      </w:r>
      <w:r>
        <w:t>provider’s</w:t>
      </w:r>
      <w:r>
        <w:rPr>
          <w:spacing w:val="-5"/>
        </w:rPr>
        <w:t xml:space="preserve"> </w:t>
      </w:r>
      <w:r>
        <w:t>decision</w:t>
      </w:r>
      <w:r>
        <w:rPr>
          <w:spacing w:val="-8"/>
        </w:rPr>
        <w:t xml:space="preserve"> </w:t>
      </w:r>
      <w:r>
        <w:t>should</w:t>
      </w:r>
      <w:r>
        <w:rPr>
          <w:spacing w:val="-8"/>
        </w:rPr>
        <w:t xml:space="preserve"> </w:t>
      </w:r>
      <w:r>
        <w:rPr>
          <w:spacing w:val="-3"/>
        </w:rPr>
        <w:t>have</w:t>
      </w:r>
      <w:r>
        <w:rPr>
          <w:spacing w:val="-4"/>
        </w:rPr>
        <w:t xml:space="preserve"> </w:t>
      </w:r>
      <w:r>
        <w:t>access</w:t>
      </w:r>
      <w:r>
        <w:rPr>
          <w:spacing w:val="-10"/>
        </w:rPr>
        <w:t xml:space="preserve"> </w:t>
      </w:r>
      <w:r>
        <w:t>to</w:t>
      </w:r>
      <w:r>
        <w:rPr>
          <w:spacing w:val="-4"/>
        </w:rPr>
        <w:t xml:space="preserve"> </w:t>
      </w:r>
      <w:r>
        <w:t>a</w:t>
      </w:r>
      <w:r>
        <w:rPr>
          <w:spacing w:val="-5"/>
        </w:rPr>
        <w:t xml:space="preserve"> </w:t>
      </w:r>
      <w:r>
        <w:t>process</w:t>
      </w:r>
      <w:r>
        <w:rPr>
          <w:spacing w:val="-7"/>
        </w:rPr>
        <w:t xml:space="preserve"> </w:t>
      </w:r>
      <w:r>
        <w:t>to</w:t>
      </w:r>
      <w:r>
        <w:rPr>
          <w:spacing w:val="-4"/>
        </w:rPr>
        <w:t xml:space="preserve"> </w:t>
      </w:r>
      <w:r>
        <w:rPr>
          <w:spacing w:val="-3"/>
        </w:rPr>
        <w:t xml:space="preserve">seek </w:t>
      </w:r>
      <w:r>
        <w:t>a</w:t>
      </w:r>
      <w:r>
        <w:rPr>
          <w:spacing w:val="-6"/>
        </w:rPr>
        <w:t xml:space="preserve"> </w:t>
      </w:r>
      <w:r>
        <w:t>second</w:t>
      </w:r>
      <w:r>
        <w:rPr>
          <w:spacing w:val="-9"/>
        </w:rPr>
        <w:t xml:space="preserve"> </w:t>
      </w:r>
      <w:r>
        <w:t>opinion,</w:t>
      </w:r>
      <w:r>
        <w:rPr>
          <w:spacing w:val="-11"/>
        </w:rPr>
        <w:t xml:space="preserve"> </w:t>
      </w:r>
      <w:r>
        <w:t>outside</w:t>
      </w:r>
      <w:r>
        <w:rPr>
          <w:spacing w:val="-8"/>
        </w:rPr>
        <w:t xml:space="preserve"> </w:t>
      </w:r>
      <w:r>
        <w:t>of</w:t>
      </w:r>
      <w:r>
        <w:rPr>
          <w:spacing w:val="-6"/>
        </w:rPr>
        <w:t xml:space="preserve"> </w:t>
      </w:r>
      <w:r>
        <w:t>the</w:t>
      </w:r>
      <w:r>
        <w:rPr>
          <w:spacing w:val="-8"/>
        </w:rPr>
        <w:t xml:space="preserve"> </w:t>
      </w:r>
      <w:r>
        <w:t>ACO</w:t>
      </w:r>
      <w:r>
        <w:rPr>
          <w:spacing w:val="-8"/>
        </w:rPr>
        <w:t xml:space="preserve"> </w:t>
      </w:r>
      <w:r>
        <w:t>network,</w:t>
      </w:r>
      <w:r>
        <w:rPr>
          <w:spacing w:val="-6"/>
        </w:rPr>
        <w:t xml:space="preserve"> </w:t>
      </w:r>
      <w:r>
        <w:t>that</w:t>
      </w:r>
      <w:r>
        <w:rPr>
          <w:spacing w:val="-8"/>
        </w:rPr>
        <w:t xml:space="preserve"> </w:t>
      </w:r>
      <w:r>
        <w:t>does</w:t>
      </w:r>
      <w:r>
        <w:rPr>
          <w:spacing w:val="-6"/>
        </w:rPr>
        <w:t xml:space="preserve"> </w:t>
      </w:r>
      <w:r>
        <w:t>not</w:t>
      </w:r>
      <w:r>
        <w:rPr>
          <w:spacing w:val="-10"/>
        </w:rPr>
        <w:t xml:space="preserve"> </w:t>
      </w:r>
      <w:r>
        <w:t>incur</w:t>
      </w:r>
      <w:r>
        <w:rPr>
          <w:spacing w:val="-6"/>
        </w:rPr>
        <w:t xml:space="preserve"> </w:t>
      </w:r>
      <w:r>
        <w:t>additional</w:t>
      </w:r>
      <w:r>
        <w:rPr>
          <w:spacing w:val="-12"/>
        </w:rPr>
        <w:t xml:space="preserve"> </w:t>
      </w:r>
      <w:r>
        <w:t>cost-sharing.</w:t>
      </w:r>
    </w:p>
    <w:p w:rsidR="002C5025" w:rsidRDefault="002C5025">
      <w:pPr>
        <w:pStyle w:val="BodyText"/>
        <w:kinsoku w:val="0"/>
        <w:overflowPunct w:val="0"/>
      </w:pPr>
    </w:p>
    <w:p w:rsidR="002C5025" w:rsidRDefault="002C5025">
      <w:pPr>
        <w:pStyle w:val="BodyText"/>
        <w:kinsoku w:val="0"/>
        <w:overflowPunct w:val="0"/>
        <w:ind w:left="117" w:right="111"/>
        <w:jc w:val="both"/>
      </w:pPr>
      <w:r>
        <w:t>We strongly support MassHealth’s proposal that members in all ACO models will have access to an ACO-specific grievance process, as well as existing appeals and grievance procedures for eligibility and coverage determinations. We also support the inclusion of an external ombudsperson resource to help resolve members’ problems or concerns. We request more details on the ACO-specific grievance process and the scope of responsibilities of the external ombudsperson. We encourage MassHealth to consider the One Care ombudsperson, with certain improvements, including the ability to track and report systemic issues, and expanded capacity, as a model.</w:t>
      </w:r>
    </w:p>
    <w:p w:rsidR="002C5025" w:rsidRDefault="002C5025">
      <w:pPr>
        <w:pStyle w:val="BodyText"/>
        <w:kinsoku w:val="0"/>
        <w:overflowPunct w:val="0"/>
      </w:pPr>
    </w:p>
    <w:p w:rsidR="002C5025" w:rsidRDefault="002C5025">
      <w:pPr>
        <w:pStyle w:val="BodyText"/>
        <w:kinsoku w:val="0"/>
        <w:overflowPunct w:val="0"/>
        <w:spacing w:line="267" w:lineRule="exact"/>
        <w:ind w:left="120" w:right="335"/>
        <w:rPr>
          <w:b/>
          <w:bCs/>
        </w:rPr>
      </w:pPr>
      <w:r>
        <w:rPr>
          <w:b/>
          <w:bCs/>
          <w:u w:val="single"/>
        </w:rPr>
        <w:t>Network Adequacy</w:t>
      </w:r>
    </w:p>
    <w:p w:rsidR="002C5025" w:rsidRDefault="002C5025">
      <w:pPr>
        <w:pStyle w:val="BodyText"/>
        <w:kinsoku w:val="0"/>
        <w:overflowPunct w:val="0"/>
        <w:ind w:left="119" w:right="136"/>
        <w:rPr>
          <w:spacing w:val="-3"/>
        </w:rPr>
      </w:pPr>
      <w:r>
        <w:t xml:space="preserve">We understand that MassHealth members enrolled in an MCO will </w:t>
      </w:r>
      <w:r>
        <w:rPr>
          <w:spacing w:val="-3"/>
        </w:rPr>
        <w:t xml:space="preserve">have </w:t>
      </w:r>
      <w:r>
        <w:t xml:space="preserve">access to the full range of providers </w:t>
      </w:r>
      <w:r>
        <w:rPr>
          <w:spacing w:val="-3"/>
        </w:rPr>
        <w:t xml:space="preserve">in </w:t>
      </w:r>
      <w:r>
        <w:t xml:space="preserve">the MCO’s network, and appreciate MassHealth’s expressed commitment to ensuring that members have </w:t>
      </w:r>
      <w:r>
        <w:rPr>
          <w:spacing w:val="-3"/>
        </w:rPr>
        <w:t xml:space="preserve">timely </w:t>
      </w:r>
      <w:r>
        <w:t xml:space="preserve">access to high quality </w:t>
      </w:r>
      <w:r>
        <w:rPr>
          <w:spacing w:val="-3"/>
        </w:rPr>
        <w:t xml:space="preserve">primary </w:t>
      </w:r>
      <w:r>
        <w:t xml:space="preserve">care, specialists, long-term services and supports and behavioral health </w:t>
      </w:r>
      <w:r>
        <w:rPr>
          <w:spacing w:val="-4"/>
        </w:rPr>
        <w:t xml:space="preserve">providers </w:t>
      </w:r>
      <w:r>
        <w:t xml:space="preserve">regardless of </w:t>
      </w:r>
      <w:r>
        <w:rPr>
          <w:spacing w:val="-2"/>
        </w:rPr>
        <w:t xml:space="preserve">the </w:t>
      </w:r>
      <w:r>
        <w:t xml:space="preserve">delivery model they </w:t>
      </w:r>
      <w:r>
        <w:rPr>
          <w:spacing w:val="-3"/>
        </w:rPr>
        <w:t>choose.</w:t>
      </w:r>
    </w:p>
    <w:p w:rsidR="002C5025" w:rsidRDefault="002C5025">
      <w:pPr>
        <w:pStyle w:val="BodyText"/>
        <w:kinsoku w:val="0"/>
        <w:overflowPunct w:val="0"/>
        <w:rPr>
          <w:sz w:val="20"/>
          <w:szCs w:val="20"/>
        </w:rPr>
      </w:pPr>
    </w:p>
    <w:p w:rsidR="002C5025" w:rsidRDefault="00FB027C">
      <w:pPr>
        <w:pStyle w:val="BodyText"/>
        <w:kinsoku w:val="0"/>
        <w:overflowPunct w:val="0"/>
        <w:rPr>
          <w:sz w:val="17"/>
          <w:szCs w:val="17"/>
        </w:rPr>
      </w:pPr>
      <w:r>
        <w:rPr>
          <w:noProof/>
        </w:rPr>
        <mc:AlternateContent>
          <mc:Choice Requires="wps">
            <w:drawing>
              <wp:anchor distT="0" distB="0" distL="0" distR="0" simplePos="0" relativeHeight="251460096" behindDoc="0" locked="0" layoutInCell="0" allowOverlap="1">
                <wp:simplePos x="0" y="0"/>
                <wp:positionH relativeFrom="page">
                  <wp:posOffset>694690</wp:posOffset>
                </wp:positionH>
                <wp:positionV relativeFrom="paragraph">
                  <wp:posOffset>161925</wp:posOffset>
                </wp:positionV>
                <wp:extent cx="1829435" cy="12700"/>
                <wp:effectExtent l="0" t="0" r="0" b="0"/>
                <wp:wrapTopAndBottom/>
                <wp:docPr id="992"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1 w 2881"/>
                            <a:gd name="T3" fmla="*/ 0 h 20"/>
                          </a:gdLst>
                          <a:ahLst/>
                          <a:cxnLst>
                            <a:cxn ang="0">
                              <a:pos x="T0" y="T1"/>
                            </a:cxn>
                            <a:cxn ang="0">
                              <a:pos x="T2" y="T3"/>
                            </a:cxn>
                          </a:cxnLst>
                          <a:rect l="0" t="0" r="r" b="b"/>
                          <a:pathLst>
                            <a:path w="2881" h="20">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3" o:spid="_x0000_s1026" style="position:absolute;z-index:251460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54.7pt,12.75pt,198.75pt,12.75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" o:allowincell="f" filled="f" strokeweight=".82pt">
                <v:path arrowok="t" o:connecttype="custom" o:connectlocs="0,0;1829435,0" o:connectangles="0,0"/>
                <w10:wrap type="topAndBottom" anchorx="page"/>
              </v:polyline>
            </w:pict>
          </mc:Fallback>
        </mc:AlternateContent>
      </w:r>
    </w:p>
    <w:p w:rsidR="002C5025" w:rsidRDefault="002C5025">
      <w:pPr>
        <w:pStyle w:val="BodyText"/>
        <w:kinsoku w:val="0"/>
        <w:overflowPunct w:val="0"/>
        <w:spacing w:before="23" w:line="244" w:lineRule="exact"/>
        <w:ind w:left="120" w:right="335"/>
        <w:rPr>
          <w:sz w:val="18"/>
          <w:szCs w:val="18"/>
        </w:rPr>
      </w:pPr>
      <w:r>
        <w:rPr>
          <w:position w:val="9"/>
          <w:sz w:val="12"/>
          <w:szCs w:val="12"/>
        </w:rPr>
        <w:t xml:space="preserve">2 </w:t>
      </w:r>
      <w:r>
        <w:rPr>
          <w:sz w:val="18"/>
          <w:szCs w:val="18"/>
        </w:rPr>
        <w:t>42 U.S.C. §§ 1396a(a)(10)(A), 1396a(a)(43), 1396d(a)(4)(B), 1396d(r).</w:t>
      </w:r>
    </w:p>
    <w:p w:rsidR="002C5025" w:rsidRDefault="002C5025">
      <w:pPr>
        <w:pStyle w:val="BodyText"/>
        <w:kinsoku w:val="0"/>
        <w:overflowPunct w:val="0"/>
        <w:spacing w:before="21" w:line="218" w:lineRule="exact"/>
        <w:ind w:left="119" w:right="120"/>
        <w:rPr>
          <w:color w:val="0000FF"/>
          <w:spacing w:val="-1"/>
          <w:sz w:val="18"/>
          <w:szCs w:val="18"/>
        </w:rPr>
      </w:pPr>
      <w:r>
        <w:rPr>
          <w:position w:val="9"/>
          <w:sz w:val="12"/>
          <w:szCs w:val="12"/>
        </w:rPr>
        <w:t>3</w:t>
      </w:r>
      <w:r>
        <w:rPr>
          <w:spacing w:val="3"/>
          <w:position w:val="9"/>
          <w:sz w:val="12"/>
          <w:szCs w:val="12"/>
        </w:rPr>
        <w:t xml:space="preserve"> </w:t>
      </w:r>
      <w:r>
        <w:rPr>
          <w:sz w:val="18"/>
          <w:szCs w:val="18"/>
        </w:rPr>
        <w:t>Centers</w:t>
      </w:r>
      <w:r>
        <w:rPr>
          <w:spacing w:val="-9"/>
          <w:sz w:val="18"/>
          <w:szCs w:val="18"/>
        </w:rPr>
        <w:t xml:space="preserve"> </w:t>
      </w:r>
      <w:r>
        <w:rPr>
          <w:sz w:val="18"/>
          <w:szCs w:val="18"/>
        </w:rPr>
        <w:t>for</w:t>
      </w:r>
      <w:r>
        <w:rPr>
          <w:spacing w:val="-8"/>
          <w:sz w:val="18"/>
          <w:szCs w:val="18"/>
        </w:rPr>
        <w:t xml:space="preserve"> </w:t>
      </w:r>
      <w:r>
        <w:rPr>
          <w:sz w:val="18"/>
          <w:szCs w:val="18"/>
        </w:rPr>
        <w:t>Medicare</w:t>
      </w:r>
      <w:r>
        <w:rPr>
          <w:spacing w:val="-9"/>
          <w:sz w:val="18"/>
          <w:szCs w:val="18"/>
        </w:rPr>
        <w:t xml:space="preserve"> </w:t>
      </w:r>
      <w:r>
        <w:rPr>
          <w:sz w:val="18"/>
          <w:szCs w:val="18"/>
        </w:rPr>
        <w:t>and</w:t>
      </w:r>
      <w:r>
        <w:rPr>
          <w:spacing w:val="-9"/>
          <w:sz w:val="18"/>
          <w:szCs w:val="18"/>
        </w:rPr>
        <w:t xml:space="preserve"> </w:t>
      </w:r>
      <w:r>
        <w:rPr>
          <w:sz w:val="18"/>
          <w:szCs w:val="18"/>
        </w:rPr>
        <w:t>Medicaid</w:t>
      </w:r>
      <w:r>
        <w:rPr>
          <w:spacing w:val="-11"/>
          <w:sz w:val="18"/>
          <w:szCs w:val="18"/>
        </w:rPr>
        <w:t xml:space="preserve"> </w:t>
      </w:r>
      <w:r>
        <w:rPr>
          <w:sz w:val="18"/>
          <w:szCs w:val="18"/>
        </w:rPr>
        <w:t>Services,</w:t>
      </w:r>
      <w:r>
        <w:rPr>
          <w:spacing w:val="-8"/>
          <w:sz w:val="18"/>
          <w:szCs w:val="18"/>
        </w:rPr>
        <w:t xml:space="preserve"> </w:t>
      </w:r>
      <w:r>
        <w:rPr>
          <w:sz w:val="18"/>
          <w:szCs w:val="18"/>
        </w:rPr>
        <w:t>EPSDT</w:t>
      </w:r>
      <w:r>
        <w:rPr>
          <w:spacing w:val="-5"/>
          <w:sz w:val="18"/>
          <w:szCs w:val="18"/>
        </w:rPr>
        <w:t xml:space="preserve"> </w:t>
      </w:r>
      <w:r>
        <w:rPr>
          <w:sz w:val="18"/>
          <w:szCs w:val="18"/>
        </w:rPr>
        <w:t>-</w:t>
      </w:r>
      <w:r>
        <w:rPr>
          <w:spacing w:val="-8"/>
          <w:sz w:val="18"/>
          <w:szCs w:val="18"/>
        </w:rPr>
        <w:t xml:space="preserve"> </w:t>
      </w:r>
      <w:r>
        <w:rPr>
          <w:sz w:val="18"/>
          <w:szCs w:val="18"/>
        </w:rPr>
        <w:t>A</w:t>
      </w:r>
      <w:r>
        <w:rPr>
          <w:spacing w:val="-9"/>
          <w:sz w:val="18"/>
          <w:szCs w:val="18"/>
        </w:rPr>
        <w:t xml:space="preserve"> </w:t>
      </w:r>
      <w:r>
        <w:rPr>
          <w:sz w:val="18"/>
          <w:szCs w:val="18"/>
        </w:rPr>
        <w:t>Guide</w:t>
      </w:r>
      <w:r>
        <w:rPr>
          <w:spacing w:val="-9"/>
          <w:sz w:val="18"/>
          <w:szCs w:val="18"/>
        </w:rPr>
        <w:t xml:space="preserve"> </w:t>
      </w:r>
      <w:r>
        <w:rPr>
          <w:sz w:val="18"/>
          <w:szCs w:val="18"/>
        </w:rPr>
        <w:t>for</w:t>
      </w:r>
      <w:r>
        <w:rPr>
          <w:spacing w:val="-8"/>
          <w:sz w:val="18"/>
          <w:szCs w:val="18"/>
        </w:rPr>
        <w:t xml:space="preserve"> </w:t>
      </w:r>
      <w:r>
        <w:rPr>
          <w:sz w:val="18"/>
          <w:szCs w:val="18"/>
        </w:rPr>
        <w:t>States:</w:t>
      </w:r>
      <w:r>
        <w:rPr>
          <w:spacing w:val="-8"/>
          <w:sz w:val="18"/>
          <w:szCs w:val="18"/>
        </w:rPr>
        <w:t xml:space="preserve"> </w:t>
      </w:r>
      <w:r>
        <w:rPr>
          <w:sz w:val="18"/>
          <w:szCs w:val="18"/>
        </w:rPr>
        <w:t>Coverage</w:t>
      </w:r>
      <w:r>
        <w:rPr>
          <w:spacing w:val="-11"/>
          <w:sz w:val="18"/>
          <w:szCs w:val="18"/>
        </w:rPr>
        <w:t xml:space="preserve"> </w:t>
      </w:r>
      <w:r>
        <w:rPr>
          <w:sz w:val="18"/>
          <w:szCs w:val="18"/>
        </w:rPr>
        <w:t>in</w:t>
      </w:r>
      <w:r>
        <w:rPr>
          <w:spacing w:val="-11"/>
          <w:sz w:val="18"/>
          <w:szCs w:val="18"/>
        </w:rPr>
        <w:t xml:space="preserve"> </w:t>
      </w:r>
      <w:r>
        <w:rPr>
          <w:sz w:val="18"/>
          <w:szCs w:val="18"/>
        </w:rPr>
        <w:t>the</w:t>
      </w:r>
      <w:r>
        <w:rPr>
          <w:spacing w:val="-9"/>
          <w:sz w:val="18"/>
          <w:szCs w:val="18"/>
        </w:rPr>
        <w:t xml:space="preserve"> </w:t>
      </w:r>
      <w:r>
        <w:rPr>
          <w:sz w:val="18"/>
          <w:szCs w:val="18"/>
        </w:rPr>
        <w:t>Medicaid</w:t>
      </w:r>
      <w:r>
        <w:rPr>
          <w:spacing w:val="-9"/>
          <w:sz w:val="18"/>
          <w:szCs w:val="18"/>
        </w:rPr>
        <w:t xml:space="preserve"> </w:t>
      </w:r>
      <w:r>
        <w:rPr>
          <w:sz w:val="18"/>
          <w:szCs w:val="18"/>
        </w:rPr>
        <w:t>Benefit</w:t>
      </w:r>
      <w:r>
        <w:rPr>
          <w:spacing w:val="-8"/>
          <w:sz w:val="18"/>
          <w:szCs w:val="18"/>
        </w:rPr>
        <w:t xml:space="preserve"> </w:t>
      </w:r>
      <w:r>
        <w:rPr>
          <w:sz w:val="18"/>
          <w:szCs w:val="18"/>
        </w:rPr>
        <w:t>for</w:t>
      </w:r>
      <w:r>
        <w:rPr>
          <w:spacing w:val="-8"/>
          <w:sz w:val="18"/>
          <w:szCs w:val="18"/>
        </w:rPr>
        <w:t xml:space="preserve"> </w:t>
      </w:r>
      <w:r>
        <w:rPr>
          <w:sz w:val="18"/>
          <w:szCs w:val="18"/>
        </w:rPr>
        <w:t>Children</w:t>
      </w:r>
      <w:r>
        <w:rPr>
          <w:spacing w:val="-7"/>
          <w:sz w:val="18"/>
          <w:szCs w:val="18"/>
        </w:rPr>
        <w:t xml:space="preserve"> </w:t>
      </w:r>
      <w:r>
        <w:rPr>
          <w:sz w:val="18"/>
          <w:szCs w:val="18"/>
        </w:rPr>
        <w:t>and</w:t>
      </w:r>
      <w:r>
        <w:rPr>
          <w:spacing w:val="-9"/>
          <w:sz w:val="18"/>
          <w:szCs w:val="18"/>
        </w:rPr>
        <w:t xml:space="preserve"> </w:t>
      </w:r>
      <w:r>
        <w:rPr>
          <w:sz w:val="18"/>
          <w:szCs w:val="18"/>
        </w:rPr>
        <w:t xml:space="preserve">Adolescents, </w:t>
      </w:r>
      <w:r>
        <w:rPr>
          <w:spacing w:val="-1"/>
          <w:sz w:val="18"/>
          <w:szCs w:val="18"/>
        </w:rPr>
        <w:t>June</w:t>
      </w:r>
      <w:r>
        <w:rPr>
          <w:spacing w:val="-23"/>
          <w:sz w:val="18"/>
          <w:szCs w:val="18"/>
        </w:rPr>
        <w:t xml:space="preserve"> </w:t>
      </w:r>
      <w:r>
        <w:rPr>
          <w:spacing w:val="-1"/>
          <w:sz w:val="18"/>
          <w:szCs w:val="18"/>
        </w:rPr>
        <w:t>2014.</w:t>
      </w:r>
      <w:r>
        <w:rPr>
          <w:spacing w:val="-24"/>
          <w:sz w:val="18"/>
          <w:szCs w:val="18"/>
        </w:rPr>
        <w:t xml:space="preserve"> </w:t>
      </w:r>
      <w:r>
        <w:rPr>
          <w:spacing w:val="-1"/>
          <w:sz w:val="18"/>
          <w:szCs w:val="18"/>
        </w:rPr>
        <w:t>Available</w:t>
      </w:r>
      <w:r>
        <w:rPr>
          <w:spacing w:val="-23"/>
          <w:sz w:val="18"/>
          <w:szCs w:val="18"/>
        </w:rPr>
        <w:t xml:space="preserve"> </w:t>
      </w:r>
      <w:r>
        <w:rPr>
          <w:spacing w:val="-1"/>
          <w:sz w:val="18"/>
          <w:szCs w:val="18"/>
        </w:rPr>
        <w:t>at:</w:t>
      </w:r>
      <w:r>
        <w:rPr>
          <w:spacing w:val="-24"/>
          <w:sz w:val="18"/>
          <w:szCs w:val="18"/>
        </w:rPr>
        <w:t xml:space="preserve"> </w:t>
      </w:r>
      <w:hyperlink r:id="rId64" w:history="1">
        <w:r>
          <w:rPr>
            <w:color w:val="0000FF"/>
            <w:spacing w:val="-1"/>
            <w:sz w:val="18"/>
            <w:szCs w:val="18"/>
            <w:u w:val="single"/>
          </w:rPr>
          <w:t>http://www.medicaid.gov/Medicaid-CHIP-Program-Information/ByTopics/Benefits/Early-and-Periodic-Screening-</w:t>
        </w:r>
      </w:hyperlink>
    </w:p>
    <w:p w:rsidR="002C5025" w:rsidRDefault="00FD19EE">
      <w:pPr>
        <w:pStyle w:val="BodyText"/>
        <w:kinsoku w:val="0"/>
        <w:overflowPunct w:val="0"/>
        <w:spacing w:before="6"/>
        <w:ind w:left="120" w:right="335"/>
        <w:rPr>
          <w:color w:val="000000"/>
          <w:sz w:val="18"/>
          <w:szCs w:val="18"/>
        </w:rPr>
      </w:pPr>
      <w:hyperlink r:id="rId65" w:history="1">
        <w:r w:rsidR="002C5025">
          <w:rPr>
            <w:color w:val="0000FF"/>
            <w:sz w:val="18"/>
            <w:szCs w:val="18"/>
            <w:u w:val="single"/>
          </w:rPr>
          <w:t>Diagnostic-and-Treatment.htm</w:t>
        </w:r>
        <w:r w:rsidR="002C5025">
          <w:rPr>
            <w:color w:val="0000FF"/>
            <w:sz w:val="18"/>
            <w:szCs w:val="18"/>
          </w:rPr>
          <w:t>l</w:t>
        </w:r>
        <w:r w:rsidR="002C5025">
          <w:rPr>
            <w:color w:val="000000"/>
            <w:sz w:val="18"/>
            <w:szCs w:val="18"/>
          </w:rPr>
          <w:t>.</w:t>
        </w:r>
      </w:hyperlink>
    </w:p>
    <w:p w:rsidR="002C5025" w:rsidRDefault="002C5025">
      <w:pPr>
        <w:pStyle w:val="BodyText"/>
        <w:kinsoku w:val="0"/>
        <w:overflowPunct w:val="0"/>
        <w:rPr>
          <w:sz w:val="20"/>
          <w:szCs w:val="20"/>
        </w:rPr>
      </w:pPr>
    </w:p>
    <w:p w:rsidR="002C5025" w:rsidRDefault="002C5025">
      <w:pPr>
        <w:pStyle w:val="BodyText"/>
        <w:kinsoku w:val="0"/>
        <w:overflowPunct w:val="0"/>
        <w:spacing w:before="11"/>
        <w:rPr>
          <w:sz w:val="19"/>
          <w:szCs w:val="19"/>
        </w:rPr>
      </w:pPr>
    </w:p>
    <w:p w:rsidR="002C5025" w:rsidRDefault="002C5025">
      <w:pPr>
        <w:pStyle w:val="BodyText"/>
        <w:kinsoku w:val="0"/>
        <w:overflowPunct w:val="0"/>
        <w:spacing w:before="63"/>
        <w:ind w:left="4"/>
        <w:jc w:val="center"/>
        <w:rPr>
          <w:sz w:val="18"/>
          <w:szCs w:val="18"/>
        </w:rPr>
      </w:pPr>
      <w:r>
        <w:rPr>
          <w:sz w:val="18"/>
          <w:szCs w:val="18"/>
        </w:rPr>
        <w:t>3</w:t>
      </w:r>
    </w:p>
    <w:p w:rsidR="002C5025" w:rsidRDefault="002C5025">
      <w:pPr>
        <w:pStyle w:val="BodyText"/>
        <w:kinsoku w:val="0"/>
        <w:overflowPunct w:val="0"/>
        <w:spacing w:before="63"/>
        <w:ind w:left="4"/>
        <w:jc w:val="center"/>
        <w:rPr>
          <w:sz w:val="18"/>
          <w:szCs w:val="18"/>
        </w:rPr>
        <w:sectPr w:rsidR="002C5025">
          <w:pgSz w:w="12240" w:h="15840"/>
          <w:pgMar w:top="1040" w:right="960" w:bottom="280" w:left="960" w:header="720" w:footer="720" w:gutter="0"/>
          <w:cols w:space="720" w:equalWidth="0">
            <w:col w:w="10320"/>
          </w:cols>
          <w:noEndnote/>
        </w:sectPr>
      </w:pPr>
    </w:p>
    <w:p w:rsidR="002C5025" w:rsidRDefault="002C5025">
      <w:pPr>
        <w:pStyle w:val="BodyText"/>
        <w:kinsoku w:val="0"/>
        <w:overflowPunct w:val="0"/>
        <w:spacing w:before="32"/>
        <w:ind w:left="120" w:right="196"/>
      </w:pPr>
      <w:r>
        <w:lastRenderedPageBreak/>
        <w:t xml:space="preserve">MassHealth should establish and make publicly and easily available its network adequacy standards for </w:t>
      </w:r>
      <w:r>
        <w:rPr>
          <w:spacing w:val="-3"/>
        </w:rPr>
        <w:t xml:space="preserve">MCOs, </w:t>
      </w:r>
      <w:r>
        <w:t xml:space="preserve">the PCC Plan and ACOs, including time and distance standards. The standards should be developed in consultation with consumers, advocates and stakeholders. In addition, all ACOs should </w:t>
      </w:r>
      <w:r>
        <w:rPr>
          <w:spacing w:val="-3"/>
        </w:rPr>
        <w:t xml:space="preserve">have </w:t>
      </w:r>
      <w:r>
        <w:t xml:space="preserve">continuity of </w:t>
      </w:r>
      <w:r>
        <w:rPr>
          <w:spacing w:val="-3"/>
        </w:rPr>
        <w:t xml:space="preserve">care </w:t>
      </w:r>
      <w:r>
        <w:t>provisions</w:t>
      </w:r>
      <w:r>
        <w:rPr>
          <w:spacing w:val="-7"/>
        </w:rPr>
        <w:t xml:space="preserve"> </w:t>
      </w:r>
      <w:r>
        <w:t>and</w:t>
      </w:r>
      <w:r>
        <w:rPr>
          <w:spacing w:val="-9"/>
        </w:rPr>
        <w:t xml:space="preserve"> </w:t>
      </w:r>
      <w:r>
        <w:t>parameters</w:t>
      </w:r>
      <w:r>
        <w:rPr>
          <w:spacing w:val="-10"/>
        </w:rPr>
        <w:t xml:space="preserve"> </w:t>
      </w:r>
      <w:r>
        <w:t>for</w:t>
      </w:r>
      <w:r>
        <w:rPr>
          <w:spacing w:val="-8"/>
        </w:rPr>
        <w:t xml:space="preserve"> </w:t>
      </w:r>
      <w:r>
        <w:t>contracting</w:t>
      </w:r>
      <w:r>
        <w:rPr>
          <w:spacing w:val="-9"/>
        </w:rPr>
        <w:t xml:space="preserve"> </w:t>
      </w:r>
      <w:r>
        <w:t>with</w:t>
      </w:r>
      <w:r>
        <w:rPr>
          <w:spacing w:val="-7"/>
        </w:rPr>
        <w:t xml:space="preserve"> </w:t>
      </w:r>
      <w:r>
        <w:t>providers</w:t>
      </w:r>
      <w:r>
        <w:rPr>
          <w:spacing w:val="-10"/>
        </w:rPr>
        <w:t xml:space="preserve"> </w:t>
      </w:r>
      <w:r>
        <w:t>outside</w:t>
      </w:r>
      <w:r>
        <w:rPr>
          <w:spacing w:val="-10"/>
        </w:rPr>
        <w:t xml:space="preserve"> </w:t>
      </w:r>
      <w:r>
        <w:t>of</w:t>
      </w:r>
      <w:r>
        <w:rPr>
          <w:spacing w:val="-7"/>
        </w:rPr>
        <w:t xml:space="preserve"> </w:t>
      </w:r>
      <w:r>
        <w:rPr>
          <w:spacing w:val="-2"/>
        </w:rPr>
        <w:t>the</w:t>
      </w:r>
      <w:r>
        <w:rPr>
          <w:spacing w:val="-10"/>
        </w:rPr>
        <w:t xml:space="preserve"> </w:t>
      </w:r>
      <w:r>
        <w:t>ACO.</w:t>
      </w:r>
      <w:r>
        <w:rPr>
          <w:spacing w:val="-7"/>
        </w:rPr>
        <w:t xml:space="preserve"> </w:t>
      </w:r>
      <w:r>
        <w:t>Finally,</w:t>
      </w:r>
      <w:r>
        <w:rPr>
          <w:spacing w:val="-8"/>
        </w:rPr>
        <w:t xml:space="preserve"> </w:t>
      </w:r>
      <w:r>
        <w:t>we</w:t>
      </w:r>
      <w:r>
        <w:rPr>
          <w:spacing w:val="-8"/>
        </w:rPr>
        <w:t xml:space="preserve"> </w:t>
      </w:r>
      <w:r>
        <w:t>encourage</w:t>
      </w:r>
      <w:r>
        <w:rPr>
          <w:spacing w:val="-10"/>
        </w:rPr>
        <w:t xml:space="preserve"> </w:t>
      </w:r>
      <w:r>
        <w:t>assessment of</w:t>
      </w:r>
      <w:r>
        <w:rPr>
          <w:spacing w:val="-6"/>
        </w:rPr>
        <w:t xml:space="preserve"> </w:t>
      </w:r>
      <w:r>
        <w:t>network</w:t>
      </w:r>
      <w:r>
        <w:rPr>
          <w:spacing w:val="-8"/>
        </w:rPr>
        <w:t xml:space="preserve"> </w:t>
      </w:r>
      <w:r>
        <w:t>adequacy</w:t>
      </w:r>
      <w:r>
        <w:rPr>
          <w:spacing w:val="-10"/>
        </w:rPr>
        <w:t xml:space="preserve"> </w:t>
      </w:r>
      <w:r>
        <w:t>through</w:t>
      </w:r>
      <w:r>
        <w:rPr>
          <w:spacing w:val="-7"/>
        </w:rPr>
        <w:t xml:space="preserve"> </w:t>
      </w:r>
      <w:r>
        <w:t>direct</w:t>
      </w:r>
      <w:r>
        <w:rPr>
          <w:spacing w:val="-10"/>
        </w:rPr>
        <w:t xml:space="preserve"> </w:t>
      </w:r>
      <w:r>
        <w:t>measures</w:t>
      </w:r>
      <w:r>
        <w:rPr>
          <w:spacing w:val="-8"/>
        </w:rPr>
        <w:t xml:space="preserve"> </w:t>
      </w:r>
      <w:r>
        <w:t>such</w:t>
      </w:r>
      <w:r>
        <w:rPr>
          <w:spacing w:val="-9"/>
        </w:rPr>
        <w:t xml:space="preserve"> </w:t>
      </w:r>
      <w:r>
        <w:t>as</w:t>
      </w:r>
      <w:r>
        <w:rPr>
          <w:spacing w:val="-10"/>
        </w:rPr>
        <w:t xml:space="preserve"> </w:t>
      </w:r>
      <w:r>
        <w:t>so-called</w:t>
      </w:r>
      <w:r>
        <w:rPr>
          <w:spacing w:val="-12"/>
        </w:rPr>
        <w:t xml:space="preserve"> </w:t>
      </w:r>
      <w:r>
        <w:t>“secret</w:t>
      </w:r>
      <w:r>
        <w:rPr>
          <w:spacing w:val="-8"/>
        </w:rPr>
        <w:t xml:space="preserve"> </w:t>
      </w:r>
      <w:r>
        <w:t>shopper”</w:t>
      </w:r>
      <w:r>
        <w:rPr>
          <w:spacing w:val="-9"/>
        </w:rPr>
        <w:t xml:space="preserve"> </w:t>
      </w:r>
      <w:r>
        <w:t>surveys</w:t>
      </w:r>
      <w:r>
        <w:rPr>
          <w:spacing w:val="-8"/>
        </w:rPr>
        <w:t xml:space="preserve"> </w:t>
      </w:r>
      <w:r>
        <w:t>which</w:t>
      </w:r>
      <w:r>
        <w:rPr>
          <w:spacing w:val="-10"/>
        </w:rPr>
        <w:t xml:space="preserve"> </w:t>
      </w:r>
      <w:r>
        <w:t>have</w:t>
      </w:r>
      <w:r>
        <w:rPr>
          <w:spacing w:val="-8"/>
        </w:rPr>
        <w:t xml:space="preserve"> </w:t>
      </w:r>
      <w:r>
        <w:t>been</w:t>
      </w:r>
      <w:r>
        <w:rPr>
          <w:spacing w:val="-9"/>
        </w:rPr>
        <w:t xml:space="preserve"> </w:t>
      </w:r>
      <w:r>
        <w:t>used effectively</w:t>
      </w:r>
      <w:r>
        <w:rPr>
          <w:spacing w:val="-9"/>
        </w:rPr>
        <w:t xml:space="preserve"> </w:t>
      </w:r>
      <w:r>
        <w:t>in</w:t>
      </w:r>
      <w:r>
        <w:rPr>
          <w:spacing w:val="-12"/>
        </w:rPr>
        <w:t xml:space="preserve"> </w:t>
      </w:r>
      <w:r>
        <w:t>Medicare</w:t>
      </w:r>
      <w:r>
        <w:rPr>
          <w:spacing w:val="-10"/>
        </w:rPr>
        <w:t xml:space="preserve"> </w:t>
      </w:r>
      <w:r>
        <w:t>and</w:t>
      </w:r>
      <w:r>
        <w:rPr>
          <w:spacing w:val="-15"/>
        </w:rPr>
        <w:t xml:space="preserve"> </w:t>
      </w:r>
      <w:r>
        <w:t>other</w:t>
      </w:r>
      <w:r>
        <w:rPr>
          <w:spacing w:val="-12"/>
        </w:rPr>
        <w:t xml:space="preserve"> </w:t>
      </w:r>
      <w:r>
        <w:t>state</w:t>
      </w:r>
      <w:r>
        <w:rPr>
          <w:spacing w:val="-11"/>
        </w:rPr>
        <w:t xml:space="preserve"> </w:t>
      </w:r>
      <w:r>
        <w:t>Medicaid</w:t>
      </w:r>
      <w:r>
        <w:rPr>
          <w:spacing w:val="-11"/>
        </w:rPr>
        <w:t xml:space="preserve"> </w:t>
      </w:r>
      <w:r>
        <w:t>programs</w:t>
      </w:r>
      <w:r>
        <w:rPr>
          <w:spacing w:val="-11"/>
        </w:rPr>
        <w:t xml:space="preserve"> </w:t>
      </w:r>
      <w:r>
        <w:t>to</w:t>
      </w:r>
      <w:r>
        <w:rPr>
          <w:spacing w:val="-9"/>
        </w:rPr>
        <w:t xml:space="preserve"> </w:t>
      </w:r>
      <w:r>
        <w:t>reproduce</w:t>
      </w:r>
      <w:r>
        <w:rPr>
          <w:spacing w:val="-10"/>
        </w:rPr>
        <w:t xml:space="preserve"> </w:t>
      </w:r>
      <w:r>
        <w:t>the</w:t>
      </w:r>
      <w:r>
        <w:rPr>
          <w:spacing w:val="-11"/>
        </w:rPr>
        <w:t xml:space="preserve"> </w:t>
      </w:r>
      <w:r>
        <w:t>member</w:t>
      </w:r>
      <w:r>
        <w:rPr>
          <w:spacing w:val="-10"/>
        </w:rPr>
        <w:t xml:space="preserve"> </w:t>
      </w:r>
      <w:r>
        <w:t>experience.</w:t>
      </w:r>
    </w:p>
    <w:p w:rsidR="002C5025" w:rsidRDefault="002C5025">
      <w:pPr>
        <w:pStyle w:val="BodyText"/>
        <w:kinsoku w:val="0"/>
        <w:overflowPunct w:val="0"/>
      </w:pPr>
    </w:p>
    <w:p w:rsidR="002C5025" w:rsidRDefault="002C5025">
      <w:pPr>
        <w:pStyle w:val="BodyText"/>
        <w:kinsoku w:val="0"/>
        <w:overflowPunct w:val="0"/>
        <w:ind w:left="120" w:right="335"/>
        <w:rPr>
          <w:b/>
          <w:bCs/>
        </w:rPr>
      </w:pPr>
      <w:r>
        <w:rPr>
          <w:b/>
          <w:bCs/>
          <w:u w:val="single"/>
        </w:rPr>
        <w:t>Member Education and Assistance</w:t>
      </w:r>
    </w:p>
    <w:p w:rsidR="002C5025" w:rsidRDefault="002C5025">
      <w:pPr>
        <w:pStyle w:val="BodyText"/>
        <w:kinsoku w:val="0"/>
        <w:overflowPunct w:val="0"/>
        <w:ind w:left="119" w:right="125"/>
        <w:jc w:val="both"/>
      </w:pPr>
      <w:r>
        <w:t>We appreciate that MassHealth will require ACOs and MCOs to make information about their coverage and care options readily accessible and that MassHealth will enhance its own customer service, website, publications, and community collaborations. The proposed ACO initiative will make the system more complicated for members.</w:t>
      </w:r>
    </w:p>
    <w:p w:rsidR="002C5025" w:rsidRDefault="002C5025">
      <w:pPr>
        <w:pStyle w:val="BodyText"/>
        <w:kinsoku w:val="0"/>
        <w:overflowPunct w:val="0"/>
        <w:ind w:left="118" w:right="335"/>
      </w:pPr>
      <w:r>
        <w:t xml:space="preserve">With the changes, the </w:t>
      </w:r>
      <w:r>
        <w:rPr>
          <w:spacing w:val="-3"/>
        </w:rPr>
        <w:t xml:space="preserve">simple </w:t>
      </w:r>
      <w:r>
        <w:t xml:space="preserve">act of choosing one’s primary care setting will bring with it a </w:t>
      </w:r>
      <w:r>
        <w:rPr>
          <w:spacing w:val="-3"/>
        </w:rPr>
        <w:t xml:space="preserve">host </w:t>
      </w:r>
      <w:r>
        <w:t xml:space="preserve">of </w:t>
      </w:r>
      <w:r>
        <w:rPr>
          <w:spacing w:val="-3"/>
        </w:rPr>
        <w:t xml:space="preserve">important </w:t>
      </w:r>
      <w:r>
        <w:t>consequences.</w:t>
      </w:r>
      <w:r>
        <w:rPr>
          <w:spacing w:val="-13"/>
        </w:rPr>
        <w:t xml:space="preserve"> </w:t>
      </w:r>
      <w:r>
        <w:t>Particularly</w:t>
      </w:r>
      <w:r>
        <w:rPr>
          <w:spacing w:val="-9"/>
        </w:rPr>
        <w:t xml:space="preserve"> </w:t>
      </w:r>
      <w:r>
        <w:t>if</w:t>
      </w:r>
      <w:r>
        <w:rPr>
          <w:spacing w:val="-8"/>
        </w:rPr>
        <w:t xml:space="preserve"> </w:t>
      </w:r>
      <w:r>
        <w:t>the</w:t>
      </w:r>
      <w:r>
        <w:rPr>
          <w:spacing w:val="-12"/>
        </w:rPr>
        <w:t xml:space="preserve"> </w:t>
      </w:r>
      <w:r>
        <w:t>MCO</w:t>
      </w:r>
      <w:r>
        <w:rPr>
          <w:spacing w:val="-12"/>
        </w:rPr>
        <w:t xml:space="preserve"> </w:t>
      </w:r>
      <w:r>
        <w:t>enrollment</w:t>
      </w:r>
      <w:r>
        <w:rPr>
          <w:spacing w:val="-12"/>
        </w:rPr>
        <w:t xml:space="preserve"> </w:t>
      </w:r>
      <w:r>
        <w:t>restrictions</w:t>
      </w:r>
      <w:r>
        <w:rPr>
          <w:spacing w:val="-8"/>
        </w:rPr>
        <w:t xml:space="preserve"> </w:t>
      </w:r>
      <w:r>
        <w:t>are</w:t>
      </w:r>
      <w:r>
        <w:rPr>
          <w:spacing w:val="-6"/>
        </w:rPr>
        <w:t xml:space="preserve"> </w:t>
      </w:r>
      <w:r>
        <w:t>put</w:t>
      </w:r>
      <w:r>
        <w:rPr>
          <w:spacing w:val="-10"/>
        </w:rPr>
        <w:t xml:space="preserve"> </w:t>
      </w:r>
      <w:r>
        <w:t>into</w:t>
      </w:r>
      <w:r>
        <w:rPr>
          <w:spacing w:val="-8"/>
        </w:rPr>
        <w:t xml:space="preserve"> </w:t>
      </w:r>
      <w:r>
        <w:t>place,</w:t>
      </w:r>
      <w:r>
        <w:rPr>
          <w:spacing w:val="-12"/>
        </w:rPr>
        <w:t xml:space="preserve"> </w:t>
      </w:r>
      <w:r>
        <w:t>members</w:t>
      </w:r>
      <w:r>
        <w:rPr>
          <w:spacing w:val="-13"/>
        </w:rPr>
        <w:t xml:space="preserve"> </w:t>
      </w:r>
      <w:r>
        <w:t>will</w:t>
      </w:r>
      <w:r>
        <w:rPr>
          <w:spacing w:val="-8"/>
        </w:rPr>
        <w:t xml:space="preserve"> </w:t>
      </w:r>
      <w:r>
        <w:t>need</w:t>
      </w:r>
      <w:r>
        <w:rPr>
          <w:spacing w:val="-11"/>
        </w:rPr>
        <w:t xml:space="preserve"> </w:t>
      </w:r>
      <w:r>
        <w:t>extensive guidance</w:t>
      </w:r>
      <w:r>
        <w:rPr>
          <w:spacing w:val="-8"/>
        </w:rPr>
        <w:t xml:space="preserve"> </w:t>
      </w:r>
      <w:r>
        <w:t>to</w:t>
      </w:r>
      <w:r>
        <w:rPr>
          <w:spacing w:val="-7"/>
        </w:rPr>
        <w:t xml:space="preserve"> </w:t>
      </w:r>
      <w:r>
        <w:t>determine</w:t>
      </w:r>
      <w:r>
        <w:rPr>
          <w:spacing w:val="-10"/>
        </w:rPr>
        <w:t xml:space="preserve"> </w:t>
      </w:r>
      <w:r>
        <w:t>what</w:t>
      </w:r>
      <w:r>
        <w:rPr>
          <w:spacing w:val="-3"/>
        </w:rPr>
        <w:t xml:space="preserve"> </w:t>
      </w:r>
      <w:r>
        <w:t>plan</w:t>
      </w:r>
      <w:r>
        <w:rPr>
          <w:spacing w:val="-7"/>
        </w:rPr>
        <w:t xml:space="preserve"> </w:t>
      </w:r>
      <w:r>
        <w:rPr>
          <w:spacing w:val="-3"/>
        </w:rPr>
        <w:t>best</w:t>
      </w:r>
      <w:r>
        <w:rPr>
          <w:spacing w:val="-10"/>
        </w:rPr>
        <w:t xml:space="preserve"> </w:t>
      </w:r>
      <w:r>
        <w:t>meets</w:t>
      </w:r>
      <w:r>
        <w:rPr>
          <w:spacing w:val="-8"/>
        </w:rPr>
        <w:t xml:space="preserve"> </w:t>
      </w:r>
      <w:r>
        <w:t>their</w:t>
      </w:r>
      <w:r>
        <w:rPr>
          <w:spacing w:val="-8"/>
        </w:rPr>
        <w:t xml:space="preserve"> </w:t>
      </w:r>
      <w:r>
        <w:t>needs.</w:t>
      </w:r>
    </w:p>
    <w:p w:rsidR="002C5025" w:rsidRDefault="002C5025">
      <w:pPr>
        <w:pStyle w:val="BodyText"/>
        <w:kinsoku w:val="0"/>
        <w:overflowPunct w:val="0"/>
        <w:spacing w:before="10"/>
        <w:rPr>
          <w:sz w:val="21"/>
          <w:szCs w:val="21"/>
        </w:rPr>
      </w:pPr>
    </w:p>
    <w:p w:rsidR="002C5025" w:rsidRDefault="002C5025">
      <w:pPr>
        <w:pStyle w:val="BodyText"/>
        <w:kinsoku w:val="0"/>
        <w:overflowPunct w:val="0"/>
        <w:ind w:left="120" w:right="335"/>
      </w:pPr>
      <w:r>
        <w:t>We urge MassHealth to:</w:t>
      </w:r>
    </w:p>
    <w:p w:rsidR="002C5025" w:rsidRDefault="002C5025">
      <w:pPr>
        <w:pStyle w:val="ListParagraph"/>
        <w:numPr>
          <w:ilvl w:val="0"/>
          <w:numId w:val="96"/>
        </w:numPr>
        <w:tabs>
          <w:tab w:val="left" w:pos="841"/>
        </w:tabs>
        <w:kinsoku w:val="0"/>
        <w:overflowPunct w:val="0"/>
        <w:ind w:left="840" w:right="510" w:hanging="360"/>
        <w:rPr>
          <w:rFonts w:ascii="Calibri" w:hAnsi="Calibri" w:cs="Calibri"/>
          <w:sz w:val="22"/>
          <w:szCs w:val="22"/>
        </w:rPr>
      </w:pPr>
      <w:r>
        <w:rPr>
          <w:rFonts w:ascii="Calibri" w:hAnsi="Calibri" w:cs="Calibri"/>
          <w:sz w:val="22"/>
          <w:szCs w:val="22"/>
        </w:rPr>
        <w:t>Invest in member education and navigation assistance, including implementation of an enhanced community-based</w:t>
      </w:r>
      <w:r>
        <w:rPr>
          <w:rFonts w:ascii="Calibri" w:hAnsi="Calibri" w:cs="Calibri"/>
          <w:spacing w:val="-9"/>
          <w:sz w:val="22"/>
          <w:szCs w:val="22"/>
        </w:rPr>
        <w:t xml:space="preserve"> </w:t>
      </w:r>
      <w:r>
        <w:rPr>
          <w:rFonts w:ascii="Calibri" w:hAnsi="Calibri" w:cs="Calibri"/>
          <w:sz w:val="22"/>
          <w:szCs w:val="22"/>
        </w:rPr>
        <w:t>public</w:t>
      </w:r>
      <w:r>
        <w:rPr>
          <w:rFonts w:ascii="Calibri" w:hAnsi="Calibri" w:cs="Calibri"/>
          <w:spacing w:val="-10"/>
          <w:sz w:val="22"/>
          <w:szCs w:val="22"/>
        </w:rPr>
        <w:t xml:space="preserve"> </w:t>
      </w:r>
      <w:r>
        <w:rPr>
          <w:rFonts w:ascii="Calibri" w:hAnsi="Calibri" w:cs="Calibri"/>
          <w:sz w:val="22"/>
          <w:szCs w:val="22"/>
        </w:rPr>
        <w:t>education</w:t>
      </w:r>
      <w:r>
        <w:rPr>
          <w:rFonts w:ascii="Calibri" w:hAnsi="Calibri" w:cs="Calibri"/>
          <w:spacing w:val="-9"/>
          <w:sz w:val="22"/>
          <w:szCs w:val="22"/>
        </w:rPr>
        <w:t xml:space="preserve"> </w:t>
      </w:r>
      <w:r>
        <w:rPr>
          <w:rFonts w:ascii="Calibri" w:hAnsi="Calibri" w:cs="Calibri"/>
          <w:sz w:val="22"/>
          <w:szCs w:val="22"/>
        </w:rPr>
        <w:t>campaign</w:t>
      </w:r>
      <w:r>
        <w:rPr>
          <w:rFonts w:ascii="Calibri" w:hAnsi="Calibri" w:cs="Calibri"/>
          <w:spacing w:val="-9"/>
          <w:sz w:val="22"/>
          <w:szCs w:val="22"/>
        </w:rPr>
        <w:t xml:space="preserve"> </w:t>
      </w:r>
      <w:r>
        <w:rPr>
          <w:rFonts w:ascii="Calibri" w:hAnsi="Calibri" w:cs="Calibri"/>
          <w:sz w:val="22"/>
          <w:szCs w:val="22"/>
        </w:rPr>
        <w:t>for</w:t>
      </w:r>
      <w:r>
        <w:rPr>
          <w:rFonts w:ascii="Calibri" w:hAnsi="Calibri" w:cs="Calibri"/>
          <w:spacing w:val="-11"/>
          <w:sz w:val="22"/>
          <w:szCs w:val="22"/>
        </w:rPr>
        <w:t xml:space="preserve"> </w:t>
      </w:r>
      <w:r>
        <w:rPr>
          <w:rFonts w:ascii="Calibri" w:hAnsi="Calibri" w:cs="Calibri"/>
          <w:sz w:val="22"/>
          <w:szCs w:val="22"/>
        </w:rPr>
        <w:t>members,</w:t>
      </w:r>
      <w:r>
        <w:rPr>
          <w:rFonts w:ascii="Calibri" w:hAnsi="Calibri" w:cs="Calibri"/>
          <w:spacing w:val="-9"/>
          <w:sz w:val="22"/>
          <w:szCs w:val="22"/>
        </w:rPr>
        <w:t xml:space="preserve"> </w:t>
      </w:r>
      <w:r>
        <w:rPr>
          <w:rFonts w:ascii="Calibri" w:hAnsi="Calibri" w:cs="Calibri"/>
          <w:sz w:val="22"/>
          <w:szCs w:val="22"/>
        </w:rPr>
        <w:t>as</w:t>
      </w:r>
      <w:r>
        <w:rPr>
          <w:rFonts w:ascii="Calibri" w:hAnsi="Calibri" w:cs="Calibri"/>
          <w:spacing w:val="-10"/>
          <w:sz w:val="22"/>
          <w:szCs w:val="22"/>
        </w:rPr>
        <w:t xml:space="preserve"> </w:t>
      </w:r>
      <w:r>
        <w:rPr>
          <w:rFonts w:ascii="Calibri" w:hAnsi="Calibri" w:cs="Calibri"/>
          <w:sz w:val="22"/>
          <w:szCs w:val="22"/>
        </w:rPr>
        <w:t>well</w:t>
      </w:r>
      <w:r>
        <w:rPr>
          <w:rFonts w:ascii="Calibri" w:hAnsi="Calibri" w:cs="Calibri"/>
          <w:spacing w:val="-9"/>
          <w:sz w:val="22"/>
          <w:szCs w:val="22"/>
        </w:rPr>
        <w:t xml:space="preserve"> </w:t>
      </w:r>
      <w:r>
        <w:rPr>
          <w:rFonts w:ascii="Calibri" w:hAnsi="Calibri" w:cs="Calibri"/>
          <w:sz w:val="22"/>
          <w:szCs w:val="22"/>
        </w:rPr>
        <w:t>as</w:t>
      </w:r>
      <w:r>
        <w:rPr>
          <w:rFonts w:ascii="Calibri" w:hAnsi="Calibri" w:cs="Calibri"/>
          <w:spacing w:val="-9"/>
          <w:sz w:val="22"/>
          <w:szCs w:val="22"/>
        </w:rPr>
        <w:t xml:space="preserve"> </w:t>
      </w:r>
      <w:r>
        <w:rPr>
          <w:rFonts w:ascii="Calibri" w:hAnsi="Calibri" w:cs="Calibri"/>
          <w:sz w:val="22"/>
          <w:szCs w:val="22"/>
        </w:rPr>
        <w:t>a</w:t>
      </w:r>
      <w:r>
        <w:rPr>
          <w:rFonts w:ascii="Calibri" w:hAnsi="Calibri" w:cs="Calibri"/>
          <w:spacing w:val="-11"/>
          <w:sz w:val="22"/>
          <w:szCs w:val="22"/>
        </w:rPr>
        <w:t xml:space="preserve"> </w:t>
      </w:r>
      <w:r>
        <w:rPr>
          <w:rFonts w:ascii="Calibri" w:hAnsi="Calibri" w:cs="Calibri"/>
          <w:sz w:val="22"/>
          <w:szCs w:val="22"/>
        </w:rPr>
        <w:t>major</w:t>
      </w:r>
      <w:r>
        <w:rPr>
          <w:rFonts w:ascii="Calibri" w:hAnsi="Calibri" w:cs="Calibri"/>
          <w:spacing w:val="-9"/>
          <w:sz w:val="22"/>
          <w:szCs w:val="22"/>
        </w:rPr>
        <w:t xml:space="preserve"> </w:t>
      </w:r>
      <w:r>
        <w:rPr>
          <w:rFonts w:ascii="Calibri" w:hAnsi="Calibri" w:cs="Calibri"/>
          <w:sz w:val="22"/>
          <w:szCs w:val="22"/>
        </w:rPr>
        <w:t>expansion</w:t>
      </w:r>
      <w:r>
        <w:rPr>
          <w:rFonts w:ascii="Calibri" w:hAnsi="Calibri" w:cs="Calibri"/>
          <w:spacing w:val="-12"/>
          <w:sz w:val="22"/>
          <w:szCs w:val="22"/>
        </w:rPr>
        <w:t xml:space="preserve"> </w:t>
      </w:r>
      <w:r>
        <w:rPr>
          <w:rFonts w:ascii="Calibri" w:hAnsi="Calibri" w:cs="Calibri"/>
          <w:sz w:val="22"/>
          <w:szCs w:val="22"/>
        </w:rPr>
        <w:t>of</w:t>
      </w:r>
      <w:r>
        <w:rPr>
          <w:rFonts w:ascii="Calibri" w:hAnsi="Calibri" w:cs="Calibri"/>
          <w:spacing w:val="-9"/>
          <w:sz w:val="22"/>
          <w:szCs w:val="22"/>
        </w:rPr>
        <w:t xml:space="preserve"> </w:t>
      </w:r>
      <w:r>
        <w:rPr>
          <w:rFonts w:ascii="Calibri" w:hAnsi="Calibri" w:cs="Calibri"/>
          <w:sz w:val="22"/>
          <w:szCs w:val="22"/>
        </w:rPr>
        <w:t xml:space="preserve">in-person </w:t>
      </w:r>
      <w:r>
        <w:rPr>
          <w:rFonts w:ascii="Calibri" w:hAnsi="Calibri" w:cs="Calibri"/>
          <w:spacing w:val="-1"/>
          <w:sz w:val="22"/>
          <w:szCs w:val="22"/>
        </w:rPr>
        <w:t>enrollment</w:t>
      </w:r>
      <w:r>
        <w:rPr>
          <w:rFonts w:ascii="Calibri" w:hAnsi="Calibri" w:cs="Calibri"/>
          <w:spacing w:val="-18"/>
          <w:sz w:val="22"/>
          <w:szCs w:val="22"/>
        </w:rPr>
        <w:t xml:space="preserve"> </w:t>
      </w:r>
      <w:r>
        <w:rPr>
          <w:rFonts w:ascii="Calibri" w:hAnsi="Calibri" w:cs="Calibri"/>
          <w:sz w:val="22"/>
          <w:szCs w:val="22"/>
        </w:rPr>
        <w:t>assistance;</w:t>
      </w:r>
    </w:p>
    <w:p w:rsidR="002C5025" w:rsidRDefault="002C5025">
      <w:pPr>
        <w:pStyle w:val="ListParagraph"/>
        <w:numPr>
          <w:ilvl w:val="0"/>
          <w:numId w:val="96"/>
        </w:numPr>
        <w:tabs>
          <w:tab w:val="left" w:pos="841"/>
        </w:tabs>
        <w:kinsoku w:val="0"/>
        <w:overflowPunct w:val="0"/>
        <w:ind w:left="841" w:right="109"/>
        <w:jc w:val="both"/>
        <w:rPr>
          <w:rFonts w:ascii="Calibri" w:hAnsi="Calibri" w:cs="Calibri"/>
          <w:sz w:val="22"/>
          <w:szCs w:val="22"/>
        </w:rPr>
      </w:pPr>
      <w:r>
        <w:rPr>
          <w:rFonts w:ascii="Calibri" w:hAnsi="Calibri" w:cs="Calibri"/>
          <w:sz w:val="22"/>
          <w:szCs w:val="22"/>
        </w:rPr>
        <w:t xml:space="preserve">Ensure the ombudsperson, or another entity such </w:t>
      </w:r>
      <w:r>
        <w:rPr>
          <w:rFonts w:ascii="Calibri" w:hAnsi="Calibri" w:cs="Calibri"/>
          <w:spacing w:val="-3"/>
          <w:sz w:val="22"/>
          <w:szCs w:val="22"/>
        </w:rPr>
        <w:t xml:space="preserve">as </w:t>
      </w:r>
      <w:r>
        <w:rPr>
          <w:rFonts w:ascii="Calibri" w:hAnsi="Calibri" w:cs="Calibri"/>
          <w:sz w:val="22"/>
          <w:szCs w:val="22"/>
        </w:rPr>
        <w:t xml:space="preserve">the </w:t>
      </w:r>
      <w:r>
        <w:rPr>
          <w:rFonts w:ascii="Calibri" w:hAnsi="Calibri" w:cs="Calibri"/>
          <w:spacing w:val="-3"/>
          <w:sz w:val="22"/>
          <w:szCs w:val="22"/>
        </w:rPr>
        <w:t xml:space="preserve">Office </w:t>
      </w:r>
      <w:r>
        <w:rPr>
          <w:rFonts w:ascii="Calibri" w:hAnsi="Calibri" w:cs="Calibri"/>
          <w:sz w:val="22"/>
          <w:szCs w:val="22"/>
        </w:rPr>
        <w:t xml:space="preserve">of Patient Protection, has a role </w:t>
      </w:r>
      <w:r>
        <w:rPr>
          <w:rFonts w:ascii="Calibri" w:hAnsi="Calibri" w:cs="Calibri"/>
          <w:spacing w:val="-3"/>
          <w:sz w:val="22"/>
          <w:szCs w:val="22"/>
        </w:rPr>
        <w:t xml:space="preserve">in </w:t>
      </w:r>
      <w:r>
        <w:rPr>
          <w:rFonts w:ascii="Calibri" w:hAnsi="Calibri" w:cs="Calibri"/>
          <w:sz w:val="22"/>
          <w:szCs w:val="22"/>
        </w:rPr>
        <w:t>arbitrating ACO members’ appeals and grievances for coverage as well as ACO-specific treatment or referral</w:t>
      </w:r>
      <w:r>
        <w:rPr>
          <w:rFonts w:ascii="Calibri" w:hAnsi="Calibri" w:cs="Calibri"/>
          <w:spacing w:val="-12"/>
          <w:sz w:val="22"/>
          <w:szCs w:val="22"/>
        </w:rPr>
        <w:t xml:space="preserve"> </w:t>
      </w:r>
      <w:r>
        <w:rPr>
          <w:rFonts w:ascii="Calibri" w:hAnsi="Calibri" w:cs="Calibri"/>
          <w:sz w:val="22"/>
          <w:szCs w:val="22"/>
        </w:rPr>
        <w:t>decisions,</w:t>
      </w:r>
      <w:r>
        <w:rPr>
          <w:rFonts w:ascii="Calibri" w:hAnsi="Calibri" w:cs="Calibri"/>
          <w:spacing w:val="-11"/>
          <w:sz w:val="22"/>
          <w:szCs w:val="22"/>
        </w:rPr>
        <w:t xml:space="preserve"> </w:t>
      </w:r>
      <w:r>
        <w:rPr>
          <w:rFonts w:ascii="Calibri" w:hAnsi="Calibri" w:cs="Calibri"/>
          <w:sz w:val="22"/>
          <w:szCs w:val="22"/>
        </w:rPr>
        <w:t>while</w:t>
      </w:r>
      <w:r>
        <w:rPr>
          <w:rFonts w:ascii="Calibri" w:hAnsi="Calibri" w:cs="Calibri"/>
          <w:spacing w:val="-11"/>
          <w:sz w:val="22"/>
          <w:szCs w:val="22"/>
        </w:rPr>
        <w:t xml:space="preserve"> </w:t>
      </w:r>
      <w:r>
        <w:rPr>
          <w:rFonts w:ascii="Calibri" w:hAnsi="Calibri" w:cs="Calibri"/>
          <w:sz w:val="22"/>
          <w:szCs w:val="22"/>
        </w:rPr>
        <w:t>identifying</w:t>
      </w:r>
      <w:r>
        <w:rPr>
          <w:rFonts w:ascii="Calibri" w:hAnsi="Calibri" w:cs="Calibri"/>
          <w:spacing w:val="-10"/>
          <w:sz w:val="22"/>
          <w:szCs w:val="22"/>
        </w:rPr>
        <w:t xml:space="preserve"> </w:t>
      </w:r>
      <w:r>
        <w:rPr>
          <w:rFonts w:ascii="Calibri" w:hAnsi="Calibri" w:cs="Calibri"/>
          <w:sz w:val="22"/>
          <w:szCs w:val="22"/>
        </w:rPr>
        <w:t>and</w:t>
      </w:r>
      <w:r>
        <w:rPr>
          <w:rFonts w:ascii="Calibri" w:hAnsi="Calibri" w:cs="Calibri"/>
          <w:spacing w:val="-13"/>
          <w:sz w:val="22"/>
          <w:szCs w:val="22"/>
        </w:rPr>
        <w:t xml:space="preserve"> </w:t>
      </w:r>
      <w:r>
        <w:rPr>
          <w:rFonts w:ascii="Calibri" w:hAnsi="Calibri" w:cs="Calibri"/>
          <w:sz w:val="22"/>
          <w:szCs w:val="22"/>
        </w:rPr>
        <w:t>addressing</w:t>
      </w:r>
      <w:r>
        <w:rPr>
          <w:rFonts w:ascii="Calibri" w:hAnsi="Calibri" w:cs="Calibri"/>
          <w:spacing w:val="-16"/>
          <w:sz w:val="22"/>
          <w:szCs w:val="22"/>
        </w:rPr>
        <w:t xml:space="preserve"> </w:t>
      </w:r>
      <w:r>
        <w:rPr>
          <w:rFonts w:ascii="Calibri" w:hAnsi="Calibri" w:cs="Calibri"/>
          <w:sz w:val="22"/>
          <w:szCs w:val="22"/>
        </w:rPr>
        <w:t>systemic</w:t>
      </w:r>
      <w:r>
        <w:rPr>
          <w:rFonts w:ascii="Calibri" w:hAnsi="Calibri" w:cs="Calibri"/>
          <w:spacing w:val="-11"/>
          <w:sz w:val="22"/>
          <w:szCs w:val="22"/>
        </w:rPr>
        <w:t xml:space="preserve"> </w:t>
      </w:r>
      <w:r>
        <w:rPr>
          <w:rFonts w:ascii="Calibri" w:hAnsi="Calibri" w:cs="Calibri"/>
          <w:sz w:val="22"/>
          <w:szCs w:val="22"/>
        </w:rPr>
        <w:t>issues;</w:t>
      </w:r>
      <w:r>
        <w:rPr>
          <w:rFonts w:ascii="Calibri" w:hAnsi="Calibri" w:cs="Calibri"/>
          <w:spacing w:val="-12"/>
          <w:sz w:val="22"/>
          <w:szCs w:val="22"/>
        </w:rPr>
        <w:t xml:space="preserve"> </w:t>
      </w:r>
      <w:r>
        <w:rPr>
          <w:rFonts w:ascii="Calibri" w:hAnsi="Calibri" w:cs="Calibri"/>
          <w:sz w:val="22"/>
          <w:szCs w:val="22"/>
        </w:rPr>
        <w:t>and</w:t>
      </w:r>
    </w:p>
    <w:p w:rsidR="002C5025" w:rsidRDefault="002C5025">
      <w:pPr>
        <w:pStyle w:val="ListParagraph"/>
        <w:numPr>
          <w:ilvl w:val="0"/>
          <w:numId w:val="96"/>
        </w:numPr>
        <w:tabs>
          <w:tab w:val="left" w:pos="842"/>
        </w:tabs>
        <w:kinsoku w:val="0"/>
        <w:overflowPunct w:val="0"/>
        <w:ind w:left="841" w:hanging="360"/>
        <w:rPr>
          <w:rFonts w:ascii="Calibri" w:hAnsi="Calibri" w:cs="Calibri"/>
          <w:sz w:val="22"/>
          <w:szCs w:val="22"/>
        </w:rPr>
      </w:pPr>
      <w:r>
        <w:rPr>
          <w:rFonts w:ascii="Calibri" w:hAnsi="Calibri" w:cs="Calibri"/>
          <w:sz w:val="22"/>
          <w:szCs w:val="22"/>
        </w:rPr>
        <w:t>Translate</w:t>
      </w:r>
      <w:r>
        <w:rPr>
          <w:rFonts w:ascii="Calibri" w:hAnsi="Calibri" w:cs="Calibri"/>
          <w:spacing w:val="-13"/>
          <w:sz w:val="22"/>
          <w:szCs w:val="22"/>
        </w:rPr>
        <w:t xml:space="preserve"> </w:t>
      </w:r>
      <w:r>
        <w:rPr>
          <w:rFonts w:ascii="Calibri" w:hAnsi="Calibri" w:cs="Calibri"/>
          <w:sz w:val="22"/>
          <w:szCs w:val="22"/>
        </w:rPr>
        <w:t>written</w:t>
      </w:r>
      <w:r>
        <w:rPr>
          <w:rFonts w:ascii="Calibri" w:hAnsi="Calibri" w:cs="Calibri"/>
          <w:spacing w:val="-15"/>
          <w:sz w:val="22"/>
          <w:szCs w:val="22"/>
        </w:rPr>
        <w:t xml:space="preserve"> </w:t>
      </w:r>
      <w:r>
        <w:rPr>
          <w:rFonts w:ascii="Calibri" w:hAnsi="Calibri" w:cs="Calibri"/>
          <w:sz w:val="22"/>
          <w:szCs w:val="22"/>
        </w:rPr>
        <w:t>materials</w:t>
      </w:r>
      <w:r>
        <w:rPr>
          <w:rFonts w:ascii="Calibri" w:hAnsi="Calibri" w:cs="Calibri"/>
          <w:spacing w:val="-14"/>
          <w:sz w:val="22"/>
          <w:szCs w:val="22"/>
        </w:rPr>
        <w:t xml:space="preserve"> </w:t>
      </w:r>
      <w:r>
        <w:rPr>
          <w:rFonts w:ascii="Calibri" w:hAnsi="Calibri" w:cs="Calibri"/>
          <w:sz w:val="22"/>
          <w:szCs w:val="22"/>
        </w:rPr>
        <w:t>into</w:t>
      </w:r>
      <w:r>
        <w:rPr>
          <w:rFonts w:ascii="Calibri" w:hAnsi="Calibri" w:cs="Calibri"/>
          <w:spacing w:val="-10"/>
          <w:sz w:val="22"/>
          <w:szCs w:val="22"/>
        </w:rPr>
        <w:t xml:space="preserve"> </w:t>
      </w:r>
      <w:r>
        <w:rPr>
          <w:rFonts w:ascii="Calibri" w:hAnsi="Calibri" w:cs="Calibri"/>
          <w:sz w:val="22"/>
          <w:szCs w:val="22"/>
        </w:rPr>
        <w:t>all</w:t>
      </w:r>
      <w:r>
        <w:rPr>
          <w:rFonts w:ascii="Calibri" w:hAnsi="Calibri" w:cs="Calibri"/>
          <w:spacing w:val="-15"/>
          <w:sz w:val="22"/>
          <w:szCs w:val="22"/>
        </w:rPr>
        <w:t xml:space="preserve"> </w:t>
      </w:r>
      <w:r>
        <w:rPr>
          <w:rFonts w:ascii="Calibri" w:hAnsi="Calibri" w:cs="Calibri"/>
          <w:sz w:val="22"/>
          <w:szCs w:val="22"/>
        </w:rPr>
        <w:t>prevalent</w:t>
      </w:r>
      <w:r>
        <w:rPr>
          <w:rFonts w:ascii="Calibri" w:hAnsi="Calibri" w:cs="Calibri"/>
          <w:spacing w:val="-10"/>
          <w:sz w:val="22"/>
          <w:szCs w:val="22"/>
        </w:rPr>
        <w:t xml:space="preserve"> </w:t>
      </w:r>
      <w:r>
        <w:rPr>
          <w:rFonts w:ascii="Calibri" w:hAnsi="Calibri" w:cs="Calibri"/>
          <w:sz w:val="22"/>
          <w:szCs w:val="22"/>
        </w:rPr>
        <w:t>languages.</w:t>
      </w:r>
    </w:p>
    <w:p w:rsidR="002C5025" w:rsidRDefault="002C5025">
      <w:pPr>
        <w:pStyle w:val="BodyText"/>
        <w:kinsoku w:val="0"/>
        <w:overflowPunct w:val="0"/>
        <w:spacing w:before="10"/>
        <w:rPr>
          <w:sz w:val="21"/>
          <w:szCs w:val="21"/>
        </w:rPr>
      </w:pPr>
    </w:p>
    <w:p w:rsidR="002C5025" w:rsidRDefault="002C5025">
      <w:pPr>
        <w:pStyle w:val="BodyText"/>
        <w:kinsoku w:val="0"/>
        <w:overflowPunct w:val="0"/>
        <w:ind w:left="119" w:right="335"/>
      </w:pPr>
      <w:r>
        <w:t>The need is for tailored, personalized, linguistically and culturally competent assistance both pre- and post- enrollment.</w:t>
      </w:r>
      <w:r>
        <w:rPr>
          <w:spacing w:val="-11"/>
        </w:rPr>
        <w:t xml:space="preserve"> </w:t>
      </w:r>
      <w:r>
        <w:t>Members</w:t>
      </w:r>
      <w:r>
        <w:rPr>
          <w:spacing w:val="-9"/>
        </w:rPr>
        <w:t xml:space="preserve"> </w:t>
      </w:r>
      <w:r>
        <w:t>should</w:t>
      </w:r>
      <w:r>
        <w:rPr>
          <w:spacing w:val="-10"/>
        </w:rPr>
        <w:t xml:space="preserve"> </w:t>
      </w:r>
      <w:r>
        <w:t>have</w:t>
      </w:r>
      <w:r>
        <w:rPr>
          <w:spacing w:val="-6"/>
        </w:rPr>
        <w:t xml:space="preserve"> </w:t>
      </w:r>
      <w:r>
        <w:t>access</w:t>
      </w:r>
      <w:r>
        <w:rPr>
          <w:spacing w:val="-13"/>
        </w:rPr>
        <w:t xml:space="preserve"> </w:t>
      </w:r>
      <w:r>
        <w:t>to</w:t>
      </w:r>
      <w:r>
        <w:rPr>
          <w:spacing w:val="-6"/>
        </w:rPr>
        <w:t xml:space="preserve"> </w:t>
      </w:r>
      <w:r>
        <w:t>individual</w:t>
      </w:r>
      <w:r>
        <w:rPr>
          <w:spacing w:val="-13"/>
        </w:rPr>
        <w:t xml:space="preserve"> </w:t>
      </w:r>
      <w:r>
        <w:t>assistance</w:t>
      </w:r>
      <w:r>
        <w:rPr>
          <w:spacing w:val="-11"/>
        </w:rPr>
        <w:t xml:space="preserve"> </w:t>
      </w:r>
      <w:r>
        <w:t>with</w:t>
      </w:r>
      <w:r>
        <w:rPr>
          <w:spacing w:val="-10"/>
        </w:rPr>
        <w:t xml:space="preserve"> </w:t>
      </w:r>
      <w:r>
        <w:t>choosing</w:t>
      </w:r>
      <w:r>
        <w:rPr>
          <w:spacing w:val="-10"/>
        </w:rPr>
        <w:t xml:space="preserve"> </w:t>
      </w:r>
      <w:r>
        <w:t>a</w:t>
      </w:r>
      <w:r>
        <w:rPr>
          <w:spacing w:val="-11"/>
        </w:rPr>
        <w:t xml:space="preserve"> </w:t>
      </w:r>
      <w:r>
        <w:t>plan</w:t>
      </w:r>
      <w:r>
        <w:rPr>
          <w:spacing w:val="-10"/>
        </w:rPr>
        <w:t xml:space="preserve"> </w:t>
      </w:r>
      <w:r>
        <w:t>and</w:t>
      </w:r>
      <w:r>
        <w:rPr>
          <w:spacing w:val="-10"/>
        </w:rPr>
        <w:t xml:space="preserve"> </w:t>
      </w:r>
      <w:r>
        <w:t>understanding</w:t>
      </w:r>
      <w:r>
        <w:rPr>
          <w:spacing w:val="-10"/>
        </w:rPr>
        <w:t xml:space="preserve"> </w:t>
      </w:r>
      <w:r>
        <w:t>the available</w:t>
      </w:r>
      <w:r>
        <w:rPr>
          <w:spacing w:val="-9"/>
        </w:rPr>
        <w:t xml:space="preserve"> </w:t>
      </w:r>
      <w:r>
        <w:t>coverage</w:t>
      </w:r>
      <w:r>
        <w:rPr>
          <w:spacing w:val="-11"/>
        </w:rPr>
        <w:t xml:space="preserve"> </w:t>
      </w:r>
      <w:r>
        <w:t>and</w:t>
      </w:r>
      <w:r>
        <w:rPr>
          <w:spacing w:val="-14"/>
        </w:rPr>
        <w:t xml:space="preserve"> </w:t>
      </w:r>
      <w:r>
        <w:t>care</w:t>
      </w:r>
      <w:r>
        <w:rPr>
          <w:spacing w:val="-11"/>
        </w:rPr>
        <w:t xml:space="preserve"> </w:t>
      </w:r>
      <w:r>
        <w:t>options.</w:t>
      </w:r>
    </w:p>
    <w:p w:rsidR="002C5025" w:rsidRDefault="002C5025">
      <w:pPr>
        <w:pStyle w:val="BodyText"/>
        <w:kinsoku w:val="0"/>
        <w:overflowPunct w:val="0"/>
      </w:pPr>
    </w:p>
    <w:p w:rsidR="002C5025" w:rsidRDefault="002C5025">
      <w:pPr>
        <w:pStyle w:val="BodyText"/>
        <w:kinsoku w:val="0"/>
        <w:overflowPunct w:val="0"/>
        <w:ind w:left="120" w:right="335"/>
        <w:rPr>
          <w:b/>
          <w:bCs/>
        </w:rPr>
      </w:pPr>
      <w:r>
        <w:rPr>
          <w:b/>
          <w:bCs/>
          <w:u w:val="single"/>
        </w:rPr>
        <w:t>Access to Services and Care Delivery</w:t>
      </w:r>
    </w:p>
    <w:p w:rsidR="002C5025" w:rsidRDefault="002C5025">
      <w:pPr>
        <w:pStyle w:val="BodyText"/>
        <w:kinsoku w:val="0"/>
        <w:overflowPunct w:val="0"/>
        <w:ind w:left="119" w:right="335"/>
      </w:pPr>
      <w:r>
        <w:t>We</w:t>
      </w:r>
      <w:r>
        <w:rPr>
          <w:spacing w:val="-9"/>
        </w:rPr>
        <w:t xml:space="preserve"> </w:t>
      </w:r>
      <w:r>
        <w:t>strongly</w:t>
      </w:r>
      <w:r>
        <w:rPr>
          <w:spacing w:val="-13"/>
        </w:rPr>
        <w:t xml:space="preserve"> </w:t>
      </w:r>
      <w:r>
        <w:t>support</w:t>
      </w:r>
      <w:r>
        <w:rPr>
          <w:spacing w:val="-13"/>
        </w:rPr>
        <w:t xml:space="preserve"> </w:t>
      </w:r>
      <w:r>
        <w:t>MassHealth’s</w:t>
      </w:r>
      <w:r>
        <w:rPr>
          <w:spacing w:val="-10"/>
        </w:rPr>
        <w:t xml:space="preserve"> </w:t>
      </w:r>
      <w:r>
        <w:t>goal</w:t>
      </w:r>
      <w:r>
        <w:rPr>
          <w:spacing w:val="-12"/>
        </w:rPr>
        <w:t xml:space="preserve"> </w:t>
      </w:r>
      <w:r>
        <w:t>to</w:t>
      </w:r>
      <w:r>
        <w:rPr>
          <w:spacing w:val="-9"/>
        </w:rPr>
        <w:t xml:space="preserve"> </w:t>
      </w:r>
      <w:r>
        <w:t>promote</w:t>
      </w:r>
      <w:r>
        <w:rPr>
          <w:spacing w:val="-13"/>
        </w:rPr>
        <w:t xml:space="preserve"> </w:t>
      </w:r>
      <w:r>
        <w:t>member-driven,</w:t>
      </w:r>
      <w:r>
        <w:rPr>
          <w:spacing w:val="-12"/>
        </w:rPr>
        <w:t xml:space="preserve"> </w:t>
      </w:r>
      <w:r>
        <w:t>integrated,</w:t>
      </w:r>
      <w:r>
        <w:rPr>
          <w:spacing w:val="-14"/>
        </w:rPr>
        <w:t xml:space="preserve"> </w:t>
      </w:r>
      <w:r>
        <w:t>coordinated</w:t>
      </w:r>
      <w:r>
        <w:rPr>
          <w:spacing w:val="-12"/>
        </w:rPr>
        <w:t xml:space="preserve"> </w:t>
      </w:r>
      <w:r>
        <w:t>care</w:t>
      </w:r>
      <w:r>
        <w:rPr>
          <w:spacing w:val="-9"/>
        </w:rPr>
        <w:t xml:space="preserve"> </w:t>
      </w:r>
      <w:r>
        <w:t>that</w:t>
      </w:r>
      <w:r>
        <w:rPr>
          <w:spacing w:val="-12"/>
        </w:rPr>
        <w:t xml:space="preserve"> </w:t>
      </w:r>
      <w:r>
        <w:t>includes physical health, behavioral health, LTSS, and social services. As set out below, we also believe integrating oral health care will lower costs and improve health outcomes. In the end, successful implementation is key to ensuring</w:t>
      </w:r>
      <w:r>
        <w:rPr>
          <w:spacing w:val="-13"/>
        </w:rPr>
        <w:t xml:space="preserve"> </w:t>
      </w:r>
      <w:r>
        <w:t>meaningful</w:t>
      </w:r>
      <w:r>
        <w:rPr>
          <w:spacing w:val="-11"/>
        </w:rPr>
        <w:t xml:space="preserve"> </w:t>
      </w:r>
      <w:r>
        <w:t>care</w:t>
      </w:r>
      <w:r>
        <w:rPr>
          <w:spacing w:val="-10"/>
        </w:rPr>
        <w:t xml:space="preserve"> </w:t>
      </w:r>
      <w:r>
        <w:t>delivery</w:t>
      </w:r>
      <w:r>
        <w:rPr>
          <w:spacing w:val="-8"/>
        </w:rPr>
        <w:t xml:space="preserve"> </w:t>
      </w:r>
      <w:r>
        <w:t>reforms</w:t>
      </w:r>
      <w:r>
        <w:rPr>
          <w:spacing w:val="-10"/>
        </w:rPr>
        <w:t xml:space="preserve"> </w:t>
      </w:r>
      <w:r>
        <w:t>that</w:t>
      </w:r>
      <w:r>
        <w:rPr>
          <w:spacing w:val="-12"/>
        </w:rPr>
        <w:t xml:space="preserve"> </w:t>
      </w:r>
      <w:r>
        <w:t>enhance</w:t>
      </w:r>
      <w:r>
        <w:rPr>
          <w:spacing w:val="-8"/>
        </w:rPr>
        <w:t xml:space="preserve"> </w:t>
      </w:r>
      <w:r>
        <w:t>health</w:t>
      </w:r>
      <w:r>
        <w:rPr>
          <w:spacing w:val="-11"/>
        </w:rPr>
        <w:t xml:space="preserve"> </w:t>
      </w:r>
      <w:r>
        <w:t>care</w:t>
      </w:r>
      <w:r>
        <w:rPr>
          <w:spacing w:val="-12"/>
        </w:rPr>
        <w:t xml:space="preserve"> </w:t>
      </w:r>
      <w:r>
        <w:t>quality</w:t>
      </w:r>
      <w:r>
        <w:rPr>
          <w:spacing w:val="-8"/>
        </w:rPr>
        <w:t xml:space="preserve"> </w:t>
      </w:r>
      <w:r>
        <w:t>and</w:t>
      </w:r>
      <w:r>
        <w:rPr>
          <w:spacing w:val="-13"/>
        </w:rPr>
        <w:t xml:space="preserve"> </w:t>
      </w:r>
      <w:r>
        <w:t>health</w:t>
      </w:r>
      <w:r>
        <w:rPr>
          <w:spacing w:val="-11"/>
        </w:rPr>
        <w:t xml:space="preserve"> </w:t>
      </w:r>
      <w:r>
        <w:t>outcomes.</w:t>
      </w:r>
    </w:p>
    <w:p w:rsidR="002C5025" w:rsidRDefault="002C5025">
      <w:pPr>
        <w:pStyle w:val="BodyText"/>
        <w:kinsoku w:val="0"/>
        <w:overflowPunct w:val="0"/>
      </w:pPr>
    </w:p>
    <w:p w:rsidR="002C5025" w:rsidRDefault="002C5025">
      <w:pPr>
        <w:pStyle w:val="BodyText"/>
        <w:kinsoku w:val="0"/>
        <w:overflowPunct w:val="0"/>
        <w:ind w:left="119" w:right="335"/>
        <w:rPr>
          <w:b/>
          <w:bCs/>
          <w:i/>
          <w:iCs/>
        </w:rPr>
      </w:pPr>
      <w:r>
        <w:rPr>
          <w:b/>
          <w:bCs/>
          <w:i/>
          <w:iCs/>
        </w:rPr>
        <w:t>Community Partners</w:t>
      </w:r>
    </w:p>
    <w:p w:rsidR="002C5025" w:rsidRDefault="002C5025">
      <w:pPr>
        <w:pStyle w:val="BodyText"/>
        <w:kinsoku w:val="0"/>
        <w:overflowPunct w:val="0"/>
        <w:ind w:left="117" w:right="153" w:firstLine="1"/>
      </w:pPr>
      <w:r>
        <w:t xml:space="preserve">One of the unique features of MassHealth’s proposal is the strong emphasis on ACOs’ collaboration with community-based </w:t>
      </w:r>
      <w:r>
        <w:rPr>
          <w:spacing w:val="-3"/>
        </w:rPr>
        <w:t xml:space="preserve">providers. </w:t>
      </w:r>
      <w:r>
        <w:t xml:space="preserve">Most of these organizations already serve a high volume of MassHealth members and play a significant role </w:t>
      </w:r>
      <w:r>
        <w:rPr>
          <w:spacing w:val="-3"/>
        </w:rPr>
        <w:t xml:space="preserve">in </w:t>
      </w:r>
      <w:r>
        <w:t xml:space="preserve">care coordination and connecting members with non-medical services. We support MassHealth’s proposal to connect ACOs with community-based behavioral health and LTSS providers, </w:t>
      </w:r>
      <w:r>
        <w:rPr>
          <w:spacing w:val="-2"/>
        </w:rPr>
        <w:t xml:space="preserve">who </w:t>
      </w:r>
      <w:r>
        <w:t xml:space="preserve">can be certified as Community Partners (CPs), including providing direct DSRIP funding to support the capacity- building of CPs. CPs can </w:t>
      </w:r>
      <w:r>
        <w:rPr>
          <w:spacing w:val="-3"/>
        </w:rPr>
        <w:t xml:space="preserve">use </w:t>
      </w:r>
      <w:r>
        <w:t xml:space="preserve">these resources to build out the required capacity to work with ACOs in supporting the integration of </w:t>
      </w:r>
      <w:r>
        <w:rPr>
          <w:spacing w:val="-3"/>
        </w:rPr>
        <w:t xml:space="preserve">behavioral </w:t>
      </w:r>
      <w:r>
        <w:t>health, LTSS and health-related social services. We request more information about the certification criteria which CPs must meet, including cost and quality goals and checks and balances to</w:t>
      </w:r>
    </w:p>
    <w:p w:rsidR="002C5025" w:rsidRDefault="002C5025">
      <w:pPr>
        <w:pStyle w:val="BodyText"/>
        <w:kinsoku w:val="0"/>
        <w:overflowPunct w:val="0"/>
        <w:ind w:left="117" w:right="335"/>
      </w:pPr>
      <w:r>
        <w:t>guard against excessive self-referral.</w:t>
      </w:r>
    </w:p>
    <w:p w:rsidR="002C5025" w:rsidRDefault="002C5025">
      <w:pPr>
        <w:pStyle w:val="BodyText"/>
        <w:kinsoku w:val="0"/>
        <w:overflowPunct w:val="0"/>
      </w:pPr>
    </w:p>
    <w:p w:rsidR="002C5025" w:rsidRDefault="002C5025">
      <w:pPr>
        <w:pStyle w:val="BodyText"/>
        <w:kinsoku w:val="0"/>
        <w:overflowPunct w:val="0"/>
        <w:ind w:left="117" w:right="335"/>
        <w:rPr>
          <w:b/>
          <w:bCs/>
          <w:i/>
          <w:iCs/>
        </w:rPr>
      </w:pPr>
      <w:r>
        <w:rPr>
          <w:b/>
          <w:bCs/>
          <w:i/>
          <w:iCs/>
        </w:rPr>
        <w:t>Long-Term Services and Supports</w:t>
      </w:r>
    </w:p>
    <w:p w:rsidR="002C5025" w:rsidRDefault="002C5025">
      <w:pPr>
        <w:pStyle w:val="BodyText"/>
        <w:kinsoku w:val="0"/>
        <w:overflowPunct w:val="0"/>
        <w:ind w:left="116" w:right="255"/>
        <w:jc w:val="both"/>
      </w:pPr>
      <w:r>
        <w:t>We support MassHealth’s plan to phase in integration of LTSS into ACOs, and the utilization of LTSS CPs to offer care coordination and LTSS services. MassHealth should ensure that ACOs rely on community-based providers’ expertise in serving people with disabilities and not over-medicalize the LTSS needs of members.</w:t>
      </w:r>
    </w:p>
    <w:p w:rsidR="002C5025" w:rsidRDefault="002C5025">
      <w:pPr>
        <w:pStyle w:val="BodyText"/>
        <w:kinsoku w:val="0"/>
        <w:overflowPunct w:val="0"/>
        <w:spacing w:before="3"/>
        <w:rPr>
          <w:sz w:val="26"/>
          <w:szCs w:val="26"/>
        </w:rPr>
      </w:pPr>
    </w:p>
    <w:p w:rsidR="002C5025" w:rsidRDefault="002C5025">
      <w:pPr>
        <w:pStyle w:val="BodyText"/>
        <w:kinsoku w:val="0"/>
        <w:overflowPunct w:val="0"/>
        <w:spacing w:before="64"/>
        <w:ind w:left="4"/>
        <w:jc w:val="center"/>
        <w:rPr>
          <w:sz w:val="18"/>
          <w:szCs w:val="18"/>
        </w:rPr>
      </w:pPr>
      <w:r>
        <w:rPr>
          <w:sz w:val="18"/>
          <w:szCs w:val="18"/>
        </w:rPr>
        <w:t>4</w:t>
      </w:r>
    </w:p>
    <w:p w:rsidR="002C5025" w:rsidRDefault="002C5025">
      <w:pPr>
        <w:pStyle w:val="BodyText"/>
        <w:kinsoku w:val="0"/>
        <w:overflowPunct w:val="0"/>
        <w:spacing w:before="64"/>
        <w:ind w:left="4"/>
        <w:jc w:val="center"/>
        <w:rPr>
          <w:sz w:val="18"/>
          <w:szCs w:val="18"/>
        </w:rPr>
        <w:sectPr w:rsidR="002C5025">
          <w:pgSz w:w="12240" w:h="15840"/>
          <w:pgMar w:top="1040" w:right="960" w:bottom="280" w:left="960" w:header="720" w:footer="720" w:gutter="0"/>
          <w:cols w:space="720"/>
          <w:noEndnote/>
        </w:sectPr>
      </w:pPr>
    </w:p>
    <w:p w:rsidR="002C5025" w:rsidRDefault="002C5025">
      <w:pPr>
        <w:pStyle w:val="BodyText"/>
        <w:kinsoku w:val="0"/>
        <w:overflowPunct w:val="0"/>
        <w:spacing w:before="43"/>
        <w:ind w:left="117" w:right="200" w:firstLine="2"/>
      </w:pPr>
      <w:r>
        <w:lastRenderedPageBreak/>
        <w:t>We</w:t>
      </w:r>
      <w:r>
        <w:rPr>
          <w:spacing w:val="-7"/>
        </w:rPr>
        <w:t xml:space="preserve"> </w:t>
      </w:r>
      <w:r>
        <w:t>appreciate</w:t>
      </w:r>
      <w:r>
        <w:rPr>
          <w:spacing w:val="-9"/>
        </w:rPr>
        <w:t xml:space="preserve"> </w:t>
      </w:r>
      <w:r>
        <w:t>that</w:t>
      </w:r>
      <w:r>
        <w:rPr>
          <w:spacing w:val="-11"/>
        </w:rPr>
        <w:t xml:space="preserve"> </w:t>
      </w:r>
      <w:r>
        <w:t>MassHealth</w:t>
      </w:r>
      <w:r>
        <w:rPr>
          <w:spacing w:val="-10"/>
        </w:rPr>
        <w:t xml:space="preserve"> </w:t>
      </w:r>
      <w:r>
        <w:t>envisions</w:t>
      </w:r>
      <w:r>
        <w:rPr>
          <w:spacing w:val="-9"/>
        </w:rPr>
        <w:t xml:space="preserve"> </w:t>
      </w:r>
      <w:r>
        <w:t>an</w:t>
      </w:r>
      <w:r>
        <w:rPr>
          <w:spacing w:val="-10"/>
        </w:rPr>
        <w:t xml:space="preserve"> </w:t>
      </w:r>
      <w:r>
        <w:t>interdisciplinary</w:t>
      </w:r>
      <w:r>
        <w:rPr>
          <w:spacing w:val="-7"/>
        </w:rPr>
        <w:t xml:space="preserve"> </w:t>
      </w:r>
      <w:r>
        <w:t>care</w:t>
      </w:r>
      <w:r>
        <w:rPr>
          <w:spacing w:val="-11"/>
        </w:rPr>
        <w:t xml:space="preserve"> </w:t>
      </w:r>
      <w:r>
        <w:t>team</w:t>
      </w:r>
      <w:r>
        <w:rPr>
          <w:spacing w:val="-8"/>
        </w:rPr>
        <w:t xml:space="preserve"> </w:t>
      </w:r>
      <w:r>
        <w:t>that</w:t>
      </w:r>
      <w:r>
        <w:rPr>
          <w:spacing w:val="-9"/>
        </w:rPr>
        <w:t xml:space="preserve"> </w:t>
      </w:r>
      <w:r>
        <w:t>includes</w:t>
      </w:r>
      <w:r>
        <w:rPr>
          <w:spacing w:val="-8"/>
        </w:rPr>
        <w:t xml:space="preserve"> </w:t>
      </w:r>
      <w:r>
        <w:t>a</w:t>
      </w:r>
      <w:r>
        <w:rPr>
          <w:spacing w:val="-9"/>
        </w:rPr>
        <w:t xml:space="preserve"> </w:t>
      </w:r>
      <w:r>
        <w:t>LTSS</w:t>
      </w:r>
      <w:r>
        <w:rPr>
          <w:spacing w:val="-10"/>
        </w:rPr>
        <w:t xml:space="preserve"> </w:t>
      </w:r>
      <w:r>
        <w:t>representative</w:t>
      </w:r>
      <w:r>
        <w:rPr>
          <w:spacing w:val="-13"/>
        </w:rPr>
        <w:t xml:space="preserve"> </w:t>
      </w:r>
      <w:r>
        <w:t>for members with LTSS needs. We seek clarification on this role and urge MassHealth to ensure the LTSS representative</w:t>
      </w:r>
      <w:r>
        <w:rPr>
          <w:spacing w:val="-5"/>
        </w:rPr>
        <w:t xml:space="preserve"> </w:t>
      </w:r>
      <w:r>
        <w:t>truly</w:t>
      </w:r>
      <w:r>
        <w:rPr>
          <w:spacing w:val="-5"/>
        </w:rPr>
        <w:t xml:space="preserve"> </w:t>
      </w:r>
      <w:r>
        <w:t>has</w:t>
      </w:r>
      <w:r>
        <w:rPr>
          <w:spacing w:val="-6"/>
        </w:rPr>
        <w:t xml:space="preserve"> </w:t>
      </w:r>
      <w:r>
        <w:t>an</w:t>
      </w:r>
      <w:r>
        <w:rPr>
          <w:spacing w:val="-13"/>
        </w:rPr>
        <w:t xml:space="preserve"> </w:t>
      </w:r>
      <w:r>
        <w:t>independent</w:t>
      </w:r>
      <w:r>
        <w:rPr>
          <w:spacing w:val="-8"/>
        </w:rPr>
        <w:t xml:space="preserve"> </w:t>
      </w:r>
      <w:r>
        <w:t>voice</w:t>
      </w:r>
      <w:r>
        <w:rPr>
          <w:spacing w:val="-5"/>
        </w:rPr>
        <w:t xml:space="preserve"> </w:t>
      </w:r>
      <w:r>
        <w:t>in</w:t>
      </w:r>
      <w:r>
        <w:rPr>
          <w:spacing w:val="-9"/>
        </w:rPr>
        <w:t xml:space="preserve"> </w:t>
      </w:r>
      <w:r>
        <w:t>the</w:t>
      </w:r>
      <w:r>
        <w:rPr>
          <w:spacing w:val="-10"/>
        </w:rPr>
        <w:t xml:space="preserve"> </w:t>
      </w:r>
      <w:r>
        <w:t>care</w:t>
      </w:r>
      <w:r>
        <w:rPr>
          <w:spacing w:val="-8"/>
        </w:rPr>
        <w:t xml:space="preserve"> </w:t>
      </w:r>
      <w:r>
        <w:t>team</w:t>
      </w:r>
      <w:r>
        <w:rPr>
          <w:spacing w:val="-7"/>
        </w:rPr>
        <w:t xml:space="preserve"> </w:t>
      </w:r>
      <w:r>
        <w:t>and</w:t>
      </w:r>
      <w:r>
        <w:rPr>
          <w:spacing w:val="-11"/>
        </w:rPr>
        <w:t xml:space="preserve"> </w:t>
      </w:r>
      <w:r>
        <w:t>offers</w:t>
      </w:r>
      <w:r>
        <w:rPr>
          <w:spacing w:val="-6"/>
        </w:rPr>
        <w:t xml:space="preserve"> </w:t>
      </w:r>
      <w:r>
        <w:t>a</w:t>
      </w:r>
      <w:r>
        <w:rPr>
          <w:spacing w:val="-11"/>
        </w:rPr>
        <w:t xml:space="preserve"> </w:t>
      </w:r>
      <w:r>
        <w:t>level</w:t>
      </w:r>
      <w:r>
        <w:rPr>
          <w:spacing w:val="-9"/>
        </w:rPr>
        <w:t xml:space="preserve"> </w:t>
      </w:r>
      <w:r>
        <w:t>of</w:t>
      </w:r>
      <w:r>
        <w:rPr>
          <w:spacing w:val="-6"/>
        </w:rPr>
        <w:t xml:space="preserve"> </w:t>
      </w:r>
      <w:r>
        <w:t>coordination</w:t>
      </w:r>
      <w:r>
        <w:rPr>
          <w:spacing w:val="-9"/>
        </w:rPr>
        <w:t xml:space="preserve"> </w:t>
      </w:r>
      <w:r>
        <w:t>similar</w:t>
      </w:r>
      <w:r>
        <w:rPr>
          <w:spacing w:val="-11"/>
        </w:rPr>
        <w:t xml:space="preserve"> </w:t>
      </w:r>
      <w:r>
        <w:t>to</w:t>
      </w:r>
      <w:r>
        <w:rPr>
          <w:spacing w:val="-7"/>
        </w:rPr>
        <w:t xml:space="preserve"> </w:t>
      </w:r>
      <w:r>
        <w:t xml:space="preserve">that provided by </w:t>
      </w:r>
      <w:r>
        <w:rPr>
          <w:spacing w:val="-2"/>
        </w:rPr>
        <w:t xml:space="preserve">the </w:t>
      </w:r>
      <w:r>
        <w:t xml:space="preserve">LTSS Coordinator in One </w:t>
      </w:r>
      <w:r>
        <w:rPr>
          <w:spacing w:val="-3"/>
        </w:rPr>
        <w:t xml:space="preserve">Care </w:t>
      </w:r>
      <w:r>
        <w:t xml:space="preserve">or the Senior </w:t>
      </w:r>
      <w:r>
        <w:rPr>
          <w:spacing w:val="-3"/>
        </w:rPr>
        <w:t xml:space="preserve">Care </w:t>
      </w:r>
      <w:r>
        <w:t>Options’ Geriatric Support Services Coordinator. In addition, family caregivers are often an important part of an individual’s care team, and, with permission</w:t>
      </w:r>
      <w:r>
        <w:rPr>
          <w:spacing w:val="-10"/>
        </w:rPr>
        <w:t xml:space="preserve"> </w:t>
      </w:r>
      <w:r>
        <w:t>and</w:t>
      </w:r>
      <w:r>
        <w:rPr>
          <w:spacing w:val="-10"/>
        </w:rPr>
        <w:t xml:space="preserve"> </w:t>
      </w:r>
      <w:r>
        <w:t>direction</w:t>
      </w:r>
      <w:r>
        <w:rPr>
          <w:spacing w:val="-12"/>
        </w:rPr>
        <w:t xml:space="preserve"> </w:t>
      </w:r>
      <w:r>
        <w:t>from</w:t>
      </w:r>
      <w:r>
        <w:rPr>
          <w:spacing w:val="-10"/>
        </w:rPr>
        <w:t xml:space="preserve"> </w:t>
      </w:r>
      <w:r>
        <w:t>the</w:t>
      </w:r>
      <w:r>
        <w:rPr>
          <w:spacing w:val="-11"/>
        </w:rPr>
        <w:t xml:space="preserve"> </w:t>
      </w:r>
      <w:r>
        <w:t>enrollee,</w:t>
      </w:r>
      <w:r>
        <w:rPr>
          <w:spacing w:val="-11"/>
        </w:rPr>
        <w:t xml:space="preserve"> </w:t>
      </w:r>
      <w:r>
        <w:t>should</w:t>
      </w:r>
      <w:r>
        <w:rPr>
          <w:spacing w:val="-10"/>
        </w:rPr>
        <w:t xml:space="preserve"> </w:t>
      </w:r>
      <w:r>
        <w:t>be</w:t>
      </w:r>
      <w:r>
        <w:rPr>
          <w:spacing w:val="-12"/>
        </w:rPr>
        <w:t xml:space="preserve"> </w:t>
      </w:r>
      <w:r>
        <w:t>consulted</w:t>
      </w:r>
      <w:r>
        <w:rPr>
          <w:spacing w:val="-12"/>
        </w:rPr>
        <w:t xml:space="preserve"> </w:t>
      </w:r>
      <w:r>
        <w:t>and</w:t>
      </w:r>
      <w:r>
        <w:rPr>
          <w:spacing w:val="-12"/>
        </w:rPr>
        <w:t xml:space="preserve"> </w:t>
      </w:r>
      <w:r>
        <w:t>supported</w:t>
      </w:r>
      <w:r>
        <w:rPr>
          <w:spacing w:val="-8"/>
        </w:rPr>
        <w:t xml:space="preserve"> </w:t>
      </w:r>
      <w:r>
        <w:t>in</w:t>
      </w:r>
      <w:r>
        <w:rPr>
          <w:spacing w:val="-12"/>
        </w:rPr>
        <w:t xml:space="preserve"> </w:t>
      </w:r>
      <w:r>
        <w:t>LTSS</w:t>
      </w:r>
      <w:r>
        <w:rPr>
          <w:spacing w:val="-8"/>
        </w:rPr>
        <w:t xml:space="preserve"> </w:t>
      </w:r>
      <w:r>
        <w:t>planning</w:t>
      </w:r>
      <w:r>
        <w:rPr>
          <w:spacing w:val="-8"/>
        </w:rPr>
        <w:t xml:space="preserve"> </w:t>
      </w:r>
      <w:r>
        <w:t>and</w:t>
      </w:r>
      <w:r>
        <w:rPr>
          <w:spacing w:val="-12"/>
        </w:rPr>
        <w:t xml:space="preserve"> </w:t>
      </w:r>
      <w:r>
        <w:t>delivery.</w:t>
      </w:r>
    </w:p>
    <w:p w:rsidR="002C5025" w:rsidRDefault="002C5025">
      <w:pPr>
        <w:pStyle w:val="BodyText"/>
        <w:kinsoku w:val="0"/>
        <w:overflowPunct w:val="0"/>
      </w:pPr>
    </w:p>
    <w:p w:rsidR="002C5025" w:rsidRDefault="002C5025">
      <w:pPr>
        <w:pStyle w:val="BodyText"/>
        <w:kinsoku w:val="0"/>
        <w:overflowPunct w:val="0"/>
        <w:ind w:left="117" w:right="200"/>
        <w:rPr>
          <w:b/>
          <w:bCs/>
          <w:i/>
          <w:iCs/>
        </w:rPr>
      </w:pPr>
      <w:r>
        <w:rPr>
          <w:b/>
          <w:bCs/>
          <w:i/>
          <w:iCs/>
        </w:rPr>
        <w:t>Behavioral Health</w:t>
      </w:r>
    </w:p>
    <w:p w:rsidR="002C5025" w:rsidRDefault="002C5025">
      <w:pPr>
        <w:pStyle w:val="BodyText"/>
        <w:kinsoku w:val="0"/>
        <w:overflowPunct w:val="0"/>
        <w:ind w:left="115" w:right="73" w:firstLine="1"/>
      </w:pPr>
      <w:r>
        <w:t xml:space="preserve">We applaud MassHealth’s goal of integrating physical health and behavioral health. </w:t>
      </w:r>
      <w:r>
        <w:rPr>
          <w:spacing w:val="-2"/>
        </w:rPr>
        <w:t xml:space="preserve">For </w:t>
      </w:r>
      <w:r>
        <w:t>many consumers with a behavioral</w:t>
      </w:r>
      <w:r>
        <w:rPr>
          <w:spacing w:val="-10"/>
        </w:rPr>
        <w:t xml:space="preserve"> </w:t>
      </w:r>
      <w:r>
        <w:t>health</w:t>
      </w:r>
      <w:r>
        <w:rPr>
          <w:spacing w:val="-6"/>
        </w:rPr>
        <w:t xml:space="preserve"> </w:t>
      </w:r>
      <w:r>
        <w:rPr>
          <w:spacing w:val="-3"/>
        </w:rPr>
        <w:t>diagnosis,</w:t>
      </w:r>
      <w:r>
        <w:rPr>
          <w:spacing w:val="-7"/>
        </w:rPr>
        <w:t xml:space="preserve"> </w:t>
      </w:r>
      <w:r>
        <w:t>their</w:t>
      </w:r>
      <w:r>
        <w:rPr>
          <w:spacing w:val="-6"/>
        </w:rPr>
        <w:t xml:space="preserve"> </w:t>
      </w:r>
      <w:r>
        <w:t>behavioral</w:t>
      </w:r>
      <w:r>
        <w:rPr>
          <w:spacing w:val="-8"/>
        </w:rPr>
        <w:t xml:space="preserve"> </w:t>
      </w:r>
      <w:r>
        <w:t>health</w:t>
      </w:r>
      <w:r>
        <w:rPr>
          <w:spacing w:val="-12"/>
        </w:rPr>
        <w:t xml:space="preserve"> </w:t>
      </w:r>
      <w:r>
        <w:t>clinician</w:t>
      </w:r>
      <w:r>
        <w:rPr>
          <w:spacing w:val="-6"/>
        </w:rPr>
        <w:t xml:space="preserve"> </w:t>
      </w:r>
      <w:r>
        <w:t>is</w:t>
      </w:r>
      <w:r>
        <w:rPr>
          <w:spacing w:val="-7"/>
        </w:rPr>
        <w:t xml:space="preserve"> </w:t>
      </w:r>
      <w:r>
        <w:t>their</w:t>
      </w:r>
      <w:r>
        <w:rPr>
          <w:spacing w:val="-6"/>
        </w:rPr>
        <w:t xml:space="preserve"> </w:t>
      </w:r>
      <w:r>
        <w:t>primary</w:t>
      </w:r>
      <w:r>
        <w:rPr>
          <w:spacing w:val="-6"/>
        </w:rPr>
        <w:t xml:space="preserve"> </w:t>
      </w:r>
      <w:r>
        <w:t>point</w:t>
      </w:r>
      <w:r>
        <w:rPr>
          <w:spacing w:val="-7"/>
        </w:rPr>
        <w:t xml:space="preserve"> </w:t>
      </w:r>
      <w:r>
        <w:t>of</w:t>
      </w:r>
      <w:r>
        <w:rPr>
          <w:spacing w:val="-10"/>
        </w:rPr>
        <w:t xml:space="preserve"> </w:t>
      </w:r>
      <w:r>
        <w:t>contact</w:t>
      </w:r>
      <w:r>
        <w:rPr>
          <w:spacing w:val="-9"/>
        </w:rPr>
        <w:t xml:space="preserve"> </w:t>
      </w:r>
      <w:r>
        <w:t>with</w:t>
      </w:r>
      <w:r>
        <w:rPr>
          <w:spacing w:val="-8"/>
        </w:rPr>
        <w:t xml:space="preserve"> </w:t>
      </w:r>
      <w:r>
        <w:t>the</w:t>
      </w:r>
      <w:r>
        <w:rPr>
          <w:spacing w:val="-7"/>
        </w:rPr>
        <w:t xml:space="preserve"> </w:t>
      </w:r>
      <w:r>
        <w:t>health</w:t>
      </w:r>
      <w:r>
        <w:rPr>
          <w:spacing w:val="-8"/>
        </w:rPr>
        <w:t xml:space="preserve"> </w:t>
      </w:r>
      <w:r>
        <w:t xml:space="preserve">care system. As such, we are encouraged that the waiver plan establishes a strong role for Behavioral Health CPs to manage care coordination, with a goal of fostering communication between an individual’s primary </w:t>
      </w:r>
      <w:r>
        <w:rPr>
          <w:spacing w:val="-3"/>
        </w:rPr>
        <w:t xml:space="preserve">care </w:t>
      </w:r>
      <w:r>
        <w:t xml:space="preserve">provider and the treatment community, while respecting members’ privacy and preferences. The waiver proposal also requires Behavioral Health (BH) </w:t>
      </w:r>
      <w:r>
        <w:rPr>
          <w:spacing w:val="-3"/>
        </w:rPr>
        <w:t xml:space="preserve">Community </w:t>
      </w:r>
      <w:r>
        <w:t xml:space="preserve">Partners to either be a Community Service Agency (CSA) or </w:t>
      </w:r>
      <w:r>
        <w:rPr>
          <w:spacing w:val="-3"/>
        </w:rPr>
        <w:t xml:space="preserve">have </w:t>
      </w:r>
      <w:r>
        <w:t xml:space="preserve">contracts </w:t>
      </w:r>
      <w:r>
        <w:rPr>
          <w:spacing w:val="-3"/>
        </w:rPr>
        <w:t xml:space="preserve">with </w:t>
      </w:r>
      <w:r>
        <w:t xml:space="preserve">CSAs to provide behavioral health services to children. We appreciate that MassHealth acknowledges the importance of CBHI services for children and youth delivered through CSAs, </w:t>
      </w:r>
      <w:r>
        <w:rPr>
          <w:spacing w:val="-3"/>
        </w:rPr>
        <w:t xml:space="preserve">and </w:t>
      </w:r>
      <w:r>
        <w:t xml:space="preserve">we </w:t>
      </w:r>
      <w:r>
        <w:rPr>
          <w:spacing w:val="-3"/>
        </w:rPr>
        <w:t xml:space="preserve">urge </w:t>
      </w:r>
      <w:r>
        <w:t xml:space="preserve">you to </w:t>
      </w:r>
      <w:r>
        <w:rPr>
          <w:spacing w:val="-3"/>
        </w:rPr>
        <w:t xml:space="preserve">ensure </w:t>
      </w:r>
      <w:r>
        <w:t xml:space="preserve">that families maintain the ability to also choose behavioral health providers outside </w:t>
      </w:r>
      <w:r>
        <w:rPr>
          <w:spacing w:val="-3"/>
        </w:rPr>
        <w:t xml:space="preserve">the </w:t>
      </w:r>
      <w:r>
        <w:t>CSAs</w:t>
      </w:r>
      <w:r>
        <w:rPr>
          <w:spacing w:val="-7"/>
        </w:rPr>
        <w:t xml:space="preserve"> </w:t>
      </w:r>
      <w:r>
        <w:t>who</w:t>
      </w:r>
      <w:r>
        <w:rPr>
          <w:spacing w:val="-7"/>
        </w:rPr>
        <w:t xml:space="preserve"> </w:t>
      </w:r>
      <w:r>
        <w:t>can</w:t>
      </w:r>
      <w:r>
        <w:rPr>
          <w:spacing w:val="-8"/>
        </w:rPr>
        <w:t xml:space="preserve"> </w:t>
      </w:r>
      <w:r>
        <w:t>provided</w:t>
      </w:r>
      <w:r>
        <w:rPr>
          <w:spacing w:val="-11"/>
        </w:rPr>
        <w:t xml:space="preserve"> </w:t>
      </w:r>
      <w:r>
        <w:t>the</w:t>
      </w:r>
      <w:r>
        <w:rPr>
          <w:spacing w:val="-9"/>
        </w:rPr>
        <w:t xml:space="preserve"> </w:t>
      </w:r>
      <w:r>
        <w:t>full</w:t>
      </w:r>
      <w:r>
        <w:rPr>
          <w:spacing w:val="-7"/>
        </w:rPr>
        <w:t xml:space="preserve"> </w:t>
      </w:r>
      <w:r>
        <w:t>range</w:t>
      </w:r>
      <w:r>
        <w:rPr>
          <w:spacing w:val="-5"/>
        </w:rPr>
        <w:t xml:space="preserve"> </w:t>
      </w:r>
      <w:r>
        <w:t>of</w:t>
      </w:r>
      <w:r>
        <w:rPr>
          <w:spacing w:val="-10"/>
        </w:rPr>
        <w:t xml:space="preserve"> </w:t>
      </w:r>
      <w:r>
        <w:t>services</w:t>
      </w:r>
      <w:r>
        <w:rPr>
          <w:spacing w:val="-7"/>
        </w:rPr>
        <w:t xml:space="preserve"> </w:t>
      </w:r>
      <w:r>
        <w:t>needed.</w:t>
      </w:r>
    </w:p>
    <w:p w:rsidR="002C5025" w:rsidRDefault="002C5025">
      <w:pPr>
        <w:pStyle w:val="BodyText"/>
        <w:kinsoku w:val="0"/>
        <w:overflowPunct w:val="0"/>
        <w:spacing w:before="1"/>
      </w:pPr>
    </w:p>
    <w:p w:rsidR="002C5025" w:rsidRDefault="002C5025">
      <w:pPr>
        <w:pStyle w:val="BodyText"/>
        <w:kinsoku w:val="0"/>
        <w:overflowPunct w:val="0"/>
        <w:ind w:left="118" w:right="200" w:firstLine="1"/>
        <w:rPr>
          <w:spacing w:val="-3"/>
        </w:rPr>
      </w:pPr>
      <w:r>
        <w:t>In</w:t>
      </w:r>
      <w:r>
        <w:rPr>
          <w:spacing w:val="-8"/>
        </w:rPr>
        <w:t xml:space="preserve"> </w:t>
      </w:r>
      <w:r>
        <w:t>addition,</w:t>
      </w:r>
      <w:r>
        <w:rPr>
          <w:spacing w:val="-9"/>
        </w:rPr>
        <w:t xml:space="preserve"> </w:t>
      </w:r>
      <w:r>
        <w:t>we</w:t>
      </w:r>
      <w:r>
        <w:rPr>
          <w:spacing w:val="-9"/>
        </w:rPr>
        <w:t xml:space="preserve"> </w:t>
      </w:r>
      <w:r>
        <w:t>are</w:t>
      </w:r>
      <w:r>
        <w:rPr>
          <w:spacing w:val="-9"/>
        </w:rPr>
        <w:t xml:space="preserve"> </w:t>
      </w:r>
      <w:r>
        <w:t>encouraged</w:t>
      </w:r>
      <w:r>
        <w:rPr>
          <w:spacing w:val="-10"/>
        </w:rPr>
        <w:t xml:space="preserve"> </w:t>
      </w:r>
      <w:r>
        <w:t>by</w:t>
      </w:r>
      <w:r>
        <w:rPr>
          <w:spacing w:val="-11"/>
        </w:rPr>
        <w:t xml:space="preserve"> </w:t>
      </w:r>
      <w:r>
        <w:t>MassHealth’s</w:t>
      </w:r>
      <w:r>
        <w:rPr>
          <w:spacing w:val="-7"/>
        </w:rPr>
        <w:t xml:space="preserve"> </w:t>
      </w:r>
      <w:r>
        <w:t>strong</w:t>
      </w:r>
      <w:r>
        <w:rPr>
          <w:spacing w:val="-10"/>
        </w:rPr>
        <w:t xml:space="preserve"> </w:t>
      </w:r>
      <w:r>
        <w:t>proposal</w:t>
      </w:r>
      <w:r>
        <w:rPr>
          <w:spacing w:val="-11"/>
        </w:rPr>
        <w:t xml:space="preserve"> </w:t>
      </w:r>
      <w:r>
        <w:t>to</w:t>
      </w:r>
      <w:r>
        <w:rPr>
          <w:spacing w:val="-8"/>
        </w:rPr>
        <w:t xml:space="preserve"> </w:t>
      </w:r>
      <w:r>
        <w:t>provide</w:t>
      </w:r>
      <w:r>
        <w:rPr>
          <w:spacing w:val="-11"/>
        </w:rPr>
        <w:t xml:space="preserve"> </w:t>
      </w:r>
      <w:r>
        <w:t>enhanced</w:t>
      </w:r>
      <w:r>
        <w:rPr>
          <w:spacing w:val="-10"/>
        </w:rPr>
        <w:t xml:space="preserve"> </w:t>
      </w:r>
      <w:r>
        <w:t>substance</w:t>
      </w:r>
      <w:r>
        <w:rPr>
          <w:spacing w:val="-9"/>
        </w:rPr>
        <w:t xml:space="preserve"> </w:t>
      </w:r>
      <w:r>
        <w:t>use</w:t>
      </w:r>
      <w:r>
        <w:rPr>
          <w:spacing w:val="-6"/>
        </w:rPr>
        <w:t xml:space="preserve"> </w:t>
      </w:r>
      <w:r>
        <w:t xml:space="preserve">disorders (SUD) services, including expansion of residential care and recovery supports. We also support MassHealth’s exploration of preventive models such as Screening, Brief Intervention and Referral to Treatment (SBIRT), and encourage MassHealth to implement these models as part of its strategy to address SUD. Productive collaboration between DPH and MassHealth will bring in more federal resources to address an overwhelming need for </w:t>
      </w:r>
      <w:r>
        <w:rPr>
          <w:spacing w:val="-3"/>
        </w:rPr>
        <w:t xml:space="preserve">SUD </w:t>
      </w:r>
      <w:r>
        <w:t>treatment services, particularly for residents struggling with opioid addiction. We also support MassHealth’s</w:t>
      </w:r>
      <w:r>
        <w:rPr>
          <w:spacing w:val="-9"/>
        </w:rPr>
        <w:t xml:space="preserve"> </w:t>
      </w:r>
      <w:r>
        <w:t>undertaking</w:t>
      </w:r>
      <w:r>
        <w:rPr>
          <w:spacing w:val="-12"/>
        </w:rPr>
        <w:t xml:space="preserve"> </w:t>
      </w:r>
      <w:r>
        <w:t>to</w:t>
      </w:r>
      <w:r>
        <w:rPr>
          <w:spacing w:val="-8"/>
        </w:rPr>
        <w:t xml:space="preserve"> </w:t>
      </w:r>
      <w:r>
        <w:t>address</w:t>
      </w:r>
      <w:r>
        <w:rPr>
          <w:spacing w:val="-12"/>
        </w:rPr>
        <w:t xml:space="preserve"> </w:t>
      </w:r>
      <w:r>
        <w:t>Emergency</w:t>
      </w:r>
      <w:r>
        <w:rPr>
          <w:spacing w:val="-14"/>
        </w:rPr>
        <w:t xml:space="preserve"> </w:t>
      </w:r>
      <w:r>
        <w:t>Department</w:t>
      </w:r>
      <w:r>
        <w:rPr>
          <w:spacing w:val="-11"/>
        </w:rPr>
        <w:t xml:space="preserve"> </w:t>
      </w:r>
      <w:r>
        <w:t>boarding</w:t>
      </w:r>
      <w:r>
        <w:rPr>
          <w:spacing w:val="-12"/>
        </w:rPr>
        <w:t xml:space="preserve"> </w:t>
      </w:r>
      <w:r>
        <w:t>and</w:t>
      </w:r>
      <w:r>
        <w:rPr>
          <w:spacing w:val="-12"/>
        </w:rPr>
        <w:t xml:space="preserve"> </w:t>
      </w:r>
      <w:r>
        <w:t>enhance</w:t>
      </w:r>
      <w:r>
        <w:rPr>
          <w:spacing w:val="-11"/>
        </w:rPr>
        <w:t xml:space="preserve"> </w:t>
      </w:r>
      <w:r>
        <w:t>diversionary</w:t>
      </w:r>
      <w:r>
        <w:rPr>
          <w:spacing w:val="-10"/>
        </w:rPr>
        <w:t xml:space="preserve"> </w:t>
      </w:r>
      <w:r>
        <w:t>levels</w:t>
      </w:r>
      <w:r>
        <w:rPr>
          <w:spacing w:val="-12"/>
        </w:rPr>
        <w:t xml:space="preserve"> </w:t>
      </w:r>
      <w:r>
        <w:t>of</w:t>
      </w:r>
      <w:r>
        <w:rPr>
          <w:spacing w:val="-13"/>
        </w:rPr>
        <w:t xml:space="preserve"> </w:t>
      </w:r>
      <w:r>
        <w:t>care to</w:t>
      </w:r>
      <w:r>
        <w:rPr>
          <w:spacing w:val="-8"/>
        </w:rPr>
        <w:t xml:space="preserve"> </w:t>
      </w:r>
      <w:r>
        <w:t>meet</w:t>
      </w:r>
      <w:r>
        <w:rPr>
          <w:spacing w:val="-8"/>
        </w:rPr>
        <w:t xml:space="preserve"> </w:t>
      </w:r>
      <w:r>
        <w:t>the</w:t>
      </w:r>
      <w:r>
        <w:rPr>
          <w:spacing w:val="-4"/>
        </w:rPr>
        <w:t xml:space="preserve"> </w:t>
      </w:r>
      <w:r>
        <w:t>needs</w:t>
      </w:r>
      <w:r>
        <w:rPr>
          <w:spacing w:val="-9"/>
        </w:rPr>
        <w:t xml:space="preserve"> </w:t>
      </w:r>
      <w:r>
        <w:t>of</w:t>
      </w:r>
      <w:r>
        <w:rPr>
          <w:spacing w:val="-9"/>
        </w:rPr>
        <w:t xml:space="preserve"> </w:t>
      </w:r>
      <w:r>
        <w:t>members</w:t>
      </w:r>
      <w:r>
        <w:rPr>
          <w:spacing w:val="-7"/>
        </w:rPr>
        <w:t xml:space="preserve"> </w:t>
      </w:r>
      <w:r>
        <w:t>within</w:t>
      </w:r>
      <w:r>
        <w:rPr>
          <w:spacing w:val="-9"/>
        </w:rPr>
        <w:t xml:space="preserve"> </w:t>
      </w:r>
      <w:r>
        <w:t>the</w:t>
      </w:r>
      <w:r>
        <w:rPr>
          <w:spacing w:val="-7"/>
        </w:rPr>
        <w:t xml:space="preserve"> </w:t>
      </w:r>
      <w:r>
        <w:t>least</w:t>
      </w:r>
      <w:r>
        <w:rPr>
          <w:spacing w:val="-7"/>
        </w:rPr>
        <w:t xml:space="preserve"> </w:t>
      </w:r>
      <w:r>
        <w:t>restrictive,</w:t>
      </w:r>
      <w:r>
        <w:rPr>
          <w:spacing w:val="-11"/>
        </w:rPr>
        <w:t xml:space="preserve"> </w:t>
      </w:r>
      <w:r>
        <w:t>most</w:t>
      </w:r>
      <w:r>
        <w:rPr>
          <w:spacing w:val="-8"/>
        </w:rPr>
        <w:t xml:space="preserve"> </w:t>
      </w:r>
      <w:r>
        <w:t>appropriate</w:t>
      </w:r>
      <w:r>
        <w:rPr>
          <w:spacing w:val="-4"/>
        </w:rPr>
        <w:t xml:space="preserve"> </w:t>
      </w:r>
      <w:r>
        <w:rPr>
          <w:spacing w:val="-3"/>
        </w:rPr>
        <w:t>settings.</w:t>
      </w:r>
    </w:p>
    <w:p w:rsidR="002C5025" w:rsidRDefault="002C5025">
      <w:pPr>
        <w:pStyle w:val="BodyText"/>
        <w:kinsoku w:val="0"/>
        <w:overflowPunct w:val="0"/>
      </w:pPr>
    </w:p>
    <w:p w:rsidR="002C5025" w:rsidRDefault="002C5025">
      <w:pPr>
        <w:pStyle w:val="BodyText"/>
        <w:kinsoku w:val="0"/>
        <w:overflowPunct w:val="0"/>
        <w:ind w:left="119" w:right="200"/>
        <w:rPr>
          <w:b/>
          <w:bCs/>
          <w:i/>
          <w:iCs/>
        </w:rPr>
      </w:pPr>
      <w:r>
        <w:rPr>
          <w:b/>
          <w:bCs/>
          <w:i/>
          <w:iCs/>
        </w:rPr>
        <w:t>Oral Health</w:t>
      </w:r>
    </w:p>
    <w:p w:rsidR="002C5025" w:rsidRDefault="002C5025">
      <w:pPr>
        <w:pStyle w:val="BodyText"/>
        <w:kinsoku w:val="0"/>
        <w:overflowPunct w:val="0"/>
        <w:ind w:left="117" w:right="73" w:firstLine="2"/>
      </w:pPr>
      <w:r>
        <w:t xml:space="preserve">We are encouraged by MassHealth’s plans to promote the integration of oral health with primary health care through a range of methods, such as inclusion of an oral health metric in the ACO quality measure </w:t>
      </w:r>
      <w:r>
        <w:rPr>
          <w:spacing w:val="-3"/>
        </w:rPr>
        <w:t xml:space="preserve">slate </w:t>
      </w:r>
      <w:r>
        <w:t>and contractual</w:t>
      </w:r>
      <w:r>
        <w:rPr>
          <w:spacing w:val="-12"/>
        </w:rPr>
        <w:t xml:space="preserve"> </w:t>
      </w:r>
      <w:r>
        <w:t>expectations</w:t>
      </w:r>
      <w:r>
        <w:rPr>
          <w:spacing w:val="-12"/>
        </w:rPr>
        <w:t xml:space="preserve"> </w:t>
      </w:r>
      <w:r>
        <w:t>for</w:t>
      </w:r>
      <w:r>
        <w:rPr>
          <w:spacing w:val="-7"/>
        </w:rPr>
        <w:t xml:space="preserve"> </w:t>
      </w:r>
      <w:r>
        <w:t>ACOs.</w:t>
      </w:r>
      <w:r>
        <w:rPr>
          <w:spacing w:val="-10"/>
        </w:rPr>
        <w:t xml:space="preserve"> </w:t>
      </w:r>
      <w:r>
        <w:t>We</w:t>
      </w:r>
      <w:r>
        <w:rPr>
          <w:spacing w:val="-11"/>
        </w:rPr>
        <w:t xml:space="preserve"> </w:t>
      </w:r>
      <w:r>
        <w:t>urge</w:t>
      </w:r>
      <w:r>
        <w:rPr>
          <w:spacing w:val="-11"/>
        </w:rPr>
        <w:t xml:space="preserve"> </w:t>
      </w:r>
      <w:r>
        <w:t>MassHealth</w:t>
      </w:r>
      <w:r>
        <w:rPr>
          <w:spacing w:val="-8"/>
        </w:rPr>
        <w:t xml:space="preserve"> </w:t>
      </w:r>
      <w:r>
        <w:t>to</w:t>
      </w:r>
      <w:r>
        <w:rPr>
          <w:spacing w:val="-8"/>
        </w:rPr>
        <w:t xml:space="preserve"> </w:t>
      </w:r>
      <w:r>
        <w:t>strengthen</w:t>
      </w:r>
      <w:r>
        <w:rPr>
          <w:spacing w:val="-8"/>
        </w:rPr>
        <w:t xml:space="preserve"> </w:t>
      </w:r>
      <w:r>
        <w:t>and</w:t>
      </w:r>
      <w:r>
        <w:rPr>
          <w:spacing w:val="-10"/>
        </w:rPr>
        <w:t xml:space="preserve"> </w:t>
      </w:r>
      <w:r>
        <w:t>facilitate</w:t>
      </w:r>
      <w:r>
        <w:rPr>
          <w:spacing w:val="-8"/>
        </w:rPr>
        <w:t xml:space="preserve"> </w:t>
      </w:r>
      <w:r>
        <w:t>oral</w:t>
      </w:r>
      <w:r>
        <w:rPr>
          <w:spacing w:val="-10"/>
        </w:rPr>
        <w:t xml:space="preserve"> </w:t>
      </w:r>
      <w:r>
        <w:t>health</w:t>
      </w:r>
      <w:r>
        <w:rPr>
          <w:spacing w:val="-10"/>
        </w:rPr>
        <w:t xml:space="preserve"> </w:t>
      </w:r>
      <w:r>
        <w:t>integration</w:t>
      </w:r>
      <w:r>
        <w:rPr>
          <w:spacing w:val="-10"/>
        </w:rPr>
        <w:t xml:space="preserve"> </w:t>
      </w:r>
      <w:r>
        <w:t>in</w:t>
      </w:r>
      <w:r>
        <w:rPr>
          <w:spacing w:val="-10"/>
        </w:rPr>
        <w:t xml:space="preserve"> </w:t>
      </w:r>
      <w:r>
        <w:t>its ACO</w:t>
      </w:r>
      <w:r>
        <w:rPr>
          <w:spacing w:val="-9"/>
        </w:rPr>
        <w:t xml:space="preserve"> </w:t>
      </w:r>
      <w:r>
        <w:t>models</w:t>
      </w:r>
      <w:r>
        <w:rPr>
          <w:spacing w:val="-12"/>
        </w:rPr>
        <w:t xml:space="preserve"> </w:t>
      </w:r>
      <w:r>
        <w:t>by</w:t>
      </w:r>
      <w:r>
        <w:rPr>
          <w:spacing w:val="-11"/>
        </w:rPr>
        <w:t xml:space="preserve"> </w:t>
      </w:r>
      <w:r>
        <w:t>more</w:t>
      </w:r>
      <w:r>
        <w:rPr>
          <w:spacing w:val="-11"/>
        </w:rPr>
        <w:t xml:space="preserve"> </w:t>
      </w:r>
      <w:r>
        <w:t>clearly</w:t>
      </w:r>
      <w:r>
        <w:rPr>
          <w:spacing w:val="-8"/>
        </w:rPr>
        <w:t xml:space="preserve"> </w:t>
      </w:r>
      <w:r>
        <w:t>outlining</w:t>
      </w:r>
      <w:r>
        <w:rPr>
          <w:spacing w:val="-10"/>
        </w:rPr>
        <w:t xml:space="preserve"> </w:t>
      </w:r>
      <w:r>
        <w:t>a</w:t>
      </w:r>
      <w:r>
        <w:rPr>
          <w:spacing w:val="-7"/>
        </w:rPr>
        <w:t xml:space="preserve"> </w:t>
      </w:r>
      <w:r>
        <w:t>plan</w:t>
      </w:r>
      <w:r>
        <w:rPr>
          <w:spacing w:val="-12"/>
        </w:rPr>
        <w:t xml:space="preserve"> </w:t>
      </w:r>
      <w:r>
        <w:t>which</w:t>
      </w:r>
      <w:r>
        <w:rPr>
          <w:spacing w:val="-10"/>
        </w:rPr>
        <w:t xml:space="preserve"> </w:t>
      </w:r>
      <w:r>
        <w:t>includes</w:t>
      </w:r>
      <w:r>
        <w:rPr>
          <w:spacing w:val="-7"/>
        </w:rPr>
        <w:t xml:space="preserve"> </w:t>
      </w:r>
      <w:r>
        <w:t>phased-in</w:t>
      </w:r>
      <w:r>
        <w:rPr>
          <w:spacing w:val="-10"/>
        </w:rPr>
        <w:t xml:space="preserve"> </w:t>
      </w:r>
      <w:r>
        <w:t>dental</w:t>
      </w:r>
      <w:r>
        <w:rPr>
          <w:spacing w:val="-9"/>
        </w:rPr>
        <w:t xml:space="preserve"> </w:t>
      </w:r>
      <w:r>
        <w:t>services</w:t>
      </w:r>
      <w:r>
        <w:rPr>
          <w:spacing w:val="-9"/>
        </w:rPr>
        <w:t xml:space="preserve"> </w:t>
      </w:r>
      <w:r>
        <w:t>and</w:t>
      </w:r>
      <w:r>
        <w:rPr>
          <w:spacing w:val="-12"/>
        </w:rPr>
        <w:t xml:space="preserve"> </w:t>
      </w:r>
      <w:r>
        <w:t>targeted</w:t>
      </w:r>
      <w:r>
        <w:rPr>
          <w:spacing w:val="-8"/>
        </w:rPr>
        <w:t xml:space="preserve"> </w:t>
      </w:r>
      <w:r>
        <w:t>investments. We also urge MassHealth to shift dental service payment methodologies to incentivize high-value, evidence- based, preventative</w:t>
      </w:r>
      <w:r>
        <w:rPr>
          <w:spacing w:val="-29"/>
        </w:rPr>
        <w:t xml:space="preserve"> </w:t>
      </w:r>
      <w:r>
        <w:t>care.</w:t>
      </w:r>
    </w:p>
    <w:p w:rsidR="002C5025" w:rsidRDefault="002C5025">
      <w:pPr>
        <w:pStyle w:val="BodyText"/>
        <w:kinsoku w:val="0"/>
        <w:overflowPunct w:val="0"/>
      </w:pPr>
    </w:p>
    <w:p w:rsidR="002C5025" w:rsidRDefault="002C5025">
      <w:pPr>
        <w:pStyle w:val="BodyText"/>
        <w:kinsoku w:val="0"/>
        <w:overflowPunct w:val="0"/>
        <w:ind w:left="116" w:right="200"/>
        <w:rPr>
          <w:b/>
          <w:bCs/>
          <w:i/>
          <w:iCs/>
        </w:rPr>
      </w:pPr>
      <w:r>
        <w:rPr>
          <w:b/>
          <w:bCs/>
          <w:i/>
          <w:iCs/>
        </w:rPr>
        <w:t>Children’s Health</w:t>
      </w:r>
    </w:p>
    <w:p w:rsidR="002C5025" w:rsidRDefault="002C5025">
      <w:pPr>
        <w:pStyle w:val="BodyText"/>
        <w:kinsoku w:val="0"/>
        <w:overflowPunct w:val="0"/>
        <w:spacing w:before="4" w:line="235" w:lineRule="auto"/>
        <w:ind w:left="116" w:right="32"/>
      </w:pPr>
      <w:r>
        <w:t xml:space="preserve">Children and youth </w:t>
      </w:r>
      <w:r>
        <w:rPr>
          <w:spacing w:val="-3"/>
        </w:rPr>
        <w:t xml:space="preserve">have </w:t>
      </w:r>
      <w:r>
        <w:t xml:space="preserve">specialized needs that are </w:t>
      </w:r>
      <w:r>
        <w:rPr>
          <w:spacing w:val="-2"/>
        </w:rPr>
        <w:t xml:space="preserve">not </w:t>
      </w:r>
      <w:r>
        <w:t>adequately addressed in a system built for adults. While children make up 34% of MassHealth membership</w:t>
      </w:r>
      <w:r>
        <w:rPr>
          <w:position w:val="10"/>
          <w:sz w:val="14"/>
          <w:szCs w:val="14"/>
        </w:rPr>
        <w:t>4</w:t>
      </w:r>
      <w:r>
        <w:t xml:space="preserve">, the waiver proposal does not specify how the different ACO models will address the </w:t>
      </w:r>
      <w:r>
        <w:rPr>
          <w:spacing w:val="-4"/>
        </w:rPr>
        <w:t xml:space="preserve">unique </w:t>
      </w:r>
      <w:r>
        <w:t xml:space="preserve">needs of children. </w:t>
      </w:r>
      <w:r>
        <w:rPr>
          <w:spacing w:val="-3"/>
        </w:rPr>
        <w:t xml:space="preserve">ACOs </w:t>
      </w:r>
      <w:r>
        <w:t xml:space="preserve">should emphasize prevention and early interventions with children and their families. Unlike most adult care models, the family plays a far more critical role in managing a child’s care. Family experiences can provide a wealth of </w:t>
      </w:r>
      <w:r>
        <w:rPr>
          <w:spacing w:val="-3"/>
        </w:rPr>
        <w:t xml:space="preserve">useful </w:t>
      </w:r>
      <w:r>
        <w:t xml:space="preserve">data and information in shaping some of the core elements of an ACO. All ACOs that serve children should have the ability to support the family </w:t>
      </w:r>
      <w:r>
        <w:rPr>
          <w:spacing w:val="-4"/>
        </w:rPr>
        <w:t xml:space="preserve">and </w:t>
      </w:r>
      <w:r>
        <w:t xml:space="preserve">make linkages with other state agencies and with key community resources, such as schools (including Head Start </w:t>
      </w:r>
      <w:r>
        <w:rPr>
          <w:spacing w:val="-3"/>
        </w:rPr>
        <w:t xml:space="preserve">programs), </w:t>
      </w:r>
      <w:r>
        <w:t>social services providers, state agencies and other services, such as Early Intervention.</w:t>
      </w:r>
    </w:p>
    <w:p w:rsidR="002C5025" w:rsidRDefault="00FB027C">
      <w:pPr>
        <w:pStyle w:val="BodyText"/>
        <w:kinsoku w:val="0"/>
        <w:overflowPunct w:val="0"/>
        <w:rPr>
          <w:sz w:val="29"/>
          <w:szCs w:val="29"/>
        </w:rPr>
      </w:pPr>
      <w:r>
        <w:rPr>
          <w:noProof/>
        </w:rPr>
        <mc:AlternateContent>
          <mc:Choice Requires="wps">
            <w:drawing>
              <wp:anchor distT="0" distB="0" distL="0" distR="0" simplePos="0" relativeHeight="251461120" behindDoc="0" locked="0" layoutInCell="0" allowOverlap="1">
                <wp:simplePos x="0" y="0"/>
                <wp:positionH relativeFrom="page">
                  <wp:posOffset>694690</wp:posOffset>
                </wp:positionH>
                <wp:positionV relativeFrom="paragraph">
                  <wp:posOffset>255270</wp:posOffset>
                </wp:positionV>
                <wp:extent cx="1829435" cy="12700"/>
                <wp:effectExtent l="0" t="0" r="0" b="0"/>
                <wp:wrapTopAndBottom/>
                <wp:docPr id="991"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1 w 2881"/>
                            <a:gd name="T3" fmla="*/ 0 h 20"/>
                          </a:gdLst>
                          <a:ahLst/>
                          <a:cxnLst>
                            <a:cxn ang="0">
                              <a:pos x="T0" y="T1"/>
                            </a:cxn>
                            <a:cxn ang="0">
                              <a:pos x="T2" y="T3"/>
                            </a:cxn>
                          </a:cxnLst>
                          <a:rect l="0" t="0" r="r" b="b"/>
                          <a:pathLst>
                            <a:path w="2881" h="20">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4" o:spid="_x0000_s1026" style="position:absolute;z-index:251461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54.7pt,20.1pt,198.75pt,20.1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" o:allowincell="f" filled="f" strokeweight=".82pt">
                <v:path arrowok="t" o:connecttype="custom" o:connectlocs="0,0;1829435,0" o:connectangles="0,0"/>
                <w10:wrap type="topAndBottom" anchorx="page"/>
              </v:polyline>
            </w:pict>
          </mc:Fallback>
        </mc:AlternateContent>
      </w:r>
    </w:p>
    <w:p w:rsidR="002C5025" w:rsidRDefault="002C5025">
      <w:pPr>
        <w:pStyle w:val="BodyText"/>
        <w:kinsoku w:val="0"/>
        <w:overflowPunct w:val="0"/>
        <w:spacing w:before="36"/>
        <w:ind w:left="120" w:right="200" w:hanging="1"/>
        <w:rPr>
          <w:color w:val="000000"/>
          <w:spacing w:val="-2"/>
          <w:sz w:val="18"/>
          <w:szCs w:val="18"/>
        </w:rPr>
      </w:pPr>
      <w:r>
        <w:rPr>
          <w:position w:val="9"/>
          <w:sz w:val="12"/>
          <w:szCs w:val="12"/>
        </w:rPr>
        <w:t xml:space="preserve">4 </w:t>
      </w:r>
      <w:r>
        <w:rPr>
          <w:sz w:val="18"/>
          <w:szCs w:val="18"/>
        </w:rPr>
        <w:t xml:space="preserve">Massachusetts Medicaid Policy Institute, “MassHealth: The Basics, June 2016.” Available at: </w:t>
      </w:r>
      <w:hyperlink r:id="rId66" w:history="1">
        <w:r>
          <w:rPr>
            <w:color w:val="0000FF"/>
            <w:spacing w:val="-2"/>
            <w:sz w:val="18"/>
            <w:szCs w:val="18"/>
            <w:u w:val="single"/>
          </w:rPr>
          <w:t>http://www.bluecrossfoundation.org/sites/default/files/download/publication/MassHealthBasics_Chartpack_FY2015_FINAL_1.pdf</w:t>
        </w:r>
        <w:r>
          <w:rPr>
            <w:color w:val="000000"/>
            <w:spacing w:val="-2"/>
            <w:sz w:val="18"/>
            <w:szCs w:val="18"/>
          </w:rPr>
          <w:t>.</w:t>
        </w:r>
      </w:hyperlink>
    </w:p>
    <w:p w:rsidR="002C5025" w:rsidRDefault="002C5025">
      <w:pPr>
        <w:pStyle w:val="BodyText"/>
        <w:kinsoku w:val="0"/>
        <w:overflowPunct w:val="0"/>
        <w:spacing w:before="10"/>
        <w:rPr>
          <w:sz w:val="17"/>
          <w:szCs w:val="17"/>
        </w:rPr>
      </w:pPr>
    </w:p>
    <w:p w:rsidR="002C5025" w:rsidRDefault="002C5025">
      <w:pPr>
        <w:pStyle w:val="BodyText"/>
        <w:kinsoku w:val="0"/>
        <w:overflowPunct w:val="0"/>
        <w:spacing w:before="64"/>
        <w:ind w:left="104"/>
        <w:jc w:val="center"/>
        <w:rPr>
          <w:sz w:val="18"/>
          <w:szCs w:val="18"/>
        </w:rPr>
      </w:pPr>
      <w:r>
        <w:rPr>
          <w:sz w:val="18"/>
          <w:szCs w:val="18"/>
        </w:rPr>
        <w:t>5</w:t>
      </w:r>
    </w:p>
    <w:p w:rsidR="002C5025" w:rsidRDefault="002C5025">
      <w:pPr>
        <w:pStyle w:val="BodyText"/>
        <w:kinsoku w:val="0"/>
        <w:overflowPunct w:val="0"/>
        <w:spacing w:before="64"/>
        <w:ind w:left="104"/>
        <w:jc w:val="center"/>
        <w:rPr>
          <w:sz w:val="18"/>
          <w:szCs w:val="18"/>
        </w:rPr>
        <w:sectPr w:rsidR="002C5025">
          <w:pgSz w:w="12240" w:h="15840"/>
          <w:pgMar w:top="1300" w:right="1060" w:bottom="280" w:left="960" w:header="720" w:footer="720" w:gutter="0"/>
          <w:cols w:space="720" w:equalWidth="0">
            <w:col w:w="10220"/>
          </w:cols>
          <w:noEndnote/>
        </w:sectPr>
      </w:pPr>
    </w:p>
    <w:p w:rsidR="002C5025" w:rsidRDefault="002C5025">
      <w:pPr>
        <w:pStyle w:val="BodyText"/>
        <w:kinsoku w:val="0"/>
        <w:overflowPunct w:val="0"/>
        <w:spacing w:before="43"/>
        <w:ind w:left="119" w:right="131"/>
      </w:pPr>
      <w:r>
        <w:lastRenderedPageBreak/>
        <w:t>ACOs</w:t>
      </w:r>
      <w:r>
        <w:rPr>
          <w:spacing w:val="-11"/>
        </w:rPr>
        <w:t xml:space="preserve"> </w:t>
      </w:r>
      <w:r>
        <w:t>must</w:t>
      </w:r>
      <w:r>
        <w:rPr>
          <w:spacing w:val="-6"/>
        </w:rPr>
        <w:t xml:space="preserve"> </w:t>
      </w:r>
      <w:r>
        <w:t>have</w:t>
      </w:r>
      <w:r>
        <w:rPr>
          <w:spacing w:val="-9"/>
        </w:rPr>
        <w:t xml:space="preserve"> </w:t>
      </w:r>
      <w:r>
        <w:t>sufficient</w:t>
      </w:r>
      <w:r>
        <w:rPr>
          <w:spacing w:val="-10"/>
        </w:rPr>
        <w:t xml:space="preserve"> </w:t>
      </w:r>
      <w:r>
        <w:t>pediatric</w:t>
      </w:r>
      <w:r>
        <w:rPr>
          <w:spacing w:val="-9"/>
        </w:rPr>
        <w:t xml:space="preserve"> </w:t>
      </w:r>
      <w:r>
        <w:t>primary</w:t>
      </w:r>
      <w:r>
        <w:rPr>
          <w:spacing w:val="-8"/>
        </w:rPr>
        <w:t xml:space="preserve"> </w:t>
      </w:r>
      <w:r>
        <w:t>and</w:t>
      </w:r>
      <w:r>
        <w:rPr>
          <w:spacing w:val="-10"/>
        </w:rPr>
        <w:t xml:space="preserve"> </w:t>
      </w:r>
      <w:r>
        <w:t>specialty</w:t>
      </w:r>
      <w:r>
        <w:rPr>
          <w:spacing w:val="-6"/>
        </w:rPr>
        <w:t xml:space="preserve"> </w:t>
      </w:r>
      <w:r>
        <w:t>care</w:t>
      </w:r>
      <w:r>
        <w:rPr>
          <w:spacing w:val="-9"/>
        </w:rPr>
        <w:t xml:space="preserve"> </w:t>
      </w:r>
      <w:r>
        <w:t>providers</w:t>
      </w:r>
      <w:r>
        <w:rPr>
          <w:spacing w:val="-7"/>
        </w:rPr>
        <w:t xml:space="preserve"> </w:t>
      </w:r>
      <w:r>
        <w:t>for</w:t>
      </w:r>
      <w:r>
        <w:rPr>
          <w:spacing w:val="-9"/>
        </w:rPr>
        <w:t xml:space="preserve"> </w:t>
      </w:r>
      <w:r>
        <w:t>the</w:t>
      </w:r>
      <w:r>
        <w:rPr>
          <w:spacing w:val="-10"/>
        </w:rPr>
        <w:t xml:space="preserve"> </w:t>
      </w:r>
      <w:r>
        <w:t>number</w:t>
      </w:r>
      <w:r>
        <w:rPr>
          <w:spacing w:val="-11"/>
        </w:rPr>
        <w:t xml:space="preserve"> </w:t>
      </w:r>
      <w:r>
        <w:t>of</w:t>
      </w:r>
      <w:r>
        <w:rPr>
          <w:spacing w:val="-9"/>
        </w:rPr>
        <w:t xml:space="preserve"> </w:t>
      </w:r>
      <w:r>
        <w:t>children</w:t>
      </w:r>
      <w:r>
        <w:rPr>
          <w:spacing w:val="-14"/>
        </w:rPr>
        <w:t xml:space="preserve"> </w:t>
      </w:r>
      <w:r>
        <w:t>managed</w:t>
      </w:r>
      <w:r>
        <w:rPr>
          <w:spacing w:val="-8"/>
        </w:rPr>
        <w:t xml:space="preserve"> </w:t>
      </w:r>
      <w:r>
        <w:rPr>
          <w:spacing w:val="-4"/>
        </w:rPr>
        <w:t xml:space="preserve">by </w:t>
      </w:r>
      <w:r>
        <w:t xml:space="preserve">the ACO. In addition, integrating oral and mental health care into </w:t>
      </w:r>
      <w:r>
        <w:rPr>
          <w:spacing w:val="-2"/>
        </w:rPr>
        <w:t xml:space="preserve">the </w:t>
      </w:r>
      <w:r>
        <w:t xml:space="preserve">ACO’s delivery and </w:t>
      </w:r>
      <w:r>
        <w:rPr>
          <w:spacing w:val="-3"/>
        </w:rPr>
        <w:t xml:space="preserve">payment </w:t>
      </w:r>
      <w:r>
        <w:t>structure is essential, as oral and mental health issues are among the most common major chronic care conditions children and</w:t>
      </w:r>
      <w:r>
        <w:rPr>
          <w:spacing w:val="-20"/>
        </w:rPr>
        <w:t xml:space="preserve"> </w:t>
      </w:r>
      <w:r>
        <w:t>adolescents</w:t>
      </w:r>
      <w:r>
        <w:rPr>
          <w:spacing w:val="-23"/>
        </w:rPr>
        <w:t xml:space="preserve"> </w:t>
      </w:r>
      <w:r>
        <w:t>experience.</w:t>
      </w:r>
    </w:p>
    <w:p w:rsidR="002C5025" w:rsidRDefault="002C5025">
      <w:pPr>
        <w:pStyle w:val="BodyText"/>
        <w:kinsoku w:val="0"/>
        <w:overflowPunct w:val="0"/>
        <w:spacing w:before="10"/>
        <w:rPr>
          <w:sz w:val="21"/>
          <w:szCs w:val="21"/>
        </w:rPr>
      </w:pPr>
    </w:p>
    <w:p w:rsidR="002C5025" w:rsidRDefault="002C5025">
      <w:pPr>
        <w:pStyle w:val="BodyText"/>
        <w:kinsoku w:val="0"/>
        <w:overflowPunct w:val="0"/>
        <w:ind w:left="120" w:right="131"/>
        <w:rPr>
          <w:b/>
          <w:bCs/>
        </w:rPr>
      </w:pPr>
      <w:r>
        <w:rPr>
          <w:b/>
          <w:bCs/>
          <w:u w:val="single"/>
        </w:rPr>
        <w:t>Population Health and Prevention</w:t>
      </w:r>
    </w:p>
    <w:p w:rsidR="002C5025" w:rsidRDefault="002C5025">
      <w:pPr>
        <w:pStyle w:val="BodyText"/>
        <w:kinsoku w:val="0"/>
        <w:overflowPunct w:val="0"/>
        <w:spacing w:before="5"/>
        <w:rPr>
          <w:b/>
          <w:bCs/>
          <w:sz w:val="17"/>
          <w:szCs w:val="17"/>
        </w:rPr>
      </w:pPr>
    </w:p>
    <w:p w:rsidR="002C5025" w:rsidRDefault="002C5025">
      <w:pPr>
        <w:pStyle w:val="BodyText"/>
        <w:kinsoku w:val="0"/>
        <w:overflowPunct w:val="0"/>
        <w:spacing w:before="56"/>
        <w:ind w:left="120" w:right="131"/>
        <w:rPr>
          <w:b/>
          <w:bCs/>
          <w:i/>
          <w:iCs/>
        </w:rPr>
      </w:pPr>
      <w:bookmarkStart w:id="11" w:name="Social_Determinants_of_Health"/>
      <w:bookmarkEnd w:id="11"/>
      <w:r>
        <w:rPr>
          <w:b/>
          <w:bCs/>
          <w:i/>
          <w:iCs/>
        </w:rPr>
        <w:t>Social Determinants of Health</w:t>
      </w:r>
    </w:p>
    <w:p w:rsidR="002C5025" w:rsidRDefault="002C5025">
      <w:pPr>
        <w:pStyle w:val="BodyText"/>
        <w:kinsoku w:val="0"/>
        <w:overflowPunct w:val="0"/>
        <w:spacing w:before="2" w:line="237" w:lineRule="auto"/>
        <w:ind w:left="117" w:right="111" w:firstLine="2"/>
      </w:pPr>
      <w:r>
        <w:t xml:space="preserve">We are particularly pleased that MassHealth’s </w:t>
      </w:r>
      <w:r>
        <w:rPr>
          <w:spacing w:val="-3"/>
        </w:rPr>
        <w:t xml:space="preserve">proposed </w:t>
      </w:r>
      <w:r>
        <w:t>restructuring framework seeks to incorporate linkages to social services in an effort to address social determinants of health, including designating a portion of DSRIP funds</w:t>
      </w:r>
      <w:r>
        <w:rPr>
          <w:spacing w:val="-7"/>
        </w:rPr>
        <w:t xml:space="preserve"> </w:t>
      </w:r>
      <w:r>
        <w:t>for</w:t>
      </w:r>
      <w:r>
        <w:rPr>
          <w:spacing w:val="-9"/>
        </w:rPr>
        <w:t xml:space="preserve"> </w:t>
      </w:r>
      <w:r>
        <w:t>“flexible</w:t>
      </w:r>
      <w:r>
        <w:rPr>
          <w:spacing w:val="-10"/>
        </w:rPr>
        <w:t xml:space="preserve"> </w:t>
      </w:r>
      <w:r>
        <w:t>services.”</w:t>
      </w:r>
      <w:r>
        <w:rPr>
          <w:spacing w:val="-6"/>
        </w:rPr>
        <w:t xml:space="preserve"> </w:t>
      </w:r>
      <w:r>
        <w:t>As</w:t>
      </w:r>
      <w:r>
        <w:rPr>
          <w:spacing w:val="-7"/>
        </w:rPr>
        <w:t xml:space="preserve"> </w:t>
      </w:r>
      <w:r>
        <w:t>part</w:t>
      </w:r>
      <w:r>
        <w:rPr>
          <w:spacing w:val="-9"/>
        </w:rPr>
        <w:t xml:space="preserve"> </w:t>
      </w:r>
      <w:r>
        <w:t>of</w:t>
      </w:r>
      <w:r>
        <w:rPr>
          <w:spacing w:val="-9"/>
        </w:rPr>
        <w:t xml:space="preserve"> </w:t>
      </w:r>
      <w:r>
        <w:t>ensuring</w:t>
      </w:r>
      <w:r>
        <w:rPr>
          <w:spacing w:val="-11"/>
        </w:rPr>
        <w:t xml:space="preserve"> </w:t>
      </w:r>
      <w:r>
        <w:t>meaningful</w:t>
      </w:r>
      <w:r>
        <w:rPr>
          <w:spacing w:val="-7"/>
        </w:rPr>
        <w:t xml:space="preserve"> </w:t>
      </w:r>
      <w:r>
        <w:t>ACO</w:t>
      </w:r>
      <w:r>
        <w:rPr>
          <w:spacing w:val="-9"/>
        </w:rPr>
        <w:t xml:space="preserve"> </w:t>
      </w:r>
      <w:r>
        <w:t>collaboration</w:t>
      </w:r>
      <w:r>
        <w:rPr>
          <w:spacing w:val="-9"/>
        </w:rPr>
        <w:t xml:space="preserve"> </w:t>
      </w:r>
      <w:r>
        <w:t>with</w:t>
      </w:r>
      <w:r>
        <w:rPr>
          <w:spacing w:val="-7"/>
        </w:rPr>
        <w:t xml:space="preserve"> </w:t>
      </w:r>
      <w:r>
        <w:t>social</w:t>
      </w:r>
      <w:r>
        <w:rPr>
          <w:spacing w:val="-11"/>
        </w:rPr>
        <w:t xml:space="preserve"> </w:t>
      </w:r>
      <w:r>
        <w:t>services</w:t>
      </w:r>
      <w:r>
        <w:rPr>
          <w:spacing w:val="-7"/>
        </w:rPr>
        <w:t xml:space="preserve"> </w:t>
      </w:r>
      <w:r>
        <w:t>providers,</w:t>
      </w:r>
      <w:r>
        <w:rPr>
          <w:spacing w:val="-10"/>
        </w:rPr>
        <w:t xml:space="preserve"> </w:t>
      </w:r>
      <w:r>
        <w:t>we seek</w:t>
      </w:r>
      <w:r>
        <w:rPr>
          <w:spacing w:val="-7"/>
        </w:rPr>
        <w:t xml:space="preserve"> </w:t>
      </w:r>
      <w:r>
        <w:t>to</w:t>
      </w:r>
      <w:r>
        <w:rPr>
          <w:spacing w:val="-5"/>
        </w:rPr>
        <w:t xml:space="preserve"> </w:t>
      </w:r>
      <w:r>
        <w:t>better</w:t>
      </w:r>
      <w:r>
        <w:rPr>
          <w:spacing w:val="-7"/>
        </w:rPr>
        <w:t xml:space="preserve"> </w:t>
      </w:r>
      <w:r>
        <w:t>understand</w:t>
      </w:r>
      <w:r>
        <w:rPr>
          <w:spacing w:val="-13"/>
        </w:rPr>
        <w:t xml:space="preserve"> </w:t>
      </w:r>
      <w:r>
        <w:t>how</w:t>
      </w:r>
      <w:r>
        <w:rPr>
          <w:spacing w:val="-9"/>
        </w:rPr>
        <w:t xml:space="preserve"> </w:t>
      </w:r>
      <w:r>
        <w:t>DSRIP</w:t>
      </w:r>
      <w:r>
        <w:rPr>
          <w:spacing w:val="-7"/>
        </w:rPr>
        <w:t xml:space="preserve"> </w:t>
      </w:r>
      <w:r>
        <w:t>funds</w:t>
      </w:r>
      <w:r>
        <w:rPr>
          <w:spacing w:val="-7"/>
        </w:rPr>
        <w:t xml:space="preserve"> </w:t>
      </w:r>
      <w:r>
        <w:t>will</w:t>
      </w:r>
      <w:r>
        <w:rPr>
          <w:spacing w:val="-7"/>
        </w:rPr>
        <w:t xml:space="preserve"> </w:t>
      </w:r>
      <w:r>
        <w:t>reach</w:t>
      </w:r>
      <w:r>
        <w:rPr>
          <w:spacing w:val="-13"/>
        </w:rPr>
        <w:t xml:space="preserve"> </w:t>
      </w:r>
      <w:r>
        <w:t>these</w:t>
      </w:r>
      <w:r>
        <w:rPr>
          <w:spacing w:val="-7"/>
        </w:rPr>
        <w:t xml:space="preserve"> </w:t>
      </w:r>
      <w:r>
        <w:t>providers.</w:t>
      </w:r>
      <w:r>
        <w:rPr>
          <w:spacing w:val="-10"/>
        </w:rPr>
        <w:t xml:space="preserve"> </w:t>
      </w:r>
      <w:r>
        <w:t>While</w:t>
      </w:r>
      <w:r>
        <w:rPr>
          <w:spacing w:val="-9"/>
        </w:rPr>
        <w:t xml:space="preserve"> </w:t>
      </w:r>
      <w:r>
        <w:t>DSRIP</w:t>
      </w:r>
      <w:r>
        <w:rPr>
          <w:spacing w:val="-5"/>
        </w:rPr>
        <w:t xml:space="preserve"> </w:t>
      </w:r>
      <w:r>
        <w:t>funds</w:t>
      </w:r>
      <w:r>
        <w:rPr>
          <w:spacing w:val="-6"/>
        </w:rPr>
        <w:t xml:space="preserve"> </w:t>
      </w:r>
      <w:r>
        <w:t>will</w:t>
      </w:r>
      <w:r>
        <w:rPr>
          <w:spacing w:val="-10"/>
        </w:rPr>
        <w:t xml:space="preserve"> </w:t>
      </w:r>
      <w:r>
        <w:t>clearly</w:t>
      </w:r>
      <w:r>
        <w:rPr>
          <w:spacing w:val="-5"/>
        </w:rPr>
        <w:t xml:space="preserve"> </w:t>
      </w:r>
      <w:r>
        <w:t>be</w:t>
      </w:r>
      <w:r>
        <w:rPr>
          <w:spacing w:val="-9"/>
        </w:rPr>
        <w:t xml:space="preserve"> </w:t>
      </w:r>
      <w:r>
        <w:t xml:space="preserve">directed to BH and LTSS CPs for infrastructure and care coordination, it appears that social service providers do </w:t>
      </w:r>
      <w:r>
        <w:rPr>
          <w:spacing w:val="-2"/>
        </w:rPr>
        <w:t xml:space="preserve">not </w:t>
      </w:r>
      <w:r>
        <w:t xml:space="preserve">receive direct </w:t>
      </w:r>
      <w:r>
        <w:rPr>
          <w:spacing w:val="-3"/>
        </w:rPr>
        <w:t xml:space="preserve">DSRIP </w:t>
      </w:r>
      <w:r>
        <w:t xml:space="preserve">funding as they are not “certified” </w:t>
      </w:r>
      <w:r>
        <w:rPr>
          <w:spacing w:val="-3"/>
        </w:rPr>
        <w:t xml:space="preserve">community </w:t>
      </w:r>
      <w:r>
        <w:t xml:space="preserve">partners. For example, social service providers will need upfront investments in order to participate in two-way referral systems with ACOs, building on DPH’s community e-Referral </w:t>
      </w:r>
      <w:r>
        <w:rPr>
          <w:spacing w:val="-3"/>
        </w:rPr>
        <w:t xml:space="preserve">system </w:t>
      </w:r>
      <w:r>
        <w:t xml:space="preserve">being established under the state’s State Innovation Model </w:t>
      </w:r>
      <w:r>
        <w:rPr>
          <w:spacing w:val="-3"/>
        </w:rPr>
        <w:t xml:space="preserve">(SIM) </w:t>
      </w:r>
      <w:r>
        <w:t>grant and the Prevention and Wellness Trust Fund (PWTF).</w:t>
      </w:r>
      <w:r>
        <w:rPr>
          <w:position w:val="10"/>
          <w:sz w:val="14"/>
          <w:szCs w:val="14"/>
        </w:rPr>
        <w:t xml:space="preserve">5 </w:t>
      </w:r>
      <w:r>
        <w:t xml:space="preserve">We recommend that MassHealth consult with DPH </w:t>
      </w:r>
      <w:r>
        <w:rPr>
          <w:spacing w:val="-4"/>
        </w:rPr>
        <w:t xml:space="preserve">and </w:t>
      </w:r>
      <w:r>
        <w:t>incorporate</w:t>
      </w:r>
      <w:r>
        <w:rPr>
          <w:spacing w:val="-10"/>
        </w:rPr>
        <w:t xml:space="preserve"> </w:t>
      </w:r>
      <w:r>
        <w:t>lessons</w:t>
      </w:r>
      <w:r>
        <w:rPr>
          <w:spacing w:val="-12"/>
        </w:rPr>
        <w:t xml:space="preserve"> </w:t>
      </w:r>
      <w:r>
        <w:t>learned</w:t>
      </w:r>
      <w:r>
        <w:rPr>
          <w:spacing w:val="-13"/>
        </w:rPr>
        <w:t xml:space="preserve"> </w:t>
      </w:r>
      <w:r>
        <w:t>from</w:t>
      </w:r>
      <w:r>
        <w:rPr>
          <w:spacing w:val="-13"/>
        </w:rPr>
        <w:t xml:space="preserve"> </w:t>
      </w:r>
      <w:r>
        <w:t>PWTF,</w:t>
      </w:r>
      <w:r>
        <w:rPr>
          <w:spacing w:val="-14"/>
        </w:rPr>
        <w:t xml:space="preserve"> </w:t>
      </w:r>
      <w:r>
        <w:t>especially</w:t>
      </w:r>
      <w:r>
        <w:rPr>
          <w:spacing w:val="-10"/>
        </w:rPr>
        <w:t xml:space="preserve"> </w:t>
      </w:r>
      <w:r>
        <w:t>in</w:t>
      </w:r>
      <w:r>
        <w:rPr>
          <w:spacing w:val="-15"/>
        </w:rPr>
        <w:t xml:space="preserve"> </w:t>
      </w:r>
      <w:r>
        <w:t>regards</w:t>
      </w:r>
      <w:r>
        <w:rPr>
          <w:spacing w:val="-12"/>
        </w:rPr>
        <w:t xml:space="preserve"> </w:t>
      </w:r>
      <w:r>
        <w:t>to</w:t>
      </w:r>
      <w:r>
        <w:rPr>
          <w:spacing w:val="-12"/>
        </w:rPr>
        <w:t xml:space="preserve"> </w:t>
      </w:r>
      <w:r>
        <w:t>community</w:t>
      </w:r>
      <w:r>
        <w:rPr>
          <w:spacing w:val="-10"/>
        </w:rPr>
        <w:t xml:space="preserve"> </w:t>
      </w:r>
      <w:r>
        <w:t>partnerships.</w:t>
      </w:r>
    </w:p>
    <w:p w:rsidR="002C5025" w:rsidRDefault="002C5025">
      <w:pPr>
        <w:pStyle w:val="BodyText"/>
        <w:kinsoku w:val="0"/>
        <w:overflowPunct w:val="0"/>
      </w:pPr>
    </w:p>
    <w:p w:rsidR="002C5025" w:rsidRDefault="002C5025">
      <w:pPr>
        <w:pStyle w:val="BodyText"/>
        <w:kinsoku w:val="0"/>
        <w:overflowPunct w:val="0"/>
        <w:spacing w:before="1"/>
        <w:ind w:left="114" w:right="173" w:firstLine="5"/>
      </w:pPr>
      <w:r>
        <w:t xml:space="preserve">In determining the criteria that must be met to pay </w:t>
      </w:r>
      <w:r>
        <w:rPr>
          <w:spacing w:val="-3"/>
        </w:rPr>
        <w:t xml:space="preserve">for </w:t>
      </w:r>
      <w:r>
        <w:t xml:space="preserve">such flexible services, we urge MassHealth to take a broad and </w:t>
      </w:r>
      <w:r>
        <w:rPr>
          <w:spacing w:val="-3"/>
        </w:rPr>
        <w:t xml:space="preserve">flexible </w:t>
      </w:r>
      <w:r>
        <w:t xml:space="preserve">approach to encourage ACOs to innovate around </w:t>
      </w:r>
      <w:r>
        <w:rPr>
          <w:spacing w:val="-2"/>
        </w:rPr>
        <w:t xml:space="preserve">how </w:t>
      </w:r>
      <w:r>
        <w:t xml:space="preserve">to </w:t>
      </w:r>
      <w:r>
        <w:rPr>
          <w:spacing w:val="-3"/>
        </w:rPr>
        <w:t xml:space="preserve">use </w:t>
      </w:r>
      <w:r>
        <w:t xml:space="preserve">DSRIP funds to address social determinants of health. </w:t>
      </w:r>
      <w:r>
        <w:rPr>
          <w:spacing w:val="-3"/>
        </w:rPr>
        <w:t xml:space="preserve">One </w:t>
      </w:r>
      <w:r>
        <w:t xml:space="preserve">promising idea to ensure members </w:t>
      </w:r>
      <w:r>
        <w:rPr>
          <w:spacing w:val="-3"/>
        </w:rPr>
        <w:t xml:space="preserve">have </w:t>
      </w:r>
      <w:r>
        <w:t xml:space="preserve">the broadest access to social services agencies is through a social services “hub.” Such a hub can offer a single point of coordinated access to a </w:t>
      </w:r>
      <w:r>
        <w:rPr>
          <w:spacing w:val="-3"/>
        </w:rPr>
        <w:t xml:space="preserve">wide </w:t>
      </w:r>
      <w:r>
        <w:t xml:space="preserve">range of social services which </w:t>
      </w:r>
      <w:r>
        <w:rPr>
          <w:spacing w:val="-3"/>
        </w:rPr>
        <w:t xml:space="preserve">have </w:t>
      </w:r>
      <w:r>
        <w:t xml:space="preserve">a documented </w:t>
      </w:r>
      <w:r>
        <w:rPr>
          <w:spacing w:val="-3"/>
        </w:rPr>
        <w:t xml:space="preserve">impact </w:t>
      </w:r>
      <w:r>
        <w:t xml:space="preserve">on health outcomes </w:t>
      </w:r>
      <w:r>
        <w:rPr>
          <w:spacing w:val="-3"/>
        </w:rPr>
        <w:t xml:space="preserve">and </w:t>
      </w:r>
      <w:r>
        <w:t xml:space="preserve">on reducing </w:t>
      </w:r>
      <w:r>
        <w:rPr>
          <w:spacing w:val="-2"/>
        </w:rPr>
        <w:t xml:space="preserve">the </w:t>
      </w:r>
      <w:r>
        <w:t xml:space="preserve">cost of care. A hub model could work with multiple ACOs to bridge medical and social service systems, delivering </w:t>
      </w:r>
      <w:r>
        <w:rPr>
          <w:spacing w:val="-3"/>
        </w:rPr>
        <w:t xml:space="preserve">culturally </w:t>
      </w:r>
      <w:r>
        <w:t xml:space="preserve">and linguistically competent services, engaging multiple social services agencies, </w:t>
      </w:r>
      <w:r>
        <w:rPr>
          <w:spacing w:val="-3"/>
        </w:rPr>
        <w:t xml:space="preserve">and </w:t>
      </w:r>
      <w:r>
        <w:t xml:space="preserve">providing access to medically beneficial, evidence-based programs in each geographic region. With </w:t>
      </w:r>
      <w:r>
        <w:rPr>
          <w:spacing w:val="-3"/>
        </w:rPr>
        <w:t xml:space="preserve">any </w:t>
      </w:r>
      <w:r>
        <w:t xml:space="preserve">model connecting </w:t>
      </w:r>
      <w:r>
        <w:rPr>
          <w:spacing w:val="-3"/>
        </w:rPr>
        <w:t xml:space="preserve">medical </w:t>
      </w:r>
      <w:r>
        <w:t xml:space="preserve">care to social supports, MassHealth should work to promote access to all available services, such as nutrition (e.g. SNAP and WIC), </w:t>
      </w:r>
      <w:r>
        <w:rPr>
          <w:spacing w:val="-3"/>
        </w:rPr>
        <w:t xml:space="preserve">housing, </w:t>
      </w:r>
      <w:r>
        <w:t>income, and child care supports.</w:t>
      </w:r>
    </w:p>
    <w:p w:rsidR="002C5025" w:rsidRDefault="002C5025">
      <w:pPr>
        <w:pStyle w:val="BodyText"/>
        <w:kinsoku w:val="0"/>
        <w:overflowPunct w:val="0"/>
        <w:spacing w:before="1"/>
      </w:pPr>
    </w:p>
    <w:p w:rsidR="002C5025" w:rsidRDefault="002C5025">
      <w:pPr>
        <w:pStyle w:val="BodyText"/>
        <w:kinsoku w:val="0"/>
        <w:overflowPunct w:val="0"/>
        <w:ind w:left="117" w:right="131" w:firstLine="2"/>
      </w:pPr>
      <w:r>
        <w:t>In</w:t>
      </w:r>
      <w:r>
        <w:rPr>
          <w:spacing w:val="-7"/>
        </w:rPr>
        <w:t xml:space="preserve"> </w:t>
      </w:r>
      <w:r>
        <w:t>addition</w:t>
      </w:r>
      <w:r>
        <w:rPr>
          <w:spacing w:val="-10"/>
        </w:rPr>
        <w:t xml:space="preserve"> </w:t>
      </w:r>
      <w:r>
        <w:t>to</w:t>
      </w:r>
      <w:r>
        <w:rPr>
          <w:spacing w:val="-5"/>
        </w:rPr>
        <w:t xml:space="preserve"> </w:t>
      </w:r>
      <w:r>
        <w:t>promoting</w:t>
      </w:r>
      <w:r>
        <w:rPr>
          <w:spacing w:val="-10"/>
        </w:rPr>
        <w:t xml:space="preserve"> </w:t>
      </w:r>
      <w:r>
        <w:t>community-clinical</w:t>
      </w:r>
      <w:r>
        <w:rPr>
          <w:spacing w:val="-9"/>
        </w:rPr>
        <w:t xml:space="preserve"> </w:t>
      </w:r>
      <w:r>
        <w:t>linkages,</w:t>
      </w:r>
      <w:r>
        <w:rPr>
          <w:spacing w:val="-8"/>
        </w:rPr>
        <w:t xml:space="preserve"> </w:t>
      </w:r>
      <w:r>
        <w:t>it</w:t>
      </w:r>
      <w:r>
        <w:rPr>
          <w:spacing w:val="-10"/>
        </w:rPr>
        <w:t xml:space="preserve"> </w:t>
      </w:r>
      <w:r>
        <w:t>is</w:t>
      </w:r>
      <w:r>
        <w:rPr>
          <w:spacing w:val="-6"/>
        </w:rPr>
        <w:t xml:space="preserve"> </w:t>
      </w:r>
      <w:r>
        <w:t>necessary</w:t>
      </w:r>
      <w:r>
        <w:rPr>
          <w:spacing w:val="-7"/>
        </w:rPr>
        <w:t xml:space="preserve"> </w:t>
      </w:r>
      <w:r>
        <w:t>for</w:t>
      </w:r>
      <w:r>
        <w:rPr>
          <w:spacing w:val="-8"/>
        </w:rPr>
        <w:t xml:space="preserve"> </w:t>
      </w:r>
      <w:r>
        <w:t>an</w:t>
      </w:r>
      <w:r>
        <w:rPr>
          <w:spacing w:val="-7"/>
        </w:rPr>
        <w:t xml:space="preserve"> </w:t>
      </w:r>
      <w:r>
        <w:t>ACO</w:t>
      </w:r>
      <w:r>
        <w:rPr>
          <w:spacing w:val="-10"/>
        </w:rPr>
        <w:t xml:space="preserve"> </w:t>
      </w:r>
      <w:r>
        <w:t>to</w:t>
      </w:r>
      <w:r>
        <w:rPr>
          <w:spacing w:val="-7"/>
        </w:rPr>
        <w:t xml:space="preserve"> </w:t>
      </w:r>
      <w:r>
        <w:t>look</w:t>
      </w:r>
      <w:r>
        <w:rPr>
          <w:spacing w:val="-5"/>
        </w:rPr>
        <w:t xml:space="preserve"> </w:t>
      </w:r>
      <w:r>
        <w:t>beyond</w:t>
      </w:r>
      <w:r>
        <w:rPr>
          <w:spacing w:val="-7"/>
        </w:rPr>
        <w:t xml:space="preserve"> </w:t>
      </w:r>
      <w:r>
        <w:t>its</w:t>
      </w:r>
      <w:r>
        <w:rPr>
          <w:spacing w:val="-10"/>
        </w:rPr>
        <w:t xml:space="preserve"> </w:t>
      </w:r>
      <w:r>
        <w:t>members</w:t>
      </w:r>
      <w:r>
        <w:rPr>
          <w:spacing w:val="-10"/>
        </w:rPr>
        <w:t xml:space="preserve"> </w:t>
      </w:r>
      <w:r>
        <w:t xml:space="preserve">to address the public health needs of the greater population, for example, the service area or community where the practice is located. Priorities can be determined through such mechanisms as community health </w:t>
      </w:r>
      <w:r>
        <w:rPr>
          <w:spacing w:val="-3"/>
        </w:rPr>
        <w:t xml:space="preserve">needs </w:t>
      </w:r>
      <w:r>
        <w:t xml:space="preserve">assessments, with strong involvement from ACO enrollees and community members. By focusing on </w:t>
      </w:r>
      <w:r>
        <w:rPr>
          <w:spacing w:val="-3"/>
        </w:rPr>
        <w:t xml:space="preserve">the </w:t>
      </w:r>
      <w:r>
        <w:t>underlying</w:t>
      </w:r>
      <w:r>
        <w:rPr>
          <w:spacing w:val="-10"/>
        </w:rPr>
        <w:t xml:space="preserve"> </w:t>
      </w:r>
      <w:r>
        <w:t>social</w:t>
      </w:r>
      <w:r>
        <w:rPr>
          <w:spacing w:val="-12"/>
        </w:rPr>
        <w:t xml:space="preserve"> </w:t>
      </w:r>
      <w:r>
        <w:t>determinants</w:t>
      </w:r>
      <w:r>
        <w:rPr>
          <w:spacing w:val="-9"/>
        </w:rPr>
        <w:t xml:space="preserve"> </w:t>
      </w:r>
      <w:r>
        <w:t>of</w:t>
      </w:r>
      <w:r>
        <w:rPr>
          <w:spacing w:val="-9"/>
        </w:rPr>
        <w:t xml:space="preserve"> </w:t>
      </w:r>
      <w:r>
        <w:t>health</w:t>
      </w:r>
      <w:r>
        <w:rPr>
          <w:spacing w:val="-8"/>
        </w:rPr>
        <w:t xml:space="preserve"> </w:t>
      </w:r>
      <w:r>
        <w:t>at</w:t>
      </w:r>
      <w:r>
        <w:rPr>
          <w:spacing w:val="-9"/>
        </w:rPr>
        <w:t xml:space="preserve"> </w:t>
      </w:r>
      <w:r>
        <w:t>the</w:t>
      </w:r>
      <w:r>
        <w:rPr>
          <w:spacing w:val="-11"/>
        </w:rPr>
        <w:t xml:space="preserve"> </w:t>
      </w:r>
      <w:r>
        <w:t>community-wide</w:t>
      </w:r>
      <w:r>
        <w:rPr>
          <w:spacing w:val="-11"/>
        </w:rPr>
        <w:t xml:space="preserve"> </w:t>
      </w:r>
      <w:r>
        <w:t>or</w:t>
      </w:r>
      <w:r>
        <w:rPr>
          <w:spacing w:val="-9"/>
        </w:rPr>
        <w:t xml:space="preserve"> </w:t>
      </w:r>
      <w:r>
        <w:t>geographic</w:t>
      </w:r>
      <w:r>
        <w:rPr>
          <w:spacing w:val="-9"/>
        </w:rPr>
        <w:t xml:space="preserve"> </w:t>
      </w:r>
      <w:r>
        <w:t>level,</w:t>
      </w:r>
      <w:r>
        <w:rPr>
          <w:spacing w:val="-7"/>
        </w:rPr>
        <w:t xml:space="preserve"> </w:t>
      </w:r>
      <w:r>
        <w:t>ACOs</w:t>
      </w:r>
      <w:r>
        <w:rPr>
          <w:spacing w:val="-9"/>
        </w:rPr>
        <w:t xml:space="preserve"> </w:t>
      </w:r>
      <w:r>
        <w:t>have</w:t>
      </w:r>
      <w:r>
        <w:rPr>
          <w:spacing w:val="-7"/>
        </w:rPr>
        <w:t xml:space="preserve"> </w:t>
      </w:r>
      <w:r>
        <w:t>an</w:t>
      </w:r>
      <w:r>
        <w:rPr>
          <w:spacing w:val="-14"/>
        </w:rPr>
        <w:t xml:space="preserve"> </w:t>
      </w:r>
      <w:r>
        <w:t>opportunity to</w:t>
      </w:r>
      <w:r>
        <w:rPr>
          <w:spacing w:val="-11"/>
        </w:rPr>
        <w:t xml:space="preserve"> </w:t>
      </w:r>
      <w:r>
        <w:t>work</w:t>
      </w:r>
      <w:r>
        <w:rPr>
          <w:spacing w:val="-10"/>
        </w:rPr>
        <w:t xml:space="preserve"> </w:t>
      </w:r>
      <w:r>
        <w:t>towards</w:t>
      </w:r>
      <w:r>
        <w:rPr>
          <w:spacing w:val="-10"/>
        </w:rPr>
        <w:t xml:space="preserve"> </w:t>
      </w:r>
      <w:r>
        <w:t>truly</w:t>
      </w:r>
      <w:r>
        <w:rPr>
          <w:spacing w:val="-9"/>
        </w:rPr>
        <w:t xml:space="preserve"> </w:t>
      </w:r>
      <w:r>
        <w:t>improving</w:t>
      </w:r>
      <w:r>
        <w:rPr>
          <w:spacing w:val="-11"/>
        </w:rPr>
        <w:t xml:space="preserve"> </w:t>
      </w:r>
      <w:r>
        <w:t>health</w:t>
      </w:r>
      <w:r>
        <w:rPr>
          <w:spacing w:val="-13"/>
        </w:rPr>
        <w:t xml:space="preserve"> </w:t>
      </w:r>
      <w:r>
        <w:t>outcomes</w:t>
      </w:r>
      <w:r>
        <w:rPr>
          <w:spacing w:val="-10"/>
        </w:rPr>
        <w:t xml:space="preserve"> </w:t>
      </w:r>
      <w:r>
        <w:t>and</w:t>
      </w:r>
      <w:r>
        <w:rPr>
          <w:spacing w:val="-13"/>
        </w:rPr>
        <w:t xml:space="preserve"> </w:t>
      </w:r>
      <w:r>
        <w:t>advancing</w:t>
      </w:r>
      <w:r>
        <w:rPr>
          <w:spacing w:val="-11"/>
        </w:rPr>
        <w:t xml:space="preserve"> </w:t>
      </w:r>
      <w:r>
        <w:t>health</w:t>
      </w:r>
      <w:r>
        <w:rPr>
          <w:spacing w:val="-13"/>
        </w:rPr>
        <w:t xml:space="preserve"> </w:t>
      </w:r>
      <w:r>
        <w:t>equity.</w:t>
      </w:r>
    </w:p>
    <w:p w:rsidR="002C5025" w:rsidRDefault="002C5025">
      <w:pPr>
        <w:pStyle w:val="BodyText"/>
        <w:kinsoku w:val="0"/>
        <w:overflowPunct w:val="0"/>
      </w:pPr>
    </w:p>
    <w:p w:rsidR="002C5025" w:rsidRDefault="002C5025">
      <w:pPr>
        <w:pStyle w:val="BodyText"/>
        <w:kinsoku w:val="0"/>
        <w:overflowPunct w:val="0"/>
        <w:ind w:left="117" w:right="131"/>
        <w:rPr>
          <w:b/>
          <w:bCs/>
          <w:i/>
          <w:iCs/>
        </w:rPr>
      </w:pPr>
      <w:r>
        <w:rPr>
          <w:b/>
          <w:bCs/>
          <w:i/>
          <w:iCs/>
        </w:rPr>
        <w:t>Community Health Workers</w:t>
      </w:r>
    </w:p>
    <w:p w:rsidR="002C5025" w:rsidRDefault="002C5025">
      <w:pPr>
        <w:pStyle w:val="BodyText"/>
        <w:kinsoku w:val="0"/>
        <w:overflowPunct w:val="0"/>
        <w:spacing w:before="9" w:line="232" w:lineRule="auto"/>
        <w:ind w:left="116" w:right="122" w:firstLine="1"/>
      </w:pPr>
      <w:r>
        <w:t xml:space="preserve">ACOs </w:t>
      </w:r>
      <w:r>
        <w:rPr>
          <w:spacing w:val="-3"/>
        </w:rPr>
        <w:t xml:space="preserve">have </w:t>
      </w:r>
      <w:r>
        <w:t xml:space="preserve">the opportunity to </w:t>
      </w:r>
      <w:r>
        <w:rPr>
          <w:spacing w:val="-3"/>
        </w:rPr>
        <w:t xml:space="preserve">promote </w:t>
      </w:r>
      <w:r>
        <w:t xml:space="preserve">public and </w:t>
      </w:r>
      <w:r>
        <w:rPr>
          <w:spacing w:val="-2"/>
        </w:rPr>
        <w:t xml:space="preserve">community </w:t>
      </w:r>
      <w:r>
        <w:t xml:space="preserve">health by strengthening the role of </w:t>
      </w:r>
      <w:r>
        <w:rPr>
          <w:spacing w:val="-3"/>
        </w:rPr>
        <w:t xml:space="preserve">community </w:t>
      </w:r>
      <w:r>
        <w:t xml:space="preserve">health workers (CHWs) in connecting people to care resources and </w:t>
      </w:r>
      <w:r>
        <w:rPr>
          <w:spacing w:val="-2"/>
        </w:rPr>
        <w:t xml:space="preserve">promoting </w:t>
      </w:r>
      <w:r>
        <w:t xml:space="preserve">overall health. Including </w:t>
      </w:r>
      <w:r>
        <w:rPr>
          <w:spacing w:val="-3"/>
        </w:rPr>
        <w:t xml:space="preserve">CHWs </w:t>
      </w:r>
      <w:r>
        <w:t xml:space="preserve">as part of health care teams </w:t>
      </w:r>
      <w:r>
        <w:rPr>
          <w:spacing w:val="-3"/>
        </w:rPr>
        <w:t xml:space="preserve">has </w:t>
      </w:r>
      <w:r>
        <w:t xml:space="preserve">been shown to contain costs by reducing high risk patients’ </w:t>
      </w:r>
      <w:r>
        <w:rPr>
          <w:spacing w:val="-3"/>
        </w:rPr>
        <w:t xml:space="preserve">use </w:t>
      </w:r>
      <w:r>
        <w:t>of urgent and emergency room care and preventing unnecessary hospitalizations.</w:t>
      </w:r>
      <w:r>
        <w:rPr>
          <w:position w:val="10"/>
          <w:sz w:val="14"/>
          <w:szCs w:val="14"/>
        </w:rPr>
        <w:t xml:space="preserve">6 </w:t>
      </w:r>
      <w:r>
        <w:t>CHWs also improve quality of care and</w:t>
      </w:r>
    </w:p>
    <w:p w:rsidR="002C5025" w:rsidRDefault="00FB027C">
      <w:pPr>
        <w:pStyle w:val="BodyText"/>
        <w:kinsoku w:val="0"/>
        <w:overflowPunct w:val="0"/>
        <w:spacing w:before="10"/>
      </w:pPr>
      <w:r>
        <w:rPr>
          <w:noProof/>
        </w:rPr>
        <mc:AlternateContent>
          <mc:Choice Requires="wps">
            <w:drawing>
              <wp:anchor distT="0" distB="0" distL="0" distR="0" simplePos="0" relativeHeight="251462144" behindDoc="0" locked="0" layoutInCell="0" allowOverlap="1">
                <wp:simplePos x="0" y="0"/>
                <wp:positionH relativeFrom="page">
                  <wp:posOffset>694690</wp:posOffset>
                </wp:positionH>
                <wp:positionV relativeFrom="paragraph">
                  <wp:posOffset>207010</wp:posOffset>
                </wp:positionV>
                <wp:extent cx="1829435" cy="12700"/>
                <wp:effectExtent l="0" t="0" r="0" b="0"/>
                <wp:wrapTopAndBottom/>
                <wp:docPr id="990"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1 w 2881"/>
                            <a:gd name="T3" fmla="*/ 0 h 20"/>
                          </a:gdLst>
                          <a:ahLst/>
                          <a:cxnLst>
                            <a:cxn ang="0">
                              <a:pos x="T0" y="T1"/>
                            </a:cxn>
                            <a:cxn ang="0">
                              <a:pos x="T2" y="T3"/>
                            </a:cxn>
                          </a:cxnLst>
                          <a:rect l="0" t="0" r="r" b="b"/>
                          <a:pathLst>
                            <a:path w="2881" h="20">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5" o:spid="_x0000_s1026" style="position:absolute;z-index:251462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54.7pt,16.3pt,198.75pt,16.3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" o:allowincell="f" filled="f" strokeweight=".82pt">
                <v:path arrowok="t" o:connecttype="custom" o:connectlocs="0,0;1829435,0" o:connectangles="0,0"/>
                <w10:wrap type="topAndBottom" anchorx="page"/>
              </v:polyline>
            </w:pict>
          </mc:Fallback>
        </mc:AlternateContent>
      </w:r>
    </w:p>
    <w:p w:rsidR="002C5025" w:rsidRDefault="002C5025">
      <w:pPr>
        <w:pStyle w:val="BodyText"/>
        <w:kinsoku w:val="0"/>
        <w:overflowPunct w:val="0"/>
        <w:spacing w:before="36"/>
        <w:ind w:left="119" w:right="263"/>
        <w:rPr>
          <w:sz w:val="18"/>
          <w:szCs w:val="18"/>
        </w:rPr>
      </w:pPr>
      <w:r>
        <w:rPr>
          <w:position w:val="9"/>
          <w:sz w:val="12"/>
          <w:szCs w:val="12"/>
        </w:rPr>
        <w:t>5</w:t>
      </w:r>
      <w:r>
        <w:rPr>
          <w:spacing w:val="3"/>
          <w:position w:val="9"/>
          <w:sz w:val="12"/>
          <w:szCs w:val="12"/>
        </w:rPr>
        <w:t xml:space="preserve"> </w:t>
      </w:r>
      <w:r>
        <w:rPr>
          <w:sz w:val="18"/>
          <w:szCs w:val="18"/>
        </w:rPr>
        <w:t>For</w:t>
      </w:r>
      <w:r>
        <w:rPr>
          <w:spacing w:val="-6"/>
          <w:sz w:val="18"/>
          <w:szCs w:val="18"/>
        </w:rPr>
        <w:t xml:space="preserve"> </w:t>
      </w:r>
      <w:r>
        <w:rPr>
          <w:sz w:val="18"/>
          <w:szCs w:val="18"/>
        </w:rPr>
        <w:t>additional</w:t>
      </w:r>
      <w:r>
        <w:rPr>
          <w:spacing w:val="-6"/>
          <w:sz w:val="18"/>
          <w:szCs w:val="18"/>
        </w:rPr>
        <w:t xml:space="preserve"> </w:t>
      </w:r>
      <w:r>
        <w:rPr>
          <w:sz w:val="18"/>
          <w:szCs w:val="18"/>
        </w:rPr>
        <w:t>examples</w:t>
      </w:r>
      <w:r>
        <w:rPr>
          <w:spacing w:val="-9"/>
          <w:sz w:val="18"/>
          <w:szCs w:val="18"/>
        </w:rPr>
        <w:t xml:space="preserve"> </w:t>
      </w:r>
      <w:r>
        <w:rPr>
          <w:sz w:val="18"/>
          <w:szCs w:val="18"/>
        </w:rPr>
        <w:t>of</w:t>
      </w:r>
      <w:r>
        <w:rPr>
          <w:spacing w:val="-10"/>
          <w:sz w:val="18"/>
          <w:szCs w:val="18"/>
        </w:rPr>
        <w:t xml:space="preserve"> </w:t>
      </w:r>
      <w:r>
        <w:rPr>
          <w:sz w:val="18"/>
          <w:szCs w:val="18"/>
        </w:rPr>
        <w:t>why</w:t>
      </w:r>
      <w:r>
        <w:rPr>
          <w:spacing w:val="-8"/>
          <w:sz w:val="18"/>
          <w:szCs w:val="18"/>
        </w:rPr>
        <w:t xml:space="preserve"> </w:t>
      </w:r>
      <w:r>
        <w:rPr>
          <w:sz w:val="18"/>
          <w:szCs w:val="18"/>
        </w:rPr>
        <w:t>social</w:t>
      </w:r>
      <w:r>
        <w:rPr>
          <w:spacing w:val="-8"/>
          <w:sz w:val="18"/>
          <w:szCs w:val="18"/>
        </w:rPr>
        <w:t xml:space="preserve"> </w:t>
      </w:r>
      <w:r>
        <w:rPr>
          <w:sz w:val="18"/>
          <w:szCs w:val="18"/>
        </w:rPr>
        <w:t>services</w:t>
      </w:r>
      <w:r>
        <w:rPr>
          <w:spacing w:val="-11"/>
          <w:sz w:val="18"/>
          <w:szCs w:val="18"/>
        </w:rPr>
        <w:t xml:space="preserve"> </w:t>
      </w:r>
      <w:r>
        <w:rPr>
          <w:sz w:val="18"/>
          <w:szCs w:val="18"/>
        </w:rPr>
        <w:t>organizations</w:t>
      </w:r>
      <w:r>
        <w:rPr>
          <w:spacing w:val="-9"/>
          <w:sz w:val="18"/>
          <w:szCs w:val="18"/>
        </w:rPr>
        <w:t xml:space="preserve"> </w:t>
      </w:r>
      <w:r>
        <w:rPr>
          <w:sz w:val="18"/>
          <w:szCs w:val="18"/>
        </w:rPr>
        <w:t>need</w:t>
      </w:r>
      <w:r>
        <w:rPr>
          <w:spacing w:val="-8"/>
          <w:sz w:val="18"/>
          <w:szCs w:val="18"/>
        </w:rPr>
        <w:t xml:space="preserve"> </w:t>
      </w:r>
      <w:r>
        <w:rPr>
          <w:sz w:val="18"/>
          <w:szCs w:val="18"/>
        </w:rPr>
        <w:t>upfront</w:t>
      </w:r>
      <w:r>
        <w:rPr>
          <w:spacing w:val="-8"/>
          <w:sz w:val="18"/>
          <w:szCs w:val="18"/>
        </w:rPr>
        <w:t xml:space="preserve"> </w:t>
      </w:r>
      <w:r>
        <w:rPr>
          <w:sz w:val="18"/>
          <w:szCs w:val="18"/>
        </w:rPr>
        <w:t>funding</w:t>
      </w:r>
      <w:r>
        <w:rPr>
          <w:spacing w:val="-9"/>
          <w:sz w:val="18"/>
          <w:szCs w:val="18"/>
        </w:rPr>
        <w:t xml:space="preserve"> </w:t>
      </w:r>
      <w:r>
        <w:rPr>
          <w:sz w:val="18"/>
          <w:szCs w:val="18"/>
        </w:rPr>
        <w:t>for</w:t>
      </w:r>
      <w:r>
        <w:rPr>
          <w:spacing w:val="-8"/>
          <w:sz w:val="18"/>
          <w:szCs w:val="18"/>
        </w:rPr>
        <w:t xml:space="preserve"> </w:t>
      </w:r>
      <w:r>
        <w:rPr>
          <w:sz w:val="18"/>
          <w:szCs w:val="18"/>
        </w:rPr>
        <w:t>effective</w:t>
      </w:r>
      <w:r>
        <w:rPr>
          <w:spacing w:val="-9"/>
          <w:sz w:val="18"/>
          <w:szCs w:val="18"/>
        </w:rPr>
        <w:t xml:space="preserve"> </w:t>
      </w:r>
      <w:r>
        <w:rPr>
          <w:sz w:val="18"/>
          <w:szCs w:val="18"/>
        </w:rPr>
        <w:t>and</w:t>
      </w:r>
      <w:r>
        <w:rPr>
          <w:spacing w:val="-6"/>
          <w:sz w:val="18"/>
          <w:szCs w:val="18"/>
        </w:rPr>
        <w:t xml:space="preserve"> </w:t>
      </w:r>
      <w:r>
        <w:rPr>
          <w:sz w:val="18"/>
          <w:szCs w:val="18"/>
        </w:rPr>
        <w:t>ongoing</w:t>
      </w:r>
      <w:r>
        <w:rPr>
          <w:spacing w:val="-11"/>
          <w:sz w:val="18"/>
          <w:szCs w:val="18"/>
        </w:rPr>
        <w:t xml:space="preserve"> </w:t>
      </w:r>
      <w:r>
        <w:rPr>
          <w:sz w:val="18"/>
          <w:szCs w:val="18"/>
        </w:rPr>
        <w:t>collaborations</w:t>
      </w:r>
      <w:r>
        <w:rPr>
          <w:spacing w:val="-8"/>
          <w:sz w:val="18"/>
          <w:szCs w:val="18"/>
        </w:rPr>
        <w:t xml:space="preserve"> </w:t>
      </w:r>
      <w:r>
        <w:rPr>
          <w:sz w:val="18"/>
          <w:szCs w:val="18"/>
        </w:rPr>
        <w:t>to address social</w:t>
      </w:r>
      <w:r>
        <w:rPr>
          <w:spacing w:val="-10"/>
          <w:sz w:val="18"/>
          <w:szCs w:val="18"/>
        </w:rPr>
        <w:t xml:space="preserve"> </w:t>
      </w:r>
      <w:r>
        <w:rPr>
          <w:sz w:val="18"/>
          <w:szCs w:val="18"/>
        </w:rPr>
        <w:t>determinants</w:t>
      </w:r>
      <w:r>
        <w:rPr>
          <w:spacing w:val="-13"/>
          <w:sz w:val="18"/>
          <w:szCs w:val="18"/>
        </w:rPr>
        <w:t xml:space="preserve"> </w:t>
      </w:r>
      <w:r>
        <w:rPr>
          <w:sz w:val="18"/>
          <w:szCs w:val="18"/>
        </w:rPr>
        <w:t>of</w:t>
      </w:r>
      <w:r>
        <w:rPr>
          <w:spacing w:val="-10"/>
          <w:sz w:val="18"/>
          <w:szCs w:val="18"/>
        </w:rPr>
        <w:t xml:space="preserve"> </w:t>
      </w:r>
      <w:r>
        <w:rPr>
          <w:sz w:val="18"/>
          <w:szCs w:val="18"/>
        </w:rPr>
        <w:t>health,</w:t>
      </w:r>
      <w:r>
        <w:rPr>
          <w:spacing w:val="-9"/>
          <w:sz w:val="18"/>
          <w:szCs w:val="18"/>
        </w:rPr>
        <w:t xml:space="preserve"> </w:t>
      </w:r>
      <w:r>
        <w:rPr>
          <w:sz w:val="18"/>
          <w:szCs w:val="18"/>
        </w:rPr>
        <w:t>see</w:t>
      </w:r>
      <w:r>
        <w:rPr>
          <w:spacing w:val="-11"/>
          <w:sz w:val="18"/>
          <w:szCs w:val="18"/>
        </w:rPr>
        <w:t xml:space="preserve"> </w:t>
      </w:r>
      <w:proofErr w:type="spellStart"/>
      <w:r>
        <w:rPr>
          <w:sz w:val="18"/>
          <w:szCs w:val="18"/>
        </w:rPr>
        <w:t>Bachrach</w:t>
      </w:r>
      <w:proofErr w:type="spellEnd"/>
      <w:r>
        <w:rPr>
          <w:sz w:val="18"/>
          <w:szCs w:val="18"/>
        </w:rPr>
        <w:t>,</w:t>
      </w:r>
      <w:r>
        <w:rPr>
          <w:spacing w:val="-9"/>
          <w:sz w:val="18"/>
          <w:szCs w:val="18"/>
        </w:rPr>
        <w:t xml:space="preserve"> </w:t>
      </w:r>
      <w:r>
        <w:rPr>
          <w:sz w:val="18"/>
          <w:szCs w:val="18"/>
        </w:rPr>
        <w:t>D.,</w:t>
      </w:r>
      <w:r>
        <w:rPr>
          <w:spacing w:val="-9"/>
          <w:sz w:val="18"/>
          <w:szCs w:val="18"/>
        </w:rPr>
        <w:t xml:space="preserve"> </w:t>
      </w:r>
      <w:r>
        <w:rPr>
          <w:sz w:val="18"/>
          <w:szCs w:val="18"/>
        </w:rPr>
        <w:t>Bernstein,</w:t>
      </w:r>
      <w:r>
        <w:rPr>
          <w:spacing w:val="-12"/>
          <w:sz w:val="18"/>
          <w:szCs w:val="18"/>
        </w:rPr>
        <w:t xml:space="preserve"> </w:t>
      </w:r>
      <w:r>
        <w:rPr>
          <w:sz w:val="18"/>
          <w:szCs w:val="18"/>
        </w:rPr>
        <w:t>W.</w:t>
      </w:r>
      <w:r>
        <w:rPr>
          <w:spacing w:val="-10"/>
          <w:sz w:val="18"/>
          <w:szCs w:val="18"/>
        </w:rPr>
        <w:t xml:space="preserve"> </w:t>
      </w:r>
      <w:r>
        <w:rPr>
          <w:sz w:val="18"/>
          <w:szCs w:val="18"/>
        </w:rPr>
        <w:t>et</w:t>
      </w:r>
      <w:r>
        <w:rPr>
          <w:spacing w:val="-10"/>
          <w:sz w:val="18"/>
          <w:szCs w:val="18"/>
        </w:rPr>
        <w:t xml:space="preserve"> </w:t>
      </w:r>
      <w:r>
        <w:rPr>
          <w:sz w:val="18"/>
          <w:szCs w:val="18"/>
        </w:rPr>
        <w:t>al.,</w:t>
      </w:r>
      <w:r>
        <w:rPr>
          <w:spacing w:val="-8"/>
          <w:sz w:val="18"/>
          <w:szCs w:val="18"/>
        </w:rPr>
        <w:t xml:space="preserve"> </w:t>
      </w:r>
      <w:r>
        <w:rPr>
          <w:i/>
          <w:iCs/>
          <w:sz w:val="18"/>
          <w:szCs w:val="18"/>
        </w:rPr>
        <w:t>Implementing</w:t>
      </w:r>
      <w:r>
        <w:rPr>
          <w:i/>
          <w:iCs/>
          <w:spacing w:val="-9"/>
          <w:sz w:val="18"/>
          <w:szCs w:val="18"/>
        </w:rPr>
        <w:t xml:space="preserve"> </w:t>
      </w:r>
      <w:r>
        <w:rPr>
          <w:i/>
          <w:iCs/>
          <w:sz w:val="18"/>
          <w:szCs w:val="18"/>
        </w:rPr>
        <w:t>New</w:t>
      </w:r>
      <w:r>
        <w:rPr>
          <w:i/>
          <w:iCs/>
          <w:spacing w:val="-11"/>
          <w:sz w:val="18"/>
          <w:szCs w:val="18"/>
        </w:rPr>
        <w:t xml:space="preserve"> </w:t>
      </w:r>
      <w:r>
        <w:rPr>
          <w:i/>
          <w:iCs/>
          <w:sz w:val="18"/>
          <w:szCs w:val="18"/>
        </w:rPr>
        <w:t>York’s</w:t>
      </w:r>
      <w:r>
        <w:rPr>
          <w:i/>
          <w:iCs/>
          <w:spacing w:val="-10"/>
          <w:sz w:val="18"/>
          <w:szCs w:val="18"/>
        </w:rPr>
        <w:t xml:space="preserve"> </w:t>
      </w:r>
      <w:r>
        <w:rPr>
          <w:i/>
          <w:iCs/>
          <w:sz w:val="18"/>
          <w:szCs w:val="18"/>
        </w:rPr>
        <w:t>DSRIP</w:t>
      </w:r>
      <w:r>
        <w:rPr>
          <w:i/>
          <w:iCs/>
          <w:spacing w:val="-9"/>
          <w:sz w:val="18"/>
          <w:szCs w:val="18"/>
        </w:rPr>
        <w:t xml:space="preserve"> </w:t>
      </w:r>
      <w:r>
        <w:rPr>
          <w:i/>
          <w:iCs/>
          <w:sz w:val="18"/>
          <w:szCs w:val="18"/>
        </w:rPr>
        <w:t>Program:</w:t>
      </w:r>
      <w:r>
        <w:rPr>
          <w:i/>
          <w:iCs/>
          <w:spacing w:val="-12"/>
          <w:sz w:val="18"/>
          <w:szCs w:val="18"/>
        </w:rPr>
        <w:t xml:space="preserve"> </w:t>
      </w:r>
      <w:r>
        <w:rPr>
          <w:i/>
          <w:iCs/>
          <w:sz w:val="18"/>
          <w:szCs w:val="18"/>
        </w:rPr>
        <w:t>Implications</w:t>
      </w:r>
      <w:r>
        <w:rPr>
          <w:i/>
          <w:iCs/>
          <w:spacing w:val="-13"/>
          <w:sz w:val="18"/>
          <w:szCs w:val="18"/>
        </w:rPr>
        <w:t xml:space="preserve"> </w:t>
      </w:r>
      <w:r>
        <w:rPr>
          <w:i/>
          <w:iCs/>
          <w:sz w:val="18"/>
          <w:szCs w:val="18"/>
        </w:rPr>
        <w:t>for</w:t>
      </w:r>
      <w:r>
        <w:rPr>
          <w:i/>
          <w:iCs/>
          <w:spacing w:val="-12"/>
          <w:sz w:val="18"/>
          <w:szCs w:val="18"/>
        </w:rPr>
        <w:t xml:space="preserve"> </w:t>
      </w:r>
      <w:r>
        <w:rPr>
          <w:i/>
          <w:iCs/>
          <w:sz w:val="18"/>
          <w:szCs w:val="18"/>
        </w:rPr>
        <w:t>Medicaid Payment and Delivery System Reform</w:t>
      </w:r>
      <w:r>
        <w:rPr>
          <w:sz w:val="18"/>
          <w:szCs w:val="18"/>
        </w:rPr>
        <w:t xml:space="preserve">, Commonwealth Fund (April 2016); </w:t>
      </w:r>
      <w:proofErr w:type="spellStart"/>
      <w:r>
        <w:rPr>
          <w:sz w:val="18"/>
          <w:szCs w:val="18"/>
        </w:rPr>
        <w:t>Guyer</w:t>
      </w:r>
      <w:proofErr w:type="spellEnd"/>
      <w:r>
        <w:rPr>
          <w:sz w:val="18"/>
          <w:szCs w:val="18"/>
        </w:rPr>
        <w:t xml:space="preserve">, J., </w:t>
      </w:r>
      <w:proofErr w:type="spellStart"/>
      <w:r>
        <w:rPr>
          <w:sz w:val="18"/>
          <w:szCs w:val="18"/>
        </w:rPr>
        <w:t>Shaine</w:t>
      </w:r>
      <w:proofErr w:type="spellEnd"/>
      <w:r>
        <w:rPr>
          <w:sz w:val="18"/>
          <w:szCs w:val="18"/>
        </w:rPr>
        <w:t xml:space="preserve">, N. et al., </w:t>
      </w:r>
      <w:r>
        <w:rPr>
          <w:i/>
          <w:iCs/>
          <w:sz w:val="18"/>
          <w:szCs w:val="18"/>
        </w:rPr>
        <w:t>Key Themes From Delivery System Reform</w:t>
      </w:r>
      <w:r>
        <w:rPr>
          <w:i/>
          <w:iCs/>
          <w:spacing w:val="-12"/>
          <w:sz w:val="18"/>
          <w:szCs w:val="18"/>
        </w:rPr>
        <w:t xml:space="preserve"> </w:t>
      </w:r>
      <w:r>
        <w:rPr>
          <w:i/>
          <w:iCs/>
          <w:sz w:val="18"/>
          <w:szCs w:val="18"/>
        </w:rPr>
        <w:t>Incentive</w:t>
      </w:r>
      <w:r>
        <w:rPr>
          <w:i/>
          <w:iCs/>
          <w:spacing w:val="-11"/>
          <w:sz w:val="18"/>
          <w:szCs w:val="18"/>
        </w:rPr>
        <w:t xml:space="preserve"> </w:t>
      </w:r>
      <w:r>
        <w:rPr>
          <w:i/>
          <w:iCs/>
          <w:sz w:val="18"/>
          <w:szCs w:val="18"/>
        </w:rPr>
        <w:t>Payment</w:t>
      </w:r>
      <w:r>
        <w:rPr>
          <w:i/>
          <w:iCs/>
          <w:spacing w:val="-9"/>
          <w:sz w:val="18"/>
          <w:szCs w:val="18"/>
        </w:rPr>
        <w:t xml:space="preserve"> </w:t>
      </w:r>
      <w:r>
        <w:rPr>
          <w:i/>
          <w:iCs/>
          <w:spacing w:val="-3"/>
          <w:sz w:val="18"/>
          <w:szCs w:val="18"/>
        </w:rPr>
        <w:t>(DSRIP)</w:t>
      </w:r>
      <w:r>
        <w:rPr>
          <w:i/>
          <w:iCs/>
          <w:spacing w:val="-10"/>
          <w:sz w:val="18"/>
          <w:szCs w:val="18"/>
        </w:rPr>
        <w:t xml:space="preserve"> </w:t>
      </w:r>
      <w:r>
        <w:rPr>
          <w:i/>
          <w:iCs/>
          <w:sz w:val="18"/>
          <w:szCs w:val="18"/>
        </w:rPr>
        <w:t>Waivers</w:t>
      </w:r>
      <w:r>
        <w:rPr>
          <w:i/>
          <w:iCs/>
          <w:spacing w:val="-12"/>
          <w:sz w:val="18"/>
          <w:szCs w:val="18"/>
        </w:rPr>
        <w:t xml:space="preserve"> </w:t>
      </w:r>
      <w:r>
        <w:rPr>
          <w:i/>
          <w:iCs/>
          <w:sz w:val="18"/>
          <w:szCs w:val="18"/>
        </w:rPr>
        <w:t>in</w:t>
      </w:r>
      <w:r>
        <w:rPr>
          <w:i/>
          <w:iCs/>
          <w:spacing w:val="-8"/>
          <w:sz w:val="18"/>
          <w:szCs w:val="18"/>
        </w:rPr>
        <w:t xml:space="preserve"> </w:t>
      </w:r>
      <w:r>
        <w:rPr>
          <w:i/>
          <w:iCs/>
          <w:sz w:val="18"/>
          <w:szCs w:val="18"/>
        </w:rPr>
        <w:t>4</w:t>
      </w:r>
      <w:r>
        <w:rPr>
          <w:i/>
          <w:iCs/>
          <w:spacing w:val="-9"/>
          <w:sz w:val="18"/>
          <w:szCs w:val="18"/>
        </w:rPr>
        <w:t xml:space="preserve"> </w:t>
      </w:r>
      <w:r>
        <w:rPr>
          <w:i/>
          <w:iCs/>
          <w:sz w:val="18"/>
          <w:szCs w:val="18"/>
        </w:rPr>
        <w:t>States</w:t>
      </w:r>
      <w:r>
        <w:rPr>
          <w:sz w:val="18"/>
          <w:szCs w:val="18"/>
        </w:rPr>
        <w:t>,</w:t>
      </w:r>
      <w:r>
        <w:rPr>
          <w:spacing w:val="-10"/>
          <w:sz w:val="18"/>
          <w:szCs w:val="18"/>
        </w:rPr>
        <w:t xml:space="preserve"> </w:t>
      </w:r>
      <w:r>
        <w:rPr>
          <w:sz w:val="18"/>
          <w:szCs w:val="18"/>
        </w:rPr>
        <w:t>Kaiser</w:t>
      </w:r>
      <w:r>
        <w:rPr>
          <w:spacing w:val="-9"/>
          <w:sz w:val="18"/>
          <w:szCs w:val="18"/>
        </w:rPr>
        <w:t xml:space="preserve"> </w:t>
      </w:r>
      <w:r>
        <w:rPr>
          <w:sz w:val="18"/>
          <w:szCs w:val="18"/>
        </w:rPr>
        <w:t>Family</w:t>
      </w:r>
      <w:r>
        <w:rPr>
          <w:spacing w:val="-9"/>
          <w:sz w:val="18"/>
          <w:szCs w:val="18"/>
        </w:rPr>
        <w:t xml:space="preserve"> </w:t>
      </w:r>
      <w:r>
        <w:rPr>
          <w:sz w:val="18"/>
          <w:szCs w:val="18"/>
        </w:rPr>
        <w:t>Foundation</w:t>
      </w:r>
      <w:r>
        <w:rPr>
          <w:spacing w:val="-12"/>
          <w:sz w:val="18"/>
          <w:szCs w:val="18"/>
        </w:rPr>
        <w:t xml:space="preserve"> </w:t>
      </w:r>
      <w:r>
        <w:rPr>
          <w:sz w:val="18"/>
          <w:szCs w:val="18"/>
        </w:rPr>
        <w:t>(April</w:t>
      </w:r>
      <w:r>
        <w:rPr>
          <w:spacing w:val="-9"/>
          <w:sz w:val="18"/>
          <w:szCs w:val="18"/>
        </w:rPr>
        <w:t xml:space="preserve"> </w:t>
      </w:r>
      <w:r>
        <w:rPr>
          <w:sz w:val="18"/>
          <w:szCs w:val="18"/>
        </w:rPr>
        <w:t>2015).</w:t>
      </w:r>
    </w:p>
    <w:p w:rsidR="002C5025" w:rsidRDefault="002C5025">
      <w:pPr>
        <w:pStyle w:val="BodyText"/>
        <w:tabs>
          <w:tab w:val="left" w:pos="698"/>
        </w:tabs>
        <w:kinsoku w:val="0"/>
        <w:overflowPunct w:val="0"/>
        <w:spacing w:before="3" w:line="218" w:lineRule="exact"/>
        <w:ind w:left="120" w:right="198"/>
        <w:rPr>
          <w:color w:val="000000"/>
          <w:spacing w:val="-3"/>
          <w:sz w:val="18"/>
          <w:szCs w:val="18"/>
        </w:rPr>
      </w:pPr>
      <w:r>
        <w:rPr>
          <w:position w:val="9"/>
          <w:sz w:val="12"/>
          <w:szCs w:val="12"/>
        </w:rPr>
        <w:t>6</w:t>
      </w:r>
      <w:r>
        <w:rPr>
          <w:spacing w:val="2"/>
          <w:position w:val="9"/>
          <w:sz w:val="12"/>
          <w:szCs w:val="12"/>
        </w:rPr>
        <w:t xml:space="preserve"> </w:t>
      </w:r>
      <w:r>
        <w:rPr>
          <w:sz w:val="18"/>
          <w:szCs w:val="18"/>
        </w:rPr>
        <w:t>Massachusetts</w:t>
      </w:r>
      <w:r>
        <w:rPr>
          <w:spacing w:val="-12"/>
          <w:sz w:val="18"/>
          <w:szCs w:val="18"/>
        </w:rPr>
        <w:t xml:space="preserve"> </w:t>
      </w:r>
      <w:r>
        <w:rPr>
          <w:sz w:val="18"/>
          <w:szCs w:val="18"/>
        </w:rPr>
        <w:t>Department</w:t>
      </w:r>
      <w:r>
        <w:rPr>
          <w:spacing w:val="-9"/>
          <w:sz w:val="18"/>
          <w:szCs w:val="18"/>
        </w:rPr>
        <w:t xml:space="preserve"> </w:t>
      </w:r>
      <w:r>
        <w:rPr>
          <w:sz w:val="18"/>
          <w:szCs w:val="18"/>
        </w:rPr>
        <w:t>of</w:t>
      </w:r>
      <w:r>
        <w:rPr>
          <w:spacing w:val="-9"/>
          <w:sz w:val="18"/>
          <w:szCs w:val="18"/>
        </w:rPr>
        <w:t xml:space="preserve"> </w:t>
      </w:r>
      <w:r>
        <w:rPr>
          <w:sz w:val="18"/>
          <w:szCs w:val="18"/>
        </w:rPr>
        <w:t>Public</w:t>
      </w:r>
      <w:r>
        <w:rPr>
          <w:spacing w:val="-10"/>
          <w:sz w:val="18"/>
          <w:szCs w:val="18"/>
        </w:rPr>
        <w:t xml:space="preserve"> </w:t>
      </w:r>
      <w:r>
        <w:rPr>
          <w:sz w:val="18"/>
          <w:szCs w:val="18"/>
        </w:rPr>
        <w:t>Health,</w:t>
      </w:r>
      <w:r>
        <w:rPr>
          <w:spacing w:val="-6"/>
          <w:sz w:val="18"/>
          <w:szCs w:val="18"/>
        </w:rPr>
        <w:t xml:space="preserve"> </w:t>
      </w:r>
      <w:r>
        <w:rPr>
          <w:sz w:val="18"/>
          <w:szCs w:val="18"/>
        </w:rPr>
        <w:t>“Achieving</w:t>
      </w:r>
      <w:r>
        <w:rPr>
          <w:spacing w:val="-10"/>
          <w:sz w:val="18"/>
          <w:szCs w:val="18"/>
        </w:rPr>
        <w:t xml:space="preserve"> </w:t>
      </w:r>
      <w:r>
        <w:rPr>
          <w:sz w:val="18"/>
          <w:szCs w:val="18"/>
        </w:rPr>
        <w:t>the</w:t>
      </w:r>
      <w:r>
        <w:rPr>
          <w:spacing w:val="-10"/>
          <w:sz w:val="18"/>
          <w:szCs w:val="18"/>
        </w:rPr>
        <w:t xml:space="preserve"> </w:t>
      </w:r>
      <w:r>
        <w:rPr>
          <w:sz w:val="18"/>
          <w:szCs w:val="18"/>
        </w:rPr>
        <w:t>Triple</w:t>
      </w:r>
      <w:r>
        <w:rPr>
          <w:spacing w:val="-10"/>
          <w:sz w:val="18"/>
          <w:szCs w:val="18"/>
        </w:rPr>
        <w:t xml:space="preserve"> </w:t>
      </w:r>
      <w:r>
        <w:rPr>
          <w:sz w:val="18"/>
          <w:szCs w:val="18"/>
        </w:rPr>
        <w:t>Aim:</w:t>
      </w:r>
      <w:r>
        <w:rPr>
          <w:spacing w:val="-9"/>
          <w:sz w:val="18"/>
          <w:szCs w:val="18"/>
        </w:rPr>
        <w:t xml:space="preserve"> </w:t>
      </w:r>
      <w:r>
        <w:rPr>
          <w:sz w:val="18"/>
          <w:szCs w:val="18"/>
        </w:rPr>
        <w:t>Success</w:t>
      </w:r>
      <w:r>
        <w:rPr>
          <w:spacing w:val="-12"/>
          <w:sz w:val="18"/>
          <w:szCs w:val="18"/>
        </w:rPr>
        <w:t xml:space="preserve"> </w:t>
      </w:r>
      <w:r>
        <w:rPr>
          <w:sz w:val="18"/>
          <w:szCs w:val="18"/>
        </w:rPr>
        <w:t>with</w:t>
      </w:r>
      <w:r>
        <w:rPr>
          <w:spacing w:val="-10"/>
          <w:sz w:val="18"/>
          <w:szCs w:val="18"/>
        </w:rPr>
        <w:t xml:space="preserve"> </w:t>
      </w:r>
      <w:r>
        <w:rPr>
          <w:sz w:val="18"/>
          <w:szCs w:val="18"/>
        </w:rPr>
        <w:t>Community</w:t>
      </w:r>
      <w:r>
        <w:rPr>
          <w:spacing w:val="-6"/>
          <w:sz w:val="18"/>
          <w:szCs w:val="18"/>
        </w:rPr>
        <w:t xml:space="preserve"> </w:t>
      </w:r>
      <w:r>
        <w:rPr>
          <w:sz w:val="18"/>
          <w:szCs w:val="18"/>
        </w:rPr>
        <w:t>Health</w:t>
      </w:r>
      <w:r>
        <w:rPr>
          <w:spacing w:val="-12"/>
          <w:sz w:val="18"/>
          <w:szCs w:val="18"/>
        </w:rPr>
        <w:t xml:space="preserve"> </w:t>
      </w:r>
      <w:r>
        <w:rPr>
          <w:sz w:val="18"/>
          <w:szCs w:val="18"/>
        </w:rPr>
        <w:t>Workers,”</w:t>
      </w:r>
      <w:r>
        <w:rPr>
          <w:spacing w:val="-10"/>
          <w:sz w:val="18"/>
          <w:szCs w:val="18"/>
        </w:rPr>
        <w:t xml:space="preserve"> </w:t>
      </w:r>
      <w:r>
        <w:rPr>
          <w:sz w:val="18"/>
          <w:szCs w:val="18"/>
        </w:rPr>
        <w:t>May</w:t>
      </w:r>
      <w:r>
        <w:rPr>
          <w:spacing w:val="-6"/>
          <w:sz w:val="18"/>
          <w:szCs w:val="18"/>
        </w:rPr>
        <w:t xml:space="preserve"> </w:t>
      </w:r>
      <w:r>
        <w:rPr>
          <w:sz w:val="18"/>
          <w:szCs w:val="18"/>
        </w:rPr>
        <w:t>2015.</w:t>
      </w:r>
      <w:r>
        <w:rPr>
          <w:spacing w:val="-5"/>
          <w:sz w:val="18"/>
          <w:szCs w:val="18"/>
        </w:rPr>
        <w:t xml:space="preserve"> </w:t>
      </w:r>
      <w:r>
        <w:rPr>
          <w:sz w:val="18"/>
          <w:szCs w:val="18"/>
        </w:rPr>
        <w:t>Available at:</w:t>
      </w:r>
      <w:r>
        <w:rPr>
          <w:sz w:val="18"/>
          <w:szCs w:val="18"/>
        </w:rPr>
        <w:tab/>
      </w:r>
      <w:hyperlink r:id="rId67" w:history="1">
        <w:r>
          <w:rPr>
            <w:color w:val="0000FF"/>
            <w:spacing w:val="-3"/>
            <w:sz w:val="18"/>
            <w:szCs w:val="18"/>
            <w:u w:val="single"/>
          </w:rPr>
          <w:t>http://www.mass.gov/eohhs/docs/dph/com-health/com-health-workers/achieving-the-triple-aim.pdf</w:t>
        </w:r>
        <w:r>
          <w:rPr>
            <w:color w:val="000000"/>
            <w:spacing w:val="-3"/>
            <w:sz w:val="18"/>
            <w:szCs w:val="18"/>
          </w:rPr>
          <w:t>.</w:t>
        </w:r>
      </w:hyperlink>
    </w:p>
    <w:p w:rsidR="002C5025" w:rsidRDefault="002C5025">
      <w:pPr>
        <w:pStyle w:val="BodyText"/>
        <w:kinsoku w:val="0"/>
        <w:overflowPunct w:val="0"/>
        <w:spacing w:before="10"/>
        <w:rPr>
          <w:sz w:val="17"/>
          <w:szCs w:val="17"/>
        </w:rPr>
      </w:pPr>
    </w:p>
    <w:p w:rsidR="002C5025" w:rsidRDefault="002C5025">
      <w:pPr>
        <w:pStyle w:val="BodyText"/>
        <w:kinsoku w:val="0"/>
        <w:overflowPunct w:val="0"/>
        <w:spacing w:before="64"/>
        <w:ind w:left="124"/>
        <w:jc w:val="center"/>
        <w:rPr>
          <w:sz w:val="18"/>
          <w:szCs w:val="18"/>
        </w:rPr>
      </w:pPr>
      <w:r>
        <w:rPr>
          <w:sz w:val="18"/>
          <w:szCs w:val="18"/>
        </w:rPr>
        <w:t>6</w:t>
      </w:r>
    </w:p>
    <w:p w:rsidR="002C5025" w:rsidRDefault="002C5025">
      <w:pPr>
        <w:pStyle w:val="BodyText"/>
        <w:kinsoku w:val="0"/>
        <w:overflowPunct w:val="0"/>
        <w:spacing w:before="64"/>
        <w:ind w:left="124"/>
        <w:jc w:val="center"/>
        <w:rPr>
          <w:sz w:val="18"/>
          <w:szCs w:val="18"/>
        </w:rPr>
        <w:sectPr w:rsidR="002C5025">
          <w:pgSz w:w="12240" w:h="15840"/>
          <w:pgMar w:top="1300" w:right="1080" w:bottom="280" w:left="960" w:header="720" w:footer="720" w:gutter="0"/>
          <w:cols w:space="720" w:equalWidth="0">
            <w:col w:w="10200"/>
          </w:cols>
          <w:noEndnote/>
        </w:sectPr>
      </w:pPr>
    </w:p>
    <w:p w:rsidR="002C5025" w:rsidRDefault="002C5025">
      <w:pPr>
        <w:pStyle w:val="BodyText"/>
        <w:kinsoku w:val="0"/>
        <w:overflowPunct w:val="0"/>
        <w:spacing w:before="34"/>
        <w:ind w:left="118" w:right="73" w:firstLine="1"/>
      </w:pPr>
      <w:r>
        <w:lastRenderedPageBreak/>
        <w:t xml:space="preserve">health outcomes by improving </w:t>
      </w:r>
      <w:r>
        <w:rPr>
          <w:spacing w:val="-3"/>
        </w:rPr>
        <w:t xml:space="preserve">use </w:t>
      </w:r>
      <w:r>
        <w:t>of preventive services and offering chronic disease self-management support and maternal-child home visiting and perinatal support.</w:t>
      </w:r>
    </w:p>
    <w:p w:rsidR="002C5025" w:rsidRDefault="002C5025">
      <w:pPr>
        <w:pStyle w:val="BodyText"/>
        <w:kinsoku w:val="0"/>
        <w:overflowPunct w:val="0"/>
      </w:pPr>
    </w:p>
    <w:p w:rsidR="002C5025" w:rsidRDefault="002C5025">
      <w:pPr>
        <w:pStyle w:val="BodyText"/>
        <w:kinsoku w:val="0"/>
        <w:overflowPunct w:val="0"/>
        <w:ind w:left="118" w:right="130"/>
        <w:jc w:val="both"/>
      </w:pPr>
      <w:r>
        <w:t>While ACOs will have flexibility in how to structure care teams, including CHWs, we recommend that the role of CHWs be more formally incorporated into the ACO models. MassHealth should require that ACOs demonstrate how they will integrate CHWs into multi-disciplinary teams for high risk/high need members.</w:t>
      </w:r>
    </w:p>
    <w:p w:rsidR="002C5025" w:rsidRDefault="002C5025">
      <w:pPr>
        <w:pStyle w:val="BodyText"/>
        <w:kinsoku w:val="0"/>
        <w:overflowPunct w:val="0"/>
      </w:pPr>
    </w:p>
    <w:p w:rsidR="002C5025" w:rsidRDefault="002C5025">
      <w:pPr>
        <w:pStyle w:val="BodyText"/>
        <w:kinsoku w:val="0"/>
        <w:overflowPunct w:val="0"/>
        <w:ind w:left="120" w:right="200"/>
        <w:rPr>
          <w:b/>
          <w:bCs/>
        </w:rPr>
      </w:pPr>
      <w:r>
        <w:rPr>
          <w:b/>
          <w:bCs/>
          <w:u w:val="single"/>
        </w:rPr>
        <w:t>Quality and Outcome Metrics</w:t>
      </w:r>
    </w:p>
    <w:p w:rsidR="002C5025" w:rsidRDefault="002C5025">
      <w:pPr>
        <w:pStyle w:val="BodyText"/>
        <w:kinsoku w:val="0"/>
        <w:overflowPunct w:val="0"/>
        <w:ind w:left="120" w:right="200" w:hanging="1"/>
      </w:pPr>
      <w:r>
        <w:t>In</w:t>
      </w:r>
      <w:r>
        <w:rPr>
          <w:spacing w:val="-6"/>
        </w:rPr>
        <w:t xml:space="preserve"> </w:t>
      </w:r>
      <w:r>
        <w:t>order</w:t>
      </w:r>
      <w:r>
        <w:rPr>
          <w:spacing w:val="-10"/>
        </w:rPr>
        <w:t xml:space="preserve"> </w:t>
      </w:r>
      <w:r>
        <w:t>to</w:t>
      </w:r>
      <w:r>
        <w:rPr>
          <w:spacing w:val="-8"/>
        </w:rPr>
        <w:t xml:space="preserve"> </w:t>
      </w:r>
      <w:r>
        <w:t>assess</w:t>
      </w:r>
      <w:r>
        <w:rPr>
          <w:spacing w:val="-7"/>
        </w:rPr>
        <w:t xml:space="preserve"> </w:t>
      </w:r>
      <w:r>
        <w:t>the</w:t>
      </w:r>
      <w:r>
        <w:rPr>
          <w:spacing w:val="-7"/>
        </w:rPr>
        <w:t xml:space="preserve"> </w:t>
      </w:r>
      <w:r>
        <w:t>progress</w:t>
      </w:r>
      <w:r>
        <w:rPr>
          <w:spacing w:val="-9"/>
        </w:rPr>
        <w:t xml:space="preserve"> </w:t>
      </w:r>
      <w:r>
        <w:t>of</w:t>
      </w:r>
      <w:r>
        <w:rPr>
          <w:spacing w:val="-7"/>
        </w:rPr>
        <w:t xml:space="preserve"> </w:t>
      </w:r>
      <w:r>
        <w:t>the</w:t>
      </w:r>
      <w:r>
        <w:rPr>
          <w:spacing w:val="-9"/>
        </w:rPr>
        <w:t xml:space="preserve"> </w:t>
      </w:r>
      <w:r>
        <w:t>DSRIP</w:t>
      </w:r>
      <w:r>
        <w:rPr>
          <w:spacing w:val="-5"/>
        </w:rPr>
        <w:t xml:space="preserve"> </w:t>
      </w:r>
      <w:r>
        <w:t>program</w:t>
      </w:r>
      <w:r>
        <w:rPr>
          <w:spacing w:val="-8"/>
        </w:rPr>
        <w:t xml:space="preserve"> </w:t>
      </w:r>
      <w:r>
        <w:t>and</w:t>
      </w:r>
      <w:r>
        <w:rPr>
          <w:spacing w:val="-6"/>
        </w:rPr>
        <w:t xml:space="preserve"> </w:t>
      </w:r>
      <w:r>
        <w:t>ACO</w:t>
      </w:r>
      <w:r>
        <w:rPr>
          <w:spacing w:val="-7"/>
        </w:rPr>
        <w:t xml:space="preserve"> </w:t>
      </w:r>
      <w:r>
        <w:t>models,</w:t>
      </w:r>
      <w:r>
        <w:rPr>
          <w:spacing w:val="-10"/>
        </w:rPr>
        <w:t xml:space="preserve"> </w:t>
      </w:r>
      <w:r>
        <w:t>it</w:t>
      </w:r>
      <w:r>
        <w:rPr>
          <w:spacing w:val="-5"/>
        </w:rPr>
        <w:t xml:space="preserve"> </w:t>
      </w:r>
      <w:r>
        <w:t>is</w:t>
      </w:r>
      <w:r>
        <w:rPr>
          <w:spacing w:val="-12"/>
        </w:rPr>
        <w:t xml:space="preserve"> </w:t>
      </w:r>
      <w:r>
        <w:t>essential</w:t>
      </w:r>
      <w:r>
        <w:rPr>
          <w:spacing w:val="-7"/>
        </w:rPr>
        <w:t xml:space="preserve"> </w:t>
      </w:r>
      <w:r>
        <w:t>to</w:t>
      </w:r>
      <w:r>
        <w:rPr>
          <w:spacing w:val="-6"/>
        </w:rPr>
        <w:t xml:space="preserve"> </w:t>
      </w:r>
      <w:r>
        <w:t>establish</w:t>
      </w:r>
      <w:r>
        <w:rPr>
          <w:spacing w:val="-10"/>
        </w:rPr>
        <w:t xml:space="preserve"> </w:t>
      </w:r>
      <w:r>
        <w:t>specific</w:t>
      </w:r>
      <w:r>
        <w:rPr>
          <w:spacing w:val="-5"/>
        </w:rPr>
        <w:t xml:space="preserve"> </w:t>
      </w:r>
      <w:r>
        <w:t>quality metrics</w:t>
      </w:r>
      <w:r>
        <w:rPr>
          <w:spacing w:val="-10"/>
        </w:rPr>
        <w:t xml:space="preserve"> </w:t>
      </w:r>
      <w:r>
        <w:t>and</w:t>
      </w:r>
      <w:r>
        <w:rPr>
          <w:spacing w:val="-14"/>
        </w:rPr>
        <w:t xml:space="preserve"> </w:t>
      </w:r>
      <w:r>
        <w:t>outcome</w:t>
      </w:r>
      <w:r>
        <w:rPr>
          <w:spacing w:val="-11"/>
        </w:rPr>
        <w:t xml:space="preserve"> </w:t>
      </w:r>
      <w:r>
        <w:t>goals.</w:t>
      </w:r>
      <w:r>
        <w:rPr>
          <w:spacing w:val="-12"/>
        </w:rPr>
        <w:t xml:space="preserve"> </w:t>
      </w:r>
      <w:r>
        <w:t>We</w:t>
      </w:r>
      <w:r>
        <w:rPr>
          <w:spacing w:val="-11"/>
        </w:rPr>
        <w:t xml:space="preserve"> </w:t>
      </w:r>
      <w:r>
        <w:t>support</w:t>
      </w:r>
      <w:r>
        <w:rPr>
          <w:spacing w:val="-13"/>
        </w:rPr>
        <w:t xml:space="preserve"> </w:t>
      </w:r>
      <w:r>
        <w:t>MassHealth’s</w:t>
      </w:r>
      <w:r>
        <w:rPr>
          <w:spacing w:val="-13"/>
        </w:rPr>
        <w:t xml:space="preserve"> </w:t>
      </w:r>
      <w:r>
        <w:t>priority</w:t>
      </w:r>
      <w:r>
        <w:rPr>
          <w:spacing w:val="-9"/>
        </w:rPr>
        <w:t xml:space="preserve"> </w:t>
      </w:r>
      <w:r>
        <w:t>domains</w:t>
      </w:r>
      <w:r>
        <w:rPr>
          <w:spacing w:val="-11"/>
        </w:rPr>
        <w:t xml:space="preserve"> </w:t>
      </w:r>
      <w:r>
        <w:t>for</w:t>
      </w:r>
      <w:r>
        <w:rPr>
          <w:spacing w:val="-11"/>
        </w:rPr>
        <w:t xml:space="preserve"> </w:t>
      </w:r>
      <w:r>
        <w:t>quality</w:t>
      </w:r>
      <w:r>
        <w:rPr>
          <w:spacing w:val="-13"/>
        </w:rPr>
        <w:t xml:space="preserve"> </w:t>
      </w:r>
      <w:r>
        <w:t>measurement:</w:t>
      </w:r>
    </w:p>
    <w:p w:rsidR="002C5025" w:rsidRDefault="002C5025">
      <w:pPr>
        <w:pStyle w:val="ListParagraph"/>
        <w:numPr>
          <w:ilvl w:val="0"/>
          <w:numId w:val="96"/>
        </w:numPr>
        <w:tabs>
          <w:tab w:val="left" w:pos="841"/>
        </w:tabs>
        <w:kinsoku w:val="0"/>
        <w:overflowPunct w:val="0"/>
        <w:spacing w:line="279" w:lineRule="exact"/>
        <w:ind w:left="840" w:hanging="360"/>
        <w:rPr>
          <w:rFonts w:ascii="Calibri" w:hAnsi="Calibri" w:cs="Calibri"/>
          <w:sz w:val="22"/>
          <w:szCs w:val="22"/>
        </w:rPr>
      </w:pPr>
      <w:r>
        <w:rPr>
          <w:rFonts w:ascii="Calibri" w:hAnsi="Calibri" w:cs="Calibri"/>
          <w:sz w:val="22"/>
          <w:szCs w:val="22"/>
        </w:rPr>
        <w:t>Prevention</w:t>
      </w:r>
      <w:r>
        <w:rPr>
          <w:rFonts w:ascii="Calibri" w:hAnsi="Calibri" w:cs="Calibri"/>
          <w:spacing w:val="-14"/>
          <w:sz w:val="22"/>
          <w:szCs w:val="22"/>
        </w:rPr>
        <w:t xml:space="preserve"> </w:t>
      </w:r>
      <w:r>
        <w:rPr>
          <w:rFonts w:ascii="Calibri" w:hAnsi="Calibri" w:cs="Calibri"/>
          <w:sz w:val="22"/>
          <w:szCs w:val="22"/>
        </w:rPr>
        <w:t>and</w:t>
      </w:r>
      <w:r>
        <w:rPr>
          <w:rFonts w:ascii="Calibri" w:hAnsi="Calibri" w:cs="Calibri"/>
          <w:spacing w:val="-14"/>
          <w:sz w:val="22"/>
          <w:szCs w:val="22"/>
        </w:rPr>
        <w:t xml:space="preserve"> </w:t>
      </w:r>
      <w:r>
        <w:rPr>
          <w:rFonts w:ascii="Calibri" w:hAnsi="Calibri" w:cs="Calibri"/>
          <w:sz w:val="22"/>
          <w:szCs w:val="22"/>
        </w:rPr>
        <w:t>Wellness</w:t>
      </w:r>
      <w:r>
        <w:rPr>
          <w:rFonts w:ascii="Calibri" w:hAnsi="Calibri" w:cs="Calibri"/>
          <w:spacing w:val="-15"/>
          <w:sz w:val="22"/>
          <w:szCs w:val="22"/>
        </w:rPr>
        <w:t xml:space="preserve"> </w:t>
      </w:r>
      <w:r>
        <w:rPr>
          <w:rFonts w:ascii="Calibri" w:hAnsi="Calibri" w:cs="Calibri"/>
          <w:sz w:val="22"/>
          <w:szCs w:val="22"/>
        </w:rPr>
        <w:t>(including</w:t>
      </w:r>
      <w:r>
        <w:rPr>
          <w:rFonts w:ascii="Calibri" w:hAnsi="Calibri" w:cs="Calibri"/>
          <w:spacing w:val="-14"/>
          <w:sz w:val="22"/>
          <w:szCs w:val="22"/>
        </w:rPr>
        <w:t xml:space="preserve"> </w:t>
      </w:r>
      <w:r>
        <w:rPr>
          <w:rFonts w:ascii="Calibri" w:hAnsi="Calibri" w:cs="Calibri"/>
          <w:sz w:val="22"/>
          <w:szCs w:val="22"/>
        </w:rPr>
        <w:t>sub-populations</w:t>
      </w:r>
      <w:r>
        <w:rPr>
          <w:rFonts w:ascii="Calibri" w:hAnsi="Calibri" w:cs="Calibri"/>
          <w:spacing w:val="-13"/>
          <w:sz w:val="22"/>
          <w:szCs w:val="22"/>
        </w:rPr>
        <w:t xml:space="preserve"> </w:t>
      </w:r>
      <w:r>
        <w:rPr>
          <w:rFonts w:ascii="Calibri" w:hAnsi="Calibri" w:cs="Calibri"/>
          <w:sz w:val="22"/>
          <w:szCs w:val="22"/>
        </w:rPr>
        <w:t>such</w:t>
      </w:r>
      <w:r>
        <w:rPr>
          <w:rFonts w:ascii="Calibri" w:hAnsi="Calibri" w:cs="Calibri"/>
          <w:spacing w:val="-14"/>
          <w:sz w:val="22"/>
          <w:szCs w:val="22"/>
        </w:rPr>
        <w:t xml:space="preserve"> </w:t>
      </w:r>
      <w:r>
        <w:rPr>
          <w:rFonts w:ascii="Calibri" w:hAnsi="Calibri" w:cs="Calibri"/>
          <w:sz w:val="22"/>
          <w:szCs w:val="22"/>
        </w:rPr>
        <w:t>as</w:t>
      </w:r>
      <w:r>
        <w:rPr>
          <w:rFonts w:ascii="Calibri" w:hAnsi="Calibri" w:cs="Calibri"/>
          <w:spacing w:val="-12"/>
          <w:sz w:val="22"/>
          <w:szCs w:val="22"/>
        </w:rPr>
        <w:t xml:space="preserve"> </w:t>
      </w:r>
      <w:r>
        <w:rPr>
          <w:rFonts w:ascii="Calibri" w:hAnsi="Calibri" w:cs="Calibri"/>
          <w:sz w:val="22"/>
          <w:szCs w:val="22"/>
        </w:rPr>
        <w:t>pediatrics,</w:t>
      </w:r>
      <w:r>
        <w:rPr>
          <w:rFonts w:ascii="Calibri" w:hAnsi="Calibri" w:cs="Calibri"/>
          <w:spacing w:val="-13"/>
          <w:sz w:val="22"/>
          <w:szCs w:val="22"/>
        </w:rPr>
        <w:t xml:space="preserve"> </w:t>
      </w:r>
      <w:r>
        <w:rPr>
          <w:rFonts w:ascii="Calibri" w:hAnsi="Calibri" w:cs="Calibri"/>
          <w:sz w:val="22"/>
          <w:szCs w:val="22"/>
        </w:rPr>
        <w:t>adolescents,</w:t>
      </w:r>
      <w:r>
        <w:rPr>
          <w:rFonts w:ascii="Calibri" w:hAnsi="Calibri" w:cs="Calibri"/>
          <w:spacing w:val="-13"/>
          <w:sz w:val="22"/>
          <w:szCs w:val="22"/>
        </w:rPr>
        <w:t xml:space="preserve"> </w:t>
      </w:r>
      <w:r>
        <w:rPr>
          <w:rFonts w:ascii="Calibri" w:hAnsi="Calibri" w:cs="Calibri"/>
          <w:sz w:val="22"/>
          <w:szCs w:val="22"/>
        </w:rPr>
        <w:t>oral,</w:t>
      </w:r>
      <w:r>
        <w:rPr>
          <w:rFonts w:ascii="Calibri" w:hAnsi="Calibri" w:cs="Calibri"/>
          <w:spacing w:val="-15"/>
          <w:sz w:val="22"/>
          <w:szCs w:val="22"/>
        </w:rPr>
        <w:t xml:space="preserve"> </w:t>
      </w:r>
      <w:r>
        <w:rPr>
          <w:rFonts w:ascii="Calibri" w:hAnsi="Calibri" w:cs="Calibri"/>
          <w:sz w:val="22"/>
          <w:szCs w:val="22"/>
        </w:rPr>
        <w:t>maternity);</w:t>
      </w:r>
    </w:p>
    <w:p w:rsidR="002C5025" w:rsidRDefault="002C5025">
      <w:pPr>
        <w:pStyle w:val="ListParagraph"/>
        <w:numPr>
          <w:ilvl w:val="0"/>
          <w:numId w:val="96"/>
        </w:numPr>
        <w:tabs>
          <w:tab w:val="left" w:pos="841"/>
        </w:tabs>
        <w:kinsoku w:val="0"/>
        <w:overflowPunct w:val="0"/>
        <w:spacing w:line="279" w:lineRule="exact"/>
        <w:ind w:left="840" w:hanging="360"/>
        <w:rPr>
          <w:rFonts w:ascii="Calibri" w:hAnsi="Calibri" w:cs="Calibri"/>
          <w:sz w:val="22"/>
          <w:szCs w:val="22"/>
        </w:rPr>
      </w:pPr>
      <w:r>
        <w:rPr>
          <w:rFonts w:ascii="Calibri" w:hAnsi="Calibri" w:cs="Calibri"/>
          <w:sz w:val="22"/>
          <w:szCs w:val="22"/>
        </w:rPr>
        <w:t>Reduction of Avoidable</w:t>
      </w:r>
      <w:r>
        <w:rPr>
          <w:rFonts w:ascii="Calibri" w:hAnsi="Calibri" w:cs="Calibri"/>
          <w:spacing w:val="-34"/>
          <w:sz w:val="22"/>
          <w:szCs w:val="22"/>
        </w:rPr>
        <w:t xml:space="preserve"> </w:t>
      </w:r>
      <w:r>
        <w:rPr>
          <w:rFonts w:ascii="Calibri" w:hAnsi="Calibri" w:cs="Calibri"/>
          <w:sz w:val="22"/>
          <w:szCs w:val="22"/>
        </w:rPr>
        <w:t>Utilization;</w:t>
      </w:r>
    </w:p>
    <w:p w:rsidR="002C5025" w:rsidRDefault="002C5025">
      <w:pPr>
        <w:pStyle w:val="ListParagraph"/>
        <w:numPr>
          <w:ilvl w:val="0"/>
          <w:numId w:val="96"/>
        </w:numPr>
        <w:tabs>
          <w:tab w:val="left" w:pos="841"/>
        </w:tabs>
        <w:kinsoku w:val="0"/>
        <w:overflowPunct w:val="0"/>
        <w:spacing w:before="5" w:line="279" w:lineRule="exact"/>
        <w:ind w:left="840" w:hanging="360"/>
        <w:rPr>
          <w:rFonts w:ascii="Calibri" w:hAnsi="Calibri" w:cs="Calibri"/>
          <w:spacing w:val="-3"/>
          <w:sz w:val="22"/>
          <w:szCs w:val="22"/>
        </w:rPr>
      </w:pPr>
      <w:r>
        <w:rPr>
          <w:rFonts w:ascii="Calibri" w:hAnsi="Calibri" w:cs="Calibri"/>
          <w:sz w:val="22"/>
          <w:szCs w:val="22"/>
        </w:rPr>
        <w:t>Behavioral Health/Substance Use</w:t>
      </w:r>
      <w:r>
        <w:rPr>
          <w:rFonts w:ascii="Calibri" w:hAnsi="Calibri" w:cs="Calibri"/>
          <w:spacing w:val="-31"/>
          <w:sz w:val="22"/>
          <w:szCs w:val="22"/>
        </w:rPr>
        <w:t xml:space="preserve"> </w:t>
      </w:r>
      <w:r>
        <w:rPr>
          <w:rFonts w:ascii="Calibri" w:hAnsi="Calibri" w:cs="Calibri"/>
          <w:spacing w:val="-3"/>
          <w:sz w:val="22"/>
          <w:szCs w:val="22"/>
        </w:rPr>
        <w:t>Disorders;</w:t>
      </w:r>
    </w:p>
    <w:p w:rsidR="002C5025" w:rsidRDefault="002C5025">
      <w:pPr>
        <w:pStyle w:val="ListParagraph"/>
        <w:numPr>
          <w:ilvl w:val="0"/>
          <w:numId w:val="96"/>
        </w:numPr>
        <w:tabs>
          <w:tab w:val="left" w:pos="841"/>
        </w:tabs>
        <w:kinsoku w:val="0"/>
        <w:overflowPunct w:val="0"/>
        <w:spacing w:line="277" w:lineRule="exact"/>
        <w:ind w:left="840" w:hanging="360"/>
        <w:rPr>
          <w:rFonts w:ascii="Calibri" w:hAnsi="Calibri" w:cs="Calibri"/>
          <w:sz w:val="22"/>
          <w:szCs w:val="22"/>
        </w:rPr>
      </w:pPr>
      <w:r>
        <w:rPr>
          <w:rFonts w:ascii="Calibri" w:hAnsi="Calibri" w:cs="Calibri"/>
          <w:sz w:val="22"/>
          <w:szCs w:val="22"/>
        </w:rPr>
        <w:t>Long-Term</w:t>
      </w:r>
      <w:r>
        <w:rPr>
          <w:rFonts w:ascii="Calibri" w:hAnsi="Calibri" w:cs="Calibri"/>
          <w:spacing w:val="-10"/>
          <w:sz w:val="22"/>
          <w:szCs w:val="22"/>
        </w:rPr>
        <w:t xml:space="preserve"> </w:t>
      </w:r>
      <w:r>
        <w:rPr>
          <w:rFonts w:ascii="Calibri" w:hAnsi="Calibri" w:cs="Calibri"/>
          <w:sz w:val="22"/>
          <w:szCs w:val="22"/>
        </w:rPr>
        <w:t>Services</w:t>
      </w:r>
      <w:r>
        <w:rPr>
          <w:rFonts w:ascii="Calibri" w:hAnsi="Calibri" w:cs="Calibri"/>
          <w:spacing w:val="-13"/>
          <w:sz w:val="22"/>
          <w:szCs w:val="22"/>
        </w:rPr>
        <w:t xml:space="preserve"> </w:t>
      </w:r>
      <w:r>
        <w:rPr>
          <w:rFonts w:ascii="Calibri" w:hAnsi="Calibri" w:cs="Calibri"/>
          <w:sz w:val="22"/>
          <w:szCs w:val="22"/>
        </w:rPr>
        <w:t>and</w:t>
      </w:r>
      <w:r>
        <w:rPr>
          <w:rFonts w:ascii="Calibri" w:hAnsi="Calibri" w:cs="Calibri"/>
          <w:spacing w:val="-12"/>
          <w:sz w:val="22"/>
          <w:szCs w:val="22"/>
        </w:rPr>
        <w:t xml:space="preserve"> </w:t>
      </w:r>
      <w:r>
        <w:rPr>
          <w:rFonts w:ascii="Calibri" w:hAnsi="Calibri" w:cs="Calibri"/>
          <w:sz w:val="22"/>
          <w:szCs w:val="22"/>
        </w:rPr>
        <w:t>Supports;</w:t>
      </w:r>
      <w:r>
        <w:rPr>
          <w:rFonts w:ascii="Calibri" w:hAnsi="Calibri" w:cs="Calibri"/>
          <w:spacing w:val="-10"/>
          <w:sz w:val="22"/>
          <w:szCs w:val="22"/>
        </w:rPr>
        <w:t xml:space="preserve"> </w:t>
      </w:r>
      <w:r>
        <w:rPr>
          <w:rFonts w:ascii="Calibri" w:hAnsi="Calibri" w:cs="Calibri"/>
          <w:sz w:val="22"/>
          <w:szCs w:val="22"/>
        </w:rPr>
        <w:t>and</w:t>
      </w:r>
    </w:p>
    <w:p w:rsidR="002C5025" w:rsidRDefault="002C5025">
      <w:pPr>
        <w:pStyle w:val="ListParagraph"/>
        <w:numPr>
          <w:ilvl w:val="0"/>
          <w:numId w:val="96"/>
        </w:numPr>
        <w:tabs>
          <w:tab w:val="left" w:pos="841"/>
        </w:tabs>
        <w:kinsoku w:val="0"/>
        <w:overflowPunct w:val="0"/>
        <w:spacing w:line="278" w:lineRule="exact"/>
        <w:ind w:left="840" w:hanging="360"/>
        <w:rPr>
          <w:rFonts w:ascii="Calibri" w:hAnsi="Calibri" w:cs="Calibri"/>
          <w:sz w:val="22"/>
          <w:szCs w:val="22"/>
        </w:rPr>
      </w:pPr>
      <w:r>
        <w:rPr>
          <w:rFonts w:ascii="Calibri" w:hAnsi="Calibri" w:cs="Calibri"/>
          <w:sz w:val="22"/>
          <w:szCs w:val="22"/>
        </w:rPr>
        <w:t>Member</w:t>
      </w:r>
      <w:r>
        <w:rPr>
          <w:rFonts w:ascii="Calibri" w:hAnsi="Calibri" w:cs="Calibri"/>
          <w:spacing w:val="-25"/>
          <w:sz w:val="22"/>
          <w:szCs w:val="22"/>
        </w:rPr>
        <w:t xml:space="preserve"> </w:t>
      </w:r>
      <w:r>
        <w:rPr>
          <w:rFonts w:ascii="Calibri" w:hAnsi="Calibri" w:cs="Calibri"/>
          <w:sz w:val="22"/>
          <w:szCs w:val="22"/>
        </w:rPr>
        <w:t>Experience.</w:t>
      </w:r>
    </w:p>
    <w:p w:rsidR="002C5025" w:rsidRDefault="002C5025">
      <w:pPr>
        <w:pStyle w:val="BodyText"/>
        <w:kinsoku w:val="0"/>
        <w:overflowPunct w:val="0"/>
      </w:pPr>
    </w:p>
    <w:p w:rsidR="002C5025" w:rsidRDefault="002C5025">
      <w:pPr>
        <w:pStyle w:val="BodyText"/>
        <w:kinsoku w:val="0"/>
        <w:overflowPunct w:val="0"/>
        <w:ind w:left="120" w:right="200"/>
      </w:pPr>
      <w:r>
        <w:t>We seek clarification of MassHealth’s goals related to these quality metrics. We recommend that MassHealth:</w:t>
      </w:r>
    </w:p>
    <w:p w:rsidR="002C5025" w:rsidRDefault="002C5025">
      <w:pPr>
        <w:pStyle w:val="ListParagraph"/>
        <w:numPr>
          <w:ilvl w:val="0"/>
          <w:numId w:val="96"/>
        </w:numPr>
        <w:tabs>
          <w:tab w:val="left" w:pos="841"/>
        </w:tabs>
        <w:kinsoku w:val="0"/>
        <w:overflowPunct w:val="0"/>
        <w:spacing w:before="13" w:line="264" w:lineRule="exact"/>
        <w:ind w:left="840" w:right="208" w:hanging="360"/>
        <w:rPr>
          <w:rFonts w:ascii="Calibri" w:hAnsi="Calibri" w:cs="Calibri"/>
          <w:sz w:val="22"/>
          <w:szCs w:val="22"/>
        </w:rPr>
      </w:pPr>
      <w:r>
        <w:rPr>
          <w:rFonts w:ascii="Calibri" w:hAnsi="Calibri" w:cs="Calibri"/>
          <w:sz w:val="22"/>
          <w:szCs w:val="22"/>
        </w:rPr>
        <w:t>include</w:t>
      </w:r>
      <w:r>
        <w:rPr>
          <w:rFonts w:ascii="Calibri" w:hAnsi="Calibri" w:cs="Calibri"/>
          <w:spacing w:val="-6"/>
          <w:sz w:val="22"/>
          <w:szCs w:val="22"/>
        </w:rPr>
        <w:t xml:space="preserve"> </w:t>
      </w:r>
      <w:r>
        <w:rPr>
          <w:rFonts w:ascii="Calibri" w:hAnsi="Calibri" w:cs="Calibri"/>
          <w:sz w:val="22"/>
          <w:szCs w:val="22"/>
        </w:rPr>
        <w:t>a</w:t>
      </w:r>
      <w:r>
        <w:rPr>
          <w:rFonts w:ascii="Calibri" w:hAnsi="Calibri" w:cs="Calibri"/>
          <w:spacing w:val="-11"/>
          <w:sz w:val="22"/>
          <w:szCs w:val="22"/>
        </w:rPr>
        <w:t xml:space="preserve"> </w:t>
      </w:r>
      <w:r>
        <w:rPr>
          <w:rFonts w:ascii="Calibri" w:hAnsi="Calibri" w:cs="Calibri"/>
          <w:sz w:val="22"/>
          <w:szCs w:val="22"/>
        </w:rPr>
        <w:t>measure</w:t>
      </w:r>
      <w:r>
        <w:rPr>
          <w:rFonts w:ascii="Calibri" w:hAnsi="Calibri" w:cs="Calibri"/>
          <w:spacing w:val="-10"/>
          <w:sz w:val="22"/>
          <w:szCs w:val="22"/>
        </w:rPr>
        <w:t xml:space="preserve"> </w:t>
      </w:r>
      <w:r>
        <w:rPr>
          <w:rFonts w:ascii="Calibri" w:hAnsi="Calibri" w:cs="Calibri"/>
          <w:sz w:val="22"/>
          <w:szCs w:val="22"/>
        </w:rPr>
        <w:t>of</w:t>
      </w:r>
      <w:r>
        <w:rPr>
          <w:rFonts w:ascii="Calibri" w:hAnsi="Calibri" w:cs="Calibri"/>
          <w:spacing w:val="-11"/>
          <w:sz w:val="22"/>
          <w:szCs w:val="22"/>
        </w:rPr>
        <w:t xml:space="preserve"> </w:t>
      </w:r>
      <w:r>
        <w:rPr>
          <w:rFonts w:ascii="Calibri" w:hAnsi="Calibri" w:cs="Calibri"/>
          <w:sz w:val="22"/>
          <w:szCs w:val="22"/>
        </w:rPr>
        <w:t>reduction</w:t>
      </w:r>
      <w:r>
        <w:rPr>
          <w:rFonts w:ascii="Calibri" w:hAnsi="Calibri" w:cs="Calibri"/>
          <w:spacing w:val="-9"/>
          <w:sz w:val="22"/>
          <w:szCs w:val="22"/>
        </w:rPr>
        <w:t xml:space="preserve"> </w:t>
      </w:r>
      <w:r>
        <w:rPr>
          <w:rFonts w:ascii="Calibri" w:hAnsi="Calibri" w:cs="Calibri"/>
          <w:sz w:val="22"/>
          <w:szCs w:val="22"/>
        </w:rPr>
        <w:t>in</w:t>
      </w:r>
      <w:r>
        <w:rPr>
          <w:rFonts w:ascii="Calibri" w:hAnsi="Calibri" w:cs="Calibri"/>
          <w:spacing w:val="-7"/>
          <w:sz w:val="22"/>
          <w:szCs w:val="22"/>
        </w:rPr>
        <w:t xml:space="preserve"> </w:t>
      </w:r>
      <w:r>
        <w:rPr>
          <w:rFonts w:ascii="Calibri" w:hAnsi="Calibri" w:cs="Calibri"/>
          <w:sz w:val="22"/>
          <w:szCs w:val="22"/>
        </w:rPr>
        <w:t>health</w:t>
      </w:r>
      <w:r>
        <w:rPr>
          <w:rFonts w:ascii="Calibri" w:hAnsi="Calibri" w:cs="Calibri"/>
          <w:spacing w:val="-9"/>
          <w:sz w:val="22"/>
          <w:szCs w:val="22"/>
        </w:rPr>
        <w:t xml:space="preserve"> </w:t>
      </w:r>
      <w:r>
        <w:rPr>
          <w:rFonts w:ascii="Calibri" w:hAnsi="Calibri" w:cs="Calibri"/>
          <w:sz w:val="22"/>
          <w:szCs w:val="22"/>
        </w:rPr>
        <w:t>disparities,</w:t>
      </w:r>
      <w:r>
        <w:rPr>
          <w:rFonts w:ascii="Calibri" w:hAnsi="Calibri" w:cs="Calibri"/>
          <w:spacing w:val="-8"/>
          <w:sz w:val="22"/>
          <w:szCs w:val="22"/>
        </w:rPr>
        <w:t xml:space="preserve"> </w:t>
      </w:r>
      <w:r>
        <w:rPr>
          <w:rFonts w:ascii="Calibri" w:hAnsi="Calibri" w:cs="Calibri"/>
          <w:sz w:val="22"/>
          <w:szCs w:val="22"/>
        </w:rPr>
        <w:t>including</w:t>
      </w:r>
      <w:r>
        <w:rPr>
          <w:rFonts w:ascii="Calibri" w:hAnsi="Calibri" w:cs="Calibri"/>
          <w:spacing w:val="-9"/>
          <w:sz w:val="22"/>
          <w:szCs w:val="22"/>
        </w:rPr>
        <w:t xml:space="preserve"> </w:t>
      </w:r>
      <w:r>
        <w:rPr>
          <w:rFonts w:ascii="Calibri" w:hAnsi="Calibri" w:cs="Calibri"/>
          <w:sz w:val="22"/>
          <w:szCs w:val="22"/>
        </w:rPr>
        <w:t>data</w:t>
      </w:r>
      <w:r>
        <w:rPr>
          <w:rFonts w:ascii="Calibri" w:hAnsi="Calibri" w:cs="Calibri"/>
          <w:spacing w:val="-9"/>
          <w:sz w:val="22"/>
          <w:szCs w:val="22"/>
        </w:rPr>
        <w:t xml:space="preserve"> </w:t>
      </w:r>
      <w:r>
        <w:rPr>
          <w:rFonts w:ascii="Calibri" w:hAnsi="Calibri" w:cs="Calibri"/>
          <w:sz w:val="22"/>
          <w:szCs w:val="22"/>
        </w:rPr>
        <w:t>collection</w:t>
      </w:r>
      <w:r>
        <w:rPr>
          <w:rFonts w:ascii="Calibri" w:hAnsi="Calibri" w:cs="Calibri"/>
          <w:spacing w:val="-9"/>
          <w:sz w:val="22"/>
          <w:szCs w:val="22"/>
        </w:rPr>
        <w:t xml:space="preserve"> </w:t>
      </w:r>
      <w:r>
        <w:rPr>
          <w:rFonts w:ascii="Calibri" w:hAnsi="Calibri" w:cs="Calibri"/>
          <w:sz w:val="22"/>
          <w:szCs w:val="22"/>
        </w:rPr>
        <w:t>by</w:t>
      </w:r>
      <w:r>
        <w:rPr>
          <w:rFonts w:ascii="Calibri" w:hAnsi="Calibri" w:cs="Calibri"/>
          <w:spacing w:val="-6"/>
          <w:sz w:val="22"/>
          <w:szCs w:val="22"/>
        </w:rPr>
        <w:t xml:space="preserve"> </w:t>
      </w:r>
      <w:r>
        <w:rPr>
          <w:rFonts w:ascii="Calibri" w:hAnsi="Calibri" w:cs="Calibri"/>
          <w:sz w:val="22"/>
          <w:szCs w:val="22"/>
        </w:rPr>
        <w:t>race,</w:t>
      </w:r>
      <w:r>
        <w:rPr>
          <w:rFonts w:ascii="Calibri" w:hAnsi="Calibri" w:cs="Calibri"/>
          <w:spacing w:val="-6"/>
          <w:sz w:val="22"/>
          <w:szCs w:val="22"/>
        </w:rPr>
        <w:t xml:space="preserve"> </w:t>
      </w:r>
      <w:r>
        <w:rPr>
          <w:rFonts w:ascii="Calibri" w:hAnsi="Calibri" w:cs="Calibri"/>
          <w:sz w:val="22"/>
          <w:szCs w:val="22"/>
        </w:rPr>
        <w:t>ethnicity,</w:t>
      </w:r>
      <w:r>
        <w:rPr>
          <w:rFonts w:ascii="Calibri" w:hAnsi="Calibri" w:cs="Calibri"/>
          <w:spacing w:val="-6"/>
          <w:sz w:val="22"/>
          <w:szCs w:val="22"/>
        </w:rPr>
        <w:t xml:space="preserve"> </w:t>
      </w:r>
      <w:r>
        <w:rPr>
          <w:rFonts w:ascii="Calibri" w:hAnsi="Calibri" w:cs="Calibri"/>
          <w:spacing w:val="-3"/>
          <w:sz w:val="22"/>
          <w:szCs w:val="22"/>
        </w:rPr>
        <w:t xml:space="preserve">primary </w:t>
      </w:r>
      <w:r>
        <w:rPr>
          <w:rFonts w:ascii="Calibri" w:hAnsi="Calibri" w:cs="Calibri"/>
          <w:sz w:val="22"/>
          <w:szCs w:val="22"/>
        </w:rPr>
        <w:t>language,</w:t>
      </w:r>
      <w:r>
        <w:rPr>
          <w:rFonts w:ascii="Calibri" w:hAnsi="Calibri" w:cs="Calibri"/>
          <w:spacing w:val="-10"/>
          <w:sz w:val="22"/>
          <w:szCs w:val="22"/>
        </w:rPr>
        <w:t xml:space="preserve"> </w:t>
      </w:r>
      <w:r>
        <w:rPr>
          <w:rFonts w:ascii="Calibri" w:hAnsi="Calibri" w:cs="Calibri"/>
          <w:sz w:val="22"/>
          <w:szCs w:val="22"/>
        </w:rPr>
        <w:t>disability</w:t>
      </w:r>
      <w:r>
        <w:rPr>
          <w:rFonts w:ascii="Calibri" w:hAnsi="Calibri" w:cs="Calibri"/>
          <w:spacing w:val="-11"/>
          <w:sz w:val="22"/>
          <w:szCs w:val="22"/>
        </w:rPr>
        <w:t xml:space="preserve"> </w:t>
      </w:r>
      <w:r>
        <w:rPr>
          <w:rFonts w:ascii="Calibri" w:hAnsi="Calibri" w:cs="Calibri"/>
          <w:sz w:val="22"/>
          <w:szCs w:val="22"/>
        </w:rPr>
        <w:t>status,</w:t>
      </w:r>
      <w:r>
        <w:rPr>
          <w:rFonts w:ascii="Calibri" w:hAnsi="Calibri" w:cs="Calibri"/>
          <w:spacing w:val="-13"/>
          <w:sz w:val="22"/>
          <w:szCs w:val="22"/>
        </w:rPr>
        <w:t xml:space="preserve"> </w:t>
      </w:r>
      <w:r>
        <w:rPr>
          <w:rFonts w:ascii="Calibri" w:hAnsi="Calibri" w:cs="Calibri"/>
          <w:sz w:val="22"/>
          <w:szCs w:val="22"/>
        </w:rPr>
        <w:t>gender,</w:t>
      </w:r>
      <w:r>
        <w:rPr>
          <w:rFonts w:ascii="Calibri" w:hAnsi="Calibri" w:cs="Calibri"/>
          <w:spacing w:val="-12"/>
          <w:sz w:val="22"/>
          <w:szCs w:val="22"/>
        </w:rPr>
        <w:t xml:space="preserve"> </w:t>
      </w:r>
      <w:r>
        <w:rPr>
          <w:rFonts w:ascii="Calibri" w:hAnsi="Calibri" w:cs="Calibri"/>
          <w:sz w:val="22"/>
          <w:szCs w:val="22"/>
        </w:rPr>
        <w:t>sexual</w:t>
      </w:r>
      <w:r>
        <w:rPr>
          <w:rFonts w:ascii="Calibri" w:hAnsi="Calibri" w:cs="Calibri"/>
          <w:spacing w:val="-14"/>
          <w:sz w:val="22"/>
          <w:szCs w:val="22"/>
        </w:rPr>
        <w:t xml:space="preserve"> </w:t>
      </w:r>
      <w:r>
        <w:rPr>
          <w:rFonts w:ascii="Calibri" w:hAnsi="Calibri" w:cs="Calibri"/>
          <w:sz w:val="22"/>
          <w:szCs w:val="22"/>
        </w:rPr>
        <w:t>orientation,</w:t>
      </w:r>
      <w:r>
        <w:rPr>
          <w:rFonts w:ascii="Calibri" w:hAnsi="Calibri" w:cs="Calibri"/>
          <w:spacing w:val="-13"/>
          <w:sz w:val="22"/>
          <w:szCs w:val="22"/>
        </w:rPr>
        <w:t xml:space="preserve"> </w:t>
      </w:r>
      <w:r>
        <w:rPr>
          <w:rFonts w:ascii="Calibri" w:hAnsi="Calibri" w:cs="Calibri"/>
          <w:sz w:val="22"/>
          <w:szCs w:val="22"/>
        </w:rPr>
        <w:t>gender</w:t>
      </w:r>
      <w:r>
        <w:rPr>
          <w:rFonts w:ascii="Calibri" w:hAnsi="Calibri" w:cs="Calibri"/>
          <w:spacing w:val="-10"/>
          <w:sz w:val="22"/>
          <w:szCs w:val="22"/>
        </w:rPr>
        <w:t xml:space="preserve"> </w:t>
      </w:r>
      <w:r>
        <w:rPr>
          <w:rFonts w:ascii="Calibri" w:hAnsi="Calibri" w:cs="Calibri"/>
          <w:sz w:val="22"/>
          <w:szCs w:val="22"/>
        </w:rPr>
        <w:t>identity</w:t>
      </w:r>
      <w:r>
        <w:rPr>
          <w:rFonts w:ascii="Calibri" w:hAnsi="Calibri" w:cs="Calibri"/>
          <w:spacing w:val="-9"/>
          <w:sz w:val="22"/>
          <w:szCs w:val="22"/>
        </w:rPr>
        <w:t xml:space="preserve"> </w:t>
      </w:r>
      <w:r>
        <w:rPr>
          <w:rFonts w:ascii="Calibri" w:hAnsi="Calibri" w:cs="Calibri"/>
          <w:sz w:val="22"/>
          <w:szCs w:val="22"/>
        </w:rPr>
        <w:t>and</w:t>
      </w:r>
      <w:r>
        <w:rPr>
          <w:rFonts w:ascii="Calibri" w:hAnsi="Calibri" w:cs="Calibri"/>
          <w:spacing w:val="-14"/>
          <w:sz w:val="22"/>
          <w:szCs w:val="22"/>
        </w:rPr>
        <w:t xml:space="preserve"> </w:t>
      </w:r>
      <w:r>
        <w:rPr>
          <w:rFonts w:ascii="Calibri" w:hAnsi="Calibri" w:cs="Calibri"/>
          <w:sz w:val="22"/>
          <w:szCs w:val="22"/>
        </w:rPr>
        <w:t>other</w:t>
      </w:r>
      <w:r>
        <w:rPr>
          <w:rFonts w:ascii="Calibri" w:hAnsi="Calibri" w:cs="Calibri"/>
          <w:spacing w:val="-10"/>
          <w:sz w:val="22"/>
          <w:szCs w:val="22"/>
        </w:rPr>
        <w:t xml:space="preserve"> </w:t>
      </w:r>
      <w:r>
        <w:rPr>
          <w:rFonts w:ascii="Calibri" w:hAnsi="Calibri" w:cs="Calibri"/>
          <w:sz w:val="22"/>
          <w:szCs w:val="22"/>
        </w:rPr>
        <w:t>factors;</w:t>
      </w:r>
    </w:p>
    <w:p w:rsidR="002C5025" w:rsidRDefault="002C5025">
      <w:pPr>
        <w:pStyle w:val="ListParagraph"/>
        <w:numPr>
          <w:ilvl w:val="0"/>
          <w:numId w:val="96"/>
        </w:numPr>
        <w:tabs>
          <w:tab w:val="left" w:pos="841"/>
        </w:tabs>
        <w:kinsoku w:val="0"/>
        <w:overflowPunct w:val="0"/>
        <w:spacing w:before="15" w:line="266" w:lineRule="exact"/>
        <w:ind w:right="607" w:hanging="359"/>
        <w:rPr>
          <w:rFonts w:ascii="Calibri" w:hAnsi="Calibri" w:cs="Calibri"/>
          <w:sz w:val="22"/>
          <w:szCs w:val="22"/>
        </w:rPr>
      </w:pPr>
      <w:r>
        <w:rPr>
          <w:rFonts w:ascii="Calibri" w:hAnsi="Calibri" w:cs="Calibri"/>
          <w:sz w:val="22"/>
          <w:szCs w:val="22"/>
        </w:rPr>
        <w:t>define</w:t>
      </w:r>
      <w:r>
        <w:rPr>
          <w:rFonts w:ascii="Calibri" w:hAnsi="Calibri" w:cs="Calibri"/>
          <w:spacing w:val="-7"/>
          <w:sz w:val="22"/>
          <w:szCs w:val="22"/>
        </w:rPr>
        <w:t xml:space="preserve"> </w:t>
      </w:r>
      <w:r>
        <w:rPr>
          <w:rFonts w:ascii="Calibri" w:hAnsi="Calibri" w:cs="Calibri"/>
          <w:sz w:val="22"/>
          <w:szCs w:val="22"/>
        </w:rPr>
        <w:t>avoidable</w:t>
      </w:r>
      <w:r>
        <w:rPr>
          <w:rFonts w:ascii="Calibri" w:hAnsi="Calibri" w:cs="Calibri"/>
          <w:spacing w:val="-7"/>
          <w:sz w:val="22"/>
          <w:szCs w:val="22"/>
        </w:rPr>
        <w:t xml:space="preserve"> </w:t>
      </w:r>
      <w:r>
        <w:rPr>
          <w:rFonts w:ascii="Calibri" w:hAnsi="Calibri" w:cs="Calibri"/>
          <w:sz w:val="22"/>
          <w:szCs w:val="22"/>
        </w:rPr>
        <w:t>utilization</w:t>
      </w:r>
      <w:r>
        <w:rPr>
          <w:rFonts w:ascii="Calibri" w:hAnsi="Calibri" w:cs="Calibri"/>
          <w:spacing w:val="-15"/>
          <w:sz w:val="22"/>
          <w:szCs w:val="22"/>
        </w:rPr>
        <w:t xml:space="preserve"> </w:t>
      </w:r>
      <w:r>
        <w:rPr>
          <w:rFonts w:ascii="Calibri" w:hAnsi="Calibri" w:cs="Calibri"/>
          <w:sz w:val="22"/>
          <w:szCs w:val="22"/>
        </w:rPr>
        <w:t>and</w:t>
      </w:r>
      <w:r>
        <w:rPr>
          <w:rFonts w:ascii="Calibri" w:hAnsi="Calibri" w:cs="Calibri"/>
          <w:spacing w:val="-10"/>
          <w:sz w:val="22"/>
          <w:szCs w:val="22"/>
        </w:rPr>
        <w:t xml:space="preserve"> </w:t>
      </w:r>
      <w:r>
        <w:rPr>
          <w:rFonts w:ascii="Calibri" w:hAnsi="Calibri" w:cs="Calibri"/>
          <w:sz w:val="22"/>
          <w:szCs w:val="22"/>
        </w:rPr>
        <w:t>track</w:t>
      </w:r>
      <w:r>
        <w:rPr>
          <w:rFonts w:ascii="Calibri" w:hAnsi="Calibri" w:cs="Calibri"/>
          <w:spacing w:val="-9"/>
          <w:sz w:val="22"/>
          <w:szCs w:val="22"/>
        </w:rPr>
        <w:t xml:space="preserve"> </w:t>
      </w:r>
      <w:r>
        <w:rPr>
          <w:rFonts w:ascii="Calibri" w:hAnsi="Calibri" w:cs="Calibri"/>
          <w:sz w:val="22"/>
          <w:szCs w:val="22"/>
        </w:rPr>
        <w:t>progress</w:t>
      </w:r>
      <w:r>
        <w:rPr>
          <w:rFonts w:ascii="Calibri" w:hAnsi="Calibri" w:cs="Calibri"/>
          <w:spacing w:val="-9"/>
          <w:sz w:val="22"/>
          <w:szCs w:val="22"/>
        </w:rPr>
        <w:t xml:space="preserve"> </w:t>
      </w:r>
      <w:r>
        <w:rPr>
          <w:rFonts w:ascii="Calibri" w:hAnsi="Calibri" w:cs="Calibri"/>
          <w:sz w:val="22"/>
          <w:szCs w:val="22"/>
        </w:rPr>
        <w:t>in</w:t>
      </w:r>
      <w:r>
        <w:rPr>
          <w:rFonts w:ascii="Calibri" w:hAnsi="Calibri" w:cs="Calibri"/>
          <w:spacing w:val="-9"/>
          <w:sz w:val="22"/>
          <w:szCs w:val="22"/>
        </w:rPr>
        <w:t xml:space="preserve"> </w:t>
      </w:r>
      <w:r>
        <w:rPr>
          <w:rFonts w:ascii="Calibri" w:hAnsi="Calibri" w:cs="Calibri"/>
          <w:sz w:val="22"/>
          <w:szCs w:val="22"/>
        </w:rPr>
        <w:t>that</w:t>
      </w:r>
      <w:r>
        <w:rPr>
          <w:rFonts w:ascii="Calibri" w:hAnsi="Calibri" w:cs="Calibri"/>
          <w:spacing w:val="-9"/>
          <w:sz w:val="22"/>
          <w:szCs w:val="22"/>
        </w:rPr>
        <w:t xml:space="preserve"> </w:t>
      </w:r>
      <w:r>
        <w:rPr>
          <w:rFonts w:ascii="Calibri" w:hAnsi="Calibri" w:cs="Calibri"/>
          <w:sz w:val="22"/>
          <w:szCs w:val="22"/>
        </w:rPr>
        <w:t>area,</w:t>
      </w:r>
      <w:r>
        <w:rPr>
          <w:rFonts w:ascii="Calibri" w:hAnsi="Calibri" w:cs="Calibri"/>
          <w:spacing w:val="-9"/>
          <w:sz w:val="22"/>
          <w:szCs w:val="22"/>
        </w:rPr>
        <w:t xml:space="preserve"> </w:t>
      </w:r>
      <w:r>
        <w:rPr>
          <w:rFonts w:ascii="Calibri" w:hAnsi="Calibri" w:cs="Calibri"/>
          <w:sz w:val="22"/>
          <w:szCs w:val="22"/>
        </w:rPr>
        <w:t>while</w:t>
      </w:r>
      <w:r>
        <w:rPr>
          <w:rFonts w:ascii="Calibri" w:hAnsi="Calibri" w:cs="Calibri"/>
          <w:spacing w:val="-7"/>
          <w:sz w:val="22"/>
          <w:szCs w:val="22"/>
        </w:rPr>
        <w:t xml:space="preserve"> </w:t>
      </w:r>
      <w:r>
        <w:rPr>
          <w:rFonts w:ascii="Calibri" w:hAnsi="Calibri" w:cs="Calibri"/>
          <w:sz w:val="22"/>
          <w:szCs w:val="22"/>
        </w:rPr>
        <w:t>also</w:t>
      </w:r>
      <w:r>
        <w:rPr>
          <w:rFonts w:ascii="Calibri" w:hAnsi="Calibri" w:cs="Calibri"/>
          <w:spacing w:val="-11"/>
          <w:sz w:val="22"/>
          <w:szCs w:val="22"/>
        </w:rPr>
        <w:t xml:space="preserve"> </w:t>
      </w:r>
      <w:r>
        <w:rPr>
          <w:rFonts w:ascii="Calibri" w:hAnsi="Calibri" w:cs="Calibri"/>
          <w:sz w:val="22"/>
          <w:szCs w:val="22"/>
        </w:rPr>
        <w:t>measuring</w:t>
      </w:r>
      <w:r>
        <w:rPr>
          <w:rFonts w:ascii="Calibri" w:hAnsi="Calibri" w:cs="Calibri"/>
          <w:spacing w:val="-12"/>
          <w:sz w:val="22"/>
          <w:szCs w:val="22"/>
        </w:rPr>
        <w:t xml:space="preserve"> </w:t>
      </w:r>
      <w:r>
        <w:rPr>
          <w:rFonts w:ascii="Calibri" w:hAnsi="Calibri" w:cs="Calibri"/>
          <w:sz w:val="22"/>
          <w:szCs w:val="22"/>
        </w:rPr>
        <w:t>under-service</w:t>
      </w:r>
      <w:r>
        <w:rPr>
          <w:rFonts w:ascii="Calibri" w:hAnsi="Calibri" w:cs="Calibri"/>
          <w:spacing w:val="-9"/>
          <w:sz w:val="22"/>
          <w:szCs w:val="22"/>
        </w:rPr>
        <w:t xml:space="preserve"> </w:t>
      </w:r>
      <w:r>
        <w:rPr>
          <w:rFonts w:ascii="Calibri" w:hAnsi="Calibri" w:cs="Calibri"/>
          <w:sz w:val="22"/>
          <w:szCs w:val="22"/>
        </w:rPr>
        <w:t>and underutilization;</w:t>
      </w:r>
    </w:p>
    <w:p w:rsidR="002C5025" w:rsidRDefault="002C5025">
      <w:pPr>
        <w:pStyle w:val="ListParagraph"/>
        <w:numPr>
          <w:ilvl w:val="0"/>
          <w:numId w:val="96"/>
        </w:numPr>
        <w:tabs>
          <w:tab w:val="left" w:pos="840"/>
        </w:tabs>
        <w:kinsoku w:val="0"/>
        <w:overflowPunct w:val="0"/>
        <w:spacing w:before="6"/>
        <w:ind w:right="205" w:hanging="360"/>
        <w:rPr>
          <w:rFonts w:ascii="Calibri" w:hAnsi="Calibri" w:cs="Calibri"/>
          <w:sz w:val="22"/>
          <w:szCs w:val="22"/>
        </w:rPr>
      </w:pPr>
      <w:r>
        <w:rPr>
          <w:rFonts w:ascii="Calibri" w:hAnsi="Calibri" w:cs="Calibri"/>
          <w:sz w:val="22"/>
          <w:szCs w:val="22"/>
        </w:rPr>
        <w:t>align</w:t>
      </w:r>
      <w:r>
        <w:rPr>
          <w:rFonts w:ascii="Calibri" w:hAnsi="Calibri" w:cs="Calibri"/>
          <w:spacing w:val="-7"/>
          <w:sz w:val="22"/>
          <w:szCs w:val="22"/>
        </w:rPr>
        <w:t xml:space="preserve"> </w:t>
      </w:r>
      <w:r>
        <w:rPr>
          <w:rFonts w:ascii="Calibri" w:hAnsi="Calibri" w:cs="Calibri"/>
          <w:sz w:val="22"/>
          <w:szCs w:val="22"/>
        </w:rPr>
        <w:t>LTSS</w:t>
      </w:r>
      <w:r>
        <w:rPr>
          <w:rFonts w:ascii="Calibri" w:hAnsi="Calibri" w:cs="Calibri"/>
          <w:spacing w:val="-9"/>
          <w:sz w:val="22"/>
          <w:szCs w:val="22"/>
        </w:rPr>
        <w:t xml:space="preserve"> </w:t>
      </w:r>
      <w:r>
        <w:rPr>
          <w:rFonts w:ascii="Calibri" w:hAnsi="Calibri" w:cs="Calibri"/>
          <w:sz w:val="22"/>
          <w:szCs w:val="22"/>
        </w:rPr>
        <w:t>measures</w:t>
      </w:r>
      <w:r>
        <w:rPr>
          <w:rFonts w:ascii="Calibri" w:hAnsi="Calibri" w:cs="Calibri"/>
          <w:spacing w:val="-9"/>
          <w:sz w:val="22"/>
          <w:szCs w:val="22"/>
        </w:rPr>
        <w:t xml:space="preserve"> </w:t>
      </w:r>
      <w:r>
        <w:rPr>
          <w:rFonts w:ascii="Calibri" w:hAnsi="Calibri" w:cs="Calibri"/>
          <w:sz w:val="22"/>
          <w:szCs w:val="22"/>
        </w:rPr>
        <w:t>with</w:t>
      </w:r>
      <w:r>
        <w:rPr>
          <w:rFonts w:ascii="Calibri" w:hAnsi="Calibri" w:cs="Calibri"/>
          <w:spacing w:val="-7"/>
          <w:sz w:val="22"/>
          <w:szCs w:val="22"/>
        </w:rPr>
        <w:t xml:space="preserve"> </w:t>
      </w:r>
      <w:r>
        <w:rPr>
          <w:rFonts w:ascii="Calibri" w:hAnsi="Calibri" w:cs="Calibri"/>
          <w:sz w:val="22"/>
          <w:szCs w:val="22"/>
        </w:rPr>
        <w:t>those</w:t>
      </w:r>
      <w:r>
        <w:rPr>
          <w:rFonts w:ascii="Calibri" w:hAnsi="Calibri" w:cs="Calibri"/>
          <w:spacing w:val="-6"/>
          <w:sz w:val="22"/>
          <w:szCs w:val="22"/>
        </w:rPr>
        <w:t xml:space="preserve"> </w:t>
      </w:r>
      <w:r>
        <w:rPr>
          <w:rFonts w:ascii="Calibri" w:hAnsi="Calibri" w:cs="Calibri"/>
          <w:sz w:val="22"/>
          <w:szCs w:val="22"/>
        </w:rPr>
        <w:t>used</w:t>
      </w:r>
      <w:r>
        <w:rPr>
          <w:rFonts w:ascii="Calibri" w:hAnsi="Calibri" w:cs="Calibri"/>
          <w:spacing w:val="-6"/>
          <w:sz w:val="22"/>
          <w:szCs w:val="22"/>
        </w:rPr>
        <w:t xml:space="preserve"> </w:t>
      </w:r>
      <w:r>
        <w:rPr>
          <w:rFonts w:ascii="Calibri" w:hAnsi="Calibri" w:cs="Calibri"/>
          <w:sz w:val="22"/>
          <w:szCs w:val="22"/>
        </w:rPr>
        <w:t>in</w:t>
      </w:r>
      <w:r>
        <w:rPr>
          <w:rFonts w:ascii="Calibri" w:hAnsi="Calibri" w:cs="Calibri"/>
          <w:spacing w:val="-9"/>
          <w:sz w:val="22"/>
          <w:szCs w:val="22"/>
        </w:rPr>
        <w:t xml:space="preserve"> </w:t>
      </w:r>
      <w:r>
        <w:rPr>
          <w:rFonts w:ascii="Calibri" w:hAnsi="Calibri" w:cs="Calibri"/>
          <w:sz w:val="22"/>
          <w:szCs w:val="22"/>
        </w:rPr>
        <w:t>the</w:t>
      </w:r>
      <w:r>
        <w:rPr>
          <w:rFonts w:ascii="Calibri" w:hAnsi="Calibri" w:cs="Calibri"/>
          <w:spacing w:val="-8"/>
          <w:sz w:val="22"/>
          <w:szCs w:val="22"/>
        </w:rPr>
        <w:t xml:space="preserve"> </w:t>
      </w:r>
      <w:r>
        <w:rPr>
          <w:rFonts w:ascii="Calibri" w:hAnsi="Calibri" w:cs="Calibri"/>
          <w:sz w:val="22"/>
          <w:szCs w:val="22"/>
        </w:rPr>
        <w:t>One</w:t>
      </w:r>
      <w:r>
        <w:rPr>
          <w:rFonts w:ascii="Calibri" w:hAnsi="Calibri" w:cs="Calibri"/>
          <w:spacing w:val="-6"/>
          <w:sz w:val="22"/>
          <w:szCs w:val="22"/>
        </w:rPr>
        <w:t xml:space="preserve"> </w:t>
      </w:r>
      <w:r>
        <w:rPr>
          <w:rFonts w:ascii="Calibri" w:hAnsi="Calibri" w:cs="Calibri"/>
          <w:sz w:val="22"/>
          <w:szCs w:val="22"/>
        </w:rPr>
        <w:t>Care</w:t>
      </w:r>
      <w:r>
        <w:rPr>
          <w:rFonts w:ascii="Calibri" w:hAnsi="Calibri" w:cs="Calibri"/>
          <w:spacing w:val="-6"/>
          <w:sz w:val="22"/>
          <w:szCs w:val="22"/>
        </w:rPr>
        <w:t xml:space="preserve"> </w:t>
      </w:r>
      <w:r>
        <w:rPr>
          <w:rFonts w:ascii="Calibri" w:hAnsi="Calibri" w:cs="Calibri"/>
          <w:sz w:val="22"/>
          <w:szCs w:val="22"/>
        </w:rPr>
        <w:t>program,</w:t>
      </w:r>
      <w:r>
        <w:rPr>
          <w:rFonts w:ascii="Calibri" w:hAnsi="Calibri" w:cs="Calibri"/>
          <w:spacing w:val="-8"/>
          <w:sz w:val="22"/>
          <w:szCs w:val="22"/>
        </w:rPr>
        <w:t xml:space="preserve"> </w:t>
      </w:r>
      <w:r>
        <w:rPr>
          <w:rFonts w:ascii="Calibri" w:hAnsi="Calibri" w:cs="Calibri"/>
          <w:sz w:val="22"/>
          <w:szCs w:val="22"/>
        </w:rPr>
        <w:t>adding</w:t>
      </w:r>
      <w:r>
        <w:rPr>
          <w:rFonts w:ascii="Calibri" w:hAnsi="Calibri" w:cs="Calibri"/>
          <w:spacing w:val="-7"/>
          <w:sz w:val="22"/>
          <w:szCs w:val="22"/>
        </w:rPr>
        <w:t xml:space="preserve"> </w:t>
      </w:r>
      <w:r>
        <w:rPr>
          <w:rFonts w:ascii="Calibri" w:hAnsi="Calibri" w:cs="Calibri"/>
          <w:sz w:val="22"/>
          <w:szCs w:val="22"/>
        </w:rPr>
        <w:t>specific</w:t>
      </w:r>
      <w:r>
        <w:rPr>
          <w:rFonts w:ascii="Calibri" w:hAnsi="Calibri" w:cs="Calibri"/>
          <w:spacing w:val="-8"/>
          <w:sz w:val="22"/>
          <w:szCs w:val="22"/>
        </w:rPr>
        <w:t xml:space="preserve"> </w:t>
      </w:r>
      <w:r>
        <w:rPr>
          <w:rFonts w:ascii="Calibri" w:hAnsi="Calibri" w:cs="Calibri"/>
          <w:sz w:val="22"/>
          <w:szCs w:val="22"/>
        </w:rPr>
        <w:t>measurement</w:t>
      </w:r>
      <w:r>
        <w:rPr>
          <w:rFonts w:ascii="Calibri" w:hAnsi="Calibri" w:cs="Calibri"/>
          <w:spacing w:val="-8"/>
          <w:sz w:val="22"/>
          <w:szCs w:val="22"/>
        </w:rPr>
        <w:t xml:space="preserve"> </w:t>
      </w:r>
      <w:r>
        <w:rPr>
          <w:rFonts w:ascii="Calibri" w:hAnsi="Calibri" w:cs="Calibri"/>
          <w:sz w:val="22"/>
          <w:szCs w:val="22"/>
        </w:rPr>
        <w:t>of</w:t>
      </w:r>
      <w:r>
        <w:rPr>
          <w:rFonts w:ascii="Calibri" w:hAnsi="Calibri" w:cs="Calibri"/>
          <w:spacing w:val="-5"/>
          <w:sz w:val="22"/>
          <w:szCs w:val="22"/>
        </w:rPr>
        <w:t xml:space="preserve"> </w:t>
      </w:r>
      <w:r>
        <w:rPr>
          <w:rFonts w:ascii="Calibri" w:hAnsi="Calibri" w:cs="Calibri"/>
          <w:spacing w:val="-3"/>
          <w:sz w:val="22"/>
          <w:szCs w:val="22"/>
        </w:rPr>
        <w:t xml:space="preserve">growing </w:t>
      </w:r>
      <w:r>
        <w:rPr>
          <w:rFonts w:ascii="Calibri" w:hAnsi="Calibri" w:cs="Calibri"/>
          <w:sz w:val="22"/>
          <w:szCs w:val="22"/>
        </w:rPr>
        <w:t>community-based</w:t>
      </w:r>
      <w:r>
        <w:rPr>
          <w:rFonts w:ascii="Calibri" w:hAnsi="Calibri" w:cs="Calibri"/>
          <w:spacing w:val="-22"/>
          <w:sz w:val="22"/>
          <w:szCs w:val="22"/>
        </w:rPr>
        <w:t xml:space="preserve"> </w:t>
      </w:r>
      <w:r>
        <w:rPr>
          <w:rFonts w:ascii="Calibri" w:hAnsi="Calibri" w:cs="Calibri"/>
          <w:sz w:val="22"/>
          <w:szCs w:val="22"/>
        </w:rPr>
        <w:t>services;</w:t>
      </w:r>
      <w:r>
        <w:rPr>
          <w:rFonts w:ascii="Calibri" w:hAnsi="Calibri" w:cs="Calibri"/>
          <w:spacing w:val="-20"/>
          <w:sz w:val="22"/>
          <w:szCs w:val="22"/>
        </w:rPr>
        <w:t xml:space="preserve"> </w:t>
      </w:r>
      <w:r>
        <w:rPr>
          <w:rFonts w:ascii="Calibri" w:hAnsi="Calibri" w:cs="Calibri"/>
          <w:sz w:val="22"/>
          <w:szCs w:val="22"/>
        </w:rPr>
        <w:t>and</w:t>
      </w:r>
    </w:p>
    <w:p w:rsidR="002C5025" w:rsidRDefault="002C5025">
      <w:pPr>
        <w:pStyle w:val="ListParagraph"/>
        <w:numPr>
          <w:ilvl w:val="0"/>
          <w:numId w:val="96"/>
        </w:numPr>
        <w:tabs>
          <w:tab w:val="left" w:pos="840"/>
        </w:tabs>
        <w:kinsoku w:val="0"/>
        <w:overflowPunct w:val="0"/>
        <w:ind w:right="486" w:hanging="360"/>
        <w:rPr>
          <w:rFonts w:ascii="Calibri" w:hAnsi="Calibri" w:cs="Calibri"/>
          <w:sz w:val="22"/>
          <w:szCs w:val="22"/>
        </w:rPr>
      </w:pPr>
      <w:r>
        <w:rPr>
          <w:rFonts w:ascii="Calibri" w:hAnsi="Calibri" w:cs="Calibri"/>
          <w:sz w:val="22"/>
          <w:szCs w:val="22"/>
        </w:rPr>
        <w:t>broaden</w:t>
      </w:r>
      <w:r>
        <w:rPr>
          <w:rFonts w:ascii="Calibri" w:hAnsi="Calibri" w:cs="Calibri"/>
          <w:spacing w:val="-10"/>
          <w:sz w:val="22"/>
          <w:szCs w:val="22"/>
        </w:rPr>
        <w:t xml:space="preserve"> </w:t>
      </w:r>
      <w:r>
        <w:rPr>
          <w:rFonts w:ascii="Calibri" w:hAnsi="Calibri" w:cs="Calibri"/>
          <w:sz w:val="22"/>
          <w:szCs w:val="22"/>
        </w:rPr>
        <w:t>member</w:t>
      </w:r>
      <w:r>
        <w:rPr>
          <w:rFonts w:ascii="Calibri" w:hAnsi="Calibri" w:cs="Calibri"/>
          <w:spacing w:val="-10"/>
          <w:sz w:val="22"/>
          <w:szCs w:val="22"/>
        </w:rPr>
        <w:t xml:space="preserve"> </w:t>
      </w:r>
      <w:r>
        <w:rPr>
          <w:rFonts w:ascii="Calibri" w:hAnsi="Calibri" w:cs="Calibri"/>
          <w:sz w:val="22"/>
          <w:szCs w:val="22"/>
        </w:rPr>
        <w:t>experience</w:t>
      </w:r>
      <w:r>
        <w:rPr>
          <w:rFonts w:ascii="Calibri" w:hAnsi="Calibri" w:cs="Calibri"/>
          <w:spacing w:val="-11"/>
          <w:sz w:val="22"/>
          <w:szCs w:val="22"/>
        </w:rPr>
        <w:t xml:space="preserve"> </w:t>
      </w:r>
      <w:r>
        <w:rPr>
          <w:rFonts w:ascii="Calibri" w:hAnsi="Calibri" w:cs="Calibri"/>
          <w:sz w:val="22"/>
          <w:szCs w:val="22"/>
        </w:rPr>
        <w:t>metrics</w:t>
      </w:r>
      <w:r>
        <w:rPr>
          <w:rFonts w:ascii="Calibri" w:hAnsi="Calibri" w:cs="Calibri"/>
          <w:spacing w:val="-6"/>
          <w:sz w:val="22"/>
          <w:szCs w:val="22"/>
        </w:rPr>
        <w:t xml:space="preserve"> </w:t>
      </w:r>
      <w:r>
        <w:rPr>
          <w:rFonts w:ascii="Calibri" w:hAnsi="Calibri" w:cs="Calibri"/>
          <w:sz w:val="22"/>
          <w:szCs w:val="22"/>
        </w:rPr>
        <w:t>beyond</w:t>
      </w:r>
      <w:r>
        <w:rPr>
          <w:rFonts w:ascii="Calibri" w:hAnsi="Calibri" w:cs="Calibri"/>
          <w:spacing w:val="-11"/>
          <w:sz w:val="22"/>
          <w:szCs w:val="22"/>
        </w:rPr>
        <w:t xml:space="preserve"> </w:t>
      </w:r>
      <w:r>
        <w:rPr>
          <w:rFonts w:ascii="Calibri" w:hAnsi="Calibri" w:cs="Calibri"/>
          <w:sz w:val="22"/>
          <w:szCs w:val="22"/>
        </w:rPr>
        <w:t>the</w:t>
      </w:r>
      <w:r>
        <w:rPr>
          <w:rFonts w:ascii="Calibri" w:hAnsi="Calibri" w:cs="Calibri"/>
          <w:spacing w:val="-8"/>
          <w:sz w:val="22"/>
          <w:szCs w:val="22"/>
        </w:rPr>
        <w:t xml:space="preserve"> </w:t>
      </w:r>
      <w:r>
        <w:rPr>
          <w:rFonts w:ascii="Calibri" w:hAnsi="Calibri" w:cs="Calibri"/>
          <w:sz w:val="22"/>
          <w:szCs w:val="22"/>
        </w:rPr>
        <w:t>Consumer</w:t>
      </w:r>
      <w:r>
        <w:rPr>
          <w:rFonts w:ascii="Calibri" w:hAnsi="Calibri" w:cs="Calibri"/>
          <w:spacing w:val="-6"/>
          <w:sz w:val="22"/>
          <w:szCs w:val="22"/>
        </w:rPr>
        <w:t xml:space="preserve"> </w:t>
      </w:r>
      <w:r>
        <w:rPr>
          <w:rFonts w:ascii="Calibri" w:hAnsi="Calibri" w:cs="Calibri"/>
          <w:spacing w:val="-3"/>
          <w:sz w:val="22"/>
          <w:szCs w:val="22"/>
        </w:rPr>
        <w:t>Assessment</w:t>
      </w:r>
      <w:r>
        <w:rPr>
          <w:rFonts w:ascii="Calibri" w:hAnsi="Calibri" w:cs="Calibri"/>
          <w:spacing w:val="-9"/>
          <w:sz w:val="22"/>
          <w:szCs w:val="22"/>
        </w:rPr>
        <w:t xml:space="preserve"> </w:t>
      </w:r>
      <w:r>
        <w:rPr>
          <w:rFonts w:ascii="Calibri" w:hAnsi="Calibri" w:cs="Calibri"/>
          <w:sz w:val="22"/>
          <w:szCs w:val="22"/>
        </w:rPr>
        <w:t>of</w:t>
      </w:r>
      <w:r>
        <w:rPr>
          <w:rFonts w:ascii="Calibri" w:hAnsi="Calibri" w:cs="Calibri"/>
          <w:spacing w:val="-8"/>
          <w:sz w:val="22"/>
          <w:szCs w:val="22"/>
        </w:rPr>
        <w:t xml:space="preserve"> </w:t>
      </w:r>
      <w:r>
        <w:rPr>
          <w:rFonts w:ascii="Calibri" w:hAnsi="Calibri" w:cs="Calibri"/>
          <w:sz w:val="22"/>
          <w:szCs w:val="22"/>
        </w:rPr>
        <w:t>Healthcare</w:t>
      </w:r>
      <w:r>
        <w:rPr>
          <w:rFonts w:ascii="Calibri" w:hAnsi="Calibri" w:cs="Calibri"/>
          <w:spacing w:val="-11"/>
          <w:sz w:val="22"/>
          <w:szCs w:val="22"/>
        </w:rPr>
        <w:t xml:space="preserve"> </w:t>
      </w:r>
      <w:r>
        <w:rPr>
          <w:rFonts w:ascii="Calibri" w:hAnsi="Calibri" w:cs="Calibri"/>
          <w:sz w:val="22"/>
          <w:szCs w:val="22"/>
        </w:rPr>
        <w:t>Providers</w:t>
      </w:r>
      <w:r>
        <w:rPr>
          <w:rFonts w:ascii="Calibri" w:hAnsi="Calibri" w:cs="Calibri"/>
          <w:spacing w:val="-8"/>
          <w:sz w:val="22"/>
          <w:szCs w:val="22"/>
        </w:rPr>
        <w:t xml:space="preserve"> </w:t>
      </w:r>
      <w:r>
        <w:rPr>
          <w:rFonts w:ascii="Calibri" w:hAnsi="Calibri" w:cs="Calibri"/>
          <w:spacing w:val="-3"/>
          <w:sz w:val="22"/>
          <w:szCs w:val="22"/>
        </w:rPr>
        <w:t xml:space="preserve">and </w:t>
      </w:r>
      <w:r>
        <w:rPr>
          <w:rFonts w:ascii="Calibri" w:hAnsi="Calibri" w:cs="Calibri"/>
          <w:sz w:val="22"/>
          <w:szCs w:val="22"/>
        </w:rPr>
        <w:t>Systems (CAHPS) metrics to include patient reported outcomes measures and patient activation measures.</w:t>
      </w:r>
    </w:p>
    <w:p w:rsidR="002C5025" w:rsidRDefault="002C5025">
      <w:pPr>
        <w:pStyle w:val="BodyText"/>
        <w:kinsoku w:val="0"/>
        <w:overflowPunct w:val="0"/>
      </w:pPr>
    </w:p>
    <w:p w:rsidR="002C5025" w:rsidRDefault="002C5025">
      <w:pPr>
        <w:pStyle w:val="BodyText"/>
        <w:kinsoku w:val="0"/>
        <w:overflowPunct w:val="0"/>
        <w:ind w:left="118" w:right="13" w:firstLine="1"/>
      </w:pPr>
      <w:r>
        <w:t xml:space="preserve">Collecting data on key sociodemographic factors is a critical first step to understanding key barriers to </w:t>
      </w:r>
      <w:r>
        <w:rPr>
          <w:spacing w:val="-3"/>
        </w:rPr>
        <w:t xml:space="preserve">health </w:t>
      </w:r>
      <w:r>
        <w:t xml:space="preserve">and how those barriers are distributed across the member population, addressing risk factors that lead to poor health outcomes, appropriately targeting intervention points and strategies, </w:t>
      </w:r>
      <w:r>
        <w:rPr>
          <w:spacing w:val="-3"/>
        </w:rPr>
        <w:t xml:space="preserve">and </w:t>
      </w:r>
      <w:r>
        <w:t xml:space="preserve">effectively managing </w:t>
      </w:r>
      <w:r>
        <w:rPr>
          <w:spacing w:val="-2"/>
        </w:rPr>
        <w:t xml:space="preserve">the </w:t>
      </w:r>
      <w:r>
        <w:t xml:space="preserve">health of an ACO’s patient population. Outcomes and other quality metrics should be stratified by social determinants of health indicators in order to appropriately target population health interventions, uncover and address health disparities, and improve </w:t>
      </w:r>
      <w:r>
        <w:rPr>
          <w:spacing w:val="-2"/>
        </w:rPr>
        <w:t xml:space="preserve">how </w:t>
      </w:r>
      <w:r>
        <w:t>ACOs deliver care.</w:t>
      </w:r>
    </w:p>
    <w:p w:rsidR="002C5025" w:rsidRDefault="002C5025">
      <w:pPr>
        <w:pStyle w:val="BodyText"/>
        <w:kinsoku w:val="0"/>
        <w:overflowPunct w:val="0"/>
        <w:spacing w:before="10"/>
        <w:rPr>
          <w:sz w:val="21"/>
          <w:szCs w:val="21"/>
        </w:rPr>
      </w:pPr>
    </w:p>
    <w:p w:rsidR="002C5025" w:rsidRDefault="002C5025">
      <w:pPr>
        <w:pStyle w:val="BodyText"/>
        <w:kinsoku w:val="0"/>
        <w:overflowPunct w:val="0"/>
        <w:ind w:left="120" w:right="200"/>
        <w:rPr>
          <w:b/>
          <w:bCs/>
          <w:i/>
          <w:iCs/>
        </w:rPr>
      </w:pPr>
      <w:bookmarkStart w:id="12" w:name="Monitor_and_Track_Underutilization"/>
      <w:bookmarkEnd w:id="12"/>
      <w:r>
        <w:rPr>
          <w:b/>
          <w:bCs/>
          <w:i/>
          <w:iCs/>
        </w:rPr>
        <w:t>Monitor and Track Underutilization</w:t>
      </w:r>
    </w:p>
    <w:p w:rsidR="002C5025" w:rsidRDefault="002C5025">
      <w:pPr>
        <w:pStyle w:val="BodyText"/>
        <w:kinsoku w:val="0"/>
        <w:overflowPunct w:val="0"/>
        <w:ind w:left="117" w:right="73" w:firstLine="2"/>
      </w:pPr>
      <w:r>
        <w:t xml:space="preserve">Increased levels of risk for losses coupled with </w:t>
      </w:r>
      <w:r>
        <w:rPr>
          <w:spacing w:val="-3"/>
        </w:rPr>
        <w:t xml:space="preserve">influence </w:t>
      </w:r>
      <w:r>
        <w:t>over utilization management shift the balance of incentives</w:t>
      </w:r>
      <w:r>
        <w:rPr>
          <w:spacing w:val="-6"/>
        </w:rPr>
        <w:t xml:space="preserve"> </w:t>
      </w:r>
      <w:r>
        <w:t>for</w:t>
      </w:r>
      <w:r>
        <w:rPr>
          <w:spacing w:val="-6"/>
        </w:rPr>
        <w:t xml:space="preserve"> </w:t>
      </w:r>
      <w:r>
        <w:t>providers,</w:t>
      </w:r>
      <w:r>
        <w:rPr>
          <w:spacing w:val="-6"/>
        </w:rPr>
        <w:t xml:space="preserve"> </w:t>
      </w:r>
      <w:r>
        <w:t>increasing</w:t>
      </w:r>
      <w:r>
        <w:rPr>
          <w:spacing w:val="-11"/>
        </w:rPr>
        <w:t xml:space="preserve"> </w:t>
      </w:r>
      <w:r>
        <w:t>the</w:t>
      </w:r>
      <w:r>
        <w:rPr>
          <w:spacing w:val="-8"/>
        </w:rPr>
        <w:t xml:space="preserve"> </w:t>
      </w:r>
      <w:r>
        <w:t>potential</w:t>
      </w:r>
      <w:r>
        <w:rPr>
          <w:spacing w:val="-9"/>
        </w:rPr>
        <w:t xml:space="preserve"> </w:t>
      </w:r>
      <w:r>
        <w:t>for</w:t>
      </w:r>
      <w:r>
        <w:rPr>
          <w:spacing w:val="-6"/>
        </w:rPr>
        <w:t xml:space="preserve"> </w:t>
      </w:r>
      <w:r>
        <w:rPr>
          <w:spacing w:val="-3"/>
        </w:rPr>
        <w:t>ACOs</w:t>
      </w:r>
      <w:r>
        <w:rPr>
          <w:spacing w:val="-8"/>
        </w:rPr>
        <w:t xml:space="preserve"> </w:t>
      </w:r>
      <w:r>
        <w:t>to</w:t>
      </w:r>
      <w:r>
        <w:rPr>
          <w:spacing w:val="-7"/>
        </w:rPr>
        <w:t xml:space="preserve"> </w:t>
      </w:r>
      <w:r>
        <w:t>stint</w:t>
      </w:r>
      <w:r>
        <w:rPr>
          <w:spacing w:val="-8"/>
        </w:rPr>
        <w:t xml:space="preserve"> </w:t>
      </w:r>
      <w:r>
        <w:t>on</w:t>
      </w:r>
      <w:r>
        <w:rPr>
          <w:spacing w:val="-9"/>
        </w:rPr>
        <w:t xml:space="preserve"> </w:t>
      </w:r>
      <w:r>
        <w:t>care.</w:t>
      </w:r>
      <w:r>
        <w:rPr>
          <w:spacing w:val="-6"/>
        </w:rPr>
        <w:t xml:space="preserve"> </w:t>
      </w:r>
      <w:r>
        <w:t>ACOs</w:t>
      </w:r>
      <w:r>
        <w:rPr>
          <w:spacing w:val="-11"/>
        </w:rPr>
        <w:t xml:space="preserve"> </w:t>
      </w:r>
      <w:r>
        <w:t>should</w:t>
      </w:r>
      <w:r>
        <w:rPr>
          <w:spacing w:val="-11"/>
        </w:rPr>
        <w:t xml:space="preserve"> </w:t>
      </w:r>
      <w:r>
        <w:t>therefore</w:t>
      </w:r>
      <w:r>
        <w:rPr>
          <w:spacing w:val="-6"/>
        </w:rPr>
        <w:t xml:space="preserve"> </w:t>
      </w:r>
      <w:r>
        <w:t>be</w:t>
      </w:r>
      <w:r>
        <w:rPr>
          <w:spacing w:val="-8"/>
        </w:rPr>
        <w:t xml:space="preserve"> </w:t>
      </w:r>
      <w:r>
        <w:t>required</w:t>
      </w:r>
      <w:r>
        <w:rPr>
          <w:spacing w:val="-11"/>
        </w:rPr>
        <w:t xml:space="preserve"> </w:t>
      </w:r>
      <w:r>
        <w:t>to establish</w:t>
      </w:r>
      <w:r>
        <w:rPr>
          <w:spacing w:val="-11"/>
        </w:rPr>
        <w:t xml:space="preserve"> </w:t>
      </w:r>
      <w:r>
        <w:t>internal</w:t>
      </w:r>
      <w:r>
        <w:rPr>
          <w:spacing w:val="-15"/>
        </w:rPr>
        <w:t xml:space="preserve"> </w:t>
      </w:r>
      <w:r>
        <w:t>monitoring</w:t>
      </w:r>
      <w:r>
        <w:rPr>
          <w:spacing w:val="-11"/>
        </w:rPr>
        <w:t xml:space="preserve"> </w:t>
      </w:r>
      <w:r>
        <w:t>mechanisms</w:t>
      </w:r>
      <w:r>
        <w:rPr>
          <w:spacing w:val="-11"/>
        </w:rPr>
        <w:t xml:space="preserve"> </w:t>
      </w:r>
      <w:r>
        <w:t>for</w:t>
      </w:r>
      <w:r>
        <w:rPr>
          <w:spacing w:val="-9"/>
        </w:rPr>
        <w:t xml:space="preserve"> </w:t>
      </w:r>
      <w:r>
        <w:t>under-service</w:t>
      </w:r>
      <w:r>
        <w:rPr>
          <w:spacing w:val="-11"/>
        </w:rPr>
        <w:t xml:space="preserve"> </w:t>
      </w:r>
      <w:r>
        <w:t>in</w:t>
      </w:r>
      <w:r>
        <w:rPr>
          <w:spacing w:val="-13"/>
        </w:rPr>
        <w:t xml:space="preserve"> </w:t>
      </w:r>
      <w:r>
        <w:t>order</w:t>
      </w:r>
      <w:r>
        <w:rPr>
          <w:spacing w:val="-11"/>
        </w:rPr>
        <w:t xml:space="preserve"> </w:t>
      </w:r>
      <w:r>
        <w:t>to</w:t>
      </w:r>
      <w:r>
        <w:rPr>
          <w:spacing w:val="-10"/>
        </w:rPr>
        <w:t xml:space="preserve"> </w:t>
      </w:r>
      <w:r>
        <w:t>safeguard</w:t>
      </w:r>
      <w:r>
        <w:rPr>
          <w:spacing w:val="-11"/>
        </w:rPr>
        <w:t xml:space="preserve"> </w:t>
      </w:r>
      <w:r>
        <w:t>against</w:t>
      </w:r>
      <w:r>
        <w:rPr>
          <w:spacing w:val="-8"/>
        </w:rPr>
        <w:t xml:space="preserve"> </w:t>
      </w:r>
      <w:r>
        <w:t>potential</w:t>
      </w:r>
      <w:r>
        <w:rPr>
          <w:spacing w:val="-11"/>
        </w:rPr>
        <w:t xml:space="preserve"> </w:t>
      </w:r>
      <w:r>
        <w:t>incentives</w:t>
      </w:r>
      <w:r>
        <w:rPr>
          <w:spacing w:val="-11"/>
        </w:rPr>
        <w:t xml:space="preserve"> </w:t>
      </w:r>
      <w:r>
        <w:t>to deny or limit care, especially for members with high risk factors or multiple health conditions. MassHealth should</w:t>
      </w:r>
      <w:r>
        <w:rPr>
          <w:spacing w:val="-11"/>
        </w:rPr>
        <w:t xml:space="preserve"> </w:t>
      </w:r>
      <w:r>
        <w:t>further</w:t>
      </w:r>
      <w:r>
        <w:rPr>
          <w:spacing w:val="-12"/>
        </w:rPr>
        <w:t xml:space="preserve"> </w:t>
      </w:r>
      <w:r>
        <w:t>conduct</w:t>
      </w:r>
      <w:r>
        <w:rPr>
          <w:spacing w:val="-12"/>
        </w:rPr>
        <w:t xml:space="preserve"> </w:t>
      </w:r>
      <w:r>
        <w:t>retrospective</w:t>
      </w:r>
      <w:r>
        <w:rPr>
          <w:spacing w:val="-13"/>
        </w:rPr>
        <w:t xml:space="preserve"> </w:t>
      </w:r>
      <w:r>
        <w:t>monitoring</w:t>
      </w:r>
      <w:r>
        <w:rPr>
          <w:spacing w:val="-12"/>
        </w:rPr>
        <w:t xml:space="preserve"> </w:t>
      </w:r>
      <w:r>
        <w:t>of</w:t>
      </w:r>
      <w:r>
        <w:rPr>
          <w:spacing w:val="-10"/>
        </w:rPr>
        <w:t xml:space="preserve"> </w:t>
      </w:r>
      <w:r>
        <w:t>under-service</w:t>
      </w:r>
      <w:r>
        <w:rPr>
          <w:spacing w:val="-7"/>
        </w:rPr>
        <w:t xml:space="preserve"> </w:t>
      </w:r>
      <w:r>
        <w:t>by</w:t>
      </w:r>
      <w:r>
        <w:rPr>
          <w:spacing w:val="-9"/>
        </w:rPr>
        <w:t xml:space="preserve"> </w:t>
      </w:r>
      <w:r>
        <w:t>assessing</w:t>
      </w:r>
      <w:r>
        <w:rPr>
          <w:spacing w:val="-12"/>
        </w:rPr>
        <w:t xml:space="preserve"> </w:t>
      </w:r>
      <w:r>
        <w:t>claims</w:t>
      </w:r>
      <w:r>
        <w:rPr>
          <w:spacing w:val="-10"/>
        </w:rPr>
        <w:t xml:space="preserve"> </w:t>
      </w:r>
      <w:r>
        <w:t>data</w:t>
      </w:r>
      <w:r>
        <w:rPr>
          <w:spacing w:val="-12"/>
        </w:rPr>
        <w:t xml:space="preserve"> </w:t>
      </w:r>
      <w:r>
        <w:t>and</w:t>
      </w:r>
      <w:r>
        <w:rPr>
          <w:spacing w:val="-11"/>
        </w:rPr>
        <w:t xml:space="preserve"> </w:t>
      </w:r>
      <w:r>
        <w:t>health</w:t>
      </w:r>
      <w:r>
        <w:rPr>
          <w:spacing w:val="-12"/>
        </w:rPr>
        <w:t xml:space="preserve"> </w:t>
      </w:r>
      <w:r>
        <w:t>outcomes over</w:t>
      </w:r>
      <w:r>
        <w:rPr>
          <w:spacing w:val="-9"/>
        </w:rPr>
        <w:t xml:space="preserve"> </w:t>
      </w:r>
      <w:r>
        <w:t>time</w:t>
      </w:r>
      <w:r>
        <w:rPr>
          <w:spacing w:val="-10"/>
        </w:rPr>
        <w:t xml:space="preserve"> </w:t>
      </w:r>
      <w:r>
        <w:t>to</w:t>
      </w:r>
      <w:r>
        <w:rPr>
          <w:spacing w:val="-5"/>
        </w:rPr>
        <w:t xml:space="preserve"> </w:t>
      </w:r>
      <w:r>
        <w:t>identify</w:t>
      </w:r>
      <w:r>
        <w:rPr>
          <w:spacing w:val="-7"/>
        </w:rPr>
        <w:t xml:space="preserve"> </w:t>
      </w:r>
      <w:r>
        <w:t>patterns</w:t>
      </w:r>
      <w:r>
        <w:rPr>
          <w:spacing w:val="-8"/>
        </w:rPr>
        <w:t xml:space="preserve"> </w:t>
      </w:r>
      <w:r>
        <w:t>of</w:t>
      </w:r>
      <w:r>
        <w:rPr>
          <w:spacing w:val="-11"/>
        </w:rPr>
        <w:t xml:space="preserve"> </w:t>
      </w:r>
      <w:r>
        <w:t>variation,</w:t>
      </w:r>
      <w:r>
        <w:rPr>
          <w:spacing w:val="-8"/>
        </w:rPr>
        <w:t xml:space="preserve"> </w:t>
      </w:r>
      <w:r>
        <w:t>which</w:t>
      </w:r>
      <w:r>
        <w:rPr>
          <w:spacing w:val="-9"/>
        </w:rPr>
        <w:t xml:space="preserve"> </w:t>
      </w:r>
      <w:r>
        <w:t>should</w:t>
      </w:r>
      <w:r>
        <w:rPr>
          <w:spacing w:val="-7"/>
        </w:rPr>
        <w:t xml:space="preserve"> </w:t>
      </w:r>
      <w:r>
        <w:t>be</w:t>
      </w:r>
      <w:r>
        <w:rPr>
          <w:spacing w:val="-8"/>
        </w:rPr>
        <w:t xml:space="preserve"> </w:t>
      </w:r>
      <w:r>
        <w:t>part</w:t>
      </w:r>
      <w:r>
        <w:rPr>
          <w:spacing w:val="-10"/>
        </w:rPr>
        <w:t xml:space="preserve"> </w:t>
      </w:r>
      <w:r>
        <w:t>of</w:t>
      </w:r>
      <w:r>
        <w:rPr>
          <w:spacing w:val="-8"/>
        </w:rPr>
        <w:t xml:space="preserve"> </w:t>
      </w:r>
      <w:r>
        <w:t>ACOs’</w:t>
      </w:r>
      <w:r>
        <w:rPr>
          <w:spacing w:val="-8"/>
        </w:rPr>
        <w:t xml:space="preserve"> </w:t>
      </w:r>
      <w:r>
        <w:t>quality</w:t>
      </w:r>
      <w:r>
        <w:rPr>
          <w:spacing w:val="-10"/>
        </w:rPr>
        <w:t xml:space="preserve"> </w:t>
      </w:r>
      <w:r>
        <w:t>metrics</w:t>
      </w:r>
      <w:r>
        <w:rPr>
          <w:spacing w:val="-8"/>
        </w:rPr>
        <w:t xml:space="preserve"> </w:t>
      </w:r>
      <w:r>
        <w:t>and</w:t>
      </w:r>
      <w:r>
        <w:rPr>
          <w:spacing w:val="-9"/>
        </w:rPr>
        <w:t xml:space="preserve"> </w:t>
      </w:r>
      <w:r>
        <w:t>reporting.</w:t>
      </w:r>
    </w:p>
    <w:p w:rsidR="002C5025" w:rsidRDefault="002C5025">
      <w:pPr>
        <w:pStyle w:val="BodyText"/>
        <w:kinsoku w:val="0"/>
        <w:overflowPunct w:val="0"/>
        <w:spacing w:before="10"/>
        <w:rPr>
          <w:sz w:val="21"/>
          <w:szCs w:val="21"/>
        </w:rPr>
      </w:pPr>
    </w:p>
    <w:p w:rsidR="002C5025" w:rsidRDefault="002C5025">
      <w:pPr>
        <w:pStyle w:val="BodyText"/>
        <w:kinsoku w:val="0"/>
        <w:overflowPunct w:val="0"/>
        <w:spacing w:before="1"/>
        <w:ind w:left="120" w:right="200"/>
        <w:rPr>
          <w:b/>
          <w:bCs/>
        </w:rPr>
      </w:pPr>
      <w:bookmarkStart w:id="13" w:name="Transparency,_Oversight_and_Member_Engag"/>
      <w:bookmarkEnd w:id="13"/>
      <w:r>
        <w:rPr>
          <w:b/>
          <w:bCs/>
          <w:u w:val="single"/>
        </w:rPr>
        <w:t>Transparency, Oversight and Member Engagement</w:t>
      </w:r>
    </w:p>
    <w:p w:rsidR="002C5025" w:rsidRDefault="002C5025">
      <w:pPr>
        <w:pStyle w:val="BodyText"/>
        <w:kinsoku w:val="0"/>
        <w:overflowPunct w:val="0"/>
        <w:ind w:left="119" w:right="200"/>
      </w:pPr>
      <w:r>
        <w:t xml:space="preserve">We are pleased that the waiver proposal calls for </w:t>
      </w:r>
      <w:r>
        <w:rPr>
          <w:spacing w:val="-3"/>
        </w:rPr>
        <w:t xml:space="preserve">ACOs </w:t>
      </w:r>
      <w:r>
        <w:t xml:space="preserve">to include members in their governance </w:t>
      </w:r>
      <w:r>
        <w:rPr>
          <w:spacing w:val="-2"/>
        </w:rPr>
        <w:t xml:space="preserve">boards </w:t>
      </w:r>
      <w:r>
        <w:t xml:space="preserve">and requires ACOs to establish Patient and Family Advisory Councils (PFACs). In order to ensure </w:t>
      </w:r>
      <w:r>
        <w:rPr>
          <w:spacing w:val="-3"/>
        </w:rPr>
        <w:t xml:space="preserve">meaningful </w:t>
      </w:r>
      <w:r>
        <w:t xml:space="preserve">engagement, members should be formally integrated as advisors in the design </w:t>
      </w:r>
      <w:r>
        <w:rPr>
          <w:spacing w:val="-3"/>
        </w:rPr>
        <w:t xml:space="preserve">and </w:t>
      </w:r>
      <w:r>
        <w:t>governance of ACO policies and</w:t>
      </w:r>
      <w:r>
        <w:rPr>
          <w:spacing w:val="-10"/>
        </w:rPr>
        <w:t xml:space="preserve"> </w:t>
      </w:r>
      <w:r>
        <w:t>procedures.</w:t>
      </w:r>
      <w:r>
        <w:rPr>
          <w:spacing w:val="-10"/>
        </w:rPr>
        <w:t xml:space="preserve"> </w:t>
      </w:r>
      <w:r>
        <w:t>In</w:t>
      </w:r>
      <w:r>
        <w:rPr>
          <w:spacing w:val="-10"/>
        </w:rPr>
        <w:t xml:space="preserve"> </w:t>
      </w:r>
      <w:r>
        <w:t>addition,</w:t>
      </w:r>
      <w:r>
        <w:rPr>
          <w:spacing w:val="-9"/>
        </w:rPr>
        <w:t xml:space="preserve"> </w:t>
      </w:r>
      <w:r>
        <w:t>the</w:t>
      </w:r>
      <w:r>
        <w:rPr>
          <w:spacing w:val="-7"/>
        </w:rPr>
        <w:t xml:space="preserve"> </w:t>
      </w:r>
      <w:r>
        <w:t>ACO-level</w:t>
      </w:r>
      <w:r>
        <w:rPr>
          <w:spacing w:val="-12"/>
        </w:rPr>
        <w:t xml:space="preserve"> </w:t>
      </w:r>
      <w:r>
        <w:t>PFACs</w:t>
      </w:r>
      <w:r>
        <w:rPr>
          <w:spacing w:val="-11"/>
        </w:rPr>
        <w:t xml:space="preserve"> </w:t>
      </w:r>
      <w:r>
        <w:rPr>
          <w:spacing w:val="-3"/>
        </w:rPr>
        <w:t>must</w:t>
      </w:r>
      <w:r>
        <w:rPr>
          <w:spacing w:val="-9"/>
        </w:rPr>
        <w:t xml:space="preserve"> </w:t>
      </w:r>
      <w:r>
        <w:t>coordinate</w:t>
      </w:r>
      <w:r>
        <w:rPr>
          <w:spacing w:val="-9"/>
        </w:rPr>
        <w:t xml:space="preserve"> </w:t>
      </w:r>
      <w:r>
        <w:t>closely</w:t>
      </w:r>
      <w:r>
        <w:rPr>
          <w:spacing w:val="-11"/>
        </w:rPr>
        <w:t xml:space="preserve"> </w:t>
      </w:r>
      <w:r>
        <w:t>with</w:t>
      </w:r>
      <w:r>
        <w:rPr>
          <w:spacing w:val="-10"/>
        </w:rPr>
        <w:t xml:space="preserve"> </w:t>
      </w:r>
      <w:r>
        <w:t>the</w:t>
      </w:r>
      <w:r>
        <w:rPr>
          <w:spacing w:val="-9"/>
        </w:rPr>
        <w:t xml:space="preserve"> </w:t>
      </w:r>
      <w:r>
        <w:t>already</w:t>
      </w:r>
      <w:r>
        <w:rPr>
          <w:spacing w:val="-11"/>
        </w:rPr>
        <w:t xml:space="preserve"> </w:t>
      </w:r>
      <w:r>
        <w:t>established</w:t>
      </w:r>
      <w:r>
        <w:rPr>
          <w:spacing w:val="-10"/>
        </w:rPr>
        <w:t xml:space="preserve"> </w:t>
      </w:r>
      <w:r>
        <w:t>hospital- level</w:t>
      </w:r>
      <w:r>
        <w:rPr>
          <w:spacing w:val="-11"/>
        </w:rPr>
        <w:t xml:space="preserve"> </w:t>
      </w:r>
      <w:r>
        <w:t>PFACs.</w:t>
      </w:r>
    </w:p>
    <w:p w:rsidR="002C5025" w:rsidRDefault="002C5025">
      <w:pPr>
        <w:pStyle w:val="BodyText"/>
        <w:kinsoku w:val="0"/>
        <w:overflowPunct w:val="0"/>
        <w:rPr>
          <w:sz w:val="20"/>
          <w:szCs w:val="20"/>
        </w:rPr>
      </w:pPr>
    </w:p>
    <w:p w:rsidR="002C5025" w:rsidRDefault="002C5025">
      <w:pPr>
        <w:pStyle w:val="BodyText"/>
        <w:kinsoku w:val="0"/>
        <w:overflowPunct w:val="0"/>
        <w:spacing w:before="6"/>
      </w:pPr>
    </w:p>
    <w:p w:rsidR="002C5025" w:rsidRDefault="002C5025">
      <w:pPr>
        <w:pStyle w:val="BodyText"/>
        <w:kinsoku w:val="0"/>
        <w:overflowPunct w:val="0"/>
        <w:spacing w:before="64"/>
        <w:ind w:left="104"/>
        <w:jc w:val="center"/>
        <w:rPr>
          <w:sz w:val="18"/>
          <w:szCs w:val="18"/>
        </w:rPr>
      </w:pPr>
      <w:r>
        <w:rPr>
          <w:sz w:val="18"/>
          <w:szCs w:val="18"/>
        </w:rPr>
        <w:t>7</w:t>
      </w:r>
    </w:p>
    <w:p w:rsidR="002C5025" w:rsidRDefault="002C5025">
      <w:pPr>
        <w:pStyle w:val="BodyText"/>
        <w:kinsoku w:val="0"/>
        <w:overflowPunct w:val="0"/>
        <w:spacing w:before="64"/>
        <w:ind w:left="104"/>
        <w:jc w:val="center"/>
        <w:rPr>
          <w:sz w:val="18"/>
          <w:szCs w:val="18"/>
        </w:rPr>
        <w:sectPr w:rsidR="002C5025">
          <w:pgSz w:w="12240" w:h="15840"/>
          <w:pgMar w:top="1040" w:right="1060" w:bottom="280" w:left="960" w:header="720" w:footer="720" w:gutter="0"/>
          <w:cols w:space="720" w:equalWidth="0">
            <w:col w:w="10220"/>
          </w:cols>
          <w:noEndnote/>
        </w:sectPr>
      </w:pPr>
    </w:p>
    <w:p w:rsidR="002C5025" w:rsidRDefault="002C5025">
      <w:pPr>
        <w:pStyle w:val="BodyText"/>
        <w:kinsoku w:val="0"/>
        <w:overflowPunct w:val="0"/>
        <w:spacing w:before="32"/>
        <w:ind w:left="117" w:right="103" w:firstLine="2"/>
      </w:pPr>
      <w:r>
        <w:lastRenderedPageBreak/>
        <w:t>We</w:t>
      </w:r>
      <w:r>
        <w:rPr>
          <w:spacing w:val="-6"/>
        </w:rPr>
        <w:t xml:space="preserve"> </w:t>
      </w:r>
      <w:r>
        <w:rPr>
          <w:spacing w:val="-3"/>
        </w:rPr>
        <w:t>have</w:t>
      </w:r>
      <w:r>
        <w:rPr>
          <w:spacing w:val="-9"/>
        </w:rPr>
        <w:t xml:space="preserve"> </w:t>
      </w:r>
      <w:r>
        <w:t>two</w:t>
      </w:r>
      <w:r>
        <w:rPr>
          <w:spacing w:val="-8"/>
        </w:rPr>
        <w:t xml:space="preserve"> </w:t>
      </w:r>
      <w:r>
        <w:t>additional</w:t>
      </w:r>
      <w:r>
        <w:rPr>
          <w:spacing w:val="-9"/>
        </w:rPr>
        <w:t xml:space="preserve"> </w:t>
      </w:r>
      <w:r>
        <w:t>suggestions</w:t>
      </w:r>
      <w:r>
        <w:rPr>
          <w:spacing w:val="-9"/>
        </w:rPr>
        <w:t xml:space="preserve"> </w:t>
      </w:r>
      <w:r>
        <w:t>to</w:t>
      </w:r>
      <w:r>
        <w:rPr>
          <w:spacing w:val="-8"/>
        </w:rPr>
        <w:t xml:space="preserve"> </w:t>
      </w:r>
      <w:r>
        <w:t>strengthen</w:t>
      </w:r>
      <w:r>
        <w:rPr>
          <w:spacing w:val="-10"/>
        </w:rPr>
        <w:t xml:space="preserve"> </w:t>
      </w:r>
      <w:r>
        <w:t>the</w:t>
      </w:r>
      <w:r>
        <w:rPr>
          <w:spacing w:val="-9"/>
        </w:rPr>
        <w:t xml:space="preserve"> </w:t>
      </w:r>
      <w:r>
        <w:t>transparency</w:t>
      </w:r>
      <w:r>
        <w:rPr>
          <w:spacing w:val="-6"/>
        </w:rPr>
        <w:t xml:space="preserve"> </w:t>
      </w:r>
      <w:r>
        <w:t>and</w:t>
      </w:r>
      <w:r>
        <w:rPr>
          <w:spacing w:val="-14"/>
        </w:rPr>
        <w:t xml:space="preserve"> </w:t>
      </w:r>
      <w:r>
        <w:t>oversight</w:t>
      </w:r>
      <w:r>
        <w:rPr>
          <w:spacing w:val="-9"/>
        </w:rPr>
        <w:t xml:space="preserve"> </w:t>
      </w:r>
      <w:r>
        <w:t>of</w:t>
      </w:r>
      <w:r>
        <w:rPr>
          <w:spacing w:val="-7"/>
        </w:rPr>
        <w:t xml:space="preserve"> </w:t>
      </w:r>
      <w:r>
        <w:t>ACO</w:t>
      </w:r>
      <w:r>
        <w:rPr>
          <w:spacing w:val="-7"/>
        </w:rPr>
        <w:t xml:space="preserve"> </w:t>
      </w:r>
      <w:r>
        <w:t>implementation.</w:t>
      </w:r>
      <w:r>
        <w:rPr>
          <w:spacing w:val="-5"/>
        </w:rPr>
        <w:t xml:space="preserve"> </w:t>
      </w:r>
      <w:r>
        <w:t xml:space="preserve">First, MassHealth should establish an oversight Steering Committee modeled after the One </w:t>
      </w:r>
      <w:r>
        <w:rPr>
          <w:spacing w:val="-3"/>
        </w:rPr>
        <w:t xml:space="preserve">Care </w:t>
      </w:r>
      <w:r>
        <w:t xml:space="preserve">Implementation Council. The Steering Committee should have significant authority, and include stakeholders, both clinical </w:t>
      </w:r>
      <w:r>
        <w:rPr>
          <w:spacing w:val="-3"/>
        </w:rPr>
        <w:t xml:space="preserve">and </w:t>
      </w:r>
      <w:r>
        <w:t xml:space="preserve">non-clinical, including members, community-based organizations, and social services agencies, as well as </w:t>
      </w:r>
      <w:r>
        <w:rPr>
          <w:spacing w:val="-2"/>
        </w:rPr>
        <w:t xml:space="preserve">key </w:t>
      </w:r>
      <w:r>
        <w:t>state</w:t>
      </w:r>
      <w:r>
        <w:rPr>
          <w:spacing w:val="-9"/>
        </w:rPr>
        <w:t xml:space="preserve"> </w:t>
      </w:r>
      <w:r>
        <w:t>legislators</w:t>
      </w:r>
      <w:r>
        <w:rPr>
          <w:spacing w:val="-7"/>
        </w:rPr>
        <w:t xml:space="preserve"> </w:t>
      </w:r>
      <w:r>
        <w:t>and</w:t>
      </w:r>
      <w:r>
        <w:rPr>
          <w:spacing w:val="-11"/>
        </w:rPr>
        <w:t xml:space="preserve"> </w:t>
      </w:r>
      <w:r>
        <w:t>other</w:t>
      </w:r>
      <w:r>
        <w:rPr>
          <w:spacing w:val="-13"/>
        </w:rPr>
        <w:t xml:space="preserve"> </w:t>
      </w:r>
      <w:r>
        <w:t>policymakers.</w:t>
      </w:r>
      <w:r>
        <w:rPr>
          <w:spacing w:val="-10"/>
        </w:rPr>
        <w:t xml:space="preserve"> </w:t>
      </w:r>
      <w:r>
        <w:rPr>
          <w:spacing w:val="-2"/>
        </w:rPr>
        <w:t>The</w:t>
      </w:r>
      <w:r>
        <w:rPr>
          <w:spacing w:val="-11"/>
        </w:rPr>
        <w:t xml:space="preserve"> </w:t>
      </w:r>
      <w:r>
        <w:t>Committee</w:t>
      </w:r>
      <w:r>
        <w:rPr>
          <w:spacing w:val="-6"/>
        </w:rPr>
        <w:t xml:space="preserve"> </w:t>
      </w:r>
      <w:r>
        <w:t>should</w:t>
      </w:r>
      <w:r>
        <w:rPr>
          <w:spacing w:val="-10"/>
        </w:rPr>
        <w:t xml:space="preserve"> </w:t>
      </w:r>
      <w:r>
        <w:t>serve</w:t>
      </w:r>
      <w:r>
        <w:rPr>
          <w:spacing w:val="-9"/>
        </w:rPr>
        <w:t xml:space="preserve"> </w:t>
      </w:r>
      <w:r>
        <w:t>as</w:t>
      </w:r>
      <w:r>
        <w:rPr>
          <w:spacing w:val="-9"/>
        </w:rPr>
        <w:t xml:space="preserve"> </w:t>
      </w:r>
      <w:r>
        <w:t>a</w:t>
      </w:r>
      <w:r>
        <w:rPr>
          <w:spacing w:val="-7"/>
        </w:rPr>
        <w:t xml:space="preserve"> </w:t>
      </w:r>
      <w:r>
        <w:t>public</w:t>
      </w:r>
      <w:r>
        <w:rPr>
          <w:spacing w:val="-11"/>
        </w:rPr>
        <w:t xml:space="preserve"> </w:t>
      </w:r>
      <w:r>
        <w:t>forum</w:t>
      </w:r>
      <w:r>
        <w:rPr>
          <w:spacing w:val="-11"/>
        </w:rPr>
        <w:t xml:space="preserve"> </w:t>
      </w:r>
      <w:r>
        <w:t>to</w:t>
      </w:r>
      <w:r>
        <w:rPr>
          <w:spacing w:val="-6"/>
        </w:rPr>
        <w:t xml:space="preserve"> </w:t>
      </w:r>
      <w:r>
        <w:t>provide</w:t>
      </w:r>
      <w:r>
        <w:rPr>
          <w:spacing w:val="-9"/>
        </w:rPr>
        <w:t xml:space="preserve"> </w:t>
      </w:r>
      <w:r>
        <w:t>accountability to</w:t>
      </w:r>
      <w:r>
        <w:rPr>
          <w:spacing w:val="-7"/>
        </w:rPr>
        <w:t xml:space="preserve"> </w:t>
      </w:r>
      <w:r>
        <w:t>make</w:t>
      </w:r>
      <w:r>
        <w:rPr>
          <w:spacing w:val="-6"/>
        </w:rPr>
        <w:t xml:space="preserve"> </w:t>
      </w:r>
      <w:r>
        <w:rPr>
          <w:spacing w:val="-3"/>
        </w:rPr>
        <w:t>sure</w:t>
      </w:r>
      <w:r>
        <w:rPr>
          <w:spacing w:val="-8"/>
        </w:rPr>
        <w:t xml:space="preserve"> </w:t>
      </w:r>
      <w:r>
        <w:t>the</w:t>
      </w:r>
      <w:r>
        <w:rPr>
          <w:spacing w:val="-4"/>
        </w:rPr>
        <w:t xml:space="preserve"> </w:t>
      </w:r>
      <w:r>
        <w:t>demonstration</w:t>
      </w:r>
      <w:r>
        <w:rPr>
          <w:spacing w:val="-9"/>
        </w:rPr>
        <w:t xml:space="preserve"> </w:t>
      </w:r>
      <w:r>
        <w:t>is</w:t>
      </w:r>
      <w:r>
        <w:rPr>
          <w:spacing w:val="-13"/>
        </w:rPr>
        <w:t xml:space="preserve"> </w:t>
      </w:r>
      <w:r>
        <w:t>meeting</w:t>
      </w:r>
      <w:r>
        <w:rPr>
          <w:spacing w:val="-9"/>
        </w:rPr>
        <w:t xml:space="preserve"> </w:t>
      </w:r>
      <w:r>
        <w:t>its</w:t>
      </w:r>
      <w:r>
        <w:rPr>
          <w:spacing w:val="-8"/>
        </w:rPr>
        <w:t xml:space="preserve"> </w:t>
      </w:r>
      <w:r>
        <w:t>goals,</w:t>
      </w:r>
      <w:r>
        <w:rPr>
          <w:spacing w:val="-8"/>
        </w:rPr>
        <w:t xml:space="preserve"> </w:t>
      </w:r>
      <w:r>
        <w:t>and</w:t>
      </w:r>
      <w:r>
        <w:rPr>
          <w:spacing w:val="-9"/>
        </w:rPr>
        <w:t xml:space="preserve"> </w:t>
      </w:r>
      <w:r>
        <w:t>to</w:t>
      </w:r>
      <w:r>
        <w:rPr>
          <w:spacing w:val="-7"/>
        </w:rPr>
        <w:t xml:space="preserve"> </w:t>
      </w:r>
      <w:r>
        <w:t>identify</w:t>
      </w:r>
      <w:r>
        <w:rPr>
          <w:spacing w:val="-6"/>
        </w:rPr>
        <w:t xml:space="preserve"> </w:t>
      </w:r>
      <w:r>
        <w:t>areas</w:t>
      </w:r>
      <w:r>
        <w:rPr>
          <w:spacing w:val="-7"/>
        </w:rPr>
        <w:t xml:space="preserve"> </w:t>
      </w:r>
      <w:r>
        <w:t>for</w:t>
      </w:r>
      <w:r>
        <w:rPr>
          <w:spacing w:val="-7"/>
        </w:rPr>
        <w:t xml:space="preserve"> </w:t>
      </w:r>
      <w:r>
        <w:t>improvement.</w:t>
      </w:r>
    </w:p>
    <w:p w:rsidR="002C5025" w:rsidRDefault="002C5025">
      <w:pPr>
        <w:pStyle w:val="BodyText"/>
        <w:kinsoku w:val="0"/>
        <w:overflowPunct w:val="0"/>
      </w:pPr>
    </w:p>
    <w:p w:rsidR="002C5025" w:rsidRDefault="002C5025">
      <w:pPr>
        <w:pStyle w:val="BodyText"/>
        <w:kinsoku w:val="0"/>
        <w:overflowPunct w:val="0"/>
        <w:ind w:left="115" w:right="133" w:firstLine="1"/>
      </w:pPr>
      <w:r>
        <w:t xml:space="preserve">Second, MassHealth and </w:t>
      </w:r>
      <w:r>
        <w:rPr>
          <w:spacing w:val="-3"/>
        </w:rPr>
        <w:t xml:space="preserve">the </w:t>
      </w:r>
      <w:r>
        <w:t xml:space="preserve">ACO Steering Committee should continuously monitor and evaluate the program’s implementation through development and dissemination of a public dashboard. This will also require publicly setting system-wide, measurable goals for what we hope to accomplish by moving care to ACOs, such as reduced hospitalizations </w:t>
      </w:r>
      <w:r>
        <w:rPr>
          <w:spacing w:val="-3"/>
        </w:rPr>
        <w:t xml:space="preserve">and </w:t>
      </w:r>
      <w:r>
        <w:t>institutionalization, improved quality of life, improved health outcomes, and reduction of health disparities.</w:t>
      </w:r>
    </w:p>
    <w:p w:rsidR="002C5025" w:rsidRDefault="002C5025">
      <w:pPr>
        <w:pStyle w:val="BodyText"/>
        <w:kinsoku w:val="0"/>
        <w:overflowPunct w:val="0"/>
      </w:pPr>
    </w:p>
    <w:p w:rsidR="002C5025" w:rsidRDefault="002C5025">
      <w:pPr>
        <w:pStyle w:val="BodyText"/>
        <w:kinsoku w:val="0"/>
        <w:overflowPunct w:val="0"/>
        <w:ind w:left="115" w:right="210" w:hanging="1"/>
        <w:rPr>
          <w:color w:val="000000"/>
        </w:rPr>
      </w:pPr>
      <w:r>
        <w:t>We</w:t>
      </w:r>
      <w:r>
        <w:rPr>
          <w:spacing w:val="-9"/>
        </w:rPr>
        <w:t xml:space="preserve"> </w:t>
      </w:r>
      <w:r>
        <w:t>appreciate</w:t>
      </w:r>
      <w:r>
        <w:rPr>
          <w:spacing w:val="-11"/>
        </w:rPr>
        <w:t xml:space="preserve"> </w:t>
      </w:r>
      <w:r>
        <w:t>the</w:t>
      </w:r>
      <w:r>
        <w:rPr>
          <w:spacing w:val="-11"/>
        </w:rPr>
        <w:t xml:space="preserve"> </w:t>
      </w:r>
      <w:r>
        <w:t>opportunity</w:t>
      </w:r>
      <w:r>
        <w:rPr>
          <w:spacing w:val="-9"/>
        </w:rPr>
        <w:t xml:space="preserve"> </w:t>
      </w:r>
      <w:r>
        <w:t>to</w:t>
      </w:r>
      <w:r>
        <w:rPr>
          <w:spacing w:val="-7"/>
        </w:rPr>
        <w:t xml:space="preserve"> </w:t>
      </w:r>
      <w:r>
        <w:t>provide</w:t>
      </w:r>
      <w:r>
        <w:rPr>
          <w:spacing w:val="-11"/>
        </w:rPr>
        <w:t xml:space="preserve"> </w:t>
      </w:r>
      <w:r>
        <w:t>feedback</w:t>
      </w:r>
      <w:r>
        <w:rPr>
          <w:spacing w:val="-11"/>
        </w:rPr>
        <w:t xml:space="preserve"> </w:t>
      </w:r>
      <w:r>
        <w:t>on</w:t>
      </w:r>
      <w:r>
        <w:rPr>
          <w:spacing w:val="-10"/>
        </w:rPr>
        <w:t xml:space="preserve"> </w:t>
      </w:r>
      <w:r>
        <w:t>the</w:t>
      </w:r>
      <w:r>
        <w:rPr>
          <w:spacing w:val="-13"/>
        </w:rPr>
        <w:t xml:space="preserve"> </w:t>
      </w:r>
      <w:r>
        <w:t>MassHealth</w:t>
      </w:r>
      <w:r>
        <w:rPr>
          <w:spacing w:val="-10"/>
        </w:rPr>
        <w:t xml:space="preserve"> </w:t>
      </w:r>
      <w:r>
        <w:t>1115</w:t>
      </w:r>
      <w:r>
        <w:rPr>
          <w:spacing w:val="-11"/>
        </w:rPr>
        <w:t xml:space="preserve"> </w:t>
      </w:r>
      <w:r>
        <w:t>Medicaid</w:t>
      </w:r>
      <w:r>
        <w:rPr>
          <w:spacing w:val="-10"/>
        </w:rPr>
        <w:t xml:space="preserve"> </w:t>
      </w:r>
      <w:r>
        <w:t>Demonstration</w:t>
      </w:r>
      <w:r>
        <w:rPr>
          <w:spacing w:val="-8"/>
        </w:rPr>
        <w:t xml:space="preserve"> </w:t>
      </w:r>
      <w:r>
        <w:t xml:space="preserve">Waiver proposal. Should you </w:t>
      </w:r>
      <w:r>
        <w:rPr>
          <w:spacing w:val="-3"/>
        </w:rPr>
        <w:t xml:space="preserve">have </w:t>
      </w:r>
      <w:r>
        <w:t xml:space="preserve">any questions or wish to </w:t>
      </w:r>
      <w:r>
        <w:rPr>
          <w:spacing w:val="-4"/>
        </w:rPr>
        <w:t xml:space="preserve">discuss </w:t>
      </w:r>
      <w:r>
        <w:t>these comments further, please contact Suzanne Curry,</w:t>
      </w:r>
      <w:r>
        <w:rPr>
          <w:spacing w:val="-7"/>
        </w:rPr>
        <w:t xml:space="preserve"> </w:t>
      </w:r>
      <w:r>
        <w:t>Senior</w:t>
      </w:r>
      <w:r>
        <w:rPr>
          <w:spacing w:val="-6"/>
        </w:rPr>
        <w:t xml:space="preserve"> </w:t>
      </w:r>
      <w:r>
        <w:t>Health</w:t>
      </w:r>
      <w:r>
        <w:rPr>
          <w:spacing w:val="-8"/>
        </w:rPr>
        <w:t xml:space="preserve"> </w:t>
      </w:r>
      <w:r>
        <w:t>Policy</w:t>
      </w:r>
      <w:r>
        <w:rPr>
          <w:spacing w:val="-9"/>
        </w:rPr>
        <w:t xml:space="preserve"> </w:t>
      </w:r>
      <w:r>
        <w:t>Manager,</w:t>
      </w:r>
      <w:r>
        <w:rPr>
          <w:spacing w:val="-7"/>
        </w:rPr>
        <w:t xml:space="preserve"> </w:t>
      </w:r>
      <w:r>
        <w:t>Health</w:t>
      </w:r>
      <w:r>
        <w:rPr>
          <w:spacing w:val="-8"/>
        </w:rPr>
        <w:t xml:space="preserve"> </w:t>
      </w:r>
      <w:r>
        <w:rPr>
          <w:spacing w:val="-3"/>
        </w:rPr>
        <w:t>Care</w:t>
      </w:r>
      <w:r>
        <w:rPr>
          <w:spacing w:val="-7"/>
        </w:rPr>
        <w:t xml:space="preserve"> </w:t>
      </w:r>
      <w:r>
        <w:rPr>
          <w:spacing w:val="-2"/>
        </w:rPr>
        <w:t>For</w:t>
      </w:r>
      <w:r>
        <w:rPr>
          <w:spacing w:val="-10"/>
        </w:rPr>
        <w:t xml:space="preserve"> </w:t>
      </w:r>
      <w:r>
        <w:t>All,</w:t>
      </w:r>
      <w:r>
        <w:rPr>
          <w:spacing w:val="-6"/>
        </w:rPr>
        <w:t xml:space="preserve"> </w:t>
      </w:r>
      <w:r>
        <w:t>at</w:t>
      </w:r>
      <w:r>
        <w:rPr>
          <w:spacing w:val="-7"/>
        </w:rPr>
        <w:t xml:space="preserve"> </w:t>
      </w:r>
      <w:r>
        <w:t>(617)</w:t>
      </w:r>
      <w:r>
        <w:rPr>
          <w:spacing w:val="-9"/>
        </w:rPr>
        <w:t xml:space="preserve"> </w:t>
      </w:r>
      <w:r>
        <w:t>275-2977</w:t>
      </w:r>
      <w:r>
        <w:rPr>
          <w:spacing w:val="-9"/>
        </w:rPr>
        <w:t xml:space="preserve"> </w:t>
      </w:r>
      <w:r>
        <w:t>or</w:t>
      </w:r>
      <w:r>
        <w:rPr>
          <w:spacing w:val="-8"/>
        </w:rPr>
        <w:t xml:space="preserve"> </w:t>
      </w:r>
      <w:hyperlink r:id="rId68" w:history="1">
        <w:r>
          <w:rPr>
            <w:color w:val="0000FF"/>
            <w:u w:val="single"/>
          </w:rPr>
          <w:t>scurry@hcfama.org</w:t>
        </w:r>
        <w:r>
          <w:rPr>
            <w:color w:val="000000"/>
          </w:rPr>
          <w:t>.</w:t>
        </w:r>
      </w:hyperlink>
      <w:r>
        <w:rPr>
          <w:color w:val="000000"/>
          <w:spacing w:val="-2"/>
        </w:rPr>
        <w:t xml:space="preserve"> </w:t>
      </w:r>
      <w:r>
        <w:rPr>
          <w:color w:val="000000"/>
        </w:rPr>
        <w:t>Thank</w:t>
      </w:r>
      <w:r>
        <w:rPr>
          <w:color w:val="000000"/>
          <w:spacing w:val="-9"/>
        </w:rPr>
        <w:t xml:space="preserve"> </w:t>
      </w:r>
      <w:r>
        <w:rPr>
          <w:color w:val="000000"/>
        </w:rPr>
        <w:t>you for your</w:t>
      </w:r>
      <w:r>
        <w:rPr>
          <w:color w:val="000000"/>
          <w:spacing w:val="-34"/>
        </w:rPr>
        <w:t xml:space="preserve"> </w:t>
      </w:r>
      <w:r>
        <w:rPr>
          <w:color w:val="000000"/>
        </w:rPr>
        <w:t>consideration.</w:t>
      </w:r>
    </w:p>
    <w:p w:rsidR="002C5025" w:rsidRDefault="002C5025">
      <w:pPr>
        <w:pStyle w:val="BodyText"/>
        <w:kinsoku w:val="0"/>
        <w:overflowPunct w:val="0"/>
      </w:pPr>
    </w:p>
    <w:p w:rsidR="002C5025" w:rsidRDefault="002C5025">
      <w:pPr>
        <w:pStyle w:val="BodyText"/>
        <w:kinsoku w:val="0"/>
        <w:overflowPunct w:val="0"/>
        <w:ind w:left="120" w:right="200"/>
      </w:pPr>
      <w:r>
        <w:t>Sincerely,</w:t>
      </w:r>
    </w:p>
    <w:p w:rsidR="002C5025" w:rsidRDefault="002C5025">
      <w:pPr>
        <w:pStyle w:val="BodyText"/>
        <w:kinsoku w:val="0"/>
        <w:overflowPunct w:val="0"/>
        <w:spacing w:before="4"/>
        <w:rPr>
          <w:sz w:val="17"/>
          <w:szCs w:val="17"/>
        </w:rPr>
      </w:pPr>
    </w:p>
    <w:p w:rsidR="002C5025" w:rsidRDefault="002C5025">
      <w:pPr>
        <w:pStyle w:val="BodyText"/>
        <w:kinsoku w:val="0"/>
        <w:overflowPunct w:val="0"/>
        <w:spacing w:before="4"/>
        <w:rPr>
          <w:sz w:val="17"/>
          <w:szCs w:val="17"/>
        </w:rPr>
        <w:sectPr w:rsidR="002C5025">
          <w:pgSz w:w="12240" w:h="15840"/>
          <w:pgMar w:top="1040" w:right="1060" w:bottom="280" w:left="960" w:header="720" w:footer="720" w:gutter="0"/>
          <w:cols w:space="720"/>
          <w:noEndnote/>
        </w:sectPr>
      </w:pPr>
    </w:p>
    <w:p w:rsidR="002C5025" w:rsidRDefault="002C5025">
      <w:pPr>
        <w:pStyle w:val="BodyText"/>
        <w:kinsoku w:val="0"/>
        <w:overflowPunct w:val="0"/>
        <w:spacing w:before="57"/>
        <w:ind w:left="119" w:right="-4"/>
      </w:pPr>
      <w:r>
        <w:lastRenderedPageBreak/>
        <w:t xml:space="preserve">1199 </w:t>
      </w:r>
      <w:r>
        <w:rPr>
          <w:spacing w:val="-3"/>
        </w:rPr>
        <w:t xml:space="preserve">SEIU </w:t>
      </w:r>
      <w:r>
        <w:t xml:space="preserve">- United </w:t>
      </w:r>
      <w:r>
        <w:rPr>
          <w:spacing w:val="-3"/>
        </w:rPr>
        <w:t xml:space="preserve">Healthcare </w:t>
      </w:r>
      <w:r>
        <w:t xml:space="preserve">Workers </w:t>
      </w:r>
      <w:r>
        <w:rPr>
          <w:spacing w:val="-3"/>
        </w:rPr>
        <w:t xml:space="preserve">East </w:t>
      </w:r>
      <w:r>
        <w:t>Action</w:t>
      </w:r>
      <w:r>
        <w:rPr>
          <w:spacing w:val="-10"/>
        </w:rPr>
        <w:t xml:space="preserve"> </w:t>
      </w:r>
      <w:r>
        <w:t>for</w:t>
      </w:r>
      <w:r>
        <w:rPr>
          <w:spacing w:val="-8"/>
        </w:rPr>
        <w:t xml:space="preserve"> </w:t>
      </w:r>
      <w:r>
        <w:t>Boston</w:t>
      </w:r>
      <w:r>
        <w:rPr>
          <w:spacing w:val="-10"/>
        </w:rPr>
        <w:t xml:space="preserve"> </w:t>
      </w:r>
      <w:r>
        <w:t>Community</w:t>
      </w:r>
      <w:r>
        <w:rPr>
          <w:spacing w:val="-11"/>
        </w:rPr>
        <w:t xml:space="preserve"> </w:t>
      </w:r>
      <w:r>
        <w:t>Development,</w:t>
      </w:r>
      <w:r>
        <w:rPr>
          <w:spacing w:val="-10"/>
        </w:rPr>
        <w:t xml:space="preserve"> </w:t>
      </w:r>
      <w:r>
        <w:t>Inc. The Arc of</w:t>
      </w:r>
      <w:r>
        <w:rPr>
          <w:spacing w:val="-29"/>
        </w:rPr>
        <w:t xml:space="preserve"> </w:t>
      </w:r>
      <w:r>
        <w:t>Massachusetts</w:t>
      </w:r>
    </w:p>
    <w:p w:rsidR="002C5025" w:rsidRDefault="002C5025">
      <w:pPr>
        <w:pStyle w:val="BodyText"/>
        <w:kinsoku w:val="0"/>
        <w:overflowPunct w:val="0"/>
        <w:ind w:left="119" w:right="466"/>
      </w:pPr>
      <w:r>
        <w:t>Boston Center for Independent Living Center for Living &amp; Working, Inc.</w:t>
      </w:r>
    </w:p>
    <w:p w:rsidR="002C5025" w:rsidRDefault="002C5025">
      <w:pPr>
        <w:pStyle w:val="BodyText"/>
        <w:kinsoku w:val="0"/>
        <w:overflowPunct w:val="0"/>
        <w:ind w:left="118" w:right="466"/>
      </w:pPr>
      <w:r>
        <w:t>Children’s Mental Health Campaign Community Servings</w:t>
      </w:r>
    </w:p>
    <w:p w:rsidR="002C5025" w:rsidRDefault="002C5025">
      <w:pPr>
        <w:pStyle w:val="BodyText"/>
        <w:kinsoku w:val="0"/>
        <w:overflowPunct w:val="0"/>
        <w:ind w:left="118" w:right="1633"/>
      </w:pPr>
      <w:r>
        <w:t>Disability Law Center Disability Policy Consortium Easter Seals Massachusetts Ethos</w:t>
      </w:r>
    </w:p>
    <w:p w:rsidR="002C5025" w:rsidRDefault="002C5025">
      <w:pPr>
        <w:pStyle w:val="BodyText"/>
        <w:kinsoku w:val="0"/>
        <w:overflowPunct w:val="0"/>
        <w:ind w:left="118" w:right="466"/>
      </w:pPr>
      <w:r>
        <w:t>Federation for Children with Special Needs The Greater Boston Food Bank</w:t>
      </w:r>
    </w:p>
    <w:p w:rsidR="002C5025" w:rsidRDefault="002C5025">
      <w:pPr>
        <w:pStyle w:val="BodyText"/>
        <w:kinsoku w:val="0"/>
        <w:overflowPunct w:val="0"/>
        <w:ind w:left="118" w:right="466"/>
      </w:pPr>
      <w:r>
        <w:t>Greater Boston Interfaith Organization Greater Boston Legal Services</w:t>
      </w:r>
    </w:p>
    <w:p w:rsidR="002C5025" w:rsidRDefault="002C5025">
      <w:pPr>
        <w:pStyle w:val="BodyText"/>
        <w:kinsoku w:val="0"/>
        <w:overflowPunct w:val="0"/>
        <w:spacing w:before="56"/>
        <w:ind w:left="118" w:right="2457"/>
      </w:pPr>
      <w:r>
        <w:rPr>
          <w:rFonts w:ascii="Times New Roman" w:hAnsi="Times New Roman" w:cs="Times New Roman"/>
          <w:sz w:val="24"/>
          <w:szCs w:val="24"/>
        </w:rPr>
        <w:br w:type="column"/>
      </w:r>
      <w:r>
        <w:lastRenderedPageBreak/>
        <w:t xml:space="preserve">Health Care For All Health Law Advocates </w:t>
      </w:r>
      <w:proofErr w:type="spellStart"/>
      <w:r>
        <w:t>MassADAPT</w:t>
      </w:r>
      <w:proofErr w:type="spellEnd"/>
    </w:p>
    <w:p w:rsidR="002C5025" w:rsidRDefault="002C5025">
      <w:pPr>
        <w:pStyle w:val="BodyText"/>
        <w:kinsoku w:val="0"/>
        <w:overflowPunct w:val="0"/>
        <w:ind w:left="118" w:right="131"/>
      </w:pPr>
      <w:r>
        <w:t>Massachusetts Association of Community Health Workers</w:t>
      </w:r>
    </w:p>
    <w:p w:rsidR="002C5025" w:rsidRDefault="002C5025">
      <w:pPr>
        <w:pStyle w:val="BodyText"/>
        <w:kinsoku w:val="0"/>
        <w:overflowPunct w:val="0"/>
        <w:spacing w:before="5" w:line="265" w:lineRule="exact"/>
        <w:ind w:left="118" w:right="2457"/>
      </w:pPr>
      <w:r>
        <w:t>Mass Home Care</w:t>
      </w:r>
    </w:p>
    <w:p w:rsidR="002C5025" w:rsidRDefault="002C5025">
      <w:pPr>
        <w:pStyle w:val="BodyText"/>
        <w:kinsoku w:val="0"/>
        <w:overflowPunct w:val="0"/>
        <w:ind w:left="118" w:right="131"/>
      </w:pPr>
      <w:r>
        <w:t>Massachusetts Law Reform Institute Massachusetts</w:t>
      </w:r>
      <w:r>
        <w:rPr>
          <w:spacing w:val="-16"/>
        </w:rPr>
        <w:t xml:space="preserve"> </w:t>
      </w:r>
      <w:r>
        <w:t>Organization</w:t>
      </w:r>
      <w:r>
        <w:rPr>
          <w:spacing w:val="-13"/>
        </w:rPr>
        <w:t xml:space="preserve"> </w:t>
      </w:r>
      <w:r>
        <w:t>for</w:t>
      </w:r>
      <w:r>
        <w:rPr>
          <w:spacing w:val="-13"/>
        </w:rPr>
        <w:t xml:space="preserve"> </w:t>
      </w:r>
      <w:r>
        <w:t>Addiction</w:t>
      </w:r>
      <w:r>
        <w:rPr>
          <w:spacing w:val="-18"/>
        </w:rPr>
        <w:t xml:space="preserve"> </w:t>
      </w:r>
      <w:r>
        <w:t>Recovery Massachusetts Public</w:t>
      </w:r>
      <w:r>
        <w:rPr>
          <w:spacing w:val="-37"/>
        </w:rPr>
        <w:t xml:space="preserve"> </w:t>
      </w:r>
      <w:r>
        <w:rPr>
          <w:spacing w:val="-3"/>
        </w:rPr>
        <w:t xml:space="preserve">Health </w:t>
      </w:r>
      <w:r>
        <w:t>Association</w:t>
      </w:r>
    </w:p>
    <w:p w:rsidR="002C5025" w:rsidRDefault="002C5025">
      <w:pPr>
        <w:pStyle w:val="BodyText"/>
        <w:kinsoku w:val="0"/>
        <w:overflowPunct w:val="0"/>
        <w:ind w:left="118" w:right="1060"/>
      </w:pPr>
      <w:r>
        <w:t xml:space="preserve">Mental Health Legal Advisors </w:t>
      </w:r>
      <w:r>
        <w:rPr>
          <w:spacing w:val="-2"/>
        </w:rPr>
        <w:t xml:space="preserve">Committee </w:t>
      </w:r>
      <w:r>
        <w:t>Medical-Legal Partnership Boston MSPCC</w:t>
      </w:r>
    </w:p>
    <w:p w:rsidR="002C5025" w:rsidRDefault="002C5025">
      <w:pPr>
        <w:pStyle w:val="BodyText"/>
        <w:kinsoku w:val="0"/>
        <w:overflowPunct w:val="0"/>
        <w:ind w:left="118" w:right="2457"/>
      </w:pPr>
      <w:r>
        <w:t>NAMI Mass</w:t>
      </w:r>
    </w:p>
    <w:p w:rsidR="002C5025" w:rsidRDefault="002C5025">
      <w:pPr>
        <w:pStyle w:val="BodyText"/>
        <w:kinsoku w:val="0"/>
        <w:overflowPunct w:val="0"/>
        <w:ind w:left="118" w:right="1060"/>
      </w:pPr>
      <w:r>
        <w:t>Parent/Professional Advocacy League Stavros</w:t>
      </w:r>
    </w:p>
    <w:p w:rsidR="002C5025" w:rsidRDefault="002C5025">
      <w:pPr>
        <w:pStyle w:val="BodyText"/>
        <w:kinsoku w:val="0"/>
        <w:overflowPunct w:val="0"/>
        <w:ind w:left="118" w:right="1060"/>
        <w:sectPr w:rsidR="002C5025">
          <w:type w:val="continuous"/>
          <w:pgSz w:w="12240" w:h="15840"/>
          <w:pgMar w:top="720" w:right="1060" w:bottom="280" w:left="960" w:header="720" w:footer="720" w:gutter="0"/>
          <w:cols w:num="2" w:space="720" w:equalWidth="0">
            <w:col w:w="4423" w:space="978"/>
            <w:col w:w="4819"/>
          </w:cols>
          <w:noEndnote/>
        </w:sect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spacing w:before="9"/>
        <w:rPr>
          <w:sz w:val="16"/>
          <w:szCs w:val="16"/>
        </w:rPr>
      </w:pPr>
    </w:p>
    <w:p w:rsidR="002C5025" w:rsidRDefault="002C5025">
      <w:pPr>
        <w:pStyle w:val="BodyText"/>
        <w:kinsoku w:val="0"/>
        <w:overflowPunct w:val="0"/>
        <w:spacing w:before="63"/>
        <w:ind w:left="104"/>
        <w:jc w:val="center"/>
        <w:rPr>
          <w:sz w:val="18"/>
          <w:szCs w:val="18"/>
        </w:rPr>
      </w:pPr>
      <w:r>
        <w:rPr>
          <w:sz w:val="18"/>
          <w:szCs w:val="18"/>
        </w:rPr>
        <w:t>8</w:t>
      </w:r>
    </w:p>
    <w:p w:rsidR="002C5025" w:rsidRDefault="002C5025">
      <w:pPr>
        <w:pStyle w:val="BodyText"/>
        <w:kinsoku w:val="0"/>
        <w:overflowPunct w:val="0"/>
        <w:spacing w:before="63"/>
        <w:ind w:left="104"/>
        <w:jc w:val="center"/>
        <w:rPr>
          <w:sz w:val="18"/>
          <w:szCs w:val="18"/>
        </w:rPr>
        <w:sectPr w:rsidR="002C5025">
          <w:type w:val="continuous"/>
          <w:pgSz w:w="12240" w:h="15840"/>
          <w:pgMar w:top="720" w:right="1060" w:bottom="280" w:left="960" w:header="720" w:footer="720" w:gutter="0"/>
          <w:cols w:space="720" w:equalWidth="0">
            <w:col w:w="10220"/>
          </w:cols>
          <w:noEndnote/>
        </w:sectPr>
      </w:pPr>
    </w:p>
    <w:p w:rsidR="002C5025" w:rsidRDefault="002C5025">
      <w:pPr>
        <w:pStyle w:val="BodyText"/>
        <w:kinsoku w:val="0"/>
        <w:overflowPunct w:val="0"/>
        <w:spacing w:before="9"/>
        <w:rPr>
          <w:sz w:val="25"/>
          <w:szCs w:val="25"/>
        </w:rPr>
      </w:pPr>
    </w:p>
    <w:p w:rsidR="002C5025" w:rsidRDefault="00FB027C">
      <w:pPr>
        <w:pStyle w:val="BodyText"/>
        <w:kinsoku w:val="0"/>
        <w:overflowPunct w:val="0"/>
        <w:ind w:left="1241"/>
        <w:rPr>
          <w:sz w:val="20"/>
          <w:szCs w:val="20"/>
        </w:rPr>
      </w:pPr>
      <w:r>
        <w:rPr>
          <w:noProof/>
          <w:sz w:val="20"/>
          <w:szCs w:val="20"/>
        </w:rPr>
        <w:drawing>
          <wp:inline distT="0" distB="0" distL="0" distR="0">
            <wp:extent cx="4514850" cy="115252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514850" cy="1152525"/>
                    </a:xfrm>
                    <a:prstGeom prst="rect">
                      <a:avLst/>
                    </a:prstGeom>
                    <a:noFill/>
                    <a:ln>
                      <a:noFill/>
                    </a:ln>
                  </pic:spPr>
                </pic:pic>
              </a:graphicData>
            </a:graphic>
          </wp:inline>
        </w:drawing>
      </w:r>
    </w:p>
    <w:p w:rsidR="002C5025" w:rsidRDefault="002C5025">
      <w:pPr>
        <w:pStyle w:val="BodyText"/>
        <w:kinsoku w:val="0"/>
        <w:overflowPunct w:val="0"/>
        <w:spacing w:before="11"/>
        <w:rPr>
          <w:sz w:val="17"/>
          <w:szCs w:val="17"/>
        </w:rPr>
      </w:pPr>
    </w:p>
    <w:p w:rsidR="002C5025" w:rsidRDefault="002C5025">
      <w:pPr>
        <w:pStyle w:val="BodyText"/>
        <w:kinsoku w:val="0"/>
        <w:overflowPunct w:val="0"/>
        <w:spacing w:before="56"/>
        <w:ind w:left="120" w:right="5109"/>
      </w:pPr>
      <w:bookmarkStart w:id="14" w:name="AARP_Massachusetts_Comments_7-16-16_Demo"/>
      <w:bookmarkEnd w:id="14"/>
      <w:r>
        <w:t>July 15, 2016</w:t>
      </w:r>
    </w:p>
    <w:p w:rsidR="002C5025" w:rsidRDefault="002C5025">
      <w:pPr>
        <w:pStyle w:val="BodyText"/>
        <w:kinsoku w:val="0"/>
        <w:overflowPunct w:val="0"/>
        <w:spacing w:before="3"/>
        <w:rPr>
          <w:sz w:val="21"/>
          <w:szCs w:val="21"/>
        </w:rPr>
      </w:pPr>
    </w:p>
    <w:p w:rsidR="002C5025" w:rsidRDefault="002C5025">
      <w:pPr>
        <w:pStyle w:val="BodyText"/>
        <w:kinsoku w:val="0"/>
        <w:overflowPunct w:val="0"/>
        <w:spacing w:line="242" w:lineRule="auto"/>
        <w:ind w:left="119" w:right="5109"/>
      </w:pPr>
      <w:r>
        <w:t>The Honorable Marylou Sudders, Secretary Executive Office of Health and Human Services Commonwealth of Massachusetts</w:t>
      </w:r>
    </w:p>
    <w:p w:rsidR="002C5025" w:rsidRDefault="002C5025">
      <w:pPr>
        <w:pStyle w:val="BodyText"/>
        <w:kinsoku w:val="0"/>
        <w:overflowPunct w:val="0"/>
        <w:spacing w:line="259" w:lineRule="exact"/>
        <w:ind w:left="119" w:right="5109"/>
      </w:pPr>
      <w:r>
        <w:t>Office of Medicaid</w:t>
      </w:r>
    </w:p>
    <w:p w:rsidR="002C5025" w:rsidRDefault="002C5025">
      <w:pPr>
        <w:pStyle w:val="BodyText"/>
        <w:kinsoku w:val="0"/>
        <w:overflowPunct w:val="0"/>
        <w:spacing w:line="242" w:lineRule="auto"/>
        <w:ind w:left="118" w:right="5918"/>
      </w:pPr>
      <w:r>
        <w:t>Attn: 1115 Demonstration Comments One Ashburton Place, 11th Floor Boston, MA 02108</w:t>
      </w:r>
    </w:p>
    <w:p w:rsidR="002C5025" w:rsidRDefault="002C5025">
      <w:pPr>
        <w:pStyle w:val="BodyText"/>
        <w:kinsoku w:val="0"/>
        <w:overflowPunct w:val="0"/>
        <w:spacing w:before="10"/>
        <w:rPr>
          <w:sz w:val="20"/>
          <w:szCs w:val="20"/>
        </w:rPr>
      </w:pPr>
    </w:p>
    <w:p w:rsidR="002C5025" w:rsidRDefault="002C5025">
      <w:pPr>
        <w:pStyle w:val="BodyText"/>
        <w:kinsoku w:val="0"/>
        <w:overflowPunct w:val="0"/>
        <w:spacing w:line="484" w:lineRule="auto"/>
        <w:ind w:left="119" w:right="4070"/>
        <w:rPr>
          <w:spacing w:val="-5"/>
        </w:rPr>
      </w:pPr>
      <w:r>
        <w:t xml:space="preserve">RE: 1115 </w:t>
      </w:r>
      <w:r>
        <w:rPr>
          <w:spacing w:val="-4"/>
        </w:rPr>
        <w:t xml:space="preserve">Comments </w:t>
      </w:r>
      <w:r>
        <w:t xml:space="preserve">on </w:t>
      </w:r>
      <w:r>
        <w:rPr>
          <w:spacing w:val="-3"/>
        </w:rPr>
        <w:t xml:space="preserve">Demonstration </w:t>
      </w:r>
      <w:r>
        <w:rPr>
          <w:spacing w:val="-4"/>
        </w:rPr>
        <w:t xml:space="preserve">Extension </w:t>
      </w:r>
      <w:r>
        <w:rPr>
          <w:spacing w:val="-3"/>
        </w:rPr>
        <w:t xml:space="preserve">Request </w:t>
      </w:r>
      <w:r>
        <w:t xml:space="preserve">Dear Secretary </w:t>
      </w:r>
      <w:r>
        <w:rPr>
          <w:spacing w:val="-5"/>
        </w:rPr>
        <w:t>Sudders:</w:t>
      </w:r>
    </w:p>
    <w:p w:rsidR="002C5025" w:rsidRDefault="002C5025">
      <w:pPr>
        <w:pStyle w:val="BodyText"/>
        <w:kinsoku w:val="0"/>
        <w:overflowPunct w:val="0"/>
        <w:spacing w:line="237" w:lineRule="auto"/>
        <w:ind w:left="119" w:right="329"/>
        <w:rPr>
          <w:spacing w:val="-3"/>
        </w:rPr>
      </w:pPr>
      <w:r>
        <w:t xml:space="preserve">AARP </w:t>
      </w:r>
      <w:r>
        <w:rPr>
          <w:spacing w:val="-3"/>
        </w:rPr>
        <w:t xml:space="preserve">Massachusetts </w:t>
      </w:r>
      <w:r>
        <w:rPr>
          <w:spacing w:val="-5"/>
        </w:rPr>
        <w:t xml:space="preserve">would like </w:t>
      </w:r>
      <w:r>
        <w:t xml:space="preserve">to thank the </w:t>
      </w:r>
      <w:r>
        <w:rPr>
          <w:spacing w:val="-3"/>
        </w:rPr>
        <w:t xml:space="preserve">Executive Office </w:t>
      </w:r>
      <w:r>
        <w:t>of Health</w:t>
      </w:r>
      <w:r w:rsidR="005632B1">
        <w:t xml:space="preserve"> </w:t>
      </w:r>
      <w:r>
        <w:t xml:space="preserve">and Human </w:t>
      </w:r>
      <w:r>
        <w:rPr>
          <w:spacing w:val="-3"/>
        </w:rPr>
        <w:t xml:space="preserve">Services’ Office </w:t>
      </w:r>
      <w:r>
        <w:rPr>
          <w:spacing w:val="-4"/>
        </w:rPr>
        <w:t xml:space="preserve">of </w:t>
      </w:r>
      <w:r>
        <w:rPr>
          <w:spacing w:val="-3"/>
        </w:rPr>
        <w:t xml:space="preserve">Medicaid for </w:t>
      </w:r>
      <w:r>
        <w:t xml:space="preserve">the </w:t>
      </w:r>
      <w:r>
        <w:rPr>
          <w:spacing w:val="-4"/>
        </w:rPr>
        <w:t xml:space="preserve">opportunity </w:t>
      </w:r>
      <w:r>
        <w:t xml:space="preserve">to </w:t>
      </w:r>
      <w:r>
        <w:rPr>
          <w:spacing w:val="-5"/>
        </w:rPr>
        <w:t xml:space="preserve">submit </w:t>
      </w:r>
      <w:r>
        <w:rPr>
          <w:spacing w:val="-4"/>
        </w:rPr>
        <w:t xml:space="preserve">our </w:t>
      </w:r>
      <w:r>
        <w:rPr>
          <w:spacing w:val="-3"/>
        </w:rPr>
        <w:t xml:space="preserve">comments </w:t>
      </w:r>
      <w:r>
        <w:t xml:space="preserve">to </w:t>
      </w:r>
      <w:r>
        <w:rPr>
          <w:spacing w:val="-5"/>
        </w:rPr>
        <w:t xml:space="preserve">your </w:t>
      </w:r>
      <w:r>
        <w:rPr>
          <w:spacing w:val="-3"/>
        </w:rPr>
        <w:t xml:space="preserve">Section 1115 </w:t>
      </w:r>
      <w:r>
        <w:rPr>
          <w:spacing w:val="-4"/>
        </w:rPr>
        <w:t xml:space="preserve">Waiver </w:t>
      </w:r>
      <w:r>
        <w:rPr>
          <w:spacing w:val="-3"/>
        </w:rPr>
        <w:t xml:space="preserve">Demonstration </w:t>
      </w:r>
      <w:r>
        <w:rPr>
          <w:spacing w:val="-4"/>
        </w:rPr>
        <w:t xml:space="preserve">Project </w:t>
      </w:r>
      <w:r>
        <w:t xml:space="preserve">and </w:t>
      </w:r>
      <w:r>
        <w:rPr>
          <w:spacing w:val="-4"/>
        </w:rPr>
        <w:t xml:space="preserve">Amendment </w:t>
      </w:r>
      <w:r>
        <w:rPr>
          <w:spacing w:val="-3"/>
        </w:rPr>
        <w:t xml:space="preserve">Request. </w:t>
      </w:r>
      <w:r>
        <w:t xml:space="preserve">AARP is a </w:t>
      </w:r>
      <w:r>
        <w:rPr>
          <w:spacing w:val="-5"/>
        </w:rPr>
        <w:t xml:space="preserve">nonprofit, </w:t>
      </w:r>
      <w:r>
        <w:rPr>
          <w:spacing w:val="-4"/>
        </w:rPr>
        <w:t xml:space="preserve">non-partisan membership </w:t>
      </w:r>
      <w:r>
        <w:t>organization</w:t>
      </w:r>
      <w:r w:rsidR="005632B1">
        <w:t xml:space="preserve"> </w:t>
      </w:r>
      <w:r>
        <w:t xml:space="preserve">for   </w:t>
      </w:r>
      <w:r>
        <w:rPr>
          <w:spacing w:val="-5"/>
        </w:rPr>
        <w:t xml:space="preserve">people </w:t>
      </w:r>
      <w:r>
        <w:t xml:space="preserve">50 and </w:t>
      </w:r>
      <w:r>
        <w:rPr>
          <w:spacing w:val="-3"/>
        </w:rPr>
        <w:t xml:space="preserve">over. We have more </w:t>
      </w:r>
      <w:r>
        <w:t xml:space="preserve">than 38 </w:t>
      </w:r>
      <w:r>
        <w:rPr>
          <w:spacing w:val="-5"/>
        </w:rPr>
        <w:t xml:space="preserve">million </w:t>
      </w:r>
      <w:r>
        <w:rPr>
          <w:spacing w:val="-3"/>
        </w:rPr>
        <w:t xml:space="preserve">members </w:t>
      </w:r>
      <w:r>
        <w:rPr>
          <w:spacing w:val="-4"/>
        </w:rPr>
        <w:t xml:space="preserve">nationwide </w:t>
      </w:r>
      <w:r>
        <w:t xml:space="preserve">and 800,000 </w:t>
      </w:r>
      <w:r>
        <w:rPr>
          <w:spacing w:val="-3"/>
        </w:rPr>
        <w:t xml:space="preserve">members </w:t>
      </w:r>
      <w:r>
        <w:t xml:space="preserve">in </w:t>
      </w:r>
      <w:r>
        <w:rPr>
          <w:spacing w:val="-3"/>
        </w:rPr>
        <w:t xml:space="preserve">the </w:t>
      </w:r>
      <w:r>
        <w:rPr>
          <w:spacing w:val="-4"/>
        </w:rPr>
        <w:t xml:space="preserve">Commonwealth. </w:t>
      </w:r>
      <w:r>
        <w:rPr>
          <w:spacing w:val="-3"/>
        </w:rPr>
        <w:t xml:space="preserve">We </w:t>
      </w:r>
      <w:r>
        <w:rPr>
          <w:spacing w:val="-5"/>
        </w:rPr>
        <w:t xml:space="preserve">know </w:t>
      </w:r>
      <w:r>
        <w:t xml:space="preserve">the </w:t>
      </w:r>
      <w:r>
        <w:rPr>
          <w:spacing w:val="-4"/>
        </w:rPr>
        <w:t xml:space="preserve">Commonwealth </w:t>
      </w:r>
      <w:r>
        <w:rPr>
          <w:spacing w:val="-5"/>
        </w:rPr>
        <w:t xml:space="preserve">provides </w:t>
      </w:r>
      <w:r>
        <w:rPr>
          <w:spacing w:val="-3"/>
        </w:rPr>
        <w:t xml:space="preserve">essential services for </w:t>
      </w:r>
      <w:r>
        <w:t xml:space="preserve">the </w:t>
      </w:r>
      <w:r>
        <w:rPr>
          <w:spacing w:val="-5"/>
        </w:rPr>
        <w:t xml:space="preserve">older population </w:t>
      </w:r>
      <w:r>
        <w:t xml:space="preserve">– </w:t>
      </w:r>
      <w:r>
        <w:rPr>
          <w:spacing w:val="-3"/>
        </w:rPr>
        <w:t xml:space="preserve">services </w:t>
      </w:r>
      <w:r>
        <w:t xml:space="preserve">that keep </w:t>
      </w:r>
      <w:r>
        <w:rPr>
          <w:spacing w:val="-5"/>
        </w:rPr>
        <w:t xml:space="preserve">people </w:t>
      </w:r>
      <w:r>
        <w:rPr>
          <w:spacing w:val="-3"/>
        </w:rPr>
        <w:t xml:space="preserve">healthy </w:t>
      </w:r>
      <w:r>
        <w:t xml:space="preserve">and </w:t>
      </w:r>
      <w:r>
        <w:rPr>
          <w:spacing w:val="-5"/>
        </w:rPr>
        <w:t xml:space="preserve">living </w:t>
      </w:r>
      <w:r>
        <w:t xml:space="preserve">with </w:t>
      </w:r>
      <w:r>
        <w:rPr>
          <w:spacing w:val="-3"/>
        </w:rPr>
        <w:t xml:space="preserve">dignity. </w:t>
      </w:r>
      <w:r>
        <w:t xml:space="preserve">It is critical that adequate </w:t>
      </w:r>
      <w:r>
        <w:rPr>
          <w:spacing w:val="-5"/>
        </w:rPr>
        <w:t xml:space="preserve">funding </w:t>
      </w:r>
      <w:r>
        <w:t xml:space="preserve">remain </w:t>
      </w:r>
      <w:r>
        <w:rPr>
          <w:spacing w:val="-3"/>
        </w:rPr>
        <w:t xml:space="preserve">for these </w:t>
      </w:r>
      <w:r>
        <w:t>programs and</w:t>
      </w:r>
      <w:r>
        <w:rPr>
          <w:spacing w:val="3"/>
        </w:rPr>
        <w:t xml:space="preserve"> </w:t>
      </w:r>
      <w:r>
        <w:rPr>
          <w:spacing w:val="-3"/>
        </w:rPr>
        <w:t>services.</w:t>
      </w:r>
    </w:p>
    <w:p w:rsidR="002C5025" w:rsidRDefault="002C5025">
      <w:pPr>
        <w:pStyle w:val="BodyText"/>
        <w:kinsoku w:val="0"/>
        <w:overflowPunct w:val="0"/>
        <w:spacing w:before="10"/>
      </w:pPr>
    </w:p>
    <w:p w:rsidR="002C5025" w:rsidRDefault="002C5025">
      <w:pPr>
        <w:pStyle w:val="BodyText"/>
        <w:kinsoku w:val="0"/>
        <w:overflowPunct w:val="0"/>
        <w:spacing w:line="237" w:lineRule="auto"/>
        <w:ind w:left="120" w:right="174"/>
      </w:pPr>
      <w:r>
        <w:t>We are encouraged</w:t>
      </w:r>
      <w:r w:rsidR="005632B1">
        <w:t xml:space="preserve"> </w:t>
      </w:r>
      <w:r>
        <w:t>by the goals you have set for this demonstration extension request, namely, the adoption of alternative payment methodologies, improvement in the service needs of MassHealth participants</w:t>
      </w:r>
      <w:r w:rsidR="005632B1">
        <w:t xml:space="preserve"> </w:t>
      </w:r>
      <w:r>
        <w:t>and movement towards a more integrated</w:t>
      </w:r>
      <w:r w:rsidR="005632B1">
        <w:t xml:space="preserve"> </w:t>
      </w:r>
      <w:r>
        <w:t xml:space="preserve">and coordinated system of care. We appreciate the year-long process you established to engage and receive input from stakeholders. The proposal represents an ambitious and </w:t>
      </w:r>
      <w:r w:rsidR="005632B1">
        <w:t xml:space="preserve">innovative undertaking and one </w:t>
      </w:r>
      <w:r>
        <w:t>that merits close attention.</w:t>
      </w:r>
    </w:p>
    <w:p w:rsidR="002C5025" w:rsidRDefault="002C5025">
      <w:pPr>
        <w:pStyle w:val="BodyText"/>
        <w:kinsoku w:val="0"/>
        <w:overflowPunct w:val="0"/>
        <w:spacing w:before="5"/>
        <w:rPr>
          <w:sz w:val="21"/>
          <w:szCs w:val="21"/>
        </w:rPr>
      </w:pPr>
    </w:p>
    <w:p w:rsidR="002C5025" w:rsidRDefault="002C5025">
      <w:pPr>
        <w:pStyle w:val="BodyText"/>
        <w:kinsoku w:val="0"/>
        <w:overflowPunct w:val="0"/>
        <w:spacing w:before="1" w:line="244" w:lineRule="auto"/>
        <w:ind w:left="120" w:right="329"/>
      </w:pPr>
      <w:r>
        <w:t xml:space="preserve">AARP </w:t>
      </w:r>
      <w:r>
        <w:rPr>
          <w:spacing w:val="-3"/>
        </w:rPr>
        <w:t xml:space="preserve">Massachusetts </w:t>
      </w:r>
      <w:r>
        <w:rPr>
          <w:spacing w:val="-4"/>
        </w:rPr>
        <w:t xml:space="preserve">believes </w:t>
      </w:r>
      <w:r>
        <w:t xml:space="preserve">that </w:t>
      </w:r>
      <w:r>
        <w:rPr>
          <w:spacing w:val="-3"/>
        </w:rPr>
        <w:t xml:space="preserve">many </w:t>
      </w:r>
      <w:r>
        <w:rPr>
          <w:spacing w:val="-4"/>
        </w:rPr>
        <w:t xml:space="preserve">components </w:t>
      </w:r>
      <w:r>
        <w:t xml:space="preserve">of </w:t>
      </w:r>
      <w:r>
        <w:rPr>
          <w:spacing w:val="-2"/>
        </w:rPr>
        <w:t xml:space="preserve">the </w:t>
      </w:r>
      <w:r>
        <w:t xml:space="preserve">waiver align with AARP </w:t>
      </w:r>
      <w:r>
        <w:rPr>
          <w:spacing w:val="-4"/>
        </w:rPr>
        <w:t xml:space="preserve">principles </w:t>
      </w:r>
      <w:r>
        <w:t xml:space="preserve">and </w:t>
      </w:r>
      <w:r>
        <w:rPr>
          <w:spacing w:val="-5"/>
        </w:rPr>
        <w:t xml:space="preserve">policies.  </w:t>
      </w:r>
      <w:r>
        <w:rPr>
          <w:spacing w:val="-4"/>
        </w:rPr>
        <w:t xml:space="preserve">Some </w:t>
      </w:r>
      <w:r>
        <w:t xml:space="preserve">of </w:t>
      </w:r>
      <w:r>
        <w:rPr>
          <w:spacing w:val="-3"/>
        </w:rPr>
        <w:t xml:space="preserve">these </w:t>
      </w:r>
      <w:r>
        <w:rPr>
          <w:spacing w:val="-4"/>
        </w:rPr>
        <w:t xml:space="preserve">components </w:t>
      </w:r>
      <w:r>
        <w:t>are:</w:t>
      </w:r>
    </w:p>
    <w:p w:rsidR="002C5025" w:rsidRDefault="002C5025">
      <w:pPr>
        <w:pStyle w:val="BodyText"/>
        <w:kinsoku w:val="0"/>
        <w:overflowPunct w:val="0"/>
        <w:spacing w:before="9"/>
        <w:rPr>
          <w:sz w:val="21"/>
          <w:szCs w:val="21"/>
        </w:rPr>
      </w:pPr>
    </w:p>
    <w:p w:rsidR="002C5025" w:rsidRDefault="002C5025">
      <w:pPr>
        <w:pStyle w:val="BodyText"/>
        <w:kinsoku w:val="0"/>
        <w:overflowPunct w:val="0"/>
        <w:spacing w:before="1"/>
        <w:ind w:left="120" w:right="5109"/>
        <w:rPr>
          <w:b/>
          <w:bCs/>
        </w:rPr>
      </w:pPr>
      <w:bookmarkStart w:id="15" w:name="Managed_Care_Organizations"/>
      <w:bookmarkEnd w:id="15"/>
      <w:r>
        <w:rPr>
          <w:b/>
          <w:bCs/>
        </w:rPr>
        <w:t>Managed Care Organizations</w:t>
      </w:r>
    </w:p>
    <w:p w:rsidR="002C5025" w:rsidRDefault="002C5025">
      <w:pPr>
        <w:pStyle w:val="BodyText"/>
        <w:kinsoku w:val="0"/>
        <w:overflowPunct w:val="0"/>
        <w:spacing w:before="5"/>
        <w:ind w:left="119" w:right="158" w:firstLine="1"/>
        <w:rPr>
          <w:spacing w:val="-4"/>
        </w:rPr>
      </w:pPr>
      <w:r>
        <w:t xml:space="preserve">AARP </w:t>
      </w:r>
      <w:r>
        <w:rPr>
          <w:spacing w:val="-4"/>
        </w:rPr>
        <w:t xml:space="preserve">understands </w:t>
      </w:r>
      <w:r>
        <w:t xml:space="preserve">that the state </w:t>
      </w:r>
      <w:r>
        <w:rPr>
          <w:spacing w:val="-4"/>
        </w:rPr>
        <w:t xml:space="preserve">intends </w:t>
      </w:r>
      <w:r>
        <w:t xml:space="preserve">to </w:t>
      </w:r>
      <w:r>
        <w:rPr>
          <w:spacing w:val="-3"/>
        </w:rPr>
        <w:t xml:space="preserve">have </w:t>
      </w:r>
      <w:r>
        <w:t xml:space="preserve">Managed Care Organizations(MCOs) </w:t>
      </w:r>
      <w:r>
        <w:rPr>
          <w:spacing w:val="-3"/>
        </w:rPr>
        <w:t xml:space="preserve">gradually </w:t>
      </w:r>
      <w:r>
        <w:rPr>
          <w:spacing w:val="-5"/>
        </w:rPr>
        <w:t xml:space="preserve">assume </w:t>
      </w:r>
      <w:r>
        <w:rPr>
          <w:spacing w:val="-3"/>
        </w:rPr>
        <w:t xml:space="preserve">expanded </w:t>
      </w:r>
      <w:r>
        <w:rPr>
          <w:spacing w:val="-5"/>
        </w:rPr>
        <w:t xml:space="preserve">responsibility </w:t>
      </w:r>
      <w:r>
        <w:t xml:space="preserve">in the </w:t>
      </w:r>
      <w:r>
        <w:rPr>
          <w:spacing w:val="-4"/>
        </w:rPr>
        <w:t xml:space="preserve">delivery </w:t>
      </w:r>
      <w:r>
        <w:t xml:space="preserve">and </w:t>
      </w:r>
      <w:r>
        <w:rPr>
          <w:spacing w:val="-4"/>
        </w:rPr>
        <w:t xml:space="preserve">coordination </w:t>
      </w:r>
      <w:r>
        <w:t xml:space="preserve">of long-term </w:t>
      </w:r>
      <w:r>
        <w:rPr>
          <w:spacing w:val="-3"/>
        </w:rPr>
        <w:t xml:space="preserve">services </w:t>
      </w:r>
      <w:r>
        <w:t xml:space="preserve">and </w:t>
      </w:r>
      <w:r>
        <w:rPr>
          <w:spacing w:val="-5"/>
        </w:rPr>
        <w:t xml:space="preserve">supports </w:t>
      </w:r>
      <w:r>
        <w:rPr>
          <w:spacing w:val="-3"/>
        </w:rPr>
        <w:t xml:space="preserve">(LTSS) </w:t>
      </w:r>
      <w:r>
        <w:t xml:space="preserve">to </w:t>
      </w:r>
      <w:r>
        <w:rPr>
          <w:spacing w:val="-4"/>
        </w:rPr>
        <w:t xml:space="preserve">vulnerable </w:t>
      </w:r>
      <w:r>
        <w:rPr>
          <w:spacing w:val="-5"/>
        </w:rPr>
        <w:t xml:space="preserve">older </w:t>
      </w:r>
      <w:r>
        <w:rPr>
          <w:spacing w:val="-4"/>
        </w:rPr>
        <w:t xml:space="preserve">adults, </w:t>
      </w:r>
      <w:r>
        <w:t xml:space="preserve">with key </w:t>
      </w:r>
      <w:r>
        <w:rPr>
          <w:spacing w:val="-4"/>
        </w:rPr>
        <w:t xml:space="preserve">objectives </w:t>
      </w:r>
      <w:r>
        <w:rPr>
          <w:spacing w:val="-5"/>
        </w:rPr>
        <w:t xml:space="preserve">being </w:t>
      </w:r>
      <w:r>
        <w:t xml:space="preserve">to </w:t>
      </w:r>
      <w:r>
        <w:rPr>
          <w:spacing w:val="-4"/>
        </w:rPr>
        <w:t xml:space="preserve">improve quality, outcomes </w:t>
      </w:r>
      <w:r>
        <w:t xml:space="preserve">and the </w:t>
      </w:r>
      <w:r>
        <w:rPr>
          <w:spacing w:val="-5"/>
        </w:rPr>
        <w:t xml:space="preserve">consumer </w:t>
      </w:r>
      <w:r>
        <w:rPr>
          <w:spacing w:val="-3"/>
        </w:rPr>
        <w:t xml:space="preserve">experience. </w:t>
      </w:r>
      <w:r>
        <w:t xml:space="preserve">As </w:t>
      </w:r>
      <w:r>
        <w:rPr>
          <w:spacing w:val="-3"/>
        </w:rPr>
        <w:t xml:space="preserve">you </w:t>
      </w:r>
      <w:r>
        <w:rPr>
          <w:spacing w:val="-4"/>
        </w:rPr>
        <w:t xml:space="preserve">move </w:t>
      </w:r>
      <w:r>
        <w:t xml:space="preserve">in </w:t>
      </w:r>
      <w:r>
        <w:rPr>
          <w:spacing w:val="-3"/>
        </w:rPr>
        <w:t xml:space="preserve">this </w:t>
      </w:r>
      <w:r>
        <w:rPr>
          <w:spacing w:val="-4"/>
        </w:rPr>
        <w:t xml:space="preserve">direction, </w:t>
      </w:r>
      <w:r>
        <w:t xml:space="preserve">AARP </w:t>
      </w:r>
      <w:r>
        <w:rPr>
          <w:spacing w:val="-4"/>
        </w:rPr>
        <w:t xml:space="preserve">asks </w:t>
      </w:r>
      <w:r>
        <w:t>that the state takes</w:t>
      </w:r>
      <w:r w:rsidR="005632B1">
        <w:t xml:space="preserve"> </w:t>
      </w:r>
      <w:r>
        <w:t xml:space="preserve">steps to </w:t>
      </w:r>
      <w:r>
        <w:rPr>
          <w:spacing w:val="-4"/>
        </w:rPr>
        <w:t xml:space="preserve">put </w:t>
      </w:r>
      <w:r>
        <w:rPr>
          <w:spacing w:val="-3"/>
        </w:rPr>
        <w:t xml:space="preserve">financial risk </w:t>
      </w:r>
      <w:r>
        <w:t>mitigation</w:t>
      </w:r>
      <w:r w:rsidR="005632B1">
        <w:t xml:space="preserve"> </w:t>
      </w:r>
      <w:proofErr w:type="spellStart"/>
      <w:r>
        <w:t>strategiesin</w:t>
      </w:r>
      <w:proofErr w:type="spellEnd"/>
      <w:r>
        <w:t xml:space="preserve"> place in </w:t>
      </w:r>
      <w:r>
        <w:rPr>
          <w:spacing w:val="-3"/>
        </w:rPr>
        <w:t xml:space="preserve">order </w:t>
      </w:r>
      <w:r>
        <w:t xml:space="preserve">to </w:t>
      </w:r>
      <w:r>
        <w:rPr>
          <w:spacing w:val="-5"/>
        </w:rPr>
        <w:t xml:space="preserve">ensure </w:t>
      </w:r>
      <w:r>
        <w:rPr>
          <w:spacing w:val="-3"/>
        </w:rPr>
        <w:t xml:space="preserve">MCO </w:t>
      </w:r>
      <w:r>
        <w:rPr>
          <w:spacing w:val="-5"/>
        </w:rPr>
        <w:t xml:space="preserve">solvency </w:t>
      </w:r>
      <w:r>
        <w:t xml:space="preserve">and </w:t>
      </w:r>
      <w:r>
        <w:rPr>
          <w:spacing w:val="-4"/>
        </w:rPr>
        <w:t xml:space="preserve">sustain </w:t>
      </w:r>
      <w:r>
        <w:t xml:space="preserve">adequate access to </w:t>
      </w:r>
      <w:r>
        <w:rPr>
          <w:spacing w:val="-3"/>
        </w:rPr>
        <w:t>services  for</w:t>
      </w:r>
      <w:r>
        <w:rPr>
          <w:spacing w:val="25"/>
        </w:rPr>
        <w:t xml:space="preserve"> </w:t>
      </w:r>
      <w:r>
        <w:rPr>
          <w:spacing w:val="-4"/>
        </w:rPr>
        <w:t>beneficiaries.</w:t>
      </w:r>
    </w:p>
    <w:p w:rsidR="002C5025" w:rsidRDefault="002C5025">
      <w:pPr>
        <w:pStyle w:val="BodyText"/>
        <w:kinsoku w:val="0"/>
        <w:overflowPunct w:val="0"/>
        <w:spacing w:before="5"/>
        <w:ind w:left="119" w:right="158" w:firstLine="1"/>
        <w:rPr>
          <w:spacing w:val="-4"/>
        </w:rPr>
        <w:sectPr w:rsidR="002C5025">
          <w:pgSz w:w="12240" w:h="15840"/>
          <w:pgMar w:top="1500" w:right="1500" w:bottom="280" w:left="1320" w:header="720" w:footer="720" w:gutter="0"/>
          <w:cols w:space="720" w:equalWidth="0">
            <w:col w:w="9420"/>
          </w:cols>
          <w:noEndnote/>
        </w:sectPr>
      </w:pPr>
    </w:p>
    <w:p w:rsidR="002C5025" w:rsidRDefault="002C5025">
      <w:pPr>
        <w:pStyle w:val="BodyText"/>
        <w:kinsoku w:val="0"/>
        <w:overflowPunct w:val="0"/>
        <w:spacing w:before="28"/>
        <w:ind w:left="119" w:right="187"/>
        <w:rPr>
          <w:spacing w:val="-3"/>
        </w:rPr>
      </w:pPr>
      <w:r>
        <w:lastRenderedPageBreak/>
        <w:t xml:space="preserve">As the waiver </w:t>
      </w:r>
      <w:r>
        <w:rPr>
          <w:spacing w:val="-5"/>
        </w:rPr>
        <w:t xml:space="preserve">proposal </w:t>
      </w:r>
      <w:r>
        <w:rPr>
          <w:spacing w:val="-4"/>
        </w:rPr>
        <w:t xml:space="preserve">points </w:t>
      </w:r>
      <w:r>
        <w:t xml:space="preserve">out, </w:t>
      </w:r>
      <w:r>
        <w:rPr>
          <w:spacing w:val="-3"/>
        </w:rPr>
        <w:t xml:space="preserve">MCOs </w:t>
      </w:r>
      <w:r>
        <w:t xml:space="preserve">will </w:t>
      </w:r>
      <w:r>
        <w:rPr>
          <w:spacing w:val="-3"/>
        </w:rPr>
        <w:t xml:space="preserve">be required </w:t>
      </w:r>
      <w:r>
        <w:t xml:space="preserve">to </w:t>
      </w:r>
      <w:r>
        <w:rPr>
          <w:spacing w:val="-3"/>
        </w:rPr>
        <w:t xml:space="preserve">adopt </w:t>
      </w:r>
      <w:r>
        <w:t xml:space="preserve">a </w:t>
      </w:r>
      <w:r>
        <w:rPr>
          <w:spacing w:val="-3"/>
        </w:rPr>
        <w:t xml:space="preserve">person-centered approach </w:t>
      </w:r>
      <w:r>
        <w:t xml:space="preserve">to care. With </w:t>
      </w:r>
      <w:r>
        <w:rPr>
          <w:spacing w:val="-3"/>
        </w:rPr>
        <w:t xml:space="preserve">respect </w:t>
      </w:r>
      <w:r>
        <w:t xml:space="preserve">to </w:t>
      </w:r>
      <w:r>
        <w:rPr>
          <w:spacing w:val="-5"/>
        </w:rPr>
        <w:t xml:space="preserve">how </w:t>
      </w:r>
      <w:r>
        <w:rPr>
          <w:spacing w:val="-3"/>
        </w:rPr>
        <w:t xml:space="preserve">person-centered </w:t>
      </w:r>
      <w:r>
        <w:t xml:space="preserve">care is </w:t>
      </w:r>
      <w:r>
        <w:rPr>
          <w:spacing w:val="-5"/>
        </w:rPr>
        <w:t xml:space="preserve">defined, </w:t>
      </w:r>
      <w:r>
        <w:t xml:space="preserve">we </w:t>
      </w:r>
      <w:r>
        <w:rPr>
          <w:spacing w:val="-4"/>
        </w:rPr>
        <w:t xml:space="preserve">believe </w:t>
      </w:r>
      <w:r>
        <w:rPr>
          <w:spacing w:val="-2"/>
        </w:rPr>
        <w:t xml:space="preserve">the </w:t>
      </w:r>
      <w:r>
        <w:rPr>
          <w:spacing w:val="-5"/>
        </w:rPr>
        <w:t xml:space="preserve">definition </w:t>
      </w:r>
      <w:r>
        <w:rPr>
          <w:spacing w:val="-6"/>
        </w:rPr>
        <w:t xml:space="preserve">should </w:t>
      </w:r>
      <w:r>
        <w:rPr>
          <w:spacing w:val="-4"/>
        </w:rPr>
        <w:t xml:space="preserve">use </w:t>
      </w:r>
      <w:r>
        <w:t xml:space="preserve">the term </w:t>
      </w:r>
      <w:r>
        <w:rPr>
          <w:spacing w:val="-3"/>
        </w:rPr>
        <w:t xml:space="preserve">“family </w:t>
      </w:r>
      <w:r>
        <w:t xml:space="preserve">caregiver” </w:t>
      </w:r>
      <w:r>
        <w:rPr>
          <w:spacing w:val="-3"/>
        </w:rPr>
        <w:t xml:space="preserve">defined </w:t>
      </w:r>
      <w:r>
        <w:rPr>
          <w:spacing w:val="-4"/>
        </w:rPr>
        <w:t xml:space="preserve">broadly </w:t>
      </w:r>
      <w:r>
        <w:t xml:space="preserve">and that </w:t>
      </w:r>
      <w:r>
        <w:rPr>
          <w:spacing w:val="-3"/>
        </w:rPr>
        <w:t xml:space="preserve">this </w:t>
      </w:r>
      <w:r>
        <w:t xml:space="preserve">is </w:t>
      </w:r>
      <w:r>
        <w:rPr>
          <w:spacing w:val="-3"/>
        </w:rPr>
        <w:t xml:space="preserve">preferable </w:t>
      </w:r>
      <w:r>
        <w:t xml:space="preserve">to the term “natural </w:t>
      </w:r>
      <w:r>
        <w:rPr>
          <w:spacing w:val="-5"/>
        </w:rPr>
        <w:t xml:space="preserve">supports”. </w:t>
      </w:r>
      <w:r>
        <w:t xml:space="preserve">A </w:t>
      </w:r>
      <w:r>
        <w:rPr>
          <w:spacing w:val="-5"/>
        </w:rPr>
        <w:t xml:space="preserve">person- </w:t>
      </w:r>
      <w:r>
        <w:t>centered</w:t>
      </w:r>
      <w:r w:rsidR="005632B1">
        <w:t xml:space="preserve"> </w:t>
      </w:r>
      <w:r>
        <w:t xml:space="preserve">approach </w:t>
      </w:r>
      <w:r>
        <w:rPr>
          <w:spacing w:val="-6"/>
        </w:rPr>
        <w:t xml:space="preserve">should </w:t>
      </w:r>
      <w:r>
        <w:rPr>
          <w:spacing w:val="-3"/>
        </w:rPr>
        <w:t xml:space="preserve">emphasize </w:t>
      </w:r>
      <w:r>
        <w:rPr>
          <w:spacing w:val="-5"/>
        </w:rPr>
        <w:t xml:space="preserve">keeping individuals </w:t>
      </w:r>
      <w:r>
        <w:rPr>
          <w:spacing w:val="-2"/>
        </w:rPr>
        <w:t xml:space="preserve">who </w:t>
      </w:r>
      <w:r>
        <w:t xml:space="preserve">need LTSS in </w:t>
      </w:r>
      <w:r>
        <w:rPr>
          <w:spacing w:val="-2"/>
        </w:rPr>
        <w:t xml:space="preserve">the </w:t>
      </w:r>
      <w:r>
        <w:rPr>
          <w:spacing w:val="-4"/>
        </w:rPr>
        <w:t xml:space="preserve">community </w:t>
      </w:r>
      <w:r>
        <w:t xml:space="preserve">rather than </w:t>
      </w:r>
      <w:r>
        <w:rPr>
          <w:spacing w:val="-4"/>
        </w:rPr>
        <w:t xml:space="preserve">institutional </w:t>
      </w:r>
      <w:r>
        <w:t xml:space="preserve">settings. AARP </w:t>
      </w:r>
      <w:r>
        <w:rPr>
          <w:spacing w:val="-5"/>
        </w:rPr>
        <w:t xml:space="preserve">would </w:t>
      </w:r>
      <w:r>
        <w:rPr>
          <w:spacing w:val="-4"/>
        </w:rPr>
        <w:t xml:space="preserve">like </w:t>
      </w:r>
      <w:r>
        <w:t xml:space="preserve">to </w:t>
      </w:r>
      <w:r>
        <w:rPr>
          <w:spacing w:val="-3"/>
        </w:rPr>
        <w:t xml:space="preserve">recommend </w:t>
      </w:r>
      <w:r>
        <w:t xml:space="preserve">that </w:t>
      </w:r>
      <w:r>
        <w:rPr>
          <w:spacing w:val="-3"/>
        </w:rPr>
        <w:t xml:space="preserve">these </w:t>
      </w:r>
      <w:r>
        <w:rPr>
          <w:spacing w:val="-4"/>
        </w:rPr>
        <w:t xml:space="preserve">principles </w:t>
      </w:r>
      <w:r>
        <w:rPr>
          <w:spacing w:val="-3"/>
        </w:rPr>
        <w:t xml:space="preserve">be </w:t>
      </w:r>
      <w:r>
        <w:rPr>
          <w:spacing w:val="-5"/>
        </w:rPr>
        <w:t xml:space="preserve">spelled </w:t>
      </w:r>
      <w:r>
        <w:rPr>
          <w:spacing w:val="-4"/>
        </w:rPr>
        <w:t xml:space="preserve">out </w:t>
      </w:r>
      <w:r>
        <w:t xml:space="preserve">in the waiver </w:t>
      </w:r>
      <w:r>
        <w:rPr>
          <w:spacing w:val="-5"/>
        </w:rPr>
        <w:t xml:space="preserve">proposal. </w:t>
      </w:r>
      <w:r>
        <w:rPr>
          <w:spacing w:val="-3"/>
        </w:rPr>
        <w:t xml:space="preserve">We </w:t>
      </w:r>
      <w:r>
        <w:t xml:space="preserve">are </w:t>
      </w:r>
      <w:r>
        <w:rPr>
          <w:spacing w:val="-3"/>
        </w:rPr>
        <w:t xml:space="preserve">pleased </w:t>
      </w:r>
      <w:r>
        <w:t xml:space="preserve">to </w:t>
      </w:r>
      <w:r>
        <w:rPr>
          <w:spacing w:val="-3"/>
        </w:rPr>
        <w:t xml:space="preserve">see </w:t>
      </w:r>
      <w:r>
        <w:t xml:space="preserve">that </w:t>
      </w:r>
      <w:r>
        <w:rPr>
          <w:spacing w:val="-3"/>
        </w:rPr>
        <w:t xml:space="preserve">MCOs </w:t>
      </w:r>
      <w:r>
        <w:t xml:space="preserve">will </w:t>
      </w:r>
      <w:r>
        <w:rPr>
          <w:spacing w:val="-3"/>
        </w:rPr>
        <w:t xml:space="preserve">be required </w:t>
      </w:r>
      <w:r>
        <w:t xml:space="preserve">to </w:t>
      </w:r>
      <w:r>
        <w:rPr>
          <w:spacing w:val="-3"/>
        </w:rPr>
        <w:t xml:space="preserve">demonstrate </w:t>
      </w:r>
      <w:r>
        <w:rPr>
          <w:spacing w:val="-4"/>
        </w:rPr>
        <w:t xml:space="preserve">compliance </w:t>
      </w:r>
      <w:r>
        <w:t xml:space="preserve">with the </w:t>
      </w:r>
      <w:r>
        <w:rPr>
          <w:spacing w:val="-2"/>
        </w:rPr>
        <w:t xml:space="preserve">new </w:t>
      </w:r>
      <w:r>
        <w:t xml:space="preserve">federal </w:t>
      </w:r>
      <w:r>
        <w:rPr>
          <w:spacing w:val="-3"/>
        </w:rPr>
        <w:t xml:space="preserve">Medicaid </w:t>
      </w:r>
      <w:r>
        <w:t xml:space="preserve">Managed Care </w:t>
      </w:r>
      <w:r>
        <w:rPr>
          <w:spacing w:val="-3"/>
        </w:rPr>
        <w:t xml:space="preserve">regulations </w:t>
      </w:r>
      <w:r>
        <w:t xml:space="preserve">and </w:t>
      </w:r>
      <w:r>
        <w:rPr>
          <w:spacing w:val="-4"/>
        </w:rPr>
        <w:t xml:space="preserve">must </w:t>
      </w:r>
      <w:r>
        <w:rPr>
          <w:spacing w:val="-3"/>
        </w:rPr>
        <w:t xml:space="preserve">demonstrate competencies </w:t>
      </w:r>
      <w:r>
        <w:t xml:space="preserve">and </w:t>
      </w:r>
      <w:r>
        <w:rPr>
          <w:spacing w:val="-4"/>
        </w:rPr>
        <w:t xml:space="preserve">readiness before </w:t>
      </w:r>
      <w:r>
        <w:rPr>
          <w:spacing w:val="-5"/>
        </w:rPr>
        <w:t xml:space="preserve">enrolling people </w:t>
      </w:r>
      <w:r>
        <w:rPr>
          <w:spacing w:val="-2"/>
        </w:rPr>
        <w:t xml:space="preserve">who </w:t>
      </w:r>
      <w:r>
        <w:rPr>
          <w:spacing w:val="-3"/>
        </w:rPr>
        <w:t xml:space="preserve">require LTSS. We </w:t>
      </w:r>
      <w:r>
        <w:t xml:space="preserve">agree that it is </w:t>
      </w:r>
      <w:r>
        <w:rPr>
          <w:spacing w:val="-3"/>
        </w:rPr>
        <w:t xml:space="preserve">essential </w:t>
      </w:r>
      <w:r>
        <w:t xml:space="preserve">that </w:t>
      </w:r>
      <w:r>
        <w:rPr>
          <w:spacing w:val="-3"/>
        </w:rPr>
        <w:t xml:space="preserve">these requirements be </w:t>
      </w:r>
      <w:r>
        <w:t xml:space="preserve">met </w:t>
      </w:r>
      <w:r>
        <w:rPr>
          <w:spacing w:val="-4"/>
        </w:rPr>
        <w:t xml:space="preserve">before vulnerable </w:t>
      </w:r>
      <w:r w:rsidR="005632B1">
        <w:rPr>
          <w:spacing w:val="-3"/>
        </w:rPr>
        <w:t xml:space="preserve">adults </w:t>
      </w:r>
      <w:r>
        <w:t xml:space="preserve">are </w:t>
      </w:r>
      <w:r>
        <w:rPr>
          <w:spacing w:val="-3"/>
        </w:rPr>
        <w:t xml:space="preserve">allowed </w:t>
      </w:r>
      <w:r>
        <w:t xml:space="preserve">to </w:t>
      </w:r>
      <w:r>
        <w:rPr>
          <w:spacing w:val="-3"/>
        </w:rPr>
        <w:t xml:space="preserve">enroll  </w:t>
      </w:r>
      <w:r>
        <w:t>in capitated</w:t>
      </w:r>
      <w:r w:rsidR="005632B1">
        <w:t xml:space="preserve"> </w:t>
      </w:r>
      <w:r>
        <w:t xml:space="preserve">health </w:t>
      </w:r>
      <w:r>
        <w:rPr>
          <w:spacing w:val="-3"/>
        </w:rPr>
        <w:t>plans.</w:t>
      </w:r>
    </w:p>
    <w:p w:rsidR="002C5025" w:rsidRDefault="002C5025">
      <w:pPr>
        <w:pStyle w:val="BodyText"/>
        <w:kinsoku w:val="0"/>
        <w:overflowPunct w:val="0"/>
        <w:spacing w:before="7"/>
      </w:pPr>
    </w:p>
    <w:p w:rsidR="002C5025" w:rsidRDefault="002C5025">
      <w:pPr>
        <w:pStyle w:val="BodyText"/>
        <w:kinsoku w:val="0"/>
        <w:overflowPunct w:val="0"/>
        <w:spacing w:before="1"/>
        <w:ind w:left="119" w:right="187"/>
        <w:rPr>
          <w:b/>
          <w:bCs/>
        </w:rPr>
      </w:pPr>
      <w:bookmarkStart w:id="16" w:name="Accountable_Care_Organizations"/>
      <w:bookmarkEnd w:id="16"/>
      <w:r>
        <w:rPr>
          <w:b/>
          <w:bCs/>
        </w:rPr>
        <w:t>Accountable Care Organizations</w:t>
      </w:r>
    </w:p>
    <w:p w:rsidR="002C5025" w:rsidRDefault="002C5025">
      <w:pPr>
        <w:pStyle w:val="BodyText"/>
        <w:kinsoku w:val="0"/>
        <w:overflowPunct w:val="0"/>
        <w:spacing w:before="5"/>
        <w:ind w:left="119" w:right="187" w:hanging="1"/>
        <w:rPr>
          <w:spacing w:val="-5"/>
        </w:rPr>
      </w:pPr>
      <w:r>
        <w:rPr>
          <w:spacing w:val="-4"/>
        </w:rPr>
        <w:t xml:space="preserve">Under </w:t>
      </w:r>
      <w:r>
        <w:t xml:space="preserve">the waiver </w:t>
      </w:r>
      <w:r>
        <w:rPr>
          <w:spacing w:val="-5"/>
        </w:rPr>
        <w:t xml:space="preserve">proposal, </w:t>
      </w:r>
      <w:r>
        <w:t xml:space="preserve">MassHealth </w:t>
      </w:r>
      <w:r>
        <w:rPr>
          <w:spacing w:val="-3"/>
        </w:rPr>
        <w:t xml:space="preserve">Accountable </w:t>
      </w:r>
      <w:r>
        <w:t xml:space="preserve">Care Organizations(ACOs) will </w:t>
      </w:r>
      <w:r>
        <w:rPr>
          <w:spacing w:val="-3"/>
        </w:rPr>
        <w:t xml:space="preserve">have </w:t>
      </w:r>
      <w:r>
        <w:rPr>
          <w:spacing w:val="-5"/>
        </w:rPr>
        <w:t xml:space="preserve">explicit </w:t>
      </w:r>
      <w:r>
        <w:rPr>
          <w:spacing w:val="-3"/>
        </w:rPr>
        <w:t xml:space="preserve">requirements </w:t>
      </w:r>
      <w:r>
        <w:t xml:space="preserve">to partner with </w:t>
      </w:r>
      <w:r>
        <w:rPr>
          <w:spacing w:val="-4"/>
        </w:rPr>
        <w:t xml:space="preserve">community-based </w:t>
      </w:r>
      <w:r>
        <w:rPr>
          <w:spacing w:val="-3"/>
        </w:rPr>
        <w:t xml:space="preserve">behavioral </w:t>
      </w:r>
      <w:r>
        <w:t xml:space="preserve">health (BH) and LTSS </w:t>
      </w:r>
      <w:r>
        <w:rPr>
          <w:spacing w:val="-4"/>
        </w:rPr>
        <w:t xml:space="preserve">providers </w:t>
      </w:r>
      <w:r>
        <w:t xml:space="preserve">to </w:t>
      </w:r>
      <w:r>
        <w:rPr>
          <w:spacing w:val="-4"/>
        </w:rPr>
        <w:t xml:space="preserve">serve </w:t>
      </w:r>
      <w:r>
        <w:rPr>
          <w:spacing w:val="-3"/>
        </w:rPr>
        <w:t xml:space="preserve">members </w:t>
      </w:r>
      <w:r>
        <w:t xml:space="preserve">with </w:t>
      </w:r>
      <w:r>
        <w:rPr>
          <w:spacing w:val="-4"/>
        </w:rPr>
        <w:t xml:space="preserve">complex </w:t>
      </w:r>
      <w:r>
        <w:t xml:space="preserve">BH, LTSS and </w:t>
      </w:r>
      <w:r>
        <w:rPr>
          <w:spacing w:val="-3"/>
        </w:rPr>
        <w:t xml:space="preserve">co-occurring </w:t>
      </w:r>
      <w:r>
        <w:rPr>
          <w:spacing w:val="-4"/>
        </w:rPr>
        <w:t xml:space="preserve">needs. </w:t>
      </w:r>
      <w:r>
        <w:rPr>
          <w:spacing w:val="-3"/>
        </w:rPr>
        <w:t xml:space="preserve">We commend </w:t>
      </w:r>
      <w:r>
        <w:t xml:space="preserve">MassHealth’s </w:t>
      </w:r>
      <w:r>
        <w:rPr>
          <w:spacing w:val="-4"/>
        </w:rPr>
        <w:t xml:space="preserve">commitment </w:t>
      </w:r>
      <w:r>
        <w:t xml:space="preserve">to </w:t>
      </w:r>
      <w:r>
        <w:rPr>
          <w:spacing w:val="-5"/>
        </w:rPr>
        <w:t xml:space="preserve">ensure </w:t>
      </w:r>
      <w:r>
        <w:t xml:space="preserve">that </w:t>
      </w:r>
      <w:r>
        <w:rPr>
          <w:spacing w:val="-4"/>
        </w:rPr>
        <w:t xml:space="preserve">ACOs, </w:t>
      </w:r>
      <w:r>
        <w:t xml:space="preserve">other </w:t>
      </w:r>
      <w:r>
        <w:rPr>
          <w:spacing w:val="-4"/>
        </w:rPr>
        <w:t xml:space="preserve">providers </w:t>
      </w:r>
      <w:r>
        <w:t xml:space="preserve">and </w:t>
      </w:r>
      <w:r>
        <w:rPr>
          <w:spacing w:val="-3"/>
        </w:rPr>
        <w:t xml:space="preserve">MCOs </w:t>
      </w:r>
      <w:r>
        <w:t xml:space="preserve">will </w:t>
      </w:r>
      <w:r>
        <w:rPr>
          <w:spacing w:val="-4"/>
        </w:rPr>
        <w:t xml:space="preserve">deliver </w:t>
      </w:r>
      <w:r>
        <w:t xml:space="preserve">care in a </w:t>
      </w:r>
      <w:r>
        <w:rPr>
          <w:spacing w:val="-3"/>
        </w:rPr>
        <w:t xml:space="preserve">culturally competent manner </w:t>
      </w:r>
      <w:r>
        <w:t xml:space="preserve">that </w:t>
      </w:r>
      <w:r>
        <w:rPr>
          <w:spacing w:val="-3"/>
        </w:rPr>
        <w:t xml:space="preserve">is appropriate </w:t>
      </w:r>
      <w:r>
        <w:t xml:space="preserve">to the cultural and </w:t>
      </w:r>
      <w:r>
        <w:rPr>
          <w:spacing w:val="-4"/>
        </w:rPr>
        <w:t xml:space="preserve">linguistic </w:t>
      </w:r>
      <w:r>
        <w:rPr>
          <w:spacing w:val="-3"/>
        </w:rPr>
        <w:t xml:space="preserve">needs </w:t>
      </w:r>
      <w:r>
        <w:t xml:space="preserve">of </w:t>
      </w:r>
      <w:r>
        <w:rPr>
          <w:spacing w:val="-4"/>
        </w:rPr>
        <w:t xml:space="preserve">consumers. </w:t>
      </w:r>
      <w:r>
        <w:rPr>
          <w:spacing w:val="-2"/>
        </w:rPr>
        <w:t xml:space="preserve">The </w:t>
      </w:r>
      <w:r>
        <w:t xml:space="preserve">waiver </w:t>
      </w:r>
      <w:r>
        <w:rPr>
          <w:spacing w:val="-5"/>
        </w:rPr>
        <w:t xml:space="preserve">proposal </w:t>
      </w:r>
      <w:r>
        <w:rPr>
          <w:spacing w:val="-3"/>
        </w:rPr>
        <w:t xml:space="preserve">also </w:t>
      </w:r>
      <w:r>
        <w:rPr>
          <w:spacing w:val="-5"/>
        </w:rPr>
        <w:t xml:space="preserve">points </w:t>
      </w:r>
      <w:r>
        <w:rPr>
          <w:spacing w:val="-4"/>
        </w:rPr>
        <w:t xml:space="preserve">out </w:t>
      </w:r>
      <w:r>
        <w:t xml:space="preserve">that </w:t>
      </w:r>
      <w:r>
        <w:rPr>
          <w:spacing w:val="-4"/>
        </w:rPr>
        <w:t xml:space="preserve">ACOs </w:t>
      </w:r>
      <w:r>
        <w:t xml:space="preserve">will be expected to </w:t>
      </w:r>
      <w:r>
        <w:rPr>
          <w:spacing w:val="-3"/>
        </w:rPr>
        <w:t xml:space="preserve">work </w:t>
      </w:r>
      <w:r>
        <w:t xml:space="preserve">with </w:t>
      </w:r>
      <w:r>
        <w:rPr>
          <w:spacing w:val="-3"/>
        </w:rPr>
        <w:t xml:space="preserve">social </w:t>
      </w:r>
      <w:r>
        <w:rPr>
          <w:spacing w:val="-4"/>
        </w:rPr>
        <w:t xml:space="preserve">service providers </w:t>
      </w:r>
      <w:r>
        <w:t xml:space="preserve">to </w:t>
      </w:r>
      <w:r>
        <w:rPr>
          <w:spacing w:val="-4"/>
        </w:rPr>
        <w:t xml:space="preserve">address </w:t>
      </w:r>
      <w:r>
        <w:rPr>
          <w:spacing w:val="-5"/>
        </w:rPr>
        <w:t xml:space="preserve">consumers’ </w:t>
      </w:r>
      <w:r>
        <w:t>health-related</w:t>
      </w:r>
      <w:r w:rsidR="005632B1">
        <w:t xml:space="preserve"> </w:t>
      </w:r>
      <w:r>
        <w:t xml:space="preserve">social </w:t>
      </w:r>
      <w:r>
        <w:rPr>
          <w:spacing w:val="-5"/>
        </w:rPr>
        <w:t xml:space="preserve">needs. </w:t>
      </w:r>
      <w:r>
        <w:rPr>
          <w:spacing w:val="-3"/>
        </w:rPr>
        <w:t xml:space="preserve">We </w:t>
      </w:r>
      <w:r>
        <w:t xml:space="preserve">are encouraged to </w:t>
      </w:r>
      <w:r>
        <w:rPr>
          <w:spacing w:val="-3"/>
        </w:rPr>
        <w:t xml:space="preserve">see </w:t>
      </w:r>
      <w:r>
        <w:t xml:space="preserve">that a </w:t>
      </w:r>
      <w:r>
        <w:rPr>
          <w:spacing w:val="-4"/>
        </w:rPr>
        <w:t xml:space="preserve">portion </w:t>
      </w:r>
      <w:r>
        <w:t xml:space="preserve">of Delivery </w:t>
      </w:r>
      <w:r>
        <w:rPr>
          <w:spacing w:val="-4"/>
        </w:rPr>
        <w:t xml:space="preserve">System </w:t>
      </w:r>
      <w:r>
        <w:t xml:space="preserve">Reform </w:t>
      </w:r>
      <w:r>
        <w:rPr>
          <w:spacing w:val="-3"/>
        </w:rPr>
        <w:t xml:space="preserve">Incentive </w:t>
      </w:r>
      <w:r>
        <w:t xml:space="preserve">Program </w:t>
      </w:r>
      <w:r>
        <w:rPr>
          <w:spacing w:val="-6"/>
        </w:rPr>
        <w:t xml:space="preserve">funding </w:t>
      </w:r>
      <w:r>
        <w:t xml:space="preserve">to </w:t>
      </w:r>
      <w:r>
        <w:rPr>
          <w:spacing w:val="-4"/>
        </w:rPr>
        <w:t xml:space="preserve">ACOs </w:t>
      </w:r>
      <w:r>
        <w:t xml:space="preserve">will be </w:t>
      </w:r>
      <w:r>
        <w:rPr>
          <w:spacing w:val="-3"/>
        </w:rPr>
        <w:t xml:space="preserve">explicitly </w:t>
      </w:r>
      <w:r>
        <w:t>designated</w:t>
      </w:r>
      <w:r w:rsidR="005632B1">
        <w:t xml:space="preserve"> </w:t>
      </w:r>
      <w:r>
        <w:t xml:space="preserve">for  </w:t>
      </w:r>
      <w:r>
        <w:rPr>
          <w:spacing w:val="-4"/>
        </w:rPr>
        <w:t xml:space="preserve">“flexible services” </w:t>
      </w:r>
      <w:r>
        <w:t xml:space="preserve">to </w:t>
      </w:r>
      <w:r>
        <w:rPr>
          <w:spacing w:val="-5"/>
        </w:rPr>
        <w:t xml:space="preserve">fund </w:t>
      </w:r>
      <w:r>
        <w:rPr>
          <w:spacing w:val="-4"/>
        </w:rPr>
        <w:t xml:space="preserve">members’ social service   </w:t>
      </w:r>
      <w:r>
        <w:rPr>
          <w:spacing w:val="-5"/>
        </w:rPr>
        <w:t>needs.</w:t>
      </w:r>
    </w:p>
    <w:p w:rsidR="002C5025" w:rsidRDefault="002C5025">
      <w:pPr>
        <w:pStyle w:val="BodyText"/>
        <w:kinsoku w:val="0"/>
        <w:overflowPunct w:val="0"/>
        <w:spacing w:before="4"/>
      </w:pPr>
    </w:p>
    <w:p w:rsidR="002C5025" w:rsidRDefault="002C5025">
      <w:pPr>
        <w:pStyle w:val="BodyText"/>
        <w:kinsoku w:val="0"/>
        <w:overflowPunct w:val="0"/>
        <w:spacing w:before="1"/>
        <w:ind w:left="119" w:right="106"/>
      </w:pPr>
      <w:r>
        <w:t xml:space="preserve">AARP </w:t>
      </w:r>
      <w:r>
        <w:rPr>
          <w:spacing w:val="-5"/>
        </w:rPr>
        <w:t xml:space="preserve">supports </w:t>
      </w:r>
      <w:r>
        <w:t xml:space="preserve">the </w:t>
      </w:r>
      <w:r>
        <w:rPr>
          <w:spacing w:val="-4"/>
        </w:rPr>
        <w:t xml:space="preserve">requirement </w:t>
      </w:r>
      <w:r>
        <w:t xml:space="preserve">that all MassHealth </w:t>
      </w:r>
      <w:r>
        <w:rPr>
          <w:spacing w:val="-5"/>
        </w:rPr>
        <w:t xml:space="preserve">ACOs </w:t>
      </w:r>
      <w:r>
        <w:rPr>
          <w:spacing w:val="-3"/>
        </w:rPr>
        <w:t xml:space="preserve">(except </w:t>
      </w:r>
      <w:r>
        <w:rPr>
          <w:spacing w:val="-4"/>
        </w:rPr>
        <w:t xml:space="preserve">those </w:t>
      </w:r>
      <w:r>
        <w:t xml:space="preserve">in the </w:t>
      </w:r>
      <w:r>
        <w:rPr>
          <w:spacing w:val="-5"/>
        </w:rPr>
        <w:t xml:space="preserve">pilots) </w:t>
      </w:r>
      <w:r>
        <w:rPr>
          <w:spacing w:val="-3"/>
        </w:rPr>
        <w:t xml:space="preserve">have </w:t>
      </w:r>
      <w:r>
        <w:t xml:space="preserve">a Patient and </w:t>
      </w:r>
      <w:r>
        <w:rPr>
          <w:spacing w:val="-4"/>
        </w:rPr>
        <w:t xml:space="preserve">Family </w:t>
      </w:r>
      <w:r>
        <w:rPr>
          <w:spacing w:val="-5"/>
        </w:rPr>
        <w:t xml:space="preserve">Advisory </w:t>
      </w:r>
      <w:r>
        <w:rPr>
          <w:spacing w:val="-3"/>
        </w:rPr>
        <w:t xml:space="preserve">Committee. We strongly </w:t>
      </w:r>
      <w:r>
        <w:t xml:space="preserve">encourage the </w:t>
      </w:r>
      <w:r>
        <w:rPr>
          <w:spacing w:val="-6"/>
        </w:rPr>
        <w:t xml:space="preserve">inclusion </w:t>
      </w:r>
      <w:r>
        <w:t xml:space="preserve">of </w:t>
      </w:r>
      <w:r>
        <w:rPr>
          <w:spacing w:val="-3"/>
        </w:rPr>
        <w:t xml:space="preserve">family </w:t>
      </w:r>
      <w:r>
        <w:t>caregivers</w:t>
      </w:r>
      <w:r w:rsidR="005632B1">
        <w:t xml:space="preserve"> </w:t>
      </w:r>
      <w:r>
        <w:t xml:space="preserve">in </w:t>
      </w:r>
      <w:r>
        <w:rPr>
          <w:spacing w:val="-3"/>
        </w:rPr>
        <w:t xml:space="preserve">this </w:t>
      </w:r>
      <w:r>
        <w:rPr>
          <w:spacing w:val="-5"/>
        </w:rPr>
        <w:t xml:space="preserve">Advisory </w:t>
      </w:r>
      <w:r>
        <w:rPr>
          <w:spacing w:val="-3"/>
        </w:rPr>
        <w:t xml:space="preserve">Committee. </w:t>
      </w:r>
      <w:r>
        <w:t xml:space="preserve">It is </w:t>
      </w:r>
      <w:r>
        <w:rPr>
          <w:spacing w:val="-3"/>
        </w:rPr>
        <w:t xml:space="preserve">important </w:t>
      </w:r>
      <w:r>
        <w:t xml:space="preserve">to recognize that </w:t>
      </w:r>
      <w:r>
        <w:rPr>
          <w:spacing w:val="-5"/>
        </w:rPr>
        <w:t xml:space="preserve">some </w:t>
      </w:r>
      <w:r>
        <w:rPr>
          <w:spacing w:val="-3"/>
        </w:rPr>
        <w:t xml:space="preserve">family </w:t>
      </w:r>
      <w:r>
        <w:t xml:space="preserve">caregivers may </w:t>
      </w:r>
      <w:r>
        <w:rPr>
          <w:spacing w:val="-3"/>
        </w:rPr>
        <w:t xml:space="preserve">have </w:t>
      </w:r>
      <w:r>
        <w:rPr>
          <w:spacing w:val="-4"/>
        </w:rPr>
        <w:t xml:space="preserve">mobility </w:t>
      </w:r>
      <w:r>
        <w:t xml:space="preserve">or health </w:t>
      </w:r>
      <w:r>
        <w:rPr>
          <w:spacing w:val="-5"/>
        </w:rPr>
        <w:t xml:space="preserve">conditions </w:t>
      </w:r>
      <w:r>
        <w:t xml:space="preserve">that </w:t>
      </w:r>
      <w:r>
        <w:rPr>
          <w:spacing w:val="-4"/>
        </w:rPr>
        <w:t xml:space="preserve">could </w:t>
      </w:r>
      <w:r>
        <w:rPr>
          <w:spacing w:val="-5"/>
        </w:rPr>
        <w:t xml:space="preserve">impede </w:t>
      </w:r>
      <w:r>
        <w:rPr>
          <w:spacing w:val="-3"/>
        </w:rPr>
        <w:t xml:space="preserve">their ability </w:t>
      </w:r>
      <w:r>
        <w:t xml:space="preserve">to participate in the </w:t>
      </w:r>
      <w:r>
        <w:rPr>
          <w:spacing w:val="-5"/>
        </w:rPr>
        <w:t xml:space="preserve">Advisory </w:t>
      </w:r>
      <w:r>
        <w:rPr>
          <w:spacing w:val="-3"/>
        </w:rPr>
        <w:t xml:space="preserve">Committee. Therefore, </w:t>
      </w:r>
      <w:r>
        <w:t xml:space="preserve">we ask that </w:t>
      </w:r>
      <w:r>
        <w:rPr>
          <w:spacing w:val="-3"/>
        </w:rPr>
        <w:t xml:space="preserve">you </w:t>
      </w:r>
      <w:r>
        <w:t xml:space="preserve">seek ways to facilitate </w:t>
      </w:r>
      <w:r>
        <w:rPr>
          <w:spacing w:val="-3"/>
        </w:rPr>
        <w:t xml:space="preserve">their </w:t>
      </w:r>
      <w:r>
        <w:t>engagement.</w:t>
      </w:r>
    </w:p>
    <w:p w:rsidR="002C5025" w:rsidRDefault="002C5025">
      <w:pPr>
        <w:pStyle w:val="BodyText"/>
        <w:kinsoku w:val="0"/>
        <w:overflowPunct w:val="0"/>
        <w:spacing w:before="2"/>
        <w:rPr>
          <w:sz w:val="21"/>
          <w:szCs w:val="21"/>
        </w:rPr>
      </w:pPr>
    </w:p>
    <w:p w:rsidR="002C5025" w:rsidRDefault="002C5025">
      <w:pPr>
        <w:pStyle w:val="BodyText"/>
        <w:kinsoku w:val="0"/>
        <w:overflowPunct w:val="0"/>
        <w:spacing w:before="1"/>
        <w:ind w:left="120" w:right="187"/>
        <w:rPr>
          <w:b/>
          <w:bCs/>
        </w:rPr>
      </w:pPr>
      <w:bookmarkStart w:id="17" w:name="Other_Long_Term_Services_and_Supports_Pr"/>
      <w:bookmarkEnd w:id="17"/>
      <w:r>
        <w:rPr>
          <w:b/>
          <w:bCs/>
        </w:rPr>
        <w:t>Other Long Term Services and Supports Provisions</w:t>
      </w:r>
    </w:p>
    <w:p w:rsidR="002C5025" w:rsidRDefault="002C5025">
      <w:pPr>
        <w:pStyle w:val="BodyText"/>
        <w:kinsoku w:val="0"/>
        <w:overflowPunct w:val="0"/>
        <w:spacing w:before="5" w:line="242" w:lineRule="auto"/>
        <w:ind w:left="119" w:right="313"/>
      </w:pPr>
      <w:r>
        <w:t xml:space="preserve">AARP </w:t>
      </w:r>
      <w:r>
        <w:rPr>
          <w:spacing w:val="-3"/>
        </w:rPr>
        <w:t xml:space="preserve">strongly </w:t>
      </w:r>
      <w:r>
        <w:rPr>
          <w:spacing w:val="-5"/>
        </w:rPr>
        <w:t xml:space="preserve">supports </w:t>
      </w:r>
      <w:r>
        <w:t xml:space="preserve">the </w:t>
      </w:r>
      <w:r>
        <w:rPr>
          <w:spacing w:val="-4"/>
        </w:rPr>
        <w:t xml:space="preserve">establishment </w:t>
      </w:r>
      <w:r>
        <w:t xml:space="preserve">of </w:t>
      </w:r>
      <w:r>
        <w:rPr>
          <w:spacing w:val="-4"/>
        </w:rPr>
        <w:t xml:space="preserve">seamless, </w:t>
      </w:r>
      <w:r>
        <w:rPr>
          <w:spacing w:val="-3"/>
        </w:rPr>
        <w:t xml:space="preserve">person-centered </w:t>
      </w:r>
      <w:r>
        <w:t xml:space="preserve">care </w:t>
      </w:r>
      <w:r>
        <w:rPr>
          <w:spacing w:val="-4"/>
        </w:rPr>
        <w:t xml:space="preserve">coordination </w:t>
      </w:r>
      <w:r>
        <w:rPr>
          <w:spacing w:val="-3"/>
        </w:rPr>
        <w:t xml:space="preserve">for </w:t>
      </w:r>
      <w:r>
        <w:rPr>
          <w:spacing w:val="-4"/>
        </w:rPr>
        <w:t xml:space="preserve">consumers </w:t>
      </w:r>
      <w:r>
        <w:rPr>
          <w:spacing w:val="-2"/>
        </w:rPr>
        <w:t xml:space="preserve">who </w:t>
      </w:r>
      <w:r>
        <w:rPr>
          <w:spacing w:val="-3"/>
        </w:rPr>
        <w:t xml:space="preserve">have </w:t>
      </w:r>
      <w:r>
        <w:rPr>
          <w:spacing w:val="-4"/>
        </w:rPr>
        <w:t xml:space="preserve">complex </w:t>
      </w:r>
      <w:r>
        <w:t xml:space="preserve">LTSS and </w:t>
      </w:r>
      <w:r>
        <w:rPr>
          <w:spacing w:val="-4"/>
        </w:rPr>
        <w:t xml:space="preserve">social needs. </w:t>
      </w:r>
      <w:r>
        <w:rPr>
          <w:spacing w:val="-3"/>
        </w:rPr>
        <w:t xml:space="preserve">We </w:t>
      </w:r>
      <w:r>
        <w:rPr>
          <w:spacing w:val="-4"/>
        </w:rPr>
        <w:t xml:space="preserve">believe </w:t>
      </w:r>
      <w:r>
        <w:t xml:space="preserve">that care </w:t>
      </w:r>
      <w:r>
        <w:rPr>
          <w:spacing w:val="-4"/>
        </w:rPr>
        <w:t xml:space="preserve">coordination </w:t>
      </w:r>
      <w:r>
        <w:t xml:space="preserve">is </w:t>
      </w:r>
      <w:r>
        <w:rPr>
          <w:spacing w:val="-4"/>
        </w:rPr>
        <w:t xml:space="preserve">best </w:t>
      </w:r>
      <w:r>
        <w:rPr>
          <w:spacing w:val="-2"/>
        </w:rPr>
        <w:t xml:space="preserve">served </w:t>
      </w:r>
      <w:r>
        <w:t xml:space="preserve">when </w:t>
      </w:r>
      <w:r>
        <w:rPr>
          <w:spacing w:val="-4"/>
        </w:rPr>
        <w:t xml:space="preserve">interdisciplinary </w:t>
      </w:r>
      <w:r>
        <w:t xml:space="preserve">care teams are </w:t>
      </w:r>
      <w:r>
        <w:rPr>
          <w:spacing w:val="-3"/>
        </w:rPr>
        <w:t xml:space="preserve">formed, </w:t>
      </w:r>
      <w:r>
        <w:t xml:space="preserve">and that </w:t>
      </w:r>
      <w:r>
        <w:rPr>
          <w:spacing w:val="-3"/>
        </w:rPr>
        <w:t xml:space="preserve">both </w:t>
      </w:r>
      <w:r>
        <w:rPr>
          <w:spacing w:val="-4"/>
        </w:rPr>
        <w:t xml:space="preserve">community-based </w:t>
      </w:r>
      <w:r>
        <w:t xml:space="preserve">LTSS </w:t>
      </w:r>
      <w:r>
        <w:rPr>
          <w:spacing w:val="-4"/>
        </w:rPr>
        <w:t xml:space="preserve">providers </w:t>
      </w:r>
      <w:r>
        <w:t xml:space="preserve">and </w:t>
      </w:r>
      <w:r>
        <w:rPr>
          <w:spacing w:val="-3"/>
        </w:rPr>
        <w:t xml:space="preserve">family </w:t>
      </w:r>
      <w:r>
        <w:t>caregivers</w:t>
      </w:r>
      <w:r w:rsidR="005632B1">
        <w:t xml:space="preserve"> </w:t>
      </w:r>
      <w:r>
        <w:t xml:space="preserve">should  be </w:t>
      </w:r>
      <w:r>
        <w:rPr>
          <w:spacing w:val="-5"/>
        </w:rPr>
        <w:t xml:space="preserve">included </w:t>
      </w:r>
      <w:r>
        <w:t xml:space="preserve">as </w:t>
      </w:r>
      <w:r>
        <w:rPr>
          <w:spacing w:val="-3"/>
        </w:rPr>
        <w:t xml:space="preserve">members </w:t>
      </w:r>
      <w:r>
        <w:t xml:space="preserve">of </w:t>
      </w:r>
      <w:r>
        <w:rPr>
          <w:spacing w:val="-3"/>
        </w:rPr>
        <w:t xml:space="preserve">these </w:t>
      </w:r>
      <w:r>
        <w:t>teams.</w:t>
      </w:r>
    </w:p>
    <w:p w:rsidR="002C5025" w:rsidRDefault="002C5025">
      <w:pPr>
        <w:pStyle w:val="BodyText"/>
        <w:kinsoku w:val="0"/>
        <w:overflowPunct w:val="0"/>
        <w:spacing w:before="7"/>
        <w:rPr>
          <w:sz w:val="20"/>
          <w:szCs w:val="20"/>
        </w:rPr>
      </w:pPr>
    </w:p>
    <w:p w:rsidR="002C5025" w:rsidRDefault="002C5025">
      <w:pPr>
        <w:pStyle w:val="BodyText"/>
        <w:kinsoku w:val="0"/>
        <w:overflowPunct w:val="0"/>
        <w:spacing w:line="266" w:lineRule="exact"/>
        <w:ind w:left="120" w:right="313" w:hanging="1"/>
      </w:pPr>
      <w:r>
        <w:t>While we commend MassHealth’s commitment to ensure network adequacy that will provide consumers with the right and opportunity to select a Primary Care Clinician (PCC) plan or one of the other managed</w:t>
      </w:r>
      <w:r w:rsidR="005632B1">
        <w:t xml:space="preserve"> </w:t>
      </w:r>
      <w:r>
        <w:t>care plans, network adequacy should also ensure that consumers’ needs for LTSS are met.</w:t>
      </w:r>
    </w:p>
    <w:p w:rsidR="002C5025" w:rsidRDefault="002C5025">
      <w:pPr>
        <w:pStyle w:val="BodyText"/>
        <w:kinsoku w:val="0"/>
        <w:overflowPunct w:val="0"/>
        <w:spacing w:before="1"/>
        <w:rPr>
          <w:sz w:val="23"/>
          <w:szCs w:val="23"/>
        </w:rPr>
      </w:pPr>
    </w:p>
    <w:p w:rsidR="002C5025" w:rsidRDefault="002C5025">
      <w:pPr>
        <w:pStyle w:val="BodyText"/>
        <w:kinsoku w:val="0"/>
        <w:overflowPunct w:val="0"/>
        <w:ind w:left="120" w:right="187"/>
        <w:rPr>
          <w:b/>
          <w:bCs/>
        </w:rPr>
      </w:pPr>
      <w:bookmarkStart w:id="18" w:name="Other_Issues"/>
      <w:bookmarkEnd w:id="18"/>
      <w:r>
        <w:rPr>
          <w:b/>
          <w:bCs/>
        </w:rPr>
        <w:t>Other Issues</w:t>
      </w:r>
    </w:p>
    <w:p w:rsidR="002C5025" w:rsidRDefault="002C5025">
      <w:pPr>
        <w:pStyle w:val="BodyText"/>
        <w:kinsoku w:val="0"/>
        <w:overflowPunct w:val="0"/>
        <w:spacing w:before="7" w:line="237" w:lineRule="auto"/>
        <w:ind w:left="120" w:right="187" w:hanging="1"/>
      </w:pPr>
      <w:r>
        <w:rPr>
          <w:spacing w:val="-3"/>
        </w:rPr>
        <w:t xml:space="preserve">We </w:t>
      </w:r>
      <w:r>
        <w:t xml:space="preserve">appreciate the </w:t>
      </w:r>
      <w:r>
        <w:rPr>
          <w:spacing w:val="-4"/>
        </w:rPr>
        <w:t xml:space="preserve">proposal’s commitment </w:t>
      </w:r>
      <w:r>
        <w:t xml:space="preserve">that MassHealth will adhere to </w:t>
      </w:r>
      <w:r>
        <w:rPr>
          <w:spacing w:val="-5"/>
        </w:rPr>
        <w:t xml:space="preserve">robust </w:t>
      </w:r>
      <w:r>
        <w:rPr>
          <w:spacing w:val="-3"/>
        </w:rPr>
        <w:t xml:space="preserve">requirements </w:t>
      </w:r>
      <w:r>
        <w:t xml:space="preserve">that </w:t>
      </w:r>
      <w:r>
        <w:rPr>
          <w:spacing w:val="-5"/>
        </w:rPr>
        <w:t xml:space="preserve">support consumers’ </w:t>
      </w:r>
      <w:r>
        <w:t xml:space="preserve">rights and </w:t>
      </w:r>
      <w:r>
        <w:rPr>
          <w:spacing w:val="-3"/>
        </w:rPr>
        <w:t xml:space="preserve">protections, </w:t>
      </w:r>
      <w:r>
        <w:rPr>
          <w:spacing w:val="-5"/>
        </w:rPr>
        <w:t xml:space="preserve">including </w:t>
      </w:r>
      <w:r>
        <w:rPr>
          <w:spacing w:val="-3"/>
        </w:rPr>
        <w:t xml:space="preserve">existing appeals </w:t>
      </w:r>
      <w:r>
        <w:t xml:space="preserve">and grievance </w:t>
      </w:r>
      <w:r>
        <w:rPr>
          <w:spacing w:val="-4"/>
        </w:rPr>
        <w:t xml:space="preserve">procedures </w:t>
      </w:r>
      <w:r>
        <w:t xml:space="preserve">and </w:t>
      </w:r>
      <w:r>
        <w:rPr>
          <w:spacing w:val="-3"/>
        </w:rPr>
        <w:t xml:space="preserve">the </w:t>
      </w:r>
      <w:r>
        <w:rPr>
          <w:spacing w:val="-4"/>
        </w:rPr>
        <w:t xml:space="preserve">establishment </w:t>
      </w:r>
      <w:r>
        <w:t xml:space="preserve">of an external </w:t>
      </w:r>
      <w:r>
        <w:rPr>
          <w:spacing w:val="-5"/>
        </w:rPr>
        <w:t xml:space="preserve">Ombudsman. </w:t>
      </w:r>
      <w:r>
        <w:rPr>
          <w:spacing w:val="-3"/>
        </w:rPr>
        <w:t xml:space="preserve">We also applaud </w:t>
      </w:r>
      <w:r>
        <w:t xml:space="preserve">MassHealth’s </w:t>
      </w:r>
      <w:r>
        <w:rPr>
          <w:spacing w:val="-4"/>
        </w:rPr>
        <w:t xml:space="preserve">commitment </w:t>
      </w:r>
      <w:r>
        <w:t xml:space="preserve">to a </w:t>
      </w:r>
      <w:r>
        <w:rPr>
          <w:spacing w:val="-3"/>
        </w:rPr>
        <w:t xml:space="preserve">set </w:t>
      </w:r>
      <w:r>
        <w:rPr>
          <w:spacing w:val="-4"/>
        </w:rPr>
        <w:t xml:space="preserve">of </w:t>
      </w:r>
      <w:r>
        <w:rPr>
          <w:spacing w:val="-3"/>
        </w:rPr>
        <w:t xml:space="preserve">performance </w:t>
      </w:r>
      <w:r>
        <w:t>metrics</w:t>
      </w:r>
      <w:r w:rsidR="005632B1">
        <w:t xml:space="preserve"> </w:t>
      </w:r>
      <w:r>
        <w:t xml:space="preserve">over a </w:t>
      </w:r>
      <w:r>
        <w:rPr>
          <w:spacing w:val="-3"/>
        </w:rPr>
        <w:t xml:space="preserve">five-year </w:t>
      </w:r>
      <w:r>
        <w:rPr>
          <w:spacing w:val="-4"/>
        </w:rPr>
        <w:t xml:space="preserve">period </w:t>
      </w:r>
      <w:r>
        <w:t xml:space="preserve">that will </w:t>
      </w:r>
      <w:r>
        <w:rPr>
          <w:spacing w:val="-4"/>
        </w:rPr>
        <w:t xml:space="preserve">address </w:t>
      </w:r>
      <w:r>
        <w:t xml:space="preserve">and </w:t>
      </w:r>
      <w:r>
        <w:rPr>
          <w:spacing w:val="-3"/>
        </w:rPr>
        <w:t xml:space="preserve">measure </w:t>
      </w:r>
      <w:r>
        <w:t xml:space="preserve">total </w:t>
      </w:r>
      <w:r>
        <w:rPr>
          <w:spacing w:val="-4"/>
        </w:rPr>
        <w:t xml:space="preserve">cost </w:t>
      </w:r>
      <w:r>
        <w:t xml:space="preserve">of care, </w:t>
      </w:r>
      <w:r>
        <w:rPr>
          <w:spacing w:val="-4"/>
        </w:rPr>
        <w:t xml:space="preserve">quality, </w:t>
      </w:r>
      <w:r>
        <w:rPr>
          <w:spacing w:val="-5"/>
        </w:rPr>
        <w:t xml:space="preserve">consumer  </w:t>
      </w:r>
      <w:r>
        <w:rPr>
          <w:spacing w:val="-3"/>
        </w:rPr>
        <w:t xml:space="preserve">experience </w:t>
      </w:r>
      <w:r>
        <w:t>and care integration.</w:t>
      </w:r>
    </w:p>
    <w:p w:rsidR="002C5025" w:rsidRDefault="002C5025">
      <w:pPr>
        <w:pStyle w:val="BodyText"/>
        <w:kinsoku w:val="0"/>
        <w:overflowPunct w:val="0"/>
        <w:spacing w:before="6"/>
      </w:pPr>
    </w:p>
    <w:p w:rsidR="002C5025" w:rsidRDefault="002C5025">
      <w:pPr>
        <w:pStyle w:val="BodyText"/>
        <w:kinsoku w:val="0"/>
        <w:overflowPunct w:val="0"/>
        <w:spacing w:line="264" w:lineRule="exact"/>
        <w:ind w:left="120" w:right="187"/>
        <w:rPr>
          <w:spacing w:val="-3"/>
        </w:rPr>
      </w:pPr>
      <w:r>
        <w:rPr>
          <w:spacing w:val="-3"/>
        </w:rPr>
        <w:t xml:space="preserve">We also </w:t>
      </w:r>
      <w:r>
        <w:rPr>
          <w:spacing w:val="-4"/>
        </w:rPr>
        <w:t xml:space="preserve">commend </w:t>
      </w:r>
      <w:r>
        <w:t xml:space="preserve">the </w:t>
      </w:r>
      <w:r>
        <w:rPr>
          <w:spacing w:val="-6"/>
        </w:rPr>
        <w:t xml:space="preserve">provision </w:t>
      </w:r>
      <w:r>
        <w:t xml:space="preserve">in </w:t>
      </w:r>
      <w:r>
        <w:rPr>
          <w:spacing w:val="-3"/>
        </w:rPr>
        <w:t xml:space="preserve">this </w:t>
      </w:r>
      <w:r>
        <w:rPr>
          <w:spacing w:val="-5"/>
        </w:rPr>
        <w:t xml:space="preserve">proposal </w:t>
      </w:r>
      <w:r>
        <w:t xml:space="preserve">that will </w:t>
      </w:r>
      <w:r>
        <w:rPr>
          <w:spacing w:val="-3"/>
        </w:rPr>
        <w:t xml:space="preserve">allow </w:t>
      </w:r>
      <w:r>
        <w:rPr>
          <w:spacing w:val="-5"/>
        </w:rPr>
        <w:t xml:space="preserve">individuals </w:t>
      </w:r>
      <w:r>
        <w:t xml:space="preserve">in the </w:t>
      </w:r>
      <w:r>
        <w:rPr>
          <w:spacing w:val="-4"/>
        </w:rPr>
        <w:t xml:space="preserve">CommonHealth </w:t>
      </w:r>
      <w:r>
        <w:t xml:space="preserve">program to </w:t>
      </w:r>
      <w:r>
        <w:rPr>
          <w:spacing w:val="-4"/>
        </w:rPr>
        <w:t xml:space="preserve">continue </w:t>
      </w:r>
      <w:r>
        <w:rPr>
          <w:spacing w:val="-3"/>
        </w:rPr>
        <w:t xml:space="preserve">their </w:t>
      </w:r>
      <w:r>
        <w:rPr>
          <w:spacing w:val="-4"/>
        </w:rPr>
        <w:t xml:space="preserve">enrollment </w:t>
      </w:r>
      <w:r>
        <w:t xml:space="preserve">even after they turn age 65 and that </w:t>
      </w:r>
      <w:r>
        <w:rPr>
          <w:spacing w:val="-3"/>
        </w:rPr>
        <w:t xml:space="preserve">this </w:t>
      </w:r>
      <w:r>
        <w:rPr>
          <w:spacing w:val="-5"/>
        </w:rPr>
        <w:t xml:space="preserve">expansion </w:t>
      </w:r>
      <w:r>
        <w:t xml:space="preserve">will </w:t>
      </w:r>
      <w:r>
        <w:rPr>
          <w:spacing w:val="-3"/>
        </w:rPr>
        <w:t xml:space="preserve">help </w:t>
      </w:r>
      <w:r>
        <w:rPr>
          <w:spacing w:val="-4"/>
        </w:rPr>
        <w:t xml:space="preserve">preserve </w:t>
      </w:r>
      <w:r>
        <w:rPr>
          <w:spacing w:val="-3"/>
        </w:rPr>
        <w:t xml:space="preserve">needed services </w:t>
      </w:r>
      <w:r>
        <w:rPr>
          <w:spacing w:val="-4"/>
        </w:rPr>
        <w:t xml:space="preserve">for </w:t>
      </w:r>
      <w:r>
        <w:rPr>
          <w:spacing w:val="-5"/>
        </w:rPr>
        <w:t xml:space="preserve">working seniors </w:t>
      </w:r>
      <w:r>
        <w:t xml:space="preserve">in   </w:t>
      </w:r>
      <w:r>
        <w:rPr>
          <w:spacing w:val="-3"/>
        </w:rPr>
        <w:t>Massachusetts.</w:t>
      </w:r>
    </w:p>
    <w:p w:rsidR="002C5025" w:rsidRDefault="002C5025">
      <w:pPr>
        <w:pStyle w:val="BodyText"/>
        <w:kinsoku w:val="0"/>
        <w:overflowPunct w:val="0"/>
        <w:spacing w:before="9"/>
        <w:rPr>
          <w:sz w:val="23"/>
          <w:szCs w:val="23"/>
        </w:rPr>
      </w:pPr>
    </w:p>
    <w:p w:rsidR="002C5025" w:rsidRDefault="002C5025">
      <w:pPr>
        <w:pStyle w:val="BodyText"/>
        <w:kinsoku w:val="0"/>
        <w:overflowPunct w:val="0"/>
        <w:spacing w:before="1" w:line="254" w:lineRule="exact"/>
        <w:ind w:left="120" w:right="389" w:hanging="1"/>
      </w:pPr>
      <w:r>
        <w:t>We are glad</w:t>
      </w:r>
      <w:r w:rsidR="005632B1">
        <w:t xml:space="preserve"> </w:t>
      </w:r>
      <w:r>
        <w:t>to see the requirement that ACOs and MCOs make information about their MassHealth plans easily accessible. We are also pleased that MassHealth will be taking steps to enhance  their</w:t>
      </w:r>
    </w:p>
    <w:p w:rsidR="002C5025" w:rsidRDefault="002C5025">
      <w:pPr>
        <w:pStyle w:val="BodyText"/>
        <w:kinsoku w:val="0"/>
        <w:overflowPunct w:val="0"/>
        <w:spacing w:before="1" w:line="254" w:lineRule="exact"/>
        <w:ind w:left="120" w:right="389" w:hanging="1"/>
        <w:sectPr w:rsidR="002C5025">
          <w:pgSz w:w="12240" w:h="15840"/>
          <w:pgMar w:top="960" w:right="1520" w:bottom="280" w:left="1320" w:header="720" w:footer="720" w:gutter="0"/>
          <w:cols w:space="720" w:equalWidth="0">
            <w:col w:w="9400"/>
          </w:cols>
          <w:noEndnote/>
        </w:sectPr>
      </w:pPr>
    </w:p>
    <w:p w:rsidR="002C5025" w:rsidRDefault="002C5025">
      <w:pPr>
        <w:pStyle w:val="BodyText"/>
        <w:kinsoku w:val="0"/>
        <w:overflowPunct w:val="0"/>
        <w:spacing w:before="30" w:line="242" w:lineRule="auto"/>
        <w:ind w:left="119" w:right="225"/>
        <w:rPr>
          <w:spacing w:val="-3"/>
        </w:rPr>
      </w:pPr>
      <w:r>
        <w:rPr>
          <w:spacing w:val="-3"/>
        </w:rPr>
        <w:lastRenderedPageBreak/>
        <w:t xml:space="preserve">website, </w:t>
      </w:r>
      <w:r>
        <w:rPr>
          <w:spacing w:val="-5"/>
        </w:rPr>
        <w:t xml:space="preserve">publications, </w:t>
      </w:r>
      <w:r>
        <w:rPr>
          <w:spacing w:val="-4"/>
        </w:rPr>
        <w:t xml:space="preserve">customer service </w:t>
      </w:r>
      <w:r>
        <w:rPr>
          <w:spacing w:val="-3"/>
        </w:rPr>
        <w:t xml:space="preserve">operations </w:t>
      </w:r>
      <w:r>
        <w:t xml:space="preserve">and </w:t>
      </w:r>
      <w:r>
        <w:rPr>
          <w:spacing w:val="-4"/>
        </w:rPr>
        <w:t xml:space="preserve">community </w:t>
      </w:r>
      <w:r>
        <w:t xml:space="preserve">engagements. AARP </w:t>
      </w:r>
      <w:r>
        <w:rPr>
          <w:spacing w:val="-4"/>
        </w:rPr>
        <w:t xml:space="preserve">commends </w:t>
      </w:r>
      <w:r>
        <w:rPr>
          <w:spacing w:val="-3"/>
        </w:rPr>
        <w:t xml:space="preserve">the </w:t>
      </w:r>
      <w:r>
        <w:t xml:space="preserve">state </w:t>
      </w:r>
      <w:r>
        <w:rPr>
          <w:spacing w:val="-3"/>
        </w:rPr>
        <w:t xml:space="preserve">for </w:t>
      </w:r>
      <w:r>
        <w:rPr>
          <w:spacing w:val="-4"/>
        </w:rPr>
        <w:t xml:space="preserve">placing </w:t>
      </w:r>
      <w:r>
        <w:t xml:space="preserve">an </w:t>
      </w:r>
      <w:r>
        <w:rPr>
          <w:spacing w:val="-4"/>
        </w:rPr>
        <w:t xml:space="preserve">emphasis </w:t>
      </w:r>
      <w:r>
        <w:t xml:space="preserve">on integrating </w:t>
      </w:r>
      <w:r>
        <w:rPr>
          <w:spacing w:val="-3"/>
        </w:rPr>
        <w:t xml:space="preserve">behavioral </w:t>
      </w:r>
      <w:r>
        <w:t xml:space="preserve">and </w:t>
      </w:r>
      <w:r>
        <w:rPr>
          <w:spacing w:val="-5"/>
        </w:rPr>
        <w:t xml:space="preserve">physical </w:t>
      </w:r>
      <w:r>
        <w:rPr>
          <w:spacing w:val="-3"/>
        </w:rPr>
        <w:t>health.</w:t>
      </w:r>
    </w:p>
    <w:p w:rsidR="002C5025" w:rsidRDefault="002C5025">
      <w:pPr>
        <w:pStyle w:val="BodyText"/>
        <w:kinsoku w:val="0"/>
        <w:overflowPunct w:val="0"/>
        <w:spacing w:before="10"/>
        <w:rPr>
          <w:sz w:val="20"/>
          <w:szCs w:val="20"/>
        </w:rPr>
      </w:pPr>
    </w:p>
    <w:p w:rsidR="002C5025" w:rsidRDefault="002C5025">
      <w:pPr>
        <w:pStyle w:val="BodyText"/>
        <w:kinsoku w:val="0"/>
        <w:overflowPunct w:val="0"/>
        <w:ind w:left="120" w:right="225"/>
        <w:rPr>
          <w:b/>
          <w:bCs/>
        </w:rPr>
      </w:pPr>
      <w:bookmarkStart w:id="19" w:name="Questions_and_Concerns"/>
      <w:bookmarkEnd w:id="19"/>
      <w:r>
        <w:rPr>
          <w:b/>
          <w:bCs/>
        </w:rPr>
        <w:t>Questions  and Concerns</w:t>
      </w:r>
    </w:p>
    <w:p w:rsidR="002C5025" w:rsidRDefault="002C5025">
      <w:pPr>
        <w:pStyle w:val="BodyText"/>
        <w:kinsoku w:val="0"/>
        <w:overflowPunct w:val="0"/>
        <w:spacing w:before="5" w:line="244" w:lineRule="auto"/>
        <w:ind w:left="120" w:right="225"/>
      </w:pPr>
      <w:r>
        <w:t xml:space="preserve">In </w:t>
      </w:r>
      <w:r>
        <w:rPr>
          <w:spacing w:val="-4"/>
        </w:rPr>
        <w:t xml:space="preserve">addition </w:t>
      </w:r>
      <w:r>
        <w:t xml:space="preserve">to the </w:t>
      </w:r>
      <w:r>
        <w:rPr>
          <w:spacing w:val="-5"/>
        </w:rPr>
        <w:t xml:space="preserve">issues </w:t>
      </w:r>
      <w:r>
        <w:rPr>
          <w:spacing w:val="-4"/>
        </w:rPr>
        <w:t xml:space="preserve">addressed above, </w:t>
      </w:r>
      <w:r>
        <w:t xml:space="preserve">there are </w:t>
      </w:r>
      <w:r>
        <w:rPr>
          <w:spacing w:val="-5"/>
        </w:rPr>
        <w:t xml:space="preserve">some </w:t>
      </w:r>
      <w:r>
        <w:rPr>
          <w:spacing w:val="-4"/>
        </w:rPr>
        <w:t xml:space="preserve">additional </w:t>
      </w:r>
      <w:r>
        <w:rPr>
          <w:spacing w:val="-3"/>
        </w:rPr>
        <w:t xml:space="preserve">concerns </w:t>
      </w:r>
      <w:r>
        <w:t xml:space="preserve">and </w:t>
      </w:r>
      <w:r>
        <w:rPr>
          <w:spacing w:val="-5"/>
        </w:rPr>
        <w:t xml:space="preserve">questions </w:t>
      </w:r>
      <w:r>
        <w:t xml:space="preserve">we </w:t>
      </w:r>
      <w:r>
        <w:rPr>
          <w:spacing w:val="-3"/>
        </w:rPr>
        <w:t xml:space="preserve">wish </w:t>
      </w:r>
      <w:r>
        <w:t>to raise.</w:t>
      </w:r>
    </w:p>
    <w:p w:rsidR="002C5025" w:rsidRDefault="002C5025">
      <w:pPr>
        <w:pStyle w:val="BodyText"/>
        <w:kinsoku w:val="0"/>
        <w:overflowPunct w:val="0"/>
        <w:spacing w:before="7"/>
        <w:rPr>
          <w:sz w:val="20"/>
          <w:szCs w:val="20"/>
        </w:rPr>
      </w:pPr>
    </w:p>
    <w:p w:rsidR="002C5025" w:rsidRDefault="002C5025">
      <w:pPr>
        <w:pStyle w:val="BodyText"/>
        <w:kinsoku w:val="0"/>
        <w:overflowPunct w:val="0"/>
        <w:ind w:left="119" w:right="225"/>
        <w:rPr>
          <w:spacing w:val="-6"/>
        </w:rPr>
      </w:pPr>
      <w:r>
        <w:rPr>
          <w:spacing w:val="-2"/>
        </w:rPr>
        <w:t xml:space="preserve">The </w:t>
      </w:r>
      <w:r>
        <w:t xml:space="preserve">waiver </w:t>
      </w:r>
      <w:r>
        <w:rPr>
          <w:spacing w:val="-5"/>
        </w:rPr>
        <w:t xml:space="preserve">proposal points </w:t>
      </w:r>
      <w:r>
        <w:rPr>
          <w:spacing w:val="-4"/>
        </w:rPr>
        <w:t xml:space="preserve">out </w:t>
      </w:r>
      <w:r>
        <w:t>that certain</w:t>
      </w:r>
      <w:r w:rsidR="005632B1">
        <w:t xml:space="preserve"> </w:t>
      </w:r>
      <w:r>
        <w:t xml:space="preserve">benefits will be </w:t>
      </w:r>
      <w:r>
        <w:rPr>
          <w:spacing w:val="-3"/>
        </w:rPr>
        <w:t xml:space="preserve">available </w:t>
      </w:r>
      <w:r>
        <w:t>through</w:t>
      </w:r>
      <w:r w:rsidR="005632B1">
        <w:t xml:space="preserve"> </w:t>
      </w:r>
      <w:r>
        <w:t xml:space="preserve">an </w:t>
      </w:r>
      <w:r>
        <w:rPr>
          <w:spacing w:val="-3"/>
        </w:rPr>
        <w:t xml:space="preserve">ACO </w:t>
      </w:r>
      <w:r>
        <w:t xml:space="preserve">or </w:t>
      </w:r>
      <w:r>
        <w:rPr>
          <w:spacing w:val="-3"/>
        </w:rPr>
        <w:t xml:space="preserve">MCO </w:t>
      </w:r>
      <w:r>
        <w:rPr>
          <w:spacing w:val="-4"/>
        </w:rPr>
        <w:t xml:space="preserve">but </w:t>
      </w:r>
      <w:r>
        <w:t xml:space="preserve">will </w:t>
      </w:r>
      <w:r>
        <w:rPr>
          <w:spacing w:val="-6"/>
        </w:rPr>
        <w:t xml:space="preserve">no </w:t>
      </w:r>
      <w:r>
        <w:rPr>
          <w:spacing w:val="-3"/>
        </w:rPr>
        <w:t xml:space="preserve">longer </w:t>
      </w:r>
      <w:r>
        <w:t xml:space="preserve">be </w:t>
      </w:r>
      <w:r>
        <w:rPr>
          <w:spacing w:val="-3"/>
        </w:rPr>
        <w:t xml:space="preserve">available, </w:t>
      </w:r>
      <w:r>
        <w:t xml:space="preserve">or will be </w:t>
      </w:r>
      <w:r>
        <w:rPr>
          <w:spacing w:val="-4"/>
        </w:rPr>
        <w:t xml:space="preserve">limited, </w:t>
      </w:r>
      <w:r>
        <w:t xml:space="preserve">in the </w:t>
      </w:r>
      <w:r>
        <w:rPr>
          <w:spacing w:val="-3"/>
        </w:rPr>
        <w:t xml:space="preserve">PCC </w:t>
      </w:r>
      <w:r>
        <w:t xml:space="preserve">plan (e.g., </w:t>
      </w:r>
      <w:r>
        <w:rPr>
          <w:spacing w:val="-3"/>
        </w:rPr>
        <w:t xml:space="preserve">chiropractic </w:t>
      </w:r>
      <w:r>
        <w:rPr>
          <w:spacing w:val="-4"/>
        </w:rPr>
        <w:t xml:space="preserve">services, orthotics, </w:t>
      </w:r>
      <w:r>
        <w:t xml:space="preserve">eye </w:t>
      </w:r>
      <w:r>
        <w:rPr>
          <w:spacing w:val="-4"/>
        </w:rPr>
        <w:t xml:space="preserve">glasses, </w:t>
      </w:r>
      <w:r>
        <w:t xml:space="preserve">and </w:t>
      </w:r>
      <w:r>
        <w:rPr>
          <w:spacing w:val="-3"/>
        </w:rPr>
        <w:t xml:space="preserve">hearing aids). </w:t>
      </w:r>
      <w:r>
        <w:t>In</w:t>
      </w:r>
      <w:r w:rsidR="005632B1">
        <w:t xml:space="preserve"> </w:t>
      </w:r>
      <w:r>
        <w:t xml:space="preserve">addition, the </w:t>
      </w:r>
      <w:r>
        <w:rPr>
          <w:spacing w:val="-5"/>
        </w:rPr>
        <w:t xml:space="preserve">proposal </w:t>
      </w:r>
      <w:r>
        <w:t xml:space="preserve">states that </w:t>
      </w:r>
      <w:r>
        <w:rPr>
          <w:spacing w:val="-3"/>
        </w:rPr>
        <w:t xml:space="preserve">differential co-pays </w:t>
      </w:r>
      <w:r>
        <w:t xml:space="preserve">will </w:t>
      </w:r>
      <w:r>
        <w:rPr>
          <w:spacing w:val="-3"/>
        </w:rPr>
        <w:t xml:space="preserve">also </w:t>
      </w:r>
      <w:r>
        <w:t xml:space="preserve">be structured(lower </w:t>
      </w:r>
      <w:r>
        <w:rPr>
          <w:spacing w:val="-3"/>
        </w:rPr>
        <w:t xml:space="preserve">copays for members </w:t>
      </w:r>
      <w:r>
        <w:rPr>
          <w:spacing w:val="-4"/>
        </w:rPr>
        <w:t xml:space="preserve">enrolled </w:t>
      </w:r>
      <w:r>
        <w:t xml:space="preserve">in </w:t>
      </w:r>
      <w:r>
        <w:rPr>
          <w:spacing w:val="-5"/>
        </w:rPr>
        <w:t xml:space="preserve">MCO/ACO </w:t>
      </w:r>
      <w:r>
        <w:rPr>
          <w:spacing w:val="-6"/>
        </w:rPr>
        <w:t xml:space="preserve">options)  </w:t>
      </w:r>
      <w:r>
        <w:t xml:space="preserve">to encourage </w:t>
      </w:r>
      <w:r>
        <w:rPr>
          <w:spacing w:val="-4"/>
        </w:rPr>
        <w:t xml:space="preserve">enrollment </w:t>
      </w:r>
      <w:r>
        <w:t xml:space="preserve">in </w:t>
      </w:r>
      <w:r>
        <w:rPr>
          <w:spacing w:val="-3"/>
        </w:rPr>
        <w:t xml:space="preserve">more coordinated  </w:t>
      </w:r>
      <w:r>
        <w:rPr>
          <w:spacing w:val="-5"/>
        </w:rPr>
        <w:t xml:space="preserve">models </w:t>
      </w:r>
      <w:r>
        <w:t xml:space="preserve">of care. </w:t>
      </w:r>
      <w:r>
        <w:rPr>
          <w:spacing w:val="-3"/>
        </w:rPr>
        <w:t xml:space="preserve">We </w:t>
      </w:r>
      <w:r>
        <w:t xml:space="preserve">are </w:t>
      </w:r>
      <w:r>
        <w:rPr>
          <w:spacing w:val="-3"/>
        </w:rPr>
        <w:t xml:space="preserve">concerned </w:t>
      </w:r>
      <w:r>
        <w:t xml:space="preserve">that </w:t>
      </w:r>
      <w:r>
        <w:rPr>
          <w:spacing w:val="-3"/>
        </w:rPr>
        <w:t xml:space="preserve">limited services </w:t>
      </w:r>
      <w:r>
        <w:t xml:space="preserve">and </w:t>
      </w:r>
      <w:r>
        <w:rPr>
          <w:spacing w:val="-3"/>
        </w:rPr>
        <w:t xml:space="preserve">higher co-pays </w:t>
      </w:r>
      <w:r>
        <w:t xml:space="preserve">will </w:t>
      </w:r>
      <w:r>
        <w:rPr>
          <w:spacing w:val="-3"/>
        </w:rPr>
        <w:t xml:space="preserve">have adverse </w:t>
      </w:r>
      <w:r>
        <w:t xml:space="preserve">effects </w:t>
      </w:r>
      <w:r>
        <w:rPr>
          <w:spacing w:val="-4"/>
        </w:rPr>
        <w:t xml:space="preserve">consumers </w:t>
      </w:r>
      <w:r>
        <w:rPr>
          <w:spacing w:val="-2"/>
        </w:rPr>
        <w:t xml:space="preserve">who </w:t>
      </w:r>
      <w:r>
        <w:t xml:space="preserve">elect the </w:t>
      </w:r>
      <w:r>
        <w:rPr>
          <w:spacing w:val="-4"/>
        </w:rPr>
        <w:t xml:space="preserve">PCC </w:t>
      </w:r>
      <w:r>
        <w:t xml:space="preserve">plan and we ask that </w:t>
      </w:r>
      <w:r>
        <w:rPr>
          <w:spacing w:val="-5"/>
        </w:rPr>
        <w:t xml:space="preserve">you </w:t>
      </w:r>
      <w:r>
        <w:rPr>
          <w:spacing w:val="-4"/>
        </w:rPr>
        <w:t xml:space="preserve">reconsider </w:t>
      </w:r>
      <w:r>
        <w:rPr>
          <w:spacing w:val="-3"/>
        </w:rPr>
        <w:t xml:space="preserve">this </w:t>
      </w:r>
      <w:r>
        <w:rPr>
          <w:spacing w:val="5"/>
        </w:rPr>
        <w:t xml:space="preserve"> </w:t>
      </w:r>
      <w:r>
        <w:rPr>
          <w:spacing w:val="-6"/>
        </w:rPr>
        <w:t>provision.</w:t>
      </w:r>
    </w:p>
    <w:p w:rsidR="002C5025" w:rsidRDefault="002C5025">
      <w:pPr>
        <w:pStyle w:val="BodyText"/>
        <w:kinsoku w:val="0"/>
        <w:overflowPunct w:val="0"/>
        <w:spacing w:before="5"/>
      </w:pPr>
    </w:p>
    <w:p w:rsidR="002C5025" w:rsidRDefault="002C5025">
      <w:pPr>
        <w:pStyle w:val="BodyText"/>
        <w:kinsoku w:val="0"/>
        <w:overflowPunct w:val="0"/>
        <w:ind w:left="118" w:right="225" w:firstLine="1"/>
        <w:rPr>
          <w:spacing w:val="-4"/>
        </w:rPr>
      </w:pPr>
      <w:r>
        <w:rPr>
          <w:spacing w:val="-2"/>
        </w:rPr>
        <w:t xml:space="preserve">The </w:t>
      </w:r>
      <w:r>
        <w:rPr>
          <w:spacing w:val="-5"/>
        </w:rPr>
        <w:t xml:space="preserve">proposal  </w:t>
      </w:r>
      <w:r>
        <w:t>states</w:t>
      </w:r>
      <w:r w:rsidR="005632B1">
        <w:t xml:space="preserve"> </w:t>
      </w:r>
      <w:r>
        <w:t xml:space="preserve">that </w:t>
      </w:r>
      <w:r>
        <w:rPr>
          <w:spacing w:val="-5"/>
        </w:rPr>
        <w:t xml:space="preserve">following  </w:t>
      </w:r>
      <w:r>
        <w:t xml:space="preserve">its </w:t>
      </w:r>
      <w:r>
        <w:rPr>
          <w:spacing w:val="-3"/>
        </w:rPr>
        <w:t xml:space="preserve">MCO re-procurement </w:t>
      </w:r>
      <w:r>
        <w:rPr>
          <w:spacing w:val="-5"/>
        </w:rPr>
        <w:t xml:space="preserve">scheduled </w:t>
      </w:r>
      <w:r>
        <w:t xml:space="preserve">to </w:t>
      </w:r>
      <w:r>
        <w:rPr>
          <w:spacing w:val="-3"/>
        </w:rPr>
        <w:t xml:space="preserve">launch </w:t>
      </w:r>
      <w:r>
        <w:t xml:space="preserve">in late </w:t>
      </w:r>
      <w:r>
        <w:rPr>
          <w:spacing w:val="-3"/>
        </w:rPr>
        <w:t xml:space="preserve">2017,  </w:t>
      </w:r>
      <w:r>
        <w:t xml:space="preserve">MassHealth </w:t>
      </w:r>
      <w:r>
        <w:rPr>
          <w:spacing w:val="-3"/>
        </w:rPr>
        <w:t xml:space="preserve">will transition </w:t>
      </w:r>
      <w:r>
        <w:t xml:space="preserve">LTSS </w:t>
      </w:r>
      <w:r>
        <w:rPr>
          <w:spacing w:val="-3"/>
        </w:rPr>
        <w:t xml:space="preserve">into </w:t>
      </w:r>
      <w:r>
        <w:t xml:space="preserve">a </w:t>
      </w:r>
      <w:r>
        <w:rPr>
          <w:spacing w:val="-3"/>
        </w:rPr>
        <w:t xml:space="preserve">set </w:t>
      </w:r>
      <w:r>
        <w:t xml:space="preserve">of </w:t>
      </w:r>
      <w:r>
        <w:rPr>
          <w:spacing w:val="-3"/>
        </w:rPr>
        <w:t xml:space="preserve">services </w:t>
      </w:r>
      <w:r>
        <w:rPr>
          <w:spacing w:val="-4"/>
        </w:rPr>
        <w:t xml:space="preserve">for </w:t>
      </w:r>
      <w:r>
        <w:rPr>
          <w:spacing w:val="-3"/>
        </w:rPr>
        <w:t xml:space="preserve">which MCOs </w:t>
      </w:r>
      <w:r>
        <w:t xml:space="preserve">will be </w:t>
      </w:r>
      <w:r>
        <w:rPr>
          <w:spacing w:val="-5"/>
        </w:rPr>
        <w:t xml:space="preserve">responsible.  </w:t>
      </w:r>
      <w:r>
        <w:rPr>
          <w:spacing w:val="-2"/>
        </w:rPr>
        <w:t xml:space="preserve">The </w:t>
      </w:r>
      <w:r>
        <w:rPr>
          <w:spacing w:val="-3"/>
        </w:rPr>
        <w:t xml:space="preserve">transition  </w:t>
      </w:r>
      <w:r>
        <w:t xml:space="preserve">of </w:t>
      </w:r>
      <w:r>
        <w:rPr>
          <w:spacing w:val="-4"/>
        </w:rPr>
        <w:t xml:space="preserve">consumers </w:t>
      </w:r>
      <w:r>
        <w:rPr>
          <w:spacing w:val="-3"/>
        </w:rPr>
        <w:t xml:space="preserve">from </w:t>
      </w:r>
      <w:r>
        <w:rPr>
          <w:spacing w:val="-4"/>
        </w:rPr>
        <w:t xml:space="preserve">one </w:t>
      </w:r>
      <w:r>
        <w:t xml:space="preserve">care program to </w:t>
      </w:r>
      <w:r>
        <w:rPr>
          <w:spacing w:val="-3"/>
        </w:rPr>
        <w:t xml:space="preserve">another </w:t>
      </w:r>
      <w:r>
        <w:t xml:space="preserve">can </w:t>
      </w:r>
      <w:r>
        <w:rPr>
          <w:spacing w:val="-3"/>
        </w:rPr>
        <w:t xml:space="preserve">oftentimes be </w:t>
      </w:r>
      <w:r>
        <w:rPr>
          <w:spacing w:val="-5"/>
        </w:rPr>
        <w:t xml:space="preserve">confusing </w:t>
      </w:r>
      <w:r>
        <w:rPr>
          <w:spacing w:val="-3"/>
        </w:rPr>
        <w:t xml:space="preserve">for both </w:t>
      </w:r>
      <w:r>
        <w:t xml:space="preserve">beneficiaries and </w:t>
      </w:r>
      <w:r>
        <w:rPr>
          <w:spacing w:val="-3"/>
        </w:rPr>
        <w:t xml:space="preserve">their </w:t>
      </w:r>
      <w:r>
        <w:rPr>
          <w:spacing w:val="-4"/>
        </w:rPr>
        <w:t xml:space="preserve">families. </w:t>
      </w:r>
      <w:r>
        <w:t xml:space="preserve">In the </w:t>
      </w:r>
      <w:r>
        <w:rPr>
          <w:spacing w:val="-3"/>
        </w:rPr>
        <w:t xml:space="preserve">event </w:t>
      </w:r>
      <w:r>
        <w:rPr>
          <w:spacing w:val="-5"/>
        </w:rPr>
        <w:t xml:space="preserve">provider </w:t>
      </w:r>
      <w:r>
        <w:t>changes</w:t>
      </w:r>
      <w:r w:rsidR="005632B1">
        <w:t xml:space="preserve"> </w:t>
      </w:r>
      <w:r>
        <w:t xml:space="preserve">occur, MassHealth </w:t>
      </w:r>
      <w:r>
        <w:rPr>
          <w:spacing w:val="-7"/>
        </w:rPr>
        <w:t xml:space="preserve">should </w:t>
      </w:r>
      <w:r>
        <w:rPr>
          <w:spacing w:val="-5"/>
        </w:rPr>
        <w:t xml:space="preserve">ensure </w:t>
      </w:r>
      <w:r>
        <w:t xml:space="preserve">that any </w:t>
      </w:r>
      <w:r>
        <w:rPr>
          <w:spacing w:val="-3"/>
        </w:rPr>
        <w:t xml:space="preserve">transition </w:t>
      </w:r>
      <w:r>
        <w:t xml:space="preserve">to </w:t>
      </w:r>
      <w:r>
        <w:rPr>
          <w:spacing w:val="-2"/>
        </w:rPr>
        <w:t xml:space="preserve">new </w:t>
      </w:r>
      <w:r>
        <w:rPr>
          <w:spacing w:val="-4"/>
        </w:rPr>
        <w:t xml:space="preserve">providers </w:t>
      </w:r>
      <w:r>
        <w:t xml:space="preserve">is </w:t>
      </w:r>
      <w:r>
        <w:rPr>
          <w:spacing w:val="-5"/>
        </w:rPr>
        <w:t xml:space="preserve">smooth, </w:t>
      </w:r>
      <w:r>
        <w:rPr>
          <w:spacing w:val="-4"/>
        </w:rPr>
        <w:t xml:space="preserve">coordinated, </w:t>
      </w:r>
      <w:r>
        <w:t xml:space="preserve">and </w:t>
      </w:r>
      <w:r>
        <w:rPr>
          <w:spacing w:val="-5"/>
        </w:rPr>
        <w:t xml:space="preserve">includes </w:t>
      </w:r>
      <w:r>
        <w:rPr>
          <w:spacing w:val="-3"/>
        </w:rPr>
        <w:t xml:space="preserve">appropriate transfer </w:t>
      </w:r>
      <w:r>
        <w:t xml:space="preserve">of </w:t>
      </w:r>
      <w:r>
        <w:rPr>
          <w:spacing w:val="-3"/>
        </w:rPr>
        <w:t xml:space="preserve">records </w:t>
      </w:r>
      <w:r>
        <w:t xml:space="preserve">and </w:t>
      </w:r>
      <w:r>
        <w:rPr>
          <w:spacing w:val="-3"/>
        </w:rPr>
        <w:t xml:space="preserve">medication reconciliation. </w:t>
      </w:r>
      <w:r>
        <w:t xml:space="preserve">In </w:t>
      </w:r>
      <w:r>
        <w:rPr>
          <w:spacing w:val="-4"/>
        </w:rPr>
        <w:t xml:space="preserve">addition, </w:t>
      </w:r>
      <w:r>
        <w:rPr>
          <w:spacing w:val="-3"/>
        </w:rPr>
        <w:t xml:space="preserve">beneficiaries </w:t>
      </w:r>
      <w:r>
        <w:rPr>
          <w:spacing w:val="-6"/>
        </w:rPr>
        <w:t xml:space="preserve">should </w:t>
      </w:r>
      <w:r>
        <w:t xml:space="preserve">be </w:t>
      </w:r>
      <w:r>
        <w:rPr>
          <w:spacing w:val="-4"/>
        </w:rPr>
        <w:t xml:space="preserve">held </w:t>
      </w:r>
      <w:r>
        <w:rPr>
          <w:spacing w:val="-3"/>
        </w:rPr>
        <w:t xml:space="preserve">harmless for </w:t>
      </w:r>
      <w:r>
        <w:t xml:space="preserve">the </w:t>
      </w:r>
      <w:r>
        <w:rPr>
          <w:spacing w:val="-4"/>
        </w:rPr>
        <w:t xml:space="preserve">cost </w:t>
      </w:r>
      <w:r>
        <w:t xml:space="preserve">of any care as they  </w:t>
      </w:r>
      <w:r>
        <w:rPr>
          <w:spacing w:val="-3"/>
        </w:rPr>
        <w:t xml:space="preserve">transition </w:t>
      </w:r>
      <w:r>
        <w:t xml:space="preserve">to </w:t>
      </w:r>
      <w:r>
        <w:rPr>
          <w:spacing w:val="-2"/>
        </w:rPr>
        <w:t xml:space="preserve">new </w:t>
      </w:r>
      <w:r>
        <w:rPr>
          <w:spacing w:val="-4"/>
        </w:rPr>
        <w:t xml:space="preserve">providers </w:t>
      </w:r>
      <w:r>
        <w:t xml:space="preserve">or </w:t>
      </w:r>
      <w:r>
        <w:rPr>
          <w:spacing w:val="-2"/>
        </w:rPr>
        <w:t xml:space="preserve">new </w:t>
      </w:r>
      <w:r>
        <w:rPr>
          <w:spacing w:val="-4"/>
        </w:rPr>
        <w:t xml:space="preserve">networks. We </w:t>
      </w:r>
      <w:r>
        <w:rPr>
          <w:spacing w:val="-5"/>
        </w:rPr>
        <w:t xml:space="preserve">would like </w:t>
      </w:r>
      <w:r>
        <w:t xml:space="preserve">to </w:t>
      </w:r>
      <w:r>
        <w:rPr>
          <w:spacing w:val="-5"/>
        </w:rPr>
        <w:t xml:space="preserve">know </w:t>
      </w:r>
      <w:r>
        <w:rPr>
          <w:spacing w:val="-3"/>
        </w:rPr>
        <w:t xml:space="preserve">more about </w:t>
      </w:r>
      <w:r>
        <w:rPr>
          <w:spacing w:val="-4"/>
        </w:rPr>
        <w:t xml:space="preserve">how </w:t>
      </w:r>
      <w:r>
        <w:rPr>
          <w:spacing w:val="-3"/>
        </w:rPr>
        <w:t xml:space="preserve">this transition </w:t>
      </w:r>
      <w:r>
        <w:rPr>
          <w:spacing w:val="-4"/>
        </w:rPr>
        <w:t xml:space="preserve">process </w:t>
      </w:r>
      <w:r>
        <w:t xml:space="preserve">will work, </w:t>
      </w:r>
      <w:r>
        <w:rPr>
          <w:spacing w:val="-4"/>
        </w:rPr>
        <w:t xml:space="preserve">such </w:t>
      </w:r>
      <w:r>
        <w:t>as safeguards</w:t>
      </w:r>
      <w:r w:rsidR="005632B1">
        <w:t xml:space="preserve"> </w:t>
      </w:r>
      <w:r>
        <w:t xml:space="preserve">that will facilitate </w:t>
      </w:r>
      <w:r>
        <w:rPr>
          <w:spacing w:val="-4"/>
        </w:rPr>
        <w:t>smooth transitions.</w:t>
      </w:r>
    </w:p>
    <w:p w:rsidR="002C5025" w:rsidRDefault="002C5025">
      <w:pPr>
        <w:pStyle w:val="BodyText"/>
        <w:kinsoku w:val="0"/>
        <w:overflowPunct w:val="0"/>
        <w:spacing w:before="2"/>
      </w:pPr>
    </w:p>
    <w:p w:rsidR="002C5025" w:rsidRDefault="002C5025">
      <w:pPr>
        <w:pStyle w:val="BodyText"/>
        <w:kinsoku w:val="0"/>
        <w:overflowPunct w:val="0"/>
        <w:spacing w:line="266" w:lineRule="exact"/>
        <w:ind w:left="120" w:right="225"/>
        <w:rPr>
          <w:spacing w:val="-6"/>
        </w:rPr>
      </w:pPr>
      <w:r>
        <w:rPr>
          <w:spacing w:val="-2"/>
        </w:rPr>
        <w:t xml:space="preserve">The </w:t>
      </w:r>
      <w:r>
        <w:t xml:space="preserve">waiver </w:t>
      </w:r>
      <w:r>
        <w:rPr>
          <w:spacing w:val="-5"/>
        </w:rPr>
        <w:t xml:space="preserve">proposal </w:t>
      </w:r>
      <w:r>
        <w:rPr>
          <w:spacing w:val="-3"/>
        </w:rPr>
        <w:t xml:space="preserve">indicates </w:t>
      </w:r>
      <w:r>
        <w:t xml:space="preserve">the </w:t>
      </w:r>
      <w:r>
        <w:rPr>
          <w:spacing w:val="-4"/>
        </w:rPr>
        <w:t xml:space="preserve">ACOs </w:t>
      </w:r>
      <w:r>
        <w:t xml:space="preserve">will be </w:t>
      </w:r>
      <w:r>
        <w:rPr>
          <w:spacing w:val="-4"/>
        </w:rPr>
        <w:t xml:space="preserve">delivering </w:t>
      </w:r>
      <w:r>
        <w:rPr>
          <w:spacing w:val="-3"/>
        </w:rPr>
        <w:t xml:space="preserve">services for </w:t>
      </w:r>
      <w:r>
        <w:rPr>
          <w:spacing w:val="-6"/>
        </w:rPr>
        <w:t xml:space="preserve">some </w:t>
      </w:r>
      <w:r>
        <w:rPr>
          <w:spacing w:val="-3"/>
        </w:rPr>
        <w:t xml:space="preserve">recipients </w:t>
      </w:r>
      <w:r>
        <w:t xml:space="preserve">of LTSS </w:t>
      </w:r>
      <w:r>
        <w:rPr>
          <w:spacing w:val="-3"/>
        </w:rPr>
        <w:t xml:space="preserve">while others, dual eligible beneficiaries </w:t>
      </w:r>
      <w:r>
        <w:t xml:space="preserve">and </w:t>
      </w:r>
      <w:r>
        <w:rPr>
          <w:spacing w:val="-5"/>
        </w:rPr>
        <w:t xml:space="preserve">some </w:t>
      </w:r>
      <w:r>
        <w:t xml:space="preserve">HCBS waiver </w:t>
      </w:r>
      <w:r>
        <w:rPr>
          <w:spacing w:val="-4"/>
        </w:rPr>
        <w:t xml:space="preserve">beneficiaries, </w:t>
      </w:r>
      <w:r>
        <w:t xml:space="preserve">will </w:t>
      </w:r>
      <w:r>
        <w:rPr>
          <w:spacing w:val="-5"/>
        </w:rPr>
        <w:t xml:space="preserve">not </w:t>
      </w:r>
      <w:r>
        <w:rPr>
          <w:spacing w:val="-3"/>
        </w:rPr>
        <w:t xml:space="preserve">initially </w:t>
      </w:r>
      <w:r>
        <w:t xml:space="preserve">be </w:t>
      </w:r>
      <w:r>
        <w:rPr>
          <w:spacing w:val="-3"/>
        </w:rPr>
        <w:t xml:space="preserve">eligible </w:t>
      </w:r>
      <w:r>
        <w:t xml:space="preserve">to </w:t>
      </w:r>
      <w:r>
        <w:rPr>
          <w:spacing w:val="-3"/>
        </w:rPr>
        <w:t xml:space="preserve">enroll </w:t>
      </w:r>
      <w:r>
        <w:t xml:space="preserve">in </w:t>
      </w:r>
      <w:r>
        <w:rPr>
          <w:spacing w:val="-5"/>
        </w:rPr>
        <w:t xml:space="preserve">ACOs. </w:t>
      </w:r>
      <w:r>
        <w:rPr>
          <w:spacing w:val="-3"/>
        </w:rPr>
        <w:t xml:space="preserve">What assurances </w:t>
      </w:r>
      <w:r>
        <w:t xml:space="preserve">can the State </w:t>
      </w:r>
      <w:r>
        <w:rPr>
          <w:spacing w:val="-5"/>
        </w:rPr>
        <w:t xml:space="preserve">provide </w:t>
      </w:r>
      <w:r>
        <w:t xml:space="preserve">that </w:t>
      </w:r>
      <w:r>
        <w:rPr>
          <w:spacing w:val="-3"/>
        </w:rPr>
        <w:t xml:space="preserve">consumers </w:t>
      </w:r>
      <w:r>
        <w:t xml:space="preserve">will </w:t>
      </w:r>
      <w:r>
        <w:rPr>
          <w:spacing w:val="-3"/>
        </w:rPr>
        <w:t xml:space="preserve">receive </w:t>
      </w:r>
      <w:r>
        <w:t xml:space="preserve">the </w:t>
      </w:r>
      <w:r>
        <w:rPr>
          <w:spacing w:val="-3"/>
        </w:rPr>
        <w:t xml:space="preserve">same quality </w:t>
      </w:r>
      <w:r>
        <w:rPr>
          <w:spacing w:val="-4"/>
        </w:rPr>
        <w:t xml:space="preserve">of </w:t>
      </w:r>
      <w:r>
        <w:t xml:space="preserve">care </w:t>
      </w:r>
      <w:r>
        <w:rPr>
          <w:spacing w:val="-3"/>
        </w:rPr>
        <w:t xml:space="preserve">irrespective </w:t>
      </w:r>
      <w:r>
        <w:t xml:space="preserve">of the </w:t>
      </w:r>
      <w:r>
        <w:rPr>
          <w:spacing w:val="-4"/>
        </w:rPr>
        <w:t xml:space="preserve">delivery model </w:t>
      </w:r>
      <w:r>
        <w:t xml:space="preserve">they are </w:t>
      </w:r>
      <w:r>
        <w:rPr>
          <w:spacing w:val="-4"/>
        </w:rPr>
        <w:t xml:space="preserve">enrolled </w:t>
      </w:r>
      <w:r>
        <w:rPr>
          <w:spacing w:val="-6"/>
        </w:rPr>
        <w:t>in?</w:t>
      </w:r>
    </w:p>
    <w:p w:rsidR="002C5025" w:rsidRDefault="002C5025">
      <w:pPr>
        <w:pStyle w:val="BodyText"/>
        <w:kinsoku w:val="0"/>
        <w:overflowPunct w:val="0"/>
        <w:spacing w:before="3"/>
        <w:rPr>
          <w:sz w:val="23"/>
          <w:szCs w:val="23"/>
        </w:rPr>
      </w:pPr>
    </w:p>
    <w:p w:rsidR="002C5025" w:rsidRDefault="002C5025">
      <w:pPr>
        <w:pStyle w:val="BodyText"/>
        <w:kinsoku w:val="0"/>
        <w:overflowPunct w:val="0"/>
        <w:ind w:left="119" w:right="85"/>
        <w:rPr>
          <w:spacing w:val="-4"/>
        </w:rPr>
      </w:pPr>
      <w:r>
        <w:rPr>
          <w:spacing w:val="-3"/>
        </w:rPr>
        <w:t xml:space="preserve">Another concern </w:t>
      </w:r>
      <w:r>
        <w:t xml:space="preserve">we </w:t>
      </w:r>
      <w:r>
        <w:rPr>
          <w:spacing w:val="-3"/>
        </w:rPr>
        <w:t xml:space="preserve">have </w:t>
      </w:r>
      <w:r>
        <w:t xml:space="preserve">is with MassHealth </w:t>
      </w:r>
      <w:r>
        <w:rPr>
          <w:spacing w:val="-3"/>
        </w:rPr>
        <w:t xml:space="preserve">beneficiaries </w:t>
      </w:r>
      <w:r>
        <w:rPr>
          <w:spacing w:val="-4"/>
        </w:rPr>
        <w:t xml:space="preserve">who, </w:t>
      </w:r>
      <w:r>
        <w:t xml:space="preserve">as they approach the age of 65, </w:t>
      </w:r>
      <w:r>
        <w:rPr>
          <w:spacing w:val="-4"/>
        </w:rPr>
        <w:t xml:space="preserve">become </w:t>
      </w:r>
      <w:r>
        <w:rPr>
          <w:spacing w:val="-3"/>
        </w:rPr>
        <w:t xml:space="preserve">eligible for </w:t>
      </w:r>
      <w:r>
        <w:t xml:space="preserve">Medicare. Irrespective of </w:t>
      </w:r>
      <w:r>
        <w:rPr>
          <w:spacing w:val="-3"/>
        </w:rPr>
        <w:t xml:space="preserve">their </w:t>
      </w:r>
      <w:r>
        <w:rPr>
          <w:spacing w:val="-4"/>
        </w:rPr>
        <w:t xml:space="preserve">enrollment </w:t>
      </w:r>
      <w:r>
        <w:rPr>
          <w:spacing w:val="-3"/>
        </w:rPr>
        <w:t xml:space="preserve">in </w:t>
      </w:r>
      <w:r>
        <w:t xml:space="preserve">an </w:t>
      </w:r>
      <w:r>
        <w:rPr>
          <w:spacing w:val="-4"/>
        </w:rPr>
        <w:t xml:space="preserve">ACO, </w:t>
      </w:r>
      <w:r>
        <w:t xml:space="preserve">a </w:t>
      </w:r>
      <w:r>
        <w:rPr>
          <w:spacing w:val="-5"/>
        </w:rPr>
        <w:t xml:space="preserve">PCC, </w:t>
      </w:r>
      <w:r>
        <w:rPr>
          <w:spacing w:val="-4"/>
        </w:rPr>
        <w:t xml:space="preserve">SCO </w:t>
      </w:r>
      <w:r>
        <w:t xml:space="preserve">or </w:t>
      </w:r>
      <w:r>
        <w:rPr>
          <w:spacing w:val="-3"/>
        </w:rPr>
        <w:t xml:space="preserve">PACE, </w:t>
      </w:r>
      <w:r>
        <w:t xml:space="preserve">it is critical that </w:t>
      </w:r>
      <w:r>
        <w:rPr>
          <w:spacing w:val="-3"/>
        </w:rPr>
        <w:t xml:space="preserve">these beneficiaries receive </w:t>
      </w:r>
      <w:r>
        <w:t xml:space="preserve">timely, clear and </w:t>
      </w:r>
      <w:r>
        <w:rPr>
          <w:spacing w:val="-3"/>
        </w:rPr>
        <w:t xml:space="preserve">plain </w:t>
      </w:r>
      <w:r>
        <w:t xml:space="preserve">language </w:t>
      </w:r>
      <w:r>
        <w:rPr>
          <w:spacing w:val="-3"/>
        </w:rPr>
        <w:t xml:space="preserve">notification </w:t>
      </w:r>
      <w:r>
        <w:t xml:space="preserve">of </w:t>
      </w:r>
      <w:r>
        <w:rPr>
          <w:spacing w:val="-3"/>
        </w:rPr>
        <w:t xml:space="preserve">their </w:t>
      </w:r>
      <w:r>
        <w:t xml:space="preserve">coverage and </w:t>
      </w:r>
      <w:r>
        <w:rPr>
          <w:spacing w:val="-4"/>
        </w:rPr>
        <w:t xml:space="preserve">benefit </w:t>
      </w:r>
      <w:r>
        <w:rPr>
          <w:spacing w:val="-5"/>
        </w:rPr>
        <w:t xml:space="preserve">options, </w:t>
      </w:r>
      <w:r>
        <w:t xml:space="preserve">with a clear and </w:t>
      </w:r>
      <w:r>
        <w:rPr>
          <w:spacing w:val="-5"/>
        </w:rPr>
        <w:t xml:space="preserve">comprehensive </w:t>
      </w:r>
      <w:r>
        <w:t>explanation</w:t>
      </w:r>
      <w:r w:rsidR="005632B1">
        <w:t xml:space="preserve"> </w:t>
      </w:r>
      <w:r>
        <w:t xml:space="preserve">of the </w:t>
      </w:r>
      <w:r>
        <w:rPr>
          <w:spacing w:val="-4"/>
        </w:rPr>
        <w:t xml:space="preserve">process </w:t>
      </w:r>
      <w:r>
        <w:rPr>
          <w:spacing w:val="-3"/>
        </w:rPr>
        <w:t xml:space="preserve">for making </w:t>
      </w:r>
      <w:r>
        <w:t xml:space="preserve">a </w:t>
      </w:r>
      <w:r>
        <w:rPr>
          <w:spacing w:val="-5"/>
        </w:rPr>
        <w:t xml:space="preserve">smooth </w:t>
      </w:r>
      <w:r>
        <w:rPr>
          <w:spacing w:val="-3"/>
        </w:rPr>
        <w:t xml:space="preserve">transition </w:t>
      </w:r>
      <w:r>
        <w:t xml:space="preserve">to Medicare. </w:t>
      </w:r>
      <w:r>
        <w:rPr>
          <w:spacing w:val="-3"/>
        </w:rPr>
        <w:t>Beneficiaries</w:t>
      </w:r>
      <w:r w:rsidR="005632B1">
        <w:rPr>
          <w:spacing w:val="-3"/>
        </w:rPr>
        <w:t xml:space="preserve"> </w:t>
      </w:r>
      <w:r>
        <w:rPr>
          <w:spacing w:val="-3"/>
        </w:rPr>
        <w:t xml:space="preserve">should also </w:t>
      </w:r>
      <w:r>
        <w:t xml:space="preserve">be </w:t>
      </w:r>
      <w:r>
        <w:rPr>
          <w:spacing w:val="-3"/>
        </w:rPr>
        <w:t xml:space="preserve">made </w:t>
      </w:r>
      <w:r>
        <w:t xml:space="preserve">aware of any </w:t>
      </w:r>
      <w:r>
        <w:rPr>
          <w:spacing w:val="-3"/>
        </w:rPr>
        <w:t xml:space="preserve">potential </w:t>
      </w:r>
      <w:r>
        <w:rPr>
          <w:spacing w:val="-4"/>
        </w:rPr>
        <w:t xml:space="preserve">enrollment  </w:t>
      </w:r>
      <w:r>
        <w:rPr>
          <w:spacing w:val="-3"/>
        </w:rPr>
        <w:t xml:space="preserve">penalties </w:t>
      </w:r>
      <w:r>
        <w:t xml:space="preserve">that they may be </w:t>
      </w:r>
      <w:r>
        <w:rPr>
          <w:spacing w:val="-5"/>
        </w:rPr>
        <w:t xml:space="preserve">subject </w:t>
      </w:r>
      <w:r>
        <w:t xml:space="preserve">if they </w:t>
      </w:r>
      <w:r>
        <w:rPr>
          <w:spacing w:val="-4"/>
        </w:rPr>
        <w:t xml:space="preserve">decide </w:t>
      </w:r>
      <w:r>
        <w:rPr>
          <w:spacing w:val="-6"/>
        </w:rPr>
        <w:t xml:space="preserve">not </w:t>
      </w:r>
      <w:r>
        <w:t>to</w:t>
      </w:r>
      <w:r w:rsidR="005632B1">
        <w:t xml:space="preserve"> </w:t>
      </w:r>
      <w:r>
        <w:t xml:space="preserve">enroll in Medicare (Part B and D) at the time they turn the age of </w:t>
      </w:r>
      <w:r>
        <w:rPr>
          <w:spacing w:val="-2"/>
        </w:rPr>
        <w:t xml:space="preserve">65. </w:t>
      </w:r>
      <w:r>
        <w:rPr>
          <w:spacing w:val="-5"/>
        </w:rPr>
        <w:t xml:space="preserve">We </w:t>
      </w:r>
      <w:r>
        <w:t>are very interested</w:t>
      </w:r>
      <w:r w:rsidR="005632B1">
        <w:t xml:space="preserve"> </w:t>
      </w:r>
      <w:r>
        <w:t xml:space="preserve">in </w:t>
      </w:r>
      <w:r>
        <w:rPr>
          <w:spacing w:val="-3"/>
        </w:rPr>
        <w:t xml:space="preserve">learning </w:t>
      </w:r>
      <w:r>
        <w:rPr>
          <w:spacing w:val="-4"/>
        </w:rPr>
        <w:t xml:space="preserve">how </w:t>
      </w:r>
      <w:r>
        <w:t xml:space="preserve">MassHealth will be </w:t>
      </w:r>
      <w:r>
        <w:rPr>
          <w:spacing w:val="-5"/>
        </w:rPr>
        <w:t xml:space="preserve">addressing  </w:t>
      </w:r>
      <w:r>
        <w:t xml:space="preserve">this </w:t>
      </w:r>
      <w:r>
        <w:rPr>
          <w:spacing w:val="-4"/>
        </w:rPr>
        <w:t>concern.</w:t>
      </w:r>
    </w:p>
    <w:p w:rsidR="002C5025" w:rsidRDefault="002C5025">
      <w:pPr>
        <w:pStyle w:val="BodyText"/>
        <w:kinsoku w:val="0"/>
        <w:overflowPunct w:val="0"/>
        <w:spacing w:before="3"/>
        <w:rPr>
          <w:sz w:val="21"/>
          <w:szCs w:val="21"/>
        </w:rPr>
      </w:pPr>
    </w:p>
    <w:p w:rsidR="002C5025" w:rsidRDefault="002C5025">
      <w:pPr>
        <w:pStyle w:val="BodyText"/>
        <w:kinsoku w:val="0"/>
        <w:overflowPunct w:val="0"/>
        <w:spacing w:line="242" w:lineRule="auto"/>
        <w:ind w:left="119" w:right="141"/>
        <w:rPr>
          <w:spacing w:val="-3"/>
        </w:rPr>
      </w:pPr>
      <w:r>
        <w:rPr>
          <w:spacing w:val="-2"/>
        </w:rPr>
        <w:t xml:space="preserve">The </w:t>
      </w:r>
      <w:r>
        <w:rPr>
          <w:spacing w:val="-5"/>
        </w:rPr>
        <w:t xml:space="preserve">proposal </w:t>
      </w:r>
      <w:r>
        <w:rPr>
          <w:spacing w:val="-4"/>
        </w:rPr>
        <w:t xml:space="preserve">points </w:t>
      </w:r>
      <w:r>
        <w:t>to expectations</w:t>
      </w:r>
      <w:r w:rsidR="005632B1">
        <w:t xml:space="preserve"> </w:t>
      </w:r>
      <w:r>
        <w:t xml:space="preserve">for the </w:t>
      </w:r>
      <w:r>
        <w:rPr>
          <w:spacing w:val="-4"/>
        </w:rPr>
        <w:t xml:space="preserve">coordination </w:t>
      </w:r>
      <w:r>
        <w:t xml:space="preserve">and </w:t>
      </w:r>
      <w:r>
        <w:rPr>
          <w:spacing w:val="-4"/>
        </w:rPr>
        <w:t xml:space="preserve">delivery </w:t>
      </w:r>
      <w:r>
        <w:t xml:space="preserve">of care </w:t>
      </w:r>
      <w:r>
        <w:rPr>
          <w:spacing w:val="-3"/>
        </w:rPr>
        <w:t xml:space="preserve">for </w:t>
      </w:r>
      <w:r>
        <w:t xml:space="preserve">frail </w:t>
      </w:r>
      <w:r>
        <w:rPr>
          <w:spacing w:val="-5"/>
        </w:rPr>
        <w:t xml:space="preserve">seniors, </w:t>
      </w:r>
      <w:r>
        <w:rPr>
          <w:spacing w:val="-4"/>
        </w:rPr>
        <w:t xml:space="preserve">or  </w:t>
      </w:r>
      <w:r>
        <w:rPr>
          <w:spacing w:val="-3"/>
        </w:rPr>
        <w:t xml:space="preserve">members </w:t>
      </w:r>
      <w:r>
        <w:t xml:space="preserve">with </w:t>
      </w:r>
      <w:r>
        <w:rPr>
          <w:spacing w:val="-5"/>
        </w:rPr>
        <w:t xml:space="preserve">disabilities, including </w:t>
      </w:r>
      <w:r>
        <w:rPr>
          <w:spacing w:val="-6"/>
        </w:rPr>
        <w:t xml:space="preserve">building </w:t>
      </w:r>
      <w:r>
        <w:t xml:space="preserve">in </w:t>
      </w:r>
      <w:r>
        <w:rPr>
          <w:spacing w:val="-3"/>
        </w:rPr>
        <w:t xml:space="preserve">explicit </w:t>
      </w:r>
      <w:r>
        <w:t>expectations</w:t>
      </w:r>
      <w:r w:rsidR="005632B1">
        <w:t xml:space="preserve"> </w:t>
      </w:r>
      <w:r>
        <w:t xml:space="preserve">to </w:t>
      </w:r>
      <w:r>
        <w:rPr>
          <w:spacing w:val="-5"/>
        </w:rPr>
        <w:t xml:space="preserve">ensure </w:t>
      </w:r>
      <w:r>
        <w:rPr>
          <w:spacing w:val="-4"/>
        </w:rPr>
        <w:t xml:space="preserve">members’ </w:t>
      </w:r>
      <w:r>
        <w:t xml:space="preserve">LTSS care is </w:t>
      </w:r>
      <w:r>
        <w:rPr>
          <w:spacing w:val="-4"/>
        </w:rPr>
        <w:t xml:space="preserve">not </w:t>
      </w:r>
      <w:r>
        <w:rPr>
          <w:spacing w:val="-3"/>
        </w:rPr>
        <w:t xml:space="preserve">“over-medicalized.”  We </w:t>
      </w:r>
      <w:r>
        <w:rPr>
          <w:spacing w:val="-6"/>
        </w:rPr>
        <w:t xml:space="preserve">would </w:t>
      </w:r>
      <w:r>
        <w:t xml:space="preserve">appreciate </w:t>
      </w:r>
      <w:r>
        <w:rPr>
          <w:spacing w:val="-6"/>
        </w:rPr>
        <w:t xml:space="preserve">some </w:t>
      </w:r>
      <w:r>
        <w:rPr>
          <w:spacing w:val="-3"/>
        </w:rPr>
        <w:t xml:space="preserve">more </w:t>
      </w:r>
      <w:r>
        <w:t xml:space="preserve">details on </w:t>
      </w:r>
      <w:r>
        <w:rPr>
          <w:spacing w:val="-6"/>
        </w:rPr>
        <w:t xml:space="preserve">how </w:t>
      </w:r>
      <w:r>
        <w:rPr>
          <w:spacing w:val="-3"/>
        </w:rPr>
        <w:t xml:space="preserve">this </w:t>
      </w:r>
      <w:r>
        <w:rPr>
          <w:spacing w:val="-4"/>
        </w:rPr>
        <w:t xml:space="preserve">coordination </w:t>
      </w:r>
      <w:r>
        <w:t xml:space="preserve">will be </w:t>
      </w:r>
      <w:r>
        <w:rPr>
          <w:spacing w:val="-3"/>
        </w:rPr>
        <w:t>achieved.</w:t>
      </w:r>
    </w:p>
    <w:p w:rsidR="002C5025" w:rsidRDefault="002C5025">
      <w:pPr>
        <w:pStyle w:val="BodyText"/>
        <w:kinsoku w:val="0"/>
        <w:overflowPunct w:val="0"/>
        <w:rPr>
          <w:sz w:val="21"/>
          <w:szCs w:val="21"/>
        </w:rPr>
      </w:pPr>
    </w:p>
    <w:p w:rsidR="002C5025" w:rsidRDefault="002C5025">
      <w:pPr>
        <w:pStyle w:val="BodyText"/>
        <w:kinsoku w:val="0"/>
        <w:overflowPunct w:val="0"/>
        <w:spacing w:line="242" w:lineRule="auto"/>
        <w:ind w:left="119" w:right="225"/>
        <w:rPr>
          <w:spacing w:val="-3"/>
        </w:rPr>
      </w:pPr>
      <w:r>
        <w:rPr>
          <w:spacing w:val="-3"/>
        </w:rPr>
        <w:t xml:space="preserve">We </w:t>
      </w:r>
      <w:r>
        <w:t xml:space="preserve">encourage the </w:t>
      </w:r>
      <w:r>
        <w:rPr>
          <w:spacing w:val="-6"/>
        </w:rPr>
        <w:t xml:space="preserve">inclusion </w:t>
      </w:r>
      <w:r>
        <w:t xml:space="preserve">of the </w:t>
      </w:r>
      <w:r>
        <w:rPr>
          <w:spacing w:val="-3"/>
        </w:rPr>
        <w:t xml:space="preserve">family </w:t>
      </w:r>
      <w:r>
        <w:t xml:space="preserve">caregiver </w:t>
      </w:r>
      <w:r>
        <w:rPr>
          <w:spacing w:val="-3"/>
        </w:rPr>
        <w:t xml:space="preserve">experience </w:t>
      </w:r>
      <w:r>
        <w:t xml:space="preserve">as a core </w:t>
      </w:r>
      <w:r>
        <w:rPr>
          <w:spacing w:val="-3"/>
        </w:rPr>
        <w:t xml:space="preserve">measure among </w:t>
      </w:r>
      <w:r>
        <w:t xml:space="preserve">the </w:t>
      </w:r>
      <w:r>
        <w:rPr>
          <w:spacing w:val="-3"/>
        </w:rPr>
        <w:t xml:space="preserve">quality measures </w:t>
      </w:r>
      <w:r>
        <w:rPr>
          <w:spacing w:val="-4"/>
        </w:rPr>
        <w:t xml:space="preserve">used </w:t>
      </w:r>
      <w:r>
        <w:t xml:space="preserve">to evaluate the waiver. </w:t>
      </w:r>
      <w:r>
        <w:rPr>
          <w:spacing w:val="-3"/>
        </w:rPr>
        <w:t xml:space="preserve">We </w:t>
      </w:r>
      <w:r>
        <w:rPr>
          <w:spacing w:val="-5"/>
        </w:rPr>
        <w:t xml:space="preserve">would </w:t>
      </w:r>
      <w:r>
        <w:rPr>
          <w:spacing w:val="-3"/>
        </w:rPr>
        <w:t xml:space="preserve">also </w:t>
      </w:r>
      <w:r>
        <w:rPr>
          <w:spacing w:val="-5"/>
        </w:rPr>
        <w:t xml:space="preserve">like </w:t>
      </w:r>
      <w:r>
        <w:t xml:space="preserve">to </w:t>
      </w:r>
      <w:r>
        <w:rPr>
          <w:spacing w:val="-3"/>
        </w:rPr>
        <w:t xml:space="preserve">be </w:t>
      </w:r>
      <w:r>
        <w:rPr>
          <w:spacing w:val="-4"/>
        </w:rPr>
        <w:t xml:space="preserve">assured </w:t>
      </w:r>
      <w:r>
        <w:t xml:space="preserve">that the </w:t>
      </w:r>
      <w:r>
        <w:rPr>
          <w:spacing w:val="-3"/>
        </w:rPr>
        <w:t xml:space="preserve">family </w:t>
      </w:r>
      <w:r>
        <w:rPr>
          <w:spacing w:val="-5"/>
        </w:rPr>
        <w:t xml:space="preserve">support </w:t>
      </w:r>
      <w:r>
        <w:rPr>
          <w:spacing w:val="-3"/>
        </w:rPr>
        <w:t xml:space="preserve">services </w:t>
      </w:r>
      <w:r>
        <w:rPr>
          <w:spacing w:val="-5"/>
        </w:rPr>
        <w:t xml:space="preserve">provided </w:t>
      </w:r>
      <w:r>
        <w:t xml:space="preserve">by LTSS </w:t>
      </w:r>
      <w:r>
        <w:rPr>
          <w:spacing w:val="-5"/>
        </w:rPr>
        <w:t xml:space="preserve">Community </w:t>
      </w:r>
      <w:r>
        <w:t xml:space="preserve">Partners(CPs)  are </w:t>
      </w:r>
      <w:r>
        <w:rPr>
          <w:spacing w:val="-4"/>
        </w:rPr>
        <w:t xml:space="preserve">going </w:t>
      </w:r>
      <w:r>
        <w:t xml:space="preserve">to be </w:t>
      </w:r>
      <w:r>
        <w:rPr>
          <w:spacing w:val="-5"/>
        </w:rPr>
        <w:t xml:space="preserve">sufficient  </w:t>
      </w:r>
      <w:r>
        <w:t xml:space="preserve">and </w:t>
      </w:r>
      <w:r>
        <w:rPr>
          <w:spacing w:val="-3"/>
        </w:rPr>
        <w:t xml:space="preserve">appropriate </w:t>
      </w:r>
      <w:r>
        <w:t xml:space="preserve">to meet </w:t>
      </w:r>
      <w:r>
        <w:rPr>
          <w:spacing w:val="-3"/>
        </w:rPr>
        <w:t xml:space="preserve">the  needs  </w:t>
      </w:r>
      <w:r>
        <w:t xml:space="preserve">of </w:t>
      </w:r>
      <w:r>
        <w:rPr>
          <w:spacing w:val="-3"/>
        </w:rPr>
        <w:t xml:space="preserve">family  </w:t>
      </w:r>
      <w:r>
        <w:t>caregivers</w:t>
      </w:r>
      <w:r w:rsidR="005632B1">
        <w:t xml:space="preserve"> </w:t>
      </w:r>
      <w:r>
        <w:t>in</w:t>
      </w:r>
      <w:r>
        <w:rPr>
          <w:spacing w:val="-31"/>
        </w:rPr>
        <w:t xml:space="preserve"> </w:t>
      </w:r>
      <w:r>
        <w:rPr>
          <w:spacing w:val="-3"/>
        </w:rPr>
        <w:t>Massachusetts.</w:t>
      </w:r>
    </w:p>
    <w:p w:rsidR="002C5025" w:rsidRDefault="002C5025">
      <w:pPr>
        <w:pStyle w:val="BodyText"/>
        <w:kinsoku w:val="0"/>
        <w:overflowPunct w:val="0"/>
        <w:rPr>
          <w:sz w:val="21"/>
          <w:szCs w:val="21"/>
        </w:rPr>
      </w:pPr>
    </w:p>
    <w:p w:rsidR="002C5025" w:rsidRDefault="002C5025">
      <w:pPr>
        <w:pStyle w:val="BodyText"/>
        <w:kinsoku w:val="0"/>
        <w:overflowPunct w:val="0"/>
        <w:spacing w:line="242" w:lineRule="auto"/>
        <w:ind w:left="119" w:right="225"/>
        <w:rPr>
          <w:spacing w:val="-4"/>
        </w:rPr>
      </w:pPr>
      <w:r>
        <w:rPr>
          <w:spacing w:val="-2"/>
        </w:rPr>
        <w:t xml:space="preserve">The </w:t>
      </w:r>
      <w:r>
        <w:rPr>
          <w:spacing w:val="-5"/>
        </w:rPr>
        <w:t xml:space="preserve">proposal </w:t>
      </w:r>
      <w:r>
        <w:rPr>
          <w:spacing w:val="-4"/>
        </w:rPr>
        <w:t xml:space="preserve">points </w:t>
      </w:r>
      <w:r>
        <w:t xml:space="preserve">to a tiered </w:t>
      </w:r>
      <w:r>
        <w:rPr>
          <w:spacing w:val="-3"/>
        </w:rPr>
        <w:t xml:space="preserve">approach </w:t>
      </w:r>
      <w:r>
        <w:t xml:space="preserve">(page 6) that MassHealth </w:t>
      </w:r>
      <w:r>
        <w:rPr>
          <w:spacing w:val="-3"/>
        </w:rPr>
        <w:t xml:space="preserve">will </w:t>
      </w:r>
      <w:r>
        <w:rPr>
          <w:spacing w:val="-5"/>
        </w:rPr>
        <w:t xml:space="preserve">employ </w:t>
      </w:r>
      <w:r>
        <w:rPr>
          <w:spacing w:val="-3"/>
        </w:rPr>
        <w:t xml:space="preserve">for </w:t>
      </w:r>
      <w:r>
        <w:rPr>
          <w:spacing w:val="-5"/>
        </w:rPr>
        <w:t xml:space="preserve">outlining </w:t>
      </w:r>
      <w:r>
        <w:t xml:space="preserve">its expectations </w:t>
      </w:r>
      <w:r>
        <w:rPr>
          <w:spacing w:val="-3"/>
        </w:rPr>
        <w:t xml:space="preserve">for </w:t>
      </w:r>
      <w:r>
        <w:t xml:space="preserve">care </w:t>
      </w:r>
      <w:r>
        <w:rPr>
          <w:spacing w:val="-4"/>
        </w:rPr>
        <w:t xml:space="preserve">delivery </w:t>
      </w:r>
      <w:r>
        <w:t>integration</w:t>
      </w:r>
      <w:r w:rsidR="005632B1">
        <w:t xml:space="preserve"> </w:t>
      </w:r>
      <w:r>
        <w:t xml:space="preserve">based on the </w:t>
      </w:r>
      <w:r>
        <w:rPr>
          <w:spacing w:val="-3"/>
        </w:rPr>
        <w:t xml:space="preserve">complexity </w:t>
      </w:r>
      <w:r>
        <w:t xml:space="preserve">of </w:t>
      </w:r>
      <w:r>
        <w:rPr>
          <w:spacing w:val="-4"/>
        </w:rPr>
        <w:t xml:space="preserve">members’ </w:t>
      </w:r>
      <w:r>
        <w:rPr>
          <w:spacing w:val="-5"/>
        </w:rPr>
        <w:t xml:space="preserve">needs. </w:t>
      </w:r>
      <w:r>
        <w:t xml:space="preserve">AARP </w:t>
      </w:r>
      <w:r>
        <w:rPr>
          <w:spacing w:val="-5"/>
        </w:rPr>
        <w:t xml:space="preserve">would like </w:t>
      </w:r>
      <w:r>
        <w:t xml:space="preserve">to </w:t>
      </w:r>
      <w:r>
        <w:rPr>
          <w:spacing w:val="-3"/>
        </w:rPr>
        <w:t xml:space="preserve">have </w:t>
      </w:r>
      <w:r>
        <w:t xml:space="preserve">a </w:t>
      </w:r>
      <w:r>
        <w:rPr>
          <w:spacing w:val="-3"/>
        </w:rPr>
        <w:t xml:space="preserve">more </w:t>
      </w:r>
      <w:r>
        <w:t xml:space="preserve">detailed </w:t>
      </w:r>
      <w:r>
        <w:rPr>
          <w:spacing w:val="-3"/>
        </w:rPr>
        <w:t xml:space="preserve">explanation </w:t>
      </w:r>
      <w:r>
        <w:t xml:space="preserve">of what </w:t>
      </w:r>
      <w:r>
        <w:rPr>
          <w:spacing w:val="-3"/>
        </w:rPr>
        <w:t xml:space="preserve">constitutes </w:t>
      </w:r>
      <w:r>
        <w:t xml:space="preserve">a tiered </w:t>
      </w:r>
      <w:r>
        <w:rPr>
          <w:spacing w:val="-4"/>
        </w:rPr>
        <w:t>approach.</w:t>
      </w:r>
    </w:p>
    <w:p w:rsidR="002C5025" w:rsidRDefault="002C5025">
      <w:pPr>
        <w:pStyle w:val="BodyText"/>
        <w:kinsoku w:val="0"/>
        <w:overflowPunct w:val="0"/>
        <w:rPr>
          <w:sz w:val="21"/>
          <w:szCs w:val="21"/>
        </w:rPr>
      </w:pPr>
    </w:p>
    <w:p w:rsidR="002C5025" w:rsidRDefault="002C5025">
      <w:pPr>
        <w:pStyle w:val="BodyText"/>
        <w:kinsoku w:val="0"/>
        <w:overflowPunct w:val="0"/>
        <w:spacing w:line="242" w:lineRule="auto"/>
        <w:ind w:left="120" w:right="225" w:hanging="1"/>
        <w:rPr>
          <w:spacing w:val="-2"/>
        </w:rPr>
      </w:pPr>
      <w:r>
        <w:t xml:space="preserve">With </w:t>
      </w:r>
      <w:r>
        <w:rPr>
          <w:spacing w:val="-3"/>
        </w:rPr>
        <w:t xml:space="preserve">respect </w:t>
      </w:r>
      <w:r>
        <w:t xml:space="preserve">to the Safety Net Care </w:t>
      </w:r>
      <w:r>
        <w:rPr>
          <w:spacing w:val="-4"/>
        </w:rPr>
        <w:t xml:space="preserve">Pool </w:t>
      </w:r>
      <w:r>
        <w:rPr>
          <w:spacing w:val="-5"/>
        </w:rPr>
        <w:t xml:space="preserve">(SNCP) </w:t>
      </w:r>
      <w:r>
        <w:rPr>
          <w:spacing w:val="-3"/>
        </w:rPr>
        <w:t xml:space="preserve">redesign, </w:t>
      </w:r>
      <w:r>
        <w:t xml:space="preserve">the </w:t>
      </w:r>
      <w:r>
        <w:rPr>
          <w:spacing w:val="-5"/>
        </w:rPr>
        <w:t xml:space="preserve">proposal </w:t>
      </w:r>
      <w:r>
        <w:rPr>
          <w:spacing w:val="-3"/>
        </w:rPr>
        <w:t xml:space="preserve">indicates </w:t>
      </w:r>
      <w:r>
        <w:t xml:space="preserve">that MassHealth </w:t>
      </w:r>
      <w:r>
        <w:rPr>
          <w:spacing w:val="-3"/>
        </w:rPr>
        <w:t xml:space="preserve">will </w:t>
      </w:r>
      <w:r>
        <w:rPr>
          <w:spacing w:val="-4"/>
        </w:rPr>
        <w:t xml:space="preserve">continue </w:t>
      </w:r>
      <w:r>
        <w:t xml:space="preserve">to </w:t>
      </w:r>
      <w:r w:rsidR="005632B1">
        <w:rPr>
          <w:spacing w:val="-5"/>
        </w:rPr>
        <w:t xml:space="preserve">provide </w:t>
      </w:r>
      <w:r>
        <w:rPr>
          <w:spacing w:val="-3"/>
        </w:rPr>
        <w:t xml:space="preserve">necessary </w:t>
      </w:r>
      <w:r>
        <w:t xml:space="preserve">and </w:t>
      </w:r>
      <w:r>
        <w:rPr>
          <w:spacing w:val="-5"/>
        </w:rPr>
        <w:t xml:space="preserve">ongoing funding  support </w:t>
      </w:r>
      <w:r>
        <w:t xml:space="preserve">to safety </w:t>
      </w:r>
      <w:r>
        <w:rPr>
          <w:spacing w:val="-2"/>
        </w:rPr>
        <w:t xml:space="preserve">net </w:t>
      </w:r>
      <w:r>
        <w:rPr>
          <w:spacing w:val="-4"/>
        </w:rPr>
        <w:t xml:space="preserve">providers </w:t>
      </w:r>
      <w:r>
        <w:rPr>
          <w:spacing w:val="-3"/>
        </w:rPr>
        <w:t xml:space="preserve">through </w:t>
      </w:r>
      <w:r>
        <w:t xml:space="preserve">a  </w:t>
      </w:r>
      <w:r>
        <w:rPr>
          <w:spacing w:val="-2"/>
        </w:rPr>
        <w:t>new</w:t>
      </w:r>
    </w:p>
    <w:p w:rsidR="002C5025" w:rsidRDefault="002C5025">
      <w:pPr>
        <w:pStyle w:val="BodyText"/>
        <w:kinsoku w:val="0"/>
        <w:overflowPunct w:val="0"/>
        <w:spacing w:line="242" w:lineRule="auto"/>
        <w:ind w:left="120" w:right="225" w:hanging="1"/>
        <w:rPr>
          <w:spacing w:val="-2"/>
        </w:rPr>
        <w:sectPr w:rsidR="002C5025">
          <w:pgSz w:w="12240" w:h="15840"/>
          <w:pgMar w:top="960" w:right="1460" w:bottom="280" w:left="1320" w:header="720" w:footer="720" w:gutter="0"/>
          <w:cols w:space="720" w:equalWidth="0">
            <w:col w:w="9460"/>
          </w:cols>
          <w:noEndnote/>
        </w:sectPr>
      </w:pPr>
    </w:p>
    <w:p w:rsidR="002C5025" w:rsidRDefault="002C5025">
      <w:pPr>
        <w:pStyle w:val="BodyText"/>
        <w:kinsoku w:val="0"/>
        <w:overflowPunct w:val="0"/>
        <w:spacing w:before="30" w:line="242" w:lineRule="auto"/>
        <w:ind w:left="119" w:right="106"/>
        <w:rPr>
          <w:spacing w:val="-4"/>
        </w:rPr>
      </w:pPr>
      <w:r>
        <w:lastRenderedPageBreak/>
        <w:t xml:space="preserve">stream of </w:t>
      </w:r>
      <w:r>
        <w:rPr>
          <w:spacing w:val="-2"/>
        </w:rPr>
        <w:t xml:space="preserve">Safety Net </w:t>
      </w:r>
      <w:r>
        <w:rPr>
          <w:spacing w:val="-5"/>
        </w:rPr>
        <w:t xml:space="preserve">Provider </w:t>
      </w:r>
      <w:r>
        <w:rPr>
          <w:spacing w:val="-4"/>
        </w:rPr>
        <w:t xml:space="preserve">payments. </w:t>
      </w:r>
      <w:r>
        <w:t xml:space="preserve">AARP </w:t>
      </w:r>
      <w:r>
        <w:rPr>
          <w:spacing w:val="-5"/>
        </w:rPr>
        <w:t xml:space="preserve">would </w:t>
      </w:r>
      <w:r>
        <w:t xml:space="preserve">appreciate </w:t>
      </w:r>
      <w:r>
        <w:rPr>
          <w:spacing w:val="-4"/>
        </w:rPr>
        <w:t xml:space="preserve">having </w:t>
      </w:r>
      <w:r>
        <w:rPr>
          <w:spacing w:val="-3"/>
        </w:rPr>
        <w:t xml:space="preserve">more </w:t>
      </w:r>
      <w:r>
        <w:t xml:space="preserve">details on where </w:t>
      </w:r>
      <w:r>
        <w:rPr>
          <w:spacing w:val="-3"/>
        </w:rPr>
        <w:t xml:space="preserve">this </w:t>
      </w:r>
      <w:r>
        <w:rPr>
          <w:spacing w:val="-2"/>
        </w:rPr>
        <w:t xml:space="preserve">new </w:t>
      </w:r>
      <w:r>
        <w:rPr>
          <w:spacing w:val="-5"/>
        </w:rPr>
        <w:t xml:space="preserve">funding  </w:t>
      </w:r>
      <w:r>
        <w:t xml:space="preserve">stream will </w:t>
      </w:r>
      <w:r>
        <w:rPr>
          <w:spacing w:val="-4"/>
        </w:rPr>
        <w:t xml:space="preserve">come </w:t>
      </w:r>
      <w:r>
        <w:rPr>
          <w:spacing w:val="-3"/>
        </w:rPr>
        <w:t xml:space="preserve">from </w:t>
      </w:r>
      <w:r>
        <w:t xml:space="preserve">and </w:t>
      </w:r>
      <w:r>
        <w:rPr>
          <w:spacing w:val="-5"/>
        </w:rPr>
        <w:t xml:space="preserve">how </w:t>
      </w:r>
      <w:r>
        <w:t xml:space="preserve">it will be </w:t>
      </w:r>
      <w:r>
        <w:rPr>
          <w:spacing w:val="-4"/>
        </w:rPr>
        <w:t>sustained.</w:t>
      </w:r>
    </w:p>
    <w:p w:rsidR="002C5025" w:rsidRDefault="002C5025">
      <w:pPr>
        <w:pStyle w:val="BodyText"/>
        <w:kinsoku w:val="0"/>
        <w:overflowPunct w:val="0"/>
        <w:rPr>
          <w:sz w:val="21"/>
          <w:szCs w:val="21"/>
        </w:rPr>
      </w:pPr>
    </w:p>
    <w:p w:rsidR="002C5025" w:rsidRDefault="002C5025">
      <w:pPr>
        <w:pStyle w:val="BodyText"/>
        <w:kinsoku w:val="0"/>
        <w:overflowPunct w:val="0"/>
        <w:spacing w:line="242" w:lineRule="auto"/>
        <w:ind w:left="119" w:right="103"/>
      </w:pPr>
      <w:r>
        <w:rPr>
          <w:spacing w:val="-5"/>
        </w:rPr>
        <w:t xml:space="preserve">Finally, </w:t>
      </w:r>
      <w:r>
        <w:t xml:space="preserve">the </w:t>
      </w:r>
      <w:r>
        <w:rPr>
          <w:spacing w:val="-5"/>
        </w:rPr>
        <w:t xml:space="preserve">proposal </w:t>
      </w:r>
      <w:r>
        <w:rPr>
          <w:spacing w:val="-3"/>
        </w:rPr>
        <w:t xml:space="preserve">indicates </w:t>
      </w:r>
      <w:r>
        <w:t xml:space="preserve">that LTSS </w:t>
      </w:r>
      <w:r>
        <w:rPr>
          <w:spacing w:val="-5"/>
        </w:rPr>
        <w:t xml:space="preserve">(CPs) </w:t>
      </w:r>
      <w:r>
        <w:t xml:space="preserve">will </w:t>
      </w:r>
      <w:r>
        <w:rPr>
          <w:spacing w:val="-3"/>
        </w:rPr>
        <w:t xml:space="preserve">receive </w:t>
      </w:r>
      <w:r>
        <w:rPr>
          <w:spacing w:val="-5"/>
        </w:rPr>
        <w:t xml:space="preserve">funding </w:t>
      </w:r>
      <w:r>
        <w:t xml:space="preserve">to </w:t>
      </w:r>
      <w:r>
        <w:rPr>
          <w:spacing w:val="-5"/>
        </w:rPr>
        <w:t xml:space="preserve">provide independent assessments, </w:t>
      </w:r>
      <w:r>
        <w:rPr>
          <w:spacing w:val="-3"/>
        </w:rPr>
        <w:t xml:space="preserve">person-centered </w:t>
      </w:r>
      <w:r>
        <w:rPr>
          <w:spacing w:val="-5"/>
        </w:rPr>
        <w:t xml:space="preserve">counseling </w:t>
      </w:r>
      <w:r>
        <w:t xml:space="preserve">on </w:t>
      </w:r>
      <w:r>
        <w:rPr>
          <w:spacing w:val="-4"/>
        </w:rPr>
        <w:t xml:space="preserve">service </w:t>
      </w:r>
      <w:r>
        <w:rPr>
          <w:spacing w:val="-5"/>
        </w:rPr>
        <w:t xml:space="preserve">options </w:t>
      </w:r>
      <w:r>
        <w:t xml:space="preserve">and referrals to LTSS </w:t>
      </w:r>
      <w:r>
        <w:rPr>
          <w:spacing w:val="-5"/>
        </w:rPr>
        <w:t xml:space="preserve">providers. </w:t>
      </w:r>
      <w:r>
        <w:t xml:space="preserve">LTSS </w:t>
      </w:r>
      <w:r>
        <w:rPr>
          <w:spacing w:val="-3"/>
        </w:rPr>
        <w:t xml:space="preserve">CPs </w:t>
      </w:r>
      <w:r>
        <w:t xml:space="preserve">will </w:t>
      </w:r>
      <w:r>
        <w:rPr>
          <w:spacing w:val="-3"/>
        </w:rPr>
        <w:t xml:space="preserve">also receive </w:t>
      </w:r>
      <w:r>
        <w:rPr>
          <w:spacing w:val="-5"/>
        </w:rPr>
        <w:t xml:space="preserve">funding </w:t>
      </w:r>
      <w:r>
        <w:rPr>
          <w:spacing w:val="-3"/>
        </w:rPr>
        <w:t xml:space="preserve">for their </w:t>
      </w:r>
      <w:r>
        <w:t>participation</w:t>
      </w:r>
      <w:r w:rsidR="005632B1">
        <w:t xml:space="preserve"> </w:t>
      </w:r>
      <w:r>
        <w:t>on the member’s</w:t>
      </w:r>
      <w:r w:rsidR="005632B1">
        <w:t xml:space="preserve"> </w:t>
      </w:r>
      <w:r>
        <w:t xml:space="preserve">care team, </w:t>
      </w:r>
      <w:r>
        <w:rPr>
          <w:spacing w:val="-3"/>
        </w:rPr>
        <w:t xml:space="preserve">which </w:t>
      </w:r>
      <w:r>
        <w:t xml:space="preserve">will be led by the </w:t>
      </w:r>
      <w:r>
        <w:rPr>
          <w:spacing w:val="-4"/>
        </w:rPr>
        <w:t xml:space="preserve">ACO. </w:t>
      </w:r>
      <w:r>
        <w:rPr>
          <w:spacing w:val="-3"/>
        </w:rPr>
        <w:t xml:space="preserve">We </w:t>
      </w:r>
      <w:r>
        <w:rPr>
          <w:spacing w:val="-5"/>
        </w:rPr>
        <w:t xml:space="preserve">would like  </w:t>
      </w:r>
      <w:r>
        <w:t xml:space="preserve">to </w:t>
      </w:r>
      <w:r>
        <w:rPr>
          <w:spacing w:val="-5"/>
        </w:rPr>
        <w:t xml:space="preserve">know </w:t>
      </w:r>
      <w:r>
        <w:rPr>
          <w:spacing w:val="-3"/>
        </w:rPr>
        <w:t xml:space="preserve">more </w:t>
      </w:r>
      <w:r>
        <w:t xml:space="preserve">details on </w:t>
      </w:r>
      <w:r>
        <w:rPr>
          <w:spacing w:val="-5"/>
        </w:rPr>
        <w:t xml:space="preserve">how </w:t>
      </w:r>
      <w:r>
        <w:rPr>
          <w:spacing w:val="-3"/>
        </w:rPr>
        <w:t xml:space="preserve">this </w:t>
      </w:r>
      <w:r>
        <w:rPr>
          <w:spacing w:val="-5"/>
        </w:rPr>
        <w:t xml:space="preserve">funding  </w:t>
      </w:r>
      <w:r>
        <w:t>stream will</w:t>
      </w:r>
      <w:r>
        <w:rPr>
          <w:spacing w:val="-16"/>
        </w:rPr>
        <w:t xml:space="preserve"> </w:t>
      </w:r>
      <w:r>
        <w:t>operate.</w:t>
      </w:r>
    </w:p>
    <w:p w:rsidR="002C5025" w:rsidRDefault="002C5025">
      <w:pPr>
        <w:pStyle w:val="BodyText"/>
        <w:kinsoku w:val="0"/>
        <w:overflowPunct w:val="0"/>
        <w:rPr>
          <w:sz w:val="21"/>
          <w:szCs w:val="21"/>
        </w:rPr>
      </w:pPr>
    </w:p>
    <w:p w:rsidR="002C5025" w:rsidRDefault="002C5025">
      <w:pPr>
        <w:pStyle w:val="BodyText"/>
        <w:kinsoku w:val="0"/>
        <w:overflowPunct w:val="0"/>
        <w:spacing w:line="242" w:lineRule="auto"/>
        <w:ind w:left="119" w:right="313"/>
        <w:rPr>
          <w:spacing w:val="-4"/>
        </w:rPr>
      </w:pPr>
      <w:r>
        <w:rPr>
          <w:spacing w:val="-3"/>
        </w:rPr>
        <w:t xml:space="preserve">We </w:t>
      </w:r>
      <w:r>
        <w:rPr>
          <w:spacing w:val="-5"/>
        </w:rPr>
        <w:t xml:space="preserve">look </w:t>
      </w:r>
      <w:r>
        <w:t xml:space="preserve">forward to </w:t>
      </w:r>
      <w:r>
        <w:rPr>
          <w:spacing w:val="-5"/>
        </w:rPr>
        <w:t xml:space="preserve">working </w:t>
      </w:r>
      <w:r>
        <w:t xml:space="preserve">with </w:t>
      </w:r>
      <w:r>
        <w:rPr>
          <w:spacing w:val="-4"/>
        </w:rPr>
        <w:t xml:space="preserve">you </w:t>
      </w:r>
      <w:r>
        <w:t xml:space="preserve">as </w:t>
      </w:r>
      <w:r>
        <w:rPr>
          <w:spacing w:val="-3"/>
        </w:rPr>
        <w:t xml:space="preserve">this demonstration </w:t>
      </w:r>
      <w:r>
        <w:rPr>
          <w:spacing w:val="-4"/>
        </w:rPr>
        <w:t xml:space="preserve">progresses </w:t>
      </w:r>
      <w:r>
        <w:t xml:space="preserve">and </w:t>
      </w:r>
      <w:r>
        <w:rPr>
          <w:spacing w:val="-5"/>
        </w:rPr>
        <w:t xml:space="preserve">would </w:t>
      </w:r>
      <w:r>
        <w:t xml:space="preserve">be </w:t>
      </w:r>
      <w:r>
        <w:rPr>
          <w:spacing w:val="-4"/>
        </w:rPr>
        <w:t xml:space="preserve">happy </w:t>
      </w:r>
      <w:r>
        <w:t xml:space="preserve">to </w:t>
      </w:r>
      <w:r>
        <w:rPr>
          <w:spacing w:val="-6"/>
        </w:rPr>
        <w:t xml:space="preserve">assist </w:t>
      </w:r>
      <w:r>
        <w:rPr>
          <w:spacing w:val="-3"/>
        </w:rPr>
        <w:t xml:space="preserve">you </w:t>
      </w:r>
      <w:r>
        <w:t xml:space="preserve">in any way </w:t>
      </w:r>
      <w:r>
        <w:rPr>
          <w:spacing w:val="-6"/>
        </w:rPr>
        <w:t xml:space="preserve">possible. </w:t>
      </w:r>
      <w:r>
        <w:rPr>
          <w:spacing w:val="-3"/>
        </w:rPr>
        <w:t xml:space="preserve">Please </w:t>
      </w:r>
      <w:r>
        <w:t xml:space="preserve">do </w:t>
      </w:r>
      <w:r>
        <w:rPr>
          <w:spacing w:val="-5"/>
        </w:rPr>
        <w:t xml:space="preserve">not </w:t>
      </w:r>
      <w:r>
        <w:t xml:space="preserve">hesitate to contact </w:t>
      </w:r>
      <w:r>
        <w:rPr>
          <w:spacing w:val="-5"/>
        </w:rPr>
        <w:t xml:space="preserve">Jessica Costantino, </w:t>
      </w:r>
      <w:r>
        <w:t xml:space="preserve">Director of </w:t>
      </w:r>
      <w:r>
        <w:rPr>
          <w:spacing w:val="-4"/>
        </w:rPr>
        <w:t xml:space="preserve">Advocacy, </w:t>
      </w:r>
      <w:r>
        <w:t xml:space="preserve">at 617.305.0538 or </w:t>
      </w:r>
      <w:hyperlink r:id="rId70" w:history="1">
        <w:r>
          <w:t>jcostantino@aarp.org,</w:t>
        </w:r>
      </w:hyperlink>
      <w:r>
        <w:t xml:space="preserve"> if </w:t>
      </w:r>
      <w:r>
        <w:rPr>
          <w:spacing w:val="-4"/>
        </w:rPr>
        <w:t xml:space="preserve">you </w:t>
      </w:r>
      <w:r>
        <w:rPr>
          <w:spacing w:val="-3"/>
        </w:rPr>
        <w:t xml:space="preserve">have </w:t>
      </w:r>
      <w:r>
        <w:rPr>
          <w:spacing w:val="-5"/>
        </w:rPr>
        <w:t xml:space="preserve">questions </w:t>
      </w:r>
      <w:r>
        <w:t xml:space="preserve">or </w:t>
      </w:r>
      <w:r>
        <w:rPr>
          <w:spacing w:val="-3"/>
        </w:rPr>
        <w:t xml:space="preserve">concerns </w:t>
      </w:r>
      <w:r>
        <w:t xml:space="preserve">or need </w:t>
      </w:r>
      <w:r>
        <w:rPr>
          <w:spacing w:val="-4"/>
        </w:rPr>
        <w:t>additional information.</w:t>
      </w:r>
    </w:p>
    <w:p w:rsidR="002C5025" w:rsidRDefault="002C5025">
      <w:pPr>
        <w:pStyle w:val="BodyText"/>
        <w:kinsoku w:val="0"/>
        <w:overflowPunct w:val="0"/>
      </w:pPr>
    </w:p>
    <w:p w:rsidR="002C5025" w:rsidRDefault="002C5025">
      <w:pPr>
        <w:pStyle w:val="BodyText"/>
        <w:kinsoku w:val="0"/>
        <w:overflowPunct w:val="0"/>
        <w:spacing w:before="3"/>
        <w:rPr>
          <w:sz w:val="21"/>
          <w:szCs w:val="21"/>
        </w:rPr>
      </w:pPr>
    </w:p>
    <w:p w:rsidR="002C5025" w:rsidRDefault="002C5025">
      <w:pPr>
        <w:pStyle w:val="BodyText"/>
        <w:kinsoku w:val="0"/>
        <w:overflowPunct w:val="0"/>
        <w:spacing w:after="3"/>
        <w:ind w:left="120" w:right="187"/>
      </w:pPr>
      <w:r>
        <w:t>Very truly yours,</w:t>
      </w:r>
    </w:p>
    <w:p w:rsidR="002C5025" w:rsidRDefault="00FB027C">
      <w:pPr>
        <w:pStyle w:val="BodyText"/>
        <w:tabs>
          <w:tab w:val="left" w:pos="4440"/>
        </w:tabs>
        <w:kinsoku w:val="0"/>
        <w:overflowPunct w:val="0"/>
        <w:ind w:left="120"/>
        <w:rPr>
          <w:sz w:val="20"/>
          <w:szCs w:val="20"/>
        </w:rPr>
      </w:pPr>
      <w:r>
        <w:rPr>
          <w:noProof/>
          <w:position w:val="2"/>
          <w:sz w:val="20"/>
          <w:szCs w:val="20"/>
        </w:rPr>
        <w:drawing>
          <wp:inline distT="0" distB="0" distL="0" distR="0">
            <wp:extent cx="1590675" cy="5619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590675" cy="561975"/>
                    </a:xfrm>
                    <a:prstGeom prst="rect">
                      <a:avLst/>
                    </a:prstGeom>
                    <a:noFill/>
                    <a:ln>
                      <a:noFill/>
                    </a:ln>
                  </pic:spPr>
                </pic:pic>
              </a:graphicData>
            </a:graphic>
          </wp:inline>
        </w:drawing>
      </w:r>
      <w:r w:rsidR="002C5025">
        <w:rPr>
          <w:position w:val="2"/>
          <w:sz w:val="20"/>
          <w:szCs w:val="20"/>
        </w:rPr>
        <w:t xml:space="preserve"> </w:t>
      </w:r>
      <w:r w:rsidR="002C5025">
        <w:rPr>
          <w:position w:val="2"/>
          <w:sz w:val="20"/>
          <w:szCs w:val="20"/>
        </w:rPr>
        <w:tab/>
      </w:r>
      <w:r>
        <w:rPr>
          <w:noProof/>
          <w:sz w:val="20"/>
          <w:szCs w:val="20"/>
        </w:rPr>
        <w:drawing>
          <wp:inline distT="0" distB="0" distL="0" distR="0">
            <wp:extent cx="2514600" cy="4762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514600" cy="476250"/>
                    </a:xfrm>
                    <a:prstGeom prst="rect">
                      <a:avLst/>
                    </a:prstGeom>
                    <a:noFill/>
                    <a:ln>
                      <a:noFill/>
                    </a:ln>
                  </pic:spPr>
                </pic:pic>
              </a:graphicData>
            </a:graphic>
          </wp:inline>
        </w:drawing>
      </w:r>
    </w:p>
    <w:p w:rsidR="002C5025" w:rsidRDefault="002C5025">
      <w:pPr>
        <w:pStyle w:val="BodyText"/>
        <w:tabs>
          <w:tab w:val="left" w:pos="4447"/>
        </w:tabs>
        <w:kinsoku w:val="0"/>
        <w:overflowPunct w:val="0"/>
        <w:spacing w:before="16"/>
        <w:ind w:left="120" w:right="187"/>
        <w:rPr>
          <w:spacing w:val="-4"/>
        </w:rPr>
      </w:pPr>
      <w:r>
        <w:t>Michael</w:t>
      </w:r>
      <w:r>
        <w:rPr>
          <w:spacing w:val="1"/>
        </w:rPr>
        <w:t xml:space="preserve"> </w:t>
      </w:r>
      <w:r>
        <w:t>E.</w:t>
      </w:r>
      <w:r>
        <w:rPr>
          <w:spacing w:val="-6"/>
        </w:rPr>
        <w:t xml:space="preserve"> </w:t>
      </w:r>
      <w:proofErr w:type="spellStart"/>
      <w:r>
        <w:rPr>
          <w:spacing w:val="-3"/>
        </w:rPr>
        <w:t>Festa</w:t>
      </w:r>
      <w:proofErr w:type="spellEnd"/>
      <w:r>
        <w:rPr>
          <w:spacing w:val="-3"/>
        </w:rPr>
        <w:tab/>
        <w:t xml:space="preserve">Sandra </w:t>
      </w:r>
      <w:r>
        <w:t>K.</w:t>
      </w:r>
      <w:r>
        <w:rPr>
          <w:spacing w:val="24"/>
        </w:rPr>
        <w:t xml:space="preserve"> </w:t>
      </w:r>
      <w:r>
        <w:rPr>
          <w:spacing w:val="-4"/>
        </w:rPr>
        <w:t>Albright</w:t>
      </w:r>
    </w:p>
    <w:p w:rsidR="002C5025" w:rsidRDefault="002C5025">
      <w:pPr>
        <w:pStyle w:val="BodyText"/>
        <w:tabs>
          <w:tab w:val="left" w:pos="4446"/>
        </w:tabs>
        <w:kinsoku w:val="0"/>
        <w:overflowPunct w:val="0"/>
        <w:spacing w:before="5"/>
        <w:ind w:left="119" w:right="187"/>
        <w:rPr>
          <w:spacing w:val="-4"/>
        </w:rPr>
      </w:pPr>
      <w:r>
        <w:t>State</w:t>
      </w:r>
      <w:r>
        <w:rPr>
          <w:spacing w:val="-7"/>
        </w:rPr>
        <w:t xml:space="preserve"> </w:t>
      </w:r>
      <w:r>
        <w:t>Director</w:t>
      </w:r>
      <w:r>
        <w:tab/>
        <w:t>State</w:t>
      </w:r>
      <w:r>
        <w:rPr>
          <w:spacing w:val="1"/>
        </w:rPr>
        <w:t xml:space="preserve"> </w:t>
      </w:r>
      <w:r>
        <w:rPr>
          <w:spacing w:val="-4"/>
        </w:rPr>
        <w:t>President</w:t>
      </w:r>
    </w:p>
    <w:p w:rsidR="002C5025" w:rsidRDefault="002C5025">
      <w:pPr>
        <w:pStyle w:val="BodyText"/>
        <w:tabs>
          <w:tab w:val="left" w:pos="4446"/>
        </w:tabs>
        <w:kinsoku w:val="0"/>
        <w:overflowPunct w:val="0"/>
        <w:spacing w:before="5"/>
        <w:ind w:left="119" w:right="187"/>
        <w:rPr>
          <w:spacing w:val="-4"/>
        </w:rPr>
        <w:sectPr w:rsidR="002C5025">
          <w:pgSz w:w="12240" w:h="15840"/>
          <w:pgMar w:top="960" w:right="1520" w:bottom="280" w:left="1320" w:header="720" w:footer="720" w:gutter="0"/>
          <w:cols w:space="720" w:equalWidth="0">
            <w:col w:w="9400"/>
          </w:cols>
          <w:noEndnote/>
        </w:sectPr>
      </w:pPr>
    </w:p>
    <w:p w:rsidR="002C5025" w:rsidRDefault="002C5025">
      <w:pPr>
        <w:pStyle w:val="BodyText"/>
        <w:kinsoku w:val="0"/>
        <w:overflowPunct w:val="0"/>
        <w:spacing w:before="1"/>
        <w:rPr>
          <w:sz w:val="17"/>
          <w:szCs w:val="17"/>
        </w:rPr>
      </w:pPr>
    </w:p>
    <w:p w:rsidR="002C5025" w:rsidRDefault="00FB027C">
      <w:pPr>
        <w:pStyle w:val="BodyText"/>
        <w:kinsoku w:val="0"/>
        <w:overflowPunct w:val="0"/>
        <w:ind w:left="3641"/>
        <w:rPr>
          <w:sz w:val="20"/>
          <w:szCs w:val="20"/>
        </w:rPr>
      </w:pPr>
      <w:r>
        <w:rPr>
          <w:noProof/>
          <w:sz w:val="20"/>
          <w:szCs w:val="20"/>
        </w:rPr>
        <w:drawing>
          <wp:inline distT="0" distB="0" distL="0" distR="0">
            <wp:extent cx="1466850" cy="6572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466850" cy="657225"/>
                    </a:xfrm>
                    <a:prstGeom prst="rect">
                      <a:avLst/>
                    </a:prstGeom>
                    <a:noFill/>
                    <a:ln>
                      <a:noFill/>
                    </a:ln>
                  </pic:spPr>
                </pic:pic>
              </a:graphicData>
            </a:graphic>
          </wp:inline>
        </w:drawing>
      </w:r>
    </w:p>
    <w:p w:rsidR="002C5025" w:rsidRDefault="002C5025">
      <w:pPr>
        <w:pStyle w:val="BodyText"/>
        <w:kinsoku w:val="0"/>
        <w:overflowPunct w:val="0"/>
        <w:spacing w:before="6"/>
        <w:rPr>
          <w:sz w:val="18"/>
          <w:szCs w:val="18"/>
        </w:rPr>
      </w:pPr>
    </w:p>
    <w:p w:rsidR="002C5025" w:rsidRDefault="002C5025">
      <w:pPr>
        <w:pStyle w:val="BodyText"/>
        <w:kinsoku w:val="0"/>
        <w:overflowPunct w:val="0"/>
        <w:spacing w:before="56"/>
        <w:ind w:left="120" w:right="814"/>
      </w:pPr>
      <w:bookmarkStart w:id="20" w:name="ACT!!_Comments_-_1115_waiver_FINAL_7-15-"/>
      <w:bookmarkEnd w:id="20"/>
      <w:r>
        <w:t>July 15, 2016</w:t>
      </w:r>
    </w:p>
    <w:p w:rsidR="002C5025" w:rsidRDefault="002C5025">
      <w:pPr>
        <w:pStyle w:val="BodyText"/>
        <w:kinsoku w:val="0"/>
        <w:overflowPunct w:val="0"/>
        <w:spacing w:before="5"/>
        <w:rPr>
          <w:sz w:val="17"/>
          <w:szCs w:val="17"/>
        </w:rPr>
      </w:pPr>
    </w:p>
    <w:p w:rsidR="002C5025" w:rsidRDefault="002C5025">
      <w:pPr>
        <w:pStyle w:val="BodyText"/>
        <w:kinsoku w:val="0"/>
        <w:overflowPunct w:val="0"/>
        <w:spacing w:before="56" w:line="268" w:lineRule="exact"/>
        <w:ind w:left="120" w:right="814"/>
      </w:pPr>
      <w:r>
        <w:t>Daniel Tsai</w:t>
      </w:r>
    </w:p>
    <w:p w:rsidR="002C5025" w:rsidRDefault="002C5025">
      <w:pPr>
        <w:pStyle w:val="BodyText"/>
        <w:kinsoku w:val="0"/>
        <w:overflowPunct w:val="0"/>
        <w:spacing w:line="268" w:lineRule="exact"/>
        <w:ind w:left="120" w:right="814"/>
      </w:pPr>
      <w:r>
        <w:t>Assistant Secretary for MassHealth</w:t>
      </w:r>
    </w:p>
    <w:p w:rsidR="002C5025" w:rsidRDefault="002C5025">
      <w:pPr>
        <w:pStyle w:val="BodyText"/>
        <w:kinsoku w:val="0"/>
        <w:overflowPunct w:val="0"/>
        <w:ind w:left="119" w:right="4838"/>
      </w:pPr>
      <w:r>
        <w:t>Executive Office of Health and Human Services One Ashburton Place, 11th Floor</w:t>
      </w:r>
    </w:p>
    <w:p w:rsidR="002C5025" w:rsidRDefault="002C5025">
      <w:pPr>
        <w:pStyle w:val="BodyText"/>
        <w:kinsoku w:val="0"/>
        <w:overflowPunct w:val="0"/>
        <w:ind w:left="120" w:right="814"/>
      </w:pPr>
      <w:r>
        <w:t>Boston, MA 02108</w:t>
      </w:r>
    </w:p>
    <w:p w:rsidR="002C5025" w:rsidRDefault="002C5025">
      <w:pPr>
        <w:pStyle w:val="BodyText"/>
        <w:kinsoku w:val="0"/>
        <w:overflowPunct w:val="0"/>
        <w:spacing w:before="10"/>
        <w:rPr>
          <w:sz w:val="21"/>
          <w:szCs w:val="21"/>
        </w:rPr>
      </w:pPr>
    </w:p>
    <w:p w:rsidR="002C5025" w:rsidRDefault="002C5025">
      <w:pPr>
        <w:pStyle w:val="BodyText"/>
        <w:kinsoku w:val="0"/>
        <w:overflowPunct w:val="0"/>
        <w:ind w:left="120" w:right="814"/>
        <w:rPr>
          <w:i/>
          <w:iCs/>
          <w:color w:val="0000FF"/>
        </w:rPr>
      </w:pPr>
      <w:r>
        <w:rPr>
          <w:i/>
          <w:iCs/>
        </w:rPr>
        <w:t xml:space="preserve">Submitted via email to </w:t>
      </w:r>
      <w:hyperlink r:id="rId74" w:history="1">
        <w:r>
          <w:rPr>
            <w:i/>
            <w:iCs/>
            <w:color w:val="0000FF"/>
            <w:u w:val="single" w:color="000000"/>
          </w:rPr>
          <w:t>MassHealth.Innovations@state.ma.us</w:t>
        </w:r>
      </w:hyperlink>
    </w:p>
    <w:p w:rsidR="002C5025" w:rsidRDefault="002C5025">
      <w:pPr>
        <w:pStyle w:val="BodyText"/>
        <w:kinsoku w:val="0"/>
        <w:overflowPunct w:val="0"/>
        <w:spacing w:before="7"/>
        <w:rPr>
          <w:i/>
          <w:iCs/>
          <w:sz w:val="17"/>
          <w:szCs w:val="17"/>
        </w:rPr>
      </w:pPr>
    </w:p>
    <w:p w:rsidR="002C5025" w:rsidRDefault="002C5025">
      <w:pPr>
        <w:pStyle w:val="BodyText"/>
        <w:kinsoku w:val="0"/>
        <w:overflowPunct w:val="0"/>
        <w:spacing w:before="57" w:line="477" w:lineRule="auto"/>
        <w:ind w:left="119" w:right="814"/>
        <w:rPr>
          <w:color w:val="000000"/>
        </w:rPr>
      </w:pPr>
      <w:r>
        <w:t xml:space="preserve">RE: </w:t>
      </w:r>
      <w:r>
        <w:rPr>
          <w:color w:val="1B1B1B"/>
        </w:rPr>
        <w:t xml:space="preserve">Comments on MassHealth 1115 Demonstration Project Amendment and Extension Request </w:t>
      </w:r>
      <w:r>
        <w:rPr>
          <w:color w:val="000000"/>
        </w:rPr>
        <w:t>Dear Assistant Secretary Tsai,</w:t>
      </w:r>
    </w:p>
    <w:p w:rsidR="002C5025" w:rsidRDefault="002C5025">
      <w:pPr>
        <w:pStyle w:val="BodyText"/>
        <w:kinsoku w:val="0"/>
        <w:overflowPunct w:val="0"/>
        <w:spacing w:before="3"/>
        <w:ind w:left="117" w:right="160" w:firstLine="1"/>
      </w:pPr>
      <w:r>
        <w:t>On</w:t>
      </w:r>
      <w:r>
        <w:rPr>
          <w:spacing w:val="-6"/>
        </w:rPr>
        <w:t xml:space="preserve"> </w:t>
      </w:r>
      <w:r>
        <w:t>behalf</w:t>
      </w:r>
      <w:r>
        <w:rPr>
          <w:spacing w:val="-7"/>
        </w:rPr>
        <w:t xml:space="preserve"> </w:t>
      </w:r>
      <w:r>
        <w:t>of</w:t>
      </w:r>
      <w:r>
        <w:rPr>
          <w:spacing w:val="-9"/>
        </w:rPr>
        <w:t xml:space="preserve"> </w:t>
      </w:r>
      <w:r>
        <w:t>the</w:t>
      </w:r>
      <w:r>
        <w:rPr>
          <w:spacing w:val="-7"/>
        </w:rPr>
        <w:t xml:space="preserve"> </w:t>
      </w:r>
      <w:r>
        <w:t>Affordable</w:t>
      </w:r>
      <w:r>
        <w:rPr>
          <w:spacing w:val="-6"/>
        </w:rPr>
        <w:t xml:space="preserve"> </w:t>
      </w:r>
      <w:r>
        <w:t>Care</w:t>
      </w:r>
      <w:r>
        <w:rPr>
          <w:spacing w:val="-7"/>
        </w:rPr>
        <w:t xml:space="preserve"> </w:t>
      </w:r>
      <w:r>
        <w:t>Today</w:t>
      </w:r>
      <w:r>
        <w:rPr>
          <w:spacing w:val="-4"/>
        </w:rPr>
        <w:t xml:space="preserve"> </w:t>
      </w:r>
      <w:r>
        <w:rPr>
          <w:spacing w:val="-3"/>
        </w:rPr>
        <w:t>(ACT!!)</w:t>
      </w:r>
      <w:r>
        <w:rPr>
          <w:spacing w:val="-11"/>
        </w:rPr>
        <w:t xml:space="preserve"> </w:t>
      </w:r>
      <w:r>
        <w:t>Coalition,</w:t>
      </w:r>
      <w:r>
        <w:rPr>
          <w:spacing w:val="-7"/>
        </w:rPr>
        <w:t xml:space="preserve"> </w:t>
      </w:r>
      <w:r>
        <w:t>thank</w:t>
      </w:r>
      <w:r>
        <w:rPr>
          <w:spacing w:val="-9"/>
        </w:rPr>
        <w:t xml:space="preserve"> </w:t>
      </w:r>
      <w:r>
        <w:t>you</w:t>
      </w:r>
      <w:r>
        <w:rPr>
          <w:spacing w:val="-8"/>
        </w:rPr>
        <w:t xml:space="preserve"> </w:t>
      </w:r>
      <w:r>
        <w:t>for</w:t>
      </w:r>
      <w:r>
        <w:rPr>
          <w:spacing w:val="-8"/>
        </w:rPr>
        <w:t xml:space="preserve"> </w:t>
      </w:r>
      <w:r>
        <w:t>the</w:t>
      </w:r>
      <w:r>
        <w:rPr>
          <w:spacing w:val="-9"/>
        </w:rPr>
        <w:t xml:space="preserve"> </w:t>
      </w:r>
      <w:r>
        <w:t>opportunity</w:t>
      </w:r>
      <w:r>
        <w:rPr>
          <w:spacing w:val="-7"/>
        </w:rPr>
        <w:t xml:space="preserve"> </w:t>
      </w:r>
      <w:r>
        <w:t>to</w:t>
      </w:r>
      <w:r>
        <w:rPr>
          <w:spacing w:val="-4"/>
        </w:rPr>
        <w:t xml:space="preserve"> </w:t>
      </w:r>
      <w:r>
        <w:t>comment</w:t>
      </w:r>
      <w:r>
        <w:rPr>
          <w:spacing w:val="-9"/>
        </w:rPr>
        <w:t xml:space="preserve"> </w:t>
      </w:r>
      <w:r>
        <w:t>on MassHealth’s Section 1115 Demonstration Project Amendment and Extension Request. We appreciate MassHealth’s thoughtful and open stakeholder engagement process throughout the development of this</w:t>
      </w:r>
      <w:r>
        <w:rPr>
          <w:spacing w:val="-7"/>
        </w:rPr>
        <w:t xml:space="preserve"> </w:t>
      </w:r>
      <w:r>
        <w:t>waiver</w:t>
      </w:r>
      <w:r>
        <w:rPr>
          <w:spacing w:val="-7"/>
        </w:rPr>
        <w:t xml:space="preserve"> </w:t>
      </w:r>
      <w:r>
        <w:t>proposal,</w:t>
      </w:r>
      <w:r>
        <w:rPr>
          <w:spacing w:val="-5"/>
        </w:rPr>
        <w:t xml:space="preserve"> </w:t>
      </w:r>
      <w:r>
        <w:t>and</w:t>
      </w:r>
      <w:r>
        <w:rPr>
          <w:spacing w:val="-8"/>
        </w:rPr>
        <w:t xml:space="preserve"> </w:t>
      </w:r>
      <w:r>
        <w:t>look</w:t>
      </w:r>
      <w:r>
        <w:rPr>
          <w:spacing w:val="-7"/>
        </w:rPr>
        <w:t xml:space="preserve"> </w:t>
      </w:r>
      <w:r>
        <w:t>forward</w:t>
      </w:r>
      <w:r>
        <w:rPr>
          <w:spacing w:val="-10"/>
        </w:rPr>
        <w:t xml:space="preserve"> </w:t>
      </w:r>
      <w:r>
        <w:t>to</w:t>
      </w:r>
      <w:r>
        <w:rPr>
          <w:spacing w:val="-6"/>
        </w:rPr>
        <w:t xml:space="preserve"> </w:t>
      </w:r>
      <w:r>
        <w:t>continuing</w:t>
      </w:r>
      <w:r>
        <w:rPr>
          <w:spacing w:val="-8"/>
        </w:rPr>
        <w:t xml:space="preserve"> </w:t>
      </w:r>
      <w:r>
        <w:t>to</w:t>
      </w:r>
      <w:r>
        <w:rPr>
          <w:spacing w:val="-8"/>
        </w:rPr>
        <w:t xml:space="preserve"> </w:t>
      </w:r>
      <w:r>
        <w:t>work</w:t>
      </w:r>
      <w:r>
        <w:rPr>
          <w:spacing w:val="-7"/>
        </w:rPr>
        <w:t xml:space="preserve"> </w:t>
      </w:r>
      <w:r>
        <w:t>with</w:t>
      </w:r>
      <w:r>
        <w:rPr>
          <w:spacing w:val="-10"/>
        </w:rPr>
        <w:t xml:space="preserve"> </w:t>
      </w:r>
      <w:r>
        <w:t>you</w:t>
      </w:r>
      <w:r>
        <w:rPr>
          <w:spacing w:val="-8"/>
        </w:rPr>
        <w:t xml:space="preserve"> </w:t>
      </w:r>
      <w:r>
        <w:t>to</w:t>
      </w:r>
      <w:r>
        <w:rPr>
          <w:spacing w:val="-9"/>
        </w:rPr>
        <w:t xml:space="preserve"> </w:t>
      </w:r>
      <w:r>
        <w:t>ensure</w:t>
      </w:r>
      <w:r>
        <w:rPr>
          <w:spacing w:val="-9"/>
        </w:rPr>
        <w:t xml:space="preserve"> </w:t>
      </w:r>
      <w:r>
        <w:t>that</w:t>
      </w:r>
      <w:r>
        <w:rPr>
          <w:spacing w:val="-7"/>
        </w:rPr>
        <w:t xml:space="preserve"> </w:t>
      </w:r>
      <w:r>
        <w:t>implementation</w:t>
      </w:r>
      <w:r>
        <w:rPr>
          <w:spacing w:val="-12"/>
        </w:rPr>
        <w:t xml:space="preserve"> </w:t>
      </w:r>
      <w:r>
        <w:t xml:space="preserve">of the demonstration improves access to and quality of care for MassHealth members. We have included below comments on </w:t>
      </w:r>
      <w:r>
        <w:rPr>
          <w:spacing w:val="-3"/>
        </w:rPr>
        <w:t xml:space="preserve">specific </w:t>
      </w:r>
      <w:r>
        <w:t>aspects of the Waiver Request, focused on proposed changes to benefits, cost-sharing,</w:t>
      </w:r>
      <w:r>
        <w:rPr>
          <w:spacing w:val="-19"/>
        </w:rPr>
        <w:t xml:space="preserve"> </w:t>
      </w:r>
      <w:r>
        <w:t>eligibility</w:t>
      </w:r>
      <w:r>
        <w:rPr>
          <w:spacing w:val="-17"/>
        </w:rPr>
        <w:t xml:space="preserve"> </w:t>
      </w:r>
      <w:r>
        <w:t>and</w:t>
      </w:r>
      <w:r>
        <w:rPr>
          <w:spacing w:val="-23"/>
        </w:rPr>
        <w:t xml:space="preserve"> </w:t>
      </w:r>
      <w:r>
        <w:t>enrollment.</w:t>
      </w:r>
    </w:p>
    <w:p w:rsidR="002C5025" w:rsidRDefault="002C5025">
      <w:pPr>
        <w:pStyle w:val="BodyText"/>
        <w:kinsoku w:val="0"/>
        <w:overflowPunct w:val="0"/>
      </w:pPr>
    </w:p>
    <w:p w:rsidR="002C5025" w:rsidRDefault="002C5025">
      <w:pPr>
        <w:pStyle w:val="BodyText"/>
        <w:kinsoku w:val="0"/>
        <w:overflowPunct w:val="0"/>
        <w:ind w:left="117" w:right="171"/>
      </w:pPr>
      <w:r>
        <w:t>The ACT!! Coalition is dedicated to ensuring that Massachusetts residents have access to affordable, quality health coverage. We appreciate MassHealth’s commitment to prioritizing this goal. As such, we support the proposals intended to increase access to services for low-income residents, including:</w:t>
      </w:r>
    </w:p>
    <w:p w:rsidR="002C5025" w:rsidRDefault="002C5025">
      <w:pPr>
        <w:pStyle w:val="ListParagraph"/>
        <w:numPr>
          <w:ilvl w:val="0"/>
          <w:numId w:val="95"/>
        </w:numPr>
        <w:tabs>
          <w:tab w:val="left" w:pos="838"/>
        </w:tabs>
        <w:kinsoku w:val="0"/>
        <w:overflowPunct w:val="0"/>
        <w:ind w:right="816" w:hanging="359"/>
        <w:rPr>
          <w:rFonts w:ascii="Calibri" w:hAnsi="Calibri" w:cs="Calibri"/>
          <w:sz w:val="22"/>
          <w:szCs w:val="22"/>
        </w:rPr>
      </w:pPr>
      <w:r>
        <w:rPr>
          <w:rFonts w:ascii="Calibri" w:hAnsi="Calibri" w:cs="Calibri"/>
          <w:sz w:val="22"/>
          <w:szCs w:val="22"/>
        </w:rPr>
        <w:t>Eliminating</w:t>
      </w:r>
      <w:r>
        <w:rPr>
          <w:rFonts w:ascii="Calibri" w:hAnsi="Calibri" w:cs="Calibri"/>
          <w:spacing w:val="-8"/>
          <w:sz w:val="22"/>
          <w:szCs w:val="22"/>
        </w:rPr>
        <w:t xml:space="preserve"> </w:t>
      </w:r>
      <w:r>
        <w:rPr>
          <w:rFonts w:ascii="Calibri" w:hAnsi="Calibri" w:cs="Calibri"/>
          <w:sz w:val="22"/>
          <w:szCs w:val="22"/>
        </w:rPr>
        <w:t>copays</w:t>
      </w:r>
      <w:r>
        <w:rPr>
          <w:rFonts w:ascii="Calibri" w:hAnsi="Calibri" w:cs="Calibri"/>
          <w:spacing w:val="-7"/>
          <w:sz w:val="22"/>
          <w:szCs w:val="22"/>
        </w:rPr>
        <w:t xml:space="preserve"> </w:t>
      </w:r>
      <w:r>
        <w:rPr>
          <w:rFonts w:ascii="Calibri" w:hAnsi="Calibri" w:cs="Calibri"/>
          <w:sz w:val="22"/>
          <w:szCs w:val="22"/>
        </w:rPr>
        <w:t>for</w:t>
      </w:r>
      <w:r>
        <w:rPr>
          <w:rFonts w:ascii="Calibri" w:hAnsi="Calibri" w:cs="Calibri"/>
          <w:spacing w:val="-9"/>
          <w:sz w:val="22"/>
          <w:szCs w:val="22"/>
        </w:rPr>
        <w:t xml:space="preserve"> </w:t>
      </w:r>
      <w:r>
        <w:rPr>
          <w:rFonts w:ascii="Calibri" w:hAnsi="Calibri" w:cs="Calibri"/>
          <w:sz w:val="22"/>
          <w:szCs w:val="22"/>
        </w:rPr>
        <w:t>MassHealth</w:t>
      </w:r>
      <w:r>
        <w:rPr>
          <w:rFonts w:ascii="Calibri" w:hAnsi="Calibri" w:cs="Calibri"/>
          <w:spacing w:val="-10"/>
          <w:sz w:val="22"/>
          <w:szCs w:val="22"/>
        </w:rPr>
        <w:t xml:space="preserve"> </w:t>
      </w:r>
      <w:r>
        <w:rPr>
          <w:rFonts w:ascii="Calibri" w:hAnsi="Calibri" w:cs="Calibri"/>
          <w:sz w:val="22"/>
          <w:szCs w:val="22"/>
        </w:rPr>
        <w:t>members</w:t>
      </w:r>
      <w:r>
        <w:rPr>
          <w:rFonts w:ascii="Calibri" w:hAnsi="Calibri" w:cs="Calibri"/>
          <w:spacing w:val="-7"/>
          <w:sz w:val="22"/>
          <w:szCs w:val="22"/>
        </w:rPr>
        <w:t xml:space="preserve"> </w:t>
      </w:r>
      <w:r>
        <w:rPr>
          <w:rFonts w:ascii="Calibri" w:hAnsi="Calibri" w:cs="Calibri"/>
          <w:sz w:val="22"/>
          <w:szCs w:val="22"/>
        </w:rPr>
        <w:t>with</w:t>
      </w:r>
      <w:r>
        <w:rPr>
          <w:rFonts w:ascii="Calibri" w:hAnsi="Calibri" w:cs="Calibri"/>
          <w:spacing w:val="-5"/>
          <w:sz w:val="22"/>
          <w:szCs w:val="22"/>
        </w:rPr>
        <w:t xml:space="preserve"> </w:t>
      </w:r>
      <w:r>
        <w:rPr>
          <w:rFonts w:ascii="Calibri" w:hAnsi="Calibri" w:cs="Calibri"/>
          <w:spacing w:val="-3"/>
          <w:sz w:val="22"/>
          <w:szCs w:val="22"/>
        </w:rPr>
        <w:t>income</w:t>
      </w:r>
      <w:r>
        <w:rPr>
          <w:rFonts w:ascii="Calibri" w:hAnsi="Calibri" w:cs="Calibri"/>
          <w:spacing w:val="-9"/>
          <w:sz w:val="22"/>
          <w:szCs w:val="22"/>
        </w:rPr>
        <w:t xml:space="preserve"> </w:t>
      </w:r>
      <w:r>
        <w:rPr>
          <w:rFonts w:ascii="Calibri" w:hAnsi="Calibri" w:cs="Calibri"/>
          <w:sz w:val="22"/>
          <w:szCs w:val="22"/>
        </w:rPr>
        <w:t>at</w:t>
      </w:r>
      <w:r>
        <w:rPr>
          <w:rFonts w:ascii="Calibri" w:hAnsi="Calibri" w:cs="Calibri"/>
          <w:spacing w:val="-7"/>
          <w:sz w:val="22"/>
          <w:szCs w:val="22"/>
        </w:rPr>
        <w:t xml:space="preserve"> </w:t>
      </w:r>
      <w:r>
        <w:rPr>
          <w:rFonts w:ascii="Calibri" w:hAnsi="Calibri" w:cs="Calibri"/>
          <w:sz w:val="22"/>
          <w:szCs w:val="22"/>
        </w:rPr>
        <w:t>or</w:t>
      </w:r>
      <w:r>
        <w:rPr>
          <w:rFonts w:ascii="Calibri" w:hAnsi="Calibri" w:cs="Calibri"/>
          <w:spacing w:val="-5"/>
          <w:sz w:val="22"/>
          <w:szCs w:val="22"/>
        </w:rPr>
        <w:t xml:space="preserve"> </w:t>
      </w:r>
      <w:r>
        <w:rPr>
          <w:rFonts w:ascii="Calibri" w:hAnsi="Calibri" w:cs="Calibri"/>
          <w:sz w:val="22"/>
          <w:szCs w:val="22"/>
        </w:rPr>
        <w:t>below</w:t>
      </w:r>
      <w:r>
        <w:rPr>
          <w:rFonts w:ascii="Calibri" w:hAnsi="Calibri" w:cs="Calibri"/>
          <w:spacing w:val="-9"/>
          <w:sz w:val="22"/>
          <w:szCs w:val="22"/>
        </w:rPr>
        <w:t xml:space="preserve"> </w:t>
      </w:r>
      <w:r>
        <w:rPr>
          <w:rFonts w:ascii="Calibri" w:hAnsi="Calibri" w:cs="Calibri"/>
          <w:sz w:val="22"/>
          <w:szCs w:val="22"/>
        </w:rPr>
        <w:t>50%</w:t>
      </w:r>
      <w:r>
        <w:rPr>
          <w:rFonts w:ascii="Calibri" w:hAnsi="Calibri" w:cs="Calibri"/>
          <w:spacing w:val="-7"/>
          <w:sz w:val="22"/>
          <w:szCs w:val="22"/>
        </w:rPr>
        <w:t xml:space="preserve"> </w:t>
      </w:r>
      <w:r>
        <w:rPr>
          <w:rFonts w:ascii="Calibri" w:hAnsi="Calibri" w:cs="Calibri"/>
          <w:sz w:val="22"/>
          <w:szCs w:val="22"/>
        </w:rPr>
        <w:t>of</w:t>
      </w:r>
      <w:r>
        <w:rPr>
          <w:rFonts w:ascii="Calibri" w:hAnsi="Calibri" w:cs="Calibri"/>
          <w:spacing w:val="-7"/>
          <w:sz w:val="22"/>
          <w:szCs w:val="22"/>
        </w:rPr>
        <w:t xml:space="preserve"> </w:t>
      </w:r>
      <w:r>
        <w:rPr>
          <w:rFonts w:ascii="Calibri" w:hAnsi="Calibri" w:cs="Calibri"/>
          <w:sz w:val="22"/>
          <w:szCs w:val="22"/>
        </w:rPr>
        <w:t>the</w:t>
      </w:r>
      <w:r>
        <w:rPr>
          <w:rFonts w:ascii="Calibri" w:hAnsi="Calibri" w:cs="Calibri"/>
          <w:spacing w:val="-7"/>
          <w:sz w:val="22"/>
          <w:szCs w:val="22"/>
        </w:rPr>
        <w:t xml:space="preserve"> </w:t>
      </w:r>
      <w:r>
        <w:rPr>
          <w:rFonts w:ascii="Calibri" w:hAnsi="Calibri" w:cs="Calibri"/>
          <w:sz w:val="22"/>
          <w:szCs w:val="22"/>
        </w:rPr>
        <w:t>federal poverty level</w:t>
      </w:r>
      <w:r>
        <w:rPr>
          <w:rFonts w:ascii="Calibri" w:hAnsi="Calibri" w:cs="Calibri"/>
          <w:spacing w:val="-27"/>
          <w:sz w:val="22"/>
          <w:szCs w:val="22"/>
        </w:rPr>
        <w:t xml:space="preserve"> </w:t>
      </w:r>
      <w:r>
        <w:rPr>
          <w:rFonts w:ascii="Calibri" w:hAnsi="Calibri" w:cs="Calibri"/>
          <w:sz w:val="22"/>
          <w:szCs w:val="22"/>
        </w:rPr>
        <w:t>(FPL);</w:t>
      </w:r>
    </w:p>
    <w:p w:rsidR="002C5025" w:rsidRDefault="002C5025">
      <w:pPr>
        <w:pStyle w:val="ListParagraph"/>
        <w:numPr>
          <w:ilvl w:val="0"/>
          <w:numId w:val="95"/>
        </w:numPr>
        <w:tabs>
          <w:tab w:val="left" w:pos="837"/>
        </w:tabs>
        <w:kinsoku w:val="0"/>
        <w:overflowPunct w:val="0"/>
        <w:spacing w:before="9" w:line="266" w:lineRule="exact"/>
        <w:ind w:right="358" w:hanging="360"/>
        <w:rPr>
          <w:rFonts w:ascii="Calibri" w:hAnsi="Calibri" w:cs="Calibri"/>
          <w:sz w:val="22"/>
          <w:szCs w:val="22"/>
        </w:rPr>
      </w:pPr>
      <w:r>
        <w:rPr>
          <w:rFonts w:ascii="Calibri" w:hAnsi="Calibri" w:cs="Calibri"/>
          <w:sz w:val="22"/>
          <w:szCs w:val="22"/>
        </w:rPr>
        <w:t>Assuring</w:t>
      </w:r>
      <w:r>
        <w:rPr>
          <w:rFonts w:ascii="Calibri" w:hAnsi="Calibri" w:cs="Calibri"/>
          <w:spacing w:val="-9"/>
          <w:sz w:val="22"/>
          <w:szCs w:val="22"/>
        </w:rPr>
        <w:t xml:space="preserve"> </w:t>
      </w:r>
      <w:r>
        <w:rPr>
          <w:rFonts w:ascii="Calibri" w:hAnsi="Calibri" w:cs="Calibri"/>
          <w:sz w:val="22"/>
          <w:szCs w:val="22"/>
        </w:rPr>
        <w:t>the</w:t>
      </w:r>
      <w:r>
        <w:rPr>
          <w:rFonts w:ascii="Calibri" w:hAnsi="Calibri" w:cs="Calibri"/>
          <w:spacing w:val="-8"/>
          <w:sz w:val="22"/>
          <w:szCs w:val="22"/>
        </w:rPr>
        <w:t xml:space="preserve"> </w:t>
      </w:r>
      <w:r>
        <w:rPr>
          <w:rFonts w:ascii="Calibri" w:hAnsi="Calibri" w:cs="Calibri"/>
          <w:sz w:val="22"/>
          <w:szCs w:val="22"/>
        </w:rPr>
        <w:t>sustainability</w:t>
      </w:r>
      <w:r>
        <w:rPr>
          <w:rFonts w:ascii="Calibri" w:hAnsi="Calibri" w:cs="Calibri"/>
          <w:spacing w:val="-10"/>
          <w:sz w:val="22"/>
          <w:szCs w:val="22"/>
        </w:rPr>
        <w:t xml:space="preserve"> </w:t>
      </w:r>
      <w:r>
        <w:rPr>
          <w:rFonts w:ascii="Calibri" w:hAnsi="Calibri" w:cs="Calibri"/>
          <w:sz w:val="22"/>
          <w:szCs w:val="22"/>
        </w:rPr>
        <w:t>of</w:t>
      </w:r>
      <w:r>
        <w:rPr>
          <w:rFonts w:ascii="Calibri" w:hAnsi="Calibri" w:cs="Calibri"/>
          <w:spacing w:val="-6"/>
          <w:sz w:val="22"/>
          <w:szCs w:val="22"/>
        </w:rPr>
        <w:t xml:space="preserve"> </w:t>
      </w:r>
      <w:r>
        <w:rPr>
          <w:rFonts w:ascii="Calibri" w:hAnsi="Calibri" w:cs="Calibri"/>
          <w:sz w:val="22"/>
          <w:szCs w:val="22"/>
        </w:rPr>
        <w:t>the</w:t>
      </w:r>
      <w:r>
        <w:rPr>
          <w:rFonts w:ascii="Calibri" w:hAnsi="Calibri" w:cs="Calibri"/>
          <w:spacing w:val="35"/>
          <w:sz w:val="22"/>
          <w:szCs w:val="22"/>
        </w:rPr>
        <w:t xml:space="preserve"> </w:t>
      </w:r>
      <w:r>
        <w:rPr>
          <w:rFonts w:ascii="Calibri" w:hAnsi="Calibri" w:cs="Calibri"/>
          <w:sz w:val="22"/>
          <w:szCs w:val="22"/>
        </w:rPr>
        <w:t>CommonHealth</w:t>
      </w:r>
      <w:r>
        <w:rPr>
          <w:rFonts w:ascii="Calibri" w:hAnsi="Calibri" w:cs="Calibri"/>
          <w:spacing w:val="-9"/>
          <w:sz w:val="22"/>
          <w:szCs w:val="22"/>
        </w:rPr>
        <w:t xml:space="preserve"> </w:t>
      </w:r>
      <w:r>
        <w:rPr>
          <w:rFonts w:ascii="Calibri" w:hAnsi="Calibri" w:cs="Calibri"/>
          <w:sz w:val="22"/>
          <w:szCs w:val="22"/>
        </w:rPr>
        <w:t>program</w:t>
      </w:r>
      <w:r>
        <w:rPr>
          <w:rFonts w:ascii="Calibri" w:hAnsi="Calibri" w:cs="Calibri"/>
          <w:spacing w:val="-7"/>
          <w:sz w:val="22"/>
          <w:szCs w:val="22"/>
        </w:rPr>
        <w:t xml:space="preserve"> </w:t>
      </w:r>
      <w:r>
        <w:rPr>
          <w:rFonts w:ascii="Calibri" w:hAnsi="Calibri" w:cs="Calibri"/>
          <w:sz w:val="22"/>
          <w:szCs w:val="22"/>
        </w:rPr>
        <w:t>for</w:t>
      </w:r>
      <w:r>
        <w:rPr>
          <w:rFonts w:ascii="Calibri" w:hAnsi="Calibri" w:cs="Calibri"/>
          <w:spacing w:val="-8"/>
          <w:sz w:val="22"/>
          <w:szCs w:val="22"/>
        </w:rPr>
        <w:t xml:space="preserve"> </w:t>
      </w:r>
      <w:r>
        <w:rPr>
          <w:rFonts w:ascii="Calibri" w:hAnsi="Calibri" w:cs="Calibri"/>
          <w:sz w:val="22"/>
          <w:szCs w:val="22"/>
        </w:rPr>
        <w:t>working</w:t>
      </w:r>
      <w:r>
        <w:rPr>
          <w:rFonts w:ascii="Calibri" w:hAnsi="Calibri" w:cs="Calibri"/>
          <w:spacing w:val="-9"/>
          <w:sz w:val="22"/>
          <w:szCs w:val="22"/>
        </w:rPr>
        <w:t xml:space="preserve"> </w:t>
      </w:r>
      <w:r>
        <w:rPr>
          <w:rFonts w:ascii="Calibri" w:hAnsi="Calibri" w:cs="Calibri"/>
          <w:sz w:val="22"/>
          <w:szCs w:val="22"/>
        </w:rPr>
        <w:t>disabled</w:t>
      </w:r>
      <w:r>
        <w:rPr>
          <w:rFonts w:ascii="Calibri" w:hAnsi="Calibri" w:cs="Calibri"/>
          <w:spacing w:val="-11"/>
          <w:sz w:val="22"/>
          <w:szCs w:val="22"/>
        </w:rPr>
        <w:t xml:space="preserve"> </w:t>
      </w:r>
      <w:r>
        <w:rPr>
          <w:rFonts w:ascii="Calibri" w:hAnsi="Calibri" w:cs="Calibri"/>
          <w:sz w:val="22"/>
          <w:szCs w:val="22"/>
        </w:rPr>
        <w:t>adults</w:t>
      </w:r>
      <w:r>
        <w:rPr>
          <w:rFonts w:ascii="Calibri" w:hAnsi="Calibri" w:cs="Calibri"/>
          <w:spacing w:val="-6"/>
          <w:sz w:val="22"/>
          <w:szCs w:val="22"/>
        </w:rPr>
        <w:t xml:space="preserve"> </w:t>
      </w:r>
      <w:r>
        <w:rPr>
          <w:rFonts w:ascii="Calibri" w:hAnsi="Calibri" w:cs="Calibri"/>
          <w:spacing w:val="-3"/>
          <w:sz w:val="22"/>
          <w:szCs w:val="22"/>
        </w:rPr>
        <w:t>age</w:t>
      </w:r>
      <w:r>
        <w:rPr>
          <w:rFonts w:ascii="Calibri" w:hAnsi="Calibri" w:cs="Calibri"/>
          <w:spacing w:val="-8"/>
          <w:sz w:val="22"/>
          <w:szCs w:val="22"/>
        </w:rPr>
        <w:t xml:space="preserve"> </w:t>
      </w:r>
      <w:r>
        <w:rPr>
          <w:rFonts w:ascii="Calibri" w:hAnsi="Calibri" w:cs="Calibri"/>
          <w:sz w:val="22"/>
          <w:szCs w:val="22"/>
        </w:rPr>
        <w:t>65 and</w:t>
      </w:r>
      <w:r>
        <w:rPr>
          <w:rFonts w:ascii="Calibri" w:hAnsi="Calibri" w:cs="Calibri"/>
          <w:spacing w:val="-13"/>
          <w:sz w:val="22"/>
          <w:szCs w:val="22"/>
        </w:rPr>
        <w:t xml:space="preserve"> </w:t>
      </w:r>
      <w:r>
        <w:rPr>
          <w:rFonts w:ascii="Calibri" w:hAnsi="Calibri" w:cs="Calibri"/>
          <w:sz w:val="22"/>
          <w:szCs w:val="22"/>
        </w:rPr>
        <w:t>older;</w:t>
      </w:r>
    </w:p>
    <w:p w:rsidR="002C5025" w:rsidRDefault="002C5025">
      <w:pPr>
        <w:pStyle w:val="ListParagraph"/>
        <w:numPr>
          <w:ilvl w:val="0"/>
          <w:numId w:val="95"/>
        </w:numPr>
        <w:tabs>
          <w:tab w:val="left" w:pos="837"/>
        </w:tabs>
        <w:kinsoku w:val="0"/>
        <w:overflowPunct w:val="0"/>
        <w:spacing w:before="6"/>
        <w:ind w:hanging="360"/>
        <w:rPr>
          <w:rFonts w:ascii="Calibri" w:hAnsi="Calibri" w:cs="Calibri"/>
          <w:sz w:val="22"/>
          <w:szCs w:val="22"/>
        </w:rPr>
      </w:pPr>
      <w:r>
        <w:rPr>
          <w:rFonts w:ascii="Calibri" w:hAnsi="Calibri" w:cs="Calibri"/>
          <w:sz w:val="22"/>
          <w:szCs w:val="22"/>
        </w:rPr>
        <w:t>Ensuring</w:t>
      </w:r>
      <w:r>
        <w:rPr>
          <w:rFonts w:ascii="Calibri" w:hAnsi="Calibri" w:cs="Calibri"/>
          <w:spacing w:val="-12"/>
          <w:sz w:val="22"/>
          <w:szCs w:val="22"/>
        </w:rPr>
        <w:t xml:space="preserve"> </w:t>
      </w:r>
      <w:r>
        <w:rPr>
          <w:rFonts w:ascii="Calibri" w:hAnsi="Calibri" w:cs="Calibri"/>
          <w:sz w:val="22"/>
          <w:szCs w:val="22"/>
        </w:rPr>
        <w:t>the</w:t>
      </w:r>
      <w:r>
        <w:rPr>
          <w:rFonts w:ascii="Calibri" w:hAnsi="Calibri" w:cs="Calibri"/>
          <w:spacing w:val="-11"/>
          <w:sz w:val="22"/>
          <w:szCs w:val="22"/>
        </w:rPr>
        <w:t xml:space="preserve"> </w:t>
      </w:r>
      <w:r>
        <w:rPr>
          <w:rFonts w:ascii="Calibri" w:hAnsi="Calibri" w:cs="Calibri"/>
          <w:sz w:val="22"/>
          <w:szCs w:val="22"/>
        </w:rPr>
        <w:t>sustainability</w:t>
      </w:r>
      <w:r>
        <w:rPr>
          <w:rFonts w:ascii="Calibri" w:hAnsi="Calibri" w:cs="Calibri"/>
          <w:spacing w:val="-13"/>
          <w:sz w:val="22"/>
          <w:szCs w:val="22"/>
        </w:rPr>
        <w:t xml:space="preserve"> </w:t>
      </w:r>
      <w:r>
        <w:rPr>
          <w:rFonts w:ascii="Calibri" w:hAnsi="Calibri" w:cs="Calibri"/>
          <w:sz w:val="22"/>
          <w:szCs w:val="22"/>
        </w:rPr>
        <w:t>and</w:t>
      </w:r>
      <w:r>
        <w:rPr>
          <w:rFonts w:ascii="Calibri" w:hAnsi="Calibri" w:cs="Calibri"/>
          <w:spacing w:val="-12"/>
          <w:sz w:val="22"/>
          <w:szCs w:val="22"/>
        </w:rPr>
        <w:t xml:space="preserve"> </w:t>
      </w:r>
      <w:r>
        <w:rPr>
          <w:rFonts w:ascii="Calibri" w:hAnsi="Calibri" w:cs="Calibri"/>
          <w:sz w:val="22"/>
          <w:szCs w:val="22"/>
        </w:rPr>
        <w:t>affordability</w:t>
      </w:r>
      <w:r>
        <w:rPr>
          <w:rFonts w:ascii="Calibri" w:hAnsi="Calibri" w:cs="Calibri"/>
          <w:spacing w:val="-13"/>
          <w:sz w:val="22"/>
          <w:szCs w:val="22"/>
        </w:rPr>
        <w:t xml:space="preserve"> </w:t>
      </w:r>
      <w:r>
        <w:rPr>
          <w:rFonts w:ascii="Calibri" w:hAnsi="Calibri" w:cs="Calibri"/>
          <w:sz w:val="22"/>
          <w:szCs w:val="22"/>
        </w:rPr>
        <w:t>of</w:t>
      </w:r>
      <w:r>
        <w:rPr>
          <w:rFonts w:ascii="Calibri" w:hAnsi="Calibri" w:cs="Calibri"/>
          <w:spacing w:val="-11"/>
          <w:sz w:val="22"/>
          <w:szCs w:val="22"/>
        </w:rPr>
        <w:t xml:space="preserve"> </w:t>
      </w:r>
      <w:r>
        <w:rPr>
          <w:rFonts w:ascii="Calibri" w:hAnsi="Calibri" w:cs="Calibri"/>
          <w:sz w:val="22"/>
          <w:szCs w:val="22"/>
        </w:rPr>
        <w:t>the</w:t>
      </w:r>
      <w:r>
        <w:rPr>
          <w:rFonts w:ascii="Calibri" w:hAnsi="Calibri" w:cs="Calibri"/>
          <w:spacing w:val="-11"/>
          <w:sz w:val="22"/>
          <w:szCs w:val="22"/>
        </w:rPr>
        <w:t xml:space="preserve"> </w:t>
      </w:r>
      <w:proofErr w:type="spellStart"/>
      <w:r>
        <w:rPr>
          <w:rFonts w:ascii="Calibri" w:hAnsi="Calibri" w:cs="Calibri"/>
          <w:sz w:val="22"/>
          <w:szCs w:val="22"/>
        </w:rPr>
        <w:t>ConnectorCare</w:t>
      </w:r>
      <w:proofErr w:type="spellEnd"/>
      <w:r>
        <w:rPr>
          <w:rFonts w:ascii="Calibri" w:hAnsi="Calibri" w:cs="Calibri"/>
          <w:spacing w:val="-9"/>
          <w:sz w:val="22"/>
          <w:szCs w:val="22"/>
        </w:rPr>
        <w:t xml:space="preserve"> </w:t>
      </w:r>
      <w:r>
        <w:rPr>
          <w:rFonts w:ascii="Calibri" w:hAnsi="Calibri" w:cs="Calibri"/>
          <w:sz w:val="22"/>
          <w:szCs w:val="22"/>
        </w:rPr>
        <w:t>program;</w:t>
      </w:r>
    </w:p>
    <w:p w:rsidR="002C5025" w:rsidRDefault="002C5025">
      <w:pPr>
        <w:pStyle w:val="ListParagraph"/>
        <w:numPr>
          <w:ilvl w:val="0"/>
          <w:numId w:val="95"/>
        </w:numPr>
        <w:tabs>
          <w:tab w:val="left" w:pos="838"/>
        </w:tabs>
        <w:kinsoku w:val="0"/>
        <w:overflowPunct w:val="0"/>
        <w:ind w:left="837" w:right="118" w:hanging="360"/>
        <w:rPr>
          <w:rFonts w:ascii="Calibri" w:hAnsi="Calibri" w:cs="Calibri"/>
          <w:sz w:val="22"/>
          <w:szCs w:val="22"/>
        </w:rPr>
      </w:pPr>
      <w:r>
        <w:rPr>
          <w:rFonts w:ascii="Calibri" w:hAnsi="Calibri" w:cs="Calibri"/>
          <w:sz w:val="22"/>
          <w:szCs w:val="22"/>
        </w:rPr>
        <w:t>Providing</w:t>
      </w:r>
      <w:r>
        <w:rPr>
          <w:rFonts w:ascii="Calibri" w:hAnsi="Calibri" w:cs="Calibri"/>
          <w:spacing w:val="-11"/>
          <w:sz w:val="22"/>
          <w:szCs w:val="22"/>
        </w:rPr>
        <w:t xml:space="preserve"> </w:t>
      </w:r>
      <w:r>
        <w:rPr>
          <w:rFonts w:ascii="Calibri" w:hAnsi="Calibri" w:cs="Calibri"/>
          <w:sz w:val="22"/>
          <w:szCs w:val="22"/>
        </w:rPr>
        <w:t>continuous</w:t>
      </w:r>
      <w:r>
        <w:rPr>
          <w:rFonts w:ascii="Calibri" w:hAnsi="Calibri" w:cs="Calibri"/>
          <w:spacing w:val="-10"/>
          <w:sz w:val="22"/>
          <w:szCs w:val="22"/>
        </w:rPr>
        <w:t xml:space="preserve"> </w:t>
      </w:r>
      <w:r>
        <w:rPr>
          <w:rFonts w:ascii="Calibri" w:hAnsi="Calibri" w:cs="Calibri"/>
          <w:sz w:val="22"/>
          <w:szCs w:val="22"/>
        </w:rPr>
        <w:t>eligibility</w:t>
      </w:r>
      <w:r>
        <w:rPr>
          <w:rFonts w:ascii="Calibri" w:hAnsi="Calibri" w:cs="Calibri"/>
          <w:spacing w:val="-9"/>
          <w:sz w:val="22"/>
          <w:szCs w:val="22"/>
        </w:rPr>
        <w:t xml:space="preserve"> </w:t>
      </w:r>
      <w:r>
        <w:rPr>
          <w:rFonts w:ascii="Calibri" w:hAnsi="Calibri" w:cs="Calibri"/>
          <w:sz w:val="22"/>
          <w:szCs w:val="22"/>
        </w:rPr>
        <w:t>through</w:t>
      </w:r>
      <w:r>
        <w:rPr>
          <w:rFonts w:ascii="Calibri" w:hAnsi="Calibri" w:cs="Calibri"/>
          <w:spacing w:val="-9"/>
          <w:sz w:val="22"/>
          <w:szCs w:val="22"/>
        </w:rPr>
        <w:t xml:space="preserve"> </w:t>
      </w:r>
      <w:r>
        <w:rPr>
          <w:rFonts w:ascii="Calibri" w:hAnsi="Calibri" w:cs="Calibri"/>
          <w:sz w:val="22"/>
          <w:szCs w:val="22"/>
        </w:rPr>
        <w:t>the</w:t>
      </w:r>
      <w:r>
        <w:rPr>
          <w:rFonts w:ascii="Calibri" w:hAnsi="Calibri" w:cs="Calibri"/>
          <w:spacing w:val="-7"/>
          <w:sz w:val="22"/>
          <w:szCs w:val="22"/>
        </w:rPr>
        <w:t xml:space="preserve"> </w:t>
      </w:r>
      <w:r>
        <w:rPr>
          <w:rFonts w:ascii="Calibri" w:hAnsi="Calibri" w:cs="Calibri"/>
          <w:sz w:val="22"/>
          <w:szCs w:val="22"/>
        </w:rPr>
        <w:t>duration</w:t>
      </w:r>
      <w:r>
        <w:rPr>
          <w:rFonts w:ascii="Calibri" w:hAnsi="Calibri" w:cs="Calibri"/>
          <w:spacing w:val="-12"/>
          <w:sz w:val="22"/>
          <w:szCs w:val="22"/>
        </w:rPr>
        <w:t xml:space="preserve"> </w:t>
      </w:r>
      <w:r>
        <w:rPr>
          <w:rFonts w:ascii="Calibri" w:hAnsi="Calibri" w:cs="Calibri"/>
          <w:sz w:val="22"/>
          <w:szCs w:val="22"/>
        </w:rPr>
        <w:t>of</w:t>
      </w:r>
      <w:r>
        <w:rPr>
          <w:rFonts w:ascii="Calibri" w:hAnsi="Calibri" w:cs="Calibri"/>
          <w:spacing w:val="-10"/>
          <w:sz w:val="22"/>
          <w:szCs w:val="22"/>
        </w:rPr>
        <w:t xml:space="preserve"> </w:t>
      </w:r>
      <w:r>
        <w:rPr>
          <w:rFonts w:ascii="Calibri" w:hAnsi="Calibri" w:cs="Calibri"/>
          <w:sz w:val="22"/>
          <w:szCs w:val="22"/>
        </w:rPr>
        <w:t>the</w:t>
      </w:r>
      <w:r>
        <w:rPr>
          <w:rFonts w:ascii="Calibri" w:hAnsi="Calibri" w:cs="Calibri"/>
          <w:spacing w:val="-7"/>
          <w:sz w:val="22"/>
          <w:szCs w:val="22"/>
        </w:rPr>
        <w:t xml:space="preserve"> </w:t>
      </w:r>
      <w:r>
        <w:rPr>
          <w:rFonts w:ascii="Calibri" w:hAnsi="Calibri" w:cs="Calibri"/>
          <w:sz w:val="22"/>
          <w:szCs w:val="22"/>
        </w:rPr>
        <w:t>Student</w:t>
      </w:r>
      <w:r>
        <w:rPr>
          <w:rFonts w:ascii="Calibri" w:hAnsi="Calibri" w:cs="Calibri"/>
          <w:spacing w:val="-11"/>
          <w:sz w:val="22"/>
          <w:szCs w:val="22"/>
        </w:rPr>
        <w:t xml:space="preserve"> </w:t>
      </w:r>
      <w:r>
        <w:rPr>
          <w:rFonts w:ascii="Calibri" w:hAnsi="Calibri" w:cs="Calibri"/>
          <w:sz w:val="22"/>
          <w:szCs w:val="22"/>
        </w:rPr>
        <w:t>Health</w:t>
      </w:r>
      <w:r>
        <w:rPr>
          <w:rFonts w:ascii="Calibri" w:hAnsi="Calibri" w:cs="Calibri"/>
          <w:spacing w:val="-11"/>
          <w:sz w:val="22"/>
          <w:szCs w:val="22"/>
        </w:rPr>
        <w:t xml:space="preserve"> </w:t>
      </w:r>
      <w:r>
        <w:rPr>
          <w:rFonts w:ascii="Calibri" w:hAnsi="Calibri" w:cs="Calibri"/>
          <w:sz w:val="22"/>
          <w:szCs w:val="22"/>
        </w:rPr>
        <w:t>Insurance</w:t>
      </w:r>
      <w:r>
        <w:rPr>
          <w:rFonts w:ascii="Calibri" w:hAnsi="Calibri" w:cs="Calibri"/>
          <w:spacing w:val="-10"/>
          <w:sz w:val="22"/>
          <w:szCs w:val="22"/>
        </w:rPr>
        <w:t xml:space="preserve"> </w:t>
      </w:r>
      <w:r>
        <w:rPr>
          <w:rFonts w:ascii="Calibri" w:hAnsi="Calibri" w:cs="Calibri"/>
          <w:sz w:val="22"/>
          <w:szCs w:val="22"/>
        </w:rPr>
        <w:t>Plan</w:t>
      </w:r>
      <w:r>
        <w:rPr>
          <w:rFonts w:ascii="Calibri" w:hAnsi="Calibri" w:cs="Calibri"/>
          <w:spacing w:val="-12"/>
          <w:sz w:val="22"/>
          <w:szCs w:val="22"/>
        </w:rPr>
        <w:t xml:space="preserve"> </w:t>
      </w:r>
      <w:r>
        <w:rPr>
          <w:rFonts w:ascii="Calibri" w:hAnsi="Calibri" w:cs="Calibri"/>
          <w:sz w:val="22"/>
          <w:szCs w:val="22"/>
        </w:rPr>
        <w:t>(SHIP) period</w:t>
      </w:r>
      <w:r>
        <w:rPr>
          <w:rFonts w:ascii="Calibri" w:hAnsi="Calibri" w:cs="Calibri"/>
          <w:spacing w:val="-9"/>
          <w:sz w:val="22"/>
          <w:szCs w:val="22"/>
        </w:rPr>
        <w:t xml:space="preserve"> </w:t>
      </w:r>
      <w:r>
        <w:rPr>
          <w:rFonts w:ascii="Calibri" w:hAnsi="Calibri" w:cs="Calibri"/>
          <w:sz w:val="22"/>
          <w:szCs w:val="22"/>
        </w:rPr>
        <w:t>for</w:t>
      </w:r>
      <w:r>
        <w:rPr>
          <w:rFonts w:ascii="Calibri" w:hAnsi="Calibri" w:cs="Calibri"/>
          <w:spacing w:val="-8"/>
          <w:sz w:val="22"/>
          <w:szCs w:val="22"/>
        </w:rPr>
        <w:t xml:space="preserve"> </w:t>
      </w:r>
      <w:r>
        <w:rPr>
          <w:rFonts w:ascii="Calibri" w:hAnsi="Calibri" w:cs="Calibri"/>
          <w:sz w:val="22"/>
          <w:szCs w:val="22"/>
        </w:rPr>
        <w:t>enrollees</w:t>
      </w:r>
      <w:r>
        <w:rPr>
          <w:rFonts w:ascii="Calibri" w:hAnsi="Calibri" w:cs="Calibri"/>
          <w:spacing w:val="-6"/>
          <w:sz w:val="22"/>
          <w:szCs w:val="22"/>
        </w:rPr>
        <w:t xml:space="preserve"> </w:t>
      </w:r>
      <w:r>
        <w:rPr>
          <w:rFonts w:ascii="Calibri" w:hAnsi="Calibri" w:cs="Calibri"/>
          <w:spacing w:val="-3"/>
          <w:sz w:val="22"/>
          <w:szCs w:val="22"/>
        </w:rPr>
        <w:t>receiving</w:t>
      </w:r>
      <w:r>
        <w:rPr>
          <w:rFonts w:ascii="Calibri" w:hAnsi="Calibri" w:cs="Calibri"/>
          <w:spacing w:val="-9"/>
          <w:sz w:val="22"/>
          <w:szCs w:val="22"/>
        </w:rPr>
        <w:t xml:space="preserve"> </w:t>
      </w:r>
      <w:r>
        <w:rPr>
          <w:rFonts w:ascii="Calibri" w:hAnsi="Calibri" w:cs="Calibri"/>
          <w:sz w:val="22"/>
          <w:szCs w:val="22"/>
        </w:rPr>
        <w:t>Premium</w:t>
      </w:r>
      <w:r>
        <w:rPr>
          <w:rFonts w:ascii="Calibri" w:hAnsi="Calibri" w:cs="Calibri"/>
          <w:spacing w:val="-7"/>
          <w:sz w:val="22"/>
          <w:szCs w:val="22"/>
        </w:rPr>
        <w:t xml:space="preserve"> </w:t>
      </w:r>
      <w:r>
        <w:rPr>
          <w:rFonts w:ascii="Calibri" w:hAnsi="Calibri" w:cs="Calibri"/>
          <w:sz w:val="22"/>
          <w:szCs w:val="22"/>
        </w:rPr>
        <w:t>Assistance</w:t>
      </w:r>
      <w:r>
        <w:rPr>
          <w:rFonts w:ascii="Calibri" w:hAnsi="Calibri" w:cs="Calibri"/>
          <w:spacing w:val="-5"/>
          <w:sz w:val="22"/>
          <w:szCs w:val="22"/>
        </w:rPr>
        <w:t xml:space="preserve"> </w:t>
      </w:r>
      <w:r>
        <w:rPr>
          <w:rFonts w:ascii="Calibri" w:hAnsi="Calibri" w:cs="Calibri"/>
          <w:sz w:val="22"/>
          <w:szCs w:val="22"/>
        </w:rPr>
        <w:t>for</w:t>
      </w:r>
      <w:r>
        <w:rPr>
          <w:rFonts w:ascii="Calibri" w:hAnsi="Calibri" w:cs="Calibri"/>
          <w:spacing w:val="-11"/>
          <w:sz w:val="22"/>
          <w:szCs w:val="22"/>
        </w:rPr>
        <w:t xml:space="preserve"> </w:t>
      </w:r>
      <w:r>
        <w:rPr>
          <w:rFonts w:ascii="Calibri" w:hAnsi="Calibri" w:cs="Calibri"/>
          <w:sz w:val="22"/>
          <w:szCs w:val="22"/>
        </w:rPr>
        <w:t>SHIPs;</w:t>
      </w:r>
      <w:r>
        <w:rPr>
          <w:rFonts w:ascii="Calibri" w:hAnsi="Calibri" w:cs="Calibri"/>
          <w:spacing w:val="-7"/>
          <w:sz w:val="22"/>
          <w:szCs w:val="22"/>
        </w:rPr>
        <w:t xml:space="preserve"> </w:t>
      </w:r>
      <w:r>
        <w:rPr>
          <w:rFonts w:ascii="Calibri" w:hAnsi="Calibri" w:cs="Calibri"/>
          <w:sz w:val="22"/>
          <w:szCs w:val="22"/>
        </w:rPr>
        <w:t>and</w:t>
      </w:r>
    </w:p>
    <w:p w:rsidR="002C5025" w:rsidRDefault="002C5025">
      <w:pPr>
        <w:pStyle w:val="ListParagraph"/>
        <w:numPr>
          <w:ilvl w:val="0"/>
          <w:numId w:val="95"/>
        </w:numPr>
        <w:tabs>
          <w:tab w:val="left" w:pos="838"/>
        </w:tabs>
        <w:kinsoku w:val="0"/>
        <w:overflowPunct w:val="0"/>
        <w:ind w:left="837" w:hanging="360"/>
        <w:rPr>
          <w:rFonts w:ascii="Calibri" w:hAnsi="Calibri" w:cs="Calibri"/>
          <w:sz w:val="22"/>
          <w:szCs w:val="22"/>
        </w:rPr>
      </w:pPr>
      <w:r>
        <w:rPr>
          <w:rFonts w:ascii="Calibri" w:hAnsi="Calibri" w:cs="Calibri"/>
          <w:sz w:val="22"/>
          <w:szCs w:val="22"/>
        </w:rPr>
        <w:t>Expanding</w:t>
      </w:r>
      <w:r>
        <w:rPr>
          <w:rFonts w:ascii="Calibri" w:hAnsi="Calibri" w:cs="Calibri"/>
          <w:spacing w:val="-11"/>
          <w:sz w:val="22"/>
          <w:szCs w:val="22"/>
        </w:rPr>
        <w:t xml:space="preserve"> </w:t>
      </w:r>
      <w:r>
        <w:rPr>
          <w:rFonts w:ascii="Calibri" w:hAnsi="Calibri" w:cs="Calibri"/>
          <w:sz w:val="22"/>
          <w:szCs w:val="22"/>
        </w:rPr>
        <w:t>MassHealth</w:t>
      </w:r>
      <w:r>
        <w:rPr>
          <w:rFonts w:ascii="Calibri" w:hAnsi="Calibri" w:cs="Calibri"/>
          <w:spacing w:val="-9"/>
          <w:sz w:val="22"/>
          <w:szCs w:val="22"/>
        </w:rPr>
        <w:t xml:space="preserve"> </w:t>
      </w:r>
      <w:r>
        <w:rPr>
          <w:rFonts w:ascii="Calibri" w:hAnsi="Calibri" w:cs="Calibri"/>
          <w:spacing w:val="-3"/>
          <w:sz w:val="22"/>
          <w:szCs w:val="22"/>
        </w:rPr>
        <w:t>substance</w:t>
      </w:r>
      <w:r>
        <w:rPr>
          <w:rFonts w:ascii="Calibri" w:hAnsi="Calibri" w:cs="Calibri"/>
          <w:spacing w:val="-10"/>
          <w:sz w:val="22"/>
          <w:szCs w:val="22"/>
        </w:rPr>
        <w:t xml:space="preserve"> </w:t>
      </w:r>
      <w:r>
        <w:rPr>
          <w:rFonts w:ascii="Calibri" w:hAnsi="Calibri" w:cs="Calibri"/>
          <w:spacing w:val="-3"/>
          <w:sz w:val="22"/>
          <w:szCs w:val="22"/>
        </w:rPr>
        <w:t>use</w:t>
      </w:r>
      <w:r>
        <w:rPr>
          <w:rFonts w:ascii="Calibri" w:hAnsi="Calibri" w:cs="Calibri"/>
          <w:spacing w:val="-10"/>
          <w:sz w:val="22"/>
          <w:szCs w:val="22"/>
        </w:rPr>
        <w:t xml:space="preserve"> </w:t>
      </w:r>
      <w:r>
        <w:rPr>
          <w:rFonts w:ascii="Calibri" w:hAnsi="Calibri" w:cs="Calibri"/>
          <w:sz w:val="22"/>
          <w:szCs w:val="22"/>
        </w:rPr>
        <w:t>disorders</w:t>
      </w:r>
      <w:r>
        <w:rPr>
          <w:rFonts w:ascii="Calibri" w:hAnsi="Calibri" w:cs="Calibri"/>
          <w:spacing w:val="-10"/>
          <w:sz w:val="22"/>
          <w:szCs w:val="22"/>
        </w:rPr>
        <w:t xml:space="preserve"> </w:t>
      </w:r>
      <w:r>
        <w:rPr>
          <w:rFonts w:ascii="Calibri" w:hAnsi="Calibri" w:cs="Calibri"/>
          <w:sz w:val="22"/>
          <w:szCs w:val="22"/>
        </w:rPr>
        <w:t>(SUD)</w:t>
      </w:r>
      <w:r>
        <w:rPr>
          <w:rFonts w:ascii="Calibri" w:hAnsi="Calibri" w:cs="Calibri"/>
          <w:spacing w:val="-14"/>
          <w:sz w:val="22"/>
          <w:szCs w:val="22"/>
        </w:rPr>
        <w:t xml:space="preserve"> </w:t>
      </w:r>
      <w:r>
        <w:rPr>
          <w:rFonts w:ascii="Calibri" w:hAnsi="Calibri" w:cs="Calibri"/>
          <w:sz w:val="22"/>
          <w:szCs w:val="22"/>
        </w:rPr>
        <w:t>treatment</w:t>
      </w:r>
      <w:r>
        <w:rPr>
          <w:rFonts w:ascii="Calibri" w:hAnsi="Calibri" w:cs="Calibri"/>
          <w:spacing w:val="-12"/>
          <w:sz w:val="22"/>
          <w:szCs w:val="22"/>
        </w:rPr>
        <w:t xml:space="preserve"> </w:t>
      </w:r>
      <w:r>
        <w:rPr>
          <w:rFonts w:ascii="Calibri" w:hAnsi="Calibri" w:cs="Calibri"/>
          <w:sz w:val="22"/>
          <w:szCs w:val="22"/>
        </w:rPr>
        <w:t>services.</w:t>
      </w:r>
    </w:p>
    <w:p w:rsidR="002C5025" w:rsidRDefault="002C5025">
      <w:pPr>
        <w:pStyle w:val="BodyText"/>
        <w:kinsoku w:val="0"/>
        <w:overflowPunct w:val="0"/>
        <w:spacing w:before="9"/>
        <w:rPr>
          <w:sz w:val="21"/>
          <w:szCs w:val="21"/>
        </w:rPr>
      </w:pPr>
    </w:p>
    <w:p w:rsidR="002C5025" w:rsidRDefault="002C5025">
      <w:pPr>
        <w:pStyle w:val="BodyText"/>
        <w:kinsoku w:val="0"/>
        <w:overflowPunct w:val="0"/>
        <w:spacing w:before="1"/>
        <w:ind w:left="120" w:right="10" w:hanging="1"/>
      </w:pPr>
      <w:r>
        <w:t>However,</w:t>
      </w:r>
      <w:r>
        <w:rPr>
          <w:spacing w:val="-9"/>
        </w:rPr>
        <w:t xml:space="preserve"> </w:t>
      </w:r>
      <w:r>
        <w:t>we</w:t>
      </w:r>
      <w:r>
        <w:rPr>
          <w:spacing w:val="-11"/>
        </w:rPr>
        <w:t xml:space="preserve"> </w:t>
      </w:r>
      <w:r>
        <w:t>oppose</w:t>
      </w:r>
      <w:r>
        <w:rPr>
          <w:spacing w:val="-9"/>
        </w:rPr>
        <w:t xml:space="preserve"> </w:t>
      </w:r>
      <w:r>
        <w:t>several</w:t>
      </w:r>
      <w:r>
        <w:rPr>
          <w:spacing w:val="-7"/>
        </w:rPr>
        <w:t xml:space="preserve"> </w:t>
      </w:r>
      <w:r>
        <w:t>proposed</w:t>
      </w:r>
      <w:r>
        <w:rPr>
          <w:spacing w:val="-10"/>
        </w:rPr>
        <w:t xml:space="preserve"> </w:t>
      </w:r>
      <w:r>
        <w:t>changes</w:t>
      </w:r>
      <w:r>
        <w:rPr>
          <w:spacing w:val="-11"/>
        </w:rPr>
        <w:t xml:space="preserve"> </w:t>
      </w:r>
      <w:r>
        <w:t>to</w:t>
      </w:r>
      <w:r>
        <w:rPr>
          <w:spacing w:val="-8"/>
        </w:rPr>
        <w:t xml:space="preserve"> </w:t>
      </w:r>
      <w:r>
        <w:t>the</w:t>
      </w:r>
      <w:r>
        <w:rPr>
          <w:spacing w:val="-11"/>
        </w:rPr>
        <w:t xml:space="preserve"> </w:t>
      </w:r>
      <w:r>
        <w:t>MassHealth</w:t>
      </w:r>
      <w:r>
        <w:rPr>
          <w:spacing w:val="-10"/>
        </w:rPr>
        <w:t xml:space="preserve"> </w:t>
      </w:r>
      <w:r>
        <w:t>program</w:t>
      </w:r>
      <w:r>
        <w:rPr>
          <w:spacing w:val="-10"/>
        </w:rPr>
        <w:t xml:space="preserve"> </w:t>
      </w:r>
      <w:r>
        <w:t>that</w:t>
      </w:r>
      <w:r>
        <w:rPr>
          <w:spacing w:val="-11"/>
        </w:rPr>
        <w:t xml:space="preserve"> </w:t>
      </w:r>
      <w:r>
        <w:t>would</w:t>
      </w:r>
      <w:r>
        <w:rPr>
          <w:spacing w:val="-10"/>
        </w:rPr>
        <w:t xml:space="preserve"> </w:t>
      </w:r>
      <w:r>
        <w:t>restrict</w:t>
      </w:r>
      <w:r>
        <w:rPr>
          <w:spacing w:val="-11"/>
        </w:rPr>
        <w:t xml:space="preserve"> </w:t>
      </w:r>
      <w:r>
        <w:t>access</w:t>
      </w:r>
      <w:r>
        <w:rPr>
          <w:spacing w:val="-9"/>
        </w:rPr>
        <w:t xml:space="preserve"> </w:t>
      </w:r>
      <w:r>
        <w:t>to care for members,</w:t>
      </w:r>
      <w:r>
        <w:rPr>
          <w:spacing w:val="-37"/>
        </w:rPr>
        <w:t xml:space="preserve"> </w:t>
      </w:r>
      <w:r>
        <w:t>including:</w:t>
      </w:r>
    </w:p>
    <w:p w:rsidR="002C5025" w:rsidRDefault="002C5025">
      <w:pPr>
        <w:pStyle w:val="ListParagraph"/>
        <w:numPr>
          <w:ilvl w:val="0"/>
          <w:numId w:val="95"/>
        </w:numPr>
        <w:tabs>
          <w:tab w:val="left" w:pos="841"/>
        </w:tabs>
        <w:kinsoku w:val="0"/>
        <w:overflowPunct w:val="0"/>
        <w:spacing w:before="9" w:line="266" w:lineRule="exact"/>
        <w:ind w:left="839" w:right="282" w:hanging="359"/>
        <w:rPr>
          <w:rFonts w:ascii="Calibri" w:hAnsi="Calibri" w:cs="Calibri"/>
          <w:spacing w:val="-3"/>
          <w:sz w:val="22"/>
          <w:szCs w:val="22"/>
        </w:rPr>
      </w:pPr>
      <w:r>
        <w:rPr>
          <w:rFonts w:ascii="Calibri" w:hAnsi="Calibri" w:cs="Calibri"/>
          <w:sz w:val="22"/>
          <w:szCs w:val="22"/>
        </w:rPr>
        <w:t>Eliminating</w:t>
      </w:r>
      <w:r>
        <w:rPr>
          <w:rFonts w:ascii="Calibri" w:hAnsi="Calibri" w:cs="Calibri"/>
          <w:spacing w:val="-11"/>
          <w:sz w:val="22"/>
          <w:szCs w:val="22"/>
        </w:rPr>
        <w:t xml:space="preserve"> </w:t>
      </w:r>
      <w:r>
        <w:rPr>
          <w:rFonts w:ascii="Calibri" w:hAnsi="Calibri" w:cs="Calibri"/>
          <w:sz w:val="22"/>
          <w:szCs w:val="22"/>
        </w:rPr>
        <w:t>coverage</w:t>
      </w:r>
      <w:r>
        <w:rPr>
          <w:rFonts w:ascii="Calibri" w:hAnsi="Calibri" w:cs="Calibri"/>
          <w:spacing w:val="-12"/>
          <w:sz w:val="22"/>
          <w:szCs w:val="22"/>
        </w:rPr>
        <w:t xml:space="preserve"> </w:t>
      </w:r>
      <w:r>
        <w:rPr>
          <w:rFonts w:ascii="Calibri" w:hAnsi="Calibri" w:cs="Calibri"/>
          <w:sz w:val="22"/>
          <w:szCs w:val="22"/>
        </w:rPr>
        <w:t>of</w:t>
      </w:r>
      <w:r>
        <w:rPr>
          <w:rFonts w:ascii="Calibri" w:hAnsi="Calibri" w:cs="Calibri"/>
          <w:spacing w:val="-10"/>
          <w:sz w:val="22"/>
          <w:szCs w:val="22"/>
        </w:rPr>
        <w:t xml:space="preserve"> </w:t>
      </w:r>
      <w:r>
        <w:rPr>
          <w:rFonts w:ascii="Calibri" w:hAnsi="Calibri" w:cs="Calibri"/>
          <w:sz w:val="22"/>
          <w:szCs w:val="22"/>
        </w:rPr>
        <w:t>chiropractic</w:t>
      </w:r>
      <w:r>
        <w:rPr>
          <w:rFonts w:ascii="Calibri" w:hAnsi="Calibri" w:cs="Calibri"/>
          <w:spacing w:val="-10"/>
          <w:sz w:val="22"/>
          <w:szCs w:val="22"/>
        </w:rPr>
        <w:t xml:space="preserve"> </w:t>
      </w:r>
      <w:r>
        <w:rPr>
          <w:rFonts w:ascii="Calibri" w:hAnsi="Calibri" w:cs="Calibri"/>
          <w:sz w:val="22"/>
          <w:szCs w:val="22"/>
        </w:rPr>
        <w:t>services,</w:t>
      </w:r>
      <w:r>
        <w:rPr>
          <w:rFonts w:ascii="Calibri" w:hAnsi="Calibri" w:cs="Calibri"/>
          <w:spacing w:val="-9"/>
          <w:sz w:val="22"/>
          <w:szCs w:val="22"/>
        </w:rPr>
        <w:t xml:space="preserve"> </w:t>
      </w:r>
      <w:r>
        <w:rPr>
          <w:rFonts w:ascii="Calibri" w:hAnsi="Calibri" w:cs="Calibri"/>
          <w:sz w:val="22"/>
          <w:szCs w:val="22"/>
        </w:rPr>
        <w:t>eye</w:t>
      </w:r>
      <w:r>
        <w:rPr>
          <w:rFonts w:ascii="Calibri" w:hAnsi="Calibri" w:cs="Calibri"/>
          <w:spacing w:val="-10"/>
          <w:sz w:val="22"/>
          <w:szCs w:val="22"/>
        </w:rPr>
        <w:t xml:space="preserve"> </w:t>
      </w:r>
      <w:r>
        <w:rPr>
          <w:rFonts w:ascii="Calibri" w:hAnsi="Calibri" w:cs="Calibri"/>
          <w:sz w:val="22"/>
          <w:szCs w:val="22"/>
        </w:rPr>
        <w:t>glasses,</w:t>
      </w:r>
      <w:r>
        <w:rPr>
          <w:rFonts w:ascii="Calibri" w:hAnsi="Calibri" w:cs="Calibri"/>
          <w:spacing w:val="-9"/>
          <w:sz w:val="22"/>
          <w:szCs w:val="22"/>
        </w:rPr>
        <w:t xml:space="preserve"> </w:t>
      </w:r>
      <w:r>
        <w:rPr>
          <w:rFonts w:ascii="Calibri" w:hAnsi="Calibri" w:cs="Calibri"/>
          <w:sz w:val="22"/>
          <w:szCs w:val="22"/>
        </w:rPr>
        <w:t>hearing</w:t>
      </w:r>
      <w:r>
        <w:rPr>
          <w:rFonts w:ascii="Calibri" w:hAnsi="Calibri" w:cs="Calibri"/>
          <w:spacing w:val="-11"/>
          <w:sz w:val="22"/>
          <w:szCs w:val="22"/>
        </w:rPr>
        <w:t xml:space="preserve"> </w:t>
      </w:r>
      <w:r>
        <w:rPr>
          <w:rFonts w:ascii="Calibri" w:hAnsi="Calibri" w:cs="Calibri"/>
          <w:sz w:val="22"/>
          <w:szCs w:val="22"/>
        </w:rPr>
        <w:t>aids,</w:t>
      </w:r>
      <w:r>
        <w:rPr>
          <w:rFonts w:ascii="Calibri" w:hAnsi="Calibri" w:cs="Calibri"/>
          <w:spacing w:val="-10"/>
          <w:sz w:val="22"/>
          <w:szCs w:val="22"/>
        </w:rPr>
        <w:t xml:space="preserve"> </w:t>
      </w:r>
      <w:r>
        <w:rPr>
          <w:rFonts w:ascii="Calibri" w:hAnsi="Calibri" w:cs="Calibri"/>
          <w:sz w:val="22"/>
          <w:szCs w:val="22"/>
        </w:rPr>
        <w:t>orthotics</w:t>
      </w:r>
      <w:r>
        <w:rPr>
          <w:rFonts w:ascii="Calibri" w:hAnsi="Calibri" w:cs="Calibri"/>
          <w:spacing w:val="-10"/>
          <w:sz w:val="22"/>
          <w:szCs w:val="22"/>
        </w:rPr>
        <w:t xml:space="preserve"> </w:t>
      </w:r>
      <w:r>
        <w:rPr>
          <w:rFonts w:ascii="Calibri" w:hAnsi="Calibri" w:cs="Calibri"/>
          <w:sz w:val="22"/>
          <w:szCs w:val="22"/>
        </w:rPr>
        <w:t>or</w:t>
      </w:r>
      <w:r>
        <w:rPr>
          <w:rFonts w:ascii="Calibri" w:hAnsi="Calibri" w:cs="Calibri"/>
          <w:spacing w:val="-10"/>
          <w:sz w:val="22"/>
          <w:szCs w:val="22"/>
        </w:rPr>
        <w:t xml:space="preserve"> </w:t>
      </w:r>
      <w:r>
        <w:rPr>
          <w:rFonts w:ascii="Calibri" w:hAnsi="Calibri" w:cs="Calibri"/>
          <w:sz w:val="22"/>
          <w:szCs w:val="22"/>
        </w:rPr>
        <w:t>other</w:t>
      </w:r>
      <w:r>
        <w:rPr>
          <w:rFonts w:ascii="Calibri" w:hAnsi="Calibri" w:cs="Calibri"/>
          <w:spacing w:val="-13"/>
          <w:sz w:val="22"/>
          <w:szCs w:val="22"/>
        </w:rPr>
        <w:t xml:space="preserve"> </w:t>
      </w:r>
      <w:r>
        <w:rPr>
          <w:rFonts w:ascii="Calibri" w:hAnsi="Calibri" w:cs="Calibri"/>
          <w:sz w:val="22"/>
          <w:szCs w:val="22"/>
        </w:rPr>
        <w:t>state plan</w:t>
      </w:r>
      <w:r>
        <w:rPr>
          <w:rFonts w:ascii="Calibri" w:hAnsi="Calibri" w:cs="Calibri"/>
          <w:spacing w:val="-11"/>
          <w:sz w:val="22"/>
          <w:szCs w:val="22"/>
        </w:rPr>
        <w:t xml:space="preserve"> </w:t>
      </w:r>
      <w:r>
        <w:rPr>
          <w:rFonts w:ascii="Calibri" w:hAnsi="Calibri" w:cs="Calibri"/>
          <w:sz w:val="22"/>
          <w:szCs w:val="22"/>
        </w:rPr>
        <w:t>services</w:t>
      </w:r>
      <w:r>
        <w:rPr>
          <w:rFonts w:ascii="Calibri" w:hAnsi="Calibri" w:cs="Calibri"/>
          <w:spacing w:val="-8"/>
          <w:sz w:val="22"/>
          <w:szCs w:val="22"/>
        </w:rPr>
        <w:t xml:space="preserve"> </w:t>
      </w:r>
      <w:r>
        <w:rPr>
          <w:rFonts w:ascii="Calibri" w:hAnsi="Calibri" w:cs="Calibri"/>
          <w:sz w:val="22"/>
          <w:szCs w:val="22"/>
        </w:rPr>
        <w:t>in</w:t>
      </w:r>
      <w:r>
        <w:rPr>
          <w:rFonts w:ascii="Calibri" w:hAnsi="Calibri" w:cs="Calibri"/>
          <w:spacing w:val="-10"/>
          <w:sz w:val="22"/>
          <w:szCs w:val="22"/>
        </w:rPr>
        <w:t xml:space="preserve"> </w:t>
      </w:r>
      <w:r>
        <w:rPr>
          <w:rFonts w:ascii="Calibri" w:hAnsi="Calibri" w:cs="Calibri"/>
          <w:sz w:val="22"/>
          <w:szCs w:val="22"/>
        </w:rPr>
        <w:t>the</w:t>
      </w:r>
      <w:r>
        <w:rPr>
          <w:rFonts w:ascii="Calibri" w:hAnsi="Calibri" w:cs="Calibri"/>
          <w:spacing w:val="-9"/>
          <w:sz w:val="22"/>
          <w:szCs w:val="22"/>
        </w:rPr>
        <w:t xml:space="preserve"> </w:t>
      </w:r>
      <w:r>
        <w:rPr>
          <w:rFonts w:ascii="Calibri" w:hAnsi="Calibri" w:cs="Calibri"/>
          <w:sz w:val="22"/>
          <w:szCs w:val="22"/>
        </w:rPr>
        <w:t>Primary</w:t>
      </w:r>
      <w:r>
        <w:rPr>
          <w:rFonts w:ascii="Calibri" w:hAnsi="Calibri" w:cs="Calibri"/>
          <w:spacing w:val="-5"/>
          <w:sz w:val="22"/>
          <w:szCs w:val="22"/>
        </w:rPr>
        <w:t xml:space="preserve"> </w:t>
      </w:r>
      <w:r>
        <w:rPr>
          <w:rFonts w:ascii="Calibri" w:hAnsi="Calibri" w:cs="Calibri"/>
          <w:sz w:val="22"/>
          <w:szCs w:val="22"/>
        </w:rPr>
        <w:t>Care</w:t>
      </w:r>
      <w:r>
        <w:rPr>
          <w:rFonts w:ascii="Calibri" w:hAnsi="Calibri" w:cs="Calibri"/>
          <w:spacing w:val="-8"/>
          <w:sz w:val="22"/>
          <w:szCs w:val="22"/>
        </w:rPr>
        <w:t xml:space="preserve"> </w:t>
      </w:r>
      <w:r>
        <w:rPr>
          <w:rFonts w:ascii="Calibri" w:hAnsi="Calibri" w:cs="Calibri"/>
          <w:sz w:val="22"/>
          <w:szCs w:val="22"/>
        </w:rPr>
        <w:t>Clinician</w:t>
      </w:r>
      <w:r>
        <w:rPr>
          <w:rFonts w:ascii="Calibri" w:hAnsi="Calibri" w:cs="Calibri"/>
          <w:spacing w:val="-8"/>
          <w:sz w:val="22"/>
          <w:szCs w:val="22"/>
        </w:rPr>
        <w:t xml:space="preserve"> </w:t>
      </w:r>
      <w:r>
        <w:rPr>
          <w:rFonts w:ascii="Calibri" w:hAnsi="Calibri" w:cs="Calibri"/>
          <w:sz w:val="22"/>
          <w:szCs w:val="22"/>
        </w:rPr>
        <w:t>(PCC)</w:t>
      </w:r>
      <w:r>
        <w:rPr>
          <w:rFonts w:ascii="Calibri" w:hAnsi="Calibri" w:cs="Calibri"/>
          <w:spacing w:val="-5"/>
          <w:sz w:val="22"/>
          <w:szCs w:val="22"/>
        </w:rPr>
        <w:t xml:space="preserve"> </w:t>
      </w:r>
      <w:r>
        <w:rPr>
          <w:rFonts w:ascii="Calibri" w:hAnsi="Calibri" w:cs="Calibri"/>
          <w:spacing w:val="-3"/>
          <w:sz w:val="22"/>
          <w:szCs w:val="22"/>
        </w:rPr>
        <w:t>plan;</w:t>
      </w:r>
    </w:p>
    <w:p w:rsidR="002C5025" w:rsidRDefault="002C5025">
      <w:pPr>
        <w:pStyle w:val="ListParagraph"/>
        <w:numPr>
          <w:ilvl w:val="0"/>
          <w:numId w:val="95"/>
        </w:numPr>
        <w:tabs>
          <w:tab w:val="left" w:pos="840"/>
        </w:tabs>
        <w:kinsoku w:val="0"/>
        <w:overflowPunct w:val="0"/>
        <w:spacing w:before="11"/>
        <w:ind w:left="839" w:hanging="360"/>
        <w:rPr>
          <w:rFonts w:ascii="Calibri" w:hAnsi="Calibri" w:cs="Calibri"/>
          <w:sz w:val="22"/>
          <w:szCs w:val="22"/>
        </w:rPr>
      </w:pPr>
      <w:r>
        <w:rPr>
          <w:rFonts w:ascii="Calibri" w:hAnsi="Calibri" w:cs="Calibri"/>
          <w:sz w:val="22"/>
          <w:szCs w:val="22"/>
        </w:rPr>
        <w:t>Increasing</w:t>
      </w:r>
      <w:r>
        <w:rPr>
          <w:rFonts w:ascii="Calibri" w:hAnsi="Calibri" w:cs="Calibri"/>
          <w:spacing w:val="-10"/>
          <w:sz w:val="22"/>
          <w:szCs w:val="22"/>
        </w:rPr>
        <w:t xml:space="preserve"> </w:t>
      </w:r>
      <w:r>
        <w:rPr>
          <w:rFonts w:ascii="Calibri" w:hAnsi="Calibri" w:cs="Calibri"/>
          <w:sz w:val="22"/>
          <w:szCs w:val="22"/>
        </w:rPr>
        <w:t>copays</w:t>
      </w:r>
      <w:r>
        <w:rPr>
          <w:rFonts w:ascii="Calibri" w:hAnsi="Calibri" w:cs="Calibri"/>
          <w:spacing w:val="-6"/>
          <w:sz w:val="22"/>
          <w:szCs w:val="22"/>
        </w:rPr>
        <w:t xml:space="preserve"> </w:t>
      </w:r>
      <w:r>
        <w:rPr>
          <w:rFonts w:ascii="Calibri" w:hAnsi="Calibri" w:cs="Calibri"/>
          <w:sz w:val="22"/>
          <w:szCs w:val="22"/>
        </w:rPr>
        <w:t>for</w:t>
      </w:r>
      <w:r>
        <w:rPr>
          <w:rFonts w:ascii="Calibri" w:hAnsi="Calibri" w:cs="Calibri"/>
          <w:spacing w:val="-10"/>
          <w:sz w:val="22"/>
          <w:szCs w:val="22"/>
        </w:rPr>
        <w:t xml:space="preserve"> </w:t>
      </w:r>
      <w:r>
        <w:rPr>
          <w:rFonts w:ascii="Calibri" w:hAnsi="Calibri" w:cs="Calibri"/>
          <w:sz w:val="22"/>
          <w:szCs w:val="22"/>
        </w:rPr>
        <w:t>members</w:t>
      </w:r>
      <w:r>
        <w:rPr>
          <w:rFonts w:ascii="Calibri" w:hAnsi="Calibri" w:cs="Calibri"/>
          <w:spacing w:val="-8"/>
          <w:sz w:val="22"/>
          <w:szCs w:val="22"/>
        </w:rPr>
        <w:t xml:space="preserve"> </w:t>
      </w:r>
      <w:r>
        <w:rPr>
          <w:rFonts w:ascii="Calibri" w:hAnsi="Calibri" w:cs="Calibri"/>
          <w:sz w:val="22"/>
          <w:szCs w:val="22"/>
        </w:rPr>
        <w:t>enrolled</w:t>
      </w:r>
      <w:r>
        <w:rPr>
          <w:rFonts w:ascii="Calibri" w:hAnsi="Calibri" w:cs="Calibri"/>
          <w:spacing w:val="-9"/>
          <w:sz w:val="22"/>
          <w:szCs w:val="22"/>
        </w:rPr>
        <w:t xml:space="preserve"> </w:t>
      </w:r>
      <w:r>
        <w:rPr>
          <w:rFonts w:ascii="Calibri" w:hAnsi="Calibri" w:cs="Calibri"/>
          <w:sz w:val="22"/>
          <w:szCs w:val="22"/>
        </w:rPr>
        <w:t>in</w:t>
      </w:r>
      <w:r>
        <w:rPr>
          <w:rFonts w:ascii="Calibri" w:hAnsi="Calibri" w:cs="Calibri"/>
          <w:spacing w:val="-10"/>
          <w:sz w:val="22"/>
          <w:szCs w:val="22"/>
        </w:rPr>
        <w:t xml:space="preserve"> </w:t>
      </w:r>
      <w:r>
        <w:rPr>
          <w:rFonts w:ascii="Calibri" w:hAnsi="Calibri" w:cs="Calibri"/>
          <w:sz w:val="22"/>
          <w:szCs w:val="22"/>
        </w:rPr>
        <w:t>the</w:t>
      </w:r>
      <w:r>
        <w:rPr>
          <w:rFonts w:ascii="Calibri" w:hAnsi="Calibri" w:cs="Calibri"/>
          <w:spacing w:val="-10"/>
          <w:sz w:val="22"/>
          <w:szCs w:val="22"/>
        </w:rPr>
        <w:t xml:space="preserve"> </w:t>
      </w:r>
      <w:r>
        <w:rPr>
          <w:rFonts w:ascii="Calibri" w:hAnsi="Calibri" w:cs="Calibri"/>
          <w:sz w:val="22"/>
          <w:szCs w:val="22"/>
        </w:rPr>
        <w:t>PCC</w:t>
      </w:r>
      <w:r>
        <w:rPr>
          <w:rFonts w:ascii="Calibri" w:hAnsi="Calibri" w:cs="Calibri"/>
          <w:spacing w:val="-6"/>
          <w:sz w:val="22"/>
          <w:szCs w:val="22"/>
        </w:rPr>
        <w:t xml:space="preserve"> </w:t>
      </w:r>
      <w:r>
        <w:rPr>
          <w:rFonts w:ascii="Calibri" w:hAnsi="Calibri" w:cs="Calibri"/>
          <w:sz w:val="22"/>
          <w:szCs w:val="22"/>
        </w:rPr>
        <w:t>plan,</w:t>
      </w:r>
      <w:r>
        <w:rPr>
          <w:rFonts w:ascii="Calibri" w:hAnsi="Calibri" w:cs="Calibri"/>
          <w:spacing w:val="-6"/>
          <w:sz w:val="22"/>
          <w:szCs w:val="22"/>
        </w:rPr>
        <w:t xml:space="preserve"> </w:t>
      </w:r>
      <w:r>
        <w:rPr>
          <w:rFonts w:ascii="Calibri" w:hAnsi="Calibri" w:cs="Calibri"/>
          <w:sz w:val="22"/>
          <w:szCs w:val="22"/>
        </w:rPr>
        <w:t>in</w:t>
      </w:r>
      <w:r>
        <w:rPr>
          <w:rFonts w:ascii="Calibri" w:hAnsi="Calibri" w:cs="Calibri"/>
          <w:spacing w:val="-9"/>
          <w:sz w:val="22"/>
          <w:szCs w:val="22"/>
        </w:rPr>
        <w:t xml:space="preserve"> </w:t>
      </w:r>
      <w:r>
        <w:rPr>
          <w:rFonts w:ascii="Calibri" w:hAnsi="Calibri" w:cs="Calibri"/>
          <w:sz w:val="22"/>
          <w:szCs w:val="22"/>
        </w:rPr>
        <w:t>relation</w:t>
      </w:r>
      <w:r>
        <w:rPr>
          <w:rFonts w:ascii="Calibri" w:hAnsi="Calibri" w:cs="Calibri"/>
          <w:spacing w:val="-9"/>
          <w:sz w:val="22"/>
          <w:szCs w:val="22"/>
        </w:rPr>
        <w:t xml:space="preserve"> </w:t>
      </w:r>
      <w:r>
        <w:rPr>
          <w:rFonts w:ascii="Calibri" w:hAnsi="Calibri" w:cs="Calibri"/>
          <w:sz w:val="22"/>
          <w:szCs w:val="22"/>
        </w:rPr>
        <w:t>to</w:t>
      </w:r>
      <w:r>
        <w:rPr>
          <w:rFonts w:ascii="Calibri" w:hAnsi="Calibri" w:cs="Calibri"/>
          <w:spacing w:val="-10"/>
          <w:sz w:val="22"/>
          <w:szCs w:val="22"/>
        </w:rPr>
        <w:t xml:space="preserve"> </w:t>
      </w:r>
      <w:r>
        <w:rPr>
          <w:rFonts w:ascii="Calibri" w:hAnsi="Calibri" w:cs="Calibri"/>
          <w:sz w:val="22"/>
          <w:szCs w:val="22"/>
        </w:rPr>
        <w:t>MCO</w:t>
      </w:r>
      <w:r>
        <w:rPr>
          <w:rFonts w:ascii="Calibri" w:hAnsi="Calibri" w:cs="Calibri"/>
          <w:spacing w:val="-11"/>
          <w:sz w:val="22"/>
          <w:szCs w:val="22"/>
        </w:rPr>
        <w:t xml:space="preserve"> </w:t>
      </w:r>
      <w:r>
        <w:rPr>
          <w:rFonts w:ascii="Calibri" w:hAnsi="Calibri" w:cs="Calibri"/>
          <w:sz w:val="22"/>
          <w:szCs w:val="22"/>
        </w:rPr>
        <w:t>members;</w:t>
      </w:r>
    </w:p>
    <w:p w:rsidR="002C5025" w:rsidRDefault="002C5025">
      <w:pPr>
        <w:pStyle w:val="ListParagraph"/>
        <w:numPr>
          <w:ilvl w:val="0"/>
          <w:numId w:val="95"/>
        </w:numPr>
        <w:tabs>
          <w:tab w:val="left" w:pos="840"/>
        </w:tabs>
        <w:kinsoku w:val="0"/>
        <w:overflowPunct w:val="0"/>
        <w:spacing w:line="277" w:lineRule="exact"/>
        <w:ind w:left="839" w:hanging="360"/>
        <w:rPr>
          <w:rFonts w:ascii="Calibri" w:hAnsi="Calibri" w:cs="Calibri"/>
          <w:spacing w:val="-3"/>
          <w:sz w:val="22"/>
          <w:szCs w:val="22"/>
        </w:rPr>
      </w:pPr>
      <w:r>
        <w:rPr>
          <w:rFonts w:ascii="Calibri" w:hAnsi="Calibri" w:cs="Calibri"/>
          <w:sz w:val="22"/>
          <w:szCs w:val="22"/>
        </w:rPr>
        <w:t>Expanding</w:t>
      </w:r>
      <w:r>
        <w:rPr>
          <w:rFonts w:ascii="Calibri" w:hAnsi="Calibri" w:cs="Calibri"/>
          <w:spacing w:val="-8"/>
          <w:sz w:val="22"/>
          <w:szCs w:val="22"/>
        </w:rPr>
        <w:t xml:space="preserve"> </w:t>
      </w:r>
      <w:r>
        <w:rPr>
          <w:rFonts w:ascii="Calibri" w:hAnsi="Calibri" w:cs="Calibri"/>
          <w:sz w:val="22"/>
          <w:szCs w:val="22"/>
        </w:rPr>
        <w:t>the</w:t>
      </w:r>
      <w:r>
        <w:rPr>
          <w:rFonts w:ascii="Calibri" w:hAnsi="Calibri" w:cs="Calibri"/>
          <w:spacing w:val="-4"/>
          <w:sz w:val="22"/>
          <w:szCs w:val="22"/>
        </w:rPr>
        <w:t xml:space="preserve"> </w:t>
      </w:r>
      <w:r>
        <w:rPr>
          <w:rFonts w:ascii="Calibri" w:hAnsi="Calibri" w:cs="Calibri"/>
          <w:sz w:val="22"/>
          <w:szCs w:val="22"/>
        </w:rPr>
        <w:t>list</w:t>
      </w:r>
      <w:r>
        <w:rPr>
          <w:rFonts w:ascii="Calibri" w:hAnsi="Calibri" w:cs="Calibri"/>
          <w:spacing w:val="-9"/>
          <w:sz w:val="22"/>
          <w:szCs w:val="22"/>
        </w:rPr>
        <w:t xml:space="preserve"> </w:t>
      </w:r>
      <w:r>
        <w:rPr>
          <w:rFonts w:ascii="Calibri" w:hAnsi="Calibri" w:cs="Calibri"/>
          <w:sz w:val="22"/>
          <w:szCs w:val="22"/>
        </w:rPr>
        <w:t>of</w:t>
      </w:r>
      <w:r>
        <w:rPr>
          <w:rFonts w:ascii="Calibri" w:hAnsi="Calibri" w:cs="Calibri"/>
          <w:spacing w:val="-7"/>
          <w:sz w:val="22"/>
          <w:szCs w:val="22"/>
        </w:rPr>
        <w:t xml:space="preserve"> </w:t>
      </w:r>
      <w:r>
        <w:rPr>
          <w:rFonts w:ascii="Calibri" w:hAnsi="Calibri" w:cs="Calibri"/>
          <w:sz w:val="22"/>
          <w:szCs w:val="22"/>
        </w:rPr>
        <w:t>services</w:t>
      </w:r>
      <w:r>
        <w:rPr>
          <w:rFonts w:ascii="Calibri" w:hAnsi="Calibri" w:cs="Calibri"/>
          <w:spacing w:val="-7"/>
          <w:sz w:val="22"/>
          <w:szCs w:val="22"/>
        </w:rPr>
        <w:t xml:space="preserve"> </w:t>
      </w:r>
      <w:r>
        <w:rPr>
          <w:rFonts w:ascii="Calibri" w:hAnsi="Calibri" w:cs="Calibri"/>
          <w:sz w:val="22"/>
          <w:szCs w:val="22"/>
        </w:rPr>
        <w:t>to</w:t>
      </w:r>
      <w:r>
        <w:rPr>
          <w:rFonts w:ascii="Calibri" w:hAnsi="Calibri" w:cs="Calibri"/>
          <w:spacing w:val="-6"/>
          <w:sz w:val="22"/>
          <w:szCs w:val="22"/>
        </w:rPr>
        <w:t xml:space="preserve"> </w:t>
      </w:r>
      <w:r>
        <w:rPr>
          <w:rFonts w:ascii="Calibri" w:hAnsi="Calibri" w:cs="Calibri"/>
          <w:sz w:val="22"/>
          <w:szCs w:val="22"/>
        </w:rPr>
        <w:t>which</w:t>
      </w:r>
      <w:r>
        <w:rPr>
          <w:rFonts w:ascii="Calibri" w:hAnsi="Calibri" w:cs="Calibri"/>
          <w:spacing w:val="-11"/>
          <w:sz w:val="22"/>
          <w:szCs w:val="22"/>
        </w:rPr>
        <w:t xml:space="preserve"> </w:t>
      </w:r>
      <w:r>
        <w:rPr>
          <w:rFonts w:ascii="Calibri" w:hAnsi="Calibri" w:cs="Calibri"/>
          <w:sz w:val="22"/>
          <w:szCs w:val="22"/>
        </w:rPr>
        <w:t>copays</w:t>
      </w:r>
      <w:r>
        <w:rPr>
          <w:rFonts w:ascii="Calibri" w:hAnsi="Calibri" w:cs="Calibri"/>
          <w:spacing w:val="-5"/>
          <w:sz w:val="22"/>
          <w:szCs w:val="22"/>
        </w:rPr>
        <w:t xml:space="preserve"> </w:t>
      </w:r>
      <w:r>
        <w:rPr>
          <w:rFonts w:ascii="Calibri" w:hAnsi="Calibri" w:cs="Calibri"/>
          <w:sz w:val="22"/>
          <w:szCs w:val="22"/>
        </w:rPr>
        <w:t>apply;</w:t>
      </w:r>
      <w:r>
        <w:rPr>
          <w:rFonts w:ascii="Calibri" w:hAnsi="Calibri" w:cs="Calibri"/>
          <w:spacing w:val="-2"/>
          <w:sz w:val="22"/>
          <w:szCs w:val="22"/>
        </w:rPr>
        <w:t xml:space="preserve"> </w:t>
      </w:r>
      <w:r>
        <w:rPr>
          <w:rFonts w:ascii="Calibri" w:hAnsi="Calibri" w:cs="Calibri"/>
          <w:spacing w:val="-3"/>
          <w:sz w:val="22"/>
          <w:szCs w:val="22"/>
        </w:rPr>
        <w:t>and</w:t>
      </w:r>
    </w:p>
    <w:p w:rsidR="002C5025" w:rsidRDefault="002C5025">
      <w:pPr>
        <w:pStyle w:val="ListParagraph"/>
        <w:numPr>
          <w:ilvl w:val="0"/>
          <w:numId w:val="95"/>
        </w:numPr>
        <w:tabs>
          <w:tab w:val="left" w:pos="840"/>
        </w:tabs>
        <w:kinsoku w:val="0"/>
        <w:overflowPunct w:val="0"/>
        <w:spacing w:line="277" w:lineRule="exact"/>
        <w:ind w:left="839" w:hanging="360"/>
        <w:rPr>
          <w:rFonts w:ascii="Calibri" w:hAnsi="Calibri" w:cs="Calibri"/>
          <w:spacing w:val="-4"/>
          <w:sz w:val="22"/>
          <w:szCs w:val="22"/>
        </w:rPr>
      </w:pPr>
      <w:r>
        <w:rPr>
          <w:rFonts w:ascii="Calibri" w:hAnsi="Calibri" w:cs="Calibri"/>
          <w:sz w:val="22"/>
          <w:szCs w:val="22"/>
        </w:rPr>
        <w:t>Potentially</w:t>
      </w:r>
      <w:r>
        <w:rPr>
          <w:rFonts w:ascii="Calibri" w:hAnsi="Calibri" w:cs="Calibri"/>
          <w:spacing w:val="-7"/>
          <w:sz w:val="22"/>
          <w:szCs w:val="22"/>
        </w:rPr>
        <w:t xml:space="preserve"> </w:t>
      </w:r>
      <w:r>
        <w:rPr>
          <w:rFonts w:ascii="Calibri" w:hAnsi="Calibri" w:cs="Calibri"/>
          <w:sz w:val="22"/>
          <w:szCs w:val="22"/>
        </w:rPr>
        <w:t>increasing</w:t>
      </w:r>
      <w:r>
        <w:rPr>
          <w:rFonts w:ascii="Calibri" w:hAnsi="Calibri" w:cs="Calibri"/>
          <w:spacing w:val="-8"/>
          <w:sz w:val="22"/>
          <w:szCs w:val="22"/>
        </w:rPr>
        <w:t xml:space="preserve"> </w:t>
      </w:r>
      <w:r>
        <w:rPr>
          <w:rFonts w:ascii="Calibri" w:hAnsi="Calibri" w:cs="Calibri"/>
          <w:sz w:val="22"/>
          <w:szCs w:val="22"/>
        </w:rPr>
        <w:t>premiums</w:t>
      </w:r>
      <w:r>
        <w:rPr>
          <w:rFonts w:ascii="Calibri" w:hAnsi="Calibri" w:cs="Calibri"/>
          <w:spacing w:val="-9"/>
          <w:sz w:val="22"/>
          <w:szCs w:val="22"/>
        </w:rPr>
        <w:t xml:space="preserve"> </w:t>
      </w:r>
      <w:r>
        <w:rPr>
          <w:rFonts w:ascii="Calibri" w:hAnsi="Calibri" w:cs="Calibri"/>
          <w:sz w:val="22"/>
          <w:szCs w:val="22"/>
        </w:rPr>
        <w:t>for</w:t>
      </w:r>
      <w:r>
        <w:rPr>
          <w:rFonts w:ascii="Calibri" w:hAnsi="Calibri" w:cs="Calibri"/>
          <w:spacing w:val="-9"/>
          <w:sz w:val="22"/>
          <w:szCs w:val="22"/>
        </w:rPr>
        <w:t xml:space="preserve"> </w:t>
      </w:r>
      <w:r>
        <w:rPr>
          <w:rFonts w:ascii="Calibri" w:hAnsi="Calibri" w:cs="Calibri"/>
          <w:sz w:val="22"/>
          <w:szCs w:val="22"/>
        </w:rPr>
        <w:t>enrollees</w:t>
      </w:r>
      <w:r>
        <w:rPr>
          <w:rFonts w:ascii="Calibri" w:hAnsi="Calibri" w:cs="Calibri"/>
          <w:spacing w:val="-9"/>
          <w:sz w:val="22"/>
          <w:szCs w:val="22"/>
        </w:rPr>
        <w:t xml:space="preserve"> </w:t>
      </w:r>
      <w:r>
        <w:rPr>
          <w:rFonts w:ascii="Calibri" w:hAnsi="Calibri" w:cs="Calibri"/>
          <w:sz w:val="22"/>
          <w:szCs w:val="22"/>
        </w:rPr>
        <w:t>with</w:t>
      </w:r>
      <w:r>
        <w:rPr>
          <w:rFonts w:ascii="Calibri" w:hAnsi="Calibri" w:cs="Calibri"/>
          <w:spacing w:val="-10"/>
          <w:sz w:val="22"/>
          <w:szCs w:val="22"/>
        </w:rPr>
        <w:t xml:space="preserve"> </w:t>
      </w:r>
      <w:r>
        <w:rPr>
          <w:rFonts w:ascii="Calibri" w:hAnsi="Calibri" w:cs="Calibri"/>
          <w:sz w:val="22"/>
          <w:szCs w:val="22"/>
        </w:rPr>
        <w:t>incomes</w:t>
      </w:r>
      <w:r>
        <w:rPr>
          <w:rFonts w:ascii="Calibri" w:hAnsi="Calibri" w:cs="Calibri"/>
          <w:spacing w:val="-8"/>
          <w:sz w:val="22"/>
          <w:szCs w:val="22"/>
        </w:rPr>
        <w:t xml:space="preserve"> </w:t>
      </w:r>
      <w:r>
        <w:rPr>
          <w:rFonts w:ascii="Calibri" w:hAnsi="Calibri" w:cs="Calibri"/>
          <w:sz w:val="22"/>
          <w:szCs w:val="22"/>
        </w:rPr>
        <w:t>at</w:t>
      </w:r>
      <w:r>
        <w:rPr>
          <w:rFonts w:ascii="Calibri" w:hAnsi="Calibri" w:cs="Calibri"/>
          <w:spacing w:val="-11"/>
          <w:sz w:val="22"/>
          <w:szCs w:val="22"/>
        </w:rPr>
        <w:t xml:space="preserve"> </w:t>
      </w:r>
      <w:r>
        <w:rPr>
          <w:rFonts w:ascii="Calibri" w:hAnsi="Calibri" w:cs="Calibri"/>
          <w:sz w:val="22"/>
          <w:szCs w:val="22"/>
        </w:rPr>
        <w:t>or</w:t>
      </w:r>
      <w:r>
        <w:rPr>
          <w:rFonts w:ascii="Calibri" w:hAnsi="Calibri" w:cs="Calibri"/>
          <w:spacing w:val="-9"/>
          <w:sz w:val="22"/>
          <w:szCs w:val="22"/>
        </w:rPr>
        <w:t xml:space="preserve"> </w:t>
      </w:r>
      <w:r>
        <w:rPr>
          <w:rFonts w:ascii="Calibri" w:hAnsi="Calibri" w:cs="Calibri"/>
          <w:sz w:val="22"/>
          <w:szCs w:val="22"/>
        </w:rPr>
        <w:t>above</w:t>
      </w:r>
      <w:r>
        <w:rPr>
          <w:rFonts w:ascii="Calibri" w:hAnsi="Calibri" w:cs="Calibri"/>
          <w:spacing w:val="-11"/>
          <w:sz w:val="22"/>
          <w:szCs w:val="22"/>
        </w:rPr>
        <w:t xml:space="preserve"> </w:t>
      </w:r>
      <w:r>
        <w:rPr>
          <w:rFonts w:ascii="Calibri" w:hAnsi="Calibri" w:cs="Calibri"/>
          <w:sz w:val="22"/>
          <w:szCs w:val="22"/>
        </w:rPr>
        <w:t>150%</w:t>
      </w:r>
      <w:r>
        <w:rPr>
          <w:rFonts w:ascii="Calibri" w:hAnsi="Calibri" w:cs="Calibri"/>
          <w:spacing w:val="-7"/>
          <w:sz w:val="22"/>
          <w:szCs w:val="22"/>
        </w:rPr>
        <w:t xml:space="preserve"> </w:t>
      </w:r>
      <w:r>
        <w:rPr>
          <w:rFonts w:ascii="Calibri" w:hAnsi="Calibri" w:cs="Calibri"/>
          <w:spacing w:val="-4"/>
          <w:sz w:val="22"/>
          <w:szCs w:val="22"/>
        </w:rPr>
        <w:t>FPL.</w:t>
      </w:r>
    </w:p>
    <w:p w:rsidR="002C5025" w:rsidRDefault="002C5025">
      <w:pPr>
        <w:pStyle w:val="BodyText"/>
        <w:kinsoku w:val="0"/>
        <w:overflowPunct w:val="0"/>
        <w:rPr>
          <w:sz w:val="20"/>
          <w:szCs w:val="20"/>
        </w:rPr>
      </w:pPr>
    </w:p>
    <w:p w:rsidR="002C5025" w:rsidRDefault="002C5025">
      <w:pPr>
        <w:pStyle w:val="BodyText"/>
        <w:kinsoku w:val="0"/>
        <w:overflowPunct w:val="0"/>
        <w:spacing w:before="6"/>
        <w:rPr>
          <w:sz w:val="19"/>
          <w:szCs w:val="19"/>
        </w:rPr>
      </w:pPr>
    </w:p>
    <w:p w:rsidR="002C5025" w:rsidRDefault="002C5025">
      <w:pPr>
        <w:pStyle w:val="BodyText"/>
        <w:kinsoku w:val="0"/>
        <w:overflowPunct w:val="0"/>
        <w:ind w:left="124"/>
        <w:jc w:val="center"/>
        <w:rPr>
          <w:w w:val="99"/>
          <w:sz w:val="20"/>
          <w:szCs w:val="20"/>
        </w:rPr>
      </w:pPr>
      <w:r>
        <w:rPr>
          <w:w w:val="99"/>
          <w:sz w:val="20"/>
          <w:szCs w:val="20"/>
        </w:rPr>
        <w:t>1</w:t>
      </w:r>
    </w:p>
    <w:p w:rsidR="002C5025" w:rsidRDefault="002C5025">
      <w:pPr>
        <w:pStyle w:val="BodyText"/>
        <w:kinsoku w:val="0"/>
        <w:overflowPunct w:val="0"/>
        <w:ind w:left="124"/>
        <w:jc w:val="center"/>
        <w:rPr>
          <w:w w:val="99"/>
          <w:sz w:val="20"/>
          <w:szCs w:val="20"/>
        </w:rPr>
        <w:sectPr w:rsidR="002C5025">
          <w:pgSz w:w="12240" w:h="15840"/>
          <w:pgMar w:top="1500" w:right="1440" w:bottom="280" w:left="1320" w:header="720" w:footer="720" w:gutter="0"/>
          <w:cols w:space="720" w:equalWidth="0">
            <w:col w:w="9480"/>
          </w:cols>
          <w:noEndnote/>
        </w:sectPr>
      </w:pPr>
    </w:p>
    <w:p w:rsidR="002C5025" w:rsidRDefault="002C5025">
      <w:pPr>
        <w:pStyle w:val="BodyText"/>
        <w:kinsoku w:val="0"/>
        <w:overflowPunct w:val="0"/>
        <w:spacing w:before="34"/>
        <w:ind w:left="120" w:right="814"/>
        <w:rPr>
          <w:b/>
          <w:bCs/>
          <w:i/>
          <w:iCs/>
        </w:rPr>
      </w:pPr>
      <w:r>
        <w:rPr>
          <w:b/>
          <w:bCs/>
          <w:i/>
          <w:iCs/>
        </w:rPr>
        <w:lastRenderedPageBreak/>
        <w:t>PCC Plan Changes</w:t>
      </w:r>
    </w:p>
    <w:p w:rsidR="002C5025" w:rsidRDefault="002C5025">
      <w:pPr>
        <w:pStyle w:val="BodyText"/>
        <w:kinsoku w:val="0"/>
        <w:overflowPunct w:val="0"/>
        <w:ind w:left="118" w:right="10" w:firstLine="1"/>
      </w:pPr>
      <w:r>
        <w:t xml:space="preserve">We understand that MassHealth is proposing changes to the PCC Plan in order to incentive members to enroll in an MCO and one of the </w:t>
      </w:r>
      <w:r>
        <w:rPr>
          <w:spacing w:val="-2"/>
        </w:rPr>
        <w:t xml:space="preserve">new </w:t>
      </w:r>
      <w:r>
        <w:t xml:space="preserve">ACO models. However, we believe the proposed policies </w:t>
      </w:r>
      <w:r>
        <w:rPr>
          <w:spacing w:val="-3"/>
        </w:rPr>
        <w:t xml:space="preserve">will </w:t>
      </w:r>
      <w:r>
        <w:t xml:space="preserve">impose barriers to care for members remaining in the PCC Plan, particularly for people with disabilities who </w:t>
      </w:r>
      <w:r>
        <w:rPr>
          <w:spacing w:val="-3"/>
        </w:rPr>
        <w:t xml:space="preserve">have </w:t>
      </w:r>
      <w:r>
        <w:t xml:space="preserve">established relationships with their </w:t>
      </w:r>
      <w:r>
        <w:rPr>
          <w:spacing w:val="-3"/>
        </w:rPr>
        <w:t xml:space="preserve">providers. </w:t>
      </w:r>
      <w:r>
        <w:t xml:space="preserve">Members should </w:t>
      </w:r>
      <w:r>
        <w:rPr>
          <w:spacing w:val="-2"/>
        </w:rPr>
        <w:t xml:space="preserve">not </w:t>
      </w:r>
      <w:r>
        <w:t xml:space="preserve">have to choose between seeing their preferred providers and having access to the full range of MassHealth benefits. We </w:t>
      </w:r>
      <w:r>
        <w:rPr>
          <w:spacing w:val="-3"/>
        </w:rPr>
        <w:t xml:space="preserve">urge </w:t>
      </w:r>
      <w:r>
        <w:t>you not to implement PCC Plan benefit reductions or copay increases.</w:t>
      </w:r>
    </w:p>
    <w:p w:rsidR="002C5025" w:rsidRDefault="002C5025">
      <w:pPr>
        <w:pStyle w:val="BodyText"/>
        <w:kinsoku w:val="0"/>
        <w:overflowPunct w:val="0"/>
      </w:pPr>
    </w:p>
    <w:p w:rsidR="002C5025" w:rsidRDefault="002C5025">
      <w:pPr>
        <w:pStyle w:val="BodyText"/>
        <w:kinsoku w:val="0"/>
        <w:overflowPunct w:val="0"/>
        <w:ind w:left="115" w:right="121" w:firstLine="2"/>
      </w:pPr>
      <w:r>
        <w:t>MassHealth</w:t>
      </w:r>
      <w:r>
        <w:rPr>
          <w:spacing w:val="-8"/>
        </w:rPr>
        <w:t xml:space="preserve"> </w:t>
      </w:r>
      <w:r>
        <w:t>MCOs</w:t>
      </w:r>
      <w:r>
        <w:rPr>
          <w:spacing w:val="-5"/>
        </w:rPr>
        <w:t xml:space="preserve"> </w:t>
      </w:r>
      <w:r>
        <w:t>provide</w:t>
      </w:r>
      <w:r>
        <w:rPr>
          <w:spacing w:val="-12"/>
        </w:rPr>
        <w:t xml:space="preserve"> </w:t>
      </w:r>
      <w:r>
        <w:t>good</w:t>
      </w:r>
      <w:r>
        <w:rPr>
          <w:spacing w:val="-8"/>
        </w:rPr>
        <w:t xml:space="preserve"> </w:t>
      </w:r>
      <w:r>
        <w:t>quality</w:t>
      </w:r>
      <w:r>
        <w:rPr>
          <w:spacing w:val="-6"/>
        </w:rPr>
        <w:t xml:space="preserve"> </w:t>
      </w:r>
      <w:r>
        <w:t>care</w:t>
      </w:r>
      <w:r>
        <w:rPr>
          <w:spacing w:val="-7"/>
        </w:rPr>
        <w:t xml:space="preserve"> </w:t>
      </w:r>
      <w:r>
        <w:t>and</w:t>
      </w:r>
      <w:r>
        <w:rPr>
          <w:spacing w:val="-8"/>
        </w:rPr>
        <w:t xml:space="preserve"> </w:t>
      </w:r>
      <w:r>
        <w:t>are</w:t>
      </w:r>
      <w:r>
        <w:rPr>
          <w:spacing w:val="-7"/>
        </w:rPr>
        <w:t xml:space="preserve"> </w:t>
      </w:r>
      <w:r>
        <w:t>the</w:t>
      </w:r>
      <w:r>
        <w:rPr>
          <w:spacing w:val="-7"/>
        </w:rPr>
        <w:t xml:space="preserve"> </w:t>
      </w:r>
      <w:r>
        <w:t>right</w:t>
      </w:r>
      <w:r>
        <w:rPr>
          <w:spacing w:val="-5"/>
        </w:rPr>
        <w:t xml:space="preserve"> </w:t>
      </w:r>
      <w:r>
        <w:t>choice</w:t>
      </w:r>
      <w:r>
        <w:rPr>
          <w:spacing w:val="-5"/>
        </w:rPr>
        <w:t xml:space="preserve"> </w:t>
      </w:r>
      <w:r>
        <w:t>for</w:t>
      </w:r>
      <w:r>
        <w:rPr>
          <w:spacing w:val="-10"/>
        </w:rPr>
        <w:t xml:space="preserve"> </w:t>
      </w:r>
      <w:r>
        <w:t>many</w:t>
      </w:r>
      <w:r>
        <w:rPr>
          <w:spacing w:val="-5"/>
        </w:rPr>
        <w:t xml:space="preserve"> </w:t>
      </w:r>
      <w:r>
        <w:t>beneficiaries,</w:t>
      </w:r>
      <w:r>
        <w:rPr>
          <w:spacing w:val="-7"/>
        </w:rPr>
        <w:t xml:space="preserve"> </w:t>
      </w:r>
      <w:r>
        <w:t>but</w:t>
      </w:r>
      <w:r>
        <w:rPr>
          <w:spacing w:val="-6"/>
        </w:rPr>
        <w:t xml:space="preserve"> </w:t>
      </w:r>
      <w:r>
        <w:t>a</w:t>
      </w:r>
      <w:r>
        <w:rPr>
          <w:spacing w:val="-10"/>
        </w:rPr>
        <w:t xml:space="preserve"> </w:t>
      </w:r>
      <w:r>
        <w:rPr>
          <w:spacing w:val="-3"/>
        </w:rPr>
        <w:t xml:space="preserve">MCO </w:t>
      </w:r>
      <w:r>
        <w:t>is</w:t>
      </w:r>
      <w:r>
        <w:rPr>
          <w:spacing w:val="-7"/>
        </w:rPr>
        <w:t xml:space="preserve"> </w:t>
      </w:r>
      <w:r>
        <w:t>not</w:t>
      </w:r>
      <w:r>
        <w:rPr>
          <w:spacing w:val="-10"/>
        </w:rPr>
        <w:t xml:space="preserve"> </w:t>
      </w:r>
      <w:r>
        <w:t>the</w:t>
      </w:r>
      <w:r>
        <w:rPr>
          <w:spacing w:val="-8"/>
        </w:rPr>
        <w:t xml:space="preserve"> </w:t>
      </w:r>
      <w:r>
        <w:t>right</w:t>
      </w:r>
      <w:r>
        <w:rPr>
          <w:spacing w:val="-10"/>
        </w:rPr>
        <w:t xml:space="preserve"> </w:t>
      </w:r>
      <w:r>
        <w:t>choice</w:t>
      </w:r>
      <w:r>
        <w:rPr>
          <w:spacing w:val="-8"/>
        </w:rPr>
        <w:t xml:space="preserve"> </w:t>
      </w:r>
      <w:r>
        <w:t>for</w:t>
      </w:r>
      <w:r>
        <w:rPr>
          <w:spacing w:val="-8"/>
        </w:rPr>
        <w:t xml:space="preserve"> </w:t>
      </w:r>
      <w:r>
        <w:t>everyone.</w:t>
      </w:r>
      <w:r>
        <w:rPr>
          <w:spacing w:val="-11"/>
        </w:rPr>
        <w:t xml:space="preserve"> </w:t>
      </w:r>
      <w:r>
        <w:t>Most</w:t>
      </w:r>
      <w:r>
        <w:rPr>
          <w:spacing w:val="-10"/>
        </w:rPr>
        <w:t xml:space="preserve"> </w:t>
      </w:r>
      <w:r>
        <w:t>MassHealth</w:t>
      </w:r>
      <w:r>
        <w:rPr>
          <w:spacing w:val="-14"/>
        </w:rPr>
        <w:t xml:space="preserve"> </w:t>
      </w:r>
      <w:r>
        <w:t>MCOs’</w:t>
      </w:r>
      <w:r>
        <w:rPr>
          <w:spacing w:val="-11"/>
        </w:rPr>
        <w:t xml:space="preserve"> </w:t>
      </w:r>
      <w:r>
        <w:t>provider</w:t>
      </w:r>
      <w:r>
        <w:rPr>
          <w:spacing w:val="-7"/>
        </w:rPr>
        <w:t xml:space="preserve"> </w:t>
      </w:r>
      <w:r>
        <w:t>networks</w:t>
      </w:r>
      <w:r>
        <w:rPr>
          <w:spacing w:val="-13"/>
        </w:rPr>
        <w:t xml:space="preserve"> </w:t>
      </w:r>
      <w:r>
        <w:t>exclude</w:t>
      </w:r>
      <w:r>
        <w:rPr>
          <w:spacing w:val="-8"/>
        </w:rPr>
        <w:t xml:space="preserve"> </w:t>
      </w:r>
      <w:r>
        <w:t>some</w:t>
      </w:r>
      <w:r>
        <w:rPr>
          <w:spacing w:val="-6"/>
        </w:rPr>
        <w:t xml:space="preserve"> </w:t>
      </w:r>
      <w:r>
        <w:t xml:space="preserve">providers who are still available in </w:t>
      </w:r>
      <w:r>
        <w:rPr>
          <w:spacing w:val="-2"/>
        </w:rPr>
        <w:t xml:space="preserve">the </w:t>
      </w:r>
      <w:r>
        <w:t xml:space="preserve">PCC Plan. The PCC Plan has been a lifeline for medically complex patients, including people with disabilities, when faced with narrow provider networks and other restrictions in the MassHealth MCOs that would not meet their </w:t>
      </w:r>
      <w:r>
        <w:rPr>
          <w:spacing w:val="-3"/>
        </w:rPr>
        <w:t xml:space="preserve">needs. </w:t>
      </w:r>
      <w:r>
        <w:t xml:space="preserve">For these members, switching to an MCO </w:t>
      </w:r>
      <w:r>
        <w:rPr>
          <w:spacing w:val="-3"/>
        </w:rPr>
        <w:t xml:space="preserve">may </w:t>
      </w:r>
      <w:r>
        <w:t xml:space="preserve">disrupt their ability to see the providers they know </w:t>
      </w:r>
      <w:r>
        <w:rPr>
          <w:spacing w:val="-3"/>
        </w:rPr>
        <w:t xml:space="preserve">and </w:t>
      </w:r>
      <w:r>
        <w:t xml:space="preserve">trust. For example, under the proposed change, a disabled child may </w:t>
      </w:r>
      <w:r>
        <w:rPr>
          <w:spacing w:val="-3"/>
        </w:rPr>
        <w:t xml:space="preserve">have </w:t>
      </w:r>
      <w:r>
        <w:t xml:space="preserve">to </w:t>
      </w:r>
      <w:r>
        <w:rPr>
          <w:spacing w:val="-2"/>
        </w:rPr>
        <w:t xml:space="preserve">forego </w:t>
      </w:r>
      <w:r>
        <w:t>eyeglasses to see the medical specialists the child needs given the limited</w:t>
      </w:r>
      <w:r>
        <w:rPr>
          <w:spacing w:val="-10"/>
        </w:rPr>
        <w:t xml:space="preserve"> </w:t>
      </w:r>
      <w:r>
        <w:t>access</w:t>
      </w:r>
      <w:r>
        <w:rPr>
          <w:spacing w:val="-7"/>
        </w:rPr>
        <w:t xml:space="preserve"> </w:t>
      </w:r>
      <w:r>
        <w:t>to</w:t>
      </w:r>
      <w:r>
        <w:rPr>
          <w:spacing w:val="-6"/>
        </w:rPr>
        <w:t xml:space="preserve"> </w:t>
      </w:r>
      <w:r>
        <w:t>certain</w:t>
      </w:r>
      <w:r>
        <w:rPr>
          <w:spacing w:val="-8"/>
        </w:rPr>
        <w:t xml:space="preserve"> </w:t>
      </w:r>
      <w:r>
        <w:t>specialty</w:t>
      </w:r>
      <w:r>
        <w:rPr>
          <w:spacing w:val="-8"/>
        </w:rPr>
        <w:t xml:space="preserve"> </w:t>
      </w:r>
      <w:r>
        <w:t>hospitals</w:t>
      </w:r>
      <w:r>
        <w:rPr>
          <w:spacing w:val="-5"/>
        </w:rPr>
        <w:t xml:space="preserve"> </w:t>
      </w:r>
      <w:r>
        <w:t>in</w:t>
      </w:r>
      <w:r>
        <w:rPr>
          <w:spacing w:val="-8"/>
        </w:rPr>
        <w:t xml:space="preserve"> </w:t>
      </w:r>
      <w:r>
        <w:t>the</w:t>
      </w:r>
      <w:r>
        <w:rPr>
          <w:spacing w:val="-9"/>
        </w:rPr>
        <w:t xml:space="preserve"> </w:t>
      </w:r>
      <w:r>
        <w:rPr>
          <w:spacing w:val="-3"/>
        </w:rPr>
        <w:t>MCOs</w:t>
      </w:r>
      <w:r>
        <w:rPr>
          <w:spacing w:val="-7"/>
        </w:rPr>
        <w:t xml:space="preserve"> </w:t>
      </w:r>
      <w:r>
        <w:t>compared</w:t>
      </w:r>
      <w:r>
        <w:rPr>
          <w:spacing w:val="-8"/>
        </w:rPr>
        <w:t xml:space="preserve"> </w:t>
      </w:r>
      <w:r>
        <w:t>to</w:t>
      </w:r>
      <w:r>
        <w:rPr>
          <w:spacing w:val="-4"/>
        </w:rPr>
        <w:t xml:space="preserve"> </w:t>
      </w:r>
      <w:r>
        <w:rPr>
          <w:spacing w:val="-2"/>
        </w:rPr>
        <w:t>the</w:t>
      </w:r>
      <w:r>
        <w:rPr>
          <w:spacing w:val="-9"/>
        </w:rPr>
        <w:t xml:space="preserve"> </w:t>
      </w:r>
      <w:r>
        <w:t>PCC</w:t>
      </w:r>
      <w:r>
        <w:rPr>
          <w:spacing w:val="-10"/>
        </w:rPr>
        <w:t xml:space="preserve"> </w:t>
      </w:r>
      <w:r>
        <w:t>Plan.</w:t>
      </w:r>
    </w:p>
    <w:p w:rsidR="002C5025" w:rsidRDefault="002C5025">
      <w:pPr>
        <w:pStyle w:val="BodyText"/>
        <w:kinsoku w:val="0"/>
        <w:overflowPunct w:val="0"/>
        <w:spacing w:before="9"/>
      </w:pPr>
    </w:p>
    <w:p w:rsidR="002C5025" w:rsidRDefault="002C5025">
      <w:pPr>
        <w:pStyle w:val="BodyText"/>
        <w:kinsoku w:val="0"/>
        <w:overflowPunct w:val="0"/>
        <w:spacing w:line="232" w:lineRule="auto"/>
        <w:ind w:left="119" w:right="160"/>
      </w:pPr>
      <w:r>
        <w:t xml:space="preserve">Further, </w:t>
      </w:r>
      <w:r>
        <w:rPr>
          <w:spacing w:val="-3"/>
        </w:rPr>
        <w:t xml:space="preserve">Early </w:t>
      </w:r>
      <w:r>
        <w:t>and Periodic Screening, Diagnostic and Treatment (EPSDT) is a mandatory Medicaid service for children and youth under age 21.</w:t>
      </w:r>
      <w:r>
        <w:rPr>
          <w:position w:val="10"/>
          <w:sz w:val="14"/>
          <w:szCs w:val="14"/>
        </w:rPr>
        <w:t xml:space="preserve">1 </w:t>
      </w:r>
      <w:r>
        <w:t>EPSDT includes all medically necessary Medicaid services regardless</w:t>
      </w:r>
      <w:r>
        <w:rPr>
          <w:spacing w:val="-11"/>
        </w:rPr>
        <w:t xml:space="preserve"> </w:t>
      </w:r>
      <w:r>
        <w:t>of</w:t>
      </w:r>
      <w:r>
        <w:rPr>
          <w:spacing w:val="-11"/>
        </w:rPr>
        <w:t xml:space="preserve"> </w:t>
      </w:r>
      <w:r>
        <w:t>what</w:t>
      </w:r>
      <w:r>
        <w:rPr>
          <w:spacing w:val="-8"/>
        </w:rPr>
        <w:t xml:space="preserve"> </w:t>
      </w:r>
      <w:r>
        <w:t>is</w:t>
      </w:r>
      <w:r>
        <w:rPr>
          <w:spacing w:val="-7"/>
        </w:rPr>
        <w:t xml:space="preserve"> </w:t>
      </w:r>
      <w:r>
        <w:t>in</w:t>
      </w:r>
      <w:r>
        <w:rPr>
          <w:spacing w:val="-11"/>
        </w:rPr>
        <w:t xml:space="preserve"> </w:t>
      </w:r>
      <w:r>
        <w:t>the</w:t>
      </w:r>
      <w:r>
        <w:rPr>
          <w:spacing w:val="-10"/>
        </w:rPr>
        <w:t xml:space="preserve"> </w:t>
      </w:r>
      <w:r>
        <w:t>state</w:t>
      </w:r>
      <w:r>
        <w:rPr>
          <w:spacing w:val="-8"/>
        </w:rPr>
        <w:t xml:space="preserve"> </w:t>
      </w:r>
      <w:r>
        <w:t>plan,</w:t>
      </w:r>
      <w:r>
        <w:rPr>
          <w:spacing w:val="-11"/>
        </w:rPr>
        <w:t xml:space="preserve"> </w:t>
      </w:r>
      <w:r>
        <w:t>and</w:t>
      </w:r>
      <w:r>
        <w:rPr>
          <w:spacing w:val="-9"/>
        </w:rPr>
        <w:t xml:space="preserve"> </w:t>
      </w:r>
      <w:r>
        <w:t>provides</w:t>
      </w:r>
      <w:r>
        <w:rPr>
          <w:spacing w:val="-8"/>
        </w:rPr>
        <w:t xml:space="preserve"> </w:t>
      </w:r>
      <w:r>
        <w:t>comprehensive</w:t>
      </w:r>
      <w:r>
        <w:rPr>
          <w:spacing w:val="-10"/>
        </w:rPr>
        <w:t xml:space="preserve"> </w:t>
      </w:r>
      <w:r>
        <w:t>coverage</w:t>
      </w:r>
      <w:r>
        <w:rPr>
          <w:spacing w:val="-8"/>
        </w:rPr>
        <w:t xml:space="preserve"> </w:t>
      </w:r>
      <w:r>
        <w:t>for</w:t>
      </w:r>
      <w:r>
        <w:rPr>
          <w:spacing w:val="-11"/>
        </w:rPr>
        <w:t xml:space="preserve"> </w:t>
      </w:r>
      <w:r>
        <w:t>dental,</w:t>
      </w:r>
      <w:r>
        <w:rPr>
          <w:spacing w:val="-11"/>
        </w:rPr>
        <w:t xml:space="preserve"> </w:t>
      </w:r>
      <w:r>
        <w:t>vision,</w:t>
      </w:r>
      <w:r>
        <w:rPr>
          <w:spacing w:val="-8"/>
        </w:rPr>
        <w:t xml:space="preserve"> </w:t>
      </w:r>
      <w:r>
        <w:t xml:space="preserve">hearing, and medical screenings and treatment. Children enrolled in all types of managed care, including PCC Plans, “are entitled to the same EPSDT benefits they would have in a fee for service Medicaid </w:t>
      </w:r>
      <w:r>
        <w:rPr>
          <w:spacing w:val="-3"/>
        </w:rPr>
        <w:t xml:space="preserve">delivery </w:t>
      </w:r>
      <w:r>
        <w:t xml:space="preserve">system.” </w:t>
      </w:r>
      <w:r>
        <w:rPr>
          <w:position w:val="10"/>
          <w:sz w:val="14"/>
          <w:szCs w:val="14"/>
        </w:rPr>
        <w:t xml:space="preserve">2 </w:t>
      </w:r>
      <w:r>
        <w:t xml:space="preserve">We believe the proposed PCC Plan </w:t>
      </w:r>
      <w:r>
        <w:rPr>
          <w:spacing w:val="-3"/>
        </w:rPr>
        <w:t xml:space="preserve">benefit </w:t>
      </w:r>
      <w:r>
        <w:t xml:space="preserve">cuts violate the Federal </w:t>
      </w:r>
      <w:r>
        <w:rPr>
          <w:spacing w:val="-3"/>
        </w:rPr>
        <w:t xml:space="preserve">EPSDT </w:t>
      </w:r>
      <w:r>
        <w:t>requirement, and again</w:t>
      </w:r>
      <w:r>
        <w:rPr>
          <w:spacing w:val="-10"/>
        </w:rPr>
        <w:t xml:space="preserve"> </w:t>
      </w:r>
      <w:r>
        <w:rPr>
          <w:spacing w:val="-3"/>
        </w:rPr>
        <w:t>urge</w:t>
      </w:r>
      <w:r>
        <w:rPr>
          <w:spacing w:val="-9"/>
        </w:rPr>
        <w:t xml:space="preserve"> </w:t>
      </w:r>
      <w:r>
        <w:t>MassHealth</w:t>
      </w:r>
      <w:r>
        <w:rPr>
          <w:spacing w:val="-10"/>
        </w:rPr>
        <w:t xml:space="preserve"> </w:t>
      </w:r>
      <w:r>
        <w:t>to</w:t>
      </w:r>
      <w:r>
        <w:rPr>
          <w:spacing w:val="-7"/>
        </w:rPr>
        <w:t xml:space="preserve"> </w:t>
      </w:r>
      <w:r>
        <w:t>reconsider</w:t>
      </w:r>
      <w:r>
        <w:rPr>
          <w:spacing w:val="-12"/>
        </w:rPr>
        <w:t xml:space="preserve"> </w:t>
      </w:r>
      <w:r>
        <w:t>these</w:t>
      </w:r>
      <w:r>
        <w:rPr>
          <w:spacing w:val="-9"/>
        </w:rPr>
        <w:t xml:space="preserve"> </w:t>
      </w:r>
      <w:r>
        <w:t>changes.</w:t>
      </w:r>
    </w:p>
    <w:p w:rsidR="002C5025" w:rsidRDefault="002C5025">
      <w:pPr>
        <w:pStyle w:val="BodyText"/>
        <w:kinsoku w:val="0"/>
        <w:overflowPunct w:val="0"/>
        <w:spacing w:before="12"/>
        <w:rPr>
          <w:sz w:val="21"/>
          <w:szCs w:val="21"/>
        </w:rPr>
      </w:pPr>
    </w:p>
    <w:p w:rsidR="002C5025" w:rsidRDefault="002C5025">
      <w:pPr>
        <w:pStyle w:val="BodyText"/>
        <w:kinsoku w:val="0"/>
        <w:overflowPunct w:val="0"/>
        <w:spacing w:line="268" w:lineRule="exact"/>
        <w:ind w:left="119" w:right="814"/>
        <w:rPr>
          <w:b/>
          <w:bCs/>
          <w:i/>
          <w:iCs/>
        </w:rPr>
      </w:pPr>
      <w:r>
        <w:rPr>
          <w:b/>
          <w:bCs/>
          <w:i/>
          <w:iCs/>
        </w:rPr>
        <w:t>Cost-Sharing</w:t>
      </w:r>
    </w:p>
    <w:p w:rsidR="002C5025" w:rsidRDefault="002C5025">
      <w:pPr>
        <w:pStyle w:val="BodyText"/>
        <w:kinsoku w:val="0"/>
        <w:overflowPunct w:val="0"/>
        <w:spacing w:before="7" w:line="230" w:lineRule="auto"/>
        <w:ind w:left="119" w:right="89"/>
      </w:pPr>
      <w:r>
        <w:t xml:space="preserve">We oppose MassHealth’s proposal to increase cost-sharing for PCC Plan members as well as expand </w:t>
      </w:r>
      <w:r>
        <w:rPr>
          <w:spacing w:val="-4"/>
        </w:rPr>
        <w:t xml:space="preserve">the </w:t>
      </w:r>
      <w:r>
        <w:t xml:space="preserve">list of services to which copays apply. Data from </w:t>
      </w:r>
      <w:r>
        <w:rPr>
          <w:spacing w:val="-3"/>
        </w:rPr>
        <w:t xml:space="preserve">Oregon </w:t>
      </w:r>
      <w:r>
        <w:t xml:space="preserve">and Connecticut Medicaid programs show </w:t>
      </w:r>
      <w:r>
        <w:rPr>
          <w:spacing w:val="-3"/>
        </w:rPr>
        <w:t xml:space="preserve">that </w:t>
      </w:r>
      <w:r>
        <w:t>higher cost-sharing contributes to Medicaid disenrollment.</w:t>
      </w:r>
      <w:r>
        <w:rPr>
          <w:position w:val="10"/>
          <w:sz w:val="14"/>
          <w:szCs w:val="14"/>
        </w:rPr>
        <w:t xml:space="preserve">3 </w:t>
      </w:r>
      <w:r>
        <w:t xml:space="preserve">In Oregon, those who left Medicaid programs due to higher cost-sharing had lower primary care utilization and </w:t>
      </w:r>
      <w:r>
        <w:rPr>
          <w:spacing w:val="-3"/>
        </w:rPr>
        <w:t xml:space="preserve">higher </w:t>
      </w:r>
      <w:r>
        <w:t>emergency room visits.</w:t>
      </w:r>
      <w:r>
        <w:rPr>
          <w:position w:val="10"/>
          <w:sz w:val="14"/>
          <w:szCs w:val="14"/>
        </w:rPr>
        <w:t xml:space="preserve">4 </w:t>
      </w:r>
      <w:r>
        <w:t xml:space="preserve">A Kaiser </w:t>
      </w:r>
      <w:r>
        <w:rPr>
          <w:spacing w:val="-3"/>
        </w:rPr>
        <w:t xml:space="preserve">Family </w:t>
      </w:r>
      <w:r>
        <w:t xml:space="preserve">Foundation report describes </w:t>
      </w:r>
      <w:r>
        <w:rPr>
          <w:spacing w:val="-2"/>
        </w:rPr>
        <w:t xml:space="preserve">how </w:t>
      </w:r>
      <w:r>
        <w:t>higher cost-sharing results in delayed care and poorer health outcomes.</w:t>
      </w:r>
      <w:r>
        <w:rPr>
          <w:position w:val="10"/>
          <w:sz w:val="14"/>
          <w:szCs w:val="14"/>
        </w:rPr>
        <w:t xml:space="preserve">5 </w:t>
      </w:r>
      <w:r>
        <w:t xml:space="preserve">Increased cost-sharing for Medicaid enrollees leads to access barriers and puts greater strain on </w:t>
      </w:r>
      <w:r>
        <w:rPr>
          <w:spacing w:val="-3"/>
        </w:rPr>
        <w:t xml:space="preserve">safety </w:t>
      </w:r>
      <w:r>
        <w:t xml:space="preserve">net resources, shifting </w:t>
      </w:r>
      <w:r>
        <w:rPr>
          <w:spacing w:val="-3"/>
        </w:rPr>
        <w:t xml:space="preserve">costs </w:t>
      </w:r>
      <w:r>
        <w:t>rather than saving costs or improving health outcomes.</w:t>
      </w:r>
    </w:p>
    <w:p w:rsidR="002C5025" w:rsidRDefault="002C5025">
      <w:pPr>
        <w:pStyle w:val="BodyText"/>
        <w:kinsoku w:val="0"/>
        <w:overflowPunct w:val="0"/>
      </w:pPr>
    </w:p>
    <w:p w:rsidR="002C5025" w:rsidRDefault="002C5025">
      <w:pPr>
        <w:pStyle w:val="BodyText"/>
        <w:kinsoku w:val="0"/>
        <w:overflowPunct w:val="0"/>
        <w:ind w:left="118" w:right="814"/>
        <w:rPr>
          <w:b/>
          <w:bCs/>
          <w:i/>
          <w:iCs/>
        </w:rPr>
      </w:pPr>
      <w:r>
        <w:rPr>
          <w:b/>
          <w:bCs/>
          <w:i/>
          <w:iCs/>
        </w:rPr>
        <w:t>MCO Lock-In</w:t>
      </w:r>
    </w:p>
    <w:p w:rsidR="002C5025" w:rsidRDefault="002C5025">
      <w:pPr>
        <w:pStyle w:val="BodyText"/>
        <w:kinsoku w:val="0"/>
        <w:overflowPunct w:val="0"/>
        <w:spacing w:before="2" w:line="237" w:lineRule="auto"/>
        <w:ind w:left="118" w:right="125"/>
      </w:pPr>
      <w:r>
        <w:t xml:space="preserve">We understand that MassHealth plans to implement </w:t>
      </w:r>
      <w:r>
        <w:rPr>
          <w:spacing w:val="-2"/>
        </w:rPr>
        <w:t xml:space="preserve">the </w:t>
      </w:r>
      <w:r>
        <w:t>MCO lock-in policy in October 2016 regardless of</w:t>
      </w:r>
      <w:r>
        <w:rPr>
          <w:spacing w:val="-8"/>
        </w:rPr>
        <w:t xml:space="preserve"> </w:t>
      </w:r>
      <w:r>
        <w:t>the</w:t>
      </w:r>
      <w:r>
        <w:rPr>
          <w:spacing w:val="-8"/>
        </w:rPr>
        <w:t xml:space="preserve"> </w:t>
      </w:r>
      <w:r>
        <w:t>status</w:t>
      </w:r>
      <w:r>
        <w:rPr>
          <w:spacing w:val="-8"/>
        </w:rPr>
        <w:t xml:space="preserve"> </w:t>
      </w:r>
      <w:r>
        <w:t>of</w:t>
      </w:r>
      <w:r>
        <w:rPr>
          <w:spacing w:val="-11"/>
        </w:rPr>
        <w:t xml:space="preserve"> </w:t>
      </w:r>
      <w:r>
        <w:t>the</w:t>
      </w:r>
      <w:r>
        <w:rPr>
          <w:spacing w:val="-10"/>
        </w:rPr>
        <w:t xml:space="preserve"> </w:t>
      </w:r>
      <w:r>
        <w:t>demonstration</w:t>
      </w:r>
      <w:r>
        <w:rPr>
          <w:spacing w:val="-11"/>
        </w:rPr>
        <w:t xml:space="preserve"> </w:t>
      </w:r>
      <w:r>
        <w:t>proposal.</w:t>
      </w:r>
      <w:r>
        <w:rPr>
          <w:spacing w:val="-9"/>
        </w:rPr>
        <w:t xml:space="preserve"> </w:t>
      </w:r>
      <w:r>
        <w:t>As</w:t>
      </w:r>
      <w:r>
        <w:rPr>
          <w:spacing w:val="-8"/>
        </w:rPr>
        <w:t xml:space="preserve"> </w:t>
      </w:r>
      <w:r>
        <w:t>such,</w:t>
      </w:r>
      <w:r>
        <w:rPr>
          <w:spacing w:val="-10"/>
        </w:rPr>
        <w:t xml:space="preserve"> </w:t>
      </w:r>
      <w:r>
        <w:t>we</w:t>
      </w:r>
      <w:r>
        <w:rPr>
          <w:spacing w:val="-5"/>
        </w:rPr>
        <w:t xml:space="preserve"> </w:t>
      </w:r>
      <w:r>
        <w:t>appreciate</w:t>
      </w:r>
      <w:r>
        <w:rPr>
          <w:spacing w:val="-10"/>
        </w:rPr>
        <w:t xml:space="preserve"> </w:t>
      </w:r>
      <w:r>
        <w:t>that</w:t>
      </w:r>
      <w:r>
        <w:rPr>
          <w:spacing w:val="-10"/>
        </w:rPr>
        <w:t xml:space="preserve"> </w:t>
      </w:r>
      <w:r>
        <w:t>MassHealth</w:t>
      </w:r>
      <w:r>
        <w:rPr>
          <w:spacing w:val="-9"/>
        </w:rPr>
        <w:t xml:space="preserve"> </w:t>
      </w:r>
      <w:r>
        <w:t>has</w:t>
      </w:r>
      <w:r>
        <w:rPr>
          <w:spacing w:val="-8"/>
        </w:rPr>
        <w:t xml:space="preserve"> </w:t>
      </w:r>
      <w:r>
        <w:t>reached</w:t>
      </w:r>
      <w:r>
        <w:rPr>
          <w:spacing w:val="-11"/>
        </w:rPr>
        <w:t xml:space="preserve"> </w:t>
      </w:r>
      <w:r>
        <w:t>out</w:t>
      </w:r>
      <w:r>
        <w:rPr>
          <w:spacing w:val="-8"/>
        </w:rPr>
        <w:t xml:space="preserve"> </w:t>
      </w:r>
      <w:r>
        <w:t>to</w:t>
      </w: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FB027C">
      <w:pPr>
        <w:pStyle w:val="BodyText"/>
        <w:kinsoku w:val="0"/>
        <w:overflowPunct w:val="0"/>
        <w:spacing w:before="7"/>
        <w:rPr>
          <w:sz w:val="14"/>
          <w:szCs w:val="14"/>
        </w:rPr>
      </w:pPr>
      <w:r>
        <w:rPr>
          <w:noProof/>
        </w:rPr>
        <mc:AlternateContent>
          <mc:Choice Requires="wps">
            <w:drawing>
              <wp:anchor distT="0" distB="0" distL="0" distR="0" simplePos="0" relativeHeight="251463168" behindDoc="0" locked="0" layoutInCell="0" allowOverlap="1">
                <wp:simplePos x="0" y="0"/>
                <wp:positionH relativeFrom="page">
                  <wp:posOffset>923925</wp:posOffset>
                </wp:positionH>
                <wp:positionV relativeFrom="paragraph">
                  <wp:posOffset>143510</wp:posOffset>
                </wp:positionV>
                <wp:extent cx="1829435" cy="12700"/>
                <wp:effectExtent l="0" t="0" r="0" b="0"/>
                <wp:wrapTopAndBottom/>
                <wp:docPr id="989"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1 w 2881"/>
                            <a:gd name="T3" fmla="*/ 0 h 20"/>
                          </a:gdLst>
                          <a:ahLst/>
                          <a:cxnLst>
                            <a:cxn ang="0">
                              <a:pos x="T0" y="T1"/>
                            </a:cxn>
                            <a:cxn ang="0">
                              <a:pos x="T2" y="T3"/>
                            </a:cxn>
                          </a:cxnLst>
                          <a:rect l="0" t="0" r="r" b="b"/>
                          <a:pathLst>
                            <a:path w="2881" h="20">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6" o:spid="_x0000_s1026" style="position:absolute;z-index:251463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2.75pt,11.3pt,216.8pt,11.3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" o:allowincell="f" filled="f" strokeweight=".82pt">
                <v:path arrowok="t" o:connecttype="custom" o:connectlocs="0,0;1829435,0" o:connectangles="0,0"/>
                <w10:wrap type="topAndBottom" anchorx="page"/>
              </v:polyline>
            </w:pict>
          </mc:Fallback>
        </mc:AlternateContent>
      </w:r>
    </w:p>
    <w:p w:rsidR="002C5025" w:rsidRDefault="002C5025">
      <w:pPr>
        <w:pStyle w:val="BodyText"/>
        <w:kinsoku w:val="0"/>
        <w:overflowPunct w:val="0"/>
        <w:spacing w:before="24" w:line="268" w:lineRule="exact"/>
        <w:ind w:left="120" w:right="814"/>
        <w:rPr>
          <w:sz w:val="20"/>
          <w:szCs w:val="20"/>
        </w:rPr>
      </w:pPr>
      <w:r>
        <w:rPr>
          <w:position w:val="10"/>
          <w:sz w:val="13"/>
          <w:szCs w:val="13"/>
        </w:rPr>
        <w:t xml:space="preserve">1 </w:t>
      </w:r>
      <w:r>
        <w:rPr>
          <w:sz w:val="20"/>
          <w:szCs w:val="20"/>
        </w:rPr>
        <w:t>See 42 U.S.C. §§ 1396a(a)(10)(A), 1396a(a)(43), 1396d(a)(4)(B), 1396d(r).</w:t>
      </w:r>
    </w:p>
    <w:p w:rsidR="002C5025" w:rsidRDefault="002C5025">
      <w:pPr>
        <w:pStyle w:val="BodyText"/>
        <w:kinsoku w:val="0"/>
        <w:overflowPunct w:val="0"/>
        <w:spacing w:before="21" w:line="242" w:lineRule="exact"/>
        <w:ind w:left="120" w:right="160"/>
        <w:rPr>
          <w:color w:val="0000FF"/>
          <w:sz w:val="20"/>
          <w:szCs w:val="20"/>
        </w:rPr>
      </w:pPr>
      <w:r>
        <w:rPr>
          <w:position w:val="10"/>
          <w:sz w:val="13"/>
          <w:szCs w:val="13"/>
        </w:rPr>
        <w:t>2</w:t>
      </w:r>
      <w:r>
        <w:rPr>
          <w:spacing w:val="3"/>
          <w:position w:val="10"/>
          <w:sz w:val="13"/>
          <w:szCs w:val="13"/>
        </w:rPr>
        <w:t xml:space="preserve"> </w:t>
      </w:r>
      <w:r>
        <w:rPr>
          <w:sz w:val="20"/>
          <w:szCs w:val="20"/>
        </w:rPr>
        <w:t>Centers</w:t>
      </w:r>
      <w:r>
        <w:rPr>
          <w:spacing w:val="-13"/>
          <w:sz w:val="20"/>
          <w:szCs w:val="20"/>
        </w:rPr>
        <w:t xml:space="preserve"> </w:t>
      </w:r>
      <w:r>
        <w:rPr>
          <w:sz w:val="20"/>
          <w:szCs w:val="20"/>
        </w:rPr>
        <w:t>for</w:t>
      </w:r>
      <w:r>
        <w:rPr>
          <w:spacing w:val="-10"/>
          <w:sz w:val="20"/>
          <w:szCs w:val="20"/>
        </w:rPr>
        <w:t xml:space="preserve"> </w:t>
      </w:r>
      <w:r>
        <w:rPr>
          <w:sz w:val="20"/>
          <w:szCs w:val="20"/>
        </w:rPr>
        <w:t>Medicare</w:t>
      </w:r>
      <w:r>
        <w:rPr>
          <w:spacing w:val="-11"/>
          <w:sz w:val="20"/>
          <w:szCs w:val="20"/>
        </w:rPr>
        <w:t xml:space="preserve"> </w:t>
      </w:r>
      <w:r>
        <w:rPr>
          <w:sz w:val="20"/>
          <w:szCs w:val="20"/>
        </w:rPr>
        <w:t>and</w:t>
      </w:r>
      <w:r>
        <w:rPr>
          <w:spacing w:val="-9"/>
          <w:sz w:val="20"/>
          <w:szCs w:val="20"/>
        </w:rPr>
        <w:t xml:space="preserve"> </w:t>
      </w:r>
      <w:r>
        <w:rPr>
          <w:sz w:val="20"/>
          <w:szCs w:val="20"/>
        </w:rPr>
        <w:t>Medicaid</w:t>
      </w:r>
      <w:r>
        <w:rPr>
          <w:spacing w:val="-9"/>
          <w:sz w:val="20"/>
          <w:szCs w:val="20"/>
        </w:rPr>
        <w:t xml:space="preserve"> </w:t>
      </w:r>
      <w:r>
        <w:rPr>
          <w:sz w:val="20"/>
          <w:szCs w:val="20"/>
        </w:rPr>
        <w:t>Services,</w:t>
      </w:r>
      <w:r>
        <w:rPr>
          <w:spacing w:val="-9"/>
          <w:sz w:val="20"/>
          <w:szCs w:val="20"/>
        </w:rPr>
        <w:t xml:space="preserve"> </w:t>
      </w:r>
      <w:r>
        <w:rPr>
          <w:sz w:val="20"/>
          <w:szCs w:val="20"/>
        </w:rPr>
        <w:t>EPSDT</w:t>
      </w:r>
      <w:r>
        <w:rPr>
          <w:spacing w:val="-6"/>
          <w:sz w:val="20"/>
          <w:szCs w:val="20"/>
        </w:rPr>
        <w:t xml:space="preserve"> </w:t>
      </w:r>
      <w:r>
        <w:rPr>
          <w:sz w:val="20"/>
          <w:szCs w:val="20"/>
        </w:rPr>
        <w:t>-</w:t>
      </w:r>
      <w:r>
        <w:rPr>
          <w:spacing w:val="-11"/>
          <w:sz w:val="20"/>
          <w:szCs w:val="20"/>
        </w:rPr>
        <w:t xml:space="preserve"> </w:t>
      </w:r>
      <w:r>
        <w:rPr>
          <w:sz w:val="20"/>
          <w:szCs w:val="20"/>
        </w:rPr>
        <w:t>A</w:t>
      </w:r>
      <w:r>
        <w:rPr>
          <w:spacing w:val="-12"/>
          <w:sz w:val="20"/>
          <w:szCs w:val="20"/>
        </w:rPr>
        <w:t xml:space="preserve"> </w:t>
      </w:r>
      <w:r>
        <w:rPr>
          <w:sz w:val="20"/>
          <w:szCs w:val="20"/>
        </w:rPr>
        <w:t>Guide</w:t>
      </w:r>
      <w:r>
        <w:rPr>
          <w:spacing w:val="-10"/>
          <w:sz w:val="20"/>
          <w:szCs w:val="20"/>
        </w:rPr>
        <w:t xml:space="preserve"> </w:t>
      </w:r>
      <w:r>
        <w:rPr>
          <w:sz w:val="20"/>
          <w:szCs w:val="20"/>
        </w:rPr>
        <w:t>for</w:t>
      </w:r>
      <w:r>
        <w:rPr>
          <w:spacing w:val="-10"/>
          <w:sz w:val="20"/>
          <w:szCs w:val="20"/>
        </w:rPr>
        <w:t xml:space="preserve"> </w:t>
      </w:r>
      <w:r>
        <w:rPr>
          <w:sz w:val="20"/>
          <w:szCs w:val="20"/>
        </w:rPr>
        <w:t>States:</w:t>
      </w:r>
      <w:r>
        <w:rPr>
          <w:spacing w:val="-10"/>
          <w:sz w:val="20"/>
          <w:szCs w:val="20"/>
        </w:rPr>
        <w:t xml:space="preserve"> </w:t>
      </w:r>
      <w:r>
        <w:rPr>
          <w:sz w:val="20"/>
          <w:szCs w:val="20"/>
        </w:rPr>
        <w:t>Coverage</w:t>
      </w:r>
      <w:r>
        <w:rPr>
          <w:spacing w:val="-11"/>
          <w:sz w:val="20"/>
          <w:szCs w:val="20"/>
        </w:rPr>
        <w:t xml:space="preserve"> </w:t>
      </w:r>
      <w:r>
        <w:rPr>
          <w:sz w:val="20"/>
          <w:szCs w:val="20"/>
        </w:rPr>
        <w:t>in</w:t>
      </w:r>
      <w:r>
        <w:rPr>
          <w:spacing w:val="-9"/>
          <w:sz w:val="20"/>
          <w:szCs w:val="20"/>
        </w:rPr>
        <w:t xml:space="preserve"> </w:t>
      </w:r>
      <w:r>
        <w:rPr>
          <w:sz w:val="20"/>
          <w:szCs w:val="20"/>
        </w:rPr>
        <w:t>the</w:t>
      </w:r>
      <w:r>
        <w:rPr>
          <w:spacing w:val="-11"/>
          <w:sz w:val="20"/>
          <w:szCs w:val="20"/>
        </w:rPr>
        <w:t xml:space="preserve"> </w:t>
      </w:r>
      <w:r>
        <w:rPr>
          <w:sz w:val="20"/>
          <w:szCs w:val="20"/>
        </w:rPr>
        <w:t>Medicaid</w:t>
      </w:r>
      <w:r>
        <w:rPr>
          <w:spacing w:val="-9"/>
          <w:sz w:val="20"/>
          <w:szCs w:val="20"/>
        </w:rPr>
        <w:t xml:space="preserve"> </w:t>
      </w:r>
      <w:r>
        <w:rPr>
          <w:sz w:val="20"/>
          <w:szCs w:val="20"/>
        </w:rPr>
        <w:t>Benefit</w:t>
      </w:r>
      <w:r>
        <w:rPr>
          <w:spacing w:val="-9"/>
          <w:sz w:val="20"/>
          <w:szCs w:val="20"/>
        </w:rPr>
        <w:t xml:space="preserve"> </w:t>
      </w:r>
      <w:r>
        <w:rPr>
          <w:sz w:val="20"/>
          <w:szCs w:val="20"/>
        </w:rPr>
        <w:t>for Children</w:t>
      </w:r>
      <w:r>
        <w:rPr>
          <w:spacing w:val="-23"/>
          <w:sz w:val="20"/>
          <w:szCs w:val="20"/>
        </w:rPr>
        <w:t xml:space="preserve"> </w:t>
      </w:r>
      <w:r>
        <w:rPr>
          <w:sz w:val="20"/>
          <w:szCs w:val="20"/>
        </w:rPr>
        <w:t>and</w:t>
      </w:r>
      <w:r>
        <w:rPr>
          <w:spacing w:val="-23"/>
          <w:sz w:val="20"/>
          <w:szCs w:val="20"/>
        </w:rPr>
        <w:t xml:space="preserve"> </w:t>
      </w:r>
      <w:r>
        <w:rPr>
          <w:sz w:val="20"/>
          <w:szCs w:val="20"/>
        </w:rPr>
        <w:t>Adolescents,</w:t>
      </w:r>
      <w:r>
        <w:rPr>
          <w:spacing w:val="-23"/>
          <w:sz w:val="20"/>
          <w:szCs w:val="20"/>
        </w:rPr>
        <w:t xml:space="preserve"> </w:t>
      </w:r>
      <w:r>
        <w:rPr>
          <w:sz w:val="20"/>
          <w:szCs w:val="20"/>
        </w:rPr>
        <w:t>June</w:t>
      </w:r>
      <w:r>
        <w:rPr>
          <w:spacing w:val="-24"/>
          <w:sz w:val="20"/>
          <w:szCs w:val="20"/>
        </w:rPr>
        <w:t xml:space="preserve"> </w:t>
      </w:r>
      <w:r>
        <w:rPr>
          <w:sz w:val="20"/>
          <w:szCs w:val="20"/>
        </w:rPr>
        <w:t>2014.</w:t>
      </w:r>
      <w:r>
        <w:rPr>
          <w:spacing w:val="-23"/>
          <w:sz w:val="20"/>
          <w:szCs w:val="20"/>
        </w:rPr>
        <w:t xml:space="preserve"> </w:t>
      </w:r>
      <w:r>
        <w:rPr>
          <w:sz w:val="20"/>
          <w:szCs w:val="20"/>
        </w:rPr>
        <w:t>Available</w:t>
      </w:r>
      <w:r>
        <w:rPr>
          <w:spacing w:val="-24"/>
          <w:sz w:val="20"/>
          <w:szCs w:val="20"/>
        </w:rPr>
        <w:t xml:space="preserve"> </w:t>
      </w:r>
      <w:r>
        <w:rPr>
          <w:sz w:val="20"/>
          <w:szCs w:val="20"/>
        </w:rPr>
        <w:t>at:</w:t>
      </w:r>
      <w:r>
        <w:rPr>
          <w:spacing w:val="-22"/>
          <w:sz w:val="20"/>
          <w:szCs w:val="20"/>
        </w:rPr>
        <w:t xml:space="preserve"> </w:t>
      </w:r>
      <w:hyperlink r:id="rId75" w:history="1">
        <w:r>
          <w:rPr>
            <w:color w:val="0000FF"/>
            <w:sz w:val="20"/>
            <w:szCs w:val="20"/>
            <w:u w:val="single"/>
          </w:rPr>
          <w:t>http://www.medicaid.gov/Medicaid-CHIP-Program-</w:t>
        </w:r>
      </w:hyperlink>
    </w:p>
    <w:p w:rsidR="002C5025" w:rsidRDefault="00FD19EE">
      <w:pPr>
        <w:pStyle w:val="BodyText"/>
        <w:kinsoku w:val="0"/>
        <w:overflowPunct w:val="0"/>
        <w:spacing w:before="6" w:line="231" w:lineRule="exact"/>
        <w:ind w:left="120" w:right="814"/>
        <w:rPr>
          <w:color w:val="000000"/>
          <w:sz w:val="20"/>
          <w:szCs w:val="20"/>
        </w:rPr>
      </w:pPr>
      <w:hyperlink r:id="rId76" w:history="1">
        <w:r w:rsidR="002C5025">
          <w:rPr>
            <w:color w:val="0000FF"/>
            <w:sz w:val="20"/>
            <w:szCs w:val="20"/>
            <w:u w:val="single"/>
          </w:rPr>
          <w:t>Information/ByTopics/Benefits/Early-and-Periodic-Screening-Diagnostic-and-Treatment.html</w:t>
        </w:r>
        <w:r w:rsidR="002C5025">
          <w:rPr>
            <w:color w:val="000000"/>
            <w:sz w:val="20"/>
            <w:szCs w:val="20"/>
          </w:rPr>
          <w:t>.</w:t>
        </w:r>
      </w:hyperlink>
    </w:p>
    <w:p w:rsidR="002C5025" w:rsidRDefault="002C5025">
      <w:pPr>
        <w:pStyle w:val="BodyText"/>
        <w:tabs>
          <w:tab w:val="left" w:pos="571"/>
        </w:tabs>
        <w:kinsoku w:val="0"/>
        <w:overflowPunct w:val="0"/>
        <w:spacing w:before="28" w:line="228" w:lineRule="exact"/>
        <w:ind w:left="120" w:right="785"/>
        <w:rPr>
          <w:color w:val="0000FF"/>
          <w:w w:val="90"/>
          <w:sz w:val="20"/>
          <w:szCs w:val="20"/>
        </w:rPr>
      </w:pPr>
      <w:r>
        <w:rPr>
          <w:position w:val="10"/>
          <w:sz w:val="13"/>
          <w:szCs w:val="13"/>
        </w:rPr>
        <w:t>3</w:t>
      </w:r>
      <w:r>
        <w:rPr>
          <w:position w:val="10"/>
          <w:sz w:val="13"/>
          <w:szCs w:val="13"/>
        </w:rPr>
        <w:tab/>
      </w:r>
      <w:hyperlink r:id="rId77" w:history="1">
        <w:r>
          <w:rPr>
            <w:color w:val="0000FF"/>
            <w:w w:val="90"/>
            <w:sz w:val="20"/>
            <w:szCs w:val="20"/>
            <w:u w:val="single"/>
          </w:rPr>
          <w:t>https://www.cthealth.org/wp-content/uploads/2011/04/Policy-Brief-2-Proposed-Medicaid-Cost-Sharing-</w:t>
        </w:r>
      </w:hyperlink>
      <w:r>
        <w:rPr>
          <w:color w:val="0000FF"/>
          <w:w w:val="90"/>
          <w:sz w:val="20"/>
          <w:szCs w:val="20"/>
          <w:u w:val="single"/>
        </w:rPr>
        <w:t xml:space="preserve"> </w:t>
      </w:r>
      <w:hyperlink r:id="rId78" w:history="1">
        <w:r>
          <w:rPr>
            <w:color w:val="0000FF"/>
            <w:sz w:val="20"/>
            <w:szCs w:val="20"/>
            <w:u w:val="single"/>
          </w:rPr>
          <w:t>Evaluating-The-Impact.pdf</w:t>
        </w:r>
        <w:r>
          <w:rPr>
            <w:color w:val="000000"/>
            <w:sz w:val="20"/>
            <w:szCs w:val="20"/>
            <w:u w:val="single"/>
          </w:rPr>
          <w:t>.</w:t>
        </w:r>
      </w:hyperlink>
    </w:p>
    <w:p w:rsidR="002C5025" w:rsidRDefault="002C5025">
      <w:pPr>
        <w:pStyle w:val="BodyText"/>
        <w:tabs>
          <w:tab w:val="left" w:pos="412"/>
        </w:tabs>
        <w:kinsoku w:val="0"/>
        <w:overflowPunct w:val="0"/>
        <w:spacing w:line="240" w:lineRule="exact"/>
        <w:ind w:left="120" w:right="814"/>
        <w:rPr>
          <w:color w:val="000000"/>
          <w:sz w:val="20"/>
          <w:szCs w:val="20"/>
        </w:rPr>
      </w:pPr>
      <w:r>
        <w:rPr>
          <w:position w:val="10"/>
          <w:sz w:val="13"/>
          <w:szCs w:val="13"/>
        </w:rPr>
        <w:t>4</w:t>
      </w:r>
      <w:r>
        <w:rPr>
          <w:position w:val="10"/>
          <w:sz w:val="13"/>
          <w:szCs w:val="13"/>
        </w:rPr>
        <w:tab/>
      </w:r>
      <w:hyperlink r:id="rId79" w:history="1">
        <w:r>
          <w:rPr>
            <w:color w:val="0000FF"/>
            <w:sz w:val="20"/>
            <w:szCs w:val="20"/>
            <w:u w:val="single"/>
          </w:rPr>
          <w:t>http://content.healthaffairs.org/content/24/4/1106.full</w:t>
        </w:r>
        <w:r>
          <w:rPr>
            <w:color w:val="000000"/>
            <w:sz w:val="20"/>
            <w:szCs w:val="20"/>
          </w:rPr>
          <w:t>.</w:t>
        </w:r>
      </w:hyperlink>
    </w:p>
    <w:p w:rsidR="002C5025" w:rsidRDefault="002C5025">
      <w:pPr>
        <w:pStyle w:val="BodyText"/>
        <w:tabs>
          <w:tab w:val="left" w:pos="443"/>
        </w:tabs>
        <w:kinsoku w:val="0"/>
        <w:overflowPunct w:val="0"/>
        <w:spacing w:line="267" w:lineRule="exact"/>
        <w:ind w:left="120" w:right="814"/>
        <w:rPr>
          <w:color w:val="000000"/>
          <w:sz w:val="20"/>
          <w:szCs w:val="20"/>
        </w:rPr>
      </w:pPr>
      <w:r>
        <w:rPr>
          <w:position w:val="10"/>
          <w:sz w:val="13"/>
          <w:szCs w:val="13"/>
        </w:rPr>
        <w:t>5</w:t>
      </w:r>
      <w:r>
        <w:rPr>
          <w:position w:val="10"/>
          <w:sz w:val="13"/>
          <w:szCs w:val="13"/>
        </w:rPr>
        <w:tab/>
      </w:r>
      <w:hyperlink r:id="rId80" w:history="1">
        <w:r>
          <w:rPr>
            <w:color w:val="0000FF"/>
            <w:sz w:val="20"/>
            <w:szCs w:val="20"/>
            <w:u w:val="single"/>
          </w:rPr>
          <w:t>https://kaiserhealthnews.files.wordpress.com/2014/07/8417.pdf</w:t>
        </w:r>
        <w:r>
          <w:rPr>
            <w:color w:val="000000"/>
            <w:sz w:val="20"/>
            <w:szCs w:val="20"/>
          </w:rPr>
          <w:t>.</w:t>
        </w:r>
      </w:hyperlink>
    </w:p>
    <w:p w:rsidR="002C5025" w:rsidRDefault="002C5025">
      <w:pPr>
        <w:pStyle w:val="BodyText"/>
        <w:kinsoku w:val="0"/>
        <w:overflowPunct w:val="0"/>
        <w:spacing w:before="9"/>
        <w:rPr>
          <w:sz w:val="11"/>
          <w:szCs w:val="11"/>
        </w:rPr>
      </w:pPr>
    </w:p>
    <w:p w:rsidR="002C5025" w:rsidRDefault="002C5025">
      <w:pPr>
        <w:pStyle w:val="BodyText"/>
        <w:kinsoku w:val="0"/>
        <w:overflowPunct w:val="0"/>
        <w:spacing w:before="59"/>
        <w:ind w:left="124"/>
        <w:jc w:val="center"/>
        <w:rPr>
          <w:w w:val="99"/>
          <w:sz w:val="20"/>
          <w:szCs w:val="20"/>
        </w:rPr>
      </w:pPr>
      <w:r>
        <w:rPr>
          <w:w w:val="99"/>
          <w:sz w:val="20"/>
          <w:szCs w:val="20"/>
        </w:rPr>
        <w:t>2</w:t>
      </w:r>
    </w:p>
    <w:p w:rsidR="002C5025" w:rsidRDefault="002C5025">
      <w:pPr>
        <w:pStyle w:val="BodyText"/>
        <w:kinsoku w:val="0"/>
        <w:overflowPunct w:val="0"/>
        <w:spacing w:before="59"/>
        <w:ind w:left="124"/>
        <w:jc w:val="center"/>
        <w:rPr>
          <w:w w:val="99"/>
          <w:sz w:val="20"/>
          <w:szCs w:val="20"/>
        </w:rPr>
        <w:sectPr w:rsidR="002C5025">
          <w:pgSz w:w="12240" w:h="15840"/>
          <w:pgMar w:top="1400" w:right="1440" w:bottom="280" w:left="1320" w:header="720" w:footer="720" w:gutter="0"/>
          <w:cols w:space="720"/>
          <w:noEndnote/>
        </w:sectPr>
      </w:pPr>
    </w:p>
    <w:p w:rsidR="002C5025" w:rsidRDefault="002C5025">
      <w:pPr>
        <w:pStyle w:val="BodyText"/>
        <w:kinsoku w:val="0"/>
        <w:overflowPunct w:val="0"/>
        <w:spacing w:before="34"/>
        <w:ind w:left="119" w:right="443"/>
      </w:pPr>
      <w:r>
        <w:lastRenderedPageBreak/>
        <w:t xml:space="preserve">advocates and providers </w:t>
      </w:r>
      <w:r>
        <w:rPr>
          <w:spacing w:val="-3"/>
        </w:rPr>
        <w:t xml:space="preserve">for </w:t>
      </w:r>
      <w:r>
        <w:t xml:space="preserve">suggestions on the lock-in exceptions policy. MassHealth should </w:t>
      </w:r>
      <w:r>
        <w:rPr>
          <w:spacing w:val="-3"/>
        </w:rPr>
        <w:t xml:space="preserve">ensure </w:t>
      </w:r>
      <w:r>
        <w:t>broad exceptions to enable members to change MCOs and access the care they need.</w:t>
      </w:r>
    </w:p>
    <w:p w:rsidR="002C5025" w:rsidRDefault="002C5025">
      <w:pPr>
        <w:pStyle w:val="BodyText"/>
        <w:kinsoku w:val="0"/>
        <w:overflowPunct w:val="0"/>
        <w:spacing w:before="8"/>
      </w:pPr>
    </w:p>
    <w:p w:rsidR="002C5025" w:rsidRDefault="002C5025">
      <w:pPr>
        <w:pStyle w:val="BodyText"/>
        <w:kinsoku w:val="0"/>
        <w:overflowPunct w:val="0"/>
        <w:spacing w:line="228" w:lineRule="auto"/>
        <w:ind w:left="119" w:right="144" w:hanging="1"/>
        <w:rPr>
          <w:position w:val="10"/>
          <w:sz w:val="14"/>
          <w:szCs w:val="14"/>
        </w:rPr>
      </w:pPr>
      <w:r>
        <w:t xml:space="preserve">In 2014, of the 36% of </w:t>
      </w:r>
      <w:r>
        <w:rPr>
          <w:spacing w:val="-2"/>
        </w:rPr>
        <w:t xml:space="preserve">the </w:t>
      </w:r>
      <w:r>
        <w:t xml:space="preserve">MassHealth caseload that experienced plan changes during the year; </w:t>
      </w:r>
      <w:r>
        <w:rPr>
          <w:spacing w:val="-2"/>
        </w:rPr>
        <w:t xml:space="preserve">30% </w:t>
      </w:r>
      <w:r>
        <w:t>were caused by involuntary plan changes related to eligibility and only 6% by voluntary plan changes.</w:t>
      </w:r>
      <w:r>
        <w:rPr>
          <w:position w:val="10"/>
          <w:sz w:val="14"/>
          <w:szCs w:val="14"/>
        </w:rPr>
        <w:t xml:space="preserve">6 </w:t>
      </w:r>
      <w:r>
        <w:t xml:space="preserve">Involuntary plan change or churn is a serious problem. Coordination and continuity of care depend on continuity of coverage. </w:t>
      </w:r>
      <w:r>
        <w:rPr>
          <w:spacing w:val="-2"/>
        </w:rPr>
        <w:t xml:space="preserve">For </w:t>
      </w:r>
      <w:r>
        <w:t>members, churn means disruptions in coverage, delayed care, worse health outcomes and medical debt.</w:t>
      </w:r>
      <w:r>
        <w:rPr>
          <w:position w:val="10"/>
          <w:sz w:val="14"/>
          <w:szCs w:val="14"/>
        </w:rPr>
        <w:t xml:space="preserve">7 </w:t>
      </w:r>
      <w:r>
        <w:rPr>
          <w:spacing w:val="-2"/>
        </w:rPr>
        <w:t xml:space="preserve">For </w:t>
      </w:r>
      <w:r>
        <w:t>MassHealth, it means the added administrative costs of terminating and reinstating eligibility.</w:t>
      </w:r>
      <w:r>
        <w:rPr>
          <w:position w:val="10"/>
          <w:sz w:val="14"/>
          <w:szCs w:val="14"/>
        </w:rPr>
        <w:t>8</w:t>
      </w:r>
    </w:p>
    <w:p w:rsidR="002C5025" w:rsidRDefault="002C5025">
      <w:pPr>
        <w:pStyle w:val="BodyText"/>
        <w:kinsoku w:val="0"/>
        <w:overflowPunct w:val="0"/>
        <w:spacing w:before="10"/>
      </w:pPr>
    </w:p>
    <w:p w:rsidR="002C5025" w:rsidRDefault="002C5025">
      <w:pPr>
        <w:pStyle w:val="BodyText"/>
        <w:kinsoku w:val="0"/>
        <w:overflowPunct w:val="0"/>
        <w:spacing w:line="235" w:lineRule="auto"/>
        <w:ind w:left="119" w:right="23"/>
        <w:rPr>
          <w:position w:val="10"/>
          <w:sz w:val="14"/>
          <w:szCs w:val="14"/>
        </w:rPr>
      </w:pPr>
      <w:r>
        <w:t xml:space="preserve">As most MassHealth enrollment volatility, or “churn”, occurs due to eligibility changes, rather than voluntary plan changes, we believe that policies to reduce churn should address the primary cause. MassHealth should consider policy options such as 12-month continuous eligibility to reduce churn. </w:t>
      </w:r>
      <w:r>
        <w:rPr>
          <w:spacing w:val="-3"/>
        </w:rPr>
        <w:t xml:space="preserve">One </w:t>
      </w:r>
      <w:r>
        <w:t xml:space="preserve">study estimated that within a six-month period, 35% of adults with incomes </w:t>
      </w:r>
      <w:r>
        <w:rPr>
          <w:spacing w:val="-3"/>
        </w:rPr>
        <w:t xml:space="preserve">below </w:t>
      </w:r>
      <w:r>
        <w:t xml:space="preserve">200% </w:t>
      </w:r>
      <w:r>
        <w:rPr>
          <w:spacing w:val="-2"/>
        </w:rPr>
        <w:t xml:space="preserve">FPL </w:t>
      </w:r>
      <w:r>
        <w:t xml:space="preserve">would have income changes that would shift their eligibility </w:t>
      </w:r>
      <w:r>
        <w:rPr>
          <w:spacing w:val="-3"/>
        </w:rPr>
        <w:t xml:space="preserve">from </w:t>
      </w:r>
      <w:r>
        <w:t xml:space="preserve">Medicaid to Marketplace coverage or the reverse; within a year, an estimated 50% would have </w:t>
      </w:r>
      <w:r>
        <w:rPr>
          <w:spacing w:val="-3"/>
        </w:rPr>
        <w:t xml:space="preserve">income </w:t>
      </w:r>
      <w:r>
        <w:t>changes requiring a program change.</w:t>
      </w:r>
      <w:r>
        <w:rPr>
          <w:position w:val="10"/>
          <w:sz w:val="14"/>
          <w:szCs w:val="14"/>
        </w:rPr>
        <w:t>9</w:t>
      </w:r>
    </w:p>
    <w:p w:rsidR="002C5025" w:rsidRDefault="002C5025">
      <w:pPr>
        <w:pStyle w:val="BodyText"/>
        <w:kinsoku w:val="0"/>
        <w:overflowPunct w:val="0"/>
        <w:spacing w:before="9"/>
      </w:pPr>
    </w:p>
    <w:p w:rsidR="002C5025" w:rsidRDefault="002C5025">
      <w:pPr>
        <w:pStyle w:val="BodyText"/>
        <w:kinsoku w:val="0"/>
        <w:overflowPunct w:val="0"/>
        <w:spacing w:line="230" w:lineRule="auto"/>
        <w:ind w:left="119" w:right="447"/>
      </w:pPr>
      <w:r>
        <w:t>Research shows that when beneficiaries are enrolled in Medicaid for longer periods, the average monthly cost for their care declines.</w:t>
      </w:r>
      <w:r>
        <w:rPr>
          <w:position w:val="10"/>
          <w:sz w:val="14"/>
          <w:szCs w:val="14"/>
        </w:rPr>
        <w:t xml:space="preserve">10 </w:t>
      </w:r>
      <w:r>
        <w:t>The Federal Medicaid statute includes a state option to enroll children for 12-months of continuous eligibility, which to date 23 states have taken up in both their Medicaid and Children’s Health Insurance Programs (CHIP), and a further 10 states in their CHIP programs alone.</w:t>
      </w:r>
      <w:r>
        <w:rPr>
          <w:position w:val="10"/>
          <w:sz w:val="14"/>
          <w:szCs w:val="14"/>
        </w:rPr>
        <w:t xml:space="preserve">11 </w:t>
      </w:r>
      <w:r>
        <w:t>While the Medicaid state plan option is limited to children, other authorities are available to extend the policy to adults.</w:t>
      </w:r>
    </w:p>
    <w:p w:rsidR="002C5025" w:rsidRDefault="002C5025">
      <w:pPr>
        <w:pStyle w:val="BodyText"/>
        <w:kinsoku w:val="0"/>
        <w:overflowPunct w:val="0"/>
        <w:spacing w:before="5"/>
        <w:rPr>
          <w:sz w:val="23"/>
          <w:szCs w:val="23"/>
        </w:rPr>
      </w:pPr>
    </w:p>
    <w:p w:rsidR="002C5025" w:rsidRDefault="002C5025">
      <w:pPr>
        <w:pStyle w:val="BodyText"/>
        <w:kinsoku w:val="0"/>
        <w:overflowPunct w:val="0"/>
        <w:spacing w:line="223" w:lineRule="auto"/>
        <w:ind w:left="118" w:right="83" w:firstLine="1"/>
      </w:pPr>
      <w:r>
        <w:t>CMS endorsed 12-month continuous eligibility for parents and other adults as a strategy available to states through 1115 demonstration authority.</w:t>
      </w:r>
      <w:r>
        <w:rPr>
          <w:position w:val="10"/>
          <w:sz w:val="14"/>
          <w:szCs w:val="14"/>
        </w:rPr>
        <w:t xml:space="preserve">12 </w:t>
      </w:r>
      <w:r>
        <w:t>New York and Montana have 1115 Waiver authority to extend continuous eligibility to parents and other adults.</w:t>
      </w:r>
      <w:r>
        <w:rPr>
          <w:position w:val="10"/>
          <w:sz w:val="14"/>
          <w:szCs w:val="14"/>
        </w:rPr>
        <w:t xml:space="preserve">13 </w:t>
      </w:r>
      <w:r>
        <w:t>After analyzing studies of the adverse effects of churning, the Medicaid and CHIP Payment and Access Commission has recommended that Congress give states an option to provide 12 month continuous eligibility for adults.</w:t>
      </w:r>
      <w:r>
        <w:rPr>
          <w:position w:val="10"/>
          <w:sz w:val="14"/>
          <w:szCs w:val="14"/>
        </w:rPr>
        <w:t xml:space="preserve">14 </w:t>
      </w:r>
      <w:r>
        <w:t>There is also more limited</w:t>
      </w:r>
    </w:p>
    <w:p w:rsidR="002C5025" w:rsidRDefault="002C5025">
      <w:pPr>
        <w:pStyle w:val="BodyText"/>
        <w:kinsoku w:val="0"/>
        <w:overflowPunct w:val="0"/>
        <w:rPr>
          <w:sz w:val="20"/>
          <w:szCs w:val="20"/>
        </w:rPr>
      </w:pPr>
    </w:p>
    <w:p w:rsidR="002C5025" w:rsidRDefault="00FB027C">
      <w:pPr>
        <w:pStyle w:val="BodyText"/>
        <w:kinsoku w:val="0"/>
        <w:overflowPunct w:val="0"/>
        <w:spacing w:before="6"/>
        <w:rPr>
          <w:sz w:val="12"/>
          <w:szCs w:val="12"/>
        </w:rPr>
      </w:pPr>
      <w:r>
        <w:rPr>
          <w:noProof/>
        </w:rPr>
        <mc:AlternateContent>
          <mc:Choice Requires="wps">
            <w:drawing>
              <wp:anchor distT="0" distB="0" distL="0" distR="0" simplePos="0" relativeHeight="251464192" behindDoc="0" locked="0" layoutInCell="0" allowOverlap="1">
                <wp:simplePos x="0" y="0"/>
                <wp:positionH relativeFrom="page">
                  <wp:posOffset>923925</wp:posOffset>
                </wp:positionH>
                <wp:positionV relativeFrom="paragraph">
                  <wp:posOffset>127000</wp:posOffset>
                </wp:positionV>
                <wp:extent cx="1829435" cy="12700"/>
                <wp:effectExtent l="0" t="0" r="0" b="0"/>
                <wp:wrapTopAndBottom/>
                <wp:docPr id="988"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1 w 2881"/>
                            <a:gd name="T3" fmla="*/ 0 h 20"/>
                          </a:gdLst>
                          <a:ahLst/>
                          <a:cxnLst>
                            <a:cxn ang="0">
                              <a:pos x="T0" y="T1"/>
                            </a:cxn>
                            <a:cxn ang="0">
                              <a:pos x="T2" y="T3"/>
                            </a:cxn>
                          </a:cxnLst>
                          <a:rect l="0" t="0" r="r" b="b"/>
                          <a:pathLst>
                            <a:path w="2881" h="20">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7" o:spid="_x0000_s1026" style="position:absolute;z-index:251464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2.75pt,10pt,216.8pt,10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" o:allowincell="f" filled="f" strokeweight=".82pt">
                <v:path arrowok="t" o:connecttype="custom" o:connectlocs="0,0;1829435,0" o:connectangles="0,0"/>
                <w10:wrap type="topAndBottom" anchorx="page"/>
              </v:polyline>
            </w:pict>
          </mc:Fallback>
        </mc:AlternateContent>
      </w:r>
    </w:p>
    <w:p w:rsidR="002C5025" w:rsidRDefault="002C5025">
      <w:pPr>
        <w:pStyle w:val="BodyText"/>
        <w:kinsoku w:val="0"/>
        <w:overflowPunct w:val="0"/>
        <w:spacing w:before="38"/>
        <w:ind w:left="120" w:right="160"/>
        <w:rPr>
          <w:sz w:val="20"/>
          <w:szCs w:val="20"/>
        </w:rPr>
      </w:pPr>
      <w:r>
        <w:rPr>
          <w:position w:val="10"/>
          <w:sz w:val="13"/>
          <w:szCs w:val="13"/>
        </w:rPr>
        <w:t>6</w:t>
      </w:r>
      <w:r>
        <w:rPr>
          <w:spacing w:val="1"/>
          <w:position w:val="10"/>
          <w:sz w:val="13"/>
          <w:szCs w:val="13"/>
        </w:rPr>
        <w:t xml:space="preserve"> </w:t>
      </w:r>
      <w:r>
        <w:rPr>
          <w:sz w:val="20"/>
          <w:szCs w:val="20"/>
        </w:rPr>
        <w:t>Report</w:t>
      </w:r>
      <w:r>
        <w:rPr>
          <w:spacing w:val="-9"/>
          <w:sz w:val="20"/>
          <w:szCs w:val="20"/>
        </w:rPr>
        <w:t xml:space="preserve"> </w:t>
      </w:r>
      <w:r>
        <w:rPr>
          <w:sz w:val="20"/>
          <w:szCs w:val="20"/>
        </w:rPr>
        <w:t>of</w:t>
      </w:r>
      <w:r>
        <w:rPr>
          <w:spacing w:val="-13"/>
          <w:sz w:val="20"/>
          <w:szCs w:val="20"/>
        </w:rPr>
        <w:t xml:space="preserve"> </w:t>
      </w:r>
      <w:r>
        <w:rPr>
          <w:sz w:val="20"/>
          <w:szCs w:val="20"/>
        </w:rPr>
        <w:t>the</w:t>
      </w:r>
      <w:r>
        <w:rPr>
          <w:spacing w:val="-13"/>
          <w:sz w:val="20"/>
          <w:szCs w:val="20"/>
        </w:rPr>
        <w:t xml:space="preserve"> </w:t>
      </w:r>
      <w:r>
        <w:rPr>
          <w:sz w:val="20"/>
          <w:szCs w:val="20"/>
        </w:rPr>
        <w:t>Working</w:t>
      </w:r>
      <w:r>
        <w:rPr>
          <w:spacing w:val="-12"/>
          <w:sz w:val="20"/>
          <w:szCs w:val="20"/>
        </w:rPr>
        <w:t xml:space="preserve"> </w:t>
      </w:r>
      <w:r>
        <w:rPr>
          <w:sz w:val="20"/>
          <w:szCs w:val="20"/>
        </w:rPr>
        <w:t>Group</w:t>
      </w:r>
      <w:r>
        <w:rPr>
          <w:spacing w:val="-9"/>
          <w:sz w:val="20"/>
          <w:szCs w:val="20"/>
        </w:rPr>
        <w:t xml:space="preserve"> </w:t>
      </w:r>
      <w:r>
        <w:rPr>
          <w:sz w:val="20"/>
          <w:szCs w:val="20"/>
        </w:rPr>
        <w:t>on</w:t>
      </w:r>
      <w:r>
        <w:rPr>
          <w:spacing w:val="-11"/>
          <w:sz w:val="20"/>
          <w:szCs w:val="20"/>
        </w:rPr>
        <w:t xml:space="preserve"> </w:t>
      </w:r>
      <w:r>
        <w:rPr>
          <w:sz w:val="20"/>
          <w:szCs w:val="20"/>
        </w:rPr>
        <w:t>Medicaid</w:t>
      </w:r>
      <w:r>
        <w:rPr>
          <w:spacing w:val="-11"/>
          <w:sz w:val="20"/>
          <w:szCs w:val="20"/>
        </w:rPr>
        <w:t xml:space="preserve"> </w:t>
      </w:r>
      <w:r>
        <w:rPr>
          <w:sz w:val="20"/>
          <w:szCs w:val="20"/>
        </w:rPr>
        <w:t>Managed</w:t>
      </w:r>
      <w:r>
        <w:rPr>
          <w:spacing w:val="-11"/>
          <w:sz w:val="20"/>
          <w:szCs w:val="20"/>
        </w:rPr>
        <w:t xml:space="preserve"> </w:t>
      </w:r>
      <w:r>
        <w:rPr>
          <w:sz w:val="20"/>
          <w:szCs w:val="20"/>
        </w:rPr>
        <w:t>Care</w:t>
      </w:r>
      <w:r>
        <w:rPr>
          <w:spacing w:val="-11"/>
          <w:sz w:val="20"/>
          <w:szCs w:val="20"/>
        </w:rPr>
        <w:t xml:space="preserve"> </w:t>
      </w:r>
      <w:r>
        <w:rPr>
          <w:sz w:val="20"/>
          <w:szCs w:val="20"/>
        </w:rPr>
        <w:t>Organizations,</w:t>
      </w:r>
      <w:r>
        <w:rPr>
          <w:spacing w:val="-12"/>
          <w:sz w:val="20"/>
          <w:szCs w:val="20"/>
        </w:rPr>
        <w:t xml:space="preserve"> </w:t>
      </w:r>
      <w:r>
        <w:rPr>
          <w:sz w:val="20"/>
          <w:szCs w:val="20"/>
        </w:rPr>
        <w:t>MA</w:t>
      </w:r>
      <w:r>
        <w:rPr>
          <w:spacing w:val="-12"/>
          <w:sz w:val="20"/>
          <w:szCs w:val="20"/>
        </w:rPr>
        <w:t xml:space="preserve"> </w:t>
      </w:r>
      <w:r>
        <w:rPr>
          <w:sz w:val="20"/>
          <w:szCs w:val="20"/>
        </w:rPr>
        <w:t>House</w:t>
      </w:r>
      <w:r>
        <w:rPr>
          <w:spacing w:val="-13"/>
          <w:sz w:val="20"/>
          <w:szCs w:val="20"/>
        </w:rPr>
        <w:t xml:space="preserve"> </w:t>
      </w:r>
      <w:r>
        <w:rPr>
          <w:sz w:val="20"/>
          <w:szCs w:val="20"/>
        </w:rPr>
        <w:t>of</w:t>
      </w:r>
      <w:r>
        <w:rPr>
          <w:spacing w:val="-13"/>
          <w:sz w:val="20"/>
          <w:szCs w:val="20"/>
        </w:rPr>
        <w:t xml:space="preserve"> </w:t>
      </w:r>
      <w:r>
        <w:rPr>
          <w:sz w:val="20"/>
          <w:szCs w:val="20"/>
        </w:rPr>
        <w:t>Representatives,</w:t>
      </w:r>
      <w:r>
        <w:rPr>
          <w:spacing w:val="-11"/>
          <w:sz w:val="20"/>
          <w:szCs w:val="20"/>
        </w:rPr>
        <w:t xml:space="preserve"> </w:t>
      </w:r>
      <w:r>
        <w:rPr>
          <w:sz w:val="20"/>
          <w:szCs w:val="20"/>
        </w:rPr>
        <w:t>October 2015.</w:t>
      </w:r>
    </w:p>
    <w:p w:rsidR="002C5025" w:rsidRDefault="002C5025">
      <w:pPr>
        <w:pStyle w:val="BodyText"/>
        <w:kinsoku w:val="0"/>
        <w:overflowPunct w:val="0"/>
        <w:spacing w:before="1" w:line="240" w:lineRule="exact"/>
        <w:ind w:left="120" w:right="160"/>
        <w:rPr>
          <w:sz w:val="20"/>
          <w:szCs w:val="20"/>
        </w:rPr>
      </w:pPr>
      <w:r>
        <w:rPr>
          <w:position w:val="10"/>
          <w:sz w:val="13"/>
          <w:szCs w:val="13"/>
        </w:rPr>
        <w:t>7</w:t>
      </w:r>
      <w:r>
        <w:rPr>
          <w:spacing w:val="-1"/>
          <w:position w:val="10"/>
          <w:sz w:val="13"/>
          <w:szCs w:val="13"/>
        </w:rPr>
        <w:t xml:space="preserve"> </w:t>
      </w:r>
      <w:r>
        <w:rPr>
          <w:sz w:val="20"/>
          <w:szCs w:val="20"/>
        </w:rPr>
        <w:t>R.</w:t>
      </w:r>
      <w:r>
        <w:rPr>
          <w:spacing w:val="-12"/>
          <w:sz w:val="20"/>
          <w:szCs w:val="20"/>
        </w:rPr>
        <w:t xml:space="preserve"> </w:t>
      </w:r>
      <w:r>
        <w:rPr>
          <w:sz w:val="20"/>
          <w:szCs w:val="20"/>
        </w:rPr>
        <w:t>Seifert,</w:t>
      </w:r>
      <w:r>
        <w:rPr>
          <w:spacing w:val="-13"/>
          <w:sz w:val="20"/>
          <w:szCs w:val="20"/>
        </w:rPr>
        <w:t xml:space="preserve"> </w:t>
      </w:r>
      <w:r>
        <w:rPr>
          <w:sz w:val="20"/>
          <w:szCs w:val="20"/>
        </w:rPr>
        <w:t>et</w:t>
      </w:r>
      <w:r>
        <w:rPr>
          <w:spacing w:val="-14"/>
          <w:sz w:val="20"/>
          <w:szCs w:val="20"/>
        </w:rPr>
        <w:t xml:space="preserve"> </w:t>
      </w:r>
      <w:r>
        <w:rPr>
          <w:sz w:val="20"/>
          <w:szCs w:val="20"/>
        </w:rPr>
        <w:t>al.,</w:t>
      </w:r>
      <w:r>
        <w:rPr>
          <w:spacing w:val="-14"/>
          <w:sz w:val="20"/>
          <w:szCs w:val="20"/>
        </w:rPr>
        <w:t xml:space="preserve"> </w:t>
      </w:r>
      <w:r>
        <w:rPr>
          <w:sz w:val="20"/>
          <w:szCs w:val="20"/>
        </w:rPr>
        <w:t>Enrollment</w:t>
      </w:r>
      <w:r>
        <w:rPr>
          <w:spacing w:val="-14"/>
          <w:sz w:val="20"/>
          <w:szCs w:val="20"/>
        </w:rPr>
        <w:t xml:space="preserve"> </w:t>
      </w:r>
      <w:r>
        <w:rPr>
          <w:sz w:val="20"/>
          <w:szCs w:val="20"/>
        </w:rPr>
        <w:t>and</w:t>
      </w:r>
      <w:r>
        <w:rPr>
          <w:spacing w:val="-13"/>
          <w:sz w:val="20"/>
          <w:szCs w:val="20"/>
        </w:rPr>
        <w:t xml:space="preserve"> </w:t>
      </w:r>
      <w:r>
        <w:rPr>
          <w:sz w:val="20"/>
          <w:szCs w:val="20"/>
        </w:rPr>
        <w:t>Disenrollment</w:t>
      </w:r>
      <w:r>
        <w:rPr>
          <w:spacing w:val="-14"/>
          <w:sz w:val="20"/>
          <w:szCs w:val="20"/>
        </w:rPr>
        <w:t xml:space="preserve"> </w:t>
      </w:r>
      <w:r>
        <w:rPr>
          <w:sz w:val="20"/>
          <w:szCs w:val="20"/>
        </w:rPr>
        <w:t>in</w:t>
      </w:r>
      <w:r>
        <w:rPr>
          <w:spacing w:val="-13"/>
          <w:sz w:val="20"/>
          <w:szCs w:val="20"/>
        </w:rPr>
        <w:t xml:space="preserve"> </w:t>
      </w:r>
      <w:r>
        <w:rPr>
          <w:sz w:val="20"/>
          <w:szCs w:val="20"/>
        </w:rPr>
        <w:t>MassHealth</w:t>
      </w:r>
      <w:r>
        <w:rPr>
          <w:spacing w:val="-13"/>
          <w:sz w:val="20"/>
          <w:szCs w:val="20"/>
        </w:rPr>
        <w:t xml:space="preserve"> </w:t>
      </w:r>
      <w:r>
        <w:rPr>
          <w:sz w:val="20"/>
          <w:szCs w:val="20"/>
        </w:rPr>
        <w:t>and</w:t>
      </w:r>
      <w:r>
        <w:rPr>
          <w:spacing w:val="-13"/>
          <w:sz w:val="20"/>
          <w:szCs w:val="20"/>
        </w:rPr>
        <w:t xml:space="preserve"> </w:t>
      </w:r>
      <w:r>
        <w:rPr>
          <w:sz w:val="20"/>
          <w:szCs w:val="20"/>
        </w:rPr>
        <w:t>Commonwealth</w:t>
      </w:r>
      <w:r>
        <w:rPr>
          <w:spacing w:val="-13"/>
          <w:sz w:val="20"/>
          <w:szCs w:val="20"/>
        </w:rPr>
        <w:t xml:space="preserve"> </w:t>
      </w:r>
      <w:r>
        <w:rPr>
          <w:sz w:val="20"/>
          <w:szCs w:val="20"/>
        </w:rPr>
        <w:t>Care,</w:t>
      </w:r>
      <w:r>
        <w:rPr>
          <w:spacing w:val="-14"/>
          <w:sz w:val="20"/>
          <w:szCs w:val="20"/>
        </w:rPr>
        <w:t xml:space="preserve"> </w:t>
      </w:r>
      <w:r>
        <w:rPr>
          <w:sz w:val="20"/>
          <w:szCs w:val="20"/>
        </w:rPr>
        <w:t>Massachusetts</w:t>
      </w:r>
      <w:r>
        <w:rPr>
          <w:spacing w:val="-15"/>
          <w:sz w:val="20"/>
          <w:szCs w:val="20"/>
        </w:rPr>
        <w:t xml:space="preserve"> </w:t>
      </w:r>
      <w:r>
        <w:rPr>
          <w:sz w:val="20"/>
          <w:szCs w:val="20"/>
        </w:rPr>
        <w:t>Medicaid Policy</w:t>
      </w:r>
      <w:r>
        <w:rPr>
          <w:spacing w:val="-15"/>
          <w:sz w:val="20"/>
          <w:szCs w:val="20"/>
        </w:rPr>
        <w:t xml:space="preserve"> </w:t>
      </w:r>
      <w:r>
        <w:rPr>
          <w:sz w:val="20"/>
          <w:szCs w:val="20"/>
        </w:rPr>
        <w:t>Institute,</w:t>
      </w:r>
      <w:r>
        <w:rPr>
          <w:spacing w:val="-13"/>
          <w:sz w:val="20"/>
          <w:szCs w:val="20"/>
        </w:rPr>
        <w:t xml:space="preserve"> </w:t>
      </w:r>
      <w:r>
        <w:rPr>
          <w:sz w:val="20"/>
          <w:szCs w:val="20"/>
        </w:rPr>
        <w:t>2010;</w:t>
      </w:r>
      <w:r>
        <w:rPr>
          <w:spacing w:val="-15"/>
          <w:sz w:val="20"/>
          <w:szCs w:val="20"/>
        </w:rPr>
        <w:t xml:space="preserve"> </w:t>
      </w:r>
      <w:r>
        <w:rPr>
          <w:sz w:val="20"/>
          <w:szCs w:val="20"/>
        </w:rPr>
        <w:t>L.</w:t>
      </w:r>
      <w:r>
        <w:rPr>
          <w:spacing w:val="-12"/>
          <w:sz w:val="20"/>
          <w:szCs w:val="20"/>
        </w:rPr>
        <w:t xml:space="preserve"> </w:t>
      </w:r>
      <w:r>
        <w:rPr>
          <w:sz w:val="20"/>
          <w:szCs w:val="20"/>
        </w:rPr>
        <w:t>Ku,</w:t>
      </w:r>
      <w:r>
        <w:rPr>
          <w:spacing w:val="-14"/>
          <w:sz w:val="20"/>
          <w:szCs w:val="20"/>
        </w:rPr>
        <w:t xml:space="preserve"> </w:t>
      </w:r>
      <w:r>
        <w:rPr>
          <w:sz w:val="20"/>
          <w:szCs w:val="20"/>
        </w:rPr>
        <w:t>New</w:t>
      </w:r>
      <w:r>
        <w:rPr>
          <w:spacing w:val="-15"/>
          <w:sz w:val="20"/>
          <w:szCs w:val="20"/>
        </w:rPr>
        <w:t xml:space="preserve"> </w:t>
      </w:r>
      <w:r>
        <w:rPr>
          <w:sz w:val="20"/>
          <w:szCs w:val="20"/>
        </w:rPr>
        <w:t>Research</w:t>
      </w:r>
      <w:r>
        <w:rPr>
          <w:spacing w:val="-13"/>
          <w:sz w:val="20"/>
          <w:szCs w:val="20"/>
        </w:rPr>
        <w:t xml:space="preserve"> </w:t>
      </w:r>
      <w:r>
        <w:rPr>
          <w:sz w:val="20"/>
          <w:szCs w:val="20"/>
        </w:rPr>
        <w:t>Shows</w:t>
      </w:r>
      <w:r>
        <w:rPr>
          <w:spacing w:val="-15"/>
          <w:sz w:val="20"/>
          <w:szCs w:val="20"/>
        </w:rPr>
        <w:t xml:space="preserve"> </w:t>
      </w:r>
      <w:r>
        <w:rPr>
          <w:sz w:val="20"/>
          <w:szCs w:val="20"/>
        </w:rPr>
        <w:t>Simplifying</w:t>
      </w:r>
      <w:r>
        <w:rPr>
          <w:spacing w:val="-14"/>
          <w:sz w:val="20"/>
          <w:szCs w:val="20"/>
        </w:rPr>
        <w:t xml:space="preserve"> </w:t>
      </w:r>
      <w:r>
        <w:rPr>
          <w:sz w:val="20"/>
          <w:szCs w:val="20"/>
        </w:rPr>
        <w:t>Medicaid</w:t>
      </w:r>
      <w:r>
        <w:rPr>
          <w:spacing w:val="-13"/>
          <w:sz w:val="20"/>
          <w:szCs w:val="20"/>
        </w:rPr>
        <w:t xml:space="preserve"> </w:t>
      </w:r>
      <w:r>
        <w:rPr>
          <w:sz w:val="20"/>
          <w:szCs w:val="20"/>
        </w:rPr>
        <w:t>Can</w:t>
      </w:r>
      <w:r>
        <w:rPr>
          <w:spacing w:val="-11"/>
          <w:sz w:val="20"/>
          <w:szCs w:val="20"/>
        </w:rPr>
        <w:t xml:space="preserve"> </w:t>
      </w:r>
      <w:r>
        <w:rPr>
          <w:sz w:val="20"/>
          <w:szCs w:val="20"/>
        </w:rPr>
        <w:t>Reduce</w:t>
      </w:r>
      <w:r>
        <w:rPr>
          <w:spacing w:val="-13"/>
          <w:sz w:val="20"/>
          <w:szCs w:val="20"/>
        </w:rPr>
        <w:t xml:space="preserve"> </w:t>
      </w:r>
      <w:r>
        <w:rPr>
          <w:sz w:val="20"/>
          <w:szCs w:val="20"/>
        </w:rPr>
        <w:t>Children’s</w:t>
      </w:r>
      <w:r>
        <w:rPr>
          <w:spacing w:val="-17"/>
          <w:sz w:val="20"/>
          <w:szCs w:val="20"/>
        </w:rPr>
        <w:t xml:space="preserve"> </w:t>
      </w:r>
      <w:r>
        <w:rPr>
          <w:sz w:val="20"/>
          <w:szCs w:val="20"/>
        </w:rPr>
        <w:t>Hospitalizations,</w:t>
      </w:r>
    </w:p>
    <w:p w:rsidR="002C5025" w:rsidRDefault="002C5025">
      <w:pPr>
        <w:pStyle w:val="BodyText"/>
        <w:kinsoku w:val="0"/>
        <w:overflowPunct w:val="0"/>
        <w:spacing w:before="6"/>
        <w:ind w:left="120" w:right="160"/>
        <w:rPr>
          <w:sz w:val="20"/>
          <w:szCs w:val="20"/>
        </w:rPr>
      </w:pPr>
      <w:r>
        <w:rPr>
          <w:sz w:val="20"/>
          <w:szCs w:val="20"/>
        </w:rPr>
        <w:t>Center</w:t>
      </w:r>
      <w:r>
        <w:rPr>
          <w:spacing w:val="-12"/>
          <w:sz w:val="20"/>
          <w:szCs w:val="20"/>
        </w:rPr>
        <w:t xml:space="preserve"> </w:t>
      </w:r>
      <w:r>
        <w:rPr>
          <w:sz w:val="20"/>
          <w:szCs w:val="20"/>
        </w:rPr>
        <w:t>on</w:t>
      </w:r>
      <w:r>
        <w:rPr>
          <w:spacing w:val="-10"/>
          <w:sz w:val="20"/>
          <w:szCs w:val="20"/>
        </w:rPr>
        <w:t xml:space="preserve"> </w:t>
      </w:r>
      <w:r>
        <w:rPr>
          <w:sz w:val="20"/>
          <w:szCs w:val="20"/>
        </w:rPr>
        <w:t>Budget</w:t>
      </w:r>
      <w:r>
        <w:rPr>
          <w:spacing w:val="-10"/>
          <w:sz w:val="20"/>
          <w:szCs w:val="20"/>
        </w:rPr>
        <w:t xml:space="preserve"> </w:t>
      </w:r>
      <w:r>
        <w:rPr>
          <w:sz w:val="20"/>
          <w:szCs w:val="20"/>
        </w:rPr>
        <w:t>and</w:t>
      </w:r>
      <w:r>
        <w:rPr>
          <w:spacing w:val="-10"/>
          <w:sz w:val="20"/>
          <w:szCs w:val="20"/>
        </w:rPr>
        <w:t xml:space="preserve"> </w:t>
      </w:r>
      <w:r>
        <w:rPr>
          <w:sz w:val="20"/>
          <w:szCs w:val="20"/>
        </w:rPr>
        <w:t>Policy</w:t>
      </w:r>
      <w:r>
        <w:rPr>
          <w:spacing w:val="-11"/>
          <w:sz w:val="20"/>
          <w:szCs w:val="20"/>
        </w:rPr>
        <w:t xml:space="preserve"> </w:t>
      </w:r>
      <w:r>
        <w:rPr>
          <w:sz w:val="20"/>
          <w:szCs w:val="20"/>
        </w:rPr>
        <w:t>Priorities,</w:t>
      </w:r>
      <w:r>
        <w:rPr>
          <w:spacing w:val="-8"/>
          <w:sz w:val="20"/>
          <w:szCs w:val="20"/>
        </w:rPr>
        <w:t xml:space="preserve"> </w:t>
      </w:r>
      <w:r>
        <w:rPr>
          <w:sz w:val="20"/>
          <w:szCs w:val="20"/>
        </w:rPr>
        <w:t>June</w:t>
      </w:r>
      <w:r>
        <w:rPr>
          <w:spacing w:val="-13"/>
          <w:sz w:val="20"/>
          <w:szCs w:val="20"/>
        </w:rPr>
        <w:t xml:space="preserve"> </w:t>
      </w:r>
      <w:r>
        <w:rPr>
          <w:sz w:val="20"/>
          <w:szCs w:val="20"/>
        </w:rPr>
        <w:t>2007;</w:t>
      </w:r>
      <w:r>
        <w:rPr>
          <w:spacing w:val="-10"/>
          <w:sz w:val="20"/>
          <w:szCs w:val="20"/>
        </w:rPr>
        <w:t xml:space="preserve"> </w:t>
      </w:r>
      <w:r>
        <w:rPr>
          <w:sz w:val="20"/>
          <w:szCs w:val="20"/>
        </w:rPr>
        <w:t>L.</w:t>
      </w:r>
      <w:r>
        <w:rPr>
          <w:spacing w:val="-10"/>
          <w:sz w:val="20"/>
          <w:szCs w:val="20"/>
        </w:rPr>
        <w:t xml:space="preserve"> </w:t>
      </w:r>
      <w:r>
        <w:rPr>
          <w:sz w:val="20"/>
          <w:szCs w:val="20"/>
        </w:rPr>
        <w:t>Olson,</w:t>
      </w:r>
      <w:r>
        <w:rPr>
          <w:spacing w:val="26"/>
          <w:sz w:val="20"/>
          <w:szCs w:val="20"/>
        </w:rPr>
        <w:t xml:space="preserve"> </w:t>
      </w:r>
      <w:r>
        <w:rPr>
          <w:sz w:val="20"/>
          <w:szCs w:val="20"/>
        </w:rPr>
        <w:t>et</w:t>
      </w:r>
      <w:r>
        <w:rPr>
          <w:spacing w:val="-10"/>
          <w:sz w:val="20"/>
          <w:szCs w:val="20"/>
        </w:rPr>
        <w:t xml:space="preserve"> </w:t>
      </w:r>
      <w:r>
        <w:rPr>
          <w:sz w:val="20"/>
          <w:szCs w:val="20"/>
        </w:rPr>
        <w:t>al.,</w:t>
      </w:r>
      <w:r>
        <w:rPr>
          <w:spacing w:val="-10"/>
          <w:sz w:val="20"/>
          <w:szCs w:val="20"/>
        </w:rPr>
        <w:t xml:space="preserve"> </w:t>
      </w:r>
      <w:r>
        <w:rPr>
          <w:sz w:val="20"/>
          <w:szCs w:val="20"/>
        </w:rPr>
        <w:t>Children</w:t>
      </w:r>
      <w:r>
        <w:rPr>
          <w:spacing w:val="-10"/>
          <w:sz w:val="20"/>
          <w:szCs w:val="20"/>
        </w:rPr>
        <w:t xml:space="preserve"> </w:t>
      </w:r>
      <w:r>
        <w:rPr>
          <w:sz w:val="20"/>
          <w:szCs w:val="20"/>
        </w:rPr>
        <w:t>in</w:t>
      </w:r>
      <w:r>
        <w:rPr>
          <w:spacing w:val="-10"/>
          <w:sz w:val="20"/>
          <w:szCs w:val="20"/>
        </w:rPr>
        <w:t xml:space="preserve"> </w:t>
      </w:r>
      <w:r>
        <w:rPr>
          <w:sz w:val="20"/>
          <w:szCs w:val="20"/>
        </w:rPr>
        <w:t>the</w:t>
      </w:r>
      <w:r>
        <w:rPr>
          <w:spacing w:val="-13"/>
          <w:sz w:val="20"/>
          <w:szCs w:val="20"/>
        </w:rPr>
        <w:t xml:space="preserve"> </w:t>
      </w:r>
      <w:r>
        <w:rPr>
          <w:sz w:val="20"/>
          <w:szCs w:val="20"/>
        </w:rPr>
        <w:t>United</w:t>
      </w:r>
      <w:r>
        <w:rPr>
          <w:spacing w:val="-10"/>
          <w:sz w:val="20"/>
          <w:szCs w:val="20"/>
        </w:rPr>
        <w:t xml:space="preserve"> </w:t>
      </w:r>
      <w:r>
        <w:rPr>
          <w:sz w:val="20"/>
          <w:szCs w:val="20"/>
        </w:rPr>
        <w:t>States</w:t>
      </w:r>
      <w:r>
        <w:rPr>
          <w:spacing w:val="-11"/>
          <w:sz w:val="20"/>
          <w:szCs w:val="20"/>
        </w:rPr>
        <w:t xml:space="preserve"> </w:t>
      </w:r>
      <w:r>
        <w:rPr>
          <w:sz w:val="20"/>
          <w:szCs w:val="20"/>
        </w:rPr>
        <w:t>with</w:t>
      </w:r>
      <w:r>
        <w:rPr>
          <w:spacing w:val="-10"/>
          <w:sz w:val="20"/>
          <w:szCs w:val="20"/>
        </w:rPr>
        <w:t xml:space="preserve"> </w:t>
      </w:r>
      <w:r>
        <w:rPr>
          <w:sz w:val="20"/>
          <w:szCs w:val="20"/>
        </w:rPr>
        <w:t>Discontinuous Health</w:t>
      </w:r>
      <w:r>
        <w:rPr>
          <w:spacing w:val="-21"/>
          <w:sz w:val="20"/>
          <w:szCs w:val="20"/>
        </w:rPr>
        <w:t xml:space="preserve"> </w:t>
      </w:r>
      <w:r>
        <w:rPr>
          <w:sz w:val="20"/>
          <w:szCs w:val="20"/>
        </w:rPr>
        <w:t>Insurance</w:t>
      </w:r>
      <w:r>
        <w:rPr>
          <w:spacing w:val="-22"/>
          <w:sz w:val="20"/>
          <w:szCs w:val="20"/>
        </w:rPr>
        <w:t xml:space="preserve"> </w:t>
      </w:r>
      <w:r>
        <w:rPr>
          <w:sz w:val="20"/>
          <w:szCs w:val="20"/>
        </w:rPr>
        <w:t>Coverage,”</w:t>
      </w:r>
      <w:r>
        <w:rPr>
          <w:spacing w:val="-18"/>
          <w:sz w:val="20"/>
          <w:szCs w:val="20"/>
        </w:rPr>
        <w:t xml:space="preserve"> </w:t>
      </w:r>
      <w:r>
        <w:rPr>
          <w:sz w:val="20"/>
          <w:szCs w:val="20"/>
        </w:rPr>
        <w:t>NEJM,</w:t>
      </w:r>
      <w:r>
        <w:rPr>
          <w:spacing w:val="-19"/>
          <w:sz w:val="20"/>
          <w:szCs w:val="20"/>
        </w:rPr>
        <w:t xml:space="preserve"> </w:t>
      </w:r>
      <w:r>
        <w:rPr>
          <w:sz w:val="20"/>
          <w:szCs w:val="20"/>
        </w:rPr>
        <w:t>353:382-391</w:t>
      </w:r>
      <w:r>
        <w:rPr>
          <w:spacing w:val="-20"/>
          <w:sz w:val="20"/>
          <w:szCs w:val="20"/>
        </w:rPr>
        <w:t xml:space="preserve"> </w:t>
      </w:r>
      <w:r>
        <w:rPr>
          <w:sz w:val="20"/>
          <w:szCs w:val="20"/>
        </w:rPr>
        <w:t>(2005).</w:t>
      </w:r>
    </w:p>
    <w:p w:rsidR="002C5025" w:rsidRDefault="002C5025">
      <w:pPr>
        <w:pStyle w:val="BodyText"/>
        <w:kinsoku w:val="0"/>
        <w:overflowPunct w:val="0"/>
        <w:spacing w:line="224" w:lineRule="exact"/>
        <w:ind w:left="120" w:right="814"/>
        <w:rPr>
          <w:sz w:val="20"/>
          <w:szCs w:val="20"/>
        </w:rPr>
      </w:pPr>
      <w:r>
        <w:rPr>
          <w:position w:val="10"/>
          <w:sz w:val="13"/>
          <w:szCs w:val="13"/>
        </w:rPr>
        <w:t xml:space="preserve">8 </w:t>
      </w:r>
      <w:r>
        <w:rPr>
          <w:sz w:val="20"/>
          <w:szCs w:val="20"/>
        </w:rPr>
        <w:t>Supra.</w:t>
      </w:r>
    </w:p>
    <w:p w:rsidR="002C5025" w:rsidRDefault="002C5025">
      <w:pPr>
        <w:pStyle w:val="BodyText"/>
        <w:kinsoku w:val="0"/>
        <w:overflowPunct w:val="0"/>
        <w:spacing w:before="18" w:line="242" w:lineRule="exact"/>
        <w:ind w:left="120" w:right="179"/>
        <w:rPr>
          <w:sz w:val="20"/>
          <w:szCs w:val="20"/>
        </w:rPr>
      </w:pPr>
      <w:r>
        <w:rPr>
          <w:position w:val="10"/>
          <w:sz w:val="13"/>
          <w:szCs w:val="13"/>
        </w:rPr>
        <w:t xml:space="preserve">9 </w:t>
      </w:r>
      <w:r>
        <w:rPr>
          <w:sz w:val="20"/>
          <w:szCs w:val="20"/>
        </w:rPr>
        <w:t>Sommers, B., and S. Rosenbaum. Issues in health reform: How changes in eligibility may move millions back and forth between Medicaid and insurance exchanges. Health Affairs 30, (2011) no. 2: 228–236.</w:t>
      </w:r>
    </w:p>
    <w:p w:rsidR="002C5025" w:rsidRDefault="002C5025">
      <w:pPr>
        <w:pStyle w:val="BodyText"/>
        <w:kinsoku w:val="0"/>
        <w:overflowPunct w:val="0"/>
        <w:spacing w:before="7" w:line="240" w:lineRule="exact"/>
        <w:ind w:left="120" w:right="160"/>
        <w:rPr>
          <w:sz w:val="20"/>
          <w:szCs w:val="20"/>
        </w:rPr>
      </w:pPr>
      <w:r>
        <w:rPr>
          <w:position w:val="10"/>
          <w:sz w:val="13"/>
          <w:szCs w:val="13"/>
        </w:rPr>
        <w:t>10</w:t>
      </w:r>
      <w:r>
        <w:rPr>
          <w:spacing w:val="3"/>
          <w:position w:val="10"/>
          <w:sz w:val="13"/>
          <w:szCs w:val="13"/>
        </w:rPr>
        <w:t xml:space="preserve"> </w:t>
      </w:r>
      <w:r>
        <w:rPr>
          <w:sz w:val="20"/>
          <w:szCs w:val="20"/>
        </w:rPr>
        <w:t>L.</w:t>
      </w:r>
      <w:r>
        <w:rPr>
          <w:spacing w:val="-10"/>
          <w:sz w:val="20"/>
          <w:szCs w:val="20"/>
        </w:rPr>
        <w:t xml:space="preserve"> </w:t>
      </w:r>
      <w:r>
        <w:rPr>
          <w:sz w:val="20"/>
          <w:szCs w:val="20"/>
        </w:rPr>
        <w:t>Ku</w:t>
      </w:r>
      <w:r>
        <w:rPr>
          <w:spacing w:val="-9"/>
          <w:sz w:val="20"/>
          <w:szCs w:val="20"/>
        </w:rPr>
        <w:t xml:space="preserve"> </w:t>
      </w:r>
      <w:r>
        <w:rPr>
          <w:sz w:val="20"/>
          <w:szCs w:val="20"/>
        </w:rPr>
        <w:t>and</w:t>
      </w:r>
      <w:r>
        <w:rPr>
          <w:spacing w:val="-9"/>
          <w:sz w:val="20"/>
          <w:szCs w:val="20"/>
        </w:rPr>
        <w:t xml:space="preserve"> </w:t>
      </w:r>
      <w:r>
        <w:rPr>
          <w:sz w:val="20"/>
          <w:szCs w:val="20"/>
        </w:rPr>
        <w:t>E.</w:t>
      </w:r>
      <w:r>
        <w:rPr>
          <w:spacing w:val="-10"/>
          <w:sz w:val="20"/>
          <w:szCs w:val="20"/>
        </w:rPr>
        <w:t xml:space="preserve"> </w:t>
      </w:r>
      <w:r>
        <w:rPr>
          <w:sz w:val="20"/>
          <w:szCs w:val="20"/>
        </w:rPr>
        <w:t>Steinmetz,</w:t>
      </w:r>
      <w:r>
        <w:rPr>
          <w:spacing w:val="-12"/>
          <w:sz w:val="20"/>
          <w:szCs w:val="20"/>
        </w:rPr>
        <w:t xml:space="preserve"> </w:t>
      </w:r>
      <w:r>
        <w:rPr>
          <w:sz w:val="20"/>
          <w:szCs w:val="20"/>
        </w:rPr>
        <w:t>Bridging</w:t>
      </w:r>
      <w:r>
        <w:rPr>
          <w:spacing w:val="-10"/>
          <w:sz w:val="20"/>
          <w:szCs w:val="20"/>
        </w:rPr>
        <w:t xml:space="preserve"> </w:t>
      </w:r>
      <w:r>
        <w:rPr>
          <w:sz w:val="20"/>
          <w:szCs w:val="20"/>
        </w:rPr>
        <w:t>the</w:t>
      </w:r>
      <w:r>
        <w:rPr>
          <w:spacing w:val="-13"/>
          <w:sz w:val="20"/>
          <w:szCs w:val="20"/>
        </w:rPr>
        <w:t xml:space="preserve"> </w:t>
      </w:r>
      <w:r>
        <w:rPr>
          <w:sz w:val="20"/>
          <w:szCs w:val="20"/>
        </w:rPr>
        <w:t>Gap:</w:t>
      </w:r>
      <w:r>
        <w:rPr>
          <w:spacing w:val="-10"/>
          <w:sz w:val="20"/>
          <w:szCs w:val="20"/>
        </w:rPr>
        <w:t xml:space="preserve"> </w:t>
      </w:r>
      <w:r>
        <w:rPr>
          <w:sz w:val="20"/>
          <w:szCs w:val="20"/>
        </w:rPr>
        <w:t>Continuity</w:t>
      </w:r>
      <w:r>
        <w:rPr>
          <w:spacing w:val="-9"/>
          <w:sz w:val="20"/>
          <w:szCs w:val="20"/>
        </w:rPr>
        <w:t xml:space="preserve"> </w:t>
      </w:r>
      <w:r>
        <w:rPr>
          <w:sz w:val="20"/>
          <w:szCs w:val="20"/>
        </w:rPr>
        <w:t>and</w:t>
      </w:r>
      <w:r>
        <w:rPr>
          <w:spacing w:val="-9"/>
          <w:sz w:val="20"/>
          <w:szCs w:val="20"/>
        </w:rPr>
        <w:t xml:space="preserve"> </w:t>
      </w:r>
      <w:r>
        <w:rPr>
          <w:sz w:val="20"/>
          <w:szCs w:val="20"/>
        </w:rPr>
        <w:t>Quality</w:t>
      </w:r>
      <w:r>
        <w:rPr>
          <w:spacing w:val="-9"/>
          <w:sz w:val="20"/>
          <w:szCs w:val="20"/>
        </w:rPr>
        <w:t xml:space="preserve"> </w:t>
      </w:r>
      <w:r>
        <w:rPr>
          <w:sz w:val="20"/>
          <w:szCs w:val="20"/>
        </w:rPr>
        <w:t>of</w:t>
      </w:r>
      <w:r>
        <w:rPr>
          <w:spacing w:val="-13"/>
          <w:sz w:val="20"/>
          <w:szCs w:val="20"/>
        </w:rPr>
        <w:t xml:space="preserve"> </w:t>
      </w:r>
      <w:r>
        <w:rPr>
          <w:sz w:val="20"/>
          <w:szCs w:val="20"/>
        </w:rPr>
        <w:t>Coverage</w:t>
      </w:r>
      <w:r>
        <w:rPr>
          <w:spacing w:val="-13"/>
          <w:sz w:val="20"/>
          <w:szCs w:val="20"/>
        </w:rPr>
        <w:t xml:space="preserve"> </w:t>
      </w:r>
      <w:r>
        <w:rPr>
          <w:sz w:val="20"/>
          <w:szCs w:val="20"/>
        </w:rPr>
        <w:t>in</w:t>
      </w:r>
      <w:r>
        <w:rPr>
          <w:spacing w:val="-9"/>
          <w:sz w:val="20"/>
          <w:szCs w:val="20"/>
        </w:rPr>
        <w:t xml:space="preserve"> </w:t>
      </w:r>
      <w:r>
        <w:rPr>
          <w:sz w:val="20"/>
          <w:szCs w:val="20"/>
        </w:rPr>
        <w:t>Medicaid,</w:t>
      </w:r>
      <w:r>
        <w:rPr>
          <w:spacing w:val="-9"/>
          <w:sz w:val="20"/>
          <w:szCs w:val="20"/>
        </w:rPr>
        <w:t xml:space="preserve"> </w:t>
      </w:r>
      <w:r>
        <w:rPr>
          <w:sz w:val="20"/>
          <w:szCs w:val="20"/>
        </w:rPr>
        <w:t>George</w:t>
      </w:r>
      <w:r>
        <w:rPr>
          <w:spacing w:val="-13"/>
          <w:sz w:val="20"/>
          <w:szCs w:val="20"/>
        </w:rPr>
        <w:t xml:space="preserve"> </w:t>
      </w:r>
      <w:r>
        <w:rPr>
          <w:sz w:val="20"/>
          <w:szCs w:val="20"/>
        </w:rPr>
        <w:t>Washington University,</w:t>
      </w:r>
      <w:r>
        <w:rPr>
          <w:spacing w:val="-16"/>
          <w:sz w:val="20"/>
          <w:szCs w:val="20"/>
        </w:rPr>
        <w:t xml:space="preserve"> </w:t>
      </w:r>
      <w:r>
        <w:rPr>
          <w:sz w:val="20"/>
          <w:szCs w:val="20"/>
        </w:rPr>
        <w:t>(Association</w:t>
      </w:r>
      <w:r>
        <w:rPr>
          <w:spacing w:val="-15"/>
          <w:sz w:val="20"/>
          <w:szCs w:val="20"/>
        </w:rPr>
        <w:t xml:space="preserve"> </w:t>
      </w:r>
      <w:r>
        <w:rPr>
          <w:sz w:val="20"/>
          <w:szCs w:val="20"/>
        </w:rPr>
        <w:t>for</w:t>
      </w:r>
      <w:r>
        <w:rPr>
          <w:spacing w:val="-16"/>
          <w:sz w:val="20"/>
          <w:szCs w:val="20"/>
        </w:rPr>
        <w:t xml:space="preserve"> </w:t>
      </w:r>
      <w:r>
        <w:rPr>
          <w:sz w:val="20"/>
          <w:szCs w:val="20"/>
        </w:rPr>
        <w:t>Community</w:t>
      </w:r>
      <w:r>
        <w:rPr>
          <w:spacing w:val="-16"/>
          <w:sz w:val="20"/>
          <w:szCs w:val="20"/>
        </w:rPr>
        <w:t xml:space="preserve"> </w:t>
      </w:r>
      <w:r>
        <w:rPr>
          <w:sz w:val="20"/>
          <w:szCs w:val="20"/>
        </w:rPr>
        <w:t>Health</w:t>
      </w:r>
      <w:r>
        <w:rPr>
          <w:spacing w:val="-15"/>
          <w:sz w:val="20"/>
          <w:szCs w:val="20"/>
        </w:rPr>
        <w:t xml:space="preserve"> </w:t>
      </w:r>
      <w:r>
        <w:rPr>
          <w:sz w:val="20"/>
          <w:szCs w:val="20"/>
        </w:rPr>
        <w:t>Plans,</w:t>
      </w:r>
      <w:r>
        <w:rPr>
          <w:spacing w:val="-15"/>
          <w:sz w:val="20"/>
          <w:szCs w:val="20"/>
        </w:rPr>
        <w:t xml:space="preserve"> </w:t>
      </w:r>
      <w:r>
        <w:rPr>
          <w:sz w:val="20"/>
          <w:szCs w:val="20"/>
        </w:rPr>
        <w:t>Sept.</w:t>
      </w:r>
      <w:r>
        <w:rPr>
          <w:spacing w:val="-16"/>
          <w:sz w:val="20"/>
          <w:szCs w:val="20"/>
        </w:rPr>
        <w:t xml:space="preserve"> </w:t>
      </w:r>
      <w:r>
        <w:rPr>
          <w:sz w:val="20"/>
          <w:szCs w:val="20"/>
        </w:rPr>
        <w:t>10,</w:t>
      </w:r>
      <w:r>
        <w:rPr>
          <w:spacing w:val="-16"/>
          <w:sz w:val="20"/>
          <w:szCs w:val="20"/>
        </w:rPr>
        <w:t xml:space="preserve"> </w:t>
      </w:r>
      <w:r>
        <w:rPr>
          <w:sz w:val="20"/>
          <w:szCs w:val="20"/>
        </w:rPr>
        <w:t>2013).</w:t>
      </w:r>
    </w:p>
    <w:p w:rsidR="002C5025" w:rsidRDefault="002C5025">
      <w:pPr>
        <w:pStyle w:val="BodyText"/>
        <w:kinsoku w:val="0"/>
        <w:overflowPunct w:val="0"/>
        <w:spacing w:before="5" w:line="242" w:lineRule="exact"/>
        <w:ind w:left="120" w:right="987"/>
        <w:rPr>
          <w:color w:val="0000FF"/>
          <w:sz w:val="20"/>
          <w:szCs w:val="20"/>
        </w:rPr>
      </w:pPr>
      <w:r>
        <w:rPr>
          <w:position w:val="10"/>
          <w:sz w:val="13"/>
          <w:szCs w:val="13"/>
        </w:rPr>
        <w:t>11</w:t>
      </w:r>
      <w:r>
        <w:rPr>
          <w:spacing w:val="-11"/>
          <w:position w:val="10"/>
          <w:sz w:val="13"/>
          <w:szCs w:val="13"/>
        </w:rPr>
        <w:t xml:space="preserve"> </w:t>
      </w:r>
      <w:r>
        <w:rPr>
          <w:sz w:val="20"/>
          <w:szCs w:val="20"/>
        </w:rPr>
        <w:t>Data</w:t>
      </w:r>
      <w:r>
        <w:rPr>
          <w:spacing w:val="-26"/>
          <w:sz w:val="20"/>
          <w:szCs w:val="20"/>
        </w:rPr>
        <w:t xml:space="preserve"> </w:t>
      </w:r>
      <w:r>
        <w:rPr>
          <w:sz w:val="20"/>
          <w:szCs w:val="20"/>
        </w:rPr>
        <w:t>displayed</w:t>
      </w:r>
      <w:r>
        <w:rPr>
          <w:spacing w:val="-24"/>
          <w:sz w:val="20"/>
          <w:szCs w:val="20"/>
        </w:rPr>
        <w:t xml:space="preserve"> </w:t>
      </w:r>
      <w:r>
        <w:rPr>
          <w:sz w:val="20"/>
          <w:szCs w:val="20"/>
        </w:rPr>
        <w:t>on</w:t>
      </w:r>
      <w:r>
        <w:rPr>
          <w:spacing w:val="-22"/>
          <w:sz w:val="20"/>
          <w:szCs w:val="20"/>
        </w:rPr>
        <w:t xml:space="preserve"> </w:t>
      </w:r>
      <w:r>
        <w:rPr>
          <w:sz w:val="20"/>
          <w:szCs w:val="20"/>
        </w:rPr>
        <w:t>Medicaid.gov</w:t>
      </w:r>
      <w:r>
        <w:rPr>
          <w:spacing w:val="-27"/>
          <w:sz w:val="20"/>
          <w:szCs w:val="20"/>
        </w:rPr>
        <w:t xml:space="preserve"> </w:t>
      </w:r>
      <w:r>
        <w:rPr>
          <w:sz w:val="20"/>
          <w:szCs w:val="20"/>
        </w:rPr>
        <w:t>at</w:t>
      </w:r>
      <w:r>
        <w:rPr>
          <w:spacing w:val="-23"/>
          <w:sz w:val="20"/>
          <w:szCs w:val="20"/>
        </w:rPr>
        <w:t xml:space="preserve"> </w:t>
      </w:r>
      <w:hyperlink r:id="rId81" w:history="1">
        <w:r>
          <w:rPr>
            <w:color w:val="0000FF"/>
            <w:sz w:val="20"/>
            <w:szCs w:val="20"/>
            <w:u w:val="single"/>
          </w:rPr>
          <w:t>http://www.medicaid.gov/medicaid-chip-program-information/by-</w:t>
        </w:r>
      </w:hyperlink>
      <w:r>
        <w:rPr>
          <w:color w:val="0000FF"/>
          <w:sz w:val="20"/>
          <w:szCs w:val="20"/>
          <w:u w:val="single"/>
        </w:rPr>
        <w:t xml:space="preserve"> </w:t>
      </w:r>
      <w:hyperlink r:id="rId82" w:history="1">
        <w:r>
          <w:rPr>
            <w:color w:val="0000FF"/>
            <w:sz w:val="20"/>
            <w:szCs w:val="20"/>
            <w:u w:val="single"/>
          </w:rPr>
          <w:t>topics/outreach-and-enrollment/continuous.html</w:t>
        </w:r>
        <w:r>
          <w:rPr>
            <w:color w:val="000000"/>
            <w:sz w:val="20"/>
            <w:szCs w:val="20"/>
            <w:u w:val="single"/>
          </w:rPr>
          <w:t>.</w:t>
        </w:r>
      </w:hyperlink>
    </w:p>
    <w:p w:rsidR="002C5025" w:rsidRDefault="002C5025">
      <w:pPr>
        <w:pStyle w:val="BodyText"/>
        <w:kinsoku w:val="0"/>
        <w:overflowPunct w:val="0"/>
        <w:spacing w:line="242" w:lineRule="exact"/>
        <w:ind w:left="120" w:right="160"/>
        <w:rPr>
          <w:sz w:val="20"/>
          <w:szCs w:val="20"/>
        </w:rPr>
      </w:pPr>
      <w:r>
        <w:rPr>
          <w:position w:val="10"/>
          <w:sz w:val="13"/>
          <w:szCs w:val="13"/>
        </w:rPr>
        <w:t>12</w:t>
      </w:r>
      <w:r>
        <w:rPr>
          <w:spacing w:val="2"/>
          <w:position w:val="10"/>
          <w:sz w:val="13"/>
          <w:szCs w:val="13"/>
        </w:rPr>
        <w:t xml:space="preserve"> </w:t>
      </w:r>
      <w:r>
        <w:rPr>
          <w:sz w:val="20"/>
          <w:szCs w:val="20"/>
        </w:rPr>
        <w:t>Letter</w:t>
      </w:r>
      <w:r>
        <w:rPr>
          <w:spacing w:val="-13"/>
          <w:sz w:val="20"/>
          <w:szCs w:val="20"/>
        </w:rPr>
        <w:t xml:space="preserve"> </w:t>
      </w:r>
      <w:r>
        <w:rPr>
          <w:sz w:val="20"/>
          <w:szCs w:val="20"/>
        </w:rPr>
        <w:t>from</w:t>
      </w:r>
      <w:r>
        <w:rPr>
          <w:spacing w:val="-13"/>
          <w:sz w:val="20"/>
          <w:szCs w:val="20"/>
        </w:rPr>
        <w:t xml:space="preserve"> </w:t>
      </w:r>
      <w:r>
        <w:rPr>
          <w:sz w:val="20"/>
          <w:szCs w:val="20"/>
        </w:rPr>
        <w:t>Cindy</w:t>
      </w:r>
      <w:r>
        <w:rPr>
          <w:spacing w:val="-10"/>
          <w:sz w:val="20"/>
          <w:szCs w:val="20"/>
        </w:rPr>
        <w:t xml:space="preserve"> </w:t>
      </w:r>
      <w:r>
        <w:rPr>
          <w:sz w:val="20"/>
          <w:szCs w:val="20"/>
        </w:rPr>
        <w:t>Mann,</w:t>
      </w:r>
      <w:r>
        <w:rPr>
          <w:spacing w:val="-10"/>
          <w:sz w:val="20"/>
          <w:szCs w:val="20"/>
        </w:rPr>
        <w:t xml:space="preserve"> </w:t>
      </w:r>
      <w:r>
        <w:rPr>
          <w:sz w:val="20"/>
          <w:szCs w:val="20"/>
        </w:rPr>
        <w:t>Director,</w:t>
      </w:r>
      <w:r>
        <w:rPr>
          <w:spacing w:val="-13"/>
          <w:sz w:val="20"/>
          <w:szCs w:val="20"/>
        </w:rPr>
        <w:t xml:space="preserve"> </w:t>
      </w:r>
      <w:r>
        <w:rPr>
          <w:sz w:val="20"/>
          <w:szCs w:val="20"/>
        </w:rPr>
        <w:t>CMS,</w:t>
      </w:r>
      <w:r>
        <w:rPr>
          <w:spacing w:val="-10"/>
          <w:sz w:val="20"/>
          <w:szCs w:val="20"/>
        </w:rPr>
        <w:t xml:space="preserve"> </w:t>
      </w:r>
      <w:r>
        <w:rPr>
          <w:sz w:val="20"/>
          <w:szCs w:val="20"/>
        </w:rPr>
        <w:t>to</w:t>
      </w:r>
      <w:r>
        <w:rPr>
          <w:spacing w:val="-10"/>
          <w:sz w:val="20"/>
          <w:szCs w:val="20"/>
        </w:rPr>
        <w:t xml:space="preserve"> </w:t>
      </w:r>
      <w:r>
        <w:rPr>
          <w:sz w:val="20"/>
          <w:szCs w:val="20"/>
        </w:rPr>
        <w:t>State</w:t>
      </w:r>
      <w:r>
        <w:rPr>
          <w:spacing w:val="-13"/>
          <w:sz w:val="20"/>
          <w:szCs w:val="20"/>
        </w:rPr>
        <w:t xml:space="preserve"> </w:t>
      </w:r>
      <w:r>
        <w:rPr>
          <w:sz w:val="20"/>
          <w:szCs w:val="20"/>
        </w:rPr>
        <w:t>Health</w:t>
      </w:r>
      <w:r>
        <w:rPr>
          <w:spacing w:val="-12"/>
          <w:sz w:val="20"/>
          <w:szCs w:val="20"/>
        </w:rPr>
        <w:t xml:space="preserve"> </w:t>
      </w:r>
      <w:r>
        <w:rPr>
          <w:sz w:val="20"/>
          <w:szCs w:val="20"/>
        </w:rPr>
        <w:t>Officials,</w:t>
      </w:r>
      <w:r>
        <w:rPr>
          <w:spacing w:val="-10"/>
          <w:sz w:val="20"/>
          <w:szCs w:val="20"/>
        </w:rPr>
        <w:t xml:space="preserve"> </w:t>
      </w:r>
      <w:r>
        <w:rPr>
          <w:sz w:val="20"/>
          <w:szCs w:val="20"/>
        </w:rPr>
        <w:t>Re:</w:t>
      </w:r>
      <w:r>
        <w:rPr>
          <w:spacing w:val="-13"/>
          <w:sz w:val="20"/>
          <w:szCs w:val="20"/>
        </w:rPr>
        <w:t xml:space="preserve"> </w:t>
      </w:r>
      <w:r>
        <w:rPr>
          <w:sz w:val="20"/>
          <w:szCs w:val="20"/>
        </w:rPr>
        <w:t>Facilitating</w:t>
      </w:r>
      <w:r>
        <w:rPr>
          <w:spacing w:val="-13"/>
          <w:sz w:val="20"/>
          <w:szCs w:val="20"/>
        </w:rPr>
        <w:t xml:space="preserve"> </w:t>
      </w:r>
      <w:r>
        <w:rPr>
          <w:sz w:val="20"/>
          <w:szCs w:val="20"/>
        </w:rPr>
        <w:t>Medicaid</w:t>
      </w:r>
      <w:r>
        <w:rPr>
          <w:spacing w:val="-10"/>
          <w:sz w:val="20"/>
          <w:szCs w:val="20"/>
        </w:rPr>
        <w:t xml:space="preserve"> </w:t>
      </w:r>
      <w:r>
        <w:rPr>
          <w:sz w:val="20"/>
          <w:szCs w:val="20"/>
        </w:rPr>
        <w:t>and</w:t>
      </w:r>
      <w:r>
        <w:rPr>
          <w:spacing w:val="-10"/>
          <w:sz w:val="20"/>
          <w:szCs w:val="20"/>
        </w:rPr>
        <w:t xml:space="preserve"> </w:t>
      </w:r>
      <w:r>
        <w:rPr>
          <w:sz w:val="20"/>
          <w:szCs w:val="20"/>
        </w:rPr>
        <w:t>CHIP</w:t>
      </w:r>
      <w:r>
        <w:rPr>
          <w:spacing w:val="-13"/>
          <w:sz w:val="20"/>
          <w:szCs w:val="20"/>
        </w:rPr>
        <w:t xml:space="preserve"> </w:t>
      </w:r>
      <w:r>
        <w:rPr>
          <w:sz w:val="20"/>
          <w:szCs w:val="20"/>
        </w:rPr>
        <w:t>Enrollment and</w:t>
      </w:r>
      <w:r>
        <w:rPr>
          <w:spacing w:val="-9"/>
          <w:sz w:val="20"/>
          <w:szCs w:val="20"/>
        </w:rPr>
        <w:t xml:space="preserve"> </w:t>
      </w:r>
      <w:r>
        <w:rPr>
          <w:sz w:val="20"/>
          <w:szCs w:val="20"/>
        </w:rPr>
        <w:t>Renewal</w:t>
      </w:r>
      <w:r>
        <w:rPr>
          <w:spacing w:val="-10"/>
          <w:sz w:val="20"/>
          <w:szCs w:val="20"/>
        </w:rPr>
        <w:t xml:space="preserve"> </w:t>
      </w:r>
      <w:r>
        <w:rPr>
          <w:sz w:val="20"/>
          <w:szCs w:val="20"/>
        </w:rPr>
        <w:t>in</w:t>
      </w:r>
      <w:r>
        <w:rPr>
          <w:spacing w:val="-9"/>
          <w:sz w:val="20"/>
          <w:szCs w:val="20"/>
        </w:rPr>
        <w:t xml:space="preserve"> </w:t>
      </w:r>
      <w:r>
        <w:rPr>
          <w:sz w:val="20"/>
          <w:szCs w:val="20"/>
        </w:rPr>
        <w:t>2014,</w:t>
      </w:r>
      <w:r>
        <w:rPr>
          <w:spacing w:val="-8"/>
          <w:sz w:val="20"/>
          <w:szCs w:val="20"/>
        </w:rPr>
        <w:t xml:space="preserve"> </w:t>
      </w:r>
      <w:r>
        <w:rPr>
          <w:sz w:val="20"/>
          <w:szCs w:val="20"/>
        </w:rPr>
        <w:t>May</w:t>
      </w:r>
      <w:r>
        <w:rPr>
          <w:spacing w:val="-9"/>
          <w:sz w:val="20"/>
          <w:szCs w:val="20"/>
        </w:rPr>
        <w:t xml:space="preserve"> </w:t>
      </w:r>
      <w:r>
        <w:rPr>
          <w:sz w:val="20"/>
          <w:szCs w:val="20"/>
        </w:rPr>
        <w:t>17,</w:t>
      </w:r>
      <w:r>
        <w:rPr>
          <w:spacing w:val="-9"/>
          <w:sz w:val="20"/>
          <w:szCs w:val="20"/>
        </w:rPr>
        <w:t xml:space="preserve"> </w:t>
      </w:r>
      <w:r>
        <w:rPr>
          <w:sz w:val="20"/>
          <w:szCs w:val="20"/>
        </w:rPr>
        <w:t>2013.</w:t>
      </w:r>
    </w:p>
    <w:p w:rsidR="002C5025" w:rsidRDefault="002C5025">
      <w:pPr>
        <w:pStyle w:val="BodyText"/>
        <w:tabs>
          <w:tab w:val="left" w:pos="470"/>
          <w:tab w:val="left" w:pos="1024"/>
        </w:tabs>
        <w:kinsoku w:val="0"/>
        <w:overflowPunct w:val="0"/>
        <w:spacing w:before="5" w:line="242" w:lineRule="exact"/>
        <w:ind w:left="120" w:right="128"/>
        <w:rPr>
          <w:color w:val="0000FF"/>
          <w:w w:val="90"/>
          <w:sz w:val="20"/>
          <w:szCs w:val="20"/>
        </w:rPr>
      </w:pPr>
      <w:r>
        <w:rPr>
          <w:position w:val="10"/>
          <w:sz w:val="13"/>
          <w:szCs w:val="13"/>
        </w:rPr>
        <w:t>13</w:t>
      </w:r>
      <w:r>
        <w:rPr>
          <w:position w:val="10"/>
          <w:sz w:val="13"/>
          <w:szCs w:val="13"/>
        </w:rPr>
        <w:tab/>
      </w:r>
      <w:r>
        <w:rPr>
          <w:sz w:val="20"/>
          <w:szCs w:val="20"/>
        </w:rPr>
        <w:t>See:</w:t>
      </w:r>
      <w:r>
        <w:rPr>
          <w:sz w:val="20"/>
          <w:szCs w:val="20"/>
        </w:rPr>
        <w:tab/>
      </w:r>
      <w:hyperlink r:id="rId83" w:history="1">
        <w:r>
          <w:rPr>
            <w:color w:val="0000FF"/>
            <w:w w:val="90"/>
            <w:sz w:val="20"/>
            <w:szCs w:val="20"/>
            <w:u w:val="single"/>
          </w:rPr>
          <w:t>http://kff.org/report-section/medicaid-and-chip-eligibility-enrollment-renewal-and-cost-sharing-policies-as-</w:t>
        </w:r>
      </w:hyperlink>
      <w:r>
        <w:rPr>
          <w:color w:val="0000FF"/>
          <w:w w:val="90"/>
          <w:sz w:val="20"/>
          <w:szCs w:val="20"/>
          <w:u w:val="single"/>
        </w:rPr>
        <w:t xml:space="preserve"> </w:t>
      </w:r>
      <w:hyperlink r:id="rId84" w:history="1">
        <w:r>
          <w:rPr>
            <w:color w:val="0000FF"/>
            <w:sz w:val="20"/>
            <w:szCs w:val="20"/>
            <w:u w:val="single"/>
          </w:rPr>
          <w:t>of-january-2016-medicaid-and-chip-enrollment-and-renewal-processes/</w:t>
        </w:r>
        <w:r>
          <w:rPr>
            <w:color w:val="000000"/>
            <w:sz w:val="20"/>
            <w:szCs w:val="20"/>
            <w:u w:val="single"/>
          </w:rPr>
          <w:t>.</w:t>
        </w:r>
      </w:hyperlink>
    </w:p>
    <w:p w:rsidR="002C5025" w:rsidRDefault="002C5025">
      <w:pPr>
        <w:pStyle w:val="BodyText"/>
        <w:kinsoku w:val="0"/>
        <w:overflowPunct w:val="0"/>
        <w:spacing w:before="4" w:line="240" w:lineRule="exact"/>
        <w:ind w:left="120" w:right="814"/>
        <w:rPr>
          <w:sz w:val="20"/>
          <w:szCs w:val="20"/>
        </w:rPr>
      </w:pPr>
      <w:r>
        <w:rPr>
          <w:position w:val="10"/>
          <w:sz w:val="13"/>
          <w:szCs w:val="13"/>
        </w:rPr>
        <w:t>14</w:t>
      </w:r>
      <w:r>
        <w:rPr>
          <w:spacing w:val="3"/>
          <w:position w:val="10"/>
          <w:sz w:val="13"/>
          <w:szCs w:val="13"/>
        </w:rPr>
        <w:t xml:space="preserve"> </w:t>
      </w:r>
      <w:r>
        <w:rPr>
          <w:sz w:val="20"/>
          <w:szCs w:val="20"/>
        </w:rPr>
        <w:t>Medicaid</w:t>
      </w:r>
      <w:r>
        <w:rPr>
          <w:spacing w:val="-9"/>
          <w:sz w:val="20"/>
          <w:szCs w:val="20"/>
        </w:rPr>
        <w:t xml:space="preserve"> </w:t>
      </w:r>
      <w:r>
        <w:rPr>
          <w:sz w:val="20"/>
          <w:szCs w:val="20"/>
        </w:rPr>
        <w:t>and</w:t>
      </w:r>
      <w:r>
        <w:rPr>
          <w:spacing w:val="-11"/>
          <w:sz w:val="20"/>
          <w:szCs w:val="20"/>
        </w:rPr>
        <w:t xml:space="preserve"> </w:t>
      </w:r>
      <w:r>
        <w:rPr>
          <w:sz w:val="20"/>
          <w:szCs w:val="20"/>
        </w:rPr>
        <w:t>CHIP</w:t>
      </w:r>
      <w:r>
        <w:rPr>
          <w:spacing w:val="-10"/>
          <w:sz w:val="20"/>
          <w:szCs w:val="20"/>
        </w:rPr>
        <w:t xml:space="preserve"> </w:t>
      </w:r>
      <w:r>
        <w:rPr>
          <w:sz w:val="20"/>
          <w:szCs w:val="20"/>
        </w:rPr>
        <w:t>Payment</w:t>
      </w:r>
      <w:r>
        <w:rPr>
          <w:spacing w:val="-14"/>
          <w:sz w:val="20"/>
          <w:szCs w:val="20"/>
        </w:rPr>
        <w:t xml:space="preserve"> </w:t>
      </w:r>
      <w:r>
        <w:rPr>
          <w:sz w:val="20"/>
          <w:szCs w:val="20"/>
        </w:rPr>
        <w:t>and</w:t>
      </w:r>
      <w:r>
        <w:rPr>
          <w:spacing w:val="-9"/>
          <w:sz w:val="20"/>
          <w:szCs w:val="20"/>
        </w:rPr>
        <w:t xml:space="preserve"> </w:t>
      </w:r>
      <w:r>
        <w:rPr>
          <w:sz w:val="20"/>
          <w:szCs w:val="20"/>
        </w:rPr>
        <w:t>Access</w:t>
      </w:r>
      <w:r>
        <w:rPr>
          <w:spacing w:val="-13"/>
          <w:sz w:val="20"/>
          <w:szCs w:val="20"/>
        </w:rPr>
        <w:t xml:space="preserve"> </w:t>
      </w:r>
      <w:r>
        <w:rPr>
          <w:sz w:val="20"/>
          <w:szCs w:val="20"/>
        </w:rPr>
        <w:t>Commission,</w:t>
      </w:r>
      <w:r>
        <w:rPr>
          <w:spacing w:val="-9"/>
          <w:sz w:val="20"/>
          <w:szCs w:val="20"/>
        </w:rPr>
        <w:t xml:space="preserve"> </w:t>
      </w:r>
      <w:r>
        <w:rPr>
          <w:sz w:val="20"/>
          <w:szCs w:val="20"/>
        </w:rPr>
        <w:t>Report</w:t>
      </w:r>
      <w:r>
        <w:rPr>
          <w:spacing w:val="-9"/>
          <w:sz w:val="20"/>
          <w:szCs w:val="20"/>
        </w:rPr>
        <w:t xml:space="preserve"> </w:t>
      </w:r>
      <w:r>
        <w:rPr>
          <w:sz w:val="20"/>
          <w:szCs w:val="20"/>
        </w:rPr>
        <w:t>to</w:t>
      </w:r>
      <w:r>
        <w:rPr>
          <w:spacing w:val="-9"/>
          <w:sz w:val="20"/>
          <w:szCs w:val="20"/>
        </w:rPr>
        <w:t xml:space="preserve"> </w:t>
      </w:r>
      <w:r>
        <w:rPr>
          <w:sz w:val="20"/>
          <w:szCs w:val="20"/>
        </w:rPr>
        <w:t>the</w:t>
      </w:r>
      <w:r>
        <w:rPr>
          <w:spacing w:val="-13"/>
          <w:sz w:val="20"/>
          <w:szCs w:val="20"/>
        </w:rPr>
        <w:t xml:space="preserve"> </w:t>
      </w:r>
      <w:r>
        <w:rPr>
          <w:sz w:val="20"/>
          <w:szCs w:val="20"/>
        </w:rPr>
        <w:t>Congress</w:t>
      </w:r>
      <w:r>
        <w:rPr>
          <w:spacing w:val="-13"/>
          <w:sz w:val="20"/>
          <w:szCs w:val="20"/>
        </w:rPr>
        <w:t xml:space="preserve"> </w:t>
      </w:r>
      <w:r>
        <w:rPr>
          <w:sz w:val="20"/>
          <w:szCs w:val="20"/>
        </w:rPr>
        <w:t>on</w:t>
      </w:r>
      <w:r>
        <w:rPr>
          <w:spacing w:val="-9"/>
          <w:sz w:val="20"/>
          <w:szCs w:val="20"/>
        </w:rPr>
        <w:t xml:space="preserve"> </w:t>
      </w:r>
      <w:r>
        <w:rPr>
          <w:sz w:val="20"/>
          <w:szCs w:val="20"/>
        </w:rPr>
        <w:t>Medicaid</w:t>
      </w:r>
      <w:r>
        <w:rPr>
          <w:spacing w:val="-9"/>
          <w:sz w:val="20"/>
          <w:szCs w:val="20"/>
        </w:rPr>
        <w:t xml:space="preserve"> </w:t>
      </w:r>
      <w:r>
        <w:rPr>
          <w:sz w:val="20"/>
          <w:szCs w:val="20"/>
        </w:rPr>
        <w:t>and</w:t>
      </w:r>
      <w:r>
        <w:rPr>
          <w:spacing w:val="-9"/>
          <w:sz w:val="20"/>
          <w:szCs w:val="20"/>
        </w:rPr>
        <w:t xml:space="preserve"> </w:t>
      </w:r>
      <w:r>
        <w:rPr>
          <w:sz w:val="20"/>
          <w:szCs w:val="20"/>
        </w:rPr>
        <w:t>CHIP, Washington,</w:t>
      </w:r>
      <w:r>
        <w:rPr>
          <w:spacing w:val="-12"/>
          <w:sz w:val="20"/>
          <w:szCs w:val="20"/>
        </w:rPr>
        <w:t xml:space="preserve"> </w:t>
      </w:r>
      <w:r>
        <w:rPr>
          <w:sz w:val="20"/>
          <w:szCs w:val="20"/>
        </w:rPr>
        <w:t>DC:</w:t>
      </w:r>
      <w:r>
        <w:rPr>
          <w:spacing w:val="-13"/>
          <w:sz w:val="20"/>
          <w:szCs w:val="20"/>
        </w:rPr>
        <w:t xml:space="preserve"> </w:t>
      </w:r>
      <w:r>
        <w:rPr>
          <w:sz w:val="20"/>
          <w:szCs w:val="20"/>
        </w:rPr>
        <w:t>MACPAC;</w:t>
      </w:r>
      <w:r>
        <w:rPr>
          <w:spacing w:val="-11"/>
          <w:sz w:val="20"/>
          <w:szCs w:val="20"/>
        </w:rPr>
        <w:t xml:space="preserve"> </w:t>
      </w:r>
      <w:r>
        <w:rPr>
          <w:sz w:val="20"/>
          <w:szCs w:val="20"/>
        </w:rPr>
        <w:t>Chap.</w:t>
      </w:r>
      <w:r>
        <w:rPr>
          <w:spacing w:val="-12"/>
          <w:sz w:val="20"/>
          <w:szCs w:val="20"/>
        </w:rPr>
        <w:t xml:space="preserve"> </w:t>
      </w:r>
      <w:r>
        <w:rPr>
          <w:sz w:val="20"/>
          <w:szCs w:val="20"/>
        </w:rPr>
        <w:t>2,</w:t>
      </w:r>
      <w:r>
        <w:rPr>
          <w:spacing w:val="-10"/>
          <w:sz w:val="20"/>
          <w:szCs w:val="20"/>
        </w:rPr>
        <w:t xml:space="preserve"> </w:t>
      </w:r>
      <w:r>
        <w:rPr>
          <w:sz w:val="20"/>
          <w:szCs w:val="20"/>
        </w:rPr>
        <w:t>p.</w:t>
      </w:r>
      <w:r>
        <w:rPr>
          <w:spacing w:val="-11"/>
          <w:sz w:val="20"/>
          <w:szCs w:val="20"/>
        </w:rPr>
        <w:t xml:space="preserve"> </w:t>
      </w:r>
      <w:r>
        <w:rPr>
          <w:sz w:val="20"/>
          <w:szCs w:val="20"/>
        </w:rPr>
        <w:t>21–32.</w:t>
      </w:r>
      <w:r>
        <w:rPr>
          <w:spacing w:val="-12"/>
          <w:sz w:val="20"/>
          <w:szCs w:val="20"/>
        </w:rPr>
        <w:t xml:space="preserve"> </w:t>
      </w:r>
      <w:r>
        <w:rPr>
          <w:sz w:val="20"/>
          <w:szCs w:val="20"/>
        </w:rPr>
        <w:t>Mar.</w:t>
      </w:r>
      <w:r>
        <w:rPr>
          <w:spacing w:val="-11"/>
          <w:sz w:val="20"/>
          <w:szCs w:val="20"/>
        </w:rPr>
        <w:t xml:space="preserve"> </w:t>
      </w:r>
      <w:r>
        <w:rPr>
          <w:sz w:val="20"/>
          <w:szCs w:val="20"/>
        </w:rPr>
        <w:t>2013.</w:t>
      </w:r>
    </w:p>
    <w:p w:rsidR="002C5025" w:rsidRDefault="002C5025">
      <w:pPr>
        <w:pStyle w:val="BodyText"/>
        <w:kinsoku w:val="0"/>
        <w:overflowPunct w:val="0"/>
        <w:spacing w:before="9"/>
        <w:rPr>
          <w:sz w:val="12"/>
          <w:szCs w:val="12"/>
        </w:rPr>
      </w:pPr>
    </w:p>
    <w:p w:rsidR="002C5025" w:rsidRDefault="002C5025">
      <w:pPr>
        <w:pStyle w:val="BodyText"/>
        <w:kinsoku w:val="0"/>
        <w:overflowPunct w:val="0"/>
        <w:spacing w:before="59"/>
        <w:ind w:left="124"/>
        <w:jc w:val="center"/>
        <w:rPr>
          <w:w w:val="99"/>
          <w:sz w:val="20"/>
          <w:szCs w:val="20"/>
        </w:rPr>
      </w:pPr>
      <w:r>
        <w:rPr>
          <w:w w:val="99"/>
          <w:sz w:val="20"/>
          <w:szCs w:val="20"/>
        </w:rPr>
        <w:t>3</w:t>
      </w:r>
    </w:p>
    <w:p w:rsidR="002C5025" w:rsidRDefault="002C5025">
      <w:pPr>
        <w:pStyle w:val="BodyText"/>
        <w:kinsoku w:val="0"/>
        <w:overflowPunct w:val="0"/>
        <w:spacing w:before="59"/>
        <w:ind w:left="124"/>
        <w:jc w:val="center"/>
        <w:rPr>
          <w:w w:val="99"/>
          <w:sz w:val="20"/>
          <w:szCs w:val="20"/>
        </w:rPr>
        <w:sectPr w:rsidR="002C5025">
          <w:pgSz w:w="12240" w:h="15840"/>
          <w:pgMar w:top="1400" w:right="1440" w:bottom="280" w:left="1320" w:header="720" w:footer="720" w:gutter="0"/>
          <w:cols w:space="720"/>
          <w:noEndnote/>
        </w:sectPr>
      </w:pPr>
    </w:p>
    <w:p w:rsidR="002C5025" w:rsidRDefault="002C5025">
      <w:pPr>
        <w:pStyle w:val="BodyText"/>
        <w:kinsoku w:val="0"/>
        <w:overflowPunct w:val="0"/>
        <w:spacing w:before="50"/>
        <w:ind w:left="120" w:right="272" w:hanging="1"/>
        <w:jc w:val="both"/>
      </w:pPr>
      <w:r>
        <w:lastRenderedPageBreak/>
        <w:t>authority to guarantee eligibility for 6 months at a time for managed care or PCC Plan enrollees.</w:t>
      </w:r>
      <w:r>
        <w:rPr>
          <w:position w:val="10"/>
          <w:sz w:val="14"/>
          <w:szCs w:val="14"/>
        </w:rPr>
        <w:t xml:space="preserve">15 </w:t>
      </w:r>
      <w:r>
        <w:t>We understand that MassHealth is currently focused on stabilizing its caseload, and ask that you keep the 12-month continuous eligibility policy option in mind for future consideration.</w:t>
      </w:r>
    </w:p>
    <w:p w:rsidR="002C5025" w:rsidRDefault="002C5025">
      <w:pPr>
        <w:pStyle w:val="BodyText"/>
        <w:kinsoku w:val="0"/>
        <w:overflowPunct w:val="0"/>
        <w:spacing w:before="7"/>
      </w:pPr>
    </w:p>
    <w:p w:rsidR="002C5025" w:rsidRDefault="002C5025">
      <w:pPr>
        <w:pStyle w:val="BodyText"/>
        <w:kinsoku w:val="0"/>
        <w:overflowPunct w:val="0"/>
        <w:spacing w:line="265" w:lineRule="exact"/>
        <w:ind w:left="120" w:right="814"/>
        <w:rPr>
          <w:b/>
          <w:bCs/>
          <w:i/>
          <w:iCs/>
        </w:rPr>
      </w:pPr>
      <w:bookmarkStart w:id="21" w:name="ConnectorCare_Program"/>
      <w:bookmarkEnd w:id="21"/>
      <w:proofErr w:type="spellStart"/>
      <w:r>
        <w:rPr>
          <w:b/>
          <w:bCs/>
          <w:i/>
          <w:iCs/>
        </w:rPr>
        <w:t>ConnectorCare</w:t>
      </w:r>
      <w:proofErr w:type="spellEnd"/>
      <w:r>
        <w:rPr>
          <w:b/>
          <w:bCs/>
          <w:i/>
          <w:iCs/>
        </w:rPr>
        <w:t xml:space="preserve"> Program</w:t>
      </w:r>
    </w:p>
    <w:p w:rsidR="002C5025" w:rsidRDefault="002C5025">
      <w:pPr>
        <w:pStyle w:val="BodyText"/>
        <w:kinsoku w:val="0"/>
        <w:overflowPunct w:val="0"/>
        <w:ind w:left="120" w:right="327"/>
      </w:pPr>
      <w:r>
        <w:t xml:space="preserve">We applaud EOHHS and the Health Connector for ensuring that </w:t>
      </w:r>
      <w:proofErr w:type="spellStart"/>
      <w:r>
        <w:t>ConnectorCare</w:t>
      </w:r>
      <w:proofErr w:type="spellEnd"/>
      <w:r>
        <w:t xml:space="preserve"> premiums and cost- sharing remain affordable. In a high cost state like Massachusetts, many residents living at or below 300% FPL are struggling to make ends meet and will not be able to afford the additional premiums or cost-sharing if the </w:t>
      </w:r>
      <w:proofErr w:type="spellStart"/>
      <w:r>
        <w:t>ConnectorCare</w:t>
      </w:r>
      <w:proofErr w:type="spellEnd"/>
      <w:r>
        <w:t xml:space="preserve"> program is not available.</w:t>
      </w:r>
    </w:p>
    <w:p w:rsidR="002C5025" w:rsidRDefault="002C5025">
      <w:pPr>
        <w:pStyle w:val="BodyText"/>
        <w:kinsoku w:val="0"/>
        <w:overflowPunct w:val="0"/>
      </w:pPr>
    </w:p>
    <w:p w:rsidR="002C5025" w:rsidRDefault="002C5025">
      <w:pPr>
        <w:pStyle w:val="BodyText"/>
        <w:kinsoku w:val="0"/>
        <w:overflowPunct w:val="0"/>
        <w:ind w:left="118" w:right="107" w:firstLine="1"/>
      </w:pPr>
      <w:r>
        <w:t xml:space="preserve">In addition to </w:t>
      </w:r>
      <w:r>
        <w:rPr>
          <w:spacing w:val="-3"/>
        </w:rPr>
        <w:t xml:space="preserve">premium </w:t>
      </w:r>
      <w:r>
        <w:t xml:space="preserve">assistance, </w:t>
      </w:r>
      <w:proofErr w:type="spellStart"/>
      <w:r>
        <w:t>ConnectorCare</w:t>
      </w:r>
      <w:proofErr w:type="spellEnd"/>
      <w:r>
        <w:t xml:space="preserve"> </w:t>
      </w:r>
      <w:r>
        <w:rPr>
          <w:spacing w:val="-3"/>
        </w:rPr>
        <w:t xml:space="preserve">plans </w:t>
      </w:r>
      <w:r>
        <w:t xml:space="preserve">include reasonable copays for services, and </w:t>
      </w:r>
      <w:r>
        <w:rPr>
          <w:spacing w:val="-4"/>
        </w:rPr>
        <w:t xml:space="preserve">do </w:t>
      </w:r>
      <w:r>
        <w:t xml:space="preserve">not impose deductibles or coinsurance. Reverting to federal </w:t>
      </w:r>
      <w:r>
        <w:rPr>
          <w:spacing w:val="-3"/>
        </w:rPr>
        <w:t xml:space="preserve">premium </w:t>
      </w:r>
      <w:r>
        <w:t xml:space="preserve">and cost-sharing levels would expose low and moderate income individuals and families to higher out-of-pocket costs, which may include deductibles and coinsurance, well </w:t>
      </w:r>
      <w:r>
        <w:rPr>
          <w:spacing w:val="-3"/>
        </w:rPr>
        <w:t xml:space="preserve">above </w:t>
      </w:r>
      <w:r>
        <w:t xml:space="preserve">what is required through </w:t>
      </w:r>
      <w:proofErr w:type="spellStart"/>
      <w:r>
        <w:t>ConnectorCare</w:t>
      </w:r>
      <w:proofErr w:type="spellEnd"/>
      <w:r>
        <w:t xml:space="preserve">. Without the </w:t>
      </w:r>
      <w:proofErr w:type="spellStart"/>
      <w:r>
        <w:t>ConnectorCare</w:t>
      </w:r>
      <w:proofErr w:type="spellEnd"/>
      <w:r>
        <w:t xml:space="preserve"> program, we risk residents dropping coverage, going without </w:t>
      </w:r>
      <w:r>
        <w:rPr>
          <w:spacing w:val="-2"/>
        </w:rPr>
        <w:t xml:space="preserve">necessary </w:t>
      </w:r>
      <w:r>
        <w:t xml:space="preserve">care, falling into debt, and unraveling the </w:t>
      </w:r>
      <w:r>
        <w:rPr>
          <w:spacing w:val="-4"/>
        </w:rPr>
        <w:t xml:space="preserve">gains </w:t>
      </w:r>
      <w:r>
        <w:t xml:space="preserve">we have made under the </w:t>
      </w:r>
      <w:r>
        <w:rPr>
          <w:spacing w:val="-3"/>
        </w:rPr>
        <w:t xml:space="preserve">Massachusetts </w:t>
      </w:r>
      <w:r>
        <w:t>health reform law and the ACA.</w:t>
      </w:r>
    </w:p>
    <w:p w:rsidR="002C5025" w:rsidRDefault="002C5025">
      <w:pPr>
        <w:pStyle w:val="BodyText"/>
        <w:kinsoku w:val="0"/>
        <w:overflowPunct w:val="0"/>
      </w:pPr>
    </w:p>
    <w:p w:rsidR="002C5025" w:rsidRDefault="002C5025">
      <w:pPr>
        <w:pStyle w:val="BodyText"/>
        <w:kinsoku w:val="0"/>
        <w:overflowPunct w:val="0"/>
        <w:ind w:left="117" w:right="187"/>
      </w:pPr>
      <w:r>
        <w:t xml:space="preserve">The sustainability of the Commonwealth’s coverage gains, made possible by offering affordable coverage through MassHealth and the Health Connector, requires adequate financing. We support </w:t>
      </w:r>
      <w:r>
        <w:rPr>
          <w:spacing w:val="-3"/>
        </w:rPr>
        <w:t xml:space="preserve">the </w:t>
      </w:r>
      <w:r>
        <w:t xml:space="preserve">Commonwealth’s efforts to seek federal reimbursement for state-funded cost-sharing subsidies, in addition to </w:t>
      </w:r>
      <w:r>
        <w:rPr>
          <w:spacing w:val="-3"/>
        </w:rPr>
        <w:t xml:space="preserve">premium </w:t>
      </w:r>
      <w:r>
        <w:t>subsidies.</w:t>
      </w:r>
    </w:p>
    <w:p w:rsidR="002C5025" w:rsidRDefault="002C5025">
      <w:pPr>
        <w:pStyle w:val="BodyText"/>
        <w:kinsoku w:val="0"/>
        <w:overflowPunct w:val="0"/>
        <w:spacing w:before="1"/>
      </w:pPr>
    </w:p>
    <w:p w:rsidR="002C5025" w:rsidRDefault="002C5025">
      <w:pPr>
        <w:pStyle w:val="BodyText"/>
        <w:kinsoku w:val="0"/>
        <w:overflowPunct w:val="0"/>
        <w:ind w:left="119" w:right="10"/>
        <w:rPr>
          <w:color w:val="000000"/>
        </w:rPr>
      </w:pPr>
      <w:r>
        <w:t xml:space="preserve">The ACT!! Coalition appreciates the opportunity to </w:t>
      </w:r>
      <w:r>
        <w:rPr>
          <w:spacing w:val="-3"/>
        </w:rPr>
        <w:t xml:space="preserve">provide </w:t>
      </w:r>
      <w:r>
        <w:t>feedback on the MassHealth 1115 Medicaid Demonstration</w:t>
      </w:r>
      <w:r>
        <w:rPr>
          <w:spacing w:val="-11"/>
        </w:rPr>
        <w:t xml:space="preserve"> </w:t>
      </w:r>
      <w:r>
        <w:t>Waiver</w:t>
      </w:r>
      <w:r>
        <w:rPr>
          <w:spacing w:val="-8"/>
        </w:rPr>
        <w:t xml:space="preserve"> </w:t>
      </w:r>
      <w:r>
        <w:t>Request.</w:t>
      </w:r>
      <w:r>
        <w:rPr>
          <w:spacing w:val="-6"/>
        </w:rPr>
        <w:t xml:space="preserve"> </w:t>
      </w:r>
      <w:r>
        <w:t>We</w:t>
      </w:r>
      <w:r>
        <w:rPr>
          <w:spacing w:val="-9"/>
        </w:rPr>
        <w:t xml:space="preserve"> </w:t>
      </w:r>
      <w:r>
        <w:t>look</w:t>
      </w:r>
      <w:r>
        <w:rPr>
          <w:spacing w:val="-8"/>
        </w:rPr>
        <w:t xml:space="preserve"> </w:t>
      </w:r>
      <w:r>
        <w:t>forward</w:t>
      </w:r>
      <w:r>
        <w:rPr>
          <w:spacing w:val="-8"/>
        </w:rPr>
        <w:t xml:space="preserve"> </w:t>
      </w:r>
      <w:r>
        <w:t>to</w:t>
      </w:r>
      <w:r>
        <w:rPr>
          <w:spacing w:val="-7"/>
        </w:rPr>
        <w:t xml:space="preserve"> </w:t>
      </w:r>
      <w:r>
        <w:t>continuing</w:t>
      </w:r>
      <w:r>
        <w:rPr>
          <w:spacing w:val="-8"/>
        </w:rPr>
        <w:t xml:space="preserve"> </w:t>
      </w:r>
      <w:r>
        <w:t>to</w:t>
      </w:r>
      <w:r>
        <w:rPr>
          <w:spacing w:val="-8"/>
        </w:rPr>
        <w:t xml:space="preserve"> </w:t>
      </w:r>
      <w:r>
        <w:t>work</w:t>
      </w:r>
      <w:r>
        <w:rPr>
          <w:spacing w:val="-9"/>
        </w:rPr>
        <w:t xml:space="preserve"> </w:t>
      </w:r>
      <w:r>
        <w:t>with</w:t>
      </w:r>
      <w:r>
        <w:rPr>
          <w:spacing w:val="-10"/>
        </w:rPr>
        <w:t xml:space="preserve"> </w:t>
      </w:r>
      <w:r>
        <w:t>you</w:t>
      </w:r>
      <w:r>
        <w:rPr>
          <w:spacing w:val="-13"/>
        </w:rPr>
        <w:t xml:space="preserve"> </w:t>
      </w:r>
      <w:r>
        <w:t>to</w:t>
      </w:r>
      <w:r>
        <w:rPr>
          <w:spacing w:val="-7"/>
        </w:rPr>
        <w:t xml:space="preserve"> </w:t>
      </w:r>
      <w:r>
        <w:t>sustain</w:t>
      </w:r>
      <w:r>
        <w:rPr>
          <w:spacing w:val="-8"/>
        </w:rPr>
        <w:t xml:space="preserve"> </w:t>
      </w:r>
      <w:r>
        <w:t>and</w:t>
      </w:r>
      <w:r>
        <w:rPr>
          <w:spacing w:val="-8"/>
        </w:rPr>
        <w:t xml:space="preserve"> </w:t>
      </w:r>
      <w:r>
        <w:t>improve access to affordable, quality health coverage for Massachusetts residents. Should you have any questions,</w:t>
      </w:r>
      <w:r>
        <w:rPr>
          <w:spacing w:val="-8"/>
        </w:rPr>
        <w:t xml:space="preserve"> </w:t>
      </w:r>
      <w:r>
        <w:t>please</w:t>
      </w:r>
      <w:r>
        <w:rPr>
          <w:spacing w:val="-10"/>
        </w:rPr>
        <w:t xml:space="preserve"> </w:t>
      </w:r>
      <w:r>
        <w:t>contact</w:t>
      </w:r>
      <w:r>
        <w:rPr>
          <w:spacing w:val="-6"/>
        </w:rPr>
        <w:t xml:space="preserve"> </w:t>
      </w:r>
      <w:r>
        <w:t>Suzanne</w:t>
      </w:r>
      <w:r>
        <w:rPr>
          <w:spacing w:val="-8"/>
        </w:rPr>
        <w:t xml:space="preserve"> </w:t>
      </w:r>
      <w:r>
        <w:t>Curry</w:t>
      </w:r>
      <w:r>
        <w:rPr>
          <w:spacing w:val="-7"/>
        </w:rPr>
        <w:t xml:space="preserve"> </w:t>
      </w:r>
      <w:r>
        <w:t>at</w:t>
      </w:r>
      <w:r>
        <w:rPr>
          <w:spacing w:val="-8"/>
        </w:rPr>
        <w:t xml:space="preserve"> </w:t>
      </w:r>
      <w:r>
        <w:t>Health</w:t>
      </w:r>
      <w:r>
        <w:rPr>
          <w:spacing w:val="-7"/>
        </w:rPr>
        <w:t xml:space="preserve"> </w:t>
      </w:r>
      <w:r>
        <w:rPr>
          <w:spacing w:val="-3"/>
        </w:rPr>
        <w:t>Care</w:t>
      </w:r>
      <w:r>
        <w:rPr>
          <w:spacing w:val="-8"/>
        </w:rPr>
        <w:t xml:space="preserve"> </w:t>
      </w:r>
      <w:r>
        <w:t>For</w:t>
      </w:r>
      <w:r>
        <w:rPr>
          <w:spacing w:val="-11"/>
        </w:rPr>
        <w:t xml:space="preserve"> </w:t>
      </w:r>
      <w:r>
        <w:t>All</w:t>
      </w:r>
      <w:r>
        <w:rPr>
          <w:spacing w:val="-8"/>
        </w:rPr>
        <w:t xml:space="preserve"> </w:t>
      </w:r>
      <w:r>
        <w:t>at</w:t>
      </w:r>
      <w:r>
        <w:rPr>
          <w:spacing w:val="-10"/>
        </w:rPr>
        <w:t xml:space="preserve"> </w:t>
      </w:r>
      <w:r>
        <w:t>(617)</w:t>
      </w:r>
      <w:r>
        <w:rPr>
          <w:spacing w:val="-10"/>
        </w:rPr>
        <w:t xml:space="preserve"> </w:t>
      </w:r>
      <w:r>
        <w:t>275-2977</w:t>
      </w:r>
      <w:r>
        <w:rPr>
          <w:spacing w:val="-10"/>
        </w:rPr>
        <w:t xml:space="preserve"> </w:t>
      </w:r>
      <w:r>
        <w:t>or</w:t>
      </w:r>
      <w:r>
        <w:rPr>
          <w:spacing w:val="-9"/>
        </w:rPr>
        <w:t xml:space="preserve"> </w:t>
      </w:r>
      <w:hyperlink r:id="rId85" w:history="1">
        <w:r>
          <w:rPr>
            <w:color w:val="0000FF"/>
            <w:u w:val="single"/>
          </w:rPr>
          <w:t>scurry@hcfama.org</w:t>
        </w:r>
        <w:r>
          <w:rPr>
            <w:color w:val="000000"/>
          </w:rPr>
          <w:t>.</w:t>
        </w:r>
      </w:hyperlink>
      <w:r>
        <w:rPr>
          <w:color w:val="000000"/>
        </w:rPr>
        <w:t xml:space="preserve"> Thank</w:t>
      </w:r>
      <w:r>
        <w:rPr>
          <w:color w:val="000000"/>
          <w:spacing w:val="-13"/>
        </w:rPr>
        <w:t xml:space="preserve"> </w:t>
      </w:r>
      <w:r>
        <w:rPr>
          <w:color w:val="000000"/>
        </w:rPr>
        <w:t>you</w:t>
      </w:r>
      <w:r>
        <w:rPr>
          <w:color w:val="000000"/>
          <w:spacing w:val="-12"/>
        </w:rPr>
        <w:t xml:space="preserve"> </w:t>
      </w:r>
      <w:r>
        <w:rPr>
          <w:color w:val="000000"/>
        </w:rPr>
        <w:t>for</w:t>
      </w:r>
      <w:r>
        <w:rPr>
          <w:color w:val="000000"/>
          <w:spacing w:val="-12"/>
        </w:rPr>
        <w:t xml:space="preserve"> </w:t>
      </w:r>
      <w:r>
        <w:rPr>
          <w:color w:val="000000"/>
        </w:rPr>
        <w:t>your</w:t>
      </w:r>
      <w:r>
        <w:rPr>
          <w:color w:val="000000"/>
          <w:spacing w:val="-12"/>
        </w:rPr>
        <w:t xml:space="preserve"> </w:t>
      </w:r>
      <w:r>
        <w:rPr>
          <w:color w:val="000000"/>
        </w:rPr>
        <w:t>consideration.</w:t>
      </w:r>
    </w:p>
    <w:p w:rsidR="002C5025" w:rsidRDefault="002C5025">
      <w:pPr>
        <w:pStyle w:val="BodyText"/>
        <w:kinsoku w:val="0"/>
        <w:overflowPunct w:val="0"/>
      </w:pPr>
    </w:p>
    <w:p w:rsidR="002C5025" w:rsidRDefault="002C5025">
      <w:pPr>
        <w:pStyle w:val="BodyText"/>
        <w:kinsoku w:val="0"/>
        <w:overflowPunct w:val="0"/>
        <w:spacing w:after="3"/>
        <w:ind w:left="119" w:right="814"/>
      </w:pPr>
      <w:r>
        <w:t>Sincerely,</w:t>
      </w:r>
    </w:p>
    <w:p w:rsidR="002C5025" w:rsidRDefault="00FB027C">
      <w:pPr>
        <w:pStyle w:val="BodyText"/>
        <w:kinsoku w:val="0"/>
        <w:overflowPunct w:val="0"/>
        <w:ind w:left="120"/>
        <w:rPr>
          <w:sz w:val="20"/>
          <w:szCs w:val="20"/>
        </w:rPr>
      </w:pPr>
      <w:r>
        <w:rPr>
          <w:noProof/>
          <w:sz w:val="20"/>
          <w:szCs w:val="20"/>
        </w:rPr>
        <w:drawing>
          <wp:inline distT="0" distB="0" distL="0" distR="0">
            <wp:extent cx="685800" cy="5143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85800" cy="514350"/>
                    </a:xfrm>
                    <a:prstGeom prst="rect">
                      <a:avLst/>
                    </a:prstGeom>
                    <a:noFill/>
                    <a:ln>
                      <a:noFill/>
                    </a:ln>
                  </pic:spPr>
                </pic:pic>
              </a:graphicData>
            </a:graphic>
          </wp:inline>
        </w:drawing>
      </w:r>
    </w:p>
    <w:p w:rsidR="002C5025" w:rsidRDefault="002C5025">
      <w:pPr>
        <w:pStyle w:val="BodyText"/>
        <w:kinsoku w:val="0"/>
        <w:overflowPunct w:val="0"/>
        <w:spacing w:line="261" w:lineRule="exact"/>
        <w:ind w:left="120" w:right="814"/>
      </w:pPr>
      <w:r>
        <w:t>Suzanne Curry</w:t>
      </w:r>
    </w:p>
    <w:p w:rsidR="002C5025" w:rsidRDefault="002C5025">
      <w:pPr>
        <w:pStyle w:val="BodyText"/>
        <w:kinsoku w:val="0"/>
        <w:overflowPunct w:val="0"/>
        <w:ind w:left="119" w:right="4838"/>
      </w:pPr>
      <w:r>
        <w:t>Senior Health Policy Manager, Health Care For All Director, ACT!! Coalition</w:t>
      </w: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FB027C">
      <w:pPr>
        <w:pStyle w:val="BodyText"/>
        <w:kinsoku w:val="0"/>
        <w:overflowPunct w:val="0"/>
        <w:spacing w:before="2"/>
        <w:rPr>
          <w:sz w:val="20"/>
          <w:szCs w:val="20"/>
        </w:rPr>
      </w:pPr>
      <w:r>
        <w:rPr>
          <w:noProof/>
        </w:rPr>
        <mc:AlternateContent>
          <mc:Choice Requires="wps">
            <w:drawing>
              <wp:anchor distT="0" distB="0" distL="0" distR="0" simplePos="0" relativeHeight="251465216" behindDoc="0" locked="0" layoutInCell="0" allowOverlap="1">
                <wp:simplePos x="0" y="0"/>
                <wp:positionH relativeFrom="page">
                  <wp:posOffset>923925</wp:posOffset>
                </wp:positionH>
                <wp:positionV relativeFrom="paragraph">
                  <wp:posOffset>186690</wp:posOffset>
                </wp:positionV>
                <wp:extent cx="1829435" cy="12700"/>
                <wp:effectExtent l="0" t="0" r="0" b="0"/>
                <wp:wrapTopAndBottom/>
                <wp:docPr id="987"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1 w 2881"/>
                            <a:gd name="T3" fmla="*/ 0 h 20"/>
                          </a:gdLst>
                          <a:ahLst/>
                          <a:cxnLst>
                            <a:cxn ang="0">
                              <a:pos x="T0" y="T1"/>
                            </a:cxn>
                            <a:cxn ang="0">
                              <a:pos x="T2" y="T3"/>
                            </a:cxn>
                          </a:cxnLst>
                          <a:rect l="0" t="0" r="r" b="b"/>
                          <a:pathLst>
                            <a:path w="2881" h="20">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8" o:spid="_x0000_s1026" style="position:absolute;z-index:251465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2.75pt,14.7pt,216.8pt,14.7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" o:allowincell="f" filled="f" strokeweight=".82pt">
                <v:path arrowok="t" o:connecttype="custom" o:connectlocs="0,0;1829435,0" o:connectangles="0,0"/>
                <w10:wrap type="topAndBottom" anchorx="page"/>
              </v:polyline>
            </w:pict>
          </mc:Fallback>
        </mc:AlternateContent>
      </w:r>
    </w:p>
    <w:p w:rsidR="002C5025" w:rsidRDefault="002C5025">
      <w:pPr>
        <w:pStyle w:val="BodyText"/>
        <w:kinsoku w:val="0"/>
        <w:overflowPunct w:val="0"/>
        <w:spacing w:before="38"/>
        <w:ind w:left="120" w:right="814"/>
        <w:rPr>
          <w:sz w:val="20"/>
          <w:szCs w:val="20"/>
        </w:rPr>
      </w:pPr>
      <w:r>
        <w:rPr>
          <w:position w:val="10"/>
          <w:sz w:val="13"/>
          <w:szCs w:val="13"/>
        </w:rPr>
        <w:t xml:space="preserve">15 </w:t>
      </w:r>
      <w:r>
        <w:rPr>
          <w:sz w:val="20"/>
          <w:szCs w:val="20"/>
        </w:rPr>
        <w:t>42 U.S.C. § 1396a(e)(2).</w:t>
      </w:r>
    </w:p>
    <w:p w:rsidR="002C5025" w:rsidRDefault="002C5025">
      <w:pPr>
        <w:pStyle w:val="BodyText"/>
        <w:kinsoku w:val="0"/>
        <w:overflowPunct w:val="0"/>
        <w:spacing w:before="9"/>
        <w:rPr>
          <w:sz w:val="11"/>
          <w:szCs w:val="11"/>
        </w:rPr>
      </w:pPr>
    </w:p>
    <w:p w:rsidR="002C5025" w:rsidRDefault="002C5025">
      <w:pPr>
        <w:pStyle w:val="BodyText"/>
        <w:kinsoku w:val="0"/>
        <w:overflowPunct w:val="0"/>
        <w:spacing w:before="59"/>
        <w:ind w:left="124"/>
        <w:jc w:val="center"/>
        <w:rPr>
          <w:w w:val="99"/>
          <w:sz w:val="20"/>
          <w:szCs w:val="20"/>
        </w:rPr>
      </w:pPr>
      <w:r>
        <w:rPr>
          <w:w w:val="99"/>
          <w:sz w:val="20"/>
          <w:szCs w:val="20"/>
        </w:rPr>
        <w:t>4</w:t>
      </w:r>
    </w:p>
    <w:p w:rsidR="002C5025" w:rsidRDefault="002C5025">
      <w:pPr>
        <w:pStyle w:val="BodyText"/>
        <w:kinsoku w:val="0"/>
        <w:overflowPunct w:val="0"/>
        <w:spacing w:before="59"/>
        <w:ind w:left="124"/>
        <w:jc w:val="center"/>
        <w:rPr>
          <w:w w:val="99"/>
          <w:sz w:val="20"/>
          <w:szCs w:val="20"/>
        </w:rPr>
        <w:sectPr w:rsidR="002C5025">
          <w:pgSz w:w="12240" w:h="15840"/>
          <w:pgMar w:top="1360" w:right="1440" w:bottom="280" w:left="1320" w:header="720" w:footer="720" w:gutter="0"/>
          <w:cols w:space="720"/>
          <w:noEndnote/>
        </w:sectPr>
      </w:pPr>
    </w:p>
    <w:p w:rsidR="002C5025" w:rsidRDefault="00FB027C">
      <w:pPr>
        <w:pStyle w:val="BodyText"/>
        <w:kinsoku w:val="0"/>
        <w:overflowPunct w:val="0"/>
        <w:ind w:left="3734"/>
        <w:rPr>
          <w:sz w:val="20"/>
          <w:szCs w:val="20"/>
        </w:rPr>
      </w:pPr>
      <w:r>
        <w:rPr>
          <w:noProof/>
          <w:sz w:val="20"/>
          <w:szCs w:val="20"/>
        </w:rPr>
        <w:lastRenderedPageBreak/>
        <w:drawing>
          <wp:inline distT="0" distB="0" distL="0" distR="0">
            <wp:extent cx="1362075" cy="62865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362075" cy="628650"/>
                    </a:xfrm>
                    <a:prstGeom prst="rect">
                      <a:avLst/>
                    </a:prstGeom>
                    <a:noFill/>
                    <a:ln>
                      <a:noFill/>
                    </a:ln>
                  </pic:spPr>
                </pic:pic>
              </a:graphicData>
            </a:graphic>
          </wp:inline>
        </w:drawing>
      </w:r>
    </w:p>
    <w:p w:rsidR="002C5025" w:rsidRDefault="002C5025">
      <w:pPr>
        <w:pStyle w:val="BodyText"/>
        <w:kinsoku w:val="0"/>
        <w:overflowPunct w:val="0"/>
        <w:spacing w:before="10"/>
        <w:rPr>
          <w:sz w:val="16"/>
          <w:szCs w:val="16"/>
        </w:rPr>
      </w:pPr>
    </w:p>
    <w:p w:rsidR="002C5025" w:rsidRDefault="002C5025">
      <w:pPr>
        <w:pStyle w:val="BodyText"/>
        <w:kinsoku w:val="0"/>
        <w:overflowPunct w:val="0"/>
        <w:spacing w:before="56"/>
        <w:ind w:left="3038" w:right="443"/>
        <w:rPr>
          <w:b/>
          <w:bCs/>
        </w:rPr>
      </w:pPr>
      <w:r>
        <w:rPr>
          <w:b/>
          <w:bCs/>
          <w:u w:val="single"/>
        </w:rPr>
        <w:t>ACT!! Coalition Member Organizations</w:t>
      </w:r>
    </w:p>
    <w:p w:rsidR="002C5025" w:rsidRDefault="002C5025">
      <w:pPr>
        <w:pStyle w:val="BodyText"/>
        <w:kinsoku w:val="0"/>
        <w:overflowPunct w:val="0"/>
        <w:spacing w:before="3"/>
        <w:rPr>
          <w:b/>
          <w:bCs/>
          <w:sz w:val="17"/>
          <w:szCs w:val="17"/>
        </w:rPr>
      </w:pPr>
    </w:p>
    <w:p w:rsidR="002C5025" w:rsidRDefault="002C5025">
      <w:pPr>
        <w:pStyle w:val="BodyText"/>
        <w:kinsoku w:val="0"/>
        <w:overflowPunct w:val="0"/>
        <w:spacing w:before="3"/>
        <w:rPr>
          <w:b/>
          <w:bCs/>
          <w:sz w:val="17"/>
          <w:szCs w:val="17"/>
        </w:rPr>
        <w:sectPr w:rsidR="002C5025">
          <w:pgSz w:w="12240" w:h="15840"/>
          <w:pgMar w:top="1440" w:right="1420" w:bottom="280" w:left="1320" w:header="720" w:footer="720" w:gutter="0"/>
          <w:cols w:space="720" w:equalWidth="0">
            <w:col w:w="9500"/>
          </w:cols>
          <w:noEndnote/>
        </w:sectPr>
      </w:pPr>
    </w:p>
    <w:p w:rsidR="002C5025" w:rsidRDefault="002C5025">
      <w:pPr>
        <w:pStyle w:val="BodyText"/>
        <w:kinsoku w:val="0"/>
        <w:overflowPunct w:val="0"/>
        <w:spacing w:before="58" w:line="268" w:lineRule="exact"/>
        <w:ind w:left="120" w:right="-1"/>
      </w:pPr>
      <w:r>
        <w:lastRenderedPageBreak/>
        <w:t>AARP Massachusetts</w:t>
      </w:r>
    </w:p>
    <w:p w:rsidR="002C5025" w:rsidRDefault="002C5025">
      <w:pPr>
        <w:pStyle w:val="BodyText"/>
        <w:kinsoku w:val="0"/>
        <w:overflowPunct w:val="0"/>
        <w:ind w:left="120" w:right="-1" w:hanging="1"/>
      </w:pPr>
      <w:r>
        <w:t>Action for Boston Community Development AIDS Action Committee</w:t>
      </w:r>
    </w:p>
    <w:p w:rsidR="002C5025" w:rsidRDefault="002C5025">
      <w:pPr>
        <w:pStyle w:val="BodyText"/>
        <w:kinsoku w:val="0"/>
        <w:overflowPunct w:val="0"/>
        <w:ind w:left="119" w:right="-1"/>
      </w:pPr>
      <w:r>
        <w:t>American Cancer Society Cancer Action Network</w:t>
      </w:r>
    </w:p>
    <w:p w:rsidR="002C5025" w:rsidRDefault="002C5025">
      <w:pPr>
        <w:pStyle w:val="BodyText"/>
        <w:kinsoku w:val="0"/>
        <w:overflowPunct w:val="0"/>
        <w:ind w:left="119" w:right="-1"/>
      </w:pPr>
      <w:r>
        <w:t>American</w:t>
      </w:r>
      <w:r>
        <w:rPr>
          <w:spacing w:val="-12"/>
        </w:rPr>
        <w:t xml:space="preserve"> </w:t>
      </w:r>
      <w:r>
        <w:t>Heart</w:t>
      </w:r>
      <w:r>
        <w:rPr>
          <w:spacing w:val="-9"/>
        </w:rPr>
        <w:t xml:space="preserve"> </w:t>
      </w:r>
      <w:r>
        <w:t>Association</w:t>
      </w:r>
      <w:r>
        <w:rPr>
          <w:spacing w:val="-10"/>
        </w:rPr>
        <w:t xml:space="preserve"> </w:t>
      </w:r>
      <w:r>
        <w:t>/</w:t>
      </w:r>
      <w:r>
        <w:rPr>
          <w:spacing w:val="-7"/>
        </w:rPr>
        <w:t xml:space="preserve"> </w:t>
      </w:r>
      <w:r>
        <w:t>American</w:t>
      </w:r>
      <w:r>
        <w:rPr>
          <w:spacing w:val="-12"/>
        </w:rPr>
        <w:t xml:space="preserve"> </w:t>
      </w:r>
      <w:r>
        <w:t>Stroke Association</w:t>
      </w:r>
    </w:p>
    <w:p w:rsidR="002C5025" w:rsidRDefault="002C5025">
      <w:pPr>
        <w:pStyle w:val="BodyText"/>
        <w:kinsoku w:val="0"/>
        <w:overflowPunct w:val="0"/>
        <w:ind w:left="120" w:right="745" w:hanging="1"/>
        <w:jc w:val="both"/>
      </w:pPr>
      <w:r>
        <w:t>Association for Behavioral Healthcare Boston Center for Independent Living Boston Children’s Hospital</w:t>
      </w:r>
    </w:p>
    <w:p w:rsidR="002C5025" w:rsidRDefault="002C5025">
      <w:pPr>
        <w:pStyle w:val="BodyText"/>
        <w:kinsoku w:val="0"/>
        <w:overflowPunct w:val="0"/>
        <w:spacing w:line="268" w:lineRule="exact"/>
        <w:ind w:left="120" w:right="-1"/>
      </w:pPr>
      <w:r>
        <w:t>Boston Medical Center</w:t>
      </w:r>
    </w:p>
    <w:p w:rsidR="002C5025" w:rsidRDefault="002C5025">
      <w:pPr>
        <w:pStyle w:val="BodyText"/>
        <w:kinsoku w:val="0"/>
        <w:overflowPunct w:val="0"/>
        <w:ind w:left="120" w:right="873"/>
      </w:pPr>
      <w:r>
        <w:t xml:space="preserve">Boston Public Health Commission Cambridge Health Alliance Children’s Health Access Coalition </w:t>
      </w:r>
      <w:proofErr w:type="spellStart"/>
      <w:r>
        <w:t>Coalition</w:t>
      </w:r>
      <w:proofErr w:type="spellEnd"/>
      <w:r>
        <w:t xml:space="preserve"> for Social Justice</w:t>
      </w:r>
    </w:p>
    <w:p w:rsidR="002C5025" w:rsidRDefault="002C5025">
      <w:pPr>
        <w:pStyle w:val="BodyText"/>
        <w:kinsoku w:val="0"/>
        <w:overflowPunct w:val="0"/>
        <w:ind w:left="120" w:right="-1"/>
      </w:pPr>
      <w:r>
        <w:t>Committee of Interns and Residents/SEIU Healthcare</w:t>
      </w:r>
    </w:p>
    <w:p w:rsidR="002C5025" w:rsidRDefault="002C5025">
      <w:pPr>
        <w:pStyle w:val="BodyText"/>
        <w:kinsoku w:val="0"/>
        <w:overflowPunct w:val="0"/>
        <w:ind w:left="120" w:right="1479"/>
      </w:pPr>
      <w:r>
        <w:t>Community Catalyst Community Servings Disability Policy Consortium Episcopal City Mission Families USA</w:t>
      </w:r>
    </w:p>
    <w:p w:rsidR="002C5025" w:rsidRDefault="002C5025">
      <w:pPr>
        <w:pStyle w:val="BodyText"/>
        <w:kinsoku w:val="0"/>
        <w:overflowPunct w:val="0"/>
        <w:ind w:left="120" w:right="-1"/>
      </w:pPr>
      <w:r>
        <w:t>Greater Boston Interfaith Organization Greater Boston Legal Services</w:t>
      </w:r>
    </w:p>
    <w:p w:rsidR="002C5025" w:rsidRDefault="002C5025">
      <w:pPr>
        <w:pStyle w:val="BodyText"/>
        <w:kinsoku w:val="0"/>
        <w:overflowPunct w:val="0"/>
        <w:ind w:left="119" w:right="1628"/>
      </w:pPr>
      <w:r>
        <w:t>Health Care For All Healthcare for Artists Health Law Advocates</w:t>
      </w:r>
    </w:p>
    <w:p w:rsidR="002C5025" w:rsidRDefault="002C5025">
      <w:pPr>
        <w:pStyle w:val="BodyText"/>
        <w:kinsoku w:val="0"/>
        <w:overflowPunct w:val="0"/>
        <w:spacing w:before="5" w:line="265" w:lineRule="exact"/>
        <w:ind w:left="119" w:right="-1"/>
      </w:pPr>
      <w:r>
        <w:t>Home Care Alliance of Massachusetts</w:t>
      </w:r>
    </w:p>
    <w:p w:rsidR="002C5025" w:rsidRDefault="002C5025">
      <w:pPr>
        <w:pStyle w:val="BodyText"/>
        <w:kinsoku w:val="0"/>
        <w:overflowPunct w:val="0"/>
        <w:ind w:left="119" w:right="-1"/>
      </w:pPr>
      <w:r>
        <w:t>Joint Committee for Children’s Health Care in Everett</w:t>
      </w:r>
    </w:p>
    <w:p w:rsidR="002C5025" w:rsidRDefault="002C5025">
      <w:pPr>
        <w:pStyle w:val="BodyText"/>
        <w:kinsoku w:val="0"/>
        <w:overflowPunct w:val="0"/>
        <w:spacing w:line="267" w:lineRule="exact"/>
        <w:ind w:left="119" w:right="-1"/>
      </w:pPr>
      <w:r>
        <w:t>JRI Health</w:t>
      </w:r>
    </w:p>
    <w:p w:rsidR="002C5025" w:rsidRDefault="002C5025">
      <w:pPr>
        <w:pStyle w:val="BodyText"/>
        <w:kinsoku w:val="0"/>
        <w:overflowPunct w:val="0"/>
        <w:ind w:left="119" w:right="-1" w:hanging="1"/>
      </w:pPr>
      <w:r>
        <w:t>Massachusetts Academy of Family Physicians Massachusetts Association of Community Health Workers</w:t>
      </w:r>
    </w:p>
    <w:p w:rsidR="002C5025" w:rsidRDefault="002C5025">
      <w:pPr>
        <w:pStyle w:val="BodyText"/>
        <w:kinsoku w:val="0"/>
        <w:overflowPunct w:val="0"/>
        <w:spacing w:before="53" w:line="266" w:lineRule="exact"/>
        <w:ind w:left="119" w:right="51"/>
      </w:pPr>
      <w:r>
        <w:rPr>
          <w:rFonts w:ascii="Times New Roman" w:hAnsi="Times New Roman" w:cs="Times New Roman"/>
          <w:sz w:val="24"/>
          <w:szCs w:val="24"/>
        </w:rPr>
        <w:br w:type="column"/>
      </w:r>
      <w:r>
        <w:lastRenderedPageBreak/>
        <w:t>Massachusetts Association of Behavioral Health Systems</w:t>
      </w:r>
    </w:p>
    <w:p w:rsidR="002C5025" w:rsidRDefault="002C5025">
      <w:pPr>
        <w:pStyle w:val="BodyText"/>
        <w:kinsoku w:val="0"/>
        <w:overflowPunct w:val="0"/>
        <w:spacing w:before="6"/>
        <w:ind w:left="119" w:right="372"/>
      </w:pPr>
      <w:r>
        <w:t>Massachusetts Breast Cancer Coalition Massachusetts Building Trades Council Massachusetts Business Leaders for Quality, Affordable Health Care</w:t>
      </w:r>
    </w:p>
    <w:p w:rsidR="002C5025" w:rsidRDefault="002C5025">
      <w:pPr>
        <w:pStyle w:val="BodyText"/>
        <w:kinsoku w:val="0"/>
        <w:overflowPunct w:val="0"/>
        <w:ind w:left="119" w:right="51" w:hanging="1"/>
      </w:pPr>
      <w:r>
        <w:t>Massachusetts Chapter of the American Academy of Pediatrics</w:t>
      </w:r>
    </w:p>
    <w:p w:rsidR="002C5025" w:rsidRDefault="002C5025">
      <w:pPr>
        <w:pStyle w:val="BodyText"/>
        <w:kinsoku w:val="0"/>
        <w:overflowPunct w:val="0"/>
        <w:ind w:left="119" w:right="32" w:hanging="1"/>
      </w:pPr>
      <w:r>
        <w:t>Massachusetts College of Emergency Physicians Massachusetts Communities Action Network Massachusetts Council of Community Hospitals Massachusetts Immigrant and Refugee Advocacy (MIRA) Coalition</w:t>
      </w:r>
    </w:p>
    <w:p w:rsidR="002C5025" w:rsidRDefault="002C5025">
      <w:pPr>
        <w:pStyle w:val="BodyText"/>
        <w:kinsoku w:val="0"/>
        <w:overflowPunct w:val="0"/>
        <w:ind w:left="119" w:right="344"/>
      </w:pPr>
      <w:r>
        <w:t>Massachusetts Health Council Massachusetts Hospital Association Massachusetts Law Reform Institute Massachusetts League of Community Health Centers</w:t>
      </w:r>
    </w:p>
    <w:p w:rsidR="002C5025" w:rsidRDefault="002C5025">
      <w:pPr>
        <w:pStyle w:val="BodyText"/>
        <w:kinsoku w:val="0"/>
        <w:overflowPunct w:val="0"/>
        <w:ind w:left="120" w:right="372" w:hanging="1"/>
      </w:pPr>
      <w:r>
        <w:t>Massachusetts Medical Society Massachusetts Organization for Addiction Recovery</w:t>
      </w:r>
    </w:p>
    <w:p w:rsidR="002C5025" w:rsidRDefault="002C5025">
      <w:pPr>
        <w:pStyle w:val="BodyText"/>
        <w:kinsoku w:val="0"/>
        <w:overflowPunct w:val="0"/>
        <w:ind w:left="120" w:right="51"/>
      </w:pPr>
      <w:r>
        <w:t>Massachusetts NOW</w:t>
      </w:r>
    </w:p>
    <w:p w:rsidR="002C5025" w:rsidRDefault="002C5025">
      <w:pPr>
        <w:pStyle w:val="BodyText"/>
        <w:kinsoku w:val="0"/>
        <w:overflowPunct w:val="0"/>
        <w:ind w:left="120" w:right="590"/>
      </w:pPr>
      <w:r>
        <w:t>Massachusetts Public Health Association NARAL Pro-Choice Massachusetts National Association of Social Workers – Massachusetts Chapter</w:t>
      </w:r>
    </w:p>
    <w:p w:rsidR="002C5025" w:rsidRDefault="002C5025">
      <w:pPr>
        <w:pStyle w:val="BodyText"/>
        <w:kinsoku w:val="0"/>
        <w:overflowPunct w:val="0"/>
        <w:spacing w:before="3"/>
        <w:ind w:left="119" w:right="2011"/>
      </w:pPr>
      <w:r>
        <w:t>Neighbor to Neighbor Partners HealthCare Public Policy Institute</w:t>
      </w:r>
    </w:p>
    <w:p w:rsidR="002C5025" w:rsidRDefault="002C5025">
      <w:pPr>
        <w:pStyle w:val="BodyText"/>
        <w:kinsoku w:val="0"/>
        <w:overflowPunct w:val="0"/>
        <w:spacing w:line="267" w:lineRule="exact"/>
        <w:ind w:left="119" w:right="51"/>
      </w:pPr>
      <w:r>
        <w:t>32BJ SEIU New England 615</w:t>
      </w:r>
    </w:p>
    <w:p w:rsidR="002C5025" w:rsidRDefault="002C5025">
      <w:pPr>
        <w:pStyle w:val="BodyText"/>
        <w:kinsoku w:val="0"/>
        <w:overflowPunct w:val="0"/>
        <w:ind w:left="119" w:right="51"/>
      </w:pPr>
      <w:r>
        <w:t>1199 SEIU United Healthcare Workers East Tobacco Free Mass</w:t>
      </w:r>
    </w:p>
    <w:p w:rsidR="002C5025" w:rsidRDefault="002C5025">
      <w:pPr>
        <w:pStyle w:val="BodyText"/>
        <w:kinsoku w:val="0"/>
        <w:overflowPunct w:val="0"/>
        <w:ind w:left="119" w:right="590"/>
      </w:pPr>
      <w:r>
        <w:t>Treatment Access Expansion Project UMass Memorial Health Care</w:t>
      </w:r>
    </w:p>
    <w:p w:rsidR="002C5025" w:rsidRDefault="002C5025">
      <w:pPr>
        <w:pStyle w:val="BodyText"/>
        <w:kinsoku w:val="0"/>
        <w:overflowPunct w:val="0"/>
        <w:ind w:left="119" w:right="590"/>
        <w:sectPr w:rsidR="002C5025">
          <w:type w:val="continuous"/>
          <w:pgSz w:w="12240" w:h="15840"/>
          <w:pgMar w:top="720" w:right="1420" w:bottom="280" w:left="1320" w:header="720" w:footer="720" w:gutter="0"/>
          <w:cols w:num="2" w:space="720" w:equalWidth="0">
            <w:col w:w="4229" w:space="814"/>
            <w:col w:w="4457"/>
          </w:cols>
          <w:noEndnote/>
        </w:sect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spacing w:before="9"/>
        <w:rPr>
          <w:sz w:val="19"/>
          <w:szCs w:val="19"/>
        </w:rPr>
      </w:pPr>
    </w:p>
    <w:p w:rsidR="002C5025" w:rsidRDefault="002C5025">
      <w:pPr>
        <w:pStyle w:val="BodyText"/>
        <w:kinsoku w:val="0"/>
        <w:overflowPunct w:val="0"/>
        <w:spacing w:before="59"/>
        <w:ind w:left="104"/>
        <w:jc w:val="center"/>
        <w:rPr>
          <w:w w:val="99"/>
          <w:sz w:val="20"/>
          <w:szCs w:val="20"/>
        </w:rPr>
      </w:pPr>
      <w:r>
        <w:rPr>
          <w:w w:val="99"/>
          <w:sz w:val="20"/>
          <w:szCs w:val="20"/>
        </w:rPr>
        <w:t>5</w:t>
      </w:r>
    </w:p>
    <w:p w:rsidR="002C5025" w:rsidRDefault="002C5025">
      <w:pPr>
        <w:pStyle w:val="BodyText"/>
        <w:kinsoku w:val="0"/>
        <w:overflowPunct w:val="0"/>
        <w:spacing w:before="59"/>
        <w:ind w:left="104"/>
        <w:jc w:val="center"/>
        <w:rPr>
          <w:w w:val="99"/>
          <w:sz w:val="20"/>
          <w:szCs w:val="20"/>
        </w:rPr>
        <w:sectPr w:rsidR="002C5025">
          <w:type w:val="continuous"/>
          <w:pgSz w:w="12240" w:h="15840"/>
          <w:pgMar w:top="720" w:right="1420" w:bottom="280" w:left="1320" w:header="720" w:footer="720" w:gutter="0"/>
          <w:cols w:space="720" w:equalWidth="0">
            <w:col w:w="9500"/>
          </w:cols>
          <w:noEndnote/>
        </w:sectPr>
      </w:pPr>
    </w:p>
    <w:p w:rsidR="002C5025" w:rsidRDefault="002C5025">
      <w:pPr>
        <w:pStyle w:val="BodyText"/>
        <w:kinsoku w:val="0"/>
        <w:overflowPunct w:val="0"/>
        <w:spacing w:line="1127" w:lineRule="exact"/>
        <w:ind w:left="118" w:right="-18"/>
        <w:rPr>
          <w:rFonts w:ascii="Arial" w:hAnsi="Arial" w:cs="Arial"/>
          <w:b/>
          <w:bCs/>
          <w:i/>
          <w:iCs/>
          <w:w w:val="90"/>
          <w:sz w:val="103"/>
          <w:szCs w:val="103"/>
        </w:rPr>
      </w:pPr>
      <w:bookmarkStart w:id="22" w:name="ABCD_-_Letter_1"/>
      <w:bookmarkEnd w:id="22"/>
      <w:r>
        <w:rPr>
          <w:rFonts w:ascii="Arial" w:hAnsi="Arial" w:cs="Arial"/>
          <w:b/>
          <w:bCs/>
          <w:i/>
          <w:iCs/>
          <w:spacing w:val="-52"/>
          <w:w w:val="185"/>
          <w:sz w:val="103"/>
          <w:szCs w:val="103"/>
        </w:rPr>
        <w:lastRenderedPageBreak/>
        <w:t>ab</w:t>
      </w:r>
      <w:r>
        <w:rPr>
          <w:rFonts w:ascii="Arial" w:hAnsi="Arial" w:cs="Arial"/>
          <w:b/>
          <w:bCs/>
          <w:i/>
          <w:iCs/>
          <w:spacing w:val="-171"/>
          <w:w w:val="185"/>
          <w:sz w:val="103"/>
          <w:szCs w:val="103"/>
        </w:rPr>
        <w:t xml:space="preserve"> </w:t>
      </w:r>
      <w:r>
        <w:rPr>
          <w:rFonts w:ascii="Arial" w:hAnsi="Arial" w:cs="Arial"/>
          <w:b/>
          <w:bCs/>
          <w:i/>
          <w:iCs/>
          <w:w w:val="90"/>
          <w:sz w:val="103"/>
          <w:szCs w:val="103"/>
        </w:rPr>
        <w:t>I</w:t>
      </w:r>
    </w:p>
    <w:p w:rsidR="002C5025" w:rsidRDefault="002C5025">
      <w:pPr>
        <w:pStyle w:val="BodyText"/>
        <w:kinsoku w:val="0"/>
        <w:overflowPunct w:val="0"/>
        <w:spacing w:before="2"/>
        <w:rPr>
          <w:rFonts w:ascii="Arial" w:hAnsi="Arial" w:cs="Arial"/>
          <w:b/>
          <w:bCs/>
          <w:i/>
          <w:iCs/>
          <w:sz w:val="25"/>
          <w:szCs w:val="25"/>
        </w:rPr>
      </w:pPr>
      <w:r>
        <w:rPr>
          <w:rFonts w:ascii="Times New Roman" w:hAnsi="Times New Roman" w:cs="Times New Roman"/>
          <w:sz w:val="24"/>
          <w:szCs w:val="24"/>
        </w:rPr>
        <w:br w:type="column"/>
      </w:r>
    </w:p>
    <w:p w:rsidR="002C5025" w:rsidRDefault="002C5025">
      <w:pPr>
        <w:pStyle w:val="BodyText"/>
        <w:kinsoku w:val="0"/>
        <w:overflowPunct w:val="0"/>
        <w:ind w:left="118"/>
        <w:rPr>
          <w:rFonts w:ascii="Arial" w:hAnsi="Arial" w:cs="Arial"/>
          <w:b/>
          <w:bCs/>
          <w:w w:val="105"/>
          <w:sz w:val="23"/>
          <w:szCs w:val="23"/>
        </w:rPr>
      </w:pPr>
      <w:r>
        <w:rPr>
          <w:rFonts w:ascii="Arial" w:hAnsi="Arial" w:cs="Arial"/>
          <w:b/>
          <w:bCs/>
          <w:w w:val="105"/>
          <w:sz w:val="23"/>
          <w:szCs w:val="23"/>
        </w:rPr>
        <w:t>Action for Boston</w:t>
      </w:r>
    </w:p>
    <w:p w:rsidR="002C5025" w:rsidRDefault="002C5025">
      <w:pPr>
        <w:pStyle w:val="BodyText"/>
        <w:kinsoku w:val="0"/>
        <w:overflowPunct w:val="0"/>
        <w:spacing w:before="28"/>
        <w:ind w:left="125"/>
        <w:rPr>
          <w:rFonts w:ascii="Arial" w:hAnsi="Arial" w:cs="Arial"/>
          <w:b/>
          <w:bCs/>
          <w:w w:val="105"/>
          <w:sz w:val="23"/>
          <w:szCs w:val="23"/>
        </w:rPr>
      </w:pPr>
      <w:r>
        <w:rPr>
          <w:rFonts w:ascii="Arial" w:hAnsi="Arial" w:cs="Arial"/>
          <w:b/>
          <w:bCs/>
          <w:w w:val="105"/>
          <w:sz w:val="23"/>
          <w:szCs w:val="23"/>
        </w:rPr>
        <w:t>Community Development, Inc.</w:t>
      </w:r>
    </w:p>
    <w:p w:rsidR="002C5025" w:rsidRDefault="002C5025">
      <w:pPr>
        <w:pStyle w:val="BodyText"/>
        <w:kinsoku w:val="0"/>
        <w:overflowPunct w:val="0"/>
        <w:spacing w:before="28"/>
        <w:ind w:left="125"/>
        <w:rPr>
          <w:rFonts w:ascii="Arial" w:hAnsi="Arial" w:cs="Arial"/>
          <w:b/>
          <w:bCs/>
          <w:w w:val="105"/>
          <w:sz w:val="23"/>
          <w:szCs w:val="23"/>
        </w:rPr>
        <w:sectPr w:rsidR="002C5025">
          <w:pgSz w:w="12240" w:h="15840"/>
          <w:pgMar w:top="620" w:right="900" w:bottom="280" w:left="760" w:header="720" w:footer="720" w:gutter="0"/>
          <w:cols w:num="2" w:space="720" w:equalWidth="0">
            <w:col w:w="2856" w:space="88"/>
            <w:col w:w="7636"/>
          </w:cols>
          <w:noEndnote/>
        </w:sectPr>
      </w:pPr>
    </w:p>
    <w:p w:rsidR="002C5025" w:rsidRDefault="002C5025">
      <w:pPr>
        <w:pStyle w:val="BodyText"/>
        <w:kinsoku w:val="0"/>
        <w:overflowPunct w:val="0"/>
        <w:rPr>
          <w:rFonts w:ascii="Arial" w:hAnsi="Arial" w:cs="Arial"/>
          <w:b/>
          <w:bCs/>
          <w:sz w:val="20"/>
          <w:szCs w:val="20"/>
        </w:rPr>
      </w:pPr>
    </w:p>
    <w:p w:rsidR="002C5025" w:rsidRDefault="002C5025">
      <w:pPr>
        <w:pStyle w:val="BodyText"/>
        <w:kinsoku w:val="0"/>
        <w:overflowPunct w:val="0"/>
        <w:rPr>
          <w:rFonts w:ascii="Arial" w:hAnsi="Arial" w:cs="Arial"/>
          <w:b/>
          <w:bCs/>
          <w:sz w:val="20"/>
          <w:szCs w:val="20"/>
        </w:rPr>
      </w:pPr>
    </w:p>
    <w:p w:rsidR="002C5025" w:rsidRDefault="002C5025">
      <w:pPr>
        <w:pStyle w:val="BodyText"/>
        <w:kinsoku w:val="0"/>
        <w:overflowPunct w:val="0"/>
        <w:rPr>
          <w:rFonts w:ascii="Arial" w:hAnsi="Arial" w:cs="Arial"/>
          <w:b/>
          <w:bCs/>
          <w:sz w:val="20"/>
          <w:szCs w:val="20"/>
        </w:rPr>
      </w:pPr>
    </w:p>
    <w:p w:rsidR="002C5025" w:rsidRDefault="002C5025">
      <w:pPr>
        <w:pStyle w:val="BodyText"/>
        <w:kinsoku w:val="0"/>
        <w:overflowPunct w:val="0"/>
        <w:rPr>
          <w:rFonts w:ascii="Arial" w:hAnsi="Arial" w:cs="Arial"/>
          <w:b/>
          <w:bCs/>
          <w:sz w:val="20"/>
          <w:szCs w:val="20"/>
        </w:rPr>
      </w:pPr>
    </w:p>
    <w:p w:rsidR="002C5025" w:rsidRDefault="002C5025">
      <w:pPr>
        <w:pStyle w:val="BodyText"/>
        <w:kinsoku w:val="0"/>
        <w:overflowPunct w:val="0"/>
        <w:spacing w:before="2"/>
        <w:rPr>
          <w:rFonts w:ascii="Arial" w:hAnsi="Arial" w:cs="Arial"/>
          <w:b/>
          <w:bCs/>
        </w:rPr>
      </w:pPr>
    </w:p>
    <w:p w:rsidR="002C5025" w:rsidRDefault="002C5025">
      <w:pPr>
        <w:pStyle w:val="BodyText"/>
        <w:kinsoku w:val="0"/>
        <w:overflowPunct w:val="0"/>
        <w:spacing w:before="70"/>
        <w:ind w:left="780" w:right="4990"/>
        <w:rPr>
          <w:rFonts w:ascii="Times New Roman" w:hAnsi="Times New Roman" w:cs="Times New Roman"/>
          <w:sz w:val="24"/>
          <w:szCs w:val="24"/>
        </w:rPr>
      </w:pPr>
      <w:r>
        <w:rPr>
          <w:rFonts w:ascii="Times New Roman" w:hAnsi="Times New Roman" w:cs="Times New Roman"/>
          <w:sz w:val="23"/>
          <w:szCs w:val="23"/>
        </w:rPr>
        <w:t xml:space="preserve">July </w:t>
      </w:r>
      <w:r>
        <w:rPr>
          <w:rFonts w:ascii="Times New Roman" w:hAnsi="Times New Roman" w:cs="Times New Roman"/>
          <w:sz w:val="24"/>
          <w:szCs w:val="24"/>
        </w:rPr>
        <w:t>15, 2016</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spacing w:before="10"/>
        <w:rPr>
          <w:rFonts w:ascii="Times New Roman" w:hAnsi="Times New Roman" w:cs="Times New Roman"/>
          <w:sz w:val="21"/>
          <w:szCs w:val="21"/>
        </w:rPr>
      </w:pPr>
    </w:p>
    <w:p w:rsidR="002C5025" w:rsidRDefault="002C5025">
      <w:pPr>
        <w:pStyle w:val="BodyText"/>
        <w:kinsoku w:val="0"/>
        <w:overflowPunct w:val="0"/>
        <w:ind w:left="780" w:right="4990"/>
        <w:rPr>
          <w:rFonts w:ascii="Times New Roman" w:hAnsi="Times New Roman" w:cs="Times New Roman"/>
          <w:sz w:val="23"/>
          <w:szCs w:val="23"/>
        </w:rPr>
      </w:pPr>
      <w:bookmarkStart w:id="23" w:name="Daniel_Tsai"/>
      <w:bookmarkEnd w:id="23"/>
      <w:r>
        <w:rPr>
          <w:rFonts w:ascii="Times New Roman" w:hAnsi="Times New Roman" w:cs="Times New Roman"/>
          <w:sz w:val="23"/>
          <w:szCs w:val="23"/>
        </w:rPr>
        <w:t>Daniel Tsai</w:t>
      </w:r>
    </w:p>
    <w:p w:rsidR="002C5025" w:rsidRDefault="002C5025">
      <w:pPr>
        <w:pStyle w:val="BodyText"/>
        <w:kinsoku w:val="0"/>
        <w:overflowPunct w:val="0"/>
        <w:spacing w:before="6"/>
        <w:ind w:left="781" w:right="4990"/>
        <w:rPr>
          <w:rFonts w:ascii="Times New Roman" w:hAnsi="Times New Roman" w:cs="Times New Roman"/>
          <w:sz w:val="23"/>
          <w:szCs w:val="23"/>
        </w:rPr>
      </w:pPr>
      <w:r>
        <w:rPr>
          <w:rFonts w:ascii="Times New Roman" w:hAnsi="Times New Roman" w:cs="Times New Roman"/>
          <w:sz w:val="23"/>
          <w:szCs w:val="23"/>
        </w:rPr>
        <w:t>Assistant Secretary for MassHealth</w:t>
      </w:r>
    </w:p>
    <w:p w:rsidR="002C5025" w:rsidRDefault="002C5025">
      <w:pPr>
        <w:pStyle w:val="BodyText"/>
        <w:kinsoku w:val="0"/>
        <w:overflowPunct w:val="0"/>
        <w:spacing w:before="25" w:line="266" w:lineRule="exact"/>
        <w:ind w:left="788" w:right="4990" w:hanging="7"/>
        <w:rPr>
          <w:rFonts w:ascii="Times New Roman" w:hAnsi="Times New Roman" w:cs="Times New Roman"/>
          <w:sz w:val="23"/>
          <w:szCs w:val="23"/>
        </w:rPr>
      </w:pPr>
      <w:r>
        <w:rPr>
          <w:rFonts w:ascii="Times New Roman" w:hAnsi="Times New Roman" w:cs="Times New Roman"/>
          <w:sz w:val="23"/>
          <w:szCs w:val="23"/>
        </w:rPr>
        <w:t xml:space="preserve">Executive Office of Health and Human Services One Ashburton Place, </w:t>
      </w:r>
      <w:r>
        <w:rPr>
          <w:rFonts w:ascii="Times New Roman" w:hAnsi="Times New Roman" w:cs="Times New Roman"/>
          <w:sz w:val="24"/>
          <w:szCs w:val="24"/>
        </w:rPr>
        <w:t xml:space="preserve">11th </w:t>
      </w:r>
      <w:r>
        <w:rPr>
          <w:rFonts w:ascii="Times New Roman" w:hAnsi="Times New Roman" w:cs="Times New Roman"/>
          <w:sz w:val="23"/>
          <w:szCs w:val="23"/>
        </w:rPr>
        <w:t>Floor</w:t>
      </w:r>
    </w:p>
    <w:p w:rsidR="002C5025" w:rsidRDefault="002C5025">
      <w:pPr>
        <w:pStyle w:val="BodyText"/>
        <w:kinsoku w:val="0"/>
        <w:overflowPunct w:val="0"/>
        <w:spacing w:before="3"/>
        <w:ind w:left="780" w:right="4990"/>
        <w:rPr>
          <w:rFonts w:ascii="Times New Roman" w:hAnsi="Times New Roman" w:cs="Times New Roman"/>
          <w:sz w:val="24"/>
          <w:szCs w:val="24"/>
        </w:rPr>
      </w:pPr>
      <w:r>
        <w:rPr>
          <w:rFonts w:ascii="Times New Roman" w:hAnsi="Times New Roman" w:cs="Times New Roman"/>
          <w:sz w:val="23"/>
          <w:szCs w:val="23"/>
        </w:rPr>
        <w:t xml:space="preserve">Boston, MA </w:t>
      </w:r>
      <w:r>
        <w:rPr>
          <w:rFonts w:ascii="Times New Roman" w:hAnsi="Times New Roman" w:cs="Times New Roman"/>
          <w:sz w:val="24"/>
          <w:szCs w:val="24"/>
        </w:rPr>
        <w:t>02108</w:t>
      </w:r>
    </w:p>
    <w:p w:rsidR="002C5025" w:rsidRDefault="002C5025">
      <w:pPr>
        <w:pStyle w:val="BodyText"/>
        <w:kinsoku w:val="0"/>
        <w:overflowPunct w:val="0"/>
        <w:spacing w:before="5"/>
        <w:rPr>
          <w:rFonts w:ascii="Times New Roman" w:hAnsi="Times New Roman" w:cs="Times New Roman"/>
          <w:sz w:val="34"/>
          <w:szCs w:val="34"/>
        </w:rPr>
      </w:pPr>
    </w:p>
    <w:p w:rsidR="002C5025" w:rsidRDefault="002C5025">
      <w:pPr>
        <w:pStyle w:val="BodyText"/>
        <w:kinsoku w:val="0"/>
        <w:overflowPunct w:val="0"/>
        <w:spacing w:line="693" w:lineRule="auto"/>
        <w:ind w:left="773" w:right="2241"/>
        <w:rPr>
          <w:rFonts w:ascii="Times New Roman" w:hAnsi="Times New Roman" w:cs="Times New Roman"/>
          <w:sz w:val="23"/>
          <w:szCs w:val="23"/>
        </w:rPr>
      </w:pPr>
      <w:bookmarkStart w:id="24" w:name="RE:_Section_1115_Demonstration_Project_A"/>
      <w:bookmarkEnd w:id="24"/>
      <w:r>
        <w:rPr>
          <w:rFonts w:ascii="Times New Roman" w:hAnsi="Times New Roman" w:cs="Times New Roman"/>
          <w:sz w:val="23"/>
          <w:szCs w:val="23"/>
        </w:rPr>
        <w:t xml:space="preserve">RE: Section </w:t>
      </w:r>
      <w:r>
        <w:rPr>
          <w:rFonts w:ascii="Times New Roman" w:hAnsi="Times New Roman" w:cs="Times New Roman"/>
          <w:sz w:val="24"/>
          <w:szCs w:val="24"/>
        </w:rPr>
        <w:t xml:space="preserve">1115 </w:t>
      </w:r>
      <w:r>
        <w:rPr>
          <w:rFonts w:ascii="Times New Roman" w:hAnsi="Times New Roman" w:cs="Times New Roman"/>
          <w:sz w:val="23"/>
          <w:szCs w:val="23"/>
        </w:rPr>
        <w:t>Demonstration Project Amendment and Extension Request Dear Assistant Secretary Tsai:</w:t>
      </w:r>
    </w:p>
    <w:p w:rsidR="002C5025" w:rsidRDefault="002C5025">
      <w:pPr>
        <w:pStyle w:val="BodyText"/>
        <w:kinsoku w:val="0"/>
        <w:overflowPunct w:val="0"/>
        <w:spacing w:before="65" w:line="288" w:lineRule="auto"/>
        <w:ind w:left="766" w:right="783" w:firstLine="7"/>
        <w:rPr>
          <w:rFonts w:ascii="Times New Roman" w:hAnsi="Times New Roman" w:cs="Times New Roman"/>
          <w:sz w:val="23"/>
          <w:szCs w:val="23"/>
        </w:rPr>
      </w:pPr>
      <w:r>
        <w:rPr>
          <w:rFonts w:ascii="Times New Roman" w:hAnsi="Times New Roman" w:cs="Times New Roman"/>
          <w:sz w:val="23"/>
          <w:szCs w:val="23"/>
        </w:rPr>
        <w:t xml:space="preserve">Action for Boston Community Development, Inc. (ABCD) is pleased to transmit the attached concept paper, developed by a consortium of major Massachusetts human service providers, which describes a potential structure for organizing access to consumer services which can positively  impact  social determinants  of health  </w:t>
      </w:r>
      <w:r>
        <w:rPr>
          <w:rFonts w:ascii="Times New Roman" w:hAnsi="Times New Roman" w:cs="Times New Roman"/>
          <w:spacing w:val="-4"/>
          <w:sz w:val="23"/>
          <w:szCs w:val="23"/>
        </w:rPr>
        <w:t xml:space="preserve">(SDOH)-a </w:t>
      </w:r>
      <w:r>
        <w:rPr>
          <w:rFonts w:ascii="Times New Roman" w:hAnsi="Times New Roman" w:cs="Times New Roman"/>
          <w:spacing w:val="49"/>
          <w:sz w:val="23"/>
          <w:szCs w:val="23"/>
        </w:rPr>
        <w:t xml:space="preserve"> </w:t>
      </w:r>
      <w:r>
        <w:rPr>
          <w:rFonts w:ascii="Times New Roman" w:hAnsi="Times New Roman" w:cs="Times New Roman"/>
          <w:sz w:val="23"/>
          <w:szCs w:val="23"/>
        </w:rPr>
        <w:t>SDOH  Service Hub.</w:t>
      </w:r>
    </w:p>
    <w:p w:rsidR="002C5025" w:rsidRDefault="002C5025">
      <w:pPr>
        <w:pStyle w:val="BodyText"/>
        <w:kinsoku w:val="0"/>
        <w:overflowPunct w:val="0"/>
        <w:spacing w:before="196" w:line="290" w:lineRule="auto"/>
        <w:ind w:left="766" w:right="783" w:firstLine="7"/>
        <w:rPr>
          <w:rFonts w:ascii="Times New Roman" w:hAnsi="Times New Roman" w:cs="Times New Roman"/>
          <w:sz w:val="23"/>
          <w:szCs w:val="23"/>
        </w:rPr>
      </w:pPr>
      <w:r>
        <w:rPr>
          <w:rFonts w:ascii="Times New Roman" w:hAnsi="Times New Roman" w:cs="Times New Roman"/>
          <w:sz w:val="23"/>
          <w:szCs w:val="23"/>
        </w:rPr>
        <w:t>We are confident that such a structure, which the concept paper discusses in detail, will assist significantly in building a MassHealth system which is both cost-efficient and responsive to the needs of the Commonwealth's  most vulnerable residents.</w:t>
      </w:r>
    </w:p>
    <w:p w:rsidR="002C5025" w:rsidRDefault="002C5025">
      <w:pPr>
        <w:pStyle w:val="BodyText"/>
        <w:kinsoku w:val="0"/>
        <w:overflowPunct w:val="0"/>
        <w:spacing w:before="193" w:line="285" w:lineRule="auto"/>
        <w:ind w:left="766" w:right="1211" w:hanging="29"/>
        <w:jc w:val="both"/>
        <w:rPr>
          <w:rFonts w:ascii="Times New Roman" w:hAnsi="Times New Roman" w:cs="Times New Roman"/>
          <w:sz w:val="23"/>
          <w:szCs w:val="23"/>
        </w:rPr>
      </w:pPr>
      <w:r>
        <w:rPr>
          <w:rFonts w:ascii="Times New Roman" w:hAnsi="Times New Roman" w:cs="Times New Roman"/>
          <w:sz w:val="23"/>
          <w:szCs w:val="23"/>
        </w:rPr>
        <w:t xml:space="preserve">Thank you for the opportunity to provide this input to the crucial process of developing the MassHealth </w:t>
      </w:r>
      <w:r>
        <w:rPr>
          <w:rFonts w:ascii="Times New Roman" w:hAnsi="Times New Roman" w:cs="Times New Roman"/>
          <w:sz w:val="24"/>
          <w:szCs w:val="24"/>
        </w:rPr>
        <w:t xml:space="preserve">1115 </w:t>
      </w:r>
      <w:r>
        <w:rPr>
          <w:rFonts w:ascii="Times New Roman" w:hAnsi="Times New Roman" w:cs="Times New Roman"/>
          <w:sz w:val="23"/>
          <w:szCs w:val="23"/>
        </w:rPr>
        <w:t>DSRIP waiver proposal to the federal Center for Medicare and Medicaid Services.</w:t>
      </w: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spacing w:before="4"/>
        <w:rPr>
          <w:rFonts w:ascii="Times New Roman" w:hAnsi="Times New Roman" w:cs="Times New Roman"/>
          <w:sz w:val="19"/>
          <w:szCs w:val="19"/>
        </w:rPr>
      </w:pPr>
    </w:p>
    <w:p w:rsidR="002C5025" w:rsidRDefault="00FB027C">
      <w:pPr>
        <w:pStyle w:val="BodyText"/>
        <w:kinsoku w:val="0"/>
        <w:overflowPunct w:val="0"/>
        <w:ind w:left="773" w:right="4990"/>
        <w:rPr>
          <w:rFonts w:ascii="Times New Roman" w:hAnsi="Times New Roman" w:cs="Times New Roman"/>
          <w:sz w:val="23"/>
          <w:szCs w:val="23"/>
        </w:rPr>
      </w:pPr>
      <w:r>
        <w:rPr>
          <w:noProof/>
        </w:rPr>
        <mc:AlternateContent>
          <mc:Choice Requires="wps">
            <w:drawing>
              <wp:anchor distT="0" distB="0" distL="0" distR="0" simplePos="0" relativeHeight="251466240" behindDoc="0" locked="0" layoutInCell="0" allowOverlap="1">
                <wp:simplePos x="0" y="0"/>
                <wp:positionH relativeFrom="page">
                  <wp:posOffset>603250</wp:posOffset>
                </wp:positionH>
                <wp:positionV relativeFrom="paragraph">
                  <wp:posOffset>198755</wp:posOffset>
                </wp:positionV>
                <wp:extent cx="2400300" cy="1460500"/>
                <wp:effectExtent l="0" t="0" r="0" b="0"/>
                <wp:wrapTopAndBottom/>
                <wp:docPr id="986"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46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2300" w:lineRule="atLeast"/>
                            </w:pPr>
                            <w:r>
                              <w:rPr>
                                <w:noProof/>
                              </w:rPr>
                              <w:drawing>
                                <wp:inline distT="0" distB="0" distL="0" distR="0">
                                  <wp:extent cx="2400300" cy="14668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400300" cy="1466850"/>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31" style="position:absolute;left:0;text-align:left;margin-left:47.5pt;margin-top:15.65pt;width:189pt;height:115pt;z-index:251466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" o:allowincell="f" filled="f" stroked="f">
                <v:textbox inset="0,0,0,0">
                  <w:txbxContent>
                    <w:p w:rsidR="007B2B7B" w:rsidRDefault="007B2B7B">
                      <w:pPr>
                        <w:widowControl/>
                        <w:autoSpaceDE/>
                        <w:autoSpaceDN/>
                        <w:adjustRightInd/>
                        <w:spacing w:line="2300" w:lineRule="atLeast"/>
                      </w:pPr>
                      <w:r>
                        <w:rPr>
                          <w:noProof/>
                        </w:rPr>
                        <w:drawing>
                          <wp:inline distT="0" distB="0" distL="0" distR="0">
                            <wp:extent cx="2400300" cy="14668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400300" cy="1466850"/>
                                    </a:xfrm>
                                    <a:prstGeom prst="rect">
                                      <a:avLst/>
                                    </a:prstGeom>
                                    <a:noFill/>
                                    <a:ln>
                                      <a:noFill/>
                                    </a:ln>
                                  </pic:spPr>
                                </pic:pic>
                              </a:graphicData>
                            </a:graphic>
                          </wp:inline>
                        </w:drawing>
                      </w:r>
                    </w:p>
                    <w:p w:rsidR="007B2B7B" w:rsidRDefault="007B2B7B"/>
                  </w:txbxContent>
                </v:textbox>
                <w10:wrap type="topAndBottom" anchorx="page"/>
              </v:rect>
            </w:pict>
          </mc:Fallback>
        </mc:AlternateContent>
      </w:r>
      <w:r w:rsidR="002C5025">
        <w:rPr>
          <w:rFonts w:ascii="Times New Roman" w:hAnsi="Times New Roman" w:cs="Times New Roman"/>
          <w:sz w:val="23"/>
          <w:szCs w:val="23"/>
        </w:rPr>
        <w:t>Yours sincerely,</w:t>
      </w:r>
    </w:p>
    <w:p w:rsidR="002C5025" w:rsidRDefault="002C5025">
      <w:pPr>
        <w:pStyle w:val="BodyText"/>
        <w:kinsoku w:val="0"/>
        <w:overflowPunct w:val="0"/>
        <w:spacing w:before="9"/>
        <w:rPr>
          <w:rFonts w:ascii="Times New Roman" w:hAnsi="Times New Roman" w:cs="Times New Roman"/>
          <w:sz w:val="26"/>
          <w:szCs w:val="26"/>
        </w:rPr>
      </w:pPr>
    </w:p>
    <w:p w:rsidR="002C5025" w:rsidRDefault="002C5025">
      <w:pPr>
        <w:pStyle w:val="BodyText"/>
        <w:kinsoku w:val="0"/>
        <w:overflowPunct w:val="0"/>
        <w:spacing w:line="276" w:lineRule="auto"/>
        <w:ind w:left="161" w:right="110" w:hanging="40"/>
        <w:jc w:val="center"/>
        <w:rPr>
          <w:rFonts w:ascii="Arial" w:hAnsi="Arial" w:cs="Arial"/>
          <w:w w:val="105"/>
          <w:sz w:val="17"/>
          <w:szCs w:val="17"/>
        </w:rPr>
      </w:pPr>
      <w:r>
        <w:rPr>
          <w:rFonts w:ascii="Arial" w:hAnsi="Arial" w:cs="Arial"/>
          <w:w w:val="105"/>
          <w:sz w:val="17"/>
          <w:szCs w:val="17"/>
        </w:rPr>
        <w:t xml:space="preserve">178 Tremont Street. Boston MA 02111 </w:t>
      </w:r>
      <w:r>
        <w:rPr>
          <w:rFonts w:ascii="Arial" w:hAnsi="Arial" w:cs="Arial"/>
          <w:w w:val="105"/>
          <w:sz w:val="29"/>
          <w:szCs w:val="29"/>
        </w:rPr>
        <w:t xml:space="preserve">I </w:t>
      </w:r>
      <w:hyperlink r:id="rId90" w:history="1">
        <w:r>
          <w:rPr>
            <w:rFonts w:ascii="Arial" w:hAnsi="Arial" w:cs="Arial"/>
            <w:w w:val="105"/>
            <w:sz w:val="17"/>
            <w:szCs w:val="17"/>
            <w:u w:val="single"/>
          </w:rPr>
          <w:t>www.</w:t>
        </w:r>
      </w:hyperlink>
      <w:r>
        <w:rPr>
          <w:rFonts w:ascii="Arial" w:hAnsi="Arial" w:cs="Arial"/>
          <w:w w:val="105"/>
          <w:sz w:val="17"/>
          <w:szCs w:val="17"/>
          <w:u w:val="single"/>
        </w:rPr>
        <w:t xml:space="preserve"> bostonabcd.org </w:t>
      </w:r>
      <w:r>
        <w:rPr>
          <w:rFonts w:ascii="Arial" w:hAnsi="Arial" w:cs="Arial"/>
          <w:w w:val="105"/>
          <w:sz w:val="29"/>
          <w:szCs w:val="29"/>
        </w:rPr>
        <w:t xml:space="preserve">I </w:t>
      </w:r>
      <w:r>
        <w:rPr>
          <w:rFonts w:ascii="Arial" w:hAnsi="Arial" w:cs="Arial"/>
          <w:w w:val="105"/>
          <w:sz w:val="17"/>
          <w:szCs w:val="17"/>
        </w:rPr>
        <w:t xml:space="preserve">P: (617) 348-6000 </w:t>
      </w:r>
      <w:r>
        <w:rPr>
          <w:rFonts w:ascii="Arial" w:hAnsi="Arial" w:cs="Arial"/>
          <w:w w:val="105"/>
          <w:sz w:val="29"/>
          <w:szCs w:val="29"/>
        </w:rPr>
        <w:t xml:space="preserve">I </w:t>
      </w:r>
      <w:r>
        <w:rPr>
          <w:rFonts w:ascii="Arial" w:hAnsi="Arial" w:cs="Arial"/>
          <w:w w:val="105"/>
          <w:sz w:val="17"/>
          <w:szCs w:val="17"/>
        </w:rPr>
        <w:t xml:space="preserve">TIY: (617) 423-9215 </w:t>
      </w:r>
      <w:r>
        <w:rPr>
          <w:rFonts w:ascii="Arial" w:hAnsi="Arial" w:cs="Arial"/>
          <w:w w:val="105"/>
          <w:sz w:val="29"/>
          <w:szCs w:val="29"/>
        </w:rPr>
        <w:t>I</w:t>
      </w:r>
      <w:r>
        <w:rPr>
          <w:rFonts w:ascii="Arial" w:hAnsi="Arial" w:cs="Arial"/>
          <w:spacing w:val="-60"/>
          <w:w w:val="105"/>
          <w:sz w:val="29"/>
          <w:szCs w:val="29"/>
        </w:rPr>
        <w:t xml:space="preserve"> </w:t>
      </w:r>
      <w:r>
        <w:rPr>
          <w:rFonts w:ascii="Arial" w:hAnsi="Arial" w:cs="Arial"/>
          <w:b/>
          <w:bCs/>
          <w:w w:val="105"/>
          <w:sz w:val="18"/>
          <w:szCs w:val="18"/>
        </w:rPr>
        <w:t xml:space="preserve">F: </w:t>
      </w:r>
      <w:r>
        <w:rPr>
          <w:rFonts w:ascii="Arial" w:hAnsi="Arial" w:cs="Arial"/>
          <w:w w:val="105"/>
          <w:sz w:val="17"/>
          <w:szCs w:val="17"/>
        </w:rPr>
        <w:t>(617) 357-6041 John</w:t>
      </w:r>
      <w:r>
        <w:rPr>
          <w:rFonts w:ascii="Arial" w:hAnsi="Arial" w:cs="Arial"/>
          <w:spacing w:val="-22"/>
          <w:w w:val="105"/>
          <w:sz w:val="17"/>
          <w:szCs w:val="17"/>
        </w:rPr>
        <w:t xml:space="preserve"> </w:t>
      </w:r>
      <w:proofErr w:type="spellStart"/>
      <w:r>
        <w:rPr>
          <w:rFonts w:ascii="Arial" w:hAnsi="Arial" w:cs="Arial"/>
          <w:w w:val="105"/>
          <w:sz w:val="17"/>
          <w:szCs w:val="17"/>
        </w:rPr>
        <w:t>P.McGahan</w:t>
      </w:r>
      <w:proofErr w:type="spellEnd"/>
      <w:r>
        <w:rPr>
          <w:rFonts w:ascii="Arial" w:hAnsi="Arial" w:cs="Arial"/>
          <w:w w:val="105"/>
          <w:sz w:val="17"/>
          <w:szCs w:val="17"/>
        </w:rPr>
        <w:t>.</w:t>
      </w:r>
      <w:r>
        <w:rPr>
          <w:rFonts w:ascii="Arial" w:hAnsi="Arial" w:cs="Arial"/>
          <w:spacing w:val="-26"/>
          <w:w w:val="105"/>
          <w:sz w:val="17"/>
          <w:szCs w:val="17"/>
        </w:rPr>
        <w:t xml:space="preserve"> </w:t>
      </w:r>
      <w:r>
        <w:rPr>
          <w:rFonts w:ascii="Arial" w:hAnsi="Arial" w:cs="Arial"/>
          <w:w w:val="105"/>
          <w:sz w:val="17"/>
          <w:szCs w:val="17"/>
        </w:rPr>
        <w:t>Chair;</w:t>
      </w:r>
      <w:r>
        <w:rPr>
          <w:rFonts w:ascii="Arial" w:hAnsi="Arial" w:cs="Arial"/>
          <w:spacing w:val="-30"/>
          <w:w w:val="105"/>
          <w:sz w:val="17"/>
          <w:szCs w:val="17"/>
        </w:rPr>
        <w:t xml:space="preserve"> </w:t>
      </w:r>
      <w:r>
        <w:rPr>
          <w:rFonts w:ascii="Arial" w:hAnsi="Arial" w:cs="Arial"/>
          <w:w w:val="105"/>
          <w:sz w:val="17"/>
          <w:szCs w:val="17"/>
        </w:rPr>
        <w:t>Yvonne</w:t>
      </w:r>
      <w:r>
        <w:rPr>
          <w:rFonts w:ascii="Arial" w:hAnsi="Arial" w:cs="Arial"/>
          <w:spacing w:val="-23"/>
          <w:w w:val="105"/>
          <w:sz w:val="17"/>
          <w:szCs w:val="17"/>
        </w:rPr>
        <w:t xml:space="preserve"> </w:t>
      </w:r>
      <w:r>
        <w:rPr>
          <w:rFonts w:ascii="Arial" w:hAnsi="Arial" w:cs="Arial"/>
          <w:w w:val="105"/>
          <w:sz w:val="17"/>
          <w:szCs w:val="17"/>
        </w:rPr>
        <w:t>Jones,</w:t>
      </w:r>
      <w:r>
        <w:rPr>
          <w:rFonts w:ascii="Arial" w:hAnsi="Arial" w:cs="Arial"/>
          <w:spacing w:val="-16"/>
          <w:w w:val="105"/>
          <w:sz w:val="17"/>
          <w:szCs w:val="17"/>
        </w:rPr>
        <w:t xml:space="preserve"> </w:t>
      </w:r>
      <w:r>
        <w:rPr>
          <w:rFonts w:ascii="Arial" w:hAnsi="Arial" w:cs="Arial"/>
          <w:w w:val="105"/>
          <w:sz w:val="17"/>
          <w:szCs w:val="17"/>
        </w:rPr>
        <w:t>First</w:t>
      </w:r>
      <w:r>
        <w:rPr>
          <w:rFonts w:ascii="Arial" w:hAnsi="Arial" w:cs="Arial"/>
          <w:spacing w:val="-34"/>
          <w:w w:val="105"/>
          <w:sz w:val="17"/>
          <w:szCs w:val="17"/>
        </w:rPr>
        <w:t xml:space="preserve"> </w:t>
      </w:r>
      <w:r>
        <w:rPr>
          <w:rFonts w:ascii="Arial" w:hAnsi="Arial" w:cs="Arial"/>
          <w:w w:val="105"/>
          <w:sz w:val="17"/>
          <w:szCs w:val="17"/>
        </w:rPr>
        <w:t>Vice</w:t>
      </w:r>
      <w:r>
        <w:rPr>
          <w:rFonts w:ascii="Arial" w:hAnsi="Arial" w:cs="Arial"/>
          <w:spacing w:val="-21"/>
          <w:w w:val="105"/>
          <w:sz w:val="17"/>
          <w:szCs w:val="17"/>
        </w:rPr>
        <w:t xml:space="preserve"> </w:t>
      </w:r>
      <w:r>
        <w:rPr>
          <w:rFonts w:ascii="Arial" w:hAnsi="Arial" w:cs="Arial"/>
          <w:w w:val="105"/>
          <w:sz w:val="17"/>
          <w:szCs w:val="17"/>
        </w:rPr>
        <w:t>Chair;</w:t>
      </w:r>
      <w:r>
        <w:rPr>
          <w:rFonts w:ascii="Arial" w:hAnsi="Arial" w:cs="Arial"/>
          <w:spacing w:val="-30"/>
          <w:w w:val="105"/>
          <w:sz w:val="17"/>
          <w:szCs w:val="17"/>
        </w:rPr>
        <w:t xml:space="preserve"> </w:t>
      </w:r>
      <w:r>
        <w:rPr>
          <w:rFonts w:ascii="Arial" w:hAnsi="Arial" w:cs="Arial"/>
          <w:w w:val="105"/>
          <w:sz w:val="17"/>
          <w:szCs w:val="17"/>
        </w:rPr>
        <w:t>Sean</w:t>
      </w:r>
      <w:r>
        <w:rPr>
          <w:rFonts w:ascii="Arial" w:hAnsi="Arial" w:cs="Arial"/>
          <w:spacing w:val="-25"/>
          <w:w w:val="105"/>
          <w:sz w:val="17"/>
          <w:szCs w:val="17"/>
        </w:rPr>
        <w:t xml:space="preserve"> </w:t>
      </w:r>
      <w:proofErr w:type="spellStart"/>
      <w:r>
        <w:rPr>
          <w:rFonts w:ascii="Arial" w:hAnsi="Arial" w:cs="Arial"/>
          <w:w w:val="105"/>
          <w:sz w:val="17"/>
          <w:szCs w:val="17"/>
        </w:rPr>
        <w:t>Daughtry</w:t>
      </w:r>
      <w:proofErr w:type="spellEnd"/>
      <w:r>
        <w:rPr>
          <w:rFonts w:ascii="Arial" w:hAnsi="Arial" w:cs="Arial"/>
          <w:w w:val="105"/>
          <w:sz w:val="17"/>
          <w:szCs w:val="17"/>
        </w:rPr>
        <w:t>,</w:t>
      </w:r>
      <w:r>
        <w:rPr>
          <w:rFonts w:ascii="Arial" w:hAnsi="Arial" w:cs="Arial"/>
          <w:spacing w:val="-30"/>
          <w:w w:val="105"/>
          <w:sz w:val="17"/>
          <w:szCs w:val="17"/>
        </w:rPr>
        <w:t xml:space="preserve"> </w:t>
      </w:r>
      <w:r>
        <w:rPr>
          <w:rFonts w:ascii="Arial" w:hAnsi="Arial" w:cs="Arial"/>
          <w:w w:val="105"/>
          <w:sz w:val="17"/>
          <w:szCs w:val="17"/>
        </w:rPr>
        <w:t>Vice</w:t>
      </w:r>
      <w:r>
        <w:rPr>
          <w:rFonts w:ascii="Arial" w:hAnsi="Arial" w:cs="Arial"/>
          <w:spacing w:val="-25"/>
          <w:w w:val="105"/>
          <w:sz w:val="17"/>
          <w:szCs w:val="17"/>
        </w:rPr>
        <w:t xml:space="preserve"> </w:t>
      </w:r>
      <w:r>
        <w:rPr>
          <w:rFonts w:ascii="Arial" w:hAnsi="Arial" w:cs="Arial"/>
          <w:w w:val="105"/>
          <w:sz w:val="17"/>
          <w:szCs w:val="17"/>
        </w:rPr>
        <w:t>Chair;</w:t>
      </w:r>
      <w:r>
        <w:rPr>
          <w:rFonts w:ascii="Arial" w:hAnsi="Arial" w:cs="Arial"/>
          <w:spacing w:val="-30"/>
          <w:w w:val="105"/>
          <w:sz w:val="17"/>
          <w:szCs w:val="17"/>
        </w:rPr>
        <w:t xml:space="preserve"> </w:t>
      </w:r>
      <w:r>
        <w:rPr>
          <w:rFonts w:ascii="Arial" w:hAnsi="Arial" w:cs="Arial"/>
          <w:w w:val="105"/>
          <w:sz w:val="17"/>
          <w:szCs w:val="17"/>
        </w:rPr>
        <w:t>Marie</w:t>
      </w:r>
      <w:r>
        <w:rPr>
          <w:rFonts w:ascii="Arial" w:hAnsi="Arial" w:cs="Arial"/>
          <w:spacing w:val="-29"/>
          <w:w w:val="105"/>
          <w:sz w:val="17"/>
          <w:szCs w:val="17"/>
        </w:rPr>
        <w:t xml:space="preserve"> </w:t>
      </w:r>
      <w:proofErr w:type="spellStart"/>
      <w:r>
        <w:rPr>
          <w:rFonts w:ascii="Arial" w:hAnsi="Arial" w:cs="Arial"/>
          <w:w w:val="105"/>
          <w:sz w:val="17"/>
          <w:szCs w:val="17"/>
        </w:rPr>
        <w:t>Greig</w:t>
      </w:r>
      <w:proofErr w:type="spellEnd"/>
      <w:r>
        <w:rPr>
          <w:rFonts w:ascii="Arial" w:hAnsi="Arial" w:cs="Arial"/>
          <w:w w:val="105"/>
          <w:sz w:val="17"/>
          <w:szCs w:val="17"/>
        </w:rPr>
        <w:t>,</w:t>
      </w:r>
      <w:r>
        <w:rPr>
          <w:rFonts w:ascii="Arial" w:hAnsi="Arial" w:cs="Arial"/>
          <w:spacing w:val="-36"/>
          <w:w w:val="105"/>
          <w:sz w:val="17"/>
          <w:szCs w:val="17"/>
        </w:rPr>
        <w:t xml:space="preserve"> </w:t>
      </w:r>
      <w:r>
        <w:rPr>
          <w:rFonts w:ascii="Arial" w:hAnsi="Arial" w:cs="Arial"/>
          <w:w w:val="105"/>
          <w:sz w:val="17"/>
          <w:szCs w:val="17"/>
        </w:rPr>
        <w:t>Vice</w:t>
      </w:r>
      <w:r>
        <w:rPr>
          <w:rFonts w:ascii="Arial" w:hAnsi="Arial" w:cs="Arial"/>
          <w:spacing w:val="-21"/>
          <w:w w:val="105"/>
          <w:sz w:val="17"/>
          <w:szCs w:val="17"/>
        </w:rPr>
        <w:t xml:space="preserve"> </w:t>
      </w:r>
      <w:r>
        <w:rPr>
          <w:rFonts w:ascii="Arial" w:hAnsi="Arial" w:cs="Arial"/>
          <w:w w:val="105"/>
          <w:sz w:val="17"/>
          <w:szCs w:val="17"/>
        </w:rPr>
        <w:t>Chair;</w:t>
      </w:r>
      <w:r>
        <w:rPr>
          <w:rFonts w:ascii="Arial" w:hAnsi="Arial" w:cs="Arial"/>
          <w:spacing w:val="-26"/>
          <w:w w:val="105"/>
          <w:sz w:val="17"/>
          <w:szCs w:val="17"/>
        </w:rPr>
        <w:t xml:space="preserve"> </w:t>
      </w:r>
      <w:r>
        <w:rPr>
          <w:rFonts w:ascii="Arial" w:hAnsi="Arial" w:cs="Arial"/>
          <w:w w:val="105"/>
          <w:sz w:val="17"/>
          <w:szCs w:val="17"/>
        </w:rPr>
        <w:t>Edward</w:t>
      </w:r>
      <w:r>
        <w:rPr>
          <w:rFonts w:ascii="Arial" w:hAnsi="Arial" w:cs="Arial"/>
          <w:spacing w:val="-26"/>
          <w:w w:val="105"/>
          <w:sz w:val="17"/>
          <w:szCs w:val="17"/>
        </w:rPr>
        <w:t xml:space="preserve"> </w:t>
      </w:r>
      <w:r>
        <w:rPr>
          <w:rFonts w:ascii="Arial" w:hAnsi="Arial" w:cs="Arial"/>
          <w:w w:val="105"/>
          <w:sz w:val="17"/>
          <w:szCs w:val="17"/>
        </w:rPr>
        <w:t>Katz,</w:t>
      </w:r>
      <w:r>
        <w:rPr>
          <w:rFonts w:ascii="Arial" w:hAnsi="Arial" w:cs="Arial"/>
          <w:spacing w:val="-31"/>
          <w:w w:val="105"/>
          <w:sz w:val="17"/>
          <w:szCs w:val="17"/>
        </w:rPr>
        <w:t xml:space="preserve"> </w:t>
      </w:r>
      <w:r>
        <w:rPr>
          <w:rFonts w:ascii="Arial" w:hAnsi="Arial" w:cs="Arial"/>
          <w:w w:val="105"/>
          <w:sz w:val="17"/>
          <w:szCs w:val="17"/>
        </w:rPr>
        <w:t>Vice</w:t>
      </w:r>
      <w:r>
        <w:rPr>
          <w:rFonts w:ascii="Arial" w:hAnsi="Arial" w:cs="Arial"/>
          <w:spacing w:val="-19"/>
          <w:w w:val="105"/>
          <w:sz w:val="17"/>
          <w:szCs w:val="17"/>
        </w:rPr>
        <w:t xml:space="preserve"> </w:t>
      </w:r>
      <w:r>
        <w:rPr>
          <w:rFonts w:ascii="Arial" w:hAnsi="Arial" w:cs="Arial"/>
          <w:w w:val="105"/>
          <w:sz w:val="17"/>
          <w:szCs w:val="17"/>
        </w:rPr>
        <w:t>Chair;</w:t>
      </w:r>
    </w:p>
    <w:p w:rsidR="002C5025" w:rsidRDefault="002C5025">
      <w:pPr>
        <w:pStyle w:val="BodyText"/>
        <w:kinsoku w:val="0"/>
        <w:overflowPunct w:val="0"/>
        <w:spacing w:line="178" w:lineRule="exact"/>
        <w:ind w:left="344" w:right="162"/>
        <w:jc w:val="center"/>
        <w:rPr>
          <w:rFonts w:ascii="Arial" w:hAnsi="Arial" w:cs="Arial"/>
          <w:b/>
          <w:bCs/>
          <w:w w:val="95"/>
          <w:sz w:val="17"/>
          <w:szCs w:val="17"/>
        </w:rPr>
      </w:pPr>
      <w:r>
        <w:rPr>
          <w:rFonts w:ascii="Arial" w:hAnsi="Arial" w:cs="Arial"/>
          <w:b/>
          <w:bCs/>
          <w:w w:val="95"/>
          <w:sz w:val="17"/>
          <w:szCs w:val="17"/>
        </w:rPr>
        <w:t>Andres Molina, Vice Chair; Jean M. Babcock, Treasurer; Patricia Washington, Assistant Treasurer; Julia Hardy Cofield, Esq., Clerk;</w:t>
      </w:r>
    </w:p>
    <w:p w:rsidR="002C5025" w:rsidRDefault="002C5025">
      <w:pPr>
        <w:pStyle w:val="BodyText"/>
        <w:kinsoku w:val="0"/>
        <w:overflowPunct w:val="0"/>
        <w:spacing w:before="8"/>
        <w:ind w:left="326" w:right="162"/>
        <w:jc w:val="center"/>
        <w:rPr>
          <w:rFonts w:ascii="Arial" w:hAnsi="Arial" w:cs="Arial"/>
          <w:sz w:val="17"/>
          <w:szCs w:val="17"/>
        </w:rPr>
      </w:pPr>
      <w:r>
        <w:rPr>
          <w:rFonts w:ascii="Arial" w:hAnsi="Arial" w:cs="Arial"/>
          <w:sz w:val="17"/>
          <w:szCs w:val="17"/>
        </w:rPr>
        <w:t xml:space="preserve">John J. Drew, </w:t>
      </w:r>
      <w:proofErr w:type="spellStart"/>
      <w:r>
        <w:rPr>
          <w:rFonts w:ascii="Arial" w:hAnsi="Arial" w:cs="Arial"/>
          <w:sz w:val="17"/>
          <w:szCs w:val="17"/>
        </w:rPr>
        <w:t>PresidenVCEO</w:t>
      </w:r>
      <w:proofErr w:type="spellEnd"/>
    </w:p>
    <w:p w:rsidR="002C5025" w:rsidRDefault="002C5025">
      <w:pPr>
        <w:pStyle w:val="BodyText"/>
        <w:kinsoku w:val="0"/>
        <w:overflowPunct w:val="0"/>
        <w:spacing w:before="8"/>
        <w:ind w:left="326" w:right="162"/>
        <w:jc w:val="center"/>
        <w:rPr>
          <w:rFonts w:ascii="Arial" w:hAnsi="Arial" w:cs="Arial"/>
          <w:sz w:val="17"/>
          <w:szCs w:val="17"/>
        </w:rPr>
        <w:sectPr w:rsidR="002C5025">
          <w:type w:val="continuous"/>
          <w:pgSz w:w="12240" w:h="15840"/>
          <w:pgMar w:top="720" w:right="900" w:bottom="280" w:left="760" w:header="720" w:footer="720" w:gutter="0"/>
          <w:cols w:space="720" w:equalWidth="0">
            <w:col w:w="10580"/>
          </w:cols>
          <w:noEndnote/>
        </w:sectPr>
      </w:pPr>
    </w:p>
    <w:p w:rsidR="002C5025" w:rsidRDefault="00FB027C">
      <w:pPr>
        <w:pStyle w:val="BodyText"/>
        <w:kinsoku w:val="0"/>
        <w:overflowPunct w:val="0"/>
        <w:spacing w:before="37"/>
        <w:ind w:left="699" w:right="-18"/>
        <w:rPr>
          <w:rFonts w:ascii="Arial" w:hAnsi="Arial" w:cs="Arial"/>
          <w:b/>
          <w:bCs/>
          <w:i/>
          <w:iCs/>
          <w:w w:val="85"/>
          <w:sz w:val="102"/>
          <w:szCs w:val="102"/>
        </w:rPr>
      </w:pPr>
      <w:r>
        <w:rPr>
          <w:noProof/>
        </w:rPr>
        <w:lastRenderedPageBreak/>
        <mc:AlternateContent>
          <mc:Choice Requires="wps">
            <w:drawing>
              <wp:anchor distT="0" distB="0" distL="114300" distR="114300" simplePos="0" relativeHeight="251467264" behindDoc="0" locked="0" layoutInCell="0" allowOverlap="1">
                <wp:simplePos x="0" y="0"/>
                <wp:positionH relativeFrom="page">
                  <wp:posOffset>173990</wp:posOffset>
                </wp:positionH>
                <wp:positionV relativeFrom="paragraph">
                  <wp:posOffset>46990</wp:posOffset>
                </wp:positionV>
                <wp:extent cx="69215" cy="190500"/>
                <wp:effectExtent l="0" t="0" r="0" b="0"/>
                <wp:wrapNone/>
                <wp:docPr id="985"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pStyle w:val="BodyText"/>
                              <w:kinsoku w:val="0"/>
                              <w:overflowPunct w:val="0"/>
                              <w:spacing w:line="300" w:lineRule="exact"/>
                              <w:rPr>
                                <w:rFonts w:ascii="Arial" w:hAnsi="Arial" w:cs="Arial"/>
                                <w:w w:val="103"/>
                                <w:sz w:val="30"/>
                                <w:szCs w:val="30"/>
                              </w:rPr>
                            </w:pPr>
                            <w:r>
                              <w:rPr>
                                <w:rFonts w:ascii="Arial" w:hAnsi="Arial" w:cs="Arial"/>
                                <w:w w:val="103"/>
                                <w:sz w:val="30"/>
                                <w:szCs w:val="3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 o:spid="_x0000_s1032" type="#_x0000_t202" style="position:absolute;left:0;text-align:left;margin-left:13.7pt;margin-top:3.7pt;width:5.45pt;height:15pt;z-index:251467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" o:allowincell="f" filled="f" stroked="f">
                <v:textbox inset="0,0,0,0">
                  <w:txbxContent>
                    <w:p w:rsidR="007B2B7B" w:rsidRDefault="007B2B7B">
                      <w:pPr>
                        <w:pStyle w:val="BodyText"/>
                        <w:kinsoku w:val="0"/>
                        <w:overflowPunct w:val="0"/>
                        <w:spacing w:line="300" w:lineRule="exact"/>
                        <w:rPr>
                          <w:rFonts w:ascii="Arial" w:hAnsi="Arial" w:cs="Arial"/>
                          <w:w w:val="103"/>
                          <w:sz w:val="30"/>
                          <w:szCs w:val="30"/>
                        </w:rPr>
                      </w:pPr>
                      <w:r>
                        <w:rPr>
                          <w:rFonts w:ascii="Arial" w:hAnsi="Arial" w:cs="Arial"/>
                          <w:w w:val="103"/>
                          <w:sz w:val="30"/>
                          <w:szCs w:val="30"/>
                        </w:rPr>
                        <w:t>•</w:t>
                      </w:r>
                    </w:p>
                  </w:txbxContent>
                </v:textbox>
                <w10:wrap anchorx="page"/>
              </v:shape>
            </w:pict>
          </mc:Fallback>
        </mc:AlternateContent>
      </w:r>
      <w:proofErr w:type="spellStart"/>
      <w:r w:rsidR="002C5025">
        <w:rPr>
          <w:rFonts w:ascii="Arial" w:hAnsi="Arial" w:cs="Arial"/>
          <w:b/>
          <w:bCs/>
          <w:i/>
          <w:iCs/>
          <w:spacing w:val="-20"/>
          <w:w w:val="85"/>
          <w:sz w:val="102"/>
          <w:szCs w:val="102"/>
        </w:rPr>
        <w:t>abOO</w:t>
      </w:r>
      <w:proofErr w:type="spellEnd"/>
      <w:r w:rsidR="002C5025">
        <w:rPr>
          <w:rFonts w:ascii="Arial" w:hAnsi="Arial" w:cs="Arial"/>
          <w:b/>
          <w:bCs/>
          <w:i/>
          <w:iCs/>
          <w:spacing w:val="-43"/>
          <w:w w:val="85"/>
          <w:sz w:val="102"/>
          <w:szCs w:val="102"/>
        </w:rPr>
        <w:t xml:space="preserve"> </w:t>
      </w:r>
      <w:r w:rsidR="002C5025">
        <w:rPr>
          <w:rFonts w:ascii="Arial" w:hAnsi="Arial" w:cs="Arial"/>
          <w:b/>
          <w:bCs/>
          <w:i/>
          <w:iCs/>
          <w:w w:val="85"/>
          <w:sz w:val="102"/>
          <w:szCs w:val="102"/>
        </w:rPr>
        <w:t>I</w:t>
      </w:r>
    </w:p>
    <w:p w:rsidR="002C5025" w:rsidRDefault="002C5025">
      <w:pPr>
        <w:pStyle w:val="BodyText"/>
        <w:kinsoku w:val="0"/>
        <w:overflowPunct w:val="0"/>
        <w:spacing w:before="9"/>
        <w:rPr>
          <w:rFonts w:ascii="Arial" w:hAnsi="Arial" w:cs="Arial"/>
          <w:b/>
          <w:bCs/>
          <w:i/>
          <w:iCs/>
          <w:sz w:val="32"/>
          <w:szCs w:val="32"/>
        </w:rPr>
      </w:pPr>
      <w:r>
        <w:rPr>
          <w:rFonts w:ascii="Times New Roman" w:hAnsi="Times New Roman" w:cs="Times New Roman"/>
          <w:sz w:val="24"/>
          <w:szCs w:val="24"/>
        </w:rPr>
        <w:br w:type="column"/>
      </w:r>
    </w:p>
    <w:p w:rsidR="002C5025" w:rsidRDefault="002C5025">
      <w:pPr>
        <w:pStyle w:val="BodyText"/>
        <w:kinsoku w:val="0"/>
        <w:overflowPunct w:val="0"/>
        <w:ind w:left="113"/>
        <w:rPr>
          <w:rFonts w:ascii="Arial" w:hAnsi="Arial" w:cs="Arial"/>
          <w:b/>
          <w:bCs/>
          <w:sz w:val="23"/>
          <w:szCs w:val="23"/>
        </w:rPr>
      </w:pPr>
      <w:r>
        <w:rPr>
          <w:rFonts w:ascii="Arial" w:hAnsi="Arial" w:cs="Arial"/>
          <w:b/>
          <w:bCs/>
          <w:sz w:val="23"/>
          <w:szCs w:val="23"/>
        </w:rPr>
        <w:t>Action for  Boston</w:t>
      </w:r>
    </w:p>
    <w:p w:rsidR="002C5025" w:rsidRDefault="002C5025">
      <w:pPr>
        <w:pStyle w:val="BodyText"/>
        <w:kinsoku w:val="0"/>
        <w:overflowPunct w:val="0"/>
        <w:spacing w:before="35"/>
        <w:ind w:left="120"/>
        <w:rPr>
          <w:rFonts w:ascii="Arial" w:hAnsi="Arial" w:cs="Arial"/>
          <w:b/>
          <w:bCs/>
          <w:w w:val="105"/>
          <w:sz w:val="23"/>
          <w:szCs w:val="23"/>
        </w:rPr>
      </w:pPr>
      <w:r>
        <w:rPr>
          <w:rFonts w:ascii="Arial" w:hAnsi="Arial" w:cs="Arial"/>
          <w:b/>
          <w:bCs/>
          <w:w w:val="105"/>
          <w:sz w:val="23"/>
          <w:szCs w:val="23"/>
        </w:rPr>
        <w:t>Community Development; Inc.</w:t>
      </w:r>
    </w:p>
    <w:p w:rsidR="002C5025" w:rsidRDefault="002C5025">
      <w:pPr>
        <w:pStyle w:val="BodyText"/>
        <w:kinsoku w:val="0"/>
        <w:overflowPunct w:val="0"/>
        <w:spacing w:before="35"/>
        <w:ind w:left="120"/>
        <w:rPr>
          <w:rFonts w:ascii="Arial" w:hAnsi="Arial" w:cs="Arial"/>
          <w:b/>
          <w:bCs/>
          <w:w w:val="105"/>
          <w:sz w:val="23"/>
          <w:szCs w:val="23"/>
        </w:rPr>
        <w:sectPr w:rsidR="002C5025">
          <w:pgSz w:w="12240" w:h="15840"/>
          <w:pgMar w:top="600" w:right="1020" w:bottom="280" w:left="160" w:header="720" w:footer="720" w:gutter="0"/>
          <w:cols w:num="2" w:space="720" w:equalWidth="0">
            <w:col w:w="3421" w:space="105"/>
            <w:col w:w="7534"/>
          </w:cols>
          <w:noEndnote/>
        </w:sectPr>
      </w:pPr>
    </w:p>
    <w:p w:rsidR="002C5025" w:rsidRDefault="002C5025">
      <w:pPr>
        <w:pStyle w:val="BodyText"/>
        <w:kinsoku w:val="0"/>
        <w:overflowPunct w:val="0"/>
        <w:rPr>
          <w:rFonts w:ascii="Arial" w:hAnsi="Arial" w:cs="Arial"/>
          <w:b/>
          <w:bCs/>
          <w:sz w:val="20"/>
          <w:szCs w:val="20"/>
        </w:rPr>
      </w:pPr>
    </w:p>
    <w:p w:rsidR="002C5025" w:rsidRDefault="002C5025">
      <w:pPr>
        <w:pStyle w:val="BodyText"/>
        <w:kinsoku w:val="0"/>
        <w:overflowPunct w:val="0"/>
        <w:spacing w:before="8"/>
        <w:rPr>
          <w:rFonts w:ascii="Arial" w:hAnsi="Arial" w:cs="Arial"/>
          <w:b/>
          <w:bCs/>
          <w:sz w:val="20"/>
          <w:szCs w:val="20"/>
        </w:rPr>
      </w:pPr>
    </w:p>
    <w:p w:rsidR="002C5025" w:rsidRDefault="002C5025">
      <w:pPr>
        <w:pStyle w:val="BodyText"/>
        <w:kinsoku w:val="0"/>
        <w:overflowPunct w:val="0"/>
        <w:spacing w:before="73"/>
        <w:ind w:left="1323" w:right="4919"/>
        <w:rPr>
          <w:rFonts w:ascii="Times New Roman" w:hAnsi="Times New Roman" w:cs="Times New Roman"/>
          <w:w w:val="105"/>
        </w:rPr>
      </w:pPr>
      <w:bookmarkStart w:id="25" w:name="July_15,_2016"/>
      <w:bookmarkEnd w:id="25"/>
      <w:r>
        <w:rPr>
          <w:rFonts w:ascii="Times New Roman" w:hAnsi="Times New Roman" w:cs="Times New Roman"/>
          <w:w w:val="105"/>
        </w:rPr>
        <w:t>July 15, 2016</w:t>
      </w: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spacing w:before="7"/>
        <w:rPr>
          <w:rFonts w:ascii="Times New Roman" w:hAnsi="Times New Roman" w:cs="Times New Roman"/>
          <w:sz w:val="24"/>
          <w:szCs w:val="24"/>
        </w:rPr>
      </w:pPr>
    </w:p>
    <w:p w:rsidR="002C5025" w:rsidRDefault="002C5025">
      <w:pPr>
        <w:pStyle w:val="BodyText"/>
        <w:kinsoku w:val="0"/>
        <w:overflowPunct w:val="0"/>
        <w:ind w:left="1316" w:right="4919"/>
        <w:rPr>
          <w:rFonts w:ascii="Times New Roman" w:hAnsi="Times New Roman" w:cs="Times New Roman"/>
          <w:w w:val="105"/>
        </w:rPr>
      </w:pPr>
      <w:r>
        <w:rPr>
          <w:rFonts w:ascii="Times New Roman" w:hAnsi="Times New Roman" w:cs="Times New Roman"/>
          <w:w w:val="105"/>
        </w:rPr>
        <w:t>Daniel Tsai</w:t>
      </w:r>
    </w:p>
    <w:p w:rsidR="002C5025" w:rsidRDefault="002C5025">
      <w:pPr>
        <w:pStyle w:val="BodyText"/>
        <w:kinsoku w:val="0"/>
        <w:overflowPunct w:val="0"/>
        <w:spacing w:before="28"/>
        <w:ind w:left="1308" w:right="4919"/>
        <w:rPr>
          <w:rFonts w:ascii="Times New Roman" w:hAnsi="Times New Roman" w:cs="Times New Roman"/>
          <w:w w:val="105"/>
        </w:rPr>
      </w:pPr>
      <w:r>
        <w:rPr>
          <w:rFonts w:ascii="Times New Roman" w:hAnsi="Times New Roman" w:cs="Times New Roman"/>
          <w:w w:val="105"/>
        </w:rPr>
        <w:t>Assistant Secretary for MassHealth</w:t>
      </w:r>
    </w:p>
    <w:p w:rsidR="002C5025" w:rsidRDefault="002C5025">
      <w:pPr>
        <w:pStyle w:val="BodyText"/>
        <w:kinsoku w:val="0"/>
        <w:overflowPunct w:val="0"/>
        <w:spacing w:before="18" w:line="259" w:lineRule="auto"/>
        <w:ind w:left="1316" w:right="4919" w:hanging="1"/>
        <w:rPr>
          <w:rFonts w:ascii="Times New Roman" w:hAnsi="Times New Roman" w:cs="Times New Roman"/>
          <w:w w:val="105"/>
        </w:rPr>
      </w:pPr>
      <w:r>
        <w:rPr>
          <w:rFonts w:ascii="Times New Roman" w:hAnsi="Times New Roman" w:cs="Times New Roman"/>
          <w:w w:val="105"/>
        </w:rPr>
        <w:t>Executive Office of Health and Human Services One Ashburton Place, 11th Floor</w:t>
      </w:r>
    </w:p>
    <w:p w:rsidR="002C5025" w:rsidRDefault="002C5025">
      <w:pPr>
        <w:pStyle w:val="BodyText"/>
        <w:kinsoku w:val="0"/>
        <w:overflowPunct w:val="0"/>
        <w:spacing w:before="6"/>
        <w:ind w:left="1308" w:right="4919"/>
        <w:rPr>
          <w:rFonts w:ascii="Times New Roman" w:hAnsi="Times New Roman" w:cs="Times New Roman"/>
          <w:w w:val="105"/>
        </w:rPr>
      </w:pPr>
      <w:r>
        <w:rPr>
          <w:rFonts w:ascii="Times New Roman" w:hAnsi="Times New Roman" w:cs="Times New Roman"/>
          <w:w w:val="105"/>
        </w:rPr>
        <w:t>Boston, MA 02108</w:t>
      </w: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spacing w:before="168"/>
        <w:ind w:left="1301" w:right="751"/>
        <w:rPr>
          <w:rFonts w:ascii="Times New Roman" w:hAnsi="Times New Roman" w:cs="Times New Roman"/>
          <w:w w:val="105"/>
        </w:rPr>
      </w:pPr>
      <w:r>
        <w:rPr>
          <w:rFonts w:ascii="Times New Roman" w:hAnsi="Times New Roman" w:cs="Times New Roman"/>
          <w:w w:val="105"/>
        </w:rPr>
        <w:t>RE: Section 1115 Demonstration Project Amendment and Extension Request</w:t>
      </w: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spacing w:before="10"/>
        <w:rPr>
          <w:rFonts w:ascii="Times New Roman" w:hAnsi="Times New Roman" w:cs="Times New Roman"/>
          <w:sz w:val="24"/>
          <w:szCs w:val="24"/>
        </w:rPr>
      </w:pPr>
    </w:p>
    <w:p w:rsidR="002C5025" w:rsidRDefault="002C5025">
      <w:pPr>
        <w:pStyle w:val="BodyText"/>
        <w:kinsoku w:val="0"/>
        <w:overflowPunct w:val="0"/>
        <w:ind w:left="1301" w:right="4919"/>
        <w:rPr>
          <w:rFonts w:ascii="Times New Roman" w:hAnsi="Times New Roman" w:cs="Times New Roman"/>
          <w:w w:val="105"/>
        </w:rPr>
      </w:pPr>
      <w:r>
        <w:rPr>
          <w:rFonts w:ascii="Times New Roman" w:hAnsi="Times New Roman" w:cs="Times New Roman"/>
          <w:w w:val="105"/>
        </w:rPr>
        <w:t>Dear Assistant Secretary Tsai:</w:t>
      </w: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spacing w:before="3"/>
        <w:rPr>
          <w:rFonts w:ascii="Times New Roman" w:hAnsi="Times New Roman" w:cs="Times New Roman"/>
          <w:sz w:val="25"/>
          <w:szCs w:val="25"/>
        </w:rPr>
      </w:pPr>
    </w:p>
    <w:p w:rsidR="002C5025" w:rsidRDefault="002C5025">
      <w:pPr>
        <w:pStyle w:val="BodyText"/>
        <w:kinsoku w:val="0"/>
        <w:overflowPunct w:val="0"/>
        <w:spacing w:line="302" w:lineRule="auto"/>
        <w:ind w:left="1294" w:right="791"/>
        <w:rPr>
          <w:rFonts w:ascii="Times New Roman" w:hAnsi="Times New Roman" w:cs="Times New Roman"/>
          <w:w w:val="105"/>
        </w:rPr>
      </w:pPr>
      <w:r>
        <w:rPr>
          <w:rFonts w:ascii="Times New Roman" w:hAnsi="Times New Roman" w:cs="Times New Roman"/>
          <w:w w:val="105"/>
        </w:rPr>
        <w:t>Action for Boston Community Development, Inc. (ABCD) supports MassHealth's submission of an 1115 DSRIP waiver proposal to the federal Center for Medicare and Medicaid Services, and offers these additional suggestions to refine the proposed waiver, especially for those   MassHealth members being referred to health-related social</w:t>
      </w:r>
      <w:r>
        <w:rPr>
          <w:rFonts w:ascii="Times New Roman" w:hAnsi="Times New Roman" w:cs="Times New Roman"/>
          <w:spacing w:val="46"/>
          <w:w w:val="105"/>
        </w:rPr>
        <w:t xml:space="preserve"> </w:t>
      </w:r>
      <w:r>
        <w:rPr>
          <w:rFonts w:ascii="Times New Roman" w:hAnsi="Times New Roman" w:cs="Times New Roman"/>
          <w:w w:val="105"/>
        </w:rPr>
        <w:t>services.</w:t>
      </w: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rPr>
          <w:rFonts w:ascii="Times New Roman" w:hAnsi="Times New Roman" w:cs="Times New Roman"/>
          <w:sz w:val="26"/>
          <w:szCs w:val="26"/>
        </w:rPr>
      </w:pPr>
    </w:p>
    <w:p w:rsidR="002C5025" w:rsidRDefault="002C5025">
      <w:pPr>
        <w:pStyle w:val="BodyText"/>
        <w:kinsoku w:val="0"/>
        <w:overflowPunct w:val="0"/>
        <w:spacing w:line="297" w:lineRule="auto"/>
        <w:ind w:left="1280" w:right="751" w:firstLine="14"/>
        <w:rPr>
          <w:rFonts w:ascii="Times New Roman" w:hAnsi="Times New Roman" w:cs="Times New Roman"/>
          <w:w w:val="105"/>
        </w:rPr>
      </w:pPr>
      <w:r>
        <w:rPr>
          <w:rFonts w:ascii="Times New Roman" w:hAnsi="Times New Roman" w:cs="Times New Roman"/>
          <w:w w:val="105"/>
        </w:rPr>
        <w:t>Since its founding in 1961, ABCD has sought to be a catalyst for empowerment and opportunity, providing hands-on assistance to those in need and responding promptly to emerging  issues.</w:t>
      </w:r>
    </w:p>
    <w:p w:rsidR="002C5025" w:rsidRDefault="002C5025">
      <w:pPr>
        <w:pStyle w:val="BodyText"/>
        <w:kinsoku w:val="0"/>
        <w:overflowPunct w:val="0"/>
        <w:spacing w:before="10" w:line="302" w:lineRule="auto"/>
        <w:ind w:left="1279" w:right="751"/>
        <w:rPr>
          <w:rFonts w:ascii="Times New Roman" w:hAnsi="Times New Roman" w:cs="Times New Roman"/>
          <w:w w:val="105"/>
        </w:rPr>
      </w:pPr>
      <w:r>
        <w:rPr>
          <w:rFonts w:ascii="Times New Roman" w:hAnsi="Times New Roman" w:cs="Times New Roman"/>
          <w:w w:val="105"/>
        </w:rPr>
        <w:t xml:space="preserve">ABCD is the anti-poverty, community action agency for Boston and, as </w:t>
      </w:r>
      <w:proofErr w:type="spellStart"/>
      <w:r>
        <w:rPr>
          <w:rFonts w:ascii="Times New Roman" w:hAnsi="Times New Roman" w:cs="Times New Roman"/>
          <w:w w:val="105"/>
        </w:rPr>
        <w:t>oflast</w:t>
      </w:r>
      <w:proofErr w:type="spellEnd"/>
      <w:r>
        <w:rPr>
          <w:rFonts w:ascii="Times New Roman" w:hAnsi="Times New Roman" w:cs="Times New Roman"/>
          <w:w w:val="105"/>
        </w:rPr>
        <w:t xml:space="preserve"> year, for Malden, Medford and Everett too. We also reach beyond these municipalities into Newton, Brookline, Stoneham, Winchester and Woburn. Within these towns and cities, ABCD has some 40+ neighborhood locations, offering uniquely accessible services to low-income communities which are too often isolated and disenfranchised.</w:t>
      </w: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spacing w:before="10"/>
        <w:rPr>
          <w:rFonts w:ascii="Times New Roman" w:hAnsi="Times New Roman" w:cs="Times New Roman"/>
          <w:sz w:val="26"/>
          <w:szCs w:val="26"/>
        </w:rPr>
      </w:pPr>
    </w:p>
    <w:p w:rsidR="002C5025" w:rsidRDefault="002C5025">
      <w:pPr>
        <w:pStyle w:val="BodyText"/>
        <w:kinsoku w:val="0"/>
        <w:overflowPunct w:val="0"/>
        <w:spacing w:line="300" w:lineRule="auto"/>
        <w:ind w:left="1267" w:right="869" w:firstLine="12"/>
        <w:rPr>
          <w:rFonts w:ascii="Times New Roman" w:hAnsi="Times New Roman" w:cs="Times New Roman"/>
          <w:w w:val="105"/>
        </w:rPr>
      </w:pPr>
      <w:r>
        <w:rPr>
          <w:rFonts w:ascii="Times New Roman" w:hAnsi="Times New Roman" w:cs="Times New Roman"/>
          <w:w w:val="105"/>
        </w:rPr>
        <w:t>ABCD's capacity to bring about positive change impacts more than 100,000 low-income households every year in these communities; most of these households participate in MassHealth. ABCD has developed a broad spectrum of programs to reach out to people in need and equip them with the skills they need to move forward in their lives. These include SNAP  and other public benefits application assistance, housing services, Head Start and child care voucher assistance, elder nutrition, job training, youth career development, fuel assistance and many other</w:t>
      </w:r>
      <w:r>
        <w:rPr>
          <w:rFonts w:ascii="Times New Roman" w:hAnsi="Times New Roman" w:cs="Times New Roman"/>
          <w:spacing w:val="12"/>
          <w:w w:val="105"/>
        </w:rPr>
        <w:t xml:space="preserve"> </w:t>
      </w:r>
      <w:r>
        <w:rPr>
          <w:rFonts w:ascii="Times New Roman" w:hAnsi="Times New Roman" w:cs="Times New Roman"/>
          <w:w w:val="105"/>
        </w:rPr>
        <w:t>supports.</w:t>
      </w:r>
    </w:p>
    <w:p w:rsidR="002C5025" w:rsidRDefault="002C5025">
      <w:pPr>
        <w:pStyle w:val="BodyText"/>
        <w:kinsoku w:val="0"/>
        <w:overflowPunct w:val="0"/>
        <w:spacing w:before="123" w:line="304" w:lineRule="auto"/>
        <w:ind w:left="1268" w:right="751" w:firstLine="4"/>
        <w:rPr>
          <w:rFonts w:ascii="Times New Roman" w:hAnsi="Times New Roman" w:cs="Times New Roman"/>
          <w:w w:val="105"/>
        </w:rPr>
      </w:pPr>
      <w:r>
        <w:rPr>
          <w:rFonts w:ascii="Times New Roman" w:hAnsi="Times New Roman" w:cs="Times New Roman"/>
          <w:w w:val="105"/>
        </w:rPr>
        <w:t>ABCD wishes to thank you for putting much time into listening to input from a wide range of MassHealth constituents, and for your thoughtful consideration of the way MassHealth delivers health care to the low-income residents of our  state.</w:t>
      </w:r>
    </w:p>
    <w:p w:rsidR="002C5025" w:rsidRDefault="002C5025">
      <w:pPr>
        <w:pStyle w:val="BodyText"/>
        <w:kinsoku w:val="0"/>
        <w:overflowPunct w:val="0"/>
        <w:spacing w:before="11" w:line="276" w:lineRule="auto"/>
        <w:ind w:left="677" w:right="101" w:hanging="49"/>
        <w:jc w:val="center"/>
        <w:rPr>
          <w:rFonts w:ascii="Arial" w:hAnsi="Arial" w:cs="Arial"/>
          <w:sz w:val="17"/>
          <w:szCs w:val="17"/>
        </w:rPr>
      </w:pPr>
      <w:r>
        <w:rPr>
          <w:rFonts w:ascii="Arial" w:hAnsi="Arial" w:cs="Arial"/>
          <w:sz w:val="17"/>
          <w:szCs w:val="17"/>
        </w:rPr>
        <w:t xml:space="preserve">178 Tremont Street, Boston MA 02111  </w:t>
      </w:r>
      <w:r>
        <w:rPr>
          <w:rFonts w:ascii="Arial" w:hAnsi="Arial" w:cs="Arial"/>
          <w:sz w:val="31"/>
          <w:szCs w:val="31"/>
        </w:rPr>
        <w:t xml:space="preserve">I </w:t>
      </w:r>
      <w:hyperlink r:id="rId91" w:history="1">
        <w:r>
          <w:rPr>
            <w:rFonts w:ascii="Arial" w:hAnsi="Arial" w:cs="Arial"/>
            <w:sz w:val="17"/>
            <w:szCs w:val="17"/>
            <w:u w:val="single"/>
          </w:rPr>
          <w:t>www.</w:t>
        </w:r>
      </w:hyperlink>
      <w:r>
        <w:rPr>
          <w:rFonts w:ascii="Arial" w:hAnsi="Arial" w:cs="Arial"/>
          <w:sz w:val="17"/>
          <w:szCs w:val="17"/>
          <w:u w:val="single"/>
        </w:rPr>
        <w:t xml:space="preserve"> bostonabcd.org  </w:t>
      </w:r>
      <w:r>
        <w:rPr>
          <w:rFonts w:ascii="Arial" w:hAnsi="Arial" w:cs="Arial"/>
          <w:sz w:val="31"/>
          <w:szCs w:val="31"/>
        </w:rPr>
        <w:t xml:space="preserve">I </w:t>
      </w:r>
      <w:r>
        <w:rPr>
          <w:rFonts w:ascii="Times New Roman" w:hAnsi="Times New Roman" w:cs="Times New Roman"/>
          <w:b/>
          <w:bCs/>
          <w:sz w:val="20"/>
          <w:szCs w:val="20"/>
        </w:rPr>
        <w:t xml:space="preserve">P: </w:t>
      </w:r>
      <w:r>
        <w:rPr>
          <w:rFonts w:ascii="Arial" w:hAnsi="Arial" w:cs="Arial"/>
          <w:sz w:val="17"/>
          <w:szCs w:val="17"/>
        </w:rPr>
        <w:t xml:space="preserve">(617) 348-6000  </w:t>
      </w:r>
      <w:r>
        <w:rPr>
          <w:rFonts w:ascii="Arial" w:hAnsi="Arial" w:cs="Arial"/>
          <w:sz w:val="31"/>
          <w:szCs w:val="31"/>
        </w:rPr>
        <w:t xml:space="preserve">I </w:t>
      </w:r>
      <w:r>
        <w:rPr>
          <w:rFonts w:ascii="Arial" w:hAnsi="Arial" w:cs="Arial"/>
          <w:sz w:val="17"/>
          <w:szCs w:val="17"/>
        </w:rPr>
        <w:t xml:space="preserve">TTY: (617) 423-9215  </w:t>
      </w:r>
      <w:r>
        <w:rPr>
          <w:rFonts w:ascii="Arial" w:hAnsi="Arial" w:cs="Arial"/>
          <w:sz w:val="31"/>
          <w:szCs w:val="31"/>
        </w:rPr>
        <w:t xml:space="preserve">I </w:t>
      </w:r>
      <w:r>
        <w:rPr>
          <w:rFonts w:ascii="Times New Roman" w:hAnsi="Times New Roman" w:cs="Times New Roman"/>
          <w:b/>
          <w:bCs/>
          <w:sz w:val="20"/>
          <w:szCs w:val="20"/>
        </w:rPr>
        <w:t xml:space="preserve">F: </w:t>
      </w:r>
      <w:r>
        <w:rPr>
          <w:rFonts w:ascii="Arial" w:hAnsi="Arial" w:cs="Arial"/>
          <w:sz w:val="17"/>
          <w:szCs w:val="17"/>
        </w:rPr>
        <w:t xml:space="preserve">(617) 357-6041 John </w:t>
      </w:r>
      <w:proofErr w:type="spellStart"/>
      <w:r>
        <w:rPr>
          <w:rFonts w:ascii="Arial" w:hAnsi="Arial" w:cs="Arial"/>
          <w:sz w:val="17"/>
          <w:szCs w:val="17"/>
        </w:rPr>
        <w:t>P.lJ</w:t>
      </w:r>
      <w:proofErr w:type="spellEnd"/>
      <w:r>
        <w:rPr>
          <w:rFonts w:ascii="Arial" w:hAnsi="Arial" w:cs="Arial"/>
          <w:sz w:val="17"/>
          <w:szCs w:val="17"/>
        </w:rPr>
        <w:t>: \.</w:t>
      </w:r>
      <w:proofErr w:type="spellStart"/>
      <w:r>
        <w:rPr>
          <w:rFonts w:ascii="Arial" w:hAnsi="Arial" w:cs="Arial"/>
          <w:sz w:val="17"/>
          <w:szCs w:val="17"/>
        </w:rPr>
        <w:t>lhlin</w:t>
      </w:r>
      <w:proofErr w:type="spellEnd"/>
      <w:r>
        <w:rPr>
          <w:rFonts w:ascii="Arial" w:hAnsi="Arial" w:cs="Arial"/>
          <w:sz w:val="17"/>
          <w:szCs w:val="17"/>
        </w:rPr>
        <w:t xml:space="preserve">  Chair; Yvonne  Jones, First Vice Chair; Sean </w:t>
      </w:r>
      <w:proofErr w:type="spellStart"/>
      <w:r>
        <w:rPr>
          <w:rFonts w:ascii="Arial" w:hAnsi="Arial" w:cs="Arial"/>
          <w:sz w:val="17"/>
          <w:szCs w:val="17"/>
        </w:rPr>
        <w:t>Daughtry</w:t>
      </w:r>
      <w:proofErr w:type="spellEnd"/>
      <w:r>
        <w:rPr>
          <w:rFonts w:ascii="Arial" w:hAnsi="Arial" w:cs="Arial"/>
          <w:sz w:val="17"/>
          <w:szCs w:val="17"/>
        </w:rPr>
        <w:t xml:space="preserve">, Vice Chair; Marie </w:t>
      </w:r>
      <w:proofErr w:type="spellStart"/>
      <w:r>
        <w:rPr>
          <w:rFonts w:ascii="Arial" w:hAnsi="Arial" w:cs="Arial"/>
          <w:sz w:val="17"/>
          <w:szCs w:val="17"/>
        </w:rPr>
        <w:t>Greig</w:t>
      </w:r>
      <w:proofErr w:type="spellEnd"/>
      <w:r>
        <w:rPr>
          <w:rFonts w:ascii="Arial" w:hAnsi="Arial" w:cs="Arial"/>
          <w:sz w:val="17"/>
          <w:szCs w:val="17"/>
        </w:rPr>
        <w:t>, Vice Chair; Edward Katz, Vice   Chair;</w:t>
      </w:r>
    </w:p>
    <w:p w:rsidR="002C5025" w:rsidRDefault="002C5025">
      <w:pPr>
        <w:pStyle w:val="BodyText"/>
        <w:kinsoku w:val="0"/>
        <w:overflowPunct w:val="0"/>
        <w:spacing w:line="178" w:lineRule="exact"/>
        <w:ind w:left="852" w:right="133"/>
        <w:jc w:val="center"/>
        <w:rPr>
          <w:rFonts w:ascii="Arial" w:hAnsi="Arial" w:cs="Arial"/>
          <w:b/>
          <w:bCs/>
          <w:w w:val="95"/>
          <w:sz w:val="17"/>
          <w:szCs w:val="17"/>
        </w:rPr>
      </w:pPr>
      <w:r>
        <w:rPr>
          <w:rFonts w:ascii="Arial" w:hAnsi="Arial" w:cs="Arial"/>
          <w:b/>
          <w:bCs/>
          <w:w w:val="95"/>
          <w:sz w:val="17"/>
          <w:szCs w:val="17"/>
        </w:rPr>
        <w:t>Andres Molina, Vice Chair; Jean M. Babcock, Treasurer; Patricia Washington, Assistant Treasurer; Julia Hardy Cofield, Esq., Clerk;</w:t>
      </w:r>
    </w:p>
    <w:p w:rsidR="002C5025" w:rsidRDefault="002C5025">
      <w:pPr>
        <w:pStyle w:val="BodyText"/>
        <w:kinsoku w:val="0"/>
        <w:overflowPunct w:val="0"/>
        <w:spacing w:before="6"/>
        <w:ind w:left="849" w:right="133"/>
        <w:jc w:val="center"/>
        <w:rPr>
          <w:rFonts w:ascii="Arial" w:hAnsi="Arial" w:cs="Arial"/>
          <w:sz w:val="17"/>
          <w:szCs w:val="17"/>
        </w:rPr>
      </w:pPr>
      <w:r>
        <w:rPr>
          <w:rFonts w:ascii="Arial" w:hAnsi="Arial" w:cs="Arial"/>
          <w:sz w:val="17"/>
          <w:szCs w:val="17"/>
        </w:rPr>
        <w:t xml:space="preserve">John J. Drew, </w:t>
      </w:r>
      <w:proofErr w:type="spellStart"/>
      <w:r>
        <w:rPr>
          <w:rFonts w:ascii="Arial" w:hAnsi="Arial" w:cs="Arial"/>
          <w:sz w:val="17"/>
          <w:szCs w:val="17"/>
        </w:rPr>
        <w:t>PresidenVCEO</w:t>
      </w:r>
      <w:proofErr w:type="spellEnd"/>
    </w:p>
    <w:p w:rsidR="002C5025" w:rsidRDefault="002C5025">
      <w:pPr>
        <w:pStyle w:val="BodyText"/>
        <w:kinsoku w:val="0"/>
        <w:overflowPunct w:val="0"/>
        <w:spacing w:before="6"/>
        <w:ind w:left="849" w:right="133"/>
        <w:jc w:val="center"/>
        <w:rPr>
          <w:rFonts w:ascii="Arial" w:hAnsi="Arial" w:cs="Arial"/>
          <w:sz w:val="17"/>
          <w:szCs w:val="17"/>
        </w:rPr>
        <w:sectPr w:rsidR="002C5025">
          <w:type w:val="continuous"/>
          <w:pgSz w:w="12240" w:h="15840"/>
          <w:pgMar w:top="720" w:right="1020" w:bottom="280" w:left="160" w:header="720" w:footer="720" w:gutter="0"/>
          <w:cols w:space="720" w:equalWidth="0">
            <w:col w:w="11060"/>
          </w:cols>
          <w:noEndnote/>
        </w:sectPr>
      </w:pPr>
    </w:p>
    <w:p w:rsidR="002C5025" w:rsidRDefault="002C5025">
      <w:pPr>
        <w:pStyle w:val="BodyText"/>
        <w:kinsoku w:val="0"/>
        <w:overflowPunct w:val="0"/>
        <w:spacing w:before="99" w:line="288" w:lineRule="auto"/>
        <w:ind w:left="189" w:right="225" w:firstLine="7"/>
        <w:rPr>
          <w:rFonts w:ascii="Times New Roman" w:hAnsi="Times New Roman" w:cs="Times New Roman"/>
          <w:sz w:val="23"/>
          <w:szCs w:val="23"/>
        </w:rPr>
      </w:pPr>
      <w:r>
        <w:rPr>
          <w:rFonts w:ascii="Times New Roman" w:hAnsi="Times New Roman" w:cs="Times New Roman"/>
          <w:sz w:val="23"/>
          <w:szCs w:val="23"/>
        </w:rPr>
        <w:lastRenderedPageBreak/>
        <w:t>In general, we urge you to conceptualize social services broadly. Childcare and Head Start, (free) tax preparation, programs which counter social isolation (such as Foster Grandparents) and other services should be as much part of a toolkit of referrals as housing, nutrition and utility supports. Similarly, MassHealth members may be eligible but unaware that they qualify for many existing social services.</w:t>
      </w: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spacing w:before="1"/>
        <w:rPr>
          <w:rFonts w:ascii="Times New Roman" w:hAnsi="Times New Roman" w:cs="Times New Roman"/>
          <w:sz w:val="27"/>
          <w:szCs w:val="27"/>
        </w:rPr>
      </w:pPr>
    </w:p>
    <w:p w:rsidR="002C5025" w:rsidRDefault="002C5025">
      <w:pPr>
        <w:pStyle w:val="BodyText"/>
        <w:kinsoku w:val="0"/>
        <w:overflowPunct w:val="0"/>
        <w:spacing w:before="1"/>
        <w:ind w:left="189" w:right="225"/>
        <w:rPr>
          <w:rFonts w:ascii="Times New Roman" w:hAnsi="Times New Roman" w:cs="Times New Roman"/>
          <w:sz w:val="23"/>
          <w:szCs w:val="23"/>
        </w:rPr>
      </w:pPr>
      <w:r>
        <w:rPr>
          <w:rFonts w:ascii="Times New Roman" w:hAnsi="Times New Roman" w:cs="Times New Roman"/>
          <w:sz w:val="23"/>
          <w:szCs w:val="23"/>
          <w:u w:val="thick"/>
        </w:rPr>
        <w:t>Community Health W</w:t>
      </w:r>
      <w:r>
        <w:rPr>
          <w:rFonts w:ascii="Times New Roman" w:hAnsi="Times New Roman" w:cs="Times New Roman"/>
          <w:sz w:val="23"/>
          <w:szCs w:val="23"/>
        </w:rPr>
        <w:t>orkers.</w:t>
      </w:r>
    </w:p>
    <w:p w:rsidR="002C5025" w:rsidRDefault="002C5025">
      <w:pPr>
        <w:pStyle w:val="BodyText"/>
        <w:kinsoku w:val="0"/>
        <w:overflowPunct w:val="0"/>
        <w:spacing w:before="179" w:line="292" w:lineRule="auto"/>
        <w:ind w:left="175" w:right="225"/>
        <w:rPr>
          <w:rFonts w:ascii="Times New Roman" w:hAnsi="Times New Roman" w:cs="Times New Roman"/>
          <w:sz w:val="23"/>
          <w:szCs w:val="23"/>
        </w:rPr>
      </w:pPr>
      <w:r>
        <w:rPr>
          <w:rFonts w:ascii="Times New Roman" w:hAnsi="Times New Roman" w:cs="Times New Roman"/>
          <w:sz w:val="23"/>
          <w:szCs w:val="23"/>
        </w:rPr>
        <w:t>ABCD applauds MassHealth's inclusion of Community Health Workers (CHWs) in its waiver. They are one of the most cost effective means by which ACOs can work with individuals and families, and should be integrated with members'  Interdisciplinary  Care Teams.</w:t>
      </w:r>
    </w:p>
    <w:p w:rsidR="002C5025" w:rsidRDefault="002C5025">
      <w:pPr>
        <w:pStyle w:val="BodyText"/>
        <w:kinsoku w:val="0"/>
        <w:overflowPunct w:val="0"/>
        <w:spacing w:before="111" w:line="288" w:lineRule="auto"/>
        <w:ind w:left="153" w:right="418" w:firstLine="15"/>
        <w:rPr>
          <w:rFonts w:ascii="Times New Roman" w:hAnsi="Times New Roman" w:cs="Times New Roman"/>
          <w:sz w:val="23"/>
          <w:szCs w:val="23"/>
        </w:rPr>
      </w:pPr>
      <w:r>
        <w:rPr>
          <w:rFonts w:ascii="Times New Roman" w:hAnsi="Times New Roman" w:cs="Times New Roman"/>
          <w:sz w:val="23"/>
          <w:szCs w:val="23"/>
        </w:rPr>
        <w:t>In addition, many social services agencies and programs, such as ABCD' s health services and neighborhood-based programs, employ community health workers for their unique ability to reach specific, often marginalized populations, explain complex social and health issues, and assist in navigating social and health care systems. MassHealth should explicitly recognize the value and service-delivery  effectiveness of CHWs in community-based  settings.</w:t>
      </w: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spacing w:before="6"/>
        <w:rPr>
          <w:rFonts w:ascii="Times New Roman" w:hAnsi="Times New Roman" w:cs="Times New Roman"/>
          <w:sz w:val="26"/>
          <w:szCs w:val="26"/>
        </w:rPr>
      </w:pPr>
    </w:p>
    <w:p w:rsidR="002C5025" w:rsidRDefault="002C5025">
      <w:pPr>
        <w:pStyle w:val="BodyText"/>
        <w:kinsoku w:val="0"/>
        <w:overflowPunct w:val="0"/>
        <w:ind w:left="146" w:right="225"/>
        <w:rPr>
          <w:rFonts w:ascii="Times New Roman" w:hAnsi="Times New Roman" w:cs="Times New Roman"/>
          <w:sz w:val="23"/>
          <w:szCs w:val="23"/>
        </w:rPr>
      </w:pPr>
      <w:r>
        <w:rPr>
          <w:rFonts w:ascii="Times New Roman" w:hAnsi="Times New Roman" w:cs="Times New Roman"/>
          <w:sz w:val="23"/>
          <w:szCs w:val="23"/>
          <w:u w:val="single"/>
        </w:rPr>
        <w:t>Fuel A</w:t>
      </w:r>
      <w:r>
        <w:rPr>
          <w:rFonts w:ascii="Times New Roman" w:hAnsi="Times New Roman" w:cs="Times New Roman"/>
          <w:sz w:val="23"/>
          <w:szCs w:val="23"/>
        </w:rPr>
        <w:t>ssistance.</w:t>
      </w:r>
    </w:p>
    <w:p w:rsidR="002C5025" w:rsidRDefault="002C5025">
      <w:pPr>
        <w:pStyle w:val="BodyText"/>
        <w:tabs>
          <w:tab w:val="left" w:pos="7970"/>
        </w:tabs>
        <w:kinsoku w:val="0"/>
        <w:overflowPunct w:val="0"/>
        <w:spacing w:before="182" w:line="288" w:lineRule="auto"/>
        <w:ind w:left="124" w:right="152" w:firstLine="19"/>
        <w:rPr>
          <w:rFonts w:ascii="Times New Roman" w:hAnsi="Times New Roman" w:cs="Times New Roman"/>
          <w:w w:val="105"/>
          <w:sz w:val="23"/>
          <w:szCs w:val="23"/>
        </w:rPr>
      </w:pPr>
      <w:r>
        <w:rPr>
          <w:rFonts w:ascii="Times New Roman" w:hAnsi="Times New Roman" w:cs="Times New Roman"/>
          <w:spacing w:val="2"/>
          <w:w w:val="105"/>
          <w:sz w:val="23"/>
          <w:szCs w:val="23"/>
        </w:rPr>
        <w:t xml:space="preserve">ABCD </w:t>
      </w:r>
      <w:r>
        <w:rPr>
          <w:rFonts w:ascii="Times New Roman" w:hAnsi="Times New Roman" w:cs="Times New Roman"/>
          <w:w w:val="105"/>
          <w:sz w:val="23"/>
          <w:szCs w:val="23"/>
        </w:rPr>
        <w:t>is particularly pleased that MassHealth recognizes the value of connecting MassHealth members to Fuel Assistance and related utility supports. ABCD's Low-Income Home Energy Assistance Prog</w:t>
      </w:r>
      <w:r w:rsidR="007B2B7B">
        <w:rPr>
          <w:rFonts w:ascii="Times New Roman" w:hAnsi="Times New Roman" w:cs="Times New Roman"/>
          <w:w w:val="105"/>
          <w:sz w:val="23"/>
          <w:szCs w:val="23"/>
        </w:rPr>
        <w:t>r</w:t>
      </w:r>
      <w:r>
        <w:rPr>
          <w:rFonts w:ascii="Times New Roman" w:hAnsi="Times New Roman" w:cs="Times New Roman"/>
          <w:w w:val="105"/>
          <w:sz w:val="23"/>
          <w:szCs w:val="23"/>
        </w:rPr>
        <w:t>am (LIHEAP) covers 10 cities and towns in Greater Boston and is part of a statewide coverage net-one which also ensures access to other related programs, such as weatherization,</w:t>
      </w:r>
      <w:r>
        <w:rPr>
          <w:rFonts w:ascii="Times New Roman" w:hAnsi="Times New Roman" w:cs="Times New Roman"/>
          <w:spacing w:val="-20"/>
          <w:w w:val="105"/>
          <w:sz w:val="23"/>
          <w:szCs w:val="23"/>
        </w:rPr>
        <w:t xml:space="preserve"> </w:t>
      </w:r>
      <w:r>
        <w:rPr>
          <w:rFonts w:ascii="Times New Roman" w:hAnsi="Times New Roman" w:cs="Times New Roman"/>
          <w:w w:val="105"/>
          <w:sz w:val="23"/>
          <w:szCs w:val="23"/>
        </w:rPr>
        <w:t>utility</w:t>
      </w:r>
      <w:r>
        <w:rPr>
          <w:rFonts w:ascii="Times New Roman" w:hAnsi="Times New Roman" w:cs="Times New Roman"/>
          <w:spacing w:val="-21"/>
          <w:w w:val="105"/>
          <w:sz w:val="23"/>
          <w:szCs w:val="23"/>
        </w:rPr>
        <w:t xml:space="preserve"> </w:t>
      </w:r>
      <w:r>
        <w:rPr>
          <w:rFonts w:ascii="Times New Roman" w:hAnsi="Times New Roman" w:cs="Times New Roman"/>
          <w:w w:val="105"/>
          <w:sz w:val="23"/>
          <w:szCs w:val="23"/>
        </w:rPr>
        <w:t>discounts</w:t>
      </w:r>
      <w:r>
        <w:rPr>
          <w:rFonts w:ascii="Times New Roman" w:hAnsi="Times New Roman" w:cs="Times New Roman"/>
          <w:spacing w:val="-25"/>
          <w:w w:val="105"/>
          <w:sz w:val="23"/>
          <w:szCs w:val="23"/>
        </w:rPr>
        <w:t xml:space="preserve"> </w:t>
      </w:r>
      <w:r>
        <w:rPr>
          <w:rFonts w:ascii="Times New Roman" w:hAnsi="Times New Roman" w:cs="Times New Roman"/>
          <w:w w:val="105"/>
          <w:sz w:val="23"/>
          <w:szCs w:val="23"/>
        </w:rPr>
        <w:t>and</w:t>
      </w:r>
      <w:r>
        <w:rPr>
          <w:rFonts w:ascii="Times New Roman" w:hAnsi="Times New Roman" w:cs="Times New Roman"/>
          <w:spacing w:val="-32"/>
          <w:w w:val="105"/>
          <w:sz w:val="23"/>
          <w:szCs w:val="23"/>
        </w:rPr>
        <w:t xml:space="preserve"> </w:t>
      </w:r>
      <w:r>
        <w:rPr>
          <w:rFonts w:ascii="Times New Roman" w:hAnsi="Times New Roman" w:cs="Times New Roman"/>
          <w:w w:val="105"/>
          <w:sz w:val="23"/>
          <w:szCs w:val="23"/>
        </w:rPr>
        <w:t>heating</w:t>
      </w:r>
      <w:r>
        <w:rPr>
          <w:rFonts w:ascii="Times New Roman" w:hAnsi="Times New Roman" w:cs="Times New Roman"/>
          <w:spacing w:val="-19"/>
          <w:w w:val="105"/>
          <w:sz w:val="23"/>
          <w:szCs w:val="23"/>
        </w:rPr>
        <w:t xml:space="preserve"> </w:t>
      </w:r>
      <w:r>
        <w:rPr>
          <w:rFonts w:ascii="Times New Roman" w:hAnsi="Times New Roman" w:cs="Times New Roman"/>
          <w:w w:val="105"/>
          <w:sz w:val="23"/>
          <w:szCs w:val="23"/>
        </w:rPr>
        <w:t>system</w:t>
      </w:r>
      <w:r>
        <w:rPr>
          <w:rFonts w:ascii="Times New Roman" w:hAnsi="Times New Roman" w:cs="Times New Roman"/>
          <w:spacing w:val="-30"/>
          <w:w w:val="105"/>
          <w:sz w:val="23"/>
          <w:szCs w:val="23"/>
        </w:rPr>
        <w:t xml:space="preserve"> </w:t>
      </w:r>
      <w:r>
        <w:rPr>
          <w:rFonts w:ascii="Times New Roman" w:hAnsi="Times New Roman" w:cs="Times New Roman"/>
          <w:w w:val="105"/>
          <w:sz w:val="23"/>
          <w:szCs w:val="23"/>
        </w:rPr>
        <w:t>repair.</w:t>
      </w:r>
      <w:r>
        <w:rPr>
          <w:rFonts w:ascii="Times New Roman" w:hAnsi="Times New Roman" w:cs="Times New Roman"/>
          <w:spacing w:val="-22"/>
          <w:w w:val="105"/>
          <w:sz w:val="23"/>
          <w:szCs w:val="23"/>
        </w:rPr>
        <w:t xml:space="preserve"> </w:t>
      </w:r>
      <w:r>
        <w:rPr>
          <w:rFonts w:ascii="Times New Roman" w:hAnsi="Times New Roman" w:cs="Times New Roman"/>
          <w:w w:val="105"/>
          <w:sz w:val="23"/>
          <w:szCs w:val="23"/>
        </w:rPr>
        <w:t>Fuel</w:t>
      </w:r>
      <w:r>
        <w:rPr>
          <w:rFonts w:ascii="Times New Roman" w:hAnsi="Times New Roman" w:cs="Times New Roman"/>
          <w:spacing w:val="-25"/>
          <w:w w:val="105"/>
          <w:sz w:val="23"/>
          <w:szCs w:val="23"/>
        </w:rPr>
        <w:t xml:space="preserve"> </w:t>
      </w:r>
      <w:r>
        <w:rPr>
          <w:rFonts w:ascii="Times New Roman" w:hAnsi="Times New Roman" w:cs="Times New Roman"/>
          <w:w w:val="105"/>
          <w:sz w:val="23"/>
          <w:szCs w:val="23"/>
        </w:rPr>
        <w:t>Assistance</w:t>
      </w:r>
      <w:r>
        <w:rPr>
          <w:rFonts w:ascii="Times New Roman" w:hAnsi="Times New Roman" w:cs="Times New Roman"/>
          <w:spacing w:val="-11"/>
          <w:w w:val="105"/>
          <w:sz w:val="23"/>
          <w:szCs w:val="23"/>
        </w:rPr>
        <w:t xml:space="preserve"> </w:t>
      </w:r>
      <w:r>
        <w:rPr>
          <w:rFonts w:ascii="Times New Roman" w:hAnsi="Times New Roman" w:cs="Times New Roman"/>
          <w:w w:val="105"/>
          <w:sz w:val="23"/>
          <w:szCs w:val="23"/>
        </w:rPr>
        <w:t>is</w:t>
      </w:r>
      <w:r>
        <w:rPr>
          <w:rFonts w:ascii="Times New Roman" w:hAnsi="Times New Roman" w:cs="Times New Roman"/>
          <w:spacing w:val="-30"/>
          <w:w w:val="105"/>
          <w:sz w:val="23"/>
          <w:szCs w:val="23"/>
        </w:rPr>
        <w:t xml:space="preserve"> </w:t>
      </w:r>
      <w:r>
        <w:rPr>
          <w:rFonts w:ascii="Times New Roman" w:hAnsi="Times New Roman" w:cs="Times New Roman"/>
          <w:w w:val="105"/>
          <w:sz w:val="23"/>
          <w:szCs w:val="23"/>
        </w:rPr>
        <w:t>only</w:t>
      </w:r>
      <w:r>
        <w:rPr>
          <w:rFonts w:ascii="Times New Roman" w:hAnsi="Times New Roman" w:cs="Times New Roman"/>
          <w:spacing w:val="-22"/>
          <w:w w:val="105"/>
          <w:sz w:val="23"/>
          <w:szCs w:val="23"/>
        </w:rPr>
        <w:t xml:space="preserve"> </w:t>
      </w:r>
      <w:r>
        <w:rPr>
          <w:rFonts w:ascii="Times New Roman" w:hAnsi="Times New Roman" w:cs="Times New Roman"/>
          <w:w w:val="105"/>
          <w:sz w:val="23"/>
          <w:szCs w:val="23"/>
        </w:rPr>
        <w:t>one</w:t>
      </w:r>
      <w:r>
        <w:rPr>
          <w:rFonts w:ascii="Times New Roman" w:hAnsi="Times New Roman" w:cs="Times New Roman"/>
          <w:spacing w:val="-28"/>
          <w:w w:val="105"/>
          <w:sz w:val="23"/>
          <w:szCs w:val="23"/>
        </w:rPr>
        <w:t xml:space="preserve"> </w:t>
      </w:r>
      <w:r>
        <w:rPr>
          <w:rFonts w:ascii="Times New Roman" w:hAnsi="Times New Roman" w:cs="Times New Roman"/>
          <w:w w:val="105"/>
          <w:sz w:val="23"/>
          <w:szCs w:val="23"/>
        </w:rPr>
        <w:t>example of</w:t>
      </w:r>
      <w:r>
        <w:rPr>
          <w:rFonts w:ascii="Times New Roman" w:hAnsi="Times New Roman" w:cs="Times New Roman"/>
          <w:spacing w:val="-26"/>
          <w:w w:val="105"/>
          <w:sz w:val="23"/>
          <w:szCs w:val="23"/>
        </w:rPr>
        <w:t xml:space="preserve"> </w:t>
      </w:r>
      <w:r>
        <w:rPr>
          <w:rFonts w:ascii="Times New Roman" w:hAnsi="Times New Roman" w:cs="Times New Roman"/>
          <w:w w:val="105"/>
          <w:sz w:val="23"/>
          <w:szCs w:val="23"/>
        </w:rPr>
        <w:t>many</w:t>
      </w:r>
      <w:r>
        <w:rPr>
          <w:rFonts w:ascii="Times New Roman" w:hAnsi="Times New Roman" w:cs="Times New Roman"/>
          <w:spacing w:val="-16"/>
          <w:w w:val="105"/>
          <w:sz w:val="23"/>
          <w:szCs w:val="23"/>
        </w:rPr>
        <w:t xml:space="preserve"> </w:t>
      </w:r>
      <w:r>
        <w:rPr>
          <w:rFonts w:ascii="Times New Roman" w:hAnsi="Times New Roman" w:cs="Times New Roman"/>
          <w:w w:val="105"/>
          <w:sz w:val="23"/>
          <w:szCs w:val="23"/>
        </w:rPr>
        <w:t>social</w:t>
      </w:r>
      <w:r>
        <w:rPr>
          <w:rFonts w:ascii="Times New Roman" w:hAnsi="Times New Roman" w:cs="Times New Roman"/>
          <w:spacing w:val="-25"/>
          <w:w w:val="105"/>
          <w:sz w:val="23"/>
          <w:szCs w:val="23"/>
        </w:rPr>
        <w:t xml:space="preserve"> </w:t>
      </w:r>
      <w:r>
        <w:rPr>
          <w:rFonts w:ascii="Times New Roman" w:hAnsi="Times New Roman" w:cs="Times New Roman"/>
          <w:w w:val="105"/>
          <w:sz w:val="23"/>
          <w:szCs w:val="23"/>
        </w:rPr>
        <w:t>service</w:t>
      </w:r>
      <w:r>
        <w:rPr>
          <w:rFonts w:ascii="Times New Roman" w:hAnsi="Times New Roman" w:cs="Times New Roman"/>
          <w:spacing w:val="-26"/>
          <w:w w:val="105"/>
          <w:sz w:val="23"/>
          <w:szCs w:val="23"/>
        </w:rPr>
        <w:t xml:space="preserve"> </w:t>
      </w:r>
      <w:r>
        <w:rPr>
          <w:rFonts w:ascii="Times New Roman" w:hAnsi="Times New Roman" w:cs="Times New Roman"/>
          <w:w w:val="105"/>
          <w:sz w:val="23"/>
          <w:szCs w:val="23"/>
        </w:rPr>
        <w:t>supports</w:t>
      </w:r>
      <w:r>
        <w:rPr>
          <w:rFonts w:ascii="Times New Roman" w:hAnsi="Times New Roman" w:cs="Times New Roman"/>
          <w:spacing w:val="-18"/>
          <w:w w:val="105"/>
          <w:sz w:val="23"/>
          <w:szCs w:val="23"/>
        </w:rPr>
        <w:t xml:space="preserve"> </w:t>
      </w:r>
      <w:r>
        <w:rPr>
          <w:rFonts w:ascii="Times New Roman" w:hAnsi="Times New Roman" w:cs="Times New Roman"/>
          <w:w w:val="105"/>
          <w:sz w:val="23"/>
          <w:szCs w:val="23"/>
        </w:rPr>
        <w:t>which</w:t>
      </w:r>
      <w:r>
        <w:rPr>
          <w:rFonts w:ascii="Times New Roman" w:hAnsi="Times New Roman" w:cs="Times New Roman"/>
          <w:spacing w:val="-17"/>
          <w:w w:val="105"/>
          <w:sz w:val="23"/>
          <w:szCs w:val="23"/>
        </w:rPr>
        <w:t xml:space="preserve"> </w:t>
      </w:r>
      <w:r>
        <w:rPr>
          <w:rFonts w:ascii="Times New Roman" w:hAnsi="Times New Roman" w:cs="Times New Roman"/>
          <w:w w:val="105"/>
          <w:sz w:val="23"/>
          <w:szCs w:val="23"/>
        </w:rPr>
        <w:t>are</w:t>
      </w:r>
      <w:r>
        <w:rPr>
          <w:rFonts w:ascii="Times New Roman" w:hAnsi="Times New Roman" w:cs="Times New Roman"/>
          <w:spacing w:val="-27"/>
          <w:w w:val="105"/>
          <w:sz w:val="23"/>
          <w:szCs w:val="23"/>
        </w:rPr>
        <w:t xml:space="preserve"> </w:t>
      </w:r>
      <w:r>
        <w:rPr>
          <w:rFonts w:ascii="Times New Roman" w:hAnsi="Times New Roman" w:cs="Times New Roman"/>
          <w:w w:val="105"/>
          <w:sz w:val="23"/>
          <w:szCs w:val="23"/>
        </w:rPr>
        <w:t>revenue-neutral</w:t>
      </w:r>
      <w:r>
        <w:rPr>
          <w:rFonts w:ascii="Times New Roman" w:hAnsi="Times New Roman" w:cs="Times New Roman"/>
          <w:spacing w:val="-16"/>
          <w:w w:val="105"/>
          <w:sz w:val="23"/>
          <w:szCs w:val="23"/>
        </w:rPr>
        <w:t xml:space="preserve"> </w:t>
      </w:r>
      <w:r>
        <w:rPr>
          <w:rFonts w:ascii="Times New Roman" w:hAnsi="Times New Roman" w:cs="Times New Roman"/>
          <w:w w:val="105"/>
          <w:sz w:val="23"/>
          <w:szCs w:val="23"/>
        </w:rPr>
        <w:t>to</w:t>
      </w:r>
      <w:r>
        <w:rPr>
          <w:rFonts w:ascii="Times New Roman" w:hAnsi="Times New Roman" w:cs="Times New Roman"/>
          <w:spacing w:val="-20"/>
          <w:w w:val="105"/>
          <w:sz w:val="23"/>
          <w:szCs w:val="23"/>
        </w:rPr>
        <w:t xml:space="preserve"> </w:t>
      </w:r>
      <w:r>
        <w:rPr>
          <w:rFonts w:ascii="Times New Roman" w:hAnsi="Times New Roman" w:cs="Times New Roman"/>
          <w:w w:val="105"/>
          <w:sz w:val="23"/>
          <w:szCs w:val="23"/>
        </w:rPr>
        <w:t>MassHealth,</w:t>
      </w:r>
      <w:r>
        <w:rPr>
          <w:rFonts w:ascii="Times New Roman" w:hAnsi="Times New Roman" w:cs="Times New Roman"/>
          <w:spacing w:val="-12"/>
          <w:w w:val="105"/>
          <w:sz w:val="23"/>
          <w:szCs w:val="23"/>
        </w:rPr>
        <w:t xml:space="preserve"> </w:t>
      </w:r>
      <w:r>
        <w:rPr>
          <w:rFonts w:ascii="Times New Roman" w:hAnsi="Times New Roman" w:cs="Times New Roman"/>
          <w:w w:val="105"/>
          <w:sz w:val="23"/>
          <w:szCs w:val="23"/>
        </w:rPr>
        <w:t>and</w:t>
      </w:r>
      <w:r>
        <w:rPr>
          <w:rFonts w:ascii="Times New Roman" w:hAnsi="Times New Roman" w:cs="Times New Roman"/>
          <w:spacing w:val="-20"/>
          <w:w w:val="105"/>
          <w:sz w:val="23"/>
          <w:szCs w:val="23"/>
        </w:rPr>
        <w:t xml:space="preserve"> </w:t>
      </w:r>
      <w:r>
        <w:rPr>
          <w:rFonts w:ascii="Times New Roman" w:hAnsi="Times New Roman" w:cs="Times New Roman"/>
          <w:w w:val="105"/>
          <w:sz w:val="23"/>
          <w:szCs w:val="23"/>
        </w:rPr>
        <w:t>for</w:t>
      </w:r>
      <w:r>
        <w:rPr>
          <w:rFonts w:ascii="Times New Roman" w:hAnsi="Times New Roman" w:cs="Times New Roman"/>
          <w:spacing w:val="-26"/>
          <w:w w:val="105"/>
          <w:sz w:val="23"/>
          <w:szCs w:val="23"/>
        </w:rPr>
        <w:t xml:space="preserve"> </w:t>
      </w:r>
      <w:r>
        <w:rPr>
          <w:rFonts w:ascii="Times New Roman" w:hAnsi="Times New Roman" w:cs="Times New Roman"/>
          <w:w w:val="105"/>
          <w:sz w:val="23"/>
          <w:szCs w:val="23"/>
        </w:rPr>
        <w:t>which</w:t>
      </w:r>
      <w:r>
        <w:rPr>
          <w:rFonts w:ascii="Times New Roman" w:hAnsi="Times New Roman" w:cs="Times New Roman"/>
          <w:spacing w:val="-20"/>
          <w:w w:val="105"/>
          <w:sz w:val="23"/>
          <w:szCs w:val="23"/>
        </w:rPr>
        <w:t xml:space="preserve"> </w:t>
      </w:r>
      <w:r>
        <w:rPr>
          <w:rFonts w:ascii="Times New Roman" w:hAnsi="Times New Roman" w:cs="Times New Roman"/>
          <w:w w:val="105"/>
          <w:sz w:val="23"/>
          <w:szCs w:val="23"/>
        </w:rPr>
        <w:t>the</w:t>
      </w:r>
      <w:r>
        <w:rPr>
          <w:rFonts w:ascii="Times New Roman" w:hAnsi="Times New Roman" w:cs="Times New Roman"/>
          <w:spacing w:val="-24"/>
          <w:w w:val="105"/>
          <w:sz w:val="23"/>
          <w:szCs w:val="23"/>
        </w:rPr>
        <w:t xml:space="preserve"> </w:t>
      </w:r>
      <w:r>
        <w:rPr>
          <w:rFonts w:ascii="Times New Roman" w:hAnsi="Times New Roman" w:cs="Times New Roman"/>
          <w:w w:val="105"/>
          <w:sz w:val="23"/>
          <w:szCs w:val="23"/>
        </w:rPr>
        <w:t>vast majority of MassHealth members will qualify. Such no-cost referrals represent an important source</w:t>
      </w:r>
      <w:r>
        <w:rPr>
          <w:rFonts w:ascii="Times New Roman" w:hAnsi="Times New Roman" w:cs="Times New Roman"/>
          <w:spacing w:val="-29"/>
          <w:w w:val="105"/>
          <w:sz w:val="23"/>
          <w:szCs w:val="23"/>
        </w:rPr>
        <w:t xml:space="preserve"> </w:t>
      </w:r>
      <w:r>
        <w:rPr>
          <w:rFonts w:ascii="Times New Roman" w:hAnsi="Times New Roman" w:cs="Times New Roman"/>
          <w:w w:val="105"/>
          <w:sz w:val="23"/>
          <w:szCs w:val="23"/>
        </w:rPr>
        <w:t>of</w:t>
      </w:r>
      <w:r>
        <w:rPr>
          <w:rFonts w:ascii="Times New Roman" w:hAnsi="Times New Roman" w:cs="Times New Roman"/>
          <w:spacing w:val="-30"/>
          <w:w w:val="105"/>
          <w:sz w:val="23"/>
          <w:szCs w:val="23"/>
        </w:rPr>
        <w:t xml:space="preserve"> </w:t>
      </w:r>
      <w:r>
        <w:rPr>
          <w:rFonts w:ascii="Times New Roman" w:hAnsi="Times New Roman" w:cs="Times New Roman"/>
          <w:w w:val="105"/>
          <w:sz w:val="23"/>
          <w:szCs w:val="23"/>
        </w:rPr>
        <w:t>leveraged</w:t>
      </w:r>
      <w:r>
        <w:rPr>
          <w:rFonts w:ascii="Times New Roman" w:hAnsi="Times New Roman" w:cs="Times New Roman"/>
          <w:spacing w:val="-18"/>
          <w:w w:val="105"/>
          <w:sz w:val="23"/>
          <w:szCs w:val="23"/>
        </w:rPr>
        <w:t xml:space="preserve"> </w:t>
      </w:r>
      <w:r>
        <w:rPr>
          <w:rFonts w:ascii="Times New Roman" w:hAnsi="Times New Roman" w:cs="Times New Roman"/>
          <w:w w:val="105"/>
          <w:sz w:val="23"/>
          <w:szCs w:val="23"/>
        </w:rPr>
        <w:t>supports</w:t>
      </w:r>
      <w:r>
        <w:rPr>
          <w:rFonts w:ascii="Times New Roman" w:hAnsi="Times New Roman" w:cs="Times New Roman"/>
          <w:spacing w:val="-28"/>
          <w:w w:val="105"/>
          <w:sz w:val="23"/>
          <w:szCs w:val="23"/>
        </w:rPr>
        <w:t xml:space="preserve"> </w:t>
      </w:r>
      <w:r>
        <w:rPr>
          <w:rFonts w:ascii="Times New Roman" w:hAnsi="Times New Roman" w:cs="Times New Roman"/>
          <w:w w:val="105"/>
          <w:sz w:val="23"/>
          <w:szCs w:val="23"/>
        </w:rPr>
        <w:t>for</w:t>
      </w:r>
      <w:r>
        <w:rPr>
          <w:rFonts w:ascii="Times New Roman" w:hAnsi="Times New Roman" w:cs="Times New Roman"/>
          <w:spacing w:val="-27"/>
          <w:w w:val="105"/>
          <w:sz w:val="23"/>
          <w:szCs w:val="23"/>
        </w:rPr>
        <w:t xml:space="preserve"> </w:t>
      </w:r>
      <w:r>
        <w:rPr>
          <w:rFonts w:ascii="Times New Roman" w:hAnsi="Times New Roman" w:cs="Times New Roman"/>
          <w:w w:val="105"/>
          <w:sz w:val="23"/>
          <w:szCs w:val="23"/>
        </w:rPr>
        <w:t>MassHealth</w:t>
      </w:r>
      <w:r>
        <w:rPr>
          <w:rFonts w:ascii="Times New Roman" w:hAnsi="Times New Roman" w:cs="Times New Roman"/>
          <w:spacing w:val="-16"/>
          <w:w w:val="105"/>
          <w:sz w:val="23"/>
          <w:szCs w:val="23"/>
        </w:rPr>
        <w:t xml:space="preserve"> </w:t>
      </w:r>
      <w:r>
        <w:rPr>
          <w:rFonts w:ascii="Times New Roman" w:hAnsi="Times New Roman" w:cs="Times New Roman"/>
          <w:w w:val="105"/>
          <w:sz w:val="23"/>
          <w:szCs w:val="23"/>
        </w:rPr>
        <w:t>members,</w:t>
      </w:r>
      <w:r>
        <w:rPr>
          <w:rFonts w:ascii="Times New Roman" w:hAnsi="Times New Roman" w:cs="Times New Roman"/>
          <w:spacing w:val="-21"/>
          <w:w w:val="105"/>
          <w:sz w:val="23"/>
          <w:szCs w:val="23"/>
        </w:rPr>
        <w:t xml:space="preserve"> </w:t>
      </w:r>
      <w:r>
        <w:rPr>
          <w:rFonts w:ascii="Times New Roman" w:hAnsi="Times New Roman" w:cs="Times New Roman"/>
          <w:w w:val="105"/>
          <w:sz w:val="23"/>
          <w:szCs w:val="23"/>
        </w:rPr>
        <w:t>which</w:t>
      </w:r>
      <w:r>
        <w:rPr>
          <w:rFonts w:ascii="Times New Roman" w:hAnsi="Times New Roman" w:cs="Times New Roman"/>
          <w:spacing w:val="-19"/>
          <w:w w:val="105"/>
          <w:sz w:val="23"/>
          <w:szCs w:val="23"/>
        </w:rPr>
        <w:t xml:space="preserve"> </w:t>
      </w:r>
      <w:r>
        <w:rPr>
          <w:rFonts w:ascii="Times New Roman" w:hAnsi="Times New Roman" w:cs="Times New Roman"/>
          <w:w w:val="105"/>
          <w:sz w:val="23"/>
          <w:szCs w:val="23"/>
        </w:rPr>
        <w:t>could</w:t>
      </w:r>
      <w:r>
        <w:rPr>
          <w:rFonts w:ascii="Times New Roman" w:hAnsi="Times New Roman" w:cs="Times New Roman"/>
          <w:spacing w:val="-28"/>
          <w:w w:val="105"/>
          <w:sz w:val="23"/>
          <w:szCs w:val="23"/>
        </w:rPr>
        <w:t xml:space="preserve"> </w:t>
      </w:r>
      <w:r>
        <w:rPr>
          <w:rFonts w:ascii="Times New Roman" w:hAnsi="Times New Roman" w:cs="Times New Roman"/>
          <w:w w:val="105"/>
          <w:sz w:val="23"/>
          <w:szCs w:val="23"/>
        </w:rPr>
        <w:t>be</w:t>
      </w:r>
      <w:r>
        <w:rPr>
          <w:rFonts w:ascii="Times New Roman" w:hAnsi="Times New Roman" w:cs="Times New Roman"/>
          <w:spacing w:val="-27"/>
          <w:w w:val="105"/>
          <w:sz w:val="23"/>
          <w:szCs w:val="23"/>
        </w:rPr>
        <w:t xml:space="preserve"> </w:t>
      </w:r>
      <w:r>
        <w:rPr>
          <w:rFonts w:ascii="Times New Roman" w:hAnsi="Times New Roman" w:cs="Times New Roman"/>
          <w:w w:val="105"/>
          <w:sz w:val="23"/>
          <w:szCs w:val="23"/>
        </w:rPr>
        <w:t>readily</w:t>
      </w:r>
      <w:r>
        <w:rPr>
          <w:rFonts w:ascii="Times New Roman" w:hAnsi="Times New Roman" w:cs="Times New Roman"/>
          <w:spacing w:val="-22"/>
          <w:w w:val="105"/>
          <w:sz w:val="23"/>
          <w:szCs w:val="23"/>
        </w:rPr>
        <w:t xml:space="preserve"> </w:t>
      </w:r>
      <w:r>
        <w:rPr>
          <w:rFonts w:ascii="Times New Roman" w:hAnsi="Times New Roman" w:cs="Times New Roman"/>
          <w:w w:val="105"/>
          <w:sz w:val="23"/>
          <w:szCs w:val="23"/>
        </w:rPr>
        <w:t>facilitated</w:t>
      </w:r>
      <w:r>
        <w:rPr>
          <w:rFonts w:ascii="Times New Roman" w:hAnsi="Times New Roman" w:cs="Times New Roman"/>
          <w:spacing w:val="-31"/>
          <w:w w:val="105"/>
          <w:sz w:val="23"/>
          <w:szCs w:val="23"/>
        </w:rPr>
        <w:t xml:space="preserve"> </w:t>
      </w:r>
      <w:r>
        <w:rPr>
          <w:rFonts w:ascii="Times New Roman" w:hAnsi="Times New Roman" w:cs="Times New Roman"/>
          <w:w w:val="105"/>
          <w:sz w:val="23"/>
          <w:szCs w:val="23"/>
        </w:rPr>
        <w:t>through a</w:t>
      </w:r>
      <w:r>
        <w:rPr>
          <w:rFonts w:ascii="Times New Roman" w:hAnsi="Times New Roman" w:cs="Times New Roman"/>
          <w:spacing w:val="-23"/>
          <w:w w:val="105"/>
          <w:sz w:val="23"/>
          <w:szCs w:val="23"/>
        </w:rPr>
        <w:t xml:space="preserve"> </w:t>
      </w:r>
      <w:r>
        <w:rPr>
          <w:rFonts w:ascii="Times New Roman" w:hAnsi="Times New Roman" w:cs="Times New Roman"/>
          <w:w w:val="105"/>
          <w:sz w:val="23"/>
          <w:szCs w:val="23"/>
        </w:rPr>
        <w:t>structure</w:t>
      </w:r>
      <w:r>
        <w:rPr>
          <w:rFonts w:ascii="Times New Roman" w:hAnsi="Times New Roman" w:cs="Times New Roman"/>
          <w:spacing w:val="-17"/>
          <w:w w:val="105"/>
          <w:sz w:val="23"/>
          <w:szCs w:val="23"/>
        </w:rPr>
        <w:t xml:space="preserve"> </w:t>
      </w:r>
      <w:r>
        <w:rPr>
          <w:rFonts w:ascii="Times New Roman" w:hAnsi="Times New Roman" w:cs="Times New Roman"/>
          <w:w w:val="105"/>
          <w:sz w:val="23"/>
          <w:szCs w:val="23"/>
        </w:rPr>
        <w:t>such</w:t>
      </w:r>
      <w:r>
        <w:rPr>
          <w:rFonts w:ascii="Times New Roman" w:hAnsi="Times New Roman" w:cs="Times New Roman"/>
          <w:spacing w:val="-18"/>
          <w:w w:val="105"/>
          <w:sz w:val="23"/>
          <w:szCs w:val="23"/>
        </w:rPr>
        <w:t xml:space="preserve"> </w:t>
      </w:r>
      <w:r>
        <w:rPr>
          <w:rFonts w:ascii="Times New Roman" w:hAnsi="Times New Roman" w:cs="Times New Roman"/>
          <w:w w:val="105"/>
          <w:sz w:val="23"/>
          <w:szCs w:val="23"/>
        </w:rPr>
        <w:t>as</w:t>
      </w:r>
      <w:r>
        <w:rPr>
          <w:rFonts w:ascii="Times New Roman" w:hAnsi="Times New Roman" w:cs="Times New Roman"/>
          <w:spacing w:val="-25"/>
          <w:w w:val="105"/>
          <w:sz w:val="23"/>
          <w:szCs w:val="23"/>
        </w:rPr>
        <w:t xml:space="preserve"> </w:t>
      </w:r>
      <w:r>
        <w:rPr>
          <w:rFonts w:ascii="Times New Roman" w:hAnsi="Times New Roman" w:cs="Times New Roman"/>
          <w:w w:val="105"/>
          <w:sz w:val="23"/>
          <w:szCs w:val="23"/>
        </w:rPr>
        <w:t>the</w:t>
      </w:r>
      <w:r>
        <w:rPr>
          <w:rFonts w:ascii="Times New Roman" w:hAnsi="Times New Roman" w:cs="Times New Roman"/>
          <w:spacing w:val="-9"/>
          <w:w w:val="105"/>
          <w:sz w:val="23"/>
          <w:szCs w:val="23"/>
        </w:rPr>
        <w:t xml:space="preserve"> </w:t>
      </w:r>
      <w:r>
        <w:rPr>
          <w:rFonts w:ascii="Times New Roman" w:hAnsi="Times New Roman" w:cs="Times New Roman"/>
          <w:w w:val="105"/>
          <w:sz w:val="23"/>
          <w:szCs w:val="23"/>
        </w:rPr>
        <w:t>SDOH</w:t>
      </w:r>
      <w:r>
        <w:rPr>
          <w:rFonts w:ascii="Times New Roman" w:hAnsi="Times New Roman" w:cs="Times New Roman"/>
          <w:spacing w:val="-20"/>
          <w:w w:val="105"/>
          <w:sz w:val="23"/>
          <w:szCs w:val="23"/>
        </w:rPr>
        <w:t xml:space="preserve"> </w:t>
      </w:r>
      <w:r>
        <w:rPr>
          <w:rFonts w:ascii="Times New Roman" w:hAnsi="Times New Roman" w:cs="Times New Roman"/>
          <w:w w:val="105"/>
          <w:sz w:val="23"/>
          <w:szCs w:val="23"/>
        </w:rPr>
        <w:t>Hub,</w:t>
      </w:r>
      <w:r>
        <w:rPr>
          <w:rFonts w:ascii="Times New Roman" w:hAnsi="Times New Roman" w:cs="Times New Roman"/>
          <w:spacing w:val="-12"/>
          <w:w w:val="105"/>
          <w:sz w:val="23"/>
          <w:szCs w:val="23"/>
        </w:rPr>
        <w:t xml:space="preserve"> </w:t>
      </w:r>
      <w:r>
        <w:rPr>
          <w:rFonts w:ascii="Times New Roman" w:hAnsi="Times New Roman" w:cs="Times New Roman"/>
          <w:w w:val="105"/>
          <w:sz w:val="23"/>
          <w:szCs w:val="23"/>
        </w:rPr>
        <w:t>as</w:t>
      </w:r>
      <w:r>
        <w:rPr>
          <w:rFonts w:ascii="Times New Roman" w:hAnsi="Times New Roman" w:cs="Times New Roman"/>
          <w:spacing w:val="-20"/>
          <w:w w:val="105"/>
          <w:sz w:val="23"/>
          <w:szCs w:val="23"/>
        </w:rPr>
        <w:t xml:space="preserve"> </w:t>
      </w:r>
      <w:r>
        <w:rPr>
          <w:rFonts w:ascii="Times New Roman" w:hAnsi="Times New Roman" w:cs="Times New Roman"/>
          <w:w w:val="105"/>
          <w:sz w:val="23"/>
          <w:szCs w:val="23"/>
        </w:rPr>
        <w:t>described</w:t>
      </w:r>
      <w:r>
        <w:rPr>
          <w:rFonts w:ascii="Times New Roman" w:hAnsi="Times New Roman" w:cs="Times New Roman"/>
          <w:spacing w:val="-3"/>
          <w:w w:val="105"/>
          <w:sz w:val="23"/>
          <w:szCs w:val="23"/>
        </w:rPr>
        <w:t xml:space="preserve"> </w:t>
      </w:r>
      <w:r>
        <w:rPr>
          <w:rFonts w:ascii="Times New Roman" w:hAnsi="Times New Roman" w:cs="Times New Roman"/>
          <w:w w:val="105"/>
          <w:sz w:val="23"/>
          <w:szCs w:val="23"/>
        </w:rPr>
        <w:t>above.</w:t>
      </w:r>
      <w:r>
        <w:rPr>
          <w:rFonts w:ascii="Times New Roman" w:hAnsi="Times New Roman" w:cs="Times New Roman"/>
          <w:spacing w:val="-10"/>
          <w:w w:val="105"/>
          <w:sz w:val="23"/>
          <w:szCs w:val="23"/>
        </w:rPr>
        <w:t xml:space="preserve"> </w:t>
      </w:r>
      <w:r>
        <w:rPr>
          <w:rFonts w:ascii="Times New Roman" w:hAnsi="Times New Roman" w:cs="Times New Roman"/>
          <w:w w:val="105"/>
          <w:sz w:val="23"/>
          <w:szCs w:val="23"/>
        </w:rPr>
        <w:t>Such</w:t>
      </w:r>
      <w:r>
        <w:rPr>
          <w:rFonts w:ascii="Times New Roman" w:hAnsi="Times New Roman" w:cs="Times New Roman"/>
          <w:spacing w:val="-25"/>
          <w:w w:val="105"/>
          <w:sz w:val="23"/>
          <w:szCs w:val="23"/>
        </w:rPr>
        <w:t xml:space="preserve"> </w:t>
      </w:r>
      <w:r>
        <w:rPr>
          <w:rFonts w:ascii="Times New Roman" w:hAnsi="Times New Roman" w:cs="Times New Roman"/>
          <w:w w:val="105"/>
          <w:sz w:val="23"/>
          <w:szCs w:val="23"/>
        </w:rPr>
        <w:t>referrals</w:t>
      </w:r>
      <w:r>
        <w:rPr>
          <w:rFonts w:ascii="Times New Roman" w:hAnsi="Times New Roman" w:cs="Times New Roman"/>
          <w:spacing w:val="-3"/>
          <w:w w:val="105"/>
          <w:sz w:val="23"/>
          <w:szCs w:val="23"/>
        </w:rPr>
        <w:t xml:space="preserve"> </w:t>
      </w:r>
      <w:r>
        <w:rPr>
          <w:rFonts w:ascii="Times New Roman" w:hAnsi="Times New Roman" w:cs="Times New Roman"/>
          <w:w w:val="105"/>
          <w:sz w:val="23"/>
          <w:szCs w:val="23"/>
        </w:rPr>
        <w:t>should</w:t>
      </w:r>
      <w:r>
        <w:rPr>
          <w:rFonts w:ascii="Times New Roman" w:hAnsi="Times New Roman" w:cs="Times New Roman"/>
          <w:spacing w:val="-16"/>
          <w:w w:val="105"/>
          <w:sz w:val="23"/>
          <w:szCs w:val="23"/>
        </w:rPr>
        <w:t xml:space="preserve"> </w:t>
      </w:r>
      <w:r>
        <w:rPr>
          <w:rFonts w:ascii="Times New Roman" w:hAnsi="Times New Roman" w:cs="Times New Roman"/>
          <w:w w:val="105"/>
          <w:sz w:val="23"/>
          <w:szCs w:val="23"/>
        </w:rPr>
        <w:t>be</w:t>
      </w:r>
      <w:r>
        <w:rPr>
          <w:rFonts w:ascii="Times New Roman" w:hAnsi="Times New Roman" w:cs="Times New Roman"/>
          <w:w w:val="105"/>
          <w:sz w:val="23"/>
          <w:szCs w:val="23"/>
        </w:rPr>
        <w:tab/>
        <w:t>permitted- and encouraged-i</w:t>
      </w:r>
      <w:r w:rsidR="005632B1">
        <w:rPr>
          <w:rFonts w:ascii="Times New Roman" w:hAnsi="Times New Roman" w:cs="Times New Roman"/>
          <w:w w:val="105"/>
          <w:sz w:val="23"/>
          <w:szCs w:val="23"/>
        </w:rPr>
        <w:t xml:space="preserve">n the design for social service </w:t>
      </w:r>
      <w:r>
        <w:rPr>
          <w:rFonts w:ascii="Times New Roman" w:hAnsi="Times New Roman" w:cs="Times New Roman"/>
          <w:w w:val="105"/>
          <w:sz w:val="23"/>
          <w:szCs w:val="23"/>
        </w:rPr>
        <w:t>access.</w:t>
      </w: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spacing w:before="11"/>
        <w:rPr>
          <w:rFonts w:ascii="Times New Roman" w:hAnsi="Times New Roman" w:cs="Times New Roman"/>
          <w:sz w:val="26"/>
          <w:szCs w:val="26"/>
        </w:rPr>
      </w:pPr>
    </w:p>
    <w:p w:rsidR="002C5025" w:rsidRDefault="002C5025">
      <w:pPr>
        <w:pStyle w:val="BodyText"/>
        <w:kinsoku w:val="0"/>
        <w:overflowPunct w:val="0"/>
        <w:ind w:left="124" w:right="225"/>
        <w:rPr>
          <w:rFonts w:ascii="Times New Roman" w:hAnsi="Times New Roman" w:cs="Times New Roman"/>
          <w:sz w:val="23"/>
          <w:szCs w:val="23"/>
        </w:rPr>
      </w:pPr>
      <w:r>
        <w:rPr>
          <w:rFonts w:ascii="Times New Roman" w:hAnsi="Times New Roman" w:cs="Times New Roman"/>
          <w:sz w:val="23"/>
          <w:szCs w:val="23"/>
          <w:u w:val="single"/>
        </w:rPr>
        <w:t>Recovery High Schools.</w:t>
      </w:r>
    </w:p>
    <w:p w:rsidR="002C5025" w:rsidRDefault="002C5025">
      <w:pPr>
        <w:pStyle w:val="BodyText"/>
        <w:kinsoku w:val="0"/>
        <w:overflowPunct w:val="0"/>
        <w:spacing w:before="170" w:line="283" w:lineRule="auto"/>
        <w:ind w:left="117" w:right="418" w:hanging="1"/>
        <w:rPr>
          <w:rFonts w:ascii="Times New Roman" w:hAnsi="Times New Roman" w:cs="Times New Roman"/>
          <w:sz w:val="23"/>
          <w:szCs w:val="23"/>
        </w:rPr>
      </w:pPr>
      <w:r>
        <w:rPr>
          <w:rFonts w:ascii="Times New Roman" w:hAnsi="Times New Roman" w:cs="Times New Roman"/>
          <w:sz w:val="23"/>
          <w:szCs w:val="23"/>
        </w:rPr>
        <w:t xml:space="preserve">ABCD operates the William </w:t>
      </w:r>
      <w:r>
        <w:rPr>
          <w:rFonts w:ascii="Times New Roman" w:hAnsi="Times New Roman" w:cs="Times New Roman"/>
          <w:sz w:val="24"/>
          <w:szCs w:val="24"/>
        </w:rPr>
        <w:t xml:space="preserve">J. </w:t>
      </w:r>
      <w:proofErr w:type="spellStart"/>
      <w:r>
        <w:rPr>
          <w:rFonts w:ascii="Times New Roman" w:hAnsi="Times New Roman" w:cs="Times New Roman"/>
          <w:sz w:val="23"/>
          <w:szCs w:val="23"/>
        </w:rPr>
        <w:t>Ostiguy</w:t>
      </w:r>
      <w:proofErr w:type="spellEnd"/>
      <w:r>
        <w:rPr>
          <w:rFonts w:ascii="Times New Roman" w:hAnsi="Times New Roman" w:cs="Times New Roman"/>
          <w:sz w:val="23"/>
          <w:szCs w:val="23"/>
        </w:rPr>
        <w:t xml:space="preserve"> Recovery High School. We were pleased to see, in MassHealth' s waiver proposal, the request to bring Recovery Coaches under MassHealth covered services.</w:t>
      </w: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spacing w:before="5"/>
        <w:rPr>
          <w:rFonts w:ascii="Times New Roman" w:hAnsi="Times New Roman" w:cs="Times New Roman"/>
          <w:sz w:val="28"/>
          <w:szCs w:val="28"/>
        </w:rPr>
      </w:pPr>
    </w:p>
    <w:p w:rsidR="002C5025" w:rsidRDefault="002C5025">
      <w:pPr>
        <w:pStyle w:val="BodyText"/>
        <w:kinsoku w:val="0"/>
        <w:overflowPunct w:val="0"/>
        <w:spacing w:line="288" w:lineRule="auto"/>
        <w:ind w:left="103" w:right="328" w:firstLine="7"/>
        <w:jc w:val="both"/>
        <w:rPr>
          <w:rFonts w:ascii="Times New Roman" w:hAnsi="Times New Roman" w:cs="Times New Roman"/>
          <w:sz w:val="23"/>
          <w:szCs w:val="23"/>
        </w:rPr>
      </w:pPr>
      <w:r>
        <w:rPr>
          <w:rFonts w:ascii="Times New Roman" w:hAnsi="Times New Roman" w:cs="Times New Roman"/>
          <w:sz w:val="23"/>
          <w:szCs w:val="23"/>
        </w:rPr>
        <w:t>In conclusion, we wish to thank you again for including social services in your development of MassHealth's health care and payment delivery systems redesign. ABCD is pleased to have had the opportunity to be involved in this process over the past year. We hope that, as these    system</w:t>
      </w:r>
    </w:p>
    <w:p w:rsidR="002C5025" w:rsidRDefault="002C5025">
      <w:pPr>
        <w:pStyle w:val="BodyText"/>
        <w:kinsoku w:val="0"/>
        <w:overflowPunct w:val="0"/>
        <w:spacing w:before="10"/>
        <w:rPr>
          <w:rFonts w:ascii="Times New Roman" w:hAnsi="Times New Roman" w:cs="Times New Roman"/>
          <w:sz w:val="27"/>
          <w:szCs w:val="27"/>
        </w:rPr>
      </w:pPr>
    </w:p>
    <w:p w:rsidR="002C5025" w:rsidRDefault="002C5025">
      <w:pPr>
        <w:pStyle w:val="BodyText"/>
        <w:kinsoku w:val="0"/>
        <w:overflowPunct w:val="0"/>
        <w:ind w:left="110" w:right="225"/>
        <w:rPr>
          <w:rFonts w:ascii="Arial" w:hAnsi="Arial" w:cs="Arial"/>
          <w:w w:val="105"/>
          <w:sz w:val="19"/>
          <w:szCs w:val="19"/>
        </w:rPr>
      </w:pPr>
      <w:r>
        <w:rPr>
          <w:rFonts w:ascii="Arial" w:hAnsi="Arial" w:cs="Arial"/>
          <w:w w:val="105"/>
          <w:sz w:val="19"/>
          <w:szCs w:val="19"/>
        </w:rPr>
        <w:t xml:space="preserve">3 </w:t>
      </w:r>
      <w:r>
        <w:rPr>
          <w:rFonts w:ascii="Arial" w:hAnsi="Arial" w:cs="Arial"/>
          <w:w w:val="120"/>
          <w:sz w:val="19"/>
          <w:szCs w:val="19"/>
        </w:rPr>
        <w:t xml:space="preserve">I </w:t>
      </w:r>
      <w:r>
        <w:rPr>
          <w:rFonts w:ascii="Arial" w:hAnsi="Arial" w:cs="Arial"/>
          <w:w w:val="105"/>
          <w:sz w:val="19"/>
          <w:szCs w:val="19"/>
        </w:rPr>
        <w:t>P a g e</w:t>
      </w:r>
    </w:p>
    <w:p w:rsidR="002C5025" w:rsidRDefault="002C5025">
      <w:pPr>
        <w:pStyle w:val="BodyText"/>
        <w:kinsoku w:val="0"/>
        <w:overflowPunct w:val="0"/>
        <w:ind w:left="110" w:right="225"/>
        <w:rPr>
          <w:rFonts w:ascii="Arial" w:hAnsi="Arial" w:cs="Arial"/>
          <w:w w:val="105"/>
          <w:sz w:val="19"/>
          <w:szCs w:val="19"/>
        </w:rPr>
        <w:sectPr w:rsidR="002C5025">
          <w:pgSz w:w="12240" w:h="15840"/>
          <w:pgMar w:top="1500" w:right="1580" w:bottom="280" w:left="1200" w:header="720" w:footer="720" w:gutter="0"/>
          <w:cols w:space="720" w:equalWidth="0">
            <w:col w:w="9460"/>
          </w:cols>
          <w:noEndnote/>
        </w:sectPr>
      </w:pPr>
    </w:p>
    <w:p w:rsidR="002C5025" w:rsidRDefault="002C5025">
      <w:pPr>
        <w:pStyle w:val="BodyText"/>
        <w:kinsoku w:val="0"/>
        <w:overflowPunct w:val="0"/>
        <w:spacing w:before="63"/>
        <w:ind w:left="164" w:right="97"/>
        <w:rPr>
          <w:rFonts w:ascii="Arial" w:hAnsi="Arial" w:cs="Arial"/>
          <w:b/>
          <w:bCs/>
          <w:w w:val="95"/>
          <w:sz w:val="24"/>
          <w:szCs w:val="24"/>
        </w:rPr>
      </w:pPr>
      <w:r>
        <w:rPr>
          <w:rFonts w:ascii="Arial" w:hAnsi="Arial" w:cs="Arial"/>
          <w:b/>
          <w:bCs/>
          <w:w w:val="95"/>
          <w:sz w:val="24"/>
          <w:szCs w:val="24"/>
        </w:rPr>
        <w:lastRenderedPageBreak/>
        <w:t xml:space="preserve">CONCEPT FOR A </w:t>
      </w:r>
      <w:r>
        <w:rPr>
          <w:rFonts w:ascii="Arial" w:hAnsi="Arial" w:cs="Arial"/>
          <w:b/>
          <w:bCs/>
          <w:w w:val="95"/>
          <w:sz w:val="24"/>
          <w:szCs w:val="24"/>
          <w:u w:val="thick"/>
        </w:rPr>
        <w:t>SOCIAL DETERMINANTS OF HEALTH SERVICE HUB</w:t>
      </w:r>
    </w:p>
    <w:p w:rsidR="002C5025" w:rsidRDefault="002C5025">
      <w:pPr>
        <w:pStyle w:val="BodyText"/>
        <w:kinsoku w:val="0"/>
        <w:overflowPunct w:val="0"/>
        <w:spacing w:before="91"/>
        <w:ind w:left="154" w:right="97"/>
        <w:rPr>
          <w:rFonts w:ascii="Times New Roman" w:hAnsi="Times New Roman" w:cs="Times New Roman"/>
          <w:b/>
          <w:bCs/>
          <w:i/>
          <w:iCs/>
          <w:w w:val="105"/>
        </w:rPr>
      </w:pPr>
      <w:r>
        <w:rPr>
          <w:rFonts w:ascii="Times New Roman" w:hAnsi="Times New Roman" w:cs="Times New Roman"/>
          <w:b/>
          <w:bCs/>
          <w:i/>
          <w:iCs/>
          <w:w w:val="105"/>
        </w:rPr>
        <w:t>as a Key Element of</w:t>
      </w:r>
    </w:p>
    <w:p w:rsidR="002C5025" w:rsidRDefault="002C5025">
      <w:pPr>
        <w:pStyle w:val="BodyText"/>
        <w:kinsoku w:val="0"/>
        <w:overflowPunct w:val="0"/>
        <w:spacing w:before="113"/>
        <w:ind w:left="164" w:right="97"/>
        <w:rPr>
          <w:rFonts w:ascii="Arial" w:hAnsi="Arial" w:cs="Arial"/>
          <w:b/>
          <w:bCs/>
          <w:sz w:val="23"/>
          <w:szCs w:val="23"/>
        </w:rPr>
      </w:pPr>
      <w:r>
        <w:rPr>
          <w:rFonts w:ascii="Arial" w:hAnsi="Arial" w:cs="Arial"/>
          <w:b/>
          <w:bCs/>
          <w:sz w:val="23"/>
          <w:szCs w:val="23"/>
        </w:rPr>
        <w:t>MassHealth  Delivery System Restructuring</w:t>
      </w:r>
    </w:p>
    <w:p w:rsidR="002C5025" w:rsidRDefault="002C5025">
      <w:pPr>
        <w:pStyle w:val="BodyText"/>
        <w:kinsoku w:val="0"/>
        <w:overflowPunct w:val="0"/>
        <w:rPr>
          <w:rFonts w:ascii="Arial" w:hAnsi="Arial" w:cs="Arial"/>
          <w:b/>
          <w:bCs/>
        </w:rPr>
      </w:pPr>
    </w:p>
    <w:p w:rsidR="002C5025" w:rsidRDefault="00FB027C">
      <w:pPr>
        <w:pStyle w:val="BodyText"/>
        <w:kinsoku w:val="0"/>
        <w:overflowPunct w:val="0"/>
        <w:spacing w:before="189"/>
        <w:ind w:left="135" w:right="97"/>
        <w:rPr>
          <w:rFonts w:ascii="Times New Roman" w:hAnsi="Times New Roman" w:cs="Times New Roman"/>
          <w:b/>
          <w:bCs/>
          <w:i/>
          <w:iCs/>
        </w:rPr>
      </w:pPr>
      <w:r>
        <w:rPr>
          <w:noProof/>
        </w:rPr>
        <mc:AlternateContent>
          <mc:Choice Requires="wps">
            <w:drawing>
              <wp:anchor distT="0" distB="0" distL="0" distR="0" simplePos="0" relativeHeight="251468288" behindDoc="0" locked="0" layoutInCell="0" allowOverlap="1">
                <wp:simplePos x="0" y="0"/>
                <wp:positionH relativeFrom="page">
                  <wp:posOffset>868680</wp:posOffset>
                </wp:positionH>
                <wp:positionV relativeFrom="paragraph">
                  <wp:posOffset>356235</wp:posOffset>
                </wp:positionV>
                <wp:extent cx="5486400" cy="12700"/>
                <wp:effectExtent l="0" t="0" r="0" b="0"/>
                <wp:wrapTopAndBottom/>
                <wp:docPr id="984" name="Free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86400" cy="12700"/>
                        </a:xfrm>
                        <a:custGeom>
                          <a:avLst/>
                          <a:gdLst>
                            <a:gd name="T0" fmla="*/ 0 w 8640"/>
                            <a:gd name="T1" fmla="*/ 0 h 20"/>
                            <a:gd name="T2" fmla="*/ 8640 w 8640"/>
                            <a:gd name="T3" fmla="*/ 0 h 20"/>
                          </a:gdLst>
                          <a:ahLst/>
                          <a:cxnLst>
                            <a:cxn ang="0">
                              <a:pos x="T0" y="T1"/>
                            </a:cxn>
                            <a:cxn ang="0">
                              <a:pos x="T2" y="T3"/>
                            </a:cxn>
                          </a:cxnLst>
                          <a:rect l="0" t="0" r="r" b="b"/>
                          <a:pathLst>
                            <a:path w="8640" h="20">
                              <a:moveTo>
                                <a:pt x="0" y="0"/>
                              </a:moveTo>
                              <a:lnTo>
                                <a:pt x="8640"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1" o:spid="_x0000_s1026" style="position:absolute;z-index:251468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68.4pt,28.05pt,500.4pt,28.05pt" coordsize="864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" o:allowincell="f" filled="f" strokeweight="1.44pt">
                <v:path arrowok="t" o:connecttype="custom" o:connectlocs="0,0;5486400,0" o:connectangles="0,0"/>
                <w10:wrap type="topAndBottom" anchorx="page"/>
              </v:polyline>
            </w:pict>
          </mc:Fallback>
        </mc:AlternateContent>
      </w:r>
      <w:r w:rsidR="002C5025">
        <w:rPr>
          <w:rFonts w:ascii="Times New Roman" w:hAnsi="Times New Roman" w:cs="Times New Roman"/>
          <w:b/>
          <w:bCs/>
          <w:i/>
          <w:iCs/>
        </w:rPr>
        <w:t>July  15, 2016</w:t>
      </w:r>
    </w:p>
    <w:p w:rsidR="002C5025" w:rsidRDefault="002C5025">
      <w:pPr>
        <w:pStyle w:val="BodyText"/>
        <w:kinsoku w:val="0"/>
        <w:overflowPunct w:val="0"/>
        <w:rPr>
          <w:rFonts w:ascii="Times New Roman" w:hAnsi="Times New Roman" w:cs="Times New Roman"/>
          <w:b/>
          <w:bCs/>
          <w:i/>
          <w:iCs/>
        </w:rPr>
      </w:pPr>
    </w:p>
    <w:p w:rsidR="002C5025" w:rsidRDefault="002C5025">
      <w:pPr>
        <w:pStyle w:val="BodyText"/>
        <w:kinsoku w:val="0"/>
        <w:overflowPunct w:val="0"/>
        <w:rPr>
          <w:rFonts w:ascii="Times New Roman" w:hAnsi="Times New Roman" w:cs="Times New Roman"/>
          <w:b/>
          <w:bCs/>
          <w:i/>
          <w:iCs/>
        </w:rPr>
      </w:pPr>
    </w:p>
    <w:p w:rsidR="002C5025" w:rsidRDefault="002C5025">
      <w:pPr>
        <w:pStyle w:val="BodyText"/>
        <w:kinsoku w:val="0"/>
        <w:overflowPunct w:val="0"/>
        <w:spacing w:before="136" w:line="292" w:lineRule="auto"/>
        <w:ind w:left="135" w:right="97" w:firstLine="7"/>
        <w:rPr>
          <w:rFonts w:ascii="Times New Roman" w:hAnsi="Times New Roman" w:cs="Times New Roman"/>
          <w:sz w:val="21"/>
          <w:szCs w:val="21"/>
        </w:rPr>
      </w:pPr>
      <w:r>
        <w:rPr>
          <w:rFonts w:ascii="Times New Roman" w:hAnsi="Times New Roman" w:cs="Times New Roman"/>
          <w:sz w:val="21"/>
          <w:szCs w:val="21"/>
        </w:rPr>
        <w:t>This concept paper is presented to the Massachusetts Executive Office of Health and Human Services (EOHHS) in response to the circulation of a request to amend and extend the MassHealth Section 1115 Demonstration  to the Centers for Medicare and Medicaid  Services.</w:t>
      </w:r>
    </w:p>
    <w:p w:rsidR="002C5025" w:rsidRDefault="002C5025">
      <w:pPr>
        <w:pStyle w:val="BodyText"/>
        <w:kinsoku w:val="0"/>
        <w:overflowPunct w:val="0"/>
        <w:spacing w:before="5"/>
        <w:rPr>
          <w:rFonts w:ascii="Times New Roman" w:hAnsi="Times New Roman" w:cs="Times New Roman"/>
          <w:sz w:val="25"/>
          <w:szCs w:val="25"/>
        </w:rPr>
      </w:pPr>
    </w:p>
    <w:p w:rsidR="002C5025" w:rsidRDefault="002C5025">
      <w:pPr>
        <w:pStyle w:val="BodyText"/>
        <w:kinsoku w:val="0"/>
        <w:overflowPunct w:val="0"/>
        <w:ind w:left="135" w:right="97"/>
        <w:rPr>
          <w:rFonts w:ascii="Times New Roman" w:hAnsi="Times New Roman" w:cs="Times New Roman"/>
          <w:w w:val="105"/>
          <w:sz w:val="21"/>
          <w:szCs w:val="21"/>
        </w:rPr>
      </w:pPr>
      <w:r>
        <w:rPr>
          <w:rFonts w:ascii="Arial" w:hAnsi="Arial" w:cs="Arial"/>
          <w:w w:val="105"/>
          <w:sz w:val="20"/>
          <w:szCs w:val="20"/>
        </w:rPr>
        <w:t xml:space="preserve">It </w:t>
      </w:r>
      <w:r>
        <w:rPr>
          <w:rFonts w:ascii="Times New Roman" w:hAnsi="Times New Roman" w:cs="Times New Roman"/>
          <w:w w:val="105"/>
          <w:sz w:val="21"/>
          <w:szCs w:val="21"/>
        </w:rPr>
        <w:t>has been developed by a consortium of nonprofit human services agencies, including the following.</w:t>
      </w:r>
    </w:p>
    <w:p w:rsidR="002C5025" w:rsidRDefault="002C5025">
      <w:pPr>
        <w:pStyle w:val="BodyText"/>
        <w:kinsoku w:val="0"/>
        <w:overflowPunct w:val="0"/>
        <w:spacing w:before="8"/>
        <w:rPr>
          <w:rFonts w:ascii="Times New Roman" w:hAnsi="Times New Roman" w:cs="Times New Roman"/>
          <w:sz w:val="29"/>
          <w:szCs w:val="29"/>
        </w:rPr>
      </w:pPr>
    </w:p>
    <w:p w:rsidR="002C5025" w:rsidRDefault="002C5025">
      <w:pPr>
        <w:pStyle w:val="BodyText"/>
        <w:kinsoku w:val="0"/>
        <w:overflowPunct w:val="0"/>
        <w:spacing w:line="285" w:lineRule="auto"/>
        <w:ind w:left="867" w:right="4215" w:hanging="22"/>
        <w:rPr>
          <w:rFonts w:ascii="Times New Roman" w:hAnsi="Times New Roman" w:cs="Times New Roman"/>
          <w:sz w:val="21"/>
          <w:szCs w:val="21"/>
        </w:rPr>
      </w:pPr>
      <w:r>
        <w:rPr>
          <w:rFonts w:ascii="Times New Roman" w:hAnsi="Times New Roman" w:cs="Times New Roman"/>
          <w:sz w:val="21"/>
          <w:szCs w:val="21"/>
        </w:rPr>
        <w:t xml:space="preserve">Action for Boston Community Development, </w:t>
      </w:r>
      <w:proofErr w:type="spellStart"/>
      <w:r>
        <w:rPr>
          <w:rFonts w:ascii="Times New Roman" w:hAnsi="Times New Roman" w:cs="Times New Roman"/>
          <w:sz w:val="21"/>
          <w:szCs w:val="21"/>
        </w:rPr>
        <w:t>lnc</w:t>
      </w:r>
      <w:proofErr w:type="spellEnd"/>
      <w:r>
        <w:rPr>
          <w:rFonts w:ascii="Times New Roman" w:hAnsi="Times New Roman" w:cs="Times New Roman"/>
          <w:sz w:val="21"/>
          <w:szCs w:val="21"/>
        </w:rPr>
        <w:t>. 178 Tremont Street</w:t>
      </w:r>
    </w:p>
    <w:p w:rsidR="002C5025" w:rsidRDefault="002C5025">
      <w:pPr>
        <w:pStyle w:val="BodyText"/>
        <w:kinsoku w:val="0"/>
        <w:overflowPunct w:val="0"/>
        <w:spacing w:before="4"/>
        <w:ind w:left="848" w:right="97"/>
        <w:rPr>
          <w:rFonts w:ascii="Times New Roman" w:hAnsi="Times New Roman" w:cs="Times New Roman"/>
          <w:sz w:val="21"/>
          <w:szCs w:val="21"/>
        </w:rPr>
      </w:pPr>
      <w:r>
        <w:rPr>
          <w:rFonts w:ascii="Times New Roman" w:hAnsi="Times New Roman" w:cs="Times New Roman"/>
          <w:sz w:val="21"/>
          <w:szCs w:val="21"/>
        </w:rPr>
        <w:t>Boston, MA 02111</w:t>
      </w:r>
    </w:p>
    <w:p w:rsidR="002C5025" w:rsidRDefault="002C5025">
      <w:pPr>
        <w:pStyle w:val="BodyText"/>
        <w:kinsoku w:val="0"/>
        <w:overflowPunct w:val="0"/>
        <w:spacing w:before="5"/>
        <w:rPr>
          <w:rFonts w:ascii="Times New Roman" w:hAnsi="Times New Roman" w:cs="Times New Roman"/>
          <w:sz w:val="29"/>
          <w:szCs w:val="29"/>
        </w:rPr>
      </w:pPr>
    </w:p>
    <w:p w:rsidR="002C5025" w:rsidRDefault="002C5025">
      <w:pPr>
        <w:pStyle w:val="BodyText"/>
        <w:kinsoku w:val="0"/>
        <w:overflowPunct w:val="0"/>
        <w:spacing w:line="292" w:lineRule="auto"/>
        <w:ind w:left="867" w:right="5318" w:hanging="22"/>
        <w:rPr>
          <w:rFonts w:ascii="Times New Roman" w:hAnsi="Times New Roman" w:cs="Times New Roman"/>
          <w:sz w:val="21"/>
          <w:szCs w:val="21"/>
        </w:rPr>
      </w:pPr>
      <w:r>
        <w:rPr>
          <w:rFonts w:ascii="Times New Roman" w:hAnsi="Times New Roman" w:cs="Times New Roman"/>
          <w:sz w:val="21"/>
          <w:szCs w:val="21"/>
        </w:rPr>
        <w:t>Alliance of Massachusetts YMCAs 14 Beacon  Street, Suite 803</w:t>
      </w:r>
    </w:p>
    <w:p w:rsidR="002C5025" w:rsidRDefault="002C5025">
      <w:pPr>
        <w:pStyle w:val="BodyText"/>
        <w:kinsoku w:val="0"/>
        <w:overflowPunct w:val="0"/>
        <w:spacing w:before="2"/>
        <w:ind w:left="847" w:right="97"/>
        <w:rPr>
          <w:rFonts w:ascii="Times New Roman" w:hAnsi="Times New Roman" w:cs="Times New Roman"/>
          <w:sz w:val="21"/>
          <w:szCs w:val="21"/>
        </w:rPr>
      </w:pPr>
      <w:r>
        <w:rPr>
          <w:rFonts w:ascii="Times New Roman" w:hAnsi="Times New Roman" w:cs="Times New Roman"/>
          <w:sz w:val="21"/>
          <w:szCs w:val="21"/>
        </w:rPr>
        <w:t>Boston,  MA 02108</w:t>
      </w:r>
    </w:p>
    <w:p w:rsidR="002C5025" w:rsidRDefault="002C5025">
      <w:pPr>
        <w:pStyle w:val="BodyText"/>
        <w:kinsoku w:val="0"/>
        <w:overflowPunct w:val="0"/>
        <w:rPr>
          <w:rFonts w:ascii="Times New Roman" w:hAnsi="Times New Roman" w:cs="Times New Roman"/>
          <w:sz w:val="29"/>
          <w:szCs w:val="29"/>
        </w:rPr>
      </w:pPr>
    </w:p>
    <w:p w:rsidR="002C5025" w:rsidRDefault="002C5025">
      <w:pPr>
        <w:pStyle w:val="BodyText"/>
        <w:kinsoku w:val="0"/>
        <w:overflowPunct w:val="0"/>
        <w:spacing w:before="1" w:line="292" w:lineRule="auto"/>
        <w:ind w:left="848" w:right="5318" w:hanging="10"/>
        <w:rPr>
          <w:rFonts w:ascii="Times New Roman" w:hAnsi="Times New Roman" w:cs="Times New Roman"/>
          <w:sz w:val="21"/>
          <w:szCs w:val="21"/>
        </w:rPr>
      </w:pPr>
      <w:r>
        <w:rPr>
          <w:rFonts w:ascii="Times New Roman" w:hAnsi="Times New Roman" w:cs="Times New Roman"/>
          <w:sz w:val="21"/>
          <w:szCs w:val="21"/>
        </w:rPr>
        <w:t>Medical Legal Partnership/ Boston 75 Arlington  Street, Suite 500</w:t>
      </w:r>
    </w:p>
    <w:p w:rsidR="002C5025" w:rsidRDefault="002C5025">
      <w:pPr>
        <w:pStyle w:val="BodyText"/>
        <w:kinsoku w:val="0"/>
        <w:overflowPunct w:val="0"/>
        <w:spacing w:before="2"/>
        <w:ind w:left="838" w:right="97"/>
        <w:rPr>
          <w:rFonts w:ascii="Times New Roman" w:hAnsi="Times New Roman" w:cs="Times New Roman"/>
          <w:sz w:val="21"/>
          <w:szCs w:val="21"/>
        </w:rPr>
      </w:pPr>
      <w:r>
        <w:rPr>
          <w:rFonts w:ascii="Times New Roman" w:hAnsi="Times New Roman" w:cs="Times New Roman"/>
          <w:sz w:val="21"/>
          <w:szCs w:val="21"/>
        </w:rPr>
        <w:t>Boston,  MA 02116</w:t>
      </w:r>
    </w:p>
    <w:p w:rsidR="002C5025" w:rsidRDefault="002C5025">
      <w:pPr>
        <w:pStyle w:val="BodyText"/>
        <w:kinsoku w:val="0"/>
        <w:overflowPunct w:val="0"/>
        <w:spacing w:before="3"/>
        <w:rPr>
          <w:rFonts w:ascii="Times New Roman" w:hAnsi="Times New Roman" w:cs="Times New Roman"/>
          <w:sz w:val="29"/>
          <w:szCs w:val="29"/>
        </w:rPr>
      </w:pPr>
    </w:p>
    <w:p w:rsidR="002C5025" w:rsidRDefault="002C5025">
      <w:pPr>
        <w:pStyle w:val="BodyText"/>
        <w:kinsoku w:val="0"/>
        <w:overflowPunct w:val="0"/>
        <w:spacing w:line="285" w:lineRule="auto"/>
        <w:ind w:left="855" w:right="4215" w:hanging="17"/>
        <w:rPr>
          <w:rFonts w:ascii="Times New Roman" w:hAnsi="Times New Roman" w:cs="Times New Roman"/>
          <w:sz w:val="21"/>
          <w:szCs w:val="21"/>
        </w:rPr>
      </w:pPr>
      <w:r>
        <w:rPr>
          <w:rFonts w:ascii="Times New Roman" w:hAnsi="Times New Roman" w:cs="Times New Roman"/>
          <w:sz w:val="21"/>
          <w:szCs w:val="21"/>
        </w:rPr>
        <w:t xml:space="preserve">Metropolitan Boston Housing Partnership, </w:t>
      </w:r>
      <w:proofErr w:type="spellStart"/>
      <w:r>
        <w:rPr>
          <w:rFonts w:ascii="Times New Roman" w:hAnsi="Times New Roman" w:cs="Times New Roman"/>
          <w:sz w:val="21"/>
          <w:szCs w:val="21"/>
        </w:rPr>
        <w:t>lnc</w:t>
      </w:r>
      <w:proofErr w:type="spellEnd"/>
      <w:r>
        <w:rPr>
          <w:rFonts w:ascii="Times New Roman" w:hAnsi="Times New Roman" w:cs="Times New Roman"/>
          <w:sz w:val="21"/>
          <w:szCs w:val="21"/>
        </w:rPr>
        <w:t>. 125 Lincoln Street, 5th Floor</w:t>
      </w:r>
    </w:p>
    <w:p w:rsidR="002C5025" w:rsidRDefault="002C5025">
      <w:pPr>
        <w:pStyle w:val="BodyText"/>
        <w:kinsoku w:val="0"/>
        <w:overflowPunct w:val="0"/>
        <w:spacing w:before="9"/>
        <w:ind w:left="831" w:right="97"/>
        <w:rPr>
          <w:rFonts w:ascii="Times New Roman" w:hAnsi="Times New Roman" w:cs="Times New Roman"/>
          <w:sz w:val="21"/>
          <w:szCs w:val="21"/>
        </w:rPr>
      </w:pPr>
      <w:r>
        <w:rPr>
          <w:rFonts w:ascii="Times New Roman" w:hAnsi="Times New Roman" w:cs="Times New Roman"/>
          <w:sz w:val="21"/>
          <w:szCs w:val="21"/>
        </w:rPr>
        <w:t>Boston, MA 02111</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121" w:line="283" w:lineRule="auto"/>
        <w:ind w:left="855" w:right="3920" w:hanging="25"/>
        <w:rPr>
          <w:rFonts w:ascii="Times New Roman" w:hAnsi="Times New Roman" w:cs="Times New Roman"/>
          <w:sz w:val="21"/>
          <w:szCs w:val="21"/>
        </w:rPr>
      </w:pPr>
      <w:r>
        <w:rPr>
          <w:rFonts w:ascii="Times New Roman" w:hAnsi="Times New Roman" w:cs="Times New Roman"/>
          <w:sz w:val="21"/>
          <w:szCs w:val="21"/>
        </w:rPr>
        <w:t xml:space="preserve">Massachusetts Association for Community Action 105 </w:t>
      </w:r>
      <w:proofErr w:type="spellStart"/>
      <w:r>
        <w:rPr>
          <w:rFonts w:ascii="Times New Roman" w:hAnsi="Times New Roman" w:cs="Times New Roman"/>
          <w:sz w:val="21"/>
          <w:szCs w:val="21"/>
        </w:rPr>
        <w:t>Chauncy</w:t>
      </w:r>
      <w:proofErr w:type="spellEnd"/>
      <w:r>
        <w:rPr>
          <w:rFonts w:ascii="Times New Roman" w:hAnsi="Times New Roman" w:cs="Times New Roman"/>
          <w:sz w:val="21"/>
          <w:szCs w:val="21"/>
        </w:rPr>
        <w:t xml:space="preserve"> Street, Suite 301</w:t>
      </w:r>
    </w:p>
    <w:p w:rsidR="002C5025" w:rsidRDefault="002C5025">
      <w:pPr>
        <w:pStyle w:val="BodyText"/>
        <w:kinsoku w:val="0"/>
        <w:overflowPunct w:val="0"/>
        <w:spacing w:before="14"/>
        <w:ind w:left="826" w:right="97"/>
        <w:rPr>
          <w:rFonts w:ascii="Times New Roman" w:hAnsi="Times New Roman" w:cs="Times New Roman"/>
          <w:w w:val="105"/>
          <w:sz w:val="21"/>
          <w:szCs w:val="21"/>
        </w:rPr>
      </w:pPr>
      <w:r>
        <w:rPr>
          <w:rFonts w:ascii="Times New Roman" w:hAnsi="Times New Roman" w:cs="Times New Roman"/>
          <w:w w:val="105"/>
          <w:sz w:val="21"/>
          <w:szCs w:val="21"/>
        </w:rPr>
        <w:t>Boston, MA 02111</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8"/>
        <w:rPr>
          <w:rFonts w:ascii="Times New Roman" w:hAnsi="Times New Roman" w:cs="Times New Roman"/>
          <w:sz w:val="15"/>
          <w:szCs w:val="15"/>
        </w:rPr>
      </w:pPr>
    </w:p>
    <w:p w:rsidR="002C5025" w:rsidRDefault="002C5025">
      <w:pPr>
        <w:pStyle w:val="BodyText"/>
        <w:kinsoku w:val="0"/>
        <w:overflowPunct w:val="0"/>
        <w:ind w:left="106" w:right="97"/>
        <w:rPr>
          <w:rFonts w:ascii="Times New Roman" w:hAnsi="Times New Roman" w:cs="Times New Roman"/>
          <w:sz w:val="21"/>
          <w:szCs w:val="21"/>
        </w:rPr>
      </w:pPr>
      <w:r>
        <w:rPr>
          <w:rFonts w:ascii="Times New Roman" w:hAnsi="Times New Roman" w:cs="Times New Roman"/>
          <w:w w:val="140"/>
          <w:sz w:val="21"/>
          <w:szCs w:val="21"/>
        </w:rPr>
        <w:t xml:space="preserve">l </w:t>
      </w:r>
      <w:proofErr w:type="spellStart"/>
      <w:r>
        <w:rPr>
          <w:rFonts w:ascii="Times New Roman" w:hAnsi="Times New Roman" w:cs="Times New Roman"/>
          <w:sz w:val="21"/>
          <w:szCs w:val="21"/>
        </w:rPr>
        <w:t>l</w:t>
      </w:r>
      <w:proofErr w:type="spellEnd"/>
      <w:r>
        <w:rPr>
          <w:rFonts w:ascii="Times New Roman" w:hAnsi="Times New Roman" w:cs="Times New Roman"/>
          <w:sz w:val="21"/>
          <w:szCs w:val="21"/>
        </w:rPr>
        <w:t xml:space="preserve">  P a g e</w:t>
      </w:r>
    </w:p>
    <w:p w:rsidR="002C5025" w:rsidRDefault="002C5025">
      <w:pPr>
        <w:pStyle w:val="BodyText"/>
        <w:kinsoku w:val="0"/>
        <w:overflowPunct w:val="0"/>
        <w:ind w:left="106" w:right="97"/>
        <w:rPr>
          <w:rFonts w:ascii="Times New Roman" w:hAnsi="Times New Roman" w:cs="Times New Roman"/>
          <w:sz w:val="21"/>
          <w:szCs w:val="21"/>
        </w:rPr>
        <w:sectPr w:rsidR="002C5025">
          <w:pgSz w:w="12240" w:h="15840"/>
          <w:pgMar w:top="1500" w:right="1720" w:bottom="280" w:left="1240" w:header="720" w:footer="720" w:gutter="0"/>
          <w:cols w:space="720" w:equalWidth="0">
            <w:col w:w="9280"/>
          </w:cols>
          <w:noEndnote/>
        </w:sectPr>
      </w:pPr>
    </w:p>
    <w:p w:rsidR="002C5025" w:rsidRDefault="002C5025">
      <w:pPr>
        <w:pStyle w:val="ListParagraph"/>
        <w:numPr>
          <w:ilvl w:val="0"/>
          <w:numId w:val="18"/>
        </w:numPr>
        <w:tabs>
          <w:tab w:val="left" w:pos="412"/>
        </w:tabs>
        <w:kinsoku w:val="0"/>
        <w:overflowPunct w:val="0"/>
        <w:spacing w:before="48"/>
        <w:rPr>
          <w:rFonts w:ascii="Arial" w:hAnsi="Arial" w:cs="Arial"/>
          <w:b/>
          <w:bCs/>
          <w:w w:val="90"/>
          <w:sz w:val="21"/>
          <w:szCs w:val="21"/>
        </w:rPr>
      </w:pPr>
      <w:bookmarkStart w:id="26" w:name="I._OVERVIEW_OF_CONCEPT"/>
      <w:bookmarkEnd w:id="26"/>
      <w:r>
        <w:rPr>
          <w:rFonts w:ascii="Arial" w:hAnsi="Arial" w:cs="Arial"/>
          <w:b/>
          <w:bCs/>
          <w:w w:val="90"/>
          <w:sz w:val="21"/>
          <w:szCs w:val="21"/>
        </w:rPr>
        <w:lastRenderedPageBreak/>
        <w:t>OVERVIEW OF</w:t>
      </w:r>
      <w:r>
        <w:rPr>
          <w:rFonts w:ascii="Arial" w:hAnsi="Arial" w:cs="Arial"/>
          <w:b/>
          <w:bCs/>
          <w:spacing w:val="7"/>
          <w:w w:val="90"/>
          <w:sz w:val="21"/>
          <w:szCs w:val="21"/>
        </w:rPr>
        <w:t xml:space="preserve"> </w:t>
      </w:r>
      <w:r>
        <w:rPr>
          <w:rFonts w:ascii="Arial" w:hAnsi="Arial" w:cs="Arial"/>
          <w:b/>
          <w:bCs/>
          <w:w w:val="90"/>
          <w:sz w:val="21"/>
          <w:szCs w:val="21"/>
        </w:rPr>
        <w:t>CONCEPT</w:t>
      </w:r>
    </w:p>
    <w:p w:rsidR="002C5025" w:rsidRDefault="002C5025">
      <w:pPr>
        <w:pStyle w:val="BodyText"/>
        <w:kinsoku w:val="0"/>
        <w:overflowPunct w:val="0"/>
        <w:rPr>
          <w:rFonts w:ascii="Arial" w:hAnsi="Arial" w:cs="Arial"/>
          <w:b/>
          <w:bCs/>
          <w:sz w:val="20"/>
          <w:szCs w:val="20"/>
        </w:rPr>
      </w:pPr>
    </w:p>
    <w:p w:rsidR="002C5025" w:rsidRDefault="002C5025">
      <w:pPr>
        <w:pStyle w:val="BodyText"/>
        <w:kinsoku w:val="0"/>
        <w:overflowPunct w:val="0"/>
        <w:spacing w:before="132" w:line="288" w:lineRule="auto"/>
        <w:ind w:left="210" w:right="327" w:firstLine="4"/>
        <w:rPr>
          <w:rFonts w:ascii="Times New Roman" w:hAnsi="Times New Roman" w:cs="Times New Roman"/>
          <w:sz w:val="21"/>
          <w:szCs w:val="21"/>
        </w:rPr>
      </w:pPr>
      <w:r>
        <w:rPr>
          <w:rFonts w:ascii="Times New Roman" w:hAnsi="Times New Roman" w:cs="Times New Roman"/>
          <w:sz w:val="21"/>
          <w:szCs w:val="21"/>
        </w:rPr>
        <w:t>To improve health outcomes while reducing costs for some of the Commonwealth's most vulnerable populations, the MassHealth Delivery System Restructuring project requires Accountable Care Organizations to work with Community Based Organizations to provide behavioral health and long-term support services, while also engaging social service  providers.</w:t>
      </w:r>
    </w:p>
    <w:p w:rsidR="002C5025" w:rsidRDefault="002C5025">
      <w:pPr>
        <w:pStyle w:val="BodyText"/>
        <w:kinsoku w:val="0"/>
        <w:overflowPunct w:val="0"/>
        <w:spacing w:before="5"/>
        <w:rPr>
          <w:rFonts w:ascii="Times New Roman" w:hAnsi="Times New Roman" w:cs="Times New Roman"/>
          <w:sz w:val="26"/>
          <w:szCs w:val="26"/>
        </w:rPr>
      </w:pPr>
    </w:p>
    <w:p w:rsidR="002C5025" w:rsidRDefault="002C5025">
      <w:pPr>
        <w:pStyle w:val="BodyText"/>
        <w:kinsoku w:val="0"/>
        <w:overflowPunct w:val="0"/>
        <w:spacing w:line="288" w:lineRule="auto"/>
        <w:ind w:left="193" w:right="327" w:firstLine="7"/>
        <w:rPr>
          <w:rFonts w:ascii="Times New Roman" w:hAnsi="Times New Roman" w:cs="Times New Roman"/>
          <w:sz w:val="21"/>
          <w:szCs w:val="21"/>
        </w:rPr>
      </w:pPr>
      <w:r>
        <w:rPr>
          <w:rFonts w:ascii="Times New Roman" w:hAnsi="Times New Roman" w:cs="Times New Roman"/>
          <w:sz w:val="21"/>
          <w:szCs w:val="21"/>
        </w:rPr>
        <w:t xml:space="preserve">The effectiveness of this effort will depend on creation of systems which break down traditional silos between clinical and community services. To meet this challenge in the most impactful and cost-efficient way, we propose that the model of a </w:t>
      </w:r>
      <w:r>
        <w:rPr>
          <w:rFonts w:ascii="Times New Roman" w:hAnsi="Times New Roman" w:cs="Times New Roman"/>
          <w:b/>
          <w:bCs/>
          <w:sz w:val="21"/>
          <w:szCs w:val="21"/>
        </w:rPr>
        <w:t xml:space="preserve">unified </w:t>
      </w:r>
      <w:r>
        <w:rPr>
          <w:rFonts w:ascii="Times New Roman" w:hAnsi="Times New Roman" w:cs="Times New Roman"/>
          <w:sz w:val="21"/>
          <w:szCs w:val="21"/>
        </w:rPr>
        <w:t xml:space="preserve">service </w:t>
      </w:r>
      <w:r>
        <w:rPr>
          <w:rFonts w:ascii="Times New Roman" w:hAnsi="Times New Roman" w:cs="Times New Roman"/>
          <w:b/>
          <w:bCs/>
          <w:sz w:val="21"/>
          <w:szCs w:val="21"/>
        </w:rPr>
        <w:t xml:space="preserve">hub </w:t>
      </w:r>
      <w:r>
        <w:rPr>
          <w:rFonts w:ascii="Times New Roman" w:hAnsi="Times New Roman" w:cs="Times New Roman"/>
          <w:sz w:val="21"/>
          <w:szCs w:val="21"/>
        </w:rPr>
        <w:t>be adopted by Massachusetts as the preferred delivery mechanism for social servic</w:t>
      </w:r>
      <w:r w:rsidR="005632B1">
        <w:rPr>
          <w:rFonts w:ascii="Times New Roman" w:hAnsi="Times New Roman" w:cs="Times New Roman"/>
          <w:sz w:val="21"/>
          <w:szCs w:val="21"/>
        </w:rPr>
        <w:t xml:space="preserve">es. Such a Social Determinants </w:t>
      </w:r>
      <w:r>
        <w:rPr>
          <w:rFonts w:ascii="Times New Roman" w:hAnsi="Times New Roman" w:cs="Times New Roman"/>
          <w:sz w:val="21"/>
          <w:szCs w:val="21"/>
        </w:rPr>
        <w:t xml:space="preserve">of Health Hub (SDOH Hub) can offer  </w:t>
      </w:r>
      <w:r>
        <w:rPr>
          <w:rFonts w:ascii="Times New Roman" w:hAnsi="Times New Roman" w:cs="Times New Roman"/>
          <w:b/>
          <w:bCs/>
          <w:sz w:val="21"/>
          <w:szCs w:val="21"/>
        </w:rPr>
        <w:t xml:space="preserve">a single point of coordinated  </w:t>
      </w:r>
      <w:r>
        <w:rPr>
          <w:rFonts w:ascii="Times New Roman" w:hAnsi="Times New Roman" w:cs="Times New Roman"/>
          <w:sz w:val="21"/>
          <w:szCs w:val="21"/>
        </w:rPr>
        <w:t>access to a wide range  of social services which have documented  impact   on health outcomes, on use of medical services by High Utilizer (HU) and other MassHealth populations,  and on reducing the costs of care. We believe that there are three key areas of advantage in adoption of an SDOH Hub</w:t>
      </w:r>
      <w:r>
        <w:rPr>
          <w:rFonts w:ascii="Times New Roman" w:hAnsi="Times New Roman" w:cs="Times New Roman"/>
          <w:spacing w:val="22"/>
          <w:sz w:val="21"/>
          <w:szCs w:val="21"/>
        </w:rPr>
        <w:t xml:space="preserve"> </w:t>
      </w:r>
      <w:r>
        <w:rPr>
          <w:rFonts w:ascii="Times New Roman" w:hAnsi="Times New Roman" w:cs="Times New Roman"/>
          <w:sz w:val="21"/>
          <w:szCs w:val="21"/>
        </w:rPr>
        <w:t>model.</w:t>
      </w:r>
    </w:p>
    <w:p w:rsidR="002C5025" w:rsidRDefault="002C5025">
      <w:pPr>
        <w:pStyle w:val="BodyText"/>
        <w:kinsoku w:val="0"/>
        <w:overflowPunct w:val="0"/>
        <w:spacing w:before="5"/>
        <w:rPr>
          <w:rFonts w:ascii="Times New Roman" w:hAnsi="Times New Roman" w:cs="Times New Roman"/>
          <w:sz w:val="26"/>
          <w:szCs w:val="26"/>
        </w:rPr>
      </w:pPr>
    </w:p>
    <w:p w:rsidR="002C5025" w:rsidRDefault="002C5025">
      <w:pPr>
        <w:pStyle w:val="BodyText"/>
        <w:kinsoku w:val="0"/>
        <w:overflowPunct w:val="0"/>
        <w:spacing w:before="1" w:line="288" w:lineRule="auto"/>
        <w:ind w:left="179" w:right="327" w:firstLine="14"/>
        <w:rPr>
          <w:rFonts w:ascii="Times New Roman" w:hAnsi="Times New Roman" w:cs="Times New Roman"/>
          <w:sz w:val="21"/>
          <w:szCs w:val="21"/>
        </w:rPr>
      </w:pPr>
      <w:r>
        <w:rPr>
          <w:rFonts w:ascii="Times New Roman" w:hAnsi="Times New Roman" w:cs="Times New Roman"/>
          <w:sz w:val="21"/>
          <w:szCs w:val="21"/>
          <w:u w:val="thick"/>
        </w:rPr>
        <w:t xml:space="preserve">Such a Hub model can offer clinicians and their patients the widest possible range of social services supports which have documented health impacts. </w:t>
      </w:r>
      <w:r>
        <w:rPr>
          <w:rFonts w:ascii="Times New Roman" w:hAnsi="Times New Roman" w:cs="Times New Roman"/>
          <w:sz w:val="21"/>
          <w:szCs w:val="21"/>
        </w:rPr>
        <w:t>A Hub structure is ideally suited to providing access to medically beneficial, evidence-based programs in each geographic region, without the need to construct new service networks. It can readily incorporate specialized organizations uniquely capable of work with underserved populations.</w:t>
      </w:r>
    </w:p>
    <w:p w:rsidR="002C5025" w:rsidRDefault="002C5025">
      <w:pPr>
        <w:pStyle w:val="BodyText"/>
        <w:kinsoku w:val="0"/>
        <w:overflowPunct w:val="0"/>
        <w:spacing w:before="10"/>
        <w:rPr>
          <w:rFonts w:ascii="Times New Roman" w:hAnsi="Times New Roman" w:cs="Times New Roman"/>
          <w:sz w:val="25"/>
          <w:szCs w:val="25"/>
        </w:rPr>
      </w:pPr>
    </w:p>
    <w:p w:rsidR="002C5025" w:rsidRDefault="002C5025">
      <w:pPr>
        <w:pStyle w:val="BodyText"/>
        <w:kinsoku w:val="0"/>
        <w:overflowPunct w:val="0"/>
        <w:spacing w:line="288" w:lineRule="auto"/>
        <w:ind w:left="167" w:right="488"/>
        <w:rPr>
          <w:rFonts w:ascii="Times New Roman" w:hAnsi="Times New Roman" w:cs="Times New Roman"/>
          <w:sz w:val="21"/>
          <w:szCs w:val="21"/>
        </w:rPr>
      </w:pPr>
      <w:r>
        <w:rPr>
          <w:rFonts w:ascii="Times New Roman" w:hAnsi="Times New Roman" w:cs="Times New Roman"/>
          <w:sz w:val="21"/>
          <w:szCs w:val="21"/>
        </w:rPr>
        <w:t xml:space="preserve">A Hub model creates significant efficiencies for ACOs. </w:t>
      </w:r>
      <w:r>
        <w:rPr>
          <w:rFonts w:ascii="Arial" w:hAnsi="Arial" w:cs="Arial"/>
          <w:sz w:val="20"/>
          <w:szCs w:val="20"/>
        </w:rPr>
        <w:t xml:space="preserve">It </w:t>
      </w:r>
      <w:r>
        <w:rPr>
          <w:rFonts w:ascii="Times New Roman" w:hAnsi="Times New Roman" w:cs="Times New Roman"/>
          <w:sz w:val="21"/>
          <w:szCs w:val="21"/>
        </w:rPr>
        <w:t xml:space="preserve">eliminates the complexity of contracting with multiple partners. It can offer integration with the ACO and its agents through the Care Coordination Team, and deliver patient services including needs assessment, eligibility review, information and  referral, navigation and follow-up services in a coordinated and cost-effective way. A Hub is capable of working with multiple ACOs to bridge medical and social service systems-leveraging the full range of existing high-quality  community services through a single </w:t>
      </w:r>
      <w:r>
        <w:rPr>
          <w:rFonts w:ascii="Times New Roman" w:hAnsi="Times New Roman" w:cs="Times New Roman"/>
          <w:spacing w:val="16"/>
          <w:sz w:val="21"/>
          <w:szCs w:val="21"/>
        </w:rPr>
        <w:t xml:space="preserve"> </w:t>
      </w:r>
      <w:r>
        <w:rPr>
          <w:rFonts w:ascii="Times New Roman" w:hAnsi="Times New Roman" w:cs="Times New Roman"/>
          <w:sz w:val="21"/>
          <w:szCs w:val="21"/>
        </w:rPr>
        <w:t>source.</w:t>
      </w:r>
    </w:p>
    <w:p w:rsidR="002C5025" w:rsidRDefault="002C5025">
      <w:pPr>
        <w:pStyle w:val="BodyText"/>
        <w:kinsoku w:val="0"/>
        <w:overflowPunct w:val="0"/>
        <w:spacing w:before="3"/>
        <w:rPr>
          <w:rFonts w:ascii="Times New Roman" w:hAnsi="Times New Roman" w:cs="Times New Roman"/>
          <w:sz w:val="26"/>
          <w:szCs w:val="26"/>
        </w:rPr>
      </w:pPr>
    </w:p>
    <w:p w:rsidR="002C5025" w:rsidRDefault="002C5025">
      <w:pPr>
        <w:pStyle w:val="BodyText"/>
        <w:kinsoku w:val="0"/>
        <w:overflowPunct w:val="0"/>
        <w:spacing w:line="290" w:lineRule="auto"/>
        <w:ind w:left="150" w:right="488" w:firstLine="14"/>
        <w:rPr>
          <w:rFonts w:ascii="Times New Roman" w:hAnsi="Times New Roman" w:cs="Times New Roman"/>
          <w:sz w:val="21"/>
          <w:szCs w:val="21"/>
        </w:rPr>
      </w:pPr>
      <w:r>
        <w:rPr>
          <w:rFonts w:ascii="Times New Roman" w:hAnsi="Times New Roman" w:cs="Times New Roman"/>
          <w:sz w:val="21"/>
          <w:szCs w:val="21"/>
          <w:u w:val="single"/>
        </w:rPr>
        <w:t>The Hub model supports increase</w:t>
      </w:r>
      <w:r w:rsidR="00607624">
        <w:rPr>
          <w:rFonts w:ascii="Times New Roman" w:hAnsi="Times New Roman" w:cs="Times New Roman"/>
          <w:sz w:val="21"/>
          <w:szCs w:val="21"/>
          <w:u w:val="single"/>
        </w:rPr>
        <w:t>d accountability and sustainability</w:t>
      </w:r>
      <w:r>
        <w:rPr>
          <w:rFonts w:ascii="Times New Roman" w:hAnsi="Times New Roman" w:cs="Times New Roman"/>
          <w:sz w:val="21"/>
          <w:szCs w:val="21"/>
          <w:u w:val="single"/>
        </w:rPr>
        <w:t xml:space="preserve"> for the MassHealth system. </w:t>
      </w:r>
      <w:r>
        <w:rPr>
          <w:rFonts w:ascii="Times New Roman" w:hAnsi="Times New Roman" w:cs="Times New Roman"/>
          <w:sz w:val="21"/>
          <w:szCs w:val="21"/>
        </w:rPr>
        <w:t>The Hub structure is both scalable and capable of</w:t>
      </w:r>
      <w:r w:rsidR="00607624">
        <w:rPr>
          <w:rFonts w:ascii="Times New Roman" w:hAnsi="Times New Roman" w:cs="Times New Roman"/>
          <w:sz w:val="21"/>
          <w:szCs w:val="21"/>
        </w:rPr>
        <w:t xml:space="preserve"> </w:t>
      </w:r>
      <w:r>
        <w:rPr>
          <w:rFonts w:ascii="Times New Roman" w:hAnsi="Times New Roman" w:cs="Times New Roman"/>
          <w:sz w:val="21"/>
          <w:szCs w:val="21"/>
        </w:rPr>
        <w:t xml:space="preserve">responding flexibly to the needs of populations and ACOs. A key element of the model is the expectation that the Hub shares in both risk and benefits with the ACO,   building both accountability and sustainability. Initial costs for startup can be covered by DSRIP, while recurrent costs can be structured on a shared risk/benefit basis with the ACO (through risk corridors or   caps on profit and loss.) By providing a context in which to conduct analysis of avoided costs and ROI, a Hub system can establish the base of data needed for investment in non-medical  services, while fine-   tuning the array of services provided  for maximum </w:t>
      </w:r>
      <w:r>
        <w:rPr>
          <w:rFonts w:ascii="Times New Roman" w:hAnsi="Times New Roman" w:cs="Times New Roman"/>
          <w:spacing w:val="24"/>
          <w:sz w:val="21"/>
          <w:szCs w:val="21"/>
        </w:rPr>
        <w:t xml:space="preserve"> </w:t>
      </w:r>
      <w:r>
        <w:rPr>
          <w:rFonts w:ascii="Times New Roman" w:hAnsi="Times New Roman" w:cs="Times New Roman"/>
          <w:sz w:val="21"/>
          <w:szCs w:val="21"/>
        </w:rPr>
        <w:t>impact.</w:t>
      </w:r>
    </w:p>
    <w:p w:rsidR="002C5025" w:rsidRDefault="002C5025">
      <w:pPr>
        <w:pStyle w:val="BodyText"/>
        <w:kinsoku w:val="0"/>
        <w:overflowPunct w:val="0"/>
        <w:spacing w:before="7"/>
        <w:rPr>
          <w:rFonts w:ascii="Times New Roman" w:hAnsi="Times New Roman" w:cs="Times New Roman"/>
          <w:sz w:val="25"/>
          <w:szCs w:val="25"/>
        </w:rPr>
      </w:pPr>
    </w:p>
    <w:p w:rsidR="002C5025" w:rsidRDefault="002C5025">
      <w:pPr>
        <w:pStyle w:val="BodyText"/>
        <w:kinsoku w:val="0"/>
        <w:overflowPunct w:val="0"/>
        <w:spacing w:before="1" w:line="288" w:lineRule="auto"/>
        <w:ind w:left="150" w:right="327" w:firstLine="7"/>
        <w:rPr>
          <w:rFonts w:ascii="Times New Roman" w:hAnsi="Times New Roman" w:cs="Times New Roman"/>
          <w:sz w:val="21"/>
          <w:szCs w:val="21"/>
        </w:rPr>
      </w:pPr>
      <w:r>
        <w:rPr>
          <w:rFonts w:ascii="Times New Roman" w:hAnsi="Times New Roman" w:cs="Times New Roman"/>
          <w:sz w:val="21"/>
          <w:szCs w:val="21"/>
        </w:rPr>
        <w:t>We strongly believe that the SDOH Hub concept is a viable solution to providing care which is genuinely coordinated and integrated-and that it will strongly support the  long-term  goals  of the MassHealth Delivery  System Restructuring initiative.</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FB027C">
      <w:pPr>
        <w:pStyle w:val="BodyText"/>
        <w:kinsoku w:val="0"/>
        <w:overflowPunct w:val="0"/>
        <w:spacing w:before="7"/>
        <w:rPr>
          <w:rFonts w:ascii="Times New Roman" w:hAnsi="Times New Roman" w:cs="Times New Roman"/>
          <w:sz w:val="19"/>
          <w:szCs w:val="19"/>
        </w:rPr>
      </w:pPr>
      <w:r>
        <w:rPr>
          <w:noProof/>
        </w:rPr>
        <mc:AlternateContent>
          <mc:Choice Requires="wps">
            <w:drawing>
              <wp:anchor distT="0" distB="0" distL="0" distR="0" simplePos="0" relativeHeight="251469312" behindDoc="0" locked="0" layoutInCell="0" allowOverlap="1">
                <wp:simplePos x="0" y="0"/>
                <wp:positionH relativeFrom="page">
                  <wp:posOffset>895985</wp:posOffset>
                </wp:positionH>
                <wp:positionV relativeFrom="paragraph">
                  <wp:posOffset>177165</wp:posOffset>
                </wp:positionV>
                <wp:extent cx="5911850" cy="12700"/>
                <wp:effectExtent l="0" t="0" r="0" b="0"/>
                <wp:wrapTopAndBottom/>
                <wp:docPr id="983"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11850" cy="12700"/>
                        </a:xfrm>
                        <a:custGeom>
                          <a:avLst/>
                          <a:gdLst>
                            <a:gd name="T0" fmla="*/ 0 w 9310"/>
                            <a:gd name="T1" fmla="*/ 0 h 20"/>
                            <a:gd name="T2" fmla="*/ 9310 w 9310"/>
                            <a:gd name="T3" fmla="*/ 0 h 20"/>
                          </a:gdLst>
                          <a:ahLst/>
                          <a:cxnLst>
                            <a:cxn ang="0">
                              <a:pos x="T0" y="T1"/>
                            </a:cxn>
                            <a:cxn ang="0">
                              <a:pos x="T2" y="T3"/>
                            </a:cxn>
                          </a:cxnLst>
                          <a:rect l="0" t="0" r="r" b="b"/>
                          <a:pathLst>
                            <a:path w="9310" h="20">
                              <a:moveTo>
                                <a:pt x="0" y="0"/>
                              </a:moveTo>
                              <a:lnTo>
                                <a:pt x="9310"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2" o:spid="_x0000_s1026" style="position:absolute;z-index:251469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0.55pt,13.95pt,536.05pt,13.95pt" coordsize="93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" o:allowincell="f" filled="f" strokeweight="1.44pt">
                <v:path arrowok="t" o:connecttype="custom" o:connectlocs="0,0;5911850,0" o:connectangles="0,0"/>
                <w10:wrap type="topAndBottom" anchorx="page"/>
              </v:polyline>
            </w:pict>
          </mc:Fallback>
        </mc:AlternateContent>
      </w:r>
    </w:p>
    <w:p w:rsidR="002C5025" w:rsidRDefault="002C5025">
      <w:pPr>
        <w:pStyle w:val="ListParagraph"/>
        <w:numPr>
          <w:ilvl w:val="0"/>
          <w:numId w:val="94"/>
        </w:numPr>
        <w:tabs>
          <w:tab w:val="left" w:pos="348"/>
        </w:tabs>
        <w:kinsoku w:val="0"/>
        <w:overflowPunct w:val="0"/>
        <w:ind w:hanging="187"/>
        <w:rPr>
          <w:rFonts w:ascii="Arial" w:hAnsi="Arial" w:cs="Arial"/>
          <w:color w:val="000000"/>
          <w:w w:val="95"/>
          <w:sz w:val="19"/>
          <w:szCs w:val="19"/>
        </w:rPr>
      </w:pPr>
      <w:r>
        <w:rPr>
          <w:rFonts w:ascii="Arial" w:hAnsi="Arial" w:cs="Arial"/>
          <w:w w:val="95"/>
          <w:sz w:val="19"/>
          <w:szCs w:val="19"/>
        </w:rPr>
        <w:t>J P a g</w:t>
      </w:r>
      <w:r>
        <w:rPr>
          <w:rFonts w:ascii="Arial" w:hAnsi="Arial" w:cs="Arial"/>
          <w:spacing w:val="6"/>
          <w:w w:val="95"/>
          <w:sz w:val="19"/>
          <w:szCs w:val="19"/>
        </w:rPr>
        <w:t xml:space="preserve"> </w:t>
      </w:r>
      <w:r>
        <w:rPr>
          <w:rFonts w:ascii="Arial" w:hAnsi="Arial" w:cs="Arial"/>
          <w:w w:val="95"/>
          <w:sz w:val="19"/>
          <w:szCs w:val="19"/>
        </w:rPr>
        <w:t>e</w:t>
      </w:r>
    </w:p>
    <w:p w:rsidR="002C5025" w:rsidRDefault="002C5025">
      <w:pPr>
        <w:pStyle w:val="ListParagraph"/>
        <w:numPr>
          <w:ilvl w:val="0"/>
          <w:numId w:val="94"/>
        </w:numPr>
        <w:tabs>
          <w:tab w:val="left" w:pos="348"/>
        </w:tabs>
        <w:kinsoku w:val="0"/>
        <w:overflowPunct w:val="0"/>
        <w:ind w:hanging="187"/>
        <w:rPr>
          <w:rFonts w:ascii="Arial" w:hAnsi="Arial" w:cs="Arial"/>
          <w:color w:val="000000"/>
          <w:w w:val="95"/>
          <w:sz w:val="19"/>
          <w:szCs w:val="19"/>
        </w:rPr>
        <w:sectPr w:rsidR="002C5025">
          <w:pgSz w:w="12240" w:h="15840"/>
          <w:pgMar w:top="1500" w:right="1400" w:bottom="280" w:left="1280" w:header="720" w:footer="720" w:gutter="0"/>
          <w:cols w:space="720" w:equalWidth="0">
            <w:col w:w="9560"/>
          </w:cols>
          <w:noEndnote/>
        </w:sectPr>
      </w:pPr>
      <w:bookmarkStart w:id="27" w:name="_GoBack"/>
      <w:bookmarkEnd w:id="27"/>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17"/>
          <w:szCs w:val="17"/>
        </w:rPr>
      </w:pPr>
    </w:p>
    <w:p w:rsidR="002C5025" w:rsidRDefault="00FB027C">
      <w:pPr>
        <w:pStyle w:val="BodyText"/>
        <w:kinsoku w:val="0"/>
        <w:overflowPunct w:val="0"/>
        <w:spacing w:line="29" w:lineRule="exact"/>
        <w:ind w:left="141"/>
        <w:rPr>
          <w:rFonts w:ascii="Arial" w:hAnsi="Arial" w:cs="Arial"/>
          <w:position w:val="-1"/>
          <w:sz w:val="2"/>
          <w:szCs w:val="2"/>
        </w:rPr>
      </w:pPr>
      <w:r>
        <w:rPr>
          <w:rFonts w:ascii="Arial" w:hAnsi="Arial" w:cs="Arial"/>
          <w:noProof/>
          <w:position w:val="-1"/>
          <w:sz w:val="2"/>
          <w:szCs w:val="2"/>
        </w:rPr>
        <mc:AlternateContent>
          <mc:Choice Requires="wpg">
            <w:drawing>
              <wp:inline distT="0" distB="0" distL="0" distR="0">
                <wp:extent cx="5481955" cy="18415"/>
                <wp:effectExtent l="9525" t="9525" r="4445" b="635"/>
                <wp:docPr id="981"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1955" cy="18415"/>
                          <a:chOff x="0" y="0"/>
                          <a:chExt cx="8633" cy="29"/>
                        </a:xfrm>
                      </wpg:grpSpPr>
                      <wps:wsp>
                        <wps:cNvPr id="982" name="Freeform 44"/>
                        <wps:cNvSpPr>
                          <a:spLocks/>
                        </wps:cNvSpPr>
                        <wps:spPr bwMode="auto">
                          <a:xfrm>
                            <a:off x="14" y="14"/>
                            <a:ext cx="8604" cy="20"/>
                          </a:xfrm>
                          <a:custGeom>
                            <a:avLst/>
                            <a:gdLst>
                              <a:gd name="T0" fmla="*/ 0 w 8604"/>
                              <a:gd name="T1" fmla="*/ 0 h 20"/>
                              <a:gd name="T2" fmla="*/ 8604 w 8604"/>
                              <a:gd name="T3" fmla="*/ 0 h 20"/>
                            </a:gdLst>
                            <a:ahLst/>
                            <a:cxnLst>
                              <a:cxn ang="0">
                                <a:pos x="T0" y="T1"/>
                              </a:cxn>
                              <a:cxn ang="0">
                                <a:pos x="T2" y="T3"/>
                              </a:cxn>
                            </a:cxnLst>
                            <a:rect l="0" t="0" r="r" b="b"/>
                            <a:pathLst>
                              <a:path w="8604" h="20">
                                <a:moveTo>
                                  <a:pt x="0" y="0"/>
                                </a:moveTo>
                                <a:lnTo>
                                  <a:pt x="8604"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43" o:spid="_x0000_s1026" style="width:431.65pt;height:1.45pt;mso-position-horizontal-relative:char;mso-position-vertical-relative:line" coordsize="863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">
                <v:shape id="Freeform 44" o:spid="_x0000_s1027" style="position:absolute;left:14;top:14;width:8604;height:20;visibility:visible;mso-wrap-style:square;v-text-anchor:top" coordsize="860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y/jsUA&#10;AADcAAAADwAAAGRycy9kb3ducmV2LnhtbESP0WrCQBRE3wv+w3KFvtWNPrSaugliEcQiktgPuM3e&#10;boLZu2l21div7xYKPg4zc4ZZ5oNtxYV63zhWMJ0kIIgrpxs2Cj6Om6c5CB+QNbaOScGNPOTZ6GGJ&#10;qXZXLuhSBiMihH2KCuoQulRKX9Vk0U9cRxy9L9dbDFH2RuoerxFuWzlLkmdpseG4UGNH65qqU3m2&#10;Cn4+iw2a753d+/Kg33D/YorDu1KP42H1CiLQEO7h//ZWK1jMZ/B3Jh4Bm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bL+OxQAAANwAAAAPAAAAAAAAAAAAAAAAAJgCAABkcnMv&#10;ZG93bnJldi54bWxQSwUGAAAAAAQABAD1AAAAigMAAAAA&#10;" path="m,l8604,e" filled="f" strokeweight="1.44pt">
                  <v:path arrowok="t" o:connecttype="custom" o:connectlocs="0,0;8604,0" o:connectangles="0,0"/>
                </v:shape>
                <w10:anchorlock/>
              </v:group>
            </w:pict>
          </mc:Fallback>
        </mc:AlternateContent>
      </w: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1"/>
        <w:rPr>
          <w:rFonts w:ascii="Arial" w:hAnsi="Arial" w:cs="Arial"/>
          <w:sz w:val="19"/>
          <w:szCs w:val="19"/>
        </w:rPr>
      </w:pPr>
    </w:p>
    <w:p w:rsidR="002C5025" w:rsidRDefault="00FB027C">
      <w:pPr>
        <w:pStyle w:val="BodyText"/>
        <w:kinsoku w:val="0"/>
        <w:overflowPunct w:val="0"/>
        <w:spacing w:line="340" w:lineRule="auto"/>
        <w:ind w:left="105" w:right="6886" w:firstLine="14"/>
        <w:rPr>
          <w:rFonts w:ascii="Arial" w:hAnsi="Arial" w:cs="Arial"/>
          <w:sz w:val="19"/>
          <w:szCs w:val="19"/>
        </w:rPr>
      </w:pPr>
      <w:r>
        <w:rPr>
          <w:noProof/>
        </w:rPr>
        <mc:AlternateContent>
          <mc:Choice Requires="wpg">
            <w:drawing>
              <wp:anchor distT="0" distB="0" distL="114300" distR="114300" simplePos="0" relativeHeight="251470336" behindDoc="0" locked="0" layoutInCell="0" allowOverlap="1">
                <wp:simplePos x="0" y="0"/>
                <wp:positionH relativeFrom="page">
                  <wp:posOffset>3135630</wp:posOffset>
                </wp:positionH>
                <wp:positionV relativeFrom="paragraph">
                  <wp:posOffset>-1270</wp:posOffset>
                </wp:positionV>
                <wp:extent cx="896620" cy="749935"/>
                <wp:effectExtent l="0" t="0" r="0" b="0"/>
                <wp:wrapNone/>
                <wp:docPr id="976"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6620" cy="749935"/>
                          <a:chOff x="4938" y="-2"/>
                          <a:chExt cx="1412" cy="1181"/>
                        </a:xfrm>
                      </wpg:grpSpPr>
                      <wps:wsp>
                        <wps:cNvPr id="977" name="Freeform 46"/>
                        <wps:cNvSpPr>
                          <a:spLocks/>
                        </wps:cNvSpPr>
                        <wps:spPr bwMode="auto">
                          <a:xfrm>
                            <a:off x="4946" y="19"/>
                            <a:ext cx="1397" cy="20"/>
                          </a:xfrm>
                          <a:custGeom>
                            <a:avLst/>
                            <a:gdLst>
                              <a:gd name="T0" fmla="*/ 0 w 1397"/>
                              <a:gd name="T1" fmla="*/ 0 h 20"/>
                              <a:gd name="T2" fmla="*/ 1397 w 1397"/>
                              <a:gd name="T3" fmla="*/ 0 h 20"/>
                            </a:gdLst>
                            <a:ahLst/>
                            <a:cxnLst>
                              <a:cxn ang="0">
                                <a:pos x="T0" y="T1"/>
                              </a:cxn>
                              <a:cxn ang="0">
                                <a:pos x="T2" y="T3"/>
                              </a:cxn>
                            </a:cxnLst>
                            <a:rect l="0" t="0" r="r" b="b"/>
                            <a:pathLst>
                              <a:path w="1397" h="20">
                                <a:moveTo>
                                  <a:pt x="0" y="0"/>
                                </a:moveTo>
                                <a:lnTo>
                                  <a:pt x="1397"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8" name="Freeform 47"/>
                        <wps:cNvSpPr>
                          <a:spLocks/>
                        </wps:cNvSpPr>
                        <wps:spPr bwMode="auto">
                          <a:xfrm>
                            <a:off x="4950" y="8"/>
                            <a:ext cx="20" cy="1160"/>
                          </a:xfrm>
                          <a:custGeom>
                            <a:avLst/>
                            <a:gdLst>
                              <a:gd name="T0" fmla="*/ 0 w 20"/>
                              <a:gd name="T1" fmla="*/ 1160 h 1160"/>
                              <a:gd name="T2" fmla="*/ 0 w 20"/>
                              <a:gd name="T3" fmla="*/ 0 h 1160"/>
                            </a:gdLst>
                            <a:ahLst/>
                            <a:cxnLst>
                              <a:cxn ang="0">
                                <a:pos x="T0" y="T1"/>
                              </a:cxn>
                              <a:cxn ang="0">
                                <a:pos x="T2" y="T3"/>
                              </a:cxn>
                            </a:cxnLst>
                            <a:rect l="0" t="0" r="r" b="b"/>
                            <a:pathLst>
                              <a:path w="20" h="1160">
                                <a:moveTo>
                                  <a:pt x="0" y="1160"/>
                                </a:moveTo>
                                <a:lnTo>
                                  <a:pt x="0" y="0"/>
                                </a:lnTo>
                              </a:path>
                            </a:pathLst>
                          </a:custGeom>
                          <a:noFill/>
                          <a:ln w="1371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9" name="Freeform 48"/>
                        <wps:cNvSpPr>
                          <a:spLocks/>
                        </wps:cNvSpPr>
                        <wps:spPr bwMode="auto">
                          <a:xfrm>
                            <a:off x="6332" y="16"/>
                            <a:ext cx="20" cy="1152"/>
                          </a:xfrm>
                          <a:custGeom>
                            <a:avLst/>
                            <a:gdLst>
                              <a:gd name="T0" fmla="*/ 0 w 20"/>
                              <a:gd name="T1" fmla="*/ 1152 h 1152"/>
                              <a:gd name="T2" fmla="*/ 0 w 20"/>
                              <a:gd name="T3" fmla="*/ 0 h 1152"/>
                            </a:gdLst>
                            <a:ahLst/>
                            <a:cxnLst>
                              <a:cxn ang="0">
                                <a:pos x="T0" y="T1"/>
                              </a:cxn>
                              <a:cxn ang="0">
                                <a:pos x="T2" y="T3"/>
                              </a:cxn>
                            </a:cxnLst>
                            <a:rect l="0" t="0" r="r" b="b"/>
                            <a:pathLst>
                              <a:path w="20" h="1152">
                                <a:moveTo>
                                  <a:pt x="0" y="1152"/>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0" name="Text Box 49"/>
                        <wps:cNvSpPr txBox="1">
                          <a:spLocks noChangeArrowheads="1"/>
                        </wps:cNvSpPr>
                        <wps:spPr bwMode="auto">
                          <a:xfrm>
                            <a:off x="4939" y="-2"/>
                            <a:ext cx="1412" cy="1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pStyle w:val="BodyText"/>
                                <w:kinsoku w:val="0"/>
                                <w:overflowPunct w:val="0"/>
                                <w:spacing w:before="2"/>
                                <w:rPr>
                                  <w:rFonts w:ascii="Arial" w:hAnsi="Arial" w:cs="Arial"/>
                                  <w:sz w:val="21"/>
                                  <w:szCs w:val="21"/>
                                </w:rPr>
                              </w:pPr>
                            </w:p>
                            <w:p w:rsidR="007B2B7B" w:rsidRDefault="007B2B7B">
                              <w:pPr>
                                <w:pStyle w:val="BodyText"/>
                                <w:kinsoku w:val="0"/>
                                <w:overflowPunct w:val="0"/>
                                <w:ind w:left="436" w:right="416"/>
                                <w:jc w:val="center"/>
                                <w:rPr>
                                  <w:rFonts w:ascii="Arial" w:hAnsi="Arial" w:cs="Arial"/>
                                  <w:sz w:val="17"/>
                                  <w:szCs w:val="17"/>
                                </w:rPr>
                              </w:pPr>
                              <w:r>
                                <w:rPr>
                                  <w:rFonts w:ascii="Arial" w:hAnsi="Arial" w:cs="Arial"/>
                                  <w:sz w:val="17"/>
                                  <w:szCs w:val="17"/>
                                </w:rPr>
                                <w:t>DSRIP</w:t>
                              </w:r>
                            </w:p>
                            <w:p w:rsidR="007B2B7B" w:rsidRDefault="007B2B7B">
                              <w:pPr>
                                <w:pStyle w:val="BodyText"/>
                                <w:kinsoku w:val="0"/>
                                <w:overflowPunct w:val="0"/>
                                <w:spacing w:before="78" w:line="331" w:lineRule="auto"/>
                                <w:ind w:left="480" w:right="488" w:firstLine="33"/>
                                <w:jc w:val="center"/>
                                <w:rPr>
                                  <w:rFonts w:ascii="Arial" w:hAnsi="Arial" w:cs="Arial"/>
                                  <w:sz w:val="18"/>
                                  <w:szCs w:val="18"/>
                                </w:rPr>
                              </w:pPr>
                              <w:r>
                                <w:rPr>
                                  <w:rFonts w:ascii="Arial" w:hAnsi="Arial" w:cs="Arial"/>
                                  <w:sz w:val="18"/>
                                  <w:szCs w:val="18"/>
                                </w:rPr>
                                <w:t>Flex funds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5" o:spid="_x0000_s1033" style="position:absolute;left:0;text-align:left;margin-left:246.9pt;margin-top:-.1pt;width:70.6pt;height:59.05pt;z-index:251470336;mso-position-horizontal-relative:page" coordorigin="4938,-2" coordsize="1412,1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" o:allowincell="f">
                <v:shape id="Freeform 46" o:spid="_x0000_s1034" style="position:absolute;left:4946;top:19;width:1397;height:20;visibility:visible;mso-wrap-style:square;v-text-anchor:top" coordsize="139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js1cYA&#10;AADcAAAADwAAAGRycy9kb3ducmV2LnhtbESPQWsCMRSE7wX/Q3gFL6JZRWtdjSJCQXooVr14e908&#10;N0s3L2GT6u6/bwpCj8PMfMOsNq2txY2aUDlWMB5lIIgLpysuFZxPb8NXECEia6wdk4KOAmzWvacV&#10;5trd+ZNux1iKBOGQowITo8+lDIUhi2HkPHHyrq6xGJNsSqkbvCe4reUky16kxYrTgkFPO0PF9/HH&#10;Krjsi242XQy6w7vZfVRfnffTyUyp/nO7XYKI1Mb/8KO91woW8zn8nU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6js1cYAAADcAAAADwAAAAAAAAAAAAAAAACYAgAAZHJz&#10;L2Rvd25yZXYueG1sUEsFBgAAAAAEAAQA9QAAAIsDAAAAAA==&#10;" path="m,l1397,e" filled="f" strokeweight=".72pt">
                  <v:path arrowok="t" o:connecttype="custom" o:connectlocs="0,0;1397,0" o:connectangles="0,0"/>
                </v:shape>
                <v:shape id="Freeform 47" o:spid="_x0000_s1035" style="position:absolute;left:4950;top:8;width:20;height:1160;visibility:visible;mso-wrap-style:square;v-text-anchor:top" coordsize="20,1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QoLwA&#10;AADcAAAADwAAAGRycy9kb3ducmV2LnhtbERPSwrCMBDdC94hjOBOU0X8VKOIUHBrleJyaMa22kxK&#10;E7Xe3iwEl4/33+w6U4sXta6yrGAyjkAQ51ZXXCi4nJPREoTzyBpry6TgQw52235vg7G2bz7RK/WF&#10;CCHsYlRQet/EUrq8JINubBviwN1sa9AH2BZSt/gO4aaW0yiaS4MVh4YSGzqUlD/Sp1Ewy1bN/lwc&#10;bJIuKfUJH/PsflVqOOj2axCeOv8X/9xHrWC1CGvDmXAE5PY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LD9CgvAAAANwAAAAPAAAAAAAAAAAAAAAAAJgCAABkcnMvZG93bnJldi54&#10;bWxQSwUGAAAAAAQABAD1AAAAgQMAAAAA&#10;" path="m,1160l,e" filled="f" strokeweight="1.08pt">
                  <v:path arrowok="t" o:connecttype="custom" o:connectlocs="0,1160;0,0" o:connectangles="0,0"/>
                </v:shape>
                <v:shape id="Freeform 48" o:spid="_x0000_s1036" style="position:absolute;left:6332;top:16;width:20;height:1152;visibility:visible;mso-wrap-style:square;v-text-anchor:top" coordsize="20,1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7EEcUA&#10;AADcAAAADwAAAGRycy9kb3ducmV2LnhtbESPwWrDMBBE74X+g9hCb43sHpzYjWJKqUkPDaRxP2Aj&#10;bWxTa2UsJXH+PioEchxm5g2zLCfbixONvnOsIJ0lIIi1Mx03Cn7r6mUBwgdkg71jUnAhD+Xq8WGJ&#10;hXFn/qHTLjQiQtgXqKANYSik9Loli37mBuLoHdxoMUQ5NtKMeI5w28vXJMmkxY7jQosDfbSk/3ZH&#10;q6Crq/2gt4csNflmG+rv/Vp/zpV6fpre30AEmsI9fGt/GQX5PIf/M/EIyN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vsQRxQAAANwAAAAPAAAAAAAAAAAAAAAAAJgCAABkcnMv&#10;ZG93bnJldi54bWxQSwUGAAAAAAQABAD1AAAAigMAAAAA&#10;" path="m,1152l,e" filled="f" strokeweight=".72pt">
                  <v:path arrowok="t" o:connecttype="custom" o:connectlocs="0,1152;0,0" o:connectangles="0,0"/>
                </v:shape>
                <v:shape id="Text Box 49" o:spid="_x0000_s1037" type="#_x0000_t202" style="position:absolute;left:4939;top:-2;width:1412;height:11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MLhsEA&#10;AADcAAAADwAAAGRycy9kb3ducmV2LnhtbERPTYvCMBC9C/sfwix4s6keRLtGEVlhQRBrPXicbcY2&#10;2Ey6TVbrvzcHwePjfS9WvW3EjTpvHCsYJykI4tJpw5WCU7EdzUD4gKyxcUwKHuRhtfwYLDDT7s45&#10;3Y6hEjGEfYYK6hDaTEpf1mTRJ64ljtzFdRZDhF0ldYf3GG4bOUnTqbRoODbU2NKmpvJ6/LcK1mfO&#10;v83f/veQX3JTFPOUd9OrUsPPfv0FIlAf3uKX+0crmM/i/HgmHgG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oTC4bBAAAA3AAAAA8AAAAAAAAAAAAAAAAAmAIAAGRycy9kb3du&#10;cmV2LnhtbFBLBQYAAAAABAAEAPUAAACGAwAAAAA=&#10;" filled="f" stroked="f">
                  <v:textbox inset="0,0,0,0">
                    <w:txbxContent>
                      <w:p w:rsidR="007B2B7B" w:rsidRDefault="007B2B7B">
                        <w:pPr>
                          <w:pStyle w:val="BodyText"/>
                          <w:kinsoku w:val="0"/>
                          <w:overflowPunct w:val="0"/>
                          <w:spacing w:before="2"/>
                          <w:rPr>
                            <w:rFonts w:ascii="Arial" w:hAnsi="Arial" w:cs="Arial"/>
                            <w:sz w:val="21"/>
                            <w:szCs w:val="21"/>
                          </w:rPr>
                        </w:pPr>
                      </w:p>
                      <w:p w:rsidR="007B2B7B" w:rsidRDefault="007B2B7B">
                        <w:pPr>
                          <w:pStyle w:val="BodyText"/>
                          <w:kinsoku w:val="0"/>
                          <w:overflowPunct w:val="0"/>
                          <w:ind w:left="436" w:right="416"/>
                          <w:jc w:val="center"/>
                          <w:rPr>
                            <w:rFonts w:ascii="Arial" w:hAnsi="Arial" w:cs="Arial"/>
                            <w:sz w:val="17"/>
                            <w:szCs w:val="17"/>
                          </w:rPr>
                        </w:pPr>
                        <w:r>
                          <w:rPr>
                            <w:rFonts w:ascii="Arial" w:hAnsi="Arial" w:cs="Arial"/>
                            <w:sz w:val="17"/>
                            <w:szCs w:val="17"/>
                          </w:rPr>
                          <w:t>DSRIP</w:t>
                        </w:r>
                      </w:p>
                      <w:p w:rsidR="007B2B7B" w:rsidRDefault="007B2B7B">
                        <w:pPr>
                          <w:pStyle w:val="BodyText"/>
                          <w:kinsoku w:val="0"/>
                          <w:overflowPunct w:val="0"/>
                          <w:spacing w:before="78" w:line="331" w:lineRule="auto"/>
                          <w:ind w:left="480" w:right="488" w:firstLine="33"/>
                          <w:jc w:val="center"/>
                          <w:rPr>
                            <w:rFonts w:ascii="Arial" w:hAnsi="Arial" w:cs="Arial"/>
                            <w:sz w:val="18"/>
                            <w:szCs w:val="18"/>
                          </w:rPr>
                        </w:pPr>
                        <w:r>
                          <w:rPr>
                            <w:rFonts w:ascii="Arial" w:hAnsi="Arial" w:cs="Arial"/>
                            <w:sz w:val="18"/>
                            <w:szCs w:val="18"/>
                          </w:rPr>
                          <w:t>Flex funds</w:t>
                        </w:r>
                      </w:p>
                    </w:txbxContent>
                  </v:textbox>
                </v:shape>
                <w10:wrap anchorx="page"/>
              </v:group>
            </w:pict>
          </mc:Fallback>
        </mc:AlternateContent>
      </w:r>
      <w:r w:rsidR="002C5025">
        <w:rPr>
          <w:rFonts w:ascii="Arial" w:hAnsi="Arial" w:cs="Arial"/>
          <w:sz w:val="19"/>
          <w:szCs w:val="19"/>
          <w:u w:val="single"/>
        </w:rPr>
        <w:t>Figure 1</w:t>
      </w:r>
      <w:r w:rsidR="002C5025">
        <w:rPr>
          <w:rFonts w:ascii="Arial" w:hAnsi="Arial" w:cs="Arial"/>
          <w:sz w:val="19"/>
          <w:szCs w:val="19"/>
        </w:rPr>
        <w:t>:INSTITUTIONAL RELATIONSHIPS IN PROPOSED SDOH HUB SYSTEM</w:t>
      </w:r>
    </w:p>
    <w:p w:rsidR="002C5025" w:rsidRDefault="002C5025">
      <w:pPr>
        <w:pStyle w:val="BodyText"/>
        <w:kinsoku w:val="0"/>
        <w:overflowPunct w:val="0"/>
        <w:rPr>
          <w:rFonts w:ascii="Arial" w:hAnsi="Arial" w:cs="Arial"/>
          <w:sz w:val="20"/>
          <w:szCs w:val="20"/>
        </w:rPr>
      </w:pPr>
    </w:p>
    <w:p w:rsidR="002C5025" w:rsidRDefault="00FB027C">
      <w:pPr>
        <w:pStyle w:val="BodyText"/>
        <w:kinsoku w:val="0"/>
        <w:overflowPunct w:val="0"/>
        <w:rPr>
          <w:rFonts w:ascii="Arial" w:hAnsi="Arial" w:cs="Arial"/>
          <w:sz w:val="23"/>
          <w:szCs w:val="23"/>
        </w:rPr>
      </w:pPr>
      <w:r>
        <w:rPr>
          <w:noProof/>
        </w:rPr>
        <mc:AlternateContent>
          <mc:Choice Requires="wpg">
            <w:drawing>
              <wp:anchor distT="0" distB="0" distL="0" distR="0" simplePos="0" relativeHeight="251471360" behindDoc="0" locked="0" layoutInCell="0" allowOverlap="1">
                <wp:simplePos x="0" y="0"/>
                <wp:positionH relativeFrom="page">
                  <wp:posOffset>1430655</wp:posOffset>
                </wp:positionH>
                <wp:positionV relativeFrom="paragraph">
                  <wp:posOffset>195580</wp:posOffset>
                </wp:positionV>
                <wp:extent cx="1120775" cy="524510"/>
                <wp:effectExtent l="0" t="0" r="0" b="0"/>
                <wp:wrapTopAndBottom/>
                <wp:docPr id="97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0775" cy="524510"/>
                          <a:chOff x="2253" y="308"/>
                          <a:chExt cx="1765" cy="826"/>
                        </a:xfrm>
                      </wpg:grpSpPr>
                      <wps:wsp>
                        <wps:cNvPr id="971" name="Freeform 51"/>
                        <wps:cNvSpPr>
                          <a:spLocks/>
                        </wps:cNvSpPr>
                        <wps:spPr bwMode="auto">
                          <a:xfrm>
                            <a:off x="2268" y="331"/>
                            <a:ext cx="1743" cy="20"/>
                          </a:xfrm>
                          <a:custGeom>
                            <a:avLst/>
                            <a:gdLst>
                              <a:gd name="T0" fmla="*/ 0 w 1743"/>
                              <a:gd name="T1" fmla="*/ 0 h 20"/>
                              <a:gd name="T2" fmla="*/ 1743 w 1743"/>
                              <a:gd name="T3" fmla="*/ 0 h 20"/>
                            </a:gdLst>
                            <a:ahLst/>
                            <a:cxnLst>
                              <a:cxn ang="0">
                                <a:pos x="T0" y="T1"/>
                              </a:cxn>
                              <a:cxn ang="0">
                                <a:pos x="T2" y="T3"/>
                              </a:cxn>
                            </a:cxnLst>
                            <a:rect l="0" t="0" r="r" b="b"/>
                            <a:pathLst>
                              <a:path w="1743" h="20">
                                <a:moveTo>
                                  <a:pt x="0" y="0"/>
                                </a:moveTo>
                                <a:lnTo>
                                  <a:pt x="174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2" name="Freeform 52"/>
                        <wps:cNvSpPr>
                          <a:spLocks/>
                        </wps:cNvSpPr>
                        <wps:spPr bwMode="auto">
                          <a:xfrm>
                            <a:off x="2276" y="316"/>
                            <a:ext cx="20" cy="807"/>
                          </a:xfrm>
                          <a:custGeom>
                            <a:avLst/>
                            <a:gdLst>
                              <a:gd name="T0" fmla="*/ 0 w 20"/>
                              <a:gd name="T1" fmla="*/ 807 h 807"/>
                              <a:gd name="T2" fmla="*/ 0 w 20"/>
                              <a:gd name="T3" fmla="*/ 0 h 807"/>
                            </a:gdLst>
                            <a:ahLst/>
                            <a:cxnLst>
                              <a:cxn ang="0">
                                <a:pos x="T0" y="T1"/>
                              </a:cxn>
                              <a:cxn ang="0">
                                <a:pos x="T2" y="T3"/>
                              </a:cxn>
                            </a:cxnLst>
                            <a:rect l="0" t="0" r="r" b="b"/>
                            <a:pathLst>
                              <a:path w="20" h="807">
                                <a:moveTo>
                                  <a:pt x="0" y="807"/>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3" name="Freeform 53"/>
                        <wps:cNvSpPr>
                          <a:spLocks/>
                        </wps:cNvSpPr>
                        <wps:spPr bwMode="auto">
                          <a:xfrm>
                            <a:off x="2261" y="1112"/>
                            <a:ext cx="1743" cy="20"/>
                          </a:xfrm>
                          <a:custGeom>
                            <a:avLst/>
                            <a:gdLst>
                              <a:gd name="T0" fmla="*/ 0 w 1743"/>
                              <a:gd name="T1" fmla="*/ 0 h 20"/>
                              <a:gd name="T2" fmla="*/ 1743 w 1743"/>
                              <a:gd name="T3" fmla="*/ 0 h 20"/>
                            </a:gdLst>
                            <a:ahLst/>
                            <a:cxnLst>
                              <a:cxn ang="0">
                                <a:pos x="T0" y="T1"/>
                              </a:cxn>
                              <a:cxn ang="0">
                                <a:pos x="T2" y="T3"/>
                              </a:cxn>
                            </a:cxnLst>
                            <a:rect l="0" t="0" r="r" b="b"/>
                            <a:pathLst>
                              <a:path w="1743" h="20">
                                <a:moveTo>
                                  <a:pt x="0" y="0"/>
                                </a:moveTo>
                                <a:lnTo>
                                  <a:pt x="174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4" name="Freeform 54"/>
                        <wps:cNvSpPr>
                          <a:spLocks/>
                        </wps:cNvSpPr>
                        <wps:spPr bwMode="auto">
                          <a:xfrm>
                            <a:off x="4000" y="323"/>
                            <a:ext cx="20" cy="800"/>
                          </a:xfrm>
                          <a:custGeom>
                            <a:avLst/>
                            <a:gdLst>
                              <a:gd name="T0" fmla="*/ 0 w 20"/>
                              <a:gd name="T1" fmla="*/ 800 h 800"/>
                              <a:gd name="T2" fmla="*/ 0 w 20"/>
                              <a:gd name="T3" fmla="*/ 0 h 800"/>
                            </a:gdLst>
                            <a:ahLst/>
                            <a:cxnLst>
                              <a:cxn ang="0">
                                <a:pos x="T0" y="T1"/>
                              </a:cxn>
                              <a:cxn ang="0">
                                <a:pos x="T2" y="T3"/>
                              </a:cxn>
                            </a:cxnLst>
                            <a:rect l="0" t="0" r="r" b="b"/>
                            <a:pathLst>
                              <a:path w="20" h="800">
                                <a:moveTo>
                                  <a:pt x="0" y="800"/>
                                </a:moveTo>
                                <a:lnTo>
                                  <a:pt x="0" y="0"/>
                                </a:lnTo>
                              </a:path>
                            </a:pathLst>
                          </a:custGeom>
                          <a:noFill/>
                          <a:ln w="1371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5" name="Text Box 55"/>
                        <wps:cNvSpPr txBox="1">
                          <a:spLocks noChangeArrowheads="1"/>
                        </wps:cNvSpPr>
                        <wps:spPr bwMode="auto">
                          <a:xfrm>
                            <a:off x="2276" y="331"/>
                            <a:ext cx="1724" cy="7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pStyle w:val="BodyText"/>
                                <w:kinsoku w:val="0"/>
                                <w:overflowPunct w:val="0"/>
                                <w:spacing w:before="97"/>
                                <w:ind w:left="208" w:right="192"/>
                                <w:jc w:val="center"/>
                                <w:rPr>
                                  <w:rFonts w:ascii="Arial" w:hAnsi="Arial" w:cs="Arial"/>
                                  <w:b/>
                                  <w:bCs/>
                                  <w:w w:val="95"/>
                                  <w:sz w:val="16"/>
                                  <w:szCs w:val="16"/>
                                </w:rPr>
                              </w:pPr>
                              <w:r>
                                <w:rPr>
                                  <w:rFonts w:ascii="Arial" w:hAnsi="Arial" w:cs="Arial"/>
                                  <w:b/>
                                  <w:bCs/>
                                  <w:w w:val="95"/>
                                  <w:sz w:val="16"/>
                                  <w:szCs w:val="16"/>
                                </w:rPr>
                                <w:t>Behavioral Health</w:t>
                              </w:r>
                            </w:p>
                            <w:p w:rsidR="007B2B7B" w:rsidRDefault="007B2B7B">
                              <w:pPr>
                                <w:pStyle w:val="BodyText"/>
                                <w:kinsoku w:val="0"/>
                                <w:overflowPunct w:val="0"/>
                                <w:spacing w:before="63"/>
                                <w:ind w:left="198" w:right="192"/>
                                <w:jc w:val="center"/>
                                <w:rPr>
                                  <w:rFonts w:ascii="Arial" w:hAnsi="Arial" w:cs="Arial"/>
                                  <w:b/>
                                  <w:bCs/>
                                  <w:sz w:val="17"/>
                                  <w:szCs w:val="17"/>
                                </w:rPr>
                              </w:pPr>
                              <w:r>
                                <w:rPr>
                                  <w:rFonts w:ascii="Arial" w:hAnsi="Arial" w:cs="Arial"/>
                                  <w:b/>
                                  <w:bCs/>
                                  <w:sz w:val="17"/>
                                  <w:szCs w:val="17"/>
                                </w:rPr>
                                <w:t>Providers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0" o:spid="_x0000_s1038" style="position:absolute;margin-left:112.65pt;margin-top:15.4pt;width:88.25pt;height:41.3pt;z-index:251471360;mso-wrap-distance-left:0;mso-wrap-distance-right:0;mso-position-horizontal-relative:page" coordorigin="2253,308" coordsize="1765,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" o:allowincell="f">
                <v:shape id="Freeform 51" o:spid="_x0000_s1039" style="position:absolute;left:2268;top:331;width:1743;height:20;visibility:visible;mso-wrap-style:square;v-text-anchor:top" coordsize="174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tyHMMA&#10;AADcAAAADwAAAGRycy9kb3ducmV2LnhtbESPwWrDMBBE74X+g9hCL6WR7UOTOlGCUyj02jiHHBdr&#10;LZlYK2MptvP3VaHQ4zAzb5jdYXG9mGgMnWcF+SoDQdx43bFRcK4/XzcgQkTW2HsmBXcKcNg/Puyw&#10;1H7mb5pO0YgE4VCiAhvjUEoZGksOw8oPxMlr/egwJjkaqUecE9z1ssiyN+mw47RgcaAPS831dHMK&#10;2sXWpjJFfSzWbTW/hPw+XXKlnp+Wagsi0hL/w3/tL63gfZ3D75l0BO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WtyHMMAAADcAAAADwAAAAAAAAAAAAAAAACYAgAAZHJzL2Rv&#10;d25yZXYueG1sUEsFBgAAAAAEAAQA9QAAAIgDAAAAAA==&#10;" path="m,l1743,e" filled="f" strokeweight=".72pt">
                  <v:path arrowok="t" o:connecttype="custom" o:connectlocs="0,0;1743,0" o:connectangles="0,0"/>
                </v:shape>
                <v:shape id="Freeform 52" o:spid="_x0000_s1040" style="position:absolute;left:2276;top:316;width:20;height:807;visibility:visible;mso-wrap-style:square;v-text-anchor:top" coordsize="20,8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LUh8YA&#10;AADcAAAADwAAAGRycy9kb3ducmV2LnhtbESPS2vCQBSF94L/YbhCd2ZiCtqmjiKCYFEXTR/Q3WXm&#10;mgQzd2JmqvHfdwpCl4fz+DjzZW8bcaHO144VTJIUBLF2puZSwcf7ZvwEwgdkg41jUnAjD8vFcDDH&#10;3Lgrv9GlCKWII+xzVFCF0OZSel2RRZ+4ljh6R9dZDFF2pTQdXuO4bWSWplNpseZIqLCldUX6VPzY&#10;CDm7z+ww/d7rXXacPU6KV/11a5V6GPWrFxCB+vAfvre3RsHzLIO/M/E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dLUh8YAAADcAAAADwAAAAAAAAAAAAAAAACYAgAAZHJz&#10;L2Rvd25yZXYueG1sUEsFBgAAAAAEAAQA9QAAAIsDAAAAAA==&#10;" path="m,807l,e" filled="f" strokeweight=".72pt">
                  <v:path arrowok="t" o:connecttype="custom" o:connectlocs="0,807;0,0" o:connectangles="0,0"/>
                </v:shape>
                <v:shape id="Freeform 53" o:spid="_x0000_s1041" style="position:absolute;left:2261;top:1112;width:1743;height:20;visibility:visible;mso-wrap-style:square;v-text-anchor:top" coordsize="174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VJ8MQA&#10;AADcAAAADwAAAGRycy9kb3ducmV2LnhtbESPwWrDMBBE74X8g9hCL6WR7ULTOFGCWwj02riHHhdr&#10;LZlaK2MptvP3VaDQ4zAzb5j9cXG9mGgMnWcF+ToDQdx43bFR8FWfnl5BhIissfdMCq4U4HhY3e2x&#10;1H7mT5rO0YgE4VCiAhvjUEoZGksOw9oPxMlr/egwJjkaqUecE9z1ssiyF+mw47RgcaB3S83P+eIU&#10;tIutTWWK+q3YtNX8GPLr9J0r9XC/VDsQkZb4H/5rf2gF280z3M6kIyAP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1SfDEAAAA3AAAAA8AAAAAAAAAAAAAAAAAmAIAAGRycy9k&#10;b3ducmV2LnhtbFBLBQYAAAAABAAEAPUAAACJAwAAAAA=&#10;" path="m,l1743,e" filled="f" strokeweight=".72pt">
                  <v:path arrowok="t" o:connecttype="custom" o:connectlocs="0,0;1743,0" o:connectangles="0,0"/>
                </v:shape>
                <v:shape id="Freeform 54" o:spid="_x0000_s1042" style="position:absolute;left:4000;top:323;width:20;height:800;visibility:visible;mso-wrap-style:square;v-text-anchor:top" coordsize="20,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vFm8QA&#10;AADcAAAADwAAAGRycy9kb3ducmV2LnhtbESPT4vCMBTE7wt+h/AEL4umirtqNYoIooe9+O/g7dE8&#10;22LzUprU1m9vBGGPw8z8hlmsWlOIB1Uut6xgOIhAECdW55wqOJ+2/SkI55E1FpZJwZMcrJadrwXG&#10;2jZ8oMfRpyJA2MWoIPO+jKV0SUYG3cCWxMG72cqgD7JKpa6wCXBTyFEU/UqDOYeFDEvaZJTcj7VR&#10;QOmu/jl8N9fT7k6Xib3Q3w1rpXrddj0H4an1/+FPe68VzCZjeJ8JR0Au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7xZvEAAAA3AAAAA8AAAAAAAAAAAAAAAAAmAIAAGRycy9k&#10;b3ducmV2LnhtbFBLBQYAAAAABAAEAPUAAACJAwAAAAA=&#10;" path="m,800l,e" filled="f" strokeweight="1.08pt">
                  <v:path arrowok="t" o:connecttype="custom" o:connectlocs="0,800;0,0" o:connectangles="0,0"/>
                </v:shape>
                <v:shape id="Text Box 55" o:spid="_x0000_s1043" type="#_x0000_t202" style="position:absolute;left:2276;top:331;width:1724;height: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HYOcUA&#10;AADcAAAADwAAAGRycy9kb3ducmV2LnhtbESPQWvCQBSE74L/YXlCb7qxUKupq4goFAQxpoceX7PP&#10;ZDH7Ns1uNf57Vyh4HGbmG2a+7GwtLtR641jBeJSAIC6cNlwq+Mq3wykIH5A11o5JwY08LBf93hxT&#10;7a6c0eUYShEh7FNUUIXQpFL6oiKLfuQa4uidXGsxRNmWUrd4jXBby9ckmUiLhuNChQ2tKyrOxz+r&#10;YPXN2cb87n8O2SkzeT5LeDc5K/Uy6FYfIAJ14Rn+b39qBbP3N3iciUd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sdg5xQAAANwAAAAPAAAAAAAAAAAAAAAAAJgCAABkcnMv&#10;ZG93bnJldi54bWxQSwUGAAAAAAQABAD1AAAAigMAAAAA&#10;" filled="f" stroked="f">
                  <v:textbox inset="0,0,0,0">
                    <w:txbxContent>
                      <w:p w:rsidR="007B2B7B" w:rsidRDefault="007B2B7B">
                        <w:pPr>
                          <w:pStyle w:val="BodyText"/>
                          <w:kinsoku w:val="0"/>
                          <w:overflowPunct w:val="0"/>
                          <w:spacing w:before="97"/>
                          <w:ind w:left="208" w:right="192"/>
                          <w:jc w:val="center"/>
                          <w:rPr>
                            <w:rFonts w:ascii="Arial" w:hAnsi="Arial" w:cs="Arial"/>
                            <w:b/>
                            <w:bCs/>
                            <w:w w:val="95"/>
                            <w:sz w:val="16"/>
                            <w:szCs w:val="16"/>
                          </w:rPr>
                        </w:pPr>
                        <w:r>
                          <w:rPr>
                            <w:rFonts w:ascii="Arial" w:hAnsi="Arial" w:cs="Arial"/>
                            <w:b/>
                            <w:bCs/>
                            <w:w w:val="95"/>
                            <w:sz w:val="16"/>
                            <w:szCs w:val="16"/>
                          </w:rPr>
                          <w:t>Behavioral Health</w:t>
                        </w:r>
                      </w:p>
                      <w:p w:rsidR="007B2B7B" w:rsidRDefault="007B2B7B">
                        <w:pPr>
                          <w:pStyle w:val="BodyText"/>
                          <w:kinsoku w:val="0"/>
                          <w:overflowPunct w:val="0"/>
                          <w:spacing w:before="63"/>
                          <w:ind w:left="198" w:right="192"/>
                          <w:jc w:val="center"/>
                          <w:rPr>
                            <w:rFonts w:ascii="Arial" w:hAnsi="Arial" w:cs="Arial"/>
                            <w:b/>
                            <w:bCs/>
                            <w:sz w:val="17"/>
                            <w:szCs w:val="17"/>
                          </w:rPr>
                        </w:pPr>
                        <w:r>
                          <w:rPr>
                            <w:rFonts w:ascii="Arial" w:hAnsi="Arial" w:cs="Arial"/>
                            <w:b/>
                            <w:bCs/>
                            <w:sz w:val="17"/>
                            <w:szCs w:val="17"/>
                          </w:rPr>
                          <w:t>Providers</w:t>
                        </w:r>
                      </w:p>
                    </w:txbxContent>
                  </v:textbox>
                </v:shape>
                <w10:wrap type="topAndBottom" anchorx="page"/>
              </v:group>
            </w:pict>
          </mc:Fallback>
        </mc:AlternateContent>
      </w:r>
      <w:r>
        <w:rPr>
          <w:noProof/>
        </w:rPr>
        <mc:AlternateContent>
          <mc:Choice Requires="wpg">
            <w:drawing>
              <wp:anchor distT="0" distB="0" distL="0" distR="0" simplePos="0" relativeHeight="251472384" behindDoc="0" locked="0" layoutInCell="0" allowOverlap="1">
                <wp:simplePos x="0" y="0"/>
                <wp:positionH relativeFrom="page">
                  <wp:posOffset>2628265</wp:posOffset>
                </wp:positionH>
                <wp:positionV relativeFrom="paragraph">
                  <wp:posOffset>193040</wp:posOffset>
                </wp:positionV>
                <wp:extent cx="1655445" cy="528320"/>
                <wp:effectExtent l="0" t="0" r="0" b="0"/>
                <wp:wrapTopAndBottom/>
                <wp:docPr id="964"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5445" cy="528320"/>
                          <a:chOff x="4139" y="304"/>
                          <a:chExt cx="2607" cy="832"/>
                        </a:xfrm>
                      </wpg:grpSpPr>
                      <wps:wsp>
                        <wps:cNvPr id="965" name="Freeform 57"/>
                        <wps:cNvSpPr>
                          <a:spLocks/>
                        </wps:cNvSpPr>
                        <wps:spPr bwMode="auto">
                          <a:xfrm>
                            <a:off x="4147" y="326"/>
                            <a:ext cx="2592" cy="20"/>
                          </a:xfrm>
                          <a:custGeom>
                            <a:avLst/>
                            <a:gdLst>
                              <a:gd name="T0" fmla="*/ 0 w 2592"/>
                              <a:gd name="T1" fmla="*/ 0 h 20"/>
                              <a:gd name="T2" fmla="*/ 2592 w 2592"/>
                              <a:gd name="T3" fmla="*/ 0 h 20"/>
                            </a:gdLst>
                            <a:ahLst/>
                            <a:cxnLst>
                              <a:cxn ang="0">
                                <a:pos x="T0" y="T1"/>
                              </a:cxn>
                              <a:cxn ang="0">
                                <a:pos x="T2" y="T3"/>
                              </a:cxn>
                            </a:cxnLst>
                            <a:rect l="0" t="0" r="r" b="b"/>
                            <a:pathLst>
                              <a:path w="2592" h="20">
                                <a:moveTo>
                                  <a:pt x="0" y="0"/>
                                </a:moveTo>
                                <a:lnTo>
                                  <a:pt x="2592"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6" name="Freeform 58"/>
                        <wps:cNvSpPr>
                          <a:spLocks/>
                        </wps:cNvSpPr>
                        <wps:spPr bwMode="auto">
                          <a:xfrm>
                            <a:off x="4158" y="315"/>
                            <a:ext cx="20" cy="799"/>
                          </a:xfrm>
                          <a:custGeom>
                            <a:avLst/>
                            <a:gdLst>
                              <a:gd name="T0" fmla="*/ 0 w 20"/>
                              <a:gd name="T1" fmla="*/ 799 h 799"/>
                              <a:gd name="T2" fmla="*/ 0 w 20"/>
                              <a:gd name="T3" fmla="*/ 0 h 799"/>
                            </a:gdLst>
                            <a:ahLst/>
                            <a:cxnLst>
                              <a:cxn ang="0">
                                <a:pos x="T0" y="T1"/>
                              </a:cxn>
                              <a:cxn ang="0">
                                <a:pos x="T2" y="T3"/>
                              </a:cxn>
                            </a:cxnLst>
                            <a:rect l="0" t="0" r="r" b="b"/>
                            <a:pathLst>
                              <a:path w="20" h="799">
                                <a:moveTo>
                                  <a:pt x="0" y="799"/>
                                </a:moveTo>
                                <a:lnTo>
                                  <a:pt x="0" y="0"/>
                                </a:lnTo>
                              </a:path>
                            </a:pathLst>
                          </a:custGeom>
                          <a:noFill/>
                          <a:ln w="1371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7" name="Freeform 59"/>
                        <wps:cNvSpPr>
                          <a:spLocks/>
                        </wps:cNvSpPr>
                        <wps:spPr bwMode="auto">
                          <a:xfrm>
                            <a:off x="4147" y="1110"/>
                            <a:ext cx="2585" cy="20"/>
                          </a:xfrm>
                          <a:custGeom>
                            <a:avLst/>
                            <a:gdLst>
                              <a:gd name="T0" fmla="*/ 0 w 2585"/>
                              <a:gd name="T1" fmla="*/ 0 h 20"/>
                              <a:gd name="T2" fmla="*/ 2585 w 2585"/>
                              <a:gd name="T3" fmla="*/ 0 h 20"/>
                            </a:gdLst>
                            <a:ahLst/>
                            <a:cxnLst>
                              <a:cxn ang="0">
                                <a:pos x="T0" y="T1"/>
                              </a:cxn>
                              <a:cxn ang="0">
                                <a:pos x="T2" y="T3"/>
                              </a:cxn>
                            </a:cxnLst>
                            <a:rect l="0" t="0" r="r" b="b"/>
                            <a:pathLst>
                              <a:path w="2585" h="20">
                                <a:moveTo>
                                  <a:pt x="0" y="0"/>
                                </a:moveTo>
                                <a:lnTo>
                                  <a:pt x="2585"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8" name="Freeform 60"/>
                        <wps:cNvSpPr>
                          <a:spLocks/>
                        </wps:cNvSpPr>
                        <wps:spPr bwMode="auto">
                          <a:xfrm>
                            <a:off x="6725" y="322"/>
                            <a:ext cx="20" cy="806"/>
                          </a:xfrm>
                          <a:custGeom>
                            <a:avLst/>
                            <a:gdLst>
                              <a:gd name="T0" fmla="*/ 0 w 20"/>
                              <a:gd name="T1" fmla="*/ 805 h 806"/>
                              <a:gd name="T2" fmla="*/ 0 w 20"/>
                              <a:gd name="T3" fmla="*/ 0 h 806"/>
                            </a:gdLst>
                            <a:ahLst/>
                            <a:cxnLst>
                              <a:cxn ang="0">
                                <a:pos x="T0" y="T1"/>
                              </a:cxn>
                              <a:cxn ang="0">
                                <a:pos x="T2" y="T3"/>
                              </a:cxn>
                            </a:cxnLst>
                            <a:rect l="0" t="0" r="r" b="b"/>
                            <a:pathLst>
                              <a:path w="20" h="806">
                                <a:moveTo>
                                  <a:pt x="0" y="80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9" name="Text Box 61"/>
                        <wps:cNvSpPr txBox="1">
                          <a:spLocks noChangeArrowheads="1"/>
                        </wps:cNvSpPr>
                        <wps:spPr bwMode="auto">
                          <a:xfrm>
                            <a:off x="4158" y="326"/>
                            <a:ext cx="2567" cy="7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pStyle w:val="BodyText"/>
                                <w:kinsoku w:val="0"/>
                                <w:overflowPunct w:val="0"/>
                                <w:spacing w:before="105" w:line="348" w:lineRule="auto"/>
                                <w:ind w:left="519" w:hanging="173"/>
                                <w:rPr>
                                  <w:rFonts w:ascii="Arial" w:hAnsi="Arial" w:cs="Arial"/>
                                  <w:sz w:val="19"/>
                                  <w:szCs w:val="19"/>
                                </w:rPr>
                              </w:pPr>
                              <w:r>
                                <w:rPr>
                                  <w:rFonts w:ascii="Arial" w:hAnsi="Arial" w:cs="Arial"/>
                                  <w:w w:val="90"/>
                                  <w:sz w:val="19"/>
                                  <w:szCs w:val="19"/>
                                </w:rPr>
                                <w:t xml:space="preserve">ACCOUNTABLE CARE </w:t>
                              </w:r>
                              <w:r>
                                <w:rPr>
                                  <w:rFonts w:ascii="Arial" w:hAnsi="Arial" w:cs="Arial"/>
                                  <w:sz w:val="19"/>
                                  <w:szCs w:val="19"/>
                                </w:rPr>
                                <w:t>ORGANIZATIONS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6" o:spid="_x0000_s1044" style="position:absolute;margin-left:206.95pt;margin-top:15.2pt;width:130.35pt;height:41.6pt;z-index:251472384;mso-wrap-distance-left:0;mso-wrap-distance-right:0;mso-position-horizontal-relative:page" coordorigin="4139,304" coordsize="2607,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" o:allowincell="f">
                <v:shape id="Freeform 57" o:spid="_x0000_s1045" style="position:absolute;left:4147;top:326;width:2592;height:20;visibility:visible;mso-wrap-style:square;v-text-anchor:top" coordsize="259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l7pMUA&#10;AADcAAAADwAAAGRycy9kb3ducmV2LnhtbESPT2vCQBTE74LfYXmCN7OxqGjqKlIo6M1/FHp7zT6T&#10;YPbtmt3G2E/fLRQ8DjPzG2a57kwtWmp8ZVnBOElBEOdWV1woOJ/eR3MQPiBrrC2Tggd5WK/6vSVm&#10;2t75QO0xFCJC2GeooAzBZVL6vCSDPrGOOHoX2xgMUTaF1A3eI9zU8iVNZ9JgxXGhREdvJeXX47dR&#10;0OLnbXLYu9vXx+lxdYYWu81PUGo46DavIAJ14Rn+b2+1gsVsCn9n4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OXukxQAAANwAAAAPAAAAAAAAAAAAAAAAAJgCAABkcnMv&#10;ZG93bnJldi54bWxQSwUGAAAAAAQABAD1AAAAigMAAAAA&#10;" path="m,l2592,e" filled="f" strokeweight=".72pt">
                  <v:path arrowok="t" o:connecttype="custom" o:connectlocs="0,0;2592,0" o:connectangles="0,0"/>
                </v:shape>
                <v:shape id="Freeform 58" o:spid="_x0000_s1046" style="position:absolute;left:4158;top:315;width:20;height:799;visibility:visible;mso-wrap-style:square;v-text-anchor:top" coordsize="20,7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RJ6cMA&#10;AADcAAAADwAAAGRycy9kb3ducmV2LnhtbESPwW7CMBBE75X4B2uReisOHAIEDEIIRI9tWu6reEkC&#10;8TrYJiR/X1eq1ONoZt5o1tveNKIj52vLCqaTBARxYXXNpYLvr+PbAoQPyBoby6RgIA/bzehljZm2&#10;T/6kLg+liBD2GSqoQmgzKX1RkUE/sS1x9C7WGQxRulJqh88IN42cJUkqDdYcFypsaV9RccsfRsHH&#10;Nb/s9vdk3p1bVywO6VDPT4NSr+N+twIRqA//4b/2u1awTFP4PROPgN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zRJ6cMAAADcAAAADwAAAAAAAAAAAAAAAACYAgAAZHJzL2Rv&#10;d25yZXYueG1sUEsFBgAAAAAEAAQA9QAAAIgDAAAAAA==&#10;" path="m,799l,e" filled="f" strokeweight="1.08pt">
                  <v:path arrowok="t" o:connecttype="custom" o:connectlocs="0,799;0,0" o:connectangles="0,0"/>
                </v:shape>
                <v:shape id="Freeform 59" o:spid="_x0000_s1047" style="position:absolute;left:4147;top:1110;width:2585;height:20;visibility:visible;mso-wrap-style:square;v-text-anchor:top" coordsize="258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SosYA&#10;AADcAAAADwAAAGRycy9kb3ducmV2LnhtbESPT2vCQBTE70K/w/IKvenGQv2TZpXSUvCiqBXS4yP7&#10;mk2bfRuy2yR+e1cQPA4z8xsmWw+2Fh21vnKsYDpJQBAXTldcKjh9fY4XIHxA1lg7JgVn8rBePYwy&#10;TLXr+UDdMZQiQtinqMCE0KRS+sKQRT9xDXH0flxrMUTZllK32Ee4reVzksykxYrjgsGG3g0Vf8d/&#10;q+D7hHm3W04PPi/M73n70dfyZa/U0+Pw9goi0BDu4Vt7oxUsZ3O4nolHQK4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DSosYAAADcAAAADwAAAAAAAAAAAAAAAACYAgAAZHJz&#10;L2Rvd25yZXYueG1sUEsFBgAAAAAEAAQA9QAAAIsDAAAAAA==&#10;" path="m,l2585,e" filled="f" strokeweight=".72pt">
                  <v:path arrowok="t" o:connecttype="custom" o:connectlocs="0,0;2585,0" o:connectangles="0,0"/>
                </v:shape>
                <v:shape id="Freeform 60" o:spid="_x0000_s1048" style="position:absolute;left:6725;top:322;width:20;height:806;visibility:visible;mso-wrap-style:square;v-text-anchor:top" coordsize="20,8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XPesIA&#10;AADcAAAADwAAAGRycy9kb3ducmV2LnhtbERPTYvCMBC9C/sfwix403RlEa1GkQVBWDxUXdbj2Ixt&#10;sZnUJq3VX28OgsfH+54vO1OKlmpXWFbwNYxAEKdWF5wpOOzXgwkI55E1lpZJwZ0cLBcfvTnG2t44&#10;oXbnMxFC2MWoIPe+iqV0aU4G3dBWxIE729qgD7DOpK7xFsJNKUdRNJYGCw4NOVb0k1N62TVGwXdy&#10;fPz+2UlD7X97PZTJtjltp0r1P7vVDISnzr/FL/dGK5iOw9pwJhwB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Nc96wgAAANwAAAAPAAAAAAAAAAAAAAAAAJgCAABkcnMvZG93&#10;bnJldi54bWxQSwUGAAAAAAQABAD1AAAAhwMAAAAA&#10;" path="m,805l,e" filled="f" strokeweight=".72pt">
                  <v:path arrowok="t" o:connecttype="custom" o:connectlocs="0,805;0,0" o:connectangles="0,0"/>
                </v:shape>
                <v:shape id="Text Box 61" o:spid="_x0000_s1049" type="#_x0000_t202" style="position:absolute;left:4158;top:326;width:2567;height:7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VE4cUA&#10;AADcAAAADwAAAGRycy9kb3ducmV2LnhtbESPQWvCQBSE74X+h+UVeqsbewhN6kZELAiFYowHj6/Z&#10;l2Qx+zZmV03/vVso9DjMzDfMYjnZXlxp9MaxgvksAUFcO224VXCoPl7eQPiArLF3TAp+yMOyeHxY&#10;YK7djUu67kMrIoR9jgq6EIZcSl93ZNHP3EAcvcaNFkOUYyv1iLcIt718TZJUWjQcFzocaN1Rfdpf&#10;rILVkcuNOX9978qmNFWVJfyZnpR6fppW7yACTeE//NfeagVZmsHvmXgEZH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JUThxQAAANwAAAAPAAAAAAAAAAAAAAAAAJgCAABkcnMv&#10;ZG93bnJldi54bWxQSwUGAAAAAAQABAD1AAAAigMAAAAA&#10;" filled="f" stroked="f">
                  <v:textbox inset="0,0,0,0">
                    <w:txbxContent>
                      <w:p w:rsidR="007B2B7B" w:rsidRDefault="007B2B7B">
                        <w:pPr>
                          <w:pStyle w:val="BodyText"/>
                          <w:kinsoku w:val="0"/>
                          <w:overflowPunct w:val="0"/>
                          <w:spacing w:before="105" w:line="348" w:lineRule="auto"/>
                          <w:ind w:left="519" w:hanging="173"/>
                          <w:rPr>
                            <w:rFonts w:ascii="Arial" w:hAnsi="Arial" w:cs="Arial"/>
                            <w:sz w:val="19"/>
                            <w:szCs w:val="19"/>
                          </w:rPr>
                        </w:pPr>
                        <w:r>
                          <w:rPr>
                            <w:rFonts w:ascii="Arial" w:hAnsi="Arial" w:cs="Arial"/>
                            <w:w w:val="90"/>
                            <w:sz w:val="19"/>
                            <w:szCs w:val="19"/>
                          </w:rPr>
                          <w:t xml:space="preserve">ACCOUNTABLE CARE </w:t>
                        </w:r>
                        <w:r>
                          <w:rPr>
                            <w:rFonts w:ascii="Arial" w:hAnsi="Arial" w:cs="Arial"/>
                            <w:sz w:val="19"/>
                            <w:szCs w:val="19"/>
                          </w:rPr>
                          <w:t>ORGANIZATIONS</w:t>
                        </w:r>
                      </w:p>
                    </w:txbxContent>
                  </v:textbox>
                </v:shape>
                <w10:wrap type="topAndBottom" anchorx="page"/>
              </v:group>
            </w:pict>
          </mc:Fallback>
        </mc:AlternateContent>
      </w:r>
      <w:r>
        <w:rPr>
          <w:noProof/>
        </w:rPr>
        <mc:AlternateContent>
          <mc:Choice Requires="wpg">
            <w:drawing>
              <wp:anchor distT="0" distB="0" distL="0" distR="0" simplePos="0" relativeHeight="251473408" behindDoc="0" locked="0" layoutInCell="0" allowOverlap="1">
                <wp:simplePos x="0" y="0"/>
                <wp:positionH relativeFrom="page">
                  <wp:posOffset>4392930</wp:posOffset>
                </wp:positionH>
                <wp:positionV relativeFrom="paragraph">
                  <wp:posOffset>202565</wp:posOffset>
                </wp:positionV>
                <wp:extent cx="1179830" cy="521335"/>
                <wp:effectExtent l="0" t="0" r="0" b="0"/>
                <wp:wrapTopAndBottom/>
                <wp:docPr id="958"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9830" cy="521335"/>
                          <a:chOff x="6918" y="319"/>
                          <a:chExt cx="1858" cy="821"/>
                        </a:xfrm>
                      </wpg:grpSpPr>
                      <wps:wsp>
                        <wps:cNvPr id="959" name="Freeform 63"/>
                        <wps:cNvSpPr>
                          <a:spLocks/>
                        </wps:cNvSpPr>
                        <wps:spPr bwMode="auto">
                          <a:xfrm>
                            <a:off x="6925" y="337"/>
                            <a:ext cx="1843" cy="20"/>
                          </a:xfrm>
                          <a:custGeom>
                            <a:avLst/>
                            <a:gdLst>
                              <a:gd name="T0" fmla="*/ 0 w 1843"/>
                              <a:gd name="T1" fmla="*/ 0 h 20"/>
                              <a:gd name="T2" fmla="*/ 1843 w 1843"/>
                              <a:gd name="T3" fmla="*/ 0 h 20"/>
                            </a:gdLst>
                            <a:ahLst/>
                            <a:cxnLst>
                              <a:cxn ang="0">
                                <a:pos x="T0" y="T1"/>
                              </a:cxn>
                              <a:cxn ang="0">
                                <a:pos x="T2" y="T3"/>
                              </a:cxn>
                            </a:cxnLst>
                            <a:rect l="0" t="0" r="r" b="b"/>
                            <a:pathLst>
                              <a:path w="1843" h="20">
                                <a:moveTo>
                                  <a:pt x="0" y="0"/>
                                </a:moveTo>
                                <a:lnTo>
                                  <a:pt x="184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0" name="Freeform 64"/>
                        <wps:cNvSpPr>
                          <a:spLocks/>
                        </wps:cNvSpPr>
                        <wps:spPr bwMode="auto">
                          <a:xfrm>
                            <a:off x="6932" y="330"/>
                            <a:ext cx="20" cy="799"/>
                          </a:xfrm>
                          <a:custGeom>
                            <a:avLst/>
                            <a:gdLst>
                              <a:gd name="T0" fmla="*/ 0 w 20"/>
                              <a:gd name="T1" fmla="*/ 799 h 799"/>
                              <a:gd name="T2" fmla="*/ 0 w 20"/>
                              <a:gd name="T3" fmla="*/ 0 h 799"/>
                            </a:gdLst>
                            <a:ahLst/>
                            <a:cxnLst>
                              <a:cxn ang="0">
                                <a:pos x="T0" y="T1"/>
                              </a:cxn>
                              <a:cxn ang="0">
                                <a:pos x="T2" y="T3"/>
                              </a:cxn>
                            </a:cxnLst>
                            <a:rect l="0" t="0" r="r" b="b"/>
                            <a:pathLst>
                              <a:path w="20" h="799">
                                <a:moveTo>
                                  <a:pt x="0" y="799"/>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1" name="Freeform 65"/>
                        <wps:cNvSpPr>
                          <a:spLocks/>
                        </wps:cNvSpPr>
                        <wps:spPr bwMode="auto">
                          <a:xfrm>
                            <a:off x="8758" y="330"/>
                            <a:ext cx="20" cy="799"/>
                          </a:xfrm>
                          <a:custGeom>
                            <a:avLst/>
                            <a:gdLst>
                              <a:gd name="T0" fmla="*/ 0 w 20"/>
                              <a:gd name="T1" fmla="*/ 799 h 799"/>
                              <a:gd name="T2" fmla="*/ 0 w 20"/>
                              <a:gd name="T3" fmla="*/ 0 h 799"/>
                            </a:gdLst>
                            <a:ahLst/>
                            <a:cxnLst>
                              <a:cxn ang="0">
                                <a:pos x="T0" y="T1"/>
                              </a:cxn>
                              <a:cxn ang="0">
                                <a:pos x="T2" y="T3"/>
                              </a:cxn>
                            </a:cxnLst>
                            <a:rect l="0" t="0" r="r" b="b"/>
                            <a:pathLst>
                              <a:path w="20" h="799">
                                <a:moveTo>
                                  <a:pt x="0" y="799"/>
                                </a:moveTo>
                                <a:lnTo>
                                  <a:pt x="0" y="0"/>
                                </a:lnTo>
                              </a:path>
                            </a:pathLst>
                          </a:custGeom>
                          <a:noFill/>
                          <a:ln w="1371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2" name="Freeform 66"/>
                        <wps:cNvSpPr>
                          <a:spLocks/>
                        </wps:cNvSpPr>
                        <wps:spPr bwMode="auto">
                          <a:xfrm>
                            <a:off x="6925" y="1122"/>
                            <a:ext cx="1843" cy="20"/>
                          </a:xfrm>
                          <a:custGeom>
                            <a:avLst/>
                            <a:gdLst>
                              <a:gd name="T0" fmla="*/ 0 w 1843"/>
                              <a:gd name="T1" fmla="*/ 0 h 20"/>
                              <a:gd name="T2" fmla="*/ 1843 w 1843"/>
                              <a:gd name="T3" fmla="*/ 0 h 20"/>
                            </a:gdLst>
                            <a:ahLst/>
                            <a:cxnLst>
                              <a:cxn ang="0">
                                <a:pos x="T0" y="T1"/>
                              </a:cxn>
                              <a:cxn ang="0">
                                <a:pos x="T2" y="T3"/>
                              </a:cxn>
                            </a:cxnLst>
                            <a:rect l="0" t="0" r="r" b="b"/>
                            <a:pathLst>
                              <a:path w="1843" h="20">
                                <a:moveTo>
                                  <a:pt x="0" y="0"/>
                                </a:moveTo>
                                <a:lnTo>
                                  <a:pt x="184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3" name="Text Box 67"/>
                        <wps:cNvSpPr txBox="1">
                          <a:spLocks noChangeArrowheads="1"/>
                        </wps:cNvSpPr>
                        <wps:spPr bwMode="auto">
                          <a:xfrm>
                            <a:off x="6933" y="337"/>
                            <a:ext cx="1826" cy="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pStyle w:val="BodyText"/>
                                <w:kinsoku w:val="0"/>
                                <w:overflowPunct w:val="0"/>
                                <w:spacing w:before="96" w:line="350" w:lineRule="auto"/>
                                <w:ind w:left="425" w:right="206" w:hanging="202"/>
                                <w:rPr>
                                  <w:rFonts w:ascii="Arial" w:hAnsi="Arial" w:cs="Arial"/>
                                  <w:b/>
                                  <w:bCs/>
                                  <w:w w:val="95"/>
                                  <w:sz w:val="16"/>
                                  <w:szCs w:val="16"/>
                                </w:rPr>
                              </w:pPr>
                              <w:r>
                                <w:rPr>
                                  <w:rFonts w:ascii="Arial" w:hAnsi="Arial" w:cs="Arial"/>
                                  <w:b/>
                                  <w:bCs/>
                                  <w:w w:val="90"/>
                                  <w:sz w:val="16"/>
                                  <w:szCs w:val="16"/>
                                </w:rPr>
                                <w:t xml:space="preserve">Long Term Services </w:t>
                              </w:r>
                              <w:r>
                                <w:rPr>
                                  <w:rFonts w:ascii="Arial" w:hAnsi="Arial" w:cs="Arial"/>
                                  <w:b/>
                                  <w:bCs/>
                                  <w:w w:val="95"/>
                                  <w:sz w:val="16"/>
                                  <w:szCs w:val="16"/>
                                </w:rPr>
                                <w:t>and Supports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2" o:spid="_x0000_s1050" style="position:absolute;margin-left:345.9pt;margin-top:15.95pt;width:92.9pt;height:41.05pt;z-index:251473408;mso-wrap-distance-left:0;mso-wrap-distance-right:0;mso-position-horizontal-relative:page" coordorigin="6918,319" coordsize="1858,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" o:allowincell="f">
                <v:shape id="Freeform 63" o:spid="_x0000_s1051" style="position:absolute;left:6925;top:337;width:1843;height:20;visibility:visible;mso-wrap-style:square;v-text-anchor:top" coordsize="184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S8b8MA&#10;AADcAAAADwAAAGRycy9kb3ducmV2LnhtbESPQWsCMRSE74X+h/AKvdVsC1V3NYqUVrzqeuntsXnd&#10;LG5etkm6pv/eCILHYWa+YZbrZHsxkg+dYwWvkwIEceN0x62CY/31MgcRIrLG3jEp+KcA69XjwxIr&#10;7c68p/EQW5EhHCpUYGIcKilDY8himLiBOHs/zluMWfpWao/nDLe9fCuKqbTYcV4wONCHoeZ0+LMK&#10;0uZ3O5q9j/Vx1qbvsk7Gfyalnp/SZgEiUor38K290wrK9xKuZ/IRkKs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vS8b8MAAADcAAAADwAAAAAAAAAAAAAAAACYAgAAZHJzL2Rv&#10;d25yZXYueG1sUEsFBgAAAAAEAAQA9QAAAIgDAAAAAA==&#10;" path="m,l1843,e" filled="f" strokeweight=".72pt">
                  <v:path arrowok="t" o:connecttype="custom" o:connectlocs="0,0;1843,0" o:connectangles="0,0"/>
                </v:shape>
                <v:shape id="Freeform 64" o:spid="_x0000_s1052" style="position:absolute;left:6932;top:330;width:20;height:799;visibility:visible;mso-wrap-style:square;v-text-anchor:top" coordsize="20,7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Aft8IA&#10;AADcAAAADwAAAGRycy9kb3ducmV2LnhtbERPTYvCMBC9C/sfwgheRFNFpHabyioInoRVWdbb0My2&#10;xWZSmlSrv35zEDw+3ne67k0tbtS6yrKC2TQCQZxbXXGh4HzaTWIQziNrrC2Tggc5WGcfgxQTbe/8&#10;TbejL0QIYZeggtL7JpHS5SUZdFPbEAfuz7YGfYBtIXWL9xBuajmPoqU0WHFoKLGhbUn59dgZBZ3O&#10;6ffw89hdoll32RTWLZ7jWKnRsP/6BOGp92/xy73XClbLMD+cCUd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QB+3wgAAANwAAAAPAAAAAAAAAAAAAAAAAJgCAABkcnMvZG93&#10;bnJldi54bWxQSwUGAAAAAAQABAD1AAAAhwMAAAAA&#10;" path="m,799l,e" filled="f" strokeweight=".72pt">
                  <v:path arrowok="t" o:connecttype="custom" o:connectlocs="0,799;0,0" o:connectangles="0,0"/>
                </v:shape>
                <v:shape id="Freeform 65" o:spid="_x0000_s1053" style="position:absolute;left:8758;top:330;width:20;height:799;visibility:visible;mso-wrap-style:square;v-text-anchor:top" coordsize="20,7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3RncMA&#10;AADcAAAADwAAAGRycy9kb3ducmV2LnhtbESPwW7CMBBE70j8g7VIvYFDDwECBiHUqj2WAPdVvCSB&#10;eJ3abkj+vkaq1ONoZt5oNrveNKIj52vLCuazBARxYXXNpYLz6X26BOEDssbGMikYyMNuOx5tMNP2&#10;wUfq8lCKCGGfoYIqhDaT0hcVGfQz2xJH72qdwRClK6V2+Ihw08jXJEmlwZrjQoUtHSoq7vmPUfB1&#10;y6/7w3ey6C6tK5Zv6VAvPgalXib9fg0iUB/+w3/tT61glc7heSYeAbn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3RncMAAADcAAAADwAAAAAAAAAAAAAAAACYAgAAZHJzL2Rv&#10;d25yZXYueG1sUEsFBgAAAAAEAAQA9QAAAIgDAAAAAA==&#10;" path="m,799l,e" filled="f" strokeweight="1.08pt">
                  <v:path arrowok="t" o:connecttype="custom" o:connectlocs="0,799;0,0" o:connectangles="0,0"/>
                </v:shape>
                <v:shape id="Freeform 66" o:spid="_x0000_s1054" style="position:absolute;left:6925;top:1122;width:1843;height:20;visibility:visible;mso-wrap-style:square;v-text-anchor:top" coordsize="184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zko8MA&#10;AADcAAAADwAAAGRycy9kb3ducmV2LnhtbESPwW7CMBBE75X4B2uReisOHCikOBGq2qpXCJfeVvES&#10;R8TrYLvB/fu6UiWOo5l5o9nVyQ5iIh96xwqWiwIEcet0z52CU/P+tAERIrLGwTEp+KEAdTV72GGp&#10;3Y0PNB1jJzKEQ4kKTIxjKWVoDVkMCzcSZ+/svMWYpe+k9njLcDvIVVGspcWe84LBkV4NtZfjt1WQ&#10;9tePyRx8bE7PXfraNsn4t6TU4zztX0BESvEe/m9/agXb9Qr+zuQjI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zko8MAAADcAAAADwAAAAAAAAAAAAAAAACYAgAAZHJzL2Rv&#10;d25yZXYueG1sUEsFBgAAAAAEAAQA9QAAAIgDAAAAAA==&#10;" path="m,l1843,e" filled="f" strokeweight=".72pt">
                  <v:path arrowok="t" o:connecttype="custom" o:connectlocs="0,0;1843,0" o:connectangles="0,0"/>
                </v:shape>
                <v:shape id="Text Box 67" o:spid="_x0000_s1055" type="#_x0000_t202" style="position:absolute;left:6933;top:337;width:1826;height:7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1zC8UA&#10;AADcAAAADwAAAGRycy9kb3ducmV2LnhtbESPQWvCQBSE70L/w/KE3nSjhVBTV5GiIBSKMR48vmaf&#10;yWL2bcyumv77rlDwOMzMN8x82dtG3KjzxrGCyTgBQVw6bbhScCg2o3cQPiBrbByTgl/ysFy8DOaY&#10;aXfnnG77UIkIYZ+hgjqENpPSlzVZ9GPXEkfv5DqLIcqukrrDe4TbRk6TJJUWDceFGlv6rKk8769W&#10;werI+dpcvn92+Sk3RTFL+Cs9K/U67FcfIAL14Rn+b2+1gln6B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zXMLxQAAANwAAAAPAAAAAAAAAAAAAAAAAJgCAABkcnMv&#10;ZG93bnJldi54bWxQSwUGAAAAAAQABAD1AAAAigMAAAAA&#10;" filled="f" stroked="f">
                  <v:textbox inset="0,0,0,0">
                    <w:txbxContent>
                      <w:p w:rsidR="007B2B7B" w:rsidRDefault="007B2B7B">
                        <w:pPr>
                          <w:pStyle w:val="BodyText"/>
                          <w:kinsoku w:val="0"/>
                          <w:overflowPunct w:val="0"/>
                          <w:spacing w:before="96" w:line="350" w:lineRule="auto"/>
                          <w:ind w:left="425" w:right="206" w:hanging="202"/>
                          <w:rPr>
                            <w:rFonts w:ascii="Arial" w:hAnsi="Arial" w:cs="Arial"/>
                            <w:b/>
                            <w:bCs/>
                            <w:w w:val="95"/>
                            <w:sz w:val="16"/>
                            <w:szCs w:val="16"/>
                          </w:rPr>
                        </w:pPr>
                        <w:r>
                          <w:rPr>
                            <w:rFonts w:ascii="Arial" w:hAnsi="Arial" w:cs="Arial"/>
                            <w:b/>
                            <w:bCs/>
                            <w:w w:val="90"/>
                            <w:sz w:val="16"/>
                            <w:szCs w:val="16"/>
                          </w:rPr>
                          <w:t xml:space="preserve">Long Term Services </w:t>
                        </w:r>
                        <w:r>
                          <w:rPr>
                            <w:rFonts w:ascii="Arial" w:hAnsi="Arial" w:cs="Arial"/>
                            <w:b/>
                            <w:bCs/>
                            <w:w w:val="95"/>
                            <w:sz w:val="16"/>
                            <w:szCs w:val="16"/>
                          </w:rPr>
                          <w:t>and Supports</w:t>
                        </w:r>
                      </w:p>
                    </w:txbxContent>
                  </v:textbox>
                </v:shape>
                <w10:wrap type="topAndBottom" anchorx="page"/>
              </v:group>
            </w:pict>
          </mc:Fallback>
        </mc:AlternateContent>
      </w:r>
      <w:r>
        <w:rPr>
          <w:noProof/>
        </w:rPr>
        <mc:AlternateContent>
          <mc:Choice Requires="wpg">
            <w:drawing>
              <wp:anchor distT="0" distB="0" distL="0" distR="0" simplePos="0" relativeHeight="251474432" behindDoc="0" locked="0" layoutInCell="0" allowOverlap="1">
                <wp:simplePos x="0" y="0"/>
                <wp:positionH relativeFrom="page">
                  <wp:posOffset>3026410</wp:posOffset>
                </wp:positionH>
                <wp:positionV relativeFrom="paragraph">
                  <wp:posOffset>838835</wp:posOffset>
                </wp:positionV>
                <wp:extent cx="1010920" cy="827405"/>
                <wp:effectExtent l="0" t="0" r="0" b="0"/>
                <wp:wrapTopAndBottom/>
                <wp:docPr id="953"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920" cy="827405"/>
                          <a:chOff x="4766" y="1321"/>
                          <a:chExt cx="1592" cy="1303"/>
                        </a:xfrm>
                      </wpg:grpSpPr>
                      <wps:wsp>
                        <wps:cNvPr id="954" name="Freeform 69"/>
                        <wps:cNvSpPr>
                          <a:spLocks/>
                        </wps:cNvSpPr>
                        <wps:spPr bwMode="auto">
                          <a:xfrm>
                            <a:off x="4773" y="1343"/>
                            <a:ext cx="1577" cy="20"/>
                          </a:xfrm>
                          <a:custGeom>
                            <a:avLst/>
                            <a:gdLst>
                              <a:gd name="T0" fmla="*/ 0 w 1577"/>
                              <a:gd name="T1" fmla="*/ 0 h 20"/>
                              <a:gd name="T2" fmla="*/ 1577 w 1577"/>
                              <a:gd name="T3" fmla="*/ 0 h 20"/>
                            </a:gdLst>
                            <a:ahLst/>
                            <a:cxnLst>
                              <a:cxn ang="0">
                                <a:pos x="T0" y="T1"/>
                              </a:cxn>
                              <a:cxn ang="0">
                                <a:pos x="T2" y="T3"/>
                              </a:cxn>
                            </a:cxnLst>
                            <a:rect l="0" t="0" r="r" b="b"/>
                            <a:pathLst>
                              <a:path w="1577" h="20">
                                <a:moveTo>
                                  <a:pt x="0" y="0"/>
                                </a:moveTo>
                                <a:lnTo>
                                  <a:pt x="1577"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5" name="Freeform 70"/>
                        <wps:cNvSpPr>
                          <a:spLocks/>
                        </wps:cNvSpPr>
                        <wps:spPr bwMode="auto">
                          <a:xfrm>
                            <a:off x="4777" y="1332"/>
                            <a:ext cx="20" cy="1281"/>
                          </a:xfrm>
                          <a:custGeom>
                            <a:avLst/>
                            <a:gdLst>
                              <a:gd name="T0" fmla="*/ 0 w 20"/>
                              <a:gd name="T1" fmla="*/ 1281 h 1281"/>
                              <a:gd name="T2" fmla="*/ 0 w 20"/>
                              <a:gd name="T3" fmla="*/ 0 h 1281"/>
                            </a:gdLst>
                            <a:ahLst/>
                            <a:cxnLst>
                              <a:cxn ang="0">
                                <a:pos x="T0" y="T1"/>
                              </a:cxn>
                              <a:cxn ang="0">
                                <a:pos x="T2" y="T3"/>
                              </a:cxn>
                            </a:cxnLst>
                            <a:rect l="0" t="0" r="r" b="b"/>
                            <a:pathLst>
                              <a:path w="20" h="1281">
                                <a:moveTo>
                                  <a:pt x="0" y="1281"/>
                                </a:moveTo>
                                <a:lnTo>
                                  <a:pt x="0" y="0"/>
                                </a:lnTo>
                              </a:path>
                            </a:pathLst>
                          </a:custGeom>
                          <a:noFill/>
                          <a:ln w="1371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6" name="Freeform 71"/>
                        <wps:cNvSpPr>
                          <a:spLocks/>
                        </wps:cNvSpPr>
                        <wps:spPr bwMode="auto">
                          <a:xfrm>
                            <a:off x="6340" y="1339"/>
                            <a:ext cx="20" cy="1267"/>
                          </a:xfrm>
                          <a:custGeom>
                            <a:avLst/>
                            <a:gdLst>
                              <a:gd name="T0" fmla="*/ 0 w 20"/>
                              <a:gd name="T1" fmla="*/ 1267 h 1267"/>
                              <a:gd name="T2" fmla="*/ 0 w 20"/>
                              <a:gd name="T3" fmla="*/ 0 h 1267"/>
                            </a:gdLst>
                            <a:ahLst/>
                            <a:cxnLst>
                              <a:cxn ang="0">
                                <a:pos x="T0" y="T1"/>
                              </a:cxn>
                              <a:cxn ang="0">
                                <a:pos x="T2" y="T3"/>
                              </a:cxn>
                            </a:cxnLst>
                            <a:rect l="0" t="0" r="r" b="b"/>
                            <a:pathLst>
                              <a:path w="20" h="1267">
                                <a:moveTo>
                                  <a:pt x="0" y="1267"/>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7" name="Text Box 72"/>
                        <wps:cNvSpPr txBox="1">
                          <a:spLocks noChangeArrowheads="1"/>
                        </wps:cNvSpPr>
                        <wps:spPr bwMode="auto">
                          <a:xfrm>
                            <a:off x="4767" y="1322"/>
                            <a:ext cx="1592" cy="1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pStyle w:val="BodyText"/>
                                <w:kinsoku w:val="0"/>
                                <w:overflowPunct w:val="0"/>
                                <w:spacing w:before="1"/>
                                <w:rPr>
                                  <w:rFonts w:ascii="Arial" w:hAnsi="Arial" w:cs="Arial"/>
                                  <w:sz w:val="21"/>
                                  <w:szCs w:val="21"/>
                                </w:rPr>
                              </w:pPr>
                            </w:p>
                            <w:p w:rsidR="007B2B7B" w:rsidRDefault="007B2B7B">
                              <w:pPr>
                                <w:pStyle w:val="BodyText"/>
                                <w:kinsoku w:val="0"/>
                                <w:overflowPunct w:val="0"/>
                                <w:ind w:left="435" w:right="325"/>
                                <w:jc w:val="center"/>
                                <w:rPr>
                                  <w:rFonts w:ascii="Arial" w:hAnsi="Arial" w:cs="Arial"/>
                                  <w:sz w:val="19"/>
                                  <w:szCs w:val="19"/>
                                </w:rPr>
                              </w:pPr>
                              <w:r>
                                <w:rPr>
                                  <w:rFonts w:ascii="Arial" w:hAnsi="Arial" w:cs="Arial"/>
                                  <w:sz w:val="19"/>
                                  <w:szCs w:val="19"/>
                                </w:rPr>
                                <w:t>ACO</w:t>
                              </w:r>
                            </w:p>
                            <w:p w:rsidR="007B2B7B" w:rsidRDefault="007B2B7B">
                              <w:pPr>
                                <w:pStyle w:val="BodyText"/>
                                <w:kinsoku w:val="0"/>
                                <w:overflowPunct w:val="0"/>
                                <w:spacing w:before="85"/>
                                <w:ind w:left="438" w:right="325"/>
                                <w:jc w:val="center"/>
                                <w:rPr>
                                  <w:rFonts w:ascii="Arial" w:hAnsi="Arial" w:cs="Arial"/>
                                  <w:b/>
                                  <w:bCs/>
                                  <w:sz w:val="16"/>
                                  <w:szCs w:val="16"/>
                                </w:rPr>
                              </w:pPr>
                              <w:r>
                                <w:rPr>
                                  <w:rFonts w:ascii="Arial" w:hAnsi="Arial" w:cs="Arial"/>
                                  <w:b/>
                                  <w:bCs/>
                                  <w:sz w:val="16"/>
                                  <w:szCs w:val="16"/>
                                </w:rPr>
                                <w:t>Contracts</w:t>
                              </w:r>
                            </w:p>
                            <w:p w:rsidR="007B2B7B" w:rsidRDefault="007B2B7B">
                              <w:pPr>
                                <w:pStyle w:val="BodyText"/>
                                <w:kinsoku w:val="0"/>
                                <w:overflowPunct w:val="0"/>
                                <w:spacing w:before="83"/>
                                <w:ind w:left="438" w:right="325"/>
                                <w:jc w:val="center"/>
                                <w:rPr>
                                  <w:rFonts w:ascii="Arial" w:hAnsi="Arial" w:cs="Arial"/>
                                  <w:w w:val="105"/>
                                  <w:sz w:val="18"/>
                                  <w:szCs w:val="18"/>
                                </w:rPr>
                              </w:pPr>
                              <w:r>
                                <w:rPr>
                                  <w:rFonts w:ascii="Arial" w:hAnsi="Arial" w:cs="Arial"/>
                                  <w:w w:val="105"/>
                                  <w:sz w:val="18"/>
                                  <w:szCs w:val="18"/>
                                </w:rPr>
                                <w:t>with HUB</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8" o:spid="_x0000_s1056" style="position:absolute;margin-left:238.3pt;margin-top:66.05pt;width:79.6pt;height:65.15pt;z-index:251474432;mso-wrap-distance-left:0;mso-wrap-distance-right:0;mso-position-horizontal-relative:page" coordorigin="4766,1321" coordsize="1592,1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" o:allowincell="f">
                <v:shape id="Freeform 69" o:spid="_x0000_s1057" style="position:absolute;left:4773;top:1343;width:1577;height:20;visibility:visible;mso-wrap-style:square;v-text-anchor:top" coordsize="157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4EGsUA&#10;AADcAAAADwAAAGRycy9kb3ducmV2LnhtbESPS2sCMRSF90L/Q7gFN0Uzii06NYoPlO6sr0V3l8nt&#10;zNDJTZjEcfTXN4WCy8N5fJzpvDWVaKj2pWUFg34CgjizuuRcwem46Y1B+ICssbJMCm7kYT576kwx&#10;1fbKe2oOIRdxhH2KCooQXCqlzwoy6PvWEUfv29YGQ5R1LnWN1zhuKjlMkjdpsORIKNDRqqDs53Ax&#10;kbt+WY/dV3MOFe/uW2c/V8thrlT3uV28gwjUhkf4v/2hFUxeR/B3Jh4BO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vgQaxQAAANwAAAAPAAAAAAAAAAAAAAAAAJgCAABkcnMv&#10;ZG93bnJldi54bWxQSwUGAAAAAAQABAD1AAAAigMAAAAA&#10;" path="m,l1577,e" filled="f" strokeweight=".72pt">
                  <v:path arrowok="t" o:connecttype="custom" o:connectlocs="0,0;1577,0" o:connectangles="0,0"/>
                </v:shape>
                <v:shape id="Freeform 70" o:spid="_x0000_s1058" style="position:absolute;left:4777;top:1332;width:20;height:1281;visibility:visible;mso-wrap-style:square;v-text-anchor:top" coordsize="20,1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EGBscA&#10;AADcAAAADwAAAGRycy9kb3ducmV2LnhtbESPQUsDMRSE7wX/Q3iCl9JmV6no2rSoUCnerBbr7bF5&#10;3SxuXpYk7W731zcFweMwM98w82VvG3EkH2rHCvJpBoK4dLrmSsHX52ryACJEZI2NY1JwogDLxdVo&#10;joV2HX/QcRMrkSAcClRgYmwLKUNpyGKYupY4eXvnLcYkfSW1xy7BbSNvs+xeWqw5LRhs6dVQ+bs5&#10;WAV3/i3f74b+5Xs7dOP8531nzOCUurnun59AROrjf/ivvdYKHmczuJxJR0Auz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xxBgbHAAAA3AAAAA8AAAAAAAAAAAAAAAAAmAIAAGRy&#10;cy9kb3ducmV2LnhtbFBLBQYAAAAABAAEAPUAAACMAwAAAAA=&#10;" path="m,1281l,e" filled="f" strokeweight="1.08pt">
                  <v:path arrowok="t" o:connecttype="custom" o:connectlocs="0,1281;0,0" o:connectangles="0,0"/>
                </v:shape>
                <v:shape id="Freeform 71" o:spid="_x0000_s1059" style="position:absolute;left:6340;top:1339;width:20;height:1267;visibility:visible;mso-wrap-style:square;v-text-anchor:top" coordsize="20,12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PbjcYA&#10;AADcAAAADwAAAGRycy9kb3ducmV2LnhtbESPT2vCQBTE7wW/w/IEb7pR8F/qKiraimChWg/eHtln&#10;Esy+DdltTL+9Kwg9DjPzG2a2aEwhaqpcbllBvxeBIE6szjlV8HPadicgnEfWWFgmBX/kYDFvvc0w&#10;1vbO31QffSoChF2MCjLvy1hKl2Rk0PVsSRy8q60M+iCrVOoK7wFuCjmIopE0mHNYyLCkdUbJ7fhr&#10;FGwu+5M7r9KP7Zef2qhu+p+H8VmpTrtZvoPw1Pj/8Ku90wqmwxE8z4QjIO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DPbjcYAAADcAAAADwAAAAAAAAAAAAAAAACYAgAAZHJz&#10;L2Rvd25yZXYueG1sUEsFBgAAAAAEAAQA9QAAAIsDAAAAAA==&#10;" path="m,1267l,e" filled="f" strokeweight=".72pt">
                  <v:path arrowok="t" o:connecttype="custom" o:connectlocs="0,1267;0,0" o:connectangles="0,0"/>
                </v:shape>
                <v:shape id="Text Box 72" o:spid="_x0000_s1060" type="#_x0000_t202" style="position:absolute;left:4767;top:1322;width:1592;height:1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q/tcUA&#10;AADcAAAADwAAAGRycy9kb3ducmV2LnhtbESPQWvCQBSE74L/YXlCb7qxUKupq4goFAQxpoceX7PP&#10;ZDH7Ns1uNf57Vyh4HGbmG2a+7GwtLtR641jBeJSAIC6cNlwq+Mq3wykIH5A11o5JwY08LBf93hxT&#10;7a6c0eUYShEh7FNUUIXQpFL6oiKLfuQa4uidXGsxRNmWUrd4jXBby9ckmUiLhuNChQ2tKyrOxz+r&#10;YPXN2cb87n8O2SkzeT5LeDc5K/Uy6FYfIAJ14Rn+b39qBbO3d3iciUd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mr+1xQAAANwAAAAPAAAAAAAAAAAAAAAAAJgCAABkcnMv&#10;ZG93bnJldi54bWxQSwUGAAAAAAQABAD1AAAAigMAAAAA&#10;" filled="f" stroked="f">
                  <v:textbox inset="0,0,0,0">
                    <w:txbxContent>
                      <w:p w:rsidR="007B2B7B" w:rsidRDefault="007B2B7B">
                        <w:pPr>
                          <w:pStyle w:val="BodyText"/>
                          <w:kinsoku w:val="0"/>
                          <w:overflowPunct w:val="0"/>
                          <w:spacing w:before="1"/>
                          <w:rPr>
                            <w:rFonts w:ascii="Arial" w:hAnsi="Arial" w:cs="Arial"/>
                            <w:sz w:val="21"/>
                            <w:szCs w:val="21"/>
                          </w:rPr>
                        </w:pPr>
                      </w:p>
                      <w:p w:rsidR="007B2B7B" w:rsidRDefault="007B2B7B">
                        <w:pPr>
                          <w:pStyle w:val="BodyText"/>
                          <w:kinsoku w:val="0"/>
                          <w:overflowPunct w:val="0"/>
                          <w:ind w:left="435" w:right="325"/>
                          <w:jc w:val="center"/>
                          <w:rPr>
                            <w:rFonts w:ascii="Arial" w:hAnsi="Arial" w:cs="Arial"/>
                            <w:sz w:val="19"/>
                            <w:szCs w:val="19"/>
                          </w:rPr>
                        </w:pPr>
                        <w:r>
                          <w:rPr>
                            <w:rFonts w:ascii="Arial" w:hAnsi="Arial" w:cs="Arial"/>
                            <w:sz w:val="19"/>
                            <w:szCs w:val="19"/>
                          </w:rPr>
                          <w:t>ACO</w:t>
                        </w:r>
                      </w:p>
                      <w:p w:rsidR="007B2B7B" w:rsidRDefault="007B2B7B">
                        <w:pPr>
                          <w:pStyle w:val="BodyText"/>
                          <w:kinsoku w:val="0"/>
                          <w:overflowPunct w:val="0"/>
                          <w:spacing w:before="85"/>
                          <w:ind w:left="438" w:right="325"/>
                          <w:jc w:val="center"/>
                          <w:rPr>
                            <w:rFonts w:ascii="Arial" w:hAnsi="Arial" w:cs="Arial"/>
                            <w:b/>
                            <w:bCs/>
                            <w:sz w:val="16"/>
                            <w:szCs w:val="16"/>
                          </w:rPr>
                        </w:pPr>
                        <w:r>
                          <w:rPr>
                            <w:rFonts w:ascii="Arial" w:hAnsi="Arial" w:cs="Arial"/>
                            <w:b/>
                            <w:bCs/>
                            <w:sz w:val="16"/>
                            <w:szCs w:val="16"/>
                          </w:rPr>
                          <w:t>Contracts</w:t>
                        </w:r>
                      </w:p>
                      <w:p w:rsidR="007B2B7B" w:rsidRDefault="007B2B7B">
                        <w:pPr>
                          <w:pStyle w:val="BodyText"/>
                          <w:kinsoku w:val="0"/>
                          <w:overflowPunct w:val="0"/>
                          <w:spacing w:before="83"/>
                          <w:ind w:left="438" w:right="325"/>
                          <w:jc w:val="center"/>
                          <w:rPr>
                            <w:rFonts w:ascii="Arial" w:hAnsi="Arial" w:cs="Arial"/>
                            <w:w w:val="105"/>
                            <w:sz w:val="18"/>
                            <w:szCs w:val="18"/>
                          </w:rPr>
                        </w:pPr>
                        <w:r>
                          <w:rPr>
                            <w:rFonts w:ascii="Arial" w:hAnsi="Arial" w:cs="Arial"/>
                            <w:w w:val="105"/>
                            <w:sz w:val="18"/>
                            <w:szCs w:val="18"/>
                          </w:rPr>
                          <w:t>with HUB</w:t>
                        </w:r>
                      </w:p>
                    </w:txbxContent>
                  </v:textbox>
                </v:shape>
                <w10:wrap type="topAndBottom" anchorx="page"/>
              </v:group>
            </w:pict>
          </mc:Fallback>
        </mc:AlternateContent>
      </w:r>
    </w:p>
    <w:p w:rsidR="002C5025" w:rsidRDefault="002C5025">
      <w:pPr>
        <w:pStyle w:val="BodyText"/>
        <w:kinsoku w:val="0"/>
        <w:overflowPunct w:val="0"/>
        <w:spacing w:before="9"/>
        <w:rPr>
          <w:rFonts w:ascii="Arial" w:hAnsi="Arial" w:cs="Arial"/>
          <w:sz w:val="9"/>
          <w:szCs w:val="9"/>
        </w:rPr>
      </w:pPr>
    </w:p>
    <w:p w:rsidR="002C5025" w:rsidRDefault="002C5025">
      <w:pPr>
        <w:pStyle w:val="BodyText"/>
        <w:kinsoku w:val="0"/>
        <w:overflowPunct w:val="0"/>
        <w:spacing w:before="3"/>
        <w:rPr>
          <w:rFonts w:ascii="Arial" w:hAnsi="Arial" w:cs="Arial"/>
          <w:sz w:val="4"/>
          <w:szCs w:val="4"/>
        </w:rPr>
      </w:pPr>
    </w:p>
    <w:p w:rsidR="002C5025" w:rsidRDefault="00FB027C">
      <w:pPr>
        <w:pStyle w:val="BodyText"/>
        <w:kinsoku w:val="0"/>
        <w:overflowPunct w:val="0"/>
        <w:ind w:left="3662"/>
        <w:rPr>
          <w:rFonts w:ascii="Arial" w:hAnsi="Arial" w:cs="Arial"/>
          <w:sz w:val="20"/>
          <w:szCs w:val="20"/>
        </w:rPr>
      </w:pPr>
      <w:r>
        <w:rPr>
          <w:rFonts w:ascii="Arial" w:hAnsi="Arial" w:cs="Arial"/>
          <w:noProof/>
          <w:sz w:val="20"/>
          <w:szCs w:val="20"/>
        </w:rPr>
        <w:drawing>
          <wp:inline distT="0" distB="0" distL="0" distR="0">
            <wp:extent cx="552450" cy="29527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52450" cy="295275"/>
                    </a:xfrm>
                    <a:prstGeom prst="rect">
                      <a:avLst/>
                    </a:prstGeom>
                    <a:noFill/>
                    <a:ln>
                      <a:noFill/>
                    </a:ln>
                  </pic:spPr>
                </pic:pic>
              </a:graphicData>
            </a:graphic>
          </wp:inline>
        </w:drawing>
      </w: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5"/>
        <w:rPr>
          <w:rFonts w:ascii="Arial" w:hAnsi="Arial" w:cs="Arial"/>
          <w:sz w:val="16"/>
          <w:szCs w:val="16"/>
        </w:rPr>
      </w:pPr>
    </w:p>
    <w:p w:rsidR="002C5025" w:rsidRDefault="00FB027C">
      <w:pPr>
        <w:pStyle w:val="BodyText"/>
        <w:kinsoku w:val="0"/>
        <w:overflowPunct w:val="0"/>
        <w:spacing w:before="73"/>
        <w:ind w:left="3805" w:right="4686"/>
        <w:jc w:val="center"/>
        <w:rPr>
          <w:rFonts w:ascii="Arial" w:hAnsi="Arial" w:cs="Arial"/>
          <w:b/>
          <w:bCs/>
          <w:w w:val="105"/>
        </w:rPr>
      </w:pPr>
      <w:r>
        <w:rPr>
          <w:noProof/>
        </w:rPr>
        <mc:AlternateContent>
          <mc:Choice Requires="wps">
            <w:drawing>
              <wp:anchor distT="0" distB="0" distL="114300" distR="114300" simplePos="0" relativeHeight="251475456" behindDoc="0" locked="0" layoutInCell="0" allowOverlap="1">
                <wp:simplePos x="0" y="0"/>
                <wp:positionH relativeFrom="page">
                  <wp:posOffset>2825750</wp:posOffset>
                </wp:positionH>
                <wp:positionV relativeFrom="paragraph">
                  <wp:posOffset>25400</wp:posOffset>
                </wp:positionV>
                <wp:extent cx="12700" cy="511810"/>
                <wp:effectExtent l="0" t="0" r="0" b="0"/>
                <wp:wrapNone/>
                <wp:docPr id="952" name="Freeform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511810"/>
                        </a:xfrm>
                        <a:custGeom>
                          <a:avLst/>
                          <a:gdLst>
                            <a:gd name="T0" fmla="*/ 0 w 20"/>
                            <a:gd name="T1" fmla="*/ 806 h 806"/>
                            <a:gd name="T2" fmla="*/ 0 w 20"/>
                            <a:gd name="T3" fmla="*/ 0 h 806"/>
                          </a:gdLst>
                          <a:ahLst/>
                          <a:cxnLst>
                            <a:cxn ang="0">
                              <a:pos x="T0" y="T1"/>
                            </a:cxn>
                            <a:cxn ang="0">
                              <a:pos x="T2" y="T3"/>
                            </a:cxn>
                          </a:cxnLst>
                          <a:rect l="0" t="0" r="r" b="b"/>
                          <a:pathLst>
                            <a:path w="20" h="806">
                              <a:moveTo>
                                <a:pt x="0" y="80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3" o:spid="_x0000_s1026" style="position:absolute;z-index:251475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2.5pt,42.3pt,222.5pt,2pt" coordsize="20,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" o:allowincell="f" filled="f" strokeweight=".72pt">
                <v:path arrowok="t" o:connecttype="custom" o:connectlocs="0,511810;0,0" o:connectangles="0,0"/>
                <w10:wrap anchorx="page"/>
              </v:polyline>
            </w:pict>
          </mc:Fallback>
        </mc:AlternateContent>
      </w:r>
      <w:r>
        <w:rPr>
          <w:noProof/>
        </w:rPr>
        <mc:AlternateContent>
          <mc:Choice Requires="wps">
            <w:drawing>
              <wp:anchor distT="0" distB="0" distL="114300" distR="114300" simplePos="0" relativeHeight="251476480" behindDoc="0" locked="0" layoutInCell="0" allowOverlap="1">
                <wp:simplePos x="0" y="0"/>
                <wp:positionH relativeFrom="page">
                  <wp:posOffset>4146550</wp:posOffset>
                </wp:positionH>
                <wp:positionV relativeFrom="paragraph">
                  <wp:posOffset>43180</wp:posOffset>
                </wp:positionV>
                <wp:extent cx="12700" cy="494030"/>
                <wp:effectExtent l="0" t="0" r="0" b="0"/>
                <wp:wrapNone/>
                <wp:docPr id="951" name="Freeform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494030"/>
                        </a:xfrm>
                        <a:custGeom>
                          <a:avLst/>
                          <a:gdLst>
                            <a:gd name="T0" fmla="*/ 0 w 20"/>
                            <a:gd name="T1" fmla="*/ 777 h 778"/>
                            <a:gd name="T2" fmla="*/ 0 w 20"/>
                            <a:gd name="T3" fmla="*/ 0 h 778"/>
                          </a:gdLst>
                          <a:ahLst/>
                          <a:cxnLst>
                            <a:cxn ang="0">
                              <a:pos x="T0" y="T1"/>
                            </a:cxn>
                            <a:cxn ang="0">
                              <a:pos x="T2" y="T3"/>
                            </a:cxn>
                          </a:cxnLst>
                          <a:rect l="0" t="0" r="r" b="b"/>
                          <a:pathLst>
                            <a:path w="20" h="778">
                              <a:moveTo>
                                <a:pt x="0" y="777"/>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4" o:spid="_x0000_s1026" style="position:absolute;z-index:251476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26.5pt,42.25pt,326.5pt,3.4pt" coordsize="20,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" o:allowincell="f" filled="f" strokeweight=".72pt">
                <v:path arrowok="t" o:connecttype="custom" o:connectlocs="0,493395;0,0" o:connectangles="0,0"/>
                <w10:wrap anchorx="page"/>
              </v:polyline>
            </w:pict>
          </mc:Fallback>
        </mc:AlternateContent>
      </w:r>
      <w:r w:rsidR="002C5025">
        <w:rPr>
          <w:rFonts w:ascii="Arial" w:hAnsi="Arial" w:cs="Arial"/>
          <w:b/>
          <w:bCs/>
          <w:w w:val="105"/>
        </w:rPr>
        <w:t>SDOH</w:t>
      </w:r>
    </w:p>
    <w:p w:rsidR="002C5025" w:rsidRDefault="002C5025">
      <w:pPr>
        <w:pStyle w:val="BodyText"/>
        <w:kinsoku w:val="0"/>
        <w:overflowPunct w:val="0"/>
        <w:spacing w:before="111"/>
        <w:ind w:left="3805" w:right="4672"/>
        <w:jc w:val="center"/>
        <w:rPr>
          <w:rFonts w:ascii="Times New Roman" w:hAnsi="Times New Roman" w:cs="Times New Roman"/>
          <w:b/>
          <w:bCs/>
          <w:w w:val="90"/>
          <w:sz w:val="26"/>
          <w:szCs w:val="26"/>
        </w:rPr>
      </w:pPr>
      <w:r>
        <w:rPr>
          <w:rFonts w:ascii="Times New Roman" w:hAnsi="Times New Roman" w:cs="Times New Roman"/>
          <w:b/>
          <w:bCs/>
          <w:w w:val="90"/>
          <w:sz w:val="26"/>
          <w:szCs w:val="26"/>
        </w:rPr>
        <w:t>HUB</w:t>
      </w:r>
    </w:p>
    <w:p w:rsidR="002C5025" w:rsidRDefault="002C5025">
      <w:pPr>
        <w:pStyle w:val="BodyText"/>
        <w:kinsoku w:val="0"/>
        <w:overflowPunct w:val="0"/>
        <w:rPr>
          <w:rFonts w:ascii="Times New Roman" w:hAnsi="Times New Roman" w:cs="Times New Roman"/>
          <w:b/>
          <w:bCs/>
          <w:sz w:val="20"/>
          <w:szCs w:val="20"/>
        </w:rPr>
      </w:pPr>
    </w:p>
    <w:p w:rsidR="002C5025" w:rsidRDefault="002C5025">
      <w:pPr>
        <w:pStyle w:val="BodyText"/>
        <w:kinsoku w:val="0"/>
        <w:overflowPunct w:val="0"/>
        <w:rPr>
          <w:rFonts w:ascii="Times New Roman" w:hAnsi="Times New Roman" w:cs="Times New Roman"/>
          <w:b/>
          <w:bCs/>
          <w:sz w:val="20"/>
          <w:szCs w:val="20"/>
        </w:rPr>
      </w:pPr>
    </w:p>
    <w:p w:rsidR="002C5025" w:rsidRDefault="00FB027C">
      <w:pPr>
        <w:pStyle w:val="BodyText"/>
        <w:kinsoku w:val="0"/>
        <w:overflowPunct w:val="0"/>
        <w:spacing w:before="10"/>
        <w:rPr>
          <w:rFonts w:ascii="Times New Roman" w:hAnsi="Times New Roman" w:cs="Times New Roman"/>
          <w:b/>
          <w:bCs/>
          <w:sz w:val="11"/>
          <w:szCs w:val="11"/>
        </w:rPr>
      </w:pPr>
      <w:r>
        <w:rPr>
          <w:noProof/>
        </w:rPr>
        <mc:AlternateContent>
          <mc:Choice Requires="wps">
            <w:drawing>
              <wp:anchor distT="0" distB="0" distL="0" distR="0" simplePos="0" relativeHeight="251477504" behindDoc="0" locked="0" layoutInCell="0" allowOverlap="1">
                <wp:simplePos x="0" y="0"/>
                <wp:positionH relativeFrom="page">
                  <wp:posOffset>3227070</wp:posOffset>
                </wp:positionH>
                <wp:positionV relativeFrom="paragraph">
                  <wp:posOffset>116205</wp:posOffset>
                </wp:positionV>
                <wp:extent cx="548640" cy="12700"/>
                <wp:effectExtent l="0" t="0" r="0" b="0"/>
                <wp:wrapTopAndBottom/>
                <wp:docPr id="950" name="Freeform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8640" cy="12700"/>
                        </a:xfrm>
                        <a:custGeom>
                          <a:avLst/>
                          <a:gdLst>
                            <a:gd name="T0" fmla="*/ 0 w 864"/>
                            <a:gd name="T1" fmla="*/ 0 h 20"/>
                            <a:gd name="T2" fmla="*/ 864 w 864"/>
                            <a:gd name="T3" fmla="*/ 0 h 20"/>
                          </a:gdLst>
                          <a:ahLst/>
                          <a:cxnLst>
                            <a:cxn ang="0">
                              <a:pos x="T0" y="T1"/>
                            </a:cxn>
                            <a:cxn ang="0">
                              <a:pos x="T2" y="T3"/>
                            </a:cxn>
                          </a:cxnLst>
                          <a:rect l="0" t="0" r="r" b="b"/>
                          <a:pathLst>
                            <a:path w="864" h="20">
                              <a:moveTo>
                                <a:pt x="0" y="0"/>
                              </a:moveTo>
                              <a:lnTo>
                                <a:pt x="864"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5" o:spid="_x0000_s1026" style="position:absolute;z-index:251477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254.1pt,9.15pt,297.3pt,9.15pt" coordsize="86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" o:allowincell="f" filled="f" strokeweight=".72pt">
                <v:path arrowok="t" o:connecttype="custom" o:connectlocs="0,0;548640,0" o:connectangles="0,0"/>
                <w10:wrap type="topAndBottom" anchorx="page"/>
              </v:polyline>
            </w:pict>
          </mc:Fallback>
        </mc:AlternateContent>
      </w:r>
      <w:r>
        <w:rPr>
          <w:noProof/>
        </w:rPr>
        <mc:AlternateContent>
          <mc:Choice Requires="wpg">
            <w:drawing>
              <wp:anchor distT="0" distB="0" distL="0" distR="0" simplePos="0" relativeHeight="251478528" behindDoc="0" locked="0" layoutInCell="0" allowOverlap="1">
                <wp:simplePos x="0" y="0"/>
                <wp:positionH relativeFrom="page">
                  <wp:posOffset>2954655</wp:posOffset>
                </wp:positionH>
                <wp:positionV relativeFrom="paragraph">
                  <wp:posOffset>212090</wp:posOffset>
                </wp:positionV>
                <wp:extent cx="1019810" cy="901065"/>
                <wp:effectExtent l="0" t="0" r="0" b="0"/>
                <wp:wrapTopAndBottom/>
                <wp:docPr id="945"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9810" cy="901065"/>
                          <a:chOff x="4653" y="334"/>
                          <a:chExt cx="1606" cy="1419"/>
                        </a:xfrm>
                      </wpg:grpSpPr>
                      <wps:wsp>
                        <wps:cNvPr id="946" name="Freeform 77"/>
                        <wps:cNvSpPr>
                          <a:spLocks/>
                        </wps:cNvSpPr>
                        <wps:spPr bwMode="auto">
                          <a:xfrm>
                            <a:off x="4664" y="353"/>
                            <a:ext cx="1584" cy="20"/>
                          </a:xfrm>
                          <a:custGeom>
                            <a:avLst/>
                            <a:gdLst>
                              <a:gd name="T0" fmla="*/ 0 w 1584"/>
                              <a:gd name="T1" fmla="*/ 0 h 20"/>
                              <a:gd name="T2" fmla="*/ 1584 w 1584"/>
                              <a:gd name="T3" fmla="*/ 0 h 20"/>
                            </a:gdLst>
                            <a:ahLst/>
                            <a:cxnLst>
                              <a:cxn ang="0">
                                <a:pos x="T0" y="T1"/>
                              </a:cxn>
                              <a:cxn ang="0">
                                <a:pos x="T2" y="T3"/>
                              </a:cxn>
                            </a:cxnLst>
                            <a:rect l="0" t="0" r="r" b="b"/>
                            <a:pathLst>
                              <a:path w="1584" h="20">
                                <a:moveTo>
                                  <a:pt x="0" y="0"/>
                                </a:moveTo>
                                <a:lnTo>
                                  <a:pt x="1584" y="0"/>
                                </a:lnTo>
                              </a:path>
                            </a:pathLst>
                          </a:custGeom>
                          <a:noFill/>
                          <a:ln w="1371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7" name="Freeform 78"/>
                        <wps:cNvSpPr>
                          <a:spLocks/>
                        </wps:cNvSpPr>
                        <wps:spPr bwMode="auto">
                          <a:xfrm>
                            <a:off x="4671" y="342"/>
                            <a:ext cx="20" cy="1404"/>
                          </a:xfrm>
                          <a:custGeom>
                            <a:avLst/>
                            <a:gdLst>
                              <a:gd name="T0" fmla="*/ 0 w 20"/>
                              <a:gd name="T1" fmla="*/ 1403 h 1404"/>
                              <a:gd name="T2" fmla="*/ 0 w 20"/>
                              <a:gd name="T3" fmla="*/ 0 h 1404"/>
                            </a:gdLst>
                            <a:ahLst/>
                            <a:cxnLst>
                              <a:cxn ang="0">
                                <a:pos x="T0" y="T1"/>
                              </a:cxn>
                              <a:cxn ang="0">
                                <a:pos x="T2" y="T3"/>
                              </a:cxn>
                            </a:cxnLst>
                            <a:rect l="0" t="0" r="r" b="b"/>
                            <a:pathLst>
                              <a:path w="20" h="1404">
                                <a:moveTo>
                                  <a:pt x="0" y="1403"/>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8" name="Freeform 79"/>
                        <wps:cNvSpPr>
                          <a:spLocks/>
                        </wps:cNvSpPr>
                        <wps:spPr bwMode="auto">
                          <a:xfrm>
                            <a:off x="6241" y="349"/>
                            <a:ext cx="20" cy="1397"/>
                          </a:xfrm>
                          <a:custGeom>
                            <a:avLst/>
                            <a:gdLst>
                              <a:gd name="T0" fmla="*/ 0 w 20"/>
                              <a:gd name="T1" fmla="*/ 1396 h 1397"/>
                              <a:gd name="T2" fmla="*/ 0 w 20"/>
                              <a:gd name="T3" fmla="*/ 0 h 1397"/>
                            </a:gdLst>
                            <a:ahLst/>
                            <a:cxnLst>
                              <a:cxn ang="0">
                                <a:pos x="T0" y="T1"/>
                              </a:cxn>
                              <a:cxn ang="0">
                                <a:pos x="T2" y="T3"/>
                              </a:cxn>
                            </a:cxnLst>
                            <a:rect l="0" t="0" r="r" b="b"/>
                            <a:pathLst>
                              <a:path w="20" h="1397">
                                <a:moveTo>
                                  <a:pt x="0" y="139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9" name="Text Box 80"/>
                        <wps:cNvSpPr txBox="1">
                          <a:spLocks noChangeArrowheads="1"/>
                        </wps:cNvSpPr>
                        <wps:spPr bwMode="auto">
                          <a:xfrm>
                            <a:off x="4654" y="335"/>
                            <a:ext cx="1606" cy="1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pStyle w:val="BodyText"/>
                                <w:kinsoku w:val="0"/>
                                <w:overflowPunct w:val="0"/>
                                <w:spacing w:before="110" w:line="324" w:lineRule="auto"/>
                                <w:ind w:left="159" w:right="248"/>
                                <w:jc w:val="center"/>
                                <w:rPr>
                                  <w:rFonts w:ascii="Times New Roman" w:hAnsi="Times New Roman" w:cs="Times New Roman"/>
                                  <w:b/>
                                  <w:bCs/>
                                  <w:sz w:val="19"/>
                                  <w:szCs w:val="19"/>
                                </w:rPr>
                              </w:pPr>
                              <w:r>
                                <w:rPr>
                                  <w:rFonts w:ascii="Arial" w:hAnsi="Arial" w:cs="Arial"/>
                                  <w:sz w:val="18"/>
                                  <w:szCs w:val="18"/>
                                </w:rPr>
                                <w:t xml:space="preserve">HUB contracts with individual </w:t>
                              </w:r>
                              <w:r>
                                <w:rPr>
                                  <w:rFonts w:ascii="Times New Roman" w:hAnsi="Times New Roman" w:cs="Times New Roman"/>
                                  <w:b/>
                                  <w:bCs/>
                                  <w:sz w:val="19"/>
                                  <w:szCs w:val="19"/>
                                </w:rPr>
                                <w:t>agencies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6" o:spid="_x0000_s1061" style="position:absolute;margin-left:232.65pt;margin-top:16.7pt;width:80.3pt;height:70.95pt;z-index:251478528;mso-wrap-distance-left:0;mso-wrap-distance-right:0;mso-position-horizontal-relative:page" coordorigin="4653,334" coordsize="1606,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" o:allowincell="f">
                <v:shape id="Freeform 77" o:spid="_x0000_s1062" style="position:absolute;left:4664;top:353;width:1584;height:20;visibility:visible;mso-wrap-style:square;v-text-anchor:top" coordsize="158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VUZMcA&#10;AADcAAAADwAAAGRycy9kb3ducmV2LnhtbESPzWvCQBTE74X+D8sreNNNJaQ1zSpSK3rQgh+H9vbI&#10;vnzQ7Ns0u2r8792C0OMwM79hsllvGnGmztWWFTyPIhDEudU1lwqOh+XwFYTzyBoby6TgSg5m08eH&#10;DFNtL7yj896XIkDYpaig8r5NpXR5RQbdyLbEwStsZ9AH2ZVSd3gJcNPIcRQl0mDNYaHClt4ryn/2&#10;J6MAl58vm/X39WM1T77qeBX730WxVWrw1M/fQHjq/X/43l5rBZM4gb8z4QjI6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i1VGTHAAAA3AAAAA8AAAAAAAAAAAAAAAAAmAIAAGRy&#10;cy9kb3ducmV2LnhtbFBLBQYAAAAABAAEAPUAAACMAwAAAAA=&#10;" path="m,l1584,e" filled="f" strokeweight="1.08pt">
                  <v:path arrowok="t" o:connecttype="custom" o:connectlocs="0,0;1584,0" o:connectangles="0,0"/>
                </v:shape>
                <v:shape id="Freeform 78" o:spid="_x0000_s1063" style="position:absolute;left:4671;top:342;width:20;height:1404;visibility:visible;mso-wrap-style:square;v-text-anchor:top" coordsize="20,1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2ucUA&#10;AADcAAAADwAAAGRycy9kb3ducmV2LnhtbESPQWsCMRSE74X+h/AK3mq2Yq1ujVKUlR56UXvx9tg8&#10;N4vJy7JJNfrrm0LB4zAz3zDzZXJWnKkPrWcFL8MCBHHtdcuNgu999TwFESKyRuuZFFwpwHLx+DDH&#10;UvsLb+m8i43IEA4lKjAxdqWUoTbkMAx9R5y9o+8dxiz7RuoeLxnurBwVxUQ6bDkvGOxoZag+7X6c&#10;gklX3fan18OXW28tVWk1SsZulBo8pY93EJFSvIf/259awWz8Bn9n8h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sHa5xQAAANwAAAAPAAAAAAAAAAAAAAAAAJgCAABkcnMv&#10;ZG93bnJldi54bWxQSwUGAAAAAAQABAD1AAAAigMAAAAA&#10;" path="m,1403l,e" filled="f" strokeweight=".72pt">
                  <v:path arrowok="t" o:connecttype="custom" o:connectlocs="0,1403;0,0" o:connectangles="0,0"/>
                </v:shape>
                <v:shape id="Freeform 79" o:spid="_x0000_s1064" style="position:absolute;left:6241;top:349;width:20;height:1397;visibility:visible;mso-wrap-style:square;v-text-anchor:top" coordsize="20,1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LgmMUA&#10;AADcAAAADwAAAGRycy9kb3ducmV2LnhtbERPy2rCQBTdC/2H4RbciE6UWm3qKMEHKKXUR7vo7pK5&#10;JqGZOyEzxvj3nYXg8nDes0VrStFQ7QrLCoaDCARxanXBmYLv06Y/BeE8ssbSMim4kYPF/Kkzw1jb&#10;Kx+oOfpMhBB2MSrIva9iKV2ak0E3sBVx4M62NugDrDOpa7yGcFPKURS9SoMFh4YcK1rmlP4dL0bB&#10;ef2ZbHf80WyS3s/XL6+qyf42Vqr73CbvIDy1/iG+u7dawdtLWBvOhCMg5/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IuCYxQAAANwAAAAPAAAAAAAAAAAAAAAAAJgCAABkcnMv&#10;ZG93bnJldi54bWxQSwUGAAAAAAQABAD1AAAAigMAAAAA&#10;" path="m,1396l,e" filled="f" strokeweight=".72pt">
                  <v:path arrowok="t" o:connecttype="custom" o:connectlocs="0,1396;0,0" o:connectangles="0,0"/>
                </v:shape>
                <v:shape id="Text Box 80" o:spid="_x0000_s1065" type="#_x0000_t202" style="position:absolute;left:4654;top:335;width:1606;height:1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AYgcUA&#10;AADcAAAADwAAAGRycy9kb3ducmV2LnhtbESPQWvCQBSE7wX/w/IEb3VjEWmiq4i0UBCKMR48PrPP&#10;ZDH7Ns1uNf77rlDwOMzMN8xi1dtGXKnzxrGCyTgBQVw6bbhScCg+X99B+ICssXFMCu7kYbUcvCww&#10;0+7GOV33oRIRwj5DBXUIbSalL2uy6MeuJY7e2XUWQ5RdJXWHtwi3jXxLkpm0aDgu1NjSpqbysv+1&#10;CtZHzj/Mz/dpl59zUxRpwtvZRanRsF/PQQTqwzP83/7SCtJpCo8z8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kBiBxQAAANwAAAAPAAAAAAAAAAAAAAAAAJgCAABkcnMv&#10;ZG93bnJldi54bWxQSwUGAAAAAAQABAD1AAAAigMAAAAA&#10;" filled="f" stroked="f">
                  <v:textbox inset="0,0,0,0">
                    <w:txbxContent>
                      <w:p w:rsidR="007B2B7B" w:rsidRDefault="007B2B7B">
                        <w:pPr>
                          <w:pStyle w:val="BodyText"/>
                          <w:kinsoku w:val="0"/>
                          <w:overflowPunct w:val="0"/>
                          <w:spacing w:before="110" w:line="324" w:lineRule="auto"/>
                          <w:ind w:left="159" w:right="248"/>
                          <w:jc w:val="center"/>
                          <w:rPr>
                            <w:rFonts w:ascii="Times New Roman" w:hAnsi="Times New Roman" w:cs="Times New Roman"/>
                            <w:b/>
                            <w:bCs/>
                            <w:sz w:val="19"/>
                            <w:szCs w:val="19"/>
                          </w:rPr>
                        </w:pPr>
                        <w:r>
                          <w:rPr>
                            <w:rFonts w:ascii="Arial" w:hAnsi="Arial" w:cs="Arial"/>
                            <w:sz w:val="18"/>
                            <w:szCs w:val="18"/>
                          </w:rPr>
                          <w:t xml:space="preserve">HUB contracts with individual </w:t>
                        </w:r>
                        <w:r>
                          <w:rPr>
                            <w:rFonts w:ascii="Times New Roman" w:hAnsi="Times New Roman" w:cs="Times New Roman"/>
                            <w:b/>
                            <w:bCs/>
                            <w:sz w:val="19"/>
                            <w:szCs w:val="19"/>
                          </w:rPr>
                          <w:t>agencies</w:t>
                        </w:r>
                      </w:p>
                    </w:txbxContent>
                  </v:textbox>
                </v:shape>
                <w10:wrap type="topAndBottom" anchorx="page"/>
              </v:group>
            </w:pict>
          </mc:Fallback>
        </mc:AlternateContent>
      </w:r>
    </w:p>
    <w:p w:rsidR="002C5025" w:rsidRDefault="002C5025">
      <w:pPr>
        <w:pStyle w:val="BodyText"/>
        <w:kinsoku w:val="0"/>
        <w:overflowPunct w:val="0"/>
        <w:spacing w:before="7"/>
        <w:rPr>
          <w:rFonts w:ascii="Times New Roman" w:hAnsi="Times New Roman" w:cs="Times New Roman"/>
          <w:b/>
          <w:bCs/>
          <w:sz w:val="6"/>
          <w:szCs w:val="6"/>
        </w:rPr>
      </w:pPr>
    </w:p>
    <w:p w:rsidR="002C5025" w:rsidRDefault="002C5025">
      <w:pPr>
        <w:pStyle w:val="BodyText"/>
        <w:kinsoku w:val="0"/>
        <w:overflowPunct w:val="0"/>
        <w:rPr>
          <w:rFonts w:ascii="Times New Roman" w:hAnsi="Times New Roman" w:cs="Times New Roman"/>
          <w:b/>
          <w:bCs/>
          <w:sz w:val="20"/>
          <w:szCs w:val="20"/>
        </w:rPr>
      </w:pPr>
    </w:p>
    <w:p w:rsidR="002C5025" w:rsidRDefault="00FB027C">
      <w:pPr>
        <w:pStyle w:val="BodyText"/>
        <w:kinsoku w:val="0"/>
        <w:overflowPunct w:val="0"/>
        <w:spacing w:before="2"/>
        <w:rPr>
          <w:rFonts w:ascii="Times New Roman" w:hAnsi="Times New Roman" w:cs="Times New Roman"/>
          <w:b/>
          <w:bCs/>
          <w:sz w:val="18"/>
          <w:szCs w:val="18"/>
        </w:rPr>
      </w:pPr>
      <w:r>
        <w:rPr>
          <w:noProof/>
        </w:rPr>
        <mc:AlternateContent>
          <mc:Choice Requires="wpg">
            <w:drawing>
              <wp:anchor distT="0" distB="0" distL="0" distR="0" simplePos="0" relativeHeight="251479552" behindDoc="0" locked="0" layoutInCell="0" allowOverlap="1">
                <wp:simplePos x="0" y="0"/>
                <wp:positionH relativeFrom="page">
                  <wp:posOffset>2358390</wp:posOffset>
                </wp:positionH>
                <wp:positionV relativeFrom="paragraph">
                  <wp:posOffset>157480</wp:posOffset>
                </wp:positionV>
                <wp:extent cx="2158365" cy="585470"/>
                <wp:effectExtent l="0" t="0" r="0" b="0"/>
                <wp:wrapTopAndBottom/>
                <wp:docPr id="939"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8365" cy="585470"/>
                          <a:chOff x="3714" y="248"/>
                          <a:chExt cx="3399" cy="922"/>
                        </a:xfrm>
                      </wpg:grpSpPr>
                      <wps:wsp>
                        <wps:cNvPr id="940" name="Freeform 82"/>
                        <wps:cNvSpPr>
                          <a:spLocks/>
                        </wps:cNvSpPr>
                        <wps:spPr bwMode="auto">
                          <a:xfrm>
                            <a:off x="3722" y="277"/>
                            <a:ext cx="3384" cy="20"/>
                          </a:xfrm>
                          <a:custGeom>
                            <a:avLst/>
                            <a:gdLst>
                              <a:gd name="T0" fmla="*/ 0 w 3384"/>
                              <a:gd name="T1" fmla="*/ 0 h 20"/>
                              <a:gd name="T2" fmla="*/ 3384 w 3384"/>
                              <a:gd name="T3" fmla="*/ 0 h 20"/>
                            </a:gdLst>
                            <a:ahLst/>
                            <a:cxnLst>
                              <a:cxn ang="0">
                                <a:pos x="T0" y="T1"/>
                              </a:cxn>
                              <a:cxn ang="0">
                                <a:pos x="T2" y="T3"/>
                              </a:cxn>
                            </a:cxnLst>
                            <a:rect l="0" t="0" r="r" b="b"/>
                            <a:pathLst>
                              <a:path w="3384" h="20">
                                <a:moveTo>
                                  <a:pt x="0" y="0"/>
                                </a:moveTo>
                                <a:lnTo>
                                  <a:pt x="3384"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1" name="Freeform 83"/>
                        <wps:cNvSpPr>
                          <a:spLocks/>
                        </wps:cNvSpPr>
                        <wps:spPr bwMode="auto">
                          <a:xfrm>
                            <a:off x="3733" y="259"/>
                            <a:ext cx="20" cy="893"/>
                          </a:xfrm>
                          <a:custGeom>
                            <a:avLst/>
                            <a:gdLst>
                              <a:gd name="T0" fmla="*/ 0 w 20"/>
                              <a:gd name="T1" fmla="*/ 893 h 893"/>
                              <a:gd name="T2" fmla="*/ 0 w 20"/>
                              <a:gd name="T3" fmla="*/ 0 h 893"/>
                            </a:gdLst>
                            <a:ahLst/>
                            <a:cxnLst>
                              <a:cxn ang="0">
                                <a:pos x="T0" y="T1"/>
                              </a:cxn>
                              <a:cxn ang="0">
                                <a:pos x="T2" y="T3"/>
                              </a:cxn>
                            </a:cxnLst>
                            <a:rect l="0" t="0" r="r" b="b"/>
                            <a:pathLst>
                              <a:path w="20" h="893">
                                <a:moveTo>
                                  <a:pt x="0" y="893"/>
                                </a:moveTo>
                                <a:lnTo>
                                  <a:pt x="0" y="0"/>
                                </a:lnTo>
                              </a:path>
                            </a:pathLst>
                          </a:custGeom>
                          <a:noFill/>
                          <a:ln w="1371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2" name="Freeform 84"/>
                        <wps:cNvSpPr>
                          <a:spLocks/>
                        </wps:cNvSpPr>
                        <wps:spPr bwMode="auto">
                          <a:xfrm>
                            <a:off x="3722" y="1148"/>
                            <a:ext cx="3384" cy="20"/>
                          </a:xfrm>
                          <a:custGeom>
                            <a:avLst/>
                            <a:gdLst>
                              <a:gd name="T0" fmla="*/ 0 w 3384"/>
                              <a:gd name="T1" fmla="*/ 0 h 20"/>
                              <a:gd name="T2" fmla="*/ 3384 w 3384"/>
                              <a:gd name="T3" fmla="*/ 0 h 20"/>
                            </a:gdLst>
                            <a:ahLst/>
                            <a:cxnLst>
                              <a:cxn ang="0">
                                <a:pos x="T0" y="T1"/>
                              </a:cxn>
                              <a:cxn ang="0">
                                <a:pos x="T2" y="T3"/>
                              </a:cxn>
                            </a:cxnLst>
                            <a:rect l="0" t="0" r="r" b="b"/>
                            <a:pathLst>
                              <a:path w="3384" h="20">
                                <a:moveTo>
                                  <a:pt x="0" y="0"/>
                                </a:moveTo>
                                <a:lnTo>
                                  <a:pt x="3384"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3" name="Freeform 85"/>
                        <wps:cNvSpPr>
                          <a:spLocks/>
                        </wps:cNvSpPr>
                        <wps:spPr bwMode="auto">
                          <a:xfrm>
                            <a:off x="7095" y="266"/>
                            <a:ext cx="20" cy="893"/>
                          </a:xfrm>
                          <a:custGeom>
                            <a:avLst/>
                            <a:gdLst>
                              <a:gd name="T0" fmla="*/ 0 w 20"/>
                              <a:gd name="T1" fmla="*/ 892 h 893"/>
                              <a:gd name="T2" fmla="*/ 0 w 20"/>
                              <a:gd name="T3" fmla="*/ 0 h 893"/>
                            </a:gdLst>
                            <a:ahLst/>
                            <a:cxnLst>
                              <a:cxn ang="0">
                                <a:pos x="T0" y="T1"/>
                              </a:cxn>
                              <a:cxn ang="0">
                                <a:pos x="T2" y="T3"/>
                              </a:cxn>
                            </a:cxnLst>
                            <a:rect l="0" t="0" r="r" b="b"/>
                            <a:pathLst>
                              <a:path w="20" h="893">
                                <a:moveTo>
                                  <a:pt x="0" y="892"/>
                                </a:moveTo>
                                <a:lnTo>
                                  <a:pt x="0" y="0"/>
                                </a:lnTo>
                              </a:path>
                            </a:pathLst>
                          </a:custGeom>
                          <a:noFill/>
                          <a:ln w="1371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4" name="Text Box 86"/>
                        <wps:cNvSpPr txBox="1">
                          <a:spLocks noChangeArrowheads="1"/>
                        </wps:cNvSpPr>
                        <wps:spPr bwMode="auto">
                          <a:xfrm>
                            <a:off x="3733" y="278"/>
                            <a:ext cx="3362" cy="8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pStyle w:val="BodyText"/>
                                <w:kinsoku w:val="0"/>
                                <w:overflowPunct w:val="0"/>
                                <w:spacing w:before="104" w:line="345" w:lineRule="auto"/>
                                <w:ind w:left="1170" w:hanging="708"/>
                                <w:rPr>
                                  <w:rFonts w:ascii="Arial" w:hAnsi="Arial" w:cs="Arial"/>
                                  <w:sz w:val="19"/>
                                  <w:szCs w:val="19"/>
                                </w:rPr>
                              </w:pPr>
                              <w:r>
                                <w:rPr>
                                  <w:rFonts w:ascii="Arial" w:hAnsi="Arial" w:cs="Arial"/>
                                  <w:w w:val="90"/>
                                  <w:sz w:val="19"/>
                                  <w:szCs w:val="19"/>
                                </w:rPr>
                                <w:t xml:space="preserve">QUALIFIED SOCIAL SERVICE </w:t>
                              </w:r>
                              <w:r>
                                <w:rPr>
                                  <w:rFonts w:ascii="Arial" w:hAnsi="Arial" w:cs="Arial"/>
                                  <w:sz w:val="19"/>
                                  <w:szCs w:val="19"/>
                                </w:rPr>
                                <w:t>PROVIDERS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1" o:spid="_x0000_s1066" style="position:absolute;margin-left:185.7pt;margin-top:12.4pt;width:169.95pt;height:46.1pt;z-index:251479552;mso-wrap-distance-left:0;mso-wrap-distance-right:0;mso-position-horizontal-relative:page" coordorigin="3714,248" coordsize="3399,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" o:allowincell="f">
                <v:shape id="Freeform 82" o:spid="_x0000_s1067" style="position:absolute;left:3722;top:277;width:3384;height:20;visibility:visible;mso-wrap-style:square;v-text-anchor:top" coordsize="338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BknMQA&#10;AADcAAAADwAAAGRycy9kb3ducmV2LnhtbESPTWvCQBCG70L/wzKF3nSjWLGpqxSxoPTkB8XjkJ0m&#10;wezsNrvG+O87h4LH4Z33mXkWq941qqM21p4NjEcZKOLC25pLA6fj53AOKiZki41nMnCnCKvl02CB&#10;ufU33lN3SKUSCMccDVQphVzrWFTkMI58IJbsx7cOk4xtqW2LN4G7Rk+ybKYd1iwXKgy0rqi4HK5O&#10;KJvve/fan8e/we4uX4Gm5Z7Pxrw89x/voBL16bH8395aA29TeV9kRAT0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wZJzEAAAA3AAAAA8AAAAAAAAAAAAAAAAAmAIAAGRycy9k&#10;b3ducmV2LnhtbFBLBQYAAAAABAAEAPUAAACJAwAAAAA=&#10;" path="m,l3384,e" filled="f" strokeweight=".72pt">
                  <v:path arrowok="t" o:connecttype="custom" o:connectlocs="0,0;3384,0" o:connectangles="0,0"/>
                </v:shape>
                <v:shape id="Freeform 83" o:spid="_x0000_s1068" style="position:absolute;left:3733;top:259;width:20;height:893;visibility:visible;mso-wrap-style:square;v-text-anchor:top" coordsize="20,8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DlsMA&#10;AADcAAAADwAAAGRycy9kb3ducmV2LnhtbESPT2vCQBTE70K/w/IKvelGKWJTVylCIeBBGsXzI/tM&#10;gtm3Yf+Y+O1doeBxmJnfMOvtaDpxI+dbywrmswwEcWV1y7WC0/F3ugLhA7LGzjIpuJOH7eZtssZc&#10;24H/6FaGWiQI+xwVNCH0uZS+asign9meOHkX6wyGJF0ttcMhwU0nF1m2lAZbTgsN9rRrqLqW0Sgo&#10;9kMRw+60dGXp9108xMP5GJX6eB9/vkEEGsMr/N8utIKvzzk8z6QjID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x/DlsMAAADcAAAADwAAAAAAAAAAAAAAAACYAgAAZHJzL2Rv&#10;d25yZXYueG1sUEsFBgAAAAAEAAQA9QAAAIgDAAAAAA==&#10;" path="m,893l,e" filled="f" strokeweight="1.08pt">
                  <v:path arrowok="t" o:connecttype="custom" o:connectlocs="0,893;0,0" o:connectangles="0,0"/>
                </v:shape>
                <v:shape id="Freeform 84" o:spid="_x0000_s1069" style="position:absolute;left:3722;top:1148;width:3384;height:20;visibility:visible;mso-wrap-style:square;v-text-anchor:top" coordsize="338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5fcMMA&#10;AADcAAAADwAAAGRycy9kb3ducmV2LnhtbESPQYvCMBSE74L/IbwFb5oqKlqNIrLCLp7UZfH4aN62&#10;xeYlNtla/70RBI/DzHzDLNetqURDtS8tKxgOEhDEmdUl5wp+Trv+DIQPyBory6TgTh7Wq25niam2&#10;Nz5Qcwy5iBD2KSooQnCplD4ryKAfWEccvT9bGwxR1rnUNd4i3FRylCRTabDkuFCgo21B2eX4byLl&#10;8/feTNrz8Or092XvaJwf+KxU76PdLEAEasM7/Gp/aQXz8QieZ+IR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65fcMMAAADcAAAADwAAAAAAAAAAAAAAAACYAgAAZHJzL2Rv&#10;d25yZXYueG1sUEsFBgAAAAAEAAQA9QAAAIgDAAAAAA==&#10;" path="m,l3384,e" filled="f" strokeweight=".72pt">
                  <v:path arrowok="t" o:connecttype="custom" o:connectlocs="0,0;3384,0" o:connectangles="0,0"/>
                </v:shape>
                <v:shape id="Freeform 85" o:spid="_x0000_s1070" style="position:absolute;left:7095;top:266;width:20;height:893;visibility:visible;mso-wrap-style:square;v-text-anchor:top" coordsize="20,8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H4esQA&#10;AADcAAAADwAAAGRycy9kb3ducmV2LnhtbESPzWrDMBCE74W+g9hCb42cpoTUjWxKIGDIIdQJPS/W&#10;1jaxVkY/sfv2UaDQ4zAz3zDbcjaDuJLzvWUFy0UGgrixuudWwfm0f9mA8AFZ42CZFPySh7J4fNhi&#10;ru3EX3StQysShH2OCroQxlxK33Rk0C/sSJy8H+sMhiRdK7XDKcHNIF+zbC0N9pwWOhxp11FzqaNR&#10;UB2mKobdee3q2h+GeIzH71NU6vlp/vwAEWgO/+G/dqUVvL+t4H4mHQFZ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B+HrEAAAA3AAAAA8AAAAAAAAAAAAAAAAAmAIAAGRycy9k&#10;b3ducmV2LnhtbFBLBQYAAAAABAAEAPUAAACJAwAAAAA=&#10;" path="m,892l,e" filled="f" strokeweight="1.08pt">
                  <v:path arrowok="t" o:connecttype="custom" o:connectlocs="0,892;0,0" o:connectangles="0,0"/>
                </v:shape>
                <v:shape id="Text Box 86" o:spid="_x0000_s1071" type="#_x0000_t202" style="position:absolute;left:3733;top:278;width:3362;height:8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G3H8QA&#10;AADcAAAADwAAAGRycy9kb3ducmV2LnhtbESPQWvCQBSE74L/YXlCb7pRRDS6ihQLBaEY46HH1+wz&#10;Wcy+TbNbjf++Kwgeh5n5hlltOluLK7XeOFYwHiUgiAunDZcKTvnHcA7CB2SNtWNScCcPm3W/t8JU&#10;uxtndD2GUkQI+xQVVCE0qZS+qMiiH7mGOHpn11oMUbal1C3eItzWcpIkM2nRcFyosKH3iorL8c8q&#10;2H5ztjO/Xz+H7JyZPF8kvJ9dlHobdNsliEBdeIWf7U+tYDGdwuNMP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6Rtx/EAAAA3AAAAA8AAAAAAAAAAAAAAAAAmAIAAGRycy9k&#10;b3ducmV2LnhtbFBLBQYAAAAABAAEAPUAAACJAwAAAAA=&#10;" filled="f" stroked="f">
                  <v:textbox inset="0,0,0,0">
                    <w:txbxContent>
                      <w:p w:rsidR="007B2B7B" w:rsidRDefault="007B2B7B">
                        <w:pPr>
                          <w:pStyle w:val="BodyText"/>
                          <w:kinsoku w:val="0"/>
                          <w:overflowPunct w:val="0"/>
                          <w:spacing w:before="104" w:line="345" w:lineRule="auto"/>
                          <w:ind w:left="1170" w:hanging="708"/>
                          <w:rPr>
                            <w:rFonts w:ascii="Arial" w:hAnsi="Arial" w:cs="Arial"/>
                            <w:sz w:val="19"/>
                            <w:szCs w:val="19"/>
                          </w:rPr>
                        </w:pPr>
                        <w:r>
                          <w:rPr>
                            <w:rFonts w:ascii="Arial" w:hAnsi="Arial" w:cs="Arial"/>
                            <w:w w:val="90"/>
                            <w:sz w:val="19"/>
                            <w:szCs w:val="19"/>
                          </w:rPr>
                          <w:t xml:space="preserve">QUALIFIED SOCIAL SERVICE </w:t>
                        </w:r>
                        <w:r>
                          <w:rPr>
                            <w:rFonts w:ascii="Arial" w:hAnsi="Arial" w:cs="Arial"/>
                            <w:sz w:val="19"/>
                            <w:szCs w:val="19"/>
                          </w:rPr>
                          <w:t>PROVIDERS</w:t>
                        </w:r>
                      </w:p>
                    </w:txbxContent>
                  </v:textbox>
                </v:shape>
                <w10:wrap type="topAndBottom" anchorx="page"/>
              </v:group>
            </w:pict>
          </mc:Fallback>
        </mc:AlternateContent>
      </w:r>
    </w:p>
    <w:p w:rsidR="002C5025" w:rsidRDefault="002C5025">
      <w:pPr>
        <w:pStyle w:val="BodyText"/>
        <w:kinsoku w:val="0"/>
        <w:overflowPunct w:val="0"/>
        <w:rPr>
          <w:rFonts w:ascii="Times New Roman" w:hAnsi="Times New Roman" w:cs="Times New Roman"/>
          <w:b/>
          <w:bCs/>
          <w:sz w:val="20"/>
          <w:szCs w:val="20"/>
        </w:rPr>
      </w:pPr>
    </w:p>
    <w:p w:rsidR="002C5025" w:rsidRDefault="002C5025">
      <w:pPr>
        <w:pStyle w:val="BodyText"/>
        <w:kinsoku w:val="0"/>
        <w:overflowPunct w:val="0"/>
        <w:rPr>
          <w:rFonts w:ascii="Times New Roman" w:hAnsi="Times New Roman" w:cs="Times New Roman"/>
          <w:b/>
          <w:bCs/>
          <w:sz w:val="20"/>
          <w:szCs w:val="20"/>
        </w:rPr>
      </w:pPr>
    </w:p>
    <w:p w:rsidR="002C5025" w:rsidRDefault="002C5025">
      <w:pPr>
        <w:pStyle w:val="BodyText"/>
        <w:kinsoku w:val="0"/>
        <w:overflowPunct w:val="0"/>
        <w:rPr>
          <w:rFonts w:ascii="Times New Roman" w:hAnsi="Times New Roman" w:cs="Times New Roman"/>
          <w:b/>
          <w:bCs/>
          <w:sz w:val="20"/>
          <w:szCs w:val="20"/>
        </w:rPr>
      </w:pPr>
    </w:p>
    <w:p w:rsidR="002C5025" w:rsidRDefault="002C5025">
      <w:pPr>
        <w:pStyle w:val="BodyText"/>
        <w:kinsoku w:val="0"/>
        <w:overflowPunct w:val="0"/>
        <w:rPr>
          <w:rFonts w:ascii="Times New Roman" w:hAnsi="Times New Roman" w:cs="Times New Roman"/>
          <w:b/>
          <w:bCs/>
          <w:sz w:val="20"/>
          <w:szCs w:val="20"/>
        </w:rPr>
      </w:pPr>
    </w:p>
    <w:p w:rsidR="002C5025" w:rsidRDefault="002C5025">
      <w:pPr>
        <w:pStyle w:val="BodyText"/>
        <w:kinsoku w:val="0"/>
        <w:overflowPunct w:val="0"/>
        <w:rPr>
          <w:rFonts w:ascii="Times New Roman" w:hAnsi="Times New Roman" w:cs="Times New Roman"/>
          <w:b/>
          <w:bCs/>
          <w:sz w:val="20"/>
          <w:szCs w:val="20"/>
        </w:rPr>
      </w:pPr>
    </w:p>
    <w:p w:rsidR="002C5025" w:rsidRDefault="002C5025">
      <w:pPr>
        <w:pStyle w:val="BodyText"/>
        <w:kinsoku w:val="0"/>
        <w:overflowPunct w:val="0"/>
        <w:rPr>
          <w:rFonts w:ascii="Times New Roman" w:hAnsi="Times New Roman" w:cs="Times New Roman"/>
          <w:b/>
          <w:bCs/>
          <w:sz w:val="20"/>
          <w:szCs w:val="20"/>
        </w:rPr>
      </w:pPr>
    </w:p>
    <w:p w:rsidR="002C5025" w:rsidRDefault="002C5025">
      <w:pPr>
        <w:pStyle w:val="BodyText"/>
        <w:kinsoku w:val="0"/>
        <w:overflowPunct w:val="0"/>
        <w:rPr>
          <w:rFonts w:ascii="Times New Roman" w:hAnsi="Times New Roman" w:cs="Times New Roman"/>
          <w:b/>
          <w:bCs/>
          <w:sz w:val="20"/>
          <w:szCs w:val="20"/>
        </w:rPr>
      </w:pPr>
    </w:p>
    <w:p w:rsidR="002C5025" w:rsidRDefault="002C5025">
      <w:pPr>
        <w:pStyle w:val="BodyText"/>
        <w:kinsoku w:val="0"/>
        <w:overflowPunct w:val="0"/>
        <w:rPr>
          <w:rFonts w:ascii="Times New Roman" w:hAnsi="Times New Roman" w:cs="Times New Roman"/>
          <w:b/>
          <w:bCs/>
          <w:sz w:val="20"/>
          <w:szCs w:val="20"/>
        </w:rPr>
      </w:pPr>
    </w:p>
    <w:p w:rsidR="002C5025" w:rsidRDefault="002C5025">
      <w:pPr>
        <w:pStyle w:val="BodyText"/>
        <w:kinsoku w:val="0"/>
        <w:overflowPunct w:val="0"/>
        <w:rPr>
          <w:rFonts w:ascii="Times New Roman" w:hAnsi="Times New Roman" w:cs="Times New Roman"/>
          <w:b/>
          <w:bCs/>
          <w:sz w:val="20"/>
          <w:szCs w:val="20"/>
        </w:rPr>
      </w:pPr>
    </w:p>
    <w:p w:rsidR="002C5025" w:rsidRDefault="002C5025">
      <w:pPr>
        <w:pStyle w:val="BodyText"/>
        <w:kinsoku w:val="0"/>
        <w:overflowPunct w:val="0"/>
        <w:spacing w:before="10"/>
        <w:rPr>
          <w:rFonts w:ascii="Times New Roman" w:hAnsi="Times New Roman" w:cs="Times New Roman"/>
          <w:b/>
          <w:bCs/>
          <w:sz w:val="29"/>
          <w:szCs w:val="29"/>
        </w:rPr>
      </w:pPr>
    </w:p>
    <w:p w:rsidR="002C5025" w:rsidRDefault="002C5025">
      <w:pPr>
        <w:pStyle w:val="ListParagraph"/>
        <w:numPr>
          <w:ilvl w:val="0"/>
          <w:numId w:val="94"/>
        </w:numPr>
        <w:tabs>
          <w:tab w:val="left" w:pos="308"/>
        </w:tabs>
        <w:kinsoku w:val="0"/>
        <w:overflowPunct w:val="0"/>
        <w:spacing w:before="76"/>
        <w:ind w:left="307" w:hanging="195"/>
        <w:rPr>
          <w:rFonts w:ascii="Arial" w:hAnsi="Arial" w:cs="Arial"/>
          <w:color w:val="000000"/>
          <w:w w:val="105"/>
          <w:sz w:val="19"/>
          <w:szCs w:val="19"/>
        </w:rPr>
      </w:pPr>
      <w:r>
        <w:rPr>
          <w:rFonts w:ascii="Arial" w:hAnsi="Arial" w:cs="Arial"/>
          <w:w w:val="120"/>
          <w:sz w:val="19"/>
          <w:szCs w:val="19"/>
        </w:rPr>
        <w:t xml:space="preserve">I </w:t>
      </w:r>
      <w:r>
        <w:rPr>
          <w:rFonts w:ascii="Arial" w:hAnsi="Arial" w:cs="Arial"/>
          <w:w w:val="105"/>
          <w:sz w:val="19"/>
          <w:szCs w:val="19"/>
        </w:rPr>
        <w:t>P a g</w:t>
      </w:r>
      <w:r>
        <w:rPr>
          <w:rFonts w:ascii="Arial" w:hAnsi="Arial" w:cs="Arial"/>
          <w:spacing w:val="-37"/>
          <w:w w:val="105"/>
          <w:sz w:val="19"/>
          <w:szCs w:val="19"/>
        </w:rPr>
        <w:t xml:space="preserve"> </w:t>
      </w:r>
      <w:r>
        <w:rPr>
          <w:rFonts w:ascii="Arial" w:hAnsi="Arial" w:cs="Arial"/>
          <w:w w:val="105"/>
          <w:sz w:val="19"/>
          <w:szCs w:val="19"/>
        </w:rPr>
        <w:t>e</w:t>
      </w:r>
    </w:p>
    <w:p w:rsidR="002C5025" w:rsidRDefault="002C5025">
      <w:pPr>
        <w:pStyle w:val="ListParagraph"/>
        <w:numPr>
          <w:ilvl w:val="0"/>
          <w:numId w:val="94"/>
        </w:numPr>
        <w:tabs>
          <w:tab w:val="left" w:pos="308"/>
        </w:tabs>
        <w:kinsoku w:val="0"/>
        <w:overflowPunct w:val="0"/>
        <w:spacing w:before="76"/>
        <w:ind w:left="307" w:hanging="195"/>
        <w:rPr>
          <w:rFonts w:ascii="Arial" w:hAnsi="Arial" w:cs="Arial"/>
          <w:color w:val="000000"/>
          <w:w w:val="105"/>
          <w:sz w:val="19"/>
          <w:szCs w:val="19"/>
        </w:rPr>
        <w:sectPr w:rsidR="002C5025">
          <w:pgSz w:w="12240" w:h="15840"/>
          <w:pgMar w:top="1500" w:right="1720" w:bottom="280" w:left="1320" w:header="720" w:footer="720" w:gutter="0"/>
          <w:cols w:space="720" w:equalWidth="0">
            <w:col w:w="9200"/>
          </w:cols>
          <w:noEndnote/>
        </w:sectPr>
      </w:pPr>
    </w:p>
    <w:p w:rsidR="002C5025" w:rsidRDefault="002C5025">
      <w:pPr>
        <w:pStyle w:val="BodyText"/>
        <w:numPr>
          <w:ilvl w:val="0"/>
          <w:numId w:val="93"/>
        </w:numPr>
        <w:tabs>
          <w:tab w:val="left" w:pos="423"/>
        </w:tabs>
        <w:kinsoku w:val="0"/>
        <w:overflowPunct w:val="0"/>
        <w:spacing w:before="56"/>
        <w:rPr>
          <w:rFonts w:ascii="Times New Roman" w:hAnsi="Times New Roman" w:cs="Times New Roman"/>
          <w:b/>
          <w:bCs/>
          <w:spacing w:val="-3"/>
          <w:w w:val="85"/>
        </w:rPr>
      </w:pPr>
      <w:bookmarkStart w:id="28" w:name="II._SYSTEM_NEEDS"/>
      <w:bookmarkEnd w:id="28"/>
      <w:r>
        <w:rPr>
          <w:rFonts w:ascii="Times New Roman" w:hAnsi="Times New Roman" w:cs="Times New Roman"/>
          <w:b/>
          <w:bCs/>
          <w:spacing w:val="-3"/>
          <w:w w:val="85"/>
        </w:rPr>
        <w:lastRenderedPageBreak/>
        <w:t>SYSTEM</w:t>
      </w:r>
      <w:r>
        <w:rPr>
          <w:rFonts w:ascii="Times New Roman" w:hAnsi="Times New Roman" w:cs="Times New Roman"/>
          <w:b/>
          <w:bCs/>
          <w:spacing w:val="33"/>
          <w:w w:val="85"/>
        </w:rPr>
        <w:t xml:space="preserve"> </w:t>
      </w:r>
      <w:r>
        <w:rPr>
          <w:rFonts w:ascii="Times New Roman" w:hAnsi="Times New Roman" w:cs="Times New Roman"/>
          <w:b/>
          <w:bCs/>
          <w:spacing w:val="-3"/>
          <w:w w:val="85"/>
        </w:rPr>
        <w:t>NEEDS</w:t>
      </w:r>
    </w:p>
    <w:p w:rsidR="002C5025" w:rsidRDefault="002C5025">
      <w:pPr>
        <w:pStyle w:val="BodyText"/>
        <w:kinsoku w:val="0"/>
        <w:overflowPunct w:val="0"/>
        <w:spacing w:before="2"/>
        <w:rPr>
          <w:rFonts w:ascii="Times New Roman" w:hAnsi="Times New Roman" w:cs="Times New Roman"/>
          <w:b/>
          <w:bCs/>
          <w:sz w:val="32"/>
          <w:szCs w:val="32"/>
        </w:rPr>
      </w:pPr>
    </w:p>
    <w:p w:rsidR="002C5025" w:rsidRDefault="002C5025">
      <w:pPr>
        <w:pStyle w:val="BodyText"/>
        <w:kinsoku w:val="0"/>
        <w:overflowPunct w:val="0"/>
        <w:spacing w:line="273" w:lineRule="auto"/>
        <w:ind w:left="163" w:right="269" w:firstLine="7"/>
        <w:rPr>
          <w:rFonts w:ascii="Arial" w:hAnsi="Arial" w:cs="Arial"/>
          <w:w w:val="140"/>
          <w:sz w:val="14"/>
          <w:szCs w:val="14"/>
        </w:rPr>
      </w:pPr>
      <w:r>
        <w:rPr>
          <w:rFonts w:ascii="Times New Roman" w:hAnsi="Times New Roman" w:cs="Times New Roman"/>
          <w:sz w:val="21"/>
          <w:szCs w:val="21"/>
        </w:rPr>
        <w:t xml:space="preserve">The MassHealth Delivery System Restructuring is driven by the need to transform a siloed, unsustainably costly and </w:t>
      </w:r>
      <w:r w:rsidR="00607624">
        <w:rPr>
          <w:rFonts w:ascii="Times New Roman" w:hAnsi="Times New Roman" w:cs="Times New Roman"/>
          <w:sz w:val="21"/>
          <w:szCs w:val="21"/>
        </w:rPr>
        <w:t xml:space="preserve">medically </w:t>
      </w:r>
      <w:r>
        <w:rPr>
          <w:rFonts w:ascii="Times New Roman" w:hAnsi="Times New Roman" w:cs="Times New Roman"/>
          <w:sz w:val="21"/>
          <w:szCs w:val="21"/>
        </w:rPr>
        <w:t xml:space="preserve">inefficient program  into one that can reduce fragmentation and focus on "value  </w:t>
      </w:r>
      <w:r>
        <w:rPr>
          <w:rFonts w:ascii="Times New Roman" w:hAnsi="Times New Roman" w:cs="Times New Roman"/>
          <w:position w:val="1"/>
          <w:sz w:val="21"/>
          <w:szCs w:val="21"/>
        </w:rPr>
        <w:t xml:space="preserve">rather than volume </w:t>
      </w:r>
      <w:r>
        <w:rPr>
          <w:rFonts w:ascii="Arial" w:hAnsi="Arial" w:cs="Arial"/>
          <w:position w:val="11"/>
          <w:sz w:val="14"/>
          <w:szCs w:val="14"/>
        </w:rPr>
        <w:t xml:space="preserve">1 </w:t>
      </w:r>
      <w:r>
        <w:rPr>
          <w:rFonts w:ascii="Arial" w:hAnsi="Arial" w:cs="Arial"/>
          <w:spacing w:val="6"/>
          <w:position w:val="11"/>
          <w:sz w:val="14"/>
          <w:szCs w:val="14"/>
        </w:rPr>
        <w:t xml:space="preserve"> </w:t>
      </w:r>
      <w:r>
        <w:rPr>
          <w:rFonts w:ascii="Arial" w:hAnsi="Arial" w:cs="Arial"/>
          <w:w w:val="140"/>
          <w:sz w:val="14"/>
          <w:szCs w:val="14"/>
        </w:rPr>
        <w:t>.</w:t>
      </w:r>
    </w:p>
    <w:p w:rsidR="002C5025" w:rsidRDefault="002C5025">
      <w:pPr>
        <w:pStyle w:val="BodyText"/>
        <w:kinsoku w:val="0"/>
        <w:overflowPunct w:val="0"/>
        <w:spacing w:before="2"/>
        <w:rPr>
          <w:rFonts w:ascii="Arial" w:hAnsi="Arial" w:cs="Arial"/>
          <w:sz w:val="19"/>
          <w:szCs w:val="19"/>
        </w:rPr>
      </w:pPr>
    </w:p>
    <w:p w:rsidR="002C5025" w:rsidRDefault="002C5025">
      <w:pPr>
        <w:pStyle w:val="BodyText"/>
        <w:kinsoku w:val="0"/>
        <w:overflowPunct w:val="0"/>
        <w:spacing w:before="74" w:line="290" w:lineRule="auto"/>
        <w:ind w:left="139" w:right="171" w:firstLine="24"/>
        <w:rPr>
          <w:rFonts w:ascii="Times New Roman" w:hAnsi="Times New Roman" w:cs="Times New Roman"/>
          <w:sz w:val="21"/>
          <w:szCs w:val="21"/>
        </w:rPr>
      </w:pPr>
      <w:r>
        <w:rPr>
          <w:rFonts w:ascii="Times New Roman" w:hAnsi="Times New Roman" w:cs="Times New Roman"/>
          <w:sz w:val="21"/>
          <w:szCs w:val="21"/>
        </w:rPr>
        <w:t xml:space="preserve">The Commonwealth recognizes the importance of systematically linking medical services with resources "not traditionally reimbursed as medical care, to address health-related social needs." The system reform effort envisions incentives for Accountable Care Organizations (ACOs) to build linkages with social services. It also incorporates  access to Delivery System Reform Incentive Payment (DSRIP) funds in   order to address the social determinants of health. Like other DSRIP funding, such resources are not permanent,  but intended  as a bridge to </w:t>
      </w:r>
      <w:r>
        <w:rPr>
          <w:rFonts w:ascii="Times New Roman" w:hAnsi="Times New Roman" w:cs="Times New Roman"/>
          <w:spacing w:val="-4"/>
          <w:sz w:val="21"/>
          <w:szCs w:val="21"/>
        </w:rPr>
        <w:t xml:space="preserve">"support </w:t>
      </w:r>
      <w:r>
        <w:rPr>
          <w:rFonts w:ascii="Times New Roman" w:hAnsi="Times New Roman" w:cs="Times New Roman"/>
          <w:sz w:val="21"/>
          <w:szCs w:val="21"/>
        </w:rPr>
        <w:t>development  of scalable new capabilities and</w:t>
      </w:r>
      <w:r>
        <w:rPr>
          <w:rFonts w:ascii="Times New Roman" w:hAnsi="Times New Roman" w:cs="Times New Roman"/>
          <w:spacing w:val="12"/>
          <w:sz w:val="21"/>
          <w:szCs w:val="21"/>
        </w:rPr>
        <w:t xml:space="preserve"> </w:t>
      </w:r>
      <w:r>
        <w:rPr>
          <w:rFonts w:ascii="Times New Roman" w:hAnsi="Times New Roman" w:cs="Times New Roman"/>
          <w:sz w:val="21"/>
          <w:szCs w:val="21"/>
        </w:rPr>
        <w:t>capacicy2."</w:t>
      </w:r>
    </w:p>
    <w:p w:rsidR="002C5025" w:rsidRDefault="002C5025">
      <w:pPr>
        <w:pStyle w:val="BodyText"/>
        <w:kinsoku w:val="0"/>
        <w:overflowPunct w:val="0"/>
        <w:spacing w:before="10"/>
        <w:rPr>
          <w:rFonts w:ascii="Times New Roman" w:hAnsi="Times New Roman" w:cs="Times New Roman"/>
          <w:sz w:val="26"/>
          <w:szCs w:val="26"/>
        </w:rPr>
      </w:pPr>
    </w:p>
    <w:p w:rsidR="002C5025" w:rsidRDefault="002C5025">
      <w:pPr>
        <w:pStyle w:val="BodyText"/>
        <w:kinsoku w:val="0"/>
        <w:overflowPunct w:val="0"/>
        <w:spacing w:line="292" w:lineRule="auto"/>
        <w:ind w:left="148" w:right="269" w:hanging="10"/>
        <w:rPr>
          <w:rFonts w:ascii="Times New Roman" w:hAnsi="Times New Roman" w:cs="Times New Roman"/>
          <w:sz w:val="21"/>
          <w:szCs w:val="21"/>
        </w:rPr>
      </w:pPr>
      <w:r>
        <w:rPr>
          <w:rFonts w:ascii="Times New Roman" w:hAnsi="Times New Roman" w:cs="Times New Roman"/>
          <w:sz w:val="21"/>
          <w:szCs w:val="21"/>
        </w:rPr>
        <w:t>As a consequence of this focus, the emerging MassHealth system, and its constituent partners, need a social services linkage s</w:t>
      </w:r>
      <w:r w:rsidR="00607624">
        <w:rPr>
          <w:rFonts w:ascii="Times New Roman" w:hAnsi="Times New Roman" w:cs="Times New Roman"/>
          <w:sz w:val="21"/>
          <w:szCs w:val="21"/>
        </w:rPr>
        <w:t xml:space="preserve">trategy that has the following </w:t>
      </w:r>
      <w:r>
        <w:rPr>
          <w:rFonts w:ascii="Times New Roman" w:hAnsi="Times New Roman" w:cs="Times New Roman"/>
          <w:sz w:val="21"/>
          <w:szCs w:val="21"/>
        </w:rPr>
        <w:t>qualities.</w:t>
      </w:r>
    </w:p>
    <w:p w:rsidR="002C5025" w:rsidRDefault="002C5025">
      <w:pPr>
        <w:pStyle w:val="BodyText"/>
        <w:kinsoku w:val="0"/>
        <w:overflowPunct w:val="0"/>
        <w:spacing w:before="10"/>
        <w:rPr>
          <w:rFonts w:ascii="Times New Roman" w:hAnsi="Times New Roman" w:cs="Times New Roman"/>
          <w:sz w:val="25"/>
          <w:szCs w:val="25"/>
        </w:rPr>
      </w:pPr>
    </w:p>
    <w:p w:rsidR="002C5025" w:rsidRDefault="002C5025">
      <w:pPr>
        <w:pStyle w:val="BodyText"/>
        <w:kinsoku w:val="0"/>
        <w:overflowPunct w:val="0"/>
        <w:ind w:left="141" w:right="269"/>
        <w:rPr>
          <w:rFonts w:ascii="Times New Roman" w:hAnsi="Times New Roman" w:cs="Times New Roman"/>
          <w:w w:val="110"/>
          <w:sz w:val="21"/>
          <w:szCs w:val="21"/>
        </w:rPr>
      </w:pPr>
      <w:r>
        <w:rPr>
          <w:rFonts w:ascii="Arial" w:hAnsi="Arial" w:cs="Arial"/>
          <w:w w:val="110"/>
          <w:sz w:val="20"/>
          <w:szCs w:val="20"/>
        </w:rPr>
        <w:t>It</w:t>
      </w:r>
      <w:r w:rsidR="007B2B7B">
        <w:rPr>
          <w:rFonts w:ascii="Arial" w:hAnsi="Arial" w:cs="Arial"/>
          <w:w w:val="110"/>
          <w:sz w:val="20"/>
          <w:szCs w:val="20"/>
        </w:rPr>
        <w:t xml:space="preserve"> </w:t>
      </w:r>
      <w:r>
        <w:rPr>
          <w:rFonts w:ascii="Times New Roman" w:hAnsi="Times New Roman" w:cs="Times New Roman"/>
          <w:w w:val="110"/>
          <w:sz w:val="21"/>
          <w:szCs w:val="21"/>
        </w:rPr>
        <w:t>must:</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ListParagraph"/>
        <w:numPr>
          <w:ilvl w:val="1"/>
          <w:numId w:val="93"/>
        </w:numPr>
        <w:tabs>
          <w:tab w:val="left" w:pos="848"/>
        </w:tabs>
        <w:kinsoku w:val="0"/>
        <w:overflowPunct w:val="0"/>
        <w:spacing w:before="121" w:line="290" w:lineRule="auto"/>
        <w:ind w:right="997"/>
        <w:rPr>
          <w:sz w:val="21"/>
          <w:szCs w:val="21"/>
        </w:rPr>
      </w:pPr>
      <w:r>
        <w:rPr>
          <w:sz w:val="21"/>
          <w:szCs w:val="21"/>
        </w:rPr>
        <w:t>Be responsive to the characteristic unmet needs of High Utilizers and other MassHealth populations.</w:t>
      </w:r>
    </w:p>
    <w:p w:rsidR="002C5025" w:rsidRDefault="002C5025">
      <w:pPr>
        <w:pStyle w:val="BodyText"/>
        <w:kinsoku w:val="0"/>
        <w:overflowPunct w:val="0"/>
        <w:spacing w:before="3"/>
        <w:rPr>
          <w:rFonts w:ascii="Times New Roman" w:hAnsi="Times New Roman" w:cs="Times New Roman"/>
          <w:sz w:val="26"/>
          <w:szCs w:val="26"/>
        </w:rPr>
      </w:pPr>
    </w:p>
    <w:p w:rsidR="002C5025" w:rsidRDefault="002C5025">
      <w:pPr>
        <w:pStyle w:val="ListParagraph"/>
        <w:numPr>
          <w:ilvl w:val="1"/>
          <w:numId w:val="93"/>
        </w:numPr>
        <w:tabs>
          <w:tab w:val="left" w:pos="848"/>
        </w:tabs>
        <w:kinsoku w:val="0"/>
        <w:overflowPunct w:val="0"/>
        <w:spacing w:line="300" w:lineRule="auto"/>
        <w:ind w:right="427"/>
        <w:rPr>
          <w:sz w:val="21"/>
          <w:szCs w:val="21"/>
        </w:rPr>
      </w:pPr>
      <w:r>
        <w:rPr>
          <w:sz w:val="21"/>
          <w:szCs w:val="21"/>
        </w:rPr>
        <w:t>Be capable of demonstrating added value, measurable in terms of avoided costs and improved health</w:t>
      </w:r>
      <w:r>
        <w:rPr>
          <w:spacing w:val="19"/>
          <w:sz w:val="21"/>
          <w:szCs w:val="21"/>
        </w:rPr>
        <w:t xml:space="preserve"> </w:t>
      </w:r>
      <w:r>
        <w:rPr>
          <w:sz w:val="21"/>
          <w:szCs w:val="21"/>
        </w:rPr>
        <w:t>outcomes.</w:t>
      </w:r>
    </w:p>
    <w:p w:rsidR="002C5025" w:rsidRDefault="002C5025">
      <w:pPr>
        <w:pStyle w:val="BodyText"/>
        <w:kinsoku w:val="0"/>
        <w:overflowPunct w:val="0"/>
        <w:spacing w:before="5"/>
        <w:rPr>
          <w:rFonts w:ascii="Times New Roman" w:hAnsi="Times New Roman" w:cs="Times New Roman"/>
          <w:sz w:val="25"/>
          <w:szCs w:val="25"/>
        </w:rPr>
      </w:pPr>
    </w:p>
    <w:p w:rsidR="002C5025" w:rsidRDefault="002C5025">
      <w:pPr>
        <w:pStyle w:val="ListParagraph"/>
        <w:numPr>
          <w:ilvl w:val="1"/>
          <w:numId w:val="93"/>
        </w:numPr>
        <w:tabs>
          <w:tab w:val="left" w:pos="848"/>
        </w:tabs>
        <w:kinsoku w:val="0"/>
        <w:overflowPunct w:val="0"/>
        <w:ind w:hanging="353"/>
        <w:rPr>
          <w:sz w:val="21"/>
          <w:szCs w:val="21"/>
        </w:rPr>
      </w:pPr>
      <w:r>
        <w:rPr>
          <w:sz w:val="21"/>
          <w:szCs w:val="21"/>
        </w:rPr>
        <w:t xml:space="preserve">Reduce  barriers  and  streamline  </w:t>
      </w:r>
      <w:r>
        <w:rPr>
          <w:spacing w:val="-3"/>
          <w:sz w:val="21"/>
          <w:szCs w:val="21"/>
        </w:rPr>
        <w:t xml:space="preserve">access-not  </w:t>
      </w:r>
      <w:r>
        <w:rPr>
          <w:sz w:val="21"/>
          <w:szCs w:val="21"/>
        </w:rPr>
        <w:t>add new  layers to existing</w:t>
      </w:r>
      <w:r>
        <w:rPr>
          <w:spacing w:val="-4"/>
          <w:sz w:val="21"/>
          <w:szCs w:val="21"/>
        </w:rPr>
        <w:t xml:space="preserve"> </w:t>
      </w:r>
      <w:r>
        <w:rPr>
          <w:sz w:val="21"/>
          <w:szCs w:val="21"/>
        </w:rPr>
        <w:t>systems.</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ListParagraph"/>
        <w:numPr>
          <w:ilvl w:val="1"/>
          <w:numId w:val="93"/>
        </w:numPr>
        <w:tabs>
          <w:tab w:val="left" w:pos="840"/>
        </w:tabs>
        <w:kinsoku w:val="0"/>
        <w:overflowPunct w:val="0"/>
        <w:spacing w:before="133"/>
        <w:ind w:left="840"/>
        <w:rPr>
          <w:sz w:val="21"/>
          <w:szCs w:val="21"/>
        </w:rPr>
      </w:pPr>
      <w:r>
        <w:rPr>
          <w:sz w:val="21"/>
          <w:szCs w:val="21"/>
        </w:rPr>
        <w:t>Be capable of rapid</w:t>
      </w:r>
      <w:r>
        <w:rPr>
          <w:spacing w:val="44"/>
          <w:sz w:val="21"/>
          <w:szCs w:val="21"/>
        </w:rPr>
        <w:t xml:space="preserve"> </w:t>
      </w:r>
      <w:r>
        <w:rPr>
          <w:sz w:val="21"/>
          <w:szCs w:val="21"/>
        </w:rPr>
        <w:t>deployment.</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ListParagraph"/>
        <w:numPr>
          <w:ilvl w:val="1"/>
          <w:numId w:val="93"/>
        </w:numPr>
        <w:tabs>
          <w:tab w:val="left" w:pos="840"/>
        </w:tabs>
        <w:kinsoku w:val="0"/>
        <w:overflowPunct w:val="0"/>
        <w:spacing w:before="126"/>
        <w:ind w:left="840" w:hanging="353"/>
        <w:rPr>
          <w:sz w:val="21"/>
          <w:szCs w:val="21"/>
        </w:rPr>
      </w:pPr>
      <w:r>
        <w:rPr>
          <w:sz w:val="21"/>
          <w:szCs w:val="21"/>
        </w:rPr>
        <w:t xml:space="preserve">Be sustainable after the phase-out  of DSRIP </w:t>
      </w:r>
      <w:r>
        <w:rPr>
          <w:spacing w:val="10"/>
          <w:sz w:val="21"/>
          <w:szCs w:val="21"/>
        </w:rPr>
        <w:t xml:space="preserve"> </w:t>
      </w:r>
      <w:r>
        <w:rPr>
          <w:sz w:val="21"/>
          <w:szCs w:val="21"/>
        </w:rPr>
        <w:t>funds.</w:t>
      </w:r>
    </w:p>
    <w:p w:rsidR="002C5025" w:rsidRDefault="002C5025">
      <w:pPr>
        <w:pStyle w:val="BodyText"/>
        <w:kinsoku w:val="0"/>
        <w:overflowPunct w:val="0"/>
        <w:spacing w:before="5"/>
        <w:rPr>
          <w:rFonts w:ascii="Times New Roman" w:hAnsi="Times New Roman" w:cs="Times New Roman"/>
          <w:sz w:val="29"/>
          <w:szCs w:val="29"/>
        </w:rPr>
      </w:pPr>
    </w:p>
    <w:p w:rsidR="002C5025" w:rsidRDefault="002C5025">
      <w:pPr>
        <w:pStyle w:val="BodyText"/>
        <w:kinsoku w:val="0"/>
        <w:overflowPunct w:val="0"/>
        <w:spacing w:before="1" w:line="292" w:lineRule="auto"/>
        <w:ind w:left="120" w:right="269" w:firstLine="7"/>
        <w:rPr>
          <w:rFonts w:ascii="Times New Roman" w:hAnsi="Times New Roman" w:cs="Times New Roman"/>
          <w:sz w:val="21"/>
          <w:szCs w:val="21"/>
        </w:rPr>
      </w:pPr>
      <w:r>
        <w:rPr>
          <w:rFonts w:ascii="Times New Roman" w:hAnsi="Times New Roman" w:cs="Times New Roman"/>
          <w:sz w:val="21"/>
          <w:szCs w:val="21"/>
        </w:rPr>
        <w:t>The proposed Social Determinants of Health Hub (SDOH Hub) model has the potential to meet these requirements.</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167"/>
        <w:ind w:left="134" w:right="269"/>
        <w:rPr>
          <w:rFonts w:ascii="Times New Roman" w:hAnsi="Times New Roman" w:cs="Times New Roman"/>
          <w:b/>
          <w:bCs/>
          <w:w w:val="85"/>
        </w:rPr>
      </w:pPr>
      <w:bookmarkStart w:id="29" w:name="Ill._MODEL_ELEMENTS"/>
      <w:bookmarkEnd w:id="29"/>
      <w:r>
        <w:rPr>
          <w:rFonts w:ascii="Times New Roman" w:hAnsi="Times New Roman" w:cs="Times New Roman"/>
          <w:b/>
          <w:bCs/>
          <w:w w:val="85"/>
        </w:rPr>
        <w:t>Ill. MODEL ELEMENTS</w:t>
      </w:r>
    </w:p>
    <w:p w:rsidR="002C5025" w:rsidRDefault="002C5025">
      <w:pPr>
        <w:pStyle w:val="BodyText"/>
        <w:kinsoku w:val="0"/>
        <w:overflowPunct w:val="0"/>
        <w:spacing w:before="2"/>
        <w:rPr>
          <w:rFonts w:ascii="Times New Roman" w:hAnsi="Times New Roman" w:cs="Times New Roman"/>
          <w:b/>
          <w:bCs/>
          <w:sz w:val="32"/>
          <w:szCs w:val="32"/>
        </w:rPr>
      </w:pPr>
    </w:p>
    <w:p w:rsidR="002C5025" w:rsidRDefault="002C5025">
      <w:pPr>
        <w:pStyle w:val="BodyText"/>
        <w:kinsoku w:val="0"/>
        <w:overflowPunct w:val="0"/>
        <w:spacing w:line="292" w:lineRule="auto"/>
        <w:ind w:left="127" w:right="269" w:hanging="8"/>
        <w:rPr>
          <w:rFonts w:ascii="Times New Roman" w:hAnsi="Times New Roman" w:cs="Times New Roman"/>
          <w:sz w:val="21"/>
          <w:szCs w:val="21"/>
        </w:rPr>
      </w:pPr>
      <w:r>
        <w:rPr>
          <w:rFonts w:ascii="Times New Roman" w:hAnsi="Times New Roman" w:cs="Times New Roman"/>
          <w:sz w:val="21"/>
          <w:szCs w:val="21"/>
        </w:rPr>
        <w:t xml:space="preserve">The SDOH Hub model is predicated on the deployment of system elements for which there is established  or emerging evidence of </w:t>
      </w:r>
      <w:r>
        <w:rPr>
          <w:rFonts w:ascii="Times New Roman" w:hAnsi="Times New Roman" w:cs="Times New Roman"/>
          <w:spacing w:val="14"/>
          <w:sz w:val="21"/>
          <w:szCs w:val="21"/>
        </w:rPr>
        <w:t xml:space="preserve"> </w:t>
      </w:r>
      <w:r>
        <w:rPr>
          <w:rFonts w:ascii="Times New Roman" w:hAnsi="Times New Roman" w:cs="Times New Roman"/>
          <w:sz w:val="21"/>
          <w:szCs w:val="21"/>
        </w:rPr>
        <w:t>efficacy.</w:t>
      </w:r>
    </w:p>
    <w:p w:rsidR="002C5025" w:rsidRDefault="002C5025">
      <w:pPr>
        <w:pStyle w:val="BodyText"/>
        <w:kinsoku w:val="0"/>
        <w:overflowPunct w:val="0"/>
        <w:rPr>
          <w:rFonts w:ascii="Times New Roman" w:hAnsi="Times New Roman" w:cs="Times New Roman"/>
          <w:sz w:val="20"/>
          <w:szCs w:val="20"/>
        </w:rPr>
      </w:pPr>
    </w:p>
    <w:p w:rsidR="002C5025" w:rsidRDefault="00FB027C">
      <w:pPr>
        <w:pStyle w:val="BodyText"/>
        <w:kinsoku w:val="0"/>
        <w:overflowPunct w:val="0"/>
        <w:spacing w:before="2"/>
        <w:rPr>
          <w:rFonts w:ascii="Times New Roman" w:hAnsi="Times New Roman" w:cs="Times New Roman"/>
          <w:sz w:val="11"/>
          <w:szCs w:val="11"/>
        </w:rPr>
      </w:pPr>
      <w:r>
        <w:rPr>
          <w:noProof/>
        </w:rPr>
        <mc:AlternateContent>
          <mc:Choice Requires="wps">
            <w:drawing>
              <wp:anchor distT="0" distB="0" distL="0" distR="0" simplePos="0" relativeHeight="251480576" behindDoc="0" locked="0" layoutInCell="0" allowOverlap="1">
                <wp:simplePos x="0" y="0"/>
                <wp:positionH relativeFrom="page">
                  <wp:posOffset>918210</wp:posOffset>
                </wp:positionH>
                <wp:positionV relativeFrom="paragraph">
                  <wp:posOffset>111125</wp:posOffset>
                </wp:positionV>
                <wp:extent cx="1824355" cy="12700"/>
                <wp:effectExtent l="0" t="0" r="0" b="0"/>
                <wp:wrapTopAndBottom/>
                <wp:docPr id="938"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4355" cy="12700"/>
                        </a:xfrm>
                        <a:custGeom>
                          <a:avLst/>
                          <a:gdLst>
                            <a:gd name="T0" fmla="*/ 0 w 2873"/>
                            <a:gd name="T1" fmla="*/ 0 h 20"/>
                            <a:gd name="T2" fmla="*/ 2873 w 2873"/>
                            <a:gd name="T3" fmla="*/ 0 h 20"/>
                          </a:gdLst>
                          <a:ahLst/>
                          <a:cxnLst>
                            <a:cxn ang="0">
                              <a:pos x="T0" y="T1"/>
                            </a:cxn>
                            <a:cxn ang="0">
                              <a:pos x="T2" y="T3"/>
                            </a:cxn>
                          </a:cxnLst>
                          <a:rect l="0" t="0" r="r" b="b"/>
                          <a:pathLst>
                            <a:path w="2873" h="20">
                              <a:moveTo>
                                <a:pt x="0" y="0"/>
                              </a:moveTo>
                              <a:lnTo>
                                <a:pt x="287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87" o:spid="_x0000_s1026" style="position:absolute;z-index:251480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2.3pt,8.75pt,215.95pt,8.75pt" coordsize="287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" o:allowincell="f" filled="f" strokeweight=".72pt">
                <v:path arrowok="t" o:connecttype="custom" o:connectlocs="0,0;1824355,0" o:connectangles="0,0"/>
                <w10:wrap type="topAndBottom" anchorx="page"/>
              </v:polyline>
            </w:pict>
          </mc:Fallback>
        </mc:AlternateContent>
      </w:r>
    </w:p>
    <w:p w:rsidR="002C5025" w:rsidRDefault="002C5025">
      <w:pPr>
        <w:pStyle w:val="BodyText"/>
        <w:kinsoku w:val="0"/>
        <w:overflowPunct w:val="0"/>
        <w:spacing w:before="40" w:line="314" w:lineRule="auto"/>
        <w:ind w:left="105" w:right="269" w:firstLine="21"/>
        <w:rPr>
          <w:rFonts w:ascii="Arial" w:hAnsi="Arial" w:cs="Arial"/>
          <w:i/>
          <w:iCs/>
          <w:sz w:val="18"/>
          <w:szCs w:val="18"/>
        </w:rPr>
      </w:pPr>
      <w:r>
        <w:rPr>
          <w:rFonts w:ascii="Times New Roman" w:hAnsi="Times New Roman" w:cs="Times New Roman"/>
          <w:position w:val="9"/>
          <w:sz w:val="12"/>
          <w:szCs w:val="12"/>
        </w:rPr>
        <w:t>1</w:t>
      </w:r>
      <w:r>
        <w:rPr>
          <w:rFonts w:ascii="Arial" w:hAnsi="Arial" w:cs="Arial"/>
          <w:sz w:val="17"/>
          <w:szCs w:val="17"/>
        </w:rPr>
        <w:t xml:space="preserve">Executive Office </w:t>
      </w:r>
      <w:r>
        <w:rPr>
          <w:rFonts w:ascii="Times New Roman" w:hAnsi="Times New Roman" w:cs="Times New Roman"/>
          <w:sz w:val="21"/>
          <w:szCs w:val="21"/>
        </w:rPr>
        <w:t xml:space="preserve">of </w:t>
      </w:r>
      <w:r>
        <w:rPr>
          <w:rFonts w:ascii="Arial" w:hAnsi="Arial" w:cs="Arial"/>
          <w:sz w:val="17"/>
          <w:szCs w:val="17"/>
        </w:rPr>
        <w:t xml:space="preserve">Health and Human Services. April </w:t>
      </w:r>
      <w:r>
        <w:rPr>
          <w:rFonts w:ascii="Times New Roman" w:hAnsi="Times New Roman" w:cs="Times New Roman"/>
          <w:sz w:val="21"/>
          <w:szCs w:val="21"/>
        </w:rPr>
        <w:t xml:space="preserve">14, 2016. </w:t>
      </w:r>
      <w:r>
        <w:rPr>
          <w:rFonts w:ascii="Arial" w:hAnsi="Arial" w:cs="Arial"/>
          <w:i/>
          <w:iCs/>
          <w:sz w:val="18"/>
          <w:szCs w:val="18"/>
        </w:rPr>
        <w:t>MassHealth Delivery System Restructuring: Additional Details.</w:t>
      </w:r>
    </w:p>
    <w:p w:rsidR="002C5025" w:rsidRDefault="002C5025">
      <w:pPr>
        <w:pStyle w:val="BodyText"/>
        <w:kinsoku w:val="0"/>
        <w:overflowPunct w:val="0"/>
        <w:spacing w:line="218" w:lineRule="exact"/>
        <w:ind w:left="120" w:right="269"/>
        <w:rPr>
          <w:rFonts w:ascii="Arial" w:hAnsi="Arial" w:cs="Arial"/>
          <w:i/>
          <w:iCs/>
          <w:w w:val="105"/>
          <w:sz w:val="18"/>
          <w:szCs w:val="18"/>
        </w:rPr>
      </w:pPr>
      <w:r>
        <w:rPr>
          <w:rFonts w:ascii="Times New Roman" w:hAnsi="Times New Roman" w:cs="Times New Roman"/>
          <w:w w:val="105"/>
          <w:position w:val="10"/>
          <w:sz w:val="12"/>
          <w:szCs w:val="12"/>
        </w:rPr>
        <w:t xml:space="preserve">2 </w:t>
      </w:r>
      <w:r>
        <w:rPr>
          <w:rFonts w:ascii="Arial" w:hAnsi="Arial" w:cs="Arial"/>
          <w:i/>
          <w:iCs/>
          <w:w w:val="105"/>
          <w:sz w:val="18"/>
          <w:szCs w:val="18"/>
        </w:rPr>
        <w:t>ibid.</w:t>
      </w:r>
    </w:p>
    <w:p w:rsidR="002C5025" w:rsidRDefault="002C5025">
      <w:pPr>
        <w:pStyle w:val="ListParagraph"/>
        <w:numPr>
          <w:ilvl w:val="0"/>
          <w:numId w:val="94"/>
        </w:numPr>
        <w:tabs>
          <w:tab w:val="left" w:pos="298"/>
        </w:tabs>
        <w:kinsoku w:val="0"/>
        <w:overflowPunct w:val="0"/>
        <w:spacing w:before="133"/>
        <w:ind w:left="297" w:hanging="177"/>
        <w:rPr>
          <w:rFonts w:ascii="Arial" w:hAnsi="Arial" w:cs="Arial"/>
          <w:color w:val="000000"/>
          <w:sz w:val="17"/>
          <w:szCs w:val="17"/>
        </w:rPr>
      </w:pPr>
      <w:r>
        <w:rPr>
          <w:rFonts w:ascii="Arial" w:hAnsi="Arial" w:cs="Arial"/>
          <w:sz w:val="17"/>
          <w:szCs w:val="17"/>
        </w:rPr>
        <w:t>1 P a g  e</w:t>
      </w:r>
    </w:p>
    <w:p w:rsidR="002C5025" w:rsidRDefault="002C5025">
      <w:pPr>
        <w:pStyle w:val="ListParagraph"/>
        <w:numPr>
          <w:ilvl w:val="0"/>
          <w:numId w:val="94"/>
        </w:numPr>
        <w:tabs>
          <w:tab w:val="left" w:pos="298"/>
        </w:tabs>
        <w:kinsoku w:val="0"/>
        <w:overflowPunct w:val="0"/>
        <w:spacing w:before="133"/>
        <w:ind w:left="297" w:hanging="177"/>
        <w:rPr>
          <w:rFonts w:ascii="Arial" w:hAnsi="Arial" w:cs="Arial"/>
          <w:color w:val="000000"/>
          <w:sz w:val="17"/>
          <w:szCs w:val="17"/>
        </w:rPr>
        <w:sectPr w:rsidR="002C5025">
          <w:pgSz w:w="12240" w:h="15840"/>
          <w:pgMar w:top="1500" w:right="1540" w:bottom="280" w:left="1320" w:header="720" w:footer="720" w:gutter="0"/>
          <w:cols w:space="720" w:equalWidth="0">
            <w:col w:w="9380"/>
          </w:cols>
          <w:noEndnote/>
        </w:sectPr>
      </w:pPr>
    </w:p>
    <w:p w:rsidR="002C5025" w:rsidRDefault="002C5025">
      <w:pPr>
        <w:pStyle w:val="BodyText"/>
        <w:kinsoku w:val="0"/>
        <w:overflowPunct w:val="0"/>
        <w:spacing w:before="6"/>
        <w:rPr>
          <w:rFonts w:ascii="Arial" w:hAnsi="Arial" w:cs="Arial"/>
          <w:sz w:val="24"/>
          <w:szCs w:val="24"/>
        </w:rPr>
      </w:pPr>
    </w:p>
    <w:p w:rsidR="002C5025" w:rsidRDefault="00FB027C">
      <w:pPr>
        <w:pStyle w:val="BodyText"/>
        <w:kinsoku w:val="0"/>
        <w:overflowPunct w:val="0"/>
        <w:spacing w:before="74" w:line="283" w:lineRule="auto"/>
        <w:ind w:left="160" w:right="274" w:firstLine="26"/>
        <w:rPr>
          <w:rFonts w:ascii="Times New Roman" w:hAnsi="Times New Roman" w:cs="Times New Roman"/>
          <w:sz w:val="21"/>
          <w:szCs w:val="21"/>
        </w:rPr>
      </w:pPr>
      <w:r>
        <w:rPr>
          <w:noProof/>
        </w:rPr>
        <mc:AlternateContent>
          <mc:Choice Requires="wps">
            <w:drawing>
              <wp:anchor distT="0" distB="0" distL="114300" distR="114300" simplePos="0" relativeHeight="251481600" behindDoc="1" locked="0" layoutInCell="0" allowOverlap="1">
                <wp:simplePos x="0" y="0"/>
                <wp:positionH relativeFrom="page">
                  <wp:posOffset>1246505</wp:posOffset>
                </wp:positionH>
                <wp:positionV relativeFrom="paragraph">
                  <wp:posOffset>1062355</wp:posOffset>
                </wp:positionV>
                <wp:extent cx="27940" cy="82550"/>
                <wp:effectExtent l="0" t="0" r="0" b="0"/>
                <wp:wrapNone/>
                <wp:docPr id="937"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pStyle w:val="BodyText"/>
                              <w:kinsoku w:val="0"/>
                              <w:overflowPunct w:val="0"/>
                              <w:spacing w:line="130" w:lineRule="exact"/>
                              <w:rPr>
                                <w:rFonts w:ascii="Times New Roman" w:hAnsi="Times New Roman" w:cs="Times New Roman"/>
                                <w:w w:val="99"/>
                                <w:sz w:val="13"/>
                                <w:szCs w:val="13"/>
                              </w:rPr>
                            </w:pPr>
                            <w:r>
                              <w:rPr>
                                <w:rFonts w:ascii="Times New Roman" w:hAnsi="Times New Roman" w:cs="Times New Roman"/>
                                <w:w w:val="99"/>
                                <w:sz w:val="13"/>
                                <w:szCs w:val="13"/>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072" type="#_x0000_t202" style="position:absolute;left:0;text-align:left;margin-left:98.15pt;margin-top:83.65pt;width:2.2pt;height:6.5pt;z-index:-251834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xgfsgIAALE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" o:allowincell="f" filled="f" stroked="f">
                <v:textbox inset="0,0,0,0">
                  <w:txbxContent>
                    <w:p w:rsidR="007B2B7B" w:rsidRDefault="007B2B7B">
                      <w:pPr>
                        <w:pStyle w:val="BodyText"/>
                        <w:kinsoku w:val="0"/>
                        <w:overflowPunct w:val="0"/>
                        <w:spacing w:line="130" w:lineRule="exact"/>
                        <w:rPr>
                          <w:rFonts w:ascii="Times New Roman" w:hAnsi="Times New Roman" w:cs="Times New Roman"/>
                          <w:w w:val="99"/>
                          <w:sz w:val="13"/>
                          <w:szCs w:val="13"/>
                        </w:rPr>
                      </w:pPr>
                      <w:r>
                        <w:rPr>
                          <w:rFonts w:ascii="Times New Roman" w:hAnsi="Times New Roman" w:cs="Times New Roman"/>
                          <w:w w:val="99"/>
                          <w:sz w:val="13"/>
                          <w:szCs w:val="13"/>
                        </w:rPr>
                        <w:t>)</w:t>
                      </w:r>
                    </w:p>
                  </w:txbxContent>
                </v:textbox>
                <w10:wrap anchorx="page"/>
              </v:shape>
            </w:pict>
          </mc:Fallback>
        </mc:AlternateContent>
      </w:r>
      <w:r w:rsidR="007B2B7B">
        <w:rPr>
          <w:rFonts w:ascii="Times New Roman" w:hAnsi="Times New Roman" w:cs="Times New Roman"/>
          <w:spacing w:val="8"/>
          <w:sz w:val="21"/>
          <w:szCs w:val="21"/>
        </w:rPr>
        <w:t>Hu</w:t>
      </w:r>
      <w:r w:rsidR="007B2B7B">
        <w:rPr>
          <w:rFonts w:ascii="Times New Roman" w:hAnsi="Times New Roman" w:cs="Times New Roman"/>
          <w:sz w:val="21"/>
          <w:szCs w:val="21"/>
        </w:rPr>
        <w:t>b and-spoke structu</w:t>
      </w:r>
      <w:r w:rsidR="002C5025">
        <w:rPr>
          <w:rFonts w:ascii="Times New Roman" w:hAnsi="Times New Roman" w:cs="Times New Roman"/>
          <w:sz w:val="21"/>
          <w:szCs w:val="21"/>
        </w:rPr>
        <w:t>re. The proposed SDOH Hub seeks to radically simplify the process of connecting patients with social services. Instead of adding a new layer of social service coordination and   subcontracting within each ACO, multiple ACOs can utilize one provider portal, the Hub. The Hub,  in   tum, brokers referrals, and follow-up through a very broad field of social service resources that can be accessed by all patients. This model builds on the experience of several states (notably, Tennessee</w:t>
      </w:r>
      <w:r w:rsidR="002C5025">
        <w:rPr>
          <w:rFonts w:ascii="Times New Roman" w:hAnsi="Times New Roman" w:cs="Times New Roman"/>
          <w:position w:val="10"/>
          <w:sz w:val="14"/>
          <w:szCs w:val="14"/>
        </w:rPr>
        <w:t xml:space="preserve">3 </w:t>
      </w:r>
      <w:r w:rsidR="002C5025">
        <w:rPr>
          <w:rFonts w:ascii="Times New Roman" w:hAnsi="Times New Roman" w:cs="Times New Roman"/>
          <w:sz w:val="21"/>
          <w:szCs w:val="21"/>
        </w:rPr>
        <w:t>and Ohio</w:t>
      </w:r>
      <w:r w:rsidR="002C5025">
        <w:rPr>
          <w:rFonts w:ascii="Times New Roman" w:hAnsi="Times New Roman" w:cs="Times New Roman"/>
          <w:position w:val="10"/>
          <w:sz w:val="13"/>
          <w:szCs w:val="13"/>
        </w:rPr>
        <w:t xml:space="preserve">4 </w:t>
      </w:r>
      <w:r w:rsidR="00607624">
        <w:rPr>
          <w:rFonts w:ascii="Times New Roman" w:hAnsi="Times New Roman" w:cs="Times New Roman"/>
          <w:sz w:val="21"/>
          <w:szCs w:val="21"/>
        </w:rPr>
        <w:t xml:space="preserve">in establishing hub-and-spoke </w:t>
      </w:r>
      <w:r w:rsidR="002C5025">
        <w:rPr>
          <w:rFonts w:ascii="Times New Roman" w:hAnsi="Times New Roman" w:cs="Times New Roman"/>
          <w:sz w:val="21"/>
          <w:szCs w:val="21"/>
        </w:rPr>
        <w:t xml:space="preserve">models of non-medical  service delivery. In addition to creating  simpler structures for contracting, referral, reimbursement  and data aggregation by ACOs, the Hub  structure makes assurance of HIPAA compliance easier because only the Hub must be HIPAA-compliant,  as opposed to multiple social service partners with separate </w:t>
      </w:r>
      <w:r w:rsidR="002C5025">
        <w:rPr>
          <w:rFonts w:ascii="Times New Roman" w:hAnsi="Times New Roman" w:cs="Times New Roman"/>
          <w:spacing w:val="26"/>
          <w:sz w:val="21"/>
          <w:szCs w:val="21"/>
        </w:rPr>
        <w:t xml:space="preserve"> </w:t>
      </w:r>
      <w:r w:rsidR="002C5025">
        <w:rPr>
          <w:rFonts w:ascii="Times New Roman" w:hAnsi="Times New Roman" w:cs="Times New Roman"/>
          <w:sz w:val="21"/>
          <w:szCs w:val="21"/>
        </w:rPr>
        <w:t>contracts.</w:t>
      </w:r>
    </w:p>
    <w:p w:rsidR="002C5025" w:rsidRDefault="002C5025">
      <w:pPr>
        <w:pStyle w:val="BodyText"/>
        <w:kinsoku w:val="0"/>
        <w:overflowPunct w:val="0"/>
        <w:spacing w:before="8"/>
        <w:rPr>
          <w:rFonts w:ascii="Times New Roman" w:hAnsi="Times New Roman" w:cs="Times New Roman"/>
          <w:sz w:val="26"/>
          <w:szCs w:val="26"/>
        </w:rPr>
      </w:pPr>
    </w:p>
    <w:p w:rsidR="002C5025" w:rsidRDefault="002C5025">
      <w:pPr>
        <w:pStyle w:val="BodyText"/>
        <w:kinsoku w:val="0"/>
        <w:overflowPunct w:val="0"/>
        <w:spacing w:line="290" w:lineRule="auto"/>
        <w:ind w:left="145" w:right="443" w:firstLine="22"/>
        <w:rPr>
          <w:rFonts w:ascii="Times New Roman" w:hAnsi="Times New Roman" w:cs="Times New Roman"/>
          <w:sz w:val="21"/>
          <w:szCs w:val="21"/>
        </w:rPr>
      </w:pPr>
      <w:r>
        <w:rPr>
          <w:rFonts w:ascii="Times New Roman" w:hAnsi="Times New Roman" w:cs="Times New Roman"/>
          <w:sz w:val="21"/>
          <w:szCs w:val="21"/>
        </w:rPr>
        <w:t xml:space="preserve">Effective service </w:t>
      </w:r>
      <w:r w:rsidR="00607624">
        <w:rPr>
          <w:rFonts w:ascii="Times New Roman" w:hAnsi="Times New Roman" w:cs="Times New Roman"/>
          <w:sz w:val="21"/>
          <w:szCs w:val="21"/>
        </w:rPr>
        <w:t>integration through Ca</w:t>
      </w:r>
      <w:r w:rsidR="007B2B7B">
        <w:rPr>
          <w:rFonts w:ascii="Times New Roman" w:hAnsi="Times New Roman" w:cs="Times New Roman"/>
          <w:sz w:val="21"/>
          <w:szCs w:val="21"/>
        </w:rPr>
        <w:t>re Coord</w:t>
      </w:r>
      <w:r>
        <w:rPr>
          <w:rFonts w:ascii="Times New Roman" w:hAnsi="Times New Roman" w:cs="Times New Roman"/>
          <w:sz w:val="21"/>
          <w:szCs w:val="21"/>
        </w:rPr>
        <w:t xml:space="preserve">ination Team. The one-stop connection mechanism of the Hub model provides an ideal tool for planning and integration of services through Care Coordination Teams. </w:t>
      </w:r>
      <w:r>
        <w:rPr>
          <w:rFonts w:ascii="Arial" w:hAnsi="Arial" w:cs="Arial"/>
          <w:sz w:val="21"/>
          <w:szCs w:val="21"/>
        </w:rPr>
        <w:t xml:space="preserve">It </w:t>
      </w:r>
      <w:r>
        <w:rPr>
          <w:rFonts w:ascii="Times New Roman" w:hAnsi="Times New Roman" w:cs="Times New Roman"/>
          <w:sz w:val="21"/>
          <w:szCs w:val="21"/>
        </w:rPr>
        <w:t>allows Hub and ACO representatives to jointly engage in data-driven planning around the services needed by individual consumers.</w:t>
      </w:r>
    </w:p>
    <w:p w:rsidR="002C5025" w:rsidRDefault="002C5025">
      <w:pPr>
        <w:pStyle w:val="BodyText"/>
        <w:kinsoku w:val="0"/>
        <w:overflowPunct w:val="0"/>
        <w:spacing w:before="11"/>
        <w:rPr>
          <w:rFonts w:ascii="Times New Roman" w:hAnsi="Times New Roman" w:cs="Times New Roman"/>
          <w:sz w:val="27"/>
          <w:szCs w:val="27"/>
        </w:rPr>
      </w:pPr>
    </w:p>
    <w:p w:rsidR="002C5025" w:rsidRDefault="002C5025">
      <w:pPr>
        <w:pStyle w:val="BodyText"/>
        <w:kinsoku w:val="0"/>
        <w:overflowPunct w:val="0"/>
        <w:spacing w:line="288" w:lineRule="auto"/>
        <w:ind w:left="131" w:right="443" w:firstLine="19"/>
        <w:rPr>
          <w:rFonts w:ascii="Times New Roman" w:hAnsi="Times New Roman" w:cs="Times New Roman"/>
          <w:w w:val="105"/>
          <w:sz w:val="21"/>
          <w:szCs w:val="21"/>
        </w:rPr>
      </w:pPr>
      <w:r>
        <w:rPr>
          <w:rFonts w:ascii="Times New Roman" w:hAnsi="Times New Roman" w:cs="Times New Roman"/>
          <w:w w:val="105"/>
          <w:sz w:val="21"/>
          <w:szCs w:val="21"/>
        </w:rPr>
        <w:t>Focus</w:t>
      </w:r>
      <w:r>
        <w:rPr>
          <w:rFonts w:ascii="Times New Roman" w:hAnsi="Times New Roman" w:cs="Times New Roman"/>
          <w:spacing w:val="-20"/>
          <w:w w:val="105"/>
          <w:sz w:val="21"/>
          <w:szCs w:val="21"/>
        </w:rPr>
        <w:t xml:space="preserve"> </w:t>
      </w:r>
      <w:r>
        <w:rPr>
          <w:rFonts w:ascii="Times New Roman" w:hAnsi="Times New Roman" w:cs="Times New Roman"/>
          <w:w w:val="105"/>
          <w:sz w:val="21"/>
          <w:szCs w:val="21"/>
        </w:rPr>
        <w:t>on</w:t>
      </w:r>
      <w:r>
        <w:rPr>
          <w:rFonts w:ascii="Times New Roman" w:hAnsi="Times New Roman" w:cs="Times New Roman"/>
          <w:spacing w:val="-23"/>
          <w:w w:val="105"/>
          <w:sz w:val="21"/>
          <w:szCs w:val="21"/>
        </w:rPr>
        <w:t xml:space="preserve"> </w:t>
      </w:r>
      <w:r>
        <w:rPr>
          <w:rFonts w:ascii="Times New Roman" w:hAnsi="Times New Roman" w:cs="Times New Roman"/>
          <w:w w:val="105"/>
          <w:sz w:val="21"/>
          <w:szCs w:val="21"/>
        </w:rPr>
        <w:t>services</w:t>
      </w:r>
      <w:r>
        <w:rPr>
          <w:rFonts w:ascii="Times New Roman" w:hAnsi="Times New Roman" w:cs="Times New Roman"/>
          <w:spacing w:val="-27"/>
          <w:w w:val="105"/>
          <w:sz w:val="21"/>
          <w:szCs w:val="21"/>
        </w:rPr>
        <w:t xml:space="preserve"> </w:t>
      </w:r>
      <w:r>
        <w:rPr>
          <w:rFonts w:ascii="Times New Roman" w:hAnsi="Times New Roman" w:cs="Times New Roman"/>
          <w:w w:val="105"/>
          <w:sz w:val="21"/>
          <w:szCs w:val="21"/>
        </w:rPr>
        <w:t>with</w:t>
      </w:r>
      <w:r>
        <w:rPr>
          <w:rFonts w:ascii="Times New Roman" w:hAnsi="Times New Roman" w:cs="Times New Roman"/>
          <w:spacing w:val="-18"/>
          <w:w w:val="105"/>
          <w:sz w:val="21"/>
          <w:szCs w:val="21"/>
        </w:rPr>
        <w:t xml:space="preserve"> </w:t>
      </w:r>
      <w:r>
        <w:rPr>
          <w:rFonts w:ascii="Times New Roman" w:hAnsi="Times New Roman" w:cs="Times New Roman"/>
          <w:w w:val="105"/>
          <w:sz w:val="21"/>
          <w:szCs w:val="21"/>
        </w:rPr>
        <w:t>established</w:t>
      </w:r>
      <w:r>
        <w:rPr>
          <w:rFonts w:ascii="Times New Roman" w:hAnsi="Times New Roman" w:cs="Times New Roman"/>
          <w:spacing w:val="-11"/>
          <w:w w:val="105"/>
          <w:sz w:val="21"/>
          <w:szCs w:val="21"/>
        </w:rPr>
        <w:t xml:space="preserve"> </w:t>
      </w:r>
      <w:r>
        <w:rPr>
          <w:rFonts w:ascii="Times New Roman" w:hAnsi="Times New Roman" w:cs="Times New Roman"/>
          <w:w w:val="105"/>
          <w:sz w:val="21"/>
          <w:szCs w:val="21"/>
        </w:rPr>
        <w:t>ROI.</w:t>
      </w:r>
      <w:r>
        <w:rPr>
          <w:rFonts w:ascii="Times New Roman" w:hAnsi="Times New Roman" w:cs="Times New Roman"/>
          <w:spacing w:val="-24"/>
          <w:w w:val="105"/>
          <w:sz w:val="21"/>
          <w:szCs w:val="21"/>
        </w:rPr>
        <w:t xml:space="preserve"> </w:t>
      </w:r>
      <w:r>
        <w:rPr>
          <w:rFonts w:ascii="Arial" w:hAnsi="Arial" w:cs="Arial"/>
          <w:w w:val="105"/>
          <w:sz w:val="20"/>
          <w:szCs w:val="20"/>
        </w:rPr>
        <w:t>An</w:t>
      </w:r>
      <w:r>
        <w:rPr>
          <w:rFonts w:ascii="Arial" w:hAnsi="Arial" w:cs="Arial"/>
          <w:spacing w:val="-30"/>
          <w:w w:val="105"/>
          <w:sz w:val="20"/>
          <w:szCs w:val="20"/>
        </w:rPr>
        <w:t xml:space="preserve"> </w:t>
      </w:r>
      <w:r>
        <w:rPr>
          <w:rFonts w:ascii="Times New Roman" w:hAnsi="Times New Roman" w:cs="Times New Roman"/>
          <w:w w:val="105"/>
          <w:sz w:val="21"/>
          <w:szCs w:val="21"/>
        </w:rPr>
        <w:t>extensive</w:t>
      </w:r>
      <w:r>
        <w:rPr>
          <w:rFonts w:ascii="Times New Roman" w:hAnsi="Times New Roman" w:cs="Times New Roman"/>
          <w:spacing w:val="-18"/>
          <w:w w:val="105"/>
          <w:sz w:val="21"/>
          <w:szCs w:val="21"/>
        </w:rPr>
        <w:t xml:space="preserve"> </w:t>
      </w:r>
      <w:r>
        <w:rPr>
          <w:rFonts w:ascii="Times New Roman" w:hAnsi="Times New Roman" w:cs="Times New Roman"/>
          <w:w w:val="105"/>
          <w:sz w:val="21"/>
          <w:szCs w:val="21"/>
        </w:rPr>
        <w:t>literature</w:t>
      </w:r>
      <w:r>
        <w:rPr>
          <w:rFonts w:ascii="Times New Roman" w:hAnsi="Times New Roman" w:cs="Times New Roman"/>
          <w:spacing w:val="-18"/>
          <w:w w:val="105"/>
          <w:sz w:val="21"/>
          <w:szCs w:val="21"/>
        </w:rPr>
        <w:t xml:space="preserve"> </w:t>
      </w:r>
      <w:r>
        <w:rPr>
          <w:rFonts w:ascii="Times New Roman" w:hAnsi="Times New Roman" w:cs="Times New Roman"/>
          <w:w w:val="105"/>
          <w:sz w:val="21"/>
          <w:szCs w:val="21"/>
        </w:rPr>
        <w:t>demonstrates</w:t>
      </w:r>
      <w:r>
        <w:rPr>
          <w:rFonts w:ascii="Times New Roman" w:hAnsi="Times New Roman" w:cs="Times New Roman"/>
          <w:spacing w:val="-21"/>
          <w:w w:val="105"/>
          <w:sz w:val="21"/>
          <w:szCs w:val="21"/>
        </w:rPr>
        <w:t xml:space="preserve"> </w:t>
      </w:r>
      <w:r>
        <w:rPr>
          <w:rFonts w:ascii="Times New Roman" w:hAnsi="Times New Roman" w:cs="Times New Roman"/>
          <w:w w:val="105"/>
          <w:sz w:val="21"/>
          <w:szCs w:val="21"/>
        </w:rPr>
        <w:t>that</w:t>
      </w:r>
      <w:r>
        <w:rPr>
          <w:rFonts w:ascii="Times New Roman" w:hAnsi="Times New Roman" w:cs="Times New Roman"/>
          <w:spacing w:val="-27"/>
          <w:w w:val="105"/>
          <w:sz w:val="21"/>
          <w:szCs w:val="21"/>
        </w:rPr>
        <w:t xml:space="preserve"> </w:t>
      </w:r>
      <w:r>
        <w:rPr>
          <w:rFonts w:ascii="Times New Roman" w:hAnsi="Times New Roman" w:cs="Times New Roman"/>
          <w:w w:val="105"/>
          <w:sz w:val="21"/>
          <w:szCs w:val="21"/>
        </w:rPr>
        <w:t>"nonmedical</w:t>
      </w:r>
      <w:r>
        <w:rPr>
          <w:rFonts w:ascii="Times New Roman" w:hAnsi="Times New Roman" w:cs="Times New Roman"/>
          <w:spacing w:val="-23"/>
          <w:w w:val="105"/>
          <w:sz w:val="21"/>
          <w:szCs w:val="21"/>
        </w:rPr>
        <w:t xml:space="preserve"> </w:t>
      </w:r>
      <w:r>
        <w:rPr>
          <w:rFonts w:ascii="Times New Roman" w:hAnsi="Times New Roman" w:cs="Times New Roman"/>
          <w:w w:val="105"/>
          <w:sz w:val="21"/>
          <w:szCs w:val="21"/>
        </w:rPr>
        <w:t>factors play a substantially larger role than do medical factors in health", and that "...increased investment in selected</w:t>
      </w:r>
      <w:r>
        <w:rPr>
          <w:rFonts w:ascii="Times New Roman" w:hAnsi="Times New Roman" w:cs="Times New Roman"/>
          <w:spacing w:val="-17"/>
          <w:w w:val="105"/>
          <w:sz w:val="21"/>
          <w:szCs w:val="21"/>
        </w:rPr>
        <w:t xml:space="preserve"> </w:t>
      </w:r>
      <w:r>
        <w:rPr>
          <w:rFonts w:ascii="Times New Roman" w:hAnsi="Times New Roman" w:cs="Times New Roman"/>
          <w:w w:val="105"/>
          <w:sz w:val="21"/>
          <w:szCs w:val="21"/>
        </w:rPr>
        <w:t>social</w:t>
      </w:r>
      <w:r>
        <w:rPr>
          <w:rFonts w:ascii="Times New Roman" w:hAnsi="Times New Roman" w:cs="Times New Roman"/>
          <w:spacing w:val="-19"/>
          <w:w w:val="105"/>
          <w:sz w:val="21"/>
          <w:szCs w:val="21"/>
        </w:rPr>
        <w:t xml:space="preserve"> </w:t>
      </w:r>
      <w:r>
        <w:rPr>
          <w:rFonts w:ascii="Times New Roman" w:hAnsi="Times New Roman" w:cs="Times New Roman"/>
          <w:w w:val="105"/>
          <w:sz w:val="21"/>
          <w:szCs w:val="21"/>
        </w:rPr>
        <w:t>services</w:t>
      </w:r>
      <w:r>
        <w:rPr>
          <w:rFonts w:ascii="Times New Roman" w:hAnsi="Times New Roman" w:cs="Times New Roman"/>
          <w:spacing w:val="-36"/>
          <w:w w:val="105"/>
          <w:sz w:val="21"/>
          <w:szCs w:val="21"/>
        </w:rPr>
        <w:t xml:space="preserve"> </w:t>
      </w:r>
      <w:r>
        <w:rPr>
          <w:rFonts w:ascii="Times New Roman" w:hAnsi="Times New Roman" w:cs="Times New Roman"/>
          <w:w w:val="105"/>
          <w:sz w:val="21"/>
          <w:szCs w:val="21"/>
        </w:rPr>
        <w:t>...can</w:t>
      </w:r>
      <w:r>
        <w:rPr>
          <w:rFonts w:ascii="Times New Roman" w:hAnsi="Times New Roman" w:cs="Times New Roman"/>
          <w:spacing w:val="-23"/>
          <w:w w:val="105"/>
          <w:sz w:val="21"/>
          <w:szCs w:val="21"/>
        </w:rPr>
        <w:t xml:space="preserve"> </w:t>
      </w:r>
      <w:r>
        <w:rPr>
          <w:rFonts w:ascii="Times New Roman" w:hAnsi="Times New Roman" w:cs="Times New Roman"/>
          <w:w w:val="105"/>
          <w:sz w:val="21"/>
          <w:szCs w:val="21"/>
        </w:rPr>
        <w:t>confer</w:t>
      </w:r>
      <w:r>
        <w:rPr>
          <w:rFonts w:ascii="Times New Roman" w:hAnsi="Times New Roman" w:cs="Times New Roman"/>
          <w:spacing w:val="-19"/>
          <w:w w:val="105"/>
          <w:sz w:val="21"/>
          <w:szCs w:val="21"/>
        </w:rPr>
        <w:t xml:space="preserve"> </w:t>
      </w:r>
      <w:r>
        <w:rPr>
          <w:rFonts w:ascii="Times New Roman" w:hAnsi="Times New Roman" w:cs="Times New Roman"/>
          <w:w w:val="105"/>
          <w:sz w:val="21"/>
          <w:szCs w:val="21"/>
        </w:rPr>
        <w:t>substantial</w:t>
      </w:r>
      <w:r>
        <w:rPr>
          <w:rFonts w:ascii="Times New Roman" w:hAnsi="Times New Roman" w:cs="Times New Roman"/>
          <w:spacing w:val="-19"/>
          <w:w w:val="105"/>
          <w:sz w:val="21"/>
          <w:szCs w:val="21"/>
        </w:rPr>
        <w:t xml:space="preserve"> </w:t>
      </w:r>
      <w:r>
        <w:rPr>
          <w:rFonts w:ascii="Times New Roman" w:hAnsi="Times New Roman" w:cs="Times New Roman"/>
          <w:w w:val="105"/>
          <w:sz w:val="21"/>
          <w:szCs w:val="21"/>
        </w:rPr>
        <w:t>health</w:t>
      </w:r>
      <w:r>
        <w:rPr>
          <w:rFonts w:ascii="Times New Roman" w:hAnsi="Times New Roman" w:cs="Times New Roman"/>
          <w:spacing w:val="-19"/>
          <w:w w:val="105"/>
          <w:sz w:val="21"/>
          <w:szCs w:val="21"/>
        </w:rPr>
        <w:t xml:space="preserve"> </w:t>
      </w:r>
      <w:r>
        <w:rPr>
          <w:rFonts w:ascii="Times New Roman" w:hAnsi="Times New Roman" w:cs="Times New Roman"/>
          <w:w w:val="105"/>
          <w:sz w:val="21"/>
          <w:szCs w:val="21"/>
        </w:rPr>
        <w:t>benefits</w:t>
      </w:r>
      <w:r>
        <w:rPr>
          <w:rFonts w:ascii="Times New Roman" w:hAnsi="Times New Roman" w:cs="Times New Roman"/>
          <w:spacing w:val="-15"/>
          <w:w w:val="105"/>
          <w:sz w:val="21"/>
          <w:szCs w:val="21"/>
        </w:rPr>
        <w:t xml:space="preserve"> </w:t>
      </w:r>
      <w:r>
        <w:rPr>
          <w:rFonts w:ascii="Times New Roman" w:hAnsi="Times New Roman" w:cs="Times New Roman"/>
          <w:w w:val="105"/>
          <w:sz w:val="21"/>
          <w:szCs w:val="21"/>
        </w:rPr>
        <w:t>and</w:t>
      </w:r>
      <w:r>
        <w:rPr>
          <w:rFonts w:ascii="Times New Roman" w:hAnsi="Times New Roman" w:cs="Times New Roman"/>
          <w:spacing w:val="-22"/>
          <w:w w:val="105"/>
          <w:sz w:val="21"/>
          <w:szCs w:val="21"/>
        </w:rPr>
        <w:t xml:space="preserve"> </w:t>
      </w:r>
      <w:r>
        <w:rPr>
          <w:rFonts w:ascii="Times New Roman" w:hAnsi="Times New Roman" w:cs="Times New Roman"/>
          <w:w w:val="105"/>
          <w:sz w:val="21"/>
          <w:szCs w:val="21"/>
        </w:rPr>
        <w:t>reduce</w:t>
      </w:r>
      <w:r>
        <w:rPr>
          <w:rFonts w:ascii="Times New Roman" w:hAnsi="Times New Roman" w:cs="Times New Roman"/>
          <w:spacing w:val="-19"/>
          <w:w w:val="105"/>
          <w:sz w:val="21"/>
          <w:szCs w:val="21"/>
        </w:rPr>
        <w:t xml:space="preserve"> </w:t>
      </w:r>
      <w:r>
        <w:rPr>
          <w:rFonts w:ascii="Times New Roman" w:hAnsi="Times New Roman" w:cs="Times New Roman"/>
          <w:w w:val="105"/>
          <w:sz w:val="21"/>
          <w:szCs w:val="21"/>
        </w:rPr>
        <w:t>health</w:t>
      </w:r>
      <w:r>
        <w:rPr>
          <w:rFonts w:ascii="Times New Roman" w:hAnsi="Times New Roman" w:cs="Times New Roman"/>
          <w:spacing w:val="-17"/>
          <w:w w:val="105"/>
          <w:sz w:val="21"/>
          <w:szCs w:val="21"/>
        </w:rPr>
        <w:t xml:space="preserve"> </w:t>
      </w:r>
      <w:r>
        <w:rPr>
          <w:rFonts w:ascii="Times New Roman" w:hAnsi="Times New Roman" w:cs="Times New Roman"/>
          <w:w w:val="105"/>
          <w:sz w:val="21"/>
          <w:szCs w:val="21"/>
        </w:rPr>
        <w:t>care</w:t>
      </w:r>
      <w:r>
        <w:rPr>
          <w:rFonts w:ascii="Times New Roman" w:hAnsi="Times New Roman" w:cs="Times New Roman"/>
          <w:spacing w:val="-22"/>
          <w:w w:val="105"/>
          <w:sz w:val="21"/>
          <w:szCs w:val="21"/>
        </w:rPr>
        <w:t xml:space="preserve"> </w:t>
      </w:r>
      <w:r>
        <w:rPr>
          <w:rFonts w:ascii="Times New Roman" w:hAnsi="Times New Roman" w:cs="Times New Roman"/>
          <w:w w:val="105"/>
          <w:sz w:val="21"/>
          <w:szCs w:val="21"/>
        </w:rPr>
        <w:t>costs</w:t>
      </w:r>
      <w:r>
        <w:rPr>
          <w:rFonts w:ascii="Times New Roman" w:hAnsi="Times New Roman" w:cs="Times New Roman"/>
          <w:spacing w:val="-22"/>
          <w:w w:val="105"/>
          <w:sz w:val="21"/>
          <w:szCs w:val="21"/>
        </w:rPr>
        <w:t xml:space="preserve"> </w:t>
      </w:r>
      <w:r>
        <w:rPr>
          <w:rFonts w:ascii="Times New Roman" w:hAnsi="Times New Roman" w:cs="Times New Roman"/>
          <w:w w:val="105"/>
          <w:sz w:val="21"/>
          <w:szCs w:val="21"/>
        </w:rPr>
        <w:t>for</w:t>
      </w:r>
      <w:r>
        <w:rPr>
          <w:rFonts w:ascii="Times New Roman" w:hAnsi="Times New Roman" w:cs="Times New Roman"/>
          <w:spacing w:val="-23"/>
          <w:w w:val="105"/>
          <w:sz w:val="21"/>
          <w:szCs w:val="21"/>
        </w:rPr>
        <w:t xml:space="preserve"> </w:t>
      </w:r>
      <w:r>
        <w:rPr>
          <w:rFonts w:ascii="Times New Roman" w:hAnsi="Times New Roman" w:cs="Times New Roman"/>
          <w:w w:val="105"/>
          <w:sz w:val="21"/>
          <w:szCs w:val="21"/>
        </w:rPr>
        <w:t>selected populations.'"</w:t>
      </w:r>
      <w:r>
        <w:rPr>
          <w:rFonts w:ascii="Times New Roman" w:hAnsi="Times New Roman" w:cs="Times New Roman"/>
          <w:spacing w:val="-6"/>
          <w:w w:val="105"/>
          <w:sz w:val="21"/>
          <w:szCs w:val="21"/>
        </w:rPr>
        <w:t xml:space="preserve"> </w:t>
      </w:r>
      <w:r>
        <w:rPr>
          <w:rFonts w:ascii="Times New Roman" w:hAnsi="Times New Roman" w:cs="Times New Roman"/>
          <w:w w:val="105"/>
          <w:sz w:val="21"/>
          <w:szCs w:val="21"/>
        </w:rPr>
        <w:t>The</w:t>
      </w:r>
      <w:r>
        <w:rPr>
          <w:rFonts w:ascii="Times New Roman" w:hAnsi="Times New Roman" w:cs="Times New Roman"/>
          <w:spacing w:val="-21"/>
          <w:w w:val="105"/>
          <w:sz w:val="21"/>
          <w:szCs w:val="21"/>
        </w:rPr>
        <w:t xml:space="preserve"> </w:t>
      </w:r>
      <w:r>
        <w:rPr>
          <w:rFonts w:ascii="Times New Roman" w:hAnsi="Times New Roman" w:cs="Times New Roman"/>
          <w:w w:val="105"/>
          <w:sz w:val="21"/>
          <w:szCs w:val="21"/>
        </w:rPr>
        <w:t>proposed</w:t>
      </w:r>
      <w:r>
        <w:rPr>
          <w:rFonts w:ascii="Times New Roman" w:hAnsi="Times New Roman" w:cs="Times New Roman"/>
          <w:spacing w:val="-4"/>
          <w:w w:val="105"/>
          <w:sz w:val="21"/>
          <w:szCs w:val="21"/>
        </w:rPr>
        <w:t xml:space="preserve"> </w:t>
      </w:r>
      <w:r>
        <w:rPr>
          <w:rFonts w:ascii="Times New Roman" w:hAnsi="Times New Roman" w:cs="Times New Roman"/>
          <w:w w:val="105"/>
          <w:sz w:val="21"/>
          <w:szCs w:val="21"/>
        </w:rPr>
        <w:t>Hub</w:t>
      </w:r>
      <w:r>
        <w:rPr>
          <w:rFonts w:ascii="Times New Roman" w:hAnsi="Times New Roman" w:cs="Times New Roman"/>
          <w:spacing w:val="-10"/>
          <w:w w:val="105"/>
          <w:sz w:val="21"/>
          <w:szCs w:val="21"/>
        </w:rPr>
        <w:t xml:space="preserve"> </w:t>
      </w:r>
      <w:r>
        <w:rPr>
          <w:rFonts w:ascii="Times New Roman" w:hAnsi="Times New Roman" w:cs="Times New Roman"/>
          <w:w w:val="105"/>
          <w:sz w:val="21"/>
          <w:szCs w:val="21"/>
        </w:rPr>
        <w:t>concept</w:t>
      </w:r>
      <w:r>
        <w:rPr>
          <w:rFonts w:ascii="Times New Roman" w:hAnsi="Times New Roman" w:cs="Times New Roman"/>
          <w:spacing w:val="-10"/>
          <w:w w:val="105"/>
          <w:sz w:val="21"/>
          <w:szCs w:val="21"/>
        </w:rPr>
        <w:t xml:space="preserve"> </w:t>
      </w:r>
      <w:r>
        <w:rPr>
          <w:rFonts w:ascii="Times New Roman" w:hAnsi="Times New Roman" w:cs="Times New Roman"/>
          <w:w w:val="105"/>
          <w:sz w:val="21"/>
          <w:szCs w:val="21"/>
        </w:rPr>
        <w:t>will</w:t>
      </w:r>
      <w:r>
        <w:rPr>
          <w:rFonts w:ascii="Times New Roman" w:hAnsi="Times New Roman" w:cs="Times New Roman"/>
          <w:spacing w:val="-12"/>
          <w:w w:val="105"/>
          <w:sz w:val="21"/>
          <w:szCs w:val="21"/>
        </w:rPr>
        <w:t xml:space="preserve"> </w:t>
      </w:r>
      <w:r>
        <w:rPr>
          <w:rFonts w:ascii="Times New Roman" w:hAnsi="Times New Roman" w:cs="Times New Roman"/>
          <w:w w:val="105"/>
          <w:sz w:val="21"/>
          <w:szCs w:val="21"/>
        </w:rPr>
        <w:t>focus</w:t>
      </w:r>
      <w:r>
        <w:rPr>
          <w:rFonts w:ascii="Times New Roman" w:hAnsi="Times New Roman" w:cs="Times New Roman"/>
          <w:spacing w:val="-17"/>
          <w:w w:val="105"/>
          <w:sz w:val="21"/>
          <w:szCs w:val="21"/>
        </w:rPr>
        <w:t xml:space="preserve"> </w:t>
      </w:r>
      <w:r>
        <w:rPr>
          <w:rFonts w:ascii="Times New Roman" w:hAnsi="Times New Roman" w:cs="Times New Roman"/>
          <w:w w:val="105"/>
          <w:sz w:val="21"/>
          <w:szCs w:val="21"/>
        </w:rPr>
        <w:t>on</w:t>
      </w:r>
      <w:r>
        <w:rPr>
          <w:rFonts w:ascii="Times New Roman" w:hAnsi="Times New Roman" w:cs="Times New Roman"/>
          <w:spacing w:val="-21"/>
          <w:w w:val="105"/>
          <w:sz w:val="21"/>
          <w:szCs w:val="21"/>
        </w:rPr>
        <w:t xml:space="preserve"> </w:t>
      </w:r>
      <w:r>
        <w:rPr>
          <w:rFonts w:ascii="Times New Roman" w:hAnsi="Times New Roman" w:cs="Times New Roman"/>
          <w:w w:val="105"/>
          <w:sz w:val="21"/>
          <w:szCs w:val="21"/>
        </w:rPr>
        <w:t>non-medical</w:t>
      </w:r>
      <w:r>
        <w:rPr>
          <w:rFonts w:ascii="Times New Roman" w:hAnsi="Times New Roman" w:cs="Times New Roman"/>
          <w:spacing w:val="-4"/>
          <w:w w:val="105"/>
          <w:sz w:val="21"/>
          <w:szCs w:val="21"/>
        </w:rPr>
        <w:t xml:space="preserve"> </w:t>
      </w:r>
      <w:r>
        <w:rPr>
          <w:rFonts w:ascii="Times New Roman" w:hAnsi="Times New Roman" w:cs="Times New Roman"/>
          <w:w w:val="105"/>
          <w:sz w:val="21"/>
          <w:szCs w:val="21"/>
        </w:rPr>
        <w:t>inputs</w:t>
      </w:r>
      <w:r>
        <w:rPr>
          <w:rFonts w:ascii="Times New Roman" w:hAnsi="Times New Roman" w:cs="Times New Roman"/>
          <w:spacing w:val="-17"/>
          <w:w w:val="105"/>
          <w:sz w:val="21"/>
          <w:szCs w:val="21"/>
        </w:rPr>
        <w:t xml:space="preserve"> </w:t>
      </w:r>
      <w:r>
        <w:rPr>
          <w:rFonts w:ascii="Times New Roman" w:hAnsi="Times New Roman" w:cs="Times New Roman"/>
          <w:w w:val="105"/>
          <w:sz w:val="21"/>
          <w:szCs w:val="21"/>
        </w:rPr>
        <w:t>for</w:t>
      </w:r>
      <w:r>
        <w:rPr>
          <w:rFonts w:ascii="Times New Roman" w:hAnsi="Times New Roman" w:cs="Times New Roman"/>
          <w:spacing w:val="-23"/>
          <w:w w:val="105"/>
          <w:sz w:val="21"/>
          <w:szCs w:val="21"/>
        </w:rPr>
        <w:t xml:space="preserve"> </w:t>
      </w:r>
      <w:r>
        <w:rPr>
          <w:rFonts w:ascii="Times New Roman" w:hAnsi="Times New Roman" w:cs="Times New Roman"/>
          <w:w w:val="105"/>
          <w:sz w:val="21"/>
          <w:szCs w:val="21"/>
        </w:rPr>
        <w:t>which</w:t>
      </w:r>
      <w:r>
        <w:rPr>
          <w:rFonts w:ascii="Times New Roman" w:hAnsi="Times New Roman" w:cs="Times New Roman"/>
          <w:spacing w:val="-19"/>
          <w:w w:val="105"/>
          <w:sz w:val="21"/>
          <w:szCs w:val="21"/>
        </w:rPr>
        <w:t xml:space="preserve"> </w:t>
      </w:r>
      <w:r>
        <w:rPr>
          <w:rFonts w:ascii="Times New Roman" w:hAnsi="Times New Roman" w:cs="Times New Roman"/>
          <w:w w:val="105"/>
          <w:sz w:val="21"/>
          <w:szCs w:val="21"/>
        </w:rPr>
        <w:t>there</w:t>
      </w:r>
      <w:r>
        <w:rPr>
          <w:rFonts w:ascii="Times New Roman" w:hAnsi="Times New Roman" w:cs="Times New Roman"/>
          <w:spacing w:val="-15"/>
          <w:w w:val="105"/>
          <w:sz w:val="21"/>
          <w:szCs w:val="21"/>
        </w:rPr>
        <w:t xml:space="preserve"> </w:t>
      </w:r>
      <w:r>
        <w:rPr>
          <w:rFonts w:ascii="Times New Roman" w:hAnsi="Times New Roman" w:cs="Times New Roman"/>
          <w:w w:val="105"/>
          <w:sz w:val="21"/>
          <w:szCs w:val="21"/>
        </w:rPr>
        <w:t>is</w:t>
      </w:r>
      <w:r>
        <w:rPr>
          <w:rFonts w:ascii="Times New Roman" w:hAnsi="Times New Roman" w:cs="Times New Roman"/>
          <w:spacing w:val="-21"/>
          <w:w w:val="105"/>
          <w:sz w:val="21"/>
          <w:szCs w:val="21"/>
        </w:rPr>
        <w:t xml:space="preserve"> </w:t>
      </w:r>
      <w:r>
        <w:rPr>
          <w:rFonts w:ascii="Times New Roman" w:hAnsi="Times New Roman" w:cs="Times New Roman"/>
          <w:w w:val="105"/>
          <w:sz w:val="21"/>
          <w:szCs w:val="21"/>
        </w:rPr>
        <w:t>a</w:t>
      </w:r>
      <w:r>
        <w:rPr>
          <w:rFonts w:ascii="Times New Roman" w:hAnsi="Times New Roman" w:cs="Times New Roman"/>
          <w:spacing w:val="-23"/>
          <w:w w:val="105"/>
          <w:sz w:val="21"/>
          <w:szCs w:val="21"/>
        </w:rPr>
        <w:t xml:space="preserve"> </w:t>
      </w:r>
      <w:r>
        <w:rPr>
          <w:rFonts w:ascii="Times New Roman" w:hAnsi="Times New Roman" w:cs="Times New Roman"/>
          <w:w w:val="105"/>
          <w:sz w:val="21"/>
          <w:szCs w:val="21"/>
        </w:rPr>
        <w:t>strong research base suggesting positive impacts on health outcomes and avoided costs, including those referenced</w:t>
      </w:r>
      <w:r>
        <w:rPr>
          <w:rFonts w:ascii="Times New Roman" w:hAnsi="Times New Roman" w:cs="Times New Roman"/>
          <w:spacing w:val="-12"/>
          <w:w w:val="105"/>
          <w:sz w:val="21"/>
          <w:szCs w:val="21"/>
        </w:rPr>
        <w:t xml:space="preserve"> </w:t>
      </w:r>
      <w:r>
        <w:rPr>
          <w:rFonts w:ascii="Times New Roman" w:hAnsi="Times New Roman" w:cs="Times New Roman"/>
          <w:w w:val="105"/>
          <w:sz w:val="21"/>
          <w:szCs w:val="21"/>
        </w:rPr>
        <w:t>below</w:t>
      </w:r>
      <w:r>
        <w:rPr>
          <w:rFonts w:ascii="Times New Roman" w:hAnsi="Times New Roman" w:cs="Times New Roman"/>
          <w:spacing w:val="-15"/>
          <w:w w:val="105"/>
          <w:sz w:val="21"/>
          <w:szCs w:val="21"/>
        </w:rPr>
        <w:t xml:space="preserve"> </w:t>
      </w:r>
      <w:r>
        <w:rPr>
          <w:rFonts w:ascii="Times New Roman" w:hAnsi="Times New Roman" w:cs="Times New Roman"/>
          <w:w w:val="105"/>
          <w:sz w:val="21"/>
          <w:szCs w:val="21"/>
        </w:rPr>
        <w:t>in</w:t>
      </w:r>
      <w:r>
        <w:rPr>
          <w:rFonts w:ascii="Times New Roman" w:hAnsi="Times New Roman" w:cs="Times New Roman"/>
          <w:spacing w:val="-21"/>
          <w:w w:val="105"/>
          <w:sz w:val="21"/>
          <w:szCs w:val="21"/>
        </w:rPr>
        <w:t xml:space="preserve"> </w:t>
      </w:r>
      <w:r>
        <w:rPr>
          <w:rFonts w:ascii="Times New Roman" w:hAnsi="Times New Roman" w:cs="Times New Roman"/>
          <w:i/>
          <w:iCs/>
          <w:w w:val="105"/>
        </w:rPr>
        <w:t>Table</w:t>
      </w:r>
      <w:r>
        <w:rPr>
          <w:rFonts w:ascii="Times New Roman" w:hAnsi="Times New Roman" w:cs="Times New Roman"/>
          <w:i/>
          <w:iCs/>
          <w:spacing w:val="-32"/>
          <w:w w:val="105"/>
        </w:rPr>
        <w:t xml:space="preserve"> </w:t>
      </w:r>
      <w:r>
        <w:rPr>
          <w:rFonts w:ascii="Times New Roman" w:hAnsi="Times New Roman" w:cs="Times New Roman"/>
          <w:i/>
          <w:iCs/>
          <w:w w:val="105"/>
        </w:rPr>
        <w:t>2,</w:t>
      </w:r>
      <w:r>
        <w:rPr>
          <w:rFonts w:ascii="Times New Roman" w:hAnsi="Times New Roman" w:cs="Times New Roman"/>
          <w:i/>
          <w:iCs/>
          <w:spacing w:val="-34"/>
          <w:w w:val="105"/>
        </w:rPr>
        <w:t xml:space="preserve"> </w:t>
      </w:r>
      <w:r>
        <w:rPr>
          <w:rFonts w:ascii="Times New Roman" w:hAnsi="Times New Roman" w:cs="Times New Roman"/>
          <w:w w:val="105"/>
          <w:sz w:val="21"/>
          <w:szCs w:val="21"/>
        </w:rPr>
        <w:t>below.</w:t>
      </w:r>
      <w:r>
        <w:rPr>
          <w:rFonts w:ascii="Times New Roman" w:hAnsi="Times New Roman" w:cs="Times New Roman"/>
          <w:spacing w:val="-16"/>
          <w:w w:val="105"/>
          <w:sz w:val="21"/>
          <w:szCs w:val="21"/>
        </w:rPr>
        <w:t xml:space="preserve"> </w:t>
      </w:r>
      <w:r>
        <w:rPr>
          <w:rFonts w:ascii="Times New Roman" w:hAnsi="Times New Roman" w:cs="Times New Roman"/>
          <w:w w:val="105"/>
          <w:sz w:val="21"/>
          <w:szCs w:val="21"/>
        </w:rPr>
        <w:t>Initially,</w:t>
      </w:r>
      <w:r>
        <w:rPr>
          <w:rFonts w:ascii="Times New Roman" w:hAnsi="Times New Roman" w:cs="Times New Roman"/>
          <w:spacing w:val="-22"/>
          <w:w w:val="105"/>
          <w:sz w:val="21"/>
          <w:szCs w:val="21"/>
        </w:rPr>
        <w:t xml:space="preserve"> </w:t>
      </w:r>
      <w:r>
        <w:rPr>
          <w:rFonts w:ascii="Times New Roman" w:hAnsi="Times New Roman" w:cs="Times New Roman"/>
          <w:w w:val="105"/>
          <w:sz w:val="21"/>
          <w:szCs w:val="21"/>
        </w:rPr>
        <w:t>the</w:t>
      </w:r>
      <w:r>
        <w:rPr>
          <w:rFonts w:ascii="Times New Roman" w:hAnsi="Times New Roman" w:cs="Times New Roman"/>
          <w:spacing w:val="-23"/>
          <w:w w:val="105"/>
          <w:sz w:val="21"/>
          <w:szCs w:val="21"/>
        </w:rPr>
        <w:t xml:space="preserve"> </w:t>
      </w:r>
      <w:r>
        <w:rPr>
          <w:rFonts w:ascii="Times New Roman" w:hAnsi="Times New Roman" w:cs="Times New Roman"/>
          <w:w w:val="105"/>
          <w:sz w:val="21"/>
          <w:szCs w:val="21"/>
        </w:rPr>
        <w:t>model</w:t>
      </w:r>
      <w:r>
        <w:rPr>
          <w:rFonts w:ascii="Times New Roman" w:hAnsi="Times New Roman" w:cs="Times New Roman"/>
          <w:spacing w:val="-12"/>
          <w:w w:val="105"/>
          <w:sz w:val="21"/>
          <w:szCs w:val="21"/>
        </w:rPr>
        <w:t xml:space="preserve"> </w:t>
      </w:r>
      <w:r>
        <w:rPr>
          <w:rFonts w:ascii="Times New Roman" w:hAnsi="Times New Roman" w:cs="Times New Roman"/>
          <w:w w:val="105"/>
          <w:sz w:val="21"/>
          <w:szCs w:val="21"/>
        </w:rPr>
        <w:t>will</w:t>
      </w:r>
      <w:r>
        <w:rPr>
          <w:rFonts w:ascii="Times New Roman" w:hAnsi="Times New Roman" w:cs="Times New Roman"/>
          <w:spacing w:val="-19"/>
          <w:w w:val="105"/>
          <w:sz w:val="21"/>
          <w:szCs w:val="21"/>
        </w:rPr>
        <w:t xml:space="preserve"> </w:t>
      </w:r>
      <w:r>
        <w:rPr>
          <w:rFonts w:ascii="Times New Roman" w:hAnsi="Times New Roman" w:cs="Times New Roman"/>
          <w:w w:val="105"/>
          <w:sz w:val="21"/>
          <w:szCs w:val="21"/>
        </w:rPr>
        <w:t>prioritize</w:t>
      </w:r>
      <w:r>
        <w:rPr>
          <w:rFonts w:ascii="Times New Roman" w:hAnsi="Times New Roman" w:cs="Times New Roman"/>
          <w:spacing w:val="-8"/>
          <w:w w:val="105"/>
          <w:sz w:val="21"/>
          <w:szCs w:val="21"/>
        </w:rPr>
        <w:t xml:space="preserve"> </w:t>
      </w:r>
      <w:r>
        <w:rPr>
          <w:rFonts w:ascii="Times New Roman" w:hAnsi="Times New Roman" w:cs="Times New Roman"/>
          <w:w w:val="105"/>
          <w:sz w:val="21"/>
          <w:szCs w:val="21"/>
        </w:rPr>
        <w:t>services</w:t>
      </w:r>
      <w:r>
        <w:rPr>
          <w:rFonts w:ascii="Times New Roman" w:hAnsi="Times New Roman" w:cs="Times New Roman"/>
          <w:spacing w:val="-21"/>
          <w:w w:val="105"/>
          <w:sz w:val="21"/>
          <w:szCs w:val="21"/>
        </w:rPr>
        <w:t xml:space="preserve"> </w:t>
      </w:r>
      <w:r>
        <w:rPr>
          <w:rFonts w:ascii="Times New Roman" w:hAnsi="Times New Roman" w:cs="Times New Roman"/>
          <w:w w:val="105"/>
          <w:sz w:val="21"/>
          <w:szCs w:val="21"/>
        </w:rPr>
        <w:t>for</w:t>
      </w:r>
      <w:r>
        <w:rPr>
          <w:rFonts w:ascii="Times New Roman" w:hAnsi="Times New Roman" w:cs="Times New Roman"/>
          <w:spacing w:val="-23"/>
          <w:w w:val="105"/>
          <w:sz w:val="21"/>
          <w:szCs w:val="21"/>
        </w:rPr>
        <w:t xml:space="preserve"> </w:t>
      </w:r>
      <w:r>
        <w:rPr>
          <w:rFonts w:ascii="Times New Roman" w:hAnsi="Times New Roman" w:cs="Times New Roman"/>
          <w:w w:val="105"/>
          <w:sz w:val="21"/>
          <w:szCs w:val="21"/>
        </w:rPr>
        <w:t>which</w:t>
      </w:r>
      <w:r>
        <w:rPr>
          <w:rFonts w:ascii="Times New Roman" w:hAnsi="Times New Roman" w:cs="Times New Roman"/>
          <w:spacing w:val="-17"/>
          <w:w w:val="105"/>
          <w:sz w:val="21"/>
          <w:szCs w:val="21"/>
        </w:rPr>
        <w:t xml:space="preserve"> </w:t>
      </w:r>
      <w:r>
        <w:rPr>
          <w:rFonts w:ascii="Times New Roman" w:hAnsi="Times New Roman" w:cs="Times New Roman"/>
          <w:w w:val="105"/>
          <w:sz w:val="21"/>
          <w:szCs w:val="21"/>
        </w:rPr>
        <w:t>the</w:t>
      </w:r>
      <w:r>
        <w:rPr>
          <w:rFonts w:ascii="Times New Roman" w:hAnsi="Times New Roman" w:cs="Times New Roman"/>
          <w:spacing w:val="-15"/>
          <w:w w:val="105"/>
          <w:sz w:val="21"/>
          <w:szCs w:val="21"/>
        </w:rPr>
        <w:t xml:space="preserve"> </w:t>
      </w:r>
      <w:r>
        <w:rPr>
          <w:rFonts w:ascii="Times New Roman" w:hAnsi="Times New Roman" w:cs="Times New Roman"/>
          <w:w w:val="105"/>
          <w:sz w:val="21"/>
          <w:szCs w:val="21"/>
        </w:rPr>
        <w:t>evidence base</w:t>
      </w:r>
      <w:r>
        <w:rPr>
          <w:rFonts w:ascii="Times New Roman" w:hAnsi="Times New Roman" w:cs="Times New Roman"/>
          <w:spacing w:val="-16"/>
          <w:w w:val="105"/>
          <w:sz w:val="21"/>
          <w:szCs w:val="21"/>
        </w:rPr>
        <w:t xml:space="preserve"> </w:t>
      </w:r>
      <w:r>
        <w:rPr>
          <w:rFonts w:ascii="Times New Roman" w:hAnsi="Times New Roman" w:cs="Times New Roman"/>
          <w:w w:val="105"/>
          <w:sz w:val="21"/>
          <w:szCs w:val="21"/>
        </w:rPr>
        <w:t>is</w:t>
      </w:r>
      <w:r>
        <w:rPr>
          <w:rFonts w:ascii="Times New Roman" w:hAnsi="Times New Roman" w:cs="Times New Roman"/>
          <w:spacing w:val="-22"/>
          <w:w w:val="105"/>
          <w:sz w:val="21"/>
          <w:szCs w:val="21"/>
        </w:rPr>
        <w:t xml:space="preserve"> </w:t>
      </w:r>
      <w:r>
        <w:rPr>
          <w:rFonts w:ascii="Times New Roman" w:hAnsi="Times New Roman" w:cs="Times New Roman"/>
          <w:w w:val="105"/>
          <w:sz w:val="21"/>
          <w:szCs w:val="21"/>
        </w:rPr>
        <w:t>strongest,</w:t>
      </w:r>
      <w:r>
        <w:rPr>
          <w:rFonts w:ascii="Times New Roman" w:hAnsi="Times New Roman" w:cs="Times New Roman"/>
          <w:spacing w:val="-21"/>
          <w:w w:val="105"/>
          <w:sz w:val="21"/>
          <w:szCs w:val="21"/>
        </w:rPr>
        <w:t xml:space="preserve"> </w:t>
      </w:r>
      <w:r>
        <w:rPr>
          <w:rFonts w:ascii="Times New Roman" w:hAnsi="Times New Roman" w:cs="Times New Roman"/>
          <w:w w:val="105"/>
          <w:sz w:val="21"/>
          <w:szCs w:val="21"/>
        </w:rPr>
        <w:t>and</w:t>
      </w:r>
      <w:r>
        <w:rPr>
          <w:rFonts w:ascii="Times New Roman" w:hAnsi="Times New Roman" w:cs="Times New Roman"/>
          <w:spacing w:val="-22"/>
          <w:w w:val="105"/>
          <w:sz w:val="21"/>
          <w:szCs w:val="21"/>
        </w:rPr>
        <w:t xml:space="preserve"> </w:t>
      </w:r>
      <w:r>
        <w:rPr>
          <w:rFonts w:ascii="Times New Roman" w:hAnsi="Times New Roman" w:cs="Times New Roman"/>
          <w:w w:val="105"/>
          <w:sz w:val="21"/>
          <w:szCs w:val="21"/>
        </w:rPr>
        <w:t>for</w:t>
      </w:r>
      <w:r>
        <w:rPr>
          <w:rFonts w:ascii="Times New Roman" w:hAnsi="Times New Roman" w:cs="Times New Roman"/>
          <w:spacing w:val="-22"/>
          <w:w w:val="105"/>
          <w:sz w:val="21"/>
          <w:szCs w:val="21"/>
        </w:rPr>
        <w:t xml:space="preserve"> </w:t>
      </w:r>
      <w:r>
        <w:rPr>
          <w:rFonts w:ascii="Times New Roman" w:hAnsi="Times New Roman" w:cs="Times New Roman"/>
          <w:w w:val="105"/>
          <w:sz w:val="21"/>
          <w:szCs w:val="21"/>
        </w:rPr>
        <w:t>which</w:t>
      </w:r>
      <w:r>
        <w:rPr>
          <w:rFonts w:ascii="Times New Roman" w:hAnsi="Times New Roman" w:cs="Times New Roman"/>
          <w:spacing w:val="-16"/>
          <w:w w:val="105"/>
          <w:sz w:val="21"/>
          <w:szCs w:val="21"/>
        </w:rPr>
        <w:t xml:space="preserve"> </w:t>
      </w:r>
      <w:r>
        <w:rPr>
          <w:rFonts w:ascii="Times New Roman" w:hAnsi="Times New Roman" w:cs="Times New Roman"/>
          <w:w w:val="105"/>
          <w:sz w:val="21"/>
          <w:szCs w:val="21"/>
        </w:rPr>
        <w:t>positive</w:t>
      </w:r>
      <w:r>
        <w:rPr>
          <w:rFonts w:ascii="Times New Roman" w:hAnsi="Times New Roman" w:cs="Times New Roman"/>
          <w:spacing w:val="-14"/>
          <w:w w:val="105"/>
          <w:sz w:val="21"/>
          <w:szCs w:val="21"/>
        </w:rPr>
        <w:t xml:space="preserve"> </w:t>
      </w:r>
      <w:r>
        <w:rPr>
          <w:rFonts w:ascii="Times New Roman" w:hAnsi="Times New Roman" w:cs="Times New Roman"/>
          <w:w w:val="105"/>
          <w:sz w:val="21"/>
          <w:szCs w:val="21"/>
        </w:rPr>
        <w:t>ROI</w:t>
      </w:r>
      <w:r>
        <w:rPr>
          <w:rFonts w:ascii="Times New Roman" w:hAnsi="Times New Roman" w:cs="Times New Roman"/>
          <w:spacing w:val="-22"/>
          <w:w w:val="105"/>
          <w:sz w:val="21"/>
          <w:szCs w:val="21"/>
        </w:rPr>
        <w:t xml:space="preserve"> </w:t>
      </w:r>
      <w:r>
        <w:rPr>
          <w:rFonts w:ascii="Times New Roman" w:hAnsi="Times New Roman" w:cs="Times New Roman"/>
          <w:w w:val="105"/>
          <w:sz w:val="21"/>
          <w:szCs w:val="21"/>
        </w:rPr>
        <w:t>can</w:t>
      </w:r>
      <w:r>
        <w:rPr>
          <w:rFonts w:ascii="Times New Roman" w:hAnsi="Times New Roman" w:cs="Times New Roman"/>
          <w:spacing w:val="-22"/>
          <w:w w:val="105"/>
          <w:sz w:val="21"/>
          <w:szCs w:val="21"/>
        </w:rPr>
        <w:t xml:space="preserve"> </w:t>
      </w:r>
      <w:r>
        <w:rPr>
          <w:rFonts w:ascii="Times New Roman" w:hAnsi="Times New Roman" w:cs="Times New Roman"/>
          <w:w w:val="105"/>
          <w:sz w:val="21"/>
          <w:szCs w:val="21"/>
        </w:rPr>
        <w:t>be</w:t>
      </w:r>
      <w:r>
        <w:rPr>
          <w:rFonts w:ascii="Times New Roman" w:hAnsi="Times New Roman" w:cs="Times New Roman"/>
          <w:spacing w:val="-16"/>
          <w:w w:val="105"/>
          <w:sz w:val="21"/>
          <w:szCs w:val="21"/>
        </w:rPr>
        <w:t xml:space="preserve"> </w:t>
      </w:r>
      <w:r>
        <w:rPr>
          <w:rFonts w:ascii="Times New Roman" w:hAnsi="Times New Roman" w:cs="Times New Roman"/>
          <w:w w:val="105"/>
          <w:sz w:val="21"/>
          <w:szCs w:val="21"/>
        </w:rPr>
        <w:t>demonstrated</w:t>
      </w:r>
      <w:r>
        <w:rPr>
          <w:rFonts w:ascii="Times New Roman" w:hAnsi="Times New Roman" w:cs="Times New Roman"/>
          <w:spacing w:val="-14"/>
          <w:w w:val="105"/>
          <w:sz w:val="21"/>
          <w:szCs w:val="21"/>
        </w:rPr>
        <w:t xml:space="preserve"> </w:t>
      </w:r>
      <w:r>
        <w:rPr>
          <w:rFonts w:ascii="Times New Roman" w:hAnsi="Times New Roman" w:cs="Times New Roman"/>
          <w:w w:val="105"/>
          <w:sz w:val="21"/>
          <w:szCs w:val="21"/>
        </w:rPr>
        <w:t>readily.</w:t>
      </w:r>
    </w:p>
    <w:p w:rsidR="002C5025" w:rsidRDefault="002C5025">
      <w:pPr>
        <w:pStyle w:val="BodyText"/>
        <w:kinsoku w:val="0"/>
        <w:overflowPunct w:val="0"/>
        <w:spacing w:before="3"/>
        <w:rPr>
          <w:rFonts w:ascii="Times New Roman" w:hAnsi="Times New Roman" w:cs="Times New Roman"/>
          <w:sz w:val="26"/>
          <w:szCs w:val="26"/>
        </w:rPr>
      </w:pPr>
    </w:p>
    <w:p w:rsidR="002C5025" w:rsidRDefault="007B2B7B">
      <w:pPr>
        <w:pStyle w:val="BodyText"/>
        <w:kinsoku w:val="0"/>
        <w:overflowPunct w:val="0"/>
        <w:spacing w:line="292" w:lineRule="auto"/>
        <w:ind w:left="124" w:right="854" w:firstLine="12"/>
        <w:rPr>
          <w:rFonts w:ascii="Times New Roman" w:hAnsi="Times New Roman" w:cs="Times New Roman"/>
          <w:sz w:val="21"/>
          <w:szCs w:val="21"/>
        </w:rPr>
      </w:pPr>
      <w:r>
        <w:rPr>
          <w:rFonts w:ascii="Times New Roman" w:hAnsi="Times New Roman" w:cs="Times New Roman"/>
          <w:sz w:val="21"/>
          <w:szCs w:val="21"/>
        </w:rPr>
        <w:t>Leveraging of mu</w:t>
      </w:r>
      <w:r w:rsidR="002C5025">
        <w:rPr>
          <w:rFonts w:ascii="Times New Roman" w:hAnsi="Times New Roman" w:cs="Times New Roman"/>
          <w:sz w:val="21"/>
          <w:szCs w:val="21"/>
        </w:rPr>
        <w:t>ltiple existing funding sources. The Hub model is capable of creating substantial leverage for ACO funds by helping consumers access state, federal and local resources which are revenue-neutral  for MassHealth.  The Hub can readily screen</w:t>
      </w:r>
      <w:r w:rsidR="00607624">
        <w:rPr>
          <w:rFonts w:ascii="Times New Roman" w:hAnsi="Times New Roman" w:cs="Times New Roman"/>
          <w:sz w:val="21"/>
          <w:szCs w:val="21"/>
        </w:rPr>
        <w:t xml:space="preserve"> consumers for eligibility for </w:t>
      </w:r>
      <w:r w:rsidR="002C5025">
        <w:rPr>
          <w:rFonts w:ascii="Times New Roman" w:hAnsi="Times New Roman" w:cs="Times New Roman"/>
          <w:sz w:val="21"/>
          <w:szCs w:val="21"/>
        </w:rPr>
        <w:t>multiple</w:t>
      </w:r>
    </w:p>
    <w:p w:rsidR="002C5025" w:rsidRDefault="002C5025">
      <w:pPr>
        <w:pStyle w:val="BodyText"/>
        <w:kinsoku w:val="0"/>
        <w:overflowPunct w:val="0"/>
        <w:spacing w:before="2" w:line="290" w:lineRule="auto"/>
        <w:ind w:left="124" w:right="117" w:hanging="1"/>
        <w:jc w:val="both"/>
        <w:rPr>
          <w:rFonts w:ascii="Times New Roman" w:hAnsi="Times New Roman" w:cs="Times New Roman"/>
          <w:sz w:val="21"/>
          <w:szCs w:val="21"/>
        </w:rPr>
      </w:pPr>
      <w:r>
        <w:rPr>
          <w:rFonts w:ascii="Times New Roman" w:hAnsi="Times New Roman" w:cs="Times New Roman"/>
          <w:sz w:val="21"/>
          <w:szCs w:val="21"/>
        </w:rPr>
        <w:t>programs and services, both reducing the effective cost of services requested by the ACO, and providing a range of wrap-around services which can enhance health and well-being. This "resource multiplier" effect allows the Hub to minimize MassHealth costs while maximizing consumer   benefits.</w:t>
      </w:r>
    </w:p>
    <w:p w:rsidR="002C5025" w:rsidRDefault="002C5025">
      <w:pPr>
        <w:pStyle w:val="BodyText"/>
        <w:kinsoku w:val="0"/>
        <w:overflowPunct w:val="0"/>
        <w:spacing w:before="5"/>
        <w:rPr>
          <w:rFonts w:ascii="Times New Roman" w:hAnsi="Times New Roman" w:cs="Times New Roman"/>
          <w:sz w:val="26"/>
          <w:szCs w:val="26"/>
        </w:rPr>
      </w:pPr>
    </w:p>
    <w:p w:rsidR="002C5025" w:rsidRDefault="002C5025">
      <w:pPr>
        <w:pStyle w:val="BodyText"/>
        <w:kinsoku w:val="0"/>
        <w:overflowPunct w:val="0"/>
        <w:spacing w:before="1" w:line="295" w:lineRule="auto"/>
        <w:ind w:left="117" w:right="96" w:firstLine="14"/>
        <w:rPr>
          <w:rFonts w:ascii="Times New Roman" w:hAnsi="Times New Roman" w:cs="Times New Roman"/>
          <w:w w:val="105"/>
          <w:sz w:val="21"/>
          <w:szCs w:val="21"/>
        </w:rPr>
      </w:pPr>
      <w:r>
        <w:rPr>
          <w:rFonts w:ascii="Times New Roman" w:hAnsi="Times New Roman" w:cs="Times New Roman"/>
          <w:w w:val="105"/>
          <w:sz w:val="21"/>
          <w:szCs w:val="21"/>
        </w:rPr>
        <w:t>Utilization</w:t>
      </w:r>
      <w:r>
        <w:rPr>
          <w:rFonts w:ascii="Times New Roman" w:hAnsi="Times New Roman" w:cs="Times New Roman"/>
          <w:spacing w:val="-1"/>
          <w:w w:val="105"/>
          <w:sz w:val="21"/>
          <w:szCs w:val="21"/>
        </w:rPr>
        <w:t xml:space="preserve"> </w:t>
      </w:r>
      <w:r>
        <w:rPr>
          <w:rFonts w:ascii="Times New Roman" w:hAnsi="Times New Roman" w:cs="Times New Roman"/>
          <w:w w:val="105"/>
          <w:sz w:val="21"/>
          <w:szCs w:val="21"/>
        </w:rPr>
        <w:t>of</w:t>
      </w:r>
      <w:r>
        <w:rPr>
          <w:rFonts w:ascii="Times New Roman" w:hAnsi="Times New Roman" w:cs="Times New Roman"/>
          <w:spacing w:val="-12"/>
          <w:w w:val="105"/>
          <w:sz w:val="21"/>
          <w:szCs w:val="21"/>
        </w:rPr>
        <w:t xml:space="preserve"> </w:t>
      </w:r>
      <w:r>
        <w:rPr>
          <w:rFonts w:ascii="Times New Roman" w:hAnsi="Times New Roman" w:cs="Times New Roman"/>
          <w:w w:val="105"/>
          <w:sz w:val="21"/>
          <w:szCs w:val="21"/>
        </w:rPr>
        <w:t>existing</w:t>
      </w:r>
      <w:r>
        <w:rPr>
          <w:rFonts w:ascii="Times New Roman" w:hAnsi="Times New Roman" w:cs="Times New Roman"/>
          <w:spacing w:val="-21"/>
          <w:w w:val="105"/>
          <w:sz w:val="21"/>
          <w:szCs w:val="21"/>
        </w:rPr>
        <w:t xml:space="preserve"> </w:t>
      </w:r>
      <w:r>
        <w:rPr>
          <w:rFonts w:ascii="Times New Roman" w:hAnsi="Times New Roman" w:cs="Times New Roman"/>
          <w:w w:val="105"/>
          <w:sz w:val="21"/>
          <w:szCs w:val="21"/>
        </w:rPr>
        <w:t>infrastructure.</w:t>
      </w:r>
      <w:r>
        <w:rPr>
          <w:rFonts w:ascii="Times New Roman" w:hAnsi="Times New Roman" w:cs="Times New Roman"/>
          <w:spacing w:val="2"/>
          <w:w w:val="105"/>
          <w:sz w:val="21"/>
          <w:szCs w:val="21"/>
        </w:rPr>
        <w:t xml:space="preserve"> </w:t>
      </w:r>
      <w:r>
        <w:rPr>
          <w:rFonts w:ascii="Times New Roman" w:hAnsi="Times New Roman" w:cs="Times New Roman"/>
          <w:w w:val="105"/>
          <w:sz w:val="21"/>
          <w:szCs w:val="21"/>
        </w:rPr>
        <w:t>More</w:t>
      </w:r>
      <w:r>
        <w:rPr>
          <w:rFonts w:ascii="Times New Roman" w:hAnsi="Times New Roman" w:cs="Times New Roman"/>
          <w:spacing w:val="-15"/>
          <w:w w:val="105"/>
          <w:sz w:val="21"/>
          <w:szCs w:val="21"/>
        </w:rPr>
        <w:t xml:space="preserve"> </w:t>
      </w:r>
      <w:r>
        <w:rPr>
          <w:rFonts w:ascii="Times New Roman" w:hAnsi="Times New Roman" w:cs="Times New Roman"/>
          <w:w w:val="105"/>
          <w:sz w:val="21"/>
          <w:szCs w:val="21"/>
        </w:rPr>
        <w:t>generally.</w:t>
      </w:r>
      <w:r>
        <w:rPr>
          <w:rFonts w:ascii="Times New Roman" w:hAnsi="Times New Roman" w:cs="Times New Roman"/>
          <w:spacing w:val="-22"/>
          <w:w w:val="105"/>
          <w:sz w:val="21"/>
          <w:szCs w:val="21"/>
        </w:rPr>
        <w:t xml:space="preserve"> </w:t>
      </w:r>
      <w:r>
        <w:rPr>
          <w:rFonts w:ascii="Times New Roman" w:hAnsi="Times New Roman" w:cs="Times New Roman"/>
          <w:w w:val="105"/>
          <w:sz w:val="21"/>
          <w:szCs w:val="21"/>
        </w:rPr>
        <w:t>the</w:t>
      </w:r>
      <w:r>
        <w:rPr>
          <w:rFonts w:ascii="Times New Roman" w:hAnsi="Times New Roman" w:cs="Times New Roman"/>
          <w:spacing w:val="-21"/>
          <w:w w:val="105"/>
          <w:sz w:val="21"/>
          <w:szCs w:val="21"/>
        </w:rPr>
        <w:t xml:space="preserve"> </w:t>
      </w:r>
      <w:r>
        <w:rPr>
          <w:rFonts w:ascii="Times New Roman" w:hAnsi="Times New Roman" w:cs="Times New Roman"/>
          <w:w w:val="105"/>
          <w:sz w:val="21"/>
          <w:szCs w:val="21"/>
        </w:rPr>
        <w:t>Hub</w:t>
      </w:r>
      <w:r>
        <w:rPr>
          <w:rFonts w:ascii="Times New Roman" w:hAnsi="Times New Roman" w:cs="Times New Roman"/>
          <w:spacing w:val="-23"/>
          <w:w w:val="105"/>
          <w:sz w:val="21"/>
          <w:szCs w:val="21"/>
        </w:rPr>
        <w:t xml:space="preserve"> </w:t>
      </w:r>
      <w:r>
        <w:rPr>
          <w:rFonts w:ascii="Times New Roman" w:hAnsi="Times New Roman" w:cs="Times New Roman"/>
          <w:w w:val="105"/>
          <w:sz w:val="21"/>
          <w:szCs w:val="21"/>
        </w:rPr>
        <w:t>model</w:t>
      </w:r>
      <w:r>
        <w:rPr>
          <w:rFonts w:ascii="Times New Roman" w:hAnsi="Times New Roman" w:cs="Times New Roman"/>
          <w:spacing w:val="-12"/>
          <w:w w:val="105"/>
          <w:sz w:val="21"/>
          <w:szCs w:val="21"/>
        </w:rPr>
        <w:t xml:space="preserve"> </w:t>
      </w:r>
      <w:r>
        <w:rPr>
          <w:rFonts w:ascii="Times New Roman" w:hAnsi="Times New Roman" w:cs="Times New Roman"/>
          <w:w w:val="105"/>
          <w:sz w:val="21"/>
          <w:szCs w:val="21"/>
        </w:rPr>
        <w:t>can</w:t>
      </w:r>
      <w:r>
        <w:rPr>
          <w:rFonts w:ascii="Times New Roman" w:hAnsi="Times New Roman" w:cs="Times New Roman"/>
          <w:spacing w:val="-21"/>
          <w:w w:val="105"/>
          <w:sz w:val="21"/>
          <w:szCs w:val="21"/>
        </w:rPr>
        <w:t xml:space="preserve"> </w:t>
      </w:r>
      <w:r>
        <w:rPr>
          <w:rFonts w:ascii="Times New Roman" w:hAnsi="Times New Roman" w:cs="Times New Roman"/>
          <w:w w:val="105"/>
          <w:sz w:val="21"/>
          <w:szCs w:val="21"/>
        </w:rPr>
        <w:t>build</w:t>
      </w:r>
      <w:r>
        <w:rPr>
          <w:rFonts w:ascii="Times New Roman" w:hAnsi="Times New Roman" w:cs="Times New Roman"/>
          <w:spacing w:val="-8"/>
          <w:w w:val="105"/>
          <w:sz w:val="21"/>
          <w:szCs w:val="21"/>
        </w:rPr>
        <w:t xml:space="preserve"> </w:t>
      </w:r>
      <w:r>
        <w:rPr>
          <w:rFonts w:ascii="Times New Roman" w:hAnsi="Times New Roman" w:cs="Times New Roman"/>
          <w:w w:val="105"/>
          <w:sz w:val="21"/>
          <w:szCs w:val="21"/>
        </w:rPr>
        <w:t>on</w:t>
      </w:r>
      <w:r>
        <w:rPr>
          <w:rFonts w:ascii="Times New Roman" w:hAnsi="Times New Roman" w:cs="Times New Roman"/>
          <w:spacing w:val="-16"/>
          <w:w w:val="105"/>
          <w:sz w:val="21"/>
          <w:szCs w:val="21"/>
        </w:rPr>
        <w:t xml:space="preserve"> </w:t>
      </w:r>
      <w:r>
        <w:rPr>
          <w:rFonts w:ascii="Times New Roman" w:hAnsi="Times New Roman" w:cs="Times New Roman"/>
          <w:w w:val="105"/>
          <w:sz w:val="21"/>
          <w:szCs w:val="21"/>
        </w:rPr>
        <w:t>existing</w:t>
      </w:r>
      <w:r>
        <w:rPr>
          <w:rFonts w:ascii="Times New Roman" w:hAnsi="Times New Roman" w:cs="Times New Roman"/>
          <w:spacing w:val="-21"/>
          <w:w w:val="105"/>
          <w:sz w:val="21"/>
          <w:szCs w:val="21"/>
        </w:rPr>
        <w:t xml:space="preserve"> </w:t>
      </w:r>
      <w:r>
        <w:rPr>
          <w:rFonts w:ascii="Times New Roman" w:hAnsi="Times New Roman" w:cs="Times New Roman"/>
          <w:w w:val="105"/>
          <w:sz w:val="21"/>
          <w:szCs w:val="21"/>
        </w:rPr>
        <w:t>networks</w:t>
      </w:r>
      <w:r>
        <w:rPr>
          <w:rFonts w:ascii="Times New Roman" w:hAnsi="Times New Roman" w:cs="Times New Roman"/>
          <w:spacing w:val="-15"/>
          <w:w w:val="105"/>
          <w:sz w:val="21"/>
          <w:szCs w:val="21"/>
        </w:rPr>
        <w:t xml:space="preserve"> </w:t>
      </w:r>
      <w:r>
        <w:rPr>
          <w:rFonts w:ascii="Times New Roman" w:hAnsi="Times New Roman" w:cs="Times New Roman"/>
          <w:w w:val="105"/>
          <w:sz w:val="21"/>
          <w:szCs w:val="21"/>
        </w:rPr>
        <w:t>of connection</w:t>
      </w:r>
      <w:r>
        <w:rPr>
          <w:rFonts w:ascii="Times New Roman" w:hAnsi="Times New Roman" w:cs="Times New Roman"/>
          <w:spacing w:val="-13"/>
          <w:w w:val="105"/>
          <w:sz w:val="21"/>
          <w:szCs w:val="21"/>
        </w:rPr>
        <w:t xml:space="preserve"> </w:t>
      </w:r>
      <w:r>
        <w:rPr>
          <w:rFonts w:ascii="Times New Roman" w:hAnsi="Times New Roman" w:cs="Times New Roman"/>
          <w:w w:val="105"/>
          <w:sz w:val="21"/>
          <w:szCs w:val="21"/>
        </w:rPr>
        <w:t>and</w:t>
      </w:r>
      <w:r>
        <w:rPr>
          <w:rFonts w:ascii="Times New Roman" w:hAnsi="Times New Roman" w:cs="Times New Roman"/>
          <w:spacing w:val="-17"/>
          <w:w w:val="105"/>
          <w:sz w:val="21"/>
          <w:szCs w:val="21"/>
        </w:rPr>
        <w:t xml:space="preserve"> </w:t>
      </w:r>
      <w:r>
        <w:rPr>
          <w:rFonts w:ascii="Times New Roman" w:hAnsi="Times New Roman" w:cs="Times New Roman"/>
          <w:w w:val="105"/>
          <w:sz w:val="21"/>
          <w:szCs w:val="21"/>
        </w:rPr>
        <w:t>collaboration</w:t>
      </w:r>
      <w:r>
        <w:rPr>
          <w:rFonts w:ascii="Times New Roman" w:hAnsi="Times New Roman" w:cs="Times New Roman"/>
          <w:spacing w:val="-4"/>
          <w:w w:val="105"/>
          <w:sz w:val="21"/>
          <w:szCs w:val="21"/>
        </w:rPr>
        <w:t xml:space="preserve"> </w:t>
      </w:r>
      <w:r>
        <w:rPr>
          <w:rFonts w:ascii="Times New Roman" w:hAnsi="Times New Roman" w:cs="Times New Roman"/>
          <w:w w:val="105"/>
          <w:sz w:val="21"/>
          <w:szCs w:val="21"/>
        </w:rPr>
        <w:t>among</w:t>
      </w:r>
      <w:r>
        <w:rPr>
          <w:rFonts w:ascii="Times New Roman" w:hAnsi="Times New Roman" w:cs="Times New Roman"/>
          <w:spacing w:val="-25"/>
          <w:w w:val="105"/>
          <w:sz w:val="21"/>
          <w:szCs w:val="21"/>
        </w:rPr>
        <w:t xml:space="preserve"> </w:t>
      </w:r>
      <w:r>
        <w:rPr>
          <w:rFonts w:ascii="Times New Roman" w:hAnsi="Times New Roman" w:cs="Times New Roman"/>
          <w:w w:val="105"/>
          <w:sz w:val="21"/>
          <w:szCs w:val="21"/>
        </w:rPr>
        <w:t>nonprofit</w:t>
      </w:r>
      <w:r>
        <w:rPr>
          <w:rFonts w:ascii="Times New Roman" w:hAnsi="Times New Roman" w:cs="Times New Roman"/>
          <w:spacing w:val="-7"/>
          <w:w w:val="105"/>
          <w:sz w:val="21"/>
          <w:szCs w:val="21"/>
        </w:rPr>
        <w:t xml:space="preserve"> </w:t>
      </w:r>
      <w:r>
        <w:rPr>
          <w:rFonts w:ascii="Times New Roman" w:hAnsi="Times New Roman" w:cs="Times New Roman"/>
          <w:w w:val="105"/>
          <w:sz w:val="21"/>
          <w:szCs w:val="21"/>
        </w:rPr>
        <w:t>organizations-including</w:t>
      </w:r>
      <w:r>
        <w:rPr>
          <w:rFonts w:ascii="Times New Roman" w:hAnsi="Times New Roman" w:cs="Times New Roman"/>
          <w:spacing w:val="-17"/>
          <w:w w:val="105"/>
          <w:sz w:val="21"/>
          <w:szCs w:val="21"/>
        </w:rPr>
        <w:t xml:space="preserve"> </w:t>
      </w:r>
      <w:r>
        <w:rPr>
          <w:rFonts w:ascii="Times New Roman" w:hAnsi="Times New Roman" w:cs="Times New Roman"/>
          <w:w w:val="105"/>
          <w:sz w:val="21"/>
          <w:szCs w:val="21"/>
        </w:rPr>
        <w:t>not</w:t>
      </w:r>
      <w:r>
        <w:rPr>
          <w:rFonts w:ascii="Times New Roman" w:hAnsi="Times New Roman" w:cs="Times New Roman"/>
          <w:spacing w:val="-17"/>
          <w:w w:val="105"/>
          <w:sz w:val="21"/>
          <w:szCs w:val="21"/>
        </w:rPr>
        <w:t xml:space="preserve"> </w:t>
      </w:r>
      <w:r>
        <w:rPr>
          <w:rFonts w:ascii="Times New Roman" w:hAnsi="Times New Roman" w:cs="Times New Roman"/>
          <w:w w:val="105"/>
          <w:sz w:val="21"/>
          <w:szCs w:val="21"/>
        </w:rPr>
        <w:t>only</w:t>
      </w:r>
      <w:r>
        <w:rPr>
          <w:rFonts w:ascii="Times New Roman" w:hAnsi="Times New Roman" w:cs="Times New Roman"/>
          <w:spacing w:val="-19"/>
          <w:w w:val="105"/>
          <w:sz w:val="21"/>
          <w:szCs w:val="21"/>
        </w:rPr>
        <w:t xml:space="preserve"> </w:t>
      </w:r>
      <w:r>
        <w:rPr>
          <w:rFonts w:ascii="Times New Roman" w:hAnsi="Times New Roman" w:cs="Times New Roman"/>
          <w:w w:val="105"/>
          <w:sz w:val="21"/>
          <w:szCs w:val="21"/>
        </w:rPr>
        <w:t>larger</w:t>
      </w:r>
      <w:r>
        <w:rPr>
          <w:rFonts w:ascii="Times New Roman" w:hAnsi="Times New Roman" w:cs="Times New Roman"/>
          <w:spacing w:val="-11"/>
          <w:w w:val="105"/>
          <w:sz w:val="21"/>
          <w:szCs w:val="21"/>
        </w:rPr>
        <w:t xml:space="preserve"> </w:t>
      </w:r>
      <w:r>
        <w:rPr>
          <w:rFonts w:ascii="Times New Roman" w:hAnsi="Times New Roman" w:cs="Times New Roman"/>
          <w:w w:val="105"/>
          <w:sz w:val="21"/>
          <w:szCs w:val="21"/>
        </w:rPr>
        <w:t>organizations,</w:t>
      </w:r>
      <w:r>
        <w:rPr>
          <w:rFonts w:ascii="Times New Roman" w:hAnsi="Times New Roman" w:cs="Times New Roman"/>
          <w:spacing w:val="-14"/>
          <w:w w:val="105"/>
          <w:sz w:val="21"/>
          <w:szCs w:val="21"/>
        </w:rPr>
        <w:t xml:space="preserve"> </w:t>
      </w:r>
      <w:r>
        <w:rPr>
          <w:rFonts w:ascii="Times New Roman" w:hAnsi="Times New Roman" w:cs="Times New Roman"/>
          <w:w w:val="105"/>
          <w:sz w:val="21"/>
          <w:szCs w:val="21"/>
        </w:rPr>
        <w:t>but smaller</w:t>
      </w:r>
      <w:r>
        <w:rPr>
          <w:rFonts w:ascii="Times New Roman" w:hAnsi="Times New Roman" w:cs="Times New Roman"/>
          <w:spacing w:val="-27"/>
          <w:w w:val="105"/>
          <w:sz w:val="21"/>
          <w:szCs w:val="21"/>
        </w:rPr>
        <w:t xml:space="preserve"> </w:t>
      </w:r>
      <w:r>
        <w:rPr>
          <w:rFonts w:ascii="Times New Roman" w:hAnsi="Times New Roman" w:cs="Times New Roman"/>
          <w:w w:val="105"/>
          <w:sz w:val="21"/>
          <w:szCs w:val="21"/>
        </w:rPr>
        <w:t>groups</w:t>
      </w:r>
      <w:r>
        <w:rPr>
          <w:rFonts w:ascii="Times New Roman" w:hAnsi="Times New Roman" w:cs="Times New Roman"/>
          <w:spacing w:val="-29"/>
          <w:w w:val="105"/>
          <w:sz w:val="21"/>
          <w:szCs w:val="21"/>
        </w:rPr>
        <w:t xml:space="preserve"> </w:t>
      </w:r>
      <w:r>
        <w:rPr>
          <w:rFonts w:ascii="Times New Roman" w:hAnsi="Times New Roman" w:cs="Times New Roman"/>
          <w:w w:val="105"/>
          <w:sz w:val="21"/>
          <w:szCs w:val="21"/>
        </w:rPr>
        <w:t>that</w:t>
      </w:r>
      <w:r>
        <w:rPr>
          <w:rFonts w:ascii="Times New Roman" w:hAnsi="Times New Roman" w:cs="Times New Roman"/>
          <w:spacing w:val="-27"/>
          <w:w w:val="105"/>
          <w:sz w:val="21"/>
          <w:szCs w:val="21"/>
        </w:rPr>
        <w:t xml:space="preserve"> </w:t>
      </w:r>
      <w:r>
        <w:rPr>
          <w:rFonts w:ascii="Times New Roman" w:hAnsi="Times New Roman" w:cs="Times New Roman"/>
          <w:w w:val="105"/>
          <w:sz w:val="21"/>
          <w:szCs w:val="21"/>
        </w:rPr>
        <w:t>may</w:t>
      </w:r>
      <w:r>
        <w:rPr>
          <w:rFonts w:ascii="Times New Roman" w:hAnsi="Times New Roman" w:cs="Times New Roman"/>
          <w:spacing w:val="-27"/>
          <w:w w:val="105"/>
          <w:sz w:val="21"/>
          <w:szCs w:val="21"/>
        </w:rPr>
        <w:t xml:space="preserve"> </w:t>
      </w:r>
      <w:r>
        <w:rPr>
          <w:rFonts w:ascii="Times New Roman" w:hAnsi="Times New Roman" w:cs="Times New Roman"/>
          <w:w w:val="105"/>
          <w:sz w:val="21"/>
          <w:szCs w:val="21"/>
        </w:rPr>
        <w:t>be</w:t>
      </w:r>
      <w:r>
        <w:rPr>
          <w:rFonts w:ascii="Times New Roman" w:hAnsi="Times New Roman" w:cs="Times New Roman"/>
          <w:spacing w:val="-27"/>
          <w:w w:val="105"/>
          <w:sz w:val="21"/>
          <w:szCs w:val="21"/>
        </w:rPr>
        <w:t xml:space="preserve"> </w:t>
      </w:r>
      <w:r>
        <w:rPr>
          <w:rFonts w:ascii="Times New Roman" w:hAnsi="Times New Roman" w:cs="Times New Roman"/>
          <w:w w:val="105"/>
          <w:sz w:val="21"/>
          <w:szCs w:val="21"/>
        </w:rPr>
        <w:t>linguistically</w:t>
      </w:r>
      <w:r>
        <w:rPr>
          <w:rFonts w:ascii="Times New Roman" w:hAnsi="Times New Roman" w:cs="Times New Roman"/>
          <w:spacing w:val="-20"/>
          <w:w w:val="105"/>
          <w:sz w:val="21"/>
          <w:szCs w:val="21"/>
        </w:rPr>
        <w:t xml:space="preserve"> </w:t>
      </w:r>
      <w:r>
        <w:rPr>
          <w:rFonts w:ascii="Times New Roman" w:hAnsi="Times New Roman" w:cs="Times New Roman"/>
          <w:w w:val="105"/>
          <w:sz w:val="21"/>
          <w:szCs w:val="21"/>
        </w:rPr>
        <w:t>and</w:t>
      </w:r>
      <w:r>
        <w:rPr>
          <w:rFonts w:ascii="Times New Roman" w:hAnsi="Times New Roman" w:cs="Times New Roman"/>
          <w:spacing w:val="-28"/>
          <w:w w:val="105"/>
          <w:sz w:val="21"/>
          <w:szCs w:val="21"/>
        </w:rPr>
        <w:t xml:space="preserve"> </w:t>
      </w:r>
      <w:r>
        <w:rPr>
          <w:rFonts w:ascii="Times New Roman" w:hAnsi="Times New Roman" w:cs="Times New Roman"/>
          <w:w w:val="105"/>
          <w:sz w:val="21"/>
          <w:szCs w:val="21"/>
        </w:rPr>
        <w:t>culturally</w:t>
      </w:r>
      <w:r>
        <w:rPr>
          <w:rFonts w:ascii="Times New Roman" w:hAnsi="Times New Roman" w:cs="Times New Roman"/>
          <w:spacing w:val="-21"/>
          <w:w w:val="105"/>
          <w:sz w:val="21"/>
          <w:szCs w:val="21"/>
        </w:rPr>
        <w:t xml:space="preserve"> </w:t>
      </w:r>
      <w:r>
        <w:rPr>
          <w:rFonts w:ascii="Times New Roman" w:hAnsi="Times New Roman" w:cs="Times New Roman"/>
          <w:w w:val="105"/>
          <w:sz w:val="21"/>
          <w:szCs w:val="21"/>
        </w:rPr>
        <w:t>specialized</w:t>
      </w:r>
      <w:r>
        <w:rPr>
          <w:rFonts w:ascii="Times New Roman" w:hAnsi="Times New Roman" w:cs="Times New Roman"/>
          <w:spacing w:val="-25"/>
          <w:w w:val="105"/>
          <w:sz w:val="21"/>
          <w:szCs w:val="21"/>
        </w:rPr>
        <w:t xml:space="preserve"> </w:t>
      </w:r>
      <w:r>
        <w:rPr>
          <w:rFonts w:ascii="Times New Roman" w:hAnsi="Times New Roman" w:cs="Times New Roman"/>
          <w:w w:val="105"/>
          <w:sz w:val="21"/>
          <w:szCs w:val="21"/>
        </w:rPr>
        <w:t>to</w:t>
      </w:r>
      <w:r>
        <w:rPr>
          <w:rFonts w:ascii="Times New Roman" w:hAnsi="Times New Roman" w:cs="Times New Roman"/>
          <w:spacing w:val="-29"/>
          <w:w w:val="105"/>
          <w:sz w:val="21"/>
          <w:szCs w:val="21"/>
        </w:rPr>
        <w:t xml:space="preserve"> </w:t>
      </w:r>
      <w:r>
        <w:rPr>
          <w:rFonts w:ascii="Times New Roman" w:hAnsi="Times New Roman" w:cs="Times New Roman"/>
          <w:spacing w:val="2"/>
          <w:w w:val="105"/>
          <w:sz w:val="21"/>
          <w:szCs w:val="21"/>
        </w:rPr>
        <w:t>serve</w:t>
      </w:r>
      <w:r w:rsidR="007B2B7B">
        <w:rPr>
          <w:rFonts w:ascii="Times New Roman" w:hAnsi="Times New Roman" w:cs="Times New Roman"/>
          <w:spacing w:val="2"/>
          <w:w w:val="105"/>
          <w:sz w:val="21"/>
          <w:szCs w:val="21"/>
        </w:rPr>
        <w:t xml:space="preserve"> </w:t>
      </w:r>
      <w:r>
        <w:rPr>
          <w:rFonts w:ascii="Times New Roman" w:hAnsi="Times New Roman" w:cs="Times New Roman"/>
          <w:spacing w:val="2"/>
          <w:w w:val="105"/>
          <w:sz w:val="21"/>
          <w:szCs w:val="21"/>
        </w:rPr>
        <w:t>hard-to-reach</w:t>
      </w:r>
      <w:r>
        <w:rPr>
          <w:rFonts w:ascii="Times New Roman" w:hAnsi="Times New Roman" w:cs="Times New Roman"/>
          <w:spacing w:val="-16"/>
          <w:w w:val="105"/>
          <w:sz w:val="21"/>
          <w:szCs w:val="21"/>
        </w:rPr>
        <w:t xml:space="preserve"> </w:t>
      </w:r>
      <w:r>
        <w:rPr>
          <w:rFonts w:ascii="Times New Roman" w:hAnsi="Times New Roman" w:cs="Times New Roman"/>
          <w:w w:val="105"/>
          <w:sz w:val="21"/>
          <w:szCs w:val="21"/>
        </w:rPr>
        <w:t>populations.</w:t>
      </w:r>
    </w:p>
    <w:p w:rsidR="002C5025" w:rsidRDefault="002C5025">
      <w:pPr>
        <w:pStyle w:val="BodyText"/>
        <w:kinsoku w:val="0"/>
        <w:overflowPunct w:val="0"/>
        <w:spacing w:line="292" w:lineRule="auto"/>
        <w:ind w:left="117" w:right="443" w:hanging="1"/>
        <w:rPr>
          <w:rFonts w:ascii="Times New Roman" w:hAnsi="Times New Roman" w:cs="Times New Roman"/>
          <w:sz w:val="21"/>
          <w:szCs w:val="21"/>
        </w:rPr>
      </w:pPr>
      <w:r>
        <w:rPr>
          <w:rFonts w:ascii="Times New Roman" w:hAnsi="Times New Roman" w:cs="Times New Roman"/>
          <w:sz w:val="21"/>
          <w:szCs w:val="21"/>
        </w:rPr>
        <w:t>The proposed Hub model can also build on existing tools and structures, now utilized by leading social services providers, to ensure a consistent, seamless consumer experience. These elements  include   needs</w:t>
      </w:r>
    </w:p>
    <w:p w:rsidR="002C5025" w:rsidRDefault="002C5025">
      <w:pPr>
        <w:pStyle w:val="BodyText"/>
        <w:kinsoku w:val="0"/>
        <w:overflowPunct w:val="0"/>
        <w:rPr>
          <w:rFonts w:ascii="Times New Roman" w:hAnsi="Times New Roman" w:cs="Times New Roman"/>
          <w:sz w:val="20"/>
          <w:szCs w:val="20"/>
        </w:rPr>
      </w:pPr>
    </w:p>
    <w:p w:rsidR="002C5025" w:rsidRDefault="00FB027C">
      <w:pPr>
        <w:pStyle w:val="BodyText"/>
        <w:kinsoku w:val="0"/>
        <w:overflowPunct w:val="0"/>
        <w:spacing w:before="2"/>
        <w:rPr>
          <w:rFonts w:ascii="Times New Roman" w:hAnsi="Times New Roman" w:cs="Times New Roman"/>
          <w:sz w:val="24"/>
          <w:szCs w:val="24"/>
        </w:rPr>
      </w:pPr>
      <w:r>
        <w:rPr>
          <w:noProof/>
        </w:rPr>
        <mc:AlternateContent>
          <mc:Choice Requires="wps">
            <w:drawing>
              <wp:anchor distT="0" distB="0" distL="0" distR="0" simplePos="0" relativeHeight="251482624" behindDoc="0" locked="0" layoutInCell="0" allowOverlap="1">
                <wp:simplePos x="0" y="0"/>
                <wp:positionH relativeFrom="page">
                  <wp:posOffset>911860</wp:posOffset>
                </wp:positionH>
                <wp:positionV relativeFrom="paragraph">
                  <wp:posOffset>206375</wp:posOffset>
                </wp:positionV>
                <wp:extent cx="1819910" cy="12700"/>
                <wp:effectExtent l="0" t="0" r="0" b="0"/>
                <wp:wrapTopAndBottom/>
                <wp:docPr id="936" name="Freeform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19910" cy="12700"/>
                        </a:xfrm>
                        <a:custGeom>
                          <a:avLst/>
                          <a:gdLst>
                            <a:gd name="T0" fmla="*/ 0 w 2866"/>
                            <a:gd name="T1" fmla="*/ 0 h 20"/>
                            <a:gd name="T2" fmla="*/ 2866 w 2866"/>
                            <a:gd name="T3" fmla="*/ 0 h 20"/>
                          </a:gdLst>
                          <a:ahLst/>
                          <a:cxnLst>
                            <a:cxn ang="0">
                              <a:pos x="T0" y="T1"/>
                            </a:cxn>
                            <a:cxn ang="0">
                              <a:pos x="T2" y="T3"/>
                            </a:cxn>
                          </a:cxnLst>
                          <a:rect l="0" t="0" r="r" b="b"/>
                          <a:pathLst>
                            <a:path w="2866" h="20">
                              <a:moveTo>
                                <a:pt x="0" y="0"/>
                              </a:moveTo>
                              <a:lnTo>
                                <a:pt x="2866" y="0"/>
                              </a:lnTo>
                            </a:path>
                          </a:pathLst>
                        </a:custGeom>
                        <a:noFill/>
                        <a:ln w="91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89" o:spid="_x0000_s1026" style="position:absolute;z-index:251482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1.8pt,16.25pt,215.1pt,16.25pt" coordsize="286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" o:allowincell="f" filled="f" strokeweight=".25328mm">
                <v:path arrowok="t" o:connecttype="custom" o:connectlocs="0,0;1819910,0" o:connectangles="0,0"/>
                <w10:wrap type="topAndBottom" anchorx="page"/>
              </v:polyline>
            </w:pict>
          </mc:Fallback>
        </mc:AlternateContent>
      </w:r>
    </w:p>
    <w:p w:rsidR="002C5025" w:rsidRDefault="002C5025">
      <w:pPr>
        <w:pStyle w:val="BodyText"/>
        <w:kinsoku w:val="0"/>
        <w:overflowPunct w:val="0"/>
        <w:spacing w:before="38"/>
        <w:ind w:left="117" w:right="443"/>
        <w:rPr>
          <w:rFonts w:ascii="Arial" w:hAnsi="Arial" w:cs="Arial"/>
          <w:w w:val="105"/>
          <w:sz w:val="17"/>
          <w:szCs w:val="17"/>
        </w:rPr>
      </w:pPr>
      <w:r>
        <w:rPr>
          <w:rFonts w:ascii="Times New Roman" w:hAnsi="Times New Roman" w:cs="Times New Roman"/>
          <w:w w:val="105"/>
          <w:position w:val="10"/>
          <w:sz w:val="12"/>
          <w:szCs w:val="12"/>
        </w:rPr>
        <w:t xml:space="preserve">3 </w:t>
      </w:r>
      <w:r>
        <w:rPr>
          <w:rFonts w:ascii="Arial" w:hAnsi="Arial" w:cs="Arial"/>
          <w:w w:val="105"/>
          <w:sz w:val="17"/>
          <w:szCs w:val="17"/>
        </w:rPr>
        <w:t xml:space="preserve">State </w:t>
      </w:r>
      <w:proofErr w:type="spellStart"/>
      <w:r>
        <w:rPr>
          <w:rFonts w:ascii="Arial" w:hAnsi="Arial" w:cs="Arial"/>
          <w:w w:val="105"/>
          <w:sz w:val="17"/>
          <w:szCs w:val="17"/>
        </w:rPr>
        <w:t>ofTennessee</w:t>
      </w:r>
      <w:proofErr w:type="spellEnd"/>
      <w:r>
        <w:rPr>
          <w:rFonts w:ascii="Arial" w:hAnsi="Arial" w:cs="Arial"/>
          <w:w w:val="105"/>
          <w:sz w:val="17"/>
          <w:szCs w:val="17"/>
        </w:rPr>
        <w:t xml:space="preserve"> Application for State Innovation Model  (SIM)</w:t>
      </w:r>
    </w:p>
    <w:p w:rsidR="002C5025" w:rsidRDefault="002C5025">
      <w:pPr>
        <w:pStyle w:val="BodyText"/>
        <w:kinsoku w:val="0"/>
        <w:overflowPunct w:val="0"/>
        <w:spacing w:before="21" w:line="260" w:lineRule="atLeast"/>
        <w:ind w:left="110" w:right="443"/>
        <w:rPr>
          <w:rFonts w:ascii="Arial" w:hAnsi="Arial" w:cs="Arial"/>
          <w:w w:val="105"/>
          <w:sz w:val="17"/>
          <w:szCs w:val="17"/>
        </w:rPr>
      </w:pPr>
      <w:r>
        <w:rPr>
          <w:rFonts w:ascii="Times New Roman" w:hAnsi="Times New Roman" w:cs="Times New Roman"/>
          <w:w w:val="105"/>
          <w:position w:val="10"/>
          <w:sz w:val="12"/>
          <w:szCs w:val="12"/>
        </w:rPr>
        <w:t xml:space="preserve">4 </w:t>
      </w:r>
      <w:r>
        <w:rPr>
          <w:rFonts w:ascii="Arial" w:hAnsi="Arial" w:cs="Arial"/>
          <w:w w:val="105"/>
          <w:sz w:val="17"/>
          <w:szCs w:val="17"/>
        </w:rPr>
        <w:t xml:space="preserve">Governor's Office of Health Transformation, January 2016. Transforming Payment for a Healthier Ohio , at </w:t>
      </w:r>
      <w:hyperlink r:id="rId93" w:history="1">
        <w:r>
          <w:rPr>
            <w:rFonts w:ascii="Arial" w:hAnsi="Arial" w:cs="Arial"/>
            <w:w w:val="105"/>
            <w:sz w:val="17"/>
            <w:szCs w:val="17"/>
          </w:rPr>
          <w:t>www.HealthTransformation.Ohio.gov</w:t>
        </w:r>
      </w:hyperlink>
    </w:p>
    <w:p w:rsidR="002C5025" w:rsidRDefault="002C5025">
      <w:pPr>
        <w:pStyle w:val="BodyText"/>
        <w:kinsoku w:val="0"/>
        <w:overflowPunct w:val="0"/>
        <w:spacing w:line="107" w:lineRule="exact"/>
        <w:ind w:left="110"/>
        <w:rPr>
          <w:rFonts w:ascii="Times New Roman" w:hAnsi="Times New Roman" w:cs="Times New Roman"/>
          <w:w w:val="133"/>
          <w:sz w:val="11"/>
          <w:szCs w:val="11"/>
        </w:rPr>
      </w:pPr>
      <w:r>
        <w:rPr>
          <w:rFonts w:ascii="Times New Roman" w:hAnsi="Times New Roman" w:cs="Times New Roman"/>
          <w:w w:val="133"/>
          <w:sz w:val="11"/>
          <w:szCs w:val="11"/>
        </w:rPr>
        <w:t>5</w:t>
      </w:r>
    </w:p>
    <w:p w:rsidR="002C5025" w:rsidRDefault="002C5025">
      <w:pPr>
        <w:pStyle w:val="BodyText"/>
        <w:kinsoku w:val="0"/>
        <w:overflowPunct w:val="0"/>
        <w:spacing w:line="194" w:lineRule="exact"/>
        <w:ind w:left="223" w:right="443"/>
        <w:rPr>
          <w:rFonts w:ascii="Times New Roman" w:hAnsi="Times New Roman" w:cs="Times New Roman"/>
          <w:i/>
          <w:iCs/>
          <w:sz w:val="19"/>
          <w:szCs w:val="19"/>
        </w:rPr>
      </w:pPr>
      <w:r>
        <w:rPr>
          <w:rFonts w:ascii="Arial" w:hAnsi="Arial" w:cs="Arial"/>
          <w:sz w:val="17"/>
          <w:szCs w:val="17"/>
        </w:rPr>
        <w:t xml:space="preserve">Taylor, L.A., Coyle, C.E., </w:t>
      </w:r>
      <w:proofErr w:type="spellStart"/>
      <w:r>
        <w:rPr>
          <w:rFonts w:ascii="Arial" w:hAnsi="Arial" w:cs="Arial"/>
          <w:sz w:val="17"/>
          <w:szCs w:val="17"/>
        </w:rPr>
        <w:t>Ndumele</w:t>
      </w:r>
      <w:proofErr w:type="spellEnd"/>
      <w:r>
        <w:rPr>
          <w:rFonts w:ascii="Arial" w:hAnsi="Arial" w:cs="Arial"/>
          <w:sz w:val="17"/>
          <w:szCs w:val="17"/>
        </w:rPr>
        <w:t xml:space="preserve">, C., Rogan, </w:t>
      </w:r>
      <w:proofErr w:type="spellStart"/>
      <w:r>
        <w:rPr>
          <w:rFonts w:ascii="Arial" w:hAnsi="Arial" w:cs="Arial"/>
          <w:sz w:val="17"/>
          <w:szCs w:val="17"/>
        </w:rPr>
        <w:t>E.,Canavan</w:t>
      </w:r>
      <w:proofErr w:type="spellEnd"/>
      <w:r>
        <w:rPr>
          <w:rFonts w:ascii="Arial" w:hAnsi="Arial" w:cs="Arial"/>
          <w:sz w:val="17"/>
          <w:szCs w:val="17"/>
        </w:rPr>
        <w:t xml:space="preserve">, M., Curry, L., and Bradley, E.H. June 2015.  </w:t>
      </w:r>
      <w:r>
        <w:rPr>
          <w:rFonts w:ascii="Times New Roman" w:hAnsi="Times New Roman" w:cs="Times New Roman"/>
          <w:i/>
          <w:iCs/>
          <w:sz w:val="19"/>
          <w:szCs w:val="19"/>
        </w:rPr>
        <w:t>Leveraging</w:t>
      </w:r>
    </w:p>
    <w:p w:rsidR="002C5025" w:rsidRDefault="002C5025">
      <w:pPr>
        <w:pStyle w:val="BodyText"/>
        <w:kinsoku w:val="0"/>
        <w:overflowPunct w:val="0"/>
        <w:spacing w:before="48"/>
        <w:ind w:left="117" w:right="443"/>
        <w:rPr>
          <w:rFonts w:ascii="Arial" w:hAnsi="Arial" w:cs="Arial"/>
          <w:sz w:val="17"/>
          <w:szCs w:val="17"/>
        </w:rPr>
      </w:pPr>
      <w:r>
        <w:rPr>
          <w:rFonts w:ascii="Times New Roman" w:hAnsi="Times New Roman" w:cs="Times New Roman"/>
          <w:i/>
          <w:iCs/>
          <w:sz w:val="19"/>
          <w:szCs w:val="19"/>
        </w:rPr>
        <w:t xml:space="preserve">the Social  Determinants  of  Health:  What Works? </w:t>
      </w:r>
      <w:r>
        <w:rPr>
          <w:rFonts w:ascii="Arial" w:hAnsi="Arial" w:cs="Arial"/>
          <w:sz w:val="17"/>
          <w:szCs w:val="17"/>
        </w:rPr>
        <w:t>Yale Global  Health Leadership Institute.</w:t>
      </w:r>
    </w:p>
    <w:p w:rsidR="002C5025" w:rsidRDefault="002C5025">
      <w:pPr>
        <w:pStyle w:val="BodyText"/>
        <w:kinsoku w:val="0"/>
        <w:overflowPunct w:val="0"/>
        <w:spacing w:before="44"/>
        <w:ind w:left="117" w:right="443"/>
        <w:rPr>
          <w:rFonts w:ascii="Arial" w:hAnsi="Arial" w:cs="Arial"/>
          <w:sz w:val="17"/>
          <w:szCs w:val="17"/>
        </w:rPr>
      </w:pPr>
      <w:r>
        <w:rPr>
          <w:rFonts w:ascii="Arial" w:hAnsi="Arial" w:cs="Arial"/>
          <w:sz w:val="27"/>
          <w:szCs w:val="27"/>
        </w:rPr>
        <w:t>S</w:t>
      </w:r>
      <w:r>
        <w:rPr>
          <w:rFonts w:ascii="Arial" w:hAnsi="Arial" w:cs="Arial"/>
          <w:spacing w:val="-57"/>
          <w:sz w:val="27"/>
          <w:szCs w:val="27"/>
        </w:rPr>
        <w:t xml:space="preserve"> </w:t>
      </w:r>
      <w:r>
        <w:rPr>
          <w:rFonts w:ascii="Arial" w:hAnsi="Arial" w:cs="Arial"/>
          <w:w w:val="85"/>
          <w:sz w:val="27"/>
          <w:szCs w:val="27"/>
        </w:rPr>
        <w:t xml:space="preserve">J </w:t>
      </w:r>
      <w:r>
        <w:rPr>
          <w:rFonts w:ascii="Arial" w:hAnsi="Arial" w:cs="Arial"/>
          <w:sz w:val="17"/>
          <w:szCs w:val="17"/>
        </w:rPr>
        <w:t>P a g e</w:t>
      </w:r>
    </w:p>
    <w:p w:rsidR="002C5025" w:rsidRDefault="002C5025">
      <w:pPr>
        <w:pStyle w:val="BodyText"/>
        <w:kinsoku w:val="0"/>
        <w:overflowPunct w:val="0"/>
        <w:spacing w:before="44"/>
        <w:ind w:left="117" w:right="443"/>
        <w:rPr>
          <w:rFonts w:ascii="Arial" w:hAnsi="Arial" w:cs="Arial"/>
          <w:sz w:val="17"/>
          <w:szCs w:val="17"/>
        </w:rPr>
        <w:sectPr w:rsidR="002C5025">
          <w:pgSz w:w="12240" w:h="15840"/>
          <w:pgMar w:top="1500" w:right="1420" w:bottom="280" w:left="1320" w:header="720" w:footer="720" w:gutter="0"/>
          <w:cols w:space="720" w:equalWidth="0">
            <w:col w:w="9500"/>
          </w:cols>
          <w:noEndnote/>
        </w:sectPr>
      </w:pPr>
    </w:p>
    <w:p w:rsidR="002C5025" w:rsidRDefault="002C5025">
      <w:pPr>
        <w:pStyle w:val="BodyText"/>
        <w:kinsoku w:val="0"/>
        <w:overflowPunct w:val="0"/>
        <w:spacing w:before="51" w:line="283" w:lineRule="auto"/>
        <w:ind w:left="164" w:right="329" w:firstLine="7"/>
        <w:rPr>
          <w:rFonts w:ascii="Times New Roman" w:hAnsi="Times New Roman" w:cs="Times New Roman"/>
          <w:sz w:val="21"/>
          <w:szCs w:val="21"/>
        </w:rPr>
      </w:pPr>
      <w:r>
        <w:rPr>
          <w:rFonts w:ascii="Times New Roman" w:hAnsi="Times New Roman" w:cs="Times New Roman"/>
          <w:sz w:val="21"/>
          <w:szCs w:val="21"/>
        </w:rPr>
        <w:lastRenderedPageBreak/>
        <w:t>assessment using standardized rubrics; standardized referral, service navigation, and follow-up procedures; and client tracking and data warehousing  systems.</w:t>
      </w:r>
    </w:p>
    <w:p w:rsidR="002C5025" w:rsidRDefault="002C5025">
      <w:pPr>
        <w:pStyle w:val="BodyText"/>
        <w:kinsoku w:val="0"/>
        <w:overflowPunct w:val="0"/>
        <w:spacing w:before="11"/>
        <w:rPr>
          <w:rFonts w:ascii="Times New Roman" w:hAnsi="Times New Roman" w:cs="Times New Roman"/>
          <w:sz w:val="27"/>
          <w:szCs w:val="27"/>
        </w:rPr>
      </w:pPr>
    </w:p>
    <w:p w:rsidR="002C5025" w:rsidRDefault="007B2B7B">
      <w:pPr>
        <w:pStyle w:val="BodyText"/>
        <w:kinsoku w:val="0"/>
        <w:overflowPunct w:val="0"/>
        <w:spacing w:line="290" w:lineRule="auto"/>
        <w:ind w:left="128" w:right="275" w:firstLine="43"/>
        <w:rPr>
          <w:rFonts w:ascii="Times New Roman" w:hAnsi="Times New Roman" w:cs="Times New Roman"/>
          <w:sz w:val="21"/>
          <w:szCs w:val="21"/>
        </w:rPr>
      </w:pPr>
      <w:r>
        <w:rPr>
          <w:rFonts w:ascii="Times New Roman" w:hAnsi="Times New Roman" w:cs="Times New Roman"/>
        </w:rPr>
        <w:t>Robust basis for sustaina</w:t>
      </w:r>
      <w:r w:rsidR="002C5025">
        <w:rPr>
          <w:rFonts w:ascii="Times New Roman" w:hAnsi="Times New Roman" w:cs="Times New Roman"/>
        </w:rPr>
        <w:t xml:space="preserve">bility. </w:t>
      </w:r>
      <w:r w:rsidR="002C5025">
        <w:rPr>
          <w:rFonts w:ascii="Times New Roman" w:hAnsi="Times New Roman" w:cs="Times New Roman"/>
          <w:sz w:val="21"/>
          <w:szCs w:val="21"/>
        </w:rPr>
        <w:t>Any mechanism for social services delivery must be largely self- sustaining, because new funding associated with the MassHealth restructuring process will be insufficient,  in itself, to meet the social service needs of MassHealth populations (or to build new service delivery entities). The proposed SDOH Hub structure features a high degree of sustainability and builds upon  existing infrastructure. Many of the core Hub services (social service needs assessment, eligibility  screening, information and referral, application assistance, systems navigation, and follow-up) are core activities now being undertaken by social service providers capable of hosting an SDOH Hub. As noted above, the array of consumer services potentially available through the Hub is also underwritten by   multiple State, Federal and local funding sources. The critical capacity-building  and start-up costs for  which DSRIP resources will be needed are strikingly front-loaded; they include, for example, building contractual relationships,  establishing  standardized processes for calculating and reporting ROI and  avoided costs, building out existing data warehouse structures and ensuring systems interoperability, and training</w:t>
      </w:r>
      <w:r w:rsidR="002C5025">
        <w:rPr>
          <w:rFonts w:ascii="Times New Roman" w:hAnsi="Times New Roman" w:cs="Times New Roman"/>
          <w:spacing w:val="38"/>
          <w:sz w:val="21"/>
          <w:szCs w:val="21"/>
        </w:rPr>
        <w:t xml:space="preserve"> </w:t>
      </w:r>
      <w:r w:rsidR="002C5025">
        <w:rPr>
          <w:rFonts w:ascii="Times New Roman" w:hAnsi="Times New Roman" w:cs="Times New Roman"/>
          <w:sz w:val="21"/>
          <w:szCs w:val="21"/>
        </w:rPr>
        <w:t>staff.</w:t>
      </w:r>
    </w:p>
    <w:p w:rsidR="002C5025" w:rsidRDefault="002C5025">
      <w:pPr>
        <w:pStyle w:val="BodyText"/>
        <w:kinsoku w:val="0"/>
        <w:overflowPunct w:val="0"/>
        <w:spacing w:before="3"/>
        <w:rPr>
          <w:rFonts w:ascii="Times New Roman" w:hAnsi="Times New Roman" w:cs="Times New Roman"/>
          <w:sz w:val="25"/>
          <w:szCs w:val="25"/>
        </w:rPr>
      </w:pPr>
    </w:p>
    <w:p w:rsidR="002C5025" w:rsidRDefault="002C5025">
      <w:pPr>
        <w:pStyle w:val="BodyText"/>
        <w:kinsoku w:val="0"/>
        <w:overflowPunct w:val="0"/>
        <w:spacing w:line="288" w:lineRule="auto"/>
        <w:ind w:left="121" w:right="174" w:firstLine="21"/>
        <w:rPr>
          <w:rFonts w:ascii="Times New Roman" w:hAnsi="Times New Roman" w:cs="Times New Roman"/>
          <w:sz w:val="21"/>
          <w:szCs w:val="21"/>
        </w:rPr>
      </w:pPr>
      <w:r>
        <w:rPr>
          <w:rFonts w:ascii="Times New Roman" w:hAnsi="Times New Roman" w:cs="Times New Roman"/>
        </w:rPr>
        <w:t xml:space="preserve">Capacity to measure and report </w:t>
      </w:r>
      <w:r w:rsidR="007B2B7B">
        <w:rPr>
          <w:rFonts w:ascii="Times New Roman" w:hAnsi="Times New Roman" w:cs="Times New Roman"/>
          <w:spacing w:val="10"/>
        </w:rPr>
        <w:t>im</w:t>
      </w:r>
      <w:r>
        <w:rPr>
          <w:rFonts w:ascii="Times New Roman" w:hAnsi="Times New Roman" w:cs="Times New Roman"/>
        </w:rPr>
        <w:t xml:space="preserve">pacts. </w:t>
      </w:r>
      <w:r>
        <w:rPr>
          <w:rFonts w:ascii="Times New Roman" w:hAnsi="Times New Roman" w:cs="Times New Roman"/>
          <w:sz w:val="21"/>
          <w:szCs w:val="21"/>
        </w:rPr>
        <w:t xml:space="preserve">Metrics for social service outcomes and service quality, such as those itemized in </w:t>
      </w:r>
      <w:r>
        <w:rPr>
          <w:rFonts w:ascii="Times New Roman" w:hAnsi="Times New Roman" w:cs="Times New Roman"/>
          <w:i/>
          <w:iCs/>
        </w:rPr>
        <w:t xml:space="preserve">Table I , </w:t>
      </w:r>
      <w:r>
        <w:rPr>
          <w:rFonts w:ascii="Times New Roman" w:hAnsi="Times New Roman" w:cs="Times New Roman"/>
          <w:sz w:val="21"/>
          <w:szCs w:val="21"/>
        </w:rPr>
        <w:t xml:space="preserve">below, will be established, and reported on regularly by the Hub to ACOs. The Hub operator will be responsible for collecting and compiling this data. Data sharing between ACOs </w:t>
      </w:r>
      <w:r>
        <w:rPr>
          <w:rFonts w:ascii="Times New Roman" w:hAnsi="Times New Roman" w:cs="Times New Roman"/>
          <w:spacing w:val="-3"/>
          <w:sz w:val="21"/>
          <w:szCs w:val="21"/>
        </w:rPr>
        <w:t xml:space="preserve">and </w:t>
      </w:r>
      <w:r>
        <w:rPr>
          <w:rFonts w:ascii="Times New Roman" w:hAnsi="Times New Roman" w:cs="Times New Roman"/>
          <w:sz w:val="21"/>
          <w:szCs w:val="21"/>
        </w:rPr>
        <w:t xml:space="preserve">Hub operators will allow for the calculation and analysis of avoided Medicaid costs. ACOs will also establish baselines for consumer costs, satisfaction, and health status. Changes with reference to these baselines, as they pertain to services rendered through the Hub, are also a basis of measurement as to the efficacy of the model, and lend themselves to the eventual shared risk and shared benefit.  </w:t>
      </w:r>
      <w:r>
        <w:rPr>
          <w:rFonts w:ascii="Times New Roman" w:hAnsi="Times New Roman" w:cs="Times New Roman"/>
          <w:spacing w:val="48"/>
          <w:sz w:val="21"/>
          <w:szCs w:val="21"/>
        </w:rPr>
        <w:t xml:space="preserve"> </w:t>
      </w:r>
      <w:r>
        <w:rPr>
          <w:rFonts w:ascii="Times New Roman" w:hAnsi="Times New Roman" w:cs="Times New Roman"/>
          <w:sz w:val="21"/>
          <w:szCs w:val="21"/>
        </w:rPr>
        <w:t>Establishment</w:t>
      </w:r>
    </w:p>
    <w:p w:rsidR="002C5025" w:rsidRDefault="00FB027C">
      <w:pPr>
        <w:pStyle w:val="BodyText"/>
        <w:kinsoku w:val="0"/>
        <w:overflowPunct w:val="0"/>
        <w:spacing w:before="9" w:line="256" w:lineRule="auto"/>
        <w:ind w:left="129" w:right="329" w:hanging="1"/>
        <w:rPr>
          <w:rFonts w:ascii="Times New Roman" w:hAnsi="Times New Roman" w:cs="Times New Roman"/>
          <w:position w:val="10"/>
          <w:sz w:val="14"/>
          <w:szCs w:val="14"/>
        </w:rPr>
      </w:pPr>
      <w:r>
        <w:rPr>
          <w:noProof/>
        </w:rPr>
        <mc:AlternateContent>
          <mc:Choice Requires="wps">
            <w:drawing>
              <wp:anchor distT="0" distB="0" distL="114300" distR="114300" simplePos="0" relativeHeight="251483648" behindDoc="1" locked="0" layoutInCell="0" allowOverlap="1">
                <wp:simplePos x="0" y="0"/>
                <wp:positionH relativeFrom="page">
                  <wp:posOffset>6138545</wp:posOffset>
                </wp:positionH>
                <wp:positionV relativeFrom="paragraph">
                  <wp:posOffset>245110</wp:posOffset>
                </wp:positionV>
                <wp:extent cx="22225" cy="88900"/>
                <wp:effectExtent l="0" t="0" r="0" b="0"/>
                <wp:wrapNone/>
                <wp:docPr id="935"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pStyle w:val="BodyText"/>
                              <w:kinsoku w:val="0"/>
                              <w:overflowPunct w:val="0"/>
                              <w:spacing w:line="139" w:lineRule="exact"/>
                              <w:rPr>
                                <w:rFonts w:ascii="Times New Roman" w:hAnsi="Times New Roman" w:cs="Times New Roman"/>
                                <w:w w:val="99"/>
                                <w:sz w:val="14"/>
                                <w:szCs w:val="14"/>
                              </w:rPr>
                            </w:pPr>
                            <w:r>
                              <w:rPr>
                                <w:rFonts w:ascii="Times New Roman" w:hAnsi="Times New Roman" w:cs="Times New Roman"/>
                                <w:w w:val="99"/>
                                <w:sz w:val="14"/>
                                <w:szCs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 o:spid="_x0000_s1073" type="#_x0000_t202" style="position:absolute;left:0;text-align:left;margin-left:483.35pt;margin-top:19.3pt;width:1.75pt;height:7pt;z-index:-251832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" o:allowincell="f" filled="f" stroked="f">
                <v:textbox inset="0,0,0,0">
                  <w:txbxContent>
                    <w:p w:rsidR="007B2B7B" w:rsidRDefault="007B2B7B">
                      <w:pPr>
                        <w:pStyle w:val="BodyText"/>
                        <w:kinsoku w:val="0"/>
                        <w:overflowPunct w:val="0"/>
                        <w:spacing w:line="139" w:lineRule="exact"/>
                        <w:rPr>
                          <w:rFonts w:ascii="Times New Roman" w:hAnsi="Times New Roman" w:cs="Times New Roman"/>
                          <w:w w:val="99"/>
                          <w:sz w:val="14"/>
                          <w:szCs w:val="14"/>
                        </w:rPr>
                      </w:pPr>
                      <w:r>
                        <w:rPr>
                          <w:rFonts w:ascii="Times New Roman" w:hAnsi="Times New Roman" w:cs="Times New Roman"/>
                          <w:w w:val="99"/>
                          <w:sz w:val="14"/>
                          <w:szCs w:val="14"/>
                        </w:rPr>
                        <w:t>.</w:t>
                      </w:r>
                    </w:p>
                  </w:txbxContent>
                </v:textbox>
                <w10:wrap anchorx="page"/>
              </v:shape>
            </w:pict>
          </mc:Fallback>
        </mc:AlternateContent>
      </w:r>
      <w:r w:rsidR="002C5025">
        <w:rPr>
          <w:rFonts w:ascii="Times New Roman" w:hAnsi="Times New Roman" w:cs="Times New Roman"/>
          <w:sz w:val="21"/>
          <w:szCs w:val="21"/>
        </w:rPr>
        <w:t>of metrics is supported by the experience of a variety of program models in which increased access to social supports has been associated with improved health  outcomes and health cost   reductions</w:t>
      </w:r>
      <w:r w:rsidR="002C5025">
        <w:rPr>
          <w:rFonts w:ascii="Times New Roman" w:hAnsi="Times New Roman" w:cs="Times New Roman"/>
          <w:position w:val="10"/>
          <w:sz w:val="14"/>
          <w:szCs w:val="14"/>
        </w:rPr>
        <w:t>6</w:t>
      </w:r>
    </w:p>
    <w:p w:rsidR="002C5025" w:rsidRDefault="002C5025">
      <w:pPr>
        <w:pStyle w:val="BodyText"/>
        <w:kinsoku w:val="0"/>
        <w:overflowPunct w:val="0"/>
        <w:spacing w:before="8"/>
        <w:rPr>
          <w:rFonts w:ascii="Times New Roman" w:hAnsi="Times New Roman" w:cs="Times New Roman"/>
          <w:sz w:val="20"/>
          <w:szCs w:val="20"/>
        </w:rPr>
      </w:pPr>
    </w:p>
    <w:p w:rsidR="002C5025" w:rsidRDefault="002C5025">
      <w:pPr>
        <w:pStyle w:val="BodyText"/>
        <w:kinsoku w:val="0"/>
        <w:overflowPunct w:val="0"/>
        <w:spacing w:before="73" w:line="288" w:lineRule="auto"/>
        <w:ind w:left="107" w:right="334" w:firstLine="21"/>
        <w:rPr>
          <w:rFonts w:ascii="Times New Roman" w:hAnsi="Times New Roman" w:cs="Times New Roman"/>
          <w:sz w:val="21"/>
          <w:szCs w:val="21"/>
        </w:rPr>
      </w:pPr>
      <w:r>
        <w:rPr>
          <w:rFonts w:ascii="Times New Roman" w:hAnsi="Times New Roman" w:cs="Times New Roman"/>
        </w:rPr>
        <w:t xml:space="preserve">Risk-sharing contracting structure. </w:t>
      </w:r>
      <w:r>
        <w:rPr>
          <w:rFonts w:ascii="Times New Roman" w:hAnsi="Times New Roman" w:cs="Times New Roman"/>
          <w:sz w:val="21"/>
          <w:szCs w:val="21"/>
        </w:rPr>
        <w:t xml:space="preserve">The Hub structure has been informed by, among other sources, the Center for Medicare </w:t>
      </w:r>
      <w:r>
        <w:rPr>
          <w:rFonts w:ascii="Arial" w:hAnsi="Arial" w:cs="Arial"/>
          <w:sz w:val="21"/>
          <w:szCs w:val="21"/>
        </w:rPr>
        <w:t xml:space="preserve">&amp; </w:t>
      </w:r>
      <w:r>
        <w:rPr>
          <w:rFonts w:ascii="Times New Roman" w:hAnsi="Times New Roman" w:cs="Times New Roman"/>
          <w:sz w:val="21"/>
          <w:szCs w:val="21"/>
        </w:rPr>
        <w:t xml:space="preserve">Medicaid Innovation (CMMI) </w:t>
      </w:r>
      <w:r>
        <w:rPr>
          <w:rFonts w:ascii="Times New Roman" w:hAnsi="Times New Roman" w:cs="Times New Roman"/>
          <w:i/>
          <w:iCs/>
          <w:sz w:val="21"/>
          <w:szCs w:val="21"/>
        </w:rPr>
        <w:t xml:space="preserve">Accountable  Health  Communities  </w:t>
      </w:r>
      <w:r>
        <w:rPr>
          <w:rFonts w:ascii="Times New Roman" w:hAnsi="Times New Roman" w:cs="Times New Roman"/>
          <w:sz w:val="21"/>
          <w:szCs w:val="21"/>
        </w:rPr>
        <w:t>initiative, which has begun to clarify effective practices  in establishing decision-making processes and the financial roles    of integrator  organizations, as well as issues and costs associated with  service integration</w:t>
      </w:r>
      <w:r>
        <w:rPr>
          <w:rFonts w:ascii="Times New Roman" w:hAnsi="Times New Roman" w:cs="Times New Roman"/>
          <w:position w:val="9"/>
          <w:sz w:val="14"/>
          <w:szCs w:val="14"/>
        </w:rPr>
        <w:t>7</w:t>
      </w:r>
      <w:r>
        <w:rPr>
          <w:rFonts w:ascii="Times New Roman" w:hAnsi="Times New Roman" w:cs="Times New Roman"/>
          <w:sz w:val="14"/>
          <w:szCs w:val="14"/>
        </w:rPr>
        <w:t xml:space="preserve">•  </w:t>
      </w:r>
      <w:r>
        <w:rPr>
          <w:rFonts w:ascii="Times New Roman" w:hAnsi="Times New Roman" w:cs="Times New Roman"/>
          <w:sz w:val="21"/>
          <w:szCs w:val="21"/>
        </w:rPr>
        <w:t>Resources   flow through two sets of contracts: one links multiple ACOs to a coordinating entity which hosts the Hub; the second links the Hub manager to multiple  social service agencies. The Hub model provides  considerable flexibility in balancing risks and benefits for ACOs, Hub agencies, and local social service providers. Payments to the Hub from ACOs will be on a capitation basis. Contracting between the Hub    and social service providers may be handled through a variety of mechanisms, with established standards  for minimum  outcomes  and service</w:t>
      </w:r>
      <w:r>
        <w:rPr>
          <w:rFonts w:ascii="Times New Roman" w:hAnsi="Times New Roman" w:cs="Times New Roman"/>
          <w:spacing w:val="-19"/>
          <w:sz w:val="21"/>
          <w:szCs w:val="21"/>
        </w:rPr>
        <w:t xml:space="preserve"> </w:t>
      </w:r>
      <w:r>
        <w:rPr>
          <w:rFonts w:ascii="Times New Roman" w:hAnsi="Times New Roman" w:cs="Times New Roman"/>
          <w:sz w:val="21"/>
          <w:szCs w:val="21"/>
        </w:rPr>
        <w:t>quality.</w:t>
      </w:r>
    </w:p>
    <w:p w:rsidR="002C5025" w:rsidRDefault="002C5025">
      <w:pPr>
        <w:pStyle w:val="BodyText"/>
        <w:kinsoku w:val="0"/>
        <w:overflowPunct w:val="0"/>
        <w:rPr>
          <w:rFonts w:ascii="Times New Roman" w:hAnsi="Times New Roman" w:cs="Times New Roman"/>
          <w:sz w:val="20"/>
          <w:szCs w:val="20"/>
        </w:rPr>
      </w:pPr>
    </w:p>
    <w:p w:rsidR="002C5025" w:rsidRDefault="00FB027C">
      <w:pPr>
        <w:pStyle w:val="BodyText"/>
        <w:kinsoku w:val="0"/>
        <w:overflowPunct w:val="0"/>
        <w:spacing w:before="2"/>
        <w:rPr>
          <w:rFonts w:ascii="Times New Roman" w:hAnsi="Times New Roman" w:cs="Times New Roman"/>
          <w:sz w:val="27"/>
          <w:szCs w:val="27"/>
        </w:rPr>
      </w:pPr>
      <w:r>
        <w:rPr>
          <w:noProof/>
        </w:rPr>
        <mc:AlternateContent>
          <mc:Choice Requires="wps">
            <w:drawing>
              <wp:anchor distT="0" distB="0" distL="0" distR="0" simplePos="0" relativeHeight="251484672" behindDoc="0" locked="0" layoutInCell="0" allowOverlap="1">
                <wp:simplePos x="0" y="0"/>
                <wp:positionH relativeFrom="page">
                  <wp:posOffset>922655</wp:posOffset>
                </wp:positionH>
                <wp:positionV relativeFrom="paragraph">
                  <wp:posOffset>227965</wp:posOffset>
                </wp:positionV>
                <wp:extent cx="1815465" cy="12700"/>
                <wp:effectExtent l="0" t="0" r="0" b="0"/>
                <wp:wrapTopAndBottom/>
                <wp:docPr id="934" name="Freeform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15465" cy="12700"/>
                        </a:xfrm>
                        <a:custGeom>
                          <a:avLst/>
                          <a:gdLst>
                            <a:gd name="T0" fmla="*/ 0 w 2859"/>
                            <a:gd name="T1" fmla="*/ 0 h 20"/>
                            <a:gd name="T2" fmla="*/ 2859 w 2859"/>
                            <a:gd name="T3" fmla="*/ 0 h 20"/>
                          </a:gdLst>
                          <a:ahLst/>
                          <a:cxnLst>
                            <a:cxn ang="0">
                              <a:pos x="T0" y="T1"/>
                            </a:cxn>
                            <a:cxn ang="0">
                              <a:pos x="T2" y="T3"/>
                            </a:cxn>
                          </a:cxnLst>
                          <a:rect l="0" t="0" r="r" b="b"/>
                          <a:pathLst>
                            <a:path w="2859" h="20">
                              <a:moveTo>
                                <a:pt x="0" y="0"/>
                              </a:moveTo>
                              <a:lnTo>
                                <a:pt x="2859"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91" o:spid="_x0000_s1026" style="position:absolute;z-index:251484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2.65pt,17.95pt,215.6pt,17.95pt" coordsize="285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" o:allowincell="f" filled="f" strokeweight=".72pt">
                <v:path arrowok="t" o:connecttype="custom" o:connectlocs="0,0;1815465,0" o:connectangles="0,0"/>
                <w10:wrap type="topAndBottom" anchorx="page"/>
              </v:polyline>
            </w:pict>
          </mc:Fallback>
        </mc:AlternateContent>
      </w:r>
    </w:p>
    <w:p w:rsidR="002C5025" w:rsidRDefault="002C5025">
      <w:pPr>
        <w:pStyle w:val="BodyText"/>
        <w:kinsoku w:val="0"/>
        <w:overflowPunct w:val="0"/>
        <w:spacing w:line="118" w:lineRule="exact"/>
        <w:ind w:left="114"/>
        <w:rPr>
          <w:rFonts w:ascii="Times New Roman" w:hAnsi="Times New Roman" w:cs="Times New Roman"/>
          <w:sz w:val="12"/>
          <w:szCs w:val="12"/>
        </w:rPr>
      </w:pPr>
      <w:r>
        <w:rPr>
          <w:rFonts w:ascii="Times New Roman" w:hAnsi="Times New Roman" w:cs="Times New Roman"/>
          <w:sz w:val="12"/>
          <w:szCs w:val="12"/>
        </w:rPr>
        <w:t>6</w:t>
      </w:r>
    </w:p>
    <w:p w:rsidR="002C5025" w:rsidRDefault="002C5025">
      <w:pPr>
        <w:pStyle w:val="BodyText"/>
        <w:kinsoku w:val="0"/>
        <w:overflowPunct w:val="0"/>
        <w:spacing w:line="176" w:lineRule="exact"/>
        <w:ind w:left="229" w:right="329"/>
        <w:rPr>
          <w:rFonts w:ascii="Arial" w:hAnsi="Arial" w:cs="Arial"/>
          <w:i/>
          <w:iCs/>
          <w:w w:val="105"/>
          <w:sz w:val="17"/>
          <w:szCs w:val="17"/>
        </w:rPr>
      </w:pPr>
      <w:proofErr w:type="spellStart"/>
      <w:r>
        <w:rPr>
          <w:rFonts w:ascii="Arial" w:hAnsi="Arial" w:cs="Arial"/>
          <w:w w:val="105"/>
          <w:sz w:val="17"/>
          <w:szCs w:val="17"/>
        </w:rPr>
        <w:t>Bachrach</w:t>
      </w:r>
      <w:proofErr w:type="spellEnd"/>
      <w:r>
        <w:rPr>
          <w:rFonts w:ascii="Arial" w:hAnsi="Arial" w:cs="Arial"/>
          <w:w w:val="105"/>
          <w:sz w:val="17"/>
          <w:szCs w:val="17"/>
        </w:rPr>
        <w:t xml:space="preserve">, D, </w:t>
      </w:r>
      <w:proofErr w:type="spellStart"/>
      <w:r>
        <w:rPr>
          <w:rFonts w:ascii="Arial" w:hAnsi="Arial" w:cs="Arial"/>
          <w:w w:val="105"/>
          <w:sz w:val="17"/>
          <w:szCs w:val="17"/>
        </w:rPr>
        <w:t>Pfister</w:t>
      </w:r>
      <w:proofErr w:type="spellEnd"/>
      <w:r>
        <w:rPr>
          <w:rFonts w:ascii="Arial" w:hAnsi="Arial" w:cs="Arial"/>
          <w:w w:val="105"/>
          <w:sz w:val="17"/>
          <w:szCs w:val="17"/>
        </w:rPr>
        <w:t xml:space="preserve">, H., Wallis, </w:t>
      </w:r>
      <w:proofErr w:type="spellStart"/>
      <w:r>
        <w:rPr>
          <w:rFonts w:ascii="Arial" w:hAnsi="Arial" w:cs="Arial"/>
          <w:w w:val="105"/>
          <w:sz w:val="17"/>
          <w:szCs w:val="17"/>
        </w:rPr>
        <w:t>K.,and</w:t>
      </w:r>
      <w:proofErr w:type="spellEnd"/>
      <w:r>
        <w:rPr>
          <w:rFonts w:ascii="Arial" w:hAnsi="Arial" w:cs="Arial"/>
          <w:w w:val="105"/>
          <w:sz w:val="17"/>
          <w:szCs w:val="17"/>
        </w:rPr>
        <w:t xml:space="preserve"> Lipson, M. May 2014. </w:t>
      </w:r>
      <w:r>
        <w:rPr>
          <w:rFonts w:ascii="Arial" w:hAnsi="Arial" w:cs="Arial"/>
          <w:i/>
          <w:iCs/>
          <w:w w:val="105"/>
          <w:sz w:val="17"/>
          <w:szCs w:val="17"/>
        </w:rPr>
        <w:t>Addressing Patients' Social Needs: An Emerging</w:t>
      </w:r>
    </w:p>
    <w:p w:rsidR="002C5025" w:rsidRDefault="002C5025">
      <w:pPr>
        <w:pStyle w:val="BodyText"/>
        <w:kinsoku w:val="0"/>
        <w:overflowPunct w:val="0"/>
        <w:spacing w:before="78"/>
        <w:ind w:left="114" w:right="4070"/>
        <w:rPr>
          <w:rFonts w:ascii="Arial" w:hAnsi="Arial" w:cs="Arial"/>
          <w:w w:val="105"/>
          <w:sz w:val="17"/>
          <w:szCs w:val="17"/>
        </w:rPr>
      </w:pPr>
      <w:r>
        <w:rPr>
          <w:rFonts w:ascii="Arial" w:hAnsi="Arial" w:cs="Arial"/>
          <w:i/>
          <w:iCs/>
          <w:w w:val="105"/>
          <w:sz w:val="17"/>
          <w:szCs w:val="17"/>
        </w:rPr>
        <w:t xml:space="preserve">Business </w:t>
      </w:r>
      <w:proofErr w:type="spellStart"/>
      <w:r>
        <w:rPr>
          <w:rFonts w:ascii="Arial" w:hAnsi="Arial" w:cs="Arial"/>
          <w:i/>
          <w:iCs/>
          <w:w w:val="105"/>
          <w:sz w:val="17"/>
          <w:szCs w:val="17"/>
        </w:rPr>
        <w:t>Casefar</w:t>
      </w:r>
      <w:proofErr w:type="spellEnd"/>
      <w:r>
        <w:rPr>
          <w:rFonts w:ascii="Arial" w:hAnsi="Arial" w:cs="Arial"/>
          <w:i/>
          <w:iCs/>
          <w:w w:val="105"/>
          <w:sz w:val="17"/>
          <w:szCs w:val="17"/>
        </w:rPr>
        <w:t xml:space="preserve"> Provider Investment. </w:t>
      </w:r>
      <w:proofErr w:type="spellStart"/>
      <w:r>
        <w:rPr>
          <w:rFonts w:ascii="Arial" w:hAnsi="Arial" w:cs="Arial"/>
          <w:w w:val="105"/>
          <w:sz w:val="17"/>
          <w:szCs w:val="17"/>
        </w:rPr>
        <w:t>Manatt</w:t>
      </w:r>
      <w:proofErr w:type="spellEnd"/>
      <w:r>
        <w:rPr>
          <w:rFonts w:ascii="Arial" w:hAnsi="Arial" w:cs="Arial"/>
          <w:w w:val="105"/>
          <w:sz w:val="17"/>
          <w:szCs w:val="17"/>
        </w:rPr>
        <w:t xml:space="preserve"> Health Solutions.</w:t>
      </w:r>
    </w:p>
    <w:p w:rsidR="002C5025" w:rsidRDefault="002C5025">
      <w:pPr>
        <w:pStyle w:val="BodyText"/>
        <w:kinsoku w:val="0"/>
        <w:overflowPunct w:val="0"/>
        <w:spacing w:before="30"/>
        <w:ind w:left="107" w:right="174"/>
        <w:rPr>
          <w:rFonts w:ascii="Arial" w:hAnsi="Arial" w:cs="Arial"/>
          <w:i/>
          <w:iCs/>
          <w:w w:val="105"/>
          <w:sz w:val="17"/>
          <w:szCs w:val="17"/>
        </w:rPr>
      </w:pPr>
      <w:r>
        <w:rPr>
          <w:rFonts w:ascii="Times New Roman" w:hAnsi="Times New Roman" w:cs="Times New Roman"/>
          <w:w w:val="105"/>
          <w:position w:val="10"/>
          <w:sz w:val="12"/>
          <w:szCs w:val="12"/>
        </w:rPr>
        <w:t xml:space="preserve">7 </w:t>
      </w:r>
      <w:proofErr w:type="spellStart"/>
      <w:r>
        <w:rPr>
          <w:rFonts w:ascii="Arial" w:hAnsi="Arial" w:cs="Arial"/>
          <w:w w:val="105"/>
          <w:sz w:val="17"/>
          <w:szCs w:val="17"/>
        </w:rPr>
        <w:t>Heider</w:t>
      </w:r>
      <w:proofErr w:type="spellEnd"/>
      <w:r>
        <w:rPr>
          <w:rFonts w:ascii="Arial" w:hAnsi="Arial" w:cs="Arial"/>
          <w:w w:val="105"/>
          <w:sz w:val="17"/>
          <w:szCs w:val="17"/>
        </w:rPr>
        <w:t xml:space="preserve">, F., </w:t>
      </w:r>
      <w:proofErr w:type="spellStart"/>
      <w:r>
        <w:rPr>
          <w:rFonts w:ascii="Arial" w:hAnsi="Arial" w:cs="Arial"/>
          <w:w w:val="105"/>
          <w:sz w:val="17"/>
          <w:szCs w:val="17"/>
        </w:rPr>
        <w:t>Kniffin</w:t>
      </w:r>
      <w:proofErr w:type="spellEnd"/>
      <w:r>
        <w:rPr>
          <w:rFonts w:ascii="Arial" w:hAnsi="Arial" w:cs="Arial"/>
          <w:w w:val="105"/>
          <w:sz w:val="17"/>
          <w:szCs w:val="17"/>
        </w:rPr>
        <w:t xml:space="preserve">, </w:t>
      </w:r>
      <w:proofErr w:type="spellStart"/>
      <w:r>
        <w:rPr>
          <w:rFonts w:ascii="Arial" w:hAnsi="Arial" w:cs="Arial"/>
          <w:w w:val="105"/>
          <w:sz w:val="17"/>
          <w:szCs w:val="17"/>
        </w:rPr>
        <w:t>T.,and</w:t>
      </w:r>
      <w:proofErr w:type="spellEnd"/>
      <w:r>
        <w:rPr>
          <w:rFonts w:ascii="Arial" w:hAnsi="Arial" w:cs="Arial"/>
          <w:w w:val="105"/>
          <w:sz w:val="17"/>
          <w:szCs w:val="17"/>
        </w:rPr>
        <w:t xml:space="preserve"> Rosenthal, </w:t>
      </w:r>
      <w:r>
        <w:rPr>
          <w:rFonts w:ascii="Times New Roman" w:hAnsi="Times New Roman" w:cs="Times New Roman"/>
          <w:w w:val="105"/>
          <w:sz w:val="18"/>
          <w:szCs w:val="18"/>
        </w:rPr>
        <w:t xml:space="preserve">J. </w:t>
      </w:r>
      <w:r>
        <w:rPr>
          <w:rFonts w:ascii="Arial" w:hAnsi="Arial" w:cs="Arial"/>
          <w:w w:val="105"/>
          <w:sz w:val="17"/>
          <w:szCs w:val="17"/>
        </w:rPr>
        <w:t xml:space="preserve">May 2016. </w:t>
      </w:r>
      <w:r>
        <w:rPr>
          <w:rFonts w:ascii="Arial" w:hAnsi="Arial" w:cs="Arial"/>
          <w:i/>
          <w:iCs/>
          <w:w w:val="105"/>
          <w:sz w:val="17"/>
          <w:szCs w:val="17"/>
        </w:rPr>
        <w:t>State Levers to Advance Accountable Communities for Health.</w:t>
      </w:r>
    </w:p>
    <w:p w:rsidR="002C5025" w:rsidRDefault="002C5025">
      <w:pPr>
        <w:pStyle w:val="BodyText"/>
        <w:kinsoku w:val="0"/>
        <w:overflowPunct w:val="0"/>
        <w:spacing w:before="82" w:line="405" w:lineRule="auto"/>
        <w:ind w:left="114" w:right="5918" w:firstLine="7"/>
        <w:rPr>
          <w:rFonts w:ascii="Arial" w:hAnsi="Arial" w:cs="Arial"/>
          <w:w w:val="115"/>
          <w:sz w:val="17"/>
          <w:szCs w:val="17"/>
        </w:rPr>
      </w:pPr>
      <w:r>
        <w:rPr>
          <w:rFonts w:ascii="Arial" w:hAnsi="Arial" w:cs="Arial"/>
          <w:w w:val="110"/>
          <w:sz w:val="17"/>
          <w:szCs w:val="17"/>
        </w:rPr>
        <w:t>National</w:t>
      </w:r>
      <w:r>
        <w:rPr>
          <w:rFonts w:ascii="Arial" w:hAnsi="Arial" w:cs="Arial"/>
          <w:spacing w:val="-37"/>
          <w:w w:val="110"/>
          <w:sz w:val="17"/>
          <w:szCs w:val="17"/>
        </w:rPr>
        <w:t xml:space="preserve"> </w:t>
      </w:r>
      <w:r>
        <w:rPr>
          <w:rFonts w:ascii="Arial" w:hAnsi="Arial" w:cs="Arial"/>
          <w:w w:val="110"/>
          <w:sz w:val="17"/>
          <w:szCs w:val="17"/>
        </w:rPr>
        <w:t>Academy</w:t>
      </w:r>
      <w:r>
        <w:rPr>
          <w:rFonts w:ascii="Arial" w:hAnsi="Arial" w:cs="Arial"/>
          <w:spacing w:val="-31"/>
          <w:w w:val="110"/>
          <w:sz w:val="17"/>
          <w:szCs w:val="17"/>
        </w:rPr>
        <w:t xml:space="preserve"> </w:t>
      </w:r>
      <w:r>
        <w:rPr>
          <w:rFonts w:ascii="Arial" w:hAnsi="Arial" w:cs="Arial"/>
          <w:w w:val="110"/>
          <w:sz w:val="17"/>
          <w:szCs w:val="17"/>
        </w:rPr>
        <w:t>for</w:t>
      </w:r>
      <w:r>
        <w:rPr>
          <w:rFonts w:ascii="Arial" w:hAnsi="Arial" w:cs="Arial"/>
          <w:spacing w:val="-33"/>
          <w:w w:val="110"/>
          <w:sz w:val="17"/>
          <w:szCs w:val="17"/>
        </w:rPr>
        <w:t xml:space="preserve"> </w:t>
      </w:r>
      <w:r>
        <w:rPr>
          <w:rFonts w:ascii="Arial" w:hAnsi="Arial" w:cs="Arial"/>
          <w:w w:val="110"/>
          <w:sz w:val="17"/>
          <w:szCs w:val="17"/>
        </w:rPr>
        <w:t>State</w:t>
      </w:r>
      <w:r>
        <w:rPr>
          <w:rFonts w:ascii="Arial" w:hAnsi="Arial" w:cs="Arial"/>
          <w:spacing w:val="-36"/>
          <w:w w:val="110"/>
          <w:sz w:val="17"/>
          <w:szCs w:val="17"/>
        </w:rPr>
        <w:t xml:space="preserve"> </w:t>
      </w:r>
      <w:r>
        <w:rPr>
          <w:rFonts w:ascii="Arial" w:hAnsi="Arial" w:cs="Arial"/>
          <w:w w:val="110"/>
          <w:sz w:val="17"/>
          <w:szCs w:val="17"/>
        </w:rPr>
        <w:t>Health</w:t>
      </w:r>
      <w:r>
        <w:rPr>
          <w:rFonts w:ascii="Arial" w:hAnsi="Arial" w:cs="Arial"/>
          <w:spacing w:val="-36"/>
          <w:w w:val="110"/>
          <w:sz w:val="17"/>
          <w:szCs w:val="17"/>
        </w:rPr>
        <w:t xml:space="preserve"> </w:t>
      </w:r>
      <w:r>
        <w:rPr>
          <w:rFonts w:ascii="Arial" w:hAnsi="Arial" w:cs="Arial"/>
          <w:w w:val="110"/>
          <w:sz w:val="17"/>
          <w:szCs w:val="17"/>
        </w:rPr>
        <w:t xml:space="preserve">Policy. </w:t>
      </w:r>
      <w:r>
        <w:rPr>
          <w:rFonts w:ascii="Arial" w:hAnsi="Arial" w:cs="Arial"/>
          <w:w w:val="115"/>
          <w:sz w:val="17"/>
          <w:szCs w:val="17"/>
        </w:rPr>
        <w:t>6 I P a g</w:t>
      </w:r>
      <w:r>
        <w:rPr>
          <w:rFonts w:ascii="Arial" w:hAnsi="Arial" w:cs="Arial"/>
          <w:spacing w:val="14"/>
          <w:w w:val="115"/>
          <w:sz w:val="17"/>
          <w:szCs w:val="17"/>
        </w:rPr>
        <w:t xml:space="preserve"> </w:t>
      </w:r>
      <w:r>
        <w:rPr>
          <w:rFonts w:ascii="Arial" w:hAnsi="Arial" w:cs="Arial"/>
          <w:w w:val="115"/>
          <w:sz w:val="17"/>
          <w:szCs w:val="17"/>
        </w:rPr>
        <w:t>e</w:t>
      </w:r>
    </w:p>
    <w:p w:rsidR="002C5025" w:rsidRDefault="002C5025">
      <w:pPr>
        <w:pStyle w:val="BodyText"/>
        <w:kinsoku w:val="0"/>
        <w:overflowPunct w:val="0"/>
        <w:spacing w:before="82" w:line="405" w:lineRule="auto"/>
        <w:ind w:left="114" w:right="5918" w:firstLine="7"/>
        <w:rPr>
          <w:rFonts w:ascii="Arial" w:hAnsi="Arial" w:cs="Arial"/>
          <w:w w:val="115"/>
          <w:sz w:val="17"/>
          <w:szCs w:val="17"/>
        </w:rPr>
        <w:sectPr w:rsidR="002C5025">
          <w:pgSz w:w="12240" w:h="15840"/>
          <w:pgMar w:top="1440" w:right="1480" w:bottom="280" w:left="1340" w:header="720" w:footer="720" w:gutter="0"/>
          <w:cols w:space="720" w:equalWidth="0">
            <w:col w:w="9420"/>
          </w:cols>
          <w:noEndnote/>
        </w:sectPr>
      </w:pPr>
    </w:p>
    <w:p w:rsidR="002C5025" w:rsidRDefault="00FB027C">
      <w:pPr>
        <w:pStyle w:val="BodyText"/>
        <w:kinsoku w:val="0"/>
        <w:overflowPunct w:val="0"/>
        <w:spacing w:before="59"/>
        <w:ind w:left="363" w:right="310"/>
        <w:rPr>
          <w:rFonts w:ascii="Arial" w:hAnsi="Arial" w:cs="Arial"/>
          <w:b/>
          <w:bCs/>
          <w:w w:val="95"/>
          <w:sz w:val="21"/>
          <w:szCs w:val="21"/>
        </w:rPr>
      </w:pPr>
      <w:r>
        <w:rPr>
          <w:noProof/>
        </w:rPr>
        <w:lastRenderedPageBreak/>
        <mc:AlternateContent>
          <mc:Choice Requires="wps">
            <w:drawing>
              <wp:anchor distT="0" distB="0" distL="114300" distR="114300" simplePos="0" relativeHeight="251485696" behindDoc="1" locked="0" layoutInCell="0" allowOverlap="1">
                <wp:simplePos x="0" y="0"/>
                <wp:positionH relativeFrom="page">
                  <wp:posOffset>900430</wp:posOffset>
                </wp:positionH>
                <wp:positionV relativeFrom="page">
                  <wp:posOffset>5547995</wp:posOffset>
                </wp:positionV>
                <wp:extent cx="5463540" cy="12700"/>
                <wp:effectExtent l="0" t="0" r="0" b="0"/>
                <wp:wrapNone/>
                <wp:docPr id="933" name="Freeform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63540" cy="12700"/>
                        </a:xfrm>
                        <a:custGeom>
                          <a:avLst/>
                          <a:gdLst>
                            <a:gd name="T0" fmla="*/ 0 w 8604"/>
                            <a:gd name="T1" fmla="*/ 0 h 20"/>
                            <a:gd name="T2" fmla="*/ 8604 w 8604"/>
                            <a:gd name="T3" fmla="*/ 0 h 20"/>
                          </a:gdLst>
                          <a:ahLst/>
                          <a:cxnLst>
                            <a:cxn ang="0">
                              <a:pos x="T0" y="T1"/>
                            </a:cxn>
                            <a:cxn ang="0">
                              <a:pos x="T2" y="T3"/>
                            </a:cxn>
                          </a:cxnLst>
                          <a:rect l="0" t="0" r="r" b="b"/>
                          <a:pathLst>
                            <a:path w="8604" h="20">
                              <a:moveTo>
                                <a:pt x="0" y="0"/>
                              </a:moveTo>
                              <a:lnTo>
                                <a:pt x="8604"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92" o:spid="_x0000_s1026" style="position:absolute;z-index:-25183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70.9pt,436.85pt,501.1pt,436.85pt" coordsize="86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" o:allowincell="f" filled="f" strokeweight=".36pt">
                <v:path arrowok="t" o:connecttype="custom" o:connectlocs="0,0;5463540,0" o:connectangles="0,0"/>
                <w10:wrap anchorx="page" anchory="page"/>
              </v:polyline>
            </w:pict>
          </mc:Fallback>
        </mc:AlternateContent>
      </w:r>
      <w:r>
        <w:rPr>
          <w:noProof/>
        </w:rPr>
        <mc:AlternateContent>
          <mc:Choice Requires="wps">
            <w:drawing>
              <wp:anchor distT="0" distB="0" distL="114300" distR="114300" simplePos="0" relativeHeight="251486720" behindDoc="1" locked="0" layoutInCell="0" allowOverlap="1">
                <wp:simplePos x="0" y="0"/>
                <wp:positionH relativeFrom="page">
                  <wp:posOffset>1170305</wp:posOffset>
                </wp:positionH>
                <wp:positionV relativeFrom="page">
                  <wp:posOffset>6182995</wp:posOffset>
                </wp:positionV>
                <wp:extent cx="5212080" cy="12700"/>
                <wp:effectExtent l="0" t="0" r="0" b="0"/>
                <wp:wrapNone/>
                <wp:docPr id="932"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12080" cy="12700"/>
                        </a:xfrm>
                        <a:custGeom>
                          <a:avLst/>
                          <a:gdLst>
                            <a:gd name="T0" fmla="*/ 0 w 8208"/>
                            <a:gd name="T1" fmla="*/ 0 h 20"/>
                            <a:gd name="T2" fmla="*/ 8208 w 8208"/>
                            <a:gd name="T3" fmla="*/ 0 h 20"/>
                          </a:gdLst>
                          <a:ahLst/>
                          <a:cxnLst>
                            <a:cxn ang="0">
                              <a:pos x="T0" y="T1"/>
                            </a:cxn>
                            <a:cxn ang="0">
                              <a:pos x="T2" y="T3"/>
                            </a:cxn>
                          </a:cxnLst>
                          <a:rect l="0" t="0" r="r" b="b"/>
                          <a:pathLst>
                            <a:path w="8208" h="20">
                              <a:moveTo>
                                <a:pt x="0" y="0"/>
                              </a:moveTo>
                              <a:lnTo>
                                <a:pt x="8208"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93" o:spid="_x0000_s1026" style="position:absolute;z-index:-251829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2.15pt,486.85pt,502.55pt,486.85pt" coordsize="82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" o:allowincell="f" filled="f" strokeweight=".36pt">
                <v:path arrowok="t" o:connecttype="custom" o:connectlocs="0,0;5212080,0" o:connectangles="0,0"/>
                <w10:wrap anchorx="page" anchory="page"/>
              </v:polyline>
            </w:pict>
          </mc:Fallback>
        </mc:AlternateContent>
      </w:r>
      <w:r>
        <w:rPr>
          <w:noProof/>
        </w:rPr>
        <mc:AlternateContent>
          <mc:Choice Requires="wps">
            <w:drawing>
              <wp:anchor distT="0" distB="0" distL="114300" distR="114300" simplePos="0" relativeHeight="251487744" behindDoc="1" locked="0" layoutInCell="0" allowOverlap="1">
                <wp:simplePos x="0" y="0"/>
                <wp:positionH relativeFrom="page">
                  <wp:posOffset>827405</wp:posOffset>
                </wp:positionH>
                <wp:positionV relativeFrom="page">
                  <wp:posOffset>7193915</wp:posOffset>
                </wp:positionV>
                <wp:extent cx="3145790" cy="12700"/>
                <wp:effectExtent l="0" t="0" r="0" b="0"/>
                <wp:wrapNone/>
                <wp:docPr id="931" name="Freeform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45790" cy="12700"/>
                        </a:xfrm>
                        <a:custGeom>
                          <a:avLst/>
                          <a:gdLst>
                            <a:gd name="T0" fmla="*/ 0 w 4954"/>
                            <a:gd name="T1" fmla="*/ 0 h 20"/>
                            <a:gd name="T2" fmla="*/ 4954 w 4954"/>
                            <a:gd name="T3" fmla="*/ 0 h 20"/>
                          </a:gdLst>
                          <a:ahLst/>
                          <a:cxnLst>
                            <a:cxn ang="0">
                              <a:pos x="T0" y="T1"/>
                            </a:cxn>
                            <a:cxn ang="0">
                              <a:pos x="T2" y="T3"/>
                            </a:cxn>
                          </a:cxnLst>
                          <a:rect l="0" t="0" r="r" b="b"/>
                          <a:pathLst>
                            <a:path w="4954" h="20">
                              <a:moveTo>
                                <a:pt x="0" y="0"/>
                              </a:moveTo>
                              <a:lnTo>
                                <a:pt x="4954"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94" o:spid="_x0000_s1026" style="position:absolute;z-index:-251828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5.15pt,566.45pt,312.85pt,566.45pt" coordsize="495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" o:allowincell="f" filled="f" strokeweight=".36pt">
                <v:path arrowok="t" o:connecttype="custom" o:connectlocs="0,0;3145790,0" o:connectangles="0,0"/>
                <w10:wrap anchorx="page" anchory="page"/>
              </v:polyline>
            </w:pict>
          </mc:Fallback>
        </mc:AlternateContent>
      </w:r>
      <w:bookmarkStart w:id="30" w:name="Table_1:_SELECTED_OUTCOMES_FOR_AN_SDOH_H"/>
      <w:bookmarkEnd w:id="30"/>
      <w:r w:rsidR="002C5025">
        <w:rPr>
          <w:rFonts w:ascii="Arial" w:hAnsi="Arial" w:cs="Arial"/>
          <w:b/>
          <w:bCs/>
          <w:w w:val="95"/>
          <w:sz w:val="21"/>
          <w:szCs w:val="21"/>
        </w:rPr>
        <w:t>Table 1:SELECTED OUTCOMES FOR AN SDOH HUB</w:t>
      </w:r>
    </w:p>
    <w:p w:rsidR="002C5025" w:rsidRDefault="002C5025">
      <w:pPr>
        <w:pStyle w:val="BodyText"/>
        <w:kinsoku w:val="0"/>
        <w:overflowPunct w:val="0"/>
        <w:rPr>
          <w:rFonts w:ascii="Arial" w:hAnsi="Arial" w:cs="Arial"/>
          <w:b/>
          <w:bCs/>
          <w:sz w:val="20"/>
          <w:szCs w:val="20"/>
        </w:rPr>
      </w:pPr>
    </w:p>
    <w:p w:rsidR="002C5025" w:rsidRDefault="002C5025">
      <w:pPr>
        <w:pStyle w:val="BodyText"/>
        <w:kinsoku w:val="0"/>
        <w:overflowPunct w:val="0"/>
        <w:spacing w:before="6"/>
        <w:rPr>
          <w:rFonts w:ascii="Arial" w:hAnsi="Arial" w:cs="Arial"/>
          <w:b/>
          <w:bCs/>
          <w:sz w:val="14"/>
          <w:szCs w:val="14"/>
        </w:rPr>
      </w:pPr>
    </w:p>
    <w:tbl>
      <w:tblPr>
        <w:tblW w:w="0" w:type="auto"/>
        <w:tblInd w:w="117" w:type="dxa"/>
        <w:tblLayout w:type="fixed"/>
        <w:tblCellMar>
          <w:left w:w="0" w:type="dxa"/>
          <w:right w:w="0" w:type="dxa"/>
        </w:tblCellMar>
        <w:tblLook w:val="0000" w:firstRow="0" w:lastRow="0" w:firstColumn="0" w:lastColumn="0" w:noHBand="0" w:noVBand="0"/>
      </w:tblPr>
      <w:tblGrid>
        <w:gridCol w:w="9643"/>
      </w:tblGrid>
      <w:tr w:rsidR="002C5025">
        <w:trPr>
          <w:trHeight w:hRule="exact" w:val="653"/>
        </w:trPr>
        <w:tc>
          <w:tcPr>
            <w:tcW w:w="9643" w:type="dxa"/>
            <w:tcBorders>
              <w:top w:val="single" w:sz="2" w:space="0" w:color="000000"/>
              <w:left w:val="single" w:sz="2" w:space="0" w:color="000000"/>
              <w:bottom w:val="single" w:sz="2" w:space="0" w:color="000000"/>
              <w:right w:val="single" w:sz="2" w:space="0" w:color="000000"/>
            </w:tcBorders>
          </w:tcPr>
          <w:p w:rsidR="002C5025" w:rsidRDefault="002C5025">
            <w:pPr>
              <w:pStyle w:val="TableParagraph"/>
              <w:kinsoku w:val="0"/>
              <w:overflowPunct w:val="0"/>
              <w:spacing w:before="9"/>
              <w:ind w:left="0"/>
              <w:rPr>
                <w:b/>
                <w:bCs/>
                <w:sz w:val="31"/>
                <w:szCs w:val="31"/>
              </w:rPr>
            </w:pPr>
          </w:p>
          <w:p w:rsidR="002C5025" w:rsidRDefault="002C5025">
            <w:pPr>
              <w:pStyle w:val="TableParagraph"/>
              <w:kinsoku w:val="0"/>
              <w:overflowPunct w:val="0"/>
              <w:ind w:left="220" w:right="999"/>
              <w:rPr>
                <w:rFonts w:ascii="Times New Roman" w:hAnsi="Times New Roman" w:cs="Times New Roman"/>
              </w:rPr>
            </w:pPr>
            <w:r>
              <w:rPr>
                <w:rFonts w:ascii="Times New Roman" w:hAnsi="Times New Roman" w:cs="Times New Roman"/>
                <w:b/>
                <w:bCs/>
                <w:i/>
                <w:iCs/>
                <w:sz w:val="23"/>
                <w:szCs w:val="23"/>
              </w:rPr>
              <w:t xml:space="preserve">Reduced  Unmet </w:t>
            </w:r>
            <w:r>
              <w:rPr>
                <w:rFonts w:ascii="Times New Roman" w:hAnsi="Times New Roman" w:cs="Times New Roman"/>
                <w:i/>
                <w:iCs/>
                <w:sz w:val="23"/>
                <w:szCs w:val="23"/>
              </w:rPr>
              <w:t>Needs</w:t>
            </w:r>
          </w:p>
        </w:tc>
      </w:tr>
      <w:tr w:rsidR="002C5025">
        <w:trPr>
          <w:trHeight w:hRule="exact" w:val="626"/>
        </w:trPr>
        <w:tc>
          <w:tcPr>
            <w:tcW w:w="9643" w:type="dxa"/>
            <w:tcBorders>
              <w:top w:val="single" w:sz="2" w:space="0" w:color="000000"/>
              <w:left w:val="single" w:sz="2" w:space="0" w:color="000000"/>
              <w:bottom w:val="single" w:sz="2" w:space="0" w:color="000000"/>
              <w:right w:val="single" w:sz="2" w:space="0" w:color="000000"/>
            </w:tcBorders>
          </w:tcPr>
          <w:p w:rsidR="002C5025" w:rsidRDefault="002C5025">
            <w:pPr>
              <w:pStyle w:val="TableParagraph"/>
              <w:kinsoku w:val="0"/>
              <w:overflowPunct w:val="0"/>
              <w:ind w:left="0"/>
              <w:rPr>
                <w:b/>
                <w:bCs/>
                <w:sz w:val="18"/>
                <w:szCs w:val="18"/>
              </w:rPr>
            </w:pPr>
          </w:p>
          <w:p w:rsidR="002C5025" w:rsidRDefault="002C5025">
            <w:pPr>
              <w:pStyle w:val="TableParagraph"/>
              <w:kinsoku w:val="0"/>
              <w:overflowPunct w:val="0"/>
              <w:spacing w:before="1"/>
              <w:ind w:left="0"/>
              <w:rPr>
                <w:b/>
                <w:bCs/>
                <w:sz w:val="15"/>
                <w:szCs w:val="15"/>
              </w:rPr>
            </w:pPr>
          </w:p>
          <w:p w:rsidR="002C5025" w:rsidRDefault="002C5025">
            <w:pPr>
              <w:pStyle w:val="TableParagraph"/>
              <w:kinsoku w:val="0"/>
              <w:overflowPunct w:val="0"/>
              <w:ind w:left="242" w:right="999"/>
              <w:rPr>
                <w:rFonts w:ascii="Times New Roman" w:hAnsi="Times New Roman" w:cs="Times New Roman"/>
              </w:rPr>
            </w:pPr>
            <w:r>
              <w:rPr>
                <w:w w:val="105"/>
                <w:sz w:val="19"/>
                <w:szCs w:val="19"/>
              </w:rPr>
              <w:t>Reductions in modifiable health risks (physical inactivity, smoking)</w:t>
            </w:r>
          </w:p>
        </w:tc>
      </w:tr>
      <w:tr w:rsidR="002C5025">
        <w:trPr>
          <w:trHeight w:hRule="exact" w:val="317"/>
        </w:trPr>
        <w:tc>
          <w:tcPr>
            <w:tcW w:w="9643" w:type="dxa"/>
            <w:tcBorders>
              <w:top w:val="single" w:sz="2" w:space="0" w:color="000000"/>
              <w:left w:val="single" w:sz="2" w:space="0" w:color="000000"/>
              <w:bottom w:val="single" w:sz="2" w:space="0" w:color="000000"/>
              <w:right w:val="single" w:sz="2" w:space="0" w:color="000000"/>
            </w:tcBorders>
          </w:tcPr>
          <w:p w:rsidR="002C5025" w:rsidRDefault="002C5025">
            <w:pPr>
              <w:pStyle w:val="TableParagraph"/>
              <w:kinsoku w:val="0"/>
              <w:overflowPunct w:val="0"/>
              <w:spacing w:before="71"/>
              <w:ind w:left="242" w:right="999"/>
              <w:rPr>
                <w:rFonts w:ascii="Times New Roman" w:hAnsi="Times New Roman" w:cs="Times New Roman"/>
              </w:rPr>
            </w:pPr>
            <w:r>
              <w:rPr>
                <w:w w:val="105"/>
                <w:sz w:val="19"/>
                <w:szCs w:val="19"/>
              </w:rPr>
              <w:t>Improved housing quality</w:t>
            </w:r>
          </w:p>
        </w:tc>
      </w:tr>
      <w:tr w:rsidR="002C5025">
        <w:trPr>
          <w:trHeight w:hRule="exact" w:val="324"/>
        </w:trPr>
        <w:tc>
          <w:tcPr>
            <w:tcW w:w="9643" w:type="dxa"/>
            <w:tcBorders>
              <w:top w:val="single" w:sz="2" w:space="0" w:color="000000"/>
              <w:left w:val="single" w:sz="2" w:space="0" w:color="000000"/>
              <w:bottom w:val="single" w:sz="2" w:space="0" w:color="000000"/>
              <w:right w:val="single" w:sz="2" w:space="0" w:color="000000"/>
            </w:tcBorders>
          </w:tcPr>
          <w:p w:rsidR="002C5025" w:rsidRDefault="002C5025">
            <w:pPr>
              <w:pStyle w:val="TableParagraph"/>
              <w:kinsoku w:val="0"/>
              <w:overflowPunct w:val="0"/>
              <w:spacing w:before="71"/>
              <w:ind w:left="242" w:right="999"/>
              <w:rPr>
                <w:rFonts w:ascii="Times New Roman" w:hAnsi="Times New Roman" w:cs="Times New Roman"/>
              </w:rPr>
            </w:pPr>
            <w:r>
              <w:rPr>
                <w:w w:val="105"/>
                <w:sz w:val="19"/>
                <w:szCs w:val="19"/>
              </w:rPr>
              <w:t>Improved housing stability</w:t>
            </w:r>
          </w:p>
        </w:tc>
      </w:tr>
      <w:tr w:rsidR="002C5025">
        <w:trPr>
          <w:trHeight w:hRule="exact" w:val="317"/>
        </w:trPr>
        <w:tc>
          <w:tcPr>
            <w:tcW w:w="9643" w:type="dxa"/>
            <w:tcBorders>
              <w:top w:val="single" w:sz="2" w:space="0" w:color="000000"/>
              <w:left w:val="single" w:sz="2" w:space="0" w:color="000000"/>
              <w:bottom w:val="single" w:sz="2" w:space="0" w:color="000000"/>
              <w:right w:val="single" w:sz="2" w:space="0" w:color="000000"/>
            </w:tcBorders>
          </w:tcPr>
          <w:p w:rsidR="002C5025" w:rsidRDefault="002C5025">
            <w:pPr>
              <w:pStyle w:val="TableParagraph"/>
              <w:kinsoku w:val="0"/>
              <w:overflowPunct w:val="0"/>
              <w:spacing w:before="64"/>
              <w:ind w:left="235" w:right="999"/>
              <w:rPr>
                <w:rFonts w:ascii="Times New Roman" w:hAnsi="Times New Roman" w:cs="Times New Roman"/>
              </w:rPr>
            </w:pPr>
            <w:r>
              <w:rPr>
                <w:w w:val="105"/>
                <w:sz w:val="19"/>
                <w:szCs w:val="19"/>
              </w:rPr>
              <w:t>Improved food security</w:t>
            </w:r>
          </w:p>
        </w:tc>
      </w:tr>
      <w:tr w:rsidR="002C5025">
        <w:trPr>
          <w:trHeight w:hRule="exact" w:val="355"/>
        </w:trPr>
        <w:tc>
          <w:tcPr>
            <w:tcW w:w="9643" w:type="dxa"/>
            <w:tcBorders>
              <w:top w:val="single" w:sz="2" w:space="0" w:color="000000"/>
              <w:left w:val="single" w:sz="2" w:space="0" w:color="000000"/>
              <w:bottom w:val="single" w:sz="2" w:space="0" w:color="000000"/>
              <w:right w:val="single" w:sz="2" w:space="0" w:color="000000"/>
            </w:tcBorders>
          </w:tcPr>
          <w:p w:rsidR="002C5025" w:rsidRDefault="002C5025">
            <w:pPr>
              <w:pStyle w:val="TableParagraph"/>
              <w:kinsoku w:val="0"/>
              <w:overflowPunct w:val="0"/>
              <w:spacing w:before="71"/>
              <w:ind w:left="235" w:right="999"/>
              <w:rPr>
                <w:rFonts w:ascii="Times New Roman" w:hAnsi="Times New Roman" w:cs="Times New Roman"/>
              </w:rPr>
            </w:pPr>
            <w:r>
              <w:rPr>
                <w:w w:val="105"/>
                <w:sz w:val="19"/>
                <w:szCs w:val="19"/>
              </w:rPr>
              <w:t>Improved nutritional quality</w:t>
            </w:r>
          </w:p>
        </w:tc>
      </w:tr>
      <w:tr w:rsidR="002C5025">
        <w:trPr>
          <w:trHeight w:hRule="exact" w:val="360"/>
        </w:trPr>
        <w:tc>
          <w:tcPr>
            <w:tcW w:w="9643" w:type="dxa"/>
            <w:tcBorders>
              <w:top w:val="single" w:sz="2" w:space="0" w:color="000000"/>
              <w:left w:val="single" w:sz="2" w:space="0" w:color="000000"/>
              <w:bottom w:val="single" w:sz="2" w:space="0" w:color="000000"/>
              <w:right w:val="single" w:sz="2" w:space="0" w:color="000000"/>
            </w:tcBorders>
          </w:tcPr>
          <w:p w:rsidR="002C5025" w:rsidRDefault="002C5025">
            <w:pPr>
              <w:pStyle w:val="TableParagraph"/>
              <w:kinsoku w:val="0"/>
              <w:overflowPunct w:val="0"/>
              <w:spacing w:before="76"/>
              <w:ind w:left="235" w:right="999"/>
              <w:rPr>
                <w:rFonts w:ascii="Times New Roman" w:hAnsi="Times New Roman" w:cs="Times New Roman"/>
              </w:rPr>
            </w:pPr>
            <w:r>
              <w:rPr>
                <w:w w:val="105"/>
                <w:sz w:val="19"/>
                <w:szCs w:val="19"/>
              </w:rPr>
              <w:t>Improved ability to maintain safe temperature in home</w:t>
            </w:r>
          </w:p>
        </w:tc>
      </w:tr>
      <w:tr w:rsidR="002C5025">
        <w:trPr>
          <w:trHeight w:hRule="exact" w:val="360"/>
        </w:trPr>
        <w:tc>
          <w:tcPr>
            <w:tcW w:w="9643" w:type="dxa"/>
            <w:tcBorders>
              <w:top w:val="single" w:sz="2" w:space="0" w:color="000000"/>
              <w:left w:val="single" w:sz="2" w:space="0" w:color="000000"/>
              <w:bottom w:val="single" w:sz="2" w:space="0" w:color="000000"/>
              <w:right w:val="single" w:sz="2" w:space="0" w:color="000000"/>
            </w:tcBorders>
          </w:tcPr>
          <w:p w:rsidR="002C5025" w:rsidRDefault="002C5025">
            <w:pPr>
              <w:pStyle w:val="TableParagraph"/>
              <w:kinsoku w:val="0"/>
              <w:overflowPunct w:val="0"/>
              <w:spacing w:before="69"/>
              <w:ind w:left="227" w:right="999"/>
              <w:rPr>
                <w:rFonts w:ascii="Times New Roman" w:hAnsi="Times New Roman" w:cs="Times New Roman"/>
              </w:rPr>
            </w:pPr>
            <w:r>
              <w:rPr>
                <w:w w:val="105"/>
                <w:sz w:val="19"/>
                <w:szCs w:val="19"/>
              </w:rPr>
              <w:t>Increased adequacy of income relative to household needs</w:t>
            </w:r>
          </w:p>
        </w:tc>
      </w:tr>
      <w:tr w:rsidR="002C5025">
        <w:trPr>
          <w:trHeight w:hRule="exact" w:val="634"/>
        </w:trPr>
        <w:tc>
          <w:tcPr>
            <w:tcW w:w="9643" w:type="dxa"/>
            <w:tcBorders>
              <w:top w:val="single" w:sz="2" w:space="0" w:color="000000"/>
              <w:left w:val="single" w:sz="2" w:space="0" w:color="000000"/>
              <w:bottom w:val="single" w:sz="2" w:space="0" w:color="000000"/>
              <w:right w:val="single" w:sz="2" w:space="0" w:color="000000"/>
            </w:tcBorders>
          </w:tcPr>
          <w:p w:rsidR="002C5025" w:rsidRDefault="002C5025">
            <w:pPr>
              <w:pStyle w:val="TableParagraph"/>
              <w:kinsoku w:val="0"/>
              <w:overflowPunct w:val="0"/>
              <w:ind w:left="0"/>
              <w:rPr>
                <w:b/>
                <w:bCs/>
                <w:sz w:val="31"/>
                <w:szCs w:val="31"/>
              </w:rPr>
            </w:pPr>
          </w:p>
          <w:p w:rsidR="002C5025" w:rsidRDefault="002C5025">
            <w:pPr>
              <w:pStyle w:val="TableParagraph"/>
              <w:kinsoku w:val="0"/>
              <w:overflowPunct w:val="0"/>
              <w:ind w:left="191" w:right="999"/>
              <w:rPr>
                <w:rFonts w:ascii="Times New Roman" w:hAnsi="Times New Roman" w:cs="Times New Roman"/>
              </w:rPr>
            </w:pPr>
            <w:r>
              <w:rPr>
                <w:rFonts w:ascii="Times New Roman" w:hAnsi="Times New Roman" w:cs="Times New Roman"/>
                <w:b/>
                <w:bCs/>
                <w:i/>
                <w:iCs/>
                <w:sz w:val="23"/>
                <w:szCs w:val="23"/>
              </w:rPr>
              <w:t>Reduced Barriers to</w:t>
            </w:r>
            <w:r>
              <w:rPr>
                <w:rFonts w:ascii="Times New Roman" w:hAnsi="Times New Roman" w:cs="Times New Roman"/>
                <w:b/>
                <w:bCs/>
                <w:i/>
                <w:iCs/>
                <w:spacing w:val="54"/>
                <w:sz w:val="23"/>
                <w:szCs w:val="23"/>
              </w:rPr>
              <w:t xml:space="preserve"> </w:t>
            </w:r>
            <w:r>
              <w:rPr>
                <w:rFonts w:ascii="Times New Roman" w:hAnsi="Times New Roman" w:cs="Times New Roman"/>
                <w:b/>
                <w:bCs/>
                <w:i/>
                <w:iCs/>
                <w:sz w:val="23"/>
                <w:szCs w:val="23"/>
              </w:rPr>
              <w:t>Care</w:t>
            </w:r>
          </w:p>
        </w:tc>
      </w:tr>
      <w:tr w:rsidR="002C5025">
        <w:trPr>
          <w:trHeight w:hRule="exact" w:val="634"/>
        </w:trPr>
        <w:tc>
          <w:tcPr>
            <w:tcW w:w="9643" w:type="dxa"/>
            <w:tcBorders>
              <w:top w:val="single" w:sz="2" w:space="0" w:color="000000"/>
              <w:left w:val="single" w:sz="2" w:space="0" w:color="000000"/>
              <w:bottom w:val="single" w:sz="2" w:space="0" w:color="000000"/>
              <w:right w:val="single" w:sz="2" w:space="0" w:color="000000"/>
            </w:tcBorders>
          </w:tcPr>
          <w:p w:rsidR="002C5025" w:rsidRDefault="002C5025">
            <w:pPr>
              <w:pStyle w:val="TableParagraph"/>
              <w:kinsoku w:val="0"/>
              <w:overflowPunct w:val="0"/>
              <w:ind w:left="0"/>
              <w:rPr>
                <w:b/>
                <w:bCs/>
                <w:sz w:val="18"/>
                <w:szCs w:val="18"/>
              </w:rPr>
            </w:pPr>
          </w:p>
          <w:p w:rsidR="002C5025" w:rsidRDefault="002C5025">
            <w:pPr>
              <w:pStyle w:val="TableParagraph"/>
              <w:kinsoku w:val="0"/>
              <w:overflowPunct w:val="0"/>
              <w:spacing w:before="1"/>
              <w:ind w:left="0"/>
              <w:rPr>
                <w:b/>
                <w:bCs/>
                <w:sz w:val="15"/>
                <w:szCs w:val="15"/>
              </w:rPr>
            </w:pPr>
          </w:p>
          <w:p w:rsidR="002C5025" w:rsidRDefault="002C5025">
            <w:pPr>
              <w:pStyle w:val="TableParagraph"/>
              <w:kinsoku w:val="0"/>
              <w:overflowPunct w:val="0"/>
              <w:ind w:left="220" w:right="999"/>
              <w:rPr>
                <w:rFonts w:ascii="Times New Roman" w:hAnsi="Times New Roman" w:cs="Times New Roman"/>
              </w:rPr>
            </w:pPr>
            <w:r>
              <w:rPr>
                <w:w w:val="105"/>
                <w:sz w:val="19"/>
                <w:szCs w:val="19"/>
              </w:rPr>
              <w:t>Increased ability to attend scheduled appointments</w:t>
            </w:r>
          </w:p>
        </w:tc>
      </w:tr>
      <w:tr w:rsidR="002C5025">
        <w:trPr>
          <w:trHeight w:hRule="exact" w:val="346"/>
        </w:trPr>
        <w:tc>
          <w:tcPr>
            <w:tcW w:w="9643" w:type="dxa"/>
            <w:tcBorders>
              <w:top w:val="single" w:sz="2" w:space="0" w:color="000000"/>
              <w:left w:val="single" w:sz="2" w:space="0" w:color="000000"/>
              <w:bottom w:val="single" w:sz="2" w:space="0" w:color="000000"/>
              <w:right w:val="single" w:sz="2" w:space="0" w:color="000000"/>
            </w:tcBorders>
          </w:tcPr>
          <w:p w:rsidR="002C5025" w:rsidRDefault="002C5025">
            <w:pPr>
              <w:pStyle w:val="TableParagraph"/>
              <w:kinsoku w:val="0"/>
              <w:overflowPunct w:val="0"/>
              <w:spacing w:before="64"/>
              <w:ind w:left="220" w:right="999"/>
              <w:rPr>
                <w:rFonts w:ascii="Times New Roman" w:hAnsi="Times New Roman" w:cs="Times New Roman"/>
              </w:rPr>
            </w:pPr>
            <w:r>
              <w:rPr>
                <w:w w:val="105"/>
                <w:sz w:val="19"/>
                <w:szCs w:val="19"/>
              </w:rPr>
              <w:t>Increased ability to fill prescriptions in a timely way</w:t>
            </w:r>
          </w:p>
        </w:tc>
      </w:tr>
      <w:tr w:rsidR="002C5025">
        <w:trPr>
          <w:trHeight w:hRule="exact" w:val="360"/>
        </w:trPr>
        <w:tc>
          <w:tcPr>
            <w:tcW w:w="9643" w:type="dxa"/>
            <w:tcBorders>
              <w:top w:val="single" w:sz="2" w:space="0" w:color="000000"/>
              <w:left w:val="single" w:sz="2" w:space="0" w:color="000000"/>
              <w:bottom w:val="single" w:sz="2" w:space="0" w:color="000000"/>
              <w:right w:val="single" w:sz="2" w:space="0" w:color="000000"/>
            </w:tcBorders>
          </w:tcPr>
          <w:p w:rsidR="002C5025" w:rsidRDefault="002C5025">
            <w:pPr>
              <w:pStyle w:val="TableParagraph"/>
              <w:kinsoku w:val="0"/>
              <w:overflowPunct w:val="0"/>
              <w:spacing w:before="78"/>
              <w:ind w:left="213" w:right="999"/>
              <w:rPr>
                <w:rFonts w:ascii="Times New Roman" w:hAnsi="Times New Roman" w:cs="Times New Roman"/>
              </w:rPr>
            </w:pPr>
            <w:r>
              <w:rPr>
                <w:w w:val="105"/>
                <w:sz w:val="19"/>
                <w:szCs w:val="19"/>
              </w:rPr>
              <w:t>Increased adherence to treatment plans</w:t>
            </w:r>
          </w:p>
        </w:tc>
      </w:tr>
      <w:tr w:rsidR="002C5025">
        <w:trPr>
          <w:trHeight w:hRule="exact" w:val="626"/>
        </w:trPr>
        <w:tc>
          <w:tcPr>
            <w:tcW w:w="9643" w:type="dxa"/>
            <w:tcBorders>
              <w:top w:val="single" w:sz="2" w:space="0" w:color="000000"/>
              <w:left w:val="single" w:sz="2" w:space="0" w:color="000000"/>
              <w:bottom w:val="single" w:sz="2" w:space="0" w:color="000000"/>
              <w:right w:val="single" w:sz="2" w:space="0" w:color="000000"/>
            </w:tcBorders>
          </w:tcPr>
          <w:p w:rsidR="002C5025" w:rsidRDefault="002C5025">
            <w:pPr>
              <w:pStyle w:val="TableParagraph"/>
              <w:kinsoku w:val="0"/>
              <w:overflowPunct w:val="0"/>
              <w:spacing w:before="11"/>
              <w:ind w:left="0"/>
              <w:rPr>
                <w:b/>
                <w:bCs/>
                <w:sz w:val="29"/>
                <w:szCs w:val="29"/>
              </w:rPr>
            </w:pPr>
          </w:p>
          <w:p w:rsidR="002C5025" w:rsidRDefault="002C5025">
            <w:pPr>
              <w:pStyle w:val="TableParagraph"/>
              <w:kinsoku w:val="0"/>
              <w:overflowPunct w:val="0"/>
              <w:ind w:left="184" w:right="999"/>
              <w:rPr>
                <w:rFonts w:ascii="Times New Roman" w:hAnsi="Times New Roman" w:cs="Times New Roman"/>
              </w:rPr>
            </w:pPr>
            <w:r>
              <w:rPr>
                <w:rFonts w:ascii="Times New Roman" w:hAnsi="Times New Roman" w:cs="Times New Roman"/>
                <w:b/>
                <w:bCs/>
                <w:i/>
                <w:iCs/>
                <w:sz w:val="23"/>
                <w:szCs w:val="23"/>
              </w:rPr>
              <w:t>Improved Health Outcomes</w:t>
            </w:r>
          </w:p>
        </w:tc>
      </w:tr>
      <w:tr w:rsidR="002C5025">
        <w:trPr>
          <w:trHeight w:hRule="exact" w:val="1310"/>
        </w:trPr>
        <w:tc>
          <w:tcPr>
            <w:tcW w:w="9643" w:type="dxa"/>
            <w:tcBorders>
              <w:top w:val="single" w:sz="2" w:space="0" w:color="000000"/>
              <w:left w:val="single" w:sz="2" w:space="0" w:color="000000"/>
              <w:bottom w:val="single" w:sz="2" w:space="0" w:color="000000"/>
              <w:right w:val="single" w:sz="2" w:space="0" w:color="000000"/>
            </w:tcBorders>
          </w:tcPr>
          <w:p w:rsidR="002C5025" w:rsidRDefault="002C5025">
            <w:pPr>
              <w:pStyle w:val="TableParagraph"/>
              <w:kinsoku w:val="0"/>
              <w:overflowPunct w:val="0"/>
              <w:ind w:left="0"/>
              <w:rPr>
                <w:b/>
                <w:bCs/>
                <w:sz w:val="18"/>
                <w:szCs w:val="18"/>
              </w:rPr>
            </w:pPr>
          </w:p>
          <w:p w:rsidR="002C5025" w:rsidRDefault="002C5025">
            <w:pPr>
              <w:pStyle w:val="TableParagraph"/>
              <w:kinsoku w:val="0"/>
              <w:overflowPunct w:val="0"/>
              <w:spacing w:before="10"/>
              <w:ind w:left="0"/>
              <w:rPr>
                <w:b/>
                <w:bCs/>
                <w:sz w:val="14"/>
                <w:szCs w:val="14"/>
              </w:rPr>
            </w:pPr>
          </w:p>
          <w:p w:rsidR="002C5025" w:rsidRDefault="002C5025">
            <w:pPr>
              <w:pStyle w:val="TableParagraph"/>
              <w:kinsoku w:val="0"/>
              <w:overflowPunct w:val="0"/>
              <w:spacing w:after="21" w:line="348" w:lineRule="auto"/>
              <w:ind w:left="206" w:right="4455"/>
              <w:rPr>
                <w:w w:val="105"/>
                <w:sz w:val="19"/>
                <w:szCs w:val="19"/>
              </w:rPr>
            </w:pPr>
            <w:r>
              <w:rPr>
                <w:w w:val="105"/>
                <w:sz w:val="19"/>
                <w:szCs w:val="19"/>
              </w:rPr>
              <w:t>Reduced incidence of chronic disease modalities Reduced number of days of limitation of physical activity</w:t>
            </w:r>
          </w:p>
          <w:p w:rsidR="002C5025" w:rsidRDefault="00FB027C">
            <w:pPr>
              <w:pStyle w:val="TableParagraph"/>
              <w:kinsoku w:val="0"/>
              <w:overflowPunct w:val="0"/>
              <w:spacing w:line="20" w:lineRule="exact"/>
              <w:ind w:left="73"/>
              <w:rPr>
                <w:sz w:val="2"/>
                <w:szCs w:val="2"/>
              </w:rPr>
            </w:pPr>
            <w:r>
              <w:rPr>
                <w:noProof/>
                <w:sz w:val="2"/>
                <w:szCs w:val="2"/>
              </w:rPr>
              <mc:AlternateContent>
                <mc:Choice Requires="wpg">
                  <w:drawing>
                    <wp:inline distT="0" distB="0" distL="0" distR="0">
                      <wp:extent cx="2748280" cy="12700"/>
                      <wp:effectExtent l="9525" t="9525" r="4445" b="0"/>
                      <wp:docPr id="929"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8280" cy="12700"/>
                                <a:chOff x="0" y="0"/>
                                <a:chExt cx="4328" cy="20"/>
                              </a:xfrm>
                            </wpg:grpSpPr>
                            <wps:wsp>
                              <wps:cNvPr id="1026" name="Freeform 96"/>
                              <wps:cNvSpPr>
                                <a:spLocks/>
                              </wps:cNvSpPr>
                              <wps:spPr bwMode="auto">
                                <a:xfrm>
                                  <a:off x="4" y="4"/>
                                  <a:ext cx="4320" cy="20"/>
                                </a:xfrm>
                                <a:custGeom>
                                  <a:avLst/>
                                  <a:gdLst>
                                    <a:gd name="T0" fmla="*/ 0 w 4320"/>
                                    <a:gd name="T1" fmla="*/ 0 h 20"/>
                                    <a:gd name="T2" fmla="*/ 4320 w 4320"/>
                                    <a:gd name="T3" fmla="*/ 0 h 20"/>
                                  </a:gdLst>
                                  <a:ahLst/>
                                  <a:cxnLst>
                                    <a:cxn ang="0">
                                      <a:pos x="T0" y="T1"/>
                                    </a:cxn>
                                    <a:cxn ang="0">
                                      <a:pos x="T2" y="T3"/>
                                    </a:cxn>
                                  </a:cxnLst>
                                  <a:rect l="0" t="0" r="r" b="b"/>
                                  <a:pathLst>
                                    <a:path w="4320" h="20">
                                      <a:moveTo>
                                        <a:pt x="0" y="0"/>
                                      </a:moveTo>
                                      <a:lnTo>
                                        <a:pt x="4320"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95" o:spid="_x0000_s1026" style="width:216.4pt;height:1pt;mso-position-horizontal-relative:char;mso-position-vertical-relative:line" coordsize="432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">
                      <v:shape id="Freeform 96" o:spid="_x0000_s1027" style="position:absolute;left:4;top:4;width:4320;height:20;visibility:visible;mso-wrap-style:square;v-text-anchor:top" coordsize="43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9FMb8A&#10;AADcAAAADwAAAGRycy9kb3ducmV2LnhtbERPTYvCMBC9L/gfwgje1lQFV6tRRBFEZMEqnodmbIvJ&#10;pDRR6783B8Hj433Pl6014kGNrxwrGPQTEMS50xUXCs6n7e8EhA/IGo1jUvAiD8tF52eOqXZPPtIj&#10;C4WIIexTVFCGUKdS+rwki77vauLIXV1jMUTYFFI3+Izh1shhkoylxYpjQ4k1rUvKb9ndKhid6oPf&#10;7s3fhc7ZoDX/e7e5oVK9bruagQjUhq/4495pBdNRnB/PxCMgF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lT0UxvwAAANwAAAAPAAAAAAAAAAAAAAAAAJgCAABkcnMvZG93bnJl&#10;di54bWxQSwUGAAAAAAQABAD1AAAAhAMAAAAA&#10;" path="m,l4320,e" filled="f" strokeweight=".36pt">
                        <v:path arrowok="t" o:connecttype="custom" o:connectlocs="0,0;4320,0" o:connectangles="0,0"/>
                      </v:shape>
                      <w10:anchorlock/>
                    </v:group>
                  </w:pict>
                </mc:Fallback>
              </mc:AlternateContent>
            </w:r>
          </w:p>
          <w:p w:rsidR="002C5025" w:rsidRDefault="002C5025">
            <w:pPr>
              <w:pStyle w:val="TableParagraph"/>
              <w:kinsoku w:val="0"/>
              <w:overflowPunct w:val="0"/>
              <w:ind w:left="206" w:right="999"/>
              <w:rPr>
                <w:rFonts w:ascii="Times New Roman" w:hAnsi="Times New Roman" w:cs="Times New Roman"/>
              </w:rPr>
            </w:pPr>
            <w:r>
              <w:rPr>
                <w:w w:val="105"/>
                <w:sz w:val="19"/>
                <w:szCs w:val="19"/>
              </w:rPr>
              <w:t>Reduced number of days of school or work missed</w:t>
            </w:r>
          </w:p>
        </w:tc>
      </w:tr>
      <w:tr w:rsidR="002C5025">
        <w:trPr>
          <w:trHeight w:hRule="exact" w:val="1282"/>
        </w:trPr>
        <w:tc>
          <w:tcPr>
            <w:tcW w:w="9643" w:type="dxa"/>
            <w:tcBorders>
              <w:top w:val="single" w:sz="2" w:space="0" w:color="000000"/>
              <w:left w:val="single" w:sz="2" w:space="0" w:color="000000"/>
              <w:bottom w:val="single" w:sz="2" w:space="0" w:color="000000"/>
              <w:right w:val="single" w:sz="2" w:space="0" w:color="000000"/>
            </w:tcBorders>
          </w:tcPr>
          <w:p w:rsidR="002C5025" w:rsidRDefault="002C5025">
            <w:pPr>
              <w:pStyle w:val="TableParagraph"/>
              <w:kinsoku w:val="0"/>
              <w:overflowPunct w:val="0"/>
              <w:spacing w:before="71" w:after="23" w:line="345" w:lineRule="auto"/>
              <w:ind w:left="170" w:right="4236" w:firstLine="36"/>
              <w:rPr>
                <w:w w:val="105"/>
                <w:sz w:val="19"/>
                <w:szCs w:val="19"/>
              </w:rPr>
            </w:pPr>
            <w:r>
              <w:rPr>
                <w:w w:val="105"/>
                <w:sz w:val="19"/>
                <w:szCs w:val="19"/>
              </w:rPr>
              <w:t>Improved quality of life as measured by standard scales Improved key health markers ( glucose levels, hemoglobin)</w:t>
            </w:r>
          </w:p>
          <w:p w:rsidR="002C5025" w:rsidRDefault="00FB027C">
            <w:pPr>
              <w:pStyle w:val="TableParagraph"/>
              <w:kinsoku w:val="0"/>
              <w:overflowPunct w:val="0"/>
              <w:spacing w:line="20" w:lineRule="exact"/>
              <w:ind w:left="66"/>
              <w:rPr>
                <w:sz w:val="2"/>
                <w:szCs w:val="2"/>
              </w:rPr>
            </w:pPr>
            <w:r>
              <w:rPr>
                <w:noProof/>
                <w:sz w:val="2"/>
                <w:szCs w:val="2"/>
              </w:rPr>
              <mc:AlternateContent>
                <mc:Choice Requires="wpg">
                  <w:drawing>
                    <wp:inline distT="0" distB="0" distL="0" distR="0">
                      <wp:extent cx="2738755" cy="12700"/>
                      <wp:effectExtent l="9525" t="9525" r="4445" b="0"/>
                      <wp:docPr id="92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38755" cy="12700"/>
                                <a:chOff x="0" y="0"/>
                                <a:chExt cx="4313" cy="20"/>
                              </a:xfrm>
                            </wpg:grpSpPr>
                            <wps:wsp>
                              <wps:cNvPr id="1027" name="Freeform 98"/>
                              <wps:cNvSpPr>
                                <a:spLocks/>
                              </wps:cNvSpPr>
                              <wps:spPr bwMode="auto">
                                <a:xfrm>
                                  <a:off x="4" y="4"/>
                                  <a:ext cx="4305" cy="20"/>
                                </a:xfrm>
                                <a:custGeom>
                                  <a:avLst/>
                                  <a:gdLst>
                                    <a:gd name="T0" fmla="*/ 0 w 4305"/>
                                    <a:gd name="T1" fmla="*/ 0 h 20"/>
                                    <a:gd name="T2" fmla="*/ 4305 w 4305"/>
                                    <a:gd name="T3" fmla="*/ 0 h 20"/>
                                  </a:gdLst>
                                  <a:ahLst/>
                                  <a:cxnLst>
                                    <a:cxn ang="0">
                                      <a:pos x="T0" y="T1"/>
                                    </a:cxn>
                                    <a:cxn ang="0">
                                      <a:pos x="T2" y="T3"/>
                                    </a:cxn>
                                  </a:cxnLst>
                                  <a:rect l="0" t="0" r="r" b="b"/>
                                  <a:pathLst>
                                    <a:path w="4305" h="20">
                                      <a:moveTo>
                                        <a:pt x="0" y="0"/>
                                      </a:moveTo>
                                      <a:lnTo>
                                        <a:pt x="4305"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97" o:spid="_x0000_s1026" style="width:215.65pt;height:1pt;mso-position-horizontal-relative:char;mso-position-vertical-relative:line" coordsize="43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">
                      <v:shape id="Freeform 98" o:spid="_x0000_s1027" style="position:absolute;left:4;top:4;width:4305;height:20;visibility:visible;mso-wrap-style:square;v-text-anchor:top" coordsize="43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dy68MA&#10;AADcAAAADwAAAGRycy9kb3ducmV2LnhtbERPy4rCMBTdC/MP4Q6401QXoh2jDIoiiPgYBd1dmztt&#10;tbmpTdT692YxMMvDeQ/HtSnEgyqXW1bQaUcgiBOrc04V7H9mrT4I55E1FpZJwYscjEcfjSHG2j55&#10;S4+dT0UIYRejgsz7MpbSJRkZdG1bEgfu11YGfYBVKnWFzxBuCtmNop40mHNoyLCkSUbJdXc3Cnqb&#10;w3q6OhzPS1fc+HLez09pNFeq+Vl/f4HwVPt/8Z97oRUMumFtOBOOgBy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1dy68MAAADcAAAADwAAAAAAAAAAAAAAAACYAgAAZHJzL2Rv&#10;d25yZXYueG1sUEsFBgAAAAAEAAQA9QAAAIgDAAAAAA==&#10;" path="m,l4305,e" filled="f" strokeweight=".36pt">
                        <v:path arrowok="t" o:connecttype="custom" o:connectlocs="0,0;4305,0" o:connectangles="0,0"/>
                      </v:shape>
                      <w10:anchorlock/>
                    </v:group>
                  </w:pict>
                </mc:Fallback>
              </mc:AlternateContent>
            </w:r>
          </w:p>
          <w:p w:rsidR="002C5025" w:rsidRDefault="002C5025">
            <w:pPr>
              <w:pStyle w:val="TableParagraph"/>
              <w:kinsoku w:val="0"/>
              <w:overflowPunct w:val="0"/>
              <w:spacing w:before="11"/>
              <w:ind w:left="0"/>
              <w:rPr>
                <w:b/>
                <w:bCs/>
                <w:sz w:val="23"/>
                <w:szCs w:val="23"/>
              </w:rPr>
            </w:pPr>
          </w:p>
          <w:p w:rsidR="002C5025" w:rsidRDefault="002C5025">
            <w:pPr>
              <w:pStyle w:val="TableParagraph"/>
              <w:kinsoku w:val="0"/>
              <w:overflowPunct w:val="0"/>
              <w:ind w:left="170" w:right="999"/>
              <w:rPr>
                <w:rFonts w:ascii="Times New Roman" w:hAnsi="Times New Roman" w:cs="Times New Roman"/>
              </w:rPr>
            </w:pPr>
            <w:r>
              <w:rPr>
                <w:rFonts w:ascii="Times New Roman" w:hAnsi="Times New Roman" w:cs="Times New Roman"/>
                <w:b/>
                <w:bCs/>
                <w:i/>
                <w:iCs/>
                <w:sz w:val="23"/>
                <w:szCs w:val="23"/>
              </w:rPr>
              <w:t>Reduced  Utilization and Costs</w:t>
            </w:r>
          </w:p>
        </w:tc>
      </w:tr>
      <w:tr w:rsidR="002C5025">
        <w:trPr>
          <w:trHeight w:hRule="exact" w:val="1418"/>
        </w:trPr>
        <w:tc>
          <w:tcPr>
            <w:tcW w:w="9643" w:type="dxa"/>
            <w:tcBorders>
              <w:top w:val="single" w:sz="2" w:space="0" w:color="000000"/>
              <w:left w:val="single" w:sz="2" w:space="0" w:color="000000"/>
              <w:bottom w:val="single" w:sz="2" w:space="0" w:color="000000"/>
              <w:right w:val="single" w:sz="2" w:space="0" w:color="000000"/>
            </w:tcBorders>
          </w:tcPr>
          <w:p w:rsidR="002C5025" w:rsidRDefault="002C5025">
            <w:pPr>
              <w:pStyle w:val="TableParagraph"/>
              <w:kinsoku w:val="0"/>
              <w:overflowPunct w:val="0"/>
              <w:ind w:left="0"/>
              <w:rPr>
                <w:b/>
                <w:bCs/>
                <w:sz w:val="18"/>
                <w:szCs w:val="18"/>
              </w:rPr>
            </w:pPr>
          </w:p>
          <w:p w:rsidR="002C5025" w:rsidRDefault="002C5025">
            <w:pPr>
              <w:pStyle w:val="TableParagraph"/>
              <w:kinsoku w:val="0"/>
              <w:overflowPunct w:val="0"/>
              <w:spacing w:before="10"/>
              <w:ind w:left="0"/>
              <w:rPr>
                <w:b/>
                <w:bCs/>
                <w:sz w:val="14"/>
                <w:szCs w:val="14"/>
              </w:rPr>
            </w:pPr>
          </w:p>
          <w:p w:rsidR="002C5025" w:rsidRDefault="002C5025">
            <w:pPr>
              <w:pStyle w:val="TableParagraph"/>
              <w:kinsoku w:val="0"/>
              <w:overflowPunct w:val="0"/>
              <w:spacing w:after="66" w:line="348" w:lineRule="auto"/>
              <w:ind w:left="191" w:right="999" w:firstLine="7"/>
              <w:rPr>
                <w:w w:val="105"/>
                <w:sz w:val="19"/>
                <w:szCs w:val="19"/>
              </w:rPr>
            </w:pPr>
            <w:r>
              <w:rPr>
                <w:w w:val="105"/>
                <w:sz w:val="19"/>
                <w:szCs w:val="19"/>
              </w:rPr>
              <w:t>Reduced average total number of emergency department visits (compared to baseline) Reduced average number of hospital admissions (compared to baseline)</w:t>
            </w:r>
          </w:p>
          <w:p w:rsidR="002C5025" w:rsidRDefault="00FB027C">
            <w:pPr>
              <w:pStyle w:val="TableParagraph"/>
              <w:kinsoku w:val="0"/>
              <w:overflowPunct w:val="0"/>
              <w:spacing w:line="20" w:lineRule="exact"/>
              <w:ind w:left="174"/>
              <w:rPr>
                <w:sz w:val="2"/>
                <w:szCs w:val="2"/>
              </w:rPr>
            </w:pPr>
            <w:r>
              <w:rPr>
                <w:noProof/>
                <w:sz w:val="2"/>
                <w:szCs w:val="2"/>
              </w:rPr>
              <mc:AlternateContent>
                <mc:Choice Requires="wpg">
                  <w:drawing>
                    <wp:inline distT="0" distB="0" distL="0" distR="0">
                      <wp:extent cx="2971800" cy="12700"/>
                      <wp:effectExtent l="9525" t="9525" r="9525" b="0"/>
                      <wp:docPr id="925"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1800" cy="12700"/>
                                <a:chOff x="0" y="0"/>
                                <a:chExt cx="4680" cy="20"/>
                              </a:xfrm>
                            </wpg:grpSpPr>
                            <wps:wsp>
                              <wps:cNvPr id="926" name="Freeform 100"/>
                              <wps:cNvSpPr>
                                <a:spLocks/>
                              </wps:cNvSpPr>
                              <wps:spPr bwMode="auto">
                                <a:xfrm>
                                  <a:off x="4" y="4"/>
                                  <a:ext cx="4672" cy="20"/>
                                </a:xfrm>
                                <a:custGeom>
                                  <a:avLst/>
                                  <a:gdLst>
                                    <a:gd name="T0" fmla="*/ 0 w 4672"/>
                                    <a:gd name="T1" fmla="*/ 0 h 20"/>
                                    <a:gd name="T2" fmla="*/ 4672 w 4672"/>
                                    <a:gd name="T3" fmla="*/ 0 h 20"/>
                                  </a:gdLst>
                                  <a:ahLst/>
                                  <a:cxnLst>
                                    <a:cxn ang="0">
                                      <a:pos x="T0" y="T1"/>
                                    </a:cxn>
                                    <a:cxn ang="0">
                                      <a:pos x="T2" y="T3"/>
                                    </a:cxn>
                                  </a:cxnLst>
                                  <a:rect l="0" t="0" r="r" b="b"/>
                                  <a:pathLst>
                                    <a:path w="4672" h="20">
                                      <a:moveTo>
                                        <a:pt x="0" y="0"/>
                                      </a:moveTo>
                                      <a:lnTo>
                                        <a:pt x="4672"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99" o:spid="_x0000_s1026" style="width:234pt;height:1pt;mso-position-horizontal-relative:char;mso-position-vertical-relative:line" coordsize="46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">
                      <v:shape id="Freeform 100" o:spid="_x0000_s1027" style="position:absolute;left:4;top:4;width:4672;height:20;visibility:visible;mso-wrap-style:square;v-text-anchor:top" coordsize="467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FuGsUA&#10;AADcAAAADwAAAGRycy9kb3ducmV2LnhtbESPT2vCQBTE7wW/w/IEb3WjiH+iq2iLpbdi9OLtkX0m&#10;wd23MbuJ6bfvFgo9DjPzG2az660RHTW+cqxgMk5AEOdOV1wouJyPr0sQPiBrNI5JwTd52G0HLxtM&#10;tXvyibosFCJC2KeooAyhTqX0eUkW/djVxNG7ucZiiLIppG7wGeHWyGmSzKXFiuNCiTW9lZTfs9Yq&#10;aGk/O3ycs/fi6r8W3aw1+WNhlBoN+/0aRKA+/If/2p9awWo6h98z8QjI7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YW4axQAAANwAAAAPAAAAAAAAAAAAAAAAAJgCAABkcnMv&#10;ZG93bnJldi54bWxQSwUGAAAAAAQABAD1AAAAigMAAAAA&#10;" path="m,l4672,e" filled="f" strokeweight=".36pt">
                        <v:path arrowok="t" o:connecttype="custom" o:connectlocs="0,0;4672,0" o:connectangles="0,0"/>
                      </v:shape>
                      <w10:anchorlock/>
                    </v:group>
                  </w:pict>
                </mc:Fallback>
              </mc:AlternateContent>
            </w:r>
          </w:p>
          <w:p w:rsidR="002C5025" w:rsidRDefault="002C5025">
            <w:pPr>
              <w:pStyle w:val="TableParagraph"/>
              <w:kinsoku w:val="0"/>
              <w:overflowPunct w:val="0"/>
              <w:ind w:left="191" w:right="999"/>
              <w:rPr>
                <w:rFonts w:ascii="Times New Roman" w:hAnsi="Times New Roman" w:cs="Times New Roman"/>
              </w:rPr>
            </w:pPr>
            <w:r>
              <w:rPr>
                <w:w w:val="105"/>
                <w:sz w:val="19"/>
                <w:szCs w:val="19"/>
              </w:rPr>
              <w:t>Reduced average total number of inpatient days (compared to baseline)</w:t>
            </w:r>
          </w:p>
        </w:tc>
      </w:tr>
      <w:tr w:rsidR="002C5025">
        <w:trPr>
          <w:trHeight w:hRule="exact" w:val="396"/>
        </w:trPr>
        <w:tc>
          <w:tcPr>
            <w:tcW w:w="9643" w:type="dxa"/>
            <w:tcBorders>
              <w:top w:val="single" w:sz="2" w:space="0" w:color="000000"/>
              <w:left w:val="single" w:sz="2" w:space="0" w:color="000000"/>
              <w:bottom w:val="single" w:sz="2" w:space="0" w:color="000000"/>
              <w:right w:val="single" w:sz="2" w:space="0" w:color="000000"/>
            </w:tcBorders>
          </w:tcPr>
          <w:p w:rsidR="002C5025" w:rsidRDefault="002C5025">
            <w:pPr>
              <w:pStyle w:val="TableParagraph"/>
              <w:kinsoku w:val="0"/>
              <w:overflowPunct w:val="0"/>
              <w:spacing w:before="71"/>
              <w:ind w:left="191" w:right="999"/>
              <w:rPr>
                <w:rFonts w:ascii="Times New Roman" w:hAnsi="Times New Roman" w:cs="Times New Roman"/>
              </w:rPr>
            </w:pPr>
            <w:r>
              <w:rPr>
                <w:w w:val="105"/>
                <w:sz w:val="19"/>
                <w:szCs w:val="19"/>
              </w:rPr>
              <w:t>Reduced readmissions for targeted conditions (compared to baseline)</w:t>
            </w:r>
          </w:p>
        </w:tc>
      </w:tr>
      <w:tr w:rsidR="002C5025">
        <w:trPr>
          <w:trHeight w:hRule="exact" w:val="713"/>
        </w:trPr>
        <w:tc>
          <w:tcPr>
            <w:tcW w:w="9643" w:type="dxa"/>
            <w:tcBorders>
              <w:top w:val="single" w:sz="2" w:space="0" w:color="000000"/>
              <w:left w:val="single" w:sz="2" w:space="0" w:color="000000"/>
              <w:bottom w:val="single" w:sz="2" w:space="0" w:color="000000"/>
              <w:right w:val="single" w:sz="2" w:space="0" w:color="000000"/>
            </w:tcBorders>
          </w:tcPr>
          <w:p w:rsidR="002C5025" w:rsidRDefault="002C5025">
            <w:pPr>
              <w:pStyle w:val="TableParagraph"/>
              <w:kinsoku w:val="0"/>
              <w:overflowPunct w:val="0"/>
              <w:spacing w:before="71" w:line="386" w:lineRule="auto"/>
              <w:ind w:left="177" w:right="4455" w:firstLine="14"/>
              <w:rPr>
                <w:rFonts w:ascii="Times New Roman" w:hAnsi="Times New Roman" w:cs="Times New Roman"/>
              </w:rPr>
            </w:pPr>
            <w:r>
              <w:rPr>
                <w:sz w:val="19"/>
                <w:szCs w:val="19"/>
              </w:rPr>
              <w:t>Reduced average hospital charges (compared to baseline) Overall Medicaid cost savings  (compared to  baseline)</w:t>
            </w:r>
          </w:p>
        </w:tc>
      </w:tr>
      <w:tr w:rsidR="002C5025">
        <w:trPr>
          <w:trHeight w:hRule="exact" w:val="420"/>
        </w:trPr>
        <w:tc>
          <w:tcPr>
            <w:tcW w:w="9643" w:type="dxa"/>
            <w:tcBorders>
              <w:top w:val="single" w:sz="2" w:space="0" w:color="000000"/>
              <w:left w:val="single" w:sz="2" w:space="0" w:color="000000"/>
              <w:bottom w:val="single" w:sz="2" w:space="0" w:color="000000"/>
              <w:right w:val="single" w:sz="2" w:space="0" w:color="000000"/>
            </w:tcBorders>
          </w:tcPr>
          <w:p w:rsidR="002C5025" w:rsidRDefault="002C5025">
            <w:pPr>
              <w:pStyle w:val="TableParagraph"/>
              <w:kinsoku w:val="0"/>
              <w:overflowPunct w:val="0"/>
              <w:spacing w:before="64"/>
              <w:ind w:left="177" w:right="999"/>
              <w:rPr>
                <w:rFonts w:ascii="Times New Roman" w:hAnsi="Times New Roman" w:cs="Times New Roman"/>
              </w:rPr>
            </w:pPr>
            <w:r>
              <w:rPr>
                <w:sz w:val="19"/>
                <w:szCs w:val="19"/>
              </w:rPr>
              <w:t>Overall positive  ROI</w:t>
            </w:r>
          </w:p>
        </w:tc>
      </w:tr>
    </w:tbl>
    <w:p w:rsidR="002C5025" w:rsidRDefault="002C5025">
      <w:pPr>
        <w:pStyle w:val="BodyText"/>
        <w:kinsoku w:val="0"/>
        <w:overflowPunct w:val="0"/>
        <w:rPr>
          <w:rFonts w:ascii="Arial" w:hAnsi="Arial" w:cs="Arial"/>
          <w:b/>
          <w:bCs/>
          <w:sz w:val="20"/>
          <w:szCs w:val="20"/>
        </w:rPr>
      </w:pPr>
    </w:p>
    <w:p w:rsidR="002C5025" w:rsidRDefault="002C5025">
      <w:pPr>
        <w:pStyle w:val="BodyText"/>
        <w:kinsoku w:val="0"/>
        <w:overflowPunct w:val="0"/>
        <w:spacing w:before="9"/>
        <w:rPr>
          <w:rFonts w:ascii="Arial" w:hAnsi="Arial" w:cs="Arial"/>
          <w:b/>
          <w:bCs/>
          <w:sz w:val="26"/>
          <w:szCs w:val="26"/>
        </w:rPr>
      </w:pPr>
    </w:p>
    <w:p w:rsidR="002C5025" w:rsidRDefault="00FB027C">
      <w:pPr>
        <w:pStyle w:val="BodyText"/>
        <w:kinsoku w:val="0"/>
        <w:overflowPunct w:val="0"/>
        <w:spacing w:before="76"/>
        <w:ind w:left="305" w:right="310"/>
        <w:rPr>
          <w:rFonts w:ascii="Arial" w:hAnsi="Arial" w:cs="Arial"/>
          <w:sz w:val="19"/>
          <w:szCs w:val="19"/>
        </w:rPr>
      </w:pPr>
      <w:r>
        <w:rPr>
          <w:noProof/>
        </w:rPr>
        <mc:AlternateContent>
          <mc:Choice Requires="wps">
            <w:drawing>
              <wp:anchor distT="0" distB="0" distL="114300" distR="114300" simplePos="0" relativeHeight="251488768" behindDoc="1" locked="0" layoutInCell="0" allowOverlap="1">
                <wp:simplePos x="0" y="0"/>
                <wp:positionH relativeFrom="page">
                  <wp:posOffset>930910</wp:posOffset>
                </wp:positionH>
                <wp:positionV relativeFrom="paragraph">
                  <wp:posOffset>-802640</wp:posOffset>
                </wp:positionV>
                <wp:extent cx="2926080" cy="12700"/>
                <wp:effectExtent l="0" t="0" r="0" b="0"/>
                <wp:wrapNone/>
                <wp:docPr id="924" name="Freeform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6080" cy="12700"/>
                        </a:xfrm>
                        <a:custGeom>
                          <a:avLst/>
                          <a:gdLst>
                            <a:gd name="T0" fmla="*/ 0 w 4608"/>
                            <a:gd name="T1" fmla="*/ 0 h 20"/>
                            <a:gd name="T2" fmla="*/ 4608 w 4608"/>
                            <a:gd name="T3" fmla="*/ 0 h 20"/>
                          </a:gdLst>
                          <a:ahLst/>
                          <a:cxnLst>
                            <a:cxn ang="0">
                              <a:pos x="T0" y="T1"/>
                            </a:cxn>
                            <a:cxn ang="0">
                              <a:pos x="T2" y="T3"/>
                            </a:cxn>
                          </a:cxnLst>
                          <a:rect l="0" t="0" r="r" b="b"/>
                          <a:pathLst>
                            <a:path w="4608" h="20">
                              <a:moveTo>
                                <a:pt x="0" y="0"/>
                              </a:moveTo>
                              <a:lnTo>
                                <a:pt x="4608"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01" o:spid="_x0000_s1026" style="position:absolute;z-index:-251827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73.3pt,-63.2pt,303.7pt,-63.2pt" coordsize="46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" o:allowincell="f" filled="f" strokeweight=".36pt">
                <v:path arrowok="t" o:connecttype="custom" o:connectlocs="0,0;2926080,0" o:connectangles="0,0"/>
                <w10:wrap anchorx="page"/>
              </v:polyline>
            </w:pict>
          </mc:Fallback>
        </mc:AlternateContent>
      </w:r>
      <w:r w:rsidR="002C5025">
        <w:rPr>
          <w:rFonts w:ascii="Arial" w:hAnsi="Arial" w:cs="Arial"/>
          <w:sz w:val="19"/>
          <w:szCs w:val="19"/>
        </w:rPr>
        <w:t>7 1 P a g e</w:t>
      </w:r>
    </w:p>
    <w:p w:rsidR="002C5025" w:rsidRDefault="002C5025">
      <w:pPr>
        <w:pStyle w:val="BodyText"/>
        <w:kinsoku w:val="0"/>
        <w:overflowPunct w:val="0"/>
        <w:spacing w:before="76"/>
        <w:ind w:left="305" w:right="310"/>
        <w:rPr>
          <w:rFonts w:ascii="Arial" w:hAnsi="Arial" w:cs="Arial"/>
          <w:sz w:val="19"/>
          <w:szCs w:val="19"/>
        </w:rPr>
        <w:sectPr w:rsidR="002C5025">
          <w:pgSz w:w="12240" w:h="15840"/>
          <w:pgMar w:top="1460" w:right="1240" w:bottom="280" w:left="1120" w:header="720" w:footer="720" w:gutter="0"/>
          <w:cols w:space="720" w:equalWidth="0">
            <w:col w:w="9880"/>
          </w:cols>
          <w:noEndnote/>
        </w:sectPr>
      </w:pPr>
    </w:p>
    <w:p w:rsidR="002C5025" w:rsidRDefault="002C5025">
      <w:pPr>
        <w:pStyle w:val="BodyText"/>
        <w:kinsoku w:val="0"/>
        <w:overflowPunct w:val="0"/>
        <w:spacing w:before="55"/>
        <w:ind w:left="323" w:right="990"/>
        <w:rPr>
          <w:rFonts w:ascii="Arial" w:hAnsi="Arial" w:cs="Arial"/>
          <w:b/>
          <w:bCs/>
          <w:w w:val="95"/>
          <w:sz w:val="20"/>
          <w:szCs w:val="20"/>
        </w:rPr>
      </w:pPr>
      <w:r>
        <w:rPr>
          <w:rFonts w:ascii="Arial" w:hAnsi="Arial" w:cs="Arial"/>
          <w:b/>
          <w:bCs/>
          <w:w w:val="95"/>
          <w:sz w:val="20"/>
          <w:szCs w:val="20"/>
        </w:rPr>
        <w:lastRenderedPageBreak/>
        <w:t>Table 2: SELECTED SOCIAL SERVICE INTERVENTIONS THROUGH SDOH HUB</w:t>
      </w:r>
    </w:p>
    <w:p w:rsidR="002C5025" w:rsidRDefault="002C5025">
      <w:pPr>
        <w:pStyle w:val="BodyText"/>
        <w:kinsoku w:val="0"/>
        <w:overflowPunct w:val="0"/>
        <w:rPr>
          <w:rFonts w:ascii="Arial" w:hAnsi="Arial" w:cs="Arial"/>
          <w:b/>
          <w:bCs/>
          <w:sz w:val="20"/>
          <w:szCs w:val="20"/>
        </w:rPr>
      </w:pPr>
    </w:p>
    <w:p w:rsidR="002C5025" w:rsidRDefault="002C5025">
      <w:pPr>
        <w:pStyle w:val="BodyText"/>
        <w:kinsoku w:val="0"/>
        <w:overflowPunct w:val="0"/>
        <w:rPr>
          <w:rFonts w:ascii="Arial" w:hAnsi="Arial" w:cs="Arial"/>
          <w:b/>
          <w:bCs/>
          <w:sz w:val="20"/>
          <w:szCs w:val="20"/>
        </w:rPr>
      </w:pPr>
    </w:p>
    <w:p w:rsidR="002C5025" w:rsidRDefault="002C5025">
      <w:pPr>
        <w:pStyle w:val="BodyText"/>
        <w:kinsoku w:val="0"/>
        <w:overflowPunct w:val="0"/>
        <w:spacing w:before="11"/>
        <w:rPr>
          <w:rFonts w:ascii="Arial" w:hAnsi="Arial" w:cs="Arial"/>
          <w:b/>
          <w:bCs/>
          <w:sz w:val="25"/>
          <w:szCs w:val="25"/>
        </w:rPr>
      </w:pPr>
    </w:p>
    <w:p w:rsidR="002C5025" w:rsidRDefault="00FB027C">
      <w:pPr>
        <w:pStyle w:val="BodyText"/>
        <w:tabs>
          <w:tab w:val="left" w:pos="6097"/>
        </w:tabs>
        <w:kinsoku w:val="0"/>
        <w:overflowPunct w:val="0"/>
        <w:spacing w:line="280" w:lineRule="auto"/>
        <w:ind w:left="6090" w:right="990" w:hanging="5760"/>
        <w:rPr>
          <w:rFonts w:ascii="Arial" w:hAnsi="Arial" w:cs="Arial"/>
          <w:b/>
          <w:bCs/>
          <w:w w:val="90"/>
          <w:sz w:val="20"/>
          <w:szCs w:val="20"/>
        </w:rPr>
      </w:pPr>
      <w:r>
        <w:rPr>
          <w:noProof/>
        </w:rPr>
        <mc:AlternateContent>
          <mc:Choice Requires="wpg">
            <w:drawing>
              <wp:anchor distT="0" distB="0" distL="114300" distR="114300" simplePos="0" relativeHeight="251489792" behindDoc="1" locked="0" layoutInCell="0" allowOverlap="1">
                <wp:simplePos x="0" y="0"/>
                <wp:positionH relativeFrom="page">
                  <wp:posOffset>765175</wp:posOffset>
                </wp:positionH>
                <wp:positionV relativeFrom="paragraph">
                  <wp:posOffset>-215900</wp:posOffset>
                </wp:positionV>
                <wp:extent cx="6117590" cy="7525385"/>
                <wp:effectExtent l="0" t="0" r="0" b="0"/>
                <wp:wrapNone/>
                <wp:docPr id="91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7590" cy="7525385"/>
                          <a:chOff x="1205" y="-340"/>
                          <a:chExt cx="9634" cy="11851"/>
                        </a:xfrm>
                      </wpg:grpSpPr>
                      <wps:wsp>
                        <wps:cNvPr id="913" name="Freeform 103"/>
                        <wps:cNvSpPr>
                          <a:spLocks/>
                        </wps:cNvSpPr>
                        <wps:spPr bwMode="auto">
                          <a:xfrm>
                            <a:off x="1209" y="-336"/>
                            <a:ext cx="9626" cy="20"/>
                          </a:xfrm>
                          <a:custGeom>
                            <a:avLst/>
                            <a:gdLst>
                              <a:gd name="T0" fmla="*/ 0 w 9626"/>
                              <a:gd name="T1" fmla="*/ 0 h 20"/>
                              <a:gd name="T2" fmla="*/ 9626 w 9626"/>
                              <a:gd name="T3" fmla="*/ 0 h 20"/>
                            </a:gdLst>
                            <a:ahLst/>
                            <a:cxnLst>
                              <a:cxn ang="0">
                                <a:pos x="T0" y="T1"/>
                              </a:cxn>
                              <a:cxn ang="0">
                                <a:pos x="T2" y="T3"/>
                              </a:cxn>
                            </a:cxnLst>
                            <a:rect l="0" t="0" r="r" b="b"/>
                            <a:pathLst>
                              <a:path w="9626" h="20">
                                <a:moveTo>
                                  <a:pt x="0" y="0"/>
                                </a:moveTo>
                                <a:lnTo>
                                  <a:pt x="9626"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4" name="Freeform 104"/>
                        <wps:cNvSpPr>
                          <a:spLocks/>
                        </wps:cNvSpPr>
                        <wps:spPr bwMode="auto">
                          <a:xfrm>
                            <a:off x="1209" y="-336"/>
                            <a:ext cx="20" cy="11843"/>
                          </a:xfrm>
                          <a:custGeom>
                            <a:avLst/>
                            <a:gdLst>
                              <a:gd name="T0" fmla="*/ 0 w 20"/>
                              <a:gd name="T1" fmla="*/ 11844 h 11843"/>
                              <a:gd name="T2" fmla="*/ 0 w 20"/>
                              <a:gd name="T3" fmla="*/ 0 h 11843"/>
                            </a:gdLst>
                            <a:ahLst/>
                            <a:cxnLst>
                              <a:cxn ang="0">
                                <a:pos x="T0" y="T1"/>
                              </a:cxn>
                              <a:cxn ang="0">
                                <a:pos x="T2" y="T3"/>
                              </a:cxn>
                            </a:cxnLst>
                            <a:rect l="0" t="0" r="r" b="b"/>
                            <a:pathLst>
                              <a:path w="20" h="11843">
                                <a:moveTo>
                                  <a:pt x="0" y="11844"/>
                                </a:moveTo>
                                <a:lnTo>
                                  <a:pt x="0"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5" name="Freeform 105"/>
                        <wps:cNvSpPr>
                          <a:spLocks/>
                        </wps:cNvSpPr>
                        <wps:spPr bwMode="auto">
                          <a:xfrm>
                            <a:off x="7085" y="-293"/>
                            <a:ext cx="20" cy="1101"/>
                          </a:xfrm>
                          <a:custGeom>
                            <a:avLst/>
                            <a:gdLst>
                              <a:gd name="T0" fmla="*/ 0 w 20"/>
                              <a:gd name="T1" fmla="*/ 1102 h 1101"/>
                              <a:gd name="T2" fmla="*/ 0 w 20"/>
                              <a:gd name="T3" fmla="*/ 0 h 1101"/>
                            </a:gdLst>
                            <a:ahLst/>
                            <a:cxnLst>
                              <a:cxn ang="0">
                                <a:pos x="T0" y="T1"/>
                              </a:cxn>
                              <a:cxn ang="0">
                                <a:pos x="T2" y="T3"/>
                              </a:cxn>
                            </a:cxnLst>
                            <a:rect l="0" t="0" r="r" b="b"/>
                            <a:pathLst>
                              <a:path w="20" h="1101">
                                <a:moveTo>
                                  <a:pt x="0" y="1102"/>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6" name="Freeform 106"/>
                        <wps:cNvSpPr>
                          <a:spLocks/>
                        </wps:cNvSpPr>
                        <wps:spPr bwMode="auto">
                          <a:xfrm>
                            <a:off x="10795" y="-271"/>
                            <a:ext cx="20" cy="294"/>
                          </a:xfrm>
                          <a:custGeom>
                            <a:avLst/>
                            <a:gdLst>
                              <a:gd name="T0" fmla="*/ 0 w 20"/>
                              <a:gd name="T1" fmla="*/ 295 h 294"/>
                              <a:gd name="T2" fmla="*/ 0 w 20"/>
                              <a:gd name="T3" fmla="*/ 0 h 294"/>
                            </a:gdLst>
                            <a:ahLst/>
                            <a:cxnLst>
                              <a:cxn ang="0">
                                <a:pos x="T0" y="T1"/>
                              </a:cxn>
                              <a:cxn ang="0">
                                <a:pos x="T2" y="T3"/>
                              </a:cxn>
                            </a:cxnLst>
                            <a:rect l="0" t="0" r="r" b="b"/>
                            <a:pathLst>
                              <a:path w="20" h="294">
                                <a:moveTo>
                                  <a:pt x="0" y="295"/>
                                </a:moveTo>
                                <a:lnTo>
                                  <a:pt x="0"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7" name="Freeform 107"/>
                        <wps:cNvSpPr>
                          <a:spLocks/>
                        </wps:cNvSpPr>
                        <wps:spPr bwMode="auto">
                          <a:xfrm>
                            <a:off x="10828" y="253"/>
                            <a:ext cx="20" cy="11254"/>
                          </a:xfrm>
                          <a:custGeom>
                            <a:avLst/>
                            <a:gdLst>
                              <a:gd name="T0" fmla="*/ 0 w 20"/>
                              <a:gd name="T1" fmla="*/ 11254 h 11254"/>
                              <a:gd name="T2" fmla="*/ 0 w 20"/>
                              <a:gd name="T3" fmla="*/ 0 h 11254"/>
                            </a:gdLst>
                            <a:ahLst/>
                            <a:cxnLst>
                              <a:cxn ang="0">
                                <a:pos x="T0" y="T1"/>
                              </a:cxn>
                              <a:cxn ang="0">
                                <a:pos x="T2" y="T3"/>
                              </a:cxn>
                            </a:cxnLst>
                            <a:rect l="0" t="0" r="r" b="b"/>
                            <a:pathLst>
                              <a:path w="20" h="11254">
                                <a:moveTo>
                                  <a:pt x="0" y="11254"/>
                                </a:moveTo>
                                <a:lnTo>
                                  <a:pt x="0"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8" name="Freeform 108"/>
                        <wps:cNvSpPr>
                          <a:spLocks/>
                        </wps:cNvSpPr>
                        <wps:spPr bwMode="auto">
                          <a:xfrm>
                            <a:off x="1288" y="797"/>
                            <a:ext cx="9230" cy="20"/>
                          </a:xfrm>
                          <a:custGeom>
                            <a:avLst/>
                            <a:gdLst>
                              <a:gd name="T0" fmla="*/ 0 w 9230"/>
                              <a:gd name="T1" fmla="*/ 0 h 20"/>
                              <a:gd name="T2" fmla="*/ 9230 w 9230"/>
                              <a:gd name="T3" fmla="*/ 0 h 20"/>
                            </a:gdLst>
                            <a:ahLst/>
                            <a:cxnLst>
                              <a:cxn ang="0">
                                <a:pos x="T0" y="T1"/>
                              </a:cxn>
                              <a:cxn ang="0">
                                <a:pos x="T2" y="T3"/>
                              </a:cxn>
                            </a:cxnLst>
                            <a:rect l="0" t="0" r="r" b="b"/>
                            <a:pathLst>
                              <a:path w="9230" h="20">
                                <a:moveTo>
                                  <a:pt x="0" y="0"/>
                                </a:moveTo>
                                <a:lnTo>
                                  <a:pt x="9230"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9" name="Freeform 109"/>
                        <wps:cNvSpPr>
                          <a:spLocks/>
                        </wps:cNvSpPr>
                        <wps:spPr bwMode="auto">
                          <a:xfrm>
                            <a:off x="1288" y="1315"/>
                            <a:ext cx="9461" cy="20"/>
                          </a:xfrm>
                          <a:custGeom>
                            <a:avLst/>
                            <a:gdLst>
                              <a:gd name="T0" fmla="*/ 0 w 9461"/>
                              <a:gd name="T1" fmla="*/ 0 h 20"/>
                              <a:gd name="T2" fmla="*/ 9461 w 9461"/>
                              <a:gd name="T3" fmla="*/ 0 h 20"/>
                            </a:gdLst>
                            <a:ahLst/>
                            <a:cxnLst>
                              <a:cxn ang="0">
                                <a:pos x="T0" y="T1"/>
                              </a:cxn>
                              <a:cxn ang="0">
                                <a:pos x="T2" y="T3"/>
                              </a:cxn>
                            </a:cxnLst>
                            <a:rect l="0" t="0" r="r" b="b"/>
                            <a:pathLst>
                              <a:path w="9461" h="20">
                                <a:moveTo>
                                  <a:pt x="0" y="0"/>
                                </a:moveTo>
                                <a:lnTo>
                                  <a:pt x="9461"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0" name="Freeform 110"/>
                        <wps:cNvSpPr>
                          <a:spLocks/>
                        </wps:cNvSpPr>
                        <wps:spPr bwMode="auto">
                          <a:xfrm>
                            <a:off x="7088" y="1312"/>
                            <a:ext cx="20" cy="10145"/>
                          </a:xfrm>
                          <a:custGeom>
                            <a:avLst/>
                            <a:gdLst>
                              <a:gd name="T0" fmla="*/ 0 w 20"/>
                              <a:gd name="T1" fmla="*/ 10145 h 10145"/>
                              <a:gd name="T2" fmla="*/ 0 w 20"/>
                              <a:gd name="T3" fmla="*/ 0 h 10145"/>
                            </a:gdLst>
                            <a:ahLst/>
                            <a:cxnLst>
                              <a:cxn ang="0">
                                <a:pos x="T0" y="T1"/>
                              </a:cxn>
                              <a:cxn ang="0">
                                <a:pos x="T2" y="T3"/>
                              </a:cxn>
                            </a:cxnLst>
                            <a:rect l="0" t="0" r="r" b="b"/>
                            <a:pathLst>
                              <a:path w="20" h="10145">
                                <a:moveTo>
                                  <a:pt x="0" y="10145"/>
                                </a:moveTo>
                                <a:lnTo>
                                  <a:pt x="0"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1" name="Freeform 111"/>
                        <wps:cNvSpPr>
                          <a:spLocks/>
                        </wps:cNvSpPr>
                        <wps:spPr bwMode="auto">
                          <a:xfrm>
                            <a:off x="1266" y="5538"/>
                            <a:ext cx="9497" cy="20"/>
                          </a:xfrm>
                          <a:custGeom>
                            <a:avLst/>
                            <a:gdLst>
                              <a:gd name="T0" fmla="*/ 0 w 9497"/>
                              <a:gd name="T1" fmla="*/ 0 h 20"/>
                              <a:gd name="T2" fmla="*/ 9497 w 9497"/>
                              <a:gd name="T3" fmla="*/ 0 h 20"/>
                            </a:gdLst>
                            <a:ahLst/>
                            <a:cxnLst>
                              <a:cxn ang="0">
                                <a:pos x="T0" y="T1"/>
                              </a:cxn>
                              <a:cxn ang="0">
                                <a:pos x="T2" y="T3"/>
                              </a:cxn>
                            </a:cxnLst>
                            <a:rect l="0" t="0" r="r" b="b"/>
                            <a:pathLst>
                              <a:path w="9497" h="20">
                                <a:moveTo>
                                  <a:pt x="0" y="0"/>
                                </a:moveTo>
                                <a:lnTo>
                                  <a:pt x="9497"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2" name="Freeform 112"/>
                        <wps:cNvSpPr>
                          <a:spLocks/>
                        </wps:cNvSpPr>
                        <wps:spPr bwMode="auto">
                          <a:xfrm>
                            <a:off x="1259" y="8490"/>
                            <a:ext cx="9000" cy="20"/>
                          </a:xfrm>
                          <a:custGeom>
                            <a:avLst/>
                            <a:gdLst>
                              <a:gd name="T0" fmla="*/ 0 w 9000"/>
                              <a:gd name="T1" fmla="*/ 0 h 20"/>
                              <a:gd name="T2" fmla="*/ 9000 w 9000"/>
                              <a:gd name="T3" fmla="*/ 0 h 20"/>
                            </a:gdLst>
                            <a:ahLst/>
                            <a:cxnLst>
                              <a:cxn ang="0">
                                <a:pos x="T0" y="T1"/>
                              </a:cxn>
                              <a:cxn ang="0">
                                <a:pos x="T2" y="T3"/>
                              </a:cxn>
                            </a:cxnLst>
                            <a:rect l="0" t="0" r="r" b="b"/>
                            <a:pathLst>
                              <a:path w="9000" h="20">
                                <a:moveTo>
                                  <a:pt x="0" y="0"/>
                                </a:moveTo>
                                <a:lnTo>
                                  <a:pt x="900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3" name="Freeform 113"/>
                        <wps:cNvSpPr>
                          <a:spLocks/>
                        </wps:cNvSpPr>
                        <wps:spPr bwMode="auto">
                          <a:xfrm>
                            <a:off x="1209" y="11500"/>
                            <a:ext cx="9626" cy="20"/>
                          </a:xfrm>
                          <a:custGeom>
                            <a:avLst/>
                            <a:gdLst>
                              <a:gd name="T0" fmla="*/ 0 w 9626"/>
                              <a:gd name="T1" fmla="*/ 0 h 20"/>
                              <a:gd name="T2" fmla="*/ 9626 w 9626"/>
                              <a:gd name="T3" fmla="*/ 0 h 20"/>
                            </a:gdLst>
                            <a:ahLst/>
                            <a:cxnLst>
                              <a:cxn ang="0">
                                <a:pos x="T0" y="T1"/>
                              </a:cxn>
                              <a:cxn ang="0">
                                <a:pos x="T2" y="T3"/>
                              </a:cxn>
                            </a:cxnLst>
                            <a:rect l="0" t="0" r="r" b="b"/>
                            <a:pathLst>
                              <a:path w="9626" h="20">
                                <a:moveTo>
                                  <a:pt x="0" y="0"/>
                                </a:moveTo>
                                <a:lnTo>
                                  <a:pt x="9626"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2" o:spid="_x0000_s1026" style="position:absolute;margin-left:60.25pt;margin-top:-17pt;width:481.7pt;height:592.55pt;z-index:-251826688;mso-position-horizontal-relative:page" coordorigin="1205,-340" coordsize="9634,11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" o:allowincell="f">
                <v:shape id="Freeform 103" o:spid="_x0000_s1027" style="position:absolute;left:1209;top:-336;width:9626;height:20;visibility:visible;mso-wrap-style:square;v-text-anchor:top" coordsize="962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kVccA&#10;AADcAAAADwAAAGRycy9kb3ducmV2LnhtbESPQWvCQBSE74L/YXlCb7qx1Rqjq7QVwYtQtRWPj+wz&#10;SZt9m2ZXjf76rlDocZiZb5jpvDGlOFPtCssK+r0IBHFqdcGZgo/dshuDcB5ZY2mZFFzJwXzWbk0x&#10;0fbCGzpvfSYChF2CCnLvq0RKl+Zk0PVsRRy8o60N+iDrTOoaLwFuSvkYRc/SYMFhIceK3nJKv7cn&#10;o+B2eB9tisV6vP8ZxDp+XS+Gn7cvpR46zcsEhKfG/4f/2iutYNx/gvuZcATk7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3P5FXHAAAA3AAAAA8AAAAAAAAAAAAAAAAAmAIAAGRy&#10;cy9kb3ducmV2LnhtbFBLBQYAAAAABAAEAPUAAACMAwAAAAA=&#10;" path="m,l9626,e" filled="f" strokeweight=".36pt">
                  <v:path arrowok="t" o:connecttype="custom" o:connectlocs="0,0;9626,0" o:connectangles="0,0"/>
                </v:shape>
                <v:shape id="Freeform 104" o:spid="_x0000_s1028" style="position:absolute;left:1209;top:-336;width:20;height:11843;visibility:visible;mso-wrap-style:square;v-text-anchor:top" coordsize="20,118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FZJMcA&#10;AADcAAAADwAAAGRycy9kb3ducmV2LnhtbESPT2vCQBTE70K/w/IKvQTd+Aet0VVKobUnISqF3B7Z&#10;ZxKbfZtmtyZ++65Q6HGYmd8w621vanGl1lWWFYxHMQji3OqKCwWn49vwGYTzyBpry6TgRg62m4fB&#10;GhNtO07pevCFCBB2CSoovW8SKV1ekkE3sg1x8M62NeiDbAupW+wC3NRyEsdzabDisFBiQ68l5V+H&#10;H6MAd1G/j5pplX1+p5fJe5rpxTxT6umxf1mB8NT7//Bf+0MrWI5ncD8TjoD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vRWSTHAAAA3AAAAA8AAAAAAAAAAAAAAAAAmAIAAGRy&#10;cy9kb3ducmV2LnhtbFBLBQYAAAAABAAEAPUAAACMAwAAAAA=&#10;" path="m,11844l,e" filled="f" strokeweight=".36pt">
                  <v:path arrowok="t" o:connecttype="custom" o:connectlocs="0,11844;0,0" o:connectangles="0,0"/>
                </v:shape>
                <v:shape id="Freeform 105" o:spid="_x0000_s1029" style="position:absolute;left:7085;top:-293;width:20;height:1101;visibility:visible;mso-wrap-style:square;v-text-anchor:top" coordsize="20,1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xwucYA&#10;AADcAAAADwAAAGRycy9kb3ducmV2LnhtbESPW2vCQBSE3wv+h+UIfZG6sRAvMatIL9BAKWjV50P2&#10;5ILZsyG7Nem/7wpCH4eZ+YZJt4NpxJU6V1tWMJtGIIhzq2suFRy/35+WIJxH1thYJgW/5GC7GT2k&#10;mGjb856uB1+KAGGXoILK+zaR0uUVGXRT2xIHr7CdQR9kV0rdYR/gppHPUTSXBmsOCxW29FJRfjn8&#10;GAXZZyHPizqWGX2dTm9ZP3mNl6TU43jYrUF4Gvx/+N7+0ApWsxhuZ8IRkJ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8xwucYAAADcAAAADwAAAAAAAAAAAAAAAACYAgAAZHJz&#10;L2Rvd25yZXYueG1sUEsFBgAAAAAEAAQA9QAAAIsDAAAAAA==&#10;" path="m,1102l,e" filled="f" strokeweight=".72pt">
                  <v:path arrowok="t" o:connecttype="custom" o:connectlocs="0,1102;0,0" o:connectangles="0,0"/>
                </v:shape>
                <v:shape id="Freeform 106" o:spid="_x0000_s1030" style="position:absolute;left:10795;top:-271;width:20;height:294;visibility:visible;mso-wrap-style:square;v-text-anchor:top" coordsize="20,2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aY6cQA&#10;AADcAAAADwAAAGRycy9kb3ducmV2LnhtbESPT4vCMBTE7wv7HcJb8LJo6h9Ea1MRQfDiYVth2duj&#10;ebbF5qU2Ueu3N8KCx2FmfsMk69404kadqy0rGI8iEMSF1TWXCo75brgA4TyyxsYyKXiQg3X6+ZFg&#10;rO2df+iW+VIECLsYFVTet7GUrqjIoBvZljh4J9sZ9EF2pdQd3gPcNHISRXNpsOawUGFL24qKc3Y1&#10;Cr4PnO+3k76ZTTn7swVPDxf7q9Tgq9+sQHjq/Tv8395rBcvxHF5nwhGQ6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GmOnEAAAA3AAAAA8AAAAAAAAAAAAAAAAAmAIAAGRycy9k&#10;b3ducmV2LnhtbFBLBQYAAAAABAAEAPUAAACJAwAAAAA=&#10;" path="m,295l,e" filled="f" strokeweight=".36pt">
                  <v:path arrowok="t" o:connecttype="custom" o:connectlocs="0,295;0,0" o:connectangles="0,0"/>
                </v:shape>
                <v:shape id="Freeform 107" o:spid="_x0000_s1031" style="position:absolute;left:10828;top:253;width:20;height:11254;visibility:visible;mso-wrap-style:square;v-text-anchor:top" coordsize="20,112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XJMMIA&#10;AADcAAAADwAAAGRycy9kb3ducmV2LnhtbESP0YrCMBRE3xf8h3AF3zStwqq1qYgguk/Ltn7Apbm2&#10;xeamNNHWvzcLC/s4zMwZJt2PphVP6l1jWUG8iEAQl1Y3XCm4Fqf5BoTzyBpby6TgRQ722eQjxUTb&#10;gX/omftKBAi7BBXU3neJlK6syaBb2I44eDfbG/RB9pXUPQ4Bblq5jKJPabDhsFBjR8eaynv+MArK&#10;73P+un21Pi8qPUgX29PKXJSaTcfDDoSn0f+H/9oXrWAbr+H3TDgCMn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9ckwwgAAANwAAAAPAAAAAAAAAAAAAAAAAJgCAABkcnMvZG93&#10;bnJldi54bWxQSwUGAAAAAAQABAD1AAAAhwMAAAAA&#10;" path="m,11254l,e" filled="f" strokeweight=".36pt">
                  <v:path arrowok="t" o:connecttype="custom" o:connectlocs="0,11254;0,0" o:connectangles="0,0"/>
                </v:shape>
                <v:shape id="Freeform 108" o:spid="_x0000_s1032" style="position:absolute;left:1288;top:797;width:9230;height:20;visibility:visible;mso-wrap-style:square;v-text-anchor:top" coordsize="923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7hS8IA&#10;AADcAAAADwAAAGRycy9kb3ducmV2LnhtbERP3WrCMBS+F/YO4Qy8kZkqQ2xnWoYijE0vWvcAh+as&#10;LWtOSpLW7u2Xi8EuP77/QzGbXkzkfGdZwWadgCCure64UfB5Oz/tQfiArLG3TAp+yEORPywOmGl7&#10;55KmKjQihrDPUEEbwpBJ6euWDPq1HYgj92WdwRCha6R2eI/hppfbJNlJgx3HhhYHOrZUf1ejUWDf&#10;r+PHRU/1fBzL9Pnkxt5NK6WWj/PrC4hAc/gX/7nftIJ0E9fGM/EIy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LuFLwgAAANwAAAAPAAAAAAAAAAAAAAAAAJgCAABkcnMvZG93&#10;bnJldi54bWxQSwUGAAAAAAQABAD1AAAAhwMAAAAA&#10;" path="m,l9230,e" filled="f" strokeweight=".36pt">
                  <v:path arrowok="t" o:connecttype="custom" o:connectlocs="0,0;9230,0" o:connectangles="0,0"/>
                </v:shape>
                <v:shape id="Freeform 109" o:spid="_x0000_s1033" style="position:absolute;left:1288;top:1315;width:9461;height:20;visibility:visible;mso-wrap-style:square;v-text-anchor:top" coordsize="946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LJcYA&#10;AADcAAAADwAAAGRycy9kb3ducmV2LnhtbESPQWvCQBSE7wX/w/IEb3WjlqipqxShIhSKxkLt7ZF9&#10;JsHs27C7xvTfdwuFHoeZ+YZZbXrTiI6cry0rmIwTEMSF1TWXCj5Or48LED4ga2wsk4Jv8rBZDx5W&#10;mGl75yN1eShFhLDPUEEVQptJ6YuKDPqxbYmjd7HOYIjSlVI7vEe4aeQ0SVJpsOa4UGFL24qKa34z&#10;Cs6OdtvZ4St1XX5+ek8/zX7+NlVqNOxfnkEE6sN/+K+91wqWkyX8nolH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kLJcYAAADcAAAADwAAAAAAAAAAAAAAAACYAgAAZHJz&#10;L2Rvd25yZXYueG1sUEsFBgAAAAAEAAQA9QAAAIsDAAAAAA==&#10;" path="m,l9461,e" filled="f" strokeweight=".72pt">
                  <v:path arrowok="t" o:connecttype="custom" o:connectlocs="0,0;9461,0" o:connectangles="0,0"/>
                </v:shape>
                <v:shape id="Freeform 110" o:spid="_x0000_s1034" style="position:absolute;left:7088;top:1312;width:20;height:10145;visibility:visible;mso-wrap-style:square;v-text-anchor:top" coordsize="20,10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zMIsIA&#10;AADcAAAADwAAAGRycy9kb3ducmV2LnhtbERPz2vCMBS+D/wfwhN2m2l7EK1GEWXgQQbWMnZ8Ns+2&#10;2Lx0Sazdf78cBjt+fL/X29F0YiDnW8sK0lkCgriyuuVaQXl5f1uA8AFZY2eZFPyQh+1m8rLGXNsn&#10;n2koQi1iCPscFTQh9LmUvmrIoJ/ZnjhyN+sMhghdLbXDZww3ncySZC4NthwbGuxp31B1Lx5GwZdL&#10;bmlZfO6v5e5w+h4+0ozrVKnX6bhbgQg0hn/xn/uoFSyzOD+eiUdAb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TMwiwgAAANwAAAAPAAAAAAAAAAAAAAAAAJgCAABkcnMvZG93&#10;bnJldi54bWxQSwUGAAAAAAQABAD1AAAAhwMAAAAA&#10;" path="m,10145l,e" filled="f" strokeweight=".36pt">
                  <v:path arrowok="t" o:connecttype="custom" o:connectlocs="0,10145;0,0" o:connectangles="0,0"/>
                </v:shape>
                <v:shape id="Freeform 111" o:spid="_x0000_s1035" style="position:absolute;left:1266;top:5538;width:9497;height:20;visibility:visible;mso-wrap-style:square;v-text-anchor:top" coordsize="949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MJMMYA&#10;AADcAAAADwAAAGRycy9kb3ducmV2LnhtbESPQWsCMRSE7wX/Q3hCL6JZPRS7GkWUQgteqmX1+Ng8&#10;N6ubl3WT6tpfbwShx2FmvmGm89ZW4kKNLx0rGA4SEMS50yUXCn62H/0xCB+QNVaOScGNPMxnnZcp&#10;ptpd+Zsum1CICGGfogITQp1K6XNDFv3A1cTRO7jGYoiyKaRu8BrhtpKjJHmTFkuOCwZrWhrKT5tf&#10;q8CFxfFmtquvv/Vhtzyve5nZJ5lSr912MQERqA3/4Wf7Uyt4Hw3hcSYe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SMJMMYAAADcAAAADwAAAAAAAAAAAAAAAACYAgAAZHJz&#10;L2Rvd25yZXYueG1sUEsFBgAAAAAEAAQA9QAAAIsDAAAAAA==&#10;" path="m,l9497,e" filled="f" strokeweight=".36pt">
                  <v:path arrowok="t" o:connecttype="custom" o:connectlocs="0,0;9497,0" o:connectangles="0,0"/>
                </v:shape>
                <v:shape id="Freeform 112" o:spid="_x0000_s1036" style="position:absolute;left:1259;top:8490;width:9000;height:20;visibility:visible;mso-wrap-style:square;v-text-anchor:top" coordsize="90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x9McQA&#10;AADcAAAADwAAAGRycy9kb3ducmV2LnhtbESPzW7CMBCE75V4B2uRuBWnQVSQYhBUQvTAJfzcF3sb&#10;R43XUeyS8PZ1pUo9jmbmG81qM7hG3KkLtWcFL9MMBLH2puZKweW8f16ACBHZYOOZFDwowGY9elph&#10;YXzPJd1PsRIJwqFABTbGtpAyaEsOw9S3xMn79J3DmGRXSdNhn+CukXmWvUqHNacFiy29W9Jfp2+n&#10;YB6Ph9s812a2L01/6487fbWlUpPxsH0DEWmI/+G/9odRsMxz+D2TjoB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cfTHEAAAA3AAAAA8AAAAAAAAAAAAAAAAAmAIAAGRycy9k&#10;b3ducmV2LnhtbFBLBQYAAAAABAAEAPUAAACJAwAAAAA=&#10;" path="m,l9000,e" filled="f" strokeweight=".72pt">
                  <v:path arrowok="t" o:connecttype="custom" o:connectlocs="0,0;9000,0" o:connectangles="0,0"/>
                </v:shape>
                <v:shape id="Freeform 113" o:spid="_x0000_s1037" style="position:absolute;left:1209;top:11500;width:9626;height:20;visibility:visible;mso-wrap-style:square;v-text-anchor:top" coordsize="962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Mu6McA&#10;AADcAAAADwAAAGRycy9kb3ducmV2LnhtbESPQWvCQBSE7wX/w/IKvdVN1dqYuopWhF4EtVp6fGRf&#10;k2j2bZpdNfrru4LgcZiZb5jhuDGlOFLtCssKXtoRCOLU6oIzBZuv+XMMwnlkjaVlUnAmB+NR62GI&#10;ibYnXtFx7TMRIOwSVJB7XyVSujQng65tK+Lg/draoA+yzqSu8RTgppSdKOpLgwWHhRwr+sgp3a8P&#10;RsHlZ/m2KmaLwfdfL9bxdDF73V52Sj09NpN3EJ4afw/f2p9awaDTheuZcATk6B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OjLujHAAAA3AAAAA8AAAAAAAAAAAAAAAAAmAIAAGRy&#10;cy9kb3ducmV2LnhtbFBLBQYAAAAABAAEAPUAAACMAwAAAAA=&#10;" path="m,l9626,e" filled="f" strokeweight=".36pt">
                  <v:path arrowok="t" o:connecttype="custom" o:connectlocs="0,0;9626,0" o:connectangles="0,0"/>
                </v:shape>
                <w10:wrap anchorx="page"/>
              </v:group>
            </w:pict>
          </mc:Fallback>
        </mc:AlternateContent>
      </w:r>
      <w:r w:rsidR="002C5025">
        <w:rPr>
          <w:rFonts w:ascii="Arial" w:hAnsi="Arial" w:cs="Arial"/>
          <w:b/>
          <w:bCs/>
          <w:w w:val="90"/>
          <w:sz w:val="20"/>
          <w:szCs w:val="20"/>
        </w:rPr>
        <w:t>EXCERPTS</w:t>
      </w:r>
      <w:r w:rsidR="002C5025">
        <w:rPr>
          <w:rFonts w:ascii="Arial" w:hAnsi="Arial" w:cs="Arial"/>
          <w:b/>
          <w:bCs/>
          <w:spacing w:val="-33"/>
          <w:w w:val="90"/>
          <w:sz w:val="20"/>
          <w:szCs w:val="20"/>
        </w:rPr>
        <w:t xml:space="preserve"> </w:t>
      </w:r>
      <w:r w:rsidR="002C5025">
        <w:rPr>
          <w:rFonts w:ascii="Arial" w:hAnsi="Arial" w:cs="Arial"/>
          <w:b/>
          <w:bCs/>
          <w:w w:val="90"/>
          <w:sz w:val="20"/>
          <w:szCs w:val="20"/>
        </w:rPr>
        <w:t>FROM</w:t>
      </w:r>
      <w:r w:rsidR="002C5025">
        <w:rPr>
          <w:rFonts w:ascii="Arial" w:hAnsi="Arial" w:cs="Arial"/>
          <w:b/>
          <w:bCs/>
          <w:spacing w:val="-35"/>
          <w:w w:val="90"/>
          <w:sz w:val="20"/>
          <w:szCs w:val="20"/>
        </w:rPr>
        <w:t xml:space="preserve"> </w:t>
      </w:r>
      <w:r w:rsidR="002C5025">
        <w:rPr>
          <w:rFonts w:ascii="Arial" w:hAnsi="Arial" w:cs="Arial"/>
          <w:b/>
          <w:bCs/>
          <w:w w:val="90"/>
          <w:sz w:val="20"/>
          <w:szCs w:val="20"/>
        </w:rPr>
        <w:t>EVIDENCE</w:t>
      </w:r>
      <w:r w:rsidR="002C5025">
        <w:rPr>
          <w:rFonts w:ascii="Arial" w:hAnsi="Arial" w:cs="Arial"/>
          <w:b/>
          <w:bCs/>
          <w:spacing w:val="-31"/>
          <w:w w:val="90"/>
          <w:sz w:val="20"/>
          <w:szCs w:val="20"/>
        </w:rPr>
        <w:t xml:space="preserve"> </w:t>
      </w:r>
      <w:r w:rsidR="002C5025">
        <w:rPr>
          <w:rFonts w:ascii="Arial" w:hAnsi="Arial" w:cs="Arial"/>
          <w:b/>
          <w:bCs/>
          <w:w w:val="90"/>
          <w:sz w:val="20"/>
          <w:szCs w:val="20"/>
        </w:rPr>
        <w:t>BASE</w:t>
      </w:r>
      <w:r w:rsidR="002C5025">
        <w:rPr>
          <w:rFonts w:ascii="Arial" w:hAnsi="Arial" w:cs="Arial"/>
          <w:b/>
          <w:bCs/>
          <w:w w:val="90"/>
          <w:sz w:val="20"/>
          <w:szCs w:val="20"/>
        </w:rPr>
        <w:tab/>
      </w:r>
      <w:r w:rsidR="002C5025">
        <w:rPr>
          <w:rFonts w:ascii="Arial" w:hAnsi="Arial" w:cs="Arial"/>
          <w:b/>
          <w:bCs/>
          <w:w w:val="90"/>
          <w:sz w:val="20"/>
          <w:szCs w:val="20"/>
        </w:rPr>
        <w:tab/>
      </w:r>
      <w:r w:rsidR="002C5025">
        <w:rPr>
          <w:rFonts w:ascii="Arial" w:hAnsi="Arial" w:cs="Arial"/>
          <w:b/>
          <w:bCs/>
          <w:w w:val="85"/>
          <w:sz w:val="20"/>
          <w:szCs w:val="20"/>
        </w:rPr>
        <w:t>SAMPLE OF</w:t>
      </w:r>
      <w:r w:rsidR="002C5025">
        <w:rPr>
          <w:rFonts w:ascii="Arial" w:hAnsi="Arial" w:cs="Arial"/>
          <w:b/>
          <w:bCs/>
          <w:spacing w:val="-8"/>
          <w:w w:val="85"/>
          <w:sz w:val="20"/>
          <w:szCs w:val="20"/>
        </w:rPr>
        <w:t xml:space="preserve"> </w:t>
      </w:r>
      <w:r w:rsidR="002C5025">
        <w:rPr>
          <w:rFonts w:ascii="Arial" w:hAnsi="Arial" w:cs="Arial"/>
          <w:b/>
          <w:bCs/>
          <w:w w:val="85"/>
          <w:sz w:val="20"/>
          <w:szCs w:val="20"/>
        </w:rPr>
        <w:t>EXISTING</w:t>
      </w:r>
      <w:r w:rsidR="002C5025">
        <w:rPr>
          <w:rFonts w:ascii="Arial" w:hAnsi="Arial" w:cs="Arial"/>
          <w:b/>
          <w:bCs/>
          <w:spacing w:val="4"/>
          <w:w w:val="85"/>
          <w:sz w:val="20"/>
          <w:szCs w:val="20"/>
        </w:rPr>
        <w:t xml:space="preserve"> </w:t>
      </w:r>
      <w:r w:rsidR="002C5025">
        <w:rPr>
          <w:rFonts w:ascii="Arial" w:hAnsi="Arial" w:cs="Arial"/>
          <w:b/>
          <w:bCs/>
          <w:w w:val="85"/>
          <w:sz w:val="20"/>
          <w:szCs w:val="20"/>
        </w:rPr>
        <w:t>SERVICES</w:t>
      </w:r>
      <w:r w:rsidR="002C5025">
        <w:rPr>
          <w:rFonts w:ascii="Arial" w:hAnsi="Arial" w:cs="Arial"/>
          <w:b/>
          <w:bCs/>
          <w:spacing w:val="-1"/>
          <w:w w:val="84"/>
          <w:sz w:val="20"/>
          <w:szCs w:val="20"/>
        </w:rPr>
        <w:t xml:space="preserve"> </w:t>
      </w:r>
      <w:r w:rsidR="002C5025">
        <w:rPr>
          <w:rFonts w:ascii="Arial" w:hAnsi="Arial" w:cs="Arial"/>
          <w:b/>
          <w:bCs/>
          <w:w w:val="90"/>
          <w:sz w:val="20"/>
          <w:szCs w:val="20"/>
        </w:rPr>
        <w:t>CAPABLE OF COORDINATION THROUGH SDOH</w:t>
      </w:r>
      <w:r w:rsidR="002C5025">
        <w:rPr>
          <w:rFonts w:ascii="Arial" w:hAnsi="Arial" w:cs="Arial"/>
          <w:b/>
          <w:bCs/>
          <w:spacing w:val="2"/>
          <w:w w:val="90"/>
          <w:sz w:val="20"/>
          <w:szCs w:val="20"/>
        </w:rPr>
        <w:t xml:space="preserve"> </w:t>
      </w:r>
      <w:r w:rsidR="002C5025">
        <w:rPr>
          <w:rFonts w:ascii="Arial" w:hAnsi="Arial" w:cs="Arial"/>
          <w:b/>
          <w:bCs/>
          <w:w w:val="90"/>
          <w:sz w:val="20"/>
          <w:szCs w:val="20"/>
        </w:rPr>
        <w:t>HUB</w:t>
      </w:r>
    </w:p>
    <w:p w:rsidR="002C5025" w:rsidRDefault="002C5025">
      <w:pPr>
        <w:pStyle w:val="BodyText"/>
        <w:kinsoku w:val="0"/>
        <w:overflowPunct w:val="0"/>
        <w:spacing w:before="7"/>
        <w:rPr>
          <w:rFonts w:ascii="Arial" w:hAnsi="Arial" w:cs="Arial"/>
          <w:b/>
          <w:bCs/>
          <w:sz w:val="20"/>
          <w:szCs w:val="20"/>
        </w:rPr>
      </w:pPr>
    </w:p>
    <w:p w:rsidR="002C5025" w:rsidRDefault="002C5025">
      <w:pPr>
        <w:pStyle w:val="BodyText"/>
        <w:kinsoku w:val="0"/>
        <w:overflowPunct w:val="0"/>
        <w:ind w:left="304" w:right="990"/>
        <w:rPr>
          <w:rFonts w:ascii="Times New Roman" w:hAnsi="Times New Roman" w:cs="Times New Roman"/>
          <w:i/>
          <w:iCs/>
        </w:rPr>
      </w:pPr>
      <w:r>
        <w:rPr>
          <w:rFonts w:ascii="Times New Roman" w:hAnsi="Times New Roman" w:cs="Times New Roman"/>
          <w:i/>
          <w:iCs/>
        </w:rPr>
        <w:t>Interventions with Documented Impacts</w:t>
      </w:r>
    </w:p>
    <w:p w:rsidR="002C5025" w:rsidRDefault="002C5025">
      <w:pPr>
        <w:pStyle w:val="BodyText"/>
        <w:kinsoku w:val="0"/>
        <w:overflowPunct w:val="0"/>
        <w:spacing w:before="1"/>
        <w:rPr>
          <w:rFonts w:ascii="Times New Roman" w:hAnsi="Times New Roman" w:cs="Times New Roman"/>
          <w:i/>
          <w:iCs/>
          <w:sz w:val="24"/>
          <w:szCs w:val="24"/>
        </w:rPr>
      </w:pPr>
    </w:p>
    <w:p w:rsidR="002C5025" w:rsidRDefault="002C5025">
      <w:pPr>
        <w:pStyle w:val="BodyText"/>
        <w:tabs>
          <w:tab w:val="left" w:pos="6107"/>
        </w:tabs>
        <w:kinsoku w:val="0"/>
        <w:overflowPunct w:val="0"/>
        <w:ind w:left="315" w:right="990"/>
        <w:rPr>
          <w:rFonts w:ascii="Arial" w:hAnsi="Arial" w:cs="Arial"/>
          <w:b/>
          <w:bCs/>
          <w:w w:val="85"/>
          <w:sz w:val="18"/>
          <w:szCs w:val="18"/>
        </w:rPr>
      </w:pPr>
      <w:r>
        <w:rPr>
          <w:rFonts w:ascii="Arial" w:hAnsi="Arial" w:cs="Arial"/>
          <w:position w:val="1"/>
          <w:sz w:val="18"/>
          <w:szCs w:val="18"/>
        </w:rPr>
        <w:t>CASE</w:t>
      </w:r>
      <w:r>
        <w:rPr>
          <w:rFonts w:ascii="Arial" w:hAnsi="Arial" w:cs="Arial"/>
          <w:spacing w:val="-32"/>
          <w:position w:val="1"/>
          <w:sz w:val="18"/>
          <w:szCs w:val="18"/>
        </w:rPr>
        <w:t xml:space="preserve"> </w:t>
      </w:r>
      <w:r>
        <w:rPr>
          <w:rFonts w:ascii="Arial" w:hAnsi="Arial" w:cs="Arial"/>
          <w:b/>
          <w:bCs/>
          <w:position w:val="1"/>
          <w:sz w:val="18"/>
          <w:szCs w:val="18"/>
        </w:rPr>
        <w:t>MANAGEMENT.</w:t>
      </w:r>
      <w:r>
        <w:rPr>
          <w:rFonts w:ascii="Arial" w:hAnsi="Arial" w:cs="Arial"/>
          <w:b/>
          <w:bCs/>
          <w:spacing w:val="-30"/>
          <w:position w:val="1"/>
          <w:sz w:val="18"/>
          <w:szCs w:val="18"/>
        </w:rPr>
        <w:t xml:space="preserve"> </w:t>
      </w:r>
      <w:r>
        <w:rPr>
          <w:rFonts w:ascii="Arial" w:hAnsi="Arial" w:cs="Arial"/>
          <w:position w:val="1"/>
          <w:sz w:val="18"/>
          <w:szCs w:val="18"/>
        </w:rPr>
        <w:t>Care</w:t>
      </w:r>
      <w:r>
        <w:rPr>
          <w:rFonts w:ascii="Arial" w:hAnsi="Arial" w:cs="Arial"/>
          <w:spacing w:val="-34"/>
          <w:position w:val="1"/>
          <w:sz w:val="18"/>
          <w:szCs w:val="18"/>
        </w:rPr>
        <w:t xml:space="preserve"> </w:t>
      </w:r>
      <w:r>
        <w:rPr>
          <w:rFonts w:ascii="Arial" w:hAnsi="Arial" w:cs="Arial"/>
          <w:position w:val="1"/>
          <w:sz w:val="18"/>
          <w:szCs w:val="18"/>
        </w:rPr>
        <w:t>coordination</w:t>
      </w:r>
      <w:r>
        <w:rPr>
          <w:rFonts w:ascii="Arial" w:hAnsi="Arial" w:cs="Arial"/>
          <w:spacing w:val="-25"/>
          <w:position w:val="1"/>
          <w:sz w:val="18"/>
          <w:szCs w:val="18"/>
        </w:rPr>
        <w:t xml:space="preserve"> </w:t>
      </w:r>
      <w:r>
        <w:rPr>
          <w:rFonts w:ascii="Arial" w:hAnsi="Arial" w:cs="Arial"/>
          <w:position w:val="1"/>
          <w:sz w:val="18"/>
          <w:szCs w:val="18"/>
        </w:rPr>
        <w:t>and</w:t>
      </w:r>
      <w:r w:rsidR="007B2B7B">
        <w:rPr>
          <w:rFonts w:ascii="Arial" w:hAnsi="Arial" w:cs="Arial"/>
          <w:position w:val="1"/>
          <w:sz w:val="18"/>
          <w:szCs w:val="18"/>
        </w:rPr>
        <w:t xml:space="preserve"> </w:t>
      </w:r>
      <w:r>
        <w:rPr>
          <w:rFonts w:ascii="Arial" w:hAnsi="Arial" w:cs="Arial"/>
          <w:position w:val="1"/>
          <w:sz w:val="18"/>
          <w:szCs w:val="18"/>
        </w:rPr>
        <w:t>case</w:t>
      </w:r>
      <w:r>
        <w:rPr>
          <w:rFonts w:ascii="Arial" w:hAnsi="Arial" w:cs="Arial"/>
          <w:spacing w:val="-34"/>
          <w:position w:val="1"/>
          <w:sz w:val="18"/>
          <w:szCs w:val="18"/>
        </w:rPr>
        <w:t xml:space="preserve"> </w:t>
      </w:r>
      <w:r>
        <w:rPr>
          <w:rFonts w:ascii="Arial" w:hAnsi="Arial" w:cs="Arial"/>
          <w:position w:val="1"/>
          <w:sz w:val="18"/>
          <w:szCs w:val="18"/>
        </w:rPr>
        <w:t>management</w:t>
      </w:r>
      <w:r>
        <w:rPr>
          <w:rFonts w:ascii="Arial" w:hAnsi="Arial" w:cs="Arial"/>
          <w:spacing w:val="-30"/>
          <w:position w:val="1"/>
          <w:sz w:val="18"/>
          <w:szCs w:val="18"/>
        </w:rPr>
        <w:t xml:space="preserve"> </w:t>
      </w:r>
      <w:r>
        <w:rPr>
          <w:rFonts w:ascii="Arial" w:hAnsi="Arial" w:cs="Arial"/>
          <w:position w:val="1"/>
          <w:sz w:val="18"/>
          <w:szCs w:val="18"/>
        </w:rPr>
        <w:t>can</w:t>
      </w:r>
      <w:r>
        <w:rPr>
          <w:rFonts w:ascii="Arial" w:hAnsi="Arial" w:cs="Arial"/>
          <w:position w:val="1"/>
          <w:sz w:val="18"/>
          <w:szCs w:val="18"/>
        </w:rPr>
        <w:tab/>
      </w:r>
      <w:r>
        <w:rPr>
          <w:rFonts w:ascii="Arial" w:hAnsi="Arial" w:cs="Arial"/>
          <w:b/>
          <w:bCs/>
          <w:w w:val="85"/>
          <w:sz w:val="18"/>
          <w:szCs w:val="18"/>
        </w:rPr>
        <w:t>Needs</w:t>
      </w:r>
      <w:r>
        <w:rPr>
          <w:rFonts w:ascii="Arial" w:hAnsi="Arial" w:cs="Arial"/>
          <w:b/>
          <w:bCs/>
          <w:spacing w:val="34"/>
          <w:w w:val="85"/>
          <w:sz w:val="18"/>
          <w:szCs w:val="18"/>
        </w:rPr>
        <w:t xml:space="preserve"> </w:t>
      </w:r>
      <w:r>
        <w:rPr>
          <w:rFonts w:ascii="Arial" w:hAnsi="Arial" w:cs="Arial"/>
          <w:b/>
          <w:bCs/>
          <w:w w:val="85"/>
          <w:sz w:val="18"/>
          <w:szCs w:val="18"/>
        </w:rPr>
        <w:t>assessment</w:t>
      </w:r>
    </w:p>
    <w:p w:rsidR="002C5025" w:rsidRDefault="002C5025">
      <w:pPr>
        <w:pStyle w:val="BodyText"/>
        <w:tabs>
          <w:tab w:val="left" w:pos="6097"/>
        </w:tabs>
        <w:kinsoku w:val="0"/>
        <w:overflowPunct w:val="0"/>
        <w:spacing w:before="42" w:line="271" w:lineRule="auto"/>
        <w:ind w:left="315" w:right="1706" w:firstLine="7"/>
        <w:rPr>
          <w:rFonts w:ascii="Arial" w:hAnsi="Arial" w:cs="Arial"/>
          <w:sz w:val="18"/>
          <w:szCs w:val="18"/>
        </w:rPr>
      </w:pPr>
      <w:r>
        <w:rPr>
          <w:rFonts w:ascii="Arial" w:hAnsi="Arial" w:cs="Arial"/>
          <w:sz w:val="18"/>
          <w:szCs w:val="18"/>
        </w:rPr>
        <w:t>have</w:t>
      </w:r>
      <w:r>
        <w:rPr>
          <w:rFonts w:ascii="Arial" w:hAnsi="Arial" w:cs="Arial"/>
          <w:spacing w:val="-13"/>
          <w:sz w:val="18"/>
          <w:szCs w:val="18"/>
        </w:rPr>
        <w:t xml:space="preserve"> </w:t>
      </w:r>
      <w:r>
        <w:rPr>
          <w:rFonts w:ascii="Arial" w:hAnsi="Arial" w:cs="Arial"/>
          <w:sz w:val="18"/>
          <w:szCs w:val="18"/>
        </w:rPr>
        <w:t>a</w:t>
      </w:r>
      <w:r>
        <w:rPr>
          <w:rFonts w:ascii="Arial" w:hAnsi="Arial" w:cs="Arial"/>
          <w:spacing w:val="-16"/>
          <w:sz w:val="18"/>
          <w:szCs w:val="18"/>
        </w:rPr>
        <w:t xml:space="preserve"> </w:t>
      </w:r>
      <w:r>
        <w:rPr>
          <w:rFonts w:ascii="Arial" w:hAnsi="Arial" w:cs="Arial"/>
          <w:sz w:val="18"/>
          <w:szCs w:val="18"/>
        </w:rPr>
        <w:t>significant</w:t>
      </w:r>
      <w:r>
        <w:rPr>
          <w:rFonts w:ascii="Arial" w:hAnsi="Arial" w:cs="Arial"/>
          <w:spacing w:val="-3"/>
          <w:sz w:val="18"/>
          <w:szCs w:val="18"/>
        </w:rPr>
        <w:t xml:space="preserve"> </w:t>
      </w:r>
      <w:r>
        <w:rPr>
          <w:rFonts w:ascii="Arial" w:hAnsi="Arial" w:cs="Arial"/>
          <w:sz w:val="18"/>
          <w:szCs w:val="18"/>
        </w:rPr>
        <w:t>impact</w:t>
      </w:r>
      <w:r>
        <w:rPr>
          <w:rFonts w:ascii="Arial" w:hAnsi="Arial" w:cs="Arial"/>
          <w:spacing w:val="-7"/>
          <w:sz w:val="18"/>
          <w:szCs w:val="18"/>
        </w:rPr>
        <w:t xml:space="preserve"> </w:t>
      </w:r>
      <w:r>
        <w:rPr>
          <w:rFonts w:ascii="Arial" w:hAnsi="Arial" w:cs="Arial"/>
          <w:sz w:val="18"/>
          <w:szCs w:val="18"/>
        </w:rPr>
        <w:t>on</w:t>
      </w:r>
      <w:r>
        <w:rPr>
          <w:rFonts w:ascii="Arial" w:hAnsi="Arial" w:cs="Arial"/>
          <w:spacing w:val="-6"/>
          <w:sz w:val="18"/>
          <w:szCs w:val="18"/>
        </w:rPr>
        <w:t xml:space="preserve"> </w:t>
      </w:r>
      <w:r>
        <w:rPr>
          <w:rFonts w:ascii="Arial" w:hAnsi="Arial" w:cs="Arial"/>
          <w:sz w:val="18"/>
          <w:szCs w:val="18"/>
        </w:rPr>
        <w:t>health</w:t>
      </w:r>
      <w:r>
        <w:rPr>
          <w:rFonts w:ascii="Arial" w:hAnsi="Arial" w:cs="Arial"/>
          <w:spacing w:val="-13"/>
          <w:sz w:val="18"/>
          <w:szCs w:val="18"/>
        </w:rPr>
        <w:t xml:space="preserve"> </w:t>
      </w:r>
      <w:r>
        <w:rPr>
          <w:rFonts w:ascii="Arial" w:hAnsi="Arial" w:cs="Arial"/>
          <w:sz w:val="18"/>
          <w:szCs w:val="18"/>
        </w:rPr>
        <w:t>outcomes</w:t>
      </w:r>
      <w:r>
        <w:rPr>
          <w:rFonts w:ascii="Arial" w:hAnsi="Arial" w:cs="Arial"/>
          <w:spacing w:val="3"/>
          <w:sz w:val="18"/>
          <w:szCs w:val="18"/>
        </w:rPr>
        <w:t xml:space="preserve"> </w:t>
      </w:r>
      <w:r>
        <w:rPr>
          <w:rFonts w:ascii="Arial" w:hAnsi="Arial" w:cs="Arial"/>
          <w:sz w:val="18"/>
          <w:szCs w:val="18"/>
        </w:rPr>
        <w:t>and</w:t>
      </w:r>
      <w:r>
        <w:rPr>
          <w:rFonts w:ascii="Arial" w:hAnsi="Arial" w:cs="Arial"/>
          <w:spacing w:val="-9"/>
          <w:sz w:val="18"/>
          <w:szCs w:val="18"/>
        </w:rPr>
        <w:t xml:space="preserve"> </w:t>
      </w:r>
      <w:r>
        <w:rPr>
          <w:rFonts w:ascii="Arial" w:hAnsi="Arial" w:cs="Arial"/>
          <w:sz w:val="18"/>
          <w:szCs w:val="18"/>
        </w:rPr>
        <w:t>health</w:t>
      </w:r>
      <w:r>
        <w:rPr>
          <w:rFonts w:ascii="Arial" w:hAnsi="Arial" w:cs="Arial"/>
          <w:spacing w:val="-6"/>
          <w:sz w:val="18"/>
          <w:szCs w:val="18"/>
        </w:rPr>
        <w:t xml:space="preserve"> </w:t>
      </w:r>
      <w:r>
        <w:rPr>
          <w:rFonts w:ascii="Arial" w:hAnsi="Arial" w:cs="Arial"/>
          <w:sz w:val="18"/>
          <w:szCs w:val="18"/>
        </w:rPr>
        <w:t>costs,</w:t>
      </w:r>
      <w:r>
        <w:rPr>
          <w:rFonts w:ascii="Arial" w:hAnsi="Arial" w:cs="Arial"/>
          <w:spacing w:val="-11"/>
          <w:sz w:val="18"/>
          <w:szCs w:val="18"/>
        </w:rPr>
        <w:t xml:space="preserve"> </w:t>
      </w:r>
      <w:r>
        <w:rPr>
          <w:rFonts w:ascii="Arial" w:hAnsi="Arial" w:cs="Arial"/>
          <w:sz w:val="18"/>
          <w:szCs w:val="18"/>
        </w:rPr>
        <w:t>as</w:t>
      </w:r>
      <w:r>
        <w:rPr>
          <w:rFonts w:ascii="Arial" w:hAnsi="Arial" w:cs="Arial"/>
          <w:sz w:val="18"/>
          <w:szCs w:val="18"/>
        </w:rPr>
        <w:tab/>
        <w:t>Service</w:t>
      </w:r>
      <w:r>
        <w:rPr>
          <w:rFonts w:ascii="Arial" w:hAnsi="Arial" w:cs="Arial"/>
          <w:spacing w:val="-24"/>
          <w:sz w:val="18"/>
          <w:szCs w:val="18"/>
        </w:rPr>
        <w:t xml:space="preserve"> </w:t>
      </w:r>
      <w:r>
        <w:rPr>
          <w:rFonts w:ascii="Arial" w:hAnsi="Arial" w:cs="Arial"/>
          <w:sz w:val="18"/>
          <w:szCs w:val="18"/>
        </w:rPr>
        <w:t>plan</w:t>
      </w:r>
      <w:r>
        <w:rPr>
          <w:rFonts w:ascii="Arial" w:hAnsi="Arial" w:cs="Arial"/>
          <w:spacing w:val="-27"/>
          <w:sz w:val="18"/>
          <w:szCs w:val="18"/>
        </w:rPr>
        <w:t xml:space="preserve"> </w:t>
      </w:r>
      <w:r>
        <w:rPr>
          <w:rFonts w:ascii="Arial" w:hAnsi="Arial" w:cs="Arial"/>
          <w:sz w:val="18"/>
          <w:szCs w:val="18"/>
        </w:rPr>
        <w:t>development</w:t>
      </w:r>
      <w:r>
        <w:rPr>
          <w:rFonts w:ascii="Arial" w:hAnsi="Arial" w:cs="Arial"/>
          <w:w w:val="99"/>
          <w:sz w:val="18"/>
          <w:szCs w:val="18"/>
        </w:rPr>
        <w:t xml:space="preserve"> </w:t>
      </w:r>
      <w:r>
        <w:rPr>
          <w:rFonts w:ascii="Arial" w:hAnsi="Arial" w:cs="Arial"/>
          <w:position w:val="1"/>
          <w:sz w:val="18"/>
          <w:szCs w:val="18"/>
        </w:rPr>
        <w:t>demonstrated by a number of recent</w:t>
      </w:r>
      <w:r>
        <w:rPr>
          <w:rFonts w:ascii="Arial" w:hAnsi="Arial" w:cs="Arial"/>
          <w:spacing w:val="30"/>
          <w:position w:val="1"/>
          <w:sz w:val="18"/>
          <w:szCs w:val="18"/>
        </w:rPr>
        <w:t xml:space="preserve"> </w:t>
      </w:r>
      <w:r>
        <w:rPr>
          <w:rFonts w:ascii="Arial" w:hAnsi="Arial" w:cs="Arial"/>
          <w:position w:val="1"/>
          <w:sz w:val="18"/>
          <w:szCs w:val="18"/>
        </w:rPr>
        <w:t>demonstration</w:t>
      </w:r>
      <w:r>
        <w:rPr>
          <w:rFonts w:ascii="Arial" w:hAnsi="Arial" w:cs="Arial"/>
          <w:spacing w:val="29"/>
          <w:position w:val="1"/>
          <w:sz w:val="18"/>
          <w:szCs w:val="18"/>
        </w:rPr>
        <w:t xml:space="preserve"> </w:t>
      </w:r>
      <w:r>
        <w:rPr>
          <w:rFonts w:ascii="Arial" w:hAnsi="Arial" w:cs="Arial"/>
          <w:position w:val="1"/>
          <w:sz w:val="18"/>
          <w:szCs w:val="18"/>
        </w:rPr>
        <w:t>projects,</w:t>
      </w:r>
      <w:r>
        <w:rPr>
          <w:rFonts w:ascii="Arial" w:hAnsi="Arial" w:cs="Arial"/>
          <w:position w:val="1"/>
          <w:sz w:val="18"/>
          <w:szCs w:val="18"/>
        </w:rPr>
        <w:tab/>
      </w:r>
      <w:r>
        <w:rPr>
          <w:rFonts w:ascii="Arial" w:hAnsi="Arial" w:cs="Arial"/>
          <w:sz w:val="18"/>
          <w:szCs w:val="18"/>
        </w:rPr>
        <w:t>Information</w:t>
      </w:r>
      <w:r>
        <w:rPr>
          <w:rFonts w:ascii="Arial" w:hAnsi="Arial" w:cs="Arial"/>
          <w:spacing w:val="10"/>
          <w:sz w:val="18"/>
          <w:szCs w:val="18"/>
        </w:rPr>
        <w:t xml:space="preserve"> </w:t>
      </w:r>
      <w:r>
        <w:rPr>
          <w:rFonts w:ascii="Arial" w:hAnsi="Arial" w:cs="Arial"/>
          <w:sz w:val="18"/>
          <w:szCs w:val="18"/>
        </w:rPr>
        <w:t>and</w:t>
      </w:r>
      <w:r>
        <w:rPr>
          <w:rFonts w:ascii="Arial" w:hAnsi="Arial" w:cs="Arial"/>
          <w:spacing w:val="17"/>
          <w:sz w:val="18"/>
          <w:szCs w:val="18"/>
        </w:rPr>
        <w:t xml:space="preserve"> </w:t>
      </w:r>
      <w:r>
        <w:rPr>
          <w:rFonts w:ascii="Arial" w:hAnsi="Arial" w:cs="Arial"/>
          <w:sz w:val="18"/>
          <w:szCs w:val="18"/>
        </w:rPr>
        <w:t>referral</w:t>
      </w:r>
      <w:r>
        <w:rPr>
          <w:rFonts w:ascii="Arial" w:hAnsi="Arial" w:cs="Arial"/>
          <w:w w:val="99"/>
          <w:sz w:val="18"/>
          <w:szCs w:val="18"/>
        </w:rPr>
        <w:t xml:space="preserve"> </w:t>
      </w:r>
      <w:r>
        <w:rPr>
          <w:rFonts w:ascii="Arial" w:hAnsi="Arial" w:cs="Arial"/>
          <w:position w:val="1"/>
          <w:sz w:val="18"/>
          <w:szCs w:val="18"/>
        </w:rPr>
        <w:t>including</w:t>
      </w:r>
      <w:r>
        <w:rPr>
          <w:rFonts w:ascii="Arial" w:hAnsi="Arial" w:cs="Arial"/>
          <w:spacing w:val="-30"/>
          <w:position w:val="1"/>
          <w:sz w:val="18"/>
          <w:szCs w:val="18"/>
        </w:rPr>
        <w:t xml:space="preserve"> </w:t>
      </w:r>
      <w:r>
        <w:rPr>
          <w:rFonts w:ascii="Arial" w:hAnsi="Arial" w:cs="Arial"/>
          <w:position w:val="1"/>
          <w:sz w:val="18"/>
          <w:szCs w:val="18"/>
        </w:rPr>
        <w:t>Oregon</w:t>
      </w:r>
      <w:r>
        <w:rPr>
          <w:rFonts w:ascii="Arial" w:hAnsi="Arial" w:cs="Arial"/>
          <w:spacing w:val="-25"/>
          <w:position w:val="1"/>
          <w:sz w:val="18"/>
          <w:szCs w:val="18"/>
        </w:rPr>
        <w:t xml:space="preserve"> </w:t>
      </w:r>
      <w:r>
        <w:rPr>
          <w:rFonts w:ascii="Arial" w:hAnsi="Arial" w:cs="Arial"/>
          <w:position w:val="1"/>
          <w:sz w:val="18"/>
          <w:szCs w:val="18"/>
        </w:rPr>
        <w:t>Coordinated</w:t>
      </w:r>
      <w:r>
        <w:rPr>
          <w:rFonts w:ascii="Arial" w:hAnsi="Arial" w:cs="Arial"/>
          <w:spacing w:val="-28"/>
          <w:position w:val="1"/>
          <w:sz w:val="18"/>
          <w:szCs w:val="18"/>
        </w:rPr>
        <w:t xml:space="preserve"> </w:t>
      </w:r>
      <w:r>
        <w:rPr>
          <w:rFonts w:ascii="Arial" w:hAnsi="Arial" w:cs="Arial"/>
          <w:position w:val="1"/>
          <w:sz w:val="18"/>
          <w:szCs w:val="18"/>
        </w:rPr>
        <w:t>Care</w:t>
      </w:r>
      <w:r>
        <w:rPr>
          <w:rFonts w:ascii="Arial" w:hAnsi="Arial" w:cs="Arial"/>
          <w:spacing w:val="-28"/>
          <w:position w:val="1"/>
          <w:sz w:val="18"/>
          <w:szCs w:val="18"/>
        </w:rPr>
        <w:t xml:space="preserve"> </w:t>
      </w:r>
      <w:r>
        <w:rPr>
          <w:rFonts w:ascii="Arial" w:hAnsi="Arial" w:cs="Arial"/>
          <w:position w:val="1"/>
          <w:sz w:val="18"/>
          <w:szCs w:val="18"/>
        </w:rPr>
        <w:t>Organizations</w:t>
      </w:r>
      <w:r>
        <w:rPr>
          <w:rFonts w:ascii="Arial" w:hAnsi="Arial" w:cs="Arial"/>
          <w:spacing w:val="-18"/>
          <w:position w:val="1"/>
          <w:sz w:val="18"/>
          <w:szCs w:val="18"/>
        </w:rPr>
        <w:t xml:space="preserve"> </w:t>
      </w:r>
      <w:r>
        <w:rPr>
          <w:rFonts w:ascii="Arial" w:hAnsi="Arial" w:cs="Arial"/>
          <w:position w:val="1"/>
          <w:sz w:val="18"/>
          <w:szCs w:val="18"/>
        </w:rPr>
        <w:t>(CCOs)'</w:t>
      </w:r>
      <w:r>
        <w:rPr>
          <w:rFonts w:ascii="Arial" w:hAnsi="Arial" w:cs="Arial"/>
          <w:spacing w:val="-27"/>
          <w:position w:val="1"/>
          <w:sz w:val="18"/>
          <w:szCs w:val="18"/>
        </w:rPr>
        <w:t xml:space="preserve"> </w:t>
      </w:r>
      <w:r>
        <w:rPr>
          <w:rFonts w:ascii="Arial" w:hAnsi="Arial" w:cs="Arial"/>
          <w:position w:val="1"/>
          <w:sz w:val="18"/>
          <w:szCs w:val="18"/>
        </w:rPr>
        <w:t>,</w:t>
      </w:r>
      <w:r>
        <w:rPr>
          <w:rFonts w:ascii="Arial" w:hAnsi="Arial" w:cs="Arial"/>
          <w:position w:val="1"/>
          <w:sz w:val="18"/>
          <w:szCs w:val="18"/>
        </w:rPr>
        <w:tab/>
      </w:r>
      <w:r>
        <w:rPr>
          <w:rFonts w:ascii="Arial" w:hAnsi="Arial" w:cs="Arial"/>
          <w:b/>
          <w:bCs/>
          <w:w w:val="90"/>
          <w:sz w:val="18"/>
          <w:szCs w:val="18"/>
        </w:rPr>
        <w:t>Service</w:t>
      </w:r>
      <w:r>
        <w:rPr>
          <w:rFonts w:ascii="Arial" w:hAnsi="Arial" w:cs="Arial"/>
          <w:b/>
          <w:bCs/>
          <w:spacing w:val="-18"/>
          <w:w w:val="90"/>
          <w:sz w:val="18"/>
          <w:szCs w:val="18"/>
        </w:rPr>
        <w:t xml:space="preserve"> </w:t>
      </w:r>
      <w:r>
        <w:rPr>
          <w:rFonts w:ascii="Arial" w:hAnsi="Arial" w:cs="Arial"/>
          <w:b/>
          <w:bCs/>
          <w:w w:val="90"/>
          <w:sz w:val="18"/>
          <w:szCs w:val="18"/>
        </w:rPr>
        <w:t xml:space="preserve">navigation </w:t>
      </w:r>
      <w:r>
        <w:rPr>
          <w:rFonts w:ascii="Arial" w:hAnsi="Arial" w:cs="Arial"/>
          <w:b/>
          <w:bCs/>
          <w:w w:val="95"/>
          <w:position w:val="1"/>
          <w:sz w:val="18"/>
          <w:szCs w:val="18"/>
        </w:rPr>
        <w:t>Minnesota's</w:t>
      </w:r>
      <w:r>
        <w:rPr>
          <w:rFonts w:ascii="Arial" w:hAnsi="Arial" w:cs="Arial"/>
          <w:b/>
          <w:bCs/>
          <w:spacing w:val="-21"/>
          <w:w w:val="95"/>
          <w:position w:val="1"/>
          <w:sz w:val="18"/>
          <w:szCs w:val="18"/>
        </w:rPr>
        <w:t xml:space="preserve"> </w:t>
      </w:r>
      <w:r>
        <w:rPr>
          <w:rFonts w:ascii="Arial" w:hAnsi="Arial" w:cs="Arial"/>
          <w:b/>
          <w:bCs/>
          <w:w w:val="95"/>
          <w:position w:val="1"/>
          <w:sz w:val="18"/>
          <w:szCs w:val="18"/>
        </w:rPr>
        <w:t>Hennepin</w:t>
      </w:r>
      <w:r>
        <w:rPr>
          <w:rFonts w:ascii="Arial" w:hAnsi="Arial" w:cs="Arial"/>
          <w:b/>
          <w:bCs/>
          <w:spacing w:val="-21"/>
          <w:w w:val="95"/>
          <w:position w:val="1"/>
          <w:sz w:val="18"/>
          <w:szCs w:val="18"/>
        </w:rPr>
        <w:t xml:space="preserve"> </w:t>
      </w:r>
      <w:r>
        <w:rPr>
          <w:rFonts w:ascii="Arial" w:hAnsi="Arial" w:cs="Arial"/>
          <w:b/>
          <w:bCs/>
          <w:w w:val="95"/>
          <w:position w:val="1"/>
          <w:sz w:val="18"/>
          <w:szCs w:val="18"/>
        </w:rPr>
        <w:t>Health</w:t>
      </w:r>
      <w:r w:rsidR="007B2B7B">
        <w:rPr>
          <w:rFonts w:ascii="Arial" w:hAnsi="Arial" w:cs="Arial"/>
          <w:b/>
          <w:bCs/>
          <w:w w:val="95"/>
          <w:position w:val="1"/>
          <w:sz w:val="18"/>
          <w:szCs w:val="18"/>
        </w:rPr>
        <w:t xml:space="preserve"> </w:t>
      </w:r>
      <w:r>
        <w:rPr>
          <w:rFonts w:ascii="Times New Roman" w:hAnsi="Times New Roman" w:cs="Times New Roman"/>
          <w:b/>
          <w:bCs/>
          <w:w w:val="95"/>
          <w:position w:val="1"/>
          <w:sz w:val="13"/>
          <w:szCs w:val="13"/>
        </w:rPr>
        <w:t>ii,</w:t>
      </w:r>
      <w:r>
        <w:rPr>
          <w:rFonts w:ascii="Times New Roman" w:hAnsi="Times New Roman" w:cs="Times New Roman"/>
          <w:b/>
          <w:bCs/>
          <w:spacing w:val="-4"/>
          <w:w w:val="95"/>
          <w:position w:val="1"/>
          <w:sz w:val="13"/>
          <w:szCs w:val="13"/>
        </w:rPr>
        <w:t xml:space="preserve"> </w:t>
      </w:r>
      <w:r>
        <w:rPr>
          <w:rFonts w:ascii="Arial" w:hAnsi="Arial" w:cs="Arial"/>
          <w:b/>
          <w:bCs/>
          <w:w w:val="95"/>
          <w:position w:val="1"/>
          <w:sz w:val="18"/>
          <w:szCs w:val="18"/>
        </w:rPr>
        <w:t>Medicare</w:t>
      </w:r>
      <w:r>
        <w:rPr>
          <w:rFonts w:ascii="Arial" w:hAnsi="Arial" w:cs="Arial"/>
          <w:b/>
          <w:bCs/>
          <w:spacing w:val="-24"/>
          <w:w w:val="95"/>
          <w:position w:val="1"/>
          <w:sz w:val="18"/>
          <w:szCs w:val="18"/>
        </w:rPr>
        <w:t xml:space="preserve"> </w:t>
      </w:r>
      <w:r>
        <w:rPr>
          <w:rFonts w:ascii="Arial" w:hAnsi="Arial" w:cs="Arial"/>
          <w:b/>
          <w:bCs/>
          <w:w w:val="95"/>
          <w:position w:val="1"/>
          <w:sz w:val="18"/>
          <w:szCs w:val="18"/>
        </w:rPr>
        <w:t>Pioneer</w:t>
      </w:r>
      <w:r>
        <w:rPr>
          <w:rFonts w:ascii="Arial" w:hAnsi="Arial" w:cs="Arial"/>
          <w:b/>
          <w:bCs/>
          <w:spacing w:val="-26"/>
          <w:w w:val="95"/>
          <w:position w:val="1"/>
          <w:sz w:val="18"/>
          <w:szCs w:val="18"/>
        </w:rPr>
        <w:t xml:space="preserve"> </w:t>
      </w:r>
      <w:r>
        <w:rPr>
          <w:rFonts w:ascii="Arial" w:hAnsi="Arial" w:cs="Arial"/>
          <w:b/>
          <w:bCs/>
          <w:w w:val="95"/>
          <w:position w:val="1"/>
          <w:sz w:val="18"/>
          <w:szCs w:val="18"/>
        </w:rPr>
        <w:t>ACO</w:t>
      </w:r>
      <w:r>
        <w:rPr>
          <w:rFonts w:ascii="Arial" w:hAnsi="Arial" w:cs="Arial"/>
          <w:b/>
          <w:bCs/>
          <w:spacing w:val="-21"/>
          <w:w w:val="95"/>
          <w:position w:val="1"/>
          <w:sz w:val="18"/>
          <w:szCs w:val="18"/>
        </w:rPr>
        <w:t xml:space="preserve"> </w:t>
      </w:r>
      <w:r>
        <w:rPr>
          <w:rFonts w:ascii="Arial" w:hAnsi="Arial" w:cs="Arial"/>
          <w:b/>
          <w:bCs/>
          <w:w w:val="95"/>
          <w:position w:val="1"/>
          <w:sz w:val="18"/>
          <w:szCs w:val="18"/>
        </w:rPr>
        <w:t>programs</w:t>
      </w:r>
      <w:r>
        <w:rPr>
          <w:rFonts w:ascii="Arial" w:hAnsi="Arial" w:cs="Arial"/>
          <w:b/>
          <w:bCs/>
          <w:w w:val="95"/>
          <w:position w:val="1"/>
          <w:sz w:val="18"/>
          <w:szCs w:val="18"/>
        </w:rPr>
        <w:tab/>
      </w:r>
      <w:r>
        <w:rPr>
          <w:rFonts w:ascii="Arial" w:hAnsi="Arial" w:cs="Arial"/>
          <w:sz w:val="18"/>
          <w:szCs w:val="18"/>
        </w:rPr>
        <w:t>Follow-up</w:t>
      </w:r>
    </w:p>
    <w:p w:rsidR="002C5025" w:rsidRDefault="002C5025">
      <w:pPr>
        <w:pStyle w:val="BodyText"/>
        <w:kinsoku w:val="0"/>
        <w:overflowPunct w:val="0"/>
        <w:spacing w:line="203" w:lineRule="exact"/>
        <w:ind w:left="311" w:right="990"/>
        <w:rPr>
          <w:rFonts w:ascii="Arial" w:hAnsi="Arial" w:cs="Arial"/>
          <w:b/>
          <w:bCs/>
          <w:w w:val="95"/>
          <w:sz w:val="18"/>
          <w:szCs w:val="18"/>
        </w:rPr>
      </w:pPr>
      <w:r>
        <w:rPr>
          <w:rFonts w:ascii="Arial" w:hAnsi="Arial" w:cs="Arial"/>
          <w:b/>
          <w:bCs/>
          <w:w w:val="95"/>
          <w:sz w:val="18"/>
          <w:szCs w:val="18"/>
        </w:rPr>
        <w:t>such as Montefiore Medical Center in</w:t>
      </w:r>
      <w:r w:rsidR="007B2B7B">
        <w:rPr>
          <w:rFonts w:ascii="Arial" w:hAnsi="Arial" w:cs="Arial"/>
          <w:b/>
          <w:bCs/>
          <w:w w:val="95"/>
          <w:sz w:val="18"/>
          <w:szCs w:val="18"/>
        </w:rPr>
        <w:t xml:space="preserve"> </w:t>
      </w:r>
      <w:r>
        <w:rPr>
          <w:rFonts w:ascii="Arial" w:hAnsi="Arial" w:cs="Arial"/>
          <w:b/>
          <w:bCs/>
          <w:w w:val="95"/>
          <w:sz w:val="18"/>
          <w:szCs w:val="18"/>
        </w:rPr>
        <w:t>New</w:t>
      </w:r>
      <w:r w:rsidR="007B2B7B">
        <w:rPr>
          <w:rFonts w:ascii="Arial" w:hAnsi="Arial" w:cs="Arial"/>
          <w:b/>
          <w:bCs/>
          <w:w w:val="95"/>
          <w:sz w:val="18"/>
          <w:szCs w:val="18"/>
        </w:rPr>
        <w:t xml:space="preserve"> </w:t>
      </w:r>
      <w:r>
        <w:rPr>
          <w:rFonts w:ascii="Arial" w:hAnsi="Arial" w:cs="Arial"/>
          <w:b/>
          <w:bCs/>
          <w:w w:val="95"/>
          <w:sz w:val="18"/>
          <w:szCs w:val="18"/>
        </w:rPr>
        <w:t>York</w:t>
      </w:r>
      <w:r w:rsidR="007B2B7B">
        <w:rPr>
          <w:rFonts w:ascii="Arial" w:hAnsi="Arial" w:cs="Arial"/>
          <w:b/>
          <w:bCs/>
          <w:w w:val="95"/>
          <w:sz w:val="18"/>
          <w:szCs w:val="18"/>
        </w:rPr>
        <w:t xml:space="preserve"> </w:t>
      </w:r>
      <w:r>
        <w:rPr>
          <w:rFonts w:ascii="Arial" w:hAnsi="Arial" w:cs="Arial"/>
          <w:b/>
          <w:bCs/>
          <w:w w:val="95"/>
          <w:sz w:val="18"/>
          <w:szCs w:val="18"/>
        </w:rPr>
        <w:t>iii, Franciscan Alliance</w:t>
      </w:r>
    </w:p>
    <w:p w:rsidR="002C5025" w:rsidRDefault="002C5025">
      <w:pPr>
        <w:pStyle w:val="BodyText"/>
        <w:kinsoku w:val="0"/>
        <w:overflowPunct w:val="0"/>
        <w:spacing w:before="45" w:line="292" w:lineRule="auto"/>
        <w:ind w:left="294" w:right="4105" w:firstLine="6"/>
        <w:rPr>
          <w:rFonts w:ascii="Arial" w:hAnsi="Arial" w:cs="Arial"/>
          <w:sz w:val="18"/>
          <w:szCs w:val="18"/>
        </w:rPr>
      </w:pPr>
      <w:r>
        <w:rPr>
          <w:rFonts w:ascii="Arial" w:hAnsi="Arial" w:cs="Arial"/>
          <w:sz w:val="18"/>
          <w:szCs w:val="18"/>
        </w:rPr>
        <w:t>ACO in Indiana'', and Ba</w:t>
      </w:r>
      <w:r w:rsidR="007B2B7B">
        <w:rPr>
          <w:rFonts w:ascii="Arial" w:hAnsi="Arial" w:cs="Arial"/>
          <w:sz w:val="18"/>
          <w:szCs w:val="18"/>
        </w:rPr>
        <w:t xml:space="preserve">nner Health Network in Arizona </w:t>
      </w:r>
      <w:r>
        <w:rPr>
          <w:rFonts w:ascii="Arial" w:hAnsi="Arial" w:cs="Arial"/>
          <w:sz w:val="18"/>
          <w:szCs w:val="18"/>
        </w:rPr>
        <w:t>and patient-centered medical home (PCMH) programs such as that operated by Blue Cross Blue Shield of Michigan. Care coordination mechanisms appear to work both for broad patient populations and for targeted groups. With respect to specific populations, positive</w:t>
      </w:r>
    </w:p>
    <w:p w:rsidR="002C5025" w:rsidRDefault="002C5025">
      <w:pPr>
        <w:pStyle w:val="BodyText"/>
        <w:kinsoku w:val="0"/>
        <w:overflowPunct w:val="0"/>
        <w:spacing w:line="193" w:lineRule="exact"/>
        <w:ind w:left="294" w:right="990"/>
        <w:rPr>
          <w:rFonts w:ascii="Arial" w:hAnsi="Arial" w:cs="Arial"/>
          <w:b/>
          <w:bCs/>
          <w:w w:val="95"/>
          <w:sz w:val="18"/>
          <w:szCs w:val="18"/>
        </w:rPr>
      </w:pPr>
      <w:r>
        <w:rPr>
          <w:rFonts w:ascii="Arial" w:hAnsi="Arial" w:cs="Arial"/>
          <w:b/>
          <w:bCs/>
          <w:w w:val="95"/>
          <w:sz w:val="18"/>
          <w:szCs w:val="18"/>
        </w:rPr>
        <w:t>return on investment has been demonstrated for at-risk infants</w:t>
      </w:r>
      <w:r w:rsidR="007B2B7B">
        <w:rPr>
          <w:rFonts w:ascii="Arial" w:hAnsi="Arial" w:cs="Arial"/>
          <w:b/>
          <w:bCs/>
          <w:w w:val="95"/>
          <w:sz w:val="18"/>
          <w:szCs w:val="18"/>
        </w:rPr>
        <w:t xml:space="preserve"> </w:t>
      </w:r>
      <w:r>
        <w:rPr>
          <w:rFonts w:ascii="Times New Roman" w:hAnsi="Times New Roman" w:cs="Times New Roman"/>
          <w:b/>
          <w:bCs/>
          <w:w w:val="95"/>
          <w:sz w:val="13"/>
          <w:szCs w:val="13"/>
        </w:rPr>
        <w:t xml:space="preserve">vi </w:t>
      </w:r>
      <w:r>
        <w:rPr>
          <w:rFonts w:ascii="Arial" w:hAnsi="Arial" w:cs="Arial"/>
          <w:b/>
          <w:bCs/>
          <w:w w:val="95"/>
          <w:sz w:val="18"/>
          <w:szCs w:val="18"/>
        </w:rPr>
        <w:t>and</w:t>
      </w:r>
    </w:p>
    <w:p w:rsidR="002C5025" w:rsidRDefault="002C5025">
      <w:pPr>
        <w:pStyle w:val="BodyText"/>
        <w:kinsoku w:val="0"/>
        <w:overflowPunct w:val="0"/>
        <w:spacing w:before="38" w:line="283" w:lineRule="auto"/>
        <w:ind w:left="294" w:right="4105"/>
        <w:rPr>
          <w:rFonts w:ascii="Arial" w:hAnsi="Arial" w:cs="Arial"/>
          <w:sz w:val="18"/>
          <w:szCs w:val="18"/>
        </w:rPr>
      </w:pPr>
      <w:r>
        <w:rPr>
          <w:rFonts w:ascii="Arial" w:hAnsi="Arial" w:cs="Arial"/>
          <w:b/>
          <w:bCs/>
          <w:w w:val="90"/>
          <w:sz w:val="18"/>
          <w:szCs w:val="18"/>
        </w:rPr>
        <w:t>dually-eligible elders</w:t>
      </w:r>
      <w:r w:rsidR="007B2B7B">
        <w:rPr>
          <w:rFonts w:ascii="Arial" w:hAnsi="Arial" w:cs="Arial"/>
          <w:b/>
          <w:bCs/>
          <w:w w:val="90"/>
          <w:sz w:val="18"/>
          <w:szCs w:val="18"/>
        </w:rPr>
        <w:t xml:space="preserve"> </w:t>
      </w:r>
      <w:r>
        <w:rPr>
          <w:rFonts w:ascii="Times New Roman" w:hAnsi="Times New Roman" w:cs="Times New Roman"/>
          <w:b/>
          <w:bCs/>
          <w:w w:val="90"/>
          <w:sz w:val="13"/>
          <w:szCs w:val="13"/>
        </w:rPr>
        <w:t xml:space="preserve">vii, </w:t>
      </w:r>
      <w:r>
        <w:rPr>
          <w:rFonts w:ascii="Arial" w:hAnsi="Arial" w:cs="Arial"/>
          <w:b/>
          <w:bCs/>
          <w:w w:val="90"/>
          <w:sz w:val="18"/>
          <w:szCs w:val="18"/>
        </w:rPr>
        <w:t>as well as low-income asthmatic children</w:t>
      </w:r>
      <w:r w:rsidR="007B2B7B">
        <w:rPr>
          <w:rFonts w:ascii="Arial" w:hAnsi="Arial" w:cs="Arial"/>
          <w:b/>
          <w:bCs/>
          <w:w w:val="90"/>
          <w:sz w:val="18"/>
          <w:szCs w:val="18"/>
        </w:rPr>
        <w:t xml:space="preserve"> </w:t>
      </w:r>
      <w:r>
        <w:rPr>
          <w:rFonts w:ascii="Times New Roman" w:hAnsi="Times New Roman" w:cs="Times New Roman"/>
          <w:b/>
          <w:bCs/>
          <w:w w:val="90"/>
          <w:sz w:val="13"/>
          <w:szCs w:val="13"/>
        </w:rPr>
        <w:t xml:space="preserve">viii, </w:t>
      </w:r>
      <w:r w:rsidR="007B2B7B">
        <w:rPr>
          <w:rFonts w:ascii="Arial" w:hAnsi="Arial" w:cs="Arial"/>
          <w:sz w:val="18"/>
          <w:szCs w:val="18"/>
        </w:rPr>
        <w:t xml:space="preserve">obese children, disabled elders' </w:t>
      </w:r>
      <w:r>
        <w:rPr>
          <w:rFonts w:ascii="Arial" w:hAnsi="Arial" w:cs="Arial"/>
          <w:sz w:val="18"/>
          <w:szCs w:val="18"/>
        </w:rPr>
        <w:t>and high-need patients being discharged from hospitals''.</w:t>
      </w:r>
    </w:p>
    <w:p w:rsidR="002C5025" w:rsidRDefault="002C5025">
      <w:pPr>
        <w:pStyle w:val="BodyText"/>
        <w:kinsoku w:val="0"/>
        <w:overflowPunct w:val="0"/>
        <w:rPr>
          <w:rFonts w:ascii="Arial" w:hAnsi="Arial" w:cs="Arial"/>
          <w:sz w:val="18"/>
          <w:szCs w:val="18"/>
        </w:rPr>
      </w:pPr>
    </w:p>
    <w:p w:rsidR="002C5025" w:rsidRDefault="002C5025">
      <w:pPr>
        <w:pStyle w:val="BodyText"/>
        <w:kinsoku w:val="0"/>
        <w:overflowPunct w:val="0"/>
        <w:rPr>
          <w:rFonts w:ascii="Arial" w:hAnsi="Arial" w:cs="Arial"/>
          <w:sz w:val="18"/>
          <w:szCs w:val="18"/>
        </w:rPr>
      </w:pPr>
    </w:p>
    <w:p w:rsidR="002C5025" w:rsidRDefault="002C5025">
      <w:pPr>
        <w:pStyle w:val="BodyText"/>
        <w:tabs>
          <w:tab w:val="left" w:pos="6090"/>
        </w:tabs>
        <w:kinsoku w:val="0"/>
        <w:overflowPunct w:val="0"/>
        <w:spacing w:before="112"/>
        <w:ind w:left="304" w:right="990"/>
        <w:rPr>
          <w:rFonts w:ascii="Arial" w:hAnsi="Arial" w:cs="Arial"/>
          <w:w w:val="95"/>
          <w:position w:val="1"/>
          <w:sz w:val="18"/>
          <w:szCs w:val="18"/>
        </w:rPr>
      </w:pPr>
      <w:r>
        <w:rPr>
          <w:rFonts w:ascii="Arial" w:hAnsi="Arial" w:cs="Arial"/>
          <w:b/>
          <w:bCs/>
          <w:w w:val="90"/>
          <w:sz w:val="18"/>
          <w:szCs w:val="18"/>
        </w:rPr>
        <w:t>HEALTH EDUCATION AND WELLNESS</w:t>
      </w:r>
      <w:r>
        <w:rPr>
          <w:rFonts w:ascii="Arial" w:hAnsi="Arial" w:cs="Arial"/>
          <w:b/>
          <w:bCs/>
          <w:spacing w:val="44"/>
          <w:w w:val="90"/>
          <w:sz w:val="18"/>
          <w:szCs w:val="18"/>
        </w:rPr>
        <w:t xml:space="preserve"> </w:t>
      </w:r>
      <w:r>
        <w:rPr>
          <w:rFonts w:ascii="Arial" w:hAnsi="Arial" w:cs="Arial"/>
          <w:b/>
          <w:bCs/>
          <w:w w:val="90"/>
          <w:sz w:val="18"/>
          <w:szCs w:val="18"/>
        </w:rPr>
        <w:t>INTERVENTIONS.</w:t>
      </w:r>
      <w:r>
        <w:rPr>
          <w:rFonts w:ascii="Arial" w:hAnsi="Arial" w:cs="Arial"/>
          <w:b/>
          <w:bCs/>
          <w:spacing w:val="29"/>
          <w:w w:val="90"/>
          <w:sz w:val="18"/>
          <w:szCs w:val="18"/>
        </w:rPr>
        <w:t xml:space="preserve"> </w:t>
      </w:r>
      <w:r>
        <w:rPr>
          <w:rFonts w:ascii="Arial" w:hAnsi="Arial" w:cs="Arial"/>
          <w:w w:val="90"/>
          <w:sz w:val="18"/>
          <w:szCs w:val="18"/>
        </w:rPr>
        <w:t>Modifiable</w:t>
      </w:r>
      <w:r>
        <w:rPr>
          <w:rFonts w:ascii="Arial" w:hAnsi="Arial" w:cs="Arial"/>
          <w:w w:val="90"/>
          <w:sz w:val="18"/>
          <w:szCs w:val="18"/>
        </w:rPr>
        <w:tab/>
      </w:r>
      <w:r>
        <w:rPr>
          <w:rFonts w:ascii="Arial" w:hAnsi="Arial" w:cs="Arial"/>
          <w:w w:val="95"/>
          <w:position w:val="1"/>
          <w:sz w:val="18"/>
          <w:szCs w:val="18"/>
        </w:rPr>
        <w:t>Smoking</w:t>
      </w:r>
      <w:r>
        <w:rPr>
          <w:rFonts w:ascii="Arial" w:hAnsi="Arial" w:cs="Arial"/>
          <w:spacing w:val="1"/>
          <w:w w:val="95"/>
          <w:position w:val="1"/>
          <w:sz w:val="18"/>
          <w:szCs w:val="18"/>
        </w:rPr>
        <w:t xml:space="preserve"> </w:t>
      </w:r>
      <w:r>
        <w:rPr>
          <w:rFonts w:ascii="Arial" w:hAnsi="Arial" w:cs="Arial"/>
          <w:w w:val="95"/>
          <w:position w:val="1"/>
          <w:sz w:val="18"/>
          <w:szCs w:val="18"/>
        </w:rPr>
        <w:t>cessation</w:t>
      </w:r>
    </w:p>
    <w:p w:rsidR="002C5025" w:rsidRDefault="002C5025">
      <w:pPr>
        <w:pStyle w:val="BodyText"/>
        <w:tabs>
          <w:tab w:val="left" w:pos="6097"/>
        </w:tabs>
        <w:kinsoku w:val="0"/>
        <w:overflowPunct w:val="0"/>
        <w:spacing w:before="35" w:line="268" w:lineRule="auto"/>
        <w:ind w:left="294" w:right="711" w:hanging="1"/>
        <w:rPr>
          <w:rFonts w:ascii="Arial" w:hAnsi="Arial" w:cs="Arial"/>
          <w:b/>
          <w:bCs/>
          <w:w w:val="90"/>
          <w:sz w:val="18"/>
          <w:szCs w:val="18"/>
        </w:rPr>
      </w:pPr>
      <w:r>
        <w:rPr>
          <w:rFonts w:ascii="Arial" w:hAnsi="Arial" w:cs="Arial"/>
          <w:sz w:val="18"/>
          <w:szCs w:val="18"/>
        </w:rPr>
        <w:t>health risks have significant impact on health outcomes and</w:t>
      </w:r>
      <w:r>
        <w:rPr>
          <w:rFonts w:ascii="Arial" w:hAnsi="Arial" w:cs="Arial"/>
          <w:spacing w:val="-3"/>
          <w:sz w:val="18"/>
          <w:szCs w:val="18"/>
        </w:rPr>
        <w:t xml:space="preserve"> </w:t>
      </w:r>
      <w:r>
        <w:rPr>
          <w:rFonts w:ascii="Arial" w:hAnsi="Arial" w:cs="Arial"/>
          <w:sz w:val="18"/>
          <w:szCs w:val="18"/>
        </w:rPr>
        <w:t>costs'</w:t>
      </w:r>
      <w:r>
        <w:rPr>
          <w:rFonts w:ascii="Arial" w:hAnsi="Arial" w:cs="Arial"/>
          <w:spacing w:val="11"/>
          <w:sz w:val="18"/>
          <w:szCs w:val="18"/>
        </w:rPr>
        <w:t xml:space="preserve"> </w:t>
      </w:r>
      <w:r>
        <w:rPr>
          <w:rFonts w:ascii="Arial" w:hAnsi="Arial" w:cs="Arial"/>
          <w:sz w:val="18"/>
          <w:szCs w:val="18"/>
        </w:rPr>
        <w:t>.</w:t>
      </w:r>
      <w:r>
        <w:rPr>
          <w:rFonts w:ascii="Arial" w:hAnsi="Arial" w:cs="Arial"/>
          <w:sz w:val="18"/>
          <w:szCs w:val="18"/>
        </w:rPr>
        <w:tab/>
      </w:r>
      <w:r>
        <w:rPr>
          <w:rFonts w:ascii="Arial" w:hAnsi="Arial" w:cs="Arial"/>
          <w:position w:val="1"/>
          <w:sz w:val="18"/>
          <w:szCs w:val="18"/>
        </w:rPr>
        <w:t>Chronic disease</w:t>
      </w:r>
      <w:r>
        <w:rPr>
          <w:rFonts w:ascii="Arial" w:hAnsi="Arial" w:cs="Arial"/>
          <w:spacing w:val="-32"/>
          <w:position w:val="1"/>
          <w:sz w:val="18"/>
          <w:szCs w:val="18"/>
        </w:rPr>
        <w:t xml:space="preserve"> </w:t>
      </w:r>
      <w:r>
        <w:rPr>
          <w:rFonts w:ascii="Arial" w:hAnsi="Arial" w:cs="Arial"/>
          <w:position w:val="1"/>
          <w:sz w:val="18"/>
          <w:szCs w:val="18"/>
        </w:rPr>
        <w:t>prevention</w:t>
      </w:r>
      <w:r>
        <w:rPr>
          <w:rFonts w:ascii="Arial" w:hAnsi="Arial" w:cs="Arial"/>
          <w:spacing w:val="-16"/>
          <w:position w:val="1"/>
          <w:sz w:val="18"/>
          <w:szCs w:val="18"/>
        </w:rPr>
        <w:t xml:space="preserve"> </w:t>
      </w:r>
      <w:r>
        <w:rPr>
          <w:rFonts w:ascii="Arial" w:hAnsi="Arial" w:cs="Arial"/>
          <w:position w:val="1"/>
          <w:sz w:val="18"/>
          <w:szCs w:val="18"/>
        </w:rPr>
        <w:t xml:space="preserve">programs </w:t>
      </w:r>
      <w:r>
        <w:rPr>
          <w:rFonts w:ascii="Arial" w:hAnsi="Arial" w:cs="Arial"/>
          <w:sz w:val="18"/>
          <w:szCs w:val="18"/>
        </w:rPr>
        <w:t>Education</w:t>
      </w:r>
      <w:r>
        <w:rPr>
          <w:rFonts w:ascii="Arial" w:hAnsi="Arial" w:cs="Arial"/>
          <w:spacing w:val="-12"/>
          <w:sz w:val="18"/>
          <w:szCs w:val="18"/>
        </w:rPr>
        <w:t xml:space="preserve"> </w:t>
      </w:r>
      <w:r>
        <w:rPr>
          <w:rFonts w:ascii="Arial" w:hAnsi="Arial" w:cs="Arial"/>
          <w:sz w:val="18"/>
          <w:szCs w:val="18"/>
        </w:rPr>
        <w:t>and</w:t>
      </w:r>
      <w:r>
        <w:rPr>
          <w:rFonts w:ascii="Arial" w:hAnsi="Arial" w:cs="Arial"/>
          <w:spacing w:val="-19"/>
          <w:sz w:val="18"/>
          <w:szCs w:val="18"/>
        </w:rPr>
        <w:t xml:space="preserve"> </w:t>
      </w:r>
      <w:r>
        <w:rPr>
          <w:rFonts w:ascii="Arial" w:hAnsi="Arial" w:cs="Arial"/>
          <w:sz w:val="18"/>
          <w:szCs w:val="18"/>
        </w:rPr>
        <w:t>self-care</w:t>
      </w:r>
      <w:r>
        <w:rPr>
          <w:rFonts w:ascii="Arial" w:hAnsi="Arial" w:cs="Arial"/>
          <w:spacing w:val="-8"/>
          <w:sz w:val="18"/>
          <w:szCs w:val="18"/>
        </w:rPr>
        <w:t xml:space="preserve"> </w:t>
      </w:r>
      <w:r>
        <w:rPr>
          <w:rFonts w:ascii="Arial" w:hAnsi="Arial" w:cs="Arial"/>
          <w:sz w:val="18"/>
          <w:szCs w:val="18"/>
        </w:rPr>
        <w:t>programs</w:t>
      </w:r>
      <w:r>
        <w:rPr>
          <w:rFonts w:ascii="Arial" w:hAnsi="Arial" w:cs="Arial"/>
          <w:spacing w:val="-8"/>
          <w:sz w:val="18"/>
          <w:szCs w:val="18"/>
        </w:rPr>
        <w:t xml:space="preserve"> </w:t>
      </w:r>
      <w:r>
        <w:rPr>
          <w:rFonts w:ascii="Arial" w:hAnsi="Arial" w:cs="Arial"/>
          <w:sz w:val="18"/>
          <w:szCs w:val="18"/>
        </w:rPr>
        <w:t>addressing</w:t>
      </w:r>
      <w:r>
        <w:rPr>
          <w:rFonts w:ascii="Arial" w:hAnsi="Arial" w:cs="Arial"/>
          <w:spacing w:val="-17"/>
          <w:sz w:val="18"/>
          <w:szCs w:val="18"/>
        </w:rPr>
        <w:t xml:space="preserve"> </w:t>
      </w:r>
      <w:r>
        <w:rPr>
          <w:rFonts w:ascii="Arial" w:hAnsi="Arial" w:cs="Arial"/>
          <w:sz w:val="18"/>
          <w:szCs w:val="18"/>
        </w:rPr>
        <w:t>these</w:t>
      </w:r>
      <w:r>
        <w:rPr>
          <w:rFonts w:ascii="Arial" w:hAnsi="Arial" w:cs="Arial"/>
          <w:spacing w:val="-17"/>
          <w:sz w:val="18"/>
          <w:szCs w:val="18"/>
        </w:rPr>
        <w:t xml:space="preserve"> </w:t>
      </w:r>
      <w:r>
        <w:rPr>
          <w:rFonts w:ascii="Arial" w:hAnsi="Arial" w:cs="Arial"/>
          <w:sz w:val="18"/>
          <w:szCs w:val="18"/>
        </w:rPr>
        <w:t>factors</w:t>
      </w:r>
      <w:r>
        <w:rPr>
          <w:rFonts w:ascii="Arial" w:hAnsi="Arial" w:cs="Arial"/>
          <w:spacing w:val="-5"/>
          <w:sz w:val="18"/>
          <w:szCs w:val="18"/>
        </w:rPr>
        <w:t xml:space="preserve"> </w:t>
      </w:r>
      <w:r>
        <w:rPr>
          <w:rFonts w:ascii="Arial" w:hAnsi="Arial" w:cs="Arial"/>
          <w:sz w:val="18"/>
          <w:szCs w:val="18"/>
        </w:rPr>
        <w:t>have</w:t>
      </w:r>
      <w:r>
        <w:rPr>
          <w:rFonts w:ascii="Arial" w:hAnsi="Arial" w:cs="Arial"/>
          <w:sz w:val="18"/>
          <w:szCs w:val="18"/>
        </w:rPr>
        <w:tab/>
      </w:r>
      <w:r>
        <w:rPr>
          <w:rFonts w:ascii="Arial" w:hAnsi="Arial" w:cs="Arial"/>
          <w:position w:val="1"/>
          <w:sz w:val="18"/>
          <w:szCs w:val="18"/>
        </w:rPr>
        <w:t>Evidence-based</w:t>
      </w:r>
      <w:r>
        <w:rPr>
          <w:rFonts w:ascii="Arial" w:hAnsi="Arial" w:cs="Arial"/>
          <w:spacing w:val="-24"/>
          <w:position w:val="1"/>
          <w:sz w:val="18"/>
          <w:szCs w:val="18"/>
        </w:rPr>
        <w:t xml:space="preserve"> </w:t>
      </w:r>
      <w:r>
        <w:rPr>
          <w:rFonts w:ascii="Arial" w:hAnsi="Arial" w:cs="Arial"/>
          <w:position w:val="1"/>
          <w:sz w:val="18"/>
          <w:szCs w:val="18"/>
        </w:rPr>
        <w:t>self-care</w:t>
      </w:r>
      <w:r>
        <w:rPr>
          <w:rFonts w:ascii="Arial" w:hAnsi="Arial" w:cs="Arial"/>
          <w:spacing w:val="-18"/>
          <w:position w:val="1"/>
          <w:sz w:val="18"/>
          <w:szCs w:val="18"/>
        </w:rPr>
        <w:t xml:space="preserve"> </w:t>
      </w:r>
      <w:r w:rsidR="007B2B7B">
        <w:rPr>
          <w:rFonts w:ascii="Arial" w:hAnsi="Arial" w:cs="Arial"/>
          <w:position w:val="1"/>
          <w:sz w:val="18"/>
          <w:szCs w:val="18"/>
        </w:rPr>
        <w:t>programs</w:t>
      </w:r>
      <w:r>
        <w:rPr>
          <w:rFonts w:ascii="Arial" w:hAnsi="Arial" w:cs="Arial"/>
          <w:position w:val="1"/>
          <w:sz w:val="18"/>
          <w:szCs w:val="18"/>
        </w:rPr>
        <w:t xml:space="preserve"> </w:t>
      </w:r>
      <w:r>
        <w:rPr>
          <w:rFonts w:ascii="Arial" w:hAnsi="Arial" w:cs="Arial"/>
          <w:b/>
          <w:bCs/>
          <w:w w:val="95"/>
          <w:sz w:val="18"/>
          <w:szCs w:val="18"/>
        </w:rPr>
        <w:t>demonstrated</w:t>
      </w:r>
      <w:r>
        <w:rPr>
          <w:rFonts w:ascii="Arial" w:hAnsi="Arial" w:cs="Arial"/>
          <w:b/>
          <w:bCs/>
          <w:spacing w:val="-19"/>
          <w:w w:val="95"/>
          <w:sz w:val="18"/>
          <w:szCs w:val="18"/>
        </w:rPr>
        <w:t xml:space="preserve"> </w:t>
      </w:r>
      <w:r>
        <w:rPr>
          <w:rFonts w:ascii="Arial" w:hAnsi="Arial" w:cs="Arial"/>
          <w:b/>
          <w:bCs/>
          <w:w w:val="95"/>
          <w:sz w:val="18"/>
          <w:szCs w:val="18"/>
        </w:rPr>
        <w:t>impact</w:t>
      </w:r>
      <w:r>
        <w:rPr>
          <w:rFonts w:ascii="Arial" w:hAnsi="Arial" w:cs="Arial"/>
          <w:b/>
          <w:bCs/>
          <w:spacing w:val="-21"/>
          <w:w w:val="95"/>
          <w:sz w:val="18"/>
          <w:szCs w:val="18"/>
        </w:rPr>
        <w:t xml:space="preserve"> </w:t>
      </w:r>
      <w:r>
        <w:rPr>
          <w:rFonts w:ascii="Arial" w:hAnsi="Arial" w:cs="Arial"/>
          <w:b/>
          <w:bCs/>
          <w:w w:val="95"/>
          <w:sz w:val="18"/>
          <w:szCs w:val="18"/>
        </w:rPr>
        <w:t>in</w:t>
      </w:r>
      <w:r w:rsidR="007B2B7B">
        <w:rPr>
          <w:rFonts w:ascii="Arial" w:hAnsi="Arial" w:cs="Arial"/>
          <w:b/>
          <w:bCs/>
          <w:w w:val="95"/>
          <w:sz w:val="18"/>
          <w:szCs w:val="18"/>
        </w:rPr>
        <w:t xml:space="preserve"> </w:t>
      </w:r>
      <w:r>
        <w:rPr>
          <w:rFonts w:ascii="Arial" w:hAnsi="Arial" w:cs="Arial"/>
          <w:b/>
          <w:bCs/>
          <w:w w:val="95"/>
          <w:sz w:val="18"/>
          <w:szCs w:val="18"/>
        </w:rPr>
        <w:t>diabetes</w:t>
      </w:r>
      <w:r>
        <w:rPr>
          <w:rFonts w:ascii="Arial" w:hAnsi="Arial" w:cs="Arial"/>
          <w:b/>
          <w:bCs/>
          <w:spacing w:val="-21"/>
          <w:w w:val="95"/>
          <w:sz w:val="18"/>
          <w:szCs w:val="18"/>
        </w:rPr>
        <w:t xml:space="preserve"> </w:t>
      </w:r>
      <w:r>
        <w:rPr>
          <w:rFonts w:ascii="Arial" w:hAnsi="Arial" w:cs="Arial"/>
          <w:b/>
          <w:bCs/>
          <w:w w:val="95"/>
          <w:sz w:val="18"/>
          <w:szCs w:val="18"/>
        </w:rPr>
        <w:t>prevention</w:t>
      </w:r>
      <w:r w:rsidR="007B2B7B">
        <w:rPr>
          <w:rFonts w:ascii="Arial" w:hAnsi="Arial" w:cs="Arial"/>
          <w:b/>
          <w:bCs/>
          <w:w w:val="95"/>
          <w:sz w:val="18"/>
          <w:szCs w:val="18"/>
        </w:rPr>
        <w:t xml:space="preserve"> </w:t>
      </w:r>
      <w:proofErr w:type="spellStart"/>
      <w:r>
        <w:rPr>
          <w:rFonts w:ascii="Arial" w:hAnsi="Arial" w:cs="Arial"/>
          <w:b/>
          <w:bCs/>
          <w:w w:val="95"/>
          <w:sz w:val="18"/>
          <w:szCs w:val="18"/>
        </w:rPr>
        <w:t>xrn</w:t>
      </w:r>
      <w:proofErr w:type="spellEnd"/>
      <w:r>
        <w:rPr>
          <w:rFonts w:ascii="Arial" w:hAnsi="Arial" w:cs="Arial"/>
          <w:b/>
          <w:bCs/>
          <w:spacing w:val="-2"/>
          <w:w w:val="95"/>
          <w:sz w:val="18"/>
          <w:szCs w:val="18"/>
        </w:rPr>
        <w:t xml:space="preserve"> </w:t>
      </w:r>
      <w:r>
        <w:rPr>
          <w:rFonts w:ascii="Arial" w:hAnsi="Arial" w:cs="Arial"/>
          <w:b/>
          <w:bCs/>
          <w:w w:val="95"/>
          <w:sz w:val="18"/>
          <w:szCs w:val="18"/>
        </w:rPr>
        <w:t>and</w:t>
      </w:r>
      <w:r>
        <w:rPr>
          <w:rFonts w:ascii="Arial" w:hAnsi="Arial" w:cs="Arial"/>
          <w:b/>
          <w:bCs/>
          <w:spacing w:val="-27"/>
          <w:w w:val="95"/>
          <w:sz w:val="18"/>
          <w:szCs w:val="18"/>
        </w:rPr>
        <w:t xml:space="preserve"> </w:t>
      </w:r>
      <w:r>
        <w:rPr>
          <w:rFonts w:ascii="Arial" w:hAnsi="Arial" w:cs="Arial"/>
          <w:b/>
          <w:bCs/>
          <w:w w:val="95"/>
          <w:sz w:val="18"/>
          <w:szCs w:val="18"/>
        </w:rPr>
        <w:t>in</w:t>
      </w:r>
      <w:r w:rsidR="007B2B7B">
        <w:rPr>
          <w:rFonts w:ascii="Arial" w:hAnsi="Arial" w:cs="Arial"/>
          <w:b/>
          <w:bCs/>
          <w:w w:val="95"/>
          <w:sz w:val="18"/>
          <w:szCs w:val="18"/>
        </w:rPr>
        <w:t xml:space="preserve"> </w:t>
      </w:r>
      <w:r>
        <w:rPr>
          <w:rFonts w:ascii="Arial" w:hAnsi="Arial" w:cs="Arial"/>
          <w:b/>
          <w:bCs/>
          <w:w w:val="95"/>
          <w:sz w:val="18"/>
          <w:szCs w:val="18"/>
        </w:rPr>
        <w:t>improving</w:t>
      </w:r>
      <w:r>
        <w:rPr>
          <w:rFonts w:ascii="Arial" w:hAnsi="Arial" w:cs="Arial"/>
          <w:b/>
          <w:bCs/>
          <w:w w:val="95"/>
          <w:sz w:val="18"/>
          <w:szCs w:val="18"/>
        </w:rPr>
        <w:tab/>
      </w:r>
      <w:r w:rsidR="007B2B7B">
        <w:rPr>
          <w:rFonts w:ascii="Arial" w:hAnsi="Arial" w:cs="Arial"/>
          <w:b/>
          <w:bCs/>
          <w:w w:val="95"/>
          <w:sz w:val="18"/>
          <w:szCs w:val="18"/>
        </w:rPr>
        <w:t xml:space="preserve">for </w:t>
      </w:r>
      <w:r>
        <w:rPr>
          <w:rFonts w:ascii="Arial" w:hAnsi="Arial" w:cs="Arial"/>
          <w:b/>
          <w:bCs/>
          <w:w w:val="90"/>
          <w:sz w:val="18"/>
          <w:szCs w:val="18"/>
        </w:rPr>
        <w:t>chronic disease</w:t>
      </w:r>
      <w:r>
        <w:rPr>
          <w:rFonts w:ascii="Arial" w:hAnsi="Arial" w:cs="Arial"/>
          <w:b/>
          <w:bCs/>
          <w:spacing w:val="31"/>
          <w:w w:val="90"/>
          <w:sz w:val="18"/>
          <w:szCs w:val="18"/>
        </w:rPr>
        <w:t xml:space="preserve"> </w:t>
      </w:r>
      <w:r>
        <w:rPr>
          <w:rFonts w:ascii="Arial" w:hAnsi="Arial" w:cs="Arial"/>
          <w:b/>
          <w:bCs/>
          <w:w w:val="90"/>
          <w:sz w:val="18"/>
          <w:szCs w:val="18"/>
        </w:rPr>
        <w:t>management</w:t>
      </w:r>
    </w:p>
    <w:p w:rsidR="002C5025" w:rsidRDefault="002C5025">
      <w:pPr>
        <w:pStyle w:val="BodyText"/>
        <w:tabs>
          <w:tab w:val="left" w:pos="6107"/>
        </w:tabs>
        <w:kinsoku w:val="0"/>
        <w:overflowPunct w:val="0"/>
        <w:spacing w:before="13"/>
        <w:ind w:left="287" w:right="990"/>
        <w:rPr>
          <w:rFonts w:ascii="Arial" w:hAnsi="Arial" w:cs="Arial"/>
          <w:b/>
          <w:bCs/>
          <w:w w:val="85"/>
          <w:sz w:val="18"/>
          <w:szCs w:val="18"/>
        </w:rPr>
      </w:pPr>
      <w:r>
        <w:rPr>
          <w:rFonts w:ascii="Arial" w:hAnsi="Arial" w:cs="Arial"/>
          <w:sz w:val="18"/>
          <w:szCs w:val="18"/>
        </w:rPr>
        <w:t>glucose control in diabetes'''. Well-studied</w:t>
      </w:r>
      <w:r>
        <w:rPr>
          <w:rFonts w:ascii="Arial" w:hAnsi="Arial" w:cs="Arial"/>
          <w:spacing w:val="30"/>
          <w:sz w:val="18"/>
          <w:szCs w:val="18"/>
        </w:rPr>
        <w:t xml:space="preserve"> </w:t>
      </w:r>
      <w:r>
        <w:rPr>
          <w:rFonts w:ascii="Arial" w:hAnsi="Arial" w:cs="Arial"/>
          <w:sz w:val="18"/>
          <w:szCs w:val="18"/>
        </w:rPr>
        <w:t>evidence-based</w:t>
      </w:r>
      <w:r>
        <w:rPr>
          <w:rFonts w:ascii="Arial" w:hAnsi="Arial" w:cs="Arial"/>
          <w:spacing w:val="34"/>
          <w:sz w:val="18"/>
          <w:szCs w:val="18"/>
        </w:rPr>
        <w:t xml:space="preserve"> </w:t>
      </w:r>
      <w:r>
        <w:rPr>
          <w:rFonts w:ascii="Arial" w:hAnsi="Arial" w:cs="Arial"/>
          <w:sz w:val="18"/>
          <w:szCs w:val="18"/>
        </w:rPr>
        <w:t>programs</w:t>
      </w:r>
      <w:r>
        <w:rPr>
          <w:rFonts w:ascii="Arial" w:hAnsi="Arial" w:cs="Arial"/>
          <w:sz w:val="18"/>
          <w:szCs w:val="18"/>
        </w:rPr>
        <w:tab/>
      </w:r>
      <w:r>
        <w:rPr>
          <w:rFonts w:ascii="Arial" w:hAnsi="Arial" w:cs="Arial"/>
          <w:b/>
          <w:bCs/>
          <w:w w:val="85"/>
          <w:sz w:val="18"/>
          <w:szCs w:val="18"/>
        </w:rPr>
        <w:t>Exercise</w:t>
      </w:r>
      <w:r>
        <w:rPr>
          <w:rFonts w:ascii="Arial" w:hAnsi="Arial" w:cs="Arial"/>
          <w:b/>
          <w:bCs/>
          <w:spacing w:val="41"/>
          <w:w w:val="85"/>
          <w:sz w:val="18"/>
          <w:szCs w:val="18"/>
        </w:rPr>
        <w:t xml:space="preserve"> </w:t>
      </w:r>
      <w:r>
        <w:rPr>
          <w:rFonts w:ascii="Arial" w:hAnsi="Arial" w:cs="Arial"/>
          <w:b/>
          <w:bCs/>
          <w:w w:val="85"/>
          <w:sz w:val="18"/>
          <w:szCs w:val="18"/>
        </w:rPr>
        <w:t>programs</w:t>
      </w:r>
    </w:p>
    <w:p w:rsidR="002C5025" w:rsidRDefault="002C5025">
      <w:pPr>
        <w:pStyle w:val="BodyText"/>
        <w:kinsoku w:val="0"/>
        <w:overflowPunct w:val="0"/>
        <w:spacing w:before="50" w:line="276" w:lineRule="auto"/>
        <w:ind w:left="275" w:right="4072" w:firstLine="11"/>
        <w:rPr>
          <w:rFonts w:ascii="Arial" w:hAnsi="Arial" w:cs="Arial"/>
          <w:b/>
          <w:bCs/>
          <w:w w:val="85"/>
          <w:sz w:val="18"/>
          <w:szCs w:val="18"/>
        </w:rPr>
      </w:pPr>
      <w:r>
        <w:rPr>
          <w:rFonts w:ascii="Arial" w:hAnsi="Arial" w:cs="Arial"/>
          <w:sz w:val="18"/>
          <w:szCs w:val="18"/>
        </w:rPr>
        <w:t xml:space="preserve">for smoking cessation have also demonstrated short-term clinical </w:t>
      </w:r>
      <w:r>
        <w:rPr>
          <w:rFonts w:ascii="Arial" w:hAnsi="Arial" w:cs="Arial"/>
          <w:b/>
          <w:bCs/>
          <w:w w:val="95"/>
          <w:sz w:val="18"/>
          <w:szCs w:val="18"/>
        </w:rPr>
        <w:t>and</w:t>
      </w:r>
      <w:r>
        <w:rPr>
          <w:rFonts w:ascii="Arial" w:hAnsi="Arial" w:cs="Arial"/>
          <w:b/>
          <w:bCs/>
          <w:spacing w:val="-26"/>
          <w:w w:val="95"/>
          <w:sz w:val="18"/>
          <w:szCs w:val="18"/>
        </w:rPr>
        <w:t xml:space="preserve"> </w:t>
      </w:r>
      <w:r>
        <w:rPr>
          <w:rFonts w:ascii="Arial" w:hAnsi="Arial" w:cs="Arial"/>
          <w:b/>
          <w:bCs/>
          <w:w w:val="95"/>
          <w:sz w:val="18"/>
          <w:szCs w:val="18"/>
        </w:rPr>
        <w:t>economic</w:t>
      </w:r>
      <w:r>
        <w:rPr>
          <w:rFonts w:ascii="Arial" w:hAnsi="Arial" w:cs="Arial"/>
          <w:b/>
          <w:bCs/>
          <w:spacing w:val="-22"/>
          <w:w w:val="95"/>
          <w:sz w:val="18"/>
          <w:szCs w:val="18"/>
        </w:rPr>
        <w:t xml:space="preserve"> </w:t>
      </w:r>
      <w:r>
        <w:rPr>
          <w:rFonts w:ascii="Arial" w:hAnsi="Arial" w:cs="Arial"/>
          <w:b/>
          <w:bCs/>
          <w:w w:val="95"/>
          <w:sz w:val="18"/>
          <w:szCs w:val="18"/>
        </w:rPr>
        <w:t>benefits</w:t>
      </w:r>
      <w:r w:rsidR="007B2B7B">
        <w:rPr>
          <w:rFonts w:ascii="Arial" w:hAnsi="Arial" w:cs="Arial"/>
          <w:b/>
          <w:bCs/>
          <w:w w:val="95"/>
          <w:sz w:val="18"/>
          <w:szCs w:val="18"/>
        </w:rPr>
        <w:t xml:space="preserve"> </w:t>
      </w:r>
      <w:r>
        <w:rPr>
          <w:rFonts w:ascii="Arial" w:hAnsi="Arial" w:cs="Arial"/>
          <w:b/>
          <w:bCs/>
          <w:w w:val="95"/>
          <w:sz w:val="18"/>
          <w:szCs w:val="18"/>
        </w:rPr>
        <w:t>xv,</w:t>
      </w:r>
      <w:r>
        <w:rPr>
          <w:rFonts w:ascii="Arial" w:hAnsi="Arial" w:cs="Arial"/>
          <w:b/>
          <w:bCs/>
          <w:spacing w:val="-24"/>
          <w:w w:val="95"/>
          <w:sz w:val="18"/>
          <w:szCs w:val="18"/>
        </w:rPr>
        <w:t xml:space="preserve"> </w:t>
      </w:r>
      <w:r>
        <w:rPr>
          <w:rFonts w:ascii="Arial" w:hAnsi="Arial" w:cs="Arial"/>
          <w:b/>
          <w:bCs/>
          <w:w w:val="95"/>
          <w:sz w:val="18"/>
          <w:szCs w:val="18"/>
        </w:rPr>
        <w:t>as</w:t>
      </w:r>
      <w:r>
        <w:rPr>
          <w:rFonts w:ascii="Arial" w:hAnsi="Arial" w:cs="Arial"/>
          <w:b/>
          <w:bCs/>
          <w:spacing w:val="-31"/>
          <w:w w:val="95"/>
          <w:sz w:val="18"/>
          <w:szCs w:val="18"/>
        </w:rPr>
        <w:t xml:space="preserve"> </w:t>
      </w:r>
      <w:r>
        <w:rPr>
          <w:rFonts w:ascii="Arial" w:hAnsi="Arial" w:cs="Arial"/>
          <w:b/>
          <w:bCs/>
          <w:w w:val="95"/>
          <w:sz w:val="18"/>
          <w:szCs w:val="18"/>
        </w:rPr>
        <w:t>well</w:t>
      </w:r>
      <w:r>
        <w:rPr>
          <w:rFonts w:ascii="Arial" w:hAnsi="Arial" w:cs="Arial"/>
          <w:b/>
          <w:bCs/>
          <w:spacing w:val="-26"/>
          <w:w w:val="95"/>
          <w:sz w:val="18"/>
          <w:szCs w:val="18"/>
        </w:rPr>
        <w:t xml:space="preserve"> </w:t>
      </w:r>
      <w:r>
        <w:rPr>
          <w:rFonts w:ascii="Arial" w:hAnsi="Arial" w:cs="Arial"/>
          <w:b/>
          <w:bCs/>
          <w:w w:val="95"/>
          <w:sz w:val="18"/>
          <w:szCs w:val="18"/>
        </w:rPr>
        <w:t>as</w:t>
      </w:r>
      <w:r>
        <w:rPr>
          <w:rFonts w:ascii="Arial" w:hAnsi="Arial" w:cs="Arial"/>
          <w:b/>
          <w:bCs/>
          <w:spacing w:val="-29"/>
          <w:w w:val="95"/>
          <w:sz w:val="18"/>
          <w:szCs w:val="18"/>
        </w:rPr>
        <w:t xml:space="preserve"> </w:t>
      </w:r>
      <w:r>
        <w:rPr>
          <w:rFonts w:ascii="Arial" w:hAnsi="Arial" w:cs="Arial"/>
          <w:b/>
          <w:bCs/>
          <w:w w:val="95"/>
          <w:sz w:val="18"/>
          <w:szCs w:val="18"/>
        </w:rPr>
        <w:t>lifetime</w:t>
      </w:r>
      <w:r>
        <w:rPr>
          <w:rFonts w:ascii="Arial" w:hAnsi="Arial" w:cs="Arial"/>
          <w:b/>
          <w:bCs/>
          <w:spacing w:val="-28"/>
          <w:w w:val="95"/>
          <w:sz w:val="18"/>
          <w:szCs w:val="18"/>
        </w:rPr>
        <w:t xml:space="preserve"> </w:t>
      </w:r>
      <w:r>
        <w:rPr>
          <w:rFonts w:ascii="Arial" w:hAnsi="Arial" w:cs="Arial"/>
          <w:b/>
          <w:bCs/>
          <w:w w:val="95"/>
          <w:sz w:val="18"/>
          <w:szCs w:val="18"/>
        </w:rPr>
        <w:t>health</w:t>
      </w:r>
      <w:r>
        <w:rPr>
          <w:rFonts w:ascii="Arial" w:hAnsi="Arial" w:cs="Arial"/>
          <w:b/>
          <w:bCs/>
          <w:spacing w:val="-30"/>
          <w:w w:val="95"/>
          <w:sz w:val="18"/>
          <w:szCs w:val="18"/>
        </w:rPr>
        <w:t xml:space="preserve"> </w:t>
      </w:r>
      <w:r>
        <w:rPr>
          <w:rFonts w:ascii="Arial" w:hAnsi="Arial" w:cs="Arial"/>
          <w:b/>
          <w:bCs/>
          <w:w w:val="95"/>
          <w:sz w:val="18"/>
          <w:szCs w:val="18"/>
        </w:rPr>
        <w:t>cost</w:t>
      </w:r>
      <w:r>
        <w:rPr>
          <w:rFonts w:ascii="Arial" w:hAnsi="Arial" w:cs="Arial"/>
          <w:b/>
          <w:bCs/>
          <w:spacing w:val="-28"/>
          <w:w w:val="95"/>
          <w:sz w:val="18"/>
          <w:szCs w:val="18"/>
        </w:rPr>
        <w:t xml:space="preserve"> </w:t>
      </w:r>
      <w:r>
        <w:rPr>
          <w:rFonts w:ascii="Arial" w:hAnsi="Arial" w:cs="Arial"/>
          <w:b/>
          <w:bCs/>
          <w:w w:val="95"/>
          <w:sz w:val="18"/>
          <w:szCs w:val="18"/>
        </w:rPr>
        <w:t>savings</w:t>
      </w:r>
      <w:r w:rsidR="007B2B7B">
        <w:rPr>
          <w:rFonts w:ascii="Arial" w:hAnsi="Arial" w:cs="Arial"/>
          <w:b/>
          <w:bCs/>
          <w:w w:val="95"/>
          <w:sz w:val="18"/>
          <w:szCs w:val="18"/>
        </w:rPr>
        <w:t xml:space="preserve"> </w:t>
      </w:r>
      <w:r>
        <w:rPr>
          <w:rFonts w:ascii="Arial" w:hAnsi="Arial" w:cs="Arial"/>
          <w:b/>
          <w:bCs/>
          <w:w w:val="95"/>
          <w:sz w:val="18"/>
          <w:szCs w:val="18"/>
        </w:rPr>
        <w:t xml:space="preserve">xvi. </w:t>
      </w:r>
      <w:r>
        <w:rPr>
          <w:rFonts w:ascii="Arial" w:hAnsi="Arial" w:cs="Arial"/>
          <w:sz w:val="18"/>
          <w:szCs w:val="18"/>
        </w:rPr>
        <w:t xml:space="preserve">More broadly, approaches which seek to increase physical activity in general are directly related to lower health charges at a level which </w:t>
      </w:r>
      <w:r>
        <w:rPr>
          <w:rFonts w:ascii="Arial" w:hAnsi="Arial" w:cs="Arial"/>
          <w:b/>
          <w:bCs/>
          <w:w w:val="85"/>
          <w:sz w:val="18"/>
          <w:szCs w:val="18"/>
        </w:rPr>
        <w:t>justifies</w:t>
      </w:r>
      <w:r>
        <w:rPr>
          <w:rFonts w:ascii="Arial" w:hAnsi="Arial" w:cs="Arial"/>
          <w:b/>
          <w:bCs/>
          <w:spacing w:val="27"/>
          <w:w w:val="85"/>
          <w:sz w:val="18"/>
          <w:szCs w:val="18"/>
        </w:rPr>
        <w:t xml:space="preserve"> </w:t>
      </w:r>
      <w:r>
        <w:rPr>
          <w:rFonts w:ascii="Arial" w:hAnsi="Arial" w:cs="Arial"/>
          <w:b/>
          <w:bCs/>
          <w:w w:val="85"/>
          <w:sz w:val="18"/>
          <w:szCs w:val="18"/>
        </w:rPr>
        <w:t>investment</w:t>
      </w:r>
      <w:r w:rsidR="007B2B7B">
        <w:rPr>
          <w:rFonts w:ascii="Arial" w:hAnsi="Arial" w:cs="Arial"/>
          <w:b/>
          <w:bCs/>
          <w:w w:val="85"/>
          <w:sz w:val="18"/>
          <w:szCs w:val="18"/>
        </w:rPr>
        <w:t xml:space="preserve"> </w:t>
      </w:r>
      <w:r>
        <w:rPr>
          <w:rFonts w:ascii="Arial" w:hAnsi="Arial" w:cs="Arial"/>
          <w:b/>
          <w:bCs/>
          <w:w w:val="85"/>
          <w:sz w:val="18"/>
          <w:szCs w:val="18"/>
        </w:rPr>
        <w:t>xvii.</w:t>
      </w:r>
    </w:p>
    <w:p w:rsidR="002C5025" w:rsidRDefault="002C5025">
      <w:pPr>
        <w:pStyle w:val="BodyText"/>
        <w:kinsoku w:val="0"/>
        <w:overflowPunct w:val="0"/>
        <w:rPr>
          <w:rFonts w:ascii="Arial" w:hAnsi="Arial" w:cs="Arial"/>
          <w:b/>
          <w:bCs/>
          <w:sz w:val="18"/>
          <w:szCs w:val="18"/>
        </w:rPr>
      </w:pPr>
    </w:p>
    <w:p w:rsidR="002C5025" w:rsidRDefault="002C5025">
      <w:pPr>
        <w:pStyle w:val="BodyText"/>
        <w:kinsoku w:val="0"/>
        <w:overflowPunct w:val="0"/>
        <w:rPr>
          <w:rFonts w:ascii="Arial" w:hAnsi="Arial" w:cs="Arial"/>
          <w:b/>
          <w:bCs/>
          <w:sz w:val="18"/>
          <w:szCs w:val="18"/>
        </w:rPr>
      </w:pPr>
    </w:p>
    <w:p w:rsidR="002C5025" w:rsidRDefault="002C5025">
      <w:pPr>
        <w:pStyle w:val="BodyText"/>
        <w:tabs>
          <w:tab w:val="left" w:pos="6090"/>
        </w:tabs>
        <w:kinsoku w:val="0"/>
        <w:overflowPunct w:val="0"/>
        <w:spacing w:before="116" w:line="271" w:lineRule="auto"/>
        <w:ind w:left="282" w:right="386" w:firstLine="12"/>
        <w:rPr>
          <w:rFonts w:ascii="Arial" w:hAnsi="Arial" w:cs="Arial"/>
          <w:position w:val="1"/>
          <w:sz w:val="18"/>
          <w:szCs w:val="18"/>
        </w:rPr>
      </w:pPr>
      <w:r>
        <w:rPr>
          <w:rFonts w:ascii="Arial" w:hAnsi="Arial" w:cs="Arial"/>
          <w:b/>
          <w:bCs/>
          <w:sz w:val="18"/>
          <w:szCs w:val="18"/>
        </w:rPr>
        <w:t>HOUSING</w:t>
      </w:r>
      <w:r>
        <w:rPr>
          <w:rFonts w:ascii="Arial" w:hAnsi="Arial" w:cs="Arial"/>
          <w:b/>
          <w:bCs/>
          <w:spacing w:val="-26"/>
          <w:sz w:val="18"/>
          <w:szCs w:val="18"/>
        </w:rPr>
        <w:t xml:space="preserve"> </w:t>
      </w:r>
      <w:r>
        <w:rPr>
          <w:rFonts w:ascii="Arial" w:hAnsi="Arial" w:cs="Arial"/>
          <w:b/>
          <w:bCs/>
          <w:sz w:val="18"/>
          <w:szCs w:val="18"/>
        </w:rPr>
        <w:t>SUPPORT.</w:t>
      </w:r>
      <w:r>
        <w:rPr>
          <w:rFonts w:ascii="Arial" w:hAnsi="Arial" w:cs="Arial"/>
          <w:b/>
          <w:bCs/>
          <w:spacing w:val="-25"/>
          <w:sz w:val="18"/>
          <w:szCs w:val="18"/>
        </w:rPr>
        <w:t xml:space="preserve"> </w:t>
      </w:r>
      <w:r>
        <w:rPr>
          <w:rFonts w:ascii="Arial" w:hAnsi="Arial" w:cs="Arial"/>
          <w:sz w:val="18"/>
          <w:szCs w:val="18"/>
        </w:rPr>
        <w:t>There</w:t>
      </w:r>
      <w:r>
        <w:rPr>
          <w:rFonts w:ascii="Arial" w:hAnsi="Arial" w:cs="Arial"/>
          <w:spacing w:val="-22"/>
          <w:sz w:val="18"/>
          <w:szCs w:val="18"/>
        </w:rPr>
        <w:t xml:space="preserve"> </w:t>
      </w:r>
      <w:r>
        <w:rPr>
          <w:rFonts w:ascii="Arial" w:hAnsi="Arial" w:cs="Arial"/>
          <w:sz w:val="18"/>
          <w:szCs w:val="18"/>
        </w:rPr>
        <w:t>is</w:t>
      </w:r>
      <w:r>
        <w:rPr>
          <w:rFonts w:ascii="Arial" w:hAnsi="Arial" w:cs="Arial"/>
          <w:spacing w:val="-29"/>
          <w:sz w:val="18"/>
          <w:szCs w:val="18"/>
        </w:rPr>
        <w:t xml:space="preserve"> </w:t>
      </w:r>
      <w:r>
        <w:rPr>
          <w:rFonts w:ascii="Arial" w:hAnsi="Arial" w:cs="Arial"/>
          <w:sz w:val="18"/>
          <w:szCs w:val="18"/>
        </w:rPr>
        <w:t>evidence</w:t>
      </w:r>
      <w:r>
        <w:rPr>
          <w:rFonts w:ascii="Arial" w:hAnsi="Arial" w:cs="Arial"/>
          <w:spacing w:val="-27"/>
          <w:sz w:val="18"/>
          <w:szCs w:val="18"/>
        </w:rPr>
        <w:t xml:space="preserve"> </w:t>
      </w:r>
      <w:r>
        <w:rPr>
          <w:rFonts w:ascii="Arial" w:hAnsi="Arial" w:cs="Arial"/>
          <w:sz w:val="18"/>
          <w:szCs w:val="18"/>
        </w:rPr>
        <w:t>from</w:t>
      </w:r>
      <w:r>
        <w:rPr>
          <w:rFonts w:ascii="Arial" w:hAnsi="Arial" w:cs="Arial"/>
          <w:spacing w:val="-21"/>
          <w:sz w:val="18"/>
          <w:szCs w:val="18"/>
        </w:rPr>
        <w:t xml:space="preserve"> </w:t>
      </w:r>
      <w:r>
        <w:rPr>
          <w:rFonts w:ascii="Arial" w:hAnsi="Arial" w:cs="Arial"/>
          <w:sz w:val="18"/>
          <w:szCs w:val="18"/>
        </w:rPr>
        <w:t>multiple</w:t>
      </w:r>
      <w:r w:rsidR="007B2B7B">
        <w:rPr>
          <w:rFonts w:ascii="Arial" w:hAnsi="Arial" w:cs="Arial"/>
          <w:sz w:val="18"/>
          <w:szCs w:val="18"/>
        </w:rPr>
        <w:t xml:space="preserve"> </w:t>
      </w:r>
      <w:r>
        <w:rPr>
          <w:rFonts w:ascii="Arial" w:hAnsi="Arial" w:cs="Arial"/>
          <w:sz w:val="18"/>
          <w:szCs w:val="18"/>
        </w:rPr>
        <w:t>studies</w:t>
      </w:r>
      <w:r>
        <w:rPr>
          <w:rFonts w:ascii="Arial" w:hAnsi="Arial" w:cs="Arial"/>
          <w:sz w:val="18"/>
          <w:szCs w:val="18"/>
        </w:rPr>
        <w:tab/>
      </w:r>
      <w:r>
        <w:rPr>
          <w:rFonts w:ascii="Arial" w:hAnsi="Arial" w:cs="Arial"/>
          <w:position w:val="1"/>
          <w:sz w:val="18"/>
          <w:szCs w:val="18"/>
        </w:rPr>
        <w:t>Housing</w:t>
      </w:r>
      <w:r w:rsidR="007B2B7B">
        <w:rPr>
          <w:rFonts w:ascii="Arial" w:hAnsi="Arial" w:cs="Arial"/>
          <w:position w:val="1"/>
          <w:sz w:val="18"/>
          <w:szCs w:val="18"/>
        </w:rPr>
        <w:t xml:space="preserve"> </w:t>
      </w:r>
      <w:r>
        <w:rPr>
          <w:rFonts w:ascii="Arial" w:hAnsi="Arial" w:cs="Arial"/>
          <w:position w:val="1"/>
          <w:sz w:val="18"/>
          <w:szCs w:val="18"/>
        </w:rPr>
        <w:t>safety and</w:t>
      </w:r>
      <w:r>
        <w:rPr>
          <w:rFonts w:ascii="Arial" w:hAnsi="Arial" w:cs="Arial"/>
          <w:spacing w:val="-38"/>
          <w:position w:val="1"/>
          <w:sz w:val="18"/>
          <w:szCs w:val="18"/>
        </w:rPr>
        <w:t xml:space="preserve"> </w:t>
      </w:r>
      <w:r>
        <w:rPr>
          <w:rFonts w:ascii="Arial" w:hAnsi="Arial" w:cs="Arial"/>
          <w:position w:val="1"/>
          <w:sz w:val="18"/>
          <w:szCs w:val="18"/>
        </w:rPr>
        <w:t>quality</w:t>
      </w:r>
      <w:r>
        <w:rPr>
          <w:rFonts w:ascii="Arial" w:hAnsi="Arial" w:cs="Arial"/>
          <w:spacing w:val="-22"/>
          <w:position w:val="1"/>
          <w:sz w:val="18"/>
          <w:szCs w:val="18"/>
        </w:rPr>
        <w:t xml:space="preserve"> </w:t>
      </w:r>
      <w:r>
        <w:rPr>
          <w:rFonts w:ascii="Arial" w:hAnsi="Arial" w:cs="Arial"/>
          <w:position w:val="1"/>
          <w:sz w:val="18"/>
          <w:szCs w:val="18"/>
        </w:rPr>
        <w:t xml:space="preserve">assessment </w:t>
      </w:r>
      <w:r>
        <w:rPr>
          <w:rFonts w:ascii="Arial" w:hAnsi="Arial" w:cs="Arial"/>
          <w:sz w:val="18"/>
          <w:szCs w:val="18"/>
        </w:rPr>
        <w:t xml:space="preserve">demonstrating a direct relationship between </w:t>
      </w:r>
      <w:r>
        <w:rPr>
          <w:rFonts w:ascii="Arial" w:hAnsi="Arial" w:cs="Arial"/>
          <w:spacing w:val="38"/>
          <w:sz w:val="18"/>
          <w:szCs w:val="18"/>
        </w:rPr>
        <w:t xml:space="preserve"> </w:t>
      </w:r>
      <w:r>
        <w:rPr>
          <w:rFonts w:ascii="Arial" w:hAnsi="Arial" w:cs="Arial"/>
          <w:sz w:val="18"/>
          <w:szCs w:val="18"/>
        </w:rPr>
        <w:t>housing</w:t>
      </w:r>
      <w:r>
        <w:rPr>
          <w:rFonts w:ascii="Arial" w:hAnsi="Arial" w:cs="Arial"/>
          <w:spacing w:val="-7"/>
          <w:sz w:val="18"/>
          <w:szCs w:val="18"/>
        </w:rPr>
        <w:t xml:space="preserve"> </w:t>
      </w:r>
      <w:r>
        <w:rPr>
          <w:rFonts w:ascii="Arial" w:hAnsi="Arial" w:cs="Arial"/>
          <w:sz w:val="18"/>
          <w:szCs w:val="18"/>
        </w:rPr>
        <w:t>interventions</w:t>
      </w:r>
      <w:r>
        <w:rPr>
          <w:rFonts w:ascii="Arial" w:hAnsi="Arial" w:cs="Arial"/>
          <w:sz w:val="18"/>
          <w:szCs w:val="18"/>
        </w:rPr>
        <w:tab/>
      </w:r>
      <w:r>
        <w:rPr>
          <w:rFonts w:ascii="Arial" w:hAnsi="Arial" w:cs="Arial"/>
          <w:b/>
          <w:bCs/>
          <w:w w:val="90"/>
          <w:position w:val="1"/>
          <w:sz w:val="18"/>
          <w:szCs w:val="18"/>
        </w:rPr>
        <w:t>Connection to housekeeping</w:t>
      </w:r>
      <w:r>
        <w:rPr>
          <w:rFonts w:ascii="Arial" w:hAnsi="Arial" w:cs="Arial"/>
          <w:b/>
          <w:bCs/>
          <w:spacing w:val="-1"/>
          <w:w w:val="90"/>
          <w:position w:val="1"/>
          <w:sz w:val="18"/>
          <w:szCs w:val="18"/>
        </w:rPr>
        <w:t xml:space="preserve"> </w:t>
      </w:r>
      <w:r>
        <w:rPr>
          <w:rFonts w:ascii="Arial" w:hAnsi="Arial" w:cs="Arial"/>
          <w:b/>
          <w:bCs/>
          <w:w w:val="90"/>
          <w:position w:val="1"/>
          <w:sz w:val="18"/>
          <w:szCs w:val="18"/>
        </w:rPr>
        <w:t>services,</w:t>
      </w:r>
      <w:r>
        <w:rPr>
          <w:rFonts w:ascii="Arial" w:hAnsi="Arial" w:cs="Arial"/>
          <w:b/>
          <w:bCs/>
          <w:spacing w:val="5"/>
          <w:w w:val="90"/>
          <w:position w:val="1"/>
          <w:sz w:val="18"/>
          <w:szCs w:val="18"/>
        </w:rPr>
        <w:t xml:space="preserve"> </w:t>
      </w:r>
      <w:r>
        <w:rPr>
          <w:rFonts w:ascii="Arial" w:hAnsi="Arial" w:cs="Arial"/>
          <w:b/>
          <w:bCs/>
          <w:w w:val="90"/>
          <w:position w:val="1"/>
          <w:sz w:val="18"/>
          <w:szCs w:val="18"/>
        </w:rPr>
        <w:t xml:space="preserve">pest </w:t>
      </w:r>
      <w:r>
        <w:rPr>
          <w:rFonts w:ascii="Arial" w:hAnsi="Arial" w:cs="Arial"/>
          <w:sz w:val="18"/>
          <w:szCs w:val="18"/>
        </w:rPr>
        <w:t>and health care cost reductions in low-income</w:t>
      </w:r>
      <w:r>
        <w:rPr>
          <w:rFonts w:ascii="Arial" w:hAnsi="Arial" w:cs="Arial"/>
          <w:spacing w:val="32"/>
          <w:sz w:val="18"/>
          <w:szCs w:val="18"/>
        </w:rPr>
        <w:t xml:space="preserve"> </w:t>
      </w:r>
      <w:r>
        <w:rPr>
          <w:rFonts w:ascii="Arial" w:hAnsi="Arial" w:cs="Arial"/>
          <w:sz w:val="18"/>
          <w:szCs w:val="18"/>
        </w:rPr>
        <w:t>populations.</w:t>
      </w:r>
      <w:r>
        <w:rPr>
          <w:rFonts w:ascii="Arial" w:hAnsi="Arial" w:cs="Arial"/>
          <w:spacing w:val="9"/>
          <w:sz w:val="18"/>
          <w:szCs w:val="18"/>
        </w:rPr>
        <w:t xml:space="preserve"> </w:t>
      </w:r>
      <w:r>
        <w:rPr>
          <w:rFonts w:ascii="Arial" w:hAnsi="Arial" w:cs="Arial"/>
          <w:sz w:val="18"/>
          <w:szCs w:val="18"/>
        </w:rPr>
        <w:t>Net</w:t>
      </w:r>
      <w:r>
        <w:rPr>
          <w:rFonts w:ascii="Arial" w:hAnsi="Arial" w:cs="Arial"/>
          <w:sz w:val="18"/>
          <w:szCs w:val="18"/>
        </w:rPr>
        <w:tab/>
      </w:r>
      <w:r>
        <w:rPr>
          <w:rFonts w:ascii="Arial" w:hAnsi="Arial" w:cs="Arial"/>
          <w:b/>
          <w:bCs/>
          <w:w w:val="90"/>
          <w:position w:val="1"/>
          <w:sz w:val="18"/>
          <w:szCs w:val="18"/>
        </w:rPr>
        <w:t>extermination, repair</w:t>
      </w:r>
      <w:r>
        <w:rPr>
          <w:rFonts w:ascii="Arial" w:hAnsi="Arial" w:cs="Arial"/>
          <w:b/>
          <w:bCs/>
          <w:spacing w:val="19"/>
          <w:w w:val="90"/>
          <w:position w:val="1"/>
          <w:sz w:val="18"/>
          <w:szCs w:val="18"/>
        </w:rPr>
        <w:t xml:space="preserve"> </w:t>
      </w:r>
      <w:r>
        <w:rPr>
          <w:rFonts w:ascii="Arial" w:hAnsi="Arial" w:cs="Arial"/>
          <w:b/>
          <w:bCs/>
          <w:w w:val="90"/>
          <w:position w:val="1"/>
          <w:sz w:val="18"/>
          <w:szCs w:val="18"/>
        </w:rPr>
        <w:t>services,</w:t>
      </w:r>
      <w:r>
        <w:rPr>
          <w:rFonts w:ascii="Arial" w:hAnsi="Arial" w:cs="Arial"/>
          <w:b/>
          <w:bCs/>
          <w:spacing w:val="14"/>
          <w:w w:val="90"/>
          <w:position w:val="1"/>
          <w:sz w:val="18"/>
          <w:szCs w:val="18"/>
        </w:rPr>
        <w:t xml:space="preserve"> </w:t>
      </w:r>
      <w:r>
        <w:rPr>
          <w:rFonts w:ascii="Arial" w:hAnsi="Arial" w:cs="Arial"/>
          <w:b/>
          <w:bCs/>
          <w:w w:val="90"/>
          <w:position w:val="1"/>
          <w:sz w:val="18"/>
          <w:szCs w:val="18"/>
        </w:rPr>
        <w:t>appliance</w:t>
      </w:r>
      <w:r>
        <w:rPr>
          <w:rFonts w:ascii="Arial" w:hAnsi="Arial" w:cs="Arial"/>
          <w:b/>
          <w:bCs/>
          <w:spacing w:val="-2"/>
          <w:w w:val="90"/>
          <w:position w:val="1"/>
          <w:sz w:val="18"/>
          <w:szCs w:val="18"/>
        </w:rPr>
        <w:t xml:space="preserve"> </w:t>
      </w:r>
      <w:r>
        <w:rPr>
          <w:rFonts w:ascii="Arial" w:hAnsi="Arial" w:cs="Arial"/>
          <w:sz w:val="18"/>
          <w:szCs w:val="18"/>
        </w:rPr>
        <w:t>savings range from $9,000 per person per year to nearly</w:t>
      </w:r>
      <w:r>
        <w:rPr>
          <w:rFonts w:ascii="Arial" w:hAnsi="Arial" w:cs="Arial"/>
          <w:spacing w:val="-21"/>
          <w:sz w:val="18"/>
          <w:szCs w:val="18"/>
        </w:rPr>
        <w:t xml:space="preserve"> </w:t>
      </w:r>
      <w:r>
        <w:rPr>
          <w:rFonts w:ascii="Arial" w:hAnsi="Arial" w:cs="Arial"/>
          <w:sz w:val="18"/>
          <w:szCs w:val="18"/>
        </w:rPr>
        <w:t>$30,000</w:t>
      </w:r>
      <w:r>
        <w:rPr>
          <w:rFonts w:ascii="Arial" w:hAnsi="Arial" w:cs="Arial"/>
          <w:spacing w:val="-3"/>
          <w:sz w:val="18"/>
          <w:szCs w:val="18"/>
        </w:rPr>
        <w:t xml:space="preserve"> </w:t>
      </w:r>
      <w:r>
        <w:rPr>
          <w:rFonts w:ascii="Arial" w:hAnsi="Arial" w:cs="Arial"/>
          <w:sz w:val="18"/>
          <w:szCs w:val="18"/>
        </w:rPr>
        <w:t>per</w:t>
      </w:r>
      <w:r>
        <w:rPr>
          <w:rFonts w:ascii="Arial" w:hAnsi="Arial" w:cs="Arial"/>
          <w:sz w:val="18"/>
          <w:szCs w:val="18"/>
        </w:rPr>
        <w:tab/>
      </w:r>
      <w:r>
        <w:rPr>
          <w:rFonts w:ascii="Arial" w:hAnsi="Arial" w:cs="Arial"/>
          <w:position w:val="1"/>
          <w:sz w:val="18"/>
          <w:szCs w:val="18"/>
        </w:rPr>
        <w:t>replacement</w:t>
      </w:r>
    </w:p>
    <w:p w:rsidR="002C5025" w:rsidRDefault="002C5025">
      <w:pPr>
        <w:pStyle w:val="BodyText"/>
        <w:tabs>
          <w:tab w:val="left" w:pos="6097"/>
        </w:tabs>
        <w:kinsoku w:val="0"/>
        <w:overflowPunct w:val="0"/>
        <w:spacing w:line="205" w:lineRule="exact"/>
        <w:ind w:left="287" w:right="990"/>
        <w:rPr>
          <w:rFonts w:ascii="Arial" w:hAnsi="Arial" w:cs="Arial"/>
          <w:sz w:val="18"/>
          <w:szCs w:val="18"/>
        </w:rPr>
      </w:pPr>
      <w:r>
        <w:rPr>
          <w:rFonts w:ascii="Arial" w:hAnsi="Arial" w:cs="Arial"/>
          <w:b/>
          <w:bCs/>
          <w:w w:val="95"/>
          <w:position w:val="1"/>
          <w:sz w:val="18"/>
          <w:szCs w:val="18"/>
        </w:rPr>
        <w:t>person</w:t>
      </w:r>
      <w:r>
        <w:rPr>
          <w:rFonts w:ascii="Arial" w:hAnsi="Arial" w:cs="Arial"/>
          <w:b/>
          <w:bCs/>
          <w:spacing w:val="-27"/>
          <w:w w:val="95"/>
          <w:position w:val="1"/>
          <w:sz w:val="18"/>
          <w:szCs w:val="18"/>
        </w:rPr>
        <w:t xml:space="preserve"> </w:t>
      </w:r>
      <w:r>
        <w:rPr>
          <w:rFonts w:ascii="Arial" w:hAnsi="Arial" w:cs="Arial"/>
          <w:b/>
          <w:bCs/>
          <w:w w:val="95"/>
          <w:position w:val="1"/>
          <w:sz w:val="18"/>
          <w:szCs w:val="18"/>
        </w:rPr>
        <w:t>per</w:t>
      </w:r>
      <w:r>
        <w:rPr>
          <w:rFonts w:ascii="Arial" w:hAnsi="Arial" w:cs="Arial"/>
          <w:b/>
          <w:bCs/>
          <w:spacing w:val="-32"/>
          <w:w w:val="95"/>
          <w:position w:val="1"/>
          <w:sz w:val="18"/>
          <w:szCs w:val="18"/>
        </w:rPr>
        <w:t xml:space="preserve"> </w:t>
      </w:r>
      <w:r>
        <w:rPr>
          <w:rFonts w:ascii="Arial" w:hAnsi="Arial" w:cs="Arial"/>
          <w:b/>
          <w:bCs/>
          <w:w w:val="95"/>
          <w:position w:val="1"/>
          <w:sz w:val="18"/>
          <w:szCs w:val="18"/>
        </w:rPr>
        <w:t>year</w:t>
      </w:r>
      <w:r>
        <w:rPr>
          <w:rFonts w:ascii="Arial" w:hAnsi="Arial" w:cs="Arial"/>
          <w:b/>
          <w:bCs/>
          <w:spacing w:val="-27"/>
          <w:w w:val="95"/>
          <w:position w:val="1"/>
          <w:sz w:val="18"/>
          <w:szCs w:val="18"/>
        </w:rPr>
        <w:t xml:space="preserve"> </w:t>
      </w:r>
      <w:r>
        <w:rPr>
          <w:rFonts w:ascii="Arial" w:hAnsi="Arial" w:cs="Arial"/>
          <w:b/>
          <w:bCs/>
          <w:w w:val="95"/>
          <w:position w:val="1"/>
          <w:sz w:val="18"/>
          <w:szCs w:val="18"/>
        </w:rPr>
        <w:t>for</w:t>
      </w:r>
      <w:r>
        <w:rPr>
          <w:rFonts w:ascii="Arial" w:hAnsi="Arial" w:cs="Arial"/>
          <w:b/>
          <w:bCs/>
          <w:spacing w:val="-29"/>
          <w:w w:val="95"/>
          <w:position w:val="1"/>
          <w:sz w:val="18"/>
          <w:szCs w:val="18"/>
        </w:rPr>
        <w:t xml:space="preserve"> </w:t>
      </w:r>
      <w:r>
        <w:rPr>
          <w:rFonts w:ascii="Arial" w:hAnsi="Arial" w:cs="Arial"/>
          <w:b/>
          <w:bCs/>
          <w:w w:val="95"/>
          <w:position w:val="1"/>
          <w:sz w:val="18"/>
          <w:szCs w:val="18"/>
        </w:rPr>
        <w:t>some</w:t>
      </w:r>
      <w:r>
        <w:rPr>
          <w:rFonts w:ascii="Arial" w:hAnsi="Arial" w:cs="Arial"/>
          <w:b/>
          <w:bCs/>
          <w:spacing w:val="-29"/>
          <w:w w:val="95"/>
          <w:position w:val="1"/>
          <w:sz w:val="18"/>
          <w:szCs w:val="18"/>
        </w:rPr>
        <w:t xml:space="preserve"> </w:t>
      </w:r>
      <w:r>
        <w:rPr>
          <w:rFonts w:ascii="Arial" w:hAnsi="Arial" w:cs="Arial"/>
          <w:b/>
          <w:bCs/>
          <w:w w:val="95"/>
          <w:position w:val="1"/>
          <w:sz w:val="18"/>
          <w:szCs w:val="18"/>
        </w:rPr>
        <w:t>defined</w:t>
      </w:r>
      <w:r>
        <w:rPr>
          <w:rFonts w:ascii="Arial" w:hAnsi="Arial" w:cs="Arial"/>
          <w:b/>
          <w:bCs/>
          <w:spacing w:val="-25"/>
          <w:w w:val="95"/>
          <w:position w:val="1"/>
          <w:sz w:val="18"/>
          <w:szCs w:val="18"/>
        </w:rPr>
        <w:t xml:space="preserve"> </w:t>
      </w:r>
      <w:r>
        <w:rPr>
          <w:rFonts w:ascii="Arial" w:hAnsi="Arial" w:cs="Arial"/>
          <w:b/>
          <w:bCs/>
          <w:w w:val="95"/>
          <w:position w:val="1"/>
          <w:sz w:val="18"/>
          <w:szCs w:val="18"/>
        </w:rPr>
        <w:t>populations</w:t>
      </w:r>
      <w:r w:rsidR="007B2B7B">
        <w:rPr>
          <w:rFonts w:ascii="Arial" w:hAnsi="Arial" w:cs="Arial"/>
          <w:b/>
          <w:bCs/>
          <w:w w:val="95"/>
          <w:position w:val="1"/>
          <w:sz w:val="18"/>
          <w:szCs w:val="18"/>
        </w:rPr>
        <w:t xml:space="preserve"> </w:t>
      </w:r>
      <w:r>
        <w:rPr>
          <w:rFonts w:ascii="Arial" w:hAnsi="Arial" w:cs="Arial"/>
          <w:b/>
          <w:bCs/>
          <w:w w:val="95"/>
          <w:position w:val="1"/>
          <w:sz w:val="18"/>
          <w:szCs w:val="18"/>
        </w:rPr>
        <w:t>xviii.</w:t>
      </w:r>
      <w:r w:rsidR="007B2B7B">
        <w:rPr>
          <w:rFonts w:ascii="Arial" w:hAnsi="Arial" w:cs="Arial"/>
          <w:b/>
          <w:bCs/>
          <w:w w:val="95"/>
          <w:position w:val="1"/>
          <w:sz w:val="18"/>
          <w:szCs w:val="18"/>
        </w:rPr>
        <w:t xml:space="preserve"> </w:t>
      </w:r>
      <w:r>
        <w:rPr>
          <w:rFonts w:ascii="Arial" w:hAnsi="Arial" w:cs="Arial"/>
          <w:b/>
          <w:bCs/>
          <w:w w:val="95"/>
          <w:position w:val="1"/>
          <w:sz w:val="18"/>
          <w:szCs w:val="18"/>
        </w:rPr>
        <w:t>The</w:t>
      </w:r>
      <w:r>
        <w:rPr>
          <w:rFonts w:ascii="Arial" w:hAnsi="Arial" w:cs="Arial"/>
          <w:b/>
          <w:bCs/>
          <w:spacing w:val="-20"/>
          <w:w w:val="95"/>
          <w:position w:val="1"/>
          <w:sz w:val="18"/>
          <w:szCs w:val="18"/>
        </w:rPr>
        <w:t xml:space="preserve"> </w:t>
      </w:r>
      <w:r>
        <w:rPr>
          <w:rFonts w:ascii="Times New Roman" w:hAnsi="Times New Roman" w:cs="Times New Roman"/>
          <w:b/>
          <w:bCs/>
          <w:w w:val="95"/>
          <w:position w:val="1"/>
          <w:sz w:val="18"/>
          <w:szCs w:val="18"/>
        </w:rPr>
        <w:t>10th</w:t>
      </w:r>
      <w:r>
        <w:rPr>
          <w:rFonts w:ascii="Times New Roman" w:hAnsi="Times New Roman" w:cs="Times New Roman"/>
          <w:b/>
          <w:bCs/>
          <w:spacing w:val="-21"/>
          <w:w w:val="95"/>
          <w:position w:val="1"/>
          <w:sz w:val="18"/>
          <w:szCs w:val="18"/>
        </w:rPr>
        <w:t xml:space="preserve"> </w:t>
      </w:r>
      <w:r>
        <w:rPr>
          <w:rFonts w:ascii="Arial" w:hAnsi="Arial" w:cs="Arial"/>
          <w:b/>
          <w:bCs/>
          <w:w w:val="95"/>
          <w:position w:val="1"/>
          <w:sz w:val="18"/>
          <w:szCs w:val="18"/>
        </w:rPr>
        <w:t>Decile</w:t>
      </w:r>
      <w:r>
        <w:rPr>
          <w:rFonts w:ascii="Arial" w:hAnsi="Arial" w:cs="Arial"/>
          <w:b/>
          <w:bCs/>
          <w:w w:val="95"/>
          <w:position w:val="1"/>
          <w:sz w:val="18"/>
          <w:szCs w:val="18"/>
        </w:rPr>
        <w:tab/>
      </w:r>
      <w:r>
        <w:rPr>
          <w:rFonts w:ascii="Arial" w:hAnsi="Arial" w:cs="Arial"/>
          <w:sz w:val="18"/>
          <w:szCs w:val="18"/>
        </w:rPr>
        <w:t>Sanitary code</w:t>
      </w:r>
      <w:r>
        <w:rPr>
          <w:rFonts w:ascii="Arial" w:hAnsi="Arial" w:cs="Arial"/>
          <w:spacing w:val="-15"/>
          <w:sz w:val="18"/>
          <w:szCs w:val="18"/>
        </w:rPr>
        <w:t xml:space="preserve"> </w:t>
      </w:r>
      <w:r>
        <w:rPr>
          <w:rFonts w:ascii="Arial" w:hAnsi="Arial" w:cs="Arial"/>
          <w:sz w:val="18"/>
          <w:szCs w:val="18"/>
        </w:rPr>
        <w:t>enforcement</w:t>
      </w:r>
    </w:p>
    <w:p w:rsidR="002C5025" w:rsidRDefault="002C5025">
      <w:pPr>
        <w:pStyle w:val="BodyText"/>
        <w:tabs>
          <w:tab w:val="left" w:pos="6097"/>
        </w:tabs>
        <w:kinsoku w:val="0"/>
        <w:overflowPunct w:val="0"/>
        <w:spacing w:before="37" w:line="271" w:lineRule="auto"/>
        <w:ind w:left="287" w:right="788" w:firstLine="6"/>
        <w:rPr>
          <w:rFonts w:ascii="Arial" w:hAnsi="Arial" w:cs="Arial"/>
          <w:position w:val="1"/>
          <w:sz w:val="18"/>
          <w:szCs w:val="18"/>
        </w:rPr>
      </w:pPr>
      <w:r>
        <w:rPr>
          <w:rFonts w:ascii="Arial" w:hAnsi="Arial" w:cs="Arial"/>
          <w:sz w:val="18"/>
          <w:szCs w:val="18"/>
        </w:rPr>
        <w:t>Project found that $1 of spending on housing generated</w:t>
      </w:r>
      <w:r>
        <w:rPr>
          <w:rFonts w:ascii="Arial" w:hAnsi="Arial" w:cs="Arial"/>
          <w:spacing w:val="41"/>
          <w:sz w:val="18"/>
          <w:szCs w:val="18"/>
        </w:rPr>
        <w:t xml:space="preserve"> </w:t>
      </w:r>
      <w:r>
        <w:rPr>
          <w:rFonts w:ascii="Arial" w:hAnsi="Arial" w:cs="Arial"/>
          <w:sz w:val="18"/>
          <w:szCs w:val="18"/>
        </w:rPr>
        <w:t>$2</w:t>
      </w:r>
      <w:r>
        <w:rPr>
          <w:rFonts w:ascii="Arial" w:hAnsi="Arial" w:cs="Arial"/>
          <w:spacing w:val="-1"/>
          <w:sz w:val="18"/>
          <w:szCs w:val="18"/>
        </w:rPr>
        <w:t xml:space="preserve"> </w:t>
      </w:r>
      <w:r>
        <w:rPr>
          <w:rFonts w:ascii="Arial" w:hAnsi="Arial" w:cs="Arial"/>
          <w:spacing w:val="-5"/>
          <w:sz w:val="18"/>
          <w:szCs w:val="18"/>
        </w:rPr>
        <w:t>in</w:t>
      </w:r>
      <w:r>
        <w:rPr>
          <w:rFonts w:ascii="Arial" w:hAnsi="Arial" w:cs="Arial"/>
          <w:spacing w:val="-5"/>
          <w:sz w:val="18"/>
          <w:szCs w:val="18"/>
        </w:rPr>
        <w:tab/>
      </w:r>
      <w:r>
        <w:rPr>
          <w:rFonts w:ascii="Arial" w:hAnsi="Arial" w:cs="Arial"/>
          <w:position w:val="1"/>
          <w:sz w:val="18"/>
          <w:szCs w:val="18"/>
        </w:rPr>
        <w:t>Tiered legal advocacy with</w:t>
      </w:r>
      <w:r>
        <w:rPr>
          <w:rFonts w:ascii="Arial" w:hAnsi="Arial" w:cs="Arial"/>
          <w:spacing w:val="-16"/>
          <w:position w:val="1"/>
          <w:sz w:val="18"/>
          <w:szCs w:val="18"/>
        </w:rPr>
        <w:t xml:space="preserve"> </w:t>
      </w:r>
      <w:r>
        <w:rPr>
          <w:rFonts w:ascii="Arial" w:hAnsi="Arial" w:cs="Arial"/>
          <w:position w:val="1"/>
          <w:sz w:val="18"/>
          <w:szCs w:val="18"/>
        </w:rPr>
        <w:t>respect</w:t>
      </w:r>
      <w:r>
        <w:rPr>
          <w:rFonts w:ascii="Arial" w:hAnsi="Arial" w:cs="Arial"/>
          <w:spacing w:val="-11"/>
          <w:position w:val="1"/>
          <w:sz w:val="18"/>
          <w:szCs w:val="18"/>
        </w:rPr>
        <w:t xml:space="preserve"> </w:t>
      </w:r>
      <w:r>
        <w:rPr>
          <w:rFonts w:ascii="Arial" w:hAnsi="Arial" w:cs="Arial"/>
          <w:position w:val="1"/>
          <w:sz w:val="18"/>
          <w:szCs w:val="18"/>
        </w:rPr>
        <w:t xml:space="preserve">to </w:t>
      </w:r>
      <w:r>
        <w:rPr>
          <w:rFonts w:ascii="Arial" w:hAnsi="Arial" w:cs="Arial"/>
          <w:sz w:val="18"/>
          <w:szCs w:val="18"/>
        </w:rPr>
        <w:t>reduced spending in the following year and $6 in reduced</w:t>
      </w:r>
      <w:r>
        <w:rPr>
          <w:rFonts w:ascii="Arial" w:hAnsi="Arial" w:cs="Arial"/>
          <w:spacing w:val="42"/>
          <w:sz w:val="18"/>
          <w:szCs w:val="18"/>
        </w:rPr>
        <w:t xml:space="preserve"> </w:t>
      </w:r>
      <w:r>
        <w:rPr>
          <w:rFonts w:ascii="Arial" w:hAnsi="Arial" w:cs="Arial"/>
          <w:sz w:val="18"/>
          <w:szCs w:val="18"/>
        </w:rPr>
        <w:t>spending</w:t>
      </w:r>
      <w:r>
        <w:rPr>
          <w:rFonts w:ascii="Arial" w:hAnsi="Arial" w:cs="Arial"/>
          <w:spacing w:val="-11"/>
          <w:sz w:val="18"/>
          <w:szCs w:val="18"/>
        </w:rPr>
        <w:t xml:space="preserve"> </w:t>
      </w:r>
      <w:r>
        <w:rPr>
          <w:rFonts w:ascii="Arial" w:hAnsi="Arial" w:cs="Arial"/>
          <w:sz w:val="18"/>
          <w:szCs w:val="18"/>
        </w:rPr>
        <w:t>in</w:t>
      </w:r>
      <w:r>
        <w:rPr>
          <w:rFonts w:ascii="Arial" w:hAnsi="Arial" w:cs="Arial"/>
          <w:sz w:val="18"/>
          <w:szCs w:val="18"/>
        </w:rPr>
        <w:tab/>
      </w:r>
      <w:r>
        <w:rPr>
          <w:rFonts w:ascii="Arial" w:hAnsi="Arial" w:cs="Arial"/>
          <w:position w:val="1"/>
          <w:sz w:val="18"/>
          <w:szCs w:val="18"/>
        </w:rPr>
        <w:t>housing-related</w:t>
      </w:r>
      <w:r>
        <w:rPr>
          <w:rFonts w:ascii="Arial" w:hAnsi="Arial" w:cs="Arial"/>
          <w:spacing w:val="-27"/>
          <w:position w:val="1"/>
          <w:sz w:val="18"/>
          <w:szCs w:val="18"/>
        </w:rPr>
        <w:t xml:space="preserve"> </w:t>
      </w:r>
      <w:r>
        <w:rPr>
          <w:rFonts w:ascii="Arial" w:hAnsi="Arial" w:cs="Arial"/>
          <w:position w:val="1"/>
          <w:sz w:val="18"/>
          <w:szCs w:val="18"/>
        </w:rPr>
        <w:t>needs</w:t>
      </w:r>
    </w:p>
    <w:p w:rsidR="002C5025" w:rsidRDefault="002C5025">
      <w:pPr>
        <w:pStyle w:val="BodyText"/>
        <w:tabs>
          <w:tab w:val="left" w:pos="6111"/>
        </w:tabs>
        <w:kinsoku w:val="0"/>
        <w:overflowPunct w:val="0"/>
        <w:spacing w:line="205" w:lineRule="exact"/>
        <w:ind w:left="282" w:right="990"/>
        <w:rPr>
          <w:rFonts w:ascii="Arial" w:hAnsi="Arial" w:cs="Arial"/>
          <w:b/>
          <w:bCs/>
          <w:w w:val="90"/>
          <w:sz w:val="18"/>
          <w:szCs w:val="18"/>
        </w:rPr>
      </w:pPr>
      <w:r>
        <w:rPr>
          <w:rFonts w:ascii="Arial" w:hAnsi="Arial" w:cs="Arial"/>
          <w:b/>
          <w:bCs/>
          <w:w w:val="90"/>
          <w:position w:val="1"/>
          <w:sz w:val="18"/>
          <w:szCs w:val="18"/>
        </w:rPr>
        <w:t>subsequent</w:t>
      </w:r>
      <w:r>
        <w:rPr>
          <w:rFonts w:ascii="Arial" w:hAnsi="Arial" w:cs="Arial"/>
          <w:b/>
          <w:bCs/>
          <w:spacing w:val="-28"/>
          <w:w w:val="90"/>
          <w:position w:val="1"/>
          <w:sz w:val="18"/>
          <w:szCs w:val="18"/>
        </w:rPr>
        <w:t xml:space="preserve"> </w:t>
      </w:r>
      <w:r>
        <w:rPr>
          <w:rFonts w:ascii="Arial" w:hAnsi="Arial" w:cs="Arial"/>
          <w:b/>
          <w:bCs/>
          <w:w w:val="90"/>
          <w:position w:val="1"/>
          <w:sz w:val="18"/>
          <w:szCs w:val="18"/>
        </w:rPr>
        <w:t>years</w:t>
      </w:r>
      <w:r w:rsidR="007B2B7B">
        <w:rPr>
          <w:rFonts w:ascii="Arial" w:hAnsi="Arial" w:cs="Arial"/>
          <w:b/>
          <w:bCs/>
          <w:w w:val="90"/>
          <w:position w:val="1"/>
          <w:sz w:val="18"/>
          <w:szCs w:val="18"/>
        </w:rPr>
        <w:t xml:space="preserve"> </w:t>
      </w:r>
      <w:r>
        <w:rPr>
          <w:rFonts w:ascii="Arial" w:hAnsi="Arial" w:cs="Arial"/>
          <w:b/>
          <w:bCs/>
          <w:w w:val="90"/>
          <w:position w:val="1"/>
          <w:sz w:val="18"/>
          <w:szCs w:val="18"/>
        </w:rPr>
        <w:t>xix.</w:t>
      </w:r>
      <w:r>
        <w:rPr>
          <w:rFonts w:ascii="Arial" w:hAnsi="Arial" w:cs="Arial"/>
          <w:b/>
          <w:bCs/>
          <w:w w:val="90"/>
          <w:position w:val="1"/>
          <w:sz w:val="18"/>
          <w:szCs w:val="18"/>
        </w:rPr>
        <w:tab/>
      </w:r>
      <w:r>
        <w:rPr>
          <w:rFonts w:ascii="Arial" w:hAnsi="Arial" w:cs="Arial"/>
          <w:b/>
          <w:bCs/>
          <w:w w:val="90"/>
          <w:sz w:val="18"/>
          <w:szCs w:val="18"/>
        </w:rPr>
        <w:t>Hoarding</w:t>
      </w:r>
      <w:r>
        <w:rPr>
          <w:rFonts w:ascii="Arial" w:hAnsi="Arial" w:cs="Arial"/>
          <w:b/>
          <w:bCs/>
          <w:spacing w:val="20"/>
          <w:w w:val="90"/>
          <w:sz w:val="18"/>
          <w:szCs w:val="18"/>
        </w:rPr>
        <w:t xml:space="preserve"> </w:t>
      </w:r>
      <w:r>
        <w:rPr>
          <w:rFonts w:ascii="Arial" w:hAnsi="Arial" w:cs="Arial"/>
          <w:b/>
          <w:bCs/>
          <w:w w:val="90"/>
          <w:sz w:val="18"/>
          <w:szCs w:val="18"/>
        </w:rPr>
        <w:t>interventions</w:t>
      </w:r>
    </w:p>
    <w:p w:rsidR="002C5025" w:rsidRDefault="002C5025">
      <w:pPr>
        <w:pStyle w:val="BodyText"/>
        <w:kinsoku w:val="0"/>
        <w:overflowPunct w:val="0"/>
        <w:spacing w:before="45" w:line="280" w:lineRule="auto"/>
        <w:ind w:left="6112" w:right="1047"/>
        <w:rPr>
          <w:rFonts w:ascii="Arial" w:hAnsi="Arial" w:cs="Arial"/>
          <w:sz w:val="18"/>
          <w:szCs w:val="18"/>
        </w:rPr>
      </w:pPr>
      <w:r>
        <w:rPr>
          <w:rFonts w:ascii="Arial" w:hAnsi="Arial" w:cs="Arial"/>
          <w:b/>
          <w:bCs/>
          <w:sz w:val="18"/>
          <w:szCs w:val="18"/>
        </w:rPr>
        <w:t xml:space="preserve">Eviction prevention Foreclosure prevention </w:t>
      </w:r>
      <w:r>
        <w:rPr>
          <w:rFonts w:ascii="Arial" w:hAnsi="Arial" w:cs="Arial"/>
          <w:sz w:val="18"/>
          <w:szCs w:val="18"/>
        </w:rPr>
        <w:t>Reasonable accommodation</w:t>
      </w:r>
    </w:p>
    <w:p w:rsidR="002C5025" w:rsidRDefault="002C5025">
      <w:pPr>
        <w:pStyle w:val="BodyText"/>
        <w:kinsoku w:val="0"/>
        <w:overflowPunct w:val="0"/>
        <w:spacing w:before="6"/>
        <w:rPr>
          <w:rFonts w:ascii="Arial" w:hAnsi="Arial" w:cs="Arial"/>
          <w:sz w:val="9"/>
          <w:szCs w:val="9"/>
        </w:rPr>
      </w:pPr>
    </w:p>
    <w:p w:rsidR="002C5025" w:rsidRDefault="002C5025">
      <w:pPr>
        <w:pStyle w:val="BodyText"/>
        <w:kinsoku w:val="0"/>
        <w:overflowPunct w:val="0"/>
        <w:spacing w:before="66"/>
        <w:ind w:left="282" w:right="990"/>
        <w:rPr>
          <w:rFonts w:ascii="Arial" w:hAnsi="Arial" w:cs="Arial"/>
          <w:sz w:val="18"/>
          <w:szCs w:val="18"/>
        </w:rPr>
      </w:pPr>
      <w:r>
        <w:rPr>
          <w:rFonts w:ascii="Arial" w:hAnsi="Arial" w:cs="Arial"/>
          <w:sz w:val="27"/>
          <w:szCs w:val="27"/>
        </w:rPr>
        <w:t xml:space="preserve">S I </w:t>
      </w:r>
      <w:r>
        <w:rPr>
          <w:rFonts w:ascii="Arial" w:hAnsi="Arial" w:cs="Arial"/>
          <w:sz w:val="18"/>
          <w:szCs w:val="18"/>
        </w:rPr>
        <w:t>P a g e</w:t>
      </w:r>
    </w:p>
    <w:p w:rsidR="002C5025" w:rsidRDefault="002C5025">
      <w:pPr>
        <w:pStyle w:val="BodyText"/>
        <w:kinsoku w:val="0"/>
        <w:overflowPunct w:val="0"/>
        <w:spacing w:before="66"/>
        <w:ind w:left="282" w:right="990"/>
        <w:rPr>
          <w:rFonts w:ascii="Arial" w:hAnsi="Arial" w:cs="Arial"/>
          <w:sz w:val="18"/>
          <w:szCs w:val="18"/>
        </w:rPr>
        <w:sectPr w:rsidR="002C5025">
          <w:pgSz w:w="12240" w:h="15840"/>
          <w:pgMar w:top="1480" w:right="1300" w:bottom="280" w:left="1100" w:header="720" w:footer="720" w:gutter="0"/>
          <w:cols w:space="720" w:equalWidth="0">
            <w:col w:w="9840"/>
          </w:cols>
          <w:noEndnote/>
        </w:sectPr>
      </w:pPr>
    </w:p>
    <w:tbl>
      <w:tblPr>
        <w:tblW w:w="0" w:type="auto"/>
        <w:tblInd w:w="106" w:type="dxa"/>
        <w:tblLayout w:type="fixed"/>
        <w:tblCellMar>
          <w:left w:w="0" w:type="dxa"/>
          <w:right w:w="0" w:type="dxa"/>
        </w:tblCellMar>
        <w:tblLook w:val="0000" w:firstRow="0" w:lastRow="0" w:firstColumn="0" w:lastColumn="0" w:noHBand="0" w:noVBand="0"/>
      </w:tblPr>
      <w:tblGrid>
        <w:gridCol w:w="5803"/>
        <w:gridCol w:w="3144"/>
        <w:gridCol w:w="519"/>
      </w:tblGrid>
      <w:tr w:rsidR="002C5025">
        <w:trPr>
          <w:trHeight w:hRule="exact" w:val="1721"/>
        </w:trPr>
        <w:tc>
          <w:tcPr>
            <w:tcW w:w="5803" w:type="dxa"/>
            <w:tcBorders>
              <w:top w:val="single" w:sz="4" w:space="0" w:color="000000"/>
              <w:left w:val="single" w:sz="4" w:space="0" w:color="000000"/>
              <w:bottom w:val="single" w:sz="4" w:space="0" w:color="000000"/>
              <w:right w:val="single" w:sz="4" w:space="0" w:color="000000"/>
            </w:tcBorders>
          </w:tcPr>
          <w:p w:rsidR="002C5025" w:rsidRDefault="002C5025"/>
        </w:tc>
        <w:tc>
          <w:tcPr>
            <w:tcW w:w="3144" w:type="dxa"/>
            <w:tcBorders>
              <w:top w:val="single" w:sz="4" w:space="0" w:color="000000"/>
              <w:left w:val="single" w:sz="4" w:space="0" w:color="000000"/>
              <w:bottom w:val="single" w:sz="4" w:space="0" w:color="000000"/>
              <w:right w:val="nil"/>
            </w:tcBorders>
          </w:tcPr>
          <w:p w:rsidR="002C5025" w:rsidRDefault="002C5025">
            <w:pPr>
              <w:pStyle w:val="TableParagraph"/>
              <w:kinsoku w:val="0"/>
              <w:overflowPunct w:val="0"/>
              <w:spacing w:before="23"/>
              <w:ind w:left="110"/>
              <w:rPr>
                <w:w w:val="105"/>
                <w:sz w:val="17"/>
                <w:szCs w:val="17"/>
              </w:rPr>
            </w:pPr>
            <w:r>
              <w:rPr>
                <w:w w:val="105"/>
                <w:sz w:val="17"/>
                <w:szCs w:val="17"/>
              </w:rPr>
              <w:t>Safety-and-disability-based transfers</w:t>
            </w:r>
          </w:p>
          <w:p w:rsidR="002C5025" w:rsidRDefault="002C5025">
            <w:pPr>
              <w:pStyle w:val="TableParagraph"/>
              <w:kinsoku w:val="0"/>
              <w:overflowPunct w:val="0"/>
              <w:spacing w:before="37"/>
              <w:ind w:left="124"/>
              <w:rPr>
                <w:b/>
                <w:bCs/>
                <w:sz w:val="18"/>
                <w:szCs w:val="18"/>
              </w:rPr>
            </w:pPr>
            <w:r>
              <w:rPr>
                <w:b/>
                <w:bCs/>
                <w:sz w:val="18"/>
                <w:szCs w:val="18"/>
              </w:rPr>
              <w:t>Non-discrimination</w:t>
            </w:r>
          </w:p>
          <w:p w:rsidR="002C5025" w:rsidRDefault="002C5025">
            <w:pPr>
              <w:pStyle w:val="TableParagraph"/>
              <w:kinsoku w:val="0"/>
              <w:overflowPunct w:val="0"/>
              <w:spacing w:before="52" w:line="297" w:lineRule="auto"/>
              <w:ind w:left="110" w:firstLine="7"/>
              <w:rPr>
                <w:w w:val="105"/>
                <w:sz w:val="17"/>
                <w:szCs w:val="17"/>
              </w:rPr>
            </w:pPr>
            <w:r>
              <w:rPr>
                <w:w w:val="105"/>
                <w:sz w:val="17"/>
                <w:szCs w:val="17"/>
              </w:rPr>
              <w:t>Rapid re-housing for homeless families/individuals</w:t>
            </w:r>
          </w:p>
          <w:p w:rsidR="002C5025" w:rsidRDefault="002C5025">
            <w:pPr>
              <w:pStyle w:val="TableParagraph"/>
              <w:kinsoku w:val="0"/>
              <w:overflowPunct w:val="0"/>
              <w:spacing w:line="280" w:lineRule="auto"/>
              <w:ind w:left="117" w:right="936"/>
              <w:rPr>
                <w:rFonts w:ascii="Times New Roman" w:hAnsi="Times New Roman" w:cs="Times New Roman"/>
              </w:rPr>
            </w:pPr>
            <w:r>
              <w:rPr>
                <w:b/>
                <w:bCs/>
                <w:w w:val="95"/>
                <w:sz w:val="18"/>
                <w:szCs w:val="18"/>
              </w:rPr>
              <w:t xml:space="preserve">Housing vouchers </w:t>
            </w:r>
            <w:r>
              <w:rPr>
                <w:b/>
                <w:bCs/>
                <w:w w:val="85"/>
                <w:sz w:val="18"/>
                <w:szCs w:val="18"/>
              </w:rPr>
              <w:t>Housing search assistance</w:t>
            </w:r>
          </w:p>
        </w:tc>
        <w:tc>
          <w:tcPr>
            <w:tcW w:w="519" w:type="dxa"/>
            <w:tcBorders>
              <w:top w:val="nil"/>
              <w:left w:val="nil"/>
              <w:bottom w:val="single" w:sz="4" w:space="0" w:color="000000"/>
              <w:right w:val="single" w:sz="2" w:space="0" w:color="000000"/>
            </w:tcBorders>
          </w:tcPr>
          <w:p w:rsidR="002C5025" w:rsidRDefault="002C5025"/>
        </w:tc>
      </w:tr>
      <w:tr w:rsidR="002C5025">
        <w:trPr>
          <w:trHeight w:hRule="exact" w:val="3204"/>
        </w:trPr>
        <w:tc>
          <w:tcPr>
            <w:tcW w:w="5803"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before="2"/>
              <w:ind w:left="0"/>
              <w:rPr>
                <w:sz w:val="22"/>
                <w:szCs w:val="22"/>
              </w:rPr>
            </w:pPr>
          </w:p>
          <w:p w:rsidR="002C5025" w:rsidRDefault="002C5025">
            <w:pPr>
              <w:pStyle w:val="TableParagraph"/>
              <w:kinsoku w:val="0"/>
              <w:overflowPunct w:val="0"/>
              <w:spacing w:line="300" w:lineRule="auto"/>
              <w:ind w:left="131" w:right="190" w:firstLine="14"/>
              <w:rPr>
                <w:w w:val="105"/>
                <w:sz w:val="17"/>
                <w:szCs w:val="17"/>
              </w:rPr>
            </w:pPr>
            <w:r>
              <w:rPr>
                <w:b/>
                <w:bCs/>
                <w:w w:val="105"/>
                <w:sz w:val="17"/>
                <w:szCs w:val="17"/>
              </w:rPr>
              <w:t>NUTRITIONAL</w:t>
            </w:r>
            <w:r>
              <w:rPr>
                <w:b/>
                <w:bCs/>
                <w:spacing w:val="-25"/>
                <w:w w:val="105"/>
                <w:sz w:val="17"/>
                <w:szCs w:val="17"/>
              </w:rPr>
              <w:t xml:space="preserve"> </w:t>
            </w:r>
            <w:r>
              <w:rPr>
                <w:b/>
                <w:bCs/>
                <w:w w:val="105"/>
                <w:sz w:val="17"/>
                <w:szCs w:val="17"/>
              </w:rPr>
              <w:t>ASSISTANCE.</w:t>
            </w:r>
            <w:r>
              <w:rPr>
                <w:b/>
                <w:bCs/>
                <w:spacing w:val="-20"/>
                <w:w w:val="105"/>
                <w:sz w:val="17"/>
                <w:szCs w:val="17"/>
              </w:rPr>
              <w:t xml:space="preserve"> </w:t>
            </w:r>
            <w:r>
              <w:rPr>
                <w:w w:val="105"/>
                <w:sz w:val="17"/>
                <w:szCs w:val="17"/>
              </w:rPr>
              <w:t>A</w:t>
            </w:r>
            <w:r>
              <w:rPr>
                <w:spacing w:val="-27"/>
                <w:w w:val="105"/>
                <w:sz w:val="17"/>
                <w:szCs w:val="17"/>
              </w:rPr>
              <w:t xml:space="preserve"> </w:t>
            </w:r>
            <w:r>
              <w:rPr>
                <w:w w:val="105"/>
                <w:sz w:val="17"/>
                <w:szCs w:val="17"/>
              </w:rPr>
              <w:t>robust</w:t>
            </w:r>
            <w:r>
              <w:rPr>
                <w:spacing w:val="-30"/>
                <w:w w:val="105"/>
                <w:sz w:val="17"/>
                <w:szCs w:val="17"/>
              </w:rPr>
              <w:t xml:space="preserve"> </w:t>
            </w:r>
            <w:r>
              <w:rPr>
                <w:w w:val="105"/>
                <w:sz w:val="17"/>
                <w:szCs w:val="17"/>
              </w:rPr>
              <w:t>evidence</w:t>
            </w:r>
            <w:r>
              <w:rPr>
                <w:spacing w:val="-25"/>
                <w:w w:val="105"/>
                <w:sz w:val="17"/>
                <w:szCs w:val="17"/>
              </w:rPr>
              <w:t xml:space="preserve"> </w:t>
            </w:r>
            <w:r>
              <w:rPr>
                <w:w w:val="105"/>
                <w:sz w:val="17"/>
                <w:szCs w:val="17"/>
              </w:rPr>
              <w:t>base</w:t>
            </w:r>
            <w:r>
              <w:rPr>
                <w:spacing w:val="-35"/>
                <w:w w:val="105"/>
                <w:sz w:val="17"/>
                <w:szCs w:val="17"/>
              </w:rPr>
              <w:t xml:space="preserve"> </w:t>
            </w:r>
            <w:r>
              <w:rPr>
                <w:w w:val="105"/>
                <w:sz w:val="17"/>
                <w:szCs w:val="17"/>
              </w:rPr>
              <w:t>for</w:t>
            </w:r>
            <w:r>
              <w:rPr>
                <w:spacing w:val="-29"/>
                <w:w w:val="105"/>
                <w:sz w:val="17"/>
                <w:szCs w:val="17"/>
              </w:rPr>
              <w:t xml:space="preserve"> </w:t>
            </w:r>
            <w:r>
              <w:rPr>
                <w:w w:val="105"/>
                <w:sz w:val="17"/>
                <w:szCs w:val="17"/>
              </w:rPr>
              <w:t>the</w:t>
            </w:r>
            <w:r>
              <w:rPr>
                <w:spacing w:val="-32"/>
                <w:w w:val="105"/>
                <w:sz w:val="17"/>
                <w:szCs w:val="17"/>
              </w:rPr>
              <w:t xml:space="preserve"> </w:t>
            </w:r>
            <w:r>
              <w:rPr>
                <w:w w:val="105"/>
                <w:sz w:val="17"/>
                <w:szCs w:val="17"/>
              </w:rPr>
              <w:t>impacts of nutritional support includes lowered infant mortality and higher average birth rates for WIC recipients , as well as significant avoided costs among WIC-recipient high-risk women, infants and</w:t>
            </w:r>
            <w:r>
              <w:rPr>
                <w:spacing w:val="-2"/>
                <w:w w:val="105"/>
                <w:sz w:val="17"/>
                <w:szCs w:val="17"/>
              </w:rPr>
              <w:t xml:space="preserve"> </w:t>
            </w:r>
            <w:r>
              <w:rPr>
                <w:w w:val="105"/>
                <w:sz w:val="17"/>
                <w:szCs w:val="17"/>
              </w:rPr>
              <w:t>children.</w:t>
            </w:r>
          </w:p>
          <w:p w:rsidR="002C5025" w:rsidRDefault="002C5025">
            <w:pPr>
              <w:pStyle w:val="TableParagraph"/>
              <w:kinsoku w:val="0"/>
              <w:overflowPunct w:val="0"/>
              <w:spacing w:before="9" w:line="290" w:lineRule="auto"/>
              <w:ind w:left="117" w:right="190" w:firstLine="7"/>
              <w:rPr>
                <w:rFonts w:ascii="Times New Roman" w:hAnsi="Times New Roman" w:cs="Times New Roman"/>
              </w:rPr>
            </w:pPr>
            <w:r>
              <w:rPr>
                <w:sz w:val="17"/>
                <w:szCs w:val="17"/>
              </w:rPr>
              <w:t xml:space="preserve">There is also strong evidence for  Medicaid cost  reductions  </w:t>
            </w:r>
            <w:r>
              <w:rPr>
                <w:spacing w:val="-2"/>
                <w:sz w:val="17"/>
                <w:szCs w:val="17"/>
              </w:rPr>
              <w:t xml:space="preserve">and  </w:t>
            </w:r>
            <w:r>
              <w:rPr>
                <w:sz w:val="17"/>
                <w:szCs w:val="17"/>
              </w:rPr>
              <w:t xml:space="preserve">declines in nursing home admissions associated with home-delivered </w:t>
            </w:r>
            <w:r>
              <w:rPr>
                <w:b/>
                <w:bCs/>
                <w:w w:val="90"/>
                <w:sz w:val="18"/>
                <w:szCs w:val="18"/>
              </w:rPr>
              <w:t>meals</w:t>
            </w:r>
            <w:r>
              <w:rPr>
                <w:b/>
                <w:bCs/>
                <w:spacing w:val="-16"/>
                <w:w w:val="90"/>
                <w:sz w:val="18"/>
                <w:szCs w:val="18"/>
              </w:rPr>
              <w:t xml:space="preserve"> </w:t>
            </w:r>
            <w:r>
              <w:rPr>
                <w:b/>
                <w:bCs/>
                <w:w w:val="90"/>
                <w:sz w:val="18"/>
                <w:szCs w:val="18"/>
              </w:rPr>
              <w:t>for</w:t>
            </w:r>
            <w:r>
              <w:rPr>
                <w:b/>
                <w:bCs/>
                <w:spacing w:val="-9"/>
                <w:w w:val="90"/>
                <w:sz w:val="18"/>
                <w:szCs w:val="18"/>
              </w:rPr>
              <w:t xml:space="preserve"> </w:t>
            </w:r>
            <w:r>
              <w:rPr>
                <w:b/>
                <w:bCs/>
                <w:w w:val="90"/>
                <w:sz w:val="18"/>
                <w:szCs w:val="18"/>
              </w:rPr>
              <w:t>frail</w:t>
            </w:r>
            <w:r>
              <w:rPr>
                <w:b/>
                <w:bCs/>
                <w:spacing w:val="-3"/>
                <w:w w:val="90"/>
                <w:sz w:val="18"/>
                <w:szCs w:val="18"/>
              </w:rPr>
              <w:t xml:space="preserve"> </w:t>
            </w:r>
            <w:r>
              <w:rPr>
                <w:b/>
                <w:bCs/>
                <w:w w:val="90"/>
                <w:sz w:val="18"/>
                <w:szCs w:val="18"/>
              </w:rPr>
              <w:t>elders</w:t>
            </w:r>
            <w:r w:rsidR="007B2B7B">
              <w:rPr>
                <w:b/>
                <w:bCs/>
                <w:w w:val="90"/>
                <w:sz w:val="18"/>
                <w:szCs w:val="18"/>
              </w:rPr>
              <w:t xml:space="preserve"> </w:t>
            </w:r>
            <w:r>
              <w:rPr>
                <w:b/>
                <w:bCs/>
                <w:w w:val="90"/>
                <w:sz w:val="18"/>
                <w:szCs w:val="18"/>
              </w:rPr>
              <w:t>xxi.</w:t>
            </w:r>
            <w:r>
              <w:rPr>
                <w:b/>
                <w:bCs/>
                <w:spacing w:val="4"/>
                <w:w w:val="90"/>
                <w:sz w:val="18"/>
                <w:szCs w:val="18"/>
              </w:rPr>
              <w:t xml:space="preserve"> </w:t>
            </w:r>
            <w:r>
              <w:rPr>
                <w:b/>
                <w:bCs/>
                <w:w w:val="90"/>
                <w:sz w:val="18"/>
                <w:szCs w:val="18"/>
              </w:rPr>
              <w:t>Research</w:t>
            </w:r>
            <w:r>
              <w:rPr>
                <w:b/>
                <w:bCs/>
                <w:spacing w:val="-8"/>
                <w:w w:val="90"/>
                <w:sz w:val="18"/>
                <w:szCs w:val="18"/>
              </w:rPr>
              <w:t xml:space="preserve"> </w:t>
            </w:r>
            <w:r>
              <w:rPr>
                <w:b/>
                <w:bCs/>
                <w:w w:val="90"/>
                <w:sz w:val="18"/>
                <w:szCs w:val="18"/>
              </w:rPr>
              <w:t>shows</w:t>
            </w:r>
            <w:r>
              <w:rPr>
                <w:b/>
                <w:bCs/>
                <w:spacing w:val="-7"/>
                <w:w w:val="90"/>
                <w:sz w:val="18"/>
                <w:szCs w:val="18"/>
              </w:rPr>
              <w:t xml:space="preserve"> </w:t>
            </w:r>
            <w:r>
              <w:rPr>
                <w:b/>
                <w:bCs/>
                <w:w w:val="90"/>
                <w:sz w:val="18"/>
                <w:szCs w:val="18"/>
              </w:rPr>
              <w:t>a</w:t>
            </w:r>
            <w:r>
              <w:rPr>
                <w:b/>
                <w:bCs/>
                <w:spacing w:val="-14"/>
                <w:w w:val="90"/>
                <w:sz w:val="18"/>
                <w:szCs w:val="18"/>
              </w:rPr>
              <w:t xml:space="preserve"> </w:t>
            </w:r>
            <w:r>
              <w:rPr>
                <w:b/>
                <w:bCs/>
                <w:w w:val="90"/>
                <w:sz w:val="18"/>
                <w:szCs w:val="18"/>
              </w:rPr>
              <w:t>strong</w:t>
            </w:r>
            <w:r>
              <w:rPr>
                <w:b/>
                <w:bCs/>
                <w:spacing w:val="-9"/>
                <w:w w:val="90"/>
                <w:sz w:val="18"/>
                <w:szCs w:val="18"/>
              </w:rPr>
              <w:t xml:space="preserve"> </w:t>
            </w:r>
            <w:r>
              <w:rPr>
                <w:b/>
                <w:bCs/>
                <w:w w:val="90"/>
                <w:sz w:val="18"/>
                <w:szCs w:val="18"/>
              </w:rPr>
              <w:t>association</w:t>
            </w:r>
            <w:r>
              <w:rPr>
                <w:b/>
                <w:bCs/>
                <w:spacing w:val="5"/>
                <w:w w:val="90"/>
                <w:sz w:val="18"/>
                <w:szCs w:val="18"/>
              </w:rPr>
              <w:t xml:space="preserve"> </w:t>
            </w:r>
            <w:r>
              <w:rPr>
                <w:b/>
                <w:bCs/>
                <w:w w:val="90"/>
                <w:sz w:val="18"/>
                <w:szCs w:val="18"/>
              </w:rPr>
              <w:t xml:space="preserve">between </w:t>
            </w:r>
            <w:r>
              <w:rPr>
                <w:sz w:val="17"/>
                <w:szCs w:val="17"/>
              </w:rPr>
              <w:t xml:space="preserve">limited food resources among diabetic patients and acute hospital admissions for hypoglycemia ;;, and specialized food bank programs offering diabetes-appropriate food have been  shown  to  improve </w:t>
            </w:r>
            <w:r>
              <w:rPr>
                <w:b/>
                <w:bCs/>
                <w:w w:val="85"/>
                <w:sz w:val="18"/>
                <w:szCs w:val="18"/>
              </w:rPr>
              <w:t>glycemic</w:t>
            </w:r>
            <w:r>
              <w:rPr>
                <w:b/>
                <w:bCs/>
                <w:spacing w:val="-29"/>
                <w:w w:val="85"/>
                <w:sz w:val="18"/>
                <w:szCs w:val="18"/>
              </w:rPr>
              <w:t xml:space="preserve"> </w:t>
            </w:r>
            <w:r w:rsidR="007B2B7B">
              <w:rPr>
                <w:b/>
                <w:bCs/>
                <w:w w:val="85"/>
                <w:sz w:val="18"/>
                <w:szCs w:val="18"/>
              </w:rPr>
              <w:t xml:space="preserve">control </w:t>
            </w:r>
            <w:r>
              <w:rPr>
                <w:b/>
                <w:bCs/>
                <w:w w:val="85"/>
                <w:sz w:val="18"/>
                <w:szCs w:val="18"/>
              </w:rPr>
              <w:t>xxiii</w:t>
            </w:r>
          </w:p>
        </w:tc>
        <w:tc>
          <w:tcPr>
            <w:tcW w:w="3663" w:type="dxa"/>
            <w:gridSpan w:val="2"/>
            <w:tcBorders>
              <w:top w:val="single" w:sz="4" w:space="0" w:color="000000"/>
              <w:left w:val="single" w:sz="4" w:space="0" w:color="000000"/>
              <w:bottom w:val="single" w:sz="4" w:space="0" w:color="000000"/>
              <w:right w:val="single" w:sz="2" w:space="0" w:color="000000"/>
            </w:tcBorders>
          </w:tcPr>
          <w:p w:rsidR="002C5025" w:rsidRDefault="002C5025">
            <w:pPr>
              <w:pStyle w:val="TableParagraph"/>
              <w:kinsoku w:val="0"/>
              <w:overflowPunct w:val="0"/>
              <w:ind w:left="0"/>
              <w:rPr>
                <w:sz w:val="16"/>
                <w:szCs w:val="16"/>
              </w:rPr>
            </w:pPr>
          </w:p>
          <w:p w:rsidR="002C5025" w:rsidRDefault="002C5025">
            <w:pPr>
              <w:pStyle w:val="TableParagraph"/>
              <w:kinsoku w:val="0"/>
              <w:overflowPunct w:val="0"/>
              <w:spacing w:before="93"/>
              <w:ind w:left="110" w:right="147"/>
              <w:rPr>
                <w:sz w:val="17"/>
                <w:szCs w:val="17"/>
              </w:rPr>
            </w:pPr>
            <w:r>
              <w:rPr>
                <w:sz w:val="17"/>
                <w:szCs w:val="17"/>
              </w:rPr>
              <w:t>SNAP applications</w:t>
            </w:r>
          </w:p>
          <w:p w:rsidR="002C5025" w:rsidRDefault="002C5025">
            <w:pPr>
              <w:pStyle w:val="TableParagraph"/>
              <w:kinsoku w:val="0"/>
              <w:overflowPunct w:val="0"/>
              <w:spacing w:before="49" w:line="297" w:lineRule="auto"/>
              <w:ind w:left="110" w:right="147" w:hanging="8"/>
              <w:rPr>
                <w:w w:val="105"/>
                <w:sz w:val="17"/>
                <w:szCs w:val="17"/>
              </w:rPr>
            </w:pPr>
            <w:r>
              <w:rPr>
                <w:w w:val="105"/>
                <w:sz w:val="17"/>
                <w:szCs w:val="17"/>
              </w:rPr>
              <w:t>Tiered legal advocacy with respect to SNAP denials and barriers</w:t>
            </w:r>
          </w:p>
          <w:p w:rsidR="002C5025" w:rsidRDefault="002C5025">
            <w:pPr>
              <w:pStyle w:val="TableParagraph"/>
              <w:kinsoku w:val="0"/>
              <w:overflowPunct w:val="0"/>
              <w:spacing w:before="3"/>
              <w:ind w:left="117" w:right="147"/>
              <w:rPr>
                <w:w w:val="105"/>
                <w:sz w:val="17"/>
                <w:szCs w:val="17"/>
              </w:rPr>
            </w:pPr>
            <w:r>
              <w:rPr>
                <w:w w:val="105"/>
                <w:sz w:val="17"/>
                <w:szCs w:val="17"/>
              </w:rPr>
              <w:t>Food pantries</w:t>
            </w:r>
          </w:p>
          <w:p w:rsidR="002C5025" w:rsidRDefault="002C5025">
            <w:pPr>
              <w:pStyle w:val="TableParagraph"/>
              <w:kinsoku w:val="0"/>
              <w:overflowPunct w:val="0"/>
              <w:spacing w:before="44" w:line="307" w:lineRule="auto"/>
              <w:ind w:left="110" w:right="688" w:firstLine="7"/>
              <w:rPr>
                <w:w w:val="105"/>
                <w:sz w:val="17"/>
                <w:szCs w:val="17"/>
              </w:rPr>
            </w:pPr>
            <w:r>
              <w:rPr>
                <w:w w:val="105"/>
                <w:sz w:val="17"/>
                <w:szCs w:val="17"/>
              </w:rPr>
              <w:t xml:space="preserve">Home-delivered meals (Title </w:t>
            </w:r>
            <w:proofErr w:type="spellStart"/>
            <w:r>
              <w:rPr>
                <w:w w:val="105"/>
                <w:sz w:val="17"/>
                <w:szCs w:val="17"/>
              </w:rPr>
              <w:t>llB</w:t>
            </w:r>
            <w:proofErr w:type="spellEnd"/>
            <w:r>
              <w:rPr>
                <w:w w:val="105"/>
                <w:sz w:val="17"/>
                <w:szCs w:val="17"/>
              </w:rPr>
              <w:t xml:space="preserve"> and others)</w:t>
            </w:r>
          </w:p>
          <w:p w:rsidR="002C5025" w:rsidRDefault="002C5025">
            <w:pPr>
              <w:pStyle w:val="TableParagraph"/>
              <w:kinsoku w:val="0"/>
              <w:overflowPunct w:val="0"/>
              <w:spacing w:line="189" w:lineRule="exact"/>
              <w:ind w:left="110" w:right="147"/>
              <w:rPr>
                <w:rFonts w:ascii="Times New Roman" w:hAnsi="Times New Roman" w:cs="Times New Roman"/>
              </w:rPr>
            </w:pPr>
            <w:r>
              <w:rPr>
                <w:w w:val="105"/>
                <w:sz w:val="17"/>
                <w:szCs w:val="17"/>
              </w:rPr>
              <w:t xml:space="preserve">Congregate meals (Title </w:t>
            </w:r>
            <w:proofErr w:type="spellStart"/>
            <w:r>
              <w:rPr>
                <w:w w:val="105"/>
                <w:sz w:val="17"/>
                <w:szCs w:val="17"/>
              </w:rPr>
              <w:t>llB</w:t>
            </w:r>
            <w:proofErr w:type="spellEnd"/>
            <w:r>
              <w:rPr>
                <w:w w:val="105"/>
                <w:sz w:val="17"/>
                <w:szCs w:val="17"/>
              </w:rPr>
              <w:t xml:space="preserve"> and others)</w:t>
            </w:r>
          </w:p>
        </w:tc>
      </w:tr>
      <w:tr w:rsidR="002C5025">
        <w:trPr>
          <w:trHeight w:hRule="exact" w:val="2210"/>
        </w:trPr>
        <w:tc>
          <w:tcPr>
            <w:tcW w:w="5803" w:type="dxa"/>
            <w:tcBorders>
              <w:top w:val="single" w:sz="4" w:space="0" w:color="000000"/>
              <w:left w:val="single" w:sz="4" w:space="0" w:color="000000"/>
              <w:bottom w:val="single" w:sz="2" w:space="0" w:color="000000"/>
              <w:right w:val="single" w:sz="4" w:space="0" w:color="000000"/>
            </w:tcBorders>
          </w:tcPr>
          <w:p w:rsidR="002C5025" w:rsidRDefault="002C5025">
            <w:pPr>
              <w:pStyle w:val="TableParagraph"/>
              <w:kinsoku w:val="0"/>
              <w:overflowPunct w:val="0"/>
              <w:spacing w:before="5"/>
              <w:ind w:left="0"/>
              <w:rPr>
                <w:sz w:val="23"/>
                <w:szCs w:val="23"/>
              </w:rPr>
            </w:pPr>
          </w:p>
          <w:p w:rsidR="002C5025" w:rsidRDefault="002C5025">
            <w:pPr>
              <w:pStyle w:val="TableParagraph"/>
              <w:kinsoku w:val="0"/>
              <w:overflowPunct w:val="0"/>
              <w:spacing w:line="300" w:lineRule="auto"/>
              <w:ind w:left="117" w:right="349" w:firstLine="7"/>
              <w:jc w:val="both"/>
              <w:rPr>
                <w:rFonts w:ascii="Times New Roman" w:hAnsi="Times New Roman" w:cs="Times New Roman"/>
              </w:rPr>
            </w:pPr>
            <w:r>
              <w:rPr>
                <w:b/>
                <w:bCs/>
                <w:sz w:val="17"/>
                <w:szCs w:val="17"/>
              </w:rPr>
              <w:t xml:space="preserve">FUEL ASSISTANCE. </w:t>
            </w:r>
            <w:r>
              <w:rPr>
                <w:sz w:val="17"/>
                <w:szCs w:val="17"/>
              </w:rPr>
              <w:t>As early as 2006, significant declines in hospital use were reported among vulnerable families and individuals with access  to the Low-Income  Energy Assistance  Program (LIHEAP) ''.</w:t>
            </w:r>
          </w:p>
        </w:tc>
        <w:tc>
          <w:tcPr>
            <w:tcW w:w="3663" w:type="dxa"/>
            <w:gridSpan w:val="2"/>
            <w:tcBorders>
              <w:top w:val="single" w:sz="4" w:space="0" w:color="000000"/>
              <w:left w:val="single" w:sz="4" w:space="0" w:color="000000"/>
              <w:bottom w:val="single" w:sz="2" w:space="0" w:color="000000"/>
              <w:right w:val="single" w:sz="2" w:space="0" w:color="000000"/>
            </w:tcBorders>
          </w:tcPr>
          <w:p w:rsidR="002C5025" w:rsidRDefault="002C5025">
            <w:pPr>
              <w:pStyle w:val="TableParagraph"/>
              <w:kinsoku w:val="0"/>
              <w:overflowPunct w:val="0"/>
              <w:ind w:left="0"/>
              <w:rPr>
                <w:sz w:val="16"/>
                <w:szCs w:val="16"/>
              </w:rPr>
            </w:pPr>
          </w:p>
          <w:p w:rsidR="002C5025" w:rsidRDefault="002C5025">
            <w:pPr>
              <w:pStyle w:val="TableParagraph"/>
              <w:kinsoku w:val="0"/>
              <w:overflowPunct w:val="0"/>
              <w:spacing w:before="93"/>
              <w:ind w:left="117" w:right="147"/>
              <w:rPr>
                <w:sz w:val="17"/>
                <w:szCs w:val="17"/>
              </w:rPr>
            </w:pPr>
            <w:r>
              <w:rPr>
                <w:sz w:val="17"/>
                <w:szCs w:val="17"/>
              </w:rPr>
              <w:t>LIHEAP</w:t>
            </w:r>
          </w:p>
          <w:p w:rsidR="002C5025" w:rsidRDefault="002C5025">
            <w:pPr>
              <w:pStyle w:val="TableParagraph"/>
              <w:kinsoku w:val="0"/>
              <w:overflowPunct w:val="0"/>
              <w:spacing w:before="47" w:line="288" w:lineRule="auto"/>
              <w:ind w:right="688" w:firstLine="14"/>
              <w:rPr>
                <w:b/>
                <w:bCs/>
                <w:w w:val="90"/>
                <w:sz w:val="18"/>
                <w:szCs w:val="18"/>
              </w:rPr>
            </w:pPr>
            <w:r>
              <w:rPr>
                <w:sz w:val="17"/>
                <w:szCs w:val="17"/>
              </w:rPr>
              <w:t xml:space="preserve">Utility discount programs Weatherization and other energy </w:t>
            </w:r>
            <w:r>
              <w:rPr>
                <w:b/>
                <w:bCs/>
                <w:w w:val="90"/>
                <w:sz w:val="18"/>
                <w:szCs w:val="18"/>
              </w:rPr>
              <w:t>conservation programs</w:t>
            </w:r>
          </w:p>
          <w:p w:rsidR="002C5025" w:rsidRDefault="002C5025">
            <w:pPr>
              <w:pStyle w:val="TableParagraph"/>
              <w:kinsoku w:val="0"/>
              <w:overflowPunct w:val="0"/>
              <w:spacing w:before="9" w:line="309" w:lineRule="auto"/>
              <w:ind w:left="110" w:hanging="8"/>
              <w:rPr>
                <w:w w:val="105"/>
                <w:sz w:val="17"/>
                <w:szCs w:val="17"/>
              </w:rPr>
            </w:pPr>
            <w:r>
              <w:rPr>
                <w:w w:val="105"/>
                <w:sz w:val="17"/>
                <w:szCs w:val="17"/>
              </w:rPr>
              <w:t>Tiered legal advocacy with respect to shut- off protections</w:t>
            </w:r>
          </w:p>
          <w:p w:rsidR="002C5025" w:rsidRDefault="002C5025">
            <w:pPr>
              <w:pStyle w:val="TableParagraph"/>
              <w:kinsoku w:val="0"/>
              <w:overflowPunct w:val="0"/>
              <w:spacing w:line="187" w:lineRule="exact"/>
              <w:ind w:right="147"/>
              <w:rPr>
                <w:rFonts w:ascii="Times New Roman" w:hAnsi="Times New Roman" w:cs="Times New Roman"/>
              </w:rPr>
            </w:pPr>
            <w:r>
              <w:rPr>
                <w:w w:val="105"/>
                <w:sz w:val="17"/>
                <w:szCs w:val="17"/>
              </w:rPr>
              <w:t>Appliance repair and replacement</w:t>
            </w:r>
          </w:p>
        </w:tc>
      </w:tr>
      <w:tr w:rsidR="002C5025">
        <w:trPr>
          <w:trHeight w:hRule="exact" w:val="2707"/>
        </w:trPr>
        <w:tc>
          <w:tcPr>
            <w:tcW w:w="5803" w:type="dxa"/>
            <w:tcBorders>
              <w:top w:val="single" w:sz="2"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before="1"/>
              <w:ind w:left="0"/>
            </w:pPr>
          </w:p>
          <w:p w:rsidR="002C5025" w:rsidRDefault="002C5025">
            <w:pPr>
              <w:pStyle w:val="TableParagraph"/>
              <w:kinsoku w:val="0"/>
              <w:overflowPunct w:val="0"/>
              <w:spacing w:line="295" w:lineRule="auto"/>
              <w:ind w:left="110" w:right="336" w:firstLine="7"/>
              <w:rPr>
                <w:rFonts w:ascii="Times New Roman" w:hAnsi="Times New Roman" w:cs="Times New Roman"/>
              </w:rPr>
            </w:pPr>
            <w:r>
              <w:rPr>
                <w:b/>
                <w:bCs/>
                <w:w w:val="105"/>
                <w:sz w:val="17"/>
                <w:szCs w:val="17"/>
              </w:rPr>
              <w:t>INCOME</w:t>
            </w:r>
            <w:r>
              <w:rPr>
                <w:b/>
                <w:bCs/>
                <w:spacing w:val="-28"/>
                <w:w w:val="105"/>
                <w:sz w:val="17"/>
                <w:szCs w:val="17"/>
              </w:rPr>
              <w:t xml:space="preserve"> </w:t>
            </w:r>
            <w:r>
              <w:rPr>
                <w:b/>
                <w:bCs/>
                <w:w w:val="105"/>
                <w:sz w:val="17"/>
                <w:szCs w:val="17"/>
              </w:rPr>
              <w:t>SUPPORTS.</w:t>
            </w:r>
            <w:r>
              <w:rPr>
                <w:b/>
                <w:bCs/>
                <w:spacing w:val="-16"/>
                <w:w w:val="105"/>
                <w:sz w:val="17"/>
                <w:szCs w:val="17"/>
              </w:rPr>
              <w:t xml:space="preserve"> </w:t>
            </w:r>
            <w:r>
              <w:rPr>
                <w:w w:val="105"/>
                <w:sz w:val="17"/>
                <w:szCs w:val="17"/>
              </w:rPr>
              <w:t>Receipt</w:t>
            </w:r>
            <w:r>
              <w:rPr>
                <w:spacing w:val="-23"/>
                <w:w w:val="105"/>
                <w:sz w:val="17"/>
                <w:szCs w:val="17"/>
              </w:rPr>
              <w:t xml:space="preserve"> </w:t>
            </w:r>
            <w:r>
              <w:rPr>
                <w:spacing w:val="3"/>
                <w:w w:val="105"/>
                <w:sz w:val="17"/>
                <w:szCs w:val="17"/>
              </w:rPr>
              <w:t>of</w:t>
            </w:r>
            <w:r w:rsidR="007B2B7B">
              <w:rPr>
                <w:spacing w:val="3"/>
                <w:w w:val="105"/>
                <w:sz w:val="17"/>
                <w:szCs w:val="17"/>
              </w:rPr>
              <w:t xml:space="preserve"> </w:t>
            </w:r>
            <w:r>
              <w:rPr>
                <w:spacing w:val="3"/>
                <w:w w:val="105"/>
                <w:sz w:val="17"/>
                <w:szCs w:val="17"/>
              </w:rPr>
              <w:t>the</w:t>
            </w:r>
            <w:r>
              <w:rPr>
                <w:spacing w:val="-26"/>
                <w:w w:val="105"/>
                <w:sz w:val="17"/>
                <w:szCs w:val="17"/>
              </w:rPr>
              <w:t xml:space="preserve"> </w:t>
            </w:r>
            <w:r>
              <w:rPr>
                <w:w w:val="105"/>
                <w:sz w:val="17"/>
                <w:szCs w:val="17"/>
              </w:rPr>
              <w:t>Earned</w:t>
            </w:r>
            <w:r>
              <w:rPr>
                <w:spacing w:val="-23"/>
                <w:w w:val="105"/>
                <w:sz w:val="17"/>
                <w:szCs w:val="17"/>
              </w:rPr>
              <w:t xml:space="preserve"> </w:t>
            </w:r>
            <w:r>
              <w:rPr>
                <w:w w:val="105"/>
                <w:sz w:val="17"/>
                <w:szCs w:val="17"/>
              </w:rPr>
              <w:t>Income</w:t>
            </w:r>
            <w:r>
              <w:rPr>
                <w:spacing w:val="-34"/>
                <w:w w:val="105"/>
                <w:sz w:val="17"/>
                <w:szCs w:val="17"/>
              </w:rPr>
              <w:t xml:space="preserve"> </w:t>
            </w:r>
            <w:r>
              <w:rPr>
                <w:w w:val="105"/>
                <w:sz w:val="17"/>
                <w:szCs w:val="17"/>
              </w:rPr>
              <w:t>Tax</w:t>
            </w:r>
            <w:r>
              <w:rPr>
                <w:spacing w:val="-23"/>
                <w:w w:val="105"/>
                <w:sz w:val="17"/>
                <w:szCs w:val="17"/>
              </w:rPr>
              <w:t xml:space="preserve"> </w:t>
            </w:r>
            <w:r>
              <w:rPr>
                <w:w w:val="105"/>
                <w:sz w:val="17"/>
                <w:szCs w:val="17"/>
              </w:rPr>
              <w:t>Credit</w:t>
            </w:r>
            <w:r>
              <w:rPr>
                <w:spacing w:val="-23"/>
                <w:w w:val="105"/>
                <w:sz w:val="17"/>
                <w:szCs w:val="17"/>
              </w:rPr>
              <w:t xml:space="preserve"> </w:t>
            </w:r>
            <w:r>
              <w:rPr>
                <w:w w:val="105"/>
                <w:sz w:val="17"/>
                <w:szCs w:val="17"/>
              </w:rPr>
              <w:t xml:space="preserve">has been associated  with  lowered </w:t>
            </w:r>
            <w:r>
              <w:rPr>
                <w:spacing w:val="-5"/>
                <w:w w:val="105"/>
                <w:sz w:val="17"/>
                <w:szCs w:val="17"/>
              </w:rPr>
              <w:t xml:space="preserve">infant  </w:t>
            </w:r>
            <w:r>
              <w:rPr>
                <w:w w:val="105"/>
                <w:sz w:val="17"/>
                <w:szCs w:val="17"/>
              </w:rPr>
              <w:t xml:space="preserve">mortality  'and improved overall health status among children, including reductions </w:t>
            </w:r>
            <w:r>
              <w:rPr>
                <w:spacing w:val="-4"/>
                <w:w w:val="105"/>
                <w:sz w:val="17"/>
                <w:szCs w:val="17"/>
              </w:rPr>
              <w:t xml:space="preserve">in </w:t>
            </w:r>
            <w:r>
              <w:rPr>
                <w:w w:val="105"/>
                <w:sz w:val="17"/>
                <w:szCs w:val="17"/>
              </w:rPr>
              <w:t xml:space="preserve">obesity'. For elderly and disabled individuals, receipt of higher levels of Supplemental Security Income has been linked to reduced </w:t>
            </w:r>
            <w:r>
              <w:rPr>
                <w:b/>
                <w:bCs/>
                <w:w w:val="85"/>
                <w:sz w:val="18"/>
                <w:szCs w:val="18"/>
              </w:rPr>
              <w:t>rates</w:t>
            </w:r>
            <w:r>
              <w:rPr>
                <w:b/>
                <w:bCs/>
                <w:spacing w:val="-27"/>
                <w:w w:val="85"/>
                <w:sz w:val="18"/>
                <w:szCs w:val="18"/>
              </w:rPr>
              <w:t xml:space="preserve"> </w:t>
            </w:r>
            <w:r>
              <w:rPr>
                <w:b/>
                <w:bCs/>
                <w:w w:val="85"/>
                <w:sz w:val="18"/>
                <w:szCs w:val="18"/>
              </w:rPr>
              <w:t>of</w:t>
            </w:r>
            <w:r>
              <w:rPr>
                <w:b/>
                <w:bCs/>
                <w:spacing w:val="-28"/>
                <w:w w:val="85"/>
                <w:sz w:val="18"/>
                <w:szCs w:val="18"/>
              </w:rPr>
              <w:t xml:space="preserve"> </w:t>
            </w:r>
            <w:r>
              <w:rPr>
                <w:b/>
                <w:bCs/>
                <w:w w:val="85"/>
                <w:sz w:val="18"/>
                <w:szCs w:val="18"/>
              </w:rPr>
              <w:t>disability.</w:t>
            </w:r>
            <w:r w:rsidR="007B2B7B">
              <w:rPr>
                <w:b/>
                <w:bCs/>
                <w:w w:val="85"/>
                <w:sz w:val="18"/>
                <w:szCs w:val="18"/>
              </w:rPr>
              <w:t xml:space="preserve"> </w:t>
            </w:r>
            <w:r>
              <w:rPr>
                <w:b/>
                <w:bCs/>
                <w:w w:val="85"/>
                <w:sz w:val="18"/>
                <w:szCs w:val="18"/>
              </w:rPr>
              <w:t>xxvii</w:t>
            </w:r>
          </w:p>
        </w:tc>
        <w:tc>
          <w:tcPr>
            <w:tcW w:w="3663" w:type="dxa"/>
            <w:gridSpan w:val="2"/>
            <w:tcBorders>
              <w:top w:val="single" w:sz="2" w:space="0" w:color="000000"/>
              <w:left w:val="single" w:sz="4" w:space="0" w:color="000000"/>
              <w:bottom w:val="single" w:sz="4" w:space="0" w:color="000000"/>
              <w:right w:val="single" w:sz="2" w:space="0" w:color="000000"/>
            </w:tcBorders>
          </w:tcPr>
          <w:p w:rsidR="002C5025" w:rsidRDefault="002C5025">
            <w:pPr>
              <w:pStyle w:val="TableParagraph"/>
              <w:kinsoku w:val="0"/>
              <w:overflowPunct w:val="0"/>
              <w:ind w:left="0"/>
              <w:rPr>
                <w:sz w:val="16"/>
                <w:szCs w:val="16"/>
              </w:rPr>
            </w:pPr>
          </w:p>
          <w:p w:rsidR="002C5025" w:rsidRDefault="002C5025">
            <w:pPr>
              <w:pStyle w:val="TableParagraph"/>
              <w:kinsoku w:val="0"/>
              <w:overflowPunct w:val="0"/>
              <w:spacing w:before="93" w:line="292" w:lineRule="auto"/>
              <w:ind w:left="117" w:right="688" w:hanging="15"/>
              <w:rPr>
                <w:sz w:val="17"/>
                <w:szCs w:val="17"/>
              </w:rPr>
            </w:pPr>
            <w:proofErr w:type="spellStart"/>
            <w:r>
              <w:rPr>
                <w:sz w:val="17"/>
                <w:szCs w:val="17"/>
              </w:rPr>
              <w:t>SSl</w:t>
            </w:r>
            <w:proofErr w:type="spellEnd"/>
            <w:r>
              <w:rPr>
                <w:sz w:val="17"/>
                <w:szCs w:val="17"/>
              </w:rPr>
              <w:t>/SSDI application assistance Earned Income Tax Credit (EJTC)</w:t>
            </w:r>
          </w:p>
          <w:p w:rsidR="002C5025" w:rsidRDefault="002C5025">
            <w:pPr>
              <w:pStyle w:val="TableParagraph"/>
              <w:kinsoku w:val="0"/>
              <w:overflowPunct w:val="0"/>
              <w:spacing w:before="7" w:line="288" w:lineRule="auto"/>
              <w:ind w:right="147" w:firstLine="14"/>
              <w:rPr>
                <w:rFonts w:ascii="Times New Roman" w:hAnsi="Times New Roman" w:cs="Times New Roman"/>
                <w:b/>
                <w:bCs/>
                <w:w w:val="105"/>
                <w:sz w:val="20"/>
                <w:szCs w:val="20"/>
              </w:rPr>
            </w:pPr>
            <w:r>
              <w:rPr>
                <w:w w:val="105"/>
                <w:sz w:val="17"/>
                <w:szCs w:val="17"/>
              </w:rPr>
              <w:t xml:space="preserve">Financial capacity education and coaching Assessment of eligibility for other public </w:t>
            </w:r>
            <w:r>
              <w:rPr>
                <w:rFonts w:ascii="Times New Roman" w:hAnsi="Times New Roman" w:cs="Times New Roman"/>
                <w:b/>
                <w:bCs/>
                <w:w w:val="105"/>
                <w:sz w:val="20"/>
                <w:szCs w:val="20"/>
              </w:rPr>
              <w:t>resources</w:t>
            </w:r>
          </w:p>
          <w:p w:rsidR="002C5025" w:rsidRDefault="002C5025">
            <w:pPr>
              <w:pStyle w:val="TableParagraph"/>
              <w:kinsoku w:val="0"/>
              <w:overflowPunct w:val="0"/>
              <w:spacing w:line="304" w:lineRule="auto"/>
              <w:ind w:right="147" w:firstLine="14"/>
              <w:rPr>
                <w:rFonts w:ascii="Times New Roman" w:hAnsi="Times New Roman" w:cs="Times New Roman"/>
              </w:rPr>
            </w:pPr>
            <w:r>
              <w:rPr>
                <w:w w:val="105"/>
                <w:sz w:val="17"/>
                <w:szCs w:val="17"/>
              </w:rPr>
              <w:t>Employment and job training assistance Tiered legal advocacy with respect to income support barriers and denials</w:t>
            </w:r>
          </w:p>
        </w:tc>
      </w:tr>
      <w:tr w:rsidR="002C5025">
        <w:trPr>
          <w:trHeight w:hRule="exact" w:val="2712"/>
        </w:trPr>
        <w:tc>
          <w:tcPr>
            <w:tcW w:w="5803" w:type="dxa"/>
            <w:tcBorders>
              <w:top w:val="single" w:sz="4" w:space="0" w:color="000000"/>
              <w:left w:val="single" w:sz="4" w:space="0" w:color="000000"/>
              <w:bottom w:val="single" w:sz="2" w:space="0" w:color="000000"/>
              <w:right w:val="single" w:sz="4" w:space="0" w:color="000000"/>
            </w:tcBorders>
          </w:tcPr>
          <w:p w:rsidR="002C5025" w:rsidRDefault="002C5025">
            <w:pPr>
              <w:pStyle w:val="TableParagraph"/>
              <w:kinsoku w:val="0"/>
              <w:overflowPunct w:val="0"/>
              <w:ind w:left="0"/>
              <w:rPr>
                <w:sz w:val="16"/>
                <w:szCs w:val="16"/>
              </w:rPr>
            </w:pPr>
          </w:p>
          <w:p w:rsidR="002C5025" w:rsidRDefault="002C5025">
            <w:pPr>
              <w:pStyle w:val="TableParagraph"/>
              <w:kinsoku w:val="0"/>
              <w:overflowPunct w:val="0"/>
              <w:spacing w:before="93" w:line="292" w:lineRule="auto"/>
              <w:ind w:left="95" w:right="166" w:firstLine="14"/>
              <w:rPr>
                <w:rFonts w:ascii="Times New Roman" w:hAnsi="Times New Roman" w:cs="Times New Roman"/>
              </w:rPr>
            </w:pPr>
            <w:r>
              <w:rPr>
                <w:b/>
                <w:bCs/>
                <w:sz w:val="17"/>
                <w:szCs w:val="17"/>
              </w:rPr>
              <w:t xml:space="preserve">HEALTH CARE ACCESS SUPPORTS. </w:t>
            </w:r>
            <w:r>
              <w:rPr>
                <w:sz w:val="17"/>
                <w:szCs w:val="17"/>
              </w:rPr>
              <w:t xml:space="preserve">Nonfinancial barriers to health care have been recognized as significant factors  in </w:t>
            </w:r>
            <w:r>
              <w:rPr>
                <w:spacing w:val="-4"/>
                <w:sz w:val="17"/>
                <w:szCs w:val="17"/>
              </w:rPr>
              <w:t xml:space="preserve">patient </w:t>
            </w:r>
            <w:r>
              <w:rPr>
                <w:sz w:val="17"/>
                <w:szCs w:val="17"/>
              </w:rPr>
              <w:t xml:space="preserve">noncompliance, as well as in unmet need for care and delayed </w:t>
            </w:r>
            <w:r>
              <w:rPr>
                <w:b/>
                <w:bCs/>
                <w:spacing w:val="-1"/>
                <w:w w:val="90"/>
                <w:sz w:val="18"/>
                <w:szCs w:val="18"/>
              </w:rPr>
              <w:t>care</w:t>
            </w:r>
            <w:r w:rsidR="007B2B7B">
              <w:rPr>
                <w:b/>
                <w:bCs/>
                <w:spacing w:val="-1"/>
                <w:w w:val="90"/>
                <w:sz w:val="18"/>
                <w:szCs w:val="18"/>
              </w:rPr>
              <w:t xml:space="preserve"> </w:t>
            </w:r>
            <w:proofErr w:type="spellStart"/>
            <w:r>
              <w:rPr>
                <w:b/>
                <w:bCs/>
                <w:spacing w:val="-1"/>
                <w:w w:val="90"/>
                <w:sz w:val="18"/>
                <w:szCs w:val="18"/>
              </w:rPr>
              <w:t>xxvm</w:t>
            </w:r>
            <w:proofErr w:type="spellEnd"/>
            <w:r>
              <w:rPr>
                <w:b/>
                <w:bCs/>
                <w:spacing w:val="-1"/>
                <w:w w:val="90"/>
                <w:sz w:val="18"/>
                <w:szCs w:val="18"/>
              </w:rPr>
              <w:t>.</w:t>
            </w:r>
            <w:r w:rsidR="007B2B7B">
              <w:rPr>
                <w:b/>
                <w:bCs/>
                <w:spacing w:val="-1"/>
                <w:w w:val="90"/>
                <w:sz w:val="18"/>
                <w:szCs w:val="18"/>
              </w:rPr>
              <w:t xml:space="preserve"> </w:t>
            </w:r>
            <w:r>
              <w:rPr>
                <w:b/>
                <w:bCs/>
                <w:spacing w:val="-1"/>
                <w:w w:val="90"/>
                <w:sz w:val="18"/>
                <w:szCs w:val="18"/>
              </w:rPr>
              <w:t>Among</w:t>
            </w:r>
            <w:r>
              <w:rPr>
                <w:b/>
                <w:bCs/>
                <w:w w:val="90"/>
                <w:sz w:val="18"/>
                <w:szCs w:val="18"/>
              </w:rPr>
              <w:t xml:space="preserve"> </w:t>
            </w:r>
            <w:r>
              <w:rPr>
                <w:b/>
                <w:bCs/>
                <w:spacing w:val="-1"/>
                <w:w w:val="90"/>
                <w:sz w:val="18"/>
                <w:szCs w:val="18"/>
              </w:rPr>
              <w:t>nonfinancial</w:t>
            </w:r>
            <w:r>
              <w:rPr>
                <w:b/>
                <w:bCs/>
                <w:w w:val="90"/>
                <w:sz w:val="18"/>
                <w:szCs w:val="18"/>
              </w:rPr>
              <w:t xml:space="preserve"> </w:t>
            </w:r>
            <w:r>
              <w:rPr>
                <w:b/>
                <w:bCs/>
                <w:spacing w:val="-1"/>
                <w:w w:val="90"/>
                <w:sz w:val="18"/>
                <w:szCs w:val="18"/>
              </w:rPr>
              <w:t>barriers,</w:t>
            </w:r>
            <w:r>
              <w:rPr>
                <w:b/>
                <w:bCs/>
                <w:w w:val="90"/>
                <w:sz w:val="18"/>
                <w:szCs w:val="18"/>
              </w:rPr>
              <w:t xml:space="preserve"> </w:t>
            </w:r>
            <w:r>
              <w:rPr>
                <w:rFonts w:ascii="Times New Roman" w:hAnsi="Times New Roman" w:cs="Times New Roman"/>
                <w:b/>
                <w:bCs/>
                <w:spacing w:val="-1"/>
                <w:w w:val="89"/>
                <w:position w:val="8"/>
                <w:sz w:val="8"/>
                <w:szCs w:val="8"/>
              </w:rPr>
              <w:t>11</w:t>
            </w:r>
            <w:r>
              <w:rPr>
                <w:b/>
                <w:bCs/>
                <w:spacing w:val="-1"/>
                <w:w w:val="89"/>
                <w:sz w:val="18"/>
                <w:szCs w:val="18"/>
              </w:rPr>
              <w:t>structural</w:t>
            </w:r>
            <w:r>
              <w:rPr>
                <w:rFonts w:ascii="Times New Roman" w:hAnsi="Times New Roman" w:cs="Times New Roman"/>
                <w:b/>
                <w:bCs/>
                <w:spacing w:val="-1"/>
                <w:w w:val="89"/>
                <w:position w:val="8"/>
                <w:sz w:val="8"/>
                <w:szCs w:val="8"/>
              </w:rPr>
              <w:t>11</w:t>
            </w:r>
            <w:r>
              <w:rPr>
                <w:rFonts w:ascii="Times New Roman" w:hAnsi="Times New Roman" w:cs="Times New Roman"/>
                <w:b/>
                <w:bCs/>
                <w:w w:val="89"/>
                <w:position w:val="8"/>
                <w:sz w:val="8"/>
                <w:szCs w:val="8"/>
              </w:rPr>
              <w:t xml:space="preserve">  </w:t>
            </w:r>
            <w:r>
              <w:rPr>
                <w:b/>
                <w:bCs/>
                <w:spacing w:val="-1"/>
                <w:w w:val="90"/>
                <w:sz w:val="18"/>
                <w:szCs w:val="18"/>
              </w:rPr>
              <w:t>issues</w:t>
            </w:r>
            <w:r>
              <w:rPr>
                <w:b/>
                <w:bCs/>
                <w:w w:val="90"/>
                <w:sz w:val="18"/>
                <w:szCs w:val="18"/>
              </w:rPr>
              <w:t xml:space="preserve"> </w:t>
            </w:r>
            <w:r>
              <w:rPr>
                <w:b/>
                <w:bCs/>
                <w:spacing w:val="-1"/>
                <w:w w:val="90"/>
                <w:sz w:val="18"/>
                <w:szCs w:val="18"/>
              </w:rPr>
              <w:t xml:space="preserve">including </w:t>
            </w:r>
            <w:r>
              <w:rPr>
                <w:sz w:val="17"/>
                <w:szCs w:val="17"/>
              </w:rPr>
              <w:t xml:space="preserve">lack of transportation  and  scheduling  conflicts  with  work  and  child </w:t>
            </w:r>
            <w:r>
              <w:rPr>
                <w:b/>
                <w:bCs/>
                <w:w w:val="95"/>
                <w:sz w:val="18"/>
                <w:szCs w:val="18"/>
              </w:rPr>
              <w:t>care are prevalent in low-income populations</w:t>
            </w:r>
            <w:r w:rsidR="007B2B7B">
              <w:rPr>
                <w:b/>
                <w:bCs/>
                <w:w w:val="95"/>
                <w:sz w:val="18"/>
                <w:szCs w:val="18"/>
              </w:rPr>
              <w:t xml:space="preserve"> </w:t>
            </w:r>
            <w:r>
              <w:rPr>
                <w:b/>
                <w:bCs/>
                <w:w w:val="95"/>
                <w:sz w:val="18"/>
                <w:szCs w:val="18"/>
              </w:rPr>
              <w:t xml:space="preserve">xxix. Transportation </w:t>
            </w:r>
            <w:r>
              <w:rPr>
                <w:sz w:val="17"/>
                <w:szCs w:val="17"/>
              </w:rPr>
              <w:t xml:space="preserve">barriers have  been  linked  to  poorer  health  outcomes=,and </w:t>
            </w:r>
            <w:r>
              <w:rPr>
                <w:b/>
                <w:bCs/>
                <w:w w:val="95"/>
                <w:sz w:val="18"/>
                <w:szCs w:val="18"/>
              </w:rPr>
              <w:t>specialized</w:t>
            </w:r>
            <w:r>
              <w:rPr>
                <w:b/>
                <w:bCs/>
                <w:spacing w:val="-28"/>
                <w:w w:val="95"/>
                <w:sz w:val="18"/>
                <w:szCs w:val="18"/>
              </w:rPr>
              <w:t xml:space="preserve"> </w:t>
            </w:r>
            <w:r>
              <w:rPr>
                <w:b/>
                <w:bCs/>
                <w:w w:val="95"/>
                <w:sz w:val="18"/>
                <w:szCs w:val="18"/>
              </w:rPr>
              <w:t>transportation</w:t>
            </w:r>
            <w:r>
              <w:rPr>
                <w:b/>
                <w:bCs/>
                <w:spacing w:val="-25"/>
                <w:w w:val="95"/>
                <w:sz w:val="18"/>
                <w:szCs w:val="18"/>
              </w:rPr>
              <w:t xml:space="preserve"> </w:t>
            </w:r>
            <w:r>
              <w:rPr>
                <w:b/>
                <w:bCs/>
                <w:w w:val="95"/>
                <w:sz w:val="18"/>
                <w:szCs w:val="18"/>
              </w:rPr>
              <w:t>services</w:t>
            </w:r>
            <w:r>
              <w:rPr>
                <w:b/>
                <w:bCs/>
                <w:spacing w:val="-26"/>
                <w:w w:val="95"/>
                <w:sz w:val="18"/>
                <w:szCs w:val="18"/>
              </w:rPr>
              <w:t xml:space="preserve"> </w:t>
            </w:r>
            <w:r>
              <w:rPr>
                <w:b/>
                <w:bCs/>
                <w:w w:val="95"/>
                <w:sz w:val="18"/>
                <w:szCs w:val="18"/>
              </w:rPr>
              <w:t>have</w:t>
            </w:r>
            <w:r w:rsidR="007B2B7B">
              <w:rPr>
                <w:b/>
                <w:bCs/>
                <w:w w:val="95"/>
                <w:sz w:val="18"/>
                <w:szCs w:val="18"/>
              </w:rPr>
              <w:t xml:space="preserve"> </w:t>
            </w:r>
            <w:r>
              <w:rPr>
                <w:b/>
                <w:bCs/>
                <w:w w:val="95"/>
                <w:sz w:val="18"/>
                <w:szCs w:val="18"/>
              </w:rPr>
              <w:t>been</w:t>
            </w:r>
            <w:r>
              <w:rPr>
                <w:b/>
                <w:bCs/>
                <w:spacing w:val="-30"/>
                <w:w w:val="95"/>
                <w:sz w:val="18"/>
                <w:szCs w:val="18"/>
              </w:rPr>
              <w:t xml:space="preserve"> </w:t>
            </w:r>
            <w:r>
              <w:rPr>
                <w:b/>
                <w:bCs/>
                <w:w w:val="95"/>
                <w:sz w:val="18"/>
                <w:szCs w:val="18"/>
              </w:rPr>
              <w:t>assessed</w:t>
            </w:r>
            <w:r>
              <w:rPr>
                <w:b/>
                <w:bCs/>
                <w:spacing w:val="-25"/>
                <w:w w:val="95"/>
                <w:sz w:val="18"/>
                <w:szCs w:val="18"/>
              </w:rPr>
              <w:t xml:space="preserve"> </w:t>
            </w:r>
            <w:r>
              <w:rPr>
                <w:b/>
                <w:bCs/>
                <w:w w:val="95"/>
                <w:sz w:val="18"/>
                <w:szCs w:val="18"/>
              </w:rPr>
              <w:t>as</w:t>
            </w:r>
            <w:r>
              <w:rPr>
                <w:b/>
                <w:bCs/>
                <w:spacing w:val="-31"/>
                <w:w w:val="95"/>
                <w:sz w:val="18"/>
                <w:szCs w:val="18"/>
              </w:rPr>
              <w:t xml:space="preserve"> </w:t>
            </w:r>
            <w:r>
              <w:rPr>
                <w:b/>
                <w:bCs/>
                <w:w w:val="95"/>
                <w:sz w:val="18"/>
                <w:szCs w:val="18"/>
              </w:rPr>
              <w:t>effective</w:t>
            </w:r>
            <w:r>
              <w:rPr>
                <w:b/>
                <w:bCs/>
                <w:spacing w:val="-26"/>
                <w:w w:val="95"/>
                <w:sz w:val="18"/>
                <w:szCs w:val="18"/>
              </w:rPr>
              <w:t xml:space="preserve"> </w:t>
            </w:r>
            <w:r>
              <w:rPr>
                <w:b/>
                <w:bCs/>
                <w:w w:val="95"/>
                <w:sz w:val="18"/>
                <w:szCs w:val="18"/>
              </w:rPr>
              <w:t xml:space="preserve">in </w:t>
            </w:r>
            <w:r>
              <w:rPr>
                <w:b/>
                <w:bCs/>
                <w:sz w:val="18"/>
                <w:szCs w:val="18"/>
              </w:rPr>
              <w:t>reducing</w:t>
            </w:r>
            <w:r>
              <w:rPr>
                <w:b/>
                <w:bCs/>
                <w:spacing w:val="-36"/>
                <w:sz w:val="18"/>
                <w:szCs w:val="18"/>
              </w:rPr>
              <w:t xml:space="preserve"> </w:t>
            </w:r>
            <w:r>
              <w:rPr>
                <w:b/>
                <w:bCs/>
                <w:sz w:val="18"/>
                <w:szCs w:val="18"/>
              </w:rPr>
              <w:t>barriers</w:t>
            </w:r>
            <w:r>
              <w:rPr>
                <w:b/>
                <w:bCs/>
                <w:spacing w:val="-38"/>
                <w:sz w:val="18"/>
                <w:szCs w:val="18"/>
              </w:rPr>
              <w:t xml:space="preserve"> </w:t>
            </w:r>
            <w:r>
              <w:rPr>
                <w:b/>
                <w:bCs/>
                <w:sz w:val="18"/>
                <w:szCs w:val="18"/>
              </w:rPr>
              <w:t>to</w:t>
            </w:r>
            <w:r>
              <w:rPr>
                <w:b/>
                <w:bCs/>
                <w:spacing w:val="-36"/>
                <w:sz w:val="18"/>
                <w:szCs w:val="18"/>
              </w:rPr>
              <w:t xml:space="preserve"> </w:t>
            </w:r>
            <w:r>
              <w:rPr>
                <w:b/>
                <w:bCs/>
                <w:sz w:val="18"/>
                <w:szCs w:val="18"/>
              </w:rPr>
              <w:t>care</w:t>
            </w:r>
            <w:r w:rsidR="007B2B7B">
              <w:rPr>
                <w:b/>
                <w:bCs/>
                <w:sz w:val="18"/>
                <w:szCs w:val="18"/>
              </w:rPr>
              <w:t xml:space="preserve"> </w:t>
            </w:r>
            <w:r>
              <w:rPr>
                <w:b/>
                <w:bCs/>
                <w:sz w:val="18"/>
                <w:szCs w:val="18"/>
              </w:rPr>
              <w:t>xxxi.</w:t>
            </w:r>
            <w:r>
              <w:rPr>
                <w:b/>
                <w:bCs/>
                <w:spacing w:val="-19"/>
                <w:sz w:val="18"/>
                <w:szCs w:val="18"/>
              </w:rPr>
              <w:t xml:space="preserve"> </w:t>
            </w:r>
            <w:r>
              <w:rPr>
                <w:b/>
                <w:bCs/>
                <w:sz w:val="18"/>
                <w:szCs w:val="18"/>
              </w:rPr>
              <w:t>Legal</w:t>
            </w:r>
            <w:r>
              <w:rPr>
                <w:b/>
                <w:bCs/>
                <w:spacing w:val="-34"/>
                <w:sz w:val="18"/>
                <w:szCs w:val="18"/>
              </w:rPr>
              <w:t xml:space="preserve"> </w:t>
            </w:r>
            <w:r>
              <w:rPr>
                <w:b/>
                <w:bCs/>
                <w:sz w:val="18"/>
                <w:szCs w:val="18"/>
              </w:rPr>
              <w:t>barriers,</w:t>
            </w:r>
            <w:r>
              <w:rPr>
                <w:b/>
                <w:bCs/>
                <w:spacing w:val="-32"/>
                <w:sz w:val="18"/>
                <w:szCs w:val="18"/>
              </w:rPr>
              <w:t xml:space="preserve"> </w:t>
            </w:r>
            <w:r>
              <w:rPr>
                <w:b/>
                <w:bCs/>
                <w:sz w:val="18"/>
                <w:szCs w:val="18"/>
              </w:rPr>
              <w:t>notably</w:t>
            </w:r>
            <w:r>
              <w:rPr>
                <w:b/>
                <w:bCs/>
                <w:spacing w:val="-35"/>
                <w:sz w:val="18"/>
                <w:szCs w:val="18"/>
              </w:rPr>
              <w:t xml:space="preserve"> </w:t>
            </w:r>
            <w:r>
              <w:rPr>
                <w:b/>
                <w:bCs/>
                <w:sz w:val="18"/>
                <w:szCs w:val="18"/>
              </w:rPr>
              <w:t xml:space="preserve">immigration </w:t>
            </w:r>
            <w:r>
              <w:rPr>
                <w:sz w:val="17"/>
                <w:szCs w:val="17"/>
              </w:rPr>
              <w:t xml:space="preserve">status,  are associated  with  higher  rates of health disparities,  and </w:t>
            </w:r>
            <w:r>
              <w:rPr>
                <w:spacing w:val="3"/>
                <w:sz w:val="17"/>
                <w:szCs w:val="17"/>
              </w:rPr>
              <w:t xml:space="preserve"> </w:t>
            </w:r>
            <w:r>
              <w:rPr>
                <w:sz w:val="17"/>
                <w:szCs w:val="17"/>
              </w:rPr>
              <w:t>use</w:t>
            </w:r>
          </w:p>
        </w:tc>
        <w:tc>
          <w:tcPr>
            <w:tcW w:w="3663" w:type="dxa"/>
            <w:gridSpan w:val="2"/>
            <w:tcBorders>
              <w:top w:val="single" w:sz="4" w:space="0" w:color="000000"/>
              <w:left w:val="single" w:sz="4" w:space="0" w:color="000000"/>
              <w:bottom w:val="single" w:sz="2" w:space="0" w:color="000000"/>
              <w:right w:val="single" w:sz="2" w:space="0" w:color="000000"/>
            </w:tcBorders>
          </w:tcPr>
          <w:p w:rsidR="002C5025" w:rsidRDefault="002C5025">
            <w:pPr>
              <w:pStyle w:val="TableParagraph"/>
              <w:kinsoku w:val="0"/>
              <w:overflowPunct w:val="0"/>
              <w:ind w:left="0"/>
              <w:rPr>
                <w:sz w:val="16"/>
                <w:szCs w:val="16"/>
              </w:rPr>
            </w:pPr>
          </w:p>
          <w:p w:rsidR="002C5025" w:rsidRDefault="002C5025">
            <w:pPr>
              <w:pStyle w:val="TableParagraph"/>
              <w:kinsoku w:val="0"/>
              <w:overflowPunct w:val="0"/>
              <w:spacing w:before="93"/>
              <w:ind w:left="110"/>
              <w:rPr>
                <w:w w:val="110"/>
                <w:sz w:val="17"/>
                <w:szCs w:val="17"/>
              </w:rPr>
            </w:pPr>
            <w:r>
              <w:rPr>
                <w:w w:val="110"/>
                <w:sz w:val="17"/>
                <w:szCs w:val="17"/>
              </w:rPr>
              <w:t>Child care for appointments, other health</w:t>
            </w:r>
          </w:p>
          <w:p w:rsidR="002C5025" w:rsidRDefault="002C5025">
            <w:pPr>
              <w:pStyle w:val="TableParagraph"/>
              <w:kinsoku w:val="0"/>
              <w:overflowPunct w:val="0"/>
              <w:spacing w:before="35"/>
              <w:ind w:left="110" w:right="147"/>
              <w:rPr>
                <w:b/>
                <w:bCs/>
                <w:w w:val="95"/>
                <w:sz w:val="18"/>
                <w:szCs w:val="18"/>
              </w:rPr>
            </w:pPr>
            <w:r>
              <w:rPr>
                <w:b/>
                <w:bCs/>
                <w:w w:val="95"/>
                <w:sz w:val="18"/>
                <w:szCs w:val="18"/>
              </w:rPr>
              <w:t>care needs</w:t>
            </w:r>
          </w:p>
          <w:p w:rsidR="002C5025" w:rsidRDefault="002C5025">
            <w:pPr>
              <w:pStyle w:val="TableParagraph"/>
              <w:kinsoku w:val="0"/>
              <w:overflowPunct w:val="0"/>
              <w:spacing w:before="52" w:line="300" w:lineRule="auto"/>
              <w:ind w:left="117" w:right="147" w:hanging="15"/>
              <w:rPr>
                <w:w w:val="105"/>
                <w:sz w:val="17"/>
                <w:szCs w:val="17"/>
              </w:rPr>
            </w:pPr>
            <w:r>
              <w:rPr>
                <w:w w:val="105"/>
                <w:sz w:val="17"/>
                <w:szCs w:val="17"/>
              </w:rPr>
              <w:t>Transportation for appointments, other health care needs</w:t>
            </w:r>
          </w:p>
          <w:p w:rsidR="002C5025" w:rsidRDefault="002C5025">
            <w:pPr>
              <w:pStyle w:val="TableParagraph"/>
              <w:kinsoku w:val="0"/>
              <w:overflowPunct w:val="0"/>
              <w:spacing w:line="199" w:lineRule="exact"/>
              <w:ind w:right="147"/>
              <w:rPr>
                <w:b/>
                <w:bCs/>
                <w:w w:val="90"/>
                <w:sz w:val="18"/>
                <w:szCs w:val="18"/>
              </w:rPr>
            </w:pPr>
            <w:r>
              <w:rPr>
                <w:b/>
                <w:bCs/>
                <w:w w:val="90"/>
                <w:sz w:val="18"/>
                <w:szCs w:val="18"/>
              </w:rPr>
              <w:t>Assistance with immigration status</w:t>
            </w:r>
          </w:p>
          <w:p w:rsidR="002C5025" w:rsidRDefault="002C5025">
            <w:pPr>
              <w:pStyle w:val="TableParagraph"/>
              <w:kinsoku w:val="0"/>
              <w:overflowPunct w:val="0"/>
              <w:spacing w:before="47"/>
              <w:ind w:left="110" w:right="147"/>
              <w:rPr>
                <w:rFonts w:ascii="Times New Roman" w:hAnsi="Times New Roman" w:cs="Times New Roman"/>
              </w:rPr>
            </w:pPr>
            <w:r>
              <w:rPr>
                <w:sz w:val="17"/>
                <w:szCs w:val="17"/>
              </w:rPr>
              <w:t>Guardianship assistance</w:t>
            </w:r>
          </w:p>
        </w:tc>
      </w:tr>
    </w:tbl>
    <w:p w:rsidR="002C5025" w:rsidRDefault="002C5025">
      <w:pPr>
        <w:pStyle w:val="BodyText"/>
        <w:kinsoku w:val="0"/>
        <w:overflowPunct w:val="0"/>
        <w:spacing w:before="2"/>
        <w:rPr>
          <w:rFonts w:ascii="Arial" w:hAnsi="Arial" w:cs="Arial"/>
          <w:sz w:val="10"/>
          <w:szCs w:val="10"/>
        </w:rPr>
      </w:pPr>
    </w:p>
    <w:p w:rsidR="002C5025" w:rsidRDefault="002C5025">
      <w:pPr>
        <w:pStyle w:val="BodyText"/>
        <w:kinsoku w:val="0"/>
        <w:overflowPunct w:val="0"/>
        <w:spacing w:before="78"/>
        <w:ind w:left="234" w:right="6077"/>
        <w:rPr>
          <w:rFonts w:ascii="Arial" w:hAnsi="Arial" w:cs="Arial"/>
          <w:sz w:val="17"/>
          <w:szCs w:val="17"/>
        </w:rPr>
      </w:pPr>
      <w:r>
        <w:rPr>
          <w:rFonts w:ascii="Arial" w:hAnsi="Arial" w:cs="Arial"/>
          <w:sz w:val="17"/>
          <w:szCs w:val="17"/>
        </w:rPr>
        <w:t>9 1  P a g e</w:t>
      </w:r>
    </w:p>
    <w:p w:rsidR="002C5025" w:rsidRDefault="002C5025">
      <w:pPr>
        <w:pStyle w:val="BodyText"/>
        <w:kinsoku w:val="0"/>
        <w:overflowPunct w:val="0"/>
        <w:spacing w:before="78"/>
        <w:ind w:left="234" w:right="6077"/>
        <w:rPr>
          <w:rFonts w:ascii="Arial" w:hAnsi="Arial" w:cs="Arial"/>
          <w:sz w:val="17"/>
          <w:szCs w:val="17"/>
        </w:rPr>
        <w:sectPr w:rsidR="002C5025">
          <w:pgSz w:w="12240" w:h="15840"/>
          <w:pgMar w:top="1500" w:right="1340" w:bottom="280" w:left="1220" w:header="720" w:footer="720" w:gutter="0"/>
          <w:cols w:space="720" w:equalWidth="0">
            <w:col w:w="9680"/>
          </w:cols>
          <w:noEndnote/>
        </w:sectPr>
      </w:pPr>
    </w:p>
    <w:p w:rsidR="002C5025" w:rsidRDefault="002C5025">
      <w:pPr>
        <w:pStyle w:val="BodyText"/>
        <w:kinsoku w:val="0"/>
        <w:overflowPunct w:val="0"/>
        <w:spacing w:before="62"/>
        <w:ind w:left="112"/>
        <w:rPr>
          <w:rFonts w:ascii="Arial" w:hAnsi="Arial" w:cs="Arial"/>
          <w:w w:val="105"/>
        </w:rPr>
      </w:pPr>
      <w:r>
        <w:rPr>
          <w:rFonts w:ascii="Arial" w:hAnsi="Arial" w:cs="Arial"/>
          <w:w w:val="105"/>
        </w:rPr>
        <w:lastRenderedPageBreak/>
        <w:t>•</w:t>
      </w:r>
    </w:p>
    <w:p w:rsidR="002C5025" w:rsidRDefault="002C5025">
      <w:pPr>
        <w:pStyle w:val="BodyText"/>
        <w:kinsoku w:val="0"/>
        <w:overflowPunct w:val="0"/>
        <w:spacing w:before="1"/>
        <w:rPr>
          <w:rFonts w:ascii="Arial" w:hAnsi="Arial" w:cs="Arial"/>
          <w:sz w:val="19"/>
          <w:szCs w:val="19"/>
        </w:rPr>
      </w:pPr>
    </w:p>
    <w:tbl>
      <w:tblPr>
        <w:tblW w:w="0" w:type="auto"/>
        <w:tblInd w:w="413" w:type="dxa"/>
        <w:tblLayout w:type="fixed"/>
        <w:tblCellMar>
          <w:left w:w="0" w:type="dxa"/>
          <w:right w:w="0" w:type="dxa"/>
        </w:tblCellMar>
        <w:tblLook w:val="0000" w:firstRow="0" w:lastRow="0" w:firstColumn="0" w:lastColumn="0" w:noHBand="0" w:noVBand="0"/>
      </w:tblPr>
      <w:tblGrid>
        <w:gridCol w:w="5904"/>
        <w:gridCol w:w="3758"/>
      </w:tblGrid>
      <w:tr w:rsidR="002C5025">
        <w:trPr>
          <w:trHeight w:hRule="exact" w:val="2246"/>
        </w:trPr>
        <w:tc>
          <w:tcPr>
            <w:tcW w:w="5904" w:type="dxa"/>
            <w:tcBorders>
              <w:top w:val="single" w:sz="2" w:space="0" w:color="000000"/>
              <w:left w:val="single" w:sz="2" w:space="0" w:color="000000"/>
              <w:bottom w:val="single" w:sz="2" w:space="0" w:color="000000"/>
              <w:right w:val="single" w:sz="2" w:space="0" w:color="000000"/>
            </w:tcBorders>
          </w:tcPr>
          <w:p w:rsidR="002C5025" w:rsidRDefault="002C5025">
            <w:pPr>
              <w:pStyle w:val="TableParagraph"/>
              <w:kinsoku w:val="0"/>
              <w:overflowPunct w:val="0"/>
              <w:spacing w:before="83" w:line="285" w:lineRule="auto"/>
              <w:ind w:left="220" w:right="178" w:firstLine="14"/>
              <w:rPr>
                <w:rFonts w:ascii="Times New Roman" w:hAnsi="Times New Roman" w:cs="Times New Roman"/>
              </w:rPr>
            </w:pPr>
            <w:r>
              <w:rPr>
                <w:b/>
                <w:bCs/>
                <w:sz w:val="18"/>
                <w:szCs w:val="18"/>
              </w:rPr>
              <w:t xml:space="preserve">of costlier health care </w:t>
            </w:r>
            <w:r>
              <w:rPr>
                <w:b/>
                <w:bCs/>
                <w:sz w:val="17"/>
                <w:szCs w:val="17"/>
              </w:rPr>
              <w:t>settings</w:t>
            </w:r>
            <w:r w:rsidR="007B2B7B">
              <w:rPr>
                <w:b/>
                <w:bCs/>
                <w:sz w:val="17"/>
                <w:szCs w:val="17"/>
              </w:rPr>
              <w:t xml:space="preserve"> </w:t>
            </w:r>
            <w:r>
              <w:rPr>
                <w:b/>
                <w:bCs/>
                <w:sz w:val="17"/>
                <w:szCs w:val="17"/>
              </w:rPr>
              <w:t xml:space="preserve">xxx </w:t>
            </w:r>
            <w:proofErr w:type="spellStart"/>
            <w:r>
              <w:rPr>
                <w:b/>
                <w:bCs/>
                <w:sz w:val="17"/>
                <w:szCs w:val="17"/>
              </w:rPr>
              <w:t>i</w:t>
            </w:r>
            <w:proofErr w:type="spellEnd"/>
            <w:r>
              <w:rPr>
                <w:b/>
                <w:bCs/>
                <w:sz w:val="17"/>
                <w:szCs w:val="17"/>
              </w:rPr>
              <w:t xml:space="preserve">_ </w:t>
            </w:r>
            <w:r>
              <w:rPr>
                <w:b/>
                <w:bCs/>
                <w:sz w:val="18"/>
                <w:szCs w:val="18"/>
              </w:rPr>
              <w:t xml:space="preserve">Assistance in normalizing </w:t>
            </w:r>
            <w:r>
              <w:rPr>
                <w:spacing w:val="-1"/>
                <w:w w:val="99"/>
                <w:sz w:val="18"/>
                <w:szCs w:val="18"/>
              </w:rPr>
              <w:t>immigration</w:t>
            </w:r>
            <w:r>
              <w:rPr>
                <w:w w:val="99"/>
                <w:sz w:val="18"/>
                <w:szCs w:val="18"/>
              </w:rPr>
              <w:t xml:space="preserve"> </w:t>
            </w:r>
            <w:r>
              <w:rPr>
                <w:spacing w:val="-1"/>
                <w:sz w:val="18"/>
                <w:szCs w:val="18"/>
              </w:rPr>
              <w:t>status</w:t>
            </w:r>
            <w:r>
              <w:rPr>
                <w:sz w:val="18"/>
                <w:szCs w:val="18"/>
              </w:rPr>
              <w:t xml:space="preserve"> </w:t>
            </w:r>
            <w:r>
              <w:rPr>
                <w:spacing w:val="-1"/>
                <w:w w:val="99"/>
                <w:sz w:val="18"/>
                <w:szCs w:val="18"/>
              </w:rPr>
              <w:t>has</w:t>
            </w:r>
            <w:r>
              <w:rPr>
                <w:w w:val="99"/>
                <w:sz w:val="18"/>
                <w:szCs w:val="18"/>
              </w:rPr>
              <w:t xml:space="preserve"> </w:t>
            </w:r>
            <w:r w:rsidR="005632B1">
              <w:rPr>
                <w:w w:val="99"/>
                <w:sz w:val="18"/>
                <w:szCs w:val="18"/>
              </w:rPr>
              <w:t>be</w:t>
            </w:r>
            <w:r w:rsidRPr="005632B1">
              <w:rPr>
                <w:w w:val="99"/>
                <w:sz w:val="18"/>
                <w:szCs w:val="18"/>
              </w:rPr>
              <w:t>en</w:t>
            </w:r>
            <w:r>
              <w:rPr>
                <w:w w:val="99"/>
                <w:sz w:val="18"/>
                <w:szCs w:val="18"/>
              </w:rPr>
              <w:t xml:space="preserve"> </w:t>
            </w:r>
            <w:r>
              <w:rPr>
                <w:spacing w:val="-1"/>
                <w:w w:val="99"/>
                <w:sz w:val="18"/>
                <w:szCs w:val="18"/>
              </w:rPr>
              <w:t>associated</w:t>
            </w:r>
            <w:r>
              <w:rPr>
                <w:w w:val="99"/>
                <w:sz w:val="18"/>
                <w:szCs w:val="18"/>
              </w:rPr>
              <w:t xml:space="preserve"> </w:t>
            </w:r>
            <w:r>
              <w:rPr>
                <w:spacing w:val="-1"/>
                <w:w w:val="99"/>
                <w:sz w:val="18"/>
                <w:szCs w:val="18"/>
              </w:rPr>
              <w:t>with</w:t>
            </w:r>
            <w:r>
              <w:rPr>
                <w:w w:val="99"/>
                <w:sz w:val="18"/>
                <w:szCs w:val="18"/>
              </w:rPr>
              <w:t xml:space="preserve"> </w:t>
            </w:r>
            <w:r>
              <w:rPr>
                <w:spacing w:val="-1"/>
                <w:w w:val="99"/>
                <w:sz w:val="18"/>
                <w:szCs w:val="18"/>
              </w:rPr>
              <w:t>reduced</w:t>
            </w:r>
            <w:r>
              <w:rPr>
                <w:w w:val="99"/>
                <w:sz w:val="18"/>
                <w:szCs w:val="18"/>
              </w:rPr>
              <w:t xml:space="preserve"> use </w:t>
            </w:r>
            <w:r>
              <w:rPr>
                <w:sz w:val="18"/>
                <w:szCs w:val="18"/>
              </w:rPr>
              <w:t xml:space="preserve">of </w:t>
            </w:r>
            <w:r>
              <w:rPr>
                <w:spacing w:val="-1"/>
                <w:w w:val="99"/>
                <w:sz w:val="18"/>
                <w:szCs w:val="18"/>
              </w:rPr>
              <w:t>high-</w:t>
            </w:r>
            <w:r>
              <w:rPr>
                <w:w w:val="99"/>
                <w:sz w:val="18"/>
                <w:szCs w:val="18"/>
              </w:rPr>
              <w:t xml:space="preserve">  </w:t>
            </w:r>
            <w:r>
              <w:rPr>
                <w:b/>
                <w:bCs/>
                <w:sz w:val="18"/>
                <w:szCs w:val="18"/>
              </w:rPr>
              <w:t>cost</w:t>
            </w:r>
            <w:r>
              <w:rPr>
                <w:b/>
                <w:bCs/>
                <w:spacing w:val="-40"/>
                <w:sz w:val="18"/>
                <w:szCs w:val="18"/>
              </w:rPr>
              <w:t xml:space="preserve"> </w:t>
            </w:r>
            <w:r>
              <w:rPr>
                <w:b/>
                <w:bCs/>
                <w:sz w:val="18"/>
                <w:szCs w:val="18"/>
              </w:rPr>
              <w:t>care</w:t>
            </w:r>
            <w:r>
              <w:rPr>
                <w:b/>
                <w:bCs/>
                <w:spacing w:val="-41"/>
                <w:sz w:val="18"/>
                <w:szCs w:val="18"/>
              </w:rPr>
              <w:t xml:space="preserve"> </w:t>
            </w:r>
            <w:r>
              <w:rPr>
                <w:b/>
                <w:bCs/>
                <w:sz w:val="18"/>
                <w:szCs w:val="18"/>
              </w:rPr>
              <w:t>options</w:t>
            </w:r>
            <w:r>
              <w:rPr>
                <w:b/>
                <w:bCs/>
                <w:spacing w:val="-41"/>
                <w:sz w:val="18"/>
                <w:szCs w:val="18"/>
              </w:rPr>
              <w:t xml:space="preserve"> </w:t>
            </w:r>
            <w:r>
              <w:rPr>
                <w:b/>
                <w:bCs/>
                <w:sz w:val="18"/>
                <w:szCs w:val="18"/>
              </w:rPr>
              <w:t>and</w:t>
            </w:r>
            <w:r>
              <w:rPr>
                <w:b/>
                <w:bCs/>
                <w:spacing w:val="-42"/>
                <w:sz w:val="18"/>
                <w:szCs w:val="18"/>
              </w:rPr>
              <w:t xml:space="preserve"> </w:t>
            </w:r>
            <w:r>
              <w:rPr>
                <w:b/>
                <w:bCs/>
                <w:sz w:val="18"/>
                <w:szCs w:val="18"/>
              </w:rPr>
              <w:t>increased</w:t>
            </w:r>
            <w:r>
              <w:rPr>
                <w:b/>
                <w:bCs/>
                <w:spacing w:val="-40"/>
                <w:sz w:val="18"/>
                <w:szCs w:val="18"/>
              </w:rPr>
              <w:t xml:space="preserve"> </w:t>
            </w:r>
            <w:r>
              <w:rPr>
                <w:b/>
                <w:bCs/>
                <w:sz w:val="18"/>
                <w:szCs w:val="18"/>
              </w:rPr>
              <w:t>preventative</w:t>
            </w:r>
            <w:r>
              <w:rPr>
                <w:b/>
                <w:bCs/>
                <w:spacing w:val="-38"/>
                <w:sz w:val="18"/>
                <w:szCs w:val="18"/>
              </w:rPr>
              <w:t xml:space="preserve"> </w:t>
            </w:r>
            <w:r>
              <w:rPr>
                <w:b/>
                <w:bCs/>
                <w:sz w:val="18"/>
                <w:szCs w:val="18"/>
              </w:rPr>
              <w:t>care</w:t>
            </w:r>
            <w:r w:rsidR="005632B1">
              <w:rPr>
                <w:b/>
                <w:bCs/>
                <w:sz w:val="18"/>
                <w:szCs w:val="18"/>
              </w:rPr>
              <w:t xml:space="preserve"> </w:t>
            </w:r>
            <w:proofErr w:type="spellStart"/>
            <w:r>
              <w:rPr>
                <w:b/>
                <w:bCs/>
                <w:sz w:val="18"/>
                <w:szCs w:val="18"/>
              </w:rPr>
              <w:t>xxltiii</w:t>
            </w:r>
            <w:proofErr w:type="spellEnd"/>
            <w:r>
              <w:rPr>
                <w:b/>
                <w:bCs/>
                <w:sz w:val="18"/>
                <w:szCs w:val="18"/>
              </w:rPr>
              <w:t>.</w:t>
            </w:r>
            <w:r>
              <w:rPr>
                <w:b/>
                <w:bCs/>
                <w:spacing w:val="-35"/>
                <w:sz w:val="18"/>
                <w:szCs w:val="18"/>
              </w:rPr>
              <w:t xml:space="preserve"> </w:t>
            </w:r>
            <w:r>
              <w:rPr>
                <w:b/>
                <w:bCs/>
                <w:sz w:val="18"/>
                <w:szCs w:val="18"/>
              </w:rPr>
              <w:t>Lack</w:t>
            </w:r>
            <w:r>
              <w:rPr>
                <w:b/>
                <w:bCs/>
                <w:spacing w:val="-41"/>
                <w:sz w:val="18"/>
                <w:szCs w:val="18"/>
              </w:rPr>
              <w:t xml:space="preserve"> </w:t>
            </w:r>
            <w:r w:rsidR="005632B1">
              <w:rPr>
                <w:b/>
                <w:bCs/>
                <w:spacing w:val="-41"/>
                <w:sz w:val="18"/>
                <w:szCs w:val="18"/>
              </w:rPr>
              <w:t xml:space="preserve">  </w:t>
            </w:r>
            <w:r>
              <w:rPr>
                <w:b/>
                <w:bCs/>
                <w:sz w:val="18"/>
                <w:szCs w:val="18"/>
              </w:rPr>
              <w:t>of</w:t>
            </w:r>
            <w:r>
              <w:rPr>
                <w:b/>
                <w:bCs/>
                <w:spacing w:val="-43"/>
                <w:sz w:val="18"/>
                <w:szCs w:val="18"/>
              </w:rPr>
              <w:t xml:space="preserve"> </w:t>
            </w:r>
            <w:r w:rsidR="005632B1">
              <w:rPr>
                <w:b/>
                <w:bCs/>
                <w:spacing w:val="-43"/>
                <w:sz w:val="18"/>
                <w:szCs w:val="18"/>
              </w:rPr>
              <w:t xml:space="preserve"> </w:t>
            </w:r>
            <w:r>
              <w:rPr>
                <w:b/>
                <w:bCs/>
                <w:sz w:val="18"/>
                <w:szCs w:val="18"/>
              </w:rPr>
              <w:t xml:space="preserve">a </w:t>
            </w:r>
            <w:r>
              <w:rPr>
                <w:sz w:val="18"/>
                <w:szCs w:val="18"/>
              </w:rPr>
              <w:t xml:space="preserve">defined legal decision-making arrangement for older and disabled individuals with complex medical conditions has been seen as </w:t>
            </w:r>
            <w:r>
              <w:rPr>
                <w:b/>
                <w:bCs/>
                <w:w w:val="95"/>
                <w:sz w:val="18"/>
                <w:szCs w:val="18"/>
              </w:rPr>
              <w:t>increasing</w:t>
            </w:r>
            <w:r>
              <w:rPr>
                <w:b/>
                <w:bCs/>
                <w:spacing w:val="-30"/>
                <w:w w:val="95"/>
                <w:sz w:val="18"/>
                <w:szCs w:val="18"/>
              </w:rPr>
              <w:t xml:space="preserve"> </w:t>
            </w:r>
            <w:r>
              <w:rPr>
                <w:b/>
                <w:bCs/>
                <w:w w:val="95"/>
                <w:sz w:val="18"/>
                <w:szCs w:val="18"/>
              </w:rPr>
              <w:t>delays</w:t>
            </w:r>
            <w:r>
              <w:rPr>
                <w:b/>
                <w:bCs/>
                <w:spacing w:val="-26"/>
                <w:w w:val="95"/>
                <w:sz w:val="18"/>
                <w:szCs w:val="18"/>
              </w:rPr>
              <w:t xml:space="preserve"> </w:t>
            </w:r>
            <w:r>
              <w:rPr>
                <w:b/>
                <w:bCs/>
                <w:w w:val="95"/>
                <w:sz w:val="18"/>
                <w:szCs w:val="18"/>
              </w:rPr>
              <w:t>in</w:t>
            </w:r>
            <w:r w:rsidR="005632B1">
              <w:rPr>
                <w:b/>
                <w:bCs/>
                <w:w w:val="95"/>
                <w:sz w:val="18"/>
                <w:szCs w:val="18"/>
              </w:rPr>
              <w:t xml:space="preserve"> </w:t>
            </w:r>
            <w:r>
              <w:rPr>
                <w:b/>
                <w:bCs/>
                <w:w w:val="95"/>
                <w:sz w:val="18"/>
                <w:szCs w:val="18"/>
              </w:rPr>
              <w:t>care</w:t>
            </w:r>
            <w:r>
              <w:rPr>
                <w:b/>
                <w:bCs/>
                <w:spacing w:val="-28"/>
                <w:w w:val="95"/>
                <w:sz w:val="18"/>
                <w:szCs w:val="18"/>
              </w:rPr>
              <w:t xml:space="preserve"> </w:t>
            </w:r>
            <w:r>
              <w:rPr>
                <w:b/>
                <w:bCs/>
                <w:w w:val="95"/>
                <w:sz w:val="18"/>
                <w:szCs w:val="18"/>
              </w:rPr>
              <w:t>and</w:t>
            </w:r>
            <w:r>
              <w:rPr>
                <w:b/>
                <w:bCs/>
                <w:spacing w:val="-30"/>
                <w:w w:val="95"/>
                <w:sz w:val="18"/>
                <w:szCs w:val="18"/>
              </w:rPr>
              <w:t xml:space="preserve"> </w:t>
            </w:r>
            <w:r>
              <w:rPr>
                <w:b/>
                <w:bCs/>
                <w:w w:val="95"/>
                <w:sz w:val="18"/>
                <w:szCs w:val="18"/>
              </w:rPr>
              <w:t>suboptimal</w:t>
            </w:r>
            <w:r>
              <w:rPr>
                <w:b/>
                <w:bCs/>
                <w:spacing w:val="-21"/>
                <w:w w:val="95"/>
                <w:sz w:val="18"/>
                <w:szCs w:val="18"/>
              </w:rPr>
              <w:t xml:space="preserve"> </w:t>
            </w:r>
            <w:r>
              <w:rPr>
                <w:b/>
                <w:bCs/>
                <w:w w:val="95"/>
                <w:sz w:val="18"/>
                <w:szCs w:val="18"/>
              </w:rPr>
              <w:t>care.</w:t>
            </w:r>
            <w:r>
              <w:rPr>
                <w:b/>
                <w:bCs/>
                <w:spacing w:val="-30"/>
                <w:w w:val="95"/>
                <w:sz w:val="18"/>
                <w:szCs w:val="18"/>
              </w:rPr>
              <w:t xml:space="preserve"> </w:t>
            </w:r>
            <w:r>
              <w:rPr>
                <w:b/>
                <w:bCs/>
                <w:w w:val="95"/>
                <w:sz w:val="18"/>
                <w:szCs w:val="18"/>
              </w:rPr>
              <w:t>Access</w:t>
            </w:r>
            <w:r>
              <w:rPr>
                <w:b/>
                <w:bCs/>
                <w:spacing w:val="-28"/>
                <w:w w:val="95"/>
                <w:sz w:val="18"/>
                <w:szCs w:val="18"/>
              </w:rPr>
              <w:t xml:space="preserve"> </w:t>
            </w:r>
            <w:r>
              <w:rPr>
                <w:b/>
                <w:bCs/>
                <w:w w:val="95"/>
                <w:sz w:val="18"/>
                <w:szCs w:val="18"/>
              </w:rPr>
              <w:t>to</w:t>
            </w:r>
            <w:r>
              <w:rPr>
                <w:b/>
                <w:bCs/>
                <w:spacing w:val="-28"/>
                <w:w w:val="95"/>
                <w:sz w:val="18"/>
                <w:szCs w:val="18"/>
              </w:rPr>
              <w:t xml:space="preserve"> </w:t>
            </w:r>
            <w:r>
              <w:rPr>
                <w:b/>
                <w:bCs/>
                <w:w w:val="95"/>
                <w:sz w:val="18"/>
                <w:szCs w:val="18"/>
              </w:rPr>
              <w:t>assistance</w:t>
            </w:r>
            <w:r>
              <w:rPr>
                <w:b/>
                <w:bCs/>
                <w:spacing w:val="-26"/>
                <w:w w:val="95"/>
                <w:sz w:val="18"/>
                <w:szCs w:val="18"/>
              </w:rPr>
              <w:t xml:space="preserve"> </w:t>
            </w:r>
            <w:r>
              <w:rPr>
                <w:b/>
                <w:bCs/>
                <w:w w:val="95"/>
                <w:sz w:val="18"/>
                <w:szCs w:val="18"/>
              </w:rPr>
              <w:t xml:space="preserve">in </w:t>
            </w:r>
            <w:r>
              <w:rPr>
                <w:sz w:val="18"/>
                <w:szCs w:val="18"/>
              </w:rPr>
              <w:t xml:space="preserve">establishing guardianship appears to reduce the incidence of these </w:t>
            </w:r>
            <w:r>
              <w:rPr>
                <w:b/>
                <w:bCs/>
                <w:sz w:val="18"/>
                <w:szCs w:val="18"/>
              </w:rPr>
              <w:t>issues.</w:t>
            </w:r>
          </w:p>
        </w:tc>
        <w:tc>
          <w:tcPr>
            <w:tcW w:w="3758" w:type="dxa"/>
            <w:tcBorders>
              <w:top w:val="single" w:sz="2" w:space="0" w:color="000000"/>
              <w:left w:val="single" w:sz="2" w:space="0" w:color="000000"/>
              <w:bottom w:val="single" w:sz="2" w:space="0" w:color="000000"/>
              <w:right w:val="single" w:sz="2" w:space="0" w:color="000000"/>
            </w:tcBorders>
          </w:tcPr>
          <w:p w:rsidR="002C5025" w:rsidRDefault="002C5025"/>
        </w:tc>
      </w:tr>
      <w:tr w:rsidR="002C5025">
        <w:trPr>
          <w:trHeight w:hRule="exact" w:val="2462"/>
        </w:trPr>
        <w:tc>
          <w:tcPr>
            <w:tcW w:w="5904" w:type="dxa"/>
            <w:vMerge w:val="restart"/>
            <w:tcBorders>
              <w:top w:val="single" w:sz="2" w:space="0" w:color="000000"/>
              <w:left w:val="single" w:sz="2" w:space="0" w:color="000000"/>
              <w:bottom w:val="single" w:sz="2" w:space="0" w:color="000000"/>
              <w:right w:val="single" w:sz="4" w:space="0" w:color="000000"/>
            </w:tcBorders>
          </w:tcPr>
          <w:p w:rsidR="002C5025" w:rsidRDefault="002C5025">
            <w:pPr>
              <w:pStyle w:val="TableParagraph"/>
              <w:kinsoku w:val="0"/>
              <w:overflowPunct w:val="0"/>
              <w:spacing w:before="5"/>
              <w:ind w:left="0"/>
              <w:rPr>
                <w:sz w:val="26"/>
                <w:szCs w:val="26"/>
              </w:rPr>
            </w:pPr>
          </w:p>
          <w:p w:rsidR="002C5025" w:rsidRDefault="002C5025">
            <w:pPr>
              <w:pStyle w:val="TableParagraph"/>
              <w:kinsoku w:val="0"/>
              <w:overflowPunct w:val="0"/>
              <w:spacing w:line="280" w:lineRule="auto"/>
              <w:ind w:left="206" w:right="142" w:firstLine="14"/>
              <w:rPr>
                <w:b/>
                <w:bCs/>
                <w:w w:val="85"/>
                <w:sz w:val="17"/>
                <w:szCs w:val="17"/>
              </w:rPr>
            </w:pPr>
            <w:r>
              <w:rPr>
                <w:b/>
                <w:bCs/>
                <w:sz w:val="18"/>
                <w:szCs w:val="18"/>
              </w:rPr>
              <w:t xml:space="preserve">IPV SERVICES. </w:t>
            </w:r>
            <w:r>
              <w:rPr>
                <w:sz w:val="18"/>
                <w:szCs w:val="18"/>
              </w:rPr>
              <w:t xml:space="preserve">Intimate partner violence (IPV) is linked to extremely </w:t>
            </w:r>
            <w:r>
              <w:rPr>
                <w:b/>
                <w:bCs/>
                <w:w w:val="95"/>
                <w:sz w:val="18"/>
                <w:szCs w:val="18"/>
              </w:rPr>
              <w:t>high medical cost burdens for survivors</w:t>
            </w:r>
            <w:r w:rsidR="005632B1">
              <w:rPr>
                <w:b/>
                <w:bCs/>
                <w:w w:val="95"/>
                <w:sz w:val="18"/>
                <w:szCs w:val="18"/>
              </w:rPr>
              <w:t xml:space="preserve"> </w:t>
            </w:r>
            <w:r>
              <w:rPr>
                <w:b/>
                <w:bCs/>
                <w:w w:val="95"/>
                <w:sz w:val="18"/>
                <w:szCs w:val="18"/>
              </w:rPr>
              <w:t xml:space="preserve">xxxiv. Survivors experience </w:t>
            </w:r>
            <w:r>
              <w:rPr>
                <w:sz w:val="18"/>
                <w:szCs w:val="18"/>
              </w:rPr>
              <w:t xml:space="preserve">increased risk of chronic disease and behavioral health issues, reduced capacity to manage chronic disease, and elevated rates of </w:t>
            </w:r>
            <w:r>
              <w:rPr>
                <w:b/>
                <w:bCs/>
                <w:w w:val="90"/>
                <w:sz w:val="18"/>
                <w:szCs w:val="18"/>
              </w:rPr>
              <w:t>complications of pregnancy</w:t>
            </w:r>
            <w:r w:rsidR="005632B1">
              <w:rPr>
                <w:b/>
                <w:bCs/>
                <w:w w:val="90"/>
                <w:sz w:val="18"/>
                <w:szCs w:val="18"/>
              </w:rPr>
              <w:t xml:space="preserve"> </w:t>
            </w:r>
            <w:r>
              <w:rPr>
                <w:b/>
                <w:bCs/>
                <w:w w:val="90"/>
                <w:sz w:val="18"/>
                <w:szCs w:val="18"/>
              </w:rPr>
              <w:t xml:space="preserve">xxxv. Children of survivors also experience </w:t>
            </w:r>
            <w:r>
              <w:rPr>
                <w:sz w:val="18"/>
                <w:szCs w:val="18"/>
              </w:rPr>
              <w:t xml:space="preserve">increased rates behavioral and physical health problems=';. Early identification of IPV and assistance in addressing the issue appear to </w:t>
            </w:r>
            <w:r>
              <w:rPr>
                <w:b/>
                <w:bCs/>
                <w:w w:val="85"/>
                <w:sz w:val="18"/>
                <w:szCs w:val="18"/>
              </w:rPr>
              <w:t xml:space="preserve">reduce health risk and health care </w:t>
            </w:r>
            <w:r>
              <w:rPr>
                <w:b/>
                <w:bCs/>
                <w:w w:val="85"/>
                <w:sz w:val="17"/>
                <w:szCs w:val="17"/>
              </w:rPr>
              <w:t>cost</w:t>
            </w:r>
            <w:r w:rsidR="005632B1">
              <w:rPr>
                <w:b/>
                <w:bCs/>
                <w:w w:val="85"/>
                <w:sz w:val="17"/>
                <w:szCs w:val="17"/>
              </w:rPr>
              <w:t xml:space="preserve"> </w:t>
            </w:r>
            <w:proofErr w:type="spellStart"/>
            <w:r>
              <w:rPr>
                <w:b/>
                <w:bCs/>
                <w:w w:val="85"/>
                <w:sz w:val="17"/>
                <w:szCs w:val="17"/>
              </w:rPr>
              <w:t>xxxvii,xxxvm</w:t>
            </w:r>
            <w:proofErr w:type="spellEnd"/>
          </w:p>
          <w:p w:rsidR="002C5025" w:rsidRDefault="002C5025">
            <w:pPr>
              <w:pStyle w:val="TableParagraph"/>
              <w:kinsoku w:val="0"/>
              <w:overflowPunct w:val="0"/>
              <w:spacing w:before="8"/>
              <w:ind w:left="0"/>
              <w:rPr>
                <w:sz w:val="22"/>
                <w:szCs w:val="22"/>
              </w:rPr>
            </w:pPr>
          </w:p>
          <w:p w:rsidR="002C5025" w:rsidRDefault="00FB027C">
            <w:pPr>
              <w:pStyle w:val="TableParagraph"/>
              <w:kinsoku w:val="0"/>
              <w:overflowPunct w:val="0"/>
              <w:spacing w:line="20" w:lineRule="exact"/>
              <w:ind w:left="73"/>
              <w:rPr>
                <w:sz w:val="2"/>
                <w:szCs w:val="2"/>
              </w:rPr>
            </w:pPr>
            <w:r>
              <w:rPr>
                <w:noProof/>
                <w:sz w:val="2"/>
                <w:szCs w:val="2"/>
              </w:rPr>
              <mc:AlternateContent>
                <mc:Choice Requires="wpg">
                  <w:drawing>
                    <wp:inline distT="0" distB="0" distL="0" distR="0">
                      <wp:extent cx="1769745" cy="12700"/>
                      <wp:effectExtent l="9525" t="9525" r="11430" b="0"/>
                      <wp:docPr id="910"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9745" cy="12700"/>
                                <a:chOff x="0" y="0"/>
                                <a:chExt cx="2787" cy="20"/>
                              </a:xfrm>
                            </wpg:grpSpPr>
                            <wps:wsp>
                              <wps:cNvPr id="911" name="Freeform 115"/>
                              <wps:cNvSpPr>
                                <a:spLocks/>
                              </wps:cNvSpPr>
                              <wps:spPr bwMode="auto">
                                <a:xfrm>
                                  <a:off x="4" y="4"/>
                                  <a:ext cx="2779" cy="20"/>
                                </a:xfrm>
                                <a:custGeom>
                                  <a:avLst/>
                                  <a:gdLst>
                                    <a:gd name="T0" fmla="*/ 0 w 2779"/>
                                    <a:gd name="T1" fmla="*/ 0 h 20"/>
                                    <a:gd name="T2" fmla="*/ 2779 w 2779"/>
                                    <a:gd name="T3" fmla="*/ 0 h 20"/>
                                  </a:gdLst>
                                  <a:ahLst/>
                                  <a:cxnLst>
                                    <a:cxn ang="0">
                                      <a:pos x="T0" y="T1"/>
                                    </a:cxn>
                                    <a:cxn ang="0">
                                      <a:pos x="T2" y="T3"/>
                                    </a:cxn>
                                  </a:cxnLst>
                                  <a:rect l="0" t="0" r="r" b="b"/>
                                  <a:pathLst>
                                    <a:path w="2779" h="20">
                                      <a:moveTo>
                                        <a:pt x="0" y="0"/>
                                      </a:moveTo>
                                      <a:lnTo>
                                        <a:pt x="2779"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14" o:spid="_x0000_s1026" style="width:139.35pt;height:1pt;mso-position-horizontal-relative:char;mso-position-vertical-relative:line" coordsize="278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">
                      <v:shape id="Freeform 115" o:spid="_x0000_s1027" style="position:absolute;left:4;top:4;width:2779;height:20;visibility:visible;mso-wrap-style:square;v-text-anchor:top" coordsize="277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B6qMUA&#10;AADcAAAADwAAAGRycy9kb3ducmV2LnhtbESPT2vCQBTE7wW/w/IEb3UTD1qjq6gg6qVQ65/rM/tM&#10;gtm3Ibsm8dt3C4Ueh5n5DTNfdqYUDdWusKwgHkYgiFOrC84UnL637x8gnEfWWFomBS9ysFz03uaY&#10;aNvyFzVHn4kAYZeggtz7KpHSpTkZdENbEQfvbmuDPsg6k7rGNsBNKUdRNJYGCw4LOVa0ySl9HJ9G&#10;weU5uTVyd24+ZXtbmd1rf10frFKDfreagfDU+f/wX3uvFUzjGH7PhCMgF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oHqoxQAAANwAAAAPAAAAAAAAAAAAAAAAAJgCAABkcnMv&#10;ZG93bnJldi54bWxQSwUGAAAAAAQABAD1AAAAigMAAAAA&#10;" path="m,l2779,e" filled="f" strokeweight=".36pt">
                        <v:path arrowok="t" o:connecttype="custom" o:connectlocs="0,0;2779,0" o:connectangles="0,0"/>
                      </v:shape>
                      <w10:anchorlock/>
                    </v:group>
                  </w:pict>
                </mc:Fallback>
              </mc:AlternateContent>
            </w:r>
          </w:p>
          <w:p w:rsidR="002C5025" w:rsidRDefault="002C5025">
            <w:pPr>
              <w:pStyle w:val="TableParagraph"/>
              <w:kinsoku w:val="0"/>
              <w:overflowPunct w:val="0"/>
              <w:spacing w:before="6"/>
              <w:ind w:left="0"/>
              <w:rPr>
                <w:sz w:val="17"/>
                <w:szCs w:val="17"/>
              </w:rPr>
            </w:pPr>
          </w:p>
          <w:p w:rsidR="002C5025" w:rsidRDefault="002C5025">
            <w:pPr>
              <w:pStyle w:val="TableParagraph"/>
              <w:kinsoku w:val="0"/>
              <w:overflowPunct w:val="0"/>
              <w:spacing w:line="285" w:lineRule="auto"/>
              <w:ind w:left="184" w:right="142" w:firstLine="21"/>
              <w:rPr>
                <w:sz w:val="18"/>
                <w:szCs w:val="18"/>
              </w:rPr>
            </w:pPr>
            <w:r>
              <w:rPr>
                <w:b/>
                <w:bCs/>
                <w:sz w:val="18"/>
                <w:szCs w:val="18"/>
              </w:rPr>
              <w:t xml:space="preserve">EDUCATION. </w:t>
            </w:r>
            <w:r>
              <w:rPr>
                <w:sz w:val="18"/>
                <w:szCs w:val="18"/>
              </w:rPr>
              <w:t>Longitudinal observational studies have tied participation in high-quality early care and education by low-income children 0-5 years to better adult health outcomes, including lower blood pressure and lower risks of metabolic syndrome=;'.   Higher</w:t>
            </w:r>
          </w:p>
          <w:p w:rsidR="002C5025" w:rsidRDefault="002C5025">
            <w:pPr>
              <w:pStyle w:val="TableParagraph"/>
              <w:kinsoku w:val="0"/>
              <w:overflowPunct w:val="0"/>
              <w:spacing w:line="189" w:lineRule="exact"/>
              <w:ind w:left="184" w:right="142"/>
              <w:rPr>
                <w:sz w:val="18"/>
                <w:szCs w:val="18"/>
              </w:rPr>
            </w:pPr>
            <w:r>
              <w:rPr>
                <w:sz w:val="18"/>
                <w:szCs w:val="18"/>
              </w:rPr>
              <w:t>educational attainment among adult consumers has been associated</w:t>
            </w:r>
          </w:p>
          <w:p w:rsidR="002C5025" w:rsidRDefault="002C5025">
            <w:pPr>
              <w:pStyle w:val="TableParagraph"/>
              <w:kinsoku w:val="0"/>
              <w:overflowPunct w:val="0"/>
              <w:spacing w:line="169" w:lineRule="exact"/>
              <w:ind w:left="184" w:right="142"/>
              <w:rPr>
                <w:b/>
                <w:bCs/>
                <w:w w:val="90"/>
                <w:sz w:val="18"/>
                <w:szCs w:val="18"/>
              </w:rPr>
            </w:pPr>
            <w:r>
              <w:rPr>
                <w:b/>
                <w:bCs/>
                <w:w w:val="90"/>
                <w:sz w:val="18"/>
                <w:szCs w:val="18"/>
              </w:rPr>
              <w:t>with greater use of preventative services</w:t>
            </w:r>
            <w:r w:rsidR="005632B1">
              <w:rPr>
                <w:b/>
                <w:bCs/>
                <w:w w:val="90"/>
                <w:sz w:val="18"/>
                <w:szCs w:val="18"/>
              </w:rPr>
              <w:t xml:space="preserve"> </w:t>
            </w:r>
            <w:r>
              <w:rPr>
                <w:b/>
                <w:bCs/>
                <w:w w:val="90"/>
                <w:sz w:val="18"/>
                <w:szCs w:val="18"/>
              </w:rPr>
              <w:t xml:space="preserve">x </w:t>
            </w:r>
            <w:r>
              <w:rPr>
                <w:b/>
                <w:bCs/>
                <w:w w:val="90"/>
                <w:position w:val="9"/>
                <w:sz w:val="9"/>
                <w:szCs w:val="9"/>
              </w:rPr>
              <w:t xml:space="preserve">1   </w:t>
            </w:r>
            <w:r>
              <w:rPr>
                <w:b/>
                <w:bCs/>
                <w:w w:val="90"/>
                <w:sz w:val="18"/>
                <w:szCs w:val="18"/>
              </w:rPr>
              <w:t>reduced risky behavior</w:t>
            </w:r>
            <w:r w:rsidR="005632B1">
              <w:rPr>
                <w:b/>
                <w:bCs/>
                <w:w w:val="90"/>
                <w:sz w:val="18"/>
                <w:szCs w:val="18"/>
              </w:rPr>
              <w:t xml:space="preserve"> </w:t>
            </w:r>
            <w:proofErr w:type="spellStart"/>
            <w:r>
              <w:rPr>
                <w:b/>
                <w:bCs/>
                <w:w w:val="90"/>
                <w:sz w:val="18"/>
                <w:szCs w:val="18"/>
              </w:rPr>
              <w:t>xn</w:t>
            </w:r>
            <w:proofErr w:type="spellEnd"/>
            <w:r>
              <w:rPr>
                <w:b/>
                <w:bCs/>
                <w:w w:val="90"/>
                <w:sz w:val="18"/>
                <w:szCs w:val="18"/>
              </w:rPr>
              <w:t>,</w:t>
            </w:r>
          </w:p>
          <w:p w:rsidR="002C5025" w:rsidRDefault="002C5025">
            <w:pPr>
              <w:pStyle w:val="TableParagraph"/>
              <w:kinsoku w:val="0"/>
              <w:overflowPunct w:val="0"/>
              <w:spacing w:line="77" w:lineRule="exact"/>
              <w:ind w:left="1266"/>
              <w:jc w:val="center"/>
              <w:rPr>
                <w:b/>
                <w:bCs/>
                <w:w w:val="264"/>
                <w:sz w:val="9"/>
                <w:szCs w:val="9"/>
              </w:rPr>
            </w:pPr>
            <w:r>
              <w:rPr>
                <w:b/>
                <w:bCs/>
                <w:w w:val="264"/>
                <w:sz w:val="9"/>
                <w:szCs w:val="9"/>
              </w:rPr>
              <w:t>,</w:t>
            </w:r>
          </w:p>
          <w:p w:rsidR="002C5025" w:rsidRDefault="002C5025">
            <w:pPr>
              <w:pStyle w:val="TableParagraph"/>
              <w:kinsoku w:val="0"/>
              <w:overflowPunct w:val="0"/>
              <w:spacing w:before="40"/>
              <w:ind w:left="191" w:right="142"/>
              <w:rPr>
                <w:rFonts w:ascii="Times New Roman" w:hAnsi="Times New Roman" w:cs="Times New Roman"/>
              </w:rPr>
            </w:pPr>
            <w:r>
              <w:rPr>
                <w:b/>
                <w:bCs/>
                <w:w w:val="90"/>
                <w:sz w:val="18"/>
                <w:szCs w:val="18"/>
              </w:rPr>
              <w:t>and lower levels of coronary heart disease</w:t>
            </w:r>
            <w:r w:rsidR="005632B1">
              <w:rPr>
                <w:b/>
                <w:bCs/>
                <w:w w:val="90"/>
                <w:sz w:val="18"/>
                <w:szCs w:val="18"/>
              </w:rPr>
              <w:t xml:space="preserve"> </w:t>
            </w:r>
            <w:proofErr w:type="spellStart"/>
            <w:r>
              <w:rPr>
                <w:b/>
                <w:bCs/>
                <w:w w:val="90"/>
                <w:sz w:val="18"/>
                <w:szCs w:val="18"/>
              </w:rPr>
              <w:t>xm</w:t>
            </w:r>
            <w:proofErr w:type="spellEnd"/>
            <w:r>
              <w:rPr>
                <w:b/>
                <w:bCs/>
                <w:w w:val="90"/>
                <w:sz w:val="18"/>
                <w:szCs w:val="18"/>
              </w:rPr>
              <w:t>.</w:t>
            </w:r>
          </w:p>
        </w:tc>
        <w:tc>
          <w:tcPr>
            <w:tcW w:w="3758" w:type="dxa"/>
            <w:tcBorders>
              <w:top w:val="single" w:sz="2" w:space="0" w:color="000000"/>
              <w:left w:val="single" w:sz="4" w:space="0" w:color="000000"/>
              <w:bottom w:val="single" w:sz="2" w:space="0" w:color="000000"/>
              <w:right w:val="single" w:sz="2" w:space="0" w:color="000000"/>
            </w:tcBorders>
          </w:tcPr>
          <w:p w:rsidR="002C5025" w:rsidRDefault="002C5025">
            <w:pPr>
              <w:pStyle w:val="TableParagraph"/>
              <w:kinsoku w:val="0"/>
              <w:overflowPunct w:val="0"/>
              <w:ind w:left="0"/>
              <w:rPr>
                <w:sz w:val="18"/>
                <w:szCs w:val="18"/>
              </w:rPr>
            </w:pPr>
          </w:p>
          <w:p w:rsidR="002C5025" w:rsidRDefault="002C5025">
            <w:pPr>
              <w:pStyle w:val="TableParagraph"/>
              <w:kinsoku w:val="0"/>
              <w:overflowPunct w:val="0"/>
              <w:spacing w:before="116" w:line="288" w:lineRule="auto"/>
              <w:ind w:left="115" w:right="2577" w:hanging="10"/>
              <w:rPr>
                <w:w w:val="95"/>
                <w:sz w:val="18"/>
                <w:szCs w:val="18"/>
              </w:rPr>
            </w:pPr>
            <w:r>
              <w:rPr>
                <w:b/>
                <w:bCs/>
                <w:sz w:val="17"/>
                <w:szCs w:val="17"/>
              </w:rPr>
              <w:t xml:space="preserve">Screening </w:t>
            </w:r>
            <w:r>
              <w:rPr>
                <w:sz w:val="18"/>
                <w:szCs w:val="18"/>
              </w:rPr>
              <w:t xml:space="preserve">Counseling </w:t>
            </w:r>
            <w:r>
              <w:rPr>
                <w:w w:val="95"/>
                <w:sz w:val="18"/>
                <w:szCs w:val="18"/>
              </w:rPr>
              <w:t>Legal support</w:t>
            </w:r>
          </w:p>
          <w:p w:rsidR="002C5025" w:rsidRDefault="002C5025">
            <w:pPr>
              <w:pStyle w:val="TableParagraph"/>
              <w:kinsoku w:val="0"/>
              <w:overflowPunct w:val="0"/>
              <w:spacing w:line="205" w:lineRule="exact"/>
              <w:ind w:left="107"/>
              <w:rPr>
                <w:rFonts w:ascii="Times New Roman" w:hAnsi="Times New Roman" w:cs="Times New Roman"/>
              </w:rPr>
            </w:pPr>
            <w:r>
              <w:rPr>
                <w:b/>
                <w:bCs/>
                <w:w w:val="90"/>
                <w:sz w:val="18"/>
                <w:szCs w:val="18"/>
              </w:rPr>
              <w:t>Assistance with relocation, housing</w:t>
            </w:r>
          </w:p>
        </w:tc>
      </w:tr>
      <w:tr w:rsidR="002C5025">
        <w:trPr>
          <w:trHeight w:hRule="exact" w:val="2566"/>
        </w:trPr>
        <w:tc>
          <w:tcPr>
            <w:tcW w:w="5904" w:type="dxa"/>
            <w:vMerge/>
            <w:tcBorders>
              <w:top w:val="single" w:sz="2" w:space="0" w:color="000000"/>
              <w:left w:val="single" w:sz="2" w:space="0" w:color="000000"/>
              <w:bottom w:val="single" w:sz="2" w:space="0" w:color="000000"/>
              <w:right w:val="single" w:sz="4" w:space="0" w:color="000000"/>
            </w:tcBorders>
          </w:tcPr>
          <w:p w:rsidR="002C5025" w:rsidRDefault="002C5025">
            <w:pPr>
              <w:pStyle w:val="TableParagraph"/>
              <w:kinsoku w:val="0"/>
              <w:overflowPunct w:val="0"/>
              <w:spacing w:line="205" w:lineRule="exact"/>
              <w:ind w:left="107"/>
              <w:rPr>
                <w:rFonts w:ascii="Times New Roman" w:hAnsi="Times New Roman" w:cs="Times New Roman"/>
              </w:rPr>
            </w:pPr>
          </w:p>
        </w:tc>
        <w:tc>
          <w:tcPr>
            <w:tcW w:w="3758" w:type="dxa"/>
            <w:tcBorders>
              <w:top w:val="single" w:sz="2" w:space="0" w:color="000000"/>
              <w:left w:val="single" w:sz="4" w:space="0" w:color="000000"/>
              <w:bottom w:val="single" w:sz="2" w:space="0" w:color="000000"/>
              <w:right w:val="single" w:sz="2" w:space="0" w:color="000000"/>
            </w:tcBorders>
          </w:tcPr>
          <w:p w:rsidR="002C5025" w:rsidRDefault="002C5025">
            <w:pPr>
              <w:pStyle w:val="TableParagraph"/>
              <w:kinsoku w:val="0"/>
              <w:overflowPunct w:val="0"/>
              <w:ind w:left="0"/>
              <w:rPr>
                <w:sz w:val="18"/>
                <w:szCs w:val="18"/>
              </w:rPr>
            </w:pPr>
          </w:p>
          <w:p w:rsidR="002C5025" w:rsidRDefault="002C5025">
            <w:pPr>
              <w:pStyle w:val="TableParagraph"/>
              <w:kinsoku w:val="0"/>
              <w:overflowPunct w:val="0"/>
              <w:spacing w:before="111" w:line="283" w:lineRule="auto"/>
              <w:ind w:left="93" w:right="1054" w:firstLine="7"/>
              <w:rPr>
                <w:w w:val="95"/>
                <w:sz w:val="18"/>
                <w:szCs w:val="18"/>
              </w:rPr>
            </w:pPr>
            <w:r>
              <w:rPr>
                <w:sz w:val="18"/>
                <w:szCs w:val="18"/>
              </w:rPr>
              <w:t xml:space="preserve">Access to Early Intervention Early Head Start and Head Start Subsidized child care vouchers </w:t>
            </w:r>
            <w:r>
              <w:rPr>
                <w:w w:val="95"/>
                <w:sz w:val="18"/>
                <w:szCs w:val="18"/>
              </w:rPr>
              <w:t>Access to SPED services</w:t>
            </w:r>
          </w:p>
          <w:p w:rsidR="002C5025" w:rsidRDefault="002C5025">
            <w:pPr>
              <w:pStyle w:val="TableParagraph"/>
              <w:kinsoku w:val="0"/>
              <w:overflowPunct w:val="0"/>
              <w:spacing w:line="292" w:lineRule="auto"/>
              <w:ind w:left="93" w:firstLine="7"/>
              <w:rPr>
                <w:sz w:val="18"/>
                <w:szCs w:val="18"/>
              </w:rPr>
            </w:pPr>
            <w:r>
              <w:rPr>
                <w:sz w:val="18"/>
                <w:szCs w:val="18"/>
              </w:rPr>
              <w:t>Out-of-school-time learning programs Alternative high schools</w:t>
            </w:r>
          </w:p>
          <w:p w:rsidR="002C5025" w:rsidRDefault="002C5025">
            <w:pPr>
              <w:pStyle w:val="TableParagraph"/>
              <w:kinsoku w:val="0"/>
              <w:overflowPunct w:val="0"/>
              <w:spacing w:line="196" w:lineRule="exact"/>
              <w:ind w:left="93"/>
              <w:rPr>
                <w:sz w:val="18"/>
                <w:szCs w:val="18"/>
              </w:rPr>
            </w:pPr>
            <w:r>
              <w:rPr>
                <w:sz w:val="18"/>
                <w:szCs w:val="18"/>
              </w:rPr>
              <w:t>Transition to college programs</w:t>
            </w:r>
          </w:p>
          <w:p w:rsidR="002C5025" w:rsidRDefault="002C5025">
            <w:pPr>
              <w:pStyle w:val="TableParagraph"/>
              <w:kinsoku w:val="0"/>
              <w:overflowPunct w:val="0"/>
              <w:spacing w:before="42"/>
              <w:ind w:left="107"/>
              <w:rPr>
                <w:rFonts w:ascii="Times New Roman" w:hAnsi="Times New Roman" w:cs="Times New Roman"/>
              </w:rPr>
            </w:pPr>
            <w:r>
              <w:rPr>
                <w:w w:val="95"/>
                <w:sz w:val="18"/>
                <w:szCs w:val="18"/>
              </w:rPr>
              <w:t>Reasonable  accommodation</w:t>
            </w:r>
          </w:p>
        </w:tc>
      </w:tr>
    </w:tbl>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5"/>
        <w:rPr>
          <w:rFonts w:ascii="Arial" w:hAnsi="Arial" w:cs="Arial"/>
          <w:sz w:val="23"/>
          <w:szCs w:val="23"/>
        </w:rPr>
      </w:pPr>
    </w:p>
    <w:p w:rsidR="002C5025" w:rsidRDefault="002C5025">
      <w:pPr>
        <w:pStyle w:val="BodyText"/>
        <w:kinsoku w:val="0"/>
        <w:overflowPunct w:val="0"/>
        <w:spacing w:before="76"/>
        <w:ind w:left="613" w:right="63"/>
        <w:rPr>
          <w:rFonts w:ascii="Arial" w:hAnsi="Arial" w:cs="Arial"/>
          <w:b/>
          <w:bCs/>
          <w:w w:val="95"/>
          <w:sz w:val="19"/>
          <w:szCs w:val="19"/>
        </w:rPr>
      </w:pPr>
      <w:r>
        <w:rPr>
          <w:rFonts w:ascii="Arial" w:hAnsi="Arial" w:cs="Arial"/>
          <w:b/>
          <w:bCs/>
          <w:w w:val="95"/>
          <w:sz w:val="19"/>
          <w:szCs w:val="19"/>
        </w:rPr>
        <w:t>NOTES TO TABLE 2</w:t>
      </w:r>
    </w:p>
    <w:p w:rsidR="002C5025" w:rsidRDefault="00FB027C">
      <w:pPr>
        <w:pStyle w:val="BodyText"/>
        <w:kinsoku w:val="0"/>
        <w:overflowPunct w:val="0"/>
        <w:spacing w:before="8"/>
        <w:rPr>
          <w:rFonts w:ascii="Arial" w:hAnsi="Arial" w:cs="Arial"/>
          <w:b/>
          <w:bCs/>
          <w:sz w:val="16"/>
          <w:szCs w:val="16"/>
        </w:rPr>
      </w:pPr>
      <w:r>
        <w:rPr>
          <w:noProof/>
        </w:rPr>
        <mc:AlternateContent>
          <mc:Choice Requires="wps">
            <w:drawing>
              <wp:anchor distT="0" distB="0" distL="0" distR="0" simplePos="0" relativeHeight="251490816" behindDoc="0" locked="0" layoutInCell="0" allowOverlap="1">
                <wp:simplePos x="0" y="0"/>
                <wp:positionH relativeFrom="page">
                  <wp:posOffset>932180</wp:posOffset>
                </wp:positionH>
                <wp:positionV relativeFrom="paragraph">
                  <wp:posOffset>151130</wp:posOffset>
                </wp:positionV>
                <wp:extent cx="1819910" cy="12700"/>
                <wp:effectExtent l="0" t="0" r="0" b="0"/>
                <wp:wrapTopAndBottom/>
                <wp:docPr id="909" name="Freeform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19910" cy="12700"/>
                        </a:xfrm>
                        <a:custGeom>
                          <a:avLst/>
                          <a:gdLst>
                            <a:gd name="T0" fmla="*/ 0 w 2866"/>
                            <a:gd name="T1" fmla="*/ 0 h 20"/>
                            <a:gd name="T2" fmla="*/ 2866 w 2866"/>
                            <a:gd name="T3" fmla="*/ 0 h 20"/>
                          </a:gdLst>
                          <a:ahLst/>
                          <a:cxnLst>
                            <a:cxn ang="0">
                              <a:pos x="T0" y="T1"/>
                            </a:cxn>
                            <a:cxn ang="0">
                              <a:pos x="T2" y="T3"/>
                            </a:cxn>
                          </a:cxnLst>
                          <a:rect l="0" t="0" r="r" b="b"/>
                          <a:pathLst>
                            <a:path w="2866" h="20">
                              <a:moveTo>
                                <a:pt x="0" y="0"/>
                              </a:moveTo>
                              <a:lnTo>
                                <a:pt x="2866"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16" o:spid="_x0000_s1026" style="position:absolute;z-index:251490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3.4pt,11.9pt,216.7pt,11.9pt" coordsize="286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" o:allowincell="f" filled="f" strokeweight=".72pt">
                <v:path arrowok="t" o:connecttype="custom" o:connectlocs="0,0;1819910,0" o:connectangles="0,0"/>
                <w10:wrap type="topAndBottom" anchorx="page"/>
              </v:polyline>
            </w:pict>
          </mc:Fallback>
        </mc:AlternateContent>
      </w:r>
    </w:p>
    <w:p w:rsidR="002C5025" w:rsidRDefault="002C5025">
      <w:pPr>
        <w:pStyle w:val="BodyText"/>
        <w:kinsoku w:val="0"/>
        <w:overflowPunct w:val="0"/>
        <w:spacing w:before="82" w:line="280" w:lineRule="auto"/>
        <w:ind w:left="606" w:right="1472" w:hanging="8"/>
        <w:rPr>
          <w:rFonts w:ascii="Arial" w:hAnsi="Arial" w:cs="Arial"/>
          <w:w w:val="105"/>
          <w:sz w:val="18"/>
          <w:szCs w:val="18"/>
        </w:rPr>
      </w:pPr>
      <w:r>
        <w:rPr>
          <w:rFonts w:ascii="Arial" w:hAnsi="Arial" w:cs="Arial"/>
          <w:spacing w:val="3"/>
          <w:w w:val="105"/>
          <w:sz w:val="18"/>
          <w:szCs w:val="18"/>
        </w:rPr>
        <w:t>;Oregon</w:t>
      </w:r>
      <w:r>
        <w:rPr>
          <w:rFonts w:ascii="Arial" w:hAnsi="Arial" w:cs="Arial"/>
          <w:spacing w:val="-19"/>
          <w:w w:val="105"/>
          <w:sz w:val="18"/>
          <w:szCs w:val="18"/>
        </w:rPr>
        <w:t xml:space="preserve"> </w:t>
      </w:r>
      <w:r>
        <w:rPr>
          <w:rFonts w:ascii="Arial" w:hAnsi="Arial" w:cs="Arial"/>
          <w:w w:val="105"/>
          <w:sz w:val="18"/>
          <w:szCs w:val="18"/>
        </w:rPr>
        <w:t>Health</w:t>
      </w:r>
      <w:r>
        <w:rPr>
          <w:rFonts w:ascii="Arial" w:hAnsi="Arial" w:cs="Arial"/>
          <w:spacing w:val="-32"/>
          <w:w w:val="105"/>
          <w:sz w:val="18"/>
          <w:szCs w:val="18"/>
        </w:rPr>
        <w:t xml:space="preserve"> </w:t>
      </w:r>
      <w:r>
        <w:rPr>
          <w:rFonts w:ascii="Arial" w:hAnsi="Arial" w:cs="Arial"/>
          <w:w w:val="105"/>
          <w:sz w:val="18"/>
          <w:szCs w:val="18"/>
        </w:rPr>
        <w:t>Authority.</w:t>
      </w:r>
      <w:r>
        <w:rPr>
          <w:rFonts w:ascii="Arial" w:hAnsi="Arial" w:cs="Arial"/>
          <w:spacing w:val="-18"/>
          <w:w w:val="105"/>
          <w:sz w:val="18"/>
          <w:szCs w:val="18"/>
        </w:rPr>
        <w:t xml:space="preserve"> </w:t>
      </w:r>
      <w:r>
        <w:rPr>
          <w:rFonts w:ascii="Arial" w:hAnsi="Arial" w:cs="Arial"/>
          <w:spacing w:val="-4"/>
          <w:w w:val="105"/>
          <w:sz w:val="18"/>
          <w:szCs w:val="18"/>
        </w:rPr>
        <w:t>2013.</w:t>
      </w:r>
      <w:r>
        <w:rPr>
          <w:rFonts w:ascii="Arial" w:hAnsi="Arial" w:cs="Arial"/>
          <w:spacing w:val="29"/>
          <w:w w:val="105"/>
          <w:sz w:val="18"/>
          <w:szCs w:val="18"/>
        </w:rPr>
        <w:t xml:space="preserve"> </w:t>
      </w:r>
      <w:r>
        <w:rPr>
          <w:rFonts w:ascii="Arial" w:hAnsi="Arial" w:cs="Arial"/>
          <w:w w:val="105"/>
          <w:sz w:val="18"/>
          <w:szCs w:val="18"/>
        </w:rPr>
        <w:t>Oregon's</w:t>
      </w:r>
      <w:r>
        <w:rPr>
          <w:rFonts w:ascii="Arial" w:hAnsi="Arial" w:cs="Arial"/>
          <w:spacing w:val="-18"/>
          <w:w w:val="105"/>
          <w:sz w:val="18"/>
          <w:szCs w:val="18"/>
        </w:rPr>
        <w:t xml:space="preserve"> </w:t>
      </w:r>
      <w:r>
        <w:rPr>
          <w:rFonts w:ascii="Arial" w:hAnsi="Arial" w:cs="Arial"/>
          <w:w w:val="105"/>
          <w:sz w:val="18"/>
          <w:szCs w:val="18"/>
        </w:rPr>
        <w:t>health</w:t>
      </w:r>
      <w:r>
        <w:rPr>
          <w:rFonts w:ascii="Arial" w:hAnsi="Arial" w:cs="Arial"/>
          <w:spacing w:val="-32"/>
          <w:w w:val="105"/>
          <w:sz w:val="18"/>
          <w:szCs w:val="18"/>
        </w:rPr>
        <w:t xml:space="preserve"> </w:t>
      </w:r>
      <w:r>
        <w:rPr>
          <w:rFonts w:ascii="Arial" w:hAnsi="Arial" w:cs="Arial"/>
          <w:w w:val="105"/>
          <w:sz w:val="18"/>
          <w:szCs w:val="18"/>
        </w:rPr>
        <w:t>system</w:t>
      </w:r>
      <w:r>
        <w:rPr>
          <w:rFonts w:ascii="Arial" w:hAnsi="Arial" w:cs="Arial"/>
          <w:spacing w:val="-25"/>
          <w:w w:val="105"/>
          <w:sz w:val="18"/>
          <w:szCs w:val="18"/>
        </w:rPr>
        <w:t xml:space="preserve"> </w:t>
      </w:r>
      <w:r>
        <w:rPr>
          <w:rFonts w:ascii="Arial" w:hAnsi="Arial" w:cs="Arial"/>
          <w:w w:val="105"/>
          <w:sz w:val="18"/>
          <w:szCs w:val="18"/>
        </w:rPr>
        <w:t>transformation,</w:t>
      </w:r>
      <w:r>
        <w:rPr>
          <w:rFonts w:ascii="Arial" w:hAnsi="Arial" w:cs="Arial"/>
          <w:spacing w:val="-16"/>
          <w:w w:val="105"/>
          <w:sz w:val="18"/>
          <w:szCs w:val="18"/>
        </w:rPr>
        <w:t xml:space="preserve"> </w:t>
      </w:r>
      <w:r>
        <w:rPr>
          <w:rFonts w:ascii="Arial" w:hAnsi="Arial" w:cs="Arial"/>
          <w:w w:val="105"/>
          <w:sz w:val="18"/>
          <w:szCs w:val="18"/>
        </w:rPr>
        <w:t>quarterly</w:t>
      </w:r>
      <w:r>
        <w:rPr>
          <w:rFonts w:ascii="Arial" w:hAnsi="Arial" w:cs="Arial"/>
          <w:spacing w:val="-18"/>
          <w:w w:val="105"/>
          <w:sz w:val="18"/>
          <w:szCs w:val="18"/>
        </w:rPr>
        <w:t xml:space="preserve"> </w:t>
      </w:r>
      <w:r>
        <w:rPr>
          <w:rFonts w:ascii="Arial" w:hAnsi="Arial" w:cs="Arial"/>
          <w:w w:val="105"/>
          <w:sz w:val="18"/>
          <w:szCs w:val="18"/>
        </w:rPr>
        <w:t>progress</w:t>
      </w:r>
      <w:r>
        <w:rPr>
          <w:rFonts w:ascii="Arial" w:hAnsi="Arial" w:cs="Arial"/>
          <w:spacing w:val="-25"/>
          <w:w w:val="105"/>
          <w:sz w:val="18"/>
          <w:szCs w:val="18"/>
        </w:rPr>
        <w:t xml:space="preserve"> </w:t>
      </w:r>
      <w:r>
        <w:rPr>
          <w:rFonts w:ascii="Arial" w:hAnsi="Arial" w:cs="Arial"/>
          <w:w w:val="105"/>
          <w:sz w:val="18"/>
          <w:szCs w:val="18"/>
        </w:rPr>
        <w:t xml:space="preserve">report'', </w:t>
      </w:r>
      <w:hyperlink r:id="rId94" w:history="1">
        <w:r>
          <w:rPr>
            <w:rFonts w:ascii="Arial" w:hAnsi="Arial" w:cs="Arial"/>
            <w:w w:val="105"/>
            <w:sz w:val="18"/>
            <w:szCs w:val="18"/>
          </w:rPr>
          <w:t>http://www.oregon.gov/oha/Metrics/Documents/report-november-2013.pdf.</w:t>
        </w:r>
      </w:hyperlink>
    </w:p>
    <w:p w:rsidR="002C5025" w:rsidRDefault="002C5025">
      <w:pPr>
        <w:pStyle w:val="BodyText"/>
        <w:tabs>
          <w:tab w:val="left" w:pos="5579"/>
        </w:tabs>
        <w:kinsoku w:val="0"/>
        <w:overflowPunct w:val="0"/>
        <w:spacing w:before="1" w:line="285" w:lineRule="auto"/>
        <w:ind w:left="606" w:right="605" w:hanging="8"/>
        <w:rPr>
          <w:rFonts w:ascii="Arial" w:hAnsi="Arial" w:cs="Arial"/>
          <w:sz w:val="18"/>
          <w:szCs w:val="18"/>
        </w:rPr>
      </w:pPr>
      <w:r>
        <w:rPr>
          <w:rFonts w:ascii="Arial" w:hAnsi="Arial" w:cs="Arial"/>
          <w:sz w:val="17"/>
          <w:szCs w:val="17"/>
        </w:rPr>
        <w:t>n</w:t>
      </w:r>
      <w:r>
        <w:rPr>
          <w:rFonts w:ascii="Arial" w:hAnsi="Arial" w:cs="Arial"/>
          <w:spacing w:val="-34"/>
          <w:sz w:val="17"/>
          <w:szCs w:val="17"/>
        </w:rPr>
        <w:t xml:space="preserve"> </w:t>
      </w:r>
      <w:r>
        <w:rPr>
          <w:rFonts w:ascii="Arial" w:hAnsi="Arial" w:cs="Arial"/>
          <w:b/>
          <w:bCs/>
          <w:sz w:val="18"/>
          <w:szCs w:val="18"/>
        </w:rPr>
        <w:t>Garrett,</w:t>
      </w:r>
      <w:r>
        <w:rPr>
          <w:rFonts w:ascii="Arial" w:hAnsi="Arial" w:cs="Arial"/>
          <w:b/>
          <w:bCs/>
          <w:spacing w:val="-30"/>
          <w:sz w:val="18"/>
          <w:szCs w:val="18"/>
        </w:rPr>
        <w:t xml:space="preserve"> </w:t>
      </w:r>
      <w:r>
        <w:rPr>
          <w:rFonts w:ascii="Arial" w:hAnsi="Arial" w:cs="Arial"/>
          <w:b/>
          <w:bCs/>
          <w:sz w:val="18"/>
          <w:szCs w:val="18"/>
        </w:rPr>
        <w:t>N.,</w:t>
      </w:r>
      <w:r>
        <w:rPr>
          <w:rFonts w:ascii="Arial" w:hAnsi="Arial" w:cs="Arial"/>
          <w:b/>
          <w:bCs/>
          <w:spacing w:val="-33"/>
          <w:sz w:val="18"/>
          <w:szCs w:val="18"/>
        </w:rPr>
        <w:t xml:space="preserve"> </w:t>
      </w:r>
      <w:r>
        <w:rPr>
          <w:rFonts w:ascii="Arial" w:hAnsi="Arial" w:cs="Arial"/>
          <w:b/>
          <w:bCs/>
          <w:sz w:val="18"/>
          <w:szCs w:val="18"/>
        </w:rPr>
        <w:t>Nov.</w:t>
      </w:r>
      <w:r>
        <w:rPr>
          <w:rFonts w:ascii="Arial" w:hAnsi="Arial" w:cs="Arial"/>
          <w:b/>
          <w:bCs/>
          <w:spacing w:val="-30"/>
          <w:sz w:val="18"/>
          <w:szCs w:val="18"/>
        </w:rPr>
        <w:t xml:space="preserve"> </w:t>
      </w:r>
      <w:r>
        <w:rPr>
          <w:rFonts w:ascii="Arial" w:hAnsi="Arial" w:cs="Arial"/>
          <w:b/>
          <w:bCs/>
          <w:spacing w:val="-8"/>
          <w:sz w:val="18"/>
          <w:szCs w:val="18"/>
        </w:rPr>
        <w:t>12,</w:t>
      </w:r>
      <w:r>
        <w:rPr>
          <w:rFonts w:ascii="Arial" w:hAnsi="Arial" w:cs="Arial"/>
          <w:b/>
          <w:bCs/>
          <w:spacing w:val="-34"/>
          <w:sz w:val="18"/>
          <w:szCs w:val="18"/>
        </w:rPr>
        <w:t xml:space="preserve"> </w:t>
      </w:r>
      <w:r>
        <w:rPr>
          <w:rFonts w:ascii="Arial" w:hAnsi="Arial" w:cs="Arial"/>
          <w:b/>
          <w:bCs/>
          <w:spacing w:val="-4"/>
          <w:sz w:val="18"/>
          <w:szCs w:val="18"/>
        </w:rPr>
        <w:t>2013.</w:t>
      </w:r>
      <w:r>
        <w:rPr>
          <w:rFonts w:ascii="Arial" w:hAnsi="Arial" w:cs="Arial"/>
          <w:b/>
          <w:bCs/>
          <w:spacing w:val="9"/>
          <w:sz w:val="18"/>
          <w:szCs w:val="18"/>
        </w:rPr>
        <w:t xml:space="preserve"> </w:t>
      </w:r>
      <w:r>
        <w:rPr>
          <w:rFonts w:ascii="Arial" w:hAnsi="Arial" w:cs="Arial"/>
          <w:b/>
          <w:bCs/>
          <w:spacing w:val="-3"/>
          <w:sz w:val="18"/>
          <w:szCs w:val="18"/>
        </w:rPr>
        <w:t>How</w:t>
      </w:r>
      <w:r>
        <w:rPr>
          <w:rFonts w:ascii="Arial" w:hAnsi="Arial" w:cs="Arial"/>
          <w:b/>
          <w:bCs/>
          <w:spacing w:val="-33"/>
          <w:sz w:val="18"/>
          <w:szCs w:val="18"/>
        </w:rPr>
        <w:t xml:space="preserve"> </w:t>
      </w:r>
      <w:r>
        <w:rPr>
          <w:rFonts w:ascii="Arial" w:hAnsi="Arial" w:cs="Arial"/>
          <w:b/>
          <w:bCs/>
          <w:sz w:val="18"/>
          <w:szCs w:val="18"/>
        </w:rPr>
        <w:t>a</w:t>
      </w:r>
      <w:r>
        <w:rPr>
          <w:rFonts w:ascii="Arial" w:hAnsi="Arial" w:cs="Arial"/>
          <w:b/>
          <w:bCs/>
          <w:spacing w:val="-32"/>
          <w:sz w:val="18"/>
          <w:szCs w:val="18"/>
        </w:rPr>
        <w:t xml:space="preserve"> </w:t>
      </w:r>
      <w:r>
        <w:rPr>
          <w:rFonts w:ascii="Arial" w:hAnsi="Arial" w:cs="Arial"/>
          <w:b/>
          <w:bCs/>
          <w:sz w:val="18"/>
          <w:szCs w:val="18"/>
        </w:rPr>
        <w:t>social</w:t>
      </w:r>
      <w:r>
        <w:rPr>
          <w:rFonts w:ascii="Arial" w:hAnsi="Arial" w:cs="Arial"/>
          <w:b/>
          <w:bCs/>
          <w:spacing w:val="-32"/>
          <w:sz w:val="18"/>
          <w:szCs w:val="18"/>
        </w:rPr>
        <w:t xml:space="preserve"> </w:t>
      </w:r>
      <w:r>
        <w:rPr>
          <w:rFonts w:ascii="Arial" w:hAnsi="Arial" w:cs="Arial"/>
          <w:b/>
          <w:bCs/>
          <w:sz w:val="18"/>
          <w:szCs w:val="18"/>
        </w:rPr>
        <w:t>accountable</w:t>
      </w:r>
      <w:r>
        <w:rPr>
          <w:rFonts w:ascii="Arial" w:hAnsi="Arial" w:cs="Arial"/>
          <w:b/>
          <w:bCs/>
          <w:spacing w:val="-28"/>
          <w:sz w:val="18"/>
          <w:szCs w:val="18"/>
        </w:rPr>
        <w:t xml:space="preserve"> </w:t>
      </w:r>
      <w:r>
        <w:rPr>
          <w:rFonts w:ascii="Arial" w:hAnsi="Arial" w:cs="Arial"/>
          <w:b/>
          <w:bCs/>
          <w:sz w:val="18"/>
          <w:szCs w:val="18"/>
        </w:rPr>
        <w:t>care</w:t>
      </w:r>
      <w:r>
        <w:rPr>
          <w:rFonts w:ascii="Arial" w:hAnsi="Arial" w:cs="Arial"/>
          <w:b/>
          <w:bCs/>
          <w:spacing w:val="-33"/>
          <w:sz w:val="18"/>
          <w:szCs w:val="18"/>
        </w:rPr>
        <w:t xml:space="preserve"> </w:t>
      </w:r>
      <w:r>
        <w:rPr>
          <w:rFonts w:ascii="Arial" w:hAnsi="Arial" w:cs="Arial"/>
          <w:b/>
          <w:bCs/>
          <w:sz w:val="18"/>
          <w:szCs w:val="18"/>
        </w:rPr>
        <w:t>organization</w:t>
      </w:r>
      <w:r>
        <w:rPr>
          <w:rFonts w:ascii="Arial" w:hAnsi="Arial" w:cs="Arial"/>
          <w:b/>
          <w:bCs/>
          <w:spacing w:val="-28"/>
          <w:sz w:val="18"/>
          <w:szCs w:val="18"/>
        </w:rPr>
        <w:t xml:space="preserve"> </w:t>
      </w:r>
      <w:r>
        <w:rPr>
          <w:rFonts w:ascii="Arial" w:hAnsi="Arial" w:cs="Arial"/>
          <w:b/>
          <w:bCs/>
          <w:sz w:val="18"/>
          <w:szCs w:val="18"/>
        </w:rPr>
        <w:t>improves</w:t>
      </w:r>
      <w:r>
        <w:rPr>
          <w:rFonts w:ascii="Arial" w:hAnsi="Arial" w:cs="Arial"/>
          <w:b/>
          <w:bCs/>
          <w:spacing w:val="-29"/>
          <w:sz w:val="18"/>
          <w:szCs w:val="18"/>
        </w:rPr>
        <w:t xml:space="preserve"> </w:t>
      </w:r>
      <w:r>
        <w:rPr>
          <w:rFonts w:ascii="Arial" w:hAnsi="Arial" w:cs="Arial"/>
          <w:b/>
          <w:bCs/>
          <w:sz w:val="18"/>
          <w:szCs w:val="18"/>
        </w:rPr>
        <w:t>health</w:t>
      </w:r>
      <w:r>
        <w:rPr>
          <w:rFonts w:ascii="Arial" w:hAnsi="Arial" w:cs="Arial"/>
          <w:b/>
          <w:bCs/>
          <w:spacing w:val="-34"/>
          <w:sz w:val="18"/>
          <w:szCs w:val="18"/>
        </w:rPr>
        <w:t xml:space="preserve"> </w:t>
      </w:r>
      <w:r>
        <w:rPr>
          <w:rFonts w:ascii="Arial" w:hAnsi="Arial" w:cs="Arial"/>
          <w:b/>
          <w:bCs/>
          <w:sz w:val="18"/>
          <w:szCs w:val="18"/>
        </w:rPr>
        <w:t>and</w:t>
      </w:r>
      <w:r>
        <w:rPr>
          <w:rFonts w:ascii="Arial" w:hAnsi="Arial" w:cs="Arial"/>
          <w:b/>
          <w:bCs/>
          <w:spacing w:val="-36"/>
          <w:sz w:val="18"/>
          <w:szCs w:val="18"/>
        </w:rPr>
        <w:t xml:space="preserve"> </w:t>
      </w:r>
      <w:r>
        <w:rPr>
          <w:rFonts w:ascii="Arial" w:hAnsi="Arial" w:cs="Arial"/>
          <w:b/>
          <w:bCs/>
          <w:sz w:val="18"/>
          <w:szCs w:val="18"/>
        </w:rPr>
        <w:t>saves</w:t>
      </w:r>
      <w:r>
        <w:rPr>
          <w:rFonts w:ascii="Arial" w:hAnsi="Arial" w:cs="Arial"/>
          <w:b/>
          <w:bCs/>
          <w:spacing w:val="-30"/>
          <w:sz w:val="18"/>
          <w:szCs w:val="18"/>
        </w:rPr>
        <w:t xml:space="preserve"> </w:t>
      </w:r>
      <w:r>
        <w:rPr>
          <w:rFonts w:ascii="Arial" w:hAnsi="Arial" w:cs="Arial"/>
          <w:b/>
          <w:bCs/>
          <w:sz w:val="18"/>
          <w:szCs w:val="18"/>
        </w:rPr>
        <w:t>money</w:t>
      </w:r>
      <w:r>
        <w:rPr>
          <w:rFonts w:ascii="Arial" w:hAnsi="Arial" w:cs="Arial"/>
          <w:b/>
          <w:bCs/>
          <w:spacing w:val="-32"/>
          <w:sz w:val="18"/>
          <w:szCs w:val="18"/>
        </w:rPr>
        <w:t xml:space="preserve"> </w:t>
      </w:r>
      <w:r>
        <w:rPr>
          <w:rFonts w:ascii="Arial" w:hAnsi="Arial" w:cs="Arial"/>
          <w:b/>
          <w:bCs/>
          <w:sz w:val="18"/>
          <w:szCs w:val="18"/>
        </w:rPr>
        <w:t xml:space="preserve">and </w:t>
      </w:r>
      <w:r>
        <w:rPr>
          <w:rFonts w:ascii="Arial" w:hAnsi="Arial" w:cs="Arial"/>
          <w:sz w:val="18"/>
          <w:szCs w:val="18"/>
        </w:rPr>
        <w:t>lives</w:t>
      </w:r>
      <w:r>
        <w:rPr>
          <w:rFonts w:ascii="Arial" w:hAnsi="Arial" w:cs="Arial"/>
          <w:spacing w:val="6"/>
          <w:sz w:val="18"/>
          <w:szCs w:val="18"/>
        </w:rPr>
        <w:t xml:space="preserve"> </w:t>
      </w:r>
      <w:r>
        <w:rPr>
          <w:rFonts w:ascii="Arial" w:hAnsi="Arial" w:cs="Arial"/>
          <w:sz w:val="18"/>
          <w:szCs w:val="18"/>
        </w:rPr>
        <w:t>,</w:t>
      </w:r>
      <w:r>
        <w:rPr>
          <w:rFonts w:ascii="Arial" w:hAnsi="Arial" w:cs="Arial"/>
          <w:spacing w:val="1"/>
          <w:sz w:val="18"/>
          <w:szCs w:val="18"/>
        </w:rPr>
        <w:t xml:space="preserve"> </w:t>
      </w:r>
      <w:hyperlink r:id="rId95" w:history="1">
        <w:r>
          <w:rPr>
            <w:rFonts w:ascii="Arial" w:hAnsi="Arial" w:cs="Arial"/>
            <w:sz w:val="18"/>
            <w:szCs w:val="18"/>
            <w:u w:val="thick"/>
          </w:rPr>
          <w:t>http://healthyamericans.org/health-issues/preventio</w:t>
        </w:r>
      </w:hyperlink>
      <w:r>
        <w:rPr>
          <w:rFonts w:ascii="Arial" w:hAnsi="Arial" w:cs="Arial"/>
          <w:sz w:val="18"/>
          <w:szCs w:val="18"/>
          <w:u w:val="thick"/>
        </w:rPr>
        <w:t>n</w:t>
      </w:r>
      <w:r>
        <w:rPr>
          <w:rFonts w:ascii="Arial" w:hAnsi="Arial" w:cs="Arial"/>
          <w:sz w:val="18"/>
          <w:szCs w:val="18"/>
          <w:u w:val="thick"/>
        </w:rPr>
        <w:tab/>
      </w:r>
      <w:r>
        <w:rPr>
          <w:rFonts w:ascii="Arial" w:hAnsi="Arial" w:cs="Arial"/>
          <w:spacing w:val="-1"/>
          <w:sz w:val="18"/>
          <w:szCs w:val="18"/>
          <w:u w:val="thick"/>
        </w:rPr>
        <w:t>s</w:t>
      </w:r>
      <w:r>
        <w:rPr>
          <w:rFonts w:ascii="Arial" w:hAnsi="Arial" w:cs="Arial"/>
          <w:spacing w:val="-1"/>
          <w:sz w:val="18"/>
          <w:szCs w:val="18"/>
        </w:rPr>
        <w:t xml:space="preserve">tory/how-a-social-accountable-care-organization- </w:t>
      </w:r>
      <w:r>
        <w:rPr>
          <w:rFonts w:ascii="Arial" w:hAnsi="Arial" w:cs="Arial"/>
          <w:sz w:val="18"/>
          <w:szCs w:val="18"/>
        </w:rPr>
        <w:t>improves-health-and-saves-money-and-lives</w:t>
      </w:r>
    </w:p>
    <w:p w:rsidR="002C5025" w:rsidRDefault="002C5025">
      <w:pPr>
        <w:pStyle w:val="BodyText"/>
        <w:kinsoku w:val="0"/>
        <w:overflowPunct w:val="0"/>
        <w:spacing w:line="290" w:lineRule="auto"/>
        <w:ind w:left="599" w:right="176"/>
        <w:rPr>
          <w:rFonts w:ascii="Arial" w:hAnsi="Arial" w:cs="Arial"/>
          <w:sz w:val="18"/>
          <w:szCs w:val="18"/>
        </w:rPr>
      </w:pPr>
      <w:r>
        <w:rPr>
          <w:rFonts w:ascii="Arial" w:hAnsi="Arial" w:cs="Arial"/>
          <w:sz w:val="18"/>
          <w:szCs w:val="18"/>
        </w:rPr>
        <w:t>;;; Montefiore Medical Center. July 7, 2013. Montefiore Pioneer ACO model achieves success in first year: results show improved care quality and patient outcomes with significant cost  savings.</w:t>
      </w:r>
    </w:p>
    <w:p w:rsidR="002C5025" w:rsidRDefault="00FD19EE">
      <w:pPr>
        <w:pStyle w:val="BodyText"/>
        <w:tabs>
          <w:tab w:val="left" w:pos="6145"/>
        </w:tabs>
        <w:kinsoku w:val="0"/>
        <w:overflowPunct w:val="0"/>
        <w:spacing w:line="205" w:lineRule="exact"/>
        <w:ind w:left="599" w:right="63"/>
        <w:rPr>
          <w:rFonts w:ascii="Arial" w:hAnsi="Arial" w:cs="Arial"/>
          <w:sz w:val="18"/>
          <w:szCs w:val="18"/>
        </w:rPr>
      </w:pPr>
      <w:hyperlink r:id="rId96" w:history="1">
        <w:r w:rsidR="002C5025">
          <w:rPr>
            <w:rFonts w:ascii="Arial" w:hAnsi="Arial" w:cs="Arial"/>
            <w:sz w:val="18"/>
            <w:szCs w:val="18"/>
            <w:u w:val="thick"/>
          </w:rPr>
          <w:t>http://www.montefiore.org/body</w:t>
        </w:r>
      </w:hyperlink>
      <w:r w:rsidR="002C5025">
        <w:rPr>
          <w:rFonts w:ascii="Arial" w:hAnsi="Arial" w:cs="Arial"/>
          <w:sz w:val="18"/>
          <w:szCs w:val="18"/>
          <w:u w:val="thick"/>
        </w:rPr>
        <w:t>.</w:t>
      </w:r>
      <w:r w:rsidR="002C5025">
        <w:rPr>
          <w:rFonts w:ascii="Arial" w:hAnsi="Arial" w:cs="Arial"/>
          <w:spacing w:val="39"/>
          <w:sz w:val="18"/>
          <w:szCs w:val="18"/>
          <w:u w:val="thick"/>
        </w:rPr>
        <w:t xml:space="preserve"> </w:t>
      </w:r>
      <w:r w:rsidR="002C5025">
        <w:rPr>
          <w:rFonts w:ascii="Arial" w:hAnsi="Arial" w:cs="Arial"/>
          <w:sz w:val="18"/>
          <w:szCs w:val="18"/>
          <w:u w:val="thick"/>
        </w:rPr>
        <w:t>cfm?id-1738&amp;action;deta</w:t>
      </w:r>
      <w:r w:rsidR="002C5025">
        <w:rPr>
          <w:rFonts w:ascii="Arial" w:hAnsi="Arial" w:cs="Arial"/>
          <w:spacing w:val="7"/>
          <w:sz w:val="18"/>
          <w:szCs w:val="18"/>
          <w:u w:val="thick"/>
        </w:rPr>
        <w:t xml:space="preserve"> </w:t>
      </w:r>
      <w:proofErr w:type="spellStart"/>
      <w:r w:rsidR="002C5025">
        <w:rPr>
          <w:rFonts w:ascii="Arial" w:hAnsi="Arial" w:cs="Arial"/>
          <w:spacing w:val="-5"/>
          <w:sz w:val="18"/>
          <w:szCs w:val="18"/>
          <w:u w:val="thick"/>
        </w:rPr>
        <w:t>iI&amp;ref</w:t>
      </w:r>
      <w:proofErr w:type="spellEnd"/>
      <w:r w:rsidR="002C5025">
        <w:rPr>
          <w:rFonts w:ascii="Arial" w:hAnsi="Arial" w:cs="Arial"/>
          <w:spacing w:val="-5"/>
          <w:sz w:val="18"/>
          <w:szCs w:val="18"/>
          <w:u w:val="thick"/>
        </w:rPr>
        <w:t>;</w:t>
      </w:r>
      <w:r w:rsidR="002C5025">
        <w:rPr>
          <w:rFonts w:ascii="Arial" w:hAnsi="Arial" w:cs="Arial"/>
          <w:spacing w:val="-5"/>
          <w:sz w:val="18"/>
          <w:szCs w:val="18"/>
          <w:u w:val="thick"/>
        </w:rPr>
        <w:tab/>
      </w:r>
      <w:r w:rsidR="002C5025">
        <w:rPr>
          <w:rFonts w:ascii="Arial" w:hAnsi="Arial" w:cs="Arial"/>
          <w:sz w:val="18"/>
          <w:szCs w:val="18"/>
          <w:u w:val="thick"/>
        </w:rPr>
        <w:t>069</w:t>
      </w:r>
    </w:p>
    <w:p w:rsidR="002C5025" w:rsidRDefault="002C5025">
      <w:pPr>
        <w:pStyle w:val="BodyText"/>
        <w:kinsoku w:val="0"/>
        <w:overflowPunct w:val="0"/>
        <w:spacing w:before="39" w:line="278" w:lineRule="auto"/>
        <w:ind w:left="606" w:right="63" w:hanging="8"/>
        <w:rPr>
          <w:rFonts w:ascii="Arial" w:hAnsi="Arial" w:cs="Arial"/>
          <w:sz w:val="18"/>
          <w:szCs w:val="18"/>
        </w:rPr>
      </w:pPr>
      <w:r>
        <w:rPr>
          <w:rFonts w:ascii="Arial" w:hAnsi="Arial" w:cs="Arial"/>
          <w:sz w:val="18"/>
          <w:szCs w:val="18"/>
        </w:rPr>
        <w:t>;,</w:t>
      </w:r>
      <w:r>
        <w:rPr>
          <w:rFonts w:ascii="Arial" w:hAnsi="Arial" w:cs="Arial"/>
          <w:spacing w:val="-33"/>
          <w:sz w:val="18"/>
          <w:szCs w:val="18"/>
        </w:rPr>
        <w:t xml:space="preserve"> </w:t>
      </w:r>
      <w:proofErr w:type="spellStart"/>
      <w:r>
        <w:rPr>
          <w:rFonts w:ascii="Arial" w:hAnsi="Arial" w:cs="Arial"/>
          <w:sz w:val="18"/>
          <w:szCs w:val="18"/>
        </w:rPr>
        <w:t>Brehm</w:t>
      </w:r>
      <w:proofErr w:type="spellEnd"/>
      <w:r>
        <w:rPr>
          <w:rFonts w:ascii="Arial" w:hAnsi="Arial" w:cs="Arial"/>
          <w:sz w:val="18"/>
          <w:szCs w:val="18"/>
        </w:rPr>
        <w:t>,</w:t>
      </w:r>
      <w:r>
        <w:rPr>
          <w:rFonts w:ascii="Arial" w:hAnsi="Arial" w:cs="Arial"/>
          <w:spacing w:val="-28"/>
          <w:sz w:val="18"/>
          <w:szCs w:val="18"/>
        </w:rPr>
        <w:t xml:space="preserve"> </w:t>
      </w:r>
      <w:r>
        <w:rPr>
          <w:rFonts w:ascii="Times New Roman" w:hAnsi="Times New Roman" w:cs="Times New Roman"/>
          <w:sz w:val="19"/>
          <w:szCs w:val="19"/>
        </w:rPr>
        <w:t>J.</w:t>
      </w:r>
      <w:r>
        <w:rPr>
          <w:rFonts w:ascii="Times New Roman" w:hAnsi="Times New Roman" w:cs="Times New Roman"/>
          <w:spacing w:val="-14"/>
          <w:sz w:val="19"/>
          <w:szCs w:val="19"/>
        </w:rPr>
        <w:t xml:space="preserve"> </w:t>
      </w:r>
      <w:r>
        <w:rPr>
          <w:rFonts w:ascii="Arial" w:hAnsi="Arial" w:cs="Arial"/>
          <w:sz w:val="18"/>
          <w:szCs w:val="18"/>
        </w:rPr>
        <w:t>and</w:t>
      </w:r>
      <w:r>
        <w:rPr>
          <w:rFonts w:ascii="Arial" w:hAnsi="Arial" w:cs="Arial"/>
          <w:spacing w:val="-20"/>
          <w:sz w:val="18"/>
          <w:szCs w:val="18"/>
        </w:rPr>
        <w:t xml:space="preserve"> </w:t>
      </w:r>
      <w:proofErr w:type="spellStart"/>
      <w:r>
        <w:rPr>
          <w:rFonts w:ascii="Arial" w:hAnsi="Arial" w:cs="Arial"/>
          <w:sz w:val="18"/>
          <w:szCs w:val="18"/>
        </w:rPr>
        <w:t>Westall</w:t>
      </w:r>
      <w:proofErr w:type="spellEnd"/>
      <w:r>
        <w:rPr>
          <w:rFonts w:ascii="Arial" w:hAnsi="Arial" w:cs="Arial"/>
          <w:sz w:val="18"/>
          <w:szCs w:val="18"/>
        </w:rPr>
        <w:t>,</w:t>
      </w:r>
      <w:r>
        <w:rPr>
          <w:rFonts w:ascii="Arial" w:hAnsi="Arial" w:cs="Arial"/>
          <w:spacing w:val="-15"/>
          <w:sz w:val="18"/>
          <w:szCs w:val="18"/>
        </w:rPr>
        <w:t xml:space="preserve"> </w:t>
      </w:r>
      <w:r>
        <w:rPr>
          <w:rFonts w:ascii="Arial" w:hAnsi="Arial" w:cs="Arial"/>
          <w:sz w:val="18"/>
          <w:szCs w:val="18"/>
        </w:rPr>
        <w:t>J.Nov.13,</w:t>
      </w:r>
      <w:r>
        <w:rPr>
          <w:rFonts w:ascii="Arial" w:hAnsi="Arial" w:cs="Arial"/>
          <w:spacing w:val="-5"/>
          <w:sz w:val="18"/>
          <w:szCs w:val="18"/>
        </w:rPr>
        <w:t xml:space="preserve"> </w:t>
      </w:r>
      <w:r>
        <w:rPr>
          <w:rFonts w:ascii="Arial" w:hAnsi="Arial" w:cs="Arial"/>
          <w:sz w:val="18"/>
          <w:szCs w:val="18"/>
        </w:rPr>
        <w:t>2013.</w:t>
      </w:r>
      <w:r>
        <w:rPr>
          <w:rFonts w:ascii="Arial" w:hAnsi="Arial" w:cs="Arial"/>
          <w:spacing w:val="8"/>
          <w:sz w:val="18"/>
          <w:szCs w:val="18"/>
        </w:rPr>
        <w:t xml:space="preserve"> </w:t>
      </w:r>
      <w:r>
        <w:rPr>
          <w:rFonts w:ascii="Arial" w:hAnsi="Arial" w:cs="Arial"/>
          <w:sz w:val="18"/>
          <w:szCs w:val="18"/>
        </w:rPr>
        <w:t>Lessons</w:t>
      </w:r>
      <w:r>
        <w:rPr>
          <w:rFonts w:ascii="Arial" w:hAnsi="Arial" w:cs="Arial"/>
          <w:spacing w:val="2"/>
          <w:sz w:val="18"/>
          <w:szCs w:val="18"/>
        </w:rPr>
        <w:t xml:space="preserve"> </w:t>
      </w:r>
      <w:r>
        <w:rPr>
          <w:rFonts w:ascii="Arial" w:hAnsi="Arial" w:cs="Arial"/>
          <w:sz w:val="18"/>
          <w:szCs w:val="18"/>
        </w:rPr>
        <w:t>learned</w:t>
      </w:r>
      <w:r>
        <w:rPr>
          <w:rFonts w:ascii="Arial" w:hAnsi="Arial" w:cs="Arial"/>
          <w:spacing w:val="-16"/>
          <w:sz w:val="18"/>
          <w:szCs w:val="18"/>
        </w:rPr>
        <w:t xml:space="preserve"> </w:t>
      </w:r>
      <w:r>
        <w:rPr>
          <w:rFonts w:ascii="Arial" w:hAnsi="Arial" w:cs="Arial"/>
          <w:sz w:val="18"/>
          <w:szCs w:val="18"/>
        </w:rPr>
        <w:t>from</w:t>
      </w:r>
      <w:r>
        <w:rPr>
          <w:rFonts w:ascii="Arial" w:hAnsi="Arial" w:cs="Arial"/>
          <w:spacing w:val="-9"/>
          <w:sz w:val="18"/>
          <w:szCs w:val="18"/>
        </w:rPr>
        <w:t xml:space="preserve"> </w:t>
      </w:r>
      <w:r>
        <w:rPr>
          <w:rFonts w:ascii="Arial" w:hAnsi="Arial" w:cs="Arial"/>
          <w:sz w:val="18"/>
          <w:szCs w:val="18"/>
        </w:rPr>
        <w:t>a</w:t>
      </w:r>
      <w:r>
        <w:rPr>
          <w:rFonts w:ascii="Arial" w:hAnsi="Arial" w:cs="Arial"/>
          <w:spacing w:val="-5"/>
          <w:sz w:val="18"/>
          <w:szCs w:val="18"/>
        </w:rPr>
        <w:t xml:space="preserve"> </w:t>
      </w:r>
      <w:r>
        <w:rPr>
          <w:rFonts w:ascii="Arial" w:hAnsi="Arial" w:cs="Arial"/>
          <w:sz w:val="18"/>
          <w:szCs w:val="18"/>
        </w:rPr>
        <w:t>pioneer</w:t>
      </w:r>
      <w:r>
        <w:rPr>
          <w:rFonts w:ascii="Arial" w:hAnsi="Arial" w:cs="Arial"/>
          <w:spacing w:val="-10"/>
          <w:sz w:val="18"/>
          <w:szCs w:val="18"/>
        </w:rPr>
        <w:t xml:space="preserve"> </w:t>
      </w:r>
      <w:r>
        <w:rPr>
          <w:rFonts w:ascii="Arial" w:hAnsi="Arial" w:cs="Arial"/>
          <w:sz w:val="18"/>
          <w:szCs w:val="18"/>
        </w:rPr>
        <w:t>ACO</w:t>
      </w:r>
      <w:r>
        <w:rPr>
          <w:rFonts w:ascii="Arial" w:hAnsi="Arial" w:cs="Arial"/>
          <w:spacing w:val="9"/>
          <w:sz w:val="18"/>
          <w:szCs w:val="18"/>
        </w:rPr>
        <w:t xml:space="preserve"> </w:t>
      </w:r>
      <w:r>
        <w:rPr>
          <w:rFonts w:ascii="Arial" w:hAnsi="Arial" w:cs="Arial"/>
          <w:sz w:val="18"/>
          <w:szCs w:val="18"/>
        </w:rPr>
        <w:t>,</w:t>
      </w:r>
      <w:r>
        <w:rPr>
          <w:rFonts w:ascii="Arial" w:hAnsi="Arial" w:cs="Arial"/>
          <w:spacing w:val="-3"/>
          <w:sz w:val="18"/>
          <w:szCs w:val="18"/>
        </w:rPr>
        <w:t xml:space="preserve"> </w:t>
      </w:r>
      <w:r>
        <w:rPr>
          <w:rFonts w:ascii="Arial" w:hAnsi="Arial" w:cs="Arial"/>
          <w:sz w:val="18"/>
          <w:szCs w:val="18"/>
        </w:rPr>
        <w:t>presentation</w:t>
      </w:r>
      <w:r>
        <w:rPr>
          <w:rFonts w:ascii="Arial" w:hAnsi="Arial" w:cs="Arial"/>
          <w:spacing w:val="-12"/>
          <w:sz w:val="18"/>
          <w:szCs w:val="18"/>
        </w:rPr>
        <w:t xml:space="preserve"> </w:t>
      </w:r>
      <w:r>
        <w:rPr>
          <w:rFonts w:ascii="Arial" w:hAnsi="Arial" w:cs="Arial"/>
          <w:sz w:val="18"/>
          <w:szCs w:val="18"/>
        </w:rPr>
        <w:t>to</w:t>
      </w:r>
      <w:r>
        <w:rPr>
          <w:rFonts w:ascii="Arial" w:hAnsi="Arial" w:cs="Arial"/>
          <w:spacing w:val="-5"/>
          <w:sz w:val="18"/>
          <w:szCs w:val="18"/>
        </w:rPr>
        <w:t xml:space="preserve"> </w:t>
      </w:r>
      <w:r>
        <w:rPr>
          <w:rFonts w:ascii="Arial" w:hAnsi="Arial" w:cs="Arial"/>
          <w:sz w:val="18"/>
          <w:szCs w:val="18"/>
        </w:rPr>
        <w:t>Indiana</w:t>
      </w:r>
      <w:r>
        <w:rPr>
          <w:rFonts w:ascii="Arial" w:hAnsi="Arial" w:cs="Arial"/>
          <w:spacing w:val="-10"/>
          <w:sz w:val="18"/>
          <w:szCs w:val="18"/>
        </w:rPr>
        <w:t xml:space="preserve"> </w:t>
      </w:r>
      <w:r>
        <w:rPr>
          <w:rFonts w:ascii="Arial" w:hAnsi="Arial" w:cs="Arial"/>
          <w:sz w:val="18"/>
          <w:szCs w:val="18"/>
        </w:rPr>
        <w:t xml:space="preserve">HIMSS. </w:t>
      </w:r>
      <w:hyperlink r:id="rId97" w:history="1">
        <w:r>
          <w:rPr>
            <w:rFonts w:ascii="Arial" w:hAnsi="Arial" w:cs="Arial"/>
            <w:sz w:val="18"/>
            <w:szCs w:val="18"/>
            <w:u w:val="thick"/>
          </w:rPr>
          <w:t>http://www.indianahimss.org/Breh</w:t>
        </w:r>
      </w:hyperlink>
      <w:r>
        <w:rPr>
          <w:rFonts w:ascii="Arial" w:hAnsi="Arial" w:cs="Arial"/>
          <w:sz w:val="18"/>
          <w:szCs w:val="18"/>
          <w:u w:val="thick"/>
        </w:rPr>
        <w:t>m    and  Westfall   3   Franciscan  Alliance   ACO.</w:t>
      </w:r>
      <w:r>
        <w:rPr>
          <w:rFonts w:ascii="Arial" w:hAnsi="Arial" w:cs="Arial"/>
          <w:spacing w:val="-24"/>
          <w:sz w:val="18"/>
          <w:szCs w:val="18"/>
          <w:u w:val="thick"/>
        </w:rPr>
        <w:t xml:space="preserve"> </w:t>
      </w:r>
      <w:r>
        <w:rPr>
          <w:rFonts w:ascii="Arial" w:hAnsi="Arial" w:cs="Arial"/>
          <w:sz w:val="18"/>
          <w:szCs w:val="18"/>
          <w:u w:val="thick"/>
        </w:rPr>
        <w:t>pdf</w:t>
      </w:r>
    </w:p>
    <w:p w:rsidR="002C5025" w:rsidRDefault="002C5025">
      <w:pPr>
        <w:pStyle w:val="BodyText"/>
        <w:kinsoku w:val="0"/>
        <w:overflowPunct w:val="0"/>
        <w:spacing w:before="8" w:line="280" w:lineRule="auto"/>
        <w:ind w:left="599" w:right="716" w:hanging="8"/>
        <w:rPr>
          <w:rFonts w:ascii="Arial" w:hAnsi="Arial" w:cs="Arial"/>
          <w:i/>
          <w:iCs/>
          <w:sz w:val="18"/>
          <w:szCs w:val="18"/>
        </w:rPr>
      </w:pPr>
      <w:r>
        <w:rPr>
          <w:rFonts w:ascii="Arial" w:hAnsi="Arial" w:cs="Arial"/>
          <w:sz w:val="18"/>
          <w:szCs w:val="18"/>
        </w:rPr>
        <w:t xml:space="preserve">'Evans, M. and </w:t>
      </w:r>
      <w:proofErr w:type="spellStart"/>
      <w:r>
        <w:rPr>
          <w:rFonts w:ascii="Arial" w:hAnsi="Arial" w:cs="Arial"/>
          <w:sz w:val="18"/>
          <w:szCs w:val="18"/>
        </w:rPr>
        <w:t>Zigmond</w:t>
      </w:r>
      <w:proofErr w:type="spellEnd"/>
      <w:r>
        <w:rPr>
          <w:rFonts w:ascii="Arial" w:hAnsi="Arial" w:cs="Arial"/>
          <w:sz w:val="18"/>
          <w:szCs w:val="18"/>
        </w:rPr>
        <w:t xml:space="preserve">, </w:t>
      </w:r>
      <w:proofErr w:type="spellStart"/>
      <w:r>
        <w:rPr>
          <w:rFonts w:ascii="Arial" w:hAnsi="Arial" w:cs="Arial"/>
          <w:sz w:val="18"/>
          <w:szCs w:val="18"/>
        </w:rPr>
        <w:t>J.July</w:t>
      </w:r>
      <w:proofErr w:type="spellEnd"/>
      <w:r>
        <w:rPr>
          <w:rFonts w:ascii="Arial" w:hAnsi="Arial" w:cs="Arial"/>
          <w:sz w:val="18"/>
          <w:szCs w:val="18"/>
        </w:rPr>
        <w:t xml:space="preserve"> 20, 2013. Complex coordination: successful pioneers credit focus </w:t>
      </w:r>
      <w:proofErr w:type="spellStart"/>
      <w:r>
        <w:rPr>
          <w:rFonts w:ascii="Arial" w:hAnsi="Arial" w:cs="Arial"/>
          <w:sz w:val="18"/>
          <w:szCs w:val="18"/>
        </w:rPr>
        <w:t>onimproving</w:t>
      </w:r>
      <w:proofErr w:type="spellEnd"/>
      <w:r>
        <w:rPr>
          <w:rFonts w:ascii="Arial" w:hAnsi="Arial" w:cs="Arial"/>
          <w:sz w:val="18"/>
          <w:szCs w:val="18"/>
        </w:rPr>
        <w:t xml:space="preserve"> care . </w:t>
      </w:r>
      <w:r>
        <w:rPr>
          <w:rFonts w:ascii="Arial" w:hAnsi="Arial" w:cs="Arial"/>
          <w:i/>
          <w:iCs/>
          <w:sz w:val="18"/>
          <w:szCs w:val="18"/>
        </w:rPr>
        <w:t xml:space="preserve">Modern Healthcare.  </w:t>
      </w:r>
      <w:hyperlink r:id="rId98" w:history="1">
        <w:r>
          <w:rPr>
            <w:rFonts w:ascii="Arial" w:hAnsi="Arial" w:cs="Arial"/>
            <w:i/>
            <w:iCs/>
            <w:sz w:val="18"/>
            <w:szCs w:val="18"/>
          </w:rPr>
          <w:t>http://www.modernhealthcare.com/article/20</w:t>
        </w:r>
      </w:hyperlink>
      <w:r>
        <w:rPr>
          <w:rFonts w:ascii="Arial" w:hAnsi="Arial" w:cs="Arial"/>
          <w:i/>
          <w:iCs/>
          <w:sz w:val="18"/>
          <w:szCs w:val="18"/>
        </w:rPr>
        <w:t xml:space="preserve"> 130720/MAGAZINE/307209990</w:t>
      </w:r>
    </w:p>
    <w:p w:rsidR="002C5025" w:rsidRDefault="002C5025">
      <w:pPr>
        <w:pStyle w:val="BodyText"/>
        <w:kinsoku w:val="0"/>
        <w:overflowPunct w:val="0"/>
        <w:spacing w:before="6" w:line="283" w:lineRule="auto"/>
        <w:ind w:left="599" w:right="716" w:hanging="111"/>
        <w:rPr>
          <w:rFonts w:ascii="Arial" w:hAnsi="Arial" w:cs="Arial"/>
          <w:sz w:val="18"/>
          <w:szCs w:val="18"/>
        </w:rPr>
      </w:pPr>
      <w:r>
        <w:rPr>
          <w:rFonts w:ascii="Arial" w:hAnsi="Arial" w:cs="Arial"/>
          <w:spacing w:val="-26"/>
          <w:sz w:val="18"/>
          <w:szCs w:val="18"/>
        </w:rPr>
        <w:t xml:space="preserve">,; </w:t>
      </w:r>
      <w:r>
        <w:rPr>
          <w:rFonts w:ascii="Arial" w:hAnsi="Arial" w:cs="Arial"/>
          <w:sz w:val="18"/>
          <w:szCs w:val="18"/>
        </w:rPr>
        <w:t>Olds,</w:t>
      </w:r>
      <w:r>
        <w:rPr>
          <w:rFonts w:ascii="Arial" w:hAnsi="Arial" w:cs="Arial"/>
          <w:spacing w:val="-7"/>
          <w:sz w:val="18"/>
          <w:szCs w:val="18"/>
        </w:rPr>
        <w:t xml:space="preserve"> </w:t>
      </w:r>
      <w:r>
        <w:rPr>
          <w:rFonts w:ascii="Arial" w:hAnsi="Arial" w:cs="Arial"/>
          <w:sz w:val="18"/>
          <w:szCs w:val="18"/>
        </w:rPr>
        <w:t>D.,</w:t>
      </w:r>
      <w:r>
        <w:rPr>
          <w:rFonts w:ascii="Arial" w:hAnsi="Arial" w:cs="Arial"/>
          <w:spacing w:val="-9"/>
          <w:sz w:val="18"/>
          <w:szCs w:val="18"/>
        </w:rPr>
        <w:t xml:space="preserve"> </w:t>
      </w:r>
      <w:proofErr w:type="spellStart"/>
      <w:r>
        <w:rPr>
          <w:rFonts w:ascii="Arial" w:hAnsi="Arial" w:cs="Arial"/>
          <w:sz w:val="18"/>
          <w:szCs w:val="18"/>
        </w:rPr>
        <w:t>Kitzman</w:t>
      </w:r>
      <w:proofErr w:type="spellEnd"/>
      <w:r>
        <w:rPr>
          <w:rFonts w:ascii="Arial" w:hAnsi="Arial" w:cs="Arial"/>
          <w:sz w:val="18"/>
          <w:szCs w:val="18"/>
        </w:rPr>
        <w:t>,</w:t>
      </w:r>
      <w:r>
        <w:rPr>
          <w:rFonts w:ascii="Arial" w:hAnsi="Arial" w:cs="Arial"/>
          <w:spacing w:val="-9"/>
          <w:sz w:val="18"/>
          <w:szCs w:val="18"/>
        </w:rPr>
        <w:t xml:space="preserve"> </w:t>
      </w:r>
      <w:r>
        <w:rPr>
          <w:rFonts w:ascii="Arial" w:hAnsi="Arial" w:cs="Arial"/>
          <w:spacing w:val="-5"/>
          <w:sz w:val="18"/>
          <w:szCs w:val="18"/>
        </w:rPr>
        <w:t>H.,</w:t>
      </w:r>
      <w:r>
        <w:rPr>
          <w:rFonts w:ascii="Arial" w:hAnsi="Arial" w:cs="Arial"/>
          <w:spacing w:val="-32"/>
          <w:sz w:val="18"/>
          <w:szCs w:val="18"/>
        </w:rPr>
        <w:t xml:space="preserve"> </w:t>
      </w:r>
      <w:proofErr w:type="spellStart"/>
      <w:r>
        <w:rPr>
          <w:rFonts w:ascii="Arial" w:hAnsi="Arial" w:cs="Arial"/>
          <w:sz w:val="18"/>
          <w:szCs w:val="18"/>
        </w:rPr>
        <w:t>Knudtson</w:t>
      </w:r>
      <w:proofErr w:type="spellEnd"/>
      <w:r>
        <w:rPr>
          <w:rFonts w:ascii="Arial" w:hAnsi="Arial" w:cs="Arial"/>
          <w:sz w:val="18"/>
          <w:szCs w:val="18"/>
        </w:rPr>
        <w:t>,</w:t>
      </w:r>
      <w:r>
        <w:rPr>
          <w:rFonts w:ascii="Arial" w:hAnsi="Arial" w:cs="Arial"/>
          <w:spacing w:val="-7"/>
          <w:sz w:val="18"/>
          <w:szCs w:val="18"/>
        </w:rPr>
        <w:t xml:space="preserve"> </w:t>
      </w:r>
      <w:r>
        <w:rPr>
          <w:rFonts w:ascii="Arial" w:hAnsi="Arial" w:cs="Arial"/>
          <w:sz w:val="18"/>
          <w:szCs w:val="18"/>
        </w:rPr>
        <w:t>M.D.,</w:t>
      </w:r>
      <w:r>
        <w:rPr>
          <w:rFonts w:ascii="Arial" w:hAnsi="Arial" w:cs="Arial"/>
          <w:spacing w:val="-26"/>
          <w:sz w:val="18"/>
          <w:szCs w:val="18"/>
        </w:rPr>
        <w:t xml:space="preserve"> </w:t>
      </w:r>
      <w:r>
        <w:rPr>
          <w:rFonts w:ascii="Arial" w:hAnsi="Arial" w:cs="Arial"/>
          <w:sz w:val="18"/>
          <w:szCs w:val="18"/>
        </w:rPr>
        <w:t>Anson,</w:t>
      </w:r>
      <w:r>
        <w:rPr>
          <w:rFonts w:ascii="Arial" w:hAnsi="Arial" w:cs="Arial"/>
          <w:spacing w:val="2"/>
          <w:sz w:val="18"/>
          <w:szCs w:val="18"/>
        </w:rPr>
        <w:t xml:space="preserve"> </w:t>
      </w:r>
      <w:r>
        <w:rPr>
          <w:rFonts w:ascii="Arial" w:hAnsi="Arial" w:cs="Arial"/>
          <w:sz w:val="18"/>
          <w:szCs w:val="18"/>
        </w:rPr>
        <w:t>E.,</w:t>
      </w:r>
      <w:r>
        <w:rPr>
          <w:rFonts w:ascii="Arial" w:hAnsi="Arial" w:cs="Arial"/>
          <w:spacing w:val="-19"/>
          <w:sz w:val="18"/>
          <w:szCs w:val="18"/>
        </w:rPr>
        <w:t xml:space="preserve"> </w:t>
      </w:r>
      <w:r>
        <w:rPr>
          <w:rFonts w:ascii="Arial" w:hAnsi="Arial" w:cs="Arial"/>
          <w:sz w:val="18"/>
          <w:szCs w:val="18"/>
        </w:rPr>
        <w:t>Smith,</w:t>
      </w:r>
      <w:r>
        <w:rPr>
          <w:rFonts w:ascii="Arial" w:hAnsi="Arial" w:cs="Arial"/>
          <w:spacing w:val="-23"/>
          <w:sz w:val="18"/>
          <w:szCs w:val="18"/>
        </w:rPr>
        <w:t xml:space="preserve"> </w:t>
      </w:r>
      <w:r>
        <w:rPr>
          <w:rFonts w:ascii="Arial" w:hAnsi="Arial" w:cs="Arial"/>
          <w:sz w:val="18"/>
          <w:szCs w:val="18"/>
        </w:rPr>
        <w:t>J.A.,</w:t>
      </w:r>
      <w:r>
        <w:rPr>
          <w:rFonts w:ascii="Arial" w:hAnsi="Arial" w:cs="Arial"/>
          <w:spacing w:val="-16"/>
          <w:sz w:val="18"/>
          <w:szCs w:val="18"/>
        </w:rPr>
        <w:t xml:space="preserve"> </w:t>
      </w:r>
      <w:r>
        <w:rPr>
          <w:rFonts w:ascii="Arial" w:hAnsi="Arial" w:cs="Arial"/>
          <w:sz w:val="18"/>
          <w:szCs w:val="18"/>
        </w:rPr>
        <w:t>and</w:t>
      </w:r>
      <w:r>
        <w:rPr>
          <w:rFonts w:ascii="Arial" w:hAnsi="Arial" w:cs="Arial"/>
          <w:spacing w:val="-16"/>
          <w:sz w:val="18"/>
          <w:szCs w:val="18"/>
        </w:rPr>
        <w:t xml:space="preserve"> </w:t>
      </w:r>
      <w:r>
        <w:rPr>
          <w:rFonts w:ascii="Arial" w:hAnsi="Arial" w:cs="Arial"/>
          <w:sz w:val="18"/>
          <w:szCs w:val="18"/>
        </w:rPr>
        <w:t>Cole,</w:t>
      </w:r>
      <w:r>
        <w:rPr>
          <w:rFonts w:ascii="Arial" w:hAnsi="Arial" w:cs="Arial"/>
          <w:spacing w:val="-7"/>
          <w:sz w:val="18"/>
          <w:szCs w:val="18"/>
        </w:rPr>
        <w:t xml:space="preserve"> </w:t>
      </w:r>
      <w:r>
        <w:rPr>
          <w:rFonts w:ascii="Arial" w:hAnsi="Arial" w:cs="Arial"/>
          <w:sz w:val="18"/>
          <w:szCs w:val="18"/>
        </w:rPr>
        <w:t>R.</w:t>
      </w:r>
      <w:r>
        <w:rPr>
          <w:rFonts w:ascii="Arial" w:hAnsi="Arial" w:cs="Arial"/>
          <w:spacing w:val="-16"/>
          <w:sz w:val="18"/>
          <w:szCs w:val="18"/>
        </w:rPr>
        <w:t xml:space="preserve"> </w:t>
      </w:r>
      <w:r>
        <w:rPr>
          <w:rFonts w:ascii="Arial" w:hAnsi="Arial" w:cs="Arial"/>
          <w:spacing w:val="-6"/>
          <w:sz w:val="18"/>
          <w:szCs w:val="18"/>
        </w:rPr>
        <w:t>2014.</w:t>
      </w:r>
      <w:r>
        <w:rPr>
          <w:rFonts w:ascii="Arial" w:hAnsi="Arial" w:cs="Arial"/>
          <w:spacing w:val="-11"/>
          <w:sz w:val="18"/>
          <w:szCs w:val="18"/>
        </w:rPr>
        <w:t xml:space="preserve"> </w:t>
      </w:r>
      <w:r>
        <w:rPr>
          <w:rFonts w:ascii="Arial" w:hAnsi="Arial" w:cs="Arial"/>
          <w:sz w:val="18"/>
          <w:szCs w:val="18"/>
        </w:rPr>
        <w:t>Effect</w:t>
      </w:r>
      <w:r>
        <w:rPr>
          <w:rFonts w:ascii="Arial" w:hAnsi="Arial" w:cs="Arial"/>
          <w:spacing w:val="-16"/>
          <w:sz w:val="18"/>
          <w:szCs w:val="18"/>
        </w:rPr>
        <w:t xml:space="preserve"> </w:t>
      </w:r>
      <w:r>
        <w:rPr>
          <w:rFonts w:ascii="Arial" w:hAnsi="Arial" w:cs="Arial"/>
          <w:sz w:val="18"/>
          <w:szCs w:val="18"/>
        </w:rPr>
        <w:t>of</w:t>
      </w:r>
      <w:r>
        <w:rPr>
          <w:rFonts w:ascii="Arial" w:hAnsi="Arial" w:cs="Arial"/>
          <w:spacing w:val="-11"/>
          <w:sz w:val="18"/>
          <w:szCs w:val="18"/>
        </w:rPr>
        <w:t xml:space="preserve"> </w:t>
      </w:r>
      <w:r>
        <w:rPr>
          <w:rFonts w:ascii="Arial" w:hAnsi="Arial" w:cs="Arial"/>
          <w:sz w:val="18"/>
          <w:szCs w:val="18"/>
        </w:rPr>
        <w:t>home</w:t>
      </w:r>
      <w:r>
        <w:rPr>
          <w:rFonts w:ascii="Arial" w:hAnsi="Arial" w:cs="Arial"/>
          <w:spacing w:val="-16"/>
          <w:sz w:val="18"/>
          <w:szCs w:val="18"/>
        </w:rPr>
        <w:t xml:space="preserve"> </w:t>
      </w:r>
      <w:r>
        <w:rPr>
          <w:rFonts w:ascii="Arial" w:hAnsi="Arial" w:cs="Arial"/>
          <w:sz w:val="18"/>
          <w:szCs w:val="18"/>
        </w:rPr>
        <w:t>visiting</w:t>
      </w:r>
      <w:r>
        <w:rPr>
          <w:rFonts w:ascii="Arial" w:hAnsi="Arial" w:cs="Arial"/>
          <w:spacing w:val="-11"/>
          <w:sz w:val="18"/>
          <w:szCs w:val="18"/>
        </w:rPr>
        <w:t xml:space="preserve"> </w:t>
      </w:r>
      <w:r>
        <w:rPr>
          <w:rFonts w:ascii="Arial" w:hAnsi="Arial" w:cs="Arial"/>
          <w:sz w:val="18"/>
          <w:szCs w:val="18"/>
        </w:rPr>
        <w:t>by</w:t>
      </w:r>
      <w:r>
        <w:rPr>
          <w:rFonts w:ascii="Arial" w:hAnsi="Arial" w:cs="Arial"/>
          <w:spacing w:val="-18"/>
          <w:sz w:val="18"/>
          <w:szCs w:val="18"/>
        </w:rPr>
        <w:t xml:space="preserve"> </w:t>
      </w:r>
      <w:r>
        <w:rPr>
          <w:rFonts w:ascii="Arial" w:hAnsi="Arial" w:cs="Arial"/>
          <w:sz w:val="18"/>
          <w:szCs w:val="18"/>
        </w:rPr>
        <w:t xml:space="preserve">nurses on maternal and child mortality: results of a 2-decade follow-up of a randomized clinical trial. </w:t>
      </w:r>
      <w:r>
        <w:rPr>
          <w:rFonts w:ascii="Arial" w:hAnsi="Arial" w:cs="Arial"/>
          <w:i/>
          <w:iCs/>
          <w:sz w:val="18"/>
          <w:szCs w:val="18"/>
        </w:rPr>
        <w:t xml:space="preserve">JAMA </w:t>
      </w:r>
      <w:proofErr w:type="spellStart"/>
      <w:r>
        <w:rPr>
          <w:rFonts w:ascii="Arial" w:hAnsi="Arial" w:cs="Arial"/>
          <w:i/>
          <w:iCs/>
          <w:sz w:val="18"/>
          <w:szCs w:val="18"/>
        </w:rPr>
        <w:t>Pediatr</w:t>
      </w:r>
      <w:proofErr w:type="spellEnd"/>
      <w:r>
        <w:rPr>
          <w:rFonts w:ascii="Arial" w:hAnsi="Arial" w:cs="Arial"/>
          <w:i/>
          <w:iCs/>
          <w:sz w:val="18"/>
          <w:szCs w:val="18"/>
        </w:rPr>
        <w:t xml:space="preserve">. </w:t>
      </w:r>
      <w:r>
        <w:rPr>
          <w:rFonts w:ascii="Arial" w:hAnsi="Arial" w:cs="Arial"/>
          <w:spacing w:val="-7"/>
          <w:sz w:val="18"/>
          <w:szCs w:val="18"/>
        </w:rPr>
        <w:t>168(9),</w:t>
      </w:r>
      <w:r>
        <w:rPr>
          <w:rFonts w:ascii="Arial" w:hAnsi="Arial" w:cs="Arial"/>
          <w:spacing w:val="19"/>
          <w:sz w:val="18"/>
          <w:szCs w:val="18"/>
        </w:rPr>
        <w:t xml:space="preserve"> </w:t>
      </w:r>
      <w:r>
        <w:rPr>
          <w:rFonts w:ascii="Arial" w:hAnsi="Arial" w:cs="Arial"/>
          <w:sz w:val="18"/>
          <w:szCs w:val="18"/>
        </w:rPr>
        <w:t>800-806.</w:t>
      </w:r>
    </w:p>
    <w:p w:rsidR="002C5025" w:rsidRDefault="002C5025">
      <w:pPr>
        <w:pStyle w:val="BodyText"/>
        <w:kinsoku w:val="0"/>
        <w:overflowPunct w:val="0"/>
        <w:spacing w:before="6" w:line="273" w:lineRule="auto"/>
        <w:ind w:left="587" w:right="716" w:hanging="121"/>
        <w:rPr>
          <w:rFonts w:ascii="Arial" w:hAnsi="Arial" w:cs="Arial"/>
          <w:spacing w:val="-8"/>
          <w:sz w:val="18"/>
          <w:szCs w:val="18"/>
        </w:rPr>
      </w:pPr>
      <w:r>
        <w:rPr>
          <w:rFonts w:ascii="Arial" w:hAnsi="Arial" w:cs="Arial"/>
          <w:spacing w:val="-17"/>
          <w:sz w:val="18"/>
          <w:szCs w:val="18"/>
        </w:rPr>
        <w:t>,;;</w:t>
      </w:r>
      <w:r>
        <w:rPr>
          <w:rFonts w:ascii="Arial" w:hAnsi="Arial" w:cs="Arial"/>
          <w:spacing w:val="-30"/>
          <w:sz w:val="18"/>
          <w:szCs w:val="18"/>
        </w:rPr>
        <w:t xml:space="preserve"> </w:t>
      </w:r>
      <w:proofErr w:type="spellStart"/>
      <w:r>
        <w:rPr>
          <w:rFonts w:ascii="Arial" w:hAnsi="Arial" w:cs="Arial"/>
          <w:sz w:val="18"/>
          <w:szCs w:val="18"/>
        </w:rPr>
        <w:t>Counsell</w:t>
      </w:r>
      <w:proofErr w:type="spellEnd"/>
      <w:r>
        <w:rPr>
          <w:rFonts w:ascii="Arial" w:hAnsi="Arial" w:cs="Arial"/>
          <w:sz w:val="18"/>
          <w:szCs w:val="18"/>
        </w:rPr>
        <w:t>,</w:t>
      </w:r>
      <w:r>
        <w:rPr>
          <w:rFonts w:ascii="Arial" w:hAnsi="Arial" w:cs="Arial"/>
          <w:spacing w:val="-20"/>
          <w:sz w:val="18"/>
          <w:szCs w:val="18"/>
        </w:rPr>
        <w:t xml:space="preserve"> </w:t>
      </w:r>
      <w:r>
        <w:rPr>
          <w:rFonts w:ascii="Arial" w:hAnsi="Arial" w:cs="Arial"/>
          <w:sz w:val="18"/>
          <w:szCs w:val="18"/>
        </w:rPr>
        <w:t>S.R.,</w:t>
      </w:r>
      <w:r>
        <w:rPr>
          <w:rFonts w:ascii="Arial" w:hAnsi="Arial" w:cs="Arial"/>
          <w:spacing w:val="-18"/>
          <w:sz w:val="18"/>
          <w:szCs w:val="18"/>
        </w:rPr>
        <w:t xml:space="preserve"> </w:t>
      </w:r>
      <w:r>
        <w:rPr>
          <w:rFonts w:ascii="Arial" w:hAnsi="Arial" w:cs="Arial"/>
          <w:sz w:val="18"/>
          <w:szCs w:val="18"/>
        </w:rPr>
        <w:t>Callahan,</w:t>
      </w:r>
      <w:r>
        <w:rPr>
          <w:rFonts w:ascii="Arial" w:hAnsi="Arial" w:cs="Arial"/>
          <w:spacing w:val="-20"/>
          <w:sz w:val="18"/>
          <w:szCs w:val="18"/>
        </w:rPr>
        <w:t xml:space="preserve"> </w:t>
      </w:r>
      <w:r>
        <w:rPr>
          <w:rFonts w:ascii="Arial" w:hAnsi="Arial" w:cs="Arial"/>
          <w:sz w:val="18"/>
          <w:szCs w:val="18"/>
        </w:rPr>
        <w:t>C.M.,</w:t>
      </w:r>
      <w:r>
        <w:rPr>
          <w:rFonts w:ascii="Arial" w:hAnsi="Arial" w:cs="Arial"/>
          <w:spacing w:val="-22"/>
          <w:sz w:val="18"/>
          <w:szCs w:val="18"/>
        </w:rPr>
        <w:t xml:space="preserve"> </w:t>
      </w:r>
      <w:r>
        <w:rPr>
          <w:rFonts w:ascii="Arial" w:hAnsi="Arial" w:cs="Arial"/>
          <w:sz w:val="18"/>
          <w:szCs w:val="18"/>
        </w:rPr>
        <w:t>Clark,</w:t>
      </w:r>
      <w:r>
        <w:rPr>
          <w:rFonts w:ascii="Arial" w:hAnsi="Arial" w:cs="Arial"/>
          <w:spacing w:val="-17"/>
          <w:sz w:val="18"/>
          <w:szCs w:val="18"/>
        </w:rPr>
        <w:t xml:space="preserve"> </w:t>
      </w:r>
      <w:r>
        <w:rPr>
          <w:rFonts w:ascii="Arial" w:hAnsi="Arial" w:cs="Arial"/>
          <w:sz w:val="18"/>
          <w:szCs w:val="18"/>
        </w:rPr>
        <w:t>D.O.,</w:t>
      </w:r>
      <w:r>
        <w:rPr>
          <w:rFonts w:ascii="Arial" w:hAnsi="Arial" w:cs="Arial"/>
          <w:spacing w:val="-25"/>
          <w:sz w:val="18"/>
          <w:szCs w:val="18"/>
        </w:rPr>
        <w:t xml:space="preserve"> </w:t>
      </w:r>
      <w:proofErr w:type="spellStart"/>
      <w:r>
        <w:rPr>
          <w:rFonts w:ascii="Arial" w:hAnsi="Arial" w:cs="Arial"/>
          <w:sz w:val="18"/>
          <w:szCs w:val="18"/>
        </w:rPr>
        <w:t>Tu</w:t>
      </w:r>
      <w:proofErr w:type="spellEnd"/>
      <w:r>
        <w:rPr>
          <w:rFonts w:ascii="Arial" w:hAnsi="Arial" w:cs="Arial"/>
          <w:sz w:val="18"/>
          <w:szCs w:val="18"/>
        </w:rPr>
        <w:t>,</w:t>
      </w:r>
      <w:r>
        <w:rPr>
          <w:rFonts w:ascii="Arial" w:hAnsi="Arial" w:cs="Arial"/>
          <w:spacing w:val="-27"/>
          <w:sz w:val="18"/>
          <w:szCs w:val="18"/>
        </w:rPr>
        <w:t xml:space="preserve"> </w:t>
      </w:r>
      <w:r>
        <w:rPr>
          <w:rFonts w:ascii="Arial" w:hAnsi="Arial" w:cs="Arial"/>
          <w:spacing w:val="3"/>
          <w:sz w:val="18"/>
          <w:szCs w:val="18"/>
        </w:rPr>
        <w:t>W.</w:t>
      </w:r>
      <w:r>
        <w:rPr>
          <w:rFonts w:ascii="Arial" w:hAnsi="Arial" w:cs="Arial"/>
          <w:spacing w:val="-23"/>
          <w:sz w:val="18"/>
          <w:szCs w:val="18"/>
        </w:rPr>
        <w:t xml:space="preserve"> </w:t>
      </w:r>
      <w:proofErr w:type="spellStart"/>
      <w:r>
        <w:rPr>
          <w:rFonts w:ascii="Arial" w:hAnsi="Arial" w:cs="Arial"/>
          <w:sz w:val="18"/>
          <w:szCs w:val="18"/>
        </w:rPr>
        <w:t>Buttar</w:t>
      </w:r>
      <w:proofErr w:type="spellEnd"/>
      <w:r>
        <w:rPr>
          <w:rFonts w:ascii="Arial" w:hAnsi="Arial" w:cs="Arial"/>
          <w:sz w:val="18"/>
          <w:szCs w:val="18"/>
        </w:rPr>
        <w:t>,</w:t>
      </w:r>
      <w:r>
        <w:rPr>
          <w:rFonts w:ascii="Arial" w:hAnsi="Arial" w:cs="Arial"/>
          <w:spacing w:val="-29"/>
          <w:sz w:val="18"/>
          <w:szCs w:val="18"/>
        </w:rPr>
        <w:t xml:space="preserve"> </w:t>
      </w:r>
      <w:proofErr w:type="spellStart"/>
      <w:r>
        <w:rPr>
          <w:rFonts w:ascii="Arial" w:hAnsi="Arial" w:cs="Arial"/>
          <w:sz w:val="18"/>
          <w:szCs w:val="18"/>
        </w:rPr>
        <w:t>A.B.,Stump</w:t>
      </w:r>
      <w:proofErr w:type="spellEnd"/>
      <w:r>
        <w:rPr>
          <w:rFonts w:ascii="Arial" w:hAnsi="Arial" w:cs="Arial"/>
          <w:sz w:val="18"/>
          <w:szCs w:val="18"/>
        </w:rPr>
        <w:t>,</w:t>
      </w:r>
      <w:r>
        <w:rPr>
          <w:rFonts w:ascii="Arial" w:hAnsi="Arial" w:cs="Arial"/>
          <w:spacing w:val="-27"/>
          <w:sz w:val="18"/>
          <w:szCs w:val="18"/>
        </w:rPr>
        <w:t xml:space="preserve"> </w:t>
      </w:r>
      <w:proofErr w:type="spellStart"/>
      <w:r>
        <w:rPr>
          <w:rFonts w:ascii="Arial" w:hAnsi="Arial" w:cs="Arial"/>
          <w:sz w:val="18"/>
          <w:szCs w:val="18"/>
        </w:rPr>
        <w:t>T.E.,and</w:t>
      </w:r>
      <w:proofErr w:type="spellEnd"/>
      <w:r>
        <w:rPr>
          <w:rFonts w:ascii="Arial" w:hAnsi="Arial" w:cs="Arial"/>
          <w:spacing w:val="-20"/>
          <w:sz w:val="18"/>
          <w:szCs w:val="18"/>
        </w:rPr>
        <w:t xml:space="preserve"> </w:t>
      </w:r>
      <w:r>
        <w:rPr>
          <w:rFonts w:ascii="Arial" w:hAnsi="Arial" w:cs="Arial"/>
          <w:sz w:val="18"/>
          <w:szCs w:val="18"/>
        </w:rPr>
        <w:t>Ricketts,</w:t>
      </w:r>
      <w:r>
        <w:rPr>
          <w:rFonts w:ascii="Arial" w:hAnsi="Arial" w:cs="Arial"/>
          <w:spacing w:val="-25"/>
          <w:sz w:val="18"/>
          <w:szCs w:val="18"/>
        </w:rPr>
        <w:t xml:space="preserve"> </w:t>
      </w:r>
      <w:r>
        <w:rPr>
          <w:rFonts w:ascii="Arial" w:hAnsi="Arial" w:cs="Arial"/>
          <w:sz w:val="18"/>
          <w:szCs w:val="18"/>
        </w:rPr>
        <w:t>G.D.</w:t>
      </w:r>
      <w:r>
        <w:rPr>
          <w:rFonts w:ascii="Arial" w:hAnsi="Arial" w:cs="Arial"/>
          <w:spacing w:val="-20"/>
          <w:sz w:val="18"/>
          <w:szCs w:val="18"/>
        </w:rPr>
        <w:t xml:space="preserve"> </w:t>
      </w:r>
      <w:r>
        <w:rPr>
          <w:rFonts w:ascii="Arial" w:hAnsi="Arial" w:cs="Arial"/>
          <w:sz w:val="18"/>
          <w:szCs w:val="18"/>
        </w:rPr>
        <w:t>2007.</w:t>
      </w:r>
      <w:r>
        <w:rPr>
          <w:rFonts w:ascii="Arial" w:hAnsi="Arial" w:cs="Arial"/>
          <w:spacing w:val="-27"/>
          <w:sz w:val="18"/>
          <w:szCs w:val="18"/>
        </w:rPr>
        <w:t xml:space="preserve"> </w:t>
      </w:r>
      <w:r>
        <w:rPr>
          <w:rFonts w:ascii="Arial" w:hAnsi="Arial" w:cs="Arial"/>
          <w:i/>
          <w:iCs/>
          <w:sz w:val="18"/>
          <w:szCs w:val="18"/>
        </w:rPr>
        <w:t>J</w:t>
      </w:r>
      <w:r>
        <w:rPr>
          <w:rFonts w:ascii="Arial" w:hAnsi="Arial" w:cs="Arial"/>
          <w:i/>
          <w:iCs/>
          <w:spacing w:val="-29"/>
          <w:sz w:val="18"/>
          <w:szCs w:val="18"/>
        </w:rPr>
        <w:t xml:space="preserve"> </w:t>
      </w:r>
      <w:r>
        <w:rPr>
          <w:rFonts w:ascii="Arial" w:hAnsi="Arial" w:cs="Arial"/>
          <w:i/>
          <w:iCs/>
          <w:sz w:val="18"/>
          <w:szCs w:val="18"/>
        </w:rPr>
        <w:t>Am</w:t>
      </w:r>
      <w:r>
        <w:rPr>
          <w:rFonts w:ascii="Arial" w:hAnsi="Arial" w:cs="Arial"/>
          <w:i/>
          <w:iCs/>
          <w:spacing w:val="-14"/>
          <w:sz w:val="18"/>
          <w:szCs w:val="18"/>
        </w:rPr>
        <w:t xml:space="preserve"> </w:t>
      </w:r>
      <w:proofErr w:type="spellStart"/>
      <w:r>
        <w:rPr>
          <w:rFonts w:ascii="Arial" w:hAnsi="Arial" w:cs="Arial"/>
          <w:i/>
          <w:iCs/>
          <w:sz w:val="18"/>
          <w:szCs w:val="18"/>
        </w:rPr>
        <w:t>Geriatr</w:t>
      </w:r>
      <w:proofErr w:type="spellEnd"/>
      <w:r>
        <w:rPr>
          <w:rFonts w:ascii="Arial" w:hAnsi="Arial" w:cs="Arial"/>
          <w:i/>
          <w:iCs/>
          <w:sz w:val="18"/>
          <w:szCs w:val="18"/>
        </w:rPr>
        <w:t xml:space="preserve"> </w:t>
      </w:r>
      <w:proofErr w:type="spellStart"/>
      <w:r>
        <w:rPr>
          <w:rFonts w:ascii="Arial" w:hAnsi="Arial" w:cs="Arial"/>
          <w:i/>
          <w:iCs/>
          <w:sz w:val="18"/>
          <w:szCs w:val="18"/>
        </w:rPr>
        <w:t>Soc</w:t>
      </w:r>
      <w:proofErr w:type="spellEnd"/>
      <w:r>
        <w:rPr>
          <w:rFonts w:ascii="Arial" w:hAnsi="Arial" w:cs="Arial"/>
          <w:i/>
          <w:iCs/>
          <w:sz w:val="18"/>
          <w:szCs w:val="18"/>
        </w:rPr>
        <w:t xml:space="preserve">, </w:t>
      </w:r>
      <w:r>
        <w:rPr>
          <w:rFonts w:ascii="Arial" w:hAnsi="Arial" w:cs="Arial"/>
          <w:sz w:val="18"/>
          <w:szCs w:val="18"/>
        </w:rPr>
        <w:t>57(8),</w:t>
      </w:r>
      <w:r>
        <w:rPr>
          <w:rFonts w:ascii="Arial" w:hAnsi="Arial" w:cs="Arial"/>
          <w:spacing w:val="21"/>
          <w:sz w:val="18"/>
          <w:szCs w:val="18"/>
        </w:rPr>
        <w:t xml:space="preserve"> </w:t>
      </w:r>
      <w:r>
        <w:rPr>
          <w:rFonts w:ascii="Arial" w:hAnsi="Arial" w:cs="Arial"/>
          <w:spacing w:val="-8"/>
          <w:sz w:val="18"/>
          <w:szCs w:val="18"/>
        </w:rPr>
        <w:t>1420-1426</w:t>
      </w:r>
    </w:p>
    <w:p w:rsidR="002C5025" w:rsidRDefault="002C5025">
      <w:pPr>
        <w:pStyle w:val="BodyText"/>
        <w:kinsoku w:val="0"/>
        <w:overflowPunct w:val="0"/>
        <w:spacing w:before="7"/>
        <w:rPr>
          <w:rFonts w:ascii="Arial" w:hAnsi="Arial" w:cs="Arial"/>
          <w:sz w:val="20"/>
          <w:szCs w:val="20"/>
        </w:rPr>
      </w:pPr>
    </w:p>
    <w:p w:rsidR="002C5025" w:rsidRDefault="002C5025">
      <w:pPr>
        <w:pStyle w:val="BodyText"/>
        <w:kinsoku w:val="0"/>
        <w:overflowPunct w:val="0"/>
        <w:ind w:left="599" w:right="63"/>
        <w:rPr>
          <w:rFonts w:ascii="Arial" w:hAnsi="Arial" w:cs="Arial"/>
          <w:w w:val="120"/>
          <w:sz w:val="18"/>
          <w:szCs w:val="18"/>
        </w:rPr>
      </w:pPr>
      <w:proofErr w:type="spellStart"/>
      <w:r>
        <w:rPr>
          <w:rFonts w:ascii="Arial" w:hAnsi="Arial" w:cs="Arial"/>
          <w:w w:val="120"/>
          <w:sz w:val="18"/>
          <w:szCs w:val="18"/>
        </w:rPr>
        <w:t>lO</w:t>
      </w:r>
      <w:proofErr w:type="spellEnd"/>
      <w:r>
        <w:rPr>
          <w:rFonts w:ascii="Arial" w:hAnsi="Arial" w:cs="Arial"/>
          <w:w w:val="120"/>
          <w:sz w:val="18"/>
          <w:szCs w:val="18"/>
        </w:rPr>
        <w:t xml:space="preserve"> I P a g e</w:t>
      </w:r>
    </w:p>
    <w:p w:rsidR="002C5025" w:rsidRDefault="002C5025">
      <w:pPr>
        <w:pStyle w:val="BodyText"/>
        <w:kinsoku w:val="0"/>
        <w:overflowPunct w:val="0"/>
        <w:ind w:left="599" w:right="63"/>
        <w:rPr>
          <w:rFonts w:ascii="Arial" w:hAnsi="Arial" w:cs="Arial"/>
          <w:w w:val="120"/>
          <w:sz w:val="18"/>
          <w:szCs w:val="18"/>
        </w:rPr>
        <w:sectPr w:rsidR="002C5025">
          <w:pgSz w:w="12240" w:h="15840"/>
          <w:pgMar w:top="900" w:right="1200" w:bottom="280" w:left="860" w:header="720" w:footer="720" w:gutter="0"/>
          <w:cols w:space="720" w:equalWidth="0">
            <w:col w:w="10180"/>
          </w:cols>
          <w:noEndnote/>
        </w:sectPr>
      </w:pPr>
    </w:p>
    <w:p w:rsidR="002C5025" w:rsidRDefault="002C5025">
      <w:pPr>
        <w:pStyle w:val="BodyText"/>
        <w:kinsoku w:val="0"/>
        <w:overflowPunct w:val="0"/>
        <w:spacing w:before="46"/>
        <w:ind w:left="110"/>
        <w:rPr>
          <w:rFonts w:ascii="Arial" w:hAnsi="Arial" w:cs="Arial"/>
          <w:w w:val="109"/>
          <w:sz w:val="28"/>
          <w:szCs w:val="28"/>
        </w:rPr>
      </w:pPr>
      <w:r>
        <w:rPr>
          <w:rFonts w:ascii="Arial" w:hAnsi="Arial" w:cs="Arial"/>
          <w:w w:val="109"/>
          <w:sz w:val="28"/>
          <w:szCs w:val="28"/>
        </w:rPr>
        <w:lastRenderedPageBreak/>
        <w:t>•</w:t>
      </w:r>
    </w:p>
    <w:p w:rsidR="002C5025" w:rsidRDefault="002C5025">
      <w:pPr>
        <w:pStyle w:val="BodyText"/>
        <w:kinsoku w:val="0"/>
        <w:overflowPunct w:val="0"/>
        <w:rPr>
          <w:rFonts w:ascii="Arial" w:hAnsi="Arial" w:cs="Arial"/>
          <w:sz w:val="20"/>
          <w:szCs w:val="20"/>
        </w:rPr>
      </w:pPr>
    </w:p>
    <w:p w:rsidR="002C5025" w:rsidRDefault="00FB027C">
      <w:pPr>
        <w:pStyle w:val="BodyText"/>
        <w:kinsoku w:val="0"/>
        <w:overflowPunct w:val="0"/>
        <w:spacing w:before="8"/>
        <w:rPr>
          <w:rFonts w:ascii="Arial" w:hAnsi="Arial" w:cs="Arial"/>
          <w:sz w:val="13"/>
          <w:szCs w:val="13"/>
        </w:rPr>
      </w:pPr>
      <w:r>
        <w:rPr>
          <w:noProof/>
        </w:rPr>
        <mc:AlternateContent>
          <mc:Choice Requires="wps">
            <w:drawing>
              <wp:anchor distT="0" distB="0" distL="0" distR="0" simplePos="0" relativeHeight="251491840" behindDoc="0" locked="0" layoutInCell="0" allowOverlap="1">
                <wp:simplePos x="0" y="0"/>
                <wp:positionH relativeFrom="page">
                  <wp:posOffset>955675</wp:posOffset>
                </wp:positionH>
                <wp:positionV relativeFrom="paragraph">
                  <wp:posOffset>129540</wp:posOffset>
                </wp:positionV>
                <wp:extent cx="5532120" cy="12700"/>
                <wp:effectExtent l="0" t="0" r="0" b="0"/>
                <wp:wrapTopAndBottom/>
                <wp:docPr id="908" name="Freeform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32120" cy="12700"/>
                        </a:xfrm>
                        <a:custGeom>
                          <a:avLst/>
                          <a:gdLst>
                            <a:gd name="T0" fmla="*/ 0 w 8712"/>
                            <a:gd name="T1" fmla="*/ 0 h 20"/>
                            <a:gd name="T2" fmla="*/ 8712 w 8712"/>
                            <a:gd name="T3" fmla="*/ 0 h 20"/>
                          </a:gdLst>
                          <a:ahLst/>
                          <a:cxnLst>
                            <a:cxn ang="0">
                              <a:pos x="T0" y="T1"/>
                            </a:cxn>
                            <a:cxn ang="0">
                              <a:pos x="T2" y="T3"/>
                            </a:cxn>
                          </a:cxnLst>
                          <a:rect l="0" t="0" r="r" b="b"/>
                          <a:pathLst>
                            <a:path w="8712" h="20">
                              <a:moveTo>
                                <a:pt x="0" y="0"/>
                              </a:moveTo>
                              <a:lnTo>
                                <a:pt x="8712"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17" o:spid="_x0000_s1026" style="position:absolute;z-index:251491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5.25pt,10.2pt,510.85pt,10.2pt" coordsize="871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" o:allowincell="f" filled="f" strokeweight=".72pt">
                <v:path arrowok="t" o:connecttype="custom" o:connectlocs="0,0;5532120,0" o:connectangles="0,0"/>
                <w10:wrap type="topAndBottom" anchorx="page"/>
              </v:polyline>
            </w:pict>
          </mc:Fallback>
        </mc:AlternateContent>
      </w:r>
    </w:p>
    <w:p w:rsidR="002C5025" w:rsidRDefault="002C5025">
      <w:pPr>
        <w:pStyle w:val="BodyText"/>
        <w:kinsoku w:val="0"/>
        <w:overflowPunct w:val="0"/>
        <w:spacing w:before="68" w:line="300" w:lineRule="auto"/>
        <w:ind w:left="650" w:right="289" w:firstLine="7"/>
        <w:rPr>
          <w:rFonts w:ascii="Arial" w:hAnsi="Arial" w:cs="Arial"/>
          <w:sz w:val="17"/>
          <w:szCs w:val="17"/>
        </w:rPr>
      </w:pPr>
      <w:r>
        <w:rPr>
          <w:rFonts w:ascii="Arial" w:hAnsi="Arial" w:cs="Arial"/>
          <w:b/>
          <w:bCs/>
          <w:w w:val="95"/>
          <w:sz w:val="12"/>
          <w:szCs w:val="12"/>
        </w:rPr>
        <w:t>viii</w:t>
      </w:r>
      <w:r>
        <w:rPr>
          <w:rFonts w:ascii="Arial" w:hAnsi="Arial" w:cs="Arial"/>
          <w:b/>
          <w:bCs/>
          <w:spacing w:val="-3"/>
          <w:w w:val="95"/>
          <w:sz w:val="12"/>
          <w:szCs w:val="12"/>
        </w:rPr>
        <w:t xml:space="preserve"> </w:t>
      </w:r>
      <w:proofErr w:type="spellStart"/>
      <w:r>
        <w:rPr>
          <w:rFonts w:ascii="Arial" w:hAnsi="Arial" w:cs="Arial"/>
          <w:b/>
          <w:bCs/>
          <w:w w:val="95"/>
          <w:sz w:val="18"/>
          <w:szCs w:val="18"/>
        </w:rPr>
        <w:t>Bhaumik</w:t>
      </w:r>
      <w:proofErr w:type="spellEnd"/>
      <w:r>
        <w:rPr>
          <w:rFonts w:ascii="Arial" w:hAnsi="Arial" w:cs="Arial"/>
          <w:b/>
          <w:bCs/>
          <w:w w:val="95"/>
          <w:sz w:val="18"/>
          <w:szCs w:val="18"/>
        </w:rPr>
        <w:t>,</w:t>
      </w:r>
      <w:r>
        <w:rPr>
          <w:rFonts w:ascii="Arial" w:hAnsi="Arial" w:cs="Arial"/>
          <w:b/>
          <w:bCs/>
          <w:spacing w:val="-20"/>
          <w:w w:val="95"/>
          <w:sz w:val="18"/>
          <w:szCs w:val="18"/>
        </w:rPr>
        <w:t xml:space="preserve"> </w:t>
      </w:r>
      <w:r>
        <w:rPr>
          <w:rFonts w:ascii="Arial" w:hAnsi="Arial" w:cs="Arial"/>
          <w:b/>
          <w:bCs/>
          <w:w w:val="95"/>
          <w:sz w:val="18"/>
          <w:szCs w:val="18"/>
        </w:rPr>
        <w:t>U.,</w:t>
      </w:r>
      <w:r>
        <w:rPr>
          <w:rFonts w:ascii="Arial" w:hAnsi="Arial" w:cs="Arial"/>
          <w:b/>
          <w:bCs/>
          <w:spacing w:val="-21"/>
          <w:w w:val="95"/>
          <w:sz w:val="18"/>
          <w:szCs w:val="18"/>
        </w:rPr>
        <w:t xml:space="preserve"> </w:t>
      </w:r>
      <w:r>
        <w:rPr>
          <w:rFonts w:ascii="Arial" w:hAnsi="Arial" w:cs="Arial"/>
          <w:b/>
          <w:bCs/>
          <w:w w:val="95"/>
          <w:sz w:val="18"/>
          <w:szCs w:val="18"/>
        </w:rPr>
        <w:t>Norris,</w:t>
      </w:r>
      <w:r>
        <w:rPr>
          <w:rFonts w:ascii="Arial" w:hAnsi="Arial" w:cs="Arial"/>
          <w:b/>
          <w:bCs/>
          <w:spacing w:val="-21"/>
          <w:w w:val="95"/>
          <w:sz w:val="18"/>
          <w:szCs w:val="18"/>
        </w:rPr>
        <w:t xml:space="preserve"> </w:t>
      </w:r>
      <w:r>
        <w:rPr>
          <w:rFonts w:ascii="Arial" w:hAnsi="Arial" w:cs="Arial"/>
          <w:b/>
          <w:bCs/>
          <w:w w:val="95"/>
          <w:sz w:val="18"/>
          <w:szCs w:val="18"/>
        </w:rPr>
        <w:t>K.,</w:t>
      </w:r>
      <w:r>
        <w:rPr>
          <w:rFonts w:ascii="Arial" w:hAnsi="Arial" w:cs="Arial"/>
          <w:b/>
          <w:bCs/>
          <w:spacing w:val="-23"/>
          <w:w w:val="95"/>
          <w:sz w:val="18"/>
          <w:szCs w:val="18"/>
        </w:rPr>
        <w:t xml:space="preserve"> </w:t>
      </w:r>
      <w:proofErr w:type="spellStart"/>
      <w:r>
        <w:rPr>
          <w:rFonts w:ascii="Arial" w:hAnsi="Arial" w:cs="Arial"/>
          <w:b/>
          <w:bCs/>
          <w:w w:val="95"/>
          <w:sz w:val="18"/>
          <w:szCs w:val="18"/>
        </w:rPr>
        <w:t>Charron</w:t>
      </w:r>
      <w:proofErr w:type="spellEnd"/>
      <w:r>
        <w:rPr>
          <w:rFonts w:ascii="Arial" w:hAnsi="Arial" w:cs="Arial"/>
          <w:b/>
          <w:bCs/>
          <w:w w:val="95"/>
          <w:sz w:val="18"/>
          <w:szCs w:val="18"/>
        </w:rPr>
        <w:t>,</w:t>
      </w:r>
      <w:r>
        <w:rPr>
          <w:rFonts w:ascii="Arial" w:hAnsi="Arial" w:cs="Arial"/>
          <w:b/>
          <w:bCs/>
          <w:spacing w:val="-21"/>
          <w:w w:val="95"/>
          <w:sz w:val="18"/>
          <w:szCs w:val="18"/>
        </w:rPr>
        <w:t xml:space="preserve"> </w:t>
      </w:r>
      <w:r>
        <w:rPr>
          <w:rFonts w:ascii="Arial" w:hAnsi="Arial" w:cs="Arial"/>
          <w:b/>
          <w:bCs/>
          <w:w w:val="95"/>
          <w:sz w:val="18"/>
          <w:szCs w:val="18"/>
        </w:rPr>
        <w:t>G.,</w:t>
      </w:r>
      <w:r>
        <w:rPr>
          <w:rFonts w:ascii="Arial" w:hAnsi="Arial" w:cs="Arial"/>
          <w:b/>
          <w:bCs/>
          <w:spacing w:val="-24"/>
          <w:w w:val="95"/>
          <w:sz w:val="18"/>
          <w:szCs w:val="18"/>
        </w:rPr>
        <w:t xml:space="preserve"> </w:t>
      </w:r>
      <w:r>
        <w:rPr>
          <w:rFonts w:ascii="Arial" w:hAnsi="Arial" w:cs="Arial"/>
          <w:b/>
          <w:bCs/>
          <w:w w:val="95"/>
          <w:sz w:val="18"/>
          <w:szCs w:val="18"/>
        </w:rPr>
        <w:t>Walker,</w:t>
      </w:r>
      <w:r>
        <w:rPr>
          <w:rFonts w:ascii="Arial" w:hAnsi="Arial" w:cs="Arial"/>
          <w:b/>
          <w:bCs/>
          <w:spacing w:val="-20"/>
          <w:w w:val="95"/>
          <w:sz w:val="18"/>
          <w:szCs w:val="18"/>
        </w:rPr>
        <w:t xml:space="preserve"> </w:t>
      </w:r>
      <w:r>
        <w:rPr>
          <w:rFonts w:ascii="Arial" w:hAnsi="Arial" w:cs="Arial"/>
          <w:b/>
          <w:bCs/>
          <w:w w:val="95"/>
          <w:sz w:val="18"/>
          <w:szCs w:val="18"/>
        </w:rPr>
        <w:t>S.P.,</w:t>
      </w:r>
      <w:r>
        <w:rPr>
          <w:rFonts w:ascii="Arial" w:hAnsi="Arial" w:cs="Arial"/>
          <w:b/>
          <w:bCs/>
          <w:spacing w:val="-23"/>
          <w:w w:val="95"/>
          <w:sz w:val="18"/>
          <w:szCs w:val="18"/>
        </w:rPr>
        <w:t xml:space="preserve"> </w:t>
      </w:r>
      <w:r>
        <w:rPr>
          <w:rFonts w:ascii="Arial" w:hAnsi="Arial" w:cs="Arial"/>
          <w:b/>
          <w:bCs/>
          <w:w w:val="95"/>
          <w:sz w:val="18"/>
          <w:szCs w:val="18"/>
        </w:rPr>
        <w:t>Sommer,</w:t>
      </w:r>
      <w:r>
        <w:rPr>
          <w:rFonts w:ascii="Arial" w:hAnsi="Arial" w:cs="Arial"/>
          <w:b/>
          <w:bCs/>
          <w:spacing w:val="-16"/>
          <w:w w:val="95"/>
          <w:sz w:val="18"/>
          <w:szCs w:val="18"/>
        </w:rPr>
        <w:t xml:space="preserve"> </w:t>
      </w:r>
      <w:r>
        <w:rPr>
          <w:rFonts w:ascii="Arial" w:hAnsi="Arial" w:cs="Arial"/>
          <w:b/>
          <w:bCs/>
          <w:w w:val="95"/>
          <w:sz w:val="18"/>
          <w:szCs w:val="18"/>
        </w:rPr>
        <w:t>S.J.,</w:t>
      </w:r>
      <w:r>
        <w:rPr>
          <w:rFonts w:ascii="Arial" w:hAnsi="Arial" w:cs="Arial"/>
          <w:b/>
          <w:bCs/>
          <w:spacing w:val="-23"/>
          <w:w w:val="95"/>
          <w:sz w:val="18"/>
          <w:szCs w:val="18"/>
        </w:rPr>
        <w:t xml:space="preserve"> </w:t>
      </w:r>
      <w:r>
        <w:rPr>
          <w:rFonts w:ascii="Arial" w:hAnsi="Arial" w:cs="Arial"/>
          <w:b/>
          <w:bCs/>
          <w:w w:val="95"/>
          <w:sz w:val="18"/>
          <w:szCs w:val="18"/>
        </w:rPr>
        <w:t>Chan,</w:t>
      </w:r>
      <w:r>
        <w:rPr>
          <w:rFonts w:ascii="Arial" w:hAnsi="Arial" w:cs="Arial"/>
          <w:b/>
          <w:bCs/>
          <w:spacing w:val="-18"/>
          <w:w w:val="95"/>
          <w:sz w:val="18"/>
          <w:szCs w:val="18"/>
        </w:rPr>
        <w:t xml:space="preserve"> </w:t>
      </w:r>
      <w:r>
        <w:rPr>
          <w:rFonts w:ascii="Arial" w:hAnsi="Arial" w:cs="Arial"/>
          <w:b/>
          <w:bCs/>
          <w:w w:val="95"/>
          <w:sz w:val="18"/>
          <w:szCs w:val="18"/>
        </w:rPr>
        <w:t>E.,</w:t>
      </w:r>
      <w:r>
        <w:rPr>
          <w:rFonts w:ascii="Arial" w:hAnsi="Arial" w:cs="Arial"/>
          <w:b/>
          <w:bCs/>
          <w:spacing w:val="-27"/>
          <w:w w:val="95"/>
          <w:sz w:val="18"/>
          <w:szCs w:val="18"/>
        </w:rPr>
        <w:t xml:space="preserve"> </w:t>
      </w:r>
      <w:r>
        <w:rPr>
          <w:rFonts w:ascii="Arial" w:hAnsi="Arial" w:cs="Arial"/>
          <w:b/>
          <w:bCs/>
          <w:w w:val="95"/>
          <w:sz w:val="18"/>
          <w:szCs w:val="18"/>
        </w:rPr>
        <w:t>and</w:t>
      </w:r>
      <w:r>
        <w:rPr>
          <w:rFonts w:ascii="Arial" w:hAnsi="Arial" w:cs="Arial"/>
          <w:b/>
          <w:bCs/>
          <w:spacing w:val="-24"/>
          <w:w w:val="95"/>
          <w:sz w:val="18"/>
          <w:szCs w:val="18"/>
        </w:rPr>
        <w:t xml:space="preserve"> </w:t>
      </w:r>
      <w:r>
        <w:rPr>
          <w:rFonts w:ascii="Arial" w:hAnsi="Arial" w:cs="Arial"/>
          <w:b/>
          <w:bCs/>
          <w:w w:val="95"/>
          <w:sz w:val="18"/>
          <w:szCs w:val="18"/>
        </w:rPr>
        <w:t>Woods,</w:t>
      </w:r>
      <w:r>
        <w:rPr>
          <w:rFonts w:ascii="Arial" w:hAnsi="Arial" w:cs="Arial"/>
          <w:b/>
          <w:bCs/>
          <w:spacing w:val="-16"/>
          <w:w w:val="95"/>
          <w:sz w:val="18"/>
          <w:szCs w:val="18"/>
        </w:rPr>
        <w:t xml:space="preserve"> </w:t>
      </w:r>
      <w:r>
        <w:rPr>
          <w:rFonts w:ascii="Arial" w:hAnsi="Arial" w:cs="Arial"/>
          <w:b/>
          <w:bCs/>
          <w:w w:val="95"/>
          <w:sz w:val="18"/>
          <w:szCs w:val="18"/>
        </w:rPr>
        <w:t>E.R.</w:t>
      </w:r>
      <w:r>
        <w:rPr>
          <w:rFonts w:ascii="Arial" w:hAnsi="Arial" w:cs="Arial"/>
          <w:b/>
          <w:bCs/>
          <w:spacing w:val="-24"/>
          <w:w w:val="95"/>
          <w:sz w:val="18"/>
          <w:szCs w:val="18"/>
        </w:rPr>
        <w:t xml:space="preserve"> </w:t>
      </w:r>
      <w:r>
        <w:rPr>
          <w:rFonts w:ascii="Arial" w:hAnsi="Arial" w:cs="Arial"/>
          <w:b/>
          <w:bCs/>
          <w:w w:val="95"/>
          <w:sz w:val="18"/>
          <w:szCs w:val="18"/>
        </w:rPr>
        <w:t>2013.A</w:t>
      </w:r>
      <w:r>
        <w:rPr>
          <w:rFonts w:ascii="Arial" w:hAnsi="Arial" w:cs="Arial"/>
          <w:b/>
          <w:bCs/>
          <w:spacing w:val="-23"/>
          <w:w w:val="95"/>
          <w:sz w:val="18"/>
          <w:szCs w:val="18"/>
        </w:rPr>
        <w:t xml:space="preserve"> </w:t>
      </w:r>
      <w:r>
        <w:rPr>
          <w:rFonts w:ascii="Arial" w:hAnsi="Arial" w:cs="Arial"/>
          <w:b/>
          <w:bCs/>
          <w:w w:val="95"/>
          <w:sz w:val="18"/>
          <w:szCs w:val="18"/>
        </w:rPr>
        <w:t>cost</w:t>
      </w:r>
      <w:r>
        <w:rPr>
          <w:rFonts w:ascii="Arial" w:hAnsi="Arial" w:cs="Arial"/>
          <w:b/>
          <w:bCs/>
          <w:spacing w:val="-20"/>
          <w:w w:val="95"/>
          <w:sz w:val="18"/>
          <w:szCs w:val="18"/>
        </w:rPr>
        <w:t xml:space="preserve"> </w:t>
      </w:r>
      <w:r>
        <w:rPr>
          <w:rFonts w:ascii="Arial" w:hAnsi="Arial" w:cs="Arial"/>
          <w:b/>
          <w:bCs/>
          <w:w w:val="95"/>
          <w:sz w:val="18"/>
          <w:szCs w:val="18"/>
        </w:rPr>
        <w:t xml:space="preserve">analysis </w:t>
      </w:r>
      <w:r>
        <w:rPr>
          <w:rFonts w:ascii="Arial" w:hAnsi="Arial" w:cs="Arial"/>
          <w:sz w:val="17"/>
          <w:szCs w:val="17"/>
        </w:rPr>
        <w:t xml:space="preserve">for a community-based case management intervention program for pediatric asthma. </w:t>
      </w:r>
      <w:r>
        <w:rPr>
          <w:rFonts w:ascii="Arial" w:hAnsi="Arial" w:cs="Arial"/>
          <w:i/>
          <w:iCs/>
          <w:sz w:val="17"/>
          <w:szCs w:val="17"/>
        </w:rPr>
        <w:t xml:space="preserve">J Asthma, </w:t>
      </w:r>
      <w:r>
        <w:rPr>
          <w:rFonts w:ascii="Arial" w:hAnsi="Arial" w:cs="Arial"/>
          <w:sz w:val="17"/>
          <w:szCs w:val="17"/>
        </w:rPr>
        <w:t xml:space="preserve">50(3), </w:t>
      </w:r>
      <w:r>
        <w:rPr>
          <w:rFonts w:ascii="Arial" w:hAnsi="Arial" w:cs="Arial"/>
          <w:spacing w:val="-4"/>
          <w:sz w:val="17"/>
          <w:szCs w:val="17"/>
        </w:rPr>
        <w:t xml:space="preserve">310-317 </w:t>
      </w:r>
      <w:r>
        <w:rPr>
          <w:rFonts w:ascii="Arial" w:hAnsi="Arial" w:cs="Arial"/>
          <w:sz w:val="17"/>
          <w:szCs w:val="17"/>
        </w:rPr>
        <w:t>''</w:t>
      </w:r>
      <w:proofErr w:type="spellStart"/>
      <w:r>
        <w:rPr>
          <w:rFonts w:ascii="Arial" w:hAnsi="Arial" w:cs="Arial"/>
          <w:sz w:val="17"/>
          <w:szCs w:val="17"/>
        </w:rPr>
        <w:t>Fagg,J.,Chadwick</w:t>
      </w:r>
      <w:proofErr w:type="spellEnd"/>
      <w:r>
        <w:rPr>
          <w:rFonts w:ascii="Arial" w:hAnsi="Arial" w:cs="Arial"/>
          <w:sz w:val="17"/>
          <w:szCs w:val="17"/>
        </w:rPr>
        <w:t xml:space="preserve">, P., Cole, </w:t>
      </w:r>
      <w:proofErr w:type="spellStart"/>
      <w:r>
        <w:rPr>
          <w:rFonts w:ascii="Arial" w:hAnsi="Arial" w:cs="Arial"/>
          <w:sz w:val="17"/>
          <w:szCs w:val="17"/>
        </w:rPr>
        <w:t>T.J.,Cummins</w:t>
      </w:r>
      <w:proofErr w:type="spellEnd"/>
      <w:r>
        <w:rPr>
          <w:rFonts w:ascii="Arial" w:hAnsi="Arial" w:cs="Arial"/>
          <w:sz w:val="17"/>
          <w:szCs w:val="17"/>
        </w:rPr>
        <w:t xml:space="preserve">, S. Goldstein, H. Lewis, H. and Law, C. </w:t>
      </w:r>
      <w:r>
        <w:rPr>
          <w:rFonts w:ascii="Arial" w:hAnsi="Arial" w:cs="Arial"/>
          <w:spacing w:val="-7"/>
          <w:sz w:val="17"/>
          <w:szCs w:val="17"/>
        </w:rPr>
        <w:t xml:space="preserve">2014.  </w:t>
      </w:r>
      <w:r>
        <w:rPr>
          <w:rFonts w:ascii="Arial" w:hAnsi="Arial" w:cs="Arial"/>
          <w:sz w:val="17"/>
          <w:szCs w:val="17"/>
        </w:rPr>
        <w:t xml:space="preserve">From trial to  population: a study of a family-based community intervention for childhood overweight implemented at scale. </w:t>
      </w:r>
      <w:proofErr w:type="spellStart"/>
      <w:r>
        <w:rPr>
          <w:rFonts w:ascii="Arial" w:hAnsi="Arial" w:cs="Arial"/>
          <w:i/>
          <w:iCs/>
          <w:sz w:val="17"/>
          <w:szCs w:val="17"/>
        </w:rPr>
        <w:t>Int</w:t>
      </w:r>
      <w:proofErr w:type="spellEnd"/>
      <w:r>
        <w:rPr>
          <w:rFonts w:ascii="Arial" w:hAnsi="Arial" w:cs="Arial"/>
          <w:i/>
          <w:iCs/>
          <w:sz w:val="17"/>
          <w:szCs w:val="17"/>
        </w:rPr>
        <w:t xml:space="preserve"> J  </w:t>
      </w:r>
      <w:proofErr w:type="spellStart"/>
      <w:r>
        <w:rPr>
          <w:rFonts w:ascii="Arial" w:hAnsi="Arial" w:cs="Arial"/>
          <w:i/>
          <w:iCs/>
          <w:sz w:val="17"/>
          <w:szCs w:val="17"/>
        </w:rPr>
        <w:t>Obes</w:t>
      </w:r>
      <w:proofErr w:type="spellEnd"/>
      <w:r>
        <w:rPr>
          <w:rFonts w:ascii="Arial" w:hAnsi="Arial" w:cs="Arial"/>
          <w:i/>
          <w:iCs/>
          <w:sz w:val="17"/>
          <w:szCs w:val="17"/>
        </w:rPr>
        <w:t xml:space="preserve">  (Land}, </w:t>
      </w:r>
      <w:r>
        <w:rPr>
          <w:rFonts w:ascii="Arial" w:hAnsi="Arial" w:cs="Arial"/>
          <w:sz w:val="17"/>
          <w:szCs w:val="17"/>
        </w:rPr>
        <w:t xml:space="preserve">38(10), </w:t>
      </w:r>
      <w:r>
        <w:rPr>
          <w:rFonts w:ascii="Arial" w:hAnsi="Arial" w:cs="Arial"/>
          <w:spacing w:val="25"/>
          <w:sz w:val="17"/>
          <w:szCs w:val="17"/>
        </w:rPr>
        <w:t xml:space="preserve"> </w:t>
      </w:r>
      <w:r>
        <w:rPr>
          <w:rFonts w:ascii="Arial" w:hAnsi="Arial" w:cs="Arial"/>
          <w:sz w:val="17"/>
          <w:szCs w:val="17"/>
        </w:rPr>
        <w:t>1343-1349</w:t>
      </w:r>
    </w:p>
    <w:p w:rsidR="002C5025" w:rsidRDefault="002C5025">
      <w:pPr>
        <w:pStyle w:val="BodyText"/>
        <w:kinsoku w:val="0"/>
        <w:overflowPunct w:val="0"/>
        <w:spacing w:before="9" w:line="292" w:lineRule="auto"/>
        <w:ind w:left="657" w:right="289" w:hanging="14"/>
        <w:rPr>
          <w:rFonts w:ascii="Arial" w:hAnsi="Arial" w:cs="Arial"/>
          <w:w w:val="110"/>
          <w:sz w:val="17"/>
          <w:szCs w:val="17"/>
        </w:rPr>
      </w:pPr>
      <w:r>
        <w:rPr>
          <w:rFonts w:ascii="Arial" w:hAnsi="Arial" w:cs="Arial"/>
          <w:w w:val="110"/>
          <w:sz w:val="17"/>
          <w:szCs w:val="17"/>
        </w:rPr>
        <w:t>'Meyer,</w:t>
      </w:r>
      <w:r>
        <w:rPr>
          <w:rFonts w:ascii="Arial" w:hAnsi="Arial" w:cs="Arial"/>
          <w:spacing w:val="-18"/>
          <w:w w:val="110"/>
          <w:sz w:val="17"/>
          <w:szCs w:val="17"/>
        </w:rPr>
        <w:t xml:space="preserve"> </w:t>
      </w:r>
      <w:r>
        <w:rPr>
          <w:rFonts w:ascii="Arial" w:hAnsi="Arial" w:cs="Arial"/>
          <w:w w:val="110"/>
          <w:sz w:val="17"/>
          <w:szCs w:val="17"/>
        </w:rPr>
        <w:t>H.</w:t>
      </w:r>
      <w:r>
        <w:rPr>
          <w:rFonts w:ascii="Arial" w:hAnsi="Arial" w:cs="Arial"/>
          <w:spacing w:val="-25"/>
          <w:w w:val="110"/>
          <w:sz w:val="17"/>
          <w:szCs w:val="17"/>
        </w:rPr>
        <w:t xml:space="preserve"> </w:t>
      </w:r>
      <w:r>
        <w:rPr>
          <w:rFonts w:ascii="Arial" w:hAnsi="Arial" w:cs="Arial"/>
          <w:w w:val="110"/>
          <w:sz w:val="17"/>
          <w:szCs w:val="17"/>
        </w:rPr>
        <w:t>2011.A</w:t>
      </w:r>
      <w:r>
        <w:rPr>
          <w:rFonts w:ascii="Arial" w:hAnsi="Arial" w:cs="Arial"/>
          <w:spacing w:val="-14"/>
          <w:w w:val="110"/>
          <w:sz w:val="17"/>
          <w:szCs w:val="17"/>
        </w:rPr>
        <w:t xml:space="preserve"> </w:t>
      </w:r>
      <w:r>
        <w:rPr>
          <w:rFonts w:ascii="Arial" w:hAnsi="Arial" w:cs="Arial"/>
          <w:w w:val="110"/>
          <w:sz w:val="17"/>
          <w:szCs w:val="17"/>
        </w:rPr>
        <w:t>new</w:t>
      </w:r>
      <w:r>
        <w:rPr>
          <w:rFonts w:ascii="Arial" w:hAnsi="Arial" w:cs="Arial"/>
          <w:spacing w:val="-15"/>
          <w:w w:val="110"/>
          <w:sz w:val="17"/>
          <w:szCs w:val="17"/>
        </w:rPr>
        <w:t xml:space="preserve"> </w:t>
      </w:r>
      <w:r>
        <w:rPr>
          <w:rFonts w:ascii="Arial" w:hAnsi="Arial" w:cs="Arial"/>
          <w:w w:val="110"/>
          <w:sz w:val="17"/>
          <w:szCs w:val="17"/>
        </w:rPr>
        <w:t>care</w:t>
      </w:r>
      <w:r>
        <w:rPr>
          <w:rFonts w:ascii="Arial" w:hAnsi="Arial" w:cs="Arial"/>
          <w:spacing w:val="-17"/>
          <w:w w:val="110"/>
          <w:sz w:val="17"/>
          <w:szCs w:val="17"/>
        </w:rPr>
        <w:t xml:space="preserve"> </w:t>
      </w:r>
      <w:r>
        <w:rPr>
          <w:rFonts w:ascii="Arial" w:hAnsi="Arial" w:cs="Arial"/>
          <w:w w:val="110"/>
          <w:sz w:val="17"/>
          <w:szCs w:val="17"/>
        </w:rPr>
        <w:t>paradigm</w:t>
      </w:r>
      <w:r>
        <w:rPr>
          <w:rFonts w:ascii="Arial" w:hAnsi="Arial" w:cs="Arial"/>
          <w:spacing w:val="-23"/>
          <w:w w:val="110"/>
          <w:sz w:val="17"/>
          <w:szCs w:val="17"/>
        </w:rPr>
        <w:t xml:space="preserve"> </w:t>
      </w:r>
      <w:r>
        <w:rPr>
          <w:rFonts w:ascii="Arial" w:hAnsi="Arial" w:cs="Arial"/>
          <w:w w:val="110"/>
          <w:sz w:val="17"/>
          <w:szCs w:val="17"/>
        </w:rPr>
        <w:t>slashes</w:t>
      </w:r>
      <w:r>
        <w:rPr>
          <w:rFonts w:ascii="Arial" w:hAnsi="Arial" w:cs="Arial"/>
          <w:spacing w:val="-11"/>
          <w:w w:val="110"/>
          <w:sz w:val="17"/>
          <w:szCs w:val="17"/>
        </w:rPr>
        <w:t xml:space="preserve"> </w:t>
      </w:r>
      <w:r>
        <w:rPr>
          <w:rFonts w:ascii="Arial" w:hAnsi="Arial" w:cs="Arial"/>
          <w:w w:val="110"/>
          <w:sz w:val="17"/>
          <w:szCs w:val="17"/>
        </w:rPr>
        <w:t>hospital</w:t>
      </w:r>
      <w:r>
        <w:rPr>
          <w:rFonts w:ascii="Arial" w:hAnsi="Arial" w:cs="Arial"/>
          <w:spacing w:val="-22"/>
          <w:w w:val="110"/>
          <w:sz w:val="17"/>
          <w:szCs w:val="17"/>
        </w:rPr>
        <w:t xml:space="preserve"> </w:t>
      </w:r>
      <w:r>
        <w:rPr>
          <w:rFonts w:ascii="Arial" w:hAnsi="Arial" w:cs="Arial"/>
          <w:w w:val="110"/>
          <w:sz w:val="17"/>
          <w:szCs w:val="17"/>
        </w:rPr>
        <w:t>use</w:t>
      </w:r>
      <w:r>
        <w:rPr>
          <w:rFonts w:ascii="Arial" w:hAnsi="Arial" w:cs="Arial"/>
          <w:spacing w:val="-22"/>
          <w:w w:val="110"/>
          <w:sz w:val="17"/>
          <w:szCs w:val="17"/>
        </w:rPr>
        <w:t xml:space="preserve"> </w:t>
      </w:r>
      <w:r>
        <w:rPr>
          <w:rFonts w:ascii="Arial" w:hAnsi="Arial" w:cs="Arial"/>
          <w:w w:val="110"/>
          <w:sz w:val="17"/>
          <w:szCs w:val="17"/>
        </w:rPr>
        <w:t>and</w:t>
      </w:r>
      <w:r>
        <w:rPr>
          <w:rFonts w:ascii="Arial" w:hAnsi="Arial" w:cs="Arial"/>
          <w:spacing w:val="-22"/>
          <w:w w:val="110"/>
          <w:sz w:val="17"/>
          <w:szCs w:val="17"/>
        </w:rPr>
        <w:t xml:space="preserve"> </w:t>
      </w:r>
      <w:r>
        <w:rPr>
          <w:rFonts w:ascii="Arial" w:hAnsi="Arial" w:cs="Arial"/>
          <w:w w:val="110"/>
          <w:sz w:val="17"/>
          <w:szCs w:val="17"/>
        </w:rPr>
        <w:t>nursing</w:t>
      </w:r>
      <w:r>
        <w:rPr>
          <w:rFonts w:ascii="Arial" w:hAnsi="Arial" w:cs="Arial"/>
          <w:spacing w:val="-24"/>
          <w:w w:val="110"/>
          <w:sz w:val="17"/>
          <w:szCs w:val="17"/>
        </w:rPr>
        <w:t xml:space="preserve"> </w:t>
      </w:r>
      <w:r>
        <w:rPr>
          <w:rFonts w:ascii="Arial" w:hAnsi="Arial" w:cs="Arial"/>
          <w:w w:val="110"/>
          <w:sz w:val="17"/>
          <w:szCs w:val="17"/>
        </w:rPr>
        <w:t>home</w:t>
      </w:r>
      <w:r>
        <w:rPr>
          <w:rFonts w:ascii="Arial" w:hAnsi="Arial" w:cs="Arial"/>
          <w:spacing w:val="-24"/>
          <w:w w:val="110"/>
          <w:sz w:val="17"/>
          <w:szCs w:val="17"/>
        </w:rPr>
        <w:t xml:space="preserve"> </w:t>
      </w:r>
      <w:r>
        <w:rPr>
          <w:rFonts w:ascii="Arial" w:hAnsi="Arial" w:cs="Arial"/>
          <w:w w:val="110"/>
          <w:sz w:val="17"/>
          <w:szCs w:val="17"/>
        </w:rPr>
        <w:t>stays</w:t>
      </w:r>
      <w:r>
        <w:rPr>
          <w:rFonts w:ascii="Arial" w:hAnsi="Arial" w:cs="Arial"/>
          <w:spacing w:val="-19"/>
          <w:w w:val="110"/>
          <w:sz w:val="17"/>
          <w:szCs w:val="17"/>
        </w:rPr>
        <w:t xml:space="preserve"> </w:t>
      </w:r>
      <w:r>
        <w:rPr>
          <w:rFonts w:ascii="Arial" w:hAnsi="Arial" w:cs="Arial"/>
          <w:w w:val="110"/>
          <w:sz w:val="17"/>
          <w:szCs w:val="17"/>
        </w:rPr>
        <w:t>for</w:t>
      </w:r>
      <w:r>
        <w:rPr>
          <w:rFonts w:ascii="Arial" w:hAnsi="Arial" w:cs="Arial"/>
          <w:spacing w:val="-14"/>
          <w:w w:val="110"/>
          <w:sz w:val="17"/>
          <w:szCs w:val="17"/>
        </w:rPr>
        <w:t xml:space="preserve"> </w:t>
      </w:r>
      <w:r>
        <w:rPr>
          <w:rFonts w:ascii="Arial" w:hAnsi="Arial" w:cs="Arial"/>
          <w:w w:val="110"/>
          <w:sz w:val="17"/>
          <w:szCs w:val="17"/>
        </w:rPr>
        <w:t>the</w:t>
      </w:r>
      <w:r>
        <w:rPr>
          <w:rFonts w:ascii="Arial" w:hAnsi="Arial" w:cs="Arial"/>
          <w:spacing w:val="-22"/>
          <w:w w:val="110"/>
          <w:sz w:val="17"/>
          <w:szCs w:val="17"/>
        </w:rPr>
        <w:t xml:space="preserve"> </w:t>
      </w:r>
      <w:r>
        <w:rPr>
          <w:rFonts w:ascii="Arial" w:hAnsi="Arial" w:cs="Arial"/>
          <w:w w:val="110"/>
          <w:sz w:val="17"/>
          <w:szCs w:val="17"/>
        </w:rPr>
        <w:t>elderly</w:t>
      </w:r>
      <w:r>
        <w:rPr>
          <w:rFonts w:ascii="Arial" w:hAnsi="Arial" w:cs="Arial"/>
          <w:spacing w:val="-14"/>
          <w:w w:val="110"/>
          <w:sz w:val="17"/>
          <w:szCs w:val="17"/>
        </w:rPr>
        <w:t xml:space="preserve"> </w:t>
      </w:r>
      <w:r>
        <w:rPr>
          <w:rFonts w:ascii="Arial" w:hAnsi="Arial" w:cs="Arial"/>
          <w:w w:val="110"/>
          <w:sz w:val="17"/>
          <w:szCs w:val="17"/>
        </w:rPr>
        <w:t>and</w:t>
      </w:r>
      <w:r>
        <w:rPr>
          <w:rFonts w:ascii="Arial" w:hAnsi="Arial" w:cs="Arial"/>
          <w:spacing w:val="-19"/>
          <w:w w:val="110"/>
          <w:sz w:val="17"/>
          <w:szCs w:val="17"/>
        </w:rPr>
        <w:t xml:space="preserve"> </w:t>
      </w:r>
      <w:r>
        <w:rPr>
          <w:rFonts w:ascii="Arial" w:hAnsi="Arial" w:cs="Arial"/>
          <w:w w:val="110"/>
          <w:sz w:val="17"/>
          <w:szCs w:val="17"/>
        </w:rPr>
        <w:t>the physically</w:t>
      </w:r>
      <w:r>
        <w:rPr>
          <w:rFonts w:ascii="Arial" w:hAnsi="Arial" w:cs="Arial"/>
          <w:spacing w:val="-23"/>
          <w:w w:val="110"/>
          <w:sz w:val="17"/>
          <w:szCs w:val="17"/>
        </w:rPr>
        <w:t xml:space="preserve"> </w:t>
      </w:r>
      <w:r>
        <w:rPr>
          <w:rFonts w:ascii="Arial" w:hAnsi="Arial" w:cs="Arial"/>
          <w:w w:val="110"/>
          <w:sz w:val="17"/>
          <w:szCs w:val="17"/>
        </w:rPr>
        <w:t>and</w:t>
      </w:r>
      <w:r>
        <w:rPr>
          <w:rFonts w:ascii="Arial" w:hAnsi="Arial" w:cs="Arial"/>
          <w:spacing w:val="-24"/>
          <w:w w:val="110"/>
          <w:sz w:val="17"/>
          <w:szCs w:val="17"/>
        </w:rPr>
        <w:t xml:space="preserve"> </w:t>
      </w:r>
      <w:r>
        <w:rPr>
          <w:rFonts w:ascii="Arial" w:hAnsi="Arial" w:cs="Arial"/>
          <w:w w:val="110"/>
          <w:sz w:val="17"/>
          <w:szCs w:val="17"/>
        </w:rPr>
        <w:t>mentally</w:t>
      </w:r>
      <w:r>
        <w:rPr>
          <w:rFonts w:ascii="Arial" w:hAnsi="Arial" w:cs="Arial"/>
          <w:spacing w:val="-25"/>
          <w:w w:val="110"/>
          <w:sz w:val="17"/>
          <w:szCs w:val="17"/>
        </w:rPr>
        <w:t xml:space="preserve"> </w:t>
      </w:r>
      <w:r>
        <w:rPr>
          <w:rFonts w:ascii="Arial" w:hAnsi="Arial" w:cs="Arial"/>
          <w:w w:val="110"/>
          <w:sz w:val="17"/>
          <w:szCs w:val="17"/>
        </w:rPr>
        <w:t>disabled.</w:t>
      </w:r>
      <w:r>
        <w:rPr>
          <w:rFonts w:ascii="Arial" w:hAnsi="Arial" w:cs="Arial"/>
          <w:spacing w:val="-27"/>
          <w:w w:val="110"/>
          <w:sz w:val="17"/>
          <w:szCs w:val="17"/>
        </w:rPr>
        <w:t xml:space="preserve"> </w:t>
      </w:r>
      <w:r>
        <w:rPr>
          <w:rFonts w:ascii="Arial" w:hAnsi="Arial" w:cs="Arial"/>
          <w:i/>
          <w:iCs/>
          <w:w w:val="110"/>
          <w:sz w:val="17"/>
          <w:szCs w:val="17"/>
        </w:rPr>
        <w:t>Health</w:t>
      </w:r>
      <w:r>
        <w:rPr>
          <w:rFonts w:ascii="Arial" w:hAnsi="Arial" w:cs="Arial"/>
          <w:i/>
          <w:iCs/>
          <w:spacing w:val="-35"/>
          <w:w w:val="110"/>
          <w:sz w:val="17"/>
          <w:szCs w:val="17"/>
        </w:rPr>
        <w:t xml:space="preserve"> </w:t>
      </w:r>
      <w:r>
        <w:rPr>
          <w:rFonts w:ascii="Arial" w:hAnsi="Arial" w:cs="Arial"/>
          <w:i/>
          <w:iCs/>
          <w:w w:val="110"/>
          <w:sz w:val="17"/>
          <w:szCs w:val="17"/>
        </w:rPr>
        <w:t>Aft(Millwood),</w:t>
      </w:r>
      <w:r>
        <w:rPr>
          <w:rFonts w:ascii="Arial" w:hAnsi="Arial" w:cs="Arial"/>
          <w:i/>
          <w:iCs/>
          <w:spacing w:val="-29"/>
          <w:w w:val="110"/>
          <w:sz w:val="17"/>
          <w:szCs w:val="17"/>
        </w:rPr>
        <w:t xml:space="preserve"> </w:t>
      </w:r>
      <w:r>
        <w:rPr>
          <w:rFonts w:ascii="Arial" w:hAnsi="Arial" w:cs="Arial"/>
          <w:w w:val="110"/>
          <w:sz w:val="17"/>
          <w:szCs w:val="17"/>
        </w:rPr>
        <w:t>30(3),</w:t>
      </w:r>
      <w:r>
        <w:rPr>
          <w:rFonts w:ascii="Arial" w:hAnsi="Arial" w:cs="Arial"/>
          <w:spacing w:val="-29"/>
          <w:w w:val="110"/>
          <w:sz w:val="17"/>
          <w:szCs w:val="17"/>
        </w:rPr>
        <w:t xml:space="preserve"> </w:t>
      </w:r>
      <w:r>
        <w:rPr>
          <w:rFonts w:ascii="Arial" w:hAnsi="Arial" w:cs="Arial"/>
          <w:w w:val="110"/>
          <w:sz w:val="17"/>
          <w:szCs w:val="17"/>
        </w:rPr>
        <w:t>338-343.</w:t>
      </w:r>
    </w:p>
    <w:p w:rsidR="002C5025" w:rsidRDefault="002C5025">
      <w:pPr>
        <w:pStyle w:val="BodyText"/>
        <w:kinsoku w:val="0"/>
        <w:overflowPunct w:val="0"/>
        <w:spacing w:before="4"/>
        <w:ind w:left="647"/>
        <w:rPr>
          <w:rFonts w:ascii="Times New Roman" w:hAnsi="Times New Roman" w:cs="Times New Roman"/>
          <w:i/>
          <w:iCs/>
          <w:w w:val="110"/>
          <w:sz w:val="18"/>
          <w:szCs w:val="18"/>
        </w:rPr>
      </w:pPr>
      <w:r>
        <w:rPr>
          <w:rFonts w:ascii="Arial" w:hAnsi="Arial" w:cs="Arial"/>
          <w:w w:val="110"/>
          <w:sz w:val="17"/>
          <w:szCs w:val="17"/>
        </w:rPr>
        <w:t xml:space="preserve">' </w:t>
      </w:r>
      <w:proofErr w:type="spellStart"/>
      <w:r>
        <w:rPr>
          <w:rFonts w:ascii="Arial" w:hAnsi="Arial" w:cs="Arial"/>
          <w:w w:val="110"/>
          <w:sz w:val="17"/>
          <w:szCs w:val="17"/>
        </w:rPr>
        <w:t>Feder</w:t>
      </w:r>
      <w:proofErr w:type="spellEnd"/>
      <w:r>
        <w:rPr>
          <w:rFonts w:ascii="Arial" w:hAnsi="Arial" w:cs="Arial"/>
          <w:w w:val="110"/>
          <w:sz w:val="17"/>
          <w:szCs w:val="17"/>
        </w:rPr>
        <w:t xml:space="preserve">, J.L. 2011. Predictive modeling and team care for high-need patients at HealthCare Partners. </w:t>
      </w:r>
      <w:r>
        <w:rPr>
          <w:rFonts w:ascii="Arial" w:hAnsi="Arial" w:cs="Arial"/>
          <w:i/>
          <w:iCs/>
          <w:w w:val="110"/>
          <w:sz w:val="17"/>
          <w:szCs w:val="17"/>
        </w:rPr>
        <w:t xml:space="preserve">Health </w:t>
      </w:r>
      <w:r>
        <w:rPr>
          <w:rFonts w:ascii="Times New Roman" w:hAnsi="Times New Roman" w:cs="Times New Roman"/>
          <w:i/>
          <w:iCs/>
          <w:w w:val="110"/>
          <w:sz w:val="18"/>
          <w:szCs w:val="18"/>
        </w:rPr>
        <w:t>Aft</w:t>
      </w:r>
    </w:p>
    <w:p w:rsidR="002C5025" w:rsidRDefault="002C5025">
      <w:pPr>
        <w:pStyle w:val="BodyText"/>
        <w:kinsoku w:val="0"/>
        <w:overflowPunct w:val="0"/>
        <w:spacing w:before="41"/>
        <w:ind w:left="650" w:right="289"/>
        <w:rPr>
          <w:rFonts w:ascii="Arial" w:hAnsi="Arial" w:cs="Arial"/>
          <w:w w:val="110"/>
          <w:sz w:val="17"/>
          <w:szCs w:val="17"/>
        </w:rPr>
      </w:pPr>
      <w:r>
        <w:rPr>
          <w:rFonts w:ascii="Arial" w:hAnsi="Arial" w:cs="Arial"/>
          <w:i/>
          <w:iCs/>
          <w:w w:val="110"/>
          <w:sz w:val="17"/>
          <w:szCs w:val="17"/>
        </w:rPr>
        <w:t xml:space="preserve">(Millwood}, </w:t>
      </w:r>
      <w:r>
        <w:rPr>
          <w:rFonts w:ascii="Arial" w:hAnsi="Arial" w:cs="Arial"/>
          <w:w w:val="110"/>
          <w:sz w:val="17"/>
          <w:szCs w:val="17"/>
        </w:rPr>
        <w:t>30(3), 416-418</w:t>
      </w:r>
    </w:p>
    <w:p w:rsidR="002C5025" w:rsidRDefault="002C5025">
      <w:pPr>
        <w:pStyle w:val="BodyText"/>
        <w:kinsoku w:val="0"/>
        <w:overflowPunct w:val="0"/>
        <w:spacing w:before="56" w:line="288" w:lineRule="auto"/>
        <w:ind w:left="650" w:right="289" w:hanging="56"/>
        <w:rPr>
          <w:rFonts w:ascii="Arial" w:hAnsi="Arial" w:cs="Arial"/>
          <w:w w:val="105"/>
          <w:sz w:val="17"/>
          <w:szCs w:val="17"/>
        </w:rPr>
      </w:pPr>
      <w:r>
        <w:rPr>
          <w:rFonts w:ascii="Arial" w:hAnsi="Arial" w:cs="Arial"/>
          <w:w w:val="105"/>
          <w:sz w:val="17"/>
          <w:szCs w:val="17"/>
        </w:rPr>
        <w:t xml:space="preserve">' </w:t>
      </w:r>
      <w:proofErr w:type="spellStart"/>
      <w:r>
        <w:rPr>
          <w:rFonts w:ascii="Arial" w:hAnsi="Arial" w:cs="Arial"/>
          <w:w w:val="105"/>
          <w:sz w:val="17"/>
          <w:szCs w:val="17"/>
        </w:rPr>
        <w:t>Pronk</w:t>
      </w:r>
      <w:proofErr w:type="spellEnd"/>
      <w:r>
        <w:rPr>
          <w:rFonts w:ascii="Arial" w:hAnsi="Arial" w:cs="Arial"/>
          <w:w w:val="105"/>
          <w:sz w:val="17"/>
          <w:szCs w:val="17"/>
        </w:rPr>
        <w:t xml:space="preserve">, </w:t>
      </w:r>
      <w:proofErr w:type="spellStart"/>
      <w:r>
        <w:rPr>
          <w:rFonts w:ascii="Arial" w:hAnsi="Arial" w:cs="Arial"/>
          <w:w w:val="105"/>
          <w:sz w:val="17"/>
          <w:szCs w:val="17"/>
        </w:rPr>
        <w:t>N.P.,Goodman</w:t>
      </w:r>
      <w:proofErr w:type="spellEnd"/>
      <w:r>
        <w:rPr>
          <w:rFonts w:ascii="Arial" w:hAnsi="Arial" w:cs="Arial"/>
          <w:w w:val="105"/>
          <w:sz w:val="17"/>
          <w:szCs w:val="17"/>
        </w:rPr>
        <w:t xml:space="preserve">, </w:t>
      </w:r>
      <w:proofErr w:type="spellStart"/>
      <w:r>
        <w:rPr>
          <w:rFonts w:ascii="Arial" w:hAnsi="Arial" w:cs="Arial"/>
          <w:w w:val="105"/>
          <w:sz w:val="17"/>
          <w:szCs w:val="17"/>
        </w:rPr>
        <w:t>M.J.,O'Connor</w:t>
      </w:r>
      <w:proofErr w:type="spellEnd"/>
      <w:r>
        <w:rPr>
          <w:rFonts w:ascii="Arial" w:hAnsi="Arial" w:cs="Arial"/>
          <w:w w:val="105"/>
          <w:sz w:val="17"/>
          <w:szCs w:val="17"/>
        </w:rPr>
        <w:t xml:space="preserve"> P.J. and Martinson, B.C. 1999. Relationship between modifiable health risks and short term health care charges. </w:t>
      </w:r>
      <w:r>
        <w:rPr>
          <w:rFonts w:ascii="Arial" w:hAnsi="Arial" w:cs="Arial"/>
          <w:i/>
          <w:iCs/>
          <w:w w:val="105"/>
          <w:sz w:val="17"/>
          <w:szCs w:val="17"/>
        </w:rPr>
        <w:t xml:space="preserve">JAMA. </w:t>
      </w:r>
      <w:r>
        <w:rPr>
          <w:rFonts w:ascii="Arial" w:hAnsi="Arial" w:cs="Arial"/>
          <w:w w:val="105"/>
          <w:sz w:val="17"/>
          <w:szCs w:val="17"/>
        </w:rPr>
        <w:t>282(23), 2235-2239</w:t>
      </w:r>
    </w:p>
    <w:p w:rsidR="002C5025" w:rsidRDefault="002C5025">
      <w:pPr>
        <w:pStyle w:val="BodyText"/>
        <w:kinsoku w:val="0"/>
        <w:overflowPunct w:val="0"/>
        <w:spacing w:before="6"/>
        <w:ind w:left="635"/>
        <w:rPr>
          <w:rFonts w:ascii="Arial" w:hAnsi="Arial" w:cs="Arial"/>
          <w:b/>
          <w:bCs/>
          <w:w w:val="95"/>
          <w:sz w:val="18"/>
          <w:szCs w:val="18"/>
        </w:rPr>
      </w:pPr>
      <w:r>
        <w:rPr>
          <w:rFonts w:ascii="Times New Roman" w:hAnsi="Times New Roman" w:cs="Times New Roman"/>
          <w:w w:val="95"/>
          <w:sz w:val="13"/>
          <w:szCs w:val="13"/>
        </w:rPr>
        <w:t xml:space="preserve">xiii </w:t>
      </w:r>
      <w:r>
        <w:rPr>
          <w:rFonts w:ascii="Arial" w:hAnsi="Arial" w:cs="Arial"/>
          <w:b/>
          <w:bCs/>
          <w:w w:val="95"/>
          <w:sz w:val="18"/>
          <w:szCs w:val="18"/>
        </w:rPr>
        <w:t xml:space="preserve">Herman, W.H., Edelstein, S., Ratner, R., Montez, M., Ackermann, R., Orchard, T., Foulkes, M., Zhang, P., </w:t>
      </w:r>
      <w:proofErr w:type="spellStart"/>
      <w:r>
        <w:rPr>
          <w:rFonts w:ascii="Arial" w:hAnsi="Arial" w:cs="Arial"/>
          <w:b/>
          <w:bCs/>
          <w:w w:val="95"/>
          <w:sz w:val="18"/>
          <w:szCs w:val="18"/>
        </w:rPr>
        <w:t>Saudek</w:t>
      </w:r>
      <w:proofErr w:type="spellEnd"/>
      <w:r>
        <w:rPr>
          <w:rFonts w:ascii="Arial" w:hAnsi="Arial" w:cs="Arial"/>
          <w:b/>
          <w:bCs/>
          <w:w w:val="95"/>
          <w:sz w:val="18"/>
          <w:szCs w:val="18"/>
        </w:rPr>
        <w:t>,</w:t>
      </w:r>
    </w:p>
    <w:p w:rsidR="002C5025" w:rsidRDefault="002C5025">
      <w:pPr>
        <w:pStyle w:val="BodyText"/>
        <w:kinsoku w:val="0"/>
        <w:overflowPunct w:val="0"/>
        <w:spacing w:before="52"/>
        <w:ind w:left="643"/>
        <w:rPr>
          <w:rFonts w:ascii="Arial" w:hAnsi="Arial" w:cs="Arial"/>
          <w:w w:val="105"/>
          <w:sz w:val="17"/>
          <w:szCs w:val="17"/>
        </w:rPr>
      </w:pPr>
      <w:r>
        <w:rPr>
          <w:rFonts w:ascii="Arial" w:hAnsi="Arial" w:cs="Arial"/>
          <w:w w:val="105"/>
          <w:sz w:val="17"/>
          <w:szCs w:val="17"/>
        </w:rPr>
        <w:t>C., and Brown, M. 2013. Effectiveness and cost-effectiveness of diabetes prevention among adherent participants.</w:t>
      </w:r>
    </w:p>
    <w:p w:rsidR="002C5025" w:rsidRDefault="002C5025">
      <w:pPr>
        <w:pStyle w:val="BodyText"/>
        <w:kinsoku w:val="0"/>
        <w:overflowPunct w:val="0"/>
        <w:spacing w:before="39"/>
        <w:ind w:left="621" w:right="289"/>
        <w:rPr>
          <w:rFonts w:ascii="Arial" w:hAnsi="Arial" w:cs="Arial"/>
          <w:w w:val="105"/>
          <w:sz w:val="17"/>
          <w:szCs w:val="17"/>
        </w:rPr>
      </w:pPr>
      <w:r>
        <w:rPr>
          <w:rFonts w:ascii="Arial" w:hAnsi="Arial" w:cs="Arial"/>
          <w:i/>
          <w:iCs/>
          <w:w w:val="105"/>
          <w:sz w:val="17"/>
          <w:szCs w:val="17"/>
        </w:rPr>
        <w:t xml:space="preserve">Am J </w:t>
      </w:r>
      <w:proofErr w:type="spellStart"/>
      <w:r>
        <w:rPr>
          <w:rFonts w:ascii="Arial" w:hAnsi="Arial" w:cs="Arial"/>
          <w:i/>
          <w:iCs/>
          <w:w w:val="105"/>
          <w:sz w:val="17"/>
          <w:szCs w:val="17"/>
        </w:rPr>
        <w:t>Manag</w:t>
      </w:r>
      <w:proofErr w:type="spellEnd"/>
      <w:r>
        <w:rPr>
          <w:rFonts w:ascii="Arial" w:hAnsi="Arial" w:cs="Arial"/>
          <w:i/>
          <w:iCs/>
          <w:w w:val="105"/>
          <w:sz w:val="17"/>
          <w:szCs w:val="17"/>
        </w:rPr>
        <w:t xml:space="preserve"> Care </w:t>
      </w:r>
      <w:r>
        <w:rPr>
          <w:rFonts w:ascii="Arial" w:hAnsi="Arial" w:cs="Arial"/>
          <w:w w:val="105"/>
          <w:sz w:val="17"/>
          <w:szCs w:val="17"/>
        </w:rPr>
        <w:t>19(3)  194-202</w:t>
      </w:r>
    </w:p>
    <w:p w:rsidR="002C5025" w:rsidRDefault="002C5025">
      <w:pPr>
        <w:pStyle w:val="BodyText"/>
        <w:kinsoku w:val="0"/>
        <w:overflowPunct w:val="0"/>
        <w:spacing w:before="47"/>
        <w:ind w:left="628"/>
        <w:rPr>
          <w:rFonts w:ascii="Arial" w:hAnsi="Arial" w:cs="Arial"/>
          <w:b/>
          <w:bCs/>
          <w:w w:val="95"/>
          <w:sz w:val="18"/>
          <w:szCs w:val="18"/>
        </w:rPr>
      </w:pPr>
      <w:r>
        <w:rPr>
          <w:rFonts w:ascii="Times New Roman" w:hAnsi="Times New Roman" w:cs="Times New Roman"/>
          <w:b/>
          <w:bCs/>
          <w:w w:val="95"/>
          <w:sz w:val="13"/>
          <w:szCs w:val="13"/>
        </w:rPr>
        <w:t xml:space="preserve">xiv </w:t>
      </w:r>
      <w:proofErr w:type="spellStart"/>
      <w:r>
        <w:rPr>
          <w:rFonts w:ascii="Arial" w:hAnsi="Arial" w:cs="Arial"/>
          <w:b/>
          <w:bCs/>
          <w:w w:val="95"/>
          <w:sz w:val="18"/>
          <w:szCs w:val="18"/>
        </w:rPr>
        <w:t>Umpierre</w:t>
      </w:r>
      <w:proofErr w:type="spellEnd"/>
      <w:r>
        <w:rPr>
          <w:rFonts w:ascii="Arial" w:hAnsi="Arial" w:cs="Arial"/>
          <w:b/>
          <w:bCs/>
          <w:w w:val="95"/>
          <w:sz w:val="18"/>
          <w:szCs w:val="18"/>
        </w:rPr>
        <w:t xml:space="preserve">, D., Ribeiro, P., Kramer, C., </w:t>
      </w:r>
      <w:proofErr w:type="spellStart"/>
      <w:r>
        <w:rPr>
          <w:rFonts w:ascii="Arial" w:hAnsi="Arial" w:cs="Arial"/>
          <w:b/>
          <w:bCs/>
          <w:w w:val="95"/>
          <w:sz w:val="18"/>
          <w:szCs w:val="18"/>
        </w:rPr>
        <w:t>Leitao</w:t>
      </w:r>
      <w:proofErr w:type="spellEnd"/>
      <w:r>
        <w:rPr>
          <w:rFonts w:ascii="Arial" w:hAnsi="Arial" w:cs="Arial"/>
          <w:b/>
          <w:bCs/>
          <w:w w:val="95"/>
          <w:sz w:val="18"/>
          <w:szCs w:val="18"/>
        </w:rPr>
        <w:t xml:space="preserve">, C., </w:t>
      </w:r>
      <w:proofErr w:type="spellStart"/>
      <w:r>
        <w:rPr>
          <w:rFonts w:ascii="Arial" w:hAnsi="Arial" w:cs="Arial"/>
          <w:b/>
          <w:bCs/>
          <w:w w:val="95"/>
          <w:sz w:val="18"/>
          <w:szCs w:val="18"/>
        </w:rPr>
        <w:t>Zucatti</w:t>
      </w:r>
      <w:proofErr w:type="spellEnd"/>
      <w:r>
        <w:rPr>
          <w:rFonts w:ascii="Arial" w:hAnsi="Arial" w:cs="Arial"/>
          <w:b/>
          <w:bCs/>
          <w:w w:val="95"/>
          <w:sz w:val="18"/>
          <w:szCs w:val="18"/>
        </w:rPr>
        <w:t xml:space="preserve">, A., </w:t>
      </w:r>
      <w:proofErr w:type="spellStart"/>
      <w:r>
        <w:rPr>
          <w:rFonts w:ascii="Arial" w:hAnsi="Arial" w:cs="Arial"/>
          <w:b/>
          <w:bCs/>
          <w:w w:val="95"/>
          <w:sz w:val="18"/>
          <w:szCs w:val="18"/>
        </w:rPr>
        <w:t>Azevedo</w:t>
      </w:r>
      <w:proofErr w:type="spellEnd"/>
      <w:r>
        <w:rPr>
          <w:rFonts w:ascii="Arial" w:hAnsi="Arial" w:cs="Arial"/>
          <w:b/>
          <w:bCs/>
          <w:w w:val="95"/>
          <w:sz w:val="18"/>
          <w:szCs w:val="18"/>
        </w:rPr>
        <w:t xml:space="preserve">, M., Gross, </w:t>
      </w:r>
      <w:r>
        <w:rPr>
          <w:rFonts w:ascii="Times New Roman" w:hAnsi="Times New Roman" w:cs="Times New Roman"/>
          <w:b/>
          <w:bCs/>
          <w:w w:val="95"/>
          <w:sz w:val="18"/>
          <w:szCs w:val="18"/>
        </w:rPr>
        <w:t xml:space="preserve">J., </w:t>
      </w:r>
      <w:r>
        <w:rPr>
          <w:rFonts w:ascii="Arial" w:hAnsi="Arial" w:cs="Arial"/>
          <w:b/>
          <w:bCs/>
          <w:w w:val="95"/>
          <w:sz w:val="18"/>
          <w:szCs w:val="18"/>
        </w:rPr>
        <w:t xml:space="preserve">Ribeiro, </w:t>
      </w:r>
      <w:r>
        <w:rPr>
          <w:rFonts w:ascii="Arial" w:hAnsi="Arial" w:cs="Arial"/>
          <w:b/>
          <w:bCs/>
          <w:w w:val="95"/>
          <w:sz w:val="17"/>
          <w:szCs w:val="17"/>
        </w:rPr>
        <w:t xml:space="preserve">J., </w:t>
      </w:r>
      <w:r>
        <w:rPr>
          <w:rFonts w:ascii="Arial" w:hAnsi="Arial" w:cs="Arial"/>
          <w:b/>
          <w:bCs/>
          <w:w w:val="95"/>
          <w:sz w:val="18"/>
          <w:szCs w:val="18"/>
        </w:rPr>
        <w:t xml:space="preserve">and </w:t>
      </w:r>
      <w:proofErr w:type="spellStart"/>
      <w:r>
        <w:rPr>
          <w:rFonts w:ascii="Arial" w:hAnsi="Arial" w:cs="Arial"/>
          <w:b/>
          <w:bCs/>
          <w:w w:val="95"/>
          <w:sz w:val="18"/>
          <w:szCs w:val="18"/>
        </w:rPr>
        <w:t>Schaan</w:t>
      </w:r>
      <w:proofErr w:type="spellEnd"/>
      <w:r>
        <w:rPr>
          <w:rFonts w:ascii="Arial" w:hAnsi="Arial" w:cs="Arial"/>
          <w:b/>
          <w:bCs/>
          <w:w w:val="95"/>
          <w:sz w:val="18"/>
          <w:szCs w:val="18"/>
        </w:rPr>
        <w:t>, B.</w:t>
      </w:r>
    </w:p>
    <w:p w:rsidR="002C5025" w:rsidRDefault="002C5025">
      <w:pPr>
        <w:pStyle w:val="BodyText"/>
        <w:kinsoku w:val="0"/>
        <w:overflowPunct w:val="0"/>
        <w:spacing w:before="39"/>
        <w:ind w:left="635" w:right="289"/>
        <w:rPr>
          <w:rFonts w:ascii="Arial" w:hAnsi="Arial" w:cs="Arial"/>
          <w:w w:val="110"/>
          <w:sz w:val="17"/>
          <w:szCs w:val="17"/>
        </w:rPr>
      </w:pPr>
      <w:r>
        <w:rPr>
          <w:rFonts w:ascii="Arial" w:hAnsi="Arial" w:cs="Arial"/>
          <w:i/>
          <w:iCs/>
          <w:w w:val="110"/>
          <w:sz w:val="17"/>
          <w:szCs w:val="17"/>
        </w:rPr>
        <w:t xml:space="preserve">2011.JAMA </w:t>
      </w:r>
      <w:r>
        <w:rPr>
          <w:rFonts w:ascii="Arial" w:hAnsi="Arial" w:cs="Arial"/>
          <w:w w:val="110"/>
          <w:sz w:val="17"/>
          <w:szCs w:val="17"/>
        </w:rPr>
        <w:t>305(17) 1790-1799</w:t>
      </w:r>
    </w:p>
    <w:p w:rsidR="002C5025" w:rsidRDefault="002C5025">
      <w:pPr>
        <w:pStyle w:val="BodyText"/>
        <w:kinsoku w:val="0"/>
        <w:overflowPunct w:val="0"/>
        <w:spacing w:before="59" w:line="288" w:lineRule="auto"/>
        <w:ind w:left="628" w:right="289" w:firstLine="170"/>
        <w:rPr>
          <w:rFonts w:ascii="Arial" w:hAnsi="Arial" w:cs="Arial"/>
          <w:sz w:val="17"/>
          <w:szCs w:val="17"/>
        </w:rPr>
      </w:pPr>
      <w:r>
        <w:rPr>
          <w:rFonts w:ascii="Arial" w:hAnsi="Arial" w:cs="Arial"/>
          <w:sz w:val="17"/>
          <w:szCs w:val="17"/>
        </w:rPr>
        <w:t xml:space="preserve">Rasmussen, S., Prescott, </w:t>
      </w:r>
      <w:proofErr w:type="spellStart"/>
      <w:r>
        <w:rPr>
          <w:rFonts w:ascii="Arial" w:hAnsi="Arial" w:cs="Arial"/>
          <w:sz w:val="17"/>
          <w:szCs w:val="17"/>
        </w:rPr>
        <w:t>E.,Sorenson</w:t>
      </w:r>
      <w:proofErr w:type="spellEnd"/>
      <w:r>
        <w:rPr>
          <w:rFonts w:ascii="Arial" w:hAnsi="Arial" w:cs="Arial"/>
          <w:sz w:val="17"/>
          <w:szCs w:val="17"/>
        </w:rPr>
        <w:t xml:space="preserve">, </w:t>
      </w:r>
      <w:proofErr w:type="spellStart"/>
      <w:r>
        <w:rPr>
          <w:rFonts w:ascii="Arial" w:hAnsi="Arial" w:cs="Arial"/>
          <w:sz w:val="17"/>
          <w:szCs w:val="17"/>
        </w:rPr>
        <w:t>T.,and</w:t>
      </w:r>
      <w:proofErr w:type="spellEnd"/>
      <w:r>
        <w:rPr>
          <w:rFonts w:ascii="Arial" w:hAnsi="Arial" w:cs="Arial"/>
          <w:sz w:val="17"/>
          <w:szCs w:val="17"/>
        </w:rPr>
        <w:t xml:space="preserve"> </w:t>
      </w:r>
      <w:proofErr w:type="spellStart"/>
      <w:r>
        <w:rPr>
          <w:rFonts w:ascii="Arial" w:hAnsi="Arial" w:cs="Arial"/>
          <w:sz w:val="17"/>
          <w:szCs w:val="17"/>
        </w:rPr>
        <w:t>Sogaard</w:t>
      </w:r>
      <w:proofErr w:type="spellEnd"/>
      <w:r>
        <w:rPr>
          <w:rFonts w:ascii="Arial" w:hAnsi="Arial" w:cs="Arial"/>
          <w:sz w:val="17"/>
          <w:szCs w:val="17"/>
        </w:rPr>
        <w:t xml:space="preserve">, J. 200S. The total lifetime health cost savings of smoking cessation.  </w:t>
      </w:r>
      <w:proofErr w:type="spellStart"/>
      <w:r>
        <w:rPr>
          <w:rFonts w:ascii="Arial" w:hAnsi="Arial" w:cs="Arial"/>
          <w:i/>
          <w:iCs/>
          <w:sz w:val="17"/>
          <w:szCs w:val="17"/>
        </w:rPr>
        <w:t>Eur</w:t>
      </w:r>
      <w:proofErr w:type="spellEnd"/>
      <w:r>
        <w:rPr>
          <w:rFonts w:ascii="Arial" w:hAnsi="Arial" w:cs="Arial"/>
          <w:i/>
          <w:iCs/>
          <w:sz w:val="17"/>
          <w:szCs w:val="17"/>
        </w:rPr>
        <w:t xml:space="preserve"> J Pub Health  </w:t>
      </w:r>
      <w:r>
        <w:rPr>
          <w:rFonts w:ascii="Arial" w:hAnsi="Arial" w:cs="Arial"/>
          <w:sz w:val="17"/>
          <w:szCs w:val="17"/>
        </w:rPr>
        <w:t>15(6),  601-606</w:t>
      </w:r>
    </w:p>
    <w:p w:rsidR="002C5025" w:rsidRDefault="002C5025">
      <w:pPr>
        <w:pStyle w:val="BodyText"/>
        <w:kinsoku w:val="0"/>
        <w:overflowPunct w:val="0"/>
        <w:spacing w:before="9"/>
        <w:ind w:left="621"/>
        <w:rPr>
          <w:rFonts w:ascii="Arial" w:hAnsi="Arial" w:cs="Arial"/>
          <w:b/>
          <w:bCs/>
          <w:w w:val="95"/>
          <w:sz w:val="18"/>
          <w:szCs w:val="18"/>
        </w:rPr>
      </w:pPr>
      <w:r>
        <w:rPr>
          <w:rFonts w:ascii="Times New Roman" w:hAnsi="Times New Roman" w:cs="Times New Roman"/>
          <w:b/>
          <w:bCs/>
          <w:w w:val="95"/>
          <w:sz w:val="13"/>
          <w:szCs w:val="13"/>
        </w:rPr>
        <w:t xml:space="preserve">xvi </w:t>
      </w:r>
      <w:proofErr w:type="spellStart"/>
      <w:r>
        <w:rPr>
          <w:rFonts w:ascii="Arial" w:hAnsi="Arial" w:cs="Arial"/>
          <w:b/>
          <w:bCs/>
          <w:w w:val="95"/>
          <w:sz w:val="18"/>
          <w:szCs w:val="18"/>
        </w:rPr>
        <w:t>Menzin</w:t>
      </w:r>
      <w:proofErr w:type="spellEnd"/>
      <w:r>
        <w:rPr>
          <w:rFonts w:ascii="Arial" w:hAnsi="Arial" w:cs="Arial"/>
          <w:b/>
          <w:bCs/>
          <w:w w:val="95"/>
          <w:sz w:val="18"/>
          <w:szCs w:val="18"/>
        </w:rPr>
        <w:t xml:space="preserve">, </w:t>
      </w:r>
      <w:r>
        <w:rPr>
          <w:rFonts w:ascii="Times New Roman" w:hAnsi="Times New Roman" w:cs="Times New Roman"/>
          <w:b/>
          <w:bCs/>
          <w:w w:val="95"/>
          <w:sz w:val="18"/>
          <w:szCs w:val="18"/>
        </w:rPr>
        <w:t xml:space="preserve">J., </w:t>
      </w:r>
      <w:r>
        <w:rPr>
          <w:rFonts w:ascii="Arial" w:hAnsi="Arial" w:cs="Arial"/>
          <w:b/>
          <w:bCs/>
          <w:w w:val="95"/>
          <w:sz w:val="18"/>
          <w:szCs w:val="18"/>
        </w:rPr>
        <w:t xml:space="preserve">Lines, L., and </w:t>
      </w:r>
      <w:proofErr w:type="spellStart"/>
      <w:r>
        <w:rPr>
          <w:rFonts w:ascii="Arial" w:hAnsi="Arial" w:cs="Arial"/>
          <w:b/>
          <w:bCs/>
          <w:w w:val="95"/>
          <w:sz w:val="18"/>
          <w:szCs w:val="18"/>
        </w:rPr>
        <w:t>Marton</w:t>
      </w:r>
      <w:proofErr w:type="spellEnd"/>
      <w:r>
        <w:rPr>
          <w:rFonts w:ascii="Arial" w:hAnsi="Arial" w:cs="Arial"/>
          <w:b/>
          <w:bCs/>
          <w:w w:val="95"/>
          <w:sz w:val="18"/>
          <w:szCs w:val="18"/>
        </w:rPr>
        <w:t xml:space="preserve">, </w:t>
      </w:r>
      <w:r>
        <w:rPr>
          <w:rFonts w:ascii="Times New Roman" w:hAnsi="Times New Roman" w:cs="Times New Roman"/>
          <w:b/>
          <w:bCs/>
          <w:w w:val="95"/>
          <w:sz w:val="18"/>
          <w:szCs w:val="18"/>
        </w:rPr>
        <w:t xml:space="preserve">J. </w:t>
      </w:r>
      <w:r>
        <w:rPr>
          <w:rFonts w:ascii="Arial" w:hAnsi="Arial" w:cs="Arial"/>
          <w:b/>
          <w:bCs/>
          <w:w w:val="95"/>
          <w:sz w:val="18"/>
          <w:szCs w:val="18"/>
        </w:rPr>
        <w:t>2009. Estimating the short-term clinical and economic benefits of smoking</w:t>
      </w:r>
    </w:p>
    <w:p w:rsidR="002C5025" w:rsidRDefault="002C5025">
      <w:pPr>
        <w:pStyle w:val="BodyText"/>
        <w:kinsoku w:val="0"/>
        <w:overflowPunct w:val="0"/>
        <w:spacing w:before="46"/>
        <w:ind w:left="628" w:right="289"/>
        <w:rPr>
          <w:rFonts w:ascii="Arial" w:hAnsi="Arial" w:cs="Arial"/>
          <w:w w:val="105"/>
          <w:sz w:val="17"/>
          <w:szCs w:val="17"/>
        </w:rPr>
      </w:pPr>
      <w:r>
        <w:rPr>
          <w:rFonts w:ascii="Arial" w:hAnsi="Arial" w:cs="Arial"/>
          <w:w w:val="105"/>
          <w:sz w:val="17"/>
          <w:szCs w:val="17"/>
        </w:rPr>
        <w:t xml:space="preserve">cessation: do we have it right? </w:t>
      </w:r>
      <w:r>
        <w:rPr>
          <w:rFonts w:ascii="Arial" w:hAnsi="Arial" w:cs="Arial"/>
          <w:i/>
          <w:iCs/>
          <w:w w:val="105"/>
          <w:sz w:val="17"/>
          <w:szCs w:val="17"/>
        </w:rPr>
        <w:t xml:space="preserve">Expert Rev </w:t>
      </w:r>
      <w:proofErr w:type="spellStart"/>
      <w:r>
        <w:rPr>
          <w:rFonts w:ascii="Arial" w:hAnsi="Arial" w:cs="Arial"/>
          <w:i/>
          <w:iCs/>
          <w:w w:val="105"/>
          <w:sz w:val="17"/>
          <w:szCs w:val="17"/>
        </w:rPr>
        <w:t>Pharmacoeconomics</w:t>
      </w:r>
      <w:proofErr w:type="spellEnd"/>
      <w:r>
        <w:rPr>
          <w:rFonts w:ascii="Arial" w:hAnsi="Arial" w:cs="Arial"/>
          <w:i/>
          <w:iCs/>
          <w:w w:val="105"/>
          <w:sz w:val="17"/>
          <w:szCs w:val="17"/>
        </w:rPr>
        <w:t xml:space="preserve"> Outcomes Res </w:t>
      </w:r>
      <w:r>
        <w:rPr>
          <w:rFonts w:ascii="Arial" w:hAnsi="Arial" w:cs="Arial"/>
          <w:w w:val="105"/>
          <w:sz w:val="17"/>
          <w:szCs w:val="17"/>
        </w:rPr>
        <w:t>9(3), 257-264</w:t>
      </w:r>
    </w:p>
    <w:p w:rsidR="002C5025" w:rsidRDefault="002C5025">
      <w:pPr>
        <w:pStyle w:val="BodyText"/>
        <w:kinsoku w:val="0"/>
        <w:overflowPunct w:val="0"/>
        <w:spacing w:before="49" w:line="295" w:lineRule="auto"/>
        <w:ind w:left="614" w:right="289" w:firstLine="249"/>
        <w:rPr>
          <w:rFonts w:ascii="Arial" w:hAnsi="Arial" w:cs="Arial"/>
          <w:b/>
          <w:bCs/>
          <w:spacing w:val="-2"/>
          <w:w w:val="95"/>
          <w:sz w:val="18"/>
          <w:szCs w:val="18"/>
        </w:rPr>
      </w:pPr>
      <w:r>
        <w:rPr>
          <w:rFonts w:ascii="Arial" w:hAnsi="Arial" w:cs="Arial"/>
          <w:sz w:val="17"/>
          <w:szCs w:val="17"/>
        </w:rPr>
        <w:t xml:space="preserve">Martinson,  </w:t>
      </w:r>
      <w:r>
        <w:rPr>
          <w:rFonts w:ascii="Arial" w:hAnsi="Arial" w:cs="Arial"/>
          <w:spacing w:val="-3"/>
          <w:sz w:val="17"/>
          <w:szCs w:val="17"/>
        </w:rPr>
        <w:t xml:space="preserve">B.C., </w:t>
      </w:r>
      <w:r>
        <w:rPr>
          <w:rFonts w:ascii="Arial" w:hAnsi="Arial" w:cs="Arial"/>
          <w:sz w:val="17"/>
          <w:szCs w:val="17"/>
        </w:rPr>
        <w:t xml:space="preserve">Crain, A.L.,  </w:t>
      </w:r>
      <w:proofErr w:type="spellStart"/>
      <w:r>
        <w:rPr>
          <w:rFonts w:ascii="Arial" w:hAnsi="Arial" w:cs="Arial"/>
          <w:sz w:val="17"/>
          <w:szCs w:val="17"/>
        </w:rPr>
        <w:t>Pronk</w:t>
      </w:r>
      <w:proofErr w:type="spellEnd"/>
      <w:r>
        <w:rPr>
          <w:rFonts w:ascii="Arial" w:hAnsi="Arial" w:cs="Arial"/>
          <w:sz w:val="17"/>
          <w:szCs w:val="17"/>
        </w:rPr>
        <w:t xml:space="preserve">, N.P., O'Connor  </w:t>
      </w:r>
      <w:proofErr w:type="spellStart"/>
      <w:r>
        <w:rPr>
          <w:rFonts w:ascii="Arial" w:hAnsi="Arial" w:cs="Arial"/>
          <w:sz w:val="17"/>
          <w:szCs w:val="17"/>
        </w:rPr>
        <w:t>P.J.,and</w:t>
      </w:r>
      <w:proofErr w:type="spellEnd"/>
      <w:r>
        <w:rPr>
          <w:rFonts w:ascii="Arial" w:hAnsi="Arial" w:cs="Arial"/>
          <w:sz w:val="17"/>
          <w:szCs w:val="17"/>
        </w:rPr>
        <w:t xml:space="preserve"> </w:t>
      </w:r>
      <w:proofErr w:type="spellStart"/>
      <w:r>
        <w:rPr>
          <w:rFonts w:ascii="Arial" w:hAnsi="Arial" w:cs="Arial"/>
          <w:sz w:val="17"/>
          <w:szCs w:val="17"/>
        </w:rPr>
        <w:t>Maciosek</w:t>
      </w:r>
      <w:proofErr w:type="spellEnd"/>
      <w:r>
        <w:rPr>
          <w:rFonts w:ascii="Arial" w:hAnsi="Arial" w:cs="Arial"/>
          <w:sz w:val="17"/>
          <w:szCs w:val="17"/>
        </w:rPr>
        <w:t xml:space="preserve">,, M.V. 2003. Changes in physical activity   and short term changes in health care charges: a prospective cohort study of older adults. </w:t>
      </w:r>
      <w:proofErr w:type="spellStart"/>
      <w:r>
        <w:rPr>
          <w:rFonts w:ascii="Arial" w:hAnsi="Arial" w:cs="Arial"/>
          <w:i/>
          <w:iCs/>
          <w:sz w:val="17"/>
          <w:szCs w:val="17"/>
        </w:rPr>
        <w:t>Prev</w:t>
      </w:r>
      <w:proofErr w:type="spellEnd"/>
      <w:r>
        <w:rPr>
          <w:rFonts w:ascii="Arial" w:hAnsi="Arial" w:cs="Arial"/>
          <w:i/>
          <w:iCs/>
          <w:sz w:val="17"/>
          <w:szCs w:val="17"/>
        </w:rPr>
        <w:t xml:space="preserve"> Med </w:t>
      </w:r>
      <w:r>
        <w:rPr>
          <w:rFonts w:ascii="Arial" w:hAnsi="Arial" w:cs="Arial"/>
          <w:sz w:val="17"/>
          <w:szCs w:val="17"/>
        </w:rPr>
        <w:t xml:space="preserve">37(4) </w:t>
      </w:r>
      <w:r>
        <w:rPr>
          <w:rFonts w:ascii="Arial" w:hAnsi="Arial" w:cs="Arial"/>
          <w:spacing w:val="-5"/>
          <w:sz w:val="17"/>
          <w:szCs w:val="17"/>
        </w:rPr>
        <w:t xml:space="preserve">319-326 </w:t>
      </w:r>
      <w:r>
        <w:rPr>
          <w:rFonts w:ascii="Arial" w:hAnsi="Arial" w:cs="Arial"/>
          <w:b/>
          <w:bCs/>
          <w:spacing w:val="-1"/>
          <w:w w:val="93"/>
          <w:sz w:val="13"/>
          <w:szCs w:val="13"/>
        </w:rPr>
        <w:t>xviii</w:t>
      </w:r>
      <w:r>
        <w:rPr>
          <w:rFonts w:ascii="Arial" w:hAnsi="Arial" w:cs="Arial"/>
          <w:b/>
          <w:bCs/>
          <w:w w:val="93"/>
          <w:sz w:val="13"/>
          <w:szCs w:val="13"/>
        </w:rPr>
        <w:t xml:space="preserve"> </w:t>
      </w:r>
      <w:r>
        <w:rPr>
          <w:rFonts w:ascii="Arial" w:hAnsi="Arial" w:cs="Arial"/>
          <w:b/>
          <w:bCs/>
          <w:spacing w:val="-1"/>
          <w:w w:val="95"/>
          <w:sz w:val="18"/>
          <w:szCs w:val="18"/>
        </w:rPr>
        <w:t>Larimer,</w:t>
      </w:r>
      <w:r>
        <w:rPr>
          <w:rFonts w:ascii="Arial" w:hAnsi="Arial" w:cs="Arial"/>
          <w:b/>
          <w:bCs/>
          <w:w w:val="95"/>
          <w:sz w:val="18"/>
          <w:szCs w:val="18"/>
        </w:rPr>
        <w:t xml:space="preserve"> </w:t>
      </w:r>
      <w:r>
        <w:rPr>
          <w:rFonts w:ascii="Arial" w:hAnsi="Arial" w:cs="Arial"/>
          <w:b/>
          <w:bCs/>
          <w:spacing w:val="-2"/>
          <w:w w:val="95"/>
          <w:sz w:val="18"/>
          <w:szCs w:val="18"/>
        </w:rPr>
        <w:t>M.E,</w:t>
      </w:r>
      <w:r>
        <w:rPr>
          <w:rFonts w:ascii="Arial" w:hAnsi="Arial" w:cs="Arial"/>
          <w:b/>
          <w:bCs/>
          <w:w w:val="95"/>
          <w:sz w:val="18"/>
          <w:szCs w:val="18"/>
        </w:rPr>
        <w:t xml:space="preserve"> </w:t>
      </w:r>
      <w:r>
        <w:rPr>
          <w:rFonts w:ascii="Arial" w:hAnsi="Arial" w:cs="Arial"/>
          <w:b/>
          <w:bCs/>
          <w:spacing w:val="-2"/>
          <w:w w:val="95"/>
          <w:sz w:val="18"/>
          <w:szCs w:val="18"/>
        </w:rPr>
        <w:t>Malone,</w:t>
      </w:r>
      <w:r>
        <w:rPr>
          <w:rFonts w:ascii="Arial" w:hAnsi="Arial" w:cs="Arial"/>
          <w:b/>
          <w:bCs/>
          <w:w w:val="95"/>
          <w:sz w:val="18"/>
          <w:szCs w:val="18"/>
        </w:rPr>
        <w:t xml:space="preserve"> </w:t>
      </w:r>
      <w:r>
        <w:rPr>
          <w:rFonts w:ascii="Arial" w:hAnsi="Arial" w:cs="Arial"/>
          <w:b/>
          <w:bCs/>
          <w:spacing w:val="-2"/>
          <w:w w:val="95"/>
          <w:sz w:val="18"/>
          <w:szCs w:val="18"/>
        </w:rPr>
        <w:t>D.K.,</w:t>
      </w:r>
      <w:r>
        <w:rPr>
          <w:rFonts w:ascii="Arial" w:hAnsi="Arial" w:cs="Arial"/>
          <w:b/>
          <w:bCs/>
          <w:w w:val="95"/>
          <w:sz w:val="18"/>
          <w:szCs w:val="18"/>
        </w:rPr>
        <w:t xml:space="preserve"> </w:t>
      </w:r>
      <w:r>
        <w:rPr>
          <w:rFonts w:ascii="Arial" w:hAnsi="Arial" w:cs="Arial"/>
          <w:b/>
          <w:bCs/>
          <w:spacing w:val="-1"/>
          <w:w w:val="95"/>
          <w:sz w:val="18"/>
          <w:szCs w:val="18"/>
        </w:rPr>
        <w:t>Garner,</w:t>
      </w:r>
      <w:r>
        <w:rPr>
          <w:rFonts w:ascii="Arial" w:hAnsi="Arial" w:cs="Arial"/>
          <w:b/>
          <w:bCs/>
          <w:w w:val="95"/>
          <w:sz w:val="18"/>
          <w:szCs w:val="18"/>
        </w:rPr>
        <w:t xml:space="preserve"> </w:t>
      </w:r>
      <w:r>
        <w:rPr>
          <w:rFonts w:ascii="Arial" w:hAnsi="Arial" w:cs="Arial"/>
          <w:b/>
          <w:bCs/>
          <w:spacing w:val="-2"/>
          <w:w w:val="95"/>
          <w:sz w:val="18"/>
          <w:szCs w:val="18"/>
        </w:rPr>
        <w:t>M.D.,</w:t>
      </w:r>
      <w:r>
        <w:rPr>
          <w:rFonts w:ascii="Arial" w:hAnsi="Arial" w:cs="Arial"/>
          <w:b/>
          <w:bCs/>
          <w:w w:val="95"/>
          <w:sz w:val="18"/>
          <w:szCs w:val="18"/>
        </w:rPr>
        <w:t xml:space="preserve"> </w:t>
      </w:r>
      <w:r>
        <w:rPr>
          <w:rFonts w:ascii="Arial" w:hAnsi="Arial" w:cs="Arial"/>
          <w:b/>
          <w:bCs/>
          <w:spacing w:val="-1"/>
          <w:w w:val="95"/>
          <w:sz w:val="18"/>
          <w:szCs w:val="18"/>
        </w:rPr>
        <w:t>Atkins,</w:t>
      </w:r>
      <w:r>
        <w:rPr>
          <w:rFonts w:ascii="Arial" w:hAnsi="Arial" w:cs="Arial"/>
          <w:b/>
          <w:bCs/>
          <w:w w:val="95"/>
          <w:sz w:val="18"/>
          <w:szCs w:val="18"/>
        </w:rPr>
        <w:t xml:space="preserve"> </w:t>
      </w:r>
      <w:r>
        <w:rPr>
          <w:rFonts w:ascii="Arial" w:hAnsi="Arial" w:cs="Arial"/>
          <w:b/>
          <w:bCs/>
          <w:spacing w:val="-2"/>
          <w:w w:val="95"/>
          <w:sz w:val="18"/>
          <w:szCs w:val="18"/>
        </w:rPr>
        <w:t>D.C.,</w:t>
      </w:r>
      <w:r>
        <w:rPr>
          <w:rFonts w:ascii="Arial" w:hAnsi="Arial" w:cs="Arial"/>
          <w:b/>
          <w:bCs/>
          <w:w w:val="95"/>
          <w:sz w:val="18"/>
          <w:szCs w:val="18"/>
        </w:rPr>
        <w:t xml:space="preserve"> </w:t>
      </w:r>
      <w:proofErr w:type="spellStart"/>
      <w:r>
        <w:rPr>
          <w:rFonts w:ascii="Arial" w:hAnsi="Arial" w:cs="Arial"/>
          <w:b/>
          <w:bCs/>
          <w:spacing w:val="-2"/>
          <w:w w:val="95"/>
          <w:sz w:val="18"/>
          <w:szCs w:val="18"/>
        </w:rPr>
        <w:t>Burlingham</w:t>
      </w:r>
      <w:proofErr w:type="spellEnd"/>
      <w:r>
        <w:rPr>
          <w:rFonts w:ascii="Arial" w:hAnsi="Arial" w:cs="Arial"/>
          <w:b/>
          <w:bCs/>
          <w:spacing w:val="-2"/>
          <w:w w:val="95"/>
          <w:sz w:val="18"/>
          <w:szCs w:val="18"/>
        </w:rPr>
        <w:t>,</w:t>
      </w:r>
      <w:r>
        <w:rPr>
          <w:rFonts w:ascii="Arial" w:hAnsi="Arial" w:cs="Arial"/>
          <w:b/>
          <w:bCs/>
          <w:w w:val="95"/>
          <w:sz w:val="18"/>
          <w:szCs w:val="18"/>
        </w:rPr>
        <w:t xml:space="preserve"> 8.</w:t>
      </w:r>
      <w:r>
        <w:rPr>
          <w:rFonts w:ascii="Arial" w:hAnsi="Arial" w:cs="Arial"/>
          <w:b/>
          <w:bCs/>
          <w:w w:val="95"/>
          <w:position w:val="-3"/>
          <w:sz w:val="8"/>
          <w:szCs w:val="8"/>
        </w:rPr>
        <w:t xml:space="preserve">1 </w:t>
      </w:r>
      <w:proofErr w:type="spellStart"/>
      <w:r>
        <w:rPr>
          <w:rFonts w:ascii="Arial" w:hAnsi="Arial" w:cs="Arial"/>
          <w:b/>
          <w:bCs/>
          <w:spacing w:val="-2"/>
          <w:w w:val="95"/>
          <w:sz w:val="18"/>
          <w:szCs w:val="18"/>
        </w:rPr>
        <w:t>Lonczak</w:t>
      </w:r>
      <w:proofErr w:type="spellEnd"/>
      <w:r>
        <w:rPr>
          <w:rFonts w:ascii="Arial" w:hAnsi="Arial" w:cs="Arial"/>
          <w:b/>
          <w:bCs/>
          <w:spacing w:val="-2"/>
          <w:w w:val="95"/>
          <w:position w:val="-3"/>
          <w:sz w:val="8"/>
          <w:szCs w:val="8"/>
        </w:rPr>
        <w:t>1</w:t>
      </w:r>
      <w:r>
        <w:rPr>
          <w:rFonts w:ascii="Arial" w:hAnsi="Arial" w:cs="Arial"/>
          <w:b/>
          <w:bCs/>
          <w:w w:val="95"/>
          <w:position w:val="-3"/>
          <w:sz w:val="8"/>
          <w:szCs w:val="8"/>
        </w:rPr>
        <w:t xml:space="preserve">  </w:t>
      </w:r>
      <w:r>
        <w:rPr>
          <w:rFonts w:ascii="Arial" w:hAnsi="Arial" w:cs="Arial"/>
          <w:b/>
          <w:bCs/>
          <w:spacing w:val="-4"/>
          <w:w w:val="95"/>
          <w:sz w:val="18"/>
          <w:szCs w:val="18"/>
        </w:rPr>
        <w:t>H.S.</w:t>
      </w:r>
      <w:r>
        <w:rPr>
          <w:rFonts w:ascii="Arial" w:hAnsi="Arial" w:cs="Arial"/>
          <w:b/>
          <w:bCs/>
          <w:spacing w:val="-4"/>
          <w:w w:val="95"/>
          <w:position w:val="-3"/>
          <w:sz w:val="8"/>
          <w:szCs w:val="8"/>
        </w:rPr>
        <w:t>1</w:t>
      </w:r>
      <w:r>
        <w:rPr>
          <w:rFonts w:ascii="Arial" w:hAnsi="Arial" w:cs="Arial"/>
          <w:b/>
          <w:bCs/>
          <w:w w:val="95"/>
          <w:position w:val="-3"/>
          <w:sz w:val="8"/>
          <w:szCs w:val="8"/>
        </w:rPr>
        <w:t xml:space="preserve"> </w:t>
      </w:r>
      <w:r>
        <w:rPr>
          <w:rFonts w:ascii="Arial" w:hAnsi="Arial" w:cs="Arial"/>
          <w:b/>
          <w:bCs/>
          <w:w w:val="95"/>
          <w:sz w:val="18"/>
          <w:szCs w:val="18"/>
        </w:rPr>
        <w:t xml:space="preserve">and </w:t>
      </w:r>
      <w:proofErr w:type="spellStart"/>
      <w:r>
        <w:rPr>
          <w:rFonts w:ascii="Arial" w:hAnsi="Arial" w:cs="Arial"/>
          <w:b/>
          <w:bCs/>
          <w:spacing w:val="-1"/>
          <w:w w:val="95"/>
          <w:sz w:val="18"/>
          <w:szCs w:val="18"/>
        </w:rPr>
        <w:t>Marlatt</w:t>
      </w:r>
      <w:proofErr w:type="spellEnd"/>
      <w:r>
        <w:rPr>
          <w:rFonts w:ascii="Arial" w:hAnsi="Arial" w:cs="Arial"/>
          <w:b/>
          <w:bCs/>
          <w:spacing w:val="-1"/>
          <w:w w:val="95"/>
          <w:position w:val="-3"/>
          <w:sz w:val="8"/>
          <w:szCs w:val="8"/>
        </w:rPr>
        <w:t>1</w:t>
      </w:r>
      <w:r>
        <w:rPr>
          <w:rFonts w:ascii="Arial" w:hAnsi="Arial" w:cs="Arial"/>
          <w:b/>
          <w:bCs/>
          <w:w w:val="95"/>
          <w:position w:val="-3"/>
          <w:sz w:val="8"/>
          <w:szCs w:val="8"/>
        </w:rPr>
        <w:t xml:space="preserve"> </w:t>
      </w:r>
      <w:r>
        <w:rPr>
          <w:rFonts w:ascii="Arial" w:hAnsi="Arial" w:cs="Arial"/>
          <w:b/>
          <w:bCs/>
          <w:spacing w:val="-2"/>
          <w:w w:val="95"/>
          <w:sz w:val="18"/>
          <w:szCs w:val="18"/>
        </w:rPr>
        <w:t>G.A.</w:t>
      </w:r>
      <w:r>
        <w:rPr>
          <w:rFonts w:ascii="Arial" w:hAnsi="Arial" w:cs="Arial"/>
          <w:b/>
          <w:bCs/>
          <w:spacing w:val="-20"/>
          <w:w w:val="95"/>
          <w:sz w:val="18"/>
          <w:szCs w:val="18"/>
        </w:rPr>
        <w:t xml:space="preserve"> </w:t>
      </w:r>
      <w:r>
        <w:rPr>
          <w:rFonts w:ascii="Arial" w:hAnsi="Arial" w:cs="Arial"/>
          <w:b/>
          <w:bCs/>
          <w:spacing w:val="-2"/>
          <w:w w:val="95"/>
          <w:sz w:val="18"/>
          <w:szCs w:val="18"/>
        </w:rPr>
        <w:t>2009.</w:t>
      </w:r>
    </w:p>
    <w:p w:rsidR="002C5025" w:rsidRDefault="002C5025">
      <w:pPr>
        <w:pStyle w:val="BodyText"/>
        <w:kinsoku w:val="0"/>
        <w:overflowPunct w:val="0"/>
        <w:spacing w:line="176" w:lineRule="exact"/>
        <w:ind w:left="628"/>
        <w:rPr>
          <w:rFonts w:ascii="Arial" w:hAnsi="Arial" w:cs="Arial"/>
          <w:w w:val="105"/>
          <w:sz w:val="17"/>
          <w:szCs w:val="17"/>
        </w:rPr>
      </w:pPr>
      <w:r>
        <w:rPr>
          <w:rFonts w:ascii="Arial" w:hAnsi="Arial" w:cs="Arial"/>
          <w:w w:val="105"/>
          <w:sz w:val="17"/>
          <w:szCs w:val="17"/>
        </w:rPr>
        <w:t>Health care and public service use and costs before and after provision of housing for chronically homeless persons</w:t>
      </w:r>
    </w:p>
    <w:p w:rsidR="002C5025" w:rsidRDefault="002C5025">
      <w:pPr>
        <w:pStyle w:val="BodyText"/>
        <w:kinsoku w:val="0"/>
        <w:overflowPunct w:val="0"/>
        <w:spacing w:before="35"/>
        <w:ind w:left="614" w:right="289"/>
        <w:rPr>
          <w:rFonts w:ascii="Arial" w:hAnsi="Arial" w:cs="Arial"/>
          <w:w w:val="105"/>
          <w:sz w:val="17"/>
          <w:szCs w:val="17"/>
        </w:rPr>
      </w:pPr>
      <w:r>
        <w:rPr>
          <w:rFonts w:ascii="Arial" w:hAnsi="Arial" w:cs="Arial"/>
          <w:w w:val="105"/>
          <w:sz w:val="17"/>
          <w:szCs w:val="17"/>
        </w:rPr>
        <w:t xml:space="preserve">with severe alcohol problems. </w:t>
      </w:r>
      <w:r>
        <w:rPr>
          <w:rFonts w:ascii="Arial" w:hAnsi="Arial" w:cs="Arial"/>
          <w:i/>
          <w:iCs/>
          <w:w w:val="105"/>
          <w:sz w:val="17"/>
          <w:szCs w:val="17"/>
        </w:rPr>
        <w:t xml:space="preserve">JAMA, </w:t>
      </w:r>
      <w:r>
        <w:rPr>
          <w:rFonts w:ascii="Arial" w:hAnsi="Arial" w:cs="Arial"/>
          <w:w w:val="105"/>
          <w:sz w:val="17"/>
          <w:szCs w:val="17"/>
        </w:rPr>
        <w:t>301(13), 1349-1357.</w:t>
      </w:r>
    </w:p>
    <w:p w:rsidR="002C5025" w:rsidRDefault="002C5025">
      <w:pPr>
        <w:pStyle w:val="BodyText"/>
        <w:kinsoku w:val="0"/>
        <w:overflowPunct w:val="0"/>
        <w:spacing w:before="59" w:line="288" w:lineRule="auto"/>
        <w:ind w:left="614" w:right="289" w:hanging="42"/>
        <w:rPr>
          <w:rFonts w:ascii="Arial" w:hAnsi="Arial" w:cs="Arial"/>
          <w:w w:val="105"/>
          <w:sz w:val="17"/>
          <w:szCs w:val="17"/>
        </w:rPr>
      </w:pPr>
      <w:r>
        <w:rPr>
          <w:rFonts w:ascii="Arial" w:hAnsi="Arial" w:cs="Arial"/>
          <w:w w:val="105"/>
          <w:sz w:val="17"/>
          <w:szCs w:val="17"/>
        </w:rPr>
        <w:t xml:space="preserve">''Burns, </w:t>
      </w:r>
      <w:proofErr w:type="spellStart"/>
      <w:r>
        <w:rPr>
          <w:rFonts w:ascii="Arial" w:hAnsi="Arial" w:cs="Arial"/>
          <w:w w:val="105"/>
          <w:sz w:val="17"/>
          <w:szCs w:val="17"/>
        </w:rPr>
        <w:t>P.,Sumner</w:t>
      </w:r>
      <w:proofErr w:type="spellEnd"/>
      <w:r>
        <w:rPr>
          <w:rFonts w:ascii="Arial" w:hAnsi="Arial" w:cs="Arial"/>
          <w:w w:val="105"/>
          <w:sz w:val="17"/>
          <w:szCs w:val="17"/>
        </w:rPr>
        <w:t xml:space="preserve">, </w:t>
      </w:r>
      <w:proofErr w:type="spellStart"/>
      <w:r>
        <w:rPr>
          <w:rFonts w:ascii="Arial" w:hAnsi="Arial" w:cs="Arial"/>
          <w:w w:val="105"/>
          <w:sz w:val="17"/>
          <w:szCs w:val="17"/>
        </w:rPr>
        <w:t>G.,and</w:t>
      </w:r>
      <w:proofErr w:type="spellEnd"/>
      <w:r>
        <w:rPr>
          <w:rFonts w:ascii="Arial" w:hAnsi="Arial" w:cs="Arial"/>
          <w:w w:val="105"/>
          <w:sz w:val="17"/>
          <w:szCs w:val="17"/>
        </w:rPr>
        <w:t xml:space="preserve"> Lee, S. 2013. Getting Home: </w:t>
      </w:r>
      <w:r>
        <w:rPr>
          <w:rFonts w:ascii="Arial" w:hAnsi="Arial" w:cs="Arial"/>
          <w:i/>
          <w:iCs/>
          <w:w w:val="105"/>
          <w:sz w:val="17"/>
          <w:szCs w:val="17"/>
        </w:rPr>
        <w:t xml:space="preserve">Outcomes from Housing High Cost Homeless Hospital Patients: </w:t>
      </w:r>
      <w:r>
        <w:rPr>
          <w:rFonts w:ascii="Arial" w:hAnsi="Arial" w:cs="Arial"/>
          <w:w w:val="105"/>
          <w:sz w:val="17"/>
          <w:szCs w:val="17"/>
        </w:rPr>
        <w:t>Economic Roundtable.</w:t>
      </w:r>
    </w:p>
    <w:p w:rsidR="002C5025" w:rsidRDefault="002C5025">
      <w:pPr>
        <w:pStyle w:val="BodyText"/>
        <w:kinsoku w:val="0"/>
        <w:overflowPunct w:val="0"/>
        <w:spacing w:before="18"/>
        <w:ind w:left="672" w:right="289"/>
        <w:rPr>
          <w:rFonts w:ascii="Arial" w:hAnsi="Arial" w:cs="Arial"/>
          <w:w w:val="105"/>
          <w:sz w:val="17"/>
          <w:szCs w:val="17"/>
        </w:rPr>
      </w:pPr>
      <w:r>
        <w:rPr>
          <w:rFonts w:ascii="Arial" w:hAnsi="Arial" w:cs="Arial"/>
          <w:w w:val="105"/>
          <w:sz w:val="17"/>
          <w:szCs w:val="17"/>
        </w:rPr>
        <w:t xml:space="preserve">Foster, </w:t>
      </w:r>
      <w:proofErr w:type="spellStart"/>
      <w:r>
        <w:rPr>
          <w:rFonts w:ascii="Arial" w:hAnsi="Arial" w:cs="Arial"/>
          <w:w w:val="105"/>
          <w:sz w:val="17"/>
          <w:szCs w:val="17"/>
        </w:rPr>
        <w:t>E.M.,Jiang</w:t>
      </w:r>
      <w:proofErr w:type="spellEnd"/>
      <w:r>
        <w:rPr>
          <w:rFonts w:ascii="Arial" w:hAnsi="Arial" w:cs="Arial"/>
          <w:w w:val="105"/>
          <w:sz w:val="17"/>
          <w:szCs w:val="17"/>
        </w:rPr>
        <w:t>, M., and Gibson-Davis, C.M. 2010. The effect of the WIC program on the health of  newborns.</w:t>
      </w:r>
    </w:p>
    <w:p w:rsidR="002C5025" w:rsidRDefault="002C5025">
      <w:pPr>
        <w:pStyle w:val="BodyText"/>
        <w:kinsoku w:val="0"/>
        <w:overflowPunct w:val="0"/>
        <w:spacing w:before="42"/>
        <w:ind w:left="607" w:right="289"/>
        <w:rPr>
          <w:rFonts w:ascii="Arial" w:hAnsi="Arial" w:cs="Arial"/>
          <w:w w:val="105"/>
          <w:sz w:val="17"/>
          <w:szCs w:val="17"/>
        </w:rPr>
      </w:pPr>
      <w:r>
        <w:rPr>
          <w:rFonts w:ascii="Arial" w:hAnsi="Arial" w:cs="Arial"/>
          <w:i/>
          <w:iCs/>
          <w:w w:val="105"/>
          <w:sz w:val="17"/>
          <w:szCs w:val="17"/>
        </w:rPr>
        <w:t xml:space="preserve">Health </w:t>
      </w:r>
      <w:proofErr w:type="spellStart"/>
      <w:r>
        <w:rPr>
          <w:rFonts w:ascii="Arial" w:hAnsi="Arial" w:cs="Arial"/>
          <w:i/>
          <w:iCs/>
          <w:w w:val="105"/>
          <w:sz w:val="17"/>
          <w:szCs w:val="17"/>
        </w:rPr>
        <w:t>Serv</w:t>
      </w:r>
      <w:proofErr w:type="spellEnd"/>
      <w:r>
        <w:rPr>
          <w:rFonts w:ascii="Arial" w:hAnsi="Arial" w:cs="Arial"/>
          <w:i/>
          <w:iCs/>
          <w:w w:val="105"/>
          <w:sz w:val="17"/>
          <w:szCs w:val="17"/>
        </w:rPr>
        <w:t xml:space="preserve"> Res, </w:t>
      </w:r>
      <w:r>
        <w:rPr>
          <w:rFonts w:ascii="Arial" w:hAnsi="Arial" w:cs="Arial"/>
          <w:w w:val="105"/>
          <w:sz w:val="17"/>
          <w:szCs w:val="17"/>
        </w:rPr>
        <w:t>45(4), 1083-1104</w:t>
      </w:r>
    </w:p>
    <w:p w:rsidR="002C5025" w:rsidRDefault="002C5025">
      <w:pPr>
        <w:pStyle w:val="BodyText"/>
        <w:kinsoku w:val="0"/>
        <w:overflowPunct w:val="0"/>
        <w:spacing w:before="56" w:line="300" w:lineRule="auto"/>
        <w:ind w:left="606" w:firstLine="96"/>
        <w:rPr>
          <w:rFonts w:ascii="Arial" w:hAnsi="Arial" w:cs="Arial"/>
          <w:spacing w:val="-7"/>
          <w:w w:val="110"/>
          <w:sz w:val="17"/>
          <w:szCs w:val="17"/>
        </w:rPr>
      </w:pPr>
      <w:r>
        <w:rPr>
          <w:rFonts w:ascii="Arial" w:hAnsi="Arial" w:cs="Arial"/>
          <w:spacing w:val="-3"/>
          <w:w w:val="110"/>
          <w:sz w:val="17"/>
          <w:szCs w:val="17"/>
        </w:rPr>
        <w:t>'Thomas,</w:t>
      </w:r>
      <w:r>
        <w:rPr>
          <w:rFonts w:ascii="Arial" w:hAnsi="Arial" w:cs="Arial"/>
          <w:spacing w:val="-7"/>
          <w:w w:val="110"/>
          <w:sz w:val="17"/>
          <w:szCs w:val="17"/>
        </w:rPr>
        <w:t xml:space="preserve"> </w:t>
      </w:r>
      <w:proofErr w:type="spellStart"/>
      <w:r>
        <w:rPr>
          <w:rFonts w:ascii="Arial" w:hAnsi="Arial" w:cs="Arial"/>
          <w:w w:val="110"/>
          <w:sz w:val="17"/>
          <w:szCs w:val="17"/>
        </w:rPr>
        <w:t>K.S,.and</w:t>
      </w:r>
      <w:proofErr w:type="spellEnd"/>
      <w:r>
        <w:rPr>
          <w:rFonts w:ascii="Arial" w:hAnsi="Arial" w:cs="Arial"/>
          <w:spacing w:val="-13"/>
          <w:w w:val="110"/>
          <w:sz w:val="17"/>
          <w:szCs w:val="17"/>
        </w:rPr>
        <w:t xml:space="preserve"> </w:t>
      </w:r>
      <w:proofErr w:type="spellStart"/>
      <w:r>
        <w:rPr>
          <w:rFonts w:ascii="Arial" w:hAnsi="Arial" w:cs="Arial"/>
          <w:w w:val="110"/>
          <w:sz w:val="17"/>
          <w:szCs w:val="17"/>
        </w:rPr>
        <w:t>Mor</w:t>
      </w:r>
      <w:proofErr w:type="spellEnd"/>
      <w:r>
        <w:rPr>
          <w:rFonts w:ascii="Arial" w:hAnsi="Arial" w:cs="Arial"/>
          <w:w w:val="110"/>
          <w:sz w:val="17"/>
          <w:szCs w:val="17"/>
        </w:rPr>
        <w:t>,</w:t>
      </w:r>
      <w:r>
        <w:rPr>
          <w:rFonts w:ascii="Arial" w:hAnsi="Arial" w:cs="Arial"/>
          <w:spacing w:val="-26"/>
          <w:w w:val="110"/>
          <w:sz w:val="17"/>
          <w:szCs w:val="17"/>
        </w:rPr>
        <w:t xml:space="preserve"> </w:t>
      </w:r>
      <w:r>
        <w:rPr>
          <w:rFonts w:ascii="Arial" w:hAnsi="Arial" w:cs="Arial"/>
          <w:w w:val="110"/>
          <w:sz w:val="17"/>
          <w:szCs w:val="17"/>
        </w:rPr>
        <w:t>V.</w:t>
      </w:r>
      <w:r>
        <w:rPr>
          <w:rFonts w:ascii="Arial" w:hAnsi="Arial" w:cs="Arial"/>
          <w:spacing w:val="-21"/>
          <w:w w:val="110"/>
          <w:sz w:val="17"/>
          <w:szCs w:val="17"/>
        </w:rPr>
        <w:t xml:space="preserve"> </w:t>
      </w:r>
      <w:r>
        <w:rPr>
          <w:rFonts w:ascii="Arial" w:hAnsi="Arial" w:cs="Arial"/>
          <w:w w:val="110"/>
          <w:sz w:val="17"/>
          <w:szCs w:val="17"/>
        </w:rPr>
        <w:t>2013.</w:t>
      </w:r>
      <w:r>
        <w:rPr>
          <w:rFonts w:ascii="Arial" w:hAnsi="Arial" w:cs="Arial"/>
          <w:spacing w:val="-9"/>
          <w:w w:val="110"/>
          <w:sz w:val="17"/>
          <w:szCs w:val="17"/>
        </w:rPr>
        <w:t xml:space="preserve"> </w:t>
      </w:r>
      <w:r>
        <w:rPr>
          <w:rFonts w:ascii="Arial" w:hAnsi="Arial" w:cs="Arial"/>
          <w:w w:val="110"/>
          <w:sz w:val="17"/>
          <w:szCs w:val="17"/>
        </w:rPr>
        <w:t>Providing</w:t>
      </w:r>
      <w:r>
        <w:rPr>
          <w:rFonts w:ascii="Arial" w:hAnsi="Arial" w:cs="Arial"/>
          <w:spacing w:val="-17"/>
          <w:w w:val="110"/>
          <w:sz w:val="17"/>
          <w:szCs w:val="17"/>
        </w:rPr>
        <w:t xml:space="preserve"> </w:t>
      </w:r>
      <w:r>
        <w:rPr>
          <w:rFonts w:ascii="Arial" w:hAnsi="Arial" w:cs="Arial"/>
          <w:w w:val="110"/>
          <w:sz w:val="17"/>
          <w:szCs w:val="17"/>
        </w:rPr>
        <w:t>more</w:t>
      </w:r>
      <w:r>
        <w:rPr>
          <w:rFonts w:ascii="Arial" w:hAnsi="Arial" w:cs="Arial"/>
          <w:spacing w:val="-17"/>
          <w:w w:val="110"/>
          <w:sz w:val="17"/>
          <w:szCs w:val="17"/>
        </w:rPr>
        <w:t xml:space="preserve"> </w:t>
      </w:r>
      <w:r>
        <w:rPr>
          <w:rFonts w:ascii="Arial" w:hAnsi="Arial" w:cs="Arial"/>
          <w:w w:val="110"/>
          <w:sz w:val="17"/>
          <w:szCs w:val="17"/>
        </w:rPr>
        <w:t>home-delivered</w:t>
      </w:r>
      <w:r>
        <w:rPr>
          <w:rFonts w:ascii="Arial" w:hAnsi="Arial" w:cs="Arial"/>
          <w:spacing w:val="-6"/>
          <w:w w:val="110"/>
          <w:sz w:val="17"/>
          <w:szCs w:val="17"/>
        </w:rPr>
        <w:t xml:space="preserve"> </w:t>
      </w:r>
      <w:r>
        <w:rPr>
          <w:rFonts w:ascii="Arial" w:hAnsi="Arial" w:cs="Arial"/>
          <w:w w:val="110"/>
          <w:sz w:val="17"/>
          <w:szCs w:val="17"/>
        </w:rPr>
        <w:t>meals</w:t>
      </w:r>
      <w:r>
        <w:rPr>
          <w:rFonts w:ascii="Arial" w:hAnsi="Arial" w:cs="Arial"/>
          <w:spacing w:val="-19"/>
          <w:w w:val="110"/>
          <w:sz w:val="17"/>
          <w:szCs w:val="17"/>
        </w:rPr>
        <w:t xml:space="preserve"> </w:t>
      </w:r>
      <w:r>
        <w:rPr>
          <w:rFonts w:ascii="Arial" w:hAnsi="Arial" w:cs="Arial"/>
          <w:w w:val="110"/>
          <w:sz w:val="17"/>
          <w:szCs w:val="17"/>
        </w:rPr>
        <w:t>is</w:t>
      </w:r>
      <w:r>
        <w:rPr>
          <w:rFonts w:ascii="Arial" w:hAnsi="Arial" w:cs="Arial"/>
          <w:spacing w:val="-24"/>
          <w:w w:val="110"/>
          <w:sz w:val="17"/>
          <w:szCs w:val="17"/>
        </w:rPr>
        <w:t xml:space="preserve"> </w:t>
      </w:r>
      <w:r>
        <w:rPr>
          <w:rFonts w:ascii="Arial" w:hAnsi="Arial" w:cs="Arial"/>
          <w:w w:val="110"/>
          <w:sz w:val="17"/>
          <w:szCs w:val="17"/>
        </w:rPr>
        <w:t>one</w:t>
      </w:r>
      <w:r>
        <w:rPr>
          <w:rFonts w:ascii="Arial" w:hAnsi="Arial" w:cs="Arial"/>
          <w:spacing w:val="-20"/>
          <w:w w:val="110"/>
          <w:sz w:val="17"/>
          <w:szCs w:val="17"/>
        </w:rPr>
        <w:t xml:space="preserve"> </w:t>
      </w:r>
      <w:r>
        <w:rPr>
          <w:rFonts w:ascii="Arial" w:hAnsi="Arial" w:cs="Arial"/>
          <w:w w:val="110"/>
          <w:sz w:val="17"/>
          <w:szCs w:val="17"/>
        </w:rPr>
        <w:t>way</w:t>
      </w:r>
      <w:r>
        <w:rPr>
          <w:rFonts w:ascii="Arial" w:hAnsi="Arial" w:cs="Arial"/>
          <w:spacing w:val="-16"/>
          <w:w w:val="110"/>
          <w:sz w:val="17"/>
          <w:szCs w:val="17"/>
        </w:rPr>
        <w:t xml:space="preserve"> </w:t>
      </w:r>
      <w:r>
        <w:rPr>
          <w:rFonts w:ascii="Arial" w:hAnsi="Arial" w:cs="Arial"/>
          <w:w w:val="110"/>
          <w:sz w:val="17"/>
          <w:szCs w:val="17"/>
        </w:rPr>
        <w:t>to</w:t>
      </w:r>
      <w:r>
        <w:rPr>
          <w:rFonts w:ascii="Arial" w:hAnsi="Arial" w:cs="Arial"/>
          <w:spacing w:val="-15"/>
          <w:w w:val="110"/>
          <w:sz w:val="17"/>
          <w:szCs w:val="17"/>
        </w:rPr>
        <w:t xml:space="preserve"> </w:t>
      </w:r>
      <w:r>
        <w:rPr>
          <w:rFonts w:ascii="Arial" w:hAnsi="Arial" w:cs="Arial"/>
          <w:w w:val="110"/>
          <w:sz w:val="17"/>
          <w:szCs w:val="17"/>
        </w:rPr>
        <w:t>keep</w:t>
      </w:r>
      <w:r>
        <w:rPr>
          <w:rFonts w:ascii="Arial" w:hAnsi="Arial" w:cs="Arial"/>
          <w:spacing w:val="-25"/>
          <w:w w:val="110"/>
          <w:sz w:val="17"/>
          <w:szCs w:val="17"/>
        </w:rPr>
        <w:t xml:space="preserve"> </w:t>
      </w:r>
      <w:r>
        <w:rPr>
          <w:rFonts w:ascii="Arial" w:hAnsi="Arial" w:cs="Arial"/>
          <w:w w:val="110"/>
          <w:sz w:val="17"/>
          <w:szCs w:val="17"/>
        </w:rPr>
        <w:t>older</w:t>
      </w:r>
      <w:r>
        <w:rPr>
          <w:rFonts w:ascii="Arial" w:hAnsi="Arial" w:cs="Arial"/>
          <w:spacing w:val="-12"/>
          <w:w w:val="110"/>
          <w:sz w:val="17"/>
          <w:szCs w:val="17"/>
        </w:rPr>
        <w:t xml:space="preserve"> </w:t>
      </w:r>
      <w:r>
        <w:rPr>
          <w:rFonts w:ascii="Arial" w:hAnsi="Arial" w:cs="Arial"/>
          <w:w w:val="110"/>
          <w:sz w:val="17"/>
          <w:szCs w:val="17"/>
        </w:rPr>
        <w:t>adults</w:t>
      </w:r>
      <w:r>
        <w:rPr>
          <w:rFonts w:ascii="Arial" w:hAnsi="Arial" w:cs="Arial"/>
          <w:spacing w:val="-14"/>
          <w:w w:val="110"/>
          <w:sz w:val="17"/>
          <w:szCs w:val="17"/>
        </w:rPr>
        <w:t xml:space="preserve"> </w:t>
      </w:r>
      <w:r>
        <w:rPr>
          <w:rFonts w:ascii="Arial" w:hAnsi="Arial" w:cs="Arial"/>
          <w:w w:val="110"/>
          <w:sz w:val="17"/>
          <w:szCs w:val="17"/>
        </w:rPr>
        <w:t>with</w:t>
      </w:r>
      <w:r>
        <w:rPr>
          <w:rFonts w:ascii="Arial" w:hAnsi="Arial" w:cs="Arial"/>
          <w:spacing w:val="-15"/>
          <w:w w:val="110"/>
          <w:sz w:val="17"/>
          <w:szCs w:val="17"/>
        </w:rPr>
        <w:t xml:space="preserve"> </w:t>
      </w:r>
      <w:r>
        <w:rPr>
          <w:rFonts w:ascii="Arial" w:hAnsi="Arial" w:cs="Arial"/>
          <w:w w:val="110"/>
          <w:sz w:val="17"/>
          <w:szCs w:val="17"/>
        </w:rPr>
        <w:t>low care</w:t>
      </w:r>
      <w:r>
        <w:rPr>
          <w:rFonts w:ascii="Arial" w:hAnsi="Arial" w:cs="Arial"/>
          <w:spacing w:val="-12"/>
          <w:w w:val="110"/>
          <w:sz w:val="17"/>
          <w:szCs w:val="17"/>
        </w:rPr>
        <w:t xml:space="preserve"> </w:t>
      </w:r>
      <w:r>
        <w:rPr>
          <w:rFonts w:ascii="Arial" w:hAnsi="Arial" w:cs="Arial"/>
          <w:w w:val="110"/>
          <w:sz w:val="17"/>
          <w:szCs w:val="17"/>
        </w:rPr>
        <w:t>needs</w:t>
      </w:r>
      <w:r>
        <w:rPr>
          <w:rFonts w:ascii="Arial" w:hAnsi="Arial" w:cs="Arial"/>
          <w:spacing w:val="-14"/>
          <w:w w:val="110"/>
          <w:sz w:val="17"/>
          <w:szCs w:val="17"/>
        </w:rPr>
        <w:t xml:space="preserve"> </w:t>
      </w:r>
      <w:r>
        <w:rPr>
          <w:rFonts w:ascii="Arial" w:hAnsi="Arial" w:cs="Arial"/>
          <w:w w:val="110"/>
          <w:sz w:val="17"/>
          <w:szCs w:val="17"/>
        </w:rPr>
        <w:t>out</w:t>
      </w:r>
      <w:r>
        <w:rPr>
          <w:rFonts w:ascii="Arial" w:hAnsi="Arial" w:cs="Arial"/>
          <w:spacing w:val="-11"/>
          <w:w w:val="110"/>
          <w:sz w:val="17"/>
          <w:szCs w:val="17"/>
        </w:rPr>
        <w:t xml:space="preserve"> </w:t>
      </w:r>
      <w:r>
        <w:rPr>
          <w:rFonts w:ascii="Arial" w:hAnsi="Arial" w:cs="Arial"/>
          <w:w w:val="110"/>
          <w:sz w:val="17"/>
          <w:szCs w:val="17"/>
        </w:rPr>
        <w:t>of</w:t>
      </w:r>
      <w:r>
        <w:rPr>
          <w:rFonts w:ascii="Arial" w:hAnsi="Arial" w:cs="Arial"/>
          <w:spacing w:val="-13"/>
          <w:w w:val="110"/>
          <w:sz w:val="17"/>
          <w:szCs w:val="17"/>
        </w:rPr>
        <w:t xml:space="preserve"> </w:t>
      </w:r>
      <w:r>
        <w:rPr>
          <w:rFonts w:ascii="Arial" w:hAnsi="Arial" w:cs="Arial"/>
          <w:w w:val="110"/>
          <w:sz w:val="17"/>
          <w:szCs w:val="17"/>
        </w:rPr>
        <w:t>nursing</w:t>
      </w:r>
      <w:r>
        <w:rPr>
          <w:rFonts w:ascii="Arial" w:hAnsi="Arial" w:cs="Arial"/>
          <w:spacing w:val="-12"/>
          <w:w w:val="110"/>
          <w:sz w:val="17"/>
          <w:szCs w:val="17"/>
        </w:rPr>
        <w:t xml:space="preserve"> </w:t>
      </w:r>
      <w:r>
        <w:rPr>
          <w:rFonts w:ascii="Arial" w:hAnsi="Arial" w:cs="Arial"/>
          <w:w w:val="110"/>
          <w:sz w:val="17"/>
          <w:szCs w:val="17"/>
        </w:rPr>
        <w:t>homes.</w:t>
      </w:r>
      <w:r>
        <w:rPr>
          <w:rFonts w:ascii="Arial" w:hAnsi="Arial" w:cs="Arial"/>
          <w:spacing w:val="-8"/>
          <w:w w:val="110"/>
          <w:sz w:val="17"/>
          <w:szCs w:val="17"/>
        </w:rPr>
        <w:t xml:space="preserve"> </w:t>
      </w:r>
      <w:r>
        <w:rPr>
          <w:rFonts w:ascii="Arial" w:hAnsi="Arial" w:cs="Arial"/>
          <w:w w:val="110"/>
          <w:sz w:val="17"/>
          <w:szCs w:val="17"/>
        </w:rPr>
        <w:t>Health</w:t>
      </w:r>
      <w:r>
        <w:rPr>
          <w:rFonts w:ascii="Arial" w:hAnsi="Arial" w:cs="Arial"/>
          <w:spacing w:val="-19"/>
          <w:w w:val="110"/>
          <w:sz w:val="17"/>
          <w:szCs w:val="17"/>
        </w:rPr>
        <w:t xml:space="preserve"> </w:t>
      </w:r>
      <w:proofErr w:type="spellStart"/>
      <w:r>
        <w:rPr>
          <w:rFonts w:ascii="Arial" w:hAnsi="Arial" w:cs="Arial"/>
          <w:w w:val="110"/>
          <w:sz w:val="17"/>
          <w:szCs w:val="17"/>
        </w:rPr>
        <w:t>Aff</w:t>
      </w:r>
      <w:proofErr w:type="spellEnd"/>
      <w:r>
        <w:rPr>
          <w:rFonts w:ascii="Arial" w:hAnsi="Arial" w:cs="Arial"/>
          <w:spacing w:val="-8"/>
          <w:w w:val="110"/>
          <w:sz w:val="17"/>
          <w:szCs w:val="17"/>
        </w:rPr>
        <w:t xml:space="preserve"> </w:t>
      </w:r>
      <w:r>
        <w:rPr>
          <w:rFonts w:ascii="Arial" w:hAnsi="Arial" w:cs="Arial"/>
          <w:w w:val="110"/>
          <w:sz w:val="17"/>
          <w:szCs w:val="17"/>
        </w:rPr>
        <w:t>(Millwood),</w:t>
      </w:r>
      <w:r>
        <w:rPr>
          <w:rFonts w:ascii="Arial" w:hAnsi="Arial" w:cs="Arial"/>
          <w:spacing w:val="-13"/>
          <w:w w:val="110"/>
          <w:sz w:val="17"/>
          <w:szCs w:val="17"/>
        </w:rPr>
        <w:t xml:space="preserve"> </w:t>
      </w:r>
      <w:r>
        <w:rPr>
          <w:rFonts w:ascii="Arial" w:hAnsi="Arial" w:cs="Arial"/>
          <w:spacing w:val="-4"/>
          <w:w w:val="110"/>
          <w:sz w:val="17"/>
          <w:szCs w:val="17"/>
        </w:rPr>
        <w:t>32(10),</w:t>
      </w:r>
      <w:r>
        <w:rPr>
          <w:rFonts w:ascii="Arial" w:hAnsi="Arial" w:cs="Arial"/>
          <w:spacing w:val="-13"/>
          <w:w w:val="110"/>
          <w:sz w:val="17"/>
          <w:szCs w:val="17"/>
        </w:rPr>
        <w:t xml:space="preserve"> </w:t>
      </w:r>
      <w:r>
        <w:rPr>
          <w:rFonts w:ascii="Arial" w:hAnsi="Arial" w:cs="Arial"/>
          <w:spacing w:val="-7"/>
          <w:w w:val="110"/>
          <w:sz w:val="17"/>
          <w:szCs w:val="17"/>
        </w:rPr>
        <w:t>1796-1802.</w:t>
      </w:r>
    </w:p>
    <w:p w:rsidR="002C5025" w:rsidRDefault="002C5025">
      <w:pPr>
        <w:pStyle w:val="BodyText"/>
        <w:kinsoku w:val="0"/>
        <w:overflowPunct w:val="0"/>
        <w:spacing w:before="1" w:line="300" w:lineRule="auto"/>
        <w:ind w:left="607" w:firstLine="158"/>
        <w:rPr>
          <w:rFonts w:ascii="Arial" w:hAnsi="Arial" w:cs="Arial"/>
          <w:spacing w:val="-8"/>
          <w:w w:val="110"/>
          <w:sz w:val="17"/>
          <w:szCs w:val="17"/>
        </w:rPr>
      </w:pPr>
      <w:r>
        <w:rPr>
          <w:rFonts w:ascii="Arial" w:hAnsi="Arial" w:cs="Arial"/>
          <w:w w:val="110"/>
          <w:sz w:val="17"/>
          <w:szCs w:val="17"/>
        </w:rPr>
        <w:t>Seligman,</w:t>
      </w:r>
      <w:r>
        <w:rPr>
          <w:rFonts w:ascii="Arial" w:hAnsi="Arial" w:cs="Arial"/>
          <w:spacing w:val="-30"/>
          <w:w w:val="110"/>
          <w:sz w:val="17"/>
          <w:szCs w:val="17"/>
        </w:rPr>
        <w:t xml:space="preserve"> </w:t>
      </w:r>
      <w:proofErr w:type="spellStart"/>
      <w:r>
        <w:rPr>
          <w:rFonts w:ascii="Arial" w:hAnsi="Arial" w:cs="Arial"/>
          <w:w w:val="110"/>
          <w:sz w:val="17"/>
          <w:szCs w:val="17"/>
        </w:rPr>
        <w:t>H.K.,Bolger</w:t>
      </w:r>
      <w:proofErr w:type="spellEnd"/>
      <w:r>
        <w:rPr>
          <w:rFonts w:ascii="Arial" w:hAnsi="Arial" w:cs="Arial"/>
          <w:w w:val="110"/>
          <w:sz w:val="17"/>
          <w:szCs w:val="17"/>
        </w:rPr>
        <w:t>,</w:t>
      </w:r>
      <w:r>
        <w:rPr>
          <w:rFonts w:ascii="Arial" w:hAnsi="Arial" w:cs="Arial"/>
          <w:spacing w:val="-33"/>
          <w:w w:val="110"/>
          <w:sz w:val="17"/>
          <w:szCs w:val="17"/>
        </w:rPr>
        <w:t xml:space="preserve"> </w:t>
      </w:r>
      <w:proofErr w:type="spellStart"/>
      <w:r>
        <w:rPr>
          <w:rFonts w:ascii="Arial" w:hAnsi="Arial" w:cs="Arial"/>
          <w:w w:val="110"/>
          <w:sz w:val="17"/>
          <w:szCs w:val="17"/>
        </w:rPr>
        <w:t>A.F.,Guzman</w:t>
      </w:r>
      <w:proofErr w:type="spellEnd"/>
      <w:r>
        <w:rPr>
          <w:rFonts w:ascii="Arial" w:hAnsi="Arial" w:cs="Arial"/>
          <w:w w:val="110"/>
          <w:sz w:val="17"/>
          <w:szCs w:val="17"/>
        </w:rPr>
        <w:t>,</w:t>
      </w:r>
      <w:r>
        <w:rPr>
          <w:rFonts w:ascii="Arial" w:hAnsi="Arial" w:cs="Arial"/>
          <w:spacing w:val="-34"/>
          <w:w w:val="110"/>
          <w:sz w:val="17"/>
          <w:szCs w:val="17"/>
        </w:rPr>
        <w:t xml:space="preserve"> </w:t>
      </w:r>
      <w:proofErr w:type="spellStart"/>
      <w:r>
        <w:rPr>
          <w:rFonts w:ascii="Arial" w:hAnsi="Arial" w:cs="Arial"/>
          <w:w w:val="110"/>
          <w:sz w:val="17"/>
          <w:szCs w:val="17"/>
        </w:rPr>
        <w:t>D.,Lopez</w:t>
      </w:r>
      <w:proofErr w:type="spellEnd"/>
      <w:r>
        <w:rPr>
          <w:rFonts w:ascii="Arial" w:hAnsi="Arial" w:cs="Arial"/>
          <w:w w:val="110"/>
          <w:sz w:val="17"/>
          <w:szCs w:val="17"/>
        </w:rPr>
        <w:t>,</w:t>
      </w:r>
      <w:r>
        <w:rPr>
          <w:rFonts w:ascii="Arial" w:hAnsi="Arial" w:cs="Arial"/>
          <w:spacing w:val="-33"/>
          <w:w w:val="110"/>
          <w:sz w:val="17"/>
          <w:szCs w:val="17"/>
        </w:rPr>
        <w:t xml:space="preserve"> </w:t>
      </w:r>
      <w:r>
        <w:rPr>
          <w:rFonts w:ascii="Arial" w:hAnsi="Arial" w:cs="Arial"/>
          <w:w w:val="110"/>
          <w:sz w:val="17"/>
          <w:szCs w:val="17"/>
        </w:rPr>
        <w:t>A</w:t>
      </w:r>
      <w:r>
        <w:rPr>
          <w:rFonts w:ascii="Arial" w:hAnsi="Arial" w:cs="Arial"/>
          <w:spacing w:val="-34"/>
          <w:w w:val="110"/>
          <w:sz w:val="17"/>
          <w:szCs w:val="17"/>
        </w:rPr>
        <w:t xml:space="preserve"> </w:t>
      </w:r>
      <w:r>
        <w:rPr>
          <w:rFonts w:ascii="Arial" w:hAnsi="Arial" w:cs="Arial"/>
          <w:w w:val="110"/>
          <w:sz w:val="17"/>
          <w:szCs w:val="17"/>
        </w:rPr>
        <w:t>and</w:t>
      </w:r>
      <w:r>
        <w:rPr>
          <w:rFonts w:ascii="Arial" w:hAnsi="Arial" w:cs="Arial"/>
          <w:spacing w:val="-33"/>
          <w:w w:val="110"/>
          <w:sz w:val="17"/>
          <w:szCs w:val="17"/>
        </w:rPr>
        <w:t xml:space="preserve"> </w:t>
      </w:r>
      <w:proofErr w:type="spellStart"/>
      <w:r>
        <w:rPr>
          <w:rFonts w:ascii="Arial" w:hAnsi="Arial" w:cs="Arial"/>
          <w:w w:val="110"/>
          <w:sz w:val="17"/>
          <w:szCs w:val="17"/>
        </w:rPr>
        <w:t>Bibbins-Domi</w:t>
      </w:r>
      <w:proofErr w:type="spellEnd"/>
      <w:r>
        <w:rPr>
          <w:rFonts w:ascii="Arial" w:hAnsi="Arial" w:cs="Arial"/>
          <w:spacing w:val="-35"/>
          <w:w w:val="110"/>
          <w:sz w:val="17"/>
          <w:szCs w:val="17"/>
        </w:rPr>
        <w:t xml:space="preserve"> </w:t>
      </w:r>
      <w:proofErr w:type="spellStart"/>
      <w:r>
        <w:rPr>
          <w:rFonts w:ascii="Arial" w:hAnsi="Arial" w:cs="Arial"/>
          <w:w w:val="110"/>
          <w:sz w:val="17"/>
          <w:szCs w:val="17"/>
        </w:rPr>
        <w:t>ngo</w:t>
      </w:r>
      <w:proofErr w:type="spellEnd"/>
      <w:r>
        <w:rPr>
          <w:rFonts w:ascii="Arial" w:hAnsi="Arial" w:cs="Arial"/>
          <w:w w:val="110"/>
          <w:sz w:val="17"/>
          <w:szCs w:val="17"/>
        </w:rPr>
        <w:t>,</w:t>
      </w:r>
      <w:r>
        <w:rPr>
          <w:rFonts w:ascii="Arial" w:hAnsi="Arial" w:cs="Arial"/>
          <w:spacing w:val="-36"/>
          <w:w w:val="110"/>
          <w:sz w:val="17"/>
          <w:szCs w:val="17"/>
        </w:rPr>
        <w:t xml:space="preserve"> </w:t>
      </w:r>
      <w:r>
        <w:rPr>
          <w:rFonts w:ascii="Arial" w:hAnsi="Arial" w:cs="Arial"/>
          <w:w w:val="110"/>
          <w:sz w:val="17"/>
          <w:szCs w:val="17"/>
        </w:rPr>
        <w:t>K.(2014).</w:t>
      </w:r>
      <w:r>
        <w:rPr>
          <w:rFonts w:ascii="Arial" w:hAnsi="Arial" w:cs="Arial"/>
          <w:spacing w:val="-31"/>
          <w:w w:val="110"/>
          <w:sz w:val="17"/>
          <w:szCs w:val="17"/>
        </w:rPr>
        <w:t xml:space="preserve"> </w:t>
      </w:r>
      <w:proofErr w:type="spellStart"/>
      <w:r>
        <w:rPr>
          <w:rFonts w:ascii="Arial" w:hAnsi="Arial" w:cs="Arial"/>
          <w:w w:val="110"/>
          <w:sz w:val="17"/>
          <w:szCs w:val="17"/>
        </w:rPr>
        <w:t>Exhaustionof</w:t>
      </w:r>
      <w:proofErr w:type="spellEnd"/>
      <w:r>
        <w:rPr>
          <w:rFonts w:ascii="Arial" w:hAnsi="Arial" w:cs="Arial"/>
          <w:spacing w:val="-36"/>
          <w:w w:val="110"/>
          <w:sz w:val="17"/>
          <w:szCs w:val="17"/>
        </w:rPr>
        <w:t xml:space="preserve"> </w:t>
      </w:r>
      <w:r>
        <w:rPr>
          <w:rFonts w:ascii="Arial" w:hAnsi="Arial" w:cs="Arial"/>
          <w:w w:val="110"/>
          <w:sz w:val="17"/>
          <w:szCs w:val="17"/>
        </w:rPr>
        <w:t>food</w:t>
      </w:r>
      <w:r>
        <w:rPr>
          <w:rFonts w:ascii="Arial" w:hAnsi="Arial" w:cs="Arial"/>
          <w:spacing w:val="-29"/>
          <w:w w:val="110"/>
          <w:sz w:val="17"/>
          <w:szCs w:val="17"/>
        </w:rPr>
        <w:t xml:space="preserve"> </w:t>
      </w:r>
      <w:r>
        <w:rPr>
          <w:rFonts w:ascii="Arial" w:hAnsi="Arial" w:cs="Arial"/>
          <w:w w:val="110"/>
          <w:sz w:val="17"/>
          <w:szCs w:val="17"/>
        </w:rPr>
        <w:t>budgets</w:t>
      </w:r>
      <w:r>
        <w:rPr>
          <w:rFonts w:ascii="Arial" w:hAnsi="Arial" w:cs="Arial"/>
          <w:spacing w:val="-34"/>
          <w:w w:val="110"/>
          <w:sz w:val="17"/>
          <w:szCs w:val="17"/>
        </w:rPr>
        <w:t xml:space="preserve"> </w:t>
      </w:r>
      <w:r>
        <w:rPr>
          <w:rFonts w:ascii="Arial" w:hAnsi="Arial" w:cs="Arial"/>
          <w:w w:val="110"/>
          <w:sz w:val="17"/>
          <w:szCs w:val="17"/>
        </w:rPr>
        <w:t>at month's</w:t>
      </w:r>
      <w:r>
        <w:rPr>
          <w:rFonts w:ascii="Arial" w:hAnsi="Arial" w:cs="Arial"/>
          <w:spacing w:val="-13"/>
          <w:w w:val="110"/>
          <w:sz w:val="17"/>
          <w:szCs w:val="17"/>
        </w:rPr>
        <w:t xml:space="preserve"> </w:t>
      </w:r>
      <w:r>
        <w:rPr>
          <w:rFonts w:ascii="Arial" w:hAnsi="Arial" w:cs="Arial"/>
          <w:w w:val="110"/>
          <w:sz w:val="17"/>
          <w:szCs w:val="17"/>
        </w:rPr>
        <w:t>end</w:t>
      </w:r>
      <w:r>
        <w:rPr>
          <w:rFonts w:ascii="Arial" w:hAnsi="Arial" w:cs="Arial"/>
          <w:spacing w:val="-6"/>
          <w:w w:val="110"/>
          <w:sz w:val="17"/>
          <w:szCs w:val="17"/>
        </w:rPr>
        <w:t xml:space="preserve"> </w:t>
      </w:r>
      <w:r>
        <w:rPr>
          <w:rFonts w:ascii="Arial" w:hAnsi="Arial" w:cs="Arial"/>
          <w:w w:val="110"/>
          <w:sz w:val="17"/>
          <w:szCs w:val="17"/>
        </w:rPr>
        <w:t>and</w:t>
      </w:r>
      <w:r>
        <w:rPr>
          <w:rFonts w:ascii="Arial" w:hAnsi="Arial" w:cs="Arial"/>
          <w:spacing w:val="-6"/>
          <w:w w:val="110"/>
          <w:sz w:val="17"/>
          <w:szCs w:val="17"/>
        </w:rPr>
        <w:t xml:space="preserve"> </w:t>
      </w:r>
      <w:r>
        <w:rPr>
          <w:rFonts w:ascii="Arial" w:hAnsi="Arial" w:cs="Arial"/>
          <w:w w:val="110"/>
          <w:sz w:val="17"/>
          <w:szCs w:val="17"/>
        </w:rPr>
        <w:t>hospital</w:t>
      </w:r>
      <w:r>
        <w:rPr>
          <w:rFonts w:ascii="Arial" w:hAnsi="Arial" w:cs="Arial"/>
          <w:spacing w:val="-9"/>
          <w:w w:val="110"/>
          <w:sz w:val="17"/>
          <w:szCs w:val="17"/>
        </w:rPr>
        <w:t xml:space="preserve"> </w:t>
      </w:r>
      <w:r>
        <w:rPr>
          <w:rFonts w:ascii="Arial" w:hAnsi="Arial" w:cs="Arial"/>
          <w:w w:val="110"/>
          <w:sz w:val="17"/>
          <w:szCs w:val="17"/>
        </w:rPr>
        <w:t>admissions</w:t>
      </w:r>
      <w:r>
        <w:rPr>
          <w:rFonts w:ascii="Arial" w:hAnsi="Arial" w:cs="Arial"/>
          <w:spacing w:val="-3"/>
          <w:w w:val="110"/>
          <w:sz w:val="17"/>
          <w:szCs w:val="17"/>
        </w:rPr>
        <w:t xml:space="preserve"> </w:t>
      </w:r>
      <w:r>
        <w:rPr>
          <w:rFonts w:ascii="Arial" w:hAnsi="Arial" w:cs="Arial"/>
          <w:w w:val="110"/>
          <w:sz w:val="17"/>
          <w:szCs w:val="17"/>
        </w:rPr>
        <w:t>for</w:t>
      </w:r>
      <w:r>
        <w:rPr>
          <w:rFonts w:ascii="Arial" w:hAnsi="Arial" w:cs="Arial"/>
          <w:spacing w:val="-3"/>
          <w:w w:val="110"/>
          <w:sz w:val="17"/>
          <w:szCs w:val="17"/>
        </w:rPr>
        <w:t xml:space="preserve"> </w:t>
      </w:r>
      <w:r>
        <w:rPr>
          <w:rFonts w:ascii="Arial" w:hAnsi="Arial" w:cs="Arial"/>
          <w:w w:val="110"/>
          <w:sz w:val="17"/>
          <w:szCs w:val="17"/>
        </w:rPr>
        <w:t>hypoglycemia.</w:t>
      </w:r>
      <w:r>
        <w:rPr>
          <w:rFonts w:ascii="Arial" w:hAnsi="Arial" w:cs="Arial"/>
          <w:spacing w:val="-23"/>
          <w:w w:val="110"/>
          <w:sz w:val="17"/>
          <w:szCs w:val="17"/>
        </w:rPr>
        <w:t xml:space="preserve"> </w:t>
      </w:r>
      <w:r>
        <w:rPr>
          <w:rFonts w:ascii="Arial" w:hAnsi="Arial" w:cs="Arial"/>
          <w:i/>
          <w:iCs/>
          <w:w w:val="110"/>
          <w:sz w:val="17"/>
          <w:szCs w:val="17"/>
        </w:rPr>
        <w:t>Health</w:t>
      </w:r>
      <w:r>
        <w:rPr>
          <w:rFonts w:ascii="Arial" w:hAnsi="Arial" w:cs="Arial"/>
          <w:i/>
          <w:iCs/>
          <w:spacing w:val="-19"/>
          <w:w w:val="110"/>
          <w:sz w:val="17"/>
          <w:szCs w:val="17"/>
        </w:rPr>
        <w:t xml:space="preserve"> </w:t>
      </w:r>
      <w:r>
        <w:rPr>
          <w:rFonts w:ascii="Arial" w:hAnsi="Arial" w:cs="Arial"/>
          <w:i/>
          <w:iCs/>
          <w:spacing w:val="-9"/>
          <w:w w:val="110"/>
          <w:sz w:val="17"/>
          <w:szCs w:val="17"/>
        </w:rPr>
        <w:t>Aft</w:t>
      </w:r>
      <w:r>
        <w:rPr>
          <w:rFonts w:ascii="Arial" w:hAnsi="Arial" w:cs="Arial"/>
          <w:i/>
          <w:iCs/>
          <w:spacing w:val="-30"/>
          <w:w w:val="110"/>
          <w:sz w:val="17"/>
          <w:szCs w:val="17"/>
        </w:rPr>
        <w:t xml:space="preserve"> </w:t>
      </w:r>
      <w:r>
        <w:rPr>
          <w:rFonts w:ascii="Arial" w:hAnsi="Arial" w:cs="Arial"/>
          <w:i/>
          <w:iCs/>
          <w:w w:val="110"/>
          <w:sz w:val="17"/>
          <w:szCs w:val="17"/>
        </w:rPr>
        <w:t>(Millwood),</w:t>
      </w:r>
      <w:r>
        <w:rPr>
          <w:rFonts w:ascii="Arial" w:hAnsi="Arial" w:cs="Arial"/>
          <w:i/>
          <w:iCs/>
          <w:spacing w:val="-15"/>
          <w:w w:val="110"/>
          <w:sz w:val="17"/>
          <w:szCs w:val="17"/>
        </w:rPr>
        <w:t xml:space="preserve"> </w:t>
      </w:r>
      <w:r>
        <w:rPr>
          <w:rFonts w:ascii="Arial" w:hAnsi="Arial" w:cs="Arial"/>
          <w:spacing w:val="-3"/>
          <w:w w:val="110"/>
          <w:sz w:val="17"/>
          <w:szCs w:val="17"/>
        </w:rPr>
        <w:t>32(1),</w:t>
      </w:r>
      <w:r>
        <w:rPr>
          <w:rFonts w:ascii="Arial" w:hAnsi="Arial" w:cs="Arial"/>
          <w:spacing w:val="-18"/>
          <w:w w:val="110"/>
          <w:sz w:val="17"/>
          <w:szCs w:val="17"/>
        </w:rPr>
        <w:t xml:space="preserve"> </w:t>
      </w:r>
      <w:r>
        <w:rPr>
          <w:rFonts w:ascii="Arial" w:hAnsi="Arial" w:cs="Arial"/>
          <w:spacing w:val="-8"/>
          <w:w w:val="110"/>
          <w:sz w:val="17"/>
          <w:szCs w:val="17"/>
        </w:rPr>
        <w:t>116-123.</w:t>
      </w:r>
    </w:p>
    <w:p w:rsidR="002C5025" w:rsidRDefault="002C5025">
      <w:pPr>
        <w:pStyle w:val="BodyText"/>
        <w:kinsoku w:val="0"/>
        <w:overflowPunct w:val="0"/>
        <w:spacing w:before="2" w:line="288" w:lineRule="auto"/>
        <w:ind w:left="600" w:right="151"/>
        <w:rPr>
          <w:rFonts w:ascii="Arial" w:hAnsi="Arial" w:cs="Arial"/>
          <w:spacing w:val="-6"/>
          <w:sz w:val="17"/>
          <w:szCs w:val="17"/>
        </w:rPr>
      </w:pPr>
      <w:r>
        <w:rPr>
          <w:rFonts w:ascii="Arial" w:hAnsi="Arial" w:cs="Arial"/>
          <w:b/>
          <w:bCs/>
          <w:spacing w:val="-1"/>
          <w:w w:val="93"/>
          <w:sz w:val="12"/>
          <w:szCs w:val="12"/>
        </w:rPr>
        <w:t>xxiii</w:t>
      </w:r>
      <w:r>
        <w:rPr>
          <w:rFonts w:ascii="Arial" w:hAnsi="Arial" w:cs="Arial"/>
          <w:b/>
          <w:bCs/>
          <w:spacing w:val="-2"/>
          <w:w w:val="93"/>
          <w:sz w:val="12"/>
          <w:szCs w:val="12"/>
        </w:rPr>
        <w:t xml:space="preserve"> </w:t>
      </w:r>
      <w:r>
        <w:rPr>
          <w:rFonts w:ascii="Arial" w:hAnsi="Arial" w:cs="Arial"/>
          <w:b/>
          <w:bCs/>
          <w:spacing w:val="-1"/>
          <w:w w:val="95"/>
          <w:sz w:val="18"/>
          <w:szCs w:val="18"/>
        </w:rPr>
        <w:t>Seligman</w:t>
      </w:r>
      <w:r>
        <w:rPr>
          <w:rFonts w:ascii="Arial" w:hAnsi="Arial" w:cs="Arial"/>
          <w:b/>
          <w:bCs/>
          <w:spacing w:val="-1"/>
          <w:w w:val="95"/>
          <w:position w:val="-2"/>
          <w:sz w:val="8"/>
          <w:szCs w:val="8"/>
        </w:rPr>
        <w:t>1</w:t>
      </w:r>
      <w:r>
        <w:rPr>
          <w:rFonts w:ascii="Arial" w:hAnsi="Arial" w:cs="Arial"/>
          <w:b/>
          <w:bCs/>
          <w:spacing w:val="-2"/>
          <w:w w:val="95"/>
          <w:position w:val="-2"/>
          <w:sz w:val="8"/>
          <w:szCs w:val="8"/>
        </w:rPr>
        <w:t xml:space="preserve"> </w:t>
      </w:r>
      <w:r>
        <w:rPr>
          <w:rFonts w:ascii="Arial" w:hAnsi="Arial" w:cs="Arial"/>
          <w:b/>
          <w:bCs/>
          <w:spacing w:val="-3"/>
          <w:w w:val="95"/>
          <w:sz w:val="18"/>
          <w:szCs w:val="18"/>
        </w:rPr>
        <w:t>H.K.</w:t>
      </w:r>
      <w:r>
        <w:rPr>
          <w:rFonts w:ascii="Arial" w:hAnsi="Arial" w:cs="Arial"/>
          <w:b/>
          <w:bCs/>
          <w:spacing w:val="-3"/>
          <w:w w:val="95"/>
          <w:position w:val="-2"/>
          <w:sz w:val="8"/>
          <w:szCs w:val="8"/>
        </w:rPr>
        <w:t>1</w:t>
      </w:r>
      <w:r>
        <w:rPr>
          <w:rFonts w:ascii="Arial" w:hAnsi="Arial" w:cs="Arial"/>
          <w:b/>
          <w:bCs/>
          <w:spacing w:val="2"/>
          <w:w w:val="95"/>
          <w:position w:val="-2"/>
          <w:sz w:val="8"/>
          <w:szCs w:val="8"/>
        </w:rPr>
        <w:t xml:space="preserve"> </w:t>
      </w:r>
      <w:r>
        <w:rPr>
          <w:rFonts w:ascii="Arial" w:hAnsi="Arial" w:cs="Arial"/>
          <w:b/>
          <w:bCs/>
          <w:spacing w:val="-1"/>
          <w:w w:val="95"/>
          <w:sz w:val="18"/>
          <w:szCs w:val="18"/>
        </w:rPr>
        <w:t>Lyles,</w:t>
      </w:r>
      <w:r>
        <w:rPr>
          <w:rFonts w:ascii="Arial" w:hAnsi="Arial" w:cs="Arial"/>
          <w:b/>
          <w:bCs/>
          <w:spacing w:val="-21"/>
          <w:w w:val="95"/>
          <w:sz w:val="18"/>
          <w:szCs w:val="18"/>
        </w:rPr>
        <w:t xml:space="preserve"> </w:t>
      </w:r>
      <w:r>
        <w:rPr>
          <w:rFonts w:ascii="Arial" w:hAnsi="Arial" w:cs="Arial"/>
          <w:b/>
          <w:bCs/>
          <w:w w:val="95"/>
          <w:sz w:val="18"/>
          <w:szCs w:val="18"/>
        </w:rPr>
        <w:t>C.</w:t>
      </w:r>
      <w:r>
        <w:rPr>
          <w:rFonts w:ascii="Arial" w:hAnsi="Arial" w:cs="Arial"/>
          <w:b/>
          <w:bCs/>
          <w:w w:val="95"/>
          <w:position w:val="-3"/>
          <w:sz w:val="8"/>
          <w:szCs w:val="8"/>
        </w:rPr>
        <w:t xml:space="preserve">1 </w:t>
      </w:r>
      <w:r>
        <w:rPr>
          <w:rFonts w:ascii="Arial" w:hAnsi="Arial" w:cs="Arial"/>
          <w:b/>
          <w:bCs/>
          <w:spacing w:val="-1"/>
          <w:w w:val="95"/>
          <w:sz w:val="18"/>
          <w:szCs w:val="18"/>
        </w:rPr>
        <w:t>Marshall</w:t>
      </w:r>
      <w:r>
        <w:rPr>
          <w:rFonts w:ascii="Arial" w:hAnsi="Arial" w:cs="Arial"/>
          <w:b/>
          <w:bCs/>
          <w:spacing w:val="-1"/>
          <w:w w:val="95"/>
          <w:position w:val="-3"/>
          <w:sz w:val="8"/>
          <w:szCs w:val="8"/>
        </w:rPr>
        <w:t>1</w:t>
      </w:r>
      <w:r>
        <w:rPr>
          <w:rFonts w:ascii="Arial" w:hAnsi="Arial" w:cs="Arial"/>
          <w:b/>
          <w:bCs/>
          <w:spacing w:val="-2"/>
          <w:w w:val="95"/>
          <w:position w:val="-3"/>
          <w:sz w:val="8"/>
          <w:szCs w:val="8"/>
        </w:rPr>
        <w:t xml:space="preserve"> </w:t>
      </w:r>
      <w:r>
        <w:rPr>
          <w:rFonts w:ascii="Arial" w:hAnsi="Arial" w:cs="Arial"/>
          <w:b/>
          <w:bCs/>
          <w:spacing w:val="-2"/>
          <w:w w:val="95"/>
          <w:sz w:val="18"/>
          <w:szCs w:val="18"/>
        </w:rPr>
        <w:t>M.B.,</w:t>
      </w:r>
      <w:r>
        <w:rPr>
          <w:rFonts w:ascii="Arial" w:hAnsi="Arial" w:cs="Arial"/>
          <w:b/>
          <w:bCs/>
          <w:spacing w:val="-21"/>
          <w:w w:val="95"/>
          <w:sz w:val="18"/>
          <w:szCs w:val="18"/>
        </w:rPr>
        <w:t xml:space="preserve"> </w:t>
      </w:r>
      <w:r>
        <w:rPr>
          <w:rFonts w:ascii="Arial" w:hAnsi="Arial" w:cs="Arial"/>
          <w:b/>
          <w:bCs/>
          <w:spacing w:val="-1"/>
          <w:w w:val="95"/>
          <w:sz w:val="18"/>
          <w:szCs w:val="18"/>
        </w:rPr>
        <w:t>Prendergast,</w:t>
      </w:r>
      <w:r>
        <w:rPr>
          <w:rFonts w:ascii="Arial" w:hAnsi="Arial" w:cs="Arial"/>
          <w:b/>
          <w:bCs/>
          <w:spacing w:val="-16"/>
          <w:w w:val="95"/>
          <w:sz w:val="18"/>
          <w:szCs w:val="18"/>
        </w:rPr>
        <w:t xml:space="preserve"> </w:t>
      </w:r>
      <w:r>
        <w:rPr>
          <w:rFonts w:ascii="Arial" w:hAnsi="Arial" w:cs="Arial"/>
          <w:b/>
          <w:bCs/>
          <w:spacing w:val="-3"/>
          <w:w w:val="95"/>
          <w:sz w:val="18"/>
          <w:szCs w:val="18"/>
        </w:rPr>
        <w:t>K.</w:t>
      </w:r>
      <w:r>
        <w:rPr>
          <w:rFonts w:ascii="Arial" w:hAnsi="Arial" w:cs="Arial"/>
          <w:b/>
          <w:bCs/>
          <w:spacing w:val="-3"/>
          <w:w w:val="95"/>
          <w:position w:val="-3"/>
          <w:sz w:val="8"/>
          <w:szCs w:val="8"/>
        </w:rPr>
        <w:t>1</w:t>
      </w:r>
      <w:r>
        <w:rPr>
          <w:rFonts w:ascii="Arial" w:hAnsi="Arial" w:cs="Arial"/>
          <w:b/>
          <w:bCs/>
          <w:spacing w:val="-8"/>
          <w:w w:val="95"/>
          <w:position w:val="-3"/>
          <w:sz w:val="8"/>
          <w:szCs w:val="8"/>
        </w:rPr>
        <w:t xml:space="preserve"> </w:t>
      </w:r>
      <w:r>
        <w:rPr>
          <w:rFonts w:ascii="Arial" w:hAnsi="Arial" w:cs="Arial"/>
          <w:b/>
          <w:bCs/>
          <w:spacing w:val="-2"/>
          <w:w w:val="95"/>
          <w:sz w:val="18"/>
          <w:szCs w:val="18"/>
        </w:rPr>
        <w:t>Smith,</w:t>
      </w:r>
      <w:r>
        <w:rPr>
          <w:rFonts w:ascii="Arial" w:hAnsi="Arial" w:cs="Arial"/>
          <w:b/>
          <w:bCs/>
          <w:spacing w:val="-17"/>
          <w:w w:val="95"/>
          <w:sz w:val="18"/>
          <w:szCs w:val="18"/>
        </w:rPr>
        <w:t xml:space="preserve"> </w:t>
      </w:r>
      <w:r>
        <w:rPr>
          <w:rFonts w:ascii="Arial" w:hAnsi="Arial" w:cs="Arial"/>
          <w:b/>
          <w:bCs/>
          <w:spacing w:val="-2"/>
          <w:w w:val="95"/>
          <w:sz w:val="18"/>
          <w:szCs w:val="18"/>
        </w:rPr>
        <w:t>M.C.,</w:t>
      </w:r>
      <w:r>
        <w:rPr>
          <w:rFonts w:ascii="Arial" w:hAnsi="Arial" w:cs="Arial"/>
          <w:b/>
          <w:bCs/>
          <w:spacing w:val="-21"/>
          <w:w w:val="95"/>
          <w:sz w:val="18"/>
          <w:szCs w:val="18"/>
        </w:rPr>
        <w:t xml:space="preserve"> </w:t>
      </w:r>
      <w:r>
        <w:rPr>
          <w:rFonts w:ascii="Arial" w:hAnsi="Arial" w:cs="Arial"/>
          <w:b/>
          <w:bCs/>
          <w:spacing w:val="-2"/>
          <w:w w:val="95"/>
          <w:sz w:val="18"/>
          <w:szCs w:val="18"/>
        </w:rPr>
        <w:t>Headings,</w:t>
      </w:r>
      <w:r>
        <w:rPr>
          <w:rFonts w:ascii="Arial" w:hAnsi="Arial" w:cs="Arial"/>
          <w:b/>
          <w:bCs/>
          <w:spacing w:val="-27"/>
          <w:w w:val="95"/>
          <w:sz w:val="18"/>
          <w:szCs w:val="18"/>
        </w:rPr>
        <w:t xml:space="preserve"> </w:t>
      </w:r>
      <w:r>
        <w:rPr>
          <w:rFonts w:ascii="Arial" w:hAnsi="Arial" w:cs="Arial"/>
          <w:b/>
          <w:bCs/>
          <w:spacing w:val="-2"/>
          <w:w w:val="95"/>
          <w:sz w:val="18"/>
          <w:szCs w:val="18"/>
        </w:rPr>
        <w:t>A.</w:t>
      </w:r>
      <w:r>
        <w:rPr>
          <w:rFonts w:ascii="Arial" w:hAnsi="Arial" w:cs="Arial"/>
          <w:b/>
          <w:bCs/>
          <w:spacing w:val="-19"/>
          <w:w w:val="95"/>
          <w:sz w:val="18"/>
          <w:szCs w:val="18"/>
        </w:rPr>
        <w:t xml:space="preserve"> </w:t>
      </w:r>
      <w:r>
        <w:rPr>
          <w:rFonts w:ascii="Arial" w:hAnsi="Arial" w:cs="Arial"/>
          <w:b/>
          <w:bCs/>
          <w:spacing w:val="-2"/>
          <w:w w:val="95"/>
          <w:sz w:val="18"/>
          <w:szCs w:val="18"/>
        </w:rPr>
        <w:t>Bradshaw,</w:t>
      </w:r>
      <w:r>
        <w:rPr>
          <w:rFonts w:ascii="Arial" w:hAnsi="Arial" w:cs="Arial"/>
          <w:b/>
          <w:bCs/>
          <w:spacing w:val="-16"/>
          <w:w w:val="95"/>
          <w:sz w:val="18"/>
          <w:szCs w:val="18"/>
        </w:rPr>
        <w:t xml:space="preserve"> </w:t>
      </w:r>
      <w:r>
        <w:rPr>
          <w:rFonts w:ascii="Arial" w:hAnsi="Arial" w:cs="Arial"/>
          <w:b/>
          <w:bCs/>
          <w:spacing w:val="-1"/>
          <w:w w:val="95"/>
          <w:sz w:val="18"/>
          <w:szCs w:val="18"/>
        </w:rPr>
        <w:t>G.,</w:t>
      </w:r>
      <w:r>
        <w:rPr>
          <w:rFonts w:ascii="Arial" w:hAnsi="Arial" w:cs="Arial"/>
          <w:b/>
          <w:bCs/>
          <w:spacing w:val="-21"/>
          <w:w w:val="95"/>
          <w:sz w:val="18"/>
          <w:szCs w:val="18"/>
        </w:rPr>
        <w:t xml:space="preserve"> </w:t>
      </w:r>
      <w:proofErr w:type="spellStart"/>
      <w:r>
        <w:rPr>
          <w:rFonts w:ascii="Arial" w:hAnsi="Arial" w:cs="Arial"/>
          <w:b/>
          <w:bCs/>
          <w:spacing w:val="-2"/>
          <w:w w:val="95"/>
          <w:sz w:val="18"/>
          <w:szCs w:val="18"/>
        </w:rPr>
        <w:t>Rosenmoss</w:t>
      </w:r>
      <w:proofErr w:type="spellEnd"/>
      <w:r>
        <w:rPr>
          <w:rFonts w:ascii="Arial" w:hAnsi="Arial" w:cs="Arial"/>
          <w:b/>
          <w:bCs/>
          <w:spacing w:val="-2"/>
          <w:w w:val="95"/>
          <w:sz w:val="18"/>
          <w:szCs w:val="18"/>
        </w:rPr>
        <w:t>,</w:t>
      </w:r>
      <w:r>
        <w:rPr>
          <w:rFonts w:ascii="Arial" w:hAnsi="Arial" w:cs="Arial"/>
          <w:b/>
          <w:bCs/>
          <w:spacing w:val="-21"/>
          <w:w w:val="95"/>
          <w:sz w:val="18"/>
          <w:szCs w:val="18"/>
        </w:rPr>
        <w:t xml:space="preserve"> </w:t>
      </w:r>
      <w:r>
        <w:rPr>
          <w:rFonts w:ascii="Arial" w:hAnsi="Arial" w:cs="Arial"/>
          <w:b/>
          <w:bCs/>
          <w:spacing w:val="-1"/>
          <w:w w:val="95"/>
          <w:sz w:val="18"/>
          <w:szCs w:val="18"/>
        </w:rPr>
        <w:t>S.,</w:t>
      </w:r>
      <w:r>
        <w:rPr>
          <w:rFonts w:ascii="Arial" w:hAnsi="Arial" w:cs="Arial"/>
          <w:b/>
          <w:bCs/>
          <w:w w:val="95"/>
          <w:sz w:val="18"/>
          <w:szCs w:val="18"/>
        </w:rPr>
        <w:t xml:space="preserve"> </w:t>
      </w:r>
      <w:r>
        <w:rPr>
          <w:rFonts w:ascii="Arial" w:hAnsi="Arial" w:cs="Arial"/>
          <w:sz w:val="17"/>
          <w:szCs w:val="17"/>
        </w:rPr>
        <w:t xml:space="preserve">and Waxman, E. November  </w:t>
      </w:r>
      <w:r>
        <w:rPr>
          <w:rFonts w:ascii="Arial" w:hAnsi="Arial" w:cs="Arial"/>
          <w:spacing w:val="-4"/>
          <w:sz w:val="17"/>
          <w:szCs w:val="17"/>
        </w:rPr>
        <w:t xml:space="preserve">2015. </w:t>
      </w:r>
      <w:r>
        <w:rPr>
          <w:rFonts w:ascii="Arial" w:hAnsi="Arial" w:cs="Arial"/>
          <w:sz w:val="17"/>
          <w:szCs w:val="17"/>
        </w:rPr>
        <w:t xml:space="preserve">A  pilot food  bank  intervention  featuring diabetes-appropriate  food  improved glycemic   control   among  clients  in three  states.  </w:t>
      </w:r>
      <w:r>
        <w:rPr>
          <w:rFonts w:ascii="Arial" w:hAnsi="Arial" w:cs="Arial"/>
          <w:i/>
          <w:iCs/>
          <w:sz w:val="17"/>
          <w:szCs w:val="17"/>
        </w:rPr>
        <w:t xml:space="preserve">Health  </w:t>
      </w:r>
      <w:r>
        <w:rPr>
          <w:rFonts w:ascii="Arial" w:hAnsi="Arial" w:cs="Arial"/>
          <w:i/>
          <w:iCs/>
          <w:spacing w:val="-5"/>
          <w:sz w:val="17"/>
          <w:szCs w:val="17"/>
        </w:rPr>
        <w:t xml:space="preserve">Aft.  </w:t>
      </w:r>
      <w:r>
        <w:rPr>
          <w:rFonts w:ascii="Arial" w:hAnsi="Arial" w:cs="Arial"/>
          <w:i/>
          <w:iCs/>
          <w:sz w:val="17"/>
          <w:szCs w:val="17"/>
        </w:rPr>
        <w:t xml:space="preserve">(Millwood),  </w:t>
      </w:r>
      <w:r>
        <w:rPr>
          <w:rFonts w:ascii="Arial" w:hAnsi="Arial" w:cs="Arial"/>
          <w:spacing w:val="-7"/>
          <w:sz w:val="17"/>
          <w:szCs w:val="17"/>
        </w:rPr>
        <w:t xml:space="preserve">34(11), </w:t>
      </w:r>
      <w:r>
        <w:rPr>
          <w:rFonts w:ascii="Arial" w:hAnsi="Arial" w:cs="Arial"/>
          <w:spacing w:val="12"/>
          <w:sz w:val="17"/>
          <w:szCs w:val="17"/>
        </w:rPr>
        <w:t xml:space="preserve"> </w:t>
      </w:r>
      <w:r>
        <w:rPr>
          <w:rFonts w:ascii="Arial" w:hAnsi="Arial" w:cs="Arial"/>
          <w:spacing w:val="-6"/>
          <w:sz w:val="17"/>
          <w:szCs w:val="17"/>
        </w:rPr>
        <w:t>1956-1963.</w:t>
      </w:r>
    </w:p>
    <w:p w:rsidR="002C5025" w:rsidRDefault="002C5025">
      <w:pPr>
        <w:pStyle w:val="BodyText"/>
        <w:kinsoku w:val="0"/>
        <w:overflowPunct w:val="0"/>
        <w:spacing w:before="11" w:line="295" w:lineRule="auto"/>
        <w:ind w:left="600" w:right="247" w:firstLine="40"/>
        <w:rPr>
          <w:rFonts w:ascii="Arial" w:hAnsi="Arial" w:cs="Arial"/>
          <w:w w:val="105"/>
          <w:sz w:val="17"/>
          <w:szCs w:val="17"/>
        </w:rPr>
      </w:pPr>
      <w:r>
        <w:rPr>
          <w:rFonts w:ascii="Arial" w:hAnsi="Arial" w:cs="Arial"/>
          <w:w w:val="105"/>
          <w:sz w:val="17"/>
          <w:szCs w:val="17"/>
        </w:rPr>
        <w:t xml:space="preserve">''Frank, D.A., </w:t>
      </w:r>
      <w:proofErr w:type="spellStart"/>
      <w:r>
        <w:rPr>
          <w:rFonts w:ascii="Arial" w:hAnsi="Arial" w:cs="Arial"/>
          <w:w w:val="105"/>
          <w:sz w:val="17"/>
          <w:szCs w:val="17"/>
        </w:rPr>
        <w:t>Neault</w:t>
      </w:r>
      <w:proofErr w:type="spellEnd"/>
      <w:r>
        <w:rPr>
          <w:rFonts w:ascii="Arial" w:hAnsi="Arial" w:cs="Arial"/>
          <w:w w:val="105"/>
          <w:sz w:val="17"/>
          <w:szCs w:val="17"/>
        </w:rPr>
        <w:t xml:space="preserve">, N.B., </w:t>
      </w:r>
      <w:proofErr w:type="spellStart"/>
      <w:r>
        <w:rPr>
          <w:rFonts w:ascii="Arial" w:hAnsi="Arial" w:cs="Arial"/>
          <w:w w:val="105"/>
          <w:sz w:val="17"/>
          <w:szCs w:val="17"/>
        </w:rPr>
        <w:t>Skalicky</w:t>
      </w:r>
      <w:proofErr w:type="spellEnd"/>
      <w:r>
        <w:rPr>
          <w:rFonts w:ascii="Arial" w:hAnsi="Arial" w:cs="Arial"/>
          <w:w w:val="105"/>
          <w:sz w:val="17"/>
          <w:szCs w:val="17"/>
        </w:rPr>
        <w:t xml:space="preserve">, A., Cook, </w:t>
      </w:r>
      <w:proofErr w:type="spellStart"/>
      <w:r>
        <w:rPr>
          <w:rFonts w:ascii="Arial" w:hAnsi="Arial" w:cs="Arial"/>
          <w:w w:val="105"/>
          <w:sz w:val="17"/>
          <w:szCs w:val="17"/>
        </w:rPr>
        <w:t>J.T.,Wilson</w:t>
      </w:r>
      <w:proofErr w:type="spellEnd"/>
      <w:r>
        <w:rPr>
          <w:rFonts w:ascii="Arial" w:hAnsi="Arial" w:cs="Arial"/>
          <w:w w:val="105"/>
          <w:sz w:val="17"/>
          <w:szCs w:val="17"/>
        </w:rPr>
        <w:t xml:space="preserve">, J.D., </w:t>
      </w:r>
      <w:proofErr w:type="spellStart"/>
      <w:r>
        <w:rPr>
          <w:rFonts w:ascii="Arial" w:hAnsi="Arial" w:cs="Arial"/>
          <w:w w:val="105"/>
          <w:sz w:val="17"/>
          <w:szCs w:val="17"/>
        </w:rPr>
        <w:t>Levenson</w:t>
      </w:r>
      <w:proofErr w:type="spellEnd"/>
      <w:r>
        <w:rPr>
          <w:rFonts w:ascii="Arial" w:hAnsi="Arial" w:cs="Arial"/>
          <w:w w:val="105"/>
          <w:sz w:val="17"/>
          <w:szCs w:val="17"/>
        </w:rPr>
        <w:t xml:space="preserve">, S., Berkowitz, C. 2006. Heat or eat: the Low-Income Energy Assistance Program and nutritional and health risks among children less than 3 years of age. </w:t>
      </w:r>
      <w:r>
        <w:rPr>
          <w:rFonts w:ascii="Arial" w:hAnsi="Arial" w:cs="Arial"/>
          <w:i/>
          <w:iCs/>
          <w:w w:val="105"/>
          <w:sz w:val="17"/>
          <w:szCs w:val="17"/>
        </w:rPr>
        <w:t xml:space="preserve">Pediatrics,  </w:t>
      </w:r>
      <w:r>
        <w:rPr>
          <w:rFonts w:ascii="Arial" w:hAnsi="Arial" w:cs="Arial"/>
          <w:w w:val="105"/>
          <w:sz w:val="17"/>
          <w:szCs w:val="17"/>
        </w:rPr>
        <w:t>118(5), 1293-1302.</w:t>
      </w:r>
    </w:p>
    <w:p w:rsidR="002C5025" w:rsidRDefault="002C5025">
      <w:pPr>
        <w:pStyle w:val="BodyText"/>
        <w:kinsoku w:val="0"/>
        <w:overflowPunct w:val="0"/>
        <w:spacing w:line="241" w:lineRule="exact"/>
        <w:ind w:left="645" w:right="289"/>
        <w:rPr>
          <w:rFonts w:ascii="Arial" w:hAnsi="Arial" w:cs="Arial"/>
          <w:w w:val="105"/>
          <w:sz w:val="17"/>
          <w:szCs w:val="17"/>
        </w:rPr>
      </w:pPr>
      <w:r>
        <w:rPr>
          <w:rFonts w:ascii="Arial" w:hAnsi="Arial" w:cs="Arial"/>
          <w:w w:val="105"/>
          <w:sz w:val="17"/>
          <w:szCs w:val="17"/>
        </w:rPr>
        <w:t>'Arno, P.S.,</w:t>
      </w:r>
      <w:proofErr w:type="spellStart"/>
      <w:r>
        <w:rPr>
          <w:rFonts w:ascii="Arial" w:hAnsi="Arial" w:cs="Arial"/>
          <w:w w:val="105"/>
          <w:sz w:val="17"/>
          <w:szCs w:val="17"/>
        </w:rPr>
        <w:t>Sahler</w:t>
      </w:r>
      <w:proofErr w:type="spellEnd"/>
      <w:r>
        <w:rPr>
          <w:rFonts w:ascii="Arial" w:hAnsi="Arial" w:cs="Arial"/>
          <w:w w:val="105"/>
          <w:sz w:val="17"/>
          <w:szCs w:val="17"/>
        </w:rPr>
        <w:t xml:space="preserve">, N., Viola,  </w:t>
      </w:r>
      <w:proofErr w:type="spellStart"/>
      <w:r>
        <w:rPr>
          <w:rFonts w:ascii="Arial" w:hAnsi="Arial" w:cs="Arial"/>
          <w:w w:val="105"/>
          <w:sz w:val="17"/>
          <w:szCs w:val="17"/>
        </w:rPr>
        <w:t>D.,and</w:t>
      </w:r>
      <w:proofErr w:type="spellEnd"/>
      <w:r>
        <w:rPr>
          <w:rFonts w:ascii="Arial" w:hAnsi="Arial" w:cs="Arial"/>
          <w:w w:val="105"/>
          <w:sz w:val="17"/>
          <w:szCs w:val="17"/>
        </w:rPr>
        <w:t xml:space="preserve"> </w:t>
      </w:r>
      <w:proofErr w:type="spellStart"/>
      <w:r>
        <w:rPr>
          <w:rFonts w:ascii="Arial" w:hAnsi="Arial" w:cs="Arial"/>
          <w:w w:val="105"/>
          <w:sz w:val="17"/>
          <w:szCs w:val="17"/>
        </w:rPr>
        <w:t>Schecter</w:t>
      </w:r>
      <w:proofErr w:type="spellEnd"/>
      <w:r>
        <w:rPr>
          <w:rFonts w:ascii="Arial" w:hAnsi="Arial" w:cs="Arial"/>
          <w:w w:val="105"/>
          <w:sz w:val="17"/>
          <w:szCs w:val="17"/>
        </w:rPr>
        <w:t xml:space="preserve">, </w:t>
      </w:r>
      <w:r>
        <w:rPr>
          <w:rFonts w:ascii="Times New Roman" w:hAnsi="Times New Roman" w:cs="Times New Roman"/>
          <w:w w:val="105"/>
          <w:sz w:val="26"/>
          <w:szCs w:val="26"/>
        </w:rPr>
        <w:t xml:space="preserve">c. </w:t>
      </w:r>
      <w:r>
        <w:rPr>
          <w:rFonts w:ascii="Arial" w:hAnsi="Arial" w:cs="Arial"/>
          <w:w w:val="105"/>
          <w:sz w:val="17"/>
          <w:szCs w:val="17"/>
        </w:rPr>
        <w:t>(2009). Bringing health and social policy together: the case of</w:t>
      </w:r>
    </w:p>
    <w:p w:rsidR="002C5025" w:rsidRDefault="002C5025">
      <w:pPr>
        <w:pStyle w:val="BodyText"/>
        <w:kinsoku w:val="0"/>
        <w:overflowPunct w:val="0"/>
        <w:spacing w:before="17"/>
        <w:ind w:left="592" w:right="289"/>
        <w:rPr>
          <w:rFonts w:ascii="Arial" w:hAnsi="Arial" w:cs="Arial"/>
          <w:w w:val="105"/>
          <w:sz w:val="17"/>
          <w:szCs w:val="17"/>
        </w:rPr>
      </w:pPr>
      <w:r>
        <w:rPr>
          <w:rFonts w:ascii="Arial" w:hAnsi="Arial" w:cs="Arial"/>
          <w:w w:val="105"/>
          <w:sz w:val="17"/>
          <w:szCs w:val="17"/>
        </w:rPr>
        <w:t xml:space="preserve">the Earned Income Tax Credit. </w:t>
      </w:r>
      <w:r>
        <w:rPr>
          <w:rFonts w:ascii="Arial" w:hAnsi="Arial" w:cs="Arial"/>
          <w:i/>
          <w:iCs/>
          <w:w w:val="105"/>
          <w:sz w:val="17"/>
          <w:szCs w:val="17"/>
        </w:rPr>
        <w:t xml:space="preserve">J. Public Health Policy, </w:t>
      </w:r>
      <w:r>
        <w:rPr>
          <w:rFonts w:ascii="Arial" w:hAnsi="Arial" w:cs="Arial"/>
          <w:w w:val="105"/>
          <w:sz w:val="17"/>
          <w:szCs w:val="17"/>
        </w:rPr>
        <w:t>302(2), 198-207.</w:t>
      </w:r>
    </w:p>
    <w:p w:rsidR="002C5025" w:rsidRDefault="002C5025">
      <w:pPr>
        <w:pStyle w:val="BodyText"/>
        <w:kinsoku w:val="0"/>
        <w:overflowPunct w:val="0"/>
        <w:spacing w:before="59" w:line="288" w:lineRule="auto"/>
        <w:ind w:left="607" w:right="289" w:hanging="15"/>
        <w:rPr>
          <w:rFonts w:ascii="Arial" w:hAnsi="Arial" w:cs="Arial"/>
          <w:w w:val="115"/>
          <w:sz w:val="17"/>
          <w:szCs w:val="17"/>
        </w:rPr>
      </w:pPr>
      <w:r>
        <w:rPr>
          <w:rFonts w:ascii="Arial" w:hAnsi="Arial" w:cs="Arial"/>
          <w:w w:val="110"/>
          <w:sz w:val="17"/>
          <w:szCs w:val="17"/>
        </w:rPr>
        <w:t>'</w:t>
      </w:r>
      <w:r>
        <w:rPr>
          <w:rFonts w:ascii="Arial" w:hAnsi="Arial" w:cs="Arial"/>
          <w:spacing w:val="-26"/>
          <w:w w:val="110"/>
          <w:sz w:val="17"/>
          <w:szCs w:val="17"/>
        </w:rPr>
        <w:t xml:space="preserve"> </w:t>
      </w:r>
      <w:r>
        <w:rPr>
          <w:rFonts w:ascii="Arial" w:hAnsi="Arial" w:cs="Arial"/>
          <w:w w:val="110"/>
          <w:sz w:val="17"/>
          <w:szCs w:val="17"/>
        </w:rPr>
        <w:t>'</w:t>
      </w:r>
      <w:r>
        <w:rPr>
          <w:rFonts w:ascii="Arial" w:hAnsi="Arial" w:cs="Arial"/>
          <w:spacing w:val="-31"/>
          <w:w w:val="110"/>
          <w:sz w:val="17"/>
          <w:szCs w:val="17"/>
        </w:rPr>
        <w:t xml:space="preserve"> </w:t>
      </w:r>
      <w:r>
        <w:rPr>
          <w:rFonts w:ascii="Arial" w:hAnsi="Arial" w:cs="Arial"/>
          <w:w w:val="110"/>
          <w:sz w:val="17"/>
          <w:szCs w:val="17"/>
        </w:rPr>
        <w:t>Baughman,</w:t>
      </w:r>
      <w:r>
        <w:rPr>
          <w:rFonts w:ascii="Arial" w:hAnsi="Arial" w:cs="Arial"/>
          <w:spacing w:val="-29"/>
          <w:w w:val="110"/>
          <w:sz w:val="17"/>
          <w:szCs w:val="17"/>
        </w:rPr>
        <w:t xml:space="preserve"> </w:t>
      </w:r>
      <w:r>
        <w:rPr>
          <w:rFonts w:ascii="Arial" w:hAnsi="Arial" w:cs="Arial"/>
          <w:w w:val="110"/>
          <w:sz w:val="17"/>
          <w:szCs w:val="17"/>
        </w:rPr>
        <w:t>R.A.,</w:t>
      </w:r>
      <w:r>
        <w:rPr>
          <w:rFonts w:ascii="Arial" w:hAnsi="Arial" w:cs="Arial"/>
          <w:spacing w:val="-37"/>
          <w:w w:val="110"/>
          <w:sz w:val="17"/>
          <w:szCs w:val="17"/>
        </w:rPr>
        <w:t xml:space="preserve"> </w:t>
      </w:r>
      <w:r>
        <w:rPr>
          <w:rFonts w:ascii="Arial" w:hAnsi="Arial" w:cs="Arial"/>
          <w:spacing w:val="-4"/>
          <w:w w:val="110"/>
          <w:sz w:val="17"/>
          <w:szCs w:val="17"/>
        </w:rPr>
        <w:t>2012.</w:t>
      </w:r>
      <w:r>
        <w:rPr>
          <w:rFonts w:ascii="Arial" w:hAnsi="Arial" w:cs="Arial"/>
          <w:spacing w:val="-32"/>
          <w:w w:val="110"/>
          <w:sz w:val="17"/>
          <w:szCs w:val="17"/>
        </w:rPr>
        <w:t xml:space="preserve"> </w:t>
      </w:r>
      <w:r>
        <w:rPr>
          <w:rFonts w:ascii="Arial" w:hAnsi="Arial" w:cs="Arial"/>
          <w:i/>
          <w:iCs/>
          <w:w w:val="110"/>
          <w:sz w:val="17"/>
          <w:szCs w:val="17"/>
        </w:rPr>
        <w:t>The</w:t>
      </w:r>
      <w:r>
        <w:rPr>
          <w:rFonts w:ascii="Arial" w:hAnsi="Arial" w:cs="Arial"/>
          <w:i/>
          <w:iCs/>
          <w:spacing w:val="-35"/>
          <w:w w:val="110"/>
          <w:sz w:val="17"/>
          <w:szCs w:val="17"/>
        </w:rPr>
        <w:t xml:space="preserve"> </w:t>
      </w:r>
      <w:r>
        <w:rPr>
          <w:rFonts w:ascii="Arial" w:hAnsi="Arial" w:cs="Arial"/>
          <w:i/>
          <w:iCs/>
          <w:spacing w:val="-5"/>
          <w:w w:val="110"/>
          <w:sz w:val="17"/>
          <w:szCs w:val="17"/>
        </w:rPr>
        <w:t>Effects</w:t>
      </w:r>
      <w:r>
        <w:rPr>
          <w:rFonts w:ascii="Arial" w:hAnsi="Arial" w:cs="Arial"/>
          <w:i/>
          <w:iCs/>
          <w:spacing w:val="-34"/>
          <w:w w:val="110"/>
          <w:sz w:val="17"/>
          <w:szCs w:val="17"/>
        </w:rPr>
        <w:t xml:space="preserve"> </w:t>
      </w:r>
      <w:r>
        <w:rPr>
          <w:rFonts w:ascii="Arial" w:hAnsi="Arial" w:cs="Arial"/>
          <w:i/>
          <w:iCs/>
          <w:w w:val="110"/>
          <w:sz w:val="17"/>
          <w:szCs w:val="17"/>
        </w:rPr>
        <w:t>of</w:t>
      </w:r>
      <w:r>
        <w:rPr>
          <w:rFonts w:ascii="Arial" w:hAnsi="Arial" w:cs="Arial"/>
          <w:i/>
          <w:iCs/>
          <w:spacing w:val="-38"/>
          <w:w w:val="110"/>
          <w:sz w:val="17"/>
          <w:szCs w:val="17"/>
        </w:rPr>
        <w:t xml:space="preserve"> </w:t>
      </w:r>
      <w:r>
        <w:rPr>
          <w:rFonts w:ascii="Arial" w:hAnsi="Arial" w:cs="Arial"/>
          <w:i/>
          <w:iCs/>
          <w:w w:val="110"/>
          <w:sz w:val="17"/>
          <w:szCs w:val="17"/>
        </w:rPr>
        <w:t>State</w:t>
      </w:r>
      <w:r>
        <w:rPr>
          <w:rFonts w:ascii="Arial" w:hAnsi="Arial" w:cs="Arial"/>
          <w:i/>
          <w:iCs/>
          <w:spacing w:val="-35"/>
          <w:w w:val="110"/>
          <w:sz w:val="17"/>
          <w:szCs w:val="17"/>
        </w:rPr>
        <w:t xml:space="preserve"> </w:t>
      </w:r>
      <w:r>
        <w:rPr>
          <w:rFonts w:ascii="Arial" w:hAnsi="Arial" w:cs="Arial"/>
          <w:i/>
          <w:iCs/>
          <w:w w:val="110"/>
          <w:sz w:val="17"/>
          <w:szCs w:val="17"/>
        </w:rPr>
        <w:t>EITC</w:t>
      </w:r>
      <w:r>
        <w:rPr>
          <w:rFonts w:ascii="Arial" w:hAnsi="Arial" w:cs="Arial"/>
          <w:i/>
          <w:iCs/>
          <w:spacing w:val="-36"/>
          <w:w w:val="110"/>
          <w:sz w:val="17"/>
          <w:szCs w:val="17"/>
        </w:rPr>
        <w:t xml:space="preserve"> </w:t>
      </w:r>
      <w:r>
        <w:rPr>
          <w:rFonts w:ascii="Arial" w:hAnsi="Arial" w:cs="Arial"/>
          <w:i/>
          <w:iCs/>
          <w:w w:val="110"/>
          <w:sz w:val="17"/>
          <w:szCs w:val="17"/>
        </w:rPr>
        <w:t>Expansion</w:t>
      </w:r>
      <w:r>
        <w:rPr>
          <w:rFonts w:ascii="Arial" w:hAnsi="Arial" w:cs="Arial"/>
          <w:i/>
          <w:iCs/>
          <w:spacing w:val="-24"/>
          <w:w w:val="110"/>
          <w:sz w:val="17"/>
          <w:szCs w:val="17"/>
        </w:rPr>
        <w:t xml:space="preserve"> </w:t>
      </w:r>
      <w:r>
        <w:rPr>
          <w:rFonts w:ascii="Arial" w:hAnsi="Arial" w:cs="Arial"/>
          <w:i/>
          <w:iCs/>
          <w:w w:val="110"/>
          <w:sz w:val="17"/>
          <w:szCs w:val="17"/>
        </w:rPr>
        <w:t>on</w:t>
      </w:r>
      <w:r>
        <w:rPr>
          <w:rFonts w:ascii="Arial" w:hAnsi="Arial" w:cs="Arial"/>
          <w:i/>
          <w:iCs/>
          <w:spacing w:val="-33"/>
          <w:w w:val="110"/>
          <w:sz w:val="17"/>
          <w:szCs w:val="17"/>
        </w:rPr>
        <w:t xml:space="preserve"> </w:t>
      </w:r>
      <w:r>
        <w:rPr>
          <w:rFonts w:ascii="Arial" w:hAnsi="Arial" w:cs="Arial"/>
          <w:i/>
          <w:iCs/>
          <w:w w:val="110"/>
          <w:sz w:val="17"/>
          <w:szCs w:val="17"/>
        </w:rPr>
        <w:t>Children's</w:t>
      </w:r>
      <w:r>
        <w:rPr>
          <w:rFonts w:ascii="Arial" w:hAnsi="Arial" w:cs="Arial"/>
          <w:i/>
          <w:iCs/>
          <w:spacing w:val="-35"/>
          <w:w w:val="110"/>
          <w:sz w:val="17"/>
          <w:szCs w:val="17"/>
        </w:rPr>
        <w:t xml:space="preserve"> </w:t>
      </w:r>
      <w:r>
        <w:rPr>
          <w:rFonts w:ascii="Arial" w:hAnsi="Arial" w:cs="Arial"/>
          <w:i/>
          <w:iCs/>
          <w:w w:val="110"/>
          <w:sz w:val="17"/>
          <w:szCs w:val="17"/>
        </w:rPr>
        <w:t>Health</w:t>
      </w:r>
      <w:r>
        <w:rPr>
          <w:rFonts w:ascii="Arial" w:hAnsi="Arial" w:cs="Arial"/>
          <w:i/>
          <w:iCs/>
          <w:spacing w:val="-30"/>
          <w:w w:val="110"/>
          <w:sz w:val="17"/>
          <w:szCs w:val="17"/>
        </w:rPr>
        <w:t xml:space="preserve"> </w:t>
      </w:r>
      <w:r>
        <w:rPr>
          <w:rFonts w:ascii="Arial" w:hAnsi="Arial" w:cs="Arial"/>
          <w:w w:val="110"/>
          <w:sz w:val="17"/>
          <w:szCs w:val="17"/>
        </w:rPr>
        <w:t>(Issue</w:t>
      </w:r>
      <w:r>
        <w:rPr>
          <w:rFonts w:ascii="Arial" w:hAnsi="Arial" w:cs="Arial"/>
          <w:spacing w:val="-31"/>
          <w:w w:val="110"/>
          <w:sz w:val="17"/>
          <w:szCs w:val="17"/>
        </w:rPr>
        <w:t xml:space="preserve"> </w:t>
      </w:r>
      <w:r>
        <w:rPr>
          <w:rFonts w:ascii="Arial" w:hAnsi="Arial" w:cs="Arial"/>
          <w:w w:val="110"/>
          <w:sz w:val="17"/>
          <w:szCs w:val="17"/>
        </w:rPr>
        <w:t>Brief</w:t>
      </w:r>
      <w:r>
        <w:rPr>
          <w:rFonts w:ascii="Arial" w:hAnsi="Arial" w:cs="Arial"/>
          <w:spacing w:val="-33"/>
          <w:w w:val="110"/>
          <w:sz w:val="17"/>
          <w:szCs w:val="17"/>
        </w:rPr>
        <w:t xml:space="preserve"> </w:t>
      </w:r>
      <w:r>
        <w:rPr>
          <w:rFonts w:ascii="Arial" w:hAnsi="Arial" w:cs="Arial"/>
          <w:w w:val="110"/>
          <w:sz w:val="17"/>
          <w:szCs w:val="17"/>
        </w:rPr>
        <w:t>No.</w:t>
      </w:r>
      <w:r>
        <w:rPr>
          <w:rFonts w:ascii="Arial" w:hAnsi="Arial" w:cs="Arial"/>
          <w:spacing w:val="-39"/>
          <w:w w:val="110"/>
          <w:sz w:val="17"/>
          <w:szCs w:val="17"/>
        </w:rPr>
        <w:t xml:space="preserve"> </w:t>
      </w:r>
      <w:r>
        <w:rPr>
          <w:rFonts w:ascii="Arial" w:hAnsi="Arial" w:cs="Arial"/>
          <w:w w:val="110"/>
          <w:sz w:val="17"/>
          <w:szCs w:val="17"/>
        </w:rPr>
        <w:t>48);</w:t>
      </w:r>
      <w:r>
        <w:rPr>
          <w:rFonts w:ascii="Arial" w:hAnsi="Arial" w:cs="Arial"/>
          <w:spacing w:val="-34"/>
          <w:w w:val="110"/>
          <w:sz w:val="17"/>
          <w:szCs w:val="17"/>
        </w:rPr>
        <w:t xml:space="preserve"> </w:t>
      </w:r>
      <w:proofErr w:type="spellStart"/>
      <w:r>
        <w:rPr>
          <w:rFonts w:ascii="Arial" w:hAnsi="Arial" w:cs="Arial"/>
          <w:w w:val="110"/>
          <w:sz w:val="17"/>
          <w:szCs w:val="17"/>
        </w:rPr>
        <w:t>Carsey</w:t>
      </w:r>
      <w:proofErr w:type="spellEnd"/>
      <w:r>
        <w:rPr>
          <w:rFonts w:ascii="Arial" w:hAnsi="Arial" w:cs="Arial"/>
          <w:w w:val="110"/>
          <w:sz w:val="17"/>
          <w:szCs w:val="17"/>
        </w:rPr>
        <w:t xml:space="preserve"> </w:t>
      </w:r>
      <w:r>
        <w:rPr>
          <w:rFonts w:ascii="Arial" w:hAnsi="Arial" w:cs="Arial"/>
          <w:w w:val="115"/>
          <w:sz w:val="17"/>
          <w:szCs w:val="17"/>
        </w:rPr>
        <w:t>Institute</w:t>
      </w:r>
    </w:p>
    <w:p w:rsidR="002C5025" w:rsidRDefault="002C5025">
      <w:pPr>
        <w:pStyle w:val="ListParagraph"/>
        <w:numPr>
          <w:ilvl w:val="0"/>
          <w:numId w:val="92"/>
        </w:numPr>
        <w:tabs>
          <w:tab w:val="left" w:pos="749"/>
        </w:tabs>
        <w:kinsoku w:val="0"/>
        <w:overflowPunct w:val="0"/>
        <w:spacing w:before="21" w:line="288" w:lineRule="auto"/>
        <w:ind w:right="760" w:hanging="53"/>
        <w:rPr>
          <w:rFonts w:ascii="Arial" w:hAnsi="Arial" w:cs="Arial"/>
          <w:w w:val="105"/>
          <w:sz w:val="17"/>
          <w:szCs w:val="17"/>
        </w:rPr>
      </w:pPr>
      <w:r>
        <w:rPr>
          <w:rFonts w:ascii="Arial" w:hAnsi="Arial" w:cs="Arial"/>
          <w:w w:val="105"/>
          <w:sz w:val="17"/>
          <w:szCs w:val="17"/>
        </w:rPr>
        <w:t>Herd,</w:t>
      </w:r>
      <w:r>
        <w:rPr>
          <w:rFonts w:ascii="Arial" w:hAnsi="Arial" w:cs="Arial"/>
          <w:spacing w:val="-6"/>
          <w:w w:val="105"/>
          <w:sz w:val="17"/>
          <w:szCs w:val="17"/>
        </w:rPr>
        <w:t xml:space="preserve"> </w:t>
      </w:r>
      <w:r>
        <w:rPr>
          <w:rFonts w:ascii="Arial" w:hAnsi="Arial" w:cs="Arial"/>
          <w:w w:val="105"/>
          <w:sz w:val="17"/>
          <w:szCs w:val="17"/>
        </w:rPr>
        <w:t>P.,</w:t>
      </w:r>
      <w:proofErr w:type="spellStart"/>
      <w:r>
        <w:rPr>
          <w:rFonts w:ascii="Arial" w:hAnsi="Arial" w:cs="Arial"/>
          <w:w w:val="105"/>
          <w:sz w:val="17"/>
          <w:szCs w:val="17"/>
        </w:rPr>
        <w:t>Schoeni</w:t>
      </w:r>
      <w:proofErr w:type="spellEnd"/>
      <w:r>
        <w:rPr>
          <w:rFonts w:ascii="Arial" w:hAnsi="Arial" w:cs="Arial"/>
          <w:w w:val="105"/>
          <w:sz w:val="17"/>
          <w:szCs w:val="17"/>
        </w:rPr>
        <w:t>,</w:t>
      </w:r>
      <w:r>
        <w:rPr>
          <w:rFonts w:ascii="Arial" w:hAnsi="Arial" w:cs="Arial"/>
          <w:spacing w:val="-10"/>
          <w:w w:val="105"/>
          <w:sz w:val="17"/>
          <w:szCs w:val="17"/>
        </w:rPr>
        <w:t xml:space="preserve"> </w:t>
      </w:r>
      <w:r>
        <w:rPr>
          <w:rFonts w:ascii="Arial" w:hAnsi="Arial" w:cs="Arial"/>
          <w:w w:val="105"/>
          <w:sz w:val="17"/>
          <w:szCs w:val="17"/>
        </w:rPr>
        <w:t>R.F.,</w:t>
      </w:r>
      <w:r>
        <w:rPr>
          <w:rFonts w:ascii="Arial" w:hAnsi="Arial" w:cs="Arial"/>
          <w:spacing w:val="-19"/>
          <w:w w:val="105"/>
          <w:sz w:val="17"/>
          <w:szCs w:val="17"/>
        </w:rPr>
        <w:t xml:space="preserve"> </w:t>
      </w:r>
      <w:r>
        <w:rPr>
          <w:rFonts w:ascii="Arial" w:hAnsi="Arial" w:cs="Arial"/>
          <w:w w:val="105"/>
          <w:sz w:val="17"/>
          <w:szCs w:val="17"/>
        </w:rPr>
        <w:t>and House,</w:t>
      </w:r>
      <w:r>
        <w:rPr>
          <w:rFonts w:ascii="Arial" w:hAnsi="Arial" w:cs="Arial"/>
          <w:spacing w:val="-21"/>
          <w:w w:val="105"/>
          <w:sz w:val="17"/>
          <w:szCs w:val="17"/>
        </w:rPr>
        <w:t xml:space="preserve"> </w:t>
      </w:r>
      <w:r>
        <w:rPr>
          <w:rFonts w:ascii="Arial" w:hAnsi="Arial" w:cs="Arial"/>
          <w:w w:val="105"/>
          <w:sz w:val="17"/>
          <w:szCs w:val="17"/>
        </w:rPr>
        <w:t>J.S.</w:t>
      </w:r>
      <w:r>
        <w:rPr>
          <w:rFonts w:ascii="Arial" w:hAnsi="Arial" w:cs="Arial"/>
          <w:spacing w:val="-4"/>
          <w:w w:val="105"/>
          <w:sz w:val="17"/>
          <w:szCs w:val="17"/>
        </w:rPr>
        <w:t xml:space="preserve"> </w:t>
      </w:r>
      <w:r>
        <w:rPr>
          <w:rFonts w:ascii="Arial" w:hAnsi="Arial" w:cs="Arial"/>
          <w:w w:val="105"/>
          <w:sz w:val="17"/>
          <w:szCs w:val="17"/>
        </w:rPr>
        <w:t>2008.</w:t>
      </w:r>
      <w:r>
        <w:rPr>
          <w:rFonts w:ascii="Arial" w:hAnsi="Arial" w:cs="Arial"/>
          <w:spacing w:val="5"/>
          <w:w w:val="105"/>
          <w:sz w:val="17"/>
          <w:szCs w:val="17"/>
        </w:rPr>
        <w:t xml:space="preserve"> </w:t>
      </w:r>
      <w:r>
        <w:rPr>
          <w:rFonts w:ascii="Arial" w:hAnsi="Arial" w:cs="Arial"/>
          <w:w w:val="105"/>
          <w:sz w:val="17"/>
          <w:szCs w:val="17"/>
        </w:rPr>
        <w:t>Upstream</w:t>
      </w:r>
      <w:r>
        <w:rPr>
          <w:rFonts w:ascii="Arial" w:hAnsi="Arial" w:cs="Arial"/>
          <w:spacing w:val="-8"/>
          <w:w w:val="105"/>
          <w:sz w:val="17"/>
          <w:szCs w:val="17"/>
        </w:rPr>
        <w:t xml:space="preserve"> </w:t>
      </w:r>
      <w:r>
        <w:rPr>
          <w:rFonts w:ascii="Arial" w:hAnsi="Arial" w:cs="Arial"/>
          <w:w w:val="105"/>
          <w:sz w:val="17"/>
          <w:szCs w:val="17"/>
        </w:rPr>
        <w:t>solutions:</w:t>
      </w:r>
      <w:r>
        <w:rPr>
          <w:rFonts w:ascii="Arial" w:hAnsi="Arial" w:cs="Arial"/>
          <w:spacing w:val="-4"/>
          <w:w w:val="105"/>
          <w:sz w:val="17"/>
          <w:szCs w:val="17"/>
        </w:rPr>
        <w:t xml:space="preserve"> </w:t>
      </w:r>
      <w:r>
        <w:rPr>
          <w:rFonts w:ascii="Arial" w:hAnsi="Arial" w:cs="Arial"/>
          <w:w w:val="105"/>
          <w:sz w:val="17"/>
          <w:szCs w:val="17"/>
        </w:rPr>
        <w:t>does</w:t>
      </w:r>
      <w:r>
        <w:rPr>
          <w:rFonts w:ascii="Arial" w:hAnsi="Arial" w:cs="Arial"/>
          <w:spacing w:val="-15"/>
          <w:w w:val="105"/>
          <w:sz w:val="17"/>
          <w:szCs w:val="17"/>
        </w:rPr>
        <w:t xml:space="preserve"> </w:t>
      </w:r>
      <w:r>
        <w:rPr>
          <w:rFonts w:ascii="Arial" w:hAnsi="Arial" w:cs="Arial"/>
          <w:w w:val="105"/>
          <w:sz w:val="17"/>
          <w:szCs w:val="17"/>
        </w:rPr>
        <w:t>the</w:t>
      </w:r>
      <w:r>
        <w:rPr>
          <w:rFonts w:ascii="Arial" w:hAnsi="Arial" w:cs="Arial"/>
          <w:spacing w:val="-11"/>
          <w:w w:val="105"/>
          <w:sz w:val="17"/>
          <w:szCs w:val="17"/>
        </w:rPr>
        <w:t xml:space="preserve"> </w:t>
      </w:r>
      <w:r>
        <w:rPr>
          <w:rFonts w:ascii="Arial" w:hAnsi="Arial" w:cs="Arial"/>
          <w:w w:val="105"/>
          <w:sz w:val="17"/>
          <w:szCs w:val="17"/>
        </w:rPr>
        <w:t>Supplemental</w:t>
      </w:r>
      <w:r>
        <w:rPr>
          <w:rFonts w:ascii="Arial" w:hAnsi="Arial" w:cs="Arial"/>
          <w:spacing w:val="-5"/>
          <w:w w:val="105"/>
          <w:sz w:val="17"/>
          <w:szCs w:val="17"/>
        </w:rPr>
        <w:t xml:space="preserve"> </w:t>
      </w:r>
      <w:r>
        <w:rPr>
          <w:rFonts w:ascii="Arial" w:hAnsi="Arial" w:cs="Arial"/>
          <w:w w:val="105"/>
          <w:sz w:val="17"/>
          <w:szCs w:val="17"/>
        </w:rPr>
        <w:t xml:space="preserve">Security Income Program reduce disability  in the elderly? </w:t>
      </w:r>
      <w:r>
        <w:rPr>
          <w:rFonts w:ascii="Arial" w:hAnsi="Arial" w:cs="Arial"/>
          <w:i/>
          <w:iCs/>
          <w:w w:val="105"/>
          <w:sz w:val="17"/>
          <w:szCs w:val="17"/>
        </w:rPr>
        <w:t xml:space="preserve">Milbank Q, </w:t>
      </w:r>
      <w:r>
        <w:rPr>
          <w:rFonts w:ascii="Arial" w:hAnsi="Arial" w:cs="Arial"/>
          <w:spacing w:val="-4"/>
          <w:w w:val="105"/>
          <w:sz w:val="17"/>
          <w:szCs w:val="17"/>
        </w:rPr>
        <w:t>86(1),</w:t>
      </w:r>
      <w:r>
        <w:rPr>
          <w:rFonts w:ascii="Arial" w:hAnsi="Arial" w:cs="Arial"/>
          <w:spacing w:val="18"/>
          <w:w w:val="105"/>
          <w:sz w:val="17"/>
          <w:szCs w:val="17"/>
        </w:rPr>
        <w:t xml:space="preserve"> </w:t>
      </w:r>
      <w:r>
        <w:rPr>
          <w:rFonts w:ascii="Arial" w:hAnsi="Arial" w:cs="Arial"/>
          <w:w w:val="105"/>
          <w:sz w:val="17"/>
          <w:szCs w:val="17"/>
        </w:rPr>
        <w:t>5-45</w:t>
      </w:r>
    </w:p>
    <w:p w:rsidR="002C5025" w:rsidRDefault="002C5025">
      <w:pPr>
        <w:pStyle w:val="BodyText"/>
        <w:kinsoku w:val="0"/>
        <w:overflowPunct w:val="0"/>
        <w:spacing w:before="21" w:line="288" w:lineRule="auto"/>
        <w:ind w:left="592" w:hanging="10"/>
        <w:rPr>
          <w:rFonts w:ascii="Arial" w:hAnsi="Arial" w:cs="Arial"/>
          <w:w w:val="105"/>
          <w:sz w:val="17"/>
          <w:szCs w:val="17"/>
        </w:rPr>
      </w:pPr>
      <w:r>
        <w:rPr>
          <w:rFonts w:ascii="Arial" w:hAnsi="Arial" w:cs="Arial"/>
          <w:w w:val="105"/>
          <w:sz w:val="17"/>
          <w:szCs w:val="17"/>
        </w:rPr>
        <w:t xml:space="preserve">,,;;; </w:t>
      </w:r>
      <w:proofErr w:type="spellStart"/>
      <w:r>
        <w:rPr>
          <w:rFonts w:ascii="Arial" w:hAnsi="Arial" w:cs="Arial"/>
          <w:w w:val="105"/>
          <w:sz w:val="17"/>
          <w:szCs w:val="17"/>
        </w:rPr>
        <w:t>Kullgren</w:t>
      </w:r>
      <w:proofErr w:type="spellEnd"/>
      <w:r>
        <w:rPr>
          <w:rFonts w:ascii="Arial" w:hAnsi="Arial" w:cs="Arial"/>
          <w:w w:val="105"/>
          <w:sz w:val="17"/>
          <w:szCs w:val="17"/>
        </w:rPr>
        <w:t>, J.T.,</w:t>
      </w:r>
      <w:proofErr w:type="spellStart"/>
      <w:r>
        <w:rPr>
          <w:rFonts w:ascii="Arial" w:hAnsi="Arial" w:cs="Arial"/>
          <w:w w:val="105"/>
          <w:sz w:val="17"/>
          <w:szCs w:val="17"/>
        </w:rPr>
        <w:t>Mclaughlin</w:t>
      </w:r>
      <w:proofErr w:type="spellEnd"/>
      <w:r>
        <w:rPr>
          <w:rFonts w:ascii="Arial" w:hAnsi="Arial" w:cs="Arial"/>
          <w:w w:val="105"/>
          <w:sz w:val="17"/>
          <w:szCs w:val="17"/>
        </w:rPr>
        <w:t>, C.G.,</w:t>
      </w:r>
      <w:proofErr w:type="spellStart"/>
      <w:r>
        <w:rPr>
          <w:rFonts w:ascii="Arial" w:hAnsi="Arial" w:cs="Arial"/>
          <w:w w:val="105"/>
          <w:sz w:val="17"/>
          <w:szCs w:val="17"/>
        </w:rPr>
        <w:t>Mitra</w:t>
      </w:r>
      <w:proofErr w:type="spellEnd"/>
      <w:r>
        <w:rPr>
          <w:rFonts w:ascii="Arial" w:hAnsi="Arial" w:cs="Arial"/>
          <w:w w:val="105"/>
          <w:sz w:val="17"/>
          <w:szCs w:val="17"/>
        </w:rPr>
        <w:t xml:space="preserve">, N., and Armstrong, K. February 2012. Nonfinancial barriers and access to care for U.S. adults. </w:t>
      </w:r>
      <w:r>
        <w:rPr>
          <w:rFonts w:ascii="Arial" w:hAnsi="Arial" w:cs="Arial"/>
          <w:i/>
          <w:iCs/>
          <w:w w:val="105"/>
          <w:sz w:val="17"/>
          <w:szCs w:val="17"/>
        </w:rPr>
        <w:t xml:space="preserve">Health </w:t>
      </w:r>
      <w:proofErr w:type="spellStart"/>
      <w:r>
        <w:rPr>
          <w:rFonts w:ascii="Arial" w:hAnsi="Arial" w:cs="Arial"/>
          <w:i/>
          <w:iCs/>
          <w:w w:val="105"/>
          <w:sz w:val="17"/>
          <w:szCs w:val="17"/>
        </w:rPr>
        <w:t>Serv</w:t>
      </w:r>
      <w:proofErr w:type="spellEnd"/>
      <w:r>
        <w:rPr>
          <w:rFonts w:ascii="Arial" w:hAnsi="Arial" w:cs="Arial"/>
          <w:i/>
          <w:iCs/>
          <w:w w:val="105"/>
          <w:sz w:val="17"/>
          <w:szCs w:val="17"/>
        </w:rPr>
        <w:t xml:space="preserve"> Res. </w:t>
      </w:r>
      <w:r>
        <w:rPr>
          <w:rFonts w:ascii="Arial" w:hAnsi="Arial" w:cs="Arial"/>
          <w:w w:val="105"/>
          <w:sz w:val="17"/>
          <w:szCs w:val="17"/>
        </w:rPr>
        <w:t>47(1Pt2): 462-485</w:t>
      </w:r>
    </w:p>
    <w:p w:rsidR="002C5025" w:rsidRDefault="002C5025">
      <w:pPr>
        <w:pStyle w:val="BodyText"/>
        <w:kinsoku w:val="0"/>
        <w:overflowPunct w:val="0"/>
        <w:spacing w:before="18" w:line="297" w:lineRule="auto"/>
        <w:ind w:left="585" w:right="1169" w:firstLine="48"/>
        <w:rPr>
          <w:rFonts w:ascii="Arial" w:hAnsi="Arial" w:cs="Arial"/>
          <w:i/>
          <w:iCs/>
          <w:w w:val="105"/>
          <w:sz w:val="17"/>
          <w:szCs w:val="17"/>
        </w:rPr>
      </w:pPr>
      <w:r>
        <w:rPr>
          <w:rFonts w:ascii="Arial" w:hAnsi="Arial" w:cs="Arial"/>
          <w:w w:val="105"/>
          <w:sz w:val="17"/>
          <w:szCs w:val="17"/>
        </w:rPr>
        <w:t xml:space="preserve">''Mandal, A. August 6, 2014. Disparities in Access to Health Care. </w:t>
      </w:r>
      <w:r>
        <w:rPr>
          <w:rFonts w:ascii="Arial" w:hAnsi="Arial" w:cs="Arial"/>
          <w:i/>
          <w:iCs/>
          <w:w w:val="105"/>
          <w:sz w:val="17"/>
          <w:szCs w:val="17"/>
        </w:rPr>
        <w:t>Medical News. http://www.news- medical.net/health/Disparities-in-Access-to-Health-Care.aspx</w:t>
      </w:r>
    </w:p>
    <w:p w:rsidR="002C5025" w:rsidRDefault="002C5025">
      <w:pPr>
        <w:pStyle w:val="BodyText"/>
        <w:kinsoku w:val="0"/>
        <w:overflowPunct w:val="0"/>
        <w:rPr>
          <w:rFonts w:ascii="Arial" w:hAnsi="Arial" w:cs="Arial"/>
          <w:i/>
          <w:iCs/>
          <w:sz w:val="16"/>
          <w:szCs w:val="16"/>
        </w:rPr>
      </w:pPr>
    </w:p>
    <w:p w:rsidR="002C5025" w:rsidRDefault="002C5025">
      <w:pPr>
        <w:pStyle w:val="BodyText"/>
        <w:kinsoku w:val="0"/>
        <w:overflowPunct w:val="0"/>
        <w:spacing w:before="11"/>
        <w:rPr>
          <w:rFonts w:ascii="Arial" w:hAnsi="Arial" w:cs="Arial"/>
          <w:i/>
          <w:iCs/>
          <w:sz w:val="23"/>
          <w:szCs w:val="23"/>
        </w:rPr>
      </w:pPr>
    </w:p>
    <w:p w:rsidR="002C5025" w:rsidRDefault="002C5025">
      <w:pPr>
        <w:pStyle w:val="BodyText"/>
        <w:kinsoku w:val="0"/>
        <w:overflowPunct w:val="0"/>
        <w:ind w:left="592" w:right="289"/>
        <w:rPr>
          <w:rFonts w:ascii="Arial" w:hAnsi="Arial" w:cs="Arial"/>
          <w:w w:val="110"/>
          <w:sz w:val="17"/>
          <w:szCs w:val="17"/>
        </w:rPr>
      </w:pPr>
      <w:r>
        <w:rPr>
          <w:rFonts w:ascii="Arial" w:hAnsi="Arial" w:cs="Arial"/>
          <w:w w:val="110"/>
          <w:sz w:val="17"/>
          <w:szCs w:val="17"/>
        </w:rPr>
        <w:t>11 1 P a g e</w:t>
      </w:r>
    </w:p>
    <w:p w:rsidR="002C5025" w:rsidRDefault="002C5025">
      <w:pPr>
        <w:pStyle w:val="BodyText"/>
        <w:kinsoku w:val="0"/>
        <w:overflowPunct w:val="0"/>
        <w:ind w:left="592" w:right="289"/>
        <w:rPr>
          <w:rFonts w:ascii="Arial" w:hAnsi="Arial" w:cs="Arial"/>
          <w:w w:val="110"/>
          <w:sz w:val="17"/>
          <w:szCs w:val="17"/>
        </w:rPr>
        <w:sectPr w:rsidR="002C5025">
          <w:pgSz w:w="12240" w:h="15840"/>
          <w:pgMar w:top="860" w:right="1460" w:bottom="280" w:left="840" w:header="720" w:footer="720" w:gutter="0"/>
          <w:cols w:space="720" w:equalWidth="0">
            <w:col w:w="9940"/>
          </w:cols>
          <w:noEndnote/>
        </w:sectPr>
      </w:pPr>
    </w:p>
    <w:p w:rsidR="002C5025" w:rsidRDefault="002C5025">
      <w:pPr>
        <w:pStyle w:val="BodyText"/>
        <w:kinsoku w:val="0"/>
        <w:overflowPunct w:val="0"/>
        <w:spacing w:before="34"/>
        <w:ind w:left="115"/>
        <w:rPr>
          <w:rFonts w:ascii="Arial" w:hAnsi="Arial" w:cs="Arial"/>
          <w:w w:val="99"/>
          <w:sz w:val="31"/>
          <w:szCs w:val="31"/>
        </w:rPr>
      </w:pPr>
      <w:r>
        <w:rPr>
          <w:rFonts w:ascii="Arial" w:hAnsi="Arial" w:cs="Arial"/>
          <w:w w:val="99"/>
          <w:sz w:val="31"/>
          <w:szCs w:val="31"/>
        </w:rPr>
        <w:lastRenderedPageBreak/>
        <w:t>•</w:t>
      </w:r>
    </w:p>
    <w:p w:rsidR="002C5025" w:rsidRDefault="002C5025">
      <w:pPr>
        <w:pStyle w:val="BodyText"/>
        <w:kinsoku w:val="0"/>
        <w:overflowPunct w:val="0"/>
        <w:rPr>
          <w:rFonts w:ascii="Arial" w:hAnsi="Arial" w:cs="Arial"/>
          <w:sz w:val="20"/>
          <w:szCs w:val="20"/>
        </w:rPr>
      </w:pPr>
    </w:p>
    <w:p w:rsidR="002C5025" w:rsidRDefault="00FB027C">
      <w:pPr>
        <w:pStyle w:val="BodyText"/>
        <w:kinsoku w:val="0"/>
        <w:overflowPunct w:val="0"/>
        <w:spacing w:before="2"/>
        <w:rPr>
          <w:rFonts w:ascii="Arial" w:hAnsi="Arial" w:cs="Arial"/>
          <w:sz w:val="11"/>
          <w:szCs w:val="11"/>
        </w:rPr>
      </w:pPr>
      <w:r>
        <w:rPr>
          <w:noProof/>
        </w:rPr>
        <mc:AlternateContent>
          <mc:Choice Requires="wps">
            <w:drawing>
              <wp:anchor distT="0" distB="0" distL="0" distR="0" simplePos="0" relativeHeight="251492864" behindDoc="0" locked="0" layoutInCell="0" allowOverlap="1">
                <wp:simplePos x="0" y="0"/>
                <wp:positionH relativeFrom="page">
                  <wp:posOffset>1007110</wp:posOffset>
                </wp:positionH>
                <wp:positionV relativeFrom="paragraph">
                  <wp:posOffset>111125</wp:posOffset>
                </wp:positionV>
                <wp:extent cx="5829300" cy="12700"/>
                <wp:effectExtent l="0" t="0" r="0" b="0"/>
                <wp:wrapTopAndBottom/>
                <wp:docPr id="907" name="Freeform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29300" cy="12700"/>
                        </a:xfrm>
                        <a:custGeom>
                          <a:avLst/>
                          <a:gdLst>
                            <a:gd name="T0" fmla="*/ 0 w 9180"/>
                            <a:gd name="T1" fmla="*/ 0 h 20"/>
                            <a:gd name="T2" fmla="*/ 9180 w 9180"/>
                            <a:gd name="T3" fmla="*/ 0 h 20"/>
                          </a:gdLst>
                          <a:ahLst/>
                          <a:cxnLst>
                            <a:cxn ang="0">
                              <a:pos x="T0" y="T1"/>
                            </a:cxn>
                            <a:cxn ang="0">
                              <a:pos x="T2" y="T3"/>
                            </a:cxn>
                          </a:cxnLst>
                          <a:rect l="0" t="0" r="r" b="b"/>
                          <a:pathLst>
                            <a:path w="9180" h="20">
                              <a:moveTo>
                                <a:pt x="0" y="0"/>
                              </a:moveTo>
                              <a:lnTo>
                                <a:pt x="9180" y="0"/>
                              </a:lnTo>
                            </a:path>
                          </a:pathLst>
                        </a:custGeom>
                        <a:noFill/>
                        <a:ln w="91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18" o:spid="_x0000_s1026" style="position:absolute;z-index:251492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9.3pt,8.75pt,538.3pt,8.75pt" coordsize="91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" o:allowincell="f" filled="f" strokeweight=".25328mm">
                <v:path arrowok="t" o:connecttype="custom" o:connectlocs="0,0;5829300,0" o:connectangles="0,0"/>
                <w10:wrap type="topAndBottom" anchorx="page"/>
              </v:polyline>
            </w:pict>
          </mc:Fallback>
        </mc:AlternateContent>
      </w:r>
    </w:p>
    <w:p w:rsidR="002C5025" w:rsidRDefault="002C5025">
      <w:pPr>
        <w:pStyle w:val="BodyText"/>
        <w:kinsoku w:val="0"/>
        <w:overflowPunct w:val="0"/>
        <w:spacing w:before="89" w:line="297" w:lineRule="auto"/>
        <w:ind w:left="660" w:right="324" w:firstLine="33"/>
        <w:rPr>
          <w:rFonts w:ascii="Arial" w:hAnsi="Arial" w:cs="Arial"/>
          <w:w w:val="105"/>
          <w:sz w:val="17"/>
          <w:szCs w:val="17"/>
        </w:rPr>
      </w:pPr>
      <w:r>
        <w:rPr>
          <w:rFonts w:ascii="Arial" w:hAnsi="Arial" w:cs="Arial"/>
          <w:w w:val="105"/>
          <w:sz w:val="17"/>
          <w:szCs w:val="17"/>
        </w:rPr>
        <w:t>'</w:t>
      </w:r>
      <w:proofErr w:type="spellStart"/>
      <w:r>
        <w:rPr>
          <w:rFonts w:ascii="Arial" w:hAnsi="Arial" w:cs="Arial"/>
          <w:w w:val="105"/>
          <w:sz w:val="17"/>
          <w:szCs w:val="17"/>
        </w:rPr>
        <w:t>Syed,S.T</w:t>
      </w:r>
      <w:proofErr w:type="spellEnd"/>
      <w:r>
        <w:rPr>
          <w:rFonts w:ascii="Arial" w:hAnsi="Arial" w:cs="Arial"/>
          <w:w w:val="105"/>
          <w:sz w:val="17"/>
          <w:szCs w:val="17"/>
        </w:rPr>
        <w:t xml:space="preserve">., Gerber, B.S., and Sharp, L.K. December 13, 2014.Traveling toward disease: transportation barriers to health care access. </w:t>
      </w:r>
      <w:r>
        <w:rPr>
          <w:rFonts w:ascii="Arial" w:hAnsi="Arial" w:cs="Arial"/>
          <w:i/>
          <w:iCs/>
          <w:w w:val="105"/>
          <w:sz w:val="17"/>
          <w:szCs w:val="17"/>
        </w:rPr>
        <w:t xml:space="preserve">J Community Health. </w:t>
      </w:r>
      <w:r>
        <w:rPr>
          <w:rFonts w:ascii="Arial" w:hAnsi="Arial" w:cs="Arial"/>
          <w:w w:val="105"/>
          <w:sz w:val="17"/>
          <w:szCs w:val="17"/>
        </w:rPr>
        <w:t>38(5):976-993</w:t>
      </w:r>
    </w:p>
    <w:p w:rsidR="002C5025" w:rsidRDefault="00FB027C">
      <w:pPr>
        <w:pStyle w:val="BodyText"/>
        <w:kinsoku w:val="0"/>
        <w:overflowPunct w:val="0"/>
        <w:spacing w:line="199" w:lineRule="exact"/>
        <w:ind w:left="645"/>
        <w:jc w:val="both"/>
        <w:rPr>
          <w:rFonts w:ascii="Arial" w:hAnsi="Arial" w:cs="Arial"/>
          <w:b/>
          <w:bCs/>
          <w:spacing w:val="-2"/>
          <w:w w:val="90"/>
          <w:sz w:val="18"/>
          <w:szCs w:val="18"/>
        </w:rPr>
      </w:pPr>
      <w:r>
        <w:rPr>
          <w:noProof/>
        </w:rPr>
        <mc:AlternateContent>
          <mc:Choice Requires="wps">
            <w:drawing>
              <wp:anchor distT="0" distB="0" distL="114300" distR="114300" simplePos="0" relativeHeight="251493888" behindDoc="1" locked="0" layoutInCell="0" allowOverlap="1">
                <wp:simplePos x="0" y="0"/>
                <wp:positionH relativeFrom="page">
                  <wp:posOffset>4309745</wp:posOffset>
                </wp:positionH>
                <wp:positionV relativeFrom="paragraph">
                  <wp:posOffset>62865</wp:posOffset>
                </wp:positionV>
                <wp:extent cx="42545" cy="50800"/>
                <wp:effectExtent l="0" t="0" r="0" b="0"/>
                <wp:wrapNone/>
                <wp:docPr id="906"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 cy="5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pStyle w:val="BodyText"/>
                              <w:kinsoku w:val="0"/>
                              <w:overflowPunct w:val="0"/>
                              <w:spacing w:line="79" w:lineRule="exact"/>
                              <w:rPr>
                                <w:rFonts w:ascii="Arial" w:hAnsi="Arial" w:cs="Arial"/>
                                <w:b/>
                                <w:bCs/>
                                <w:w w:val="297"/>
                                <w:sz w:val="8"/>
                                <w:szCs w:val="8"/>
                              </w:rPr>
                            </w:pPr>
                            <w:r>
                              <w:rPr>
                                <w:rFonts w:ascii="Arial" w:hAnsi="Arial" w:cs="Arial"/>
                                <w:b/>
                                <w:bCs/>
                                <w:w w:val="297"/>
                                <w:sz w:val="8"/>
                                <w:szCs w:val="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074" type="#_x0000_t202" style="position:absolute;left:0;text-align:left;margin-left:339.35pt;margin-top:4.95pt;width:3.35pt;height:4pt;z-index:-251822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" o:allowincell="f" filled="f" stroked="f">
                <v:textbox inset="0,0,0,0">
                  <w:txbxContent>
                    <w:p w:rsidR="007B2B7B" w:rsidRDefault="007B2B7B">
                      <w:pPr>
                        <w:pStyle w:val="BodyText"/>
                        <w:kinsoku w:val="0"/>
                        <w:overflowPunct w:val="0"/>
                        <w:spacing w:line="79" w:lineRule="exact"/>
                        <w:rPr>
                          <w:rFonts w:ascii="Arial" w:hAnsi="Arial" w:cs="Arial"/>
                          <w:b/>
                          <w:bCs/>
                          <w:w w:val="297"/>
                          <w:sz w:val="8"/>
                          <w:szCs w:val="8"/>
                        </w:rPr>
                      </w:pPr>
                      <w:r>
                        <w:rPr>
                          <w:rFonts w:ascii="Arial" w:hAnsi="Arial" w:cs="Arial"/>
                          <w:b/>
                          <w:bCs/>
                          <w:w w:val="297"/>
                          <w:sz w:val="8"/>
                          <w:szCs w:val="8"/>
                        </w:rPr>
                        <w:t>,</w:t>
                      </w:r>
                    </w:p>
                  </w:txbxContent>
                </v:textbox>
                <w10:wrap anchorx="page"/>
              </v:shape>
            </w:pict>
          </mc:Fallback>
        </mc:AlternateContent>
      </w:r>
      <w:r w:rsidR="002C5025">
        <w:rPr>
          <w:rFonts w:ascii="Times New Roman" w:hAnsi="Times New Roman" w:cs="Times New Roman"/>
          <w:spacing w:val="-1"/>
          <w:w w:val="92"/>
          <w:sz w:val="14"/>
          <w:szCs w:val="14"/>
        </w:rPr>
        <w:t>x</w:t>
      </w:r>
      <w:r w:rsidR="002C5025">
        <w:rPr>
          <w:rFonts w:ascii="Times New Roman" w:hAnsi="Times New Roman" w:cs="Times New Roman"/>
          <w:spacing w:val="2"/>
          <w:w w:val="92"/>
          <w:sz w:val="14"/>
          <w:szCs w:val="14"/>
        </w:rPr>
        <w:t>x</w:t>
      </w:r>
      <w:r w:rsidR="002C5025">
        <w:rPr>
          <w:rFonts w:ascii="Times New Roman" w:hAnsi="Times New Roman" w:cs="Times New Roman"/>
          <w:spacing w:val="-1"/>
          <w:w w:val="92"/>
          <w:sz w:val="14"/>
          <w:szCs w:val="14"/>
        </w:rPr>
        <w:t>x</w:t>
      </w:r>
      <w:r w:rsidR="002C5025">
        <w:rPr>
          <w:rFonts w:ascii="Times New Roman" w:hAnsi="Times New Roman" w:cs="Times New Roman"/>
          <w:w w:val="92"/>
          <w:sz w:val="14"/>
          <w:szCs w:val="14"/>
        </w:rPr>
        <w:t>i</w:t>
      </w:r>
      <w:r w:rsidR="002C5025">
        <w:rPr>
          <w:rFonts w:ascii="Times New Roman" w:hAnsi="Times New Roman" w:cs="Times New Roman"/>
          <w:spacing w:val="-2"/>
          <w:sz w:val="14"/>
          <w:szCs w:val="14"/>
        </w:rPr>
        <w:t xml:space="preserve"> </w:t>
      </w:r>
      <w:proofErr w:type="spellStart"/>
      <w:r w:rsidR="002C5025">
        <w:rPr>
          <w:rFonts w:ascii="Arial" w:hAnsi="Arial" w:cs="Arial"/>
          <w:b/>
          <w:bCs/>
          <w:spacing w:val="-3"/>
          <w:w w:val="95"/>
          <w:sz w:val="18"/>
          <w:szCs w:val="18"/>
        </w:rPr>
        <w:t>O</w:t>
      </w:r>
      <w:r w:rsidR="002C5025">
        <w:rPr>
          <w:rFonts w:ascii="Arial" w:hAnsi="Arial" w:cs="Arial"/>
          <w:b/>
          <w:bCs/>
          <w:w w:val="95"/>
          <w:sz w:val="18"/>
          <w:szCs w:val="18"/>
        </w:rPr>
        <w:t>s</w:t>
      </w:r>
      <w:r w:rsidR="002C5025">
        <w:rPr>
          <w:rFonts w:ascii="Arial" w:hAnsi="Arial" w:cs="Arial"/>
          <w:b/>
          <w:bCs/>
          <w:spacing w:val="-3"/>
          <w:w w:val="95"/>
          <w:sz w:val="18"/>
          <w:szCs w:val="18"/>
        </w:rPr>
        <w:t>u</w:t>
      </w:r>
      <w:r w:rsidR="002C5025">
        <w:rPr>
          <w:rFonts w:ascii="Arial" w:hAnsi="Arial" w:cs="Arial"/>
          <w:b/>
          <w:bCs/>
          <w:w w:val="95"/>
          <w:sz w:val="18"/>
          <w:szCs w:val="18"/>
        </w:rPr>
        <w:t>ji</w:t>
      </w:r>
      <w:proofErr w:type="spellEnd"/>
      <w:r w:rsidR="002C5025">
        <w:rPr>
          <w:rFonts w:ascii="Arial" w:hAnsi="Arial" w:cs="Arial"/>
          <w:b/>
          <w:bCs/>
          <w:w w:val="95"/>
          <w:sz w:val="18"/>
          <w:szCs w:val="18"/>
        </w:rPr>
        <w:t>,</w:t>
      </w:r>
      <w:r w:rsidR="002C5025">
        <w:rPr>
          <w:rFonts w:ascii="Arial" w:hAnsi="Arial" w:cs="Arial"/>
          <w:b/>
          <w:bCs/>
          <w:spacing w:val="-14"/>
          <w:sz w:val="18"/>
          <w:szCs w:val="18"/>
        </w:rPr>
        <w:t xml:space="preserve"> </w:t>
      </w:r>
      <w:r w:rsidR="002C5025">
        <w:rPr>
          <w:rFonts w:ascii="Arial" w:hAnsi="Arial" w:cs="Arial"/>
          <w:b/>
          <w:bCs/>
          <w:spacing w:val="-3"/>
          <w:w w:val="95"/>
          <w:sz w:val="18"/>
          <w:szCs w:val="18"/>
        </w:rPr>
        <w:t>P</w:t>
      </w:r>
      <w:r w:rsidR="002C5025">
        <w:rPr>
          <w:rFonts w:ascii="Arial" w:hAnsi="Arial" w:cs="Arial"/>
          <w:b/>
          <w:bCs/>
          <w:w w:val="95"/>
          <w:sz w:val="18"/>
          <w:szCs w:val="18"/>
        </w:rPr>
        <w:t>.</w:t>
      </w:r>
      <w:r w:rsidR="002C5025">
        <w:rPr>
          <w:rFonts w:ascii="Arial" w:hAnsi="Arial" w:cs="Arial"/>
          <w:b/>
          <w:bCs/>
          <w:spacing w:val="-19"/>
          <w:sz w:val="18"/>
          <w:szCs w:val="18"/>
        </w:rPr>
        <w:t xml:space="preserve"> </w:t>
      </w:r>
      <w:r w:rsidR="002C5025">
        <w:rPr>
          <w:rFonts w:ascii="Arial" w:hAnsi="Arial" w:cs="Arial"/>
          <w:b/>
          <w:bCs/>
          <w:spacing w:val="-5"/>
          <w:w w:val="95"/>
          <w:sz w:val="18"/>
          <w:szCs w:val="18"/>
        </w:rPr>
        <w:t>2016</w:t>
      </w:r>
      <w:r w:rsidR="002C5025">
        <w:rPr>
          <w:rFonts w:ascii="Arial" w:hAnsi="Arial" w:cs="Arial"/>
          <w:b/>
          <w:bCs/>
          <w:w w:val="95"/>
          <w:sz w:val="18"/>
          <w:szCs w:val="18"/>
        </w:rPr>
        <w:t>.</w:t>
      </w:r>
      <w:r w:rsidR="002C5025">
        <w:rPr>
          <w:rFonts w:ascii="Arial" w:hAnsi="Arial" w:cs="Arial"/>
          <w:b/>
          <w:bCs/>
          <w:sz w:val="18"/>
          <w:szCs w:val="18"/>
        </w:rPr>
        <w:t xml:space="preserve"> </w:t>
      </w:r>
      <w:r w:rsidR="002C5025">
        <w:rPr>
          <w:rFonts w:ascii="Arial" w:hAnsi="Arial" w:cs="Arial"/>
          <w:b/>
          <w:bCs/>
          <w:spacing w:val="7"/>
          <w:sz w:val="18"/>
          <w:szCs w:val="18"/>
        </w:rPr>
        <w:t xml:space="preserve"> </w:t>
      </w:r>
      <w:r w:rsidR="002C5025">
        <w:rPr>
          <w:rFonts w:ascii="Arial" w:hAnsi="Arial" w:cs="Arial"/>
          <w:b/>
          <w:bCs/>
          <w:w w:val="95"/>
          <w:sz w:val="18"/>
          <w:szCs w:val="18"/>
        </w:rPr>
        <w:t>I</w:t>
      </w:r>
      <w:r w:rsidR="002C5025">
        <w:rPr>
          <w:rFonts w:ascii="Arial" w:hAnsi="Arial" w:cs="Arial"/>
          <w:b/>
          <w:bCs/>
          <w:spacing w:val="-3"/>
          <w:w w:val="95"/>
          <w:sz w:val="18"/>
          <w:szCs w:val="18"/>
        </w:rPr>
        <w:t>mp</w:t>
      </w:r>
      <w:r w:rsidR="002C5025">
        <w:rPr>
          <w:rFonts w:ascii="Arial" w:hAnsi="Arial" w:cs="Arial"/>
          <w:b/>
          <w:bCs/>
          <w:w w:val="95"/>
          <w:sz w:val="18"/>
          <w:szCs w:val="18"/>
        </w:rPr>
        <w:t>act</w:t>
      </w:r>
      <w:r w:rsidR="002C5025">
        <w:rPr>
          <w:rFonts w:ascii="Arial" w:hAnsi="Arial" w:cs="Arial"/>
          <w:b/>
          <w:bCs/>
          <w:spacing w:val="-16"/>
          <w:sz w:val="18"/>
          <w:szCs w:val="18"/>
        </w:rPr>
        <w:t xml:space="preserve"> </w:t>
      </w:r>
      <w:r w:rsidR="002C5025">
        <w:rPr>
          <w:rFonts w:ascii="Arial" w:hAnsi="Arial" w:cs="Arial"/>
          <w:b/>
          <w:bCs/>
          <w:spacing w:val="-3"/>
          <w:w w:val="95"/>
          <w:sz w:val="18"/>
          <w:szCs w:val="18"/>
        </w:rPr>
        <w:t>o</w:t>
      </w:r>
      <w:r w:rsidR="002C5025">
        <w:rPr>
          <w:rFonts w:ascii="Arial" w:hAnsi="Arial" w:cs="Arial"/>
          <w:b/>
          <w:bCs/>
          <w:w w:val="95"/>
          <w:sz w:val="18"/>
          <w:szCs w:val="18"/>
        </w:rPr>
        <w:t>f</w:t>
      </w:r>
      <w:r w:rsidR="002C5025">
        <w:rPr>
          <w:rFonts w:ascii="Arial" w:hAnsi="Arial" w:cs="Arial"/>
          <w:b/>
          <w:bCs/>
          <w:spacing w:val="-24"/>
          <w:sz w:val="18"/>
          <w:szCs w:val="18"/>
        </w:rPr>
        <w:t xml:space="preserve"> </w:t>
      </w:r>
      <w:r w:rsidR="002C5025">
        <w:rPr>
          <w:rFonts w:ascii="Arial" w:hAnsi="Arial" w:cs="Arial"/>
          <w:b/>
          <w:bCs/>
          <w:spacing w:val="-3"/>
          <w:w w:val="95"/>
          <w:sz w:val="18"/>
          <w:szCs w:val="18"/>
        </w:rPr>
        <w:t>T</w:t>
      </w:r>
      <w:r w:rsidR="002C5025">
        <w:rPr>
          <w:rFonts w:ascii="Arial" w:hAnsi="Arial" w:cs="Arial"/>
          <w:b/>
          <w:bCs/>
          <w:w w:val="95"/>
          <w:sz w:val="18"/>
          <w:szCs w:val="18"/>
        </w:rPr>
        <w:t>ra</w:t>
      </w:r>
      <w:r w:rsidR="002C5025">
        <w:rPr>
          <w:rFonts w:ascii="Arial" w:hAnsi="Arial" w:cs="Arial"/>
          <w:b/>
          <w:bCs/>
          <w:spacing w:val="-3"/>
          <w:w w:val="95"/>
          <w:sz w:val="18"/>
          <w:szCs w:val="18"/>
        </w:rPr>
        <w:t>n</w:t>
      </w:r>
      <w:r w:rsidR="002C5025">
        <w:rPr>
          <w:rFonts w:ascii="Arial" w:hAnsi="Arial" w:cs="Arial"/>
          <w:b/>
          <w:bCs/>
          <w:w w:val="95"/>
          <w:sz w:val="18"/>
          <w:szCs w:val="18"/>
        </w:rPr>
        <w:t>s</w:t>
      </w:r>
      <w:r w:rsidR="002C5025">
        <w:rPr>
          <w:rFonts w:ascii="Arial" w:hAnsi="Arial" w:cs="Arial"/>
          <w:b/>
          <w:bCs/>
          <w:spacing w:val="-3"/>
          <w:w w:val="95"/>
          <w:sz w:val="18"/>
          <w:szCs w:val="18"/>
        </w:rPr>
        <w:t>po</w:t>
      </w:r>
      <w:r w:rsidR="002C5025">
        <w:rPr>
          <w:rFonts w:ascii="Arial" w:hAnsi="Arial" w:cs="Arial"/>
          <w:b/>
          <w:bCs/>
          <w:w w:val="95"/>
          <w:sz w:val="18"/>
          <w:szCs w:val="18"/>
        </w:rPr>
        <w:t>rtati</w:t>
      </w:r>
      <w:r w:rsidR="002C5025">
        <w:rPr>
          <w:rFonts w:ascii="Arial" w:hAnsi="Arial" w:cs="Arial"/>
          <w:b/>
          <w:bCs/>
          <w:spacing w:val="-3"/>
          <w:w w:val="95"/>
          <w:sz w:val="18"/>
          <w:szCs w:val="18"/>
        </w:rPr>
        <w:t>o</w:t>
      </w:r>
      <w:r w:rsidR="002C5025">
        <w:rPr>
          <w:rFonts w:ascii="Arial" w:hAnsi="Arial" w:cs="Arial"/>
          <w:b/>
          <w:bCs/>
          <w:w w:val="95"/>
          <w:sz w:val="18"/>
          <w:szCs w:val="18"/>
        </w:rPr>
        <w:t>n</w:t>
      </w:r>
      <w:r w:rsidR="002C5025">
        <w:rPr>
          <w:rFonts w:ascii="Arial" w:hAnsi="Arial" w:cs="Arial"/>
          <w:b/>
          <w:bCs/>
          <w:spacing w:val="-7"/>
          <w:sz w:val="18"/>
          <w:szCs w:val="18"/>
        </w:rPr>
        <w:t xml:space="preserve"> </w:t>
      </w:r>
      <w:r w:rsidR="002C5025">
        <w:rPr>
          <w:rFonts w:ascii="Arial" w:hAnsi="Arial" w:cs="Arial"/>
          <w:b/>
          <w:bCs/>
          <w:spacing w:val="-3"/>
          <w:w w:val="95"/>
          <w:sz w:val="18"/>
          <w:szCs w:val="18"/>
        </w:rPr>
        <w:t>o</w:t>
      </w:r>
      <w:r w:rsidR="002C5025">
        <w:rPr>
          <w:rFonts w:ascii="Arial" w:hAnsi="Arial" w:cs="Arial"/>
          <w:b/>
          <w:bCs/>
          <w:w w:val="95"/>
          <w:sz w:val="18"/>
          <w:szCs w:val="18"/>
        </w:rPr>
        <w:t>n</w:t>
      </w:r>
      <w:r w:rsidR="002C5025">
        <w:rPr>
          <w:rFonts w:ascii="Arial" w:hAnsi="Arial" w:cs="Arial"/>
          <w:b/>
          <w:bCs/>
          <w:spacing w:val="-12"/>
          <w:sz w:val="18"/>
          <w:szCs w:val="18"/>
        </w:rPr>
        <w:t xml:space="preserve"> </w:t>
      </w:r>
      <w:r w:rsidR="002C5025">
        <w:rPr>
          <w:rFonts w:ascii="Arial" w:hAnsi="Arial" w:cs="Arial"/>
          <w:b/>
          <w:bCs/>
          <w:spacing w:val="-3"/>
          <w:w w:val="95"/>
          <w:sz w:val="18"/>
          <w:szCs w:val="18"/>
        </w:rPr>
        <w:t>H</w:t>
      </w:r>
      <w:r w:rsidR="002C5025">
        <w:rPr>
          <w:rFonts w:ascii="Arial" w:hAnsi="Arial" w:cs="Arial"/>
          <w:b/>
          <w:bCs/>
          <w:w w:val="95"/>
          <w:sz w:val="18"/>
          <w:szCs w:val="18"/>
        </w:rPr>
        <w:t>ealth</w:t>
      </w:r>
      <w:r w:rsidR="002C5025">
        <w:rPr>
          <w:rFonts w:ascii="Arial" w:hAnsi="Arial" w:cs="Arial"/>
          <w:b/>
          <w:bCs/>
          <w:spacing w:val="-16"/>
          <w:sz w:val="18"/>
          <w:szCs w:val="18"/>
        </w:rPr>
        <w:t xml:space="preserve"> </w:t>
      </w:r>
      <w:r w:rsidR="002C5025">
        <w:rPr>
          <w:rFonts w:ascii="Arial" w:hAnsi="Arial" w:cs="Arial"/>
          <w:b/>
          <w:bCs/>
          <w:spacing w:val="-3"/>
          <w:w w:val="95"/>
          <w:sz w:val="18"/>
          <w:szCs w:val="18"/>
        </w:rPr>
        <w:t>Ou</w:t>
      </w:r>
      <w:r w:rsidR="002C5025">
        <w:rPr>
          <w:rFonts w:ascii="Arial" w:hAnsi="Arial" w:cs="Arial"/>
          <w:b/>
          <w:bCs/>
          <w:w w:val="95"/>
          <w:sz w:val="18"/>
          <w:szCs w:val="18"/>
        </w:rPr>
        <w:t>tc</w:t>
      </w:r>
      <w:r w:rsidR="002C5025">
        <w:rPr>
          <w:rFonts w:ascii="Arial" w:hAnsi="Arial" w:cs="Arial"/>
          <w:b/>
          <w:bCs/>
          <w:spacing w:val="-3"/>
          <w:w w:val="95"/>
          <w:sz w:val="18"/>
          <w:szCs w:val="18"/>
        </w:rPr>
        <w:t>om</w:t>
      </w:r>
      <w:r w:rsidR="002C5025">
        <w:rPr>
          <w:rFonts w:ascii="Arial" w:hAnsi="Arial" w:cs="Arial"/>
          <w:b/>
          <w:bCs/>
          <w:w w:val="95"/>
          <w:sz w:val="18"/>
          <w:szCs w:val="18"/>
        </w:rPr>
        <w:t>e</w:t>
      </w:r>
      <w:r w:rsidR="002C5025">
        <w:rPr>
          <w:rFonts w:ascii="Arial" w:hAnsi="Arial" w:cs="Arial"/>
          <w:b/>
          <w:bCs/>
          <w:spacing w:val="12"/>
          <w:w w:val="95"/>
          <w:sz w:val="18"/>
          <w:szCs w:val="18"/>
        </w:rPr>
        <w:t>s</w:t>
      </w:r>
      <w:r w:rsidR="002C5025">
        <w:rPr>
          <w:rFonts w:ascii="Arial" w:hAnsi="Arial" w:cs="Arial"/>
          <w:b/>
          <w:bCs/>
          <w:spacing w:val="-2"/>
          <w:w w:val="95"/>
          <w:position w:val="8"/>
          <w:sz w:val="8"/>
          <w:szCs w:val="8"/>
        </w:rPr>
        <w:t>1</w:t>
      </w:r>
      <w:r w:rsidR="002C5025">
        <w:rPr>
          <w:rFonts w:ascii="Arial" w:hAnsi="Arial" w:cs="Arial"/>
          <w:b/>
          <w:bCs/>
          <w:w w:val="95"/>
          <w:position w:val="8"/>
          <w:sz w:val="8"/>
          <w:szCs w:val="8"/>
        </w:rPr>
        <w:t>1</w:t>
      </w:r>
      <w:r w:rsidR="002C5025">
        <w:rPr>
          <w:rFonts w:ascii="Arial" w:hAnsi="Arial" w:cs="Arial"/>
          <w:b/>
          <w:bCs/>
          <w:position w:val="8"/>
          <w:sz w:val="8"/>
          <w:szCs w:val="8"/>
        </w:rPr>
        <w:t xml:space="preserve">      </w:t>
      </w:r>
      <w:r w:rsidR="002C5025">
        <w:rPr>
          <w:rFonts w:ascii="Arial" w:hAnsi="Arial" w:cs="Arial"/>
          <w:b/>
          <w:bCs/>
          <w:spacing w:val="3"/>
          <w:position w:val="8"/>
          <w:sz w:val="8"/>
          <w:szCs w:val="8"/>
        </w:rPr>
        <w:t xml:space="preserve"> </w:t>
      </w:r>
      <w:r w:rsidR="002C5025">
        <w:rPr>
          <w:rFonts w:ascii="Arial" w:hAnsi="Arial" w:cs="Arial"/>
          <w:b/>
          <w:bCs/>
          <w:spacing w:val="-1"/>
          <w:w w:val="90"/>
          <w:sz w:val="18"/>
          <w:szCs w:val="18"/>
        </w:rPr>
        <w:t>Pr</w:t>
      </w:r>
      <w:r w:rsidR="002C5025">
        <w:rPr>
          <w:rFonts w:ascii="Arial" w:hAnsi="Arial" w:cs="Arial"/>
          <w:b/>
          <w:bCs/>
          <w:spacing w:val="-2"/>
          <w:w w:val="90"/>
          <w:sz w:val="18"/>
          <w:szCs w:val="18"/>
        </w:rPr>
        <w:t>e</w:t>
      </w:r>
      <w:r w:rsidR="002C5025">
        <w:rPr>
          <w:rFonts w:ascii="Arial" w:hAnsi="Arial" w:cs="Arial"/>
          <w:b/>
          <w:bCs/>
          <w:w w:val="90"/>
          <w:sz w:val="18"/>
          <w:szCs w:val="18"/>
        </w:rPr>
        <w:t>s</w:t>
      </w:r>
      <w:r w:rsidR="002C5025">
        <w:rPr>
          <w:rFonts w:ascii="Arial" w:hAnsi="Arial" w:cs="Arial"/>
          <w:b/>
          <w:bCs/>
          <w:spacing w:val="-2"/>
          <w:w w:val="90"/>
          <w:sz w:val="18"/>
          <w:szCs w:val="18"/>
        </w:rPr>
        <w:t>e</w:t>
      </w:r>
      <w:r w:rsidR="002C5025">
        <w:rPr>
          <w:rFonts w:ascii="Arial" w:hAnsi="Arial" w:cs="Arial"/>
          <w:b/>
          <w:bCs/>
          <w:spacing w:val="1"/>
          <w:w w:val="90"/>
          <w:sz w:val="18"/>
          <w:szCs w:val="18"/>
        </w:rPr>
        <w:t>n</w:t>
      </w:r>
      <w:r w:rsidR="002C5025">
        <w:rPr>
          <w:rFonts w:ascii="Arial" w:hAnsi="Arial" w:cs="Arial"/>
          <w:b/>
          <w:bCs/>
          <w:spacing w:val="-2"/>
          <w:w w:val="90"/>
          <w:sz w:val="18"/>
          <w:szCs w:val="18"/>
        </w:rPr>
        <w:t>t</w:t>
      </w:r>
      <w:r w:rsidR="002C5025">
        <w:rPr>
          <w:rFonts w:ascii="Arial" w:hAnsi="Arial" w:cs="Arial"/>
          <w:b/>
          <w:bCs/>
          <w:w w:val="90"/>
          <w:sz w:val="18"/>
          <w:szCs w:val="18"/>
        </w:rPr>
        <w:t>a</w:t>
      </w:r>
      <w:r w:rsidR="002C5025">
        <w:rPr>
          <w:rFonts w:ascii="Arial" w:hAnsi="Arial" w:cs="Arial"/>
          <w:b/>
          <w:bCs/>
          <w:spacing w:val="-2"/>
          <w:w w:val="90"/>
          <w:sz w:val="18"/>
          <w:szCs w:val="18"/>
        </w:rPr>
        <w:t>t</w:t>
      </w:r>
      <w:r w:rsidR="002C5025">
        <w:rPr>
          <w:rFonts w:ascii="Arial" w:hAnsi="Arial" w:cs="Arial"/>
          <w:b/>
          <w:bCs/>
          <w:w w:val="90"/>
          <w:sz w:val="18"/>
          <w:szCs w:val="18"/>
        </w:rPr>
        <w:t>i</w:t>
      </w:r>
      <w:r w:rsidR="002C5025">
        <w:rPr>
          <w:rFonts w:ascii="Arial" w:hAnsi="Arial" w:cs="Arial"/>
          <w:b/>
          <w:bCs/>
          <w:spacing w:val="-1"/>
          <w:w w:val="90"/>
          <w:sz w:val="18"/>
          <w:szCs w:val="18"/>
        </w:rPr>
        <w:t>o</w:t>
      </w:r>
      <w:r w:rsidR="002C5025">
        <w:rPr>
          <w:rFonts w:ascii="Arial" w:hAnsi="Arial" w:cs="Arial"/>
          <w:b/>
          <w:bCs/>
          <w:w w:val="90"/>
          <w:sz w:val="18"/>
          <w:szCs w:val="18"/>
        </w:rPr>
        <w:t>n</w:t>
      </w:r>
      <w:r w:rsidR="002C5025">
        <w:rPr>
          <w:rFonts w:ascii="Arial" w:hAnsi="Arial" w:cs="Arial"/>
          <w:b/>
          <w:bCs/>
          <w:spacing w:val="16"/>
          <w:sz w:val="18"/>
          <w:szCs w:val="18"/>
        </w:rPr>
        <w:t xml:space="preserve"> </w:t>
      </w:r>
      <w:r w:rsidR="002C5025">
        <w:rPr>
          <w:rFonts w:ascii="Arial" w:hAnsi="Arial" w:cs="Arial"/>
          <w:b/>
          <w:bCs/>
          <w:spacing w:val="1"/>
          <w:w w:val="90"/>
          <w:sz w:val="18"/>
          <w:szCs w:val="18"/>
        </w:rPr>
        <w:t>t</w:t>
      </w:r>
      <w:r w:rsidR="002C5025">
        <w:rPr>
          <w:rFonts w:ascii="Arial" w:hAnsi="Arial" w:cs="Arial"/>
          <w:b/>
          <w:bCs/>
          <w:w w:val="90"/>
          <w:sz w:val="18"/>
          <w:szCs w:val="18"/>
        </w:rPr>
        <w:t>o</w:t>
      </w:r>
      <w:r w:rsidR="002C5025">
        <w:rPr>
          <w:rFonts w:ascii="Arial" w:hAnsi="Arial" w:cs="Arial"/>
          <w:b/>
          <w:bCs/>
          <w:spacing w:val="11"/>
          <w:sz w:val="18"/>
          <w:szCs w:val="18"/>
        </w:rPr>
        <w:t xml:space="preserve"> </w:t>
      </w:r>
      <w:r w:rsidR="002C5025">
        <w:rPr>
          <w:rFonts w:ascii="Arial" w:hAnsi="Arial" w:cs="Arial"/>
          <w:b/>
          <w:bCs/>
          <w:spacing w:val="-2"/>
          <w:w w:val="90"/>
          <w:sz w:val="18"/>
          <w:szCs w:val="18"/>
        </w:rPr>
        <w:t>G</w:t>
      </w:r>
      <w:r w:rsidR="002C5025">
        <w:rPr>
          <w:rFonts w:ascii="Arial" w:hAnsi="Arial" w:cs="Arial"/>
          <w:b/>
          <w:bCs/>
          <w:spacing w:val="-1"/>
          <w:w w:val="90"/>
          <w:sz w:val="18"/>
          <w:szCs w:val="18"/>
        </w:rPr>
        <w:t>E</w:t>
      </w:r>
      <w:r w:rsidR="002C5025">
        <w:rPr>
          <w:rFonts w:ascii="Arial" w:hAnsi="Arial" w:cs="Arial"/>
          <w:b/>
          <w:bCs/>
          <w:spacing w:val="1"/>
          <w:w w:val="90"/>
          <w:sz w:val="18"/>
          <w:szCs w:val="18"/>
        </w:rPr>
        <w:t>-</w:t>
      </w:r>
      <w:r w:rsidR="002C5025">
        <w:rPr>
          <w:rFonts w:ascii="Arial" w:hAnsi="Arial" w:cs="Arial"/>
          <w:b/>
          <w:bCs/>
          <w:w w:val="90"/>
          <w:sz w:val="18"/>
          <w:szCs w:val="18"/>
        </w:rPr>
        <w:t>N</w:t>
      </w:r>
      <w:r w:rsidR="002C5025">
        <w:rPr>
          <w:rFonts w:ascii="Arial" w:hAnsi="Arial" w:cs="Arial"/>
          <w:b/>
          <w:bCs/>
          <w:spacing w:val="-2"/>
          <w:w w:val="90"/>
          <w:sz w:val="18"/>
          <w:szCs w:val="18"/>
        </w:rPr>
        <w:t>at</w:t>
      </w:r>
      <w:r w:rsidR="002C5025">
        <w:rPr>
          <w:rFonts w:ascii="Arial" w:hAnsi="Arial" w:cs="Arial"/>
          <w:b/>
          <w:bCs/>
          <w:w w:val="90"/>
          <w:sz w:val="18"/>
          <w:szCs w:val="18"/>
        </w:rPr>
        <w:t>i</w:t>
      </w:r>
      <w:r w:rsidR="002C5025">
        <w:rPr>
          <w:rFonts w:ascii="Arial" w:hAnsi="Arial" w:cs="Arial"/>
          <w:b/>
          <w:bCs/>
          <w:spacing w:val="-1"/>
          <w:w w:val="90"/>
          <w:sz w:val="18"/>
          <w:szCs w:val="18"/>
        </w:rPr>
        <w:t>o</w:t>
      </w:r>
      <w:r w:rsidR="002C5025">
        <w:rPr>
          <w:rFonts w:ascii="Arial" w:hAnsi="Arial" w:cs="Arial"/>
          <w:b/>
          <w:bCs/>
          <w:spacing w:val="1"/>
          <w:w w:val="90"/>
          <w:sz w:val="18"/>
          <w:szCs w:val="18"/>
        </w:rPr>
        <w:t>n</w:t>
      </w:r>
      <w:r w:rsidR="002C5025">
        <w:rPr>
          <w:rFonts w:ascii="Arial" w:hAnsi="Arial" w:cs="Arial"/>
          <w:b/>
          <w:bCs/>
          <w:spacing w:val="-2"/>
          <w:w w:val="90"/>
          <w:sz w:val="18"/>
          <w:szCs w:val="18"/>
        </w:rPr>
        <w:t>a</w:t>
      </w:r>
      <w:r w:rsidR="002C5025">
        <w:rPr>
          <w:rFonts w:ascii="Arial" w:hAnsi="Arial" w:cs="Arial"/>
          <w:b/>
          <w:bCs/>
          <w:w w:val="90"/>
          <w:sz w:val="18"/>
          <w:szCs w:val="18"/>
        </w:rPr>
        <w:t>l</w:t>
      </w:r>
      <w:r w:rsidR="002C5025">
        <w:rPr>
          <w:rFonts w:ascii="Arial" w:hAnsi="Arial" w:cs="Arial"/>
          <w:b/>
          <w:bCs/>
          <w:sz w:val="18"/>
          <w:szCs w:val="18"/>
        </w:rPr>
        <w:t xml:space="preserve"> </w:t>
      </w:r>
      <w:r w:rsidR="002C5025">
        <w:rPr>
          <w:rFonts w:ascii="Arial" w:hAnsi="Arial" w:cs="Arial"/>
          <w:b/>
          <w:bCs/>
          <w:spacing w:val="-16"/>
          <w:sz w:val="18"/>
          <w:szCs w:val="18"/>
        </w:rPr>
        <w:t xml:space="preserve"> </w:t>
      </w:r>
      <w:r w:rsidR="002C5025">
        <w:rPr>
          <w:rFonts w:ascii="Arial" w:hAnsi="Arial" w:cs="Arial"/>
          <w:b/>
          <w:bCs/>
          <w:spacing w:val="1"/>
          <w:w w:val="90"/>
          <w:sz w:val="18"/>
          <w:szCs w:val="18"/>
        </w:rPr>
        <w:t>M</w:t>
      </w:r>
      <w:r w:rsidR="002C5025">
        <w:rPr>
          <w:rFonts w:ascii="Arial" w:hAnsi="Arial" w:cs="Arial"/>
          <w:b/>
          <w:bCs/>
          <w:spacing w:val="-2"/>
          <w:w w:val="90"/>
          <w:sz w:val="18"/>
          <w:szCs w:val="18"/>
        </w:rPr>
        <w:t>e</w:t>
      </w:r>
      <w:r w:rsidR="002C5025">
        <w:rPr>
          <w:rFonts w:ascii="Arial" w:hAnsi="Arial" w:cs="Arial"/>
          <w:b/>
          <w:bCs/>
          <w:spacing w:val="-1"/>
          <w:w w:val="90"/>
          <w:sz w:val="18"/>
          <w:szCs w:val="18"/>
        </w:rPr>
        <w:t>d</w:t>
      </w:r>
      <w:r w:rsidR="002C5025">
        <w:rPr>
          <w:rFonts w:ascii="Arial" w:hAnsi="Arial" w:cs="Arial"/>
          <w:b/>
          <w:bCs/>
          <w:w w:val="90"/>
          <w:sz w:val="18"/>
          <w:szCs w:val="18"/>
        </w:rPr>
        <w:t>ic</w:t>
      </w:r>
      <w:r w:rsidR="002C5025">
        <w:rPr>
          <w:rFonts w:ascii="Arial" w:hAnsi="Arial" w:cs="Arial"/>
          <w:b/>
          <w:bCs/>
          <w:spacing w:val="-2"/>
          <w:w w:val="90"/>
          <w:sz w:val="18"/>
          <w:szCs w:val="18"/>
        </w:rPr>
        <w:t>al</w:t>
      </w:r>
    </w:p>
    <w:p w:rsidR="002C5025" w:rsidRDefault="002C5025">
      <w:pPr>
        <w:pStyle w:val="BodyText"/>
        <w:kinsoku w:val="0"/>
        <w:overflowPunct w:val="0"/>
        <w:spacing w:before="49"/>
        <w:ind w:left="660"/>
        <w:jc w:val="both"/>
        <w:rPr>
          <w:rFonts w:ascii="Arial" w:hAnsi="Arial" w:cs="Arial"/>
          <w:sz w:val="17"/>
          <w:szCs w:val="17"/>
        </w:rPr>
      </w:pPr>
      <w:r>
        <w:rPr>
          <w:rFonts w:ascii="Arial" w:hAnsi="Arial" w:cs="Arial"/>
          <w:sz w:val="17"/>
          <w:szCs w:val="17"/>
        </w:rPr>
        <w:t>Fellowships  Primary Care Leadership  Program.</w:t>
      </w:r>
    </w:p>
    <w:p w:rsidR="002C5025" w:rsidRDefault="002C5025">
      <w:pPr>
        <w:pStyle w:val="BodyText"/>
        <w:kinsoku w:val="0"/>
        <w:overflowPunct w:val="0"/>
        <w:spacing w:before="51" w:line="297" w:lineRule="auto"/>
        <w:ind w:left="660" w:right="324" w:firstLine="43"/>
        <w:rPr>
          <w:rFonts w:ascii="Arial" w:hAnsi="Arial" w:cs="Arial"/>
          <w:w w:val="110"/>
          <w:sz w:val="17"/>
          <w:szCs w:val="17"/>
        </w:rPr>
      </w:pPr>
      <w:r>
        <w:rPr>
          <w:rFonts w:ascii="Arial" w:hAnsi="Arial" w:cs="Arial"/>
          <w:w w:val="110"/>
          <w:sz w:val="17"/>
          <w:szCs w:val="17"/>
        </w:rPr>
        <w:t>'</w:t>
      </w:r>
      <w:r>
        <w:rPr>
          <w:rFonts w:ascii="Arial" w:hAnsi="Arial" w:cs="Arial"/>
          <w:spacing w:val="8"/>
          <w:w w:val="110"/>
          <w:sz w:val="17"/>
          <w:szCs w:val="17"/>
        </w:rPr>
        <w:t xml:space="preserve"> </w:t>
      </w:r>
      <w:r>
        <w:rPr>
          <w:rFonts w:ascii="Arial" w:hAnsi="Arial" w:cs="Arial"/>
          <w:w w:val="110"/>
          <w:sz w:val="17"/>
          <w:szCs w:val="17"/>
        </w:rPr>
        <w:t>Udall</w:t>
      </w:r>
      <w:r>
        <w:rPr>
          <w:rFonts w:ascii="Arial" w:hAnsi="Arial" w:cs="Arial"/>
          <w:spacing w:val="-31"/>
          <w:w w:val="110"/>
          <w:sz w:val="17"/>
          <w:szCs w:val="17"/>
        </w:rPr>
        <w:t xml:space="preserve"> </w:t>
      </w:r>
      <w:r>
        <w:rPr>
          <w:rFonts w:ascii="Arial" w:hAnsi="Arial" w:cs="Arial"/>
          <w:w w:val="110"/>
          <w:sz w:val="17"/>
          <w:szCs w:val="17"/>
        </w:rPr>
        <w:t>Center</w:t>
      </w:r>
      <w:r>
        <w:rPr>
          <w:rFonts w:ascii="Arial" w:hAnsi="Arial" w:cs="Arial"/>
          <w:spacing w:val="-25"/>
          <w:w w:val="110"/>
          <w:sz w:val="17"/>
          <w:szCs w:val="17"/>
        </w:rPr>
        <w:t xml:space="preserve"> </w:t>
      </w:r>
      <w:r>
        <w:rPr>
          <w:rFonts w:ascii="Arial" w:hAnsi="Arial" w:cs="Arial"/>
          <w:w w:val="110"/>
          <w:sz w:val="17"/>
          <w:szCs w:val="17"/>
        </w:rPr>
        <w:t>for</w:t>
      </w:r>
      <w:r>
        <w:rPr>
          <w:rFonts w:ascii="Arial" w:hAnsi="Arial" w:cs="Arial"/>
          <w:spacing w:val="-25"/>
          <w:w w:val="110"/>
          <w:sz w:val="17"/>
          <w:szCs w:val="17"/>
        </w:rPr>
        <w:t xml:space="preserve"> </w:t>
      </w:r>
      <w:r>
        <w:rPr>
          <w:rFonts w:ascii="Arial" w:hAnsi="Arial" w:cs="Arial"/>
          <w:w w:val="110"/>
          <w:sz w:val="17"/>
          <w:szCs w:val="17"/>
        </w:rPr>
        <w:t>Studies</w:t>
      </w:r>
      <w:r>
        <w:rPr>
          <w:rFonts w:ascii="Arial" w:hAnsi="Arial" w:cs="Arial"/>
          <w:spacing w:val="-21"/>
          <w:w w:val="110"/>
          <w:sz w:val="17"/>
          <w:szCs w:val="17"/>
        </w:rPr>
        <w:t xml:space="preserve"> </w:t>
      </w:r>
      <w:r>
        <w:rPr>
          <w:rFonts w:ascii="Arial" w:hAnsi="Arial" w:cs="Arial"/>
          <w:w w:val="110"/>
          <w:sz w:val="17"/>
          <w:szCs w:val="17"/>
        </w:rPr>
        <w:t>in</w:t>
      </w:r>
      <w:r>
        <w:rPr>
          <w:rFonts w:ascii="Arial" w:hAnsi="Arial" w:cs="Arial"/>
          <w:spacing w:val="-28"/>
          <w:w w:val="110"/>
          <w:sz w:val="17"/>
          <w:szCs w:val="17"/>
        </w:rPr>
        <w:t xml:space="preserve"> </w:t>
      </w:r>
      <w:r>
        <w:rPr>
          <w:rFonts w:ascii="Arial" w:hAnsi="Arial" w:cs="Arial"/>
          <w:w w:val="110"/>
          <w:sz w:val="17"/>
          <w:szCs w:val="17"/>
        </w:rPr>
        <w:t>Public</w:t>
      </w:r>
      <w:r>
        <w:rPr>
          <w:rFonts w:ascii="Arial" w:hAnsi="Arial" w:cs="Arial"/>
          <w:spacing w:val="-28"/>
          <w:w w:val="110"/>
          <w:sz w:val="17"/>
          <w:szCs w:val="17"/>
        </w:rPr>
        <w:t xml:space="preserve"> </w:t>
      </w:r>
      <w:r>
        <w:rPr>
          <w:rFonts w:ascii="Arial" w:hAnsi="Arial" w:cs="Arial"/>
          <w:w w:val="110"/>
          <w:sz w:val="17"/>
          <w:szCs w:val="17"/>
        </w:rPr>
        <w:t>Policy.</w:t>
      </w:r>
      <w:r>
        <w:rPr>
          <w:rFonts w:ascii="Arial" w:hAnsi="Arial" w:cs="Arial"/>
          <w:spacing w:val="-29"/>
          <w:w w:val="110"/>
          <w:sz w:val="17"/>
          <w:szCs w:val="17"/>
        </w:rPr>
        <w:t xml:space="preserve"> </w:t>
      </w:r>
      <w:r>
        <w:rPr>
          <w:rFonts w:ascii="Arial" w:hAnsi="Arial" w:cs="Arial"/>
          <w:w w:val="110"/>
          <w:sz w:val="17"/>
          <w:szCs w:val="17"/>
        </w:rPr>
        <w:t>September</w:t>
      </w:r>
      <w:r>
        <w:rPr>
          <w:rFonts w:ascii="Arial" w:hAnsi="Arial" w:cs="Arial"/>
          <w:spacing w:val="-17"/>
          <w:w w:val="110"/>
          <w:sz w:val="17"/>
          <w:szCs w:val="17"/>
        </w:rPr>
        <w:t xml:space="preserve"> </w:t>
      </w:r>
      <w:r>
        <w:rPr>
          <w:rFonts w:ascii="Arial" w:hAnsi="Arial" w:cs="Arial"/>
          <w:w w:val="110"/>
          <w:sz w:val="17"/>
          <w:szCs w:val="17"/>
        </w:rPr>
        <w:t>2006.</w:t>
      </w:r>
      <w:r>
        <w:rPr>
          <w:rFonts w:ascii="Arial" w:hAnsi="Arial" w:cs="Arial"/>
          <w:spacing w:val="16"/>
          <w:w w:val="110"/>
          <w:sz w:val="17"/>
          <w:szCs w:val="17"/>
        </w:rPr>
        <w:t xml:space="preserve"> </w:t>
      </w:r>
      <w:r>
        <w:rPr>
          <w:rFonts w:ascii="Arial" w:hAnsi="Arial" w:cs="Arial"/>
          <w:w w:val="110"/>
          <w:sz w:val="17"/>
          <w:szCs w:val="17"/>
        </w:rPr>
        <w:t>Udall</w:t>
      </w:r>
      <w:r>
        <w:rPr>
          <w:rFonts w:ascii="Arial" w:hAnsi="Arial" w:cs="Arial"/>
          <w:spacing w:val="-28"/>
          <w:w w:val="110"/>
          <w:sz w:val="17"/>
          <w:szCs w:val="17"/>
        </w:rPr>
        <w:t xml:space="preserve"> </w:t>
      </w:r>
      <w:r>
        <w:rPr>
          <w:rFonts w:ascii="Arial" w:hAnsi="Arial" w:cs="Arial"/>
          <w:w w:val="110"/>
          <w:sz w:val="17"/>
          <w:szCs w:val="17"/>
        </w:rPr>
        <w:t>Center</w:t>
      </w:r>
      <w:r>
        <w:rPr>
          <w:rFonts w:ascii="Arial" w:hAnsi="Arial" w:cs="Arial"/>
          <w:spacing w:val="-22"/>
          <w:w w:val="110"/>
          <w:sz w:val="17"/>
          <w:szCs w:val="17"/>
        </w:rPr>
        <w:t xml:space="preserve"> </w:t>
      </w:r>
      <w:r>
        <w:rPr>
          <w:rFonts w:ascii="Arial" w:hAnsi="Arial" w:cs="Arial"/>
          <w:w w:val="110"/>
          <w:sz w:val="17"/>
          <w:szCs w:val="17"/>
        </w:rPr>
        <w:t>Fact</w:t>
      </w:r>
      <w:r>
        <w:rPr>
          <w:rFonts w:ascii="Arial" w:hAnsi="Arial" w:cs="Arial"/>
          <w:spacing w:val="-31"/>
          <w:w w:val="110"/>
          <w:sz w:val="17"/>
          <w:szCs w:val="17"/>
        </w:rPr>
        <w:t xml:space="preserve"> </w:t>
      </w:r>
      <w:r>
        <w:rPr>
          <w:rFonts w:ascii="Arial" w:hAnsi="Arial" w:cs="Arial"/>
          <w:w w:val="110"/>
          <w:sz w:val="17"/>
          <w:szCs w:val="17"/>
        </w:rPr>
        <w:t>Sheet:</w:t>
      </w:r>
      <w:r>
        <w:rPr>
          <w:rFonts w:ascii="Arial" w:hAnsi="Arial" w:cs="Arial"/>
          <w:spacing w:val="-25"/>
          <w:w w:val="110"/>
          <w:sz w:val="17"/>
          <w:szCs w:val="17"/>
        </w:rPr>
        <w:t xml:space="preserve"> </w:t>
      </w:r>
      <w:r>
        <w:rPr>
          <w:rFonts w:ascii="Arial" w:hAnsi="Arial" w:cs="Arial"/>
          <w:w w:val="110"/>
          <w:sz w:val="17"/>
          <w:szCs w:val="17"/>
        </w:rPr>
        <w:t>Immigration</w:t>
      </w:r>
      <w:r>
        <w:rPr>
          <w:rFonts w:ascii="Arial" w:hAnsi="Arial" w:cs="Arial"/>
          <w:spacing w:val="-27"/>
          <w:w w:val="110"/>
          <w:sz w:val="17"/>
          <w:szCs w:val="17"/>
        </w:rPr>
        <w:t xml:space="preserve"> </w:t>
      </w:r>
      <w:r>
        <w:rPr>
          <w:rFonts w:ascii="Arial" w:hAnsi="Arial" w:cs="Arial"/>
          <w:w w:val="110"/>
          <w:sz w:val="17"/>
          <w:szCs w:val="17"/>
        </w:rPr>
        <w:t>and</w:t>
      </w:r>
      <w:r>
        <w:rPr>
          <w:rFonts w:ascii="Arial" w:hAnsi="Arial" w:cs="Arial"/>
          <w:spacing w:val="-24"/>
          <w:w w:val="110"/>
          <w:sz w:val="17"/>
          <w:szCs w:val="17"/>
        </w:rPr>
        <w:t xml:space="preserve"> </w:t>
      </w:r>
      <w:r>
        <w:rPr>
          <w:rFonts w:ascii="Arial" w:hAnsi="Arial" w:cs="Arial"/>
          <w:w w:val="110"/>
          <w:sz w:val="17"/>
          <w:szCs w:val="17"/>
        </w:rPr>
        <w:t>U.S. Health</w:t>
      </w:r>
      <w:r>
        <w:rPr>
          <w:rFonts w:ascii="Arial" w:hAnsi="Arial" w:cs="Arial"/>
          <w:spacing w:val="-38"/>
          <w:w w:val="110"/>
          <w:sz w:val="17"/>
          <w:szCs w:val="17"/>
        </w:rPr>
        <w:t xml:space="preserve"> </w:t>
      </w:r>
      <w:r>
        <w:rPr>
          <w:rFonts w:ascii="Arial" w:hAnsi="Arial" w:cs="Arial"/>
          <w:w w:val="110"/>
          <w:sz w:val="17"/>
          <w:szCs w:val="17"/>
        </w:rPr>
        <w:t>Care</w:t>
      </w:r>
      <w:r>
        <w:rPr>
          <w:rFonts w:ascii="Arial" w:hAnsi="Arial" w:cs="Arial"/>
          <w:spacing w:val="-38"/>
          <w:w w:val="110"/>
          <w:sz w:val="17"/>
          <w:szCs w:val="17"/>
        </w:rPr>
        <w:t xml:space="preserve"> </w:t>
      </w:r>
      <w:r>
        <w:rPr>
          <w:rFonts w:ascii="Arial" w:hAnsi="Arial" w:cs="Arial"/>
          <w:w w:val="110"/>
          <w:sz w:val="17"/>
          <w:szCs w:val="17"/>
        </w:rPr>
        <w:t>Costs</w:t>
      </w:r>
      <w:r>
        <w:rPr>
          <w:rFonts w:ascii="Arial" w:hAnsi="Arial" w:cs="Arial"/>
          <w:spacing w:val="-27"/>
          <w:w w:val="110"/>
          <w:sz w:val="17"/>
          <w:szCs w:val="17"/>
        </w:rPr>
        <w:t xml:space="preserve"> </w:t>
      </w:r>
      <w:r>
        <w:rPr>
          <w:rFonts w:ascii="Arial" w:hAnsi="Arial" w:cs="Arial"/>
          <w:w w:val="110"/>
          <w:sz w:val="17"/>
          <w:szCs w:val="17"/>
        </w:rPr>
        <w:t>.</w:t>
      </w:r>
    </w:p>
    <w:p w:rsidR="002C5025" w:rsidRDefault="002C5025">
      <w:pPr>
        <w:pStyle w:val="BodyText"/>
        <w:kinsoku w:val="0"/>
        <w:overflowPunct w:val="0"/>
        <w:spacing w:line="219" w:lineRule="exact"/>
        <w:ind w:left="878" w:right="324"/>
        <w:rPr>
          <w:rFonts w:ascii="Arial" w:hAnsi="Arial" w:cs="Arial"/>
          <w:sz w:val="17"/>
          <w:szCs w:val="17"/>
        </w:rPr>
      </w:pPr>
      <w:r>
        <w:rPr>
          <w:rFonts w:ascii="Arial" w:hAnsi="Arial" w:cs="Arial"/>
          <w:sz w:val="24"/>
          <w:szCs w:val="24"/>
        </w:rPr>
        <w:t xml:space="preserve">iii </w:t>
      </w:r>
      <w:r>
        <w:rPr>
          <w:rFonts w:ascii="Arial" w:hAnsi="Arial" w:cs="Arial"/>
          <w:sz w:val="17"/>
          <w:szCs w:val="17"/>
        </w:rPr>
        <w:t>Kaiser Family Foundation.   Key Facts on Health Coverage for  Low-Income Immigrants Today and Under the</w:t>
      </w:r>
    </w:p>
    <w:p w:rsidR="002C5025" w:rsidRDefault="002C5025">
      <w:pPr>
        <w:pStyle w:val="BodyText"/>
        <w:kinsoku w:val="0"/>
        <w:overflowPunct w:val="0"/>
        <w:spacing w:before="29"/>
        <w:ind w:left="645"/>
        <w:jc w:val="both"/>
        <w:rPr>
          <w:rFonts w:ascii="Arial" w:hAnsi="Arial" w:cs="Arial"/>
          <w:w w:val="105"/>
          <w:sz w:val="17"/>
          <w:szCs w:val="17"/>
        </w:rPr>
      </w:pPr>
      <w:r>
        <w:rPr>
          <w:rFonts w:ascii="Arial" w:hAnsi="Arial" w:cs="Arial"/>
          <w:w w:val="105"/>
          <w:sz w:val="17"/>
          <w:szCs w:val="17"/>
        </w:rPr>
        <w:t xml:space="preserve">ACA .    </w:t>
      </w:r>
      <w:hyperlink r:id="rId99" w:history="1">
        <w:r>
          <w:rPr>
            <w:rFonts w:ascii="Arial" w:hAnsi="Arial" w:cs="Arial"/>
            <w:w w:val="105"/>
            <w:sz w:val="17"/>
            <w:szCs w:val="17"/>
          </w:rPr>
          <w:t>http://www.kff.org/uninsured/upload/8279-02.pdf</w:t>
        </w:r>
      </w:hyperlink>
    </w:p>
    <w:p w:rsidR="002C5025" w:rsidRDefault="002C5025">
      <w:pPr>
        <w:pStyle w:val="BodyText"/>
        <w:kinsoku w:val="0"/>
        <w:overflowPunct w:val="0"/>
        <w:spacing w:before="30"/>
        <w:ind w:left="631"/>
        <w:jc w:val="both"/>
        <w:rPr>
          <w:rFonts w:ascii="Arial" w:hAnsi="Arial" w:cs="Arial"/>
          <w:b/>
          <w:bCs/>
          <w:w w:val="90"/>
          <w:sz w:val="18"/>
          <w:szCs w:val="18"/>
        </w:rPr>
      </w:pPr>
      <w:r>
        <w:rPr>
          <w:rFonts w:ascii="Arial" w:hAnsi="Arial" w:cs="Arial"/>
          <w:b/>
          <w:bCs/>
          <w:w w:val="90"/>
          <w:sz w:val="18"/>
          <w:szCs w:val="18"/>
        </w:rPr>
        <w:t xml:space="preserve">xxxiv Bonomi, A.E., Anderson, M.L., </w:t>
      </w:r>
      <w:proofErr w:type="spellStart"/>
      <w:r>
        <w:rPr>
          <w:rFonts w:ascii="Arial" w:hAnsi="Arial" w:cs="Arial"/>
          <w:b/>
          <w:bCs/>
          <w:w w:val="90"/>
          <w:sz w:val="18"/>
          <w:szCs w:val="18"/>
        </w:rPr>
        <w:t>Rivara</w:t>
      </w:r>
      <w:proofErr w:type="spellEnd"/>
      <w:r>
        <w:rPr>
          <w:rFonts w:ascii="Arial" w:hAnsi="Arial" w:cs="Arial"/>
          <w:b/>
          <w:bCs/>
          <w:w w:val="90"/>
          <w:sz w:val="18"/>
          <w:szCs w:val="18"/>
        </w:rPr>
        <w:t>, F.P., and Thompson, R.S. June 2009. Health care utilization and costs</w:t>
      </w:r>
    </w:p>
    <w:p w:rsidR="002C5025" w:rsidRDefault="002C5025">
      <w:pPr>
        <w:pStyle w:val="BodyText"/>
        <w:kinsoku w:val="0"/>
        <w:overflowPunct w:val="0"/>
        <w:spacing w:before="49" w:line="292" w:lineRule="auto"/>
        <w:ind w:left="811" w:right="324" w:hanging="180"/>
        <w:rPr>
          <w:rFonts w:ascii="Arial" w:hAnsi="Arial" w:cs="Arial"/>
          <w:sz w:val="17"/>
          <w:szCs w:val="17"/>
        </w:rPr>
      </w:pPr>
      <w:r>
        <w:rPr>
          <w:rFonts w:ascii="Arial" w:hAnsi="Arial" w:cs="Arial"/>
          <w:sz w:val="17"/>
          <w:szCs w:val="17"/>
        </w:rPr>
        <w:t xml:space="preserve">associated  with  physical  and  nonphysical-only  intimate  partner  violence.  </w:t>
      </w:r>
      <w:r>
        <w:rPr>
          <w:rFonts w:ascii="Arial" w:hAnsi="Arial" w:cs="Arial"/>
          <w:i/>
          <w:iCs/>
          <w:sz w:val="17"/>
          <w:szCs w:val="17"/>
        </w:rPr>
        <w:t xml:space="preserve">Health  </w:t>
      </w:r>
      <w:proofErr w:type="spellStart"/>
      <w:r>
        <w:rPr>
          <w:rFonts w:ascii="Arial" w:hAnsi="Arial" w:cs="Arial"/>
          <w:i/>
          <w:iCs/>
          <w:sz w:val="17"/>
          <w:szCs w:val="17"/>
        </w:rPr>
        <w:t>Serv</w:t>
      </w:r>
      <w:proofErr w:type="spellEnd"/>
      <w:r>
        <w:rPr>
          <w:rFonts w:ascii="Arial" w:hAnsi="Arial" w:cs="Arial"/>
          <w:i/>
          <w:iCs/>
          <w:sz w:val="17"/>
          <w:szCs w:val="17"/>
        </w:rPr>
        <w:t xml:space="preserve"> Res. </w:t>
      </w:r>
      <w:r>
        <w:rPr>
          <w:rFonts w:ascii="Arial" w:hAnsi="Arial" w:cs="Arial"/>
          <w:sz w:val="17"/>
          <w:szCs w:val="17"/>
        </w:rPr>
        <w:t xml:space="preserve">44(3),  1052-1067. 'Coker, </w:t>
      </w:r>
      <w:r>
        <w:rPr>
          <w:rFonts w:ascii="Times New Roman" w:hAnsi="Times New Roman" w:cs="Times New Roman"/>
          <w:sz w:val="18"/>
          <w:szCs w:val="18"/>
        </w:rPr>
        <w:t xml:space="preserve">A.,  </w:t>
      </w:r>
      <w:r>
        <w:rPr>
          <w:rFonts w:ascii="Arial" w:hAnsi="Arial" w:cs="Arial"/>
          <w:sz w:val="17"/>
          <w:szCs w:val="17"/>
        </w:rPr>
        <w:t xml:space="preserve">Smith, P., </w:t>
      </w:r>
      <w:proofErr w:type="spellStart"/>
      <w:r>
        <w:rPr>
          <w:rFonts w:ascii="Arial" w:hAnsi="Arial" w:cs="Arial"/>
          <w:sz w:val="17"/>
          <w:szCs w:val="17"/>
        </w:rPr>
        <w:t>Bethea</w:t>
      </w:r>
      <w:proofErr w:type="spellEnd"/>
      <w:r>
        <w:rPr>
          <w:rFonts w:ascii="Arial" w:hAnsi="Arial" w:cs="Arial"/>
          <w:sz w:val="17"/>
          <w:szCs w:val="17"/>
        </w:rPr>
        <w:t xml:space="preserve">, </w:t>
      </w:r>
      <w:r>
        <w:rPr>
          <w:rFonts w:ascii="Times New Roman" w:hAnsi="Times New Roman" w:cs="Times New Roman"/>
          <w:sz w:val="18"/>
          <w:szCs w:val="18"/>
        </w:rPr>
        <w:t xml:space="preserve">L., </w:t>
      </w:r>
      <w:r>
        <w:rPr>
          <w:rFonts w:ascii="Arial" w:hAnsi="Arial" w:cs="Arial"/>
          <w:sz w:val="17"/>
          <w:szCs w:val="17"/>
        </w:rPr>
        <w:t>King, M., and  McKeown, R. 2000.  Physical health consequences  of physical   and</w:t>
      </w:r>
    </w:p>
    <w:p w:rsidR="002C5025" w:rsidRDefault="002C5025">
      <w:pPr>
        <w:pStyle w:val="BodyText"/>
        <w:kinsoku w:val="0"/>
        <w:overflowPunct w:val="0"/>
        <w:spacing w:before="5"/>
        <w:ind w:left="631"/>
        <w:jc w:val="both"/>
        <w:rPr>
          <w:rFonts w:ascii="Arial" w:hAnsi="Arial" w:cs="Arial"/>
          <w:sz w:val="17"/>
          <w:szCs w:val="17"/>
        </w:rPr>
      </w:pPr>
      <w:r>
        <w:rPr>
          <w:rFonts w:ascii="Arial" w:hAnsi="Arial" w:cs="Arial"/>
          <w:sz w:val="17"/>
          <w:szCs w:val="17"/>
        </w:rPr>
        <w:t xml:space="preserve">psychological  partner violence. </w:t>
      </w:r>
      <w:r>
        <w:rPr>
          <w:rFonts w:ascii="Arial" w:hAnsi="Arial" w:cs="Arial"/>
          <w:i/>
          <w:iCs/>
          <w:sz w:val="17"/>
          <w:szCs w:val="17"/>
        </w:rPr>
        <w:t xml:space="preserve">Archives  of  Family  Medicine. </w:t>
      </w:r>
      <w:r>
        <w:rPr>
          <w:rFonts w:ascii="Arial" w:hAnsi="Arial" w:cs="Arial"/>
          <w:sz w:val="17"/>
          <w:szCs w:val="17"/>
        </w:rPr>
        <w:t>(9)</w:t>
      </w:r>
    </w:p>
    <w:p w:rsidR="002C5025" w:rsidRDefault="002C5025">
      <w:pPr>
        <w:pStyle w:val="BodyText"/>
        <w:kinsoku w:val="0"/>
        <w:overflowPunct w:val="0"/>
        <w:spacing w:before="49" w:line="300" w:lineRule="auto"/>
        <w:ind w:left="638" w:right="324" w:firstLine="160"/>
        <w:rPr>
          <w:rFonts w:ascii="Arial" w:hAnsi="Arial" w:cs="Arial"/>
          <w:w w:val="110"/>
          <w:sz w:val="17"/>
          <w:szCs w:val="17"/>
        </w:rPr>
      </w:pPr>
      <w:r>
        <w:rPr>
          <w:rFonts w:ascii="Arial" w:hAnsi="Arial" w:cs="Arial"/>
          <w:w w:val="110"/>
          <w:sz w:val="17"/>
          <w:szCs w:val="17"/>
        </w:rPr>
        <w:t>'</w:t>
      </w:r>
      <w:r>
        <w:rPr>
          <w:rFonts w:ascii="Arial" w:hAnsi="Arial" w:cs="Arial"/>
          <w:spacing w:val="-26"/>
          <w:w w:val="110"/>
          <w:sz w:val="17"/>
          <w:szCs w:val="17"/>
        </w:rPr>
        <w:t xml:space="preserve"> </w:t>
      </w:r>
      <w:r>
        <w:rPr>
          <w:rFonts w:ascii="Arial" w:hAnsi="Arial" w:cs="Arial"/>
          <w:w w:val="110"/>
          <w:sz w:val="17"/>
          <w:szCs w:val="17"/>
        </w:rPr>
        <w:t>Black,</w:t>
      </w:r>
      <w:r>
        <w:rPr>
          <w:rFonts w:ascii="Arial" w:hAnsi="Arial" w:cs="Arial"/>
          <w:spacing w:val="-27"/>
          <w:w w:val="110"/>
          <w:sz w:val="17"/>
          <w:szCs w:val="17"/>
        </w:rPr>
        <w:t xml:space="preserve"> </w:t>
      </w:r>
      <w:r>
        <w:rPr>
          <w:rFonts w:ascii="Arial" w:hAnsi="Arial" w:cs="Arial"/>
          <w:w w:val="110"/>
          <w:sz w:val="17"/>
          <w:szCs w:val="17"/>
        </w:rPr>
        <w:t>M.C.</w:t>
      </w:r>
      <w:r>
        <w:rPr>
          <w:rFonts w:ascii="Arial" w:hAnsi="Arial" w:cs="Arial"/>
          <w:spacing w:val="-28"/>
          <w:w w:val="110"/>
          <w:sz w:val="17"/>
          <w:szCs w:val="17"/>
        </w:rPr>
        <w:t xml:space="preserve"> </w:t>
      </w:r>
      <w:r>
        <w:rPr>
          <w:rFonts w:ascii="Arial" w:hAnsi="Arial" w:cs="Arial"/>
          <w:w w:val="110"/>
          <w:sz w:val="17"/>
          <w:szCs w:val="17"/>
        </w:rPr>
        <w:t>2011.</w:t>
      </w:r>
      <w:r>
        <w:rPr>
          <w:rFonts w:ascii="Arial" w:hAnsi="Arial" w:cs="Arial"/>
          <w:spacing w:val="-35"/>
          <w:w w:val="110"/>
          <w:sz w:val="17"/>
          <w:szCs w:val="17"/>
        </w:rPr>
        <w:t xml:space="preserve"> </w:t>
      </w:r>
      <w:r>
        <w:rPr>
          <w:rFonts w:ascii="Arial" w:hAnsi="Arial" w:cs="Arial"/>
          <w:w w:val="110"/>
          <w:sz w:val="17"/>
          <w:szCs w:val="17"/>
        </w:rPr>
        <w:t>Intimate</w:t>
      </w:r>
      <w:r>
        <w:rPr>
          <w:rFonts w:ascii="Arial" w:hAnsi="Arial" w:cs="Arial"/>
          <w:spacing w:val="-31"/>
          <w:w w:val="110"/>
          <w:sz w:val="17"/>
          <w:szCs w:val="17"/>
        </w:rPr>
        <w:t xml:space="preserve"> </w:t>
      </w:r>
      <w:r>
        <w:rPr>
          <w:rFonts w:ascii="Arial" w:hAnsi="Arial" w:cs="Arial"/>
          <w:w w:val="110"/>
          <w:sz w:val="17"/>
          <w:szCs w:val="17"/>
        </w:rPr>
        <w:t>partner</w:t>
      </w:r>
      <w:r>
        <w:rPr>
          <w:rFonts w:ascii="Arial" w:hAnsi="Arial" w:cs="Arial"/>
          <w:spacing w:val="-28"/>
          <w:w w:val="110"/>
          <w:sz w:val="17"/>
          <w:szCs w:val="17"/>
        </w:rPr>
        <w:t xml:space="preserve"> </w:t>
      </w:r>
      <w:r>
        <w:rPr>
          <w:rFonts w:ascii="Arial" w:hAnsi="Arial" w:cs="Arial"/>
          <w:w w:val="110"/>
          <w:sz w:val="17"/>
          <w:szCs w:val="17"/>
        </w:rPr>
        <w:t>violence</w:t>
      </w:r>
      <w:r>
        <w:rPr>
          <w:rFonts w:ascii="Arial" w:hAnsi="Arial" w:cs="Arial"/>
          <w:spacing w:val="-24"/>
          <w:w w:val="110"/>
          <w:sz w:val="17"/>
          <w:szCs w:val="17"/>
        </w:rPr>
        <w:t xml:space="preserve"> </w:t>
      </w:r>
      <w:r>
        <w:rPr>
          <w:rFonts w:ascii="Arial" w:hAnsi="Arial" w:cs="Arial"/>
          <w:w w:val="110"/>
          <w:sz w:val="17"/>
          <w:szCs w:val="17"/>
        </w:rPr>
        <w:t>and</w:t>
      </w:r>
      <w:r>
        <w:rPr>
          <w:rFonts w:ascii="Arial" w:hAnsi="Arial" w:cs="Arial"/>
          <w:spacing w:val="-29"/>
          <w:w w:val="110"/>
          <w:sz w:val="17"/>
          <w:szCs w:val="17"/>
        </w:rPr>
        <w:t xml:space="preserve"> </w:t>
      </w:r>
      <w:r>
        <w:rPr>
          <w:rFonts w:ascii="Arial" w:hAnsi="Arial" w:cs="Arial"/>
          <w:w w:val="110"/>
          <w:sz w:val="17"/>
          <w:szCs w:val="17"/>
        </w:rPr>
        <w:t>adverse</w:t>
      </w:r>
      <w:r>
        <w:rPr>
          <w:rFonts w:ascii="Arial" w:hAnsi="Arial" w:cs="Arial"/>
          <w:spacing w:val="-20"/>
          <w:w w:val="110"/>
          <w:sz w:val="17"/>
          <w:szCs w:val="17"/>
        </w:rPr>
        <w:t xml:space="preserve"> </w:t>
      </w:r>
      <w:r>
        <w:rPr>
          <w:rFonts w:ascii="Arial" w:hAnsi="Arial" w:cs="Arial"/>
          <w:w w:val="110"/>
          <w:sz w:val="17"/>
          <w:szCs w:val="17"/>
        </w:rPr>
        <w:t>health</w:t>
      </w:r>
      <w:r>
        <w:rPr>
          <w:rFonts w:ascii="Arial" w:hAnsi="Arial" w:cs="Arial"/>
          <w:spacing w:val="-29"/>
          <w:w w:val="110"/>
          <w:sz w:val="17"/>
          <w:szCs w:val="17"/>
        </w:rPr>
        <w:t xml:space="preserve"> </w:t>
      </w:r>
      <w:r>
        <w:rPr>
          <w:rFonts w:ascii="Arial" w:hAnsi="Arial" w:cs="Arial"/>
          <w:w w:val="110"/>
          <w:sz w:val="17"/>
          <w:szCs w:val="17"/>
        </w:rPr>
        <w:t>consequences:</w:t>
      </w:r>
      <w:r>
        <w:rPr>
          <w:rFonts w:ascii="Arial" w:hAnsi="Arial" w:cs="Arial"/>
          <w:spacing w:val="-21"/>
          <w:w w:val="110"/>
          <w:sz w:val="17"/>
          <w:szCs w:val="17"/>
        </w:rPr>
        <w:t xml:space="preserve"> </w:t>
      </w:r>
      <w:r>
        <w:rPr>
          <w:rFonts w:ascii="Arial" w:hAnsi="Arial" w:cs="Arial"/>
          <w:w w:val="110"/>
          <w:sz w:val="17"/>
          <w:szCs w:val="17"/>
        </w:rPr>
        <w:t>implications</w:t>
      </w:r>
      <w:r>
        <w:rPr>
          <w:rFonts w:ascii="Arial" w:hAnsi="Arial" w:cs="Arial"/>
          <w:spacing w:val="-23"/>
          <w:w w:val="110"/>
          <w:sz w:val="17"/>
          <w:szCs w:val="17"/>
        </w:rPr>
        <w:t xml:space="preserve"> </w:t>
      </w:r>
      <w:r>
        <w:rPr>
          <w:rFonts w:ascii="Arial" w:hAnsi="Arial" w:cs="Arial"/>
          <w:w w:val="110"/>
          <w:sz w:val="17"/>
          <w:szCs w:val="17"/>
        </w:rPr>
        <w:t>for</w:t>
      </w:r>
      <w:r>
        <w:rPr>
          <w:rFonts w:ascii="Arial" w:hAnsi="Arial" w:cs="Arial"/>
          <w:spacing w:val="-22"/>
          <w:w w:val="110"/>
          <w:sz w:val="17"/>
          <w:szCs w:val="17"/>
        </w:rPr>
        <w:t xml:space="preserve"> </w:t>
      </w:r>
      <w:r>
        <w:rPr>
          <w:rFonts w:ascii="Arial" w:hAnsi="Arial" w:cs="Arial"/>
          <w:w w:val="110"/>
          <w:sz w:val="17"/>
          <w:szCs w:val="17"/>
        </w:rPr>
        <w:t>clinicians.</w:t>
      </w:r>
      <w:r>
        <w:rPr>
          <w:rFonts w:ascii="Arial" w:hAnsi="Arial" w:cs="Arial"/>
          <w:spacing w:val="-30"/>
          <w:w w:val="110"/>
          <w:sz w:val="17"/>
          <w:szCs w:val="17"/>
        </w:rPr>
        <w:t xml:space="preserve"> </w:t>
      </w:r>
      <w:proofErr w:type="spellStart"/>
      <w:r>
        <w:rPr>
          <w:rFonts w:ascii="Arial" w:hAnsi="Arial" w:cs="Arial"/>
          <w:i/>
          <w:iCs/>
          <w:spacing w:val="8"/>
          <w:w w:val="110"/>
          <w:sz w:val="17"/>
          <w:szCs w:val="17"/>
        </w:rPr>
        <w:t>Amj</w:t>
      </w:r>
      <w:proofErr w:type="spellEnd"/>
      <w:r>
        <w:rPr>
          <w:rFonts w:ascii="Arial" w:hAnsi="Arial" w:cs="Arial"/>
          <w:i/>
          <w:iCs/>
          <w:spacing w:val="8"/>
          <w:w w:val="110"/>
          <w:sz w:val="17"/>
          <w:szCs w:val="17"/>
        </w:rPr>
        <w:t xml:space="preserve"> </w:t>
      </w:r>
      <w:r>
        <w:rPr>
          <w:rFonts w:ascii="Arial" w:hAnsi="Arial" w:cs="Arial"/>
          <w:i/>
          <w:iCs/>
          <w:w w:val="110"/>
          <w:sz w:val="17"/>
          <w:szCs w:val="17"/>
        </w:rPr>
        <w:t>Lifestyle</w:t>
      </w:r>
      <w:r>
        <w:rPr>
          <w:rFonts w:ascii="Arial" w:hAnsi="Arial" w:cs="Arial"/>
          <w:i/>
          <w:iCs/>
          <w:spacing w:val="-26"/>
          <w:w w:val="110"/>
          <w:sz w:val="17"/>
          <w:szCs w:val="17"/>
        </w:rPr>
        <w:t xml:space="preserve"> </w:t>
      </w:r>
      <w:r>
        <w:rPr>
          <w:rFonts w:ascii="Arial" w:hAnsi="Arial" w:cs="Arial"/>
          <w:i/>
          <w:iCs/>
          <w:w w:val="110"/>
          <w:sz w:val="17"/>
          <w:szCs w:val="17"/>
        </w:rPr>
        <w:t>Med</w:t>
      </w:r>
      <w:r>
        <w:rPr>
          <w:rFonts w:ascii="Arial" w:hAnsi="Arial" w:cs="Arial"/>
          <w:i/>
          <w:iCs/>
          <w:spacing w:val="-31"/>
          <w:w w:val="110"/>
          <w:sz w:val="17"/>
          <w:szCs w:val="17"/>
        </w:rPr>
        <w:t xml:space="preserve"> </w:t>
      </w:r>
      <w:r>
        <w:rPr>
          <w:rFonts w:ascii="Arial" w:hAnsi="Arial" w:cs="Arial"/>
          <w:w w:val="110"/>
          <w:sz w:val="17"/>
          <w:szCs w:val="17"/>
        </w:rPr>
        <w:t>5(5):428-439</w:t>
      </w:r>
    </w:p>
    <w:p w:rsidR="002C5025" w:rsidRDefault="002C5025">
      <w:pPr>
        <w:pStyle w:val="BodyText"/>
        <w:kinsoku w:val="0"/>
        <w:overflowPunct w:val="0"/>
        <w:spacing w:before="4"/>
        <w:ind w:left="631"/>
        <w:jc w:val="both"/>
        <w:rPr>
          <w:rFonts w:ascii="Arial" w:hAnsi="Arial" w:cs="Arial"/>
          <w:b/>
          <w:bCs/>
          <w:w w:val="95"/>
          <w:sz w:val="18"/>
          <w:szCs w:val="18"/>
        </w:rPr>
      </w:pPr>
      <w:r>
        <w:rPr>
          <w:rFonts w:ascii="Times New Roman" w:hAnsi="Times New Roman" w:cs="Times New Roman"/>
          <w:spacing w:val="-1"/>
          <w:w w:val="92"/>
          <w:sz w:val="14"/>
          <w:szCs w:val="14"/>
        </w:rPr>
        <w:t>x</w:t>
      </w:r>
      <w:r>
        <w:rPr>
          <w:rFonts w:ascii="Times New Roman" w:hAnsi="Times New Roman" w:cs="Times New Roman"/>
          <w:spacing w:val="2"/>
          <w:w w:val="92"/>
          <w:sz w:val="14"/>
          <w:szCs w:val="14"/>
        </w:rPr>
        <w:t>xx</w:t>
      </w:r>
      <w:r>
        <w:rPr>
          <w:rFonts w:ascii="Times New Roman" w:hAnsi="Times New Roman" w:cs="Times New Roman"/>
          <w:spacing w:val="-1"/>
          <w:w w:val="92"/>
          <w:sz w:val="14"/>
          <w:szCs w:val="14"/>
        </w:rPr>
        <w:t>v</w:t>
      </w:r>
      <w:r>
        <w:rPr>
          <w:rFonts w:ascii="Times New Roman" w:hAnsi="Times New Roman" w:cs="Times New Roman"/>
          <w:spacing w:val="2"/>
          <w:w w:val="92"/>
          <w:sz w:val="14"/>
          <w:szCs w:val="14"/>
        </w:rPr>
        <w:t>i</w:t>
      </w:r>
      <w:r>
        <w:rPr>
          <w:rFonts w:ascii="Times New Roman" w:hAnsi="Times New Roman" w:cs="Times New Roman"/>
          <w:w w:val="92"/>
          <w:sz w:val="14"/>
          <w:szCs w:val="14"/>
        </w:rPr>
        <w:t>i</w:t>
      </w:r>
      <w:r>
        <w:rPr>
          <w:rFonts w:ascii="Times New Roman" w:hAnsi="Times New Roman" w:cs="Times New Roman"/>
          <w:spacing w:val="12"/>
          <w:sz w:val="14"/>
          <w:szCs w:val="14"/>
        </w:rPr>
        <w:t xml:space="preserve"> </w:t>
      </w:r>
      <w:r>
        <w:rPr>
          <w:rFonts w:ascii="Arial" w:hAnsi="Arial" w:cs="Arial"/>
          <w:b/>
          <w:bCs/>
          <w:w w:val="95"/>
          <w:sz w:val="18"/>
          <w:szCs w:val="18"/>
        </w:rPr>
        <w:t>Ro</w:t>
      </w:r>
      <w:r>
        <w:rPr>
          <w:rFonts w:ascii="Arial" w:hAnsi="Arial" w:cs="Arial"/>
          <w:b/>
          <w:bCs/>
          <w:spacing w:val="-3"/>
          <w:w w:val="95"/>
          <w:sz w:val="18"/>
          <w:szCs w:val="18"/>
        </w:rPr>
        <w:t>d</w:t>
      </w:r>
      <w:r>
        <w:rPr>
          <w:rFonts w:ascii="Arial" w:hAnsi="Arial" w:cs="Arial"/>
          <w:b/>
          <w:bCs/>
          <w:w w:val="95"/>
          <w:sz w:val="18"/>
          <w:szCs w:val="18"/>
        </w:rPr>
        <w:t>ri</w:t>
      </w:r>
      <w:r>
        <w:rPr>
          <w:rFonts w:ascii="Arial" w:hAnsi="Arial" w:cs="Arial"/>
          <w:b/>
          <w:bCs/>
          <w:spacing w:val="-3"/>
          <w:w w:val="95"/>
          <w:sz w:val="18"/>
          <w:szCs w:val="18"/>
        </w:rPr>
        <w:t>gu</w:t>
      </w:r>
      <w:r>
        <w:rPr>
          <w:rFonts w:ascii="Arial" w:hAnsi="Arial" w:cs="Arial"/>
          <w:b/>
          <w:bCs/>
          <w:w w:val="95"/>
          <w:sz w:val="18"/>
          <w:szCs w:val="18"/>
        </w:rPr>
        <w:t>ez,</w:t>
      </w:r>
      <w:r>
        <w:rPr>
          <w:rFonts w:ascii="Arial" w:hAnsi="Arial" w:cs="Arial"/>
          <w:b/>
          <w:bCs/>
          <w:spacing w:val="-7"/>
          <w:sz w:val="18"/>
          <w:szCs w:val="18"/>
        </w:rPr>
        <w:t xml:space="preserve"> </w:t>
      </w:r>
      <w:r>
        <w:rPr>
          <w:rFonts w:ascii="Arial" w:hAnsi="Arial" w:cs="Arial"/>
          <w:b/>
          <w:bCs/>
          <w:spacing w:val="-3"/>
          <w:w w:val="95"/>
          <w:sz w:val="18"/>
          <w:szCs w:val="18"/>
        </w:rPr>
        <w:t>M</w:t>
      </w:r>
      <w:r>
        <w:rPr>
          <w:rFonts w:ascii="Arial" w:hAnsi="Arial" w:cs="Arial"/>
          <w:b/>
          <w:bCs/>
          <w:spacing w:val="-10"/>
          <w:w w:val="95"/>
          <w:sz w:val="18"/>
          <w:szCs w:val="18"/>
        </w:rPr>
        <w:t>.</w:t>
      </w:r>
      <w:r>
        <w:rPr>
          <w:rFonts w:ascii="Arial" w:hAnsi="Arial" w:cs="Arial"/>
          <w:b/>
          <w:bCs/>
          <w:w w:val="95"/>
          <w:position w:val="-3"/>
          <w:sz w:val="8"/>
          <w:szCs w:val="8"/>
        </w:rPr>
        <w:t>1</w:t>
      </w:r>
      <w:r>
        <w:rPr>
          <w:rFonts w:ascii="Arial" w:hAnsi="Arial" w:cs="Arial"/>
          <w:b/>
          <w:bCs/>
          <w:spacing w:val="9"/>
          <w:position w:val="-3"/>
          <w:sz w:val="8"/>
          <w:szCs w:val="8"/>
        </w:rPr>
        <w:t xml:space="preserve"> </w:t>
      </w:r>
      <w:r>
        <w:rPr>
          <w:rFonts w:ascii="Arial" w:hAnsi="Arial" w:cs="Arial"/>
          <w:b/>
          <w:bCs/>
          <w:spacing w:val="-3"/>
          <w:w w:val="95"/>
          <w:sz w:val="18"/>
          <w:szCs w:val="18"/>
        </w:rPr>
        <w:t>B</w:t>
      </w:r>
      <w:r>
        <w:rPr>
          <w:rFonts w:ascii="Arial" w:hAnsi="Arial" w:cs="Arial"/>
          <w:b/>
          <w:bCs/>
          <w:w w:val="95"/>
          <w:sz w:val="18"/>
          <w:szCs w:val="18"/>
        </w:rPr>
        <w:t>a</w:t>
      </w:r>
      <w:r>
        <w:rPr>
          <w:rFonts w:ascii="Arial" w:hAnsi="Arial" w:cs="Arial"/>
          <w:b/>
          <w:bCs/>
          <w:spacing w:val="-3"/>
          <w:w w:val="95"/>
          <w:sz w:val="18"/>
          <w:szCs w:val="18"/>
        </w:rPr>
        <w:t>u</w:t>
      </w:r>
      <w:r>
        <w:rPr>
          <w:rFonts w:ascii="Arial" w:hAnsi="Arial" w:cs="Arial"/>
          <w:b/>
          <w:bCs/>
          <w:w w:val="95"/>
          <w:sz w:val="18"/>
          <w:szCs w:val="18"/>
        </w:rPr>
        <w:t>er,</w:t>
      </w:r>
      <w:r>
        <w:rPr>
          <w:rFonts w:ascii="Arial" w:hAnsi="Arial" w:cs="Arial"/>
          <w:b/>
          <w:bCs/>
          <w:spacing w:val="-12"/>
          <w:sz w:val="18"/>
          <w:szCs w:val="18"/>
        </w:rPr>
        <w:t xml:space="preserve"> </w:t>
      </w:r>
      <w:r>
        <w:rPr>
          <w:rFonts w:ascii="Arial" w:hAnsi="Arial" w:cs="Arial"/>
          <w:b/>
          <w:bCs/>
          <w:spacing w:val="-3"/>
          <w:w w:val="95"/>
          <w:sz w:val="18"/>
          <w:szCs w:val="18"/>
        </w:rPr>
        <w:t>H</w:t>
      </w:r>
      <w:r>
        <w:rPr>
          <w:rFonts w:ascii="Arial" w:hAnsi="Arial" w:cs="Arial"/>
          <w:b/>
          <w:bCs/>
          <w:w w:val="95"/>
          <w:sz w:val="18"/>
          <w:szCs w:val="18"/>
        </w:rPr>
        <w:t>.,</w:t>
      </w:r>
      <w:r>
        <w:rPr>
          <w:rFonts w:ascii="Arial" w:hAnsi="Arial" w:cs="Arial"/>
          <w:b/>
          <w:bCs/>
          <w:spacing w:val="-19"/>
          <w:sz w:val="18"/>
          <w:szCs w:val="18"/>
        </w:rPr>
        <w:t xml:space="preserve"> </w:t>
      </w:r>
      <w:r>
        <w:rPr>
          <w:rFonts w:ascii="Arial" w:hAnsi="Arial" w:cs="Arial"/>
          <w:b/>
          <w:bCs/>
          <w:spacing w:val="-3"/>
          <w:w w:val="95"/>
          <w:sz w:val="18"/>
          <w:szCs w:val="18"/>
        </w:rPr>
        <w:t>M</w:t>
      </w:r>
      <w:r>
        <w:rPr>
          <w:rFonts w:ascii="Arial" w:hAnsi="Arial" w:cs="Arial"/>
          <w:b/>
          <w:bCs/>
          <w:w w:val="95"/>
          <w:sz w:val="18"/>
          <w:szCs w:val="18"/>
        </w:rPr>
        <w:t>c</w:t>
      </w:r>
      <w:r>
        <w:rPr>
          <w:rFonts w:ascii="Arial" w:hAnsi="Arial" w:cs="Arial"/>
          <w:b/>
          <w:bCs/>
          <w:spacing w:val="-8"/>
          <w:w w:val="95"/>
          <w:sz w:val="18"/>
          <w:szCs w:val="18"/>
        </w:rPr>
        <w:t>l</w:t>
      </w:r>
      <w:r>
        <w:rPr>
          <w:rFonts w:ascii="Arial" w:hAnsi="Arial" w:cs="Arial"/>
          <w:b/>
          <w:bCs/>
          <w:spacing w:val="-3"/>
          <w:w w:val="95"/>
          <w:sz w:val="18"/>
          <w:szCs w:val="18"/>
        </w:rPr>
        <w:t>ou</w:t>
      </w:r>
      <w:r>
        <w:rPr>
          <w:rFonts w:ascii="Arial" w:hAnsi="Arial" w:cs="Arial"/>
          <w:b/>
          <w:bCs/>
          <w:w w:val="95"/>
          <w:sz w:val="18"/>
          <w:szCs w:val="18"/>
        </w:rPr>
        <w:t>g</w:t>
      </w:r>
      <w:r>
        <w:rPr>
          <w:rFonts w:ascii="Arial" w:hAnsi="Arial" w:cs="Arial"/>
          <w:b/>
          <w:bCs/>
          <w:spacing w:val="-3"/>
          <w:w w:val="95"/>
          <w:sz w:val="18"/>
          <w:szCs w:val="18"/>
        </w:rPr>
        <w:t>h</w:t>
      </w:r>
      <w:r>
        <w:rPr>
          <w:rFonts w:ascii="Arial" w:hAnsi="Arial" w:cs="Arial"/>
          <w:b/>
          <w:bCs/>
          <w:w w:val="95"/>
          <w:sz w:val="18"/>
          <w:szCs w:val="18"/>
        </w:rPr>
        <w:t>li</w:t>
      </w:r>
      <w:r>
        <w:rPr>
          <w:rFonts w:ascii="Arial" w:hAnsi="Arial" w:cs="Arial"/>
          <w:b/>
          <w:bCs/>
          <w:spacing w:val="-3"/>
          <w:w w:val="95"/>
          <w:sz w:val="18"/>
          <w:szCs w:val="18"/>
        </w:rPr>
        <w:t>n</w:t>
      </w:r>
      <w:r>
        <w:rPr>
          <w:rFonts w:ascii="Arial" w:hAnsi="Arial" w:cs="Arial"/>
          <w:b/>
          <w:bCs/>
          <w:w w:val="95"/>
          <w:sz w:val="18"/>
          <w:szCs w:val="18"/>
        </w:rPr>
        <w:t>,</w:t>
      </w:r>
      <w:r>
        <w:rPr>
          <w:rFonts w:ascii="Arial" w:hAnsi="Arial" w:cs="Arial"/>
          <w:b/>
          <w:bCs/>
          <w:spacing w:val="-5"/>
          <w:sz w:val="18"/>
          <w:szCs w:val="18"/>
        </w:rPr>
        <w:t xml:space="preserve"> </w:t>
      </w:r>
      <w:r>
        <w:rPr>
          <w:rFonts w:ascii="Arial" w:hAnsi="Arial" w:cs="Arial"/>
          <w:b/>
          <w:bCs/>
          <w:spacing w:val="-3"/>
          <w:w w:val="95"/>
          <w:sz w:val="18"/>
          <w:szCs w:val="18"/>
        </w:rPr>
        <w:t>E</w:t>
      </w:r>
      <w:r>
        <w:rPr>
          <w:rFonts w:ascii="Arial" w:hAnsi="Arial" w:cs="Arial"/>
          <w:b/>
          <w:bCs/>
          <w:w w:val="95"/>
          <w:sz w:val="18"/>
          <w:szCs w:val="18"/>
        </w:rPr>
        <w:t>.,</w:t>
      </w:r>
      <w:r>
        <w:rPr>
          <w:rFonts w:ascii="Arial" w:hAnsi="Arial" w:cs="Arial"/>
          <w:b/>
          <w:bCs/>
          <w:spacing w:val="-14"/>
          <w:sz w:val="18"/>
          <w:szCs w:val="18"/>
        </w:rPr>
        <w:t xml:space="preserve"> </w:t>
      </w:r>
      <w:proofErr w:type="spellStart"/>
      <w:r>
        <w:rPr>
          <w:rFonts w:ascii="Arial" w:hAnsi="Arial" w:cs="Arial"/>
          <w:b/>
          <w:bCs/>
          <w:spacing w:val="-3"/>
          <w:w w:val="95"/>
          <w:sz w:val="18"/>
          <w:szCs w:val="18"/>
        </w:rPr>
        <w:t>G</w:t>
      </w:r>
      <w:r>
        <w:rPr>
          <w:rFonts w:ascii="Arial" w:hAnsi="Arial" w:cs="Arial"/>
          <w:b/>
          <w:bCs/>
          <w:w w:val="95"/>
          <w:sz w:val="18"/>
          <w:szCs w:val="18"/>
        </w:rPr>
        <w:t>r</w:t>
      </w:r>
      <w:r>
        <w:rPr>
          <w:rFonts w:ascii="Arial" w:hAnsi="Arial" w:cs="Arial"/>
          <w:b/>
          <w:bCs/>
          <w:spacing w:val="-3"/>
          <w:w w:val="95"/>
          <w:sz w:val="18"/>
          <w:szCs w:val="18"/>
        </w:rPr>
        <w:t>umb</w:t>
      </w:r>
      <w:r>
        <w:rPr>
          <w:rFonts w:ascii="Arial" w:hAnsi="Arial" w:cs="Arial"/>
          <w:b/>
          <w:bCs/>
          <w:w w:val="95"/>
          <w:sz w:val="18"/>
          <w:szCs w:val="18"/>
        </w:rPr>
        <w:t>ac</w:t>
      </w:r>
      <w:r>
        <w:rPr>
          <w:rFonts w:ascii="Arial" w:hAnsi="Arial" w:cs="Arial"/>
          <w:b/>
          <w:bCs/>
          <w:spacing w:val="-3"/>
          <w:w w:val="95"/>
          <w:sz w:val="18"/>
          <w:szCs w:val="18"/>
        </w:rPr>
        <w:t>h</w:t>
      </w:r>
      <w:proofErr w:type="spellEnd"/>
      <w:r>
        <w:rPr>
          <w:rFonts w:ascii="Arial" w:hAnsi="Arial" w:cs="Arial"/>
          <w:b/>
          <w:bCs/>
          <w:w w:val="95"/>
          <w:sz w:val="18"/>
          <w:szCs w:val="18"/>
        </w:rPr>
        <w:t>,</w:t>
      </w:r>
      <w:r>
        <w:rPr>
          <w:rFonts w:ascii="Arial" w:hAnsi="Arial" w:cs="Arial"/>
          <w:b/>
          <w:bCs/>
          <w:spacing w:val="-2"/>
          <w:sz w:val="18"/>
          <w:szCs w:val="18"/>
        </w:rPr>
        <w:t xml:space="preserve"> </w:t>
      </w:r>
      <w:r>
        <w:rPr>
          <w:rFonts w:ascii="Arial" w:hAnsi="Arial" w:cs="Arial"/>
          <w:b/>
          <w:bCs/>
          <w:spacing w:val="-3"/>
          <w:w w:val="95"/>
          <w:sz w:val="18"/>
          <w:szCs w:val="18"/>
        </w:rPr>
        <w:t>K</w:t>
      </w:r>
      <w:r>
        <w:rPr>
          <w:rFonts w:ascii="Arial" w:hAnsi="Arial" w:cs="Arial"/>
          <w:b/>
          <w:bCs/>
          <w:w w:val="95"/>
          <w:sz w:val="18"/>
          <w:szCs w:val="18"/>
        </w:rPr>
        <w:t>.</w:t>
      </w:r>
      <w:r>
        <w:rPr>
          <w:rFonts w:ascii="Arial" w:hAnsi="Arial" w:cs="Arial"/>
          <w:b/>
          <w:bCs/>
          <w:spacing w:val="-14"/>
          <w:sz w:val="18"/>
          <w:szCs w:val="18"/>
        </w:rPr>
        <w:t xml:space="preserve"> </w:t>
      </w:r>
      <w:r>
        <w:rPr>
          <w:rFonts w:ascii="Arial" w:hAnsi="Arial" w:cs="Arial"/>
          <w:b/>
          <w:bCs/>
          <w:spacing w:val="-32"/>
          <w:w w:val="95"/>
          <w:sz w:val="18"/>
          <w:szCs w:val="18"/>
        </w:rPr>
        <w:t>1</w:t>
      </w:r>
      <w:r>
        <w:rPr>
          <w:rFonts w:ascii="Arial" w:hAnsi="Arial" w:cs="Arial"/>
          <w:b/>
          <w:bCs/>
          <w:w w:val="95"/>
          <w:sz w:val="18"/>
          <w:szCs w:val="18"/>
        </w:rPr>
        <w:t>999.</w:t>
      </w:r>
      <w:r>
        <w:rPr>
          <w:rFonts w:ascii="Arial" w:hAnsi="Arial" w:cs="Arial"/>
          <w:b/>
          <w:bCs/>
          <w:spacing w:val="-17"/>
          <w:sz w:val="18"/>
          <w:szCs w:val="18"/>
        </w:rPr>
        <w:t xml:space="preserve"> </w:t>
      </w:r>
      <w:r>
        <w:rPr>
          <w:rFonts w:ascii="Arial" w:hAnsi="Arial" w:cs="Arial"/>
          <w:b/>
          <w:bCs/>
          <w:spacing w:val="-3"/>
          <w:w w:val="95"/>
          <w:sz w:val="18"/>
          <w:szCs w:val="18"/>
        </w:rPr>
        <w:t>S</w:t>
      </w:r>
      <w:r>
        <w:rPr>
          <w:rFonts w:ascii="Arial" w:hAnsi="Arial" w:cs="Arial"/>
          <w:b/>
          <w:bCs/>
          <w:w w:val="95"/>
          <w:sz w:val="18"/>
          <w:szCs w:val="18"/>
        </w:rPr>
        <w:t>c</w:t>
      </w:r>
      <w:r>
        <w:rPr>
          <w:rFonts w:ascii="Arial" w:hAnsi="Arial" w:cs="Arial"/>
          <w:b/>
          <w:bCs/>
          <w:spacing w:val="-3"/>
          <w:w w:val="95"/>
          <w:sz w:val="18"/>
          <w:szCs w:val="18"/>
        </w:rPr>
        <w:t>r</w:t>
      </w:r>
      <w:r>
        <w:rPr>
          <w:rFonts w:ascii="Arial" w:hAnsi="Arial" w:cs="Arial"/>
          <w:b/>
          <w:bCs/>
          <w:w w:val="95"/>
          <w:sz w:val="18"/>
          <w:szCs w:val="18"/>
        </w:rPr>
        <w:t>ee</w:t>
      </w:r>
      <w:r>
        <w:rPr>
          <w:rFonts w:ascii="Arial" w:hAnsi="Arial" w:cs="Arial"/>
          <w:b/>
          <w:bCs/>
          <w:spacing w:val="-3"/>
          <w:w w:val="95"/>
          <w:sz w:val="18"/>
          <w:szCs w:val="18"/>
        </w:rPr>
        <w:t>n</w:t>
      </w:r>
      <w:r>
        <w:rPr>
          <w:rFonts w:ascii="Arial" w:hAnsi="Arial" w:cs="Arial"/>
          <w:b/>
          <w:bCs/>
          <w:w w:val="95"/>
          <w:sz w:val="18"/>
          <w:szCs w:val="18"/>
        </w:rPr>
        <w:t>i</w:t>
      </w:r>
      <w:r>
        <w:rPr>
          <w:rFonts w:ascii="Arial" w:hAnsi="Arial" w:cs="Arial"/>
          <w:b/>
          <w:bCs/>
          <w:spacing w:val="-3"/>
          <w:w w:val="95"/>
          <w:sz w:val="18"/>
          <w:szCs w:val="18"/>
        </w:rPr>
        <w:t>n</w:t>
      </w:r>
      <w:r>
        <w:rPr>
          <w:rFonts w:ascii="Arial" w:hAnsi="Arial" w:cs="Arial"/>
          <w:b/>
          <w:bCs/>
          <w:w w:val="95"/>
          <w:sz w:val="18"/>
          <w:szCs w:val="18"/>
        </w:rPr>
        <w:t>g</w:t>
      </w:r>
      <w:r>
        <w:rPr>
          <w:rFonts w:ascii="Arial" w:hAnsi="Arial" w:cs="Arial"/>
          <w:b/>
          <w:bCs/>
          <w:spacing w:val="-12"/>
          <w:sz w:val="18"/>
          <w:szCs w:val="18"/>
        </w:rPr>
        <w:t xml:space="preserve"> </w:t>
      </w:r>
      <w:r>
        <w:rPr>
          <w:rFonts w:ascii="Arial" w:hAnsi="Arial" w:cs="Arial"/>
          <w:b/>
          <w:bCs/>
          <w:w w:val="95"/>
          <w:sz w:val="18"/>
          <w:szCs w:val="18"/>
        </w:rPr>
        <w:t>a</w:t>
      </w:r>
      <w:r>
        <w:rPr>
          <w:rFonts w:ascii="Arial" w:hAnsi="Arial" w:cs="Arial"/>
          <w:b/>
          <w:bCs/>
          <w:spacing w:val="-3"/>
          <w:w w:val="95"/>
          <w:sz w:val="18"/>
          <w:szCs w:val="18"/>
        </w:rPr>
        <w:t>n</w:t>
      </w:r>
      <w:r>
        <w:rPr>
          <w:rFonts w:ascii="Arial" w:hAnsi="Arial" w:cs="Arial"/>
          <w:b/>
          <w:bCs/>
          <w:w w:val="95"/>
          <w:sz w:val="18"/>
          <w:szCs w:val="18"/>
        </w:rPr>
        <w:t>d</w:t>
      </w:r>
      <w:r>
        <w:rPr>
          <w:rFonts w:ascii="Arial" w:hAnsi="Arial" w:cs="Arial"/>
          <w:b/>
          <w:bCs/>
          <w:spacing w:val="-14"/>
          <w:sz w:val="18"/>
          <w:szCs w:val="18"/>
        </w:rPr>
        <w:t xml:space="preserve"> </w:t>
      </w:r>
      <w:r>
        <w:rPr>
          <w:rFonts w:ascii="Arial" w:hAnsi="Arial" w:cs="Arial"/>
          <w:b/>
          <w:bCs/>
          <w:w w:val="95"/>
          <w:sz w:val="18"/>
          <w:szCs w:val="18"/>
        </w:rPr>
        <w:t>i</w:t>
      </w:r>
      <w:r>
        <w:rPr>
          <w:rFonts w:ascii="Arial" w:hAnsi="Arial" w:cs="Arial"/>
          <w:b/>
          <w:bCs/>
          <w:spacing w:val="-3"/>
          <w:w w:val="95"/>
          <w:sz w:val="18"/>
          <w:szCs w:val="18"/>
        </w:rPr>
        <w:t>n</w:t>
      </w:r>
      <w:r>
        <w:rPr>
          <w:rFonts w:ascii="Arial" w:hAnsi="Arial" w:cs="Arial"/>
          <w:b/>
          <w:bCs/>
          <w:w w:val="95"/>
          <w:sz w:val="18"/>
          <w:szCs w:val="18"/>
        </w:rPr>
        <w:t>terve</w:t>
      </w:r>
      <w:r>
        <w:rPr>
          <w:rFonts w:ascii="Arial" w:hAnsi="Arial" w:cs="Arial"/>
          <w:b/>
          <w:bCs/>
          <w:spacing w:val="-3"/>
          <w:w w:val="95"/>
          <w:sz w:val="18"/>
          <w:szCs w:val="18"/>
        </w:rPr>
        <w:t>n</w:t>
      </w:r>
      <w:r>
        <w:rPr>
          <w:rFonts w:ascii="Arial" w:hAnsi="Arial" w:cs="Arial"/>
          <w:b/>
          <w:bCs/>
          <w:w w:val="95"/>
          <w:sz w:val="18"/>
          <w:szCs w:val="18"/>
        </w:rPr>
        <w:t>ti</w:t>
      </w:r>
      <w:r>
        <w:rPr>
          <w:rFonts w:ascii="Arial" w:hAnsi="Arial" w:cs="Arial"/>
          <w:b/>
          <w:bCs/>
          <w:spacing w:val="-3"/>
          <w:w w:val="95"/>
          <w:sz w:val="18"/>
          <w:szCs w:val="18"/>
        </w:rPr>
        <w:t>o</w:t>
      </w:r>
      <w:r>
        <w:rPr>
          <w:rFonts w:ascii="Arial" w:hAnsi="Arial" w:cs="Arial"/>
          <w:b/>
          <w:bCs/>
          <w:w w:val="95"/>
          <w:sz w:val="18"/>
          <w:szCs w:val="18"/>
        </w:rPr>
        <w:t>n</w:t>
      </w:r>
      <w:r>
        <w:rPr>
          <w:rFonts w:ascii="Arial" w:hAnsi="Arial" w:cs="Arial"/>
          <w:b/>
          <w:bCs/>
          <w:spacing w:val="-9"/>
          <w:sz w:val="18"/>
          <w:szCs w:val="18"/>
        </w:rPr>
        <w:t xml:space="preserve"> </w:t>
      </w:r>
      <w:r>
        <w:rPr>
          <w:rFonts w:ascii="Arial" w:hAnsi="Arial" w:cs="Arial"/>
          <w:b/>
          <w:bCs/>
          <w:w w:val="95"/>
          <w:sz w:val="18"/>
          <w:szCs w:val="18"/>
        </w:rPr>
        <w:t>f</w:t>
      </w:r>
      <w:r>
        <w:rPr>
          <w:rFonts w:ascii="Arial" w:hAnsi="Arial" w:cs="Arial"/>
          <w:b/>
          <w:bCs/>
          <w:spacing w:val="-3"/>
          <w:w w:val="95"/>
          <w:sz w:val="18"/>
          <w:szCs w:val="18"/>
        </w:rPr>
        <w:t>o</w:t>
      </w:r>
      <w:r>
        <w:rPr>
          <w:rFonts w:ascii="Arial" w:hAnsi="Arial" w:cs="Arial"/>
          <w:b/>
          <w:bCs/>
          <w:w w:val="95"/>
          <w:sz w:val="18"/>
          <w:szCs w:val="18"/>
        </w:rPr>
        <w:t>r</w:t>
      </w:r>
      <w:r>
        <w:rPr>
          <w:rFonts w:ascii="Arial" w:hAnsi="Arial" w:cs="Arial"/>
          <w:b/>
          <w:bCs/>
          <w:spacing w:val="-5"/>
          <w:sz w:val="18"/>
          <w:szCs w:val="18"/>
        </w:rPr>
        <w:t xml:space="preserve"> </w:t>
      </w:r>
      <w:r>
        <w:rPr>
          <w:rFonts w:ascii="Arial" w:hAnsi="Arial" w:cs="Arial"/>
          <w:b/>
          <w:bCs/>
          <w:w w:val="95"/>
          <w:sz w:val="18"/>
          <w:szCs w:val="18"/>
        </w:rPr>
        <w:t>i</w:t>
      </w:r>
      <w:r>
        <w:rPr>
          <w:rFonts w:ascii="Arial" w:hAnsi="Arial" w:cs="Arial"/>
          <w:b/>
          <w:bCs/>
          <w:spacing w:val="-3"/>
          <w:w w:val="95"/>
          <w:sz w:val="18"/>
          <w:szCs w:val="18"/>
        </w:rPr>
        <w:t>n</w:t>
      </w:r>
      <w:r>
        <w:rPr>
          <w:rFonts w:ascii="Arial" w:hAnsi="Arial" w:cs="Arial"/>
          <w:b/>
          <w:bCs/>
          <w:w w:val="95"/>
          <w:sz w:val="18"/>
          <w:szCs w:val="18"/>
        </w:rPr>
        <w:t>ti</w:t>
      </w:r>
      <w:r>
        <w:rPr>
          <w:rFonts w:ascii="Arial" w:hAnsi="Arial" w:cs="Arial"/>
          <w:b/>
          <w:bCs/>
          <w:spacing w:val="-3"/>
          <w:w w:val="95"/>
          <w:sz w:val="18"/>
          <w:szCs w:val="18"/>
        </w:rPr>
        <w:t>m</w:t>
      </w:r>
      <w:r>
        <w:rPr>
          <w:rFonts w:ascii="Arial" w:hAnsi="Arial" w:cs="Arial"/>
          <w:b/>
          <w:bCs/>
          <w:w w:val="95"/>
          <w:sz w:val="18"/>
          <w:szCs w:val="18"/>
        </w:rPr>
        <w:t>ate</w:t>
      </w:r>
      <w:r>
        <w:rPr>
          <w:rFonts w:ascii="Arial" w:hAnsi="Arial" w:cs="Arial"/>
          <w:b/>
          <w:bCs/>
          <w:spacing w:val="-14"/>
          <w:sz w:val="18"/>
          <w:szCs w:val="18"/>
        </w:rPr>
        <w:t xml:space="preserve"> </w:t>
      </w:r>
      <w:r>
        <w:rPr>
          <w:rFonts w:ascii="Arial" w:hAnsi="Arial" w:cs="Arial"/>
          <w:b/>
          <w:bCs/>
          <w:spacing w:val="-3"/>
          <w:w w:val="95"/>
          <w:sz w:val="18"/>
          <w:szCs w:val="18"/>
        </w:rPr>
        <w:t>p</w:t>
      </w:r>
      <w:r>
        <w:rPr>
          <w:rFonts w:ascii="Arial" w:hAnsi="Arial" w:cs="Arial"/>
          <w:b/>
          <w:bCs/>
          <w:w w:val="95"/>
          <w:sz w:val="18"/>
          <w:szCs w:val="18"/>
        </w:rPr>
        <w:t>art</w:t>
      </w:r>
      <w:r>
        <w:rPr>
          <w:rFonts w:ascii="Arial" w:hAnsi="Arial" w:cs="Arial"/>
          <w:b/>
          <w:bCs/>
          <w:spacing w:val="-3"/>
          <w:w w:val="95"/>
          <w:sz w:val="18"/>
          <w:szCs w:val="18"/>
        </w:rPr>
        <w:t>n</w:t>
      </w:r>
      <w:r>
        <w:rPr>
          <w:rFonts w:ascii="Arial" w:hAnsi="Arial" w:cs="Arial"/>
          <w:b/>
          <w:bCs/>
          <w:w w:val="95"/>
          <w:sz w:val="18"/>
          <w:szCs w:val="18"/>
        </w:rPr>
        <w:t>er</w:t>
      </w:r>
    </w:p>
    <w:p w:rsidR="002C5025" w:rsidRDefault="002C5025">
      <w:pPr>
        <w:pStyle w:val="BodyText"/>
        <w:kinsoku w:val="0"/>
        <w:overflowPunct w:val="0"/>
        <w:spacing w:before="21"/>
        <w:ind w:left="638"/>
        <w:jc w:val="both"/>
        <w:rPr>
          <w:rFonts w:ascii="Arial" w:hAnsi="Arial" w:cs="Arial"/>
          <w:w w:val="105"/>
          <w:sz w:val="17"/>
          <w:szCs w:val="17"/>
        </w:rPr>
      </w:pPr>
      <w:r>
        <w:rPr>
          <w:rFonts w:ascii="Arial" w:hAnsi="Arial" w:cs="Arial"/>
          <w:w w:val="105"/>
          <w:sz w:val="17"/>
          <w:szCs w:val="17"/>
        </w:rPr>
        <w:t xml:space="preserve">abuse: practices and attitudes of primary care physicians. </w:t>
      </w:r>
      <w:r>
        <w:rPr>
          <w:rFonts w:ascii="Arial" w:hAnsi="Arial" w:cs="Arial"/>
          <w:i/>
          <w:iCs/>
          <w:w w:val="105"/>
          <w:sz w:val="17"/>
          <w:szCs w:val="17"/>
        </w:rPr>
        <w:t xml:space="preserve">JAMA </w:t>
      </w:r>
      <w:r>
        <w:rPr>
          <w:rFonts w:ascii="Arial" w:hAnsi="Arial" w:cs="Arial"/>
          <w:w w:val="105"/>
          <w:sz w:val="17"/>
          <w:szCs w:val="17"/>
        </w:rPr>
        <w:t>282(5)</w:t>
      </w:r>
    </w:p>
    <w:p w:rsidR="002C5025" w:rsidRDefault="002C5025">
      <w:pPr>
        <w:pStyle w:val="ListParagraph"/>
        <w:numPr>
          <w:ilvl w:val="1"/>
          <w:numId w:val="92"/>
        </w:numPr>
        <w:tabs>
          <w:tab w:val="left" w:pos="764"/>
        </w:tabs>
        <w:kinsoku w:val="0"/>
        <w:overflowPunct w:val="0"/>
        <w:spacing w:line="283" w:lineRule="auto"/>
        <w:ind w:right="318" w:firstLine="0"/>
        <w:jc w:val="both"/>
        <w:rPr>
          <w:rFonts w:ascii="Arial" w:hAnsi="Arial" w:cs="Arial"/>
          <w:color w:val="000000"/>
          <w:w w:val="110"/>
        </w:rPr>
      </w:pPr>
      <w:r>
        <w:rPr>
          <w:rFonts w:ascii="Arial" w:hAnsi="Arial" w:cs="Arial"/>
          <w:spacing w:val="-15"/>
          <w:w w:val="110"/>
        </w:rPr>
        <w:t>'</w:t>
      </w:r>
      <w:proofErr w:type="spellStart"/>
      <w:r>
        <w:rPr>
          <w:rFonts w:ascii="Arial" w:hAnsi="Arial" w:cs="Arial"/>
          <w:spacing w:val="-15"/>
          <w:w w:val="110"/>
        </w:rPr>
        <w:t>iii</w:t>
      </w:r>
      <w:r>
        <w:rPr>
          <w:rFonts w:ascii="Arial" w:hAnsi="Arial" w:cs="Arial"/>
          <w:spacing w:val="-15"/>
          <w:w w:val="110"/>
          <w:sz w:val="17"/>
          <w:szCs w:val="17"/>
        </w:rPr>
        <w:t>U.S</w:t>
      </w:r>
      <w:proofErr w:type="spellEnd"/>
      <w:r>
        <w:rPr>
          <w:rFonts w:ascii="Arial" w:hAnsi="Arial" w:cs="Arial"/>
          <w:spacing w:val="-15"/>
          <w:w w:val="110"/>
          <w:sz w:val="17"/>
          <w:szCs w:val="17"/>
        </w:rPr>
        <w:t>.</w:t>
      </w:r>
      <w:r>
        <w:rPr>
          <w:rFonts w:ascii="Arial" w:hAnsi="Arial" w:cs="Arial"/>
          <w:spacing w:val="-31"/>
          <w:w w:val="110"/>
          <w:sz w:val="17"/>
          <w:szCs w:val="17"/>
        </w:rPr>
        <w:t xml:space="preserve"> </w:t>
      </w:r>
      <w:r>
        <w:rPr>
          <w:rFonts w:ascii="Arial" w:hAnsi="Arial" w:cs="Arial"/>
          <w:w w:val="110"/>
          <w:sz w:val="17"/>
          <w:szCs w:val="17"/>
        </w:rPr>
        <w:t>Department</w:t>
      </w:r>
      <w:r>
        <w:rPr>
          <w:rFonts w:ascii="Arial" w:hAnsi="Arial" w:cs="Arial"/>
          <w:spacing w:val="-24"/>
          <w:w w:val="110"/>
          <w:sz w:val="17"/>
          <w:szCs w:val="17"/>
        </w:rPr>
        <w:t xml:space="preserve"> </w:t>
      </w:r>
      <w:r>
        <w:rPr>
          <w:rFonts w:ascii="Arial" w:hAnsi="Arial" w:cs="Arial"/>
          <w:w w:val="110"/>
          <w:sz w:val="17"/>
          <w:szCs w:val="17"/>
        </w:rPr>
        <w:t>of</w:t>
      </w:r>
      <w:r>
        <w:rPr>
          <w:rFonts w:ascii="Arial" w:hAnsi="Arial" w:cs="Arial"/>
          <w:spacing w:val="-24"/>
          <w:w w:val="110"/>
          <w:sz w:val="17"/>
          <w:szCs w:val="17"/>
        </w:rPr>
        <w:t xml:space="preserve"> </w:t>
      </w:r>
      <w:r>
        <w:rPr>
          <w:rFonts w:ascii="Arial" w:hAnsi="Arial" w:cs="Arial"/>
          <w:w w:val="110"/>
          <w:sz w:val="17"/>
          <w:szCs w:val="17"/>
        </w:rPr>
        <w:t>Health</w:t>
      </w:r>
      <w:r>
        <w:rPr>
          <w:rFonts w:ascii="Arial" w:hAnsi="Arial" w:cs="Arial"/>
          <w:spacing w:val="-28"/>
          <w:w w:val="110"/>
          <w:sz w:val="17"/>
          <w:szCs w:val="17"/>
        </w:rPr>
        <w:t xml:space="preserve"> </w:t>
      </w:r>
      <w:r>
        <w:rPr>
          <w:rFonts w:ascii="Arial" w:hAnsi="Arial" w:cs="Arial"/>
          <w:w w:val="110"/>
          <w:sz w:val="17"/>
          <w:szCs w:val="17"/>
        </w:rPr>
        <w:t>and</w:t>
      </w:r>
      <w:r>
        <w:rPr>
          <w:rFonts w:ascii="Arial" w:hAnsi="Arial" w:cs="Arial"/>
          <w:spacing w:val="-23"/>
          <w:w w:val="110"/>
          <w:sz w:val="17"/>
          <w:szCs w:val="17"/>
        </w:rPr>
        <w:t xml:space="preserve"> </w:t>
      </w:r>
      <w:r>
        <w:rPr>
          <w:rFonts w:ascii="Arial" w:hAnsi="Arial" w:cs="Arial"/>
          <w:w w:val="110"/>
          <w:sz w:val="17"/>
          <w:szCs w:val="17"/>
        </w:rPr>
        <w:t>Human</w:t>
      </w:r>
      <w:r>
        <w:rPr>
          <w:rFonts w:ascii="Arial" w:hAnsi="Arial" w:cs="Arial"/>
          <w:spacing w:val="-26"/>
          <w:w w:val="110"/>
          <w:sz w:val="17"/>
          <w:szCs w:val="17"/>
        </w:rPr>
        <w:t xml:space="preserve"> </w:t>
      </w:r>
      <w:r>
        <w:rPr>
          <w:rFonts w:ascii="Arial" w:hAnsi="Arial" w:cs="Arial"/>
          <w:w w:val="110"/>
          <w:sz w:val="17"/>
          <w:szCs w:val="17"/>
        </w:rPr>
        <w:t>Services,</w:t>
      </w:r>
      <w:r>
        <w:rPr>
          <w:rFonts w:ascii="Arial" w:hAnsi="Arial" w:cs="Arial"/>
          <w:spacing w:val="-27"/>
          <w:w w:val="110"/>
          <w:sz w:val="17"/>
          <w:szCs w:val="17"/>
        </w:rPr>
        <w:t xml:space="preserve"> </w:t>
      </w:r>
      <w:r>
        <w:rPr>
          <w:rFonts w:ascii="Arial" w:hAnsi="Arial" w:cs="Arial"/>
          <w:w w:val="110"/>
          <w:sz w:val="17"/>
          <w:szCs w:val="17"/>
        </w:rPr>
        <w:t>Office</w:t>
      </w:r>
      <w:r>
        <w:rPr>
          <w:rFonts w:ascii="Arial" w:hAnsi="Arial" w:cs="Arial"/>
          <w:spacing w:val="-26"/>
          <w:w w:val="110"/>
          <w:sz w:val="17"/>
          <w:szCs w:val="17"/>
        </w:rPr>
        <w:t xml:space="preserve"> </w:t>
      </w:r>
      <w:r>
        <w:rPr>
          <w:rFonts w:ascii="Arial" w:hAnsi="Arial" w:cs="Arial"/>
          <w:w w:val="110"/>
          <w:sz w:val="17"/>
          <w:szCs w:val="17"/>
        </w:rPr>
        <w:t>of</w:t>
      </w:r>
      <w:r>
        <w:rPr>
          <w:rFonts w:ascii="Arial" w:hAnsi="Arial" w:cs="Arial"/>
          <w:spacing w:val="-29"/>
          <w:w w:val="110"/>
          <w:sz w:val="17"/>
          <w:szCs w:val="17"/>
        </w:rPr>
        <w:t xml:space="preserve"> </w:t>
      </w:r>
      <w:r>
        <w:rPr>
          <w:rFonts w:ascii="Arial" w:hAnsi="Arial" w:cs="Arial"/>
          <w:w w:val="110"/>
          <w:sz w:val="17"/>
          <w:szCs w:val="17"/>
        </w:rPr>
        <w:t>the</w:t>
      </w:r>
      <w:r>
        <w:rPr>
          <w:rFonts w:ascii="Arial" w:hAnsi="Arial" w:cs="Arial"/>
          <w:spacing w:val="-28"/>
          <w:w w:val="110"/>
          <w:sz w:val="17"/>
          <w:szCs w:val="17"/>
        </w:rPr>
        <w:t xml:space="preserve"> </w:t>
      </w:r>
      <w:r>
        <w:rPr>
          <w:rFonts w:ascii="Arial" w:hAnsi="Arial" w:cs="Arial"/>
          <w:w w:val="110"/>
          <w:sz w:val="17"/>
          <w:szCs w:val="17"/>
        </w:rPr>
        <w:t>Assistant</w:t>
      </w:r>
      <w:r>
        <w:rPr>
          <w:rFonts w:ascii="Arial" w:hAnsi="Arial" w:cs="Arial"/>
          <w:spacing w:val="-19"/>
          <w:w w:val="110"/>
          <w:sz w:val="17"/>
          <w:szCs w:val="17"/>
        </w:rPr>
        <w:t xml:space="preserve"> </w:t>
      </w:r>
      <w:r>
        <w:rPr>
          <w:rFonts w:ascii="Arial" w:hAnsi="Arial" w:cs="Arial"/>
          <w:w w:val="110"/>
          <w:sz w:val="17"/>
          <w:szCs w:val="17"/>
        </w:rPr>
        <w:t>Secretary</w:t>
      </w:r>
      <w:r>
        <w:rPr>
          <w:rFonts w:ascii="Arial" w:hAnsi="Arial" w:cs="Arial"/>
          <w:spacing w:val="-27"/>
          <w:w w:val="110"/>
          <w:sz w:val="17"/>
          <w:szCs w:val="17"/>
        </w:rPr>
        <w:t xml:space="preserve"> </w:t>
      </w:r>
      <w:r>
        <w:rPr>
          <w:rFonts w:ascii="Arial" w:hAnsi="Arial" w:cs="Arial"/>
          <w:w w:val="110"/>
          <w:sz w:val="17"/>
          <w:szCs w:val="17"/>
        </w:rPr>
        <w:t>for</w:t>
      </w:r>
      <w:r>
        <w:rPr>
          <w:rFonts w:ascii="Arial" w:hAnsi="Arial" w:cs="Arial"/>
          <w:spacing w:val="-16"/>
          <w:w w:val="110"/>
          <w:sz w:val="17"/>
          <w:szCs w:val="17"/>
        </w:rPr>
        <w:t xml:space="preserve"> </w:t>
      </w:r>
      <w:r>
        <w:rPr>
          <w:rFonts w:ascii="Arial" w:hAnsi="Arial" w:cs="Arial"/>
          <w:w w:val="110"/>
          <w:sz w:val="17"/>
          <w:szCs w:val="17"/>
        </w:rPr>
        <w:t>Planning</w:t>
      </w:r>
      <w:r>
        <w:rPr>
          <w:rFonts w:ascii="Arial" w:hAnsi="Arial" w:cs="Arial"/>
          <w:spacing w:val="-30"/>
          <w:w w:val="110"/>
          <w:sz w:val="17"/>
          <w:szCs w:val="17"/>
        </w:rPr>
        <w:t xml:space="preserve"> </w:t>
      </w:r>
      <w:r>
        <w:rPr>
          <w:rFonts w:ascii="Arial" w:hAnsi="Arial" w:cs="Arial"/>
          <w:w w:val="110"/>
          <w:sz w:val="17"/>
          <w:szCs w:val="17"/>
        </w:rPr>
        <w:t>and</w:t>
      </w:r>
      <w:r>
        <w:rPr>
          <w:rFonts w:ascii="Arial" w:hAnsi="Arial" w:cs="Arial"/>
          <w:spacing w:val="-23"/>
          <w:w w:val="110"/>
          <w:sz w:val="17"/>
          <w:szCs w:val="17"/>
        </w:rPr>
        <w:t xml:space="preserve"> </w:t>
      </w:r>
      <w:r>
        <w:rPr>
          <w:rFonts w:ascii="Arial" w:hAnsi="Arial" w:cs="Arial"/>
          <w:w w:val="110"/>
          <w:sz w:val="17"/>
          <w:szCs w:val="17"/>
        </w:rPr>
        <w:t>Evaluation. August</w:t>
      </w:r>
      <w:r>
        <w:rPr>
          <w:rFonts w:ascii="Arial" w:hAnsi="Arial" w:cs="Arial"/>
          <w:spacing w:val="-15"/>
          <w:w w:val="110"/>
          <w:sz w:val="17"/>
          <w:szCs w:val="17"/>
        </w:rPr>
        <w:t xml:space="preserve"> </w:t>
      </w:r>
      <w:r>
        <w:rPr>
          <w:rFonts w:ascii="Arial" w:hAnsi="Arial" w:cs="Arial"/>
          <w:spacing w:val="-7"/>
          <w:w w:val="110"/>
          <w:sz w:val="17"/>
          <w:szCs w:val="17"/>
        </w:rPr>
        <w:t>1,2013.</w:t>
      </w:r>
      <w:r>
        <w:rPr>
          <w:rFonts w:ascii="Arial" w:hAnsi="Arial" w:cs="Arial"/>
          <w:spacing w:val="35"/>
          <w:w w:val="110"/>
          <w:sz w:val="17"/>
          <w:szCs w:val="17"/>
        </w:rPr>
        <w:t xml:space="preserve"> </w:t>
      </w:r>
      <w:r>
        <w:rPr>
          <w:rFonts w:ascii="Arial" w:hAnsi="Arial" w:cs="Arial"/>
          <w:w w:val="110"/>
          <w:sz w:val="17"/>
          <w:szCs w:val="17"/>
        </w:rPr>
        <w:t>Screening</w:t>
      </w:r>
      <w:r>
        <w:rPr>
          <w:rFonts w:ascii="Arial" w:hAnsi="Arial" w:cs="Arial"/>
          <w:spacing w:val="-29"/>
          <w:w w:val="110"/>
          <w:sz w:val="17"/>
          <w:szCs w:val="17"/>
        </w:rPr>
        <w:t xml:space="preserve"> </w:t>
      </w:r>
      <w:r>
        <w:rPr>
          <w:rFonts w:ascii="Arial" w:hAnsi="Arial" w:cs="Arial"/>
          <w:w w:val="110"/>
          <w:sz w:val="17"/>
          <w:szCs w:val="17"/>
        </w:rPr>
        <w:t>for</w:t>
      </w:r>
      <w:r>
        <w:rPr>
          <w:rFonts w:ascii="Arial" w:hAnsi="Arial" w:cs="Arial"/>
          <w:spacing w:val="-18"/>
          <w:w w:val="110"/>
          <w:sz w:val="17"/>
          <w:szCs w:val="17"/>
        </w:rPr>
        <w:t xml:space="preserve"> </w:t>
      </w:r>
      <w:r>
        <w:rPr>
          <w:rFonts w:ascii="Arial" w:hAnsi="Arial" w:cs="Arial"/>
          <w:w w:val="110"/>
          <w:sz w:val="17"/>
          <w:szCs w:val="17"/>
        </w:rPr>
        <w:t>Domestic</w:t>
      </w:r>
      <w:r>
        <w:rPr>
          <w:rFonts w:ascii="Arial" w:hAnsi="Arial" w:cs="Arial"/>
          <w:spacing w:val="-30"/>
          <w:w w:val="110"/>
          <w:sz w:val="17"/>
          <w:szCs w:val="17"/>
        </w:rPr>
        <w:t xml:space="preserve"> </w:t>
      </w:r>
      <w:r>
        <w:rPr>
          <w:rFonts w:ascii="Arial" w:hAnsi="Arial" w:cs="Arial"/>
          <w:w w:val="110"/>
          <w:sz w:val="17"/>
          <w:szCs w:val="17"/>
        </w:rPr>
        <w:t>Violence</w:t>
      </w:r>
      <w:r>
        <w:rPr>
          <w:rFonts w:ascii="Arial" w:hAnsi="Arial" w:cs="Arial"/>
          <w:spacing w:val="-25"/>
          <w:w w:val="110"/>
          <w:sz w:val="17"/>
          <w:szCs w:val="17"/>
        </w:rPr>
        <w:t xml:space="preserve"> </w:t>
      </w:r>
      <w:r>
        <w:rPr>
          <w:rFonts w:ascii="Arial" w:hAnsi="Arial" w:cs="Arial"/>
          <w:spacing w:val="-7"/>
          <w:w w:val="110"/>
          <w:sz w:val="17"/>
          <w:szCs w:val="17"/>
        </w:rPr>
        <w:t>in</w:t>
      </w:r>
      <w:r>
        <w:rPr>
          <w:rFonts w:ascii="Arial" w:hAnsi="Arial" w:cs="Arial"/>
          <w:spacing w:val="-29"/>
          <w:w w:val="110"/>
          <w:sz w:val="17"/>
          <w:szCs w:val="17"/>
        </w:rPr>
        <w:t xml:space="preserve"> </w:t>
      </w:r>
      <w:r>
        <w:rPr>
          <w:rFonts w:ascii="Arial" w:hAnsi="Arial" w:cs="Arial"/>
          <w:w w:val="110"/>
          <w:sz w:val="17"/>
          <w:szCs w:val="17"/>
        </w:rPr>
        <w:t>Health</w:t>
      </w:r>
      <w:r>
        <w:rPr>
          <w:rFonts w:ascii="Arial" w:hAnsi="Arial" w:cs="Arial"/>
          <w:spacing w:val="-29"/>
          <w:w w:val="110"/>
          <w:sz w:val="17"/>
          <w:szCs w:val="17"/>
        </w:rPr>
        <w:t xml:space="preserve"> </w:t>
      </w:r>
      <w:r>
        <w:rPr>
          <w:rFonts w:ascii="Arial" w:hAnsi="Arial" w:cs="Arial"/>
          <w:w w:val="110"/>
          <w:sz w:val="17"/>
          <w:szCs w:val="17"/>
        </w:rPr>
        <w:t>Care</w:t>
      </w:r>
      <w:r>
        <w:rPr>
          <w:rFonts w:ascii="Arial" w:hAnsi="Arial" w:cs="Arial"/>
          <w:spacing w:val="-29"/>
          <w:w w:val="110"/>
          <w:sz w:val="17"/>
          <w:szCs w:val="17"/>
        </w:rPr>
        <w:t xml:space="preserve"> </w:t>
      </w:r>
      <w:r>
        <w:rPr>
          <w:rFonts w:ascii="Arial" w:hAnsi="Arial" w:cs="Arial"/>
          <w:w w:val="110"/>
          <w:sz w:val="17"/>
          <w:szCs w:val="17"/>
        </w:rPr>
        <w:t>Settings</w:t>
      </w:r>
      <w:r>
        <w:rPr>
          <w:rFonts w:ascii="Arial" w:hAnsi="Arial" w:cs="Arial"/>
          <w:spacing w:val="11"/>
          <w:w w:val="110"/>
          <w:sz w:val="17"/>
          <w:szCs w:val="17"/>
        </w:rPr>
        <w:t xml:space="preserve"> </w:t>
      </w:r>
      <w:r>
        <w:rPr>
          <w:rFonts w:ascii="Arial" w:hAnsi="Arial" w:cs="Arial"/>
          <w:w w:val="110"/>
          <w:sz w:val="17"/>
          <w:szCs w:val="17"/>
        </w:rPr>
        <w:t>.</w:t>
      </w:r>
      <w:r>
        <w:rPr>
          <w:rFonts w:ascii="Arial" w:hAnsi="Arial" w:cs="Arial"/>
          <w:spacing w:val="-26"/>
          <w:w w:val="110"/>
          <w:sz w:val="17"/>
          <w:szCs w:val="17"/>
        </w:rPr>
        <w:t xml:space="preserve"> </w:t>
      </w:r>
      <w:r>
        <w:rPr>
          <w:rFonts w:ascii="Arial" w:hAnsi="Arial" w:cs="Arial"/>
          <w:w w:val="110"/>
          <w:sz w:val="17"/>
          <w:szCs w:val="17"/>
        </w:rPr>
        <w:t>https://aspe.hhs.gov/report/screening- domestic-violence-health-care-settings</w:t>
      </w:r>
    </w:p>
    <w:p w:rsidR="002C5025" w:rsidRDefault="00FB027C">
      <w:pPr>
        <w:pStyle w:val="ListParagraph"/>
        <w:numPr>
          <w:ilvl w:val="1"/>
          <w:numId w:val="92"/>
        </w:numPr>
        <w:tabs>
          <w:tab w:val="left" w:pos="685"/>
        </w:tabs>
        <w:kinsoku w:val="0"/>
        <w:overflowPunct w:val="0"/>
        <w:spacing w:before="4" w:line="297" w:lineRule="auto"/>
        <w:ind w:left="638" w:right="1073" w:hanging="22"/>
        <w:rPr>
          <w:rFonts w:ascii="Arial" w:hAnsi="Arial" w:cs="Arial"/>
          <w:color w:val="000000"/>
          <w:spacing w:val="-7"/>
          <w:w w:val="110"/>
          <w:sz w:val="17"/>
          <w:szCs w:val="17"/>
        </w:rPr>
      </w:pPr>
      <w:r>
        <w:rPr>
          <w:noProof/>
        </w:rPr>
        <mc:AlternateContent>
          <mc:Choice Requires="wps">
            <w:drawing>
              <wp:anchor distT="0" distB="0" distL="114300" distR="114300" simplePos="0" relativeHeight="251494912" behindDoc="1" locked="0" layoutInCell="0" allowOverlap="1">
                <wp:simplePos x="0" y="0"/>
                <wp:positionH relativeFrom="page">
                  <wp:posOffset>975360</wp:posOffset>
                </wp:positionH>
                <wp:positionV relativeFrom="paragraph">
                  <wp:posOffset>310515</wp:posOffset>
                </wp:positionV>
                <wp:extent cx="18415" cy="64135"/>
                <wp:effectExtent l="0" t="0" r="0" b="0"/>
                <wp:wrapNone/>
                <wp:docPr id="905"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15" cy="64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pStyle w:val="BodyText"/>
                              <w:kinsoku w:val="0"/>
                              <w:overflowPunct w:val="0"/>
                              <w:spacing w:line="101" w:lineRule="exact"/>
                              <w:rPr>
                                <w:rFonts w:ascii="Arial" w:hAnsi="Arial" w:cs="Arial"/>
                                <w:w w:val="50"/>
                                <w:sz w:val="10"/>
                                <w:szCs w:val="10"/>
                              </w:rPr>
                            </w:pPr>
                            <w:r>
                              <w:rPr>
                                <w:rFonts w:ascii="Arial" w:hAnsi="Arial" w:cs="Arial"/>
                                <w:w w:val="50"/>
                                <w:sz w:val="10"/>
                                <w:szCs w:val="10"/>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0" o:spid="_x0000_s1075" type="#_x0000_t202" style="position:absolute;left:0;text-align:left;margin-left:76.8pt;margin-top:24.45pt;width:1.45pt;height:5.05pt;z-index:-251821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" o:allowincell="f" filled="f" stroked="f">
                <v:textbox inset="0,0,0,0">
                  <w:txbxContent>
                    <w:p w:rsidR="007B2B7B" w:rsidRDefault="007B2B7B">
                      <w:pPr>
                        <w:pStyle w:val="BodyText"/>
                        <w:kinsoku w:val="0"/>
                        <w:overflowPunct w:val="0"/>
                        <w:spacing w:line="101" w:lineRule="exact"/>
                        <w:rPr>
                          <w:rFonts w:ascii="Arial" w:hAnsi="Arial" w:cs="Arial"/>
                          <w:w w:val="50"/>
                          <w:sz w:val="10"/>
                          <w:szCs w:val="10"/>
                        </w:rPr>
                      </w:pPr>
                      <w:r>
                        <w:rPr>
                          <w:rFonts w:ascii="Arial" w:hAnsi="Arial" w:cs="Arial"/>
                          <w:w w:val="50"/>
                          <w:sz w:val="10"/>
                          <w:szCs w:val="10"/>
                        </w:rPr>
                        <w:t>1</w:t>
                      </w:r>
                    </w:p>
                  </w:txbxContent>
                </v:textbox>
                <w10:wrap anchorx="page"/>
              </v:shape>
            </w:pict>
          </mc:Fallback>
        </mc:AlternateContent>
      </w:r>
      <w:r w:rsidR="002C5025">
        <w:rPr>
          <w:rFonts w:ascii="Arial" w:hAnsi="Arial" w:cs="Arial"/>
          <w:w w:val="110"/>
          <w:sz w:val="17"/>
          <w:szCs w:val="17"/>
        </w:rPr>
        <w:t>''Campbell,</w:t>
      </w:r>
      <w:r w:rsidR="002C5025">
        <w:rPr>
          <w:rFonts w:ascii="Arial" w:hAnsi="Arial" w:cs="Arial"/>
          <w:spacing w:val="-21"/>
          <w:w w:val="110"/>
          <w:sz w:val="17"/>
          <w:szCs w:val="17"/>
        </w:rPr>
        <w:t xml:space="preserve"> </w:t>
      </w:r>
      <w:proofErr w:type="spellStart"/>
      <w:r w:rsidR="002C5025">
        <w:rPr>
          <w:rFonts w:ascii="Arial" w:hAnsi="Arial" w:cs="Arial"/>
          <w:w w:val="110"/>
          <w:sz w:val="17"/>
          <w:szCs w:val="17"/>
        </w:rPr>
        <w:t>F.,Conti</w:t>
      </w:r>
      <w:proofErr w:type="spellEnd"/>
      <w:r w:rsidR="002C5025">
        <w:rPr>
          <w:rFonts w:ascii="Arial" w:hAnsi="Arial" w:cs="Arial"/>
          <w:w w:val="110"/>
          <w:sz w:val="17"/>
          <w:szCs w:val="17"/>
        </w:rPr>
        <w:t>,</w:t>
      </w:r>
      <w:r w:rsidR="002C5025">
        <w:rPr>
          <w:rFonts w:ascii="Arial" w:hAnsi="Arial" w:cs="Arial"/>
          <w:spacing w:val="-27"/>
          <w:w w:val="110"/>
          <w:sz w:val="17"/>
          <w:szCs w:val="17"/>
        </w:rPr>
        <w:t xml:space="preserve"> </w:t>
      </w:r>
      <w:proofErr w:type="spellStart"/>
      <w:r w:rsidR="002C5025">
        <w:rPr>
          <w:rFonts w:ascii="Arial" w:hAnsi="Arial" w:cs="Arial"/>
          <w:w w:val="110"/>
          <w:sz w:val="17"/>
          <w:szCs w:val="17"/>
        </w:rPr>
        <w:t>G.,Heckman</w:t>
      </w:r>
      <w:proofErr w:type="spellEnd"/>
      <w:r w:rsidR="002C5025">
        <w:rPr>
          <w:rFonts w:ascii="Arial" w:hAnsi="Arial" w:cs="Arial"/>
          <w:w w:val="110"/>
          <w:sz w:val="17"/>
          <w:szCs w:val="17"/>
        </w:rPr>
        <w:t>,</w:t>
      </w:r>
      <w:r w:rsidR="002C5025">
        <w:rPr>
          <w:rFonts w:ascii="Arial" w:hAnsi="Arial" w:cs="Arial"/>
          <w:spacing w:val="-33"/>
          <w:w w:val="110"/>
          <w:sz w:val="17"/>
          <w:szCs w:val="17"/>
        </w:rPr>
        <w:t xml:space="preserve"> </w:t>
      </w:r>
      <w:r w:rsidR="002C5025">
        <w:rPr>
          <w:rFonts w:ascii="Arial" w:hAnsi="Arial" w:cs="Arial"/>
          <w:w w:val="110"/>
          <w:sz w:val="17"/>
          <w:szCs w:val="17"/>
        </w:rPr>
        <w:t>J.,</w:t>
      </w:r>
      <w:r w:rsidR="002C5025">
        <w:rPr>
          <w:rFonts w:ascii="Arial" w:hAnsi="Arial" w:cs="Arial"/>
          <w:spacing w:val="-38"/>
          <w:w w:val="110"/>
          <w:sz w:val="17"/>
          <w:szCs w:val="17"/>
        </w:rPr>
        <w:t xml:space="preserve"> </w:t>
      </w:r>
      <w:r w:rsidR="002C5025">
        <w:rPr>
          <w:rFonts w:ascii="Arial" w:hAnsi="Arial" w:cs="Arial"/>
          <w:w w:val="110"/>
          <w:sz w:val="17"/>
          <w:szCs w:val="17"/>
        </w:rPr>
        <w:t>Moon,</w:t>
      </w:r>
      <w:r w:rsidR="002C5025">
        <w:rPr>
          <w:rFonts w:ascii="Arial" w:hAnsi="Arial" w:cs="Arial"/>
          <w:spacing w:val="-32"/>
          <w:w w:val="110"/>
          <w:sz w:val="17"/>
          <w:szCs w:val="17"/>
        </w:rPr>
        <w:t xml:space="preserve"> </w:t>
      </w:r>
      <w:proofErr w:type="spellStart"/>
      <w:r w:rsidR="002C5025">
        <w:rPr>
          <w:rFonts w:ascii="Arial" w:hAnsi="Arial" w:cs="Arial"/>
          <w:w w:val="110"/>
          <w:sz w:val="17"/>
          <w:szCs w:val="17"/>
        </w:rPr>
        <w:t>S.,Pinto</w:t>
      </w:r>
      <w:proofErr w:type="spellEnd"/>
      <w:r w:rsidR="002C5025">
        <w:rPr>
          <w:rFonts w:ascii="Arial" w:hAnsi="Arial" w:cs="Arial"/>
          <w:w w:val="110"/>
          <w:sz w:val="17"/>
          <w:szCs w:val="17"/>
        </w:rPr>
        <w:t>,</w:t>
      </w:r>
      <w:r w:rsidR="002C5025">
        <w:rPr>
          <w:rFonts w:ascii="Arial" w:hAnsi="Arial" w:cs="Arial"/>
          <w:spacing w:val="-28"/>
          <w:w w:val="110"/>
          <w:sz w:val="17"/>
          <w:szCs w:val="17"/>
        </w:rPr>
        <w:t xml:space="preserve"> </w:t>
      </w:r>
      <w:r w:rsidR="002C5025">
        <w:rPr>
          <w:w w:val="110"/>
          <w:sz w:val="18"/>
          <w:szCs w:val="18"/>
        </w:rPr>
        <w:t>R.,</w:t>
      </w:r>
      <w:r w:rsidR="002C5025">
        <w:rPr>
          <w:spacing w:val="-14"/>
          <w:w w:val="110"/>
          <w:sz w:val="18"/>
          <w:szCs w:val="18"/>
        </w:rPr>
        <w:t xml:space="preserve"> </w:t>
      </w:r>
      <w:proofErr w:type="spellStart"/>
      <w:r w:rsidR="002C5025">
        <w:rPr>
          <w:rFonts w:ascii="Arial" w:hAnsi="Arial" w:cs="Arial"/>
          <w:w w:val="110"/>
          <w:sz w:val="17"/>
          <w:szCs w:val="17"/>
        </w:rPr>
        <w:t>Pungello</w:t>
      </w:r>
      <w:proofErr w:type="spellEnd"/>
      <w:r w:rsidR="002C5025">
        <w:rPr>
          <w:rFonts w:ascii="Arial" w:hAnsi="Arial" w:cs="Arial"/>
          <w:w w:val="110"/>
          <w:sz w:val="17"/>
          <w:szCs w:val="17"/>
        </w:rPr>
        <w:t>,</w:t>
      </w:r>
      <w:r w:rsidR="002C5025">
        <w:rPr>
          <w:rFonts w:ascii="Arial" w:hAnsi="Arial" w:cs="Arial"/>
          <w:spacing w:val="-23"/>
          <w:w w:val="110"/>
          <w:sz w:val="17"/>
          <w:szCs w:val="17"/>
        </w:rPr>
        <w:t xml:space="preserve"> </w:t>
      </w:r>
      <w:r w:rsidR="002C5025">
        <w:rPr>
          <w:rFonts w:ascii="Arial" w:hAnsi="Arial" w:cs="Arial"/>
          <w:w w:val="110"/>
          <w:sz w:val="17"/>
          <w:szCs w:val="17"/>
        </w:rPr>
        <w:t>E.</w:t>
      </w:r>
      <w:r w:rsidR="002C5025">
        <w:rPr>
          <w:rFonts w:ascii="Arial" w:hAnsi="Arial" w:cs="Arial"/>
          <w:spacing w:val="-27"/>
          <w:w w:val="110"/>
          <w:sz w:val="17"/>
          <w:szCs w:val="17"/>
        </w:rPr>
        <w:t xml:space="preserve"> </w:t>
      </w:r>
      <w:r w:rsidR="002C5025">
        <w:rPr>
          <w:rFonts w:ascii="Arial" w:hAnsi="Arial" w:cs="Arial"/>
          <w:w w:val="110"/>
          <w:sz w:val="17"/>
          <w:szCs w:val="17"/>
        </w:rPr>
        <w:t>and</w:t>
      </w:r>
      <w:r w:rsidR="002C5025">
        <w:rPr>
          <w:rFonts w:ascii="Arial" w:hAnsi="Arial" w:cs="Arial"/>
          <w:spacing w:val="-19"/>
          <w:w w:val="110"/>
          <w:sz w:val="17"/>
          <w:szCs w:val="17"/>
        </w:rPr>
        <w:t xml:space="preserve"> </w:t>
      </w:r>
      <w:r w:rsidR="002C5025">
        <w:rPr>
          <w:rFonts w:ascii="Arial" w:hAnsi="Arial" w:cs="Arial"/>
          <w:w w:val="110"/>
          <w:sz w:val="17"/>
          <w:szCs w:val="17"/>
        </w:rPr>
        <w:t>Pan,</w:t>
      </w:r>
      <w:r w:rsidR="002C5025">
        <w:rPr>
          <w:rFonts w:ascii="Arial" w:hAnsi="Arial" w:cs="Arial"/>
          <w:spacing w:val="-33"/>
          <w:w w:val="110"/>
          <w:sz w:val="17"/>
          <w:szCs w:val="17"/>
        </w:rPr>
        <w:t xml:space="preserve"> </w:t>
      </w:r>
      <w:r w:rsidR="002C5025">
        <w:rPr>
          <w:w w:val="110"/>
          <w:sz w:val="18"/>
          <w:szCs w:val="18"/>
        </w:rPr>
        <w:t>Y.</w:t>
      </w:r>
      <w:r w:rsidR="002C5025">
        <w:rPr>
          <w:spacing w:val="-16"/>
          <w:w w:val="110"/>
          <w:sz w:val="18"/>
          <w:szCs w:val="18"/>
        </w:rPr>
        <w:t xml:space="preserve"> </w:t>
      </w:r>
      <w:r w:rsidR="002C5025">
        <w:rPr>
          <w:rFonts w:ascii="Arial" w:hAnsi="Arial" w:cs="Arial"/>
          <w:spacing w:val="-6"/>
          <w:w w:val="110"/>
          <w:sz w:val="17"/>
          <w:szCs w:val="17"/>
        </w:rPr>
        <w:t>2014.</w:t>
      </w:r>
      <w:r w:rsidR="002C5025">
        <w:rPr>
          <w:rFonts w:ascii="Arial" w:hAnsi="Arial" w:cs="Arial"/>
          <w:spacing w:val="-21"/>
          <w:w w:val="110"/>
          <w:sz w:val="17"/>
          <w:szCs w:val="17"/>
        </w:rPr>
        <w:t xml:space="preserve"> </w:t>
      </w:r>
      <w:r w:rsidR="002C5025">
        <w:rPr>
          <w:rFonts w:ascii="Arial" w:hAnsi="Arial" w:cs="Arial"/>
          <w:w w:val="110"/>
          <w:sz w:val="17"/>
          <w:szCs w:val="17"/>
        </w:rPr>
        <w:t>Early</w:t>
      </w:r>
      <w:r w:rsidR="002C5025">
        <w:rPr>
          <w:rFonts w:ascii="Arial" w:hAnsi="Arial" w:cs="Arial"/>
          <w:spacing w:val="-26"/>
          <w:w w:val="110"/>
          <w:sz w:val="17"/>
          <w:szCs w:val="17"/>
        </w:rPr>
        <w:t xml:space="preserve"> </w:t>
      </w:r>
      <w:r w:rsidR="002C5025">
        <w:rPr>
          <w:rFonts w:ascii="Arial" w:hAnsi="Arial" w:cs="Arial"/>
          <w:w w:val="110"/>
          <w:sz w:val="17"/>
          <w:szCs w:val="17"/>
        </w:rPr>
        <w:t>childhood investments</w:t>
      </w:r>
      <w:r w:rsidR="002C5025">
        <w:rPr>
          <w:rFonts w:ascii="Arial" w:hAnsi="Arial" w:cs="Arial"/>
          <w:spacing w:val="-33"/>
          <w:w w:val="110"/>
          <w:sz w:val="17"/>
          <w:szCs w:val="17"/>
        </w:rPr>
        <w:t xml:space="preserve"> </w:t>
      </w:r>
      <w:r w:rsidR="002C5025">
        <w:rPr>
          <w:rFonts w:ascii="Arial" w:hAnsi="Arial" w:cs="Arial"/>
          <w:w w:val="110"/>
          <w:sz w:val="17"/>
          <w:szCs w:val="17"/>
        </w:rPr>
        <w:t>substantially</w:t>
      </w:r>
      <w:r w:rsidR="002C5025">
        <w:rPr>
          <w:rFonts w:ascii="Arial" w:hAnsi="Arial" w:cs="Arial"/>
          <w:spacing w:val="-24"/>
          <w:w w:val="110"/>
          <w:sz w:val="17"/>
          <w:szCs w:val="17"/>
        </w:rPr>
        <w:t xml:space="preserve"> </w:t>
      </w:r>
      <w:r w:rsidR="002C5025">
        <w:rPr>
          <w:rFonts w:ascii="Arial" w:hAnsi="Arial" w:cs="Arial"/>
          <w:w w:val="110"/>
          <w:sz w:val="17"/>
          <w:szCs w:val="17"/>
        </w:rPr>
        <w:t>boost</w:t>
      </w:r>
      <w:r w:rsidR="002C5025">
        <w:rPr>
          <w:rFonts w:ascii="Arial" w:hAnsi="Arial" w:cs="Arial"/>
          <w:spacing w:val="-32"/>
          <w:w w:val="110"/>
          <w:sz w:val="17"/>
          <w:szCs w:val="17"/>
        </w:rPr>
        <w:t xml:space="preserve"> </w:t>
      </w:r>
      <w:r w:rsidR="002C5025">
        <w:rPr>
          <w:rFonts w:ascii="Arial" w:hAnsi="Arial" w:cs="Arial"/>
          <w:w w:val="110"/>
          <w:sz w:val="17"/>
          <w:szCs w:val="17"/>
        </w:rPr>
        <w:t>adult</w:t>
      </w:r>
      <w:r w:rsidR="002C5025">
        <w:rPr>
          <w:rFonts w:ascii="Arial" w:hAnsi="Arial" w:cs="Arial"/>
          <w:spacing w:val="-28"/>
          <w:w w:val="110"/>
          <w:sz w:val="17"/>
          <w:szCs w:val="17"/>
        </w:rPr>
        <w:t xml:space="preserve"> </w:t>
      </w:r>
      <w:proofErr w:type="spellStart"/>
      <w:r w:rsidR="002C5025">
        <w:rPr>
          <w:rFonts w:ascii="Arial" w:hAnsi="Arial" w:cs="Arial"/>
          <w:w w:val="110"/>
          <w:sz w:val="17"/>
          <w:szCs w:val="17"/>
        </w:rPr>
        <w:t>health.</w:t>
      </w:r>
      <w:r w:rsidR="002C5025">
        <w:rPr>
          <w:rFonts w:ascii="Arial" w:hAnsi="Arial" w:cs="Arial"/>
          <w:i/>
          <w:iCs/>
          <w:w w:val="110"/>
          <w:sz w:val="17"/>
          <w:szCs w:val="17"/>
        </w:rPr>
        <w:t>Science</w:t>
      </w:r>
      <w:proofErr w:type="spellEnd"/>
      <w:r w:rsidR="002C5025">
        <w:rPr>
          <w:rFonts w:ascii="Arial" w:hAnsi="Arial" w:cs="Arial"/>
          <w:i/>
          <w:iCs/>
          <w:w w:val="110"/>
          <w:sz w:val="17"/>
          <w:szCs w:val="17"/>
        </w:rPr>
        <w:t>,</w:t>
      </w:r>
      <w:r w:rsidR="002C5025">
        <w:rPr>
          <w:rFonts w:ascii="Arial" w:hAnsi="Arial" w:cs="Arial"/>
          <w:i/>
          <w:iCs/>
          <w:spacing w:val="-32"/>
          <w:w w:val="110"/>
          <w:sz w:val="17"/>
          <w:szCs w:val="17"/>
        </w:rPr>
        <w:t xml:space="preserve"> </w:t>
      </w:r>
      <w:r w:rsidR="002C5025">
        <w:rPr>
          <w:rFonts w:ascii="Arial" w:hAnsi="Arial" w:cs="Arial"/>
          <w:spacing w:val="-3"/>
          <w:w w:val="110"/>
          <w:sz w:val="17"/>
          <w:szCs w:val="17"/>
        </w:rPr>
        <w:t>343(6178)</w:t>
      </w:r>
      <w:r w:rsidR="002C5025">
        <w:rPr>
          <w:rFonts w:ascii="Arial" w:hAnsi="Arial" w:cs="Arial"/>
          <w:spacing w:val="-26"/>
          <w:w w:val="110"/>
          <w:sz w:val="17"/>
          <w:szCs w:val="17"/>
        </w:rPr>
        <w:t xml:space="preserve"> </w:t>
      </w:r>
      <w:r w:rsidR="002C5025">
        <w:rPr>
          <w:rFonts w:ascii="Arial" w:hAnsi="Arial" w:cs="Arial"/>
          <w:spacing w:val="-7"/>
          <w:w w:val="110"/>
          <w:sz w:val="17"/>
          <w:szCs w:val="17"/>
        </w:rPr>
        <w:t>1478-1485</w:t>
      </w:r>
    </w:p>
    <w:p w:rsidR="002C5025" w:rsidRDefault="002C5025">
      <w:pPr>
        <w:pStyle w:val="BodyText"/>
        <w:kinsoku w:val="0"/>
        <w:overflowPunct w:val="0"/>
        <w:spacing w:before="3" w:line="297" w:lineRule="auto"/>
        <w:ind w:left="645" w:right="324" w:hanging="15"/>
        <w:rPr>
          <w:rFonts w:ascii="Arial" w:hAnsi="Arial" w:cs="Arial"/>
          <w:spacing w:val="-11"/>
          <w:w w:val="110"/>
          <w:sz w:val="17"/>
          <w:szCs w:val="17"/>
        </w:rPr>
      </w:pPr>
      <w:r>
        <w:rPr>
          <w:rFonts w:ascii="Arial" w:hAnsi="Arial" w:cs="Arial"/>
          <w:w w:val="110"/>
          <w:sz w:val="10"/>
          <w:szCs w:val="10"/>
        </w:rPr>
        <w:t>'</w:t>
      </w:r>
      <w:r>
        <w:rPr>
          <w:rFonts w:ascii="Arial" w:hAnsi="Arial" w:cs="Arial"/>
          <w:spacing w:val="-4"/>
          <w:w w:val="110"/>
          <w:sz w:val="10"/>
          <w:szCs w:val="10"/>
        </w:rPr>
        <w:t xml:space="preserve"> </w:t>
      </w:r>
      <w:r>
        <w:rPr>
          <w:rFonts w:ascii="Arial" w:hAnsi="Arial" w:cs="Arial"/>
          <w:w w:val="110"/>
          <w:sz w:val="17"/>
          <w:szCs w:val="17"/>
        </w:rPr>
        <w:t>Fletcher,</w:t>
      </w:r>
      <w:r>
        <w:rPr>
          <w:rFonts w:ascii="Arial" w:hAnsi="Arial" w:cs="Arial"/>
          <w:spacing w:val="-34"/>
          <w:w w:val="110"/>
          <w:sz w:val="17"/>
          <w:szCs w:val="17"/>
        </w:rPr>
        <w:t xml:space="preserve"> </w:t>
      </w:r>
      <w:proofErr w:type="spellStart"/>
      <w:r>
        <w:rPr>
          <w:rFonts w:ascii="Arial" w:hAnsi="Arial" w:cs="Arial"/>
          <w:w w:val="110"/>
          <w:sz w:val="17"/>
          <w:szCs w:val="17"/>
        </w:rPr>
        <w:t>J.M.,and</w:t>
      </w:r>
      <w:proofErr w:type="spellEnd"/>
      <w:r>
        <w:rPr>
          <w:rFonts w:ascii="Arial" w:hAnsi="Arial" w:cs="Arial"/>
          <w:spacing w:val="-23"/>
          <w:w w:val="110"/>
          <w:sz w:val="17"/>
          <w:szCs w:val="17"/>
        </w:rPr>
        <w:t xml:space="preserve"> </w:t>
      </w:r>
      <w:proofErr w:type="spellStart"/>
      <w:r>
        <w:rPr>
          <w:rFonts w:ascii="Arial" w:hAnsi="Arial" w:cs="Arial"/>
          <w:w w:val="110"/>
          <w:sz w:val="17"/>
          <w:szCs w:val="17"/>
        </w:rPr>
        <w:t>Frisvold</w:t>
      </w:r>
      <w:proofErr w:type="spellEnd"/>
      <w:r>
        <w:rPr>
          <w:rFonts w:ascii="Arial" w:hAnsi="Arial" w:cs="Arial"/>
          <w:w w:val="110"/>
          <w:sz w:val="17"/>
          <w:szCs w:val="17"/>
        </w:rPr>
        <w:t>,</w:t>
      </w:r>
      <w:r>
        <w:rPr>
          <w:rFonts w:ascii="Arial" w:hAnsi="Arial" w:cs="Arial"/>
          <w:spacing w:val="-21"/>
          <w:w w:val="110"/>
          <w:sz w:val="17"/>
          <w:szCs w:val="17"/>
        </w:rPr>
        <w:t xml:space="preserve"> </w:t>
      </w:r>
      <w:r>
        <w:rPr>
          <w:rFonts w:ascii="Arial" w:hAnsi="Arial" w:cs="Arial"/>
          <w:w w:val="110"/>
          <w:sz w:val="17"/>
          <w:szCs w:val="17"/>
        </w:rPr>
        <w:t>D.</w:t>
      </w:r>
      <w:r>
        <w:rPr>
          <w:rFonts w:ascii="Arial" w:hAnsi="Arial" w:cs="Arial"/>
          <w:spacing w:val="-34"/>
          <w:w w:val="110"/>
          <w:sz w:val="17"/>
          <w:szCs w:val="17"/>
        </w:rPr>
        <w:t xml:space="preserve"> </w:t>
      </w:r>
      <w:r>
        <w:rPr>
          <w:rFonts w:ascii="Arial" w:hAnsi="Arial" w:cs="Arial"/>
          <w:w w:val="110"/>
          <w:sz w:val="17"/>
          <w:szCs w:val="17"/>
        </w:rPr>
        <w:t>2009.</w:t>
      </w:r>
      <w:r>
        <w:rPr>
          <w:rFonts w:ascii="Arial" w:hAnsi="Arial" w:cs="Arial"/>
          <w:spacing w:val="-23"/>
          <w:w w:val="110"/>
          <w:sz w:val="17"/>
          <w:szCs w:val="17"/>
        </w:rPr>
        <w:t xml:space="preserve"> </w:t>
      </w:r>
      <w:r>
        <w:rPr>
          <w:rFonts w:ascii="Arial" w:hAnsi="Arial" w:cs="Arial"/>
          <w:w w:val="110"/>
          <w:sz w:val="17"/>
          <w:szCs w:val="17"/>
        </w:rPr>
        <w:t>Higher</w:t>
      </w:r>
      <w:r>
        <w:rPr>
          <w:rFonts w:ascii="Arial" w:hAnsi="Arial" w:cs="Arial"/>
          <w:spacing w:val="-16"/>
          <w:w w:val="110"/>
          <w:sz w:val="17"/>
          <w:szCs w:val="17"/>
        </w:rPr>
        <w:t xml:space="preserve"> </w:t>
      </w:r>
      <w:r>
        <w:rPr>
          <w:rFonts w:ascii="Arial" w:hAnsi="Arial" w:cs="Arial"/>
          <w:w w:val="110"/>
          <w:sz w:val="17"/>
          <w:szCs w:val="17"/>
        </w:rPr>
        <w:t>education</w:t>
      </w:r>
      <w:r>
        <w:rPr>
          <w:rFonts w:ascii="Arial" w:hAnsi="Arial" w:cs="Arial"/>
          <w:spacing w:val="-20"/>
          <w:w w:val="110"/>
          <w:sz w:val="17"/>
          <w:szCs w:val="17"/>
        </w:rPr>
        <w:t xml:space="preserve"> </w:t>
      </w:r>
      <w:r>
        <w:rPr>
          <w:rFonts w:ascii="Arial" w:hAnsi="Arial" w:cs="Arial"/>
          <w:w w:val="110"/>
          <w:sz w:val="17"/>
          <w:szCs w:val="17"/>
        </w:rPr>
        <w:t>and</w:t>
      </w:r>
      <w:r>
        <w:rPr>
          <w:rFonts w:ascii="Arial" w:hAnsi="Arial" w:cs="Arial"/>
          <w:spacing w:val="-27"/>
          <w:w w:val="110"/>
          <w:sz w:val="17"/>
          <w:szCs w:val="17"/>
        </w:rPr>
        <w:t xml:space="preserve"> </w:t>
      </w:r>
      <w:r>
        <w:rPr>
          <w:rFonts w:ascii="Arial" w:hAnsi="Arial" w:cs="Arial"/>
          <w:w w:val="110"/>
          <w:sz w:val="17"/>
          <w:szCs w:val="17"/>
        </w:rPr>
        <w:t>health</w:t>
      </w:r>
      <w:r>
        <w:rPr>
          <w:rFonts w:ascii="Arial" w:hAnsi="Arial" w:cs="Arial"/>
          <w:spacing w:val="-27"/>
          <w:w w:val="110"/>
          <w:sz w:val="17"/>
          <w:szCs w:val="17"/>
        </w:rPr>
        <w:t xml:space="preserve"> </w:t>
      </w:r>
      <w:r>
        <w:rPr>
          <w:rFonts w:ascii="Arial" w:hAnsi="Arial" w:cs="Arial"/>
          <w:w w:val="110"/>
          <w:sz w:val="17"/>
          <w:szCs w:val="17"/>
        </w:rPr>
        <w:t>investments:</w:t>
      </w:r>
      <w:r>
        <w:rPr>
          <w:rFonts w:ascii="Arial" w:hAnsi="Arial" w:cs="Arial"/>
          <w:spacing w:val="-18"/>
          <w:w w:val="110"/>
          <w:sz w:val="17"/>
          <w:szCs w:val="17"/>
        </w:rPr>
        <w:t xml:space="preserve"> </w:t>
      </w:r>
      <w:r>
        <w:rPr>
          <w:rFonts w:ascii="Arial" w:hAnsi="Arial" w:cs="Arial"/>
          <w:w w:val="110"/>
          <w:sz w:val="17"/>
          <w:szCs w:val="17"/>
        </w:rPr>
        <w:t>Does</w:t>
      </w:r>
      <w:r>
        <w:rPr>
          <w:rFonts w:ascii="Arial" w:hAnsi="Arial" w:cs="Arial"/>
          <w:spacing w:val="-22"/>
          <w:w w:val="110"/>
          <w:sz w:val="17"/>
          <w:szCs w:val="17"/>
        </w:rPr>
        <w:t xml:space="preserve"> </w:t>
      </w:r>
      <w:r>
        <w:rPr>
          <w:rFonts w:ascii="Arial" w:hAnsi="Arial" w:cs="Arial"/>
          <w:w w:val="110"/>
          <w:sz w:val="17"/>
          <w:szCs w:val="17"/>
        </w:rPr>
        <w:t>more</w:t>
      </w:r>
      <w:r>
        <w:rPr>
          <w:rFonts w:ascii="Arial" w:hAnsi="Arial" w:cs="Arial"/>
          <w:spacing w:val="-33"/>
          <w:w w:val="110"/>
          <w:sz w:val="17"/>
          <w:szCs w:val="17"/>
        </w:rPr>
        <w:t xml:space="preserve"> </w:t>
      </w:r>
      <w:r>
        <w:rPr>
          <w:rFonts w:ascii="Arial" w:hAnsi="Arial" w:cs="Arial"/>
          <w:w w:val="110"/>
          <w:sz w:val="17"/>
          <w:szCs w:val="17"/>
        </w:rPr>
        <w:t>schooling</w:t>
      </w:r>
      <w:r>
        <w:rPr>
          <w:rFonts w:ascii="Arial" w:hAnsi="Arial" w:cs="Arial"/>
          <w:spacing w:val="-25"/>
          <w:w w:val="110"/>
          <w:sz w:val="17"/>
          <w:szCs w:val="17"/>
        </w:rPr>
        <w:t xml:space="preserve"> </w:t>
      </w:r>
      <w:r>
        <w:rPr>
          <w:rFonts w:ascii="Arial" w:hAnsi="Arial" w:cs="Arial"/>
          <w:w w:val="110"/>
          <w:sz w:val="17"/>
          <w:szCs w:val="17"/>
        </w:rPr>
        <w:t>affect health?</w:t>
      </w:r>
      <w:r>
        <w:rPr>
          <w:rFonts w:ascii="Arial" w:hAnsi="Arial" w:cs="Arial"/>
          <w:spacing w:val="-36"/>
          <w:w w:val="110"/>
          <w:sz w:val="17"/>
          <w:szCs w:val="17"/>
        </w:rPr>
        <w:t xml:space="preserve"> </w:t>
      </w:r>
      <w:r>
        <w:rPr>
          <w:rFonts w:ascii="Arial" w:hAnsi="Arial" w:cs="Arial"/>
          <w:i/>
          <w:iCs/>
          <w:w w:val="110"/>
          <w:sz w:val="17"/>
          <w:szCs w:val="17"/>
        </w:rPr>
        <w:t>J.</w:t>
      </w:r>
      <w:r>
        <w:rPr>
          <w:rFonts w:ascii="Arial" w:hAnsi="Arial" w:cs="Arial"/>
          <w:i/>
          <w:iCs/>
          <w:spacing w:val="-26"/>
          <w:w w:val="110"/>
          <w:sz w:val="17"/>
          <w:szCs w:val="17"/>
        </w:rPr>
        <w:t xml:space="preserve"> </w:t>
      </w:r>
      <w:r>
        <w:rPr>
          <w:rFonts w:ascii="Arial" w:hAnsi="Arial" w:cs="Arial"/>
          <w:i/>
          <w:iCs/>
          <w:w w:val="110"/>
          <w:sz w:val="17"/>
          <w:szCs w:val="17"/>
        </w:rPr>
        <w:t>Hum</w:t>
      </w:r>
      <w:r>
        <w:rPr>
          <w:rFonts w:ascii="Arial" w:hAnsi="Arial" w:cs="Arial"/>
          <w:i/>
          <w:iCs/>
          <w:spacing w:val="-16"/>
          <w:w w:val="110"/>
          <w:sz w:val="17"/>
          <w:szCs w:val="17"/>
        </w:rPr>
        <w:t xml:space="preserve"> </w:t>
      </w:r>
      <w:r>
        <w:rPr>
          <w:rFonts w:ascii="Arial" w:hAnsi="Arial" w:cs="Arial"/>
          <w:i/>
          <w:iCs/>
          <w:w w:val="110"/>
          <w:sz w:val="17"/>
          <w:szCs w:val="17"/>
        </w:rPr>
        <w:t>Cap,</w:t>
      </w:r>
      <w:r>
        <w:rPr>
          <w:rFonts w:ascii="Arial" w:hAnsi="Arial" w:cs="Arial"/>
          <w:i/>
          <w:iCs/>
          <w:spacing w:val="-33"/>
          <w:w w:val="110"/>
          <w:sz w:val="17"/>
          <w:szCs w:val="17"/>
        </w:rPr>
        <w:t xml:space="preserve"> </w:t>
      </w:r>
      <w:r>
        <w:rPr>
          <w:rFonts w:ascii="Arial" w:hAnsi="Arial" w:cs="Arial"/>
          <w:w w:val="110"/>
          <w:sz w:val="17"/>
          <w:szCs w:val="17"/>
        </w:rPr>
        <w:t>3(2),</w:t>
      </w:r>
      <w:r>
        <w:rPr>
          <w:rFonts w:ascii="Arial" w:hAnsi="Arial" w:cs="Arial"/>
          <w:spacing w:val="-16"/>
          <w:w w:val="110"/>
          <w:sz w:val="17"/>
          <w:szCs w:val="17"/>
        </w:rPr>
        <w:t xml:space="preserve"> </w:t>
      </w:r>
      <w:r>
        <w:rPr>
          <w:rFonts w:ascii="Arial" w:hAnsi="Arial" w:cs="Arial"/>
          <w:spacing w:val="-11"/>
          <w:w w:val="110"/>
          <w:sz w:val="17"/>
          <w:szCs w:val="17"/>
        </w:rPr>
        <w:t>144-176</w:t>
      </w:r>
    </w:p>
    <w:p w:rsidR="002C5025" w:rsidRDefault="002C5025">
      <w:pPr>
        <w:pStyle w:val="ListParagraph"/>
        <w:numPr>
          <w:ilvl w:val="1"/>
          <w:numId w:val="92"/>
        </w:numPr>
        <w:tabs>
          <w:tab w:val="left" w:pos="771"/>
        </w:tabs>
        <w:kinsoku w:val="0"/>
        <w:overflowPunct w:val="0"/>
        <w:spacing w:line="280" w:lineRule="auto"/>
        <w:ind w:right="468" w:hanging="7"/>
        <w:rPr>
          <w:rFonts w:ascii="Arial" w:hAnsi="Arial" w:cs="Arial"/>
          <w:color w:val="000000"/>
          <w:w w:val="105"/>
          <w:sz w:val="17"/>
          <w:szCs w:val="17"/>
        </w:rPr>
      </w:pPr>
      <w:r>
        <w:rPr>
          <w:rFonts w:ascii="Arial" w:hAnsi="Arial" w:cs="Arial"/>
          <w:w w:val="105"/>
          <w:sz w:val="17"/>
          <w:szCs w:val="17"/>
        </w:rPr>
        <w:t xml:space="preserve">Heckman,, </w:t>
      </w:r>
      <w:r>
        <w:rPr>
          <w:rFonts w:ascii="Arial" w:hAnsi="Arial" w:cs="Arial"/>
          <w:spacing w:val="-5"/>
          <w:w w:val="105"/>
          <w:sz w:val="17"/>
          <w:szCs w:val="17"/>
        </w:rPr>
        <w:t xml:space="preserve">J.,M., </w:t>
      </w:r>
      <w:r>
        <w:rPr>
          <w:rFonts w:ascii="Arial" w:hAnsi="Arial" w:cs="Arial"/>
          <w:w w:val="105"/>
          <w:sz w:val="17"/>
          <w:szCs w:val="17"/>
        </w:rPr>
        <w:t xml:space="preserve">Pinto, </w:t>
      </w:r>
      <w:r>
        <w:rPr>
          <w:w w:val="105"/>
          <w:sz w:val="19"/>
          <w:szCs w:val="19"/>
        </w:rPr>
        <w:t xml:space="preserve">R., </w:t>
      </w:r>
      <w:r>
        <w:rPr>
          <w:rFonts w:ascii="Arial" w:hAnsi="Arial" w:cs="Arial"/>
          <w:w w:val="105"/>
          <w:sz w:val="17"/>
          <w:szCs w:val="17"/>
        </w:rPr>
        <w:t xml:space="preserve">and </w:t>
      </w:r>
      <w:proofErr w:type="spellStart"/>
      <w:r>
        <w:rPr>
          <w:rFonts w:ascii="Arial" w:hAnsi="Arial" w:cs="Arial"/>
          <w:w w:val="105"/>
          <w:sz w:val="17"/>
          <w:szCs w:val="17"/>
        </w:rPr>
        <w:t>Savelyev</w:t>
      </w:r>
      <w:proofErr w:type="spellEnd"/>
      <w:r>
        <w:rPr>
          <w:rFonts w:ascii="Arial" w:hAnsi="Arial" w:cs="Arial"/>
          <w:w w:val="105"/>
          <w:sz w:val="17"/>
          <w:szCs w:val="17"/>
        </w:rPr>
        <w:t xml:space="preserve">, P. 2013. Understanding the mechanisms through which an influential early childhood program boosted adult outcomes. </w:t>
      </w:r>
      <w:r>
        <w:rPr>
          <w:rFonts w:ascii="Arial" w:hAnsi="Arial" w:cs="Arial"/>
          <w:i/>
          <w:iCs/>
          <w:w w:val="105"/>
          <w:sz w:val="17"/>
          <w:szCs w:val="17"/>
        </w:rPr>
        <w:t xml:space="preserve">American Economic Review, </w:t>
      </w:r>
      <w:r>
        <w:rPr>
          <w:rFonts w:ascii="Arial" w:hAnsi="Arial" w:cs="Arial"/>
          <w:w w:val="105"/>
          <w:sz w:val="17"/>
          <w:szCs w:val="17"/>
        </w:rPr>
        <w:t>103(6),</w:t>
      </w:r>
      <w:r>
        <w:rPr>
          <w:rFonts w:ascii="Arial" w:hAnsi="Arial" w:cs="Arial"/>
          <w:spacing w:val="-17"/>
          <w:w w:val="105"/>
          <w:sz w:val="17"/>
          <w:szCs w:val="17"/>
        </w:rPr>
        <w:t xml:space="preserve"> </w:t>
      </w:r>
      <w:r>
        <w:rPr>
          <w:rFonts w:ascii="Arial" w:hAnsi="Arial" w:cs="Arial"/>
          <w:w w:val="105"/>
          <w:sz w:val="17"/>
          <w:szCs w:val="17"/>
        </w:rPr>
        <w:t>2052-2086</w:t>
      </w:r>
    </w:p>
    <w:p w:rsidR="002C5025" w:rsidRDefault="002C5025">
      <w:pPr>
        <w:pStyle w:val="BodyText"/>
        <w:kinsoku w:val="0"/>
        <w:overflowPunct w:val="0"/>
        <w:spacing w:before="10" w:line="309" w:lineRule="auto"/>
        <w:ind w:left="631" w:right="324" w:firstLine="172"/>
        <w:rPr>
          <w:rFonts w:ascii="Arial" w:hAnsi="Arial" w:cs="Arial"/>
          <w:w w:val="105"/>
          <w:sz w:val="17"/>
          <w:szCs w:val="17"/>
        </w:rPr>
      </w:pPr>
      <w:proofErr w:type="spellStart"/>
      <w:r>
        <w:rPr>
          <w:rFonts w:ascii="Arial" w:hAnsi="Arial" w:cs="Arial"/>
          <w:w w:val="105"/>
          <w:sz w:val="17"/>
          <w:szCs w:val="17"/>
        </w:rPr>
        <w:t>Manrique</w:t>
      </w:r>
      <w:proofErr w:type="spellEnd"/>
      <w:r>
        <w:rPr>
          <w:rFonts w:ascii="Arial" w:hAnsi="Arial" w:cs="Arial"/>
          <w:w w:val="105"/>
          <w:sz w:val="17"/>
          <w:szCs w:val="17"/>
        </w:rPr>
        <w:t>-Garcia, E.,</w:t>
      </w:r>
      <w:proofErr w:type="spellStart"/>
      <w:r>
        <w:rPr>
          <w:rFonts w:ascii="Arial" w:hAnsi="Arial" w:cs="Arial"/>
          <w:w w:val="105"/>
          <w:sz w:val="17"/>
          <w:szCs w:val="17"/>
        </w:rPr>
        <w:t>Sidorchuk</w:t>
      </w:r>
      <w:proofErr w:type="spellEnd"/>
      <w:r>
        <w:rPr>
          <w:rFonts w:ascii="Arial" w:hAnsi="Arial" w:cs="Arial"/>
          <w:w w:val="105"/>
          <w:sz w:val="17"/>
          <w:szCs w:val="17"/>
        </w:rPr>
        <w:t xml:space="preserve">, A., </w:t>
      </w:r>
      <w:proofErr w:type="spellStart"/>
      <w:r>
        <w:rPr>
          <w:rFonts w:ascii="Arial" w:hAnsi="Arial" w:cs="Arial"/>
          <w:w w:val="105"/>
          <w:sz w:val="17"/>
          <w:szCs w:val="17"/>
        </w:rPr>
        <w:t>Hallqvist</w:t>
      </w:r>
      <w:proofErr w:type="spellEnd"/>
      <w:r>
        <w:rPr>
          <w:rFonts w:ascii="Arial" w:hAnsi="Arial" w:cs="Arial"/>
          <w:w w:val="105"/>
          <w:sz w:val="17"/>
          <w:szCs w:val="17"/>
        </w:rPr>
        <w:t xml:space="preserve">, </w:t>
      </w:r>
      <w:proofErr w:type="spellStart"/>
      <w:r>
        <w:rPr>
          <w:rFonts w:ascii="Arial" w:hAnsi="Arial" w:cs="Arial"/>
          <w:w w:val="105"/>
          <w:sz w:val="17"/>
          <w:szCs w:val="17"/>
        </w:rPr>
        <w:t>J.,and</w:t>
      </w:r>
      <w:proofErr w:type="spellEnd"/>
      <w:r>
        <w:rPr>
          <w:rFonts w:ascii="Arial" w:hAnsi="Arial" w:cs="Arial"/>
          <w:w w:val="105"/>
          <w:sz w:val="17"/>
          <w:szCs w:val="17"/>
        </w:rPr>
        <w:t xml:space="preserve"> </w:t>
      </w:r>
      <w:proofErr w:type="spellStart"/>
      <w:r>
        <w:rPr>
          <w:rFonts w:ascii="Arial" w:hAnsi="Arial" w:cs="Arial"/>
          <w:w w:val="105"/>
          <w:sz w:val="17"/>
          <w:szCs w:val="17"/>
        </w:rPr>
        <w:t>Moradi</w:t>
      </w:r>
      <w:proofErr w:type="spellEnd"/>
      <w:r>
        <w:rPr>
          <w:rFonts w:ascii="Arial" w:hAnsi="Arial" w:cs="Arial"/>
          <w:w w:val="105"/>
          <w:sz w:val="17"/>
          <w:szCs w:val="17"/>
        </w:rPr>
        <w:t xml:space="preserve">, T. 2010. Socioeconomic position and incidence of acute myocardial infarction: a meta-analysis. </w:t>
      </w:r>
      <w:r>
        <w:rPr>
          <w:rFonts w:ascii="Arial" w:hAnsi="Arial" w:cs="Arial"/>
          <w:i/>
          <w:iCs/>
          <w:w w:val="105"/>
          <w:sz w:val="17"/>
          <w:szCs w:val="17"/>
        </w:rPr>
        <w:t xml:space="preserve">J Epidemiology and Community Health, </w:t>
      </w:r>
      <w:r>
        <w:rPr>
          <w:rFonts w:ascii="Arial" w:hAnsi="Arial" w:cs="Arial"/>
          <w:w w:val="105"/>
          <w:sz w:val="17"/>
          <w:szCs w:val="17"/>
        </w:rPr>
        <w:t>65(4)</w:t>
      </w:r>
    </w:p>
    <w:p w:rsidR="002C5025" w:rsidRDefault="002C5025">
      <w:pPr>
        <w:pStyle w:val="BodyText"/>
        <w:kinsoku w:val="0"/>
        <w:overflowPunct w:val="0"/>
        <w:rPr>
          <w:rFonts w:ascii="Arial" w:hAnsi="Arial" w:cs="Arial"/>
          <w:sz w:val="16"/>
          <w:szCs w:val="16"/>
        </w:rPr>
      </w:pPr>
    </w:p>
    <w:p w:rsidR="002C5025" w:rsidRDefault="002C5025">
      <w:pPr>
        <w:pStyle w:val="BodyText"/>
        <w:kinsoku w:val="0"/>
        <w:overflowPunct w:val="0"/>
        <w:rPr>
          <w:rFonts w:ascii="Arial" w:hAnsi="Arial" w:cs="Arial"/>
          <w:sz w:val="16"/>
          <w:szCs w:val="16"/>
        </w:rPr>
      </w:pPr>
    </w:p>
    <w:p w:rsidR="002C5025" w:rsidRDefault="002C5025">
      <w:pPr>
        <w:pStyle w:val="BodyText"/>
        <w:kinsoku w:val="0"/>
        <w:overflowPunct w:val="0"/>
        <w:rPr>
          <w:rFonts w:ascii="Arial" w:hAnsi="Arial" w:cs="Arial"/>
          <w:sz w:val="16"/>
          <w:szCs w:val="16"/>
        </w:rPr>
      </w:pPr>
    </w:p>
    <w:p w:rsidR="002C5025" w:rsidRDefault="002C5025">
      <w:pPr>
        <w:pStyle w:val="BodyText"/>
        <w:kinsoku w:val="0"/>
        <w:overflowPunct w:val="0"/>
        <w:rPr>
          <w:rFonts w:ascii="Arial" w:hAnsi="Arial" w:cs="Arial"/>
          <w:sz w:val="16"/>
          <w:szCs w:val="16"/>
        </w:rPr>
      </w:pPr>
    </w:p>
    <w:p w:rsidR="002C5025" w:rsidRDefault="002C5025">
      <w:pPr>
        <w:pStyle w:val="BodyText"/>
        <w:kinsoku w:val="0"/>
        <w:overflowPunct w:val="0"/>
        <w:rPr>
          <w:rFonts w:ascii="Arial" w:hAnsi="Arial" w:cs="Arial"/>
          <w:sz w:val="16"/>
          <w:szCs w:val="16"/>
        </w:rPr>
      </w:pPr>
    </w:p>
    <w:p w:rsidR="002C5025" w:rsidRDefault="002C5025">
      <w:pPr>
        <w:pStyle w:val="BodyText"/>
        <w:kinsoku w:val="0"/>
        <w:overflowPunct w:val="0"/>
        <w:rPr>
          <w:rFonts w:ascii="Arial" w:hAnsi="Arial" w:cs="Arial"/>
          <w:sz w:val="16"/>
          <w:szCs w:val="16"/>
        </w:rPr>
      </w:pPr>
    </w:p>
    <w:p w:rsidR="002C5025" w:rsidRDefault="002C5025">
      <w:pPr>
        <w:pStyle w:val="BodyText"/>
        <w:kinsoku w:val="0"/>
        <w:overflowPunct w:val="0"/>
        <w:rPr>
          <w:rFonts w:ascii="Arial" w:hAnsi="Arial" w:cs="Arial"/>
          <w:sz w:val="16"/>
          <w:szCs w:val="16"/>
        </w:rPr>
      </w:pPr>
    </w:p>
    <w:p w:rsidR="002C5025" w:rsidRDefault="002C5025">
      <w:pPr>
        <w:pStyle w:val="BodyText"/>
        <w:kinsoku w:val="0"/>
        <w:overflowPunct w:val="0"/>
        <w:rPr>
          <w:rFonts w:ascii="Arial" w:hAnsi="Arial" w:cs="Arial"/>
          <w:sz w:val="16"/>
          <w:szCs w:val="16"/>
        </w:rPr>
      </w:pPr>
    </w:p>
    <w:p w:rsidR="002C5025" w:rsidRDefault="002C5025">
      <w:pPr>
        <w:pStyle w:val="BodyText"/>
        <w:kinsoku w:val="0"/>
        <w:overflowPunct w:val="0"/>
        <w:rPr>
          <w:rFonts w:ascii="Arial" w:hAnsi="Arial" w:cs="Arial"/>
          <w:sz w:val="16"/>
          <w:szCs w:val="16"/>
        </w:rPr>
      </w:pPr>
    </w:p>
    <w:p w:rsidR="002C5025" w:rsidRDefault="002C5025">
      <w:pPr>
        <w:pStyle w:val="BodyText"/>
        <w:kinsoku w:val="0"/>
        <w:overflowPunct w:val="0"/>
        <w:rPr>
          <w:rFonts w:ascii="Arial" w:hAnsi="Arial" w:cs="Arial"/>
          <w:sz w:val="16"/>
          <w:szCs w:val="16"/>
        </w:rPr>
      </w:pPr>
    </w:p>
    <w:p w:rsidR="002C5025" w:rsidRDefault="002C5025">
      <w:pPr>
        <w:pStyle w:val="BodyText"/>
        <w:kinsoku w:val="0"/>
        <w:overflowPunct w:val="0"/>
        <w:rPr>
          <w:rFonts w:ascii="Arial" w:hAnsi="Arial" w:cs="Arial"/>
          <w:sz w:val="16"/>
          <w:szCs w:val="16"/>
        </w:rPr>
      </w:pPr>
    </w:p>
    <w:p w:rsidR="002C5025" w:rsidRDefault="002C5025">
      <w:pPr>
        <w:pStyle w:val="BodyText"/>
        <w:kinsoku w:val="0"/>
        <w:overflowPunct w:val="0"/>
        <w:rPr>
          <w:rFonts w:ascii="Arial" w:hAnsi="Arial" w:cs="Arial"/>
          <w:sz w:val="16"/>
          <w:szCs w:val="16"/>
        </w:rPr>
      </w:pPr>
    </w:p>
    <w:p w:rsidR="002C5025" w:rsidRDefault="002C5025">
      <w:pPr>
        <w:pStyle w:val="BodyText"/>
        <w:kinsoku w:val="0"/>
        <w:overflowPunct w:val="0"/>
        <w:rPr>
          <w:rFonts w:ascii="Arial" w:hAnsi="Arial" w:cs="Arial"/>
          <w:sz w:val="16"/>
          <w:szCs w:val="16"/>
        </w:rPr>
      </w:pPr>
    </w:p>
    <w:p w:rsidR="002C5025" w:rsidRDefault="002C5025">
      <w:pPr>
        <w:pStyle w:val="BodyText"/>
        <w:kinsoku w:val="0"/>
        <w:overflowPunct w:val="0"/>
        <w:rPr>
          <w:rFonts w:ascii="Arial" w:hAnsi="Arial" w:cs="Arial"/>
          <w:sz w:val="16"/>
          <w:szCs w:val="16"/>
        </w:rPr>
      </w:pPr>
    </w:p>
    <w:p w:rsidR="002C5025" w:rsidRDefault="002C5025">
      <w:pPr>
        <w:pStyle w:val="BodyText"/>
        <w:kinsoku w:val="0"/>
        <w:overflowPunct w:val="0"/>
        <w:rPr>
          <w:rFonts w:ascii="Arial" w:hAnsi="Arial" w:cs="Arial"/>
          <w:sz w:val="16"/>
          <w:szCs w:val="16"/>
        </w:rPr>
      </w:pPr>
    </w:p>
    <w:p w:rsidR="002C5025" w:rsidRDefault="002C5025">
      <w:pPr>
        <w:pStyle w:val="BodyText"/>
        <w:kinsoku w:val="0"/>
        <w:overflowPunct w:val="0"/>
        <w:rPr>
          <w:rFonts w:ascii="Arial" w:hAnsi="Arial" w:cs="Arial"/>
          <w:sz w:val="16"/>
          <w:szCs w:val="16"/>
        </w:rPr>
      </w:pPr>
    </w:p>
    <w:p w:rsidR="002C5025" w:rsidRDefault="002C5025">
      <w:pPr>
        <w:pStyle w:val="BodyText"/>
        <w:kinsoku w:val="0"/>
        <w:overflowPunct w:val="0"/>
        <w:rPr>
          <w:rFonts w:ascii="Arial" w:hAnsi="Arial" w:cs="Arial"/>
          <w:sz w:val="16"/>
          <w:szCs w:val="16"/>
        </w:rPr>
      </w:pPr>
    </w:p>
    <w:p w:rsidR="002C5025" w:rsidRDefault="002C5025">
      <w:pPr>
        <w:pStyle w:val="BodyText"/>
        <w:kinsoku w:val="0"/>
        <w:overflowPunct w:val="0"/>
        <w:rPr>
          <w:rFonts w:ascii="Arial" w:hAnsi="Arial" w:cs="Arial"/>
          <w:sz w:val="16"/>
          <w:szCs w:val="16"/>
        </w:rPr>
      </w:pPr>
    </w:p>
    <w:p w:rsidR="002C5025" w:rsidRDefault="002C5025">
      <w:pPr>
        <w:pStyle w:val="BodyText"/>
        <w:kinsoku w:val="0"/>
        <w:overflowPunct w:val="0"/>
        <w:rPr>
          <w:rFonts w:ascii="Arial" w:hAnsi="Arial" w:cs="Arial"/>
          <w:sz w:val="16"/>
          <w:szCs w:val="16"/>
        </w:rPr>
      </w:pPr>
    </w:p>
    <w:p w:rsidR="002C5025" w:rsidRDefault="002C5025">
      <w:pPr>
        <w:pStyle w:val="BodyText"/>
        <w:kinsoku w:val="0"/>
        <w:overflowPunct w:val="0"/>
        <w:rPr>
          <w:rFonts w:ascii="Arial" w:hAnsi="Arial" w:cs="Arial"/>
          <w:sz w:val="16"/>
          <w:szCs w:val="16"/>
        </w:rPr>
      </w:pPr>
    </w:p>
    <w:p w:rsidR="002C5025" w:rsidRDefault="002C5025">
      <w:pPr>
        <w:pStyle w:val="BodyText"/>
        <w:kinsoku w:val="0"/>
        <w:overflowPunct w:val="0"/>
        <w:rPr>
          <w:rFonts w:ascii="Arial" w:hAnsi="Arial" w:cs="Arial"/>
          <w:sz w:val="16"/>
          <w:szCs w:val="16"/>
        </w:rPr>
      </w:pPr>
    </w:p>
    <w:p w:rsidR="002C5025" w:rsidRDefault="002C5025">
      <w:pPr>
        <w:pStyle w:val="BodyText"/>
        <w:kinsoku w:val="0"/>
        <w:overflowPunct w:val="0"/>
        <w:rPr>
          <w:rFonts w:ascii="Arial" w:hAnsi="Arial" w:cs="Arial"/>
          <w:sz w:val="16"/>
          <w:szCs w:val="16"/>
        </w:rPr>
      </w:pPr>
    </w:p>
    <w:p w:rsidR="002C5025" w:rsidRDefault="002C5025">
      <w:pPr>
        <w:pStyle w:val="BodyText"/>
        <w:kinsoku w:val="0"/>
        <w:overflowPunct w:val="0"/>
        <w:rPr>
          <w:rFonts w:ascii="Arial" w:hAnsi="Arial" w:cs="Arial"/>
          <w:sz w:val="16"/>
          <w:szCs w:val="16"/>
        </w:rPr>
      </w:pPr>
    </w:p>
    <w:p w:rsidR="002C5025" w:rsidRDefault="002C5025">
      <w:pPr>
        <w:pStyle w:val="BodyText"/>
        <w:kinsoku w:val="0"/>
        <w:overflowPunct w:val="0"/>
        <w:rPr>
          <w:rFonts w:ascii="Arial" w:hAnsi="Arial" w:cs="Arial"/>
          <w:sz w:val="16"/>
          <w:szCs w:val="16"/>
        </w:rPr>
      </w:pPr>
    </w:p>
    <w:p w:rsidR="002C5025" w:rsidRDefault="002C5025">
      <w:pPr>
        <w:pStyle w:val="BodyText"/>
        <w:kinsoku w:val="0"/>
        <w:overflowPunct w:val="0"/>
        <w:rPr>
          <w:rFonts w:ascii="Arial" w:hAnsi="Arial" w:cs="Arial"/>
          <w:sz w:val="16"/>
          <w:szCs w:val="16"/>
        </w:rPr>
      </w:pPr>
    </w:p>
    <w:p w:rsidR="002C5025" w:rsidRDefault="002C5025">
      <w:pPr>
        <w:pStyle w:val="BodyText"/>
        <w:kinsoku w:val="0"/>
        <w:overflowPunct w:val="0"/>
        <w:rPr>
          <w:rFonts w:ascii="Arial" w:hAnsi="Arial" w:cs="Arial"/>
          <w:sz w:val="16"/>
          <w:szCs w:val="16"/>
        </w:rPr>
      </w:pPr>
    </w:p>
    <w:p w:rsidR="002C5025" w:rsidRDefault="002C5025">
      <w:pPr>
        <w:pStyle w:val="BodyText"/>
        <w:kinsoku w:val="0"/>
        <w:overflowPunct w:val="0"/>
        <w:rPr>
          <w:rFonts w:ascii="Arial" w:hAnsi="Arial" w:cs="Arial"/>
          <w:sz w:val="16"/>
          <w:szCs w:val="16"/>
        </w:rPr>
      </w:pPr>
    </w:p>
    <w:p w:rsidR="002C5025" w:rsidRDefault="002C5025">
      <w:pPr>
        <w:pStyle w:val="BodyText"/>
        <w:kinsoku w:val="0"/>
        <w:overflowPunct w:val="0"/>
        <w:rPr>
          <w:rFonts w:ascii="Arial" w:hAnsi="Arial" w:cs="Arial"/>
          <w:sz w:val="16"/>
          <w:szCs w:val="16"/>
        </w:rPr>
      </w:pPr>
    </w:p>
    <w:p w:rsidR="002C5025" w:rsidRDefault="002C5025">
      <w:pPr>
        <w:pStyle w:val="BodyText"/>
        <w:kinsoku w:val="0"/>
        <w:overflowPunct w:val="0"/>
        <w:rPr>
          <w:rFonts w:ascii="Arial" w:hAnsi="Arial" w:cs="Arial"/>
          <w:sz w:val="16"/>
          <w:szCs w:val="16"/>
        </w:rPr>
      </w:pPr>
    </w:p>
    <w:p w:rsidR="002C5025" w:rsidRDefault="002C5025">
      <w:pPr>
        <w:pStyle w:val="BodyText"/>
        <w:kinsoku w:val="0"/>
        <w:overflowPunct w:val="0"/>
        <w:rPr>
          <w:rFonts w:ascii="Arial" w:hAnsi="Arial" w:cs="Arial"/>
          <w:sz w:val="16"/>
          <w:szCs w:val="16"/>
        </w:rPr>
      </w:pPr>
    </w:p>
    <w:p w:rsidR="002C5025" w:rsidRDefault="002C5025">
      <w:pPr>
        <w:pStyle w:val="BodyText"/>
        <w:kinsoku w:val="0"/>
        <w:overflowPunct w:val="0"/>
        <w:spacing w:before="1"/>
        <w:rPr>
          <w:rFonts w:ascii="Arial" w:hAnsi="Arial" w:cs="Arial"/>
          <w:sz w:val="19"/>
          <w:szCs w:val="19"/>
        </w:rPr>
      </w:pPr>
    </w:p>
    <w:p w:rsidR="002C5025" w:rsidRDefault="002C5025">
      <w:pPr>
        <w:pStyle w:val="BodyText"/>
        <w:kinsoku w:val="0"/>
        <w:overflowPunct w:val="0"/>
        <w:ind w:left="638"/>
        <w:jc w:val="both"/>
        <w:rPr>
          <w:rFonts w:ascii="Arial" w:hAnsi="Arial" w:cs="Arial"/>
          <w:w w:val="105"/>
          <w:sz w:val="17"/>
          <w:szCs w:val="17"/>
        </w:rPr>
      </w:pPr>
      <w:r>
        <w:rPr>
          <w:rFonts w:ascii="Times New Roman" w:hAnsi="Times New Roman" w:cs="Times New Roman"/>
          <w:b/>
          <w:bCs/>
          <w:w w:val="105"/>
          <w:sz w:val="21"/>
          <w:szCs w:val="21"/>
        </w:rPr>
        <w:t xml:space="preserve">12 </w:t>
      </w:r>
      <w:r>
        <w:rPr>
          <w:rFonts w:ascii="Arial" w:hAnsi="Arial" w:cs="Arial"/>
          <w:w w:val="105"/>
          <w:sz w:val="27"/>
          <w:szCs w:val="27"/>
        </w:rPr>
        <w:t xml:space="preserve">I </w:t>
      </w:r>
      <w:r>
        <w:rPr>
          <w:rFonts w:ascii="Arial" w:hAnsi="Arial" w:cs="Arial"/>
          <w:w w:val="105"/>
          <w:sz w:val="17"/>
          <w:szCs w:val="17"/>
        </w:rPr>
        <w:t>P a g e</w:t>
      </w:r>
    </w:p>
    <w:p w:rsidR="002C5025" w:rsidRDefault="002C5025">
      <w:pPr>
        <w:pStyle w:val="BodyText"/>
        <w:kinsoku w:val="0"/>
        <w:overflowPunct w:val="0"/>
        <w:ind w:left="638"/>
        <w:jc w:val="both"/>
        <w:rPr>
          <w:rFonts w:ascii="Arial" w:hAnsi="Arial" w:cs="Arial"/>
          <w:w w:val="105"/>
          <w:sz w:val="17"/>
          <w:szCs w:val="17"/>
        </w:rPr>
        <w:sectPr w:rsidR="002C5025">
          <w:pgSz w:w="12240" w:h="15840"/>
          <w:pgMar w:top="880" w:right="1360" w:bottom="280" w:left="840" w:header="720" w:footer="720" w:gutter="0"/>
          <w:cols w:space="720" w:equalWidth="0">
            <w:col w:w="10040"/>
          </w:cols>
          <w:noEndnote/>
        </w:sectPr>
      </w:pPr>
    </w:p>
    <w:p w:rsidR="002C5025" w:rsidRDefault="00FB027C">
      <w:pPr>
        <w:pStyle w:val="BodyText"/>
        <w:kinsoku w:val="0"/>
        <w:overflowPunct w:val="0"/>
        <w:spacing w:before="49"/>
        <w:ind w:left="709"/>
        <w:rPr>
          <w:rFonts w:ascii="Arial" w:hAnsi="Arial" w:cs="Arial"/>
          <w:b/>
          <w:bCs/>
          <w:i/>
          <w:iCs/>
          <w:w w:val="80"/>
          <w:sz w:val="101"/>
          <w:szCs w:val="101"/>
        </w:rPr>
      </w:pPr>
      <w:r>
        <w:rPr>
          <w:noProof/>
        </w:rPr>
        <w:lastRenderedPageBreak/>
        <mc:AlternateContent>
          <mc:Choice Requires="wps">
            <w:drawing>
              <wp:anchor distT="0" distB="0" distL="114300" distR="114300" simplePos="0" relativeHeight="251495936" behindDoc="0" locked="0" layoutInCell="0" allowOverlap="1">
                <wp:simplePos x="0" y="0"/>
                <wp:positionH relativeFrom="page">
                  <wp:posOffset>160020</wp:posOffset>
                </wp:positionH>
                <wp:positionV relativeFrom="paragraph">
                  <wp:posOffset>50165</wp:posOffset>
                </wp:positionV>
                <wp:extent cx="69215" cy="190500"/>
                <wp:effectExtent l="0" t="0" r="0" b="0"/>
                <wp:wrapNone/>
                <wp:docPr id="904"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pStyle w:val="BodyText"/>
                              <w:kinsoku w:val="0"/>
                              <w:overflowPunct w:val="0"/>
                              <w:spacing w:line="300" w:lineRule="exact"/>
                              <w:rPr>
                                <w:rFonts w:ascii="Arial" w:hAnsi="Arial" w:cs="Arial"/>
                                <w:w w:val="103"/>
                                <w:sz w:val="30"/>
                                <w:szCs w:val="30"/>
                              </w:rPr>
                            </w:pPr>
                            <w:r>
                              <w:rPr>
                                <w:rFonts w:ascii="Arial" w:hAnsi="Arial" w:cs="Arial"/>
                                <w:w w:val="103"/>
                                <w:sz w:val="30"/>
                                <w:szCs w:val="3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1" o:spid="_x0000_s1076" type="#_x0000_t202" style="position:absolute;left:0;text-align:left;margin-left:12.6pt;margin-top:3.95pt;width:5.45pt;height:15pt;z-index:251495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" o:allowincell="f" filled="f" stroked="f">
                <v:textbox inset="0,0,0,0">
                  <w:txbxContent>
                    <w:p w:rsidR="007B2B7B" w:rsidRDefault="007B2B7B">
                      <w:pPr>
                        <w:pStyle w:val="BodyText"/>
                        <w:kinsoku w:val="0"/>
                        <w:overflowPunct w:val="0"/>
                        <w:spacing w:line="300" w:lineRule="exact"/>
                        <w:rPr>
                          <w:rFonts w:ascii="Arial" w:hAnsi="Arial" w:cs="Arial"/>
                          <w:w w:val="103"/>
                          <w:sz w:val="30"/>
                          <w:szCs w:val="30"/>
                        </w:rPr>
                      </w:pPr>
                      <w:r>
                        <w:rPr>
                          <w:rFonts w:ascii="Arial" w:hAnsi="Arial" w:cs="Arial"/>
                          <w:w w:val="103"/>
                          <w:sz w:val="30"/>
                          <w:szCs w:val="30"/>
                        </w:rPr>
                        <w:t>•</w:t>
                      </w:r>
                    </w:p>
                  </w:txbxContent>
                </v:textbox>
                <w10:wrap anchorx="page"/>
              </v:shape>
            </w:pict>
          </mc:Fallback>
        </mc:AlternateContent>
      </w:r>
      <w:bookmarkStart w:id="31" w:name="ABCD_-_Letter_2"/>
      <w:bookmarkStart w:id="32" w:name="Action_for_Boston"/>
      <w:bookmarkEnd w:id="31"/>
      <w:bookmarkEnd w:id="32"/>
      <w:proofErr w:type="spellStart"/>
      <w:r w:rsidR="002C5025">
        <w:rPr>
          <w:rFonts w:ascii="Arial" w:hAnsi="Arial" w:cs="Arial"/>
          <w:b/>
          <w:bCs/>
          <w:i/>
          <w:iCs/>
          <w:w w:val="80"/>
          <w:sz w:val="101"/>
          <w:szCs w:val="101"/>
        </w:rPr>
        <w:t>abCKl</w:t>
      </w:r>
      <w:proofErr w:type="spellEnd"/>
    </w:p>
    <w:p w:rsidR="002C5025" w:rsidRDefault="002C5025">
      <w:pPr>
        <w:pStyle w:val="BodyText"/>
        <w:kinsoku w:val="0"/>
        <w:overflowPunct w:val="0"/>
        <w:rPr>
          <w:rFonts w:ascii="Arial" w:hAnsi="Arial" w:cs="Arial"/>
          <w:b/>
          <w:bCs/>
          <w:i/>
          <w:iCs/>
        </w:rPr>
      </w:pPr>
      <w:r>
        <w:rPr>
          <w:rFonts w:ascii="Times New Roman" w:hAnsi="Times New Roman" w:cs="Times New Roman"/>
          <w:sz w:val="24"/>
          <w:szCs w:val="24"/>
        </w:rPr>
        <w:br w:type="column"/>
      </w:r>
    </w:p>
    <w:p w:rsidR="002C5025" w:rsidRDefault="00FB027C">
      <w:pPr>
        <w:pStyle w:val="BodyText"/>
        <w:kinsoku w:val="0"/>
        <w:overflowPunct w:val="0"/>
        <w:spacing w:before="137"/>
        <w:ind w:left="111"/>
        <w:rPr>
          <w:rFonts w:ascii="Arial" w:hAnsi="Arial" w:cs="Arial"/>
          <w:b/>
          <w:bCs/>
          <w:sz w:val="23"/>
          <w:szCs w:val="23"/>
        </w:rPr>
      </w:pPr>
      <w:r>
        <w:rPr>
          <w:noProof/>
        </w:rPr>
        <mc:AlternateContent>
          <mc:Choice Requires="wps">
            <w:drawing>
              <wp:anchor distT="0" distB="0" distL="114300" distR="114300" simplePos="0" relativeHeight="251496960" behindDoc="0" locked="0" layoutInCell="0" allowOverlap="1">
                <wp:simplePos x="0" y="0"/>
                <wp:positionH relativeFrom="page">
                  <wp:posOffset>2271395</wp:posOffset>
                </wp:positionH>
                <wp:positionV relativeFrom="paragraph">
                  <wp:posOffset>17780</wp:posOffset>
                </wp:positionV>
                <wp:extent cx="12700" cy="484505"/>
                <wp:effectExtent l="0" t="0" r="0" b="0"/>
                <wp:wrapNone/>
                <wp:docPr id="903" name="Freeform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484505"/>
                        </a:xfrm>
                        <a:custGeom>
                          <a:avLst/>
                          <a:gdLst>
                            <a:gd name="T0" fmla="*/ 0 w 20"/>
                            <a:gd name="T1" fmla="*/ 762 h 763"/>
                            <a:gd name="T2" fmla="*/ 0 w 20"/>
                            <a:gd name="T3" fmla="*/ 0 h 763"/>
                          </a:gdLst>
                          <a:ahLst/>
                          <a:cxnLst>
                            <a:cxn ang="0">
                              <a:pos x="T0" y="T1"/>
                            </a:cxn>
                            <a:cxn ang="0">
                              <a:pos x="T2" y="T3"/>
                            </a:cxn>
                          </a:cxnLst>
                          <a:rect l="0" t="0" r="r" b="b"/>
                          <a:pathLst>
                            <a:path w="20" h="763">
                              <a:moveTo>
                                <a:pt x="0" y="762"/>
                              </a:moveTo>
                              <a:lnTo>
                                <a:pt x="0" y="0"/>
                              </a:lnTo>
                            </a:path>
                          </a:pathLst>
                        </a:custGeom>
                        <a:noFill/>
                        <a:ln w="274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22" o:spid="_x0000_s1026" style="position:absolute;z-index:251496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78.85pt,39.5pt,178.85pt,1.4pt" coordsize="20,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" o:allowincell="f" filled="f" strokeweight="2.16pt">
                <v:path arrowok="t" o:connecttype="custom" o:connectlocs="0,483870;0,0" o:connectangles="0,0"/>
                <w10:wrap anchorx="page"/>
              </v:polyline>
            </w:pict>
          </mc:Fallback>
        </mc:AlternateContent>
      </w:r>
      <w:r w:rsidR="002C5025">
        <w:rPr>
          <w:rFonts w:ascii="Arial" w:hAnsi="Arial" w:cs="Arial"/>
          <w:b/>
          <w:bCs/>
          <w:sz w:val="23"/>
          <w:szCs w:val="23"/>
        </w:rPr>
        <w:t>Action  for Boston</w:t>
      </w:r>
    </w:p>
    <w:p w:rsidR="002C5025" w:rsidRDefault="002C5025">
      <w:pPr>
        <w:pStyle w:val="BodyText"/>
        <w:kinsoku w:val="0"/>
        <w:overflowPunct w:val="0"/>
        <w:spacing w:before="40"/>
        <w:ind w:left="111"/>
        <w:rPr>
          <w:rFonts w:ascii="Arial" w:hAnsi="Arial" w:cs="Arial"/>
          <w:b/>
          <w:bCs/>
          <w:w w:val="105"/>
          <w:sz w:val="23"/>
          <w:szCs w:val="23"/>
        </w:rPr>
      </w:pPr>
      <w:r>
        <w:rPr>
          <w:rFonts w:ascii="Arial" w:hAnsi="Arial" w:cs="Arial"/>
          <w:b/>
          <w:bCs/>
          <w:w w:val="105"/>
          <w:sz w:val="23"/>
          <w:szCs w:val="23"/>
        </w:rPr>
        <w:t>Community Development; Inc.</w:t>
      </w:r>
    </w:p>
    <w:p w:rsidR="002C5025" w:rsidRDefault="002C5025">
      <w:pPr>
        <w:pStyle w:val="BodyText"/>
        <w:kinsoku w:val="0"/>
        <w:overflowPunct w:val="0"/>
        <w:spacing w:before="40"/>
        <w:ind w:left="111"/>
        <w:rPr>
          <w:rFonts w:ascii="Arial" w:hAnsi="Arial" w:cs="Arial"/>
          <w:b/>
          <w:bCs/>
          <w:w w:val="105"/>
          <w:sz w:val="23"/>
          <w:szCs w:val="23"/>
        </w:rPr>
        <w:sectPr w:rsidR="002C5025">
          <w:pgSz w:w="12240" w:h="15840"/>
          <w:pgMar w:top="640" w:right="1040" w:bottom="0" w:left="140" w:header="720" w:footer="720" w:gutter="0"/>
          <w:cols w:num="2" w:space="720" w:equalWidth="0">
            <w:col w:w="3103" w:space="437"/>
            <w:col w:w="7520"/>
          </w:cols>
          <w:noEndnote/>
        </w:sectPr>
      </w:pPr>
    </w:p>
    <w:p w:rsidR="002C5025" w:rsidRDefault="002C5025">
      <w:pPr>
        <w:pStyle w:val="BodyText"/>
        <w:kinsoku w:val="0"/>
        <w:overflowPunct w:val="0"/>
        <w:rPr>
          <w:rFonts w:ascii="Arial" w:hAnsi="Arial" w:cs="Arial"/>
          <w:b/>
          <w:bCs/>
          <w:sz w:val="20"/>
          <w:szCs w:val="20"/>
        </w:rPr>
      </w:pPr>
    </w:p>
    <w:p w:rsidR="002C5025" w:rsidRDefault="002C5025">
      <w:pPr>
        <w:pStyle w:val="BodyText"/>
        <w:kinsoku w:val="0"/>
        <w:overflowPunct w:val="0"/>
        <w:spacing w:before="6"/>
        <w:rPr>
          <w:rFonts w:ascii="Arial" w:hAnsi="Arial" w:cs="Arial"/>
          <w:b/>
          <w:bCs/>
          <w:sz w:val="21"/>
          <w:szCs w:val="21"/>
        </w:rPr>
      </w:pPr>
    </w:p>
    <w:p w:rsidR="002C5025" w:rsidRDefault="002C5025">
      <w:pPr>
        <w:pStyle w:val="BodyText"/>
        <w:kinsoku w:val="0"/>
        <w:overflowPunct w:val="0"/>
        <w:spacing w:before="72"/>
        <w:ind w:left="1326" w:right="4919"/>
        <w:rPr>
          <w:rFonts w:ascii="Times New Roman" w:hAnsi="Times New Roman" w:cs="Times New Roman"/>
          <w:w w:val="105"/>
        </w:rPr>
      </w:pPr>
      <w:r>
        <w:rPr>
          <w:rFonts w:ascii="Times New Roman" w:hAnsi="Times New Roman" w:cs="Times New Roman"/>
          <w:w w:val="105"/>
        </w:rPr>
        <w:t>July 15, 2016</w:t>
      </w: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spacing w:before="5"/>
        <w:rPr>
          <w:rFonts w:ascii="Times New Roman" w:hAnsi="Times New Roman" w:cs="Times New Roman"/>
          <w:sz w:val="25"/>
          <w:szCs w:val="25"/>
        </w:rPr>
      </w:pPr>
    </w:p>
    <w:p w:rsidR="002C5025" w:rsidRDefault="002C5025">
      <w:pPr>
        <w:pStyle w:val="BodyText"/>
        <w:kinsoku w:val="0"/>
        <w:overflowPunct w:val="0"/>
        <w:ind w:left="1319" w:right="4919"/>
        <w:rPr>
          <w:rFonts w:ascii="Times New Roman" w:hAnsi="Times New Roman" w:cs="Times New Roman"/>
          <w:w w:val="105"/>
        </w:rPr>
      </w:pPr>
      <w:r>
        <w:rPr>
          <w:rFonts w:ascii="Times New Roman" w:hAnsi="Times New Roman" w:cs="Times New Roman"/>
          <w:w w:val="105"/>
        </w:rPr>
        <w:t>Daniel Tsai</w:t>
      </w:r>
    </w:p>
    <w:p w:rsidR="002C5025" w:rsidRDefault="002C5025">
      <w:pPr>
        <w:pStyle w:val="BodyText"/>
        <w:kinsoku w:val="0"/>
        <w:overflowPunct w:val="0"/>
        <w:spacing w:before="20"/>
        <w:ind w:left="1312" w:right="4919"/>
        <w:rPr>
          <w:rFonts w:ascii="Times New Roman" w:hAnsi="Times New Roman" w:cs="Times New Roman"/>
          <w:w w:val="105"/>
        </w:rPr>
      </w:pPr>
      <w:r>
        <w:rPr>
          <w:rFonts w:ascii="Times New Roman" w:hAnsi="Times New Roman" w:cs="Times New Roman"/>
          <w:w w:val="105"/>
        </w:rPr>
        <w:t>Assistant Secretary for MassHealth</w:t>
      </w:r>
    </w:p>
    <w:p w:rsidR="002C5025" w:rsidRDefault="002C5025">
      <w:pPr>
        <w:pStyle w:val="BodyText"/>
        <w:kinsoku w:val="0"/>
        <w:overflowPunct w:val="0"/>
        <w:spacing w:before="28" w:line="252" w:lineRule="auto"/>
        <w:ind w:left="1319" w:right="4919" w:hanging="8"/>
        <w:rPr>
          <w:rFonts w:ascii="Times New Roman" w:hAnsi="Times New Roman" w:cs="Times New Roman"/>
          <w:w w:val="105"/>
        </w:rPr>
      </w:pPr>
      <w:r>
        <w:rPr>
          <w:rFonts w:ascii="Times New Roman" w:hAnsi="Times New Roman" w:cs="Times New Roman"/>
          <w:w w:val="105"/>
        </w:rPr>
        <w:t>Executive Office of Health and Human Services One Ashburton Place, 11th Floor</w:t>
      </w:r>
    </w:p>
    <w:p w:rsidR="002C5025" w:rsidRDefault="002C5025">
      <w:pPr>
        <w:pStyle w:val="BodyText"/>
        <w:kinsoku w:val="0"/>
        <w:overflowPunct w:val="0"/>
        <w:spacing w:before="20"/>
        <w:ind w:left="1312" w:right="4919"/>
        <w:rPr>
          <w:rFonts w:ascii="Times New Roman" w:hAnsi="Times New Roman" w:cs="Times New Roman"/>
          <w:w w:val="105"/>
        </w:rPr>
      </w:pPr>
      <w:r>
        <w:rPr>
          <w:rFonts w:ascii="Times New Roman" w:hAnsi="Times New Roman" w:cs="Times New Roman"/>
          <w:w w:val="105"/>
        </w:rPr>
        <w:t>Boston, MA 02108</w:t>
      </w: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spacing w:before="171"/>
        <w:ind w:left="1307" w:right="751"/>
        <w:rPr>
          <w:rFonts w:ascii="Times New Roman" w:hAnsi="Times New Roman" w:cs="Times New Roman"/>
          <w:w w:val="105"/>
        </w:rPr>
      </w:pPr>
      <w:r>
        <w:rPr>
          <w:rFonts w:ascii="Times New Roman" w:hAnsi="Times New Roman" w:cs="Times New Roman"/>
          <w:w w:val="105"/>
        </w:rPr>
        <w:t>RE: Section 1115 Demonstration Project Amendment and Extension</w:t>
      </w:r>
      <w:r>
        <w:rPr>
          <w:rFonts w:ascii="Times New Roman" w:hAnsi="Times New Roman" w:cs="Times New Roman"/>
          <w:spacing w:val="53"/>
          <w:w w:val="105"/>
        </w:rPr>
        <w:t xml:space="preserve"> </w:t>
      </w:r>
      <w:r>
        <w:rPr>
          <w:rFonts w:ascii="Times New Roman" w:hAnsi="Times New Roman" w:cs="Times New Roman"/>
          <w:w w:val="105"/>
        </w:rPr>
        <w:t>Request</w:t>
      </w: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rPr>
          <w:rFonts w:ascii="Times New Roman" w:hAnsi="Times New Roman" w:cs="Times New Roman"/>
          <w:sz w:val="25"/>
          <w:szCs w:val="25"/>
        </w:rPr>
      </w:pPr>
    </w:p>
    <w:p w:rsidR="002C5025" w:rsidRDefault="002C5025">
      <w:pPr>
        <w:pStyle w:val="BodyText"/>
        <w:kinsoku w:val="0"/>
        <w:overflowPunct w:val="0"/>
        <w:spacing w:before="1"/>
        <w:ind w:left="1300" w:right="4919"/>
        <w:rPr>
          <w:rFonts w:ascii="Times New Roman" w:hAnsi="Times New Roman" w:cs="Times New Roman"/>
          <w:w w:val="105"/>
        </w:rPr>
      </w:pPr>
      <w:r>
        <w:rPr>
          <w:rFonts w:ascii="Times New Roman" w:hAnsi="Times New Roman" w:cs="Times New Roman"/>
          <w:w w:val="105"/>
        </w:rPr>
        <w:t>Dear Assistant Secretary Tsai:</w:t>
      </w: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spacing w:before="5"/>
        <w:rPr>
          <w:rFonts w:ascii="Times New Roman" w:hAnsi="Times New Roman" w:cs="Times New Roman"/>
          <w:sz w:val="25"/>
          <w:szCs w:val="25"/>
        </w:rPr>
      </w:pPr>
    </w:p>
    <w:p w:rsidR="002C5025" w:rsidRDefault="002C5025">
      <w:pPr>
        <w:pStyle w:val="BodyText"/>
        <w:kinsoku w:val="0"/>
        <w:overflowPunct w:val="0"/>
        <w:spacing w:line="300" w:lineRule="auto"/>
        <w:ind w:left="1283" w:right="751" w:firstLine="7"/>
        <w:rPr>
          <w:rFonts w:ascii="Times New Roman" w:hAnsi="Times New Roman" w:cs="Times New Roman"/>
          <w:w w:val="105"/>
        </w:rPr>
      </w:pPr>
      <w:r>
        <w:rPr>
          <w:rFonts w:ascii="Times New Roman" w:hAnsi="Times New Roman" w:cs="Times New Roman"/>
          <w:w w:val="105"/>
        </w:rPr>
        <w:t>Action for Boston Community Development, Inc. (ABCD) supports MassHealth's submission of an 1115 DSRIP waiver proposal to the federal Center for Medicare and Medicaid Services, and offers these additional suggestions to refine the proposed  waiver, especially for those   MassHealth members being referred to health-related  social services.</w:t>
      </w: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spacing w:before="1"/>
        <w:rPr>
          <w:rFonts w:ascii="Times New Roman" w:hAnsi="Times New Roman" w:cs="Times New Roman"/>
          <w:sz w:val="27"/>
          <w:szCs w:val="27"/>
        </w:rPr>
      </w:pPr>
    </w:p>
    <w:p w:rsidR="002C5025" w:rsidRDefault="002C5025">
      <w:pPr>
        <w:pStyle w:val="BodyText"/>
        <w:kinsoku w:val="0"/>
        <w:overflowPunct w:val="0"/>
        <w:spacing w:line="297" w:lineRule="auto"/>
        <w:ind w:left="1271" w:right="751" w:firstLine="19"/>
        <w:rPr>
          <w:rFonts w:ascii="Times New Roman" w:hAnsi="Times New Roman" w:cs="Times New Roman"/>
          <w:w w:val="105"/>
        </w:rPr>
      </w:pPr>
      <w:r>
        <w:rPr>
          <w:rFonts w:ascii="Times New Roman" w:hAnsi="Times New Roman" w:cs="Times New Roman"/>
          <w:w w:val="105"/>
        </w:rPr>
        <w:t>Since its founding in 1961, ABCD has sought to be a catalyst for empowerment and opportunity, providing hands-on assistance to those in need and responding promptly to emerging  issues.</w:t>
      </w:r>
    </w:p>
    <w:p w:rsidR="002C5025" w:rsidRDefault="002C5025">
      <w:pPr>
        <w:pStyle w:val="BodyText"/>
        <w:kinsoku w:val="0"/>
        <w:overflowPunct w:val="0"/>
        <w:spacing w:before="7" w:line="302" w:lineRule="auto"/>
        <w:ind w:left="1271" w:right="751" w:firstLine="4"/>
        <w:rPr>
          <w:rFonts w:ascii="Times New Roman" w:hAnsi="Times New Roman" w:cs="Times New Roman"/>
          <w:w w:val="105"/>
        </w:rPr>
      </w:pPr>
      <w:r>
        <w:rPr>
          <w:rFonts w:ascii="Times New Roman" w:hAnsi="Times New Roman" w:cs="Times New Roman"/>
          <w:w w:val="105"/>
        </w:rPr>
        <w:t>ABCD is the anti-poverty, community action agency for Boston and, as of</w:t>
      </w:r>
      <w:r w:rsidR="005632B1">
        <w:rPr>
          <w:rFonts w:ascii="Times New Roman" w:hAnsi="Times New Roman" w:cs="Times New Roman"/>
          <w:w w:val="105"/>
        </w:rPr>
        <w:t xml:space="preserve"> </w:t>
      </w:r>
      <w:r>
        <w:rPr>
          <w:rFonts w:ascii="Times New Roman" w:hAnsi="Times New Roman" w:cs="Times New Roman"/>
          <w:w w:val="105"/>
        </w:rPr>
        <w:t>last year, for Malden, Medford and Everett too. We also reach beyond these municipalities into Newton, Brookline, Stoneham, Winchester and Woburn. Within these towns and cities, ABCD has some 40+ neighborhood locations, offering uniquely accessible services to low-income communities which are too often isolated and disenfranchised.</w:t>
      </w: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spacing w:before="1"/>
        <w:rPr>
          <w:rFonts w:ascii="Times New Roman" w:hAnsi="Times New Roman" w:cs="Times New Roman"/>
          <w:sz w:val="27"/>
          <w:szCs w:val="27"/>
        </w:rPr>
      </w:pPr>
    </w:p>
    <w:p w:rsidR="002C5025" w:rsidRDefault="002C5025">
      <w:pPr>
        <w:pStyle w:val="BodyText"/>
        <w:kinsoku w:val="0"/>
        <w:overflowPunct w:val="0"/>
        <w:spacing w:line="302" w:lineRule="auto"/>
        <w:ind w:left="1253" w:right="869" w:firstLine="8"/>
        <w:rPr>
          <w:rFonts w:ascii="Times New Roman" w:hAnsi="Times New Roman" w:cs="Times New Roman"/>
          <w:w w:val="105"/>
        </w:rPr>
      </w:pPr>
      <w:r>
        <w:rPr>
          <w:rFonts w:ascii="Times New Roman" w:hAnsi="Times New Roman" w:cs="Times New Roman"/>
          <w:w w:val="105"/>
        </w:rPr>
        <w:t>ABCD's capacity to bring about positive change impacts more than 100,000 low-income households every year in these communities; most of these households participate in  MassHealth. ABCD has developed a broad spectrum of programs to reach out to people in need and equip them with the skills they need to move forward in their lives.  These include SNAP  and other public benefits application assistance, housing services, Head Start and child care voucher assistance, elder nutrition, job training, youth career development, fuel assistance and many other</w:t>
      </w:r>
      <w:r>
        <w:rPr>
          <w:rFonts w:ascii="Times New Roman" w:hAnsi="Times New Roman" w:cs="Times New Roman"/>
          <w:spacing w:val="16"/>
          <w:w w:val="105"/>
        </w:rPr>
        <w:t xml:space="preserve"> </w:t>
      </w:r>
      <w:r>
        <w:rPr>
          <w:rFonts w:ascii="Times New Roman" w:hAnsi="Times New Roman" w:cs="Times New Roman"/>
          <w:w w:val="105"/>
        </w:rPr>
        <w:t>supports.</w:t>
      </w:r>
    </w:p>
    <w:p w:rsidR="002C5025" w:rsidRDefault="002C5025">
      <w:pPr>
        <w:pStyle w:val="BodyText"/>
        <w:kinsoku w:val="0"/>
        <w:overflowPunct w:val="0"/>
        <w:spacing w:before="132" w:line="300" w:lineRule="auto"/>
        <w:ind w:left="1254" w:right="751"/>
        <w:rPr>
          <w:rFonts w:ascii="Times New Roman" w:hAnsi="Times New Roman" w:cs="Times New Roman"/>
          <w:w w:val="105"/>
        </w:rPr>
      </w:pPr>
      <w:r>
        <w:rPr>
          <w:rFonts w:ascii="Times New Roman" w:hAnsi="Times New Roman" w:cs="Times New Roman"/>
          <w:w w:val="105"/>
        </w:rPr>
        <w:t>ABCD wishes to thank you for putting much time into listening to input from a wide range of MassHealth constituents, and for your thoughtful consideration of the way MassHealth delivers health care to the low-income residents  of our state.</w:t>
      </w:r>
    </w:p>
    <w:p w:rsidR="002C5025" w:rsidRDefault="002C5025">
      <w:pPr>
        <w:pStyle w:val="BodyText"/>
        <w:kinsoku w:val="0"/>
        <w:overflowPunct w:val="0"/>
        <w:spacing w:before="23" w:line="278" w:lineRule="auto"/>
        <w:ind w:left="659" w:right="115" w:hanging="23"/>
        <w:jc w:val="center"/>
        <w:rPr>
          <w:rFonts w:ascii="Arial" w:hAnsi="Arial" w:cs="Arial"/>
          <w:sz w:val="17"/>
          <w:szCs w:val="17"/>
        </w:rPr>
      </w:pPr>
      <w:r>
        <w:rPr>
          <w:rFonts w:ascii="Arial" w:hAnsi="Arial" w:cs="Arial"/>
          <w:sz w:val="17"/>
          <w:szCs w:val="17"/>
        </w:rPr>
        <w:t xml:space="preserve">178 </w:t>
      </w:r>
      <w:r>
        <w:rPr>
          <w:rFonts w:ascii="Arial" w:hAnsi="Arial" w:cs="Arial"/>
          <w:spacing w:val="-3"/>
          <w:sz w:val="17"/>
          <w:szCs w:val="17"/>
        </w:rPr>
        <w:t xml:space="preserve">Tremont </w:t>
      </w:r>
      <w:r>
        <w:rPr>
          <w:rFonts w:ascii="Arial" w:hAnsi="Arial" w:cs="Arial"/>
          <w:sz w:val="17"/>
          <w:szCs w:val="17"/>
        </w:rPr>
        <w:t xml:space="preserve">Street,  Boston MA 02111  </w:t>
      </w:r>
      <w:r>
        <w:rPr>
          <w:rFonts w:ascii="Arial" w:hAnsi="Arial" w:cs="Arial"/>
          <w:sz w:val="31"/>
          <w:szCs w:val="31"/>
        </w:rPr>
        <w:t xml:space="preserve">I </w:t>
      </w:r>
      <w:hyperlink r:id="rId100" w:history="1">
        <w:r>
          <w:rPr>
            <w:rFonts w:ascii="Arial" w:hAnsi="Arial" w:cs="Arial"/>
            <w:sz w:val="17"/>
            <w:szCs w:val="17"/>
            <w:u w:val="single"/>
          </w:rPr>
          <w:t>www.bostonabcd.org</w:t>
        </w:r>
      </w:hyperlink>
      <w:r>
        <w:rPr>
          <w:rFonts w:ascii="Arial" w:hAnsi="Arial" w:cs="Arial"/>
          <w:sz w:val="17"/>
          <w:szCs w:val="17"/>
          <w:u w:val="single"/>
        </w:rPr>
        <w:t xml:space="preserve">  </w:t>
      </w:r>
      <w:r>
        <w:rPr>
          <w:rFonts w:ascii="Arial" w:hAnsi="Arial" w:cs="Arial"/>
          <w:sz w:val="31"/>
          <w:szCs w:val="31"/>
        </w:rPr>
        <w:t xml:space="preserve">I </w:t>
      </w:r>
      <w:r>
        <w:rPr>
          <w:rFonts w:ascii="Times New Roman" w:hAnsi="Times New Roman" w:cs="Times New Roman"/>
          <w:b/>
          <w:bCs/>
          <w:sz w:val="19"/>
          <w:szCs w:val="19"/>
        </w:rPr>
        <w:t xml:space="preserve">P: </w:t>
      </w:r>
      <w:r>
        <w:rPr>
          <w:rFonts w:ascii="Arial" w:hAnsi="Arial" w:cs="Arial"/>
          <w:sz w:val="17"/>
          <w:szCs w:val="17"/>
        </w:rPr>
        <w:t xml:space="preserve">(617) 348-6000  </w:t>
      </w:r>
      <w:r>
        <w:rPr>
          <w:rFonts w:ascii="Arial" w:hAnsi="Arial" w:cs="Arial"/>
          <w:sz w:val="31"/>
          <w:szCs w:val="31"/>
        </w:rPr>
        <w:t xml:space="preserve">I </w:t>
      </w:r>
      <w:r>
        <w:rPr>
          <w:rFonts w:ascii="Arial" w:hAnsi="Arial" w:cs="Arial"/>
          <w:sz w:val="17"/>
          <w:szCs w:val="17"/>
        </w:rPr>
        <w:t xml:space="preserve">TTY: (617) 423-9215  </w:t>
      </w:r>
      <w:r>
        <w:rPr>
          <w:rFonts w:ascii="Arial" w:hAnsi="Arial" w:cs="Arial"/>
          <w:sz w:val="31"/>
          <w:szCs w:val="31"/>
        </w:rPr>
        <w:t xml:space="preserve">I </w:t>
      </w:r>
      <w:r>
        <w:rPr>
          <w:rFonts w:ascii="Arial" w:hAnsi="Arial" w:cs="Arial"/>
          <w:sz w:val="17"/>
          <w:szCs w:val="17"/>
        </w:rPr>
        <w:t xml:space="preserve">F: (617) 357-6041  John </w:t>
      </w:r>
      <w:r>
        <w:rPr>
          <w:rFonts w:ascii="Arial" w:hAnsi="Arial" w:cs="Arial"/>
          <w:spacing w:val="-18"/>
          <w:sz w:val="17"/>
          <w:szCs w:val="17"/>
        </w:rPr>
        <w:t xml:space="preserve">P.1rJc  </w:t>
      </w:r>
      <w:r>
        <w:rPr>
          <w:rFonts w:ascii="Arial" w:hAnsi="Arial" w:cs="Arial"/>
          <w:sz w:val="17"/>
          <w:szCs w:val="17"/>
        </w:rPr>
        <w:t>\</w:t>
      </w:r>
      <w:proofErr w:type="spellStart"/>
      <w:r>
        <w:rPr>
          <w:rFonts w:ascii="Arial" w:hAnsi="Arial" w:cs="Arial"/>
          <w:sz w:val="17"/>
          <w:szCs w:val="17"/>
        </w:rPr>
        <w:t>Jhlin</w:t>
      </w:r>
      <w:proofErr w:type="spellEnd"/>
      <w:r>
        <w:rPr>
          <w:rFonts w:ascii="Arial" w:hAnsi="Arial" w:cs="Arial"/>
          <w:sz w:val="17"/>
          <w:szCs w:val="17"/>
        </w:rPr>
        <w:t xml:space="preserve">  Chair; Yvonne Jones, First Vice Chair; Sean </w:t>
      </w:r>
      <w:proofErr w:type="spellStart"/>
      <w:r>
        <w:rPr>
          <w:rFonts w:ascii="Arial" w:hAnsi="Arial" w:cs="Arial"/>
          <w:sz w:val="17"/>
          <w:szCs w:val="17"/>
        </w:rPr>
        <w:t>Daughtry</w:t>
      </w:r>
      <w:proofErr w:type="spellEnd"/>
      <w:r>
        <w:rPr>
          <w:rFonts w:ascii="Arial" w:hAnsi="Arial" w:cs="Arial"/>
          <w:sz w:val="17"/>
          <w:szCs w:val="17"/>
        </w:rPr>
        <w:t xml:space="preserve">, Vice Chair; Marie </w:t>
      </w:r>
      <w:proofErr w:type="spellStart"/>
      <w:r>
        <w:rPr>
          <w:rFonts w:ascii="Arial" w:hAnsi="Arial" w:cs="Arial"/>
          <w:sz w:val="17"/>
          <w:szCs w:val="17"/>
        </w:rPr>
        <w:t>Greig</w:t>
      </w:r>
      <w:proofErr w:type="spellEnd"/>
      <w:r>
        <w:rPr>
          <w:rFonts w:ascii="Arial" w:hAnsi="Arial" w:cs="Arial"/>
          <w:sz w:val="17"/>
          <w:szCs w:val="17"/>
        </w:rPr>
        <w:t xml:space="preserve">, Vice Chair; Edward Katz, Vice </w:t>
      </w:r>
      <w:r>
        <w:rPr>
          <w:rFonts w:ascii="Arial" w:hAnsi="Arial" w:cs="Arial"/>
          <w:spacing w:val="18"/>
          <w:sz w:val="17"/>
          <w:szCs w:val="17"/>
        </w:rPr>
        <w:t xml:space="preserve"> </w:t>
      </w:r>
      <w:r>
        <w:rPr>
          <w:rFonts w:ascii="Arial" w:hAnsi="Arial" w:cs="Arial"/>
          <w:sz w:val="17"/>
          <w:szCs w:val="17"/>
        </w:rPr>
        <w:t>Chair;</w:t>
      </w:r>
    </w:p>
    <w:p w:rsidR="002C5025" w:rsidRDefault="002C5025">
      <w:pPr>
        <w:pStyle w:val="BodyText"/>
        <w:kinsoku w:val="0"/>
        <w:overflowPunct w:val="0"/>
        <w:spacing w:line="171" w:lineRule="exact"/>
        <w:ind w:left="836" w:right="133"/>
        <w:jc w:val="center"/>
        <w:rPr>
          <w:rFonts w:ascii="Arial" w:hAnsi="Arial" w:cs="Arial"/>
          <w:b/>
          <w:bCs/>
          <w:sz w:val="16"/>
          <w:szCs w:val="16"/>
        </w:rPr>
      </w:pPr>
      <w:r>
        <w:rPr>
          <w:rFonts w:ascii="Arial" w:hAnsi="Arial" w:cs="Arial"/>
          <w:b/>
          <w:bCs/>
          <w:sz w:val="16"/>
          <w:szCs w:val="16"/>
        </w:rPr>
        <w:t>Andres Molina, Vice Chair; Jean M. Babcock, Treasurer; Patricia Washington, Assistant Treasurer; Julia Hardy Cofield, Esq., Clerk;</w:t>
      </w:r>
    </w:p>
    <w:p w:rsidR="002C5025" w:rsidRDefault="002C5025">
      <w:pPr>
        <w:pStyle w:val="BodyText"/>
        <w:kinsoku w:val="0"/>
        <w:overflowPunct w:val="0"/>
        <w:spacing w:before="6"/>
        <w:ind w:left="841" w:right="133"/>
        <w:jc w:val="center"/>
        <w:rPr>
          <w:rFonts w:ascii="Arial" w:hAnsi="Arial" w:cs="Arial"/>
          <w:sz w:val="17"/>
          <w:szCs w:val="17"/>
        </w:rPr>
      </w:pPr>
      <w:r>
        <w:rPr>
          <w:rFonts w:ascii="Arial" w:hAnsi="Arial" w:cs="Arial"/>
          <w:sz w:val="17"/>
          <w:szCs w:val="17"/>
        </w:rPr>
        <w:t>John J. Drew, President/CEO</w:t>
      </w:r>
    </w:p>
    <w:p w:rsidR="002C5025" w:rsidRDefault="002C5025">
      <w:pPr>
        <w:pStyle w:val="BodyText"/>
        <w:kinsoku w:val="0"/>
        <w:overflowPunct w:val="0"/>
        <w:spacing w:before="6"/>
        <w:ind w:left="841" w:right="133"/>
        <w:jc w:val="center"/>
        <w:rPr>
          <w:rFonts w:ascii="Arial" w:hAnsi="Arial" w:cs="Arial"/>
          <w:sz w:val="17"/>
          <w:szCs w:val="17"/>
        </w:rPr>
        <w:sectPr w:rsidR="002C5025">
          <w:type w:val="continuous"/>
          <w:pgSz w:w="12240" w:h="15840"/>
          <w:pgMar w:top="720" w:right="1040" w:bottom="280" w:left="140" w:header="720" w:footer="720" w:gutter="0"/>
          <w:cols w:space="720" w:equalWidth="0">
            <w:col w:w="11060"/>
          </w:cols>
          <w:noEndnote/>
        </w:sect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10"/>
        <w:rPr>
          <w:rFonts w:ascii="Arial" w:hAnsi="Arial" w:cs="Arial"/>
          <w:sz w:val="19"/>
          <w:szCs w:val="19"/>
        </w:rPr>
      </w:pPr>
    </w:p>
    <w:p w:rsidR="002C5025" w:rsidRDefault="002C5025">
      <w:pPr>
        <w:pStyle w:val="BodyText"/>
        <w:kinsoku w:val="0"/>
        <w:overflowPunct w:val="0"/>
        <w:spacing w:before="71"/>
        <w:ind w:left="182" w:right="184"/>
        <w:rPr>
          <w:rFonts w:ascii="Times New Roman" w:hAnsi="Times New Roman" w:cs="Times New Roman"/>
          <w:sz w:val="23"/>
          <w:szCs w:val="23"/>
        </w:rPr>
      </w:pPr>
      <w:r>
        <w:rPr>
          <w:rFonts w:ascii="Times New Roman" w:hAnsi="Times New Roman" w:cs="Times New Roman"/>
          <w:sz w:val="23"/>
          <w:szCs w:val="23"/>
          <w:u w:val="single"/>
        </w:rPr>
        <w:t>MassHealth General M</w:t>
      </w:r>
      <w:r>
        <w:rPr>
          <w:rFonts w:ascii="Times New Roman" w:hAnsi="Times New Roman" w:cs="Times New Roman"/>
          <w:sz w:val="23"/>
          <w:szCs w:val="23"/>
        </w:rPr>
        <w:t>embership.</w:t>
      </w:r>
    </w:p>
    <w:p w:rsidR="002C5025" w:rsidRDefault="002C5025">
      <w:pPr>
        <w:pStyle w:val="BodyText"/>
        <w:kinsoku w:val="0"/>
        <w:overflowPunct w:val="0"/>
        <w:spacing w:before="172" w:line="285" w:lineRule="auto"/>
        <w:ind w:left="160" w:right="184" w:firstLine="21"/>
        <w:rPr>
          <w:rFonts w:ascii="Times New Roman" w:hAnsi="Times New Roman" w:cs="Times New Roman"/>
          <w:sz w:val="23"/>
          <w:szCs w:val="23"/>
        </w:rPr>
      </w:pPr>
      <w:r>
        <w:rPr>
          <w:rFonts w:ascii="Times New Roman" w:hAnsi="Times New Roman" w:cs="Times New Roman"/>
          <w:sz w:val="23"/>
          <w:szCs w:val="23"/>
        </w:rPr>
        <w:t xml:space="preserve">MassHealth has thoughtfully addressed ways in which a redesign can meet the needs of people with chronic diseases and those needing long term services and supports. This is good and welcome. ABCD would ask that the final waiver proposal also explicitly address the responsiveness of the redesign to the needs of all members. Specifically, we would ask that Accountable Care Organizations (ACOs) be required to permit social service referrals for </w:t>
      </w:r>
      <w:r>
        <w:rPr>
          <w:rFonts w:ascii="Times New Roman" w:hAnsi="Times New Roman" w:cs="Times New Roman"/>
          <w:i/>
          <w:iCs/>
          <w:sz w:val="24"/>
          <w:szCs w:val="24"/>
        </w:rPr>
        <w:t xml:space="preserve">all </w:t>
      </w:r>
      <w:r>
        <w:rPr>
          <w:rFonts w:ascii="Times New Roman" w:hAnsi="Times New Roman" w:cs="Times New Roman"/>
          <w:sz w:val="23"/>
          <w:szCs w:val="23"/>
        </w:rPr>
        <w:t>members. A healthcare provider should not be prevented from referring a family to fuel assistance or other services simply because the member does not have a qualifying "disease" other than poverty and need.</w:t>
      </w: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spacing w:before="2"/>
        <w:rPr>
          <w:rFonts w:ascii="Times New Roman" w:hAnsi="Times New Roman" w:cs="Times New Roman"/>
          <w:sz w:val="27"/>
          <w:szCs w:val="27"/>
        </w:rPr>
      </w:pPr>
    </w:p>
    <w:p w:rsidR="002C5025" w:rsidRDefault="002C5025">
      <w:pPr>
        <w:pStyle w:val="BodyText"/>
        <w:kinsoku w:val="0"/>
        <w:overflowPunct w:val="0"/>
        <w:ind w:left="168" w:right="184"/>
        <w:rPr>
          <w:rFonts w:ascii="Times New Roman" w:hAnsi="Times New Roman" w:cs="Times New Roman"/>
          <w:sz w:val="23"/>
          <w:szCs w:val="23"/>
        </w:rPr>
      </w:pPr>
      <w:r>
        <w:rPr>
          <w:rFonts w:ascii="Times New Roman" w:hAnsi="Times New Roman" w:cs="Times New Roman"/>
          <w:sz w:val="23"/>
          <w:szCs w:val="23"/>
          <w:u w:val="single"/>
        </w:rPr>
        <w:t>SDOH Service H</w:t>
      </w:r>
      <w:r>
        <w:rPr>
          <w:rFonts w:ascii="Times New Roman" w:hAnsi="Times New Roman" w:cs="Times New Roman"/>
          <w:sz w:val="23"/>
          <w:szCs w:val="23"/>
        </w:rPr>
        <w:t>ub.</w:t>
      </w:r>
    </w:p>
    <w:p w:rsidR="002C5025" w:rsidRDefault="002C5025">
      <w:pPr>
        <w:pStyle w:val="BodyText"/>
        <w:kinsoku w:val="0"/>
        <w:overflowPunct w:val="0"/>
        <w:spacing w:before="172" w:line="288" w:lineRule="auto"/>
        <w:ind w:left="139" w:right="184" w:firstLine="14"/>
        <w:rPr>
          <w:rFonts w:ascii="Times New Roman" w:hAnsi="Times New Roman" w:cs="Times New Roman"/>
          <w:sz w:val="23"/>
          <w:szCs w:val="23"/>
        </w:rPr>
      </w:pPr>
      <w:r>
        <w:rPr>
          <w:rFonts w:ascii="Times New Roman" w:hAnsi="Times New Roman" w:cs="Times New Roman"/>
          <w:sz w:val="23"/>
          <w:szCs w:val="23"/>
        </w:rPr>
        <w:t>ABCD and our many social service partners welcome the recognition by MassHealth of the key role social services play in helping low-income people maintain and regain their health. ABCD believes the redesigned MassHealth healthcare delivery system needs a central nexus, a Hub where ACOs and Social Service organizations can meet. ABCD and its partners have collaborated to develop a Social Determinants of Health Service Hub model we propose be adopted by Massachusetts as the mechanism for connecting patients to social services. Such a Service Hub can offer a single point of coordinated access to a wide range of social services for all MassHealth populations and reduce the costs of care.</w:t>
      </w: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spacing w:before="1"/>
        <w:rPr>
          <w:rFonts w:ascii="Times New Roman" w:hAnsi="Times New Roman" w:cs="Times New Roman"/>
          <w:sz w:val="27"/>
          <w:szCs w:val="27"/>
        </w:rPr>
      </w:pPr>
    </w:p>
    <w:p w:rsidR="002C5025" w:rsidRDefault="002C5025">
      <w:pPr>
        <w:pStyle w:val="BodyText"/>
        <w:kinsoku w:val="0"/>
        <w:overflowPunct w:val="0"/>
        <w:spacing w:before="1" w:line="288" w:lineRule="auto"/>
        <w:ind w:left="124" w:right="233" w:firstLine="7"/>
        <w:rPr>
          <w:rFonts w:ascii="Times New Roman" w:hAnsi="Times New Roman" w:cs="Times New Roman"/>
          <w:sz w:val="23"/>
          <w:szCs w:val="23"/>
        </w:rPr>
      </w:pPr>
      <w:r>
        <w:rPr>
          <w:rFonts w:ascii="Times New Roman" w:hAnsi="Times New Roman" w:cs="Times New Roman"/>
          <w:sz w:val="23"/>
          <w:szCs w:val="23"/>
        </w:rPr>
        <w:t xml:space="preserve">A Hub would work with multiple  ACOs to bridge medical  and social service  systems-   providing culturally and linguistically competent services, engaging multiple (often small) social services agencies, and providing access to medically beneficial, outcome-informed programs </w:t>
      </w:r>
      <w:r>
        <w:rPr>
          <w:rFonts w:ascii="Arial" w:hAnsi="Arial" w:cs="Arial"/>
          <w:sz w:val="23"/>
          <w:szCs w:val="23"/>
        </w:rPr>
        <w:t xml:space="preserve">in </w:t>
      </w:r>
      <w:r>
        <w:rPr>
          <w:rFonts w:ascii="Times New Roman" w:hAnsi="Times New Roman" w:cs="Times New Roman"/>
          <w:sz w:val="23"/>
          <w:szCs w:val="23"/>
        </w:rPr>
        <w:t xml:space="preserve">each geographic region. The Hub manager would hold contracts with ACOs and subcontract   with local nonprofit service providers. The SDOH Hub thus permits </w:t>
      </w:r>
      <w:r>
        <w:rPr>
          <w:rFonts w:ascii="Times New Roman" w:hAnsi="Times New Roman" w:cs="Times New Roman"/>
          <w:spacing w:val="-6"/>
          <w:sz w:val="23"/>
          <w:szCs w:val="23"/>
        </w:rPr>
        <w:t xml:space="preserve">"one </w:t>
      </w:r>
      <w:r>
        <w:rPr>
          <w:rFonts w:ascii="Times New Roman" w:hAnsi="Times New Roman" w:cs="Times New Roman"/>
          <w:sz w:val="23"/>
          <w:szCs w:val="23"/>
        </w:rPr>
        <w:t>stop social service shopping" on part of the ACO and its MassHealth patients.[ABCD and its regional/statewide service delivery organizational partners have submitted, under separate cover, an SDOH Service Hub concept</w:t>
      </w:r>
      <w:r>
        <w:rPr>
          <w:rFonts w:ascii="Times New Roman" w:hAnsi="Times New Roman" w:cs="Times New Roman"/>
          <w:spacing w:val="13"/>
          <w:sz w:val="23"/>
          <w:szCs w:val="23"/>
        </w:rPr>
        <w:t xml:space="preserve"> </w:t>
      </w:r>
      <w:r>
        <w:rPr>
          <w:rFonts w:ascii="Times New Roman" w:hAnsi="Times New Roman" w:cs="Times New Roman"/>
          <w:sz w:val="23"/>
          <w:szCs w:val="23"/>
        </w:rPr>
        <w:t>proposal.]</w:t>
      </w: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spacing w:before="11"/>
        <w:rPr>
          <w:rFonts w:ascii="Times New Roman" w:hAnsi="Times New Roman" w:cs="Times New Roman"/>
          <w:sz w:val="26"/>
          <w:szCs w:val="26"/>
        </w:rPr>
      </w:pPr>
    </w:p>
    <w:p w:rsidR="002C5025" w:rsidRDefault="002C5025">
      <w:pPr>
        <w:pStyle w:val="BodyText"/>
        <w:kinsoku w:val="0"/>
        <w:overflowPunct w:val="0"/>
        <w:ind w:left="124" w:right="184"/>
        <w:rPr>
          <w:rFonts w:ascii="Times New Roman" w:hAnsi="Times New Roman" w:cs="Times New Roman"/>
          <w:sz w:val="23"/>
          <w:szCs w:val="23"/>
        </w:rPr>
      </w:pPr>
      <w:r>
        <w:rPr>
          <w:rFonts w:ascii="Times New Roman" w:hAnsi="Times New Roman" w:cs="Times New Roman"/>
          <w:sz w:val="23"/>
          <w:szCs w:val="23"/>
          <w:u w:val="thick"/>
        </w:rPr>
        <w:t>Demonstrating Cost Effectiveness  of Social S</w:t>
      </w:r>
      <w:r>
        <w:rPr>
          <w:rFonts w:ascii="Times New Roman" w:hAnsi="Times New Roman" w:cs="Times New Roman"/>
          <w:sz w:val="23"/>
          <w:szCs w:val="23"/>
        </w:rPr>
        <w:t>ervices.</w:t>
      </w:r>
    </w:p>
    <w:p w:rsidR="002C5025" w:rsidRDefault="002C5025">
      <w:pPr>
        <w:pStyle w:val="BodyText"/>
        <w:kinsoku w:val="0"/>
        <w:overflowPunct w:val="0"/>
        <w:spacing w:before="172" w:line="288" w:lineRule="auto"/>
        <w:ind w:left="117" w:right="184" w:firstLine="7"/>
        <w:rPr>
          <w:rFonts w:ascii="Times New Roman" w:hAnsi="Times New Roman" w:cs="Times New Roman"/>
          <w:sz w:val="23"/>
          <w:szCs w:val="23"/>
        </w:rPr>
      </w:pPr>
      <w:r>
        <w:rPr>
          <w:rFonts w:ascii="Times New Roman" w:hAnsi="Times New Roman" w:cs="Times New Roman"/>
          <w:sz w:val="23"/>
          <w:szCs w:val="23"/>
        </w:rPr>
        <w:t>While a select set of specific social service interventions, including some housing and nutrition studies, have received the imprimatur of "Evidence-Based Best Practices," many interventions have been less rigorously studied, yet demonstrate well-documented outcomes and long-standing recognition as effective, value-based programs. ABCD joins many other organizations and coalitions in urging MassHealth to make certain the social service referrals it permits are not artificially limited.</w:t>
      </w:r>
    </w:p>
    <w:p w:rsidR="002C5025" w:rsidRDefault="002C5025">
      <w:pPr>
        <w:pStyle w:val="BodyText"/>
        <w:kinsoku w:val="0"/>
        <w:overflowPunct w:val="0"/>
        <w:spacing w:before="9"/>
        <w:rPr>
          <w:rFonts w:ascii="Times New Roman" w:hAnsi="Times New Roman" w:cs="Times New Roman"/>
          <w:sz w:val="20"/>
          <w:szCs w:val="20"/>
        </w:rPr>
      </w:pPr>
    </w:p>
    <w:p w:rsidR="002C5025" w:rsidRDefault="002C5025">
      <w:pPr>
        <w:pStyle w:val="ListParagraph"/>
        <w:numPr>
          <w:ilvl w:val="0"/>
          <w:numId w:val="91"/>
        </w:numPr>
        <w:tabs>
          <w:tab w:val="left" w:pos="286"/>
        </w:tabs>
        <w:kinsoku w:val="0"/>
        <w:overflowPunct w:val="0"/>
        <w:rPr>
          <w:rFonts w:ascii="Arial" w:hAnsi="Arial" w:cs="Arial"/>
          <w:sz w:val="19"/>
          <w:szCs w:val="19"/>
        </w:rPr>
      </w:pPr>
      <w:r>
        <w:rPr>
          <w:rFonts w:ascii="Arial" w:hAnsi="Arial" w:cs="Arial"/>
          <w:sz w:val="19"/>
          <w:szCs w:val="19"/>
        </w:rPr>
        <w:t>1 P a g</w:t>
      </w:r>
      <w:r>
        <w:rPr>
          <w:rFonts w:ascii="Arial" w:hAnsi="Arial" w:cs="Arial"/>
          <w:spacing w:val="-40"/>
          <w:sz w:val="19"/>
          <w:szCs w:val="19"/>
        </w:rPr>
        <w:t xml:space="preserve"> </w:t>
      </w:r>
      <w:r>
        <w:rPr>
          <w:rFonts w:ascii="Arial" w:hAnsi="Arial" w:cs="Arial"/>
          <w:sz w:val="19"/>
          <w:szCs w:val="19"/>
        </w:rPr>
        <w:t>e</w:t>
      </w:r>
    </w:p>
    <w:p w:rsidR="002C5025" w:rsidRDefault="002C5025">
      <w:pPr>
        <w:pStyle w:val="ListParagraph"/>
        <w:numPr>
          <w:ilvl w:val="0"/>
          <w:numId w:val="91"/>
        </w:numPr>
        <w:tabs>
          <w:tab w:val="left" w:pos="286"/>
        </w:tabs>
        <w:kinsoku w:val="0"/>
        <w:overflowPunct w:val="0"/>
        <w:rPr>
          <w:rFonts w:ascii="Arial" w:hAnsi="Arial" w:cs="Arial"/>
          <w:sz w:val="19"/>
          <w:szCs w:val="19"/>
        </w:rPr>
        <w:sectPr w:rsidR="002C5025">
          <w:pgSz w:w="12240" w:h="15840"/>
          <w:pgMar w:top="1500" w:right="1500" w:bottom="280" w:left="1440" w:header="720" w:footer="720" w:gutter="0"/>
          <w:cols w:space="720" w:equalWidth="0">
            <w:col w:w="9300"/>
          </w:cols>
          <w:noEndnote/>
        </w:sectPr>
      </w:pPr>
    </w:p>
    <w:p w:rsidR="002C5025" w:rsidRDefault="002C5025">
      <w:pPr>
        <w:pStyle w:val="BodyText"/>
        <w:kinsoku w:val="0"/>
        <w:overflowPunct w:val="0"/>
        <w:spacing w:before="123" w:line="288" w:lineRule="auto"/>
        <w:ind w:left="151" w:right="197" w:firstLine="7"/>
        <w:rPr>
          <w:rFonts w:ascii="Times New Roman" w:hAnsi="Times New Roman" w:cs="Times New Roman"/>
          <w:sz w:val="23"/>
          <w:szCs w:val="23"/>
        </w:rPr>
      </w:pPr>
      <w:r>
        <w:rPr>
          <w:rFonts w:ascii="Times New Roman" w:hAnsi="Times New Roman" w:cs="Times New Roman"/>
          <w:sz w:val="23"/>
          <w:szCs w:val="23"/>
        </w:rPr>
        <w:lastRenderedPageBreak/>
        <w:t>In general, we urge you to conceptualize social services broadly. Childcare and Head Start, (free) tax preparation, programs which counter social isolation (such as Foster Grandparents) and other services should be as much part of a toolkit of referrals as housing, nutrition and utility supports. Similarly, MassHealth members may be eligible but unaware that they qualify for many existing social services.</w:t>
      </w: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spacing w:before="1"/>
        <w:rPr>
          <w:rFonts w:ascii="Times New Roman" w:hAnsi="Times New Roman" w:cs="Times New Roman"/>
          <w:sz w:val="27"/>
          <w:szCs w:val="27"/>
        </w:rPr>
      </w:pPr>
    </w:p>
    <w:p w:rsidR="002C5025" w:rsidRDefault="002C5025">
      <w:pPr>
        <w:pStyle w:val="BodyText"/>
        <w:kinsoku w:val="0"/>
        <w:overflowPunct w:val="0"/>
        <w:spacing w:before="1"/>
        <w:ind w:left="151" w:right="197"/>
        <w:rPr>
          <w:rFonts w:ascii="Times New Roman" w:hAnsi="Times New Roman" w:cs="Times New Roman"/>
          <w:sz w:val="23"/>
          <w:szCs w:val="23"/>
        </w:rPr>
      </w:pPr>
      <w:r>
        <w:rPr>
          <w:rFonts w:ascii="Times New Roman" w:hAnsi="Times New Roman" w:cs="Times New Roman"/>
          <w:sz w:val="23"/>
          <w:szCs w:val="23"/>
          <w:u w:val="single"/>
        </w:rPr>
        <w:t>C</w:t>
      </w:r>
      <w:r>
        <w:rPr>
          <w:rFonts w:ascii="Times New Roman" w:hAnsi="Times New Roman" w:cs="Times New Roman"/>
          <w:sz w:val="23"/>
          <w:szCs w:val="23"/>
        </w:rPr>
        <w:t xml:space="preserve">ommunity </w:t>
      </w:r>
      <w:r>
        <w:rPr>
          <w:rFonts w:ascii="Times New Roman" w:hAnsi="Times New Roman" w:cs="Times New Roman"/>
          <w:sz w:val="23"/>
          <w:szCs w:val="23"/>
          <w:u w:val="single"/>
        </w:rPr>
        <w:t>Health W</w:t>
      </w:r>
      <w:r>
        <w:rPr>
          <w:rFonts w:ascii="Times New Roman" w:hAnsi="Times New Roman" w:cs="Times New Roman"/>
          <w:sz w:val="23"/>
          <w:szCs w:val="23"/>
        </w:rPr>
        <w:t>orkers.</w:t>
      </w:r>
    </w:p>
    <w:p w:rsidR="002C5025" w:rsidRDefault="002C5025">
      <w:pPr>
        <w:pStyle w:val="BodyText"/>
        <w:kinsoku w:val="0"/>
        <w:overflowPunct w:val="0"/>
        <w:spacing w:before="172" w:line="285" w:lineRule="auto"/>
        <w:ind w:left="144" w:right="197"/>
        <w:rPr>
          <w:rFonts w:ascii="Times New Roman" w:hAnsi="Times New Roman" w:cs="Times New Roman"/>
          <w:sz w:val="23"/>
          <w:szCs w:val="23"/>
        </w:rPr>
      </w:pPr>
      <w:r>
        <w:rPr>
          <w:rFonts w:ascii="Times New Roman" w:hAnsi="Times New Roman" w:cs="Times New Roman"/>
          <w:sz w:val="23"/>
          <w:szCs w:val="23"/>
        </w:rPr>
        <w:t>ABCD applauds MassHealth's inclusion of Community Health Workers (CHWs) in its waiver. They are one of the most cost effective means by which ACOs can work with individuals and families, and should be integrated with members'  Interdisciplinary  Care Teams.</w:t>
      </w:r>
    </w:p>
    <w:p w:rsidR="002C5025" w:rsidRDefault="002C5025">
      <w:pPr>
        <w:pStyle w:val="BodyText"/>
        <w:kinsoku w:val="0"/>
        <w:overflowPunct w:val="0"/>
        <w:spacing w:before="131" w:line="288" w:lineRule="auto"/>
        <w:ind w:left="130" w:right="399" w:firstLine="7"/>
        <w:rPr>
          <w:rFonts w:ascii="Times New Roman" w:hAnsi="Times New Roman" w:cs="Times New Roman"/>
          <w:sz w:val="23"/>
          <w:szCs w:val="23"/>
        </w:rPr>
      </w:pPr>
      <w:r>
        <w:rPr>
          <w:rFonts w:ascii="Times New Roman" w:hAnsi="Times New Roman" w:cs="Times New Roman"/>
          <w:sz w:val="23"/>
          <w:szCs w:val="23"/>
        </w:rPr>
        <w:t>In addition, many social services agencies and programs, such as ABCD's health services and neighborhood-based programs, employ community health workers for their unique ability to reach specific, often marginalized populations, explain complex social and health issues, and assist in navigating social and health care systems. MassHealth should explicitly recognize the value and service-delivery effectiveness of CHWs in community-based   settings.</w:t>
      </w: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spacing w:before="1"/>
        <w:rPr>
          <w:rFonts w:ascii="Times New Roman" w:hAnsi="Times New Roman" w:cs="Times New Roman"/>
          <w:sz w:val="27"/>
          <w:szCs w:val="27"/>
        </w:rPr>
      </w:pPr>
    </w:p>
    <w:p w:rsidR="002C5025" w:rsidRDefault="002C5025">
      <w:pPr>
        <w:pStyle w:val="BodyText"/>
        <w:kinsoku w:val="0"/>
        <w:overflowPunct w:val="0"/>
        <w:spacing w:before="1"/>
        <w:ind w:left="130" w:right="197"/>
        <w:rPr>
          <w:rFonts w:ascii="Times New Roman" w:hAnsi="Times New Roman" w:cs="Times New Roman"/>
          <w:sz w:val="23"/>
          <w:szCs w:val="23"/>
        </w:rPr>
      </w:pPr>
      <w:r>
        <w:rPr>
          <w:rFonts w:ascii="Times New Roman" w:hAnsi="Times New Roman" w:cs="Times New Roman"/>
          <w:sz w:val="23"/>
          <w:szCs w:val="23"/>
          <w:u w:val="single"/>
        </w:rPr>
        <w:t>Fuel A</w:t>
      </w:r>
      <w:r>
        <w:rPr>
          <w:rFonts w:ascii="Times New Roman" w:hAnsi="Times New Roman" w:cs="Times New Roman"/>
          <w:sz w:val="23"/>
          <w:szCs w:val="23"/>
        </w:rPr>
        <w:t>ssistance.</w:t>
      </w:r>
    </w:p>
    <w:p w:rsidR="002C5025" w:rsidRDefault="002C5025">
      <w:pPr>
        <w:pStyle w:val="BodyText"/>
        <w:kinsoku w:val="0"/>
        <w:overflowPunct w:val="0"/>
        <w:spacing w:before="174" w:line="288" w:lineRule="auto"/>
        <w:ind w:left="122" w:right="197" w:firstLine="7"/>
        <w:rPr>
          <w:rFonts w:ascii="Times New Roman" w:hAnsi="Times New Roman" w:cs="Times New Roman"/>
          <w:w w:val="105"/>
          <w:sz w:val="23"/>
          <w:szCs w:val="23"/>
        </w:rPr>
      </w:pPr>
      <w:r>
        <w:rPr>
          <w:rFonts w:ascii="Times New Roman" w:hAnsi="Times New Roman" w:cs="Times New Roman"/>
          <w:spacing w:val="2"/>
          <w:w w:val="105"/>
          <w:sz w:val="23"/>
          <w:szCs w:val="23"/>
        </w:rPr>
        <w:t>ABCD</w:t>
      </w:r>
      <w:r>
        <w:rPr>
          <w:rFonts w:ascii="Times New Roman" w:hAnsi="Times New Roman" w:cs="Times New Roman"/>
          <w:spacing w:val="-23"/>
          <w:w w:val="105"/>
          <w:sz w:val="23"/>
          <w:szCs w:val="23"/>
        </w:rPr>
        <w:t xml:space="preserve"> </w:t>
      </w:r>
      <w:r>
        <w:rPr>
          <w:rFonts w:ascii="Times New Roman" w:hAnsi="Times New Roman" w:cs="Times New Roman"/>
          <w:w w:val="105"/>
          <w:sz w:val="23"/>
          <w:szCs w:val="23"/>
        </w:rPr>
        <w:t>is</w:t>
      </w:r>
      <w:r>
        <w:rPr>
          <w:rFonts w:ascii="Times New Roman" w:hAnsi="Times New Roman" w:cs="Times New Roman"/>
          <w:spacing w:val="-33"/>
          <w:w w:val="105"/>
          <w:sz w:val="23"/>
          <w:szCs w:val="23"/>
        </w:rPr>
        <w:t xml:space="preserve"> </w:t>
      </w:r>
      <w:r>
        <w:rPr>
          <w:rFonts w:ascii="Times New Roman" w:hAnsi="Times New Roman" w:cs="Times New Roman"/>
          <w:w w:val="105"/>
          <w:sz w:val="23"/>
          <w:szCs w:val="23"/>
        </w:rPr>
        <w:t>particularly</w:t>
      </w:r>
      <w:r>
        <w:rPr>
          <w:rFonts w:ascii="Times New Roman" w:hAnsi="Times New Roman" w:cs="Times New Roman"/>
          <w:spacing w:val="-18"/>
          <w:w w:val="105"/>
          <w:sz w:val="23"/>
          <w:szCs w:val="23"/>
        </w:rPr>
        <w:t xml:space="preserve"> </w:t>
      </w:r>
      <w:r>
        <w:rPr>
          <w:rFonts w:ascii="Times New Roman" w:hAnsi="Times New Roman" w:cs="Times New Roman"/>
          <w:w w:val="105"/>
          <w:sz w:val="23"/>
          <w:szCs w:val="23"/>
        </w:rPr>
        <w:t>pleased</w:t>
      </w:r>
      <w:r>
        <w:rPr>
          <w:rFonts w:ascii="Times New Roman" w:hAnsi="Times New Roman" w:cs="Times New Roman"/>
          <w:spacing w:val="-21"/>
          <w:w w:val="105"/>
          <w:sz w:val="23"/>
          <w:szCs w:val="23"/>
        </w:rPr>
        <w:t xml:space="preserve"> </w:t>
      </w:r>
      <w:r>
        <w:rPr>
          <w:rFonts w:ascii="Times New Roman" w:hAnsi="Times New Roman" w:cs="Times New Roman"/>
          <w:w w:val="105"/>
          <w:sz w:val="23"/>
          <w:szCs w:val="23"/>
        </w:rPr>
        <w:t>that</w:t>
      </w:r>
      <w:r>
        <w:rPr>
          <w:rFonts w:ascii="Times New Roman" w:hAnsi="Times New Roman" w:cs="Times New Roman"/>
          <w:spacing w:val="-23"/>
          <w:w w:val="105"/>
          <w:sz w:val="23"/>
          <w:szCs w:val="23"/>
        </w:rPr>
        <w:t xml:space="preserve"> </w:t>
      </w:r>
      <w:r>
        <w:rPr>
          <w:rFonts w:ascii="Times New Roman" w:hAnsi="Times New Roman" w:cs="Times New Roman"/>
          <w:w w:val="105"/>
          <w:sz w:val="23"/>
          <w:szCs w:val="23"/>
        </w:rPr>
        <w:t>MassHealth</w:t>
      </w:r>
      <w:r>
        <w:rPr>
          <w:rFonts w:ascii="Times New Roman" w:hAnsi="Times New Roman" w:cs="Times New Roman"/>
          <w:spacing w:val="-21"/>
          <w:w w:val="105"/>
          <w:sz w:val="23"/>
          <w:szCs w:val="23"/>
        </w:rPr>
        <w:t xml:space="preserve"> </w:t>
      </w:r>
      <w:r>
        <w:rPr>
          <w:rFonts w:ascii="Times New Roman" w:hAnsi="Times New Roman" w:cs="Times New Roman"/>
          <w:w w:val="105"/>
          <w:sz w:val="23"/>
          <w:szCs w:val="23"/>
        </w:rPr>
        <w:t>recognizes</w:t>
      </w:r>
      <w:r>
        <w:rPr>
          <w:rFonts w:ascii="Times New Roman" w:hAnsi="Times New Roman" w:cs="Times New Roman"/>
          <w:spacing w:val="-21"/>
          <w:w w:val="105"/>
          <w:sz w:val="23"/>
          <w:szCs w:val="23"/>
        </w:rPr>
        <w:t xml:space="preserve"> </w:t>
      </w:r>
      <w:r>
        <w:rPr>
          <w:rFonts w:ascii="Times New Roman" w:hAnsi="Times New Roman" w:cs="Times New Roman"/>
          <w:w w:val="105"/>
          <w:sz w:val="23"/>
          <w:szCs w:val="23"/>
        </w:rPr>
        <w:t>the</w:t>
      </w:r>
      <w:r>
        <w:rPr>
          <w:rFonts w:ascii="Times New Roman" w:hAnsi="Times New Roman" w:cs="Times New Roman"/>
          <w:spacing w:val="-26"/>
          <w:w w:val="105"/>
          <w:sz w:val="23"/>
          <w:szCs w:val="23"/>
        </w:rPr>
        <w:t xml:space="preserve"> </w:t>
      </w:r>
      <w:r>
        <w:rPr>
          <w:rFonts w:ascii="Times New Roman" w:hAnsi="Times New Roman" w:cs="Times New Roman"/>
          <w:w w:val="105"/>
          <w:sz w:val="23"/>
          <w:szCs w:val="23"/>
        </w:rPr>
        <w:t>value</w:t>
      </w:r>
      <w:r>
        <w:rPr>
          <w:rFonts w:ascii="Times New Roman" w:hAnsi="Times New Roman" w:cs="Times New Roman"/>
          <w:spacing w:val="-29"/>
          <w:w w:val="105"/>
          <w:sz w:val="23"/>
          <w:szCs w:val="23"/>
        </w:rPr>
        <w:t xml:space="preserve"> </w:t>
      </w:r>
      <w:r>
        <w:rPr>
          <w:rFonts w:ascii="Times New Roman" w:hAnsi="Times New Roman" w:cs="Times New Roman"/>
          <w:w w:val="105"/>
          <w:sz w:val="23"/>
          <w:szCs w:val="23"/>
        </w:rPr>
        <w:t>of</w:t>
      </w:r>
      <w:r>
        <w:rPr>
          <w:rFonts w:ascii="Times New Roman" w:hAnsi="Times New Roman" w:cs="Times New Roman"/>
          <w:spacing w:val="-29"/>
          <w:w w:val="105"/>
          <w:sz w:val="23"/>
          <w:szCs w:val="23"/>
        </w:rPr>
        <w:t xml:space="preserve"> </w:t>
      </w:r>
      <w:r>
        <w:rPr>
          <w:rFonts w:ascii="Times New Roman" w:hAnsi="Times New Roman" w:cs="Times New Roman"/>
          <w:w w:val="105"/>
          <w:sz w:val="23"/>
          <w:szCs w:val="23"/>
        </w:rPr>
        <w:t>connecting</w:t>
      </w:r>
      <w:r>
        <w:rPr>
          <w:rFonts w:ascii="Times New Roman" w:hAnsi="Times New Roman" w:cs="Times New Roman"/>
          <w:spacing w:val="-21"/>
          <w:w w:val="105"/>
          <w:sz w:val="23"/>
          <w:szCs w:val="23"/>
        </w:rPr>
        <w:t xml:space="preserve"> </w:t>
      </w:r>
      <w:r>
        <w:rPr>
          <w:rFonts w:ascii="Times New Roman" w:hAnsi="Times New Roman" w:cs="Times New Roman"/>
          <w:w w:val="105"/>
          <w:sz w:val="23"/>
          <w:szCs w:val="23"/>
        </w:rPr>
        <w:t xml:space="preserve">MassHealth members to Fuel Assistance and related utility supports. ABCD's Low-Income </w:t>
      </w:r>
      <w:r>
        <w:rPr>
          <w:rFonts w:ascii="Times New Roman" w:hAnsi="Times New Roman" w:cs="Times New Roman"/>
          <w:spacing w:val="2"/>
          <w:w w:val="105"/>
          <w:sz w:val="23"/>
          <w:szCs w:val="23"/>
        </w:rPr>
        <w:t xml:space="preserve">Home Energy </w:t>
      </w:r>
      <w:r>
        <w:rPr>
          <w:rFonts w:ascii="Times New Roman" w:hAnsi="Times New Roman" w:cs="Times New Roman"/>
          <w:w w:val="105"/>
          <w:sz w:val="23"/>
          <w:szCs w:val="23"/>
        </w:rPr>
        <w:t>Assistance Prog</w:t>
      </w:r>
      <w:r w:rsidR="005632B1">
        <w:rPr>
          <w:rFonts w:ascii="Times New Roman" w:hAnsi="Times New Roman" w:cs="Times New Roman"/>
          <w:w w:val="105"/>
          <w:sz w:val="23"/>
          <w:szCs w:val="23"/>
        </w:rPr>
        <w:t>r</w:t>
      </w:r>
      <w:r>
        <w:rPr>
          <w:rFonts w:ascii="Times New Roman" w:hAnsi="Times New Roman" w:cs="Times New Roman"/>
          <w:w w:val="105"/>
          <w:sz w:val="23"/>
          <w:szCs w:val="23"/>
        </w:rPr>
        <w:t xml:space="preserve">am (LIHEAP) covers I 0 cities </w:t>
      </w:r>
      <w:r>
        <w:rPr>
          <w:rFonts w:ascii="Times New Roman" w:hAnsi="Times New Roman" w:cs="Times New Roman"/>
          <w:spacing w:val="2"/>
          <w:w w:val="105"/>
          <w:sz w:val="23"/>
          <w:szCs w:val="23"/>
        </w:rPr>
        <w:t xml:space="preserve">and </w:t>
      </w:r>
      <w:r>
        <w:rPr>
          <w:rFonts w:ascii="Times New Roman" w:hAnsi="Times New Roman" w:cs="Times New Roman"/>
          <w:w w:val="105"/>
          <w:sz w:val="23"/>
          <w:szCs w:val="23"/>
        </w:rPr>
        <w:t>towns in Greater Boston and is part of a statewide coverage net-one which also ensures access to other related programs, such as weatherization,</w:t>
      </w:r>
      <w:r>
        <w:rPr>
          <w:rFonts w:ascii="Times New Roman" w:hAnsi="Times New Roman" w:cs="Times New Roman"/>
          <w:spacing w:val="-16"/>
          <w:w w:val="105"/>
          <w:sz w:val="23"/>
          <w:szCs w:val="23"/>
        </w:rPr>
        <w:t xml:space="preserve"> </w:t>
      </w:r>
      <w:r>
        <w:rPr>
          <w:rFonts w:ascii="Times New Roman" w:hAnsi="Times New Roman" w:cs="Times New Roman"/>
          <w:w w:val="105"/>
          <w:sz w:val="23"/>
          <w:szCs w:val="23"/>
        </w:rPr>
        <w:t>utility</w:t>
      </w:r>
      <w:r>
        <w:rPr>
          <w:rFonts w:ascii="Times New Roman" w:hAnsi="Times New Roman" w:cs="Times New Roman"/>
          <w:spacing w:val="-17"/>
          <w:w w:val="105"/>
          <w:sz w:val="23"/>
          <w:szCs w:val="23"/>
        </w:rPr>
        <w:t xml:space="preserve"> </w:t>
      </w:r>
      <w:r>
        <w:rPr>
          <w:rFonts w:ascii="Times New Roman" w:hAnsi="Times New Roman" w:cs="Times New Roman"/>
          <w:w w:val="105"/>
          <w:sz w:val="23"/>
          <w:szCs w:val="23"/>
        </w:rPr>
        <w:t>discounts</w:t>
      </w:r>
      <w:r>
        <w:rPr>
          <w:rFonts w:ascii="Times New Roman" w:hAnsi="Times New Roman" w:cs="Times New Roman"/>
          <w:spacing w:val="-21"/>
          <w:w w:val="105"/>
          <w:sz w:val="23"/>
          <w:szCs w:val="23"/>
        </w:rPr>
        <w:t xml:space="preserve"> </w:t>
      </w:r>
      <w:r>
        <w:rPr>
          <w:rFonts w:ascii="Times New Roman" w:hAnsi="Times New Roman" w:cs="Times New Roman"/>
          <w:w w:val="105"/>
          <w:sz w:val="23"/>
          <w:szCs w:val="23"/>
        </w:rPr>
        <w:t>and</w:t>
      </w:r>
      <w:r>
        <w:rPr>
          <w:rFonts w:ascii="Times New Roman" w:hAnsi="Times New Roman" w:cs="Times New Roman"/>
          <w:spacing w:val="-28"/>
          <w:w w:val="105"/>
          <w:sz w:val="23"/>
          <w:szCs w:val="23"/>
        </w:rPr>
        <w:t xml:space="preserve"> </w:t>
      </w:r>
      <w:r>
        <w:rPr>
          <w:rFonts w:ascii="Times New Roman" w:hAnsi="Times New Roman" w:cs="Times New Roman"/>
          <w:w w:val="105"/>
          <w:sz w:val="23"/>
          <w:szCs w:val="23"/>
        </w:rPr>
        <w:t>heating</w:t>
      </w:r>
      <w:r>
        <w:rPr>
          <w:rFonts w:ascii="Times New Roman" w:hAnsi="Times New Roman" w:cs="Times New Roman"/>
          <w:spacing w:val="-13"/>
          <w:w w:val="105"/>
          <w:sz w:val="23"/>
          <w:szCs w:val="23"/>
        </w:rPr>
        <w:t xml:space="preserve"> </w:t>
      </w:r>
      <w:r>
        <w:rPr>
          <w:rFonts w:ascii="Times New Roman" w:hAnsi="Times New Roman" w:cs="Times New Roman"/>
          <w:w w:val="105"/>
          <w:sz w:val="23"/>
          <w:szCs w:val="23"/>
        </w:rPr>
        <w:t>system</w:t>
      </w:r>
      <w:r>
        <w:rPr>
          <w:rFonts w:ascii="Times New Roman" w:hAnsi="Times New Roman" w:cs="Times New Roman"/>
          <w:spacing w:val="-27"/>
          <w:w w:val="105"/>
          <w:sz w:val="23"/>
          <w:szCs w:val="23"/>
        </w:rPr>
        <w:t xml:space="preserve"> </w:t>
      </w:r>
      <w:r>
        <w:rPr>
          <w:rFonts w:ascii="Times New Roman" w:hAnsi="Times New Roman" w:cs="Times New Roman"/>
          <w:w w:val="105"/>
          <w:sz w:val="23"/>
          <w:szCs w:val="23"/>
        </w:rPr>
        <w:t>repair.</w:t>
      </w:r>
      <w:r>
        <w:rPr>
          <w:rFonts w:ascii="Times New Roman" w:hAnsi="Times New Roman" w:cs="Times New Roman"/>
          <w:spacing w:val="-24"/>
          <w:w w:val="105"/>
          <w:sz w:val="23"/>
          <w:szCs w:val="23"/>
        </w:rPr>
        <w:t xml:space="preserve"> </w:t>
      </w:r>
      <w:r>
        <w:rPr>
          <w:rFonts w:ascii="Times New Roman" w:hAnsi="Times New Roman" w:cs="Times New Roman"/>
          <w:w w:val="105"/>
          <w:sz w:val="23"/>
          <w:szCs w:val="23"/>
        </w:rPr>
        <w:t>Fuel</w:t>
      </w:r>
      <w:r>
        <w:rPr>
          <w:rFonts w:ascii="Times New Roman" w:hAnsi="Times New Roman" w:cs="Times New Roman"/>
          <w:spacing w:val="-21"/>
          <w:w w:val="105"/>
          <w:sz w:val="23"/>
          <w:szCs w:val="23"/>
        </w:rPr>
        <w:t xml:space="preserve"> </w:t>
      </w:r>
      <w:r>
        <w:rPr>
          <w:rFonts w:ascii="Times New Roman" w:hAnsi="Times New Roman" w:cs="Times New Roman"/>
          <w:w w:val="105"/>
          <w:sz w:val="23"/>
          <w:szCs w:val="23"/>
        </w:rPr>
        <w:t>Assistance</w:t>
      </w:r>
      <w:r>
        <w:rPr>
          <w:rFonts w:ascii="Times New Roman" w:hAnsi="Times New Roman" w:cs="Times New Roman"/>
          <w:spacing w:val="-10"/>
          <w:w w:val="105"/>
          <w:sz w:val="23"/>
          <w:szCs w:val="23"/>
        </w:rPr>
        <w:t xml:space="preserve"> </w:t>
      </w:r>
      <w:r>
        <w:rPr>
          <w:rFonts w:ascii="Times New Roman" w:hAnsi="Times New Roman" w:cs="Times New Roman"/>
          <w:w w:val="105"/>
          <w:sz w:val="23"/>
          <w:szCs w:val="23"/>
        </w:rPr>
        <w:t>is</w:t>
      </w:r>
      <w:r>
        <w:rPr>
          <w:rFonts w:ascii="Times New Roman" w:hAnsi="Times New Roman" w:cs="Times New Roman"/>
          <w:spacing w:val="-28"/>
          <w:w w:val="105"/>
          <w:sz w:val="23"/>
          <w:szCs w:val="23"/>
        </w:rPr>
        <w:t xml:space="preserve"> </w:t>
      </w:r>
      <w:r>
        <w:rPr>
          <w:rFonts w:ascii="Times New Roman" w:hAnsi="Times New Roman" w:cs="Times New Roman"/>
          <w:w w:val="105"/>
          <w:sz w:val="23"/>
          <w:szCs w:val="23"/>
        </w:rPr>
        <w:t>only</w:t>
      </w:r>
      <w:r>
        <w:rPr>
          <w:rFonts w:ascii="Times New Roman" w:hAnsi="Times New Roman" w:cs="Times New Roman"/>
          <w:spacing w:val="-26"/>
          <w:w w:val="105"/>
          <w:sz w:val="23"/>
          <w:szCs w:val="23"/>
        </w:rPr>
        <w:t xml:space="preserve"> </w:t>
      </w:r>
      <w:r>
        <w:rPr>
          <w:rFonts w:ascii="Times New Roman" w:hAnsi="Times New Roman" w:cs="Times New Roman"/>
          <w:w w:val="105"/>
          <w:sz w:val="23"/>
          <w:szCs w:val="23"/>
        </w:rPr>
        <w:t>one</w:t>
      </w:r>
      <w:r>
        <w:rPr>
          <w:rFonts w:ascii="Times New Roman" w:hAnsi="Times New Roman" w:cs="Times New Roman"/>
          <w:spacing w:val="-29"/>
          <w:w w:val="105"/>
          <w:sz w:val="23"/>
          <w:szCs w:val="23"/>
        </w:rPr>
        <w:t xml:space="preserve"> </w:t>
      </w:r>
      <w:r>
        <w:rPr>
          <w:rFonts w:ascii="Times New Roman" w:hAnsi="Times New Roman" w:cs="Times New Roman"/>
          <w:w w:val="105"/>
          <w:sz w:val="23"/>
          <w:szCs w:val="23"/>
        </w:rPr>
        <w:t>example of</w:t>
      </w:r>
      <w:r>
        <w:rPr>
          <w:rFonts w:ascii="Times New Roman" w:hAnsi="Times New Roman" w:cs="Times New Roman"/>
          <w:spacing w:val="-26"/>
          <w:w w:val="105"/>
          <w:sz w:val="23"/>
          <w:szCs w:val="23"/>
        </w:rPr>
        <w:t xml:space="preserve"> </w:t>
      </w:r>
      <w:r>
        <w:rPr>
          <w:rFonts w:ascii="Times New Roman" w:hAnsi="Times New Roman" w:cs="Times New Roman"/>
          <w:w w:val="105"/>
          <w:sz w:val="23"/>
          <w:szCs w:val="23"/>
        </w:rPr>
        <w:t>many</w:t>
      </w:r>
      <w:r>
        <w:rPr>
          <w:rFonts w:ascii="Times New Roman" w:hAnsi="Times New Roman" w:cs="Times New Roman"/>
          <w:spacing w:val="-15"/>
          <w:w w:val="105"/>
          <w:sz w:val="23"/>
          <w:szCs w:val="23"/>
        </w:rPr>
        <w:t xml:space="preserve"> </w:t>
      </w:r>
      <w:r>
        <w:rPr>
          <w:rFonts w:ascii="Times New Roman" w:hAnsi="Times New Roman" w:cs="Times New Roman"/>
          <w:w w:val="105"/>
          <w:sz w:val="23"/>
          <w:szCs w:val="23"/>
        </w:rPr>
        <w:t>social</w:t>
      </w:r>
      <w:r>
        <w:rPr>
          <w:rFonts w:ascii="Times New Roman" w:hAnsi="Times New Roman" w:cs="Times New Roman"/>
          <w:spacing w:val="-19"/>
          <w:w w:val="105"/>
          <w:sz w:val="23"/>
          <w:szCs w:val="23"/>
        </w:rPr>
        <w:t xml:space="preserve"> </w:t>
      </w:r>
      <w:r>
        <w:rPr>
          <w:rFonts w:ascii="Times New Roman" w:hAnsi="Times New Roman" w:cs="Times New Roman"/>
          <w:w w:val="105"/>
          <w:sz w:val="23"/>
          <w:szCs w:val="23"/>
        </w:rPr>
        <w:t>service</w:t>
      </w:r>
      <w:r>
        <w:rPr>
          <w:rFonts w:ascii="Times New Roman" w:hAnsi="Times New Roman" w:cs="Times New Roman"/>
          <w:spacing w:val="-20"/>
          <w:w w:val="105"/>
          <w:sz w:val="23"/>
          <w:szCs w:val="23"/>
        </w:rPr>
        <w:t xml:space="preserve"> </w:t>
      </w:r>
      <w:r>
        <w:rPr>
          <w:rFonts w:ascii="Times New Roman" w:hAnsi="Times New Roman" w:cs="Times New Roman"/>
          <w:w w:val="105"/>
          <w:sz w:val="23"/>
          <w:szCs w:val="23"/>
        </w:rPr>
        <w:t>supports</w:t>
      </w:r>
      <w:r>
        <w:rPr>
          <w:rFonts w:ascii="Times New Roman" w:hAnsi="Times New Roman" w:cs="Times New Roman"/>
          <w:spacing w:val="-19"/>
          <w:w w:val="105"/>
          <w:sz w:val="23"/>
          <w:szCs w:val="23"/>
        </w:rPr>
        <w:t xml:space="preserve"> </w:t>
      </w:r>
      <w:r>
        <w:rPr>
          <w:rFonts w:ascii="Times New Roman" w:hAnsi="Times New Roman" w:cs="Times New Roman"/>
          <w:w w:val="105"/>
          <w:sz w:val="23"/>
          <w:szCs w:val="23"/>
        </w:rPr>
        <w:t>which</w:t>
      </w:r>
      <w:r>
        <w:rPr>
          <w:rFonts w:ascii="Times New Roman" w:hAnsi="Times New Roman" w:cs="Times New Roman"/>
          <w:spacing w:val="-19"/>
          <w:w w:val="105"/>
          <w:sz w:val="23"/>
          <w:szCs w:val="23"/>
        </w:rPr>
        <w:t xml:space="preserve"> </w:t>
      </w:r>
      <w:r>
        <w:rPr>
          <w:rFonts w:ascii="Times New Roman" w:hAnsi="Times New Roman" w:cs="Times New Roman"/>
          <w:w w:val="105"/>
          <w:sz w:val="23"/>
          <w:szCs w:val="23"/>
        </w:rPr>
        <w:t>are</w:t>
      </w:r>
      <w:r>
        <w:rPr>
          <w:rFonts w:ascii="Times New Roman" w:hAnsi="Times New Roman" w:cs="Times New Roman"/>
          <w:spacing w:val="-28"/>
          <w:w w:val="105"/>
          <w:sz w:val="23"/>
          <w:szCs w:val="23"/>
        </w:rPr>
        <w:t xml:space="preserve"> </w:t>
      </w:r>
      <w:r>
        <w:rPr>
          <w:rFonts w:ascii="Times New Roman" w:hAnsi="Times New Roman" w:cs="Times New Roman"/>
          <w:w w:val="105"/>
          <w:sz w:val="23"/>
          <w:szCs w:val="23"/>
        </w:rPr>
        <w:t>revenue-neutral</w:t>
      </w:r>
      <w:r>
        <w:rPr>
          <w:rFonts w:ascii="Times New Roman" w:hAnsi="Times New Roman" w:cs="Times New Roman"/>
          <w:spacing w:val="-13"/>
          <w:w w:val="105"/>
          <w:sz w:val="23"/>
          <w:szCs w:val="23"/>
        </w:rPr>
        <w:t xml:space="preserve"> </w:t>
      </w:r>
      <w:r>
        <w:rPr>
          <w:rFonts w:ascii="Times New Roman" w:hAnsi="Times New Roman" w:cs="Times New Roman"/>
          <w:w w:val="105"/>
          <w:sz w:val="23"/>
          <w:szCs w:val="23"/>
        </w:rPr>
        <w:t>to</w:t>
      </w:r>
      <w:r>
        <w:rPr>
          <w:rFonts w:ascii="Times New Roman" w:hAnsi="Times New Roman" w:cs="Times New Roman"/>
          <w:spacing w:val="-21"/>
          <w:w w:val="105"/>
          <w:sz w:val="23"/>
          <w:szCs w:val="23"/>
        </w:rPr>
        <w:t xml:space="preserve"> </w:t>
      </w:r>
      <w:r>
        <w:rPr>
          <w:rFonts w:ascii="Times New Roman" w:hAnsi="Times New Roman" w:cs="Times New Roman"/>
          <w:w w:val="105"/>
          <w:sz w:val="23"/>
          <w:szCs w:val="23"/>
        </w:rPr>
        <w:t>MassHealth,</w:t>
      </w:r>
      <w:r>
        <w:rPr>
          <w:rFonts w:ascii="Times New Roman" w:hAnsi="Times New Roman" w:cs="Times New Roman"/>
          <w:spacing w:val="-13"/>
          <w:w w:val="105"/>
          <w:sz w:val="23"/>
          <w:szCs w:val="23"/>
        </w:rPr>
        <w:t xml:space="preserve"> </w:t>
      </w:r>
      <w:r>
        <w:rPr>
          <w:rFonts w:ascii="Times New Roman" w:hAnsi="Times New Roman" w:cs="Times New Roman"/>
          <w:w w:val="105"/>
          <w:sz w:val="23"/>
          <w:szCs w:val="23"/>
        </w:rPr>
        <w:t>and</w:t>
      </w:r>
      <w:r>
        <w:rPr>
          <w:rFonts w:ascii="Times New Roman" w:hAnsi="Times New Roman" w:cs="Times New Roman"/>
          <w:spacing w:val="-23"/>
          <w:w w:val="105"/>
          <w:sz w:val="23"/>
          <w:szCs w:val="23"/>
        </w:rPr>
        <w:t xml:space="preserve"> </w:t>
      </w:r>
      <w:r>
        <w:rPr>
          <w:rFonts w:ascii="Times New Roman" w:hAnsi="Times New Roman" w:cs="Times New Roman"/>
          <w:w w:val="105"/>
          <w:sz w:val="23"/>
          <w:szCs w:val="23"/>
        </w:rPr>
        <w:t>for</w:t>
      </w:r>
      <w:r>
        <w:rPr>
          <w:rFonts w:ascii="Times New Roman" w:hAnsi="Times New Roman" w:cs="Times New Roman"/>
          <w:spacing w:val="-22"/>
          <w:w w:val="105"/>
          <w:sz w:val="23"/>
          <w:szCs w:val="23"/>
        </w:rPr>
        <w:t xml:space="preserve"> </w:t>
      </w:r>
      <w:r>
        <w:rPr>
          <w:rFonts w:ascii="Times New Roman" w:hAnsi="Times New Roman" w:cs="Times New Roman"/>
          <w:w w:val="105"/>
          <w:sz w:val="23"/>
          <w:szCs w:val="23"/>
        </w:rPr>
        <w:t>which</w:t>
      </w:r>
      <w:r>
        <w:rPr>
          <w:rFonts w:ascii="Times New Roman" w:hAnsi="Times New Roman" w:cs="Times New Roman"/>
          <w:spacing w:val="-21"/>
          <w:w w:val="105"/>
          <w:sz w:val="23"/>
          <w:szCs w:val="23"/>
        </w:rPr>
        <w:t xml:space="preserve"> </w:t>
      </w:r>
      <w:r>
        <w:rPr>
          <w:rFonts w:ascii="Times New Roman" w:hAnsi="Times New Roman" w:cs="Times New Roman"/>
          <w:w w:val="105"/>
          <w:sz w:val="23"/>
          <w:szCs w:val="23"/>
        </w:rPr>
        <w:t>the</w:t>
      </w:r>
      <w:r>
        <w:rPr>
          <w:rFonts w:ascii="Times New Roman" w:hAnsi="Times New Roman" w:cs="Times New Roman"/>
          <w:spacing w:val="-25"/>
          <w:w w:val="105"/>
          <w:sz w:val="23"/>
          <w:szCs w:val="23"/>
        </w:rPr>
        <w:t xml:space="preserve"> </w:t>
      </w:r>
      <w:r>
        <w:rPr>
          <w:rFonts w:ascii="Times New Roman" w:hAnsi="Times New Roman" w:cs="Times New Roman"/>
          <w:w w:val="105"/>
          <w:sz w:val="23"/>
          <w:szCs w:val="23"/>
        </w:rPr>
        <w:t>vast majority of MassHealth members will qualify. Such no-cost referrals represent an important source of</w:t>
      </w:r>
      <w:r w:rsidR="005632B1">
        <w:rPr>
          <w:rFonts w:ascii="Times New Roman" w:hAnsi="Times New Roman" w:cs="Times New Roman"/>
          <w:w w:val="105"/>
          <w:sz w:val="23"/>
          <w:szCs w:val="23"/>
        </w:rPr>
        <w:t xml:space="preserve"> </w:t>
      </w:r>
      <w:r>
        <w:rPr>
          <w:rFonts w:ascii="Times New Roman" w:hAnsi="Times New Roman" w:cs="Times New Roman"/>
          <w:w w:val="105"/>
          <w:sz w:val="23"/>
          <w:szCs w:val="23"/>
        </w:rPr>
        <w:t xml:space="preserve">leveraged supports for MassHealth members, which could be readily facilitated through a structure such as the SDOH Hub, as described above. Such referrals should be permitted-and encouraged-in the design for social service  </w:t>
      </w:r>
      <w:r>
        <w:rPr>
          <w:rFonts w:ascii="Times New Roman" w:hAnsi="Times New Roman" w:cs="Times New Roman"/>
          <w:spacing w:val="9"/>
          <w:w w:val="105"/>
          <w:sz w:val="23"/>
          <w:szCs w:val="23"/>
        </w:rPr>
        <w:t xml:space="preserve"> </w:t>
      </w:r>
      <w:r>
        <w:rPr>
          <w:rFonts w:ascii="Times New Roman" w:hAnsi="Times New Roman" w:cs="Times New Roman"/>
          <w:w w:val="105"/>
          <w:sz w:val="23"/>
          <w:szCs w:val="23"/>
        </w:rPr>
        <w:t>access.</w:t>
      </w: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spacing w:before="9"/>
        <w:rPr>
          <w:rFonts w:ascii="Times New Roman" w:hAnsi="Times New Roman" w:cs="Times New Roman"/>
          <w:sz w:val="27"/>
          <w:szCs w:val="27"/>
        </w:rPr>
      </w:pPr>
    </w:p>
    <w:p w:rsidR="002C5025" w:rsidRDefault="002C5025">
      <w:pPr>
        <w:pStyle w:val="BodyText"/>
        <w:kinsoku w:val="0"/>
        <w:overflowPunct w:val="0"/>
        <w:ind w:left="123" w:right="197"/>
        <w:rPr>
          <w:rFonts w:ascii="Times New Roman" w:hAnsi="Times New Roman" w:cs="Times New Roman"/>
          <w:sz w:val="23"/>
          <w:szCs w:val="23"/>
        </w:rPr>
      </w:pPr>
      <w:r>
        <w:rPr>
          <w:rFonts w:ascii="Times New Roman" w:hAnsi="Times New Roman" w:cs="Times New Roman"/>
          <w:sz w:val="23"/>
          <w:szCs w:val="23"/>
          <w:u w:val="single"/>
        </w:rPr>
        <w:t>Recovery High Schools.</w:t>
      </w:r>
    </w:p>
    <w:p w:rsidR="002C5025" w:rsidRDefault="002C5025">
      <w:pPr>
        <w:pStyle w:val="BodyText"/>
        <w:kinsoku w:val="0"/>
        <w:overflowPunct w:val="0"/>
        <w:spacing w:before="165" w:line="290" w:lineRule="auto"/>
        <w:ind w:left="123" w:right="399"/>
        <w:rPr>
          <w:rFonts w:ascii="Times New Roman" w:hAnsi="Times New Roman" w:cs="Times New Roman"/>
          <w:sz w:val="23"/>
          <w:szCs w:val="23"/>
        </w:rPr>
      </w:pPr>
      <w:r>
        <w:rPr>
          <w:rFonts w:ascii="Times New Roman" w:hAnsi="Times New Roman" w:cs="Times New Roman"/>
          <w:spacing w:val="2"/>
          <w:w w:val="105"/>
          <w:sz w:val="23"/>
          <w:szCs w:val="23"/>
        </w:rPr>
        <w:t>ABCD</w:t>
      </w:r>
      <w:r>
        <w:rPr>
          <w:rFonts w:ascii="Times New Roman" w:hAnsi="Times New Roman" w:cs="Times New Roman"/>
          <w:spacing w:val="-12"/>
          <w:w w:val="105"/>
          <w:sz w:val="23"/>
          <w:szCs w:val="23"/>
        </w:rPr>
        <w:t xml:space="preserve"> </w:t>
      </w:r>
      <w:r>
        <w:rPr>
          <w:rFonts w:ascii="Times New Roman" w:hAnsi="Times New Roman" w:cs="Times New Roman"/>
          <w:w w:val="105"/>
          <w:sz w:val="23"/>
          <w:szCs w:val="23"/>
        </w:rPr>
        <w:t>operates</w:t>
      </w:r>
      <w:r>
        <w:rPr>
          <w:rFonts w:ascii="Times New Roman" w:hAnsi="Times New Roman" w:cs="Times New Roman"/>
          <w:spacing w:val="-26"/>
          <w:w w:val="105"/>
          <w:sz w:val="23"/>
          <w:szCs w:val="23"/>
        </w:rPr>
        <w:t xml:space="preserve"> </w:t>
      </w:r>
      <w:r>
        <w:rPr>
          <w:rFonts w:ascii="Times New Roman" w:hAnsi="Times New Roman" w:cs="Times New Roman"/>
          <w:w w:val="105"/>
          <w:sz w:val="23"/>
          <w:szCs w:val="23"/>
        </w:rPr>
        <w:t>the</w:t>
      </w:r>
      <w:r>
        <w:rPr>
          <w:rFonts w:ascii="Times New Roman" w:hAnsi="Times New Roman" w:cs="Times New Roman"/>
          <w:spacing w:val="-20"/>
          <w:w w:val="105"/>
          <w:sz w:val="23"/>
          <w:szCs w:val="23"/>
        </w:rPr>
        <w:t xml:space="preserve"> </w:t>
      </w:r>
      <w:r>
        <w:rPr>
          <w:rFonts w:ascii="Times New Roman" w:hAnsi="Times New Roman" w:cs="Times New Roman"/>
          <w:w w:val="105"/>
          <w:sz w:val="23"/>
          <w:szCs w:val="23"/>
        </w:rPr>
        <w:t>William</w:t>
      </w:r>
      <w:r>
        <w:rPr>
          <w:rFonts w:ascii="Times New Roman" w:hAnsi="Times New Roman" w:cs="Times New Roman"/>
          <w:spacing w:val="-13"/>
          <w:w w:val="105"/>
          <w:sz w:val="23"/>
          <w:szCs w:val="23"/>
        </w:rPr>
        <w:t xml:space="preserve"> </w:t>
      </w:r>
      <w:r>
        <w:rPr>
          <w:rFonts w:ascii="Times New Roman" w:hAnsi="Times New Roman" w:cs="Times New Roman"/>
          <w:w w:val="105"/>
          <w:sz w:val="23"/>
          <w:szCs w:val="23"/>
        </w:rPr>
        <w:t>J.</w:t>
      </w:r>
      <w:r>
        <w:rPr>
          <w:rFonts w:ascii="Times New Roman" w:hAnsi="Times New Roman" w:cs="Times New Roman"/>
          <w:spacing w:val="-17"/>
          <w:w w:val="105"/>
          <w:sz w:val="23"/>
          <w:szCs w:val="23"/>
        </w:rPr>
        <w:t xml:space="preserve"> </w:t>
      </w:r>
      <w:proofErr w:type="spellStart"/>
      <w:r>
        <w:rPr>
          <w:rFonts w:ascii="Times New Roman" w:hAnsi="Times New Roman" w:cs="Times New Roman"/>
          <w:w w:val="105"/>
          <w:sz w:val="23"/>
          <w:szCs w:val="23"/>
        </w:rPr>
        <w:t>Ostiguy</w:t>
      </w:r>
      <w:proofErr w:type="spellEnd"/>
      <w:r>
        <w:rPr>
          <w:rFonts w:ascii="Times New Roman" w:hAnsi="Times New Roman" w:cs="Times New Roman"/>
          <w:spacing w:val="-12"/>
          <w:w w:val="105"/>
          <w:sz w:val="23"/>
          <w:szCs w:val="23"/>
        </w:rPr>
        <w:t xml:space="preserve"> </w:t>
      </w:r>
      <w:r>
        <w:rPr>
          <w:rFonts w:ascii="Times New Roman" w:hAnsi="Times New Roman" w:cs="Times New Roman"/>
          <w:w w:val="105"/>
          <w:sz w:val="23"/>
          <w:szCs w:val="23"/>
        </w:rPr>
        <w:t>Recovery</w:t>
      </w:r>
      <w:r>
        <w:rPr>
          <w:rFonts w:ascii="Times New Roman" w:hAnsi="Times New Roman" w:cs="Times New Roman"/>
          <w:spacing w:val="-6"/>
          <w:w w:val="105"/>
          <w:sz w:val="23"/>
          <w:szCs w:val="23"/>
        </w:rPr>
        <w:t xml:space="preserve"> </w:t>
      </w:r>
      <w:r>
        <w:rPr>
          <w:rFonts w:ascii="Times New Roman" w:hAnsi="Times New Roman" w:cs="Times New Roman"/>
          <w:w w:val="105"/>
          <w:sz w:val="23"/>
          <w:szCs w:val="23"/>
        </w:rPr>
        <w:t>High</w:t>
      </w:r>
      <w:r>
        <w:rPr>
          <w:rFonts w:ascii="Times New Roman" w:hAnsi="Times New Roman" w:cs="Times New Roman"/>
          <w:spacing w:val="-10"/>
          <w:w w:val="105"/>
          <w:sz w:val="23"/>
          <w:szCs w:val="23"/>
        </w:rPr>
        <w:t xml:space="preserve"> </w:t>
      </w:r>
      <w:r>
        <w:rPr>
          <w:rFonts w:ascii="Times New Roman" w:hAnsi="Times New Roman" w:cs="Times New Roman"/>
          <w:w w:val="105"/>
          <w:sz w:val="23"/>
          <w:szCs w:val="23"/>
        </w:rPr>
        <w:t>School.</w:t>
      </w:r>
      <w:r>
        <w:rPr>
          <w:rFonts w:ascii="Times New Roman" w:hAnsi="Times New Roman" w:cs="Times New Roman"/>
          <w:spacing w:val="-24"/>
          <w:w w:val="105"/>
          <w:sz w:val="23"/>
          <w:szCs w:val="23"/>
        </w:rPr>
        <w:t xml:space="preserve"> </w:t>
      </w:r>
      <w:r>
        <w:rPr>
          <w:rFonts w:ascii="Times New Roman" w:hAnsi="Times New Roman" w:cs="Times New Roman"/>
          <w:w w:val="105"/>
          <w:sz w:val="23"/>
          <w:szCs w:val="23"/>
        </w:rPr>
        <w:t>We</w:t>
      </w:r>
      <w:r>
        <w:rPr>
          <w:rFonts w:ascii="Times New Roman" w:hAnsi="Times New Roman" w:cs="Times New Roman"/>
          <w:spacing w:val="-20"/>
          <w:w w:val="105"/>
          <w:sz w:val="23"/>
          <w:szCs w:val="23"/>
        </w:rPr>
        <w:t xml:space="preserve"> </w:t>
      </w:r>
      <w:r>
        <w:rPr>
          <w:rFonts w:ascii="Times New Roman" w:hAnsi="Times New Roman" w:cs="Times New Roman"/>
          <w:w w:val="105"/>
          <w:sz w:val="23"/>
          <w:szCs w:val="23"/>
        </w:rPr>
        <w:t>were</w:t>
      </w:r>
      <w:r>
        <w:rPr>
          <w:rFonts w:ascii="Times New Roman" w:hAnsi="Times New Roman" w:cs="Times New Roman"/>
          <w:spacing w:val="-20"/>
          <w:w w:val="105"/>
          <w:sz w:val="23"/>
          <w:szCs w:val="23"/>
        </w:rPr>
        <w:t xml:space="preserve"> </w:t>
      </w:r>
      <w:r>
        <w:rPr>
          <w:rFonts w:ascii="Times New Roman" w:hAnsi="Times New Roman" w:cs="Times New Roman"/>
          <w:w w:val="105"/>
          <w:sz w:val="23"/>
          <w:szCs w:val="23"/>
        </w:rPr>
        <w:t>pleased</w:t>
      </w:r>
      <w:r>
        <w:rPr>
          <w:rFonts w:ascii="Times New Roman" w:hAnsi="Times New Roman" w:cs="Times New Roman"/>
          <w:spacing w:val="-13"/>
          <w:w w:val="105"/>
          <w:sz w:val="23"/>
          <w:szCs w:val="23"/>
        </w:rPr>
        <w:t xml:space="preserve"> </w:t>
      </w:r>
      <w:r>
        <w:rPr>
          <w:rFonts w:ascii="Times New Roman" w:hAnsi="Times New Roman" w:cs="Times New Roman"/>
          <w:w w:val="105"/>
          <w:sz w:val="23"/>
          <w:szCs w:val="23"/>
        </w:rPr>
        <w:t>to</w:t>
      </w:r>
      <w:r>
        <w:rPr>
          <w:rFonts w:ascii="Times New Roman" w:hAnsi="Times New Roman" w:cs="Times New Roman"/>
          <w:spacing w:val="-12"/>
          <w:w w:val="105"/>
          <w:sz w:val="23"/>
          <w:szCs w:val="23"/>
        </w:rPr>
        <w:t xml:space="preserve"> </w:t>
      </w:r>
      <w:r>
        <w:rPr>
          <w:rFonts w:ascii="Times New Roman" w:hAnsi="Times New Roman" w:cs="Times New Roman"/>
          <w:w w:val="105"/>
          <w:sz w:val="23"/>
          <w:szCs w:val="23"/>
        </w:rPr>
        <w:t>see,</w:t>
      </w:r>
      <w:r>
        <w:rPr>
          <w:rFonts w:ascii="Times New Roman" w:hAnsi="Times New Roman" w:cs="Times New Roman"/>
          <w:spacing w:val="-24"/>
          <w:w w:val="105"/>
          <w:sz w:val="23"/>
          <w:szCs w:val="23"/>
        </w:rPr>
        <w:t xml:space="preserve"> </w:t>
      </w:r>
      <w:r>
        <w:rPr>
          <w:rFonts w:ascii="Times New Roman" w:hAnsi="Times New Roman" w:cs="Times New Roman"/>
          <w:w w:val="105"/>
          <w:sz w:val="23"/>
          <w:szCs w:val="23"/>
        </w:rPr>
        <w:t>in MassHealth's</w:t>
      </w:r>
      <w:r>
        <w:rPr>
          <w:rFonts w:ascii="Times New Roman" w:hAnsi="Times New Roman" w:cs="Times New Roman"/>
          <w:spacing w:val="-12"/>
          <w:w w:val="105"/>
          <w:sz w:val="23"/>
          <w:szCs w:val="23"/>
        </w:rPr>
        <w:t xml:space="preserve"> </w:t>
      </w:r>
      <w:r>
        <w:rPr>
          <w:rFonts w:ascii="Times New Roman" w:hAnsi="Times New Roman" w:cs="Times New Roman"/>
          <w:w w:val="105"/>
          <w:sz w:val="23"/>
          <w:szCs w:val="23"/>
        </w:rPr>
        <w:t>waiver</w:t>
      </w:r>
      <w:r>
        <w:rPr>
          <w:rFonts w:ascii="Times New Roman" w:hAnsi="Times New Roman" w:cs="Times New Roman"/>
          <w:spacing w:val="-19"/>
          <w:w w:val="105"/>
          <w:sz w:val="23"/>
          <w:szCs w:val="23"/>
        </w:rPr>
        <w:t xml:space="preserve"> </w:t>
      </w:r>
      <w:r>
        <w:rPr>
          <w:rFonts w:ascii="Times New Roman" w:hAnsi="Times New Roman" w:cs="Times New Roman"/>
          <w:w w:val="105"/>
          <w:sz w:val="23"/>
          <w:szCs w:val="23"/>
        </w:rPr>
        <w:t>proposal,</w:t>
      </w:r>
      <w:r>
        <w:rPr>
          <w:rFonts w:ascii="Times New Roman" w:hAnsi="Times New Roman" w:cs="Times New Roman"/>
          <w:spacing w:val="-19"/>
          <w:w w:val="105"/>
          <w:sz w:val="23"/>
          <w:szCs w:val="23"/>
        </w:rPr>
        <w:t xml:space="preserve"> </w:t>
      </w:r>
      <w:r>
        <w:rPr>
          <w:rFonts w:ascii="Times New Roman" w:hAnsi="Times New Roman" w:cs="Times New Roman"/>
          <w:w w:val="105"/>
          <w:sz w:val="23"/>
          <w:szCs w:val="23"/>
        </w:rPr>
        <w:t>the</w:t>
      </w:r>
      <w:r>
        <w:rPr>
          <w:rFonts w:ascii="Times New Roman" w:hAnsi="Times New Roman" w:cs="Times New Roman"/>
          <w:spacing w:val="-21"/>
          <w:w w:val="105"/>
          <w:sz w:val="23"/>
          <w:szCs w:val="23"/>
        </w:rPr>
        <w:t xml:space="preserve"> </w:t>
      </w:r>
      <w:r>
        <w:rPr>
          <w:rFonts w:ascii="Times New Roman" w:hAnsi="Times New Roman" w:cs="Times New Roman"/>
          <w:w w:val="105"/>
          <w:sz w:val="23"/>
          <w:szCs w:val="23"/>
        </w:rPr>
        <w:t>request</w:t>
      </w:r>
      <w:r>
        <w:rPr>
          <w:rFonts w:ascii="Times New Roman" w:hAnsi="Times New Roman" w:cs="Times New Roman"/>
          <w:spacing w:val="-20"/>
          <w:w w:val="105"/>
          <w:sz w:val="23"/>
          <w:szCs w:val="23"/>
        </w:rPr>
        <w:t xml:space="preserve"> </w:t>
      </w:r>
      <w:r>
        <w:rPr>
          <w:rFonts w:ascii="Times New Roman" w:hAnsi="Times New Roman" w:cs="Times New Roman"/>
          <w:w w:val="105"/>
          <w:sz w:val="23"/>
          <w:szCs w:val="23"/>
        </w:rPr>
        <w:t>to</w:t>
      </w:r>
      <w:r>
        <w:rPr>
          <w:rFonts w:ascii="Times New Roman" w:hAnsi="Times New Roman" w:cs="Times New Roman"/>
          <w:spacing w:val="-27"/>
          <w:w w:val="105"/>
          <w:sz w:val="23"/>
          <w:szCs w:val="23"/>
        </w:rPr>
        <w:t xml:space="preserve"> </w:t>
      </w:r>
      <w:r>
        <w:rPr>
          <w:rFonts w:ascii="Times New Roman" w:hAnsi="Times New Roman" w:cs="Times New Roman"/>
          <w:w w:val="105"/>
          <w:sz w:val="23"/>
          <w:szCs w:val="23"/>
        </w:rPr>
        <w:t>bring</w:t>
      </w:r>
      <w:r>
        <w:rPr>
          <w:rFonts w:ascii="Times New Roman" w:hAnsi="Times New Roman" w:cs="Times New Roman"/>
          <w:spacing w:val="-19"/>
          <w:w w:val="105"/>
          <w:sz w:val="23"/>
          <w:szCs w:val="23"/>
        </w:rPr>
        <w:t xml:space="preserve"> </w:t>
      </w:r>
      <w:r>
        <w:rPr>
          <w:rFonts w:ascii="Times New Roman" w:hAnsi="Times New Roman" w:cs="Times New Roman"/>
          <w:w w:val="105"/>
          <w:sz w:val="23"/>
          <w:szCs w:val="23"/>
        </w:rPr>
        <w:t>Recovery</w:t>
      </w:r>
      <w:r>
        <w:rPr>
          <w:rFonts w:ascii="Times New Roman" w:hAnsi="Times New Roman" w:cs="Times New Roman"/>
          <w:spacing w:val="-9"/>
          <w:w w:val="105"/>
          <w:sz w:val="23"/>
          <w:szCs w:val="23"/>
        </w:rPr>
        <w:t xml:space="preserve"> </w:t>
      </w:r>
      <w:r>
        <w:rPr>
          <w:rFonts w:ascii="Times New Roman" w:hAnsi="Times New Roman" w:cs="Times New Roman"/>
          <w:w w:val="105"/>
          <w:sz w:val="23"/>
          <w:szCs w:val="23"/>
        </w:rPr>
        <w:t>Coaches</w:t>
      </w:r>
      <w:r>
        <w:rPr>
          <w:rFonts w:ascii="Times New Roman" w:hAnsi="Times New Roman" w:cs="Times New Roman"/>
          <w:spacing w:val="-20"/>
          <w:w w:val="105"/>
          <w:sz w:val="23"/>
          <w:szCs w:val="23"/>
        </w:rPr>
        <w:t xml:space="preserve"> </w:t>
      </w:r>
      <w:r>
        <w:rPr>
          <w:rFonts w:ascii="Times New Roman" w:hAnsi="Times New Roman" w:cs="Times New Roman"/>
          <w:w w:val="105"/>
          <w:sz w:val="23"/>
          <w:szCs w:val="23"/>
        </w:rPr>
        <w:t>under</w:t>
      </w:r>
      <w:r>
        <w:rPr>
          <w:rFonts w:ascii="Times New Roman" w:hAnsi="Times New Roman" w:cs="Times New Roman"/>
          <w:spacing w:val="-13"/>
          <w:w w:val="105"/>
          <w:sz w:val="23"/>
          <w:szCs w:val="23"/>
        </w:rPr>
        <w:t xml:space="preserve"> </w:t>
      </w:r>
      <w:r>
        <w:rPr>
          <w:rFonts w:ascii="Times New Roman" w:hAnsi="Times New Roman" w:cs="Times New Roman"/>
          <w:w w:val="105"/>
          <w:sz w:val="23"/>
          <w:szCs w:val="23"/>
        </w:rPr>
        <w:t xml:space="preserve">MassHealth </w:t>
      </w:r>
      <w:r>
        <w:rPr>
          <w:rFonts w:ascii="Times New Roman" w:hAnsi="Times New Roman" w:cs="Times New Roman"/>
          <w:sz w:val="23"/>
          <w:szCs w:val="23"/>
        </w:rPr>
        <w:t>covered</w:t>
      </w:r>
      <w:r>
        <w:rPr>
          <w:rFonts w:ascii="Times New Roman" w:hAnsi="Times New Roman" w:cs="Times New Roman"/>
          <w:spacing w:val="23"/>
          <w:sz w:val="23"/>
          <w:szCs w:val="23"/>
        </w:rPr>
        <w:t xml:space="preserve"> </w:t>
      </w:r>
      <w:r>
        <w:rPr>
          <w:rFonts w:ascii="Times New Roman" w:hAnsi="Times New Roman" w:cs="Times New Roman"/>
          <w:sz w:val="23"/>
          <w:szCs w:val="23"/>
        </w:rPr>
        <w:t>services.</w:t>
      </w: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spacing w:before="6"/>
        <w:rPr>
          <w:rFonts w:ascii="Times New Roman" w:hAnsi="Times New Roman" w:cs="Times New Roman"/>
          <w:sz w:val="26"/>
          <w:szCs w:val="26"/>
        </w:rPr>
      </w:pPr>
    </w:p>
    <w:p w:rsidR="002C5025" w:rsidRDefault="002C5025">
      <w:pPr>
        <w:pStyle w:val="BodyText"/>
        <w:kinsoku w:val="0"/>
        <w:overflowPunct w:val="0"/>
        <w:spacing w:line="288" w:lineRule="auto"/>
        <w:ind w:left="115" w:right="288" w:firstLine="7"/>
        <w:jc w:val="both"/>
        <w:rPr>
          <w:rFonts w:ascii="Times New Roman" w:hAnsi="Times New Roman" w:cs="Times New Roman"/>
          <w:sz w:val="23"/>
          <w:szCs w:val="23"/>
        </w:rPr>
      </w:pPr>
      <w:r>
        <w:rPr>
          <w:rFonts w:ascii="Times New Roman" w:hAnsi="Times New Roman" w:cs="Times New Roman"/>
          <w:sz w:val="23"/>
          <w:szCs w:val="23"/>
        </w:rPr>
        <w:t xml:space="preserve">In conclusion, we wish to thank you again for including social services in your development of MassHealth's health care and payment delivery systems redesign. ABCD is pleased to have had the opportunity to be involved </w:t>
      </w:r>
      <w:r>
        <w:rPr>
          <w:rFonts w:ascii="Arial" w:hAnsi="Arial" w:cs="Arial"/>
          <w:sz w:val="23"/>
          <w:szCs w:val="23"/>
        </w:rPr>
        <w:t>in</w:t>
      </w:r>
      <w:r w:rsidR="005632B1">
        <w:rPr>
          <w:rFonts w:ascii="Arial" w:hAnsi="Arial" w:cs="Arial"/>
          <w:sz w:val="23"/>
          <w:szCs w:val="23"/>
        </w:rPr>
        <w:t xml:space="preserve"> </w:t>
      </w:r>
      <w:r>
        <w:rPr>
          <w:rFonts w:ascii="Times New Roman" w:hAnsi="Times New Roman" w:cs="Times New Roman"/>
          <w:sz w:val="23"/>
          <w:szCs w:val="23"/>
        </w:rPr>
        <w:t>this process over the past year. We hope that, as these system</w:t>
      </w:r>
    </w:p>
    <w:p w:rsidR="002C5025" w:rsidRDefault="002C5025">
      <w:pPr>
        <w:pStyle w:val="BodyText"/>
        <w:kinsoku w:val="0"/>
        <w:overflowPunct w:val="0"/>
        <w:spacing w:before="11"/>
        <w:rPr>
          <w:rFonts w:ascii="Times New Roman" w:hAnsi="Times New Roman" w:cs="Times New Roman"/>
        </w:rPr>
      </w:pPr>
    </w:p>
    <w:p w:rsidR="002C5025" w:rsidRDefault="002C5025">
      <w:pPr>
        <w:pStyle w:val="ListParagraph"/>
        <w:numPr>
          <w:ilvl w:val="0"/>
          <w:numId w:val="91"/>
        </w:numPr>
        <w:tabs>
          <w:tab w:val="left" w:pos="304"/>
        </w:tabs>
        <w:kinsoku w:val="0"/>
        <w:overflowPunct w:val="0"/>
        <w:spacing w:before="75"/>
        <w:ind w:left="303" w:hanging="180"/>
        <w:rPr>
          <w:rFonts w:ascii="Arial" w:hAnsi="Arial" w:cs="Arial"/>
          <w:w w:val="105"/>
          <w:sz w:val="19"/>
          <w:szCs w:val="19"/>
        </w:rPr>
      </w:pPr>
      <w:r>
        <w:rPr>
          <w:rFonts w:ascii="Arial" w:hAnsi="Arial" w:cs="Arial"/>
          <w:w w:val="120"/>
          <w:sz w:val="19"/>
          <w:szCs w:val="19"/>
        </w:rPr>
        <w:t xml:space="preserve">I </w:t>
      </w:r>
      <w:r>
        <w:rPr>
          <w:rFonts w:ascii="Arial" w:hAnsi="Arial" w:cs="Arial"/>
          <w:w w:val="105"/>
          <w:sz w:val="19"/>
          <w:szCs w:val="19"/>
        </w:rPr>
        <w:t>P a g</w:t>
      </w:r>
      <w:r>
        <w:rPr>
          <w:rFonts w:ascii="Arial" w:hAnsi="Arial" w:cs="Arial"/>
          <w:spacing w:val="-35"/>
          <w:w w:val="105"/>
          <w:sz w:val="19"/>
          <w:szCs w:val="19"/>
        </w:rPr>
        <w:t xml:space="preserve"> </w:t>
      </w:r>
      <w:r>
        <w:rPr>
          <w:rFonts w:ascii="Arial" w:hAnsi="Arial" w:cs="Arial"/>
          <w:w w:val="105"/>
          <w:sz w:val="19"/>
          <w:szCs w:val="19"/>
        </w:rPr>
        <w:t>e</w:t>
      </w:r>
    </w:p>
    <w:p w:rsidR="002C5025" w:rsidRDefault="002C5025">
      <w:pPr>
        <w:pStyle w:val="ListParagraph"/>
        <w:numPr>
          <w:ilvl w:val="0"/>
          <w:numId w:val="91"/>
        </w:numPr>
        <w:tabs>
          <w:tab w:val="left" w:pos="304"/>
        </w:tabs>
        <w:kinsoku w:val="0"/>
        <w:overflowPunct w:val="0"/>
        <w:spacing w:before="75"/>
        <w:ind w:left="303" w:hanging="180"/>
        <w:rPr>
          <w:rFonts w:ascii="Arial" w:hAnsi="Arial" w:cs="Arial"/>
          <w:w w:val="105"/>
          <w:sz w:val="19"/>
          <w:szCs w:val="19"/>
        </w:rPr>
        <w:sectPr w:rsidR="002C5025">
          <w:pgSz w:w="12240" w:h="15840"/>
          <w:pgMar w:top="1500" w:right="1620" w:bottom="280" w:left="1180" w:header="720" w:footer="720" w:gutter="0"/>
          <w:cols w:space="720" w:equalWidth="0">
            <w:col w:w="9440"/>
          </w:cols>
          <w:noEndnote/>
        </w:sectPr>
      </w:pPr>
    </w:p>
    <w:p w:rsidR="002C5025" w:rsidRDefault="002C5025">
      <w:pPr>
        <w:pStyle w:val="BodyText"/>
        <w:kinsoku w:val="0"/>
        <w:overflowPunct w:val="0"/>
        <w:spacing w:before="104" w:line="288" w:lineRule="auto"/>
        <w:ind w:left="146" w:right="97" w:firstLine="14"/>
        <w:rPr>
          <w:rFonts w:ascii="Times New Roman" w:hAnsi="Times New Roman" w:cs="Times New Roman"/>
          <w:sz w:val="23"/>
          <w:szCs w:val="23"/>
        </w:rPr>
      </w:pPr>
      <w:r>
        <w:rPr>
          <w:rFonts w:ascii="Times New Roman" w:hAnsi="Times New Roman" w:cs="Times New Roman"/>
          <w:sz w:val="23"/>
          <w:szCs w:val="23"/>
        </w:rPr>
        <w:lastRenderedPageBreak/>
        <w:t>redesigns are operationalized over the coming months and years, we and other social service agencies will continue to have a place at the table. The Social Determinants of Health underlie much of the ill-health which MassHealth members disproportionately experience in our society. Social Services,</w:t>
      </w:r>
      <w:r w:rsidR="005632B1">
        <w:rPr>
          <w:rFonts w:ascii="Times New Roman" w:hAnsi="Times New Roman" w:cs="Times New Roman"/>
          <w:sz w:val="23"/>
          <w:szCs w:val="23"/>
        </w:rPr>
        <w:t xml:space="preserve"> as MassHealth has recognized, </w:t>
      </w:r>
      <w:r>
        <w:rPr>
          <w:rFonts w:ascii="Times New Roman" w:hAnsi="Times New Roman" w:cs="Times New Roman"/>
          <w:sz w:val="23"/>
          <w:szCs w:val="23"/>
        </w:rPr>
        <w:t>are key to reversing that and enabling its members to live healthy, stable</w:t>
      </w:r>
      <w:r>
        <w:rPr>
          <w:rFonts w:ascii="Times New Roman" w:hAnsi="Times New Roman" w:cs="Times New Roman"/>
          <w:spacing w:val="53"/>
          <w:sz w:val="23"/>
          <w:szCs w:val="23"/>
        </w:rPr>
        <w:t xml:space="preserve"> </w:t>
      </w:r>
      <w:r>
        <w:rPr>
          <w:rFonts w:ascii="Times New Roman" w:hAnsi="Times New Roman" w:cs="Times New Roman"/>
          <w:sz w:val="23"/>
          <w:szCs w:val="23"/>
        </w:rPr>
        <w:t>lives.</w:t>
      </w:r>
    </w:p>
    <w:p w:rsidR="002C5025" w:rsidRDefault="00FB027C">
      <w:pPr>
        <w:pStyle w:val="BodyText"/>
        <w:kinsoku w:val="0"/>
        <w:overflowPunct w:val="0"/>
        <w:rPr>
          <w:rFonts w:ascii="Times New Roman" w:hAnsi="Times New Roman" w:cs="Times New Roman"/>
        </w:rPr>
      </w:pPr>
      <w:r>
        <w:rPr>
          <w:noProof/>
        </w:rPr>
        <mc:AlternateContent>
          <mc:Choice Requires="wpg">
            <w:drawing>
              <wp:anchor distT="0" distB="0" distL="0" distR="0" simplePos="0" relativeHeight="251497984" behindDoc="0" locked="0" layoutInCell="0" allowOverlap="1">
                <wp:simplePos x="0" y="0"/>
                <wp:positionH relativeFrom="page">
                  <wp:posOffset>876935</wp:posOffset>
                </wp:positionH>
                <wp:positionV relativeFrom="paragraph">
                  <wp:posOffset>185420</wp:posOffset>
                </wp:positionV>
                <wp:extent cx="2487295" cy="1261745"/>
                <wp:effectExtent l="0" t="0" r="0" b="0"/>
                <wp:wrapTopAndBottom/>
                <wp:docPr id="900"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87295" cy="1261745"/>
                          <a:chOff x="1381" y="292"/>
                          <a:chExt cx="3917" cy="1987"/>
                        </a:xfrm>
                      </wpg:grpSpPr>
                      <pic:pic xmlns:pic="http://schemas.openxmlformats.org/drawingml/2006/picture">
                        <pic:nvPicPr>
                          <pic:cNvPr id="901" name="Picture 124"/>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1382" y="293"/>
                            <a:ext cx="3920" cy="1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02" name="Text Box 125"/>
                        <wps:cNvSpPr txBox="1">
                          <a:spLocks noChangeArrowheads="1"/>
                        </wps:cNvSpPr>
                        <wps:spPr bwMode="auto">
                          <a:xfrm>
                            <a:off x="2220" y="1912"/>
                            <a:ext cx="592"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pStyle w:val="BodyText"/>
                                <w:kinsoku w:val="0"/>
                                <w:overflowPunct w:val="0"/>
                                <w:spacing w:line="230" w:lineRule="exact"/>
                                <w:ind w:right="-16"/>
                                <w:rPr>
                                  <w:rFonts w:ascii="Times New Roman" w:hAnsi="Times New Roman" w:cs="Times New Roman"/>
                                  <w:sz w:val="23"/>
                                  <w:szCs w:val="23"/>
                                </w:rPr>
                              </w:pPr>
                              <w:r>
                                <w:rPr>
                                  <w:rFonts w:ascii="Times New Roman" w:hAnsi="Times New Roman" w:cs="Times New Roman"/>
                                  <w:sz w:val="23"/>
                                  <w:szCs w:val="23"/>
                                </w:rPr>
                                <w:t>t/CEO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3" o:spid="_x0000_s1077" style="position:absolute;margin-left:69.05pt;margin-top:14.6pt;width:195.85pt;height:99.35pt;z-index:251497984;mso-wrap-distance-left:0;mso-wrap-distance-right:0;mso-position-horizontal-relative:page" coordorigin="1381,292" coordsize="3917,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4" o:spid="_x0000_s1078" type="#_x0000_t75" style="position:absolute;left:1382;top:293;width:3920;height:19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dp9ifEAAAA3AAAAA8AAABkcnMvZG93bnJldi54bWxEj0FrAjEUhO9C/0N4Qm+arBRrt0YpQsGL&#10;lVoPPT42z+zi5mVJUnf996YgeBxm5htmuR5cKy4UYuNZQzFVIIgrbxq2Go4/n5MFiJiQDbaeScOV&#10;IqxXT6Mllsb3/E2XQ7IiQziWqKFOqSuljFVNDuPUd8TZO/ngMGUZrDQB+wx3rZwpNZcOG84LNXa0&#10;qak6H/6cht6q4+uvHdLLYl7I6/7rFHbbvdbP4+HjHUSiIT3C9/bWaHhTBfyfyUdArm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dp9ifEAAAA3AAAAA8AAAAAAAAAAAAAAAAA&#10;nwIAAGRycy9kb3ducmV2LnhtbFBLBQYAAAAABAAEAPcAAACQAwAAAAA=&#10;">
                  <v:imagedata r:id="rId102" o:title=""/>
                </v:shape>
                <v:shape id="Text Box 125" o:spid="_x0000_s1079" type="#_x0000_t202" style="position:absolute;left:2220;top:1912;width:592;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4zMMUA&#10;AADcAAAADwAAAGRycy9kb3ducmV2LnhtbESPQWvCQBSE7wX/w/IKvdXdepAa3YgUhUKhGOPB42v2&#10;JVnMvo3Zrab/3i0Uehxm5htmtR5dJ640BOtZw8tUgSCuvLHcaDiWu+dXECEiG+w8k4YfCrDOJw8r&#10;zIy/cUHXQ2xEgnDIUEMbY59JGaqWHIap74mTV/vBYUxyaKQZ8JbgrpMzpebSoeW00GJPby1V58O3&#10;07A5cbG1l8+vfVEXtiwXij/mZ62fHsfNEkSkMf6H/9rvRsNCzeD3TDoCMr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XjMwxQAAANwAAAAPAAAAAAAAAAAAAAAAAJgCAABkcnMv&#10;ZG93bnJldi54bWxQSwUGAAAAAAQABAD1AAAAigMAAAAA&#10;" filled="f" stroked="f">
                  <v:textbox inset="0,0,0,0">
                    <w:txbxContent>
                      <w:p w:rsidR="007B2B7B" w:rsidRDefault="007B2B7B">
                        <w:pPr>
                          <w:pStyle w:val="BodyText"/>
                          <w:kinsoku w:val="0"/>
                          <w:overflowPunct w:val="0"/>
                          <w:spacing w:line="230" w:lineRule="exact"/>
                          <w:ind w:right="-16"/>
                          <w:rPr>
                            <w:rFonts w:ascii="Times New Roman" w:hAnsi="Times New Roman" w:cs="Times New Roman"/>
                            <w:sz w:val="23"/>
                            <w:szCs w:val="23"/>
                          </w:rPr>
                        </w:pPr>
                        <w:r>
                          <w:rPr>
                            <w:rFonts w:ascii="Times New Roman" w:hAnsi="Times New Roman" w:cs="Times New Roman"/>
                            <w:sz w:val="23"/>
                            <w:szCs w:val="23"/>
                          </w:rPr>
                          <w:t>t/CEO</w:t>
                        </w:r>
                      </w:p>
                    </w:txbxContent>
                  </v:textbox>
                </v:shape>
                <w10:wrap type="topAndBottom" anchorx="page"/>
              </v:group>
            </w:pict>
          </mc:Fallback>
        </mc:AlternateConten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spacing w:before="74"/>
        <w:ind w:left="103" w:right="97"/>
        <w:rPr>
          <w:rFonts w:ascii="Times New Roman" w:hAnsi="Times New Roman" w:cs="Times New Roman"/>
          <w:sz w:val="20"/>
          <w:szCs w:val="20"/>
        </w:rPr>
      </w:pPr>
      <w:r>
        <w:rPr>
          <w:rFonts w:ascii="Times New Roman" w:hAnsi="Times New Roman" w:cs="Times New Roman"/>
          <w:sz w:val="20"/>
          <w:szCs w:val="20"/>
        </w:rPr>
        <w:t>4 1 P a g  e</w:t>
      </w:r>
    </w:p>
    <w:p w:rsidR="002C5025" w:rsidRDefault="002C5025">
      <w:pPr>
        <w:pStyle w:val="BodyText"/>
        <w:kinsoku w:val="0"/>
        <w:overflowPunct w:val="0"/>
        <w:spacing w:before="74"/>
        <w:ind w:left="103" w:right="97"/>
        <w:rPr>
          <w:rFonts w:ascii="Times New Roman" w:hAnsi="Times New Roman" w:cs="Times New Roman"/>
          <w:sz w:val="20"/>
          <w:szCs w:val="20"/>
        </w:rPr>
        <w:sectPr w:rsidR="002C5025">
          <w:pgSz w:w="12240" w:h="15840"/>
          <w:pgMar w:top="1500" w:right="1700" w:bottom="280" w:left="1260" w:header="720" w:footer="720" w:gutter="0"/>
          <w:cols w:space="720" w:equalWidth="0">
            <w:col w:w="9280"/>
          </w:cols>
          <w:noEndnote/>
        </w:sectPr>
      </w:pPr>
    </w:p>
    <w:p w:rsidR="002C5025" w:rsidRDefault="00FB027C">
      <w:pPr>
        <w:pStyle w:val="BodyText"/>
        <w:kinsoku w:val="0"/>
        <w:overflowPunct w:val="0"/>
        <w:ind w:left="108"/>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extent cx="7429500" cy="157162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7429500" cy="1571625"/>
                    </a:xfrm>
                    <a:prstGeom prst="rect">
                      <a:avLst/>
                    </a:prstGeom>
                    <a:noFill/>
                    <a:ln>
                      <a:noFill/>
                    </a:ln>
                  </pic:spPr>
                </pic:pic>
              </a:graphicData>
            </a:graphic>
          </wp:inline>
        </w:drawing>
      </w:r>
    </w:p>
    <w:p w:rsidR="002C5025" w:rsidRDefault="002C5025">
      <w:pPr>
        <w:pStyle w:val="BodyText"/>
        <w:kinsoku w:val="0"/>
        <w:overflowPunct w:val="0"/>
        <w:ind w:left="108"/>
        <w:rPr>
          <w:rFonts w:ascii="Times New Roman" w:hAnsi="Times New Roman" w:cs="Times New Roman"/>
          <w:sz w:val="20"/>
          <w:szCs w:val="20"/>
        </w:rPr>
        <w:sectPr w:rsidR="002C5025">
          <w:pgSz w:w="12240" w:h="15840"/>
          <w:pgMar w:top="640" w:right="140" w:bottom="0" w:left="180" w:header="720" w:footer="720" w:gutter="0"/>
          <w:cols w:space="720" w:equalWidth="0">
            <w:col w:w="11920"/>
          </w:cols>
          <w:noEndnote/>
        </w:sectPr>
      </w:pPr>
    </w:p>
    <w:p w:rsidR="002C5025" w:rsidRDefault="002C5025">
      <w:pPr>
        <w:pStyle w:val="BodyText"/>
        <w:kinsoku w:val="0"/>
        <w:overflowPunct w:val="0"/>
        <w:spacing w:before="9"/>
        <w:rPr>
          <w:rFonts w:ascii="Times New Roman" w:hAnsi="Times New Roman" w:cs="Times New Roman"/>
          <w:sz w:val="20"/>
          <w:szCs w:val="20"/>
        </w:rPr>
      </w:pPr>
    </w:p>
    <w:p w:rsidR="002C5025" w:rsidRDefault="002C5025">
      <w:pPr>
        <w:pStyle w:val="BodyText"/>
        <w:kinsoku w:val="0"/>
        <w:overflowPunct w:val="0"/>
        <w:ind w:left="352"/>
        <w:rPr>
          <w:rFonts w:ascii="Times New Roman" w:hAnsi="Times New Roman" w:cs="Times New Roman"/>
          <w:w w:val="105"/>
          <w:sz w:val="23"/>
          <w:szCs w:val="23"/>
        </w:rPr>
      </w:pPr>
      <w:bookmarkStart w:id="33" w:name="Advocates_for_Autism_MA_AFAM__Submission"/>
      <w:bookmarkEnd w:id="33"/>
      <w:r>
        <w:rPr>
          <w:rFonts w:ascii="Times New Roman" w:hAnsi="Times New Roman" w:cs="Times New Roman"/>
          <w:w w:val="105"/>
          <w:sz w:val="23"/>
          <w:szCs w:val="23"/>
        </w:rPr>
        <w:t>June 23, 2016</w:t>
      </w:r>
    </w:p>
    <w:p w:rsidR="002C5025" w:rsidRDefault="002C5025">
      <w:pPr>
        <w:pStyle w:val="BodyText"/>
        <w:kinsoku w:val="0"/>
        <w:overflowPunct w:val="0"/>
        <w:spacing w:before="2"/>
        <w:rPr>
          <w:rFonts w:ascii="Times New Roman" w:hAnsi="Times New Roman" w:cs="Times New Roman"/>
          <w:sz w:val="25"/>
          <w:szCs w:val="25"/>
        </w:rPr>
      </w:pPr>
    </w:p>
    <w:p w:rsidR="002C5025" w:rsidRDefault="002C5025">
      <w:pPr>
        <w:pStyle w:val="BodyText"/>
        <w:kinsoku w:val="0"/>
        <w:overflowPunct w:val="0"/>
        <w:spacing w:line="254" w:lineRule="auto"/>
        <w:ind w:left="352"/>
        <w:rPr>
          <w:rFonts w:ascii="Times New Roman" w:hAnsi="Times New Roman" w:cs="Times New Roman"/>
          <w:sz w:val="23"/>
          <w:szCs w:val="23"/>
        </w:rPr>
      </w:pPr>
      <w:r>
        <w:rPr>
          <w:rFonts w:ascii="Times New Roman" w:hAnsi="Times New Roman" w:cs="Times New Roman"/>
          <w:sz w:val="23"/>
          <w:szCs w:val="23"/>
        </w:rPr>
        <w:t>Daniel Tsai, Assistant Secretary and Director of MassHealth Executive  Office of Health  and Human Services</w:t>
      </w:r>
    </w:p>
    <w:p w:rsidR="002C5025" w:rsidRDefault="002C5025">
      <w:pPr>
        <w:pStyle w:val="BodyText"/>
        <w:kinsoku w:val="0"/>
        <w:overflowPunct w:val="0"/>
        <w:spacing w:before="1" w:line="254" w:lineRule="auto"/>
        <w:ind w:left="352" w:right="206"/>
        <w:rPr>
          <w:rFonts w:ascii="Times New Roman" w:hAnsi="Times New Roman" w:cs="Times New Roman"/>
          <w:w w:val="105"/>
          <w:sz w:val="23"/>
          <w:szCs w:val="23"/>
        </w:rPr>
      </w:pPr>
      <w:r>
        <w:rPr>
          <w:rFonts w:ascii="Times New Roman" w:hAnsi="Times New Roman" w:cs="Times New Roman"/>
          <w:w w:val="105"/>
          <w:sz w:val="23"/>
          <w:szCs w:val="23"/>
        </w:rPr>
        <w:t>Office</w:t>
      </w:r>
      <w:r>
        <w:rPr>
          <w:rFonts w:ascii="Times New Roman" w:hAnsi="Times New Roman" w:cs="Times New Roman"/>
          <w:spacing w:val="-17"/>
          <w:w w:val="105"/>
          <w:sz w:val="23"/>
          <w:szCs w:val="23"/>
        </w:rPr>
        <w:t xml:space="preserve"> </w:t>
      </w:r>
      <w:r>
        <w:rPr>
          <w:rFonts w:ascii="Times New Roman" w:hAnsi="Times New Roman" w:cs="Times New Roman"/>
          <w:w w:val="105"/>
          <w:sz w:val="23"/>
          <w:szCs w:val="23"/>
        </w:rPr>
        <w:t>of</w:t>
      </w:r>
      <w:r>
        <w:rPr>
          <w:rFonts w:ascii="Times New Roman" w:hAnsi="Times New Roman" w:cs="Times New Roman"/>
          <w:spacing w:val="-26"/>
          <w:w w:val="105"/>
          <w:sz w:val="23"/>
          <w:szCs w:val="23"/>
        </w:rPr>
        <w:t xml:space="preserve"> </w:t>
      </w:r>
      <w:r>
        <w:rPr>
          <w:rFonts w:ascii="Times New Roman" w:hAnsi="Times New Roman" w:cs="Times New Roman"/>
          <w:w w:val="105"/>
          <w:sz w:val="23"/>
          <w:szCs w:val="23"/>
        </w:rPr>
        <w:t>Medicaid,</w:t>
      </w:r>
      <w:r>
        <w:rPr>
          <w:rFonts w:ascii="Times New Roman" w:hAnsi="Times New Roman" w:cs="Times New Roman"/>
          <w:spacing w:val="-16"/>
          <w:w w:val="105"/>
          <w:sz w:val="23"/>
          <w:szCs w:val="23"/>
        </w:rPr>
        <w:t xml:space="preserve"> </w:t>
      </w:r>
      <w:r>
        <w:rPr>
          <w:rFonts w:ascii="Times New Roman" w:hAnsi="Times New Roman" w:cs="Times New Roman"/>
          <w:w w:val="105"/>
          <w:sz w:val="23"/>
          <w:szCs w:val="23"/>
          <w:u w:val="thick"/>
        </w:rPr>
        <w:t>Attn:</w:t>
      </w:r>
      <w:r>
        <w:rPr>
          <w:rFonts w:ascii="Times New Roman" w:hAnsi="Times New Roman" w:cs="Times New Roman"/>
          <w:spacing w:val="-2"/>
          <w:w w:val="105"/>
          <w:sz w:val="23"/>
          <w:szCs w:val="23"/>
          <w:u w:val="thick"/>
        </w:rPr>
        <w:t xml:space="preserve"> </w:t>
      </w:r>
      <w:r>
        <w:rPr>
          <w:rFonts w:ascii="Times New Roman" w:hAnsi="Times New Roman" w:cs="Times New Roman"/>
          <w:w w:val="105"/>
          <w:sz w:val="23"/>
          <w:szCs w:val="23"/>
          <w:u w:val="thick"/>
        </w:rPr>
        <w:t>1115</w:t>
      </w:r>
      <w:r>
        <w:rPr>
          <w:rFonts w:ascii="Times New Roman" w:hAnsi="Times New Roman" w:cs="Times New Roman"/>
          <w:spacing w:val="-39"/>
          <w:w w:val="105"/>
          <w:sz w:val="23"/>
          <w:szCs w:val="23"/>
          <w:u w:val="thick"/>
        </w:rPr>
        <w:t xml:space="preserve"> </w:t>
      </w:r>
      <w:r>
        <w:rPr>
          <w:rFonts w:ascii="Times New Roman" w:hAnsi="Times New Roman" w:cs="Times New Roman"/>
          <w:w w:val="105"/>
          <w:sz w:val="23"/>
          <w:szCs w:val="23"/>
          <w:u w:val="thick"/>
        </w:rPr>
        <w:t>Demonstration</w:t>
      </w:r>
      <w:r>
        <w:rPr>
          <w:rFonts w:ascii="Times New Roman" w:hAnsi="Times New Roman" w:cs="Times New Roman"/>
          <w:spacing w:val="-1"/>
          <w:w w:val="105"/>
          <w:sz w:val="23"/>
          <w:szCs w:val="23"/>
          <w:u w:val="thick"/>
        </w:rPr>
        <w:t xml:space="preserve"> </w:t>
      </w:r>
      <w:r>
        <w:rPr>
          <w:rFonts w:ascii="Times New Roman" w:hAnsi="Times New Roman" w:cs="Times New Roman"/>
          <w:w w:val="105"/>
          <w:sz w:val="23"/>
          <w:szCs w:val="23"/>
          <w:u w:val="thick"/>
        </w:rPr>
        <w:t>Comments</w:t>
      </w:r>
      <w:r>
        <w:rPr>
          <w:rFonts w:ascii="Times New Roman" w:hAnsi="Times New Roman" w:cs="Times New Roman"/>
          <w:sz w:val="23"/>
          <w:szCs w:val="23"/>
        </w:rPr>
        <w:t xml:space="preserve"> </w:t>
      </w:r>
      <w:r>
        <w:rPr>
          <w:rFonts w:ascii="Times New Roman" w:hAnsi="Times New Roman" w:cs="Times New Roman"/>
          <w:w w:val="105"/>
          <w:sz w:val="23"/>
          <w:szCs w:val="23"/>
        </w:rPr>
        <w:t xml:space="preserve">One Ashburton Place </w:t>
      </w:r>
      <w:r>
        <w:rPr>
          <w:rFonts w:ascii="Times New Roman" w:hAnsi="Times New Roman" w:cs="Times New Roman"/>
          <w:spacing w:val="-7"/>
          <w:w w:val="105"/>
          <w:sz w:val="23"/>
          <w:szCs w:val="23"/>
        </w:rPr>
        <w:t>11th</w:t>
      </w:r>
      <w:r>
        <w:rPr>
          <w:rFonts w:ascii="Times New Roman" w:hAnsi="Times New Roman" w:cs="Times New Roman"/>
          <w:spacing w:val="-23"/>
          <w:w w:val="105"/>
          <w:sz w:val="23"/>
          <w:szCs w:val="23"/>
        </w:rPr>
        <w:t xml:space="preserve"> </w:t>
      </w:r>
      <w:r>
        <w:rPr>
          <w:rFonts w:ascii="Times New Roman" w:hAnsi="Times New Roman" w:cs="Times New Roman"/>
          <w:w w:val="105"/>
          <w:sz w:val="23"/>
          <w:szCs w:val="23"/>
        </w:rPr>
        <w:t>Floor</w:t>
      </w:r>
    </w:p>
    <w:p w:rsidR="002C5025" w:rsidRDefault="002C5025">
      <w:pPr>
        <w:pStyle w:val="BodyText"/>
        <w:kinsoku w:val="0"/>
        <w:overflowPunct w:val="0"/>
        <w:spacing w:line="258" w:lineRule="exact"/>
        <w:ind w:left="345"/>
        <w:rPr>
          <w:rFonts w:ascii="Times New Roman" w:hAnsi="Times New Roman" w:cs="Times New Roman"/>
          <w:w w:val="105"/>
          <w:sz w:val="23"/>
          <w:szCs w:val="23"/>
        </w:rPr>
      </w:pPr>
      <w:r>
        <w:rPr>
          <w:rFonts w:ascii="Times New Roman" w:hAnsi="Times New Roman" w:cs="Times New Roman"/>
          <w:w w:val="105"/>
          <w:sz w:val="23"/>
          <w:szCs w:val="23"/>
        </w:rPr>
        <w:t>Boston, MA</w:t>
      </w:r>
      <w:r>
        <w:rPr>
          <w:rFonts w:ascii="Times New Roman" w:hAnsi="Times New Roman" w:cs="Times New Roman"/>
          <w:spacing w:val="52"/>
          <w:w w:val="105"/>
          <w:sz w:val="23"/>
          <w:szCs w:val="23"/>
        </w:rPr>
        <w:t xml:space="preserve"> </w:t>
      </w:r>
      <w:r>
        <w:rPr>
          <w:rFonts w:ascii="Times New Roman" w:hAnsi="Times New Roman" w:cs="Times New Roman"/>
          <w:w w:val="105"/>
          <w:sz w:val="23"/>
          <w:szCs w:val="23"/>
        </w:rPr>
        <w:t>02108</w:t>
      </w:r>
    </w:p>
    <w:p w:rsidR="002C5025" w:rsidRDefault="002C5025">
      <w:pPr>
        <w:pStyle w:val="BodyText"/>
        <w:kinsoku w:val="0"/>
        <w:overflowPunct w:val="0"/>
        <w:spacing w:before="29"/>
        <w:ind w:left="341" w:right="584"/>
        <w:jc w:val="center"/>
        <w:rPr>
          <w:rFonts w:ascii="Arial" w:hAnsi="Arial" w:cs="Arial"/>
          <w:b/>
          <w:bCs/>
          <w:i/>
          <w:iCs/>
          <w:w w:val="90"/>
          <w:sz w:val="53"/>
          <w:szCs w:val="53"/>
        </w:rPr>
      </w:pPr>
      <w:r>
        <w:rPr>
          <w:rFonts w:ascii="Times New Roman" w:hAnsi="Times New Roman" w:cs="Times New Roman"/>
          <w:sz w:val="24"/>
          <w:szCs w:val="24"/>
        </w:rPr>
        <w:br w:type="column"/>
      </w:r>
      <w:r>
        <w:rPr>
          <w:rFonts w:ascii="Arial" w:hAnsi="Arial" w:cs="Arial"/>
          <w:b/>
          <w:bCs/>
          <w:i/>
          <w:iCs/>
          <w:w w:val="90"/>
          <w:sz w:val="53"/>
          <w:szCs w:val="53"/>
        </w:rPr>
        <w:lastRenderedPageBreak/>
        <w:t>RECEIVED</w:t>
      </w:r>
    </w:p>
    <w:p w:rsidR="002C5025" w:rsidRDefault="002C5025">
      <w:pPr>
        <w:pStyle w:val="BodyText"/>
        <w:kinsoku w:val="0"/>
        <w:overflowPunct w:val="0"/>
        <w:spacing w:before="54"/>
        <w:ind w:left="324" w:right="648"/>
        <w:jc w:val="center"/>
        <w:rPr>
          <w:rFonts w:ascii="Arial" w:hAnsi="Arial" w:cs="Arial"/>
          <w:w w:val="85"/>
          <w:sz w:val="27"/>
          <w:szCs w:val="27"/>
        </w:rPr>
      </w:pPr>
      <w:r>
        <w:rPr>
          <w:rFonts w:ascii="Arial" w:hAnsi="Arial" w:cs="Arial"/>
          <w:w w:val="85"/>
          <w:sz w:val="27"/>
          <w:szCs w:val="27"/>
        </w:rPr>
        <w:t xml:space="preserve">JUN </w:t>
      </w:r>
      <w:r>
        <w:rPr>
          <w:rFonts w:ascii="Times New Roman" w:hAnsi="Times New Roman" w:cs="Times New Roman"/>
          <w:w w:val="85"/>
          <w:sz w:val="33"/>
          <w:szCs w:val="33"/>
        </w:rPr>
        <w:t xml:space="preserve">2 </w:t>
      </w:r>
      <w:r>
        <w:rPr>
          <w:rFonts w:ascii="Arial" w:hAnsi="Arial" w:cs="Arial"/>
          <w:w w:val="85"/>
          <w:sz w:val="27"/>
          <w:szCs w:val="27"/>
        </w:rPr>
        <w:t>7 2016</w:t>
      </w:r>
    </w:p>
    <w:p w:rsidR="002C5025" w:rsidRDefault="002C5025">
      <w:pPr>
        <w:pStyle w:val="BodyText"/>
        <w:kinsoku w:val="0"/>
        <w:overflowPunct w:val="0"/>
        <w:spacing w:before="258"/>
        <w:ind w:left="178" w:right="648"/>
        <w:jc w:val="center"/>
        <w:rPr>
          <w:rFonts w:ascii="Arial" w:hAnsi="Arial" w:cs="Arial"/>
          <w:b/>
          <w:bCs/>
          <w:i/>
          <w:iCs/>
          <w:w w:val="55"/>
          <w:sz w:val="39"/>
          <w:szCs w:val="39"/>
        </w:rPr>
      </w:pPr>
      <w:r>
        <w:rPr>
          <w:rFonts w:ascii="Times New Roman" w:hAnsi="Times New Roman" w:cs="Times New Roman"/>
          <w:b/>
          <w:bCs/>
          <w:w w:val="55"/>
          <w:sz w:val="41"/>
          <w:szCs w:val="41"/>
        </w:rPr>
        <w:t xml:space="preserve">OFFICE OF </w:t>
      </w:r>
      <w:r>
        <w:rPr>
          <w:rFonts w:ascii="Arial" w:hAnsi="Arial" w:cs="Arial"/>
          <w:b/>
          <w:bCs/>
          <w:i/>
          <w:iCs/>
          <w:w w:val="55"/>
          <w:sz w:val="39"/>
          <w:szCs w:val="39"/>
        </w:rPr>
        <w:t>MEDICAID</w:t>
      </w:r>
    </w:p>
    <w:p w:rsidR="002C5025" w:rsidRDefault="002C5025">
      <w:pPr>
        <w:pStyle w:val="BodyText"/>
        <w:kinsoku w:val="0"/>
        <w:overflowPunct w:val="0"/>
        <w:spacing w:before="258"/>
        <w:ind w:left="178" w:right="648"/>
        <w:jc w:val="center"/>
        <w:rPr>
          <w:rFonts w:ascii="Arial" w:hAnsi="Arial" w:cs="Arial"/>
          <w:b/>
          <w:bCs/>
          <w:i/>
          <w:iCs/>
          <w:w w:val="55"/>
          <w:sz w:val="39"/>
          <w:szCs w:val="39"/>
        </w:rPr>
        <w:sectPr w:rsidR="002C5025">
          <w:type w:val="continuous"/>
          <w:pgSz w:w="12240" w:h="15840"/>
          <w:pgMar w:top="720" w:right="140" w:bottom="280" w:left="180" w:header="720" w:footer="720" w:gutter="0"/>
          <w:cols w:num="2" w:space="720" w:equalWidth="0">
            <w:col w:w="6091" w:space="2297"/>
            <w:col w:w="3532"/>
          </w:cols>
          <w:noEndnote/>
        </w:sectPr>
      </w:pPr>
    </w:p>
    <w:p w:rsidR="002C5025" w:rsidRDefault="002C5025">
      <w:pPr>
        <w:pStyle w:val="BodyText"/>
        <w:kinsoku w:val="0"/>
        <w:overflowPunct w:val="0"/>
        <w:spacing w:before="8"/>
        <w:rPr>
          <w:rFonts w:ascii="Arial" w:hAnsi="Arial" w:cs="Arial"/>
          <w:b/>
          <w:bCs/>
          <w:i/>
          <w:iCs/>
          <w:sz w:val="14"/>
          <w:szCs w:val="14"/>
        </w:rPr>
      </w:pPr>
    </w:p>
    <w:p w:rsidR="002C5025" w:rsidRDefault="002C5025">
      <w:pPr>
        <w:pStyle w:val="BodyText"/>
        <w:kinsoku w:val="0"/>
        <w:overflowPunct w:val="0"/>
        <w:spacing w:before="70" w:line="254" w:lineRule="auto"/>
        <w:ind w:left="338" w:right="408" w:firstLine="7"/>
        <w:rPr>
          <w:rFonts w:ascii="Times New Roman" w:hAnsi="Times New Roman" w:cs="Times New Roman"/>
          <w:sz w:val="23"/>
          <w:szCs w:val="23"/>
        </w:rPr>
      </w:pPr>
      <w:r>
        <w:rPr>
          <w:rFonts w:ascii="Times New Roman" w:hAnsi="Times New Roman" w:cs="Times New Roman"/>
          <w:sz w:val="23"/>
          <w:szCs w:val="23"/>
        </w:rPr>
        <w:t xml:space="preserve">RE:  </w:t>
      </w:r>
      <w:r>
        <w:rPr>
          <w:rFonts w:ascii="Times New Roman" w:hAnsi="Times New Roman" w:cs="Times New Roman"/>
          <w:sz w:val="23"/>
          <w:szCs w:val="23"/>
          <w:u w:val="thick"/>
        </w:rPr>
        <w:t>Comments  on Demonstration  Extension  Request  -Restructuring  of MassHealth  and its Impact  on the  Delivery of Physical  and Behavioral  Healthcare  and LTSS to People with  Autism</w:t>
      </w:r>
    </w:p>
    <w:p w:rsidR="002C5025" w:rsidRDefault="002C5025">
      <w:pPr>
        <w:pStyle w:val="BodyText"/>
        <w:kinsoku w:val="0"/>
        <w:overflowPunct w:val="0"/>
        <w:spacing w:before="5"/>
        <w:rPr>
          <w:rFonts w:ascii="Times New Roman" w:hAnsi="Times New Roman" w:cs="Times New Roman"/>
          <w:sz w:val="19"/>
          <w:szCs w:val="19"/>
        </w:rPr>
      </w:pPr>
    </w:p>
    <w:p w:rsidR="002C5025" w:rsidRDefault="002C5025">
      <w:pPr>
        <w:pStyle w:val="BodyText"/>
        <w:kinsoku w:val="0"/>
        <w:overflowPunct w:val="0"/>
        <w:ind w:left="338" w:right="408"/>
        <w:rPr>
          <w:rFonts w:ascii="Times New Roman" w:hAnsi="Times New Roman" w:cs="Times New Roman"/>
          <w:w w:val="105"/>
          <w:sz w:val="23"/>
          <w:szCs w:val="23"/>
        </w:rPr>
      </w:pPr>
      <w:r>
        <w:rPr>
          <w:rFonts w:ascii="Times New Roman" w:hAnsi="Times New Roman" w:cs="Times New Roman"/>
          <w:w w:val="105"/>
          <w:sz w:val="23"/>
          <w:szCs w:val="23"/>
        </w:rPr>
        <w:t>Dear Assistant Secretary Tsai:</w:t>
      </w:r>
    </w:p>
    <w:p w:rsidR="002C5025" w:rsidRDefault="002C5025">
      <w:pPr>
        <w:pStyle w:val="BodyText"/>
        <w:kinsoku w:val="0"/>
        <w:overflowPunct w:val="0"/>
        <w:spacing w:before="8"/>
        <w:rPr>
          <w:rFonts w:ascii="Times New Roman" w:hAnsi="Times New Roman" w:cs="Times New Roman"/>
          <w:sz w:val="17"/>
          <w:szCs w:val="17"/>
        </w:rPr>
      </w:pPr>
    </w:p>
    <w:p w:rsidR="002C5025" w:rsidRDefault="002C5025">
      <w:pPr>
        <w:pStyle w:val="BodyText"/>
        <w:kinsoku w:val="0"/>
        <w:overflowPunct w:val="0"/>
        <w:spacing w:line="249" w:lineRule="auto"/>
        <w:ind w:left="331" w:right="408"/>
        <w:rPr>
          <w:rFonts w:ascii="Times New Roman" w:hAnsi="Times New Roman" w:cs="Times New Roman"/>
          <w:w w:val="105"/>
          <w:sz w:val="23"/>
          <w:szCs w:val="23"/>
        </w:rPr>
      </w:pPr>
      <w:r>
        <w:rPr>
          <w:rFonts w:ascii="Times New Roman" w:hAnsi="Times New Roman" w:cs="Times New Roman"/>
          <w:w w:val="105"/>
          <w:sz w:val="23"/>
          <w:szCs w:val="23"/>
        </w:rPr>
        <w:t>As</w:t>
      </w:r>
      <w:r>
        <w:rPr>
          <w:rFonts w:ascii="Times New Roman" w:hAnsi="Times New Roman" w:cs="Times New Roman"/>
          <w:spacing w:val="-2"/>
          <w:w w:val="105"/>
          <w:sz w:val="23"/>
          <w:szCs w:val="23"/>
        </w:rPr>
        <w:t xml:space="preserve"> </w:t>
      </w:r>
      <w:r>
        <w:rPr>
          <w:rFonts w:ascii="Times New Roman" w:hAnsi="Times New Roman" w:cs="Times New Roman"/>
          <w:w w:val="105"/>
          <w:sz w:val="23"/>
          <w:szCs w:val="23"/>
        </w:rPr>
        <w:t>Chair</w:t>
      </w:r>
      <w:r>
        <w:rPr>
          <w:rFonts w:ascii="Times New Roman" w:hAnsi="Times New Roman" w:cs="Times New Roman"/>
          <w:spacing w:val="-24"/>
          <w:w w:val="105"/>
          <w:sz w:val="23"/>
          <w:szCs w:val="23"/>
        </w:rPr>
        <w:t xml:space="preserve"> </w:t>
      </w:r>
      <w:r>
        <w:rPr>
          <w:rFonts w:ascii="Times New Roman" w:hAnsi="Times New Roman" w:cs="Times New Roman"/>
          <w:w w:val="105"/>
          <w:sz w:val="23"/>
          <w:szCs w:val="23"/>
        </w:rPr>
        <w:t>of</w:t>
      </w:r>
      <w:r>
        <w:rPr>
          <w:rFonts w:ascii="Times New Roman" w:hAnsi="Times New Roman" w:cs="Times New Roman"/>
          <w:spacing w:val="-16"/>
          <w:w w:val="105"/>
          <w:sz w:val="23"/>
          <w:szCs w:val="23"/>
        </w:rPr>
        <w:t xml:space="preserve"> </w:t>
      </w:r>
      <w:r>
        <w:rPr>
          <w:rFonts w:ascii="Times New Roman" w:hAnsi="Times New Roman" w:cs="Times New Roman"/>
          <w:w w:val="105"/>
          <w:sz w:val="23"/>
          <w:szCs w:val="23"/>
        </w:rPr>
        <w:t>Advocates</w:t>
      </w:r>
      <w:r>
        <w:rPr>
          <w:rFonts w:ascii="Times New Roman" w:hAnsi="Times New Roman" w:cs="Times New Roman"/>
          <w:spacing w:val="7"/>
          <w:w w:val="105"/>
          <w:sz w:val="23"/>
          <w:szCs w:val="23"/>
        </w:rPr>
        <w:t xml:space="preserve"> </w:t>
      </w:r>
      <w:r>
        <w:rPr>
          <w:rFonts w:ascii="Times New Roman" w:hAnsi="Times New Roman" w:cs="Times New Roman"/>
          <w:w w:val="105"/>
          <w:sz w:val="23"/>
          <w:szCs w:val="23"/>
        </w:rPr>
        <w:t>for</w:t>
      </w:r>
      <w:r>
        <w:rPr>
          <w:rFonts w:ascii="Times New Roman" w:hAnsi="Times New Roman" w:cs="Times New Roman"/>
          <w:spacing w:val="-18"/>
          <w:w w:val="105"/>
          <w:sz w:val="23"/>
          <w:szCs w:val="23"/>
        </w:rPr>
        <w:t xml:space="preserve"> </w:t>
      </w:r>
      <w:r>
        <w:rPr>
          <w:rFonts w:ascii="Times New Roman" w:hAnsi="Times New Roman" w:cs="Times New Roman"/>
          <w:w w:val="105"/>
          <w:sz w:val="23"/>
          <w:szCs w:val="23"/>
        </w:rPr>
        <w:t>Autism</w:t>
      </w:r>
      <w:r>
        <w:rPr>
          <w:rFonts w:ascii="Times New Roman" w:hAnsi="Times New Roman" w:cs="Times New Roman"/>
          <w:spacing w:val="-4"/>
          <w:w w:val="105"/>
          <w:sz w:val="23"/>
          <w:szCs w:val="23"/>
        </w:rPr>
        <w:t xml:space="preserve"> </w:t>
      </w:r>
      <w:r>
        <w:rPr>
          <w:rFonts w:ascii="Times New Roman" w:hAnsi="Times New Roman" w:cs="Times New Roman"/>
          <w:w w:val="105"/>
          <w:sz w:val="23"/>
          <w:szCs w:val="23"/>
        </w:rPr>
        <w:t>of</w:t>
      </w:r>
      <w:r>
        <w:rPr>
          <w:rFonts w:ascii="Times New Roman" w:hAnsi="Times New Roman" w:cs="Times New Roman"/>
          <w:spacing w:val="-23"/>
          <w:w w:val="105"/>
          <w:sz w:val="23"/>
          <w:szCs w:val="23"/>
        </w:rPr>
        <w:t xml:space="preserve"> </w:t>
      </w:r>
      <w:r>
        <w:rPr>
          <w:rFonts w:ascii="Times New Roman" w:hAnsi="Times New Roman" w:cs="Times New Roman"/>
          <w:w w:val="105"/>
          <w:sz w:val="23"/>
          <w:szCs w:val="23"/>
        </w:rPr>
        <w:t>Massachusetts</w:t>
      </w:r>
      <w:r>
        <w:rPr>
          <w:rFonts w:ascii="Times New Roman" w:hAnsi="Times New Roman" w:cs="Times New Roman"/>
          <w:spacing w:val="-4"/>
          <w:w w:val="105"/>
          <w:sz w:val="23"/>
          <w:szCs w:val="23"/>
        </w:rPr>
        <w:t xml:space="preserve"> </w:t>
      </w:r>
      <w:r>
        <w:rPr>
          <w:rFonts w:ascii="Times New Roman" w:hAnsi="Times New Roman" w:cs="Times New Roman"/>
          <w:w w:val="105"/>
          <w:sz w:val="23"/>
          <w:szCs w:val="23"/>
        </w:rPr>
        <w:t>(AFAM),</w:t>
      </w:r>
      <w:r>
        <w:rPr>
          <w:rFonts w:ascii="Times New Roman" w:hAnsi="Times New Roman" w:cs="Times New Roman"/>
          <w:spacing w:val="-5"/>
          <w:w w:val="105"/>
          <w:sz w:val="23"/>
          <w:szCs w:val="23"/>
        </w:rPr>
        <w:t xml:space="preserve"> </w:t>
      </w:r>
      <w:r>
        <w:rPr>
          <w:rFonts w:ascii="Times New Roman" w:hAnsi="Times New Roman" w:cs="Times New Roman"/>
          <w:w w:val="105"/>
          <w:sz w:val="23"/>
          <w:szCs w:val="23"/>
        </w:rPr>
        <w:t>I</w:t>
      </w:r>
      <w:r>
        <w:rPr>
          <w:rFonts w:ascii="Times New Roman" w:hAnsi="Times New Roman" w:cs="Times New Roman"/>
          <w:spacing w:val="-12"/>
          <w:w w:val="105"/>
          <w:sz w:val="23"/>
          <w:szCs w:val="23"/>
        </w:rPr>
        <w:t xml:space="preserve"> </w:t>
      </w:r>
      <w:r>
        <w:rPr>
          <w:rFonts w:ascii="Times New Roman" w:hAnsi="Times New Roman" w:cs="Times New Roman"/>
          <w:w w:val="105"/>
          <w:sz w:val="23"/>
          <w:szCs w:val="23"/>
        </w:rPr>
        <w:t>am</w:t>
      </w:r>
      <w:r>
        <w:rPr>
          <w:rFonts w:ascii="Times New Roman" w:hAnsi="Times New Roman" w:cs="Times New Roman"/>
          <w:spacing w:val="-12"/>
          <w:w w:val="105"/>
          <w:sz w:val="23"/>
          <w:szCs w:val="23"/>
        </w:rPr>
        <w:t xml:space="preserve"> </w:t>
      </w:r>
      <w:r>
        <w:rPr>
          <w:rFonts w:ascii="Times New Roman" w:hAnsi="Times New Roman" w:cs="Times New Roman"/>
          <w:w w:val="105"/>
          <w:sz w:val="23"/>
          <w:szCs w:val="23"/>
        </w:rPr>
        <w:t>writing</w:t>
      </w:r>
      <w:r>
        <w:rPr>
          <w:rFonts w:ascii="Times New Roman" w:hAnsi="Times New Roman" w:cs="Times New Roman"/>
          <w:spacing w:val="-4"/>
          <w:w w:val="105"/>
          <w:sz w:val="23"/>
          <w:szCs w:val="23"/>
        </w:rPr>
        <w:t xml:space="preserve"> </w:t>
      </w:r>
      <w:r>
        <w:rPr>
          <w:rFonts w:ascii="Times New Roman" w:hAnsi="Times New Roman" w:cs="Times New Roman"/>
          <w:w w:val="105"/>
          <w:sz w:val="23"/>
          <w:szCs w:val="23"/>
        </w:rPr>
        <w:t>about</w:t>
      </w:r>
      <w:r>
        <w:rPr>
          <w:rFonts w:ascii="Times New Roman" w:hAnsi="Times New Roman" w:cs="Times New Roman"/>
          <w:spacing w:val="-10"/>
          <w:w w:val="105"/>
          <w:sz w:val="23"/>
          <w:szCs w:val="23"/>
        </w:rPr>
        <w:t xml:space="preserve"> </w:t>
      </w:r>
      <w:r>
        <w:rPr>
          <w:rFonts w:ascii="Times New Roman" w:hAnsi="Times New Roman" w:cs="Times New Roman"/>
          <w:w w:val="105"/>
          <w:sz w:val="23"/>
          <w:szCs w:val="23"/>
        </w:rPr>
        <w:t>our</w:t>
      </w:r>
      <w:r>
        <w:rPr>
          <w:rFonts w:ascii="Times New Roman" w:hAnsi="Times New Roman" w:cs="Times New Roman"/>
          <w:spacing w:val="-10"/>
          <w:w w:val="105"/>
          <w:sz w:val="23"/>
          <w:szCs w:val="23"/>
        </w:rPr>
        <w:t xml:space="preserve"> </w:t>
      </w:r>
      <w:r>
        <w:rPr>
          <w:rFonts w:ascii="Times New Roman" w:hAnsi="Times New Roman" w:cs="Times New Roman"/>
          <w:w w:val="105"/>
          <w:sz w:val="23"/>
          <w:szCs w:val="23"/>
        </w:rPr>
        <w:t>feedback</w:t>
      </w:r>
      <w:r>
        <w:rPr>
          <w:rFonts w:ascii="Times New Roman" w:hAnsi="Times New Roman" w:cs="Times New Roman"/>
          <w:spacing w:val="-1"/>
          <w:w w:val="105"/>
          <w:sz w:val="23"/>
          <w:szCs w:val="23"/>
        </w:rPr>
        <w:t xml:space="preserve"> </w:t>
      </w:r>
      <w:r>
        <w:rPr>
          <w:rFonts w:ascii="Times New Roman" w:hAnsi="Times New Roman" w:cs="Times New Roman"/>
          <w:w w:val="105"/>
          <w:sz w:val="23"/>
          <w:szCs w:val="23"/>
        </w:rPr>
        <w:t>about</w:t>
      </w:r>
      <w:r>
        <w:rPr>
          <w:rFonts w:ascii="Times New Roman" w:hAnsi="Times New Roman" w:cs="Times New Roman"/>
          <w:spacing w:val="-1"/>
          <w:w w:val="105"/>
          <w:sz w:val="23"/>
          <w:szCs w:val="23"/>
        </w:rPr>
        <w:t xml:space="preserve"> </w:t>
      </w:r>
      <w:r>
        <w:rPr>
          <w:rFonts w:ascii="Times New Roman" w:hAnsi="Times New Roman" w:cs="Times New Roman"/>
          <w:w w:val="105"/>
          <w:sz w:val="23"/>
          <w:szCs w:val="23"/>
        </w:rPr>
        <w:t>the</w:t>
      </w:r>
      <w:r>
        <w:rPr>
          <w:rFonts w:ascii="Times New Roman" w:hAnsi="Times New Roman" w:cs="Times New Roman"/>
          <w:spacing w:val="-24"/>
          <w:w w:val="105"/>
          <w:sz w:val="23"/>
          <w:szCs w:val="23"/>
        </w:rPr>
        <w:t xml:space="preserve"> </w:t>
      </w:r>
      <w:r>
        <w:rPr>
          <w:rFonts w:ascii="Times New Roman" w:hAnsi="Times New Roman" w:cs="Times New Roman"/>
          <w:w w:val="105"/>
          <w:sz w:val="23"/>
          <w:szCs w:val="23"/>
        </w:rPr>
        <w:t>proposed</w:t>
      </w:r>
      <w:r>
        <w:rPr>
          <w:rFonts w:ascii="Times New Roman" w:hAnsi="Times New Roman" w:cs="Times New Roman"/>
          <w:spacing w:val="53"/>
          <w:w w:val="105"/>
          <w:sz w:val="23"/>
          <w:szCs w:val="23"/>
        </w:rPr>
        <w:t xml:space="preserve"> </w:t>
      </w:r>
      <w:r>
        <w:rPr>
          <w:rFonts w:ascii="Times New Roman" w:hAnsi="Times New Roman" w:cs="Times New Roman"/>
          <w:w w:val="105"/>
          <w:sz w:val="23"/>
          <w:szCs w:val="23"/>
        </w:rPr>
        <w:t>· restructuring of MassHealth and its impact on the delivery of physical and behavioral healthcare and long term services and supports to people with autism. AFAM is a Massachusetts statewide gra</w:t>
      </w:r>
      <w:r w:rsidR="00607624">
        <w:rPr>
          <w:rFonts w:ascii="Times New Roman" w:hAnsi="Times New Roman" w:cs="Times New Roman"/>
          <w:w w:val="105"/>
          <w:sz w:val="23"/>
          <w:szCs w:val="23"/>
        </w:rPr>
        <w:t>s</w:t>
      </w:r>
      <w:r>
        <w:rPr>
          <w:rFonts w:ascii="Times New Roman" w:hAnsi="Times New Roman" w:cs="Times New Roman"/>
          <w:w w:val="105"/>
          <w:sz w:val="23"/>
          <w:szCs w:val="23"/>
        </w:rPr>
        <w:t>sroots organization, consisting of</w:t>
      </w:r>
      <w:r>
        <w:rPr>
          <w:rFonts w:ascii="Times New Roman" w:hAnsi="Times New Roman" w:cs="Times New Roman"/>
          <w:spacing w:val="3"/>
          <w:w w:val="105"/>
          <w:sz w:val="23"/>
          <w:szCs w:val="23"/>
        </w:rPr>
        <w:t xml:space="preserve"> </w:t>
      </w:r>
      <w:r>
        <w:rPr>
          <w:rFonts w:ascii="Times New Roman" w:hAnsi="Times New Roman" w:cs="Times New Roman"/>
          <w:w w:val="105"/>
          <w:sz w:val="23"/>
          <w:szCs w:val="23"/>
        </w:rPr>
        <w:t>12</w:t>
      </w:r>
      <w:r>
        <w:rPr>
          <w:rFonts w:ascii="Times New Roman" w:hAnsi="Times New Roman" w:cs="Times New Roman"/>
          <w:spacing w:val="-33"/>
          <w:w w:val="105"/>
          <w:sz w:val="23"/>
          <w:szCs w:val="23"/>
        </w:rPr>
        <w:t xml:space="preserve"> </w:t>
      </w:r>
      <w:r>
        <w:rPr>
          <w:rFonts w:ascii="Times New Roman" w:hAnsi="Times New Roman" w:cs="Times New Roman"/>
          <w:w w:val="105"/>
          <w:sz w:val="23"/>
          <w:szCs w:val="23"/>
        </w:rPr>
        <w:t>member organizations,</w:t>
      </w:r>
      <w:r>
        <w:rPr>
          <w:rFonts w:ascii="Times New Roman" w:hAnsi="Times New Roman" w:cs="Times New Roman"/>
          <w:spacing w:val="1"/>
          <w:w w:val="105"/>
          <w:sz w:val="23"/>
          <w:szCs w:val="23"/>
        </w:rPr>
        <w:t xml:space="preserve"> </w:t>
      </w:r>
      <w:r>
        <w:rPr>
          <w:rFonts w:ascii="Times New Roman" w:hAnsi="Times New Roman" w:cs="Times New Roman"/>
          <w:w w:val="105"/>
          <w:sz w:val="23"/>
          <w:szCs w:val="23"/>
        </w:rPr>
        <w:t>advocating</w:t>
      </w:r>
      <w:r>
        <w:rPr>
          <w:rFonts w:ascii="Times New Roman" w:hAnsi="Times New Roman" w:cs="Times New Roman"/>
          <w:spacing w:val="-11"/>
          <w:w w:val="105"/>
          <w:sz w:val="23"/>
          <w:szCs w:val="23"/>
        </w:rPr>
        <w:t xml:space="preserve"> </w:t>
      </w:r>
      <w:r>
        <w:rPr>
          <w:rFonts w:ascii="Times New Roman" w:hAnsi="Times New Roman" w:cs="Times New Roman"/>
          <w:w w:val="105"/>
          <w:sz w:val="23"/>
          <w:szCs w:val="23"/>
        </w:rPr>
        <w:t>on</w:t>
      </w:r>
      <w:r>
        <w:rPr>
          <w:rFonts w:ascii="Times New Roman" w:hAnsi="Times New Roman" w:cs="Times New Roman"/>
          <w:spacing w:val="-19"/>
          <w:w w:val="105"/>
          <w:sz w:val="23"/>
          <w:szCs w:val="23"/>
        </w:rPr>
        <w:t xml:space="preserve"> </w:t>
      </w:r>
      <w:r>
        <w:rPr>
          <w:rFonts w:ascii="Times New Roman" w:hAnsi="Times New Roman" w:cs="Times New Roman"/>
          <w:w w:val="105"/>
          <w:sz w:val="23"/>
          <w:szCs w:val="23"/>
        </w:rPr>
        <w:t>behalf</w:t>
      </w:r>
      <w:r>
        <w:rPr>
          <w:rFonts w:ascii="Times New Roman" w:hAnsi="Times New Roman" w:cs="Times New Roman"/>
          <w:spacing w:val="-2"/>
          <w:w w:val="105"/>
          <w:sz w:val="23"/>
          <w:szCs w:val="23"/>
        </w:rPr>
        <w:t xml:space="preserve"> </w:t>
      </w:r>
      <w:r>
        <w:rPr>
          <w:rFonts w:ascii="Times New Roman" w:hAnsi="Times New Roman" w:cs="Times New Roman"/>
          <w:w w:val="105"/>
          <w:sz w:val="23"/>
          <w:szCs w:val="23"/>
        </w:rPr>
        <w:t>of</w:t>
      </w:r>
      <w:r>
        <w:rPr>
          <w:rFonts w:ascii="Times New Roman" w:hAnsi="Times New Roman" w:cs="Times New Roman"/>
          <w:spacing w:val="-16"/>
          <w:w w:val="105"/>
          <w:sz w:val="23"/>
          <w:szCs w:val="23"/>
        </w:rPr>
        <w:t xml:space="preserve"> </w:t>
      </w:r>
      <w:r>
        <w:rPr>
          <w:rFonts w:ascii="Times New Roman" w:hAnsi="Times New Roman" w:cs="Times New Roman"/>
          <w:w w:val="105"/>
          <w:sz w:val="23"/>
          <w:szCs w:val="23"/>
        </w:rPr>
        <w:t>individuals</w:t>
      </w:r>
      <w:r>
        <w:rPr>
          <w:rFonts w:ascii="Times New Roman" w:hAnsi="Times New Roman" w:cs="Times New Roman"/>
          <w:spacing w:val="-17"/>
          <w:w w:val="105"/>
          <w:sz w:val="23"/>
          <w:szCs w:val="23"/>
        </w:rPr>
        <w:t xml:space="preserve"> </w:t>
      </w:r>
      <w:r>
        <w:rPr>
          <w:rFonts w:ascii="Times New Roman" w:hAnsi="Times New Roman" w:cs="Times New Roman"/>
          <w:w w:val="105"/>
          <w:sz w:val="23"/>
          <w:szCs w:val="23"/>
        </w:rPr>
        <w:t>on</w:t>
      </w:r>
      <w:r>
        <w:rPr>
          <w:rFonts w:ascii="Times New Roman" w:hAnsi="Times New Roman" w:cs="Times New Roman"/>
          <w:spacing w:val="-20"/>
          <w:w w:val="105"/>
          <w:sz w:val="23"/>
          <w:szCs w:val="23"/>
        </w:rPr>
        <w:t xml:space="preserve"> </w:t>
      </w:r>
      <w:r>
        <w:rPr>
          <w:rFonts w:ascii="Times New Roman" w:hAnsi="Times New Roman" w:cs="Times New Roman"/>
          <w:w w:val="105"/>
          <w:sz w:val="23"/>
          <w:szCs w:val="23"/>
        </w:rPr>
        <w:t>the</w:t>
      </w:r>
      <w:r>
        <w:rPr>
          <w:rFonts w:ascii="Times New Roman" w:hAnsi="Times New Roman" w:cs="Times New Roman"/>
          <w:spacing w:val="-12"/>
          <w:w w:val="105"/>
          <w:sz w:val="23"/>
          <w:szCs w:val="23"/>
        </w:rPr>
        <w:t xml:space="preserve"> </w:t>
      </w:r>
      <w:r>
        <w:rPr>
          <w:rFonts w:ascii="Times New Roman" w:hAnsi="Times New Roman" w:cs="Times New Roman"/>
          <w:w w:val="105"/>
          <w:sz w:val="23"/>
          <w:szCs w:val="23"/>
        </w:rPr>
        <w:t>autism</w:t>
      </w:r>
      <w:r>
        <w:rPr>
          <w:rFonts w:ascii="Times New Roman" w:hAnsi="Times New Roman" w:cs="Times New Roman"/>
          <w:spacing w:val="-6"/>
          <w:w w:val="105"/>
          <w:sz w:val="23"/>
          <w:szCs w:val="23"/>
        </w:rPr>
        <w:t xml:space="preserve"> </w:t>
      </w:r>
      <w:r>
        <w:rPr>
          <w:rFonts w:ascii="Times New Roman" w:hAnsi="Times New Roman" w:cs="Times New Roman"/>
          <w:w w:val="105"/>
          <w:sz w:val="23"/>
          <w:szCs w:val="23"/>
        </w:rPr>
        <w:t>spectrum.</w:t>
      </w:r>
    </w:p>
    <w:p w:rsidR="002C5025" w:rsidRDefault="002C5025">
      <w:pPr>
        <w:pStyle w:val="BodyText"/>
        <w:kinsoku w:val="0"/>
        <w:overflowPunct w:val="0"/>
        <w:spacing w:before="193" w:line="247" w:lineRule="auto"/>
        <w:ind w:left="324" w:right="267"/>
        <w:rPr>
          <w:rFonts w:ascii="Times New Roman" w:hAnsi="Times New Roman" w:cs="Times New Roman"/>
          <w:sz w:val="23"/>
          <w:szCs w:val="23"/>
        </w:rPr>
      </w:pPr>
      <w:r>
        <w:rPr>
          <w:rFonts w:ascii="Times New Roman" w:hAnsi="Times New Roman" w:cs="Times New Roman"/>
          <w:sz w:val="23"/>
          <w:szCs w:val="23"/>
        </w:rPr>
        <w:t xml:space="preserve">With our specific community in mind, we have reviewed the documents describing the proposed restructuring of MassHealth  posted  at </w:t>
      </w:r>
      <w:hyperlink r:id="rId104" w:history="1">
        <w:r>
          <w:rPr>
            <w:rFonts w:ascii="Times New Roman" w:hAnsi="Times New Roman" w:cs="Times New Roman"/>
            <w:sz w:val="23"/>
            <w:szCs w:val="23"/>
          </w:rPr>
          <w:t>www.mass.gov/hhs/masshealth-innovations</w:t>
        </w:r>
      </w:hyperlink>
      <w:r>
        <w:rPr>
          <w:rFonts w:ascii="Times New Roman" w:hAnsi="Times New Roman" w:cs="Times New Roman"/>
          <w:sz w:val="23"/>
          <w:szCs w:val="23"/>
        </w:rPr>
        <w:t xml:space="preserve">   (the  Summary,  Overview  and Additional Material).</w:t>
      </w:r>
    </w:p>
    <w:p w:rsidR="002C5025" w:rsidRDefault="002C5025">
      <w:pPr>
        <w:pStyle w:val="BodyText"/>
        <w:kinsoku w:val="0"/>
        <w:overflowPunct w:val="0"/>
        <w:spacing w:before="188" w:line="252" w:lineRule="auto"/>
        <w:ind w:left="324" w:right="1084"/>
        <w:jc w:val="both"/>
        <w:rPr>
          <w:rFonts w:ascii="Times New Roman" w:hAnsi="Times New Roman" w:cs="Times New Roman"/>
          <w:w w:val="105"/>
          <w:sz w:val="23"/>
          <w:szCs w:val="23"/>
        </w:rPr>
      </w:pPr>
      <w:r>
        <w:rPr>
          <w:rFonts w:ascii="Times New Roman" w:hAnsi="Times New Roman" w:cs="Times New Roman"/>
          <w:w w:val="105"/>
          <w:sz w:val="23"/>
          <w:szCs w:val="23"/>
        </w:rPr>
        <w:t>We</w:t>
      </w:r>
      <w:r>
        <w:rPr>
          <w:rFonts w:ascii="Times New Roman" w:hAnsi="Times New Roman" w:cs="Times New Roman"/>
          <w:spacing w:val="-16"/>
          <w:w w:val="105"/>
          <w:sz w:val="23"/>
          <w:szCs w:val="23"/>
        </w:rPr>
        <w:t xml:space="preserve"> </w:t>
      </w:r>
      <w:r>
        <w:rPr>
          <w:rFonts w:ascii="Times New Roman" w:hAnsi="Times New Roman" w:cs="Times New Roman"/>
          <w:w w:val="105"/>
          <w:sz w:val="23"/>
          <w:szCs w:val="23"/>
        </w:rPr>
        <w:t>understand</w:t>
      </w:r>
      <w:r>
        <w:rPr>
          <w:rFonts w:ascii="Times New Roman" w:hAnsi="Times New Roman" w:cs="Times New Roman"/>
          <w:spacing w:val="-1"/>
          <w:w w:val="105"/>
          <w:sz w:val="23"/>
          <w:szCs w:val="23"/>
        </w:rPr>
        <w:t xml:space="preserve"> </w:t>
      </w:r>
      <w:r>
        <w:rPr>
          <w:rFonts w:ascii="Times New Roman" w:hAnsi="Times New Roman" w:cs="Times New Roman"/>
          <w:w w:val="105"/>
          <w:sz w:val="23"/>
          <w:szCs w:val="23"/>
        </w:rPr>
        <w:t>that</w:t>
      </w:r>
      <w:r>
        <w:rPr>
          <w:rFonts w:ascii="Times New Roman" w:hAnsi="Times New Roman" w:cs="Times New Roman"/>
          <w:spacing w:val="-14"/>
          <w:w w:val="105"/>
          <w:sz w:val="23"/>
          <w:szCs w:val="23"/>
        </w:rPr>
        <w:t xml:space="preserve"> </w:t>
      </w:r>
      <w:r>
        <w:rPr>
          <w:rFonts w:ascii="Times New Roman" w:hAnsi="Times New Roman" w:cs="Times New Roman"/>
          <w:w w:val="105"/>
          <w:sz w:val="23"/>
          <w:szCs w:val="23"/>
        </w:rPr>
        <w:t>MassHealth</w:t>
      </w:r>
      <w:r>
        <w:rPr>
          <w:rFonts w:ascii="Times New Roman" w:hAnsi="Times New Roman" w:cs="Times New Roman"/>
          <w:spacing w:val="-2"/>
          <w:w w:val="105"/>
          <w:sz w:val="23"/>
          <w:szCs w:val="23"/>
        </w:rPr>
        <w:t xml:space="preserve"> </w:t>
      </w:r>
      <w:r>
        <w:rPr>
          <w:rFonts w:ascii="Times New Roman" w:hAnsi="Times New Roman" w:cs="Times New Roman"/>
          <w:w w:val="105"/>
          <w:sz w:val="23"/>
          <w:szCs w:val="23"/>
        </w:rPr>
        <w:t>must</w:t>
      </w:r>
      <w:r>
        <w:rPr>
          <w:rFonts w:ascii="Times New Roman" w:hAnsi="Times New Roman" w:cs="Times New Roman"/>
          <w:spacing w:val="-16"/>
          <w:w w:val="105"/>
          <w:sz w:val="23"/>
          <w:szCs w:val="23"/>
        </w:rPr>
        <w:t xml:space="preserve"> </w:t>
      </w:r>
      <w:r>
        <w:rPr>
          <w:rFonts w:ascii="Times New Roman" w:hAnsi="Times New Roman" w:cs="Times New Roman"/>
          <w:w w:val="105"/>
          <w:sz w:val="23"/>
          <w:szCs w:val="23"/>
        </w:rPr>
        <w:t>undergo</w:t>
      </w:r>
      <w:r>
        <w:rPr>
          <w:rFonts w:ascii="Times New Roman" w:hAnsi="Times New Roman" w:cs="Times New Roman"/>
          <w:spacing w:val="-5"/>
          <w:w w:val="105"/>
          <w:sz w:val="23"/>
          <w:szCs w:val="23"/>
        </w:rPr>
        <w:t xml:space="preserve"> </w:t>
      </w:r>
      <w:r>
        <w:rPr>
          <w:rFonts w:ascii="Times New Roman" w:hAnsi="Times New Roman" w:cs="Times New Roman"/>
          <w:w w:val="105"/>
          <w:sz w:val="23"/>
          <w:szCs w:val="23"/>
        </w:rPr>
        <w:t>restructuring</w:t>
      </w:r>
      <w:r>
        <w:rPr>
          <w:rFonts w:ascii="Times New Roman" w:hAnsi="Times New Roman" w:cs="Times New Roman"/>
          <w:spacing w:val="-3"/>
          <w:w w:val="105"/>
          <w:sz w:val="23"/>
          <w:szCs w:val="23"/>
        </w:rPr>
        <w:t xml:space="preserve"> </w:t>
      </w:r>
      <w:r>
        <w:rPr>
          <w:rFonts w:ascii="Times New Roman" w:hAnsi="Times New Roman" w:cs="Times New Roman"/>
          <w:w w:val="105"/>
          <w:sz w:val="23"/>
          <w:szCs w:val="23"/>
        </w:rPr>
        <w:t>to</w:t>
      </w:r>
      <w:r>
        <w:rPr>
          <w:rFonts w:ascii="Times New Roman" w:hAnsi="Times New Roman" w:cs="Times New Roman"/>
          <w:spacing w:val="-18"/>
          <w:w w:val="105"/>
          <w:sz w:val="23"/>
          <w:szCs w:val="23"/>
        </w:rPr>
        <w:t xml:space="preserve"> </w:t>
      </w:r>
      <w:r>
        <w:rPr>
          <w:rFonts w:ascii="Times New Roman" w:hAnsi="Times New Roman" w:cs="Times New Roman"/>
          <w:w w:val="105"/>
          <w:sz w:val="23"/>
          <w:szCs w:val="23"/>
        </w:rPr>
        <w:t>improve</w:t>
      </w:r>
      <w:r>
        <w:rPr>
          <w:rFonts w:ascii="Times New Roman" w:hAnsi="Times New Roman" w:cs="Times New Roman"/>
          <w:spacing w:val="-11"/>
          <w:w w:val="105"/>
          <w:sz w:val="23"/>
          <w:szCs w:val="23"/>
        </w:rPr>
        <w:t xml:space="preserve"> </w:t>
      </w:r>
      <w:r>
        <w:rPr>
          <w:rFonts w:ascii="Times New Roman" w:hAnsi="Times New Roman" w:cs="Times New Roman"/>
          <w:w w:val="105"/>
          <w:sz w:val="23"/>
          <w:szCs w:val="23"/>
        </w:rPr>
        <w:t>the</w:t>
      </w:r>
      <w:r>
        <w:rPr>
          <w:rFonts w:ascii="Times New Roman" w:hAnsi="Times New Roman" w:cs="Times New Roman"/>
          <w:spacing w:val="-10"/>
          <w:w w:val="105"/>
          <w:sz w:val="23"/>
          <w:szCs w:val="23"/>
        </w:rPr>
        <w:t xml:space="preserve"> </w:t>
      </w:r>
      <w:r>
        <w:rPr>
          <w:rFonts w:ascii="Times New Roman" w:hAnsi="Times New Roman" w:cs="Times New Roman"/>
          <w:w w:val="105"/>
          <w:sz w:val="23"/>
          <w:szCs w:val="23"/>
        </w:rPr>
        <w:t>delivery</w:t>
      </w:r>
      <w:r>
        <w:rPr>
          <w:rFonts w:ascii="Times New Roman" w:hAnsi="Times New Roman" w:cs="Times New Roman"/>
          <w:spacing w:val="-15"/>
          <w:w w:val="105"/>
          <w:sz w:val="23"/>
          <w:szCs w:val="23"/>
        </w:rPr>
        <w:t xml:space="preserve"> </w:t>
      </w:r>
      <w:r>
        <w:rPr>
          <w:rFonts w:ascii="Times New Roman" w:hAnsi="Times New Roman" w:cs="Times New Roman"/>
          <w:w w:val="105"/>
          <w:sz w:val="23"/>
          <w:szCs w:val="23"/>
        </w:rPr>
        <w:t>of</w:t>
      </w:r>
      <w:r>
        <w:rPr>
          <w:rFonts w:ascii="Times New Roman" w:hAnsi="Times New Roman" w:cs="Times New Roman"/>
          <w:spacing w:val="-24"/>
          <w:w w:val="105"/>
          <w:sz w:val="23"/>
          <w:szCs w:val="23"/>
        </w:rPr>
        <w:t xml:space="preserve"> </w:t>
      </w:r>
      <w:r>
        <w:rPr>
          <w:rFonts w:ascii="Times New Roman" w:hAnsi="Times New Roman" w:cs="Times New Roman"/>
          <w:w w:val="105"/>
          <w:sz w:val="23"/>
          <w:szCs w:val="23"/>
        </w:rPr>
        <w:t>medical</w:t>
      </w:r>
      <w:r>
        <w:rPr>
          <w:rFonts w:ascii="Times New Roman" w:hAnsi="Times New Roman" w:cs="Times New Roman"/>
          <w:spacing w:val="-7"/>
          <w:w w:val="105"/>
          <w:sz w:val="23"/>
          <w:szCs w:val="23"/>
        </w:rPr>
        <w:t xml:space="preserve"> </w:t>
      </w:r>
      <w:r>
        <w:rPr>
          <w:rFonts w:ascii="Times New Roman" w:hAnsi="Times New Roman" w:cs="Times New Roman"/>
          <w:w w:val="105"/>
          <w:sz w:val="23"/>
          <w:szCs w:val="23"/>
        </w:rPr>
        <w:t>and</w:t>
      </w:r>
      <w:r>
        <w:rPr>
          <w:rFonts w:ascii="Times New Roman" w:hAnsi="Times New Roman" w:cs="Times New Roman"/>
          <w:spacing w:val="-23"/>
          <w:w w:val="105"/>
          <w:sz w:val="23"/>
          <w:szCs w:val="23"/>
        </w:rPr>
        <w:t xml:space="preserve"> </w:t>
      </w:r>
      <w:r>
        <w:rPr>
          <w:rFonts w:ascii="Times New Roman" w:hAnsi="Times New Roman" w:cs="Times New Roman"/>
          <w:w w:val="105"/>
          <w:sz w:val="23"/>
          <w:szCs w:val="23"/>
        </w:rPr>
        <w:t>behavioral healthcare</w:t>
      </w:r>
      <w:r>
        <w:rPr>
          <w:rFonts w:ascii="Times New Roman" w:hAnsi="Times New Roman" w:cs="Times New Roman"/>
          <w:spacing w:val="1"/>
          <w:w w:val="105"/>
          <w:sz w:val="23"/>
          <w:szCs w:val="23"/>
        </w:rPr>
        <w:t xml:space="preserve"> </w:t>
      </w:r>
      <w:r>
        <w:rPr>
          <w:rFonts w:ascii="Times New Roman" w:hAnsi="Times New Roman" w:cs="Times New Roman"/>
          <w:w w:val="105"/>
          <w:sz w:val="23"/>
          <w:szCs w:val="23"/>
        </w:rPr>
        <w:t>and</w:t>
      </w:r>
      <w:r>
        <w:rPr>
          <w:rFonts w:ascii="Times New Roman" w:hAnsi="Times New Roman" w:cs="Times New Roman"/>
          <w:spacing w:val="-7"/>
          <w:w w:val="105"/>
          <w:sz w:val="23"/>
          <w:szCs w:val="23"/>
        </w:rPr>
        <w:t xml:space="preserve"> </w:t>
      </w:r>
      <w:r>
        <w:rPr>
          <w:rFonts w:ascii="Times New Roman" w:hAnsi="Times New Roman" w:cs="Times New Roman"/>
          <w:w w:val="105"/>
          <w:sz w:val="23"/>
          <w:szCs w:val="23"/>
        </w:rPr>
        <w:t>long-term</w:t>
      </w:r>
      <w:r>
        <w:rPr>
          <w:rFonts w:ascii="Times New Roman" w:hAnsi="Times New Roman" w:cs="Times New Roman"/>
          <w:spacing w:val="8"/>
          <w:w w:val="105"/>
          <w:sz w:val="23"/>
          <w:szCs w:val="23"/>
        </w:rPr>
        <w:t xml:space="preserve"> </w:t>
      </w:r>
      <w:r>
        <w:rPr>
          <w:rFonts w:ascii="Times New Roman" w:hAnsi="Times New Roman" w:cs="Times New Roman"/>
          <w:w w:val="105"/>
          <w:sz w:val="23"/>
          <w:szCs w:val="23"/>
        </w:rPr>
        <w:t>services</w:t>
      </w:r>
      <w:r>
        <w:rPr>
          <w:rFonts w:ascii="Times New Roman" w:hAnsi="Times New Roman" w:cs="Times New Roman"/>
          <w:spacing w:val="-7"/>
          <w:w w:val="105"/>
          <w:sz w:val="23"/>
          <w:szCs w:val="23"/>
        </w:rPr>
        <w:t xml:space="preserve"> </w:t>
      </w:r>
      <w:r>
        <w:rPr>
          <w:rFonts w:ascii="Times New Roman" w:hAnsi="Times New Roman" w:cs="Times New Roman"/>
          <w:w w:val="105"/>
          <w:sz w:val="23"/>
          <w:szCs w:val="23"/>
        </w:rPr>
        <w:t>and</w:t>
      </w:r>
      <w:r>
        <w:rPr>
          <w:rFonts w:ascii="Times New Roman" w:hAnsi="Times New Roman" w:cs="Times New Roman"/>
          <w:spacing w:val="-8"/>
          <w:w w:val="105"/>
          <w:sz w:val="23"/>
          <w:szCs w:val="23"/>
        </w:rPr>
        <w:t xml:space="preserve"> </w:t>
      </w:r>
      <w:r>
        <w:rPr>
          <w:rFonts w:ascii="Times New Roman" w:hAnsi="Times New Roman" w:cs="Times New Roman"/>
          <w:w w:val="105"/>
          <w:sz w:val="23"/>
          <w:szCs w:val="23"/>
        </w:rPr>
        <w:t>supports</w:t>
      </w:r>
      <w:r>
        <w:rPr>
          <w:rFonts w:ascii="Times New Roman" w:hAnsi="Times New Roman" w:cs="Times New Roman"/>
          <w:spacing w:val="-11"/>
          <w:w w:val="105"/>
          <w:sz w:val="23"/>
          <w:szCs w:val="23"/>
        </w:rPr>
        <w:t xml:space="preserve"> </w:t>
      </w:r>
      <w:r>
        <w:rPr>
          <w:rFonts w:ascii="Times New Roman" w:hAnsi="Times New Roman" w:cs="Times New Roman"/>
          <w:w w:val="105"/>
          <w:sz w:val="23"/>
          <w:szCs w:val="23"/>
        </w:rPr>
        <w:t>in</w:t>
      </w:r>
      <w:r>
        <w:rPr>
          <w:rFonts w:ascii="Times New Roman" w:hAnsi="Times New Roman" w:cs="Times New Roman"/>
          <w:spacing w:val="-12"/>
          <w:w w:val="105"/>
          <w:sz w:val="23"/>
          <w:szCs w:val="23"/>
        </w:rPr>
        <w:t xml:space="preserve"> </w:t>
      </w:r>
      <w:r>
        <w:rPr>
          <w:rFonts w:ascii="Times New Roman" w:hAnsi="Times New Roman" w:cs="Times New Roman"/>
          <w:w w:val="105"/>
          <w:sz w:val="23"/>
          <w:szCs w:val="23"/>
        </w:rPr>
        <w:t>a</w:t>
      </w:r>
      <w:r>
        <w:rPr>
          <w:rFonts w:ascii="Times New Roman" w:hAnsi="Times New Roman" w:cs="Times New Roman"/>
          <w:spacing w:val="-26"/>
          <w:w w:val="105"/>
          <w:sz w:val="23"/>
          <w:szCs w:val="23"/>
        </w:rPr>
        <w:t xml:space="preserve"> </w:t>
      </w:r>
      <w:r>
        <w:rPr>
          <w:rFonts w:ascii="Times New Roman" w:hAnsi="Times New Roman" w:cs="Times New Roman"/>
          <w:w w:val="105"/>
          <w:sz w:val="23"/>
          <w:szCs w:val="23"/>
        </w:rPr>
        <w:t>way</w:t>
      </w:r>
      <w:r>
        <w:rPr>
          <w:rFonts w:ascii="Times New Roman" w:hAnsi="Times New Roman" w:cs="Times New Roman"/>
          <w:spacing w:val="-9"/>
          <w:w w:val="105"/>
          <w:sz w:val="23"/>
          <w:szCs w:val="23"/>
        </w:rPr>
        <w:t xml:space="preserve"> </w:t>
      </w:r>
      <w:r>
        <w:rPr>
          <w:rFonts w:ascii="Times New Roman" w:hAnsi="Times New Roman" w:cs="Times New Roman"/>
          <w:w w:val="105"/>
          <w:sz w:val="23"/>
          <w:szCs w:val="23"/>
        </w:rPr>
        <w:t>that</w:t>
      </w:r>
      <w:r>
        <w:rPr>
          <w:rFonts w:ascii="Times New Roman" w:hAnsi="Times New Roman" w:cs="Times New Roman"/>
          <w:spacing w:val="-9"/>
          <w:w w:val="105"/>
          <w:sz w:val="23"/>
          <w:szCs w:val="23"/>
        </w:rPr>
        <w:t xml:space="preserve"> </w:t>
      </w:r>
      <w:r>
        <w:rPr>
          <w:rFonts w:ascii="Times New Roman" w:hAnsi="Times New Roman" w:cs="Times New Roman"/>
          <w:w w:val="105"/>
          <w:sz w:val="23"/>
          <w:szCs w:val="23"/>
        </w:rPr>
        <w:t>improves</w:t>
      </w:r>
      <w:r>
        <w:rPr>
          <w:rFonts w:ascii="Times New Roman" w:hAnsi="Times New Roman" w:cs="Times New Roman"/>
          <w:spacing w:val="3"/>
          <w:w w:val="105"/>
          <w:sz w:val="23"/>
          <w:szCs w:val="23"/>
        </w:rPr>
        <w:t xml:space="preserve"> </w:t>
      </w:r>
      <w:r>
        <w:rPr>
          <w:rFonts w:ascii="Times New Roman" w:hAnsi="Times New Roman" w:cs="Times New Roman"/>
          <w:w w:val="105"/>
          <w:sz w:val="23"/>
          <w:szCs w:val="23"/>
        </w:rPr>
        <w:t>quality</w:t>
      </w:r>
      <w:r>
        <w:rPr>
          <w:rFonts w:ascii="Times New Roman" w:hAnsi="Times New Roman" w:cs="Times New Roman"/>
          <w:spacing w:val="-3"/>
          <w:w w:val="105"/>
          <w:sz w:val="23"/>
          <w:szCs w:val="23"/>
        </w:rPr>
        <w:t xml:space="preserve"> </w:t>
      </w:r>
      <w:r>
        <w:rPr>
          <w:rFonts w:ascii="Times New Roman" w:hAnsi="Times New Roman" w:cs="Times New Roman"/>
          <w:w w:val="105"/>
          <w:sz w:val="23"/>
          <w:szCs w:val="23"/>
        </w:rPr>
        <w:t>and</w:t>
      </w:r>
      <w:r>
        <w:rPr>
          <w:rFonts w:ascii="Times New Roman" w:hAnsi="Times New Roman" w:cs="Times New Roman"/>
          <w:spacing w:val="-8"/>
          <w:w w:val="105"/>
          <w:sz w:val="23"/>
          <w:szCs w:val="23"/>
        </w:rPr>
        <w:t xml:space="preserve"> </w:t>
      </w:r>
      <w:r>
        <w:rPr>
          <w:rFonts w:ascii="Times New Roman" w:hAnsi="Times New Roman" w:cs="Times New Roman"/>
          <w:w w:val="105"/>
          <w:sz w:val="23"/>
          <w:szCs w:val="23"/>
        </w:rPr>
        <w:t>is</w:t>
      </w:r>
      <w:r>
        <w:rPr>
          <w:rFonts w:ascii="Times New Roman" w:hAnsi="Times New Roman" w:cs="Times New Roman"/>
          <w:spacing w:val="-18"/>
          <w:w w:val="105"/>
          <w:sz w:val="23"/>
          <w:szCs w:val="23"/>
        </w:rPr>
        <w:t xml:space="preserve"> </w:t>
      </w:r>
      <w:r>
        <w:rPr>
          <w:rFonts w:ascii="Times New Roman" w:hAnsi="Times New Roman" w:cs="Times New Roman"/>
          <w:w w:val="105"/>
          <w:sz w:val="23"/>
          <w:szCs w:val="23"/>
        </w:rPr>
        <w:t>fiscally</w:t>
      </w:r>
      <w:r>
        <w:rPr>
          <w:rFonts w:ascii="Times New Roman" w:hAnsi="Times New Roman" w:cs="Times New Roman"/>
          <w:spacing w:val="-6"/>
          <w:w w:val="105"/>
          <w:sz w:val="23"/>
          <w:szCs w:val="23"/>
        </w:rPr>
        <w:t xml:space="preserve"> </w:t>
      </w:r>
      <w:r>
        <w:rPr>
          <w:rFonts w:ascii="Times New Roman" w:hAnsi="Times New Roman" w:cs="Times New Roman"/>
          <w:w w:val="105"/>
          <w:sz w:val="23"/>
          <w:szCs w:val="23"/>
        </w:rPr>
        <w:t>sustainable.</w:t>
      </w:r>
      <w:r>
        <w:rPr>
          <w:rFonts w:ascii="Times New Roman" w:hAnsi="Times New Roman" w:cs="Times New Roman"/>
          <w:spacing w:val="44"/>
          <w:w w:val="105"/>
          <w:sz w:val="23"/>
          <w:szCs w:val="23"/>
        </w:rPr>
        <w:t xml:space="preserve"> </w:t>
      </w:r>
      <w:r>
        <w:rPr>
          <w:rFonts w:ascii="Times New Roman" w:hAnsi="Times New Roman" w:cs="Times New Roman"/>
          <w:w w:val="105"/>
          <w:sz w:val="23"/>
          <w:szCs w:val="23"/>
        </w:rPr>
        <w:t>We appreciate</w:t>
      </w:r>
      <w:r>
        <w:rPr>
          <w:rFonts w:ascii="Times New Roman" w:hAnsi="Times New Roman" w:cs="Times New Roman"/>
          <w:spacing w:val="-12"/>
          <w:w w:val="105"/>
          <w:sz w:val="23"/>
          <w:szCs w:val="23"/>
        </w:rPr>
        <w:t xml:space="preserve"> </w:t>
      </w:r>
      <w:r>
        <w:rPr>
          <w:rFonts w:ascii="Times New Roman" w:hAnsi="Times New Roman" w:cs="Times New Roman"/>
          <w:w w:val="105"/>
          <w:sz w:val="23"/>
          <w:szCs w:val="23"/>
        </w:rPr>
        <w:t>the</w:t>
      </w:r>
      <w:r>
        <w:rPr>
          <w:rFonts w:ascii="Times New Roman" w:hAnsi="Times New Roman" w:cs="Times New Roman"/>
          <w:spacing w:val="-13"/>
          <w:w w:val="105"/>
          <w:sz w:val="23"/>
          <w:szCs w:val="23"/>
        </w:rPr>
        <w:t xml:space="preserve"> </w:t>
      </w:r>
      <w:r>
        <w:rPr>
          <w:rFonts w:ascii="Times New Roman" w:hAnsi="Times New Roman" w:cs="Times New Roman"/>
          <w:w w:val="105"/>
          <w:sz w:val="23"/>
          <w:szCs w:val="23"/>
        </w:rPr>
        <w:t>complexity</w:t>
      </w:r>
      <w:r>
        <w:rPr>
          <w:rFonts w:ascii="Times New Roman" w:hAnsi="Times New Roman" w:cs="Times New Roman"/>
          <w:spacing w:val="-6"/>
          <w:w w:val="105"/>
          <w:sz w:val="23"/>
          <w:szCs w:val="23"/>
        </w:rPr>
        <w:t xml:space="preserve"> </w:t>
      </w:r>
      <w:r>
        <w:rPr>
          <w:rFonts w:ascii="Times New Roman" w:hAnsi="Times New Roman" w:cs="Times New Roman"/>
          <w:w w:val="105"/>
          <w:sz w:val="23"/>
          <w:szCs w:val="23"/>
        </w:rPr>
        <w:t>of</w:t>
      </w:r>
      <w:r>
        <w:rPr>
          <w:rFonts w:ascii="Times New Roman" w:hAnsi="Times New Roman" w:cs="Times New Roman"/>
          <w:spacing w:val="-16"/>
          <w:w w:val="105"/>
          <w:sz w:val="23"/>
          <w:szCs w:val="23"/>
        </w:rPr>
        <w:t xml:space="preserve"> </w:t>
      </w:r>
      <w:r>
        <w:rPr>
          <w:rFonts w:ascii="Times New Roman" w:hAnsi="Times New Roman" w:cs="Times New Roman"/>
          <w:w w:val="105"/>
          <w:sz w:val="23"/>
          <w:szCs w:val="23"/>
        </w:rPr>
        <w:t>the</w:t>
      </w:r>
      <w:r>
        <w:rPr>
          <w:rFonts w:ascii="Times New Roman" w:hAnsi="Times New Roman" w:cs="Times New Roman"/>
          <w:spacing w:val="-12"/>
          <w:w w:val="105"/>
          <w:sz w:val="23"/>
          <w:szCs w:val="23"/>
        </w:rPr>
        <w:t xml:space="preserve"> </w:t>
      </w:r>
      <w:r>
        <w:rPr>
          <w:rFonts w:ascii="Times New Roman" w:hAnsi="Times New Roman" w:cs="Times New Roman"/>
          <w:w w:val="105"/>
          <w:sz w:val="23"/>
          <w:szCs w:val="23"/>
        </w:rPr>
        <w:t>challenge</w:t>
      </w:r>
      <w:r>
        <w:rPr>
          <w:rFonts w:ascii="Times New Roman" w:hAnsi="Times New Roman" w:cs="Times New Roman"/>
          <w:spacing w:val="-8"/>
          <w:w w:val="105"/>
          <w:sz w:val="23"/>
          <w:szCs w:val="23"/>
        </w:rPr>
        <w:t xml:space="preserve"> </w:t>
      </w:r>
      <w:r>
        <w:rPr>
          <w:rFonts w:ascii="Times New Roman" w:hAnsi="Times New Roman" w:cs="Times New Roman"/>
          <w:w w:val="105"/>
          <w:sz w:val="23"/>
          <w:szCs w:val="23"/>
        </w:rPr>
        <w:t>you</w:t>
      </w:r>
      <w:r>
        <w:rPr>
          <w:rFonts w:ascii="Times New Roman" w:hAnsi="Times New Roman" w:cs="Times New Roman"/>
          <w:spacing w:val="-5"/>
          <w:w w:val="105"/>
          <w:sz w:val="23"/>
          <w:szCs w:val="23"/>
        </w:rPr>
        <w:t xml:space="preserve"> </w:t>
      </w:r>
      <w:r>
        <w:rPr>
          <w:rFonts w:ascii="Times New Roman" w:hAnsi="Times New Roman" w:cs="Times New Roman"/>
          <w:w w:val="105"/>
          <w:sz w:val="23"/>
          <w:szCs w:val="23"/>
        </w:rPr>
        <w:t>face.</w:t>
      </w:r>
    </w:p>
    <w:p w:rsidR="002C5025" w:rsidRDefault="002C5025">
      <w:pPr>
        <w:pStyle w:val="BodyText"/>
        <w:kinsoku w:val="0"/>
        <w:overflowPunct w:val="0"/>
        <w:spacing w:before="190" w:line="249" w:lineRule="auto"/>
        <w:ind w:left="316" w:right="267" w:firstLine="7"/>
        <w:rPr>
          <w:rFonts w:ascii="Times New Roman" w:hAnsi="Times New Roman" w:cs="Times New Roman"/>
          <w:w w:val="105"/>
          <w:sz w:val="23"/>
          <w:szCs w:val="23"/>
        </w:rPr>
      </w:pPr>
      <w:r>
        <w:rPr>
          <w:rFonts w:ascii="Times New Roman" w:hAnsi="Times New Roman" w:cs="Times New Roman"/>
          <w:w w:val="105"/>
          <w:sz w:val="23"/>
          <w:szCs w:val="23"/>
        </w:rPr>
        <w:t xml:space="preserve">It is heartening that the proposed restructuring is not </w:t>
      </w:r>
      <w:r>
        <w:rPr>
          <w:rFonts w:ascii="Times New Roman" w:hAnsi="Times New Roman" w:cs="Times New Roman"/>
          <w:spacing w:val="-3"/>
          <w:w w:val="105"/>
          <w:sz w:val="23"/>
          <w:szCs w:val="23"/>
        </w:rPr>
        <w:t xml:space="preserve">"one-size-fits-all," </w:t>
      </w:r>
      <w:r>
        <w:rPr>
          <w:rFonts w:ascii="Times New Roman" w:hAnsi="Times New Roman" w:cs="Times New Roman"/>
          <w:w w:val="105"/>
          <w:sz w:val="23"/>
          <w:szCs w:val="23"/>
        </w:rPr>
        <w:t>and that there are different options and approaches that reflect the needs of MassHealth members and the range of provider capabilities. We appreciate the major focus on integrating the delivery of healthcare to better meet members' physical health, behavioral health (BH) and</w:t>
      </w:r>
      <w:r>
        <w:rPr>
          <w:rFonts w:ascii="Times New Roman" w:hAnsi="Times New Roman" w:cs="Times New Roman"/>
          <w:spacing w:val="-9"/>
          <w:w w:val="105"/>
          <w:sz w:val="23"/>
          <w:szCs w:val="23"/>
        </w:rPr>
        <w:t xml:space="preserve"> </w:t>
      </w:r>
      <w:r>
        <w:rPr>
          <w:rFonts w:ascii="Times New Roman" w:hAnsi="Times New Roman" w:cs="Times New Roman"/>
          <w:w w:val="105"/>
          <w:sz w:val="23"/>
          <w:szCs w:val="23"/>
        </w:rPr>
        <w:t>long-term</w:t>
      </w:r>
      <w:r>
        <w:rPr>
          <w:rFonts w:ascii="Times New Roman" w:hAnsi="Times New Roman" w:cs="Times New Roman"/>
          <w:spacing w:val="2"/>
          <w:w w:val="105"/>
          <w:sz w:val="23"/>
          <w:szCs w:val="23"/>
        </w:rPr>
        <w:t xml:space="preserve"> </w:t>
      </w:r>
      <w:r>
        <w:rPr>
          <w:rFonts w:ascii="Times New Roman" w:hAnsi="Times New Roman" w:cs="Times New Roman"/>
          <w:w w:val="105"/>
          <w:sz w:val="23"/>
          <w:szCs w:val="23"/>
        </w:rPr>
        <w:t>services</w:t>
      </w:r>
      <w:r>
        <w:rPr>
          <w:rFonts w:ascii="Times New Roman" w:hAnsi="Times New Roman" w:cs="Times New Roman"/>
          <w:spacing w:val="-6"/>
          <w:w w:val="105"/>
          <w:sz w:val="23"/>
          <w:szCs w:val="23"/>
        </w:rPr>
        <w:t xml:space="preserve"> </w:t>
      </w:r>
      <w:r>
        <w:rPr>
          <w:rFonts w:ascii="Times New Roman" w:hAnsi="Times New Roman" w:cs="Times New Roman"/>
          <w:w w:val="105"/>
          <w:sz w:val="23"/>
          <w:szCs w:val="23"/>
        </w:rPr>
        <w:t>and</w:t>
      </w:r>
      <w:r>
        <w:rPr>
          <w:rFonts w:ascii="Times New Roman" w:hAnsi="Times New Roman" w:cs="Times New Roman"/>
          <w:spacing w:val="-7"/>
          <w:w w:val="105"/>
          <w:sz w:val="23"/>
          <w:szCs w:val="23"/>
        </w:rPr>
        <w:t xml:space="preserve"> </w:t>
      </w:r>
      <w:r>
        <w:rPr>
          <w:rFonts w:ascii="Times New Roman" w:hAnsi="Times New Roman" w:cs="Times New Roman"/>
          <w:w w:val="105"/>
          <w:sz w:val="23"/>
          <w:szCs w:val="23"/>
        </w:rPr>
        <w:t>support</w:t>
      </w:r>
      <w:r>
        <w:rPr>
          <w:rFonts w:ascii="Times New Roman" w:hAnsi="Times New Roman" w:cs="Times New Roman"/>
          <w:spacing w:val="-11"/>
          <w:w w:val="105"/>
          <w:sz w:val="23"/>
          <w:szCs w:val="23"/>
        </w:rPr>
        <w:t xml:space="preserve"> </w:t>
      </w:r>
      <w:r>
        <w:rPr>
          <w:rFonts w:ascii="Times New Roman" w:hAnsi="Times New Roman" w:cs="Times New Roman"/>
          <w:w w:val="105"/>
          <w:sz w:val="23"/>
          <w:szCs w:val="23"/>
        </w:rPr>
        <w:t>(LTSS)</w:t>
      </w:r>
      <w:r>
        <w:rPr>
          <w:rFonts w:ascii="Times New Roman" w:hAnsi="Times New Roman" w:cs="Times New Roman"/>
          <w:spacing w:val="-11"/>
          <w:w w:val="105"/>
          <w:sz w:val="23"/>
          <w:szCs w:val="23"/>
        </w:rPr>
        <w:t xml:space="preserve"> </w:t>
      </w:r>
      <w:r>
        <w:rPr>
          <w:rFonts w:ascii="Times New Roman" w:hAnsi="Times New Roman" w:cs="Times New Roman"/>
          <w:w w:val="105"/>
          <w:sz w:val="23"/>
          <w:szCs w:val="23"/>
        </w:rPr>
        <w:t>needs,</w:t>
      </w:r>
      <w:r>
        <w:rPr>
          <w:rFonts w:ascii="Times New Roman" w:hAnsi="Times New Roman" w:cs="Times New Roman"/>
          <w:spacing w:val="-4"/>
          <w:w w:val="105"/>
          <w:sz w:val="23"/>
          <w:szCs w:val="23"/>
        </w:rPr>
        <w:t xml:space="preserve"> </w:t>
      </w:r>
      <w:r>
        <w:rPr>
          <w:rFonts w:ascii="Times New Roman" w:hAnsi="Times New Roman" w:cs="Times New Roman"/>
          <w:w w:val="105"/>
          <w:sz w:val="23"/>
          <w:szCs w:val="23"/>
        </w:rPr>
        <w:t>as</w:t>
      </w:r>
      <w:r>
        <w:rPr>
          <w:rFonts w:ascii="Times New Roman" w:hAnsi="Times New Roman" w:cs="Times New Roman"/>
          <w:spacing w:val="-18"/>
          <w:w w:val="105"/>
          <w:sz w:val="23"/>
          <w:szCs w:val="23"/>
        </w:rPr>
        <w:t xml:space="preserve"> </w:t>
      </w:r>
      <w:r>
        <w:rPr>
          <w:rFonts w:ascii="Times New Roman" w:hAnsi="Times New Roman" w:cs="Times New Roman"/>
          <w:w w:val="105"/>
          <w:sz w:val="23"/>
          <w:szCs w:val="23"/>
        </w:rPr>
        <w:t>well</w:t>
      </w:r>
      <w:r>
        <w:rPr>
          <w:rFonts w:ascii="Times New Roman" w:hAnsi="Times New Roman" w:cs="Times New Roman"/>
          <w:spacing w:val="2"/>
          <w:w w:val="105"/>
          <w:sz w:val="23"/>
          <w:szCs w:val="23"/>
        </w:rPr>
        <w:t xml:space="preserve"> </w:t>
      </w:r>
      <w:r>
        <w:rPr>
          <w:rFonts w:ascii="Times New Roman" w:hAnsi="Times New Roman" w:cs="Times New Roman"/>
          <w:w w:val="105"/>
          <w:sz w:val="23"/>
          <w:szCs w:val="23"/>
        </w:rPr>
        <w:t>as</w:t>
      </w:r>
      <w:r>
        <w:rPr>
          <w:rFonts w:ascii="Times New Roman" w:hAnsi="Times New Roman" w:cs="Times New Roman"/>
          <w:spacing w:val="-19"/>
          <w:w w:val="105"/>
          <w:sz w:val="23"/>
          <w:szCs w:val="23"/>
        </w:rPr>
        <w:t xml:space="preserve"> </w:t>
      </w:r>
      <w:r>
        <w:rPr>
          <w:rFonts w:ascii="Times New Roman" w:hAnsi="Times New Roman" w:cs="Times New Roman"/>
          <w:w w:val="105"/>
          <w:sz w:val="23"/>
          <w:szCs w:val="23"/>
        </w:rPr>
        <w:t>the</w:t>
      </w:r>
      <w:r>
        <w:rPr>
          <w:rFonts w:ascii="Times New Roman" w:hAnsi="Times New Roman" w:cs="Times New Roman"/>
          <w:spacing w:val="-16"/>
          <w:w w:val="105"/>
          <w:sz w:val="23"/>
          <w:szCs w:val="23"/>
        </w:rPr>
        <w:t xml:space="preserve"> </w:t>
      </w:r>
      <w:r>
        <w:rPr>
          <w:rFonts w:ascii="Times New Roman" w:hAnsi="Times New Roman" w:cs="Times New Roman"/>
          <w:w w:val="105"/>
          <w:sz w:val="23"/>
          <w:szCs w:val="23"/>
        </w:rPr>
        <w:t>proposal</w:t>
      </w:r>
      <w:r>
        <w:rPr>
          <w:rFonts w:ascii="Times New Roman" w:hAnsi="Times New Roman" w:cs="Times New Roman"/>
          <w:spacing w:val="3"/>
          <w:w w:val="105"/>
          <w:sz w:val="23"/>
          <w:szCs w:val="23"/>
        </w:rPr>
        <w:t xml:space="preserve"> </w:t>
      </w:r>
      <w:r>
        <w:rPr>
          <w:rFonts w:ascii="Times New Roman" w:hAnsi="Times New Roman" w:cs="Times New Roman"/>
          <w:w w:val="105"/>
          <w:sz w:val="23"/>
          <w:szCs w:val="23"/>
        </w:rPr>
        <w:t>to</w:t>
      </w:r>
      <w:r>
        <w:rPr>
          <w:rFonts w:ascii="Times New Roman" w:hAnsi="Times New Roman" w:cs="Times New Roman"/>
          <w:spacing w:val="-8"/>
          <w:w w:val="105"/>
          <w:sz w:val="23"/>
          <w:szCs w:val="23"/>
        </w:rPr>
        <w:t xml:space="preserve"> </w:t>
      </w:r>
      <w:r>
        <w:rPr>
          <w:rFonts w:ascii="Times New Roman" w:hAnsi="Times New Roman" w:cs="Times New Roman"/>
          <w:w w:val="105"/>
          <w:sz w:val="23"/>
          <w:szCs w:val="23"/>
        </w:rPr>
        <w:t>strengthen</w:t>
      </w:r>
      <w:r>
        <w:rPr>
          <w:rFonts w:ascii="Times New Roman" w:hAnsi="Times New Roman" w:cs="Times New Roman"/>
          <w:spacing w:val="-11"/>
          <w:w w:val="105"/>
          <w:sz w:val="23"/>
          <w:szCs w:val="23"/>
        </w:rPr>
        <w:t xml:space="preserve"> </w:t>
      </w:r>
      <w:r>
        <w:rPr>
          <w:rFonts w:ascii="Times New Roman" w:hAnsi="Times New Roman" w:cs="Times New Roman"/>
          <w:w w:val="105"/>
          <w:sz w:val="23"/>
          <w:szCs w:val="23"/>
        </w:rPr>
        <w:t>linkages</w:t>
      </w:r>
      <w:r>
        <w:rPr>
          <w:rFonts w:ascii="Times New Roman" w:hAnsi="Times New Roman" w:cs="Times New Roman"/>
          <w:spacing w:val="-10"/>
          <w:w w:val="105"/>
          <w:sz w:val="23"/>
          <w:szCs w:val="23"/>
        </w:rPr>
        <w:t xml:space="preserve"> </w:t>
      </w:r>
      <w:r>
        <w:rPr>
          <w:rFonts w:ascii="Times New Roman" w:hAnsi="Times New Roman" w:cs="Times New Roman"/>
          <w:w w:val="105"/>
          <w:sz w:val="23"/>
          <w:szCs w:val="23"/>
        </w:rPr>
        <w:t>to</w:t>
      </w:r>
      <w:r>
        <w:rPr>
          <w:rFonts w:ascii="Times New Roman" w:hAnsi="Times New Roman" w:cs="Times New Roman"/>
          <w:spacing w:val="-8"/>
          <w:w w:val="105"/>
          <w:sz w:val="23"/>
          <w:szCs w:val="23"/>
        </w:rPr>
        <w:t xml:space="preserve"> </w:t>
      </w:r>
      <w:r>
        <w:rPr>
          <w:rFonts w:ascii="Times New Roman" w:hAnsi="Times New Roman" w:cs="Times New Roman"/>
          <w:w w:val="105"/>
          <w:sz w:val="23"/>
          <w:szCs w:val="23"/>
        </w:rPr>
        <w:t>social</w:t>
      </w:r>
      <w:r>
        <w:rPr>
          <w:rFonts w:ascii="Times New Roman" w:hAnsi="Times New Roman" w:cs="Times New Roman"/>
          <w:spacing w:val="-5"/>
          <w:w w:val="105"/>
          <w:sz w:val="23"/>
          <w:szCs w:val="23"/>
        </w:rPr>
        <w:t xml:space="preserve"> </w:t>
      </w:r>
      <w:r>
        <w:rPr>
          <w:rFonts w:ascii="Times New Roman" w:hAnsi="Times New Roman" w:cs="Times New Roman"/>
          <w:w w:val="105"/>
          <w:sz w:val="23"/>
          <w:szCs w:val="23"/>
        </w:rPr>
        <w:t>services.</w:t>
      </w:r>
      <w:r>
        <w:rPr>
          <w:rFonts w:ascii="Times New Roman" w:hAnsi="Times New Roman" w:cs="Times New Roman"/>
          <w:spacing w:val="-12"/>
          <w:w w:val="105"/>
          <w:sz w:val="23"/>
          <w:szCs w:val="23"/>
        </w:rPr>
        <w:t xml:space="preserve"> </w:t>
      </w:r>
      <w:r>
        <w:rPr>
          <w:rFonts w:ascii="Times New Roman" w:hAnsi="Times New Roman" w:cs="Times New Roman"/>
          <w:w w:val="105"/>
          <w:sz w:val="23"/>
          <w:szCs w:val="23"/>
        </w:rPr>
        <w:t>We applaud</w:t>
      </w:r>
      <w:r>
        <w:rPr>
          <w:rFonts w:ascii="Times New Roman" w:hAnsi="Times New Roman" w:cs="Times New Roman"/>
          <w:spacing w:val="-7"/>
          <w:w w:val="105"/>
          <w:sz w:val="23"/>
          <w:szCs w:val="23"/>
        </w:rPr>
        <w:t xml:space="preserve"> </w:t>
      </w:r>
      <w:r>
        <w:rPr>
          <w:rFonts w:ascii="Times New Roman" w:hAnsi="Times New Roman" w:cs="Times New Roman"/>
          <w:w w:val="105"/>
          <w:sz w:val="23"/>
          <w:szCs w:val="23"/>
        </w:rPr>
        <w:t>the</w:t>
      </w:r>
      <w:r>
        <w:rPr>
          <w:rFonts w:ascii="Times New Roman" w:hAnsi="Times New Roman" w:cs="Times New Roman"/>
          <w:spacing w:val="-19"/>
          <w:w w:val="105"/>
          <w:sz w:val="23"/>
          <w:szCs w:val="23"/>
        </w:rPr>
        <w:t xml:space="preserve"> </w:t>
      </w:r>
      <w:r>
        <w:rPr>
          <w:rFonts w:ascii="Times New Roman" w:hAnsi="Times New Roman" w:cs="Times New Roman"/>
          <w:w w:val="105"/>
          <w:sz w:val="23"/>
          <w:szCs w:val="23"/>
        </w:rPr>
        <w:t>proposed</w:t>
      </w:r>
      <w:r>
        <w:rPr>
          <w:rFonts w:ascii="Times New Roman" w:hAnsi="Times New Roman" w:cs="Times New Roman"/>
          <w:spacing w:val="-3"/>
          <w:w w:val="105"/>
          <w:sz w:val="23"/>
          <w:szCs w:val="23"/>
        </w:rPr>
        <w:t xml:space="preserve"> </w:t>
      </w:r>
      <w:r>
        <w:rPr>
          <w:rFonts w:ascii="Times New Roman" w:hAnsi="Times New Roman" w:cs="Times New Roman"/>
          <w:w w:val="105"/>
          <w:sz w:val="23"/>
          <w:szCs w:val="23"/>
        </w:rPr>
        <w:t>upfront investment in</w:t>
      </w:r>
      <w:r>
        <w:rPr>
          <w:rFonts w:ascii="Times New Roman" w:hAnsi="Times New Roman" w:cs="Times New Roman"/>
          <w:spacing w:val="-21"/>
          <w:w w:val="105"/>
          <w:sz w:val="23"/>
          <w:szCs w:val="23"/>
        </w:rPr>
        <w:t xml:space="preserve"> </w:t>
      </w:r>
      <w:r>
        <w:rPr>
          <w:rFonts w:ascii="Times New Roman" w:hAnsi="Times New Roman" w:cs="Times New Roman"/>
          <w:w w:val="105"/>
          <w:sz w:val="23"/>
          <w:szCs w:val="23"/>
        </w:rPr>
        <w:t>BH/</w:t>
      </w:r>
      <w:r>
        <w:rPr>
          <w:rFonts w:ascii="Times New Roman" w:hAnsi="Times New Roman" w:cs="Times New Roman"/>
          <w:spacing w:val="-7"/>
          <w:w w:val="105"/>
          <w:sz w:val="23"/>
          <w:szCs w:val="23"/>
        </w:rPr>
        <w:t xml:space="preserve"> </w:t>
      </w:r>
      <w:r>
        <w:rPr>
          <w:rFonts w:ascii="Times New Roman" w:hAnsi="Times New Roman" w:cs="Times New Roman"/>
          <w:w w:val="105"/>
          <w:sz w:val="23"/>
          <w:szCs w:val="23"/>
        </w:rPr>
        <w:t>LTSS</w:t>
      </w:r>
      <w:r>
        <w:rPr>
          <w:rFonts w:ascii="Times New Roman" w:hAnsi="Times New Roman" w:cs="Times New Roman"/>
          <w:spacing w:val="-7"/>
          <w:w w:val="105"/>
          <w:sz w:val="23"/>
          <w:szCs w:val="23"/>
        </w:rPr>
        <w:t xml:space="preserve"> </w:t>
      </w:r>
      <w:r>
        <w:rPr>
          <w:rFonts w:ascii="Times New Roman" w:hAnsi="Times New Roman" w:cs="Times New Roman"/>
          <w:w w:val="105"/>
          <w:sz w:val="23"/>
          <w:szCs w:val="23"/>
        </w:rPr>
        <w:t>community</w:t>
      </w:r>
      <w:r>
        <w:rPr>
          <w:rFonts w:ascii="Times New Roman" w:hAnsi="Times New Roman" w:cs="Times New Roman"/>
          <w:spacing w:val="-18"/>
          <w:w w:val="105"/>
          <w:sz w:val="23"/>
          <w:szCs w:val="23"/>
        </w:rPr>
        <w:t xml:space="preserve"> </w:t>
      </w:r>
      <w:r>
        <w:rPr>
          <w:rFonts w:ascii="Times New Roman" w:hAnsi="Times New Roman" w:cs="Times New Roman"/>
          <w:w w:val="105"/>
          <w:sz w:val="23"/>
          <w:szCs w:val="23"/>
        </w:rPr>
        <w:t>capacity,</w:t>
      </w:r>
      <w:r>
        <w:rPr>
          <w:rFonts w:ascii="Times New Roman" w:hAnsi="Times New Roman" w:cs="Times New Roman"/>
          <w:spacing w:val="-17"/>
          <w:w w:val="105"/>
          <w:sz w:val="23"/>
          <w:szCs w:val="23"/>
        </w:rPr>
        <w:t xml:space="preserve"> </w:t>
      </w:r>
      <w:r>
        <w:rPr>
          <w:rFonts w:ascii="Times New Roman" w:hAnsi="Times New Roman" w:cs="Times New Roman"/>
          <w:w w:val="105"/>
          <w:sz w:val="23"/>
          <w:szCs w:val="23"/>
        </w:rPr>
        <w:t>investments</w:t>
      </w:r>
      <w:r>
        <w:rPr>
          <w:rFonts w:ascii="Times New Roman" w:hAnsi="Times New Roman" w:cs="Times New Roman"/>
          <w:spacing w:val="-3"/>
          <w:w w:val="105"/>
          <w:sz w:val="23"/>
          <w:szCs w:val="23"/>
        </w:rPr>
        <w:t xml:space="preserve"> </w:t>
      </w:r>
      <w:r>
        <w:rPr>
          <w:rFonts w:ascii="Times New Roman" w:hAnsi="Times New Roman" w:cs="Times New Roman"/>
          <w:w w:val="105"/>
          <w:sz w:val="23"/>
          <w:szCs w:val="23"/>
        </w:rPr>
        <w:t>to</w:t>
      </w:r>
      <w:r>
        <w:rPr>
          <w:rFonts w:ascii="Times New Roman" w:hAnsi="Times New Roman" w:cs="Times New Roman"/>
          <w:spacing w:val="-23"/>
          <w:w w:val="105"/>
          <w:sz w:val="23"/>
          <w:szCs w:val="23"/>
        </w:rPr>
        <w:t xml:space="preserve"> </w:t>
      </w:r>
      <w:r>
        <w:rPr>
          <w:rFonts w:ascii="Times New Roman" w:hAnsi="Times New Roman" w:cs="Times New Roman"/>
          <w:w w:val="105"/>
          <w:sz w:val="23"/>
          <w:szCs w:val="23"/>
        </w:rPr>
        <w:t>better</w:t>
      </w:r>
      <w:r>
        <w:rPr>
          <w:rFonts w:ascii="Times New Roman" w:hAnsi="Times New Roman" w:cs="Times New Roman"/>
          <w:spacing w:val="-14"/>
          <w:w w:val="105"/>
          <w:sz w:val="23"/>
          <w:szCs w:val="23"/>
        </w:rPr>
        <w:t xml:space="preserve"> </w:t>
      </w:r>
      <w:r>
        <w:rPr>
          <w:rFonts w:ascii="Times New Roman" w:hAnsi="Times New Roman" w:cs="Times New Roman"/>
          <w:w w:val="105"/>
          <w:sz w:val="23"/>
          <w:szCs w:val="23"/>
        </w:rPr>
        <w:t>meet</w:t>
      </w:r>
      <w:r>
        <w:rPr>
          <w:rFonts w:ascii="Times New Roman" w:hAnsi="Times New Roman" w:cs="Times New Roman"/>
          <w:spacing w:val="-16"/>
          <w:w w:val="105"/>
          <w:sz w:val="23"/>
          <w:szCs w:val="23"/>
        </w:rPr>
        <w:t xml:space="preserve"> </w:t>
      </w:r>
      <w:r>
        <w:rPr>
          <w:rFonts w:ascii="Times New Roman" w:hAnsi="Times New Roman" w:cs="Times New Roman"/>
          <w:w w:val="105"/>
          <w:sz w:val="23"/>
          <w:szCs w:val="23"/>
        </w:rPr>
        <w:t>health-related social</w:t>
      </w:r>
      <w:r>
        <w:rPr>
          <w:rFonts w:ascii="Times New Roman" w:hAnsi="Times New Roman" w:cs="Times New Roman"/>
          <w:spacing w:val="-16"/>
          <w:w w:val="105"/>
          <w:sz w:val="23"/>
          <w:szCs w:val="23"/>
        </w:rPr>
        <w:t xml:space="preserve"> </w:t>
      </w:r>
      <w:r>
        <w:rPr>
          <w:rFonts w:ascii="Times New Roman" w:hAnsi="Times New Roman" w:cs="Times New Roman"/>
          <w:w w:val="105"/>
          <w:sz w:val="23"/>
          <w:szCs w:val="23"/>
        </w:rPr>
        <w:t>needs,</w:t>
      </w:r>
      <w:r>
        <w:rPr>
          <w:rFonts w:ascii="Times New Roman" w:hAnsi="Times New Roman" w:cs="Times New Roman"/>
          <w:spacing w:val="-8"/>
          <w:w w:val="105"/>
          <w:sz w:val="23"/>
          <w:szCs w:val="23"/>
        </w:rPr>
        <w:t xml:space="preserve"> </w:t>
      </w:r>
      <w:r>
        <w:rPr>
          <w:rFonts w:ascii="Times New Roman" w:hAnsi="Times New Roman" w:cs="Times New Roman"/>
          <w:w w:val="105"/>
          <w:sz w:val="23"/>
          <w:szCs w:val="23"/>
        </w:rPr>
        <w:t>and</w:t>
      </w:r>
      <w:r>
        <w:rPr>
          <w:rFonts w:ascii="Times New Roman" w:hAnsi="Times New Roman" w:cs="Times New Roman"/>
          <w:spacing w:val="-17"/>
          <w:w w:val="105"/>
          <w:sz w:val="23"/>
          <w:szCs w:val="23"/>
        </w:rPr>
        <w:t xml:space="preserve"> </w:t>
      </w:r>
      <w:r>
        <w:rPr>
          <w:rFonts w:ascii="Times New Roman" w:hAnsi="Times New Roman" w:cs="Times New Roman"/>
          <w:w w:val="105"/>
          <w:sz w:val="23"/>
          <w:szCs w:val="23"/>
        </w:rPr>
        <w:t>investments</w:t>
      </w:r>
      <w:r>
        <w:rPr>
          <w:rFonts w:ascii="Times New Roman" w:hAnsi="Times New Roman" w:cs="Times New Roman"/>
          <w:spacing w:val="-3"/>
          <w:w w:val="105"/>
          <w:sz w:val="23"/>
          <w:szCs w:val="23"/>
        </w:rPr>
        <w:t xml:space="preserve"> </w:t>
      </w:r>
      <w:r>
        <w:rPr>
          <w:rFonts w:ascii="Times New Roman" w:hAnsi="Times New Roman" w:cs="Times New Roman"/>
          <w:w w:val="105"/>
          <w:sz w:val="23"/>
          <w:szCs w:val="23"/>
        </w:rPr>
        <w:t>to</w:t>
      </w:r>
      <w:r>
        <w:rPr>
          <w:rFonts w:ascii="Times New Roman" w:hAnsi="Times New Roman" w:cs="Times New Roman"/>
          <w:spacing w:val="-16"/>
          <w:w w:val="105"/>
          <w:sz w:val="23"/>
          <w:szCs w:val="23"/>
        </w:rPr>
        <w:t xml:space="preserve"> </w:t>
      </w:r>
      <w:r>
        <w:rPr>
          <w:rFonts w:ascii="Times New Roman" w:hAnsi="Times New Roman" w:cs="Times New Roman"/>
          <w:w w:val="105"/>
          <w:sz w:val="23"/>
          <w:szCs w:val="23"/>
        </w:rPr>
        <w:t>improve</w:t>
      </w:r>
      <w:r>
        <w:rPr>
          <w:rFonts w:ascii="Times New Roman" w:hAnsi="Times New Roman" w:cs="Times New Roman"/>
          <w:spacing w:val="-9"/>
          <w:w w:val="105"/>
          <w:sz w:val="23"/>
          <w:szCs w:val="23"/>
        </w:rPr>
        <w:t xml:space="preserve"> </w:t>
      </w:r>
      <w:r>
        <w:rPr>
          <w:rFonts w:ascii="Times New Roman" w:hAnsi="Times New Roman" w:cs="Times New Roman"/>
          <w:w w:val="105"/>
          <w:sz w:val="23"/>
          <w:szCs w:val="23"/>
        </w:rPr>
        <w:t>accommodations for</w:t>
      </w:r>
      <w:r>
        <w:rPr>
          <w:rFonts w:ascii="Times New Roman" w:hAnsi="Times New Roman" w:cs="Times New Roman"/>
          <w:spacing w:val="-25"/>
          <w:w w:val="105"/>
          <w:sz w:val="23"/>
          <w:szCs w:val="23"/>
        </w:rPr>
        <w:t xml:space="preserve"> </w:t>
      </w:r>
      <w:r>
        <w:rPr>
          <w:rFonts w:ascii="Times New Roman" w:hAnsi="Times New Roman" w:cs="Times New Roman"/>
          <w:w w:val="105"/>
          <w:sz w:val="23"/>
          <w:szCs w:val="23"/>
        </w:rPr>
        <w:t>members</w:t>
      </w:r>
      <w:r>
        <w:rPr>
          <w:rFonts w:ascii="Times New Roman" w:hAnsi="Times New Roman" w:cs="Times New Roman"/>
          <w:spacing w:val="-10"/>
          <w:w w:val="105"/>
          <w:sz w:val="23"/>
          <w:szCs w:val="23"/>
        </w:rPr>
        <w:t xml:space="preserve"> </w:t>
      </w:r>
      <w:r>
        <w:rPr>
          <w:rFonts w:ascii="Times New Roman" w:hAnsi="Times New Roman" w:cs="Times New Roman"/>
          <w:w w:val="105"/>
          <w:sz w:val="23"/>
          <w:szCs w:val="23"/>
        </w:rPr>
        <w:t>with</w:t>
      </w:r>
      <w:r>
        <w:rPr>
          <w:rFonts w:ascii="Times New Roman" w:hAnsi="Times New Roman" w:cs="Times New Roman"/>
          <w:spacing w:val="-6"/>
          <w:w w:val="105"/>
          <w:sz w:val="23"/>
          <w:szCs w:val="23"/>
        </w:rPr>
        <w:t xml:space="preserve"> </w:t>
      </w:r>
      <w:r>
        <w:rPr>
          <w:rFonts w:ascii="Times New Roman" w:hAnsi="Times New Roman" w:cs="Times New Roman"/>
          <w:w w:val="105"/>
          <w:sz w:val="23"/>
          <w:szCs w:val="23"/>
        </w:rPr>
        <w:t>disabilities.</w:t>
      </w:r>
    </w:p>
    <w:p w:rsidR="002C5025" w:rsidRDefault="002C5025">
      <w:pPr>
        <w:pStyle w:val="BodyText"/>
        <w:kinsoku w:val="0"/>
        <w:overflowPunct w:val="0"/>
        <w:spacing w:before="10"/>
        <w:rPr>
          <w:rFonts w:ascii="Times New Roman" w:hAnsi="Times New Roman" w:cs="Times New Roman"/>
          <w:sz w:val="24"/>
          <w:szCs w:val="24"/>
        </w:rPr>
      </w:pPr>
    </w:p>
    <w:p w:rsidR="002C5025" w:rsidRDefault="002C5025">
      <w:pPr>
        <w:pStyle w:val="BodyText"/>
        <w:tabs>
          <w:tab w:val="left" w:pos="7048"/>
        </w:tabs>
        <w:kinsoku w:val="0"/>
        <w:overflowPunct w:val="0"/>
        <w:spacing w:before="1" w:line="247" w:lineRule="auto"/>
        <w:ind w:left="309" w:right="322" w:firstLine="7"/>
        <w:rPr>
          <w:rFonts w:ascii="Times New Roman" w:hAnsi="Times New Roman" w:cs="Times New Roman"/>
          <w:sz w:val="23"/>
          <w:szCs w:val="23"/>
        </w:rPr>
      </w:pPr>
      <w:r>
        <w:rPr>
          <w:rFonts w:ascii="Times New Roman" w:hAnsi="Times New Roman" w:cs="Times New Roman"/>
          <w:w w:val="105"/>
          <w:sz w:val="23"/>
          <w:szCs w:val="23"/>
        </w:rPr>
        <w:t>We</w:t>
      </w:r>
      <w:r>
        <w:rPr>
          <w:rFonts w:ascii="Times New Roman" w:hAnsi="Times New Roman" w:cs="Times New Roman"/>
          <w:spacing w:val="-3"/>
          <w:w w:val="105"/>
          <w:sz w:val="23"/>
          <w:szCs w:val="23"/>
        </w:rPr>
        <w:t xml:space="preserve"> </w:t>
      </w:r>
      <w:r>
        <w:rPr>
          <w:rFonts w:ascii="Times New Roman" w:hAnsi="Times New Roman" w:cs="Times New Roman"/>
          <w:w w:val="105"/>
          <w:sz w:val="23"/>
          <w:szCs w:val="23"/>
        </w:rPr>
        <w:t>also</w:t>
      </w:r>
      <w:r>
        <w:rPr>
          <w:rFonts w:ascii="Times New Roman" w:hAnsi="Times New Roman" w:cs="Times New Roman"/>
          <w:spacing w:val="-14"/>
          <w:w w:val="105"/>
          <w:sz w:val="23"/>
          <w:szCs w:val="23"/>
        </w:rPr>
        <w:t xml:space="preserve"> </w:t>
      </w:r>
      <w:r>
        <w:rPr>
          <w:rFonts w:ascii="Times New Roman" w:hAnsi="Times New Roman" w:cs="Times New Roman"/>
          <w:w w:val="105"/>
          <w:sz w:val="23"/>
          <w:szCs w:val="23"/>
        </w:rPr>
        <w:t>recognize</w:t>
      </w:r>
      <w:r>
        <w:rPr>
          <w:rFonts w:ascii="Times New Roman" w:hAnsi="Times New Roman" w:cs="Times New Roman"/>
          <w:spacing w:val="-3"/>
          <w:w w:val="105"/>
          <w:sz w:val="23"/>
          <w:szCs w:val="23"/>
        </w:rPr>
        <w:t xml:space="preserve"> </w:t>
      </w:r>
      <w:r>
        <w:rPr>
          <w:rFonts w:ascii="Times New Roman" w:hAnsi="Times New Roman" w:cs="Times New Roman"/>
          <w:w w:val="105"/>
          <w:sz w:val="23"/>
          <w:szCs w:val="23"/>
        </w:rPr>
        <w:t>that--as</w:t>
      </w:r>
      <w:r>
        <w:rPr>
          <w:rFonts w:ascii="Times New Roman" w:hAnsi="Times New Roman" w:cs="Times New Roman"/>
          <w:spacing w:val="-2"/>
          <w:w w:val="105"/>
          <w:sz w:val="23"/>
          <w:szCs w:val="23"/>
        </w:rPr>
        <w:t xml:space="preserve"> </w:t>
      </w:r>
      <w:r>
        <w:rPr>
          <w:rFonts w:ascii="Times New Roman" w:hAnsi="Times New Roman" w:cs="Times New Roman"/>
          <w:w w:val="105"/>
          <w:sz w:val="23"/>
          <w:szCs w:val="23"/>
        </w:rPr>
        <w:t>is</w:t>
      </w:r>
      <w:r>
        <w:rPr>
          <w:rFonts w:ascii="Times New Roman" w:hAnsi="Times New Roman" w:cs="Times New Roman"/>
          <w:spacing w:val="-10"/>
          <w:w w:val="105"/>
          <w:sz w:val="23"/>
          <w:szCs w:val="23"/>
        </w:rPr>
        <w:t xml:space="preserve"> </w:t>
      </w:r>
      <w:r>
        <w:rPr>
          <w:rFonts w:ascii="Times New Roman" w:hAnsi="Times New Roman" w:cs="Times New Roman"/>
          <w:w w:val="105"/>
          <w:sz w:val="23"/>
          <w:szCs w:val="23"/>
        </w:rPr>
        <w:t>the</w:t>
      </w:r>
      <w:r>
        <w:rPr>
          <w:rFonts w:ascii="Times New Roman" w:hAnsi="Times New Roman" w:cs="Times New Roman"/>
          <w:spacing w:val="-7"/>
          <w:w w:val="105"/>
          <w:sz w:val="23"/>
          <w:szCs w:val="23"/>
        </w:rPr>
        <w:t xml:space="preserve"> </w:t>
      </w:r>
      <w:r>
        <w:rPr>
          <w:rFonts w:ascii="Times New Roman" w:hAnsi="Times New Roman" w:cs="Times New Roman"/>
          <w:w w:val="105"/>
          <w:sz w:val="23"/>
          <w:szCs w:val="23"/>
        </w:rPr>
        <w:t>case</w:t>
      </w:r>
      <w:r>
        <w:rPr>
          <w:rFonts w:ascii="Times New Roman" w:hAnsi="Times New Roman" w:cs="Times New Roman"/>
          <w:spacing w:val="-11"/>
          <w:w w:val="105"/>
          <w:sz w:val="23"/>
          <w:szCs w:val="23"/>
        </w:rPr>
        <w:t xml:space="preserve"> </w:t>
      </w:r>
      <w:r>
        <w:rPr>
          <w:rFonts w:ascii="Times New Roman" w:hAnsi="Times New Roman" w:cs="Times New Roman"/>
          <w:w w:val="105"/>
          <w:sz w:val="23"/>
          <w:szCs w:val="23"/>
        </w:rPr>
        <w:t>with</w:t>
      </w:r>
      <w:r>
        <w:rPr>
          <w:rFonts w:ascii="Times New Roman" w:hAnsi="Times New Roman" w:cs="Times New Roman"/>
          <w:spacing w:val="-7"/>
          <w:w w:val="105"/>
          <w:sz w:val="23"/>
          <w:szCs w:val="23"/>
        </w:rPr>
        <w:t xml:space="preserve"> </w:t>
      </w:r>
      <w:r>
        <w:rPr>
          <w:rFonts w:ascii="Times New Roman" w:hAnsi="Times New Roman" w:cs="Times New Roman"/>
          <w:w w:val="105"/>
          <w:sz w:val="23"/>
          <w:szCs w:val="23"/>
        </w:rPr>
        <w:t>major</w:t>
      </w:r>
      <w:r>
        <w:rPr>
          <w:rFonts w:ascii="Times New Roman" w:hAnsi="Times New Roman" w:cs="Times New Roman"/>
          <w:spacing w:val="5"/>
          <w:w w:val="105"/>
          <w:sz w:val="23"/>
          <w:szCs w:val="23"/>
        </w:rPr>
        <w:t xml:space="preserve"> </w:t>
      </w:r>
      <w:r>
        <w:rPr>
          <w:rFonts w:ascii="Times New Roman" w:hAnsi="Times New Roman" w:cs="Times New Roman"/>
          <w:w w:val="105"/>
          <w:sz w:val="23"/>
          <w:szCs w:val="23"/>
        </w:rPr>
        <w:t>changes</w:t>
      </w:r>
      <w:r>
        <w:rPr>
          <w:rFonts w:ascii="Times New Roman" w:hAnsi="Times New Roman" w:cs="Times New Roman"/>
          <w:spacing w:val="-4"/>
          <w:w w:val="105"/>
          <w:sz w:val="23"/>
          <w:szCs w:val="23"/>
        </w:rPr>
        <w:t xml:space="preserve"> </w:t>
      </w:r>
      <w:r>
        <w:rPr>
          <w:rFonts w:ascii="Times New Roman" w:hAnsi="Times New Roman" w:cs="Times New Roman"/>
          <w:w w:val="105"/>
          <w:sz w:val="23"/>
          <w:szCs w:val="23"/>
        </w:rPr>
        <w:t>to</w:t>
      </w:r>
      <w:r>
        <w:rPr>
          <w:rFonts w:ascii="Times New Roman" w:hAnsi="Times New Roman" w:cs="Times New Roman"/>
          <w:spacing w:val="-5"/>
          <w:w w:val="105"/>
          <w:sz w:val="23"/>
          <w:szCs w:val="23"/>
        </w:rPr>
        <w:t xml:space="preserve"> </w:t>
      </w:r>
      <w:r>
        <w:rPr>
          <w:rFonts w:ascii="Times New Roman" w:hAnsi="Times New Roman" w:cs="Times New Roman"/>
          <w:w w:val="105"/>
          <w:sz w:val="23"/>
          <w:szCs w:val="23"/>
        </w:rPr>
        <w:t>any</w:t>
      </w:r>
      <w:r>
        <w:rPr>
          <w:rFonts w:ascii="Times New Roman" w:hAnsi="Times New Roman" w:cs="Times New Roman"/>
          <w:spacing w:val="-13"/>
          <w:w w:val="105"/>
          <w:sz w:val="23"/>
          <w:szCs w:val="23"/>
        </w:rPr>
        <w:t xml:space="preserve"> </w:t>
      </w:r>
      <w:r>
        <w:rPr>
          <w:rFonts w:ascii="Times New Roman" w:hAnsi="Times New Roman" w:cs="Times New Roman"/>
          <w:w w:val="105"/>
          <w:sz w:val="23"/>
          <w:szCs w:val="23"/>
        </w:rPr>
        <w:t>complex</w:t>
      </w:r>
      <w:r>
        <w:rPr>
          <w:rFonts w:ascii="Times New Roman" w:hAnsi="Times New Roman" w:cs="Times New Roman"/>
          <w:spacing w:val="7"/>
          <w:w w:val="105"/>
          <w:sz w:val="23"/>
          <w:szCs w:val="23"/>
        </w:rPr>
        <w:t xml:space="preserve"> </w:t>
      </w:r>
      <w:r>
        <w:rPr>
          <w:rFonts w:ascii="Times New Roman" w:hAnsi="Times New Roman" w:cs="Times New Roman"/>
          <w:w w:val="105"/>
          <w:sz w:val="23"/>
          <w:szCs w:val="23"/>
        </w:rPr>
        <w:t>system--</w:t>
      </w:r>
      <w:r>
        <w:rPr>
          <w:rFonts w:ascii="Times New Roman" w:hAnsi="Times New Roman" w:cs="Times New Roman"/>
          <w:spacing w:val="-12"/>
          <w:w w:val="105"/>
          <w:sz w:val="23"/>
          <w:szCs w:val="23"/>
        </w:rPr>
        <w:t xml:space="preserve"> </w:t>
      </w:r>
      <w:r>
        <w:rPr>
          <w:rFonts w:ascii="Times New Roman" w:hAnsi="Times New Roman" w:cs="Times New Roman"/>
          <w:w w:val="105"/>
          <w:sz w:val="23"/>
          <w:szCs w:val="23"/>
        </w:rPr>
        <w:t>the</w:t>
      </w:r>
      <w:r>
        <w:rPr>
          <w:rFonts w:ascii="Times New Roman" w:hAnsi="Times New Roman" w:cs="Times New Roman"/>
          <w:spacing w:val="-9"/>
          <w:w w:val="105"/>
          <w:sz w:val="23"/>
          <w:szCs w:val="23"/>
        </w:rPr>
        <w:t xml:space="preserve"> </w:t>
      </w:r>
      <w:r>
        <w:rPr>
          <w:rFonts w:ascii="Times New Roman" w:hAnsi="Times New Roman" w:cs="Times New Roman"/>
          <w:w w:val="105"/>
          <w:sz w:val="23"/>
          <w:szCs w:val="23"/>
        </w:rPr>
        <w:t>devil</w:t>
      </w:r>
      <w:r>
        <w:rPr>
          <w:rFonts w:ascii="Times New Roman" w:hAnsi="Times New Roman" w:cs="Times New Roman"/>
          <w:spacing w:val="-7"/>
          <w:w w:val="105"/>
          <w:sz w:val="23"/>
          <w:szCs w:val="23"/>
        </w:rPr>
        <w:t xml:space="preserve"> </w:t>
      </w:r>
      <w:r>
        <w:rPr>
          <w:rFonts w:ascii="Times New Roman" w:hAnsi="Times New Roman" w:cs="Times New Roman"/>
          <w:w w:val="105"/>
          <w:sz w:val="23"/>
          <w:szCs w:val="23"/>
        </w:rPr>
        <w:t>will</w:t>
      </w:r>
      <w:r>
        <w:rPr>
          <w:rFonts w:ascii="Times New Roman" w:hAnsi="Times New Roman" w:cs="Times New Roman"/>
          <w:spacing w:val="-2"/>
          <w:w w:val="105"/>
          <w:sz w:val="23"/>
          <w:szCs w:val="23"/>
        </w:rPr>
        <w:t xml:space="preserve"> </w:t>
      </w:r>
      <w:r>
        <w:rPr>
          <w:rFonts w:ascii="Times New Roman" w:hAnsi="Times New Roman" w:cs="Times New Roman"/>
          <w:w w:val="105"/>
          <w:sz w:val="23"/>
          <w:szCs w:val="23"/>
        </w:rPr>
        <w:t>be</w:t>
      </w:r>
      <w:r>
        <w:rPr>
          <w:rFonts w:ascii="Times New Roman" w:hAnsi="Times New Roman" w:cs="Times New Roman"/>
          <w:spacing w:val="-13"/>
          <w:w w:val="105"/>
          <w:sz w:val="23"/>
          <w:szCs w:val="23"/>
        </w:rPr>
        <w:t xml:space="preserve"> </w:t>
      </w:r>
      <w:r>
        <w:rPr>
          <w:rFonts w:ascii="Times New Roman" w:hAnsi="Times New Roman" w:cs="Times New Roman"/>
          <w:w w:val="105"/>
          <w:sz w:val="23"/>
          <w:szCs w:val="23"/>
        </w:rPr>
        <w:t>in</w:t>
      </w:r>
      <w:r>
        <w:rPr>
          <w:rFonts w:ascii="Times New Roman" w:hAnsi="Times New Roman" w:cs="Times New Roman"/>
          <w:spacing w:val="-16"/>
          <w:w w:val="105"/>
          <w:sz w:val="23"/>
          <w:szCs w:val="23"/>
        </w:rPr>
        <w:t xml:space="preserve"> </w:t>
      </w:r>
      <w:r>
        <w:rPr>
          <w:rFonts w:ascii="Times New Roman" w:hAnsi="Times New Roman" w:cs="Times New Roman"/>
          <w:w w:val="105"/>
          <w:sz w:val="23"/>
          <w:szCs w:val="23"/>
        </w:rPr>
        <w:t>the</w:t>
      </w:r>
      <w:r>
        <w:rPr>
          <w:rFonts w:ascii="Times New Roman" w:hAnsi="Times New Roman" w:cs="Times New Roman"/>
          <w:spacing w:val="-8"/>
          <w:w w:val="105"/>
          <w:sz w:val="23"/>
          <w:szCs w:val="23"/>
        </w:rPr>
        <w:t xml:space="preserve"> </w:t>
      </w:r>
      <w:r>
        <w:rPr>
          <w:rFonts w:ascii="Times New Roman" w:hAnsi="Times New Roman" w:cs="Times New Roman"/>
          <w:w w:val="105"/>
          <w:sz w:val="23"/>
          <w:szCs w:val="23"/>
        </w:rPr>
        <w:t>details.</w:t>
      </w:r>
      <w:r>
        <w:rPr>
          <w:rFonts w:ascii="Times New Roman" w:hAnsi="Times New Roman" w:cs="Times New Roman"/>
          <w:spacing w:val="41"/>
          <w:w w:val="105"/>
          <w:sz w:val="23"/>
          <w:szCs w:val="23"/>
        </w:rPr>
        <w:t xml:space="preserve"> </w:t>
      </w:r>
      <w:r>
        <w:rPr>
          <w:rFonts w:ascii="Times New Roman" w:hAnsi="Times New Roman" w:cs="Times New Roman"/>
          <w:w w:val="105"/>
          <w:sz w:val="23"/>
          <w:szCs w:val="23"/>
        </w:rPr>
        <w:t>At this</w:t>
      </w:r>
      <w:r>
        <w:rPr>
          <w:rFonts w:ascii="Times New Roman" w:hAnsi="Times New Roman" w:cs="Times New Roman"/>
          <w:spacing w:val="-7"/>
          <w:w w:val="105"/>
          <w:sz w:val="23"/>
          <w:szCs w:val="23"/>
        </w:rPr>
        <w:t xml:space="preserve"> </w:t>
      </w:r>
      <w:r>
        <w:rPr>
          <w:rFonts w:ascii="Times New Roman" w:hAnsi="Times New Roman" w:cs="Times New Roman"/>
          <w:w w:val="105"/>
          <w:sz w:val="23"/>
          <w:szCs w:val="23"/>
        </w:rPr>
        <w:t>point in</w:t>
      </w:r>
      <w:r>
        <w:rPr>
          <w:rFonts w:ascii="Times New Roman" w:hAnsi="Times New Roman" w:cs="Times New Roman"/>
          <w:spacing w:val="-15"/>
          <w:w w:val="105"/>
          <w:sz w:val="23"/>
          <w:szCs w:val="23"/>
        </w:rPr>
        <w:t xml:space="preserve"> </w:t>
      </w:r>
      <w:r>
        <w:rPr>
          <w:rFonts w:ascii="Times New Roman" w:hAnsi="Times New Roman" w:cs="Times New Roman"/>
          <w:w w:val="105"/>
          <w:sz w:val="23"/>
          <w:szCs w:val="23"/>
        </w:rPr>
        <w:t>the</w:t>
      </w:r>
      <w:r>
        <w:rPr>
          <w:rFonts w:ascii="Times New Roman" w:hAnsi="Times New Roman" w:cs="Times New Roman"/>
          <w:spacing w:val="-7"/>
          <w:w w:val="105"/>
          <w:sz w:val="23"/>
          <w:szCs w:val="23"/>
        </w:rPr>
        <w:t xml:space="preserve"> </w:t>
      </w:r>
      <w:r>
        <w:rPr>
          <w:rFonts w:ascii="Times New Roman" w:hAnsi="Times New Roman" w:cs="Times New Roman"/>
          <w:w w:val="105"/>
          <w:sz w:val="23"/>
          <w:szCs w:val="23"/>
        </w:rPr>
        <w:t>review,</w:t>
      </w:r>
      <w:r>
        <w:rPr>
          <w:rFonts w:ascii="Times New Roman" w:hAnsi="Times New Roman" w:cs="Times New Roman"/>
          <w:spacing w:val="5"/>
          <w:w w:val="105"/>
          <w:sz w:val="23"/>
          <w:szCs w:val="23"/>
        </w:rPr>
        <w:t xml:space="preserve"> </w:t>
      </w:r>
      <w:r>
        <w:rPr>
          <w:rFonts w:ascii="Times New Roman" w:hAnsi="Times New Roman" w:cs="Times New Roman"/>
          <w:w w:val="105"/>
          <w:sz w:val="23"/>
          <w:szCs w:val="23"/>
        </w:rPr>
        <w:t>we</w:t>
      </w:r>
      <w:r>
        <w:rPr>
          <w:rFonts w:ascii="Times New Roman" w:hAnsi="Times New Roman" w:cs="Times New Roman"/>
          <w:spacing w:val="-12"/>
          <w:w w:val="105"/>
          <w:sz w:val="23"/>
          <w:szCs w:val="23"/>
        </w:rPr>
        <w:t xml:space="preserve"> </w:t>
      </w:r>
      <w:r>
        <w:rPr>
          <w:rFonts w:ascii="Times New Roman" w:hAnsi="Times New Roman" w:cs="Times New Roman"/>
          <w:w w:val="105"/>
          <w:sz w:val="23"/>
          <w:szCs w:val="23"/>
        </w:rPr>
        <w:t>have</w:t>
      </w:r>
      <w:r>
        <w:rPr>
          <w:rFonts w:ascii="Times New Roman" w:hAnsi="Times New Roman" w:cs="Times New Roman"/>
          <w:spacing w:val="-10"/>
          <w:w w:val="105"/>
          <w:sz w:val="23"/>
          <w:szCs w:val="23"/>
        </w:rPr>
        <w:t xml:space="preserve"> </w:t>
      </w:r>
      <w:r>
        <w:rPr>
          <w:rFonts w:ascii="Times New Roman" w:hAnsi="Times New Roman" w:cs="Times New Roman"/>
          <w:w w:val="105"/>
          <w:sz w:val="23"/>
          <w:szCs w:val="23"/>
        </w:rPr>
        <w:t>the</w:t>
      </w:r>
      <w:r>
        <w:rPr>
          <w:rFonts w:ascii="Times New Roman" w:hAnsi="Times New Roman" w:cs="Times New Roman"/>
          <w:spacing w:val="-7"/>
          <w:w w:val="105"/>
          <w:sz w:val="23"/>
          <w:szCs w:val="23"/>
        </w:rPr>
        <w:t xml:space="preserve"> </w:t>
      </w:r>
      <w:r>
        <w:rPr>
          <w:rFonts w:ascii="Times New Roman" w:hAnsi="Times New Roman" w:cs="Times New Roman"/>
          <w:w w:val="105"/>
          <w:sz w:val="23"/>
          <w:szCs w:val="23"/>
        </w:rPr>
        <w:t>following</w:t>
      </w:r>
      <w:r>
        <w:rPr>
          <w:rFonts w:ascii="Times New Roman" w:hAnsi="Times New Roman" w:cs="Times New Roman"/>
          <w:spacing w:val="-2"/>
          <w:w w:val="105"/>
          <w:sz w:val="23"/>
          <w:szCs w:val="23"/>
        </w:rPr>
        <w:t xml:space="preserve"> </w:t>
      </w:r>
      <w:r>
        <w:rPr>
          <w:rFonts w:ascii="Times New Roman" w:hAnsi="Times New Roman" w:cs="Times New Roman"/>
          <w:i/>
          <w:iCs/>
          <w:w w:val="105"/>
          <w:sz w:val="23"/>
          <w:szCs w:val="23"/>
        </w:rPr>
        <w:t>deep</w:t>
      </w:r>
      <w:r>
        <w:rPr>
          <w:rFonts w:ascii="Times New Roman" w:hAnsi="Times New Roman" w:cs="Times New Roman"/>
          <w:i/>
          <w:iCs/>
          <w:spacing w:val="-5"/>
          <w:w w:val="105"/>
          <w:sz w:val="23"/>
          <w:szCs w:val="23"/>
        </w:rPr>
        <w:t xml:space="preserve"> </w:t>
      </w:r>
      <w:r>
        <w:rPr>
          <w:rFonts w:ascii="Times New Roman" w:hAnsi="Times New Roman" w:cs="Times New Roman"/>
          <w:i/>
          <w:iCs/>
          <w:w w:val="105"/>
          <w:sz w:val="23"/>
          <w:szCs w:val="23"/>
        </w:rPr>
        <w:t>concerns:</w:t>
      </w:r>
      <w:r>
        <w:rPr>
          <w:rFonts w:ascii="Times New Roman" w:hAnsi="Times New Roman" w:cs="Times New Roman"/>
          <w:i/>
          <w:iCs/>
          <w:w w:val="105"/>
          <w:sz w:val="23"/>
          <w:szCs w:val="23"/>
        </w:rPr>
        <w:tab/>
      </w:r>
      <w:r>
        <w:rPr>
          <w:rFonts w:ascii="Times New Roman" w:hAnsi="Times New Roman" w:cs="Times New Roman"/>
          <w:sz w:val="23"/>
          <w:szCs w:val="23"/>
        </w:rPr>
        <w:t>·</w:t>
      </w:r>
    </w:p>
    <w:p w:rsidR="002C5025" w:rsidRDefault="002C5025">
      <w:pPr>
        <w:pStyle w:val="BodyText"/>
        <w:kinsoku w:val="0"/>
        <w:overflowPunct w:val="0"/>
        <w:spacing w:before="10"/>
        <w:rPr>
          <w:rFonts w:ascii="Times New Roman" w:hAnsi="Times New Roman" w:cs="Times New Roman"/>
          <w:sz w:val="18"/>
          <w:szCs w:val="18"/>
        </w:rPr>
      </w:pPr>
    </w:p>
    <w:p w:rsidR="002C5025" w:rsidRDefault="002C5025">
      <w:pPr>
        <w:pStyle w:val="ListParagraph"/>
        <w:numPr>
          <w:ilvl w:val="0"/>
          <w:numId w:val="17"/>
        </w:numPr>
        <w:tabs>
          <w:tab w:val="left" w:pos="749"/>
        </w:tabs>
        <w:kinsoku w:val="0"/>
        <w:overflowPunct w:val="0"/>
        <w:spacing w:line="252" w:lineRule="auto"/>
        <w:ind w:right="304" w:hanging="367"/>
        <w:rPr>
          <w:sz w:val="23"/>
          <w:szCs w:val="23"/>
        </w:rPr>
      </w:pPr>
      <w:r>
        <w:rPr>
          <w:sz w:val="23"/>
          <w:szCs w:val="23"/>
        </w:rPr>
        <w:t>There is a current statewide dearth of primary care physicians and specialists (including psychiatrists and psycho­ pharmacologists) who are experienced in delivering medical and behavioral healthcare to children and adults with autism and other developmental disabilities. These patients often pose challenges and they encounter barriers  that</w:t>
      </w:r>
      <w:r w:rsidR="005632B1">
        <w:rPr>
          <w:sz w:val="23"/>
          <w:szCs w:val="23"/>
        </w:rPr>
        <w:t xml:space="preserve"> </w:t>
      </w:r>
      <w:r>
        <w:rPr>
          <w:sz w:val="23"/>
          <w:szCs w:val="23"/>
        </w:rPr>
        <w:t xml:space="preserve">limit access to quality, effective care in the existing system. The shortage of qualified physicians  available to  treat people with autism  and other developmental  disabilities is exacerbated by the fact some will   </w:t>
      </w:r>
      <w:r>
        <w:rPr>
          <w:spacing w:val="10"/>
          <w:sz w:val="23"/>
          <w:szCs w:val="23"/>
        </w:rPr>
        <w:t xml:space="preserve"> </w:t>
      </w:r>
      <w:r>
        <w:rPr>
          <w:sz w:val="23"/>
          <w:szCs w:val="23"/>
        </w:rPr>
        <w:t>not  accept</w:t>
      </w: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spacing w:before="1"/>
        <w:rPr>
          <w:rFonts w:ascii="Times New Roman" w:hAnsi="Times New Roman" w:cs="Times New Roman"/>
          <w:sz w:val="31"/>
          <w:szCs w:val="31"/>
        </w:rPr>
      </w:pPr>
    </w:p>
    <w:p w:rsidR="002C5025" w:rsidRDefault="002C5025">
      <w:pPr>
        <w:pStyle w:val="BodyText"/>
        <w:kinsoku w:val="0"/>
        <w:overflowPunct w:val="0"/>
        <w:ind w:left="1275"/>
        <w:jc w:val="center"/>
        <w:rPr>
          <w:rFonts w:ascii="Arial" w:hAnsi="Arial" w:cs="Arial"/>
          <w:sz w:val="24"/>
          <w:szCs w:val="24"/>
        </w:rPr>
      </w:pPr>
      <w:r>
        <w:rPr>
          <w:rFonts w:ascii="Arial" w:hAnsi="Arial" w:cs="Arial"/>
          <w:sz w:val="24"/>
          <w:szCs w:val="24"/>
        </w:rPr>
        <w:t xml:space="preserve">AFAM </w:t>
      </w:r>
      <w:r>
        <w:rPr>
          <w:rFonts w:ascii="Arial" w:hAnsi="Arial" w:cs="Arial"/>
          <w:w w:val="115"/>
          <w:sz w:val="24"/>
          <w:szCs w:val="24"/>
        </w:rPr>
        <w:t>•</w:t>
      </w:r>
      <w:r>
        <w:rPr>
          <w:rFonts w:ascii="Arial" w:hAnsi="Arial" w:cs="Arial"/>
          <w:spacing w:val="-51"/>
          <w:w w:val="115"/>
          <w:sz w:val="24"/>
          <w:szCs w:val="24"/>
        </w:rPr>
        <w:t xml:space="preserve"> </w:t>
      </w:r>
      <w:r>
        <w:rPr>
          <w:rFonts w:ascii="Arial" w:hAnsi="Arial" w:cs="Arial"/>
          <w:sz w:val="24"/>
          <w:szCs w:val="24"/>
        </w:rPr>
        <w:t xml:space="preserve">217 SOUTH STREET • </w:t>
      </w:r>
      <w:r>
        <w:rPr>
          <w:rFonts w:ascii="Arial" w:hAnsi="Arial" w:cs="Arial"/>
          <w:spacing w:val="-4"/>
          <w:sz w:val="24"/>
          <w:szCs w:val="24"/>
        </w:rPr>
        <w:t xml:space="preserve">WALTHAM </w:t>
      </w:r>
      <w:r>
        <w:rPr>
          <w:rFonts w:ascii="Arial" w:hAnsi="Arial" w:cs="Arial"/>
          <w:sz w:val="24"/>
          <w:szCs w:val="24"/>
        </w:rPr>
        <w:t xml:space="preserve">MA </w:t>
      </w:r>
      <w:r>
        <w:rPr>
          <w:rFonts w:ascii="Arial" w:hAnsi="Arial" w:cs="Arial"/>
          <w:w w:val="115"/>
          <w:sz w:val="24"/>
          <w:szCs w:val="24"/>
        </w:rPr>
        <w:t>•</w:t>
      </w:r>
      <w:r>
        <w:rPr>
          <w:rFonts w:ascii="Arial" w:hAnsi="Arial" w:cs="Arial"/>
          <w:spacing w:val="-55"/>
          <w:w w:val="115"/>
          <w:sz w:val="24"/>
          <w:szCs w:val="24"/>
        </w:rPr>
        <w:t xml:space="preserve"> </w:t>
      </w:r>
      <w:r>
        <w:rPr>
          <w:rFonts w:ascii="Arial" w:hAnsi="Arial" w:cs="Arial"/>
          <w:sz w:val="24"/>
          <w:szCs w:val="24"/>
        </w:rPr>
        <w:t>02453</w:t>
      </w:r>
    </w:p>
    <w:p w:rsidR="002C5025" w:rsidRDefault="002C5025">
      <w:pPr>
        <w:pStyle w:val="BodyText"/>
        <w:tabs>
          <w:tab w:val="left" w:pos="2610"/>
          <w:tab w:val="left" w:pos="4547"/>
        </w:tabs>
        <w:kinsoku w:val="0"/>
        <w:overflowPunct w:val="0"/>
        <w:spacing w:before="103"/>
        <w:ind w:left="1264"/>
        <w:jc w:val="center"/>
        <w:rPr>
          <w:rFonts w:ascii="Arial" w:hAnsi="Arial" w:cs="Arial"/>
          <w:b/>
          <w:bCs/>
          <w:w w:val="110"/>
          <w:sz w:val="15"/>
          <w:szCs w:val="15"/>
        </w:rPr>
      </w:pPr>
      <w:r>
        <w:rPr>
          <w:rFonts w:ascii="Arial" w:hAnsi="Arial" w:cs="Arial"/>
          <w:b/>
          <w:bCs/>
          <w:w w:val="115"/>
          <w:sz w:val="13"/>
          <w:szCs w:val="13"/>
        </w:rPr>
        <w:t>7R1-A01-h?7n</w:t>
      </w:r>
      <w:r>
        <w:rPr>
          <w:rFonts w:ascii="Arial" w:hAnsi="Arial" w:cs="Arial"/>
          <w:b/>
          <w:bCs/>
          <w:w w:val="115"/>
          <w:sz w:val="13"/>
          <w:szCs w:val="13"/>
        </w:rPr>
        <w:tab/>
      </w:r>
      <w:r>
        <w:rPr>
          <w:rFonts w:ascii="Arial" w:hAnsi="Arial" w:cs="Arial"/>
          <w:b/>
          <w:bCs/>
          <w:w w:val="90"/>
          <w:sz w:val="15"/>
          <w:szCs w:val="15"/>
        </w:rPr>
        <w:t>1A11A11M</w:t>
      </w:r>
      <w:r>
        <w:rPr>
          <w:rFonts w:ascii="Arial" w:hAnsi="Arial" w:cs="Arial"/>
          <w:b/>
          <w:bCs/>
          <w:spacing w:val="-4"/>
          <w:w w:val="90"/>
          <w:sz w:val="15"/>
          <w:szCs w:val="15"/>
        </w:rPr>
        <w:t xml:space="preserve"> </w:t>
      </w:r>
      <w:r>
        <w:rPr>
          <w:rFonts w:ascii="Arial" w:hAnsi="Arial" w:cs="Arial"/>
          <w:b/>
          <w:bCs/>
          <w:w w:val="90"/>
          <w:sz w:val="13"/>
          <w:szCs w:val="13"/>
        </w:rPr>
        <w:t>::1fam::i.rti11n</w:t>
      </w:r>
      <w:r>
        <w:rPr>
          <w:rFonts w:ascii="Arial" w:hAnsi="Arial" w:cs="Arial"/>
          <w:b/>
          <w:bCs/>
          <w:spacing w:val="3"/>
          <w:w w:val="90"/>
          <w:sz w:val="13"/>
          <w:szCs w:val="13"/>
        </w:rPr>
        <w:t xml:space="preserve"> </w:t>
      </w:r>
      <w:proofErr w:type="spellStart"/>
      <w:r>
        <w:rPr>
          <w:rFonts w:ascii="Arial" w:hAnsi="Arial" w:cs="Arial"/>
          <w:b/>
          <w:bCs/>
          <w:w w:val="90"/>
          <w:sz w:val="13"/>
          <w:szCs w:val="13"/>
        </w:rPr>
        <w:t>nrn</w:t>
      </w:r>
      <w:proofErr w:type="spellEnd"/>
      <w:r>
        <w:rPr>
          <w:rFonts w:ascii="Arial" w:hAnsi="Arial" w:cs="Arial"/>
          <w:b/>
          <w:bCs/>
          <w:w w:val="90"/>
          <w:sz w:val="13"/>
          <w:szCs w:val="13"/>
        </w:rPr>
        <w:tab/>
      </w:r>
      <w:proofErr w:type="spellStart"/>
      <w:r>
        <w:rPr>
          <w:rFonts w:ascii="Arial" w:hAnsi="Arial" w:cs="Arial"/>
          <w:b/>
          <w:bCs/>
          <w:w w:val="110"/>
          <w:sz w:val="15"/>
          <w:szCs w:val="15"/>
        </w:rPr>
        <w:t>n.ffirPf</w:t>
      </w:r>
      <w:proofErr w:type="spellEnd"/>
      <w:r>
        <w:rPr>
          <w:rFonts w:ascii="Arial" w:hAnsi="Arial" w:cs="Arial"/>
          <w:b/>
          <w:bCs/>
          <w:w w:val="110"/>
          <w:sz w:val="15"/>
          <w:szCs w:val="15"/>
        </w:rPr>
        <w:t>@;;\</w:t>
      </w:r>
      <w:proofErr w:type="spellStart"/>
      <w:r>
        <w:rPr>
          <w:rFonts w:ascii="Arial" w:hAnsi="Arial" w:cs="Arial"/>
          <w:b/>
          <w:bCs/>
          <w:w w:val="110"/>
          <w:sz w:val="15"/>
          <w:szCs w:val="15"/>
        </w:rPr>
        <w:t>famnrtion.nra</w:t>
      </w:r>
      <w:proofErr w:type="spellEnd"/>
    </w:p>
    <w:p w:rsidR="002C5025" w:rsidRDefault="002C5025">
      <w:pPr>
        <w:pStyle w:val="BodyText"/>
        <w:tabs>
          <w:tab w:val="left" w:pos="2610"/>
          <w:tab w:val="left" w:pos="4547"/>
        </w:tabs>
        <w:kinsoku w:val="0"/>
        <w:overflowPunct w:val="0"/>
        <w:spacing w:before="103"/>
        <w:ind w:left="1264"/>
        <w:jc w:val="center"/>
        <w:rPr>
          <w:rFonts w:ascii="Arial" w:hAnsi="Arial" w:cs="Arial"/>
          <w:b/>
          <w:bCs/>
          <w:w w:val="110"/>
          <w:sz w:val="15"/>
          <w:szCs w:val="15"/>
        </w:rPr>
        <w:sectPr w:rsidR="002C5025">
          <w:type w:val="continuous"/>
          <w:pgSz w:w="12240" w:h="15840"/>
          <w:pgMar w:top="720" w:right="140" w:bottom="280" w:left="180" w:header="720" w:footer="720" w:gutter="0"/>
          <w:cols w:space="720" w:equalWidth="0">
            <w:col w:w="11920"/>
          </w:cols>
          <w:noEndnote/>
        </w:sectPr>
      </w:pPr>
    </w:p>
    <w:p w:rsidR="002C5025" w:rsidRDefault="002C5025">
      <w:pPr>
        <w:pStyle w:val="BodyText"/>
        <w:kinsoku w:val="0"/>
        <w:overflowPunct w:val="0"/>
        <w:spacing w:before="47"/>
        <w:ind w:left="1019" w:right="10376"/>
        <w:jc w:val="center"/>
        <w:rPr>
          <w:rFonts w:ascii="Arial" w:hAnsi="Arial" w:cs="Arial"/>
          <w:i/>
          <w:iCs/>
          <w:w w:val="150"/>
          <w:sz w:val="18"/>
          <w:szCs w:val="18"/>
        </w:rPr>
      </w:pPr>
    </w:p>
    <w:p w:rsidR="002C5025" w:rsidRDefault="002C5025">
      <w:pPr>
        <w:pStyle w:val="BodyText"/>
        <w:kinsoku w:val="0"/>
        <w:overflowPunct w:val="0"/>
        <w:spacing w:before="25"/>
        <w:ind w:left="531" w:right="102"/>
        <w:rPr>
          <w:rFonts w:ascii="Times New Roman" w:hAnsi="Times New Roman" w:cs="Times New Roman"/>
          <w:w w:val="104"/>
          <w:sz w:val="23"/>
          <w:szCs w:val="23"/>
        </w:rPr>
      </w:pPr>
      <w:r>
        <w:rPr>
          <w:rFonts w:ascii="Times New Roman" w:hAnsi="Times New Roman" w:cs="Times New Roman"/>
          <w:spacing w:val="-318"/>
          <w:w w:val="600"/>
          <w:sz w:val="23"/>
          <w:szCs w:val="23"/>
        </w:rPr>
        <w:t>,</w:t>
      </w:r>
      <w:proofErr w:type="spellStart"/>
      <w:r>
        <w:rPr>
          <w:rFonts w:ascii="Times New Roman" w:hAnsi="Times New Roman" w:cs="Times New Roman"/>
          <w:w w:val="104"/>
          <w:sz w:val="23"/>
          <w:szCs w:val="23"/>
        </w:rPr>
        <w:t>ss</w:t>
      </w:r>
      <w:proofErr w:type="spellEnd"/>
      <w:r w:rsidR="005632B1">
        <w:rPr>
          <w:rFonts w:ascii="Times New Roman" w:hAnsi="Times New Roman" w:cs="Times New Roman"/>
          <w:w w:val="104"/>
          <w:sz w:val="23"/>
          <w:szCs w:val="23"/>
        </w:rPr>
        <w:t xml:space="preserve"> </w:t>
      </w:r>
      <w:r>
        <w:rPr>
          <w:rFonts w:ascii="Times New Roman" w:hAnsi="Times New Roman" w:cs="Times New Roman"/>
          <w:w w:val="104"/>
          <w:sz w:val="23"/>
          <w:szCs w:val="23"/>
        </w:rPr>
        <w:t>Health</w:t>
      </w:r>
      <w:r>
        <w:rPr>
          <w:rFonts w:ascii="Times New Roman" w:hAnsi="Times New Roman" w:cs="Times New Roman"/>
          <w:spacing w:val="5"/>
          <w:sz w:val="23"/>
          <w:szCs w:val="23"/>
        </w:rPr>
        <w:t xml:space="preserve"> </w:t>
      </w:r>
      <w:r>
        <w:rPr>
          <w:rFonts w:ascii="Times New Roman" w:hAnsi="Times New Roman" w:cs="Times New Roman"/>
          <w:sz w:val="23"/>
          <w:szCs w:val="23"/>
        </w:rPr>
        <w:t>due</w:t>
      </w:r>
      <w:r>
        <w:rPr>
          <w:rFonts w:ascii="Times New Roman" w:hAnsi="Times New Roman" w:cs="Times New Roman"/>
          <w:spacing w:val="-10"/>
          <w:sz w:val="23"/>
          <w:szCs w:val="23"/>
        </w:rPr>
        <w:t xml:space="preserve"> </w:t>
      </w:r>
      <w:r>
        <w:rPr>
          <w:rFonts w:ascii="Times New Roman" w:hAnsi="Times New Roman" w:cs="Times New Roman"/>
          <w:w w:val="102"/>
          <w:sz w:val="23"/>
          <w:szCs w:val="23"/>
        </w:rPr>
        <w:t>to</w:t>
      </w:r>
      <w:r>
        <w:rPr>
          <w:rFonts w:ascii="Times New Roman" w:hAnsi="Times New Roman" w:cs="Times New Roman"/>
          <w:spacing w:val="-1"/>
          <w:sz w:val="23"/>
          <w:szCs w:val="23"/>
        </w:rPr>
        <w:t xml:space="preserve"> </w:t>
      </w:r>
      <w:r>
        <w:rPr>
          <w:rFonts w:ascii="Times New Roman" w:hAnsi="Times New Roman" w:cs="Times New Roman"/>
          <w:w w:val="97"/>
          <w:sz w:val="23"/>
          <w:szCs w:val="23"/>
        </w:rPr>
        <w:t>reimbursement</w:t>
      </w:r>
      <w:r>
        <w:rPr>
          <w:rFonts w:ascii="Times New Roman" w:hAnsi="Times New Roman" w:cs="Times New Roman"/>
          <w:spacing w:val="25"/>
          <w:sz w:val="23"/>
          <w:szCs w:val="23"/>
        </w:rPr>
        <w:t xml:space="preserve"> </w:t>
      </w:r>
      <w:r>
        <w:rPr>
          <w:rFonts w:ascii="Times New Roman" w:hAnsi="Times New Roman" w:cs="Times New Roman"/>
          <w:w w:val="102"/>
          <w:sz w:val="23"/>
          <w:szCs w:val="23"/>
        </w:rPr>
        <w:t>rates.</w:t>
      </w:r>
      <w:r>
        <w:rPr>
          <w:rFonts w:ascii="Times New Roman" w:hAnsi="Times New Roman" w:cs="Times New Roman"/>
          <w:sz w:val="23"/>
          <w:szCs w:val="23"/>
        </w:rPr>
        <w:t xml:space="preserve"> </w:t>
      </w:r>
      <w:r>
        <w:rPr>
          <w:rFonts w:ascii="Times New Roman" w:hAnsi="Times New Roman" w:cs="Times New Roman"/>
          <w:spacing w:val="17"/>
          <w:sz w:val="23"/>
          <w:szCs w:val="23"/>
        </w:rPr>
        <w:t xml:space="preserve"> </w:t>
      </w:r>
      <w:r>
        <w:rPr>
          <w:rFonts w:ascii="Times New Roman" w:hAnsi="Times New Roman" w:cs="Times New Roman"/>
          <w:sz w:val="23"/>
          <w:szCs w:val="23"/>
        </w:rPr>
        <w:t>Our</w:t>
      </w:r>
      <w:r>
        <w:rPr>
          <w:rFonts w:ascii="Times New Roman" w:hAnsi="Times New Roman" w:cs="Times New Roman"/>
          <w:spacing w:val="-1"/>
          <w:sz w:val="23"/>
          <w:szCs w:val="23"/>
        </w:rPr>
        <w:t xml:space="preserve"> </w:t>
      </w:r>
      <w:r>
        <w:rPr>
          <w:rFonts w:ascii="Times New Roman" w:hAnsi="Times New Roman" w:cs="Times New Roman"/>
          <w:w w:val="98"/>
          <w:sz w:val="23"/>
          <w:szCs w:val="23"/>
        </w:rPr>
        <w:t>concern</w:t>
      </w:r>
      <w:r>
        <w:rPr>
          <w:rFonts w:ascii="Times New Roman" w:hAnsi="Times New Roman" w:cs="Times New Roman"/>
          <w:spacing w:val="10"/>
          <w:sz w:val="23"/>
          <w:szCs w:val="23"/>
        </w:rPr>
        <w:t xml:space="preserve"> </w:t>
      </w:r>
      <w:r>
        <w:rPr>
          <w:rFonts w:ascii="Times New Roman" w:hAnsi="Times New Roman" w:cs="Times New Roman"/>
          <w:w w:val="105"/>
          <w:sz w:val="23"/>
          <w:szCs w:val="23"/>
        </w:rPr>
        <w:t>is</w:t>
      </w:r>
      <w:r>
        <w:rPr>
          <w:rFonts w:ascii="Times New Roman" w:hAnsi="Times New Roman" w:cs="Times New Roman"/>
          <w:spacing w:val="-7"/>
          <w:sz w:val="23"/>
          <w:szCs w:val="23"/>
        </w:rPr>
        <w:t xml:space="preserve"> </w:t>
      </w:r>
      <w:r>
        <w:rPr>
          <w:rFonts w:ascii="Times New Roman" w:hAnsi="Times New Roman" w:cs="Times New Roman"/>
          <w:w w:val="98"/>
          <w:sz w:val="23"/>
          <w:szCs w:val="23"/>
        </w:rPr>
        <w:t>that</w:t>
      </w:r>
      <w:r>
        <w:rPr>
          <w:rFonts w:ascii="Times New Roman" w:hAnsi="Times New Roman" w:cs="Times New Roman"/>
          <w:spacing w:val="6"/>
          <w:sz w:val="23"/>
          <w:szCs w:val="23"/>
        </w:rPr>
        <w:t xml:space="preserve"> </w:t>
      </w:r>
      <w:r>
        <w:rPr>
          <w:rFonts w:ascii="Times New Roman" w:hAnsi="Times New Roman" w:cs="Times New Roman"/>
          <w:w w:val="99"/>
          <w:sz w:val="23"/>
          <w:szCs w:val="23"/>
        </w:rPr>
        <w:t>this</w:t>
      </w:r>
      <w:r>
        <w:rPr>
          <w:rFonts w:ascii="Times New Roman" w:hAnsi="Times New Roman" w:cs="Times New Roman"/>
          <w:sz w:val="23"/>
          <w:szCs w:val="23"/>
        </w:rPr>
        <w:t xml:space="preserve"> </w:t>
      </w:r>
      <w:r>
        <w:rPr>
          <w:rFonts w:ascii="Times New Roman" w:hAnsi="Times New Roman" w:cs="Times New Roman"/>
          <w:w w:val="101"/>
          <w:sz w:val="23"/>
          <w:szCs w:val="23"/>
        </w:rPr>
        <w:t>shortage</w:t>
      </w:r>
      <w:r>
        <w:rPr>
          <w:rFonts w:ascii="Times New Roman" w:hAnsi="Times New Roman" w:cs="Times New Roman"/>
          <w:spacing w:val="6"/>
          <w:sz w:val="23"/>
          <w:szCs w:val="23"/>
        </w:rPr>
        <w:t xml:space="preserve"> </w:t>
      </w:r>
      <w:r>
        <w:rPr>
          <w:rFonts w:ascii="Times New Roman" w:hAnsi="Times New Roman" w:cs="Times New Roman"/>
          <w:w w:val="96"/>
          <w:sz w:val="23"/>
          <w:szCs w:val="23"/>
        </w:rPr>
        <w:t>will</w:t>
      </w:r>
      <w:r>
        <w:rPr>
          <w:rFonts w:ascii="Times New Roman" w:hAnsi="Times New Roman" w:cs="Times New Roman"/>
          <w:spacing w:val="14"/>
          <w:sz w:val="23"/>
          <w:szCs w:val="23"/>
        </w:rPr>
        <w:t xml:space="preserve"> </w:t>
      </w:r>
      <w:r>
        <w:rPr>
          <w:rFonts w:ascii="Times New Roman" w:hAnsi="Times New Roman" w:cs="Times New Roman"/>
          <w:sz w:val="23"/>
          <w:szCs w:val="23"/>
        </w:rPr>
        <w:t>grow</w:t>
      </w:r>
      <w:r>
        <w:rPr>
          <w:rFonts w:ascii="Times New Roman" w:hAnsi="Times New Roman" w:cs="Times New Roman"/>
          <w:spacing w:val="-3"/>
          <w:sz w:val="23"/>
          <w:szCs w:val="23"/>
        </w:rPr>
        <w:t xml:space="preserve"> </w:t>
      </w:r>
      <w:r>
        <w:rPr>
          <w:rFonts w:ascii="Times New Roman" w:hAnsi="Times New Roman" w:cs="Times New Roman"/>
          <w:w w:val="98"/>
          <w:sz w:val="23"/>
          <w:szCs w:val="23"/>
        </w:rPr>
        <w:t>worse.</w:t>
      </w:r>
      <w:r>
        <w:rPr>
          <w:rFonts w:ascii="Times New Roman" w:hAnsi="Times New Roman" w:cs="Times New Roman"/>
          <w:sz w:val="23"/>
          <w:szCs w:val="23"/>
        </w:rPr>
        <w:t xml:space="preserve"> </w:t>
      </w:r>
      <w:r>
        <w:rPr>
          <w:rFonts w:ascii="Times New Roman" w:hAnsi="Times New Roman" w:cs="Times New Roman"/>
          <w:spacing w:val="8"/>
          <w:sz w:val="23"/>
          <w:szCs w:val="23"/>
        </w:rPr>
        <w:t xml:space="preserve"> </w:t>
      </w:r>
      <w:r>
        <w:rPr>
          <w:rFonts w:ascii="Times New Roman" w:hAnsi="Times New Roman" w:cs="Times New Roman"/>
          <w:w w:val="104"/>
          <w:sz w:val="23"/>
          <w:szCs w:val="23"/>
        </w:rPr>
        <w:t>Exceptions/referrals</w:t>
      </w:r>
    </w:p>
    <w:p w:rsidR="002C5025" w:rsidRDefault="002C5025">
      <w:pPr>
        <w:pStyle w:val="BodyText"/>
        <w:kinsoku w:val="0"/>
        <w:overflowPunct w:val="0"/>
        <w:spacing w:before="6"/>
        <w:ind w:left="463" w:right="102"/>
        <w:rPr>
          <w:rFonts w:ascii="Times New Roman" w:hAnsi="Times New Roman" w:cs="Times New Roman"/>
          <w:w w:val="105"/>
          <w:sz w:val="23"/>
          <w:szCs w:val="23"/>
        </w:rPr>
      </w:pPr>
      <w:r>
        <w:rPr>
          <w:rFonts w:ascii="Times New Roman" w:hAnsi="Times New Roman" w:cs="Times New Roman"/>
          <w:w w:val="105"/>
          <w:sz w:val="23"/>
          <w:szCs w:val="23"/>
        </w:rPr>
        <w:t>//'need to be made for individuals with specialized needs.</w:t>
      </w:r>
    </w:p>
    <w:p w:rsidR="002C5025" w:rsidRDefault="002C5025">
      <w:pPr>
        <w:pStyle w:val="BodyText"/>
        <w:tabs>
          <w:tab w:val="left" w:pos="8431"/>
        </w:tabs>
        <w:kinsoku w:val="0"/>
        <w:overflowPunct w:val="0"/>
        <w:spacing w:before="26" w:line="236" w:lineRule="exact"/>
        <w:ind w:left="250" w:right="102"/>
        <w:rPr>
          <w:rFonts w:ascii="Arial" w:hAnsi="Arial" w:cs="Arial"/>
          <w:w w:val="95"/>
        </w:rPr>
      </w:pPr>
      <w:r>
        <w:rPr>
          <w:rFonts w:ascii="Courier New" w:hAnsi="Courier New" w:cs="Courier New"/>
          <w:w w:val="205"/>
          <w:sz w:val="26"/>
          <w:szCs w:val="26"/>
        </w:rPr>
        <w:t>/</w:t>
      </w:r>
      <w:r>
        <w:rPr>
          <w:rFonts w:ascii="Courier New" w:hAnsi="Courier New" w:cs="Courier New"/>
          <w:w w:val="205"/>
          <w:sz w:val="26"/>
          <w:szCs w:val="26"/>
        </w:rPr>
        <w:tab/>
      </w:r>
      <w:r>
        <w:rPr>
          <w:rFonts w:ascii="Arial" w:hAnsi="Arial" w:cs="Arial"/>
          <w:w w:val="95"/>
        </w:rPr>
        <w:t>'</w:t>
      </w:r>
    </w:p>
    <w:p w:rsidR="002C5025" w:rsidRDefault="002C5025">
      <w:pPr>
        <w:pStyle w:val="BodyText"/>
        <w:tabs>
          <w:tab w:val="left" w:pos="718"/>
        </w:tabs>
        <w:kinsoku w:val="0"/>
        <w:overflowPunct w:val="0"/>
        <w:spacing w:line="218" w:lineRule="exact"/>
        <w:ind w:left="115" w:right="102"/>
        <w:rPr>
          <w:rFonts w:ascii="Times New Roman" w:hAnsi="Times New Roman" w:cs="Times New Roman"/>
          <w:w w:val="105"/>
          <w:sz w:val="23"/>
          <w:szCs w:val="23"/>
        </w:rPr>
      </w:pPr>
      <w:r>
        <w:rPr>
          <w:rFonts w:ascii="Times New Roman" w:hAnsi="Times New Roman" w:cs="Times New Roman"/>
          <w:i/>
          <w:iCs/>
          <w:w w:val="105"/>
          <w:sz w:val="24"/>
          <w:szCs w:val="24"/>
        </w:rPr>
        <w:t xml:space="preserve">/  </w:t>
      </w:r>
      <w:r>
        <w:rPr>
          <w:rFonts w:ascii="Times New Roman" w:hAnsi="Times New Roman" w:cs="Times New Roman"/>
          <w:i/>
          <w:iCs/>
          <w:spacing w:val="2"/>
          <w:w w:val="105"/>
          <w:sz w:val="24"/>
          <w:szCs w:val="24"/>
        </w:rPr>
        <w:t xml:space="preserve"> </w:t>
      </w:r>
      <w:r>
        <w:rPr>
          <w:rFonts w:ascii="Times New Roman" w:hAnsi="Times New Roman" w:cs="Times New Roman"/>
          <w:w w:val="115"/>
          <w:sz w:val="24"/>
          <w:szCs w:val="24"/>
        </w:rPr>
        <w:t>•</w:t>
      </w:r>
      <w:r>
        <w:rPr>
          <w:rFonts w:ascii="Times New Roman" w:hAnsi="Times New Roman" w:cs="Times New Roman"/>
          <w:w w:val="115"/>
          <w:sz w:val="24"/>
          <w:szCs w:val="24"/>
        </w:rPr>
        <w:tab/>
      </w:r>
      <w:r>
        <w:rPr>
          <w:rFonts w:ascii="Times New Roman" w:hAnsi="Times New Roman" w:cs="Times New Roman"/>
          <w:w w:val="105"/>
          <w:sz w:val="24"/>
          <w:szCs w:val="24"/>
        </w:rPr>
        <w:t>If</w:t>
      </w:r>
      <w:r>
        <w:rPr>
          <w:rFonts w:ascii="Times New Roman" w:hAnsi="Times New Roman" w:cs="Times New Roman"/>
          <w:spacing w:val="-20"/>
          <w:w w:val="105"/>
          <w:sz w:val="24"/>
          <w:szCs w:val="24"/>
        </w:rPr>
        <w:t xml:space="preserve"> </w:t>
      </w:r>
      <w:r>
        <w:rPr>
          <w:rFonts w:ascii="Times New Roman" w:hAnsi="Times New Roman" w:cs="Times New Roman"/>
          <w:w w:val="105"/>
          <w:sz w:val="23"/>
          <w:szCs w:val="23"/>
        </w:rPr>
        <w:t>members</w:t>
      </w:r>
      <w:r>
        <w:rPr>
          <w:rFonts w:ascii="Times New Roman" w:hAnsi="Times New Roman" w:cs="Times New Roman"/>
          <w:spacing w:val="-6"/>
          <w:w w:val="105"/>
          <w:sz w:val="23"/>
          <w:szCs w:val="23"/>
        </w:rPr>
        <w:t xml:space="preserve"> </w:t>
      </w:r>
      <w:r>
        <w:rPr>
          <w:rFonts w:ascii="Times New Roman" w:hAnsi="Times New Roman" w:cs="Times New Roman"/>
          <w:w w:val="105"/>
          <w:sz w:val="23"/>
          <w:szCs w:val="23"/>
        </w:rPr>
        <w:t>are</w:t>
      </w:r>
      <w:r>
        <w:rPr>
          <w:rFonts w:ascii="Times New Roman" w:hAnsi="Times New Roman" w:cs="Times New Roman"/>
          <w:spacing w:val="-27"/>
          <w:w w:val="105"/>
          <w:sz w:val="23"/>
          <w:szCs w:val="23"/>
        </w:rPr>
        <w:t xml:space="preserve"> </w:t>
      </w:r>
      <w:r>
        <w:rPr>
          <w:rFonts w:ascii="Times New Roman" w:hAnsi="Times New Roman" w:cs="Times New Roman"/>
          <w:w w:val="105"/>
          <w:sz w:val="23"/>
          <w:szCs w:val="23"/>
        </w:rPr>
        <w:t>required</w:t>
      </w:r>
      <w:r>
        <w:rPr>
          <w:rFonts w:ascii="Times New Roman" w:hAnsi="Times New Roman" w:cs="Times New Roman"/>
          <w:spacing w:val="-2"/>
          <w:w w:val="105"/>
          <w:sz w:val="23"/>
          <w:szCs w:val="23"/>
        </w:rPr>
        <w:t xml:space="preserve"> </w:t>
      </w:r>
      <w:r>
        <w:rPr>
          <w:rFonts w:ascii="Times New Roman" w:hAnsi="Times New Roman" w:cs="Times New Roman"/>
          <w:w w:val="105"/>
          <w:sz w:val="23"/>
          <w:szCs w:val="23"/>
        </w:rPr>
        <w:t>to</w:t>
      </w:r>
      <w:r>
        <w:rPr>
          <w:rFonts w:ascii="Times New Roman" w:hAnsi="Times New Roman" w:cs="Times New Roman"/>
          <w:spacing w:val="-19"/>
          <w:w w:val="105"/>
          <w:sz w:val="23"/>
          <w:szCs w:val="23"/>
        </w:rPr>
        <w:t xml:space="preserve"> </w:t>
      </w:r>
      <w:r>
        <w:rPr>
          <w:rFonts w:ascii="Times New Roman" w:hAnsi="Times New Roman" w:cs="Times New Roman"/>
          <w:w w:val="105"/>
          <w:sz w:val="23"/>
          <w:szCs w:val="23"/>
        </w:rPr>
        <w:t>choose</w:t>
      </w:r>
      <w:r>
        <w:rPr>
          <w:rFonts w:ascii="Times New Roman" w:hAnsi="Times New Roman" w:cs="Times New Roman"/>
          <w:spacing w:val="-14"/>
          <w:w w:val="105"/>
          <w:sz w:val="23"/>
          <w:szCs w:val="23"/>
        </w:rPr>
        <w:t xml:space="preserve"> </w:t>
      </w:r>
      <w:r>
        <w:rPr>
          <w:rFonts w:ascii="Times New Roman" w:hAnsi="Times New Roman" w:cs="Times New Roman"/>
          <w:w w:val="105"/>
          <w:sz w:val="23"/>
          <w:szCs w:val="23"/>
        </w:rPr>
        <w:t>an</w:t>
      </w:r>
      <w:r>
        <w:rPr>
          <w:rFonts w:ascii="Times New Roman" w:hAnsi="Times New Roman" w:cs="Times New Roman"/>
          <w:spacing w:val="-22"/>
          <w:w w:val="105"/>
          <w:sz w:val="23"/>
          <w:szCs w:val="23"/>
        </w:rPr>
        <w:t xml:space="preserve"> </w:t>
      </w:r>
      <w:r>
        <w:rPr>
          <w:rFonts w:ascii="Times New Roman" w:hAnsi="Times New Roman" w:cs="Times New Roman"/>
          <w:w w:val="105"/>
          <w:sz w:val="23"/>
          <w:szCs w:val="23"/>
        </w:rPr>
        <w:t>ACO</w:t>
      </w:r>
      <w:r>
        <w:rPr>
          <w:rFonts w:ascii="Times New Roman" w:hAnsi="Times New Roman" w:cs="Times New Roman"/>
          <w:spacing w:val="-21"/>
          <w:w w:val="105"/>
          <w:sz w:val="23"/>
          <w:szCs w:val="23"/>
        </w:rPr>
        <w:t xml:space="preserve"> </w:t>
      </w:r>
      <w:r>
        <w:rPr>
          <w:rFonts w:ascii="Times New Roman" w:hAnsi="Times New Roman" w:cs="Times New Roman"/>
          <w:w w:val="105"/>
          <w:sz w:val="23"/>
          <w:szCs w:val="23"/>
        </w:rPr>
        <w:t>based</w:t>
      </w:r>
      <w:r>
        <w:rPr>
          <w:rFonts w:ascii="Times New Roman" w:hAnsi="Times New Roman" w:cs="Times New Roman"/>
          <w:spacing w:val="-5"/>
          <w:w w:val="105"/>
          <w:sz w:val="23"/>
          <w:szCs w:val="23"/>
        </w:rPr>
        <w:t xml:space="preserve"> </w:t>
      </w:r>
      <w:r>
        <w:rPr>
          <w:rFonts w:ascii="Times New Roman" w:hAnsi="Times New Roman" w:cs="Times New Roman"/>
          <w:w w:val="105"/>
          <w:sz w:val="23"/>
          <w:szCs w:val="23"/>
        </w:rPr>
        <w:t>on</w:t>
      </w:r>
      <w:r>
        <w:rPr>
          <w:rFonts w:ascii="Times New Roman" w:hAnsi="Times New Roman" w:cs="Times New Roman"/>
          <w:spacing w:val="-33"/>
          <w:w w:val="105"/>
          <w:sz w:val="23"/>
          <w:szCs w:val="23"/>
        </w:rPr>
        <w:t xml:space="preserve"> </w:t>
      </w:r>
      <w:r>
        <w:rPr>
          <w:rFonts w:ascii="Times New Roman" w:hAnsi="Times New Roman" w:cs="Times New Roman"/>
          <w:w w:val="105"/>
          <w:sz w:val="23"/>
          <w:szCs w:val="23"/>
        </w:rPr>
        <w:t>their</w:t>
      </w:r>
      <w:r>
        <w:rPr>
          <w:rFonts w:ascii="Times New Roman" w:hAnsi="Times New Roman" w:cs="Times New Roman"/>
          <w:spacing w:val="-13"/>
          <w:w w:val="105"/>
          <w:sz w:val="23"/>
          <w:szCs w:val="23"/>
        </w:rPr>
        <w:t xml:space="preserve"> </w:t>
      </w:r>
      <w:r>
        <w:rPr>
          <w:rFonts w:ascii="Times New Roman" w:hAnsi="Times New Roman" w:cs="Times New Roman"/>
          <w:w w:val="105"/>
          <w:sz w:val="23"/>
          <w:szCs w:val="23"/>
        </w:rPr>
        <w:t>PCP's</w:t>
      </w:r>
      <w:r>
        <w:rPr>
          <w:rFonts w:ascii="Times New Roman" w:hAnsi="Times New Roman" w:cs="Times New Roman"/>
          <w:spacing w:val="-13"/>
          <w:w w:val="105"/>
          <w:sz w:val="23"/>
          <w:szCs w:val="23"/>
        </w:rPr>
        <w:t xml:space="preserve"> </w:t>
      </w:r>
      <w:r>
        <w:rPr>
          <w:rFonts w:ascii="Times New Roman" w:hAnsi="Times New Roman" w:cs="Times New Roman"/>
          <w:w w:val="105"/>
          <w:sz w:val="23"/>
          <w:szCs w:val="23"/>
        </w:rPr>
        <w:t>membership</w:t>
      </w:r>
      <w:r>
        <w:rPr>
          <w:rFonts w:ascii="Times New Roman" w:hAnsi="Times New Roman" w:cs="Times New Roman"/>
          <w:spacing w:val="-8"/>
          <w:w w:val="105"/>
          <w:sz w:val="23"/>
          <w:szCs w:val="23"/>
        </w:rPr>
        <w:t xml:space="preserve"> </w:t>
      </w:r>
      <w:r>
        <w:rPr>
          <w:rFonts w:ascii="Times New Roman" w:hAnsi="Times New Roman" w:cs="Times New Roman"/>
          <w:w w:val="105"/>
          <w:sz w:val="23"/>
          <w:szCs w:val="23"/>
        </w:rPr>
        <w:t>in</w:t>
      </w:r>
      <w:r>
        <w:rPr>
          <w:rFonts w:ascii="Times New Roman" w:hAnsi="Times New Roman" w:cs="Times New Roman"/>
          <w:spacing w:val="-23"/>
          <w:w w:val="105"/>
          <w:sz w:val="23"/>
          <w:szCs w:val="23"/>
        </w:rPr>
        <w:t xml:space="preserve"> </w:t>
      </w:r>
      <w:r>
        <w:rPr>
          <w:rFonts w:ascii="Times New Roman" w:hAnsi="Times New Roman" w:cs="Times New Roman"/>
          <w:w w:val="105"/>
          <w:sz w:val="23"/>
          <w:szCs w:val="23"/>
        </w:rPr>
        <w:t>the</w:t>
      </w:r>
      <w:r>
        <w:rPr>
          <w:rFonts w:ascii="Times New Roman" w:hAnsi="Times New Roman" w:cs="Times New Roman"/>
          <w:spacing w:val="-16"/>
          <w:w w:val="105"/>
          <w:sz w:val="23"/>
          <w:szCs w:val="23"/>
        </w:rPr>
        <w:t xml:space="preserve"> </w:t>
      </w:r>
      <w:r>
        <w:rPr>
          <w:rFonts w:ascii="Times New Roman" w:hAnsi="Times New Roman" w:cs="Times New Roman"/>
          <w:w w:val="105"/>
          <w:sz w:val="23"/>
          <w:szCs w:val="23"/>
        </w:rPr>
        <w:t>given</w:t>
      </w:r>
      <w:r>
        <w:rPr>
          <w:rFonts w:ascii="Times New Roman" w:hAnsi="Times New Roman" w:cs="Times New Roman"/>
          <w:spacing w:val="-19"/>
          <w:w w:val="105"/>
          <w:sz w:val="23"/>
          <w:szCs w:val="23"/>
        </w:rPr>
        <w:t xml:space="preserve"> </w:t>
      </w:r>
      <w:r>
        <w:rPr>
          <w:rFonts w:ascii="Times New Roman" w:hAnsi="Times New Roman" w:cs="Times New Roman"/>
          <w:w w:val="105"/>
          <w:sz w:val="23"/>
          <w:szCs w:val="23"/>
        </w:rPr>
        <w:t>ACO</w:t>
      </w:r>
      <w:r>
        <w:rPr>
          <w:rFonts w:ascii="Times New Roman" w:hAnsi="Times New Roman" w:cs="Times New Roman"/>
          <w:spacing w:val="-21"/>
          <w:w w:val="105"/>
          <w:sz w:val="23"/>
          <w:szCs w:val="23"/>
        </w:rPr>
        <w:t xml:space="preserve"> </w:t>
      </w:r>
      <w:r>
        <w:rPr>
          <w:rFonts w:ascii="Times New Roman" w:hAnsi="Times New Roman" w:cs="Times New Roman"/>
          <w:w w:val="105"/>
          <w:sz w:val="23"/>
          <w:szCs w:val="23"/>
        </w:rPr>
        <w:t>network,</w:t>
      </w:r>
    </w:p>
    <w:p w:rsidR="002C5025" w:rsidRDefault="002C5025">
      <w:pPr>
        <w:pStyle w:val="BodyText"/>
        <w:kinsoku w:val="0"/>
        <w:overflowPunct w:val="0"/>
        <w:spacing w:before="4" w:line="249" w:lineRule="auto"/>
        <w:ind w:left="690" w:right="102" w:firstLine="28"/>
        <w:rPr>
          <w:rFonts w:ascii="Times New Roman" w:hAnsi="Times New Roman" w:cs="Times New Roman"/>
          <w:w w:val="105"/>
          <w:sz w:val="23"/>
          <w:szCs w:val="23"/>
        </w:rPr>
      </w:pPr>
      <w:r>
        <w:rPr>
          <w:rFonts w:ascii="Times New Roman" w:hAnsi="Times New Roman" w:cs="Times New Roman"/>
          <w:w w:val="105"/>
          <w:sz w:val="23"/>
          <w:szCs w:val="23"/>
        </w:rPr>
        <w:t xml:space="preserve">accommodation must be made if they receive LTSS </w:t>
      </w:r>
      <w:r>
        <w:rPr>
          <w:rFonts w:ascii="Times New Roman" w:hAnsi="Times New Roman" w:cs="Times New Roman"/>
          <w:spacing w:val="-5"/>
          <w:w w:val="105"/>
          <w:sz w:val="23"/>
          <w:szCs w:val="23"/>
        </w:rPr>
        <w:t xml:space="preserve">(e.g., </w:t>
      </w:r>
      <w:r>
        <w:rPr>
          <w:rFonts w:ascii="Times New Roman" w:hAnsi="Times New Roman" w:cs="Times New Roman"/>
          <w:w w:val="105"/>
          <w:sz w:val="23"/>
          <w:szCs w:val="23"/>
        </w:rPr>
        <w:t xml:space="preserve">day </w:t>
      </w:r>
      <w:proofErr w:type="spellStart"/>
      <w:r>
        <w:rPr>
          <w:rFonts w:ascii="Times New Roman" w:hAnsi="Times New Roman" w:cs="Times New Roman"/>
          <w:w w:val="105"/>
          <w:sz w:val="23"/>
          <w:szCs w:val="23"/>
        </w:rPr>
        <w:t>hab</w:t>
      </w:r>
      <w:proofErr w:type="spellEnd"/>
      <w:r>
        <w:rPr>
          <w:rFonts w:ascii="Times New Roman" w:hAnsi="Times New Roman" w:cs="Times New Roman"/>
          <w:w w:val="105"/>
          <w:sz w:val="23"/>
          <w:szCs w:val="23"/>
        </w:rPr>
        <w:t xml:space="preserve"> services) from a provider in another </w:t>
      </w:r>
      <w:r>
        <w:rPr>
          <w:rFonts w:ascii="Times New Roman" w:hAnsi="Times New Roman" w:cs="Times New Roman"/>
          <w:spacing w:val="-12"/>
          <w:w w:val="105"/>
          <w:sz w:val="23"/>
          <w:szCs w:val="23"/>
        </w:rPr>
        <w:t>·</w:t>
      </w:r>
      <w:proofErr w:type="spellStart"/>
      <w:r>
        <w:rPr>
          <w:rFonts w:ascii="Times New Roman" w:hAnsi="Times New Roman" w:cs="Times New Roman"/>
          <w:spacing w:val="-12"/>
          <w:w w:val="105"/>
          <w:sz w:val="23"/>
          <w:szCs w:val="23"/>
        </w:rPr>
        <w:t>Aco</w:t>
      </w:r>
      <w:proofErr w:type="spellEnd"/>
      <w:r>
        <w:rPr>
          <w:rFonts w:ascii="Times New Roman" w:hAnsi="Times New Roman" w:cs="Times New Roman"/>
          <w:spacing w:val="-12"/>
          <w:w w:val="105"/>
          <w:sz w:val="23"/>
          <w:szCs w:val="23"/>
        </w:rPr>
        <w:t xml:space="preserve"> </w:t>
      </w:r>
      <w:r>
        <w:rPr>
          <w:rFonts w:ascii="Times New Roman" w:hAnsi="Times New Roman" w:cs="Times New Roman"/>
          <w:w w:val="105"/>
          <w:sz w:val="23"/>
          <w:szCs w:val="23"/>
        </w:rPr>
        <w:t xml:space="preserve">network. Again, there is a very limited number of providers in Massachusetts who have experience in delivering acceptable, quality services to people with severe autism and significant behavioral challenges. These LTSS are often only one piece of the services on which the person relies. For example, the person may receive residential services under the Home and Community Based Waiver, </w:t>
      </w:r>
      <w:r>
        <w:rPr>
          <w:rFonts w:ascii="Times New Roman" w:hAnsi="Times New Roman" w:cs="Times New Roman"/>
          <w:w w:val="60"/>
          <w:sz w:val="23"/>
          <w:szCs w:val="23"/>
        </w:rPr>
        <w:t xml:space="preserve">, </w:t>
      </w:r>
      <w:r>
        <w:rPr>
          <w:rFonts w:ascii="Times New Roman" w:hAnsi="Times New Roman" w:cs="Times New Roman"/>
          <w:w w:val="105"/>
          <w:sz w:val="23"/>
          <w:szCs w:val="23"/>
        </w:rPr>
        <w:t>and these services are not currently proposed to be subject</w:t>
      </w:r>
      <w:r>
        <w:rPr>
          <w:rFonts w:ascii="Times New Roman" w:hAnsi="Times New Roman" w:cs="Times New Roman"/>
          <w:spacing w:val="-10"/>
          <w:w w:val="105"/>
          <w:sz w:val="23"/>
          <w:szCs w:val="23"/>
        </w:rPr>
        <w:t xml:space="preserve"> </w:t>
      </w:r>
      <w:r>
        <w:rPr>
          <w:rFonts w:ascii="Times New Roman" w:hAnsi="Times New Roman" w:cs="Times New Roman"/>
          <w:w w:val="105"/>
          <w:sz w:val="23"/>
          <w:szCs w:val="23"/>
        </w:rPr>
        <w:t>to</w:t>
      </w:r>
      <w:r>
        <w:rPr>
          <w:rFonts w:ascii="Times New Roman" w:hAnsi="Times New Roman" w:cs="Times New Roman"/>
          <w:spacing w:val="-18"/>
          <w:w w:val="105"/>
          <w:sz w:val="23"/>
          <w:szCs w:val="23"/>
        </w:rPr>
        <w:t xml:space="preserve"> </w:t>
      </w:r>
      <w:r>
        <w:rPr>
          <w:rFonts w:ascii="Times New Roman" w:hAnsi="Times New Roman" w:cs="Times New Roman"/>
          <w:w w:val="105"/>
          <w:sz w:val="23"/>
          <w:szCs w:val="23"/>
        </w:rPr>
        <w:t>the</w:t>
      </w:r>
      <w:r>
        <w:rPr>
          <w:rFonts w:ascii="Times New Roman" w:hAnsi="Times New Roman" w:cs="Times New Roman"/>
          <w:spacing w:val="-27"/>
          <w:w w:val="105"/>
          <w:sz w:val="23"/>
          <w:szCs w:val="23"/>
        </w:rPr>
        <w:t xml:space="preserve"> </w:t>
      </w:r>
      <w:r>
        <w:rPr>
          <w:rFonts w:ascii="Times New Roman" w:hAnsi="Times New Roman" w:cs="Times New Roman"/>
          <w:w w:val="105"/>
          <w:sz w:val="23"/>
          <w:szCs w:val="23"/>
        </w:rPr>
        <w:t>ACO-based</w:t>
      </w:r>
      <w:r>
        <w:rPr>
          <w:rFonts w:ascii="Times New Roman" w:hAnsi="Times New Roman" w:cs="Times New Roman"/>
          <w:spacing w:val="8"/>
          <w:w w:val="105"/>
          <w:sz w:val="23"/>
          <w:szCs w:val="23"/>
        </w:rPr>
        <w:t xml:space="preserve"> </w:t>
      </w:r>
      <w:r>
        <w:rPr>
          <w:rFonts w:ascii="Times New Roman" w:hAnsi="Times New Roman" w:cs="Times New Roman"/>
          <w:w w:val="105"/>
          <w:sz w:val="23"/>
          <w:szCs w:val="23"/>
        </w:rPr>
        <w:t>system.</w:t>
      </w:r>
      <w:r>
        <w:rPr>
          <w:rFonts w:ascii="Times New Roman" w:hAnsi="Times New Roman" w:cs="Times New Roman"/>
          <w:spacing w:val="24"/>
          <w:w w:val="105"/>
          <w:sz w:val="23"/>
          <w:szCs w:val="23"/>
        </w:rPr>
        <w:t xml:space="preserve"> </w:t>
      </w:r>
      <w:r>
        <w:rPr>
          <w:rFonts w:ascii="Times New Roman" w:hAnsi="Times New Roman" w:cs="Times New Roman"/>
          <w:w w:val="105"/>
          <w:sz w:val="23"/>
          <w:szCs w:val="23"/>
        </w:rPr>
        <w:t>The</w:t>
      </w:r>
      <w:r>
        <w:rPr>
          <w:rFonts w:ascii="Times New Roman" w:hAnsi="Times New Roman" w:cs="Times New Roman"/>
          <w:spacing w:val="-18"/>
          <w:w w:val="105"/>
          <w:sz w:val="23"/>
          <w:szCs w:val="23"/>
        </w:rPr>
        <w:t xml:space="preserve"> </w:t>
      </w:r>
      <w:r>
        <w:rPr>
          <w:rFonts w:ascii="Times New Roman" w:hAnsi="Times New Roman" w:cs="Times New Roman"/>
          <w:w w:val="105"/>
          <w:sz w:val="23"/>
          <w:szCs w:val="23"/>
        </w:rPr>
        <w:t>selection</w:t>
      </w:r>
      <w:r>
        <w:rPr>
          <w:rFonts w:ascii="Times New Roman" w:hAnsi="Times New Roman" w:cs="Times New Roman"/>
          <w:spacing w:val="-8"/>
          <w:w w:val="105"/>
          <w:sz w:val="23"/>
          <w:szCs w:val="23"/>
        </w:rPr>
        <w:t xml:space="preserve"> </w:t>
      </w:r>
      <w:r>
        <w:rPr>
          <w:rFonts w:ascii="Times New Roman" w:hAnsi="Times New Roman" w:cs="Times New Roman"/>
          <w:w w:val="105"/>
          <w:sz w:val="23"/>
          <w:szCs w:val="23"/>
        </w:rPr>
        <w:t>of</w:t>
      </w:r>
      <w:r>
        <w:rPr>
          <w:rFonts w:ascii="Times New Roman" w:hAnsi="Times New Roman" w:cs="Times New Roman"/>
          <w:spacing w:val="-20"/>
          <w:w w:val="105"/>
          <w:sz w:val="23"/>
          <w:szCs w:val="23"/>
        </w:rPr>
        <w:t xml:space="preserve"> </w:t>
      </w:r>
      <w:r>
        <w:rPr>
          <w:rFonts w:ascii="Times New Roman" w:hAnsi="Times New Roman" w:cs="Times New Roman"/>
          <w:w w:val="105"/>
          <w:sz w:val="23"/>
          <w:szCs w:val="23"/>
        </w:rPr>
        <w:t>an\J</w:t>
      </w:r>
      <w:r>
        <w:rPr>
          <w:rFonts w:ascii="Times New Roman" w:hAnsi="Times New Roman" w:cs="Times New Roman"/>
          <w:spacing w:val="-13"/>
          <w:w w:val="105"/>
          <w:sz w:val="23"/>
          <w:szCs w:val="23"/>
        </w:rPr>
        <w:t xml:space="preserve"> </w:t>
      </w:r>
      <w:r>
        <w:rPr>
          <w:rFonts w:ascii="Times New Roman" w:hAnsi="Times New Roman" w:cs="Times New Roman"/>
          <w:w w:val="105"/>
          <w:sz w:val="23"/>
          <w:szCs w:val="23"/>
        </w:rPr>
        <w:t>coordination</w:t>
      </w:r>
      <w:r>
        <w:rPr>
          <w:rFonts w:ascii="Times New Roman" w:hAnsi="Times New Roman" w:cs="Times New Roman"/>
          <w:spacing w:val="-6"/>
          <w:w w:val="105"/>
          <w:sz w:val="23"/>
          <w:szCs w:val="23"/>
        </w:rPr>
        <w:t xml:space="preserve"> </w:t>
      </w:r>
      <w:r>
        <w:rPr>
          <w:rFonts w:ascii="Times New Roman" w:hAnsi="Times New Roman" w:cs="Times New Roman"/>
          <w:w w:val="105"/>
          <w:sz w:val="23"/>
          <w:szCs w:val="23"/>
        </w:rPr>
        <w:t>of</w:t>
      </w:r>
      <w:r>
        <w:rPr>
          <w:rFonts w:ascii="Times New Roman" w:hAnsi="Times New Roman" w:cs="Times New Roman"/>
          <w:spacing w:val="-19"/>
          <w:w w:val="105"/>
          <w:sz w:val="23"/>
          <w:szCs w:val="23"/>
        </w:rPr>
        <w:t xml:space="preserve"> </w:t>
      </w:r>
      <w:r>
        <w:rPr>
          <w:rFonts w:ascii="Times New Roman" w:hAnsi="Times New Roman" w:cs="Times New Roman"/>
          <w:w w:val="105"/>
          <w:sz w:val="23"/>
          <w:szCs w:val="23"/>
        </w:rPr>
        <w:t>all</w:t>
      </w:r>
      <w:r>
        <w:rPr>
          <w:rFonts w:ascii="Times New Roman" w:hAnsi="Times New Roman" w:cs="Times New Roman"/>
          <w:spacing w:val="-13"/>
          <w:w w:val="105"/>
          <w:sz w:val="23"/>
          <w:szCs w:val="23"/>
        </w:rPr>
        <w:t xml:space="preserve"> </w:t>
      </w:r>
      <w:r>
        <w:rPr>
          <w:rFonts w:ascii="Times New Roman" w:hAnsi="Times New Roman" w:cs="Times New Roman"/>
          <w:w w:val="105"/>
          <w:sz w:val="23"/>
          <w:szCs w:val="23"/>
        </w:rPr>
        <w:t>of</w:t>
      </w:r>
      <w:r>
        <w:rPr>
          <w:rFonts w:ascii="Times New Roman" w:hAnsi="Times New Roman" w:cs="Times New Roman"/>
          <w:spacing w:val="-25"/>
          <w:w w:val="105"/>
          <w:sz w:val="23"/>
          <w:szCs w:val="23"/>
        </w:rPr>
        <w:t xml:space="preserve"> </w:t>
      </w:r>
      <w:r>
        <w:rPr>
          <w:rFonts w:ascii="Times New Roman" w:hAnsi="Times New Roman" w:cs="Times New Roman"/>
          <w:w w:val="105"/>
          <w:sz w:val="23"/>
          <w:szCs w:val="23"/>
        </w:rPr>
        <w:t>these</w:t>
      </w:r>
      <w:r>
        <w:rPr>
          <w:rFonts w:ascii="Times New Roman" w:hAnsi="Times New Roman" w:cs="Times New Roman"/>
          <w:spacing w:val="-14"/>
          <w:w w:val="105"/>
          <w:sz w:val="23"/>
          <w:szCs w:val="23"/>
        </w:rPr>
        <w:t xml:space="preserve"> </w:t>
      </w:r>
      <w:r>
        <w:rPr>
          <w:rFonts w:ascii="Times New Roman" w:hAnsi="Times New Roman" w:cs="Times New Roman"/>
          <w:w w:val="105"/>
          <w:sz w:val="23"/>
          <w:szCs w:val="23"/>
        </w:rPr>
        <w:t>services</w:t>
      </w:r>
      <w:r>
        <w:rPr>
          <w:rFonts w:ascii="Times New Roman" w:hAnsi="Times New Roman" w:cs="Times New Roman"/>
          <w:spacing w:val="-15"/>
          <w:w w:val="105"/>
          <w:sz w:val="23"/>
          <w:szCs w:val="23"/>
        </w:rPr>
        <w:t xml:space="preserve"> </w:t>
      </w:r>
      <w:r>
        <w:rPr>
          <w:rFonts w:ascii="Times New Roman" w:hAnsi="Times New Roman" w:cs="Times New Roman"/>
          <w:w w:val="105"/>
          <w:sz w:val="23"/>
          <w:szCs w:val="23"/>
        </w:rPr>
        <w:t>(some</w:t>
      </w:r>
      <w:r>
        <w:rPr>
          <w:rFonts w:ascii="Times New Roman" w:hAnsi="Times New Roman" w:cs="Times New Roman"/>
          <w:spacing w:val="-6"/>
          <w:w w:val="105"/>
          <w:sz w:val="23"/>
          <w:szCs w:val="23"/>
        </w:rPr>
        <w:t xml:space="preserve"> </w:t>
      </w:r>
      <w:r>
        <w:rPr>
          <w:rFonts w:ascii="Times New Roman" w:hAnsi="Times New Roman" w:cs="Times New Roman"/>
          <w:w w:val="105"/>
          <w:sz w:val="23"/>
          <w:szCs w:val="23"/>
        </w:rPr>
        <w:t>of</w:t>
      </w:r>
      <w:r>
        <w:rPr>
          <w:rFonts w:ascii="Times New Roman" w:hAnsi="Times New Roman" w:cs="Times New Roman"/>
          <w:spacing w:val="-19"/>
          <w:w w:val="105"/>
          <w:sz w:val="23"/>
          <w:szCs w:val="23"/>
        </w:rPr>
        <w:t xml:space="preserve"> </w:t>
      </w:r>
      <w:r>
        <w:rPr>
          <w:rFonts w:ascii="Times New Roman" w:hAnsi="Times New Roman" w:cs="Times New Roman"/>
          <w:w w:val="105"/>
          <w:sz w:val="23"/>
          <w:szCs w:val="23"/>
        </w:rPr>
        <w:t>which</w:t>
      </w:r>
      <w:r>
        <w:rPr>
          <w:rFonts w:ascii="Times New Roman" w:hAnsi="Times New Roman" w:cs="Times New Roman"/>
          <w:spacing w:val="-12"/>
          <w:w w:val="105"/>
          <w:sz w:val="23"/>
          <w:szCs w:val="23"/>
        </w:rPr>
        <w:t xml:space="preserve"> </w:t>
      </w:r>
      <w:r>
        <w:rPr>
          <w:rFonts w:ascii="Times New Roman" w:hAnsi="Times New Roman" w:cs="Times New Roman"/>
          <w:w w:val="105"/>
          <w:sz w:val="23"/>
          <w:szCs w:val="23"/>
        </w:rPr>
        <w:t xml:space="preserve">may never become a part of the restructured MassHealth services) must make sense for the individual. </w:t>
      </w:r>
      <w:r>
        <w:rPr>
          <w:rFonts w:ascii="Times New Roman" w:hAnsi="Times New Roman" w:cs="Times New Roman"/>
          <w:w w:val="105"/>
          <w:sz w:val="24"/>
          <w:szCs w:val="24"/>
        </w:rPr>
        <w:t xml:space="preserve">It </w:t>
      </w:r>
      <w:r>
        <w:rPr>
          <w:rFonts w:ascii="Times New Roman" w:hAnsi="Times New Roman" w:cs="Times New Roman"/>
          <w:w w:val="105"/>
          <w:sz w:val="23"/>
          <w:szCs w:val="23"/>
        </w:rPr>
        <w:t>must ensure real,</w:t>
      </w:r>
      <w:r>
        <w:rPr>
          <w:rFonts w:ascii="Times New Roman" w:hAnsi="Times New Roman" w:cs="Times New Roman"/>
          <w:spacing w:val="-24"/>
          <w:w w:val="105"/>
          <w:sz w:val="23"/>
          <w:szCs w:val="23"/>
        </w:rPr>
        <w:t xml:space="preserve"> </w:t>
      </w:r>
      <w:r>
        <w:rPr>
          <w:rFonts w:ascii="Times New Roman" w:hAnsi="Times New Roman" w:cs="Times New Roman"/>
          <w:w w:val="105"/>
          <w:sz w:val="23"/>
          <w:szCs w:val="23"/>
        </w:rPr>
        <w:t>meaningful</w:t>
      </w:r>
      <w:r>
        <w:rPr>
          <w:rFonts w:ascii="Times New Roman" w:hAnsi="Times New Roman" w:cs="Times New Roman"/>
          <w:spacing w:val="-5"/>
          <w:w w:val="105"/>
          <w:sz w:val="23"/>
          <w:szCs w:val="23"/>
        </w:rPr>
        <w:t xml:space="preserve"> </w:t>
      </w:r>
      <w:r>
        <w:rPr>
          <w:rFonts w:ascii="Times New Roman" w:hAnsi="Times New Roman" w:cs="Times New Roman"/>
          <w:w w:val="105"/>
          <w:sz w:val="23"/>
          <w:szCs w:val="23"/>
        </w:rPr>
        <w:t>access,</w:t>
      </w:r>
      <w:r>
        <w:rPr>
          <w:rFonts w:ascii="Times New Roman" w:hAnsi="Times New Roman" w:cs="Times New Roman"/>
          <w:spacing w:val="-20"/>
          <w:w w:val="105"/>
          <w:sz w:val="23"/>
          <w:szCs w:val="23"/>
        </w:rPr>
        <w:t xml:space="preserve"> </w:t>
      </w:r>
      <w:r>
        <w:rPr>
          <w:rFonts w:ascii="Times New Roman" w:hAnsi="Times New Roman" w:cs="Times New Roman"/>
          <w:w w:val="105"/>
          <w:sz w:val="23"/>
          <w:szCs w:val="23"/>
        </w:rPr>
        <w:t>and</w:t>
      </w:r>
      <w:r>
        <w:rPr>
          <w:rFonts w:ascii="Times New Roman" w:hAnsi="Times New Roman" w:cs="Times New Roman"/>
          <w:spacing w:val="-22"/>
          <w:w w:val="105"/>
          <w:sz w:val="23"/>
          <w:szCs w:val="23"/>
        </w:rPr>
        <w:t xml:space="preserve"> </w:t>
      </w:r>
      <w:r>
        <w:rPr>
          <w:rFonts w:ascii="Times New Roman" w:hAnsi="Times New Roman" w:cs="Times New Roman"/>
          <w:w w:val="105"/>
          <w:sz w:val="23"/>
          <w:szCs w:val="23"/>
        </w:rPr>
        <w:t>must</w:t>
      </w:r>
      <w:r>
        <w:rPr>
          <w:rFonts w:ascii="Times New Roman" w:hAnsi="Times New Roman" w:cs="Times New Roman"/>
          <w:spacing w:val="-10"/>
          <w:w w:val="105"/>
          <w:sz w:val="23"/>
          <w:szCs w:val="23"/>
        </w:rPr>
        <w:t xml:space="preserve"> </w:t>
      </w:r>
      <w:r>
        <w:rPr>
          <w:rFonts w:ascii="Times New Roman" w:hAnsi="Times New Roman" w:cs="Times New Roman"/>
          <w:w w:val="105"/>
          <w:sz w:val="23"/>
          <w:szCs w:val="23"/>
        </w:rPr>
        <w:t>ensure</w:t>
      </w:r>
      <w:r>
        <w:rPr>
          <w:rFonts w:ascii="Times New Roman" w:hAnsi="Times New Roman" w:cs="Times New Roman"/>
          <w:spacing w:val="-12"/>
          <w:w w:val="105"/>
          <w:sz w:val="23"/>
          <w:szCs w:val="23"/>
        </w:rPr>
        <w:t xml:space="preserve"> </w:t>
      </w:r>
      <w:r>
        <w:rPr>
          <w:rFonts w:ascii="Times New Roman" w:hAnsi="Times New Roman" w:cs="Times New Roman"/>
          <w:w w:val="105"/>
          <w:sz w:val="23"/>
          <w:szCs w:val="23"/>
        </w:rPr>
        <w:t>choice</w:t>
      </w:r>
      <w:r>
        <w:rPr>
          <w:rFonts w:ascii="Times New Roman" w:hAnsi="Times New Roman" w:cs="Times New Roman"/>
          <w:spacing w:val="-17"/>
          <w:w w:val="105"/>
          <w:sz w:val="23"/>
          <w:szCs w:val="23"/>
        </w:rPr>
        <w:t xml:space="preserve"> </w:t>
      </w:r>
      <w:r>
        <w:rPr>
          <w:rFonts w:ascii="Times New Roman" w:hAnsi="Times New Roman" w:cs="Times New Roman"/>
          <w:w w:val="105"/>
          <w:sz w:val="23"/>
          <w:szCs w:val="23"/>
        </w:rPr>
        <w:t>and</w:t>
      </w:r>
      <w:r>
        <w:rPr>
          <w:rFonts w:ascii="Times New Roman" w:hAnsi="Times New Roman" w:cs="Times New Roman"/>
          <w:spacing w:val="-12"/>
          <w:w w:val="105"/>
          <w:sz w:val="23"/>
          <w:szCs w:val="23"/>
        </w:rPr>
        <w:t xml:space="preserve"> </w:t>
      </w:r>
      <w:r>
        <w:rPr>
          <w:rFonts w:ascii="Times New Roman" w:hAnsi="Times New Roman" w:cs="Times New Roman"/>
          <w:w w:val="105"/>
          <w:sz w:val="23"/>
          <w:szCs w:val="23"/>
        </w:rPr>
        <w:t>ensure</w:t>
      </w:r>
      <w:r>
        <w:rPr>
          <w:rFonts w:ascii="Times New Roman" w:hAnsi="Times New Roman" w:cs="Times New Roman"/>
          <w:spacing w:val="-17"/>
          <w:w w:val="105"/>
          <w:sz w:val="23"/>
          <w:szCs w:val="23"/>
        </w:rPr>
        <w:t xml:space="preserve"> </w:t>
      </w:r>
      <w:r>
        <w:rPr>
          <w:rFonts w:ascii="Times New Roman" w:hAnsi="Times New Roman" w:cs="Times New Roman"/>
          <w:w w:val="105"/>
          <w:sz w:val="23"/>
          <w:szCs w:val="23"/>
        </w:rPr>
        <w:t>adequacy</w:t>
      </w:r>
      <w:r>
        <w:rPr>
          <w:rFonts w:ascii="Times New Roman" w:hAnsi="Times New Roman" w:cs="Times New Roman"/>
          <w:spacing w:val="-18"/>
          <w:w w:val="105"/>
          <w:sz w:val="23"/>
          <w:szCs w:val="23"/>
        </w:rPr>
        <w:t xml:space="preserve"> </w:t>
      </w:r>
      <w:r>
        <w:rPr>
          <w:rFonts w:ascii="Times New Roman" w:hAnsi="Times New Roman" w:cs="Times New Roman"/>
          <w:w w:val="105"/>
          <w:sz w:val="23"/>
          <w:szCs w:val="23"/>
        </w:rPr>
        <w:t>of</w:t>
      </w:r>
      <w:r>
        <w:rPr>
          <w:rFonts w:ascii="Times New Roman" w:hAnsi="Times New Roman" w:cs="Times New Roman"/>
          <w:spacing w:val="-11"/>
          <w:w w:val="105"/>
          <w:sz w:val="23"/>
          <w:szCs w:val="23"/>
        </w:rPr>
        <w:t xml:space="preserve"> </w:t>
      </w:r>
      <w:r>
        <w:rPr>
          <w:rFonts w:ascii="Times New Roman" w:hAnsi="Times New Roman" w:cs="Times New Roman"/>
          <w:w w:val="105"/>
          <w:sz w:val="23"/>
          <w:szCs w:val="23"/>
        </w:rPr>
        <w:t>services</w:t>
      </w:r>
      <w:r>
        <w:rPr>
          <w:rFonts w:ascii="Times New Roman" w:hAnsi="Times New Roman" w:cs="Times New Roman"/>
          <w:spacing w:val="-11"/>
          <w:w w:val="105"/>
          <w:sz w:val="23"/>
          <w:szCs w:val="23"/>
        </w:rPr>
        <w:t xml:space="preserve"> </w:t>
      </w:r>
      <w:r>
        <w:rPr>
          <w:rFonts w:ascii="Times New Roman" w:hAnsi="Times New Roman" w:cs="Times New Roman"/>
          <w:w w:val="105"/>
          <w:sz w:val="23"/>
          <w:szCs w:val="23"/>
        </w:rPr>
        <w:t>and</w:t>
      </w:r>
      <w:r>
        <w:rPr>
          <w:rFonts w:ascii="Times New Roman" w:hAnsi="Times New Roman" w:cs="Times New Roman"/>
          <w:spacing w:val="-12"/>
          <w:w w:val="105"/>
          <w:sz w:val="23"/>
          <w:szCs w:val="23"/>
        </w:rPr>
        <w:t xml:space="preserve"> </w:t>
      </w:r>
      <w:r>
        <w:rPr>
          <w:rFonts w:ascii="Times New Roman" w:hAnsi="Times New Roman" w:cs="Times New Roman"/>
          <w:w w:val="105"/>
          <w:sz w:val="23"/>
          <w:szCs w:val="23"/>
        </w:rPr>
        <w:t>supports.</w:t>
      </w:r>
      <w:r>
        <w:rPr>
          <w:rFonts w:ascii="Times New Roman" w:hAnsi="Times New Roman" w:cs="Times New Roman"/>
          <w:spacing w:val="21"/>
          <w:w w:val="105"/>
          <w:sz w:val="23"/>
          <w:szCs w:val="23"/>
        </w:rPr>
        <w:t xml:space="preserve"> </w:t>
      </w:r>
      <w:r>
        <w:rPr>
          <w:rFonts w:ascii="Times New Roman" w:hAnsi="Times New Roman" w:cs="Times New Roman"/>
          <w:w w:val="105"/>
          <w:sz w:val="23"/>
          <w:szCs w:val="23"/>
        </w:rPr>
        <w:t>Flexibility</w:t>
      </w:r>
      <w:r>
        <w:rPr>
          <w:rFonts w:ascii="Times New Roman" w:hAnsi="Times New Roman" w:cs="Times New Roman"/>
          <w:spacing w:val="-19"/>
          <w:w w:val="105"/>
          <w:sz w:val="23"/>
          <w:szCs w:val="23"/>
        </w:rPr>
        <w:t xml:space="preserve"> </w:t>
      </w:r>
      <w:r>
        <w:rPr>
          <w:rFonts w:ascii="Times New Roman" w:hAnsi="Times New Roman" w:cs="Times New Roman"/>
          <w:w w:val="105"/>
          <w:sz w:val="23"/>
          <w:szCs w:val="23"/>
        </w:rPr>
        <w:t>must</w:t>
      </w:r>
      <w:r>
        <w:rPr>
          <w:rFonts w:ascii="Times New Roman" w:hAnsi="Times New Roman" w:cs="Times New Roman"/>
          <w:spacing w:val="-10"/>
          <w:w w:val="105"/>
          <w:sz w:val="23"/>
          <w:szCs w:val="23"/>
        </w:rPr>
        <w:t xml:space="preserve"> </w:t>
      </w:r>
      <w:r>
        <w:rPr>
          <w:rFonts w:ascii="Times New Roman" w:hAnsi="Times New Roman" w:cs="Times New Roman"/>
          <w:w w:val="105"/>
          <w:sz w:val="23"/>
          <w:szCs w:val="23"/>
        </w:rPr>
        <w:t>be built into the restructuring. Flexibility will further the goal of improving the quality of physical, behavioral and long-term</w:t>
      </w:r>
      <w:r>
        <w:rPr>
          <w:rFonts w:ascii="Times New Roman" w:hAnsi="Times New Roman" w:cs="Times New Roman"/>
          <w:spacing w:val="-5"/>
          <w:w w:val="105"/>
          <w:sz w:val="23"/>
          <w:szCs w:val="23"/>
        </w:rPr>
        <w:t xml:space="preserve"> </w:t>
      </w:r>
      <w:r>
        <w:rPr>
          <w:rFonts w:ascii="Times New Roman" w:hAnsi="Times New Roman" w:cs="Times New Roman"/>
          <w:w w:val="105"/>
          <w:sz w:val="23"/>
          <w:szCs w:val="23"/>
        </w:rPr>
        <w:t>supports</w:t>
      </w:r>
      <w:r>
        <w:rPr>
          <w:rFonts w:ascii="Times New Roman" w:hAnsi="Times New Roman" w:cs="Times New Roman"/>
          <w:spacing w:val="-19"/>
          <w:w w:val="105"/>
          <w:sz w:val="23"/>
          <w:szCs w:val="23"/>
        </w:rPr>
        <w:t xml:space="preserve"> </w:t>
      </w:r>
      <w:r>
        <w:rPr>
          <w:rFonts w:ascii="Times New Roman" w:hAnsi="Times New Roman" w:cs="Times New Roman"/>
          <w:w w:val="105"/>
          <w:sz w:val="23"/>
          <w:szCs w:val="23"/>
        </w:rPr>
        <w:t>and</w:t>
      </w:r>
      <w:r>
        <w:rPr>
          <w:rFonts w:ascii="Times New Roman" w:hAnsi="Times New Roman" w:cs="Times New Roman"/>
          <w:spacing w:val="-16"/>
          <w:w w:val="105"/>
          <w:sz w:val="23"/>
          <w:szCs w:val="23"/>
        </w:rPr>
        <w:t xml:space="preserve"> </w:t>
      </w:r>
      <w:r>
        <w:rPr>
          <w:rFonts w:ascii="Times New Roman" w:hAnsi="Times New Roman" w:cs="Times New Roman"/>
          <w:w w:val="105"/>
          <w:sz w:val="23"/>
          <w:szCs w:val="23"/>
        </w:rPr>
        <w:t>services</w:t>
      </w:r>
      <w:r>
        <w:rPr>
          <w:rFonts w:ascii="Times New Roman" w:hAnsi="Times New Roman" w:cs="Times New Roman"/>
          <w:spacing w:val="-11"/>
          <w:w w:val="105"/>
          <w:sz w:val="23"/>
          <w:szCs w:val="23"/>
        </w:rPr>
        <w:t xml:space="preserve"> </w:t>
      </w:r>
      <w:r>
        <w:rPr>
          <w:rFonts w:ascii="Times New Roman" w:hAnsi="Times New Roman" w:cs="Times New Roman"/>
          <w:w w:val="105"/>
          <w:sz w:val="23"/>
          <w:szCs w:val="23"/>
        </w:rPr>
        <w:t>and</w:t>
      </w:r>
      <w:r>
        <w:rPr>
          <w:rFonts w:ascii="Times New Roman" w:hAnsi="Times New Roman" w:cs="Times New Roman"/>
          <w:spacing w:val="-21"/>
          <w:w w:val="105"/>
          <w:sz w:val="23"/>
          <w:szCs w:val="23"/>
        </w:rPr>
        <w:t xml:space="preserve"> </w:t>
      </w:r>
      <w:r>
        <w:rPr>
          <w:rFonts w:ascii="Times New Roman" w:hAnsi="Times New Roman" w:cs="Times New Roman"/>
          <w:w w:val="105"/>
          <w:sz w:val="23"/>
          <w:szCs w:val="23"/>
        </w:rPr>
        <w:t>the</w:t>
      </w:r>
      <w:r>
        <w:rPr>
          <w:rFonts w:ascii="Times New Roman" w:hAnsi="Times New Roman" w:cs="Times New Roman"/>
          <w:spacing w:val="-23"/>
          <w:w w:val="105"/>
          <w:sz w:val="23"/>
          <w:szCs w:val="23"/>
        </w:rPr>
        <w:t xml:space="preserve"> </w:t>
      </w:r>
      <w:r>
        <w:rPr>
          <w:rFonts w:ascii="Times New Roman" w:hAnsi="Times New Roman" w:cs="Times New Roman"/>
          <w:w w:val="105"/>
          <w:sz w:val="23"/>
          <w:szCs w:val="23"/>
        </w:rPr>
        <w:t>quality</w:t>
      </w:r>
      <w:r>
        <w:rPr>
          <w:rFonts w:ascii="Times New Roman" w:hAnsi="Times New Roman" w:cs="Times New Roman"/>
          <w:spacing w:val="-23"/>
          <w:w w:val="105"/>
          <w:sz w:val="23"/>
          <w:szCs w:val="23"/>
        </w:rPr>
        <w:t xml:space="preserve"> </w:t>
      </w:r>
      <w:r>
        <w:rPr>
          <w:rFonts w:ascii="Times New Roman" w:hAnsi="Times New Roman" w:cs="Times New Roman"/>
          <w:w w:val="105"/>
          <w:sz w:val="23"/>
          <w:szCs w:val="23"/>
        </w:rPr>
        <w:t>of</w:t>
      </w:r>
      <w:r>
        <w:rPr>
          <w:rFonts w:ascii="Times New Roman" w:hAnsi="Times New Roman" w:cs="Times New Roman"/>
          <w:spacing w:val="-21"/>
          <w:w w:val="105"/>
          <w:sz w:val="23"/>
          <w:szCs w:val="23"/>
        </w:rPr>
        <w:t xml:space="preserve"> </w:t>
      </w:r>
      <w:r>
        <w:rPr>
          <w:rFonts w:ascii="Times New Roman" w:hAnsi="Times New Roman" w:cs="Times New Roman"/>
          <w:w w:val="105"/>
          <w:sz w:val="23"/>
          <w:szCs w:val="23"/>
        </w:rPr>
        <w:t>care</w:t>
      </w:r>
      <w:r>
        <w:rPr>
          <w:rFonts w:ascii="Times New Roman" w:hAnsi="Times New Roman" w:cs="Times New Roman"/>
          <w:spacing w:val="-19"/>
          <w:w w:val="105"/>
          <w:sz w:val="23"/>
          <w:szCs w:val="23"/>
        </w:rPr>
        <w:t xml:space="preserve"> </w:t>
      </w:r>
      <w:r>
        <w:rPr>
          <w:rFonts w:ascii="Times New Roman" w:hAnsi="Times New Roman" w:cs="Times New Roman"/>
          <w:w w:val="105"/>
          <w:sz w:val="23"/>
          <w:szCs w:val="23"/>
        </w:rPr>
        <w:t>coordination.</w:t>
      </w:r>
      <w:r>
        <w:rPr>
          <w:rFonts w:ascii="Times New Roman" w:hAnsi="Times New Roman" w:cs="Times New Roman"/>
          <w:spacing w:val="34"/>
          <w:w w:val="105"/>
          <w:sz w:val="23"/>
          <w:szCs w:val="23"/>
        </w:rPr>
        <w:t xml:space="preserve"> </w:t>
      </w:r>
      <w:r>
        <w:rPr>
          <w:rFonts w:ascii="Times New Roman" w:hAnsi="Times New Roman" w:cs="Times New Roman"/>
          <w:w w:val="105"/>
          <w:sz w:val="23"/>
          <w:szCs w:val="23"/>
        </w:rPr>
        <w:t>Therefore,</w:t>
      </w:r>
      <w:r>
        <w:rPr>
          <w:rFonts w:ascii="Times New Roman" w:hAnsi="Times New Roman" w:cs="Times New Roman"/>
          <w:spacing w:val="-22"/>
          <w:w w:val="105"/>
          <w:sz w:val="23"/>
          <w:szCs w:val="23"/>
        </w:rPr>
        <w:t xml:space="preserve"> </w:t>
      </w:r>
      <w:r>
        <w:rPr>
          <w:rFonts w:ascii="Times New Roman" w:hAnsi="Times New Roman" w:cs="Times New Roman"/>
          <w:w w:val="105"/>
          <w:sz w:val="23"/>
          <w:szCs w:val="23"/>
        </w:rPr>
        <w:t>much</w:t>
      </w:r>
      <w:r>
        <w:rPr>
          <w:rFonts w:ascii="Times New Roman" w:hAnsi="Times New Roman" w:cs="Times New Roman"/>
          <w:spacing w:val="-20"/>
          <w:w w:val="105"/>
          <w:sz w:val="23"/>
          <w:szCs w:val="23"/>
        </w:rPr>
        <w:t xml:space="preserve"> </w:t>
      </w:r>
      <w:r>
        <w:rPr>
          <w:rFonts w:ascii="Times New Roman" w:hAnsi="Times New Roman" w:cs="Times New Roman"/>
          <w:w w:val="105"/>
          <w:sz w:val="23"/>
          <w:szCs w:val="23"/>
        </w:rPr>
        <w:t>more</w:t>
      </w:r>
      <w:r>
        <w:rPr>
          <w:rFonts w:ascii="Times New Roman" w:hAnsi="Times New Roman" w:cs="Times New Roman"/>
          <w:spacing w:val="-19"/>
          <w:w w:val="105"/>
          <w:sz w:val="23"/>
          <w:szCs w:val="23"/>
        </w:rPr>
        <w:t xml:space="preserve"> </w:t>
      </w:r>
      <w:r>
        <w:rPr>
          <w:rFonts w:ascii="Times New Roman" w:hAnsi="Times New Roman" w:cs="Times New Roman"/>
          <w:w w:val="105"/>
          <w:sz w:val="23"/>
          <w:szCs w:val="23"/>
        </w:rPr>
        <w:t>operational</w:t>
      </w:r>
      <w:r>
        <w:rPr>
          <w:rFonts w:ascii="Times New Roman" w:hAnsi="Times New Roman" w:cs="Times New Roman"/>
          <w:spacing w:val="-11"/>
          <w:w w:val="105"/>
          <w:sz w:val="23"/>
          <w:szCs w:val="23"/>
        </w:rPr>
        <w:t xml:space="preserve"> </w:t>
      </w:r>
      <w:r>
        <w:rPr>
          <w:rFonts w:ascii="Times New Roman" w:hAnsi="Times New Roman" w:cs="Times New Roman"/>
          <w:w w:val="105"/>
          <w:sz w:val="23"/>
          <w:szCs w:val="23"/>
        </w:rPr>
        <w:t>detail</w:t>
      </w:r>
      <w:r>
        <w:rPr>
          <w:rFonts w:ascii="Times New Roman" w:hAnsi="Times New Roman" w:cs="Times New Roman"/>
          <w:spacing w:val="-12"/>
          <w:w w:val="105"/>
          <w:sz w:val="23"/>
          <w:szCs w:val="23"/>
        </w:rPr>
        <w:t xml:space="preserve"> </w:t>
      </w:r>
      <w:r>
        <w:rPr>
          <w:rFonts w:ascii="Times New Roman" w:hAnsi="Times New Roman" w:cs="Times New Roman"/>
          <w:w w:val="105"/>
          <w:sz w:val="23"/>
          <w:szCs w:val="23"/>
        </w:rPr>
        <w:t>will need</w:t>
      </w:r>
      <w:r>
        <w:rPr>
          <w:rFonts w:ascii="Times New Roman" w:hAnsi="Times New Roman" w:cs="Times New Roman"/>
          <w:spacing w:val="-9"/>
          <w:w w:val="105"/>
          <w:sz w:val="23"/>
          <w:szCs w:val="23"/>
        </w:rPr>
        <w:t xml:space="preserve"> </w:t>
      </w:r>
      <w:r>
        <w:rPr>
          <w:rFonts w:ascii="Times New Roman" w:hAnsi="Times New Roman" w:cs="Times New Roman"/>
          <w:w w:val="105"/>
          <w:sz w:val="23"/>
          <w:szCs w:val="23"/>
        </w:rPr>
        <w:t>to</w:t>
      </w:r>
      <w:r>
        <w:rPr>
          <w:rFonts w:ascii="Times New Roman" w:hAnsi="Times New Roman" w:cs="Times New Roman"/>
          <w:spacing w:val="-21"/>
          <w:w w:val="105"/>
          <w:sz w:val="23"/>
          <w:szCs w:val="23"/>
        </w:rPr>
        <w:t xml:space="preserve"> </w:t>
      </w:r>
      <w:r>
        <w:rPr>
          <w:rFonts w:ascii="Times New Roman" w:hAnsi="Times New Roman" w:cs="Times New Roman"/>
          <w:w w:val="105"/>
          <w:sz w:val="23"/>
          <w:szCs w:val="23"/>
        </w:rPr>
        <w:t>be</w:t>
      </w:r>
      <w:r>
        <w:rPr>
          <w:rFonts w:ascii="Times New Roman" w:hAnsi="Times New Roman" w:cs="Times New Roman"/>
          <w:spacing w:val="-18"/>
          <w:w w:val="105"/>
          <w:sz w:val="23"/>
          <w:szCs w:val="23"/>
        </w:rPr>
        <w:t xml:space="preserve"> </w:t>
      </w:r>
      <w:r>
        <w:rPr>
          <w:rFonts w:ascii="Times New Roman" w:hAnsi="Times New Roman" w:cs="Times New Roman"/>
          <w:w w:val="105"/>
          <w:sz w:val="23"/>
          <w:szCs w:val="23"/>
        </w:rPr>
        <w:t>developed</w:t>
      </w:r>
      <w:r>
        <w:rPr>
          <w:rFonts w:ascii="Times New Roman" w:hAnsi="Times New Roman" w:cs="Times New Roman"/>
          <w:spacing w:val="-12"/>
          <w:w w:val="105"/>
          <w:sz w:val="23"/>
          <w:szCs w:val="23"/>
        </w:rPr>
        <w:t xml:space="preserve"> </w:t>
      </w:r>
      <w:r>
        <w:rPr>
          <w:rFonts w:ascii="Times New Roman" w:hAnsi="Times New Roman" w:cs="Times New Roman"/>
          <w:w w:val="105"/>
          <w:sz w:val="23"/>
          <w:szCs w:val="23"/>
        </w:rPr>
        <w:t>to</w:t>
      </w:r>
      <w:r>
        <w:rPr>
          <w:rFonts w:ascii="Times New Roman" w:hAnsi="Times New Roman" w:cs="Times New Roman"/>
          <w:spacing w:val="-16"/>
          <w:w w:val="105"/>
          <w:sz w:val="23"/>
          <w:szCs w:val="23"/>
        </w:rPr>
        <w:t xml:space="preserve"> </w:t>
      </w:r>
      <w:r>
        <w:rPr>
          <w:rFonts w:ascii="Times New Roman" w:hAnsi="Times New Roman" w:cs="Times New Roman"/>
          <w:w w:val="105"/>
          <w:sz w:val="23"/>
          <w:szCs w:val="23"/>
        </w:rPr>
        <w:t>determine</w:t>
      </w:r>
      <w:r>
        <w:rPr>
          <w:rFonts w:ascii="Times New Roman" w:hAnsi="Times New Roman" w:cs="Times New Roman"/>
          <w:spacing w:val="-18"/>
          <w:w w:val="105"/>
          <w:sz w:val="23"/>
          <w:szCs w:val="23"/>
        </w:rPr>
        <w:t xml:space="preserve"> </w:t>
      </w:r>
      <w:r>
        <w:rPr>
          <w:rFonts w:ascii="Times New Roman" w:hAnsi="Times New Roman" w:cs="Times New Roman"/>
          <w:w w:val="105"/>
          <w:sz w:val="23"/>
          <w:szCs w:val="23"/>
        </w:rPr>
        <w:t>if</w:t>
      </w:r>
      <w:r>
        <w:rPr>
          <w:rFonts w:ascii="Times New Roman" w:hAnsi="Times New Roman" w:cs="Times New Roman"/>
          <w:spacing w:val="-27"/>
          <w:w w:val="105"/>
          <w:sz w:val="23"/>
          <w:szCs w:val="23"/>
        </w:rPr>
        <w:t xml:space="preserve"> </w:t>
      </w:r>
      <w:r>
        <w:rPr>
          <w:rFonts w:ascii="Times New Roman" w:hAnsi="Times New Roman" w:cs="Times New Roman"/>
          <w:w w:val="105"/>
          <w:sz w:val="23"/>
          <w:szCs w:val="23"/>
        </w:rPr>
        <w:t>this</w:t>
      </w:r>
      <w:r>
        <w:rPr>
          <w:rFonts w:ascii="Times New Roman" w:hAnsi="Times New Roman" w:cs="Times New Roman"/>
          <w:spacing w:val="-15"/>
          <w:w w:val="105"/>
          <w:sz w:val="23"/>
          <w:szCs w:val="23"/>
        </w:rPr>
        <w:t xml:space="preserve"> </w:t>
      </w:r>
      <w:r>
        <w:rPr>
          <w:rFonts w:ascii="Times New Roman" w:hAnsi="Times New Roman" w:cs="Times New Roman"/>
          <w:w w:val="105"/>
          <w:sz w:val="23"/>
          <w:szCs w:val="23"/>
        </w:rPr>
        <w:t>desired</w:t>
      </w:r>
      <w:r>
        <w:rPr>
          <w:rFonts w:ascii="Times New Roman" w:hAnsi="Times New Roman" w:cs="Times New Roman"/>
          <w:spacing w:val="-19"/>
          <w:w w:val="105"/>
          <w:sz w:val="23"/>
          <w:szCs w:val="23"/>
        </w:rPr>
        <w:t xml:space="preserve"> </w:t>
      </w:r>
      <w:r>
        <w:rPr>
          <w:rFonts w:ascii="Times New Roman" w:hAnsi="Times New Roman" w:cs="Times New Roman"/>
          <w:w w:val="105"/>
          <w:sz w:val="23"/>
          <w:szCs w:val="23"/>
        </w:rPr>
        <w:t>outcome</w:t>
      </w:r>
      <w:r>
        <w:rPr>
          <w:rFonts w:ascii="Times New Roman" w:hAnsi="Times New Roman" w:cs="Times New Roman"/>
          <w:spacing w:val="-15"/>
          <w:w w:val="105"/>
          <w:sz w:val="23"/>
          <w:szCs w:val="23"/>
        </w:rPr>
        <w:t xml:space="preserve"> </w:t>
      </w:r>
      <w:r>
        <w:rPr>
          <w:rFonts w:ascii="Times New Roman" w:hAnsi="Times New Roman" w:cs="Times New Roman"/>
          <w:w w:val="105"/>
          <w:sz w:val="23"/>
          <w:szCs w:val="23"/>
        </w:rPr>
        <w:t>can</w:t>
      </w:r>
      <w:r>
        <w:rPr>
          <w:rFonts w:ascii="Times New Roman" w:hAnsi="Times New Roman" w:cs="Times New Roman"/>
          <w:spacing w:val="-24"/>
          <w:w w:val="105"/>
          <w:sz w:val="23"/>
          <w:szCs w:val="23"/>
        </w:rPr>
        <w:t xml:space="preserve"> </w:t>
      </w:r>
      <w:r>
        <w:rPr>
          <w:rFonts w:ascii="Times New Roman" w:hAnsi="Times New Roman" w:cs="Times New Roman"/>
          <w:w w:val="105"/>
          <w:sz w:val="23"/>
          <w:szCs w:val="23"/>
        </w:rPr>
        <w:t>be</w:t>
      </w:r>
      <w:r>
        <w:rPr>
          <w:rFonts w:ascii="Times New Roman" w:hAnsi="Times New Roman" w:cs="Times New Roman"/>
          <w:spacing w:val="-17"/>
          <w:w w:val="105"/>
          <w:sz w:val="23"/>
          <w:szCs w:val="23"/>
        </w:rPr>
        <w:t xml:space="preserve"> </w:t>
      </w:r>
      <w:r>
        <w:rPr>
          <w:rFonts w:ascii="Times New Roman" w:hAnsi="Times New Roman" w:cs="Times New Roman"/>
          <w:w w:val="105"/>
          <w:sz w:val="23"/>
          <w:szCs w:val="23"/>
        </w:rPr>
        <w:t>achieved.</w:t>
      </w:r>
    </w:p>
    <w:p w:rsidR="002C5025" w:rsidRDefault="002C5025">
      <w:pPr>
        <w:pStyle w:val="ListParagraph"/>
        <w:numPr>
          <w:ilvl w:val="0"/>
          <w:numId w:val="17"/>
        </w:numPr>
        <w:tabs>
          <w:tab w:val="left" w:pos="705"/>
        </w:tabs>
        <w:kinsoku w:val="0"/>
        <w:overflowPunct w:val="0"/>
        <w:spacing w:before="194" w:line="249" w:lineRule="auto"/>
        <w:ind w:left="690" w:right="370" w:hanging="334"/>
        <w:rPr>
          <w:sz w:val="23"/>
          <w:szCs w:val="23"/>
        </w:rPr>
      </w:pPr>
      <w:r>
        <w:rPr>
          <w:sz w:val="23"/>
          <w:szCs w:val="23"/>
        </w:rPr>
        <w:t xml:space="preserve">We strongly recommend an </w:t>
      </w:r>
      <w:r>
        <w:rPr>
          <w:spacing w:val="-5"/>
          <w:sz w:val="23"/>
          <w:szCs w:val="23"/>
        </w:rPr>
        <w:t xml:space="preserve">"opt-out" </w:t>
      </w:r>
      <w:r>
        <w:rPr>
          <w:sz w:val="23"/>
          <w:szCs w:val="23"/>
        </w:rPr>
        <w:t xml:space="preserve">choice for all clients as this restructuring takes place. </w:t>
      </w:r>
      <w:r>
        <w:t xml:space="preserve">It </w:t>
      </w:r>
      <w:r>
        <w:rPr>
          <w:sz w:val="23"/>
          <w:szCs w:val="23"/>
        </w:rPr>
        <w:t xml:space="preserve">is also imperative  that an </w:t>
      </w:r>
      <w:r>
        <w:rPr>
          <w:spacing w:val="-5"/>
          <w:sz w:val="23"/>
          <w:szCs w:val="23"/>
        </w:rPr>
        <w:t xml:space="preserve">"opt-out" </w:t>
      </w:r>
      <w:r>
        <w:rPr>
          <w:sz w:val="23"/>
          <w:szCs w:val="23"/>
        </w:rPr>
        <w:t xml:space="preserve">choice be made available to clients in an ACO if that ACO does not meet clients' needs. We further urge an extended waiting period of an additional year before individuals with ASD/ID/DD must be  included in the rollout of the MassHealth restructuring. This will allow shortcomings and problems for this particular population to be adequately  addressed, and details of solutions </w:t>
      </w:r>
      <w:r>
        <w:rPr>
          <w:spacing w:val="38"/>
          <w:sz w:val="23"/>
          <w:szCs w:val="23"/>
        </w:rPr>
        <w:t xml:space="preserve"> </w:t>
      </w:r>
      <w:r>
        <w:rPr>
          <w:sz w:val="23"/>
          <w:szCs w:val="23"/>
        </w:rPr>
        <w:t>proposed.</w:t>
      </w:r>
    </w:p>
    <w:p w:rsidR="002C5025" w:rsidRDefault="002C5025">
      <w:pPr>
        <w:pStyle w:val="BodyText"/>
        <w:kinsoku w:val="0"/>
        <w:overflowPunct w:val="0"/>
        <w:spacing w:before="182"/>
        <w:ind w:left="342" w:right="102"/>
        <w:rPr>
          <w:rFonts w:ascii="Times New Roman" w:hAnsi="Times New Roman" w:cs="Times New Roman"/>
          <w:sz w:val="23"/>
          <w:szCs w:val="23"/>
        </w:rPr>
      </w:pPr>
      <w:r>
        <w:rPr>
          <w:rFonts w:ascii="Times New Roman" w:hAnsi="Times New Roman" w:cs="Times New Roman"/>
          <w:sz w:val="23"/>
          <w:szCs w:val="23"/>
        </w:rPr>
        <w:t>Based on these concerns, we have additional, outstanding    questions about the operation of the new models:</w:t>
      </w:r>
    </w:p>
    <w:p w:rsidR="002C5025" w:rsidRDefault="002C5025">
      <w:pPr>
        <w:pStyle w:val="BodyText"/>
        <w:kinsoku w:val="0"/>
        <w:overflowPunct w:val="0"/>
        <w:spacing w:before="6"/>
        <w:rPr>
          <w:rFonts w:ascii="Times New Roman" w:hAnsi="Times New Roman" w:cs="Times New Roman"/>
          <w:sz w:val="18"/>
          <w:szCs w:val="18"/>
        </w:rPr>
      </w:pPr>
    </w:p>
    <w:p w:rsidR="002C5025" w:rsidRDefault="002C5025">
      <w:pPr>
        <w:pStyle w:val="ListParagraph"/>
        <w:numPr>
          <w:ilvl w:val="0"/>
          <w:numId w:val="17"/>
        </w:numPr>
        <w:tabs>
          <w:tab w:val="left" w:pos="762"/>
        </w:tabs>
        <w:kinsoku w:val="0"/>
        <w:overflowPunct w:val="0"/>
        <w:spacing w:line="249" w:lineRule="auto"/>
        <w:ind w:left="761" w:right="627" w:hanging="355"/>
        <w:rPr>
          <w:sz w:val="23"/>
          <w:szCs w:val="23"/>
        </w:rPr>
      </w:pPr>
      <w:r>
        <w:rPr>
          <w:sz w:val="23"/>
          <w:szCs w:val="23"/>
        </w:rPr>
        <w:t>How will the requirements for Certified Community Partners me.sh with the reality that there are few BH and LTSS providers with knowledge of how to effectively deliver health care and other long-term supports and services to people with autism and other developmental   disabilities?</w:t>
      </w:r>
    </w:p>
    <w:p w:rsidR="002C5025" w:rsidRDefault="002C5025">
      <w:pPr>
        <w:pStyle w:val="BodyText"/>
        <w:kinsoku w:val="0"/>
        <w:overflowPunct w:val="0"/>
        <w:spacing w:before="1"/>
        <w:rPr>
          <w:rFonts w:ascii="Times New Roman" w:hAnsi="Times New Roman" w:cs="Times New Roman"/>
          <w:sz w:val="20"/>
          <w:szCs w:val="20"/>
        </w:rPr>
      </w:pPr>
    </w:p>
    <w:p w:rsidR="002C5025" w:rsidRDefault="002C5025">
      <w:pPr>
        <w:pStyle w:val="ListParagraph"/>
        <w:numPr>
          <w:ilvl w:val="0"/>
          <w:numId w:val="17"/>
        </w:numPr>
        <w:tabs>
          <w:tab w:val="left" w:pos="691"/>
        </w:tabs>
        <w:kinsoku w:val="0"/>
        <w:overflowPunct w:val="0"/>
        <w:spacing w:before="1" w:line="247" w:lineRule="auto"/>
        <w:ind w:left="697" w:right="401" w:hanging="348"/>
        <w:rPr>
          <w:sz w:val="23"/>
          <w:szCs w:val="23"/>
        </w:rPr>
      </w:pPr>
      <w:r>
        <w:rPr>
          <w:sz w:val="23"/>
          <w:szCs w:val="23"/>
        </w:rPr>
        <w:t xml:space="preserve">What standard will be used to determine that ACOs have sufficient understanding of the complex needs of these challenging </w:t>
      </w:r>
      <w:r>
        <w:rPr>
          <w:spacing w:val="2"/>
          <w:sz w:val="23"/>
          <w:szCs w:val="23"/>
        </w:rPr>
        <w:t xml:space="preserve"> </w:t>
      </w:r>
      <w:r>
        <w:rPr>
          <w:sz w:val="23"/>
          <w:szCs w:val="23"/>
        </w:rPr>
        <w:t>clients?</w:t>
      </w:r>
    </w:p>
    <w:p w:rsidR="002C5025" w:rsidRDefault="002C5025">
      <w:pPr>
        <w:pStyle w:val="BodyText"/>
        <w:kinsoku w:val="0"/>
        <w:overflowPunct w:val="0"/>
        <w:spacing w:before="4"/>
        <w:rPr>
          <w:rFonts w:ascii="Times New Roman" w:hAnsi="Times New Roman" w:cs="Times New Roman"/>
          <w:sz w:val="20"/>
          <w:szCs w:val="20"/>
        </w:rPr>
      </w:pPr>
    </w:p>
    <w:p w:rsidR="002C5025" w:rsidRDefault="002C5025">
      <w:pPr>
        <w:pStyle w:val="ListParagraph"/>
        <w:numPr>
          <w:ilvl w:val="0"/>
          <w:numId w:val="17"/>
        </w:numPr>
        <w:tabs>
          <w:tab w:val="left" w:pos="691"/>
        </w:tabs>
        <w:kinsoku w:val="0"/>
        <w:overflowPunct w:val="0"/>
        <w:spacing w:line="249" w:lineRule="auto"/>
        <w:ind w:left="690" w:right="406" w:hanging="348"/>
        <w:rPr>
          <w:sz w:val="23"/>
          <w:szCs w:val="23"/>
        </w:rPr>
      </w:pPr>
      <w:r>
        <w:rPr>
          <w:sz w:val="23"/>
          <w:szCs w:val="23"/>
        </w:rPr>
        <w:t xml:space="preserve">Assuming Massachusetts is successful in obtaining the federal DSRIP dollars to provide for the required upfront investments in this new system, will adequate funding exist as the DSRIP period winds down to ensure its continued operation in an effective </w:t>
      </w:r>
      <w:r>
        <w:rPr>
          <w:spacing w:val="22"/>
          <w:sz w:val="23"/>
          <w:szCs w:val="23"/>
        </w:rPr>
        <w:t xml:space="preserve"> </w:t>
      </w:r>
      <w:r>
        <w:rPr>
          <w:sz w:val="23"/>
          <w:szCs w:val="23"/>
        </w:rPr>
        <w:t>way?</w:t>
      </w:r>
    </w:p>
    <w:p w:rsidR="002C5025" w:rsidRDefault="002C5025">
      <w:pPr>
        <w:pStyle w:val="BodyText"/>
        <w:kinsoku w:val="0"/>
        <w:overflowPunct w:val="0"/>
        <w:spacing w:before="182" w:line="247" w:lineRule="auto"/>
        <w:ind w:left="328" w:right="275"/>
        <w:jc w:val="both"/>
        <w:rPr>
          <w:rFonts w:ascii="Times New Roman" w:hAnsi="Times New Roman" w:cs="Times New Roman"/>
          <w:sz w:val="23"/>
          <w:szCs w:val="23"/>
        </w:rPr>
      </w:pPr>
      <w:r>
        <w:rPr>
          <w:rFonts w:ascii="Times New Roman" w:hAnsi="Times New Roman" w:cs="Times New Roman"/>
          <w:sz w:val="23"/>
          <w:szCs w:val="23"/>
        </w:rPr>
        <w:t xml:space="preserve">We appreciate your continued efforts to ensure the delivery of quality healthcare  and long term services and supports  to people with autism and other developmental disabilities, and we look forward to further opportunities to be helpful  on the detail  as the restructuring process </w:t>
      </w:r>
      <w:r>
        <w:rPr>
          <w:rFonts w:ascii="Times New Roman" w:hAnsi="Times New Roman" w:cs="Times New Roman"/>
          <w:spacing w:val="16"/>
          <w:sz w:val="23"/>
          <w:szCs w:val="23"/>
        </w:rPr>
        <w:t xml:space="preserve"> </w:t>
      </w:r>
      <w:r>
        <w:rPr>
          <w:rFonts w:ascii="Times New Roman" w:hAnsi="Times New Roman" w:cs="Times New Roman"/>
          <w:sz w:val="23"/>
          <w:szCs w:val="23"/>
        </w:rPr>
        <w:t>evolves.</w:t>
      </w:r>
    </w:p>
    <w:p w:rsidR="002C5025" w:rsidRDefault="002C5025">
      <w:pPr>
        <w:pStyle w:val="BodyText"/>
        <w:kinsoku w:val="0"/>
        <w:overflowPunct w:val="0"/>
        <w:spacing w:before="1"/>
        <w:rPr>
          <w:rFonts w:ascii="Times New Roman" w:hAnsi="Times New Roman" w:cs="Times New Roman"/>
          <w:sz w:val="24"/>
          <w:szCs w:val="24"/>
        </w:rPr>
      </w:pPr>
    </w:p>
    <w:p w:rsidR="002C5025" w:rsidRDefault="002C5025">
      <w:pPr>
        <w:pStyle w:val="BodyText"/>
        <w:kinsoku w:val="0"/>
        <w:overflowPunct w:val="0"/>
        <w:ind w:left="328" w:right="102"/>
        <w:rPr>
          <w:rFonts w:ascii="Times New Roman" w:hAnsi="Times New Roman" w:cs="Times New Roman"/>
          <w:w w:val="105"/>
          <w:sz w:val="23"/>
          <w:szCs w:val="23"/>
        </w:rPr>
      </w:pPr>
      <w:r>
        <w:rPr>
          <w:rFonts w:ascii="Times New Roman" w:hAnsi="Times New Roman" w:cs="Times New Roman"/>
          <w:w w:val="105"/>
          <w:sz w:val="23"/>
          <w:szCs w:val="23"/>
        </w:rPr>
        <w:t>Very truly yours,</w:t>
      </w:r>
    </w:p>
    <w:p w:rsidR="002C5025" w:rsidRDefault="002C5025">
      <w:pPr>
        <w:pStyle w:val="BodyText"/>
        <w:kinsoku w:val="0"/>
        <w:overflowPunct w:val="0"/>
        <w:rPr>
          <w:rFonts w:ascii="Times New Roman" w:hAnsi="Times New Roman" w:cs="Times New Roman"/>
          <w:sz w:val="20"/>
          <w:szCs w:val="20"/>
        </w:rPr>
      </w:pPr>
    </w:p>
    <w:p w:rsidR="002C5025" w:rsidRDefault="00FB027C">
      <w:pPr>
        <w:pStyle w:val="BodyText"/>
        <w:kinsoku w:val="0"/>
        <w:overflowPunct w:val="0"/>
        <w:spacing w:before="9"/>
        <w:rPr>
          <w:rFonts w:ascii="Times New Roman" w:hAnsi="Times New Roman" w:cs="Times New Roman"/>
          <w:sz w:val="19"/>
          <w:szCs w:val="19"/>
        </w:rPr>
      </w:pPr>
      <w:r>
        <w:rPr>
          <w:noProof/>
        </w:rPr>
        <mc:AlternateContent>
          <mc:Choice Requires="wps">
            <w:drawing>
              <wp:anchor distT="0" distB="0" distL="0" distR="0" simplePos="0" relativeHeight="251499008" behindDoc="0" locked="0" layoutInCell="0" allowOverlap="1">
                <wp:simplePos x="0" y="0"/>
                <wp:positionH relativeFrom="page">
                  <wp:posOffset>311150</wp:posOffset>
                </wp:positionH>
                <wp:positionV relativeFrom="paragraph">
                  <wp:posOffset>389255</wp:posOffset>
                </wp:positionV>
                <wp:extent cx="215900" cy="406400"/>
                <wp:effectExtent l="0" t="0" r="0" b="0"/>
                <wp:wrapTopAndBottom/>
                <wp:docPr id="899"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40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640" w:lineRule="atLeast"/>
                            </w:pPr>
                            <w:r>
                              <w:rPr>
                                <w:noProof/>
                              </w:rPr>
                              <w:drawing>
                                <wp:inline distT="0" distB="0" distL="0" distR="0">
                                  <wp:extent cx="219075" cy="400050"/>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19075" cy="400050"/>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6" o:spid="_x0000_s1080" style="position:absolute;margin-left:24.5pt;margin-top:30.65pt;width:17pt;height:32pt;z-index:251499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" o:allowincell="f" filled="f" stroked="f">
                <v:textbox inset="0,0,0,0">
                  <w:txbxContent>
                    <w:p w:rsidR="007B2B7B" w:rsidRDefault="007B2B7B">
                      <w:pPr>
                        <w:widowControl/>
                        <w:autoSpaceDE/>
                        <w:autoSpaceDN/>
                        <w:adjustRightInd/>
                        <w:spacing w:line="640" w:lineRule="atLeast"/>
                      </w:pPr>
                      <w:r>
                        <w:rPr>
                          <w:noProof/>
                        </w:rPr>
                        <w:drawing>
                          <wp:inline distT="0" distB="0" distL="0" distR="0">
                            <wp:extent cx="219075" cy="400050"/>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19075" cy="400050"/>
                                    </a:xfrm>
                                    <a:prstGeom prst="rect">
                                      <a:avLst/>
                                    </a:prstGeom>
                                    <a:noFill/>
                                    <a:ln>
                                      <a:noFill/>
                                    </a:ln>
                                  </pic:spPr>
                                </pic:pic>
                              </a:graphicData>
                            </a:graphic>
                          </wp:inline>
                        </w:drawing>
                      </w:r>
                    </w:p>
                    <w:p w:rsidR="007B2B7B" w:rsidRDefault="007B2B7B"/>
                  </w:txbxContent>
                </v:textbox>
                <w10:wrap type="topAndBottom" anchorx="page"/>
              </v:rect>
            </w:pict>
          </mc:Fallback>
        </mc:AlternateContent>
      </w:r>
      <w:r>
        <w:rPr>
          <w:noProof/>
        </w:rPr>
        <mc:AlternateContent>
          <mc:Choice Requires="wps">
            <w:drawing>
              <wp:anchor distT="0" distB="0" distL="0" distR="0" simplePos="0" relativeHeight="251500032" behindDoc="0" locked="0" layoutInCell="0" allowOverlap="1">
                <wp:simplePos x="0" y="0"/>
                <wp:positionH relativeFrom="page">
                  <wp:posOffset>694690</wp:posOffset>
                </wp:positionH>
                <wp:positionV relativeFrom="paragraph">
                  <wp:posOffset>169545</wp:posOffset>
                </wp:positionV>
                <wp:extent cx="2362200" cy="660400"/>
                <wp:effectExtent l="0" t="0" r="0" b="0"/>
                <wp:wrapTopAndBottom/>
                <wp:docPr id="898"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6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1040" w:lineRule="atLeast"/>
                            </w:pPr>
                            <w:r>
                              <w:rPr>
                                <w:noProof/>
                              </w:rPr>
                              <w:drawing>
                                <wp:inline distT="0" distB="0" distL="0" distR="0">
                                  <wp:extent cx="2362200" cy="657225"/>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362200" cy="657225"/>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7" o:spid="_x0000_s1081" style="position:absolute;margin-left:54.7pt;margin-top:13.35pt;width:186pt;height:52pt;z-index:251500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" o:allowincell="f" filled="f" stroked="f">
                <v:textbox inset="0,0,0,0">
                  <w:txbxContent>
                    <w:p w:rsidR="007B2B7B" w:rsidRDefault="007B2B7B">
                      <w:pPr>
                        <w:widowControl/>
                        <w:autoSpaceDE/>
                        <w:autoSpaceDN/>
                        <w:adjustRightInd/>
                        <w:spacing w:line="1040" w:lineRule="atLeast"/>
                      </w:pPr>
                      <w:r>
                        <w:rPr>
                          <w:noProof/>
                        </w:rPr>
                        <w:drawing>
                          <wp:inline distT="0" distB="0" distL="0" distR="0">
                            <wp:extent cx="2362200" cy="657225"/>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362200" cy="657225"/>
                                    </a:xfrm>
                                    <a:prstGeom prst="rect">
                                      <a:avLst/>
                                    </a:prstGeom>
                                    <a:noFill/>
                                    <a:ln>
                                      <a:noFill/>
                                    </a:ln>
                                  </pic:spPr>
                                </pic:pic>
                              </a:graphicData>
                            </a:graphic>
                          </wp:inline>
                        </w:drawing>
                      </w:r>
                    </w:p>
                    <w:p w:rsidR="007B2B7B" w:rsidRDefault="007B2B7B"/>
                  </w:txbxContent>
                </v:textbox>
                <w10:wrap type="topAndBottom" anchorx="page"/>
              </v:rect>
            </w:pict>
          </mc:Fallback>
        </mc:AlternateContent>
      </w:r>
    </w:p>
    <w:p w:rsidR="002C5025" w:rsidRDefault="002C5025">
      <w:pPr>
        <w:pStyle w:val="BodyText"/>
        <w:kinsoku w:val="0"/>
        <w:overflowPunct w:val="0"/>
        <w:spacing w:before="189"/>
        <w:ind w:left="328" w:right="102"/>
        <w:rPr>
          <w:rFonts w:ascii="Times New Roman" w:hAnsi="Times New Roman" w:cs="Times New Roman"/>
          <w:sz w:val="23"/>
          <w:szCs w:val="23"/>
        </w:rPr>
      </w:pPr>
      <w:r>
        <w:rPr>
          <w:rFonts w:ascii="Times New Roman" w:hAnsi="Times New Roman" w:cs="Times New Roman"/>
          <w:sz w:val="23"/>
          <w:szCs w:val="23"/>
        </w:rPr>
        <w:t xml:space="preserve">Michael </w:t>
      </w:r>
      <w:r>
        <w:rPr>
          <w:rFonts w:ascii="Times New Roman" w:hAnsi="Times New Roman" w:cs="Times New Roman"/>
          <w:sz w:val="24"/>
          <w:szCs w:val="24"/>
        </w:rPr>
        <w:t xml:space="preserve">J. </w:t>
      </w:r>
      <w:proofErr w:type="spellStart"/>
      <w:r>
        <w:rPr>
          <w:rFonts w:ascii="Times New Roman" w:hAnsi="Times New Roman" w:cs="Times New Roman"/>
          <w:sz w:val="23"/>
          <w:szCs w:val="23"/>
        </w:rPr>
        <w:t>Borr</w:t>
      </w:r>
      <w:proofErr w:type="spellEnd"/>
      <w:r>
        <w:rPr>
          <w:rFonts w:ascii="Times New Roman" w:hAnsi="Times New Roman" w:cs="Times New Roman"/>
          <w:sz w:val="23"/>
          <w:szCs w:val="23"/>
        </w:rPr>
        <w:t>, Chair of  AFAM</w:t>
      </w:r>
    </w:p>
    <w:p w:rsidR="002C5025" w:rsidRDefault="002C5025">
      <w:pPr>
        <w:pStyle w:val="BodyText"/>
        <w:kinsoku w:val="0"/>
        <w:overflowPunct w:val="0"/>
        <w:spacing w:before="2"/>
        <w:rPr>
          <w:rFonts w:ascii="Times New Roman" w:hAnsi="Times New Roman" w:cs="Times New Roman"/>
          <w:sz w:val="25"/>
          <w:szCs w:val="25"/>
        </w:rPr>
      </w:pPr>
    </w:p>
    <w:p w:rsidR="002C5025" w:rsidRDefault="002C5025">
      <w:pPr>
        <w:pStyle w:val="BodyText"/>
        <w:tabs>
          <w:tab w:val="left" w:pos="1059"/>
        </w:tabs>
        <w:kinsoku w:val="0"/>
        <w:overflowPunct w:val="0"/>
        <w:spacing w:line="252" w:lineRule="auto"/>
        <w:ind w:left="1052" w:right="2880" w:hanging="717"/>
        <w:rPr>
          <w:rFonts w:ascii="Times New Roman" w:hAnsi="Times New Roman" w:cs="Times New Roman"/>
          <w:sz w:val="23"/>
          <w:szCs w:val="23"/>
        </w:rPr>
      </w:pPr>
      <w:r>
        <w:rPr>
          <w:rFonts w:ascii="Times New Roman" w:hAnsi="Times New Roman" w:cs="Times New Roman"/>
          <w:sz w:val="23"/>
          <w:szCs w:val="23"/>
        </w:rPr>
        <w:t>Cc:</w:t>
      </w:r>
      <w:r>
        <w:rPr>
          <w:rFonts w:ascii="Times New Roman" w:hAnsi="Times New Roman" w:cs="Times New Roman"/>
          <w:sz w:val="23"/>
          <w:szCs w:val="23"/>
        </w:rPr>
        <w:tab/>
      </w:r>
      <w:r>
        <w:rPr>
          <w:rFonts w:ascii="Times New Roman" w:hAnsi="Times New Roman" w:cs="Times New Roman"/>
          <w:sz w:val="23"/>
          <w:szCs w:val="23"/>
        </w:rPr>
        <w:tab/>
        <w:t xml:space="preserve">Marylou Sudders, Secretary, Executive  Office of Health and </w:t>
      </w:r>
      <w:r>
        <w:rPr>
          <w:rFonts w:ascii="Times New Roman" w:hAnsi="Times New Roman" w:cs="Times New Roman"/>
          <w:spacing w:val="20"/>
          <w:sz w:val="23"/>
          <w:szCs w:val="23"/>
        </w:rPr>
        <w:t xml:space="preserve"> </w:t>
      </w:r>
      <w:r>
        <w:rPr>
          <w:rFonts w:ascii="Times New Roman" w:hAnsi="Times New Roman" w:cs="Times New Roman"/>
          <w:sz w:val="23"/>
          <w:szCs w:val="23"/>
        </w:rPr>
        <w:t>Human</w:t>
      </w:r>
      <w:r>
        <w:rPr>
          <w:rFonts w:ascii="Times New Roman" w:hAnsi="Times New Roman" w:cs="Times New Roman"/>
          <w:spacing w:val="32"/>
          <w:sz w:val="23"/>
          <w:szCs w:val="23"/>
        </w:rPr>
        <w:t xml:space="preserve"> </w:t>
      </w:r>
      <w:r>
        <w:rPr>
          <w:rFonts w:ascii="Times New Roman" w:hAnsi="Times New Roman" w:cs="Times New Roman"/>
          <w:sz w:val="23"/>
          <w:szCs w:val="23"/>
        </w:rPr>
        <w:t xml:space="preserve">Services Robin Callahan, Deputy Medicaid Director for Policy and Programs  Commissioner Elin Howe, Massachusetts  Department  of Developmental </w:t>
      </w:r>
      <w:r>
        <w:rPr>
          <w:rFonts w:ascii="Times New Roman" w:hAnsi="Times New Roman" w:cs="Times New Roman"/>
          <w:spacing w:val="25"/>
          <w:sz w:val="23"/>
          <w:szCs w:val="23"/>
        </w:rPr>
        <w:t xml:space="preserve"> </w:t>
      </w:r>
      <w:r>
        <w:rPr>
          <w:rFonts w:ascii="Times New Roman" w:hAnsi="Times New Roman" w:cs="Times New Roman"/>
          <w:sz w:val="23"/>
          <w:szCs w:val="23"/>
        </w:rPr>
        <w:t>Services</w:t>
      </w:r>
    </w:p>
    <w:p w:rsidR="002C5025" w:rsidRDefault="002C5025">
      <w:pPr>
        <w:pStyle w:val="BodyText"/>
        <w:tabs>
          <w:tab w:val="left" w:pos="1059"/>
        </w:tabs>
        <w:kinsoku w:val="0"/>
        <w:overflowPunct w:val="0"/>
        <w:spacing w:line="252" w:lineRule="auto"/>
        <w:ind w:left="1052" w:right="2880" w:hanging="717"/>
        <w:rPr>
          <w:rFonts w:ascii="Times New Roman" w:hAnsi="Times New Roman" w:cs="Times New Roman"/>
          <w:sz w:val="23"/>
          <w:szCs w:val="23"/>
        </w:rPr>
        <w:sectPr w:rsidR="002C5025">
          <w:pgSz w:w="12240" w:h="15840"/>
          <w:pgMar w:top="340" w:right="440" w:bottom="280" w:left="140" w:header="720" w:footer="720" w:gutter="0"/>
          <w:cols w:space="720" w:equalWidth="0">
            <w:col w:w="11660"/>
          </w:cols>
          <w:noEndnote/>
        </w:sectPr>
      </w:pPr>
    </w:p>
    <w:p w:rsidR="002C5025" w:rsidRDefault="002C5025">
      <w:pPr>
        <w:pStyle w:val="BodyText"/>
        <w:kinsoku w:val="0"/>
        <w:overflowPunct w:val="0"/>
        <w:spacing w:before="52"/>
        <w:ind w:left="100" w:right="443"/>
        <w:rPr>
          <w:rFonts w:ascii="Times New Roman" w:hAnsi="Times New Roman" w:cs="Times New Roman"/>
          <w:sz w:val="24"/>
          <w:szCs w:val="24"/>
        </w:rPr>
      </w:pPr>
      <w:bookmarkStart w:id="34" w:name="Advocates_for_Autism_MA_AFAM__7-14_to_7-"/>
      <w:bookmarkEnd w:id="34"/>
      <w:r>
        <w:rPr>
          <w:rFonts w:ascii="Times New Roman" w:hAnsi="Times New Roman" w:cs="Times New Roman"/>
          <w:sz w:val="24"/>
          <w:szCs w:val="24"/>
        </w:rPr>
        <w:lastRenderedPageBreak/>
        <w:t>Hello,</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spacing w:before="7"/>
        <w:rPr>
          <w:rFonts w:ascii="Times New Roman" w:hAnsi="Times New Roman" w:cs="Times New Roman"/>
          <w:sz w:val="24"/>
          <w:szCs w:val="24"/>
        </w:rPr>
      </w:pPr>
    </w:p>
    <w:p w:rsidR="002C5025" w:rsidRDefault="002C5025">
      <w:pPr>
        <w:pStyle w:val="BodyText"/>
        <w:kinsoku w:val="0"/>
        <w:overflowPunct w:val="0"/>
        <w:ind w:left="100" w:right="295"/>
        <w:rPr>
          <w:rFonts w:ascii="Times New Roman" w:hAnsi="Times New Roman" w:cs="Times New Roman"/>
          <w:sz w:val="24"/>
          <w:szCs w:val="24"/>
        </w:rPr>
      </w:pPr>
      <w:r>
        <w:rPr>
          <w:rFonts w:ascii="Times New Roman" w:hAnsi="Times New Roman" w:cs="Times New Roman"/>
          <w:sz w:val="24"/>
          <w:szCs w:val="24"/>
        </w:rPr>
        <w:t>My name is Catherine Boyle, and I am the president of Autism Housing Pathways, a 501(c)(3) organization that educates Massachusetts families about housing options for their adult family members with developmental disabilities. I am writing to provide comment on MassHealth’s Section 1115 Demonstration Project Amendment and Extension Request.</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spacing w:before="9"/>
        <w:rPr>
          <w:rFonts w:ascii="Times New Roman" w:hAnsi="Times New Roman" w:cs="Times New Roman"/>
          <w:sz w:val="24"/>
          <w:szCs w:val="24"/>
        </w:rPr>
      </w:pPr>
    </w:p>
    <w:p w:rsidR="002C5025" w:rsidRDefault="002C5025">
      <w:pPr>
        <w:pStyle w:val="BodyText"/>
        <w:kinsoku w:val="0"/>
        <w:overflowPunct w:val="0"/>
        <w:ind w:left="100" w:right="443"/>
        <w:rPr>
          <w:rFonts w:ascii="Times New Roman" w:hAnsi="Times New Roman" w:cs="Times New Roman"/>
          <w:sz w:val="24"/>
          <w:szCs w:val="24"/>
        </w:rPr>
      </w:pPr>
      <w:r>
        <w:rPr>
          <w:rFonts w:ascii="Times New Roman" w:hAnsi="Times New Roman" w:cs="Times New Roman"/>
          <w:sz w:val="24"/>
          <w:szCs w:val="24"/>
          <w:u w:val="single"/>
        </w:rPr>
        <w:t>Housing stabilization and support, search and placement</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7"/>
        <w:rPr>
          <w:rFonts w:ascii="Times New Roman" w:hAnsi="Times New Roman" w:cs="Times New Roman"/>
          <w:sz w:val="26"/>
          <w:szCs w:val="26"/>
        </w:rPr>
      </w:pPr>
    </w:p>
    <w:p w:rsidR="002C5025" w:rsidRDefault="002C5025">
      <w:pPr>
        <w:pStyle w:val="BodyText"/>
        <w:kinsoku w:val="0"/>
        <w:overflowPunct w:val="0"/>
        <w:spacing w:before="69"/>
        <w:ind w:left="100" w:right="96"/>
        <w:rPr>
          <w:rFonts w:ascii="Times New Roman" w:hAnsi="Times New Roman" w:cs="Times New Roman"/>
          <w:sz w:val="24"/>
          <w:szCs w:val="24"/>
        </w:rPr>
      </w:pPr>
      <w:r>
        <w:rPr>
          <w:rFonts w:ascii="Times New Roman" w:hAnsi="Times New Roman" w:cs="Times New Roman"/>
          <w:sz w:val="24"/>
          <w:szCs w:val="24"/>
        </w:rPr>
        <w:t>In my work with families across the state, I have found that, in general, individuals, their families, and teachers of transition-age youth generally have little to no a priori understanding of existing housing programs, or of MassHealth State Plan options, such as Adult Family Care/Adult Foster Care. To expect them to take the further leap of understanding the rules governing the interactions of these programs without assistance is, frankly, assuming the impossible.</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spacing w:before="7"/>
        <w:rPr>
          <w:rFonts w:ascii="Times New Roman" w:hAnsi="Times New Roman" w:cs="Times New Roman"/>
          <w:sz w:val="24"/>
          <w:szCs w:val="24"/>
        </w:rPr>
      </w:pPr>
    </w:p>
    <w:p w:rsidR="002C5025" w:rsidRDefault="002C5025">
      <w:pPr>
        <w:pStyle w:val="BodyText"/>
        <w:kinsoku w:val="0"/>
        <w:overflowPunct w:val="0"/>
        <w:ind w:left="100" w:right="222"/>
        <w:rPr>
          <w:rFonts w:ascii="Times New Roman" w:hAnsi="Times New Roman" w:cs="Times New Roman"/>
          <w:sz w:val="24"/>
          <w:szCs w:val="24"/>
        </w:rPr>
      </w:pPr>
      <w:r>
        <w:rPr>
          <w:rFonts w:ascii="Times New Roman" w:hAnsi="Times New Roman" w:cs="Times New Roman"/>
          <w:sz w:val="24"/>
          <w:szCs w:val="24"/>
        </w:rPr>
        <w:t>As a result of this experience, I am happy to see specific mention of “Housing stabilization and support, search and placement” as a category of flexible services in 5.3.2.3 of the Amendment and Extension Request. I hope that the category is broadly construed to encompass the range of elements that help individuals and their families to develop and execute a sustainable, self- directed housing strategy. These include (but are not limited to):</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spacing w:before="7"/>
        <w:rPr>
          <w:rFonts w:ascii="Times New Roman" w:hAnsi="Times New Roman" w:cs="Times New Roman"/>
          <w:sz w:val="24"/>
          <w:szCs w:val="24"/>
        </w:rPr>
      </w:pPr>
    </w:p>
    <w:p w:rsidR="002C5025" w:rsidRDefault="002C5025">
      <w:pPr>
        <w:pStyle w:val="ListParagraph"/>
        <w:numPr>
          <w:ilvl w:val="1"/>
          <w:numId w:val="17"/>
        </w:numPr>
        <w:tabs>
          <w:tab w:val="left" w:pos="820"/>
        </w:tabs>
        <w:kinsoku w:val="0"/>
        <w:overflowPunct w:val="0"/>
        <w:ind w:right="861"/>
      </w:pPr>
      <w:r>
        <w:t>Education about the range of subsidized and/or affordable housing programs,</w:t>
      </w:r>
      <w:r>
        <w:rPr>
          <w:spacing w:val="-15"/>
        </w:rPr>
        <w:t xml:space="preserve"> </w:t>
      </w:r>
      <w:r>
        <w:t>and identification of appropriate programs for the</w:t>
      </w:r>
      <w:r>
        <w:rPr>
          <w:spacing w:val="-12"/>
        </w:rPr>
        <w:t xml:space="preserve"> </w:t>
      </w:r>
      <w:r>
        <w:t>individual;</w:t>
      </w:r>
    </w:p>
    <w:p w:rsidR="002C5025" w:rsidRDefault="002C5025">
      <w:pPr>
        <w:pStyle w:val="ListParagraph"/>
        <w:numPr>
          <w:ilvl w:val="1"/>
          <w:numId w:val="17"/>
        </w:numPr>
        <w:tabs>
          <w:tab w:val="left" w:pos="820"/>
        </w:tabs>
        <w:kinsoku w:val="0"/>
        <w:overflowPunct w:val="0"/>
        <w:ind w:right="294"/>
      </w:pPr>
      <w:r>
        <w:t>Education about the existence and requirements of MassHealth State Plan services,</w:t>
      </w:r>
      <w:r>
        <w:rPr>
          <w:spacing w:val="-19"/>
        </w:rPr>
        <w:t xml:space="preserve"> </w:t>
      </w:r>
      <w:r>
        <w:t>and identification of the service that will best support the individual in</w:t>
      </w:r>
      <w:r>
        <w:rPr>
          <w:spacing w:val="-18"/>
        </w:rPr>
        <w:t xml:space="preserve"> </w:t>
      </w:r>
      <w:r>
        <w:t>housing;</w:t>
      </w:r>
    </w:p>
    <w:p w:rsidR="002C5025" w:rsidRDefault="002C5025">
      <w:pPr>
        <w:pStyle w:val="ListParagraph"/>
        <w:numPr>
          <w:ilvl w:val="1"/>
          <w:numId w:val="17"/>
        </w:numPr>
        <w:tabs>
          <w:tab w:val="left" w:pos="820"/>
        </w:tabs>
        <w:kinsoku w:val="0"/>
        <w:overflowPunct w:val="0"/>
      </w:pPr>
      <w:r>
        <w:t>Hands on assistance in filling out applications for Section 8 housing</w:t>
      </w:r>
      <w:r>
        <w:rPr>
          <w:spacing w:val="-18"/>
        </w:rPr>
        <w:t xml:space="preserve"> </w:t>
      </w:r>
      <w:r>
        <w:t>vouchers;</w:t>
      </w:r>
    </w:p>
    <w:p w:rsidR="002C5025" w:rsidRDefault="002C5025">
      <w:pPr>
        <w:pStyle w:val="ListParagraph"/>
        <w:numPr>
          <w:ilvl w:val="1"/>
          <w:numId w:val="17"/>
        </w:numPr>
        <w:tabs>
          <w:tab w:val="left" w:pos="820"/>
        </w:tabs>
        <w:kinsoku w:val="0"/>
        <w:overflowPunct w:val="0"/>
      </w:pPr>
      <w:r>
        <w:t>Education of the individual in what is expected of a housemate, a neighbor, and a</w:t>
      </w:r>
      <w:r>
        <w:rPr>
          <w:spacing w:val="-17"/>
        </w:rPr>
        <w:t xml:space="preserve"> </w:t>
      </w:r>
      <w:r>
        <w:t>tenant;</w:t>
      </w:r>
    </w:p>
    <w:p w:rsidR="002C5025" w:rsidRDefault="002C5025">
      <w:pPr>
        <w:pStyle w:val="ListParagraph"/>
        <w:numPr>
          <w:ilvl w:val="1"/>
          <w:numId w:val="17"/>
        </w:numPr>
        <w:tabs>
          <w:tab w:val="left" w:pos="820"/>
        </w:tabs>
        <w:kinsoku w:val="0"/>
        <w:overflowPunct w:val="0"/>
      </w:pPr>
      <w:r>
        <w:t>Assessment of living</w:t>
      </w:r>
      <w:r>
        <w:rPr>
          <w:spacing w:val="-8"/>
        </w:rPr>
        <w:t xml:space="preserve"> </w:t>
      </w:r>
      <w:r>
        <w:t>skills;</w:t>
      </w:r>
    </w:p>
    <w:p w:rsidR="002C5025" w:rsidRDefault="002C5025">
      <w:pPr>
        <w:pStyle w:val="ListParagraph"/>
        <w:numPr>
          <w:ilvl w:val="1"/>
          <w:numId w:val="17"/>
        </w:numPr>
        <w:tabs>
          <w:tab w:val="left" w:pos="820"/>
        </w:tabs>
        <w:kinsoku w:val="0"/>
        <w:overflowPunct w:val="0"/>
      </w:pPr>
      <w:r>
        <w:t>Assessment of and funding for appropriate assistive technology;</w:t>
      </w:r>
      <w:r>
        <w:rPr>
          <w:spacing w:val="-17"/>
        </w:rPr>
        <w:t xml:space="preserve"> </w:t>
      </w:r>
      <w:r>
        <w:t>and</w:t>
      </w:r>
    </w:p>
    <w:p w:rsidR="002C5025" w:rsidRDefault="002C5025">
      <w:pPr>
        <w:pStyle w:val="ListParagraph"/>
        <w:numPr>
          <w:ilvl w:val="1"/>
          <w:numId w:val="17"/>
        </w:numPr>
        <w:tabs>
          <w:tab w:val="left" w:pos="820"/>
        </w:tabs>
        <w:kinsoku w:val="0"/>
        <w:overflowPunct w:val="0"/>
        <w:ind w:right="1011"/>
      </w:pPr>
      <w:r>
        <w:t>Evaluation of housing for appropriateness and developing recommendations for environmental modifications to ensure</w:t>
      </w:r>
      <w:r>
        <w:rPr>
          <w:spacing w:val="-10"/>
        </w:rPr>
        <w:t xml:space="preserve"> </w:t>
      </w:r>
      <w:r>
        <w:t>success.</w:t>
      </w:r>
    </w:p>
    <w:p w:rsidR="002C5025" w:rsidRDefault="002C5025">
      <w:pPr>
        <w:pStyle w:val="ListParagraph"/>
        <w:numPr>
          <w:ilvl w:val="1"/>
          <w:numId w:val="17"/>
        </w:numPr>
        <w:tabs>
          <w:tab w:val="left" w:pos="820"/>
        </w:tabs>
        <w:kinsoku w:val="0"/>
        <w:overflowPunct w:val="0"/>
        <w:ind w:right="1011"/>
        <w:sectPr w:rsidR="002C5025">
          <w:pgSz w:w="12240" w:h="15840"/>
          <w:pgMar w:top="1380" w:right="1400" w:bottom="280" w:left="1340" w:header="720" w:footer="720" w:gutter="0"/>
          <w:cols w:space="720" w:equalWidth="0">
            <w:col w:w="9500"/>
          </w:cols>
          <w:noEndnote/>
        </w:sectPr>
      </w:pPr>
    </w:p>
    <w:p w:rsidR="002C5025" w:rsidRDefault="002C5025">
      <w:pPr>
        <w:pStyle w:val="BodyText"/>
        <w:kinsoku w:val="0"/>
        <w:overflowPunct w:val="0"/>
        <w:spacing w:before="52"/>
        <w:ind w:left="120" w:right="241"/>
        <w:rPr>
          <w:rFonts w:ascii="Times New Roman" w:hAnsi="Times New Roman" w:cs="Times New Roman"/>
          <w:sz w:val="24"/>
          <w:szCs w:val="24"/>
        </w:rPr>
      </w:pPr>
      <w:r>
        <w:rPr>
          <w:rFonts w:ascii="Times New Roman" w:hAnsi="Times New Roman" w:cs="Times New Roman"/>
          <w:sz w:val="24"/>
          <w:szCs w:val="24"/>
        </w:rPr>
        <w:lastRenderedPageBreak/>
        <w:t>The last four are particularly important for individuals with autism, who now constitute almost half of the DDS Turning 22 class. Otherwise, it is all too easy for individuals to fail to maintain tenancy. For this reason, in some instances, training of landlords, property managers, and housing authority personnel in how to interact with tenants with autism is also advisable.</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spacing w:before="7"/>
        <w:rPr>
          <w:rFonts w:ascii="Times New Roman" w:hAnsi="Times New Roman" w:cs="Times New Roman"/>
          <w:sz w:val="24"/>
          <w:szCs w:val="24"/>
        </w:rPr>
      </w:pPr>
    </w:p>
    <w:p w:rsidR="002C5025" w:rsidRDefault="002C5025">
      <w:pPr>
        <w:pStyle w:val="BodyText"/>
        <w:kinsoku w:val="0"/>
        <w:overflowPunct w:val="0"/>
        <w:ind w:left="119" w:right="370"/>
        <w:rPr>
          <w:rFonts w:ascii="Times New Roman" w:hAnsi="Times New Roman" w:cs="Times New Roman"/>
          <w:sz w:val="24"/>
          <w:szCs w:val="24"/>
        </w:rPr>
      </w:pPr>
      <w:r>
        <w:rPr>
          <w:rFonts w:ascii="Times New Roman" w:hAnsi="Times New Roman" w:cs="Times New Roman"/>
          <w:sz w:val="24"/>
          <w:szCs w:val="24"/>
        </w:rPr>
        <w:t>All of these elements need to be embedded in a person-centered process that identifies the relationship of housing to transportation and employment/day activities to create a sustainable model.</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spacing w:before="9"/>
        <w:rPr>
          <w:rFonts w:ascii="Times New Roman" w:hAnsi="Times New Roman" w:cs="Times New Roman"/>
          <w:sz w:val="24"/>
          <w:szCs w:val="24"/>
        </w:rPr>
      </w:pPr>
    </w:p>
    <w:p w:rsidR="002C5025" w:rsidRDefault="002C5025">
      <w:pPr>
        <w:pStyle w:val="BodyText"/>
        <w:kinsoku w:val="0"/>
        <w:overflowPunct w:val="0"/>
        <w:ind w:left="120" w:right="241"/>
        <w:rPr>
          <w:rFonts w:ascii="Times New Roman" w:hAnsi="Times New Roman" w:cs="Times New Roman"/>
          <w:sz w:val="24"/>
          <w:szCs w:val="24"/>
        </w:rPr>
      </w:pPr>
      <w:r>
        <w:rPr>
          <w:rFonts w:ascii="Times New Roman" w:hAnsi="Times New Roman" w:cs="Times New Roman"/>
          <w:sz w:val="24"/>
          <w:szCs w:val="24"/>
          <w:u w:val="single"/>
        </w:rPr>
        <w:t>State plan services</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7"/>
        <w:rPr>
          <w:rFonts w:ascii="Times New Roman" w:hAnsi="Times New Roman" w:cs="Times New Roman"/>
          <w:sz w:val="26"/>
          <w:szCs w:val="26"/>
        </w:rPr>
      </w:pPr>
    </w:p>
    <w:p w:rsidR="002C5025" w:rsidRDefault="002C5025">
      <w:pPr>
        <w:pStyle w:val="BodyText"/>
        <w:kinsoku w:val="0"/>
        <w:overflowPunct w:val="0"/>
        <w:spacing w:before="69"/>
        <w:ind w:left="120" w:right="223"/>
        <w:rPr>
          <w:rFonts w:ascii="Times New Roman" w:hAnsi="Times New Roman" w:cs="Times New Roman"/>
          <w:sz w:val="24"/>
          <w:szCs w:val="24"/>
        </w:rPr>
      </w:pPr>
      <w:r>
        <w:rPr>
          <w:rFonts w:ascii="Times New Roman" w:hAnsi="Times New Roman" w:cs="Times New Roman"/>
          <w:sz w:val="24"/>
          <w:szCs w:val="24"/>
        </w:rPr>
        <w:t>While not directly addressed in the Demonstration Extension Request, there are certain features of existing State Plan services that negatively impact the ability of MassHealth members to obtain and maintain safe, healthy, and sustainable housing arrangements.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spacing w:before="7"/>
        <w:rPr>
          <w:rFonts w:ascii="Times New Roman" w:hAnsi="Times New Roman" w:cs="Times New Roman"/>
          <w:sz w:val="24"/>
          <w:szCs w:val="24"/>
        </w:rPr>
      </w:pPr>
    </w:p>
    <w:p w:rsidR="002C5025" w:rsidRDefault="002C5025">
      <w:pPr>
        <w:pStyle w:val="BodyText"/>
        <w:kinsoku w:val="0"/>
        <w:overflowPunct w:val="0"/>
        <w:ind w:left="120" w:right="94"/>
        <w:rPr>
          <w:rFonts w:ascii="Times New Roman" w:hAnsi="Times New Roman" w:cs="Times New Roman"/>
          <w:sz w:val="24"/>
          <w:szCs w:val="24"/>
        </w:rPr>
      </w:pPr>
      <w:r>
        <w:rPr>
          <w:rFonts w:ascii="Times New Roman" w:hAnsi="Times New Roman" w:cs="Times New Roman"/>
          <w:sz w:val="24"/>
          <w:szCs w:val="24"/>
        </w:rPr>
        <w:t>Adult Family Care is the primary way for families to provide LTSS to an individual in the home. However, it is currently limited to a care provider who is not a guardian. This creates a genuine hardship for single parents, who are frequently most in need of support, and increases the likelihood an individual will need a far more expensive group home placement. Allowing single parents who are guardians to be AFC caregivers would improve the care of eligible MassHealth members, provide a relief to families, and save money.</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spacing w:before="7"/>
        <w:rPr>
          <w:rFonts w:ascii="Times New Roman" w:hAnsi="Times New Roman" w:cs="Times New Roman"/>
          <w:sz w:val="24"/>
          <w:szCs w:val="24"/>
        </w:rPr>
      </w:pPr>
    </w:p>
    <w:p w:rsidR="002C5025" w:rsidRDefault="002C5025">
      <w:pPr>
        <w:pStyle w:val="BodyText"/>
        <w:kinsoku w:val="0"/>
        <w:overflowPunct w:val="0"/>
        <w:ind w:left="120" w:right="141"/>
        <w:rPr>
          <w:rFonts w:ascii="Times New Roman" w:hAnsi="Times New Roman" w:cs="Times New Roman"/>
          <w:sz w:val="24"/>
          <w:szCs w:val="24"/>
        </w:rPr>
      </w:pPr>
      <w:r>
        <w:rPr>
          <w:rFonts w:ascii="Times New Roman" w:hAnsi="Times New Roman" w:cs="Times New Roman"/>
          <w:sz w:val="24"/>
          <w:szCs w:val="24"/>
        </w:rPr>
        <w:t>The Adult Family Care and Adult Foster Care (AFC) stipend level is determined by the level of care an individual needs. Level II of AFC requires an individual need physical assistance with three or more Activities of Daily Living (ADLs), or with two if a maladaptive behavior is present. (ADLs include bathing, dressing, toileting, transferring, ambulating, or eating; maladaptive behaviors include: wandering, being verbally or physically abusive, socially inappropriate/disruptive or resisting care.) Many individuals with autism have more than one maladaptive behavior present and require only cueing to perform ADLs. Despite having intensive support needs, these individuals are only eligible for Level I AFC. It would be appropriate to add cueing to the Level II requirement, so that Level II funding can be received if the member requires physical assistance or cueing with 3 ADLS; or 2 ADLs and the management of the behavior. This would provide individuals with more appropriate supports, preventing or slowing caregiver burnout, and hopefully delay the need for more expensive residential services.</w:t>
      </w:r>
    </w:p>
    <w:p w:rsidR="002C5025" w:rsidRDefault="002C5025">
      <w:pPr>
        <w:pStyle w:val="BodyText"/>
        <w:kinsoku w:val="0"/>
        <w:overflowPunct w:val="0"/>
        <w:ind w:left="120" w:right="141"/>
        <w:rPr>
          <w:rFonts w:ascii="Times New Roman" w:hAnsi="Times New Roman" w:cs="Times New Roman"/>
          <w:sz w:val="24"/>
          <w:szCs w:val="24"/>
        </w:rPr>
        <w:sectPr w:rsidR="002C5025">
          <w:pgSz w:w="12240" w:h="15840"/>
          <w:pgMar w:top="1380" w:right="1380" w:bottom="280" w:left="1320" w:header="720" w:footer="720" w:gutter="0"/>
          <w:cols w:space="720" w:equalWidth="0">
            <w:col w:w="9540"/>
          </w:cols>
          <w:noEndnote/>
        </w:sect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5"/>
        <w:rPr>
          <w:rFonts w:ascii="Times New Roman" w:hAnsi="Times New Roman" w:cs="Times New Roman"/>
          <w:sz w:val="16"/>
          <w:szCs w:val="16"/>
        </w:rPr>
      </w:pPr>
    </w:p>
    <w:p w:rsidR="002C5025" w:rsidRDefault="002C5025">
      <w:pPr>
        <w:pStyle w:val="BodyText"/>
        <w:kinsoku w:val="0"/>
        <w:overflowPunct w:val="0"/>
        <w:spacing w:before="69"/>
        <w:ind w:left="100" w:right="81"/>
        <w:rPr>
          <w:rFonts w:ascii="Times New Roman" w:hAnsi="Times New Roman" w:cs="Times New Roman"/>
          <w:sz w:val="24"/>
          <w:szCs w:val="24"/>
        </w:rPr>
      </w:pPr>
      <w:r>
        <w:rPr>
          <w:rFonts w:ascii="Times New Roman" w:hAnsi="Times New Roman" w:cs="Times New Roman"/>
          <w:sz w:val="24"/>
          <w:szCs w:val="24"/>
        </w:rPr>
        <w:t>Group Adult Foster Care (GAFC) can be used to provide up to two hours a day of drop in services for individuals who need cueing for at least one ADL. It differs from AFC, in that the individual does not require a support provider to live in the same unit. However, it can only be used in assisted living facilities and subsidized (i.e., project-based) housing. The result is that people for whom this is an appropriate level of service can only receive it in these settings. For instance, someone living in a project-based Section 8 setting can receive it, but someone with a portable Section 8 voucher cannot. This means there is currently no State Plan service for someone who needs cueing only, unless they are living in these very limited settings. Changing the setting requirement to a simple requirement that a GAFC provider agency be willing to provide services in a given location would increase the ability of individuals to live independently in the community.</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5"/>
          <w:szCs w:val="25"/>
        </w:rPr>
      </w:pPr>
    </w:p>
    <w:p w:rsidR="002C5025" w:rsidRDefault="002C5025">
      <w:pPr>
        <w:pStyle w:val="BodyText"/>
        <w:kinsoku w:val="0"/>
        <w:overflowPunct w:val="0"/>
        <w:ind w:left="100" w:right="998"/>
        <w:rPr>
          <w:rFonts w:ascii="Times New Roman" w:hAnsi="Times New Roman" w:cs="Times New Roman"/>
          <w:sz w:val="24"/>
          <w:szCs w:val="24"/>
        </w:rPr>
      </w:pPr>
      <w:r>
        <w:rPr>
          <w:rFonts w:ascii="Times New Roman" w:hAnsi="Times New Roman" w:cs="Times New Roman"/>
          <w:sz w:val="24"/>
          <w:szCs w:val="24"/>
        </w:rPr>
        <w:t>Thank you for the opportunity to comment.</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spacing w:before="7"/>
        <w:rPr>
          <w:rFonts w:ascii="Times New Roman" w:hAnsi="Times New Roman" w:cs="Times New Roman"/>
          <w:sz w:val="24"/>
          <w:szCs w:val="24"/>
        </w:rPr>
      </w:pPr>
    </w:p>
    <w:p w:rsidR="002C5025" w:rsidRDefault="002C5025">
      <w:pPr>
        <w:pStyle w:val="BodyText"/>
        <w:kinsoku w:val="0"/>
        <w:overflowPunct w:val="0"/>
        <w:ind w:left="100" w:right="998"/>
        <w:rPr>
          <w:rFonts w:ascii="Times New Roman" w:hAnsi="Times New Roman" w:cs="Times New Roman"/>
          <w:sz w:val="24"/>
          <w:szCs w:val="24"/>
        </w:rPr>
      </w:pPr>
      <w:r>
        <w:rPr>
          <w:rFonts w:ascii="Times New Roman" w:hAnsi="Times New Roman" w:cs="Times New Roman"/>
          <w:sz w:val="24"/>
          <w:szCs w:val="24"/>
        </w:rPr>
        <w:t>Sincerely,</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spacing w:before="7"/>
        <w:rPr>
          <w:rFonts w:ascii="Times New Roman" w:hAnsi="Times New Roman" w:cs="Times New Roman"/>
          <w:sz w:val="24"/>
          <w:szCs w:val="24"/>
        </w:rPr>
      </w:pPr>
    </w:p>
    <w:p w:rsidR="002C5025" w:rsidRDefault="002C5025">
      <w:pPr>
        <w:pStyle w:val="BodyText"/>
        <w:kinsoku w:val="0"/>
        <w:overflowPunct w:val="0"/>
        <w:ind w:left="100" w:right="998"/>
        <w:rPr>
          <w:rFonts w:ascii="Times New Roman" w:hAnsi="Times New Roman" w:cs="Times New Roman"/>
          <w:sz w:val="24"/>
          <w:szCs w:val="24"/>
        </w:rPr>
      </w:pPr>
      <w:r>
        <w:rPr>
          <w:rFonts w:ascii="Times New Roman" w:hAnsi="Times New Roman" w:cs="Times New Roman"/>
          <w:sz w:val="24"/>
          <w:szCs w:val="24"/>
        </w:rPr>
        <w:t>Catherine Boyle</w:t>
      </w:r>
    </w:p>
    <w:p w:rsidR="002C5025" w:rsidRDefault="002C5025">
      <w:pPr>
        <w:pStyle w:val="BodyText"/>
        <w:kinsoku w:val="0"/>
        <w:overflowPunct w:val="0"/>
        <w:spacing w:before="4"/>
        <w:rPr>
          <w:rFonts w:ascii="Times New Roman" w:hAnsi="Times New Roman" w:cs="Times New Roman"/>
          <w:sz w:val="24"/>
          <w:szCs w:val="24"/>
        </w:rPr>
      </w:pPr>
    </w:p>
    <w:p w:rsidR="002C5025" w:rsidRDefault="002C5025">
      <w:pPr>
        <w:pStyle w:val="BodyText"/>
        <w:kinsoku w:val="0"/>
        <w:overflowPunct w:val="0"/>
        <w:spacing w:before="1" w:line="482" w:lineRule="auto"/>
        <w:ind w:left="100" w:right="5646"/>
        <w:rPr>
          <w:rFonts w:ascii="Times New Roman" w:hAnsi="Times New Roman" w:cs="Times New Roman"/>
          <w:sz w:val="24"/>
          <w:szCs w:val="24"/>
        </w:rPr>
      </w:pPr>
      <w:r>
        <w:rPr>
          <w:rFonts w:ascii="Times New Roman" w:hAnsi="Times New Roman" w:cs="Times New Roman"/>
          <w:sz w:val="24"/>
          <w:szCs w:val="24"/>
        </w:rPr>
        <w:t>President, Autism Housing Pathways 617-893-8217</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spacing w:before="8"/>
        <w:rPr>
          <w:rFonts w:ascii="Times New Roman" w:hAnsi="Times New Roman" w:cs="Times New Roman"/>
          <w:sz w:val="26"/>
          <w:szCs w:val="26"/>
        </w:rPr>
      </w:pPr>
    </w:p>
    <w:p w:rsidR="002C5025" w:rsidRDefault="002C5025">
      <w:pPr>
        <w:pStyle w:val="BodyText"/>
        <w:kinsoku w:val="0"/>
        <w:overflowPunct w:val="0"/>
        <w:spacing w:before="1"/>
        <w:ind w:left="100" w:right="998"/>
        <w:rPr>
          <w:rFonts w:ascii="Times New Roman" w:hAnsi="Times New Roman" w:cs="Times New Roman"/>
          <w:sz w:val="24"/>
          <w:szCs w:val="24"/>
        </w:rPr>
      </w:pPr>
      <w:r>
        <w:rPr>
          <w:rFonts w:ascii="Times New Roman" w:hAnsi="Times New Roman" w:cs="Times New Roman"/>
          <w:sz w:val="24"/>
          <w:szCs w:val="24"/>
        </w:rPr>
        <w:t>--</w:t>
      </w:r>
    </w:p>
    <w:p w:rsidR="002C5025" w:rsidRDefault="00FD19EE">
      <w:pPr>
        <w:pStyle w:val="BodyText"/>
        <w:kinsoku w:val="0"/>
        <w:overflowPunct w:val="0"/>
        <w:ind w:left="100" w:right="998"/>
        <w:rPr>
          <w:rFonts w:ascii="Times New Roman" w:hAnsi="Times New Roman" w:cs="Times New Roman"/>
          <w:color w:val="0000FF"/>
          <w:sz w:val="24"/>
          <w:szCs w:val="24"/>
        </w:rPr>
      </w:pPr>
      <w:hyperlink r:id="rId109" w:history="1">
        <w:r w:rsidR="002C5025">
          <w:rPr>
            <w:rFonts w:ascii="Times New Roman" w:hAnsi="Times New Roman" w:cs="Times New Roman"/>
            <w:color w:val="0000FF"/>
            <w:sz w:val="24"/>
            <w:szCs w:val="24"/>
            <w:u w:val="single"/>
          </w:rPr>
          <w:t>www.autismhousingpathways.org</w:t>
        </w:r>
      </w:hyperlink>
    </w:p>
    <w:p w:rsidR="002C5025" w:rsidRDefault="002C5025">
      <w:pPr>
        <w:pStyle w:val="BodyText"/>
        <w:kinsoku w:val="0"/>
        <w:overflowPunct w:val="0"/>
        <w:ind w:left="100" w:right="998"/>
        <w:rPr>
          <w:rFonts w:ascii="Times New Roman" w:hAnsi="Times New Roman" w:cs="Times New Roman"/>
          <w:color w:val="0000FF"/>
          <w:sz w:val="24"/>
          <w:szCs w:val="24"/>
        </w:rPr>
        <w:sectPr w:rsidR="002C5025">
          <w:pgSz w:w="12240" w:h="15840"/>
          <w:pgMar w:top="1500" w:right="1540" w:bottom="280" w:left="1340" w:header="720" w:footer="720" w:gutter="0"/>
          <w:cols w:space="720" w:equalWidth="0">
            <w:col w:w="9360"/>
          </w:cols>
          <w:noEndnote/>
        </w:sectPr>
      </w:pPr>
    </w:p>
    <w:p w:rsidR="002C5025" w:rsidRDefault="002C5025">
      <w:pPr>
        <w:pStyle w:val="BodyText"/>
        <w:kinsoku w:val="0"/>
        <w:overflowPunct w:val="0"/>
        <w:spacing w:before="52"/>
        <w:ind w:left="100"/>
        <w:rPr>
          <w:rFonts w:ascii="Times New Roman" w:hAnsi="Times New Roman" w:cs="Times New Roman"/>
          <w:sz w:val="24"/>
          <w:szCs w:val="24"/>
        </w:rPr>
      </w:pPr>
      <w:r>
        <w:rPr>
          <w:rFonts w:ascii="Times New Roman" w:hAnsi="Times New Roman" w:cs="Times New Roman"/>
          <w:sz w:val="24"/>
          <w:szCs w:val="24"/>
        </w:rPr>
        <w:lastRenderedPageBreak/>
        <w:t>building roads to home</w:t>
      </w:r>
    </w:p>
    <w:p w:rsidR="002C5025" w:rsidRDefault="002C5025">
      <w:pPr>
        <w:pStyle w:val="BodyText"/>
        <w:kinsoku w:val="0"/>
        <w:overflowPunct w:val="0"/>
        <w:spacing w:before="52"/>
        <w:ind w:left="100"/>
        <w:rPr>
          <w:rFonts w:ascii="Times New Roman" w:hAnsi="Times New Roman" w:cs="Times New Roman"/>
          <w:sz w:val="24"/>
          <w:szCs w:val="24"/>
        </w:rPr>
        <w:sectPr w:rsidR="002C5025">
          <w:pgSz w:w="12240" w:h="15840"/>
          <w:pgMar w:top="1380" w:right="1720" w:bottom="280" w:left="1340" w:header="720" w:footer="720" w:gutter="0"/>
          <w:cols w:space="720" w:equalWidth="0">
            <w:col w:w="9180"/>
          </w:cols>
          <w:noEndnote/>
        </w:sectPr>
      </w:pPr>
    </w:p>
    <w:p w:rsidR="002C5025" w:rsidRDefault="002C5025">
      <w:pPr>
        <w:pStyle w:val="BodyText"/>
        <w:kinsoku w:val="0"/>
        <w:overflowPunct w:val="0"/>
        <w:spacing w:before="41"/>
        <w:ind w:left="120" w:right="296"/>
        <w:rPr>
          <w:rFonts w:ascii="Verdana" w:hAnsi="Verdana" w:cs="Verdana"/>
          <w:sz w:val="19"/>
          <w:szCs w:val="19"/>
        </w:rPr>
      </w:pPr>
      <w:bookmarkStart w:id="35" w:name="Alliance_of_Massachusetts_YMCAs"/>
      <w:bookmarkEnd w:id="35"/>
      <w:r>
        <w:rPr>
          <w:rFonts w:ascii="Verdana" w:hAnsi="Verdana" w:cs="Verdana"/>
          <w:sz w:val="19"/>
          <w:szCs w:val="19"/>
        </w:rPr>
        <w:lastRenderedPageBreak/>
        <w:t>Dear Secretary Sudders,</w:t>
      </w:r>
    </w:p>
    <w:p w:rsidR="002C5025" w:rsidRDefault="002C5025">
      <w:pPr>
        <w:pStyle w:val="BodyText"/>
        <w:kinsoku w:val="0"/>
        <w:overflowPunct w:val="0"/>
        <w:spacing w:before="11"/>
        <w:rPr>
          <w:rFonts w:ascii="Verdana" w:hAnsi="Verdana" w:cs="Verdana"/>
          <w:sz w:val="18"/>
          <w:szCs w:val="18"/>
        </w:rPr>
      </w:pPr>
    </w:p>
    <w:p w:rsidR="002C5025" w:rsidRDefault="002C5025">
      <w:pPr>
        <w:pStyle w:val="BodyText"/>
        <w:kinsoku w:val="0"/>
        <w:overflowPunct w:val="0"/>
        <w:ind w:left="120" w:right="296"/>
        <w:rPr>
          <w:rFonts w:ascii="Verdana" w:hAnsi="Verdana" w:cs="Verdana"/>
          <w:sz w:val="19"/>
          <w:szCs w:val="19"/>
        </w:rPr>
      </w:pPr>
      <w:r>
        <w:rPr>
          <w:rFonts w:ascii="Verdana" w:hAnsi="Verdana" w:cs="Verdana"/>
          <w:sz w:val="19"/>
          <w:szCs w:val="19"/>
        </w:rPr>
        <w:t>The Alliance of Massachusetts YMCAs is pleased to present written comments regarding the demonstration extension request. We appreciate the creativity and progressive thinking of the Department in finding a balance between concern for controlling costs and the need to improve the health of some of our most at risk residents of the Commonwealth.</w:t>
      </w:r>
    </w:p>
    <w:p w:rsidR="002C5025" w:rsidRDefault="002C5025">
      <w:pPr>
        <w:pStyle w:val="BodyText"/>
        <w:kinsoku w:val="0"/>
        <w:overflowPunct w:val="0"/>
        <w:spacing w:before="11"/>
        <w:rPr>
          <w:rFonts w:ascii="Verdana" w:hAnsi="Verdana" w:cs="Verdana"/>
          <w:sz w:val="18"/>
          <w:szCs w:val="18"/>
        </w:rPr>
      </w:pPr>
    </w:p>
    <w:p w:rsidR="002C5025" w:rsidRDefault="002C5025">
      <w:pPr>
        <w:pStyle w:val="BodyText"/>
        <w:kinsoku w:val="0"/>
        <w:overflowPunct w:val="0"/>
        <w:ind w:left="120" w:right="188"/>
        <w:rPr>
          <w:rFonts w:ascii="Verdana" w:hAnsi="Verdana" w:cs="Verdana"/>
          <w:sz w:val="19"/>
          <w:szCs w:val="19"/>
        </w:rPr>
      </w:pPr>
      <w:r>
        <w:rPr>
          <w:rFonts w:ascii="Verdana" w:hAnsi="Verdana" w:cs="Verdana"/>
          <w:sz w:val="19"/>
          <w:szCs w:val="19"/>
        </w:rPr>
        <w:t>The Alliance represents the 30 YMCA nonprofit associations in the state with over 400 service locations. We serve over one million people each day, are collectively the largest provider of early learning and out of school services, and provide over $40 million annually in direct support to the communities we serve. In our focus areas of Youth Development, Healthy Living, and Social Responsibility, many of our Ys are located in low wage earning communities where we provide housing, access to healthy food, job training assistance, and coordinate with local providers for access to health services, including behavioral health and long term service supports, with an emphasis on chronic disease and its prevention. No one is ever turned away from a Y due to lack of ability to pay.</w:t>
      </w:r>
    </w:p>
    <w:p w:rsidR="002C5025" w:rsidRDefault="002C5025">
      <w:pPr>
        <w:pStyle w:val="BodyText"/>
        <w:kinsoku w:val="0"/>
        <w:overflowPunct w:val="0"/>
        <w:spacing w:before="1"/>
        <w:rPr>
          <w:rFonts w:ascii="Verdana" w:hAnsi="Verdana" w:cs="Verdana"/>
          <w:sz w:val="19"/>
          <w:szCs w:val="19"/>
        </w:rPr>
      </w:pPr>
    </w:p>
    <w:p w:rsidR="002C5025" w:rsidRDefault="002C5025">
      <w:pPr>
        <w:pStyle w:val="BodyText"/>
        <w:kinsoku w:val="0"/>
        <w:overflowPunct w:val="0"/>
        <w:ind w:left="119" w:right="97"/>
        <w:rPr>
          <w:rFonts w:ascii="Verdana" w:hAnsi="Verdana" w:cs="Verdana"/>
          <w:sz w:val="19"/>
          <w:szCs w:val="19"/>
        </w:rPr>
      </w:pPr>
      <w:r>
        <w:rPr>
          <w:rFonts w:ascii="Verdana" w:hAnsi="Verdana" w:cs="Verdana"/>
          <w:sz w:val="19"/>
          <w:szCs w:val="19"/>
        </w:rPr>
        <w:t>In reviewing the demonstration extension request, we are pleased to see the inclusion of social service supports. In our role as a community partner we believe these services to be essential to achieving the desired results of the request, specifically to reduce costs and improve health outcomes for vulnerable populations suffering from one or more chronic illnesses. We know from experience that having access to supports that provide safety and security are a prerequisite for individuals seeking healthcare. Additionally, we also know that the inclusion into a community of others, as the Y has historically and uniquely done so well, provides immeasurable benefit for the chronically ill. When combined with evidenced based chronic disease prevention programs, these supports and programs create the opportunities necessary for this request to succeed.</w:t>
      </w:r>
    </w:p>
    <w:p w:rsidR="002C5025" w:rsidRDefault="002C5025">
      <w:pPr>
        <w:pStyle w:val="BodyText"/>
        <w:kinsoku w:val="0"/>
        <w:overflowPunct w:val="0"/>
        <w:spacing w:before="1"/>
        <w:rPr>
          <w:rFonts w:ascii="Verdana" w:hAnsi="Verdana" w:cs="Verdana"/>
          <w:sz w:val="19"/>
          <w:szCs w:val="19"/>
        </w:rPr>
      </w:pPr>
    </w:p>
    <w:p w:rsidR="002C5025" w:rsidRDefault="002C5025">
      <w:pPr>
        <w:pStyle w:val="BodyText"/>
        <w:kinsoku w:val="0"/>
        <w:overflowPunct w:val="0"/>
        <w:ind w:left="119" w:right="140"/>
        <w:rPr>
          <w:rFonts w:ascii="Verdana" w:hAnsi="Verdana" w:cs="Verdana"/>
          <w:sz w:val="19"/>
          <w:szCs w:val="19"/>
        </w:rPr>
      </w:pPr>
      <w:r>
        <w:rPr>
          <w:rFonts w:ascii="Verdana" w:hAnsi="Verdana" w:cs="Verdana"/>
          <w:sz w:val="19"/>
          <w:szCs w:val="19"/>
        </w:rPr>
        <w:t>We also recognize the new territory being created in designing a system that includes social services from community providers not traditionally reimbursed by or accountable to the Department. To that end, while in general support of the request, we believe that once approved there is the need to define and describe how these community supports will interact with ACOs, become sustainable, and be accountable. We believe that the groundwork for this necessary structure has been accomplished through the work of the Department as well as the Department of Public Health, lacking only refinement for implementation. Specifically, we further offer that community responsive hubs which connect to local agencies offering services impacting social determinants of health and are partnered with ACOs in data collection, risk stratification, and shared risk are the most efficacious model to implement.</w:t>
      </w:r>
    </w:p>
    <w:p w:rsidR="002C5025" w:rsidRDefault="002C5025">
      <w:pPr>
        <w:pStyle w:val="BodyText"/>
        <w:kinsoku w:val="0"/>
        <w:overflowPunct w:val="0"/>
        <w:spacing w:before="11"/>
        <w:rPr>
          <w:rFonts w:ascii="Verdana" w:hAnsi="Verdana" w:cs="Verdana"/>
          <w:sz w:val="18"/>
          <w:szCs w:val="18"/>
        </w:rPr>
      </w:pPr>
    </w:p>
    <w:p w:rsidR="002C5025" w:rsidRDefault="002C5025">
      <w:pPr>
        <w:pStyle w:val="BodyText"/>
        <w:kinsoku w:val="0"/>
        <w:overflowPunct w:val="0"/>
        <w:ind w:left="119" w:right="150"/>
        <w:rPr>
          <w:rFonts w:ascii="Verdana" w:hAnsi="Verdana" w:cs="Verdana"/>
          <w:sz w:val="19"/>
          <w:szCs w:val="19"/>
        </w:rPr>
      </w:pPr>
      <w:r>
        <w:rPr>
          <w:rFonts w:ascii="Verdana" w:hAnsi="Verdana" w:cs="Verdana"/>
          <w:sz w:val="19"/>
          <w:szCs w:val="19"/>
        </w:rPr>
        <w:t>The Alliance had the privilege of serving on the MassHealth Health Homes Work Group. The identification through that process of the important and integral role of medially beneficial ser</w:t>
      </w:r>
      <w:r w:rsidR="005632B1">
        <w:rPr>
          <w:rFonts w:ascii="Verdana" w:hAnsi="Verdana" w:cs="Verdana"/>
          <w:sz w:val="19"/>
          <w:szCs w:val="19"/>
        </w:rPr>
        <w:t>vices offered through community-</w:t>
      </w:r>
      <w:r>
        <w:rPr>
          <w:rFonts w:ascii="Verdana" w:hAnsi="Verdana" w:cs="Verdana"/>
          <w:sz w:val="19"/>
          <w:szCs w:val="19"/>
        </w:rPr>
        <w:t>based organizations that are not traditional health providers was a key part of that work. The discussions and suggestions through that work group regarding the integration of social service supports is essential to the ultimate success of this effort.</w:t>
      </w:r>
    </w:p>
    <w:p w:rsidR="002C5025" w:rsidRDefault="002C5025">
      <w:pPr>
        <w:pStyle w:val="BodyText"/>
        <w:kinsoku w:val="0"/>
        <w:overflowPunct w:val="0"/>
        <w:spacing w:before="11"/>
        <w:rPr>
          <w:rFonts w:ascii="Verdana" w:hAnsi="Verdana" w:cs="Verdana"/>
          <w:sz w:val="18"/>
          <w:szCs w:val="18"/>
        </w:rPr>
      </w:pPr>
    </w:p>
    <w:p w:rsidR="002C5025" w:rsidRDefault="002C5025">
      <w:pPr>
        <w:pStyle w:val="BodyText"/>
        <w:kinsoku w:val="0"/>
        <w:overflowPunct w:val="0"/>
        <w:ind w:left="119" w:right="87"/>
        <w:rPr>
          <w:rFonts w:ascii="Verdana" w:hAnsi="Verdana" w:cs="Verdana"/>
          <w:sz w:val="19"/>
          <w:szCs w:val="19"/>
        </w:rPr>
      </w:pPr>
      <w:r>
        <w:rPr>
          <w:rFonts w:ascii="Verdana" w:hAnsi="Verdana" w:cs="Verdana"/>
          <w:sz w:val="19"/>
          <w:szCs w:val="19"/>
        </w:rPr>
        <w:t>We believe social services to broadly encompass population health components and while including supports such as childcare, transportation and housing, we understand the intent of the Department is to not limit itself to that narrow a definition. Based on the work with Health Homes, we recognize social services to include that which not only assist a person in accessing medically beneficial services, but also to include specific evidenced based programs which, when offered through a community based organization, further reduce costs and improve health outcomes. Current research has proven this assertion of costs savings and health benefit through investment in social services to be true. Locally, this has already been proven through the Prevention and Wellness Trust Fund, whose process serves as a template for inclusion of social services and associated population health impacts for this extension request.</w:t>
      </w:r>
    </w:p>
    <w:p w:rsidR="002C5025" w:rsidRDefault="002C5025">
      <w:pPr>
        <w:pStyle w:val="BodyText"/>
        <w:kinsoku w:val="0"/>
        <w:overflowPunct w:val="0"/>
        <w:ind w:left="119" w:right="87"/>
        <w:rPr>
          <w:rFonts w:ascii="Verdana" w:hAnsi="Verdana" w:cs="Verdana"/>
          <w:sz w:val="19"/>
          <w:szCs w:val="19"/>
        </w:rPr>
        <w:sectPr w:rsidR="002C5025">
          <w:pgSz w:w="12240" w:h="15840"/>
          <w:pgMar w:top="1400" w:right="1340" w:bottom="280" w:left="1320" w:header="720" w:footer="720" w:gutter="0"/>
          <w:cols w:space="720" w:equalWidth="0">
            <w:col w:w="9580"/>
          </w:cols>
          <w:noEndnote/>
        </w:sectPr>
      </w:pPr>
    </w:p>
    <w:p w:rsidR="002C5025" w:rsidRDefault="002C5025">
      <w:pPr>
        <w:pStyle w:val="BodyText"/>
        <w:kinsoku w:val="0"/>
        <w:overflowPunct w:val="0"/>
        <w:spacing w:before="41"/>
        <w:ind w:left="119" w:right="121"/>
        <w:rPr>
          <w:rFonts w:ascii="Verdana" w:hAnsi="Verdana" w:cs="Verdana"/>
          <w:sz w:val="19"/>
          <w:szCs w:val="19"/>
        </w:rPr>
      </w:pPr>
      <w:r>
        <w:rPr>
          <w:rFonts w:ascii="Verdana" w:hAnsi="Verdana" w:cs="Verdana"/>
          <w:sz w:val="19"/>
          <w:szCs w:val="19"/>
        </w:rPr>
        <w:lastRenderedPageBreak/>
        <w:t>Therefore, we believe it is essential that as the plan is implemented, for MassHealth to specifically provide incentives for ACOs to engage in and provide evidenced based chronic disease prevention and mitigation programs as well as essential safety and security supports. In most cases these services will most efficaciously be offered through community based organizations that can provide the necessary ongoing supports required to achieve success for those served.</w:t>
      </w:r>
    </w:p>
    <w:p w:rsidR="002C5025" w:rsidRDefault="002C5025">
      <w:pPr>
        <w:pStyle w:val="BodyText"/>
        <w:kinsoku w:val="0"/>
        <w:overflowPunct w:val="0"/>
        <w:spacing w:before="11"/>
        <w:rPr>
          <w:rFonts w:ascii="Verdana" w:hAnsi="Verdana" w:cs="Verdana"/>
          <w:sz w:val="18"/>
          <w:szCs w:val="18"/>
        </w:rPr>
      </w:pPr>
    </w:p>
    <w:p w:rsidR="002C5025" w:rsidRDefault="002C5025">
      <w:pPr>
        <w:pStyle w:val="BodyText"/>
        <w:kinsoku w:val="0"/>
        <w:overflowPunct w:val="0"/>
        <w:ind w:left="119" w:right="86"/>
        <w:rPr>
          <w:rFonts w:ascii="Verdana" w:hAnsi="Verdana" w:cs="Verdana"/>
          <w:sz w:val="19"/>
          <w:szCs w:val="19"/>
        </w:rPr>
      </w:pPr>
      <w:r>
        <w:rPr>
          <w:rFonts w:ascii="Verdana" w:hAnsi="Verdana" w:cs="Verdana"/>
          <w:sz w:val="19"/>
          <w:szCs w:val="19"/>
        </w:rPr>
        <w:t>We believe that the flexible spending component of the proposed plan allows for this work. What we believe to be necessary is to create a structure for ACOs to directly partner in a shared risk and shared benefit process with social service providers. However, rather than build something completely new and untested, we believe building off of existing infrastructure will provide the desired results more quickly and more cost effectively. We offer a preferred method of a social service hub that is a contractual part of the care planning team with the ACO and then subcontracts with local providers for services as being the most effectual mechanism to create partnership, sustainability, cost effectiveness, and improved health status. This process allows for immediate community alignment and flexibility to the unique needs and resources of a community, while not forcing an ACO into an unfamiliar role, and while creating a bridge between clinical services and community supports, also allows for accountability and sustainability through shared resources, risk and benefit. It creates a model of an interactive connected value based care continuum focused on the needs and desired outcomes of the individual.</w:t>
      </w:r>
    </w:p>
    <w:p w:rsidR="002C5025" w:rsidRDefault="002C5025">
      <w:pPr>
        <w:pStyle w:val="BodyText"/>
        <w:kinsoku w:val="0"/>
        <w:overflowPunct w:val="0"/>
        <w:spacing w:before="1"/>
        <w:rPr>
          <w:rFonts w:ascii="Verdana" w:hAnsi="Verdana" w:cs="Verdana"/>
          <w:sz w:val="19"/>
          <w:szCs w:val="19"/>
        </w:rPr>
      </w:pPr>
    </w:p>
    <w:p w:rsidR="002C5025" w:rsidRDefault="002C5025">
      <w:pPr>
        <w:pStyle w:val="BodyText"/>
        <w:kinsoku w:val="0"/>
        <w:overflowPunct w:val="0"/>
        <w:ind w:left="119" w:right="96"/>
        <w:rPr>
          <w:rFonts w:ascii="Verdana" w:hAnsi="Verdana" w:cs="Verdana"/>
          <w:sz w:val="19"/>
          <w:szCs w:val="19"/>
        </w:rPr>
      </w:pPr>
      <w:r>
        <w:rPr>
          <w:rFonts w:ascii="Verdana" w:hAnsi="Verdana" w:cs="Verdana"/>
          <w:sz w:val="19"/>
          <w:szCs w:val="19"/>
        </w:rPr>
        <w:t>Again, we appreciate the work of the Department and believe it to be an appropriate step in serving some of our most vulnerable people. The Alliance looks forward to working with the Department in defining the incentives and processes for the inclusion of social services in this effort.</w:t>
      </w:r>
    </w:p>
    <w:p w:rsidR="002C5025" w:rsidRDefault="002C5025">
      <w:pPr>
        <w:pStyle w:val="BodyText"/>
        <w:kinsoku w:val="0"/>
        <w:overflowPunct w:val="0"/>
        <w:spacing w:before="1"/>
        <w:rPr>
          <w:rFonts w:ascii="Verdana" w:hAnsi="Verdana" w:cs="Verdana"/>
          <w:sz w:val="19"/>
          <w:szCs w:val="19"/>
        </w:rPr>
      </w:pPr>
    </w:p>
    <w:p w:rsidR="002C5025" w:rsidRDefault="002C5025">
      <w:pPr>
        <w:pStyle w:val="BodyText"/>
        <w:kinsoku w:val="0"/>
        <w:overflowPunct w:val="0"/>
        <w:ind w:left="119" w:right="443"/>
        <w:rPr>
          <w:rFonts w:ascii="Verdana" w:hAnsi="Verdana" w:cs="Verdana"/>
          <w:sz w:val="19"/>
          <w:szCs w:val="19"/>
        </w:rPr>
      </w:pPr>
      <w:r>
        <w:rPr>
          <w:rFonts w:ascii="Verdana" w:hAnsi="Verdana" w:cs="Verdana"/>
          <w:sz w:val="19"/>
          <w:szCs w:val="19"/>
        </w:rPr>
        <w:t>Sincerely,</w:t>
      </w:r>
    </w:p>
    <w:p w:rsidR="002C5025" w:rsidRDefault="002C5025">
      <w:pPr>
        <w:pStyle w:val="BodyText"/>
        <w:kinsoku w:val="0"/>
        <w:overflowPunct w:val="0"/>
        <w:spacing w:before="11"/>
        <w:rPr>
          <w:rFonts w:ascii="Verdana" w:hAnsi="Verdana" w:cs="Verdana"/>
          <w:sz w:val="18"/>
          <w:szCs w:val="18"/>
        </w:rPr>
      </w:pPr>
    </w:p>
    <w:p w:rsidR="002C5025" w:rsidRDefault="002C5025">
      <w:pPr>
        <w:pStyle w:val="BodyText"/>
        <w:kinsoku w:val="0"/>
        <w:overflowPunct w:val="0"/>
        <w:ind w:left="119" w:right="443"/>
        <w:rPr>
          <w:rFonts w:ascii="Verdana" w:hAnsi="Verdana" w:cs="Verdana"/>
          <w:sz w:val="19"/>
          <w:szCs w:val="19"/>
        </w:rPr>
      </w:pPr>
      <w:r>
        <w:rPr>
          <w:rFonts w:ascii="Verdana" w:hAnsi="Verdana" w:cs="Verdana"/>
          <w:sz w:val="19"/>
          <w:szCs w:val="19"/>
        </w:rPr>
        <w:t xml:space="preserve">Peter R. </w:t>
      </w:r>
      <w:proofErr w:type="spellStart"/>
      <w:r>
        <w:rPr>
          <w:rFonts w:ascii="Verdana" w:hAnsi="Verdana" w:cs="Verdana"/>
          <w:sz w:val="19"/>
          <w:szCs w:val="19"/>
        </w:rPr>
        <w:t>Doliber</w:t>
      </w:r>
      <w:proofErr w:type="spellEnd"/>
    </w:p>
    <w:p w:rsidR="002C5025" w:rsidRDefault="002C5025">
      <w:pPr>
        <w:pStyle w:val="BodyText"/>
        <w:kinsoku w:val="0"/>
        <w:overflowPunct w:val="0"/>
        <w:rPr>
          <w:rFonts w:ascii="Verdana" w:hAnsi="Verdana" w:cs="Verdana"/>
          <w:sz w:val="18"/>
          <w:szCs w:val="18"/>
        </w:rPr>
      </w:pPr>
    </w:p>
    <w:p w:rsidR="002C5025" w:rsidRDefault="002C5025">
      <w:pPr>
        <w:pStyle w:val="BodyText"/>
        <w:kinsoku w:val="0"/>
        <w:overflowPunct w:val="0"/>
        <w:rPr>
          <w:rFonts w:ascii="Verdana" w:hAnsi="Verdana" w:cs="Verdana"/>
          <w:sz w:val="18"/>
          <w:szCs w:val="18"/>
        </w:rPr>
      </w:pPr>
    </w:p>
    <w:p w:rsidR="002C5025" w:rsidRDefault="002C5025">
      <w:pPr>
        <w:pStyle w:val="BodyText"/>
        <w:kinsoku w:val="0"/>
        <w:overflowPunct w:val="0"/>
        <w:spacing w:before="122"/>
        <w:ind w:left="120" w:right="443"/>
        <w:rPr>
          <w:rFonts w:ascii="Times New Roman" w:hAnsi="Times New Roman" w:cs="Times New Roman"/>
          <w:sz w:val="24"/>
          <w:szCs w:val="24"/>
        </w:rPr>
      </w:pPr>
      <w:r>
        <w:rPr>
          <w:rFonts w:ascii="Times New Roman" w:hAnsi="Times New Roman" w:cs="Times New Roman"/>
          <w:sz w:val="24"/>
          <w:szCs w:val="24"/>
        </w:rPr>
        <w:t>--</w:t>
      </w:r>
    </w:p>
    <w:p w:rsidR="002C5025" w:rsidRDefault="002C5025">
      <w:pPr>
        <w:pStyle w:val="BodyText"/>
        <w:kinsoku w:val="0"/>
        <w:overflowPunct w:val="0"/>
        <w:spacing w:before="6"/>
        <w:ind w:left="120" w:right="443"/>
        <w:rPr>
          <w:rFonts w:ascii="Verdana" w:hAnsi="Verdana" w:cs="Verdana"/>
          <w:b/>
          <w:bCs/>
          <w:sz w:val="24"/>
          <w:szCs w:val="24"/>
        </w:rPr>
      </w:pPr>
      <w:r>
        <w:rPr>
          <w:rFonts w:ascii="Verdana" w:hAnsi="Verdana" w:cs="Verdana"/>
          <w:b/>
          <w:bCs/>
          <w:sz w:val="24"/>
          <w:szCs w:val="24"/>
        </w:rPr>
        <w:t xml:space="preserve">Peter R. </w:t>
      </w:r>
      <w:proofErr w:type="spellStart"/>
      <w:r>
        <w:rPr>
          <w:rFonts w:ascii="Verdana" w:hAnsi="Verdana" w:cs="Verdana"/>
          <w:b/>
          <w:bCs/>
          <w:sz w:val="24"/>
          <w:szCs w:val="24"/>
        </w:rPr>
        <w:t>Doliber</w:t>
      </w:r>
      <w:proofErr w:type="spellEnd"/>
      <w:r>
        <w:rPr>
          <w:rFonts w:ascii="Verdana" w:hAnsi="Verdana" w:cs="Verdana"/>
          <w:b/>
          <w:bCs/>
          <w:sz w:val="24"/>
          <w:szCs w:val="24"/>
        </w:rPr>
        <w:t>, MHSA, MPH</w:t>
      </w:r>
    </w:p>
    <w:p w:rsidR="002C5025" w:rsidRDefault="002C5025">
      <w:pPr>
        <w:pStyle w:val="BodyText"/>
        <w:kinsoku w:val="0"/>
        <w:overflowPunct w:val="0"/>
        <w:spacing w:before="9"/>
        <w:rPr>
          <w:rFonts w:ascii="Verdana" w:hAnsi="Verdana" w:cs="Verdana"/>
          <w:b/>
          <w:bCs/>
        </w:rPr>
      </w:pPr>
    </w:p>
    <w:p w:rsidR="002C5025" w:rsidRDefault="002C5025">
      <w:pPr>
        <w:pStyle w:val="BodyText"/>
        <w:kinsoku w:val="0"/>
        <w:overflowPunct w:val="0"/>
        <w:ind w:left="120" w:right="443"/>
        <w:rPr>
          <w:rFonts w:ascii="Verdana" w:hAnsi="Verdana" w:cs="Verdana"/>
          <w:b/>
          <w:bCs/>
          <w:sz w:val="20"/>
          <w:szCs w:val="20"/>
        </w:rPr>
      </w:pPr>
      <w:r>
        <w:rPr>
          <w:rFonts w:ascii="Verdana" w:hAnsi="Verdana" w:cs="Verdana"/>
          <w:b/>
          <w:bCs/>
          <w:sz w:val="20"/>
          <w:szCs w:val="20"/>
        </w:rPr>
        <w:t>Executive Director</w:t>
      </w:r>
    </w:p>
    <w:p w:rsidR="002C5025" w:rsidRDefault="002C5025">
      <w:pPr>
        <w:pStyle w:val="BodyText"/>
        <w:kinsoku w:val="0"/>
        <w:overflowPunct w:val="0"/>
        <w:spacing w:before="1"/>
        <w:ind w:left="120" w:right="6054"/>
        <w:rPr>
          <w:rFonts w:ascii="Verdana" w:hAnsi="Verdana" w:cs="Verdana"/>
          <w:sz w:val="20"/>
          <w:szCs w:val="20"/>
        </w:rPr>
      </w:pPr>
      <w:r>
        <w:rPr>
          <w:rFonts w:ascii="Verdana" w:hAnsi="Verdana" w:cs="Verdana"/>
          <w:sz w:val="20"/>
          <w:szCs w:val="20"/>
        </w:rPr>
        <w:t>Alliance of Massachusetts YMCAs 14 Beacon Street</w:t>
      </w:r>
    </w:p>
    <w:p w:rsidR="002C5025" w:rsidRDefault="002C5025">
      <w:pPr>
        <w:pStyle w:val="BodyText"/>
        <w:kinsoku w:val="0"/>
        <w:overflowPunct w:val="0"/>
        <w:spacing w:line="242" w:lineRule="exact"/>
        <w:ind w:left="120" w:right="443"/>
        <w:rPr>
          <w:rFonts w:ascii="Verdana" w:hAnsi="Verdana" w:cs="Verdana"/>
          <w:sz w:val="20"/>
          <w:szCs w:val="20"/>
        </w:rPr>
      </w:pPr>
      <w:r>
        <w:rPr>
          <w:rFonts w:ascii="Verdana" w:hAnsi="Verdana" w:cs="Verdana"/>
          <w:sz w:val="20"/>
          <w:szCs w:val="20"/>
        </w:rPr>
        <w:t>Suite 803</w:t>
      </w:r>
    </w:p>
    <w:p w:rsidR="002C5025" w:rsidRDefault="002C5025">
      <w:pPr>
        <w:pStyle w:val="BodyText"/>
        <w:kinsoku w:val="0"/>
        <w:overflowPunct w:val="0"/>
        <w:spacing w:before="1" w:line="243" w:lineRule="exact"/>
        <w:ind w:left="120" w:right="443"/>
        <w:rPr>
          <w:rFonts w:ascii="Verdana" w:hAnsi="Verdana" w:cs="Verdana"/>
          <w:sz w:val="20"/>
          <w:szCs w:val="20"/>
        </w:rPr>
      </w:pPr>
      <w:r>
        <w:rPr>
          <w:rFonts w:ascii="Verdana" w:hAnsi="Verdana" w:cs="Verdana"/>
          <w:sz w:val="20"/>
          <w:szCs w:val="20"/>
        </w:rPr>
        <w:t>Boston, MA 02108</w:t>
      </w:r>
    </w:p>
    <w:p w:rsidR="002C5025" w:rsidRDefault="002C5025">
      <w:pPr>
        <w:pStyle w:val="BodyText"/>
        <w:kinsoku w:val="0"/>
        <w:overflowPunct w:val="0"/>
        <w:spacing w:line="239" w:lineRule="exact"/>
        <w:ind w:left="120" w:right="443"/>
        <w:rPr>
          <w:rFonts w:ascii="Verdana" w:hAnsi="Verdana" w:cs="Verdana"/>
          <w:sz w:val="20"/>
          <w:szCs w:val="20"/>
        </w:rPr>
      </w:pPr>
      <w:r>
        <w:rPr>
          <w:rFonts w:ascii="Verdana" w:hAnsi="Verdana" w:cs="Verdana"/>
          <w:sz w:val="20"/>
          <w:szCs w:val="20"/>
        </w:rPr>
        <w:t>(M) (978) 237-2633</w:t>
      </w:r>
    </w:p>
    <w:p w:rsidR="002C5025" w:rsidRDefault="002C5025">
      <w:pPr>
        <w:pStyle w:val="BodyText"/>
        <w:kinsoku w:val="0"/>
        <w:overflowPunct w:val="0"/>
        <w:spacing w:line="290" w:lineRule="exact"/>
        <w:ind w:left="120" w:right="443"/>
        <w:rPr>
          <w:rFonts w:ascii="Verdana" w:hAnsi="Verdana" w:cs="Verdana"/>
          <w:sz w:val="24"/>
          <w:szCs w:val="24"/>
        </w:rPr>
      </w:pPr>
      <w:r>
        <w:rPr>
          <w:rFonts w:ascii="Verdana" w:hAnsi="Verdana" w:cs="Verdana"/>
          <w:sz w:val="20"/>
          <w:szCs w:val="20"/>
        </w:rPr>
        <w:t xml:space="preserve">(F) </w:t>
      </w:r>
      <w:r>
        <w:rPr>
          <w:rFonts w:ascii="Times New Roman" w:hAnsi="Times New Roman" w:cs="Times New Roman"/>
          <w:sz w:val="24"/>
          <w:szCs w:val="24"/>
        </w:rPr>
        <w:t>(</w:t>
      </w:r>
      <w:r>
        <w:rPr>
          <w:rFonts w:ascii="Verdana" w:hAnsi="Verdana" w:cs="Verdana"/>
          <w:sz w:val="24"/>
          <w:szCs w:val="24"/>
        </w:rPr>
        <w:t>617) 848 3798</w:t>
      </w:r>
    </w:p>
    <w:p w:rsidR="002C5025" w:rsidRDefault="00FD19EE">
      <w:pPr>
        <w:pStyle w:val="ListParagraph"/>
        <w:numPr>
          <w:ilvl w:val="0"/>
          <w:numId w:val="90"/>
        </w:numPr>
        <w:tabs>
          <w:tab w:val="left" w:pos="497"/>
        </w:tabs>
        <w:kinsoku w:val="0"/>
        <w:overflowPunct w:val="0"/>
        <w:spacing w:before="6"/>
        <w:ind w:hanging="376"/>
        <w:rPr>
          <w:rFonts w:ascii="Verdana" w:hAnsi="Verdana" w:cs="Verdana"/>
          <w:color w:val="0000FF"/>
          <w:sz w:val="20"/>
          <w:szCs w:val="20"/>
        </w:rPr>
      </w:pPr>
      <w:hyperlink r:id="rId110" w:history="1">
        <w:r w:rsidR="002C5025">
          <w:rPr>
            <w:rFonts w:ascii="Verdana" w:hAnsi="Verdana" w:cs="Verdana"/>
            <w:color w:val="0000FF"/>
            <w:sz w:val="20"/>
            <w:szCs w:val="20"/>
            <w:u w:val="single"/>
          </w:rPr>
          <w:t xml:space="preserve">peter.doliber@maymca.com </w:t>
        </w:r>
      </w:hyperlink>
      <w:r w:rsidR="002C5025">
        <w:rPr>
          <w:rFonts w:ascii="Verdana" w:hAnsi="Verdana" w:cs="Verdana"/>
          <w:color w:val="000000"/>
          <w:sz w:val="20"/>
          <w:szCs w:val="20"/>
        </w:rPr>
        <w:t>(W)</w:t>
      </w:r>
      <w:r w:rsidR="002C5025">
        <w:rPr>
          <w:rFonts w:ascii="Verdana" w:hAnsi="Verdana" w:cs="Verdana"/>
          <w:color w:val="000000"/>
          <w:spacing w:val="-19"/>
          <w:sz w:val="20"/>
          <w:szCs w:val="20"/>
        </w:rPr>
        <w:t xml:space="preserve"> </w:t>
      </w:r>
      <w:hyperlink r:id="rId111" w:history="1">
        <w:r w:rsidR="002C5025">
          <w:rPr>
            <w:rFonts w:ascii="Verdana" w:hAnsi="Verdana" w:cs="Verdana"/>
            <w:color w:val="0000FF"/>
            <w:sz w:val="20"/>
            <w:szCs w:val="20"/>
            <w:u w:val="single"/>
          </w:rPr>
          <w:t>www.maymca.com</w:t>
        </w:r>
      </w:hyperlink>
    </w:p>
    <w:p w:rsidR="002C5025" w:rsidRDefault="002C5025">
      <w:pPr>
        <w:pStyle w:val="BodyText"/>
        <w:kinsoku w:val="0"/>
        <w:overflowPunct w:val="0"/>
        <w:spacing w:before="7"/>
        <w:rPr>
          <w:rFonts w:ascii="Verdana" w:hAnsi="Verdana" w:cs="Verdana"/>
          <w:sz w:val="17"/>
          <w:szCs w:val="17"/>
        </w:rPr>
      </w:pPr>
    </w:p>
    <w:p w:rsidR="002C5025" w:rsidRDefault="002C5025">
      <w:pPr>
        <w:pStyle w:val="BodyText"/>
        <w:kinsoku w:val="0"/>
        <w:overflowPunct w:val="0"/>
        <w:spacing w:before="64"/>
        <w:ind w:left="120" w:right="443"/>
        <w:rPr>
          <w:rFonts w:ascii="Verdana" w:hAnsi="Verdana" w:cs="Verdana"/>
          <w:b/>
          <w:bCs/>
          <w:sz w:val="20"/>
          <w:szCs w:val="20"/>
        </w:rPr>
      </w:pPr>
      <w:r>
        <w:rPr>
          <w:rFonts w:ascii="Verdana" w:hAnsi="Verdana" w:cs="Verdana"/>
          <w:b/>
          <w:bCs/>
          <w:sz w:val="20"/>
          <w:szCs w:val="20"/>
        </w:rPr>
        <w:t>The Y: We’re for youth development, healthy living and social responsibility.</w:t>
      </w:r>
    </w:p>
    <w:p w:rsidR="002C5025" w:rsidRDefault="002C5025">
      <w:pPr>
        <w:pStyle w:val="BodyText"/>
        <w:kinsoku w:val="0"/>
        <w:overflowPunct w:val="0"/>
        <w:spacing w:before="64"/>
        <w:ind w:left="120" w:right="443"/>
        <w:rPr>
          <w:rFonts w:ascii="Verdana" w:hAnsi="Verdana" w:cs="Verdana"/>
          <w:b/>
          <w:bCs/>
          <w:sz w:val="20"/>
          <w:szCs w:val="20"/>
        </w:rPr>
        <w:sectPr w:rsidR="002C5025">
          <w:pgSz w:w="12240" w:h="15840"/>
          <w:pgMar w:top="1400" w:right="1420" w:bottom="280" w:left="1320" w:header="720" w:footer="720" w:gutter="0"/>
          <w:cols w:space="720" w:equalWidth="0">
            <w:col w:w="9500"/>
          </w:cols>
          <w:noEndnote/>
        </w:sectPr>
      </w:pPr>
    </w:p>
    <w:p w:rsidR="002C5025" w:rsidRDefault="00FB027C">
      <w:pPr>
        <w:pStyle w:val="BodyText"/>
        <w:kinsoku w:val="0"/>
        <w:overflowPunct w:val="0"/>
        <w:ind w:left="2"/>
        <w:rPr>
          <w:rFonts w:ascii="Verdana" w:hAnsi="Verdana" w:cs="Verdana"/>
          <w:sz w:val="20"/>
          <w:szCs w:val="20"/>
        </w:rPr>
      </w:pPr>
      <w:r>
        <w:rPr>
          <w:rFonts w:ascii="Verdana" w:hAnsi="Verdana" w:cs="Verdana"/>
          <w:noProof/>
          <w:sz w:val="20"/>
          <w:szCs w:val="20"/>
        </w:rPr>
        <w:lastRenderedPageBreak/>
        <w:drawing>
          <wp:inline distT="0" distB="0" distL="0" distR="0">
            <wp:extent cx="7591425" cy="2009775"/>
            <wp:effectExtent l="0" t="0" r="9525"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7591425" cy="2009775"/>
                    </a:xfrm>
                    <a:prstGeom prst="rect">
                      <a:avLst/>
                    </a:prstGeom>
                    <a:noFill/>
                    <a:ln>
                      <a:noFill/>
                    </a:ln>
                  </pic:spPr>
                </pic:pic>
              </a:graphicData>
            </a:graphic>
          </wp:inline>
        </w:drawing>
      </w:r>
    </w:p>
    <w:p w:rsidR="002C5025" w:rsidRDefault="002C5025">
      <w:pPr>
        <w:pStyle w:val="BodyText"/>
        <w:kinsoku w:val="0"/>
        <w:overflowPunct w:val="0"/>
        <w:spacing w:before="8"/>
        <w:rPr>
          <w:rFonts w:ascii="Verdana" w:hAnsi="Verdana" w:cs="Verdana"/>
          <w:b/>
          <w:bCs/>
          <w:sz w:val="11"/>
          <w:szCs w:val="11"/>
        </w:rPr>
      </w:pPr>
    </w:p>
    <w:p w:rsidR="002C5025" w:rsidRDefault="002C5025">
      <w:pPr>
        <w:pStyle w:val="BodyText"/>
        <w:kinsoku w:val="0"/>
        <w:overflowPunct w:val="0"/>
        <w:spacing w:before="72"/>
        <w:ind w:left="1353"/>
        <w:jc w:val="both"/>
        <w:rPr>
          <w:rFonts w:ascii="Arial" w:hAnsi="Arial" w:cs="Arial"/>
        </w:rPr>
      </w:pPr>
      <w:bookmarkStart w:id="36" w:name="ABH_Comments_on_MassHealth_Section_1115_"/>
      <w:bookmarkEnd w:id="36"/>
      <w:r>
        <w:rPr>
          <w:rFonts w:ascii="Arial" w:hAnsi="Arial" w:cs="Arial"/>
        </w:rPr>
        <w:t>July 12, 2016</w:t>
      </w:r>
    </w:p>
    <w:p w:rsidR="002C5025" w:rsidRDefault="002C5025">
      <w:pPr>
        <w:pStyle w:val="BodyText"/>
        <w:kinsoku w:val="0"/>
        <w:overflowPunct w:val="0"/>
        <w:spacing w:before="9"/>
        <w:rPr>
          <w:rFonts w:ascii="Arial" w:hAnsi="Arial" w:cs="Arial"/>
          <w:sz w:val="21"/>
          <w:szCs w:val="21"/>
        </w:rPr>
      </w:pPr>
    </w:p>
    <w:p w:rsidR="002C5025" w:rsidRDefault="002C5025">
      <w:pPr>
        <w:pStyle w:val="BodyText"/>
        <w:kinsoku w:val="0"/>
        <w:overflowPunct w:val="0"/>
        <w:ind w:left="1353" w:right="6066" w:hanging="1"/>
        <w:jc w:val="both"/>
        <w:rPr>
          <w:rFonts w:ascii="Arial" w:hAnsi="Arial" w:cs="Arial"/>
          <w:color w:val="1C1C1C"/>
        </w:rPr>
      </w:pPr>
      <w:r>
        <w:rPr>
          <w:rFonts w:ascii="Arial" w:hAnsi="Arial" w:cs="Arial"/>
        </w:rPr>
        <w:t xml:space="preserve">Daniel Tsai, Assistant Secretary for MassHealth </w:t>
      </w:r>
      <w:r>
        <w:rPr>
          <w:rFonts w:ascii="Arial" w:hAnsi="Arial" w:cs="Arial"/>
          <w:color w:val="1C1C1C"/>
        </w:rPr>
        <w:t>Executive Office of Health and Human Services Office of Medicaid</w:t>
      </w:r>
    </w:p>
    <w:p w:rsidR="002C5025" w:rsidRDefault="002C5025">
      <w:pPr>
        <w:pStyle w:val="BodyText"/>
        <w:kinsoku w:val="0"/>
        <w:overflowPunct w:val="0"/>
        <w:spacing w:before="1"/>
        <w:ind w:left="1353" w:right="7502"/>
        <w:rPr>
          <w:rFonts w:ascii="Arial" w:hAnsi="Arial" w:cs="Arial"/>
          <w:color w:val="1C1C1C"/>
        </w:rPr>
      </w:pPr>
      <w:r>
        <w:rPr>
          <w:rFonts w:ascii="Arial" w:hAnsi="Arial" w:cs="Arial"/>
          <w:color w:val="1C1C1C"/>
        </w:rPr>
        <w:t>One Ashburton Place, 11th Floor Boston, MA 02108</w:t>
      </w:r>
    </w:p>
    <w:p w:rsidR="002C5025" w:rsidRDefault="002C5025">
      <w:pPr>
        <w:pStyle w:val="BodyText"/>
        <w:kinsoku w:val="0"/>
        <w:overflowPunct w:val="0"/>
        <w:spacing w:before="9"/>
        <w:rPr>
          <w:rFonts w:ascii="Arial" w:hAnsi="Arial" w:cs="Arial"/>
          <w:sz w:val="21"/>
          <w:szCs w:val="21"/>
        </w:rPr>
      </w:pPr>
    </w:p>
    <w:p w:rsidR="002C5025" w:rsidRDefault="002C5025">
      <w:pPr>
        <w:pStyle w:val="BodyText"/>
        <w:kinsoku w:val="0"/>
        <w:overflowPunct w:val="0"/>
        <w:ind w:left="1353"/>
        <w:jc w:val="both"/>
        <w:rPr>
          <w:rFonts w:ascii="Arial" w:hAnsi="Arial" w:cs="Arial"/>
          <w:b/>
          <w:bCs/>
          <w:color w:val="1C1C1C"/>
        </w:rPr>
      </w:pPr>
      <w:r>
        <w:rPr>
          <w:rFonts w:ascii="Arial" w:hAnsi="Arial" w:cs="Arial"/>
          <w:b/>
          <w:bCs/>
          <w:color w:val="1C1C1C"/>
        </w:rPr>
        <w:t>Attn: 1115 Demonstration Comments</w:t>
      </w:r>
    </w:p>
    <w:p w:rsidR="002C5025" w:rsidRDefault="002C5025">
      <w:pPr>
        <w:pStyle w:val="BodyText"/>
        <w:kinsoku w:val="0"/>
        <w:overflowPunct w:val="0"/>
        <w:spacing w:before="2"/>
        <w:rPr>
          <w:rFonts w:ascii="Arial" w:hAnsi="Arial" w:cs="Arial"/>
          <w:b/>
          <w:bCs/>
        </w:rPr>
      </w:pPr>
    </w:p>
    <w:p w:rsidR="002C5025" w:rsidRDefault="002C5025">
      <w:pPr>
        <w:pStyle w:val="BodyText"/>
        <w:kinsoku w:val="0"/>
        <w:overflowPunct w:val="0"/>
        <w:spacing w:before="1"/>
        <w:ind w:left="1353"/>
        <w:jc w:val="both"/>
        <w:rPr>
          <w:rFonts w:ascii="Arial" w:hAnsi="Arial" w:cs="Arial"/>
        </w:rPr>
      </w:pPr>
      <w:r>
        <w:rPr>
          <w:rFonts w:ascii="Arial" w:hAnsi="Arial" w:cs="Arial"/>
        </w:rPr>
        <w:t>Dear Assistant Secretary Tsai:</w:t>
      </w:r>
    </w:p>
    <w:p w:rsidR="002C5025" w:rsidRDefault="002C5025">
      <w:pPr>
        <w:pStyle w:val="BodyText"/>
        <w:kinsoku w:val="0"/>
        <w:overflowPunct w:val="0"/>
        <w:spacing w:before="9"/>
        <w:rPr>
          <w:rFonts w:ascii="Arial" w:hAnsi="Arial" w:cs="Arial"/>
          <w:sz w:val="21"/>
          <w:szCs w:val="21"/>
        </w:rPr>
      </w:pPr>
    </w:p>
    <w:p w:rsidR="002C5025" w:rsidRDefault="002C5025">
      <w:pPr>
        <w:pStyle w:val="BodyText"/>
        <w:kinsoku w:val="0"/>
        <w:overflowPunct w:val="0"/>
        <w:ind w:left="1353" w:right="1192"/>
        <w:jc w:val="both"/>
        <w:rPr>
          <w:rFonts w:ascii="Arial" w:hAnsi="Arial" w:cs="Arial"/>
        </w:rPr>
      </w:pPr>
      <w:r>
        <w:rPr>
          <w:rFonts w:ascii="Arial" w:hAnsi="Arial" w:cs="Arial"/>
        </w:rPr>
        <w:t>As you know, the Association for Behavioral Healthcare (ABH) is a statewide association representing more than eighty community-based mental health and addiction treatment provider organizations. Our members are the primary providers of publicly-funded behavioral healthcare services in the Commonwealth, serving approximately 81,000 Massachusetts residents daily, 1.5 million residents annually, and employing over 46,500 people.</w:t>
      </w:r>
    </w:p>
    <w:p w:rsidR="002C5025" w:rsidRDefault="002C5025">
      <w:pPr>
        <w:pStyle w:val="BodyText"/>
        <w:kinsoku w:val="0"/>
        <w:overflowPunct w:val="0"/>
        <w:rPr>
          <w:rFonts w:ascii="Arial" w:hAnsi="Arial" w:cs="Arial"/>
        </w:rPr>
      </w:pPr>
    </w:p>
    <w:p w:rsidR="002C5025" w:rsidRDefault="002C5025">
      <w:pPr>
        <w:pStyle w:val="BodyText"/>
        <w:kinsoku w:val="0"/>
        <w:overflowPunct w:val="0"/>
        <w:ind w:left="1352" w:right="1191"/>
        <w:jc w:val="both"/>
        <w:rPr>
          <w:rFonts w:ascii="Arial" w:hAnsi="Arial" w:cs="Arial"/>
        </w:rPr>
      </w:pPr>
      <w:r>
        <w:rPr>
          <w:rFonts w:ascii="Arial" w:hAnsi="Arial" w:cs="Arial"/>
        </w:rPr>
        <w:t>On behalf of our membership, ABH thanks the Baker Administration, the Executive Office of Health and Human Services, and MassHealth for a proposal that recognizes the need for better care integration among physical health, behavioral health, long-term services and supports and health-related social services and includes significant design elements to move toward this goal.</w:t>
      </w:r>
    </w:p>
    <w:p w:rsidR="002C5025" w:rsidRDefault="002C5025">
      <w:pPr>
        <w:pStyle w:val="BodyText"/>
        <w:kinsoku w:val="0"/>
        <w:overflowPunct w:val="0"/>
        <w:rPr>
          <w:rFonts w:ascii="Arial" w:hAnsi="Arial" w:cs="Arial"/>
        </w:rPr>
      </w:pPr>
    </w:p>
    <w:p w:rsidR="002C5025" w:rsidRDefault="002C5025">
      <w:pPr>
        <w:pStyle w:val="BodyText"/>
        <w:kinsoku w:val="0"/>
        <w:overflowPunct w:val="0"/>
        <w:ind w:left="1352" w:right="1191"/>
        <w:jc w:val="both"/>
        <w:rPr>
          <w:rFonts w:ascii="Arial" w:hAnsi="Arial" w:cs="Arial"/>
        </w:rPr>
      </w:pPr>
      <w:r>
        <w:rPr>
          <w:rFonts w:ascii="Arial" w:hAnsi="Arial" w:cs="Arial"/>
        </w:rPr>
        <w:t>ABH offers comment on many elements of the Request for Amendment and Extension of the Commonwealth’s Section 1115 Demonstration.  Many of our comments focus on the following:</w:t>
      </w:r>
    </w:p>
    <w:p w:rsidR="002C5025" w:rsidRDefault="002C5025">
      <w:pPr>
        <w:pStyle w:val="BodyText"/>
        <w:kinsoku w:val="0"/>
        <w:overflowPunct w:val="0"/>
        <w:spacing w:before="9"/>
        <w:rPr>
          <w:rFonts w:ascii="Arial" w:hAnsi="Arial" w:cs="Arial"/>
          <w:sz w:val="21"/>
          <w:szCs w:val="21"/>
        </w:rPr>
      </w:pPr>
    </w:p>
    <w:p w:rsidR="002C5025" w:rsidRDefault="002C5025">
      <w:pPr>
        <w:pStyle w:val="ListParagraph"/>
        <w:numPr>
          <w:ilvl w:val="1"/>
          <w:numId w:val="90"/>
        </w:numPr>
        <w:tabs>
          <w:tab w:val="left" w:pos="2073"/>
        </w:tabs>
        <w:kinsoku w:val="0"/>
        <w:overflowPunct w:val="0"/>
        <w:ind w:right="1193" w:hanging="360"/>
        <w:jc w:val="both"/>
        <w:rPr>
          <w:rFonts w:ascii="Arial" w:hAnsi="Arial" w:cs="Arial"/>
          <w:sz w:val="22"/>
          <w:szCs w:val="22"/>
        </w:rPr>
      </w:pPr>
      <w:r>
        <w:rPr>
          <w:rFonts w:ascii="Arial" w:hAnsi="Arial" w:cs="Arial"/>
          <w:b/>
          <w:bCs/>
          <w:sz w:val="22"/>
          <w:szCs w:val="22"/>
        </w:rPr>
        <w:t>Community Partners</w:t>
      </w:r>
      <w:r>
        <w:rPr>
          <w:rFonts w:ascii="Arial" w:hAnsi="Arial" w:cs="Arial"/>
          <w:sz w:val="22"/>
          <w:szCs w:val="22"/>
        </w:rPr>
        <w:t>. ABH strongly endorses the Behavioral Health Community Partner (BH CPs) concept. We offer additional comment on the need for a “high bar” for certification with a strong focus on community connectedness and population expertise and we reiterate the importance of direct member assignment to</w:t>
      </w:r>
      <w:r>
        <w:rPr>
          <w:rFonts w:ascii="Arial" w:hAnsi="Arial" w:cs="Arial"/>
          <w:spacing w:val="-30"/>
          <w:sz w:val="22"/>
          <w:szCs w:val="22"/>
        </w:rPr>
        <w:t xml:space="preserve"> </w:t>
      </w:r>
      <w:r>
        <w:rPr>
          <w:rFonts w:ascii="Arial" w:hAnsi="Arial" w:cs="Arial"/>
          <w:sz w:val="22"/>
          <w:szCs w:val="22"/>
        </w:rPr>
        <w:t>CPs.</w:t>
      </w:r>
    </w:p>
    <w:p w:rsidR="002C5025" w:rsidRDefault="002C5025">
      <w:pPr>
        <w:pStyle w:val="ListParagraph"/>
        <w:numPr>
          <w:ilvl w:val="1"/>
          <w:numId w:val="90"/>
        </w:numPr>
        <w:tabs>
          <w:tab w:val="left" w:pos="2073"/>
        </w:tabs>
        <w:kinsoku w:val="0"/>
        <w:overflowPunct w:val="0"/>
        <w:spacing w:before="195"/>
        <w:ind w:right="1193" w:hanging="360"/>
        <w:jc w:val="both"/>
        <w:rPr>
          <w:rFonts w:ascii="Arial" w:hAnsi="Arial" w:cs="Arial"/>
          <w:sz w:val="22"/>
          <w:szCs w:val="22"/>
        </w:rPr>
      </w:pPr>
      <w:r>
        <w:rPr>
          <w:rFonts w:ascii="Arial" w:hAnsi="Arial" w:cs="Arial"/>
          <w:b/>
          <w:bCs/>
          <w:sz w:val="22"/>
          <w:szCs w:val="22"/>
        </w:rPr>
        <w:t>Community Expertise</w:t>
      </w:r>
      <w:r>
        <w:rPr>
          <w:rFonts w:ascii="Arial" w:hAnsi="Arial" w:cs="Arial"/>
          <w:sz w:val="22"/>
          <w:szCs w:val="22"/>
        </w:rPr>
        <w:t>. ABH recommends strengthening the proposal to include requirements and incentives for ACOs to partner with community providers and also recommends that MassHealth increase investments in the current system of community- based</w:t>
      </w:r>
      <w:r>
        <w:rPr>
          <w:rFonts w:ascii="Arial" w:hAnsi="Arial" w:cs="Arial"/>
          <w:spacing w:val="-3"/>
          <w:sz w:val="22"/>
          <w:szCs w:val="22"/>
        </w:rPr>
        <w:t xml:space="preserve"> </w:t>
      </w:r>
      <w:r>
        <w:rPr>
          <w:rFonts w:ascii="Arial" w:hAnsi="Arial" w:cs="Arial"/>
          <w:sz w:val="22"/>
          <w:szCs w:val="22"/>
        </w:rPr>
        <w:t>care;</w:t>
      </w:r>
    </w:p>
    <w:p w:rsidR="002C5025" w:rsidRDefault="002C5025">
      <w:pPr>
        <w:pStyle w:val="ListParagraph"/>
        <w:numPr>
          <w:ilvl w:val="1"/>
          <w:numId w:val="90"/>
        </w:numPr>
        <w:tabs>
          <w:tab w:val="left" w:pos="2073"/>
        </w:tabs>
        <w:kinsoku w:val="0"/>
        <w:overflowPunct w:val="0"/>
        <w:spacing w:before="195"/>
        <w:ind w:right="1193" w:hanging="360"/>
        <w:jc w:val="both"/>
        <w:rPr>
          <w:rFonts w:ascii="Arial" w:hAnsi="Arial" w:cs="Arial"/>
          <w:sz w:val="22"/>
          <w:szCs w:val="22"/>
        </w:rPr>
      </w:pPr>
      <w:r>
        <w:rPr>
          <w:rFonts w:ascii="Arial" w:hAnsi="Arial" w:cs="Arial"/>
          <w:b/>
          <w:bCs/>
          <w:sz w:val="22"/>
          <w:szCs w:val="22"/>
        </w:rPr>
        <w:t>Integration</w:t>
      </w:r>
      <w:r>
        <w:rPr>
          <w:rFonts w:ascii="Arial" w:hAnsi="Arial" w:cs="Arial"/>
          <w:sz w:val="22"/>
          <w:szCs w:val="22"/>
        </w:rPr>
        <w:t>. ABH recommends inclusion of behavioral health representation on ACO governing structures to help promote care integration at both institutional and practice levels;</w:t>
      </w:r>
      <w:r>
        <w:rPr>
          <w:rFonts w:ascii="Arial" w:hAnsi="Arial" w:cs="Arial"/>
          <w:spacing w:val="-5"/>
          <w:sz w:val="22"/>
          <w:szCs w:val="22"/>
        </w:rPr>
        <w:t xml:space="preserve"> </w:t>
      </w:r>
      <w:r>
        <w:rPr>
          <w:rFonts w:ascii="Arial" w:hAnsi="Arial" w:cs="Arial"/>
          <w:sz w:val="22"/>
          <w:szCs w:val="22"/>
        </w:rPr>
        <w:t>and,</w:t>
      </w:r>
    </w:p>
    <w:p w:rsidR="002C5025" w:rsidRDefault="002C5025">
      <w:pPr>
        <w:pStyle w:val="ListParagraph"/>
        <w:numPr>
          <w:ilvl w:val="1"/>
          <w:numId w:val="90"/>
        </w:numPr>
        <w:tabs>
          <w:tab w:val="left" w:pos="2073"/>
        </w:tabs>
        <w:kinsoku w:val="0"/>
        <w:overflowPunct w:val="0"/>
        <w:spacing w:before="198"/>
        <w:ind w:right="1197" w:hanging="360"/>
        <w:jc w:val="both"/>
        <w:rPr>
          <w:rFonts w:ascii="Arial" w:hAnsi="Arial" w:cs="Arial"/>
          <w:sz w:val="22"/>
          <w:szCs w:val="22"/>
        </w:rPr>
      </w:pPr>
      <w:r>
        <w:rPr>
          <w:rFonts w:ascii="Arial" w:hAnsi="Arial" w:cs="Arial"/>
          <w:b/>
          <w:bCs/>
          <w:sz w:val="22"/>
          <w:szCs w:val="22"/>
        </w:rPr>
        <w:t>SUD Expansion</w:t>
      </w:r>
      <w:r>
        <w:rPr>
          <w:rFonts w:ascii="Arial" w:hAnsi="Arial" w:cs="Arial"/>
          <w:sz w:val="22"/>
          <w:szCs w:val="22"/>
        </w:rPr>
        <w:t>. ABH strongly endorses the proposed service expansion  and coordinated care framework and applauds the Baker Administration for its leadership in this</w:t>
      </w:r>
      <w:r>
        <w:rPr>
          <w:rFonts w:ascii="Arial" w:hAnsi="Arial" w:cs="Arial"/>
          <w:spacing w:val="-3"/>
          <w:sz w:val="22"/>
          <w:szCs w:val="22"/>
        </w:rPr>
        <w:t xml:space="preserve"> </w:t>
      </w:r>
      <w:r>
        <w:rPr>
          <w:rFonts w:ascii="Arial" w:hAnsi="Arial" w:cs="Arial"/>
          <w:sz w:val="22"/>
          <w:szCs w:val="22"/>
        </w:rPr>
        <w:t>area.</w:t>
      </w: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FB027C">
      <w:pPr>
        <w:pStyle w:val="BodyText"/>
        <w:kinsoku w:val="0"/>
        <w:overflowPunct w:val="0"/>
        <w:rPr>
          <w:rFonts w:ascii="Arial" w:hAnsi="Arial" w:cs="Arial"/>
          <w:sz w:val="20"/>
          <w:szCs w:val="20"/>
        </w:rPr>
      </w:pPr>
      <w:r>
        <w:rPr>
          <w:noProof/>
        </w:rPr>
        <mc:AlternateContent>
          <mc:Choice Requires="wps">
            <w:drawing>
              <wp:anchor distT="0" distB="0" distL="0" distR="0" simplePos="0" relativeHeight="251501056" behindDoc="0" locked="0" layoutInCell="0" allowOverlap="1">
                <wp:simplePos x="0" y="0"/>
                <wp:positionH relativeFrom="page">
                  <wp:posOffset>859790</wp:posOffset>
                </wp:positionH>
                <wp:positionV relativeFrom="paragraph">
                  <wp:posOffset>170815</wp:posOffset>
                </wp:positionV>
                <wp:extent cx="6019800" cy="165100"/>
                <wp:effectExtent l="0" t="0" r="0" b="0"/>
                <wp:wrapTopAndBottom/>
                <wp:docPr id="897"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98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260" w:lineRule="atLeast"/>
                            </w:pPr>
                            <w:r>
                              <w:rPr>
                                <w:noProof/>
                              </w:rPr>
                              <w:drawing>
                                <wp:inline distT="0" distB="0" distL="0" distR="0">
                                  <wp:extent cx="5981700" cy="1714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981700" cy="171450"/>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8" o:spid="_x0000_s1082" style="position:absolute;margin-left:67.7pt;margin-top:13.45pt;width:474pt;height:13pt;z-index:251501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" o:allowincell="f" filled="f" stroked="f">
                <v:textbox inset="0,0,0,0">
                  <w:txbxContent>
                    <w:p w:rsidR="007B2B7B" w:rsidRDefault="007B2B7B">
                      <w:pPr>
                        <w:widowControl/>
                        <w:autoSpaceDE/>
                        <w:autoSpaceDN/>
                        <w:adjustRightInd/>
                        <w:spacing w:line="260" w:lineRule="atLeast"/>
                      </w:pPr>
                      <w:r>
                        <w:rPr>
                          <w:noProof/>
                        </w:rPr>
                        <w:drawing>
                          <wp:inline distT="0" distB="0" distL="0" distR="0">
                            <wp:extent cx="5981700" cy="1714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981700" cy="171450"/>
                                    </a:xfrm>
                                    <a:prstGeom prst="rect">
                                      <a:avLst/>
                                    </a:prstGeom>
                                    <a:noFill/>
                                    <a:ln>
                                      <a:noFill/>
                                    </a:ln>
                                  </pic:spPr>
                                </pic:pic>
                              </a:graphicData>
                            </a:graphic>
                          </wp:inline>
                        </w:drawing>
                      </w:r>
                    </w:p>
                    <w:p w:rsidR="007B2B7B" w:rsidRDefault="007B2B7B"/>
                  </w:txbxContent>
                </v:textbox>
                <w10:wrap type="topAndBottom" anchorx="page"/>
              </v:rect>
            </w:pict>
          </mc:Fallback>
        </mc:AlternateContent>
      </w:r>
    </w:p>
    <w:p w:rsidR="002C5025" w:rsidRDefault="002C5025">
      <w:pPr>
        <w:pStyle w:val="BodyText"/>
        <w:kinsoku w:val="0"/>
        <w:overflowPunct w:val="0"/>
        <w:rPr>
          <w:rFonts w:ascii="Arial" w:hAnsi="Arial" w:cs="Arial"/>
          <w:sz w:val="20"/>
          <w:szCs w:val="20"/>
        </w:rPr>
        <w:sectPr w:rsidR="002C5025">
          <w:pgSz w:w="12240" w:h="15840"/>
          <w:pgMar w:top="140" w:right="160" w:bottom="280" w:left="0" w:header="720" w:footer="720" w:gutter="0"/>
          <w:cols w:space="720" w:equalWidth="0">
            <w:col w:w="12080"/>
          </w:cols>
          <w:noEndnote/>
        </w:sect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9"/>
        <w:rPr>
          <w:rFonts w:ascii="Arial" w:hAnsi="Arial" w:cs="Arial"/>
          <w:sz w:val="18"/>
          <w:szCs w:val="18"/>
        </w:rPr>
      </w:pPr>
    </w:p>
    <w:p w:rsidR="002C5025" w:rsidRDefault="002C5025">
      <w:pPr>
        <w:pStyle w:val="BodyText"/>
        <w:kinsoku w:val="0"/>
        <w:overflowPunct w:val="0"/>
        <w:spacing w:before="73"/>
        <w:ind w:left="113" w:right="112"/>
        <w:jc w:val="both"/>
        <w:rPr>
          <w:rFonts w:ascii="Arial" w:hAnsi="Arial" w:cs="Arial"/>
        </w:rPr>
      </w:pPr>
      <w:r>
        <w:rPr>
          <w:rFonts w:ascii="Arial" w:hAnsi="Arial" w:cs="Arial"/>
        </w:rPr>
        <w:t>The following sections offer recommendations relevant to the Section 1115 amendment and extension request as well as considerations for design and implementation of new care and payment models.  Design and implementation details will be crucial to systems transformation.</w:t>
      </w:r>
    </w:p>
    <w:p w:rsidR="002C5025" w:rsidRDefault="002C5025">
      <w:pPr>
        <w:pStyle w:val="BodyText"/>
        <w:kinsoku w:val="0"/>
        <w:overflowPunct w:val="0"/>
        <w:spacing w:before="10"/>
        <w:rPr>
          <w:rFonts w:ascii="Arial" w:hAnsi="Arial" w:cs="Arial"/>
          <w:sz w:val="21"/>
          <w:szCs w:val="21"/>
        </w:rPr>
      </w:pPr>
    </w:p>
    <w:p w:rsidR="002C5025" w:rsidRDefault="002C5025">
      <w:pPr>
        <w:pStyle w:val="BodyText"/>
        <w:kinsoku w:val="0"/>
        <w:overflowPunct w:val="0"/>
        <w:ind w:left="113"/>
        <w:jc w:val="both"/>
        <w:rPr>
          <w:rFonts w:ascii="Arial" w:hAnsi="Arial" w:cs="Arial"/>
          <w:b/>
          <w:bCs/>
          <w:sz w:val="26"/>
          <w:szCs w:val="26"/>
        </w:rPr>
      </w:pPr>
      <w:r>
        <w:rPr>
          <w:rFonts w:ascii="Arial" w:hAnsi="Arial" w:cs="Arial"/>
          <w:b/>
          <w:bCs/>
          <w:sz w:val="26"/>
          <w:szCs w:val="26"/>
        </w:rPr>
        <w:t>Community Partners</w:t>
      </w:r>
    </w:p>
    <w:p w:rsidR="002C5025" w:rsidRDefault="002C5025">
      <w:pPr>
        <w:pStyle w:val="BodyText"/>
        <w:kinsoku w:val="0"/>
        <w:overflowPunct w:val="0"/>
        <w:spacing w:before="2"/>
        <w:ind w:left="113" w:right="111"/>
        <w:jc w:val="both"/>
        <w:rPr>
          <w:rFonts w:ascii="Arial" w:hAnsi="Arial" w:cs="Arial"/>
        </w:rPr>
      </w:pPr>
      <w:r>
        <w:rPr>
          <w:rFonts w:ascii="Arial" w:hAnsi="Arial" w:cs="Arial"/>
        </w:rPr>
        <w:t xml:space="preserve">ABH is deeply appreciative that MassHealth has recognized the care coordination expertise of community-based providers in the design of the Community Partners (CPs). The plan to </w:t>
      </w:r>
      <w:r>
        <w:rPr>
          <w:rFonts w:ascii="Arial" w:hAnsi="Arial" w:cs="Arial"/>
          <w:b/>
          <w:bCs/>
          <w:i/>
          <w:iCs/>
        </w:rPr>
        <w:t xml:space="preserve">directly invest </w:t>
      </w:r>
      <w:r>
        <w:rPr>
          <w:rFonts w:ascii="Arial" w:hAnsi="Arial" w:cs="Arial"/>
        </w:rPr>
        <w:t xml:space="preserve">in community organizations to better coordinate care for individuals with behavioral healthcare needs is unprecedented. This combination of system design and targeted investment will significantly improve health outcomes for MassHealth members with complex behavioral health needs. </w:t>
      </w:r>
      <w:r>
        <w:rPr>
          <w:rFonts w:ascii="Arial" w:hAnsi="Arial" w:cs="Arial"/>
          <w:b/>
          <w:bCs/>
        </w:rPr>
        <w:t>ABH strongly supports the Behavioral Health CP design and direct investment</w:t>
      </w:r>
      <w:r>
        <w:rPr>
          <w:rFonts w:ascii="Arial" w:hAnsi="Arial" w:cs="Arial"/>
        </w:rPr>
        <w:t xml:space="preserve">. </w:t>
      </w:r>
      <w:r>
        <w:rPr>
          <w:rFonts w:ascii="Arial" w:hAnsi="Arial" w:cs="Arial"/>
          <w:spacing w:val="3"/>
        </w:rPr>
        <w:t xml:space="preserve">We </w:t>
      </w:r>
      <w:r>
        <w:rPr>
          <w:rFonts w:ascii="Arial" w:hAnsi="Arial" w:cs="Arial"/>
        </w:rPr>
        <w:t>offer additional comments on design specifics and operations beginning on  page 8</w:t>
      </w:r>
      <w:r>
        <w:rPr>
          <w:rFonts w:ascii="Arial" w:hAnsi="Arial" w:cs="Arial"/>
          <w:spacing w:val="-7"/>
        </w:rPr>
        <w:t xml:space="preserve"> </w:t>
      </w:r>
      <w:r>
        <w:rPr>
          <w:rFonts w:ascii="Arial" w:hAnsi="Arial" w:cs="Arial"/>
        </w:rPr>
        <w:t>below.</w:t>
      </w:r>
    </w:p>
    <w:p w:rsidR="002C5025" w:rsidRDefault="002C5025">
      <w:pPr>
        <w:pStyle w:val="BodyText"/>
        <w:kinsoku w:val="0"/>
        <w:overflowPunct w:val="0"/>
        <w:spacing w:before="8"/>
        <w:rPr>
          <w:rFonts w:ascii="Arial" w:hAnsi="Arial" w:cs="Arial"/>
          <w:sz w:val="21"/>
          <w:szCs w:val="21"/>
        </w:rPr>
      </w:pPr>
    </w:p>
    <w:p w:rsidR="002C5025" w:rsidRDefault="002C5025">
      <w:pPr>
        <w:pStyle w:val="BodyText"/>
        <w:kinsoku w:val="0"/>
        <w:overflowPunct w:val="0"/>
        <w:ind w:left="113"/>
        <w:jc w:val="both"/>
        <w:rPr>
          <w:rFonts w:ascii="Arial" w:hAnsi="Arial" w:cs="Arial"/>
          <w:b/>
          <w:bCs/>
          <w:sz w:val="26"/>
          <w:szCs w:val="26"/>
        </w:rPr>
      </w:pPr>
      <w:r>
        <w:rPr>
          <w:rFonts w:ascii="Arial" w:hAnsi="Arial" w:cs="Arial"/>
          <w:b/>
          <w:bCs/>
          <w:sz w:val="26"/>
          <w:szCs w:val="26"/>
        </w:rPr>
        <w:t>Behavioral Healthcare Services</w:t>
      </w:r>
    </w:p>
    <w:p w:rsidR="002C5025" w:rsidRDefault="002C5025">
      <w:pPr>
        <w:pStyle w:val="BodyText"/>
        <w:kinsoku w:val="0"/>
        <w:overflowPunct w:val="0"/>
        <w:ind w:left="113" w:right="106"/>
        <w:jc w:val="both"/>
        <w:rPr>
          <w:rFonts w:ascii="Arial" w:hAnsi="Arial" w:cs="Arial"/>
        </w:rPr>
      </w:pPr>
      <w:r>
        <w:rPr>
          <w:rFonts w:ascii="Arial" w:hAnsi="Arial" w:cs="Arial"/>
        </w:rPr>
        <w:t xml:space="preserve">ABH </w:t>
      </w:r>
      <w:r>
        <w:rPr>
          <w:rFonts w:ascii="Arial" w:hAnsi="Arial" w:cs="Arial"/>
          <w:b/>
          <w:bCs/>
        </w:rPr>
        <w:t xml:space="preserve">strongly endorses the proposed expansion of Substance Use Disorder (SUD) services </w:t>
      </w:r>
      <w:r>
        <w:rPr>
          <w:rFonts w:ascii="Arial" w:hAnsi="Arial" w:cs="Arial"/>
        </w:rPr>
        <w:t>and is pleased that the demonstration application was developed jointly with the Department of Public Health, the Single State Authority on SUD treatment. The proposal to expand SUD coverage to additional 24-hour levels of care for MassHealth members (ASAM Levels 3.1 and 3.3), to increase access to Medication Assisted Treatment (MAT), and to create access to care management and recovery supports will expand access to proven treatment and recovery services and supports and provide the Commonwealth with critically needed tools in the fight against opiate addiction.  ABH offers more comments and questions beginning on page 15</w:t>
      </w:r>
      <w:r>
        <w:rPr>
          <w:rFonts w:ascii="Arial" w:hAnsi="Arial" w:cs="Arial"/>
          <w:spacing w:val="-38"/>
        </w:rPr>
        <w:t xml:space="preserve"> </w:t>
      </w:r>
      <w:r>
        <w:rPr>
          <w:rFonts w:ascii="Arial" w:hAnsi="Arial" w:cs="Arial"/>
        </w:rPr>
        <w:t>below.</w:t>
      </w:r>
    </w:p>
    <w:p w:rsidR="002C5025" w:rsidRDefault="002C5025">
      <w:pPr>
        <w:pStyle w:val="BodyText"/>
        <w:kinsoku w:val="0"/>
        <w:overflowPunct w:val="0"/>
        <w:rPr>
          <w:rFonts w:ascii="Arial" w:hAnsi="Arial" w:cs="Arial"/>
        </w:rPr>
      </w:pPr>
    </w:p>
    <w:p w:rsidR="002C5025" w:rsidRDefault="002C5025">
      <w:pPr>
        <w:pStyle w:val="BodyText"/>
        <w:kinsoku w:val="0"/>
        <w:overflowPunct w:val="0"/>
        <w:ind w:left="114" w:right="108"/>
        <w:jc w:val="both"/>
        <w:rPr>
          <w:rFonts w:ascii="Arial" w:hAnsi="Arial" w:cs="Arial"/>
        </w:rPr>
      </w:pPr>
      <w:r>
        <w:rPr>
          <w:rFonts w:ascii="Arial" w:hAnsi="Arial" w:cs="Arial"/>
        </w:rPr>
        <w:t>Relative to the role of services and supports to individuals with Serious Mental Illness (SMI) and children with Serious Emotional Disturbance (SED), ABH encourages MassHealth, in partnership with the Department of Mental Health, the Single State Authority for Mental Health to refine operational details, such as the selection and role of Community Partners and consumer/member protections and choice in provider.</w:t>
      </w:r>
    </w:p>
    <w:p w:rsidR="002C5025" w:rsidRDefault="002C5025">
      <w:pPr>
        <w:pStyle w:val="BodyText"/>
        <w:kinsoku w:val="0"/>
        <w:overflowPunct w:val="0"/>
        <w:rPr>
          <w:rFonts w:ascii="Arial" w:hAnsi="Arial" w:cs="Arial"/>
        </w:rPr>
      </w:pPr>
    </w:p>
    <w:p w:rsidR="002C5025" w:rsidRDefault="002C5025">
      <w:pPr>
        <w:pStyle w:val="BodyText"/>
        <w:kinsoku w:val="0"/>
        <w:overflowPunct w:val="0"/>
        <w:ind w:left="114" w:right="107"/>
        <w:jc w:val="both"/>
        <w:rPr>
          <w:rFonts w:ascii="Arial" w:hAnsi="Arial" w:cs="Arial"/>
        </w:rPr>
      </w:pPr>
      <w:r>
        <w:rPr>
          <w:rFonts w:ascii="Arial" w:hAnsi="Arial" w:cs="Arial"/>
        </w:rPr>
        <w:t>In terms of more broad-based access to behavioral healthcare services, ABH deeply appreciates that MassHealth’s overall accountable care approach will seek to preserve access to treatment by maintaining the policy of not requiring referrals for outpatient behavioral health services (see Executive Summary of the demonstration extension request document). There are numerous barriers to accessing appropriate levels of behavioral healthcare services, including stigma, psychological barriers, prior authorization and administrative constraints, and siloed care.  In  order to maximize service access, ABH believes all behavioral healthcare services should be excluded from the new copays that are under consideration as indicated in Section 4.4.  The  state should not create yet another hurdle to care by instituting new</w:t>
      </w:r>
      <w:r>
        <w:rPr>
          <w:rFonts w:ascii="Arial" w:hAnsi="Arial" w:cs="Arial"/>
          <w:spacing w:val="-29"/>
        </w:rPr>
        <w:t xml:space="preserve"> </w:t>
      </w:r>
      <w:r>
        <w:rPr>
          <w:rFonts w:ascii="Arial" w:hAnsi="Arial" w:cs="Arial"/>
        </w:rPr>
        <w:t>copays.</w:t>
      </w:r>
    </w:p>
    <w:p w:rsidR="002C5025" w:rsidRDefault="002C5025">
      <w:pPr>
        <w:pStyle w:val="BodyText"/>
        <w:kinsoku w:val="0"/>
        <w:overflowPunct w:val="0"/>
        <w:rPr>
          <w:rFonts w:ascii="Arial" w:hAnsi="Arial" w:cs="Arial"/>
        </w:rPr>
      </w:pPr>
    </w:p>
    <w:p w:rsidR="002C5025" w:rsidRDefault="002C5025">
      <w:pPr>
        <w:pStyle w:val="BodyText"/>
        <w:kinsoku w:val="0"/>
        <w:overflowPunct w:val="0"/>
        <w:ind w:left="114" w:right="110"/>
        <w:jc w:val="both"/>
        <w:rPr>
          <w:rFonts w:ascii="Arial" w:hAnsi="Arial" w:cs="Arial"/>
        </w:rPr>
      </w:pPr>
      <w:r>
        <w:rPr>
          <w:rFonts w:ascii="Arial" w:hAnsi="Arial" w:cs="Arial"/>
        </w:rPr>
        <w:t>ABH continues to be concerned about insufficient access to community-based outpatient services for MassHealth members. Both Community Partner organizations and ACOs will struggle to access these services without a significant investment by MassHealth in the community-based system.  ABH offers more comments on page 17 below.</w:t>
      </w:r>
    </w:p>
    <w:p w:rsidR="002C5025" w:rsidRDefault="002C5025">
      <w:pPr>
        <w:pStyle w:val="BodyText"/>
        <w:kinsoku w:val="0"/>
        <w:overflowPunct w:val="0"/>
        <w:rPr>
          <w:rFonts w:ascii="Arial" w:hAnsi="Arial" w:cs="Arial"/>
        </w:rPr>
      </w:pPr>
    </w:p>
    <w:p w:rsidR="002C5025" w:rsidRDefault="002C5025">
      <w:pPr>
        <w:pStyle w:val="BodyText"/>
        <w:kinsoku w:val="0"/>
        <w:overflowPunct w:val="0"/>
        <w:ind w:left="114" w:right="109" w:hanging="1"/>
        <w:jc w:val="both"/>
        <w:rPr>
          <w:rFonts w:ascii="Arial" w:hAnsi="Arial" w:cs="Arial"/>
        </w:rPr>
      </w:pPr>
      <w:r>
        <w:rPr>
          <w:rFonts w:ascii="Arial" w:hAnsi="Arial" w:cs="Arial"/>
        </w:rPr>
        <w:t>Finally, the waiver proposal does not specify how the ACO construct will address the unique needs of children and families. Family is critical to accessing services and managing care for</w:t>
      </w: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9"/>
        <w:rPr>
          <w:rFonts w:ascii="Arial" w:hAnsi="Arial" w:cs="Arial"/>
          <w:sz w:val="21"/>
          <w:szCs w:val="21"/>
        </w:rPr>
      </w:pPr>
    </w:p>
    <w:p w:rsidR="002C5025" w:rsidRDefault="002C5025">
      <w:pPr>
        <w:pStyle w:val="BodyText"/>
        <w:kinsoku w:val="0"/>
        <w:overflowPunct w:val="0"/>
        <w:spacing w:before="74"/>
        <w:ind w:right="114"/>
        <w:jc w:val="right"/>
        <w:rPr>
          <w:rFonts w:ascii="Arial" w:hAnsi="Arial" w:cs="Arial"/>
          <w:sz w:val="20"/>
          <w:szCs w:val="20"/>
        </w:rPr>
      </w:pPr>
      <w:r>
        <w:rPr>
          <w:rFonts w:ascii="Arial" w:hAnsi="Arial" w:cs="Arial"/>
          <w:sz w:val="20"/>
          <w:szCs w:val="20"/>
        </w:rPr>
        <w:t>Page 2 of 18</w:t>
      </w:r>
    </w:p>
    <w:p w:rsidR="002C5025" w:rsidRDefault="002C5025">
      <w:pPr>
        <w:pStyle w:val="BodyText"/>
        <w:kinsoku w:val="0"/>
        <w:overflowPunct w:val="0"/>
        <w:spacing w:before="74"/>
        <w:ind w:right="114"/>
        <w:jc w:val="right"/>
        <w:rPr>
          <w:rFonts w:ascii="Arial" w:hAnsi="Arial" w:cs="Arial"/>
          <w:sz w:val="20"/>
          <w:szCs w:val="20"/>
        </w:rPr>
        <w:sectPr w:rsidR="002C5025">
          <w:pgSz w:w="12240" w:h="15840"/>
          <w:pgMar w:top="1500" w:right="1240" w:bottom="280" w:left="1240" w:header="720" w:footer="720" w:gutter="0"/>
          <w:cols w:space="720" w:equalWidth="0">
            <w:col w:w="9760"/>
          </w:cols>
          <w:noEndnote/>
        </w:sect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9"/>
        <w:rPr>
          <w:rFonts w:ascii="Arial" w:hAnsi="Arial" w:cs="Arial"/>
          <w:sz w:val="18"/>
          <w:szCs w:val="18"/>
        </w:rPr>
      </w:pPr>
    </w:p>
    <w:p w:rsidR="002C5025" w:rsidRDefault="002C5025">
      <w:pPr>
        <w:pStyle w:val="BodyText"/>
        <w:kinsoku w:val="0"/>
        <w:overflowPunct w:val="0"/>
        <w:spacing w:before="77" w:line="235" w:lineRule="auto"/>
        <w:ind w:left="113" w:right="108"/>
        <w:jc w:val="both"/>
        <w:rPr>
          <w:rFonts w:ascii="Arial" w:hAnsi="Arial" w:cs="Arial"/>
          <w:position w:val="10"/>
          <w:sz w:val="14"/>
          <w:szCs w:val="14"/>
        </w:rPr>
      </w:pPr>
      <w:r>
        <w:rPr>
          <w:rFonts w:ascii="Arial" w:hAnsi="Arial" w:cs="Arial"/>
        </w:rPr>
        <w:t>children. All ACOs should have sufficient connections to community-based behavioral healthcare providers with expertise in serving children and families. The ACO’s partnership with the CP/Community Service Agency (CSA) is vital, because these entities have extensive experience serving and coordinating care for children with SED who may be involved with an array of  services and supports (schools, social service agencies, state agencies, social clubs, faith communities, etc.). The ACO initiative should also incorporate lessons from the Children’s Behavioral Health Initiative (CBHI), which has embraced non-medical staff such as family  partners to help families achieve better outcomes for their children and piloted an alternative payment model (APM) for a the CSA services.</w:t>
      </w:r>
      <w:hyperlink w:anchor="bookmark0" w:history="1">
        <w:r>
          <w:rPr>
            <w:rFonts w:ascii="Arial" w:hAnsi="Arial" w:cs="Arial"/>
            <w:position w:val="10"/>
            <w:sz w:val="14"/>
            <w:szCs w:val="14"/>
          </w:rPr>
          <w:t>1</w:t>
        </w:r>
      </w:hyperlink>
      <w:r>
        <w:rPr>
          <w:rFonts w:ascii="Arial" w:hAnsi="Arial" w:cs="Arial"/>
          <w:position w:val="10"/>
          <w:sz w:val="14"/>
          <w:szCs w:val="14"/>
        </w:rPr>
        <w:t xml:space="preserve"> </w:t>
      </w:r>
      <w:r>
        <w:rPr>
          <w:rFonts w:ascii="Arial" w:hAnsi="Arial" w:cs="Arial"/>
        </w:rPr>
        <w:t>In addition, the initiative has required that the MCEs be uniquely aligned in terms of services offered and access to these services. This approach has improved experience and outcomes for</w:t>
      </w:r>
      <w:r>
        <w:rPr>
          <w:rFonts w:ascii="Arial" w:hAnsi="Arial" w:cs="Arial"/>
          <w:spacing w:val="-19"/>
        </w:rPr>
        <w:t xml:space="preserve"> </w:t>
      </w:r>
      <w:r>
        <w:rPr>
          <w:rFonts w:ascii="Arial" w:hAnsi="Arial" w:cs="Arial"/>
        </w:rPr>
        <w:t>families.</w:t>
      </w:r>
      <w:hyperlink w:anchor="bookmark1" w:history="1">
        <w:r>
          <w:rPr>
            <w:rFonts w:ascii="Arial" w:hAnsi="Arial" w:cs="Arial"/>
            <w:position w:val="10"/>
            <w:sz w:val="14"/>
            <w:szCs w:val="14"/>
          </w:rPr>
          <w:t>2</w:t>
        </w:r>
      </w:hyperlink>
    </w:p>
    <w:p w:rsidR="002C5025" w:rsidRDefault="002C5025">
      <w:pPr>
        <w:pStyle w:val="BodyText"/>
        <w:kinsoku w:val="0"/>
        <w:overflowPunct w:val="0"/>
        <w:spacing w:before="10"/>
        <w:rPr>
          <w:rFonts w:ascii="Arial" w:hAnsi="Arial" w:cs="Arial"/>
          <w:sz w:val="25"/>
          <w:szCs w:val="25"/>
        </w:rPr>
      </w:pPr>
    </w:p>
    <w:p w:rsidR="002C5025" w:rsidRDefault="002C5025">
      <w:pPr>
        <w:pStyle w:val="BodyText"/>
        <w:kinsoku w:val="0"/>
        <w:overflowPunct w:val="0"/>
        <w:spacing w:before="1"/>
        <w:ind w:left="113"/>
        <w:jc w:val="both"/>
        <w:rPr>
          <w:rFonts w:ascii="Arial" w:hAnsi="Arial" w:cs="Arial"/>
          <w:b/>
          <w:bCs/>
          <w:sz w:val="26"/>
          <w:szCs w:val="26"/>
        </w:rPr>
      </w:pPr>
      <w:r>
        <w:rPr>
          <w:rFonts w:ascii="Arial" w:hAnsi="Arial" w:cs="Arial"/>
          <w:b/>
          <w:bCs/>
          <w:sz w:val="26"/>
          <w:szCs w:val="26"/>
        </w:rPr>
        <w:t>Transparency</w:t>
      </w:r>
    </w:p>
    <w:p w:rsidR="002C5025" w:rsidRDefault="002C5025">
      <w:pPr>
        <w:pStyle w:val="BodyText"/>
        <w:kinsoku w:val="0"/>
        <w:overflowPunct w:val="0"/>
        <w:ind w:left="113" w:right="111"/>
        <w:jc w:val="both"/>
        <w:rPr>
          <w:rFonts w:ascii="Arial" w:hAnsi="Arial" w:cs="Arial"/>
        </w:rPr>
      </w:pPr>
      <w:r>
        <w:rPr>
          <w:rFonts w:ascii="Arial" w:hAnsi="Arial" w:cs="Arial"/>
        </w:rPr>
        <w:t>During systems transformation and payment reform, it will be important to have numerous indicators against which to measure current and future states. ABH recommends the following reporting and transparency requirements be mandated for ACOs and/or MCOs, as appropriate.</w:t>
      </w:r>
    </w:p>
    <w:p w:rsidR="002C5025" w:rsidRDefault="002C5025">
      <w:pPr>
        <w:pStyle w:val="BodyText"/>
        <w:kinsoku w:val="0"/>
        <w:overflowPunct w:val="0"/>
        <w:rPr>
          <w:rFonts w:ascii="Arial" w:hAnsi="Arial" w:cs="Arial"/>
        </w:rPr>
      </w:pPr>
    </w:p>
    <w:p w:rsidR="002C5025" w:rsidRDefault="002C5025">
      <w:pPr>
        <w:pStyle w:val="ListParagraph"/>
        <w:numPr>
          <w:ilvl w:val="0"/>
          <w:numId w:val="89"/>
        </w:numPr>
        <w:tabs>
          <w:tab w:val="left" w:pos="834"/>
        </w:tabs>
        <w:kinsoku w:val="0"/>
        <w:overflowPunct w:val="0"/>
        <w:ind w:right="108"/>
        <w:jc w:val="both"/>
        <w:rPr>
          <w:rFonts w:ascii="Arial" w:hAnsi="Arial" w:cs="Arial"/>
          <w:sz w:val="22"/>
          <w:szCs w:val="22"/>
        </w:rPr>
      </w:pPr>
      <w:r>
        <w:rPr>
          <w:rFonts w:ascii="Arial" w:hAnsi="Arial" w:cs="Arial"/>
          <w:sz w:val="22"/>
          <w:szCs w:val="22"/>
        </w:rPr>
        <w:t>Report annually in a public document its spending, in total and as a percentage of total expenditure, on MassHealth members</w:t>
      </w:r>
      <w:r>
        <w:rPr>
          <w:rFonts w:ascii="Arial" w:hAnsi="Arial" w:cs="Arial"/>
          <w:spacing w:val="-17"/>
          <w:sz w:val="22"/>
          <w:szCs w:val="22"/>
        </w:rPr>
        <w:t xml:space="preserve"> </w:t>
      </w:r>
      <w:r>
        <w:rPr>
          <w:rFonts w:ascii="Arial" w:hAnsi="Arial" w:cs="Arial"/>
          <w:sz w:val="22"/>
          <w:szCs w:val="22"/>
        </w:rPr>
        <w:t>for:</w:t>
      </w:r>
    </w:p>
    <w:p w:rsidR="002C5025" w:rsidRDefault="002C5025">
      <w:pPr>
        <w:pStyle w:val="ListParagraph"/>
        <w:numPr>
          <w:ilvl w:val="1"/>
          <w:numId w:val="89"/>
        </w:numPr>
        <w:tabs>
          <w:tab w:val="left" w:pos="1194"/>
        </w:tabs>
        <w:kinsoku w:val="0"/>
        <w:overflowPunct w:val="0"/>
        <w:spacing w:before="121"/>
        <w:ind w:firstLine="0"/>
        <w:rPr>
          <w:rFonts w:ascii="Arial" w:hAnsi="Arial" w:cs="Arial"/>
          <w:sz w:val="22"/>
          <w:szCs w:val="22"/>
        </w:rPr>
      </w:pPr>
      <w:r>
        <w:rPr>
          <w:rFonts w:ascii="Arial" w:hAnsi="Arial" w:cs="Arial"/>
          <w:sz w:val="22"/>
          <w:szCs w:val="22"/>
        </w:rPr>
        <w:t>behavioral health</w:t>
      </w:r>
      <w:r>
        <w:rPr>
          <w:rFonts w:ascii="Arial" w:hAnsi="Arial" w:cs="Arial"/>
          <w:spacing w:val="-14"/>
          <w:sz w:val="22"/>
          <w:szCs w:val="22"/>
        </w:rPr>
        <w:t xml:space="preserve"> </w:t>
      </w:r>
      <w:r>
        <w:rPr>
          <w:rFonts w:ascii="Arial" w:hAnsi="Arial" w:cs="Arial"/>
          <w:sz w:val="22"/>
          <w:szCs w:val="22"/>
        </w:rPr>
        <w:t>services;</w:t>
      </w:r>
    </w:p>
    <w:p w:rsidR="002C5025" w:rsidRDefault="002C5025">
      <w:pPr>
        <w:pStyle w:val="ListParagraph"/>
        <w:numPr>
          <w:ilvl w:val="1"/>
          <w:numId w:val="89"/>
        </w:numPr>
        <w:tabs>
          <w:tab w:val="left" w:pos="1194"/>
        </w:tabs>
        <w:kinsoku w:val="0"/>
        <w:overflowPunct w:val="0"/>
        <w:spacing w:before="99"/>
        <w:ind w:left="1193" w:hanging="360"/>
        <w:rPr>
          <w:rFonts w:ascii="Arial" w:hAnsi="Arial" w:cs="Arial"/>
          <w:sz w:val="22"/>
          <w:szCs w:val="22"/>
        </w:rPr>
      </w:pPr>
      <w:r>
        <w:rPr>
          <w:rFonts w:ascii="Arial" w:hAnsi="Arial" w:cs="Arial"/>
          <w:sz w:val="22"/>
          <w:szCs w:val="22"/>
        </w:rPr>
        <w:t>primary</w:t>
      </w:r>
      <w:r>
        <w:rPr>
          <w:rFonts w:ascii="Arial" w:hAnsi="Arial" w:cs="Arial"/>
          <w:spacing w:val="-6"/>
          <w:sz w:val="22"/>
          <w:szCs w:val="22"/>
        </w:rPr>
        <w:t xml:space="preserve"> </w:t>
      </w:r>
      <w:r>
        <w:rPr>
          <w:rFonts w:ascii="Arial" w:hAnsi="Arial" w:cs="Arial"/>
          <w:sz w:val="22"/>
          <w:szCs w:val="22"/>
        </w:rPr>
        <w:t>care;</w:t>
      </w:r>
    </w:p>
    <w:p w:rsidR="002C5025" w:rsidRDefault="002C5025">
      <w:pPr>
        <w:pStyle w:val="ListParagraph"/>
        <w:numPr>
          <w:ilvl w:val="1"/>
          <w:numId w:val="89"/>
        </w:numPr>
        <w:tabs>
          <w:tab w:val="left" w:pos="1194"/>
        </w:tabs>
        <w:kinsoku w:val="0"/>
        <w:overflowPunct w:val="0"/>
        <w:spacing w:before="99"/>
        <w:ind w:left="1193" w:hanging="360"/>
        <w:rPr>
          <w:rFonts w:ascii="Arial" w:hAnsi="Arial" w:cs="Arial"/>
          <w:sz w:val="22"/>
          <w:szCs w:val="22"/>
        </w:rPr>
      </w:pPr>
      <w:r>
        <w:rPr>
          <w:rFonts w:ascii="Arial" w:hAnsi="Arial" w:cs="Arial"/>
          <w:sz w:val="22"/>
          <w:szCs w:val="22"/>
        </w:rPr>
        <w:t>acute care</w:t>
      </w:r>
      <w:r>
        <w:rPr>
          <w:rFonts w:ascii="Arial" w:hAnsi="Arial" w:cs="Arial"/>
          <w:spacing w:val="-4"/>
          <w:sz w:val="22"/>
          <w:szCs w:val="22"/>
        </w:rPr>
        <w:t xml:space="preserve"> </w:t>
      </w:r>
      <w:r>
        <w:rPr>
          <w:rFonts w:ascii="Arial" w:hAnsi="Arial" w:cs="Arial"/>
          <w:sz w:val="22"/>
          <w:szCs w:val="22"/>
        </w:rPr>
        <w:t>costs;</w:t>
      </w:r>
    </w:p>
    <w:p w:rsidR="002C5025" w:rsidRDefault="002C5025">
      <w:pPr>
        <w:pStyle w:val="ListParagraph"/>
        <w:numPr>
          <w:ilvl w:val="1"/>
          <w:numId w:val="89"/>
        </w:numPr>
        <w:tabs>
          <w:tab w:val="left" w:pos="1194"/>
        </w:tabs>
        <w:kinsoku w:val="0"/>
        <w:overflowPunct w:val="0"/>
        <w:spacing w:before="102"/>
        <w:ind w:left="1193" w:hanging="360"/>
        <w:rPr>
          <w:rFonts w:ascii="Arial" w:hAnsi="Arial" w:cs="Arial"/>
          <w:sz w:val="22"/>
          <w:szCs w:val="22"/>
        </w:rPr>
      </w:pPr>
      <w:r>
        <w:rPr>
          <w:rFonts w:ascii="Arial" w:hAnsi="Arial" w:cs="Arial"/>
          <w:sz w:val="22"/>
          <w:szCs w:val="22"/>
        </w:rPr>
        <w:t>emergency</w:t>
      </w:r>
      <w:r>
        <w:rPr>
          <w:rFonts w:ascii="Arial" w:hAnsi="Arial" w:cs="Arial"/>
          <w:spacing w:val="-9"/>
          <w:sz w:val="22"/>
          <w:szCs w:val="22"/>
        </w:rPr>
        <w:t xml:space="preserve"> </w:t>
      </w:r>
      <w:r>
        <w:rPr>
          <w:rFonts w:ascii="Arial" w:hAnsi="Arial" w:cs="Arial"/>
          <w:sz w:val="22"/>
          <w:szCs w:val="22"/>
        </w:rPr>
        <w:t>services;</w:t>
      </w:r>
    </w:p>
    <w:p w:rsidR="002C5025" w:rsidRDefault="002C5025">
      <w:pPr>
        <w:pStyle w:val="ListParagraph"/>
        <w:numPr>
          <w:ilvl w:val="1"/>
          <w:numId w:val="89"/>
        </w:numPr>
        <w:tabs>
          <w:tab w:val="left" w:pos="1194"/>
        </w:tabs>
        <w:kinsoku w:val="0"/>
        <w:overflowPunct w:val="0"/>
        <w:spacing w:before="99"/>
        <w:ind w:left="1193" w:hanging="360"/>
        <w:rPr>
          <w:rFonts w:ascii="Arial" w:hAnsi="Arial" w:cs="Arial"/>
          <w:sz w:val="22"/>
          <w:szCs w:val="22"/>
        </w:rPr>
      </w:pPr>
      <w:r>
        <w:rPr>
          <w:rFonts w:ascii="Arial" w:hAnsi="Arial" w:cs="Arial"/>
          <w:sz w:val="22"/>
          <w:szCs w:val="22"/>
        </w:rPr>
        <w:t>pharmacy;</w:t>
      </w:r>
      <w:r>
        <w:rPr>
          <w:rFonts w:ascii="Arial" w:hAnsi="Arial" w:cs="Arial"/>
          <w:spacing w:val="-6"/>
          <w:sz w:val="22"/>
          <w:szCs w:val="22"/>
        </w:rPr>
        <w:t xml:space="preserve"> </w:t>
      </w:r>
      <w:r>
        <w:rPr>
          <w:rFonts w:ascii="Arial" w:hAnsi="Arial" w:cs="Arial"/>
          <w:sz w:val="22"/>
          <w:szCs w:val="22"/>
        </w:rPr>
        <w:t>and,</w:t>
      </w:r>
    </w:p>
    <w:p w:rsidR="002C5025" w:rsidRDefault="002C5025">
      <w:pPr>
        <w:pStyle w:val="ListParagraph"/>
        <w:numPr>
          <w:ilvl w:val="1"/>
          <w:numId w:val="89"/>
        </w:numPr>
        <w:tabs>
          <w:tab w:val="left" w:pos="1194"/>
        </w:tabs>
        <w:kinsoku w:val="0"/>
        <w:overflowPunct w:val="0"/>
        <w:spacing w:before="102" w:line="328" w:lineRule="auto"/>
        <w:ind w:right="3365" w:firstLine="0"/>
        <w:rPr>
          <w:rFonts w:ascii="Arial" w:hAnsi="Arial" w:cs="Arial"/>
          <w:sz w:val="22"/>
          <w:szCs w:val="22"/>
        </w:rPr>
      </w:pPr>
      <w:r>
        <w:rPr>
          <w:rFonts w:ascii="Arial" w:hAnsi="Arial" w:cs="Arial"/>
          <w:sz w:val="22"/>
          <w:szCs w:val="22"/>
        </w:rPr>
        <w:t>other specialties that MassHealth deems appropriate. These data should be broken down by levels of</w:t>
      </w:r>
      <w:r>
        <w:rPr>
          <w:rFonts w:ascii="Arial" w:hAnsi="Arial" w:cs="Arial"/>
          <w:spacing w:val="-21"/>
          <w:sz w:val="22"/>
          <w:szCs w:val="22"/>
        </w:rPr>
        <w:t xml:space="preserve"> </w:t>
      </w:r>
      <w:r>
        <w:rPr>
          <w:rFonts w:ascii="Arial" w:hAnsi="Arial" w:cs="Arial"/>
          <w:sz w:val="22"/>
          <w:szCs w:val="22"/>
        </w:rPr>
        <w:t>care:</w:t>
      </w:r>
    </w:p>
    <w:p w:rsidR="002C5025" w:rsidRDefault="002C5025">
      <w:pPr>
        <w:pStyle w:val="ListParagraph"/>
        <w:numPr>
          <w:ilvl w:val="1"/>
          <w:numId w:val="89"/>
        </w:numPr>
        <w:tabs>
          <w:tab w:val="left" w:pos="1194"/>
        </w:tabs>
        <w:kinsoku w:val="0"/>
        <w:overflowPunct w:val="0"/>
        <w:spacing w:before="31" w:line="254" w:lineRule="exact"/>
        <w:ind w:left="1193" w:right="114" w:hanging="360"/>
        <w:rPr>
          <w:rFonts w:ascii="Arial" w:hAnsi="Arial" w:cs="Arial"/>
          <w:sz w:val="22"/>
          <w:szCs w:val="22"/>
        </w:rPr>
      </w:pPr>
      <w:r>
        <w:rPr>
          <w:rFonts w:ascii="Arial" w:hAnsi="Arial" w:cs="Arial"/>
          <w:sz w:val="22"/>
          <w:szCs w:val="22"/>
        </w:rPr>
        <w:t>inpatient (e.g., inpatient psychiatric hospitalization, Acute Treatment Services, Clinical Stabilization Services,</w:t>
      </w:r>
      <w:r>
        <w:rPr>
          <w:rFonts w:ascii="Arial" w:hAnsi="Arial" w:cs="Arial"/>
          <w:spacing w:val="-12"/>
          <w:sz w:val="22"/>
          <w:szCs w:val="22"/>
        </w:rPr>
        <w:t xml:space="preserve"> </w:t>
      </w:r>
      <w:r>
        <w:rPr>
          <w:rFonts w:ascii="Arial" w:hAnsi="Arial" w:cs="Arial"/>
          <w:sz w:val="22"/>
          <w:szCs w:val="22"/>
        </w:rPr>
        <w:t>etc.);</w:t>
      </w:r>
    </w:p>
    <w:p w:rsidR="002C5025" w:rsidRDefault="002C5025">
      <w:pPr>
        <w:pStyle w:val="ListParagraph"/>
        <w:numPr>
          <w:ilvl w:val="1"/>
          <w:numId w:val="89"/>
        </w:numPr>
        <w:tabs>
          <w:tab w:val="left" w:pos="1194"/>
        </w:tabs>
        <w:kinsoku w:val="0"/>
        <w:overflowPunct w:val="0"/>
        <w:spacing w:before="118" w:line="254" w:lineRule="exact"/>
        <w:ind w:left="1193" w:right="114" w:hanging="360"/>
        <w:rPr>
          <w:rFonts w:ascii="Arial" w:hAnsi="Arial" w:cs="Arial"/>
          <w:sz w:val="22"/>
          <w:szCs w:val="22"/>
        </w:rPr>
      </w:pPr>
      <w:r>
        <w:rPr>
          <w:rFonts w:ascii="Arial" w:hAnsi="Arial" w:cs="Arial"/>
          <w:sz w:val="22"/>
          <w:szCs w:val="22"/>
        </w:rPr>
        <w:t>diversionary/intermediate (e.g.,24-hour community-based care and recovery-oriented services like ESP, PACT and CSP);</w:t>
      </w:r>
      <w:r>
        <w:rPr>
          <w:rFonts w:ascii="Arial" w:hAnsi="Arial" w:cs="Arial"/>
          <w:spacing w:val="-13"/>
          <w:sz w:val="22"/>
          <w:szCs w:val="22"/>
        </w:rPr>
        <w:t xml:space="preserve"> </w:t>
      </w:r>
      <w:r>
        <w:rPr>
          <w:rFonts w:ascii="Arial" w:hAnsi="Arial" w:cs="Arial"/>
          <w:sz w:val="22"/>
          <w:szCs w:val="22"/>
        </w:rPr>
        <w:t>and,</w:t>
      </w:r>
    </w:p>
    <w:p w:rsidR="002C5025" w:rsidRDefault="002C5025">
      <w:pPr>
        <w:pStyle w:val="ListParagraph"/>
        <w:numPr>
          <w:ilvl w:val="1"/>
          <w:numId w:val="89"/>
        </w:numPr>
        <w:tabs>
          <w:tab w:val="left" w:pos="1195"/>
        </w:tabs>
        <w:kinsoku w:val="0"/>
        <w:overflowPunct w:val="0"/>
        <w:spacing w:before="115"/>
        <w:ind w:left="1194" w:hanging="360"/>
        <w:rPr>
          <w:rFonts w:ascii="Arial" w:hAnsi="Arial" w:cs="Arial"/>
          <w:sz w:val="22"/>
          <w:szCs w:val="22"/>
        </w:rPr>
      </w:pPr>
      <w:r>
        <w:rPr>
          <w:rFonts w:ascii="Arial" w:hAnsi="Arial" w:cs="Arial"/>
          <w:sz w:val="22"/>
          <w:szCs w:val="22"/>
        </w:rPr>
        <w:t>outpatient.</w:t>
      </w:r>
    </w:p>
    <w:p w:rsidR="002C5025" w:rsidRDefault="002C5025">
      <w:pPr>
        <w:pStyle w:val="BodyText"/>
        <w:kinsoku w:val="0"/>
        <w:overflowPunct w:val="0"/>
        <w:spacing w:before="99"/>
        <w:ind w:left="834" w:right="109"/>
        <w:jc w:val="both"/>
        <w:rPr>
          <w:rFonts w:ascii="Arial" w:hAnsi="Arial" w:cs="Arial"/>
        </w:rPr>
      </w:pPr>
      <w:r>
        <w:rPr>
          <w:rFonts w:ascii="Arial" w:hAnsi="Arial" w:cs="Arial"/>
        </w:rPr>
        <w:t>ACOs should be required to categorize services in a standardized manner (e.g., Level III detox is uniformly categorized as diversionary, not inpatient, or vice versa, etc.) to enable comparative analysis. MassHealth should provide data to establish a pre-ACO  participation baseline using expenditure data on those members attributed to each</w:t>
      </w:r>
      <w:r>
        <w:rPr>
          <w:rFonts w:ascii="Arial" w:hAnsi="Arial" w:cs="Arial"/>
          <w:spacing w:val="-37"/>
        </w:rPr>
        <w:t xml:space="preserve"> </w:t>
      </w:r>
      <w:r>
        <w:rPr>
          <w:rFonts w:ascii="Arial" w:hAnsi="Arial" w:cs="Arial"/>
        </w:rPr>
        <w:t>ACO.</w:t>
      </w:r>
    </w:p>
    <w:p w:rsidR="002C5025" w:rsidRDefault="002C5025">
      <w:pPr>
        <w:pStyle w:val="ListParagraph"/>
        <w:numPr>
          <w:ilvl w:val="0"/>
          <w:numId w:val="89"/>
        </w:numPr>
        <w:tabs>
          <w:tab w:val="left" w:pos="835"/>
        </w:tabs>
        <w:kinsoku w:val="0"/>
        <w:overflowPunct w:val="0"/>
        <w:spacing w:before="119"/>
        <w:ind w:left="834" w:right="110"/>
        <w:jc w:val="both"/>
        <w:rPr>
          <w:rFonts w:ascii="Arial" w:hAnsi="Arial" w:cs="Arial"/>
          <w:sz w:val="22"/>
          <w:szCs w:val="22"/>
        </w:rPr>
      </w:pPr>
      <w:r>
        <w:rPr>
          <w:rFonts w:ascii="Arial" w:hAnsi="Arial" w:cs="Arial"/>
          <w:sz w:val="22"/>
          <w:szCs w:val="22"/>
        </w:rPr>
        <w:t xml:space="preserve">Report in a public document on demographic information collected under the Health Policy Commission’s ACO Certification Criteria “Assesses needs and preferences of ACO patient population” domain – with the additions of disability status and recent incarceration -  </w:t>
      </w:r>
      <w:r>
        <w:rPr>
          <w:rFonts w:ascii="Arial" w:hAnsi="Arial" w:cs="Arial"/>
          <w:spacing w:val="52"/>
          <w:sz w:val="22"/>
          <w:szCs w:val="22"/>
        </w:rPr>
        <w:t xml:space="preserve"> </w:t>
      </w:r>
      <w:r>
        <w:rPr>
          <w:rFonts w:ascii="Arial" w:hAnsi="Arial" w:cs="Arial"/>
          <w:sz w:val="22"/>
          <w:szCs w:val="22"/>
        </w:rPr>
        <w:t>and</w:t>
      </w:r>
    </w:p>
    <w:p w:rsidR="002C5025" w:rsidRDefault="00FB027C">
      <w:pPr>
        <w:pStyle w:val="BodyText"/>
        <w:kinsoku w:val="0"/>
        <w:overflowPunct w:val="0"/>
        <w:spacing w:before="5"/>
        <w:rPr>
          <w:rFonts w:ascii="Arial" w:hAnsi="Arial" w:cs="Arial"/>
          <w:sz w:val="15"/>
          <w:szCs w:val="15"/>
        </w:rPr>
      </w:pPr>
      <w:r>
        <w:rPr>
          <w:noProof/>
        </w:rPr>
        <mc:AlternateContent>
          <mc:Choice Requires="wps">
            <w:drawing>
              <wp:anchor distT="0" distB="0" distL="0" distR="0" simplePos="0" relativeHeight="251502080" behindDoc="0" locked="0" layoutInCell="0" allowOverlap="1">
                <wp:simplePos x="0" y="0"/>
                <wp:positionH relativeFrom="page">
                  <wp:posOffset>859155</wp:posOffset>
                </wp:positionH>
                <wp:positionV relativeFrom="paragraph">
                  <wp:posOffset>141605</wp:posOffset>
                </wp:positionV>
                <wp:extent cx="1828800" cy="12700"/>
                <wp:effectExtent l="0" t="0" r="0" b="0"/>
                <wp:wrapTopAndBottom/>
                <wp:docPr id="896" name="Freeform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w 2880"/>
                            <a:gd name="T1" fmla="*/ 0 h 20"/>
                            <a:gd name="T2" fmla="*/ 2880 w 2880"/>
                            <a:gd name="T3" fmla="*/ 0 h 20"/>
                          </a:gdLst>
                          <a:ahLst/>
                          <a:cxnLst>
                            <a:cxn ang="0">
                              <a:pos x="T0" y="T1"/>
                            </a:cxn>
                            <a:cxn ang="0">
                              <a:pos x="T2" y="T3"/>
                            </a:cxn>
                          </a:cxnLst>
                          <a:rect l="0" t="0" r="r" b="b"/>
                          <a:pathLst>
                            <a:path w="2880" h="20">
                              <a:moveTo>
                                <a:pt x="0" y="0"/>
                              </a:moveTo>
                              <a:lnTo>
                                <a:pt x="2880"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29" o:spid="_x0000_s1026" style="position:absolute;z-index:251502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67.65pt,11.15pt,211.65pt,11.15pt" coordsize="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" o:allowincell="f" filled="f" strokeweight=".21164mm">
                <v:path arrowok="t" o:connecttype="custom" o:connectlocs="0,0;1828800,0" o:connectangles="0,0"/>
                <w10:wrap type="topAndBottom" anchorx="page"/>
              </v:polyline>
            </w:pict>
          </mc:Fallback>
        </mc:AlternateContent>
      </w:r>
    </w:p>
    <w:p w:rsidR="002C5025" w:rsidRDefault="002C5025">
      <w:pPr>
        <w:pStyle w:val="BodyText"/>
        <w:kinsoku w:val="0"/>
        <w:overflowPunct w:val="0"/>
        <w:spacing w:before="50" w:line="252" w:lineRule="auto"/>
        <w:ind w:left="113" w:right="235"/>
        <w:rPr>
          <w:rFonts w:ascii="Arial" w:hAnsi="Arial" w:cs="Arial"/>
          <w:sz w:val="18"/>
          <w:szCs w:val="18"/>
        </w:rPr>
      </w:pPr>
      <w:bookmarkStart w:id="37" w:name="bookmark0"/>
      <w:bookmarkEnd w:id="37"/>
      <w:r>
        <w:rPr>
          <w:rFonts w:ascii="Times New Roman" w:hAnsi="Times New Roman" w:cs="Times New Roman"/>
          <w:position w:val="9"/>
          <w:sz w:val="13"/>
          <w:szCs w:val="13"/>
        </w:rPr>
        <w:t xml:space="preserve">1 </w:t>
      </w:r>
      <w:r>
        <w:rPr>
          <w:rFonts w:ascii="Arial" w:hAnsi="Arial" w:cs="Arial"/>
          <w:sz w:val="18"/>
          <w:szCs w:val="18"/>
        </w:rPr>
        <w:t>CSA services include Intensive Care Coordination and Family Partner services. ABH understands that early APM pilot data show better staff morale, greater staff retention, and increased focus on quality/clinical service delivery.</w:t>
      </w:r>
    </w:p>
    <w:p w:rsidR="002C5025" w:rsidRDefault="002C5025">
      <w:pPr>
        <w:pStyle w:val="BodyText"/>
        <w:kinsoku w:val="0"/>
        <w:overflowPunct w:val="0"/>
        <w:spacing w:line="208" w:lineRule="exact"/>
        <w:ind w:left="113" w:right="235"/>
        <w:rPr>
          <w:rFonts w:ascii="Arial" w:hAnsi="Arial" w:cs="Arial"/>
          <w:sz w:val="18"/>
          <w:szCs w:val="18"/>
        </w:rPr>
      </w:pPr>
      <w:bookmarkStart w:id="38" w:name="bookmark1"/>
      <w:bookmarkEnd w:id="38"/>
      <w:r>
        <w:rPr>
          <w:rFonts w:ascii="Times New Roman" w:hAnsi="Times New Roman" w:cs="Times New Roman"/>
          <w:position w:val="9"/>
          <w:sz w:val="13"/>
          <w:szCs w:val="13"/>
        </w:rPr>
        <w:t xml:space="preserve">2 </w:t>
      </w:r>
      <w:r>
        <w:rPr>
          <w:rFonts w:ascii="Arial" w:hAnsi="Arial" w:cs="Arial"/>
          <w:sz w:val="18"/>
          <w:szCs w:val="18"/>
        </w:rPr>
        <w:t>There is no reason why some of these same approaches could not be taken with adults as well.</w:t>
      </w:r>
    </w:p>
    <w:p w:rsidR="002C5025" w:rsidRDefault="002C5025">
      <w:pPr>
        <w:pStyle w:val="BodyText"/>
        <w:kinsoku w:val="0"/>
        <w:overflowPunct w:val="0"/>
        <w:rPr>
          <w:rFonts w:ascii="Arial" w:hAnsi="Arial" w:cs="Arial"/>
          <w:sz w:val="28"/>
          <w:szCs w:val="28"/>
        </w:rPr>
      </w:pPr>
    </w:p>
    <w:p w:rsidR="002C5025" w:rsidRDefault="002C5025">
      <w:pPr>
        <w:pStyle w:val="BodyText"/>
        <w:kinsoku w:val="0"/>
        <w:overflowPunct w:val="0"/>
        <w:spacing w:before="74"/>
        <w:ind w:right="114"/>
        <w:jc w:val="right"/>
        <w:rPr>
          <w:rFonts w:ascii="Arial" w:hAnsi="Arial" w:cs="Arial"/>
          <w:sz w:val="20"/>
          <w:szCs w:val="20"/>
        </w:rPr>
      </w:pPr>
      <w:r>
        <w:rPr>
          <w:rFonts w:ascii="Arial" w:hAnsi="Arial" w:cs="Arial"/>
          <w:sz w:val="20"/>
          <w:szCs w:val="20"/>
        </w:rPr>
        <w:t>Page 3 of 18</w:t>
      </w:r>
    </w:p>
    <w:p w:rsidR="002C5025" w:rsidRDefault="002C5025">
      <w:pPr>
        <w:pStyle w:val="BodyText"/>
        <w:kinsoku w:val="0"/>
        <w:overflowPunct w:val="0"/>
        <w:spacing w:before="74"/>
        <w:ind w:right="114"/>
        <w:jc w:val="right"/>
        <w:rPr>
          <w:rFonts w:ascii="Arial" w:hAnsi="Arial" w:cs="Arial"/>
          <w:sz w:val="20"/>
          <w:szCs w:val="20"/>
        </w:rPr>
        <w:sectPr w:rsidR="002C5025">
          <w:pgSz w:w="12240" w:h="15840"/>
          <w:pgMar w:top="1500" w:right="1240" w:bottom="280" w:left="1240" w:header="720" w:footer="720" w:gutter="0"/>
          <w:cols w:space="720"/>
          <w:noEndnote/>
        </w:sect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9"/>
        <w:rPr>
          <w:rFonts w:ascii="Arial" w:hAnsi="Arial" w:cs="Arial"/>
          <w:sz w:val="15"/>
          <w:szCs w:val="15"/>
        </w:rPr>
      </w:pPr>
    </w:p>
    <w:p w:rsidR="002C5025" w:rsidRDefault="002C5025">
      <w:pPr>
        <w:pStyle w:val="BodyText"/>
        <w:kinsoku w:val="0"/>
        <w:overflowPunct w:val="0"/>
        <w:spacing w:before="82"/>
        <w:ind w:left="833" w:right="235"/>
        <w:rPr>
          <w:rFonts w:ascii="Arial" w:hAnsi="Arial" w:cs="Arial"/>
          <w:position w:val="10"/>
          <w:sz w:val="14"/>
          <w:szCs w:val="14"/>
        </w:rPr>
      </w:pPr>
      <w:r>
        <w:rPr>
          <w:rFonts w:ascii="Arial" w:hAnsi="Arial" w:cs="Arial"/>
        </w:rPr>
        <w:t>detail how this information is used to inform operations and care delivery;</w:t>
      </w:r>
      <w:hyperlink w:anchor="bookmark2" w:history="1">
        <w:r>
          <w:rPr>
            <w:rFonts w:ascii="Arial" w:hAnsi="Arial" w:cs="Arial"/>
            <w:position w:val="10"/>
            <w:sz w:val="14"/>
            <w:szCs w:val="14"/>
          </w:rPr>
          <w:t>3</w:t>
        </w:r>
      </w:hyperlink>
    </w:p>
    <w:p w:rsidR="002C5025" w:rsidRDefault="002C5025">
      <w:pPr>
        <w:pStyle w:val="ListParagraph"/>
        <w:numPr>
          <w:ilvl w:val="0"/>
          <w:numId w:val="89"/>
        </w:numPr>
        <w:tabs>
          <w:tab w:val="left" w:pos="834"/>
        </w:tabs>
        <w:kinsoku w:val="0"/>
        <w:overflowPunct w:val="0"/>
        <w:spacing w:before="119"/>
        <w:ind w:right="114"/>
        <w:jc w:val="both"/>
        <w:rPr>
          <w:rFonts w:ascii="Arial" w:hAnsi="Arial" w:cs="Arial"/>
          <w:sz w:val="22"/>
          <w:szCs w:val="22"/>
        </w:rPr>
      </w:pPr>
      <w:r>
        <w:rPr>
          <w:rFonts w:ascii="Arial" w:hAnsi="Arial" w:cs="Arial"/>
          <w:sz w:val="22"/>
          <w:szCs w:val="22"/>
        </w:rPr>
        <w:t>Document to all ACO participating providers how shared savings will be distributed among participating providers and make a summary publicly</w:t>
      </w:r>
      <w:r>
        <w:rPr>
          <w:rFonts w:ascii="Arial" w:hAnsi="Arial" w:cs="Arial"/>
          <w:spacing w:val="-35"/>
          <w:sz w:val="22"/>
          <w:szCs w:val="22"/>
        </w:rPr>
        <w:t xml:space="preserve"> </w:t>
      </w:r>
      <w:r>
        <w:rPr>
          <w:rFonts w:ascii="Arial" w:hAnsi="Arial" w:cs="Arial"/>
          <w:sz w:val="22"/>
          <w:szCs w:val="22"/>
        </w:rPr>
        <w:t>available;</w:t>
      </w:r>
    </w:p>
    <w:p w:rsidR="002C5025" w:rsidRDefault="002C5025">
      <w:pPr>
        <w:pStyle w:val="ListParagraph"/>
        <w:numPr>
          <w:ilvl w:val="0"/>
          <w:numId w:val="89"/>
        </w:numPr>
        <w:tabs>
          <w:tab w:val="left" w:pos="834"/>
        </w:tabs>
        <w:kinsoku w:val="0"/>
        <w:overflowPunct w:val="0"/>
        <w:spacing w:before="121"/>
        <w:ind w:right="113"/>
        <w:jc w:val="both"/>
        <w:rPr>
          <w:rFonts w:ascii="Arial" w:hAnsi="Arial" w:cs="Arial"/>
          <w:sz w:val="22"/>
          <w:szCs w:val="22"/>
        </w:rPr>
      </w:pPr>
      <w:r>
        <w:rPr>
          <w:rFonts w:ascii="Arial" w:hAnsi="Arial" w:cs="Arial"/>
          <w:sz w:val="22"/>
          <w:szCs w:val="22"/>
        </w:rPr>
        <w:t>Detail in a public document its methods and processes to coordinate care throughout an episode of care and during level-of-care transitions both inside and outside the ACO, with documentation verifying the non-ACO partnerships.  For</w:t>
      </w:r>
      <w:r>
        <w:rPr>
          <w:rFonts w:ascii="Arial" w:hAnsi="Arial" w:cs="Arial"/>
          <w:spacing w:val="-29"/>
          <w:sz w:val="22"/>
          <w:szCs w:val="22"/>
        </w:rPr>
        <w:t xml:space="preserve"> </w:t>
      </w:r>
      <w:r>
        <w:rPr>
          <w:rFonts w:ascii="Arial" w:hAnsi="Arial" w:cs="Arial"/>
          <w:sz w:val="22"/>
          <w:szCs w:val="22"/>
        </w:rPr>
        <w:t>example:</w:t>
      </w:r>
    </w:p>
    <w:p w:rsidR="002C5025" w:rsidRDefault="002C5025">
      <w:pPr>
        <w:pStyle w:val="ListParagraph"/>
        <w:numPr>
          <w:ilvl w:val="1"/>
          <w:numId w:val="89"/>
        </w:numPr>
        <w:tabs>
          <w:tab w:val="left" w:pos="1194"/>
        </w:tabs>
        <w:kinsoku w:val="0"/>
        <w:overflowPunct w:val="0"/>
        <w:spacing w:before="124" w:line="252" w:lineRule="exact"/>
        <w:ind w:left="1193" w:right="111"/>
        <w:rPr>
          <w:rFonts w:ascii="Arial" w:hAnsi="Arial" w:cs="Arial"/>
          <w:sz w:val="22"/>
          <w:szCs w:val="22"/>
        </w:rPr>
      </w:pPr>
      <w:r>
        <w:rPr>
          <w:rFonts w:ascii="Arial" w:hAnsi="Arial" w:cs="Arial"/>
          <w:sz w:val="22"/>
          <w:szCs w:val="22"/>
        </w:rPr>
        <w:t>transition from inpatient behavioral health unit to community-based and outpatient services;</w:t>
      </w:r>
      <w:r>
        <w:rPr>
          <w:rFonts w:ascii="Arial" w:hAnsi="Arial" w:cs="Arial"/>
          <w:spacing w:val="-5"/>
          <w:sz w:val="22"/>
          <w:szCs w:val="22"/>
        </w:rPr>
        <w:t xml:space="preserve"> </w:t>
      </w:r>
      <w:r>
        <w:rPr>
          <w:rFonts w:ascii="Arial" w:hAnsi="Arial" w:cs="Arial"/>
          <w:sz w:val="22"/>
          <w:szCs w:val="22"/>
        </w:rPr>
        <w:t>and,</w:t>
      </w:r>
    </w:p>
    <w:p w:rsidR="002C5025" w:rsidRDefault="002C5025">
      <w:pPr>
        <w:pStyle w:val="ListParagraph"/>
        <w:numPr>
          <w:ilvl w:val="1"/>
          <w:numId w:val="89"/>
        </w:numPr>
        <w:tabs>
          <w:tab w:val="left" w:pos="1194"/>
        </w:tabs>
        <w:kinsoku w:val="0"/>
        <w:overflowPunct w:val="0"/>
        <w:spacing w:before="117" w:line="328" w:lineRule="auto"/>
        <w:ind w:left="832" w:right="1776" w:firstLine="0"/>
        <w:rPr>
          <w:rFonts w:ascii="Arial" w:hAnsi="Arial" w:cs="Arial"/>
          <w:sz w:val="22"/>
          <w:szCs w:val="22"/>
        </w:rPr>
      </w:pPr>
      <w:r>
        <w:rPr>
          <w:rFonts w:ascii="Arial" w:hAnsi="Arial" w:cs="Arial"/>
          <w:sz w:val="22"/>
          <w:szCs w:val="22"/>
        </w:rPr>
        <w:t>transition from inpatient detox to intermediate and outpatient services. This plan should be updated on a scheduled</w:t>
      </w:r>
      <w:r>
        <w:rPr>
          <w:rFonts w:ascii="Arial" w:hAnsi="Arial" w:cs="Arial"/>
          <w:spacing w:val="-22"/>
          <w:sz w:val="22"/>
          <w:szCs w:val="22"/>
        </w:rPr>
        <w:t xml:space="preserve"> </w:t>
      </w:r>
      <w:r>
        <w:rPr>
          <w:rFonts w:ascii="Arial" w:hAnsi="Arial" w:cs="Arial"/>
          <w:sz w:val="22"/>
          <w:szCs w:val="22"/>
        </w:rPr>
        <w:t>basis.</w:t>
      </w:r>
    </w:p>
    <w:p w:rsidR="002C5025" w:rsidRDefault="002C5025">
      <w:pPr>
        <w:pStyle w:val="ListParagraph"/>
        <w:numPr>
          <w:ilvl w:val="0"/>
          <w:numId w:val="89"/>
        </w:numPr>
        <w:tabs>
          <w:tab w:val="left" w:pos="833"/>
        </w:tabs>
        <w:kinsoku w:val="0"/>
        <w:overflowPunct w:val="0"/>
        <w:spacing w:before="30"/>
        <w:ind w:left="832" w:right="110" w:hanging="359"/>
        <w:jc w:val="both"/>
        <w:rPr>
          <w:rFonts w:ascii="Arial" w:hAnsi="Arial" w:cs="Arial"/>
          <w:sz w:val="22"/>
          <w:szCs w:val="22"/>
        </w:rPr>
      </w:pPr>
      <w:r>
        <w:rPr>
          <w:rFonts w:ascii="Arial" w:hAnsi="Arial" w:cs="Arial"/>
          <w:sz w:val="22"/>
          <w:szCs w:val="22"/>
        </w:rPr>
        <w:t>Detail in a public document its plan to incorporate behavioral health into its care management of members. Verify the participation of community-based partners and update this plan on a scheduled</w:t>
      </w:r>
      <w:r>
        <w:rPr>
          <w:rFonts w:ascii="Arial" w:hAnsi="Arial" w:cs="Arial"/>
          <w:spacing w:val="-17"/>
          <w:sz w:val="22"/>
          <w:szCs w:val="22"/>
        </w:rPr>
        <w:t xml:space="preserve"> </w:t>
      </w:r>
      <w:r>
        <w:rPr>
          <w:rFonts w:ascii="Arial" w:hAnsi="Arial" w:cs="Arial"/>
          <w:sz w:val="22"/>
          <w:szCs w:val="22"/>
        </w:rPr>
        <w:t>basis;</w:t>
      </w:r>
    </w:p>
    <w:p w:rsidR="002C5025" w:rsidRDefault="002C5025">
      <w:pPr>
        <w:pStyle w:val="ListParagraph"/>
        <w:numPr>
          <w:ilvl w:val="0"/>
          <w:numId w:val="89"/>
        </w:numPr>
        <w:tabs>
          <w:tab w:val="left" w:pos="833"/>
        </w:tabs>
        <w:kinsoku w:val="0"/>
        <w:overflowPunct w:val="0"/>
        <w:spacing w:before="121"/>
        <w:ind w:left="832" w:right="110" w:hanging="359"/>
        <w:jc w:val="both"/>
        <w:rPr>
          <w:rFonts w:ascii="Arial" w:hAnsi="Arial" w:cs="Arial"/>
          <w:sz w:val="22"/>
          <w:szCs w:val="22"/>
        </w:rPr>
      </w:pPr>
      <w:r>
        <w:rPr>
          <w:rFonts w:ascii="Arial" w:hAnsi="Arial" w:cs="Arial"/>
          <w:sz w:val="22"/>
          <w:szCs w:val="22"/>
        </w:rPr>
        <w:t>Detail in a public document its number and percentage of members eligible for Community Partner coordination services and the number and percentage assigned to a Community Partner for care coordination. Also report the percentage of members receiving coordination services provided by the ACO, primary care providers, and Community Partners;</w:t>
      </w:r>
      <w:r>
        <w:rPr>
          <w:rFonts w:ascii="Arial" w:hAnsi="Arial" w:cs="Arial"/>
          <w:spacing w:val="-5"/>
          <w:sz w:val="22"/>
          <w:szCs w:val="22"/>
        </w:rPr>
        <w:t xml:space="preserve"> </w:t>
      </w:r>
      <w:r>
        <w:rPr>
          <w:rFonts w:ascii="Arial" w:hAnsi="Arial" w:cs="Arial"/>
          <w:sz w:val="22"/>
          <w:szCs w:val="22"/>
        </w:rPr>
        <w:t>and,</w:t>
      </w:r>
    </w:p>
    <w:p w:rsidR="002C5025" w:rsidRDefault="002C5025">
      <w:pPr>
        <w:pStyle w:val="BodyText"/>
        <w:kinsoku w:val="0"/>
        <w:overflowPunct w:val="0"/>
        <w:spacing w:before="11"/>
        <w:rPr>
          <w:rFonts w:ascii="Arial" w:hAnsi="Arial" w:cs="Arial"/>
          <w:sz w:val="20"/>
          <w:szCs w:val="20"/>
        </w:rPr>
      </w:pPr>
    </w:p>
    <w:p w:rsidR="002C5025" w:rsidRDefault="002C5025">
      <w:pPr>
        <w:pStyle w:val="ListParagraph"/>
        <w:numPr>
          <w:ilvl w:val="0"/>
          <w:numId w:val="89"/>
        </w:numPr>
        <w:tabs>
          <w:tab w:val="left" w:pos="833"/>
        </w:tabs>
        <w:kinsoku w:val="0"/>
        <w:overflowPunct w:val="0"/>
        <w:ind w:left="832" w:right="114" w:hanging="359"/>
        <w:jc w:val="both"/>
        <w:rPr>
          <w:rFonts w:ascii="Arial" w:hAnsi="Arial" w:cs="Arial"/>
          <w:sz w:val="22"/>
          <w:szCs w:val="22"/>
        </w:rPr>
      </w:pPr>
      <w:r>
        <w:rPr>
          <w:rFonts w:ascii="Arial" w:hAnsi="Arial" w:cs="Arial"/>
          <w:sz w:val="22"/>
          <w:szCs w:val="22"/>
        </w:rPr>
        <w:t>Detail in a public manner its plan to prevent disparities in care, including matching members to appropriate community-based providers and</w:t>
      </w:r>
      <w:r>
        <w:rPr>
          <w:rFonts w:ascii="Arial" w:hAnsi="Arial" w:cs="Arial"/>
          <w:spacing w:val="-29"/>
          <w:sz w:val="22"/>
          <w:szCs w:val="22"/>
        </w:rPr>
        <w:t xml:space="preserve"> </w:t>
      </w:r>
      <w:r>
        <w:rPr>
          <w:rFonts w:ascii="Arial" w:hAnsi="Arial" w:cs="Arial"/>
          <w:sz w:val="22"/>
          <w:szCs w:val="22"/>
        </w:rPr>
        <w:t>resources.</w:t>
      </w:r>
    </w:p>
    <w:p w:rsidR="002C5025" w:rsidRDefault="002C5025">
      <w:pPr>
        <w:pStyle w:val="BodyText"/>
        <w:kinsoku w:val="0"/>
        <w:overflowPunct w:val="0"/>
        <w:rPr>
          <w:rFonts w:ascii="Arial" w:hAnsi="Arial" w:cs="Arial"/>
        </w:rPr>
      </w:pPr>
    </w:p>
    <w:p w:rsidR="002C5025" w:rsidRDefault="002C5025">
      <w:pPr>
        <w:pStyle w:val="BodyText"/>
        <w:kinsoku w:val="0"/>
        <w:overflowPunct w:val="0"/>
        <w:ind w:left="112" w:right="162"/>
        <w:rPr>
          <w:rFonts w:ascii="Arial" w:hAnsi="Arial" w:cs="Arial"/>
        </w:rPr>
      </w:pPr>
      <w:r>
        <w:rPr>
          <w:rFonts w:ascii="Arial" w:hAnsi="Arial" w:cs="Arial"/>
        </w:rPr>
        <w:t>Finally, ABH recommends that MassHealth convene additional stakeholder feedback sessions on the ACO and MCO procurements. Based on the Pilot ACO Request for Responses, ABH would have a number of questions and comments.</w:t>
      </w:r>
    </w:p>
    <w:p w:rsidR="002C5025" w:rsidRDefault="002C5025">
      <w:pPr>
        <w:pStyle w:val="BodyText"/>
        <w:kinsoku w:val="0"/>
        <w:overflowPunct w:val="0"/>
        <w:spacing w:before="10"/>
        <w:rPr>
          <w:rFonts w:ascii="Arial" w:hAnsi="Arial" w:cs="Arial"/>
          <w:sz w:val="21"/>
          <w:szCs w:val="21"/>
        </w:rPr>
      </w:pPr>
    </w:p>
    <w:p w:rsidR="002C5025" w:rsidRDefault="002C5025">
      <w:pPr>
        <w:pStyle w:val="BodyText"/>
        <w:kinsoku w:val="0"/>
        <w:overflowPunct w:val="0"/>
        <w:spacing w:before="1"/>
        <w:ind w:left="113" w:right="235"/>
        <w:rPr>
          <w:rFonts w:ascii="Arial" w:hAnsi="Arial" w:cs="Arial"/>
          <w:b/>
          <w:bCs/>
          <w:sz w:val="26"/>
          <w:szCs w:val="26"/>
        </w:rPr>
      </w:pPr>
      <w:r>
        <w:rPr>
          <w:rFonts w:ascii="Arial" w:hAnsi="Arial" w:cs="Arial"/>
          <w:b/>
          <w:bCs/>
          <w:sz w:val="26"/>
          <w:szCs w:val="26"/>
        </w:rPr>
        <w:t>Cross-Model Consistency</w:t>
      </w:r>
    </w:p>
    <w:p w:rsidR="002C5025" w:rsidRDefault="002C5025">
      <w:pPr>
        <w:pStyle w:val="BodyText"/>
        <w:kinsoku w:val="0"/>
        <w:overflowPunct w:val="0"/>
        <w:spacing w:before="2" w:line="237" w:lineRule="auto"/>
        <w:ind w:left="113" w:right="107"/>
        <w:jc w:val="both"/>
        <w:rPr>
          <w:rFonts w:ascii="Arial" w:hAnsi="Arial" w:cs="Arial"/>
        </w:rPr>
      </w:pPr>
      <w:r>
        <w:rPr>
          <w:rFonts w:ascii="Arial" w:hAnsi="Arial" w:cs="Arial"/>
        </w:rPr>
        <w:t>The proposal envisions MCOs and ACOs as complementary, with MCOs “working with ACO providers to improve care delivery and coordination” and helping “determine which care management functions are best done” by providers vs. MCOs (See proposal Executive  Summary). The proposal also states that “MCOs may also help ACOs determine how best to integrate behavioral health (BH) and long-term services and supports (LTSS) Community  Partners into care teams.” Because of the potential for a proliferation of arrangements, ABH believes that the Commonwealth should have sufficient standardization to minimize confusion among MCO-contracted providers, ACO-affiliated and unaffiliated providers, and MassHealth members.</w:t>
      </w:r>
      <w:hyperlink w:anchor="bookmark3" w:history="1">
        <w:r>
          <w:rPr>
            <w:rFonts w:ascii="Arial" w:hAnsi="Arial" w:cs="Arial"/>
            <w:position w:val="10"/>
            <w:sz w:val="14"/>
            <w:szCs w:val="14"/>
          </w:rPr>
          <w:t>4</w:t>
        </w:r>
      </w:hyperlink>
      <w:r>
        <w:rPr>
          <w:rFonts w:ascii="Arial" w:hAnsi="Arial" w:cs="Arial"/>
          <w:position w:val="10"/>
          <w:sz w:val="14"/>
          <w:szCs w:val="14"/>
        </w:rPr>
        <w:t xml:space="preserve"> </w:t>
      </w:r>
      <w:r>
        <w:rPr>
          <w:rFonts w:ascii="Arial" w:hAnsi="Arial" w:cs="Arial"/>
        </w:rPr>
        <w:t>This would be consistent with the Center for Health Care Strategies (CHCS) recommendation</w:t>
      </w:r>
      <w:r>
        <w:rPr>
          <w:rFonts w:ascii="Arial" w:hAnsi="Arial" w:cs="Arial"/>
          <w:spacing w:val="29"/>
        </w:rPr>
        <w:t xml:space="preserve"> </w:t>
      </w:r>
      <w:r>
        <w:rPr>
          <w:rFonts w:ascii="Arial" w:hAnsi="Arial" w:cs="Arial"/>
        </w:rPr>
        <w:t>for</w:t>
      </w:r>
      <w:r>
        <w:rPr>
          <w:rFonts w:ascii="Arial" w:hAnsi="Arial" w:cs="Arial"/>
          <w:spacing w:val="33"/>
        </w:rPr>
        <w:t xml:space="preserve"> </w:t>
      </w:r>
      <w:r>
        <w:rPr>
          <w:rFonts w:ascii="Arial" w:hAnsi="Arial" w:cs="Arial"/>
        </w:rPr>
        <w:t>states</w:t>
      </w:r>
      <w:r>
        <w:rPr>
          <w:rFonts w:ascii="Arial" w:hAnsi="Arial" w:cs="Arial"/>
          <w:spacing w:val="32"/>
        </w:rPr>
        <w:t xml:space="preserve"> </w:t>
      </w:r>
      <w:r>
        <w:rPr>
          <w:rFonts w:ascii="Arial" w:hAnsi="Arial" w:cs="Arial"/>
        </w:rPr>
        <w:t>to</w:t>
      </w:r>
      <w:r>
        <w:rPr>
          <w:rFonts w:ascii="Arial" w:hAnsi="Arial" w:cs="Arial"/>
          <w:spacing w:val="32"/>
        </w:rPr>
        <w:t xml:space="preserve"> </w:t>
      </w:r>
      <w:r>
        <w:rPr>
          <w:rFonts w:ascii="Arial" w:hAnsi="Arial" w:cs="Arial"/>
        </w:rPr>
        <w:t>establish</w:t>
      </w:r>
      <w:r>
        <w:rPr>
          <w:rFonts w:ascii="Arial" w:hAnsi="Arial" w:cs="Arial"/>
          <w:spacing w:val="32"/>
        </w:rPr>
        <w:t xml:space="preserve"> </w:t>
      </w:r>
      <w:r>
        <w:rPr>
          <w:rFonts w:ascii="Arial" w:hAnsi="Arial" w:cs="Arial"/>
        </w:rPr>
        <w:t>consistently</w:t>
      </w:r>
      <w:r>
        <w:rPr>
          <w:rFonts w:ascii="Arial" w:hAnsi="Arial" w:cs="Arial"/>
          <w:spacing w:val="30"/>
        </w:rPr>
        <w:t xml:space="preserve"> </w:t>
      </w:r>
      <w:r>
        <w:rPr>
          <w:rFonts w:ascii="Arial" w:hAnsi="Arial" w:cs="Arial"/>
        </w:rPr>
        <w:t>defined</w:t>
      </w:r>
      <w:r>
        <w:rPr>
          <w:rFonts w:ascii="Arial" w:hAnsi="Arial" w:cs="Arial"/>
          <w:spacing w:val="32"/>
        </w:rPr>
        <w:t xml:space="preserve"> </w:t>
      </w:r>
      <w:r>
        <w:rPr>
          <w:rFonts w:ascii="Arial" w:hAnsi="Arial" w:cs="Arial"/>
        </w:rPr>
        <w:t>standards</w:t>
      </w:r>
      <w:r>
        <w:rPr>
          <w:rFonts w:ascii="Arial" w:hAnsi="Arial" w:cs="Arial"/>
          <w:spacing w:val="32"/>
        </w:rPr>
        <w:t xml:space="preserve"> </w:t>
      </w:r>
      <w:r>
        <w:rPr>
          <w:rFonts w:ascii="Arial" w:hAnsi="Arial" w:cs="Arial"/>
        </w:rPr>
        <w:t>across</w:t>
      </w:r>
      <w:r>
        <w:rPr>
          <w:rFonts w:ascii="Arial" w:hAnsi="Arial" w:cs="Arial"/>
          <w:spacing w:val="32"/>
        </w:rPr>
        <w:t xml:space="preserve"> </w:t>
      </w:r>
      <w:r>
        <w:rPr>
          <w:rFonts w:ascii="Arial" w:hAnsi="Arial" w:cs="Arial"/>
        </w:rPr>
        <w:t>core</w:t>
      </w:r>
      <w:r>
        <w:rPr>
          <w:rFonts w:ascii="Arial" w:hAnsi="Arial" w:cs="Arial"/>
          <w:spacing w:val="32"/>
        </w:rPr>
        <w:t xml:space="preserve"> </w:t>
      </w:r>
      <w:r>
        <w:rPr>
          <w:rFonts w:ascii="Arial" w:hAnsi="Arial" w:cs="Arial"/>
        </w:rPr>
        <w:t>activities</w:t>
      </w:r>
      <w:r>
        <w:rPr>
          <w:rFonts w:ascii="Arial" w:hAnsi="Arial" w:cs="Arial"/>
          <w:spacing w:val="32"/>
        </w:rPr>
        <w:t xml:space="preserve"> </w:t>
      </w:r>
      <w:r>
        <w:rPr>
          <w:rFonts w:ascii="Arial" w:hAnsi="Arial" w:cs="Arial"/>
        </w:rPr>
        <w:t>to</w:t>
      </w:r>
    </w:p>
    <w:p w:rsidR="002C5025" w:rsidRDefault="00FB027C">
      <w:pPr>
        <w:pStyle w:val="BodyText"/>
        <w:kinsoku w:val="0"/>
        <w:overflowPunct w:val="0"/>
        <w:spacing w:before="10"/>
        <w:rPr>
          <w:rFonts w:ascii="Arial" w:hAnsi="Arial" w:cs="Arial"/>
          <w:sz w:val="24"/>
          <w:szCs w:val="24"/>
        </w:rPr>
      </w:pPr>
      <w:r>
        <w:rPr>
          <w:noProof/>
        </w:rPr>
        <mc:AlternateContent>
          <mc:Choice Requires="wps">
            <w:drawing>
              <wp:anchor distT="0" distB="0" distL="0" distR="0" simplePos="0" relativeHeight="251503104" behindDoc="0" locked="0" layoutInCell="0" allowOverlap="1">
                <wp:simplePos x="0" y="0"/>
                <wp:positionH relativeFrom="page">
                  <wp:posOffset>859155</wp:posOffset>
                </wp:positionH>
                <wp:positionV relativeFrom="paragraph">
                  <wp:posOffset>210185</wp:posOffset>
                </wp:positionV>
                <wp:extent cx="1828800" cy="12700"/>
                <wp:effectExtent l="0" t="0" r="0" b="0"/>
                <wp:wrapTopAndBottom/>
                <wp:docPr id="895" name="Freeform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w 2880"/>
                            <a:gd name="T1" fmla="*/ 0 h 20"/>
                            <a:gd name="T2" fmla="*/ 2880 w 2880"/>
                            <a:gd name="T3" fmla="*/ 0 h 20"/>
                          </a:gdLst>
                          <a:ahLst/>
                          <a:cxnLst>
                            <a:cxn ang="0">
                              <a:pos x="T0" y="T1"/>
                            </a:cxn>
                            <a:cxn ang="0">
                              <a:pos x="T2" y="T3"/>
                            </a:cxn>
                          </a:cxnLst>
                          <a:rect l="0" t="0" r="r" b="b"/>
                          <a:pathLst>
                            <a:path w="2880" h="20">
                              <a:moveTo>
                                <a:pt x="0" y="0"/>
                              </a:moveTo>
                              <a:lnTo>
                                <a:pt x="2880" y="0"/>
                              </a:lnTo>
                            </a:path>
                          </a:pathLst>
                        </a:custGeom>
                        <a:noFill/>
                        <a:ln w="76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30" o:spid="_x0000_s1026" style="position:absolute;z-index:251503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67.65pt,16.55pt,211.65pt,16.55pt" coordsize="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" o:allowincell="f" filled="f" strokeweight=".21131mm">
                <v:path arrowok="t" o:connecttype="custom" o:connectlocs="0,0;1828800,0" o:connectangles="0,0"/>
                <w10:wrap type="topAndBottom" anchorx="page"/>
              </v:polyline>
            </w:pict>
          </mc:Fallback>
        </mc:AlternateContent>
      </w:r>
    </w:p>
    <w:p w:rsidR="002C5025" w:rsidRDefault="002C5025">
      <w:pPr>
        <w:pStyle w:val="BodyText"/>
        <w:kinsoku w:val="0"/>
        <w:overflowPunct w:val="0"/>
        <w:spacing w:before="50" w:line="247" w:lineRule="auto"/>
        <w:ind w:left="113" w:right="108" w:hanging="1"/>
        <w:jc w:val="both"/>
        <w:rPr>
          <w:rFonts w:ascii="Arial" w:hAnsi="Arial" w:cs="Arial"/>
          <w:sz w:val="18"/>
          <w:szCs w:val="18"/>
        </w:rPr>
      </w:pPr>
      <w:bookmarkStart w:id="39" w:name="bookmark2"/>
      <w:bookmarkEnd w:id="39"/>
      <w:r>
        <w:rPr>
          <w:rFonts w:ascii="Times New Roman" w:hAnsi="Times New Roman" w:cs="Times New Roman"/>
          <w:position w:val="9"/>
          <w:sz w:val="13"/>
          <w:szCs w:val="13"/>
        </w:rPr>
        <w:t xml:space="preserve">3 </w:t>
      </w:r>
      <w:r>
        <w:rPr>
          <w:rFonts w:ascii="Arial" w:hAnsi="Arial" w:cs="Arial"/>
          <w:sz w:val="18"/>
          <w:szCs w:val="18"/>
        </w:rPr>
        <w:t>The referenced HPC domain requires ACOs to collect and evaluate the following data on members: race, ethnicity, language, culture, literacy, education, gender identity, sexual orientation, income, housing status, access to transportation, interpretation/translation needs, food insecurity, history of abuse/trauma and “other” as appropriate.</w:t>
      </w:r>
    </w:p>
    <w:p w:rsidR="002C5025" w:rsidRDefault="002C5025">
      <w:pPr>
        <w:pStyle w:val="BodyText"/>
        <w:kinsoku w:val="0"/>
        <w:overflowPunct w:val="0"/>
        <w:spacing w:line="200" w:lineRule="exact"/>
        <w:ind w:left="113" w:hanging="1"/>
        <w:jc w:val="both"/>
        <w:rPr>
          <w:rFonts w:ascii="Arial" w:hAnsi="Arial" w:cs="Arial"/>
          <w:sz w:val="18"/>
          <w:szCs w:val="18"/>
        </w:rPr>
      </w:pPr>
      <w:bookmarkStart w:id="40" w:name="bookmark3"/>
      <w:bookmarkEnd w:id="40"/>
      <w:r>
        <w:rPr>
          <w:rFonts w:ascii="Arial" w:hAnsi="Arial" w:cs="Arial"/>
          <w:position w:val="9"/>
          <w:sz w:val="12"/>
          <w:szCs w:val="12"/>
        </w:rPr>
        <w:t>4</w:t>
      </w:r>
      <w:r>
        <w:rPr>
          <w:rFonts w:ascii="Arial" w:hAnsi="Arial" w:cs="Arial"/>
          <w:sz w:val="18"/>
          <w:szCs w:val="18"/>
        </w:rPr>
        <w:t>In its MCO reprocurement, MassHealth should seek greater consistency across plans. For example, the PCC plan  via</w:t>
      </w:r>
    </w:p>
    <w:p w:rsidR="002C5025" w:rsidRDefault="002C5025">
      <w:pPr>
        <w:pStyle w:val="BodyText"/>
        <w:kinsoku w:val="0"/>
        <w:overflowPunct w:val="0"/>
        <w:ind w:left="113" w:right="108"/>
        <w:jc w:val="both"/>
        <w:rPr>
          <w:rFonts w:ascii="Arial" w:hAnsi="Arial" w:cs="Arial"/>
          <w:sz w:val="18"/>
          <w:szCs w:val="18"/>
        </w:rPr>
      </w:pPr>
      <w:r>
        <w:rPr>
          <w:rFonts w:ascii="Arial" w:hAnsi="Arial" w:cs="Arial"/>
          <w:sz w:val="18"/>
          <w:szCs w:val="18"/>
        </w:rPr>
        <w:t>the Massachusetts Behavioral Health Partnership (MBHP) along with One Care plans pay for highly effective, evidence- based Program of Assertive Community Treatment (PACT) services, but the MCEs do not. There is no logical reason why MassHealth member access to this medically necessary service is contingent upon plan enrollment.</w:t>
      </w:r>
    </w:p>
    <w:p w:rsidR="002C5025" w:rsidRDefault="002C5025">
      <w:pPr>
        <w:pStyle w:val="BodyText"/>
        <w:kinsoku w:val="0"/>
        <w:overflowPunct w:val="0"/>
        <w:spacing w:before="10"/>
        <w:rPr>
          <w:rFonts w:ascii="Arial" w:hAnsi="Arial" w:cs="Arial"/>
          <w:sz w:val="26"/>
          <w:szCs w:val="26"/>
        </w:rPr>
      </w:pPr>
    </w:p>
    <w:p w:rsidR="002C5025" w:rsidRDefault="002C5025">
      <w:pPr>
        <w:pStyle w:val="BodyText"/>
        <w:kinsoku w:val="0"/>
        <w:overflowPunct w:val="0"/>
        <w:spacing w:before="74"/>
        <w:ind w:right="114"/>
        <w:jc w:val="right"/>
        <w:rPr>
          <w:rFonts w:ascii="Arial" w:hAnsi="Arial" w:cs="Arial"/>
          <w:sz w:val="20"/>
          <w:szCs w:val="20"/>
        </w:rPr>
      </w:pPr>
      <w:r>
        <w:rPr>
          <w:rFonts w:ascii="Arial" w:hAnsi="Arial" w:cs="Arial"/>
          <w:sz w:val="20"/>
          <w:szCs w:val="20"/>
        </w:rPr>
        <w:t>Page 4 of 18</w:t>
      </w:r>
    </w:p>
    <w:p w:rsidR="002C5025" w:rsidRDefault="002C5025">
      <w:pPr>
        <w:pStyle w:val="BodyText"/>
        <w:kinsoku w:val="0"/>
        <w:overflowPunct w:val="0"/>
        <w:spacing w:before="74"/>
        <w:ind w:right="114"/>
        <w:jc w:val="right"/>
        <w:rPr>
          <w:rFonts w:ascii="Arial" w:hAnsi="Arial" w:cs="Arial"/>
          <w:sz w:val="20"/>
          <w:szCs w:val="20"/>
        </w:rPr>
        <w:sectPr w:rsidR="002C5025">
          <w:pgSz w:w="12240" w:h="15840"/>
          <w:pgMar w:top="1500" w:right="1240" w:bottom="280" w:left="1240" w:header="720" w:footer="720" w:gutter="0"/>
          <w:cols w:space="720"/>
          <w:noEndnote/>
        </w:sect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9"/>
        <w:rPr>
          <w:rFonts w:ascii="Arial" w:hAnsi="Arial" w:cs="Arial"/>
          <w:sz w:val="18"/>
          <w:szCs w:val="18"/>
        </w:rPr>
      </w:pPr>
    </w:p>
    <w:p w:rsidR="002C5025" w:rsidRDefault="002C5025">
      <w:pPr>
        <w:pStyle w:val="BodyText"/>
        <w:kinsoku w:val="0"/>
        <w:overflowPunct w:val="0"/>
        <w:spacing w:before="77" w:line="235" w:lineRule="auto"/>
        <w:ind w:left="113" w:right="110"/>
        <w:jc w:val="both"/>
        <w:rPr>
          <w:rFonts w:ascii="Arial" w:hAnsi="Arial" w:cs="Arial"/>
        </w:rPr>
      </w:pPr>
      <w:r>
        <w:rPr>
          <w:rFonts w:ascii="Arial" w:hAnsi="Arial" w:cs="Arial"/>
        </w:rPr>
        <w:t>simplify ACO administration and monitoring, while also making it easier for MCOs to administer and less expensive for non-primary care providers, i.e., specialists that might participate  in multiple ACOs, to participate. CHCS notes that States clearly “defining ACO and MCO roles, implementing the program effectively, and aligning ACO activities across Medicaid payers are crucial aspects of ACO success in a managed care environment.”</w:t>
      </w:r>
      <w:hyperlink w:anchor="bookmark4" w:history="1">
        <w:r>
          <w:rPr>
            <w:rFonts w:ascii="Arial" w:hAnsi="Arial" w:cs="Arial"/>
            <w:position w:val="10"/>
            <w:sz w:val="14"/>
            <w:szCs w:val="14"/>
          </w:rPr>
          <w:t>5</w:t>
        </w:r>
      </w:hyperlink>
      <w:r>
        <w:rPr>
          <w:rFonts w:ascii="Arial" w:hAnsi="Arial" w:cs="Arial"/>
          <w:position w:val="10"/>
          <w:sz w:val="14"/>
          <w:szCs w:val="14"/>
        </w:rPr>
        <w:t xml:space="preserve"> </w:t>
      </w:r>
      <w:r>
        <w:rPr>
          <w:rFonts w:ascii="Arial" w:hAnsi="Arial" w:cs="Arial"/>
        </w:rPr>
        <w:t>This will also be important in helping the state avoid duplication of functions and services.</w:t>
      </w:r>
    </w:p>
    <w:p w:rsidR="002C5025" w:rsidRDefault="002C5025">
      <w:pPr>
        <w:pStyle w:val="BodyText"/>
        <w:kinsoku w:val="0"/>
        <w:overflowPunct w:val="0"/>
        <w:spacing w:before="10"/>
        <w:rPr>
          <w:rFonts w:ascii="Arial" w:hAnsi="Arial" w:cs="Arial"/>
          <w:sz w:val="25"/>
          <w:szCs w:val="25"/>
        </w:rPr>
      </w:pPr>
    </w:p>
    <w:p w:rsidR="002C5025" w:rsidRDefault="002C5025">
      <w:pPr>
        <w:pStyle w:val="BodyText"/>
        <w:kinsoku w:val="0"/>
        <w:overflowPunct w:val="0"/>
        <w:spacing w:before="1"/>
        <w:ind w:left="113"/>
        <w:jc w:val="both"/>
        <w:rPr>
          <w:rFonts w:ascii="Arial" w:hAnsi="Arial" w:cs="Arial"/>
          <w:b/>
          <w:bCs/>
          <w:sz w:val="26"/>
          <w:szCs w:val="26"/>
        </w:rPr>
      </w:pPr>
      <w:r>
        <w:rPr>
          <w:rFonts w:ascii="Arial" w:hAnsi="Arial" w:cs="Arial"/>
          <w:b/>
          <w:bCs/>
          <w:sz w:val="26"/>
          <w:szCs w:val="26"/>
        </w:rPr>
        <w:t>Designated Behavioral Health Representation in ACO Governance</w:t>
      </w:r>
    </w:p>
    <w:p w:rsidR="002C5025" w:rsidRDefault="00FB027C">
      <w:pPr>
        <w:pStyle w:val="BodyText"/>
        <w:kinsoku w:val="0"/>
        <w:overflowPunct w:val="0"/>
        <w:ind w:left="113" w:right="4567"/>
        <w:rPr>
          <w:rFonts w:ascii="Arial" w:hAnsi="Arial" w:cs="Arial"/>
        </w:rPr>
      </w:pPr>
      <w:r>
        <w:rPr>
          <w:noProof/>
        </w:rPr>
        <mc:AlternateContent>
          <mc:Choice Requires="wpg">
            <w:drawing>
              <wp:anchor distT="0" distB="0" distL="114300" distR="114300" simplePos="0" relativeHeight="251504128" behindDoc="0" locked="0" layoutInCell="0" allowOverlap="1">
                <wp:simplePos x="0" y="0"/>
                <wp:positionH relativeFrom="page">
                  <wp:posOffset>3941445</wp:posOffset>
                </wp:positionH>
                <wp:positionV relativeFrom="paragraph">
                  <wp:posOffset>51435</wp:posOffset>
                </wp:positionV>
                <wp:extent cx="2879725" cy="241300"/>
                <wp:effectExtent l="0" t="0" r="0" b="0"/>
                <wp:wrapNone/>
                <wp:docPr id="892"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9725" cy="241300"/>
                          <a:chOff x="6207" y="81"/>
                          <a:chExt cx="4535" cy="380"/>
                        </a:xfrm>
                      </wpg:grpSpPr>
                      <wps:wsp>
                        <wps:cNvPr id="893" name="Freeform 132"/>
                        <wps:cNvSpPr>
                          <a:spLocks/>
                        </wps:cNvSpPr>
                        <wps:spPr bwMode="auto">
                          <a:xfrm>
                            <a:off x="6207" y="81"/>
                            <a:ext cx="4535" cy="380"/>
                          </a:xfrm>
                          <a:custGeom>
                            <a:avLst/>
                            <a:gdLst>
                              <a:gd name="T0" fmla="*/ 0 w 4535"/>
                              <a:gd name="T1" fmla="*/ 380 h 380"/>
                              <a:gd name="T2" fmla="*/ 4535 w 4535"/>
                              <a:gd name="T3" fmla="*/ 380 h 380"/>
                              <a:gd name="T4" fmla="*/ 4535 w 4535"/>
                              <a:gd name="T5" fmla="*/ 0 h 380"/>
                              <a:gd name="T6" fmla="*/ 0 w 4535"/>
                              <a:gd name="T7" fmla="*/ 0 h 380"/>
                              <a:gd name="T8" fmla="*/ 0 w 4535"/>
                              <a:gd name="T9" fmla="*/ 380 h 380"/>
                            </a:gdLst>
                            <a:ahLst/>
                            <a:cxnLst>
                              <a:cxn ang="0">
                                <a:pos x="T0" y="T1"/>
                              </a:cxn>
                              <a:cxn ang="0">
                                <a:pos x="T2" y="T3"/>
                              </a:cxn>
                              <a:cxn ang="0">
                                <a:pos x="T4" y="T5"/>
                              </a:cxn>
                              <a:cxn ang="0">
                                <a:pos x="T6" y="T7"/>
                              </a:cxn>
                              <a:cxn ang="0">
                                <a:pos x="T8" y="T9"/>
                              </a:cxn>
                            </a:cxnLst>
                            <a:rect l="0" t="0" r="r" b="b"/>
                            <a:pathLst>
                              <a:path w="4535" h="380">
                                <a:moveTo>
                                  <a:pt x="0" y="380"/>
                                </a:moveTo>
                                <a:lnTo>
                                  <a:pt x="4535" y="380"/>
                                </a:lnTo>
                                <a:lnTo>
                                  <a:pt x="4535" y="0"/>
                                </a:lnTo>
                                <a:lnTo>
                                  <a:pt x="0" y="0"/>
                                </a:lnTo>
                                <a:lnTo>
                                  <a:pt x="0" y="380"/>
                                </a:lnTo>
                                <a:close/>
                              </a:path>
                            </a:pathLst>
                          </a:custGeom>
                          <a:solidFill>
                            <a:srgbClr val="C5E0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4" name="Freeform 133"/>
                        <wps:cNvSpPr>
                          <a:spLocks/>
                        </wps:cNvSpPr>
                        <wps:spPr bwMode="auto">
                          <a:xfrm>
                            <a:off x="6323" y="153"/>
                            <a:ext cx="4306" cy="236"/>
                          </a:xfrm>
                          <a:custGeom>
                            <a:avLst/>
                            <a:gdLst>
                              <a:gd name="T0" fmla="*/ 0 w 4306"/>
                              <a:gd name="T1" fmla="*/ 235 h 236"/>
                              <a:gd name="T2" fmla="*/ 4305 w 4306"/>
                              <a:gd name="T3" fmla="*/ 235 h 236"/>
                              <a:gd name="T4" fmla="*/ 4305 w 4306"/>
                              <a:gd name="T5" fmla="*/ 0 h 236"/>
                              <a:gd name="T6" fmla="*/ 0 w 4306"/>
                              <a:gd name="T7" fmla="*/ 0 h 236"/>
                              <a:gd name="T8" fmla="*/ 0 w 4306"/>
                              <a:gd name="T9" fmla="*/ 235 h 236"/>
                            </a:gdLst>
                            <a:ahLst/>
                            <a:cxnLst>
                              <a:cxn ang="0">
                                <a:pos x="T0" y="T1"/>
                              </a:cxn>
                              <a:cxn ang="0">
                                <a:pos x="T2" y="T3"/>
                              </a:cxn>
                              <a:cxn ang="0">
                                <a:pos x="T4" y="T5"/>
                              </a:cxn>
                              <a:cxn ang="0">
                                <a:pos x="T6" y="T7"/>
                              </a:cxn>
                              <a:cxn ang="0">
                                <a:pos x="T8" y="T9"/>
                              </a:cxn>
                            </a:cxnLst>
                            <a:rect l="0" t="0" r="r" b="b"/>
                            <a:pathLst>
                              <a:path w="4306" h="236">
                                <a:moveTo>
                                  <a:pt x="0" y="235"/>
                                </a:moveTo>
                                <a:lnTo>
                                  <a:pt x="4305" y="235"/>
                                </a:lnTo>
                                <a:lnTo>
                                  <a:pt x="4305" y="0"/>
                                </a:lnTo>
                                <a:lnTo>
                                  <a:pt x="0" y="0"/>
                                </a:lnTo>
                                <a:lnTo>
                                  <a:pt x="0" y="235"/>
                                </a:lnTo>
                                <a:close/>
                              </a:path>
                            </a:pathLst>
                          </a:custGeom>
                          <a:solidFill>
                            <a:srgbClr val="A9C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1" o:spid="_x0000_s1026" style="position:absolute;margin-left:310.35pt;margin-top:4.05pt;width:226.75pt;height:19pt;z-index:251504128;mso-position-horizontal-relative:page" coordorigin="6207,81" coordsize="4535,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" o:allowincell="f">
                <v:shape id="Freeform 132" o:spid="_x0000_s1027" style="position:absolute;left:6207;top:81;width:4535;height:380;visibility:visible;mso-wrap-style:square;v-text-anchor:top" coordsize="4535,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A2YMcA&#10;AADcAAAADwAAAGRycy9kb3ducmV2LnhtbESPQWvCQBSE74X+h+UJvRTd2EBJUlcRoVAKCtqK10f2&#10;dRPNvg3ZrUn99a5Q8DjMzDfMbDHYRpyp87VjBdNJAoK4dLpmo+D7632cgfABWWPjmBT8kYfF/PFh&#10;hoV2PW/pvAtGRAj7AhVUIbSFlL6syKKfuJY4ej+usxii7IzUHfYRbhv5kiSv0mLNcaHCllYVlafd&#10;r1Ww0of15bDPt+3zaTO16cYcP81SqafRsHwDEWgI9/B/+0MryPIUbmfiEZD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iQNmDHAAAA3AAAAA8AAAAAAAAAAAAAAAAAmAIAAGRy&#10;cy9kb3ducmV2LnhtbFBLBQYAAAAABAAEAPUAAACMAwAAAAA=&#10;" path="m,380r4535,l4535,,,,,380xe" fillcolor="#c5e0b3" stroked="f">
                  <v:path arrowok="t" o:connecttype="custom" o:connectlocs="0,380;4535,380;4535,0;0,0;0,380" o:connectangles="0,0,0,0,0"/>
                </v:shape>
                <v:shape id="Freeform 133" o:spid="_x0000_s1028" style="position:absolute;left:6323;top:153;width:4306;height:236;visibility:visible;mso-wrap-style:square;v-text-anchor:top" coordsize="4306,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jHNcUA&#10;AADcAAAADwAAAGRycy9kb3ducmV2LnhtbESP0WoCMRRE3wv9h3ALfavZWinrahQRCgURrfYDrptr&#10;drubmyVJdevXG6Hg4zAzZ5jpvLetOJEPtWMFr4MMBHHpdM1Gwff+4yUHESKyxtYxKfijAPPZ48MU&#10;C+3O/EWnXTQiQTgUqKCKsSukDGVFFsPAdcTJOzpvMSbpjdQezwluWznMsndpsea0UGFHy4rKZvdr&#10;FWy3q7e1Xi1yg/Uh+7nsG282jVLPT/1iAiJSH+/h//anVpCPR3A7k46A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2Mc1xQAAANwAAAAPAAAAAAAAAAAAAAAAAJgCAABkcnMv&#10;ZG93bnJldi54bWxQSwUGAAAAAAQABAD1AAAAigMAAAAA&#10;" path="m,235r4305,l4305,,,,,235xe" fillcolor="#a9c399" stroked="f">
                  <v:path arrowok="t" o:connecttype="custom" o:connectlocs="0,235;4305,235;4305,0;0,0;0,235" o:connectangles="0,0,0,0,0"/>
                </v:shape>
                <w10:wrap anchorx="page"/>
              </v:group>
            </w:pict>
          </mc:Fallback>
        </mc:AlternateContent>
      </w:r>
      <w:r w:rsidR="002C5025">
        <w:rPr>
          <w:rFonts w:ascii="Arial" w:hAnsi="Arial" w:cs="Arial"/>
        </w:rPr>
        <w:t xml:space="preserve">There is extensive national and state data correlating   behavioral  health  disorders </w:t>
      </w:r>
      <w:r w:rsidR="002C5025">
        <w:rPr>
          <w:rFonts w:ascii="Arial" w:hAnsi="Arial" w:cs="Arial"/>
          <w:spacing w:val="54"/>
        </w:rPr>
        <w:t xml:space="preserve"> </w:t>
      </w:r>
      <w:r w:rsidR="002C5025">
        <w:rPr>
          <w:rFonts w:ascii="Arial" w:hAnsi="Arial" w:cs="Arial"/>
        </w:rPr>
        <w:t>with</w:t>
      </w:r>
    </w:p>
    <w:p w:rsidR="002C5025" w:rsidRDefault="002C5025">
      <w:pPr>
        <w:pStyle w:val="BodyText"/>
        <w:kinsoku w:val="0"/>
        <w:overflowPunct w:val="0"/>
        <w:ind w:left="113" w:right="4567"/>
        <w:rPr>
          <w:rFonts w:ascii="Arial" w:hAnsi="Arial" w:cs="Arial"/>
        </w:rPr>
        <w:sectPr w:rsidR="002C5025">
          <w:pgSz w:w="12240" w:h="15840"/>
          <w:pgMar w:top="1500" w:right="1240" w:bottom="280" w:left="1240" w:header="720" w:footer="720" w:gutter="0"/>
          <w:cols w:space="720"/>
          <w:noEndnote/>
        </w:sectPr>
      </w:pPr>
    </w:p>
    <w:p w:rsidR="002C5025" w:rsidRDefault="002C5025">
      <w:pPr>
        <w:pStyle w:val="BodyText"/>
        <w:kinsoku w:val="0"/>
        <w:overflowPunct w:val="0"/>
        <w:spacing w:before="9" w:line="230" w:lineRule="auto"/>
        <w:ind w:left="113"/>
        <w:jc w:val="both"/>
        <w:rPr>
          <w:rFonts w:ascii="Arial" w:hAnsi="Arial" w:cs="Arial"/>
          <w:position w:val="10"/>
          <w:sz w:val="14"/>
          <w:szCs w:val="14"/>
        </w:rPr>
      </w:pPr>
      <w:r>
        <w:rPr>
          <w:rFonts w:ascii="Arial" w:hAnsi="Arial" w:cs="Arial"/>
        </w:rPr>
        <w:lastRenderedPageBreak/>
        <w:t>higher health care costs and/or unnecessary Emergency Department (ED) utilization.</w:t>
      </w:r>
      <w:hyperlink w:anchor="bookmark5" w:history="1">
        <w:r>
          <w:rPr>
            <w:rFonts w:ascii="Arial" w:hAnsi="Arial" w:cs="Arial"/>
            <w:position w:val="10"/>
            <w:sz w:val="14"/>
            <w:szCs w:val="14"/>
          </w:rPr>
          <w:t>6</w:t>
        </w:r>
      </w:hyperlink>
      <w:r>
        <w:rPr>
          <w:rFonts w:ascii="Arial" w:hAnsi="Arial" w:cs="Arial"/>
          <w:position w:val="10"/>
          <w:sz w:val="14"/>
          <w:szCs w:val="14"/>
        </w:rPr>
        <w:t xml:space="preserve"> </w:t>
      </w:r>
      <w:r>
        <w:rPr>
          <w:rFonts w:ascii="Arial" w:hAnsi="Arial" w:cs="Arial"/>
        </w:rPr>
        <w:t>Beyond the financial costs, the human costs are catastrophic. 1,379 Massachusetts residents lost their lives due to opiate  overdose in 2015.</w:t>
      </w:r>
      <w:hyperlink w:anchor="bookmark6" w:history="1">
        <w:r>
          <w:rPr>
            <w:rFonts w:ascii="Arial" w:hAnsi="Arial" w:cs="Arial"/>
            <w:position w:val="10"/>
            <w:sz w:val="14"/>
            <w:szCs w:val="14"/>
          </w:rPr>
          <w:t>7</w:t>
        </w:r>
      </w:hyperlink>
      <w:r>
        <w:rPr>
          <w:rFonts w:ascii="Arial" w:hAnsi="Arial" w:cs="Arial"/>
          <w:position w:val="10"/>
          <w:sz w:val="14"/>
          <w:szCs w:val="14"/>
        </w:rPr>
        <w:t xml:space="preserve"> </w:t>
      </w:r>
      <w:r>
        <w:rPr>
          <w:rFonts w:ascii="Arial" w:hAnsi="Arial" w:cs="Arial"/>
        </w:rPr>
        <w:t>Data show that individuals diagnosed with Serious Mental Illness (SMI) have an average age of death at 53,</w:t>
      </w:r>
      <w:hyperlink w:anchor="bookmark7" w:history="1">
        <w:r>
          <w:rPr>
            <w:rFonts w:ascii="Arial" w:hAnsi="Arial" w:cs="Arial"/>
            <w:position w:val="10"/>
            <w:sz w:val="14"/>
            <w:szCs w:val="14"/>
          </w:rPr>
          <w:t>8</w:t>
        </w:r>
      </w:hyperlink>
      <w:r>
        <w:rPr>
          <w:rFonts w:ascii="Arial" w:hAnsi="Arial" w:cs="Arial"/>
          <w:position w:val="10"/>
          <w:sz w:val="14"/>
          <w:szCs w:val="14"/>
        </w:rPr>
        <w:t xml:space="preserve"> </w:t>
      </w:r>
      <w:r>
        <w:rPr>
          <w:rFonts w:ascii="Arial" w:hAnsi="Arial" w:cs="Arial"/>
        </w:rPr>
        <w:t>and the risk of early death is due largely to preventable conditions.</w:t>
      </w:r>
      <w:hyperlink w:anchor="bookmark8" w:history="1">
        <w:r>
          <w:rPr>
            <w:rFonts w:ascii="Arial" w:hAnsi="Arial" w:cs="Arial"/>
            <w:position w:val="10"/>
            <w:sz w:val="14"/>
            <w:szCs w:val="14"/>
          </w:rPr>
          <w:t>9</w:t>
        </w:r>
      </w:hyperlink>
    </w:p>
    <w:p w:rsidR="002C5025" w:rsidRDefault="002C5025">
      <w:pPr>
        <w:pStyle w:val="BodyText"/>
        <w:kinsoku w:val="0"/>
        <w:overflowPunct w:val="0"/>
        <w:spacing w:before="11"/>
        <w:rPr>
          <w:rFonts w:ascii="Arial" w:hAnsi="Arial" w:cs="Arial"/>
          <w:sz w:val="21"/>
          <w:szCs w:val="21"/>
        </w:rPr>
      </w:pPr>
    </w:p>
    <w:p w:rsidR="002C5025" w:rsidRDefault="002C5025">
      <w:pPr>
        <w:pStyle w:val="BodyText"/>
        <w:kinsoku w:val="0"/>
        <w:overflowPunct w:val="0"/>
        <w:ind w:left="113" w:right="1"/>
        <w:jc w:val="both"/>
        <w:rPr>
          <w:rFonts w:ascii="Arial" w:hAnsi="Arial" w:cs="Arial"/>
        </w:rPr>
      </w:pPr>
      <w:r>
        <w:rPr>
          <w:rFonts w:ascii="Arial" w:hAnsi="Arial" w:cs="Arial"/>
        </w:rPr>
        <w:t>In implicit recognition of this stark reality, two  of the five proposed Demonstration goals relate directly to behavioral</w:t>
      </w:r>
      <w:r>
        <w:rPr>
          <w:rFonts w:ascii="Arial" w:hAnsi="Arial" w:cs="Arial"/>
          <w:spacing w:val="-19"/>
        </w:rPr>
        <w:t xml:space="preserve"> </w:t>
      </w:r>
      <w:r>
        <w:rPr>
          <w:rFonts w:ascii="Arial" w:hAnsi="Arial" w:cs="Arial"/>
        </w:rPr>
        <w:t>healthcare:</w:t>
      </w:r>
    </w:p>
    <w:p w:rsidR="002C5025" w:rsidRDefault="002C5025">
      <w:pPr>
        <w:pStyle w:val="BodyText"/>
        <w:kinsoku w:val="0"/>
        <w:overflowPunct w:val="0"/>
        <w:rPr>
          <w:rFonts w:ascii="Arial" w:hAnsi="Arial" w:cs="Arial"/>
        </w:rPr>
      </w:pPr>
    </w:p>
    <w:p w:rsidR="002C5025" w:rsidRDefault="002C5025">
      <w:pPr>
        <w:pStyle w:val="ListParagraph"/>
        <w:numPr>
          <w:ilvl w:val="0"/>
          <w:numId w:val="88"/>
        </w:numPr>
        <w:tabs>
          <w:tab w:val="left" w:pos="834"/>
        </w:tabs>
        <w:kinsoku w:val="0"/>
        <w:overflowPunct w:val="0"/>
        <w:ind w:right="1" w:hanging="360"/>
        <w:jc w:val="both"/>
        <w:rPr>
          <w:rFonts w:ascii="Arial" w:hAnsi="Arial" w:cs="Arial"/>
          <w:sz w:val="22"/>
          <w:szCs w:val="22"/>
        </w:rPr>
      </w:pPr>
      <w:r>
        <w:rPr>
          <w:rFonts w:ascii="Arial" w:hAnsi="Arial" w:cs="Arial"/>
          <w:sz w:val="22"/>
          <w:szCs w:val="22"/>
        </w:rPr>
        <w:t>improve integration among physical health, behavioral health, long-term services and supports, and health- related social services (#2);</w:t>
      </w:r>
      <w:r>
        <w:rPr>
          <w:rFonts w:ascii="Arial" w:hAnsi="Arial" w:cs="Arial"/>
          <w:spacing w:val="-14"/>
          <w:sz w:val="22"/>
          <w:szCs w:val="22"/>
        </w:rPr>
        <w:t xml:space="preserve"> </w:t>
      </w:r>
      <w:r>
        <w:rPr>
          <w:rFonts w:ascii="Arial" w:hAnsi="Arial" w:cs="Arial"/>
          <w:sz w:val="22"/>
          <w:szCs w:val="22"/>
        </w:rPr>
        <w:t>and,</w:t>
      </w:r>
    </w:p>
    <w:p w:rsidR="002C5025" w:rsidRDefault="002C5025">
      <w:pPr>
        <w:pStyle w:val="BodyText"/>
        <w:kinsoku w:val="0"/>
        <w:overflowPunct w:val="0"/>
        <w:rPr>
          <w:rFonts w:ascii="Arial" w:hAnsi="Arial" w:cs="Arial"/>
        </w:rPr>
      </w:pPr>
    </w:p>
    <w:p w:rsidR="002C5025" w:rsidRDefault="002C5025">
      <w:pPr>
        <w:pStyle w:val="ListParagraph"/>
        <w:numPr>
          <w:ilvl w:val="0"/>
          <w:numId w:val="88"/>
        </w:numPr>
        <w:tabs>
          <w:tab w:val="left" w:pos="834"/>
        </w:tabs>
        <w:kinsoku w:val="0"/>
        <w:overflowPunct w:val="0"/>
        <w:ind w:hanging="360"/>
        <w:jc w:val="both"/>
        <w:rPr>
          <w:rFonts w:ascii="Arial" w:hAnsi="Arial" w:cs="Arial"/>
          <w:sz w:val="22"/>
          <w:szCs w:val="22"/>
        </w:rPr>
      </w:pPr>
      <w:r>
        <w:rPr>
          <w:rFonts w:ascii="Arial" w:hAnsi="Arial" w:cs="Arial"/>
          <w:sz w:val="22"/>
          <w:szCs w:val="22"/>
        </w:rPr>
        <w:t>address the opioid addiction crisis by expanding access to a broad spectrum of recovery-oriented substance use disorder services</w:t>
      </w:r>
      <w:r>
        <w:rPr>
          <w:rFonts w:ascii="Arial" w:hAnsi="Arial" w:cs="Arial"/>
          <w:spacing w:val="-10"/>
          <w:sz w:val="22"/>
          <w:szCs w:val="22"/>
        </w:rPr>
        <w:t xml:space="preserve"> </w:t>
      </w:r>
      <w:r>
        <w:rPr>
          <w:rFonts w:ascii="Arial" w:hAnsi="Arial" w:cs="Arial"/>
          <w:sz w:val="22"/>
          <w:szCs w:val="22"/>
        </w:rPr>
        <w:t>(#5).</w:t>
      </w:r>
    </w:p>
    <w:p w:rsidR="002C5025" w:rsidRDefault="002C5025">
      <w:pPr>
        <w:pStyle w:val="BodyText"/>
        <w:kinsoku w:val="0"/>
        <w:overflowPunct w:val="0"/>
        <w:spacing w:before="73" w:line="251" w:lineRule="exact"/>
        <w:ind w:left="94" w:right="438"/>
        <w:jc w:val="center"/>
        <w:rPr>
          <w:rFonts w:ascii="Arial" w:hAnsi="Arial" w:cs="Arial"/>
          <w:color w:val="538135"/>
        </w:rPr>
      </w:pPr>
      <w:r>
        <w:rPr>
          <w:rFonts w:ascii="Times New Roman" w:hAnsi="Times New Roman" w:cs="Times New Roman"/>
          <w:sz w:val="24"/>
          <w:szCs w:val="24"/>
        </w:rPr>
        <w:br w:type="column"/>
      </w:r>
      <w:r>
        <w:rPr>
          <w:rFonts w:ascii="Arial" w:hAnsi="Arial" w:cs="Arial"/>
          <w:color w:val="538135"/>
        </w:rPr>
        <w:lastRenderedPageBreak/>
        <w:t>Average Life Expectancy of Adult with SMI</w:t>
      </w:r>
    </w:p>
    <w:p w:rsidR="002C5025" w:rsidRDefault="002C5025">
      <w:pPr>
        <w:pStyle w:val="Heading3"/>
        <w:kinsoku w:val="0"/>
        <w:overflowPunct w:val="0"/>
        <w:spacing w:line="458" w:lineRule="exact"/>
        <w:rPr>
          <w:rFonts w:ascii="Arial" w:hAnsi="Arial" w:cs="Arial"/>
          <w:color w:val="538135"/>
        </w:rPr>
      </w:pPr>
      <w:r>
        <w:rPr>
          <w:rFonts w:ascii="Arial" w:hAnsi="Arial" w:cs="Arial"/>
          <w:color w:val="538135"/>
        </w:rPr>
        <w:t>53</w:t>
      </w:r>
    </w:p>
    <w:p w:rsidR="002C5025" w:rsidRDefault="002C5025">
      <w:pPr>
        <w:pStyle w:val="BodyText"/>
        <w:kinsoku w:val="0"/>
        <w:overflowPunct w:val="0"/>
        <w:spacing w:before="256"/>
        <w:ind w:left="216" w:right="564" w:firstLine="5"/>
        <w:jc w:val="center"/>
        <w:rPr>
          <w:rFonts w:ascii="Arial" w:hAnsi="Arial" w:cs="Arial"/>
          <w:color w:val="538135"/>
        </w:rPr>
      </w:pPr>
      <w:r>
        <w:rPr>
          <w:rFonts w:ascii="Arial" w:hAnsi="Arial" w:cs="Arial"/>
          <w:color w:val="538135"/>
        </w:rPr>
        <w:t>Percentage of Preventable Premature Deaths in Individuals with Schizophrenia</w:t>
      </w:r>
    </w:p>
    <w:p w:rsidR="002C5025" w:rsidRDefault="002C5025">
      <w:pPr>
        <w:pStyle w:val="Heading3"/>
        <w:kinsoku w:val="0"/>
        <w:overflowPunct w:val="0"/>
        <w:ind w:right="438"/>
        <w:rPr>
          <w:rFonts w:ascii="Arial" w:hAnsi="Arial" w:cs="Arial"/>
          <w:color w:val="538135"/>
        </w:rPr>
      </w:pPr>
      <w:r>
        <w:rPr>
          <w:rFonts w:ascii="Arial" w:hAnsi="Arial" w:cs="Arial"/>
          <w:color w:val="538135"/>
        </w:rPr>
        <w:t>85%</w:t>
      </w:r>
    </w:p>
    <w:p w:rsidR="002C5025" w:rsidRDefault="002C5025">
      <w:pPr>
        <w:pStyle w:val="BodyText"/>
        <w:kinsoku w:val="0"/>
        <w:overflowPunct w:val="0"/>
        <w:spacing w:before="256"/>
        <w:ind w:left="924" w:right="1271"/>
        <w:jc w:val="center"/>
        <w:rPr>
          <w:rFonts w:ascii="Arial" w:hAnsi="Arial" w:cs="Arial"/>
          <w:color w:val="538135"/>
        </w:rPr>
      </w:pPr>
      <w:r>
        <w:rPr>
          <w:rFonts w:ascii="Arial" w:hAnsi="Arial" w:cs="Arial"/>
          <w:color w:val="538135"/>
        </w:rPr>
        <w:t>MA - Unintentional Opiate Overdose Deaths 2014</w:t>
      </w:r>
    </w:p>
    <w:p w:rsidR="002C5025" w:rsidRDefault="002C5025">
      <w:pPr>
        <w:pStyle w:val="Heading3"/>
        <w:kinsoku w:val="0"/>
        <w:overflowPunct w:val="0"/>
        <w:rPr>
          <w:rFonts w:ascii="Arial" w:hAnsi="Arial" w:cs="Arial"/>
          <w:color w:val="538135"/>
        </w:rPr>
      </w:pPr>
      <w:r>
        <w:rPr>
          <w:rFonts w:ascii="Arial" w:hAnsi="Arial" w:cs="Arial"/>
          <w:color w:val="538135"/>
        </w:rPr>
        <w:t>1282</w:t>
      </w:r>
    </w:p>
    <w:p w:rsidR="002C5025" w:rsidRDefault="002C5025">
      <w:pPr>
        <w:pStyle w:val="BodyText"/>
        <w:kinsoku w:val="0"/>
        <w:overflowPunct w:val="0"/>
        <w:spacing w:before="256"/>
        <w:ind w:left="924" w:right="1271"/>
        <w:jc w:val="center"/>
        <w:rPr>
          <w:rFonts w:ascii="Arial" w:hAnsi="Arial" w:cs="Arial"/>
          <w:color w:val="538135"/>
        </w:rPr>
      </w:pPr>
      <w:r>
        <w:rPr>
          <w:rFonts w:ascii="Arial" w:hAnsi="Arial" w:cs="Arial"/>
          <w:color w:val="538135"/>
        </w:rPr>
        <w:t>MA - Unintentional Opiate Overdose Deaths 2015</w:t>
      </w:r>
    </w:p>
    <w:p w:rsidR="002C5025" w:rsidRDefault="002C5025">
      <w:pPr>
        <w:pStyle w:val="Heading3"/>
        <w:kinsoku w:val="0"/>
        <w:overflowPunct w:val="0"/>
        <w:rPr>
          <w:rFonts w:ascii="Arial" w:hAnsi="Arial" w:cs="Arial"/>
          <w:color w:val="538135"/>
        </w:rPr>
      </w:pPr>
      <w:r>
        <w:rPr>
          <w:rFonts w:ascii="Arial" w:hAnsi="Arial" w:cs="Arial"/>
          <w:color w:val="538135"/>
        </w:rPr>
        <w:t>1379</w:t>
      </w:r>
    </w:p>
    <w:p w:rsidR="002C5025" w:rsidRDefault="002C5025">
      <w:pPr>
        <w:pStyle w:val="BodyText"/>
        <w:kinsoku w:val="0"/>
        <w:overflowPunct w:val="0"/>
        <w:spacing w:before="256"/>
        <w:ind w:left="94" w:right="436"/>
        <w:jc w:val="center"/>
        <w:rPr>
          <w:rFonts w:ascii="Arial" w:hAnsi="Arial" w:cs="Arial"/>
          <w:color w:val="538135"/>
        </w:rPr>
      </w:pPr>
      <w:r>
        <w:rPr>
          <w:rFonts w:ascii="Arial" w:hAnsi="Arial" w:cs="Arial"/>
          <w:color w:val="538135"/>
        </w:rPr>
        <w:t>Required Behavioral Health Expertise in ACO Governance</w:t>
      </w:r>
    </w:p>
    <w:p w:rsidR="002C5025" w:rsidRDefault="002C5025">
      <w:pPr>
        <w:pStyle w:val="Heading3"/>
        <w:kinsoku w:val="0"/>
        <w:overflowPunct w:val="0"/>
        <w:spacing w:line="458" w:lineRule="exact"/>
        <w:ind w:left="0" w:right="344"/>
        <w:rPr>
          <w:rFonts w:ascii="Arial" w:hAnsi="Arial" w:cs="Arial"/>
          <w:color w:val="538135"/>
        </w:rPr>
      </w:pPr>
      <w:r>
        <w:rPr>
          <w:rFonts w:ascii="Arial" w:hAnsi="Arial" w:cs="Arial"/>
          <w:color w:val="538135"/>
        </w:rPr>
        <w:t>0</w:t>
      </w:r>
    </w:p>
    <w:p w:rsidR="002C5025" w:rsidRDefault="002C5025">
      <w:pPr>
        <w:pStyle w:val="Heading3"/>
        <w:kinsoku w:val="0"/>
        <w:overflowPunct w:val="0"/>
        <w:spacing w:line="458" w:lineRule="exact"/>
        <w:ind w:left="0" w:right="344"/>
        <w:rPr>
          <w:rFonts w:ascii="Arial" w:hAnsi="Arial" w:cs="Arial"/>
          <w:color w:val="538135"/>
        </w:rPr>
        <w:sectPr w:rsidR="002C5025">
          <w:type w:val="continuous"/>
          <w:pgSz w:w="12240" w:h="15840"/>
          <w:pgMar w:top="720" w:right="1240" w:bottom="280" w:left="1240" w:header="720" w:footer="720" w:gutter="0"/>
          <w:cols w:num="2" w:space="720" w:equalWidth="0">
            <w:col w:w="4683" w:space="359"/>
            <w:col w:w="4718"/>
          </w:cols>
          <w:noEndnote/>
        </w:sect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6"/>
        <w:rPr>
          <w:rFonts w:ascii="Arial" w:hAnsi="Arial" w:cs="Arial"/>
          <w:sz w:val="13"/>
          <w:szCs w:val="13"/>
        </w:rPr>
      </w:pPr>
    </w:p>
    <w:p w:rsidR="002C5025" w:rsidRDefault="00FB027C">
      <w:pPr>
        <w:pStyle w:val="BodyText"/>
        <w:kinsoku w:val="0"/>
        <w:overflowPunct w:val="0"/>
        <w:spacing w:line="20" w:lineRule="exact"/>
        <w:ind w:left="107"/>
        <w:rPr>
          <w:rFonts w:ascii="Arial" w:hAnsi="Arial" w:cs="Arial"/>
          <w:sz w:val="2"/>
          <w:szCs w:val="2"/>
        </w:rPr>
      </w:pPr>
      <w:r>
        <w:rPr>
          <w:rFonts w:ascii="Arial" w:hAnsi="Arial" w:cs="Arial"/>
          <w:noProof/>
          <w:sz w:val="2"/>
          <w:szCs w:val="2"/>
        </w:rPr>
        <mc:AlternateContent>
          <mc:Choice Requires="wpg">
            <w:drawing>
              <wp:inline distT="0" distB="0" distL="0" distR="0">
                <wp:extent cx="1836420" cy="12700"/>
                <wp:effectExtent l="9525" t="9525" r="1905" b="0"/>
                <wp:docPr id="890"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6420" cy="12700"/>
                          <a:chOff x="0" y="0"/>
                          <a:chExt cx="2892" cy="20"/>
                        </a:xfrm>
                      </wpg:grpSpPr>
                      <wps:wsp>
                        <wps:cNvPr id="891" name="Freeform 135"/>
                        <wps:cNvSpPr>
                          <a:spLocks/>
                        </wps:cNvSpPr>
                        <wps:spPr bwMode="auto">
                          <a:xfrm>
                            <a:off x="6" y="6"/>
                            <a:ext cx="2880" cy="20"/>
                          </a:xfrm>
                          <a:custGeom>
                            <a:avLst/>
                            <a:gdLst>
                              <a:gd name="T0" fmla="*/ 0 w 2880"/>
                              <a:gd name="T1" fmla="*/ 0 h 20"/>
                              <a:gd name="T2" fmla="*/ 2880 w 2880"/>
                              <a:gd name="T3" fmla="*/ 0 h 20"/>
                            </a:gdLst>
                            <a:ahLst/>
                            <a:cxnLst>
                              <a:cxn ang="0">
                                <a:pos x="T0" y="T1"/>
                              </a:cxn>
                              <a:cxn ang="0">
                                <a:pos x="T2" y="T3"/>
                              </a:cxn>
                            </a:cxnLst>
                            <a:rect l="0" t="0" r="r" b="b"/>
                            <a:pathLst>
                              <a:path w="2880" h="20">
                                <a:moveTo>
                                  <a:pt x="0" y="0"/>
                                </a:moveTo>
                                <a:lnTo>
                                  <a:pt x="2880"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4" o:spid="_x0000_s1026" style="width:144.6pt;height:1pt;mso-position-horizontal-relative:char;mso-position-vertical-relative:line" coordsize="289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">
                <v:shape id="Freeform 135" o:spid="_x0000_s1027" style="position:absolute;left:6;top:6;width:2880;height:20;visibility:visible;mso-wrap-style:square;v-text-anchor:top" coordsize="288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boyMcA&#10;AADcAAAADwAAAGRycy9kb3ducmV2LnhtbESPT2vCQBTE74V+h+UVequbSAkxzSpSKKQHsaYWPD6y&#10;L39q9m3IbjV++64geBxm5jdMvppML040us6ygngWgSCurO64UbD//nhJQTiPrLG3TAou5GC1fHzI&#10;MdP2zDs6lb4RAcIuQwWt90MmpataMuhmdiAOXm1Hgz7IsZF6xHOAm17OoyiRBjsOCy0O9N5SdSz/&#10;jIJDnSTxZve5nadl8fq12BT735+DUs9P0/oNhKfJ38O3dqEVpIsYrmfCEZDL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E26MjHAAAA3AAAAA8AAAAAAAAAAAAAAAAAmAIAAGRy&#10;cy9kb3ducmV2LnhtbFBLBQYAAAAABAAEAPUAAACMAwAAAAA=&#10;" path="m,l2880,e" filled="f" strokeweight=".21164mm">
                  <v:path arrowok="t" o:connecttype="custom" o:connectlocs="0,0;2880,0" o:connectangles="0,0"/>
                </v:shape>
                <w10:anchorlock/>
              </v:group>
            </w:pict>
          </mc:Fallback>
        </mc:AlternateContent>
      </w:r>
    </w:p>
    <w:p w:rsidR="002C5025" w:rsidRDefault="002C5025">
      <w:pPr>
        <w:pStyle w:val="BodyText"/>
        <w:kinsoku w:val="0"/>
        <w:overflowPunct w:val="0"/>
        <w:spacing w:before="68"/>
        <w:ind w:left="113" w:right="235"/>
        <w:rPr>
          <w:rFonts w:ascii="Arial" w:hAnsi="Arial" w:cs="Arial"/>
          <w:color w:val="000000"/>
          <w:sz w:val="18"/>
          <w:szCs w:val="18"/>
        </w:rPr>
      </w:pPr>
      <w:bookmarkStart w:id="41" w:name="bookmark4"/>
      <w:bookmarkEnd w:id="41"/>
      <w:r>
        <w:rPr>
          <w:rFonts w:ascii="Arial" w:hAnsi="Arial" w:cs="Arial"/>
          <w:position w:val="9"/>
          <w:sz w:val="12"/>
          <w:szCs w:val="12"/>
        </w:rPr>
        <w:t xml:space="preserve">5 </w:t>
      </w:r>
      <w:hyperlink r:id="rId115" w:history="1">
        <w:r>
          <w:rPr>
            <w:rFonts w:ascii="Arial" w:hAnsi="Arial" w:cs="Arial"/>
            <w:color w:val="0000FF"/>
            <w:sz w:val="18"/>
            <w:szCs w:val="18"/>
            <w:u w:val="single"/>
          </w:rPr>
          <w:t>The Balancing Act: Integrating Medicaid Accountable Care Organizations into a Managed Care Environment</w:t>
        </w:r>
        <w:r>
          <w:rPr>
            <w:rFonts w:ascii="Arial" w:hAnsi="Arial" w:cs="Arial"/>
            <w:color w:val="0000FF"/>
            <w:sz w:val="18"/>
            <w:szCs w:val="18"/>
          </w:rPr>
          <w:t>,</w:t>
        </w:r>
      </w:hyperlink>
      <w:r>
        <w:rPr>
          <w:rFonts w:ascii="Arial" w:hAnsi="Arial" w:cs="Arial"/>
          <w:color w:val="0000FF"/>
          <w:sz w:val="18"/>
          <w:szCs w:val="18"/>
        </w:rPr>
        <w:t xml:space="preserve"> </w:t>
      </w:r>
      <w:r>
        <w:rPr>
          <w:rFonts w:ascii="Arial" w:hAnsi="Arial" w:cs="Arial"/>
          <w:color w:val="000000"/>
          <w:sz w:val="18"/>
          <w:szCs w:val="18"/>
        </w:rPr>
        <w:t>Policy Brief, Center for Health Care Strategies (November 2013).</w:t>
      </w:r>
    </w:p>
    <w:p w:rsidR="002C5025" w:rsidRDefault="002C5025">
      <w:pPr>
        <w:pStyle w:val="BodyText"/>
        <w:kinsoku w:val="0"/>
        <w:overflowPunct w:val="0"/>
        <w:spacing w:line="206" w:lineRule="exact"/>
        <w:ind w:left="113"/>
        <w:jc w:val="both"/>
        <w:rPr>
          <w:rFonts w:ascii="Arial" w:hAnsi="Arial" w:cs="Arial"/>
          <w:sz w:val="18"/>
          <w:szCs w:val="18"/>
        </w:rPr>
      </w:pPr>
      <w:bookmarkStart w:id="42" w:name="bookmark5"/>
      <w:bookmarkEnd w:id="42"/>
      <w:r>
        <w:rPr>
          <w:rFonts w:ascii="Arial" w:hAnsi="Arial" w:cs="Arial"/>
          <w:position w:val="9"/>
          <w:sz w:val="12"/>
          <w:szCs w:val="12"/>
        </w:rPr>
        <w:t xml:space="preserve">6  </w:t>
      </w:r>
      <w:r>
        <w:rPr>
          <w:rFonts w:ascii="Arial" w:hAnsi="Arial" w:cs="Arial"/>
          <w:sz w:val="18"/>
          <w:szCs w:val="18"/>
        </w:rPr>
        <w:t xml:space="preserve">See e.g., </w:t>
      </w:r>
      <w:r>
        <w:rPr>
          <w:rFonts w:ascii="Arial" w:hAnsi="Arial" w:cs="Arial"/>
          <w:i/>
          <w:iCs/>
          <w:sz w:val="18"/>
          <w:szCs w:val="18"/>
        </w:rPr>
        <w:t xml:space="preserve">Health Policy Commission (HPC) 2013, 2014 and 2015 Cost Trends Reports </w:t>
      </w:r>
      <w:r>
        <w:rPr>
          <w:rFonts w:ascii="Arial" w:hAnsi="Arial" w:cs="Arial"/>
          <w:sz w:val="18"/>
          <w:szCs w:val="18"/>
        </w:rPr>
        <w:t>(noting significantly  increased</w:t>
      </w:r>
    </w:p>
    <w:p w:rsidR="002C5025" w:rsidRDefault="002C5025">
      <w:pPr>
        <w:pStyle w:val="BodyText"/>
        <w:kinsoku w:val="0"/>
        <w:overflowPunct w:val="0"/>
        <w:spacing w:before="2"/>
        <w:ind w:left="113" w:right="108"/>
        <w:jc w:val="both"/>
        <w:rPr>
          <w:rFonts w:ascii="Arial" w:hAnsi="Arial" w:cs="Arial"/>
          <w:sz w:val="18"/>
          <w:szCs w:val="18"/>
        </w:rPr>
      </w:pPr>
      <w:r>
        <w:rPr>
          <w:rFonts w:ascii="Arial" w:hAnsi="Arial" w:cs="Arial"/>
          <w:sz w:val="18"/>
          <w:szCs w:val="18"/>
        </w:rPr>
        <w:t>spending for individuals with both behavioral health and chronic medical conditions; avoidable ED visits for behavioral health conditions have grown sharply, about 5% annually, and finding a strong negative correlation between numbers of behavioral health providers in each region and rates of behavioral health-related ED visits.)</w:t>
      </w:r>
    </w:p>
    <w:p w:rsidR="002C5025" w:rsidRDefault="002C5025">
      <w:pPr>
        <w:pStyle w:val="BodyText"/>
        <w:kinsoku w:val="0"/>
        <w:overflowPunct w:val="0"/>
        <w:spacing w:before="1" w:line="208" w:lineRule="exact"/>
        <w:ind w:left="113" w:right="108"/>
        <w:jc w:val="both"/>
        <w:rPr>
          <w:rFonts w:ascii="Arial" w:hAnsi="Arial" w:cs="Arial"/>
          <w:color w:val="0000FF"/>
          <w:sz w:val="18"/>
          <w:szCs w:val="18"/>
        </w:rPr>
      </w:pPr>
      <w:bookmarkStart w:id="43" w:name="bookmark6"/>
      <w:bookmarkEnd w:id="43"/>
      <w:r>
        <w:rPr>
          <w:rFonts w:ascii="Arial" w:hAnsi="Arial" w:cs="Arial"/>
          <w:position w:val="9"/>
          <w:sz w:val="12"/>
          <w:szCs w:val="12"/>
        </w:rPr>
        <w:t>7</w:t>
      </w:r>
      <w:r>
        <w:rPr>
          <w:rFonts w:ascii="Arial" w:hAnsi="Arial" w:cs="Arial"/>
          <w:sz w:val="18"/>
          <w:szCs w:val="18"/>
        </w:rPr>
        <w:t xml:space="preserve">Massachusetts Department of Public Health </w:t>
      </w:r>
      <w:hyperlink r:id="rId116" w:history="1">
        <w:r>
          <w:rPr>
            <w:rFonts w:ascii="Arial" w:hAnsi="Arial" w:cs="Arial"/>
            <w:color w:val="0000FF"/>
            <w:sz w:val="18"/>
            <w:szCs w:val="18"/>
            <w:u w:val="single"/>
          </w:rPr>
          <w:t>Data Brief: Opioid-related Overdose Deaths Among Massachusetts</w:t>
        </w:r>
      </w:hyperlink>
      <w:r>
        <w:rPr>
          <w:rFonts w:ascii="Arial" w:hAnsi="Arial" w:cs="Arial"/>
          <w:color w:val="0000FF"/>
          <w:sz w:val="18"/>
          <w:szCs w:val="18"/>
          <w:u w:val="single"/>
        </w:rPr>
        <w:t xml:space="preserve"> </w:t>
      </w:r>
      <w:hyperlink r:id="rId117" w:history="1">
        <w:r>
          <w:rPr>
            <w:rFonts w:ascii="Arial" w:hAnsi="Arial" w:cs="Arial"/>
            <w:color w:val="0000FF"/>
            <w:sz w:val="18"/>
            <w:szCs w:val="18"/>
            <w:u w:val="single"/>
          </w:rPr>
          <w:t xml:space="preserve">Residents </w:t>
        </w:r>
      </w:hyperlink>
      <w:r>
        <w:rPr>
          <w:rFonts w:ascii="Arial" w:hAnsi="Arial" w:cs="Arial"/>
          <w:color w:val="000000"/>
          <w:sz w:val="18"/>
          <w:szCs w:val="18"/>
          <w:u w:val="single"/>
        </w:rPr>
        <w:t>(May 2016) (1379 unintentional opioid overdose deaths, estimating 146 additional deaths not yet confirmed.)</w:t>
      </w:r>
    </w:p>
    <w:p w:rsidR="002C5025" w:rsidRDefault="002C5025">
      <w:pPr>
        <w:pStyle w:val="BodyText"/>
        <w:kinsoku w:val="0"/>
        <w:overflowPunct w:val="0"/>
        <w:spacing w:before="2" w:line="218" w:lineRule="exact"/>
        <w:ind w:left="113" w:right="108"/>
        <w:jc w:val="both"/>
        <w:rPr>
          <w:rFonts w:ascii="Arial" w:hAnsi="Arial" w:cs="Arial"/>
          <w:sz w:val="18"/>
          <w:szCs w:val="18"/>
        </w:rPr>
      </w:pPr>
      <w:bookmarkStart w:id="44" w:name="bookmark7"/>
      <w:bookmarkEnd w:id="44"/>
      <w:r>
        <w:rPr>
          <w:rFonts w:ascii="Times New Roman" w:hAnsi="Times New Roman" w:cs="Times New Roman"/>
          <w:position w:val="9"/>
          <w:sz w:val="13"/>
          <w:szCs w:val="13"/>
        </w:rPr>
        <w:t>8</w:t>
      </w:r>
      <w:r>
        <w:rPr>
          <w:rFonts w:ascii="Arial" w:hAnsi="Arial" w:cs="Arial"/>
          <w:sz w:val="18"/>
          <w:szCs w:val="18"/>
        </w:rPr>
        <w:t xml:space="preserve">Colton CW, </w:t>
      </w:r>
      <w:proofErr w:type="spellStart"/>
      <w:r>
        <w:rPr>
          <w:rFonts w:ascii="Arial" w:hAnsi="Arial" w:cs="Arial"/>
          <w:sz w:val="18"/>
          <w:szCs w:val="18"/>
        </w:rPr>
        <w:t>Manderscheid</w:t>
      </w:r>
      <w:proofErr w:type="spellEnd"/>
      <w:r>
        <w:rPr>
          <w:rFonts w:ascii="Arial" w:hAnsi="Arial" w:cs="Arial"/>
          <w:sz w:val="18"/>
          <w:szCs w:val="18"/>
        </w:rPr>
        <w:t xml:space="preserve"> RW. 2006. “Congruencies in increased mortality rates, years of potential life lost, and causes of death among public mental health clients in eight states.” </w:t>
      </w:r>
      <w:proofErr w:type="spellStart"/>
      <w:r>
        <w:rPr>
          <w:rFonts w:ascii="Arial" w:hAnsi="Arial" w:cs="Arial"/>
          <w:sz w:val="18"/>
          <w:szCs w:val="18"/>
        </w:rPr>
        <w:t>Prev</w:t>
      </w:r>
      <w:proofErr w:type="spellEnd"/>
      <w:r>
        <w:rPr>
          <w:rFonts w:ascii="Arial" w:hAnsi="Arial" w:cs="Arial"/>
          <w:sz w:val="18"/>
          <w:szCs w:val="18"/>
        </w:rPr>
        <w:t xml:space="preserve"> Chronic Dis. 3(2):A42.</w:t>
      </w:r>
    </w:p>
    <w:p w:rsidR="002C5025" w:rsidRDefault="002C5025">
      <w:pPr>
        <w:pStyle w:val="BodyText"/>
        <w:kinsoku w:val="0"/>
        <w:overflowPunct w:val="0"/>
        <w:spacing w:line="198" w:lineRule="exact"/>
        <w:ind w:left="113"/>
        <w:jc w:val="both"/>
        <w:rPr>
          <w:rFonts w:ascii="Arial" w:hAnsi="Arial" w:cs="Arial"/>
          <w:i/>
          <w:iCs/>
          <w:sz w:val="18"/>
          <w:szCs w:val="18"/>
        </w:rPr>
      </w:pPr>
      <w:bookmarkStart w:id="45" w:name="bookmark8"/>
      <w:bookmarkEnd w:id="45"/>
      <w:r>
        <w:rPr>
          <w:rFonts w:ascii="Arial" w:hAnsi="Arial" w:cs="Arial"/>
          <w:position w:val="9"/>
          <w:sz w:val="12"/>
          <w:szCs w:val="12"/>
        </w:rPr>
        <w:t>9</w:t>
      </w:r>
      <w:r>
        <w:rPr>
          <w:rFonts w:ascii="Arial" w:hAnsi="Arial" w:cs="Arial"/>
          <w:sz w:val="18"/>
          <w:szCs w:val="18"/>
        </w:rPr>
        <w:t xml:space="preserve">See  e.g., </w:t>
      </w:r>
      <w:proofErr w:type="spellStart"/>
      <w:r>
        <w:rPr>
          <w:rFonts w:ascii="Arial" w:hAnsi="Arial" w:cs="Arial"/>
          <w:sz w:val="18"/>
          <w:szCs w:val="18"/>
        </w:rPr>
        <w:t>Olfson</w:t>
      </w:r>
      <w:proofErr w:type="spellEnd"/>
      <w:r>
        <w:rPr>
          <w:rFonts w:ascii="Arial" w:hAnsi="Arial" w:cs="Arial"/>
          <w:sz w:val="18"/>
          <w:szCs w:val="18"/>
        </w:rPr>
        <w:t xml:space="preserve">, Mark, et al.,   Premature  mortality among adults  with  schizophrenia  in the  United  States.    </w:t>
      </w:r>
      <w:r>
        <w:rPr>
          <w:rFonts w:ascii="Arial" w:hAnsi="Arial" w:cs="Arial"/>
          <w:i/>
          <w:iCs/>
          <w:sz w:val="18"/>
          <w:szCs w:val="18"/>
        </w:rPr>
        <w:t>JAMA</w:t>
      </w:r>
    </w:p>
    <w:p w:rsidR="002C5025" w:rsidRDefault="002C5025">
      <w:pPr>
        <w:pStyle w:val="BodyText"/>
        <w:kinsoku w:val="0"/>
        <w:overflowPunct w:val="0"/>
        <w:spacing w:line="242" w:lineRule="auto"/>
        <w:ind w:left="113" w:right="109"/>
        <w:jc w:val="both"/>
        <w:rPr>
          <w:rFonts w:ascii="Arial" w:hAnsi="Arial" w:cs="Arial"/>
          <w:sz w:val="18"/>
          <w:szCs w:val="18"/>
        </w:rPr>
      </w:pPr>
      <w:r>
        <w:rPr>
          <w:rFonts w:ascii="Arial" w:hAnsi="Arial" w:cs="Arial"/>
          <w:i/>
          <w:iCs/>
          <w:sz w:val="18"/>
          <w:szCs w:val="18"/>
        </w:rPr>
        <w:t xml:space="preserve">Psychiatry </w:t>
      </w:r>
      <w:r>
        <w:rPr>
          <w:rFonts w:ascii="Arial" w:hAnsi="Arial" w:cs="Arial"/>
          <w:sz w:val="18"/>
          <w:szCs w:val="18"/>
        </w:rPr>
        <w:t>72.12 (2015): 1172-1181 (Showing individuals with schizophrenia are 3.5 times more likely to die than the general population, losing an estimated 28.5 years of life. Eighty-five percent of the premature deaths were due to largely preventable conditions such as high blood pressure, high cholesterol, diabetes, and heart disease.)</w:t>
      </w:r>
    </w:p>
    <w:p w:rsidR="002C5025" w:rsidRDefault="002C5025">
      <w:pPr>
        <w:pStyle w:val="BodyText"/>
        <w:kinsoku w:val="0"/>
        <w:overflowPunct w:val="0"/>
        <w:spacing w:before="9"/>
        <w:rPr>
          <w:rFonts w:ascii="Arial" w:hAnsi="Arial" w:cs="Arial"/>
          <w:sz w:val="26"/>
          <w:szCs w:val="26"/>
        </w:rPr>
      </w:pPr>
    </w:p>
    <w:p w:rsidR="002C5025" w:rsidRDefault="002C5025">
      <w:pPr>
        <w:pStyle w:val="BodyText"/>
        <w:kinsoku w:val="0"/>
        <w:overflowPunct w:val="0"/>
        <w:spacing w:before="74"/>
        <w:ind w:right="114"/>
        <w:jc w:val="right"/>
        <w:rPr>
          <w:rFonts w:ascii="Arial" w:hAnsi="Arial" w:cs="Arial"/>
          <w:sz w:val="20"/>
          <w:szCs w:val="20"/>
        </w:rPr>
      </w:pPr>
      <w:r>
        <w:rPr>
          <w:rFonts w:ascii="Arial" w:hAnsi="Arial" w:cs="Arial"/>
          <w:sz w:val="20"/>
          <w:szCs w:val="20"/>
        </w:rPr>
        <w:t>Page 5 of 18</w:t>
      </w:r>
    </w:p>
    <w:p w:rsidR="002C5025" w:rsidRDefault="002C5025">
      <w:pPr>
        <w:pStyle w:val="BodyText"/>
        <w:kinsoku w:val="0"/>
        <w:overflowPunct w:val="0"/>
        <w:spacing w:before="74"/>
        <w:ind w:right="114"/>
        <w:jc w:val="right"/>
        <w:rPr>
          <w:rFonts w:ascii="Arial" w:hAnsi="Arial" w:cs="Arial"/>
          <w:sz w:val="20"/>
          <w:szCs w:val="20"/>
        </w:rPr>
        <w:sectPr w:rsidR="002C5025">
          <w:type w:val="continuous"/>
          <w:pgSz w:w="12240" w:h="15840"/>
          <w:pgMar w:top="720" w:right="1240" w:bottom="280" w:left="1240" w:header="720" w:footer="720" w:gutter="0"/>
          <w:cols w:space="720" w:equalWidth="0">
            <w:col w:w="9760"/>
          </w:cols>
          <w:noEndnote/>
        </w:sect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7"/>
        <w:rPr>
          <w:rFonts w:ascii="Arial" w:hAnsi="Arial" w:cs="Arial"/>
          <w:sz w:val="20"/>
          <w:szCs w:val="20"/>
        </w:rPr>
      </w:pPr>
    </w:p>
    <w:p w:rsidR="002C5025" w:rsidRDefault="002C5025">
      <w:pPr>
        <w:pStyle w:val="BodyText"/>
        <w:kinsoku w:val="0"/>
        <w:overflowPunct w:val="0"/>
        <w:spacing w:before="73"/>
        <w:ind w:left="113" w:right="108"/>
        <w:jc w:val="both"/>
        <w:rPr>
          <w:rFonts w:ascii="Arial" w:hAnsi="Arial" w:cs="Arial"/>
        </w:rPr>
      </w:pPr>
      <w:r>
        <w:rPr>
          <w:rFonts w:ascii="Arial" w:hAnsi="Arial" w:cs="Arial"/>
        </w:rPr>
        <w:t xml:space="preserve">However, changes are needed not only at the practice level but also within institutional and governance structures in order for transformation to occur. The Health Policy Commission’s final ACO certification standards </w:t>
      </w:r>
      <w:r>
        <w:rPr>
          <w:rFonts w:ascii="Arial" w:hAnsi="Arial" w:cs="Arial"/>
          <w:u w:val="single"/>
        </w:rPr>
        <w:t xml:space="preserve">did not </w:t>
      </w:r>
      <w:r>
        <w:rPr>
          <w:rFonts w:ascii="Arial" w:hAnsi="Arial" w:cs="Arial"/>
        </w:rPr>
        <w:t>include designated behavioral health representation in governance, as they did for patient representation. As ABH noted in prior correspondence, the final standards reflect a retreat from the draft standards which required behavioral health representation in ACO governance. ABH believes this belies a deeply entrenched commitment to the status quo and continued disregard for these patients and the services they require by entities likely to become ACOs.</w:t>
      </w:r>
    </w:p>
    <w:p w:rsidR="002C5025" w:rsidRDefault="002C5025">
      <w:pPr>
        <w:pStyle w:val="BodyText"/>
        <w:kinsoku w:val="0"/>
        <w:overflowPunct w:val="0"/>
        <w:rPr>
          <w:rFonts w:ascii="Arial" w:hAnsi="Arial" w:cs="Arial"/>
        </w:rPr>
      </w:pPr>
    </w:p>
    <w:p w:rsidR="002C5025" w:rsidRDefault="002C5025">
      <w:pPr>
        <w:pStyle w:val="BodyText"/>
        <w:kinsoku w:val="0"/>
        <w:overflowPunct w:val="0"/>
        <w:ind w:left="113" w:right="110"/>
        <w:jc w:val="both"/>
        <w:rPr>
          <w:rFonts w:ascii="Arial" w:hAnsi="Arial" w:cs="Arial"/>
        </w:rPr>
      </w:pPr>
      <w:r>
        <w:rPr>
          <w:rFonts w:ascii="Arial" w:hAnsi="Arial" w:cs="Arial"/>
        </w:rPr>
        <w:t xml:space="preserve">Given the vast impact of behavioral health conditions on human and financial cost, the substantial behavioral health investment MassHealth is making through Behavioral Health Community Partners and SUD service expansion, and the stated focus of the Demonstration on improved care integration, </w:t>
      </w:r>
      <w:r>
        <w:rPr>
          <w:rFonts w:ascii="Arial" w:hAnsi="Arial" w:cs="Arial"/>
          <w:b/>
          <w:bCs/>
          <w:spacing w:val="-3"/>
        </w:rPr>
        <w:t xml:space="preserve">ABH </w:t>
      </w:r>
      <w:r>
        <w:rPr>
          <w:rFonts w:ascii="Arial" w:hAnsi="Arial" w:cs="Arial"/>
          <w:b/>
          <w:bCs/>
          <w:i/>
          <w:iCs/>
        </w:rPr>
        <w:t xml:space="preserve">strongly </w:t>
      </w:r>
      <w:r>
        <w:rPr>
          <w:rFonts w:ascii="Arial" w:hAnsi="Arial" w:cs="Arial"/>
          <w:b/>
          <w:bCs/>
        </w:rPr>
        <w:t xml:space="preserve">encourages MassHealth to require designated community- based Behavioral Health representation within MassHealth </w:t>
      </w:r>
      <w:r>
        <w:rPr>
          <w:rFonts w:ascii="Arial" w:hAnsi="Arial" w:cs="Arial"/>
          <w:b/>
          <w:bCs/>
          <w:spacing w:val="-3"/>
        </w:rPr>
        <w:t xml:space="preserve">ACO </w:t>
      </w:r>
      <w:r>
        <w:rPr>
          <w:rFonts w:ascii="Arial" w:hAnsi="Arial" w:cs="Arial"/>
          <w:b/>
          <w:bCs/>
        </w:rPr>
        <w:t>governance structures</w:t>
      </w:r>
      <w:r>
        <w:rPr>
          <w:rFonts w:ascii="Arial" w:hAnsi="Arial" w:cs="Arial"/>
        </w:rPr>
        <w:t>. It  is unclear how an entity could adequately devise strategies relating to behavioral healthcare - an area with a known and substantial impact on total cost of care - without content expertise represented in governance and leadership. Finally, MassHealth may wish to consider requiring each ACO to identify an executive team member who is responsible for behavioral healthcare services, integration and interface with the BH CPs, similar to its requirement that all MassHealth MCOs have a Behavioral Health</w:t>
      </w:r>
      <w:r>
        <w:rPr>
          <w:rFonts w:ascii="Arial" w:hAnsi="Arial" w:cs="Arial"/>
          <w:spacing w:val="-18"/>
        </w:rPr>
        <w:t xml:space="preserve"> </w:t>
      </w:r>
      <w:r>
        <w:rPr>
          <w:rFonts w:ascii="Arial" w:hAnsi="Arial" w:cs="Arial"/>
        </w:rPr>
        <w:t>Director.</w:t>
      </w:r>
    </w:p>
    <w:p w:rsidR="002C5025" w:rsidRDefault="002C5025">
      <w:pPr>
        <w:pStyle w:val="BodyText"/>
        <w:kinsoku w:val="0"/>
        <w:overflowPunct w:val="0"/>
        <w:spacing w:before="10"/>
        <w:rPr>
          <w:rFonts w:ascii="Arial" w:hAnsi="Arial" w:cs="Arial"/>
          <w:sz w:val="25"/>
          <w:szCs w:val="25"/>
        </w:rPr>
      </w:pPr>
    </w:p>
    <w:p w:rsidR="002C5025" w:rsidRDefault="002C5025">
      <w:pPr>
        <w:pStyle w:val="BodyText"/>
        <w:kinsoku w:val="0"/>
        <w:overflowPunct w:val="0"/>
        <w:ind w:left="113"/>
        <w:jc w:val="both"/>
        <w:rPr>
          <w:rFonts w:ascii="Arial" w:hAnsi="Arial" w:cs="Arial"/>
          <w:b/>
          <w:bCs/>
          <w:sz w:val="26"/>
          <w:szCs w:val="26"/>
        </w:rPr>
      </w:pPr>
      <w:r>
        <w:rPr>
          <w:rFonts w:ascii="Arial" w:hAnsi="Arial" w:cs="Arial"/>
          <w:b/>
          <w:bCs/>
          <w:sz w:val="26"/>
          <w:szCs w:val="26"/>
        </w:rPr>
        <w:t>Member Choice: BH Service Provider</w:t>
      </w:r>
    </w:p>
    <w:p w:rsidR="002C5025" w:rsidRDefault="002C5025">
      <w:pPr>
        <w:pStyle w:val="BodyText"/>
        <w:kinsoku w:val="0"/>
        <w:overflowPunct w:val="0"/>
        <w:ind w:left="113" w:right="101"/>
        <w:jc w:val="both"/>
        <w:rPr>
          <w:rFonts w:ascii="Arial" w:hAnsi="Arial" w:cs="Arial"/>
        </w:rPr>
      </w:pPr>
      <w:r>
        <w:rPr>
          <w:rFonts w:ascii="Arial" w:hAnsi="Arial" w:cs="Arial"/>
        </w:rPr>
        <w:t>MassHealth members’ choice of primary care clinician (PCC) will drive how they receive care and how their care is coordinated</w:t>
      </w:r>
      <w:r w:rsidR="00607624">
        <w:rPr>
          <w:rFonts w:ascii="Arial" w:hAnsi="Arial" w:cs="Arial"/>
        </w:rPr>
        <w:t>. Section 4.1.8 states that “w</w:t>
      </w:r>
      <w:r>
        <w:rPr>
          <w:rFonts w:ascii="Arial" w:hAnsi="Arial" w:cs="Arial"/>
        </w:rPr>
        <w:t xml:space="preserve">hile special attention will be paid to maintaining primary care relationships in assignment and attributions, members will need access to accurate information about the full range of health services offered.” </w:t>
      </w:r>
      <w:r>
        <w:rPr>
          <w:rFonts w:ascii="Arial" w:hAnsi="Arial" w:cs="Arial"/>
          <w:b/>
          <w:bCs/>
          <w:i/>
          <w:iCs/>
        </w:rPr>
        <w:t>Preserving the treating relationship between a MassHealth member and his or her behavioral healthcare provider is as important as preserving primary care relationships</w:t>
      </w:r>
      <w:r>
        <w:rPr>
          <w:rFonts w:ascii="Arial" w:hAnsi="Arial" w:cs="Arial"/>
        </w:rPr>
        <w:t>, and for some MassHealth members, it will be more important. MassHealth, its MCOs and its ACOs must make similar efforts to maintain these</w:t>
      </w:r>
      <w:r>
        <w:rPr>
          <w:rFonts w:ascii="Arial" w:hAnsi="Arial" w:cs="Arial"/>
          <w:spacing w:val="-15"/>
        </w:rPr>
        <w:t xml:space="preserve"> </w:t>
      </w:r>
      <w:r>
        <w:rPr>
          <w:rFonts w:ascii="Arial" w:hAnsi="Arial" w:cs="Arial"/>
        </w:rPr>
        <w:t>relationships.</w:t>
      </w:r>
    </w:p>
    <w:p w:rsidR="002C5025" w:rsidRDefault="002C5025">
      <w:pPr>
        <w:pStyle w:val="BodyText"/>
        <w:kinsoku w:val="0"/>
        <w:overflowPunct w:val="0"/>
        <w:rPr>
          <w:rFonts w:ascii="Arial" w:hAnsi="Arial" w:cs="Arial"/>
        </w:rPr>
      </w:pPr>
    </w:p>
    <w:p w:rsidR="002C5025" w:rsidRDefault="002C5025">
      <w:pPr>
        <w:pStyle w:val="BodyText"/>
        <w:kinsoku w:val="0"/>
        <w:overflowPunct w:val="0"/>
        <w:ind w:left="113"/>
        <w:jc w:val="both"/>
        <w:rPr>
          <w:rFonts w:ascii="Arial" w:hAnsi="Arial" w:cs="Arial"/>
        </w:rPr>
      </w:pPr>
      <w:r>
        <w:rPr>
          <w:rFonts w:ascii="Arial" w:hAnsi="Arial" w:cs="Arial"/>
        </w:rPr>
        <w:t>Specifically, we recommend:</w:t>
      </w:r>
    </w:p>
    <w:p w:rsidR="002C5025" w:rsidRDefault="002C5025">
      <w:pPr>
        <w:pStyle w:val="BodyText"/>
        <w:kinsoku w:val="0"/>
        <w:overflowPunct w:val="0"/>
        <w:spacing w:before="11"/>
        <w:rPr>
          <w:rFonts w:ascii="Arial" w:hAnsi="Arial" w:cs="Arial"/>
          <w:sz w:val="21"/>
          <w:szCs w:val="21"/>
        </w:rPr>
      </w:pPr>
    </w:p>
    <w:p w:rsidR="002C5025" w:rsidRDefault="002C5025">
      <w:pPr>
        <w:pStyle w:val="ListParagraph"/>
        <w:numPr>
          <w:ilvl w:val="0"/>
          <w:numId w:val="88"/>
        </w:numPr>
        <w:tabs>
          <w:tab w:val="left" w:pos="834"/>
        </w:tabs>
        <w:kinsoku w:val="0"/>
        <w:overflowPunct w:val="0"/>
        <w:ind w:right="99" w:hanging="360"/>
        <w:jc w:val="both"/>
        <w:rPr>
          <w:rFonts w:ascii="Arial" w:hAnsi="Arial" w:cs="Arial"/>
          <w:sz w:val="22"/>
          <w:szCs w:val="22"/>
        </w:rPr>
      </w:pPr>
      <w:r>
        <w:rPr>
          <w:rFonts w:ascii="Arial" w:hAnsi="Arial" w:cs="Arial"/>
          <w:b/>
          <w:bCs/>
          <w:i/>
          <w:iCs/>
          <w:sz w:val="22"/>
          <w:szCs w:val="22"/>
        </w:rPr>
        <w:t xml:space="preserve">Informed Member Choice. </w:t>
      </w:r>
      <w:r>
        <w:rPr>
          <w:rFonts w:ascii="Arial" w:hAnsi="Arial" w:cs="Arial"/>
          <w:sz w:val="22"/>
          <w:szCs w:val="22"/>
        </w:rPr>
        <w:t>Section 4.1.8 indicates that ACOs and MCOs will be required to make information about their plan(s) readily accessible, and that MassHealth will enhance its own member-facing customer service, website, publications, and community engagements. Although most individuals will be assigned to an ACO through their primary care doctors, as opposed to individuals affirmatively selecting an ACO, patients must understand that they are committing to the MCO/ACO’s network and they need to ensure that their specialty providers are network participants. To the maximum extent feasible, a member should be able to learn with a single phone call or website visit whether his/her providers – including primary care, behavioral health, and other specialty – participate in his/her ACO and/or MCO. Assistance in determining provider participation should also be widely available to members so they can make informed decisions about provider, plan and ACO</w:t>
      </w:r>
      <w:r>
        <w:rPr>
          <w:rFonts w:ascii="Arial" w:hAnsi="Arial" w:cs="Arial"/>
          <w:spacing w:val="-7"/>
          <w:sz w:val="22"/>
          <w:szCs w:val="22"/>
        </w:rPr>
        <w:t xml:space="preserve"> </w:t>
      </w:r>
      <w:r>
        <w:rPr>
          <w:rFonts w:ascii="Arial" w:hAnsi="Arial" w:cs="Arial"/>
          <w:sz w:val="22"/>
          <w:szCs w:val="22"/>
        </w:rPr>
        <w:t>selection.</w:t>
      </w: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5"/>
        <w:rPr>
          <w:rFonts w:ascii="Arial" w:hAnsi="Arial" w:cs="Arial"/>
        </w:rPr>
      </w:pPr>
    </w:p>
    <w:p w:rsidR="002C5025" w:rsidRDefault="002C5025">
      <w:pPr>
        <w:pStyle w:val="BodyText"/>
        <w:kinsoku w:val="0"/>
        <w:overflowPunct w:val="0"/>
        <w:spacing w:before="74"/>
        <w:ind w:right="114"/>
        <w:jc w:val="right"/>
        <w:rPr>
          <w:rFonts w:ascii="Arial" w:hAnsi="Arial" w:cs="Arial"/>
          <w:sz w:val="20"/>
          <w:szCs w:val="20"/>
        </w:rPr>
      </w:pPr>
      <w:r>
        <w:rPr>
          <w:rFonts w:ascii="Arial" w:hAnsi="Arial" w:cs="Arial"/>
          <w:sz w:val="20"/>
          <w:szCs w:val="20"/>
        </w:rPr>
        <w:t>Page 6 of 18</w:t>
      </w:r>
    </w:p>
    <w:p w:rsidR="002C5025" w:rsidRDefault="002C5025">
      <w:pPr>
        <w:pStyle w:val="BodyText"/>
        <w:kinsoku w:val="0"/>
        <w:overflowPunct w:val="0"/>
        <w:spacing w:before="74"/>
        <w:ind w:right="114"/>
        <w:jc w:val="right"/>
        <w:rPr>
          <w:rFonts w:ascii="Arial" w:hAnsi="Arial" w:cs="Arial"/>
          <w:sz w:val="20"/>
          <w:szCs w:val="20"/>
        </w:rPr>
        <w:sectPr w:rsidR="002C5025">
          <w:pgSz w:w="12240" w:h="15840"/>
          <w:pgMar w:top="1500" w:right="1240" w:bottom="280" w:left="1240" w:header="720" w:footer="720" w:gutter="0"/>
          <w:cols w:space="720"/>
          <w:noEndnote/>
        </w:sect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6"/>
        <w:rPr>
          <w:rFonts w:ascii="Arial" w:hAnsi="Arial" w:cs="Arial"/>
          <w:sz w:val="21"/>
          <w:szCs w:val="21"/>
        </w:rPr>
      </w:pPr>
    </w:p>
    <w:p w:rsidR="002C5025" w:rsidRDefault="002C5025">
      <w:pPr>
        <w:pStyle w:val="ListParagraph"/>
        <w:numPr>
          <w:ilvl w:val="0"/>
          <w:numId w:val="88"/>
        </w:numPr>
        <w:tabs>
          <w:tab w:val="left" w:pos="834"/>
        </w:tabs>
        <w:kinsoku w:val="0"/>
        <w:overflowPunct w:val="0"/>
        <w:spacing w:before="64" w:line="235" w:lineRule="auto"/>
        <w:ind w:right="103" w:hanging="360"/>
        <w:jc w:val="both"/>
        <w:rPr>
          <w:rFonts w:ascii="Arial" w:hAnsi="Arial" w:cs="Arial"/>
          <w:sz w:val="22"/>
          <w:szCs w:val="22"/>
        </w:rPr>
      </w:pPr>
      <w:r>
        <w:rPr>
          <w:rFonts w:ascii="Arial" w:hAnsi="Arial" w:cs="Arial"/>
          <w:b/>
          <w:bCs/>
          <w:i/>
          <w:iCs/>
          <w:sz w:val="22"/>
          <w:szCs w:val="22"/>
        </w:rPr>
        <w:t>Interdisciplinary Care Teams</w:t>
      </w:r>
      <w:r>
        <w:rPr>
          <w:rFonts w:ascii="Arial" w:hAnsi="Arial" w:cs="Arial"/>
          <w:b/>
          <w:bCs/>
          <w:sz w:val="22"/>
          <w:szCs w:val="22"/>
        </w:rPr>
        <w:t xml:space="preserve">. </w:t>
      </w:r>
      <w:r>
        <w:rPr>
          <w:rFonts w:ascii="Arial" w:hAnsi="Arial" w:cs="Arial"/>
          <w:sz w:val="22"/>
          <w:szCs w:val="22"/>
        </w:rPr>
        <w:t>The ACO procurement should specify that ACOs adopt a care team planning approach.</w:t>
      </w:r>
      <w:hyperlink w:anchor="bookmark9" w:history="1">
        <w:r>
          <w:rPr>
            <w:rFonts w:ascii="Arial" w:hAnsi="Arial" w:cs="Arial"/>
            <w:position w:val="10"/>
            <w:sz w:val="14"/>
            <w:szCs w:val="14"/>
          </w:rPr>
          <w:t>10</w:t>
        </w:r>
      </w:hyperlink>
      <w:r>
        <w:rPr>
          <w:rFonts w:ascii="Arial" w:hAnsi="Arial" w:cs="Arial"/>
          <w:position w:val="10"/>
          <w:sz w:val="14"/>
          <w:szCs w:val="14"/>
        </w:rPr>
        <w:t xml:space="preserve"> </w:t>
      </w:r>
      <w:r>
        <w:rPr>
          <w:rFonts w:ascii="Arial" w:hAnsi="Arial" w:cs="Arial"/>
          <w:sz w:val="22"/>
          <w:szCs w:val="22"/>
        </w:rPr>
        <w:t xml:space="preserve">The procurement should also specify that the care team include participation by the attributed MassHealth members’ behavioral healthcare clinician (and other providers) of choice, regardless of ACO or CP affiliation, provided they are in the </w:t>
      </w:r>
      <w:r>
        <w:rPr>
          <w:rFonts w:ascii="Arial" w:hAnsi="Arial" w:cs="Arial"/>
          <w:spacing w:val="-2"/>
          <w:sz w:val="22"/>
          <w:szCs w:val="22"/>
        </w:rPr>
        <w:t xml:space="preserve">MCO </w:t>
      </w:r>
      <w:r>
        <w:rPr>
          <w:rFonts w:ascii="Arial" w:hAnsi="Arial" w:cs="Arial"/>
          <w:sz w:val="22"/>
          <w:szCs w:val="22"/>
        </w:rPr>
        <w:t>network. If the member is eligible for a CP, the BH CP care manager should hold responsibility for authorizing the care</w:t>
      </w:r>
      <w:r>
        <w:rPr>
          <w:rFonts w:ascii="Arial" w:hAnsi="Arial" w:cs="Arial"/>
          <w:spacing w:val="-28"/>
          <w:sz w:val="22"/>
          <w:szCs w:val="22"/>
        </w:rPr>
        <w:t xml:space="preserve"> </w:t>
      </w:r>
      <w:r>
        <w:rPr>
          <w:rFonts w:ascii="Arial" w:hAnsi="Arial" w:cs="Arial"/>
          <w:sz w:val="22"/>
          <w:szCs w:val="22"/>
        </w:rPr>
        <w:t>plan.</w:t>
      </w:r>
    </w:p>
    <w:p w:rsidR="002C5025" w:rsidRDefault="002C5025">
      <w:pPr>
        <w:pStyle w:val="BodyText"/>
        <w:kinsoku w:val="0"/>
        <w:overflowPunct w:val="0"/>
        <w:spacing w:before="10"/>
        <w:rPr>
          <w:rFonts w:ascii="Arial" w:hAnsi="Arial" w:cs="Arial"/>
          <w:sz w:val="21"/>
          <w:szCs w:val="21"/>
        </w:rPr>
      </w:pPr>
    </w:p>
    <w:p w:rsidR="002C5025" w:rsidRDefault="002C5025">
      <w:pPr>
        <w:pStyle w:val="ListParagraph"/>
        <w:numPr>
          <w:ilvl w:val="0"/>
          <w:numId w:val="88"/>
        </w:numPr>
        <w:tabs>
          <w:tab w:val="left" w:pos="834"/>
        </w:tabs>
        <w:kinsoku w:val="0"/>
        <w:overflowPunct w:val="0"/>
        <w:ind w:right="101" w:hanging="360"/>
        <w:jc w:val="both"/>
        <w:rPr>
          <w:rFonts w:ascii="Arial" w:hAnsi="Arial" w:cs="Arial"/>
          <w:sz w:val="22"/>
          <w:szCs w:val="22"/>
        </w:rPr>
      </w:pPr>
      <w:r>
        <w:rPr>
          <w:rFonts w:ascii="Arial" w:hAnsi="Arial" w:cs="Arial"/>
          <w:b/>
          <w:bCs/>
          <w:i/>
          <w:iCs/>
          <w:sz w:val="22"/>
          <w:szCs w:val="22"/>
        </w:rPr>
        <w:t>Continuity of Care</w:t>
      </w:r>
      <w:r>
        <w:rPr>
          <w:rFonts w:ascii="Arial" w:hAnsi="Arial" w:cs="Arial"/>
          <w:b/>
          <w:bCs/>
          <w:sz w:val="22"/>
          <w:szCs w:val="22"/>
        </w:rPr>
        <w:t xml:space="preserve">. </w:t>
      </w:r>
      <w:r>
        <w:rPr>
          <w:rFonts w:ascii="Arial" w:hAnsi="Arial" w:cs="Arial"/>
          <w:sz w:val="22"/>
          <w:szCs w:val="22"/>
        </w:rPr>
        <w:t>To ensure stability for MassHealth members and providers during a time of significant transition, ACOs should be required to demonstrate that their networks include providers who delivered at least 80% of the last 12 months’ non-hospital  behavioral health spend for the ACO’s attributed members in the preceding year  or another recent 12-month period that MassHealth can use to make this calculation (see page 14 for inclusion in ACO Accountability). It is crucial during this period of significant transformation in the delivery system that continuity of treatment be maintained for this vulnerable</w:t>
      </w:r>
      <w:r>
        <w:rPr>
          <w:rFonts w:ascii="Arial" w:hAnsi="Arial" w:cs="Arial"/>
          <w:spacing w:val="-16"/>
          <w:sz w:val="22"/>
          <w:szCs w:val="22"/>
        </w:rPr>
        <w:t xml:space="preserve"> </w:t>
      </w:r>
      <w:r>
        <w:rPr>
          <w:rFonts w:ascii="Arial" w:hAnsi="Arial" w:cs="Arial"/>
          <w:sz w:val="22"/>
          <w:szCs w:val="22"/>
        </w:rPr>
        <w:t>population.</w:t>
      </w:r>
    </w:p>
    <w:p w:rsidR="002C5025" w:rsidRDefault="002C5025">
      <w:pPr>
        <w:pStyle w:val="BodyText"/>
        <w:kinsoku w:val="0"/>
        <w:overflowPunct w:val="0"/>
        <w:spacing w:before="9"/>
        <w:rPr>
          <w:rFonts w:ascii="Arial" w:hAnsi="Arial" w:cs="Arial"/>
          <w:sz w:val="21"/>
          <w:szCs w:val="21"/>
        </w:rPr>
      </w:pPr>
    </w:p>
    <w:p w:rsidR="002C5025" w:rsidRDefault="002C5025">
      <w:pPr>
        <w:pStyle w:val="ListParagraph"/>
        <w:numPr>
          <w:ilvl w:val="0"/>
          <w:numId w:val="88"/>
        </w:numPr>
        <w:tabs>
          <w:tab w:val="left" w:pos="834"/>
        </w:tabs>
        <w:kinsoku w:val="0"/>
        <w:overflowPunct w:val="0"/>
        <w:ind w:left="834" w:right="104"/>
        <w:jc w:val="both"/>
        <w:rPr>
          <w:rFonts w:ascii="Arial" w:hAnsi="Arial" w:cs="Arial"/>
          <w:sz w:val="22"/>
          <w:szCs w:val="22"/>
        </w:rPr>
      </w:pPr>
      <w:r>
        <w:rPr>
          <w:rFonts w:ascii="Arial" w:hAnsi="Arial" w:cs="Arial"/>
          <w:b/>
          <w:bCs/>
          <w:i/>
          <w:iCs/>
          <w:sz w:val="22"/>
          <w:szCs w:val="22"/>
        </w:rPr>
        <w:t>No Artificial Barriers</w:t>
      </w:r>
      <w:r>
        <w:rPr>
          <w:rFonts w:ascii="Arial" w:hAnsi="Arial" w:cs="Arial"/>
          <w:b/>
          <w:bCs/>
          <w:sz w:val="22"/>
          <w:szCs w:val="22"/>
        </w:rPr>
        <w:t xml:space="preserve">. </w:t>
      </w:r>
      <w:r>
        <w:rPr>
          <w:rFonts w:ascii="Arial" w:hAnsi="Arial" w:cs="Arial"/>
          <w:sz w:val="22"/>
          <w:szCs w:val="22"/>
        </w:rPr>
        <w:t xml:space="preserve">ABH was pleased to see that Model B ACOs will not be permitted to impose additional referral requirements for providers not included as preferred providers. All ACOs should be explicitly prohibited from imposing additional requirements for accessing providers that are not part of the </w:t>
      </w:r>
      <w:r>
        <w:rPr>
          <w:rFonts w:ascii="Arial" w:hAnsi="Arial" w:cs="Arial"/>
          <w:spacing w:val="-2"/>
          <w:sz w:val="22"/>
          <w:szCs w:val="22"/>
        </w:rPr>
        <w:t xml:space="preserve">ACO </w:t>
      </w:r>
      <w:r>
        <w:rPr>
          <w:rFonts w:ascii="Arial" w:hAnsi="Arial" w:cs="Arial"/>
          <w:sz w:val="22"/>
          <w:szCs w:val="22"/>
        </w:rPr>
        <w:t>or partner</w:t>
      </w:r>
      <w:r>
        <w:rPr>
          <w:rFonts w:ascii="Arial" w:hAnsi="Arial" w:cs="Arial"/>
          <w:spacing w:val="-16"/>
          <w:sz w:val="22"/>
          <w:szCs w:val="22"/>
        </w:rPr>
        <w:t xml:space="preserve"> </w:t>
      </w:r>
      <w:r>
        <w:rPr>
          <w:rFonts w:ascii="Arial" w:hAnsi="Arial" w:cs="Arial"/>
          <w:sz w:val="22"/>
          <w:szCs w:val="22"/>
        </w:rPr>
        <w:t>CP(s).</w:t>
      </w:r>
    </w:p>
    <w:p w:rsidR="002C5025" w:rsidRDefault="002C5025">
      <w:pPr>
        <w:pStyle w:val="BodyText"/>
        <w:kinsoku w:val="0"/>
        <w:overflowPunct w:val="0"/>
        <w:spacing w:before="10"/>
        <w:rPr>
          <w:rFonts w:ascii="Arial" w:hAnsi="Arial" w:cs="Arial"/>
          <w:sz w:val="25"/>
          <w:szCs w:val="25"/>
        </w:rPr>
      </w:pPr>
    </w:p>
    <w:p w:rsidR="002C5025" w:rsidRDefault="002C5025">
      <w:pPr>
        <w:pStyle w:val="BodyText"/>
        <w:kinsoku w:val="0"/>
        <w:overflowPunct w:val="0"/>
        <w:ind w:left="113"/>
        <w:jc w:val="both"/>
        <w:rPr>
          <w:rFonts w:ascii="Arial" w:hAnsi="Arial" w:cs="Arial"/>
          <w:b/>
          <w:bCs/>
          <w:sz w:val="26"/>
          <w:szCs w:val="26"/>
        </w:rPr>
      </w:pPr>
      <w:r>
        <w:rPr>
          <w:rFonts w:ascii="Arial" w:hAnsi="Arial" w:cs="Arial"/>
          <w:b/>
          <w:bCs/>
          <w:sz w:val="26"/>
          <w:szCs w:val="26"/>
        </w:rPr>
        <w:t>Community-Based Service Expertise</w:t>
      </w:r>
    </w:p>
    <w:p w:rsidR="002C5025" w:rsidRDefault="002C5025">
      <w:pPr>
        <w:pStyle w:val="BodyText"/>
        <w:kinsoku w:val="0"/>
        <w:overflowPunct w:val="0"/>
        <w:ind w:left="113" w:right="102"/>
        <w:jc w:val="both"/>
        <w:rPr>
          <w:rFonts w:ascii="Arial" w:hAnsi="Arial" w:cs="Arial"/>
          <w:b/>
          <w:bCs/>
          <w:i/>
          <w:iCs/>
        </w:rPr>
      </w:pPr>
      <w:r>
        <w:rPr>
          <w:rFonts w:ascii="Arial" w:hAnsi="Arial" w:cs="Arial"/>
        </w:rPr>
        <w:t xml:space="preserve">ABH has substantial concerns about the lack of mandates that would </w:t>
      </w:r>
      <w:r>
        <w:rPr>
          <w:rFonts w:ascii="Arial" w:hAnsi="Arial" w:cs="Arial"/>
          <w:b/>
          <w:bCs/>
        </w:rPr>
        <w:t xml:space="preserve">require Accountable Care Organizations (ACOs) to partner with community-based provider organizations for </w:t>
      </w:r>
      <w:r>
        <w:rPr>
          <w:rFonts w:ascii="Arial" w:hAnsi="Arial" w:cs="Arial"/>
          <w:b/>
          <w:bCs/>
          <w:i/>
          <w:iCs/>
          <w:u w:val="thick"/>
        </w:rPr>
        <w:t>service delivery</w:t>
      </w:r>
      <w:r>
        <w:rPr>
          <w:rFonts w:ascii="Arial" w:hAnsi="Arial" w:cs="Arial"/>
          <w:b/>
          <w:bCs/>
          <w:u w:val="thick"/>
        </w:rPr>
        <w:t xml:space="preserve">, </w:t>
      </w:r>
      <w:r>
        <w:rPr>
          <w:rFonts w:ascii="Arial" w:hAnsi="Arial" w:cs="Arial"/>
          <w:u w:val="thick"/>
        </w:rPr>
        <w:t>not just as Community Partners for care coordination. Without meaningful incentives or formal requirements, existing community service expertise that MassHealth has developed in its provider network over several decades may be lost, and/or unnecessary and costly service duplication may result. This is especially true for specialty or niche services provided by smaller community-based organizations who have developed decades of expertise serving subsets of MassHealth members with chronic behavioral health conditions, including cultural and linguistic minorities and others already experiencing significant disparities in access to care.</w:t>
      </w:r>
    </w:p>
    <w:p w:rsidR="002C5025" w:rsidRDefault="002C5025">
      <w:pPr>
        <w:pStyle w:val="BodyText"/>
        <w:kinsoku w:val="0"/>
        <w:overflowPunct w:val="0"/>
        <w:rPr>
          <w:rFonts w:ascii="Arial" w:hAnsi="Arial" w:cs="Arial"/>
        </w:rPr>
      </w:pPr>
    </w:p>
    <w:p w:rsidR="002C5025" w:rsidRDefault="002C5025">
      <w:pPr>
        <w:pStyle w:val="BodyText"/>
        <w:kinsoku w:val="0"/>
        <w:overflowPunct w:val="0"/>
        <w:ind w:left="113" w:right="104"/>
        <w:jc w:val="both"/>
        <w:rPr>
          <w:rFonts w:ascii="Arial" w:hAnsi="Arial" w:cs="Arial"/>
        </w:rPr>
      </w:pPr>
      <w:r>
        <w:rPr>
          <w:rFonts w:ascii="Arial" w:hAnsi="Arial" w:cs="Arial"/>
        </w:rPr>
        <w:t xml:space="preserve">The waiver request indicates the following will be required of ACOs relating to behavioral healthcare </w:t>
      </w:r>
      <w:r>
        <w:rPr>
          <w:rFonts w:ascii="Arial" w:hAnsi="Arial" w:cs="Arial"/>
          <w:i/>
          <w:iCs/>
        </w:rPr>
        <w:t>service delivery</w:t>
      </w:r>
      <w:r>
        <w:rPr>
          <w:rFonts w:ascii="Arial" w:hAnsi="Arial" w:cs="Arial"/>
        </w:rPr>
        <w:t>:</w:t>
      </w:r>
    </w:p>
    <w:p w:rsidR="002C5025" w:rsidRDefault="002C5025">
      <w:pPr>
        <w:pStyle w:val="BodyText"/>
        <w:kinsoku w:val="0"/>
        <w:overflowPunct w:val="0"/>
        <w:rPr>
          <w:rFonts w:ascii="Arial" w:hAnsi="Arial" w:cs="Arial"/>
        </w:rPr>
      </w:pPr>
    </w:p>
    <w:p w:rsidR="002C5025" w:rsidRDefault="002C5025">
      <w:pPr>
        <w:pStyle w:val="ListParagraph"/>
        <w:numPr>
          <w:ilvl w:val="0"/>
          <w:numId w:val="88"/>
        </w:numPr>
        <w:tabs>
          <w:tab w:val="left" w:pos="834"/>
        </w:tabs>
        <w:kinsoku w:val="0"/>
        <w:overflowPunct w:val="0"/>
        <w:ind w:right="107" w:hanging="360"/>
        <w:jc w:val="both"/>
        <w:rPr>
          <w:rFonts w:ascii="Arial" w:hAnsi="Arial" w:cs="Arial"/>
          <w:sz w:val="22"/>
          <w:szCs w:val="22"/>
        </w:rPr>
      </w:pPr>
      <w:r>
        <w:rPr>
          <w:rFonts w:ascii="Arial" w:hAnsi="Arial" w:cs="Arial"/>
          <w:sz w:val="22"/>
          <w:szCs w:val="22"/>
        </w:rPr>
        <w:t>Evidence of cross continuum care: coordination with BH, hospital, specialist, and long- term care services (Section 4.1.1. - Health Policy Commission ACO Certification</w:t>
      </w:r>
      <w:r>
        <w:rPr>
          <w:rFonts w:ascii="Arial" w:hAnsi="Arial" w:cs="Arial"/>
          <w:spacing w:val="-39"/>
          <w:sz w:val="22"/>
          <w:szCs w:val="22"/>
        </w:rPr>
        <w:t xml:space="preserve"> </w:t>
      </w:r>
      <w:r>
        <w:rPr>
          <w:rFonts w:ascii="Arial" w:hAnsi="Arial" w:cs="Arial"/>
          <w:sz w:val="22"/>
          <w:szCs w:val="22"/>
        </w:rPr>
        <w:t>criterion);</w:t>
      </w:r>
    </w:p>
    <w:p w:rsidR="002C5025" w:rsidRDefault="002C5025">
      <w:pPr>
        <w:pStyle w:val="BodyText"/>
        <w:kinsoku w:val="0"/>
        <w:overflowPunct w:val="0"/>
        <w:spacing w:before="7"/>
        <w:rPr>
          <w:rFonts w:ascii="Arial" w:hAnsi="Arial" w:cs="Arial"/>
          <w:sz w:val="23"/>
          <w:szCs w:val="23"/>
        </w:rPr>
      </w:pPr>
    </w:p>
    <w:p w:rsidR="002C5025" w:rsidRDefault="002C5025">
      <w:pPr>
        <w:pStyle w:val="ListParagraph"/>
        <w:numPr>
          <w:ilvl w:val="0"/>
          <w:numId w:val="88"/>
        </w:numPr>
        <w:tabs>
          <w:tab w:val="left" w:pos="835"/>
        </w:tabs>
        <w:kinsoku w:val="0"/>
        <w:overflowPunct w:val="0"/>
        <w:spacing w:before="1" w:line="252" w:lineRule="exact"/>
        <w:ind w:left="834" w:right="104" w:hanging="360"/>
        <w:jc w:val="both"/>
        <w:rPr>
          <w:rFonts w:ascii="Arial" w:hAnsi="Arial" w:cs="Arial"/>
          <w:sz w:val="22"/>
          <w:szCs w:val="22"/>
        </w:rPr>
      </w:pPr>
      <w:r>
        <w:rPr>
          <w:rFonts w:ascii="Arial" w:hAnsi="Arial" w:cs="Arial"/>
          <w:sz w:val="22"/>
          <w:szCs w:val="22"/>
        </w:rPr>
        <w:t>Integration of physical, behavioral health, oral health, social determinants of health and long-term services and supports (Section 4.1.1 - ACO procurement process</w:t>
      </w:r>
      <w:r>
        <w:rPr>
          <w:rFonts w:ascii="Arial" w:hAnsi="Arial" w:cs="Arial"/>
          <w:spacing w:val="-34"/>
          <w:sz w:val="22"/>
          <w:szCs w:val="22"/>
        </w:rPr>
        <w:t xml:space="preserve"> </w:t>
      </w:r>
      <w:r>
        <w:rPr>
          <w:rFonts w:ascii="Arial" w:hAnsi="Arial" w:cs="Arial"/>
          <w:sz w:val="22"/>
          <w:szCs w:val="22"/>
        </w:rPr>
        <w:t>expectation);</w:t>
      </w:r>
    </w:p>
    <w:p w:rsidR="002C5025" w:rsidRDefault="002C5025">
      <w:pPr>
        <w:pStyle w:val="BodyText"/>
        <w:kinsoku w:val="0"/>
        <w:overflowPunct w:val="0"/>
        <w:spacing w:before="7"/>
        <w:rPr>
          <w:rFonts w:ascii="Arial" w:hAnsi="Arial" w:cs="Arial"/>
          <w:sz w:val="21"/>
          <w:szCs w:val="21"/>
        </w:rPr>
      </w:pPr>
    </w:p>
    <w:p w:rsidR="002C5025" w:rsidRDefault="002C5025">
      <w:pPr>
        <w:pStyle w:val="ListParagraph"/>
        <w:numPr>
          <w:ilvl w:val="0"/>
          <w:numId w:val="88"/>
        </w:numPr>
        <w:tabs>
          <w:tab w:val="left" w:pos="835"/>
        </w:tabs>
        <w:kinsoku w:val="0"/>
        <w:overflowPunct w:val="0"/>
        <w:spacing w:before="1"/>
        <w:ind w:left="834" w:right="104" w:hanging="360"/>
        <w:jc w:val="both"/>
        <w:rPr>
          <w:rFonts w:ascii="Arial" w:hAnsi="Arial" w:cs="Arial"/>
          <w:sz w:val="22"/>
          <w:szCs w:val="22"/>
        </w:rPr>
      </w:pPr>
      <w:r>
        <w:rPr>
          <w:rFonts w:ascii="Arial" w:hAnsi="Arial" w:cs="Arial"/>
          <w:sz w:val="22"/>
          <w:szCs w:val="22"/>
        </w:rPr>
        <w:t xml:space="preserve">Interdisciplinary care teams that include BH Clinicians and for members with complex BH needs “community-based BH providers with expertise across the entire care continuum </w:t>
      </w:r>
      <w:r>
        <w:rPr>
          <w:rFonts w:ascii="Arial" w:hAnsi="Arial" w:cs="Arial"/>
          <w:spacing w:val="12"/>
          <w:sz w:val="22"/>
          <w:szCs w:val="22"/>
        </w:rPr>
        <w:t xml:space="preserve"> </w:t>
      </w:r>
      <w:r>
        <w:rPr>
          <w:rFonts w:ascii="Arial" w:hAnsi="Arial" w:cs="Arial"/>
          <w:sz w:val="22"/>
          <w:szCs w:val="22"/>
        </w:rPr>
        <w:t>of</w:t>
      </w:r>
    </w:p>
    <w:p w:rsidR="002C5025" w:rsidRDefault="00FB027C">
      <w:pPr>
        <w:pStyle w:val="BodyText"/>
        <w:kinsoku w:val="0"/>
        <w:overflowPunct w:val="0"/>
        <w:rPr>
          <w:rFonts w:ascii="Arial" w:hAnsi="Arial" w:cs="Arial"/>
          <w:sz w:val="23"/>
          <w:szCs w:val="23"/>
        </w:rPr>
      </w:pPr>
      <w:r>
        <w:rPr>
          <w:noProof/>
        </w:rPr>
        <mc:AlternateContent>
          <mc:Choice Requires="wps">
            <w:drawing>
              <wp:anchor distT="0" distB="0" distL="0" distR="0" simplePos="0" relativeHeight="251505152" behindDoc="0" locked="0" layoutInCell="0" allowOverlap="1">
                <wp:simplePos x="0" y="0"/>
                <wp:positionH relativeFrom="page">
                  <wp:posOffset>859155</wp:posOffset>
                </wp:positionH>
                <wp:positionV relativeFrom="paragraph">
                  <wp:posOffset>196850</wp:posOffset>
                </wp:positionV>
                <wp:extent cx="1828800" cy="12700"/>
                <wp:effectExtent l="0" t="0" r="0" b="0"/>
                <wp:wrapTopAndBottom/>
                <wp:docPr id="889" name="Freeform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w 2880"/>
                            <a:gd name="T1" fmla="*/ 0 h 20"/>
                            <a:gd name="T2" fmla="*/ 2880 w 2880"/>
                            <a:gd name="T3" fmla="*/ 0 h 20"/>
                          </a:gdLst>
                          <a:ahLst/>
                          <a:cxnLst>
                            <a:cxn ang="0">
                              <a:pos x="T0" y="T1"/>
                            </a:cxn>
                            <a:cxn ang="0">
                              <a:pos x="T2" y="T3"/>
                            </a:cxn>
                          </a:cxnLst>
                          <a:rect l="0" t="0" r="r" b="b"/>
                          <a:pathLst>
                            <a:path w="2880" h="20">
                              <a:moveTo>
                                <a:pt x="0" y="0"/>
                              </a:moveTo>
                              <a:lnTo>
                                <a:pt x="2880" y="0"/>
                              </a:lnTo>
                            </a:path>
                          </a:pathLst>
                        </a:custGeom>
                        <a:noFill/>
                        <a:ln w="76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36" o:spid="_x0000_s1026" style="position:absolute;z-index:251505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67.65pt,15.5pt,211.65pt,15.5pt" coordsize="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" o:allowincell="f" filled="f" strokeweight=".21131mm">
                <v:path arrowok="t" o:connecttype="custom" o:connectlocs="0,0;1828800,0" o:connectangles="0,0"/>
                <w10:wrap type="topAndBottom" anchorx="page"/>
              </v:polyline>
            </w:pict>
          </mc:Fallback>
        </mc:AlternateContent>
      </w:r>
    </w:p>
    <w:p w:rsidR="002C5025" w:rsidRDefault="002C5025">
      <w:pPr>
        <w:pStyle w:val="BodyText"/>
        <w:kinsoku w:val="0"/>
        <w:overflowPunct w:val="0"/>
        <w:spacing w:before="50" w:line="247" w:lineRule="auto"/>
        <w:ind w:left="113" w:right="108"/>
        <w:jc w:val="both"/>
        <w:rPr>
          <w:rFonts w:ascii="Arial" w:hAnsi="Arial" w:cs="Arial"/>
          <w:sz w:val="18"/>
          <w:szCs w:val="18"/>
        </w:rPr>
      </w:pPr>
      <w:bookmarkStart w:id="46" w:name="bookmark9"/>
      <w:bookmarkEnd w:id="46"/>
      <w:r>
        <w:rPr>
          <w:rFonts w:ascii="Times New Roman" w:hAnsi="Times New Roman" w:cs="Times New Roman"/>
          <w:position w:val="9"/>
          <w:sz w:val="13"/>
          <w:szCs w:val="13"/>
        </w:rPr>
        <w:t xml:space="preserve">10 </w:t>
      </w:r>
      <w:r>
        <w:rPr>
          <w:rFonts w:ascii="Arial" w:hAnsi="Arial" w:cs="Arial"/>
          <w:sz w:val="18"/>
          <w:szCs w:val="18"/>
        </w:rPr>
        <w:t>MassHealth should consider investing in and mandating universal person-centered care planning training for ACOs and CPs as occurred with the CSAs. Further, this is consistent with the proposal to adopt an ASAM-based assessment tool across SUD levels of care and coverage types.</w:t>
      </w:r>
    </w:p>
    <w:p w:rsidR="002C5025" w:rsidRDefault="002C5025">
      <w:pPr>
        <w:pStyle w:val="BodyText"/>
        <w:kinsoku w:val="0"/>
        <w:overflowPunct w:val="0"/>
        <w:spacing w:before="5"/>
        <w:rPr>
          <w:rFonts w:ascii="Arial" w:hAnsi="Arial" w:cs="Arial"/>
          <w:sz w:val="26"/>
          <w:szCs w:val="26"/>
        </w:rPr>
      </w:pPr>
    </w:p>
    <w:p w:rsidR="002C5025" w:rsidRDefault="002C5025">
      <w:pPr>
        <w:pStyle w:val="BodyText"/>
        <w:kinsoku w:val="0"/>
        <w:overflowPunct w:val="0"/>
        <w:spacing w:before="74"/>
        <w:ind w:right="114"/>
        <w:jc w:val="right"/>
        <w:rPr>
          <w:rFonts w:ascii="Arial" w:hAnsi="Arial" w:cs="Arial"/>
          <w:sz w:val="20"/>
          <w:szCs w:val="20"/>
        </w:rPr>
      </w:pPr>
      <w:r>
        <w:rPr>
          <w:rFonts w:ascii="Arial" w:hAnsi="Arial" w:cs="Arial"/>
          <w:sz w:val="20"/>
          <w:szCs w:val="20"/>
        </w:rPr>
        <w:t>Page 7 of 18</w:t>
      </w:r>
    </w:p>
    <w:p w:rsidR="002C5025" w:rsidRDefault="002C5025">
      <w:pPr>
        <w:pStyle w:val="BodyText"/>
        <w:kinsoku w:val="0"/>
        <w:overflowPunct w:val="0"/>
        <w:spacing w:before="74"/>
        <w:ind w:right="114"/>
        <w:jc w:val="right"/>
        <w:rPr>
          <w:rFonts w:ascii="Arial" w:hAnsi="Arial" w:cs="Arial"/>
          <w:sz w:val="20"/>
          <w:szCs w:val="20"/>
        </w:rPr>
        <w:sectPr w:rsidR="002C5025">
          <w:pgSz w:w="12240" w:h="15840"/>
          <w:pgMar w:top="1500" w:right="1240" w:bottom="280" w:left="1240" w:header="720" w:footer="720" w:gutter="0"/>
          <w:cols w:space="720"/>
          <w:noEndnote/>
        </w:sect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9"/>
        <w:rPr>
          <w:rFonts w:ascii="Arial" w:hAnsi="Arial" w:cs="Arial"/>
          <w:sz w:val="18"/>
          <w:szCs w:val="18"/>
        </w:rPr>
      </w:pPr>
    </w:p>
    <w:p w:rsidR="002C5025" w:rsidRDefault="002C5025">
      <w:pPr>
        <w:pStyle w:val="BodyText"/>
        <w:kinsoku w:val="0"/>
        <w:overflowPunct w:val="0"/>
        <w:spacing w:before="77" w:line="252" w:lineRule="exact"/>
        <w:ind w:left="833" w:right="235"/>
        <w:rPr>
          <w:rFonts w:ascii="Arial" w:hAnsi="Arial" w:cs="Arial"/>
        </w:rPr>
      </w:pPr>
      <w:r>
        <w:rPr>
          <w:rFonts w:ascii="Arial" w:hAnsi="Arial" w:cs="Arial"/>
        </w:rPr>
        <w:t>BH treatments and services, from emergency and crisis stabilization through intensive outpatient, community-based service”</w:t>
      </w:r>
      <w:hyperlink w:anchor="bookmark10" w:history="1">
        <w:r>
          <w:rPr>
            <w:rFonts w:ascii="Arial" w:hAnsi="Arial" w:cs="Arial"/>
            <w:position w:val="10"/>
            <w:sz w:val="14"/>
            <w:szCs w:val="14"/>
          </w:rPr>
          <w:t>11</w:t>
        </w:r>
      </w:hyperlink>
      <w:r>
        <w:rPr>
          <w:rFonts w:ascii="Arial" w:hAnsi="Arial" w:cs="Arial"/>
          <w:position w:val="10"/>
          <w:sz w:val="14"/>
          <w:szCs w:val="14"/>
        </w:rPr>
        <w:t xml:space="preserve"> </w:t>
      </w:r>
      <w:r>
        <w:rPr>
          <w:rFonts w:ascii="Arial" w:hAnsi="Arial" w:cs="Arial"/>
        </w:rPr>
        <w:t>(Section 4.2.1 – source of expectation not clear).</w:t>
      </w:r>
    </w:p>
    <w:p w:rsidR="002C5025" w:rsidRDefault="002C5025">
      <w:pPr>
        <w:pStyle w:val="BodyText"/>
        <w:kinsoku w:val="0"/>
        <w:overflowPunct w:val="0"/>
        <w:spacing w:before="224"/>
        <w:ind w:left="113" w:right="102"/>
        <w:jc w:val="both"/>
        <w:rPr>
          <w:rFonts w:ascii="Arial" w:hAnsi="Arial" w:cs="Arial"/>
        </w:rPr>
      </w:pPr>
      <w:r>
        <w:rPr>
          <w:rFonts w:ascii="Arial" w:hAnsi="Arial" w:cs="Arial"/>
        </w:rPr>
        <w:t>While ABH understands that the waiver request lacks a high-level of operational detail,</w:t>
      </w:r>
      <w:hyperlink w:anchor="bookmark11" w:history="1">
        <w:r>
          <w:rPr>
            <w:rFonts w:ascii="Arial" w:hAnsi="Arial" w:cs="Arial"/>
            <w:position w:val="10"/>
            <w:sz w:val="14"/>
            <w:szCs w:val="14"/>
          </w:rPr>
          <w:t>12</w:t>
        </w:r>
      </w:hyperlink>
      <w:r>
        <w:rPr>
          <w:rFonts w:ascii="Arial" w:hAnsi="Arial" w:cs="Arial"/>
          <w:position w:val="10"/>
          <w:sz w:val="14"/>
          <w:szCs w:val="14"/>
        </w:rPr>
        <w:t xml:space="preserve"> </w:t>
      </w:r>
      <w:r>
        <w:rPr>
          <w:rFonts w:ascii="Arial" w:hAnsi="Arial" w:cs="Arial"/>
        </w:rPr>
        <w:t>we believe that the requirements above are insufficient to ensure that existing behavioral healthcare services are not replicated within ACOs at higher cost to the Commonwealth. Further, it is not clear that the unique needs of cultural and linguistic minorities and other subpopulations will be met or that those already experiencing significant disparities will experience a reduction in those disparities.</w:t>
      </w:r>
    </w:p>
    <w:p w:rsidR="002C5025" w:rsidRDefault="002C5025">
      <w:pPr>
        <w:pStyle w:val="BodyText"/>
        <w:kinsoku w:val="0"/>
        <w:overflowPunct w:val="0"/>
        <w:rPr>
          <w:rFonts w:ascii="Arial" w:hAnsi="Arial" w:cs="Arial"/>
        </w:rPr>
      </w:pPr>
    </w:p>
    <w:p w:rsidR="002C5025" w:rsidRDefault="002C5025">
      <w:pPr>
        <w:pStyle w:val="BodyText"/>
        <w:kinsoku w:val="0"/>
        <w:overflowPunct w:val="0"/>
        <w:ind w:left="113" w:right="103"/>
        <w:jc w:val="both"/>
        <w:rPr>
          <w:rFonts w:ascii="Arial" w:hAnsi="Arial" w:cs="Arial"/>
        </w:rPr>
      </w:pPr>
      <w:r>
        <w:rPr>
          <w:rFonts w:ascii="Arial" w:hAnsi="Arial" w:cs="Arial"/>
        </w:rPr>
        <w:t>As ABH has previously commented, the Health Policy Commission’s Community Hospital Acceleration, Revitalization, and Transformation (CHART) Investment Program lacked any requirements or significant incentives to partner with community-based organizations for service delivery. When ABH surveyed its membership about CHART grantees leveraging community expertise for funded behavioral health projects, responses indicated that in the majority of instances grantees either did not partner with community organizations or did so in a cursory fashion. In numerous instances, services were duplicated by the hospitals, an approach that represents potential new, unnecessary costs to the care system.</w:t>
      </w:r>
    </w:p>
    <w:p w:rsidR="002C5025" w:rsidRDefault="002C5025">
      <w:pPr>
        <w:pStyle w:val="BodyText"/>
        <w:kinsoku w:val="0"/>
        <w:overflowPunct w:val="0"/>
        <w:spacing w:before="9"/>
        <w:rPr>
          <w:rFonts w:ascii="Arial" w:hAnsi="Arial" w:cs="Arial"/>
          <w:sz w:val="21"/>
          <w:szCs w:val="21"/>
        </w:rPr>
      </w:pPr>
    </w:p>
    <w:p w:rsidR="002C5025" w:rsidRDefault="002C5025">
      <w:pPr>
        <w:pStyle w:val="BodyText"/>
        <w:kinsoku w:val="0"/>
        <w:overflowPunct w:val="0"/>
        <w:ind w:left="113" w:right="100" w:hanging="1"/>
        <w:jc w:val="both"/>
        <w:rPr>
          <w:rFonts w:ascii="Arial" w:hAnsi="Arial" w:cs="Arial"/>
        </w:rPr>
      </w:pPr>
      <w:r>
        <w:rPr>
          <w:rFonts w:ascii="Arial" w:hAnsi="Arial" w:cs="Arial"/>
        </w:rPr>
        <w:t xml:space="preserve">Based on the experience of our members, ABH believes that there must be </w:t>
      </w:r>
      <w:r>
        <w:rPr>
          <w:rFonts w:ascii="Arial" w:hAnsi="Arial" w:cs="Arial"/>
          <w:b/>
          <w:bCs/>
        </w:rPr>
        <w:t>explicit requirements that ACOs partner with existing community-based behavioral health service providers</w:t>
      </w:r>
      <w:r>
        <w:rPr>
          <w:rFonts w:ascii="Arial" w:hAnsi="Arial" w:cs="Arial"/>
        </w:rPr>
        <w:t xml:space="preserve">. Specifically, ABH recommends that ACOs be required to have partnerships across  the continuum with community-based behavioral health organizations pursuant to the HPC certification criteria and submit affiliation agreements, referral agreements, and/or subcontracts with community-based behavioral health providers for the provision of behavioral health services as evidence of these partnerships. For Models A (if an existing MCO) and C, the </w:t>
      </w:r>
      <w:r>
        <w:rPr>
          <w:rFonts w:ascii="Arial" w:hAnsi="Arial" w:cs="Arial"/>
          <w:spacing w:val="-2"/>
        </w:rPr>
        <w:t xml:space="preserve">MCO </w:t>
      </w:r>
      <w:r>
        <w:rPr>
          <w:rFonts w:ascii="Arial" w:hAnsi="Arial" w:cs="Arial"/>
        </w:rPr>
        <w:t xml:space="preserve">should be required to ensure care continuity by demonstrating that their networks includes a </w:t>
      </w:r>
      <w:r>
        <w:rPr>
          <w:rFonts w:ascii="Arial" w:hAnsi="Arial" w:cs="Arial"/>
          <w:b/>
          <w:bCs/>
        </w:rPr>
        <w:t>minimum threshold of those provider organizations that provided 80% of the last 12 months’ non- hospital behavioral health spend for the ACO’s enrolled</w:t>
      </w:r>
      <w:r>
        <w:rPr>
          <w:rFonts w:ascii="Arial" w:hAnsi="Arial" w:cs="Arial"/>
          <w:b/>
          <w:bCs/>
          <w:spacing w:val="-23"/>
        </w:rPr>
        <w:t xml:space="preserve"> </w:t>
      </w:r>
      <w:r>
        <w:rPr>
          <w:rFonts w:ascii="Arial" w:hAnsi="Arial" w:cs="Arial"/>
          <w:b/>
          <w:bCs/>
        </w:rPr>
        <w:t>members</w:t>
      </w:r>
      <w:r>
        <w:rPr>
          <w:rFonts w:ascii="Arial" w:hAnsi="Arial" w:cs="Arial"/>
        </w:rPr>
        <w:t>.</w:t>
      </w:r>
    </w:p>
    <w:p w:rsidR="002C5025" w:rsidRDefault="002C5025">
      <w:pPr>
        <w:pStyle w:val="BodyText"/>
        <w:kinsoku w:val="0"/>
        <w:overflowPunct w:val="0"/>
        <w:spacing w:before="7"/>
        <w:rPr>
          <w:rFonts w:ascii="Arial" w:hAnsi="Arial" w:cs="Arial"/>
          <w:sz w:val="32"/>
          <w:szCs w:val="32"/>
        </w:rPr>
      </w:pPr>
    </w:p>
    <w:p w:rsidR="002C5025" w:rsidRDefault="002C5025">
      <w:pPr>
        <w:pStyle w:val="BodyText"/>
        <w:kinsoku w:val="0"/>
        <w:overflowPunct w:val="0"/>
        <w:ind w:left="113"/>
        <w:jc w:val="both"/>
        <w:rPr>
          <w:rFonts w:ascii="Arial" w:hAnsi="Arial" w:cs="Arial"/>
          <w:b/>
          <w:bCs/>
          <w:sz w:val="26"/>
          <w:szCs w:val="26"/>
        </w:rPr>
      </w:pPr>
      <w:r>
        <w:rPr>
          <w:rFonts w:ascii="Arial" w:hAnsi="Arial" w:cs="Arial"/>
          <w:b/>
          <w:bCs/>
          <w:sz w:val="26"/>
          <w:szCs w:val="26"/>
        </w:rPr>
        <w:t>Behavioral Health Community Partner Certification</w:t>
      </w:r>
    </w:p>
    <w:p w:rsidR="002C5025" w:rsidRDefault="002C5025">
      <w:pPr>
        <w:pStyle w:val="BodyText"/>
        <w:kinsoku w:val="0"/>
        <w:overflowPunct w:val="0"/>
        <w:ind w:left="113" w:right="108"/>
        <w:jc w:val="both"/>
        <w:rPr>
          <w:rFonts w:ascii="Arial" w:hAnsi="Arial" w:cs="Arial"/>
        </w:rPr>
      </w:pPr>
      <w:r>
        <w:rPr>
          <w:rFonts w:ascii="Arial" w:hAnsi="Arial" w:cs="Arial"/>
        </w:rPr>
        <w:t>MassHealth members with complex needs require interdisciplinary care teams with cross- continuum expertise, and CPs will be essential team members. CPs need a relatively stable, critical number of members with complex needs in order to effectively coordinate care in a sustainable manner. ABH continues to caution MassHealth that any certification process must be sufficiently rigorous to ensure that geographies are not oversaturated. This will help ensure that BH CPs have sufficient numbers of MassHealth members to serve members effectively and that DSRIP funding is optimally distributed.</w:t>
      </w:r>
    </w:p>
    <w:p w:rsidR="002C5025" w:rsidRDefault="002C5025">
      <w:pPr>
        <w:pStyle w:val="BodyText"/>
        <w:kinsoku w:val="0"/>
        <w:overflowPunct w:val="0"/>
        <w:rPr>
          <w:rFonts w:ascii="Arial" w:hAnsi="Arial" w:cs="Arial"/>
          <w:sz w:val="20"/>
          <w:szCs w:val="20"/>
        </w:rPr>
      </w:pPr>
    </w:p>
    <w:p w:rsidR="002C5025" w:rsidRDefault="00FB027C">
      <w:pPr>
        <w:pStyle w:val="BodyText"/>
        <w:kinsoku w:val="0"/>
        <w:overflowPunct w:val="0"/>
        <w:spacing w:before="3"/>
        <w:rPr>
          <w:rFonts w:ascii="Arial" w:hAnsi="Arial" w:cs="Arial"/>
          <w:sz w:val="28"/>
          <w:szCs w:val="28"/>
        </w:rPr>
      </w:pPr>
      <w:r>
        <w:rPr>
          <w:noProof/>
        </w:rPr>
        <mc:AlternateContent>
          <mc:Choice Requires="wps">
            <w:drawing>
              <wp:anchor distT="0" distB="0" distL="0" distR="0" simplePos="0" relativeHeight="251506176" behindDoc="0" locked="0" layoutInCell="0" allowOverlap="1">
                <wp:simplePos x="0" y="0"/>
                <wp:positionH relativeFrom="page">
                  <wp:posOffset>859155</wp:posOffset>
                </wp:positionH>
                <wp:positionV relativeFrom="paragraph">
                  <wp:posOffset>234950</wp:posOffset>
                </wp:positionV>
                <wp:extent cx="1828800" cy="12700"/>
                <wp:effectExtent l="0" t="0" r="0" b="0"/>
                <wp:wrapTopAndBottom/>
                <wp:docPr id="888" name="Freeform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w 2880"/>
                            <a:gd name="T1" fmla="*/ 0 h 20"/>
                            <a:gd name="T2" fmla="*/ 2880 w 2880"/>
                            <a:gd name="T3" fmla="*/ 0 h 20"/>
                          </a:gdLst>
                          <a:ahLst/>
                          <a:cxnLst>
                            <a:cxn ang="0">
                              <a:pos x="T0" y="T1"/>
                            </a:cxn>
                            <a:cxn ang="0">
                              <a:pos x="T2" y="T3"/>
                            </a:cxn>
                          </a:cxnLst>
                          <a:rect l="0" t="0" r="r" b="b"/>
                          <a:pathLst>
                            <a:path w="2880" h="20">
                              <a:moveTo>
                                <a:pt x="0" y="0"/>
                              </a:moveTo>
                              <a:lnTo>
                                <a:pt x="2880"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37" o:spid="_x0000_s1026" style="position:absolute;z-index:251506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67.65pt,18.5pt,211.65pt,18.5pt" coordsize="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" o:allowincell="f" filled="f" strokeweight=".21164mm">
                <v:path arrowok="t" o:connecttype="custom" o:connectlocs="0,0;1828800,0" o:connectangles="0,0"/>
                <w10:wrap type="topAndBottom" anchorx="page"/>
              </v:polyline>
            </w:pict>
          </mc:Fallback>
        </mc:AlternateContent>
      </w:r>
    </w:p>
    <w:p w:rsidR="002C5025" w:rsidRDefault="002C5025">
      <w:pPr>
        <w:pStyle w:val="BodyText"/>
        <w:kinsoku w:val="0"/>
        <w:overflowPunct w:val="0"/>
        <w:spacing w:before="47" w:line="224" w:lineRule="exact"/>
        <w:ind w:left="113"/>
        <w:jc w:val="both"/>
        <w:rPr>
          <w:rFonts w:ascii="Arial" w:hAnsi="Arial" w:cs="Arial"/>
          <w:sz w:val="18"/>
          <w:szCs w:val="18"/>
        </w:rPr>
      </w:pPr>
      <w:bookmarkStart w:id="47" w:name="bookmark10"/>
      <w:bookmarkEnd w:id="47"/>
      <w:r>
        <w:rPr>
          <w:rFonts w:ascii="Arial" w:hAnsi="Arial" w:cs="Arial"/>
          <w:position w:val="9"/>
          <w:sz w:val="12"/>
          <w:szCs w:val="12"/>
        </w:rPr>
        <w:t xml:space="preserve">11 </w:t>
      </w:r>
      <w:r>
        <w:rPr>
          <w:rFonts w:ascii="Arial" w:hAnsi="Arial" w:cs="Arial"/>
          <w:sz w:val="18"/>
          <w:szCs w:val="18"/>
        </w:rPr>
        <w:t>ABH interprets the latter BH provider partner to be the BH CP care coordinating entity.</w:t>
      </w:r>
    </w:p>
    <w:p w:rsidR="002C5025" w:rsidRDefault="002C5025">
      <w:pPr>
        <w:pStyle w:val="BodyText"/>
        <w:kinsoku w:val="0"/>
        <w:overflowPunct w:val="0"/>
        <w:spacing w:line="224" w:lineRule="exact"/>
        <w:ind w:left="113"/>
        <w:jc w:val="both"/>
        <w:rPr>
          <w:rFonts w:ascii="Arial" w:hAnsi="Arial" w:cs="Arial"/>
          <w:sz w:val="18"/>
          <w:szCs w:val="18"/>
        </w:rPr>
      </w:pPr>
      <w:bookmarkStart w:id="48" w:name="bookmark11"/>
      <w:bookmarkEnd w:id="48"/>
      <w:r>
        <w:rPr>
          <w:rFonts w:ascii="Arial" w:hAnsi="Arial" w:cs="Arial"/>
          <w:position w:val="9"/>
          <w:sz w:val="12"/>
          <w:szCs w:val="12"/>
        </w:rPr>
        <w:t>12</w:t>
      </w:r>
      <w:r>
        <w:rPr>
          <w:rFonts w:ascii="Arial" w:hAnsi="Arial" w:cs="Arial"/>
          <w:sz w:val="18"/>
          <w:szCs w:val="18"/>
        </w:rPr>
        <w:t>The  Pilot  ACO  RFR  requires  applicants  to  detail  proposed  TCOC/Quality  Management  models  that  “take into</w:t>
      </w:r>
    </w:p>
    <w:p w:rsidR="002C5025" w:rsidRDefault="002C5025">
      <w:pPr>
        <w:pStyle w:val="BodyText"/>
        <w:kinsoku w:val="0"/>
        <w:overflowPunct w:val="0"/>
        <w:spacing w:before="2"/>
        <w:ind w:left="113" w:right="108"/>
        <w:jc w:val="both"/>
        <w:rPr>
          <w:rFonts w:ascii="Arial" w:hAnsi="Arial" w:cs="Arial"/>
          <w:sz w:val="18"/>
          <w:szCs w:val="18"/>
        </w:rPr>
      </w:pPr>
      <w:r>
        <w:rPr>
          <w:rFonts w:ascii="Arial" w:hAnsi="Arial" w:cs="Arial"/>
          <w:sz w:val="18"/>
          <w:szCs w:val="18"/>
        </w:rPr>
        <w:t>consideration” goals of integrating physical, behavioral health and other health domains as well as investment in community providers and community-based organizations. If the applicant’s proposal entails the “use of team-based care” and coordination and integration with “providers of mental health and/or substance use disorder services” and others, the applicant must detail its approach. However, these do not appear to be required elements.  ABH recommends that the final ACO RFR be far more explicit as to expectations, particularly around care teams and partnerships across the continuum.</w:t>
      </w:r>
    </w:p>
    <w:p w:rsidR="002C5025" w:rsidRDefault="002C5025">
      <w:pPr>
        <w:pStyle w:val="BodyText"/>
        <w:kinsoku w:val="0"/>
        <w:overflowPunct w:val="0"/>
        <w:spacing w:before="10"/>
        <w:rPr>
          <w:rFonts w:ascii="Arial" w:hAnsi="Arial" w:cs="Arial"/>
          <w:sz w:val="26"/>
          <w:szCs w:val="26"/>
        </w:rPr>
      </w:pPr>
    </w:p>
    <w:p w:rsidR="002C5025" w:rsidRDefault="002C5025">
      <w:pPr>
        <w:pStyle w:val="BodyText"/>
        <w:kinsoku w:val="0"/>
        <w:overflowPunct w:val="0"/>
        <w:spacing w:before="74"/>
        <w:ind w:right="114"/>
        <w:jc w:val="right"/>
        <w:rPr>
          <w:rFonts w:ascii="Arial" w:hAnsi="Arial" w:cs="Arial"/>
          <w:sz w:val="20"/>
          <w:szCs w:val="20"/>
        </w:rPr>
      </w:pPr>
      <w:r>
        <w:rPr>
          <w:rFonts w:ascii="Arial" w:hAnsi="Arial" w:cs="Arial"/>
          <w:sz w:val="20"/>
          <w:szCs w:val="20"/>
        </w:rPr>
        <w:t>Page 8 of 18</w:t>
      </w:r>
    </w:p>
    <w:p w:rsidR="002C5025" w:rsidRDefault="002C5025">
      <w:pPr>
        <w:pStyle w:val="BodyText"/>
        <w:kinsoku w:val="0"/>
        <w:overflowPunct w:val="0"/>
        <w:spacing w:before="74"/>
        <w:ind w:right="114"/>
        <w:jc w:val="right"/>
        <w:rPr>
          <w:rFonts w:ascii="Arial" w:hAnsi="Arial" w:cs="Arial"/>
          <w:sz w:val="20"/>
          <w:szCs w:val="20"/>
        </w:rPr>
        <w:sectPr w:rsidR="002C5025">
          <w:pgSz w:w="12240" w:h="15840"/>
          <w:pgMar w:top="1500" w:right="1240" w:bottom="280" w:left="1240" w:header="720" w:footer="720" w:gutter="0"/>
          <w:cols w:space="720"/>
          <w:noEndnote/>
        </w:sect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9"/>
        <w:rPr>
          <w:rFonts w:ascii="Arial" w:hAnsi="Arial" w:cs="Arial"/>
          <w:sz w:val="18"/>
          <w:szCs w:val="18"/>
        </w:rPr>
      </w:pPr>
    </w:p>
    <w:p w:rsidR="002C5025" w:rsidRDefault="002C5025">
      <w:pPr>
        <w:pStyle w:val="BodyText"/>
        <w:kinsoku w:val="0"/>
        <w:overflowPunct w:val="0"/>
        <w:spacing w:before="73"/>
        <w:ind w:left="113" w:right="108"/>
        <w:jc w:val="both"/>
        <w:rPr>
          <w:rFonts w:ascii="Arial" w:hAnsi="Arial" w:cs="Arial"/>
        </w:rPr>
      </w:pPr>
      <w:r>
        <w:rPr>
          <w:rFonts w:ascii="Arial" w:hAnsi="Arial" w:cs="Arial"/>
        </w:rPr>
        <w:t xml:space="preserve">If the Commonwealth certifies multiple CPs in a specific geography, MassHealth will have empowered ACOs to select winners and losers among BH CPs. By allowing ACOs to select  which BH CPs they partner with and which members they assign to CP services, ACOs will control the flow of patients to their favored entities without an evidence basis. Because </w:t>
      </w:r>
      <w:r>
        <w:rPr>
          <w:rFonts w:ascii="Arial" w:hAnsi="Arial" w:cs="Arial"/>
          <w:spacing w:val="-3"/>
        </w:rPr>
        <w:t xml:space="preserve">no  </w:t>
      </w:r>
      <w:r>
        <w:rPr>
          <w:rFonts w:ascii="Arial" w:hAnsi="Arial" w:cs="Arial"/>
        </w:rPr>
        <w:t>baseline BH CP data exists that the ACOs may use to guide BH CP partner selection, the Commonwealth must not put barriers in place for the BH CPs certified or procured by MassHealth to succeed. This will undermine MassHealth’s own commitment to the role of CPs in care coordination for members by allowing DSRIP investment to be wasted on unsuccessful</w:t>
      </w:r>
      <w:r>
        <w:rPr>
          <w:rFonts w:ascii="Arial" w:hAnsi="Arial" w:cs="Arial"/>
          <w:spacing w:val="-34"/>
        </w:rPr>
        <w:t xml:space="preserve"> </w:t>
      </w:r>
      <w:r>
        <w:rPr>
          <w:rFonts w:ascii="Arial" w:hAnsi="Arial" w:cs="Arial"/>
        </w:rPr>
        <w:t>CPs.</w:t>
      </w:r>
    </w:p>
    <w:p w:rsidR="002C5025" w:rsidRDefault="002C5025">
      <w:pPr>
        <w:pStyle w:val="BodyText"/>
        <w:kinsoku w:val="0"/>
        <w:overflowPunct w:val="0"/>
        <w:spacing w:before="10"/>
        <w:rPr>
          <w:rFonts w:ascii="Arial" w:hAnsi="Arial" w:cs="Arial"/>
          <w:sz w:val="19"/>
          <w:szCs w:val="19"/>
        </w:rPr>
      </w:pPr>
    </w:p>
    <w:p w:rsidR="002C5025" w:rsidRDefault="002C5025">
      <w:pPr>
        <w:pStyle w:val="BodyText"/>
        <w:kinsoku w:val="0"/>
        <w:overflowPunct w:val="0"/>
        <w:ind w:left="113" w:right="107"/>
        <w:jc w:val="both"/>
        <w:rPr>
          <w:rFonts w:ascii="Arial" w:hAnsi="Arial" w:cs="Arial"/>
        </w:rPr>
      </w:pPr>
      <w:r>
        <w:rPr>
          <w:rFonts w:ascii="Arial" w:hAnsi="Arial" w:cs="Arial"/>
        </w:rPr>
        <w:t>Relative to BH CP certification domains, ABH agrees with those identified by MassHealth.</w:t>
      </w:r>
      <w:hyperlink w:anchor="bookmark12" w:history="1">
        <w:r>
          <w:rPr>
            <w:rFonts w:ascii="Arial" w:hAnsi="Arial" w:cs="Arial"/>
            <w:position w:val="10"/>
            <w:sz w:val="14"/>
            <w:szCs w:val="14"/>
          </w:rPr>
          <w:t>13</w:t>
        </w:r>
      </w:hyperlink>
      <w:r>
        <w:rPr>
          <w:rFonts w:ascii="Arial" w:hAnsi="Arial" w:cs="Arial"/>
          <w:position w:val="10"/>
          <w:sz w:val="14"/>
          <w:szCs w:val="14"/>
        </w:rPr>
        <w:t xml:space="preserve"> </w:t>
      </w:r>
      <w:r>
        <w:rPr>
          <w:rFonts w:ascii="Arial" w:hAnsi="Arial" w:cs="Arial"/>
        </w:rPr>
        <w:t>In addition, any certification process should ensure:</w:t>
      </w:r>
    </w:p>
    <w:p w:rsidR="002C5025" w:rsidRDefault="002C5025">
      <w:pPr>
        <w:pStyle w:val="BodyText"/>
        <w:kinsoku w:val="0"/>
        <w:overflowPunct w:val="0"/>
        <w:spacing w:before="9"/>
        <w:rPr>
          <w:rFonts w:ascii="Arial" w:hAnsi="Arial" w:cs="Arial"/>
          <w:sz w:val="21"/>
          <w:szCs w:val="21"/>
        </w:rPr>
      </w:pPr>
    </w:p>
    <w:p w:rsidR="002C5025" w:rsidRDefault="002C5025">
      <w:pPr>
        <w:pStyle w:val="ListParagraph"/>
        <w:numPr>
          <w:ilvl w:val="0"/>
          <w:numId w:val="88"/>
        </w:numPr>
        <w:tabs>
          <w:tab w:val="left" w:pos="834"/>
        </w:tabs>
        <w:kinsoku w:val="0"/>
        <w:overflowPunct w:val="0"/>
        <w:spacing w:line="269" w:lineRule="exact"/>
        <w:ind w:hanging="360"/>
        <w:rPr>
          <w:rFonts w:ascii="Arial" w:hAnsi="Arial" w:cs="Arial"/>
          <w:sz w:val="22"/>
          <w:szCs w:val="22"/>
        </w:rPr>
      </w:pPr>
      <w:r>
        <w:rPr>
          <w:rFonts w:ascii="Arial" w:hAnsi="Arial" w:cs="Arial"/>
          <w:sz w:val="22"/>
          <w:szCs w:val="22"/>
        </w:rPr>
        <w:t>statewide access to CP</w:t>
      </w:r>
      <w:r>
        <w:rPr>
          <w:rFonts w:ascii="Arial" w:hAnsi="Arial" w:cs="Arial"/>
          <w:spacing w:val="-13"/>
          <w:sz w:val="22"/>
          <w:szCs w:val="22"/>
        </w:rPr>
        <w:t xml:space="preserve"> </w:t>
      </w:r>
      <w:r>
        <w:rPr>
          <w:rFonts w:ascii="Arial" w:hAnsi="Arial" w:cs="Arial"/>
          <w:sz w:val="22"/>
          <w:szCs w:val="22"/>
        </w:rPr>
        <w:t>services;</w:t>
      </w:r>
    </w:p>
    <w:p w:rsidR="002C5025" w:rsidRDefault="002C5025">
      <w:pPr>
        <w:pStyle w:val="ListParagraph"/>
        <w:numPr>
          <w:ilvl w:val="0"/>
          <w:numId w:val="88"/>
        </w:numPr>
        <w:tabs>
          <w:tab w:val="left" w:pos="834"/>
        </w:tabs>
        <w:kinsoku w:val="0"/>
        <w:overflowPunct w:val="0"/>
        <w:spacing w:line="269" w:lineRule="exact"/>
        <w:ind w:hanging="360"/>
        <w:rPr>
          <w:rFonts w:ascii="Arial" w:hAnsi="Arial" w:cs="Arial"/>
          <w:sz w:val="22"/>
          <w:szCs w:val="22"/>
        </w:rPr>
      </w:pPr>
      <w:r>
        <w:rPr>
          <w:rFonts w:ascii="Arial" w:hAnsi="Arial" w:cs="Arial"/>
          <w:sz w:val="22"/>
          <w:szCs w:val="22"/>
        </w:rPr>
        <w:t>demonstrated community</w:t>
      </w:r>
      <w:r>
        <w:rPr>
          <w:rFonts w:ascii="Arial" w:hAnsi="Arial" w:cs="Arial"/>
          <w:spacing w:val="-17"/>
          <w:sz w:val="22"/>
          <w:szCs w:val="22"/>
        </w:rPr>
        <w:t xml:space="preserve"> </w:t>
      </w:r>
      <w:r>
        <w:rPr>
          <w:rFonts w:ascii="Arial" w:hAnsi="Arial" w:cs="Arial"/>
          <w:sz w:val="22"/>
          <w:szCs w:val="22"/>
        </w:rPr>
        <w:t>embeddedness;</w:t>
      </w:r>
    </w:p>
    <w:p w:rsidR="002C5025" w:rsidRDefault="002C5025">
      <w:pPr>
        <w:pStyle w:val="ListParagraph"/>
        <w:numPr>
          <w:ilvl w:val="0"/>
          <w:numId w:val="88"/>
        </w:numPr>
        <w:tabs>
          <w:tab w:val="left" w:pos="834"/>
        </w:tabs>
        <w:kinsoku w:val="0"/>
        <w:overflowPunct w:val="0"/>
        <w:spacing w:line="268" w:lineRule="exact"/>
        <w:ind w:hanging="360"/>
        <w:rPr>
          <w:rFonts w:ascii="Arial" w:hAnsi="Arial" w:cs="Arial"/>
          <w:sz w:val="22"/>
          <w:szCs w:val="22"/>
        </w:rPr>
      </w:pPr>
      <w:r>
        <w:rPr>
          <w:rFonts w:ascii="Arial" w:hAnsi="Arial" w:cs="Arial"/>
          <w:sz w:val="22"/>
          <w:szCs w:val="22"/>
        </w:rPr>
        <w:t>demonstrated competencies in serving individuals with complex BH</w:t>
      </w:r>
      <w:r>
        <w:rPr>
          <w:rFonts w:ascii="Arial" w:hAnsi="Arial" w:cs="Arial"/>
          <w:spacing w:val="-33"/>
          <w:sz w:val="22"/>
          <w:szCs w:val="22"/>
        </w:rPr>
        <w:t xml:space="preserve"> </w:t>
      </w:r>
      <w:r>
        <w:rPr>
          <w:rFonts w:ascii="Arial" w:hAnsi="Arial" w:cs="Arial"/>
          <w:sz w:val="22"/>
          <w:szCs w:val="22"/>
        </w:rPr>
        <w:t>needs;</w:t>
      </w:r>
    </w:p>
    <w:p w:rsidR="002C5025" w:rsidRDefault="002C5025">
      <w:pPr>
        <w:pStyle w:val="ListParagraph"/>
        <w:numPr>
          <w:ilvl w:val="0"/>
          <w:numId w:val="88"/>
        </w:numPr>
        <w:tabs>
          <w:tab w:val="left" w:pos="834"/>
        </w:tabs>
        <w:kinsoku w:val="0"/>
        <w:overflowPunct w:val="0"/>
        <w:spacing w:line="268" w:lineRule="exact"/>
        <w:ind w:hanging="360"/>
        <w:rPr>
          <w:rFonts w:ascii="Arial" w:hAnsi="Arial" w:cs="Arial"/>
          <w:sz w:val="22"/>
          <w:szCs w:val="22"/>
        </w:rPr>
      </w:pPr>
      <w:r>
        <w:rPr>
          <w:rFonts w:ascii="Arial" w:hAnsi="Arial" w:cs="Arial"/>
          <w:sz w:val="22"/>
          <w:szCs w:val="22"/>
        </w:rPr>
        <w:t>strong cultural and linguistic competence in serving the target population(s);</w:t>
      </w:r>
      <w:r>
        <w:rPr>
          <w:rFonts w:ascii="Arial" w:hAnsi="Arial" w:cs="Arial"/>
          <w:spacing w:val="-31"/>
          <w:sz w:val="22"/>
          <w:szCs w:val="22"/>
        </w:rPr>
        <w:t xml:space="preserve"> </w:t>
      </w:r>
      <w:r>
        <w:rPr>
          <w:rFonts w:ascii="Arial" w:hAnsi="Arial" w:cs="Arial"/>
          <w:sz w:val="22"/>
          <w:szCs w:val="22"/>
        </w:rPr>
        <w:t>and,</w:t>
      </w:r>
    </w:p>
    <w:p w:rsidR="002C5025" w:rsidRDefault="002C5025">
      <w:pPr>
        <w:pStyle w:val="ListParagraph"/>
        <w:numPr>
          <w:ilvl w:val="0"/>
          <w:numId w:val="88"/>
        </w:numPr>
        <w:tabs>
          <w:tab w:val="left" w:pos="834"/>
        </w:tabs>
        <w:kinsoku w:val="0"/>
        <w:overflowPunct w:val="0"/>
        <w:spacing w:line="269" w:lineRule="exact"/>
        <w:ind w:hanging="360"/>
        <w:rPr>
          <w:rFonts w:ascii="Arial" w:hAnsi="Arial" w:cs="Arial"/>
          <w:sz w:val="22"/>
          <w:szCs w:val="22"/>
        </w:rPr>
      </w:pPr>
      <w:r>
        <w:rPr>
          <w:rFonts w:ascii="Arial" w:hAnsi="Arial" w:cs="Arial"/>
          <w:sz w:val="22"/>
          <w:szCs w:val="22"/>
        </w:rPr>
        <w:t>sufficient MassHealth member participation for sustainable</w:t>
      </w:r>
      <w:r>
        <w:rPr>
          <w:rFonts w:ascii="Arial" w:hAnsi="Arial" w:cs="Arial"/>
          <w:spacing w:val="-29"/>
          <w:sz w:val="22"/>
          <w:szCs w:val="22"/>
        </w:rPr>
        <w:t xml:space="preserve"> </w:t>
      </w:r>
      <w:r>
        <w:rPr>
          <w:rFonts w:ascii="Arial" w:hAnsi="Arial" w:cs="Arial"/>
          <w:sz w:val="22"/>
          <w:szCs w:val="22"/>
        </w:rPr>
        <w:t>services.</w:t>
      </w:r>
    </w:p>
    <w:p w:rsidR="002C5025" w:rsidRDefault="002C5025">
      <w:pPr>
        <w:pStyle w:val="BodyText"/>
        <w:kinsoku w:val="0"/>
        <w:overflowPunct w:val="0"/>
        <w:spacing w:before="10"/>
        <w:rPr>
          <w:rFonts w:ascii="Arial" w:hAnsi="Arial" w:cs="Arial"/>
          <w:sz w:val="21"/>
          <w:szCs w:val="21"/>
        </w:rPr>
      </w:pPr>
    </w:p>
    <w:p w:rsidR="002C5025" w:rsidRDefault="002C5025">
      <w:pPr>
        <w:pStyle w:val="BodyText"/>
        <w:kinsoku w:val="0"/>
        <w:overflowPunct w:val="0"/>
        <w:ind w:left="113" w:right="116"/>
        <w:jc w:val="both"/>
        <w:rPr>
          <w:rFonts w:ascii="Arial" w:hAnsi="Arial" w:cs="Arial"/>
        </w:rPr>
      </w:pPr>
      <w:r>
        <w:rPr>
          <w:rFonts w:ascii="Arial" w:hAnsi="Arial" w:cs="Arial"/>
        </w:rPr>
        <w:t>ABH offers the following competencies that any applicant for BH CP certification should be required to demonstrate:</w:t>
      </w:r>
    </w:p>
    <w:p w:rsidR="002C5025" w:rsidRDefault="002C5025">
      <w:pPr>
        <w:pStyle w:val="BodyText"/>
        <w:kinsoku w:val="0"/>
        <w:overflowPunct w:val="0"/>
        <w:spacing w:before="9"/>
        <w:rPr>
          <w:rFonts w:ascii="Arial" w:hAnsi="Arial" w:cs="Arial"/>
          <w:sz w:val="21"/>
          <w:szCs w:val="21"/>
        </w:rPr>
      </w:pPr>
    </w:p>
    <w:p w:rsidR="002C5025" w:rsidRDefault="002C5025">
      <w:pPr>
        <w:pStyle w:val="ListParagraph"/>
        <w:numPr>
          <w:ilvl w:val="0"/>
          <w:numId w:val="88"/>
        </w:numPr>
        <w:tabs>
          <w:tab w:val="left" w:pos="834"/>
        </w:tabs>
        <w:kinsoku w:val="0"/>
        <w:overflowPunct w:val="0"/>
        <w:ind w:right="111" w:hanging="360"/>
        <w:jc w:val="both"/>
        <w:rPr>
          <w:rFonts w:ascii="Arial" w:hAnsi="Arial" w:cs="Arial"/>
          <w:sz w:val="22"/>
          <w:szCs w:val="22"/>
        </w:rPr>
      </w:pPr>
      <w:r>
        <w:rPr>
          <w:rFonts w:ascii="Arial" w:hAnsi="Arial" w:cs="Arial"/>
          <w:b/>
          <w:bCs/>
          <w:sz w:val="22"/>
          <w:szCs w:val="22"/>
        </w:rPr>
        <w:t xml:space="preserve">State Services and Supports. </w:t>
      </w:r>
      <w:r>
        <w:rPr>
          <w:rFonts w:ascii="Arial" w:hAnsi="Arial" w:cs="Arial"/>
          <w:sz w:val="22"/>
          <w:szCs w:val="22"/>
        </w:rPr>
        <w:t>Provider organizations that are contracted with state and local governments to deliver services will have knowledge of non-MassHealth services  and eligibility criteria, relationships with local and administrative agency personnel, and the ability to leverage this knowledge and relationships to obtain resources and support for MassHealth</w:t>
      </w:r>
      <w:r>
        <w:rPr>
          <w:rFonts w:ascii="Arial" w:hAnsi="Arial" w:cs="Arial"/>
          <w:spacing w:val="-8"/>
          <w:sz w:val="22"/>
          <w:szCs w:val="22"/>
        </w:rPr>
        <w:t xml:space="preserve"> </w:t>
      </w:r>
      <w:r>
        <w:rPr>
          <w:rFonts w:ascii="Arial" w:hAnsi="Arial" w:cs="Arial"/>
          <w:sz w:val="22"/>
          <w:szCs w:val="22"/>
        </w:rPr>
        <w:t>members.</w:t>
      </w:r>
    </w:p>
    <w:p w:rsidR="002C5025" w:rsidRDefault="002C5025">
      <w:pPr>
        <w:pStyle w:val="BodyText"/>
        <w:kinsoku w:val="0"/>
        <w:overflowPunct w:val="0"/>
        <w:spacing w:before="6"/>
        <w:rPr>
          <w:rFonts w:ascii="Arial" w:hAnsi="Arial" w:cs="Arial"/>
          <w:sz w:val="20"/>
          <w:szCs w:val="20"/>
        </w:rPr>
      </w:pPr>
    </w:p>
    <w:p w:rsidR="002C5025" w:rsidRDefault="002C5025">
      <w:pPr>
        <w:pStyle w:val="ListParagraph"/>
        <w:numPr>
          <w:ilvl w:val="0"/>
          <w:numId w:val="88"/>
        </w:numPr>
        <w:tabs>
          <w:tab w:val="left" w:pos="835"/>
        </w:tabs>
        <w:kinsoku w:val="0"/>
        <w:overflowPunct w:val="0"/>
        <w:ind w:right="108" w:hanging="359"/>
        <w:jc w:val="both"/>
        <w:rPr>
          <w:rFonts w:ascii="Arial" w:hAnsi="Arial" w:cs="Arial"/>
          <w:sz w:val="22"/>
          <w:szCs w:val="22"/>
        </w:rPr>
      </w:pPr>
      <w:r>
        <w:rPr>
          <w:rFonts w:ascii="Arial" w:hAnsi="Arial" w:cs="Arial"/>
          <w:b/>
          <w:bCs/>
          <w:sz w:val="22"/>
          <w:szCs w:val="22"/>
        </w:rPr>
        <w:t xml:space="preserve">Intersystem knowledge, planning, and affiliation. </w:t>
      </w:r>
      <w:r>
        <w:rPr>
          <w:rFonts w:ascii="Arial" w:hAnsi="Arial" w:cs="Arial"/>
          <w:sz w:val="22"/>
          <w:szCs w:val="22"/>
        </w:rPr>
        <w:t>In addition to service-purchasing partners, BH CPs must have knowledge of and ability to access critical non-healthcare community systems such as schools, housing assistance agencies, cultural organizations, immigration services, legal services, reentry services, recreation programs, food pantries, police,</w:t>
      </w:r>
      <w:r>
        <w:rPr>
          <w:rFonts w:ascii="Arial" w:hAnsi="Arial" w:cs="Arial"/>
          <w:spacing w:val="-5"/>
          <w:sz w:val="22"/>
          <w:szCs w:val="22"/>
        </w:rPr>
        <w:t xml:space="preserve"> </w:t>
      </w:r>
      <w:r>
        <w:rPr>
          <w:rFonts w:ascii="Arial" w:hAnsi="Arial" w:cs="Arial"/>
          <w:sz w:val="22"/>
          <w:szCs w:val="22"/>
        </w:rPr>
        <w:t>etc.</w:t>
      </w:r>
    </w:p>
    <w:p w:rsidR="002C5025" w:rsidRDefault="002C5025">
      <w:pPr>
        <w:pStyle w:val="BodyText"/>
        <w:kinsoku w:val="0"/>
        <w:overflowPunct w:val="0"/>
        <w:spacing w:before="6"/>
        <w:rPr>
          <w:rFonts w:ascii="Arial" w:hAnsi="Arial" w:cs="Arial"/>
          <w:sz w:val="20"/>
          <w:szCs w:val="20"/>
        </w:rPr>
      </w:pPr>
    </w:p>
    <w:p w:rsidR="002C5025" w:rsidRDefault="002C5025">
      <w:pPr>
        <w:pStyle w:val="ListParagraph"/>
        <w:numPr>
          <w:ilvl w:val="0"/>
          <w:numId w:val="88"/>
        </w:numPr>
        <w:tabs>
          <w:tab w:val="left" w:pos="835"/>
        </w:tabs>
        <w:kinsoku w:val="0"/>
        <w:overflowPunct w:val="0"/>
        <w:ind w:left="834" w:right="108" w:hanging="360"/>
        <w:jc w:val="both"/>
        <w:rPr>
          <w:rFonts w:ascii="Arial" w:hAnsi="Arial" w:cs="Arial"/>
          <w:sz w:val="22"/>
          <w:szCs w:val="22"/>
        </w:rPr>
      </w:pPr>
      <w:r>
        <w:rPr>
          <w:rFonts w:ascii="Arial" w:hAnsi="Arial" w:cs="Arial"/>
          <w:b/>
          <w:bCs/>
          <w:sz w:val="22"/>
          <w:szCs w:val="22"/>
        </w:rPr>
        <w:t xml:space="preserve">Community-based. </w:t>
      </w:r>
      <w:r>
        <w:rPr>
          <w:rFonts w:ascii="Arial" w:hAnsi="Arial" w:cs="Arial"/>
          <w:sz w:val="22"/>
          <w:szCs w:val="22"/>
        </w:rPr>
        <w:t>BH CPs that are embedded in local communities are better able to attract staff who are representative of populations served, outreach to individuals in need more easily, and have knowledge of services and providers that allow for  consumer choice. Knowledge of  local stakeholders and services is essential to person-centered  care coordination and promotes access to services in the individual’s home community, wherever possible and</w:t>
      </w:r>
      <w:r>
        <w:rPr>
          <w:rFonts w:ascii="Arial" w:hAnsi="Arial" w:cs="Arial"/>
          <w:spacing w:val="-15"/>
          <w:sz w:val="22"/>
          <w:szCs w:val="22"/>
        </w:rPr>
        <w:t xml:space="preserve"> </w:t>
      </w:r>
      <w:r>
        <w:rPr>
          <w:rFonts w:ascii="Arial" w:hAnsi="Arial" w:cs="Arial"/>
          <w:sz w:val="22"/>
          <w:szCs w:val="22"/>
        </w:rPr>
        <w:t>desired.</w:t>
      </w: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FB027C">
      <w:pPr>
        <w:pStyle w:val="BodyText"/>
        <w:kinsoku w:val="0"/>
        <w:overflowPunct w:val="0"/>
        <w:spacing w:before="6"/>
        <w:rPr>
          <w:rFonts w:ascii="Arial" w:hAnsi="Arial" w:cs="Arial"/>
          <w:sz w:val="28"/>
          <w:szCs w:val="28"/>
        </w:rPr>
      </w:pPr>
      <w:r>
        <w:rPr>
          <w:noProof/>
        </w:rPr>
        <mc:AlternateContent>
          <mc:Choice Requires="wps">
            <w:drawing>
              <wp:anchor distT="0" distB="0" distL="0" distR="0" simplePos="0" relativeHeight="251507200" behindDoc="0" locked="0" layoutInCell="0" allowOverlap="1">
                <wp:simplePos x="0" y="0"/>
                <wp:positionH relativeFrom="page">
                  <wp:posOffset>859155</wp:posOffset>
                </wp:positionH>
                <wp:positionV relativeFrom="paragraph">
                  <wp:posOffset>236855</wp:posOffset>
                </wp:positionV>
                <wp:extent cx="1828800" cy="12700"/>
                <wp:effectExtent l="0" t="0" r="0" b="0"/>
                <wp:wrapTopAndBottom/>
                <wp:docPr id="887" name="Freeform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w 2880"/>
                            <a:gd name="T1" fmla="*/ 0 h 20"/>
                            <a:gd name="T2" fmla="*/ 2880 w 2880"/>
                            <a:gd name="T3" fmla="*/ 0 h 20"/>
                          </a:gdLst>
                          <a:ahLst/>
                          <a:cxnLst>
                            <a:cxn ang="0">
                              <a:pos x="T0" y="T1"/>
                            </a:cxn>
                            <a:cxn ang="0">
                              <a:pos x="T2" y="T3"/>
                            </a:cxn>
                          </a:cxnLst>
                          <a:rect l="0" t="0" r="r" b="b"/>
                          <a:pathLst>
                            <a:path w="2880" h="20">
                              <a:moveTo>
                                <a:pt x="0" y="0"/>
                              </a:moveTo>
                              <a:lnTo>
                                <a:pt x="2880"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38" o:spid="_x0000_s1026" style="position:absolute;z-index:251507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67.65pt,18.65pt,211.65pt,18.65pt" coordsize="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" o:allowincell="f" filled="f" strokeweight=".21164mm">
                <v:path arrowok="t" o:connecttype="custom" o:connectlocs="0,0;1828800,0" o:connectangles="0,0"/>
                <w10:wrap type="topAndBottom" anchorx="page"/>
              </v:polyline>
            </w:pict>
          </mc:Fallback>
        </mc:AlternateContent>
      </w:r>
    </w:p>
    <w:p w:rsidR="002C5025" w:rsidRDefault="002C5025">
      <w:pPr>
        <w:pStyle w:val="BodyText"/>
        <w:kinsoku w:val="0"/>
        <w:overflowPunct w:val="0"/>
        <w:spacing w:before="52" w:line="242" w:lineRule="auto"/>
        <w:ind w:left="113" w:right="107"/>
        <w:jc w:val="both"/>
        <w:rPr>
          <w:rFonts w:ascii="Arial" w:hAnsi="Arial" w:cs="Arial"/>
          <w:sz w:val="18"/>
          <w:szCs w:val="18"/>
        </w:rPr>
      </w:pPr>
      <w:bookmarkStart w:id="49" w:name="bookmark12"/>
      <w:bookmarkEnd w:id="49"/>
      <w:r>
        <w:rPr>
          <w:rFonts w:ascii="Times New Roman" w:hAnsi="Times New Roman" w:cs="Times New Roman"/>
          <w:position w:val="8"/>
          <w:sz w:val="12"/>
          <w:szCs w:val="12"/>
        </w:rPr>
        <w:t xml:space="preserve">13 </w:t>
      </w:r>
      <w:r>
        <w:rPr>
          <w:rFonts w:ascii="Arial" w:hAnsi="Arial" w:cs="Arial"/>
          <w:sz w:val="18"/>
          <w:szCs w:val="18"/>
        </w:rPr>
        <w:t>MassHealth proposes in Section 4.2.3.3 CP competencies in six Health Home services, outpatient mental health and SUD services, including outreach &amp; home-based services, and assessment domains of Infrastructure and systems (e.g., ability to collect, analyze and share information electronically), care management and coordination, staff expertise and training, relationships with social service providers and local and public agencies, quality measurement and reporting, and cultural competency. The BH CP must also be a Community Service Agency or have agreements with one.</w:t>
      </w:r>
    </w:p>
    <w:p w:rsidR="002C5025" w:rsidRDefault="002C5025">
      <w:pPr>
        <w:pStyle w:val="BodyText"/>
        <w:kinsoku w:val="0"/>
        <w:overflowPunct w:val="0"/>
        <w:spacing w:before="8"/>
        <w:rPr>
          <w:rFonts w:ascii="Arial" w:hAnsi="Arial" w:cs="Arial"/>
          <w:sz w:val="26"/>
          <w:szCs w:val="26"/>
        </w:rPr>
      </w:pPr>
    </w:p>
    <w:p w:rsidR="002C5025" w:rsidRDefault="002C5025">
      <w:pPr>
        <w:pStyle w:val="BodyText"/>
        <w:kinsoku w:val="0"/>
        <w:overflowPunct w:val="0"/>
        <w:spacing w:before="74"/>
        <w:ind w:right="114"/>
        <w:jc w:val="right"/>
        <w:rPr>
          <w:rFonts w:ascii="Arial" w:hAnsi="Arial" w:cs="Arial"/>
          <w:sz w:val="20"/>
          <w:szCs w:val="20"/>
        </w:rPr>
      </w:pPr>
      <w:r>
        <w:rPr>
          <w:rFonts w:ascii="Arial" w:hAnsi="Arial" w:cs="Arial"/>
          <w:sz w:val="20"/>
          <w:szCs w:val="20"/>
        </w:rPr>
        <w:t>Page 9 of 18</w:t>
      </w:r>
    </w:p>
    <w:p w:rsidR="002C5025" w:rsidRDefault="002C5025">
      <w:pPr>
        <w:pStyle w:val="BodyText"/>
        <w:kinsoku w:val="0"/>
        <w:overflowPunct w:val="0"/>
        <w:spacing w:before="74"/>
        <w:ind w:right="114"/>
        <w:jc w:val="right"/>
        <w:rPr>
          <w:rFonts w:ascii="Arial" w:hAnsi="Arial" w:cs="Arial"/>
          <w:sz w:val="20"/>
          <w:szCs w:val="20"/>
        </w:rPr>
        <w:sectPr w:rsidR="002C5025">
          <w:pgSz w:w="12240" w:h="15840"/>
          <w:pgMar w:top="1500" w:right="1240" w:bottom="280" w:left="1240" w:header="720" w:footer="720" w:gutter="0"/>
          <w:cols w:space="720"/>
          <w:noEndnote/>
        </w:sect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7"/>
        <w:rPr>
          <w:rFonts w:ascii="Arial" w:hAnsi="Arial" w:cs="Arial"/>
          <w:sz w:val="19"/>
          <w:szCs w:val="19"/>
        </w:rPr>
      </w:pPr>
    </w:p>
    <w:p w:rsidR="002C5025" w:rsidRDefault="002C5025">
      <w:pPr>
        <w:pStyle w:val="ListParagraph"/>
        <w:numPr>
          <w:ilvl w:val="0"/>
          <w:numId w:val="88"/>
        </w:numPr>
        <w:tabs>
          <w:tab w:val="left" w:pos="834"/>
        </w:tabs>
        <w:kinsoku w:val="0"/>
        <w:overflowPunct w:val="0"/>
        <w:spacing w:before="60"/>
        <w:ind w:right="109" w:hanging="360"/>
        <w:jc w:val="both"/>
        <w:rPr>
          <w:rFonts w:ascii="Arial" w:hAnsi="Arial" w:cs="Arial"/>
          <w:sz w:val="22"/>
          <w:szCs w:val="22"/>
        </w:rPr>
      </w:pPr>
      <w:r>
        <w:rPr>
          <w:rFonts w:ascii="Arial" w:hAnsi="Arial" w:cs="Arial"/>
          <w:b/>
          <w:bCs/>
          <w:sz w:val="22"/>
          <w:szCs w:val="22"/>
        </w:rPr>
        <w:t xml:space="preserve">Care Planning and Care Team Expertise. </w:t>
      </w:r>
      <w:r>
        <w:rPr>
          <w:rFonts w:ascii="Arial" w:hAnsi="Arial" w:cs="Arial"/>
          <w:sz w:val="22"/>
          <w:szCs w:val="22"/>
        </w:rPr>
        <w:t>BH CPs should have competence in care planning teams, Wraparound care planning, or other models and approaches, and should be required to detail approaches to community- or home-based assessments, development and facilitation of the care team, including a Peer or Family Partner, individual patient-centered care plan development and</w:t>
      </w:r>
      <w:r>
        <w:rPr>
          <w:rFonts w:ascii="Arial" w:hAnsi="Arial" w:cs="Arial"/>
          <w:spacing w:val="-34"/>
          <w:sz w:val="22"/>
          <w:szCs w:val="22"/>
        </w:rPr>
        <w:t xml:space="preserve"> </w:t>
      </w:r>
      <w:r>
        <w:rPr>
          <w:rFonts w:ascii="Arial" w:hAnsi="Arial" w:cs="Arial"/>
          <w:sz w:val="22"/>
          <w:szCs w:val="22"/>
        </w:rPr>
        <w:t>follow-up.</w:t>
      </w:r>
    </w:p>
    <w:p w:rsidR="002C5025" w:rsidRDefault="002C5025">
      <w:pPr>
        <w:pStyle w:val="BodyText"/>
        <w:kinsoku w:val="0"/>
        <w:overflowPunct w:val="0"/>
        <w:spacing w:before="8"/>
        <w:rPr>
          <w:rFonts w:ascii="Arial" w:hAnsi="Arial" w:cs="Arial"/>
          <w:sz w:val="20"/>
          <w:szCs w:val="20"/>
        </w:rPr>
      </w:pPr>
    </w:p>
    <w:p w:rsidR="002C5025" w:rsidRDefault="002C5025">
      <w:pPr>
        <w:pStyle w:val="ListParagraph"/>
        <w:numPr>
          <w:ilvl w:val="0"/>
          <w:numId w:val="88"/>
        </w:numPr>
        <w:tabs>
          <w:tab w:val="left" w:pos="834"/>
        </w:tabs>
        <w:kinsoku w:val="0"/>
        <w:overflowPunct w:val="0"/>
        <w:ind w:right="111" w:hanging="360"/>
        <w:jc w:val="both"/>
        <w:rPr>
          <w:rFonts w:ascii="Arial" w:hAnsi="Arial" w:cs="Arial"/>
          <w:sz w:val="22"/>
          <w:szCs w:val="22"/>
        </w:rPr>
      </w:pPr>
      <w:r>
        <w:rPr>
          <w:rFonts w:ascii="Arial" w:hAnsi="Arial" w:cs="Arial"/>
          <w:b/>
          <w:bCs/>
          <w:sz w:val="22"/>
          <w:szCs w:val="22"/>
        </w:rPr>
        <w:t>Recovery-Oriented Supports</w:t>
      </w:r>
      <w:r>
        <w:rPr>
          <w:rFonts w:ascii="Arial" w:hAnsi="Arial" w:cs="Arial"/>
          <w:sz w:val="22"/>
          <w:szCs w:val="22"/>
        </w:rPr>
        <w:t>. Integration of recovery supports such as peer specialists into its operations is a core competency that should be expected of a BH CP and is a competency which community providers have been developing for several years in partnership with the</w:t>
      </w:r>
      <w:r>
        <w:rPr>
          <w:rFonts w:ascii="Arial" w:hAnsi="Arial" w:cs="Arial"/>
          <w:spacing w:val="-19"/>
          <w:sz w:val="22"/>
          <w:szCs w:val="22"/>
        </w:rPr>
        <w:t xml:space="preserve"> </w:t>
      </w:r>
      <w:r>
        <w:rPr>
          <w:rFonts w:ascii="Arial" w:hAnsi="Arial" w:cs="Arial"/>
          <w:sz w:val="22"/>
          <w:szCs w:val="22"/>
        </w:rPr>
        <w:t>Commonwealth.</w:t>
      </w:r>
    </w:p>
    <w:p w:rsidR="002C5025" w:rsidRDefault="002C5025">
      <w:pPr>
        <w:pStyle w:val="BodyText"/>
        <w:kinsoku w:val="0"/>
        <w:overflowPunct w:val="0"/>
        <w:spacing w:before="8"/>
        <w:rPr>
          <w:rFonts w:ascii="Arial" w:hAnsi="Arial" w:cs="Arial"/>
          <w:sz w:val="20"/>
          <w:szCs w:val="20"/>
        </w:rPr>
      </w:pPr>
    </w:p>
    <w:p w:rsidR="002C5025" w:rsidRDefault="002C5025">
      <w:pPr>
        <w:pStyle w:val="ListParagraph"/>
        <w:numPr>
          <w:ilvl w:val="0"/>
          <w:numId w:val="88"/>
        </w:numPr>
        <w:tabs>
          <w:tab w:val="left" w:pos="834"/>
        </w:tabs>
        <w:kinsoku w:val="0"/>
        <w:overflowPunct w:val="0"/>
        <w:ind w:right="113" w:hanging="360"/>
        <w:jc w:val="both"/>
        <w:rPr>
          <w:rFonts w:ascii="Arial" w:hAnsi="Arial" w:cs="Arial"/>
          <w:sz w:val="22"/>
          <w:szCs w:val="22"/>
        </w:rPr>
      </w:pPr>
      <w:r>
        <w:rPr>
          <w:rFonts w:ascii="Arial" w:hAnsi="Arial" w:cs="Arial"/>
          <w:b/>
          <w:bCs/>
          <w:sz w:val="22"/>
          <w:szCs w:val="22"/>
        </w:rPr>
        <w:t>Individual and Family Voice</w:t>
      </w:r>
      <w:r>
        <w:rPr>
          <w:rFonts w:ascii="Arial" w:hAnsi="Arial" w:cs="Arial"/>
          <w:sz w:val="22"/>
          <w:szCs w:val="22"/>
        </w:rPr>
        <w:t>. BH CP must solicit and prioritize individual, family and youth values and preferences during the care planning and coordination</w:t>
      </w:r>
      <w:r>
        <w:rPr>
          <w:rFonts w:ascii="Arial" w:hAnsi="Arial" w:cs="Arial"/>
          <w:spacing w:val="-39"/>
          <w:sz w:val="22"/>
          <w:szCs w:val="22"/>
        </w:rPr>
        <w:t xml:space="preserve"> </w:t>
      </w:r>
      <w:r>
        <w:rPr>
          <w:rFonts w:ascii="Arial" w:hAnsi="Arial" w:cs="Arial"/>
          <w:sz w:val="22"/>
          <w:szCs w:val="22"/>
        </w:rPr>
        <w:t>process.</w:t>
      </w:r>
    </w:p>
    <w:p w:rsidR="002C5025" w:rsidRDefault="002C5025">
      <w:pPr>
        <w:pStyle w:val="BodyText"/>
        <w:kinsoku w:val="0"/>
        <w:overflowPunct w:val="0"/>
        <w:spacing w:before="8"/>
        <w:rPr>
          <w:rFonts w:ascii="Arial" w:hAnsi="Arial" w:cs="Arial"/>
          <w:sz w:val="20"/>
          <w:szCs w:val="20"/>
        </w:rPr>
      </w:pPr>
    </w:p>
    <w:p w:rsidR="002C5025" w:rsidRDefault="002C5025">
      <w:pPr>
        <w:pStyle w:val="ListParagraph"/>
        <w:numPr>
          <w:ilvl w:val="0"/>
          <w:numId w:val="88"/>
        </w:numPr>
        <w:tabs>
          <w:tab w:val="left" w:pos="834"/>
        </w:tabs>
        <w:kinsoku w:val="0"/>
        <w:overflowPunct w:val="0"/>
        <w:ind w:right="109" w:hanging="360"/>
        <w:jc w:val="both"/>
        <w:rPr>
          <w:rFonts w:ascii="Arial" w:hAnsi="Arial" w:cs="Arial"/>
          <w:sz w:val="22"/>
          <w:szCs w:val="22"/>
        </w:rPr>
      </w:pPr>
      <w:r>
        <w:rPr>
          <w:rFonts w:ascii="Arial" w:hAnsi="Arial" w:cs="Arial"/>
          <w:b/>
          <w:bCs/>
          <w:sz w:val="22"/>
          <w:szCs w:val="22"/>
        </w:rPr>
        <w:t xml:space="preserve">Cultural and linguistic competence. </w:t>
      </w:r>
      <w:r>
        <w:rPr>
          <w:rFonts w:ascii="Arial" w:hAnsi="Arial" w:cs="Arial"/>
          <w:sz w:val="22"/>
          <w:szCs w:val="22"/>
        </w:rPr>
        <w:t>BH CPs must be able to work with MassHealth members in a culturally aligned manner that recognizes, among other things, the member’s chosen identity, norms, values, beliefs, preferred language and mode of communication.</w:t>
      </w:r>
    </w:p>
    <w:p w:rsidR="002C5025" w:rsidRDefault="002C5025">
      <w:pPr>
        <w:pStyle w:val="BodyText"/>
        <w:kinsoku w:val="0"/>
        <w:overflowPunct w:val="0"/>
        <w:spacing w:before="6"/>
        <w:rPr>
          <w:rFonts w:ascii="Arial" w:hAnsi="Arial" w:cs="Arial"/>
          <w:sz w:val="20"/>
          <w:szCs w:val="20"/>
        </w:rPr>
      </w:pPr>
    </w:p>
    <w:p w:rsidR="002C5025" w:rsidRDefault="002C5025">
      <w:pPr>
        <w:pStyle w:val="ListParagraph"/>
        <w:numPr>
          <w:ilvl w:val="0"/>
          <w:numId w:val="88"/>
        </w:numPr>
        <w:tabs>
          <w:tab w:val="left" w:pos="835"/>
        </w:tabs>
        <w:kinsoku w:val="0"/>
        <w:overflowPunct w:val="0"/>
        <w:ind w:left="834" w:right="110" w:hanging="360"/>
        <w:jc w:val="both"/>
        <w:rPr>
          <w:rFonts w:ascii="Arial" w:hAnsi="Arial" w:cs="Arial"/>
          <w:sz w:val="22"/>
          <w:szCs w:val="22"/>
        </w:rPr>
      </w:pPr>
      <w:r>
        <w:rPr>
          <w:rFonts w:ascii="Arial" w:hAnsi="Arial" w:cs="Arial"/>
          <w:b/>
          <w:bCs/>
          <w:sz w:val="22"/>
          <w:szCs w:val="22"/>
        </w:rPr>
        <w:t xml:space="preserve">Levels of Care. </w:t>
      </w:r>
      <w:r>
        <w:rPr>
          <w:rFonts w:ascii="Arial" w:hAnsi="Arial" w:cs="Arial"/>
          <w:sz w:val="22"/>
          <w:szCs w:val="22"/>
        </w:rPr>
        <w:t>BH CPs must be knowledgeable about and know how to leverage community-based outpatient, intermediate/diversionary, and inpatient mental health and substance use services. BH CPs must have relationships with the providers of those services in order to ensure effective consultation and referral processes and seamless transitions and coordination of</w:t>
      </w:r>
      <w:r>
        <w:rPr>
          <w:rFonts w:ascii="Arial" w:hAnsi="Arial" w:cs="Arial"/>
          <w:spacing w:val="-17"/>
          <w:sz w:val="22"/>
          <w:szCs w:val="22"/>
        </w:rPr>
        <w:t xml:space="preserve"> </w:t>
      </w:r>
      <w:r>
        <w:rPr>
          <w:rFonts w:ascii="Arial" w:hAnsi="Arial" w:cs="Arial"/>
          <w:sz w:val="22"/>
          <w:szCs w:val="22"/>
        </w:rPr>
        <w:t>care.</w:t>
      </w:r>
    </w:p>
    <w:p w:rsidR="002C5025" w:rsidRDefault="002C5025">
      <w:pPr>
        <w:pStyle w:val="BodyText"/>
        <w:kinsoku w:val="0"/>
        <w:overflowPunct w:val="0"/>
        <w:spacing w:before="8"/>
        <w:rPr>
          <w:rFonts w:ascii="Arial" w:hAnsi="Arial" w:cs="Arial"/>
          <w:sz w:val="20"/>
          <w:szCs w:val="20"/>
        </w:rPr>
      </w:pPr>
    </w:p>
    <w:p w:rsidR="002C5025" w:rsidRDefault="002C5025">
      <w:pPr>
        <w:pStyle w:val="ListParagraph"/>
        <w:numPr>
          <w:ilvl w:val="0"/>
          <w:numId w:val="88"/>
        </w:numPr>
        <w:tabs>
          <w:tab w:val="left" w:pos="835"/>
        </w:tabs>
        <w:kinsoku w:val="0"/>
        <w:overflowPunct w:val="0"/>
        <w:ind w:left="834" w:right="108" w:hanging="360"/>
        <w:jc w:val="both"/>
        <w:rPr>
          <w:rFonts w:ascii="Arial" w:hAnsi="Arial" w:cs="Arial"/>
          <w:sz w:val="22"/>
          <w:szCs w:val="22"/>
        </w:rPr>
      </w:pPr>
      <w:r>
        <w:rPr>
          <w:rFonts w:ascii="Arial" w:hAnsi="Arial" w:cs="Arial"/>
          <w:b/>
          <w:bCs/>
          <w:sz w:val="22"/>
          <w:szCs w:val="22"/>
        </w:rPr>
        <w:t xml:space="preserve">Diversion. </w:t>
      </w:r>
      <w:r>
        <w:rPr>
          <w:rFonts w:ascii="Arial" w:hAnsi="Arial" w:cs="Arial"/>
          <w:sz w:val="22"/>
          <w:szCs w:val="22"/>
        </w:rPr>
        <w:t>BH CPs and ACOs share a common goal of diverting individuals from more restrictive settings when that setting is not necessary, effective or desirable for the person in crisis, particularly hospital EDs and inpatient psychiatric care</w:t>
      </w:r>
      <w:r>
        <w:rPr>
          <w:rFonts w:ascii="Arial" w:hAnsi="Arial" w:cs="Arial"/>
          <w:i/>
          <w:iCs/>
          <w:sz w:val="22"/>
          <w:szCs w:val="22"/>
        </w:rPr>
        <w:t xml:space="preserve">. </w:t>
      </w:r>
      <w:r>
        <w:rPr>
          <w:rFonts w:ascii="Arial" w:hAnsi="Arial" w:cs="Arial"/>
          <w:sz w:val="22"/>
          <w:szCs w:val="22"/>
        </w:rPr>
        <w:t>BH CPs can help reduce inappropriate use of acute care settings and shift care provision to alternatives in the community, near the MassHealth member’s natural supports whenever feasible and appropriate.</w:t>
      </w:r>
    </w:p>
    <w:p w:rsidR="002C5025" w:rsidRDefault="002C5025">
      <w:pPr>
        <w:pStyle w:val="BodyText"/>
        <w:kinsoku w:val="0"/>
        <w:overflowPunct w:val="0"/>
        <w:spacing w:before="9"/>
        <w:rPr>
          <w:rFonts w:ascii="Arial" w:hAnsi="Arial" w:cs="Arial"/>
          <w:sz w:val="20"/>
          <w:szCs w:val="20"/>
        </w:rPr>
      </w:pPr>
    </w:p>
    <w:p w:rsidR="002C5025" w:rsidRDefault="002C5025">
      <w:pPr>
        <w:pStyle w:val="BodyText"/>
        <w:kinsoku w:val="0"/>
        <w:overflowPunct w:val="0"/>
        <w:ind w:left="113" w:right="111"/>
        <w:jc w:val="both"/>
        <w:rPr>
          <w:rFonts w:ascii="Arial" w:hAnsi="Arial" w:cs="Arial"/>
        </w:rPr>
      </w:pPr>
      <w:r>
        <w:rPr>
          <w:rFonts w:ascii="Arial" w:hAnsi="Arial" w:cs="Arial"/>
        </w:rPr>
        <w:t xml:space="preserve">Finally, the document notes some alignment between the Certified Community Behavioral Health Clinic (CCBHC) initiative and the Section 1115 strategy. ABH </w:t>
      </w:r>
      <w:r>
        <w:rPr>
          <w:rFonts w:ascii="Arial" w:hAnsi="Arial" w:cs="Arial"/>
          <w:b/>
          <w:bCs/>
          <w:i/>
          <w:iCs/>
        </w:rPr>
        <w:t xml:space="preserve">strongly opposes </w:t>
      </w:r>
      <w:r>
        <w:rPr>
          <w:rFonts w:ascii="Arial" w:hAnsi="Arial" w:cs="Arial"/>
        </w:rPr>
        <w:t xml:space="preserve">deeming CCBHC certification as adequate BH CP certification. ABH repeatedly raised concerns about needing to make that approach transparent to potential CCBHC applicants during the application process if the Commonwealth opted to align the initiatives. Alignment was never formally communicated. It would be </w:t>
      </w:r>
      <w:r>
        <w:rPr>
          <w:rFonts w:ascii="Arial" w:hAnsi="Arial" w:cs="Arial"/>
          <w:b/>
          <w:bCs/>
          <w:i/>
          <w:iCs/>
        </w:rPr>
        <w:t xml:space="preserve">unfair to providers that elected not to apply for CCBHC certification </w:t>
      </w:r>
      <w:r>
        <w:rPr>
          <w:rFonts w:ascii="Arial" w:hAnsi="Arial" w:cs="Arial"/>
        </w:rPr>
        <w:t>to align these initiatives after that certification process has closed. Moreover, the CCBHC criteria, more narrowly focused on outpatient services, do not fully align with Mass Health’s goals and CP</w:t>
      </w:r>
      <w:r>
        <w:rPr>
          <w:rFonts w:ascii="Arial" w:hAnsi="Arial" w:cs="Arial"/>
          <w:spacing w:val="-22"/>
        </w:rPr>
        <w:t xml:space="preserve"> </w:t>
      </w:r>
      <w:r>
        <w:rPr>
          <w:rFonts w:ascii="Arial" w:hAnsi="Arial" w:cs="Arial"/>
        </w:rPr>
        <w:t>responsibilities.</w:t>
      </w:r>
    </w:p>
    <w:p w:rsidR="002C5025" w:rsidRDefault="002C5025">
      <w:pPr>
        <w:pStyle w:val="BodyText"/>
        <w:kinsoku w:val="0"/>
        <w:overflowPunct w:val="0"/>
        <w:rPr>
          <w:rFonts w:ascii="Arial" w:hAnsi="Arial" w:cs="Arial"/>
        </w:rPr>
      </w:pPr>
    </w:p>
    <w:p w:rsidR="002C5025" w:rsidRDefault="002C5025">
      <w:pPr>
        <w:pStyle w:val="BodyText"/>
        <w:kinsoku w:val="0"/>
        <w:overflowPunct w:val="0"/>
        <w:ind w:left="113"/>
        <w:jc w:val="both"/>
        <w:rPr>
          <w:rFonts w:ascii="Arial" w:hAnsi="Arial" w:cs="Arial"/>
          <w:b/>
          <w:bCs/>
          <w:sz w:val="26"/>
          <w:szCs w:val="26"/>
        </w:rPr>
      </w:pPr>
      <w:r>
        <w:rPr>
          <w:rFonts w:ascii="Arial" w:hAnsi="Arial" w:cs="Arial"/>
          <w:b/>
          <w:bCs/>
          <w:sz w:val="26"/>
          <w:szCs w:val="26"/>
        </w:rPr>
        <w:t>Community Partner Member Assignment</w:t>
      </w:r>
    </w:p>
    <w:p w:rsidR="002C5025" w:rsidRDefault="002C5025">
      <w:pPr>
        <w:pStyle w:val="BodyText"/>
        <w:kinsoku w:val="0"/>
        <w:overflowPunct w:val="0"/>
        <w:spacing w:before="2"/>
        <w:ind w:left="113" w:right="110"/>
        <w:jc w:val="both"/>
        <w:rPr>
          <w:rFonts w:ascii="Arial" w:hAnsi="Arial" w:cs="Arial"/>
        </w:rPr>
      </w:pPr>
      <w:r>
        <w:rPr>
          <w:rFonts w:ascii="Arial" w:hAnsi="Arial" w:cs="Arial"/>
        </w:rPr>
        <w:t xml:space="preserve">Section 4.2.3.1 indicates that in addition to member self-referral, rating category and/or claims data will be used to identify members who might benefit from Community Partners (CP) services. Information on these members will be provided “to the CPs as well as the ACOs to facilitate outreach to the member and </w:t>
      </w:r>
      <w:r>
        <w:rPr>
          <w:rFonts w:ascii="Arial" w:hAnsi="Arial" w:cs="Arial"/>
          <w:i/>
          <w:iCs/>
        </w:rPr>
        <w:t xml:space="preserve">subsequent </w:t>
      </w:r>
      <w:r>
        <w:rPr>
          <w:rFonts w:ascii="Arial" w:hAnsi="Arial" w:cs="Arial"/>
        </w:rPr>
        <w:t>participation in a CP.”       CP services are different than</w:t>
      </w: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9"/>
        <w:rPr>
          <w:rFonts w:ascii="Arial" w:hAnsi="Arial" w:cs="Arial"/>
          <w:sz w:val="24"/>
          <w:szCs w:val="24"/>
        </w:rPr>
      </w:pPr>
    </w:p>
    <w:p w:rsidR="002C5025" w:rsidRDefault="002C5025">
      <w:pPr>
        <w:pStyle w:val="BodyText"/>
        <w:kinsoku w:val="0"/>
        <w:overflowPunct w:val="0"/>
        <w:spacing w:before="74"/>
        <w:ind w:right="114"/>
        <w:jc w:val="right"/>
        <w:rPr>
          <w:rFonts w:ascii="Arial" w:hAnsi="Arial" w:cs="Arial"/>
          <w:sz w:val="20"/>
          <w:szCs w:val="20"/>
        </w:rPr>
      </w:pPr>
      <w:r>
        <w:rPr>
          <w:rFonts w:ascii="Arial" w:hAnsi="Arial" w:cs="Arial"/>
          <w:sz w:val="20"/>
          <w:szCs w:val="20"/>
        </w:rPr>
        <w:t>Page 10 of 18</w:t>
      </w:r>
    </w:p>
    <w:p w:rsidR="002C5025" w:rsidRDefault="002C5025">
      <w:pPr>
        <w:pStyle w:val="BodyText"/>
        <w:kinsoku w:val="0"/>
        <w:overflowPunct w:val="0"/>
        <w:spacing w:before="74"/>
        <w:ind w:right="114"/>
        <w:jc w:val="right"/>
        <w:rPr>
          <w:rFonts w:ascii="Arial" w:hAnsi="Arial" w:cs="Arial"/>
          <w:sz w:val="20"/>
          <w:szCs w:val="20"/>
        </w:rPr>
        <w:sectPr w:rsidR="002C5025">
          <w:pgSz w:w="12240" w:h="15840"/>
          <w:pgMar w:top="1500" w:right="1240" w:bottom="280" w:left="1240" w:header="720" w:footer="720" w:gutter="0"/>
          <w:cols w:space="720"/>
          <w:noEndnote/>
        </w:sect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9"/>
        <w:rPr>
          <w:rFonts w:ascii="Arial" w:hAnsi="Arial" w:cs="Arial"/>
          <w:sz w:val="18"/>
          <w:szCs w:val="18"/>
        </w:rPr>
      </w:pPr>
    </w:p>
    <w:p w:rsidR="002C5025" w:rsidRDefault="002C5025">
      <w:pPr>
        <w:pStyle w:val="BodyText"/>
        <w:kinsoku w:val="0"/>
        <w:overflowPunct w:val="0"/>
        <w:spacing w:before="73"/>
        <w:ind w:left="113" w:right="109"/>
        <w:jc w:val="both"/>
        <w:rPr>
          <w:rFonts w:ascii="Arial" w:hAnsi="Arial" w:cs="Arial"/>
        </w:rPr>
      </w:pPr>
      <w:r>
        <w:rPr>
          <w:rFonts w:ascii="Arial" w:hAnsi="Arial" w:cs="Arial"/>
        </w:rPr>
        <w:t xml:space="preserve">psychotherapy services or primary care in that these are a package of care coordination activities that most people will not seek out in the way that they might contact a therapist to treat depression or a doctor to diagnose recurrent headaches. Because of the nature of the service  and the vulnerability of the populations to be served, ABH believes that </w:t>
      </w:r>
      <w:r>
        <w:rPr>
          <w:rFonts w:ascii="Arial" w:hAnsi="Arial" w:cs="Arial"/>
          <w:b/>
          <w:bCs/>
        </w:rPr>
        <w:t xml:space="preserve">direct assignment by MassHealth of members to a CP is the most efficient and effective approach </w:t>
      </w:r>
      <w:r>
        <w:rPr>
          <w:rFonts w:ascii="Arial" w:hAnsi="Arial" w:cs="Arial"/>
        </w:rPr>
        <w:t>to ensuring that eligible members will be given a meaningful opportunity to benefit from CP services. The CP would then reach out to engage the assigned members, which is more likely to result in effective engagement of eligible</w:t>
      </w:r>
      <w:r>
        <w:rPr>
          <w:rFonts w:ascii="Arial" w:hAnsi="Arial" w:cs="Arial"/>
          <w:spacing w:val="-16"/>
        </w:rPr>
        <w:t xml:space="preserve"> </w:t>
      </w:r>
      <w:r>
        <w:rPr>
          <w:rFonts w:ascii="Arial" w:hAnsi="Arial" w:cs="Arial"/>
        </w:rPr>
        <w:t>participants.</w:t>
      </w:r>
    </w:p>
    <w:p w:rsidR="002C5025" w:rsidRDefault="002C5025">
      <w:pPr>
        <w:pStyle w:val="BodyText"/>
        <w:kinsoku w:val="0"/>
        <w:overflowPunct w:val="0"/>
        <w:rPr>
          <w:rFonts w:ascii="Arial" w:hAnsi="Arial" w:cs="Arial"/>
        </w:rPr>
      </w:pPr>
    </w:p>
    <w:p w:rsidR="002C5025" w:rsidRDefault="002C5025">
      <w:pPr>
        <w:pStyle w:val="BodyText"/>
        <w:kinsoku w:val="0"/>
        <w:overflowPunct w:val="0"/>
        <w:ind w:left="113" w:right="109"/>
        <w:jc w:val="both"/>
        <w:rPr>
          <w:rFonts w:ascii="Arial" w:hAnsi="Arial" w:cs="Arial"/>
        </w:rPr>
      </w:pPr>
      <w:r>
        <w:rPr>
          <w:rFonts w:ascii="Arial" w:hAnsi="Arial" w:cs="Arial"/>
        </w:rPr>
        <w:t>It is unclear from the documentation exactly how member enrollment in CP services will be achieved, e.g., ACO referral, affirmative enrollment, etc. Given the targeted populations (individuals diagnosed with SMI, SED or SUD), a significant number of whom will have complex, co-occurring BH conditions, the outreach and engagement process can sometimes take weeks or even months. Direct assignment will allow providers to create and sustain the necessary infrastructure to undertake this work. ACOs will have MassHealth members directly attributed to them. It is unclear why a direct attribution process is appropriate for these entities, but direct assignment is not appropriate for BH CPs, which will have a significant role in reaching highly vulnerable individuals and families. Our concerns about the sustainability of CP services are amplified if members must be referred to CPs by ACOs or if there are multiple CPs in an area  who are simultaneously outreaching to the same members. This approach could undermine the effectiveness of the CP system while also overwhelming some of MassHealth’s most needy members.</w:t>
      </w:r>
    </w:p>
    <w:p w:rsidR="002C5025" w:rsidRDefault="002C5025">
      <w:pPr>
        <w:pStyle w:val="BodyText"/>
        <w:kinsoku w:val="0"/>
        <w:overflowPunct w:val="0"/>
        <w:rPr>
          <w:rFonts w:ascii="Arial" w:hAnsi="Arial" w:cs="Arial"/>
        </w:rPr>
      </w:pPr>
    </w:p>
    <w:p w:rsidR="002C5025" w:rsidRDefault="002C5025">
      <w:pPr>
        <w:pStyle w:val="BodyText"/>
        <w:kinsoku w:val="0"/>
        <w:overflowPunct w:val="0"/>
        <w:ind w:left="113"/>
        <w:jc w:val="both"/>
        <w:rPr>
          <w:rFonts w:ascii="Arial" w:hAnsi="Arial" w:cs="Arial"/>
          <w:b/>
          <w:bCs/>
          <w:sz w:val="26"/>
          <w:szCs w:val="26"/>
        </w:rPr>
      </w:pPr>
      <w:r>
        <w:rPr>
          <w:rFonts w:ascii="Arial" w:hAnsi="Arial" w:cs="Arial"/>
          <w:b/>
          <w:bCs/>
          <w:sz w:val="26"/>
          <w:szCs w:val="26"/>
        </w:rPr>
        <w:t>Health Disparities and Specialty BH CPs</w:t>
      </w:r>
    </w:p>
    <w:p w:rsidR="002C5025" w:rsidRDefault="002C5025">
      <w:pPr>
        <w:pStyle w:val="BodyText"/>
        <w:kinsoku w:val="0"/>
        <w:overflowPunct w:val="0"/>
        <w:ind w:left="113" w:right="111"/>
        <w:jc w:val="both"/>
        <w:rPr>
          <w:rFonts w:ascii="Arial" w:hAnsi="Arial" w:cs="Arial"/>
        </w:rPr>
      </w:pPr>
      <w:r>
        <w:rPr>
          <w:rFonts w:ascii="Arial" w:hAnsi="Arial" w:cs="Arial"/>
        </w:rPr>
        <w:t>The waiver request includes limited discussion of the specialized needs of cultural or linguistic minority populations and the specific mechanisms through which ACOs will be held accountable for addressing behavioral health disparities, particularly the specialized needs of cultural or linguistic minority populations. MassHealth should establish minimum requirements for all ACOs and CPs, including:</w:t>
      </w:r>
    </w:p>
    <w:p w:rsidR="002C5025" w:rsidRDefault="002C5025">
      <w:pPr>
        <w:pStyle w:val="BodyText"/>
        <w:kinsoku w:val="0"/>
        <w:overflowPunct w:val="0"/>
        <w:spacing w:before="7"/>
        <w:rPr>
          <w:rFonts w:ascii="Arial" w:hAnsi="Arial" w:cs="Arial"/>
          <w:sz w:val="23"/>
          <w:szCs w:val="23"/>
        </w:rPr>
      </w:pPr>
    </w:p>
    <w:p w:rsidR="002C5025" w:rsidRDefault="002C5025">
      <w:pPr>
        <w:pStyle w:val="ListParagraph"/>
        <w:numPr>
          <w:ilvl w:val="1"/>
          <w:numId w:val="88"/>
        </w:numPr>
        <w:tabs>
          <w:tab w:val="left" w:pos="1014"/>
        </w:tabs>
        <w:kinsoku w:val="0"/>
        <w:overflowPunct w:val="0"/>
        <w:spacing w:before="1" w:line="252" w:lineRule="exact"/>
        <w:ind w:right="113"/>
        <w:jc w:val="both"/>
        <w:rPr>
          <w:rFonts w:ascii="Arial" w:hAnsi="Arial" w:cs="Arial"/>
          <w:sz w:val="22"/>
          <w:szCs w:val="22"/>
        </w:rPr>
      </w:pPr>
      <w:r>
        <w:rPr>
          <w:rFonts w:ascii="Arial" w:hAnsi="Arial" w:cs="Arial"/>
          <w:sz w:val="22"/>
          <w:szCs w:val="22"/>
        </w:rPr>
        <w:t>Sharing of required ACO demographic data collection and analysis pursuant to HPC ACO Certification Criteria (Required Supplemental Question #2) with</w:t>
      </w:r>
      <w:r>
        <w:rPr>
          <w:rFonts w:ascii="Arial" w:hAnsi="Arial" w:cs="Arial"/>
          <w:spacing w:val="-36"/>
          <w:sz w:val="22"/>
          <w:szCs w:val="22"/>
        </w:rPr>
        <w:t xml:space="preserve"> </w:t>
      </w:r>
      <w:r>
        <w:rPr>
          <w:rFonts w:ascii="Arial" w:hAnsi="Arial" w:cs="Arial"/>
          <w:sz w:val="22"/>
          <w:szCs w:val="22"/>
        </w:rPr>
        <w:t>CPs;</w:t>
      </w:r>
    </w:p>
    <w:p w:rsidR="002C5025" w:rsidRDefault="002C5025">
      <w:pPr>
        <w:pStyle w:val="ListParagraph"/>
        <w:numPr>
          <w:ilvl w:val="1"/>
          <w:numId w:val="88"/>
        </w:numPr>
        <w:tabs>
          <w:tab w:val="left" w:pos="1014"/>
        </w:tabs>
        <w:kinsoku w:val="0"/>
        <w:overflowPunct w:val="0"/>
        <w:spacing w:before="16" w:line="252" w:lineRule="exact"/>
        <w:ind w:right="113"/>
        <w:jc w:val="both"/>
        <w:rPr>
          <w:rFonts w:ascii="Arial" w:hAnsi="Arial" w:cs="Arial"/>
          <w:sz w:val="22"/>
          <w:szCs w:val="22"/>
        </w:rPr>
      </w:pPr>
      <w:r>
        <w:rPr>
          <w:rFonts w:ascii="Arial" w:hAnsi="Arial" w:cs="Arial"/>
          <w:sz w:val="22"/>
          <w:szCs w:val="22"/>
        </w:rPr>
        <w:t>Establish selection criteria and scoring for ACOs and CPs that address providers’ capacity to meet the needs of underserved racial, ethnic and linguistic populations;</w:t>
      </w:r>
      <w:r>
        <w:rPr>
          <w:rFonts w:ascii="Arial" w:hAnsi="Arial" w:cs="Arial"/>
          <w:spacing w:val="-39"/>
          <w:sz w:val="22"/>
          <w:szCs w:val="22"/>
        </w:rPr>
        <w:t xml:space="preserve"> </w:t>
      </w:r>
      <w:r>
        <w:rPr>
          <w:rFonts w:ascii="Arial" w:hAnsi="Arial" w:cs="Arial"/>
          <w:sz w:val="22"/>
          <w:szCs w:val="22"/>
        </w:rPr>
        <w:t>and,</w:t>
      </w:r>
    </w:p>
    <w:p w:rsidR="002C5025" w:rsidRDefault="002C5025">
      <w:pPr>
        <w:pStyle w:val="ListParagraph"/>
        <w:numPr>
          <w:ilvl w:val="1"/>
          <w:numId w:val="88"/>
        </w:numPr>
        <w:tabs>
          <w:tab w:val="left" w:pos="1015"/>
        </w:tabs>
        <w:kinsoku w:val="0"/>
        <w:overflowPunct w:val="0"/>
        <w:ind w:right="109" w:hanging="448"/>
        <w:jc w:val="both"/>
        <w:rPr>
          <w:rFonts w:ascii="Arial" w:hAnsi="Arial" w:cs="Arial"/>
          <w:sz w:val="22"/>
          <w:szCs w:val="22"/>
        </w:rPr>
      </w:pPr>
      <w:r>
        <w:rPr>
          <w:rFonts w:ascii="Arial" w:hAnsi="Arial" w:cs="Arial"/>
          <w:sz w:val="22"/>
          <w:szCs w:val="22"/>
        </w:rPr>
        <w:t>Require cultural competence training of all patient-facing staff and ensuring that hiring practices focus on recruitment from the populations and communities that the ACO and CP</w:t>
      </w:r>
      <w:r>
        <w:rPr>
          <w:rFonts w:ascii="Arial" w:hAnsi="Arial" w:cs="Arial"/>
          <w:spacing w:val="-4"/>
          <w:sz w:val="22"/>
          <w:szCs w:val="22"/>
        </w:rPr>
        <w:t xml:space="preserve"> </w:t>
      </w:r>
      <w:r>
        <w:rPr>
          <w:rFonts w:ascii="Arial" w:hAnsi="Arial" w:cs="Arial"/>
          <w:sz w:val="22"/>
          <w:szCs w:val="22"/>
        </w:rPr>
        <w:t>serves.</w:t>
      </w:r>
    </w:p>
    <w:p w:rsidR="002C5025" w:rsidRDefault="002C5025">
      <w:pPr>
        <w:pStyle w:val="BodyText"/>
        <w:kinsoku w:val="0"/>
        <w:overflowPunct w:val="0"/>
        <w:rPr>
          <w:rFonts w:ascii="Arial" w:hAnsi="Arial" w:cs="Arial"/>
        </w:rPr>
      </w:pPr>
    </w:p>
    <w:p w:rsidR="002C5025" w:rsidRDefault="002C5025">
      <w:pPr>
        <w:pStyle w:val="BodyText"/>
        <w:kinsoku w:val="0"/>
        <w:overflowPunct w:val="0"/>
        <w:ind w:left="113" w:right="109"/>
        <w:jc w:val="both"/>
        <w:rPr>
          <w:rFonts w:ascii="Arial" w:hAnsi="Arial" w:cs="Arial"/>
        </w:rPr>
      </w:pPr>
      <w:r>
        <w:rPr>
          <w:rFonts w:ascii="Arial" w:hAnsi="Arial" w:cs="Arial"/>
        </w:rPr>
        <w:t>Additionally, ABH recommends that MassHealth consider multiple specialty BH CPs for identified cultural and linguistic minority populations, similar to the procurement of specialty CSAs under CBHI.</w:t>
      </w:r>
    </w:p>
    <w:p w:rsidR="002C5025" w:rsidRDefault="002C5025">
      <w:pPr>
        <w:pStyle w:val="BodyText"/>
        <w:kinsoku w:val="0"/>
        <w:overflowPunct w:val="0"/>
        <w:spacing w:before="9"/>
        <w:rPr>
          <w:rFonts w:ascii="Arial" w:hAnsi="Arial" w:cs="Arial"/>
          <w:sz w:val="21"/>
          <w:szCs w:val="21"/>
        </w:rPr>
      </w:pPr>
    </w:p>
    <w:p w:rsidR="002C5025" w:rsidRDefault="002C5025">
      <w:pPr>
        <w:pStyle w:val="BodyText"/>
        <w:kinsoku w:val="0"/>
        <w:overflowPunct w:val="0"/>
        <w:ind w:left="113"/>
        <w:jc w:val="both"/>
        <w:rPr>
          <w:rFonts w:ascii="Arial" w:hAnsi="Arial" w:cs="Arial"/>
          <w:b/>
          <w:bCs/>
          <w:sz w:val="26"/>
          <w:szCs w:val="26"/>
        </w:rPr>
      </w:pPr>
      <w:r>
        <w:rPr>
          <w:rFonts w:ascii="Arial" w:hAnsi="Arial" w:cs="Arial"/>
          <w:b/>
          <w:bCs/>
          <w:sz w:val="26"/>
          <w:szCs w:val="26"/>
        </w:rPr>
        <w:t>The ACO-BH Community Partner Relationship</w:t>
      </w:r>
    </w:p>
    <w:p w:rsidR="002C5025" w:rsidRDefault="002C5025">
      <w:pPr>
        <w:pStyle w:val="BodyText"/>
        <w:kinsoku w:val="0"/>
        <w:overflowPunct w:val="0"/>
        <w:ind w:left="113" w:right="109"/>
        <w:jc w:val="both"/>
        <w:rPr>
          <w:rFonts w:ascii="Arial" w:hAnsi="Arial" w:cs="Arial"/>
        </w:rPr>
      </w:pPr>
      <w:r>
        <w:rPr>
          <w:rFonts w:ascii="Arial" w:hAnsi="Arial" w:cs="Arial"/>
          <w:b/>
          <w:bCs/>
        </w:rPr>
        <w:t xml:space="preserve">All ACOs should be required to partner with BH CPs throughout the five-year DSRIP period. </w:t>
      </w:r>
      <w:r>
        <w:rPr>
          <w:rFonts w:ascii="Arial" w:hAnsi="Arial" w:cs="Arial"/>
        </w:rPr>
        <w:t>The draft submission is somewhat confusing on this point. Sections 4.1.3 through 4.1.5 provide more detailed overviews of the ACO Models. However, only Model B includes an express statement  that  this  model  will  be  required  to  partner  with  CPs.    Verbiage  elsewhere  in</w:t>
      </w:r>
      <w:r>
        <w:rPr>
          <w:rFonts w:ascii="Arial" w:hAnsi="Arial" w:cs="Arial"/>
          <w:spacing w:val="-17"/>
        </w:rPr>
        <w:t xml:space="preserve"> </w:t>
      </w:r>
      <w:r>
        <w:rPr>
          <w:rFonts w:ascii="Arial" w:hAnsi="Arial" w:cs="Arial"/>
        </w:rPr>
        <w:t>the</w:t>
      </w: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10"/>
        <w:rPr>
          <w:rFonts w:ascii="Arial" w:hAnsi="Arial" w:cs="Arial"/>
          <w:sz w:val="17"/>
          <w:szCs w:val="17"/>
        </w:rPr>
      </w:pPr>
    </w:p>
    <w:p w:rsidR="002C5025" w:rsidRDefault="002C5025">
      <w:pPr>
        <w:pStyle w:val="BodyText"/>
        <w:kinsoku w:val="0"/>
        <w:overflowPunct w:val="0"/>
        <w:spacing w:before="74"/>
        <w:ind w:right="114"/>
        <w:jc w:val="right"/>
        <w:rPr>
          <w:rFonts w:ascii="Arial" w:hAnsi="Arial" w:cs="Arial"/>
          <w:sz w:val="20"/>
          <w:szCs w:val="20"/>
        </w:rPr>
      </w:pPr>
      <w:r>
        <w:rPr>
          <w:rFonts w:ascii="Arial" w:hAnsi="Arial" w:cs="Arial"/>
          <w:sz w:val="20"/>
          <w:szCs w:val="20"/>
        </w:rPr>
        <w:t>Page 11 of 18</w:t>
      </w:r>
    </w:p>
    <w:p w:rsidR="002C5025" w:rsidRDefault="002C5025">
      <w:pPr>
        <w:pStyle w:val="BodyText"/>
        <w:kinsoku w:val="0"/>
        <w:overflowPunct w:val="0"/>
        <w:spacing w:before="74"/>
        <w:ind w:right="114"/>
        <w:jc w:val="right"/>
        <w:rPr>
          <w:rFonts w:ascii="Arial" w:hAnsi="Arial" w:cs="Arial"/>
          <w:sz w:val="20"/>
          <w:szCs w:val="20"/>
        </w:rPr>
        <w:sectPr w:rsidR="002C5025">
          <w:pgSz w:w="12240" w:h="15840"/>
          <w:pgMar w:top="1500" w:right="1240" w:bottom="280" w:left="1240" w:header="720" w:footer="720" w:gutter="0"/>
          <w:cols w:space="720"/>
          <w:noEndnote/>
        </w:sect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9"/>
        <w:rPr>
          <w:rFonts w:ascii="Arial" w:hAnsi="Arial" w:cs="Arial"/>
          <w:sz w:val="18"/>
          <w:szCs w:val="18"/>
        </w:rPr>
      </w:pPr>
    </w:p>
    <w:p w:rsidR="002C5025" w:rsidRDefault="002C5025">
      <w:pPr>
        <w:pStyle w:val="BodyText"/>
        <w:kinsoku w:val="0"/>
        <w:overflowPunct w:val="0"/>
        <w:spacing w:before="73"/>
        <w:ind w:left="113" w:right="111"/>
        <w:jc w:val="both"/>
        <w:rPr>
          <w:rFonts w:ascii="Arial" w:hAnsi="Arial" w:cs="Arial"/>
        </w:rPr>
      </w:pPr>
      <w:r>
        <w:rPr>
          <w:rFonts w:ascii="Arial" w:hAnsi="Arial" w:cs="Arial"/>
        </w:rPr>
        <w:t>document suggests that all ACOs will be required to have formal agreements with Behavioral Health Community Partner organizations. We respectfully request clarification.</w:t>
      </w:r>
    </w:p>
    <w:p w:rsidR="002C5025" w:rsidRDefault="002C5025">
      <w:pPr>
        <w:pStyle w:val="BodyText"/>
        <w:kinsoku w:val="0"/>
        <w:overflowPunct w:val="0"/>
        <w:rPr>
          <w:rFonts w:ascii="Arial" w:hAnsi="Arial" w:cs="Arial"/>
        </w:rPr>
      </w:pPr>
    </w:p>
    <w:p w:rsidR="002C5025" w:rsidRDefault="002C5025">
      <w:pPr>
        <w:pStyle w:val="BodyText"/>
        <w:kinsoku w:val="0"/>
        <w:overflowPunct w:val="0"/>
        <w:ind w:left="113" w:right="109"/>
        <w:jc w:val="both"/>
        <w:rPr>
          <w:rFonts w:ascii="Arial" w:hAnsi="Arial" w:cs="Arial"/>
        </w:rPr>
      </w:pPr>
      <w:r>
        <w:rPr>
          <w:rFonts w:ascii="Arial" w:hAnsi="Arial" w:cs="Arial"/>
        </w:rPr>
        <w:t>In Section 4.2.3.2, MassHealth indicates that MassHealth will establish a framework for ACO and CPs to formalize their partnerships, i.e., MOUs, and that MassHealth will define mandatory agreement domains, including roles and responsibilities in care coordination and management, shared decision-making and governance, performance management and reporting, clinical, IT  and systems integration, approach to address cultural competency and health literacy, and workforce development and training.  ABH recommends the following</w:t>
      </w:r>
      <w:r>
        <w:rPr>
          <w:rFonts w:ascii="Arial" w:hAnsi="Arial" w:cs="Arial"/>
          <w:spacing w:val="-38"/>
        </w:rPr>
        <w:t xml:space="preserve"> </w:t>
      </w:r>
      <w:r>
        <w:rPr>
          <w:rFonts w:ascii="Arial" w:hAnsi="Arial" w:cs="Arial"/>
        </w:rPr>
        <w:t>additions:</w:t>
      </w:r>
    </w:p>
    <w:p w:rsidR="002C5025" w:rsidRDefault="002C5025">
      <w:pPr>
        <w:pStyle w:val="BodyText"/>
        <w:kinsoku w:val="0"/>
        <w:overflowPunct w:val="0"/>
        <w:spacing w:before="10"/>
        <w:rPr>
          <w:rFonts w:ascii="Arial" w:hAnsi="Arial" w:cs="Arial"/>
          <w:sz w:val="23"/>
          <w:szCs w:val="23"/>
        </w:rPr>
      </w:pPr>
    </w:p>
    <w:p w:rsidR="002C5025" w:rsidRDefault="002C5025">
      <w:pPr>
        <w:pStyle w:val="ListParagraph"/>
        <w:numPr>
          <w:ilvl w:val="0"/>
          <w:numId w:val="88"/>
        </w:numPr>
        <w:tabs>
          <w:tab w:val="left" w:pos="834"/>
        </w:tabs>
        <w:kinsoku w:val="0"/>
        <w:overflowPunct w:val="0"/>
        <w:ind w:right="112" w:hanging="360"/>
        <w:rPr>
          <w:rFonts w:ascii="Arial" w:hAnsi="Arial" w:cs="Arial"/>
          <w:sz w:val="22"/>
          <w:szCs w:val="22"/>
        </w:rPr>
      </w:pPr>
      <w:r>
        <w:rPr>
          <w:rFonts w:ascii="Arial" w:hAnsi="Arial" w:cs="Arial"/>
          <w:sz w:val="22"/>
          <w:szCs w:val="22"/>
        </w:rPr>
        <w:t>Identification and specification of criteria and processes used to refer and enroll additional patients in the BH CP beyond those automatically identified or enrolled by</w:t>
      </w:r>
      <w:r>
        <w:rPr>
          <w:rFonts w:ascii="Arial" w:hAnsi="Arial" w:cs="Arial"/>
          <w:spacing w:val="-38"/>
          <w:sz w:val="22"/>
          <w:szCs w:val="22"/>
        </w:rPr>
        <w:t xml:space="preserve"> </w:t>
      </w:r>
      <w:r>
        <w:rPr>
          <w:rFonts w:ascii="Arial" w:hAnsi="Arial" w:cs="Arial"/>
          <w:sz w:val="22"/>
          <w:szCs w:val="22"/>
        </w:rPr>
        <w:t>MassHealth;</w:t>
      </w:r>
    </w:p>
    <w:p w:rsidR="002C5025" w:rsidRDefault="002C5025">
      <w:pPr>
        <w:pStyle w:val="ListParagraph"/>
        <w:numPr>
          <w:ilvl w:val="0"/>
          <w:numId w:val="88"/>
        </w:numPr>
        <w:tabs>
          <w:tab w:val="left" w:pos="834"/>
        </w:tabs>
        <w:kinsoku w:val="0"/>
        <w:overflowPunct w:val="0"/>
        <w:spacing w:before="118"/>
        <w:ind w:right="109" w:hanging="360"/>
        <w:rPr>
          <w:rFonts w:ascii="Arial" w:hAnsi="Arial" w:cs="Arial"/>
          <w:sz w:val="22"/>
          <w:szCs w:val="22"/>
        </w:rPr>
      </w:pPr>
      <w:r>
        <w:rPr>
          <w:rFonts w:ascii="Arial" w:hAnsi="Arial" w:cs="Arial"/>
          <w:sz w:val="22"/>
          <w:szCs w:val="22"/>
        </w:rPr>
        <w:t>Required shared savings in total cost of care for CP-enrolled members with their CP partners in light of the key role of care management in reducing cost</w:t>
      </w:r>
      <w:r>
        <w:rPr>
          <w:rFonts w:ascii="Arial" w:hAnsi="Arial" w:cs="Arial"/>
          <w:spacing w:val="-31"/>
          <w:sz w:val="22"/>
          <w:szCs w:val="22"/>
        </w:rPr>
        <w:t xml:space="preserve"> </w:t>
      </w:r>
      <w:r>
        <w:rPr>
          <w:rFonts w:ascii="Arial" w:hAnsi="Arial" w:cs="Arial"/>
          <w:sz w:val="22"/>
          <w:szCs w:val="22"/>
        </w:rPr>
        <w:t>growth;</w:t>
      </w:r>
    </w:p>
    <w:p w:rsidR="002C5025" w:rsidRDefault="002C5025">
      <w:pPr>
        <w:pStyle w:val="ListParagraph"/>
        <w:numPr>
          <w:ilvl w:val="0"/>
          <w:numId w:val="88"/>
        </w:numPr>
        <w:tabs>
          <w:tab w:val="left" w:pos="834"/>
        </w:tabs>
        <w:kinsoku w:val="0"/>
        <w:overflowPunct w:val="0"/>
        <w:spacing w:before="118"/>
        <w:ind w:right="109" w:hanging="360"/>
        <w:rPr>
          <w:rFonts w:ascii="Arial" w:hAnsi="Arial" w:cs="Arial"/>
          <w:sz w:val="22"/>
          <w:szCs w:val="22"/>
        </w:rPr>
      </w:pPr>
      <w:r>
        <w:rPr>
          <w:rFonts w:ascii="Arial" w:hAnsi="Arial" w:cs="Arial"/>
          <w:sz w:val="22"/>
          <w:szCs w:val="22"/>
        </w:rPr>
        <w:t>Prohibition of mandates for the use of a particular EHR by CPs; rather, MassHealth should mandate interoperability/data exchange</w:t>
      </w:r>
      <w:r>
        <w:rPr>
          <w:rFonts w:ascii="Arial" w:hAnsi="Arial" w:cs="Arial"/>
          <w:spacing w:val="-20"/>
          <w:sz w:val="22"/>
          <w:szCs w:val="22"/>
        </w:rPr>
        <w:t xml:space="preserve"> </w:t>
      </w:r>
      <w:r>
        <w:rPr>
          <w:rFonts w:ascii="Arial" w:hAnsi="Arial" w:cs="Arial"/>
          <w:sz w:val="22"/>
          <w:szCs w:val="22"/>
        </w:rPr>
        <w:t>options;</w:t>
      </w:r>
    </w:p>
    <w:p w:rsidR="002C5025" w:rsidRDefault="002C5025">
      <w:pPr>
        <w:pStyle w:val="ListParagraph"/>
        <w:numPr>
          <w:ilvl w:val="0"/>
          <w:numId w:val="88"/>
        </w:numPr>
        <w:tabs>
          <w:tab w:val="left" w:pos="834"/>
        </w:tabs>
        <w:kinsoku w:val="0"/>
        <w:overflowPunct w:val="0"/>
        <w:spacing w:before="118"/>
        <w:ind w:hanging="360"/>
        <w:rPr>
          <w:rFonts w:ascii="Arial" w:hAnsi="Arial" w:cs="Arial"/>
          <w:spacing w:val="-2"/>
          <w:sz w:val="22"/>
          <w:szCs w:val="22"/>
        </w:rPr>
      </w:pPr>
      <w:r>
        <w:rPr>
          <w:rFonts w:ascii="Arial" w:hAnsi="Arial" w:cs="Arial"/>
          <w:sz w:val="22"/>
          <w:szCs w:val="22"/>
        </w:rPr>
        <w:t>ACO provision of real-time access to the ACO’s client records with no cost to the</w:t>
      </w:r>
      <w:r>
        <w:rPr>
          <w:rFonts w:ascii="Arial" w:hAnsi="Arial" w:cs="Arial"/>
          <w:spacing w:val="-27"/>
          <w:sz w:val="22"/>
          <w:szCs w:val="22"/>
        </w:rPr>
        <w:t xml:space="preserve"> </w:t>
      </w:r>
      <w:r>
        <w:rPr>
          <w:rFonts w:ascii="Arial" w:hAnsi="Arial" w:cs="Arial"/>
          <w:spacing w:val="-2"/>
          <w:sz w:val="22"/>
          <w:szCs w:val="22"/>
        </w:rPr>
        <w:t>CP;</w:t>
      </w:r>
    </w:p>
    <w:p w:rsidR="002C5025" w:rsidRDefault="002C5025">
      <w:pPr>
        <w:pStyle w:val="ListParagraph"/>
        <w:numPr>
          <w:ilvl w:val="0"/>
          <w:numId w:val="88"/>
        </w:numPr>
        <w:tabs>
          <w:tab w:val="left" w:pos="834"/>
        </w:tabs>
        <w:kinsoku w:val="0"/>
        <w:overflowPunct w:val="0"/>
        <w:spacing w:before="139" w:line="252" w:lineRule="exact"/>
        <w:ind w:left="834" w:right="111"/>
        <w:rPr>
          <w:rFonts w:ascii="Arial" w:hAnsi="Arial" w:cs="Arial"/>
          <w:sz w:val="22"/>
          <w:szCs w:val="22"/>
        </w:rPr>
      </w:pPr>
      <w:r>
        <w:rPr>
          <w:rFonts w:ascii="Arial" w:hAnsi="Arial" w:cs="Arial"/>
          <w:sz w:val="22"/>
          <w:szCs w:val="22"/>
        </w:rPr>
        <w:t>ACO provision of necessary clinical, claims and total cost of care data on CP members to the</w:t>
      </w:r>
      <w:r>
        <w:rPr>
          <w:rFonts w:ascii="Arial" w:hAnsi="Arial" w:cs="Arial"/>
          <w:spacing w:val="-1"/>
          <w:sz w:val="22"/>
          <w:szCs w:val="22"/>
        </w:rPr>
        <w:t xml:space="preserve"> </w:t>
      </w:r>
      <w:r>
        <w:rPr>
          <w:rFonts w:ascii="Arial" w:hAnsi="Arial" w:cs="Arial"/>
          <w:sz w:val="22"/>
          <w:szCs w:val="22"/>
        </w:rPr>
        <w:t>CP;</w:t>
      </w:r>
    </w:p>
    <w:p w:rsidR="002C5025" w:rsidRDefault="002C5025">
      <w:pPr>
        <w:pStyle w:val="ListParagraph"/>
        <w:numPr>
          <w:ilvl w:val="0"/>
          <w:numId w:val="88"/>
        </w:numPr>
        <w:tabs>
          <w:tab w:val="left" w:pos="835"/>
        </w:tabs>
        <w:kinsoku w:val="0"/>
        <w:overflowPunct w:val="0"/>
        <w:spacing w:before="117"/>
        <w:ind w:left="834" w:hanging="360"/>
        <w:rPr>
          <w:rFonts w:ascii="Arial" w:hAnsi="Arial" w:cs="Arial"/>
          <w:sz w:val="22"/>
          <w:szCs w:val="22"/>
        </w:rPr>
      </w:pPr>
      <w:r>
        <w:rPr>
          <w:rFonts w:ascii="Arial" w:hAnsi="Arial" w:cs="Arial"/>
          <w:sz w:val="22"/>
          <w:szCs w:val="22"/>
        </w:rPr>
        <w:t>Delineation in the role of the CP as care coordinator and as treatment provider;</w:t>
      </w:r>
      <w:r>
        <w:rPr>
          <w:rFonts w:ascii="Arial" w:hAnsi="Arial" w:cs="Arial"/>
          <w:spacing w:val="-40"/>
          <w:sz w:val="22"/>
          <w:szCs w:val="22"/>
        </w:rPr>
        <w:t xml:space="preserve"> </w:t>
      </w:r>
      <w:r>
        <w:rPr>
          <w:rFonts w:ascii="Arial" w:hAnsi="Arial" w:cs="Arial"/>
          <w:sz w:val="22"/>
          <w:szCs w:val="22"/>
        </w:rPr>
        <w:t>and,</w:t>
      </w:r>
    </w:p>
    <w:p w:rsidR="002C5025" w:rsidRDefault="002C5025">
      <w:pPr>
        <w:pStyle w:val="ListParagraph"/>
        <w:numPr>
          <w:ilvl w:val="0"/>
          <w:numId w:val="88"/>
        </w:numPr>
        <w:tabs>
          <w:tab w:val="left" w:pos="835"/>
        </w:tabs>
        <w:kinsoku w:val="0"/>
        <w:overflowPunct w:val="0"/>
        <w:spacing w:before="117"/>
        <w:ind w:left="834" w:hanging="360"/>
        <w:rPr>
          <w:rFonts w:ascii="Arial" w:hAnsi="Arial" w:cs="Arial"/>
          <w:sz w:val="22"/>
          <w:szCs w:val="22"/>
        </w:rPr>
      </w:pPr>
      <w:r>
        <w:rPr>
          <w:rFonts w:ascii="Arial" w:hAnsi="Arial" w:cs="Arial"/>
          <w:sz w:val="22"/>
          <w:szCs w:val="22"/>
        </w:rPr>
        <w:t>ACO-CP dispute resolution</w:t>
      </w:r>
      <w:r>
        <w:rPr>
          <w:rFonts w:ascii="Arial" w:hAnsi="Arial" w:cs="Arial"/>
          <w:spacing w:val="-13"/>
          <w:sz w:val="22"/>
          <w:szCs w:val="22"/>
        </w:rPr>
        <w:t xml:space="preserve"> </w:t>
      </w:r>
      <w:r>
        <w:rPr>
          <w:rFonts w:ascii="Arial" w:hAnsi="Arial" w:cs="Arial"/>
          <w:sz w:val="22"/>
          <w:szCs w:val="22"/>
        </w:rPr>
        <w:t>process</w:t>
      </w:r>
    </w:p>
    <w:p w:rsidR="002C5025" w:rsidRDefault="002C5025">
      <w:pPr>
        <w:pStyle w:val="BodyText"/>
        <w:kinsoku w:val="0"/>
        <w:overflowPunct w:val="0"/>
        <w:spacing w:before="3"/>
        <w:rPr>
          <w:rFonts w:ascii="Arial" w:hAnsi="Arial" w:cs="Arial"/>
          <w:sz w:val="32"/>
          <w:szCs w:val="32"/>
        </w:rPr>
      </w:pPr>
    </w:p>
    <w:p w:rsidR="002C5025" w:rsidRDefault="002C5025">
      <w:pPr>
        <w:pStyle w:val="BodyText"/>
        <w:kinsoku w:val="0"/>
        <w:overflowPunct w:val="0"/>
        <w:ind w:left="114" w:right="110"/>
        <w:jc w:val="both"/>
        <w:rPr>
          <w:rFonts w:ascii="Arial" w:hAnsi="Arial" w:cs="Arial"/>
        </w:rPr>
      </w:pPr>
      <w:r>
        <w:rPr>
          <w:rFonts w:ascii="Arial" w:hAnsi="Arial" w:cs="Arial"/>
        </w:rPr>
        <w:t xml:space="preserve">ABH recommends that </w:t>
      </w:r>
      <w:r>
        <w:rPr>
          <w:rFonts w:ascii="Arial" w:hAnsi="Arial" w:cs="Arial"/>
          <w:b/>
          <w:bCs/>
          <w:i/>
          <w:iCs/>
        </w:rPr>
        <w:t>MassHealth issue a template MOU that covers core requirements and that could be modified as appropriate to the needs and strengths of the signatories</w:t>
      </w:r>
      <w:r>
        <w:rPr>
          <w:rFonts w:ascii="Arial" w:hAnsi="Arial" w:cs="Arial"/>
        </w:rPr>
        <w:t>. This would be consistent with MassHealth’s inclusion of a model contract with its Pilot ACO RFR and with proposed use of DSRIP funds for legal services.</w:t>
      </w:r>
    </w:p>
    <w:p w:rsidR="002C5025" w:rsidRDefault="002C5025">
      <w:pPr>
        <w:pStyle w:val="BodyText"/>
        <w:kinsoku w:val="0"/>
        <w:overflowPunct w:val="0"/>
        <w:spacing w:before="9"/>
        <w:rPr>
          <w:rFonts w:ascii="Arial" w:hAnsi="Arial" w:cs="Arial"/>
          <w:sz w:val="23"/>
          <w:szCs w:val="23"/>
        </w:rPr>
      </w:pPr>
    </w:p>
    <w:p w:rsidR="002C5025" w:rsidRDefault="002C5025">
      <w:pPr>
        <w:pStyle w:val="BodyText"/>
        <w:tabs>
          <w:tab w:val="left" w:pos="5950"/>
        </w:tabs>
        <w:kinsoku w:val="0"/>
        <w:overflowPunct w:val="0"/>
        <w:ind w:left="113" w:right="109"/>
        <w:rPr>
          <w:rFonts w:ascii="Arial" w:hAnsi="Arial" w:cs="Arial"/>
        </w:rPr>
      </w:pPr>
      <w:r>
        <w:rPr>
          <w:rFonts w:ascii="Arial" w:hAnsi="Arial" w:cs="Arial"/>
          <w:b/>
          <w:bCs/>
          <w:sz w:val="26"/>
          <w:szCs w:val="26"/>
        </w:rPr>
        <w:t xml:space="preserve">The ACO-BH Community Partner Relationship: Care Plan Authorization </w:t>
      </w:r>
      <w:r>
        <w:rPr>
          <w:rFonts w:ascii="Arial" w:hAnsi="Arial" w:cs="Arial"/>
        </w:rPr>
        <w:t xml:space="preserve">Section 7.2.6 indicates that individuals with significant SUD will be assessed,  participate  in service plan development, receive ongoing support and service coordination, and health and social service referrals through the   </w:t>
      </w:r>
      <w:r>
        <w:rPr>
          <w:rFonts w:ascii="Arial" w:hAnsi="Arial" w:cs="Arial"/>
          <w:spacing w:val="8"/>
        </w:rPr>
        <w:t xml:space="preserve"> </w:t>
      </w:r>
      <w:r>
        <w:rPr>
          <w:rFonts w:ascii="Arial" w:hAnsi="Arial" w:cs="Arial"/>
        </w:rPr>
        <w:t>Community</w:t>
      </w:r>
      <w:r>
        <w:rPr>
          <w:rFonts w:ascii="Arial" w:hAnsi="Arial" w:cs="Arial"/>
          <w:spacing w:val="36"/>
        </w:rPr>
        <w:t xml:space="preserve"> </w:t>
      </w:r>
      <w:r>
        <w:rPr>
          <w:rFonts w:ascii="Arial" w:hAnsi="Arial" w:cs="Arial"/>
        </w:rPr>
        <w:t>Partner.</w:t>
      </w:r>
      <w:r>
        <w:rPr>
          <w:rFonts w:ascii="Arial" w:hAnsi="Arial" w:cs="Arial"/>
        </w:rPr>
        <w:tab/>
        <w:t>These  services  are  overseen</w:t>
      </w:r>
      <w:r>
        <w:rPr>
          <w:rFonts w:ascii="Arial" w:hAnsi="Arial" w:cs="Arial"/>
          <w:spacing w:val="-26"/>
        </w:rPr>
        <w:t xml:space="preserve"> </w:t>
      </w:r>
      <w:r>
        <w:rPr>
          <w:rFonts w:ascii="Arial" w:hAnsi="Arial" w:cs="Arial"/>
        </w:rPr>
        <w:t>by</w:t>
      </w:r>
      <w:r>
        <w:rPr>
          <w:rFonts w:ascii="Arial" w:hAnsi="Arial" w:cs="Arial"/>
          <w:spacing w:val="37"/>
        </w:rPr>
        <w:t xml:space="preserve"> </w:t>
      </w:r>
      <w:r>
        <w:rPr>
          <w:rFonts w:ascii="Arial" w:hAnsi="Arial" w:cs="Arial"/>
        </w:rPr>
        <w:t>the</w:t>
      </w:r>
      <w:r>
        <w:rPr>
          <w:rFonts w:ascii="Arial" w:hAnsi="Arial" w:cs="Arial"/>
          <w:spacing w:val="-1"/>
        </w:rPr>
        <w:t xml:space="preserve"> </w:t>
      </w:r>
      <w:r>
        <w:rPr>
          <w:rFonts w:ascii="Arial" w:hAnsi="Arial" w:cs="Arial"/>
        </w:rPr>
        <w:t xml:space="preserve">Community Partner’s Care Manager who will approve the member’s recovery plan. MassHealth </w:t>
      </w:r>
      <w:r>
        <w:rPr>
          <w:rFonts w:ascii="Arial" w:hAnsi="Arial" w:cs="Arial"/>
          <w:b/>
          <w:bCs/>
        </w:rPr>
        <w:t>should make explicit that the CP Care Manager will approve care plans for all CP populations</w:t>
      </w:r>
      <w:r>
        <w:rPr>
          <w:rFonts w:ascii="Arial" w:hAnsi="Arial" w:cs="Arial"/>
        </w:rPr>
        <w:t>, not just members with</w:t>
      </w:r>
      <w:r>
        <w:rPr>
          <w:rFonts w:ascii="Arial" w:hAnsi="Arial" w:cs="Arial"/>
          <w:spacing w:val="-16"/>
        </w:rPr>
        <w:t xml:space="preserve"> </w:t>
      </w:r>
      <w:r>
        <w:rPr>
          <w:rFonts w:ascii="Arial" w:hAnsi="Arial" w:cs="Arial"/>
        </w:rPr>
        <w:t>SUD.</w:t>
      </w:r>
    </w:p>
    <w:p w:rsidR="002C5025" w:rsidRDefault="002C5025">
      <w:pPr>
        <w:pStyle w:val="BodyText"/>
        <w:kinsoku w:val="0"/>
        <w:overflowPunct w:val="0"/>
        <w:spacing w:before="10"/>
        <w:rPr>
          <w:rFonts w:ascii="Arial" w:hAnsi="Arial" w:cs="Arial"/>
          <w:sz w:val="21"/>
          <w:szCs w:val="21"/>
        </w:rPr>
      </w:pPr>
    </w:p>
    <w:p w:rsidR="002C5025" w:rsidRDefault="002C5025">
      <w:pPr>
        <w:pStyle w:val="BodyText"/>
        <w:kinsoku w:val="0"/>
        <w:overflowPunct w:val="0"/>
        <w:ind w:left="113"/>
        <w:jc w:val="both"/>
        <w:rPr>
          <w:rFonts w:ascii="Arial" w:hAnsi="Arial" w:cs="Arial"/>
          <w:b/>
          <w:bCs/>
          <w:sz w:val="26"/>
          <w:szCs w:val="26"/>
        </w:rPr>
      </w:pPr>
      <w:r>
        <w:rPr>
          <w:rFonts w:ascii="Arial" w:hAnsi="Arial" w:cs="Arial"/>
          <w:b/>
          <w:bCs/>
          <w:sz w:val="26"/>
          <w:szCs w:val="26"/>
        </w:rPr>
        <w:t>ACO-BH CP Relationship: Flexible Supports</w:t>
      </w:r>
    </w:p>
    <w:p w:rsidR="002C5025" w:rsidRDefault="002C5025">
      <w:pPr>
        <w:pStyle w:val="BodyText"/>
        <w:kinsoku w:val="0"/>
        <w:overflowPunct w:val="0"/>
        <w:spacing w:before="2"/>
        <w:ind w:left="113" w:right="110"/>
        <w:jc w:val="both"/>
        <w:rPr>
          <w:rFonts w:ascii="Arial" w:hAnsi="Arial" w:cs="Arial"/>
          <w:b/>
          <w:bCs/>
          <w:i/>
          <w:iCs/>
        </w:rPr>
      </w:pPr>
      <w:r>
        <w:rPr>
          <w:rFonts w:ascii="Arial" w:hAnsi="Arial" w:cs="Arial"/>
        </w:rPr>
        <w:t xml:space="preserve">ABH is concerned about the assignment of roles and responsibilities between ACOs and BH </w:t>
      </w:r>
      <w:r>
        <w:rPr>
          <w:rFonts w:ascii="Arial" w:hAnsi="Arial" w:cs="Arial"/>
          <w:spacing w:val="-2"/>
        </w:rPr>
        <w:t xml:space="preserve">CPs </w:t>
      </w:r>
      <w:r>
        <w:rPr>
          <w:rFonts w:ascii="Arial" w:hAnsi="Arial" w:cs="Arial"/>
        </w:rPr>
        <w:t>relative to flexible supports to assist with health-related social services and social determinants of health (SDH). It appears that CPs are charged with making linkages to social services agencies, formulating care plan recommendations, generating referrals, and providing navigational assistance. There appears to be overlap with ACO responsibilities. However, Section 5.3.2.3 indicates that only ACOs receive distinct flexible services funding. Given their essential role in care</w:t>
      </w:r>
      <w:r>
        <w:rPr>
          <w:rFonts w:ascii="Arial" w:hAnsi="Arial" w:cs="Arial"/>
          <w:spacing w:val="30"/>
        </w:rPr>
        <w:t xml:space="preserve"> </w:t>
      </w:r>
      <w:r>
        <w:rPr>
          <w:rFonts w:ascii="Arial" w:hAnsi="Arial" w:cs="Arial"/>
        </w:rPr>
        <w:t>coordination,</w:t>
      </w:r>
      <w:r>
        <w:rPr>
          <w:rFonts w:ascii="Arial" w:hAnsi="Arial" w:cs="Arial"/>
          <w:spacing w:val="32"/>
        </w:rPr>
        <w:t xml:space="preserve"> </w:t>
      </w:r>
      <w:r>
        <w:rPr>
          <w:rFonts w:ascii="Arial" w:hAnsi="Arial" w:cs="Arial"/>
          <w:b/>
          <w:bCs/>
          <w:i/>
          <w:iCs/>
        </w:rPr>
        <w:t>CPs</w:t>
      </w:r>
      <w:r>
        <w:rPr>
          <w:rFonts w:ascii="Arial" w:hAnsi="Arial" w:cs="Arial"/>
          <w:b/>
          <w:bCs/>
          <w:i/>
          <w:iCs/>
          <w:spacing w:val="30"/>
        </w:rPr>
        <w:t xml:space="preserve"> </w:t>
      </w:r>
      <w:r>
        <w:rPr>
          <w:rFonts w:ascii="Arial" w:hAnsi="Arial" w:cs="Arial"/>
          <w:b/>
          <w:bCs/>
          <w:i/>
          <w:iCs/>
        </w:rPr>
        <w:t>must</w:t>
      </w:r>
      <w:r>
        <w:rPr>
          <w:rFonts w:ascii="Arial" w:hAnsi="Arial" w:cs="Arial"/>
          <w:b/>
          <w:bCs/>
          <w:i/>
          <w:iCs/>
          <w:spacing w:val="32"/>
        </w:rPr>
        <w:t xml:space="preserve"> </w:t>
      </w:r>
      <w:r>
        <w:rPr>
          <w:rFonts w:ascii="Arial" w:hAnsi="Arial" w:cs="Arial"/>
          <w:b/>
          <w:bCs/>
          <w:i/>
          <w:iCs/>
        </w:rPr>
        <w:t>be</w:t>
      </w:r>
      <w:r>
        <w:rPr>
          <w:rFonts w:ascii="Arial" w:hAnsi="Arial" w:cs="Arial"/>
          <w:b/>
          <w:bCs/>
          <w:i/>
          <w:iCs/>
          <w:spacing w:val="30"/>
        </w:rPr>
        <w:t xml:space="preserve"> </w:t>
      </w:r>
      <w:r>
        <w:rPr>
          <w:rFonts w:ascii="Arial" w:hAnsi="Arial" w:cs="Arial"/>
          <w:b/>
          <w:bCs/>
          <w:i/>
          <w:iCs/>
        </w:rPr>
        <w:t>able</w:t>
      </w:r>
      <w:r>
        <w:rPr>
          <w:rFonts w:ascii="Arial" w:hAnsi="Arial" w:cs="Arial"/>
          <w:b/>
          <w:bCs/>
          <w:i/>
          <w:iCs/>
          <w:spacing w:val="30"/>
        </w:rPr>
        <w:t xml:space="preserve"> </w:t>
      </w:r>
      <w:r>
        <w:rPr>
          <w:rFonts w:ascii="Arial" w:hAnsi="Arial" w:cs="Arial"/>
          <w:b/>
          <w:bCs/>
          <w:i/>
          <w:iCs/>
        </w:rPr>
        <w:t>to</w:t>
      </w:r>
      <w:r>
        <w:rPr>
          <w:rFonts w:ascii="Arial" w:hAnsi="Arial" w:cs="Arial"/>
          <w:b/>
          <w:bCs/>
          <w:i/>
          <w:iCs/>
          <w:spacing w:val="30"/>
        </w:rPr>
        <w:t xml:space="preserve"> </w:t>
      </w:r>
      <w:r>
        <w:rPr>
          <w:rFonts w:ascii="Arial" w:hAnsi="Arial" w:cs="Arial"/>
          <w:b/>
          <w:bCs/>
          <w:i/>
          <w:iCs/>
        </w:rPr>
        <w:t>access</w:t>
      </w:r>
      <w:r>
        <w:rPr>
          <w:rFonts w:ascii="Arial" w:hAnsi="Arial" w:cs="Arial"/>
          <w:b/>
          <w:bCs/>
          <w:i/>
          <w:iCs/>
          <w:spacing w:val="30"/>
        </w:rPr>
        <w:t xml:space="preserve"> </w:t>
      </w:r>
      <w:r>
        <w:rPr>
          <w:rFonts w:ascii="Arial" w:hAnsi="Arial" w:cs="Arial"/>
          <w:b/>
          <w:bCs/>
          <w:i/>
          <w:iCs/>
        </w:rPr>
        <w:t>flexible</w:t>
      </w:r>
      <w:r>
        <w:rPr>
          <w:rFonts w:ascii="Arial" w:hAnsi="Arial" w:cs="Arial"/>
          <w:b/>
          <w:bCs/>
          <w:i/>
          <w:iCs/>
          <w:spacing w:val="30"/>
        </w:rPr>
        <w:t xml:space="preserve"> </w:t>
      </w:r>
      <w:r>
        <w:rPr>
          <w:rFonts w:ascii="Arial" w:hAnsi="Arial" w:cs="Arial"/>
          <w:b/>
          <w:bCs/>
          <w:i/>
          <w:iCs/>
        </w:rPr>
        <w:t>services</w:t>
      </w:r>
      <w:r>
        <w:rPr>
          <w:rFonts w:ascii="Arial" w:hAnsi="Arial" w:cs="Arial"/>
          <w:b/>
          <w:bCs/>
          <w:i/>
          <w:iCs/>
          <w:spacing w:val="30"/>
        </w:rPr>
        <w:t xml:space="preserve"> </w:t>
      </w:r>
      <w:r>
        <w:rPr>
          <w:rFonts w:ascii="Arial" w:hAnsi="Arial" w:cs="Arial"/>
          <w:b/>
          <w:bCs/>
          <w:i/>
          <w:iCs/>
        </w:rPr>
        <w:t>funding</w:t>
      </w:r>
      <w:r>
        <w:rPr>
          <w:rFonts w:ascii="Arial" w:hAnsi="Arial" w:cs="Arial"/>
          <w:b/>
          <w:bCs/>
          <w:i/>
          <w:iCs/>
          <w:spacing w:val="30"/>
        </w:rPr>
        <w:t xml:space="preserve"> </w:t>
      </w:r>
      <w:r>
        <w:rPr>
          <w:rFonts w:ascii="Arial" w:hAnsi="Arial" w:cs="Arial"/>
          <w:b/>
          <w:bCs/>
          <w:i/>
          <w:iCs/>
        </w:rPr>
        <w:t>to</w:t>
      </w:r>
      <w:r>
        <w:rPr>
          <w:rFonts w:ascii="Arial" w:hAnsi="Arial" w:cs="Arial"/>
          <w:b/>
          <w:bCs/>
          <w:i/>
          <w:iCs/>
          <w:spacing w:val="30"/>
        </w:rPr>
        <w:t xml:space="preserve"> </w:t>
      </w:r>
      <w:r>
        <w:rPr>
          <w:rFonts w:ascii="Arial" w:hAnsi="Arial" w:cs="Arial"/>
          <w:b/>
          <w:bCs/>
          <w:i/>
          <w:iCs/>
        </w:rPr>
        <w:t>enhance</w:t>
      </w:r>
      <w:r>
        <w:rPr>
          <w:rFonts w:ascii="Arial" w:hAnsi="Arial" w:cs="Arial"/>
          <w:b/>
          <w:bCs/>
          <w:i/>
          <w:iCs/>
          <w:spacing w:val="30"/>
        </w:rPr>
        <w:t xml:space="preserve"> </w:t>
      </w:r>
      <w:r>
        <w:rPr>
          <w:rFonts w:ascii="Arial" w:hAnsi="Arial" w:cs="Arial"/>
          <w:b/>
          <w:bCs/>
          <w:i/>
          <w:iCs/>
        </w:rPr>
        <w:t>their</w:t>
      </w:r>
    </w:p>
    <w:p w:rsidR="002C5025" w:rsidRDefault="002C5025">
      <w:pPr>
        <w:pStyle w:val="BodyText"/>
        <w:kinsoku w:val="0"/>
        <w:overflowPunct w:val="0"/>
        <w:rPr>
          <w:rFonts w:ascii="Arial" w:hAnsi="Arial" w:cs="Arial"/>
          <w:b/>
          <w:bCs/>
          <w:i/>
          <w:iCs/>
          <w:sz w:val="20"/>
          <w:szCs w:val="20"/>
        </w:rPr>
      </w:pPr>
    </w:p>
    <w:p w:rsidR="002C5025" w:rsidRDefault="002C5025">
      <w:pPr>
        <w:pStyle w:val="BodyText"/>
        <w:kinsoku w:val="0"/>
        <w:overflowPunct w:val="0"/>
        <w:spacing w:before="9"/>
        <w:rPr>
          <w:rFonts w:ascii="Arial" w:hAnsi="Arial" w:cs="Arial"/>
          <w:b/>
          <w:bCs/>
          <w:i/>
          <w:iCs/>
          <w:sz w:val="23"/>
          <w:szCs w:val="23"/>
        </w:rPr>
      </w:pPr>
    </w:p>
    <w:p w:rsidR="002C5025" w:rsidRDefault="002C5025">
      <w:pPr>
        <w:pStyle w:val="BodyText"/>
        <w:kinsoku w:val="0"/>
        <w:overflowPunct w:val="0"/>
        <w:spacing w:before="74"/>
        <w:ind w:right="114"/>
        <w:jc w:val="right"/>
        <w:rPr>
          <w:rFonts w:ascii="Arial" w:hAnsi="Arial" w:cs="Arial"/>
          <w:sz w:val="20"/>
          <w:szCs w:val="20"/>
        </w:rPr>
      </w:pPr>
      <w:r>
        <w:rPr>
          <w:rFonts w:ascii="Arial" w:hAnsi="Arial" w:cs="Arial"/>
          <w:sz w:val="20"/>
          <w:szCs w:val="20"/>
        </w:rPr>
        <w:t>Page 12 of 18</w:t>
      </w:r>
    </w:p>
    <w:p w:rsidR="002C5025" w:rsidRDefault="002C5025">
      <w:pPr>
        <w:pStyle w:val="BodyText"/>
        <w:kinsoku w:val="0"/>
        <w:overflowPunct w:val="0"/>
        <w:spacing w:before="74"/>
        <w:ind w:right="114"/>
        <w:jc w:val="right"/>
        <w:rPr>
          <w:rFonts w:ascii="Arial" w:hAnsi="Arial" w:cs="Arial"/>
          <w:sz w:val="20"/>
          <w:szCs w:val="20"/>
        </w:rPr>
        <w:sectPr w:rsidR="002C5025">
          <w:pgSz w:w="12240" w:h="15840"/>
          <w:pgMar w:top="1500" w:right="1240" w:bottom="280" w:left="1240" w:header="720" w:footer="720" w:gutter="0"/>
          <w:cols w:space="720"/>
          <w:noEndnote/>
        </w:sect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9"/>
        <w:rPr>
          <w:rFonts w:ascii="Arial" w:hAnsi="Arial" w:cs="Arial"/>
          <w:sz w:val="18"/>
          <w:szCs w:val="18"/>
        </w:rPr>
      </w:pPr>
    </w:p>
    <w:p w:rsidR="002C5025" w:rsidRDefault="002C5025">
      <w:pPr>
        <w:pStyle w:val="BodyText"/>
        <w:kinsoku w:val="0"/>
        <w:overflowPunct w:val="0"/>
        <w:spacing w:before="73"/>
        <w:ind w:left="113" w:right="110"/>
        <w:jc w:val="both"/>
        <w:rPr>
          <w:rFonts w:ascii="Arial" w:hAnsi="Arial" w:cs="Arial"/>
        </w:rPr>
      </w:pPr>
      <w:r>
        <w:rPr>
          <w:rFonts w:ascii="Arial" w:hAnsi="Arial" w:cs="Arial"/>
          <w:b/>
          <w:bCs/>
          <w:i/>
          <w:iCs/>
        </w:rPr>
        <w:t>ability to provide wrap-around services</w:t>
      </w:r>
      <w:r>
        <w:rPr>
          <w:rFonts w:ascii="Arial" w:hAnsi="Arial" w:cs="Arial"/>
        </w:rPr>
        <w:t>. This is important for two reasons: administrative efficiency and relationship building. First, requiring the CP to do the groundwork to solve a problem and then requiring it to navigate an administrative process to secure funds to resolve the issue is a poor use of staff time and resources and becomes a barrier to the appropriate use of funds. Further, the proposed structure makes it challenging for CPs to develop and maintain credibility with MassHealth members and social service agencies with whom the CP partners.  The example provided in the waiver document of a member needing to complete a utility assistance application and pay an electric bill is exactly the type of situation in which a CP should have direct access to flexible funds. Trust cannot be built with the MassHealth member if they are forced to wait for resolution of an administrative process to have their electricity restored. It will also be important for CPs to access these supports for non-managed care eligible individuals whom they serve, if they are ultimately eligible for CP</w:t>
      </w:r>
      <w:r>
        <w:rPr>
          <w:rFonts w:ascii="Arial" w:hAnsi="Arial" w:cs="Arial"/>
          <w:spacing w:val="-28"/>
        </w:rPr>
        <w:t xml:space="preserve"> </w:t>
      </w:r>
      <w:r>
        <w:rPr>
          <w:rFonts w:ascii="Arial" w:hAnsi="Arial" w:cs="Arial"/>
        </w:rPr>
        <w:t>services.</w:t>
      </w:r>
    </w:p>
    <w:p w:rsidR="002C5025" w:rsidRDefault="002C5025">
      <w:pPr>
        <w:pStyle w:val="BodyText"/>
        <w:kinsoku w:val="0"/>
        <w:overflowPunct w:val="0"/>
        <w:rPr>
          <w:rFonts w:ascii="Arial" w:hAnsi="Arial" w:cs="Arial"/>
        </w:rPr>
      </w:pPr>
    </w:p>
    <w:p w:rsidR="002C5025" w:rsidRDefault="002C5025">
      <w:pPr>
        <w:pStyle w:val="BodyText"/>
        <w:kinsoku w:val="0"/>
        <w:overflowPunct w:val="0"/>
        <w:ind w:left="114" w:right="112"/>
        <w:jc w:val="both"/>
        <w:rPr>
          <w:rFonts w:ascii="Arial" w:hAnsi="Arial" w:cs="Arial"/>
        </w:rPr>
      </w:pPr>
      <w:r>
        <w:rPr>
          <w:rFonts w:ascii="Arial" w:hAnsi="Arial" w:cs="Arial"/>
        </w:rPr>
        <w:t>Finally, MassHealth should establish CP and ACO standards for competency in identifying and addressing social determinants, including cultural competency, engagement of members with significant adverse social determinants, and skill at supporting peers to assist with engagement.</w:t>
      </w:r>
    </w:p>
    <w:p w:rsidR="002C5025" w:rsidRDefault="002C5025">
      <w:pPr>
        <w:pStyle w:val="BodyText"/>
        <w:kinsoku w:val="0"/>
        <w:overflowPunct w:val="0"/>
        <w:spacing w:before="8"/>
        <w:rPr>
          <w:rFonts w:ascii="Arial" w:hAnsi="Arial" w:cs="Arial"/>
          <w:sz w:val="21"/>
          <w:szCs w:val="21"/>
        </w:rPr>
      </w:pPr>
    </w:p>
    <w:p w:rsidR="002C5025" w:rsidRDefault="002C5025">
      <w:pPr>
        <w:pStyle w:val="BodyText"/>
        <w:kinsoku w:val="0"/>
        <w:overflowPunct w:val="0"/>
        <w:spacing w:before="1"/>
        <w:ind w:left="113"/>
        <w:jc w:val="both"/>
        <w:rPr>
          <w:rFonts w:ascii="Arial" w:hAnsi="Arial" w:cs="Arial"/>
          <w:b/>
          <w:bCs/>
          <w:sz w:val="26"/>
          <w:szCs w:val="26"/>
        </w:rPr>
      </w:pPr>
      <w:r>
        <w:rPr>
          <w:rFonts w:ascii="Arial" w:hAnsi="Arial" w:cs="Arial"/>
          <w:b/>
          <w:bCs/>
          <w:sz w:val="26"/>
          <w:szCs w:val="26"/>
        </w:rPr>
        <w:t>ACO Total Cost of Care: Cliff Effect Mitigation</w:t>
      </w:r>
    </w:p>
    <w:p w:rsidR="002C5025" w:rsidRDefault="002C5025">
      <w:pPr>
        <w:pStyle w:val="BodyText"/>
        <w:kinsoku w:val="0"/>
        <w:overflowPunct w:val="0"/>
        <w:spacing w:before="2"/>
        <w:ind w:left="113" w:right="108"/>
        <w:jc w:val="both"/>
        <w:rPr>
          <w:rFonts w:ascii="Arial" w:hAnsi="Arial" w:cs="Arial"/>
        </w:rPr>
      </w:pPr>
      <w:r>
        <w:rPr>
          <w:rFonts w:ascii="Arial" w:hAnsi="Arial" w:cs="Arial"/>
        </w:rPr>
        <w:t xml:space="preserve">Relative to BH CP costs and functions, Section 5.4.2.2 of the document states that “Health  Homes funding will taper off in years 3 through 5 of DSRIP with the expectation that the care coordination services will be increasingly supported by the ACO’s total cost of care budget.” In order to mitigate the “sticker shock” and potential financial cliff effect that could impact CP services at the end of year 5, ABH recommends that </w:t>
      </w:r>
      <w:r>
        <w:rPr>
          <w:rFonts w:ascii="Arial" w:hAnsi="Arial" w:cs="Arial"/>
          <w:b/>
          <w:bCs/>
        </w:rPr>
        <w:t xml:space="preserve">the costs of BH CP services for ACO- attributed members be included in each ACO’s total cost of care budget as they come online, </w:t>
      </w:r>
      <w:r>
        <w:rPr>
          <w:rFonts w:ascii="Arial" w:hAnsi="Arial" w:cs="Arial"/>
          <w:b/>
          <w:bCs/>
          <w:u w:val="thick"/>
        </w:rPr>
        <w:t>but excluded from the ACO’s overall accountability</w:t>
      </w:r>
      <w:r>
        <w:rPr>
          <w:rFonts w:ascii="Arial" w:hAnsi="Arial" w:cs="Arial"/>
          <w:b/>
          <w:bCs/>
        </w:rPr>
        <w:t xml:space="preserve">. </w:t>
      </w:r>
      <w:r>
        <w:rPr>
          <w:rFonts w:ascii="Arial" w:hAnsi="Arial" w:cs="Arial"/>
        </w:rPr>
        <w:t>ABH assumes that the costs associated with the ongoing Community Service Area (CSA)-delivered care coordination services will be built into the TCOC budget, as they are included in TCOC calculations now. It may make sense to have these costs excluded from overall accountability during the five-year period, along with the CP costs. This approach will help ensure that ACOs consider how to support CP  functions after DSRIP and Health Homes funding winds down and also builds in consistency in approach.</w:t>
      </w:r>
    </w:p>
    <w:p w:rsidR="002C5025" w:rsidRDefault="002C5025">
      <w:pPr>
        <w:pStyle w:val="BodyText"/>
        <w:kinsoku w:val="0"/>
        <w:overflowPunct w:val="0"/>
        <w:spacing w:before="10"/>
        <w:rPr>
          <w:rFonts w:ascii="Arial" w:hAnsi="Arial" w:cs="Arial"/>
          <w:sz w:val="21"/>
          <w:szCs w:val="21"/>
        </w:rPr>
      </w:pPr>
    </w:p>
    <w:p w:rsidR="002C5025" w:rsidRDefault="002C5025">
      <w:pPr>
        <w:pStyle w:val="BodyText"/>
        <w:kinsoku w:val="0"/>
        <w:overflowPunct w:val="0"/>
        <w:ind w:left="113"/>
        <w:jc w:val="both"/>
        <w:rPr>
          <w:rFonts w:ascii="Arial" w:hAnsi="Arial" w:cs="Arial"/>
          <w:b/>
          <w:bCs/>
          <w:sz w:val="26"/>
          <w:szCs w:val="26"/>
        </w:rPr>
      </w:pPr>
      <w:r>
        <w:rPr>
          <w:rFonts w:ascii="Arial" w:hAnsi="Arial" w:cs="Arial"/>
          <w:b/>
          <w:bCs/>
          <w:sz w:val="26"/>
          <w:szCs w:val="26"/>
        </w:rPr>
        <w:t>Delivery System Reform Incentive Payments (DSRIP): Allocation</w:t>
      </w:r>
    </w:p>
    <w:p w:rsidR="002C5025" w:rsidRDefault="002C5025">
      <w:pPr>
        <w:pStyle w:val="BodyText"/>
        <w:kinsoku w:val="0"/>
        <w:overflowPunct w:val="0"/>
        <w:ind w:left="113" w:right="109"/>
        <w:jc w:val="both"/>
        <w:rPr>
          <w:rFonts w:ascii="Arial" w:hAnsi="Arial" w:cs="Arial"/>
        </w:rPr>
      </w:pPr>
      <w:r>
        <w:rPr>
          <w:rFonts w:ascii="Arial" w:hAnsi="Arial" w:cs="Arial"/>
        </w:rPr>
        <w:t xml:space="preserve">Given the historic underfunding of community-based behavioral healthcare organizations and  their exclusion from many Health Information Technology (HIT) capacity and infrastructure grants and funding, BH CPs are further behind in readiness for systems transformation than hospital systems and health centers. As such, ABH recommends that </w:t>
      </w:r>
      <w:r>
        <w:rPr>
          <w:rFonts w:ascii="Arial" w:hAnsi="Arial" w:cs="Arial"/>
          <w:b/>
          <w:bCs/>
        </w:rPr>
        <w:t xml:space="preserve">approximately 25-30% of DSRIP funds be targeted to BH CPs </w:t>
      </w:r>
      <w:r>
        <w:rPr>
          <w:rFonts w:ascii="Arial" w:hAnsi="Arial" w:cs="Arial"/>
        </w:rPr>
        <w:t>to ensure sufficient investment and readiness as opposed to the 20-25% projected in the waiver</w:t>
      </w:r>
      <w:r>
        <w:rPr>
          <w:rFonts w:ascii="Arial" w:hAnsi="Arial" w:cs="Arial"/>
          <w:spacing w:val="-15"/>
        </w:rPr>
        <w:t xml:space="preserve"> </w:t>
      </w:r>
      <w:r>
        <w:rPr>
          <w:rFonts w:ascii="Arial" w:hAnsi="Arial" w:cs="Arial"/>
        </w:rPr>
        <w:t>proposal.</w:t>
      </w:r>
    </w:p>
    <w:p w:rsidR="002C5025" w:rsidRDefault="002C5025">
      <w:pPr>
        <w:pStyle w:val="BodyText"/>
        <w:kinsoku w:val="0"/>
        <w:overflowPunct w:val="0"/>
        <w:spacing w:before="10"/>
        <w:rPr>
          <w:rFonts w:ascii="Arial" w:hAnsi="Arial" w:cs="Arial"/>
          <w:sz w:val="21"/>
          <w:szCs w:val="21"/>
        </w:rPr>
      </w:pPr>
    </w:p>
    <w:p w:rsidR="002C5025" w:rsidRDefault="002C5025">
      <w:pPr>
        <w:pStyle w:val="BodyText"/>
        <w:kinsoku w:val="0"/>
        <w:overflowPunct w:val="0"/>
        <w:ind w:left="113"/>
        <w:jc w:val="both"/>
        <w:rPr>
          <w:rFonts w:ascii="Arial" w:hAnsi="Arial" w:cs="Arial"/>
          <w:b/>
          <w:bCs/>
          <w:sz w:val="26"/>
          <w:szCs w:val="26"/>
        </w:rPr>
      </w:pPr>
      <w:r>
        <w:rPr>
          <w:rFonts w:ascii="Arial" w:hAnsi="Arial" w:cs="Arial"/>
          <w:b/>
          <w:bCs/>
          <w:sz w:val="26"/>
          <w:szCs w:val="26"/>
        </w:rPr>
        <w:t>DSRIP Funding: Development and Capacity</w:t>
      </w:r>
    </w:p>
    <w:p w:rsidR="002C5025" w:rsidRDefault="002C5025">
      <w:pPr>
        <w:pStyle w:val="BodyText"/>
        <w:kinsoku w:val="0"/>
        <w:overflowPunct w:val="0"/>
        <w:spacing w:before="2"/>
        <w:ind w:left="113" w:right="109"/>
        <w:jc w:val="both"/>
        <w:rPr>
          <w:rFonts w:ascii="Arial" w:hAnsi="Arial" w:cs="Arial"/>
        </w:rPr>
      </w:pPr>
      <w:r>
        <w:rPr>
          <w:rFonts w:ascii="Arial" w:hAnsi="Arial" w:cs="Arial"/>
        </w:rPr>
        <w:t xml:space="preserve">Start-up funding for </w:t>
      </w:r>
      <w:r>
        <w:rPr>
          <w:rFonts w:ascii="Arial" w:hAnsi="Arial" w:cs="Arial"/>
          <w:spacing w:val="-2"/>
        </w:rPr>
        <w:t xml:space="preserve">CPs </w:t>
      </w:r>
      <w:r>
        <w:rPr>
          <w:rFonts w:ascii="Arial" w:hAnsi="Arial" w:cs="Arial"/>
        </w:rPr>
        <w:t xml:space="preserve">will be critical to their success. ABH requests clarification on the availability of infrastructure development and capacity funding for CPs. The document can be  read to suggest that funding is available only on a retrospective basis or that it will be paid  through a per member per month (PMPM) – based on member enrollment. BH CPs will need significant investments in HIT, staffing, performance management, etc. before service delivery can begin.     </w:t>
      </w:r>
      <w:r>
        <w:rPr>
          <w:rFonts w:ascii="Arial" w:hAnsi="Arial" w:cs="Arial"/>
          <w:spacing w:val="57"/>
        </w:rPr>
        <w:t xml:space="preserve"> </w:t>
      </w:r>
      <w:r>
        <w:rPr>
          <w:rFonts w:ascii="Arial" w:hAnsi="Arial" w:cs="Arial"/>
        </w:rPr>
        <w:t>Retrospective funding — or even PMPM funding that starts small – alone will make</w:t>
      </w: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8"/>
        <w:rPr>
          <w:rFonts w:ascii="Arial" w:hAnsi="Arial" w:cs="Arial"/>
          <w:sz w:val="17"/>
          <w:szCs w:val="17"/>
        </w:rPr>
      </w:pPr>
    </w:p>
    <w:p w:rsidR="002C5025" w:rsidRDefault="002C5025">
      <w:pPr>
        <w:pStyle w:val="BodyText"/>
        <w:kinsoku w:val="0"/>
        <w:overflowPunct w:val="0"/>
        <w:spacing w:before="74"/>
        <w:ind w:right="114"/>
        <w:jc w:val="right"/>
        <w:rPr>
          <w:rFonts w:ascii="Arial" w:hAnsi="Arial" w:cs="Arial"/>
          <w:sz w:val="20"/>
          <w:szCs w:val="20"/>
        </w:rPr>
      </w:pPr>
      <w:r>
        <w:rPr>
          <w:rFonts w:ascii="Arial" w:hAnsi="Arial" w:cs="Arial"/>
          <w:sz w:val="20"/>
          <w:szCs w:val="20"/>
        </w:rPr>
        <w:t>Page 13 of 18</w:t>
      </w:r>
    </w:p>
    <w:p w:rsidR="002C5025" w:rsidRDefault="002C5025">
      <w:pPr>
        <w:pStyle w:val="BodyText"/>
        <w:kinsoku w:val="0"/>
        <w:overflowPunct w:val="0"/>
        <w:spacing w:before="74"/>
        <w:ind w:right="114"/>
        <w:jc w:val="right"/>
        <w:rPr>
          <w:rFonts w:ascii="Arial" w:hAnsi="Arial" w:cs="Arial"/>
          <w:sz w:val="20"/>
          <w:szCs w:val="20"/>
        </w:rPr>
        <w:sectPr w:rsidR="002C5025">
          <w:pgSz w:w="12240" w:h="15840"/>
          <w:pgMar w:top="1500" w:right="1240" w:bottom="280" w:left="1240" w:header="720" w:footer="720" w:gutter="0"/>
          <w:cols w:space="720"/>
          <w:noEndnote/>
        </w:sect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9"/>
        <w:rPr>
          <w:rFonts w:ascii="Arial" w:hAnsi="Arial" w:cs="Arial"/>
          <w:sz w:val="18"/>
          <w:szCs w:val="18"/>
        </w:rPr>
      </w:pPr>
    </w:p>
    <w:p w:rsidR="002C5025" w:rsidRDefault="002C5025">
      <w:pPr>
        <w:pStyle w:val="BodyText"/>
        <w:kinsoku w:val="0"/>
        <w:overflowPunct w:val="0"/>
        <w:spacing w:before="73"/>
        <w:ind w:left="113" w:right="112"/>
        <w:jc w:val="both"/>
        <w:rPr>
          <w:rFonts w:ascii="Arial" w:hAnsi="Arial" w:cs="Arial"/>
        </w:rPr>
      </w:pPr>
      <w:r>
        <w:rPr>
          <w:rFonts w:ascii="Arial" w:hAnsi="Arial" w:cs="Arial"/>
        </w:rPr>
        <w:t>this model unworkable. CBHI CSAs suffered from lack of initial start-up funding which the Commonwealth acknowledged and rectified post-implementation by belatedly providing “ramp-up” funding.  It will be important to avoid this same mistake in the establishment of CPs.</w:t>
      </w:r>
    </w:p>
    <w:p w:rsidR="002C5025" w:rsidRDefault="002C5025">
      <w:pPr>
        <w:pStyle w:val="BodyText"/>
        <w:kinsoku w:val="0"/>
        <w:overflowPunct w:val="0"/>
        <w:rPr>
          <w:rFonts w:ascii="Arial" w:hAnsi="Arial" w:cs="Arial"/>
        </w:rPr>
      </w:pPr>
    </w:p>
    <w:p w:rsidR="002C5025" w:rsidRDefault="002C5025">
      <w:pPr>
        <w:pStyle w:val="BodyText"/>
        <w:kinsoku w:val="0"/>
        <w:overflowPunct w:val="0"/>
        <w:ind w:left="113" w:right="108" w:hanging="1"/>
        <w:jc w:val="both"/>
        <w:rPr>
          <w:rFonts w:ascii="Arial" w:hAnsi="Arial" w:cs="Arial"/>
        </w:rPr>
      </w:pPr>
      <w:r>
        <w:rPr>
          <w:rFonts w:ascii="Arial" w:hAnsi="Arial" w:cs="Arial"/>
        </w:rPr>
        <w:t>In addition, ABH requests clarification as to the rationale for requiring BH CPs to submit DSRIP work plans for approval while ACOs do not appear to be subject to a similar requirement.</w:t>
      </w:r>
    </w:p>
    <w:p w:rsidR="002C5025" w:rsidRDefault="002C5025">
      <w:pPr>
        <w:pStyle w:val="BodyText"/>
        <w:kinsoku w:val="0"/>
        <w:overflowPunct w:val="0"/>
        <w:spacing w:before="8"/>
        <w:rPr>
          <w:rFonts w:ascii="Arial" w:hAnsi="Arial" w:cs="Arial"/>
          <w:sz w:val="21"/>
          <w:szCs w:val="21"/>
        </w:rPr>
      </w:pPr>
    </w:p>
    <w:p w:rsidR="002C5025" w:rsidRDefault="002C5025">
      <w:pPr>
        <w:pStyle w:val="BodyText"/>
        <w:kinsoku w:val="0"/>
        <w:overflowPunct w:val="0"/>
        <w:ind w:left="113"/>
        <w:jc w:val="both"/>
        <w:rPr>
          <w:rFonts w:ascii="Arial" w:hAnsi="Arial" w:cs="Arial"/>
          <w:b/>
          <w:bCs/>
          <w:sz w:val="26"/>
          <w:szCs w:val="26"/>
        </w:rPr>
      </w:pPr>
      <w:r>
        <w:rPr>
          <w:rFonts w:ascii="Arial" w:hAnsi="Arial" w:cs="Arial"/>
          <w:b/>
          <w:bCs/>
          <w:sz w:val="26"/>
          <w:szCs w:val="26"/>
        </w:rPr>
        <w:t>DSRIP Funding: Technical Assistance</w:t>
      </w:r>
    </w:p>
    <w:p w:rsidR="002C5025" w:rsidRDefault="002C5025">
      <w:pPr>
        <w:pStyle w:val="BodyText"/>
        <w:kinsoku w:val="0"/>
        <w:overflowPunct w:val="0"/>
        <w:spacing w:before="2"/>
        <w:ind w:left="113" w:right="107"/>
        <w:jc w:val="both"/>
        <w:rPr>
          <w:rFonts w:ascii="Arial" w:hAnsi="Arial" w:cs="Arial"/>
        </w:rPr>
      </w:pPr>
      <w:r>
        <w:rPr>
          <w:rFonts w:ascii="Arial" w:hAnsi="Arial" w:cs="Arial"/>
        </w:rPr>
        <w:t>The proposal states that MassHealth will procure “high quality” vendors that all ACOs and CPs can access and that “providers will be required to contribute 30 percent of the overall TA costs.” ABH believes that this percentage is significantly too high for BH CPs given their current capacity and the proportion of DSRIP funding they are scheduled to receive.  Ten percent is more</w:t>
      </w:r>
      <w:r>
        <w:rPr>
          <w:rFonts w:ascii="Arial" w:hAnsi="Arial" w:cs="Arial"/>
          <w:spacing w:val="-43"/>
        </w:rPr>
        <w:t xml:space="preserve"> </w:t>
      </w:r>
      <w:r>
        <w:rPr>
          <w:rFonts w:ascii="Arial" w:hAnsi="Arial" w:cs="Arial"/>
        </w:rPr>
        <w:t>realistic.</w:t>
      </w:r>
    </w:p>
    <w:p w:rsidR="002C5025" w:rsidRDefault="002C5025">
      <w:pPr>
        <w:pStyle w:val="BodyText"/>
        <w:kinsoku w:val="0"/>
        <w:overflowPunct w:val="0"/>
        <w:spacing w:before="10"/>
        <w:rPr>
          <w:rFonts w:ascii="Arial" w:hAnsi="Arial" w:cs="Arial"/>
          <w:sz w:val="21"/>
          <w:szCs w:val="21"/>
        </w:rPr>
      </w:pPr>
    </w:p>
    <w:p w:rsidR="002C5025" w:rsidRDefault="002C5025">
      <w:pPr>
        <w:pStyle w:val="BodyText"/>
        <w:kinsoku w:val="0"/>
        <w:overflowPunct w:val="0"/>
        <w:ind w:left="113"/>
        <w:jc w:val="both"/>
        <w:rPr>
          <w:rFonts w:ascii="Arial" w:hAnsi="Arial" w:cs="Arial"/>
          <w:b/>
          <w:bCs/>
          <w:sz w:val="26"/>
          <w:szCs w:val="26"/>
        </w:rPr>
      </w:pPr>
      <w:r>
        <w:rPr>
          <w:rFonts w:ascii="Arial" w:hAnsi="Arial" w:cs="Arial"/>
          <w:b/>
          <w:bCs/>
          <w:sz w:val="26"/>
          <w:szCs w:val="26"/>
        </w:rPr>
        <w:t>DSRIP Funding: CSAs</w:t>
      </w:r>
    </w:p>
    <w:p w:rsidR="002C5025" w:rsidRDefault="002C5025">
      <w:pPr>
        <w:pStyle w:val="BodyText"/>
        <w:kinsoku w:val="0"/>
        <w:overflowPunct w:val="0"/>
        <w:spacing w:before="2"/>
        <w:ind w:left="113" w:right="308"/>
        <w:rPr>
          <w:rFonts w:ascii="Arial" w:hAnsi="Arial" w:cs="Arial"/>
        </w:rPr>
      </w:pPr>
      <w:r>
        <w:rPr>
          <w:rFonts w:ascii="Arial" w:hAnsi="Arial" w:cs="Arial"/>
        </w:rPr>
        <w:t>To the extent that a CSA is not a BH CP, the CSA should also be able to access DSRIP funding for the same purposes as the BH CP since their needs will be similar, if not identical.</w:t>
      </w:r>
    </w:p>
    <w:p w:rsidR="002C5025" w:rsidRDefault="002C5025">
      <w:pPr>
        <w:pStyle w:val="BodyText"/>
        <w:kinsoku w:val="0"/>
        <w:overflowPunct w:val="0"/>
        <w:spacing w:before="10"/>
        <w:rPr>
          <w:rFonts w:ascii="Arial" w:hAnsi="Arial" w:cs="Arial"/>
          <w:sz w:val="21"/>
          <w:szCs w:val="21"/>
        </w:rPr>
      </w:pPr>
    </w:p>
    <w:p w:rsidR="002C5025" w:rsidRDefault="002C5025">
      <w:pPr>
        <w:pStyle w:val="BodyText"/>
        <w:kinsoku w:val="0"/>
        <w:overflowPunct w:val="0"/>
        <w:ind w:left="113"/>
        <w:jc w:val="both"/>
        <w:rPr>
          <w:rFonts w:ascii="Arial" w:hAnsi="Arial" w:cs="Arial"/>
          <w:b/>
          <w:bCs/>
          <w:sz w:val="26"/>
          <w:szCs w:val="26"/>
        </w:rPr>
      </w:pPr>
      <w:r>
        <w:rPr>
          <w:rFonts w:ascii="Arial" w:hAnsi="Arial" w:cs="Arial"/>
          <w:b/>
          <w:bCs/>
          <w:sz w:val="26"/>
          <w:szCs w:val="26"/>
        </w:rPr>
        <w:t>ACO Accountability</w:t>
      </w:r>
    </w:p>
    <w:p w:rsidR="002C5025" w:rsidRDefault="002C5025">
      <w:pPr>
        <w:pStyle w:val="BodyText"/>
        <w:kinsoku w:val="0"/>
        <w:overflowPunct w:val="0"/>
        <w:ind w:left="113" w:right="114"/>
        <w:jc w:val="both"/>
        <w:rPr>
          <w:rFonts w:ascii="Arial" w:hAnsi="Arial" w:cs="Arial"/>
        </w:rPr>
      </w:pPr>
      <w:r>
        <w:rPr>
          <w:rFonts w:ascii="Arial" w:hAnsi="Arial" w:cs="Arial"/>
        </w:rPr>
        <w:t>The document indicates in Section 5.3.5 that ACOs will be evaluated annually and receive a composite “DSRIP accountability score” to determine how much of the at-risk DSRIP funds will be released.  This composite score will include:</w:t>
      </w:r>
    </w:p>
    <w:p w:rsidR="002C5025" w:rsidRDefault="002C5025">
      <w:pPr>
        <w:pStyle w:val="BodyText"/>
        <w:kinsoku w:val="0"/>
        <w:overflowPunct w:val="0"/>
        <w:rPr>
          <w:rFonts w:ascii="Arial" w:hAnsi="Arial" w:cs="Arial"/>
        </w:rPr>
      </w:pPr>
    </w:p>
    <w:p w:rsidR="002C5025" w:rsidRDefault="002C5025">
      <w:pPr>
        <w:pStyle w:val="BodyText"/>
        <w:kinsoku w:val="0"/>
        <w:overflowPunct w:val="0"/>
        <w:spacing w:line="352" w:lineRule="auto"/>
        <w:ind w:left="473" w:right="2532"/>
        <w:rPr>
          <w:rFonts w:ascii="Arial" w:hAnsi="Arial" w:cs="Arial"/>
        </w:rPr>
      </w:pPr>
      <w:r>
        <w:rPr>
          <w:rFonts w:ascii="Arial" w:hAnsi="Arial" w:cs="Arial"/>
        </w:rPr>
        <w:t>1.) utilization reduction in avoidable admissions and re-admissions; 2.)  spending reduction;</w:t>
      </w:r>
    </w:p>
    <w:p w:rsidR="002C5025" w:rsidRDefault="002C5025">
      <w:pPr>
        <w:pStyle w:val="BodyText"/>
        <w:kinsoku w:val="0"/>
        <w:overflowPunct w:val="0"/>
        <w:spacing w:before="6"/>
        <w:ind w:left="473" w:right="235"/>
        <w:rPr>
          <w:rFonts w:ascii="Arial" w:hAnsi="Arial" w:cs="Arial"/>
        </w:rPr>
      </w:pPr>
      <w:r>
        <w:rPr>
          <w:rFonts w:ascii="Arial" w:hAnsi="Arial" w:cs="Arial"/>
        </w:rPr>
        <w:t>3.)  quality; and,</w:t>
      </w:r>
    </w:p>
    <w:p w:rsidR="002C5025" w:rsidRDefault="002C5025">
      <w:pPr>
        <w:pStyle w:val="BodyText"/>
        <w:kinsoku w:val="0"/>
        <w:overflowPunct w:val="0"/>
        <w:spacing w:before="119"/>
        <w:ind w:left="473" w:right="235"/>
        <w:rPr>
          <w:rFonts w:ascii="Arial" w:hAnsi="Arial" w:cs="Arial"/>
        </w:rPr>
      </w:pPr>
      <w:r>
        <w:rPr>
          <w:rFonts w:ascii="Arial" w:hAnsi="Arial" w:cs="Arial"/>
        </w:rPr>
        <w:t>4.) progress toward integration, which will include process and outcome measures.</w:t>
      </w:r>
    </w:p>
    <w:p w:rsidR="002C5025" w:rsidRDefault="002C5025">
      <w:pPr>
        <w:pStyle w:val="BodyText"/>
        <w:kinsoku w:val="0"/>
        <w:overflowPunct w:val="0"/>
        <w:rPr>
          <w:rFonts w:ascii="Arial" w:hAnsi="Arial" w:cs="Arial"/>
        </w:rPr>
      </w:pPr>
    </w:p>
    <w:p w:rsidR="002C5025" w:rsidRDefault="002C5025">
      <w:pPr>
        <w:pStyle w:val="BodyText"/>
        <w:kinsoku w:val="0"/>
        <w:overflowPunct w:val="0"/>
        <w:spacing w:before="144"/>
        <w:ind w:left="113" w:right="110"/>
        <w:jc w:val="both"/>
        <w:rPr>
          <w:rFonts w:ascii="Arial" w:hAnsi="Arial" w:cs="Arial"/>
        </w:rPr>
      </w:pPr>
      <w:r>
        <w:rPr>
          <w:rFonts w:ascii="Arial" w:hAnsi="Arial" w:cs="Arial"/>
        </w:rPr>
        <w:t>Relative to specific metrics for at-risk DSRIP funding, the proposal indicates in Section 4.2.2 possible measures for both ACO and BH CPs including “ED utilization rate for SMI/SUD/SED population, percent of BH CP members who receive care from a BH community-based provider, penetration rates for primary and medical care access for members with SMI, SED and/or SUD.” As additional components of the DSRIP accountability score for at-risk DSRIP funding, ABH recommends that ACOs be measured on:</w:t>
      </w:r>
    </w:p>
    <w:p w:rsidR="002C5025" w:rsidRDefault="002C5025">
      <w:pPr>
        <w:pStyle w:val="BodyText"/>
        <w:kinsoku w:val="0"/>
        <w:overflowPunct w:val="0"/>
        <w:spacing w:before="9"/>
        <w:rPr>
          <w:rFonts w:ascii="Arial" w:hAnsi="Arial" w:cs="Arial"/>
          <w:sz w:val="21"/>
          <w:szCs w:val="21"/>
        </w:rPr>
      </w:pPr>
    </w:p>
    <w:p w:rsidR="002C5025" w:rsidRDefault="002C5025">
      <w:pPr>
        <w:pStyle w:val="ListParagraph"/>
        <w:numPr>
          <w:ilvl w:val="0"/>
          <w:numId w:val="88"/>
        </w:numPr>
        <w:tabs>
          <w:tab w:val="left" w:pos="835"/>
        </w:tabs>
        <w:kinsoku w:val="0"/>
        <w:overflowPunct w:val="0"/>
        <w:ind w:left="834" w:right="111" w:hanging="296"/>
        <w:rPr>
          <w:rFonts w:ascii="Arial" w:hAnsi="Arial" w:cs="Arial"/>
          <w:sz w:val="22"/>
          <w:szCs w:val="22"/>
        </w:rPr>
      </w:pPr>
      <w:r>
        <w:rPr>
          <w:rFonts w:ascii="Arial" w:hAnsi="Arial" w:cs="Arial"/>
          <w:sz w:val="22"/>
          <w:szCs w:val="22"/>
        </w:rPr>
        <w:t>the percent of ACO members with BH diagnoses that receive care from community-based providers;</w:t>
      </w:r>
      <w:r>
        <w:rPr>
          <w:rFonts w:ascii="Arial" w:hAnsi="Arial" w:cs="Arial"/>
          <w:spacing w:val="-8"/>
          <w:sz w:val="22"/>
          <w:szCs w:val="22"/>
        </w:rPr>
        <w:t xml:space="preserve"> </w:t>
      </w:r>
      <w:r>
        <w:rPr>
          <w:rFonts w:ascii="Arial" w:hAnsi="Arial" w:cs="Arial"/>
          <w:sz w:val="22"/>
          <w:szCs w:val="22"/>
        </w:rPr>
        <w:t>and,</w:t>
      </w:r>
    </w:p>
    <w:p w:rsidR="002C5025" w:rsidRDefault="002C5025">
      <w:pPr>
        <w:pStyle w:val="ListParagraph"/>
        <w:numPr>
          <w:ilvl w:val="0"/>
          <w:numId w:val="88"/>
        </w:numPr>
        <w:tabs>
          <w:tab w:val="left" w:pos="835"/>
        </w:tabs>
        <w:kinsoku w:val="0"/>
        <w:overflowPunct w:val="0"/>
        <w:spacing w:before="118"/>
        <w:ind w:left="834" w:right="114" w:hanging="360"/>
        <w:rPr>
          <w:rFonts w:ascii="Arial" w:hAnsi="Arial" w:cs="Arial"/>
          <w:sz w:val="22"/>
          <w:szCs w:val="22"/>
        </w:rPr>
      </w:pPr>
      <w:r>
        <w:rPr>
          <w:rFonts w:ascii="Arial" w:hAnsi="Arial" w:cs="Arial"/>
          <w:sz w:val="22"/>
          <w:szCs w:val="22"/>
        </w:rPr>
        <w:t>whether their utilized network includes community-providers that collectively provided 80% of the last 12 months’ non-hospital behavioral health spend for its attributed</w:t>
      </w:r>
      <w:r>
        <w:rPr>
          <w:rFonts w:ascii="Arial" w:hAnsi="Arial" w:cs="Arial"/>
          <w:spacing w:val="-39"/>
          <w:sz w:val="22"/>
          <w:szCs w:val="22"/>
        </w:rPr>
        <w:t xml:space="preserve"> </w:t>
      </w:r>
      <w:r>
        <w:rPr>
          <w:rFonts w:ascii="Arial" w:hAnsi="Arial" w:cs="Arial"/>
          <w:sz w:val="22"/>
          <w:szCs w:val="22"/>
        </w:rPr>
        <w:t>members.</w:t>
      </w:r>
    </w:p>
    <w:p w:rsidR="002C5025" w:rsidRDefault="002C5025">
      <w:pPr>
        <w:pStyle w:val="BodyText"/>
        <w:kinsoku w:val="0"/>
        <w:overflowPunct w:val="0"/>
        <w:spacing w:before="5"/>
        <w:rPr>
          <w:rFonts w:ascii="Arial" w:hAnsi="Arial" w:cs="Arial"/>
          <w:sz w:val="32"/>
          <w:szCs w:val="32"/>
        </w:rPr>
      </w:pPr>
    </w:p>
    <w:p w:rsidR="002C5025" w:rsidRDefault="002C5025">
      <w:pPr>
        <w:pStyle w:val="BodyText"/>
        <w:kinsoku w:val="0"/>
        <w:overflowPunct w:val="0"/>
        <w:ind w:left="114" w:right="110"/>
        <w:jc w:val="both"/>
        <w:rPr>
          <w:rFonts w:ascii="Arial" w:hAnsi="Arial" w:cs="Arial"/>
        </w:rPr>
      </w:pPr>
      <w:r>
        <w:rPr>
          <w:rFonts w:ascii="Arial" w:hAnsi="Arial" w:cs="Arial"/>
        </w:rPr>
        <w:t>These metrics are important not only to measuring progress toward integration but also in monitoring reduction in avoidable inpatient and emergency department utilization.  In addition,  they support MassHealth member satisfaction in maintaining treating relationships during a time  of</w:t>
      </w:r>
      <w:r>
        <w:rPr>
          <w:rFonts w:ascii="Arial" w:hAnsi="Arial" w:cs="Arial"/>
          <w:spacing w:val="-5"/>
        </w:rPr>
        <w:t xml:space="preserve"> </w:t>
      </w:r>
      <w:r>
        <w:rPr>
          <w:rFonts w:ascii="Arial" w:hAnsi="Arial" w:cs="Arial"/>
        </w:rPr>
        <w:t>transition.</w:t>
      </w: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7"/>
        <w:rPr>
          <w:rFonts w:ascii="Arial" w:hAnsi="Arial" w:cs="Arial"/>
          <w:sz w:val="18"/>
          <w:szCs w:val="18"/>
        </w:rPr>
      </w:pPr>
    </w:p>
    <w:p w:rsidR="002C5025" w:rsidRDefault="002C5025">
      <w:pPr>
        <w:pStyle w:val="BodyText"/>
        <w:kinsoku w:val="0"/>
        <w:overflowPunct w:val="0"/>
        <w:spacing w:before="74"/>
        <w:ind w:right="114"/>
        <w:jc w:val="right"/>
        <w:rPr>
          <w:rFonts w:ascii="Arial" w:hAnsi="Arial" w:cs="Arial"/>
          <w:sz w:val="20"/>
          <w:szCs w:val="20"/>
        </w:rPr>
      </w:pPr>
      <w:r>
        <w:rPr>
          <w:rFonts w:ascii="Arial" w:hAnsi="Arial" w:cs="Arial"/>
          <w:sz w:val="20"/>
          <w:szCs w:val="20"/>
        </w:rPr>
        <w:t>Page 14 of 18</w:t>
      </w:r>
    </w:p>
    <w:p w:rsidR="002C5025" w:rsidRDefault="002C5025">
      <w:pPr>
        <w:pStyle w:val="BodyText"/>
        <w:kinsoku w:val="0"/>
        <w:overflowPunct w:val="0"/>
        <w:spacing w:before="74"/>
        <w:ind w:right="114"/>
        <w:jc w:val="right"/>
        <w:rPr>
          <w:rFonts w:ascii="Arial" w:hAnsi="Arial" w:cs="Arial"/>
          <w:sz w:val="20"/>
          <w:szCs w:val="20"/>
        </w:rPr>
        <w:sectPr w:rsidR="002C5025">
          <w:pgSz w:w="12240" w:h="15840"/>
          <w:pgMar w:top="1500" w:right="1240" w:bottom="280" w:left="1240" w:header="720" w:footer="720" w:gutter="0"/>
          <w:cols w:space="720"/>
          <w:noEndnote/>
        </w:sect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9"/>
        <w:rPr>
          <w:rFonts w:ascii="Arial" w:hAnsi="Arial" w:cs="Arial"/>
          <w:sz w:val="18"/>
          <w:szCs w:val="18"/>
        </w:rPr>
      </w:pPr>
    </w:p>
    <w:p w:rsidR="002C5025" w:rsidRDefault="002C5025">
      <w:pPr>
        <w:pStyle w:val="BodyText"/>
        <w:kinsoku w:val="0"/>
        <w:overflowPunct w:val="0"/>
        <w:spacing w:before="73"/>
        <w:ind w:left="113" w:right="111" w:hanging="1"/>
        <w:jc w:val="both"/>
        <w:rPr>
          <w:rFonts w:ascii="Arial" w:hAnsi="Arial" w:cs="Arial"/>
        </w:rPr>
      </w:pPr>
      <w:r>
        <w:rPr>
          <w:rFonts w:ascii="Arial" w:hAnsi="Arial" w:cs="Arial"/>
        </w:rPr>
        <w:t>Regardless of inclusion as an accountability component, ACOs should be required to report on these metrics.</w:t>
      </w:r>
    </w:p>
    <w:p w:rsidR="002C5025" w:rsidRDefault="002C5025">
      <w:pPr>
        <w:pStyle w:val="BodyText"/>
        <w:kinsoku w:val="0"/>
        <w:overflowPunct w:val="0"/>
        <w:spacing w:before="10"/>
        <w:rPr>
          <w:rFonts w:ascii="Arial" w:hAnsi="Arial" w:cs="Arial"/>
          <w:sz w:val="21"/>
          <w:szCs w:val="21"/>
        </w:rPr>
      </w:pPr>
    </w:p>
    <w:p w:rsidR="002C5025" w:rsidRDefault="002C5025">
      <w:pPr>
        <w:pStyle w:val="BodyText"/>
        <w:kinsoku w:val="0"/>
        <w:overflowPunct w:val="0"/>
        <w:ind w:left="113"/>
        <w:jc w:val="both"/>
        <w:rPr>
          <w:rFonts w:ascii="Arial" w:hAnsi="Arial" w:cs="Arial"/>
          <w:b/>
          <w:bCs/>
          <w:sz w:val="26"/>
          <w:szCs w:val="26"/>
        </w:rPr>
      </w:pPr>
      <w:r>
        <w:rPr>
          <w:rFonts w:ascii="Arial" w:hAnsi="Arial" w:cs="Arial"/>
          <w:b/>
          <w:bCs/>
          <w:sz w:val="26"/>
          <w:szCs w:val="26"/>
        </w:rPr>
        <w:t>BH CP Accountability</w:t>
      </w:r>
    </w:p>
    <w:p w:rsidR="002C5025" w:rsidRDefault="002C5025">
      <w:pPr>
        <w:pStyle w:val="BodyText"/>
        <w:kinsoku w:val="0"/>
        <w:overflowPunct w:val="0"/>
        <w:ind w:left="113" w:right="110" w:hanging="1"/>
        <w:jc w:val="both"/>
        <w:rPr>
          <w:rFonts w:ascii="Arial" w:hAnsi="Arial" w:cs="Arial"/>
        </w:rPr>
      </w:pPr>
      <w:r>
        <w:rPr>
          <w:rFonts w:ascii="Arial" w:hAnsi="Arial" w:cs="Arial"/>
        </w:rPr>
        <w:t xml:space="preserve">The document indicates in Section 5.4.5 that “some portion of DSRIP funds will be at risk based on how ACOs and CPs perform on specific quality and/or process metrics.” ABH believes that </w:t>
      </w:r>
      <w:r>
        <w:rPr>
          <w:rFonts w:ascii="Arial" w:hAnsi="Arial" w:cs="Arial"/>
          <w:b/>
          <w:bCs/>
        </w:rPr>
        <w:t xml:space="preserve">downside risk is not initially appropriate for BH CPs </w:t>
      </w:r>
      <w:r>
        <w:rPr>
          <w:rFonts w:ascii="Arial" w:hAnsi="Arial" w:cs="Arial"/>
        </w:rPr>
        <w:t xml:space="preserve">due to decades of historic below-cost funding of community-based services. Even with sorely-needed DSRIP investment, infrastructure and capacity will take time to develop. The </w:t>
      </w:r>
      <w:r>
        <w:rPr>
          <w:rFonts w:ascii="Arial" w:hAnsi="Arial" w:cs="Arial"/>
          <w:b/>
          <w:bCs/>
        </w:rPr>
        <w:t>at-risk component to DSRIP funds should be phased-in over time, beginning no earlier than Year 3</w:t>
      </w:r>
      <w:r>
        <w:rPr>
          <w:rFonts w:ascii="Arial" w:hAnsi="Arial" w:cs="Arial"/>
        </w:rPr>
        <w:t>. Further, the proposal indicates in Section 5.4.5 that a phasing-in of risk will increase to 20% of DSRIP funds. ABH believes this percentage is too high and should be no more than 15%.</w:t>
      </w:r>
    </w:p>
    <w:p w:rsidR="002C5025" w:rsidRDefault="002C5025">
      <w:pPr>
        <w:pStyle w:val="BodyText"/>
        <w:kinsoku w:val="0"/>
        <w:overflowPunct w:val="0"/>
        <w:rPr>
          <w:rFonts w:ascii="Arial" w:hAnsi="Arial" w:cs="Arial"/>
        </w:rPr>
      </w:pPr>
    </w:p>
    <w:p w:rsidR="002C5025" w:rsidRDefault="002C5025">
      <w:pPr>
        <w:pStyle w:val="BodyText"/>
        <w:kinsoku w:val="0"/>
        <w:overflowPunct w:val="0"/>
        <w:ind w:left="114" w:right="108"/>
        <w:jc w:val="both"/>
        <w:rPr>
          <w:rFonts w:ascii="Arial" w:hAnsi="Arial" w:cs="Arial"/>
        </w:rPr>
      </w:pPr>
      <w:r>
        <w:rPr>
          <w:rFonts w:ascii="Arial" w:hAnsi="Arial" w:cs="Arial"/>
        </w:rPr>
        <w:t>The proposal also indicates in Section 5.4.5 that CPs will be evaluated for at-risk DSRIP funding using composite accountability scores that include “process measures, quality measures, and ACO/MCO evaluation of CP performance, with various measures phasing in over time.” ABH has concerns about quality and ACO/MCO performance evaluation given that the BH CP as currently constructed has no ability to pay for flexible services and limited control over managed care authorization processes.</w:t>
      </w:r>
    </w:p>
    <w:p w:rsidR="002C5025" w:rsidRDefault="002C5025">
      <w:pPr>
        <w:pStyle w:val="BodyText"/>
        <w:kinsoku w:val="0"/>
        <w:overflowPunct w:val="0"/>
        <w:spacing w:before="11"/>
        <w:rPr>
          <w:rFonts w:ascii="Arial" w:hAnsi="Arial" w:cs="Arial"/>
          <w:sz w:val="21"/>
          <w:szCs w:val="21"/>
        </w:rPr>
      </w:pPr>
    </w:p>
    <w:p w:rsidR="002C5025" w:rsidRDefault="002C5025">
      <w:pPr>
        <w:pStyle w:val="BodyText"/>
        <w:kinsoku w:val="0"/>
        <w:overflowPunct w:val="0"/>
        <w:spacing w:line="298" w:lineRule="exact"/>
        <w:ind w:left="113"/>
        <w:jc w:val="both"/>
        <w:rPr>
          <w:rFonts w:ascii="Arial" w:hAnsi="Arial" w:cs="Arial"/>
          <w:b/>
          <w:bCs/>
          <w:sz w:val="26"/>
          <w:szCs w:val="26"/>
        </w:rPr>
      </w:pPr>
      <w:r>
        <w:rPr>
          <w:rFonts w:ascii="Arial" w:hAnsi="Arial" w:cs="Arial"/>
          <w:b/>
          <w:bCs/>
          <w:sz w:val="26"/>
          <w:szCs w:val="26"/>
        </w:rPr>
        <w:t>SUD Expansion</w:t>
      </w:r>
    </w:p>
    <w:p w:rsidR="002C5025" w:rsidRDefault="002C5025">
      <w:pPr>
        <w:pStyle w:val="BodyText"/>
        <w:kinsoku w:val="0"/>
        <w:overflowPunct w:val="0"/>
        <w:ind w:left="113" w:right="111"/>
        <w:jc w:val="both"/>
        <w:rPr>
          <w:rFonts w:ascii="Arial" w:hAnsi="Arial" w:cs="Arial"/>
        </w:rPr>
      </w:pPr>
      <w:r>
        <w:rPr>
          <w:rFonts w:ascii="Arial" w:hAnsi="Arial" w:cs="Arial"/>
          <w:b/>
          <w:bCs/>
        </w:rPr>
        <w:t>ABH is extremely pleased about and strongly supports the proposed expansion of SUD services and care coordination and recovery supports</w:t>
      </w:r>
      <w:r>
        <w:rPr>
          <w:rFonts w:ascii="Arial" w:hAnsi="Arial" w:cs="Arial"/>
        </w:rPr>
        <w:t>. This expansion will provide MassHealth members diagnosed with SUD a stronger opportunity to sustain recovery in clinically appropriate, less restrictive settings. In addition, the Commonwealth will benefit from reduced acute care usage. As the document notes, individuals who receive Residential Rehabilitation Services in Massachusetts are less likely to have inpatient and emergency department (ED) usage after treatment than those who do not complete this</w:t>
      </w:r>
      <w:r>
        <w:rPr>
          <w:rFonts w:ascii="Arial" w:hAnsi="Arial" w:cs="Arial"/>
          <w:spacing w:val="-27"/>
        </w:rPr>
        <w:t xml:space="preserve"> </w:t>
      </w:r>
      <w:r>
        <w:rPr>
          <w:rFonts w:ascii="Arial" w:hAnsi="Arial" w:cs="Arial"/>
        </w:rPr>
        <w:t>treatment.</w:t>
      </w:r>
    </w:p>
    <w:p w:rsidR="002C5025" w:rsidRDefault="002C5025">
      <w:pPr>
        <w:pStyle w:val="BodyText"/>
        <w:kinsoku w:val="0"/>
        <w:overflowPunct w:val="0"/>
        <w:rPr>
          <w:rFonts w:ascii="Arial" w:hAnsi="Arial" w:cs="Arial"/>
        </w:rPr>
      </w:pPr>
    </w:p>
    <w:p w:rsidR="002C5025" w:rsidRDefault="002C5025">
      <w:pPr>
        <w:pStyle w:val="BodyText"/>
        <w:kinsoku w:val="0"/>
        <w:overflowPunct w:val="0"/>
        <w:ind w:left="113"/>
        <w:jc w:val="both"/>
        <w:rPr>
          <w:rFonts w:ascii="Arial" w:hAnsi="Arial" w:cs="Arial"/>
        </w:rPr>
      </w:pPr>
      <w:r>
        <w:rPr>
          <w:rFonts w:ascii="Arial" w:hAnsi="Arial" w:cs="Arial"/>
        </w:rPr>
        <w:t>ABH requests clarification and continued dialogue as to the following:</w:t>
      </w:r>
    </w:p>
    <w:p w:rsidR="002C5025" w:rsidRDefault="002C5025">
      <w:pPr>
        <w:pStyle w:val="BodyText"/>
        <w:kinsoku w:val="0"/>
        <w:overflowPunct w:val="0"/>
        <w:spacing w:before="6"/>
        <w:rPr>
          <w:rFonts w:ascii="Arial" w:hAnsi="Arial" w:cs="Arial"/>
          <w:sz w:val="21"/>
          <w:szCs w:val="21"/>
        </w:rPr>
      </w:pPr>
    </w:p>
    <w:p w:rsidR="002C5025" w:rsidRDefault="002C5025">
      <w:pPr>
        <w:pStyle w:val="ListParagraph"/>
        <w:numPr>
          <w:ilvl w:val="0"/>
          <w:numId w:val="88"/>
        </w:numPr>
        <w:tabs>
          <w:tab w:val="left" w:pos="834"/>
        </w:tabs>
        <w:kinsoku w:val="0"/>
        <w:overflowPunct w:val="0"/>
        <w:ind w:right="109" w:hanging="360"/>
        <w:jc w:val="both"/>
        <w:rPr>
          <w:rFonts w:ascii="Arial" w:hAnsi="Arial" w:cs="Arial"/>
          <w:b/>
          <w:bCs/>
          <w:sz w:val="22"/>
          <w:szCs w:val="22"/>
        </w:rPr>
      </w:pPr>
      <w:r>
        <w:rPr>
          <w:rFonts w:ascii="Arial" w:hAnsi="Arial" w:cs="Arial"/>
          <w:b/>
          <w:bCs/>
          <w:sz w:val="22"/>
          <w:szCs w:val="22"/>
        </w:rPr>
        <w:t xml:space="preserve">BSAS Wrap of ASAM Level 3.1 Services. </w:t>
      </w:r>
      <w:r>
        <w:rPr>
          <w:rFonts w:ascii="Arial" w:hAnsi="Arial" w:cs="Arial"/>
          <w:sz w:val="22"/>
          <w:szCs w:val="22"/>
        </w:rPr>
        <w:t xml:space="preserve">It is ABH’s understanding that  the  Department of Public Health will wrap continued Transitional Support Services and Residential Rehabilitation Services around MassHealth members after exhaustion of MassHealth-reimbursed care. </w:t>
      </w:r>
      <w:r>
        <w:rPr>
          <w:rFonts w:ascii="Arial" w:hAnsi="Arial" w:cs="Arial"/>
          <w:b/>
          <w:bCs/>
          <w:sz w:val="22"/>
          <w:szCs w:val="22"/>
        </w:rPr>
        <w:t>The availability of extended services  is  vitally important to many individuals in attaining and maintaining</w:t>
      </w:r>
      <w:r>
        <w:rPr>
          <w:rFonts w:ascii="Arial" w:hAnsi="Arial" w:cs="Arial"/>
          <w:b/>
          <w:bCs/>
          <w:spacing w:val="-27"/>
          <w:sz w:val="22"/>
          <w:szCs w:val="22"/>
        </w:rPr>
        <w:t xml:space="preserve"> </w:t>
      </w:r>
      <w:r>
        <w:rPr>
          <w:rFonts w:ascii="Arial" w:hAnsi="Arial" w:cs="Arial"/>
          <w:b/>
          <w:bCs/>
          <w:sz w:val="22"/>
          <w:szCs w:val="22"/>
        </w:rPr>
        <w:t>recovery.</w:t>
      </w:r>
    </w:p>
    <w:p w:rsidR="002C5025" w:rsidRDefault="002C5025">
      <w:pPr>
        <w:pStyle w:val="BodyText"/>
        <w:kinsoku w:val="0"/>
        <w:overflowPunct w:val="0"/>
        <w:rPr>
          <w:rFonts w:ascii="Arial" w:hAnsi="Arial" w:cs="Arial"/>
          <w:b/>
          <w:bCs/>
        </w:rPr>
      </w:pPr>
    </w:p>
    <w:p w:rsidR="002C5025" w:rsidRDefault="002C5025">
      <w:pPr>
        <w:pStyle w:val="ListParagraph"/>
        <w:numPr>
          <w:ilvl w:val="0"/>
          <w:numId w:val="88"/>
        </w:numPr>
        <w:tabs>
          <w:tab w:val="left" w:pos="834"/>
        </w:tabs>
        <w:kinsoku w:val="0"/>
        <w:overflowPunct w:val="0"/>
        <w:ind w:right="109" w:hanging="360"/>
        <w:jc w:val="both"/>
        <w:rPr>
          <w:rFonts w:ascii="Arial" w:hAnsi="Arial" w:cs="Arial"/>
          <w:sz w:val="22"/>
          <w:szCs w:val="22"/>
        </w:rPr>
      </w:pPr>
      <w:r>
        <w:rPr>
          <w:rFonts w:ascii="Arial" w:hAnsi="Arial" w:cs="Arial"/>
          <w:b/>
          <w:bCs/>
          <w:sz w:val="22"/>
          <w:szCs w:val="22"/>
        </w:rPr>
        <w:t xml:space="preserve">Standardized ASAM-based Assessment. </w:t>
      </w:r>
      <w:r>
        <w:rPr>
          <w:rFonts w:ascii="Arial" w:hAnsi="Arial" w:cs="Arial"/>
          <w:sz w:val="22"/>
          <w:szCs w:val="22"/>
        </w:rPr>
        <w:t>Relative to the standardized ASAM-based assessment tool, ABH requests the opportunity to have further discussion with  MassHealth about the tool.  ABH also recommends that MassHealth integrate this tool  with other assessment and care planning processes associated with the ACO and CP initiative to ensure planning is person-centered and not</w:t>
      </w:r>
      <w:r>
        <w:rPr>
          <w:rFonts w:ascii="Arial" w:hAnsi="Arial" w:cs="Arial"/>
          <w:spacing w:val="-36"/>
          <w:sz w:val="22"/>
          <w:szCs w:val="22"/>
        </w:rPr>
        <w:t xml:space="preserve"> </w:t>
      </w:r>
      <w:r>
        <w:rPr>
          <w:rFonts w:ascii="Arial" w:hAnsi="Arial" w:cs="Arial"/>
          <w:sz w:val="22"/>
          <w:szCs w:val="22"/>
        </w:rPr>
        <w:t>duplicative.</w:t>
      </w:r>
    </w:p>
    <w:p w:rsidR="002C5025" w:rsidRDefault="002C5025">
      <w:pPr>
        <w:pStyle w:val="BodyText"/>
        <w:kinsoku w:val="0"/>
        <w:overflowPunct w:val="0"/>
        <w:spacing w:before="9"/>
        <w:rPr>
          <w:rFonts w:ascii="Arial" w:hAnsi="Arial" w:cs="Arial"/>
          <w:sz w:val="21"/>
          <w:szCs w:val="21"/>
        </w:rPr>
      </w:pPr>
    </w:p>
    <w:p w:rsidR="002C5025" w:rsidRDefault="002C5025">
      <w:pPr>
        <w:pStyle w:val="ListParagraph"/>
        <w:numPr>
          <w:ilvl w:val="0"/>
          <w:numId w:val="88"/>
        </w:numPr>
        <w:tabs>
          <w:tab w:val="left" w:pos="834"/>
        </w:tabs>
        <w:kinsoku w:val="0"/>
        <w:overflowPunct w:val="0"/>
        <w:ind w:right="111" w:hanging="360"/>
        <w:jc w:val="both"/>
        <w:rPr>
          <w:rFonts w:ascii="Arial" w:hAnsi="Arial" w:cs="Arial"/>
          <w:sz w:val="22"/>
          <w:szCs w:val="22"/>
        </w:rPr>
      </w:pPr>
      <w:r>
        <w:rPr>
          <w:rFonts w:ascii="Arial" w:hAnsi="Arial" w:cs="Arial"/>
          <w:b/>
          <w:bCs/>
          <w:sz w:val="22"/>
          <w:szCs w:val="22"/>
        </w:rPr>
        <w:t xml:space="preserve">SUD Workforce. </w:t>
      </w:r>
      <w:r>
        <w:rPr>
          <w:rFonts w:ascii="Arial" w:hAnsi="Arial" w:cs="Arial"/>
          <w:sz w:val="22"/>
          <w:szCs w:val="22"/>
        </w:rPr>
        <w:t>Finally, in Section 7.2.8, the proposal states that “[</w:t>
      </w:r>
      <w:proofErr w:type="spellStart"/>
      <w:r>
        <w:rPr>
          <w:rFonts w:ascii="Arial" w:hAnsi="Arial" w:cs="Arial"/>
          <w:sz w:val="22"/>
          <w:szCs w:val="22"/>
        </w:rPr>
        <w:t>i</w:t>
      </w:r>
      <w:proofErr w:type="spellEnd"/>
      <w:r>
        <w:rPr>
          <w:rFonts w:ascii="Arial" w:hAnsi="Arial" w:cs="Arial"/>
          <w:sz w:val="22"/>
          <w:szCs w:val="22"/>
        </w:rPr>
        <w:t>]n addition to developing the workforce, it will be essential to align financial incentives across the workforce to provide care that treats the whole person.” ABH is unclear as to the meaning of this statement, particularly in relation to the workforce; clarification is</w:t>
      </w:r>
      <w:r>
        <w:rPr>
          <w:rFonts w:ascii="Arial" w:hAnsi="Arial" w:cs="Arial"/>
          <w:spacing w:val="-38"/>
          <w:sz w:val="22"/>
          <w:szCs w:val="22"/>
        </w:rPr>
        <w:t xml:space="preserve"> </w:t>
      </w:r>
      <w:r>
        <w:rPr>
          <w:rFonts w:ascii="Arial" w:hAnsi="Arial" w:cs="Arial"/>
          <w:sz w:val="22"/>
          <w:szCs w:val="22"/>
        </w:rPr>
        <w:t>requested.</w:t>
      </w: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11"/>
        <w:rPr>
          <w:rFonts w:ascii="Arial" w:hAnsi="Arial" w:cs="Arial"/>
          <w:sz w:val="17"/>
          <w:szCs w:val="17"/>
        </w:rPr>
      </w:pPr>
    </w:p>
    <w:p w:rsidR="002C5025" w:rsidRDefault="002C5025">
      <w:pPr>
        <w:pStyle w:val="BodyText"/>
        <w:kinsoku w:val="0"/>
        <w:overflowPunct w:val="0"/>
        <w:spacing w:before="74"/>
        <w:ind w:right="114"/>
        <w:jc w:val="right"/>
        <w:rPr>
          <w:rFonts w:ascii="Arial" w:hAnsi="Arial" w:cs="Arial"/>
          <w:sz w:val="20"/>
          <w:szCs w:val="20"/>
        </w:rPr>
      </w:pPr>
      <w:r>
        <w:rPr>
          <w:rFonts w:ascii="Arial" w:hAnsi="Arial" w:cs="Arial"/>
          <w:sz w:val="20"/>
          <w:szCs w:val="20"/>
        </w:rPr>
        <w:t>Page 15 of 18</w:t>
      </w:r>
    </w:p>
    <w:p w:rsidR="002C5025" w:rsidRDefault="002C5025">
      <w:pPr>
        <w:pStyle w:val="BodyText"/>
        <w:kinsoku w:val="0"/>
        <w:overflowPunct w:val="0"/>
        <w:spacing w:before="74"/>
        <w:ind w:right="114"/>
        <w:jc w:val="right"/>
        <w:rPr>
          <w:rFonts w:ascii="Arial" w:hAnsi="Arial" w:cs="Arial"/>
          <w:sz w:val="20"/>
          <w:szCs w:val="20"/>
        </w:rPr>
        <w:sectPr w:rsidR="002C5025">
          <w:pgSz w:w="12240" w:h="15840"/>
          <w:pgMar w:top="1500" w:right="1240" w:bottom="280" w:left="1240" w:header="720" w:footer="720" w:gutter="0"/>
          <w:cols w:space="720"/>
          <w:noEndnote/>
        </w:sect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1"/>
        <w:rPr>
          <w:rFonts w:ascii="Arial" w:hAnsi="Arial" w:cs="Arial"/>
          <w:sz w:val="21"/>
          <w:szCs w:val="21"/>
        </w:rPr>
      </w:pPr>
    </w:p>
    <w:p w:rsidR="002C5025" w:rsidRDefault="002C5025">
      <w:pPr>
        <w:pStyle w:val="BodyText"/>
        <w:kinsoku w:val="0"/>
        <w:overflowPunct w:val="0"/>
        <w:spacing w:before="66"/>
        <w:ind w:left="113"/>
        <w:jc w:val="both"/>
        <w:rPr>
          <w:rFonts w:ascii="Arial" w:hAnsi="Arial" w:cs="Arial"/>
          <w:b/>
          <w:bCs/>
          <w:sz w:val="26"/>
          <w:szCs w:val="26"/>
        </w:rPr>
      </w:pPr>
      <w:r>
        <w:rPr>
          <w:rFonts w:ascii="Arial" w:hAnsi="Arial" w:cs="Arial"/>
          <w:b/>
          <w:bCs/>
          <w:sz w:val="26"/>
          <w:szCs w:val="26"/>
        </w:rPr>
        <w:t>Member Choice: PCC Plan Benefit and Cost-Sharing Changes</w:t>
      </w:r>
    </w:p>
    <w:p w:rsidR="002C5025" w:rsidRDefault="002C5025">
      <w:pPr>
        <w:pStyle w:val="BodyText"/>
        <w:kinsoku w:val="0"/>
        <w:overflowPunct w:val="0"/>
        <w:spacing w:before="2"/>
        <w:ind w:left="113" w:right="108"/>
        <w:jc w:val="both"/>
        <w:rPr>
          <w:rFonts w:ascii="Arial" w:hAnsi="Arial" w:cs="Arial"/>
        </w:rPr>
      </w:pPr>
      <w:r>
        <w:rPr>
          <w:rFonts w:ascii="Arial" w:hAnsi="Arial" w:cs="Arial"/>
        </w:rPr>
        <w:t xml:space="preserve">ABH supports the proposed elimination of copays for members below 50% FPL. However, </w:t>
      </w:r>
      <w:r>
        <w:rPr>
          <w:rFonts w:ascii="Arial" w:hAnsi="Arial" w:cs="Arial"/>
          <w:spacing w:val="-4"/>
        </w:rPr>
        <w:t>we</w:t>
      </w:r>
      <w:r>
        <w:rPr>
          <w:rFonts w:ascii="Arial" w:hAnsi="Arial" w:cs="Arial"/>
          <w:spacing w:val="53"/>
        </w:rPr>
        <w:t xml:space="preserve"> </w:t>
      </w:r>
      <w:r>
        <w:rPr>
          <w:rFonts w:ascii="Arial" w:hAnsi="Arial" w:cs="Arial"/>
        </w:rPr>
        <w:t xml:space="preserve">join our colleagues at Health Care For All in </w:t>
      </w:r>
      <w:r>
        <w:rPr>
          <w:rFonts w:ascii="Arial" w:hAnsi="Arial" w:cs="Arial"/>
          <w:b/>
          <w:bCs/>
        </w:rPr>
        <w:t>opposition to proposed increases to copays and benefit eliminations within the Primary Care Clinician Plan, which will disproportionately impact individuals with disabilities and those with complex care needs</w:t>
      </w:r>
      <w:r>
        <w:rPr>
          <w:rFonts w:ascii="Arial" w:hAnsi="Arial" w:cs="Arial"/>
        </w:rPr>
        <w:t>. Members should be encouraged to participate in managed care options which best meets their individual healthcare needs.</w:t>
      </w:r>
    </w:p>
    <w:p w:rsidR="002C5025" w:rsidRDefault="002C5025">
      <w:pPr>
        <w:pStyle w:val="BodyText"/>
        <w:kinsoku w:val="0"/>
        <w:overflowPunct w:val="0"/>
        <w:spacing w:before="4"/>
        <w:rPr>
          <w:rFonts w:ascii="Arial" w:hAnsi="Arial" w:cs="Arial"/>
        </w:rPr>
      </w:pPr>
    </w:p>
    <w:p w:rsidR="002C5025" w:rsidRDefault="002C5025">
      <w:pPr>
        <w:pStyle w:val="BodyText"/>
        <w:kinsoku w:val="0"/>
        <w:overflowPunct w:val="0"/>
        <w:spacing w:line="235" w:lineRule="auto"/>
        <w:ind w:left="113" w:right="108"/>
        <w:jc w:val="both"/>
        <w:rPr>
          <w:rFonts w:ascii="Arial" w:hAnsi="Arial" w:cs="Arial"/>
        </w:rPr>
      </w:pPr>
      <w:r>
        <w:rPr>
          <w:rFonts w:ascii="Arial" w:hAnsi="Arial" w:cs="Arial"/>
        </w:rPr>
        <w:t>As the Massachusetts Medicaid Policy Institute recently noted, “MassHealth members with disabilities and other medically complex care needs are disproportionately represented in the Primary Care Clinician (PCC) Plan” when compared to the MCOs.</w:t>
      </w:r>
      <w:hyperlink w:anchor="bookmark13" w:history="1">
        <w:r>
          <w:rPr>
            <w:rFonts w:ascii="Arial" w:hAnsi="Arial" w:cs="Arial"/>
            <w:position w:val="10"/>
            <w:sz w:val="14"/>
            <w:szCs w:val="14"/>
          </w:rPr>
          <w:t>14</w:t>
        </w:r>
      </w:hyperlink>
      <w:r>
        <w:rPr>
          <w:rFonts w:ascii="Arial" w:hAnsi="Arial" w:cs="Arial"/>
          <w:position w:val="10"/>
          <w:sz w:val="14"/>
          <w:szCs w:val="14"/>
        </w:rPr>
        <w:t xml:space="preserve"> </w:t>
      </w:r>
      <w:r>
        <w:rPr>
          <w:rFonts w:ascii="Arial" w:hAnsi="Arial" w:cs="Arial"/>
        </w:rPr>
        <w:t xml:space="preserve">The report further notes “adults and children with disabilities represent more than double the proportion of the PCC population as their counterparts in the </w:t>
      </w:r>
      <w:r>
        <w:rPr>
          <w:rFonts w:ascii="Arial" w:hAnsi="Arial" w:cs="Arial"/>
          <w:spacing w:val="-2"/>
        </w:rPr>
        <w:t xml:space="preserve">MCO </w:t>
      </w:r>
      <w:r>
        <w:rPr>
          <w:rFonts w:ascii="Arial" w:hAnsi="Arial" w:cs="Arial"/>
        </w:rPr>
        <w:t>program.” The PCC Plan has been an appropriate preference for many MassHealth members with behavioral healthcare needs. The measures proposed will unfairly force a particularly vulnerable population into a terrible dilemma. These members should not have to choose between seeing their preferred providers and securing needed eyeglasses and hearing aids. Further, while copays are styled as “nominal,” research shows that “premiums and cost sharing can act as barriers in obtaining, maintaining and accessing health coverage and health care services, particularly for individuals with low incomes and significant health care needs.”</w:t>
      </w:r>
      <w:hyperlink w:anchor="bookmark14" w:history="1">
        <w:r>
          <w:rPr>
            <w:rFonts w:ascii="Arial" w:hAnsi="Arial" w:cs="Arial"/>
            <w:position w:val="10"/>
            <w:sz w:val="14"/>
            <w:szCs w:val="14"/>
          </w:rPr>
          <w:t>15</w:t>
        </w:r>
      </w:hyperlink>
      <w:r>
        <w:rPr>
          <w:rFonts w:ascii="Arial" w:hAnsi="Arial" w:cs="Arial"/>
          <w:position w:val="10"/>
          <w:sz w:val="14"/>
          <w:szCs w:val="14"/>
        </w:rPr>
        <w:t xml:space="preserve"> </w:t>
      </w:r>
      <w:r>
        <w:rPr>
          <w:rFonts w:ascii="Arial" w:hAnsi="Arial" w:cs="Arial"/>
        </w:rPr>
        <w:t>In addition, copays in many instances will likely manifest as bad debt to providers unable to collect them from the low-income individuals they</w:t>
      </w:r>
      <w:r>
        <w:rPr>
          <w:rFonts w:ascii="Arial" w:hAnsi="Arial" w:cs="Arial"/>
          <w:spacing w:val="-40"/>
        </w:rPr>
        <w:t xml:space="preserve"> </w:t>
      </w:r>
      <w:r>
        <w:rPr>
          <w:rFonts w:ascii="Arial" w:hAnsi="Arial" w:cs="Arial"/>
        </w:rPr>
        <w:t>serve.</w:t>
      </w:r>
    </w:p>
    <w:p w:rsidR="002C5025" w:rsidRDefault="002C5025">
      <w:pPr>
        <w:pStyle w:val="BodyText"/>
        <w:kinsoku w:val="0"/>
        <w:overflowPunct w:val="0"/>
        <w:spacing w:before="1"/>
        <w:rPr>
          <w:rFonts w:ascii="Arial" w:hAnsi="Arial" w:cs="Arial"/>
        </w:rPr>
      </w:pPr>
    </w:p>
    <w:p w:rsidR="002C5025" w:rsidRDefault="002C5025">
      <w:pPr>
        <w:pStyle w:val="BodyText"/>
        <w:kinsoku w:val="0"/>
        <w:overflowPunct w:val="0"/>
        <w:ind w:left="113" w:right="112"/>
        <w:jc w:val="both"/>
        <w:rPr>
          <w:rFonts w:ascii="Arial" w:hAnsi="Arial" w:cs="Arial"/>
        </w:rPr>
      </w:pPr>
      <w:r>
        <w:rPr>
          <w:rFonts w:ascii="Arial" w:hAnsi="Arial" w:cs="Arial"/>
        </w:rPr>
        <w:t xml:space="preserve">Finally, the request document states in Section 4.4 that “MassHealth will also expand the list of services to which copayments may apply.” </w:t>
      </w:r>
      <w:r>
        <w:rPr>
          <w:rFonts w:ascii="Arial" w:hAnsi="Arial" w:cs="Arial"/>
          <w:b/>
          <w:bCs/>
        </w:rPr>
        <w:t>ABH strongly opposes new copays for behavioral healthcare services</w:t>
      </w:r>
      <w:r>
        <w:rPr>
          <w:rFonts w:ascii="Arial" w:hAnsi="Arial" w:cs="Arial"/>
        </w:rPr>
        <w:t>. There are numerous barriers to accessing appropriate levels of behavioral healthcare services, including prior authorization and administrative barriers, siloed care, and stigma.  Any additional barriers will impede care access by the individual.</w:t>
      </w:r>
    </w:p>
    <w:p w:rsidR="002C5025" w:rsidRDefault="002C5025">
      <w:pPr>
        <w:pStyle w:val="BodyText"/>
        <w:kinsoku w:val="0"/>
        <w:overflowPunct w:val="0"/>
        <w:spacing w:before="10"/>
        <w:rPr>
          <w:rFonts w:ascii="Arial" w:hAnsi="Arial" w:cs="Arial"/>
          <w:sz w:val="21"/>
          <w:szCs w:val="21"/>
        </w:rPr>
      </w:pPr>
    </w:p>
    <w:p w:rsidR="002C5025" w:rsidRDefault="002C5025">
      <w:pPr>
        <w:pStyle w:val="BodyText"/>
        <w:kinsoku w:val="0"/>
        <w:overflowPunct w:val="0"/>
        <w:spacing w:before="1"/>
        <w:ind w:left="113"/>
        <w:jc w:val="both"/>
        <w:rPr>
          <w:rFonts w:ascii="Arial" w:hAnsi="Arial" w:cs="Arial"/>
          <w:b/>
          <w:bCs/>
          <w:sz w:val="26"/>
          <w:szCs w:val="26"/>
        </w:rPr>
      </w:pPr>
      <w:r>
        <w:rPr>
          <w:rFonts w:ascii="Arial" w:hAnsi="Arial" w:cs="Arial"/>
          <w:b/>
          <w:bCs/>
          <w:sz w:val="26"/>
          <w:szCs w:val="26"/>
        </w:rPr>
        <w:t>Emergency Services Programs and ED Boarding</w:t>
      </w:r>
    </w:p>
    <w:p w:rsidR="002C5025" w:rsidRDefault="002C5025">
      <w:pPr>
        <w:pStyle w:val="BodyText"/>
        <w:kinsoku w:val="0"/>
        <w:overflowPunct w:val="0"/>
        <w:spacing w:before="2" w:line="237" w:lineRule="auto"/>
        <w:ind w:left="113" w:right="103"/>
        <w:jc w:val="both"/>
        <w:rPr>
          <w:rFonts w:ascii="Arial" w:hAnsi="Arial" w:cs="Arial"/>
        </w:rPr>
      </w:pPr>
      <w:r>
        <w:rPr>
          <w:rFonts w:ascii="Arial" w:hAnsi="Arial" w:cs="Arial"/>
        </w:rPr>
        <w:t xml:space="preserve">MassHealth data clearly show that community-based Emergency Services Programs (ESPs) divert individuals from Emergency Departments (EDs) and inpatient admissions and do so at a rate greater than hospitals </w:t>
      </w:r>
      <w:r>
        <w:rPr>
          <w:rFonts w:ascii="Arial" w:hAnsi="Arial" w:cs="Arial"/>
          <w:sz w:val="24"/>
          <w:szCs w:val="24"/>
        </w:rPr>
        <w:t>that are subcontracted with their ESPs to conduct crisis assessments themselves</w:t>
      </w:r>
      <w:r>
        <w:rPr>
          <w:rFonts w:ascii="Arial" w:hAnsi="Arial" w:cs="Arial"/>
        </w:rPr>
        <w:t xml:space="preserve">. Because of the significant focus on reducing avoidable ED use and hospitalizations, </w:t>
      </w:r>
      <w:r>
        <w:rPr>
          <w:rFonts w:ascii="Arial" w:hAnsi="Arial" w:cs="Arial"/>
          <w:b/>
          <w:bCs/>
        </w:rPr>
        <w:t xml:space="preserve">each </w:t>
      </w:r>
      <w:r>
        <w:rPr>
          <w:rFonts w:ascii="Arial" w:hAnsi="Arial" w:cs="Arial"/>
          <w:b/>
          <w:bCs/>
          <w:spacing w:val="-2"/>
        </w:rPr>
        <w:t xml:space="preserve">ACO </w:t>
      </w:r>
      <w:r>
        <w:rPr>
          <w:rFonts w:ascii="Arial" w:hAnsi="Arial" w:cs="Arial"/>
          <w:b/>
          <w:bCs/>
        </w:rPr>
        <w:t xml:space="preserve">should be required to utilize the Emergency Service Program(s) that operate within the ACO’s catchment area(s). </w:t>
      </w:r>
      <w:r>
        <w:rPr>
          <w:rFonts w:ascii="Arial" w:hAnsi="Arial" w:cs="Arial"/>
        </w:rPr>
        <w:t>This is consistent with MassHealth’s Pilot ACO RFR which requires ACOs to “[f]</w:t>
      </w:r>
      <w:proofErr w:type="spellStart"/>
      <w:r>
        <w:rPr>
          <w:rFonts w:ascii="Arial" w:hAnsi="Arial" w:cs="Arial"/>
        </w:rPr>
        <w:t>acilitate</w:t>
      </w:r>
      <w:proofErr w:type="spellEnd"/>
      <w:r>
        <w:rPr>
          <w:rFonts w:ascii="Arial" w:hAnsi="Arial" w:cs="Arial"/>
        </w:rPr>
        <w:t xml:space="preserve"> Attributed Members’ immediate and unrestricted access to Emergency Services Program and Mobile Crisis Intervention services at hospital emergency departments and in the community, 24 hours a day, seven days a week.”</w:t>
      </w:r>
      <w:hyperlink w:anchor="bookmark15" w:history="1">
        <w:r>
          <w:rPr>
            <w:rFonts w:ascii="Arial" w:hAnsi="Arial" w:cs="Arial"/>
            <w:position w:val="10"/>
            <w:sz w:val="14"/>
            <w:szCs w:val="14"/>
          </w:rPr>
          <w:t>16</w:t>
        </w:r>
      </w:hyperlink>
      <w:r>
        <w:rPr>
          <w:rFonts w:ascii="Arial" w:hAnsi="Arial" w:cs="Arial"/>
          <w:position w:val="10"/>
          <w:sz w:val="14"/>
          <w:szCs w:val="14"/>
        </w:rPr>
        <w:t xml:space="preserve"> </w:t>
      </w:r>
      <w:r>
        <w:rPr>
          <w:rFonts w:ascii="Arial" w:hAnsi="Arial" w:cs="Arial"/>
        </w:rPr>
        <w:t xml:space="preserve">EOHHS and MassHealth should consider ways to strengthen ACO-ESP partnerships as it seeks ways to address the ED boarding crisis. Section 5.5.4 indicates that some DSRIP funding may be available  to  address  ED  boarding.    ABH  believes  that  the  service  models  considered   </w:t>
      </w:r>
      <w:r>
        <w:rPr>
          <w:rFonts w:ascii="Arial" w:hAnsi="Arial" w:cs="Arial"/>
          <w:spacing w:val="58"/>
        </w:rPr>
        <w:t xml:space="preserve"> </w:t>
      </w:r>
      <w:r>
        <w:rPr>
          <w:rFonts w:ascii="Arial" w:hAnsi="Arial" w:cs="Arial"/>
        </w:rPr>
        <w:t>for</w:t>
      </w:r>
    </w:p>
    <w:p w:rsidR="002C5025" w:rsidRDefault="002C5025">
      <w:pPr>
        <w:pStyle w:val="BodyText"/>
        <w:kinsoku w:val="0"/>
        <w:overflowPunct w:val="0"/>
        <w:rPr>
          <w:rFonts w:ascii="Arial" w:hAnsi="Arial" w:cs="Arial"/>
          <w:sz w:val="20"/>
          <w:szCs w:val="20"/>
        </w:rPr>
      </w:pPr>
    </w:p>
    <w:p w:rsidR="002C5025" w:rsidRDefault="00FB027C">
      <w:pPr>
        <w:pStyle w:val="BodyText"/>
        <w:kinsoku w:val="0"/>
        <w:overflowPunct w:val="0"/>
        <w:spacing w:before="9"/>
        <w:rPr>
          <w:rFonts w:ascii="Arial" w:hAnsi="Arial" w:cs="Arial"/>
          <w:sz w:val="16"/>
          <w:szCs w:val="16"/>
        </w:rPr>
      </w:pPr>
      <w:r>
        <w:rPr>
          <w:noProof/>
        </w:rPr>
        <mc:AlternateContent>
          <mc:Choice Requires="wps">
            <w:drawing>
              <wp:anchor distT="0" distB="0" distL="0" distR="0" simplePos="0" relativeHeight="251508224" behindDoc="0" locked="0" layoutInCell="0" allowOverlap="1">
                <wp:simplePos x="0" y="0"/>
                <wp:positionH relativeFrom="page">
                  <wp:posOffset>859155</wp:posOffset>
                </wp:positionH>
                <wp:positionV relativeFrom="paragraph">
                  <wp:posOffset>151130</wp:posOffset>
                </wp:positionV>
                <wp:extent cx="1828800" cy="12700"/>
                <wp:effectExtent l="0" t="0" r="0" b="0"/>
                <wp:wrapTopAndBottom/>
                <wp:docPr id="886" name="Freeform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w 2880"/>
                            <a:gd name="T1" fmla="*/ 0 h 20"/>
                            <a:gd name="T2" fmla="*/ 2880 w 2880"/>
                            <a:gd name="T3" fmla="*/ 0 h 20"/>
                          </a:gdLst>
                          <a:ahLst/>
                          <a:cxnLst>
                            <a:cxn ang="0">
                              <a:pos x="T0" y="T1"/>
                            </a:cxn>
                            <a:cxn ang="0">
                              <a:pos x="T2" y="T3"/>
                            </a:cxn>
                          </a:cxnLst>
                          <a:rect l="0" t="0" r="r" b="b"/>
                          <a:pathLst>
                            <a:path w="2880" h="20">
                              <a:moveTo>
                                <a:pt x="0" y="0"/>
                              </a:moveTo>
                              <a:lnTo>
                                <a:pt x="2880"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39" o:spid="_x0000_s1026" style="position:absolute;z-index:251508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67.65pt,11.9pt,211.65pt,11.9pt" coordsize="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" o:allowincell="f" filled="f" strokeweight=".21164mm">
                <v:path arrowok="t" o:connecttype="custom" o:connectlocs="0,0;1828800,0" o:connectangles="0,0"/>
                <w10:wrap type="topAndBottom" anchorx="page"/>
              </v:polyline>
            </w:pict>
          </mc:Fallback>
        </mc:AlternateContent>
      </w:r>
    </w:p>
    <w:bookmarkStart w:id="50" w:name="bookmark13"/>
    <w:bookmarkEnd w:id="50"/>
    <w:p w:rsidR="002C5025" w:rsidRDefault="002C5025">
      <w:pPr>
        <w:pStyle w:val="BodyText"/>
        <w:kinsoku w:val="0"/>
        <w:overflowPunct w:val="0"/>
        <w:spacing w:before="58" w:line="220" w:lineRule="auto"/>
        <w:ind w:left="113" w:right="235"/>
        <w:rPr>
          <w:rFonts w:ascii="Arial" w:hAnsi="Arial" w:cs="Arial"/>
          <w:color w:val="000000"/>
          <w:sz w:val="18"/>
          <w:szCs w:val="18"/>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"http://bluecrossmafoundation.org/publication/updated-masshealth-basics-june-2016" </w:instrText>
      </w:r>
      <w:r>
        <w:rPr>
          <w:rFonts w:ascii="Times New Roman" w:hAnsi="Times New Roman" w:cs="Times New Roman"/>
          <w:sz w:val="24"/>
          <w:szCs w:val="24"/>
        </w:rPr>
        <w:fldChar w:fldCharType="separate"/>
      </w:r>
      <w:r>
        <w:rPr>
          <w:rFonts w:ascii="Arial" w:hAnsi="Arial" w:cs="Arial"/>
          <w:position w:val="9"/>
          <w:sz w:val="12"/>
          <w:szCs w:val="12"/>
        </w:rPr>
        <w:t>14</w:t>
      </w:r>
      <w:r>
        <w:rPr>
          <w:rFonts w:ascii="Arial" w:hAnsi="Arial" w:cs="Arial"/>
          <w:i/>
          <w:iCs/>
          <w:color w:val="0000FF"/>
          <w:sz w:val="18"/>
          <w:szCs w:val="18"/>
        </w:rPr>
        <w:t>MassHealth: The Basics. Facts and Trends</w:t>
      </w:r>
      <w:r>
        <w:rPr>
          <w:rFonts w:ascii="Arial" w:hAnsi="Arial" w:cs="Arial"/>
          <w:color w:val="000000"/>
          <w:sz w:val="18"/>
          <w:szCs w:val="18"/>
        </w:rPr>
        <w:t>.</w:t>
      </w:r>
      <w:r>
        <w:rPr>
          <w:rFonts w:ascii="Times New Roman" w:hAnsi="Times New Roman" w:cs="Times New Roman"/>
          <w:sz w:val="24"/>
          <w:szCs w:val="24"/>
        </w:rPr>
        <w:fldChar w:fldCharType="end"/>
      </w:r>
      <w:r>
        <w:rPr>
          <w:rFonts w:ascii="Arial" w:hAnsi="Arial" w:cs="Arial"/>
          <w:color w:val="000000"/>
          <w:sz w:val="18"/>
          <w:szCs w:val="18"/>
        </w:rPr>
        <w:t xml:space="preserve"> Updated June 2016. Massachusetts Medicaid Policy Institute (MMPI). </w:t>
      </w:r>
      <w:bookmarkStart w:id="51" w:name="bookmark14"/>
      <w:bookmarkEnd w:id="51"/>
      <w:r>
        <w:rPr>
          <w:rFonts w:ascii="Arial" w:hAnsi="Arial" w:cs="Arial"/>
          <w:color w:val="000000"/>
          <w:sz w:val="18"/>
          <w:szCs w:val="18"/>
        </w:rPr>
        <w:fldChar w:fldCharType="begin"/>
      </w:r>
      <w:r>
        <w:rPr>
          <w:rFonts w:ascii="Arial" w:hAnsi="Arial" w:cs="Arial"/>
          <w:color w:val="000000"/>
          <w:sz w:val="18"/>
          <w:szCs w:val="18"/>
        </w:rPr>
        <w:instrText xml:space="preserve"> HYPERLINK "https://kaiserfamilyfoundation.files.wordpress.com/2013/02/8417-premiums-and-cost-sharing-in-medicaid.pdf" </w:instrText>
      </w:r>
      <w:r>
        <w:rPr>
          <w:rFonts w:ascii="Arial" w:hAnsi="Arial" w:cs="Arial"/>
          <w:color w:val="000000"/>
          <w:sz w:val="18"/>
          <w:szCs w:val="18"/>
        </w:rPr>
        <w:fldChar w:fldCharType="separate"/>
      </w:r>
      <w:r>
        <w:rPr>
          <w:rFonts w:ascii="Arial" w:hAnsi="Arial" w:cs="Arial"/>
          <w:color w:val="000000"/>
          <w:position w:val="9"/>
          <w:sz w:val="12"/>
          <w:szCs w:val="12"/>
        </w:rPr>
        <w:t>15</w:t>
      </w:r>
      <w:r>
        <w:rPr>
          <w:rFonts w:ascii="Arial" w:hAnsi="Arial" w:cs="Arial"/>
          <w:color w:val="0000FF"/>
          <w:sz w:val="18"/>
          <w:szCs w:val="18"/>
        </w:rPr>
        <w:t>Premiums and Cost-Sharing in Medicaid: A Review of Research Findings</w:t>
      </w:r>
      <w:r>
        <w:rPr>
          <w:rFonts w:ascii="Arial" w:hAnsi="Arial" w:cs="Arial"/>
          <w:color w:val="000000"/>
          <w:sz w:val="18"/>
          <w:szCs w:val="18"/>
        </w:rPr>
        <w:t>.</w:t>
      </w:r>
      <w:r>
        <w:rPr>
          <w:rFonts w:ascii="Arial" w:hAnsi="Arial" w:cs="Arial"/>
          <w:color w:val="000000"/>
          <w:sz w:val="18"/>
          <w:szCs w:val="18"/>
        </w:rPr>
        <w:fldChar w:fldCharType="end"/>
      </w:r>
      <w:r>
        <w:rPr>
          <w:rFonts w:ascii="Arial" w:hAnsi="Arial" w:cs="Arial"/>
          <w:color w:val="000000"/>
          <w:sz w:val="18"/>
          <w:szCs w:val="18"/>
        </w:rPr>
        <w:t xml:space="preserve"> February 2013. Kaiser Commission on Medicaid and the Uninsured (summarizing research on the impact of Medicaid premiums and copays on coverage,</w:t>
      </w:r>
    </w:p>
    <w:p w:rsidR="002C5025" w:rsidRDefault="00FB027C">
      <w:pPr>
        <w:pStyle w:val="BodyText"/>
        <w:kinsoku w:val="0"/>
        <w:overflowPunct w:val="0"/>
        <w:spacing w:before="5" w:line="190" w:lineRule="exact"/>
        <w:ind w:left="113" w:right="235"/>
        <w:rPr>
          <w:rFonts w:ascii="Arial" w:hAnsi="Arial" w:cs="Arial"/>
          <w:sz w:val="18"/>
          <w:szCs w:val="18"/>
        </w:rPr>
      </w:pPr>
      <w:r>
        <w:rPr>
          <w:noProof/>
        </w:rPr>
        <mc:AlternateContent>
          <mc:Choice Requires="wps">
            <w:drawing>
              <wp:anchor distT="0" distB="0" distL="114300" distR="114300" simplePos="0" relativeHeight="251509248" behindDoc="1" locked="0" layoutInCell="0" allowOverlap="1">
                <wp:simplePos x="0" y="0"/>
                <wp:positionH relativeFrom="page">
                  <wp:posOffset>944880</wp:posOffset>
                </wp:positionH>
                <wp:positionV relativeFrom="paragraph">
                  <wp:posOffset>-269240</wp:posOffset>
                </wp:positionV>
                <wp:extent cx="2186940" cy="12700"/>
                <wp:effectExtent l="0" t="0" r="0" b="0"/>
                <wp:wrapNone/>
                <wp:docPr id="885" name="Freeform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86940" cy="12700"/>
                        </a:xfrm>
                        <a:custGeom>
                          <a:avLst/>
                          <a:gdLst>
                            <a:gd name="T0" fmla="*/ 0 w 3444"/>
                            <a:gd name="T1" fmla="*/ 0 h 20"/>
                            <a:gd name="T2" fmla="*/ 3444 w 3444"/>
                            <a:gd name="T3" fmla="*/ 0 h 20"/>
                          </a:gdLst>
                          <a:ahLst/>
                          <a:cxnLst>
                            <a:cxn ang="0">
                              <a:pos x="T0" y="T1"/>
                            </a:cxn>
                            <a:cxn ang="0">
                              <a:pos x="T2" y="T3"/>
                            </a:cxn>
                          </a:cxnLst>
                          <a:rect l="0" t="0" r="r" b="b"/>
                          <a:pathLst>
                            <a:path w="3444" h="20">
                              <a:moveTo>
                                <a:pt x="0" y="0"/>
                              </a:moveTo>
                              <a:lnTo>
                                <a:pt x="3444" y="0"/>
                              </a:lnTo>
                            </a:path>
                          </a:pathLst>
                        </a:custGeom>
                        <a:noFill/>
                        <a:ln w="7619">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40" o:spid="_x0000_s1026" style="position:absolute;z-index:-251807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74.4pt,-21.2pt,246.6pt,-21.2pt" coordsize="34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" o:allowincell="f" filled="f" strokecolor="blue" strokeweight=".21164mm">
                <v:path arrowok="t" o:connecttype="custom" o:connectlocs="0,0;2186940,0" o:connectangles="0,0"/>
                <w10:wrap anchorx="page"/>
              </v:polyline>
            </w:pict>
          </mc:Fallback>
        </mc:AlternateContent>
      </w:r>
      <w:r>
        <w:rPr>
          <w:noProof/>
        </w:rPr>
        <mc:AlternateContent>
          <mc:Choice Requires="wps">
            <w:drawing>
              <wp:anchor distT="0" distB="0" distL="114300" distR="114300" simplePos="0" relativeHeight="251510272" behindDoc="1" locked="0" layoutInCell="0" allowOverlap="1">
                <wp:simplePos x="0" y="0"/>
                <wp:positionH relativeFrom="page">
                  <wp:posOffset>944880</wp:posOffset>
                </wp:positionH>
                <wp:positionV relativeFrom="paragraph">
                  <wp:posOffset>-137160</wp:posOffset>
                </wp:positionV>
                <wp:extent cx="3705225" cy="12700"/>
                <wp:effectExtent l="0" t="0" r="0" b="0"/>
                <wp:wrapNone/>
                <wp:docPr id="884" name="Freeform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5225" cy="12700"/>
                        </a:xfrm>
                        <a:custGeom>
                          <a:avLst/>
                          <a:gdLst>
                            <a:gd name="T0" fmla="*/ 0 w 5835"/>
                            <a:gd name="T1" fmla="*/ 0 h 20"/>
                            <a:gd name="T2" fmla="*/ 5834 w 5835"/>
                            <a:gd name="T3" fmla="*/ 0 h 20"/>
                          </a:gdLst>
                          <a:ahLst/>
                          <a:cxnLst>
                            <a:cxn ang="0">
                              <a:pos x="T0" y="T1"/>
                            </a:cxn>
                            <a:cxn ang="0">
                              <a:pos x="T2" y="T3"/>
                            </a:cxn>
                          </a:cxnLst>
                          <a:rect l="0" t="0" r="r" b="b"/>
                          <a:pathLst>
                            <a:path w="5835" h="20">
                              <a:moveTo>
                                <a:pt x="0" y="0"/>
                              </a:moveTo>
                              <a:lnTo>
                                <a:pt x="5834" y="0"/>
                              </a:lnTo>
                            </a:path>
                          </a:pathLst>
                        </a:custGeom>
                        <a:noFill/>
                        <a:ln w="7619">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41" o:spid="_x0000_s1026" style="position:absolute;z-index:-251806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74.4pt,-10.8pt,366.1pt,-10.8pt" coordsize="583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" o:allowincell="f" filled="f" strokecolor="blue" strokeweight=".21164mm">
                <v:path arrowok="t" o:connecttype="custom" o:connectlocs="0,0;3704590,0" o:connectangles="0,0"/>
                <w10:wrap anchorx="page"/>
              </v:polyline>
            </w:pict>
          </mc:Fallback>
        </mc:AlternateContent>
      </w:r>
      <w:r w:rsidR="002C5025">
        <w:rPr>
          <w:rFonts w:ascii="Arial" w:hAnsi="Arial" w:cs="Arial"/>
          <w:sz w:val="18"/>
          <w:szCs w:val="18"/>
        </w:rPr>
        <w:t>access and savings).</w:t>
      </w:r>
    </w:p>
    <w:p w:rsidR="002C5025" w:rsidRDefault="002C5025">
      <w:pPr>
        <w:pStyle w:val="BodyText"/>
        <w:kinsoku w:val="0"/>
        <w:overflowPunct w:val="0"/>
        <w:spacing w:line="224" w:lineRule="exact"/>
        <w:ind w:left="113" w:right="235"/>
        <w:rPr>
          <w:rFonts w:ascii="Arial" w:hAnsi="Arial" w:cs="Arial"/>
          <w:sz w:val="18"/>
          <w:szCs w:val="18"/>
        </w:rPr>
      </w:pPr>
      <w:bookmarkStart w:id="52" w:name="bookmark15"/>
      <w:bookmarkEnd w:id="52"/>
      <w:r>
        <w:rPr>
          <w:rFonts w:ascii="Arial" w:hAnsi="Arial" w:cs="Arial"/>
          <w:position w:val="9"/>
          <w:sz w:val="12"/>
          <w:szCs w:val="12"/>
        </w:rPr>
        <w:t xml:space="preserve">16 </w:t>
      </w:r>
      <w:r>
        <w:rPr>
          <w:rFonts w:ascii="Arial" w:hAnsi="Arial" w:cs="Arial"/>
          <w:sz w:val="18"/>
          <w:szCs w:val="18"/>
        </w:rPr>
        <w:t>EOHHS Request for Responses for the Accountable Care Organization Pilot, Attachment A, Section 2.4.H.</w:t>
      </w:r>
    </w:p>
    <w:p w:rsidR="002C5025" w:rsidRDefault="002C5025">
      <w:pPr>
        <w:pStyle w:val="BodyText"/>
        <w:kinsoku w:val="0"/>
        <w:overflowPunct w:val="0"/>
        <w:spacing w:before="11"/>
        <w:rPr>
          <w:rFonts w:ascii="Arial" w:hAnsi="Arial" w:cs="Arial"/>
          <w:sz w:val="26"/>
          <w:szCs w:val="26"/>
        </w:rPr>
      </w:pPr>
    </w:p>
    <w:p w:rsidR="002C5025" w:rsidRDefault="002C5025">
      <w:pPr>
        <w:pStyle w:val="BodyText"/>
        <w:kinsoku w:val="0"/>
        <w:overflowPunct w:val="0"/>
        <w:spacing w:before="74"/>
        <w:ind w:right="114"/>
        <w:jc w:val="right"/>
        <w:rPr>
          <w:rFonts w:ascii="Arial" w:hAnsi="Arial" w:cs="Arial"/>
          <w:sz w:val="20"/>
          <w:szCs w:val="20"/>
        </w:rPr>
      </w:pPr>
      <w:r>
        <w:rPr>
          <w:rFonts w:ascii="Arial" w:hAnsi="Arial" w:cs="Arial"/>
          <w:sz w:val="20"/>
          <w:szCs w:val="20"/>
        </w:rPr>
        <w:t>Page 16 of 18</w:t>
      </w:r>
    </w:p>
    <w:p w:rsidR="002C5025" w:rsidRDefault="002C5025">
      <w:pPr>
        <w:pStyle w:val="BodyText"/>
        <w:kinsoku w:val="0"/>
        <w:overflowPunct w:val="0"/>
        <w:spacing w:before="74"/>
        <w:ind w:right="114"/>
        <w:jc w:val="right"/>
        <w:rPr>
          <w:rFonts w:ascii="Arial" w:hAnsi="Arial" w:cs="Arial"/>
          <w:sz w:val="20"/>
          <w:szCs w:val="20"/>
        </w:rPr>
        <w:sectPr w:rsidR="002C5025">
          <w:pgSz w:w="12240" w:h="15840"/>
          <w:pgMar w:top="1500" w:right="1240" w:bottom="280" w:left="1240" w:header="720" w:footer="720" w:gutter="0"/>
          <w:cols w:space="720"/>
          <w:noEndnote/>
        </w:sect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9"/>
        <w:rPr>
          <w:rFonts w:ascii="Arial" w:hAnsi="Arial" w:cs="Arial"/>
          <w:sz w:val="18"/>
          <w:szCs w:val="18"/>
        </w:rPr>
      </w:pPr>
    </w:p>
    <w:p w:rsidR="002C5025" w:rsidRDefault="002C5025">
      <w:pPr>
        <w:pStyle w:val="BodyText"/>
        <w:kinsoku w:val="0"/>
        <w:overflowPunct w:val="0"/>
        <w:spacing w:before="77" w:line="252" w:lineRule="exact"/>
        <w:ind w:left="113" w:right="108"/>
        <w:jc w:val="both"/>
        <w:rPr>
          <w:rFonts w:ascii="Arial" w:hAnsi="Arial" w:cs="Arial"/>
          <w:position w:val="10"/>
          <w:sz w:val="14"/>
          <w:szCs w:val="14"/>
        </w:rPr>
      </w:pPr>
      <w:r>
        <w:rPr>
          <w:rFonts w:ascii="Arial" w:hAnsi="Arial" w:cs="Arial"/>
        </w:rPr>
        <w:t>development or expansion in the waiver proposal will help address this human crisis when part of a statewide strategy.</w:t>
      </w:r>
      <w:hyperlink w:anchor="bookmark16" w:history="1">
        <w:r>
          <w:rPr>
            <w:rFonts w:ascii="Arial" w:hAnsi="Arial" w:cs="Arial"/>
            <w:position w:val="10"/>
            <w:sz w:val="14"/>
            <w:szCs w:val="14"/>
          </w:rPr>
          <w:t>17</w:t>
        </w:r>
      </w:hyperlink>
    </w:p>
    <w:p w:rsidR="002C5025" w:rsidRDefault="002C5025">
      <w:pPr>
        <w:pStyle w:val="BodyText"/>
        <w:kinsoku w:val="0"/>
        <w:overflowPunct w:val="0"/>
        <w:spacing w:before="6"/>
        <w:rPr>
          <w:rFonts w:ascii="Arial" w:hAnsi="Arial" w:cs="Arial"/>
          <w:sz w:val="21"/>
          <w:szCs w:val="21"/>
        </w:rPr>
      </w:pPr>
    </w:p>
    <w:p w:rsidR="002C5025" w:rsidRDefault="002C5025">
      <w:pPr>
        <w:pStyle w:val="BodyText"/>
        <w:kinsoku w:val="0"/>
        <w:overflowPunct w:val="0"/>
        <w:ind w:left="113"/>
        <w:jc w:val="both"/>
        <w:rPr>
          <w:rFonts w:ascii="Arial" w:hAnsi="Arial" w:cs="Arial"/>
          <w:b/>
          <w:bCs/>
          <w:sz w:val="26"/>
          <w:szCs w:val="26"/>
        </w:rPr>
      </w:pPr>
      <w:r>
        <w:rPr>
          <w:rFonts w:ascii="Arial" w:hAnsi="Arial" w:cs="Arial"/>
          <w:b/>
          <w:bCs/>
          <w:sz w:val="26"/>
          <w:szCs w:val="26"/>
        </w:rPr>
        <w:t>Access and Workforce</w:t>
      </w:r>
    </w:p>
    <w:p w:rsidR="002C5025" w:rsidRDefault="002C5025">
      <w:pPr>
        <w:pStyle w:val="BodyText"/>
        <w:kinsoku w:val="0"/>
        <w:overflowPunct w:val="0"/>
        <w:ind w:left="113" w:right="102"/>
        <w:jc w:val="both"/>
        <w:rPr>
          <w:rFonts w:ascii="Arial" w:hAnsi="Arial" w:cs="Arial"/>
        </w:rPr>
      </w:pPr>
      <w:r>
        <w:rPr>
          <w:rFonts w:ascii="Arial" w:hAnsi="Arial" w:cs="Arial"/>
        </w:rPr>
        <w:t>Shortages in professional and paraprofessional staff are impacting access in all areas of the healthcare sector. ABH looks forward to ongoing, cross-continuum dialogue about workforce and access, and we recognize that workforce development is one important component to a longer- term strategy to address a significant factor in ongoing systems transformation. ABH strongly supports MassHealth’s proposal for dedicated DSRIP Workforce Funding as outlined in Section</w:t>
      </w:r>
    </w:p>
    <w:p w:rsidR="002C5025" w:rsidRDefault="002C5025">
      <w:pPr>
        <w:pStyle w:val="ListParagraph"/>
        <w:numPr>
          <w:ilvl w:val="1"/>
          <w:numId w:val="87"/>
        </w:numPr>
        <w:tabs>
          <w:tab w:val="left" w:pos="599"/>
        </w:tabs>
        <w:kinsoku w:val="0"/>
        <w:overflowPunct w:val="0"/>
        <w:spacing w:line="252" w:lineRule="exact"/>
        <w:jc w:val="both"/>
        <w:rPr>
          <w:rFonts w:ascii="Arial" w:hAnsi="Arial" w:cs="Arial"/>
          <w:sz w:val="22"/>
          <w:szCs w:val="22"/>
        </w:rPr>
      </w:pPr>
      <w:r>
        <w:rPr>
          <w:rFonts w:ascii="Arial" w:hAnsi="Arial" w:cs="Arial"/>
          <w:spacing w:val="3"/>
          <w:sz w:val="22"/>
          <w:szCs w:val="22"/>
        </w:rPr>
        <w:t xml:space="preserve">We </w:t>
      </w:r>
      <w:r>
        <w:rPr>
          <w:rFonts w:ascii="Arial" w:hAnsi="Arial" w:cs="Arial"/>
          <w:sz w:val="22"/>
          <w:szCs w:val="22"/>
        </w:rPr>
        <w:t>make the following</w:t>
      </w:r>
      <w:r>
        <w:rPr>
          <w:rFonts w:ascii="Arial" w:hAnsi="Arial" w:cs="Arial"/>
          <w:spacing w:val="-20"/>
          <w:sz w:val="22"/>
          <w:szCs w:val="22"/>
        </w:rPr>
        <w:t xml:space="preserve"> </w:t>
      </w:r>
      <w:r>
        <w:rPr>
          <w:rFonts w:ascii="Arial" w:hAnsi="Arial" w:cs="Arial"/>
          <w:sz w:val="22"/>
          <w:szCs w:val="22"/>
        </w:rPr>
        <w:t>recommendations:</w:t>
      </w:r>
    </w:p>
    <w:p w:rsidR="002C5025" w:rsidRDefault="002C5025">
      <w:pPr>
        <w:pStyle w:val="BodyText"/>
        <w:kinsoku w:val="0"/>
        <w:overflowPunct w:val="0"/>
        <w:spacing w:before="9"/>
        <w:rPr>
          <w:rFonts w:ascii="Arial" w:hAnsi="Arial" w:cs="Arial"/>
          <w:sz w:val="21"/>
          <w:szCs w:val="21"/>
        </w:rPr>
      </w:pPr>
    </w:p>
    <w:p w:rsidR="002C5025" w:rsidRDefault="002C5025">
      <w:pPr>
        <w:pStyle w:val="ListParagraph"/>
        <w:numPr>
          <w:ilvl w:val="2"/>
          <w:numId w:val="87"/>
        </w:numPr>
        <w:tabs>
          <w:tab w:val="left" w:pos="834"/>
        </w:tabs>
        <w:kinsoku w:val="0"/>
        <w:overflowPunct w:val="0"/>
        <w:ind w:right="102" w:hanging="360"/>
        <w:jc w:val="both"/>
        <w:rPr>
          <w:rFonts w:ascii="Arial" w:hAnsi="Arial" w:cs="Arial"/>
          <w:sz w:val="22"/>
          <w:szCs w:val="22"/>
        </w:rPr>
      </w:pPr>
      <w:r>
        <w:rPr>
          <w:rFonts w:ascii="Arial" w:hAnsi="Arial" w:cs="Arial"/>
          <w:b/>
          <w:bCs/>
          <w:sz w:val="22"/>
          <w:szCs w:val="22"/>
        </w:rPr>
        <w:t>Student Loan Repayment Program</w:t>
      </w:r>
      <w:r>
        <w:rPr>
          <w:rFonts w:ascii="Arial" w:hAnsi="Arial" w:cs="Arial"/>
          <w:sz w:val="22"/>
          <w:szCs w:val="22"/>
        </w:rPr>
        <w:t xml:space="preserve">. ABH greatly appreciates the inclusion of behavioral health professionals in this program. Behavioral health professional shortages impact access to a wide variety of programs including outpatient services, court-mandated CBHI services and many others. This program should be made available to staff of all MassHealth member-serving provider organizations, not just ACOs or CPs. ABH further recommends that the program be expanded beyond Medically Underserved Areas, as </w:t>
      </w:r>
      <w:r>
        <w:rPr>
          <w:rFonts w:ascii="Arial" w:hAnsi="Arial" w:cs="Arial"/>
          <w:spacing w:val="-4"/>
          <w:sz w:val="22"/>
          <w:szCs w:val="22"/>
        </w:rPr>
        <w:t xml:space="preserve">we </w:t>
      </w:r>
      <w:r>
        <w:rPr>
          <w:rFonts w:ascii="Arial" w:hAnsi="Arial" w:cs="Arial"/>
          <w:sz w:val="22"/>
          <w:szCs w:val="22"/>
        </w:rPr>
        <w:t>understand that definition to be</w:t>
      </w:r>
      <w:r>
        <w:rPr>
          <w:rFonts w:ascii="Arial" w:hAnsi="Arial" w:cs="Arial"/>
          <w:spacing w:val="-16"/>
          <w:sz w:val="22"/>
          <w:szCs w:val="22"/>
        </w:rPr>
        <w:t xml:space="preserve"> </w:t>
      </w:r>
      <w:r>
        <w:rPr>
          <w:rFonts w:ascii="Arial" w:hAnsi="Arial" w:cs="Arial"/>
          <w:sz w:val="22"/>
          <w:szCs w:val="22"/>
        </w:rPr>
        <w:t>limiting.</w:t>
      </w:r>
    </w:p>
    <w:p w:rsidR="002C5025" w:rsidRDefault="002C5025">
      <w:pPr>
        <w:pStyle w:val="BodyText"/>
        <w:kinsoku w:val="0"/>
        <w:overflowPunct w:val="0"/>
        <w:spacing w:before="9"/>
        <w:rPr>
          <w:rFonts w:ascii="Arial" w:hAnsi="Arial" w:cs="Arial"/>
          <w:sz w:val="21"/>
          <w:szCs w:val="21"/>
        </w:rPr>
      </w:pPr>
    </w:p>
    <w:p w:rsidR="002C5025" w:rsidRDefault="002C5025">
      <w:pPr>
        <w:pStyle w:val="ListParagraph"/>
        <w:numPr>
          <w:ilvl w:val="2"/>
          <w:numId w:val="87"/>
        </w:numPr>
        <w:tabs>
          <w:tab w:val="left" w:pos="834"/>
        </w:tabs>
        <w:kinsoku w:val="0"/>
        <w:overflowPunct w:val="0"/>
        <w:ind w:right="105" w:hanging="360"/>
        <w:jc w:val="both"/>
        <w:rPr>
          <w:rFonts w:ascii="Arial" w:hAnsi="Arial" w:cs="Arial"/>
          <w:sz w:val="22"/>
          <w:szCs w:val="22"/>
        </w:rPr>
      </w:pPr>
      <w:r>
        <w:rPr>
          <w:rFonts w:ascii="Arial" w:hAnsi="Arial" w:cs="Arial"/>
          <w:b/>
          <w:bCs/>
          <w:sz w:val="22"/>
          <w:szCs w:val="22"/>
        </w:rPr>
        <w:t>Primary Care Integration Model Grants</w:t>
      </w:r>
      <w:r>
        <w:rPr>
          <w:rFonts w:ascii="Arial" w:hAnsi="Arial" w:cs="Arial"/>
          <w:sz w:val="22"/>
          <w:szCs w:val="22"/>
        </w:rPr>
        <w:t>. Bi-directional integration is important to serving MassHealth members, particularly those who access services primarily through their behavioral healthcare provider. This grant program should be available to organizations seeking to integrate primary care into behavioral healthcare</w:t>
      </w:r>
      <w:r>
        <w:rPr>
          <w:rFonts w:ascii="Arial" w:hAnsi="Arial" w:cs="Arial"/>
          <w:spacing w:val="-31"/>
          <w:sz w:val="22"/>
          <w:szCs w:val="22"/>
        </w:rPr>
        <w:t xml:space="preserve"> </w:t>
      </w:r>
      <w:r>
        <w:rPr>
          <w:rFonts w:ascii="Arial" w:hAnsi="Arial" w:cs="Arial"/>
          <w:sz w:val="22"/>
          <w:szCs w:val="22"/>
        </w:rPr>
        <w:t>settings.</w:t>
      </w:r>
    </w:p>
    <w:p w:rsidR="002C5025" w:rsidRDefault="002C5025">
      <w:pPr>
        <w:pStyle w:val="BodyText"/>
        <w:kinsoku w:val="0"/>
        <w:overflowPunct w:val="0"/>
        <w:spacing w:before="9"/>
        <w:rPr>
          <w:rFonts w:ascii="Arial" w:hAnsi="Arial" w:cs="Arial"/>
          <w:sz w:val="21"/>
          <w:szCs w:val="21"/>
        </w:rPr>
      </w:pPr>
    </w:p>
    <w:p w:rsidR="002C5025" w:rsidRDefault="002C5025">
      <w:pPr>
        <w:pStyle w:val="ListParagraph"/>
        <w:numPr>
          <w:ilvl w:val="2"/>
          <w:numId w:val="87"/>
        </w:numPr>
        <w:tabs>
          <w:tab w:val="left" w:pos="834"/>
        </w:tabs>
        <w:kinsoku w:val="0"/>
        <w:overflowPunct w:val="0"/>
        <w:ind w:right="104" w:hanging="360"/>
        <w:jc w:val="both"/>
        <w:rPr>
          <w:rFonts w:ascii="Arial" w:hAnsi="Arial" w:cs="Arial"/>
          <w:sz w:val="22"/>
          <w:szCs w:val="22"/>
        </w:rPr>
      </w:pPr>
      <w:r>
        <w:rPr>
          <w:rFonts w:ascii="Arial" w:hAnsi="Arial" w:cs="Arial"/>
          <w:b/>
          <w:bCs/>
          <w:sz w:val="22"/>
          <w:szCs w:val="22"/>
        </w:rPr>
        <w:t>Workforce Development Grants</w:t>
      </w:r>
      <w:r>
        <w:rPr>
          <w:rFonts w:ascii="Arial" w:hAnsi="Arial" w:cs="Arial"/>
          <w:sz w:val="22"/>
          <w:szCs w:val="22"/>
        </w:rPr>
        <w:t>. The description of this program suggests this program is open only to ACO or CP participants. ABH recommends that this program be made available to any provider seeking to invest in its workforce in a manner consistent with the Section 1115</w:t>
      </w:r>
      <w:r>
        <w:rPr>
          <w:rFonts w:ascii="Arial" w:hAnsi="Arial" w:cs="Arial"/>
          <w:spacing w:val="-9"/>
          <w:sz w:val="22"/>
          <w:szCs w:val="22"/>
        </w:rPr>
        <w:t xml:space="preserve"> </w:t>
      </w:r>
      <w:r>
        <w:rPr>
          <w:rFonts w:ascii="Arial" w:hAnsi="Arial" w:cs="Arial"/>
          <w:sz w:val="22"/>
          <w:szCs w:val="22"/>
        </w:rPr>
        <w:t>proposal.</w:t>
      </w:r>
    </w:p>
    <w:p w:rsidR="002C5025" w:rsidRDefault="002C5025">
      <w:pPr>
        <w:pStyle w:val="BodyText"/>
        <w:kinsoku w:val="0"/>
        <w:overflowPunct w:val="0"/>
        <w:spacing w:before="9"/>
        <w:rPr>
          <w:rFonts w:ascii="Arial" w:hAnsi="Arial" w:cs="Arial"/>
          <w:sz w:val="21"/>
          <w:szCs w:val="21"/>
        </w:rPr>
      </w:pPr>
    </w:p>
    <w:p w:rsidR="002C5025" w:rsidRDefault="002C5025">
      <w:pPr>
        <w:pStyle w:val="ListParagraph"/>
        <w:numPr>
          <w:ilvl w:val="2"/>
          <w:numId w:val="87"/>
        </w:numPr>
        <w:tabs>
          <w:tab w:val="left" w:pos="834"/>
        </w:tabs>
        <w:kinsoku w:val="0"/>
        <w:overflowPunct w:val="0"/>
        <w:ind w:right="103" w:hanging="360"/>
        <w:jc w:val="both"/>
        <w:rPr>
          <w:rFonts w:ascii="Arial" w:hAnsi="Arial" w:cs="Arial"/>
          <w:sz w:val="22"/>
          <w:szCs w:val="22"/>
        </w:rPr>
      </w:pPr>
      <w:r>
        <w:rPr>
          <w:rFonts w:ascii="Arial" w:hAnsi="Arial" w:cs="Arial"/>
          <w:b/>
          <w:bCs/>
          <w:sz w:val="22"/>
          <w:szCs w:val="22"/>
        </w:rPr>
        <w:t>SUD Workforce</w:t>
      </w:r>
      <w:r>
        <w:rPr>
          <w:rFonts w:ascii="Arial" w:hAnsi="Arial" w:cs="Arial"/>
          <w:sz w:val="22"/>
          <w:szCs w:val="22"/>
        </w:rPr>
        <w:t>. The SUD proposal envisions development of new roles within MassHealth (recovery coaches and recovery support navigators) as well as significant training in evidence-based practices and cultural competence. ABH seeks clarification as to whether there is distinct funding dedicated to the SUD workforce, and if so, to whom it is available.</w:t>
      </w:r>
    </w:p>
    <w:p w:rsidR="002C5025" w:rsidRDefault="002C5025">
      <w:pPr>
        <w:pStyle w:val="BodyText"/>
        <w:kinsoku w:val="0"/>
        <w:overflowPunct w:val="0"/>
        <w:spacing w:before="11"/>
        <w:rPr>
          <w:rFonts w:ascii="Arial" w:hAnsi="Arial" w:cs="Arial"/>
          <w:sz w:val="21"/>
          <w:szCs w:val="21"/>
        </w:rPr>
      </w:pPr>
    </w:p>
    <w:p w:rsidR="002C5025" w:rsidRDefault="002C5025">
      <w:pPr>
        <w:pStyle w:val="BodyText"/>
        <w:kinsoku w:val="0"/>
        <w:overflowPunct w:val="0"/>
        <w:ind w:left="113"/>
        <w:jc w:val="both"/>
        <w:rPr>
          <w:rFonts w:ascii="Arial" w:hAnsi="Arial" w:cs="Arial"/>
          <w:b/>
          <w:bCs/>
          <w:sz w:val="26"/>
          <w:szCs w:val="26"/>
        </w:rPr>
      </w:pPr>
      <w:r>
        <w:rPr>
          <w:rFonts w:ascii="Arial" w:hAnsi="Arial" w:cs="Arial"/>
          <w:b/>
          <w:bCs/>
          <w:sz w:val="26"/>
          <w:szCs w:val="26"/>
        </w:rPr>
        <w:t>Service Investment</w:t>
      </w:r>
    </w:p>
    <w:p w:rsidR="002C5025" w:rsidRDefault="002C5025">
      <w:pPr>
        <w:pStyle w:val="BodyText"/>
        <w:kinsoku w:val="0"/>
        <w:overflowPunct w:val="0"/>
        <w:spacing w:before="4" w:line="235" w:lineRule="auto"/>
        <w:ind w:left="113" w:right="110"/>
        <w:jc w:val="both"/>
        <w:rPr>
          <w:rFonts w:ascii="Arial" w:hAnsi="Arial" w:cs="Arial"/>
        </w:rPr>
      </w:pPr>
      <w:r>
        <w:rPr>
          <w:rFonts w:ascii="Arial" w:hAnsi="Arial" w:cs="Arial"/>
        </w:rPr>
        <w:t xml:space="preserve">Outpatient services are the bedrock of community-based behavioral healthcare services. Care coordination and care management will not be effective if treatment services cannot be accessed within a reasonable period of time. ABH understands that the DSRIP initiative is not intended to be a rate increase for providers. However, we remain concerned that without a sustained </w:t>
      </w:r>
      <w:r>
        <w:rPr>
          <w:rFonts w:ascii="Arial" w:hAnsi="Arial" w:cs="Arial"/>
          <w:b/>
          <w:bCs/>
          <w:i/>
          <w:iCs/>
        </w:rPr>
        <w:t xml:space="preserve">investment </w:t>
      </w:r>
      <w:r>
        <w:rPr>
          <w:rFonts w:ascii="Arial" w:hAnsi="Arial" w:cs="Arial"/>
        </w:rPr>
        <w:t>in outpatient behavioral healthcare services for safety net providers,</w:t>
      </w:r>
      <w:hyperlink w:anchor="bookmark17" w:history="1">
        <w:r>
          <w:rPr>
            <w:rFonts w:ascii="Arial" w:hAnsi="Arial" w:cs="Arial"/>
            <w:position w:val="10"/>
            <w:sz w:val="14"/>
            <w:szCs w:val="14"/>
          </w:rPr>
          <w:t>18</w:t>
        </w:r>
      </w:hyperlink>
      <w:r>
        <w:rPr>
          <w:rFonts w:ascii="Arial" w:hAnsi="Arial" w:cs="Arial"/>
          <w:position w:val="10"/>
          <w:sz w:val="14"/>
          <w:szCs w:val="14"/>
        </w:rPr>
        <w:t xml:space="preserve"> </w:t>
      </w:r>
      <w:r>
        <w:rPr>
          <w:rFonts w:ascii="Arial" w:hAnsi="Arial" w:cs="Arial"/>
        </w:rPr>
        <w:t xml:space="preserve">access issues will grow worse for MassHealth members. Low reimbursement rates make it difficult if not impossible to attract and retain staff, both professional and paraprofessional level, and </w:t>
      </w:r>
      <w:r>
        <w:rPr>
          <w:rFonts w:ascii="Arial" w:hAnsi="Arial" w:cs="Arial"/>
          <w:spacing w:val="3"/>
        </w:rPr>
        <w:t xml:space="preserve"> </w:t>
      </w:r>
      <w:r>
        <w:rPr>
          <w:rFonts w:ascii="Arial" w:hAnsi="Arial" w:cs="Arial"/>
        </w:rPr>
        <w:t>vacancies</w:t>
      </w:r>
    </w:p>
    <w:p w:rsidR="002C5025" w:rsidRDefault="00FB027C">
      <w:pPr>
        <w:pStyle w:val="BodyText"/>
        <w:kinsoku w:val="0"/>
        <w:overflowPunct w:val="0"/>
        <w:spacing w:before="7"/>
        <w:rPr>
          <w:rFonts w:ascii="Arial" w:hAnsi="Arial" w:cs="Arial"/>
          <w:sz w:val="11"/>
          <w:szCs w:val="11"/>
        </w:rPr>
      </w:pPr>
      <w:r>
        <w:rPr>
          <w:noProof/>
        </w:rPr>
        <mc:AlternateContent>
          <mc:Choice Requires="wps">
            <w:drawing>
              <wp:anchor distT="0" distB="0" distL="0" distR="0" simplePos="0" relativeHeight="251511296" behindDoc="0" locked="0" layoutInCell="0" allowOverlap="1">
                <wp:simplePos x="0" y="0"/>
                <wp:positionH relativeFrom="page">
                  <wp:posOffset>859155</wp:posOffset>
                </wp:positionH>
                <wp:positionV relativeFrom="paragraph">
                  <wp:posOffset>113030</wp:posOffset>
                </wp:positionV>
                <wp:extent cx="1828800" cy="12700"/>
                <wp:effectExtent l="0" t="0" r="0" b="0"/>
                <wp:wrapTopAndBottom/>
                <wp:docPr id="883"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w 2880"/>
                            <a:gd name="T1" fmla="*/ 0 h 20"/>
                            <a:gd name="T2" fmla="*/ 2880 w 2880"/>
                            <a:gd name="T3" fmla="*/ 0 h 20"/>
                          </a:gdLst>
                          <a:ahLst/>
                          <a:cxnLst>
                            <a:cxn ang="0">
                              <a:pos x="T0" y="T1"/>
                            </a:cxn>
                            <a:cxn ang="0">
                              <a:pos x="T2" y="T3"/>
                            </a:cxn>
                          </a:cxnLst>
                          <a:rect l="0" t="0" r="r" b="b"/>
                          <a:pathLst>
                            <a:path w="2880" h="20">
                              <a:moveTo>
                                <a:pt x="0" y="0"/>
                              </a:moveTo>
                              <a:lnTo>
                                <a:pt x="2880"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42" o:spid="_x0000_s1026" style="position:absolute;z-index:251511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67.65pt,8.9pt,211.65pt,8.9pt" coordsize="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" o:allowincell="f" filled="f" strokeweight=".21164mm">
                <v:path arrowok="t" o:connecttype="custom" o:connectlocs="0,0;1828800,0" o:connectangles="0,0"/>
                <w10:wrap type="topAndBottom" anchorx="page"/>
              </v:polyline>
            </w:pict>
          </mc:Fallback>
        </mc:AlternateContent>
      </w:r>
    </w:p>
    <w:p w:rsidR="002C5025" w:rsidRDefault="002C5025">
      <w:pPr>
        <w:pStyle w:val="BodyText"/>
        <w:kinsoku w:val="0"/>
        <w:overflowPunct w:val="0"/>
        <w:spacing w:before="47"/>
        <w:ind w:left="113" w:right="235"/>
        <w:rPr>
          <w:rFonts w:ascii="Arial" w:hAnsi="Arial" w:cs="Arial"/>
          <w:sz w:val="18"/>
          <w:szCs w:val="18"/>
        </w:rPr>
      </w:pPr>
      <w:bookmarkStart w:id="53" w:name="bookmark16"/>
      <w:bookmarkEnd w:id="53"/>
      <w:r>
        <w:rPr>
          <w:rFonts w:ascii="Arial" w:hAnsi="Arial" w:cs="Arial"/>
          <w:position w:val="9"/>
          <w:sz w:val="12"/>
          <w:szCs w:val="12"/>
        </w:rPr>
        <w:t xml:space="preserve">17 </w:t>
      </w:r>
      <w:r>
        <w:rPr>
          <w:rFonts w:ascii="Arial" w:hAnsi="Arial" w:cs="Arial"/>
          <w:sz w:val="18"/>
          <w:szCs w:val="18"/>
        </w:rPr>
        <w:t>ABH seeks clarification as to whether the referenced Clinical Stabilization Services is a reference to Community Crisis Stabilization proposed for possible expansion. Both could be appropriate responses to ED boarding.</w:t>
      </w:r>
    </w:p>
    <w:p w:rsidR="002C5025" w:rsidRDefault="002C5025">
      <w:pPr>
        <w:pStyle w:val="BodyText"/>
        <w:kinsoku w:val="0"/>
        <w:overflowPunct w:val="0"/>
        <w:spacing w:before="5" w:line="206" w:lineRule="exact"/>
        <w:ind w:left="113" w:right="235"/>
        <w:rPr>
          <w:rFonts w:ascii="Arial" w:hAnsi="Arial" w:cs="Arial"/>
          <w:sz w:val="18"/>
          <w:szCs w:val="18"/>
        </w:rPr>
      </w:pPr>
      <w:bookmarkStart w:id="54" w:name="bookmark17"/>
      <w:bookmarkEnd w:id="54"/>
      <w:r>
        <w:rPr>
          <w:rFonts w:ascii="Arial" w:hAnsi="Arial" w:cs="Arial"/>
          <w:position w:val="9"/>
          <w:sz w:val="12"/>
          <w:szCs w:val="12"/>
        </w:rPr>
        <w:t xml:space="preserve">18 </w:t>
      </w:r>
      <w:r>
        <w:rPr>
          <w:rFonts w:ascii="Arial" w:hAnsi="Arial" w:cs="Arial"/>
          <w:sz w:val="18"/>
          <w:szCs w:val="18"/>
        </w:rPr>
        <w:t>90% of ABH respondents report a third-party payer mix that was at least 63% publicly funded (MassHealth and Medicare). For half of our members, MassHealth and Medicare accounted for 90% of third-party revenue.</w:t>
      </w:r>
    </w:p>
    <w:p w:rsidR="002C5025" w:rsidRDefault="002C5025">
      <w:pPr>
        <w:pStyle w:val="BodyText"/>
        <w:kinsoku w:val="0"/>
        <w:overflowPunct w:val="0"/>
        <w:spacing w:before="7"/>
        <w:rPr>
          <w:rFonts w:ascii="Arial" w:hAnsi="Arial" w:cs="Arial"/>
          <w:sz w:val="26"/>
          <w:szCs w:val="26"/>
        </w:rPr>
      </w:pPr>
    </w:p>
    <w:p w:rsidR="002C5025" w:rsidRDefault="002C5025">
      <w:pPr>
        <w:pStyle w:val="BodyText"/>
        <w:kinsoku w:val="0"/>
        <w:overflowPunct w:val="0"/>
        <w:spacing w:before="74"/>
        <w:ind w:right="114"/>
        <w:jc w:val="right"/>
        <w:rPr>
          <w:rFonts w:ascii="Arial" w:hAnsi="Arial" w:cs="Arial"/>
          <w:sz w:val="20"/>
          <w:szCs w:val="20"/>
        </w:rPr>
      </w:pPr>
      <w:r>
        <w:rPr>
          <w:rFonts w:ascii="Arial" w:hAnsi="Arial" w:cs="Arial"/>
          <w:sz w:val="20"/>
          <w:szCs w:val="20"/>
        </w:rPr>
        <w:t>Page 17 of 18</w:t>
      </w:r>
    </w:p>
    <w:p w:rsidR="002C5025" w:rsidRDefault="002C5025">
      <w:pPr>
        <w:pStyle w:val="BodyText"/>
        <w:kinsoku w:val="0"/>
        <w:overflowPunct w:val="0"/>
        <w:spacing w:before="74"/>
        <w:ind w:right="114"/>
        <w:jc w:val="right"/>
        <w:rPr>
          <w:rFonts w:ascii="Arial" w:hAnsi="Arial" w:cs="Arial"/>
          <w:sz w:val="20"/>
          <w:szCs w:val="20"/>
        </w:rPr>
        <w:sectPr w:rsidR="002C5025">
          <w:pgSz w:w="12240" w:h="15840"/>
          <w:pgMar w:top="1500" w:right="1240" w:bottom="280" w:left="1240" w:header="720" w:footer="720" w:gutter="0"/>
          <w:cols w:space="720"/>
          <w:noEndnote/>
        </w:sect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9"/>
        <w:rPr>
          <w:rFonts w:ascii="Arial" w:hAnsi="Arial" w:cs="Arial"/>
          <w:sz w:val="15"/>
          <w:szCs w:val="15"/>
        </w:rPr>
      </w:pPr>
    </w:p>
    <w:p w:rsidR="002C5025" w:rsidRDefault="002C5025">
      <w:pPr>
        <w:pStyle w:val="BodyText"/>
        <w:kinsoku w:val="0"/>
        <w:overflowPunct w:val="0"/>
        <w:spacing w:before="82"/>
        <w:ind w:left="113" w:right="108"/>
        <w:jc w:val="both"/>
        <w:rPr>
          <w:rFonts w:ascii="Arial" w:hAnsi="Arial" w:cs="Arial"/>
        </w:rPr>
      </w:pPr>
      <w:r>
        <w:rPr>
          <w:rFonts w:ascii="Arial" w:hAnsi="Arial" w:cs="Arial"/>
        </w:rPr>
        <w:t>can cause access delays.</w:t>
      </w:r>
      <w:hyperlink w:anchor="bookmark18" w:history="1">
        <w:r>
          <w:rPr>
            <w:rFonts w:ascii="Arial" w:hAnsi="Arial" w:cs="Arial"/>
            <w:position w:val="10"/>
            <w:sz w:val="14"/>
            <w:szCs w:val="14"/>
          </w:rPr>
          <w:t>19</w:t>
        </w:r>
      </w:hyperlink>
      <w:r>
        <w:rPr>
          <w:rFonts w:ascii="Arial" w:hAnsi="Arial" w:cs="Arial"/>
          <w:position w:val="10"/>
          <w:sz w:val="14"/>
          <w:szCs w:val="14"/>
        </w:rPr>
        <w:t xml:space="preserve"> </w:t>
      </w:r>
      <w:r>
        <w:rPr>
          <w:rFonts w:ascii="Arial" w:hAnsi="Arial" w:cs="Arial"/>
        </w:rPr>
        <w:t xml:space="preserve">A recent ABH member survey indicated challenges to broad access  to sustainable outpatient services including lengthening assessment wait times, reduced capacity and financial instability. MassHealth recognized this reality with its recent investment in </w:t>
      </w:r>
      <w:r>
        <w:rPr>
          <w:rFonts w:ascii="Arial" w:hAnsi="Arial" w:cs="Arial"/>
          <w:spacing w:val="-2"/>
        </w:rPr>
        <w:t xml:space="preserve">MCO </w:t>
      </w:r>
      <w:r>
        <w:rPr>
          <w:rFonts w:ascii="Arial" w:hAnsi="Arial" w:cs="Arial"/>
        </w:rPr>
        <w:t xml:space="preserve">behavioral healthcare services, and ABH is extremely appreciative of this. </w:t>
      </w:r>
      <w:r>
        <w:rPr>
          <w:rFonts w:ascii="Arial" w:hAnsi="Arial" w:cs="Arial"/>
          <w:b/>
          <w:bCs/>
        </w:rPr>
        <w:t>ABH recommends that MassHealth make additional, sustainable investment in outpatient behavioral health services</w:t>
      </w:r>
      <w:r>
        <w:rPr>
          <w:rFonts w:ascii="Arial" w:hAnsi="Arial" w:cs="Arial"/>
        </w:rPr>
        <w:t>.</w:t>
      </w:r>
    </w:p>
    <w:p w:rsidR="002C5025" w:rsidRDefault="002C5025">
      <w:pPr>
        <w:pStyle w:val="BodyText"/>
        <w:kinsoku w:val="0"/>
        <w:overflowPunct w:val="0"/>
        <w:spacing w:before="10"/>
        <w:rPr>
          <w:rFonts w:ascii="Arial" w:hAnsi="Arial" w:cs="Arial"/>
          <w:sz w:val="21"/>
          <w:szCs w:val="21"/>
        </w:rPr>
      </w:pPr>
    </w:p>
    <w:p w:rsidR="002C5025" w:rsidRDefault="002C5025">
      <w:pPr>
        <w:pStyle w:val="BodyText"/>
        <w:kinsoku w:val="0"/>
        <w:overflowPunct w:val="0"/>
        <w:ind w:left="113"/>
        <w:jc w:val="both"/>
        <w:rPr>
          <w:rFonts w:ascii="Arial" w:hAnsi="Arial" w:cs="Arial"/>
          <w:b/>
          <w:bCs/>
          <w:sz w:val="26"/>
          <w:szCs w:val="26"/>
        </w:rPr>
      </w:pPr>
      <w:r>
        <w:rPr>
          <w:rFonts w:ascii="Arial" w:hAnsi="Arial" w:cs="Arial"/>
          <w:b/>
          <w:bCs/>
          <w:sz w:val="26"/>
          <w:szCs w:val="26"/>
        </w:rPr>
        <w:t>Accommodations for Members with Disabilities</w:t>
      </w:r>
    </w:p>
    <w:p w:rsidR="002C5025" w:rsidRDefault="002C5025">
      <w:pPr>
        <w:pStyle w:val="BodyText"/>
        <w:kinsoku w:val="0"/>
        <w:overflowPunct w:val="0"/>
        <w:ind w:left="113" w:right="112"/>
        <w:jc w:val="both"/>
        <w:rPr>
          <w:rFonts w:ascii="Arial" w:hAnsi="Arial" w:cs="Arial"/>
        </w:rPr>
      </w:pPr>
      <w:r>
        <w:rPr>
          <w:rFonts w:ascii="Arial" w:hAnsi="Arial" w:cs="Arial"/>
        </w:rPr>
        <w:t xml:space="preserve">ABH </w:t>
      </w:r>
      <w:r>
        <w:rPr>
          <w:rFonts w:ascii="Arial" w:hAnsi="Arial" w:cs="Arial"/>
          <w:b/>
          <w:bCs/>
        </w:rPr>
        <w:t xml:space="preserve">strongly </w:t>
      </w:r>
      <w:r>
        <w:rPr>
          <w:rFonts w:ascii="Arial" w:hAnsi="Arial" w:cs="Arial"/>
        </w:rPr>
        <w:t>endorses making DSRIP funds available to assist providers in purchasing necessary items or making adjustments to accommodate persons with disabilities. As with other dedicated funding streams, ABH recommends that these grants be open to all providers, not only ACOs and CPs. Providers who have patient mixes with larger numbers of disabled members should be prioritized for grant funding.</w:t>
      </w:r>
    </w:p>
    <w:p w:rsidR="002C5025" w:rsidRDefault="002C5025">
      <w:pPr>
        <w:pStyle w:val="BodyText"/>
        <w:kinsoku w:val="0"/>
        <w:overflowPunct w:val="0"/>
        <w:spacing w:before="9"/>
        <w:rPr>
          <w:rFonts w:ascii="Arial" w:hAnsi="Arial" w:cs="Arial"/>
          <w:sz w:val="23"/>
          <w:szCs w:val="23"/>
        </w:rPr>
      </w:pPr>
    </w:p>
    <w:p w:rsidR="002C5025" w:rsidRDefault="002C5025">
      <w:pPr>
        <w:pStyle w:val="BodyText"/>
        <w:kinsoku w:val="0"/>
        <w:overflowPunct w:val="0"/>
        <w:ind w:left="113"/>
        <w:jc w:val="both"/>
        <w:rPr>
          <w:rFonts w:ascii="Arial" w:hAnsi="Arial" w:cs="Arial"/>
          <w:b/>
          <w:bCs/>
          <w:sz w:val="26"/>
          <w:szCs w:val="26"/>
        </w:rPr>
      </w:pPr>
      <w:r>
        <w:rPr>
          <w:rFonts w:ascii="Arial" w:hAnsi="Arial" w:cs="Arial"/>
          <w:b/>
          <w:bCs/>
          <w:sz w:val="26"/>
          <w:szCs w:val="26"/>
        </w:rPr>
        <w:t>Provider Ombudsman</w:t>
      </w:r>
    </w:p>
    <w:p w:rsidR="002C5025" w:rsidRDefault="002C5025">
      <w:pPr>
        <w:pStyle w:val="BodyText"/>
        <w:kinsoku w:val="0"/>
        <w:overflowPunct w:val="0"/>
        <w:spacing w:before="2"/>
        <w:ind w:left="113" w:right="109"/>
        <w:jc w:val="both"/>
        <w:rPr>
          <w:rFonts w:ascii="Arial" w:hAnsi="Arial" w:cs="Arial"/>
        </w:rPr>
      </w:pPr>
      <w:r>
        <w:rPr>
          <w:rFonts w:ascii="Arial" w:hAnsi="Arial" w:cs="Arial"/>
        </w:rPr>
        <w:t xml:space="preserve">ABH supports the creation of an ombudsman for MassHealth members who participate in an ACO or MCO. The documentation states that MassHealth expects “that the ombudsman will play a crucial role in ensuring a successful rollout of our payment and care delivery reforms.” ABH recommends the </w:t>
      </w:r>
      <w:r>
        <w:rPr>
          <w:rFonts w:ascii="Arial" w:hAnsi="Arial" w:cs="Arial"/>
          <w:b/>
          <w:bCs/>
        </w:rPr>
        <w:t xml:space="preserve">creation of a provider-facing ombudsman </w:t>
      </w:r>
      <w:r>
        <w:rPr>
          <w:rFonts w:ascii="Arial" w:hAnsi="Arial" w:cs="Arial"/>
        </w:rPr>
        <w:t>for these same reasons. For example, providers have struggled in recent years to resolve issues impacting managed care enrolled members such as recoupments relating to retroactive eligibility changes and resolving service authorization and payments for members with duplicate member IDs. As responsibility for service authorization, care coordination, and other functions will be allocated across and within MCOs, ACOs and CPs, the ability to resolve problems will be critical.</w:t>
      </w:r>
    </w:p>
    <w:p w:rsidR="002C5025" w:rsidRDefault="002C5025">
      <w:pPr>
        <w:pStyle w:val="BodyText"/>
        <w:kinsoku w:val="0"/>
        <w:overflowPunct w:val="0"/>
        <w:spacing w:before="10"/>
        <w:rPr>
          <w:rFonts w:ascii="Arial" w:hAnsi="Arial" w:cs="Arial"/>
          <w:sz w:val="21"/>
          <w:szCs w:val="21"/>
        </w:rPr>
      </w:pPr>
    </w:p>
    <w:p w:rsidR="002C5025" w:rsidRDefault="002C5025">
      <w:pPr>
        <w:pStyle w:val="BodyText"/>
        <w:kinsoku w:val="0"/>
        <w:overflowPunct w:val="0"/>
        <w:spacing w:before="1"/>
        <w:ind w:left="113"/>
        <w:jc w:val="both"/>
        <w:rPr>
          <w:rFonts w:ascii="Arial" w:hAnsi="Arial" w:cs="Arial"/>
          <w:b/>
          <w:bCs/>
          <w:sz w:val="26"/>
          <w:szCs w:val="26"/>
        </w:rPr>
      </w:pPr>
      <w:r>
        <w:rPr>
          <w:rFonts w:ascii="Arial" w:hAnsi="Arial" w:cs="Arial"/>
          <w:b/>
          <w:bCs/>
          <w:sz w:val="26"/>
          <w:szCs w:val="26"/>
        </w:rPr>
        <w:t>Conclusion</w:t>
      </w:r>
    </w:p>
    <w:p w:rsidR="002C5025" w:rsidRDefault="002C5025">
      <w:pPr>
        <w:pStyle w:val="BodyText"/>
        <w:kinsoku w:val="0"/>
        <w:overflowPunct w:val="0"/>
        <w:ind w:left="113" w:right="111"/>
        <w:jc w:val="both"/>
        <w:rPr>
          <w:rFonts w:ascii="Arial" w:hAnsi="Arial" w:cs="Arial"/>
        </w:rPr>
      </w:pPr>
      <w:r>
        <w:rPr>
          <w:rFonts w:ascii="Arial" w:hAnsi="Arial" w:cs="Arial"/>
        </w:rPr>
        <w:t>The draft waiver submission outlines what are potentially transformative proposals to meet the needs of MassHealth members with significant behavioral health needs. EOHHS  and  MassHealth have been transparent and proactive to an unprecedented degree throughout this process. Proper attention to the details of design and implementation will be crucial to how successful we ultimately are as a Commonwealth in achieving this transformation. ABH is committed to working with EOHHS and MassHealth to ensure our collective</w:t>
      </w:r>
      <w:r>
        <w:rPr>
          <w:rFonts w:ascii="Arial" w:hAnsi="Arial" w:cs="Arial"/>
          <w:spacing w:val="-29"/>
        </w:rPr>
        <w:t xml:space="preserve"> </w:t>
      </w:r>
      <w:r>
        <w:rPr>
          <w:rFonts w:ascii="Arial" w:hAnsi="Arial" w:cs="Arial"/>
        </w:rPr>
        <w:t>success.</w:t>
      </w:r>
    </w:p>
    <w:p w:rsidR="002C5025" w:rsidRDefault="002C5025">
      <w:pPr>
        <w:pStyle w:val="BodyText"/>
        <w:kinsoku w:val="0"/>
        <w:overflowPunct w:val="0"/>
        <w:rPr>
          <w:rFonts w:ascii="Arial" w:hAnsi="Arial" w:cs="Arial"/>
        </w:rPr>
      </w:pPr>
    </w:p>
    <w:p w:rsidR="002C5025" w:rsidRDefault="002C5025">
      <w:pPr>
        <w:pStyle w:val="BodyText"/>
        <w:kinsoku w:val="0"/>
        <w:overflowPunct w:val="0"/>
        <w:ind w:left="113" w:right="110"/>
        <w:jc w:val="both"/>
        <w:rPr>
          <w:rFonts w:ascii="Arial" w:hAnsi="Arial" w:cs="Arial"/>
        </w:rPr>
      </w:pPr>
      <w:r>
        <w:rPr>
          <w:rFonts w:ascii="Arial" w:hAnsi="Arial" w:cs="Arial"/>
        </w:rPr>
        <w:t>Thank you for the opportunity to comment. If you have any questions or comments, please feel free to contact me.</w:t>
      </w:r>
    </w:p>
    <w:p w:rsidR="002C5025" w:rsidRDefault="002C5025">
      <w:pPr>
        <w:pStyle w:val="BodyText"/>
        <w:kinsoku w:val="0"/>
        <w:overflowPunct w:val="0"/>
        <w:rPr>
          <w:rFonts w:ascii="Arial" w:hAnsi="Arial" w:cs="Arial"/>
        </w:rPr>
      </w:pPr>
    </w:p>
    <w:p w:rsidR="002C5025" w:rsidRDefault="00FB027C">
      <w:pPr>
        <w:pStyle w:val="BodyText"/>
        <w:kinsoku w:val="0"/>
        <w:overflowPunct w:val="0"/>
        <w:ind w:left="113"/>
        <w:jc w:val="both"/>
        <w:rPr>
          <w:rFonts w:ascii="Arial" w:hAnsi="Arial" w:cs="Arial"/>
        </w:rPr>
      </w:pPr>
      <w:r>
        <w:rPr>
          <w:noProof/>
        </w:rPr>
        <mc:AlternateContent>
          <mc:Choice Requires="wps">
            <w:drawing>
              <wp:anchor distT="0" distB="0" distL="114300" distR="114300" simplePos="0" relativeHeight="251512320" behindDoc="1" locked="0" layoutInCell="0" allowOverlap="1">
                <wp:simplePos x="0" y="0"/>
                <wp:positionH relativeFrom="page">
                  <wp:posOffset>859790</wp:posOffset>
                </wp:positionH>
                <wp:positionV relativeFrom="paragraph">
                  <wp:posOffset>162560</wp:posOffset>
                </wp:positionV>
                <wp:extent cx="1612900" cy="596900"/>
                <wp:effectExtent l="0" t="0" r="0" b="0"/>
                <wp:wrapNone/>
                <wp:docPr id="882"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2900" cy="59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940" w:lineRule="atLeast"/>
                            </w:pPr>
                            <w:r>
                              <w:rPr>
                                <w:noProof/>
                              </w:rPr>
                              <w:drawing>
                                <wp:inline distT="0" distB="0" distL="0" distR="0">
                                  <wp:extent cx="1619250" cy="600075"/>
                                  <wp:effectExtent l="0" t="0" r="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619250" cy="600075"/>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3" o:spid="_x0000_s1083" style="position:absolute;left:0;text-align:left;margin-left:67.7pt;margin-top:12.8pt;width:127pt;height:47pt;z-index:-251804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" o:allowincell="f" filled="f" stroked="f">
                <v:textbox inset="0,0,0,0">
                  <w:txbxContent>
                    <w:p w:rsidR="007B2B7B" w:rsidRDefault="007B2B7B">
                      <w:pPr>
                        <w:widowControl/>
                        <w:autoSpaceDE/>
                        <w:autoSpaceDN/>
                        <w:adjustRightInd/>
                        <w:spacing w:line="940" w:lineRule="atLeast"/>
                      </w:pPr>
                      <w:r>
                        <w:rPr>
                          <w:noProof/>
                        </w:rPr>
                        <w:drawing>
                          <wp:inline distT="0" distB="0" distL="0" distR="0">
                            <wp:extent cx="1619250" cy="600075"/>
                            <wp:effectExtent l="0" t="0" r="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619250" cy="600075"/>
                                    </a:xfrm>
                                    <a:prstGeom prst="rect">
                                      <a:avLst/>
                                    </a:prstGeom>
                                    <a:noFill/>
                                    <a:ln>
                                      <a:noFill/>
                                    </a:ln>
                                  </pic:spPr>
                                </pic:pic>
                              </a:graphicData>
                            </a:graphic>
                          </wp:inline>
                        </w:drawing>
                      </w:r>
                    </w:p>
                    <w:p w:rsidR="007B2B7B" w:rsidRDefault="007B2B7B"/>
                  </w:txbxContent>
                </v:textbox>
                <w10:wrap anchorx="page"/>
              </v:rect>
            </w:pict>
          </mc:Fallback>
        </mc:AlternateContent>
      </w:r>
      <w:r w:rsidR="002C5025">
        <w:rPr>
          <w:rFonts w:ascii="Arial" w:hAnsi="Arial" w:cs="Arial"/>
        </w:rPr>
        <w:t>Sincerely,</w:t>
      </w:r>
    </w:p>
    <w:p w:rsidR="002C5025" w:rsidRDefault="002C5025">
      <w:pPr>
        <w:pStyle w:val="BodyText"/>
        <w:kinsoku w:val="0"/>
        <w:overflowPunct w:val="0"/>
        <w:rPr>
          <w:rFonts w:ascii="Arial" w:hAnsi="Arial" w:cs="Arial"/>
        </w:rPr>
      </w:pPr>
    </w:p>
    <w:p w:rsidR="002C5025" w:rsidRDefault="002C5025">
      <w:pPr>
        <w:pStyle w:val="BodyText"/>
        <w:kinsoku w:val="0"/>
        <w:overflowPunct w:val="0"/>
        <w:rPr>
          <w:rFonts w:ascii="Arial" w:hAnsi="Arial" w:cs="Arial"/>
        </w:rPr>
      </w:pPr>
    </w:p>
    <w:p w:rsidR="002C5025" w:rsidRDefault="002C5025">
      <w:pPr>
        <w:pStyle w:val="BodyText"/>
        <w:kinsoku w:val="0"/>
        <w:overflowPunct w:val="0"/>
        <w:rPr>
          <w:rFonts w:ascii="Arial" w:hAnsi="Arial" w:cs="Arial"/>
        </w:rPr>
      </w:pPr>
    </w:p>
    <w:p w:rsidR="002C5025" w:rsidRDefault="002C5025">
      <w:pPr>
        <w:pStyle w:val="BodyText"/>
        <w:kinsoku w:val="0"/>
        <w:overflowPunct w:val="0"/>
        <w:ind w:left="113" w:right="7585"/>
        <w:rPr>
          <w:rFonts w:ascii="Arial" w:hAnsi="Arial" w:cs="Arial"/>
        </w:rPr>
      </w:pPr>
      <w:proofErr w:type="spellStart"/>
      <w:r>
        <w:rPr>
          <w:rFonts w:ascii="Arial" w:hAnsi="Arial" w:cs="Arial"/>
        </w:rPr>
        <w:t>Vicker</w:t>
      </w:r>
      <w:proofErr w:type="spellEnd"/>
      <w:r>
        <w:rPr>
          <w:rFonts w:ascii="Arial" w:hAnsi="Arial" w:cs="Arial"/>
        </w:rPr>
        <w:t xml:space="preserve"> V. DiGravio III President/CEO</w:t>
      </w:r>
    </w:p>
    <w:p w:rsidR="002C5025" w:rsidRDefault="002C5025">
      <w:pPr>
        <w:pStyle w:val="BodyText"/>
        <w:kinsoku w:val="0"/>
        <w:overflowPunct w:val="0"/>
        <w:rPr>
          <w:rFonts w:ascii="Arial" w:hAnsi="Arial" w:cs="Arial"/>
          <w:sz w:val="20"/>
          <w:szCs w:val="20"/>
        </w:rPr>
      </w:pPr>
    </w:p>
    <w:p w:rsidR="002C5025" w:rsidRDefault="00FB027C">
      <w:pPr>
        <w:pStyle w:val="BodyText"/>
        <w:kinsoku w:val="0"/>
        <w:overflowPunct w:val="0"/>
        <w:spacing w:before="10"/>
        <w:rPr>
          <w:rFonts w:ascii="Arial" w:hAnsi="Arial" w:cs="Arial"/>
          <w:sz w:val="12"/>
          <w:szCs w:val="12"/>
        </w:rPr>
      </w:pPr>
      <w:r>
        <w:rPr>
          <w:noProof/>
        </w:rPr>
        <mc:AlternateContent>
          <mc:Choice Requires="wps">
            <w:drawing>
              <wp:anchor distT="0" distB="0" distL="0" distR="0" simplePos="0" relativeHeight="251513344" behindDoc="0" locked="0" layoutInCell="0" allowOverlap="1">
                <wp:simplePos x="0" y="0"/>
                <wp:positionH relativeFrom="page">
                  <wp:posOffset>859155</wp:posOffset>
                </wp:positionH>
                <wp:positionV relativeFrom="paragraph">
                  <wp:posOffset>122555</wp:posOffset>
                </wp:positionV>
                <wp:extent cx="1828800" cy="12700"/>
                <wp:effectExtent l="0" t="0" r="0" b="0"/>
                <wp:wrapTopAndBottom/>
                <wp:docPr id="881" name="Freeform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w 2880"/>
                            <a:gd name="T1" fmla="*/ 0 h 20"/>
                            <a:gd name="T2" fmla="*/ 2880 w 2880"/>
                            <a:gd name="T3" fmla="*/ 0 h 20"/>
                          </a:gdLst>
                          <a:ahLst/>
                          <a:cxnLst>
                            <a:cxn ang="0">
                              <a:pos x="T0" y="T1"/>
                            </a:cxn>
                            <a:cxn ang="0">
                              <a:pos x="T2" y="T3"/>
                            </a:cxn>
                          </a:cxnLst>
                          <a:rect l="0" t="0" r="r" b="b"/>
                          <a:pathLst>
                            <a:path w="2880" h="20">
                              <a:moveTo>
                                <a:pt x="0" y="0"/>
                              </a:moveTo>
                              <a:lnTo>
                                <a:pt x="2880"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44" o:spid="_x0000_s1026" style="position:absolute;z-index:251513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67.65pt,9.65pt,211.65pt,9.65pt" coordsize="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" o:allowincell="f" filled="f" strokeweight=".21164mm">
                <v:path arrowok="t" o:connecttype="custom" o:connectlocs="0,0;1828800,0" o:connectangles="0,0"/>
                <w10:wrap type="topAndBottom" anchorx="page"/>
              </v:polyline>
            </w:pict>
          </mc:Fallback>
        </mc:AlternateContent>
      </w:r>
    </w:p>
    <w:p w:rsidR="002C5025" w:rsidRDefault="002C5025">
      <w:pPr>
        <w:pStyle w:val="BodyText"/>
        <w:kinsoku w:val="0"/>
        <w:overflowPunct w:val="0"/>
        <w:spacing w:before="47"/>
        <w:ind w:left="113" w:right="108"/>
        <w:jc w:val="both"/>
        <w:rPr>
          <w:rFonts w:ascii="Arial" w:hAnsi="Arial" w:cs="Arial"/>
          <w:sz w:val="18"/>
          <w:szCs w:val="18"/>
        </w:rPr>
      </w:pPr>
      <w:bookmarkStart w:id="55" w:name="bookmark18"/>
      <w:bookmarkEnd w:id="55"/>
      <w:r>
        <w:rPr>
          <w:rFonts w:ascii="Arial" w:hAnsi="Arial" w:cs="Arial"/>
          <w:position w:val="9"/>
          <w:sz w:val="12"/>
          <w:szCs w:val="12"/>
        </w:rPr>
        <w:t xml:space="preserve">19 </w:t>
      </w:r>
      <w:r>
        <w:rPr>
          <w:rFonts w:ascii="Arial" w:hAnsi="Arial" w:cs="Arial"/>
          <w:sz w:val="18"/>
          <w:szCs w:val="18"/>
        </w:rPr>
        <w:t xml:space="preserve">A 2013 Massachusetts Behavioral Health Partnership/PCG Health analysis to determine whether MBHP’s outpatient rates covered the cost of a range of outpatient services showed that almost all outpatient services were paid at rates significantly below cost. It is important to note that MBHP rates, still below costs, typically </w:t>
      </w:r>
      <w:r>
        <w:rPr>
          <w:rFonts w:ascii="Arial" w:hAnsi="Arial" w:cs="Arial"/>
          <w:i/>
          <w:iCs/>
          <w:sz w:val="18"/>
          <w:szCs w:val="18"/>
        </w:rPr>
        <w:t xml:space="preserve">exceed </w:t>
      </w:r>
      <w:r>
        <w:rPr>
          <w:rFonts w:ascii="Arial" w:hAnsi="Arial" w:cs="Arial"/>
          <w:sz w:val="18"/>
          <w:szCs w:val="18"/>
        </w:rPr>
        <w:t>the MassHealth fee- for-service schedule, where a comparable service exists.</w:t>
      </w:r>
    </w:p>
    <w:p w:rsidR="002C5025" w:rsidRDefault="002C5025">
      <w:pPr>
        <w:pStyle w:val="BodyText"/>
        <w:kinsoku w:val="0"/>
        <w:overflowPunct w:val="0"/>
        <w:spacing w:before="10"/>
        <w:rPr>
          <w:rFonts w:ascii="Arial" w:hAnsi="Arial" w:cs="Arial"/>
          <w:sz w:val="26"/>
          <w:szCs w:val="26"/>
        </w:rPr>
      </w:pPr>
    </w:p>
    <w:p w:rsidR="002C5025" w:rsidRDefault="002C5025">
      <w:pPr>
        <w:pStyle w:val="BodyText"/>
        <w:kinsoku w:val="0"/>
        <w:overflowPunct w:val="0"/>
        <w:spacing w:before="74"/>
        <w:ind w:right="114"/>
        <w:jc w:val="right"/>
        <w:rPr>
          <w:rFonts w:ascii="Arial" w:hAnsi="Arial" w:cs="Arial"/>
          <w:sz w:val="20"/>
          <w:szCs w:val="20"/>
        </w:rPr>
      </w:pPr>
      <w:r>
        <w:rPr>
          <w:rFonts w:ascii="Arial" w:hAnsi="Arial" w:cs="Arial"/>
          <w:sz w:val="20"/>
          <w:szCs w:val="20"/>
        </w:rPr>
        <w:t>Page 18 of 18</w:t>
      </w:r>
    </w:p>
    <w:p w:rsidR="002C5025" w:rsidRDefault="002C5025">
      <w:pPr>
        <w:pStyle w:val="BodyText"/>
        <w:kinsoku w:val="0"/>
        <w:overflowPunct w:val="0"/>
        <w:spacing w:before="74"/>
        <w:ind w:right="114"/>
        <w:jc w:val="right"/>
        <w:rPr>
          <w:rFonts w:ascii="Arial" w:hAnsi="Arial" w:cs="Arial"/>
          <w:sz w:val="20"/>
          <w:szCs w:val="20"/>
        </w:rPr>
        <w:sectPr w:rsidR="002C5025">
          <w:pgSz w:w="12240" w:h="15840"/>
          <w:pgMar w:top="1500" w:right="1240" w:bottom="280" w:left="1240" w:header="720" w:footer="720" w:gutter="0"/>
          <w:cols w:space="720"/>
          <w:noEndnote/>
        </w:sectPr>
      </w:pPr>
    </w:p>
    <w:p w:rsidR="002C5025" w:rsidRDefault="00FB027C">
      <w:pPr>
        <w:pStyle w:val="BodyText"/>
        <w:kinsoku w:val="0"/>
        <w:overflowPunct w:val="0"/>
        <w:ind w:left="2429"/>
        <w:rPr>
          <w:rFonts w:ascii="Arial" w:hAnsi="Arial" w:cs="Arial"/>
          <w:sz w:val="20"/>
          <w:szCs w:val="20"/>
        </w:rPr>
      </w:pPr>
      <w:r>
        <w:rPr>
          <w:rFonts w:ascii="Arial" w:hAnsi="Arial" w:cs="Arial"/>
          <w:noProof/>
          <w:sz w:val="20"/>
          <w:szCs w:val="20"/>
        </w:rPr>
        <w:lastRenderedPageBreak/>
        <w:drawing>
          <wp:inline distT="0" distB="0" distL="0" distR="0">
            <wp:extent cx="3009900" cy="1285875"/>
            <wp:effectExtent l="0" t="0" r="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009900" cy="1285875"/>
                    </a:xfrm>
                    <a:prstGeom prst="rect">
                      <a:avLst/>
                    </a:prstGeom>
                    <a:noFill/>
                    <a:ln>
                      <a:noFill/>
                    </a:ln>
                  </pic:spPr>
                </pic:pic>
              </a:graphicData>
            </a:graphic>
          </wp:inline>
        </w:drawing>
      </w:r>
    </w:p>
    <w:p w:rsidR="002C5025" w:rsidRDefault="002C5025">
      <w:pPr>
        <w:pStyle w:val="BodyText"/>
        <w:kinsoku w:val="0"/>
        <w:overflowPunct w:val="0"/>
        <w:spacing w:before="7"/>
        <w:rPr>
          <w:rFonts w:ascii="Arial" w:hAnsi="Arial" w:cs="Arial"/>
          <w:sz w:val="17"/>
          <w:szCs w:val="17"/>
        </w:rPr>
      </w:pPr>
    </w:p>
    <w:p w:rsidR="002C5025" w:rsidRDefault="002C5025">
      <w:pPr>
        <w:pStyle w:val="BodyText"/>
        <w:kinsoku w:val="0"/>
        <w:overflowPunct w:val="0"/>
        <w:spacing w:before="72"/>
        <w:ind w:left="120"/>
        <w:jc w:val="both"/>
        <w:rPr>
          <w:rFonts w:ascii="Gill Sans MT" w:hAnsi="Gill Sans MT" w:cs="Gill Sans MT"/>
          <w:w w:val="105"/>
        </w:rPr>
      </w:pPr>
      <w:bookmarkStart w:id="56" w:name="ADDP_ACO_Recommendations"/>
      <w:bookmarkEnd w:id="56"/>
      <w:r>
        <w:rPr>
          <w:rFonts w:ascii="Gill Sans MT" w:hAnsi="Gill Sans MT" w:cs="Gill Sans MT"/>
          <w:w w:val="105"/>
        </w:rPr>
        <w:t>July 15, 2016</w:t>
      </w:r>
    </w:p>
    <w:p w:rsidR="002C5025" w:rsidRDefault="002C5025">
      <w:pPr>
        <w:pStyle w:val="BodyText"/>
        <w:kinsoku w:val="0"/>
        <w:overflowPunct w:val="0"/>
        <w:spacing w:before="2"/>
        <w:rPr>
          <w:rFonts w:ascii="Gill Sans MT" w:hAnsi="Gill Sans MT" w:cs="Gill Sans MT"/>
          <w:sz w:val="26"/>
          <w:szCs w:val="26"/>
        </w:rPr>
      </w:pPr>
    </w:p>
    <w:p w:rsidR="002C5025" w:rsidRDefault="002C5025">
      <w:pPr>
        <w:pStyle w:val="BodyText"/>
        <w:kinsoku w:val="0"/>
        <w:overflowPunct w:val="0"/>
        <w:spacing w:line="259" w:lineRule="auto"/>
        <w:ind w:left="120" w:right="8033"/>
        <w:rPr>
          <w:rFonts w:ascii="Gill Sans MT" w:hAnsi="Gill Sans MT" w:cs="Gill Sans MT"/>
        </w:rPr>
      </w:pPr>
      <w:r>
        <w:rPr>
          <w:rFonts w:ascii="Gill Sans MT" w:hAnsi="Gill Sans MT" w:cs="Gill Sans MT"/>
          <w:w w:val="95"/>
        </w:rPr>
        <w:t xml:space="preserve">Marylou Sudders </w:t>
      </w:r>
      <w:r>
        <w:rPr>
          <w:rFonts w:ascii="Gill Sans MT" w:hAnsi="Gill Sans MT" w:cs="Gill Sans MT"/>
        </w:rPr>
        <w:t>Secretary</w:t>
      </w:r>
    </w:p>
    <w:p w:rsidR="002C5025" w:rsidRDefault="002C5025">
      <w:pPr>
        <w:pStyle w:val="BodyText"/>
        <w:kinsoku w:val="0"/>
        <w:overflowPunct w:val="0"/>
        <w:spacing w:before="3" w:line="264" w:lineRule="auto"/>
        <w:ind w:left="120" w:right="5427"/>
        <w:rPr>
          <w:rFonts w:ascii="Gill Sans MT" w:hAnsi="Gill Sans MT" w:cs="Gill Sans MT"/>
        </w:rPr>
      </w:pPr>
      <w:r>
        <w:rPr>
          <w:rFonts w:ascii="Gill Sans MT" w:hAnsi="Gill Sans MT" w:cs="Gill Sans MT"/>
          <w:spacing w:val="-3"/>
        </w:rPr>
        <w:t>Executive</w:t>
      </w:r>
      <w:r>
        <w:rPr>
          <w:rFonts w:ascii="Gill Sans MT" w:hAnsi="Gill Sans MT" w:cs="Gill Sans MT"/>
          <w:spacing w:val="-20"/>
        </w:rPr>
        <w:t xml:space="preserve"> </w:t>
      </w:r>
      <w:r>
        <w:rPr>
          <w:rFonts w:ascii="Gill Sans MT" w:hAnsi="Gill Sans MT" w:cs="Gill Sans MT"/>
        </w:rPr>
        <w:t>Office</w:t>
      </w:r>
      <w:r>
        <w:rPr>
          <w:rFonts w:ascii="Gill Sans MT" w:hAnsi="Gill Sans MT" w:cs="Gill Sans MT"/>
          <w:spacing w:val="-22"/>
        </w:rPr>
        <w:t xml:space="preserve"> </w:t>
      </w:r>
      <w:r>
        <w:rPr>
          <w:rFonts w:ascii="Gill Sans MT" w:hAnsi="Gill Sans MT" w:cs="Gill Sans MT"/>
        </w:rPr>
        <w:t>of</w:t>
      </w:r>
      <w:r>
        <w:rPr>
          <w:rFonts w:ascii="Gill Sans MT" w:hAnsi="Gill Sans MT" w:cs="Gill Sans MT"/>
          <w:spacing w:val="-22"/>
        </w:rPr>
        <w:t xml:space="preserve"> </w:t>
      </w:r>
      <w:r>
        <w:rPr>
          <w:rFonts w:ascii="Gill Sans MT" w:hAnsi="Gill Sans MT" w:cs="Gill Sans MT"/>
          <w:spacing w:val="-3"/>
        </w:rPr>
        <w:t>Health</w:t>
      </w:r>
      <w:r>
        <w:rPr>
          <w:rFonts w:ascii="Gill Sans MT" w:hAnsi="Gill Sans MT" w:cs="Gill Sans MT"/>
          <w:spacing w:val="-24"/>
        </w:rPr>
        <w:t xml:space="preserve"> </w:t>
      </w:r>
      <w:r>
        <w:rPr>
          <w:rFonts w:ascii="Gill Sans MT" w:hAnsi="Gill Sans MT" w:cs="Gill Sans MT"/>
          <w:spacing w:val="-3"/>
        </w:rPr>
        <w:t>and</w:t>
      </w:r>
      <w:r>
        <w:rPr>
          <w:rFonts w:ascii="Gill Sans MT" w:hAnsi="Gill Sans MT" w:cs="Gill Sans MT"/>
          <w:spacing w:val="-21"/>
        </w:rPr>
        <w:t xml:space="preserve"> </w:t>
      </w:r>
      <w:r>
        <w:rPr>
          <w:rFonts w:ascii="Gill Sans MT" w:hAnsi="Gill Sans MT" w:cs="Gill Sans MT"/>
          <w:spacing w:val="-3"/>
        </w:rPr>
        <w:t>Human</w:t>
      </w:r>
      <w:r>
        <w:rPr>
          <w:rFonts w:ascii="Gill Sans MT" w:hAnsi="Gill Sans MT" w:cs="Gill Sans MT"/>
          <w:spacing w:val="-24"/>
        </w:rPr>
        <w:t xml:space="preserve"> </w:t>
      </w:r>
      <w:r>
        <w:rPr>
          <w:rFonts w:ascii="Gill Sans MT" w:hAnsi="Gill Sans MT" w:cs="Gill Sans MT"/>
        </w:rPr>
        <w:t xml:space="preserve">Services </w:t>
      </w:r>
      <w:r>
        <w:rPr>
          <w:rFonts w:ascii="Gill Sans MT" w:hAnsi="Gill Sans MT" w:cs="Gill Sans MT"/>
          <w:spacing w:val="-4"/>
        </w:rPr>
        <w:t>One</w:t>
      </w:r>
      <w:r>
        <w:rPr>
          <w:rFonts w:ascii="Gill Sans MT" w:hAnsi="Gill Sans MT" w:cs="Gill Sans MT"/>
          <w:spacing w:val="-42"/>
        </w:rPr>
        <w:t xml:space="preserve"> </w:t>
      </w:r>
      <w:r>
        <w:rPr>
          <w:rFonts w:ascii="Gill Sans MT" w:hAnsi="Gill Sans MT" w:cs="Gill Sans MT"/>
          <w:spacing w:val="-4"/>
        </w:rPr>
        <w:t>Ashburton</w:t>
      </w:r>
      <w:r>
        <w:rPr>
          <w:rFonts w:ascii="Gill Sans MT" w:hAnsi="Gill Sans MT" w:cs="Gill Sans MT"/>
          <w:spacing w:val="-42"/>
        </w:rPr>
        <w:t xml:space="preserve"> </w:t>
      </w:r>
      <w:r>
        <w:rPr>
          <w:rFonts w:ascii="Gill Sans MT" w:hAnsi="Gill Sans MT" w:cs="Gill Sans MT"/>
        </w:rPr>
        <w:t>Place</w:t>
      </w:r>
    </w:p>
    <w:p w:rsidR="002C5025" w:rsidRDefault="002C5025">
      <w:pPr>
        <w:pStyle w:val="BodyText"/>
        <w:kinsoku w:val="0"/>
        <w:overflowPunct w:val="0"/>
        <w:spacing w:line="523" w:lineRule="auto"/>
        <w:ind w:left="120" w:right="7475"/>
        <w:rPr>
          <w:rFonts w:ascii="Gill Sans MT" w:hAnsi="Gill Sans MT" w:cs="Gill Sans MT"/>
          <w:spacing w:val="-4"/>
        </w:rPr>
      </w:pPr>
      <w:proofErr w:type="spellStart"/>
      <w:r>
        <w:rPr>
          <w:rFonts w:ascii="Gill Sans MT" w:hAnsi="Gill Sans MT" w:cs="Gill Sans MT"/>
        </w:rPr>
        <w:t>Boston,MA</w:t>
      </w:r>
      <w:proofErr w:type="spellEnd"/>
      <w:r>
        <w:rPr>
          <w:rFonts w:ascii="Gill Sans MT" w:hAnsi="Gill Sans MT" w:cs="Gill Sans MT"/>
        </w:rPr>
        <w:t xml:space="preserve"> </w:t>
      </w:r>
      <w:r>
        <w:rPr>
          <w:rFonts w:ascii="Gill Sans MT" w:hAnsi="Gill Sans MT" w:cs="Gill Sans MT"/>
          <w:spacing w:val="-3"/>
        </w:rPr>
        <w:t>02115 Dear</w:t>
      </w:r>
      <w:r>
        <w:rPr>
          <w:rFonts w:ascii="Gill Sans MT" w:hAnsi="Gill Sans MT" w:cs="Gill Sans MT"/>
          <w:spacing w:val="-40"/>
        </w:rPr>
        <w:t xml:space="preserve"> </w:t>
      </w:r>
      <w:r>
        <w:rPr>
          <w:rFonts w:ascii="Gill Sans MT" w:hAnsi="Gill Sans MT" w:cs="Gill Sans MT"/>
          <w:spacing w:val="-3"/>
        </w:rPr>
        <w:t>Secretary</w:t>
      </w:r>
      <w:r>
        <w:rPr>
          <w:rFonts w:ascii="Gill Sans MT" w:hAnsi="Gill Sans MT" w:cs="Gill Sans MT"/>
          <w:spacing w:val="-40"/>
        </w:rPr>
        <w:t xml:space="preserve"> </w:t>
      </w:r>
      <w:r>
        <w:rPr>
          <w:rFonts w:ascii="Gill Sans MT" w:hAnsi="Gill Sans MT" w:cs="Gill Sans MT"/>
          <w:spacing w:val="-4"/>
        </w:rPr>
        <w:t>Sudders</w:t>
      </w:r>
    </w:p>
    <w:p w:rsidR="002C5025" w:rsidRDefault="002C5025">
      <w:pPr>
        <w:pStyle w:val="BodyText"/>
        <w:kinsoku w:val="0"/>
        <w:overflowPunct w:val="0"/>
        <w:spacing w:before="5" w:line="261" w:lineRule="auto"/>
        <w:ind w:left="120" w:right="117"/>
        <w:jc w:val="both"/>
        <w:rPr>
          <w:rFonts w:ascii="Gill Sans MT" w:hAnsi="Gill Sans MT" w:cs="Gill Sans MT"/>
        </w:rPr>
      </w:pPr>
      <w:r>
        <w:rPr>
          <w:rFonts w:ascii="Gill Sans MT" w:hAnsi="Gill Sans MT" w:cs="Gill Sans MT"/>
        </w:rPr>
        <w:t>On</w:t>
      </w:r>
      <w:r>
        <w:rPr>
          <w:rFonts w:ascii="Gill Sans MT" w:hAnsi="Gill Sans MT" w:cs="Gill Sans MT"/>
          <w:spacing w:val="-19"/>
        </w:rPr>
        <w:t xml:space="preserve"> </w:t>
      </w:r>
      <w:r>
        <w:rPr>
          <w:rFonts w:ascii="Gill Sans MT" w:hAnsi="Gill Sans MT" w:cs="Gill Sans MT"/>
        </w:rPr>
        <w:t>behalf</w:t>
      </w:r>
      <w:r>
        <w:rPr>
          <w:rFonts w:ascii="Gill Sans MT" w:hAnsi="Gill Sans MT" w:cs="Gill Sans MT"/>
          <w:spacing w:val="-20"/>
        </w:rPr>
        <w:t xml:space="preserve"> </w:t>
      </w:r>
      <w:r>
        <w:rPr>
          <w:rFonts w:ascii="Gill Sans MT" w:hAnsi="Gill Sans MT" w:cs="Gill Sans MT"/>
        </w:rPr>
        <w:t>of</w:t>
      </w:r>
      <w:r>
        <w:rPr>
          <w:rFonts w:ascii="Gill Sans MT" w:hAnsi="Gill Sans MT" w:cs="Gill Sans MT"/>
          <w:spacing w:val="-16"/>
        </w:rPr>
        <w:t xml:space="preserve"> </w:t>
      </w:r>
      <w:r>
        <w:rPr>
          <w:rFonts w:ascii="Gill Sans MT" w:hAnsi="Gill Sans MT" w:cs="Gill Sans MT"/>
        </w:rPr>
        <w:t>the</w:t>
      </w:r>
      <w:r>
        <w:rPr>
          <w:rFonts w:ascii="Gill Sans MT" w:hAnsi="Gill Sans MT" w:cs="Gill Sans MT"/>
          <w:spacing w:val="-19"/>
        </w:rPr>
        <w:t xml:space="preserve"> </w:t>
      </w:r>
      <w:r>
        <w:rPr>
          <w:rFonts w:ascii="Gill Sans MT" w:hAnsi="Gill Sans MT" w:cs="Gill Sans MT"/>
        </w:rPr>
        <w:t>133</w:t>
      </w:r>
      <w:r>
        <w:rPr>
          <w:rFonts w:ascii="Gill Sans MT" w:hAnsi="Gill Sans MT" w:cs="Gill Sans MT"/>
          <w:spacing w:val="-22"/>
        </w:rPr>
        <w:t xml:space="preserve"> </w:t>
      </w:r>
      <w:r>
        <w:rPr>
          <w:rFonts w:ascii="Gill Sans MT" w:hAnsi="Gill Sans MT" w:cs="Gill Sans MT"/>
        </w:rPr>
        <w:t>member</w:t>
      </w:r>
      <w:r>
        <w:rPr>
          <w:rFonts w:ascii="Gill Sans MT" w:hAnsi="Gill Sans MT" w:cs="Gill Sans MT"/>
          <w:spacing w:val="-19"/>
        </w:rPr>
        <w:t xml:space="preserve"> </w:t>
      </w:r>
      <w:r>
        <w:rPr>
          <w:rFonts w:ascii="Gill Sans MT" w:hAnsi="Gill Sans MT" w:cs="Gill Sans MT"/>
        </w:rPr>
        <w:t>agencies</w:t>
      </w:r>
      <w:r>
        <w:rPr>
          <w:rFonts w:ascii="Gill Sans MT" w:hAnsi="Gill Sans MT" w:cs="Gill Sans MT"/>
          <w:spacing w:val="-19"/>
        </w:rPr>
        <w:t xml:space="preserve"> </w:t>
      </w:r>
      <w:r>
        <w:rPr>
          <w:rFonts w:ascii="Gill Sans MT" w:hAnsi="Gill Sans MT" w:cs="Gill Sans MT"/>
        </w:rPr>
        <w:t>of</w:t>
      </w:r>
      <w:r>
        <w:rPr>
          <w:rFonts w:ascii="Gill Sans MT" w:hAnsi="Gill Sans MT" w:cs="Gill Sans MT"/>
          <w:spacing w:val="-16"/>
        </w:rPr>
        <w:t xml:space="preserve"> </w:t>
      </w:r>
      <w:r>
        <w:rPr>
          <w:rFonts w:ascii="Gill Sans MT" w:hAnsi="Gill Sans MT" w:cs="Gill Sans MT"/>
        </w:rPr>
        <w:t>the</w:t>
      </w:r>
      <w:r>
        <w:rPr>
          <w:rFonts w:ascii="Gill Sans MT" w:hAnsi="Gill Sans MT" w:cs="Gill Sans MT"/>
          <w:spacing w:val="-19"/>
        </w:rPr>
        <w:t xml:space="preserve"> </w:t>
      </w:r>
      <w:r>
        <w:rPr>
          <w:rFonts w:ascii="Gill Sans MT" w:hAnsi="Gill Sans MT" w:cs="Gill Sans MT"/>
        </w:rPr>
        <w:t>Association</w:t>
      </w:r>
      <w:r>
        <w:rPr>
          <w:rFonts w:ascii="Gill Sans MT" w:hAnsi="Gill Sans MT" w:cs="Gill Sans MT"/>
          <w:spacing w:val="-16"/>
        </w:rPr>
        <w:t xml:space="preserve"> </w:t>
      </w:r>
      <w:r>
        <w:rPr>
          <w:rFonts w:ascii="Gill Sans MT" w:hAnsi="Gill Sans MT" w:cs="Gill Sans MT"/>
        </w:rPr>
        <w:t>of</w:t>
      </w:r>
      <w:r>
        <w:rPr>
          <w:rFonts w:ascii="Gill Sans MT" w:hAnsi="Gill Sans MT" w:cs="Gill Sans MT"/>
          <w:spacing w:val="-16"/>
        </w:rPr>
        <w:t xml:space="preserve"> </w:t>
      </w:r>
      <w:r>
        <w:rPr>
          <w:rFonts w:ascii="Gill Sans MT" w:hAnsi="Gill Sans MT" w:cs="Gill Sans MT"/>
        </w:rPr>
        <w:t>Developmental</w:t>
      </w:r>
      <w:r>
        <w:rPr>
          <w:rFonts w:ascii="Gill Sans MT" w:hAnsi="Gill Sans MT" w:cs="Gill Sans MT"/>
          <w:spacing w:val="-20"/>
        </w:rPr>
        <w:t xml:space="preserve"> </w:t>
      </w:r>
      <w:r>
        <w:rPr>
          <w:rFonts w:ascii="Gill Sans MT" w:hAnsi="Gill Sans MT" w:cs="Gill Sans MT"/>
        </w:rPr>
        <w:t>Disabilities</w:t>
      </w:r>
      <w:r>
        <w:rPr>
          <w:rFonts w:ascii="Gill Sans MT" w:hAnsi="Gill Sans MT" w:cs="Gill Sans MT"/>
          <w:spacing w:val="-16"/>
        </w:rPr>
        <w:t xml:space="preserve"> </w:t>
      </w:r>
      <w:r>
        <w:rPr>
          <w:rFonts w:ascii="Gill Sans MT" w:hAnsi="Gill Sans MT" w:cs="Gill Sans MT"/>
        </w:rPr>
        <w:t>Providers,</w:t>
      </w:r>
      <w:r>
        <w:rPr>
          <w:rFonts w:ascii="Gill Sans MT" w:hAnsi="Gill Sans MT" w:cs="Gill Sans MT"/>
          <w:spacing w:val="-20"/>
        </w:rPr>
        <w:t xml:space="preserve"> </w:t>
      </w:r>
      <w:r>
        <w:rPr>
          <w:rFonts w:ascii="Gill Sans MT" w:hAnsi="Gill Sans MT" w:cs="Gill Sans MT"/>
        </w:rPr>
        <w:t>we</w:t>
      </w:r>
      <w:r>
        <w:rPr>
          <w:rFonts w:ascii="Gill Sans MT" w:hAnsi="Gill Sans MT" w:cs="Gill Sans MT"/>
          <w:spacing w:val="-15"/>
        </w:rPr>
        <w:t xml:space="preserve"> </w:t>
      </w:r>
      <w:r>
        <w:rPr>
          <w:rFonts w:ascii="Gill Sans MT" w:hAnsi="Gill Sans MT" w:cs="Gill Sans MT"/>
        </w:rPr>
        <w:t xml:space="preserve">wish </w:t>
      </w:r>
      <w:r w:rsidR="00607624">
        <w:rPr>
          <w:rFonts w:ascii="Arial Narrow" w:hAnsi="Arial Narrow" w:cs="Arial Narrow"/>
        </w:rPr>
        <w:t xml:space="preserve">to provide the following </w:t>
      </w:r>
      <w:r>
        <w:rPr>
          <w:rFonts w:ascii="Arial Narrow" w:hAnsi="Arial Narrow" w:cs="Arial Narrow"/>
        </w:rPr>
        <w:t xml:space="preserve">feedback  and  recommendations  regarding  the  Commonwealth’s  proposed  Section  </w:t>
      </w:r>
      <w:r>
        <w:rPr>
          <w:rFonts w:ascii="Gill Sans MT" w:hAnsi="Gill Sans MT" w:cs="Gill Sans MT"/>
        </w:rPr>
        <w:t>1115</w:t>
      </w:r>
      <w:r>
        <w:rPr>
          <w:rFonts w:ascii="Gill Sans MT" w:hAnsi="Gill Sans MT" w:cs="Gill Sans MT"/>
          <w:spacing w:val="-27"/>
        </w:rPr>
        <w:t xml:space="preserve"> </w:t>
      </w:r>
      <w:r>
        <w:rPr>
          <w:rFonts w:ascii="Gill Sans MT" w:hAnsi="Gill Sans MT" w:cs="Gill Sans MT"/>
          <w:spacing w:val="-3"/>
        </w:rPr>
        <w:t>Waiver</w:t>
      </w:r>
      <w:r>
        <w:rPr>
          <w:rFonts w:ascii="Gill Sans MT" w:hAnsi="Gill Sans MT" w:cs="Gill Sans MT"/>
          <w:spacing w:val="-26"/>
        </w:rPr>
        <w:t xml:space="preserve"> </w:t>
      </w:r>
      <w:r>
        <w:rPr>
          <w:rFonts w:ascii="Gill Sans MT" w:hAnsi="Gill Sans MT" w:cs="Gill Sans MT"/>
          <w:spacing w:val="-3"/>
        </w:rPr>
        <w:t>Demonstration</w:t>
      </w:r>
      <w:r>
        <w:rPr>
          <w:rFonts w:ascii="Gill Sans MT" w:hAnsi="Gill Sans MT" w:cs="Gill Sans MT"/>
          <w:spacing w:val="-27"/>
        </w:rPr>
        <w:t xml:space="preserve"> </w:t>
      </w:r>
      <w:r>
        <w:rPr>
          <w:rFonts w:ascii="Gill Sans MT" w:hAnsi="Gill Sans MT" w:cs="Gill Sans MT"/>
          <w:spacing w:val="-3"/>
        </w:rPr>
        <w:t>Project</w:t>
      </w:r>
      <w:r>
        <w:rPr>
          <w:rFonts w:ascii="Gill Sans MT" w:hAnsi="Gill Sans MT" w:cs="Gill Sans MT"/>
          <w:spacing w:val="-24"/>
        </w:rPr>
        <w:t xml:space="preserve"> </w:t>
      </w:r>
      <w:r>
        <w:rPr>
          <w:rFonts w:ascii="Gill Sans MT" w:hAnsi="Gill Sans MT" w:cs="Gill Sans MT"/>
          <w:spacing w:val="-3"/>
        </w:rPr>
        <w:t>Amendment</w:t>
      </w:r>
      <w:r>
        <w:rPr>
          <w:rFonts w:ascii="Gill Sans MT" w:hAnsi="Gill Sans MT" w:cs="Gill Sans MT"/>
          <w:spacing w:val="-27"/>
        </w:rPr>
        <w:t xml:space="preserve"> </w:t>
      </w:r>
      <w:r>
        <w:rPr>
          <w:rFonts w:ascii="Gill Sans MT" w:hAnsi="Gill Sans MT" w:cs="Gill Sans MT"/>
        </w:rPr>
        <w:t>and</w:t>
      </w:r>
      <w:r>
        <w:rPr>
          <w:rFonts w:ascii="Gill Sans MT" w:hAnsi="Gill Sans MT" w:cs="Gill Sans MT"/>
          <w:spacing w:val="-25"/>
        </w:rPr>
        <w:t xml:space="preserve"> </w:t>
      </w:r>
      <w:r>
        <w:rPr>
          <w:rFonts w:ascii="Gill Sans MT" w:hAnsi="Gill Sans MT" w:cs="Gill Sans MT"/>
          <w:spacing w:val="-3"/>
        </w:rPr>
        <w:t>Extension</w:t>
      </w:r>
      <w:r>
        <w:rPr>
          <w:rFonts w:ascii="Gill Sans MT" w:hAnsi="Gill Sans MT" w:cs="Gill Sans MT"/>
          <w:spacing w:val="-25"/>
        </w:rPr>
        <w:t xml:space="preserve"> </w:t>
      </w:r>
      <w:r>
        <w:rPr>
          <w:rFonts w:ascii="Gill Sans MT" w:hAnsi="Gill Sans MT" w:cs="Gill Sans MT"/>
          <w:spacing w:val="-3"/>
        </w:rPr>
        <w:t>Request</w:t>
      </w:r>
      <w:r>
        <w:rPr>
          <w:rFonts w:ascii="Gill Sans MT" w:hAnsi="Gill Sans MT" w:cs="Gill Sans MT"/>
          <w:spacing w:val="-22"/>
        </w:rPr>
        <w:t xml:space="preserve"> </w:t>
      </w:r>
      <w:r>
        <w:rPr>
          <w:rFonts w:ascii="Arial Narrow" w:hAnsi="Arial Narrow" w:cs="Arial Narrow"/>
        </w:rPr>
        <w:t>(“the</w:t>
      </w:r>
      <w:r>
        <w:rPr>
          <w:rFonts w:ascii="Arial Narrow" w:hAnsi="Arial Narrow" w:cs="Arial Narrow"/>
          <w:spacing w:val="-14"/>
        </w:rPr>
        <w:t xml:space="preserve"> </w:t>
      </w:r>
      <w:r>
        <w:rPr>
          <w:rFonts w:ascii="Arial Narrow" w:hAnsi="Arial Narrow" w:cs="Arial Narrow"/>
        </w:rPr>
        <w:t>Waiver”)</w:t>
      </w:r>
      <w:r>
        <w:rPr>
          <w:rFonts w:ascii="Gill Sans MT" w:hAnsi="Gill Sans MT" w:cs="Gill Sans MT"/>
        </w:rPr>
        <w:t>.</w:t>
      </w:r>
    </w:p>
    <w:p w:rsidR="002C5025" w:rsidRDefault="002C5025">
      <w:pPr>
        <w:pStyle w:val="BodyText"/>
        <w:kinsoku w:val="0"/>
        <w:overflowPunct w:val="0"/>
        <w:spacing w:before="5"/>
        <w:rPr>
          <w:rFonts w:ascii="Gill Sans MT" w:hAnsi="Gill Sans MT" w:cs="Gill Sans MT"/>
          <w:sz w:val="24"/>
          <w:szCs w:val="24"/>
        </w:rPr>
      </w:pPr>
    </w:p>
    <w:p w:rsidR="002C5025" w:rsidRDefault="002C5025">
      <w:pPr>
        <w:pStyle w:val="BodyText"/>
        <w:kinsoku w:val="0"/>
        <w:overflowPunct w:val="0"/>
        <w:spacing w:line="264" w:lineRule="auto"/>
        <w:ind w:left="120" w:right="105"/>
        <w:jc w:val="both"/>
        <w:rPr>
          <w:rFonts w:ascii="Gill Sans MT" w:hAnsi="Gill Sans MT" w:cs="Gill Sans MT"/>
        </w:rPr>
      </w:pPr>
      <w:r>
        <w:rPr>
          <w:rFonts w:ascii="Gill Sans MT" w:hAnsi="Gill Sans MT" w:cs="Gill Sans MT"/>
        </w:rPr>
        <w:t>We</w:t>
      </w:r>
      <w:r>
        <w:rPr>
          <w:rFonts w:ascii="Gill Sans MT" w:hAnsi="Gill Sans MT" w:cs="Gill Sans MT"/>
          <w:spacing w:val="-3"/>
        </w:rPr>
        <w:t xml:space="preserve"> commend EOHHS </w:t>
      </w:r>
      <w:r>
        <w:rPr>
          <w:rFonts w:ascii="Gill Sans MT" w:hAnsi="Gill Sans MT" w:cs="Gill Sans MT"/>
        </w:rPr>
        <w:t>and</w:t>
      </w:r>
      <w:r>
        <w:rPr>
          <w:rFonts w:ascii="Gill Sans MT" w:hAnsi="Gill Sans MT" w:cs="Gill Sans MT"/>
          <w:spacing w:val="-8"/>
        </w:rPr>
        <w:t xml:space="preserve"> </w:t>
      </w:r>
      <w:r>
        <w:rPr>
          <w:rFonts w:ascii="Gill Sans MT" w:hAnsi="Gill Sans MT" w:cs="Gill Sans MT"/>
        </w:rPr>
        <w:t>MassHealth</w:t>
      </w:r>
      <w:r>
        <w:rPr>
          <w:rFonts w:ascii="Gill Sans MT" w:hAnsi="Gill Sans MT" w:cs="Gill Sans MT"/>
          <w:spacing w:val="-6"/>
        </w:rPr>
        <w:t xml:space="preserve"> </w:t>
      </w:r>
      <w:r>
        <w:rPr>
          <w:rFonts w:ascii="Gill Sans MT" w:hAnsi="Gill Sans MT" w:cs="Gill Sans MT"/>
        </w:rPr>
        <w:t>for</w:t>
      </w:r>
      <w:r>
        <w:rPr>
          <w:rFonts w:ascii="Gill Sans MT" w:hAnsi="Gill Sans MT" w:cs="Gill Sans MT"/>
          <w:spacing w:val="-7"/>
        </w:rPr>
        <w:t xml:space="preserve"> </w:t>
      </w:r>
      <w:r>
        <w:rPr>
          <w:rFonts w:ascii="Gill Sans MT" w:hAnsi="Gill Sans MT" w:cs="Gill Sans MT"/>
        </w:rPr>
        <w:t>the</w:t>
      </w:r>
      <w:r>
        <w:rPr>
          <w:rFonts w:ascii="Gill Sans MT" w:hAnsi="Gill Sans MT" w:cs="Gill Sans MT"/>
          <w:spacing w:val="-3"/>
        </w:rPr>
        <w:t xml:space="preserve"> </w:t>
      </w:r>
      <w:r>
        <w:rPr>
          <w:rFonts w:ascii="Gill Sans MT" w:hAnsi="Gill Sans MT" w:cs="Gill Sans MT"/>
        </w:rPr>
        <w:t>inclusive</w:t>
      </w:r>
      <w:r>
        <w:rPr>
          <w:rFonts w:ascii="Gill Sans MT" w:hAnsi="Gill Sans MT" w:cs="Gill Sans MT"/>
          <w:spacing w:val="-3"/>
        </w:rPr>
        <w:t xml:space="preserve"> </w:t>
      </w:r>
      <w:r>
        <w:rPr>
          <w:rFonts w:ascii="Gill Sans MT" w:hAnsi="Gill Sans MT" w:cs="Gill Sans MT"/>
        </w:rPr>
        <w:t>manner</w:t>
      </w:r>
      <w:r>
        <w:rPr>
          <w:rFonts w:ascii="Gill Sans MT" w:hAnsi="Gill Sans MT" w:cs="Gill Sans MT"/>
          <w:spacing w:val="-4"/>
        </w:rPr>
        <w:t xml:space="preserve"> </w:t>
      </w:r>
      <w:r>
        <w:rPr>
          <w:rFonts w:ascii="Gill Sans MT" w:hAnsi="Gill Sans MT" w:cs="Gill Sans MT"/>
        </w:rPr>
        <w:t>in</w:t>
      </w:r>
      <w:r>
        <w:rPr>
          <w:rFonts w:ascii="Gill Sans MT" w:hAnsi="Gill Sans MT" w:cs="Gill Sans MT"/>
          <w:spacing w:val="-3"/>
        </w:rPr>
        <w:t xml:space="preserve"> </w:t>
      </w:r>
      <w:r>
        <w:rPr>
          <w:rFonts w:ascii="Gill Sans MT" w:hAnsi="Gill Sans MT" w:cs="Gill Sans MT"/>
        </w:rPr>
        <w:t>which</w:t>
      </w:r>
      <w:r>
        <w:rPr>
          <w:rFonts w:ascii="Gill Sans MT" w:hAnsi="Gill Sans MT" w:cs="Gill Sans MT"/>
          <w:spacing w:val="-6"/>
        </w:rPr>
        <w:t xml:space="preserve"> </w:t>
      </w:r>
      <w:r>
        <w:rPr>
          <w:rFonts w:ascii="Gill Sans MT" w:hAnsi="Gill Sans MT" w:cs="Gill Sans MT"/>
        </w:rPr>
        <w:t>input</w:t>
      </w:r>
      <w:r>
        <w:rPr>
          <w:rFonts w:ascii="Gill Sans MT" w:hAnsi="Gill Sans MT" w:cs="Gill Sans MT"/>
          <w:spacing w:val="-5"/>
        </w:rPr>
        <w:t xml:space="preserve"> </w:t>
      </w:r>
      <w:r>
        <w:rPr>
          <w:rFonts w:ascii="Gill Sans MT" w:hAnsi="Gill Sans MT" w:cs="Gill Sans MT"/>
        </w:rPr>
        <w:t>was</w:t>
      </w:r>
      <w:r>
        <w:rPr>
          <w:rFonts w:ascii="Gill Sans MT" w:hAnsi="Gill Sans MT" w:cs="Gill Sans MT"/>
          <w:spacing w:val="-2"/>
        </w:rPr>
        <w:t xml:space="preserve"> </w:t>
      </w:r>
      <w:r>
        <w:rPr>
          <w:rFonts w:ascii="Gill Sans MT" w:hAnsi="Gill Sans MT" w:cs="Gill Sans MT"/>
        </w:rPr>
        <w:t>actively</w:t>
      </w:r>
      <w:r>
        <w:rPr>
          <w:rFonts w:ascii="Gill Sans MT" w:hAnsi="Gill Sans MT" w:cs="Gill Sans MT"/>
          <w:spacing w:val="-1"/>
        </w:rPr>
        <w:t xml:space="preserve"> </w:t>
      </w:r>
      <w:r>
        <w:rPr>
          <w:rFonts w:ascii="Gill Sans MT" w:hAnsi="Gill Sans MT" w:cs="Gill Sans MT"/>
        </w:rPr>
        <w:t>sought</w:t>
      </w:r>
      <w:r>
        <w:rPr>
          <w:rFonts w:ascii="Gill Sans MT" w:hAnsi="Gill Sans MT" w:cs="Gill Sans MT"/>
          <w:spacing w:val="-7"/>
        </w:rPr>
        <w:t xml:space="preserve"> </w:t>
      </w:r>
      <w:r>
        <w:rPr>
          <w:rFonts w:ascii="Gill Sans MT" w:hAnsi="Gill Sans MT" w:cs="Gill Sans MT"/>
        </w:rPr>
        <w:t>by</w:t>
      </w:r>
      <w:r>
        <w:rPr>
          <w:rFonts w:ascii="Gill Sans MT" w:hAnsi="Gill Sans MT" w:cs="Gill Sans MT"/>
          <w:spacing w:val="-4"/>
        </w:rPr>
        <w:t xml:space="preserve"> </w:t>
      </w:r>
      <w:r>
        <w:rPr>
          <w:rFonts w:ascii="Gill Sans MT" w:hAnsi="Gill Sans MT" w:cs="Gill Sans MT"/>
          <w:spacing w:val="-3"/>
        </w:rPr>
        <w:t xml:space="preserve">the </w:t>
      </w:r>
      <w:r>
        <w:rPr>
          <w:rFonts w:ascii="Gill Sans MT" w:hAnsi="Gill Sans MT" w:cs="Gill Sans MT"/>
        </w:rPr>
        <w:t>Administration</w:t>
      </w:r>
      <w:r>
        <w:rPr>
          <w:rFonts w:ascii="Gill Sans MT" w:hAnsi="Gill Sans MT" w:cs="Gill Sans MT"/>
          <w:spacing w:val="-11"/>
        </w:rPr>
        <w:t xml:space="preserve"> </w:t>
      </w:r>
      <w:r>
        <w:rPr>
          <w:rFonts w:ascii="Gill Sans MT" w:hAnsi="Gill Sans MT" w:cs="Gill Sans MT"/>
        </w:rPr>
        <w:t>to</w:t>
      </w:r>
      <w:r>
        <w:rPr>
          <w:rFonts w:ascii="Gill Sans MT" w:hAnsi="Gill Sans MT" w:cs="Gill Sans MT"/>
          <w:spacing w:val="-11"/>
        </w:rPr>
        <w:t xml:space="preserve"> </w:t>
      </w:r>
      <w:r>
        <w:rPr>
          <w:rFonts w:ascii="Gill Sans MT" w:hAnsi="Gill Sans MT" w:cs="Gill Sans MT"/>
          <w:spacing w:val="-3"/>
        </w:rPr>
        <w:t>develop</w:t>
      </w:r>
      <w:r>
        <w:rPr>
          <w:rFonts w:ascii="Gill Sans MT" w:hAnsi="Gill Sans MT" w:cs="Gill Sans MT"/>
          <w:spacing w:val="-9"/>
        </w:rPr>
        <w:t xml:space="preserve"> </w:t>
      </w:r>
      <w:r>
        <w:rPr>
          <w:rFonts w:ascii="Gill Sans MT" w:hAnsi="Gill Sans MT" w:cs="Gill Sans MT"/>
        </w:rPr>
        <w:t>a</w:t>
      </w:r>
      <w:r>
        <w:rPr>
          <w:rFonts w:ascii="Gill Sans MT" w:hAnsi="Gill Sans MT" w:cs="Gill Sans MT"/>
          <w:spacing w:val="-7"/>
        </w:rPr>
        <w:t xml:space="preserve"> </w:t>
      </w:r>
      <w:r>
        <w:rPr>
          <w:rFonts w:ascii="Gill Sans MT" w:hAnsi="Gill Sans MT" w:cs="Gill Sans MT"/>
        </w:rPr>
        <w:t>proposal</w:t>
      </w:r>
      <w:r>
        <w:rPr>
          <w:rFonts w:ascii="Gill Sans MT" w:hAnsi="Gill Sans MT" w:cs="Gill Sans MT"/>
          <w:spacing w:val="-9"/>
        </w:rPr>
        <w:t xml:space="preserve"> </w:t>
      </w:r>
      <w:r>
        <w:rPr>
          <w:rFonts w:ascii="Gill Sans MT" w:hAnsi="Gill Sans MT" w:cs="Gill Sans MT"/>
          <w:spacing w:val="-3"/>
        </w:rPr>
        <w:t>that</w:t>
      </w:r>
      <w:r>
        <w:rPr>
          <w:rFonts w:ascii="Gill Sans MT" w:hAnsi="Gill Sans MT" w:cs="Gill Sans MT"/>
          <w:spacing w:val="-8"/>
        </w:rPr>
        <w:t xml:space="preserve"> </w:t>
      </w:r>
      <w:r>
        <w:rPr>
          <w:rFonts w:ascii="Gill Sans MT" w:hAnsi="Gill Sans MT" w:cs="Gill Sans MT"/>
        </w:rPr>
        <w:t>reflects</w:t>
      </w:r>
      <w:r>
        <w:rPr>
          <w:rFonts w:ascii="Gill Sans MT" w:hAnsi="Gill Sans MT" w:cs="Gill Sans MT"/>
          <w:spacing w:val="-7"/>
        </w:rPr>
        <w:t xml:space="preserve"> </w:t>
      </w:r>
      <w:r>
        <w:rPr>
          <w:rFonts w:ascii="Gill Sans MT" w:hAnsi="Gill Sans MT" w:cs="Gill Sans MT"/>
          <w:spacing w:val="-3"/>
        </w:rPr>
        <w:t>the</w:t>
      </w:r>
      <w:r>
        <w:rPr>
          <w:rFonts w:ascii="Gill Sans MT" w:hAnsi="Gill Sans MT" w:cs="Gill Sans MT"/>
          <w:spacing w:val="-9"/>
        </w:rPr>
        <w:t xml:space="preserve"> </w:t>
      </w:r>
      <w:r>
        <w:rPr>
          <w:rFonts w:ascii="Gill Sans MT" w:hAnsi="Gill Sans MT" w:cs="Gill Sans MT"/>
          <w:spacing w:val="-3"/>
        </w:rPr>
        <w:t>contributions</w:t>
      </w:r>
      <w:r>
        <w:rPr>
          <w:rFonts w:ascii="Gill Sans MT" w:hAnsi="Gill Sans MT" w:cs="Gill Sans MT"/>
          <w:spacing w:val="-7"/>
        </w:rPr>
        <w:t xml:space="preserve"> </w:t>
      </w:r>
      <w:r>
        <w:rPr>
          <w:rFonts w:ascii="Gill Sans MT" w:hAnsi="Gill Sans MT" w:cs="Gill Sans MT"/>
        </w:rPr>
        <w:t>of</w:t>
      </w:r>
      <w:r>
        <w:rPr>
          <w:rFonts w:ascii="Gill Sans MT" w:hAnsi="Gill Sans MT" w:cs="Gill Sans MT"/>
          <w:spacing w:val="-9"/>
        </w:rPr>
        <w:t xml:space="preserve"> </w:t>
      </w:r>
      <w:r>
        <w:rPr>
          <w:rFonts w:ascii="Gill Sans MT" w:hAnsi="Gill Sans MT" w:cs="Gill Sans MT"/>
        </w:rPr>
        <w:t>MassHealth</w:t>
      </w:r>
      <w:r>
        <w:rPr>
          <w:rFonts w:ascii="Gill Sans MT" w:hAnsi="Gill Sans MT" w:cs="Gill Sans MT"/>
          <w:spacing w:val="-9"/>
        </w:rPr>
        <w:t xml:space="preserve"> </w:t>
      </w:r>
      <w:r>
        <w:rPr>
          <w:rFonts w:ascii="Gill Sans MT" w:hAnsi="Gill Sans MT" w:cs="Gill Sans MT"/>
          <w:spacing w:val="-3"/>
        </w:rPr>
        <w:t>members,</w:t>
      </w:r>
      <w:r>
        <w:rPr>
          <w:rFonts w:ascii="Gill Sans MT" w:hAnsi="Gill Sans MT" w:cs="Gill Sans MT"/>
          <w:spacing w:val="-12"/>
        </w:rPr>
        <w:t xml:space="preserve"> </w:t>
      </w:r>
      <w:r>
        <w:rPr>
          <w:rFonts w:ascii="Gill Sans MT" w:hAnsi="Gill Sans MT" w:cs="Gill Sans MT"/>
          <w:spacing w:val="-3"/>
        </w:rPr>
        <w:t xml:space="preserve">stakeholders, </w:t>
      </w:r>
      <w:r>
        <w:rPr>
          <w:rFonts w:ascii="Gill Sans MT" w:hAnsi="Gill Sans MT" w:cs="Gill Sans MT"/>
        </w:rPr>
        <w:t>providers</w:t>
      </w:r>
      <w:r>
        <w:rPr>
          <w:rFonts w:ascii="Gill Sans MT" w:hAnsi="Gill Sans MT" w:cs="Gill Sans MT"/>
          <w:spacing w:val="-23"/>
        </w:rPr>
        <w:t xml:space="preserve"> </w:t>
      </w:r>
      <w:r>
        <w:rPr>
          <w:rFonts w:ascii="Gill Sans MT" w:hAnsi="Gill Sans MT" w:cs="Gill Sans MT"/>
        </w:rPr>
        <w:t>and</w:t>
      </w:r>
      <w:r>
        <w:rPr>
          <w:rFonts w:ascii="Gill Sans MT" w:hAnsi="Gill Sans MT" w:cs="Gill Sans MT"/>
          <w:spacing w:val="-19"/>
        </w:rPr>
        <w:t xml:space="preserve"> </w:t>
      </w:r>
      <w:r>
        <w:rPr>
          <w:rFonts w:ascii="Gill Sans MT" w:hAnsi="Gill Sans MT" w:cs="Gill Sans MT"/>
        </w:rPr>
        <w:t>a</w:t>
      </w:r>
      <w:r>
        <w:rPr>
          <w:rFonts w:ascii="Gill Sans MT" w:hAnsi="Gill Sans MT" w:cs="Gill Sans MT"/>
          <w:spacing w:val="-18"/>
        </w:rPr>
        <w:t xml:space="preserve"> </w:t>
      </w:r>
      <w:r>
        <w:rPr>
          <w:rFonts w:ascii="Gill Sans MT" w:hAnsi="Gill Sans MT" w:cs="Gill Sans MT"/>
          <w:spacing w:val="-3"/>
        </w:rPr>
        <w:t>diverse</w:t>
      </w:r>
      <w:r>
        <w:rPr>
          <w:rFonts w:ascii="Gill Sans MT" w:hAnsi="Gill Sans MT" w:cs="Gill Sans MT"/>
          <w:spacing w:val="-22"/>
        </w:rPr>
        <w:t xml:space="preserve"> </w:t>
      </w:r>
      <w:r>
        <w:rPr>
          <w:rFonts w:ascii="Gill Sans MT" w:hAnsi="Gill Sans MT" w:cs="Gill Sans MT"/>
          <w:spacing w:val="-4"/>
        </w:rPr>
        <w:t>representation</w:t>
      </w:r>
      <w:r>
        <w:rPr>
          <w:rFonts w:ascii="Gill Sans MT" w:hAnsi="Gill Sans MT" w:cs="Gill Sans MT"/>
          <w:spacing w:val="-19"/>
        </w:rPr>
        <w:t xml:space="preserve"> </w:t>
      </w:r>
      <w:r>
        <w:rPr>
          <w:rFonts w:ascii="Gill Sans MT" w:hAnsi="Gill Sans MT" w:cs="Gill Sans MT"/>
        </w:rPr>
        <w:t>of</w:t>
      </w:r>
      <w:r>
        <w:rPr>
          <w:rFonts w:ascii="Gill Sans MT" w:hAnsi="Gill Sans MT" w:cs="Gill Sans MT"/>
          <w:spacing w:val="-19"/>
        </w:rPr>
        <w:t xml:space="preserve"> </w:t>
      </w:r>
      <w:r>
        <w:rPr>
          <w:rFonts w:ascii="Gill Sans MT" w:hAnsi="Gill Sans MT" w:cs="Gill Sans MT"/>
        </w:rPr>
        <w:t>interested</w:t>
      </w:r>
      <w:r>
        <w:rPr>
          <w:rFonts w:ascii="Gill Sans MT" w:hAnsi="Gill Sans MT" w:cs="Gill Sans MT"/>
          <w:spacing w:val="-21"/>
        </w:rPr>
        <w:t xml:space="preserve"> </w:t>
      </w:r>
      <w:r>
        <w:rPr>
          <w:rFonts w:ascii="Gill Sans MT" w:hAnsi="Gill Sans MT" w:cs="Gill Sans MT"/>
          <w:spacing w:val="-4"/>
        </w:rPr>
        <w:t>parties.</w:t>
      </w:r>
      <w:r>
        <w:rPr>
          <w:rFonts w:ascii="Gill Sans MT" w:hAnsi="Gill Sans MT" w:cs="Gill Sans MT"/>
          <w:spacing w:val="18"/>
        </w:rPr>
        <w:t xml:space="preserve"> </w:t>
      </w:r>
      <w:r>
        <w:rPr>
          <w:rFonts w:ascii="Gill Sans MT" w:hAnsi="Gill Sans MT" w:cs="Gill Sans MT"/>
        </w:rPr>
        <w:t>We</w:t>
      </w:r>
      <w:r>
        <w:rPr>
          <w:rFonts w:ascii="Gill Sans MT" w:hAnsi="Gill Sans MT" w:cs="Gill Sans MT"/>
          <w:spacing w:val="-17"/>
        </w:rPr>
        <w:t xml:space="preserve"> </w:t>
      </w:r>
      <w:r>
        <w:rPr>
          <w:rFonts w:ascii="Gill Sans MT" w:hAnsi="Gill Sans MT" w:cs="Gill Sans MT"/>
        </w:rPr>
        <w:t>hope</w:t>
      </w:r>
      <w:r>
        <w:rPr>
          <w:rFonts w:ascii="Gill Sans MT" w:hAnsi="Gill Sans MT" w:cs="Gill Sans MT"/>
          <w:spacing w:val="-19"/>
        </w:rPr>
        <w:t xml:space="preserve"> </w:t>
      </w:r>
      <w:r>
        <w:rPr>
          <w:rFonts w:ascii="Gill Sans MT" w:hAnsi="Gill Sans MT" w:cs="Gill Sans MT"/>
        </w:rPr>
        <w:t>to</w:t>
      </w:r>
      <w:r>
        <w:rPr>
          <w:rFonts w:ascii="Gill Sans MT" w:hAnsi="Gill Sans MT" w:cs="Gill Sans MT"/>
          <w:spacing w:val="-21"/>
        </w:rPr>
        <w:t xml:space="preserve"> </w:t>
      </w:r>
      <w:r>
        <w:rPr>
          <w:rFonts w:ascii="Gill Sans MT" w:hAnsi="Gill Sans MT" w:cs="Gill Sans MT"/>
        </w:rPr>
        <w:t>be</w:t>
      </w:r>
      <w:r>
        <w:rPr>
          <w:rFonts w:ascii="Gill Sans MT" w:hAnsi="Gill Sans MT" w:cs="Gill Sans MT"/>
          <w:spacing w:val="-20"/>
        </w:rPr>
        <w:t xml:space="preserve"> </w:t>
      </w:r>
      <w:r>
        <w:rPr>
          <w:rFonts w:ascii="Gill Sans MT" w:hAnsi="Gill Sans MT" w:cs="Gill Sans MT"/>
        </w:rPr>
        <w:t>able</w:t>
      </w:r>
      <w:r>
        <w:rPr>
          <w:rFonts w:ascii="Gill Sans MT" w:hAnsi="Gill Sans MT" w:cs="Gill Sans MT"/>
          <w:spacing w:val="-17"/>
        </w:rPr>
        <w:t xml:space="preserve"> </w:t>
      </w:r>
      <w:r>
        <w:rPr>
          <w:rFonts w:ascii="Gill Sans MT" w:hAnsi="Gill Sans MT" w:cs="Gill Sans MT"/>
        </w:rPr>
        <w:t>to</w:t>
      </w:r>
      <w:r>
        <w:rPr>
          <w:rFonts w:ascii="Gill Sans MT" w:hAnsi="Gill Sans MT" w:cs="Gill Sans MT"/>
          <w:spacing w:val="-21"/>
        </w:rPr>
        <w:t xml:space="preserve"> </w:t>
      </w:r>
      <w:r>
        <w:rPr>
          <w:rFonts w:ascii="Gill Sans MT" w:hAnsi="Gill Sans MT" w:cs="Gill Sans MT"/>
          <w:spacing w:val="-3"/>
        </w:rPr>
        <w:t>continue</w:t>
      </w:r>
      <w:r>
        <w:rPr>
          <w:rFonts w:ascii="Gill Sans MT" w:hAnsi="Gill Sans MT" w:cs="Gill Sans MT"/>
          <w:spacing w:val="-17"/>
        </w:rPr>
        <w:t xml:space="preserve"> </w:t>
      </w:r>
      <w:r>
        <w:rPr>
          <w:rFonts w:ascii="Gill Sans MT" w:hAnsi="Gill Sans MT" w:cs="Gill Sans MT"/>
          <w:spacing w:val="-3"/>
        </w:rPr>
        <w:t>the</w:t>
      </w:r>
      <w:r>
        <w:rPr>
          <w:rFonts w:ascii="Gill Sans MT" w:hAnsi="Gill Sans MT" w:cs="Gill Sans MT"/>
          <w:spacing w:val="-20"/>
        </w:rPr>
        <w:t xml:space="preserve"> </w:t>
      </w:r>
      <w:r>
        <w:rPr>
          <w:rFonts w:ascii="Gill Sans MT" w:hAnsi="Gill Sans MT" w:cs="Gill Sans MT"/>
        </w:rPr>
        <w:t>dialogue</w:t>
      </w:r>
      <w:r>
        <w:rPr>
          <w:rFonts w:ascii="Gill Sans MT" w:hAnsi="Gill Sans MT" w:cs="Gill Sans MT"/>
          <w:spacing w:val="-20"/>
        </w:rPr>
        <w:t xml:space="preserve"> </w:t>
      </w:r>
      <w:r>
        <w:rPr>
          <w:rFonts w:ascii="Gill Sans MT" w:hAnsi="Gill Sans MT" w:cs="Gill Sans MT"/>
        </w:rPr>
        <w:t xml:space="preserve">on an ongoing basis as MassHealth moves </w:t>
      </w:r>
      <w:r>
        <w:rPr>
          <w:rFonts w:ascii="Gill Sans MT" w:hAnsi="Gill Sans MT" w:cs="Gill Sans MT"/>
          <w:spacing w:val="-3"/>
        </w:rPr>
        <w:t xml:space="preserve">forward </w:t>
      </w:r>
      <w:r>
        <w:rPr>
          <w:rFonts w:ascii="Gill Sans MT" w:hAnsi="Gill Sans MT" w:cs="Gill Sans MT"/>
        </w:rPr>
        <w:t xml:space="preserve">on the implementation of </w:t>
      </w:r>
      <w:r>
        <w:rPr>
          <w:rFonts w:ascii="Gill Sans MT" w:hAnsi="Gill Sans MT" w:cs="Gill Sans MT"/>
          <w:spacing w:val="-3"/>
        </w:rPr>
        <w:t xml:space="preserve">the Waiver </w:t>
      </w:r>
      <w:r>
        <w:rPr>
          <w:rFonts w:ascii="Gill Sans MT" w:hAnsi="Gill Sans MT" w:cs="Gill Sans MT"/>
        </w:rPr>
        <w:t>Demonstration Project.</w:t>
      </w:r>
    </w:p>
    <w:p w:rsidR="002C5025" w:rsidRDefault="002C5025">
      <w:pPr>
        <w:pStyle w:val="BodyText"/>
        <w:kinsoku w:val="0"/>
        <w:overflowPunct w:val="0"/>
        <w:rPr>
          <w:rFonts w:ascii="Gill Sans MT" w:hAnsi="Gill Sans MT" w:cs="Gill Sans MT"/>
          <w:sz w:val="24"/>
          <w:szCs w:val="24"/>
        </w:rPr>
      </w:pPr>
    </w:p>
    <w:p w:rsidR="002C5025" w:rsidRDefault="002C5025">
      <w:pPr>
        <w:pStyle w:val="BodyText"/>
        <w:kinsoku w:val="0"/>
        <w:overflowPunct w:val="0"/>
        <w:spacing w:line="261" w:lineRule="auto"/>
        <w:ind w:left="120" w:right="114"/>
        <w:jc w:val="both"/>
        <w:rPr>
          <w:rFonts w:ascii="Gill Sans MT" w:hAnsi="Gill Sans MT" w:cs="Gill Sans MT"/>
          <w:spacing w:val="-3"/>
        </w:rPr>
      </w:pPr>
      <w:r>
        <w:rPr>
          <w:rFonts w:ascii="Gill Sans MT" w:hAnsi="Gill Sans MT" w:cs="Gill Sans MT"/>
        </w:rPr>
        <w:t xml:space="preserve">We believe </w:t>
      </w:r>
      <w:r>
        <w:rPr>
          <w:rFonts w:ascii="Gill Sans MT" w:hAnsi="Gill Sans MT" w:cs="Gill Sans MT"/>
          <w:spacing w:val="-3"/>
        </w:rPr>
        <w:t xml:space="preserve">that </w:t>
      </w:r>
      <w:r>
        <w:rPr>
          <w:rFonts w:ascii="Gill Sans MT" w:hAnsi="Gill Sans MT" w:cs="Gill Sans MT"/>
        </w:rPr>
        <w:t xml:space="preserve">many </w:t>
      </w:r>
      <w:r>
        <w:rPr>
          <w:rFonts w:ascii="Gill Sans MT" w:hAnsi="Gill Sans MT" w:cs="Gill Sans MT"/>
          <w:spacing w:val="-3"/>
        </w:rPr>
        <w:t xml:space="preserve">features </w:t>
      </w:r>
      <w:r>
        <w:rPr>
          <w:rFonts w:ascii="Gill Sans MT" w:hAnsi="Gill Sans MT" w:cs="Gill Sans MT"/>
        </w:rPr>
        <w:t xml:space="preserve">of </w:t>
      </w:r>
      <w:r>
        <w:rPr>
          <w:rFonts w:ascii="Gill Sans MT" w:hAnsi="Gill Sans MT" w:cs="Gill Sans MT"/>
          <w:spacing w:val="-3"/>
        </w:rPr>
        <w:t xml:space="preserve">the Waiver </w:t>
      </w:r>
      <w:r>
        <w:rPr>
          <w:rFonts w:ascii="Gill Sans MT" w:hAnsi="Gill Sans MT" w:cs="Gill Sans MT"/>
          <w:spacing w:val="-2"/>
        </w:rPr>
        <w:t xml:space="preserve">Demonstration </w:t>
      </w:r>
      <w:r>
        <w:rPr>
          <w:rFonts w:ascii="Gill Sans MT" w:hAnsi="Gill Sans MT" w:cs="Gill Sans MT"/>
          <w:spacing w:val="-4"/>
        </w:rPr>
        <w:t xml:space="preserve">Project </w:t>
      </w:r>
      <w:r>
        <w:rPr>
          <w:rFonts w:ascii="Gill Sans MT" w:hAnsi="Gill Sans MT" w:cs="Gill Sans MT"/>
        </w:rPr>
        <w:t xml:space="preserve">are </w:t>
      </w:r>
      <w:r>
        <w:rPr>
          <w:rFonts w:ascii="Gill Sans MT" w:hAnsi="Gill Sans MT" w:cs="Gill Sans MT"/>
          <w:spacing w:val="-4"/>
        </w:rPr>
        <w:t xml:space="preserve">innovative </w:t>
      </w:r>
      <w:r>
        <w:rPr>
          <w:rFonts w:ascii="Gill Sans MT" w:hAnsi="Gill Sans MT" w:cs="Gill Sans MT"/>
        </w:rPr>
        <w:t xml:space="preserve">and provide unique opportunities to </w:t>
      </w:r>
      <w:r>
        <w:rPr>
          <w:rFonts w:ascii="Gill Sans MT" w:hAnsi="Gill Sans MT" w:cs="Gill Sans MT"/>
          <w:spacing w:val="-3"/>
        </w:rPr>
        <w:t xml:space="preserve">enhance </w:t>
      </w:r>
      <w:r>
        <w:rPr>
          <w:rFonts w:ascii="Gill Sans MT" w:hAnsi="Gill Sans MT" w:cs="Gill Sans MT"/>
        </w:rPr>
        <w:t xml:space="preserve">quality outcomes, as well as effective use of limited fiscal </w:t>
      </w:r>
      <w:r>
        <w:rPr>
          <w:rFonts w:ascii="Gill Sans MT" w:hAnsi="Gill Sans MT" w:cs="Gill Sans MT"/>
          <w:spacing w:val="-4"/>
        </w:rPr>
        <w:t>resources through</w:t>
      </w:r>
      <w:r>
        <w:rPr>
          <w:rFonts w:ascii="Gill Sans MT" w:hAnsi="Gill Sans MT" w:cs="Gill Sans MT"/>
          <w:spacing w:val="53"/>
        </w:rPr>
        <w:t xml:space="preserve"> </w:t>
      </w:r>
      <w:r>
        <w:rPr>
          <w:rFonts w:ascii="Gill Sans MT" w:hAnsi="Gill Sans MT" w:cs="Gill Sans MT"/>
        </w:rPr>
        <w:t xml:space="preserve">effective </w:t>
      </w:r>
      <w:r>
        <w:rPr>
          <w:rFonts w:ascii="Gill Sans MT" w:hAnsi="Gill Sans MT" w:cs="Gill Sans MT"/>
          <w:spacing w:val="-2"/>
        </w:rPr>
        <w:t xml:space="preserve">coordination </w:t>
      </w:r>
      <w:r>
        <w:rPr>
          <w:rFonts w:ascii="Gill Sans MT" w:hAnsi="Gill Sans MT" w:cs="Gill Sans MT"/>
        </w:rPr>
        <w:t xml:space="preserve">as DSRIP funding is </w:t>
      </w:r>
      <w:r>
        <w:rPr>
          <w:rFonts w:ascii="Gill Sans MT" w:hAnsi="Gill Sans MT" w:cs="Gill Sans MT"/>
          <w:spacing w:val="-3"/>
        </w:rPr>
        <w:t xml:space="preserve">used </w:t>
      </w:r>
      <w:r>
        <w:rPr>
          <w:rFonts w:ascii="Gill Sans MT" w:hAnsi="Gill Sans MT" w:cs="Gill Sans MT"/>
        </w:rPr>
        <w:t xml:space="preserve">to build effective </w:t>
      </w:r>
      <w:r>
        <w:rPr>
          <w:rFonts w:ascii="Gill Sans MT" w:hAnsi="Gill Sans MT" w:cs="Gill Sans MT"/>
          <w:spacing w:val="-3"/>
        </w:rPr>
        <w:t xml:space="preserve">Certified </w:t>
      </w:r>
      <w:r>
        <w:rPr>
          <w:rFonts w:ascii="Gill Sans MT" w:hAnsi="Gill Sans MT" w:cs="Gill Sans MT"/>
          <w:spacing w:val="-4"/>
        </w:rPr>
        <w:t xml:space="preserve">Community </w:t>
      </w:r>
      <w:r>
        <w:rPr>
          <w:rFonts w:ascii="Gill Sans MT" w:hAnsi="Gill Sans MT" w:cs="Gill Sans MT"/>
          <w:spacing w:val="-3"/>
        </w:rPr>
        <w:t>Partners.</w:t>
      </w:r>
    </w:p>
    <w:p w:rsidR="002C5025" w:rsidRDefault="002C5025">
      <w:pPr>
        <w:pStyle w:val="BodyText"/>
        <w:kinsoku w:val="0"/>
        <w:overflowPunct w:val="0"/>
        <w:spacing w:before="2"/>
        <w:rPr>
          <w:rFonts w:ascii="Gill Sans MT" w:hAnsi="Gill Sans MT" w:cs="Gill Sans MT"/>
          <w:sz w:val="24"/>
          <w:szCs w:val="24"/>
        </w:rPr>
      </w:pPr>
    </w:p>
    <w:p w:rsidR="002C5025" w:rsidRDefault="002C5025">
      <w:pPr>
        <w:pStyle w:val="BodyText"/>
        <w:kinsoku w:val="0"/>
        <w:overflowPunct w:val="0"/>
        <w:spacing w:line="261" w:lineRule="auto"/>
        <w:ind w:left="120" w:right="113"/>
        <w:jc w:val="both"/>
        <w:rPr>
          <w:rFonts w:ascii="Gill Sans MT" w:hAnsi="Gill Sans MT" w:cs="Gill Sans MT"/>
          <w:spacing w:val="-4"/>
        </w:rPr>
      </w:pPr>
      <w:r>
        <w:rPr>
          <w:rFonts w:ascii="Gill Sans MT" w:hAnsi="Gill Sans MT" w:cs="Gill Sans MT"/>
        </w:rPr>
        <w:t>Thus,</w:t>
      </w:r>
      <w:r>
        <w:rPr>
          <w:rFonts w:ascii="Gill Sans MT" w:hAnsi="Gill Sans MT" w:cs="Gill Sans MT"/>
          <w:spacing w:val="-21"/>
        </w:rPr>
        <w:t xml:space="preserve"> </w:t>
      </w:r>
      <w:r>
        <w:rPr>
          <w:rFonts w:ascii="Gill Sans MT" w:hAnsi="Gill Sans MT" w:cs="Gill Sans MT"/>
        </w:rPr>
        <w:t>we</w:t>
      </w:r>
      <w:r>
        <w:rPr>
          <w:rFonts w:ascii="Gill Sans MT" w:hAnsi="Gill Sans MT" w:cs="Gill Sans MT"/>
          <w:spacing w:val="-18"/>
        </w:rPr>
        <w:t xml:space="preserve"> </w:t>
      </w:r>
      <w:r>
        <w:rPr>
          <w:rFonts w:ascii="Gill Sans MT" w:hAnsi="Gill Sans MT" w:cs="Gill Sans MT"/>
        </w:rPr>
        <w:t>wish</w:t>
      </w:r>
      <w:r>
        <w:rPr>
          <w:rFonts w:ascii="Gill Sans MT" w:hAnsi="Gill Sans MT" w:cs="Gill Sans MT"/>
          <w:spacing w:val="-18"/>
        </w:rPr>
        <w:t xml:space="preserve"> </w:t>
      </w:r>
      <w:r>
        <w:rPr>
          <w:rFonts w:ascii="Gill Sans MT" w:hAnsi="Gill Sans MT" w:cs="Gill Sans MT"/>
        </w:rPr>
        <w:t>to</w:t>
      </w:r>
      <w:r>
        <w:rPr>
          <w:rFonts w:ascii="Gill Sans MT" w:hAnsi="Gill Sans MT" w:cs="Gill Sans MT"/>
          <w:spacing w:val="-22"/>
        </w:rPr>
        <w:t xml:space="preserve"> </w:t>
      </w:r>
      <w:r>
        <w:rPr>
          <w:rFonts w:ascii="Gill Sans MT" w:hAnsi="Gill Sans MT" w:cs="Gill Sans MT"/>
          <w:spacing w:val="-3"/>
        </w:rPr>
        <w:t>renew</w:t>
      </w:r>
      <w:r>
        <w:rPr>
          <w:rFonts w:ascii="Gill Sans MT" w:hAnsi="Gill Sans MT" w:cs="Gill Sans MT"/>
          <w:spacing w:val="-20"/>
        </w:rPr>
        <w:t xml:space="preserve"> </w:t>
      </w:r>
      <w:r>
        <w:rPr>
          <w:rFonts w:ascii="Gill Sans MT" w:hAnsi="Gill Sans MT" w:cs="Gill Sans MT"/>
        </w:rPr>
        <w:t>our</w:t>
      </w:r>
      <w:r>
        <w:rPr>
          <w:rFonts w:ascii="Gill Sans MT" w:hAnsi="Gill Sans MT" w:cs="Gill Sans MT"/>
          <w:spacing w:val="-24"/>
        </w:rPr>
        <w:t xml:space="preserve"> </w:t>
      </w:r>
      <w:r>
        <w:rPr>
          <w:rFonts w:ascii="Gill Sans MT" w:hAnsi="Gill Sans MT" w:cs="Gill Sans MT"/>
          <w:spacing w:val="-3"/>
        </w:rPr>
        <w:t>recommendations</w:t>
      </w:r>
      <w:r>
        <w:rPr>
          <w:rFonts w:ascii="Gill Sans MT" w:hAnsi="Gill Sans MT" w:cs="Gill Sans MT"/>
          <w:spacing w:val="-19"/>
        </w:rPr>
        <w:t xml:space="preserve"> </w:t>
      </w:r>
      <w:r>
        <w:rPr>
          <w:rFonts w:ascii="Gill Sans MT" w:hAnsi="Gill Sans MT" w:cs="Gill Sans MT"/>
        </w:rPr>
        <w:t>for</w:t>
      </w:r>
      <w:r>
        <w:rPr>
          <w:rFonts w:ascii="Gill Sans MT" w:hAnsi="Gill Sans MT" w:cs="Gill Sans MT"/>
          <w:spacing w:val="-24"/>
        </w:rPr>
        <w:t xml:space="preserve"> </w:t>
      </w:r>
      <w:r>
        <w:rPr>
          <w:rFonts w:ascii="Gill Sans MT" w:hAnsi="Gill Sans MT" w:cs="Gill Sans MT"/>
        </w:rPr>
        <w:t>inclusion</w:t>
      </w:r>
      <w:r>
        <w:rPr>
          <w:rFonts w:ascii="Gill Sans MT" w:hAnsi="Gill Sans MT" w:cs="Gill Sans MT"/>
          <w:spacing w:val="-20"/>
        </w:rPr>
        <w:t xml:space="preserve"> </w:t>
      </w:r>
      <w:r>
        <w:rPr>
          <w:rFonts w:ascii="Gill Sans MT" w:hAnsi="Gill Sans MT" w:cs="Gill Sans MT"/>
        </w:rPr>
        <w:t>in</w:t>
      </w:r>
      <w:r>
        <w:rPr>
          <w:rFonts w:ascii="Gill Sans MT" w:hAnsi="Gill Sans MT" w:cs="Gill Sans MT"/>
          <w:spacing w:val="-18"/>
        </w:rPr>
        <w:t xml:space="preserve"> </w:t>
      </w:r>
      <w:r>
        <w:rPr>
          <w:rFonts w:ascii="Gill Sans MT" w:hAnsi="Gill Sans MT" w:cs="Gill Sans MT"/>
        </w:rPr>
        <w:t>the</w:t>
      </w:r>
      <w:r>
        <w:rPr>
          <w:rFonts w:ascii="Gill Sans MT" w:hAnsi="Gill Sans MT" w:cs="Gill Sans MT"/>
          <w:spacing w:val="-18"/>
        </w:rPr>
        <w:t xml:space="preserve"> </w:t>
      </w:r>
      <w:r>
        <w:rPr>
          <w:rFonts w:ascii="Gill Sans MT" w:hAnsi="Gill Sans MT" w:cs="Gill Sans MT"/>
          <w:spacing w:val="-3"/>
        </w:rPr>
        <w:t>program</w:t>
      </w:r>
      <w:r>
        <w:rPr>
          <w:rFonts w:ascii="Gill Sans MT" w:hAnsi="Gill Sans MT" w:cs="Gill Sans MT"/>
          <w:spacing w:val="-20"/>
        </w:rPr>
        <w:t xml:space="preserve"> </w:t>
      </w:r>
      <w:r>
        <w:rPr>
          <w:rFonts w:ascii="Gill Sans MT" w:hAnsi="Gill Sans MT" w:cs="Gill Sans MT"/>
        </w:rPr>
        <w:t>definition</w:t>
      </w:r>
      <w:r>
        <w:rPr>
          <w:rFonts w:ascii="Gill Sans MT" w:hAnsi="Gill Sans MT" w:cs="Gill Sans MT"/>
          <w:spacing w:val="-20"/>
        </w:rPr>
        <w:t xml:space="preserve"> </w:t>
      </w:r>
      <w:r>
        <w:rPr>
          <w:rFonts w:ascii="Gill Sans MT" w:hAnsi="Gill Sans MT" w:cs="Gill Sans MT"/>
        </w:rPr>
        <w:t>and</w:t>
      </w:r>
      <w:r>
        <w:rPr>
          <w:rFonts w:ascii="Gill Sans MT" w:hAnsi="Gill Sans MT" w:cs="Gill Sans MT"/>
          <w:spacing w:val="-20"/>
        </w:rPr>
        <w:t xml:space="preserve"> </w:t>
      </w:r>
      <w:r>
        <w:rPr>
          <w:rFonts w:ascii="Gill Sans MT" w:hAnsi="Gill Sans MT" w:cs="Gill Sans MT"/>
          <w:spacing w:val="-3"/>
        </w:rPr>
        <w:t>operational</w:t>
      </w:r>
      <w:r>
        <w:rPr>
          <w:rFonts w:ascii="Gill Sans MT" w:hAnsi="Gill Sans MT" w:cs="Gill Sans MT"/>
          <w:spacing w:val="-18"/>
        </w:rPr>
        <w:t xml:space="preserve"> </w:t>
      </w:r>
      <w:r>
        <w:rPr>
          <w:rFonts w:ascii="Gill Sans MT" w:hAnsi="Gill Sans MT" w:cs="Gill Sans MT"/>
        </w:rPr>
        <w:t>details of</w:t>
      </w:r>
      <w:r>
        <w:rPr>
          <w:rFonts w:ascii="Gill Sans MT" w:hAnsi="Gill Sans MT" w:cs="Gill Sans MT"/>
          <w:spacing w:val="-42"/>
        </w:rPr>
        <w:t xml:space="preserve"> </w:t>
      </w:r>
      <w:r>
        <w:rPr>
          <w:rFonts w:ascii="Gill Sans MT" w:hAnsi="Gill Sans MT" w:cs="Gill Sans MT"/>
        </w:rPr>
        <w:t>the</w:t>
      </w:r>
      <w:r>
        <w:rPr>
          <w:rFonts w:ascii="Gill Sans MT" w:hAnsi="Gill Sans MT" w:cs="Gill Sans MT"/>
          <w:spacing w:val="-40"/>
        </w:rPr>
        <w:t xml:space="preserve"> </w:t>
      </w:r>
      <w:r>
        <w:rPr>
          <w:rFonts w:ascii="Gill Sans MT" w:hAnsi="Gill Sans MT" w:cs="Gill Sans MT"/>
          <w:spacing w:val="-3"/>
        </w:rPr>
        <w:t>Demonstration</w:t>
      </w:r>
      <w:r>
        <w:rPr>
          <w:rFonts w:ascii="Gill Sans MT" w:hAnsi="Gill Sans MT" w:cs="Gill Sans MT"/>
          <w:spacing w:val="-40"/>
        </w:rPr>
        <w:t xml:space="preserve"> </w:t>
      </w:r>
      <w:r>
        <w:rPr>
          <w:rFonts w:ascii="Gill Sans MT" w:hAnsi="Gill Sans MT" w:cs="Gill Sans MT"/>
          <w:spacing w:val="-4"/>
        </w:rPr>
        <w:t>Project.</w:t>
      </w:r>
    </w:p>
    <w:p w:rsidR="002C5025" w:rsidRDefault="002C5025">
      <w:pPr>
        <w:pStyle w:val="BodyText"/>
        <w:kinsoku w:val="0"/>
        <w:overflowPunct w:val="0"/>
        <w:spacing w:before="8"/>
        <w:rPr>
          <w:rFonts w:ascii="Gill Sans MT" w:hAnsi="Gill Sans MT" w:cs="Gill Sans MT"/>
          <w:sz w:val="25"/>
          <w:szCs w:val="25"/>
        </w:rPr>
      </w:pPr>
    </w:p>
    <w:p w:rsidR="002C5025" w:rsidRDefault="002C5025">
      <w:pPr>
        <w:pStyle w:val="BodyText"/>
        <w:numPr>
          <w:ilvl w:val="0"/>
          <w:numId w:val="86"/>
        </w:numPr>
        <w:tabs>
          <w:tab w:val="left" w:pos="840"/>
        </w:tabs>
        <w:kinsoku w:val="0"/>
        <w:overflowPunct w:val="0"/>
        <w:ind w:firstLine="0"/>
        <w:rPr>
          <w:rFonts w:ascii="Arial Narrow" w:hAnsi="Arial Narrow" w:cs="Arial Narrow"/>
          <w:b/>
          <w:bCs/>
          <w:color w:val="001F5F"/>
        </w:rPr>
      </w:pPr>
      <w:bookmarkStart w:id="57" w:name="1._Certified_Community_Partners,_our_rec"/>
      <w:bookmarkEnd w:id="57"/>
      <w:r>
        <w:rPr>
          <w:rFonts w:ascii="Arial Narrow" w:hAnsi="Arial Narrow" w:cs="Arial Narrow"/>
          <w:b/>
          <w:bCs/>
          <w:color w:val="001F5F"/>
        </w:rPr>
        <w:t>Certified Community Partners, our recommendations</w:t>
      </w:r>
      <w:r>
        <w:rPr>
          <w:rFonts w:ascii="Arial Narrow" w:hAnsi="Arial Narrow" w:cs="Arial Narrow"/>
          <w:b/>
          <w:bCs/>
          <w:color w:val="001F5F"/>
          <w:spacing w:val="28"/>
        </w:rPr>
        <w:t xml:space="preserve"> </w:t>
      </w:r>
      <w:r>
        <w:rPr>
          <w:rFonts w:ascii="Arial Narrow" w:hAnsi="Arial Narrow" w:cs="Arial Narrow"/>
          <w:b/>
          <w:bCs/>
          <w:color w:val="001F5F"/>
        </w:rPr>
        <w:t>include:</w:t>
      </w:r>
    </w:p>
    <w:p w:rsidR="002C5025" w:rsidRDefault="002C5025">
      <w:pPr>
        <w:pStyle w:val="ListParagraph"/>
        <w:numPr>
          <w:ilvl w:val="0"/>
          <w:numId w:val="85"/>
        </w:numPr>
        <w:tabs>
          <w:tab w:val="left" w:pos="840"/>
        </w:tabs>
        <w:kinsoku w:val="0"/>
        <w:overflowPunct w:val="0"/>
        <w:spacing w:before="1" w:line="261" w:lineRule="auto"/>
        <w:ind w:right="107" w:hanging="360"/>
        <w:jc w:val="both"/>
        <w:rPr>
          <w:rFonts w:ascii="Gill Sans MT" w:hAnsi="Gill Sans MT" w:cs="Gill Sans MT"/>
          <w:spacing w:val="-3"/>
          <w:sz w:val="22"/>
          <w:szCs w:val="22"/>
        </w:rPr>
      </w:pPr>
      <w:r>
        <w:rPr>
          <w:rFonts w:ascii="Gill Sans MT" w:hAnsi="Gill Sans MT" w:cs="Gill Sans MT"/>
          <w:sz w:val="22"/>
          <w:szCs w:val="22"/>
        </w:rPr>
        <w:t>Certified</w:t>
      </w:r>
      <w:r>
        <w:rPr>
          <w:rFonts w:ascii="Gill Sans MT" w:hAnsi="Gill Sans MT" w:cs="Gill Sans MT"/>
          <w:spacing w:val="-13"/>
          <w:sz w:val="22"/>
          <w:szCs w:val="22"/>
        </w:rPr>
        <w:t xml:space="preserve"> </w:t>
      </w:r>
      <w:r>
        <w:rPr>
          <w:rFonts w:ascii="Gill Sans MT" w:hAnsi="Gill Sans MT" w:cs="Gill Sans MT"/>
          <w:spacing w:val="-3"/>
          <w:sz w:val="22"/>
          <w:szCs w:val="22"/>
        </w:rPr>
        <w:t>Community</w:t>
      </w:r>
      <w:r>
        <w:rPr>
          <w:rFonts w:ascii="Gill Sans MT" w:hAnsi="Gill Sans MT" w:cs="Gill Sans MT"/>
          <w:spacing w:val="-16"/>
          <w:sz w:val="22"/>
          <w:szCs w:val="22"/>
        </w:rPr>
        <w:t xml:space="preserve"> </w:t>
      </w:r>
      <w:r>
        <w:rPr>
          <w:rFonts w:ascii="Gill Sans MT" w:hAnsi="Gill Sans MT" w:cs="Gill Sans MT"/>
          <w:sz w:val="22"/>
          <w:szCs w:val="22"/>
        </w:rPr>
        <w:t>Partners</w:t>
      </w:r>
      <w:r>
        <w:rPr>
          <w:rFonts w:ascii="Gill Sans MT" w:hAnsi="Gill Sans MT" w:cs="Gill Sans MT"/>
          <w:spacing w:val="-16"/>
          <w:sz w:val="22"/>
          <w:szCs w:val="22"/>
        </w:rPr>
        <w:t xml:space="preserve"> </w:t>
      </w:r>
      <w:r>
        <w:rPr>
          <w:rFonts w:ascii="Gill Sans MT" w:hAnsi="Gill Sans MT" w:cs="Gill Sans MT"/>
          <w:sz w:val="22"/>
          <w:szCs w:val="22"/>
        </w:rPr>
        <w:t>(CPs),</w:t>
      </w:r>
      <w:r>
        <w:rPr>
          <w:rFonts w:ascii="Gill Sans MT" w:hAnsi="Gill Sans MT" w:cs="Gill Sans MT"/>
          <w:spacing w:val="-18"/>
          <w:sz w:val="22"/>
          <w:szCs w:val="22"/>
        </w:rPr>
        <w:t xml:space="preserve"> </w:t>
      </w:r>
      <w:r>
        <w:rPr>
          <w:rFonts w:ascii="Gill Sans MT" w:hAnsi="Gill Sans MT" w:cs="Gill Sans MT"/>
          <w:sz w:val="22"/>
          <w:szCs w:val="22"/>
        </w:rPr>
        <w:t>be</w:t>
      </w:r>
      <w:r>
        <w:rPr>
          <w:rFonts w:ascii="Gill Sans MT" w:hAnsi="Gill Sans MT" w:cs="Gill Sans MT"/>
          <w:spacing w:val="-15"/>
          <w:sz w:val="22"/>
          <w:szCs w:val="22"/>
        </w:rPr>
        <w:t xml:space="preserve"> </w:t>
      </w:r>
      <w:r>
        <w:rPr>
          <w:rFonts w:ascii="Gill Sans MT" w:hAnsi="Gill Sans MT" w:cs="Gill Sans MT"/>
          <w:spacing w:val="-3"/>
          <w:sz w:val="22"/>
          <w:szCs w:val="22"/>
        </w:rPr>
        <w:t>determined</w:t>
      </w:r>
      <w:r>
        <w:rPr>
          <w:rFonts w:ascii="Gill Sans MT" w:hAnsi="Gill Sans MT" w:cs="Gill Sans MT"/>
          <w:spacing w:val="-15"/>
          <w:sz w:val="22"/>
          <w:szCs w:val="22"/>
        </w:rPr>
        <w:t xml:space="preserve"> </w:t>
      </w:r>
      <w:r>
        <w:rPr>
          <w:rFonts w:ascii="Gill Sans MT" w:hAnsi="Gill Sans MT" w:cs="Gill Sans MT"/>
          <w:sz w:val="22"/>
          <w:szCs w:val="22"/>
        </w:rPr>
        <w:t>and</w:t>
      </w:r>
      <w:r>
        <w:rPr>
          <w:rFonts w:ascii="Gill Sans MT" w:hAnsi="Gill Sans MT" w:cs="Gill Sans MT"/>
          <w:spacing w:val="-17"/>
          <w:sz w:val="22"/>
          <w:szCs w:val="22"/>
        </w:rPr>
        <w:t xml:space="preserve"> </w:t>
      </w:r>
      <w:r>
        <w:rPr>
          <w:rFonts w:ascii="Gill Sans MT" w:hAnsi="Gill Sans MT" w:cs="Gill Sans MT"/>
          <w:sz w:val="22"/>
          <w:szCs w:val="22"/>
        </w:rPr>
        <w:t>certified</w:t>
      </w:r>
      <w:r>
        <w:rPr>
          <w:rFonts w:ascii="Gill Sans MT" w:hAnsi="Gill Sans MT" w:cs="Gill Sans MT"/>
          <w:spacing w:val="-15"/>
          <w:sz w:val="22"/>
          <w:szCs w:val="22"/>
        </w:rPr>
        <w:t xml:space="preserve"> </w:t>
      </w:r>
      <w:r>
        <w:rPr>
          <w:rFonts w:ascii="Gill Sans MT" w:hAnsi="Gill Sans MT" w:cs="Gill Sans MT"/>
          <w:sz w:val="22"/>
          <w:szCs w:val="22"/>
        </w:rPr>
        <w:t>by</w:t>
      </w:r>
      <w:r>
        <w:rPr>
          <w:rFonts w:ascii="Gill Sans MT" w:hAnsi="Gill Sans MT" w:cs="Gill Sans MT"/>
          <w:spacing w:val="-16"/>
          <w:sz w:val="22"/>
          <w:szCs w:val="22"/>
        </w:rPr>
        <w:t xml:space="preserve"> </w:t>
      </w:r>
      <w:r>
        <w:rPr>
          <w:rFonts w:ascii="Gill Sans MT" w:hAnsi="Gill Sans MT" w:cs="Gill Sans MT"/>
          <w:spacing w:val="-3"/>
          <w:sz w:val="22"/>
          <w:szCs w:val="22"/>
        </w:rPr>
        <w:t>the</w:t>
      </w:r>
      <w:r>
        <w:rPr>
          <w:rFonts w:ascii="Gill Sans MT" w:hAnsi="Gill Sans MT" w:cs="Gill Sans MT"/>
          <w:spacing w:val="-12"/>
          <w:sz w:val="22"/>
          <w:szCs w:val="22"/>
        </w:rPr>
        <w:t xml:space="preserve"> </w:t>
      </w:r>
      <w:r>
        <w:rPr>
          <w:rFonts w:ascii="Gill Sans MT" w:hAnsi="Gill Sans MT" w:cs="Gill Sans MT"/>
          <w:sz w:val="22"/>
          <w:szCs w:val="22"/>
        </w:rPr>
        <w:t>specific</w:t>
      </w:r>
      <w:r>
        <w:rPr>
          <w:rFonts w:ascii="Gill Sans MT" w:hAnsi="Gill Sans MT" w:cs="Gill Sans MT"/>
          <w:spacing w:val="-14"/>
          <w:sz w:val="22"/>
          <w:szCs w:val="22"/>
        </w:rPr>
        <w:t xml:space="preserve"> </w:t>
      </w:r>
      <w:r>
        <w:rPr>
          <w:rFonts w:ascii="Gill Sans MT" w:hAnsi="Gill Sans MT" w:cs="Gill Sans MT"/>
          <w:sz w:val="22"/>
          <w:szCs w:val="22"/>
        </w:rPr>
        <w:t>state</w:t>
      </w:r>
      <w:r>
        <w:rPr>
          <w:rFonts w:ascii="Gill Sans MT" w:hAnsi="Gill Sans MT" w:cs="Gill Sans MT"/>
          <w:spacing w:val="-15"/>
          <w:sz w:val="22"/>
          <w:szCs w:val="22"/>
        </w:rPr>
        <w:t xml:space="preserve"> </w:t>
      </w:r>
      <w:r>
        <w:rPr>
          <w:rFonts w:ascii="Gill Sans MT" w:hAnsi="Gill Sans MT" w:cs="Gill Sans MT"/>
          <w:sz w:val="22"/>
          <w:szCs w:val="22"/>
        </w:rPr>
        <w:t>agencies</w:t>
      </w:r>
      <w:r>
        <w:rPr>
          <w:rFonts w:ascii="Gill Sans MT" w:hAnsi="Gill Sans MT" w:cs="Gill Sans MT"/>
          <w:spacing w:val="-15"/>
          <w:sz w:val="22"/>
          <w:szCs w:val="22"/>
        </w:rPr>
        <w:t xml:space="preserve"> </w:t>
      </w:r>
      <w:r>
        <w:rPr>
          <w:rFonts w:ascii="Gill Sans MT" w:hAnsi="Gill Sans MT" w:cs="Gill Sans MT"/>
          <w:spacing w:val="-4"/>
          <w:sz w:val="22"/>
          <w:szCs w:val="22"/>
        </w:rPr>
        <w:t xml:space="preserve">that </w:t>
      </w:r>
      <w:r>
        <w:rPr>
          <w:rFonts w:ascii="Gill Sans MT" w:hAnsi="Gill Sans MT" w:cs="Gill Sans MT"/>
          <w:sz w:val="22"/>
          <w:szCs w:val="22"/>
        </w:rPr>
        <w:t xml:space="preserve">are </w:t>
      </w:r>
      <w:r>
        <w:rPr>
          <w:rFonts w:ascii="Gill Sans MT" w:hAnsi="Gill Sans MT" w:cs="Gill Sans MT"/>
          <w:spacing w:val="-3"/>
          <w:sz w:val="22"/>
          <w:szCs w:val="22"/>
        </w:rPr>
        <w:t xml:space="preserve">expert </w:t>
      </w:r>
      <w:r>
        <w:rPr>
          <w:rFonts w:ascii="Gill Sans MT" w:hAnsi="Gill Sans MT" w:cs="Gill Sans MT"/>
          <w:sz w:val="22"/>
          <w:szCs w:val="22"/>
        </w:rPr>
        <w:t xml:space="preserve">in the specific populations </w:t>
      </w:r>
      <w:r>
        <w:rPr>
          <w:rFonts w:ascii="Gill Sans MT" w:hAnsi="Gill Sans MT" w:cs="Gill Sans MT"/>
          <w:spacing w:val="-3"/>
          <w:sz w:val="22"/>
          <w:szCs w:val="22"/>
        </w:rPr>
        <w:t xml:space="preserve">served, </w:t>
      </w:r>
      <w:r>
        <w:rPr>
          <w:rFonts w:ascii="Gill Sans MT" w:hAnsi="Gill Sans MT" w:cs="Gill Sans MT"/>
          <w:sz w:val="22"/>
          <w:szCs w:val="22"/>
        </w:rPr>
        <w:t xml:space="preserve">such as the Elder Affairs, </w:t>
      </w:r>
      <w:r>
        <w:rPr>
          <w:rFonts w:ascii="Gill Sans MT" w:hAnsi="Gill Sans MT" w:cs="Gill Sans MT"/>
          <w:spacing w:val="-3"/>
          <w:sz w:val="22"/>
          <w:szCs w:val="22"/>
        </w:rPr>
        <w:t xml:space="preserve">Department </w:t>
      </w:r>
      <w:r>
        <w:rPr>
          <w:rFonts w:ascii="Gill Sans MT" w:hAnsi="Gill Sans MT" w:cs="Gill Sans MT"/>
          <w:sz w:val="22"/>
          <w:szCs w:val="22"/>
        </w:rPr>
        <w:t xml:space="preserve">of </w:t>
      </w:r>
      <w:r>
        <w:rPr>
          <w:rFonts w:ascii="Gill Sans MT" w:hAnsi="Gill Sans MT" w:cs="Gill Sans MT"/>
          <w:spacing w:val="-3"/>
          <w:sz w:val="22"/>
          <w:szCs w:val="22"/>
        </w:rPr>
        <w:t xml:space="preserve">Developmental </w:t>
      </w:r>
      <w:r>
        <w:rPr>
          <w:rFonts w:ascii="Gill Sans MT" w:hAnsi="Gill Sans MT" w:cs="Gill Sans MT"/>
          <w:spacing w:val="-2"/>
          <w:sz w:val="22"/>
          <w:szCs w:val="22"/>
        </w:rPr>
        <w:t xml:space="preserve">Services, </w:t>
      </w:r>
      <w:r>
        <w:rPr>
          <w:rFonts w:ascii="Gill Sans MT" w:hAnsi="Gill Sans MT" w:cs="Gill Sans MT"/>
          <w:sz w:val="22"/>
          <w:szCs w:val="22"/>
        </w:rPr>
        <w:t xml:space="preserve">Massachusetts Rehabilitation Commission, </w:t>
      </w:r>
      <w:r>
        <w:rPr>
          <w:rFonts w:ascii="Gill Sans MT" w:hAnsi="Gill Sans MT" w:cs="Gill Sans MT"/>
          <w:spacing w:val="-3"/>
          <w:sz w:val="22"/>
          <w:szCs w:val="22"/>
        </w:rPr>
        <w:t xml:space="preserve">Department </w:t>
      </w:r>
      <w:r>
        <w:rPr>
          <w:rFonts w:ascii="Gill Sans MT" w:hAnsi="Gill Sans MT" w:cs="Gill Sans MT"/>
          <w:sz w:val="22"/>
          <w:szCs w:val="22"/>
        </w:rPr>
        <w:t>of Mental</w:t>
      </w:r>
      <w:r>
        <w:rPr>
          <w:rFonts w:ascii="Gill Sans MT" w:hAnsi="Gill Sans MT" w:cs="Gill Sans MT"/>
          <w:spacing w:val="-41"/>
          <w:sz w:val="22"/>
          <w:szCs w:val="22"/>
        </w:rPr>
        <w:t xml:space="preserve"> </w:t>
      </w:r>
      <w:r>
        <w:rPr>
          <w:rFonts w:ascii="Gill Sans MT" w:hAnsi="Gill Sans MT" w:cs="Gill Sans MT"/>
          <w:spacing w:val="-3"/>
          <w:sz w:val="22"/>
          <w:szCs w:val="22"/>
        </w:rPr>
        <w:t xml:space="preserve">Health, </w:t>
      </w:r>
      <w:r>
        <w:rPr>
          <w:rFonts w:ascii="Gill Sans MT" w:hAnsi="Gill Sans MT" w:cs="Gill Sans MT"/>
          <w:sz w:val="22"/>
          <w:szCs w:val="22"/>
        </w:rPr>
        <w:t xml:space="preserve">or </w:t>
      </w:r>
      <w:r>
        <w:rPr>
          <w:rFonts w:ascii="Gill Sans MT" w:hAnsi="Gill Sans MT" w:cs="Gill Sans MT"/>
          <w:spacing w:val="-3"/>
          <w:sz w:val="22"/>
          <w:szCs w:val="22"/>
        </w:rPr>
        <w:t xml:space="preserve">Department </w:t>
      </w:r>
      <w:r>
        <w:rPr>
          <w:rFonts w:ascii="Gill Sans MT" w:hAnsi="Gill Sans MT" w:cs="Gill Sans MT"/>
          <w:sz w:val="22"/>
          <w:szCs w:val="22"/>
        </w:rPr>
        <w:t xml:space="preserve">of </w:t>
      </w:r>
      <w:r>
        <w:rPr>
          <w:rFonts w:ascii="Gill Sans MT" w:hAnsi="Gill Sans MT" w:cs="Gill Sans MT"/>
          <w:spacing w:val="-3"/>
          <w:sz w:val="22"/>
          <w:szCs w:val="22"/>
        </w:rPr>
        <w:t xml:space="preserve">Children </w:t>
      </w:r>
      <w:r>
        <w:rPr>
          <w:rFonts w:ascii="Gill Sans MT" w:hAnsi="Gill Sans MT" w:cs="Gill Sans MT"/>
          <w:sz w:val="22"/>
          <w:szCs w:val="22"/>
        </w:rPr>
        <w:t xml:space="preserve">&amp; Families, </w:t>
      </w:r>
      <w:r>
        <w:rPr>
          <w:rFonts w:ascii="Gill Sans MT" w:hAnsi="Gill Sans MT" w:cs="Gill Sans MT"/>
          <w:spacing w:val="-3"/>
          <w:sz w:val="22"/>
          <w:szCs w:val="22"/>
        </w:rPr>
        <w:t xml:space="preserve">determining </w:t>
      </w:r>
      <w:r>
        <w:rPr>
          <w:rFonts w:ascii="Gill Sans MT" w:hAnsi="Gill Sans MT" w:cs="Gill Sans MT"/>
          <w:sz w:val="22"/>
          <w:szCs w:val="22"/>
        </w:rPr>
        <w:t xml:space="preserve">qualifications and </w:t>
      </w:r>
      <w:r>
        <w:rPr>
          <w:rFonts w:ascii="Gill Sans MT" w:hAnsi="Gill Sans MT" w:cs="Gill Sans MT"/>
          <w:spacing w:val="-3"/>
          <w:sz w:val="22"/>
          <w:szCs w:val="22"/>
        </w:rPr>
        <w:t xml:space="preserve">competencies </w:t>
      </w:r>
      <w:r>
        <w:rPr>
          <w:rFonts w:ascii="Gill Sans MT" w:hAnsi="Gill Sans MT" w:cs="Gill Sans MT"/>
          <w:sz w:val="22"/>
          <w:szCs w:val="22"/>
        </w:rPr>
        <w:t>and providing certification</w:t>
      </w:r>
      <w:r>
        <w:rPr>
          <w:rFonts w:ascii="Gill Sans MT" w:hAnsi="Gill Sans MT" w:cs="Gill Sans MT"/>
          <w:spacing w:val="-24"/>
          <w:sz w:val="22"/>
          <w:szCs w:val="22"/>
        </w:rPr>
        <w:t xml:space="preserve"> </w:t>
      </w:r>
      <w:r>
        <w:rPr>
          <w:rFonts w:ascii="Gill Sans MT" w:hAnsi="Gill Sans MT" w:cs="Gill Sans MT"/>
          <w:sz w:val="22"/>
          <w:szCs w:val="22"/>
        </w:rPr>
        <w:t>to</w:t>
      </w:r>
      <w:r>
        <w:rPr>
          <w:rFonts w:ascii="Gill Sans MT" w:hAnsi="Gill Sans MT" w:cs="Gill Sans MT"/>
          <w:spacing w:val="-21"/>
          <w:sz w:val="22"/>
          <w:szCs w:val="22"/>
        </w:rPr>
        <w:t xml:space="preserve"> </w:t>
      </w:r>
      <w:r>
        <w:rPr>
          <w:rFonts w:ascii="Gill Sans MT" w:hAnsi="Gill Sans MT" w:cs="Gill Sans MT"/>
          <w:spacing w:val="-3"/>
          <w:sz w:val="22"/>
          <w:szCs w:val="22"/>
        </w:rPr>
        <w:t>serve</w:t>
      </w:r>
      <w:r>
        <w:rPr>
          <w:rFonts w:ascii="Gill Sans MT" w:hAnsi="Gill Sans MT" w:cs="Gill Sans MT"/>
          <w:spacing w:val="-17"/>
          <w:sz w:val="22"/>
          <w:szCs w:val="22"/>
        </w:rPr>
        <w:t xml:space="preserve"> </w:t>
      </w:r>
      <w:r>
        <w:rPr>
          <w:rFonts w:ascii="Gill Sans MT" w:hAnsi="Gill Sans MT" w:cs="Gill Sans MT"/>
          <w:sz w:val="22"/>
          <w:szCs w:val="22"/>
        </w:rPr>
        <w:t>these</w:t>
      </w:r>
      <w:r>
        <w:rPr>
          <w:rFonts w:ascii="Gill Sans MT" w:hAnsi="Gill Sans MT" w:cs="Gill Sans MT"/>
          <w:spacing w:val="-22"/>
          <w:sz w:val="22"/>
          <w:szCs w:val="22"/>
        </w:rPr>
        <w:t xml:space="preserve"> </w:t>
      </w:r>
      <w:r>
        <w:rPr>
          <w:rFonts w:ascii="Gill Sans MT" w:hAnsi="Gill Sans MT" w:cs="Gill Sans MT"/>
          <w:sz w:val="22"/>
          <w:szCs w:val="22"/>
        </w:rPr>
        <w:t>specific</w:t>
      </w:r>
      <w:r>
        <w:rPr>
          <w:rFonts w:ascii="Gill Sans MT" w:hAnsi="Gill Sans MT" w:cs="Gill Sans MT"/>
          <w:spacing w:val="-20"/>
          <w:sz w:val="22"/>
          <w:szCs w:val="22"/>
        </w:rPr>
        <w:t xml:space="preserve"> </w:t>
      </w:r>
      <w:r>
        <w:rPr>
          <w:rFonts w:ascii="Gill Sans MT" w:hAnsi="Gill Sans MT" w:cs="Gill Sans MT"/>
          <w:spacing w:val="-3"/>
          <w:sz w:val="22"/>
          <w:szCs w:val="22"/>
        </w:rPr>
        <w:t>unique</w:t>
      </w:r>
      <w:r>
        <w:rPr>
          <w:rFonts w:ascii="Gill Sans MT" w:hAnsi="Gill Sans MT" w:cs="Gill Sans MT"/>
          <w:spacing w:val="-19"/>
          <w:sz w:val="22"/>
          <w:szCs w:val="22"/>
        </w:rPr>
        <w:t xml:space="preserve"> </w:t>
      </w:r>
      <w:r>
        <w:rPr>
          <w:rFonts w:ascii="Gill Sans MT" w:hAnsi="Gill Sans MT" w:cs="Gill Sans MT"/>
          <w:sz w:val="22"/>
          <w:szCs w:val="22"/>
        </w:rPr>
        <w:t>populations</w:t>
      </w:r>
      <w:r>
        <w:rPr>
          <w:rFonts w:ascii="Gill Sans MT" w:hAnsi="Gill Sans MT" w:cs="Gill Sans MT"/>
          <w:spacing w:val="-22"/>
          <w:sz w:val="22"/>
          <w:szCs w:val="22"/>
        </w:rPr>
        <w:t xml:space="preserve"> </w:t>
      </w:r>
      <w:r>
        <w:rPr>
          <w:rFonts w:ascii="Gill Sans MT" w:hAnsi="Gill Sans MT" w:cs="Gill Sans MT"/>
          <w:sz w:val="22"/>
          <w:szCs w:val="22"/>
        </w:rPr>
        <w:t>in</w:t>
      </w:r>
      <w:r>
        <w:rPr>
          <w:rFonts w:ascii="Gill Sans MT" w:hAnsi="Gill Sans MT" w:cs="Gill Sans MT"/>
          <w:spacing w:val="-19"/>
          <w:sz w:val="22"/>
          <w:szCs w:val="22"/>
        </w:rPr>
        <w:t xml:space="preserve"> </w:t>
      </w:r>
      <w:r>
        <w:rPr>
          <w:rFonts w:ascii="Gill Sans MT" w:hAnsi="Gill Sans MT" w:cs="Gill Sans MT"/>
          <w:spacing w:val="-3"/>
          <w:sz w:val="22"/>
          <w:szCs w:val="22"/>
        </w:rPr>
        <w:t>partnership</w:t>
      </w:r>
      <w:r>
        <w:rPr>
          <w:rFonts w:ascii="Gill Sans MT" w:hAnsi="Gill Sans MT" w:cs="Gill Sans MT"/>
          <w:spacing w:val="-19"/>
          <w:sz w:val="22"/>
          <w:szCs w:val="22"/>
        </w:rPr>
        <w:t xml:space="preserve"> </w:t>
      </w:r>
      <w:r>
        <w:rPr>
          <w:rFonts w:ascii="Gill Sans MT" w:hAnsi="Gill Sans MT" w:cs="Gill Sans MT"/>
          <w:sz w:val="22"/>
          <w:szCs w:val="22"/>
        </w:rPr>
        <w:t>with</w:t>
      </w:r>
      <w:r>
        <w:rPr>
          <w:rFonts w:ascii="Gill Sans MT" w:hAnsi="Gill Sans MT" w:cs="Gill Sans MT"/>
          <w:spacing w:val="-21"/>
          <w:sz w:val="22"/>
          <w:szCs w:val="22"/>
        </w:rPr>
        <w:t xml:space="preserve"> </w:t>
      </w:r>
      <w:r>
        <w:rPr>
          <w:rFonts w:ascii="Gill Sans MT" w:hAnsi="Gill Sans MT" w:cs="Gill Sans MT"/>
          <w:spacing w:val="-3"/>
          <w:sz w:val="22"/>
          <w:szCs w:val="22"/>
        </w:rPr>
        <w:t>MassHealth.</w:t>
      </w:r>
    </w:p>
    <w:p w:rsidR="002C5025" w:rsidRDefault="002C5025">
      <w:pPr>
        <w:pStyle w:val="ListParagraph"/>
        <w:numPr>
          <w:ilvl w:val="0"/>
          <w:numId w:val="85"/>
        </w:numPr>
        <w:tabs>
          <w:tab w:val="left" w:pos="841"/>
        </w:tabs>
        <w:kinsoku w:val="0"/>
        <w:overflowPunct w:val="0"/>
        <w:spacing w:line="261" w:lineRule="auto"/>
        <w:ind w:left="840" w:right="108" w:hanging="360"/>
        <w:jc w:val="both"/>
        <w:rPr>
          <w:rFonts w:ascii="Gill Sans MT" w:hAnsi="Gill Sans MT" w:cs="Gill Sans MT"/>
          <w:sz w:val="22"/>
          <w:szCs w:val="22"/>
        </w:rPr>
      </w:pPr>
      <w:r>
        <w:rPr>
          <w:rFonts w:ascii="Gill Sans MT" w:hAnsi="Gill Sans MT" w:cs="Gill Sans MT"/>
          <w:sz w:val="22"/>
          <w:szCs w:val="22"/>
        </w:rPr>
        <w:t xml:space="preserve">CPs, in </w:t>
      </w:r>
      <w:r>
        <w:rPr>
          <w:rFonts w:ascii="Gill Sans MT" w:hAnsi="Gill Sans MT" w:cs="Gill Sans MT"/>
          <w:spacing w:val="-3"/>
          <w:sz w:val="22"/>
          <w:szCs w:val="22"/>
        </w:rPr>
        <w:t xml:space="preserve">the execution </w:t>
      </w:r>
      <w:r>
        <w:rPr>
          <w:rFonts w:ascii="Gill Sans MT" w:hAnsi="Gill Sans MT" w:cs="Gill Sans MT"/>
          <w:sz w:val="22"/>
          <w:szCs w:val="22"/>
        </w:rPr>
        <w:t xml:space="preserve">of </w:t>
      </w:r>
      <w:r>
        <w:rPr>
          <w:rFonts w:ascii="Gill Sans MT" w:hAnsi="Gill Sans MT" w:cs="Gill Sans MT"/>
          <w:spacing w:val="-3"/>
          <w:sz w:val="22"/>
          <w:szCs w:val="22"/>
        </w:rPr>
        <w:t xml:space="preserve">care </w:t>
      </w:r>
      <w:r>
        <w:rPr>
          <w:rFonts w:ascii="Gill Sans MT" w:hAnsi="Gill Sans MT" w:cs="Gill Sans MT"/>
          <w:sz w:val="22"/>
          <w:szCs w:val="22"/>
        </w:rPr>
        <w:t xml:space="preserve">coordination, will be </w:t>
      </w:r>
      <w:r>
        <w:rPr>
          <w:rFonts w:ascii="Gill Sans MT" w:hAnsi="Gill Sans MT" w:cs="Gill Sans MT"/>
          <w:spacing w:val="-3"/>
          <w:sz w:val="22"/>
          <w:szCs w:val="22"/>
        </w:rPr>
        <w:t xml:space="preserve">held </w:t>
      </w:r>
      <w:r>
        <w:rPr>
          <w:rFonts w:ascii="Gill Sans MT" w:hAnsi="Gill Sans MT" w:cs="Gill Sans MT"/>
          <w:sz w:val="22"/>
          <w:szCs w:val="22"/>
        </w:rPr>
        <w:t xml:space="preserve">accountable by the </w:t>
      </w:r>
      <w:r>
        <w:rPr>
          <w:rFonts w:ascii="Gill Sans MT" w:hAnsi="Gill Sans MT" w:cs="Gill Sans MT"/>
          <w:spacing w:val="-3"/>
          <w:sz w:val="22"/>
          <w:szCs w:val="22"/>
        </w:rPr>
        <w:t xml:space="preserve">certifying </w:t>
      </w:r>
      <w:r>
        <w:rPr>
          <w:rFonts w:ascii="Gill Sans MT" w:hAnsi="Gill Sans MT" w:cs="Gill Sans MT"/>
          <w:sz w:val="22"/>
          <w:szCs w:val="22"/>
        </w:rPr>
        <w:t>agency for compliance</w:t>
      </w:r>
      <w:r>
        <w:rPr>
          <w:rFonts w:ascii="Gill Sans MT" w:hAnsi="Gill Sans MT" w:cs="Gill Sans MT"/>
          <w:spacing w:val="-17"/>
          <w:sz w:val="22"/>
          <w:szCs w:val="22"/>
        </w:rPr>
        <w:t xml:space="preserve"> </w:t>
      </w:r>
      <w:r>
        <w:rPr>
          <w:rFonts w:ascii="Gill Sans MT" w:hAnsi="Gill Sans MT" w:cs="Gill Sans MT"/>
          <w:sz w:val="22"/>
          <w:szCs w:val="22"/>
        </w:rPr>
        <w:t>with</w:t>
      </w:r>
      <w:r>
        <w:rPr>
          <w:rFonts w:ascii="Gill Sans MT" w:hAnsi="Gill Sans MT" w:cs="Gill Sans MT"/>
          <w:spacing w:val="-19"/>
          <w:sz w:val="22"/>
          <w:szCs w:val="22"/>
        </w:rPr>
        <w:t xml:space="preserve"> </w:t>
      </w:r>
      <w:r>
        <w:rPr>
          <w:rFonts w:ascii="Gill Sans MT" w:hAnsi="Gill Sans MT" w:cs="Gill Sans MT"/>
          <w:sz w:val="22"/>
          <w:szCs w:val="22"/>
        </w:rPr>
        <w:t>all</w:t>
      </w:r>
      <w:r>
        <w:rPr>
          <w:rFonts w:ascii="Gill Sans MT" w:hAnsi="Gill Sans MT" w:cs="Gill Sans MT"/>
          <w:spacing w:val="-17"/>
          <w:sz w:val="22"/>
          <w:szCs w:val="22"/>
        </w:rPr>
        <w:t xml:space="preserve"> </w:t>
      </w:r>
      <w:r>
        <w:rPr>
          <w:rFonts w:ascii="Gill Sans MT" w:hAnsi="Gill Sans MT" w:cs="Gill Sans MT"/>
          <w:sz w:val="22"/>
          <w:szCs w:val="22"/>
        </w:rPr>
        <w:t>CMS</w:t>
      </w:r>
      <w:r>
        <w:rPr>
          <w:rFonts w:ascii="Gill Sans MT" w:hAnsi="Gill Sans MT" w:cs="Gill Sans MT"/>
          <w:spacing w:val="-17"/>
          <w:sz w:val="22"/>
          <w:szCs w:val="22"/>
        </w:rPr>
        <w:t xml:space="preserve"> </w:t>
      </w:r>
      <w:r>
        <w:rPr>
          <w:rFonts w:ascii="Gill Sans MT" w:hAnsi="Gill Sans MT" w:cs="Gill Sans MT"/>
          <w:spacing w:val="-3"/>
          <w:sz w:val="22"/>
          <w:szCs w:val="22"/>
        </w:rPr>
        <w:t>requirements</w:t>
      </w:r>
      <w:r>
        <w:rPr>
          <w:rFonts w:ascii="Gill Sans MT" w:hAnsi="Gill Sans MT" w:cs="Gill Sans MT"/>
          <w:spacing w:val="-20"/>
          <w:sz w:val="22"/>
          <w:szCs w:val="22"/>
        </w:rPr>
        <w:t xml:space="preserve"> </w:t>
      </w:r>
      <w:r>
        <w:rPr>
          <w:rFonts w:ascii="Gill Sans MT" w:hAnsi="Gill Sans MT" w:cs="Gill Sans MT"/>
          <w:sz w:val="22"/>
          <w:szCs w:val="22"/>
        </w:rPr>
        <w:t>and</w:t>
      </w:r>
      <w:r>
        <w:rPr>
          <w:rFonts w:ascii="Gill Sans MT" w:hAnsi="Gill Sans MT" w:cs="Gill Sans MT"/>
          <w:spacing w:val="-19"/>
          <w:sz w:val="22"/>
          <w:szCs w:val="22"/>
        </w:rPr>
        <w:t xml:space="preserve"> </w:t>
      </w:r>
      <w:r>
        <w:rPr>
          <w:rFonts w:ascii="Gill Sans MT" w:hAnsi="Gill Sans MT" w:cs="Gill Sans MT"/>
          <w:sz w:val="22"/>
          <w:szCs w:val="22"/>
        </w:rPr>
        <w:t>regulations</w:t>
      </w:r>
      <w:r>
        <w:rPr>
          <w:rFonts w:ascii="Gill Sans MT" w:hAnsi="Gill Sans MT" w:cs="Gill Sans MT"/>
          <w:spacing w:val="-22"/>
          <w:sz w:val="22"/>
          <w:szCs w:val="22"/>
        </w:rPr>
        <w:t xml:space="preserve"> </w:t>
      </w:r>
      <w:r>
        <w:rPr>
          <w:rFonts w:ascii="Gill Sans MT" w:hAnsi="Gill Sans MT" w:cs="Gill Sans MT"/>
          <w:sz w:val="22"/>
          <w:szCs w:val="22"/>
        </w:rPr>
        <w:t>specific</w:t>
      </w:r>
      <w:r>
        <w:rPr>
          <w:rFonts w:ascii="Gill Sans MT" w:hAnsi="Gill Sans MT" w:cs="Gill Sans MT"/>
          <w:spacing w:val="-17"/>
          <w:sz w:val="22"/>
          <w:szCs w:val="22"/>
        </w:rPr>
        <w:t xml:space="preserve"> </w:t>
      </w:r>
      <w:r>
        <w:rPr>
          <w:rFonts w:ascii="Gill Sans MT" w:hAnsi="Gill Sans MT" w:cs="Gill Sans MT"/>
          <w:sz w:val="22"/>
          <w:szCs w:val="22"/>
        </w:rPr>
        <w:t>to</w:t>
      </w:r>
      <w:r>
        <w:rPr>
          <w:rFonts w:ascii="Gill Sans MT" w:hAnsi="Gill Sans MT" w:cs="Gill Sans MT"/>
          <w:spacing w:val="-21"/>
          <w:sz w:val="22"/>
          <w:szCs w:val="22"/>
        </w:rPr>
        <w:t xml:space="preserve"> </w:t>
      </w:r>
      <w:r>
        <w:rPr>
          <w:rFonts w:ascii="Gill Sans MT" w:hAnsi="Gill Sans MT" w:cs="Gill Sans MT"/>
          <w:sz w:val="22"/>
          <w:szCs w:val="22"/>
        </w:rPr>
        <w:t>the</w:t>
      </w:r>
      <w:r>
        <w:rPr>
          <w:rFonts w:ascii="Gill Sans MT" w:hAnsi="Gill Sans MT" w:cs="Gill Sans MT"/>
          <w:spacing w:val="-17"/>
          <w:sz w:val="22"/>
          <w:szCs w:val="22"/>
        </w:rPr>
        <w:t xml:space="preserve"> </w:t>
      </w:r>
      <w:r>
        <w:rPr>
          <w:rFonts w:ascii="Gill Sans MT" w:hAnsi="Gill Sans MT" w:cs="Gill Sans MT"/>
          <w:spacing w:val="-3"/>
          <w:sz w:val="22"/>
          <w:szCs w:val="22"/>
        </w:rPr>
        <w:t>Americans</w:t>
      </w:r>
      <w:r>
        <w:rPr>
          <w:rFonts w:ascii="Gill Sans MT" w:hAnsi="Gill Sans MT" w:cs="Gill Sans MT"/>
          <w:spacing w:val="-18"/>
          <w:sz w:val="22"/>
          <w:szCs w:val="22"/>
        </w:rPr>
        <w:t xml:space="preserve"> </w:t>
      </w:r>
      <w:r>
        <w:rPr>
          <w:rFonts w:ascii="Gill Sans MT" w:hAnsi="Gill Sans MT" w:cs="Gill Sans MT"/>
          <w:spacing w:val="-3"/>
          <w:sz w:val="22"/>
          <w:szCs w:val="22"/>
        </w:rPr>
        <w:t>with</w:t>
      </w:r>
      <w:r>
        <w:rPr>
          <w:rFonts w:ascii="Gill Sans MT" w:hAnsi="Gill Sans MT" w:cs="Gill Sans MT"/>
          <w:spacing w:val="-19"/>
          <w:sz w:val="22"/>
          <w:szCs w:val="22"/>
        </w:rPr>
        <w:t xml:space="preserve"> </w:t>
      </w:r>
      <w:r>
        <w:rPr>
          <w:rFonts w:ascii="Gill Sans MT" w:hAnsi="Gill Sans MT" w:cs="Gill Sans MT"/>
          <w:sz w:val="22"/>
          <w:szCs w:val="22"/>
        </w:rPr>
        <w:t>Disability</w:t>
      </w:r>
      <w:r>
        <w:rPr>
          <w:rFonts w:ascii="Gill Sans MT" w:hAnsi="Gill Sans MT" w:cs="Gill Sans MT"/>
          <w:spacing w:val="-20"/>
          <w:sz w:val="22"/>
          <w:szCs w:val="22"/>
        </w:rPr>
        <w:t xml:space="preserve"> </w:t>
      </w:r>
      <w:r>
        <w:rPr>
          <w:rFonts w:ascii="Gill Sans MT" w:hAnsi="Gill Sans MT" w:cs="Gill Sans MT"/>
          <w:spacing w:val="-3"/>
          <w:sz w:val="22"/>
          <w:szCs w:val="22"/>
        </w:rPr>
        <w:t xml:space="preserve">Act, </w:t>
      </w:r>
      <w:r>
        <w:rPr>
          <w:rFonts w:ascii="Gill Sans MT" w:hAnsi="Gill Sans MT" w:cs="Gill Sans MT"/>
          <w:sz w:val="22"/>
          <w:szCs w:val="22"/>
        </w:rPr>
        <w:t xml:space="preserve">the U.S. </w:t>
      </w:r>
      <w:r>
        <w:rPr>
          <w:rFonts w:ascii="Gill Sans MT" w:hAnsi="Gill Sans MT" w:cs="Gill Sans MT"/>
          <w:spacing w:val="-3"/>
          <w:sz w:val="22"/>
          <w:szCs w:val="22"/>
        </w:rPr>
        <w:t xml:space="preserve">Supreme Court </w:t>
      </w:r>
      <w:r>
        <w:rPr>
          <w:rFonts w:ascii="Gill Sans MT" w:hAnsi="Gill Sans MT" w:cs="Gill Sans MT"/>
          <w:sz w:val="22"/>
          <w:szCs w:val="22"/>
        </w:rPr>
        <w:t xml:space="preserve">Olmstead decision and the Final Rule on </w:t>
      </w:r>
      <w:r>
        <w:rPr>
          <w:rFonts w:ascii="Gill Sans MT" w:hAnsi="Gill Sans MT" w:cs="Gill Sans MT"/>
          <w:spacing w:val="-3"/>
          <w:sz w:val="22"/>
          <w:szCs w:val="22"/>
        </w:rPr>
        <w:t xml:space="preserve">Home </w:t>
      </w:r>
      <w:r>
        <w:rPr>
          <w:rFonts w:ascii="Gill Sans MT" w:hAnsi="Gill Sans MT" w:cs="Gill Sans MT"/>
          <w:sz w:val="22"/>
          <w:szCs w:val="22"/>
        </w:rPr>
        <w:t xml:space="preserve">and </w:t>
      </w:r>
      <w:r>
        <w:rPr>
          <w:rFonts w:ascii="Gill Sans MT" w:hAnsi="Gill Sans MT" w:cs="Gill Sans MT"/>
          <w:spacing w:val="-3"/>
          <w:sz w:val="22"/>
          <w:szCs w:val="22"/>
        </w:rPr>
        <w:t xml:space="preserve">Community </w:t>
      </w:r>
      <w:r>
        <w:rPr>
          <w:rFonts w:ascii="Gill Sans MT" w:hAnsi="Gill Sans MT" w:cs="Gill Sans MT"/>
          <w:sz w:val="22"/>
          <w:szCs w:val="22"/>
        </w:rPr>
        <w:t>Based Settings,</w:t>
      </w:r>
      <w:r>
        <w:rPr>
          <w:rFonts w:ascii="Gill Sans MT" w:hAnsi="Gill Sans MT" w:cs="Gill Sans MT"/>
          <w:spacing w:val="-4"/>
          <w:sz w:val="22"/>
          <w:szCs w:val="22"/>
        </w:rPr>
        <w:t xml:space="preserve"> </w:t>
      </w:r>
      <w:r>
        <w:rPr>
          <w:rFonts w:ascii="Gill Sans MT" w:hAnsi="Gill Sans MT" w:cs="Gill Sans MT"/>
          <w:spacing w:val="-3"/>
          <w:sz w:val="22"/>
          <w:szCs w:val="22"/>
        </w:rPr>
        <w:t>defined</w:t>
      </w:r>
      <w:r>
        <w:rPr>
          <w:rFonts w:ascii="Gill Sans MT" w:hAnsi="Gill Sans MT" w:cs="Gill Sans MT"/>
          <w:spacing w:val="-5"/>
          <w:sz w:val="22"/>
          <w:szCs w:val="22"/>
        </w:rPr>
        <w:t xml:space="preserve"> </w:t>
      </w:r>
      <w:r>
        <w:rPr>
          <w:rFonts w:ascii="Gill Sans MT" w:hAnsi="Gill Sans MT" w:cs="Gill Sans MT"/>
          <w:sz w:val="22"/>
          <w:szCs w:val="22"/>
        </w:rPr>
        <w:t>by</w:t>
      </w:r>
      <w:r>
        <w:rPr>
          <w:rFonts w:ascii="Gill Sans MT" w:hAnsi="Gill Sans MT" w:cs="Gill Sans MT"/>
          <w:spacing w:val="-6"/>
          <w:sz w:val="22"/>
          <w:szCs w:val="22"/>
        </w:rPr>
        <w:t xml:space="preserve"> </w:t>
      </w:r>
      <w:r>
        <w:rPr>
          <w:rFonts w:ascii="Gill Sans MT" w:hAnsi="Gill Sans MT" w:cs="Gill Sans MT"/>
          <w:sz w:val="22"/>
          <w:szCs w:val="22"/>
        </w:rPr>
        <w:t>CMS</w:t>
      </w:r>
      <w:r>
        <w:rPr>
          <w:rFonts w:ascii="Gill Sans MT" w:hAnsi="Gill Sans MT" w:cs="Gill Sans MT"/>
          <w:spacing w:val="-3"/>
          <w:sz w:val="22"/>
          <w:szCs w:val="22"/>
        </w:rPr>
        <w:t xml:space="preserve"> and</w:t>
      </w:r>
      <w:r>
        <w:rPr>
          <w:rFonts w:ascii="Gill Sans MT" w:hAnsi="Gill Sans MT" w:cs="Gill Sans MT"/>
          <w:spacing w:val="-5"/>
          <w:sz w:val="22"/>
          <w:szCs w:val="22"/>
        </w:rPr>
        <w:t xml:space="preserve"> </w:t>
      </w:r>
      <w:r>
        <w:rPr>
          <w:rFonts w:ascii="Gill Sans MT" w:hAnsi="Gill Sans MT" w:cs="Gill Sans MT"/>
          <w:sz w:val="22"/>
          <w:szCs w:val="22"/>
        </w:rPr>
        <w:t>adhered</w:t>
      </w:r>
      <w:r>
        <w:rPr>
          <w:rFonts w:ascii="Gill Sans MT" w:hAnsi="Gill Sans MT" w:cs="Gill Sans MT"/>
          <w:spacing w:val="-5"/>
          <w:sz w:val="22"/>
          <w:szCs w:val="22"/>
        </w:rPr>
        <w:t xml:space="preserve"> </w:t>
      </w:r>
      <w:r>
        <w:rPr>
          <w:rFonts w:ascii="Gill Sans MT" w:hAnsi="Gill Sans MT" w:cs="Gill Sans MT"/>
          <w:sz w:val="22"/>
          <w:szCs w:val="22"/>
        </w:rPr>
        <w:t>to</w:t>
      </w:r>
      <w:r>
        <w:rPr>
          <w:rFonts w:ascii="Gill Sans MT" w:hAnsi="Gill Sans MT" w:cs="Gill Sans MT"/>
          <w:spacing w:val="-5"/>
          <w:sz w:val="22"/>
          <w:szCs w:val="22"/>
        </w:rPr>
        <w:t xml:space="preserve"> </w:t>
      </w:r>
      <w:r>
        <w:rPr>
          <w:rFonts w:ascii="Gill Sans MT" w:hAnsi="Gill Sans MT" w:cs="Gill Sans MT"/>
          <w:sz w:val="22"/>
          <w:szCs w:val="22"/>
        </w:rPr>
        <w:t>in</w:t>
      </w:r>
      <w:r>
        <w:rPr>
          <w:rFonts w:ascii="Gill Sans MT" w:hAnsi="Gill Sans MT" w:cs="Gill Sans MT"/>
          <w:spacing w:val="-3"/>
          <w:sz w:val="22"/>
          <w:szCs w:val="22"/>
        </w:rPr>
        <w:t xml:space="preserve"> the </w:t>
      </w:r>
      <w:r>
        <w:rPr>
          <w:rFonts w:ascii="Gill Sans MT" w:hAnsi="Gill Sans MT" w:cs="Gill Sans MT"/>
          <w:sz w:val="22"/>
          <w:szCs w:val="22"/>
        </w:rPr>
        <w:t>Massachusetts/CMS</w:t>
      </w:r>
      <w:r>
        <w:rPr>
          <w:rFonts w:ascii="Gill Sans MT" w:hAnsi="Gill Sans MT" w:cs="Gill Sans MT"/>
          <w:spacing w:val="-3"/>
          <w:sz w:val="22"/>
          <w:szCs w:val="22"/>
        </w:rPr>
        <w:t xml:space="preserve"> HCBS</w:t>
      </w:r>
      <w:r>
        <w:rPr>
          <w:rFonts w:ascii="Gill Sans MT" w:hAnsi="Gill Sans MT" w:cs="Gill Sans MT"/>
          <w:spacing w:val="-6"/>
          <w:sz w:val="22"/>
          <w:szCs w:val="22"/>
        </w:rPr>
        <w:t xml:space="preserve"> </w:t>
      </w:r>
      <w:r>
        <w:rPr>
          <w:rFonts w:ascii="Gill Sans MT" w:hAnsi="Gill Sans MT" w:cs="Gill Sans MT"/>
          <w:sz w:val="22"/>
          <w:szCs w:val="22"/>
        </w:rPr>
        <w:t>Final</w:t>
      </w:r>
      <w:r>
        <w:rPr>
          <w:rFonts w:ascii="Gill Sans MT" w:hAnsi="Gill Sans MT" w:cs="Gill Sans MT"/>
          <w:spacing w:val="-4"/>
          <w:sz w:val="22"/>
          <w:szCs w:val="22"/>
        </w:rPr>
        <w:t xml:space="preserve"> </w:t>
      </w:r>
      <w:r>
        <w:rPr>
          <w:rFonts w:ascii="Gill Sans MT" w:hAnsi="Gill Sans MT" w:cs="Gill Sans MT"/>
          <w:sz w:val="22"/>
          <w:szCs w:val="22"/>
        </w:rPr>
        <w:t>Rule</w:t>
      </w:r>
      <w:r>
        <w:rPr>
          <w:rFonts w:ascii="Gill Sans MT" w:hAnsi="Gill Sans MT" w:cs="Gill Sans MT"/>
          <w:spacing w:val="-3"/>
          <w:sz w:val="22"/>
          <w:szCs w:val="22"/>
        </w:rPr>
        <w:t xml:space="preserve"> </w:t>
      </w:r>
      <w:r>
        <w:rPr>
          <w:rFonts w:ascii="Gill Sans MT" w:hAnsi="Gill Sans MT" w:cs="Gill Sans MT"/>
          <w:sz w:val="22"/>
          <w:szCs w:val="22"/>
        </w:rPr>
        <w:t>Plan;</w:t>
      </w:r>
      <w:r>
        <w:rPr>
          <w:rFonts w:ascii="Gill Sans MT" w:hAnsi="Gill Sans MT" w:cs="Gill Sans MT"/>
          <w:spacing w:val="-6"/>
          <w:sz w:val="22"/>
          <w:szCs w:val="22"/>
        </w:rPr>
        <w:t xml:space="preserve"> </w:t>
      </w:r>
      <w:r>
        <w:rPr>
          <w:rFonts w:ascii="Gill Sans MT" w:hAnsi="Gill Sans MT" w:cs="Gill Sans MT"/>
          <w:sz w:val="22"/>
          <w:szCs w:val="22"/>
        </w:rPr>
        <w:t>and</w:t>
      </w:r>
      <w:r>
        <w:rPr>
          <w:rFonts w:ascii="Gill Sans MT" w:hAnsi="Gill Sans MT" w:cs="Gill Sans MT"/>
          <w:spacing w:val="-5"/>
          <w:sz w:val="22"/>
          <w:szCs w:val="22"/>
        </w:rPr>
        <w:t xml:space="preserve"> </w:t>
      </w:r>
      <w:r>
        <w:rPr>
          <w:rFonts w:ascii="Gill Sans MT" w:hAnsi="Gill Sans MT" w:cs="Gill Sans MT"/>
          <w:spacing w:val="-3"/>
          <w:sz w:val="22"/>
          <w:szCs w:val="22"/>
        </w:rPr>
        <w:t xml:space="preserve">the </w:t>
      </w:r>
      <w:r>
        <w:rPr>
          <w:rFonts w:ascii="Gill Sans MT" w:hAnsi="Gill Sans MT" w:cs="Gill Sans MT"/>
          <w:sz w:val="22"/>
          <w:szCs w:val="22"/>
        </w:rPr>
        <w:t>CMS</w:t>
      </w:r>
      <w:r>
        <w:rPr>
          <w:rFonts w:ascii="Gill Sans MT" w:hAnsi="Gill Sans MT" w:cs="Gill Sans MT"/>
          <w:spacing w:val="-33"/>
          <w:sz w:val="22"/>
          <w:szCs w:val="22"/>
        </w:rPr>
        <w:t xml:space="preserve"> </w:t>
      </w:r>
      <w:r>
        <w:rPr>
          <w:rFonts w:ascii="Gill Sans MT" w:hAnsi="Gill Sans MT" w:cs="Gill Sans MT"/>
          <w:sz w:val="22"/>
          <w:szCs w:val="22"/>
        </w:rPr>
        <w:t>Managed</w:t>
      </w:r>
      <w:r>
        <w:rPr>
          <w:rFonts w:ascii="Gill Sans MT" w:hAnsi="Gill Sans MT" w:cs="Gill Sans MT"/>
          <w:spacing w:val="-35"/>
          <w:sz w:val="22"/>
          <w:szCs w:val="22"/>
        </w:rPr>
        <w:t xml:space="preserve"> </w:t>
      </w:r>
      <w:r>
        <w:rPr>
          <w:rFonts w:ascii="Gill Sans MT" w:hAnsi="Gill Sans MT" w:cs="Gill Sans MT"/>
          <w:spacing w:val="-3"/>
          <w:sz w:val="22"/>
          <w:szCs w:val="22"/>
        </w:rPr>
        <w:t>Care</w:t>
      </w:r>
      <w:r>
        <w:rPr>
          <w:rFonts w:ascii="Gill Sans MT" w:hAnsi="Gill Sans MT" w:cs="Gill Sans MT"/>
          <w:spacing w:val="-33"/>
          <w:sz w:val="22"/>
          <w:szCs w:val="22"/>
        </w:rPr>
        <w:t xml:space="preserve"> </w:t>
      </w:r>
      <w:r>
        <w:rPr>
          <w:rFonts w:ascii="Gill Sans MT" w:hAnsi="Gill Sans MT" w:cs="Gill Sans MT"/>
          <w:sz w:val="22"/>
          <w:szCs w:val="22"/>
        </w:rPr>
        <w:t>Rule.</w:t>
      </w:r>
    </w:p>
    <w:p w:rsidR="002C5025" w:rsidRDefault="00FB027C">
      <w:pPr>
        <w:pStyle w:val="BodyText"/>
        <w:kinsoku w:val="0"/>
        <w:overflowPunct w:val="0"/>
        <w:spacing w:before="9"/>
        <w:rPr>
          <w:rFonts w:ascii="Gill Sans MT" w:hAnsi="Gill Sans MT" w:cs="Gill Sans MT"/>
          <w:sz w:val="18"/>
          <w:szCs w:val="18"/>
        </w:rPr>
      </w:pPr>
      <w:r>
        <w:rPr>
          <w:noProof/>
        </w:rPr>
        <mc:AlternateContent>
          <mc:Choice Requires="wps">
            <w:drawing>
              <wp:anchor distT="0" distB="0" distL="0" distR="0" simplePos="0" relativeHeight="251514368" behindDoc="0" locked="0" layoutInCell="0" allowOverlap="1">
                <wp:simplePos x="0" y="0"/>
                <wp:positionH relativeFrom="page">
                  <wp:posOffset>914400</wp:posOffset>
                </wp:positionH>
                <wp:positionV relativeFrom="paragraph">
                  <wp:posOffset>169545</wp:posOffset>
                </wp:positionV>
                <wp:extent cx="5944235" cy="12700"/>
                <wp:effectExtent l="0" t="0" r="0" b="0"/>
                <wp:wrapTopAndBottom/>
                <wp:docPr id="880" name="Freeform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4235" cy="12700"/>
                        </a:xfrm>
                        <a:custGeom>
                          <a:avLst/>
                          <a:gdLst>
                            <a:gd name="T0" fmla="*/ 0 w 9361"/>
                            <a:gd name="T1" fmla="*/ 0 h 20"/>
                            <a:gd name="T2" fmla="*/ 9361 w 9361"/>
                            <a:gd name="T3" fmla="*/ 0 h 20"/>
                          </a:gdLst>
                          <a:ahLst/>
                          <a:cxnLst>
                            <a:cxn ang="0">
                              <a:pos x="T0" y="T1"/>
                            </a:cxn>
                            <a:cxn ang="0">
                              <a:pos x="T2" y="T3"/>
                            </a:cxn>
                          </a:cxnLst>
                          <a:rect l="0" t="0" r="r" b="b"/>
                          <a:pathLst>
                            <a:path w="9361" h="20">
                              <a:moveTo>
                                <a:pt x="0" y="0"/>
                              </a:moveTo>
                              <a:lnTo>
                                <a:pt x="9361" y="0"/>
                              </a:lnTo>
                            </a:path>
                          </a:pathLst>
                        </a:custGeom>
                        <a:noFill/>
                        <a:ln w="13462">
                          <a:solidFill>
                            <a:srgbClr val="1F487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45" o:spid="_x0000_s1026" style="position:absolute;z-index:251514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13.35pt,540.05pt,13.35pt" coordsize="93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" o:allowincell="f" filled="f" strokecolor="#1f487c" strokeweight="1.06pt">
                <v:path arrowok="t" o:connecttype="custom" o:connectlocs="0,0;5944235,0" o:connectangles="0,0"/>
                <w10:wrap type="topAndBottom" anchorx="page"/>
              </v:polyline>
            </w:pict>
          </mc:Fallback>
        </mc:AlternateContent>
      </w:r>
    </w:p>
    <w:p w:rsidR="002C5025" w:rsidRDefault="002C5025">
      <w:pPr>
        <w:pStyle w:val="BodyText"/>
        <w:kinsoku w:val="0"/>
        <w:overflowPunct w:val="0"/>
        <w:spacing w:before="84" w:line="229" w:lineRule="exact"/>
        <w:ind w:left="2549" w:right="2549"/>
        <w:jc w:val="center"/>
        <w:rPr>
          <w:rFonts w:ascii="Arial Narrow" w:hAnsi="Arial Narrow" w:cs="Arial Narrow"/>
          <w:b/>
          <w:bCs/>
          <w:color w:val="5295F3"/>
        </w:rPr>
      </w:pPr>
      <w:bookmarkStart w:id="58" w:name="Association_of_Developmental_Disabilitie"/>
      <w:bookmarkEnd w:id="58"/>
      <w:r>
        <w:rPr>
          <w:rFonts w:ascii="Arial Narrow" w:hAnsi="Arial Narrow" w:cs="Arial Narrow"/>
          <w:b/>
          <w:bCs/>
          <w:color w:val="5295F3"/>
        </w:rPr>
        <w:t>Association of Developmental Disabilities Providers</w:t>
      </w:r>
    </w:p>
    <w:p w:rsidR="002C5025" w:rsidRDefault="002C5025">
      <w:pPr>
        <w:pStyle w:val="BodyText"/>
        <w:tabs>
          <w:tab w:val="right" w:pos="9479"/>
        </w:tabs>
        <w:kinsoku w:val="0"/>
        <w:overflowPunct w:val="0"/>
        <w:spacing w:line="311" w:lineRule="exact"/>
        <w:ind w:left="304"/>
        <w:rPr>
          <w:rFonts w:ascii="Times New Roman" w:hAnsi="Times New Roman" w:cs="Times New Roman"/>
          <w:color w:val="000000"/>
          <w:position w:val="6"/>
          <w:sz w:val="24"/>
          <w:szCs w:val="24"/>
        </w:rPr>
      </w:pPr>
      <w:r>
        <w:rPr>
          <w:rFonts w:ascii="Gill Sans MT" w:hAnsi="Gill Sans MT" w:cs="Gill Sans MT"/>
          <w:color w:val="5295F3"/>
          <w:spacing w:val="-3"/>
        </w:rPr>
        <w:t>1671</w:t>
      </w:r>
      <w:r>
        <w:rPr>
          <w:rFonts w:ascii="Gill Sans MT" w:hAnsi="Gill Sans MT" w:cs="Gill Sans MT"/>
          <w:color w:val="5295F3"/>
          <w:spacing w:val="-28"/>
        </w:rPr>
        <w:t xml:space="preserve"> </w:t>
      </w:r>
      <w:r>
        <w:rPr>
          <w:rFonts w:ascii="Gill Sans MT" w:hAnsi="Gill Sans MT" w:cs="Gill Sans MT"/>
          <w:color w:val="5295F3"/>
          <w:spacing w:val="-3"/>
        </w:rPr>
        <w:t>Worcester</w:t>
      </w:r>
      <w:r>
        <w:rPr>
          <w:rFonts w:ascii="Gill Sans MT" w:hAnsi="Gill Sans MT" w:cs="Gill Sans MT"/>
          <w:color w:val="5295F3"/>
          <w:spacing w:val="-28"/>
        </w:rPr>
        <w:t xml:space="preserve"> </w:t>
      </w:r>
      <w:r>
        <w:rPr>
          <w:rFonts w:ascii="Gill Sans MT" w:hAnsi="Gill Sans MT" w:cs="Gill Sans MT"/>
          <w:color w:val="5295F3"/>
        </w:rPr>
        <w:t>Rd,</w:t>
      </w:r>
      <w:r>
        <w:rPr>
          <w:rFonts w:ascii="Gill Sans MT" w:hAnsi="Gill Sans MT" w:cs="Gill Sans MT"/>
          <w:color w:val="5295F3"/>
          <w:spacing w:val="-28"/>
        </w:rPr>
        <w:t xml:space="preserve"> </w:t>
      </w:r>
      <w:r>
        <w:rPr>
          <w:rFonts w:ascii="Gill Sans MT" w:hAnsi="Gill Sans MT" w:cs="Gill Sans MT"/>
          <w:color w:val="5295F3"/>
        </w:rPr>
        <w:t>Suite</w:t>
      </w:r>
      <w:r>
        <w:rPr>
          <w:rFonts w:ascii="Gill Sans MT" w:hAnsi="Gill Sans MT" w:cs="Gill Sans MT"/>
          <w:color w:val="5295F3"/>
          <w:spacing w:val="-30"/>
        </w:rPr>
        <w:t xml:space="preserve"> </w:t>
      </w:r>
      <w:r>
        <w:rPr>
          <w:rFonts w:ascii="Gill Sans MT" w:hAnsi="Gill Sans MT" w:cs="Gill Sans MT"/>
          <w:color w:val="5295F3"/>
          <w:spacing w:val="-3"/>
        </w:rPr>
        <w:t>201,</w:t>
      </w:r>
      <w:r>
        <w:rPr>
          <w:rFonts w:ascii="Gill Sans MT" w:hAnsi="Gill Sans MT" w:cs="Gill Sans MT"/>
          <w:color w:val="5295F3"/>
          <w:spacing w:val="-28"/>
        </w:rPr>
        <w:t xml:space="preserve"> </w:t>
      </w:r>
      <w:r>
        <w:rPr>
          <w:rFonts w:ascii="Gill Sans MT" w:hAnsi="Gill Sans MT" w:cs="Gill Sans MT"/>
          <w:color w:val="5295F3"/>
        </w:rPr>
        <w:t>Framingham,</w:t>
      </w:r>
      <w:r>
        <w:rPr>
          <w:rFonts w:ascii="Gill Sans MT" w:hAnsi="Gill Sans MT" w:cs="Gill Sans MT"/>
          <w:color w:val="5295F3"/>
          <w:spacing w:val="-28"/>
        </w:rPr>
        <w:t xml:space="preserve"> </w:t>
      </w:r>
      <w:r>
        <w:rPr>
          <w:rFonts w:ascii="Gill Sans MT" w:hAnsi="Gill Sans MT" w:cs="Gill Sans MT"/>
          <w:color w:val="5295F3"/>
        </w:rPr>
        <w:t>Ma</w:t>
      </w:r>
      <w:r>
        <w:rPr>
          <w:rFonts w:ascii="Gill Sans MT" w:hAnsi="Gill Sans MT" w:cs="Gill Sans MT"/>
          <w:color w:val="5295F3"/>
          <w:spacing w:val="-26"/>
        </w:rPr>
        <w:t xml:space="preserve"> </w:t>
      </w:r>
      <w:r>
        <w:rPr>
          <w:rFonts w:ascii="Gill Sans MT" w:hAnsi="Gill Sans MT" w:cs="Gill Sans MT"/>
          <w:color w:val="5295F3"/>
        </w:rPr>
        <w:t>01701</w:t>
      </w:r>
      <w:r>
        <w:rPr>
          <w:rFonts w:ascii="Gill Sans MT" w:hAnsi="Gill Sans MT" w:cs="Gill Sans MT"/>
          <w:color w:val="5295F3"/>
          <w:spacing w:val="45"/>
        </w:rPr>
        <w:t xml:space="preserve"> </w:t>
      </w:r>
      <w:r>
        <w:rPr>
          <w:rFonts w:ascii="Times New Roman" w:hAnsi="Times New Roman" w:cs="Times New Roman"/>
          <w:color w:val="5295F3"/>
        </w:rPr>
        <w:t xml:space="preserve">▪ </w:t>
      </w:r>
      <w:r>
        <w:rPr>
          <w:rFonts w:ascii="Times New Roman" w:hAnsi="Times New Roman" w:cs="Times New Roman"/>
          <w:color w:val="5295F3"/>
          <w:spacing w:val="1"/>
        </w:rPr>
        <w:t xml:space="preserve"> </w:t>
      </w:r>
      <w:r>
        <w:rPr>
          <w:rFonts w:ascii="Gill Sans MT" w:hAnsi="Gill Sans MT" w:cs="Gill Sans MT"/>
          <w:color w:val="5295F3"/>
          <w:sz w:val="18"/>
          <w:szCs w:val="18"/>
        </w:rPr>
        <w:t>TEL:</w:t>
      </w:r>
      <w:r>
        <w:rPr>
          <w:rFonts w:ascii="Gill Sans MT" w:hAnsi="Gill Sans MT" w:cs="Gill Sans MT"/>
          <w:color w:val="5295F3"/>
          <w:spacing w:val="8"/>
          <w:sz w:val="18"/>
          <w:szCs w:val="18"/>
        </w:rPr>
        <w:t xml:space="preserve"> </w:t>
      </w:r>
      <w:r>
        <w:rPr>
          <w:rFonts w:ascii="Gill Sans MT" w:hAnsi="Gill Sans MT" w:cs="Gill Sans MT"/>
          <w:color w:val="5295F3"/>
        </w:rPr>
        <w:t>508-405-8000</w:t>
      </w:r>
      <w:r>
        <w:rPr>
          <w:rFonts w:ascii="Gill Sans MT" w:hAnsi="Gill Sans MT" w:cs="Gill Sans MT"/>
          <w:color w:val="5295F3"/>
          <w:spacing w:val="47"/>
        </w:rPr>
        <w:t xml:space="preserve"> </w:t>
      </w:r>
      <w:r>
        <w:rPr>
          <w:rFonts w:ascii="Times New Roman" w:hAnsi="Times New Roman" w:cs="Times New Roman"/>
          <w:color w:val="5295F3"/>
        </w:rPr>
        <w:t xml:space="preserve">▪ </w:t>
      </w:r>
      <w:r>
        <w:rPr>
          <w:rFonts w:ascii="Times New Roman" w:hAnsi="Times New Roman" w:cs="Times New Roman"/>
          <w:color w:val="5295F3"/>
          <w:spacing w:val="1"/>
        </w:rPr>
        <w:t xml:space="preserve"> </w:t>
      </w:r>
      <w:r>
        <w:rPr>
          <w:rFonts w:ascii="Gill Sans MT" w:hAnsi="Gill Sans MT" w:cs="Gill Sans MT"/>
          <w:color w:val="5295F3"/>
          <w:spacing w:val="-3"/>
          <w:sz w:val="18"/>
          <w:szCs w:val="18"/>
        </w:rPr>
        <w:t>FAX:</w:t>
      </w:r>
      <w:r>
        <w:rPr>
          <w:rFonts w:ascii="Gill Sans MT" w:hAnsi="Gill Sans MT" w:cs="Gill Sans MT"/>
          <w:color w:val="5295F3"/>
          <w:spacing w:val="-15"/>
          <w:sz w:val="18"/>
          <w:szCs w:val="18"/>
        </w:rPr>
        <w:t xml:space="preserve"> </w:t>
      </w:r>
      <w:r>
        <w:rPr>
          <w:rFonts w:ascii="Gill Sans MT" w:hAnsi="Gill Sans MT" w:cs="Gill Sans MT"/>
          <w:color w:val="5295F3"/>
        </w:rPr>
        <w:t>508-405-8001</w:t>
      </w:r>
      <w:r>
        <w:rPr>
          <w:rFonts w:ascii="Times New Roman" w:hAnsi="Times New Roman" w:cs="Times New Roman"/>
          <w:color w:val="000000"/>
          <w:position w:val="6"/>
          <w:sz w:val="24"/>
          <w:szCs w:val="24"/>
        </w:rPr>
        <w:tab/>
        <w:t>1</w:t>
      </w:r>
    </w:p>
    <w:p w:rsidR="002C5025" w:rsidRDefault="002C5025">
      <w:pPr>
        <w:pStyle w:val="BodyText"/>
        <w:tabs>
          <w:tab w:val="right" w:pos="9479"/>
        </w:tabs>
        <w:kinsoku w:val="0"/>
        <w:overflowPunct w:val="0"/>
        <w:spacing w:line="311" w:lineRule="exact"/>
        <w:ind w:left="304"/>
        <w:rPr>
          <w:rFonts w:ascii="Times New Roman" w:hAnsi="Times New Roman" w:cs="Times New Roman"/>
          <w:color w:val="000000"/>
          <w:position w:val="6"/>
          <w:sz w:val="24"/>
          <w:szCs w:val="24"/>
        </w:rPr>
        <w:sectPr w:rsidR="002C5025">
          <w:pgSz w:w="12240" w:h="15840"/>
          <w:pgMar w:top="1440" w:right="1320" w:bottom="280" w:left="1320" w:header="720" w:footer="720" w:gutter="0"/>
          <w:cols w:space="720" w:equalWidth="0">
            <w:col w:w="9600"/>
          </w:cols>
          <w:noEndnote/>
        </w:sectPr>
      </w:pPr>
    </w:p>
    <w:p w:rsidR="002C5025" w:rsidRDefault="002C5025">
      <w:pPr>
        <w:pStyle w:val="ListParagraph"/>
        <w:numPr>
          <w:ilvl w:val="0"/>
          <w:numId w:val="84"/>
        </w:numPr>
        <w:tabs>
          <w:tab w:val="left" w:pos="481"/>
        </w:tabs>
        <w:kinsoku w:val="0"/>
        <w:overflowPunct w:val="0"/>
        <w:spacing w:before="35" w:line="261" w:lineRule="auto"/>
        <w:ind w:right="109" w:hanging="360"/>
        <w:jc w:val="both"/>
        <w:rPr>
          <w:rFonts w:ascii="Gill Sans MT" w:hAnsi="Gill Sans MT" w:cs="Gill Sans MT"/>
          <w:spacing w:val="-3"/>
          <w:sz w:val="22"/>
          <w:szCs w:val="22"/>
        </w:rPr>
      </w:pPr>
      <w:r>
        <w:rPr>
          <w:rFonts w:ascii="Gill Sans MT" w:hAnsi="Gill Sans MT" w:cs="Gill Sans MT"/>
          <w:sz w:val="22"/>
          <w:szCs w:val="22"/>
        </w:rPr>
        <w:lastRenderedPageBreak/>
        <w:t>CPs,</w:t>
      </w:r>
      <w:r>
        <w:rPr>
          <w:rFonts w:ascii="Gill Sans MT" w:hAnsi="Gill Sans MT" w:cs="Gill Sans MT"/>
          <w:spacing w:val="-8"/>
          <w:sz w:val="22"/>
          <w:szCs w:val="22"/>
        </w:rPr>
        <w:t xml:space="preserve"> </w:t>
      </w:r>
      <w:r>
        <w:rPr>
          <w:rFonts w:ascii="Gill Sans MT" w:hAnsi="Gill Sans MT" w:cs="Gill Sans MT"/>
          <w:sz w:val="22"/>
          <w:szCs w:val="22"/>
        </w:rPr>
        <w:t>ACOs,</w:t>
      </w:r>
      <w:r>
        <w:rPr>
          <w:rFonts w:ascii="Gill Sans MT" w:hAnsi="Gill Sans MT" w:cs="Gill Sans MT"/>
          <w:spacing w:val="-6"/>
          <w:sz w:val="22"/>
          <w:szCs w:val="22"/>
        </w:rPr>
        <w:t xml:space="preserve"> </w:t>
      </w:r>
      <w:r>
        <w:rPr>
          <w:rFonts w:ascii="Gill Sans MT" w:hAnsi="Gill Sans MT" w:cs="Gill Sans MT"/>
          <w:sz w:val="22"/>
          <w:szCs w:val="22"/>
        </w:rPr>
        <w:t>and</w:t>
      </w:r>
      <w:r>
        <w:rPr>
          <w:rFonts w:ascii="Gill Sans MT" w:hAnsi="Gill Sans MT" w:cs="Gill Sans MT"/>
          <w:spacing w:val="-5"/>
          <w:sz w:val="22"/>
          <w:szCs w:val="22"/>
        </w:rPr>
        <w:t xml:space="preserve"> </w:t>
      </w:r>
      <w:r>
        <w:rPr>
          <w:rFonts w:ascii="Gill Sans MT" w:hAnsi="Gill Sans MT" w:cs="Gill Sans MT"/>
          <w:sz w:val="22"/>
          <w:szCs w:val="22"/>
        </w:rPr>
        <w:t>MCOs</w:t>
      </w:r>
      <w:r>
        <w:rPr>
          <w:rFonts w:ascii="Gill Sans MT" w:hAnsi="Gill Sans MT" w:cs="Gill Sans MT"/>
          <w:spacing w:val="-6"/>
          <w:sz w:val="22"/>
          <w:szCs w:val="22"/>
        </w:rPr>
        <w:t xml:space="preserve"> </w:t>
      </w:r>
      <w:r>
        <w:rPr>
          <w:rFonts w:ascii="Gill Sans MT" w:hAnsi="Gill Sans MT" w:cs="Gill Sans MT"/>
          <w:sz w:val="22"/>
          <w:szCs w:val="22"/>
        </w:rPr>
        <w:t>will</w:t>
      </w:r>
      <w:r>
        <w:rPr>
          <w:rFonts w:ascii="Gill Sans MT" w:hAnsi="Gill Sans MT" w:cs="Gill Sans MT"/>
          <w:spacing w:val="-5"/>
          <w:sz w:val="22"/>
          <w:szCs w:val="22"/>
        </w:rPr>
        <w:t xml:space="preserve"> </w:t>
      </w:r>
      <w:r>
        <w:rPr>
          <w:rFonts w:ascii="Gill Sans MT" w:hAnsi="Gill Sans MT" w:cs="Gill Sans MT"/>
          <w:sz w:val="22"/>
          <w:szCs w:val="22"/>
        </w:rPr>
        <w:t>be</w:t>
      </w:r>
      <w:r>
        <w:rPr>
          <w:rFonts w:ascii="Gill Sans MT" w:hAnsi="Gill Sans MT" w:cs="Gill Sans MT"/>
          <w:spacing w:val="-8"/>
          <w:sz w:val="22"/>
          <w:szCs w:val="22"/>
        </w:rPr>
        <w:t xml:space="preserve"> </w:t>
      </w:r>
      <w:r>
        <w:rPr>
          <w:rFonts w:ascii="Gill Sans MT" w:hAnsi="Gill Sans MT" w:cs="Gill Sans MT"/>
          <w:sz w:val="22"/>
          <w:szCs w:val="22"/>
        </w:rPr>
        <w:t>prohibited</w:t>
      </w:r>
      <w:r>
        <w:rPr>
          <w:rFonts w:ascii="Gill Sans MT" w:hAnsi="Gill Sans MT" w:cs="Gill Sans MT"/>
          <w:spacing w:val="-7"/>
          <w:sz w:val="22"/>
          <w:szCs w:val="22"/>
        </w:rPr>
        <w:t xml:space="preserve"> </w:t>
      </w:r>
      <w:r>
        <w:rPr>
          <w:rFonts w:ascii="Gill Sans MT" w:hAnsi="Gill Sans MT" w:cs="Gill Sans MT"/>
          <w:spacing w:val="-3"/>
          <w:sz w:val="22"/>
          <w:szCs w:val="22"/>
        </w:rPr>
        <w:t>from</w:t>
      </w:r>
      <w:r>
        <w:rPr>
          <w:rFonts w:ascii="Gill Sans MT" w:hAnsi="Gill Sans MT" w:cs="Gill Sans MT"/>
          <w:spacing w:val="-8"/>
          <w:sz w:val="22"/>
          <w:szCs w:val="22"/>
        </w:rPr>
        <w:t xml:space="preserve"> </w:t>
      </w:r>
      <w:r>
        <w:rPr>
          <w:rFonts w:ascii="Gill Sans MT" w:hAnsi="Gill Sans MT" w:cs="Gill Sans MT"/>
          <w:spacing w:val="-3"/>
          <w:sz w:val="22"/>
          <w:szCs w:val="22"/>
        </w:rPr>
        <w:t>contracting</w:t>
      </w:r>
      <w:r>
        <w:rPr>
          <w:rFonts w:ascii="Gill Sans MT" w:hAnsi="Gill Sans MT" w:cs="Gill Sans MT"/>
          <w:spacing w:val="-6"/>
          <w:sz w:val="22"/>
          <w:szCs w:val="22"/>
        </w:rPr>
        <w:t xml:space="preserve"> </w:t>
      </w:r>
      <w:r>
        <w:rPr>
          <w:rFonts w:ascii="Gill Sans MT" w:hAnsi="Gill Sans MT" w:cs="Gill Sans MT"/>
          <w:sz w:val="22"/>
          <w:szCs w:val="22"/>
        </w:rPr>
        <w:t>with</w:t>
      </w:r>
      <w:r>
        <w:rPr>
          <w:rFonts w:ascii="Gill Sans MT" w:hAnsi="Gill Sans MT" w:cs="Gill Sans MT"/>
          <w:spacing w:val="-3"/>
          <w:sz w:val="22"/>
          <w:szCs w:val="22"/>
        </w:rPr>
        <w:t xml:space="preserve"> service</w:t>
      </w:r>
      <w:r>
        <w:rPr>
          <w:rFonts w:ascii="Gill Sans MT" w:hAnsi="Gill Sans MT" w:cs="Gill Sans MT"/>
          <w:spacing w:val="-6"/>
          <w:sz w:val="22"/>
          <w:szCs w:val="22"/>
        </w:rPr>
        <w:t xml:space="preserve"> </w:t>
      </w:r>
      <w:r>
        <w:rPr>
          <w:rFonts w:ascii="Gill Sans MT" w:hAnsi="Gill Sans MT" w:cs="Gill Sans MT"/>
          <w:spacing w:val="-3"/>
          <w:sz w:val="22"/>
          <w:szCs w:val="22"/>
        </w:rPr>
        <w:t>providers</w:t>
      </w:r>
      <w:r>
        <w:rPr>
          <w:rFonts w:ascii="Gill Sans MT" w:hAnsi="Gill Sans MT" w:cs="Gill Sans MT"/>
          <w:spacing w:val="-6"/>
          <w:sz w:val="22"/>
          <w:szCs w:val="22"/>
        </w:rPr>
        <w:t xml:space="preserve"> </w:t>
      </w:r>
      <w:r>
        <w:rPr>
          <w:rFonts w:ascii="Gill Sans MT" w:hAnsi="Gill Sans MT" w:cs="Gill Sans MT"/>
          <w:sz w:val="22"/>
          <w:szCs w:val="22"/>
        </w:rPr>
        <w:t>and</w:t>
      </w:r>
      <w:r>
        <w:rPr>
          <w:rFonts w:ascii="Gill Sans MT" w:hAnsi="Gill Sans MT" w:cs="Gill Sans MT"/>
          <w:spacing w:val="-5"/>
          <w:sz w:val="22"/>
          <w:szCs w:val="22"/>
        </w:rPr>
        <w:t xml:space="preserve"> </w:t>
      </w:r>
      <w:r>
        <w:rPr>
          <w:rFonts w:ascii="Gill Sans MT" w:hAnsi="Gill Sans MT" w:cs="Gill Sans MT"/>
          <w:spacing w:val="-4"/>
          <w:sz w:val="22"/>
          <w:szCs w:val="22"/>
        </w:rPr>
        <w:t xml:space="preserve">contractors </w:t>
      </w:r>
      <w:r>
        <w:rPr>
          <w:rFonts w:ascii="Gill Sans MT" w:hAnsi="Gill Sans MT" w:cs="Gill Sans MT"/>
          <w:sz w:val="22"/>
          <w:szCs w:val="22"/>
        </w:rPr>
        <w:t xml:space="preserve">that fail to adhere to </w:t>
      </w:r>
      <w:r>
        <w:rPr>
          <w:rFonts w:ascii="Gill Sans MT" w:hAnsi="Gill Sans MT" w:cs="Gill Sans MT"/>
          <w:spacing w:val="-3"/>
          <w:sz w:val="22"/>
          <w:szCs w:val="22"/>
        </w:rPr>
        <w:t xml:space="preserve">these </w:t>
      </w:r>
      <w:r>
        <w:rPr>
          <w:rFonts w:ascii="Gill Sans MT" w:hAnsi="Gill Sans MT" w:cs="Gill Sans MT"/>
          <w:sz w:val="22"/>
          <w:szCs w:val="22"/>
        </w:rPr>
        <w:t xml:space="preserve">regulations and will be </w:t>
      </w:r>
      <w:r>
        <w:rPr>
          <w:rFonts w:ascii="Gill Sans MT" w:hAnsi="Gill Sans MT" w:cs="Gill Sans MT"/>
          <w:spacing w:val="-3"/>
          <w:sz w:val="22"/>
          <w:szCs w:val="22"/>
        </w:rPr>
        <w:t xml:space="preserve">required </w:t>
      </w:r>
      <w:r>
        <w:rPr>
          <w:rFonts w:ascii="Gill Sans MT" w:hAnsi="Gill Sans MT" w:cs="Gill Sans MT"/>
          <w:sz w:val="22"/>
          <w:szCs w:val="22"/>
        </w:rPr>
        <w:t xml:space="preserve">to provide </w:t>
      </w:r>
      <w:r>
        <w:rPr>
          <w:rFonts w:ascii="Gill Sans MT" w:hAnsi="Gill Sans MT" w:cs="Gill Sans MT"/>
          <w:spacing w:val="-3"/>
          <w:sz w:val="22"/>
          <w:szCs w:val="22"/>
        </w:rPr>
        <w:t xml:space="preserve">assurances </w:t>
      </w:r>
      <w:r>
        <w:rPr>
          <w:rFonts w:ascii="Gill Sans MT" w:hAnsi="Gill Sans MT" w:cs="Gill Sans MT"/>
          <w:sz w:val="22"/>
          <w:szCs w:val="22"/>
        </w:rPr>
        <w:t xml:space="preserve">of </w:t>
      </w:r>
      <w:r>
        <w:rPr>
          <w:rFonts w:ascii="Gill Sans MT" w:hAnsi="Gill Sans MT" w:cs="Gill Sans MT"/>
          <w:spacing w:val="-4"/>
          <w:sz w:val="22"/>
          <w:szCs w:val="22"/>
        </w:rPr>
        <w:t xml:space="preserve">their </w:t>
      </w:r>
      <w:r>
        <w:rPr>
          <w:rFonts w:ascii="Gill Sans MT" w:hAnsi="Gill Sans MT" w:cs="Gill Sans MT"/>
          <w:spacing w:val="-3"/>
          <w:sz w:val="22"/>
          <w:szCs w:val="22"/>
        </w:rPr>
        <w:t>understanding</w:t>
      </w:r>
      <w:r>
        <w:rPr>
          <w:rFonts w:ascii="Gill Sans MT" w:hAnsi="Gill Sans MT" w:cs="Gill Sans MT"/>
          <w:spacing w:val="-15"/>
          <w:sz w:val="22"/>
          <w:szCs w:val="22"/>
        </w:rPr>
        <w:t xml:space="preserve"> </w:t>
      </w:r>
      <w:r>
        <w:rPr>
          <w:rFonts w:ascii="Gill Sans MT" w:hAnsi="Gill Sans MT" w:cs="Gill Sans MT"/>
          <w:sz w:val="22"/>
          <w:szCs w:val="22"/>
        </w:rPr>
        <w:t>and</w:t>
      </w:r>
      <w:r>
        <w:rPr>
          <w:rFonts w:ascii="Gill Sans MT" w:hAnsi="Gill Sans MT" w:cs="Gill Sans MT"/>
          <w:spacing w:val="-20"/>
          <w:sz w:val="22"/>
          <w:szCs w:val="22"/>
        </w:rPr>
        <w:t xml:space="preserve"> </w:t>
      </w:r>
      <w:r>
        <w:rPr>
          <w:rFonts w:ascii="Gill Sans MT" w:hAnsi="Gill Sans MT" w:cs="Gill Sans MT"/>
          <w:spacing w:val="-3"/>
          <w:sz w:val="22"/>
          <w:szCs w:val="22"/>
        </w:rPr>
        <w:t>compliance</w:t>
      </w:r>
      <w:r>
        <w:rPr>
          <w:rFonts w:ascii="Gill Sans MT" w:hAnsi="Gill Sans MT" w:cs="Gill Sans MT"/>
          <w:spacing w:val="-17"/>
          <w:sz w:val="22"/>
          <w:szCs w:val="22"/>
        </w:rPr>
        <w:t xml:space="preserve"> </w:t>
      </w:r>
      <w:r>
        <w:rPr>
          <w:rFonts w:ascii="Gill Sans MT" w:hAnsi="Gill Sans MT" w:cs="Gill Sans MT"/>
          <w:sz w:val="22"/>
          <w:szCs w:val="22"/>
        </w:rPr>
        <w:t>with</w:t>
      </w:r>
      <w:r>
        <w:rPr>
          <w:rFonts w:ascii="Gill Sans MT" w:hAnsi="Gill Sans MT" w:cs="Gill Sans MT"/>
          <w:spacing w:val="-17"/>
          <w:sz w:val="22"/>
          <w:szCs w:val="22"/>
        </w:rPr>
        <w:t xml:space="preserve"> </w:t>
      </w:r>
      <w:r>
        <w:rPr>
          <w:rFonts w:ascii="Gill Sans MT" w:hAnsi="Gill Sans MT" w:cs="Gill Sans MT"/>
          <w:sz w:val="22"/>
          <w:szCs w:val="22"/>
        </w:rPr>
        <w:t>these</w:t>
      </w:r>
      <w:r>
        <w:rPr>
          <w:rFonts w:ascii="Gill Sans MT" w:hAnsi="Gill Sans MT" w:cs="Gill Sans MT"/>
          <w:spacing w:val="-15"/>
          <w:sz w:val="22"/>
          <w:szCs w:val="22"/>
        </w:rPr>
        <w:t xml:space="preserve"> </w:t>
      </w:r>
      <w:r>
        <w:rPr>
          <w:rFonts w:ascii="Gill Sans MT" w:hAnsi="Gill Sans MT" w:cs="Gill Sans MT"/>
          <w:spacing w:val="-3"/>
          <w:sz w:val="22"/>
          <w:szCs w:val="22"/>
        </w:rPr>
        <w:t>aforementioned</w:t>
      </w:r>
      <w:r>
        <w:rPr>
          <w:rFonts w:ascii="Gill Sans MT" w:hAnsi="Gill Sans MT" w:cs="Gill Sans MT"/>
          <w:spacing w:val="-14"/>
          <w:sz w:val="22"/>
          <w:szCs w:val="22"/>
        </w:rPr>
        <w:t xml:space="preserve"> </w:t>
      </w:r>
      <w:r>
        <w:rPr>
          <w:rFonts w:ascii="Gill Sans MT" w:hAnsi="Gill Sans MT" w:cs="Gill Sans MT"/>
          <w:spacing w:val="-3"/>
          <w:sz w:val="22"/>
          <w:szCs w:val="22"/>
        </w:rPr>
        <w:t>CMS</w:t>
      </w:r>
      <w:r>
        <w:rPr>
          <w:rFonts w:ascii="Gill Sans MT" w:hAnsi="Gill Sans MT" w:cs="Gill Sans MT"/>
          <w:spacing w:val="-15"/>
          <w:sz w:val="22"/>
          <w:szCs w:val="22"/>
        </w:rPr>
        <w:t xml:space="preserve"> </w:t>
      </w:r>
      <w:r>
        <w:rPr>
          <w:rFonts w:ascii="Gill Sans MT" w:hAnsi="Gill Sans MT" w:cs="Gill Sans MT"/>
          <w:spacing w:val="-3"/>
          <w:sz w:val="22"/>
          <w:szCs w:val="22"/>
        </w:rPr>
        <w:t>regulations.</w:t>
      </w:r>
    </w:p>
    <w:p w:rsidR="002C5025" w:rsidRDefault="002C5025">
      <w:pPr>
        <w:pStyle w:val="ListParagraph"/>
        <w:numPr>
          <w:ilvl w:val="0"/>
          <w:numId w:val="84"/>
        </w:numPr>
        <w:tabs>
          <w:tab w:val="left" w:pos="481"/>
        </w:tabs>
        <w:kinsoku w:val="0"/>
        <w:overflowPunct w:val="0"/>
        <w:spacing w:line="261" w:lineRule="auto"/>
        <w:ind w:right="104" w:hanging="360"/>
        <w:jc w:val="both"/>
        <w:rPr>
          <w:rFonts w:ascii="Gill Sans MT" w:hAnsi="Gill Sans MT" w:cs="Gill Sans MT"/>
          <w:sz w:val="22"/>
          <w:szCs w:val="22"/>
        </w:rPr>
      </w:pPr>
      <w:r>
        <w:rPr>
          <w:rFonts w:ascii="Gill Sans MT" w:hAnsi="Gill Sans MT" w:cs="Gill Sans MT"/>
          <w:spacing w:val="-3"/>
          <w:sz w:val="22"/>
          <w:szCs w:val="22"/>
        </w:rPr>
        <w:t xml:space="preserve">ACOs </w:t>
      </w:r>
      <w:r>
        <w:rPr>
          <w:rFonts w:ascii="Gill Sans MT" w:hAnsi="Gill Sans MT" w:cs="Gill Sans MT"/>
          <w:sz w:val="22"/>
          <w:szCs w:val="22"/>
        </w:rPr>
        <w:t xml:space="preserve">and </w:t>
      </w:r>
      <w:r>
        <w:rPr>
          <w:rFonts w:ascii="Gill Sans MT" w:hAnsi="Gill Sans MT" w:cs="Gill Sans MT"/>
          <w:spacing w:val="-3"/>
          <w:sz w:val="22"/>
          <w:szCs w:val="22"/>
        </w:rPr>
        <w:t xml:space="preserve">MCOs </w:t>
      </w:r>
      <w:r>
        <w:rPr>
          <w:rFonts w:ascii="Gill Sans MT" w:hAnsi="Gill Sans MT" w:cs="Gill Sans MT"/>
          <w:sz w:val="22"/>
          <w:szCs w:val="22"/>
        </w:rPr>
        <w:t xml:space="preserve">will be </w:t>
      </w:r>
      <w:r>
        <w:rPr>
          <w:rFonts w:ascii="Gill Sans MT" w:hAnsi="Gill Sans MT" w:cs="Gill Sans MT"/>
          <w:spacing w:val="-3"/>
          <w:sz w:val="22"/>
          <w:szCs w:val="22"/>
        </w:rPr>
        <w:t xml:space="preserve">required </w:t>
      </w:r>
      <w:r>
        <w:rPr>
          <w:rFonts w:ascii="Gill Sans MT" w:hAnsi="Gill Sans MT" w:cs="Gill Sans MT"/>
          <w:sz w:val="22"/>
          <w:szCs w:val="22"/>
        </w:rPr>
        <w:t xml:space="preserve">to </w:t>
      </w:r>
      <w:r>
        <w:rPr>
          <w:rFonts w:ascii="Gill Sans MT" w:hAnsi="Gill Sans MT" w:cs="Gill Sans MT"/>
          <w:spacing w:val="-3"/>
          <w:sz w:val="22"/>
          <w:szCs w:val="22"/>
        </w:rPr>
        <w:t xml:space="preserve">demonstrate network </w:t>
      </w:r>
      <w:r>
        <w:rPr>
          <w:rFonts w:ascii="Gill Sans MT" w:hAnsi="Gill Sans MT" w:cs="Gill Sans MT"/>
          <w:sz w:val="22"/>
          <w:szCs w:val="22"/>
        </w:rPr>
        <w:t xml:space="preserve">adequacy </w:t>
      </w:r>
      <w:r>
        <w:rPr>
          <w:rFonts w:ascii="Gill Sans MT" w:hAnsi="Gill Sans MT" w:cs="Gill Sans MT"/>
          <w:spacing w:val="-3"/>
          <w:sz w:val="22"/>
          <w:szCs w:val="22"/>
        </w:rPr>
        <w:t xml:space="preserve">for </w:t>
      </w:r>
      <w:r>
        <w:rPr>
          <w:rFonts w:ascii="Gill Sans MT" w:hAnsi="Gill Sans MT" w:cs="Gill Sans MT"/>
          <w:sz w:val="22"/>
          <w:szCs w:val="22"/>
        </w:rPr>
        <w:t xml:space="preserve">long </w:t>
      </w:r>
      <w:r>
        <w:rPr>
          <w:rFonts w:ascii="Gill Sans MT" w:hAnsi="Gill Sans MT" w:cs="Gill Sans MT"/>
          <w:spacing w:val="-3"/>
          <w:sz w:val="22"/>
          <w:szCs w:val="22"/>
        </w:rPr>
        <w:t xml:space="preserve">term services </w:t>
      </w:r>
      <w:r>
        <w:rPr>
          <w:rFonts w:ascii="Gill Sans MT" w:hAnsi="Gill Sans MT" w:cs="Gill Sans MT"/>
          <w:sz w:val="22"/>
          <w:szCs w:val="22"/>
        </w:rPr>
        <w:t xml:space="preserve">and supports as </w:t>
      </w:r>
      <w:r>
        <w:rPr>
          <w:rFonts w:ascii="Gill Sans MT" w:hAnsi="Gill Sans MT" w:cs="Gill Sans MT"/>
          <w:spacing w:val="-4"/>
          <w:sz w:val="22"/>
          <w:szCs w:val="22"/>
        </w:rPr>
        <w:t xml:space="preserve">determined </w:t>
      </w:r>
      <w:r>
        <w:rPr>
          <w:rFonts w:ascii="Gill Sans MT" w:hAnsi="Gill Sans MT" w:cs="Gill Sans MT"/>
          <w:sz w:val="22"/>
          <w:szCs w:val="22"/>
        </w:rPr>
        <w:t xml:space="preserve">by </w:t>
      </w:r>
      <w:r>
        <w:rPr>
          <w:rFonts w:ascii="Gill Sans MT" w:hAnsi="Gill Sans MT" w:cs="Gill Sans MT"/>
          <w:spacing w:val="-3"/>
          <w:sz w:val="22"/>
          <w:szCs w:val="22"/>
        </w:rPr>
        <w:t xml:space="preserve">the relevant </w:t>
      </w:r>
      <w:r>
        <w:rPr>
          <w:rFonts w:ascii="Gill Sans MT" w:hAnsi="Gill Sans MT" w:cs="Gill Sans MT"/>
          <w:sz w:val="22"/>
          <w:szCs w:val="22"/>
        </w:rPr>
        <w:t xml:space="preserve">state agency </w:t>
      </w:r>
      <w:r>
        <w:rPr>
          <w:rFonts w:ascii="Gill Sans MT" w:hAnsi="Gill Sans MT" w:cs="Gill Sans MT"/>
          <w:spacing w:val="-3"/>
          <w:sz w:val="22"/>
          <w:szCs w:val="22"/>
        </w:rPr>
        <w:t xml:space="preserve">that determines certification requirements </w:t>
      </w:r>
      <w:r>
        <w:rPr>
          <w:rFonts w:ascii="Gill Sans MT" w:hAnsi="Gill Sans MT" w:cs="Gill Sans MT"/>
          <w:sz w:val="22"/>
          <w:szCs w:val="22"/>
        </w:rPr>
        <w:t>for CPs.</w:t>
      </w:r>
    </w:p>
    <w:p w:rsidR="002C5025" w:rsidRDefault="002C5025">
      <w:pPr>
        <w:pStyle w:val="ListParagraph"/>
        <w:numPr>
          <w:ilvl w:val="0"/>
          <w:numId w:val="84"/>
        </w:numPr>
        <w:tabs>
          <w:tab w:val="left" w:pos="480"/>
        </w:tabs>
        <w:kinsoku w:val="0"/>
        <w:overflowPunct w:val="0"/>
        <w:spacing w:before="14"/>
        <w:rPr>
          <w:rFonts w:ascii="Arial Narrow" w:hAnsi="Arial Narrow" w:cs="Arial Narrow"/>
          <w:w w:val="110"/>
          <w:sz w:val="22"/>
          <w:szCs w:val="22"/>
        </w:rPr>
      </w:pPr>
      <w:r>
        <w:rPr>
          <w:rFonts w:ascii="Arial Narrow" w:hAnsi="Arial Narrow" w:cs="Arial Narrow"/>
          <w:w w:val="110"/>
          <w:sz w:val="22"/>
          <w:szCs w:val="22"/>
        </w:rPr>
        <w:t>CPs</w:t>
      </w:r>
      <w:r>
        <w:rPr>
          <w:rFonts w:ascii="Arial Narrow" w:hAnsi="Arial Narrow" w:cs="Arial Narrow"/>
          <w:spacing w:val="-11"/>
          <w:w w:val="110"/>
          <w:sz w:val="22"/>
          <w:szCs w:val="22"/>
        </w:rPr>
        <w:t xml:space="preserve"> </w:t>
      </w:r>
      <w:r>
        <w:rPr>
          <w:rFonts w:ascii="Arial Narrow" w:hAnsi="Arial Narrow" w:cs="Arial Narrow"/>
          <w:w w:val="110"/>
          <w:sz w:val="22"/>
          <w:szCs w:val="22"/>
        </w:rPr>
        <w:t>will</w:t>
      </w:r>
      <w:r>
        <w:rPr>
          <w:rFonts w:ascii="Arial Narrow" w:hAnsi="Arial Narrow" w:cs="Arial Narrow"/>
          <w:spacing w:val="-11"/>
          <w:w w:val="110"/>
          <w:sz w:val="22"/>
          <w:szCs w:val="22"/>
        </w:rPr>
        <w:t xml:space="preserve"> </w:t>
      </w:r>
      <w:r>
        <w:rPr>
          <w:rFonts w:ascii="Arial Narrow" w:hAnsi="Arial Narrow" w:cs="Arial Narrow"/>
          <w:w w:val="110"/>
          <w:sz w:val="22"/>
          <w:szCs w:val="22"/>
        </w:rPr>
        <w:t>be</w:t>
      </w:r>
      <w:r>
        <w:rPr>
          <w:rFonts w:ascii="Arial Narrow" w:hAnsi="Arial Narrow" w:cs="Arial Narrow"/>
          <w:spacing w:val="-15"/>
          <w:w w:val="110"/>
          <w:sz w:val="22"/>
          <w:szCs w:val="22"/>
        </w:rPr>
        <w:t xml:space="preserve"> </w:t>
      </w:r>
      <w:r>
        <w:rPr>
          <w:rFonts w:ascii="Arial Narrow" w:hAnsi="Arial Narrow" w:cs="Arial Narrow"/>
          <w:w w:val="110"/>
          <w:sz w:val="22"/>
          <w:szCs w:val="22"/>
        </w:rPr>
        <w:t>critical</w:t>
      </w:r>
      <w:r>
        <w:rPr>
          <w:rFonts w:ascii="Arial Narrow" w:hAnsi="Arial Narrow" w:cs="Arial Narrow"/>
          <w:spacing w:val="-11"/>
          <w:w w:val="110"/>
          <w:sz w:val="22"/>
          <w:szCs w:val="22"/>
        </w:rPr>
        <w:t xml:space="preserve"> </w:t>
      </w:r>
      <w:r>
        <w:rPr>
          <w:rFonts w:ascii="Arial Narrow" w:hAnsi="Arial Narrow" w:cs="Arial Narrow"/>
          <w:w w:val="110"/>
          <w:sz w:val="22"/>
          <w:szCs w:val="22"/>
        </w:rPr>
        <w:t>members</w:t>
      </w:r>
      <w:r>
        <w:rPr>
          <w:rFonts w:ascii="Arial Narrow" w:hAnsi="Arial Narrow" w:cs="Arial Narrow"/>
          <w:spacing w:val="-11"/>
          <w:w w:val="110"/>
          <w:sz w:val="22"/>
          <w:szCs w:val="22"/>
        </w:rPr>
        <w:t xml:space="preserve"> </w:t>
      </w:r>
      <w:r>
        <w:rPr>
          <w:rFonts w:ascii="Arial Narrow" w:hAnsi="Arial Narrow" w:cs="Arial Narrow"/>
          <w:w w:val="110"/>
          <w:sz w:val="22"/>
          <w:szCs w:val="22"/>
        </w:rPr>
        <w:t>of</w:t>
      </w:r>
      <w:r>
        <w:rPr>
          <w:rFonts w:ascii="Arial Narrow" w:hAnsi="Arial Narrow" w:cs="Arial Narrow"/>
          <w:spacing w:val="-13"/>
          <w:w w:val="110"/>
          <w:sz w:val="22"/>
          <w:szCs w:val="22"/>
        </w:rPr>
        <w:t xml:space="preserve"> </w:t>
      </w:r>
      <w:r>
        <w:rPr>
          <w:rFonts w:ascii="Arial Narrow" w:hAnsi="Arial Narrow" w:cs="Arial Narrow"/>
          <w:w w:val="110"/>
          <w:sz w:val="22"/>
          <w:szCs w:val="22"/>
        </w:rPr>
        <w:t>the</w:t>
      </w:r>
      <w:r>
        <w:rPr>
          <w:rFonts w:ascii="Arial Narrow" w:hAnsi="Arial Narrow" w:cs="Arial Narrow"/>
          <w:spacing w:val="-15"/>
          <w:w w:val="110"/>
          <w:sz w:val="22"/>
          <w:szCs w:val="22"/>
        </w:rPr>
        <w:t xml:space="preserve"> </w:t>
      </w:r>
      <w:r>
        <w:rPr>
          <w:rFonts w:ascii="Arial Narrow" w:hAnsi="Arial Narrow" w:cs="Arial Narrow"/>
          <w:w w:val="110"/>
          <w:sz w:val="22"/>
          <w:szCs w:val="22"/>
        </w:rPr>
        <w:t>individual’s</w:t>
      </w:r>
      <w:r>
        <w:rPr>
          <w:rFonts w:ascii="Arial Narrow" w:hAnsi="Arial Narrow" w:cs="Arial Narrow"/>
          <w:spacing w:val="-11"/>
          <w:w w:val="110"/>
          <w:sz w:val="22"/>
          <w:szCs w:val="22"/>
        </w:rPr>
        <w:t xml:space="preserve"> </w:t>
      </w:r>
      <w:r>
        <w:rPr>
          <w:rFonts w:ascii="Arial Narrow" w:hAnsi="Arial Narrow" w:cs="Arial Narrow"/>
          <w:w w:val="110"/>
          <w:sz w:val="22"/>
          <w:szCs w:val="22"/>
        </w:rPr>
        <w:t>care</w:t>
      </w:r>
      <w:r>
        <w:rPr>
          <w:rFonts w:ascii="Arial Narrow" w:hAnsi="Arial Narrow" w:cs="Arial Narrow"/>
          <w:spacing w:val="-15"/>
          <w:w w:val="110"/>
          <w:sz w:val="22"/>
          <w:szCs w:val="22"/>
        </w:rPr>
        <w:t xml:space="preserve"> </w:t>
      </w:r>
      <w:r>
        <w:rPr>
          <w:rFonts w:ascii="Arial Narrow" w:hAnsi="Arial Narrow" w:cs="Arial Narrow"/>
          <w:w w:val="110"/>
          <w:sz w:val="22"/>
          <w:szCs w:val="22"/>
        </w:rPr>
        <w:t>team.</w:t>
      </w:r>
    </w:p>
    <w:p w:rsidR="002C5025" w:rsidRDefault="002C5025">
      <w:pPr>
        <w:pStyle w:val="ListParagraph"/>
        <w:numPr>
          <w:ilvl w:val="0"/>
          <w:numId w:val="84"/>
        </w:numPr>
        <w:tabs>
          <w:tab w:val="left" w:pos="481"/>
        </w:tabs>
        <w:kinsoku w:val="0"/>
        <w:overflowPunct w:val="0"/>
        <w:spacing w:before="23" w:line="256" w:lineRule="auto"/>
        <w:ind w:right="108"/>
        <w:jc w:val="both"/>
        <w:rPr>
          <w:rFonts w:ascii="Gill Sans MT" w:hAnsi="Gill Sans MT" w:cs="Gill Sans MT"/>
          <w:spacing w:val="-3"/>
          <w:sz w:val="22"/>
          <w:szCs w:val="22"/>
        </w:rPr>
      </w:pPr>
      <w:r>
        <w:rPr>
          <w:rFonts w:ascii="Arial Narrow" w:hAnsi="Arial Narrow" w:cs="Arial Narrow"/>
          <w:sz w:val="22"/>
          <w:szCs w:val="22"/>
        </w:rPr>
        <w:t xml:space="preserve">CPs will be the key  decision  makers,  in  accordance  with  an  individual’s  Individual  Support  Plan </w:t>
      </w:r>
      <w:r>
        <w:rPr>
          <w:rFonts w:ascii="Gill Sans MT" w:hAnsi="Gill Sans MT" w:cs="Gill Sans MT"/>
          <w:spacing w:val="-3"/>
          <w:sz w:val="22"/>
          <w:szCs w:val="22"/>
        </w:rPr>
        <w:t xml:space="preserve">where </w:t>
      </w:r>
      <w:r>
        <w:rPr>
          <w:rFonts w:ascii="Gill Sans MT" w:hAnsi="Gill Sans MT" w:cs="Gill Sans MT"/>
          <w:sz w:val="22"/>
          <w:szCs w:val="22"/>
        </w:rPr>
        <w:t xml:space="preserve">applicable, for </w:t>
      </w:r>
      <w:r>
        <w:rPr>
          <w:rFonts w:ascii="Gill Sans MT" w:hAnsi="Gill Sans MT" w:cs="Gill Sans MT"/>
          <w:spacing w:val="-4"/>
          <w:sz w:val="22"/>
          <w:szCs w:val="22"/>
        </w:rPr>
        <w:t xml:space="preserve">ensuring </w:t>
      </w:r>
      <w:r>
        <w:rPr>
          <w:rFonts w:ascii="Gill Sans MT" w:hAnsi="Gill Sans MT" w:cs="Gill Sans MT"/>
          <w:spacing w:val="-3"/>
          <w:sz w:val="22"/>
          <w:szCs w:val="22"/>
        </w:rPr>
        <w:t xml:space="preserve">that services </w:t>
      </w:r>
      <w:r>
        <w:rPr>
          <w:rFonts w:ascii="Gill Sans MT" w:hAnsi="Gill Sans MT" w:cs="Gill Sans MT"/>
          <w:sz w:val="22"/>
          <w:szCs w:val="22"/>
        </w:rPr>
        <w:t xml:space="preserve">and supports are provided consistent with </w:t>
      </w:r>
      <w:r>
        <w:rPr>
          <w:rFonts w:ascii="Gill Sans MT" w:hAnsi="Gill Sans MT" w:cs="Gill Sans MT"/>
          <w:spacing w:val="-3"/>
          <w:sz w:val="22"/>
          <w:szCs w:val="22"/>
        </w:rPr>
        <w:t xml:space="preserve">the </w:t>
      </w:r>
      <w:r>
        <w:rPr>
          <w:rFonts w:ascii="Gill Sans MT" w:hAnsi="Gill Sans MT" w:cs="Gill Sans MT"/>
          <w:sz w:val="22"/>
          <w:szCs w:val="22"/>
        </w:rPr>
        <w:t xml:space="preserve">specialized </w:t>
      </w:r>
      <w:r>
        <w:rPr>
          <w:rFonts w:ascii="Gill Sans MT" w:hAnsi="Gill Sans MT" w:cs="Gill Sans MT"/>
          <w:spacing w:val="-3"/>
          <w:sz w:val="22"/>
          <w:szCs w:val="22"/>
        </w:rPr>
        <w:t xml:space="preserve">need </w:t>
      </w:r>
      <w:r>
        <w:rPr>
          <w:rFonts w:ascii="Gill Sans MT" w:hAnsi="Gill Sans MT" w:cs="Gill Sans MT"/>
          <w:sz w:val="22"/>
          <w:szCs w:val="22"/>
        </w:rPr>
        <w:t xml:space="preserve">of </w:t>
      </w:r>
      <w:r>
        <w:rPr>
          <w:rFonts w:ascii="Gill Sans MT" w:hAnsi="Gill Sans MT" w:cs="Gill Sans MT"/>
          <w:spacing w:val="-3"/>
          <w:sz w:val="22"/>
          <w:szCs w:val="22"/>
        </w:rPr>
        <w:t xml:space="preserve">the </w:t>
      </w:r>
      <w:r>
        <w:rPr>
          <w:rFonts w:ascii="Gill Sans MT" w:hAnsi="Gill Sans MT" w:cs="Gill Sans MT"/>
          <w:sz w:val="22"/>
          <w:szCs w:val="22"/>
        </w:rPr>
        <w:t xml:space="preserve">individual and </w:t>
      </w:r>
      <w:r>
        <w:rPr>
          <w:rFonts w:ascii="Gill Sans MT" w:hAnsi="Gill Sans MT" w:cs="Gill Sans MT"/>
          <w:spacing w:val="-3"/>
          <w:sz w:val="22"/>
          <w:szCs w:val="22"/>
        </w:rPr>
        <w:t xml:space="preserve">delivered </w:t>
      </w:r>
      <w:r>
        <w:rPr>
          <w:rFonts w:ascii="Gill Sans MT" w:hAnsi="Gill Sans MT" w:cs="Gill Sans MT"/>
          <w:sz w:val="22"/>
          <w:szCs w:val="22"/>
        </w:rPr>
        <w:t xml:space="preserve">by </w:t>
      </w:r>
      <w:r>
        <w:rPr>
          <w:rFonts w:ascii="Gill Sans MT" w:hAnsi="Gill Sans MT" w:cs="Gill Sans MT"/>
          <w:spacing w:val="-3"/>
          <w:sz w:val="22"/>
          <w:szCs w:val="22"/>
        </w:rPr>
        <w:t xml:space="preserve">providers </w:t>
      </w:r>
      <w:r>
        <w:rPr>
          <w:rFonts w:ascii="Gill Sans MT" w:hAnsi="Gill Sans MT" w:cs="Gill Sans MT"/>
          <w:sz w:val="22"/>
          <w:szCs w:val="22"/>
        </w:rPr>
        <w:t xml:space="preserve">licensed or certified by the state for specialized </w:t>
      </w:r>
      <w:r>
        <w:rPr>
          <w:rFonts w:ascii="Gill Sans MT" w:hAnsi="Gill Sans MT" w:cs="Gill Sans MT"/>
          <w:spacing w:val="-3"/>
          <w:sz w:val="22"/>
          <w:szCs w:val="22"/>
        </w:rPr>
        <w:t xml:space="preserve">knowledge </w:t>
      </w:r>
      <w:r>
        <w:rPr>
          <w:rFonts w:ascii="Gill Sans MT" w:hAnsi="Gill Sans MT" w:cs="Gill Sans MT"/>
          <w:sz w:val="22"/>
          <w:szCs w:val="22"/>
        </w:rPr>
        <w:t xml:space="preserve">and </w:t>
      </w:r>
      <w:r>
        <w:rPr>
          <w:rFonts w:ascii="Gill Sans MT" w:hAnsi="Gill Sans MT" w:cs="Gill Sans MT"/>
          <w:spacing w:val="-3"/>
          <w:sz w:val="22"/>
          <w:szCs w:val="22"/>
        </w:rPr>
        <w:t xml:space="preserve">expertise related </w:t>
      </w:r>
      <w:r>
        <w:rPr>
          <w:rFonts w:ascii="Gill Sans MT" w:hAnsi="Gill Sans MT" w:cs="Gill Sans MT"/>
          <w:sz w:val="22"/>
          <w:szCs w:val="22"/>
        </w:rPr>
        <w:t xml:space="preserve">to the individual including </w:t>
      </w:r>
      <w:r>
        <w:rPr>
          <w:rFonts w:ascii="Gill Sans MT" w:hAnsi="Gill Sans MT" w:cs="Gill Sans MT"/>
          <w:spacing w:val="-3"/>
          <w:sz w:val="22"/>
          <w:szCs w:val="22"/>
        </w:rPr>
        <w:t xml:space="preserve">behavioral </w:t>
      </w:r>
      <w:r>
        <w:rPr>
          <w:rFonts w:ascii="Gill Sans MT" w:hAnsi="Gill Sans MT" w:cs="Gill Sans MT"/>
          <w:sz w:val="22"/>
          <w:szCs w:val="22"/>
        </w:rPr>
        <w:t>healthcare and long</w:t>
      </w:r>
      <w:r>
        <w:rPr>
          <w:rFonts w:ascii="Gill Sans MT" w:hAnsi="Gill Sans MT" w:cs="Gill Sans MT"/>
          <w:spacing w:val="-17"/>
          <w:sz w:val="22"/>
          <w:szCs w:val="22"/>
        </w:rPr>
        <w:t xml:space="preserve"> </w:t>
      </w:r>
      <w:r>
        <w:rPr>
          <w:rFonts w:ascii="Gill Sans MT" w:hAnsi="Gill Sans MT" w:cs="Gill Sans MT"/>
          <w:spacing w:val="-3"/>
          <w:sz w:val="22"/>
          <w:szCs w:val="22"/>
        </w:rPr>
        <w:t>term</w:t>
      </w:r>
      <w:r>
        <w:rPr>
          <w:rFonts w:ascii="Gill Sans MT" w:hAnsi="Gill Sans MT" w:cs="Gill Sans MT"/>
          <w:spacing w:val="-17"/>
          <w:sz w:val="22"/>
          <w:szCs w:val="22"/>
        </w:rPr>
        <w:t xml:space="preserve"> </w:t>
      </w:r>
      <w:r>
        <w:rPr>
          <w:rFonts w:ascii="Gill Sans MT" w:hAnsi="Gill Sans MT" w:cs="Gill Sans MT"/>
          <w:sz w:val="22"/>
          <w:szCs w:val="22"/>
        </w:rPr>
        <w:t>services</w:t>
      </w:r>
      <w:r>
        <w:rPr>
          <w:rFonts w:ascii="Gill Sans MT" w:hAnsi="Gill Sans MT" w:cs="Gill Sans MT"/>
          <w:spacing w:val="-18"/>
          <w:sz w:val="22"/>
          <w:szCs w:val="22"/>
        </w:rPr>
        <w:t xml:space="preserve"> </w:t>
      </w:r>
      <w:r>
        <w:rPr>
          <w:rFonts w:ascii="Gill Sans MT" w:hAnsi="Gill Sans MT" w:cs="Gill Sans MT"/>
          <w:sz w:val="22"/>
          <w:szCs w:val="22"/>
        </w:rPr>
        <w:t>and</w:t>
      </w:r>
      <w:r>
        <w:rPr>
          <w:rFonts w:ascii="Gill Sans MT" w:hAnsi="Gill Sans MT" w:cs="Gill Sans MT"/>
          <w:spacing w:val="-17"/>
          <w:sz w:val="22"/>
          <w:szCs w:val="22"/>
        </w:rPr>
        <w:t xml:space="preserve"> </w:t>
      </w:r>
      <w:r>
        <w:rPr>
          <w:rFonts w:ascii="Gill Sans MT" w:hAnsi="Gill Sans MT" w:cs="Gill Sans MT"/>
          <w:spacing w:val="-3"/>
          <w:sz w:val="22"/>
          <w:szCs w:val="22"/>
        </w:rPr>
        <w:t>supports.</w:t>
      </w:r>
    </w:p>
    <w:p w:rsidR="002C5025" w:rsidRDefault="002C5025">
      <w:pPr>
        <w:pStyle w:val="ListParagraph"/>
        <w:numPr>
          <w:ilvl w:val="0"/>
          <w:numId w:val="84"/>
        </w:numPr>
        <w:tabs>
          <w:tab w:val="left" w:pos="481"/>
        </w:tabs>
        <w:kinsoku w:val="0"/>
        <w:overflowPunct w:val="0"/>
        <w:spacing w:before="5" w:line="261" w:lineRule="auto"/>
        <w:ind w:right="115" w:hanging="360"/>
        <w:jc w:val="both"/>
        <w:rPr>
          <w:rFonts w:ascii="Gill Sans MT" w:hAnsi="Gill Sans MT" w:cs="Gill Sans MT"/>
          <w:sz w:val="22"/>
          <w:szCs w:val="22"/>
        </w:rPr>
      </w:pPr>
      <w:r>
        <w:rPr>
          <w:rFonts w:ascii="Gill Sans MT" w:hAnsi="Gill Sans MT" w:cs="Gill Sans MT"/>
          <w:sz w:val="22"/>
          <w:szCs w:val="22"/>
        </w:rPr>
        <w:t>CPs</w:t>
      </w:r>
      <w:r>
        <w:rPr>
          <w:rFonts w:ascii="Gill Sans MT" w:hAnsi="Gill Sans MT" w:cs="Gill Sans MT"/>
          <w:spacing w:val="-9"/>
          <w:sz w:val="22"/>
          <w:szCs w:val="22"/>
        </w:rPr>
        <w:t xml:space="preserve"> </w:t>
      </w:r>
      <w:r>
        <w:rPr>
          <w:rFonts w:ascii="Gill Sans MT" w:hAnsi="Gill Sans MT" w:cs="Gill Sans MT"/>
          <w:sz w:val="22"/>
          <w:szCs w:val="22"/>
        </w:rPr>
        <w:t>need</w:t>
      </w:r>
      <w:r>
        <w:rPr>
          <w:rFonts w:ascii="Gill Sans MT" w:hAnsi="Gill Sans MT" w:cs="Gill Sans MT"/>
          <w:spacing w:val="-8"/>
          <w:sz w:val="22"/>
          <w:szCs w:val="22"/>
        </w:rPr>
        <w:t xml:space="preserve"> </w:t>
      </w:r>
      <w:r>
        <w:rPr>
          <w:rFonts w:ascii="Gill Sans MT" w:hAnsi="Gill Sans MT" w:cs="Gill Sans MT"/>
          <w:sz w:val="22"/>
          <w:szCs w:val="22"/>
        </w:rPr>
        <w:t>to</w:t>
      </w:r>
      <w:r>
        <w:rPr>
          <w:rFonts w:ascii="Gill Sans MT" w:hAnsi="Gill Sans MT" w:cs="Gill Sans MT"/>
          <w:spacing w:val="-10"/>
          <w:sz w:val="22"/>
          <w:szCs w:val="22"/>
        </w:rPr>
        <w:t xml:space="preserve"> </w:t>
      </w:r>
      <w:r>
        <w:rPr>
          <w:rFonts w:ascii="Gill Sans MT" w:hAnsi="Gill Sans MT" w:cs="Gill Sans MT"/>
          <w:sz w:val="22"/>
          <w:szCs w:val="22"/>
        </w:rPr>
        <w:t>play</w:t>
      </w:r>
      <w:r>
        <w:rPr>
          <w:rFonts w:ascii="Gill Sans MT" w:hAnsi="Gill Sans MT" w:cs="Gill Sans MT"/>
          <w:spacing w:val="-6"/>
          <w:sz w:val="22"/>
          <w:szCs w:val="22"/>
        </w:rPr>
        <w:t xml:space="preserve"> </w:t>
      </w:r>
      <w:r>
        <w:rPr>
          <w:rFonts w:ascii="Gill Sans MT" w:hAnsi="Gill Sans MT" w:cs="Gill Sans MT"/>
          <w:sz w:val="22"/>
          <w:szCs w:val="22"/>
        </w:rPr>
        <w:t>a</w:t>
      </w:r>
      <w:r>
        <w:rPr>
          <w:rFonts w:ascii="Gill Sans MT" w:hAnsi="Gill Sans MT" w:cs="Gill Sans MT"/>
          <w:spacing w:val="-8"/>
          <w:sz w:val="22"/>
          <w:szCs w:val="22"/>
        </w:rPr>
        <w:t xml:space="preserve"> </w:t>
      </w:r>
      <w:r>
        <w:rPr>
          <w:rFonts w:ascii="Gill Sans MT" w:hAnsi="Gill Sans MT" w:cs="Gill Sans MT"/>
          <w:spacing w:val="-3"/>
          <w:sz w:val="22"/>
          <w:szCs w:val="22"/>
        </w:rPr>
        <w:t>role,</w:t>
      </w:r>
      <w:r>
        <w:rPr>
          <w:rFonts w:ascii="Gill Sans MT" w:hAnsi="Gill Sans MT" w:cs="Gill Sans MT"/>
          <w:spacing w:val="-8"/>
          <w:sz w:val="22"/>
          <w:szCs w:val="22"/>
        </w:rPr>
        <w:t xml:space="preserve"> </w:t>
      </w:r>
      <w:r>
        <w:rPr>
          <w:rFonts w:ascii="Gill Sans MT" w:hAnsi="Gill Sans MT" w:cs="Gill Sans MT"/>
          <w:sz w:val="22"/>
          <w:szCs w:val="22"/>
        </w:rPr>
        <w:t>in</w:t>
      </w:r>
      <w:r>
        <w:rPr>
          <w:rFonts w:ascii="Gill Sans MT" w:hAnsi="Gill Sans MT" w:cs="Gill Sans MT"/>
          <w:spacing w:val="-8"/>
          <w:sz w:val="22"/>
          <w:szCs w:val="22"/>
        </w:rPr>
        <w:t xml:space="preserve"> </w:t>
      </w:r>
      <w:r>
        <w:rPr>
          <w:rFonts w:ascii="Gill Sans MT" w:hAnsi="Gill Sans MT" w:cs="Gill Sans MT"/>
          <w:spacing w:val="-3"/>
          <w:sz w:val="22"/>
          <w:szCs w:val="22"/>
        </w:rPr>
        <w:t>collaboration</w:t>
      </w:r>
      <w:r>
        <w:rPr>
          <w:rFonts w:ascii="Gill Sans MT" w:hAnsi="Gill Sans MT" w:cs="Gill Sans MT"/>
          <w:spacing w:val="-8"/>
          <w:sz w:val="22"/>
          <w:szCs w:val="22"/>
        </w:rPr>
        <w:t xml:space="preserve"> </w:t>
      </w:r>
      <w:r>
        <w:rPr>
          <w:rFonts w:ascii="Gill Sans MT" w:hAnsi="Gill Sans MT" w:cs="Gill Sans MT"/>
          <w:sz w:val="22"/>
          <w:szCs w:val="22"/>
        </w:rPr>
        <w:t>with</w:t>
      </w:r>
      <w:r>
        <w:rPr>
          <w:rFonts w:ascii="Gill Sans MT" w:hAnsi="Gill Sans MT" w:cs="Gill Sans MT"/>
          <w:spacing w:val="-8"/>
          <w:sz w:val="22"/>
          <w:szCs w:val="22"/>
        </w:rPr>
        <w:t xml:space="preserve"> </w:t>
      </w:r>
      <w:r>
        <w:rPr>
          <w:rFonts w:ascii="Gill Sans MT" w:hAnsi="Gill Sans MT" w:cs="Gill Sans MT"/>
          <w:sz w:val="22"/>
          <w:szCs w:val="22"/>
        </w:rPr>
        <w:t>the</w:t>
      </w:r>
      <w:r>
        <w:rPr>
          <w:rFonts w:ascii="Gill Sans MT" w:hAnsi="Gill Sans MT" w:cs="Gill Sans MT"/>
          <w:spacing w:val="-6"/>
          <w:sz w:val="22"/>
          <w:szCs w:val="22"/>
        </w:rPr>
        <w:t xml:space="preserve"> </w:t>
      </w:r>
      <w:r>
        <w:rPr>
          <w:rFonts w:ascii="Gill Sans MT" w:hAnsi="Gill Sans MT" w:cs="Gill Sans MT"/>
          <w:spacing w:val="-3"/>
          <w:sz w:val="22"/>
          <w:szCs w:val="22"/>
        </w:rPr>
        <w:t>ACO/MCO</w:t>
      </w:r>
      <w:r>
        <w:rPr>
          <w:rFonts w:ascii="Gill Sans MT" w:hAnsi="Gill Sans MT" w:cs="Gill Sans MT"/>
          <w:spacing w:val="-7"/>
          <w:sz w:val="22"/>
          <w:szCs w:val="22"/>
        </w:rPr>
        <w:t xml:space="preserve"> </w:t>
      </w:r>
      <w:r>
        <w:rPr>
          <w:rFonts w:ascii="Gill Sans MT" w:hAnsi="Gill Sans MT" w:cs="Gill Sans MT"/>
          <w:sz w:val="22"/>
          <w:szCs w:val="22"/>
        </w:rPr>
        <w:t>in</w:t>
      </w:r>
      <w:r>
        <w:rPr>
          <w:rFonts w:ascii="Gill Sans MT" w:hAnsi="Gill Sans MT" w:cs="Gill Sans MT"/>
          <w:spacing w:val="-10"/>
          <w:sz w:val="22"/>
          <w:szCs w:val="22"/>
        </w:rPr>
        <w:t xml:space="preserve"> </w:t>
      </w:r>
      <w:r>
        <w:rPr>
          <w:rFonts w:ascii="Gill Sans MT" w:hAnsi="Gill Sans MT" w:cs="Gill Sans MT"/>
          <w:spacing w:val="-3"/>
          <w:sz w:val="22"/>
          <w:szCs w:val="22"/>
        </w:rPr>
        <w:t>coordinating</w:t>
      </w:r>
      <w:r>
        <w:rPr>
          <w:rFonts w:ascii="Gill Sans MT" w:hAnsi="Gill Sans MT" w:cs="Gill Sans MT"/>
          <w:spacing w:val="-6"/>
          <w:sz w:val="22"/>
          <w:szCs w:val="22"/>
        </w:rPr>
        <w:t xml:space="preserve"> </w:t>
      </w:r>
      <w:r>
        <w:rPr>
          <w:rFonts w:ascii="Gill Sans MT" w:hAnsi="Gill Sans MT" w:cs="Gill Sans MT"/>
          <w:spacing w:val="-3"/>
          <w:sz w:val="22"/>
          <w:szCs w:val="22"/>
        </w:rPr>
        <w:t>services</w:t>
      </w:r>
      <w:r>
        <w:rPr>
          <w:rFonts w:ascii="Gill Sans MT" w:hAnsi="Gill Sans MT" w:cs="Gill Sans MT"/>
          <w:spacing w:val="-6"/>
          <w:sz w:val="22"/>
          <w:szCs w:val="22"/>
        </w:rPr>
        <w:t xml:space="preserve"> </w:t>
      </w:r>
      <w:r>
        <w:rPr>
          <w:rFonts w:ascii="Gill Sans MT" w:hAnsi="Gill Sans MT" w:cs="Gill Sans MT"/>
          <w:sz w:val="22"/>
          <w:szCs w:val="22"/>
        </w:rPr>
        <w:t>across</w:t>
      </w:r>
      <w:r>
        <w:rPr>
          <w:rFonts w:ascii="Gill Sans MT" w:hAnsi="Gill Sans MT" w:cs="Gill Sans MT"/>
          <w:spacing w:val="-9"/>
          <w:sz w:val="22"/>
          <w:szCs w:val="22"/>
        </w:rPr>
        <w:t xml:space="preserve"> </w:t>
      </w:r>
      <w:r>
        <w:rPr>
          <w:rFonts w:ascii="Gill Sans MT" w:hAnsi="Gill Sans MT" w:cs="Gill Sans MT"/>
          <w:sz w:val="22"/>
          <w:szCs w:val="22"/>
        </w:rPr>
        <w:t xml:space="preserve">LTSS, </w:t>
      </w:r>
      <w:r>
        <w:rPr>
          <w:rFonts w:ascii="Gill Sans MT" w:hAnsi="Gill Sans MT" w:cs="Gill Sans MT"/>
          <w:spacing w:val="-3"/>
          <w:sz w:val="22"/>
          <w:szCs w:val="22"/>
        </w:rPr>
        <w:t>behavioral</w:t>
      </w:r>
      <w:r>
        <w:rPr>
          <w:rFonts w:ascii="Gill Sans MT" w:hAnsi="Gill Sans MT" w:cs="Gill Sans MT"/>
          <w:spacing w:val="-8"/>
          <w:sz w:val="22"/>
          <w:szCs w:val="22"/>
        </w:rPr>
        <w:t xml:space="preserve"> </w:t>
      </w:r>
      <w:r>
        <w:rPr>
          <w:rFonts w:ascii="Gill Sans MT" w:hAnsi="Gill Sans MT" w:cs="Gill Sans MT"/>
          <w:sz w:val="22"/>
          <w:szCs w:val="22"/>
        </w:rPr>
        <w:t>health</w:t>
      </w:r>
      <w:r>
        <w:rPr>
          <w:rFonts w:ascii="Gill Sans MT" w:hAnsi="Gill Sans MT" w:cs="Gill Sans MT"/>
          <w:spacing w:val="-12"/>
          <w:sz w:val="22"/>
          <w:szCs w:val="22"/>
        </w:rPr>
        <w:t xml:space="preserve"> </w:t>
      </w:r>
      <w:r>
        <w:rPr>
          <w:rFonts w:ascii="Gill Sans MT" w:hAnsi="Gill Sans MT" w:cs="Gill Sans MT"/>
          <w:sz w:val="22"/>
          <w:szCs w:val="22"/>
        </w:rPr>
        <w:t>as</w:t>
      </w:r>
      <w:r>
        <w:rPr>
          <w:rFonts w:ascii="Gill Sans MT" w:hAnsi="Gill Sans MT" w:cs="Gill Sans MT"/>
          <w:spacing w:val="-8"/>
          <w:sz w:val="22"/>
          <w:szCs w:val="22"/>
        </w:rPr>
        <w:t xml:space="preserve"> </w:t>
      </w:r>
      <w:r>
        <w:rPr>
          <w:rFonts w:ascii="Gill Sans MT" w:hAnsi="Gill Sans MT" w:cs="Gill Sans MT"/>
          <w:sz w:val="22"/>
          <w:szCs w:val="22"/>
        </w:rPr>
        <w:t>well</w:t>
      </w:r>
      <w:r>
        <w:rPr>
          <w:rFonts w:ascii="Gill Sans MT" w:hAnsi="Gill Sans MT" w:cs="Gill Sans MT"/>
          <w:spacing w:val="-8"/>
          <w:sz w:val="22"/>
          <w:szCs w:val="22"/>
        </w:rPr>
        <w:t xml:space="preserve"> </w:t>
      </w:r>
      <w:r>
        <w:rPr>
          <w:rFonts w:ascii="Gill Sans MT" w:hAnsi="Gill Sans MT" w:cs="Gill Sans MT"/>
          <w:sz w:val="22"/>
          <w:szCs w:val="22"/>
        </w:rPr>
        <w:t>as</w:t>
      </w:r>
      <w:r>
        <w:rPr>
          <w:rFonts w:ascii="Gill Sans MT" w:hAnsi="Gill Sans MT" w:cs="Gill Sans MT"/>
          <w:spacing w:val="-11"/>
          <w:sz w:val="22"/>
          <w:szCs w:val="22"/>
        </w:rPr>
        <w:t xml:space="preserve"> </w:t>
      </w:r>
      <w:r>
        <w:rPr>
          <w:rFonts w:ascii="Gill Sans MT" w:hAnsi="Gill Sans MT" w:cs="Gill Sans MT"/>
          <w:sz w:val="22"/>
          <w:szCs w:val="22"/>
        </w:rPr>
        <w:t>health</w:t>
      </w:r>
      <w:r>
        <w:rPr>
          <w:rFonts w:ascii="Gill Sans MT" w:hAnsi="Gill Sans MT" w:cs="Gill Sans MT"/>
          <w:spacing w:val="-12"/>
          <w:sz w:val="22"/>
          <w:szCs w:val="22"/>
        </w:rPr>
        <w:t xml:space="preserve"> </w:t>
      </w:r>
      <w:r>
        <w:rPr>
          <w:rFonts w:ascii="Gill Sans MT" w:hAnsi="Gill Sans MT" w:cs="Gill Sans MT"/>
          <w:sz w:val="22"/>
          <w:szCs w:val="22"/>
        </w:rPr>
        <w:t>care.</w:t>
      </w:r>
    </w:p>
    <w:p w:rsidR="002C5025" w:rsidRDefault="002C5025">
      <w:pPr>
        <w:pStyle w:val="ListParagraph"/>
        <w:numPr>
          <w:ilvl w:val="0"/>
          <w:numId w:val="84"/>
        </w:numPr>
        <w:tabs>
          <w:tab w:val="left" w:pos="480"/>
        </w:tabs>
        <w:kinsoku w:val="0"/>
        <w:overflowPunct w:val="0"/>
        <w:spacing w:line="261" w:lineRule="auto"/>
        <w:ind w:right="110"/>
        <w:jc w:val="both"/>
        <w:rPr>
          <w:rFonts w:ascii="Gill Sans MT" w:hAnsi="Gill Sans MT" w:cs="Gill Sans MT"/>
          <w:spacing w:val="-4"/>
          <w:sz w:val="22"/>
          <w:szCs w:val="22"/>
        </w:rPr>
      </w:pPr>
      <w:r>
        <w:rPr>
          <w:rFonts w:ascii="Gill Sans MT" w:hAnsi="Gill Sans MT" w:cs="Gill Sans MT"/>
          <w:sz w:val="22"/>
          <w:szCs w:val="22"/>
        </w:rPr>
        <w:t xml:space="preserve">Eligibility </w:t>
      </w:r>
      <w:r>
        <w:rPr>
          <w:rFonts w:ascii="Gill Sans MT" w:hAnsi="Gill Sans MT" w:cs="Gill Sans MT"/>
          <w:spacing w:val="-3"/>
          <w:sz w:val="22"/>
          <w:szCs w:val="22"/>
        </w:rPr>
        <w:t xml:space="preserve">standards </w:t>
      </w:r>
      <w:r>
        <w:rPr>
          <w:rFonts w:ascii="Gill Sans MT" w:hAnsi="Gill Sans MT" w:cs="Gill Sans MT"/>
          <w:sz w:val="22"/>
          <w:szCs w:val="22"/>
        </w:rPr>
        <w:t xml:space="preserve">for LTSS </w:t>
      </w:r>
      <w:r>
        <w:rPr>
          <w:rFonts w:ascii="Gill Sans MT" w:hAnsi="Gill Sans MT" w:cs="Gill Sans MT"/>
          <w:spacing w:val="-3"/>
          <w:sz w:val="22"/>
          <w:szCs w:val="22"/>
        </w:rPr>
        <w:t xml:space="preserve">services, </w:t>
      </w:r>
      <w:r>
        <w:rPr>
          <w:rFonts w:ascii="Gill Sans MT" w:hAnsi="Gill Sans MT" w:cs="Gill Sans MT"/>
          <w:sz w:val="22"/>
          <w:szCs w:val="22"/>
        </w:rPr>
        <w:t xml:space="preserve">coordinated by CPs, will be set by the specialized </w:t>
      </w:r>
      <w:r>
        <w:rPr>
          <w:rFonts w:ascii="Gill Sans MT" w:hAnsi="Gill Sans MT" w:cs="Gill Sans MT"/>
          <w:spacing w:val="-2"/>
          <w:sz w:val="22"/>
          <w:szCs w:val="22"/>
        </w:rPr>
        <w:t xml:space="preserve">agencies </w:t>
      </w:r>
      <w:r>
        <w:rPr>
          <w:rFonts w:ascii="Gill Sans MT" w:hAnsi="Gill Sans MT" w:cs="Gill Sans MT"/>
          <w:spacing w:val="-3"/>
          <w:sz w:val="22"/>
          <w:szCs w:val="22"/>
        </w:rPr>
        <w:t xml:space="preserve">through current </w:t>
      </w:r>
      <w:r>
        <w:rPr>
          <w:rFonts w:ascii="Gill Sans MT" w:hAnsi="Gill Sans MT" w:cs="Gill Sans MT"/>
          <w:sz w:val="22"/>
          <w:szCs w:val="22"/>
        </w:rPr>
        <w:t xml:space="preserve">Massachusetts Administrative </w:t>
      </w:r>
      <w:r>
        <w:rPr>
          <w:rFonts w:ascii="Gill Sans MT" w:hAnsi="Gill Sans MT" w:cs="Gill Sans MT"/>
          <w:spacing w:val="-3"/>
          <w:sz w:val="22"/>
          <w:szCs w:val="22"/>
        </w:rPr>
        <w:t xml:space="preserve">procedures, </w:t>
      </w:r>
      <w:r>
        <w:rPr>
          <w:rFonts w:ascii="Gill Sans MT" w:hAnsi="Gill Sans MT" w:cs="Gill Sans MT"/>
          <w:sz w:val="22"/>
          <w:szCs w:val="22"/>
        </w:rPr>
        <w:t xml:space="preserve">which are inclusive of public </w:t>
      </w:r>
      <w:r>
        <w:rPr>
          <w:rFonts w:ascii="Gill Sans MT" w:hAnsi="Gill Sans MT" w:cs="Gill Sans MT"/>
          <w:spacing w:val="-3"/>
          <w:sz w:val="22"/>
          <w:szCs w:val="22"/>
        </w:rPr>
        <w:t xml:space="preserve">notice, </w:t>
      </w:r>
      <w:r>
        <w:rPr>
          <w:rFonts w:ascii="Gill Sans MT" w:hAnsi="Gill Sans MT" w:cs="Gill Sans MT"/>
          <w:sz w:val="22"/>
          <w:szCs w:val="22"/>
        </w:rPr>
        <w:t>public</w:t>
      </w:r>
      <w:r>
        <w:rPr>
          <w:rFonts w:ascii="Gill Sans MT" w:hAnsi="Gill Sans MT" w:cs="Gill Sans MT"/>
          <w:spacing w:val="-30"/>
          <w:sz w:val="22"/>
          <w:szCs w:val="22"/>
        </w:rPr>
        <w:t xml:space="preserve"> </w:t>
      </w:r>
      <w:r>
        <w:rPr>
          <w:rFonts w:ascii="Gill Sans MT" w:hAnsi="Gill Sans MT" w:cs="Gill Sans MT"/>
          <w:spacing w:val="-3"/>
          <w:sz w:val="22"/>
          <w:szCs w:val="22"/>
        </w:rPr>
        <w:t>comment</w:t>
      </w:r>
      <w:r>
        <w:rPr>
          <w:rFonts w:ascii="Gill Sans MT" w:hAnsi="Gill Sans MT" w:cs="Gill Sans MT"/>
          <w:spacing w:val="-29"/>
          <w:sz w:val="22"/>
          <w:szCs w:val="22"/>
        </w:rPr>
        <w:t xml:space="preserve"> </w:t>
      </w:r>
      <w:r>
        <w:rPr>
          <w:rFonts w:ascii="Gill Sans MT" w:hAnsi="Gill Sans MT" w:cs="Gill Sans MT"/>
          <w:spacing w:val="-3"/>
          <w:sz w:val="22"/>
          <w:szCs w:val="22"/>
        </w:rPr>
        <w:t>and</w:t>
      </w:r>
      <w:r>
        <w:rPr>
          <w:rFonts w:ascii="Gill Sans MT" w:hAnsi="Gill Sans MT" w:cs="Gill Sans MT"/>
          <w:spacing w:val="-30"/>
          <w:sz w:val="22"/>
          <w:szCs w:val="22"/>
        </w:rPr>
        <w:t xml:space="preserve"> </w:t>
      </w:r>
      <w:r>
        <w:rPr>
          <w:rFonts w:ascii="Gill Sans MT" w:hAnsi="Gill Sans MT" w:cs="Gill Sans MT"/>
          <w:spacing w:val="-3"/>
          <w:sz w:val="22"/>
          <w:szCs w:val="22"/>
        </w:rPr>
        <w:t>the</w:t>
      </w:r>
      <w:r>
        <w:rPr>
          <w:rFonts w:ascii="Gill Sans MT" w:hAnsi="Gill Sans MT" w:cs="Gill Sans MT"/>
          <w:spacing w:val="-30"/>
          <w:sz w:val="22"/>
          <w:szCs w:val="22"/>
        </w:rPr>
        <w:t xml:space="preserve"> </w:t>
      </w:r>
      <w:r>
        <w:rPr>
          <w:rFonts w:ascii="Gill Sans MT" w:hAnsi="Gill Sans MT" w:cs="Gill Sans MT"/>
          <w:spacing w:val="-3"/>
          <w:sz w:val="22"/>
          <w:szCs w:val="22"/>
        </w:rPr>
        <w:t>opportunity</w:t>
      </w:r>
      <w:r>
        <w:rPr>
          <w:rFonts w:ascii="Gill Sans MT" w:hAnsi="Gill Sans MT" w:cs="Gill Sans MT"/>
          <w:spacing w:val="-30"/>
          <w:sz w:val="22"/>
          <w:szCs w:val="22"/>
        </w:rPr>
        <w:t xml:space="preserve"> </w:t>
      </w:r>
      <w:r>
        <w:rPr>
          <w:rFonts w:ascii="Gill Sans MT" w:hAnsi="Gill Sans MT" w:cs="Gill Sans MT"/>
          <w:sz w:val="22"/>
          <w:szCs w:val="22"/>
        </w:rPr>
        <w:t>to</w:t>
      </w:r>
      <w:r>
        <w:rPr>
          <w:rFonts w:ascii="Gill Sans MT" w:hAnsi="Gill Sans MT" w:cs="Gill Sans MT"/>
          <w:spacing w:val="-33"/>
          <w:sz w:val="22"/>
          <w:szCs w:val="22"/>
        </w:rPr>
        <w:t xml:space="preserve"> </w:t>
      </w:r>
      <w:r>
        <w:rPr>
          <w:rFonts w:ascii="Gill Sans MT" w:hAnsi="Gill Sans MT" w:cs="Gill Sans MT"/>
          <w:sz w:val="22"/>
          <w:szCs w:val="22"/>
        </w:rPr>
        <w:t>be</w:t>
      </w:r>
      <w:r>
        <w:rPr>
          <w:rFonts w:ascii="Gill Sans MT" w:hAnsi="Gill Sans MT" w:cs="Gill Sans MT"/>
          <w:spacing w:val="-30"/>
          <w:sz w:val="22"/>
          <w:szCs w:val="22"/>
        </w:rPr>
        <w:t xml:space="preserve"> </w:t>
      </w:r>
      <w:r>
        <w:rPr>
          <w:rFonts w:ascii="Gill Sans MT" w:hAnsi="Gill Sans MT" w:cs="Gill Sans MT"/>
          <w:spacing w:val="-3"/>
          <w:sz w:val="22"/>
          <w:szCs w:val="22"/>
        </w:rPr>
        <w:t>heard</w:t>
      </w:r>
      <w:r>
        <w:rPr>
          <w:rFonts w:ascii="Gill Sans MT" w:hAnsi="Gill Sans MT" w:cs="Gill Sans MT"/>
          <w:spacing w:val="-30"/>
          <w:sz w:val="22"/>
          <w:szCs w:val="22"/>
        </w:rPr>
        <w:t xml:space="preserve"> </w:t>
      </w:r>
      <w:r>
        <w:rPr>
          <w:rFonts w:ascii="Gill Sans MT" w:hAnsi="Gill Sans MT" w:cs="Gill Sans MT"/>
          <w:spacing w:val="-3"/>
          <w:sz w:val="22"/>
          <w:szCs w:val="22"/>
        </w:rPr>
        <w:t>through</w:t>
      </w:r>
      <w:r>
        <w:rPr>
          <w:rFonts w:ascii="Gill Sans MT" w:hAnsi="Gill Sans MT" w:cs="Gill Sans MT"/>
          <w:spacing w:val="-36"/>
          <w:sz w:val="22"/>
          <w:szCs w:val="22"/>
        </w:rPr>
        <w:t xml:space="preserve"> </w:t>
      </w:r>
      <w:r>
        <w:rPr>
          <w:rFonts w:ascii="Gill Sans MT" w:hAnsi="Gill Sans MT" w:cs="Gill Sans MT"/>
          <w:spacing w:val="-3"/>
          <w:sz w:val="22"/>
          <w:szCs w:val="22"/>
        </w:rPr>
        <w:t>oral</w:t>
      </w:r>
      <w:r>
        <w:rPr>
          <w:rFonts w:ascii="Gill Sans MT" w:hAnsi="Gill Sans MT" w:cs="Gill Sans MT"/>
          <w:spacing w:val="-28"/>
          <w:sz w:val="22"/>
          <w:szCs w:val="22"/>
        </w:rPr>
        <w:t xml:space="preserve"> </w:t>
      </w:r>
      <w:r>
        <w:rPr>
          <w:rFonts w:ascii="Gill Sans MT" w:hAnsi="Gill Sans MT" w:cs="Gill Sans MT"/>
          <w:sz w:val="22"/>
          <w:szCs w:val="22"/>
        </w:rPr>
        <w:t>and</w:t>
      </w:r>
      <w:r>
        <w:rPr>
          <w:rFonts w:ascii="Gill Sans MT" w:hAnsi="Gill Sans MT" w:cs="Gill Sans MT"/>
          <w:spacing w:val="-27"/>
          <w:sz w:val="22"/>
          <w:szCs w:val="22"/>
        </w:rPr>
        <w:t xml:space="preserve"> </w:t>
      </w:r>
      <w:r>
        <w:rPr>
          <w:rFonts w:ascii="Gill Sans MT" w:hAnsi="Gill Sans MT" w:cs="Gill Sans MT"/>
          <w:sz w:val="22"/>
          <w:szCs w:val="22"/>
        </w:rPr>
        <w:t>written</w:t>
      </w:r>
      <w:r>
        <w:rPr>
          <w:rFonts w:ascii="Gill Sans MT" w:hAnsi="Gill Sans MT" w:cs="Gill Sans MT"/>
          <w:spacing w:val="-30"/>
          <w:sz w:val="22"/>
          <w:szCs w:val="22"/>
        </w:rPr>
        <w:t xml:space="preserve"> </w:t>
      </w:r>
      <w:r>
        <w:rPr>
          <w:rFonts w:ascii="Gill Sans MT" w:hAnsi="Gill Sans MT" w:cs="Gill Sans MT"/>
          <w:spacing w:val="-4"/>
          <w:sz w:val="22"/>
          <w:szCs w:val="22"/>
        </w:rPr>
        <w:t>testimony.</w:t>
      </w:r>
    </w:p>
    <w:p w:rsidR="002C5025" w:rsidRDefault="002C5025">
      <w:pPr>
        <w:pStyle w:val="BodyText"/>
        <w:kinsoku w:val="0"/>
        <w:overflowPunct w:val="0"/>
        <w:spacing w:before="8"/>
        <w:rPr>
          <w:rFonts w:ascii="Gill Sans MT" w:hAnsi="Gill Sans MT" w:cs="Gill Sans MT"/>
          <w:sz w:val="25"/>
          <w:szCs w:val="25"/>
        </w:rPr>
      </w:pPr>
    </w:p>
    <w:p w:rsidR="002C5025" w:rsidRDefault="002C5025">
      <w:pPr>
        <w:pStyle w:val="BodyText"/>
        <w:numPr>
          <w:ilvl w:val="0"/>
          <w:numId w:val="86"/>
        </w:numPr>
        <w:tabs>
          <w:tab w:val="left" w:pos="480"/>
        </w:tabs>
        <w:kinsoku w:val="0"/>
        <w:overflowPunct w:val="0"/>
        <w:spacing w:line="266" w:lineRule="auto"/>
        <w:ind w:right="6816"/>
        <w:rPr>
          <w:rFonts w:ascii="Arial Narrow" w:hAnsi="Arial Narrow" w:cs="Arial Narrow"/>
          <w:b/>
          <w:bCs/>
          <w:color w:val="001F5F"/>
        </w:rPr>
      </w:pPr>
      <w:bookmarkStart w:id="59" w:name="2._CP/ACO/MCO_Consumer_Protections"/>
      <w:bookmarkEnd w:id="59"/>
      <w:r>
        <w:rPr>
          <w:rFonts w:ascii="Arial Narrow" w:hAnsi="Arial Narrow" w:cs="Arial Narrow"/>
          <w:b/>
          <w:bCs/>
          <w:color w:val="001F5F"/>
          <w:spacing w:val="-4"/>
        </w:rPr>
        <w:t xml:space="preserve">CP/ACO/MCO </w:t>
      </w:r>
      <w:r>
        <w:rPr>
          <w:rFonts w:ascii="Arial Narrow" w:hAnsi="Arial Narrow" w:cs="Arial Narrow"/>
          <w:b/>
          <w:bCs/>
          <w:color w:val="001F5F"/>
        </w:rPr>
        <w:t>Consumer</w:t>
      </w:r>
      <w:r>
        <w:rPr>
          <w:rFonts w:ascii="Arial Narrow" w:hAnsi="Arial Narrow" w:cs="Arial Narrow"/>
          <w:b/>
          <w:bCs/>
          <w:color w:val="001F5F"/>
          <w:spacing w:val="-4"/>
        </w:rPr>
        <w:t xml:space="preserve"> </w:t>
      </w:r>
      <w:r>
        <w:rPr>
          <w:rFonts w:ascii="Arial Narrow" w:hAnsi="Arial Narrow" w:cs="Arial Narrow"/>
          <w:b/>
          <w:bCs/>
          <w:color w:val="001F5F"/>
        </w:rPr>
        <w:t>Protections</w:t>
      </w:r>
    </w:p>
    <w:p w:rsidR="002C5025" w:rsidRDefault="002C5025">
      <w:pPr>
        <w:pStyle w:val="ListParagraph"/>
        <w:numPr>
          <w:ilvl w:val="0"/>
          <w:numId w:val="84"/>
        </w:numPr>
        <w:tabs>
          <w:tab w:val="left" w:pos="481"/>
        </w:tabs>
        <w:kinsoku w:val="0"/>
        <w:overflowPunct w:val="0"/>
        <w:spacing w:line="253" w:lineRule="exact"/>
        <w:ind w:hanging="360"/>
        <w:jc w:val="both"/>
        <w:rPr>
          <w:rFonts w:ascii="Gill Sans MT" w:hAnsi="Gill Sans MT" w:cs="Gill Sans MT"/>
          <w:spacing w:val="-3"/>
          <w:sz w:val="22"/>
          <w:szCs w:val="22"/>
        </w:rPr>
      </w:pPr>
      <w:r>
        <w:rPr>
          <w:rFonts w:ascii="Gill Sans MT" w:hAnsi="Gill Sans MT" w:cs="Gill Sans MT"/>
          <w:sz w:val="22"/>
          <w:szCs w:val="22"/>
        </w:rPr>
        <w:t>MassHealth</w:t>
      </w:r>
      <w:r>
        <w:rPr>
          <w:rFonts w:ascii="Gill Sans MT" w:hAnsi="Gill Sans MT" w:cs="Gill Sans MT"/>
          <w:spacing w:val="-29"/>
          <w:sz w:val="22"/>
          <w:szCs w:val="22"/>
        </w:rPr>
        <w:t xml:space="preserve"> </w:t>
      </w:r>
      <w:r>
        <w:rPr>
          <w:rFonts w:ascii="Gill Sans MT" w:hAnsi="Gill Sans MT" w:cs="Gill Sans MT"/>
          <w:spacing w:val="-3"/>
          <w:sz w:val="22"/>
          <w:szCs w:val="22"/>
        </w:rPr>
        <w:t>members,</w:t>
      </w:r>
      <w:r>
        <w:rPr>
          <w:rFonts w:ascii="Gill Sans MT" w:hAnsi="Gill Sans MT" w:cs="Gill Sans MT"/>
          <w:spacing w:val="-27"/>
          <w:sz w:val="22"/>
          <w:szCs w:val="22"/>
        </w:rPr>
        <w:t xml:space="preserve"> </w:t>
      </w:r>
      <w:r>
        <w:rPr>
          <w:rFonts w:ascii="Gill Sans MT" w:hAnsi="Gill Sans MT" w:cs="Gill Sans MT"/>
          <w:sz w:val="22"/>
          <w:szCs w:val="22"/>
        </w:rPr>
        <w:t>ACO,</w:t>
      </w:r>
      <w:r>
        <w:rPr>
          <w:rFonts w:ascii="Gill Sans MT" w:hAnsi="Gill Sans MT" w:cs="Gill Sans MT"/>
          <w:spacing w:val="-27"/>
          <w:sz w:val="22"/>
          <w:szCs w:val="22"/>
        </w:rPr>
        <w:t xml:space="preserve"> </w:t>
      </w:r>
      <w:r>
        <w:rPr>
          <w:rFonts w:ascii="Gill Sans MT" w:hAnsi="Gill Sans MT" w:cs="Gill Sans MT"/>
          <w:sz w:val="22"/>
          <w:szCs w:val="22"/>
        </w:rPr>
        <w:t>MCO,</w:t>
      </w:r>
      <w:r>
        <w:rPr>
          <w:rFonts w:ascii="Gill Sans MT" w:hAnsi="Gill Sans MT" w:cs="Gill Sans MT"/>
          <w:spacing w:val="-25"/>
          <w:sz w:val="22"/>
          <w:szCs w:val="22"/>
        </w:rPr>
        <w:t xml:space="preserve"> </w:t>
      </w:r>
      <w:r>
        <w:rPr>
          <w:rFonts w:ascii="Gill Sans MT" w:hAnsi="Gill Sans MT" w:cs="Gill Sans MT"/>
          <w:sz w:val="22"/>
          <w:szCs w:val="22"/>
        </w:rPr>
        <w:t>and</w:t>
      </w:r>
      <w:r>
        <w:rPr>
          <w:rFonts w:ascii="Gill Sans MT" w:hAnsi="Gill Sans MT" w:cs="Gill Sans MT"/>
          <w:spacing w:val="-24"/>
          <w:sz w:val="22"/>
          <w:szCs w:val="22"/>
        </w:rPr>
        <w:t xml:space="preserve"> </w:t>
      </w:r>
      <w:r>
        <w:rPr>
          <w:rFonts w:ascii="Gill Sans MT" w:hAnsi="Gill Sans MT" w:cs="Gill Sans MT"/>
          <w:sz w:val="22"/>
          <w:szCs w:val="22"/>
        </w:rPr>
        <w:t>CP</w:t>
      </w:r>
      <w:r>
        <w:rPr>
          <w:rFonts w:ascii="Gill Sans MT" w:hAnsi="Gill Sans MT" w:cs="Gill Sans MT"/>
          <w:spacing w:val="-24"/>
          <w:sz w:val="22"/>
          <w:szCs w:val="22"/>
        </w:rPr>
        <w:t xml:space="preserve"> </w:t>
      </w:r>
      <w:r>
        <w:rPr>
          <w:rFonts w:ascii="Gill Sans MT" w:hAnsi="Gill Sans MT" w:cs="Gill Sans MT"/>
          <w:spacing w:val="-3"/>
          <w:sz w:val="22"/>
          <w:szCs w:val="22"/>
        </w:rPr>
        <w:t>members</w:t>
      </w:r>
      <w:r>
        <w:rPr>
          <w:rFonts w:ascii="Gill Sans MT" w:hAnsi="Gill Sans MT" w:cs="Gill Sans MT"/>
          <w:spacing w:val="-28"/>
          <w:sz w:val="22"/>
          <w:szCs w:val="22"/>
        </w:rPr>
        <w:t xml:space="preserve"> </w:t>
      </w:r>
      <w:r>
        <w:rPr>
          <w:rFonts w:ascii="Gill Sans MT" w:hAnsi="Gill Sans MT" w:cs="Gill Sans MT"/>
          <w:sz w:val="22"/>
          <w:szCs w:val="22"/>
        </w:rPr>
        <w:t>shall</w:t>
      </w:r>
      <w:r>
        <w:rPr>
          <w:rFonts w:ascii="Gill Sans MT" w:hAnsi="Gill Sans MT" w:cs="Gill Sans MT"/>
          <w:spacing w:val="-25"/>
          <w:sz w:val="22"/>
          <w:szCs w:val="22"/>
        </w:rPr>
        <w:t xml:space="preserve"> </w:t>
      </w:r>
      <w:r>
        <w:rPr>
          <w:rFonts w:ascii="Gill Sans MT" w:hAnsi="Gill Sans MT" w:cs="Gill Sans MT"/>
          <w:sz w:val="22"/>
          <w:szCs w:val="22"/>
        </w:rPr>
        <w:t>have</w:t>
      </w:r>
      <w:r>
        <w:rPr>
          <w:rFonts w:ascii="Gill Sans MT" w:hAnsi="Gill Sans MT" w:cs="Gill Sans MT"/>
          <w:spacing w:val="-24"/>
          <w:sz w:val="22"/>
          <w:szCs w:val="22"/>
        </w:rPr>
        <w:t xml:space="preserve"> </w:t>
      </w:r>
      <w:r>
        <w:rPr>
          <w:rFonts w:ascii="Gill Sans MT" w:hAnsi="Gill Sans MT" w:cs="Gill Sans MT"/>
          <w:sz w:val="22"/>
          <w:szCs w:val="22"/>
        </w:rPr>
        <w:t>the</w:t>
      </w:r>
      <w:r>
        <w:rPr>
          <w:rFonts w:ascii="Gill Sans MT" w:hAnsi="Gill Sans MT" w:cs="Gill Sans MT"/>
          <w:spacing w:val="-24"/>
          <w:sz w:val="22"/>
          <w:szCs w:val="22"/>
        </w:rPr>
        <w:t xml:space="preserve"> </w:t>
      </w:r>
      <w:r>
        <w:rPr>
          <w:rFonts w:ascii="Gill Sans MT" w:hAnsi="Gill Sans MT" w:cs="Gill Sans MT"/>
          <w:sz w:val="22"/>
          <w:szCs w:val="22"/>
        </w:rPr>
        <w:t>right</w:t>
      </w:r>
      <w:r>
        <w:rPr>
          <w:rFonts w:ascii="Gill Sans MT" w:hAnsi="Gill Sans MT" w:cs="Gill Sans MT"/>
          <w:spacing w:val="-23"/>
          <w:sz w:val="22"/>
          <w:szCs w:val="22"/>
        </w:rPr>
        <w:t xml:space="preserve"> </w:t>
      </w:r>
      <w:r>
        <w:rPr>
          <w:rFonts w:ascii="Gill Sans MT" w:hAnsi="Gill Sans MT" w:cs="Gill Sans MT"/>
          <w:sz w:val="22"/>
          <w:szCs w:val="22"/>
        </w:rPr>
        <w:t>to</w:t>
      </w:r>
      <w:r>
        <w:rPr>
          <w:rFonts w:ascii="Gill Sans MT" w:hAnsi="Gill Sans MT" w:cs="Gill Sans MT"/>
          <w:spacing w:val="-28"/>
          <w:sz w:val="22"/>
          <w:szCs w:val="22"/>
        </w:rPr>
        <w:t xml:space="preserve"> </w:t>
      </w:r>
      <w:r>
        <w:rPr>
          <w:rFonts w:ascii="Gill Sans MT" w:hAnsi="Gill Sans MT" w:cs="Gill Sans MT"/>
          <w:spacing w:val="-2"/>
          <w:sz w:val="22"/>
          <w:szCs w:val="22"/>
        </w:rPr>
        <w:t>choose</w:t>
      </w:r>
      <w:r>
        <w:rPr>
          <w:rFonts w:ascii="Gill Sans MT" w:hAnsi="Gill Sans MT" w:cs="Gill Sans MT"/>
          <w:spacing w:val="-24"/>
          <w:sz w:val="22"/>
          <w:szCs w:val="22"/>
        </w:rPr>
        <w:t xml:space="preserve"> </w:t>
      </w:r>
      <w:r>
        <w:rPr>
          <w:rFonts w:ascii="Gill Sans MT" w:hAnsi="Gill Sans MT" w:cs="Gill Sans MT"/>
          <w:spacing w:val="-3"/>
          <w:sz w:val="22"/>
          <w:szCs w:val="22"/>
        </w:rPr>
        <w:t>service</w:t>
      </w:r>
      <w:r>
        <w:rPr>
          <w:rFonts w:ascii="Gill Sans MT" w:hAnsi="Gill Sans MT" w:cs="Gill Sans MT"/>
          <w:spacing w:val="-24"/>
          <w:sz w:val="22"/>
          <w:szCs w:val="22"/>
        </w:rPr>
        <w:t xml:space="preserve"> </w:t>
      </w:r>
      <w:r>
        <w:rPr>
          <w:rFonts w:ascii="Gill Sans MT" w:hAnsi="Gill Sans MT" w:cs="Gill Sans MT"/>
          <w:spacing w:val="-3"/>
          <w:sz w:val="22"/>
          <w:szCs w:val="22"/>
        </w:rPr>
        <w:t>providers</w:t>
      </w:r>
    </w:p>
    <w:p w:rsidR="002C5025" w:rsidRDefault="002C5025">
      <w:pPr>
        <w:pStyle w:val="BodyText"/>
        <w:kinsoku w:val="0"/>
        <w:overflowPunct w:val="0"/>
        <w:spacing w:before="23" w:line="261" w:lineRule="auto"/>
        <w:ind w:left="480" w:right="114"/>
        <w:jc w:val="both"/>
        <w:rPr>
          <w:rFonts w:ascii="Gill Sans MT" w:hAnsi="Gill Sans MT" w:cs="Gill Sans MT"/>
        </w:rPr>
      </w:pPr>
      <w:r>
        <w:rPr>
          <w:rFonts w:ascii="Gill Sans MT" w:hAnsi="Gill Sans MT" w:cs="Gill Sans MT"/>
          <w:spacing w:val="-3"/>
        </w:rPr>
        <w:t xml:space="preserve">from service </w:t>
      </w:r>
      <w:r>
        <w:rPr>
          <w:rFonts w:ascii="Gill Sans MT" w:hAnsi="Gill Sans MT" w:cs="Gill Sans MT"/>
        </w:rPr>
        <w:t xml:space="preserve">provider licensed and certified by </w:t>
      </w:r>
      <w:r>
        <w:rPr>
          <w:rFonts w:ascii="Gill Sans MT" w:hAnsi="Gill Sans MT" w:cs="Gill Sans MT"/>
          <w:spacing w:val="-3"/>
        </w:rPr>
        <w:t xml:space="preserve">Commonwealth </w:t>
      </w:r>
      <w:r>
        <w:rPr>
          <w:rFonts w:ascii="Gill Sans MT" w:hAnsi="Gill Sans MT" w:cs="Gill Sans MT"/>
        </w:rPr>
        <w:t xml:space="preserve">of Massachusetts who </w:t>
      </w:r>
      <w:r>
        <w:rPr>
          <w:rFonts w:ascii="Gill Sans MT" w:hAnsi="Gill Sans MT" w:cs="Gill Sans MT"/>
          <w:spacing w:val="-3"/>
        </w:rPr>
        <w:t xml:space="preserve">agrees </w:t>
      </w:r>
      <w:r>
        <w:rPr>
          <w:rFonts w:ascii="Gill Sans MT" w:hAnsi="Gill Sans MT" w:cs="Gill Sans MT"/>
          <w:spacing w:val="-4"/>
        </w:rPr>
        <w:t>to</w:t>
      </w:r>
      <w:r>
        <w:rPr>
          <w:rFonts w:ascii="Gill Sans MT" w:hAnsi="Gill Sans MT" w:cs="Gill Sans MT"/>
          <w:spacing w:val="53"/>
        </w:rPr>
        <w:t xml:space="preserve"> </w:t>
      </w:r>
      <w:r>
        <w:rPr>
          <w:rFonts w:ascii="Gill Sans MT" w:hAnsi="Gill Sans MT" w:cs="Gill Sans MT"/>
        </w:rPr>
        <w:t xml:space="preserve">accept state set </w:t>
      </w:r>
      <w:r>
        <w:rPr>
          <w:rFonts w:ascii="Gill Sans MT" w:hAnsi="Gill Sans MT" w:cs="Gill Sans MT"/>
          <w:spacing w:val="-3"/>
        </w:rPr>
        <w:t xml:space="preserve">service rates. </w:t>
      </w:r>
      <w:r>
        <w:rPr>
          <w:rFonts w:ascii="Gill Sans MT" w:hAnsi="Gill Sans MT" w:cs="Gill Sans MT"/>
        </w:rPr>
        <w:t xml:space="preserve">The </w:t>
      </w:r>
      <w:r>
        <w:rPr>
          <w:rFonts w:ascii="Gill Sans MT" w:hAnsi="Gill Sans MT" w:cs="Gill Sans MT"/>
          <w:spacing w:val="-3"/>
        </w:rPr>
        <w:t xml:space="preserve">standards </w:t>
      </w:r>
      <w:r>
        <w:rPr>
          <w:rFonts w:ascii="Gill Sans MT" w:hAnsi="Gill Sans MT" w:cs="Gill Sans MT"/>
        </w:rPr>
        <w:t xml:space="preserve">for </w:t>
      </w:r>
      <w:r>
        <w:rPr>
          <w:rFonts w:ascii="Gill Sans MT" w:hAnsi="Gill Sans MT" w:cs="Gill Sans MT"/>
          <w:spacing w:val="-3"/>
        </w:rPr>
        <w:t xml:space="preserve">network </w:t>
      </w:r>
      <w:r>
        <w:rPr>
          <w:rFonts w:ascii="Gill Sans MT" w:hAnsi="Gill Sans MT" w:cs="Gill Sans MT"/>
        </w:rPr>
        <w:t xml:space="preserve">adequacy need to be </w:t>
      </w:r>
      <w:r>
        <w:rPr>
          <w:rFonts w:ascii="Gill Sans MT" w:hAnsi="Gill Sans MT" w:cs="Gill Sans MT"/>
          <w:spacing w:val="-4"/>
        </w:rPr>
        <w:t xml:space="preserve">established </w:t>
      </w:r>
      <w:r>
        <w:rPr>
          <w:rFonts w:ascii="Gill Sans MT" w:hAnsi="Gill Sans MT" w:cs="Gill Sans MT"/>
        </w:rPr>
        <w:t xml:space="preserve">by </w:t>
      </w:r>
      <w:r>
        <w:rPr>
          <w:rFonts w:ascii="Gill Sans MT" w:hAnsi="Gill Sans MT" w:cs="Gill Sans MT"/>
          <w:spacing w:val="-3"/>
        </w:rPr>
        <w:t xml:space="preserve">the relevant </w:t>
      </w:r>
      <w:r>
        <w:rPr>
          <w:rFonts w:ascii="Gill Sans MT" w:hAnsi="Gill Sans MT" w:cs="Gill Sans MT"/>
        </w:rPr>
        <w:t xml:space="preserve">state agency in </w:t>
      </w:r>
      <w:r>
        <w:rPr>
          <w:rFonts w:ascii="Gill Sans MT" w:hAnsi="Gill Sans MT" w:cs="Gill Sans MT"/>
          <w:spacing w:val="-3"/>
        </w:rPr>
        <w:t xml:space="preserve">collaboration </w:t>
      </w:r>
      <w:r>
        <w:rPr>
          <w:rFonts w:ascii="Gill Sans MT" w:hAnsi="Gill Sans MT" w:cs="Gill Sans MT"/>
        </w:rPr>
        <w:t xml:space="preserve">with </w:t>
      </w:r>
      <w:r>
        <w:rPr>
          <w:rFonts w:ascii="Gill Sans MT" w:hAnsi="Gill Sans MT" w:cs="Gill Sans MT"/>
          <w:spacing w:val="-3"/>
        </w:rPr>
        <w:t xml:space="preserve">MassHealth </w:t>
      </w:r>
      <w:r>
        <w:rPr>
          <w:rFonts w:ascii="Gill Sans MT" w:hAnsi="Gill Sans MT" w:cs="Gill Sans MT"/>
        </w:rPr>
        <w:t xml:space="preserve">to </w:t>
      </w:r>
      <w:r>
        <w:rPr>
          <w:rFonts w:ascii="Gill Sans MT" w:hAnsi="Gill Sans MT" w:cs="Gill Sans MT"/>
          <w:spacing w:val="-2"/>
        </w:rPr>
        <w:t xml:space="preserve">ensure </w:t>
      </w:r>
      <w:r>
        <w:rPr>
          <w:rFonts w:ascii="Gill Sans MT" w:hAnsi="Gill Sans MT" w:cs="Gill Sans MT"/>
        </w:rPr>
        <w:t>member choice is not compromised.</w:t>
      </w:r>
    </w:p>
    <w:p w:rsidR="002C5025" w:rsidRDefault="002C5025">
      <w:pPr>
        <w:pStyle w:val="ListParagraph"/>
        <w:numPr>
          <w:ilvl w:val="0"/>
          <w:numId w:val="84"/>
        </w:numPr>
        <w:tabs>
          <w:tab w:val="left" w:pos="481"/>
        </w:tabs>
        <w:kinsoku w:val="0"/>
        <w:overflowPunct w:val="0"/>
        <w:spacing w:line="261" w:lineRule="auto"/>
        <w:ind w:right="106" w:hanging="360"/>
        <w:jc w:val="both"/>
        <w:rPr>
          <w:rFonts w:ascii="Gill Sans MT" w:hAnsi="Gill Sans MT" w:cs="Gill Sans MT"/>
          <w:spacing w:val="-2"/>
          <w:sz w:val="22"/>
          <w:szCs w:val="22"/>
        </w:rPr>
      </w:pPr>
      <w:r>
        <w:rPr>
          <w:rFonts w:ascii="Gill Sans MT" w:hAnsi="Gill Sans MT" w:cs="Gill Sans MT"/>
          <w:sz w:val="22"/>
          <w:szCs w:val="22"/>
        </w:rPr>
        <w:t>Enrollees</w:t>
      </w:r>
      <w:r>
        <w:rPr>
          <w:rFonts w:ascii="Gill Sans MT" w:hAnsi="Gill Sans MT" w:cs="Gill Sans MT"/>
          <w:spacing w:val="-17"/>
          <w:sz w:val="22"/>
          <w:szCs w:val="22"/>
        </w:rPr>
        <w:t xml:space="preserve"> </w:t>
      </w:r>
      <w:r>
        <w:rPr>
          <w:rFonts w:ascii="Gill Sans MT" w:hAnsi="Gill Sans MT" w:cs="Gill Sans MT"/>
          <w:spacing w:val="-2"/>
          <w:sz w:val="22"/>
          <w:szCs w:val="22"/>
        </w:rPr>
        <w:t>should</w:t>
      </w:r>
      <w:r>
        <w:rPr>
          <w:rFonts w:ascii="Gill Sans MT" w:hAnsi="Gill Sans MT" w:cs="Gill Sans MT"/>
          <w:spacing w:val="-15"/>
          <w:sz w:val="22"/>
          <w:szCs w:val="22"/>
        </w:rPr>
        <w:t xml:space="preserve"> </w:t>
      </w:r>
      <w:r>
        <w:rPr>
          <w:rFonts w:ascii="Gill Sans MT" w:hAnsi="Gill Sans MT" w:cs="Gill Sans MT"/>
          <w:sz w:val="22"/>
          <w:szCs w:val="22"/>
        </w:rPr>
        <w:t>be</w:t>
      </w:r>
      <w:r>
        <w:rPr>
          <w:rFonts w:ascii="Gill Sans MT" w:hAnsi="Gill Sans MT" w:cs="Gill Sans MT"/>
          <w:spacing w:val="-18"/>
          <w:sz w:val="22"/>
          <w:szCs w:val="22"/>
        </w:rPr>
        <w:t xml:space="preserve"> </w:t>
      </w:r>
      <w:r>
        <w:rPr>
          <w:rFonts w:ascii="Gill Sans MT" w:hAnsi="Gill Sans MT" w:cs="Gill Sans MT"/>
          <w:spacing w:val="-3"/>
          <w:sz w:val="22"/>
          <w:szCs w:val="22"/>
        </w:rPr>
        <w:t>attributed</w:t>
      </w:r>
      <w:r>
        <w:rPr>
          <w:rFonts w:ascii="Gill Sans MT" w:hAnsi="Gill Sans MT" w:cs="Gill Sans MT"/>
          <w:spacing w:val="-18"/>
          <w:sz w:val="22"/>
          <w:szCs w:val="22"/>
        </w:rPr>
        <w:t xml:space="preserve"> </w:t>
      </w:r>
      <w:r>
        <w:rPr>
          <w:rFonts w:ascii="Gill Sans MT" w:hAnsi="Gill Sans MT" w:cs="Gill Sans MT"/>
          <w:sz w:val="22"/>
          <w:szCs w:val="22"/>
        </w:rPr>
        <w:t>to</w:t>
      </w:r>
      <w:r>
        <w:rPr>
          <w:rFonts w:ascii="Gill Sans MT" w:hAnsi="Gill Sans MT" w:cs="Gill Sans MT"/>
          <w:spacing w:val="-20"/>
          <w:sz w:val="22"/>
          <w:szCs w:val="22"/>
        </w:rPr>
        <w:t xml:space="preserve"> </w:t>
      </w:r>
      <w:r>
        <w:rPr>
          <w:rFonts w:ascii="Gill Sans MT" w:hAnsi="Gill Sans MT" w:cs="Gill Sans MT"/>
          <w:sz w:val="22"/>
          <w:szCs w:val="22"/>
        </w:rPr>
        <w:t>LTSS</w:t>
      </w:r>
      <w:r>
        <w:rPr>
          <w:rFonts w:ascii="Gill Sans MT" w:hAnsi="Gill Sans MT" w:cs="Gill Sans MT"/>
          <w:spacing w:val="-18"/>
          <w:sz w:val="22"/>
          <w:szCs w:val="22"/>
        </w:rPr>
        <w:t xml:space="preserve"> </w:t>
      </w:r>
      <w:r>
        <w:rPr>
          <w:rFonts w:ascii="Gill Sans MT" w:hAnsi="Gill Sans MT" w:cs="Gill Sans MT"/>
          <w:spacing w:val="-2"/>
          <w:sz w:val="22"/>
          <w:szCs w:val="22"/>
        </w:rPr>
        <w:t>providers</w:t>
      </w:r>
      <w:r>
        <w:rPr>
          <w:rFonts w:ascii="Gill Sans MT" w:hAnsi="Gill Sans MT" w:cs="Gill Sans MT"/>
          <w:spacing w:val="-19"/>
          <w:sz w:val="22"/>
          <w:szCs w:val="22"/>
        </w:rPr>
        <w:t xml:space="preserve"> </w:t>
      </w:r>
      <w:r>
        <w:rPr>
          <w:rFonts w:ascii="Gill Sans MT" w:hAnsi="Gill Sans MT" w:cs="Gill Sans MT"/>
          <w:sz w:val="22"/>
          <w:szCs w:val="22"/>
        </w:rPr>
        <w:t>using</w:t>
      </w:r>
      <w:r>
        <w:rPr>
          <w:rFonts w:ascii="Gill Sans MT" w:hAnsi="Gill Sans MT" w:cs="Gill Sans MT"/>
          <w:spacing w:val="-21"/>
          <w:sz w:val="22"/>
          <w:szCs w:val="22"/>
        </w:rPr>
        <w:t xml:space="preserve"> </w:t>
      </w:r>
      <w:r>
        <w:rPr>
          <w:rFonts w:ascii="Gill Sans MT" w:hAnsi="Gill Sans MT" w:cs="Gill Sans MT"/>
          <w:spacing w:val="-3"/>
          <w:sz w:val="22"/>
          <w:szCs w:val="22"/>
        </w:rPr>
        <w:t>methodology</w:t>
      </w:r>
      <w:r>
        <w:rPr>
          <w:rFonts w:ascii="Gill Sans MT" w:hAnsi="Gill Sans MT" w:cs="Gill Sans MT"/>
          <w:spacing w:val="-21"/>
          <w:sz w:val="22"/>
          <w:szCs w:val="22"/>
        </w:rPr>
        <w:t xml:space="preserve"> </w:t>
      </w:r>
      <w:r>
        <w:rPr>
          <w:rFonts w:ascii="Gill Sans MT" w:hAnsi="Gill Sans MT" w:cs="Gill Sans MT"/>
          <w:sz w:val="22"/>
          <w:szCs w:val="22"/>
        </w:rPr>
        <w:t>which</w:t>
      </w:r>
      <w:r>
        <w:rPr>
          <w:rFonts w:ascii="Gill Sans MT" w:hAnsi="Gill Sans MT" w:cs="Gill Sans MT"/>
          <w:spacing w:val="-20"/>
          <w:sz w:val="22"/>
          <w:szCs w:val="22"/>
        </w:rPr>
        <w:t xml:space="preserve"> </w:t>
      </w:r>
      <w:r>
        <w:rPr>
          <w:rFonts w:ascii="Gill Sans MT" w:hAnsi="Gill Sans MT" w:cs="Gill Sans MT"/>
          <w:sz w:val="22"/>
          <w:szCs w:val="22"/>
        </w:rPr>
        <w:t>assures</w:t>
      </w:r>
      <w:r>
        <w:rPr>
          <w:rFonts w:ascii="Gill Sans MT" w:hAnsi="Gill Sans MT" w:cs="Gill Sans MT"/>
          <w:spacing w:val="-19"/>
          <w:sz w:val="22"/>
          <w:szCs w:val="22"/>
        </w:rPr>
        <w:t xml:space="preserve"> </w:t>
      </w:r>
      <w:r>
        <w:rPr>
          <w:rFonts w:ascii="Gill Sans MT" w:hAnsi="Gill Sans MT" w:cs="Gill Sans MT"/>
          <w:sz w:val="22"/>
          <w:szCs w:val="22"/>
        </w:rPr>
        <w:t>that</w:t>
      </w:r>
      <w:r>
        <w:rPr>
          <w:rFonts w:ascii="Gill Sans MT" w:hAnsi="Gill Sans MT" w:cs="Gill Sans MT"/>
          <w:spacing w:val="-12"/>
          <w:sz w:val="22"/>
          <w:szCs w:val="22"/>
        </w:rPr>
        <w:t xml:space="preserve"> </w:t>
      </w:r>
      <w:r>
        <w:rPr>
          <w:rFonts w:ascii="Gill Sans MT" w:hAnsi="Gill Sans MT" w:cs="Gill Sans MT"/>
          <w:sz w:val="22"/>
          <w:szCs w:val="22"/>
        </w:rPr>
        <w:t>CPs,</w:t>
      </w:r>
      <w:r>
        <w:rPr>
          <w:rFonts w:ascii="Gill Sans MT" w:hAnsi="Gill Sans MT" w:cs="Gill Sans MT"/>
          <w:spacing w:val="-16"/>
          <w:sz w:val="22"/>
          <w:szCs w:val="22"/>
        </w:rPr>
        <w:t xml:space="preserve"> </w:t>
      </w:r>
      <w:r>
        <w:rPr>
          <w:rFonts w:ascii="Gill Sans MT" w:hAnsi="Gill Sans MT" w:cs="Gill Sans MT"/>
          <w:spacing w:val="-4"/>
          <w:sz w:val="22"/>
          <w:szCs w:val="22"/>
        </w:rPr>
        <w:t xml:space="preserve">ACOs, </w:t>
      </w:r>
      <w:r>
        <w:rPr>
          <w:rFonts w:ascii="Gill Sans MT" w:hAnsi="Gill Sans MT" w:cs="Gill Sans MT"/>
          <w:sz w:val="22"/>
          <w:szCs w:val="22"/>
        </w:rPr>
        <w:t xml:space="preserve">MCOs shall </w:t>
      </w:r>
      <w:r>
        <w:rPr>
          <w:rFonts w:ascii="Gill Sans MT" w:hAnsi="Gill Sans MT" w:cs="Gill Sans MT"/>
          <w:spacing w:val="-3"/>
          <w:sz w:val="22"/>
          <w:szCs w:val="22"/>
        </w:rPr>
        <w:t xml:space="preserve">continue current service </w:t>
      </w:r>
      <w:r>
        <w:rPr>
          <w:rFonts w:ascii="Gill Sans MT" w:hAnsi="Gill Sans MT" w:cs="Gill Sans MT"/>
          <w:sz w:val="22"/>
          <w:szCs w:val="22"/>
        </w:rPr>
        <w:t xml:space="preserve">settings and contractual obligations for a </w:t>
      </w:r>
      <w:r>
        <w:rPr>
          <w:rFonts w:ascii="Gill Sans MT" w:hAnsi="Gill Sans MT" w:cs="Gill Sans MT"/>
          <w:spacing w:val="-3"/>
          <w:sz w:val="22"/>
          <w:szCs w:val="22"/>
        </w:rPr>
        <w:t xml:space="preserve">period </w:t>
      </w:r>
      <w:r>
        <w:rPr>
          <w:rFonts w:ascii="Gill Sans MT" w:hAnsi="Gill Sans MT" w:cs="Gill Sans MT"/>
          <w:sz w:val="22"/>
          <w:szCs w:val="22"/>
        </w:rPr>
        <w:t xml:space="preserve">a </w:t>
      </w:r>
      <w:r>
        <w:rPr>
          <w:rFonts w:ascii="Gill Sans MT" w:hAnsi="Gill Sans MT" w:cs="Gill Sans MT"/>
          <w:spacing w:val="-3"/>
          <w:sz w:val="22"/>
          <w:szCs w:val="22"/>
        </w:rPr>
        <w:t xml:space="preserve">minimum </w:t>
      </w:r>
      <w:r>
        <w:rPr>
          <w:rFonts w:ascii="Gill Sans MT" w:hAnsi="Gill Sans MT" w:cs="Gill Sans MT"/>
          <w:sz w:val="22"/>
          <w:szCs w:val="22"/>
        </w:rPr>
        <w:t>period</w:t>
      </w:r>
      <w:r>
        <w:rPr>
          <w:rFonts w:ascii="Gill Sans MT" w:hAnsi="Gill Sans MT" w:cs="Gill Sans MT"/>
          <w:spacing w:val="-3"/>
          <w:sz w:val="22"/>
          <w:szCs w:val="22"/>
        </w:rPr>
        <w:t xml:space="preserve"> </w:t>
      </w:r>
      <w:r>
        <w:rPr>
          <w:rFonts w:ascii="Gill Sans MT" w:hAnsi="Gill Sans MT" w:cs="Gill Sans MT"/>
          <w:sz w:val="22"/>
          <w:szCs w:val="22"/>
        </w:rPr>
        <w:t>of</w:t>
      </w:r>
      <w:r>
        <w:rPr>
          <w:rFonts w:ascii="Gill Sans MT" w:hAnsi="Gill Sans MT" w:cs="Gill Sans MT"/>
          <w:spacing w:val="-4"/>
          <w:sz w:val="22"/>
          <w:szCs w:val="22"/>
        </w:rPr>
        <w:t xml:space="preserve"> </w:t>
      </w:r>
      <w:r>
        <w:rPr>
          <w:rFonts w:ascii="Gill Sans MT" w:hAnsi="Gill Sans MT" w:cs="Gill Sans MT"/>
          <w:sz w:val="22"/>
          <w:szCs w:val="22"/>
        </w:rPr>
        <w:t>two</w:t>
      </w:r>
      <w:r>
        <w:rPr>
          <w:rFonts w:ascii="Gill Sans MT" w:hAnsi="Gill Sans MT" w:cs="Gill Sans MT"/>
          <w:spacing w:val="-8"/>
          <w:sz w:val="22"/>
          <w:szCs w:val="22"/>
        </w:rPr>
        <w:t xml:space="preserve"> </w:t>
      </w:r>
      <w:r>
        <w:rPr>
          <w:rFonts w:ascii="Gill Sans MT" w:hAnsi="Gill Sans MT" w:cs="Gill Sans MT"/>
          <w:sz w:val="22"/>
          <w:szCs w:val="22"/>
        </w:rPr>
        <w:t>years</w:t>
      </w:r>
      <w:r>
        <w:rPr>
          <w:rFonts w:ascii="Gill Sans MT" w:hAnsi="Gill Sans MT" w:cs="Gill Sans MT"/>
          <w:spacing w:val="-4"/>
          <w:sz w:val="22"/>
          <w:szCs w:val="22"/>
        </w:rPr>
        <w:t xml:space="preserve"> </w:t>
      </w:r>
      <w:r>
        <w:rPr>
          <w:rFonts w:ascii="Gill Sans MT" w:hAnsi="Gill Sans MT" w:cs="Gill Sans MT"/>
          <w:sz w:val="22"/>
          <w:szCs w:val="22"/>
        </w:rPr>
        <w:t>after</w:t>
      </w:r>
      <w:r>
        <w:rPr>
          <w:rFonts w:ascii="Gill Sans MT" w:hAnsi="Gill Sans MT" w:cs="Gill Sans MT"/>
          <w:spacing w:val="-9"/>
          <w:sz w:val="22"/>
          <w:szCs w:val="22"/>
        </w:rPr>
        <w:t xml:space="preserve"> </w:t>
      </w:r>
      <w:r>
        <w:rPr>
          <w:rFonts w:ascii="Gill Sans MT" w:hAnsi="Gill Sans MT" w:cs="Gill Sans MT"/>
          <w:spacing w:val="-3"/>
          <w:sz w:val="22"/>
          <w:szCs w:val="22"/>
        </w:rPr>
        <w:t>the</w:t>
      </w:r>
      <w:r>
        <w:rPr>
          <w:rFonts w:ascii="Gill Sans MT" w:hAnsi="Gill Sans MT" w:cs="Gill Sans MT"/>
          <w:spacing w:val="-4"/>
          <w:sz w:val="22"/>
          <w:szCs w:val="22"/>
        </w:rPr>
        <w:t xml:space="preserve"> </w:t>
      </w:r>
      <w:r>
        <w:rPr>
          <w:rFonts w:ascii="Gill Sans MT" w:hAnsi="Gill Sans MT" w:cs="Gill Sans MT"/>
          <w:sz w:val="22"/>
          <w:szCs w:val="22"/>
        </w:rPr>
        <w:t>inclusion</w:t>
      </w:r>
      <w:r>
        <w:rPr>
          <w:rFonts w:ascii="Gill Sans MT" w:hAnsi="Gill Sans MT" w:cs="Gill Sans MT"/>
          <w:spacing w:val="-6"/>
          <w:sz w:val="22"/>
          <w:szCs w:val="22"/>
        </w:rPr>
        <w:t xml:space="preserve"> </w:t>
      </w:r>
      <w:r>
        <w:rPr>
          <w:rFonts w:ascii="Gill Sans MT" w:hAnsi="Gill Sans MT" w:cs="Gill Sans MT"/>
          <w:sz w:val="22"/>
          <w:szCs w:val="22"/>
        </w:rPr>
        <w:t>initiation</w:t>
      </w:r>
      <w:r>
        <w:rPr>
          <w:rFonts w:ascii="Gill Sans MT" w:hAnsi="Gill Sans MT" w:cs="Gill Sans MT"/>
          <w:spacing w:val="-8"/>
          <w:sz w:val="22"/>
          <w:szCs w:val="22"/>
        </w:rPr>
        <w:t xml:space="preserve"> </w:t>
      </w:r>
      <w:r>
        <w:rPr>
          <w:rFonts w:ascii="Gill Sans MT" w:hAnsi="Gill Sans MT" w:cs="Gill Sans MT"/>
          <w:sz w:val="22"/>
          <w:szCs w:val="22"/>
        </w:rPr>
        <w:t>of</w:t>
      </w:r>
      <w:r>
        <w:rPr>
          <w:rFonts w:ascii="Gill Sans MT" w:hAnsi="Gill Sans MT" w:cs="Gill Sans MT"/>
          <w:spacing w:val="-1"/>
          <w:sz w:val="22"/>
          <w:szCs w:val="22"/>
        </w:rPr>
        <w:t xml:space="preserve"> </w:t>
      </w:r>
      <w:r>
        <w:rPr>
          <w:rFonts w:ascii="Gill Sans MT" w:hAnsi="Gill Sans MT" w:cs="Gill Sans MT"/>
          <w:spacing w:val="-4"/>
          <w:sz w:val="22"/>
          <w:szCs w:val="22"/>
        </w:rPr>
        <w:t>ACO</w:t>
      </w:r>
      <w:r>
        <w:rPr>
          <w:rFonts w:ascii="Gill Sans MT" w:hAnsi="Gill Sans MT" w:cs="Gill Sans MT"/>
          <w:spacing w:val="-5"/>
          <w:sz w:val="22"/>
          <w:szCs w:val="22"/>
        </w:rPr>
        <w:t xml:space="preserve"> </w:t>
      </w:r>
      <w:r>
        <w:rPr>
          <w:rFonts w:ascii="Gill Sans MT" w:hAnsi="Gill Sans MT" w:cs="Gill Sans MT"/>
          <w:sz w:val="22"/>
          <w:szCs w:val="22"/>
        </w:rPr>
        <w:t>or</w:t>
      </w:r>
      <w:r>
        <w:rPr>
          <w:rFonts w:ascii="Gill Sans MT" w:hAnsi="Gill Sans MT" w:cs="Gill Sans MT"/>
          <w:spacing w:val="-2"/>
          <w:sz w:val="22"/>
          <w:szCs w:val="22"/>
        </w:rPr>
        <w:t xml:space="preserve"> </w:t>
      </w:r>
      <w:r>
        <w:rPr>
          <w:rFonts w:ascii="Gill Sans MT" w:hAnsi="Gill Sans MT" w:cs="Gill Sans MT"/>
          <w:sz w:val="22"/>
          <w:szCs w:val="22"/>
        </w:rPr>
        <w:t>MCO</w:t>
      </w:r>
      <w:r>
        <w:rPr>
          <w:rFonts w:ascii="Gill Sans MT" w:hAnsi="Gill Sans MT" w:cs="Gill Sans MT"/>
          <w:spacing w:val="-5"/>
          <w:sz w:val="22"/>
          <w:szCs w:val="22"/>
        </w:rPr>
        <w:t xml:space="preserve"> </w:t>
      </w:r>
      <w:r>
        <w:rPr>
          <w:rFonts w:ascii="Gill Sans MT" w:hAnsi="Gill Sans MT" w:cs="Gill Sans MT"/>
          <w:spacing w:val="-3"/>
          <w:sz w:val="22"/>
          <w:szCs w:val="22"/>
        </w:rPr>
        <w:t>enrollment,</w:t>
      </w:r>
      <w:r>
        <w:rPr>
          <w:rFonts w:ascii="Gill Sans MT" w:hAnsi="Gill Sans MT" w:cs="Gill Sans MT"/>
          <w:spacing w:val="-4"/>
          <w:sz w:val="22"/>
          <w:szCs w:val="22"/>
        </w:rPr>
        <w:t xml:space="preserve"> </w:t>
      </w:r>
      <w:r>
        <w:rPr>
          <w:rFonts w:ascii="Gill Sans MT" w:hAnsi="Gill Sans MT" w:cs="Gill Sans MT"/>
          <w:sz w:val="22"/>
          <w:szCs w:val="22"/>
        </w:rPr>
        <w:t>in</w:t>
      </w:r>
      <w:r>
        <w:rPr>
          <w:rFonts w:ascii="Gill Sans MT" w:hAnsi="Gill Sans MT" w:cs="Gill Sans MT"/>
          <w:spacing w:val="-6"/>
          <w:sz w:val="22"/>
          <w:szCs w:val="22"/>
        </w:rPr>
        <w:t xml:space="preserve"> </w:t>
      </w:r>
      <w:r>
        <w:rPr>
          <w:rFonts w:ascii="Gill Sans MT" w:hAnsi="Gill Sans MT" w:cs="Gill Sans MT"/>
          <w:sz w:val="22"/>
          <w:szCs w:val="22"/>
        </w:rPr>
        <w:t>order</w:t>
      </w:r>
      <w:r>
        <w:rPr>
          <w:rFonts w:ascii="Gill Sans MT" w:hAnsi="Gill Sans MT" w:cs="Gill Sans MT"/>
          <w:spacing w:val="-2"/>
          <w:sz w:val="22"/>
          <w:szCs w:val="22"/>
        </w:rPr>
        <w:t xml:space="preserve"> </w:t>
      </w:r>
      <w:r>
        <w:rPr>
          <w:rFonts w:ascii="Gill Sans MT" w:hAnsi="Gill Sans MT" w:cs="Gill Sans MT"/>
          <w:sz w:val="22"/>
          <w:szCs w:val="22"/>
        </w:rPr>
        <w:t>to</w:t>
      </w:r>
      <w:r>
        <w:rPr>
          <w:rFonts w:ascii="Gill Sans MT" w:hAnsi="Gill Sans MT" w:cs="Gill Sans MT"/>
          <w:spacing w:val="-8"/>
          <w:sz w:val="22"/>
          <w:szCs w:val="22"/>
        </w:rPr>
        <w:t xml:space="preserve"> </w:t>
      </w:r>
      <w:r>
        <w:rPr>
          <w:rFonts w:ascii="Gill Sans MT" w:hAnsi="Gill Sans MT" w:cs="Gill Sans MT"/>
          <w:spacing w:val="-3"/>
          <w:sz w:val="22"/>
          <w:szCs w:val="22"/>
        </w:rPr>
        <w:t xml:space="preserve">provide </w:t>
      </w:r>
      <w:r>
        <w:rPr>
          <w:rFonts w:ascii="Gill Sans MT" w:hAnsi="Gill Sans MT" w:cs="Gill Sans MT"/>
          <w:sz w:val="22"/>
          <w:szCs w:val="22"/>
        </w:rPr>
        <w:t xml:space="preserve">stability of LTSS </w:t>
      </w:r>
      <w:r>
        <w:rPr>
          <w:rFonts w:ascii="Gill Sans MT" w:hAnsi="Gill Sans MT" w:cs="Gill Sans MT"/>
          <w:spacing w:val="-3"/>
          <w:sz w:val="22"/>
          <w:szCs w:val="22"/>
        </w:rPr>
        <w:t xml:space="preserve">services </w:t>
      </w:r>
      <w:r>
        <w:rPr>
          <w:rFonts w:ascii="Gill Sans MT" w:hAnsi="Gill Sans MT" w:cs="Gill Sans MT"/>
          <w:sz w:val="22"/>
          <w:szCs w:val="22"/>
        </w:rPr>
        <w:t xml:space="preserve">and sustain </w:t>
      </w:r>
      <w:r>
        <w:rPr>
          <w:rFonts w:ascii="Gill Sans MT" w:hAnsi="Gill Sans MT" w:cs="Gill Sans MT"/>
          <w:spacing w:val="-3"/>
          <w:sz w:val="22"/>
          <w:szCs w:val="22"/>
        </w:rPr>
        <w:t xml:space="preserve">community health </w:t>
      </w:r>
      <w:r>
        <w:rPr>
          <w:rFonts w:ascii="Gill Sans MT" w:hAnsi="Gill Sans MT" w:cs="Gill Sans MT"/>
          <w:sz w:val="22"/>
          <w:szCs w:val="22"/>
        </w:rPr>
        <w:t xml:space="preserve">and </w:t>
      </w:r>
      <w:r>
        <w:rPr>
          <w:rFonts w:ascii="Gill Sans MT" w:hAnsi="Gill Sans MT" w:cs="Gill Sans MT"/>
          <w:spacing w:val="-3"/>
          <w:sz w:val="22"/>
          <w:szCs w:val="22"/>
        </w:rPr>
        <w:t xml:space="preserve">wellness </w:t>
      </w:r>
      <w:r>
        <w:rPr>
          <w:rFonts w:ascii="Gill Sans MT" w:hAnsi="Gill Sans MT" w:cs="Gill Sans MT"/>
          <w:sz w:val="22"/>
          <w:szCs w:val="22"/>
        </w:rPr>
        <w:t xml:space="preserve">programs </w:t>
      </w:r>
      <w:r>
        <w:rPr>
          <w:rFonts w:ascii="Gill Sans MT" w:hAnsi="Gill Sans MT" w:cs="Gill Sans MT"/>
          <w:spacing w:val="-3"/>
          <w:sz w:val="22"/>
          <w:szCs w:val="22"/>
        </w:rPr>
        <w:t xml:space="preserve">needed </w:t>
      </w:r>
      <w:r>
        <w:rPr>
          <w:rFonts w:ascii="Gill Sans MT" w:hAnsi="Gill Sans MT" w:cs="Gill Sans MT"/>
          <w:sz w:val="22"/>
          <w:szCs w:val="22"/>
        </w:rPr>
        <w:t xml:space="preserve">to </w:t>
      </w:r>
      <w:r>
        <w:rPr>
          <w:rFonts w:ascii="Gill Sans MT" w:hAnsi="Gill Sans MT" w:cs="Gill Sans MT"/>
          <w:spacing w:val="-3"/>
          <w:sz w:val="22"/>
          <w:szCs w:val="22"/>
        </w:rPr>
        <w:t xml:space="preserve">achieve </w:t>
      </w:r>
      <w:r>
        <w:rPr>
          <w:rFonts w:ascii="Gill Sans MT" w:hAnsi="Gill Sans MT" w:cs="Gill Sans MT"/>
          <w:sz w:val="22"/>
          <w:szCs w:val="22"/>
        </w:rPr>
        <w:t>the</w:t>
      </w:r>
      <w:r>
        <w:rPr>
          <w:rFonts w:ascii="Gill Sans MT" w:hAnsi="Gill Sans MT" w:cs="Gill Sans MT"/>
          <w:spacing w:val="-20"/>
          <w:sz w:val="22"/>
          <w:szCs w:val="22"/>
        </w:rPr>
        <w:t xml:space="preserve"> </w:t>
      </w:r>
      <w:r>
        <w:rPr>
          <w:rFonts w:ascii="Gill Sans MT" w:hAnsi="Gill Sans MT" w:cs="Gill Sans MT"/>
          <w:sz w:val="22"/>
          <w:szCs w:val="22"/>
        </w:rPr>
        <w:t>long</w:t>
      </w:r>
      <w:r>
        <w:rPr>
          <w:rFonts w:ascii="Gill Sans MT" w:hAnsi="Gill Sans MT" w:cs="Gill Sans MT"/>
          <w:spacing w:val="-22"/>
          <w:sz w:val="22"/>
          <w:szCs w:val="22"/>
        </w:rPr>
        <w:t xml:space="preserve"> </w:t>
      </w:r>
      <w:r>
        <w:rPr>
          <w:rFonts w:ascii="Gill Sans MT" w:hAnsi="Gill Sans MT" w:cs="Gill Sans MT"/>
          <w:spacing w:val="-3"/>
          <w:sz w:val="22"/>
          <w:szCs w:val="22"/>
        </w:rPr>
        <w:t>term</w:t>
      </w:r>
      <w:r>
        <w:rPr>
          <w:rFonts w:ascii="Gill Sans MT" w:hAnsi="Gill Sans MT" w:cs="Gill Sans MT"/>
          <w:spacing w:val="-21"/>
          <w:sz w:val="22"/>
          <w:szCs w:val="22"/>
        </w:rPr>
        <w:t xml:space="preserve"> </w:t>
      </w:r>
      <w:r>
        <w:rPr>
          <w:rFonts w:ascii="Gill Sans MT" w:hAnsi="Gill Sans MT" w:cs="Gill Sans MT"/>
          <w:sz w:val="22"/>
          <w:szCs w:val="22"/>
        </w:rPr>
        <w:t>goals</w:t>
      </w:r>
      <w:r>
        <w:rPr>
          <w:rFonts w:ascii="Gill Sans MT" w:hAnsi="Gill Sans MT" w:cs="Gill Sans MT"/>
          <w:spacing w:val="-20"/>
          <w:sz w:val="22"/>
          <w:szCs w:val="22"/>
        </w:rPr>
        <w:t xml:space="preserve"> </w:t>
      </w:r>
      <w:r>
        <w:rPr>
          <w:rFonts w:ascii="Gill Sans MT" w:hAnsi="Gill Sans MT" w:cs="Gill Sans MT"/>
          <w:sz w:val="22"/>
          <w:szCs w:val="22"/>
        </w:rPr>
        <w:t>of</w:t>
      </w:r>
      <w:r>
        <w:rPr>
          <w:rFonts w:ascii="Gill Sans MT" w:hAnsi="Gill Sans MT" w:cs="Gill Sans MT"/>
          <w:spacing w:val="-19"/>
          <w:sz w:val="22"/>
          <w:szCs w:val="22"/>
        </w:rPr>
        <w:t xml:space="preserve"> </w:t>
      </w:r>
      <w:r>
        <w:rPr>
          <w:rFonts w:ascii="Gill Sans MT" w:hAnsi="Gill Sans MT" w:cs="Gill Sans MT"/>
          <w:spacing w:val="-3"/>
          <w:sz w:val="22"/>
          <w:szCs w:val="22"/>
        </w:rPr>
        <w:t>the</w:t>
      </w:r>
      <w:r>
        <w:rPr>
          <w:rFonts w:ascii="Gill Sans MT" w:hAnsi="Gill Sans MT" w:cs="Gill Sans MT"/>
          <w:spacing w:val="-17"/>
          <w:sz w:val="22"/>
          <w:szCs w:val="22"/>
        </w:rPr>
        <w:t xml:space="preserve"> </w:t>
      </w:r>
      <w:r>
        <w:rPr>
          <w:rFonts w:ascii="Gill Sans MT" w:hAnsi="Gill Sans MT" w:cs="Gill Sans MT"/>
          <w:spacing w:val="-3"/>
          <w:sz w:val="22"/>
          <w:szCs w:val="22"/>
        </w:rPr>
        <w:t>Waiver;</w:t>
      </w:r>
      <w:r>
        <w:rPr>
          <w:rFonts w:ascii="Gill Sans MT" w:hAnsi="Gill Sans MT" w:cs="Gill Sans MT"/>
          <w:spacing w:val="-20"/>
          <w:sz w:val="22"/>
          <w:szCs w:val="22"/>
        </w:rPr>
        <w:t xml:space="preserve"> </w:t>
      </w:r>
      <w:r>
        <w:rPr>
          <w:rFonts w:ascii="Gill Sans MT" w:hAnsi="Gill Sans MT" w:cs="Gill Sans MT"/>
          <w:sz w:val="22"/>
          <w:szCs w:val="22"/>
        </w:rPr>
        <w:t>if</w:t>
      </w:r>
      <w:r>
        <w:rPr>
          <w:rFonts w:ascii="Gill Sans MT" w:hAnsi="Gill Sans MT" w:cs="Gill Sans MT"/>
          <w:spacing w:val="-19"/>
          <w:sz w:val="22"/>
          <w:szCs w:val="22"/>
        </w:rPr>
        <w:t xml:space="preserve"> </w:t>
      </w:r>
      <w:r>
        <w:rPr>
          <w:rFonts w:ascii="Gill Sans MT" w:hAnsi="Gill Sans MT" w:cs="Gill Sans MT"/>
          <w:sz w:val="22"/>
          <w:szCs w:val="22"/>
        </w:rPr>
        <w:t>at</w:t>
      </w:r>
      <w:r>
        <w:rPr>
          <w:rFonts w:ascii="Gill Sans MT" w:hAnsi="Gill Sans MT" w:cs="Gill Sans MT"/>
          <w:spacing w:val="-18"/>
          <w:sz w:val="22"/>
          <w:szCs w:val="22"/>
        </w:rPr>
        <w:t xml:space="preserve"> </w:t>
      </w:r>
      <w:r>
        <w:rPr>
          <w:rFonts w:ascii="Gill Sans MT" w:hAnsi="Gill Sans MT" w:cs="Gill Sans MT"/>
          <w:sz w:val="22"/>
          <w:szCs w:val="22"/>
        </w:rPr>
        <w:t>a</w:t>
      </w:r>
      <w:r>
        <w:rPr>
          <w:rFonts w:ascii="Gill Sans MT" w:hAnsi="Gill Sans MT" w:cs="Gill Sans MT"/>
          <w:spacing w:val="-20"/>
          <w:sz w:val="22"/>
          <w:szCs w:val="22"/>
        </w:rPr>
        <w:t xml:space="preserve"> </w:t>
      </w:r>
      <w:r>
        <w:rPr>
          <w:rFonts w:ascii="Gill Sans MT" w:hAnsi="Gill Sans MT" w:cs="Gill Sans MT"/>
          <w:sz w:val="22"/>
          <w:szCs w:val="22"/>
        </w:rPr>
        <w:t>later</w:t>
      </w:r>
      <w:r>
        <w:rPr>
          <w:rFonts w:ascii="Gill Sans MT" w:hAnsi="Gill Sans MT" w:cs="Gill Sans MT"/>
          <w:spacing w:val="-23"/>
          <w:sz w:val="22"/>
          <w:szCs w:val="22"/>
        </w:rPr>
        <w:t xml:space="preserve"> </w:t>
      </w:r>
      <w:r>
        <w:rPr>
          <w:rFonts w:ascii="Gill Sans MT" w:hAnsi="Gill Sans MT" w:cs="Gill Sans MT"/>
          <w:sz w:val="22"/>
          <w:szCs w:val="22"/>
        </w:rPr>
        <w:t>date</w:t>
      </w:r>
      <w:r>
        <w:rPr>
          <w:rFonts w:ascii="Gill Sans MT" w:hAnsi="Gill Sans MT" w:cs="Gill Sans MT"/>
          <w:spacing w:val="-20"/>
          <w:sz w:val="22"/>
          <w:szCs w:val="22"/>
        </w:rPr>
        <w:t xml:space="preserve"> </w:t>
      </w:r>
      <w:r>
        <w:rPr>
          <w:rFonts w:ascii="Gill Sans MT" w:hAnsi="Gill Sans MT" w:cs="Gill Sans MT"/>
          <w:spacing w:val="-3"/>
          <w:sz w:val="22"/>
          <w:szCs w:val="22"/>
        </w:rPr>
        <w:t>HCBS</w:t>
      </w:r>
      <w:r>
        <w:rPr>
          <w:rFonts w:ascii="Gill Sans MT" w:hAnsi="Gill Sans MT" w:cs="Gill Sans MT"/>
          <w:spacing w:val="-20"/>
          <w:sz w:val="22"/>
          <w:szCs w:val="22"/>
        </w:rPr>
        <w:t xml:space="preserve"> </w:t>
      </w:r>
      <w:r>
        <w:rPr>
          <w:rFonts w:ascii="Gill Sans MT" w:hAnsi="Gill Sans MT" w:cs="Gill Sans MT"/>
          <w:sz w:val="22"/>
          <w:szCs w:val="22"/>
        </w:rPr>
        <w:t>services</w:t>
      </w:r>
      <w:r>
        <w:rPr>
          <w:rFonts w:ascii="Gill Sans MT" w:hAnsi="Gill Sans MT" w:cs="Gill Sans MT"/>
          <w:spacing w:val="-20"/>
          <w:sz w:val="22"/>
          <w:szCs w:val="22"/>
        </w:rPr>
        <w:t xml:space="preserve"> </w:t>
      </w:r>
      <w:r>
        <w:rPr>
          <w:rFonts w:ascii="Gill Sans MT" w:hAnsi="Gill Sans MT" w:cs="Gill Sans MT"/>
          <w:sz w:val="22"/>
          <w:szCs w:val="22"/>
        </w:rPr>
        <w:t>are</w:t>
      </w:r>
      <w:r>
        <w:rPr>
          <w:rFonts w:ascii="Gill Sans MT" w:hAnsi="Gill Sans MT" w:cs="Gill Sans MT"/>
          <w:spacing w:val="-20"/>
          <w:sz w:val="22"/>
          <w:szCs w:val="22"/>
        </w:rPr>
        <w:t xml:space="preserve"> </w:t>
      </w:r>
      <w:r>
        <w:rPr>
          <w:rFonts w:ascii="Gill Sans MT" w:hAnsi="Gill Sans MT" w:cs="Gill Sans MT"/>
          <w:sz w:val="22"/>
          <w:szCs w:val="22"/>
        </w:rPr>
        <w:t>included</w:t>
      </w:r>
      <w:r>
        <w:rPr>
          <w:rFonts w:ascii="Gill Sans MT" w:hAnsi="Gill Sans MT" w:cs="Gill Sans MT"/>
          <w:spacing w:val="-21"/>
          <w:sz w:val="22"/>
          <w:szCs w:val="22"/>
        </w:rPr>
        <w:t xml:space="preserve"> </w:t>
      </w:r>
      <w:r>
        <w:rPr>
          <w:rFonts w:ascii="Gill Sans MT" w:hAnsi="Gill Sans MT" w:cs="Gill Sans MT"/>
          <w:sz w:val="22"/>
          <w:szCs w:val="22"/>
        </w:rPr>
        <w:t>in</w:t>
      </w:r>
      <w:r>
        <w:rPr>
          <w:rFonts w:ascii="Gill Sans MT" w:hAnsi="Gill Sans MT" w:cs="Gill Sans MT"/>
          <w:spacing w:val="-19"/>
          <w:sz w:val="22"/>
          <w:szCs w:val="22"/>
        </w:rPr>
        <w:t xml:space="preserve"> </w:t>
      </w:r>
      <w:r>
        <w:rPr>
          <w:rFonts w:ascii="Gill Sans MT" w:hAnsi="Gill Sans MT" w:cs="Gill Sans MT"/>
          <w:spacing w:val="-3"/>
          <w:sz w:val="22"/>
          <w:szCs w:val="22"/>
        </w:rPr>
        <w:t>the</w:t>
      </w:r>
      <w:r>
        <w:rPr>
          <w:rFonts w:ascii="Gill Sans MT" w:hAnsi="Gill Sans MT" w:cs="Gill Sans MT"/>
          <w:spacing w:val="-20"/>
          <w:sz w:val="22"/>
          <w:szCs w:val="22"/>
        </w:rPr>
        <w:t xml:space="preserve"> </w:t>
      </w:r>
      <w:r>
        <w:rPr>
          <w:rFonts w:ascii="Gill Sans MT" w:hAnsi="Gill Sans MT" w:cs="Gill Sans MT"/>
          <w:spacing w:val="-3"/>
          <w:sz w:val="22"/>
          <w:szCs w:val="22"/>
        </w:rPr>
        <w:t>ACO</w:t>
      </w:r>
      <w:r>
        <w:rPr>
          <w:rFonts w:ascii="Gill Sans MT" w:hAnsi="Gill Sans MT" w:cs="Gill Sans MT"/>
          <w:spacing w:val="-21"/>
          <w:sz w:val="22"/>
          <w:szCs w:val="22"/>
        </w:rPr>
        <w:t xml:space="preserve"> </w:t>
      </w:r>
      <w:r>
        <w:rPr>
          <w:rFonts w:ascii="Gill Sans MT" w:hAnsi="Gill Sans MT" w:cs="Gill Sans MT"/>
          <w:sz w:val="22"/>
          <w:szCs w:val="22"/>
        </w:rPr>
        <w:t>or</w:t>
      </w:r>
      <w:r>
        <w:rPr>
          <w:rFonts w:ascii="Gill Sans MT" w:hAnsi="Gill Sans MT" w:cs="Gill Sans MT"/>
          <w:spacing w:val="-20"/>
          <w:sz w:val="22"/>
          <w:szCs w:val="22"/>
        </w:rPr>
        <w:t xml:space="preserve"> </w:t>
      </w:r>
      <w:r>
        <w:rPr>
          <w:rFonts w:ascii="Gill Sans MT" w:hAnsi="Gill Sans MT" w:cs="Gill Sans MT"/>
          <w:sz w:val="22"/>
          <w:szCs w:val="22"/>
        </w:rPr>
        <w:t xml:space="preserve">MCO, </w:t>
      </w:r>
      <w:r>
        <w:rPr>
          <w:rFonts w:ascii="Gill Sans MT" w:hAnsi="Gill Sans MT" w:cs="Gill Sans MT"/>
          <w:spacing w:val="-3"/>
          <w:sz w:val="22"/>
          <w:szCs w:val="22"/>
        </w:rPr>
        <w:t>current</w:t>
      </w:r>
      <w:r>
        <w:rPr>
          <w:rFonts w:ascii="Gill Sans MT" w:hAnsi="Gill Sans MT" w:cs="Gill Sans MT"/>
          <w:spacing w:val="-8"/>
          <w:sz w:val="22"/>
          <w:szCs w:val="22"/>
        </w:rPr>
        <w:t xml:space="preserve"> </w:t>
      </w:r>
      <w:r>
        <w:rPr>
          <w:rFonts w:ascii="Gill Sans MT" w:hAnsi="Gill Sans MT" w:cs="Gill Sans MT"/>
          <w:spacing w:val="-3"/>
          <w:sz w:val="22"/>
          <w:szCs w:val="22"/>
        </w:rPr>
        <w:t>service</w:t>
      </w:r>
      <w:r>
        <w:rPr>
          <w:rFonts w:ascii="Gill Sans MT" w:hAnsi="Gill Sans MT" w:cs="Gill Sans MT"/>
          <w:spacing w:val="-7"/>
          <w:sz w:val="22"/>
          <w:szCs w:val="22"/>
        </w:rPr>
        <w:t xml:space="preserve"> </w:t>
      </w:r>
      <w:r>
        <w:rPr>
          <w:rFonts w:ascii="Gill Sans MT" w:hAnsi="Gill Sans MT" w:cs="Gill Sans MT"/>
          <w:sz w:val="22"/>
          <w:szCs w:val="22"/>
        </w:rPr>
        <w:t>settings</w:t>
      </w:r>
      <w:r>
        <w:rPr>
          <w:rFonts w:ascii="Gill Sans MT" w:hAnsi="Gill Sans MT" w:cs="Gill Sans MT"/>
          <w:spacing w:val="-8"/>
          <w:sz w:val="22"/>
          <w:szCs w:val="22"/>
        </w:rPr>
        <w:t xml:space="preserve"> </w:t>
      </w:r>
      <w:r>
        <w:rPr>
          <w:rFonts w:ascii="Gill Sans MT" w:hAnsi="Gill Sans MT" w:cs="Gill Sans MT"/>
          <w:sz w:val="22"/>
          <w:szCs w:val="22"/>
        </w:rPr>
        <w:t>and</w:t>
      </w:r>
      <w:r>
        <w:rPr>
          <w:rFonts w:ascii="Gill Sans MT" w:hAnsi="Gill Sans MT" w:cs="Gill Sans MT"/>
          <w:spacing w:val="-14"/>
          <w:sz w:val="22"/>
          <w:szCs w:val="22"/>
        </w:rPr>
        <w:t xml:space="preserve"> </w:t>
      </w:r>
      <w:r>
        <w:rPr>
          <w:rFonts w:ascii="Gill Sans MT" w:hAnsi="Gill Sans MT" w:cs="Gill Sans MT"/>
          <w:sz w:val="22"/>
          <w:szCs w:val="22"/>
        </w:rPr>
        <w:t>contractual</w:t>
      </w:r>
      <w:r>
        <w:rPr>
          <w:rFonts w:ascii="Gill Sans MT" w:hAnsi="Gill Sans MT" w:cs="Gill Sans MT"/>
          <w:spacing w:val="-10"/>
          <w:sz w:val="22"/>
          <w:szCs w:val="22"/>
        </w:rPr>
        <w:t xml:space="preserve"> </w:t>
      </w:r>
      <w:r>
        <w:rPr>
          <w:rFonts w:ascii="Gill Sans MT" w:hAnsi="Gill Sans MT" w:cs="Gill Sans MT"/>
          <w:sz w:val="22"/>
          <w:szCs w:val="22"/>
        </w:rPr>
        <w:t>obligations</w:t>
      </w:r>
      <w:r>
        <w:rPr>
          <w:rFonts w:ascii="Gill Sans MT" w:hAnsi="Gill Sans MT" w:cs="Gill Sans MT"/>
          <w:spacing w:val="-8"/>
          <w:sz w:val="22"/>
          <w:szCs w:val="22"/>
        </w:rPr>
        <w:t xml:space="preserve"> </w:t>
      </w:r>
      <w:r>
        <w:rPr>
          <w:rFonts w:ascii="Gill Sans MT" w:hAnsi="Gill Sans MT" w:cs="Gill Sans MT"/>
          <w:sz w:val="22"/>
          <w:szCs w:val="22"/>
        </w:rPr>
        <w:t>shall</w:t>
      </w:r>
      <w:r>
        <w:rPr>
          <w:rFonts w:ascii="Gill Sans MT" w:hAnsi="Gill Sans MT" w:cs="Gill Sans MT"/>
          <w:spacing w:val="-8"/>
          <w:sz w:val="22"/>
          <w:szCs w:val="22"/>
        </w:rPr>
        <w:t xml:space="preserve"> </w:t>
      </w:r>
      <w:r>
        <w:rPr>
          <w:rFonts w:ascii="Gill Sans MT" w:hAnsi="Gill Sans MT" w:cs="Gill Sans MT"/>
          <w:sz w:val="22"/>
          <w:szCs w:val="22"/>
        </w:rPr>
        <w:t>be</w:t>
      </w:r>
      <w:r>
        <w:rPr>
          <w:rFonts w:ascii="Gill Sans MT" w:hAnsi="Gill Sans MT" w:cs="Gill Sans MT"/>
          <w:spacing w:val="-7"/>
          <w:sz w:val="22"/>
          <w:szCs w:val="22"/>
        </w:rPr>
        <w:t xml:space="preserve"> </w:t>
      </w:r>
      <w:r>
        <w:rPr>
          <w:rFonts w:ascii="Gill Sans MT" w:hAnsi="Gill Sans MT" w:cs="Gill Sans MT"/>
          <w:spacing w:val="-3"/>
          <w:sz w:val="22"/>
          <w:szCs w:val="22"/>
        </w:rPr>
        <w:t>extended</w:t>
      </w:r>
      <w:r>
        <w:rPr>
          <w:rFonts w:ascii="Gill Sans MT" w:hAnsi="Gill Sans MT" w:cs="Gill Sans MT"/>
          <w:spacing w:val="-9"/>
          <w:sz w:val="22"/>
          <w:szCs w:val="22"/>
        </w:rPr>
        <w:t xml:space="preserve"> </w:t>
      </w:r>
      <w:r>
        <w:rPr>
          <w:rFonts w:ascii="Gill Sans MT" w:hAnsi="Gill Sans MT" w:cs="Gill Sans MT"/>
          <w:sz w:val="22"/>
          <w:szCs w:val="22"/>
        </w:rPr>
        <w:t>for</w:t>
      </w:r>
      <w:r>
        <w:rPr>
          <w:rFonts w:ascii="Gill Sans MT" w:hAnsi="Gill Sans MT" w:cs="Gill Sans MT"/>
          <w:spacing w:val="-10"/>
          <w:sz w:val="22"/>
          <w:szCs w:val="22"/>
        </w:rPr>
        <w:t xml:space="preserve"> </w:t>
      </w:r>
      <w:r>
        <w:rPr>
          <w:rFonts w:ascii="Gill Sans MT" w:hAnsi="Gill Sans MT" w:cs="Gill Sans MT"/>
          <w:sz w:val="22"/>
          <w:szCs w:val="22"/>
        </w:rPr>
        <w:t>a</w:t>
      </w:r>
      <w:r>
        <w:rPr>
          <w:rFonts w:ascii="Gill Sans MT" w:hAnsi="Gill Sans MT" w:cs="Gill Sans MT"/>
          <w:spacing w:val="-10"/>
          <w:sz w:val="22"/>
          <w:szCs w:val="22"/>
        </w:rPr>
        <w:t xml:space="preserve"> </w:t>
      </w:r>
      <w:r>
        <w:rPr>
          <w:rFonts w:ascii="Gill Sans MT" w:hAnsi="Gill Sans MT" w:cs="Gill Sans MT"/>
          <w:sz w:val="22"/>
          <w:szCs w:val="22"/>
        </w:rPr>
        <w:t>period</w:t>
      </w:r>
      <w:r>
        <w:rPr>
          <w:rFonts w:ascii="Gill Sans MT" w:hAnsi="Gill Sans MT" w:cs="Gill Sans MT"/>
          <w:spacing w:val="-9"/>
          <w:sz w:val="22"/>
          <w:szCs w:val="22"/>
        </w:rPr>
        <w:t xml:space="preserve"> </w:t>
      </w:r>
      <w:r>
        <w:rPr>
          <w:rFonts w:ascii="Gill Sans MT" w:hAnsi="Gill Sans MT" w:cs="Gill Sans MT"/>
          <w:sz w:val="22"/>
          <w:szCs w:val="22"/>
        </w:rPr>
        <w:t>no</w:t>
      </w:r>
      <w:r>
        <w:rPr>
          <w:rFonts w:ascii="Gill Sans MT" w:hAnsi="Gill Sans MT" w:cs="Gill Sans MT"/>
          <w:spacing w:val="-6"/>
          <w:sz w:val="22"/>
          <w:szCs w:val="22"/>
        </w:rPr>
        <w:t xml:space="preserve"> </w:t>
      </w:r>
      <w:r>
        <w:rPr>
          <w:rFonts w:ascii="Gill Sans MT" w:hAnsi="Gill Sans MT" w:cs="Gill Sans MT"/>
          <w:sz w:val="22"/>
          <w:szCs w:val="22"/>
        </w:rPr>
        <w:t>less</w:t>
      </w:r>
      <w:r>
        <w:rPr>
          <w:rFonts w:ascii="Gill Sans MT" w:hAnsi="Gill Sans MT" w:cs="Gill Sans MT"/>
          <w:spacing w:val="-8"/>
          <w:sz w:val="22"/>
          <w:szCs w:val="22"/>
        </w:rPr>
        <w:t xml:space="preserve"> </w:t>
      </w:r>
      <w:r>
        <w:rPr>
          <w:rFonts w:ascii="Gill Sans MT" w:hAnsi="Gill Sans MT" w:cs="Gill Sans MT"/>
          <w:spacing w:val="-3"/>
          <w:sz w:val="22"/>
          <w:szCs w:val="22"/>
        </w:rPr>
        <w:t>than</w:t>
      </w:r>
      <w:r>
        <w:rPr>
          <w:rFonts w:ascii="Gill Sans MT" w:hAnsi="Gill Sans MT" w:cs="Gill Sans MT"/>
          <w:spacing w:val="-7"/>
          <w:sz w:val="22"/>
          <w:szCs w:val="22"/>
        </w:rPr>
        <w:t xml:space="preserve"> </w:t>
      </w:r>
      <w:r>
        <w:rPr>
          <w:rFonts w:ascii="Gill Sans MT" w:hAnsi="Gill Sans MT" w:cs="Gill Sans MT"/>
          <w:spacing w:val="-3"/>
          <w:sz w:val="22"/>
          <w:szCs w:val="22"/>
        </w:rPr>
        <w:t xml:space="preserve">two </w:t>
      </w:r>
      <w:r>
        <w:rPr>
          <w:rFonts w:ascii="Gill Sans MT" w:hAnsi="Gill Sans MT" w:cs="Gill Sans MT"/>
          <w:spacing w:val="-2"/>
          <w:sz w:val="22"/>
          <w:szCs w:val="22"/>
        </w:rPr>
        <w:t>years.</w:t>
      </w:r>
    </w:p>
    <w:p w:rsidR="002C5025" w:rsidRDefault="002C5025">
      <w:pPr>
        <w:pStyle w:val="ListParagraph"/>
        <w:numPr>
          <w:ilvl w:val="0"/>
          <w:numId w:val="84"/>
        </w:numPr>
        <w:tabs>
          <w:tab w:val="left" w:pos="480"/>
        </w:tabs>
        <w:kinsoku w:val="0"/>
        <w:overflowPunct w:val="0"/>
        <w:spacing w:line="261" w:lineRule="auto"/>
        <w:ind w:right="109"/>
        <w:jc w:val="both"/>
        <w:rPr>
          <w:rFonts w:ascii="Gill Sans MT" w:hAnsi="Gill Sans MT" w:cs="Gill Sans MT"/>
          <w:sz w:val="22"/>
          <w:szCs w:val="22"/>
        </w:rPr>
      </w:pPr>
      <w:r>
        <w:rPr>
          <w:rFonts w:ascii="Gill Sans MT" w:hAnsi="Gill Sans MT" w:cs="Gill Sans MT"/>
          <w:sz w:val="22"/>
          <w:szCs w:val="22"/>
        </w:rPr>
        <w:t>EOHHS,</w:t>
      </w:r>
      <w:r>
        <w:rPr>
          <w:rFonts w:ascii="Gill Sans MT" w:hAnsi="Gill Sans MT" w:cs="Gill Sans MT"/>
          <w:spacing w:val="-22"/>
          <w:sz w:val="22"/>
          <w:szCs w:val="22"/>
        </w:rPr>
        <w:t xml:space="preserve"> </w:t>
      </w:r>
      <w:r>
        <w:rPr>
          <w:rFonts w:ascii="Gill Sans MT" w:hAnsi="Gill Sans MT" w:cs="Gill Sans MT"/>
          <w:spacing w:val="-3"/>
          <w:sz w:val="22"/>
          <w:szCs w:val="22"/>
        </w:rPr>
        <w:t>CHIA</w:t>
      </w:r>
      <w:r>
        <w:rPr>
          <w:rFonts w:ascii="Gill Sans MT" w:hAnsi="Gill Sans MT" w:cs="Gill Sans MT"/>
          <w:spacing w:val="-23"/>
          <w:sz w:val="22"/>
          <w:szCs w:val="22"/>
        </w:rPr>
        <w:t xml:space="preserve"> </w:t>
      </w:r>
      <w:r>
        <w:rPr>
          <w:rFonts w:ascii="Gill Sans MT" w:hAnsi="Gill Sans MT" w:cs="Gill Sans MT"/>
          <w:sz w:val="22"/>
          <w:szCs w:val="22"/>
        </w:rPr>
        <w:t>and</w:t>
      </w:r>
      <w:r>
        <w:rPr>
          <w:rFonts w:ascii="Gill Sans MT" w:hAnsi="Gill Sans MT" w:cs="Gill Sans MT"/>
          <w:spacing w:val="-21"/>
          <w:sz w:val="22"/>
          <w:szCs w:val="22"/>
        </w:rPr>
        <w:t xml:space="preserve"> </w:t>
      </w:r>
      <w:r>
        <w:rPr>
          <w:rFonts w:ascii="Gill Sans MT" w:hAnsi="Gill Sans MT" w:cs="Gill Sans MT"/>
          <w:sz w:val="22"/>
          <w:szCs w:val="22"/>
        </w:rPr>
        <w:t>other</w:t>
      </w:r>
      <w:r>
        <w:rPr>
          <w:rFonts w:ascii="Gill Sans MT" w:hAnsi="Gill Sans MT" w:cs="Gill Sans MT"/>
          <w:spacing w:val="-23"/>
          <w:sz w:val="22"/>
          <w:szCs w:val="22"/>
        </w:rPr>
        <w:t xml:space="preserve"> </w:t>
      </w:r>
      <w:r>
        <w:rPr>
          <w:rFonts w:ascii="Gill Sans MT" w:hAnsi="Gill Sans MT" w:cs="Gill Sans MT"/>
          <w:sz w:val="22"/>
          <w:szCs w:val="22"/>
        </w:rPr>
        <w:t>state</w:t>
      </w:r>
      <w:r>
        <w:rPr>
          <w:rFonts w:ascii="Gill Sans MT" w:hAnsi="Gill Sans MT" w:cs="Gill Sans MT"/>
          <w:spacing w:val="-19"/>
          <w:sz w:val="22"/>
          <w:szCs w:val="22"/>
        </w:rPr>
        <w:t xml:space="preserve"> </w:t>
      </w:r>
      <w:r>
        <w:rPr>
          <w:rFonts w:ascii="Gill Sans MT" w:hAnsi="Gill Sans MT" w:cs="Gill Sans MT"/>
          <w:spacing w:val="-2"/>
          <w:sz w:val="22"/>
          <w:szCs w:val="22"/>
        </w:rPr>
        <w:t>agencies</w:t>
      </w:r>
      <w:r>
        <w:rPr>
          <w:rFonts w:ascii="Gill Sans MT" w:hAnsi="Gill Sans MT" w:cs="Gill Sans MT"/>
          <w:spacing w:val="-20"/>
          <w:sz w:val="22"/>
          <w:szCs w:val="22"/>
        </w:rPr>
        <w:t xml:space="preserve"> </w:t>
      </w:r>
      <w:r>
        <w:rPr>
          <w:rFonts w:ascii="Gill Sans MT" w:hAnsi="Gill Sans MT" w:cs="Gill Sans MT"/>
          <w:sz w:val="22"/>
          <w:szCs w:val="22"/>
        </w:rPr>
        <w:t>who</w:t>
      </w:r>
      <w:r>
        <w:rPr>
          <w:rFonts w:ascii="Gill Sans MT" w:hAnsi="Gill Sans MT" w:cs="Gill Sans MT"/>
          <w:spacing w:val="-23"/>
          <w:sz w:val="22"/>
          <w:szCs w:val="22"/>
        </w:rPr>
        <w:t xml:space="preserve"> </w:t>
      </w:r>
      <w:r>
        <w:rPr>
          <w:rFonts w:ascii="Gill Sans MT" w:hAnsi="Gill Sans MT" w:cs="Gill Sans MT"/>
          <w:spacing w:val="-3"/>
          <w:sz w:val="22"/>
          <w:szCs w:val="22"/>
        </w:rPr>
        <w:t>currently</w:t>
      </w:r>
      <w:r>
        <w:rPr>
          <w:rFonts w:ascii="Gill Sans MT" w:hAnsi="Gill Sans MT" w:cs="Gill Sans MT"/>
          <w:spacing w:val="-22"/>
          <w:sz w:val="22"/>
          <w:szCs w:val="22"/>
        </w:rPr>
        <w:t xml:space="preserve"> </w:t>
      </w:r>
      <w:r>
        <w:rPr>
          <w:rFonts w:ascii="Gill Sans MT" w:hAnsi="Gill Sans MT" w:cs="Gill Sans MT"/>
          <w:sz w:val="22"/>
          <w:szCs w:val="22"/>
        </w:rPr>
        <w:t>set</w:t>
      </w:r>
      <w:r>
        <w:rPr>
          <w:rFonts w:ascii="Gill Sans MT" w:hAnsi="Gill Sans MT" w:cs="Gill Sans MT"/>
          <w:spacing w:val="-21"/>
          <w:sz w:val="22"/>
          <w:szCs w:val="22"/>
        </w:rPr>
        <w:t xml:space="preserve"> </w:t>
      </w:r>
      <w:r>
        <w:rPr>
          <w:rFonts w:ascii="Gill Sans MT" w:hAnsi="Gill Sans MT" w:cs="Gill Sans MT"/>
          <w:sz w:val="22"/>
          <w:szCs w:val="22"/>
        </w:rPr>
        <w:t>rates</w:t>
      </w:r>
      <w:r>
        <w:rPr>
          <w:rFonts w:ascii="Gill Sans MT" w:hAnsi="Gill Sans MT" w:cs="Gill Sans MT"/>
          <w:spacing w:val="-20"/>
          <w:sz w:val="22"/>
          <w:szCs w:val="22"/>
        </w:rPr>
        <w:t xml:space="preserve"> </w:t>
      </w:r>
      <w:r>
        <w:rPr>
          <w:rFonts w:ascii="Gill Sans MT" w:hAnsi="Gill Sans MT" w:cs="Gill Sans MT"/>
          <w:sz w:val="22"/>
          <w:szCs w:val="22"/>
        </w:rPr>
        <w:t>will</w:t>
      </w:r>
      <w:r>
        <w:rPr>
          <w:rFonts w:ascii="Gill Sans MT" w:hAnsi="Gill Sans MT" w:cs="Gill Sans MT"/>
          <w:spacing w:val="-20"/>
          <w:sz w:val="22"/>
          <w:szCs w:val="22"/>
        </w:rPr>
        <w:t xml:space="preserve"> </w:t>
      </w:r>
      <w:r>
        <w:rPr>
          <w:rFonts w:ascii="Gill Sans MT" w:hAnsi="Gill Sans MT" w:cs="Gill Sans MT"/>
          <w:spacing w:val="-3"/>
          <w:sz w:val="22"/>
          <w:szCs w:val="22"/>
        </w:rPr>
        <w:t>continue</w:t>
      </w:r>
      <w:r>
        <w:rPr>
          <w:rFonts w:ascii="Gill Sans MT" w:hAnsi="Gill Sans MT" w:cs="Gill Sans MT"/>
          <w:spacing w:val="-22"/>
          <w:sz w:val="22"/>
          <w:szCs w:val="22"/>
        </w:rPr>
        <w:t xml:space="preserve"> </w:t>
      </w:r>
      <w:r>
        <w:rPr>
          <w:rFonts w:ascii="Gill Sans MT" w:hAnsi="Gill Sans MT" w:cs="Gill Sans MT"/>
          <w:sz w:val="22"/>
          <w:szCs w:val="22"/>
        </w:rPr>
        <w:t>to</w:t>
      </w:r>
      <w:r>
        <w:rPr>
          <w:rFonts w:ascii="Gill Sans MT" w:hAnsi="Gill Sans MT" w:cs="Gill Sans MT"/>
          <w:spacing w:val="-21"/>
          <w:sz w:val="22"/>
          <w:szCs w:val="22"/>
        </w:rPr>
        <w:t xml:space="preserve"> </w:t>
      </w:r>
      <w:r>
        <w:rPr>
          <w:rFonts w:ascii="Gill Sans MT" w:hAnsi="Gill Sans MT" w:cs="Gill Sans MT"/>
          <w:spacing w:val="-3"/>
          <w:sz w:val="22"/>
          <w:szCs w:val="22"/>
        </w:rPr>
        <w:t>perform</w:t>
      </w:r>
      <w:r>
        <w:rPr>
          <w:rFonts w:ascii="Gill Sans MT" w:hAnsi="Gill Sans MT" w:cs="Gill Sans MT"/>
          <w:spacing w:val="-21"/>
          <w:sz w:val="22"/>
          <w:szCs w:val="22"/>
        </w:rPr>
        <w:t xml:space="preserve"> </w:t>
      </w:r>
      <w:r>
        <w:rPr>
          <w:rFonts w:ascii="Gill Sans MT" w:hAnsi="Gill Sans MT" w:cs="Gill Sans MT"/>
          <w:sz w:val="22"/>
          <w:szCs w:val="22"/>
        </w:rPr>
        <w:t>this</w:t>
      </w:r>
      <w:r>
        <w:rPr>
          <w:rFonts w:ascii="Gill Sans MT" w:hAnsi="Gill Sans MT" w:cs="Gill Sans MT"/>
          <w:spacing w:val="-20"/>
          <w:sz w:val="22"/>
          <w:szCs w:val="22"/>
        </w:rPr>
        <w:t xml:space="preserve"> </w:t>
      </w:r>
      <w:r>
        <w:rPr>
          <w:rFonts w:ascii="Gill Sans MT" w:hAnsi="Gill Sans MT" w:cs="Gill Sans MT"/>
          <w:spacing w:val="-3"/>
          <w:sz w:val="22"/>
          <w:szCs w:val="22"/>
        </w:rPr>
        <w:t xml:space="preserve">service </w:t>
      </w:r>
      <w:r>
        <w:rPr>
          <w:rFonts w:ascii="Gill Sans MT" w:hAnsi="Gill Sans MT" w:cs="Gill Sans MT"/>
          <w:sz w:val="22"/>
          <w:szCs w:val="22"/>
        </w:rPr>
        <w:t xml:space="preserve">consistent with </w:t>
      </w:r>
      <w:r>
        <w:rPr>
          <w:rFonts w:ascii="Gill Sans MT" w:hAnsi="Gill Sans MT" w:cs="Gill Sans MT"/>
          <w:spacing w:val="-3"/>
          <w:sz w:val="22"/>
          <w:szCs w:val="22"/>
        </w:rPr>
        <w:t xml:space="preserve">the </w:t>
      </w:r>
      <w:r>
        <w:rPr>
          <w:rFonts w:ascii="Gill Sans MT" w:hAnsi="Gill Sans MT" w:cs="Gill Sans MT"/>
          <w:spacing w:val="-2"/>
          <w:sz w:val="22"/>
          <w:szCs w:val="22"/>
        </w:rPr>
        <w:t xml:space="preserve">intent </w:t>
      </w:r>
      <w:r>
        <w:rPr>
          <w:rFonts w:ascii="Gill Sans MT" w:hAnsi="Gill Sans MT" w:cs="Gill Sans MT"/>
          <w:sz w:val="22"/>
          <w:szCs w:val="22"/>
        </w:rPr>
        <w:t xml:space="preserve">of existing state and </w:t>
      </w:r>
      <w:r>
        <w:rPr>
          <w:rFonts w:ascii="Gill Sans MT" w:hAnsi="Gill Sans MT" w:cs="Gill Sans MT"/>
          <w:spacing w:val="-4"/>
          <w:sz w:val="22"/>
          <w:szCs w:val="22"/>
        </w:rPr>
        <w:t xml:space="preserve">federal </w:t>
      </w:r>
      <w:r>
        <w:rPr>
          <w:rFonts w:ascii="Gill Sans MT" w:hAnsi="Gill Sans MT" w:cs="Gill Sans MT"/>
          <w:sz w:val="22"/>
          <w:szCs w:val="22"/>
        </w:rPr>
        <w:t xml:space="preserve">rate laws and </w:t>
      </w:r>
      <w:r>
        <w:rPr>
          <w:rFonts w:ascii="Gill Sans MT" w:hAnsi="Gill Sans MT" w:cs="Gill Sans MT"/>
          <w:spacing w:val="-3"/>
          <w:sz w:val="22"/>
          <w:szCs w:val="22"/>
        </w:rPr>
        <w:t xml:space="preserve">regulations </w:t>
      </w:r>
      <w:r>
        <w:rPr>
          <w:rFonts w:ascii="Gill Sans MT" w:hAnsi="Gill Sans MT" w:cs="Gill Sans MT"/>
          <w:sz w:val="22"/>
          <w:szCs w:val="22"/>
        </w:rPr>
        <w:t xml:space="preserve">including </w:t>
      </w:r>
      <w:r>
        <w:rPr>
          <w:rFonts w:ascii="Gill Sans MT" w:hAnsi="Gill Sans MT" w:cs="Gill Sans MT"/>
          <w:spacing w:val="-4"/>
          <w:sz w:val="22"/>
          <w:szCs w:val="22"/>
        </w:rPr>
        <w:t xml:space="preserve">but </w:t>
      </w:r>
      <w:r>
        <w:rPr>
          <w:rFonts w:ascii="Gill Sans MT" w:hAnsi="Gill Sans MT" w:cs="Gill Sans MT"/>
          <w:sz w:val="22"/>
          <w:szCs w:val="22"/>
        </w:rPr>
        <w:t>limited</w:t>
      </w:r>
      <w:r>
        <w:rPr>
          <w:rFonts w:ascii="Gill Sans MT" w:hAnsi="Gill Sans MT" w:cs="Gill Sans MT"/>
          <w:spacing w:val="-26"/>
          <w:sz w:val="22"/>
          <w:szCs w:val="22"/>
        </w:rPr>
        <w:t xml:space="preserve"> </w:t>
      </w:r>
      <w:r>
        <w:rPr>
          <w:rFonts w:ascii="Gill Sans MT" w:hAnsi="Gill Sans MT" w:cs="Gill Sans MT"/>
          <w:sz w:val="22"/>
          <w:szCs w:val="22"/>
        </w:rPr>
        <w:t>to</w:t>
      </w:r>
      <w:r>
        <w:rPr>
          <w:rFonts w:ascii="Gill Sans MT" w:hAnsi="Gill Sans MT" w:cs="Gill Sans MT"/>
          <w:spacing w:val="-25"/>
          <w:sz w:val="22"/>
          <w:szCs w:val="22"/>
        </w:rPr>
        <w:t xml:space="preserve"> </w:t>
      </w:r>
      <w:r>
        <w:rPr>
          <w:rFonts w:ascii="Gill Sans MT" w:hAnsi="Gill Sans MT" w:cs="Gill Sans MT"/>
          <w:spacing w:val="-3"/>
          <w:sz w:val="22"/>
          <w:szCs w:val="22"/>
        </w:rPr>
        <w:t>Chapter</w:t>
      </w:r>
      <w:r>
        <w:rPr>
          <w:rFonts w:ascii="Gill Sans MT" w:hAnsi="Gill Sans MT" w:cs="Gill Sans MT"/>
          <w:spacing w:val="-25"/>
          <w:sz w:val="22"/>
          <w:szCs w:val="22"/>
        </w:rPr>
        <w:t xml:space="preserve"> </w:t>
      </w:r>
      <w:r>
        <w:rPr>
          <w:rFonts w:ascii="Gill Sans MT" w:hAnsi="Gill Sans MT" w:cs="Gill Sans MT"/>
          <w:sz w:val="22"/>
          <w:szCs w:val="22"/>
        </w:rPr>
        <w:t>257</w:t>
      </w:r>
      <w:r>
        <w:rPr>
          <w:rFonts w:ascii="Gill Sans MT" w:hAnsi="Gill Sans MT" w:cs="Gill Sans MT"/>
          <w:spacing w:val="-21"/>
          <w:sz w:val="22"/>
          <w:szCs w:val="22"/>
        </w:rPr>
        <w:t xml:space="preserve"> </w:t>
      </w:r>
      <w:r>
        <w:rPr>
          <w:rFonts w:ascii="Gill Sans MT" w:hAnsi="Gill Sans MT" w:cs="Gill Sans MT"/>
          <w:sz w:val="22"/>
          <w:szCs w:val="22"/>
        </w:rPr>
        <w:t>and</w:t>
      </w:r>
      <w:r>
        <w:rPr>
          <w:rFonts w:ascii="Gill Sans MT" w:hAnsi="Gill Sans MT" w:cs="Gill Sans MT"/>
          <w:spacing w:val="-21"/>
          <w:sz w:val="22"/>
          <w:szCs w:val="22"/>
        </w:rPr>
        <w:t xml:space="preserve"> </w:t>
      </w:r>
      <w:r>
        <w:rPr>
          <w:rFonts w:ascii="Gill Sans MT" w:hAnsi="Gill Sans MT" w:cs="Gill Sans MT"/>
          <w:sz w:val="22"/>
          <w:szCs w:val="22"/>
        </w:rPr>
        <w:t>other</w:t>
      </w:r>
      <w:r>
        <w:rPr>
          <w:rFonts w:ascii="Gill Sans MT" w:hAnsi="Gill Sans MT" w:cs="Gill Sans MT"/>
          <w:spacing w:val="-25"/>
          <w:sz w:val="22"/>
          <w:szCs w:val="22"/>
        </w:rPr>
        <w:t xml:space="preserve"> </w:t>
      </w:r>
      <w:r>
        <w:rPr>
          <w:rFonts w:ascii="Gill Sans MT" w:hAnsi="Gill Sans MT" w:cs="Gill Sans MT"/>
          <w:sz w:val="22"/>
          <w:szCs w:val="22"/>
        </w:rPr>
        <w:t>Medicaid</w:t>
      </w:r>
      <w:r>
        <w:rPr>
          <w:rFonts w:ascii="Gill Sans MT" w:hAnsi="Gill Sans MT" w:cs="Gill Sans MT"/>
          <w:spacing w:val="-23"/>
          <w:sz w:val="22"/>
          <w:szCs w:val="22"/>
        </w:rPr>
        <w:t xml:space="preserve"> </w:t>
      </w:r>
      <w:r>
        <w:rPr>
          <w:rFonts w:ascii="Gill Sans MT" w:hAnsi="Gill Sans MT" w:cs="Gill Sans MT"/>
          <w:spacing w:val="-3"/>
          <w:sz w:val="22"/>
          <w:szCs w:val="22"/>
        </w:rPr>
        <w:t>rate</w:t>
      </w:r>
      <w:r>
        <w:rPr>
          <w:rFonts w:ascii="Gill Sans MT" w:hAnsi="Gill Sans MT" w:cs="Gill Sans MT"/>
          <w:spacing w:val="-24"/>
          <w:sz w:val="22"/>
          <w:szCs w:val="22"/>
        </w:rPr>
        <w:t xml:space="preserve"> </w:t>
      </w:r>
      <w:r>
        <w:rPr>
          <w:rFonts w:ascii="Gill Sans MT" w:hAnsi="Gill Sans MT" w:cs="Gill Sans MT"/>
          <w:sz w:val="22"/>
          <w:szCs w:val="22"/>
        </w:rPr>
        <w:t>regulations;</w:t>
      </w:r>
      <w:r>
        <w:rPr>
          <w:rFonts w:ascii="Gill Sans MT" w:hAnsi="Gill Sans MT" w:cs="Gill Sans MT"/>
          <w:spacing w:val="-19"/>
          <w:sz w:val="22"/>
          <w:szCs w:val="22"/>
        </w:rPr>
        <w:t xml:space="preserve"> </w:t>
      </w:r>
      <w:r>
        <w:rPr>
          <w:rFonts w:ascii="Gill Sans MT" w:hAnsi="Gill Sans MT" w:cs="Gill Sans MT"/>
          <w:spacing w:val="-3"/>
          <w:sz w:val="22"/>
          <w:szCs w:val="22"/>
        </w:rPr>
        <w:t>ACOs</w:t>
      </w:r>
      <w:r>
        <w:rPr>
          <w:rFonts w:ascii="Gill Sans MT" w:hAnsi="Gill Sans MT" w:cs="Gill Sans MT"/>
          <w:spacing w:val="-22"/>
          <w:sz w:val="22"/>
          <w:szCs w:val="22"/>
        </w:rPr>
        <w:t xml:space="preserve"> </w:t>
      </w:r>
      <w:r>
        <w:rPr>
          <w:rFonts w:ascii="Gill Sans MT" w:hAnsi="Gill Sans MT" w:cs="Gill Sans MT"/>
          <w:sz w:val="22"/>
          <w:szCs w:val="22"/>
        </w:rPr>
        <w:t>will</w:t>
      </w:r>
      <w:r>
        <w:rPr>
          <w:rFonts w:ascii="Gill Sans MT" w:hAnsi="Gill Sans MT" w:cs="Gill Sans MT"/>
          <w:spacing w:val="-22"/>
          <w:sz w:val="22"/>
          <w:szCs w:val="22"/>
        </w:rPr>
        <w:t xml:space="preserve"> </w:t>
      </w:r>
      <w:r>
        <w:rPr>
          <w:rFonts w:ascii="Gill Sans MT" w:hAnsi="Gill Sans MT" w:cs="Gill Sans MT"/>
          <w:sz w:val="22"/>
          <w:szCs w:val="22"/>
        </w:rPr>
        <w:t>obligated</w:t>
      </w:r>
      <w:r>
        <w:rPr>
          <w:rFonts w:ascii="Gill Sans MT" w:hAnsi="Gill Sans MT" w:cs="Gill Sans MT"/>
          <w:spacing w:val="-24"/>
          <w:sz w:val="22"/>
          <w:szCs w:val="22"/>
        </w:rPr>
        <w:t xml:space="preserve"> </w:t>
      </w:r>
      <w:r>
        <w:rPr>
          <w:rFonts w:ascii="Gill Sans MT" w:hAnsi="Gill Sans MT" w:cs="Gill Sans MT"/>
          <w:sz w:val="22"/>
          <w:szCs w:val="22"/>
        </w:rPr>
        <w:t>to</w:t>
      </w:r>
      <w:r>
        <w:rPr>
          <w:rFonts w:ascii="Gill Sans MT" w:hAnsi="Gill Sans MT" w:cs="Gill Sans MT"/>
          <w:spacing w:val="-25"/>
          <w:sz w:val="22"/>
          <w:szCs w:val="22"/>
        </w:rPr>
        <w:t xml:space="preserve"> </w:t>
      </w:r>
      <w:r>
        <w:rPr>
          <w:rFonts w:ascii="Gill Sans MT" w:hAnsi="Gill Sans MT" w:cs="Gill Sans MT"/>
          <w:sz w:val="22"/>
          <w:szCs w:val="22"/>
        </w:rPr>
        <w:t>pay</w:t>
      </w:r>
      <w:r>
        <w:rPr>
          <w:rFonts w:ascii="Gill Sans MT" w:hAnsi="Gill Sans MT" w:cs="Gill Sans MT"/>
          <w:spacing w:val="-24"/>
          <w:sz w:val="22"/>
          <w:szCs w:val="22"/>
        </w:rPr>
        <w:t xml:space="preserve"> </w:t>
      </w:r>
      <w:r>
        <w:rPr>
          <w:rFonts w:ascii="Gill Sans MT" w:hAnsi="Gill Sans MT" w:cs="Gill Sans MT"/>
          <w:spacing w:val="-3"/>
          <w:sz w:val="22"/>
          <w:szCs w:val="22"/>
        </w:rPr>
        <w:t>providers</w:t>
      </w:r>
      <w:r>
        <w:rPr>
          <w:rFonts w:ascii="Gill Sans MT" w:hAnsi="Gill Sans MT" w:cs="Gill Sans MT"/>
          <w:spacing w:val="-25"/>
          <w:sz w:val="22"/>
          <w:szCs w:val="22"/>
        </w:rPr>
        <w:t xml:space="preserve"> </w:t>
      </w:r>
      <w:r>
        <w:rPr>
          <w:rFonts w:ascii="Gill Sans MT" w:hAnsi="Gill Sans MT" w:cs="Gill Sans MT"/>
          <w:sz w:val="22"/>
          <w:szCs w:val="22"/>
        </w:rPr>
        <w:t>no less</w:t>
      </w:r>
      <w:r>
        <w:rPr>
          <w:rFonts w:ascii="Gill Sans MT" w:hAnsi="Gill Sans MT" w:cs="Gill Sans MT"/>
          <w:spacing w:val="-8"/>
          <w:sz w:val="22"/>
          <w:szCs w:val="22"/>
        </w:rPr>
        <w:t xml:space="preserve"> </w:t>
      </w:r>
      <w:r>
        <w:rPr>
          <w:rFonts w:ascii="Gill Sans MT" w:hAnsi="Gill Sans MT" w:cs="Gill Sans MT"/>
          <w:sz w:val="22"/>
          <w:szCs w:val="22"/>
        </w:rPr>
        <w:t>than</w:t>
      </w:r>
      <w:r>
        <w:rPr>
          <w:rFonts w:ascii="Gill Sans MT" w:hAnsi="Gill Sans MT" w:cs="Gill Sans MT"/>
          <w:spacing w:val="-5"/>
          <w:sz w:val="22"/>
          <w:szCs w:val="22"/>
        </w:rPr>
        <w:t xml:space="preserve"> </w:t>
      </w:r>
      <w:r>
        <w:rPr>
          <w:rFonts w:ascii="Gill Sans MT" w:hAnsi="Gill Sans MT" w:cs="Gill Sans MT"/>
          <w:sz w:val="22"/>
          <w:szCs w:val="22"/>
        </w:rPr>
        <w:t>state</w:t>
      </w:r>
      <w:r>
        <w:rPr>
          <w:rFonts w:ascii="Gill Sans MT" w:hAnsi="Gill Sans MT" w:cs="Gill Sans MT"/>
          <w:spacing w:val="-7"/>
          <w:sz w:val="22"/>
          <w:szCs w:val="22"/>
        </w:rPr>
        <w:t xml:space="preserve"> </w:t>
      </w:r>
      <w:r>
        <w:rPr>
          <w:rFonts w:ascii="Gill Sans MT" w:hAnsi="Gill Sans MT" w:cs="Gill Sans MT"/>
          <w:sz w:val="22"/>
          <w:szCs w:val="22"/>
        </w:rPr>
        <w:t>set</w:t>
      </w:r>
      <w:r>
        <w:rPr>
          <w:rFonts w:ascii="Gill Sans MT" w:hAnsi="Gill Sans MT" w:cs="Gill Sans MT"/>
          <w:spacing w:val="-6"/>
          <w:sz w:val="22"/>
          <w:szCs w:val="22"/>
        </w:rPr>
        <w:t xml:space="preserve"> </w:t>
      </w:r>
      <w:r>
        <w:rPr>
          <w:rFonts w:ascii="Gill Sans MT" w:hAnsi="Gill Sans MT" w:cs="Gill Sans MT"/>
          <w:sz w:val="22"/>
          <w:szCs w:val="22"/>
        </w:rPr>
        <w:t>rates.</w:t>
      </w:r>
      <w:r>
        <w:rPr>
          <w:rFonts w:ascii="Gill Sans MT" w:hAnsi="Gill Sans MT" w:cs="Gill Sans MT"/>
          <w:spacing w:val="44"/>
          <w:sz w:val="22"/>
          <w:szCs w:val="22"/>
        </w:rPr>
        <w:t xml:space="preserve"> </w:t>
      </w:r>
      <w:r>
        <w:rPr>
          <w:rFonts w:ascii="Gill Sans MT" w:hAnsi="Gill Sans MT" w:cs="Gill Sans MT"/>
          <w:sz w:val="22"/>
          <w:szCs w:val="22"/>
        </w:rPr>
        <w:t>ACOs</w:t>
      </w:r>
      <w:r>
        <w:rPr>
          <w:rFonts w:ascii="Gill Sans MT" w:hAnsi="Gill Sans MT" w:cs="Gill Sans MT"/>
          <w:spacing w:val="-6"/>
          <w:sz w:val="22"/>
          <w:szCs w:val="22"/>
        </w:rPr>
        <w:t xml:space="preserve"> </w:t>
      </w:r>
      <w:r>
        <w:rPr>
          <w:rFonts w:ascii="Gill Sans MT" w:hAnsi="Gill Sans MT" w:cs="Gill Sans MT"/>
          <w:sz w:val="22"/>
          <w:szCs w:val="22"/>
        </w:rPr>
        <w:t>may</w:t>
      </w:r>
      <w:r>
        <w:rPr>
          <w:rFonts w:ascii="Gill Sans MT" w:hAnsi="Gill Sans MT" w:cs="Gill Sans MT"/>
          <w:spacing w:val="-9"/>
          <w:sz w:val="22"/>
          <w:szCs w:val="22"/>
        </w:rPr>
        <w:t xml:space="preserve"> </w:t>
      </w:r>
      <w:r>
        <w:rPr>
          <w:rFonts w:ascii="Gill Sans MT" w:hAnsi="Gill Sans MT" w:cs="Gill Sans MT"/>
          <w:sz w:val="22"/>
          <w:szCs w:val="22"/>
        </w:rPr>
        <w:t>pay</w:t>
      </w:r>
      <w:r>
        <w:rPr>
          <w:rFonts w:ascii="Gill Sans MT" w:hAnsi="Gill Sans MT" w:cs="Gill Sans MT"/>
          <w:spacing w:val="-5"/>
          <w:sz w:val="22"/>
          <w:szCs w:val="22"/>
        </w:rPr>
        <w:t xml:space="preserve"> </w:t>
      </w:r>
      <w:r>
        <w:rPr>
          <w:rFonts w:ascii="Gill Sans MT" w:hAnsi="Gill Sans MT" w:cs="Gill Sans MT"/>
          <w:spacing w:val="-3"/>
          <w:sz w:val="22"/>
          <w:szCs w:val="22"/>
        </w:rPr>
        <w:t>rate</w:t>
      </w:r>
      <w:r>
        <w:rPr>
          <w:rFonts w:ascii="Gill Sans MT" w:hAnsi="Gill Sans MT" w:cs="Gill Sans MT"/>
          <w:spacing w:val="-8"/>
          <w:sz w:val="22"/>
          <w:szCs w:val="22"/>
        </w:rPr>
        <w:t xml:space="preserve"> </w:t>
      </w:r>
      <w:r>
        <w:rPr>
          <w:rFonts w:ascii="Gill Sans MT" w:hAnsi="Gill Sans MT" w:cs="Gill Sans MT"/>
          <w:sz w:val="22"/>
          <w:szCs w:val="22"/>
        </w:rPr>
        <w:t>higher</w:t>
      </w:r>
      <w:r>
        <w:rPr>
          <w:rFonts w:ascii="Gill Sans MT" w:hAnsi="Gill Sans MT" w:cs="Gill Sans MT"/>
          <w:spacing w:val="-9"/>
          <w:sz w:val="22"/>
          <w:szCs w:val="22"/>
        </w:rPr>
        <w:t xml:space="preserve"> </w:t>
      </w:r>
      <w:r>
        <w:rPr>
          <w:rFonts w:ascii="Gill Sans MT" w:hAnsi="Gill Sans MT" w:cs="Gill Sans MT"/>
          <w:sz w:val="22"/>
          <w:szCs w:val="22"/>
        </w:rPr>
        <w:t>than</w:t>
      </w:r>
      <w:r>
        <w:rPr>
          <w:rFonts w:ascii="Gill Sans MT" w:hAnsi="Gill Sans MT" w:cs="Gill Sans MT"/>
          <w:spacing w:val="-5"/>
          <w:sz w:val="22"/>
          <w:szCs w:val="22"/>
        </w:rPr>
        <w:t xml:space="preserve"> </w:t>
      </w:r>
      <w:r>
        <w:rPr>
          <w:rFonts w:ascii="Gill Sans MT" w:hAnsi="Gill Sans MT" w:cs="Gill Sans MT"/>
          <w:sz w:val="22"/>
          <w:szCs w:val="22"/>
        </w:rPr>
        <w:t>state</w:t>
      </w:r>
      <w:r>
        <w:rPr>
          <w:rFonts w:ascii="Gill Sans MT" w:hAnsi="Gill Sans MT" w:cs="Gill Sans MT"/>
          <w:spacing w:val="-7"/>
          <w:sz w:val="22"/>
          <w:szCs w:val="22"/>
        </w:rPr>
        <w:t xml:space="preserve"> </w:t>
      </w:r>
      <w:r>
        <w:rPr>
          <w:rFonts w:ascii="Gill Sans MT" w:hAnsi="Gill Sans MT" w:cs="Gill Sans MT"/>
          <w:sz w:val="22"/>
          <w:szCs w:val="22"/>
        </w:rPr>
        <w:t>set</w:t>
      </w:r>
      <w:r>
        <w:rPr>
          <w:rFonts w:ascii="Gill Sans MT" w:hAnsi="Gill Sans MT" w:cs="Gill Sans MT"/>
          <w:spacing w:val="-6"/>
          <w:sz w:val="22"/>
          <w:szCs w:val="22"/>
        </w:rPr>
        <w:t xml:space="preserve"> </w:t>
      </w:r>
      <w:r>
        <w:rPr>
          <w:rFonts w:ascii="Gill Sans MT" w:hAnsi="Gill Sans MT" w:cs="Gill Sans MT"/>
          <w:sz w:val="22"/>
          <w:szCs w:val="22"/>
        </w:rPr>
        <w:t>rates</w:t>
      </w:r>
      <w:r>
        <w:rPr>
          <w:rFonts w:ascii="Gill Sans MT" w:hAnsi="Gill Sans MT" w:cs="Gill Sans MT"/>
          <w:spacing w:val="-8"/>
          <w:sz w:val="22"/>
          <w:szCs w:val="22"/>
        </w:rPr>
        <w:t xml:space="preserve"> </w:t>
      </w:r>
      <w:r>
        <w:rPr>
          <w:rFonts w:ascii="Gill Sans MT" w:hAnsi="Gill Sans MT" w:cs="Gill Sans MT"/>
          <w:sz w:val="22"/>
          <w:szCs w:val="22"/>
        </w:rPr>
        <w:t>as</w:t>
      </w:r>
      <w:r>
        <w:rPr>
          <w:rFonts w:ascii="Gill Sans MT" w:hAnsi="Gill Sans MT" w:cs="Gill Sans MT"/>
          <w:spacing w:val="-8"/>
          <w:sz w:val="22"/>
          <w:szCs w:val="22"/>
        </w:rPr>
        <w:t xml:space="preserve"> </w:t>
      </w:r>
      <w:r>
        <w:rPr>
          <w:rFonts w:ascii="Gill Sans MT" w:hAnsi="Gill Sans MT" w:cs="Gill Sans MT"/>
          <w:sz w:val="22"/>
          <w:szCs w:val="22"/>
        </w:rPr>
        <w:t>an</w:t>
      </w:r>
      <w:r>
        <w:rPr>
          <w:rFonts w:ascii="Gill Sans MT" w:hAnsi="Gill Sans MT" w:cs="Gill Sans MT"/>
          <w:spacing w:val="-5"/>
          <w:sz w:val="22"/>
          <w:szCs w:val="22"/>
        </w:rPr>
        <w:t xml:space="preserve"> </w:t>
      </w:r>
      <w:r>
        <w:rPr>
          <w:rFonts w:ascii="Gill Sans MT" w:hAnsi="Gill Sans MT" w:cs="Gill Sans MT"/>
          <w:spacing w:val="-3"/>
          <w:sz w:val="22"/>
          <w:szCs w:val="22"/>
        </w:rPr>
        <w:t>incentive</w:t>
      </w:r>
      <w:r>
        <w:rPr>
          <w:rFonts w:ascii="Gill Sans MT" w:hAnsi="Gill Sans MT" w:cs="Gill Sans MT"/>
          <w:spacing w:val="-7"/>
          <w:sz w:val="22"/>
          <w:szCs w:val="22"/>
        </w:rPr>
        <w:t xml:space="preserve"> </w:t>
      </w:r>
      <w:r>
        <w:rPr>
          <w:rFonts w:ascii="Gill Sans MT" w:hAnsi="Gill Sans MT" w:cs="Gill Sans MT"/>
          <w:sz w:val="22"/>
          <w:szCs w:val="22"/>
        </w:rPr>
        <w:t>for</w:t>
      </w:r>
      <w:r>
        <w:rPr>
          <w:rFonts w:ascii="Gill Sans MT" w:hAnsi="Gill Sans MT" w:cs="Gill Sans MT"/>
          <w:spacing w:val="-9"/>
          <w:sz w:val="22"/>
          <w:szCs w:val="22"/>
        </w:rPr>
        <w:t xml:space="preserve"> </w:t>
      </w:r>
      <w:r>
        <w:rPr>
          <w:rFonts w:ascii="Gill Sans MT" w:hAnsi="Gill Sans MT" w:cs="Gill Sans MT"/>
          <w:spacing w:val="-3"/>
          <w:sz w:val="22"/>
          <w:szCs w:val="22"/>
        </w:rPr>
        <w:t xml:space="preserve">service </w:t>
      </w:r>
      <w:r>
        <w:rPr>
          <w:rFonts w:ascii="Gill Sans MT" w:hAnsi="Gill Sans MT" w:cs="Gill Sans MT"/>
          <w:sz w:val="22"/>
          <w:szCs w:val="22"/>
        </w:rPr>
        <w:t>and</w:t>
      </w:r>
      <w:r>
        <w:rPr>
          <w:rFonts w:ascii="Gill Sans MT" w:hAnsi="Gill Sans MT" w:cs="Gill Sans MT"/>
          <w:spacing w:val="-43"/>
          <w:sz w:val="22"/>
          <w:szCs w:val="22"/>
        </w:rPr>
        <w:t xml:space="preserve"> </w:t>
      </w:r>
      <w:r>
        <w:rPr>
          <w:rFonts w:ascii="Gill Sans MT" w:hAnsi="Gill Sans MT" w:cs="Gill Sans MT"/>
          <w:sz w:val="22"/>
          <w:szCs w:val="22"/>
        </w:rPr>
        <w:t>ACO</w:t>
      </w:r>
      <w:r w:rsidR="00607624">
        <w:rPr>
          <w:rFonts w:ascii="Gill Sans MT" w:hAnsi="Gill Sans MT" w:cs="Gill Sans MT"/>
          <w:sz w:val="22"/>
          <w:szCs w:val="22"/>
        </w:rPr>
        <w:t xml:space="preserve"> </w:t>
      </w:r>
      <w:r>
        <w:rPr>
          <w:rFonts w:ascii="Gill Sans MT" w:hAnsi="Gill Sans MT" w:cs="Gill Sans MT"/>
          <w:sz w:val="22"/>
          <w:szCs w:val="22"/>
        </w:rPr>
        <w:t>goal</w:t>
      </w:r>
      <w:r w:rsidR="00607624">
        <w:rPr>
          <w:rFonts w:ascii="Gill Sans MT" w:hAnsi="Gill Sans MT" w:cs="Gill Sans MT"/>
          <w:sz w:val="22"/>
          <w:szCs w:val="22"/>
        </w:rPr>
        <w:t xml:space="preserve"> </w:t>
      </w:r>
      <w:r>
        <w:rPr>
          <w:rFonts w:ascii="Gill Sans MT" w:hAnsi="Gill Sans MT" w:cs="Gill Sans MT"/>
          <w:sz w:val="22"/>
          <w:szCs w:val="22"/>
        </w:rPr>
        <w:t>implementation.</w:t>
      </w:r>
    </w:p>
    <w:p w:rsidR="002C5025" w:rsidRDefault="002C5025">
      <w:pPr>
        <w:pStyle w:val="ListParagraph"/>
        <w:numPr>
          <w:ilvl w:val="0"/>
          <w:numId w:val="84"/>
        </w:numPr>
        <w:tabs>
          <w:tab w:val="left" w:pos="481"/>
        </w:tabs>
        <w:kinsoku w:val="0"/>
        <w:overflowPunct w:val="0"/>
        <w:spacing w:line="261" w:lineRule="auto"/>
        <w:ind w:right="112" w:hanging="360"/>
        <w:jc w:val="both"/>
        <w:rPr>
          <w:rFonts w:ascii="Gill Sans MT" w:hAnsi="Gill Sans MT" w:cs="Gill Sans MT"/>
          <w:spacing w:val="-3"/>
          <w:sz w:val="22"/>
          <w:szCs w:val="22"/>
        </w:rPr>
      </w:pPr>
      <w:r>
        <w:rPr>
          <w:rFonts w:ascii="Gill Sans MT" w:hAnsi="Gill Sans MT" w:cs="Gill Sans MT"/>
          <w:sz w:val="22"/>
          <w:szCs w:val="22"/>
        </w:rPr>
        <w:t>Mass</w:t>
      </w:r>
      <w:r>
        <w:rPr>
          <w:rFonts w:ascii="Gill Sans MT" w:hAnsi="Gill Sans MT" w:cs="Gill Sans MT"/>
          <w:spacing w:val="-16"/>
          <w:sz w:val="22"/>
          <w:szCs w:val="22"/>
        </w:rPr>
        <w:t xml:space="preserve"> </w:t>
      </w:r>
      <w:r>
        <w:rPr>
          <w:rFonts w:ascii="Gill Sans MT" w:hAnsi="Gill Sans MT" w:cs="Gill Sans MT"/>
          <w:spacing w:val="-3"/>
          <w:sz w:val="22"/>
          <w:szCs w:val="22"/>
        </w:rPr>
        <w:t>Health</w:t>
      </w:r>
      <w:r>
        <w:rPr>
          <w:rFonts w:ascii="Gill Sans MT" w:hAnsi="Gill Sans MT" w:cs="Gill Sans MT"/>
          <w:spacing w:val="-17"/>
          <w:sz w:val="22"/>
          <w:szCs w:val="22"/>
        </w:rPr>
        <w:t xml:space="preserve"> </w:t>
      </w:r>
      <w:r>
        <w:rPr>
          <w:rFonts w:ascii="Gill Sans MT" w:hAnsi="Gill Sans MT" w:cs="Gill Sans MT"/>
          <w:spacing w:val="-3"/>
          <w:sz w:val="22"/>
          <w:szCs w:val="22"/>
        </w:rPr>
        <w:t>members</w:t>
      </w:r>
      <w:r>
        <w:rPr>
          <w:rFonts w:ascii="Gill Sans MT" w:hAnsi="Gill Sans MT" w:cs="Gill Sans MT"/>
          <w:spacing w:val="-18"/>
          <w:sz w:val="22"/>
          <w:szCs w:val="22"/>
        </w:rPr>
        <w:t xml:space="preserve"> </w:t>
      </w:r>
      <w:r>
        <w:rPr>
          <w:rFonts w:ascii="Gill Sans MT" w:hAnsi="Gill Sans MT" w:cs="Gill Sans MT"/>
          <w:spacing w:val="-3"/>
          <w:sz w:val="22"/>
          <w:szCs w:val="22"/>
        </w:rPr>
        <w:t>must</w:t>
      </w:r>
      <w:r>
        <w:rPr>
          <w:rFonts w:ascii="Gill Sans MT" w:hAnsi="Gill Sans MT" w:cs="Gill Sans MT"/>
          <w:spacing w:val="-19"/>
          <w:sz w:val="22"/>
          <w:szCs w:val="22"/>
        </w:rPr>
        <w:t xml:space="preserve"> </w:t>
      </w:r>
      <w:r>
        <w:rPr>
          <w:rFonts w:ascii="Gill Sans MT" w:hAnsi="Gill Sans MT" w:cs="Gill Sans MT"/>
          <w:sz w:val="22"/>
          <w:szCs w:val="22"/>
        </w:rPr>
        <w:t>be</w:t>
      </w:r>
      <w:r>
        <w:rPr>
          <w:rFonts w:ascii="Gill Sans MT" w:hAnsi="Gill Sans MT" w:cs="Gill Sans MT"/>
          <w:spacing w:val="-18"/>
          <w:sz w:val="22"/>
          <w:szCs w:val="22"/>
        </w:rPr>
        <w:t xml:space="preserve"> </w:t>
      </w:r>
      <w:r>
        <w:rPr>
          <w:rFonts w:ascii="Gill Sans MT" w:hAnsi="Gill Sans MT" w:cs="Gill Sans MT"/>
          <w:sz w:val="22"/>
          <w:szCs w:val="22"/>
        </w:rPr>
        <w:t>provided</w:t>
      </w:r>
      <w:r>
        <w:rPr>
          <w:rFonts w:ascii="Gill Sans MT" w:hAnsi="Gill Sans MT" w:cs="Gill Sans MT"/>
          <w:spacing w:val="-17"/>
          <w:sz w:val="22"/>
          <w:szCs w:val="22"/>
        </w:rPr>
        <w:t xml:space="preserve"> </w:t>
      </w:r>
      <w:r>
        <w:rPr>
          <w:rFonts w:ascii="Gill Sans MT" w:hAnsi="Gill Sans MT" w:cs="Gill Sans MT"/>
          <w:sz w:val="22"/>
          <w:szCs w:val="22"/>
        </w:rPr>
        <w:t>with</w:t>
      </w:r>
      <w:r>
        <w:rPr>
          <w:rFonts w:ascii="Gill Sans MT" w:hAnsi="Gill Sans MT" w:cs="Gill Sans MT"/>
          <w:spacing w:val="-17"/>
          <w:sz w:val="22"/>
          <w:szCs w:val="22"/>
        </w:rPr>
        <w:t xml:space="preserve"> </w:t>
      </w:r>
      <w:r>
        <w:rPr>
          <w:rFonts w:ascii="Gill Sans MT" w:hAnsi="Gill Sans MT" w:cs="Gill Sans MT"/>
          <w:spacing w:val="-3"/>
          <w:sz w:val="22"/>
          <w:szCs w:val="22"/>
        </w:rPr>
        <w:t>the</w:t>
      </w:r>
      <w:r>
        <w:rPr>
          <w:rFonts w:ascii="Gill Sans MT" w:hAnsi="Gill Sans MT" w:cs="Gill Sans MT"/>
          <w:spacing w:val="-15"/>
          <w:sz w:val="22"/>
          <w:szCs w:val="22"/>
        </w:rPr>
        <w:t xml:space="preserve"> </w:t>
      </w:r>
      <w:r>
        <w:rPr>
          <w:rFonts w:ascii="Gill Sans MT" w:hAnsi="Gill Sans MT" w:cs="Gill Sans MT"/>
          <w:spacing w:val="-3"/>
          <w:sz w:val="22"/>
          <w:szCs w:val="22"/>
        </w:rPr>
        <w:t>opportunity</w:t>
      </w:r>
      <w:r>
        <w:rPr>
          <w:rFonts w:ascii="Gill Sans MT" w:hAnsi="Gill Sans MT" w:cs="Gill Sans MT"/>
          <w:spacing w:val="-18"/>
          <w:sz w:val="22"/>
          <w:szCs w:val="22"/>
        </w:rPr>
        <w:t xml:space="preserve"> </w:t>
      </w:r>
      <w:r>
        <w:rPr>
          <w:rFonts w:ascii="Gill Sans MT" w:hAnsi="Gill Sans MT" w:cs="Gill Sans MT"/>
          <w:sz w:val="22"/>
          <w:szCs w:val="22"/>
        </w:rPr>
        <w:t>to</w:t>
      </w:r>
      <w:r>
        <w:rPr>
          <w:rFonts w:ascii="Gill Sans MT" w:hAnsi="Gill Sans MT" w:cs="Gill Sans MT"/>
          <w:spacing w:val="-19"/>
          <w:sz w:val="22"/>
          <w:szCs w:val="22"/>
        </w:rPr>
        <w:t xml:space="preserve"> </w:t>
      </w:r>
      <w:r>
        <w:rPr>
          <w:rFonts w:ascii="Gill Sans MT" w:hAnsi="Gill Sans MT" w:cs="Gill Sans MT"/>
          <w:spacing w:val="-2"/>
          <w:sz w:val="22"/>
          <w:szCs w:val="22"/>
        </w:rPr>
        <w:t>choose</w:t>
      </w:r>
      <w:r>
        <w:rPr>
          <w:rFonts w:ascii="Gill Sans MT" w:hAnsi="Gill Sans MT" w:cs="Gill Sans MT"/>
          <w:spacing w:val="-15"/>
          <w:sz w:val="22"/>
          <w:szCs w:val="22"/>
        </w:rPr>
        <w:t xml:space="preserve"> </w:t>
      </w:r>
      <w:r>
        <w:rPr>
          <w:rFonts w:ascii="Gill Sans MT" w:hAnsi="Gill Sans MT" w:cs="Gill Sans MT"/>
          <w:spacing w:val="-3"/>
          <w:sz w:val="22"/>
          <w:szCs w:val="22"/>
        </w:rPr>
        <w:t>their</w:t>
      </w:r>
      <w:r>
        <w:rPr>
          <w:rFonts w:ascii="Gill Sans MT" w:hAnsi="Gill Sans MT" w:cs="Gill Sans MT"/>
          <w:spacing w:val="-18"/>
          <w:sz w:val="22"/>
          <w:szCs w:val="22"/>
        </w:rPr>
        <w:t xml:space="preserve"> </w:t>
      </w:r>
      <w:r>
        <w:rPr>
          <w:rFonts w:ascii="Gill Sans MT" w:hAnsi="Gill Sans MT" w:cs="Gill Sans MT"/>
          <w:spacing w:val="-3"/>
          <w:sz w:val="22"/>
          <w:szCs w:val="22"/>
        </w:rPr>
        <w:t>ACO,</w:t>
      </w:r>
      <w:r>
        <w:rPr>
          <w:rFonts w:ascii="Gill Sans MT" w:hAnsi="Gill Sans MT" w:cs="Gill Sans MT"/>
          <w:spacing w:val="-18"/>
          <w:sz w:val="22"/>
          <w:szCs w:val="22"/>
        </w:rPr>
        <w:t xml:space="preserve"> </w:t>
      </w:r>
      <w:r>
        <w:rPr>
          <w:rFonts w:ascii="Gill Sans MT" w:hAnsi="Gill Sans MT" w:cs="Gill Sans MT"/>
          <w:sz w:val="22"/>
          <w:szCs w:val="22"/>
        </w:rPr>
        <w:t>and</w:t>
      </w:r>
      <w:r>
        <w:rPr>
          <w:rFonts w:ascii="Gill Sans MT" w:hAnsi="Gill Sans MT" w:cs="Gill Sans MT"/>
          <w:spacing w:val="-15"/>
          <w:sz w:val="22"/>
          <w:szCs w:val="22"/>
        </w:rPr>
        <w:t xml:space="preserve"> </w:t>
      </w:r>
      <w:r>
        <w:rPr>
          <w:rFonts w:ascii="Gill Sans MT" w:hAnsi="Gill Sans MT" w:cs="Gill Sans MT"/>
          <w:sz w:val="22"/>
          <w:szCs w:val="22"/>
        </w:rPr>
        <w:t>the</w:t>
      </w:r>
      <w:r>
        <w:rPr>
          <w:rFonts w:ascii="Gill Sans MT" w:hAnsi="Gill Sans MT" w:cs="Gill Sans MT"/>
          <w:spacing w:val="-15"/>
          <w:sz w:val="22"/>
          <w:szCs w:val="22"/>
        </w:rPr>
        <w:t xml:space="preserve"> </w:t>
      </w:r>
      <w:r>
        <w:rPr>
          <w:rFonts w:ascii="Gill Sans MT" w:hAnsi="Gill Sans MT" w:cs="Gill Sans MT"/>
          <w:sz w:val="22"/>
          <w:szCs w:val="22"/>
        </w:rPr>
        <w:t>right</w:t>
      </w:r>
      <w:r>
        <w:rPr>
          <w:rFonts w:ascii="Gill Sans MT" w:hAnsi="Gill Sans MT" w:cs="Gill Sans MT"/>
          <w:spacing w:val="-21"/>
          <w:sz w:val="22"/>
          <w:szCs w:val="22"/>
        </w:rPr>
        <w:t xml:space="preserve"> </w:t>
      </w:r>
      <w:r>
        <w:rPr>
          <w:rFonts w:ascii="Gill Sans MT" w:hAnsi="Gill Sans MT" w:cs="Gill Sans MT"/>
          <w:spacing w:val="-4"/>
          <w:sz w:val="22"/>
          <w:szCs w:val="22"/>
        </w:rPr>
        <w:t xml:space="preserve">to </w:t>
      </w:r>
      <w:r>
        <w:rPr>
          <w:rFonts w:ascii="Gill Sans MT" w:hAnsi="Gill Sans MT" w:cs="Gill Sans MT"/>
          <w:sz w:val="22"/>
          <w:szCs w:val="22"/>
        </w:rPr>
        <w:t>change</w:t>
      </w:r>
      <w:r>
        <w:rPr>
          <w:rFonts w:ascii="Gill Sans MT" w:hAnsi="Gill Sans MT" w:cs="Gill Sans MT"/>
          <w:spacing w:val="-23"/>
          <w:sz w:val="22"/>
          <w:szCs w:val="22"/>
        </w:rPr>
        <w:t xml:space="preserve"> </w:t>
      </w:r>
      <w:r>
        <w:rPr>
          <w:rFonts w:ascii="Gill Sans MT" w:hAnsi="Gill Sans MT" w:cs="Gill Sans MT"/>
          <w:spacing w:val="-3"/>
          <w:sz w:val="22"/>
          <w:szCs w:val="22"/>
        </w:rPr>
        <w:t>their</w:t>
      </w:r>
      <w:r>
        <w:rPr>
          <w:rFonts w:ascii="Gill Sans MT" w:hAnsi="Gill Sans MT" w:cs="Gill Sans MT"/>
          <w:spacing w:val="-24"/>
          <w:sz w:val="22"/>
          <w:szCs w:val="22"/>
        </w:rPr>
        <w:t xml:space="preserve"> </w:t>
      </w:r>
      <w:r>
        <w:rPr>
          <w:rFonts w:ascii="Gill Sans MT" w:hAnsi="Gill Sans MT" w:cs="Gill Sans MT"/>
          <w:spacing w:val="-3"/>
          <w:sz w:val="22"/>
          <w:szCs w:val="22"/>
        </w:rPr>
        <w:t>ACO</w:t>
      </w:r>
      <w:r>
        <w:rPr>
          <w:rFonts w:ascii="Gill Sans MT" w:hAnsi="Gill Sans MT" w:cs="Gill Sans MT"/>
          <w:spacing w:val="-24"/>
          <w:sz w:val="22"/>
          <w:szCs w:val="22"/>
        </w:rPr>
        <w:t xml:space="preserve"> </w:t>
      </w:r>
      <w:r>
        <w:rPr>
          <w:rFonts w:ascii="Gill Sans MT" w:hAnsi="Gill Sans MT" w:cs="Gill Sans MT"/>
          <w:spacing w:val="-2"/>
          <w:sz w:val="22"/>
          <w:szCs w:val="22"/>
        </w:rPr>
        <w:t>within</w:t>
      </w:r>
      <w:r>
        <w:rPr>
          <w:rFonts w:ascii="Gill Sans MT" w:hAnsi="Gill Sans MT" w:cs="Gill Sans MT"/>
          <w:spacing w:val="-21"/>
          <w:sz w:val="22"/>
          <w:szCs w:val="22"/>
        </w:rPr>
        <w:t xml:space="preserve"> </w:t>
      </w:r>
      <w:r>
        <w:rPr>
          <w:rFonts w:ascii="Gill Sans MT" w:hAnsi="Gill Sans MT" w:cs="Gill Sans MT"/>
          <w:sz w:val="22"/>
          <w:szCs w:val="22"/>
        </w:rPr>
        <w:t>an</w:t>
      </w:r>
      <w:r>
        <w:rPr>
          <w:rFonts w:ascii="Gill Sans MT" w:hAnsi="Gill Sans MT" w:cs="Gill Sans MT"/>
          <w:spacing w:val="-25"/>
          <w:sz w:val="22"/>
          <w:szCs w:val="22"/>
        </w:rPr>
        <w:t xml:space="preserve"> </w:t>
      </w:r>
      <w:r>
        <w:rPr>
          <w:rFonts w:ascii="Gill Sans MT" w:hAnsi="Gill Sans MT" w:cs="Gill Sans MT"/>
          <w:sz w:val="22"/>
          <w:szCs w:val="22"/>
        </w:rPr>
        <w:t>administratively</w:t>
      </w:r>
      <w:r>
        <w:rPr>
          <w:rFonts w:ascii="Gill Sans MT" w:hAnsi="Gill Sans MT" w:cs="Gill Sans MT"/>
          <w:spacing w:val="-23"/>
          <w:sz w:val="22"/>
          <w:szCs w:val="22"/>
        </w:rPr>
        <w:t xml:space="preserve"> </w:t>
      </w:r>
      <w:r>
        <w:rPr>
          <w:rFonts w:ascii="Gill Sans MT" w:hAnsi="Gill Sans MT" w:cs="Gill Sans MT"/>
          <w:sz w:val="22"/>
          <w:szCs w:val="22"/>
        </w:rPr>
        <w:t>reasonable</w:t>
      </w:r>
      <w:r>
        <w:rPr>
          <w:rFonts w:ascii="Gill Sans MT" w:hAnsi="Gill Sans MT" w:cs="Gill Sans MT"/>
          <w:spacing w:val="-23"/>
          <w:sz w:val="22"/>
          <w:szCs w:val="22"/>
        </w:rPr>
        <w:t xml:space="preserve"> </w:t>
      </w:r>
      <w:r>
        <w:rPr>
          <w:rFonts w:ascii="Gill Sans MT" w:hAnsi="Gill Sans MT" w:cs="Gill Sans MT"/>
          <w:sz w:val="22"/>
          <w:szCs w:val="22"/>
        </w:rPr>
        <w:t>period</w:t>
      </w:r>
      <w:r>
        <w:rPr>
          <w:rFonts w:ascii="Gill Sans MT" w:hAnsi="Gill Sans MT" w:cs="Gill Sans MT"/>
          <w:spacing w:val="-25"/>
          <w:sz w:val="22"/>
          <w:szCs w:val="22"/>
        </w:rPr>
        <w:t xml:space="preserve"> </w:t>
      </w:r>
      <w:r>
        <w:rPr>
          <w:rFonts w:ascii="Gill Sans MT" w:hAnsi="Gill Sans MT" w:cs="Gill Sans MT"/>
          <w:sz w:val="22"/>
          <w:szCs w:val="22"/>
        </w:rPr>
        <w:t>of</w:t>
      </w:r>
      <w:r>
        <w:rPr>
          <w:rFonts w:ascii="Gill Sans MT" w:hAnsi="Gill Sans MT" w:cs="Gill Sans MT"/>
          <w:spacing w:val="-23"/>
          <w:sz w:val="22"/>
          <w:szCs w:val="22"/>
        </w:rPr>
        <w:t xml:space="preserve"> </w:t>
      </w:r>
      <w:r>
        <w:rPr>
          <w:rFonts w:ascii="Gill Sans MT" w:hAnsi="Gill Sans MT" w:cs="Gill Sans MT"/>
          <w:sz w:val="22"/>
          <w:szCs w:val="22"/>
        </w:rPr>
        <w:t>time.</w:t>
      </w:r>
      <w:r>
        <w:rPr>
          <w:rFonts w:ascii="Gill Sans MT" w:hAnsi="Gill Sans MT" w:cs="Gill Sans MT"/>
          <w:spacing w:val="13"/>
          <w:sz w:val="22"/>
          <w:szCs w:val="22"/>
        </w:rPr>
        <w:t xml:space="preserve"> </w:t>
      </w:r>
      <w:r>
        <w:rPr>
          <w:rFonts w:ascii="Gill Sans MT" w:hAnsi="Gill Sans MT" w:cs="Gill Sans MT"/>
          <w:sz w:val="22"/>
          <w:szCs w:val="22"/>
        </w:rPr>
        <w:t>We</w:t>
      </w:r>
      <w:r>
        <w:rPr>
          <w:rFonts w:ascii="Gill Sans MT" w:hAnsi="Gill Sans MT" w:cs="Gill Sans MT"/>
          <w:spacing w:val="-23"/>
          <w:sz w:val="22"/>
          <w:szCs w:val="22"/>
        </w:rPr>
        <w:t xml:space="preserve"> </w:t>
      </w:r>
      <w:r>
        <w:rPr>
          <w:rFonts w:ascii="Gill Sans MT" w:hAnsi="Gill Sans MT" w:cs="Gill Sans MT"/>
          <w:sz w:val="22"/>
          <w:szCs w:val="22"/>
        </w:rPr>
        <w:t>do</w:t>
      </w:r>
      <w:r>
        <w:rPr>
          <w:rFonts w:ascii="Gill Sans MT" w:hAnsi="Gill Sans MT" w:cs="Gill Sans MT"/>
          <w:spacing w:val="-22"/>
          <w:sz w:val="22"/>
          <w:szCs w:val="22"/>
        </w:rPr>
        <w:t xml:space="preserve"> </w:t>
      </w:r>
      <w:r>
        <w:rPr>
          <w:rFonts w:ascii="Gill Sans MT" w:hAnsi="Gill Sans MT" w:cs="Gill Sans MT"/>
          <w:sz w:val="22"/>
          <w:szCs w:val="22"/>
        </w:rPr>
        <w:t>have</w:t>
      </w:r>
      <w:r>
        <w:rPr>
          <w:rFonts w:ascii="Gill Sans MT" w:hAnsi="Gill Sans MT" w:cs="Gill Sans MT"/>
          <w:spacing w:val="-23"/>
          <w:sz w:val="22"/>
          <w:szCs w:val="22"/>
        </w:rPr>
        <w:t xml:space="preserve"> </w:t>
      </w:r>
      <w:r>
        <w:rPr>
          <w:rFonts w:ascii="Gill Sans MT" w:hAnsi="Gill Sans MT" w:cs="Gill Sans MT"/>
          <w:spacing w:val="-3"/>
          <w:sz w:val="22"/>
          <w:szCs w:val="22"/>
        </w:rPr>
        <w:t>concerns</w:t>
      </w:r>
      <w:r>
        <w:rPr>
          <w:rFonts w:ascii="Gill Sans MT" w:hAnsi="Gill Sans MT" w:cs="Gill Sans MT"/>
          <w:spacing w:val="-21"/>
          <w:sz w:val="22"/>
          <w:szCs w:val="22"/>
        </w:rPr>
        <w:t xml:space="preserve"> </w:t>
      </w:r>
      <w:r>
        <w:rPr>
          <w:rFonts w:ascii="Gill Sans MT" w:hAnsi="Gill Sans MT" w:cs="Gill Sans MT"/>
          <w:spacing w:val="-4"/>
          <w:sz w:val="22"/>
          <w:szCs w:val="22"/>
        </w:rPr>
        <w:t xml:space="preserve">about </w:t>
      </w:r>
      <w:r>
        <w:rPr>
          <w:rFonts w:ascii="Gill Sans MT" w:hAnsi="Gill Sans MT" w:cs="Gill Sans MT"/>
          <w:sz w:val="22"/>
          <w:szCs w:val="22"/>
        </w:rPr>
        <w:t>a</w:t>
      </w:r>
      <w:r>
        <w:rPr>
          <w:rFonts w:ascii="Gill Sans MT" w:hAnsi="Gill Sans MT" w:cs="Gill Sans MT"/>
          <w:spacing w:val="-16"/>
          <w:sz w:val="22"/>
          <w:szCs w:val="22"/>
        </w:rPr>
        <w:t xml:space="preserve"> </w:t>
      </w:r>
      <w:r>
        <w:rPr>
          <w:rFonts w:ascii="Gill Sans MT" w:hAnsi="Gill Sans MT" w:cs="Gill Sans MT"/>
          <w:sz w:val="22"/>
          <w:szCs w:val="22"/>
        </w:rPr>
        <w:t>12</w:t>
      </w:r>
      <w:r>
        <w:rPr>
          <w:rFonts w:ascii="Gill Sans MT" w:hAnsi="Gill Sans MT" w:cs="Gill Sans MT"/>
          <w:spacing w:val="-16"/>
          <w:sz w:val="22"/>
          <w:szCs w:val="22"/>
        </w:rPr>
        <w:t xml:space="preserve"> </w:t>
      </w:r>
      <w:r>
        <w:rPr>
          <w:rFonts w:ascii="Gill Sans MT" w:hAnsi="Gill Sans MT" w:cs="Gill Sans MT"/>
          <w:sz w:val="22"/>
          <w:szCs w:val="22"/>
        </w:rPr>
        <w:t>month</w:t>
      </w:r>
      <w:r>
        <w:rPr>
          <w:rFonts w:ascii="Gill Sans MT" w:hAnsi="Gill Sans MT" w:cs="Gill Sans MT"/>
          <w:spacing w:val="-18"/>
          <w:sz w:val="22"/>
          <w:szCs w:val="22"/>
        </w:rPr>
        <w:t xml:space="preserve"> </w:t>
      </w:r>
      <w:r>
        <w:rPr>
          <w:rFonts w:ascii="Gill Sans MT" w:hAnsi="Gill Sans MT" w:cs="Gill Sans MT"/>
          <w:sz w:val="22"/>
          <w:szCs w:val="22"/>
        </w:rPr>
        <w:t>lock</w:t>
      </w:r>
      <w:r>
        <w:rPr>
          <w:rFonts w:ascii="Gill Sans MT" w:hAnsi="Gill Sans MT" w:cs="Gill Sans MT"/>
          <w:spacing w:val="-16"/>
          <w:sz w:val="22"/>
          <w:szCs w:val="22"/>
        </w:rPr>
        <w:t xml:space="preserve"> </w:t>
      </w:r>
      <w:r>
        <w:rPr>
          <w:rFonts w:ascii="Gill Sans MT" w:hAnsi="Gill Sans MT" w:cs="Gill Sans MT"/>
          <w:sz w:val="22"/>
          <w:szCs w:val="22"/>
        </w:rPr>
        <w:t>in</w:t>
      </w:r>
      <w:r>
        <w:rPr>
          <w:rFonts w:ascii="Gill Sans MT" w:hAnsi="Gill Sans MT" w:cs="Gill Sans MT"/>
          <w:spacing w:val="-14"/>
          <w:sz w:val="22"/>
          <w:szCs w:val="22"/>
        </w:rPr>
        <w:t xml:space="preserve"> </w:t>
      </w:r>
      <w:r>
        <w:rPr>
          <w:rFonts w:ascii="Gill Sans MT" w:hAnsi="Gill Sans MT" w:cs="Gill Sans MT"/>
          <w:sz w:val="22"/>
          <w:szCs w:val="22"/>
        </w:rPr>
        <w:t>with</w:t>
      </w:r>
      <w:r>
        <w:rPr>
          <w:rFonts w:ascii="Gill Sans MT" w:hAnsi="Gill Sans MT" w:cs="Gill Sans MT"/>
          <w:spacing w:val="-16"/>
          <w:sz w:val="22"/>
          <w:szCs w:val="22"/>
        </w:rPr>
        <w:t xml:space="preserve"> </w:t>
      </w:r>
      <w:r>
        <w:rPr>
          <w:rFonts w:ascii="Gill Sans MT" w:hAnsi="Gill Sans MT" w:cs="Gill Sans MT"/>
          <w:sz w:val="22"/>
          <w:szCs w:val="22"/>
        </w:rPr>
        <w:t>no</w:t>
      </w:r>
      <w:r>
        <w:rPr>
          <w:rFonts w:ascii="Gill Sans MT" w:hAnsi="Gill Sans MT" w:cs="Gill Sans MT"/>
          <w:spacing w:val="-17"/>
          <w:sz w:val="22"/>
          <w:szCs w:val="22"/>
        </w:rPr>
        <w:t xml:space="preserve"> </w:t>
      </w:r>
      <w:r>
        <w:rPr>
          <w:rFonts w:ascii="Gill Sans MT" w:hAnsi="Gill Sans MT" w:cs="Gill Sans MT"/>
          <w:sz w:val="22"/>
          <w:szCs w:val="22"/>
        </w:rPr>
        <w:t>or</w:t>
      </w:r>
      <w:r>
        <w:rPr>
          <w:rFonts w:ascii="Gill Sans MT" w:hAnsi="Gill Sans MT" w:cs="Gill Sans MT"/>
          <w:spacing w:val="-17"/>
          <w:sz w:val="22"/>
          <w:szCs w:val="22"/>
        </w:rPr>
        <w:t xml:space="preserve"> </w:t>
      </w:r>
      <w:r>
        <w:rPr>
          <w:rFonts w:ascii="Gill Sans MT" w:hAnsi="Gill Sans MT" w:cs="Gill Sans MT"/>
          <w:sz w:val="22"/>
          <w:szCs w:val="22"/>
        </w:rPr>
        <w:t>limited</w:t>
      </w:r>
      <w:r>
        <w:rPr>
          <w:rFonts w:ascii="Gill Sans MT" w:hAnsi="Gill Sans MT" w:cs="Gill Sans MT"/>
          <w:spacing w:val="-18"/>
          <w:sz w:val="22"/>
          <w:szCs w:val="22"/>
        </w:rPr>
        <w:t xml:space="preserve"> </w:t>
      </w:r>
      <w:r>
        <w:rPr>
          <w:rFonts w:ascii="Gill Sans MT" w:hAnsi="Gill Sans MT" w:cs="Gill Sans MT"/>
          <w:spacing w:val="-3"/>
          <w:sz w:val="22"/>
          <w:szCs w:val="22"/>
        </w:rPr>
        <w:t>opportunity</w:t>
      </w:r>
      <w:r>
        <w:rPr>
          <w:rFonts w:ascii="Gill Sans MT" w:hAnsi="Gill Sans MT" w:cs="Gill Sans MT"/>
          <w:spacing w:val="-19"/>
          <w:sz w:val="22"/>
          <w:szCs w:val="22"/>
        </w:rPr>
        <w:t xml:space="preserve"> </w:t>
      </w:r>
      <w:r>
        <w:rPr>
          <w:rFonts w:ascii="Gill Sans MT" w:hAnsi="Gill Sans MT" w:cs="Gill Sans MT"/>
          <w:sz w:val="22"/>
          <w:szCs w:val="22"/>
        </w:rPr>
        <w:t>to</w:t>
      </w:r>
      <w:r>
        <w:rPr>
          <w:rFonts w:ascii="Gill Sans MT" w:hAnsi="Gill Sans MT" w:cs="Gill Sans MT"/>
          <w:spacing w:val="-17"/>
          <w:sz w:val="22"/>
          <w:szCs w:val="22"/>
        </w:rPr>
        <w:t xml:space="preserve"> </w:t>
      </w:r>
      <w:r>
        <w:rPr>
          <w:rFonts w:ascii="Gill Sans MT" w:hAnsi="Gill Sans MT" w:cs="Gill Sans MT"/>
          <w:sz w:val="22"/>
          <w:szCs w:val="22"/>
        </w:rPr>
        <w:t>switch</w:t>
      </w:r>
      <w:r>
        <w:rPr>
          <w:rFonts w:ascii="Gill Sans MT" w:hAnsi="Gill Sans MT" w:cs="Gill Sans MT"/>
          <w:spacing w:val="-18"/>
          <w:sz w:val="22"/>
          <w:szCs w:val="22"/>
        </w:rPr>
        <w:t xml:space="preserve"> </w:t>
      </w:r>
      <w:r>
        <w:rPr>
          <w:rFonts w:ascii="Gill Sans MT" w:hAnsi="Gill Sans MT" w:cs="Gill Sans MT"/>
          <w:sz w:val="22"/>
          <w:szCs w:val="22"/>
        </w:rPr>
        <w:t>ACOs,</w:t>
      </w:r>
      <w:r>
        <w:rPr>
          <w:rFonts w:ascii="Gill Sans MT" w:hAnsi="Gill Sans MT" w:cs="Gill Sans MT"/>
          <w:spacing w:val="-16"/>
          <w:sz w:val="22"/>
          <w:szCs w:val="22"/>
        </w:rPr>
        <w:t xml:space="preserve"> </w:t>
      </w:r>
      <w:r>
        <w:rPr>
          <w:rFonts w:ascii="Gill Sans MT" w:hAnsi="Gill Sans MT" w:cs="Gill Sans MT"/>
          <w:sz w:val="22"/>
          <w:szCs w:val="22"/>
        </w:rPr>
        <w:t>particularly</w:t>
      </w:r>
      <w:r>
        <w:rPr>
          <w:rFonts w:ascii="Gill Sans MT" w:hAnsi="Gill Sans MT" w:cs="Gill Sans MT"/>
          <w:spacing w:val="-19"/>
          <w:sz w:val="22"/>
          <w:szCs w:val="22"/>
        </w:rPr>
        <w:t xml:space="preserve"> </w:t>
      </w:r>
      <w:r>
        <w:rPr>
          <w:rFonts w:ascii="Gill Sans MT" w:hAnsi="Gill Sans MT" w:cs="Gill Sans MT"/>
          <w:sz w:val="22"/>
          <w:szCs w:val="22"/>
        </w:rPr>
        <w:t>for</w:t>
      </w:r>
      <w:r>
        <w:rPr>
          <w:rFonts w:ascii="Gill Sans MT" w:hAnsi="Gill Sans MT" w:cs="Gill Sans MT"/>
          <w:spacing w:val="-19"/>
          <w:sz w:val="22"/>
          <w:szCs w:val="22"/>
        </w:rPr>
        <w:t xml:space="preserve"> </w:t>
      </w:r>
      <w:r>
        <w:rPr>
          <w:rFonts w:ascii="Gill Sans MT" w:hAnsi="Gill Sans MT" w:cs="Gill Sans MT"/>
          <w:sz w:val="22"/>
          <w:szCs w:val="22"/>
        </w:rPr>
        <w:t>those</w:t>
      </w:r>
      <w:r>
        <w:rPr>
          <w:rFonts w:ascii="Gill Sans MT" w:hAnsi="Gill Sans MT" w:cs="Gill Sans MT"/>
          <w:spacing w:val="-16"/>
          <w:sz w:val="22"/>
          <w:szCs w:val="22"/>
        </w:rPr>
        <w:t xml:space="preserve"> </w:t>
      </w:r>
      <w:r>
        <w:rPr>
          <w:rFonts w:ascii="Gill Sans MT" w:hAnsi="Gill Sans MT" w:cs="Gill Sans MT"/>
          <w:spacing w:val="-3"/>
          <w:sz w:val="22"/>
          <w:szCs w:val="22"/>
        </w:rPr>
        <w:t xml:space="preserve">individuals </w:t>
      </w:r>
      <w:r>
        <w:rPr>
          <w:rFonts w:ascii="Gill Sans MT" w:hAnsi="Gill Sans MT" w:cs="Gill Sans MT"/>
          <w:sz w:val="22"/>
          <w:szCs w:val="22"/>
        </w:rPr>
        <w:t>with</w:t>
      </w:r>
      <w:r>
        <w:rPr>
          <w:rFonts w:ascii="Gill Sans MT" w:hAnsi="Gill Sans MT" w:cs="Gill Sans MT"/>
          <w:spacing w:val="-23"/>
          <w:sz w:val="22"/>
          <w:szCs w:val="22"/>
        </w:rPr>
        <w:t xml:space="preserve"> </w:t>
      </w:r>
      <w:r>
        <w:rPr>
          <w:rFonts w:ascii="Gill Sans MT" w:hAnsi="Gill Sans MT" w:cs="Gill Sans MT"/>
          <w:spacing w:val="-3"/>
          <w:sz w:val="22"/>
          <w:szCs w:val="22"/>
        </w:rPr>
        <w:t>I/DD</w:t>
      </w:r>
      <w:r>
        <w:rPr>
          <w:rFonts w:ascii="Gill Sans MT" w:hAnsi="Gill Sans MT" w:cs="Gill Sans MT"/>
          <w:spacing w:val="-25"/>
          <w:sz w:val="22"/>
          <w:szCs w:val="22"/>
        </w:rPr>
        <w:t xml:space="preserve"> </w:t>
      </w:r>
      <w:r>
        <w:rPr>
          <w:rFonts w:ascii="Gill Sans MT" w:hAnsi="Gill Sans MT" w:cs="Gill Sans MT"/>
          <w:sz w:val="22"/>
          <w:szCs w:val="22"/>
        </w:rPr>
        <w:t>with</w:t>
      </w:r>
      <w:r>
        <w:rPr>
          <w:rFonts w:ascii="Gill Sans MT" w:hAnsi="Gill Sans MT" w:cs="Gill Sans MT"/>
          <w:spacing w:val="-27"/>
          <w:sz w:val="22"/>
          <w:szCs w:val="22"/>
        </w:rPr>
        <w:t xml:space="preserve"> </w:t>
      </w:r>
      <w:r>
        <w:rPr>
          <w:rFonts w:ascii="Gill Sans MT" w:hAnsi="Gill Sans MT" w:cs="Gill Sans MT"/>
          <w:sz w:val="22"/>
          <w:szCs w:val="22"/>
        </w:rPr>
        <w:t>significant</w:t>
      </w:r>
      <w:r>
        <w:rPr>
          <w:rFonts w:ascii="Gill Sans MT" w:hAnsi="Gill Sans MT" w:cs="Gill Sans MT"/>
          <w:spacing w:val="-26"/>
          <w:sz w:val="22"/>
          <w:szCs w:val="22"/>
        </w:rPr>
        <w:t xml:space="preserve"> </w:t>
      </w:r>
      <w:r>
        <w:rPr>
          <w:rFonts w:ascii="Gill Sans MT" w:hAnsi="Gill Sans MT" w:cs="Gill Sans MT"/>
          <w:sz w:val="22"/>
          <w:szCs w:val="22"/>
        </w:rPr>
        <w:t>and</w:t>
      </w:r>
      <w:r>
        <w:rPr>
          <w:rFonts w:ascii="Gill Sans MT" w:hAnsi="Gill Sans MT" w:cs="Gill Sans MT"/>
          <w:spacing w:val="-25"/>
          <w:sz w:val="22"/>
          <w:szCs w:val="22"/>
        </w:rPr>
        <w:t xml:space="preserve"> </w:t>
      </w:r>
      <w:r>
        <w:rPr>
          <w:rFonts w:ascii="Gill Sans MT" w:hAnsi="Gill Sans MT" w:cs="Gill Sans MT"/>
          <w:sz w:val="22"/>
          <w:szCs w:val="22"/>
        </w:rPr>
        <w:t>complex</w:t>
      </w:r>
      <w:r>
        <w:rPr>
          <w:rFonts w:ascii="Gill Sans MT" w:hAnsi="Gill Sans MT" w:cs="Gill Sans MT"/>
          <w:spacing w:val="-27"/>
          <w:sz w:val="22"/>
          <w:szCs w:val="22"/>
        </w:rPr>
        <w:t xml:space="preserve"> </w:t>
      </w:r>
      <w:r>
        <w:rPr>
          <w:rFonts w:ascii="Gill Sans MT" w:hAnsi="Gill Sans MT" w:cs="Gill Sans MT"/>
          <w:sz w:val="22"/>
          <w:szCs w:val="22"/>
        </w:rPr>
        <w:t>health</w:t>
      </w:r>
      <w:r>
        <w:rPr>
          <w:rFonts w:ascii="Gill Sans MT" w:hAnsi="Gill Sans MT" w:cs="Gill Sans MT"/>
          <w:spacing w:val="-27"/>
          <w:sz w:val="22"/>
          <w:szCs w:val="22"/>
        </w:rPr>
        <w:t xml:space="preserve"> </w:t>
      </w:r>
      <w:r>
        <w:rPr>
          <w:rFonts w:ascii="Gill Sans MT" w:hAnsi="Gill Sans MT" w:cs="Gill Sans MT"/>
          <w:sz w:val="22"/>
          <w:szCs w:val="22"/>
        </w:rPr>
        <w:t>care</w:t>
      </w:r>
      <w:r>
        <w:rPr>
          <w:rFonts w:ascii="Gill Sans MT" w:hAnsi="Gill Sans MT" w:cs="Gill Sans MT"/>
          <w:spacing w:val="-25"/>
          <w:sz w:val="22"/>
          <w:szCs w:val="22"/>
        </w:rPr>
        <w:t xml:space="preserve"> </w:t>
      </w:r>
      <w:r>
        <w:rPr>
          <w:rFonts w:ascii="Gill Sans MT" w:hAnsi="Gill Sans MT" w:cs="Gill Sans MT"/>
          <w:spacing w:val="-3"/>
          <w:sz w:val="22"/>
          <w:szCs w:val="22"/>
        </w:rPr>
        <w:t>needs.</w:t>
      </w:r>
    </w:p>
    <w:p w:rsidR="002C5025" w:rsidRDefault="002C5025">
      <w:pPr>
        <w:pStyle w:val="ListParagraph"/>
        <w:numPr>
          <w:ilvl w:val="0"/>
          <w:numId w:val="84"/>
        </w:numPr>
        <w:tabs>
          <w:tab w:val="left" w:pos="481"/>
        </w:tabs>
        <w:kinsoku w:val="0"/>
        <w:overflowPunct w:val="0"/>
        <w:spacing w:line="268" w:lineRule="auto"/>
        <w:ind w:right="110" w:hanging="360"/>
        <w:jc w:val="both"/>
        <w:rPr>
          <w:rFonts w:ascii="Arial Narrow" w:hAnsi="Arial Narrow" w:cs="Arial Narrow"/>
          <w:sz w:val="22"/>
          <w:szCs w:val="22"/>
        </w:rPr>
      </w:pPr>
      <w:r>
        <w:rPr>
          <w:rFonts w:ascii="Gill Sans MT" w:hAnsi="Gill Sans MT" w:cs="Gill Sans MT"/>
          <w:sz w:val="22"/>
          <w:szCs w:val="22"/>
        </w:rPr>
        <w:t>EOHHS</w:t>
      </w:r>
      <w:r>
        <w:rPr>
          <w:rFonts w:ascii="Gill Sans MT" w:hAnsi="Gill Sans MT" w:cs="Gill Sans MT"/>
          <w:spacing w:val="-12"/>
          <w:sz w:val="22"/>
          <w:szCs w:val="22"/>
        </w:rPr>
        <w:t xml:space="preserve"> </w:t>
      </w:r>
      <w:r>
        <w:rPr>
          <w:rFonts w:ascii="Gill Sans MT" w:hAnsi="Gill Sans MT" w:cs="Gill Sans MT"/>
          <w:spacing w:val="-2"/>
          <w:sz w:val="22"/>
          <w:szCs w:val="22"/>
        </w:rPr>
        <w:t>should</w:t>
      </w:r>
      <w:r>
        <w:rPr>
          <w:rFonts w:ascii="Gill Sans MT" w:hAnsi="Gill Sans MT" w:cs="Gill Sans MT"/>
          <w:spacing w:val="-9"/>
          <w:sz w:val="22"/>
          <w:szCs w:val="22"/>
        </w:rPr>
        <w:t xml:space="preserve"> </w:t>
      </w:r>
      <w:r>
        <w:rPr>
          <w:rFonts w:ascii="Gill Sans MT" w:hAnsi="Gill Sans MT" w:cs="Gill Sans MT"/>
          <w:sz w:val="22"/>
          <w:szCs w:val="22"/>
        </w:rPr>
        <w:t>establish</w:t>
      </w:r>
      <w:r>
        <w:rPr>
          <w:rFonts w:ascii="Gill Sans MT" w:hAnsi="Gill Sans MT" w:cs="Gill Sans MT"/>
          <w:spacing w:val="-12"/>
          <w:sz w:val="22"/>
          <w:szCs w:val="22"/>
        </w:rPr>
        <w:t xml:space="preserve"> </w:t>
      </w:r>
      <w:r>
        <w:rPr>
          <w:rFonts w:ascii="Gill Sans MT" w:hAnsi="Gill Sans MT" w:cs="Gill Sans MT"/>
          <w:sz w:val="22"/>
          <w:szCs w:val="22"/>
        </w:rPr>
        <w:t>an</w:t>
      </w:r>
      <w:r>
        <w:rPr>
          <w:rFonts w:ascii="Gill Sans MT" w:hAnsi="Gill Sans MT" w:cs="Gill Sans MT"/>
          <w:spacing w:val="-14"/>
          <w:sz w:val="22"/>
          <w:szCs w:val="22"/>
        </w:rPr>
        <w:t xml:space="preserve"> </w:t>
      </w:r>
      <w:r>
        <w:rPr>
          <w:rFonts w:ascii="Gill Sans MT" w:hAnsi="Gill Sans MT" w:cs="Gill Sans MT"/>
          <w:sz w:val="22"/>
          <w:szCs w:val="22"/>
        </w:rPr>
        <w:t>Ombudsman</w:t>
      </w:r>
      <w:r>
        <w:rPr>
          <w:rFonts w:ascii="Gill Sans MT" w:hAnsi="Gill Sans MT" w:cs="Gill Sans MT"/>
          <w:spacing w:val="-11"/>
          <w:sz w:val="22"/>
          <w:szCs w:val="22"/>
        </w:rPr>
        <w:t xml:space="preserve"> </w:t>
      </w:r>
      <w:r>
        <w:rPr>
          <w:rFonts w:ascii="Gill Sans MT" w:hAnsi="Gill Sans MT" w:cs="Gill Sans MT"/>
          <w:sz w:val="22"/>
          <w:szCs w:val="22"/>
        </w:rPr>
        <w:t>Office</w:t>
      </w:r>
      <w:r>
        <w:rPr>
          <w:rFonts w:ascii="Gill Sans MT" w:hAnsi="Gill Sans MT" w:cs="Gill Sans MT"/>
          <w:spacing w:val="-14"/>
          <w:sz w:val="22"/>
          <w:szCs w:val="22"/>
        </w:rPr>
        <w:t xml:space="preserve"> </w:t>
      </w:r>
      <w:r>
        <w:rPr>
          <w:rFonts w:ascii="Gill Sans MT" w:hAnsi="Gill Sans MT" w:cs="Gill Sans MT"/>
          <w:sz w:val="22"/>
          <w:szCs w:val="22"/>
        </w:rPr>
        <w:t>and</w:t>
      </w:r>
      <w:r>
        <w:rPr>
          <w:rFonts w:ascii="Gill Sans MT" w:hAnsi="Gill Sans MT" w:cs="Gill Sans MT"/>
          <w:spacing w:val="-14"/>
          <w:sz w:val="22"/>
          <w:szCs w:val="22"/>
        </w:rPr>
        <w:t xml:space="preserve"> </w:t>
      </w:r>
      <w:r>
        <w:rPr>
          <w:rFonts w:ascii="Gill Sans MT" w:hAnsi="Gill Sans MT" w:cs="Gill Sans MT"/>
          <w:sz w:val="22"/>
          <w:szCs w:val="22"/>
        </w:rPr>
        <w:t>process</w:t>
      </w:r>
      <w:r>
        <w:rPr>
          <w:rFonts w:ascii="Gill Sans MT" w:hAnsi="Gill Sans MT" w:cs="Gill Sans MT"/>
          <w:spacing w:val="-12"/>
          <w:sz w:val="22"/>
          <w:szCs w:val="22"/>
        </w:rPr>
        <w:t xml:space="preserve"> </w:t>
      </w:r>
      <w:r>
        <w:rPr>
          <w:rFonts w:ascii="Gill Sans MT" w:hAnsi="Gill Sans MT" w:cs="Gill Sans MT"/>
          <w:sz w:val="22"/>
          <w:szCs w:val="22"/>
        </w:rPr>
        <w:t>similar</w:t>
      </w:r>
      <w:r>
        <w:rPr>
          <w:rFonts w:ascii="Gill Sans MT" w:hAnsi="Gill Sans MT" w:cs="Gill Sans MT"/>
          <w:spacing w:val="-13"/>
          <w:sz w:val="22"/>
          <w:szCs w:val="22"/>
        </w:rPr>
        <w:t xml:space="preserve"> </w:t>
      </w:r>
      <w:r>
        <w:rPr>
          <w:rFonts w:ascii="Gill Sans MT" w:hAnsi="Gill Sans MT" w:cs="Gill Sans MT"/>
          <w:sz w:val="22"/>
          <w:szCs w:val="22"/>
        </w:rPr>
        <w:t>to,</w:t>
      </w:r>
      <w:r>
        <w:rPr>
          <w:rFonts w:ascii="Gill Sans MT" w:hAnsi="Gill Sans MT" w:cs="Gill Sans MT"/>
          <w:spacing w:val="-16"/>
          <w:sz w:val="22"/>
          <w:szCs w:val="22"/>
        </w:rPr>
        <w:t xml:space="preserve"> </w:t>
      </w:r>
      <w:r>
        <w:rPr>
          <w:rFonts w:ascii="Gill Sans MT" w:hAnsi="Gill Sans MT" w:cs="Gill Sans MT"/>
          <w:sz w:val="22"/>
          <w:szCs w:val="22"/>
        </w:rPr>
        <w:t>or</w:t>
      </w:r>
      <w:r>
        <w:rPr>
          <w:rFonts w:ascii="Gill Sans MT" w:hAnsi="Gill Sans MT" w:cs="Gill Sans MT"/>
          <w:spacing w:val="-10"/>
          <w:sz w:val="22"/>
          <w:szCs w:val="22"/>
        </w:rPr>
        <w:t xml:space="preserve"> </w:t>
      </w:r>
      <w:r>
        <w:rPr>
          <w:rFonts w:ascii="Gill Sans MT" w:hAnsi="Gill Sans MT" w:cs="Gill Sans MT"/>
          <w:sz w:val="22"/>
          <w:szCs w:val="22"/>
        </w:rPr>
        <w:t>expand</w:t>
      </w:r>
      <w:r>
        <w:rPr>
          <w:rFonts w:ascii="Gill Sans MT" w:hAnsi="Gill Sans MT" w:cs="Gill Sans MT"/>
          <w:spacing w:val="-15"/>
          <w:sz w:val="22"/>
          <w:szCs w:val="22"/>
        </w:rPr>
        <w:t xml:space="preserve"> </w:t>
      </w:r>
      <w:r>
        <w:rPr>
          <w:rFonts w:ascii="Gill Sans MT" w:hAnsi="Gill Sans MT" w:cs="Gill Sans MT"/>
          <w:sz w:val="22"/>
          <w:szCs w:val="22"/>
        </w:rPr>
        <w:t>the</w:t>
      </w:r>
      <w:r>
        <w:rPr>
          <w:rFonts w:ascii="Gill Sans MT" w:hAnsi="Gill Sans MT" w:cs="Gill Sans MT"/>
          <w:spacing w:val="-9"/>
          <w:sz w:val="22"/>
          <w:szCs w:val="22"/>
        </w:rPr>
        <w:t xml:space="preserve"> </w:t>
      </w:r>
      <w:r>
        <w:rPr>
          <w:rFonts w:ascii="Gill Sans MT" w:hAnsi="Gill Sans MT" w:cs="Gill Sans MT"/>
          <w:sz w:val="22"/>
          <w:szCs w:val="22"/>
        </w:rPr>
        <w:t>scope</w:t>
      </w:r>
      <w:r>
        <w:rPr>
          <w:rFonts w:ascii="Gill Sans MT" w:hAnsi="Gill Sans MT" w:cs="Gill Sans MT"/>
          <w:spacing w:val="-12"/>
          <w:sz w:val="22"/>
          <w:szCs w:val="22"/>
        </w:rPr>
        <w:t xml:space="preserve"> </w:t>
      </w:r>
      <w:r>
        <w:rPr>
          <w:rFonts w:ascii="Gill Sans MT" w:hAnsi="Gill Sans MT" w:cs="Gill Sans MT"/>
          <w:sz w:val="22"/>
          <w:szCs w:val="22"/>
        </w:rPr>
        <w:t>of</w:t>
      </w:r>
      <w:r>
        <w:rPr>
          <w:rFonts w:ascii="Gill Sans MT" w:hAnsi="Gill Sans MT" w:cs="Gill Sans MT"/>
          <w:spacing w:val="-11"/>
          <w:sz w:val="22"/>
          <w:szCs w:val="22"/>
        </w:rPr>
        <w:t xml:space="preserve"> </w:t>
      </w:r>
      <w:r>
        <w:rPr>
          <w:rFonts w:ascii="Gill Sans MT" w:hAnsi="Gill Sans MT" w:cs="Gill Sans MT"/>
          <w:spacing w:val="-4"/>
          <w:sz w:val="22"/>
          <w:szCs w:val="22"/>
        </w:rPr>
        <w:t xml:space="preserve">the </w:t>
      </w:r>
      <w:r>
        <w:rPr>
          <w:rFonts w:ascii="Gill Sans MT" w:hAnsi="Gill Sans MT" w:cs="Gill Sans MT"/>
          <w:sz w:val="22"/>
          <w:szCs w:val="22"/>
        </w:rPr>
        <w:t>One</w:t>
      </w:r>
      <w:r>
        <w:rPr>
          <w:rFonts w:ascii="Gill Sans MT" w:hAnsi="Gill Sans MT" w:cs="Gill Sans MT"/>
          <w:spacing w:val="-22"/>
          <w:sz w:val="22"/>
          <w:szCs w:val="22"/>
        </w:rPr>
        <w:t xml:space="preserve"> </w:t>
      </w:r>
      <w:r>
        <w:rPr>
          <w:rFonts w:ascii="Gill Sans MT" w:hAnsi="Gill Sans MT" w:cs="Gill Sans MT"/>
          <w:sz w:val="22"/>
          <w:szCs w:val="22"/>
        </w:rPr>
        <w:t>Care</w:t>
      </w:r>
      <w:r>
        <w:rPr>
          <w:rFonts w:ascii="Gill Sans MT" w:hAnsi="Gill Sans MT" w:cs="Gill Sans MT"/>
          <w:spacing w:val="-24"/>
          <w:sz w:val="22"/>
          <w:szCs w:val="22"/>
        </w:rPr>
        <w:t xml:space="preserve"> </w:t>
      </w:r>
      <w:r>
        <w:rPr>
          <w:rFonts w:ascii="Gill Sans MT" w:hAnsi="Gill Sans MT" w:cs="Gill Sans MT"/>
          <w:spacing w:val="-3"/>
          <w:sz w:val="22"/>
          <w:szCs w:val="22"/>
        </w:rPr>
        <w:t>Ombudsman</w:t>
      </w:r>
      <w:r>
        <w:rPr>
          <w:rFonts w:ascii="Gill Sans MT" w:hAnsi="Gill Sans MT" w:cs="Gill Sans MT"/>
          <w:spacing w:val="-22"/>
          <w:sz w:val="22"/>
          <w:szCs w:val="22"/>
        </w:rPr>
        <w:t xml:space="preserve"> </w:t>
      </w:r>
      <w:r>
        <w:rPr>
          <w:rFonts w:ascii="Gill Sans MT" w:hAnsi="Gill Sans MT" w:cs="Gill Sans MT"/>
          <w:spacing w:val="-2"/>
          <w:sz w:val="22"/>
          <w:szCs w:val="22"/>
        </w:rPr>
        <w:t>Office</w:t>
      </w:r>
      <w:r>
        <w:rPr>
          <w:rFonts w:ascii="Gill Sans MT" w:hAnsi="Gill Sans MT" w:cs="Gill Sans MT"/>
          <w:spacing w:val="-22"/>
          <w:sz w:val="22"/>
          <w:szCs w:val="22"/>
        </w:rPr>
        <w:t xml:space="preserve"> </w:t>
      </w:r>
      <w:r>
        <w:rPr>
          <w:rFonts w:ascii="Gill Sans MT" w:hAnsi="Gill Sans MT" w:cs="Gill Sans MT"/>
          <w:sz w:val="22"/>
          <w:szCs w:val="22"/>
        </w:rPr>
        <w:t>to</w:t>
      </w:r>
      <w:r>
        <w:rPr>
          <w:rFonts w:ascii="Gill Sans MT" w:hAnsi="Gill Sans MT" w:cs="Gill Sans MT"/>
          <w:spacing w:val="-26"/>
          <w:sz w:val="22"/>
          <w:szCs w:val="22"/>
        </w:rPr>
        <w:t xml:space="preserve"> </w:t>
      </w:r>
      <w:r>
        <w:rPr>
          <w:rFonts w:ascii="Gill Sans MT" w:hAnsi="Gill Sans MT" w:cs="Gill Sans MT"/>
          <w:sz w:val="22"/>
          <w:szCs w:val="22"/>
        </w:rPr>
        <w:t>include</w:t>
      </w:r>
      <w:r>
        <w:rPr>
          <w:rFonts w:ascii="Gill Sans MT" w:hAnsi="Gill Sans MT" w:cs="Gill Sans MT"/>
          <w:spacing w:val="-24"/>
          <w:sz w:val="22"/>
          <w:szCs w:val="22"/>
        </w:rPr>
        <w:t xml:space="preserve"> </w:t>
      </w:r>
      <w:r>
        <w:rPr>
          <w:rFonts w:ascii="Gill Sans MT" w:hAnsi="Gill Sans MT" w:cs="Gill Sans MT"/>
          <w:spacing w:val="-3"/>
          <w:sz w:val="22"/>
          <w:szCs w:val="22"/>
        </w:rPr>
        <w:t>services</w:t>
      </w:r>
      <w:r>
        <w:rPr>
          <w:rFonts w:ascii="Gill Sans MT" w:hAnsi="Gill Sans MT" w:cs="Gill Sans MT"/>
          <w:spacing w:val="-23"/>
          <w:sz w:val="22"/>
          <w:szCs w:val="22"/>
        </w:rPr>
        <w:t xml:space="preserve"> </w:t>
      </w:r>
      <w:r>
        <w:rPr>
          <w:rFonts w:ascii="Gill Sans MT" w:hAnsi="Gill Sans MT" w:cs="Gill Sans MT"/>
          <w:sz w:val="22"/>
          <w:szCs w:val="22"/>
        </w:rPr>
        <w:t>provided</w:t>
      </w:r>
      <w:r>
        <w:rPr>
          <w:rFonts w:ascii="Gill Sans MT" w:hAnsi="Gill Sans MT" w:cs="Gill Sans MT"/>
          <w:spacing w:val="-24"/>
          <w:sz w:val="22"/>
          <w:szCs w:val="22"/>
        </w:rPr>
        <w:t xml:space="preserve"> </w:t>
      </w:r>
      <w:r>
        <w:rPr>
          <w:rFonts w:ascii="Gill Sans MT" w:hAnsi="Gill Sans MT" w:cs="Gill Sans MT"/>
          <w:spacing w:val="-3"/>
          <w:sz w:val="22"/>
          <w:szCs w:val="22"/>
        </w:rPr>
        <w:t>under</w:t>
      </w:r>
      <w:r>
        <w:rPr>
          <w:rFonts w:ascii="Gill Sans MT" w:hAnsi="Gill Sans MT" w:cs="Gill Sans MT"/>
          <w:spacing w:val="-25"/>
          <w:sz w:val="22"/>
          <w:szCs w:val="22"/>
        </w:rPr>
        <w:t xml:space="preserve"> </w:t>
      </w:r>
      <w:r>
        <w:rPr>
          <w:rFonts w:ascii="Gill Sans MT" w:hAnsi="Gill Sans MT" w:cs="Gill Sans MT"/>
          <w:sz w:val="22"/>
          <w:szCs w:val="22"/>
        </w:rPr>
        <w:t>the</w:t>
      </w:r>
      <w:r>
        <w:rPr>
          <w:rFonts w:ascii="Gill Sans MT" w:hAnsi="Gill Sans MT" w:cs="Gill Sans MT"/>
          <w:spacing w:val="-22"/>
          <w:sz w:val="22"/>
          <w:szCs w:val="22"/>
        </w:rPr>
        <w:t xml:space="preserve"> </w:t>
      </w:r>
      <w:r>
        <w:rPr>
          <w:rFonts w:ascii="Gill Sans MT" w:hAnsi="Gill Sans MT" w:cs="Gill Sans MT"/>
          <w:spacing w:val="-3"/>
          <w:sz w:val="22"/>
          <w:szCs w:val="22"/>
        </w:rPr>
        <w:t>Waiver,</w:t>
      </w:r>
      <w:r>
        <w:rPr>
          <w:rFonts w:ascii="Gill Sans MT" w:hAnsi="Gill Sans MT" w:cs="Gill Sans MT"/>
          <w:spacing w:val="-25"/>
          <w:sz w:val="22"/>
          <w:szCs w:val="22"/>
        </w:rPr>
        <w:t xml:space="preserve"> </w:t>
      </w:r>
      <w:r>
        <w:rPr>
          <w:rFonts w:ascii="Gill Sans MT" w:hAnsi="Gill Sans MT" w:cs="Gill Sans MT"/>
          <w:sz w:val="22"/>
          <w:szCs w:val="22"/>
        </w:rPr>
        <w:t>in</w:t>
      </w:r>
      <w:r>
        <w:rPr>
          <w:rFonts w:ascii="Gill Sans MT" w:hAnsi="Gill Sans MT" w:cs="Gill Sans MT"/>
          <w:spacing w:val="-22"/>
          <w:sz w:val="22"/>
          <w:szCs w:val="22"/>
        </w:rPr>
        <w:t xml:space="preserve"> </w:t>
      </w:r>
      <w:r>
        <w:rPr>
          <w:rFonts w:ascii="Gill Sans MT" w:hAnsi="Gill Sans MT" w:cs="Gill Sans MT"/>
          <w:sz w:val="22"/>
          <w:szCs w:val="22"/>
        </w:rPr>
        <w:t>order</w:t>
      </w:r>
      <w:r>
        <w:rPr>
          <w:rFonts w:ascii="Gill Sans MT" w:hAnsi="Gill Sans MT" w:cs="Gill Sans MT"/>
          <w:spacing w:val="-25"/>
          <w:sz w:val="22"/>
          <w:szCs w:val="22"/>
        </w:rPr>
        <w:t xml:space="preserve"> </w:t>
      </w:r>
      <w:r>
        <w:rPr>
          <w:rFonts w:ascii="Gill Sans MT" w:hAnsi="Gill Sans MT" w:cs="Gill Sans MT"/>
          <w:sz w:val="22"/>
          <w:szCs w:val="22"/>
        </w:rPr>
        <w:t>to</w:t>
      </w:r>
      <w:r>
        <w:rPr>
          <w:rFonts w:ascii="Gill Sans MT" w:hAnsi="Gill Sans MT" w:cs="Gill Sans MT"/>
          <w:spacing w:val="-23"/>
          <w:sz w:val="22"/>
          <w:szCs w:val="22"/>
        </w:rPr>
        <w:t xml:space="preserve"> </w:t>
      </w:r>
      <w:r>
        <w:rPr>
          <w:rFonts w:ascii="Gill Sans MT" w:hAnsi="Gill Sans MT" w:cs="Gill Sans MT"/>
          <w:sz w:val="22"/>
          <w:szCs w:val="22"/>
        </w:rPr>
        <w:t>assure</w:t>
      </w:r>
      <w:r>
        <w:rPr>
          <w:rFonts w:ascii="Gill Sans MT" w:hAnsi="Gill Sans MT" w:cs="Gill Sans MT"/>
          <w:spacing w:val="-24"/>
          <w:sz w:val="22"/>
          <w:szCs w:val="22"/>
        </w:rPr>
        <w:t xml:space="preserve"> </w:t>
      </w:r>
      <w:r>
        <w:rPr>
          <w:rFonts w:ascii="Gill Sans MT" w:hAnsi="Gill Sans MT" w:cs="Gill Sans MT"/>
          <w:spacing w:val="-3"/>
          <w:sz w:val="22"/>
          <w:szCs w:val="22"/>
        </w:rPr>
        <w:t xml:space="preserve">that enrollees </w:t>
      </w:r>
      <w:r>
        <w:rPr>
          <w:rFonts w:ascii="Gill Sans MT" w:hAnsi="Gill Sans MT" w:cs="Gill Sans MT"/>
          <w:sz w:val="22"/>
          <w:szCs w:val="22"/>
        </w:rPr>
        <w:t xml:space="preserve">have access to an </w:t>
      </w:r>
      <w:r>
        <w:rPr>
          <w:rFonts w:ascii="Gill Sans MT" w:hAnsi="Gill Sans MT" w:cs="Gill Sans MT"/>
          <w:spacing w:val="-3"/>
          <w:sz w:val="22"/>
          <w:szCs w:val="22"/>
        </w:rPr>
        <w:t xml:space="preserve">independent </w:t>
      </w:r>
      <w:r>
        <w:rPr>
          <w:rFonts w:ascii="Gill Sans MT" w:hAnsi="Gill Sans MT" w:cs="Gill Sans MT"/>
          <w:sz w:val="22"/>
          <w:szCs w:val="22"/>
        </w:rPr>
        <w:t xml:space="preserve">entity </w:t>
      </w:r>
      <w:r>
        <w:rPr>
          <w:rFonts w:ascii="Gill Sans MT" w:hAnsi="Gill Sans MT" w:cs="Gill Sans MT"/>
          <w:spacing w:val="-3"/>
          <w:sz w:val="22"/>
          <w:szCs w:val="22"/>
        </w:rPr>
        <w:t xml:space="preserve">which </w:t>
      </w:r>
      <w:r>
        <w:rPr>
          <w:rFonts w:ascii="Gill Sans MT" w:hAnsi="Gill Sans MT" w:cs="Gill Sans MT"/>
          <w:sz w:val="22"/>
          <w:szCs w:val="22"/>
        </w:rPr>
        <w:t xml:space="preserve">can </w:t>
      </w:r>
      <w:r>
        <w:rPr>
          <w:rFonts w:ascii="Gill Sans MT" w:hAnsi="Gill Sans MT" w:cs="Gill Sans MT"/>
          <w:spacing w:val="-3"/>
          <w:sz w:val="22"/>
          <w:szCs w:val="22"/>
        </w:rPr>
        <w:t xml:space="preserve">resolve enrollee </w:t>
      </w:r>
      <w:r>
        <w:rPr>
          <w:rFonts w:ascii="Gill Sans MT" w:hAnsi="Gill Sans MT" w:cs="Gill Sans MT"/>
          <w:sz w:val="22"/>
          <w:szCs w:val="22"/>
        </w:rPr>
        <w:t xml:space="preserve">complaints </w:t>
      </w:r>
      <w:r>
        <w:rPr>
          <w:rFonts w:ascii="Gill Sans MT" w:hAnsi="Gill Sans MT" w:cs="Gill Sans MT"/>
          <w:spacing w:val="-3"/>
          <w:sz w:val="22"/>
          <w:szCs w:val="22"/>
        </w:rPr>
        <w:t xml:space="preserve">and/or </w:t>
      </w:r>
      <w:r>
        <w:rPr>
          <w:rFonts w:ascii="Arial Narrow" w:hAnsi="Arial Narrow" w:cs="Arial Narrow"/>
          <w:sz w:val="22"/>
          <w:szCs w:val="22"/>
        </w:rPr>
        <w:t>disputes  with  ACO’s,  MCO’s, or</w:t>
      </w:r>
      <w:r>
        <w:rPr>
          <w:rFonts w:ascii="Arial Narrow" w:hAnsi="Arial Narrow" w:cs="Arial Narrow"/>
          <w:spacing w:val="8"/>
          <w:sz w:val="22"/>
          <w:szCs w:val="22"/>
        </w:rPr>
        <w:t xml:space="preserve"> </w:t>
      </w:r>
      <w:r>
        <w:rPr>
          <w:rFonts w:ascii="Arial Narrow" w:hAnsi="Arial Narrow" w:cs="Arial Narrow"/>
          <w:sz w:val="22"/>
          <w:szCs w:val="22"/>
        </w:rPr>
        <w:t>providers.</w:t>
      </w:r>
    </w:p>
    <w:p w:rsidR="002C5025" w:rsidRDefault="002C5025">
      <w:pPr>
        <w:pStyle w:val="ListParagraph"/>
        <w:numPr>
          <w:ilvl w:val="0"/>
          <w:numId w:val="84"/>
        </w:numPr>
        <w:tabs>
          <w:tab w:val="left" w:pos="480"/>
        </w:tabs>
        <w:kinsoku w:val="0"/>
        <w:overflowPunct w:val="0"/>
        <w:spacing w:line="246" w:lineRule="exact"/>
        <w:ind w:hanging="360"/>
        <w:jc w:val="both"/>
        <w:rPr>
          <w:rFonts w:ascii="Gill Sans MT" w:hAnsi="Gill Sans MT" w:cs="Gill Sans MT"/>
          <w:w w:val="105"/>
          <w:sz w:val="22"/>
          <w:szCs w:val="22"/>
        </w:rPr>
      </w:pPr>
      <w:r>
        <w:rPr>
          <w:rFonts w:ascii="Gill Sans MT" w:hAnsi="Gill Sans MT" w:cs="Gill Sans MT"/>
          <w:w w:val="105"/>
          <w:sz w:val="22"/>
          <w:szCs w:val="22"/>
        </w:rPr>
        <w:t>The CMS/Mass Health agreem</w:t>
      </w:r>
      <w:r>
        <w:rPr>
          <w:rFonts w:ascii="Arial Narrow" w:hAnsi="Arial Narrow" w:cs="Arial Narrow"/>
          <w:w w:val="105"/>
          <w:sz w:val="22"/>
          <w:szCs w:val="22"/>
        </w:rPr>
        <w:t xml:space="preserve">ent should provide access to the State’s </w:t>
      </w:r>
      <w:r>
        <w:rPr>
          <w:rFonts w:ascii="Gill Sans MT" w:hAnsi="Gill Sans MT" w:cs="Gill Sans MT"/>
          <w:w w:val="105"/>
          <w:sz w:val="22"/>
          <w:szCs w:val="22"/>
        </w:rPr>
        <w:t>Disability and</w:t>
      </w:r>
      <w:r>
        <w:rPr>
          <w:rFonts w:ascii="Gill Sans MT" w:hAnsi="Gill Sans MT" w:cs="Gill Sans MT"/>
          <w:spacing w:val="46"/>
          <w:w w:val="105"/>
          <w:sz w:val="22"/>
          <w:szCs w:val="22"/>
        </w:rPr>
        <w:t xml:space="preserve"> </w:t>
      </w:r>
      <w:r>
        <w:rPr>
          <w:rFonts w:ascii="Gill Sans MT" w:hAnsi="Gill Sans MT" w:cs="Gill Sans MT"/>
          <w:w w:val="105"/>
          <w:sz w:val="22"/>
          <w:szCs w:val="22"/>
        </w:rPr>
        <w:t>Protection</w:t>
      </w:r>
    </w:p>
    <w:p w:rsidR="002C5025" w:rsidRDefault="002C5025">
      <w:pPr>
        <w:pStyle w:val="BodyText"/>
        <w:kinsoku w:val="0"/>
        <w:overflowPunct w:val="0"/>
        <w:spacing w:before="23"/>
        <w:ind w:left="480"/>
        <w:jc w:val="both"/>
        <w:rPr>
          <w:rFonts w:ascii="Gill Sans MT" w:hAnsi="Gill Sans MT" w:cs="Gill Sans MT"/>
          <w:w w:val="105"/>
        </w:rPr>
      </w:pPr>
      <w:r>
        <w:rPr>
          <w:rFonts w:ascii="Gill Sans MT" w:hAnsi="Gill Sans MT" w:cs="Gill Sans MT"/>
          <w:w w:val="105"/>
        </w:rPr>
        <w:t>program</w:t>
      </w:r>
      <w:r>
        <w:rPr>
          <w:rFonts w:ascii="Gill Sans MT" w:hAnsi="Gill Sans MT" w:cs="Gill Sans MT"/>
          <w:spacing w:val="-41"/>
          <w:w w:val="105"/>
        </w:rPr>
        <w:t xml:space="preserve"> </w:t>
      </w:r>
      <w:r>
        <w:rPr>
          <w:rFonts w:ascii="Gill Sans MT" w:hAnsi="Gill Sans MT" w:cs="Gill Sans MT"/>
          <w:w w:val="105"/>
        </w:rPr>
        <w:t>to</w:t>
      </w:r>
      <w:r>
        <w:rPr>
          <w:rFonts w:ascii="Gill Sans MT" w:hAnsi="Gill Sans MT" w:cs="Gill Sans MT"/>
          <w:spacing w:val="-41"/>
          <w:w w:val="105"/>
        </w:rPr>
        <w:t xml:space="preserve"> </w:t>
      </w:r>
      <w:r>
        <w:rPr>
          <w:rFonts w:ascii="Gill Sans MT" w:hAnsi="Gill Sans MT" w:cs="Gill Sans MT"/>
          <w:w w:val="105"/>
        </w:rPr>
        <w:t>have</w:t>
      </w:r>
      <w:r>
        <w:rPr>
          <w:rFonts w:ascii="Gill Sans MT" w:hAnsi="Gill Sans MT" w:cs="Gill Sans MT"/>
          <w:spacing w:val="-39"/>
          <w:w w:val="105"/>
        </w:rPr>
        <w:t xml:space="preserve"> </w:t>
      </w:r>
      <w:r>
        <w:rPr>
          <w:rFonts w:ascii="Gill Sans MT" w:hAnsi="Gill Sans MT" w:cs="Gill Sans MT"/>
          <w:w w:val="105"/>
        </w:rPr>
        <w:t>the</w:t>
      </w:r>
      <w:r>
        <w:rPr>
          <w:rFonts w:ascii="Gill Sans MT" w:hAnsi="Gill Sans MT" w:cs="Gill Sans MT"/>
          <w:spacing w:val="-41"/>
          <w:w w:val="105"/>
        </w:rPr>
        <w:t xml:space="preserve"> </w:t>
      </w:r>
      <w:r>
        <w:rPr>
          <w:rFonts w:ascii="Gill Sans MT" w:hAnsi="Gill Sans MT" w:cs="Gill Sans MT"/>
          <w:w w:val="105"/>
        </w:rPr>
        <w:t>right</w:t>
      </w:r>
      <w:r>
        <w:rPr>
          <w:rFonts w:ascii="Gill Sans MT" w:hAnsi="Gill Sans MT" w:cs="Gill Sans MT"/>
          <w:spacing w:val="-40"/>
          <w:w w:val="105"/>
        </w:rPr>
        <w:t xml:space="preserve"> </w:t>
      </w:r>
      <w:r>
        <w:rPr>
          <w:rFonts w:ascii="Gill Sans MT" w:hAnsi="Gill Sans MT" w:cs="Gill Sans MT"/>
          <w:w w:val="105"/>
        </w:rPr>
        <w:t>to</w:t>
      </w:r>
      <w:r>
        <w:rPr>
          <w:rFonts w:ascii="Gill Sans MT" w:hAnsi="Gill Sans MT" w:cs="Gill Sans MT"/>
          <w:spacing w:val="-39"/>
          <w:w w:val="105"/>
        </w:rPr>
        <w:t xml:space="preserve"> </w:t>
      </w:r>
      <w:r>
        <w:rPr>
          <w:rFonts w:ascii="Gill Sans MT" w:hAnsi="Gill Sans MT" w:cs="Gill Sans MT"/>
          <w:w w:val="105"/>
        </w:rPr>
        <w:t>receive</w:t>
      </w:r>
      <w:r>
        <w:rPr>
          <w:rFonts w:ascii="Gill Sans MT" w:hAnsi="Gill Sans MT" w:cs="Gill Sans MT"/>
          <w:spacing w:val="-40"/>
          <w:w w:val="105"/>
        </w:rPr>
        <w:t xml:space="preserve"> </w:t>
      </w:r>
      <w:r>
        <w:rPr>
          <w:rFonts w:ascii="Gill Sans MT" w:hAnsi="Gill Sans MT" w:cs="Gill Sans MT"/>
          <w:w w:val="105"/>
        </w:rPr>
        <w:t>documentation</w:t>
      </w:r>
      <w:r>
        <w:rPr>
          <w:rFonts w:ascii="Gill Sans MT" w:hAnsi="Gill Sans MT" w:cs="Gill Sans MT"/>
          <w:spacing w:val="-39"/>
          <w:w w:val="105"/>
        </w:rPr>
        <w:t xml:space="preserve"> </w:t>
      </w:r>
      <w:r>
        <w:rPr>
          <w:rFonts w:ascii="Gill Sans MT" w:hAnsi="Gill Sans MT" w:cs="Gill Sans MT"/>
          <w:w w:val="105"/>
        </w:rPr>
        <w:t>and</w:t>
      </w:r>
      <w:r>
        <w:rPr>
          <w:rFonts w:ascii="Gill Sans MT" w:hAnsi="Gill Sans MT" w:cs="Gill Sans MT"/>
          <w:spacing w:val="-41"/>
          <w:w w:val="105"/>
        </w:rPr>
        <w:t xml:space="preserve"> </w:t>
      </w:r>
      <w:r>
        <w:rPr>
          <w:rFonts w:ascii="Gill Sans MT" w:hAnsi="Gill Sans MT" w:cs="Gill Sans MT"/>
          <w:w w:val="105"/>
        </w:rPr>
        <w:t>investigate</w:t>
      </w:r>
      <w:r>
        <w:rPr>
          <w:rFonts w:ascii="Gill Sans MT" w:hAnsi="Gill Sans MT" w:cs="Gill Sans MT"/>
          <w:spacing w:val="-41"/>
          <w:w w:val="105"/>
        </w:rPr>
        <w:t xml:space="preserve"> </w:t>
      </w:r>
      <w:r>
        <w:rPr>
          <w:rFonts w:ascii="Gill Sans MT" w:hAnsi="Gill Sans MT" w:cs="Gill Sans MT"/>
          <w:w w:val="105"/>
        </w:rPr>
        <w:t>concerns</w:t>
      </w:r>
      <w:r>
        <w:rPr>
          <w:rFonts w:ascii="Gill Sans MT" w:hAnsi="Gill Sans MT" w:cs="Gill Sans MT"/>
          <w:spacing w:val="-40"/>
          <w:w w:val="105"/>
        </w:rPr>
        <w:t xml:space="preserve"> </w:t>
      </w:r>
      <w:r>
        <w:rPr>
          <w:rFonts w:ascii="Gill Sans MT" w:hAnsi="Gill Sans MT" w:cs="Gill Sans MT"/>
          <w:w w:val="105"/>
        </w:rPr>
        <w:t>consistent</w:t>
      </w:r>
      <w:r>
        <w:rPr>
          <w:rFonts w:ascii="Gill Sans MT" w:hAnsi="Gill Sans MT" w:cs="Gill Sans MT"/>
          <w:spacing w:val="-40"/>
          <w:w w:val="105"/>
        </w:rPr>
        <w:t xml:space="preserve"> </w:t>
      </w:r>
      <w:r>
        <w:rPr>
          <w:rFonts w:ascii="Gill Sans MT" w:hAnsi="Gill Sans MT" w:cs="Gill Sans MT"/>
          <w:w w:val="105"/>
        </w:rPr>
        <w:t>with</w:t>
      </w:r>
      <w:r>
        <w:rPr>
          <w:rFonts w:ascii="Gill Sans MT" w:hAnsi="Gill Sans MT" w:cs="Gill Sans MT"/>
          <w:spacing w:val="-38"/>
          <w:w w:val="105"/>
        </w:rPr>
        <w:t xml:space="preserve"> </w:t>
      </w:r>
      <w:r>
        <w:rPr>
          <w:rFonts w:ascii="Gill Sans MT" w:hAnsi="Gill Sans MT" w:cs="Gill Sans MT"/>
          <w:w w:val="105"/>
        </w:rPr>
        <w:t>the</w:t>
      </w:r>
    </w:p>
    <w:p w:rsidR="002C5025" w:rsidRDefault="002C5025">
      <w:pPr>
        <w:pStyle w:val="BodyText"/>
        <w:kinsoku w:val="0"/>
        <w:overflowPunct w:val="0"/>
        <w:spacing w:before="43"/>
        <w:ind w:left="480"/>
        <w:jc w:val="both"/>
        <w:rPr>
          <w:rFonts w:ascii="Arial Narrow" w:hAnsi="Arial Narrow" w:cs="Arial Narrow"/>
          <w:w w:val="105"/>
        </w:rPr>
      </w:pPr>
      <w:r>
        <w:rPr>
          <w:rFonts w:ascii="Arial Narrow" w:hAnsi="Arial Narrow" w:cs="Arial Narrow"/>
          <w:w w:val="105"/>
        </w:rPr>
        <w:t>recommendation of the federal government’s National Council on Disability and   CMS.</w:t>
      </w:r>
    </w:p>
    <w:p w:rsidR="002C5025" w:rsidRDefault="002C5025">
      <w:pPr>
        <w:pStyle w:val="BodyText"/>
        <w:kinsoku w:val="0"/>
        <w:overflowPunct w:val="0"/>
        <w:spacing w:before="17"/>
        <w:ind w:right="115"/>
        <w:jc w:val="right"/>
        <w:rPr>
          <w:rFonts w:ascii="Times New Roman" w:hAnsi="Times New Roman" w:cs="Times New Roman"/>
          <w:sz w:val="24"/>
          <w:szCs w:val="24"/>
        </w:rPr>
      </w:pPr>
      <w:r>
        <w:rPr>
          <w:rFonts w:ascii="Times New Roman" w:hAnsi="Times New Roman" w:cs="Times New Roman"/>
          <w:sz w:val="24"/>
          <w:szCs w:val="24"/>
        </w:rPr>
        <w:t>2</w:t>
      </w:r>
    </w:p>
    <w:p w:rsidR="002C5025" w:rsidRDefault="002C5025">
      <w:pPr>
        <w:pStyle w:val="BodyText"/>
        <w:kinsoku w:val="0"/>
        <w:overflowPunct w:val="0"/>
        <w:spacing w:before="17"/>
        <w:ind w:right="115"/>
        <w:jc w:val="right"/>
        <w:rPr>
          <w:rFonts w:ascii="Times New Roman" w:hAnsi="Times New Roman" w:cs="Times New Roman"/>
          <w:sz w:val="24"/>
          <w:szCs w:val="24"/>
        </w:rPr>
        <w:sectPr w:rsidR="002C5025">
          <w:pgSz w:w="12240" w:h="15840"/>
          <w:pgMar w:top="1380" w:right="1320" w:bottom="280" w:left="1680" w:header="720" w:footer="720" w:gutter="0"/>
          <w:cols w:space="720" w:equalWidth="0">
            <w:col w:w="9240"/>
          </w:cols>
          <w:noEndnote/>
        </w:sectPr>
      </w:pPr>
    </w:p>
    <w:p w:rsidR="002C5025" w:rsidRDefault="002C5025">
      <w:pPr>
        <w:pStyle w:val="BodyText"/>
        <w:kinsoku w:val="0"/>
        <w:overflowPunct w:val="0"/>
        <w:spacing w:before="6"/>
        <w:rPr>
          <w:rFonts w:ascii="Times New Roman" w:hAnsi="Times New Roman" w:cs="Times New Roman"/>
          <w:sz w:val="12"/>
          <w:szCs w:val="12"/>
        </w:rPr>
      </w:pPr>
    </w:p>
    <w:p w:rsidR="002C5025" w:rsidRDefault="002C5025">
      <w:pPr>
        <w:pStyle w:val="BodyText"/>
        <w:numPr>
          <w:ilvl w:val="0"/>
          <w:numId w:val="86"/>
        </w:numPr>
        <w:tabs>
          <w:tab w:val="left" w:pos="1180"/>
        </w:tabs>
        <w:kinsoku w:val="0"/>
        <w:overflowPunct w:val="0"/>
        <w:spacing w:before="74"/>
        <w:ind w:left="1180"/>
        <w:rPr>
          <w:rFonts w:ascii="Arial Narrow" w:hAnsi="Arial Narrow" w:cs="Arial Narrow"/>
          <w:b/>
          <w:bCs/>
          <w:color w:val="0E233D"/>
        </w:rPr>
      </w:pPr>
      <w:bookmarkStart w:id="60" w:name="3._Payment_and_Financial_Concerns:"/>
      <w:bookmarkEnd w:id="60"/>
      <w:r>
        <w:rPr>
          <w:rFonts w:ascii="Arial Narrow" w:hAnsi="Arial Narrow" w:cs="Arial Narrow"/>
          <w:b/>
          <w:bCs/>
          <w:color w:val="0E233D"/>
        </w:rPr>
        <w:t>Payment and Financial</w:t>
      </w:r>
      <w:r>
        <w:rPr>
          <w:rFonts w:ascii="Arial Narrow" w:hAnsi="Arial Narrow" w:cs="Arial Narrow"/>
          <w:b/>
          <w:bCs/>
          <w:color w:val="0E233D"/>
          <w:spacing w:val="-12"/>
        </w:rPr>
        <w:t xml:space="preserve"> </w:t>
      </w:r>
      <w:r>
        <w:rPr>
          <w:rFonts w:ascii="Arial Narrow" w:hAnsi="Arial Narrow" w:cs="Arial Narrow"/>
          <w:b/>
          <w:bCs/>
          <w:color w:val="0E233D"/>
        </w:rPr>
        <w:t>Concerns:</w:t>
      </w:r>
    </w:p>
    <w:p w:rsidR="002C5025" w:rsidRDefault="002C5025" w:rsidP="005632B1">
      <w:pPr>
        <w:pStyle w:val="ListParagraph"/>
        <w:numPr>
          <w:ilvl w:val="0"/>
          <w:numId w:val="97"/>
        </w:numPr>
        <w:tabs>
          <w:tab w:val="left" w:pos="1183"/>
        </w:tabs>
        <w:kinsoku w:val="0"/>
        <w:overflowPunct w:val="0"/>
        <w:spacing w:before="3" w:line="261" w:lineRule="auto"/>
        <w:ind w:right="112"/>
        <w:jc w:val="both"/>
        <w:rPr>
          <w:rFonts w:ascii="Gill Sans MT" w:hAnsi="Gill Sans MT" w:cs="Gill Sans MT"/>
          <w:spacing w:val="-3"/>
          <w:sz w:val="22"/>
          <w:szCs w:val="22"/>
        </w:rPr>
      </w:pPr>
      <w:r>
        <w:rPr>
          <w:rFonts w:ascii="Gill Sans MT" w:hAnsi="Gill Sans MT" w:cs="Gill Sans MT"/>
          <w:sz w:val="22"/>
          <w:szCs w:val="22"/>
        </w:rPr>
        <w:t xml:space="preserve">The CMS/Mass </w:t>
      </w:r>
      <w:r>
        <w:rPr>
          <w:rFonts w:ascii="Gill Sans MT" w:hAnsi="Gill Sans MT" w:cs="Gill Sans MT"/>
          <w:spacing w:val="-3"/>
          <w:sz w:val="22"/>
          <w:szCs w:val="22"/>
        </w:rPr>
        <w:t xml:space="preserve">Health Agreement </w:t>
      </w:r>
      <w:r>
        <w:rPr>
          <w:rFonts w:ascii="Gill Sans MT" w:hAnsi="Gill Sans MT" w:cs="Gill Sans MT"/>
          <w:sz w:val="22"/>
          <w:szCs w:val="22"/>
        </w:rPr>
        <w:t xml:space="preserve">should obligate </w:t>
      </w:r>
      <w:r>
        <w:rPr>
          <w:rFonts w:ascii="Arial Narrow" w:hAnsi="Arial Narrow" w:cs="Arial Narrow"/>
          <w:sz w:val="22"/>
          <w:szCs w:val="22"/>
        </w:rPr>
        <w:t xml:space="preserve">ACO’s and MCOs to pay rates which are equal </w:t>
      </w:r>
      <w:r>
        <w:rPr>
          <w:rFonts w:ascii="Arial Narrow" w:hAnsi="Arial Narrow" w:cs="Arial Narrow"/>
          <w:spacing w:val="-3"/>
          <w:sz w:val="22"/>
          <w:szCs w:val="22"/>
        </w:rPr>
        <w:t xml:space="preserve">to  </w:t>
      </w:r>
      <w:r>
        <w:rPr>
          <w:rFonts w:ascii="Gill Sans MT" w:hAnsi="Gill Sans MT" w:cs="Gill Sans MT"/>
          <w:sz w:val="22"/>
          <w:szCs w:val="22"/>
        </w:rPr>
        <w:t>or</w:t>
      </w:r>
      <w:r>
        <w:rPr>
          <w:rFonts w:ascii="Gill Sans MT" w:hAnsi="Gill Sans MT" w:cs="Gill Sans MT"/>
          <w:spacing w:val="-6"/>
          <w:sz w:val="22"/>
          <w:szCs w:val="22"/>
        </w:rPr>
        <w:t xml:space="preserve"> </w:t>
      </w:r>
      <w:r>
        <w:rPr>
          <w:rFonts w:ascii="Gill Sans MT" w:hAnsi="Gill Sans MT" w:cs="Gill Sans MT"/>
          <w:spacing w:val="-3"/>
          <w:sz w:val="22"/>
          <w:szCs w:val="22"/>
        </w:rPr>
        <w:t>greater</w:t>
      </w:r>
      <w:r>
        <w:rPr>
          <w:rFonts w:ascii="Gill Sans MT" w:hAnsi="Gill Sans MT" w:cs="Gill Sans MT"/>
          <w:spacing w:val="-9"/>
          <w:sz w:val="22"/>
          <w:szCs w:val="22"/>
        </w:rPr>
        <w:t xml:space="preserve"> </w:t>
      </w:r>
      <w:r>
        <w:rPr>
          <w:rFonts w:ascii="Gill Sans MT" w:hAnsi="Gill Sans MT" w:cs="Gill Sans MT"/>
          <w:sz w:val="22"/>
          <w:szCs w:val="22"/>
        </w:rPr>
        <w:t>than</w:t>
      </w:r>
      <w:r>
        <w:rPr>
          <w:rFonts w:ascii="Gill Sans MT" w:hAnsi="Gill Sans MT" w:cs="Gill Sans MT"/>
          <w:spacing w:val="-4"/>
          <w:sz w:val="22"/>
          <w:szCs w:val="22"/>
        </w:rPr>
        <w:t xml:space="preserve"> </w:t>
      </w:r>
      <w:r>
        <w:rPr>
          <w:rFonts w:ascii="Gill Sans MT" w:hAnsi="Gill Sans MT" w:cs="Gill Sans MT"/>
          <w:sz w:val="22"/>
          <w:szCs w:val="22"/>
        </w:rPr>
        <w:t>rates</w:t>
      </w:r>
      <w:r>
        <w:rPr>
          <w:rFonts w:ascii="Gill Sans MT" w:hAnsi="Gill Sans MT" w:cs="Gill Sans MT"/>
          <w:spacing w:val="-9"/>
          <w:sz w:val="22"/>
          <w:szCs w:val="22"/>
        </w:rPr>
        <w:t xml:space="preserve"> </w:t>
      </w:r>
      <w:r>
        <w:rPr>
          <w:rFonts w:ascii="Gill Sans MT" w:hAnsi="Gill Sans MT" w:cs="Gill Sans MT"/>
          <w:sz w:val="22"/>
          <w:szCs w:val="22"/>
        </w:rPr>
        <w:t>established</w:t>
      </w:r>
      <w:r>
        <w:rPr>
          <w:rFonts w:ascii="Gill Sans MT" w:hAnsi="Gill Sans MT" w:cs="Gill Sans MT"/>
          <w:spacing w:val="-8"/>
          <w:sz w:val="22"/>
          <w:szCs w:val="22"/>
        </w:rPr>
        <w:t xml:space="preserve"> </w:t>
      </w:r>
      <w:r>
        <w:rPr>
          <w:rFonts w:ascii="Gill Sans MT" w:hAnsi="Gill Sans MT" w:cs="Gill Sans MT"/>
          <w:sz w:val="22"/>
          <w:szCs w:val="22"/>
        </w:rPr>
        <w:t>by</w:t>
      </w:r>
      <w:r>
        <w:rPr>
          <w:rFonts w:ascii="Gill Sans MT" w:hAnsi="Gill Sans MT" w:cs="Gill Sans MT"/>
          <w:spacing w:val="-9"/>
          <w:sz w:val="22"/>
          <w:szCs w:val="22"/>
        </w:rPr>
        <w:t xml:space="preserve"> </w:t>
      </w:r>
      <w:r>
        <w:rPr>
          <w:rFonts w:ascii="Gill Sans MT" w:hAnsi="Gill Sans MT" w:cs="Gill Sans MT"/>
          <w:sz w:val="22"/>
          <w:szCs w:val="22"/>
        </w:rPr>
        <w:t>Chapter</w:t>
      </w:r>
      <w:r>
        <w:rPr>
          <w:rFonts w:ascii="Gill Sans MT" w:hAnsi="Gill Sans MT" w:cs="Gill Sans MT"/>
          <w:spacing w:val="-11"/>
          <w:sz w:val="22"/>
          <w:szCs w:val="22"/>
        </w:rPr>
        <w:t xml:space="preserve"> </w:t>
      </w:r>
      <w:r>
        <w:rPr>
          <w:rFonts w:ascii="Gill Sans MT" w:hAnsi="Gill Sans MT" w:cs="Gill Sans MT"/>
          <w:sz w:val="22"/>
          <w:szCs w:val="22"/>
        </w:rPr>
        <w:t>257</w:t>
      </w:r>
      <w:r>
        <w:rPr>
          <w:rFonts w:ascii="Gill Sans MT" w:hAnsi="Gill Sans MT" w:cs="Gill Sans MT"/>
          <w:spacing w:val="-6"/>
          <w:sz w:val="22"/>
          <w:szCs w:val="22"/>
        </w:rPr>
        <w:t xml:space="preserve"> </w:t>
      </w:r>
      <w:r>
        <w:rPr>
          <w:rFonts w:ascii="Gill Sans MT" w:hAnsi="Gill Sans MT" w:cs="Gill Sans MT"/>
          <w:sz w:val="22"/>
          <w:szCs w:val="22"/>
        </w:rPr>
        <w:t>or</w:t>
      </w:r>
      <w:r>
        <w:rPr>
          <w:rFonts w:ascii="Gill Sans MT" w:hAnsi="Gill Sans MT" w:cs="Gill Sans MT"/>
          <w:spacing w:val="-9"/>
          <w:sz w:val="22"/>
          <w:szCs w:val="22"/>
        </w:rPr>
        <w:t xml:space="preserve"> </w:t>
      </w:r>
      <w:r>
        <w:rPr>
          <w:rFonts w:ascii="Gill Sans MT" w:hAnsi="Gill Sans MT" w:cs="Gill Sans MT"/>
          <w:spacing w:val="-3"/>
          <w:sz w:val="22"/>
          <w:szCs w:val="22"/>
        </w:rPr>
        <w:t>the</w:t>
      </w:r>
      <w:r>
        <w:rPr>
          <w:rFonts w:ascii="Gill Sans MT" w:hAnsi="Gill Sans MT" w:cs="Gill Sans MT"/>
          <w:spacing w:val="-4"/>
          <w:sz w:val="22"/>
          <w:szCs w:val="22"/>
        </w:rPr>
        <w:t xml:space="preserve"> </w:t>
      </w:r>
      <w:r>
        <w:rPr>
          <w:rFonts w:ascii="Gill Sans MT" w:hAnsi="Gill Sans MT" w:cs="Gill Sans MT"/>
          <w:sz w:val="22"/>
          <w:szCs w:val="22"/>
        </w:rPr>
        <w:t>Medicaid</w:t>
      </w:r>
      <w:r>
        <w:rPr>
          <w:rFonts w:ascii="Gill Sans MT" w:hAnsi="Gill Sans MT" w:cs="Gill Sans MT"/>
          <w:spacing w:val="-8"/>
          <w:sz w:val="22"/>
          <w:szCs w:val="22"/>
        </w:rPr>
        <w:t xml:space="preserve"> </w:t>
      </w:r>
      <w:r>
        <w:rPr>
          <w:rFonts w:ascii="Gill Sans MT" w:hAnsi="Gill Sans MT" w:cs="Gill Sans MT"/>
          <w:sz w:val="22"/>
          <w:szCs w:val="22"/>
        </w:rPr>
        <w:t>State</w:t>
      </w:r>
      <w:r>
        <w:rPr>
          <w:rFonts w:ascii="Gill Sans MT" w:hAnsi="Gill Sans MT" w:cs="Gill Sans MT"/>
          <w:spacing w:val="-6"/>
          <w:sz w:val="22"/>
          <w:szCs w:val="22"/>
        </w:rPr>
        <w:t xml:space="preserve"> </w:t>
      </w:r>
      <w:r>
        <w:rPr>
          <w:rFonts w:ascii="Gill Sans MT" w:hAnsi="Gill Sans MT" w:cs="Gill Sans MT"/>
          <w:spacing w:val="-3"/>
          <w:sz w:val="22"/>
          <w:szCs w:val="22"/>
        </w:rPr>
        <w:t>Plan</w:t>
      </w:r>
      <w:r>
        <w:rPr>
          <w:rFonts w:ascii="Gill Sans MT" w:hAnsi="Gill Sans MT" w:cs="Gill Sans MT"/>
          <w:spacing w:val="-8"/>
          <w:sz w:val="22"/>
          <w:szCs w:val="22"/>
        </w:rPr>
        <w:t xml:space="preserve"> </w:t>
      </w:r>
      <w:r>
        <w:rPr>
          <w:rFonts w:ascii="Gill Sans MT" w:hAnsi="Gill Sans MT" w:cs="Gill Sans MT"/>
          <w:sz w:val="22"/>
          <w:szCs w:val="22"/>
        </w:rPr>
        <w:t>fee</w:t>
      </w:r>
      <w:r>
        <w:rPr>
          <w:rFonts w:ascii="Gill Sans MT" w:hAnsi="Gill Sans MT" w:cs="Gill Sans MT"/>
          <w:spacing w:val="-6"/>
          <w:sz w:val="22"/>
          <w:szCs w:val="22"/>
        </w:rPr>
        <w:t xml:space="preserve"> </w:t>
      </w:r>
      <w:r>
        <w:rPr>
          <w:rFonts w:ascii="Gill Sans MT" w:hAnsi="Gill Sans MT" w:cs="Gill Sans MT"/>
          <w:spacing w:val="-3"/>
          <w:sz w:val="22"/>
          <w:szCs w:val="22"/>
        </w:rPr>
        <w:t>for</w:t>
      </w:r>
      <w:r>
        <w:rPr>
          <w:rFonts w:ascii="Gill Sans MT" w:hAnsi="Gill Sans MT" w:cs="Gill Sans MT"/>
          <w:spacing w:val="-12"/>
          <w:sz w:val="22"/>
          <w:szCs w:val="22"/>
        </w:rPr>
        <w:t xml:space="preserve"> </w:t>
      </w:r>
      <w:r>
        <w:rPr>
          <w:rFonts w:ascii="Gill Sans MT" w:hAnsi="Gill Sans MT" w:cs="Gill Sans MT"/>
          <w:sz w:val="22"/>
          <w:szCs w:val="22"/>
        </w:rPr>
        <w:t>service</w:t>
      </w:r>
      <w:r>
        <w:rPr>
          <w:rFonts w:ascii="Gill Sans MT" w:hAnsi="Gill Sans MT" w:cs="Gill Sans MT"/>
          <w:spacing w:val="-6"/>
          <w:sz w:val="22"/>
          <w:szCs w:val="22"/>
        </w:rPr>
        <w:t xml:space="preserve"> </w:t>
      </w:r>
      <w:r>
        <w:rPr>
          <w:rFonts w:ascii="Gill Sans MT" w:hAnsi="Gill Sans MT" w:cs="Gill Sans MT"/>
          <w:sz w:val="22"/>
          <w:szCs w:val="22"/>
        </w:rPr>
        <w:t xml:space="preserve">system for the same </w:t>
      </w:r>
      <w:r>
        <w:rPr>
          <w:rFonts w:ascii="Gill Sans MT" w:hAnsi="Gill Sans MT" w:cs="Gill Sans MT"/>
          <w:spacing w:val="-3"/>
          <w:sz w:val="22"/>
          <w:szCs w:val="22"/>
        </w:rPr>
        <w:t xml:space="preserve">services </w:t>
      </w:r>
      <w:r>
        <w:rPr>
          <w:rFonts w:ascii="Gill Sans MT" w:hAnsi="Gill Sans MT" w:cs="Gill Sans MT"/>
          <w:sz w:val="22"/>
          <w:szCs w:val="22"/>
        </w:rPr>
        <w:t>by Massachusetts laws and</w:t>
      </w:r>
      <w:r>
        <w:rPr>
          <w:rFonts w:ascii="Gill Sans MT" w:hAnsi="Gill Sans MT" w:cs="Gill Sans MT"/>
          <w:spacing w:val="-30"/>
          <w:sz w:val="22"/>
          <w:szCs w:val="22"/>
        </w:rPr>
        <w:t xml:space="preserve"> </w:t>
      </w:r>
      <w:r>
        <w:rPr>
          <w:rFonts w:ascii="Gill Sans MT" w:hAnsi="Gill Sans MT" w:cs="Gill Sans MT"/>
          <w:spacing w:val="-3"/>
          <w:sz w:val="22"/>
          <w:szCs w:val="22"/>
        </w:rPr>
        <w:t>regulations.</w:t>
      </w:r>
    </w:p>
    <w:p w:rsidR="002C5025" w:rsidRDefault="002C5025" w:rsidP="005632B1">
      <w:pPr>
        <w:pStyle w:val="ListParagraph"/>
        <w:numPr>
          <w:ilvl w:val="0"/>
          <w:numId w:val="97"/>
        </w:numPr>
        <w:tabs>
          <w:tab w:val="left" w:pos="1180"/>
        </w:tabs>
        <w:kinsoku w:val="0"/>
        <w:overflowPunct w:val="0"/>
        <w:spacing w:line="259" w:lineRule="auto"/>
        <w:ind w:right="109"/>
        <w:jc w:val="both"/>
        <w:rPr>
          <w:rFonts w:ascii="Gill Sans MT" w:hAnsi="Gill Sans MT" w:cs="Gill Sans MT"/>
          <w:sz w:val="22"/>
          <w:szCs w:val="22"/>
        </w:rPr>
      </w:pPr>
      <w:r>
        <w:rPr>
          <w:rFonts w:ascii="Gill Sans MT" w:hAnsi="Gill Sans MT" w:cs="Gill Sans MT"/>
          <w:w w:val="105"/>
          <w:sz w:val="22"/>
          <w:szCs w:val="22"/>
        </w:rPr>
        <w:t>Rates</w:t>
      </w:r>
      <w:r>
        <w:rPr>
          <w:rFonts w:ascii="Gill Sans MT" w:hAnsi="Gill Sans MT" w:cs="Gill Sans MT"/>
          <w:spacing w:val="-34"/>
          <w:w w:val="105"/>
          <w:sz w:val="22"/>
          <w:szCs w:val="22"/>
        </w:rPr>
        <w:t xml:space="preserve"> </w:t>
      </w:r>
      <w:r>
        <w:rPr>
          <w:rFonts w:ascii="Gill Sans MT" w:hAnsi="Gill Sans MT" w:cs="Gill Sans MT"/>
          <w:w w:val="105"/>
          <w:sz w:val="22"/>
          <w:szCs w:val="22"/>
        </w:rPr>
        <w:t>established</w:t>
      </w:r>
      <w:r>
        <w:rPr>
          <w:rFonts w:ascii="Gill Sans MT" w:hAnsi="Gill Sans MT" w:cs="Gill Sans MT"/>
          <w:spacing w:val="-37"/>
          <w:w w:val="105"/>
          <w:sz w:val="22"/>
          <w:szCs w:val="22"/>
        </w:rPr>
        <w:t xml:space="preserve"> </w:t>
      </w:r>
      <w:r>
        <w:rPr>
          <w:rFonts w:ascii="Gill Sans MT" w:hAnsi="Gill Sans MT" w:cs="Gill Sans MT"/>
          <w:w w:val="105"/>
          <w:sz w:val="22"/>
          <w:szCs w:val="22"/>
        </w:rPr>
        <w:t>by</w:t>
      </w:r>
      <w:r>
        <w:rPr>
          <w:rFonts w:ascii="Gill Sans MT" w:hAnsi="Gill Sans MT" w:cs="Gill Sans MT"/>
          <w:spacing w:val="-37"/>
          <w:w w:val="105"/>
          <w:sz w:val="22"/>
          <w:szCs w:val="22"/>
        </w:rPr>
        <w:t xml:space="preserve"> </w:t>
      </w:r>
      <w:r>
        <w:rPr>
          <w:rFonts w:ascii="Gill Sans MT" w:hAnsi="Gill Sans MT" w:cs="Gill Sans MT"/>
          <w:w w:val="105"/>
          <w:sz w:val="22"/>
          <w:szCs w:val="22"/>
        </w:rPr>
        <w:t>the</w:t>
      </w:r>
      <w:r>
        <w:rPr>
          <w:rFonts w:ascii="Gill Sans MT" w:hAnsi="Gill Sans MT" w:cs="Gill Sans MT"/>
          <w:spacing w:val="-37"/>
          <w:w w:val="105"/>
          <w:sz w:val="22"/>
          <w:szCs w:val="22"/>
        </w:rPr>
        <w:t xml:space="preserve"> </w:t>
      </w:r>
      <w:r>
        <w:rPr>
          <w:rFonts w:ascii="Gill Sans MT" w:hAnsi="Gill Sans MT" w:cs="Gill Sans MT"/>
          <w:w w:val="105"/>
          <w:sz w:val="22"/>
          <w:szCs w:val="22"/>
        </w:rPr>
        <w:t>ACO</w:t>
      </w:r>
      <w:r>
        <w:rPr>
          <w:rFonts w:ascii="Gill Sans MT" w:hAnsi="Gill Sans MT" w:cs="Gill Sans MT"/>
          <w:spacing w:val="-36"/>
          <w:w w:val="105"/>
          <w:sz w:val="22"/>
          <w:szCs w:val="22"/>
        </w:rPr>
        <w:t xml:space="preserve"> </w:t>
      </w:r>
      <w:r>
        <w:rPr>
          <w:rFonts w:ascii="Gill Sans MT" w:hAnsi="Gill Sans MT" w:cs="Gill Sans MT"/>
          <w:w w:val="105"/>
          <w:sz w:val="22"/>
          <w:szCs w:val="22"/>
        </w:rPr>
        <w:t>for</w:t>
      </w:r>
      <w:r>
        <w:rPr>
          <w:rFonts w:ascii="Gill Sans MT" w:hAnsi="Gill Sans MT" w:cs="Gill Sans MT"/>
          <w:spacing w:val="-37"/>
          <w:w w:val="105"/>
          <w:sz w:val="22"/>
          <w:szCs w:val="22"/>
        </w:rPr>
        <w:t xml:space="preserve"> </w:t>
      </w:r>
      <w:r>
        <w:rPr>
          <w:rFonts w:ascii="Gill Sans MT" w:hAnsi="Gill Sans MT" w:cs="Gill Sans MT"/>
          <w:w w:val="105"/>
          <w:sz w:val="22"/>
          <w:szCs w:val="22"/>
        </w:rPr>
        <w:t>Service</w:t>
      </w:r>
      <w:r>
        <w:rPr>
          <w:rFonts w:ascii="Gill Sans MT" w:hAnsi="Gill Sans MT" w:cs="Gill Sans MT"/>
          <w:spacing w:val="-37"/>
          <w:w w:val="105"/>
          <w:sz w:val="22"/>
          <w:szCs w:val="22"/>
        </w:rPr>
        <w:t xml:space="preserve"> </w:t>
      </w:r>
      <w:r>
        <w:rPr>
          <w:rFonts w:ascii="Gill Sans MT" w:hAnsi="Gill Sans MT" w:cs="Gill Sans MT"/>
          <w:w w:val="105"/>
          <w:sz w:val="22"/>
          <w:szCs w:val="22"/>
        </w:rPr>
        <w:t>Coordination</w:t>
      </w:r>
      <w:r>
        <w:rPr>
          <w:rFonts w:ascii="Gill Sans MT" w:hAnsi="Gill Sans MT" w:cs="Gill Sans MT"/>
          <w:spacing w:val="-35"/>
          <w:w w:val="105"/>
          <w:sz w:val="22"/>
          <w:szCs w:val="22"/>
        </w:rPr>
        <w:t xml:space="preserve"> </w:t>
      </w:r>
      <w:r>
        <w:rPr>
          <w:rFonts w:ascii="Gill Sans MT" w:hAnsi="Gill Sans MT" w:cs="Gill Sans MT"/>
          <w:w w:val="105"/>
          <w:sz w:val="22"/>
          <w:szCs w:val="22"/>
        </w:rPr>
        <w:t>and</w:t>
      </w:r>
      <w:r>
        <w:rPr>
          <w:rFonts w:ascii="Gill Sans MT" w:hAnsi="Gill Sans MT" w:cs="Gill Sans MT"/>
          <w:spacing w:val="-37"/>
          <w:w w:val="105"/>
          <w:sz w:val="22"/>
          <w:szCs w:val="22"/>
        </w:rPr>
        <w:t xml:space="preserve"> </w:t>
      </w:r>
      <w:r>
        <w:rPr>
          <w:rFonts w:ascii="Gill Sans MT" w:hAnsi="Gill Sans MT" w:cs="Gill Sans MT"/>
          <w:w w:val="105"/>
          <w:sz w:val="22"/>
          <w:szCs w:val="22"/>
        </w:rPr>
        <w:t>all</w:t>
      </w:r>
      <w:r>
        <w:rPr>
          <w:rFonts w:ascii="Gill Sans MT" w:hAnsi="Gill Sans MT" w:cs="Gill Sans MT"/>
          <w:spacing w:val="-36"/>
          <w:w w:val="105"/>
          <w:sz w:val="22"/>
          <w:szCs w:val="22"/>
        </w:rPr>
        <w:t xml:space="preserve"> </w:t>
      </w:r>
      <w:r>
        <w:rPr>
          <w:rFonts w:ascii="Gill Sans MT" w:hAnsi="Gill Sans MT" w:cs="Gill Sans MT"/>
          <w:w w:val="105"/>
          <w:sz w:val="22"/>
          <w:szCs w:val="22"/>
        </w:rPr>
        <w:t>other</w:t>
      </w:r>
      <w:r>
        <w:rPr>
          <w:rFonts w:ascii="Gill Sans MT" w:hAnsi="Gill Sans MT" w:cs="Gill Sans MT"/>
          <w:spacing w:val="-37"/>
          <w:w w:val="105"/>
          <w:sz w:val="22"/>
          <w:szCs w:val="22"/>
        </w:rPr>
        <w:t xml:space="preserve"> </w:t>
      </w:r>
      <w:r>
        <w:rPr>
          <w:rFonts w:ascii="Gill Sans MT" w:hAnsi="Gill Sans MT" w:cs="Gill Sans MT"/>
          <w:w w:val="105"/>
          <w:sz w:val="22"/>
          <w:szCs w:val="22"/>
        </w:rPr>
        <w:t>provider</w:t>
      </w:r>
      <w:r>
        <w:rPr>
          <w:rFonts w:ascii="Gill Sans MT" w:hAnsi="Gill Sans MT" w:cs="Gill Sans MT"/>
          <w:spacing w:val="-37"/>
          <w:w w:val="105"/>
          <w:sz w:val="22"/>
          <w:szCs w:val="22"/>
        </w:rPr>
        <w:t xml:space="preserve"> </w:t>
      </w:r>
      <w:r>
        <w:rPr>
          <w:rFonts w:ascii="Gill Sans MT" w:hAnsi="Gill Sans MT" w:cs="Gill Sans MT"/>
          <w:w w:val="105"/>
          <w:sz w:val="22"/>
          <w:szCs w:val="22"/>
        </w:rPr>
        <w:t>services</w:t>
      </w:r>
      <w:r>
        <w:rPr>
          <w:rFonts w:ascii="Gill Sans MT" w:hAnsi="Gill Sans MT" w:cs="Gill Sans MT"/>
          <w:spacing w:val="-35"/>
          <w:w w:val="105"/>
          <w:sz w:val="22"/>
          <w:szCs w:val="22"/>
        </w:rPr>
        <w:t xml:space="preserve"> </w:t>
      </w:r>
      <w:r>
        <w:rPr>
          <w:rFonts w:ascii="Gill Sans MT" w:hAnsi="Gill Sans MT" w:cs="Gill Sans MT"/>
          <w:w w:val="105"/>
          <w:sz w:val="22"/>
          <w:szCs w:val="22"/>
        </w:rPr>
        <w:t>should</w:t>
      </w:r>
      <w:r>
        <w:rPr>
          <w:rFonts w:ascii="Gill Sans MT" w:hAnsi="Gill Sans MT" w:cs="Gill Sans MT"/>
          <w:spacing w:val="-33"/>
          <w:w w:val="105"/>
          <w:sz w:val="22"/>
          <w:szCs w:val="22"/>
        </w:rPr>
        <w:t xml:space="preserve"> </w:t>
      </w:r>
      <w:r>
        <w:rPr>
          <w:rFonts w:ascii="Gill Sans MT" w:hAnsi="Gill Sans MT" w:cs="Gill Sans MT"/>
          <w:w w:val="105"/>
          <w:sz w:val="22"/>
          <w:szCs w:val="22"/>
        </w:rPr>
        <w:t xml:space="preserve">be appealed to the </w:t>
      </w:r>
      <w:r>
        <w:rPr>
          <w:rFonts w:ascii="Arial Narrow" w:hAnsi="Arial Narrow" w:cs="Arial Narrow"/>
          <w:w w:val="105"/>
          <w:sz w:val="22"/>
          <w:szCs w:val="22"/>
        </w:rPr>
        <w:t xml:space="preserve">Commonwealth’s Center for Health Care Information, should a provider be able to </w:t>
      </w:r>
      <w:r>
        <w:rPr>
          <w:rFonts w:ascii="Gill Sans MT" w:hAnsi="Gill Sans MT" w:cs="Gill Sans MT"/>
          <w:spacing w:val="-3"/>
          <w:sz w:val="22"/>
          <w:szCs w:val="22"/>
        </w:rPr>
        <w:t xml:space="preserve">demonstrate </w:t>
      </w:r>
      <w:r>
        <w:rPr>
          <w:rFonts w:ascii="Gill Sans MT" w:hAnsi="Gill Sans MT" w:cs="Gill Sans MT"/>
          <w:sz w:val="22"/>
          <w:szCs w:val="22"/>
        </w:rPr>
        <w:t>insufficiency of</w:t>
      </w:r>
      <w:r>
        <w:rPr>
          <w:rFonts w:ascii="Gill Sans MT" w:hAnsi="Gill Sans MT" w:cs="Gill Sans MT"/>
          <w:spacing w:val="-27"/>
          <w:sz w:val="22"/>
          <w:szCs w:val="22"/>
        </w:rPr>
        <w:t xml:space="preserve"> </w:t>
      </w:r>
      <w:r>
        <w:rPr>
          <w:rFonts w:ascii="Gill Sans MT" w:hAnsi="Gill Sans MT" w:cs="Gill Sans MT"/>
          <w:sz w:val="22"/>
          <w:szCs w:val="22"/>
        </w:rPr>
        <w:t>rates.</w:t>
      </w:r>
    </w:p>
    <w:p w:rsidR="002C5025" w:rsidRDefault="002C5025" w:rsidP="005632B1">
      <w:pPr>
        <w:pStyle w:val="ListParagraph"/>
        <w:numPr>
          <w:ilvl w:val="0"/>
          <w:numId w:val="97"/>
        </w:numPr>
        <w:tabs>
          <w:tab w:val="left" w:pos="1180"/>
        </w:tabs>
        <w:kinsoku w:val="0"/>
        <w:overflowPunct w:val="0"/>
        <w:spacing w:before="3" w:line="259" w:lineRule="auto"/>
        <w:ind w:right="118"/>
        <w:jc w:val="both"/>
        <w:rPr>
          <w:rFonts w:ascii="Gill Sans MT" w:hAnsi="Gill Sans MT" w:cs="Gill Sans MT"/>
          <w:sz w:val="22"/>
          <w:szCs w:val="22"/>
        </w:rPr>
      </w:pPr>
      <w:r>
        <w:rPr>
          <w:rFonts w:ascii="Gill Sans MT" w:hAnsi="Gill Sans MT" w:cs="Gill Sans MT"/>
          <w:spacing w:val="-3"/>
          <w:sz w:val="22"/>
          <w:szCs w:val="22"/>
        </w:rPr>
        <w:t>Rates</w:t>
      </w:r>
      <w:r>
        <w:rPr>
          <w:rFonts w:ascii="Gill Sans MT" w:hAnsi="Gill Sans MT" w:cs="Gill Sans MT"/>
          <w:spacing w:val="-9"/>
          <w:sz w:val="22"/>
          <w:szCs w:val="22"/>
        </w:rPr>
        <w:t xml:space="preserve"> </w:t>
      </w:r>
      <w:r>
        <w:rPr>
          <w:rFonts w:ascii="Gill Sans MT" w:hAnsi="Gill Sans MT" w:cs="Gill Sans MT"/>
          <w:sz w:val="22"/>
          <w:szCs w:val="22"/>
        </w:rPr>
        <w:t>established</w:t>
      </w:r>
      <w:r>
        <w:rPr>
          <w:rFonts w:ascii="Gill Sans MT" w:hAnsi="Gill Sans MT" w:cs="Gill Sans MT"/>
          <w:spacing w:val="-8"/>
          <w:sz w:val="22"/>
          <w:szCs w:val="22"/>
        </w:rPr>
        <w:t xml:space="preserve"> </w:t>
      </w:r>
      <w:r>
        <w:rPr>
          <w:rFonts w:ascii="Gill Sans MT" w:hAnsi="Gill Sans MT" w:cs="Gill Sans MT"/>
          <w:sz w:val="22"/>
          <w:szCs w:val="22"/>
        </w:rPr>
        <w:t>for</w:t>
      </w:r>
      <w:r>
        <w:rPr>
          <w:rFonts w:ascii="Gill Sans MT" w:hAnsi="Gill Sans MT" w:cs="Gill Sans MT"/>
          <w:spacing w:val="-9"/>
          <w:sz w:val="22"/>
          <w:szCs w:val="22"/>
        </w:rPr>
        <w:t xml:space="preserve"> </w:t>
      </w:r>
      <w:r>
        <w:rPr>
          <w:rFonts w:ascii="Gill Sans MT" w:hAnsi="Gill Sans MT" w:cs="Gill Sans MT"/>
          <w:sz w:val="22"/>
          <w:szCs w:val="22"/>
        </w:rPr>
        <w:t>the</w:t>
      </w:r>
      <w:r>
        <w:rPr>
          <w:rFonts w:ascii="Gill Sans MT" w:hAnsi="Gill Sans MT" w:cs="Gill Sans MT"/>
          <w:spacing w:val="-9"/>
          <w:sz w:val="22"/>
          <w:szCs w:val="22"/>
        </w:rPr>
        <w:t xml:space="preserve"> </w:t>
      </w:r>
      <w:r>
        <w:rPr>
          <w:rFonts w:ascii="Gill Sans MT" w:hAnsi="Gill Sans MT" w:cs="Gill Sans MT"/>
          <w:spacing w:val="-3"/>
          <w:sz w:val="22"/>
          <w:szCs w:val="22"/>
        </w:rPr>
        <w:t>CPs</w:t>
      </w:r>
      <w:r>
        <w:rPr>
          <w:rFonts w:ascii="Gill Sans MT" w:hAnsi="Gill Sans MT" w:cs="Gill Sans MT"/>
          <w:spacing w:val="-9"/>
          <w:sz w:val="22"/>
          <w:szCs w:val="22"/>
        </w:rPr>
        <w:t xml:space="preserve"> </w:t>
      </w:r>
      <w:r>
        <w:rPr>
          <w:rFonts w:ascii="Gill Sans MT" w:hAnsi="Gill Sans MT" w:cs="Gill Sans MT"/>
          <w:sz w:val="22"/>
          <w:szCs w:val="22"/>
        </w:rPr>
        <w:t>need</w:t>
      </w:r>
      <w:r>
        <w:rPr>
          <w:rFonts w:ascii="Gill Sans MT" w:hAnsi="Gill Sans MT" w:cs="Gill Sans MT"/>
          <w:spacing w:val="-8"/>
          <w:sz w:val="22"/>
          <w:szCs w:val="22"/>
        </w:rPr>
        <w:t xml:space="preserve"> </w:t>
      </w:r>
      <w:r>
        <w:rPr>
          <w:rFonts w:ascii="Gill Sans MT" w:hAnsi="Gill Sans MT" w:cs="Gill Sans MT"/>
          <w:sz w:val="22"/>
          <w:szCs w:val="22"/>
        </w:rPr>
        <w:t>to</w:t>
      </w:r>
      <w:r>
        <w:rPr>
          <w:rFonts w:ascii="Gill Sans MT" w:hAnsi="Gill Sans MT" w:cs="Gill Sans MT"/>
          <w:spacing w:val="-10"/>
          <w:sz w:val="22"/>
          <w:szCs w:val="22"/>
        </w:rPr>
        <w:t xml:space="preserve"> </w:t>
      </w:r>
      <w:r>
        <w:rPr>
          <w:rFonts w:ascii="Gill Sans MT" w:hAnsi="Gill Sans MT" w:cs="Gill Sans MT"/>
          <w:sz w:val="22"/>
          <w:szCs w:val="22"/>
        </w:rPr>
        <w:t>take</w:t>
      </w:r>
      <w:r>
        <w:rPr>
          <w:rFonts w:ascii="Gill Sans MT" w:hAnsi="Gill Sans MT" w:cs="Gill Sans MT"/>
          <w:spacing w:val="-8"/>
          <w:sz w:val="22"/>
          <w:szCs w:val="22"/>
        </w:rPr>
        <w:t xml:space="preserve"> </w:t>
      </w:r>
      <w:r>
        <w:rPr>
          <w:rFonts w:ascii="Gill Sans MT" w:hAnsi="Gill Sans MT" w:cs="Gill Sans MT"/>
          <w:sz w:val="22"/>
          <w:szCs w:val="22"/>
        </w:rPr>
        <w:t>into</w:t>
      </w:r>
      <w:r>
        <w:rPr>
          <w:rFonts w:ascii="Gill Sans MT" w:hAnsi="Gill Sans MT" w:cs="Gill Sans MT"/>
          <w:spacing w:val="-10"/>
          <w:sz w:val="22"/>
          <w:szCs w:val="22"/>
        </w:rPr>
        <w:t xml:space="preserve"> </w:t>
      </w:r>
      <w:r>
        <w:rPr>
          <w:rFonts w:ascii="Gill Sans MT" w:hAnsi="Gill Sans MT" w:cs="Gill Sans MT"/>
          <w:spacing w:val="-3"/>
          <w:sz w:val="22"/>
          <w:szCs w:val="22"/>
        </w:rPr>
        <w:t>consideration</w:t>
      </w:r>
      <w:r>
        <w:rPr>
          <w:rFonts w:ascii="Gill Sans MT" w:hAnsi="Gill Sans MT" w:cs="Gill Sans MT"/>
          <w:spacing w:val="-8"/>
          <w:sz w:val="22"/>
          <w:szCs w:val="22"/>
        </w:rPr>
        <w:t xml:space="preserve"> </w:t>
      </w:r>
      <w:r>
        <w:rPr>
          <w:rFonts w:ascii="Gill Sans MT" w:hAnsi="Gill Sans MT" w:cs="Gill Sans MT"/>
          <w:sz w:val="22"/>
          <w:szCs w:val="22"/>
        </w:rPr>
        <w:t>the</w:t>
      </w:r>
      <w:r>
        <w:rPr>
          <w:rFonts w:ascii="Gill Sans MT" w:hAnsi="Gill Sans MT" w:cs="Gill Sans MT"/>
          <w:spacing w:val="-6"/>
          <w:sz w:val="22"/>
          <w:szCs w:val="22"/>
        </w:rPr>
        <w:t xml:space="preserve"> </w:t>
      </w:r>
      <w:r>
        <w:rPr>
          <w:rFonts w:ascii="Gill Sans MT" w:hAnsi="Gill Sans MT" w:cs="Gill Sans MT"/>
          <w:sz w:val="22"/>
          <w:szCs w:val="22"/>
        </w:rPr>
        <w:t>complex</w:t>
      </w:r>
      <w:r>
        <w:rPr>
          <w:rFonts w:ascii="Gill Sans MT" w:hAnsi="Gill Sans MT" w:cs="Gill Sans MT"/>
          <w:spacing w:val="-11"/>
          <w:sz w:val="22"/>
          <w:szCs w:val="22"/>
        </w:rPr>
        <w:t xml:space="preserve"> </w:t>
      </w:r>
      <w:r>
        <w:rPr>
          <w:rFonts w:ascii="Gill Sans MT" w:hAnsi="Gill Sans MT" w:cs="Gill Sans MT"/>
          <w:sz w:val="22"/>
          <w:szCs w:val="22"/>
        </w:rPr>
        <w:t>needs</w:t>
      </w:r>
      <w:r>
        <w:rPr>
          <w:rFonts w:ascii="Gill Sans MT" w:hAnsi="Gill Sans MT" w:cs="Gill Sans MT"/>
          <w:spacing w:val="-12"/>
          <w:sz w:val="22"/>
          <w:szCs w:val="22"/>
        </w:rPr>
        <w:t xml:space="preserve"> </w:t>
      </w:r>
      <w:r>
        <w:rPr>
          <w:rFonts w:ascii="Gill Sans MT" w:hAnsi="Gill Sans MT" w:cs="Gill Sans MT"/>
          <w:sz w:val="22"/>
          <w:szCs w:val="22"/>
        </w:rPr>
        <w:t>of</w:t>
      </w:r>
      <w:r>
        <w:rPr>
          <w:rFonts w:ascii="Gill Sans MT" w:hAnsi="Gill Sans MT" w:cs="Gill Sans MT"/>
          <w:spacing w:val="-8"/>
          <w:sz w:val="22"/>
          <w:szCs w:val="22"/>
        </w:rPr>
        <w:t xml:space="preserve"> </w:t>
      </w:r>
      <w:r>
        <w:rPr>
          <w:rFonts w:ascii="Gill Sans MT" w:hAnsi="Gill Sans MT" w:cs="Gill Sans MT"/>
          <w:spacing w:val="-3"/>
          <w:sz w:val="22"/>
          <w:szCs w:val="22"/>
        </w:rPr>
        <w:t>members</w:t>
      </w:r>
      <w:r>
        <w:rPr>
          <w:rFonts w:ascii="Gill Sans MT" w:hAnsi="Gill Sans MT" w:cs="Gill Sans MT"/>
          <w:spacing w:val="-9"/>
          <w:sz w:val="22"/>
          <w:szCs w:val="22"/>
        </w:rPr>
        <w:t xml:space="preserve"> </w:t>
      </w:r>
      <w:r>
        <w:rPr>
          <w:rFonts w:ascii="Gill Sans MT" w:hAnsi="Gill Sans MT" w:cs="Gill Sans MT"/>
          <w:sz w:val="22"/>
          <w:szCs w:val="22"/>
        </w:rPr>
        <w:t>with I/DD.</w:t>
      </w:r>
    </w:p>
    <w:p w:rsidR="002C5025" w:rsidRDefault="002C5025">
      <w:pPr>
        <w:pStyle w:val="BodyText"/>
        <w:kinsoku w:val="0"/>
        <w:overflowPunct w:val="0"/>
        <w:spacing w:before="11"/>
        <w:rPr>
          <w:rFonts w:ascii="Gill Sans MT" w:hAnsi="Gill Sans MT" w:cs="Gill Sans MT"/>
          <w:sz w:val="25"/>
          <w:szCs w:val="25"/>
        </w:rPr>
      </w:pPr>
    </w:p>
    <w:p w:rsidR="002C5025" w:rsidRDefault="002C5025" w:rsidP="005632B1">
      <w:pPr>
        <w:pStyle w:val="BodyText"/>
        <w:numPr>
          <w:ilvl w:val="1"/>
          <w:numId w:val="99"/>
        </w:numPr>
        <w:tabs>
          <w:tab w:val="left" w:pos="1951"/>
        </w:tabs>
        <w:kinsoku w:val="0"/>
        <w:overflowPunct w:val="0"/>
        <w:rPr>
          <w:rFonts w:ascii="Arial Narrow" w:hAnsi="Arial Narrow" w:cs="Arial Narrow"/>
          <w:b/>
          <w:bCs/>
          <w:color w:val="0E233D"/>
          <w:w w:val="105"/>
        </w:rPr>
      </w:pPr>
      <w:bookmarkStart w:id="61" w:name="4._CMS/Mass_Health_Public_Transparency:"/>
      <w:bookmarkEnd w:id="61"/>
      <w:r>
        <w:rPr>
          <w:rFonts w:ascii="Arial Narrow" w:hAnsi="Arial Narrow" w:cs="Arial Narrow"/>
          <w:b/>
          <w:bCs/>
          <w:color w:val="001F5F"/>
          <w:w w:val="105"/>
        </w:rPr>
        <w:t>CMS/Mass</w:t>
      </w:r>
      <w:r>
        <w:rPr>
          <w:rFonts w:ascii="Arial Narrow" w:hAnsi="Arial Narrow" w:cs="Arial Narrow"/>
          <w:b/>
          <w:bCs/>
          <w:color w:val="001F5F"/>
          <w:spacing w:val="-38"/>
          <w:w w:val="105"/>
        </w:rPr>
        <w:t xml:space="preserve"> </w:t>
      </w:r>
      <w:r>
        <w:rPr>
          <w:rFonts w:ascii="Arial Narrow" w:hAnsi="Arial Narrow" w:cs="Arial Narrow"/>
          <w:b/>
          <w:bCs/>
          <w:color w:val="001F5F"/>
          <w:w w:val="105"/>
        </w:rPr>
        <w:t>Health</w:t>
      </w:r>
      <w:r>
        <w:rPr>
          <w:rFonts w:ascii="Arial Narrow" w:hAnsi="Arial Narrow" w:cs="Arial Narrow"/>
          <w:b/>
          <w:bCs/>
          <w:color w:val="001F5F"/>
          <w:spacing w:val="-39"/>
          <w:w w:val="105"/>
        </w:rPr>
        <w:t xml:space="preserve"> </w:t>
      </w:r>
      <w:r>
        <w:rPr>
          <w:rFonts w:ascii="Arial Narrow" w:hAnsi="Arial Narrow" w:cs="Arial Narrow"/>
          <w:b/>
          <w:bCs/>
          <w:color w:val="0E233D"/>
          <w:w w:val="105"/>
        </w:rPr>
        <w:t>Public</w:t>
      </w:r>
      <w:r>
        <w:rPr>
          <w:rFonts w:ascii="Arial Narrow" w:hAnsi="Arial Narrow" w:cs="Arial Narrow"/>
          <w:b/>
          <w:bCs/>
          <w:color w:val="0E233D"/>
          <w:spacing w:val="-38"/>
          <w:w w:val="105"/>
        </w:rPr>
        <w:t xml:space="preserve"> </w:t>
      </w:r>
      <w:r>
        <w:rPr>
          <w:rFonts w:ascii="Arial Narrow" w:hAnsi="Arial Narrow" w:cs="Arial Narrow"/>
          <w:b/>
          <w:bCs/>
          <w:color w:val="0E233D"/>
          <w:w w:val="105"/>
        </w:rPr>
        <w:t>Transparency:</w:t>
      </w:r>
    </w:p>
    <w:p w:rsidR="002C5025" w:rsidRDefault="002C5025">
      <w:pPr>
        <w:pStyle w:val="BodyText"/>
        <w:kinsoku w:val="0"/>
        <w:overflowPunct w:val="0"/>
        <w:spacing w:before="9"/>
        <w:rPr>
          <w:rFonts w:ascii="Arial Narrow" w:hAnsi="Arial Narrow" w:cs="Arial Narrow"/>
          <w:b/>
          <w:bCs/>
          <w:sz w:val="24"/>
          <w:szCs w:val="24"/>
        </w:rPr>
      </w:pPr>
    </w:p>
    <w:p w:rsidR="002C5025" w:rsidRPr="005632B1" w:rsidRDefault="002C5025" w:rsidP="005632B1">
      <w:pPr>
        <w:pStyle w:val="ListParagraph"/>
        <w:numPr>
          <w:ilvl w:val="0"/>
          <w:numId w:val="98"/>
        </w:numPr>
        <w:tabs>
          <w:tab w:val="left" w:pos="1181"/>
        </w:tabs>
        <w:kinsoku w:val="0"/>
        <w:overflowPunct w:val="0"/>
        <w:spacing w:line="261" w:lineRule="auto"/>
        <w:ind w:right="115"/>
        <w:jc w:val="both"/>
        <w:rPr>
          <w:rFonts w:ascii="Gill Sans MT" w:hAnsi="Gill Sans MT" w:cs="Gill Sans MT"/>
          <w:sz w:val="22"/>
          <w:szCs w:val="22"/>
        </w:rPr>
      </w:pPr>
      <w:r w:rsidRPr="005632B1">
        <w:rPr>
          <w:rFonts w:ascii="Gill Sans MT" w:hAnsi="Gill Sans MT" w:cs="Gill Sans MT"/>
          <w:sz w:val="22"/>
          <w:szCs w:val="22"/>
        </w:rPr>
        <w:t xml:space="preserve">The CMS/Mass </w:t>
      </w:r>
      <w:r w:rsidRPr="005632B1">
        <w:rPr>
          <w:rFonts w:ascii="Gill Sans MT" w:hAnsi="Gill Sans MT" w:cs="Gill Sans MT"/>
          <w:spacing w:val="-3"/>
          <w:sz w:val="22"/>
          <w:szCs w:val="22"/>
        </w:rPr>
        <w:t xml:space="preserve">Health Agreement </w:t>
      </w:r>
      <w:r w:rsidRPr="005632B1">
        <w:rPr>
          <w:rFonts w:ascii="Gill Sans MT" w:hAnsi="Gill Sans MT" w:cs="Gill Sans MT"/>
          <w:sz w:val="22"/>
          <w:szCs w:val="22"/>
        </w:rPr>
        <w:t xml:space="preserve">shall </w:t>
      </w:r>
      <w:r w:rsidRPr="005632B1">
        <w:rPr>
          <w:rFonts w:ascii="Gill Sans MT" w:hAnsi="Gill Sans MT" w:cs="Gill Sans MT"/>
          <w:spacing w:val="-3"/>
          <w:sz w:val="22"/>
          <w:szCs w:val="22"/>
        </w:rPr>
        <w:t xml:space="preserve">require </w:t>
      </w:r>
      <w:r w:rsidRPr="005632B1">
        <w:rPr>
          <w:rFonts w:ascii="Gill Sans MT" w:hAnsi="Gill Sans MT" w:cs="Gill Sans MT"/>
          <w:sz w:val="22"/>
          <w:szCs w:val="22"/>
        </w:rPr>
        <w:t xml:space="preserve">ACOs to </w:t>
      </w:r>
      <w:r w:rsidRPr="005632B1">
        <w:rPr>
          <w:rFonts w:ascii="Gill Sans MT" w:hAnsi="Gill Sans MT" w:cs="Gill Sans MT"/>
          <w:spacing w:val="-3"/>
          <w:sz w:val="22"/>
          <w:szCs w:val="22"/>
        </w:rPr>
        <w:t xml:space="preserve">report </w:t>
      </w:r>
      <w:r w:rsidRPr="005632B1">
        <w:rPr>
          <w:rFonts w:ascii="Gill Sans MT" w:hAnsi="Gill Sans MT" w:cs="Gill Sans MT"/>
          <w:sz w:val="22"/>
          <w:szCs w:val="22"/>
        </w:rPr>
        <w:t xml:space="preserve">monthly on the utilization of all </w:t>
      </w:r>
      <w:r w:rsidRPr="005632B1">
        <w:rPr>
          <w:rFonts w:ascii="Gill Sans MT" w:hAnsi="Gill Sans MT" w:cs="Gill Sans MT"/>
          <w:spacing w:val="-3"/>
          <w:sz w:val="22"/>
          <w:szCs w:val="22"/>
        </w:rPr>
        <w:t xml:space="preserve">major service </w:t>
      </w:r>
      <w:r w:rsidRPr="005632B1">
        <w:rPr>
          <w:rFonts w:ascii="Gill Sans MT" w:hAnsi="Gill Sans MT" w:cs="Gill Sans MT"/>
          <w:sz w:val="22"/>
          <w:szCs w:val="22"/>
        </w:rPr>
        <w:t xml:space="preserve">codes, inclusive of health care, long </w:t>
      </w:r>
      <w:r w:rsidRPr="005632B1">
        <w:rPr>
          <w:rFonts w:ascii="Gill Sans MT" w:hAnsi="Gill Sans MT" w:cs="Gill Sans MT"/>
          <w:spacing w:val="-3"/>
          <w:sz w:val="22"/>
          <w:szCs w:val="22"/>
        </w:rPr>
        <w:t xml:space="preserve">term service </w:t>
      </w:r>
      <w:r w:rsidRPr="005632B1">
        <w:rPr>
          <w:rFonts w:ascii="Gill Sans MT" w:hAnsi="Gill Sans MT" w:cs="Gill Sans MT"/>
          <w:sz w:val="22"/>
          <w:szCs w:val="22"/>
        </w:rPr>
        <w:t xml:space="preserve">and </w:t>
      </w:r>
      <w:r w:rsidRPr="005632B1">
        <w:rPr>
          <w:rFonts w:ascii="Gill Sans MT" w:hAnsi="Gill Sans MT" w:cs="Gill Sans MT"/>
          <w:spacing w:val="-3"/>
          <w:sz w:val="22"/>
          <w:szCs w:val="22"/>
        </w:rPr>
        <w:t xml:space="preserve">supports, </w:t>
      </w:r>
      <w:r w:rsidRPr="005632B1">
        <w:rPr>
          <w:rFonts w:ascii="Gill Sans MT" w:hAnsi="Gill Sans MT" w:cs="Gill Sans MT"/>
          <w:sz w:val="22"/>
          <w:szCs w:val="22"/>
        </w:rPr>
        <w:t xml:space="preserve">Medicaid </w:t>
      </w:r>
      <w:r w:rsidRPr="005632B1">
        <w:rPr>
          <w:rFonts w:ascii="Gill Sans MT" w:hAnsi="Gill Sans MT" w:cs="Gill Sans MT"/>
          <w:spacing w:val="-5"/>
          <w:sz w:val="22"/>
          <w:szCs w:val="22"/>
        </w:rPr>
        <w:t xml:space="preserve">and </w:t>
      </w:r>
      <w:r w:rsidRPr="005632B1">
        <w:rPr>
          <w:rFonts w:ascii="Gill Sans MT" w:hAnsi="Gill Sans MT" w:cs="Gill Sans MT"/>
          <w:spacing w:val="-3"/>
          <w:sz w:val="22"/>
          <w:szCs w:val="22"/>
        </w:rPr>
        <w:t>Medicare</w:t>
      </w:r>
      <w:r w:rsidRPr="005632B1">
        <w:rPr>
          <w:rFonts w:ascii="Gill Sans MT" w:hAnsi="Gill Sans MT" w:cs="Gill Sans MT"/>
          <w:spacing w:val="-21"/>
          <w:sz w:val="22"/>
          <w:szCs w:val="22"/>
        </w:rPr>
        <w:t xml:space="preserve"> </w:t>
      </w:r>
      <w:r w:rsidRPr="005632B1">
        <w:rPr>
          <w:rFonts w:ascii="Gill Sans MT" w:hAnsi="Gill Sans MT" w:cs="Gill Sans MT"/>
          <w:spacing w:val="-3"/>
          <w:sz w:val="22"/>
          <w:szCs w:val="22"/>
        </w:rPr>
        <w:t>Acute</w:t>
      </w:r>
      <w:r w:rsidRPr="005632B1">
        <w:rPr>
          <w:rFonts w:ascii="Gill Sans MT" w:hAnsi="Gill Sans MT" w:cs="Gill Sans MT"/>
          <w:spacing w:val="-24"/>
          <w:sz w:val="22"/>
          <w:szCs w:val="22"/>
        </w:rPr>
        <w:t xml:space="preserve"> </w:t>
      </w:r>
      <w:r w:rsidRPr="005632B1">
        <w:rPr>
          <w:rFonts w:ascii="Gill Sans MT" w:hAnsi="Gill Sans MT" w:cs="Gill Sans MT"/>
          <w:spacing w:val="-3"/>
          <w:sz w:val="22"/>
          <w:szCs w:val="22"/>
        </w:rPr>
        <w:t>Care,</w:t>
      </w:r>
      <w:r w:rsidRPr="005632B1">
        <w:rPr>
          <w:rFonts w:ascii="Gill Sans MT" w:hAnsi="Gill Sans MT" w:cs="Gill Sans MT"/>
          <w:spacing w:val="-22"/>
          <w:sz w:val="22"/>
          <w:szCs w:val="22"/>
        </w:rPr>
        <w:t xml:space="preserve"> </w:t>
      </w:r>
      <w:r w:rsidRPr="005632B1">
        <w:rPr>
          <w:rFonts w:ascii="Gill Sans MT" w:hAnsi="Gill Sans MT" w:cs="Gill Sans MT"/>
          <w:spacing w:val="-4"/>
          <w:sz w:val="22"/>
          <w:szCs w:val="22"/>
        </w:rPr>
        <w:t>emergency</w:t>
      </w:r>
      <w:r w:rsidRPr="005632B1">
        <w:rPr>
          <w:rFonts w:ascii="Gill Sans MT" w:hAnsi="Gill Sans MT" w:cs="Gill Sans MT"/>
          <w:spacing w:val="-22"/>
          <w:sz w:val="22"/>
          <w:szCs w:val="22"/>
        </w:rPr>
        <w:t xml:space="preserve"> </w:t>
      </w:r>
      <w:r w:rsidRPr="005632B1">
        <w:rPr>
          <w:rFonts w:ascii="Gill Sans MT" w:hAnsi="Gill Sans MT" w:cs="Gill Sans MT"/>
          <w:sz w:val="22"/>
          <w:szCs w:val="22"/>
        </w:rPr>
        <w:t>room</w:t>
      </w:r>
      <w:r w:rsidRPr="005632B1">
        <w:rPr>
          <w:rFonts w:ascii="Gill Sans MT" w:hAnsi="Gill Sans MT" w:cs="Gill Sans MT"/>
          <w:spacing w:val="-26"/>
          <w:sz w:val="22"/>
          <w:szCs w:val="22"/>
        </w:rPr>
        <w:t xml:space="preserve"> </w:t>
      </w:r>
      <w:r w:rsidRPr="005632B1">
        <w:rPr>
          <w:rFonts w:ascii="Gill Sans MT" w:hAnsi="Gill Sans MT" w:cs="Gill Sans MT"/>
          <w:spacing w:val="-3"/>
          <w:sz w:val="22"/>
          <w:szCs w:val="22"/>
        </w:rPr>
        <w:t>services,</w:t>
      </w:r>
      <w:r w:rsidRPr="005632B1">
        <w:rPr>
          <w:rFonts w:ascii="Gill Sans MT" w:hAnsi="Gill Sans MT" w:cs="Gill Sans MT"/>
          <w:spacing w:val="-19"/>
          <w:sz w:val="22"/>
          <w:szCs w:val="22"/>
        </w:rPr>
        <w:t xml:space="preserve"> </w:t>
      </w:r>
      <w:r w:rsidRPr="005632B1">
        <w:rPr>
          <w:rFonts w:ascii="Gill Sans MT" w:hAnsi="Gill Sans MT" w:cs="Gill Sans MT"/>
          <w:sz w:val="22"/>
          <w:szCs w:val="22"/>
        </w:rPr>
        <w:t>hospital</w:t>
      </w:r>
      <w:r w:rsidRPr="005632B1">
        <w:rPr>
          <w:rFonts w:ascii="Gill Sans MT" w:hAnsi="Gill Sans MT" w:cs="Gill Sans MT"/>
          <w:spacing w:val="-19"/>
          <w:sz w:val="22"/>
          <w:szCs w:val="22"/>
        </w:rPr>
        <w:t xml:space="preserve"> </w:t>
      </w:r>
      <w:r w:rsidRPr="005632B1">
        <w:rPr>
          <w:rFonts w:ascii="Gill Sans MT" w:hAnsi="Gill Sans MT" w:cs="Gill Sans MT"/>
          <w:sz w:val="22"/>
          <w:szCs w:val="22"/>
        </w:rPr>
        <w:t>stays</w:t>
      </w:r>
      <w:r w:rsidRPr="005632B1">
        <w:rPr>
          <w:rFonts w:ascii="Gill Sans MT" w:hAnsi="Gill Sans MT" w:cs="Gill Sans MT"/>
          <w:spacing w:val="-20"/>
          <w:sz w:val="22"/>
          <w:szCs w:val="22"/>
        </w:rPr>
        <w:t xml:space="preserve"> </w:t>
      </w:r>
      <w:r w:rsidRPr="005632B1">
        <w:rPr>
          <w:rFonts w:ascii="Gill Sans MT" w:hAnsi="Gill Sans MT" w:cs="Gill Sans MT"/>
          <w:sz w:val="22"/>
          <w:szCs w:val="22"/>
        </w:rPr>
        <w:t>and</w:t>
      </w:r>
      <w:r w:rsidRPr="005632B1">
        <w:rPr>
          <w:rFonts w:ascii="Gill Sans MT" w:hAnsi="Gill Sans MT" w:cs="Gill Sans MT"/>
          <w:spacing w:val="-21"/>
          <w:sz w:val="22"/>
          <w:szCs w:val="22"/>
        </w:rPr>
        <w:t xml:space="preserve"> </w:t>
      </w:r>
      <w:r w:rsidRPr="005632B1">
        <w:rPr>
          <w:rFonts w:ascii="Gill Sans MT" w:hAnsi="Gill Sans MT" w:cs="Gill Sans MT"/>
          <w:sz w:val="22"/>
          <w:szCs w:val="22"/>
        </w:rPr>
        <w:t>specialty</w:t>
      </w:r>
      <w:r w:rsidRPr="005632B1">
        <w:rPr>
          <w:rFonts w:ascii="Gill Sans MT" w:hAnsi="Gill Sans MT" w:cs="Gill Sans MT"/>
          <w:spacing w:val="-22"/>
          <w:sz w:val="22"/>
          <w:szCs w:val="22"/>
        </w:rPr>
        <w:t xml:space="preserve"> </w:t>
      </w:r>
      <w:r w:rsidRPr="005632B1">
        <w:rPr>
          <w:rFonts w:ascii="Gill Sans MT" w:hAnsi="Gill Sans MT" w:cs="Gill Sans MT"/>
          <w:sz w:val="22"/>
          <w:szCs w:val="22"/>
        </w:rPr>
        <w:t>utilizations.</w:t>
      </w:r>
    </w:p>
    <w:p w:rsidR="002C5025" w:rsidRPr="005632B1" w:rsidRDefault="002C5025" w:rsidP="005632B1">
      <w:pPr>
        <w:pStyle w:val="ListParagraph"/>
        <w:numPr>
          <w:ilvl w:val="0"/>
          <w:numId w:val="98"/>
        </w:numPr>
        <w:tabs>
          <w:tab w:val="left" w:pos="1181"/>
        </w:tabs>
        <w:kinsoku w:val="0"/>
        <w:overflowPunct w:val="0"/>
        <w:spacing w:line="261" w:lineRule="auto"/>
        <w:ind w:right="109"/>
        <w:jc w:val="both"/>
        <w:rPr>
          <w:rFonts w:ascii="Gill Sans MT" w:hAnsi="Gill Sans MT" w:cs="Gill Sans MT"/>
          <w:spacing w:val="-3"/>
          <w:sz w:val="22"/>
          <w:szCs w:val="22"/>
        </w:rPr>
      </w:pPr>
      <w:r w:rsidRPr="005632B1">
        <w:rPr>
          <w:rFonts w:ascii="Gill Sans MT" w:hAnsi="Gill Sans MT" w:cs="Gill Sans MT"/>
          <w:sz w:val="22"/>
          <w:szCs w:val="22"/>
        </w:rPr>
        <w:t>The</w:t>
      </w:r>
      <w:r w:rsidRPr="005632B1">
        <w:rPr>
          <w:rFonts w:ascii="Gill Sans MT" w:hAnsi="Gill Sans MT" w:cs="Gill Sans MT"/>
          <w:spacing w:val="-8"/>
          <w:sz w:val="22"/>
          <w:szCs w:val="22"/>
        </w:rPr>
        <w:t xml:space="preserve"> </w:t>
      </w:r>
      <w:r w:rsidRPr="005632B1">
        <w:rPr>
          <w:rFonts w:ascii="Gill Sans MT" w:hAnsi="Gill Sans MT" w:cs="Gill Sans MT"/>
          <w:spacing w:val="-3"/>
          <w:sz w:val="22"/>
          <w:szCs w:val="22"/>
        </w:rPr>
        <w:t>CMS/Mass</w:t>
      </w:r>
      <w:r w:rsidRPr="005632B1">
        <w:rPr>
          <w:rFonts w:ascii="Gill Sans MT" w:hAnsi="Gill Sans MT" w:cs="Gill Sans MT"/>
          <w:spacing w:val="-11"/>
          <w:sz w:val="22"/>
          <w:szCs w:val="22"/>
        </w:rPr>
        <w:t xml:space="preserve"> </w:t>
      </w:r>
      <w:r w:rsidRPr="005632B1">
        <w:rPr>
          <w:rFonts w:ascii="Gill Sans MT" w:hAnsi="Gill Sans MT" w:cs="Gill Sans MT"/>
          <w:spacing w:val="-3"/>
          <w:sz w:val="22"/>
          <w:szCs w:val="22"/>
        </w:rPr>
        <w:t>Health</w:t>
      </w:r>
      <w:r w:rsidRPr="005632B1">
        <w:rPr>
          <w:rFonts w:ascii="Gill Sans MT" w:hAnsi="Gill Sans MT" w:cs="Gill Sans MT"/>
          <w:spacing w:val="-10"/>
          <w:sz w:val="22"/>
          <w:szCs w:val="22"/>
        </w:rPr>
        <w:t xml:space="preserve"> </w:t>
      </w:r>
      <w:r w:rsidRPr="005632B1">
        <w:rPr>
          <w:rFonts w:ascii="Gill Sans MT" w:hAnsi="Gill Sans MT" w:cs="Gill Sans MT"/>
          <w:sz w:val="22"/>
          <w:szCs w:val="22"/>
        </w:rPr>
        <w:t>Agreement</w:t>
      </w:r>
      <w:r w:rsidRPr="005632B1">
        <w:rPr>
          <w:rFonts w:ascii="Gill Sans MT" w:hAnsi="Gill Sans MT" w:cs="Gill Sans MT"/>
          <w:spacing w:val="-11"/>
          <w:sz w:val="22"/>
          <w:szCs w:val="22"/>
        </w:rPr>
        <w:t xml:space="preserve"> </w:t>
      </w:r>
      <w:r w:rsidRPr="005632B1">
        <w:rPr>
          <w:rFonts w:ascii="Gill Sans MT" w:hAnsi="Gill Sans MT" w:cs="Gill Sans MT"/>
          <w:sz w:val="22"/>
          <w:szCs w:val="22"/>
        </w:rPr>
        <w:t>should</w:t>
      </w:r>
      <w:r w:rsidRPr="005632B1">
        <w:rPr>
          <w:rFonts w:ascii="Gill Sans MT" w:hAnsi="Gill Sans MT" w:cs="Gill Sans MT"/>
          <w:spacing w:val="-10"/>
          <w:sz w:val="22"/>
          <w:szCs w:val="22"/>
        </w:rPr>
        <w:t xml:space="preserve"> </w:t>
      </w:r>
      <w:r w:rsidRPr="005632B1">
        <w:rPr>
          <w:rFonts w:ascii="Gill Sans MT" w:hAnsi="Gill Sans MT" w:cs="Gill Sans MT"/>
          <w:spacing w:val="-3"/>
          <w:sz w:val="22"/>
          <w:szCs w:val="22"/>
        </w:rPr>
        <w:t>report</w:t>
      </w:r>
      <w:r w:rsidRPr="005632B1">
        <w:rPr>
          <w:rFonts w:ascii="Gill Sans MT" w:hAnsi="Gill Sans MT" w:cs="Gill Sans MT"/>
          <w:spacing w:val="-9"/>
          <w:sz w:val="22"/>
          <w:szCs w:val="22"/>
        </w:rPr>
        <w:t xml:space="preserve"> </w:t>
      </w:r>
      <w:r w:rsidRPr="005632B1">
        <w:rPr>
          <w:rFonts w:ascii="Gill Sans MT" w:hAnsi="Gill Sans MT" w:cs="Gill Sans MT"/>
          <w:spacing w:val="-4"/>
          <w:sz w:val="22"/>
          <w:szCs w:val="22"/>
        </w:rPr>
        <w:t>monthly</w:t>
      </w:r>
      <w:r w:rsidRPr="005632B1">
        <w:rPr>
          <w:rFonts w:ascii="Gill Sans MT" w:hAnsi="Gill Sans MT" w:cs="Gill Sans MT"/>
          <w:spacing w:val="-10"/>
          <w:sz w:val="22"/>
          <w:szCs w:val="22"/>
        </w:rPr>
        <w:t xml:space="preserve"> </w:t>
      </w:r>
      <w:r w:rsidRPr="005632B1">
        <w:rPr>
          <w:rFonts w:ascii="Gill Sans MT" w:hAnsi="Gill Sans MT" w:cs="Gill Sans MT"/>
          <w:sz w:val="22"/>
          <w:szCs w:val="22"/>
        </w:rPr>
        <w:t>on</w:t>
      </w:r>
      <w:r w:rsidRPr="005632B1">
        <w:rPr>
          <w:rFonts w:ascii="Gill Sans MT" w:hAnsi="Gill Sans MT" w:cs="Gill Sans MT"/>
          <w:spacing w:val="-5"/>
          <w:sz w:val="22"/>
          <w:szCs w:val="22"/>
        </w:rPr>
        <w:t xml:space="preserve"> </w:t>
      </w:r>
      <w:r w:rsidRPr="005632B1">
        <w:rPr>
          <w:rFonts w:ascii="Gill Sans MT" w:hAnsi="Gill Sans MT" w:cs="Gill Sans MT"/>
          <w:sz w:val="22"/>
          <w:szCs w:val="22"/>
        </w:rPr>
        <w:t>an</w:t>
      </w:r>
      <w:r w:rsidRPr="005632B1">
        <w:rPr>
          <w:rFonts w:ascii="Gill Sans MT" w:hAnsi="Gill Sans MT" w:cs="Gill Sans MT"/>
          <w:spacing w:val="-10"/>
          <w:sz w:val="22"/>
          <w:szCs w:val="22"/>
        </w:rPr>
        <w:t xml:space="preserve"> </w:t>
      </w:r>
      <w:r w:rsidRPr="005632B1">
        <w:rPr>
          <w:rFonts w:ascii="Gill Sans MT" w:hAnsi="Gill Sans MT" w:cs="Gill Sans MT"/>
          <w:spacing w:val="-4"/>
          <w:sz w:val="22"/>
          <w:szCs w:val="22"/>
        </w:rPr>
        <w:t>array</w:t>
      </w:r>
      <w:r w:rsidRPr="005632B1">
        <w:rPr>
          <w:rFonts w:ascii="Gill Sans MT" w:hAnsi="Gill Sans MT" w:cs="Gill Sans MT"/>
          <w:spacing w:val="-10"/>
          <w:sz w:val="22"/>
          <w:szCs w:val="22"/>
        </w:rPr>
        <w:t xml:space="preserve"> </w:t>
      </w:r>
      <w:r w:rsidRPr="005632B1">
        <w:rPr>
          <w:rFonts w:ascii="Gill Sans MT" w:hAnsi="Gill Sans MT" w:cs="Gill Sans MT"/>
          <w:sz w:val="22"/>
          <w:szCs w:val="22"/>
        </w:rPr>
        <w:t>of</w:t>
      </w:r>
      <w:r w:rsidRPr="005632B1">
        <w:rPr>
          <w:rFonts w:ascii="Gill Sans MT" w:hAnsi="Gill Sans MT" w:cs="Gill Sans MT"/>
          <w:spacing w:val="-10"/>
          <w:sz w:val="22"/>
          <w:szCs w:val="22"/>
        </w:rPr>
        <w:t xml:space="preserve"> </w:t>
      </w:r>
      <w:r w:rsidRPr="005632B1">
        <w:rPr>
          <w:rFonts w:ascii="Gill Sans MT" w:hAnsi="Gill Sans MT" w:cs="Gill Sans MT"/>
          <w:sz w:val="22"/>
          <w:szCs w:val="22"/>
        </w:rPr>
        <w:t>quality</w:t>
      </w:r>
      <w:r w:rsidRPr="005632B1">
        <w:rPr>
          <w:rFonts w:ascii="Gill Sans MT" w:hAnsi="Gill Sans MT" w:cs="Gill Sans MT"/>
          <w:spacing w:val="-13"/>
          <w:sz w:val="22"/>
          <w:szCs w:val="22"/>
        </w:rPr>
        <w:t xml:space="preserve"> </w:t>
      </w:r>
      <w:r w:rsidRPr="005632B1">
        <w:rPr>
          <w:rFonts w:ascii="Gill Sans MT" w:hAnsi="Gill Sans MT" w:cs="Gill Sans MT"/>
          <w:spacing w:val="-4"/>
          <w:sz w:val="22"/>
          <w:szCs w:val="22"/>
        </w:rPr>
        <w:t>measures,</w:t>
      </w:r>
      <w:r w:rsidRPr="005632B1">
        <w:rPr>
          <w:rFonts w:ascii="Gill Sans MT" w:hAnsi="Gill Sans MT" w:cs="Gill Sans MT"/>
          <w:spacing w:val="-10"/>
          <w:sz w:val="22"/>
          <w:szCs w:val="22"/>
        </w:rPr>
        <w:t xml:space="preserve"> </w:t>
      </w:r>
      <w:r w:rsidRPr="005632B1">
        <w:rPr>
          <w:rFonts w:ascii="Gill Sans MT" w:hAnsi="Gill Sans MT" w:cs="Gill Sans MT"/>
          <w:sz w:val="22"/>
          <w:szCs w:val="22"/>
        </w:rPr>
        <w:t xml:space="preserve">including </w:t>
      </w:r>
      <w:r w:rsidRPr="005632B1">
        <w:rPr>
          <w:rFonts w:ascii="Gill Sans MT" w:hAnsi="Gill Sans MT" w:cs="Gill Sans MT"/>
          <w:spacing w:val="-3"/>
          <w:sz w:val="22"/>
          <w:szCs w:val="22"/>
        </w:rPr>
        <w:t xml:space="preserve">enrollee experience </w:t>
      </w:r>
      <w:r w:rsidRPr="005632B1">
        <w:rPr>
          <w:rFonts w:ascii="Gill Sans MT" w:hAnsi="Gill Sans MT" w:cs="Gill Sans MT"/>
          <w:sz w:val="22"/>
          <w:szCs w:val="22"/>
        </w:rPr>
        <w:t xml:space="preserve">(such as the </w:t>
      </w:r>
      <w:r w:rsidRPr="005632B1">
        <w:rPr>
          <w:rFonts w:ascii="Gill Sans MT" w:hAnsi="Gill Sans MT" w:cs="Gill Sans MT"/>
          <w:spacing w:val="-3"/>
          <w:sz w:val="22"/>
          <w:szCs w:val="22"/>
        </w:rPr>
        <w:t xml:space="preserve">Medicare Advantage </w:t>
      </w:r>
      <w:r w:rsidRPr="005632B1">
        <w:rPr>
          <w:rFonts w:ascii="Gill Sans MT" w:hAnsi="Gill Sans MT" w:cs="Gill Sans MT"/>
          <w:sz w:val="22"/>
          <w:szCs w:val="22"/>
        </w:rPr>
        <w:t xml:space="preserve">rating system), </w:t>
      </w:r>
      <w:r w:rsidRPr="005632B1">
        <w:rPr>
          <w:rFonts w:ascii="Gill Sans MT" w:hAnsi="Gill Sans MT" w:cs="Gill Sans MT"/>
          <w:spacing w:val="-2"/>
          <w:sz w:val="22"/>
          <w:szCs w:val="22"/>
        </w:rPr>
        <w:t xml:space="preserve">process </w:t>
      </w:r>
      <w:r w:rsidRPr="005632B1">
        <w:rPr>
          <w:rFonts w:ascii="Gill Sans MT" w:hAnsi="Gill Sans MT" w:cs="Gill Sans MT"/>
          <w:spacing w:val="-4"/>
          <w:sz w:val="22"/>
          <w:szCs w:val="22"/>
        </w:rPr>
        <w:t xml:space="preserve">measures </w:t>
      </w:r>
      <w:r w:rsidRPr="005632B1">
        <w:rPr>
          <w:rFonts w:ascii="Gill Sans MT" w:hAnsi="Gill Sans MT" w:cs="Gill Sans MT"/>
          <w:sz w:val="22"/>
          <w:szCs w:val="22"/>
        </w:rPr>
        <w:t xml:space="preserve">(including HEDIS), </w:t>
      </w:r>
      <w:r w:rsidRPr="005632B1">
        <w:rPr>
          <w:rFonts w:ascii="Gill Sans MT" w:hAnsi="Gill Sans MT" w:cs="Gill Sans MT"/>
          <w:spacing w:val="-3"/>
          <w:sz w:val="22"/>
          <w:szCs w:val="22"/>
        </w:rPr>
        <w:t xml:space="preserve">real </w:t>
      </w:r>
      <w:r w:rsidRPr="005632B1">
        <w:rPr>
          <w:rFonts w:ascii="Gill Sans MT" w:hAnsi="Gill Sans MT" w:cs="Gill Sans MT"/>
          <w:sz w:val="22"/>
          <w:szCs w:val="22"/>
        </w:rPr>
        <w:t xml:space="preserve">world </w:t>
      </w:r>
      <w:r w:rsidRPr="005632B1">
        <w:rPr>
          <w:rFonts w:ascii="Gill Sans MT" w:hAnsi="Gill Sans MT" w:cs="Gill Sans MT"/>
          <w:spacing w:val="-3"/>
          <w:sz w:val="22"/>
          <w:szCs w:val="22"/>
        </w:rPr>
        <w:t xml:space="preserve">outcomes </w:t>
      </w:r>
      <w:r w:rsidRPr="005632B1">
        <w:rPr>
          <w:rFonts w:ascii="Gill Sans MT" w:hAnsi="Gill Sans MT" w:cs="Gill Sans MT"/>
          <w:sz w:val="22"/>
          <w:szCs w:val="22"/>
        </w:rPr>
        <w:t xml:space="preserve">(percentages of </w:t>
      </w:r>
      <w:r w:rsidRPr="005632B1">
        <w:rPr>
          <w:rFonts w:ascii="Gill Sans MT" w:hAnsi="Gill Sans MT" w:cs="Gill Sans MT"/>
          <w:spacing w:val="-3"/>
          <w:sz w:val="22"/>
          <w:szCs w:val="22"/>
        </w:rPr>
        <w:t xml:space="preserve">populations </w:t>
      </w:r>
      <w:r w:rsidRPr="005632B1">
        <w:rPr>
          <w:rFonts w:ascii="Gill Sans MT" w:hAnsi="Gill Sans MT" w:cs="Gill Sans MT"/>
          <w:sz w:val="22"/>
          <w:szCs w:val="22"/>
        </w:rPr>
        <w:t xml:space="preserve">in housing , </w:t>
      </w:r>
      <w:r w:rsidRPr="005632B1">
        <w:rPr>
          <w:rFonts w:ascii="Gill Sans MT" w:hAnsi="Gill Sans MT" w:cs="Gill Sans MT"/>
          <w:spacing w:val="-3"/>
          <w:sz w:val="22"/>
          <w:szCs w:val="22"/>
        </w:rPr>
        <w:t xml:space="preserve">employed) </w:t>
      </w:r>
      <w:r w:rsidRPr="005632B1">
        <w:rPr>
          <w:rFonts w:ascii="Gill Sans MT" w:hAnsi="Gill Sans MT" w:cs="Gill Sans MT"/>
          <w:sz w:val="22"/>
          <w:szCs w:val="22"/>
        </w:rPr>
        <w:t xml:space="preserve">and the </w:t>
      </w:r>
      <w:r w:rsidRPr="005632B1">
        <w:rPr>
          <w:rFonts w:ascii="Gill Sans MT" w:hAnsi="Gill Sans MT" w:cs="Gill Sans MT"/>
          <w:spacing w:val="-3"/>
          <w:sz w:val="22"/>
          <w:szCs w:val="22"/>
        </w:rPr>
        <w:t xml:space="preserve">range </w:t>
      </w:r>
      <w:r w:rsidRPr="005632B1">
        <w:rPr>
          <w:rFonts w:ascii="Gill Sans MT" w:hAnsi="Gill Sans MT" w:cs="Gill Sans MT"/>
          <w:sz w:val="22"/>
          <w:szCs w:val="22"/>
        </w:rPr>
        <w:t xml:space="preserve">of outcomes specific to specific </w:t>
      </w:r>
      <w:r w:rsidRPr="005632B1">
        <w:rPr>
          <w:rFonts w:ascii="Gill Sans MT" w:hAnsi="Gill Sans MT" w:cs="Gill Sans MT"/>
          <w:spacing w:val="-3"/>
          <w:sz w:val="22"/>
          <w:szCs w:val="22"/>
        </w:rPr>
        <w:t xml:space="preserve">enrollee </w:t>
      </w:r>
      <w:r w:rsidRPr="005632B1">
        <w:rPr>
          <w:rFonts w:ascii="Gill Sans MT" w:hAnsi="Gill Sans MT" w:cs="Gill Sans MT"/>
          <w:sz w:val="22"/>
          <w:szCs w:val="22"/>
        </w:rPr>
        <w:t xml:space="preserve">populations </w:t>
      </w:r>
      <w:r w:rsidRPr="005632B1">
        <w:rPr>
          <w:rFonts w:ascii="Gill Sans MT" w:hAnsi="Gill Sans MT" w:cs="Gill Sans MT"/>
          <w:spacing w:val="-3"/>
          <w:sz w:val="22"/>
          <w:szCs w:val="22"/>
        </w:rPr>
        <w:t xml:space="preserve">(IDD, </w:t>
      </w:r>
      <w:r w:rsidRPr="005632B1">
        <w:rPr>
          <w:rFonts w:ascii="Gill Sans MT" w:hAnsi="Gill Sans MT" w:cs="Gill Sans MT"/>
          <w:sz w:val="22"/>
          <w:szCs w:val="22"/>
        </w:rPr>
        <w:t>Autism, ABI, SMI, Frail Elders) and aggregate</w:t>
      </w:r>
      <w:r w:rsidRPr="005632B1">
        <w:rPr>
          <w:rFonts w:ascii="Gill Sans MT" w:hAnsi="Gill Sans MT" w:cs="Gill Sans MT"/>
          <w:spacing w:val="-22"/>
          <w:sz w:val="22"/>
          <w:szCs w:val="22"/>
        </w:rPr>
        <w:t xml:space="preserve"> </w:t>
      </w:r>
      <w:r w:rsidRPr="005632B1">
        <w:rPr>
          <w:rFonts w:ascii="Gill Sans MT" w:hAnsi="Gill Sans MT" w:cs="Gill Sans MT"/>
          <w:sz w:val="22"/>
          <w:szCs w:val="22"/>
        </w:rPr>
        <w:t>totals</w:t>
      </w:r>
      <w:r w:rsidRPr="005632B1">
        <w:rPr>
          <w:rFonts w:ascii="Gill Sans MT" w:hAnsi="Gill Sans MT" w:cs="Gill Sans MT"/>
          <w:spacing w:val="-22"/>
          <w:sz w:val="22"/>
          <w:szCs w:val="22"/>
        </w:rPr>
        <w:t xml:space="preserve"> </w:t>
      </w:r>
      <w:r w:rsidRPr="005632B1">
        <w:rPr>
          <w:rFonts w:ascii="Gill Sans MT" w:hAnsi="Gill Sans MT" w:cs="Gill Sans MT"/>
          <w:sz w:val="22"/>
          <w:szCs w:val="22"/>
        </w:rPr>
        <w:t>of</w:t>
      </w:r>
      <w:r w:rsidRPr="005632B1">
        <w:rPr>
          <w:rFonts w:ascii="Gill Sans MT" w:hAnsi="Gill Sans MT" w:cs="Gill Sans MT"/>
          <w:spacing w:val="-21"/>
          <w:sz w:val="22"/>
          <w:szCs w:val="22"/>
        </w:rPr>
        <w:t xml:space="preserve"> </w:t>
      </w:r>
      <w:r w:rsidRPr="005632B1">
        <w:rPr>
          <w:rFonts w:ascii="Gill Sans MT" w:hAnsi="Gill Sans MT" w:cs="Gill Sans MT"/>
          <w:spacing w:val="-3"/>
          <w:sz w:val="22"/>
          <w:szCs w:val="22"/>
        </w:rPr>
        <w:t>the</w:t>
      </w:r>
      <w:r w:rsidRPr="005632B1">
        <w:rPr>
          <w:rFonts w:ascii="Gill Sans MT" w:hAnsi="Gill Sans MT" w:cs="Gill Sans MT"/>
          <w:spacing w:val="-19"/>
          <w:sz w:val="22"/>
          <w:szCs w:val="22"/>
        </w:rPr>
        <w:t xml:space="preserve"> </w:t>
      </w:r>
      <w:r w:rsidRPr="005632B1">
        <w:rPr>
          <w:rFonts w:ascii="Gill Sans MT" w:hAnsi="Gill Sans MT" w:cs="Gill Sans MT"/>
          <w:spacing w:val="-3"/>
          <w:sz w:val="22"/>
          <w:szCs w:val="22"/>
        </w:rPr>
        <w:t>entire</w:t>
      </w:r>
      <w:r w:rsidRPr="005632B1">
        <w:rPr>
          <w:rFonts w:ascii="Gill Sans MT" w:hAnsi="Gill Sans MT" w:cs="Gill Sans MT"/>
          <w:spacing w:val="-24"/>
          <w:sz w:val="22"/>
          <w:szCs w:val="22"/>
        </w:rPr>
        <w:t xml:space="preserve"> </w:t>
      </w:r>
      <w:r w:rsidRPr="005632B1">
        <w:rPr>
          <w:rFonts w:ascii="Gill Sans MT" w:hAnsi="Gill Sans MT" w:cs="Gill Sans MT"/>
          <w:sz w:val="22"/>
          <w:szCs w:val="22"/>
        </w:rPr>
        <w:t>population</w:t>
      </w:r>
      <w:r w:rsidRPr="005632B1">
        <w:rPr>
          <w:rFonts w:ascii="Gill Sans MT" w:hAnsi="Gill Sans MT" w:cs="Gill Sans MT"/>
          <w:spacing w:val="-21"/>
          <w:sz w:val="22"/>
          <w:szCs w:val="22"/>
        </w:rPr>
        <w:t xml:space="preserve"> </w:t>
      </w:r>
      <w:r w:rsidRPr="005632B1">
        <w:rPr>
          <w:rFonts w:ascii="Gill Sans MT" w:hAnsi="Gill Sans MT" w:cs="Gill Sans MT"/>
          <w:spacing w:val="-3"/>
          <w:sz w:val="22"/>
          <w:szCs w:val="22"/>
        </w:rPr>
        <w:t>served</w:t>
      </w:r>
      <w:r w:rsidRPr="005632B1">
        <w:rPr>
          <w:rFonts w:ascii="Gill Sans MT" w:hAnsi="Gill Sans MT" w:cs="Gill Sans MT"/>
          <w:spacing w:val="-23"/>
          <w:sz w:val="22"/>
          <w:szCs w:val="22"/>
        </w:rPr>
        <w:t xml:space="preserve"> </w:t>
      </w:r>
      <w:r w:rsidRPr="005632B1">
        <w:rPr>
          <w:rFonts w:ascii="Gill Sans MT" w:hAnsi="Gill Sans MT" w:cs="Gill Sans MT"/>
          <w:sz w:val="22"/>
          <w:szCs w:val="22"/>
        </w:rPr>
        <w:t>by</w:t>
      </w:r>
      <w:r w:rsidRPr="005632B1">
        <w:rPr>
          <w:rFonts w:ascii="Gill Sans MT" w:hAnsi="Gill Sans MT" w:cs="Gill Sans MT"/>
          <w:spacing w:val="-24"/>
          <w:sz w:val="22"/>
          <w:szCs w:val="22"/>
        </w:rPr>
        <w:t xml:space="preserve"> </w:t>
      </w:r>
      <w:r w:rsidRPr="005632B1">
        <w:rPr>
          <w:rFonts w:ascii="Gill Sans MT" w:hAnsi="Gill Sans MT" w:cs="Gill Sans MT"/>
          <w:sz w:val="22"/>
          <w:szCs w:val="22"/>
        </w:rPr>
        <w:t>the</w:t>
      </w:r>
      <w:r w:rsidRPr="005632B1">
        <w:rPr>
          <w:rFonts w:ascii="Gill Sans MT" w:hAnsi="Gill Sans MT" w:cs="Gill Sans MT"/>
          <w:spacing w:val="-24"/>
          <w:sz w:val="22"/>
          <w:szCs w:val="22"/>
        </w:rPr>
        <w:t xml:space="preserve"> </w:t>
      </w:r>
      <w:r w:rsidRPr="005632B1">
        <w:rPr>
          <w:rFonts w:ascii="Gill Sans MT" w:hAnsi="Gill Sans MT" w:cs="Gill Sans MT"/>
          <w:spacing w:val="-3"/>
          <w:sz w:val="22"/>
          <w:szCs w:val="22"/>
        </w:rPr>
        <w:t>agreement.</w:t>
      </w:r>
    </w:p>
    <w:p w:rsidR="002C5025" w:rsidRPr="005632B1" w:rsidRDefault="002C5025" w:rsidP="005632B1">
      <w:pPr>
        <w:pStyle w:val="ListParagraph"/>
        <w:numPr>
          <w:ilvl w:val="0"/>
          <w:numId w:val="98"/>
        </w:numPr>
        <w:tabs>
          <w:tab w:val="left" w:pos="1181"/>
        </w:tabs>
        <w:kinsoku w:val="0"/>
        <w:overflowPunct w:val="0"/>
        <w:spacing w:line="264" w:lineRule="auto"/>
        <w:ind w:right="105"/>
        <w:jc w:val="both"/>
        <w:rPr>
          <w:rFonts w:ascii="Gill Sans MT" w:hAnsi="Gill Sans MT" w:cs="Gill Sans MT"/>
          <w:sz w:val="22"/>
          <w:szCs w:val="22"/>
        </w:rPr>
      </w:pPr>
      <w:r w:rsidRPr="005632B1">
        <w:rPr>
          <w:rFonts w:ascii="Gill Sans MT" w:hAnsi="Gill Sans MT" w:cs="Gill Sans MT"/>
          <w:sz w:val="22"/>
          <w:szCs w:val="22"/>
        </w:rPr>
        <w:t xml:space="preserve">EOHHS </w:t>
      </w:r>
      <w:r w:rsidRPr="005632B1">
        <w:rPr>
          <w:rFonts w:ascii="Gill Sans MT" w:hAnsi="Gill Sans MT" w:cs="Gill Sans MT"/>
          <w:spacing w:val="-2"/>
          <w:sz w:val="22"/>
          <w:szCs w:val="22"/>
        </w:rPr>
        <w:t xml:space="preserve">should </w:t>
      </w:r>
      <w:r w:rsidRPr="005632B1">
        <w:rPr>
          <w:rFonts w:ascii="Gill Sans MT" w:hAnsi="Gill Sans MT" w:cs="Gill Sans MT"/>
          <w:sz w:val="22"/>
          <w:szCs w:val="22"/>
        </w:rPr>
        <w:t xml:space="preserve">establish an </w:t>
      </w:r>
      <w:r w:rsidRPr="005632B1">
        <w:rPr>
          <w:rFonts w:ascii="Gill Sans MT" w:hAnsi="Gill Sans MT" w:cs="Gill Sans MT"/>
          <w:spacing w:val="-3"/>
          <w:sz w:val="22"/>
          <w:szCs w:val="22"/>
        </w:rPr>
        <w:t xml:space="preserve">Advisory </w:t>
      </w:r>
      <w:r w:rsidRPr="005632B1">
        <w:rPr>
          <w:rFonts w:ascii="Gill Sans MT" w:hAnsi="Gill Sans MT" w:cs="Gill Sans MT"/>
          <w:sz w:val="22"/>
          <w:szCs w:val="22"/>
        </w:rPr>
        <w:t xml:space="preserve">Council with a constituency of </w:t>
      </w:r>
      <w:r w:rsidRPr="005632B1">
        <w:rPr>
          <w:rFonts w:ascii="Gill Sans MT" w:hAnsi="Gill Sans MT" w:cs="Gill Sans MT"/>
          <w:spacing w:val="-3"/>
          <w:sz w:val="22"/>
          <w:szCs w:val="22"/>
        </w:rPr>
        <w:t xml:space="preserve">consumers, </w:t>
      </w:r>
      <w:r w:rsidRPr="005632B1">
        <w:rPr>
          <w:rFonts w:ascii="Gill Sans MT" w:hAnsi="Gill Sans MT" w:cs="Gill Sans MT"/>
          <w:sz w:val="22"/>
          <w:szCs w:val="22"/>
        </w:rPr>
        <w:t xml:space="preserve">advocates and </w:t>
      </w:r>
      <w:r w:rsidRPr="005632B1">
        <w:rPr>
          <w:rFonts w:ascii="Gill Sans MT" w:hAnsi="Gill Sans MT" w:cs="Gill Sans MT"/>
          <w:spacing w:val="-3"/>
          <w:sz w:val="22"/>
          <w:szCs w:val="22"/>
        </w:rPr>
        <w:t xml:space="preserve">providers, </w:t>
      </w:r>
      <w:r w:rsidRPr="005632B1">
        <w:rPr>
          <w:rFonts w:ascii="Gill Sans MT" w:hAnsi="Gill Sans MT" w:cs="Gill Sans MT"/>
          <w:sz w:val="22"/>
          <w:szCs w:val="22"/>
        </w:rPr>
        <w:t xml:space="preserve">and, similar to </w:t>
      </w:r>
      <w:r w:rsidRPr="005632B1">
        <w:rPr>
          <w:rFonts w:ascii="Gill Sans MT" w:hAnsi="Gill Sans MT" w:cs="Gill Sans MT"/>
          <w:spacing w:val="-3"/>
          <w:sz w:val="22"/>
          <w:szCs w:val="22"/>
        </w:rPr>
        <w:t xml:space="preserve">the One </w:t>
      </w:r>
      <w:r w:rsidRPr="005632B1">
        <w:rPr>
          <w:rFonts w:ascii="Gill Sans MT" w:hAnsi="Gill Sans MT" w:cs="Gill Sans MT"/>
          <w:sz w:val="22"/>
          <w:szCs w:val="22"/>
        </w:rPr>
        <w:t xml:space="preserve">Care Implementation </w:t>
      </w:r>
      <w:r w:rsidRPr="005632B1">
        <w:rPr>
          <w:rFonts w:ascii="Gill Sans MT" w:hAnsi="Gill Sans MT" w:cs="Gill Sans MT"/>
          <w:spacing w:val="-2"/>
          <w:sz w:val="22"/>
          <w:szCs w:val="22"/>
        </w:rPr>
        <w:t xml:space="preserve">Council, </w:t>
      </w:r>
      <w:r w:rsidRPr="005632B1">
        <w:rPr>
          <w:rFonts w:ascii="Gill Sans MT" w:hAnsi="Gill Sans MT" w:cs="Gill Sans MT"/>
          <w:spacing w:val="-3"/>
          <w:sz w:val="22"/>
          <w:szCs w:val="22"/>
        </w:rPr>
        <w:t xml:space="preserve">charge </w:t>
      </w:r>
      <w:r w:rsidRPr="005632B1">
        <w:rPr>
          <w:rFonts w:ascii="Gill Sans MT" w:hAnsi="Gill Sans MT" w:cs="Gill Sans MT"/>
          <w:sz w:val="22"/>
          <w:szCs w:val="22"/>
        </w:rPr>
        <w:t xml:space="preserve">this </w:t>
      </w:r>
      <w:r w:rsidRPr="005632B1">
        <w:rPr>
          <w:rFonts w:ascii="Gill Sans MT" w:hAnsi="Gill Sans MT" w:cs="Gill Sans MT"/>
          <w:spacing w:val="-3"/>
          <w:sz w:val="22"/>
          <w:szCs w:val="22"/>
        </w:rPr>
        <w:t xml:space="preserve">entity </w:t>
      </w:r>
      <w:r w:rsidRPr="005632B1">
        <w:rPr>
          <w:rFonts w:ascii="Gill Sans MT" w:hAnsi="Gill Sans MT" w:cs="Gill Sans MT"/>
          <w:sz w:val="22"/>
          <w:szCs w:val="22"/>
        </w:rPr>
        <w:t xml:space="preserve">with public reviews of specific financial performance, utilization, </w:t>
      </w:r>
      <w:r w:rsidRPr="005632B1">
        <w:rPr>
          <w:rFonts w:ascii="Gill Sans MT" w:hAnsi="Gill Sans MT" w:cs="Gill Sans MT"/>
          <w:spacing w:val="-3"/>
          <w:sz w:val="22"/>
          <w:szCs w:val="22"/>
        </w:rPr>
        <w:t xml:space="preserve">and </w:t>
      </w:r>
      <w:r w:rsidRPr="005632B1">
        <w:rPr>
          <w:rFonts w:ascii="Gill Sans MT" w:hAnsi="Gill Sans MT" w:cs="Gill Sans MT"/>
          <w:sz w:val="22"/>
          <w:szCs w:val="22"/>
        </w:rPr>
        <w:t xml:space="preserve">quality data, and </w:t>
      </w:r>
      <w:r w:rsidRPr="005632B1">
        <w:rPr>
          <w:rFonts w:ascii="Gill Sans MT" w:hAnsi="Gill Sans MT" w:cs="Gill Sans MT"/>
          <w:spacing w:val="-3"/>
          <w:sz w:val="22"/>
          <w:szCs w:val="22"/>
        </w:rPr>
        <w:t xml:space="preserve">recommending policies </w:t>
      </w:r>
      <w:r w:rsidRPr="005632B1">
        <w:rPr>
          <w:rFonts w:ascii="Gill Sans MT" w:hAnsi="Gill Sans MT" w:cs="Gill Sans MT"/>
          <w:sz w:val="22"/>
          <w:szCs w:val="22"/>
        </w:rPr>
        <w:t xml:space="preserve">and practices which will support and guide </w:t>
      </w:r>
      <w:r w:rsidRPr="005632B1">
        <w:rPr>
          <w:rFonts w:ascii="Gill Sans MT" w:hAnsi="Gill Sans MT" w:cs="Gill Sans MT"/>
          <w:spacing w:val="-3"/>
          <w:sz w:val="22"/>
          <w:szCs w:val="22"/>
        </w:rPr>
        <w:t xml:space="preserve">the </w:t>
      </w:r>
      <w:r w:rsidRPr="005632B1">
        <w:rPr>
          <w:rFonts w:ascii="Gill Sans MT" w:hAnsi="Gill Sans MT" w:cs="Gill Sans MT"/>
          <w:sz w:val="22"/>
          <w:szCs w:val="22"/>
        </w:rPr>
        <w:t xml:space="preserve">successful implementation of </w:t>
      </w:r>
      <w:r w:rsidRPr="005632B1">
        <w:rPr>
          <w:rFonts w:ascii="Gill Sans MT" w:hAnsi="Gill Sans MT" w:cs="Gill Sans MT"/>
          <w:spacing w:val="-3"/>
          <w:sz w:val="22"/>
          <w:szCs w:val="22"/>
        </w:rPr>
        <w:t xml:space="preserve">the Waiver. </w:t>
      </w:r>
      <w:r w:rsidRPr="005632B1">
        <w:rPr>
          <w:rFonts w:ascii="Gill Sans MT" w:hAnsi="Gill Sans MT" w:cs="Gill Sans MT"/>
          <w:sz w:val="22"/>
          <w:szCs w:val="22"/>
        </w:rPr>
        <w:t xml:space="preserve">This information </w:t>
      </w:r>
      <w:r w:rsidRPr="005632B1">
        <w:rPr>
          <w:rFonts w:ascii="Gill Sans MT" w:hAnsi="Gill Sans MT" w:cs="Gill Sans MT"/>
          <w:spacing w:val="-2"/>
          <w:sz w:val="22"/>
          <w:szCs w:val="22"/>
        </w:rPr>
        <w:t xml:space="preserve">should </w:t>
      </w:r>
      <w:r w:rsidRPr="005632B1">
        <w:rPr>
          <w:rFonts w:ascii="Gill Sans MT" w:hAnsi="Gill Sans MT" w:cs="Gill Sans MT"/>
          <w:spacing w:val="-3"/>
          <w:sz w:val="22"/>
          <w:szCs w:val="22"/>
        </w:rPr>
        <w:t xml:space="preserve">correspond </w:t>
      </w:r>
      <w:r w:rsidRPr="005632B1">
        <w:rPr>
          <w:rFonts w:ascii="Gill Sans MT" w:hAnsi="Gill Sans MT" w:cs="Gill Sans MT"/>
          <w:sz w:val="22"/>
          <w:szCs w:val="22"/>
        </w:rPr>
        <w:t xml:space="preserve">with existing state </w:t>
      </w:r>
      <w:r w:rsidRPr="005632B1">
        <w:rPr>
          <w:rFonts w:ascii="Gill Sans MT" w:hAnsi="Gill Sans MT" w:cs="Gill Sans MT"/>
          <w:spacing w:val="-3"/>
          <w:sz w:val="22"/>
          <w:szCs w:val="22"/>
        </w:rPr>
        <w:t xml:space="preserve">service, </w:t>
      </w:r>
      <w:r w:rsidRPr="005632B1">
        <w:rPr>
          <w:rFonts w:ascii="Gill Sans MT" w:hAnsi="Gill Sans MT" w:cs="Gill Sans MT"/>
          <w:sz w:val="22"/>
          <w:szCs w:val="22"/>
        </w:rPr>
        <w:t>health and support codes, including LTSS</w:t>
      </w:r>
      <w:r w:rsidRPr="005632B1">
        <w:rPr>
          <w:rFonts w:ascii="Gill Sans MT" w:hAnsi="Gill Sans MT" w:cs="Gill Sans MT"/>
          <w:spacing w:val="-2"/>
          <w:sz w:val="22"/>
          <w:szCs w:val="22"/>
        </w:rPr>
        <w:t xml:space="preserve"> </w:t>
      </w:r>
      <w:r w:rsidRPr="005632B1">
        <w:rPr>
          <w:rFonts w:ascii="Gill Sans MT" w:hAnsi="Gill Sans MT" w:cs="Gill Sans MT"/>
          <w:sz w:val="22"/>
          <w:szCs w:val="22"/>
        </w:rPr>
        <w:t>codes.</w:t>
      </w:r>
    </w:p>
    <w:p w:rsidR="002C5025" w:rsidRDefault="002C5025">
      <w:pPr>
        <w:pStyle w:val="BodyText"/>
        <w:kinsoku w:val="0"/>
        <w:overflowPunct w:val="0"/>
        <w:spacing w:before="6"/>
        <w:rPr>
          <w:rFonts w:ascii="Gill Sans MT" w:hAnsi="Gill Sans MT" w:cs="Gill Sans MT"/>
          <w:sz w:val="25"/>
          <w:szCs w:val="25"/>
        </w:rPr>
      </w:pPr>
    </w:p>
    <w:p w:rsidR="002C5025" w:rsidRDefault="002C5025" w:rsidP="005632B1">
      <w:pPr>
        <w:pStyle w:val="BodyText"/>
        <w:numPr>
          <w:ilvl w:val="0"/>
          <w:numId w:val="100"/>
        </w:numPr>
        <w:tabs>
          <w:tab w:val="left" w:pos="712"/>
        </w:tabs>
        <w:kinsoku w:val="0"/>
        <w:overflowPunct w:val="0"/>
        <w:rPr>
          <w:rFonts w:ascii="Arial Narrow" w:hAnsi="Arial Narrow" w:cs="Arial Narrow"/>
          <w:b/>
          <w:bCs/>
          <w:color w:val="0E233D"/>
        </w:rPr>
      </w:pPr>
      <w:bookmarkStart w:id="62" w:name="5._DSRIP_Funding_:_Direct_Support_of_Cer"/>
      <w:bookmarkEnd w:id="62"/>
      <w:r>
        <w:rPr>
          <w:rFonts w:ascii="Arial Narrow" w:hAnsi="Arial Narrow" w:cs="Arial Narrow"/>
          <w:b/>
          <w:bCs/>
          <w:color w:val="001F5F"/>
        </w:rPr>
        <w:t xml:space="preserve">DSRIP Funding : </w:t>
      </w:r>
      <w:r>
        <w:rPr>
          <w:rFonts w:ascii="Arial Narrow" w:hAnsi="Arial Narrow" w:cs="Arial Narrow"/>
          <w:b/>
          <w:bCs/>
          <w:color w:val="0E233D"/>
        </w:rPr>
        <w:t xml:space="preserve">Direct Support of Certified </w:t>
      </w:r>
      <w:r>
        <w:rPr>
          <w:rFonts w:ascii="Arial Narrow" w:hAnsi="Arial Narrow" w:cs="Arial Narrow"/>
          <w:b/>
          <w:bCs/>
          <w:color w:val="0E233D"/>
          <w:spacing w:val="-4"/>
        </w:rPr>
        <w:t>Community</w:t>
      </w:r>
      <w:r>
        <w:rPr>
          <w:rFonts w:ascii="Arial Narrow" w:hAnsi="Arial Narrow" w:cs="Arial Narrow"/>
          <w:b/>
          <w:bCs/>
          <w:color w:val="0E233D"/>
          <w:spacing w:val="36"/>
        </w:rPr>
        <w:t xml:space="preserve"> </w:t>
      </w:r>
      <w:r>
        <w:rPr>
          <w:rFonts w:ascii="Arial Narrow" w:hAnsi="Arial Narrow" w:cs="Arial Narrow"/>
          <w:b/>
          <w:bCs/>
          <w:color w:val="0E233D"/>
        </w:rPr>
        <w:t>Partners:</w:t>
      </w:r>
    </w:p>
    <w:p w:rsidR="002C5025" w:rsidRDefault="002C5025" w:rsidP="005632B1">
      <w:pPr>
        <w:pStyle w:val="ListParagraph"/>
        <w:numPr>
          <w:ilvl w:val="0"/>
          <w:numId w:val="101"/>
        </w:numPr>
        <w:tabs>
          <w:tab w:val="left" w:pos="1181"/>
        </w:tabs>
        <w:kinsoku w:val="0"/>
        <w:overflowPunct w:val="0"/>
        <w:spacing w:before="1" w:line="261" w:lineRule="auto"/>
        <w:ind w:right="112"/>
        <w:jc w:val="both"/>
        <w:rPr>
          <w:rFonts w:ascii="Gill Sans MT" w:hAnsi="Gill Sans MT" w:cs="Gill Sans MT"/>
          <w:spacing w:val="-3"/>
          <w:sz w:val="22"/>
          <w:szCs w:val="22"/>
        </w:rPr>
      </w:pPr>
      <w:r>
        <w:rPr>
          <w:rFonts w:ascii="Gill Sans MT" w:hAnsi="Gill Sans MT" w:cs="Gill Sans MT"/>
          <w:spacing w:val="-3"/>
          <w:sz w:val="22"/>
          <w:szCs w:val="22"/>
        </w:rPr>
        <w:t xml:space="preserve">ADDP </w:t>
      </w:r>
      <w:r>
        <w:rPr>
          <w:rFonts w:ascii="Gill Sans MT" w:hAnsi="Gill Sans MT" w:cs="Gill Sans MT"/>
          <w:sz w:val="22"/>
          <w:szCs w:val="22"/>
        </w:rPr>
        <w:t xml:space="preserve">supports the proposal to provide a substantial amount of DSRIP </w:t>
      </w:r>
      <w:r>
        <w:rPr>
          <w:rFonts w:ascii="Gill Sans MT" w:hAnsi="Gill Sans MT" w:cs="Gill Sans MT"/>
          <w:spacing w:val="-3"/>
          <w:sz w:val="22"/>
          <w:szCs w:val="22"/>
        </w:rPr>
        <w:t xml:space="preserve">funding directly </w:t>
      </w:r>
      <w:r>
        <w:rPr>
          <w:rFonts w:ascii="Gill Sans MT" w:hAnsi="Gill Sans MT" w:cs="Gill Sans MT"/>
          <w:sz w:val="22"/>
          <w:szCs w:val="22"/>
        </w:rPr>
        <w:t>from MassHealth</w:t>
      </w:r>
      <w:r>
        <w:rPr>
          <w:rFonts w:ascii="Gill Sans MT" w:hAnsi="Gill Sans MT" w:cs="Gill Sans MT"/>
          <w:spacing w:val="-13"/>
          <w:sz w:val="22"/>
          <w:szCs w:val="22"/>
        </w:rPr>
        <w:t xml:space="preserve"> </w:t>
      </w:r>
      <w:r>
        <w:rPr>
          <w:rFonts w:ascii="Gill Sans MT" w:hAnsi="Gill Sans MT" w:cs="Gill Sans MT"/>
          <w:sz w:val="22"/>
          <w:szCs w:val="22"/>
        </w:rPr>
        <w:t>to</w:t>
      </w:r>
      <w:r>
        <w:rPr>
          <w:rFonts w:ascii="Gill Sans MT" w:hAnsi="Gill Sans MT" w:cs="Gill Sans MT"/>
          <w:spacing w:val="-13"/>
          <w:sz w:val="22"/>
          <w:szCs w:val="22"/>
        </w:rPr>
        <w:t xml:space="preserve"> </w:t>
      </w:r>
      <w:r>
        <w:rPr>
          <w:rFonts w:ascii="Gill Sans MT" w:hAnsi="Gill Sans MT" w:cs="Gill Sans MT"/>
          <w:sz w:val="22"/>
          <w:szCs w:val="22"/>
        </w:rPr>
        <w:t>CPs,</w:t>
      </w:r>
      <w:r>
        <w:rPr>
          <w:rFonts w:ascii="Gill Sans MT" w:hAnsi="Gill Sans MT" w:cs="Gill Sans MT"/>
          <w:spacing w:val="-9"/>
          <w:sz w:val="22"/>
          <w:szCs w:val="22"/>
        </w:rPr>
        <w:t xml:space="preserve"> </w:t>
      </w:r>
      <w:r>
        <w:rPr>
          <w:rFonts w:ascii="Gill Sans MT" w:hAnsi="Gill Sans MT" w:cs="Gill Sans MT"/>
          <w:sz w:val="22"/>
          <w:szCs w:val="22"/>
        </w:rPr>
        <w:t>in</w:t>
      </w:r>
      <w:r>
        <w:rPr>
          <w:rFonts w:ascii="Gill Sans MT" w:hAnsi="Gill Sans MT" w:cs="Gill Sans MT"/>
          <w:spacing w:val="-11"/>
          <w:sz w:val="22"/>
          <w:szCs w:val="22"/>
        </w:rPr>
        <w:t xml:space="preserve"> </w:t>
      </w:r>
      <w:r>
        <w:rPr>
          <w:rFonts w:ascii="Gill Sans MT" w:hAnsi="Gill Sans MT" w:cs="Gill Sans MT"/>
          <w:spacing w:val="-4"/>
          <w:sz w:val="22"/>
          <w:szCs w:val="22"/>
        </w:rPr>
        <w:t>order</w:t>
      </w:r>
      <w:r>
        <w:rPr>
          <w:rFonts w:ascii="Gill Sans MT" w:hAnsi="Gill Sans MT" w:cs="Gill Sans MT"/>
          <w:spacing w:val="-10"/>
          <w:sz w:val="22"/>
          <w:szCs w:val="22"/>
        </w:rPr>
        <w:t xml:space="preserve"> </w:t>
      </w:r>
      <w:r>
        <w:rPr>
          <w:rFonts w:ascii="Gill Sans MT" w:hAnsi="Gill Sans MT" w:cs="Gill Sans MT"/>
          <w:spacing w:val="-3"/>
          <w:sz w:val="22"/>
          <w:szCs w:val="22"/>
        </w:rPr>
        <w:t>that</w:t>
      </w:r>
      <w:r>
        <w:rPr>
          <w:rFonts w:ascii="Gill Sans MT" w:hAnsi="Gill Sans MT" w:cs="Gill Sans MT"/>
          <w:spacing w:val="-8"/>
          <w:sz w:val="22"/>
          <w:szCs w:val="22"/>
        </w:rPr>
        <w:t xml:space="preserve"> </w:t>
      </w:r>
      <w:r>
        <w:rPr>
          <w:rFonts w:ascii="Gill Sans MT" w:hAnsi="Gill Sans MT" w:cs="Gill Sans MT"/>
          <w:sz w:val="22"/>
          <w:szCs w:val="22"/>
        </w:rPr>
        <w:t>they</w:t>
      </w:r>
      <w:r>
        <w:rPr>
          <w:rFonts w:ascii="Gill Sans MT" w:hAnsi="Gill Sans MT" w:cs="Gill Sans MT"/>
          <w:spacing w:val="-11"/>
          <w:sz w:val="22"/>
          <w:szCs w:val="22"/>
        </w:rPr>
        <w:t xml:space="preserve"> </w:t>
      </w:r>
      <w:r>
        <w:rPr>
          <w:rFonts w:ascii="Gill Sans MT" w:hAnsi="Gill Sans MT" w:cs="Gill Sans MT"/>
          <w:sz w:val="22"/>
          <w:szCs w:val="22"/>
        </w:rPr>
        <w:t>may</w:t>
      </w:r>
      <w:r>
        <w:rPr>
          <w:rFonts w:ascii="Gill Sans MT" w:hAnsi="Gill Sans MT" w:cs="Gill Sans MT"/>
          <w:spacing w:val="-9"/>
          <w:sz w:val="22"/>
          <w:szCs w:val="22"/>
        </w:rPr>
        <w:t xml:space="preserve"> </w:t>
      </w:r>
      <w:r>
        <w:rPr>
          <w:rFonts w:ascii="Gill Sans MT" w:hAnsi="Gill Sans MT" w:cs="Gill Sans MT"/>
          <w:spacing w:val="-3"/>
          <w:sz w:val="22"/>
          <w:szCs w:val="22"/>
        </w:rPr>
        <w:t>develop</w:t>
      </w:r>
      <w:r>
        <w:rPr>
          <w:rFonts w:ascii="Gill Sans MT" w:hAnsi="Gill Sans MT" w:cs="Gill Sans MT"/>
          <w:spacing w:val="-8"/>
          <w:sz w:val="22"/>
          <w:szCs w:val="22"/>
        </w:rPr>
        <w:t xml:space="preserve"> </w:t>
      </w:r>
      <w:r>
        <w:rPr>
          <w:rFonts w:ascii="Gill Sans MT" w:hAnsi="Gill Sans MT" w:cs="Gill Sans MT"/>
          <w:spacing w:val="-3"/>
          <w:sz w:val="22"/>
          <w:szCs w:val="22"/>
        </w:rPr>
        <w:t>the</w:t>
      </w:r>
      <w:r>
        <w:rPr>
          <w:rFonts w:ascii="Gill Sans MT" w:hAnsi="Gill Sans MT" w:cs="Gill Sans MT"/>
          <w:spacing w:val="-11"/>
          <w:sz w:val="22"/>
          <w:szCs w:val="22"/>
        </w:rPr>
        <w:t xml:space="preserve"> </w:t>
      </w:r>
      <w:r>
        <w:rPr>
          <w:rFonts w:ascii="Gill Sans MT" w:hAnsi="Gill Sans MT" w:cs="Gill Sans MT"/>
          <w:sz w:val="22"/>
          <w:szCs w:val="22"/>
        </w:rPr>
        <w:t>infrastructure</w:t>
      </w:r>
      <w:r>
        <w:rPr>
          <w:rFonts w:ascii="Gill Sans MT" w:hAnsi="Gill Sans MT" w:cs="Gill Sans MT"/>
          <w:spacing w:val="-11"/>
          <w:sz w:val="22"/>
          <w:szCs w:val="22"/>
        </w:rPr>
        <w:t xml:space="preserve"> </w:t>
      </w:r>
      <w:r>
        <w:rPr>
          <w:rFonts w:ascii="Gill Sans MT" w:hAnsi="Gill Sans MT" w:cs="Gill Sans MT"/>
          <w:sz w:val="22"/>
          <w:szCs w:val="22"/>
        </w:rPr>
        <w:t>to</w:t>
      </w:r>
      <w:r>
        <w:rPr>
          <w:rFonts w:ascii="Gill Sans MT" w:hAnsi="Gill Sans MT" w:cs="Gill Sans MT"/>
          <w:spacing w:val="-13"/>
          <w:sz w:val="22"/>
          <w:szCs w:val="22"/>
        </w:rPr>
        <w:t xml:space="preserve"> </w:t>
      </w:r>
      <w:r>
        <w:rPr>
          <w:rFonts w:ascii="Gill Sans MT" w:hAnsi="Gill Sans MT" w:cs="Gill Sans MT"/>
          <w:sz w:val="22"/>
          <w:szCs w:val="22"/>
        </w:rPr>
        <w:t>provide</w:t>
      </w:r>
      <w:r>
        <w:rPr>
          <w:rFonts w:ascii="Gill Sans MT" w:hAnsi="Gill Sans MT" w:cs="Gill Sans MT"/>
          <w:spacing w:val="-11"/>
          <w:sz w:val="22"/>
          <w:szCs w:val="22"/>
        </w:rPr>
        <w:t xml:space="preserve"> </w:t>
      </w:r>
      <w:r>
        <w:rPr>
          <w:rFonts w:ascii="Gill Sans MT" w:hAnsi="Gill Sans MT" w:cs="Gill Sans MT"/>
          <w:spacing w:val="-3"/>
          <w:sz w:val="22"/>
          <w:szCs w:val="22"/>
        </w:rPr>
        <w:t>care</w:t>
      </w:r>
      <w:r>
        <w:rPr>
          <w:rFonts w:ascii="Gill Sans MT" w:hAnsi="Gill Sans MT" w:cs="Gill Sans MT"/>
          <w:spacing w:val="-11"/>
          <w:sz w:val="22"/>
          <w:szCs w:val="22"/>
        </w:rPr>
        <w:t xml:space="preserve"> </w:t>
      </w:r>
      <w:r>
        <w:rPr>
          <w:rFonts w:ascii="Gill Sans MT" w:hAnsi="Gill Sans MT" w:cs="Gill Sans MT"/>
          <w:spacing w:val="-3"/>
          <w:sz w:val="22"/>
          <w:szCs w:val="22"/>
        </w:rPr>
        <w:t xml:space="preserve">coordination </w:t>
      </w:r>
      <w:r>
        <w:rPr>
          <w:rFonts w:ascii="Gill Sans MT" w:hAnsi="Gill Sans MT" w:cs="Gill Sans MT"/>
          <w:sz w:val="22"/>
          <w:szCs w:val="22"/>
        </w:rPr>
        <w:t xml:space="preserve">and information and data </w:t>
      </w:r>
      <w:r>
        <w:rPr>
          <w:rFonts w:ascii="Gill Sans MT" w:hAnsi="Gill Sans MT" w:cs="Gill Sans MT"/>
          <w:spacing w:val="-3"/>
          <w:sz w:val="22"/>
          <w:szCs w:val="22"/>
        </w:rPr>
        <w:t xml:space="preserve">sharing </w:t>
      </w:r>
      <w:r>
        <w:rPr>
          <w:rFonts w:ascii="Gill Sans MT" w:hAnsi="Gill Sans MT" w:cs="Gill Sans MT"/>
          <w:sz w:val="22"/>
          <w:szCs w:val="22"/>
        </w:rPr>
        <w:t xml:space="preserve">needed for all components of </w:t>
      </w:r>
      <w:r>
        <w:rPr>
          <w:rFonts w:ascii="Gill Sans MT" w:hAnsi="Gill Sans MT" w:cs="Gill Sans MT"/>
          <w:spacing w:val="-3"/>
          <w:sz w:val="22"/>
          <w:szCs w:val="22"/>
        </w:rPr>
        <w:t xml:space="preserve">the </w:t>
      </w:r>
      <w:r>
        <w:rPr>
          <w:rFonts w:ascii="Gill Sans MT" w:hAnsi="Gill Sans MT" w:cs="Gill Sans MT"/>
          <w:sz w:val="22"/>
          <w:szCs w:val="22"/>
        </w:rPr>
        <w:t xml:space="preserve">system to </w:t>
      </w:r>
      <w:r>
        <w:rPr>
          <w:rFonts w:ascii="Gill Sans MT" w:hAnsi="Gill Sans MT" w:cs="Gill Sans MT"/>
          <w:spacing w:val="-3"/>
          <w:sz w:val="22"/>
          <w:szCs w:val="22"/>
        </w:rPr>
        <w:t xml:space="preserve">work </w:t>
      </w:r>
      <w:r>
        <w:rPr>
          <w:rFonts w:ascii="Gill Sans MT" w:hAnsi="Gill Sans MT" w:cs="Gill Sans MT"/>
          <w:sz w:val="22"/>
          <w:szCs w:val="22"/>
        </w:rPr>
        <w:t xml:space="preserve">effectively </w:t>
      </w:r>
      <w:r>
        <w:rPr>
          <w:rFonts w:ascii="Gill Sans MT" w:hAnsi="Gill Sans MT" w:cs="Gill Sans MT"/>
          <w:spacing w:val="-5"/>
          <w:sz w:val="22"/>
          <w:szCs w:val="22"/>
        </w:rPr>
        <w:t xml:space="preserve">on </w:t>
      </w:r>
      <w:r>
        <w:rPr>
          <w:rFonts w:ascii="Gill Sans MT" w:hAnsi="Gill Sans MT" w:cs="Gill Sans MT"/>
          <w:sz w:val="22"/>
          <w:szCs w:val="22"/>
        </w:rPr>
        <w:t>behalf of</w:t>
      </w:r>
      <w:r>
        <w:rPr>
          <w:rFonts w:ascii="Gill Sans MT" w:hAnsi="Gill Sans MT" w:cs="Gill Sans MT"/>
          <w:spacing w:val="-7"/>
          <w:sz w:val="22"/>
          <w:szCs w:val="22"/>
        </w:rPr>
        <w:t xml:space="preserve"> </w:t>
      </w:r>
      <w:r>
        <w:rPr>
          <w:rFonts w:ascii="Gill Sans MT" w:hAnsi="Gill Sans MT" w:cs="Gill Sans MT"/>
          <w:spacing w:val="-3"/>
          <w:sz w:val="22"/>
          <w:szCs w:val="22"/>
        </w:rPr>
        <w:t>enrollees.</w:t>
      </w:r>
    </w:p>
    <w:p w:rsidR="002C5025" w:rsidRDefault="002C5025" w:rsidP="005632B1">
      <w:pPr>
        <w:pStyle w:val="ListParagraph"/>
        <w:numPr>
          <w:ilvl w:val="0"/>
          <w:numId w:val="101"/>
        </w:numPr>
        <w:tabs>
          <w:tab w:val="left" w:pos="1180"/>
        </w:tabs>
        <w:kinsoku w:val="0"/>
        <w:overflowPunct w:val="0"/>
        <w:spacing w:line="261" w:lineRule="auto"/>
        <w:ind w:right="107"/>
        <w:jc w:val="both"/>
        <w:rPr>
          <w:rFonts w:ascii="Gill Sans MT" w:hAnsi="Gill Sans MT" w:cs="Gill Sans MT"/>
          <w:spacing w:val="-3"/>
          <w:sz w:val="22"/>
          <w:szCs w:val="22"/>
        </w:rPr>
      </w:pPr>
      <w:r>
        <w:rPr>
          <w:rFonts w:ascii="Gill Sans MT" w:hAnsi="Gill Sans MT" w:cs="Gill Sans MT"/>
          <w:sz w:val="22"/>
          <w:szCs w:val="22"/>
        </w:rPr>
        <w:t>EOHHS</w:t>
      </w:r>
      <w:r>
        <w:rPr>
          <w:rFonts w:ascii="Gill Sans MT" w:hAnsi="Gill Sans MT" w:cs="Gill Sans MT"/>
          <w:spacing w:val="-12"/>
          <w:sz w:val="22"/>
          <w:szCs w:val="22"/>
        </w:rPr>
        <w:t xml:space="preserve"> </w:t>
      </w:r>
      <w:r>
        <w:rPr>
          <w:rFonts w:ascii="Gill Sans MT" w:hAnsi="Gill Sans MT" w:cs="Gill Sans MT"/>
          <w:sz w:val="22"/>
          <w:szCs w:val="22"/>
        </w:rPr>
        <w:t>shall</w:t>
      </w:r>
      <w:r>
        <w:rPr>
          <w:rFonts w:ascii="Gill Sans MT" w:hAnsi="Gill Sans MT" w:cs="Gill Sans MT"/>
          <w:spacing w:val="-12"/>
          <w:sz w:val="22"/>
          <w:szCs w:val="22"/>
        </w:rPr>
        <w:t xml:space="preserve"> </w:t>
      </w:r>
      <w:r>
        <w:rPr>
          <w:rFonts w:ascii="Gill Sans MT" w:hAnsi="Gill Sans MT" w:cs="Gill Sans MT"/>
          <w:spacing w:val="-2"/>
          <w:sz w:val="22"/>
          <w:szCs w:val="22"/>
        </w:rPr>
        <w:t>ensure</w:t>
      </w:r>
      <w:r>
        <w:rPr>
          <w:rFonts w:ascii="Gill Sans MT" w:hAnsi="Gill Sans MT" w:cs="Gill Sans MT"/>
          <w:spacing w:val="-14"/>
          <w:sz w:val="22"/>
          <w:szCs w:val="22"/>
        </w:rPr>
        <w:t xml:space="preserve"> </w:t>
      </w:r>
      <w:r>
        <w:rPr>
          <w:rFonts w:ascii="Gill Sans MT" w:hAnsi="Gill Sans MT" w:cs="Gill Sans MT"/>
          <w:sz w:val="22"/>
          <w:szCs w:val="22"/>
        </w:rPr>
        <w:t>that</w:t>
      </w:r>
      <w:r>
        <w:rPr>
          <w:rFonts w:ascii="Gill Sans MT" w:hAnsi="Gill Sans MT" w:cs="Gill Sans MT"/>
          <w:spacing w:val="-13"/>
          <w:sz w:val="22"/>
          <w:szCs w:val="22"/>
        </w:rPr>
        <w:t xml:space="preserve"> </w:t>
      </w:r>
      <w:r>
        <w:rPr>
          <w:rFonts w:ascii="Gill Sans MT" w:hAnsi="Gill Sans MT" w:cs="Gill Sans MT"/>
          <w:spacing w:val="-3"/>
          <w:sz w:val="22"/>
          <w:szCs w:val="22"/>
        </w:rPr>
        <w:t>the</w:t>
      </w:r>
      <w:r>
        <w:rPr>
          <w:rFonts w:ascii="Gill Sans MT" w:hAnsi="Gill Sans MT" w:cs="Gill Sans MT"/>
          <w:spacing w:val="-14"/>
          <w:sz w:val="22"/>
          <w:szCs w:val="22"/>
        </w:rPr>
        <w:t xml:space="preserve"> </w:t>
      </w:r>
      <w:r>
        <w:rPr>
          <w:rFonts w:ascii="Gill Sans MT" w:hAnsi="Gill Sans MT" w:cs="Gill Sans MT"/>
          <w:spacing w:val="-3"/>
          <w:sz w:val="22"/>
          <w:szCs w:val="22"/>
        </w:rPr>
        <w:t>transparent</w:t>
      </w:r>
      <w:r>
        <w:rPr>
          <w:rFonts w:ascii="Gill Sans MT" w:hAnsi="Gill Sans MT" w:cs="Gill Sans MT"/>
          <w:spacing w:val="-13"/>
          <w:sz w:val="22"/>
          <w:szCs w:val="22"/>
        </w:rPr>
        <w:t xml:space="preserve"> </w:t>
      </w:r>
      <w:r>
        <w:rPr>
          <w:rFonts w:ascii="Gill Sans MT" w:hAnsi="Gill Sans MT" w:cs="Gill Sans MT"/>
          <w:spacing w:val="-3"/>
          <w:sz w:val="22"/>
          <w:szCs w:val="22"/>
        </w:rPr>
        <w:t>reporting</w:t>
      </w:r>
      <w:r>
        <w:rPr>
          <w:rFonts w:ascii="Gill Sans MT" w:hAnsi="Gill Sans MT" w:cs="Gill Sans MT"/>
          <w:spacing w:val="-12"/>
          <w:sz w:val="22"/>
          <w:szCs w:val="22"/>
        </w:rPr>
        <w:t xml:space="preserve"> </w:t>
      </w:r>
      <w:r>
        <w:rPr>
          <w:rFonts w:ascii="Gill Sans MT" w:hAnsi="Gill Sans MT" w:cs="Gill Sans MT"/>
          <w:sz w:val="22"/>
          <w:szCs w:val="22"/>
        </w:rPr>
        <w:t>of</w:t>
      </w:r>
      <w:r>
        <w:rPr>
          <w:rFonts w:ascii="Gill Sans MT" w:hAnsi="Gill Sans MT" w:cs="Gill Sans MT"/>
          <w:spacing w:val="-11"/>
          <w:sz w:val="22"/>
          <w:szCs w:val="22"/>
        </w:rPr>
        <w:t xml:space="preserve"> </w:t>
      </w:r>
      <w:r>
        <w:rPr>
          <w:rFonts w:ascii="Gill Sans MT" w:hAnsi="Gill Sans MT" w:cs="Gill Sans MT"/>
          <w:sz w:val="22"/>
          <w:szCs w:val="22"/>
        </w:rPr>
        <w:t>use</w:t>
      </w:r>
      <w:r>
        <w:rPr>
          <w:rFonts w:ascii="Gill Sans MT" w:hAnsi="Gill Sans MT" w:cs="Gill Sans MT"/>
          <w:spacing w:val="-9"/>
          <w:sz w:val="22"/>
          <w:szCs w:val="22"/>
        </w:rPr>
        <w:t xml:space="preserve"> </w:t>
      </w:r>
      <w:r>
        <w:rPr>
          <w:rFonts w:ascii="Gill Sans MT" w:hAnsi="Gill Sans MT" w:cs="Gill Sans MT"/>
          <w:sz w:val="22"/>
          <w:szCs w:val="22"/>
        </w:rPr>
        <w:t>of</w:t>
      </w:r>
      <w:r>
        <w:rPr>
          <w:rFonts w:ascii="Gill Sans MT" w:hAnsi="Gill Sans MT" w:cs="Gill Sans MT"/>
          <w:spacing w:val="-14"/>
          <w:sz w:val="22"/>
          <w:szCs w:val="22"/>
        </w:rPr>
        <w:t xml:space="preserve"> </w:t>
      </w:r>
      <w:r>
        <w:rPr>
          <w:rFonts w:ascii="Gill Sans MT" w:hAnsi="Gill Sans MT" w:cs="Gill Sans MT"/>
          <w:spacing w:val="-3"/>
          <w:sz w:val="22"/>
          <w:szCs w:val="22"/>
        </w:rPr>
        <w:t>DSRIP</w:t>
      </w:r>
      <w:r>
        <w:rPr>
          <w:rFonts w:ascii="Gill Sans MT" w:hAnsi="Gill Sans MT" w:cs="Gill Sans MT"/>
          <w:spacing w:val="-9"/>
          <w:sz w:val="22"/>
          <w:szCs w:val="22"/>
        </w:rPr>
        <w:t xml:space="preserve"> </w:t>
      </w:r>
      <w:r>
        <w:rPr>
          <w:rFonts w:ascii="Gill Sans MT" w:hAnsi="Gill Sans MT" w:cs="Gill Sans MT"/>
          <w:sz w:val="22"/>
          <w:szCs w:val="22"/>
        </w:rPr>
        <w:t>funds</w:t>
      </w:r>
      <w:r>
        <w:rPr>
          <w:rFonts w:ascii="Gill Sans MT" w:hAnsi="Gill Sans MT" w:cs="Gill Sans MT"/>
          <w:spacing w:val="-12"/>
          <w:sz w:val="22"/>
          <w:szCs w:val="22"/>
        </w:rPr>
        <w:t xml:space="preserve"> </w:t>
      </w:r>
      <w:r>
        <w:rPr>
          <w:rFonts w:ascii="Gill Sans MT" w:hAnsi="Gill Sans MT" w:cs="Gill Sans MT"/>
          <w:spacing w:val="-3"/>
          <w:sz w:val="22"/>
          <w:szCs w:val="22"/>
        </w:rPr>
        <w:t>occurs</w:t>
      </w:r>
      <w:r>
        <w:rPr>
          <w:rFonts w:ascii="Gill Sans MT" w:hAnsi="Gill Sans MT" w:cs="Gill Sans MT"/>
          <w:spacing w:val="-12"/>
          <w:sz w:val="22"/>
          <w:szCs w:val="22"/>
        </w:rPr>
        <w:t xml:space="preserve"> </w:t>
      </w:r>
      <w:r>
        <w:rPr>
          <w:rFonts w:ascii="Gill Sans MT" w:hAnsi="Gill Sans MT" w:cs="Gill Sans MT"/>
          <w:sz w:val="22"/>
          <w:szCs w:val="22"/>
        </w:rPr>
        <w:t>in</w:t>
      </w:r>
      <w:r>
        <w:rPr>
          <w:rFonts w:ascii="Gill Sans MT" w:hAnsi="Gill Sans MT" w:cs="Gill Sans MT"/>
          <w:spacing w:val="-14"/>
          <w:sz w:val="22"/>
          <w:szCs w:val="22"/>
        </w:rPr>
        <w:t xml:space="preserve"> </w:t>
      </w:r>
      <w:r>
        <w:rPr>
          <w:rFonts w:ascii="Gill Sans MT" w:hAnsi="Gill Sans MT" w:cs="Gill Sans MT"/>
          <w:sz w:val="22"/>
          <w:szCs w:val="22"/>
        </w:rPr>
        <w:t>a</w:t>
      </w:r>
      <w:r>
        <w:rPr>
          <w:rFonts w:ascii="Gill Sans MT" w:hAnsi="Gill Sans MT" w:cs="Gill Sans MT"/>
          <w:spacing w:val="-12"/>
          <w:sz w:val="22"/>
          <w:szCs w:val="22"/>
        </w:rPr>
        <w:t xml:space="preserve"> </w:t>
      </w:r>
      <w:r>
        <w:rPr>
          <w:rFonts w:ascii="Gill Sans MT" w:hAnsi="Gill Sans MT" w:cs="Gill Sans MT"/>
          <w:sz w:val="22"/>
          <w:szCs w:val="22"/>
        </w:rPr>
        <w:t>manner</w:t>
      </w:r>
      <w:r>
        <w:rPr>
          <w:rFonts w:ascii="Gill Sans MT" w:hAnsi="Gill Sans MT" w:cs="Gill Sans MT"/>
          <w:spacing w:val="-15"/>
          <w:sz w:val="22"/>
          <w:szCs w:val="22"/>
        </w:rPr>
        <w:t xml:space="preserve"> </w:t>
      </w:r>
      <w:r>
        <w:rPr>
          <w:rFonts w:ascii="Gill Sans MT" w:hAnsi="Gill Sans MT" w:cs="Gill Sans MT"/>
          <w:sz w:val="22"/>
          <w:szCs w:val="22"/>
        </w:rPr>
        <w:t xml:space="preserve">which allows public </w:t>
      </w:r>
      <w:r>
        <w:rPr>
          <w:rFonts w:ascii="Gill Sans MT" w:hAnsi="Gill Sans MT" w:cs="Gill Sans MT"/>
          <w:spacing w:val="-3"/>
          <w:sz w:val="22"/>
          <w:szCs w:val="22"/>
        </w:rPr>
        <w:t xml:space="preserve">review </w:t>
      </w:r>
      <w:r>
        <w:rPr>
          <w:rFonts w:ascii="Gill Sans MT" w:hAnsi="Gill Sans MT" w:cs="Gill Sans MT"/>
          <w:sz w:val="22"/>
          <w:szCs w:val="22"/>
        </w:rPr>
        <w:t xml:space="preserve">of the </w:t>
      </w:r>
      <w:r>
        <w:rPr>
          <w:rFonts w:ascii="Gill Sans MT" w:hAnsi="Gill Sans MT" w:cs="Gill Sans MT"/>
          <w:spacing w:val="-3"/>
          <w:sz w:val="22"/>
          <w:szCs w:val="22"/>
        </w:rPr>
        <w:t xml:space="preserve">proportion </w:t>
      </w:r>
      <w:r>
        <w:rPr>
          <w:rFonts w:ascii="Gill Sans MT" w:hAnsi="Gill Sans MT" w:cs="Gill Sans MT"/>
          <w:sz w:val="22"/>
          <w:szCs w:val="22"/>
        </w:rPr>
        <w:t xml:space="preserve">of funds </w:t>
      </w:r>
      <w:r>
        <w:rPr>
          <w:rFonts w:ascii="Gill Sans MT" w:hAnsi="Gill Sans MT" w:cs="Gill Sans MT"/>
          <w:spacing w:val="-3"/>
          <w:sz w:val="22"/>
          <w:szCs w:val="22"/>
        </w:rPr>
        <w:t xml:space="preserve">used </w:t>
      </w:r>
      <w:r>
        <w:rPr>
          <w:rFonts w:ascii="Gill Sans MT" w:hAnsi="Gill Sans MT" w:cs="Gill Sans MT"/>
          <w:sz w:val="22"/>
          <w:szCs w:val="22"/>
        </w:rPr>
        <w:t xml:space="preserve">across </w:t>
      </w:r>
      <w:r>
        <w:rPr>
          <w:rFonts w:ascii="Gill Sans MT" w:hAnsi="Gill Sans MT" w:cs="Gill Sans MT"/>
          <w:spacing w:val="-3"/>
          <w:sz w:val="22"/>
          <w:szCs w:val="22"/>
        </w:rPr>
        <w:t xml:space="preserve">entities and their relations </w:t>
      </w:r>
      <w:r>
        <w:rPr>
          <w:rFonts w:ascii="Gill Sans MT" w:hAnsi="Gill Sans MT" w:cs="Gill Sans MT"/>
          <w:sz w:val="22"/>
          <w:szCs w:val="22"/>
        </w:rPr>
        <w:t>with</w:t>
      </w:r>
      <w:r>
        <w:rPr>
          <w:rFonts w:ascii="Gill Sans MT" w:hAnsi="Gill Sans MT" w:cs="Gill Sans MT"/>
          <w:spacing w:val="-41"/>
          <w:sz w:val="22"/>
          <w:szCs w:val="22"/>
        </w:rPr>
        <w:t xml:space="preserve"> </w:t>
      </w:r>
      <w:r>
        <w:rPr>
          <w:rFonts w:ascii="Gill Sans MT" w:hAnsi="Gill Sans MT" w:cs="Gill Sans MT"/>
          <w:sz w:val="22"/>
          <w:szCs w:val="22"/>
        </w:rPr>
        <w:t xml:space="preserve">quality </w:t>
      </w:r>
      <w:r>
        <w:rPr>
          <w:rFonts w:ascii="Gill Sans MT" w:hAnsi="Gill Sans MT" w:cs="Gill Sans MT"/>
          <w:spacing w:val="-3"/>
          <w:sz w:val="22"/>
          <w:szCs w:val="22"/>
        </w:rPr>
        <w:t xml:space="preserve">metrics </w:t>
      </w:r>
      <w:r>
        <w:rPr>
          <w:rFonts w:ascii="Gill Sans MT" w:hAnsi="Gill Sans MT" w:cs="Gill Sans MT"/>
          <w:sz w:val="22"/>
          <w:szCs w:val="22"/>
        </w:rPr>
        <w:t>and</w:t>
      </w:r>
      <w:r>
        <w:rPr>
          <w:rFonts w:ascii="Gill Sans MT" w:hAnsi="Gill Sans MT" w:cs="Gill Sans MT"/>
          <w:spacing w:val="-9"/>
          <w:sz w:val="22"/>
          <w:szCs w:val="22"/>
        </w:rPr>
        <w:t xml:space="preserve"> </w:t>
      </w:r>
      <w:r>
        <w:rPr>
          <w:rFonts w:ascii="Gill Sans MT" w:hAnsi="Gill Sans MT" w:cs="Gill Sans MT"/>
          <w:spacing w:val="-3"/>
          <w:sz w:val="22"/>
          <w:szCs w:val="22"/>
        </w:rPr>
        <w:t>outcomes.</w:t>
      </w:r>
    </w:p>
    <w:p w:rsidR="002C5025" w:rsidRDefault="002C5025">
      <w:pPr>
        <w:pStyle w:val="BodyText"/>
        <w:kinsoku w:val="0"/>
        <w:overflowPunct w:val="0"/>
        <w:spacing w:before="2"/>
        <w:rPr>
          <w:rFonts w:ascii="Gill Sans MT" w:hAnsi="Gill Sans MT" w:cs="Gill Sans MT"/>
          <w:sz w:val="24"/>
          <w:szCs w:val="24"/>
        </w:rPr>
      </w:pPr>
    </w:p>
    <w:p w:rsidR="002C5025" w:rsidRDefault="002C5025">
      <w:pPr>
        <w:pStyle w:val="BodyText"/>
        <w:kinsoku w:val="0"/>
        <w:overflowPunct w:val="0"/>
        <w:spacing w:line="261" w:lineRule="auto"/>
        <w:ind w:left="460" w:right="289"/>
        <w:rPr>
          <w:rFonts w:ascii="Gill Sans MT" w:hAnsi="Gill Sans MT" w:cs="Gill Sans MT"/>
        </w:rPr>
      </w:pPr>
      <w:r>
        <w:rPr>
          <w:rFonts w:ascii="Gill Sans MT" w:hAnsi="Gill Sans MT" w:cs="Gill Sans MT"/>
        </w:rPr>
        <w:t>Again, thank you for the extensive efforts and steps your team has taken to develop this process in a transparent and inclusive manner.</w:t>
      </w:r>
    </w:p>
    <w:p w:rsidR="002C5025" w:rsidRDefault="002C5025">
      <w:pPr>
        <w:pStyle w:val="BodyText"/>
        <w:kinsoku w:val="0"/>
        <w:overflowPunct w:val="0"/>
        <w:spacing w:before="2"/>
        <w:rPr>
          <w:rFonts w:ascii="Gill Sans MT" w:hAnsi="Gill Sans MT" w:cs="Gill Sans MT"/>
          <w:sz w:val="24"/>
          <w:szCs w:val="24"/>
        </w:rPr>
      </w:pPr>
    </w:p>
    <w:p w:rsidR="002C5025" w:rsidRDefault="002C5025">
      <w:pPr>
        <w:pStyle w:val="BodyText"/>
        <w:kinsoku w:val="0"/>
        <w:overflowPunct w:val="0"/>
        <w:spacing w:after="22"/>
        <w:ind w:left="460" w:right="289"/>
        <w:rPr>
          <w:rFonts w:ascii="Gill Sans MT" w:hAnsi="Gill Sans MT" w:cs="Gill Sans MT"/>
        </w:rPr>
      </w:pPr>
      <w:r>
        <w:rPr>
          <w:rFonts w:ascii="Gill Sans MT" w:hAnsi="Gill Sans MT" w:cs="Gill Sans MT"/>
        </w:rPr>
        <w:t>Sincerely,</w:t>
      </w:r>
    </w:p>
    <w:p w:rsidR="002C5025" w:rsidRDefault="00FB027C">
      <w:pPr>
        <w:pStyle w:val="BodyText"/>
        <w:tabs>
          <w:tab w:val="left" w:pos="5440"/>
        </w:tabs>
        <w:kinsoku w:val="0"/>
        <w:overflowPunct w:val="0"/>
        <w:ind w:left="460"/>
        <w:rPr>
          <w:rFonts w:ascii="Gill Sans MT" w:hAnsi="Gill Sans MT" w:cs="Gill Sans MT"/>
          <w:sz w:val="20"/>
          <w:szCs w:val="20"/>
        </w:rPr>
      </w:pPr>
      <w:r>
        <w:rPr>
          <w:rFonts w:ascii="Gill Sans MT" w:hAnsi="Gill Sans MT" w:cs="Gill Sans MT"/>
          <w:noProof/>
          <w:sz w:val="20"/>
          <w:szCs w:val="20"/>
        </w:rPr>
        <w:drawing>
          <wp:inline distT="0" distB="0" distL="0" distR="0">
            <wp:extent cx="2362200" cy="714375"/>
            <wp:effectExtent l="0" t="0" r="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362200" cy="714375"/>
                    </a:xfrm>
                    <a:prstGeom prst="rect">
                      <a:avLst/>
                    </a:prstGeom>
                    <a:noFill/>
                    <a:ln>
                      <a:noFill/>
                    </a:ln>
                  </pic:spPr>
                </pic:pic>
              </a:graphicData>
            </a:graphic>
          </wp:inline>
        </w:drawing>
      </w:r>
      <w:r w:rsidR="002C5025">
        <w:rPr>
          <w:rFonts w:ascii="Gill Sans MT" w:hAnsi="Gill Sans MT" w:cs="Gill Sans MT"/>
          <w:sz w:val="20"/>
          <w:szCs w:val="20"/>
        </w:rPr>
        <w:t xml:space="preserve"> </w:t>
      </w:r>
      <w:r w:rsidR="002C5025">
        <w:rPr>
          <w:rFonts w:ascii="Gill Sans MT" w:hAnsi="Gill Sans MT" w:cs="Gill Sans MT"/>
          <w:sz w:val="20"/>
          <w:szCs w:val="20"/>
        </w:rPr>
        <w:tab/>
      </w:r>
      <w:r>
        <w:rPr>
          <w:rFonts w:ascii="Gill Sans MT" w:hAnsi="Gill Sans MT" w:cs="Gill Sans MT"/>
          <w:noProof/>
          <w:sz w:val="20"/>
          <w:szCs w:val="20"/>
        </w:rPr>
        <w:drawing>
          <wp:inline distT="0" distB="0" distL="0" distR="0">
            <wp:extent cx="2676525" cy="590550"/>
            <wp:effectExtent l="0" t="0" r="952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676525" cy="590550"/>
                    </a:xfrm>
                    <a:prstGeom prst="rect">
                      <a:avLst/>
                    </a:prstGeom>
                    <a:noFill/>
                    <a:ln>
                      <a:noFill/>
                    </a:ln>
                  </pic:spPr>
                </pic:pic>
              </a:graphicData>
            </a:graphic>
          </wp:inline>
        </w:drawing>
      </w:r>
    </w:p>
    <w:p w:rsidR="002C5025" w:rsidRDefault="002C5025">
      <w:pPr>
        <w:pStyle w:val="BodyText"/>
        <w:kinsoku w:val="0"/>
        <w:overflowPunct w:val="0"/>
        <w:spacing w:before="3"/>
        <w:rPr>
          <w:rFonts w:ascii="Gill Sans MT" w:hAnsi="Gill Sans MT" w:cs="Gill Sans MT"/>
          <w:sz w:val="15"/>
          <w:szCs w:val="15"/>
        </w:rPr>
      </w:pPr>
    </w:p>
    <w:p w:rsidR="002C5025" w:rsidRDefault="002C5025">
      <w:pPr>
        <w:pStyle w:val="BodyText"/>
        <w:tabs>
          <w:tab w:val="left" w:pos="5499"/>
        </w:tabs>
        <w:kinsoku w:val="0"/>
        <w:overflowPunct w:val="0"/>
        <w:spacing w:before="72"/>
        <w:ind w:left="460" w:right="289"/>
        <w:rPr>
          <w:rFonts w:ascii="Gill Sans MT" w:hAnsi="Gill Sans MT" w:cs="Gill Sans MT"/>
          <w:spacing w:val="-3"/>
          <w:w w:val="95"/>
        </w:rPr>
      </w:pPr>
      <w:r>
        <w:rPr>
          <w:rFonts w:ascii="Gill Sans MT" w:hAnsi="Gill Sans MT" w:cs="Gill Sans MT"/>
        </w:rPr>
        <w:t xml:space="preserve">Jean </w:t>
      </w:r>
      <w:r>
        <w:rPr>
          <w:rFonts w:ascii="Gill Sans MT" w:hAnsi="Gill Sans MT" w:cs="Gill Sans MT"/>
          <w:spacing w:val="4"/>
        </w:rPr>
        <w:t xml:space="preserve"> </w:t>
      </w:r>
      <w:r>
        <w:rPr>
          <w:rFonts w:ascii="Gill Sans MT" w:hAnsi="Gill Sans MT" w:cs="Gill Sans MT"/>
          <w:spacing w:val="-3"/>
        </w:rPr>
        <w:t>Phelps</w:t>
      </w:r>
      <w:r>
        <w:rPr>
          <w:rFonts w:ascii="Gill Sans MT" w:hAnsi="Gill Sans MT" w:cs="Gill Sans MT"/>
          <w:spacing w:val="-3"/>
        </w:rPr>
        <w:tab/>
      </w:r>
      <w:r>
        <w:rPr>
          <w:rFonts w:ascii="Gill Sans MT" w:hAnsi="Gill Sans MT" w:cs="Gill Sans MT"/>
          <w:spacing w:val="-3"/>
          <w:w w:val="95"/>
        </w:rPr>
        <w:t>Gary</w:t>
      </w:r>
      <w:r>
        <w:rPr>
          <w:rFonts w:ascii="Gill Sans MT" w:hAnsi="Gill Sans MT" w:cs="Gill Sans MT"/>
          <w:spacing w:val="25"/>
          <w:w w:val="95"/>
        </w:rPr>
        <w:t xml:space="preserve"> </w:t>
      </w:r>
      <w:r>
        <w:rPr>
          <w:rFonts w:ascii="Gill Sans MT" w:hAnsi="Gill Sans MT" w:cs="Gill Sans MT"/>
          <w:spacing w:val="-3"/>
          <w:w w:val="95"/>
        </w:rPr>
        <w:t>Blumenthal</w:t>
      </w:r>
    </w:p>
    <w:p w:rsidR="002C5025" w:rsidRDefault="002C5025">
      <w:pPr>
        <w:pStyle w:val="BodyText"/>
        <w:tabs>
          <w:tab w:val="left" w:pos="5499"/>
        </w:tabs>
        <w:kinsoku w:val="0"/>
        <w:overflowPunct w:val="0"/>
        <w:spacing w:before="11"/>
        <w:ind w:left="460" w:right="289"/>
        <w:rPr>
          <w:rFonts w:ascii="Gill Sans MT" w:hAnsi="Gill Sans MT" w:cs="Gill Sans MT"/>
          <w:spacing w:val="-3"/>
        </w:rPr>
      </w:pPr>
      <w:r>
        <w:rPr>
          <w:rFonts w:ascii="Gill Sans MT" w:hAnsi="Gill Sans MT" w:cs="Gill Sans MT"/>
          <w:spacing w:val="-3"/>
        </w:rPr>
        <w:t>Chair,</w:t>
      </w:r>
      <w:r>
        <w:rPr>
          <w:rFonts w:ascii="Gill Sans MT" w:hAnsi="Gill Sans MT" w:cs="Gill Sans MT"/>
          <w:spacing w:val="-45"/>
        </w:rPr>
        <w:t xml:space="preserve"> </w:t>
      </w:r>
      <w:r>
        <w:rPr>
          <w:rFonts w:ascii="Gill Sans MT" w:hAnsi="Gill Sans MT" w:cs="Gill Sans MT"/>
          <w:spacing w:val="-5"/>
        </w:rPr>
        <w:t>ADDP</w:t>
      </w:r>
      <w:r>
        <w:rPr>
          <w:rFonts w:ascii="Gill Sans MT" w:hAnsi="Gill Sans MT" w:cs="Gill Sans MT"/>
          <w:spacing w:val="-47"/>
        </w:rPr>
        <w:t xml:space="preserve"> </w:t>
      </w:r>
      <w:r>
        <w:rPr>
          <w:rFonts w:ascii="Gill Sans MT" w:hAnsi="Gill Sans MT" w:cs="Gill Sans MT"/>
          <w:spacing w:val="-3"/>
        </w:rPr>
        <w:t>Board</w:t>
      </w:r>
      <w:r>
        <w:rPr>
          <w:rFonts w:ascii="Gill Sans MT" w:hAnsi="Gill Sans MT" w:cs="Gill Sans MT"/>
          <w:spacing w:val="-46"/>
        </w:rPr>
        <w:t xml:space="preserve"> </w:t>
      </w:r>
      <w:r>
        <w:rPr>
          <w:rFonts w:ascii="Gill Sans MT" w:hAnsi="Gill Sans MT" w:cs="Gill Sans MT"/>
          <w:spacing w:val="-3"/>
        </w:rPr>
        <w:t>of</w:t>
      </w:r>
      <w:r>
        <w:rPr>
          <w:rFonts w:ascii="Gill Sans MT" w:hAnsi="Gill Sans MT" w:cs="Gill Sans MT"/>
          <w:spacing w:val="-47"/>
        </w:rPr>
        <w:t xml:space="preserve"> </w:t>
      </w:r>
      <w:r>
        <w:rPr>
          <w:rFonts w:ascii="Gill Sans MT" w:hAnsi="Gill Sans MT" w:cs="Gill Sans MT"/>
          <w:spacing w:val="-4"/>
        </w:rPr>
        <w:t>Directors</w:t>
      </w:r>
      <w:r>
        <w:rPr>
          <w:rFonts w:ascii="Gill Sans MT" w:hAnsi="Gill Sans MT" w:cs="Gill Sans MT"/>
          <w:spacing w:val="-4"/>
        </w:rPr>
        <w:tab/>
      </w:r>
      <w:r>
        <w:rPr>
          <w:rFonts w:ascii="Gill Sans MT" w:hAnsi="Gill Sans MT" w:cs="Gill Sans MT"/>
          <w:spacing w:val="-3"/>
        </w:rPr>
        <w:t>President</w:t>
      </w:r>
      <w:r>
        <w:rPr>
          <w:rFonts w:ascii="Gill Sans MT" w:hAnsi="Gill Sans MT" w:cs="Gill Sans MT"/>
          <w:spacing w:val="-24"/>
        </w:rPr>
        <w:t xml:space="preserve"> </w:t>
      </w:r>
      <w:r>
        <w:rPr>
          <w:rFonts w:ascii="Gill Sans MT" w:hAnsi="Gill Sans MT" w:cs="Gill Sans MT"/>
        </w:rPr>
        <w:t>&amp;</w:t>
      </w:r>
      <w:r>
        <w:rPr>
          <w:rFonts w:ascii="Gill Sans MT" w:hAnsi="Gill Sans MT" w:cs="Gill Sans MT"/>
          <w:spacing w:val="-43"/>
        </w:rPr>
        <w:t xml:space="preserve"> </w:t>
      </w:r>
      <w:r>
        <w:rPr>
          <w:rFonts w:ascii="Gill Sans MT" w:hAnsi="Gill Sans MT" w:cs="Gill Sans MT"/>
          <w:spacing w:val="-3"/>
        </w:rPr>
        <w:t>CEO</w:t>
      </w:r>
    </w:p>
    <w:p w:rsidR="002C5025" w:rsidRDefault="002C5025">
      <w:pPr>
        <w:pStyle w:val="BodyText"/>
        <w:kinsoku w:val="0"/>
        <w:overflowPunct w:val="0"/>
        <w:spacing w:before="121"/>
        <w:ind w:right="115"/>
        <w:jc w:val="right"/>
        <w:rPr>
          <w:rFonts w:ascii="Times New Roman" w:hAnsi="Times New Roman" w:cs="Times New Roman"/>
          <w:sz w:val="24"/>
          <w:szCs w:val="24"/>
        </w:rPr>
      </w:pPr>
      <w:r>
        <w:rPr>
          <w:rFonts w:ascii="Times New Roman" w:hAnsi="Times New Roman" w:cs="Times New Roman"/>
          <w:sz w:val="24"/>
          <w:szCs w:val="24"/>
        </w:rPr>
        <w:t>3</w:t>
      </w:r>
    </w:p>
    <w:p w:rsidR="002C5025" w:rsidRDefault="002C5025">
      <w:pPr>
        <w:pStyle w:val="BodyText"/>
        <w:kinsoku w:val="0"/>
        <w:overflowPunct w:val="0"/>
        <w:spacing w:before="121"/>
        <w:ind w:right="115"/>
        <w:jc w:val="right"/>
        <w:rPr>
          <w:rFonts w:ascii="Times New Roman" w:hAnsi="Times New Roman" w:cs="Times New Roman"/>
          <w:sz w:val="24"/>
          <w:szCs w:val="24"/>
        </w:rPr>
        <w:sectPr w:rsidR="002C5025">
          <w:pgSz w:w="12240" w:h="15840"/>
          <w:pgMar w:top="1500" w:right="1320" w:bottom="280" w:left="980" w:header="720" w:footer="720" w:gutter="0"/>
          <w:cols w:space="720" w:equalWidth="0">
            <w:col w:w="9940"/>
          </w:cols>
          <w:noEndnote/>
        </w:sectPr>
      </w:pPr>
    </w:p>
    <w:p w:rsidR="002C5025" w:rsidRDefault="002C5025">
      <w:pPr>
        <w:pStyle w:val="BodyText"/>
        <w:kinsoku w:val="0"/>
        <w:overflowPunct w:val="0"/>
        <w:spacing w:before="52"/>
        <w:ind w:left="100" w:right="443"/>
        <w:rPr>
          <w:rFonts w:ascii="Times New Roman" w:hAnsi="Times New Roman" w:cs="Times New Roman"/>
          <w:sz w:val="24"/>
          <w:szCs w:val="24"/>
        </w:rPr>
      </w:pPr>
      <w:bookmarkStart w:id="63" w:name="Autism_Housing_Pathways"/>
      <w:bookmarkEnd w:id="63"/>
      <w:r>
        <w:rPr>
          <w:rFonts w:ascii="Times New Roman" w:hAnsi="Times New Roman" w:cs="Times New Roman"/>
          <w:sz w:val="24"/>
          <w:szCs w:val="24"/>
        </w:rPr>
        <w:lastRenderedPageBreak/>
        <w:t>Hello,</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spacing w:before="7"/>
        <w:rPr>
          <w:rFonts w:ascii="Times New Roman" w:hAnsi="Times New Roman" w:cs="Times New Roman"/>
          <w:sz w:val="24"/>
          <w:szCs w:val="24"/>
        </w:rPr>
      </w:pPr>
    </w:p>
    <w:p w:rsidR="002C5025" w:rsidRDefault="002C5025">
      <w:pPr>
        <w:pStyle w:val="BodyText"/>
        <w:kinsoku w:val="0"/>
        <w:overflowPunct w:val="0"/>
        <w:ind w:left="100" w:right="295"/>
        <w:rPr>
          <w:rFonts w:ascii="Times New Roman" w:hAnsi="Times New Roman" w:cs="Times New Roman"/>
          <w:sz w:val="24"/>
          <w:szCs w:val="24"/>
        </w:rPr>
      </w:pPr>
      <w:r>
        <w:rPr>
          <w:rFonts w:ascii="Times New Roman" w:hAnsi="Times New Roman" w:cs="Times New Roman"/>
          <w:sz w:val="24"/>
          <w:szCs w:val="24"/>
        </w:rPr>
        <w:t>My name is Catherine Boyle, and I am the president of Autism Housing Pathways, a 501(c)(3) organization that educates Massachusetts families about housing options for their adult family members with developmental disabilities. I am writing to provide comment on MassHealth’s Section 1115 Demonstration Project Amendment and Extension Request.</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spacing w:before="9"/>
        <w:rPr>
          <w:rFonts w:ascii="Times New Roman" w:hAnsi="Times New Roman" w:cs="Times New Roman"/>
          <w:sz w:val="24"/>
          <w:szCs w:val="24"/>
        </w:rPr>
      </w:pPr>
    </w:p>
    <w:p w:rsidR="002C5025" w:rsidRDefault="002C5025">
      <w:pPr>
        <w:pStyle w:val="BodyText"/>
        <w:kinsoku w:val="0"/>
        <w:overflowPunct w:val="0"/>
        <w:ind w:left="100" w:right="443"/>
        <w:rPr>
          <w:rFonts w:ascii="Times New Roman" w:hAnsi="Times New Roman" w:cs="Times New Roman"/>
          <w:sz w:val="24"/>
          <w:szCs w:val="24"/>
        </w:rPr>
      </w:pPr>
      <w:r>
        <w:rPr>
          <w:rFonts w:ascii="Times New Roman" w:hAnsi="Times New Roman" w:cs="Times New Roman"/>
          <w:sz w:val="24"/>
          <w:szCs w:val="24"/>
          <w:u w:val="single" w:color="000000"/>
        </w:rPr>
        <w:t>Housing stabilization and support, search and placement</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7"/>
        <w:rPr>
          <w:rFonts w:ascii="Times New Roman" w:hAnsi="Times New Roman" w:cs="Times New Roman"/>
          <w:sz w:val="26"/>
          <w:szCs w:val="26"/>
        </w:rPr>
      </w:pPr>
    </w:p>
    <w:p w:rsidR="002C5025" w:rsidRDefault="002C5025">
      <w:pPr>
        <w:pStyle w:val="BodyText"/>
        <w:kinsoku w:val="0"/>
        <w:overflowPunct w:val="0"/>
        <w:spacing w:before="69"/>
        <w:ind w:left="100" w:right="96"/>
        <w:rPr>
          <w:rFonts w:ascii="Times New Roman" w:hAnsi="Times New Roman" w:cs="Times New Roman"/>
          <w:sz w:val="24"/>
          <w:szCs w:val="24"/>
        </w:rPr>
      </w:pPr>
      <w:r>
        <w:rPr>
          <w:rFonts w:ascii="Times New Roman" w:hAnsi="Times New Roman" w:cs="Times New Roman"/>
          <w:sz w:val="24"/>
          <w:szCs w:val="24"/>
        </w:rPr>
        <w:t>In my work with families across the state, I have found that, in general, individuals, their families, and teachers of transition-age youth generally have little to no a priori understanding of existing housing programs, or of MassHealth State Plan options, such as Adult Family Care/Adult Foster Care. To expect them to take the further leap of understanding the rules governing the interactions of these programs without assistance is, frankly, assuming the impossible.</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spacing w:before="7"/>
        <w:rPr>
          <w:rFonts w:ascii="Times New Roman" w:hAnsi="Times New Roman" w:cs="Times New Roman"/>
          <w:sz w:val="24"/>
          <w:szCs w:val="24"/>
        </w:rPr>
      </w:pPr>
    </w:p>
    <w:p w:rsidR="002C5025" w:rsidRDefault="002C5025">
      <w:pPr>
        <w:pStyle w:val="BodyText"/>
        <w:kinsoku w:val="0"/>
        <w:overflowPunct w:val="0"/>
        <w:ind w:left="100" w:right="222"/>
        <w:rPr>
          <w:rFonts w:ascii="Times New Roman" w:hAnsi="Times New Roman" w:cs="Times New Roman"/>
          <w:sz w:val="24"/>
          <w:szCs w:val="24"/>
        </w:rPr>
      </w:pPr>
      <w:r>
        <w:rPr>
          <w:rFonts w:ascii="Times New Roman" w:hAnsi="Times New Roman" w:cs="Times New Roman"/>
          <w:sz w:val="24"/>
          <w:szCs w:val="24"/>
        </w:rPr>
        <w:t>As a result of this experience, I am happy to see specific mention of “Housing stabilization and support, search and placement” as a category of flexible services in 5.3.2.3 of the Amendment and Extension Request. I hope that the category is broadly construed to encompass the range of elements that help individuals and their families to develop and execute a sustainable, self- directed housing strategy. These include (but are not limited to):</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spacing w:before="7"/>
        <w:rPr>
          <w:rFonts w:ascii="Times New Roman" w:hAnsi="Times New Roman" w:cs="Times New Roman"/>
          <w:sz w:val="24"/>
          <w:szCs w:val="24"/>
        </w:rPr>
      </w:pPr>
    </w:p>
    <w:p w:rsidR="002C5025" w:rsidRDefault="002C5025">
      <w:pPr>
        <w:pStyle w:val="ListParagraph"/>
        <w:numPr>
          <w:ilvl w:val="1"/>
          <w:numId w:val="84"/>
        </w:numPr>
        <w:tabs>
          <w:tab w:val="left" w:pos="820"/>
        </w:tabs>
        <w:kinsoku w:val="0"/>
        <w:overflowPunct w:val="0"/>
        <w:ind w:right="861"/>
      </w:pPr>
      <w:r>
        <w:t>Education about the range of subsidized and/or affordable housing programs,</w:t>
      </w:r>
      <w:r>
        <w:rPr>
          <w:spacing w:val="-15"/>
        </w:rPr>
        <w:t xml:space="preserve"> </w:t>
      </w:r>
      <w:r>
        <w:t>and identification of appropriate programs for the</w:t>
      </w:r>
      <w:r>
        <w:rPr>
          <w:spacing w:val="-12"/>
        </w:rPr>
        <w:t xml:space="preserve"> </w:t>
      </w:r>
      <w:r>
        <w:t>individual;</w:t>
      </w:r>
    </w:p>
    <w:p w:rsidR="002C5025" w:rsidRDefault="002C5025">
      <w:pPr>
        <w:pStyle w:val="ListParagraph"/>
        <w:numPr>
          <w:ilvl w:val="1"/>
          <w:numId w:val="84"/>
        </w:numPr>
        <w:tabs>
          <w:tab w:val="left" w:pos="820"/>
        </w:tabs>
        <w:kinsoku w:val="0"/>
        <w:overflowPunct w:val="0"/>
        <w:ind w:right="294"/>
      </w:pPr>
      <w:r>
        <w:t>Education about the existence and requirements of MassHealth State Plan services,</w:t>
      </w:r>
      <w:r>
        <w:rPr>
          <w:spacing w:val="-19"/>
        </w:rPr>
        <w:t xml:space="preserve"> </w:t>
      </w:r>
      <w:r>
        <w:t>and identification of the service that will best support the individual in</w:t>
      </w:r>
      <w:r>
        <w:rPr>
          <w:spacing w:val="-18"/>
        </w:rPr>
        <w:t xml:space="preserve"> </w:t>
      </w:r>
      <w:r>
        <w:t>housing;</w:t>
      </w:r>
    </w:p>
    <w:p w:rsidR="002C5025" w:rsidRDefault="002C5025">
      <w:pPr>
        <w:pStyle w:val="ListParagraph"/>
        <w:numPr>
          <w:ilvl w:val="1"/>
          <w:numId w:val="84"/>
        </w:numPr>
        <w:tabs>
          <w:tab w:val="left" w:pos="820"/>
        </w:tabs>
        <w:kinsoku w:val="0"/>
        <w:overflowPunct w:val="0"/>
      </w:pPr>
      <w:r>
        <w:t>Hands on assistance in filling out applications for Section 8 housing</w:t>
      </w:r>
      <w:r>
        <w:rPr>
          <w:spacing w:val="-18"/>
        </w:rPr>
        <w:t xml:space="preserve"> </w:t>
      </w:r>
      <w:r>
        <w:t>vouchers;</w:t>
      </w:r>
    </w:p>
    <w:p w:rsidR="002C5025" w:rsidRDefault="002C5025">
      <w:pPr>
        <w:pStyle w:val="ListParagraph"/>
        <w:numPr>
          <w:ilvl w:val="1"/>
          <w:numId w:val="84"/>
        </w:numPr>
        <w:tabs>
          <w:tab w:val="left" w:pos="820"/>
        </w:tabs>
        <w:kinsoku w:val="0"/>
        <w:overflowPunct w:val="0"/>
      </w:pPr>
      <w:r>
        <w:t>Education of the individual in what is expected of a housemate, a neighbor, and a</w:t>
      </w:r>
      <w:r>
        <w:rPr>
          <w:spacing w:val="-17"/>
        </w:rPr>
        <w:t xml:space="preserve"> </w:t>
      </w:r>
      <w:r>
        <w:t>tenant;</w:t>
      </w:r>
    </w:p>
    <w:p w:rsidR="002C5025" w:rsidRDefault="002C5025">
      <w:pPr>
        <w:pStyle w:val="ListParagraph"/>
        <w:numPr>
          <w:ilvl w:val="1"/>
          <w:numId w:val="84"/>
        </w:numPr>
        <w:tabs>
          <w:tab w:val="left" w:pos="820"/>
        </w:tabs>
        <w:kinsoku w:val="0"/>
        <w:overflowPunct w:val="0"/>
      </w:pPr>
      <w:r>
        <w:t>Assessment of living</w:t>
      </w:r>
      <w:r>
        <w:rPr>
          <w:spacing w:val="-8"/>
        </w:rPr>
        <w:t xml:space="preserve"> </w:t>
      </w:r>
      <w:r>
        <w:t>skills;</w:t>
      </w:r>
    </w:p>
    <w:p w:rsidR="002C5025" w:rsidRDefault="002C5025">
      <w:pPr>
        <w:pStyle w:val="ListParagraph"/>
        <w:numPr>
          <w:ilvl w:val="1"/>
          <w:numId w:val="84"/>
        </w:numPr>
        <w:tabs>
          <w:tab w:val="left" w:pos="820"/>
        </w:tabs>
        <w:kinsoku w:val="0"/>
        <w:overflowPunct w:val="0"/>
      </w:pPr>
      <w:r>
        <w:t>Assessment of and funding for appropriate assistive technology;</w:t>
      </w:r>
      <w:r>
        <w:rPr>
          <w:spacing w:val="-17"/>
        </w:rPr>
        <w:t xml:space="preserve"> </w:t>
      </w:r>
      <w:r>
        <w:t>and</w:t>
      </w:r>
    </w:p>
    <w:p w:rsidR="002C5025" w:rsidRDefault="002C5025">
      <w:pPr>
        <w:pStyle w:val="ListParagraph"/>
        <w:numPr>
          <w:ilvl w:val="1"/>
          <w:numId w:val="84"/>
        </w:numPr>
        <w:tabs>
          <w:tab w:val="left" w:pos="820"/>
        </w:tabs>
        <w:kinsoku w:val="0"/>
        <w:overflowPunct w:val="0"/>
        <w:ind w:right="1011"/>
      </w:pPr>
      <w:r>
        <w:t>Evaluation of housing for appropriateness and developing recommendations for environmental modifications to ensure</w:t>
      </w:r>
      <w:r>
        <w:rPr>
          <w:spacing w:val="-10"/>
        </w:rPr>
        <w:t xml:space="preserve"> </w:t>
      </w:r>
      <w:r>
        <w:t>success.</w:t>
      </w:r>
    </w:p>
    <w:p w:rsidR="002C5025" w:rsidRDefault="002C5025">
      <w:pPr>
        <w:pStyle w:val="ListParagraph"/>
        <w:numPr>
          <w:ilvl w:val="1"/>
          <w:numId w:val="84"/>
        </w:numPr>
        <w:tabs>
          <w:tab w:val="left" w:pos="820"/>
        </w:tabs>
        <w:kinsoku w:val="0"/>
        <w:overflowPunct w:val="0"/>
        <w:ind w:right="1011"/>
        <w:sectPr w:rsidR="002C5025">
          <w:pgSz w:w="12240" w:h="15840"/>
          <w:pgMar w:top="1380" w:right="1400" w:bottom="280" w:left="1340" w:header="720" w:footer="720" w:gutter="0"/>
          <w:cols w:space="720" w:equalWidth="0">
            <w:col w:w="9500"/>
          </w:cols>
          <w:noEndnote/>
        </w:sectPr>
      </w:pPr>
    </w:p>
    <w:p w:rsidR="002C5025" w:rsidRDefault="002C5025">
      <w:pPr>
        <w:pStyle w:val="BodyText"/>
        <w:kinsoku w:val="0"/>
        <w:overflowPunct w:val="0"/>
        <w:spacing w:before="52"/>
        <w:ind w:left="120" w:right="241"/>
        <w:rPr>
          <w:rFonts w:ascii="Times New Roman" w:hAnsi="Times New Roman" w:cs="Times New Roman"/>
          <w:sz w:val="24"/>
          <w:szCs w:val="24"/>
        </w:rPr>
      </w:pPr>
      <w:r>
        <w:rPr>
          <w:rFonts w:ascii="Times New Roman" w:hAnsi="Times New Roman" w:cs="Times New Roman"/>
          <w:sz w:val="24"/>
          <w:szCs w:val="24"/>
        </w:rPr>
        <w:lastRenderedPageBreak/>
        <w:t>The last four are particularly important for individuals with autism, who now constitute almost half of the DDS Turning 22 class. Otherwise, it is all too easy for individuals to fail to maintain tenancy. For this reason, in some instances, training of landlords, property managers, and housing authority personnel in how to interact with tenants with autism is also advisable.</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spacing w:before="7"/>
        <w:rPr>
          <w:rFonts w:ascii="Times New Roman" w:hAnsi="Times New Roman" w:cs="Times New Roman"/>
          <w:sz w:val="24"/>
          <w:szCs w:val="24"/>
        </w:rPr>
      </w:pPr>
    </w:p>
    <w:p w:rsidR="002C5025" w:rsidRDefault="002C5025">
      <w:pPr>
        <w:pStyle w:val="BodyText"/>
        <w:kinsoku w:val="0"/>
        <w:overflowPunct w:val="0"/>
        <w:ind w:left="119" w:right="370"/>
        <w:rPr>
          <w:rFonts w:ascii="Times New Roman" w:hAnsi="Times New Roman" w:cs="Times New Roman"/>
          <w:sz w:val="24"/>
          <w:szCs w:val="24"/>
        </w:rPr>
      </w:pPr>
      <w:r>
        <w:rPr>
          <w:rFonts w:ascii="Times New Roman" w:hAnsi="Times New Roman" w:cs="Times New Roman"/>
          <w:sz w:val="24"/>
          <w:szCs w:val="24"/>
        </w:rPr>
        <w:t>All of these elements need to be embedded in a person-centered process that identifies the relationship of housing to transportation and employment/day activities to create a sustainable model.</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spacing w:before="9"/>
        <w:rPr>
          <w:rFonts w:ascii="Times New Roman" w:hAnsi="Times New Roman" w:cs="Times New Roman"/>
          <w:sz w:val="24"/>
          <w:szCs w:val="24"/>
        </w:rPr>
      </w:pPr>
    </w:p>
    <w:p w:rsidR="002C5025" w:rsidRDefault="002C5025">
      <w:pPr>
        <w:pStyle w:val="BodyText"/>
        <w:kinsoku w:val="0"/>
        <w:overflowPunct w:val="0"/>
        <w:ind w:left="120" w:right="241"/>
        <w:rPr>
          <w:rFonts w:ascii="Times New Roman" w:hAnsi="Times New Roman" w:cs="Times New Roman"/>
          <w:sz w:val="24"/>
          <w:szCs w:val="24"/>
        </w:rPr>
      </w:pPr>
      <w:r>
        <w:rPr>
          <w:rFonts w:ascii="Times New Roman" w:hAnsi="Times New Roman" w:cs="Times New Roman"/>
          <w:sz w:val="24"/>
          <w:szCs w:val="24"/>
          <w:u w:val="single" w:color="000000"/>
        </w:rPr>
        <w:t>State plan services</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7"/>
        <w:rPr>
          <w:rFonts w:ascii="Times New Roman" w:hAnsi="Times New Roman" w:cs="Times New Roman"/>
          <w:sz w:val="26"/>
          <w:szCs w:val="26"/>
        </w:rPr>
      </w:pPr>
    </w:p>
    <w:p w:rsidR="002C5025" w:rsidRDefault="002C5025">
      <w:pPr>
        <w:pStyle w:val="BodyText"/>
        <w:kinsoku w:val="0"/>
        <w:overflowPunct w:val="0"/>
        <w:spacing w:before="69"/>
        <w:ind w:left="120" w:right="223"/>
        <w:rPr>
          <w:rFonts w:ascii="Times New Roman" w:hAnsi="Times New Roman" w:cs="Times New Roman"/>
          <w:sz w:val="24"/>
          <w:szCs w:val="24"/>
        </w:rPr>
      </w:pPr>
      <w:r>
        <w:rPr>
          <w:rFonts w:ascii="Times New Roman" w:hAnsi="Times New Roman" w:cs="Times New Roman"/>
          <w:sz w:val="24"/>
          <w:szCs w:val="24"/>
        </w:rPr>
        <w:t>While not directly addressed in the Demonstration Extension Request, there are certain features of existing State Plan services that negatively impact the ability of MassHealth members to obtain and maintain safe, healthy, and sustainable housing arrangements.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spacing w:before="7"/>
        <w:rPr>
          <w:rFonts w:ascii="Times New Roman" w:hAnsi="Times New Roman" w:cs="Times New Roman"/>
          <w:sz w:val="24"/>
          <w:szCs w:val="24"/>
        </w:rPr>
      </w:pPr>
    </w:p>
    <w:p w:rsidR="002C5025" w:rsidRDefault="002C5025">
      <w:pPr>
        <w:pStyle w:val="BodyText"/>
        <w:kinsoku w:val="0"/>
        <w:overflowPunct w:val="0"/>
        <w:ind w:left="120" w:right="94"/>
        <w:rPr>
          <w:rFonts w:ascii="Times New Roman" w:hAnsi="Times New Roman" w:cs="Times New Roman"/>
          <w:sz w:val="24"/>
          <w:szCs w:val="24"/>
        </w:rPr>
      </w:pPr>
      <w:r>
        <w:rPr>
          <w:rFonts w:ascii="Times New Roman" w:hAnsi="Times New Roman" w:cs="Times New Roman"/>
          <w:sz w:val="24"/>
          <w:szCs w:val="24"/>
        </w:rPr>
        <w:t>Adult Family Care is the primary way for families to provide LTSS to an individual in the home. However, it is currently limited to a care provider who is not a guardian. This creates a genuine hardship for single parents, who are frequently most in need of support, and increases the likelihood an individual will need a far more expensive group home placement. Allowing single parents who are guardians to be AFC caregivers would improve the care of eligible MassHealth members, provide a relief to families, and save money.</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spacing w:before="7"/>
        <w:rPr>
          <w:rFonts w:ascii="Times New Roman" w:hAnsi="Times New Roman" w:cs="Times New Roman"/>
          <w:sz w:val="24"/>
          <w:szCs w:val="24"/>
        </w:rPr>
      </w:pPr>
    </w:p>
    <w:p w:rsidR="002C5025" w:rsidRDefault="002C5025">
      <w:pPr>
        <w:pStyle w:val="BodyText"/>
        <w:kinsoku w:val="0"/>
        <w:overflowPunct w:val="0"/>
        <w:ind w:left="120" w:right="141"/>
        <w:rPr>
          <w:rFonts w:ascii="Times New Roman" w:hAnsi="Times New Roman" w:cs="Times New Roman"/>
          <w:sz w:val="24"/>
          <w:szCs w:val="24"/>
        </w:rPr>
      </w:pPr>
      <w:r>
        <w:rPr>
          <w:rFonts w:ascii="Times New Roman" w:hAnsi="Times New Roman" w:cs="Times New Roman"/>
          <w:sz w:val="24"/>
          <w:szCs w:val="24"/>
        </w:rPr>
        <w:t>The Adult Family Care and Adult Foster Care (AFC) stipend level is determined by the level of care an individual needs. Level II of AFC requires an individual need physical assistance with three or more Activities of Daily Living (ADLs), or with two if a maladaptive behavior is present. (ADLs include bathing, dressing, toileting, transferring, ambulating, or eating; maladaptive behaviors include: wandering, being verbally or physically abusive, socially inappropriate/disruptive or resisting care.) Many individuals with autism have more than one maladaptive behavior present and require only cueing to perform ADLs. Despite having intensive support needs, these individuals are only eligible for Level I AFC. It would be appropriate to add cueing to the Level II requirement, so that Level II funding can be received if the member requires physical assistance or cueing with 3 ADLS; or 2 ADLs and the management of the behavior. This would provide individuals with more appropriate supports, preventing or slowing caregiver burnout, and hopefully delay the need for more expensive residential services.</w:t>
      </w:r>
    </w:p>
    <w:p w:rsidR="002C5025" w:rsidRDefault="002C5025">
      <w:pPr>
        <w:pStyle w:val="BodyText"/>
        <w:kinsoku w:val="0"/>
        <w:overflowPunct w:val="0"/>
        <w:ind w:left="120" w:right="141"/>
        <w:rPr>
          <w:rFonts w:ascii="Times New Roman" w:hAnsi="Times New Roman" w:cs="Times New Roman"/>
          <w:sz w:val="24"/>
          <w:szCs w:val="24"/>
        </w:rPr>
        <w:sectPr w:rsidR="002C5025">
          <w:pgSz w:w="12240" w:h="15840"/>
          <w:pgMar w:top="1380" w:right="1380" w:bottom="280" w:left="1320" w:header="720" w:footer="720" w:gutter="0"/>
          <w:cols w:space="720" w:equalWidth="0">
            <w:col w:w="9540"/>
          </w:cols>
          <w:noEndnote/>
        </w:sect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5"/>
        <w:rPr>
          <w:rFonts w:ascii="Times New Roman" w:hAnsi="Times New Roman" w:cs="Times New Roman"/>
          <w:sz w:val="16"/>
          <w:szCs w:val="16"/>
        </w:rPr>
      </w:pPr>
    </w:p>
    <w:p w:rsidR="002C5025" w:rsidRDefault="002C5025">
      <w:pPr>
        <w:pStyle w:val="BodyText"/>
        <w:kinsoku w:val="0"/>
        <w:overflowPunct w:val="0"/>
        <w:spacing w:before="69"/>
        <w:ind w:left="100" w:right="81"/>
        <w:rPr>
          <w:rFonts w:ascii="Times New Roman" w:hAnsi="Times New Roman" w:cs="Times New Roman"/>
          <w:sz w:val="24"/>
          <w:szCs w:val="24"/>
        </w:rPr>
      </w:pPr>
      <w:r>
        <w:rPr>
          <w:rFonts w:ascii="Times New Roman" w:hAnsi="Times New Roman" w:cs="Times New Roman"/>
          <w:sz w:val="24"/>
          <w:szCs w:val="24"/>
        </w:rPr>
        <w:t>Group Adult Foster Care (GAFC) can be used to provide up to two hours a day of drop in services for individuals who need cueing for at least one ADL. It differs from AFC, in that the individual does not require a support provider to live in the same unit. However, it can only be used in assisted living facilities and subsidized (i.e., project-based) housing. The result is that people for whom this is an appropriate level of service can only receive it in these settings. For instance, someone living in a project-based Section 8 setting can receive it, but someone with a portable Section 8 voucher cannot. This means there is currently no State Plan service for someone who needs cueing only, unless they are living in these very limited settings. Changing the setting requirement to a simple requirement that a GAFC provider agency be willing to provide services in a given location would increase the ability of individuals to live independently in the community.</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5"/>
          <w:szCs w:val="25"/>
        </w:rPr>
      </w:pPr>
    </w:p>
    <w:p w:rsidR="002C5025" w:rsidRDefault="002C5025">
      <w:pPr>
        <w:pStyle w:val="BodyText"/>
        <w:kinsoku w:val="0"/>
        <w:overflowPunct w:val="0"/>
        <w:ind w:left="100" w:right="998"/>
        <w:rPr>
          <w:rFonts w:ascii="Times New Roman" w:hAnsi="Times New Roman" w:cs="Times New Roman"/>
          <w:sz w:val="24"/>
          <w:szCs w:val="24"/>
        </w:rPr>
      </w:pPr>
      <w:r>
        <w:rPr>
          <w:rFonts w:ascii="Times New Roman" w:hAnsi="Times New Roman" w:cs="Times New Roman"/>
          <w:sz w:val="24"/>
          <w:szCs w:val="24"/>
        </w:rPr>
        <w:t>Thank you for the opportunity to comment.</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spacing w:before="7"/>
        <w:rPr>
          <w:rFonts w:ascii="Times New Roman" w:hAnsi="Times New Roman" w:cs="Times New Roman"/>
          <w:sz w:val="24"/>
          <w:szCs w:val="24"/>
        </w:rPr>
      </w:pPr>
    </w:p>
    <w:p w:rsidR="002C5025" w:rsidRDefault="002C5025">
      <w:pPr>
        <w:pStyle w:val="BodyText"/>
        <w:kinsoku w:val="0"/>
        <w:overflowPunct w:val="0"/>
        <w:ind w:left="100" w:right="998"/>
        <w:rPr>
          <w:rFonts w:ascii="Times New Roman" w:hAnsi="Times New Roman" w:cs="Times New Roman"/>
          <w:sz w:val="24"/>
          <w:szCs w:val="24"/>
        </w:rPr>
      </w:pPr>
      <w:r>
        <w:rPr>
          <w:rFonts w:ascii="Times New Roman" w:hAnsi="Times New Roman" w:cs="Times New Roman"/>
          <w:sz w:val="24"/>
          <w:szCs w:val="24"/>
        </w:rPr>
        <w:t>Sincerely,</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spacing w:before="7"/>
        <w:rPr>
          <w:rFonts w:ascii="Times New Roman" w:hAnsi="Times New Roman" w:cs="Times New Roman"/>
          <w:sz w:val="24"/>
          <w:szCs w:val="24"/>
        </w:rPr>
      </w:pPr>
    </w:p>
    <w:p w:rsidR="002C5025" w:rsidRDefault="002C5025">
      <w:pPr>
        <w:pStyle w:val="BodyText"/>
        <w:kinsoku w:val="0"/>
        <w:overflowPunct w:val="0"/>
        <w:ind w:left="100" w:right="998"/>
        <w:rPr>
          <w:rFonts w:ascii="Times New Roman" w:hAnsi="Times New Roman" w:cs="Times New Roman"/>
          <w:sz w:val="24"/>
          <w:szCs w:val="24"/>
        </w:rPr>
      </w:pPr>
      <w:r>
        <w:rPr>
          <w:rFonts w:ascii="Times New Roman" w:hAnsi="Times New Roman" w:cs="Times New Roman"/>
          <w:sz w:val="24"/>
          <w:szCs w:val="24"/>
        </w:rPr>
        <w:t>Catherine Boyle</w:t>
      </w:r>
    </w:p>
    <w:p w:rsidR="002C5025" w:rsidRDefault="002C5025">
      <w:pPr>
        <w:pStyle w:val="BodyText"/>
        <w:kinsoku w:val="0"/>
        <w:overflowPunct w:val="0"/>
        <w:spacing w:before="4"/>
        <w:rPr>
          <w:rFonts w:ascii="Times New Roman" w:hAnsi="Times New Roman" w:cs="Times New Roman"/>
          <w:sz w:val="24"/>
          <w:szCs w:val="24"/>
        </w:rPr>
      </w:pPr>
    </w:p>
    <w:p w:rsidR="002C5025" w:rsidRDefault="002C5025">
      <w:pPr>
        <w:pStyle w:val="BodyText"/>
        <w:kinsoku w:val="0"/>
        <w:overflowPunct w:val="0"/>
        <w:spacing w:before="1" w:line="482" w:lineRule="auto"/>
        <w:ind w:left="100" w:right="5646"/>
        <w:rPr>
          <w:rFonts w:ascii="Times New Roman" w:hAnsi="Times New Roman" w:cs="Times New Roman"/>
          <w:sz w:val="24"/>
          <w:szCs w:val="24"/>
        </w:rPr>
      </w:pPr>
      <w:r>
        <w:rPr>
          <w:rFonts w:ascii="Times New Roman" w:hAnsi="Times New Roman" w:cs="Times New Roman"/>
          <w:sz w:val="24"/>
          <w:szCs w:val="24"/>
        </w:rPr>
        <w:t>President, Autism Housing Pathways 617-893-8217</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spacing w:before="8"/>
        <w:rPr>
          <w:rFonts w:ascii="Times New Roman" w:hAnsi="Times New Roman" w:cs="Times New Roman"/>
          <w:sz w:val="26"/>
          <w:szCs w:val="26"/>
        </w:rPr>
      </w:pPr>
    </w:p>
    <w:p w:rsidR="002C5025" w:rsidRDefault="002C5025">
      <w:pPr>
        <w:pStyle w:val="BodyText"/>
        <w:kinsoku w:val="0"/>
        <w:overflowPunct w:val="0"/>
        <w:spacing w:before="1"/>
        <w:ind w:left="100" w:right="998"/>
        <w:rPr>
          <w:rFonts w:ascii="Times New Roman" w:hAnsi="Times New Roman" w:cs="Times New Roman"/>
          <w:sz w:val="24"/>
          <w:szCs w:val="24"/>
        </w:rPr>
      </w:pPr>
      <w:r>
        <w:rPr>
          <w:rFonts w:ascii="Times New Roman" w:hAnsi="Times New Roman" w:cs="Times New Roman"/>
          <w:sz w:val="24"/>
          <w:szCs w:val="24"/>
        </w:rPr>
        <w:t>--</w:t>
      </w:r>
    </w:p>
    <w:p w:rsidR="002C5025" w:rsidRDefault="00FD19EE">
      <w:pPr>
        <w:pStyle w:val="BodyText"/>
        <w:kinsoku w:val="0"/>
        <w:overflowPunct w:val="0"/>
        <w:ind w:left="100" w:right="998"/>
        <w:rPr>
          <w:rFonts w:ascii="Times New Roman" w:hAnsi="Times New Roman" w:cs="Times New Roman"/>
          <w:color w:val="0000FF"/>
          <w:sz w:val="24"/>
          <w:szCs w:val="24"/>
        </w:rPr>
      </w:pPr>
      <w:hyperlink r:id="rId123" w:history="1">
        <w:r w:rsidR="002C5025">
          <w:rPr>
            <w:rFonts w:ascii="Times New Roman" w:hAnsi="Times New Roman" w:cs="Times New Roman"/>
            <w:color w:val="0000FF"/>
            <w:sz w:val="24"/>
            <w:szCs w:val="24"/>
            <w:u w:val="single"/>
          </w:rPr>
          <w:t>www.autismhousingpathways.org</w:t>
        </w:r>
      </w:hyperlink>
    </w:p>
    <w:p w:rsidR="002C5025" w:rsidRDefault="002C5025">
      <w:pPr>
        <w:pStyle w:val="BodyText"/>
        <w:kinsoku w:val="0"/>
        <w:overflowPunct w:val="0"/>
        <w:ind w:left="100" w:right="998"/>
        <w:rPr>
          <w:rFonts w:ascii="Times New Roman" w:hAnsi="Times New Roman" w:cs="Times New Roman"/>
          <w:color w:val="0000FF"/>
          <w:sz w:val="24"/>
          <w:szCs w:val="24"/>
        </w:rPr>
        <w:sectPr w:rsidR="002C5025">
          <w:pgSz w:w="12240" w:h="15840"/>
          <w:pgMar w:top="1500" w:right="1540" w:bottom="280" w:left="1340" w:header="720" w:footer="720" w:gutter="0"/>
          <w:cols w:space="720" w:equalWidth="0">
            <w:col w:w="9360"/>
          </w:cols>
          <w:noEndnote/>
        </w:sectPr>
      </w:pPr>
    </w:p>
    <w:p w:rsidR="002C5025" w:rsidRDefault="002C5025">
      <w:pPr>
        <w:pStyle w:val="BodyText"/>
        <w:kinsoku w:val="0"/>
        <w:overflowPunct w:val="0"/>
        <w:spacing w:before="52"/>
        <w:ind w:left="100"/>
        <w:rPr>
          <w:rFonts w:ascii="Times New Roman" w:hAnsi="Times New Roman" w:cs="Times New Roman"/>
          <w:sz w:val="24"/>
          <w:szCs w:val="24"/>
        </w:rPr>
      </w:pPr>
      <w:r>
        <w:rPr>
          <w:rFonts w:ascii="Times New Roman" w:hAnsi="Times New Roman" w:cs="Times New Roman"/>
          <w:sz w:val="24"/>
          <w:szCs w:val="24"/>
        </w:rPr>
        <w:lastRenderedPageBreak/>
        <w:t>building roads to home</w:t>
      </w:r>
    </w:p>
    <w:p w:rsidR="002C5025" w:rsidRDefault="002C5025">
      <w:pPr>
        <w:pStyle w:val="BodyText"/>
        <w:kinsoku w:val="0"/>
        <w:overflowPunct w:val="0"/>
        <w:spacing w:before="52"/>
        <w:ind w:left="100"/>
        <w:rPr>
          <w:rFonts w:ascii="Times New Roman" w:hAnsi="Times New Roman" w:cs="Times New Roman"/>
          <w:sz w:val="24"/>
          <w:szCs w:val="24"/>
        </w:rPr>
        <w:sectPr w:rsidR="002C5025">
          <w:pgSz w:w="12240" w:h="15840"/>
          <w:pgMar w:top="1380" w:right="1720" w:bottom="280" w:left="1340" w:header="720" w:footer="720" w:gutter="0"/>
          <w:cols w:space="720" w:equalWidth="0">
            <w:col w:w="9180"/>
          </w:cols>
          <w:noEndnote/>
        </w:sect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9"/>
        <w:rPr>
          <w:rFonts w:ascii="Times New Roman" w:hAnsi="Times New Roman" w:cs="Times New Roman"/>
          <w:sz w:val="28"/>
          <w:szCs w:val="28"/>
        </w:rPr>
      </w:pPr>
    </w:p>
    <w:p w:rsidR="002C5025" w:rsidRDefault="00FB027C">
      <w:pPr>
        <w:pStyle w:val="BodyText"/>
        <w:kinsoku w:val="0"/>
        <w:overflowPunct w:val="0"/>
        <w:spacing w:line="115" w:lineRule="exact"/>
        <w:ind w:left="104"/>
        <w:rPr>
          <w:rFonts w:ascii="Times New Roman" w:hAnsi="Times New Roman" w:cs="Times New Roman"/>
          <w:position w:val="-2"/>
          <w:sz w:val="11"/>
          <w:szCs w:val="11"/>
        </w:rPr>
      </w:pPr>
      <w:r>
        <w:rPr>
          <w:rFonts w:ascii="Times New Roman" w:hAnsi="Times New Roman" w:cs="Times New Roman"/>
          <w:noProof/>
          <w:position w:val="-2"/>
          <w:sz w:val="11"/>
          <w:szCs w:val="11"/>
        </w:rPr>
        <mc:AlternateContent>
          <mc:Choice Requires="wpg">
            <w:drawing>
              <wp:inline distT="0" distB="0" distL="0" distR="0">
                <wp:extent cx="7308215" cy="73025"/>
                <wp:effectExtent l="0" t="0" r="0" b="3175"/>
                <wp:docPr id="877"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08215" cy="73025"/>
                          <a:chOff x="0" y="0"/>
                          <a:chExt cx="11509" cy="115"/>
                        </a:xfrm>
                      </wpg:grpSpPr>
                      <wps:wsp>
                        <wps:cNvPr id="878" name="Freeform 147"/>
                        <wps:cNvSpPr>
                          <a:spLocks/>
                        </wps:cNvSpPr>
                        <wps:spPr bwMode="auto">
                          <a:xfrm>
                            <a:off x="0" y="0"/>
                            <a:ext cx="8036" cy="115"/>
                          </a:xfrm>
                          <a:custGeom>
                            <a:avLst/>
                            <a:gdLst>
                              <a:gd name="T0" fmla="*/ 0 w 8036"/>
                              <a:gd name="T1" fmla="*/ 115 h 115"/>
                              <a:gd name="T2" fmla="*/ 8036 w 8036"/>
                              <a:gd name="T3" fmla="*/ 115 h 115"/>
                              <a:gd name="T4" fmla="*/ 8036 w 8036"/>
                              <a:gd name="T5" fmla="*/ 0 h 115"/>
                              <a:gd name="T6" fmla="*/ 0 w 8036"/>
                              <a:gd name="T7" fmla="*/ 0 h 115"/>
                              <a:gd name="T8" fmla="*/ 0 w 8036"/>
                              <a:gd name="T9" fmla="*/ 115 h 115"/>
                            </a:gdLst>
                            <a:ahLst/>
                            <a:cxnLst>
                              <a:cxn ang="0">
                                <a:pos x="T0" y="T1"/>
                              </a:cxn>
                              <a:cxn ang="0">
                                <a:pos x="T2" y="T3"/>
                              </a:cxn>
                              <a:cxn ang="0">
                                <a:pos x="T4" y="T5"/>
                              </a:cxn>
                              <a:cxn ang="0">
                                <a:pos x="T6" y="T7"/>
                              </a:cxn>
                              <a:cxn ang="0">
                                <a:pos x="T8" y="T9"/>
                              </a:cxn>
                            </a:cxnLst>
                            <a:rect l="0" t="0" r="r" b="b"/>
                            <a:pathLst>
                              <a:path w="8036" h="115">
                                <a:moveTo>
                                  <a:pt x="0" y="115"/>
                                </a:moveTo>
                                <a:lnTo>
                                  <a:pt x="8036" y="115"/>
                                </a:lnTo>
                                <a:lnTo>
                                  <a:pt x="8036" y="0"/>
                                </a:lnTo>
                                <a:lnTo>
                                  <a:pt x="0" y="0"/>
                                </a:lnTo>
                                <a:lnTo>
                                  <a:pt x="0" y="115"/>
                                </a:lnTo>
                                <a:close/>
                              </a:path>
                            </a:pathLst>
                          </a:custGeom>
                          <a:solidFill>
                            <a:srgbClr val="FC9A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9" name="Freeform 148"/>
                        <wps:cNvSpPr>
                          <a:spLocks/>
                        </wps:cNvSpPr>
                        <wps:spPr bwMode="auto">
                          <a:xfrm>
                            <a:off x="8032" y="0"/>
                            <a:ext cx="3477" cy="115"/>
                          </a:xfrm>
                          <a:custGeom>
                            <a:avLst/>
                            <a:gdLst>
                              <a:gd name="T0" fmla="*/ 0 w 3477"/>
                              <a:gd name="T1" fmla="*/ 115 h 115"/>
                              <a:gd name="T2" fmla="*/ 3476 w 3477"/>
                              <a:gd name="T3" fmla="*/ 115 h 115"/>
                              <a:gd name="T4" fmla="*/ 3476 w 3477"/>
                              <a:gd name="T5" fmla="*/ 0 h 115"/>
                              <a:gd name="T6" fmla="*/ 0 w 3477"/>
                              <a:gd name="T7" fmla="*/ 0 h 115"/>
                              <a:gd name="T8" fmla="*/ 0 w 3477"/>
                              <a:gd name="T9" fmla="*/ 115 h 115"/>
                            </a:gdLst>
                            <a:ahLst/>
                            <a:cxnLst>
                              <a:cxn ang="0">
                                <a:pos x="T0" y="T1"/>
                              </a:cxn>
                              <a:cxn ang="0">
                                <a:pos x="T2" y="T3"/>
                              </a:cxn>
                              <a:cxn ang="0">
                                <a:pos x="T4" y="T5"/>
                              </a:cxn>
                              <a:cxn ang="0">
                                <a:pos x="T6" y="T7"/>
                              </a:cxn>
                              <a:cxn ang="0">
                                <a:pos x="T8" y="T9"/>
                              </a:cxn>
                            </a:cxnLst>
                            <a:rect l="0" t="0" r="r" b="b"/>
                            <a:pathLst>
                              <a:path w="3477" h="115">
                                <a:moveTo>
                                  <a:pt x="0" y="115"/>
                                </a:moveTo>
                                <a:lnTo>
                                  <a:pt x="3476" y="115"/>
                                </a:lnTo>
                                <a:lnTo>
                                  <a:pt x="3476" y="0"/>
                                </a:lnTo>
                                <a:lnTo>
                                  <a:pt x="0" y="0"/>
                                </a:lnTo>
                                <a:lnTo>
                                  <a:pt x="0" y="115"/>
                                </a:lnTo>
                                <a:close/>
                              </a:path>
                            </a:pathLst>
                          </a:custGeom>
                          <a:solidFill>
                            <a:srgbClr val="DF38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146" o:spid="_x0000_s1026" style="width:575.45pt;height:5.75pt;mso-position-horizontal-relative:char;mso-position-vertical-relative:line" coordsize="11509,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">
                <v:shape id="Freeform 147" o:spid="_x0000_s1027" style="position:absolute;width:8036;height:115;visibility:visible;mso-wrap-style:square;v-text-anchor:top" coordsize="8036,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2husMA&#10;AADcAAAADwAAAGRycy9kb3ducmV2LnhtbERPW2vCMBR+F/wP4Qh709S5qXSNsgsDh8KY1j0fmmNb&#10;bE5KErXu1y8Pgo8f3z1bdqYRZ3K+tqxgPEpAEBdW11wqyHefwzkIH5A1NpZJwZU8LBf9Xoapthf+&#10;ofM2lCKGsE9RQRVCm0rpi4oM+pFtiSN3sM5giNCVUju8xHDTyMckmUqDNceGClt6r6g4bk9GwfPp&#10;UO5/J0/5d72e4NdfcB9vm5lSD4Pu9QVEoC7cxTf3SiuYz+LaeCYeAb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92husMAAADcAAAADwAAAAAAAAAAAAAAAACYAgAAZHJzL2Rv&#10;d25yZXYueG1sUEsFBgAAAAAEAAQA9QAAAIgDAAAAAA==&#10;" path="m,115r8036,l8036,,,,,115xe" fillcolor="#fc9a44" stroked="f">
                  <v:path arrowok="t" o:connecttype="custom" o:connectlocs="0,115;8036,115;8036,0;0,0;0,115" o:connectangles="0,0,0,0,0"/>
                </v:shape>
                <v:shape id="Freeform 148" o:spid="_x0000_s1028" style="position:absolute;left:8032;width:3477;height:115;visibility:visible;mso-wrap-style:square;v-text-anchor:top" coordsize="3477,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oUdcQA&#10;AADcAAAADwAAAGRycy9kb3ducmV2LnhtbESPQWvCQBSE7wX/w/IKXopu9NBq6ipiKfTQg42C10f2&#10;NQnNvg27TxP/fVcQPA4z8w2z2gyuVRcKsfFsYDbNQBGX3jZcGTgePicLUFGQLbaeycCVImzWo6cV&#10;5tb3/EOXQiqVIBxzNFCLdLnWsazJYZz6jjh5vz44lCRDpW3APsFdq+dZ9qodNpwWauxoV1P5V5yd&#10;gb4q9lJ2pyLM7Ye8hGH7rWNvzPh52L6DEhrkEb63v6yBxdsSbmfSEd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aFHXEAAAA3AAAAA8AAAAAAAAAAAAAAAAAmAIAAGRycy9k&#10;b3ducmV2LnhtbFBLBQYAAAAABAAEAPUAAACJAwAAAAA=&#10;" path="m,115r3476,l3476,,,,,115xe" fillcolor="#df382f" stroked="f">
                  <v:path arrowok="t" o:connecttype="custom" o:connectlocs="0,115;3476,115;3476,0;0,0;0,115" o:connectangles="0,0,0,0,0"/>
                </v:shape>
                <w10:anchorlock/>
              </v:group>
            </w:pict>
          </mc:Fallback>
        </mc:AlternateContent>
      </w:r>
    </w:p>
    <w:p w:rsidR="002C5025" w:rsidRDefault="002C5025">
      <w:pPr>
        <w:pStyle w:val="BodyText"/>
        <w:kinsoku w:val="0"/>
        <w:overflowPunct w:val="0"/>
        <w:spacing w:before="4"/>
        <w:rPr>
          <w:rFonts w:ascii="Times New Roman" w:hAnsi="Times New Roman" w:cs="Times New Roman"/>
          <w:sz w:val="21"/>
          <w:szCs w:val="21"/>
        </w:rPr>
      </w:pPr>
    </w:p>
    <w:p w:rsidR="002C5025" w:rsidRDefault="00FB027C">
      <w:pPr>
        <w:pStyle w:val="BodyText"/>
        <w:kinsoku w:val="0"/>
        <w:overflowPunct w:val="0"/>
        <w:spacing w:before="55" w:line="278" w:lineRule="auto"/>
        <w:ind w:left="4059" w:right="1239"/>
        <w:rPr>
          <w:rFonts w:ascii="Arial" w:hAnsi="Arial" w:cs="Arial"/>
          <w:b/>
          <w:bCs/>
          <w:color w:val="33A6DF"/>
          <w:sz w:val="36"/>
          <w:szCs w:val="36"/>
        </w:rPr>
      </w:pPr>
      <w:r>
        <w:rPr>
          <w:noProof/>
        </w:rPr>
        <mc:AlternateContent>
          <mc:Choice Requires="wps">
            <w:drawing>
              <wp:anchor distT="0" distB="0" distL="114300" distR="114300" simplePos="0" relativeHeight="251515392" behindDoc="0" locked="0" layoutInCell="0" allowOverlap="1">
                <wp:simplePos x="0" y="0"/>
                <wp:positionH relativeFrom="page">
                  <wp:posOffset>683260</wp:posOffset>
                </wp:positionH>
                <wp:positionV relativeFrom="paragraph">
                  <wp:posOffset>506730</wp:posOffset>
                </wp:positionV>
                <wp:extent cx="1498600" cy="1206500"/>
                <wp:effectExtent l="0" t="0" r="0" b="0"/>
                <wp:wrapNone/>
                <wp:docPr id="876"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8600" cy="1206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1900" w:lineRule="atLeast"/>
                            </w:pPr>
                            <w:r>
                              <w:rPr>
                                <w:noProof/>
                              </w:rPr>
                              <w:drawing>
                                <wp:inline distT="0" distB="0" distL="0" distR="0">
                                  <wp:extent cx="1514475" cy="1209675"/>
                                  <wp:effectExtent l="0" t="0" r="952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514475" cy="1209675"/>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9" o:spid="_x0000_s1084" style="position:absolute;left:0;text-align:left;margin-left:53.8pt;margin-top:39.9pt;width:118pt;height:95pt;z-index:251515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" o:allowincell="f" filled="f" stroked="f">
                <v:textbox inset="0,0,0,0">
                  <w:txbxContent>
                    <w:p w:rsidR="007B2B7B" w:rsidRDefault="007B2B7B">
                      <w:pPr>
                        <w:widowControl/>
                        <w:autoSpaceDE/>
                        <w:autoSpaceDN/>
                        <w:adjustRightInd/>
                        <w:spacing w:line="1900" w:lineRule="atLeast"/>
                      </w:pPr>
                      <w:r>
                        <w:rPr>
                          <w:noProof/>
                        </w:rPr>
                        <w:drawing>
                          <wp:inline distT="0" distB="0" distL="0" distR="0">
                            <wp:extent cx="1514475" cy="1209675"/>
                            <wp:effectExtent l="0" t="0" r="952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514475" cy="1209675"/>
                                    </a:xfrm>
                                    <a:prstGeom prst="rect">
                                      <a:avLst/>
                                    </a:prstGeom>
                                    <a:noFill/>
                                    <a:ln>
                                      <a:noFill/>
                                    </a:ln>
                                  </pic:spPr>
                                </pic:pic>
                              </a:graphicData>
                            </a:graphic>
                          </wp:inline>
                        </w:drawing>
                      </w:r>
                    </w:p>
                    <w:p w:rsidR="007B2B7B" w:rsidRDefault="007B2B7B"/>
                  </w:txbxContent>
                </v:textbox>
                <w10:wrap anchorx="page"/>
              </v:rect>
            </w:pict>
          </mc:Fallback>
        </mc:AlternateContent>
      </w:r>
      <w:bookmarkStart w:id="64" w:name="Beacon's_Comments_on_EOHHS_MA_1115_Waive"/>
      <w:bookmarkEnd w:id="64"/>
      <w:r w:rsidR="002C5025">
        <w:rPr>
          <w:rFonts w:ascii="Arial" w:hAnsi="Arial" w:cs="Arial"/>
          <w:b/>
          <w:bCs/>
          <w:color w:val="33A6DF"/>
          <w:sz w:val="36"/>
          <w:szCs w:val="36"/>
        </w:rPr>
        <w:t>Beacon Health Options’ Response to the Commonwealth of Massachusetts’ Executive Office of Health and Human Services’ Request for Public Comment on the MassHealth Section 1115 Demonstration Extension Request</w:t>
      </w:r>
    </w:p>
    <w:p w:rsidR="002C5025" w:rsidRDefault="00FB027C">
      <w:pPr>
        <w:pStyle w:val="BodyText"/>
        <w:kinsoku w:val="0"/>
        <w:overflowPunct w:val="0"/>
        <w:spacing w:before="1"/>
        <w:rPr>
          <w:rFonts w:ascii="Arial" w:hAnsi="Arial" w:cs="Arial"/>
          <w:b/>
          <w:bCs/>
          <w:sz w:val="20"/>
          <w:szCs w:val="20"/>
        </w:rPr>
      </w:pPr>
      <w:r>
        <w:rPr>
          <w:noProof/>
        </w:rPr>
        <mc:AlternateContent>
          <mc:Choice Requires="wpg">
            <w:drawing>
              <wp:anchor distT="0" distB="0" distL="0" distR="0" simplePos="0" relativeHeight="251516416" behindDoc="0" locked="0" layoutInCell="0" allowOverlap="1">
                <wp:simplePos x="0" y="0"/>
                <wp:positionH relativeFrom="page">
                  <wp:posOffset>228600</wp:posOffset>
                </wp:positionH>
                <wp:positionV relativeFrom="paragraph">
                  <wp:posOffset>171450</wp:posOffset>
                </wp:positionV>
                <wp:extent cx="7315200" cy="74930"/>
                <wp:effectExtent l="0" t="0" r="0" b="0"/>
                <wp:wrapTopAndBottom/>
                <wp:docPr id="873"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200" cy="74930"/>
                          <a:chOff x="360" y="270"/>
                          <a:chExt cx="11520" cy="118"/>
                        </a:xfrm>
                      </wpg:grpSpPr>
                      <wps:wsp>
                        <wps:cNvPr id="874" name="Freeform 151"/>
                        <wps:cNvSpPr>
                          <a:spLocks/>
                        </wps:cNvSpPr>
                        <wps:spPr bwMode="auto">
                          <a:xfrm>
                            <a:off x="1798" y="270"/>
                            <a:ext cx="10081" cy="116"/>
                          </a:xfrm>
                          <a:custGeom>
                            <a:avLst/>
                            <a:gdLst>
                              <a:gd name="T0" fmla="*/ 0 w 10081"/>
                              <a:gd name="T1" fmla="*/ 115 h 116"/>
                              <a:gd name="T2" fmla="*/ 10081 w 10081"/>
                              <a:gd name="T3" fmla="*/ 115 h 116"/>
                              <a:gd name="T4" fmla="*/ 10081 w 10081"/>
                              <a:gd name="T5" fmla="*/ 0 h 116"/>
                              <a:gd name="T6" fmla="*/ 0 w 10081"/>
                              <a:gd name="T7" fmla="*/ 0 h 116"/>
                              <a:gd name="T8" fmla="*/ 0 w 10081"/>
                              <a:gd name="T9" fmla="*/ 115 h 116"/>
                            </a:gdLst>
                            <a:ahLst/>
                            <a:cxnLst>
                              <a:cxn ang="0">
                                <a:pos x="T0" y="T1"/>
                              </a:cxn>
                              <a:cxn ang="0">
                                <a:pos x="T2" y="T3"/>
                              </a:cxn>
                              <a:cxn ang="0">
                                <a:pos x="T4" y="T5"/>
                              </a:cxn>
                              <a:cxn ang="0">
                                <a:pos x="T6" y="T7"/>
                              </a:cxn>
                              <a:cxn ang="0">
                                <a:pos x="T8" y="T9"/>
                              </a:cxn>
                            </a:cxnLst>
                            <a:rect l="0" t="0" r="r" b="b"/>
                            <a:pathLst>
                              <a:path w="10081" h="116">
                                <a:moveTo>
                                  <a:pt x="0" y="115"/>
                                </a:moveTo>
                                <a:lnTo>
                                  <a:pt x="10081" y="115"/>
                                </a:lnTo>
                                <a:lnTo>
                                  <a:pt x="10081" y="0"/>
                                </a:lnTo>
                                <a:lnTo>
                                  <a:pt x="0" y="0"/>
                                </a:lnTo>
                                <a:lnTo>
                                  <a:pt x="0" y="115"/>
                                </a:lnTo>
                                <a:close/>
                              </a:path>
                            </a:pathLst>
                          </a:custGeom>
                          <a:solidFill>
                            <a:srgbClr val="33A6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5" name="Freeform 152"/>
                        <wps:cNvSpPr>
                          <a:spLocks/>
                        </wps:cNvSpPr>
                        <wps:spPr bwMode="auto">
                          <a:xfrm>
                            <a:off x="360" y="271"/>
                            <a:ext cx="1439" cy="117"/>
                          </a:xfrm>
                          <a:custGeom>
                            <a:avLst/>
                            <a:gdLst>
                              <a:gd name="T0" fmla="*/ 0 w 1439"/>
                              <a:gd name="T1" fmla="*/ 117 h 117"/>
                              <a:gd name="T2" fmla="*/ 1439 w 1439"/>
                              <a:gd name="T3" fmla="*/ 117 h 117"/>
                              <a:gd name="T4" fmla="*/ 1439 w 1439"/>
                              <a:gd name="T5" fmla="*/ 0 h 117"/>
                              <a:gd name="T6" fmla="*/ 0 w 1439"/>
                              <a:gd name="T7" fmla="*/ 0 h 117"/>
                              <a:gd name="T8" fmla="*/ 0 w 1439"/>
                              <a:gd name="T9" fmla="*/ 117 h 117"/>
                            </a:gdLst>
                            <a:ahLst/>
                            <a:cxnLst>
                              <a:cxn ang="0">
                                <a:pos x="T0" y="T1"/>
                              </a:cxn>
                              <a:cxn ang="0">
                                <a:pos x="T2" y="T3"/>
                              </a:cxn>
                              <a:cxn ang="0">
                                <a:pos x="T4" y="T5"/>
                              </a:cxn>
                              <a:cxn ang="0">
                                <a:pos x="T6" y="T7"/>
                              </a:cxn>
                              <a:cxn ang="0">
                                <a:pos x="T8" y="T9"/>
                              </a:cxn>
                            </a:cxnLst>
                            <a:rect l="0" t="0" r="r" b="b"/>
                            <a:pathLst>
                              <a:path w="1439" h="117">
                                <a:moveTo>
                                  <a:pt x="0" y="117"/>
                                </a:moveTo>
                                <a:lnTo>
                                  <a:pt x="1439" y="117"/>
                                </a:lnTo>
                                <a:lnTo>
                                  <a:pt x="1439" y="0"/>
                                </a:lnTo>
                                <a:lnTo>
                                  <a:pt x="0" y="0"/>
                                </a:lnTo>
                                <a:lnTo>
                                  <a:pt x="0" y="117"/>
                                </a:lnTo>
                                <a:close/>
                              </a:path>
                            </a:pathLst>
                          </a:custGeom>
                          <a:solidFill>
                            <a:srgbClr val="091D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0" o:spid="_x0000_s1026" style="position:absolute;margin-left:18pt;margin-top:13.5pt;width:8in;height:5.9pt;z-index:251516416;mso-wrap-distance-left:0;mso-wrap-distance-right:0;mso-position-horizontal-relative:page" coordorigin="360,270" coordsize="11520,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" o:allowincell="f">
                <v:shape id="Freeform 151" o:spid="_x0000_s1027" style="position:absolute;left:1798;top:270;width:10081;height:116;visibility:visible;mso-wrap-style:square;v-text-anchor:top" coordsize="10081,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ljCMYA&#10;AADcAAAADwAAAGRycy9kb3ducmV2LnhtbESP3WoCMRSE7wt9h3AEb4pmu9iqq1FEEHoj/j7AcXPc&#10;Xd2cLEnUbZ++EQq9HGbmG2Y6b00t7uR8ZVnBez8BQZxbXXGh4HhY9UYgfEDWWFsmBd/kYT57fZli&#10;pu2Dd3Tfh0JECPsMFZQhNJmUPi/JoO/bhjh6Z+sMhihdIbXDR4SbWqZJ8ikNVhwXSmxoWVJ+3d+M&#10;gku6PG0/3G59TPMxbszqtv4ZvCnV7bSLCYhAbfgP/7W/tILRcADPM/EIy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iljCMYAAADcAAAADwAAAAAAAAAAAAAAAACYAgAAZHJz&#10;L2Rvd25yZXYueG1sUEsFBgAAAAAEAAQA9QAAAIsDAAAAAA==&#10;" path="m,115r10081,l10081,,,,,115xe" fillcolor="#33a6df" stroked="f">
                  <v:path arrowok="t" o:connecttype="custom" o:connectlocs="0,115;10081,115;10081,0;0,0;0,115" o:connectangles="0,0,0,0,0"/>
                </v:shape>
                <v:shape id="Freeform 152" o:spid="_x0000_s1028" style="position:absolute;left:360;top:271;width:1439;height:117;visibility:visible;mso-wrap-style:square;v-text-anchor:top" coordsize="1439,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3AgsQA&#10;AADcAAAADwAAAGRycy9kb3ducmV2LnhtbESPQWsCMRSE74X+h/AEbzWxUCurUYpt0VPRVTy/bl43&#10;2928LJuo6783hYLHYWa+YebL3jXiTF2oPGsYjxQI4sKbiksNh/3n0xREiMgGG8+k4UoBlovHhzlm&#10;xl94R+c8liJBOGSowcbYZlKGwpLDMPItcfJ+fOcwJtmV0nR4SXDXyGelJtJhxWnBYksrS0Wdn5yG&#10;VaHWx2+fW7XdYvUuv+rTb/2h9XDQv81AROrjPfzf3hgN09cX+DuTjo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twILEAAAA3AAAAA8AAAAAAAAAAAAAAAAAmAIAAGRycy9k&#10;b3ducmV2LnhtbFBLBQYAAAAABAAEAPUAAACJAwAAAAA=&#10;" path="m,117r1439,l1439,,,,,117xe" fillcolor="#091d3a" stroked="f">
                  <v:path arrowok="t" o:connecttype="custom" o:connectlocs="0,117;1439,117;1439,0;0,0;0,117" o:connectangles="0,0,0,0,0"/>
                </v:shape>
                <w10:wrap type="topAndBottom" anchorx="page"/>
              </v:group>
            </w:pict>
          </mc:Fallback>
        </mc:AlternateContent>
      </w:r>
    </w:p>
    <w:p w:rsidR="002C5025" w:rsidRDefault="002C5025">
      <w:pPr>
        <w:pStyle w:val="BodyText"/>
        <w:kinsoku w:val="0"/>
        <w:overflowPunct w:val="0"/>
        <w:rPr>
          <w:rFonts w:ascii="Arial" w:hAnsi="Arial" w:cs="Arial"/>
          <w:b/>
          <w:bCs/>
          <w:sz w:val="36"/>
          <w:szCs w:val="36"/>
        </w:rPr>
      </w:pPr>
    </w:p>
    <w:p w:rsidR="002C5025" w:rsidRDefault="002C5025">
      <w:pPr>
        <w:pStyle w:val="BodyText"/>
        <w:kinsoku w:val="0"/>
        <w:overflowPunct w:val="0"/>
        <w:rPr>
          <w:rFonts w:ascii="Arial" w:hAnsi="Arial" w:cs="Arial"/>
          <w:b/>
          <w:bCs/>
          <w:sz w:val="36"/>
          <w:szCs w:val="36"/>
        </w:rPr>
      </w:pPr>
    </w:p>
    <w:p w:rsidR="002C5025" w:rsidRDefault="002C5025">
      <w:pPr>
        <w:pStyle w:val="BodyText"/>
        <w:kinsoku w:val="0"/>
        <w:overflowPunct w:val="0"/>
        <w:rPr>
          <w:rFonts w:ascii="Arial" w:hAnsi="Arial" w:cs="Arial"/>
          <w:b/>
          <w:bCs/>
          <w:sz w:val="36"/>
          <w:szCs w:val="36"/>
        </w:rPr>
      </w:pPr>
    </w:p>
    <w:p w:rsidR="002C5025" w:rsidRDefault="002C5025">
      <w:pPr>
        <w:pStyle w:val="BodyText"/>
        <w:kinsoku w:val="0"/>
        <w:overflowPunct w:val="0"/>
        <w:rPr>
          <w:rFonts w:ascii="Arial" w:hAnsi="Arial" w:cs="Arial"/>
          <w:b/>
          <w:bCs/>
          <w:sz w:val="36"/>
          <w:szCs w:val="36"/>
        </w:rPr>
      </w:pPr>
    </w:p>
    <w:p w:rsidR="002C5025" w:rsidRDefault="002C5025">
      <w:pPr>
        <w:pStyle w:val="BodyText"/>
        <w:kinsoku w:val="0"/>
        <w:overflowPunct w:val="0"/>
        <w:rPr>
          <w:rFonts w:ascii="Arial" w:hAnsi="Arial" w:cs="Arial"/>
          <w:b/>
          <w:bCs/>
          <w:sz w:val="36"/>
          <w:szCs w:val="36"/>
        </w:rPr>
      </w:pPr>
    </w:p>
    <w:p w:rsidR="002C5025" w:rsidRDefault="002C5025">
      <w:pPr>
        <w:pStyle w:val="BodyText"/>
        <w:kinsoku w:val="0"/>
        <w:overflowPunct w:val="0"/>
        <w:rPr>
          <w:rFonts w:ascii="Arial" w:hAnsi="Arial" w:cs="Arial"/>
          <w:b/>
          <w:bCs/>
          <w:sz w:val="36"/>
          <w:szCs w:val="36"/>
        </w:rPr>
      </w:pPr>
    </w:p>
    <w:p w:rsidR="002C5025" w:rsidRDefault="002C5025">
      <w:pPr>
        <w:pStyle w:val="BodyText"/>
        <w:kinsoku w:val="0"/>
        <w:overflowPunct w:val="0"/>
        <w:rPr>
          <w:rFonts w:ascii="Arial" w:hAnsi="Arial" w:cs="Arial"/>
          <w:b/>
          <w:bCs/>
          <w:sz w:val="36"/>
          <w:szCs w:val="36"/>
        </w:rPr>
      </w:pPr>
    </w:p>
    <w:p w:rsidR="002C5025" w:rsidRDefault="002C5025">
      <w:pPr>
        <w:pStyle w:val="BodyText"/>
        <w:kinsoku w:val="0"/>
        <w:overflowPunct w:val="0"/>
        <w:rPr>
          <w:rFonts w:ascii="Arial" w:hAnsi="Arial" w:cs="Arial"/>
          <w:b/>
          <w:bCs/>
          <w:sz w:val="36"/>
          <w:szCs w:val="36"/>
        </w:rPr>
      </w:pPr>
    </w:p>
    <w:p w:rsidR="002C5025" w:rsidRDefault="002C5025">
      <w:pPr>
        <w:pStyle w:val="BodyText"/>
        <w:kinsoku w:val="0"/>
        <w:overflowPunct w:val="0"/>
        <w:rPr>
          <w:rFonts w:ascii="Arial" w:hAnsi="Arial" w:cs="Arial"/>
          <w:b/>
          <w:bCs/>
          <w:sz w:val="36"/>
          <w:szCs w:val="36"/>
        </w:rPr>
      </w:pPr>
    </w:p>
    <w:p w:rsidR="002C5025" w:rsidRDefault="002C5025">
      <w:pPr>
        <w:pStyle w:val="BodyText"/>
        <w:kinsoku w:val="0"/>
        <w:overflowPunct w:val="0"/>
        <w:rPr>
          <w:rFonts w:ascii="Arial" w:hAnsi="Arial" w:cs="Arial"/>
          <w:b/>
          <w:bCs/>
          <w:sz w:val="36"/>
          <w:szCs w:val="36"/>
        </w:rPr>
      </w:pPr>
    </w:p>
    <w:p w:rsidR="002C5025" w:rsidRDefault="002C5025">
      <w:pPr>
        <w:pStyle w:val="BodyText"/>
        <w:kinsoku w:val="0"/>
        <w:overflowPunct w:val="0"/>
        <w:rPr>
          <w:rFonts w:ascii="Arial" w:hAnsi="Arial" w:cs="Arial"/>
          <w:b/>
          <w:bCs/>
          <w:sz w:val="36"/>
          <w:szCs w:val="36"/>
        </w:rPr>
      </w:pPr>
    </w:p>
    <w:p w:rsidR="002C5025" w:rsidRDefault="002C5025">
      <w:pPr>
        <w:pStyle w:val="BodyText"/>
        <w:kinsoku w:val="0"/>
        <w:overflowPunct w:val="0"/>
        <w:rPr>
          <w:rFonts w:ascii="Arial" w:hAnsi="Arial" w:cs="Arial"/>
          <w:b/>
          <w:bCs/>
          <w:sz w:val="36"/>
          <w:szCs w:val="36"/>
        </w:rPr>
      </w:pPr>
    </w:p>
    <w:p w:rsidR="002C5025" w:rsidRDefault="002C5025">
      <w:pPr>
        <w:pStyle w:val="BodyText"/>
        <w:kinsoku w:val="0"/>
        <w:overflowPunct w:val="0"/>
        <w:rPr>
          <w:rFonts w:ascii="Arial" w:hAnsi="Arial" w:cs="Arial"/>
          <w:b/>
          <w:bCs/>
          <w:sz w:val="36"/>
          <w:szCs w:val="36"/>
        </w:rPr>
      </w:pPr>
    </w:p>
    <w:p w:rsidR="002C5025" w:rsidRDefault="002C5025">
      <w:pPr>
        <w:pStyle w:val="BodyText"/>
        <w:kinsoku w:val="0"/>
        <w:overflowPunct w:val="0"/>
        <w:rPr>
          <w:rFonts w:ascii="Arial" w:hAnsi="Arial" w:cs="Arial"/>
          <w:b/>
          <w:bCs/>
          <w:sz w:val="36"/>
          <w:szCs w:val="36"/>
        </w:rPr>
      </w:pPr>
    </w:p>
    <w:p w:rsidR="002C5025" w:rsidRDefault="002C5025">
      <w:pPr>
        <w:pStyle w:val="BodyText"/>
        <w:kinsoku w:val="0"/>
        <w:overflowPunct w:val="0"/>
        <w:rPr>
          <w:rFonts w:ascii="Arial" w:hAnsi="Arial" w:cs="Arial"/>
          <w:b/>
          <w:bCs/>
          <w:sz w:val="36"/>
          <w:szCs w:val="36"/>
        </w:rPr>
      </w:pPr>
    </w:p>
    <w:p w:rsidR="002C5025" w:rsidRDefault="002C5025">
      <w:pPr>
        <w:pStyle w:val="BodyText"/>
        <w:kinsoku w:val="0"/>
        <w:overflowPunct w:val="0"/>
        <w:rPr>
          <w:rFonts w:ascii="Arial" w:hAnsi="Arial" w:cs="Arial"/>
          <w:b/>
          <w:bCs/>
          <w:sz w:val="36"/>
          <w:szCs w:val="36"/>
        </w:rPr>
      </w:pPr>
    </w:p>
    <w:p w:rsidR="002C5025" w:rsidRDefault="002C5025">
      <w:pPr>
        <w:pStyle w:val="BodyText"/>
        <w:kinsoku w:val="0"/>
        <w:overflowPunct w:val="0"/>
        <w:spacing w:before="216"/>
        <w:ind w:left="5099" w:right="5099"/>
        <w:jc w:val="center"/>
        <w:rPr>
          <w:rFonts w:ascii="Arial" w:hAnsi="Arial" w:cs="Arial"/>
          <w:b/>
          <w:bCs/>
          <w:color w:val="33A6DF"/>
          <w:sz w:val="24"/>
          <w:szCs w:val="24"/>
        </w:rPr>
      </w:pPr>
      <w:r>
        <w:rPr>
          <w:rFonts w:ascii="Arial" w:hAnsi="Arial" w:cs="Arial"/>
          <w:b/>
          <w:bCs/>
          <w:color w:val="33A6DF"/>
          <w:sz w:val="24"/>
          <w:szCs w:val="24"/>
        </w:rPr>
        <w:t>July 17, 2016</w:t>
      </w:r>
    </w:p>
    <w:p w:rsidR="002C5025" w:rsidRDefault="002C5025">
      <w:pPr>
        <w:pStyle w:val="BodyText"/>
        <w:kinsoku w:val="0"/>
        <w:overflowPunct w:val="0"/>
        <w:spacing w:before="216"/>
        <w:ind w:left="5099" w:right="5099"/>
        <w:jc w:val="center"/>
        <w:rPr>
          <w:rFonts w:ascii="Arial" w:hAnsi="Arial" w:cs="Arial"/>
          <w:b/>
          <w:bCs/>
          <w:color w:val="33A6DF"/>
          <w:sz w:val="24"/>
          <w:szCs w:val="24"/>
        </w:rPr>
        <w:sectPr w:rsidR="002C5025">
          <w:pgSz w:w="12240" w:h="15840"/>
          <w:pgMar w:top="1500" w:right="260" w:bottom="280" w:left="260" w:header="720" w:footer="720" w:gutter="0"/>
          <w:cols w:space="720" w:equalWidth="0">
            <w:col w:w="11720"/>
          </w:cols>
          <w:noEndnote/>
        </w:sectPr>
      </w:pPr>
    </w:p>
    <w:p w:rsidR="002C5025" w:rsidRDefault="00FB027C">
      <w:pPr>
        <w:pStyle w:val="BodyText"/>
        <w:kinsoku w:val="0"/>
        <w:overflowPunct w:val="0"/>
        <w:ind w:left="115"/>
        <w:rPr>
          <w:rFonts w:ascii="Arial" w:hAnsi="Arial" w:cs="Arial"/>
          <w:sz w:val="20"/>
          <w:szCs w:val="20"/>
        </w:rPr>
      </w:pPr>
      <w:r>
        <w:rPr>
          <w:rFonts w:ascii="Arial" w:hAnsi="Arial" w:cs="Arial"/>
          <w:noProof/>
          <w:sz w:val="20"/>
          <w:szCs w:val="20"/>
        </w:rPr>
        <w:lastRenderedPageBreak/>
        <mc:AlternateContent>
          <mc:Choice Requires="wpg">
            <w:drawing>
              <wp:inline distT="0" distB="0" distL="0" distR="0">
                <wp:extent cx="5967095" cy="363855"/>
                <wp:effectExtent l="0" t="0" r="5080" b="7620"/>
                <wp:docPr id="869"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7095" cy="363855"/>
                          <a:chOff x="0" y="0"/>
                          <a:chExt cx="9397" cy="573"/>
                        </a:xfrm>
                      </wpg:grpSpPr>
                      <pic:pic xmlns:pic="http://schemas.openxmlformats.org/drawingml/2006/picture">
                        <pic:nvPicPr>
                          <pic:cNvPr id="870" name="Picture 154"/>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25" y="0"/>
                            <a:ext cx="19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71" name="Freeform 155"/>
                        <wps:cNvSpPr>
                          <a:spLocks/>
                        </wps:cNvSpPr>
                        <wps:spPr bwMode="auto">
                          <a:xfrm>
                            <a:off x="11" y="562"/>
                            <a:ext cx="9375" cy="20"/>
                          </a:xfrm>
                          <a:custGeom>
                            <a:avLst/>
                            <a:gdLst>
                              <a:gd name="T0" fmla="*/ 0 w 9375"/>
                              <a:gd name="T1" fmla="*/ 0 h 20"/>
                              <a:gd name="T2" fmla="*/ 9375 w 9375"/>
                              <a:gd name="T3" fmla="*/ 0 h 20"/>
                            </a:gdLst>
                            <a:ahLst/>
                            <a:cxnLst>
                              <a:cxn ang="0">
                                <a:pos x="T0" y="T1"/>
                              </a:cxn>
                              <a:cxn ang="0">
                                <a:pos x="T2" y="T3"/>
                              </a:cxn>
                            </a:cxnLst>
                            <a:rect l="0" t="0" r="r" b="b"/>
                            <a:pathLst>
                              <a:path w="9375" h="20">
                                <a:moveTo>
                                  <a:pt x="0" y="0"/>
                                </a:moveTo>
                                <a:lnTo>
                                  <a:pt x="9375" y="0"/>
                                </a:lnTo>
                              </a:path>
                            </a:pathLst>
                          </a:custGeom>
                          <a:noFill/>
                          <a:ln w="13462">
                            <a:solidFill>
                              <a:srgbClr val="41B6E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2" name="Text Box 156"/>
                        <wps:cNvSpPr txBox="1">
                          <a:spLocks noChangeArrowheads="1"/>
                        </wps:cNvSpPr>
                        <wps:spPr bwMode="auto">
                          <a:xfrm>
                            <a:off x="0" y="0"/>
                            <a:ext cx="9397" cy="5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pStyle w:val="BodyText"/>
                                <w:kinsoku w:val="0"/>
                                <w:overflowPunct w:val="0"/>
                                <w:spacing w:before="88" w:line="226" w:lineRule="exact"/>
                                <w:ind w:left="5143" w:firstLine="1212"/>
                                <w:rPr>
                                  <w:rFonts w:ascii="Arial" w:hAnsi="Arial" w:cs="Arial"/>
                                  <w:sz w:val="20"/>
                                  <w:szCs w:val="20"/>
                                </w:rPr>
                              </w:pPr>
                              <w:r>
                                <w:rPr>
                                  <w:rFonts w:ascii="Arial" w:hAnsi="Arial" w:cs="Arial"/>
                                  <w:sz w:val="20"/>
                                  <w:szCs w:val="20"/>
                                </w:rPr>
                                <w:t>Commonwealth of Massachusetts Executive Office of Health and Human Services</w:t>
                              </w:r>
                            </w:p>
                          </w:txbxContent>
                        </wps:txbx>
                        <wps:bodyPr rot="0" vert="horz" wrap="square" lIns="0" tIns="0" rIns="0" bIns="0" anchor="t" anchorCtr="0" upright="1">
                          <a:noAutofit/>
                        </wps:bodyPr>
                      </wps:wsp>
                    </wpg:wgp>
                  </a:graphicData>
                </a:graphic>
              </wp:inline>
            </w:drawing>
          </mc:Choice>
          <mc:Fallback>
            <w:pict>
              <v:group id="Group 153" o:spid="_x0000_s1085" style="width:469.85pt;height:28.65pt;mso-position-horizontal-relative:char;mso-position-vertical-relative:line" coordsize="9397,5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">
                <v:shape id="Picture 154" o:spid="_x0000_s1086" type="#_x0000_t75" style="position:absolute;left:25;width:1920;height:5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biMCDAAAAA3AAAAA8AAABkcnMvZG93bnJldi54bWxET8uKwjAU3Q/4D+EK7sZUwVc1LSo4426w&#10;+gGX5vaBzU1totb5+slCmOXhvDdpbxrxoM7VlhVMxhEI4tzqmksFl/PhcwnCeWSNjWVS8CIHaTL4&#10;2GCs7ZNP9Mh8KUIIuxgVVN63sZQur8igG9uWOHCF7Qz6ALtS6g6fIdw0chpFc2mw5tBQYUv7ivJr&#10;djcK5qus2b52+dftJ1t8/1ouzjQrlBoN++0ahKfe/4vf7qNWsFyE+eFMOAIy+Q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uIwIMAAAADcAAAADwAAAAAAAAAAAAAAAACfAgAA&#10;ZHJzL2Rvd25yZXYueG1sUEsFBgAAAAAEAAQA9wAAAIwDAAAAAA==&#10;">
                  <v:imagedata r:id="rId127" o:title=""/>
                </v:shape>
                <v:shape id="Freeform 155" o:spid="_x0000_s1087" style="position:absolute;left:11;top:562;width:9375;height:20;visibility:visible;mso-wrap-style:square;v-text-anchor:top" coordsize="937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WglsUA&#10;AADcAAAADwAAAGRycy9kb3ducmV2LnhtbESPQWvCQBSE7wX/w/KEXopurKASXUVsC+mx6kFvj+wz&#10;CWbfht1NjP31bqHgcZiZb5jVpje16Mj5yrKCyTgBQZxbXXGh4Hj4Gi1A+ICssbZMCu7kYbMevKww&#10;1fbGP9TtQyEihH2KCsoQmlRKn5dk0I9tQxy9i3UGQ5SukNrhLcJNLd+TZCYNVhwXSmxoV1J+3bdG&#10;Abfn2XzbdqcPur99Bmey3+l3ptTrsN8uQQTqwzP83860gsV8An9n4hGQ6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taCWxQAAANwAAAAPAAAAAAAAAAAAAAAAAJgCAABkcnMv&#10;ZG93bnJldi54bWxQSwUGAAAAAAQABAD1AAAAigMAAAAA&#10;" path="m,l9375,e" filled="f" strokecolor="#41b6e6" strokeweight="1.06pt">
                  <v:path arrowok="t" o:connecttype="custom" o:connectlocs="0,0;9375,0" o:connectangles="0,0"/>
                </v:shape>
                <v:shape id="Text Box 156" o:spid="_x0000_s1088" type="#_x0000_t202" style="position:absolute;width:9397;height: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lP0MUA&#10;AADcAAAADwAAAGRycy9kb3ducmV2LnhtbESPQWvCQBSE7wX/w/IKvTWberCauoqIQkEojfHg8TX7&#10;TBazb2N21fjvu4LgcZiZb5jpvLeNuFDnjWMFH0kKgrh02nClYFes38cgfEDW2DgmBTfyMJ8NXqaY&#10;aXflnC7bUIkIYZ+hgjqENpPSlzVZ9IlriaN3cJ3FEGVXSd3hNcJtI4dpOpIWDceFGlta1lQet2er&#10;YLHnfGVOP3+/+SE3RTFJeTM6KvX22i++QATqwzP8aH9rBePPIdzPxCMg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uU/QxQAAANwAAAAPAAAAAAAAAAAAAAAAAJgCAABkcnMv&#10;ZG93bnJldi54bWxQSwUGAAAAAAQABAD1AAAAigMAAAAA&#10;" filled="f" stroked="f">
                  <v:textbox inset="0,0,0,0">
                    <w:txbxContent>
                      <w:p w:rsidR="007B2B7B" w:rsidRDefault="007B2B7B">
                        <w:pPr>
                          <w:pStyle w:val="BodyText"/>
                          <w:kinsoku w:val="0"/>
                          <w:overflowPunct w:val="0"/>
                          <w:spacing w:before="88" w:line="226" w:lineRule="exact"/>
                          <w:ind w:left="5143" w:firstLine="1212"/>
                          <w:rPr>
                            <w:rFonts w:ascii="Arial" w:hAnsi="Arial" w:cs="Arial"/>
                            <w:sz w:val="20"/>
                            <w:szCs w:val="20"/>
                          </w:rPr>
                        </w:pPr>
                        <w:r>
                          <w:rPr>
                            <w:rFonts w:ascii="Arial" w:hAnsi="Arial" w:cs="Arial"/>
                            <w:sz w:val="20"/>
                            <w:szCs w:val="20"/>
                          </w:rPr>
                          <w:t>Commonwealth of Massachusetts Executive Office of Health and Human Services</w:t>
                        </w:r>
                      </w:p>
                    </w:txbxContent>
                  </v:textbox>
                </v:shape>
                <w10:anchorlock/>
              </v:group>
            </w:pict>
          </mc:Fallback>
        </mc:AlternateContent>
      </w:r>
    </w:p>
    <w:p w:rsidR="002C5025" w:rsidRDefault="002C5025">
      <w:pPr>
        <w:pStyle w:val="BodyText"/>
        <w:kinsoku w:val="0"/>
        <w:overflowPunct w:val="0"/>
        <w:spacing w:before="4"/>
        <w:rPr>
          <w:rFonts w:ascii="Arial" w:hAnsi="Arial" w:cs="Arial"/>
          <w:b/>
          <w:bCs/>
          <w:sz w:val="12"/>
          <w:szCs w:val="12"/>
        </w:rPr>
      </w:pPr>
    </w:p>
    <w:p w:rsidR="002C5025" w:rsidRDefault="002C5025">
      <w:pPr>
        <w:pStyle w:val="BodyText"/>
        <w:kinsoku w:val="0"/>
        <w:overflowPunct w:val="0"/>
        <w:spacing w:before="65" w:line="321" w:lineRule="exact"/>
        <w:ind w:left="140" w:right="442"/>
        <w:rPr>
          <w:rFonts w:ascii="Arial" w:hAnsi="Arial" w:cs="Arial"/>
          <w:b/>
          <w:bCs/>
          <w:color w:val="FFA218"/>
          <w:sz w:val="28"/>
          <w:szCs w:val="28"/>
        </w:rPr>
      </w:pPr>
      <w:r>
        <w:rPr>
          <w:rFonts w:ascii="Arial" w:hAnsi="Arial" w:cs="Arial"/>
          <w:b/>
          <w:bCs/>
          <w:color w:val="FFA218"/>
          <w:sz w:val="28"/>
          <w:szCs w:val="28"/>
        </w:rPr>
        <w:t>INTRODUCTION</w:t>
      </w:r>
    </w:p>
    <w:p w:rsidR="002C5025" w:rsidRDefault="002C5025">
      <w:pPr>
        <w:pStyle w:val="BodyText"/>
        <w:kinsoku w:val="0"/>
        <w:overflowPunct w:val="0"/>
        <w:ind w:left="140" w:right="442" w:hanging="1"/>
        <w:rPr>
          <w:rFonts w:ascii="Arial" w:hAnsi="Arial" w:cs="Arial"/>
          <w:sz w:val="21"/>
          <w:szCs w:val="21"/>
        </w:rPr>
      </w:pPr>
      <w:r>
        <w:rPr>
          <w:rFonts w:ascii="Arial" w:hAnsi="Arial" w:cs="Arial"/>
          <w:sz w:val="21"/>
          <w:szCs w:val="21"/>
        </w:rPr>
        <w:t>Thank you for the opportunity to provide our perspective on the Massachusetts Executive Office of Health and Human Services’ request to amend and extend the MassHealth Section 1115 Demonstration to the Centers for Medicare and Medicaid Services. Based on our extensive experience in Massachusetts—working with four MassHealth managed care organizations, managing the Primary Care Clinician Plan, and administering mental health and employee assistance services for the Group Insurance Commission—as well as across the country and in the UK, Beacon Health Options (Beacon) bears much expertise in achieving successful outcomes on behalf of approximately 1.5 million members across the Commonwealth.</w:t>
      </w:r>
    </w:p>
    <w:p w:rsidR="002C5025" w:rsidRDefault="002C5025">
      <w:pPr>
        <w:pStyle w:val="BodyText"/>
        <w:kinsoku w:val="0"/>
        <w:overflowPunct w:val="0"/>
        <w:spacing w:before="10"/>
        <w:rPr>
          <w:rFonts w:ascii="Arial" w:hAnsi="Arial" w:cs="Arial"/>
          <w:sz w:val="20"/>
          <w:szCs w:val="20"/>
        </w:rPr>
      </w:pPr>
    </w:p>
    <w:p w:rsidR="002C5025" w:rsidRDefault="002C5025">
      <w:pPr>
        <w:pStyle w:val="BodyText"/>
        <w:kinsoku w:val="0"/>
        <w:overflowPunct w:val="0"/>
        <w:spacing w:before="1"/>
        <w:ind w:left="139" w:right="279"/>
        <w:rPr>
          <w:rFonts w:ascii="Arial" w:hAnsi="Arial" w:cs="Arial"/>
          <w:sz w:val="21"/>
          <w:szCs w:val="21"/>
        </w:rPr>
      </w:pPr>
      <w:r>
        <w:rPr>
          <w:rFonts w:ascii="Arial" w:hAnsi="Arial" w:cs="Arial"/>
          <w:sz w:val="21"/>
          <w:szCs w:val="21"/>
        </w:rPr>
        <w:t>Behavioral health is an important, yet often overlooked component to integrated care delivery. Despite clear evidence that individuals with medical and behavioral health issues have a high prevalence of co-morbidities, more thought can be given to the role that behavioral health plays in an Accountable Care Organization (ACO) model and how it can contribute to better outcomes and lower costs. The overall cost of care is disproportionately weighted to medical expense. This imbalan</w:t>
      </w:r>
      <w:r w:rsidR="00607624">
        <w:rPr>
          <w:rFonts w:ascii="Arial" w:hAnsi="Arial" w:cs="Arial"/>
          <w:sz w:val="21"/>
          <w:szCs w:val="21"/>
        </w:rPr>
        <w:t>ce</w:t>
      </w:r>
    </w:p>
    <w:p w:rsidR="002C5025" w:rsidRDefault="002C5025" w:rsidP="00607624">
      <w:pPr>
        <w:pStyle w:val="BodyText"/>
        <w:kinsoku w:val="0"/>
        <w:overflowPunct w:val="0"/>
        <w:spacing w:before="1"/>
        <w:ind w:left="138" w:right="562"/>
        <w:jc w:val="both"/>
        <w:rPr>
          <w:rFonts w:ascii="Arial" w:hAnsi="Arial" w:cs="Arial"/>
          <w:spacing w:val="-3"/>
          <w:sz w:val="21"/>
          <w:szCs w:val="21"/>
        </w:rPr>
      </w:pPr>
      <w:r>
        <w:rPr>
          <w:rFonts w:ascii="Arial" w:hAnsi="Arial" w:cs="Arial"/>
          <w:sz w:val="21"/>
          <w:szCs w:val="21"/>
        </w:rPr>
        <w:t>is</w:t>
      </w:r>
      <w:r>
        <w:rPr>
          <w:rFonts w:ascii="Arial" w:hAnsi="Arial" w:cs="Arial"/>
          <w:spacing w:val="-6"/>
          <w:sz w:val="21"/>
          <w:szCs w:val="21"/>
        </w:rPr>
        <w:t xml:space="preserve"> </w:t>
      </w:r>
      <w:r>
        <w:rPr>
          <w:rFonts w:ascii="Arial" w:hAnsi="Arial" w:cs="Arial"/>
          <w:sz w:val="21"/>
          <w:szCs w:val="21"/>
        </w:rPr>
        <w:t>a</w:t>
      </w:r>
      <w:r>
        <w:rPr>
          <w:rFonts w:ascii="Arial" w:hAnsi="Arial" w:cs="Arial"/>
          <w:spacing w:val="-3"/>
          <w:sz w:val="21"/>
          <w:szCs w:val="21"/>
        </w:rPr>
        <w:t xml:space="preserve"> </w:t>
      </w:r>
      <w:r>
        <w:rPr>
          <w:rFonts w:ascii="Arial" w:hAnsi="Arial" w:cs="Arial"/>
          <w:sz w:val="21"/>
          <w:szCs w:val="21"/>
        </w:rPr>
        <w:t>result</w:t>
      </w:r>
      <w:r>
        <w:rPr>
          <w:rFonts w:ascii="Arial" w:hAnsi="Arial" w:cs="Arial"/>
          <w:spacing w:val="-4"/>
          <w:sz w:val="21"/>
          <w:szCs w:val="21"/>
        </w:rPr>
        <w:t xml:space="preserve"> </w:t>
      </w:r>
      <w:r>
        <w:rPr>
          <w:rFonts w:ascii="Arial" w:hAnsi="Arial" w:cs="Arial"/>
          <w:sz w:val="21"/>
          <w:szCs w:val="21"/>
        </w:rPr>
        <w:t>of</w:t>
      </w:r>
      <w:r>
        <w:rPr>
          <w:rFonts w:ascii="Arial" w:hAnsi="Arial" w:cs="Arial"/>
          <w:spacing w:val="-4"/>
          <w:sz w:val="21"/>
          <w:szCs w:val="21"/>
        </w:rPr>
        <w:t xml:space="preserve"> </w:t>
      </w:r>
      <w:r>
        <w:rPr>
          <w:rFonts w:ascii="Arial" w:hAnsi="Arial" w:cs="Arial"/>
          <w:sz w:val="21"/>
          <w:szCs w:val="21"/>
        </w:rPr>
        <w:t>individuals</w:t>
      </w:r>
      <w:r>
        <w:rPr>
          <w:rFonts w:ascii="Arial" w:hAnsi="Arial" w:cs="Arial"/>
          <w:spacing w:val="-5"/>
          <w:sz w:val="21"/>
          <w:szCs w:val="21"/>
        </w:rPr>
        <w:t xml:space="preserve"> </w:t>
      </w:r>
      <w:r>
        <w:rPr>
          <w:rFonts w:ascii="Arial" w:hAnsi="Arial" w:cs="Arial"/>
          <w:sz w:val="21"/>
          <w:szCs w:val="21"/>
        </w:rPr>
        <w:t>with</w:t>
      </w:r>
      <w:r>
        <w:rPr>
          <w:rFonts w:ascii="Arial" w:hAnsi="Arial" w:cs="Arial"/>
          <w:spacing w:val="-3"/>
          <w:sz w:val="21"/>
          <w:szCs w:val="21"/>
        </w:rPr>
        <w:t xml:space="preserve"> </w:t>
      </w:r>
      <w:r>
        <w:rPr>
          <w:rFonts w:ascii="Arial" w:hAnsi="Arial" w:cs="Arial"/>
          <w:sz w:val="21"/>
          <w:szCs w:val="21"/>
        </w:rPr>
        <w:t>treated</w:t>
      </w:r>
      <w:r>
        <w:rPr>
          <w:rFonts w:ascii="Arial" w:hAnsi="Arial" w:cs="Arial"/>
          <w:spacing w:val="-3"/>
          <w:sz w:val="21"/>
          <w:szCs w:val="21"/>
        </w:rPr>
        <w:t xml:space="preserve"> </w:t>
      </w:r>
      <w:r>
        <w:rPr>
          <w:rFonts w:ascii="Arial" w:hAnsi="Arial" w:cs="Arial"/>
          <w:sz w:val="21"/>
          <w:szCs w:val="21"/>
        </w:rPr>
        <w:t>psychiatric</w:t>
      </w:r>
      <w:r>
        <w:rPr>
          <w:rFonts w:ascii="Arial" w:hAnsi="Arial" w:cs="Arial"/>
          <w:spacing w:val="-3"/>
          <w:sz w:val="21"/>
          <w:szCs w:val="21"/>
        </w:rPr>
        <w:t xml:space="preserve"> </w:t>
      </w:r>
      <w:r>
        <w:rPr>
          <w:rFonts w:ascii="Arial" w:hAnsi="Arial" w:cs="Arial"/>
          <w:sz w:val="21"/>
          <w:szCs w:val="21"/>
        </w:rPr>
        <w:t>or</w:t>
      </w:r>
      <w:r>
        <w:rPr>
          <w:rFonts w:ascii="Arial" w:hAnsi="Arial" w:cs="Arial"/>
          <w:spacing w:val="-6"/>
          <w:sz w:val="21"/>
          <w:szCs w:val="21"/>
        </w:rPr>
        <w:t xml:space="preserve"> </w:t>
      </w:r>
      <w:r>
        <w:rPr>
          <w:rFonts w:ascii="Arial" w:hAnsi="Arial" w:cs="Arial"/>
          <w:sz w:val="21"/>
          <w:szCs w:val="21"/>
        </w:rPr>
        <w:t>substance</w:t>
      </w:r>
      <w:r>
        <w:rPr>
          <w:rFonts w:ascii="Arial" w:hAnsi="Arial" w:cs="Arial"/>
          <w:spacing w:val="-3"/>
          <w:sz w:val="21"/>
          <w:szCs w:val="21"/>
        </w:rPr>
        <w:t xml:space="preserve"> </w:t>
      </w:r>
      <w:r>
        <w:rPr>
          <w:rFonts w:ascii="Arial" w:hAnsi="Arial" w:cs="Arial"/>
          <w:sz w:val="21"/>
          <w:szCs w:val="21"/>
        </w:rPr>
        <w:t>use</w:t>
      </w:r>
      <w:r>
        <w:rPr>
          <w:rFonts w:ascii="Arial" w:hAnsi="Arial" w:cs="Arial"/>
          <w:spacing w:val="-3"/>
          <w:sz w:val="21"/>
          <w:szCs w:val="21"/>
        </w:rPr>
        <w:t xml:space="preserve"> disorders </w:t>
      </w:r>
      <w:r>
        <w:rPr>
          <w:rFonts w:ascii="Arial" w:hAnsi="Arial" w:cs="Arial"/>
          <w:sz w:val="21"/>
          <w:szCs w:val="21"/>
        </w:rPr>
        <w:t>typically</w:t>
      </w:r>
      <w:r>
        <w:rPr>
          <w:rFonts w:ascii="Arial" w:hAnsi="Arial" w:cs="Arial"/>
          <w:spacing w:val="-6"/>
          <w:sz w:val="21"/>
          <w:szCs w:val="21"/>
        </w:rPr>
        <w:t xml:space="preserve"> </w:t>
      </w:r>
      <w:r>
        <w:rPr>
          <w:rFonts w:ascii="Arial" w:hAnsi="Arial" w:cs="Arial"/>
          <w:sz w:val="21"/>
          <w:szCs w:val="21"/>
        </w:rPr>
        <w:t>costing</w:t>
      </w:r>
      <w:r>
        <w:rPr>
          <w:rFonts w:ascii="Arial" w:hAnsi="Arial" w:cs="Arial"/>
          <w:spacing w:val="-3"/>
          <w:sz w:val="21"/>
          <w:szCs w:val="21"/>
        </w:rPr>
        <w:t xml:space="preserve"> </w:t>
      </w:r>
      <w:r>
        <w:rPr>
          <w:rFonts w:ascii="Arial" w:hAnsi="Arial" w:cs="Arial"/>
          <w:sz w:val="21"/>
          <w:szCs w:val="21"/>
        </w:rPr>
        <w:t>two to</w:t>
      </w:r>
      <w:r>
        <w:rPr>
          <w:rFonts w:ascii="Arial" w:hAnsi="Arial" w:cs="Arial"/>
          <w:spacing w:val="-5"/>
          <w:sz w:val="21"/>
          <w:szCs w:val="21"/>
        </w:rPr>
        <w:t xml:space="preserve"> </w:t>
      </w:r>
      <w:r>
        <w:rPr>
          <w:rFonts w:ascii="Arial" w:hAnsi="Arial" w:cs="Arial"/>
          <w:sz w:val="21"/>
          <w:szCs w:val="21"/>
        </w:rPr>
        <w:t>three</w:t>
      </w:r>
      <w:r>
        <w:rPr>
          <w:rFonts w:ascii="Arial" w:hAnsi="Arial" w:cs="Arial"/>
          <w:spacing w:val="-5"/>
          <w:sz w:val="21"/>
          <w:szCs w:val="21"/>
        </w:rPr>
        <w:t xml:space="preserve"> </w:t>
      </w:r>
      <w:r>
        <w:rPr>
          <w:rFonts w:ascii="Arial" w:hAnsi="Arial" w:cs="Arial"/>
          <w:sz w:val="21"/>
          <w:szCs w:val="21"/>
        </w:rPr>
        <w:t>times</w:t>
      </w:r>
      <w:r>
        <w:rPr>
          <w:rFonts w:ascii="Arial" w:hAnsi="Arial" w:cs="Arial"/>
          <w:spacing w:val="-7"/>
          <w:sz w:val="21"/>
          <w:szCs w:val="21"/>
        </w:rPr>
        <w:t xml:space="preserve"> </w:t>
      </w:r>
      <w:r>
        <w:rPr>
          <w:rFonts w:ascii="Arial" w:hAnsi="Arial" w:cs="Arial"/>
          <w:sz w:val="21"/>
          <w:szCs w:val="21"/>
        </w:rPr>
        <w:t>more</w:t>
      </w:r>
      <w:r>
        <w:rPr>
          <w:rFonts w:ascii="Arial" w:hAnsi="Arial" w:cs="Arial"/>
          <w:spacing w:val="-5"/>
          <w:sz w:val="21"/>
          <w:szCs w:val="21"/>
        </w:rPr>
        <w:t xml:space="preserve"> </w:t>
      </w:r>
      <w:r>
        <w:rPr>
          <w:rFonts w:ascii="Arial" w:hAnsi="Arial" w:cs="Arial"/>
          <w:sz w:val="21"/>
          <w:szCs w:val="21"/>
        </w:rPr>
        <w:t>than</w:t>
      </w:r>
      <w:r>
        <w:rPr>
          <w:rFonts w:ascii="Arial" w:hAnsi="Arial" w:cs="Arial"/>
          <w:spacing w:val="-5"/>
          <w:sz w:val="21"/>
          <w:szCs w:val="21"/>
        </w:rPr>
        <w:t xml:space="preserve"> </w:t>
      </w:r>
      <w:r>
        <w:rPr>
          <w:rFonts w:ascii="Arial" w:hAnsi="Arial" w:cs="Arial"/>
          <w:sz w:val="21"/>
          <w:szCs w:val="21"/>
        </w:rPr>
        <w:t>those</w:t>
      </w:r>
      <w:r>
        <w:rPr>
          <w:rFonts w:ascii="Arial" w:hAnsi="Arial" w:cs="Arial"/>
          <w:spacing w:val="-5"/>
          <w:sz w:val="21"/>
          <w:szCs w:val="21"/>
        </w:rPr>
        <w:t xml:space="preserve"> </w:t>
      </w:r>
      <w:r>
        <w:rPr>
          <w:rFonts w:ascii="Arial" w:hAnsi="Arial" w:cs="Arial"/>
          <w:sz w:val="21"/>
          <w:szCs w:val="21"/>
        </w:rPr>
        <w:t>without</w:t>
      </w:r>
      <w:r>
        <w:rPr>
          <w:rFonts w:ascii="Arial" w:hAnsi="Arial" w:cs="Arial"/>
          <w:spacing w:val="-6"/>
          <w:sz w:val="21"/>
          <w:szCs w:val="21"/>
        </w:rPr>
        <w:t xml:space="preserve"> </w:t>
      </w:r>
      <w:r>
        <w:rPr>
          <w:rFonts w:ascii="Arial" w:hAnsi="Arial" w:cs="Arial"/>
          <w:sz w:val="21"/>
          <w:szCs w:val="21"/>
        </w:rPr>
        <w:t>a</w:t>
      </w:r>
      <w:r>
        <w:rPr>
          <w:rFonts w:ascii="Arial" w:hAnsi="Arial" w:cs="Arial"/>
          <w:spacing w:val="-5"/>
          <w:sz w:val="21"/>
          <w:szCs w:val="21"/>
        </w:rPr>
        <w:t xml:space="preserve"> </w:t>
      </w:r>
      <w:r>
        <w:rPr>
          <w:rFonts w:ascii="Arial" w:hAnsi="Arial" w:cs="Arial"/>
          <w:sz w:val="21"/>
          <w:szCs w:val="21"/>
        </w:rPr>
        <w:t>behavioral</w:t>
      </w:r>
      <w:r>
        <w:rPr>
          <w:rFonts w:ascii="Arial" w:hAnsi="Arial" w:cs="Arial"/>
          <w:spacing w:val="-6"/>
          <w:sz w:val="21"/>
          <w:szCs w:val="21"/>
        </w:rPr>
        <w:t xml:space="preserve"> </w:t>
      </w:r>
      <w:r>
        <w:rPr>
          <w:rFonts w:ascii="Arial" w:hAnsi="Arial" w:cs="Arial"/>
          <w:sz w:val="21"/>
          <w:szCs w:val="21"/>
        </w:rPr>
        <w:t>health</w:t>
      </w:r>
      <w:r>
        <w:rPr>
          <w:rFonts w:ascii="Arial" w:hAnsi="Arial" w:cs="Arial"/>
          <w:spacing w:val="-5"/>
          <w:sz w:val="21"/>
          <w:szCs w:val="21"/>
        </w:rPr>
        <w:t xml:space="preserve"> </w:t>
      </w:r>
      <w:r>
        <w:rPr>
          <w:rFonts w:ascii="Arial" w:hAnsi="Arial" w:cs="Arial"/>
          <w:sz w:val="21"/>
          <w:szCs w:val="21"/>
        </w:rPr>
        <w:t>condition,</w:t>
      </w:r>
      <w:r>
        <w:rPr>
          <w:rFonts w:ascii="Arial" w:hAnsi="Arial" w:cs="Arial"/>
          <w:spacing w:val="-6"/>
          <w:sz w:val="21"/>
          <w:szCs w:val="21"/>
        </w:rPr>
        <w:t xml:space="preserve"> </w:t>
      </w:r>
      <w:r>
        <w:rPr>
          <w:rFonts w:ascii="Arial" w:hAnsi="Arial" w:cs="Arial"/>
          <w:sz w:val="21"/>
          <w:szCs w:val="21"/>
        </w:rPr>
        <w:t>on</w:t>
      </w:r>
      <w:r>
        <w:rPr>
          <w:rFonts w:ascii="Arial" w:hAnsi="Arial" w:cs="Arial"/>
          <w:spacing w:val="-5"/>
          <w:sz w:val="21"/>
          <w:szCs w:val="21"/>
        </w:rPr>
        <w:t xml:space="preserve"> </w:t>
      </w:r>
      <w:r>
        <w:rPr>
          <w:rFonts w:ascii="Arial" w:hAnsi="Arial" w:cs="Arial"/>
          <w:sz w:val="21"/>
          <w:szCs w:val="21"/>
        </w:rPr>
        <w:t>average</w:t>
      </w:r>
      <w:r>
        <w:rPr>
          <w:rFonts w:ascii="Arial" w:hAnsi="Arial" w:cs="Arial"/>
          <w:spacing w:val="-7"/>
          <w:sz w:val="21"/>
          <w:szCs w:val="21"/>
        </w:rPr>
        <w:t xml:space="preserve"> </w:t>
      </w:r>
      <w:r>
        <w:rPr>
          <w:rFonts w:ascii="Arial" w:hAnsi="Arial" w:cs="Arial"/>
          <w:sz w:val="21"/>
          <w:szCs w:val="21"/>
        </w:rPr>
        <w:t>across</w:t>
      </w:r>
      <w:r>
        <w:rPr>
          <w:rFonts w:ascii="Arial" w:hAnsi="Arial" w:cs="Arial"/>
          <w:spacing w:val="-5"/>
          <w:sz w:val="21"/>
          <w:szCs w:val="21"/>
        </w:rPr>
        <w:t xml:space="preserve"> </w:t>
      </w:r>
      <w:r>
        <w:rPr>
          <w:rFonts w:ascii="Arial" w:hAnsi="Arial" w:cs="Arial"/>
          <w:sz w:val="21"/>
          <w:szCs w:val="21"/>
        </w:rPr>
        <w:t>all</w:t>
      </w:r>
      <w:r>
        <w:rPr>
          <w:rFonts w:ascii="Arial" w:hAnsi="Arial" w:cs="Arial"/>
          <w:spacing w:val="-7"/>
          <w:sz w:val="21"/>
          <w:szCs w:val="21"/>
        </w:rPr>
        <w:t xml:space="preserve"> </w:t>
      </w:r>
      <w:r>
        <w:rPr>
          <w:rFonts w:ascii="Arial" w:hAnsi="Arial" w:cs="Arial"/>
          <w:sz w:val="21"/>
          <w:szCs w:val="21"/>
        </w:rPr>
        <w:t>market segments.</w:t>
      </w:r>
      <w:r>
        <w:rPr>
          <w:rFonts w:ascii="Arial" w:hAnsi="Arial" w:cs="Arial"/>
          <w:spacing w:val="-9"/>
          <w:sz w:val="21"/>
          <w:szCs w:val="21"/>
        </w:rPr>
        <w:t xml:space="preserve"> </w:t>
      </w:r>
      <w:r>
        <w:rPr>
          <w:rFonts w:ascii="Arial" w:hAnsi="Arial" w:cs="Arial"/>
          <w:sz w:val="21"/>
          <w:szCs w:val="21"/>
        </w:rPr>
        <w:t>Financial</w:t>
      </w:r>
      <w:r>
        <w:rPr>
          <w:rFonts w:ascii="Arial" w:hAnsi="Arial" w:cs="Arial"/>
          <w:spacing w:val="-6"/>
          <w:sz w:val="21"/>
          <w:szCs w:val="21"/>
        </w:rPr>
        <w:t xml:space="preserve"> </w:t>
      </w:r>
      <w:r>
        <w:rPr>
          <w:rFonts w:ascii="Arial" w:hAnsi="Arial" w:cs="Arial"/>
          <w:sz w:val="21"/>
          <w:szCs w:val="21"/>
        </w:rPr>
        <w:t>incentives</w:t>
      </w:r>
      <w:r>
        <w:rPr>
          <w:rFonts w:ascii="Arial" w:hAnsi="Arial" w:cs="Arial"/>
          <w:spacing w:val="-8"/>
          <w:sz w:val="21"/>
          <w:szCs w:val="21"/>
        </w:rPr>
        <w:t xml:space="preserve"> </w:t>
      </w:r>
      <w:r>
        <w:rPr>
          <w:rFonts w:ascii="Arial" w:hAnsi="Arial" w:cs="Arial"/>
          <w:sz w:val="21"/>
          <w:szCs w:val="21"/>
        </w:rPr>
        <w:t>and</w:t>
      </w:r>
      <w:r>
        <w:rPr>
          <w:rFonts w:ascii="Arial" w:hAnsi="Arial" w:cs="Arial"/>
          <w:spacing w:val="-5"/>
          <w:sz w:val="21"/>
          <w:szCs w:val="21"/>
        </w:rPr>
        <w:t xml:space="preserve"> </w:t>
      </w:r>
      <w:r>
        <w:rPr>
          <w:rFonts w:ascii="Arial" w:hAnsi="Arial" w:cs="Arial"/>
          <w:sz w:val="21"/>
          <w:szCs w:val="21"/>
        </w:rPr>
        <w:t>reimbursement</w:t>
      </w:r>
      <w:r>
        <w:rPr>
          <w:rFonts w:ascii="Arial" w:hAnsi="Arial" w:cs="Arial"/>
          <w:spacing w:val="-6"/>
          <w:sz w:val="21"/>
          <w:szCs w:val="21"/>
        </w:rPr>
        <w:t xml:space="preserve"> </w:t>
      </w:r>
      <w:r>
        <w:rPr>
          <w:rFonts w:ascii="Arial" w:hAnsi="Arial" w:cs="Arial"/>
          <w:sz w:val="21"/>
          <w:szCs w:val="21"/>
        </w:rPr>
        <w:t>models</w:t>
      </w:r>
      <w:r>
        <w:rPr>
          <w:rFonts w:ascii="Arial" w:hAnsi="Arial" w:cs="Arial"/>
          <w:spacing w:val="-7"/>
          <w:sz w:val="21"/>
          <w:szCs w:val="21"/>
        </w:rPr>
        <w:t xml:space="preserve"> </w:t>
      </w:r>
      <w:r>
        <w:rPr>
          <w:rFonts w:ascii="Arial" w:hAnsi="Arial" w:cs="Arial"/>
          <w:sz w:val="21"/>
          <w:szCs w:val="21"/>
        </w:rPr>
        <w:t>must</w:t>
      </w:r>
      <w:r>
        <w:rPr>
          <w:rFonts w:ascii="Arial" w:hAnsi="Arial" w:cs="Arial"/>
          <w:spacing w:val="-6"/>
          <w:sz w:val="21"/>
          <w:szCs w:val="21"/>
        </w:rPr>
        <w:t xml:space="preserve"> </w:t>
      </w:r>
      <w:r>
        <w:rPr>
          <w:rFonts w:ascii="Arial" w:hAnsi="Arial" w:cs="Arial"/>
          <w:sz w:val="21"/>
          <w:szCs w:val="21"/>
        </w:rPr>
        <w:t>be</w:t>
      </w:r>
      <w:r>
        <w:rPr>
          <w:rFonts w:ascii="Arial" w:hAnsi="Arial" w:cs="Arial"/>
          <w:spacing w:val="-8"/>
          <w:sz w:val="21"/>
          <w:szCs w:val="21"/>
        </w:rPr>
        <w:t xml:space="preserve"> </w:t>
      </w:r>
      <w:r>
        <w:rPr>
          <w:rFonts w:ascii="Arial" w:hAnsi="Arial" w:cs="Arial"/>
          <w:sz w:val="21"/>
          <w:szCs w:val="21"/>
        </w:rPr>
        <w:t>organized</w:t>
      </w:r>
      <w:r>
        <w:rPr>
          <w:rFonts w:ascii="Arial" w:hAnsi="Arial" w:cs="Arial"/>
          <w:spacing w:val="-7"/>
          <w:sz w:val="21"/>
          <w:szCs w:val="21"/>
        </w:rPr>
        <w:t xml:space="preserve"> </w:t>
      </w:r>
      <w:r>
        <w:rPr>
          <w:rFonts w:ascii="Arial" w:hAnsi="Arial" w:cs="Arial"/>
          <w:sz w:val="21"/>
          <w:szCs w:val="21"/>
        </w:rPr>
        <w:t>in</w:t>
      </w:r>
      <w:r>
        <w:rPr>
          <w:rFonts w:ascii="Arial" w:hAnsi="Arial" w:cs="Arial"/>
          <w:spacing w:val="-5"/>
          <w:sz w:val="21"/>
          <w:szCs w:val="21"/>
        </w:rPr>
        <w:t xml:space="preserve"> </w:t>
      </w:r>
      <w:r>
        <w:rPr>
          <w:rFonts w:ascii="Arial" w:hAnsi="Arial" w:cs="Arial"/>
          <w:sz w:val="21"/>
          <w:szCs w:val="21"/>
        </w:rPr>
        <w:t>a</w:t>
      </w:r>
      <w:r>
        <w:rPr>
          <w:rFonts w:ascii="Arial" w:hAnsi="Arial" w:cs="Arial"/>
          <w:spacing w:val="-5"/>
          <w:sz w:val="21"/>
          <w:szCs w:val="21"/>
        </w:rPr>
        <w:t xml:space="preserve"> </w:t>
      </w:r>
      <w:r>
        <w:rPr>
          <w:rFonts w:ascii="Arial" w:hAnsi="Arial" w:cs="Arial"/>
          <w:spacing w:val="-3"/>
          <w:sz w:val="21"/>
          <w:szCs w:val="21"/>
        </w:rPr>
        <w:t>differen</w:t>
      </w:r>
      <w:r w:rsidR="00607624">
        <w:rPr>
          <w:rFonts w:ascii="Arial" w:hAnsi="Arial" w:cs="Arial"/>
          <w:spacing w:val="-3"/>
          <w:sz w:val="21"/>
          <w:szCs w:val="21"/>
        </w:rPr>
        <w:t>t</w:t>
      </w:r>
    </w:p>
    <w:p w:rsidR="002C5025" w:rsidRDefault="002C5025">
      <w:pPr>
        <w:pStyle w:val="BodyText"/>
        <w:kinsoku w:val="0"/>
        <w:overflowPunct w:val="0"/>
        <w:spacing w:before="1"/>
        <w:ind w:left="139" w:right="442"/>
        <w:rPr>
          <w:rFonts w:ascii="Arial" w:hAnsi="Arial" w:cs="Arial"/>
          <w:sz w:val="21"/>
          <w:szCs w:val="21"/>
        </w:rPr>
      </w:pPr>
      <w:r>
        <w:rPr>
          <w:rFonts w:ascii="Arial" w:hAnsi="Arial" w:cs="Arial"/>
          <w:sz w:val="21"/>
          <w:szCs w:val="21"/>
        </w:rPr>
        <w:t>way to address total medical expense.</w:t>
      </w:r>
    </w:p>
    <w:p w:rsidR="002C5025" w:rsidRDefault="002C5025">
      <w:pPr>
        <w:pStyle w:val="BodyText"/>
        <w:kinsoku w:val="0"/>
        <w:overflowPunct w:val="0"/>
        <w:spacing w:before="10"/>
        <w:rPr>
          <w:rFonts w:ascii="Arial" w:hAnsi="Arial" w:cs="Arial"/>
          <w:sz w:val="20"/>
          <w:szCs w:val="20"/>
        </w:rPr>
      </w:pPr>
    </w:p>
    <w:p w:rsidR="002C5025" w:rsidRDefault="002C5025">
      <w:pPr>
        <w:pStyle w:val="BodyText"/>
        <w:kinsoku w:val="0"/>
        <w:overflowPunct w:val="0"/>
        <w:spacing w:before="1"/>
        <w:ind w:left="139" w:right="367"/>
        <w:rPr>
          <w:rFonts w:ascii="Arial" w:hAnsi="Arial" w:cs="Arial"/>
          <w:sz w:val="21"/>
          <w:szCs w:val="21"/>
        </w:rPr>
      </w:pPr>
      <w:r>
        <w:rPr>
          <w:rFonts w:ascii="Arial" w:hAnsi="Arial" w:cs="Arial"/>
          <w:sz w:val="21"/>
          <w:szCs w:val="21"/>
        </w:rPr>
        <w:t xml:space="preserve">Additionally, individuals with complex </w:t>
      </w:r>
      <w:r>
        <w:rPr>
          <w:rFonts w:ascii="Arial" w:hAnsi="Arial" w:cs="Arial"/>
          <w:spacing w:val="-3"/>
          <w:sz w:val="21"/>
          <w:szCs w:val="21"/>
        </w:rPr>
        <w:t xml:space="preserve">behavioral </w:t>
      </w:r>
      <w:r>
        <w:rPr>
          <w:rFonts w:ascii="Arial" w:hAnsi="Arial" w:cs="Arial"/>
          <w:sz w:val="21"/>
          <w:szCs w:val="21"/>
        </w:rPr>
        <w:t xml:space="preserve">health needs (e.g., serious mental illness [SMI] and chronic substance use disorders [SUD]) often receive insufficient or uncoordinated care. When their issues are not </w:t>
      </w:r>
      <w:r>
        <w:rPr>
          <w:rFonts w:ascii="Arial" w:hAnsi="Arial" w:cs="Arial"/>
          <w:spacing w:val="-3"/>
          <w:sz w:val="21"/>
          <w:szCs w:val="21"/>
        </w:rPr>
        <w:t xml:space="preserve">addressed </w:t>
      </w:r>
      <w:r>
        <w:rPr>
          <w:rFonts w:ascii="Arial" w:hAnsi="Arial" w:cs="Arial"/>
          <w:sz w:val="21"/>
          <w:szCs w:val="21"/>
        </w:rPr>
        <w:t>appropriately, they can interfere with daily functioning, self-care, and adherence to medical and behavioral health treatments. While there continue to be improvements in the health care industry toward the integration of medical care and behavioral health care, much of health</w:t>
      </w:r>
      <w:r>
        <w:rPr>
          <w:rFonts w:ascii="Arial" w:hAnsi="Arial" w:cs="Arial"/>
          <w:spacing w:val="-5"/>
          <w:sz w:val="21"/>
          <w:szCs w:val="21"/>
        </w:rPr>
        <w:t xml:space="preserve"> </w:t>
      </w:r>
      <w:r>
        <w:rPr>
          <w:rFonts w:ascii="Arial" w:hAnsi="Arial" w:cs="Arial"/>
          <w:sz w:val="21"/>
          <w:szCs w:val="21"/>
        </w:rPr>
        <w:t>care</w:t>
      </w:r>
      <w:r>
        <w:rPr>
          <w:rFonts w:ascii="Arial" w:hAnsi="Arial" w:cs="Arial"/>
          <w:spacing w:val="-8"/>
          <w:sz w:val="21"/>
          <w:szCs w:val="21"/>
        </w:rPr>
        <w:t xml:space="preserve"> </w:t>
      </w:r>
      <w:r>
        <w:rPr>
          <w:rFonts w:ascii="Arial" w:hAnsi="Arial" w:cs="Arial"/>
          <w:sz w:val="21"/>
          <w:szCs w:val="21"/>
        </w:rPr>
        <w:t>delivery</w:t>
      </w:r>
      <w:r>
        <w:rPr>
          <w:rFonts w:ascii="Arial" w:hAnsi="Arial" w:cs="Arial"/>
          <w:spacing w:val="-8"/>
          <w:sz w:val="21"/>
          <w:szCs w:val="21"/>
        </w:rPr>
        <w:t xml:space="preserve"> </w:t>
      </w:r>
      <w:r>
        <w:rPr>
          <w:rFonts w:ascii="Arial" w:hAnsi="Arial" w:cs="Arial"/>
          <w:sz w:val="21"/>
          <w:szCs w:val="21"/>
        </w:rPr>
        <w:t>remains</w:t>
      </w:r>
      <w:r>
        <w:rPr>
          <w:rFonts w:ascii="Arial" w:hAnsi="Arial" w:cs="Arial"/>
          <w:spacing w:val="-5"/>
          <w:sz w:val="21"/>
          <w:szCs w:val="21"/>
        </w:rPr>
        <w:t xml:space="preserve"> </w:t>
      </w:r>
      <w:r>
        <w:rPr>
          <w:rFonts w:ascii="Arial" w:hAnsi="Arial" w:cs="Arial"/>
          <w:sz w:val="21"/>
          <w:szCs w:val="21"/>
        </w:rPr>
        <w:t>fractured,</w:t>
      </w:r>
      <w:r>
        <w:rPr>
          <w:rFonts w:ascii="Arial" w:hAnsi="Arial" w:cs="Arial"/>
          <w:spacing w:val="-6"/>
          <w:sz w:val="21"/>
          <w:szCs w:val="21"/>
        </w:rPr>
        <w:t xml:space="preserve"> </w:t>
      </w:r>
      <w:r>
        <w:rPr>
          <w:rFonts w:ascii="Arial" w:hAnsi="Arial" w:cs="Arial"/>
          <w:sz w:val="21"/>
          <w:szCs w:val="21"/>
        </w:rPr>
        <w:t>particularly</w:t>
      </w:r>
      <w:r>
        <w:rPr>
          <w:rFonts w:ascii="Arial" w:hAnsi="Arial" w:cs="Arial"/>
          <w:spacing w:val="-7"/>
          <w:sz w:val="21"/>
          <w:szCs w:val="21"/>
        </w:rPr>
        <w:t xml:space="preserve"> </w:t>
      </w:r>
      <w:r>
        <w:rPr>
          <w:rFonts w:ascii="Arial" w:hAnsi="Arial" w:cs="Arial"/>
          <w:sz w:val="21"/>
          <w:szCs w:val="21"/>
        </w:rPr>
        <w:t>for</w:t>
      </w:r>
      <w:r>
        <w:rPr>
          <w:rFonts w:ascii="Arial" w:hAnsi="Arial" w:cs="Arial"/>
          <w:spacing w:val="-6"/>
          <w:sz w:val="21"/>
          <w:szCs w:val="21"/>
        </w:rPr>
        <w:t xml:space="preserve"> </w:t>
      </w:r>
      <w:r>
        <w:rPr>
          <w:rFonts w:ascii="Arial" w:hAnsi="Arial" w:cs="Arial"/>
          <w:sz w:val="21"/>
          <w:szCs w:val="21"/>
        </w:rPr>
        <w:t>those</w:t>
      </w:r>
      <w:r>
        <w:rPr>
          <w:rFonts w:ascii="Arial" w:hAnsi="Arial" w:cs="Arial"/>
          <w:spacing w:val="-5"/>
          <w:sz w:val="21"/>
          <w:szCs w:val="21"/>
        </w:rPr>
        <w:t xml:space="preserve"> </w:t>
      </w:r>
      <w:r>
        <w:rPr>
          <w:rFonts w:ascii="Arial" w:hAnsi="Arial" w:cs="Arial"/>
          <w:sz w:val="21"/>
          <w:szCs w:val="21"/>
        </w:rPr>
        <w:t>who</w:t>
      </w:r>
      <w:r>
        <w:rPr>
          <w:rFonts w:ascii="Arial" w:hAnsi="Arial" w:cs="Arial"/>
          <w:spacing w:val="-5"/>
          <w:sz w:val="21"/>
          <w:szCs w:val="21"/>
        </w:rPr>
        <w:t xml:space="preserve"> </w:t>
      </w:r>
      <w:r>
        <w:rPr>
          <w:rFonts w:ascii="Arial" w:hAnsi="Arial" w:cs="Arial"/>
          <w:sz w:val="21"/>
          <w:szCs w:val="21"/>
        </w:rPr>
        <w:t>face</w:t>
      </w:r>
      <w:r>
        <w:rPr>
          <w:rFonts w:ascii="Arial" w:hAnsi="Arial" w:cs="Arial"/>
          <w:spacing w:val="-5"/>
          <w:sz w:val="21"/>
          <w:szCs w:val="21"/>
        </w:rPr>
        <w:t xml:space="preserve"> </w:t>
      </w:r>
      <w:r>
        <w:rPr>
          <w:rFonts w:ascii="Arial" w:hAnsi="Arial" w:cs="Arial"/>
          <w:sz w:val="21"/>
          <w:szCs w:val="21"/>
        </w:rPr>
        <w:t>personal</w:t>
      </w:r>
      <w:r>
        <w:rPr>
          <w:rFonts w:ascii="Arial" w:hAnsi="Arial" w:cs="Arial"/>
          <w:spacing w:val="-7"/>
          <w:sz w:val="21"/>
          <w:szCs w:val="21"/>
        </w:rPr>
        <w:t xml:space="preserve"> </w:t>
      </w:r>
      <w:r>
        <w:rPr>
          <w:rFonts w:ascii="Arial" w:hAnsi="Arial" w:cs="Arial"/>
          <w:sz w:val="21"/>
          <w:szCs w:val="21"/>
        </w:rPr>
        <w:t>and</w:t>
      </w:r>
      <w:r>
        <w:rPr>
          <w:rFonts w:ascii="Arial" w:hAnsi="Arial" w:cs="Arial"/>
          <w:spacing w:val="-5"/>
          <w:sz w:val="21"/>
          <w:szCs w:val="21"/>
        </w:rPr>
        <w:t xml:space="preserve"> </w:t>
      </w:r>
      <w:r>
        <w:rPr>
          <w:rFonts w:ascii="Arial" w:hAnsi="Arial" w:cs="Arial"/>
          <w:sz w:val="21"/>
          <w:szCs w:val="21"/>
        </w:rPr>
        <w:t>systemic</w:t>
      </w:r>
      <w:r>
        <w:rPr>
          <w:rFonts w:ascii="Arial" w:hAnsi="Arial" w:cs="Arial"/>
          <w:spacing w:val="-8"/>
          <w:sz w:val="21"/>
          <w:szCs w:val="21"/>
        </w:rPr>
        <w:t xml:space="preserve"> </w:t>
      </w:r>
      <w:r>
        <w:rPr>
          <w:rFonts w:ascii="Arial" w:hAnsi="Arial" w:cs="Arial"/>
          <w:spacing w:val="-3"/>
          <w:sz w:val="21"/>
          <w:szCs w:val="21"/>
        </w:rPr>
        <w:t xml:space="preserve">barriers </w:t>
      </w:r>
      <w:r>
        <w:rPr>
          <w:rFonts w:ascii="Arial" w:hAnsi="Arial" w:cs="Arial"/>
          <w:sz w:val="21"/>
          <w:szCs w:val="21"/>
        </w:rPr>
        <w:t xml:space="preserve">to access </w:t>
      </w:r>
      <w:r>
        <w:rPr>
          <w:rFonts w:ascii="Arial" w:hAnsi="Arial" w:cs="Arial"/>
          <w:spacing w:val="-3"/>
          <w:sz w:val="21"/>
          <w:szCs w:val="21"/>
        </w:rPr>
        <w:t xml:space="preserve">(including </w:t>
      </w:r>
      <w:r>
        <w:rPr>
          <w:rFonts w:ascii="Arial" w:hAnsi="Arial" w:cs="Arial"/>
          <w:sz w:val="21"/>
          <w:szCs w:val="21"/>
        </w:rPr>
        <w:t xml:space="preserve">financial issues, transportation barriers, and lack of ongoing supports to maintain treatment adherence). The risks of poorly coordinated care include </w:t>
      </w:r>
      <w:r>
        <w:rPr>
          <w:rFonts w:ascii="Arial" w:hAnsi="Arial" w:cs="Arial"/>
          <w:spacing w:val="-3"/>
          <w:sz w:val="21"/>
          <w:szCs w:val="21"/>
        </w:rPr>
        <w:t xml:space="preserve">exacerbation </w:t>
      </w:r>
      <w:r>
        <w:rPr>
          <w:rFonts w:ascii="Arial" w:hAnsi="Arial" w:cs="Arial"/>
          <w:sz w:val="21"/>
          <w:szCs w:val="21"/>
        </w:rPr>
        <w:t xml:space="preserve">of chronic medical conditions and negative </w:t>
      </w:r>
      <w:r>
        <w:rPr>
          <w:rFonts w:ascii="Arial" w:hAnsi="Arial" w:cs="Arial"/>
          <w:spacing w:val="-3"/>
          <w:sz w:val="21"/>
          <w:szCs w:val="21"/>
        </w:rPr>
        <w:t xml:space="preserve">behavioral </w:t>
      </w:r>
      <w:r>
        <w:rPr>
          <w:rFonts w:ascii="Arial" w:hAnsi="Arial" w:cs="Arial"/>
          <w:sz w:val="21"/>
          <w:szCs w:val="21"/>
        </w:rPr>
        <w:t xml:space="preserve">health outcomes. And those with SMI and chronic medical conditions face an increased risk of </w:t>
      </w:r>
      <w:r>
        <w:rPr>
          <w:rFonts w:ascii="Arial" w:hAnsi="Arial" w:cs="Arial"/>
          <w:spacing w:val="-3"/>
          <w:sz w:val="21"/>
          <w:szCs w:val="21"/>
        </w:rPr>
        <w:t>premature</w:t>
      </w:r>
      <w:r>
        <w:rPr>
          <w:rFonts w:ascii="Arial" w:hAnsi="Arial" w:cs="Arial"/>
          <w:spacing w:val="-23"/>
          <w:sz w:val="21"/>
          <w:szCs w:val="21"/>
        </w:rPr>
        <w:t xml:space="preserve"> </w:t>
      </w:r>
      <w:r>
        <w:rPr>
          <w:rFonts w:ascii="Arial" w:hAnsi="Arial" w:cs="Arial"/>
          <w:sz w:val="21"/>
          <w:szCs w:val="21"/>
        </w:rPr>
        <w:t>death.</w:t>
      </w:r>
    </w:p>
    <w:p w:rsidR="002C5025" w:rsidRDefault="002C5025">
      <w:pPr>
        <w:pStyle w:val="BodyText"/>
        <w:kinsoku w:val="0"/>
        <w:overflowPunct w:val="0"/>
        <w:spacing w:before="10"/>
        <w:rPr>
          <w:rFonts w:ascii="Arial" w:hAnsi="Arial" w:cs="Arial"/>
          <w:sz w:val="20"/>
          <w:szCs w:val="20"/>
        </w:rPr>
      </w:pPr>
    </w:p>
    <w:p w:rsidR="002C5025" w:rsidRDefault="002C5025">
      <w:pPr>
        <w:pStyle w:val="BodyText"/>
        <w:kinsoku w:val="0"/>
        <w:overflowPunct w:val="0"/>
        <w:ind w:left="139" w:right="367"/>
        <w:rPr>
          <w:rFonts w:ascii="Arial" w:hAnsi="Arial" w:cs="Arial"/>
          <w:spacing w:val="-3"/>
          <w:sz w:val="21"/>
          <w:szCs w:val="21"/>
        </w:rPr>
      </w:pPr>
      <w:r>
        <w:rPr>
          <w:rFonts w:ascii="Arial" w:hAnsi="Arial" w:cs="Arial"/>
          <w:sz w:val="21"/>
          <w:szCs w:val="21"/>
        </w:rPr>
        <w:t xml:space="preserve">An integrated approach in which primary care and behavioral health providers work together to address the medical and behavioral health needs of an </w:t>
      </w:r>
      <w:r>
        <w:rPr>
          <w:rFonts w:ascii="Arial" w:hAnsi="Arial" w:cs="Arial"/>
          <w:spacing w:val="-3"/>
          <w:sz w:val="21"/>
          <w:szCs w:val="21"/>
        </w:rPr>
        <w:t xml:space="preserve">individual </w:t>
      </w:r>
      <w:r>
        <w:rPr>
          <w:rFonts w:ascii="Arial" w:hAnsi="Arial" w:cs="Arial"/>
          <w:sz w:val="21"/>
          <w:szCs w:val="21"/>
        </w:rPr>
        <w:t xml:space="preserve">is therefore necessary to improve his or her overall health. With access to </w:t>
      </w:r>
      <w:r>
        <w:rPr>
          <w:rFonts w:ascii="Arial" w:hAnsi="Arial" w:cs="Arial"/>
          <w:spacing w:val="-3"/>
          <w:sz w:val="21"/>
          <w:szCs w:val="21"/>
        </w:rPr>
        <w:t xml:space="preserve">appropriate </w:t>
      </w:r>
      <w:r>
        <w:rPr>
          <w:rFonts w:ascii="Arial" w:hAnsi="Arial" w:cs="Arial"/>
          <w:sz w:val="21"/>
          <w:szCs w:val="21"/>
        </w:rPr>
        <w:t xml:space="preserve">care and support </w:t>
      </w:r>
      <w:r>
        <w:rPr>
          <w:rFonts w:ascii="Arial" w:hAnsi="Arial" w:cs="Arial"/>
          <w:spacing w:val="-3"/>
          <w:sz w:val="21"/>
          <w:szCs w:val="21"/>
        </w:rPr>
        <w:t xml:space="preserve">through well-designed  </w:t>
      </w:r>
      <w:r>
        <w:rPr>
          <w:rFonts w:ascii="Arial" w:hAnsi="Arial" w:cs="Arial"/>
          <w:sz w:val="21"/>
          <w:szCs w:val="21"/>
        </w:rPr>
        <w:t xml:space="preserve">systems of care, individuals with SMI conditions and/or chronic SUD are able to become </w:t>
      </w:r>
      <w:r>
        <w:rPr>
          <w:rFonts w:ascii="Arial" w:hAnsi="Arial" w:cs="Arial"/>
          <w:spacing w:val="-3"/>
          <w:sz w:val="21"/>
          <w:szCs w:val="21"/>
        </w:rPr>
        <w:t xml:space="preserve">contributing </w:t>
      </w:r>
      <w:r>
        <w:rPr>
          <w:rFonts w:ascii="Arial" w:hAnsi="Arial" w:cs="Arial"/>
          <w:sz w:val="21"/>
          <w:szCs w:val="21"/>
        </w:rPr>
        <w:t>members in their</w:t>
      </w:r>
      <w:r>
        <w:rPr>
          <w:rFonts w:ascii="Arial" w:hAnsi="Arial" w:cs="Arial"/>
          <w:spacing w:val="-7"/>
          <w:sz w:val="21"/>
          <w:szCs w:val="21"/>
        </w:rPr>
        <w:t xml:space="preserve"> </w:t>
      </w:r>
      <w:r>
        <w:rPr>
          <w:rFonts w:ascii="Arial" w:hAnsi="Arial" w:cs="Arial"/>
          <w:spacing w:val="-3"/>
          <w:sz w:val="21"/>
          <w:szCs w:val="21"/>
        </w:rPr>
        <w:t>community.</w:t>
      </w:r>
    </w:p>
    <w:p w:rsidR="002C5025" w:rsidRDefault="002C5025">
      <w:pPr>
        <w:pStyle w:val="BodyText"/>
        <w:kinsoku w:val="0"/>
        <w:overflowPunct w:val="0"/>
        <w:spacing w:before="1"/>
        <w:rPr>
          <w:rFonts w:ascii="Arial" w:hAnsi="Arial" w:cs="Arial"/>
          <w:sz w:val="21"/>
          <w:szCs w:val="21"/>
        </w:rPr>
      </w:pPr>
    </w:p>
    <w:p w:rsidR="002C5025" w:rsidRDefault="002C5025">
      <w:pPr>
        <w:pStyle w:val="BodyText"/>
        <w:kinsoku w:val="0"/>
        <w:overflowPunct w:val="0"/>
        <w:ind w:left="140" w:right="500" w:hanging="1"/>
        <w:rPr>
          <w:rFonts w:ascii="Arial" w:hAnsi="Arial" w:cs="Arial"/>
          <w:sz w:val="21"/>
          <w:szCs w:val="21"/>
        </w:rPr>
      </w:pPr>
      <w:r>
        <w:rPr>
          <w:rFonts w:ascii="Arial" w:hAnsi="Arial" w:cs="Arial"/>
          <w:sz w:val="21"/>
          <w:szCs w:val="21"/>
        </w:rPr>
        <w:t>Beacon has reviewed the Waiver document in extensive detail. In order to achieve the results EOHHS has outlined in the Waiver, Beacon recommends EOHHS be extremely clear and targeted in their requirements, as outlined in the following table:</w:t>
      </w:r>
    </w:p>
    <w:p w:rsidR="002C5025" w:rsidRDefault="002C5025">
      <w:pPr>
        <w:pStyle w:val="BodyText"/>
        <w:kinsoku w:val="0"/>
        <w:overflowPunct w:val="0"/>
        <w:rPr>
          <w:rFonts w:ascii="Arial" w:hAnsi="Arial" w:cs="Arial"/>
        </w:rPr>
      </w:pPr>
    </w:p>
    <w:tbl>
      <w:tblPr>
        <w:tblW w:w="0" w:type="auto"/>
        <w:tblInd w:w="131" w:type="dxa"/>
        <w:tblLayout w:type="fixed"/>
        <w:tblCellMar>
          <w:left w:w="0" w:type="dxa"/>
          <w:right w:w="0" w:type="dxa"/>
        </w:tblCellMar>
        <w:tblLook w:val="0000" w:firstRow="0" w:lastRow="0" w:firstColumn="0" w:lastColumn="0" w:noHBand="0" w:noVBand="0"/>
      </w:tblPr>
      <w:tblGrid>
        <w:gridCol w:w="2335"/>
        <w:gridCol w:w="7202"/>
      </w:tblGrid>
      <w:tr w:rsidR="002C5025">
        <w:trPr>
          <w:trHeight w:hRule="exact" w:val="468"/>
        </w:trPr>
        <w:tc>
          <w:tcPr>
            <w:tcW w:w="2335" w:type="dxa"/>
            <w:tcBorders>
              <w:top w:val="single" w:sz="4" w:space="0" w:color="7F7F7F"/>
              <w:left w:val="single" w:sz="4" w:space="0" w:color="7F7F7F"/>
              <w:bottom w:val="single" w:sz="4" w:space="0" w:color="7F7F7F"/>
              <w:right w:val="single" w:sz="4" w:space="0" w:color="7F7F7F"/>
            </w:tcBorders>
            <w:shd w:val="clear" w:color="auto" w:fill="0083CE"/>
          </w:tcPr>
          <w:p w:rsidR="002C5025" w:rsidRDefault="002C5025">
            <w:pPr>
              <w:pStyle w:val="TableParagraph"/>
              <w:kinsoku w:val="0"/>
              <w:overflowPunct w:val="0"/>
              <w:ind w:left="801" w:right="128" w:hanging="413"/>
              <w:rPr>
                <w:rFonts w:ascii="Times New Roman" w:hAnsi="Times New Roman" w:cs="Times New Roman"/>
              </w:rPr>
            </w:pPr>
            <w:r>
              <w:rPr>
                <w:b/>
                <w:bCs/>
                <w:color w:val="FFFFFF"/>
                <w:sz w:val="20"/>
                <w:szCs w:val="20"/>
              </w:rPr>
              <w:t>Relevant Waiver Section</w:t>
            </w:r>
          </w:p>
        </w:tc>
        <w:tc>
          <w:tcPr>
            <w:tcW w:w="7202" w:type="dxa"/>
            <w:tcBorders>
              <w:top w:val="single" w:sz="4" w:space="0" w:color="7F7F7F"/>
              <w:left w:val="single" w:sz="4" w:space="0" w:color="7F7F7F"/>
              <w:bottom w:val="single" w:sz="4" w:space="0" w:color="7F7F7F"/>
              <w:right w:val="single" w:sz="4" w:space="0" w:color="7F7F7F"/>
            </w:tcBorders>
            <w:shd w:val="clear" w:color="auto" w:fill="0083CE"/>
          </w:tcPr>
          <w:p w:rsidR="002C5025" w:rsidRDefault="002C5025">
            <w:pPr>
              <w:pStyle w:val="TableParagraph"/>
              <w:kinsoku w:val="0"/>
              <w:overflowPunct w:val="0"/>
              <w:spacing w:before="107"/>
              <w:ind w:left="2708" w:right="2708"/>
              <w:jc w:val="center"/>
              <w:rPr>
                <w:rFonts w:ascii="Times New Roman" w:hAnsi="Times New Roman" w:cs="Times New Roman"/>
              </w:rPr>
            </w:pPr>
            <w:r>
              <w:rPr>
                <w:b/>
                <w:bCs/>
                <w:color w:val="FFFFFF"/>
                <w:sz w:val="20"/>
                <w:szCs w:val="20"/>
              </w:rPr>
              <w:t>Beacon Response</w:t>
            </w:r>
          </w:p>
        </w:tc>
      </w:tr>
      <w:tr w:rsidR="002C5025">
        <w:trPr>
          <w:trHeight w:hRule="exact" w:val="2083"/>
        </w:trPr>
        <w:tc>
          <w:tcPr>
            <w:tcW w:w="2335" w:type="dxa"/>
            <w:tcBorders>
              <w:top w:val="single" w:sz="4" w:space="0" w:color="7F7F7F"/>
              <w:left w:val="single" w:sz="4" w:space="0" w:color="7F7F7F"/>
              <w:bottom w:val="single" w:sz="4" w:space="0" w:color="7F7F7F"/>
              <w:right w:val="single" w:sz="4" w:space="0" w:color="7F7F7F"/>
            </w:tcBorders>
          </w:tcPr>
          <w:p w:rsidR="002C5025" w:rsidRDefault="002C5025">
            <w:pPr>
              <w:pStyle w:val="TableParagraph"/>
              <w:kinsoku w:val="0"/>
              <w:overflowPunct w:val="0"/>
              <w:spacing w:line="222" w:lineRule="exact"/>
              <w:ind w:right="128"/>
              <w:rPr>
                <w:rFonts w:ascii="Times New Roman" w:hAnsi="Times New Roman" w:cs="Times New Roman"/>
              </w:rPr>
            </w:pPr>
            <w:r>
              <w:rPr>
                <w:sz w:val="20"/>
                <w:szCs w:val="20"/>
              </w:rPr>
              <w:t>Overall Comment</w:t>
            </w:r>
          </w:p>
        </w:tc>
        <w:tc>
          <w:tcPr>
            <w:tcW w:w="7202" w:type="dxa"/>
            <w:tcBorders>
              <w:top w:val="single" w:sz="4" w:space="0" w:color="7F7F7F"/>
              <w:left w:val="single" w:sz="4" w:space="0" w:color="7F7F7F"/>
              <w:bottom w:val="single" w:sz="4" w:space="0" w:color="7F7F7F"/>
              <w:right w:val="single" w:sz="4" w:space="0" w:color="7F7F7F"/>
            </w:tcBorders>
          </w:tcPr>
          <w:p w:rsidR="002C5025" w:rsidRDefault="002C5025">
            <w:pPr>
              <w:pStyle w:val="TableParagraph"/>
              <w:kinsoku w:val="0"/>
              <w:overflowPunct w:val="0"/>
              <w:ind w:right="140"/>
              <w:rPr>
                <w:rFonts w:ascii="Times New Roman" w:hAnsi="Times New Roman" w:cs="Times New Roman"/>
              </w:rPr>
            </w:pPr>
            <w:r>
              <w:rPr>
                <w:sz w:val="20"/>
                <w:szCs w:val="20"/>
              </w:rPr>
              <w:t>At its core, the ESP system has expanded the core definition of emergency services from assessment and disposition (“hospital screening”), to full-service crisis assessment, intervention, and stabilization, particularly in a community- based setting. While some circumstances may necessitate a behavioral health crisis evaluation in an emergency department (ED), there are many times when an individual can best be served by having a crisis evaluation conducted at a community-based location, such as his or her primary care clinician’s office. While we acknowledge a need for a potential redesign to contemporize this critical safety net service, it is still an important component to not only</w:t>
            </w:r>
          </w:p>
        </w:tc>
      </w:tr>
    </w:tbl>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FB027C">
      <w:pPr>
        <w:pStyle w:val="BodyText"/>
        <w:kinsoku w:val="0"/>
        <w:overflowPunct w:val="0"/>
        <w:spacing w:before="10"/>
        <w:rPr>
          <w:rFonts w:ascii="Arial" w:hAnsi="Arial" w:cs="Arial"/>
          <w:sz w:val="18"/>
          <w:szCs w:val="18"/>
        </w:rPr>
      </w:pPr>
      <w:r>
        <w:rPr>
          <w:noProof/>
        </w:rPr>
        <mc:AlternateContent>
          <mc:Choice Requires="wps">
            <w:drawing>
              <wp:anchor distT="0" distB="0" distL="0" distR="0" simplePos="0" relativeHeight="251517440" behindDoc="0" locked="0" layoutInCell="0" allowOverlap="1">
                <wp:simplePos x="0" y="0"/>
                <wp:positionH relativeFrom="page">
                  <wp:posOffset>895350</wp:posOffset>
                </wp:positionH>
                <wp:positionV relativeFrom="paragraph">
                  <wp:posOffset>166370</wp:posOffset>
                </wp:positionV>
                <wp:extent cx="5982335" cy="12700"/>
                <wp:effectExtent l="0" t="0" r="0" b="0"/>
                <wp:wrapTopAndBottom/>
                <wp:docPr id="868" name="Freeform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2335" cy="12700"/>
                        </a:xfrm>
                        <a:custGeom>
                          <a:avLst/>
                          <a:gdLst>
                            <a:gd name="T0" fmla="*/ 0 w 9421"/>
                            <a:gd name="T1" fmla="*/ 0 h 20"/>
                            <a:gd name="T2" fmla="*/ 9421 w 9421"/>
                            <a:gd name="T3" fmla="*/ 0 h 20"/>
                          </a:gdLst>
                          <a:ahLst/>
                          <a:cxnLst>
                            <a:cxn ang="0">
                              <a:pos x="T0" y="T1"/>
                            </a:cxn>
                            <a:cxn ang="0">
                              <a:pos x="T2" y="T3"/>
                            </a:cxn>
                          </a:cxnLst>
                          <a:rect l="0" t="0" r="r" b="b"/>
                          <a:pathLst>
                            <a:path w="9421" h="20">
                              <a:moveTo>
                                <a:pt x="0" y="0"/>
                              </a:moveTo>
                              <a:lnTo>
                                <a:pt x="9421" y="0"/>
                              </a:lnTo>
                            </a:path>
                          </a:pathLst>
                        </a:custGeom>
                        <a:noFill/>
                        <a:ln w="7365">
                          <a:solidFill>
                            <a:srgbClr val="85CCE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57" o:spid="_x0000_s1026" style="position:absolute;z-index:251517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0.5pt,13.1pt,541.55pt,13.1pt" coordsize="94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" o:allowincell="f" filled="f" strokecolor="#85cced" strokeweight=".20458mm">
                <v:path arrowok="t" o:connecttype="custom" o:connectlocs="0,0;5982335,0" o:connectangles="0,0"/>
                <w10:wrap type="topAndBottom" anchorx="page"/>
              </v:polyline>
            </w:pict>
          </mc:Fallback>
        </mc:AlternateContent>
      </w:r>
    </w:p>
    <w:p w:rsidR="002C5025" w:rsidRDefault="002C5025">
      <w:pPr>
        <w:pStyle w:val="BodyText"/>
        <w:tabs>
          <w:tab w:val="right" w:pos="9500"/>
        </w:tabs>
        <w:kinsoku w:val="0"/>
        <w:overflowPunct w:val="0"/>
        <w:spacing w:before="46"/>
        <w:ind w:left="140"/>
        <w:rPr>
          <w:rFonts w:ascii="Arial" w:hAnsi="Arial" w:cs="Arial"/>
          <w:sz w:val="20"/>
          <w:szCs w:val="20"/>
        </w:rPr>
      </w:pPr>
      <w:r>
        <w:rPr>
          <w:rFonts w:ascii="Arial" w:hAnsi="Arial" w:cs="Arial"/>
          <w:sz w:val="20"/>
          <w:szCs w:val="20"/>
        </w:rPr>
        <w:t>MassHealth Section 1115</w:t>
      </w:r>
      <w:r>
        <w:rPr>
          <w:rFonts w:ascii="Arial" w:hAnsi="Arial" w:cs="Arial"/>
          <w:spacing w:val="-7"/>
          <w:sz w:val="20"/>
          <w:szCs w:val="20"/>
        </w:rPr>
        <w:t xml:space="preserve"> </w:t>
      </w:r>
      <w:r>
        <w:rPr>
          <w:rFonts w:ascii="Arial" w:hAnsi="Arial" w:cs="Arial"/>
          <w:sz w:val="20"/>
          <w:szCs w:val="20"/>
        </w:rPr>
        <w:t>Demonstration</w:t>
      </w:r>
      <w:r>
        <w:rPr>
          <w:rFonts w:ascii="Arial" w:hAnsi="Arial" w:cs="Arial"/>
          <w:spacing w:val="-4"/>
          <w:sz w:val="20"/>
          <w:szCs w:val="20"/>
        </w:rPr>
        <w:t xml:space="preserve"> </w:t>
      </w:r>
      <w:r>
        <w:rPr>
          <w:rFonts w:ascii="Arial" w:hAnsi="Arial" w:cs="Arial"/>
          <w:sz w:val="20"/>
          <w:szCs w:val="20"/>
        </w:rPr>
        <w:t>Comments</w:t>
      </w:r>
      <w:r>
        <w:rPr>
          <w:rFonts w:ascii="Arial" w:hAnsi="Arial" w:cs="Arial"/>
          <w:sz w:val="20"/>
          <w:szCs w:val="20"/>
        </w:rPr>
        <w:tab/>
        <w:t>1</w:t>
      </w:r>
    </w:p>
    <w:p w:rsidR="002C5025" w:rsidRDefault="002C5025">
      <w:pPr>
        <w:pStyle w:val="BodyText"/>
        <w:tabs>
          <w:tab w:val="right" w:pos="9500"/>
        </w:tabs>
        <w:kinsoku w:val="0"/>
        <w:overflowPunct w:val="0"/>
        <w:spacing w:before="46"/>
        <w:ind w:left="140"/>
        <w:rPr>
          <w:rFonts w:ascii="Arial" w:hAnsi="Arial" w:cs="Arial"/>
          <w:sz w:val="20"/>
          <w:szCs w:val="20"/>
        </w:rPr>
        <w:sectPr w:rsidR="002C5025">
          <w:pgSz w:w="12240" w:h="15840"/>
          <w:pgMar w:top="720" w:right="1140" w:bottom="280" w:left="1300" w:header="720" w:footer="720" w:gutter="0"/>
          <w:cols w:space="720" w:equalWidth="0">
            <w:col w:w="9800"/>
          </w:cols>
          <w:noEndnote/>
        </w:sectPr>
      </w:pPr>
    </w:p>
    <w:p w:rsidR="002C5025" w:rsidRDefault="00FB027C">
      <w:pPr>
        <w:pStyle w:val="BodyText"/>
        <w:kinsoku w:val="0"/>
        <w:overflowPunct w:val="0"/>
        <w:ind w:left="130"/>
        <w:rPr>
          <w:rFonts w:ascii="Arial" w:hAnsi="Arial" w:cs="Arial"/>
          <w:sz w:val="20"/>
          <w:szCs w:val="20"/>
        </w:rPr>
      </w:pPr>
      <w:r>
        <w:rPr>
          <w:rFonts w:ascii="Arial" w:hAnsi="Arial" w:cs="Arial"/>
          <w:noProof/>
          <w:sz w:val="20"/>
          <w:szCs w:val="20"/>
        </w:rPr>
        <w:lastRenderedPageBreak/>
        <mc:AlternateContent>
          <mc:Choice Requires="wpg">
            <w:drawing>
              <wp:inline distT="0" distB="0" distL="0" distR="0">
                <wp:extent cx="6068060" cy="369570"/>
                <wp:effectExtent l="0" t="0" r="0" b="1905"/>
                <wp:docPr id="862"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369570"/>
                          <a:chOff x="0" y="0"/>
                          <a:chExt cx="9556" cy="582"/>
                        </a:xfrm>
                      </wpg:grpSpPr>
                      <pic:pic xmlns:pic="http://schemas.openxmlformats.org/drawingml/2006/picture">
                        <pic:nvPicPr>
                          <pic:cNvPr id="863" name="Picture 159"/>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10" y="0"/>
                            <a:ext cx="19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64" name="Freeform 160"/>
                        <wps:cNvSpPr>
                          <a:spLocks/>
                        </wps:cNvSpPr>
                        <wps:spPr bwMode="auto">
                          <a:xfrm>
                            <a:off x="10" y="571"/>
                            <a:ext cx="2336" cy="20"/>
                          </a:xfrm>
                          <a:custGeom>
                            <a:avLst/>
                            <a:gdLst>
                              <a:gd name="T0" fmla="*/ 0 w 2336"/>
                              <a:gd name="T1" fmla="*/ 0 h 20"/>
                              <a:gd name="T2" fmla="*/ 2335 w 2336"/>
                              <a:gd name="T3" fmla="*/ 0 h 20"/>
                            </a:gdLst>
                            <a:ahLst/>
                            <a:cxnLst>
                              <a:cxn ang="0">
                                <a:pos x="T0" y="T1"/>
                              </a:cxn>
                              <a:cxn ang="0">
                                <a:pos x="T2" y="T3"/>
                              </a:cxn>
                            </a:cxnLst>
                            <a:rect l="0" t="0" r="r" b="b"/>
                            <a:pathLst>
                              <a:path w="2336" h="20">
                                <a:moveTo>
                                  <a:pt x="0" y="0"/>
                                </a:moveTo>
                                <a:lnTo>
                                  <a:pt x="2335" y="0"/>
                                </a:lnTo>
                              </a:path>
                            </a:pathLst>
                          </a:custGeom>
                          <a:noFill/>
                          <a:ln w="12192">
                            <a:solidFill>
                              <a:srgbClr val="41B6E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5" name="Freeform 161"/>
                        <wps:cNvSpPr>
                          <a:spLocks/>
                        </wps:cNvSpPr>
                        <wps:spPr bwMode="auto">
                          <a:xfrm>
                            <a:off x="2345" y="571"/>
                            <a:ext cx="20" cy="20"/>
                          </a:xfrm>
                          <a:custGeom>
                            <a:avLst/>
                            <a:gdLst>
                              <a:gd name="T0" fmla="*/ 0 w 20"/>
                              <a:gd name="T1" fmla="*/ 0 h 20"/>
                              <a:gd name="T2" fmla="*/ 19 w 20"/>
                              <a:gd name="T3" fmla="*/ 0 h 20"/>
                            </a:gdLst>
                            <a:ahLst/>
                            <a:cxnLst>
                              <a:cxn ang="0">
                                <a:pos x="T0" y="T1"/>
                              </a:cxn>
                              <a:cxn ang="0">
                                <a:pos x="T2" y="T3"/>
                              </a:cxn>
                            </a:cxnLst>
                            <a:rect l="0" t="0" r="r" b="b"/>
                            <a:pathLst>
                              <a:path w="20" h="20">
                                <a:moveTo>
                                  <a:pt x="0" y="0"/>
                                </a:moveTo>
                                <a:lnTo>
                                  <a:pt x="19" y="0"/>
                                </a:lnTo>
                              </a:path>
                            </a:pathLst>
                          </a:custGeom>
                          <a:noFill/>
                          <a:ln w="12192">
                            <a:solidFill>
                              <a:srgbClr val="41B6E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6" name="Freeform 162"/>
                        <wps:cNvSpPr>
                          <a:spLocks/>
                        </wps:cNvSpPr>
                        <wps:spPr bwMode="auto">
                          <a:xfrm>
                            <a:off x="2364" y="571"/>
                            <a:ext cx="7181" cy="20"/>
                          </a:xfrm>
                          <a:custGeom>
                            <a:avLst/>
                            <a:gdLst>
                              <a:gd name="T0" fmla="*/ 0 w 7181"/>
                              <a:gd name="T1" fmla="*/ 0 h 20"/>
                              <a:gd name="T2" fmla="*/ 7180 w 7181"/>
                              <a:gd name="T3" fmla="*/ 0 h 20"/>
                            </a:gdLst>
                            <a:ahLst/>
                            <a:cxnLst>
                              <a:cxn ang="0">
                                <a:pos x="T0" y="T1"/>
                              </a:cxn>
                              <a:cxn ang="0">
                                <a:pos x="T2" y="T3"/>
                              </a:cxn>
                            </a:cxnLst>
                            <a:rect l="0" t="0" r="r" b="b"/>
                            <a:pathLst>
                              <a:path w="7181" h="20">
                                <a:moveTo>
                                  <a:pt x="0" y="0"/>
                                </a:moveTo>
                                <a:lnTo>
                                  <a:pt x="7180" y="0"/>
                                </a:lnTo>
                              </a:path>
                            </a:pathLst>
                          </a:custGeom>
                          <a:noFill/>
                          <a:ln w="12192">
                            <a:solidFill>
                              <a:srgbClr val="41B6E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7" name="Text Box 163"/>
                        <wps:cNvSpPr txBox="1">
                          <a:spLocks noChangeArrowheads="1"/>
                        </wps:cNvSpPr>
                        <wps:spPr bwMode="auto">
                          <a:xfrm>
                            <a:off x="0" y="0"/>
                            <a:ext cx="9555" cy="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pStyle w:val="BodyText"/>
                                <w:kinsoku w:val="0"/>
                                <w:overflowPunct w:val="0"/>
                                <w:spacing w:before="88" w:line="226" w:lineRule="exact"/>
                                <w:ind w:left="5128" w:firstLine="1212"/>
                                <w:rPr>
                                  <w:rFonts w:ascii="Arial" w:hAnsi="Arial" w:cs="Arial"/>
                                  <w:sz w:val="20"/>
                                  <w:szCs w:val="20"/>
                                </w:rPr>
                              </w:pPr>
                              <w:r>
                                <w:rPr>
                                  <w:rFonts w:ascii="Arial" w:hAnsi="Arial" w:cs="Arial"/>
                                  <w:sz w:val="20"/>
                                  <w:szCs w:val="20"/>
                                </w:rPr>
                                <w:t>Commonwealth of Massachusetts Executive Office of Health and Human Services</w:t>
                              </w:r>
                            </w:p>
                          </w:txbxContent>
                        </wps:txbx>
                        <wps:bodyPr rot="0" vert="horz" wrap="square" lIns="0" tIns="0" rIns="0" bIns="0" anchor="t" anchorCtr="0" upright="1">
                          <a:noAutofit/>
                        </wps:bodyPr>
                      </wps:wsp>
                    </wpg:wgp>
                  </a:graphicData>
                </a:graphic>
              </wp:inline>
            </w:drawing>
          </mc:Choice>
          <mc:Fallback>
            <w:pict>
              <v:group id="Group 158" o:spid="_x0000_s1089" style="width:477.8pt;height:29.1pt;mso-position-horizontal-relative:char;mso-position-vertical-relative:line" coordsize="9556,5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">
                <v:shape id="Picture 159" o:spid="_x0000_s1090" type="#_x0000_t75" style="position:absolute;left:10;width:1920;height:5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pOIrEAAAA3AAAAA8AAABkcnMvZG93bnJldi54bWxEj91qwkAUhO8LvsNyhN7VjS1GG7MRK7T2&#10;Tox9gEP25AezZ2N21ejTu4VCL4eZ+YZJV4NpxYV611hWMJ1EIIgLqxuuFPwcPl8WIJxH1thaJgU3&#10;crDKRk8pJtpeeU+X3FciQNglqKD2vkukdEVNBt3EdsTBK21v0AfZV1L3eA1w08rXKIqlwYbDQo0d&#10;bWoqjvnZKIjf83Z9+yi+Trt8vr1bLg80K5V6Hg/rJQhPg/8P/7W/tYJF/Aa/Z8IRkN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PpOIrEAAAA3AAAAA8AAAAAAAAAAAAAAAAA&#10;nwIAAGRycy9kb3ducmV2LnhtbFBLBQYAAAAABAAEAPcAAACQAwAAAAA=&#10;">
                  <v:imagedata r:id="rId127" o:title=""/>
                </v:shape>
                <v:shape id="Freeform 160" o:spid="_x0000_s1091" style="position:absolute;left:10;top:571;width:2336;height:20;visibility:visible;mso-wrap-style:square;v-text-anchor:top" coordsize="233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LBWsQA&#10;AADcAAAADwAAAGRycy9kb3ducmV2LnhtbESPQWvCQBSE74L/YXlCb7pRioTUVapW6EWo0d4f2ddk&#10;2+zbsLtN0n/fLRQ8DjPzDbPZjbYVPflgHCtYLjIQxJXThmsFt+tpnoMIEVlj65gU/FCA3XY62WCh&#10;3cAX6stYiwThUKCCJsaukDJUDVkMC9cRJ+/DeYsxSV9L7XFIcNvKVZatpUXDaaHBjg4NVV/lt1Vg&#10;8j4M55f369v50/Q4+NP+KJdKPczG5ycQkcZ4D/+3X7WCfP0If2fSEZ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ywVrEAAAA3AAAAA8AAAAAAAAAAAAAAAAAmAIAAGRycy9k&#10;b3ducmV2LnhtbFBLBQYAAAAABAAEAPUAAACJAwAAAAA=&#10;" path="m,l2335,e" filled="f" strokecolor="#41b6e6" strokeweight=".96pt">
                  <v:path arrowok="t" o:connecttype="custom" o:connectlocs="0,0;2335,0" o:connectangles="0,0"/>
                </v:shape>
                <v:shape id="Freeform 161" o:spid="_x0000_s1092" style="position:absolute;left:2345;top:571;width:20;height:20;visibility:visible;mso-wrap-style:square;v-text-anchor:top" coordsize="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H8K8QA&#10;AADcAAAADwAAAGRycy9kb3ducmV2LnhtbESPQYvCMBSE7wv+h/AEb2uqUpFqFBEEETxsVxRvz+bZ&#10;FpuX0kSt++uNsOBxmJlvmNmiNZW4U+NKywoG/QgEcWZ1ybmC/e/6ewLCeWSNlWVS8CQHi3nna4aJ&#10;tg/+oXvqcxEg7BJUUHhfJ1K6rCCDrm9r4uBdbGPQB9nkUjf4CHBTyWEUjaXBksNCgTWtCsqu6c0o&#10;+Buksdych6ctHQ9xme13Ix1rpXrddjkF4an1n/B/e6MVTMYxvM+EIyD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x/CvEAAAA3AAAAA8AAAAAAAAAAAAAAAAAmAIAAGRycy9k&#10;b3ducmV2LnhtbFBLBQYAAAAABAAEAPUAAACJAwAAAAA=&#10;" path="m,l19,e" filled="f" strokecolor="#41b6e6" strokeweight=".96pt">
                  <v:path arrowok="t" o:connecttype="custom" o:connectlocs="0,0;19,0" o:connectangles="0,0"/>
                </v:shape>
                <v:shape id="Freeform 162" o:spid="_x0000_s1093" style="position:absolute;left:2364;top:571;width:7181;height:20;visibility:visible;mso-wrap-style:square;v-text-anchor:top" coordsize="71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8NbMEA&#10;AADcAAAADwAAAGRycy9kb3ducmV2LnhtbESPQYvCMBSE78L+h/AW9iLrq4JFukYRQejV6sXbo3m2&#10;ZZuXkmS1/vuNIHgcZuYbZr0dba9u7EPnRMN8loFiqZ3ppNFwPh2+V6BCJDHUO2ENDw6w3XxM1lQY&#10;d5cj36rYqASRUJCGNsahQAx1y5bCzA0sybs6bykm6Rs0nu4JbntcZFmOljpJCy0NvG+5/q3+rAa7&#10;Lzu/KHFXlcvl44KEw/R41frrc9z9gIo8xnf41S6NhlWew/NMOgK4+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9vDWzBAAAA3AAAAA8AAAAAAAAAAAAAAAAAmAIAAGRycy9kb3du&#10;cmV2LnhtbFBLBQYAAAAABAAEAPUAAACGAwAAAAA=&#10;" path="m,l7180,e" filled="f" strokecolor="#41b6e6" strokeweight=".96pt">
                  <v:path arrowok="t" o:connecttype="custom" o:connectlocs="0,0;7180,0" o:connectangles="0,0"/>
                </v:shape>
                <v:shape id="Text Box 163" o:spid="_x0000_s1094" type="#_x0000_t202" style="position:absolute;width:9555;height: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d6lcUA&#10;AADcAAAADwAAAGRycy9kb3ducmV2LnhtbESPQWvCQBSE70L/w/IKvelGD1Gjq4hYKBSkMR56fM0+&#10;k8Xs25jdavrvu4LgcZiZb5jlureNuFLnjWMF41ECgrh02nCl4Fi8D2cgfEDW2DgmBX/kYb16GSwx&#10;0+7GOV0PoRIRwj5DBXUIbSalL2uy6EeuJY7eyXUWQ5RdJXWHtwi3jZwkSSotGo4LNba0rak8H36t&#10;gs035ztz2f985afcFMU84c/0rNTba79ZgAjUh2f40f7QCmbpFO5n4h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F3qVxQAAANwAAAAPAAAAAAAAAAAAAAAAAJgCAABkcnMv&#10;ZG93bnJldi54bWxQSwUGAAAAAAQABAD1AAAAigMAAAAA&#10;" filled="f" stroked="f">
                  <v:textbox inset="0,0,0,0">
                    <w:txbxContent>
                      <w:p w:rsidR="007B2B7B" w:rsidRDefault="007B2B7B">
                        <w:pPr>
                          <w:pStyle w:val="BodyText"/>
                          <w:kinsoku w:val="0"/>
                          <w:overflowPunct w:val="0"/>
                          <w:spacing w:before="88" w:line="226" w:lineRule="exact"/>
                          <w:ind w:left="5128" w:firstLine="1212"/>
                          <w:rPr>
                            <w:rFonts w:ascii="Arial" w:hAnsi="Arial" w:cs="Arial"/>
                            <w:sz w:val="20"/>
                            <w:szCs w:val="20"/>
                          </w:rPr>
                        </w:pPr>
                        <w:r>
                          <w:rPr>
                            <w:rFonts w:ascii="Arial" w:hAnsi="Arial" w:cs="Arial"/>
                            <w:sz w:val="20"/>
                            <w:szCs w:val="20"/>
                          </w:rPr>
                          <w:t>Commonwealth of Massachusetts Executive Office of Health and Human Services</w:t>
                        </w:r>
                      </w:p>
                    </w:txbxContent>
                  </v:textbox>
                </v:shape>
                <w10:anchorlock/>
              </v:group>
            </w:pict>
          </mc:Fallback>
        </mc:AlternateContent>
      </w:r>
    </w:p>
    <w:p w:rsidR="002C5025" w:rsidRDefault="002C5025">
      <w:pPr>
        <w:pStyle w:val="BodyText"/>
        <w:kinsoku w:val="0"/>
        <w:overflowPunct w:val="0"/>
        <w:spacing w:before="10"/>
        <w:rPr>
          <w:rFonts w:ascii="Arial" w:hAnsi="Arial" w:cs="Arial"/>
          <w:sz w:val="17"/>
          <w:szCs w:val="17"/>
        </w:rPr>
      </w:pPr>
    </w:p>
    <w:tbl>
      <w:tblPr>
        <w:tblW w:w="0" w:type="auto"/>
        <w:tblInd w:w="138" w:type="dxa"/>
        <w:tblLayout w:type="fixed"/>
        <w:tblCellMar>
          <w:left w:w="0" w:type="dxa"/>
          <w:right w:w="0" w:type="dxa"/>
        </w:tblCellMar>
        <w:tblLook w:val="0000" w:firstRow="0" w:lastRow="0" w:firstColumn="0" w:lastColumn="0" w:noHBand="0" w:noVBand="0"/>
      </w:tblPr>
      <w:tblGrid>
        <w:gridCol w:w="2335"/>
        <w:gridCol w:w="7200"/>
      </w:tblGrid>
      <w:tr w:rsidR="002C5025">
        <w:trPr>
          <w:trHeight w:hRule="exact" w:val="478"/>
        </w:trPr>
        <w:tc>
          <w:tcPr>
            <w:tcW w:w="2335" w:type="dxa"/>
            <w:tcBorders>
              <w:top w:val="single" w:sz="4" w:space="0" w:color="7F7F7F"/>
              <w:left w:val="single" w:sz="4" w:space="0" w:color="7F7F7F"/>
              <w:bottom w:val="single" w:sz="4" w:space="0" w:color="7F7F7F"/>
              <w:right w:val="single" w:sz="4" w:space="0" w:color="7F7F7F"/>
            </w:tcBorders>
            <w:shd w:val="clear" w:color="auto" w:fill="0083CE"/>
          </w:tcPr>
          <w:p w:rsidR="002C5025" w:rsidRDefault="002C5025">
            <w:pPr>
              <w:pStyle w:val="TableParagraph"/>
              <w:kinsoku w:val="0"/>
              <w:overflowPunct w:val="0"/>
              <w:ind w:left="801" w:right="128" w:hanging="413"/>
              <w:rPr>
                <w:rFonts w:ascii="Times New Roman" w:hAnsi="Times New Roman" w:cs="Times New Roman"/>
              </w:rPr>
            </w:pPr>
            <w:r>
              <w:rPr>
                <w:b/>
                <w:bCs/>
                <w:color w:val="FFFFFF"/>
                <w:sz w:val="20"/>
                <w:szCs w:val="20"/>
              </w:rPr>
              <w:t>Relevant Waiver Section</w:t>
            </w:r>
          </w:p>
        </w:tc>
        <w:tc>
          <w:tcPr>
            <w:tcW w:w="7200" w:type="dxa"/>
            <w:tcBorders>
              <w:top w:val="single" w:sz="4" w:space="0" w:color="7F7F7F"/>
              <w:left w:val="single" w:sz="4" w:space="0" w:color="7F7F7F"/>
              <w:bottom w:val="single" w:sz="4" w:space="0" w:color="7F7F7F"/>
              <w:right w:val="single" w:sz="4" w:space="0" w:color="7F7F7F"/>
            </w:tcBorders>
            <w:shd w:val="clear" w:color="auto" w:fill="0083CE"/>
          </w:tcPr>
          <w:p w:rsidR="002C5025" w:rsidRDefault="002C5025">
            <w:pPr>
              <w:pStyle w:val="TableParagraph"/>
              <w:kinsoku w:val="0"/>
              <w:overflowPunct w:val="0"/>
              <w:spacing w:before="107"/>
              <w:ind w:left="2708" w:right="2706"/>
              <w:jc w:val="center"/>
              <w:rPr>
                <w:rFonts w:ascii="Times New Roman" w:hAnsi="Times New Roman" w:cs="Times New Roman"/>
              </w:rPr>
            </w:pPr>
            <w:r>
              <w:rPr>
                <w:b/>
                <w:bCs/>
                <w:color w:val="FFFFFF"/>
                <w:sz w:val="20"/>
                <w:szCs w:val="20"/>
              </w:rPr>
              <w:t>Beacon Response</w:t>
            </w:r>
          </w:p>
        </w:tc>
      </w:tr>
      <w:tr w:rsidR="002C5025">
        <w:trPr>
          <w:trHeight w:hRule="exact" w:val="468"/>
        </w:trPr>
        <w:tc>
          <w:tcPr>
            <w:tcW w:w="2335" w:type="dxa"/>
            <w:tcBorders>
              <w:top w:val="single" w:sz="4" w:space="0" w:color="7F7F7F"/>
              <w:left w:val="single" w:sz="4" w:space="0" w:color="7F7F7F"/>
              <w:bottom w:val="single" w:sz="4" w:space="0" w:color="7F7F7F"/>
              <w:right w:val="single" w:sz="4" w:space="0" w:color="7F7F7F"/>
            </w:tcBorders>
          </w:tcPr>
          <w:p w:rsidR="002C5025" w:rsidRDefault="002C5025"/>
        </w:tc>
        <w:tc>
          <w:tcPr>
            <w:tcW w:w="7200" w:type="dxa"/>
            <w:tcBorders>
              <w:top w:val="single" w:sz="4" w:space="0" w:color="7F7F7F"/>
              <w:left w:val="single" w:sz="4" w:space="0" w:color="7F7F7F"/>
              <w:bottom w:val="single" w:sz="4" w:space="0" w:color="7F7F7F"/>
              <w:right w:val="single" w:sz="4" w:space="0" w:color="7F7F7F"/>
            </w:tcBorders>
          </w:tcPr>
          <w:p w:rsidR="002C5025" w:rsidRDefault="002C5025">
            <w:pPr>
              <w:pStyle w:val="TableParagraph"/>
              <w:kinsoku w:val="0"/>
              <w:overflowPunct w:val="0"/>
              <w:ind w:right="595"/>
              <w:rPr>
                <w:rFonts w:ascii="Times New Roman" w:hAnsi="Times New Roman" w:cs="Times New Roman"/>
              </w:rPr>
            </w:pPr>
            <w:r>
              <w:rPr>
                <w:sz w:val="20"/>
                <w:szCs w:val="20"/>
              </w:rPr>
              <w:t>primary care clinicians, but also the system of care in Massachusetts and should therefore be referenced prominently in the Waiver document.</w:t>
            </w:r>
          </w:p>
        </w:tc>
      </w:tr>
      <w:tr w:rsidR="002C5025">
        <w:trPr>
          <w:trHeight w:hRule="exact" w:val="11282"/>
        </w:trPr>
        <w:tc>
          <w:tcPr>
            <w:tcW w:w="2335" w:type="dxa"/>
            <w:tcBorders>
              <w:top w:val="single" w:sz="4" w:space="0" w:color="7F7F7F"/>
              <w:left w:val="single" w:sz="4" w:space="0" w:color="7F7F7F"/>
              <w:bottom w:val="single" w:sz="4" w:space="0" w:color="7F7F7F"/>
              <w:right w:val="single" w:sz="4" w:space="0" w:color="7F7F7F"/>
            </w:tcBorders>
          </w:tcPr>
          <w:p w:rsidR="002C5025" w:rsidRDefault="002C5025">
            <w:pPr>
              <w:pStyle w:val="TableParagraph"/>
              <w:kinsoku w:val="0"/>
              <w:overflowPunct w:val="0"/>
              <w:spacing w:line="222" w:lineRule="exact"/>
              <w:ind w:right="128"/>
              <w:rPr>
                <w:rFonts w:ascii="Times New Roman" w:hAnsi="Times New Roman" w:cs="Times New Roman"/>
              </w:rPr>
            </w:pPr>
            <w:r>
              <w:rPr>
                <w:sz w:val="20"/>
                <w:szCs w:val="20"/>
              </w:rPr>
              <w:t>Overall Comment</w:t>
            </w:r>
          </w:p>
        </w:tc>
        <w:tc>
          <w:tcPr>
            <w:tcW w:w="7200" w:type="dxa"/>
            <w:tcBorders>
              <w:top w:val="single" w:sz="4" w:space="0" w:color="7F7F7F"/>
              <w:left w:val="single" w:sz="4" w:space="0" w:color="7F7F7F"/>
              <w:bottom w:val="single" w:sz="4" w:space="0" w:color="7F7F7F"/>
              <w:right w:val="single" w:sz="4" w:space="0" w:color="7F7F7F"/>
            </w:tcBorders>
          </w:tcPr>
          <w:p w:rsidR="002C5025" w:rsidRDefault="002C5025">
            <w:pPr>
              <w:pStyle w:val="TableParagraph"/>
              <w:kinsoku w:val="0"/>
              <w:overflowPunct w:val="0"/>
              <w:ind w:left="102" w:right="135"/>
              <w:rPr>
                <w:sz w:val="20"/>
                <w:szCs w:val="20"/>
              </w:rPr>
            </w:pPr>
            <w:r>
              <w:rPr>
                <w:sz w:val="20"/>
                <w:szCs w:val="20"/>
              </w:rPr>
              <w:t>For many individuals, specifically those with mild-to-moderate behavioral health</w:t>
            </w:r>
            <w:r>
              <w:rPr>
                <w:spacing w:val="-6"/>
                <w:sz w:val="20"/>
                <w:szCs w:val="20"/>
              </w:rPr>
              <w:t xml:space="preserve"> </w:t>
            </w:r>
            <w:r>
              <w:rPr>
                <w:sz w:val="20"/>
                <w:szCs w:val="20"/>
              </w:rPr>
              <w:t>conditions,</w:t>
            </w:r>
            <w:r>
              <w:rPr>
                <w:spacing w:val="-6"/>
                <w:sz w:val="20"/>
                <w:szCs w:val="20"/>
              </w:rPr>
              <w:t xml:space="preserve"> </w:t>
            </w:r>
            <w:r>
              <w:rPr>
                <w:sz w:val="20"/>
                <w:szCs w:val="20"/>
              </w:rPr>
              <w:t>primary</w:t>
            </w:r>
            <w:r>
              <w:rPr>
                <w:spacing w:val="-13"/>
                <w:sz w:val="20"/>
                <w:szCs w:val="20"/>
              </w:rPr>
              <w:t xml:space="preserve"> </w:t>
            </w:r>
            <w:r>
              <w:rPr>
                <w:sz w:val="20"/>
                <w:szCs w:val="20"/>
              </w:rPr>
              <w:t>care</w:t>
            </w:r>
            <w:r>
              <w:rPr>
                <w:spacing w:val="-6"/>
                <w:sz w:val="20"/>
                <w:szCs w:val="20"/>
              </w:rPr>
              <w:t xml:space="preserve"> </w:t>
            </w:r>
            <w:r>
              <w:rPr>
                <w:sz w:val="20"/>
                <w:szCs w:val="20"/>
              </w:rPr>
              <w:t>is</w:t>
            </w:r>
            <w:r>
              <w:rPr>
                <w:spacing w:val="-5"/>
                <w:sz w:val="20"/>
                <w:szCs w:val="20"/>
              </w:rPr>
              <w:t xml:space="preserve"> </w:t>
            </w:r>
            <w:r>
              <w:rPr>
                <w:sz w:val="20"/>
                <w:szCs w:val="20"/>
              </w:rPr>
              <w:t>the</w:t>
            </w:r>
            <w:r>
              <w:rPr>
                <w:spacing w:val="-6"/>
                <w:sz w:val="20"/>
                <w:szCs w:val="20"/>
              </w:rPr>
              <w:t xml:space="preserve"> </w:t>
            </w:r>
            <w:r>
              <w:rPr>
                <w:sz w:val="20"/>
                <w:szCs w:val="20"/>
              </w:rPr>
              <w:t>de</w:t>
            </w:r>
            <w:r>
              <w:rPr>
                <w:spacing w:val="-6"/>
                <w:sz w:val="20"/>
                <w:szCs w:val="20"/>
              </w:rPr>
              <w:t xml:space="preserve"> </w:t>
            </w:r>
            <w:r>
              <w:rPr>
                <w:sz w:val="20"/>
                <w:szCs w:val="20"/>
              </w:rPr>
              <w:t>facto</w:t>
            </w:r>
            <w:r>
              <w:rPr>
                <w:spacing w:val="-6"/>
                <w:sz w:val="20"/>
                <w:szCs w:val="20"/>
              </w:rPr>
              <w:t xml:space="preserve"> </w:t>
            </w:r>
            <w:r>
              <w:rPr>
                <w:sz w:val="20"/>
                <w:szCs w:val="20"/>
              </w:rPr>
              <w:t>location</w:t>
            </w:r>
            <w:r>
              <w:rPr>
                <w:spacing w:val="-9"/>
                <w:sz w:val="20"/>
                <w:szCs w:val="20"/>
              </w:rPr>
              <w:t xml:space="preserve"> </w:t>
            </w:r>
            <w:r>
              <w:rPr>
                <w:sz w:val="20"/>
                <w:szCs w:val="20"/>
              </w:rPr>
              <w:t>of</w:t>
            </w:r>
            <w:r>
              <w:rPr>
                <w:spacing w:val="-4"/>
                <w:sz w:val="20"/>
                <w:szCs w:val="20"/>
              </w:rPr>
              <w:t xml:space="preserve"> </w:t>
            </w:r>
            <w:r>
              <w:rPr>
                <w:sz w:val="20"/>
                <w:szCs w:val="20"/>
              </w:rPr>
              <w:t>care</w:t>
            </w:r>
            <w:r>
              <w:rPr>
                <w:spacing w:val="-9"/>
                <w:sz w:val="20"/>
                <w:szCs w:val="20"/>
              </w:rPr>
              <w:t xml:space="preserve"> </w:t>
            </w:r>
            <w:r>
              <w:rPr>
                <w:sz w:val="20"/>
                <w:szCs w:val="20"/>
              </w:rPr>
              <w:t>for</w:t>
            </w:r>
            <w:r>
              <w:rPr>
                <w:spacing w:val="-7"/>
                <w:sz w:val="20"/>
                <w:szCs w:val="20"/>
              </w:rPr>
              <w:t xml:space="preserve"> </w:t>
            </w:r>
            <w:r>
              <w:rPr>
                <w:sz w:val="20"/>
                <w:szCs w:val="20"/>
              </w:rPr>
              <w:t>mental</w:t>
            </w:r>
            <w:r>
              <w:rPr>
                <w:spacing w:val="-7"/>
                <w:sz w:val="20"/>
                <w:szCs w:val="20"/>
              </w:rPr>
              <w:t xml:space="preserve"> </w:t>
            </w:r>
            <w:r>
              <w:rPr>
                <w:sz w:val="20"/>
                <w:szCs w:val="20"/>
              </w:rPr>
              <w:t>health and/or SUDs. However, despite their best efforts, primary care clinicians sometimes have trouble providing the right care to mee</w:t>
            </w:r>
            <w:r w:rsidR="00607624">
              <w:rPr>
                <w:sz w:val="20"/>
                <w:szCs w:val="20"/>
              </w:rPr>
              <w:t xml:space="preserve">t these patients’ needs and are </w:t>
            </w:r>
            <w:r>
              <w:rPr>
                <w:sz w:val="20"/>
                <w:szCs w:val="20"/>
              </w:rPr>
              <w:t>challenged with accessing qualified behavioral health services due to shortages and lengthy waitlists among local providers. As such, strengthening behavioral health integration within primary care practices is key. It is not only more efficacious, but, in a world in which psychiatry access is an increasingly scarce</w:t>
            </w:r>
            <w:r>
              <w:rPr>
                <w:spacing w:val="-6"/>
                <w:sz w:val="20"/>
                <w:szCs w:val="20"/>
              </w:rPr>
              <w:t xml:space="preserve"> </w:t>
            </w:r>
            <w:r>
              <w:rPr>
                <w:sz w:val="20"/>
                <w:szCs w:val="20"/>
              </w:rPr>
              <w:t>resource,</w:t>
            </w:r>
            <w:r>
              <w:rPr>
                <w:spacing w:val="-6"/>
                <w:sz w:val="20"/>
                <w:szCs w:val="20"/>
              </w:rPr>
              <w:t xml:space="preserve"> </w:t>
            </w:r>
            <w:r>
              <w:rPr>
                <w:sz w:val="20"/>
                <w:szCs w:val="20"/>
              </w:rPr>
              <w:t>it</w:t>
            </w:r>
            <w:r>
              <w:rPr>
                <w:spacing w:val="-8"/>
                <w:sz w:val="20"/>
                <w:szCs w:val="20"/>
              </w:rPr>
              <w:t xml:space="preserve"> </w:t>
            </w:r>
            <w:r>
              <w:rPr>
                <w:sz w:val="20"/>
                <w:szCs w:val="20"/>
              </w:rPr>
              <w:t>is</w:t>
            </w:r>
            <w:r>
              <w:rPr>
                <w:spacing w:val="-5"/>
                <w:sz w:val="20"/>
                <w:szCs w:val="20"/>
              </w:rPr>
              <w:t xml:space="preserve"> </w:t>
            </w:r>
            <w:r>
              <w:rPr>
                <w:sz w:val="20"/>
                <w:szCs w:val="20"/>
              </w:rPr>
              <w:t>critical</w:t>
            </w:r>
            <w:r>
              <w:rPr>
                <w:spacing w:val="-9"/>
                <w:sz w:val="20"/>
                <w:szCs w:val="20"/>
              </w:rPr>
              <w:t xml:space="preserve"> </w:t>
            </w:r>
            <w:r>
              <w:rPr>
                <w:sz w:val="20"/>
                <w:szCs w:val="20"/>
              </w:rPr>
              <w:t>that</w:t>
            </w:r>
            <w:r>
              <w:rPr>
                <w:spacing w:val="-6"/>
                <w:sz w:val="20"/>
                <w:szCs w:val="20"/>
              </w:rPr>
              <w:t xml:space="preserve"> </w:t>
            </w:r>
            <w:r>
              <w:rPr>
                <w:sz w:val="20"/>
                <w:szCs w:val="20"/>
              </w:rPr>
              <w:t>primary</w:t>
            </w:r>
            <w:r>
              <w:rPr>
                <w:spacing w:val="-12"/>
                <w:sz w:val="20"/>
                <w:szCs w:val="20"/>
              </w:rPr>
              <w:t xml:space="preserve"> </w:t>
            </w:r>
            <w:r>
              <w:rPr>
                <w:sz w:val="20"/>
                <w:szCs w:val="20"/>
              </w:rPr>
              <w:t>care</w:t>
            </w:r>
            <w:r>
              <w:rPr>
                <w:spacing w:val="-9"/>
                <w:sz w:val="20"/>
                <w:szCs w:val="20"/>
              </w:rPr>
              <w:t xml:space="preserve"> </w:t>
            </w:r>
            <w:r>
              <w:rPr>
                <w:sz w:val="20"/>
                <w:szCs w:val="20"/>
              </w:rPr>
              <w:t>clinicians</w:t>
            </w:r>
            <w:r>
              <w:rPr>
                <w:spacing w:val="-7"/>
                <w:sz w:val="20"/>
                <w:szCs w:val="20"/>
              </w:rPr>
              <w:t xml:space="preserve"> </w:t>
            </w:r>
            <w:r>
              <w:rPr>
                <w:sz w:val="20"/>
                <w:szCs w:val="20"/>
              </w:rPr>
              <w:t>are</w:t>
            </w:r>
            <w:r>
              <w:rPr>
                <w:spacing w:val="-6"/>
                <w:sz w:val="20"/>
                <w:szCs w:val="20"/>
              </w:rPr>
              <w:t xml:space="preserve"> </w:t>
            </w:r>
            <w:r>
              <w:rPr>
                <w:sz w:val="20"/>
                <w:szCs w:val="20"/>
              </w:rPr>
              <w:t>operating</w:t>
            </w:r>
            <w:r>
              <w:rPr>
                <w:spacing w:val="-6"/>
                <w:sz w:val="20"/>
                <w:szCs w:val="20"/>
              </w:rPr>
              <w:t xml:space="preserve"> </w:t>
            </w:r>
            <w:r>
              <w:rPr>
                <w:sz w:val="20"/>
                <w:szCs w:val="20"/>
              </w:rPr>
              <w:t>at</w:t>
            </w:r>
            <w:r>
              <w:rPr>
                <w:spacing w:val="-6"/>
                <w:sz w:val="20"/>
                <w:szCs w:val="20"/>
              </w:rPr>
              <w:t xml:space="preserve"> </w:t>
            </w:r>
            <w:r>
              <w:rPr>
                <w:sz w:val="20"/>
                <w:szCs w:val="20"/>
              </w:rPr>
              <w:t>the</w:t>
            </w:r>
            <w:r>
              <w:rPr>
                <w:spacing w:val="-6"/>
                <w:sz w:val="20"/>
                <w:szCs w:val="20"/>
              </w:rPr>
              <w:t xml:space="preserve"> </w:t>
            </w:r>
            <w:r>
              <w:rPr>
                <w:sz w:val="20"/>
                <w:szCs w:val="20"/>
              </w:rPr>
              <w:t>top of their licenses, and the specialty network is focused on higher need and more complex behavioral</w:t>
            </w:r>
            <w:r>
              <w:rPr>
                <w:spacing w:val="-41"/>
                <w:sz w:val="20"/>
                <w:szCs w:val="20"/>
              </w:rPr>
              <w:t xml:space="preserve"> </w:t>
            </w:r>
            <w:r>
              <w:rPr>
                <w:sz w:val="20"/>
                <w:szCs w:val="20"/>
              </w:rPr>
              <w:t>health cases.</w:t>
            </w:r>
          </w:p>
          <w:p w:rsidR="002C5025" w:rsidRDefault="002C5025">
            <w:pPr>
              <w:pStyle w:val="TableParagraph"/>
              <w:kinsoku w:val="0"/>
              <w:overflowPunct w:val="0"/>
              <w:ind w:left="0"/>
              <w:rPr>
                <w:sz w:val="20"/>
                <w:szCs w:val="20"/>
              </w:rPr>
            </w:pPr>
          </w:p>
          <w:p w:rsidR="002C5025" w:rsidRDefault="002C5025">
            <w:pPr>
              <w:pStyle w:val="TableParagraph"/>
              <w:kinsoku w:val="0"/>
              <w:overflowPunct w:val="0"/>
              <w:ind w:left="102" w:right="206"/>
              <w:rPr>
                <w:sz w:val="20"/>
                <w:szCs w:val="20"/>
              </w:rPr>
            </w:pPr>
            <w:r>
              <w:rPr>
                <w:sz w:val="20"/>
                <w:szCs w:val="20"/>
              </w:rPr>
              <w:t>At Beacon, when we refer to integration, we mean systematically applying the principles of the Collaborative Care Model. While many models for integration exist, the Collaborative Care Model, pioneered through research at the University of Washington, has the strongest evidence base for integration.</w:t>
            </w:r>
          </w:p>
          <w:p w:rsidR="002C5025" w:rsidRDefault="002C5025">
            <w:pPr>
              <w:pStyle w:val="TableParagraph"/>
              <w:kinsoku w:val="0"/>
              <w:overflowPunct w:val="0"/>
              <w:ind w:left="102" w:right="286"/>
              <w:jc w:val="both"/>
              <w:rPr>
                <w:sz w:val="20"/>
                <w:szCs w:val="20"/>
              </w:rPr>
            </w:pPr>
            <w:r>
              <w:rPr>
                <w:sz w:val="20"/>
                <w:szCs w:val="20"/>
              </w:rPr>
              <w:t>Integrated primary care practices that operate under this model deliver better outcomes for individuals with behavioral health conditions, and, in particular, those with co-morbid behavioral health and chronic medical illnesses.</w:t>
            </w:r>
          </w:p>
          <w:p w:rsidR="002C5025" w:rsidRDefault="002C5025">
            <w:pPr>
              <w:pStyle w:val="TableParagraph"/>
              <w:kinsoku w:val="0"/>
              <w:overflowPunct w:val="0"/>
              <w:ind w:left="101" w:right="153"/>
              <w:rPr>
                <w:position w:val="7"/>
                <w:sz w:val="13"/>
                <w:szCs w:val="13"/>
              </w:rPr>
            </w:pPr>
            <w:r>
              <w:rPr>
                <w:sz w:val="20"/>
                <w:szCs w:val="20"/>
              </w:rPr>
              <w:t xml:space="preserve">However, achieving this form of practice transformation is not as simple as co- locating a behavioral health clinician within a primary care practice. Further, many well-intended primary care clinicians that are aiming to accept greater accountability for member care do not fully integrate behavioral health for their members. A recent </w:t>
            </w:r>
            <w:r>
              <w:rPr>
                <w:i/>
                <w:iCs/>
                <w:sz w:val="20"/>
                <w:szCs w:val="20"/>
              </w:rPr>
              <w:t xml:space="preserve">Health Affairs </w:t>
            </w:r>
            <w:r>
              <w:rPr>
                <w:sz w:val="20"/>
                <w:szCs w:val="20"/>
              </w:rPr>
              <w:t>article documented these facts, where a review of BCBS of Massachusetts’ pioneering Alternative Quality Contract (AQC) program revealed that few of the AQC providers were integrating behavioral healthcare, and those that were did not demonstrate meaningful improvements over those that did not.</w:t>
            </w:r>
            <w:r>
              <w:rPr>
                <w:position w:val="7"/>
                <w:sz w:val="13"/>
                <w:szCs w:val="13"/>
              </w:rPr>
              <w:t>1</w:t>
            </w:r>
          </w:p>
          <w:p w:rsidR="002C5025" w:rsidRDefault="002C5025">
            <w:pPr>
              <w:pStyle w:val="TableParagraph"/>
              <w:kinsoku w:val="0"/>
              <w:overflowPunct w:val="0"/>
              <w:spacing w:before="11"/>
              <w:ind w:left="0"/>
              <w:rPr>
                <w:sz w:val="19"/>
                <w:szCs w:val="19"/>
              </w:rPr>
            </w:pPr>
          </w:p>
          <w:p w:rsidR="002C5025" w:rsidRDefault="002C5025">
            <w:pPr>
              <w:pStyle w:val="TableParagraph"/>
              <w:kinsoku w:val="0"/>
              <w:overflowPunct w:val="0"/>
              <w:ind w:left="102" w:right="150"/>
              <w:rPr>
                <w:sz w:val="20"/>
                <w:szCs w:val="20"/>
              </w:rPr>
            </w:pPr>
            <w:r>
              <w:rPr>
                <w:sz w:val="20"/>
                <w:szCs w:val="20"/>
              </w:rPr>
              <w:t>The most widely used and perhaps the simplest way to integrate behavioral health into the primary care setting is to incorporate behavioral health screenings. The Collaborative Care Model prescribes that behavioral health screening is a core responsibility of the primary care provider, and one of their key care coordination duties. However, screening is not a stand-alone solution to ensuring holistic, person-centered care. In order to be effective, screening must be followed up by warm handoffs and connections with specialized behavioral health resources. A truly innovative program not only screens for behavioral health needs in primary care, but also creates mechanisms that facilitate access to specialized care and linkage to that care.</w:t>
            </w:r>
          </w:p>
          <w:p w:rsidR="002C5025" w:rsidRDefault="002C5025">
            <w:pPr>
              <w:pStyle w:val="TableParagraph"/>
              <w:kinsoku w:val="0"/>
              <w:overflowPunct w:val="0"/>
              <w:ind w:left="0"/>
              <w:rPr>
                <w:sz w:val="20"/>
                <w:szCs w:val="20"/>
              </w:rPr>
            </w:pPr>
          </w:p>
          <w:p w:rsidR="002C5025" w:rsidRDefault="002C5025">
            <w:pPr>
              <w:pStyle w:val="TableParagraph"/>
              <w:kinsoku w:val="0"/>
              <w:overflowPunct w:val="0"/>
              <w:ind w:left="102" w:right="149"/>
              <w:rPr>
                <w:rFonts w:ascii="Times New Roman" w:hAnsi="Times New Roman" w:cs="Times New Roman"/>
              </w:rPr>
            </w:pPr>
            <w:r>
              <w:rPr>
                <w:sz w:val="20"/>
                <w:szCs w:val="20"/>
              </w:rPr>
              <w:t>With these considerations in mind, the Wavier should define what true behavioral health integration in the primary care setting means for individuals with mild-to-moderate behavioral health conditions and what the steps necessary to really achieve it. Beacon recommends leveraging key elements of the Collaborative Care Model, such as co-locating a licensed Care Manager for screening and triage within the primary care site, facilitating access to same-day walk-in appointments, providing scaled and timey access to psychiatrists for clinical consultation to primary care clinicians, and introducing registries for tracking outcomes on key metrics. Further examples and</w:t>
            </w:r>
          </w:p>
        </w:tc>
      </w:tr>
    </w:tbl>
    <w:p w:rsidR="002C5025" w:rsidRDefault="00FB027C">
      <w:pPr>
        <w:pStyle w:val="BodyText"/>
        <w:kinsoku w:val="0"/>
        <w:overflowPunct w:val="0"/>
        <w:spacing w:before="8"/>
        <w:rPr>
          <w:rFonts w:ascii="Arial" w:hAnsi="Arial" w:cs="Arial"/>
          <w:sz w:val="23"/>
          <w:szCs w:val="23"/>
        </w:rPr>
      </w:pPr>
      <w:r>
        <w:rPr>
          <w:noProof/>
        </w:rPr>
        <mc:AlternateContent>
          <mc:Choice Requires="wps">
            <w:drawing>
              <wp:anchor distT="0" distB="0" distL="0" distR="0" simplePos="0" relativeHeight="251518464" behindDoc="0" locked="0" layoutInCell="0" allowOverlap="1">
                <wp:simplePos x="0" y="0"/>
                <wp:positionH relativeFrom="page">
                  <wp:posOffset>904875</wp:posOffset>
                </wp:positionH>
                <wp:positionV relativeFrom="paragraph">
                  <wp:posOffset>202565</wp:posOffset>
                </wp:positionV>
                <wp:extent cx="1492250" cy="12700"/>
                <wp:effectExtent l="0" t="0" r="0" b="0"/>
                <wp:wrapTopAndBottom/>
                <wp:docPr id="861" name="Freeform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92250" cy="12700"/>
                        </a:xfrm>
                        <a:custGeom>
                          <a:avLst/>
                          <a:gdLst>
                            <a:gd name="T0" fmla="*/ 0 w 2350"/>
                            <a:gd name="T1" fmla="*/ 0 h 20"/>
                            <a:gd name="T2" fmla="*/ 2349 w 2350"/>
                            <a:gd name="T3" fmla="*/ 0 h 20"/>
                          </a:gdLst>
                          <a:ahLst/>
                          <a:cxnLst>
                            <a:cxn ang="0">
                              <a:pos x="T0" y="T1"/>
                            </a:cxn>
                            <a:cxn ang="0">
                              <a:pos x="T2" y="T3"/>
                            </a:cxn>
                          </a:cxnLst>
                          <a:rect l="0" t="0" r="r" b="b"/>
                          <a:pathLst>
                            <a:path w="2350" h="20">
                              <a:moveTo>
                                <a:pt x="0" y="0"/>
                              </a:moveTo>
                              <a:lnTo>
                                <a:pt x="2349"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64" o:spid="_x0000_s1026" style="position:absolute;z-index:251518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1.25pt,15.95pt,188.7pt,15.95pt" coordsize="23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" o:allowincell="f" filled="f" strokeweight=".25397mm">
                <v:path arrowok="t" o:connecttype="custom" o:connectlocs="0,0;1491615,0" o:connectangles="0,0"/>
                <w10:wrap type="topAndBottom" anchorx="page"/>
              </v:polyline>
            </w:pict>
          </mc:Fallback>
        </mc:AlternateContent>
      </w:r>
    </w:p>
    <w:p w:rsidR="002C5025" w:rsidRDefault="002C5025">
      <w:pPr>
        <w:pStyle w:val="BodyText"/>
        <w:kinsoku w:val="0"/>
        <w:overflowPunct w:val="0"/>
        <w:spacing w:before="66"/>
        <w:ind w:left="140" w:right="442"/>
        <w:rPr>
          <w:rFonts w:ascii="Arial" w:hAnsi="Arial" w:cs="Arial"/>
          <w:color w:val="0000FF"/>
          <w:w w:val="95"/>
          <w:sz w:val="16"/>
          <w:szCs w:val="16"/>
        </w:rPr>
      </w:pPr>
      <w:r>
        <w:rPr>
          <w:rFonts w:ascii="Arial" w:hAnsi="Arial" w:cs="Arial"/>
          <w:w w:val="95"/>
          <w:position w:val="6"/>
          <w:sz w:val="10"/>
          <w:szCs w:val="10"/>
        </w:rPr>
        <w:t xml:space="preserve">1      </w:t>
      </w:r>
      <w:hyperlink r:id="rId128" w:history="1">
        <w:r>
          <w:rPr>
            <w:rFonts w:ascii="Arial" w:hAnsi="Arial" w:cs="Arial"/>
            <w:color w:val="0000FF"/>
            <w:w w:val="95"/>
            <w:sz w:val="16"/>
            <w:szCs w:val="16"/>
            <w:u w:val="single"/>
          </w:rPr>
          <w:t>http://content.healthaffairs.org/content/34/12/2077</w:t>
        </w:r>
      </w:hyperlink>
    </w:p>
    <w:p w:rsidR="002C5025" w:rsidRDefault="002C5025">
      <w:pPr>
        <w:pStyle w:val="BodyText"/>
        <w:kinsoku w:val="0"/>
        <w:overflowPunct w:val="0"/>
        <w:rPr>
          <w:rFonts w:ascii="Arial" w:hAnsi="Arial" w:cs="Arial"/>
          <w:sz w:val="20"/>
          <w:szCs w:val="20"/>
        </w:rPr>
      </w:pPr>
    </w:p>
    <w:p w:rsidR="002C5025" w:rsidRDefault="00FB027C">
      <w:pPr>
        <w:pStyle w:val="BodyText"/>
        <w:kinsoku w:val="0"/>
        <w:overflowPunct w:val="0"/>
        <w:spacing w:before="5"/>
        <w:rPr>
          <w:rFonts w:ascii="Arial" w:hAnsi="Arial" w:cs="Arial"/>
          <w:sz w:val="13"/>
          <w:szCs w:val="13"/>
        </w:rPr>
      </w:pPr>
      <w:r>
        <w:rPr>
          <w:noProof/>
        </w:rPr>
        <mc:AlternateContent>
          <mc:Choice Requires="wps">
            <w:drawing>
              <wp:anchor distT="0" distB="0" distL="0" distR="0" simplePos="0" relativeHeight="251519488" behindDoc="0" locked="0" layoutInCell="0" allowOverlap="1">
                <wp:simplePos x="0" y="0"/>
                <wp:positionH relativeFrom="page">
                  <wp:posOffset>895350</wp:posOffset>
                </wp:positionH>
                <wp:positionV relativeFrom="paragraph">
                  <wp:posOffset>126365</wp:posOffset>
                </wp:positionV>
                <wp:extent cx="5982335" cy="12700"/>
                <wp:effectExtent l="0" t="0" r="0" b="0"/>
                <wp:wrapTopAndBottom/>
                <wp:docPr id="860" name="Freeform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2335" cy="12700"/>
                        </a:xfrm>
                        <a:custGeom>
                          <a:avLst/>
                          <a:gdLst>
                            <a:gd name="T0" fmla="*/ 0 w 9421"/>
                            <a:gd name="T1" fmla="*/ 0 h 20"/>
                            <a:gd name="T2" fmla="*/ 9421 w 9421"/>
                            <a:gd name="T3" fmla="*/ 0 h 20"/>
                          </a:gdLst>
                          <a:ahLst/>
                          <a:cxnLst>
                            <a:cxn ang="0">
                              <a:pos x="T0" y="T1"/>
                            </a:cxn>
                            <a:cxn ang="0">
                              <a:pos x="T2" y="T3"/>
                            </a:cxn>
                          </a:cxnLst>
                          <a:rect l="0" t="0" r="r" b="b"/>
                          <a:pathLst>
                            <a:path w="9421" h="20">
                              <a:moveTo>
                                <a:pt x="0" y="0"/>
                              </a:moveTo>
                              <a:lnTo>
                                <a:pt x="9421" y="0"/>
                              </a:lnTo>
                            </a:path>
                          </a:pathLst>
                        </a:custGeom>
                        <a:noFill/>
                        <a:ln w="7365">
                          <a:solidFill>
                            <a:srgbClr val="85CCE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65" o:spid="_x0000_s1026" style="position:absolute;z-index:251519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0.5pt,9.95pt,541.55pt,9.95pt" coordsize="94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" o:allowincell="f" filled="f" strokecolor="#85cced" strokeweight=".20458mm">
                <v:path arrowok="t" o:connecttype="custom" o:connectlocs="0,0;5982335,0" o:connectangles="0,0"/>
                <w10:wrap type="topAndBottom" anchorx="page"/>
              </v:polyline>
            </w:pict>
          </mc:Fallback>
        </mc:AlternateContent>
      </w:r>
    </w:p>
    <w:p w:rsidR="002C5025" w:rsidRDefault="002C5025">
      <w:pPr>
        <w:pStyle w:val="BodyText"/>
        <w:tabs>
          <w:tab w:val="right" w:pos="9500"/>
        </w:tabs>
        <w:kinsoku w:val="0"/>
        <w:overflowPunct w:val="0"/>
        <w:spacing w:before="46"/>
        <w:ind w:left="140"/>
        <w:rPr>
          <w:rFonts w:ascii="Arial" w:hAnsi="Arial" w:cs="Arial"/>
          <w:sz w:val="20"/>
          <w:szCs w:val="20"/>
        </w:rPr>
      </w:pPr>
      <w:r>
        <w:rPr>
          <w:rFonts w:ascii="Arial" w:hAnsi="Arial" w:cs="Arial"/>
          <w:sz w:val="20"/>
          <w:szCs w:val="20"/>
        </w:rPr>
        <w:t>MassHealth Section 1115</w:t>
      </w:r>
      <w:r>
        <w:rPr>
          <w:rFonts w:ascii="Arial" w:hAnsi="Arial" w:cs="Arial"/>
          <w:spacing w:val="-7"/>
          <w:sz w:val="20"/>
          <w:szCs w:val="20"/>
        </w:rPr>
        <w:t xml:space="preserve"> </w:t>
      </w:r>
      <w:r>
        <w:rPr>
          <w:rFonts w:ascii="Arial" w:hAnsi="Arial" w:cs="Arial"/>
          <w:sz w:val="20"/>
          <w:szCs w:val="20"/>
        </w:rPr>
        <w:t>Demonstration</w:t>
      </w:r>
      <w:r>
        <w:rPr>
          <w:rFonts w:ascii="Arial" w:hAnsi="Arial" w:cs="Arial"/>
          <w:spacing w:val="-4"/>
          <w:sz w:val="20"/>
          <w:szCs w:val="20"/>
        </w:rPr>
        <w:t xml:space="preserve"> </w:t>
      </w:r>
      <w:r>
        <w:rPr>
          <w:rFonts w:ascii="Arial" w:hAnsi="Arial" w:cs="Arial"/>
          <w:sz w:val="20"/>
          <w:szCs w:val="20"/>
        </w:rPr>
        <w:t>Comments</w:t>
      </w:r>
      <w:r>
        <w:rPr>
          <w:rFonts w:ascii="Arial" w:hAnsi="Arial" w:cs="Arial"/>
          <w:sz w:val="20"/>
          <w:szCs w:val="20"/>
        </w:rPr>
        <w:tab/>
        <w:t>2</w:t>
      </w:r>
    </w:p>
    <w:p w:rsidR="002C5025" w:rsidRDefault="002C5025">
      <w:pPr>
        <w:pStyle w:val="BodyText"/>
        <w:tabs>
          <w:tab w:val="right" w:pos="9500"/>
        </w:tabs>
        <w:kinsoku w:val="0"/>
        <w:overflowPunct w:val="0"/>
        <w:spacing w:before="46"/>
        <w:ind w:left="140"/>
        <w:rPr>
          <w:rFonts w:ascii="Arial" w:hAnsi="Arial" w:cs="Arial"/>
          <w:sz w:val="20"/>
          <w:szCs w:val="20"/>
        </w:rPr>
        <w:sectPr w:rsidR="002C5025">
          <w:pgSz w:w="12240" w:h="15840"/>
          <w:pgMar w:top="720" w:right="1140" w:bottom="280" w:left="1300" w:header="720" w:footer="720" w:gutter="0"/>
          <w:cols w:space="720"/>
          <w:noEndnote/>
        </w:sectPr>
      </w:pPr>
    </w:p>
    <w:p w:rsidR="002C5025" w:rsidRDefault="00FB027C">
      <w:pPr>
        <w:pStyle w:val="BodyText"/>
        <w:kinsoku w:val="0"/>
        <w:overflowPunct w:val="0"/>
        <w:ind w:left="130"/>
        <w:rPr>
          <w:rFonts w:ascii="Arial" w:hAnsi="Arial" w:cs="Arial"/>
          <w:sz w:val="20"/>
          <w:szCs w:val="20"/>
        </w:rPr>
      </w:pPr>
      <w:r>
        <w:rPr>
          <w:rFonts w:ascii="Arial" w:hAnsi="Arial" w:cs="Arial"/>
          <w:noProof/>
          <w:sz w:val="20"/>
          <w:szCs w:val="20"/>
        </w:rPr>
        <w:lastRenderedPageBreak/>
        <mc:AlternateContent>
          <mc:Choice Requires="wpg">
            <w:drawing>
              <wp:inline distT="0" distB="0" distL="0" distR="0">
                <wp:extent cx="6068060" cy="369570"/>
                <wp:effectExtent l="0" t="0" r="0" b="1905"/>
                <wp:docPr id="854"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369570"/>
                          <a:chOff x="0" y="0"/>
                          <a:chExt cx="9556" cy="582"/>
                        </a:xfrm>
                      </wpg:grpSpPr>
                      <pic:pic xmlns:pic="http://schemas.openxmlformats.org/drawingml/2006/picture">
                        <pic:nvPicPr>
                          <pic:cNvPr id="855" name="Picture 167"/>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10" y="0"/>
                            <a:ext cx="19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56" name="Freeform 168"/>
                        <wps:cNvSpPr>
                          <a:spLocks/>
                        </wps:cNvSpPr>
                        <wps:spPr bwMode="auto">
                          <a:xfrm>
                            <a:off x="10" y="571"/>
                            <a:ext cx="2336" cy="20"/>
                          </a:xfrm>
                          <a:custGeom>
                            <a:avLst/>
                            <a:gdLst>
                              <a:gd name="T0" fmla="*/ 0 w 2336"/>
                              <a:gd name="T1" fmla="*/ 0 h 20"/>
                              <a:gd name="T2" fmla="*/ 2335 w 2336"/>
                              <a:gd name="T3" fmla="*/ 0 h 20"/>
                            </a:gdLst>
                            <a:ahLst/>
                            <a:cxnLst>
                              <a:cxn ang="0">
                                <a:pos x="T0" y="T1"/>
                              </a:cxn>
                              <a:cxn ang="0">
                                <a:pos x="T2" y="T3"/>
                              </a:cxn>
                            </a:cxnLst>
                            <a:rect l="0" t="0" r="r" b="b"/>
                            <a:pathLst>
                              <a:path w="2336" h="20">
                                <a:moveTo>
                                  <a:pt x="0" y="0"/>
                                </a:moveTo>
                                <a:lnTo>
                                  <a:pt x="2335" y="0"/>
                                </a:lnTo>
                              </a:path>
                            </a:pathLst>
                          </a:custGeom>
                          <a:noFill/>
                          <a:ln w="12192">
                            <a:solidFill>
                              <a:srgbClr val="41B6E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7" name="Freeform 169"/>
                        <wps:cNvSpPr>
                          <a:spLocks/>
                        </wps:cNvSpPr>
                        <wps:spPr bwMode="auto">
                          <a:xfrm>
                            <a:off x="2345" y="571"/>
                            <a:ext cx="20" cy="20"/>
                          </a:xfrm>
                          <a:custGeom>
                            <a:avLst/>
                            <a:gdLst>
                              <a:gd name="T0" fmla="*/ 0 w 20"/>
                              <a:gd name="T1" fmla="*/ 0 h 20"/>
                              <a:gd name="T2" fmla="*/ 19 w 20"/>
                              <a:gd name="T3" fmla="*/ 0 h 20"/>
                            </a:gdLst>
                            <a:ahLst/>
                            <a:cxnLst>
                              <a:cxn ang="0">
                                <a:pos x="T0" y="T1"/>
                              </a:cxn>
                              <a:cxn ang="0">
                                <a:pos x="T2" y="T3"/>
                              </a:cxn>
                            </a:cxnLst>
                            <a:rect l="0" t="0" r="r" b="b"/>
                            <a:pathLst>
                              <a:path w="20" h="20">
                                <a:moveTo>
                                  <a:pt x="0" y="0"/>
                                </a:moveTo>
                                <a:lnTo>
                                  <a:pt x="19" y="0"/>
                                </a:lnTo>
                              </a:path>
                            </a:pathLst>
                          </a:custGeom>
                          <a:noFill/>
                          <a:ln w="12192">
                            <a:solidFill>
                              <a:srgbClr val="41B6E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8" name="Freeform 170"/>
                        <wps:cNvSpPr>
                          <a:spLocks/>
                        </wps:cNvSpPr>
                        <wps:spPr bwMode="auto">
                          <a:xfrm>
                            <a:off x="2364" y="571"/>
                            <a:ext cx="7181" cy="20"/>
                          </a:xfrm>
                          <a:custGeom>
                            <a:avLst/>
                            <a:gdLst>
                              <a:gd name="T0" fmla="*/ 0 w 7181"/>
                              <a:gd name="T1" fmla="*/ 0 h 20"/>
                              <a:gd name="T2" fmla="*/ 7180 w 7181"/>
                              <a:gd name="T3" fmla="*/ 0 h 20"/>
                            </a:gdLst>
                            <a:ahLst/>
                            <a:cxnLst>
                              <a:cxn ang="0">
                                <a:pos x="T0" y="T1"/>
                              </a:cxn>
                              <a:cxn ang="0">
                                <a:pos x="T2" y="T3"/>
                              </a:cxn>
                            </a:cxnLst>
                            <a:rect l="0" t="0" r="r" b="b"/>
                            <a:pathLst>
                              <a:path w="7181" h="20">
                                <a:moveTo>
                                  <a:pt x="0" y="0"/>
                                </a:moveTo>
                                <a:lnTo>
                                  <a:pt x="7180" y="0"/>
                                </a:lnTo>
                              </a:path>
                            </a:pathLst>
                          </a:custGeom>
                          <a:noFill/>
                          <a:ln w="12192">
                            <a:solidFill>
                              <a:srgbClr val="41B6E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9" name="Text Box 171"/>
                        <wps:cNvSpPr txBox="1">
                          <a:spLocks noChangeArrowheads="1"/>
                        </wps:cNvSpPr>
                        <wps:spPr bwMode="auto">
                          <a:xfrm>
                            <a:off x="0" y="0"/>
                            <a:ext cx="9555" cy="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pStyle w:val="BodyText"/>
                                <w:kinsoku w:val="0"/>
                                <w:overflowPunct w:val="0"/>
                                <w:spacing w:before="88" w:line="226" w:lineRule="exact"/>
                                <w:ind w:left="5128" w:firstLine="1212"/>
                                <w:rPr>
                                  <w:rFonts w:ascii="Arial" w:hAnsi="Arial" w:cs="Arial"/>
                                  <w:sz w:val="20"/>
                                  <w:szCs w:val="20"/>
                                </w:rPr>
                              </w:pPr>
                              <w:r>
                                <w:rPr>
                                  <w:rFonts w:ascii="Arial" w:hAnsi="Arial" w:cs="Arial"/>
                                  <w:sz w:val="20"/>
                                  <w:szCs w:val="20"/>
                                </w:rPr>
                                <w:t>Commonwealth of Massachusetts Executive Office of Health and Human Services</w:t>
                              </w:r>
                            </w:p>
                          </w:txbxContent>
                        </wps:txbx>
                        <wps:bodyPr rot="0" vert="horz" wrap="square" lIns="0" tIns="0" rIns="0" bIns="0" anchor="t" anchorCtr="0" upright="1">
                          <a:noAutofit/>
                        </wps:bodyPr>
                      </wps:wsp>
                    </wpg:wgp>
                  </a:graphicData>
                </a:graphic>
              </wp:inline>
            </w:drawing>
          </mc:Choice>
          <mc:Fallback>
            <w:pict>
              <v:group id="Group 166" o:spid="_x0000_s1095" style="width:477.8pt;height:29.1pt;mso-position-horizontal-relative:char;mso-position-vertical-relative:line" coordsize="9556,5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">
                <v:shape id="Picture 167" o:spid="_x0000_s1096" type="#_x0000_t75" style="position:absolute;left:10;width:1920;height:5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0gz9jFAAAA3AAAAA8AAABkcnMvZG93bnJldi54bWxEj91qwkAUhO8LvsNyhN7VjYWkGl1FC629&#10;K419gEP25AezZ2N2mx+fvlsoeDnMzDfMdj+aRvTUudqyguUiAkGcW11zqeD7/Pa0AuE8ssbGMimY&#10;yMF+N3vYYqrtwF/UZ74UAcIuRQWV920qpcsrMugWtiUOXmE7gz7IrpS6wyHATSOfoyiRBmsOCxW2&#10;9FpRfsl+jIJknTWH6Zi/Xz+zl9PNcnGmuFDqcT4eNiA8jf4e/m9/aAWrOIa/M+EIyN0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NIM/YxQAAANwAAAAPAAAAAAAAAAAAAAAA&#10;AJ8CAABkcnMvZG93bnJldi54bWxQSwUGAAAAAAQABAD3AAAAkQMAAAAA&#10;">
                  <v:imagedata r:id="rId127" o:title=""/>
                </v:shape>
                <v:shape id="Freeform 168" o:spid="_x0000_s1097" style="position:absolute;left:10;top:571;width:2336;height:20;visibility:visible;mso-wrap-style:square;v-text-anchor:top" coordsize="233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AwC8QA&#10;AADcAAAADwAAAGRycy9kb3ducmV2LnhtbESPQWvCQBSE74L/YXlCb7pRqITUVapW6EWo0d4f2ddk&#10;2+zbsLtN0n/fLRQ8DjPzDbPZjbYVPflgHCtYLjIQxJXThmsFt+tpnoMIEVlj65gU/FCA3XY62WCh&#10;3cAX6stYiwThUKCCJsaukDJUDVkMC9cRJ+/DeYsxSV9L7XFIcNvKVZatpUXDaaHBjg4NVV/lt1Vg&#10;8j4M55f369v50/Q4+NP+KJdKPczG5ycQkcZ4D/+3X7WC/HENf2fSEZ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AMAvEAAAA3AAAAA8AAAAAAAAAAAAAAAAAmAIAAGRycy9k&#10;b3ducmV2LnhtbFBLBQYAAAAABAAEAPUAAACJAwAAAAA=&#10;" path="m,l2335,e" filled="f" strokecolor="#41b6e6" strokeweight=".96pt">
                  <v:path arrowok="t" o:connecttype="custom" o:connectlocs="0,0;2335,0" o:connectangles="0,0"/>
                </v:shape>
                <v:shape id="Freeform 169" o:spid="_x0000_s1098" style="position:absolute;left:2345;top:571;width:20;height:20;visibility:visible;mso-wrap-style:square;v-text-anchor:top" coordsize="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NesYA&#10;AADcAAAADwAAAGRycy9kb3ducmV2LnhtbESPQWvCQBSE7wX/w/IEb3Wjkiqpq4hQCEIPjWLp7TX7&#10;TILZt2F3G2N/fbdQ6HGYmW+Y9XYwrejJ+caygtk0AUFcWt1wpeB0fHlcgfABWWNrmRTcycN2M3pY&#10;Y6btjd+oL0IlIoR9hgrqELpMSl/WZNBPbUccvYt1BkOUrpLa4S3CTSvnSfIkDTYcF2rsaF9TeS2+&#10;jILvWZHK/HP+caD3c9qUp9eFTrVSk/GwewYRaAj/4b92rhWs0iX8nolH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NesYAAADcAAAADwAAAAAAAAAAAAAAAACYAgAAZHJz&#10;L2Rvd25yZXYueG1sUEsFBgAAAAAEAAQA9QAAAIsDAAAAAA==&#10;" path="m,l19,e" filled="f" strokecolor="#41b6e6" strokeweight=".96pt">
                  <v:path arrowok="t" o:connecttype="custom" o:connectlocs="0,0;19,0" o:connectangles="0,0"/>
                </v:shape>
                <v:shape id="Freeform 170" o:spid="_x0000_s1099" style="position:absolute;left:2364;top:571;width:7181;height:20;visibility:visible;mso-wrap-style:square;v-text-anchor:top" coordsize="71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D2OL4A&#10;AADcAAAADwAAAGRycy9kb3ducmV2LnhtbERPTYvCMBC9C/6HMAt7EZ0qVKQaRQShV+te9jY0Y1u2&#10;mZQkav33m4Pg8fG+d4fR9urBPnRONCwXGSiW2plOGg0/1/N8AypEEkO9E9bw4gCH/XSyo8K4p1z4&#10;UcVGpRAJBWloYxwKxFC3bCks3MCSuJvzlmKCvkHj6ZnCbY+rLFujpU5SQ0sDn1qu/6q71WBPZedX&#10;JR6rMs9fv0g4zC43rb+/xuMWVOQxfsRvd2k0bPK0Np1JRwD3/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Q9ji+AAAA3AAAAA8AAAAAAAAAAAAAAAAAmAIAAGRycy9kb3ducmV2&#10;LnhtbFBLBQYAAAAABAAEAPUAAACDAwAAAAA=&#10;" path="m,l7180,e" filled="f" strokecolor="#41b6e6" strokeweight=".96pt">
                  <v:path arrowok="t" o:connecttype="custom" o:connectlocs="0,0;7180,0" o:connectangles="0,0"/>
                </v:shape>
                <v:shape id="Text Box 171" o:spid="_x0000_s1100" type="#_x0000_t202" style="position:absolute;width:9555;height: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iBwcUA&#10;AADcAAAADwAAAGRycy9kb3ducmV2LnhtbESPQWvCQBSE74X+h+UVvNVNhYpJ3YgUCwVBGuOhx9fs&#10;S7KYfZtmtxr/fVcQPA4z8w2zXI22EycavHGs4GWagCCunDbcKDiUH88LED4ga+wck4ILeVjljw9L&#10;zLQ7c0GnfWhEhLDPUEEbQp9J6auWLPqp64mjV7vBYohyaKQe8BzhtpOzJJlLi4bjQos9vbdUHfd/&#10;VsH6m4uN+d39fBV1YcoyTXg7Pyo1eRrXbyACjeEevrU/tYLFawrXM/EIy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qIHBxQAAANwAAAAPAAAAAAAAAAAAAAAAAJgCAABkcnMv&#10;ZG93bnJldi54bWxQSwUGAAAAAAQABAD1AAAAigMAAAAA&#10;" filled="f" stroked="f">
                  <v:textbox inset="0,0,0,0">
                    <w:txbxContent>
                      <w:p w:rsidR="007B2B7B" w:rsidRDefault="007B2B7B">
                        <w:pPr>
                          <w:pStyle w:val="BodyText"/>
                          <w:kinsoku w:val="0"/>
                          <w:overflowPunct w:val="0"/>
                          <w:spacing w:before="88" w:line="226" w:lineRule="exact"/>
                          <w:ind w:left="5128" w:firstLine="1212"/>
                          <w:rPr>
                            <w:rFonts w:ascii="Arial" w:hAnsi="Arial" w:cs="Arial"/>
                            <w:sz w:val="20"/>
                            <w:szCs w:val="20"/>
                          </w:rPr>
                        </w:pPr>
                        <w:r>
                          <w:rPr>
                            <w:rFonts w:ascii="Arial" w:hAnsi="Arial" w:cs="Arial"/>
                            <w:sz w:val="20"/>
                            <w:szCs w:val="20"/>
                          </w:rPr>
                          <w:t>Commonwealth of Massachusetts Executive Office of Health and Human Services</w:t>
                        </w:r>
                      </w:p>
                    </w:txbxContent>
                  </v:textbox>
                </v:shape>
                <w10:anchorlock/>
              </v:group>
            </w:pict>
          </mc:Fallback>
        </mc:AlternateContent>
      </w:r>
    </w:p>
    <w:p w:rsidR="002C5025" w:rsidRDefault="002C5025">
      <w:pPr>
        <w:pStyle w:val="BodyText"/>
        <w:kinsoku w:val="0"/>
        <w:overflowPunct w:val="0"/>
        <w:spacing w:before="10"/>
        <w:rPr>
          <w:rFonts w:ascii="Arial" w:hAnsi="Arial" w:cs="Arial"/>
          <w:sz w:val="17"/>
          <w:szCs w:val="17"/>
        </w:rPr>
      </w:pPr>
    </w:p>
    <w:tbl>
      <w:tblPr>
        <w:tblW w:w="0" w:type="auto"/>
        <w:tblInd w:w="138" w:type="dxa"/>
        <w:tblLayout w:type="fixed"/>
        <w:tblCellMar>
          <w:left w:w="0" w:type="dxa"/>
          <w:right w:w="0" w:type="dxa"/>
        </w:tblCellMar>
        <w:tblLook w:val="0000" w:firstRow="0" w:lastRow="0" w:firstColumn="0" w:lastColumn="0" w:noHBand="0" w:noVBand="0"/>
      </w:tblPr>
      <w:tblGrid>
        <w:gridCol w:w="2335"/>
        <w:gridCol w:w="7200"/>
      </w:tblGrid>
      <w:tr w:rsidR="002C5025">
        <w:trPr>
          <w:trHeight w:hRule="exact" w:val="478"/>
        </w:trPr>
        <w:tc>
          <w:tcPr>
            <w:tcW w:w="2335" w:type="dxa"/>
            <w:tcBorders>
              <w:top w:val="single" w:sz="4" w:space="0" w:color="7F7F7F"/>
              <w:left w:val="single" w:sz="4" w:space="0" w:color="7F7F7F"/>
              <w:bottom w:val="single" w:sz="4" w:space="0" w:color="7F7F7F"/>
              <w:right w:val="single" w:sz="4" w:space="0" w:color="7F7F7F"/>
            </w:tcBorders>
            <w:shd w:val="clear" w:color="auto" w:fill="0083CE"/>
          </w:tcPr>
          <w:p w:rsidR="002C5025" w:rsidRDefault="002C5025">
            <w:pPr>
              <w:pStyle w:val="TableParagraph"/>
              <w:kinsoku w:val="0"/>
              <w:overflowPunct w:val="0"/>
              <w:ind w:left="801" w:right="128" w:hanging="413"/>
              <w:rPr>
                <w:rFonts w:ascii="Times New Roman" w:hAnsi="Times New Roman" w:cs="Times New Roman"/>
              </w:rPr>
            </w:pPr>
            <w:r>
              <w:rPr>
                <w:b/>
                <w:bCs/>
                <w:color w:val="FFFFFF"/>
                <w:sz w:val="20"/>
                <w:szCs w:val="20"/>
              </w:rPr>
              <w:t>Relevant Waiver Section</w:t>
            </w:r>
          </w:p>
        </w:tc>
        <w:tc>
          <w:tcPr>
            <w:tcW w:w="7200" w:type="dxa"/>
            <w:tcBorders>
              <w:top w:val="single" w:sz="4" w:space="0" w:color="7F7F7F"/>
              <w:left w:val="single" w:sz="4" w:space="0" w:color="7F7F7F"/>
              <w:bottom w:val="single" w:sz="4" w:space="0" w:color="7F7F7F"/>
              <w:right w:val="single" w:sz="4" w:space="0" w:color="7F7F7F"/>
            </w:tcBorders>
            <w:shd w:val="clear" w:color="auto" w:fill="0083CE"/>
          </w:tcPr>
          <w:p w:rsidR="002C5025" w:rsidRDefault="002C5025">
            <w:pPr>
              <w:pStyle w:val="TableParagraph"/>
              <w:kinsoku w:val="0"/>
              <w:overflowPunct w:val="0"/>
              <w:spacing w:before="107"/>
              <w:ind w:left="2708" w:right="2706"/>
              <w:jc w:val="center"/>
              <w:rPr>
                <w:rFonts w:ascii="Times New Roman" w:hAnsi="Times New Roman" w:cs="Times New Roman"/>
              </w:rPr>
            </w:pPr>
            <w:r>
              <w:rPr>
                <w:b/>
                <w:bCs/>
                <w:color w:val="FFFFFF"/>
                <w:sz w:val="20"/>
                <w:szCs w:val="20"/>
              </w:rPr>
              <w:t>Beacon Response</w:t>
            </w:r>
          </w:p>
        </w:tc>
      </w:tr>
      <w:tr w:rsidR="002C5025">
        <w:trPr>
          <w:trHeight w:hRule="exact" w:val="698"/>
        </w:trPr>
        <w:tc>
          <w:tcPr>
            <w:tcW w:w="2335" w:type="dxa"/>
            <w:tcBorders>
              <w:top w:val="single" w:sz="4" w:space="0" w:color="7F7F7F"/>
              <w:left w:val="single" w:sz="4" w:space="0" w:color="7F7F7F"/>
              <w:bottom w:val="single" w:sz="4" w:space="0" w:color="7F7F7F"/>
              <w:right w:val="single" w:sz="4" w:space="0" w:color="7F7F7F"/>
            </w:tcBorders>
          </w:tcPr>
          <w:p w:rsidR="002C5025" w:rsidRDefault="002C5025"/>
        </w:tc>
        <w:tc>
          <w:tcPr>
            <w:tcW w:w="7200" w:type="dxa"/>
            <w:tcBorders>
              <w:top w:val="single" w:sz="4" w:space="0" w:color="7F7F7F"/>
              <w:left w:val="single" w:sz="4" w:space="0" w:color="7F7F7F"/>
              <w:bottom w:val="single" w:sz="4" w:space="0" w:color="7F7F7F"/>
              <w:right w:val="single" w:sz="4" w:space="0" w:color="7F7F7F"/>
            </w:tcBorders>
          </w:tcPr>
          <w:p w:rsidR="002C5025" w:rsidRDefault="002C5025">
            <w:pPr>
              <w:pStyle w:val="TableParagraph"/>
              <w:kinsoku w:val="0"/>
              <w:overflowPunct w:val="0"/>
              <w:ind w:right="454"/>
              <w:rPr>
                <w:rFonts w:ascii="Times New Roman" w:hAnsi="Times New Roman" w:cs="Times New Roman"/>
              </w:rPr>
            </w:pPr>
            <w:r>
              <w:rPr>
                <w:sz w:val="20"/>
                <w:szCs w:val="20"/>
              </w:rPr>
              <w:t xml:space="preserve">additional detail on the Collaborative Care Model can be found in Beacon’s Integration White Paper, which is available at </w:t>
            </w:r>
            <w:hyperlink r:id="rId129" w:history="1">
              <w:r>
                <w:rPr>
                  <w:color w:val="0000FF"/>
                  <w:sz w:val="20"/>
                  <w:szCs w:val="20"/>
                  <w:u w:val="single"/>
                </w:rPr>
                <w:t>https://www.beaconhealthoptions.com/integration-white-paper/</w:t>
              </w:r>
              <w:r>
                <w:rPr>
                  <w:color w:val="000000"/>
                  <w:sz w:val="20"/>
                  <w:szCs w:val="20"/>
                </w:rPr>
                <w:t>.</w:t>
              </w:r>
            </w:hyperlink>
          </w:p>
        </w:tc>
      </w:tr>
      <w:tr w:rsidR="002C5025">
        <w:trPr>
          <w:trHeight w:hRule="exact" w:val="3000"/>
        </w:trPr>
        <w:tc>
          <w:tcPr>
            <w:tcW w:w="2335" w:type="dxa"/>
            <w:tcBorders>
              <w:top w:val="single" w:sz="4" w:space="0" w:color="7F7F7F"/>
              <w:left w:val="single" w:sz="4" w:space="0" w:color="7F7F7F"/>
              <w:bottom w:val="single" w:sz="4" w:space="0" w:color="7F7F7F"/>
              <w:right w:val="single" w:sz="4" w:space="0" w:color="7F7F7F"/>
            </w:tcBorders>
          </w:tcPr>
          <w:p w:rsidR="002C5025" w:rsidRDefault="002C5025">
            <w:pPr>
              <w:pStyle w:val="TableParagraph"/>
              <w:kinsoku w:val="0"/>
              <w:overflowPunct w:val="0"/>
              <w:spacing w:line="222" w:lineRule="exact"/>
              <w:ind w:right="128"/>
              <w:rPr>
                <w:rFonts w:ascii="Times New Roman" w:hAnsi="Times New Roman" w:cs="Times New Roman"/>
              </w:rPr>
            </w:pPr>
            <w:r>
              <w:rPr>
                <w:sz w:val="20"/>
                <w:szCs w:val="20"/>
              </w:rPr>
              <w:t>Overall Comment</w:t>
            </w:r>
          </w:p>
        </w:tc>
        <w:tc>
          <w:tcPr>
            <w:tcW w:w="7200" w:type="dxa"/>
            <w:tcBorders>
              <w:top w:val="single" w:sz="4" w:space="0" w:color="7F7F7F"/>
              <w:left w:val="single" w:sz="4" w:space="0" w:color="7F7F7F"/>
              <w:bottom w:val="single" w:sz="4" w:space="0" w:color="7F7F7F"/>
              <w:right w:val="single" w:sz="4" w:space="0" w:color="7F7F7F"/>
            </w:tcBorders>
          </w:tcPr>
          <w:p w:rsidR="002C5025" w:rsidRDefault="002C5025">
            <w:pPr>
              <w:pStyle w:val="TableParagraph"/>
              <w:kinsoku w:val="0"/>
              <w:overflowPunct w:val="0"/>
              <w:ind w:right="139"/>
              <w:rPr>
                <w:sz w:val="20"/>
                <w:szCs w:val="20"/>
              </w:rPr>
            </w:pPr>
            <w:r>
              <w:rPr>
                <w:sz w:val="20"/>
                <w:szCs w:val="20"/>
              </w:rPr>
              <w:t>The Waiver provides great detail on integration, mainly from the perspective of integrating behavioral health with physical health to treat members holistically. However, it does not address integrating care for individuals with co-occurring mental health and SUD. This omission could potentially perpetuate silos in care delivery across the mental health and SUD systems of care.</w:t>
            </w:r>
          </w:p>
          <w:p w:rsidR="002C5025" w:rsidRDefault="002C5025">
            <w:pPr>
              <w:pStyle w:val="TableParagraph"/>
              <w:kinsoku w:val="0"/>
              <w:overflowPunct w:val="0"/>
              <w:spacing w:before="9"/>
              <w:ind w:left="0"/>
              <w:rPr>
                <w:sz w:val="19"/>
                <w:szCs w:val="19"/>
              </w:rPr>
            </w:pPr>
          </w:p>
          <w:p w:rsidR="002C5025" w:rsidRDefault="002C5025">
            <w:pPr>
              <w:pStyle w:val="TableParagraph"/>
              <w:kinsoku w:val="0"/>
              <w:overflowPunct w:val="0"/>
              <w:ind w:right="168"/>
              <w:rPr>
                <w:rFonts w:ascii="Times New Roman" w:hAnsi="Times New Roman" w:cs="Times New Roman"/>
              </w:rPr>
            </w:pPr>
            <w:r>
              <w:rPr>
                <w:sz w:val="20"/>
                <w:szCs w:val="20"/>
              </w:rPr>
              <w:t>While the waiver does specifically focus on expanding SUD treatment, there needs</w:t>
            </w:r>
            <w:r>
              <w:rPr>
                <w:spacing w:val="-3"/>
                <w:sz w:val="20"/>
                <w:szCs w:val="20"/>
              </w:rPr>
              <w:t xml:space="preserve"> </w:t>
            </w:r>
            <w:r>
              <w:rPr>
                <w:sz w:val="20"/>
                <w:szCs w:val="20"/>
              </w:rPr>
              <w:t>to</w:t>
            </w:r>
            <w:r>
              <w:rPr>
                <w:spacing w:val="-5"/>
                <w:sz w:val="20"/>
                <w:szCs w:val="20"/>
              </w:rPr>
              <w:t xml:space="preserve"> </w:t>
            </w:r>
            <w:r>
              <w:rPr>
                <w:sz w:val="20"/>
                <w:szCs w:val="20"/>
              </w:rPr>
              <w:t>be</w:t>
            </w:r>
            <w:r>
              <w:rPr>
                <w:spacing w:val="-5"/>
                <w:sz w:val="20"/>
                <w:szCs w:val="20"/>
              </w:rPr>
              <w:t xml:space="preserve"> </w:t>
            </w:r>
            <w:r>
              <w:rPr>
                <w:sz w:val="20"/>
                <w:szCs w:val="20"/>
              </w:rPr>
              <w:t>a</w:t>
            </w:r>
            <w:r>
              <w:rPr>
                <w:spacing w:val="-5"/>
                <w:sz w:val="20"/>
                <w:szCs w:val="20"/>
              </w:rPr>
              <w:t xml:space="preserve"> </w:t>
            </w:r>
            <w:r>
              <w:rPr>
                <w:sz w:val="20"/>
                <w:szCs w:val="20"/>
              </w:rPr>
              <w:t>recognition</w:t>
            </w:r>
            <w:r>
              <w:rPr>
                <w:spacing w:val="-5"/>
                <w:sz w:val="20"/>
                <w:szCs w:val="20"/>
              </w:rPr>
              <w:t xml:space="preserve"> </w:t>
            </w:r>
            <w:r>
              <w:rPr>
                <w:sz w:val="20"/>
                <w:szCs w:val="20"/>
              </w:rPr>
              <w:t>that</w:t>
            </w:r>
            <w:r>
              <w:rPr>
                <w:spacing w:val="-7"/>
                <w:sz w:val="20"/>
                <w:szCs w:val="20"/>
              </w:rPr>
              <w:t xml:space="preserve"> </w:t>
            </w:r>
            <w:r>
              <w:rPr>
                <w:sz w:val="20"/>
                <w:szCs w:val="20"/>
              </w:rPr>
              <w:t>many</w:t>
            </w:r>
            <w:r>
              <w:rPr>
                <w:spacing w:val="-11"/>
                <w:sz w:val="20"/>
                <w:szCs w:val="20"/>
              </w:rPr>
              <w:t xml:space="preserve"> </w:t>
            </w:r>
            <w:r>
              <w:rPr>
                <w:sz w:val="20"/>
                <w:szCs w:val="20"/>
              </w:rPr>
              <w:t>individuals</w:t>
            </w:r>
            <w:r>
              <w:rPr>
                <w:spacing w:val="-3"/>
                <w:sz w:val="20"/>
                <w:szCs w:val="20"/>
              </w:rPr>
              <w:t xml:space="preserve"> </w:t>
            </w:r>
            <w:r>
              <w:rPr>
                <w:sz w:val="20"/>
                <w:szCs w:val="20"/>
              </w:rPr>
              <w:t>with</w:t>
            </w:r>
            <w:r>
              <w:rPr>
                <w:spacing w:val="-3"/>
                <w:sz w:val="20"/>
                <w:szCs w:val="20"/>
              </w:rPr>
              <w:t xml:space="preserve"> </w:t>
            </w:r>
            <w:r>
              <w:rPr>
                <w:sz w:val="20"/>
                <w:szCs w:val="20"/>
              </w:rPr>
              <w:t>a</w:t>
            </w:r>
            <w:r>
              <w:rPr>
                <w:spacing w:val="-8"/>
                <w:sz w:val="20"/>
                <w:szCs w:val="20"/>
              </w:rPr>
              <w:t xml:space="preserve"> </w:t>
            </w:r>
            <w:r>
              <w:rPr>
                <w:sz w:val="20"/>
                <w:szCs w:val="20"/>
              </w:rPr>
              <w:t>SUD</w:t>
            </w:r>
            <w:r>
              <w:rPr>
                <w:spacing w:val="-5"/>
                <w:sz w:val="20"/>
                <w:szCs w:val="20"/>
              </w:rPr>
              <w:t xml:space="preserve"> </w:t>
            </w:r>
            <w:r>
              <w:rPr>
                <w:sz w:val="20"/>
                <w:szCs w:val="20"/>
              </w:rPr>
              <w:t>also</w:t>
            </w:r>
            <w:r>
              <w:rPr>
                <w:spacing w:val="-5"/>
                <w:sz w:val="20"/>
                <w:szCs w:val="20"/>
              </w:rPr>
              <w:t xml:space="preserve"> </w:t>
            </w:r>
            <w:r>
              <w:rPr>
                <w:sz w:val="20"/>
                <w:szCs w:val="20"/>
              </w:rPr>
              <w:t>have</w:t>
            </w:r>
            <w:r>
              <w:rPr>
                <w:spacing w:val="-5"/>
                <w:sz w:val="20"/>
                <w:szCs w:val="20"/>
              </w:rPr>
              <w:t xml:space="preserve"> </w:t>
            </w:r>
            <w:r>
              <w:rPr>
                <w:sz w:val="20"/>
                <w:szCs w:val="20"/>
              </w:rPr>
              <w:t>a</w:t>
            </w:r>
            <w:r>
              <w:rPr>
                <w:spacing w:val="-8"/>
                <w:sz w:val="20"/>
                <w:szCs w:val="20"/>
              </w:rPr>
              <w:t xml:space="preserve"> </w:t>
            </w:r>
            <w:r>
              <w:rPr>
                <w:sz w:val="20"/>
                <w:szCs w:val="20"/>
              </w:rPr>
              <w:t>mental health condition, and some also have a SMI. For example, approximately 50 percent of Beacon members that have an opiate addiction also have a mental health diagnosis. Therefore, Beacon recommends the inclusion of more explicit requirements to ensure SUD providers receiving funds have the systems</w:t>
            </w:r>
            <w:r>
              <w:rPr>
                <w:spacing w:val="-7"/>
                <w:sz w:val="20"/>
                <w:szCs w:val="20"/>
              </w:rPr>
              <w:t xml:space="preserve"> </w:t>
            </w:r>
            <w:r>
              <w:rPr>
                <w:sz w:val="20"/>
                <w:szCs w:val="20"/>
              </w:rPr>
              <w:t>in</w:t>
            </w:r>
            <w:r>
              <w:rPr>
                <w:spacing w:val="-8"/>
                <w:sz w:val="20"/>
                <w:szCs w:val="20"/>
              </w:rPr>
              <w:t xml:space="preserve"> </w:t>
            </w:r>
            <w:r>
              <w:rPr>
                <w:sz w:val="20"/>
                <w:szCs w:val="20"/>
              </w:rPr>
              <w:t>place</w:t>
            </w:r>
            <w:r>
              <w:rPr>
                <w:spacing w:val="-8"/>
                <w:sz w:val="20"/>
                <w:szCs w:val="20"/>
              </w:rPr>
              <w:t xml:space="preserve"> </w:t>
            </w:r>
            <w:r>
              <w:rPr>
                <w:sz w:val="20"/>
                <w:szCs w:val="20"/>
              </w:rPr>
              <w:t>to</w:t>
            </w:r>
            <w:r>
              <w:rPr>
                <w:spacing w:val="-8"/>
                <w:sz w:val="20"/>
                <w:szCs w:val="20"/>
              </w:rPr>
              <w:t xml:space="preserve"> </w:t>
            </w:r>
            <w:r>
              <w:rPr>
                <w:sz w:val="20"/>
                <w:szCs w:val="20"/>
              </w:rPr>
              <w:t>properly</w:t>
            </w:r>
            <w:r>
              <w:rPr>
                <w:spacing w:val="-13"/>
                <w:sz w:val="20"/>
                <w:szCs w:val="20"/>
              </w:rPr>
              <w:t xml:space="preserve"> </w:t>
            </w:r>
            <w:r>
              <w:rPr>
                <w:sz w:val="20"/>
                <w:szCs w:val="20"/>
              </w:rPr>
              <w:t>coordinate</w:t>
            </w:r>
            <w:r>
              <w:rPr>
                <w:spacing w:val="-10"/>
                <w:sz w:val="20"/>
                <w:szCs w:val="20"/>
              </w:rPr>
              <w:t xml:space="preserve"> </w:t>
            </w:r>
            <w:r>
              <w:rPr>
                <w:sz w:val="20"/>
                <w:szCs w:val="20"/>
              </w:rPr>
              <w:t>care</w:t>
            </w:r>
            <w:r>
              <w:rPr>
                <w:spacing w:val="-8"/>
                <w:sz w:val="20"/>
                <w:szCs w:val="20"/>
              </w:rPr>
              <w:t xml:space="preserve"> </w:t>
            </w:r>
            <w:r>
              <w:rPr>
                <w:sz w:val="20"/>
                <w:szCs w:val="20"/>
              </w:rPr>
              <w:t>with</w:t>
            </w:r>
            <w:r>
              <w:rPr>
                <w:spacing w:val="-11"/>
                <w:sz w:val="20"/>
                <w:szCs w:val="20"/>
              </w:rPr>
              <w:t xml:space="preserve"> </w:t>
            </w:r>
            <w:r>
              <w:rPr>
                <w:sz w:val="20"/>
                <w:szCs w:val="20"/>
              </w:rPr>
              <w:t>mental</w:t>
            </w:r>
            <w:r>
              <w:rPr>
                <w:spacing w:val="-9"/>
                <w:sz w:val="20"/>
                <w:szCs w:val="20"/>
              </w:rPr>
              <w:t xml:space="preserve"> </w:t>
            </w:r>
            <w:r>
              <w:rPr>
                <w:sz w:val="20"/>
                <w:szCs w:val="20"/>
              </w:rPr>
              <w:t>health</w:t>
            </w:r>
            <w:r>
              <w:rPr>
                <w:spacing w:val="-8"/>
                <w:sz w:val="20"/>
                <w:szCs w:val="20"/>
              </w:rPr>
              <w:t xml:space="preserve"> </w:t>
            </w:r>
            <w:r>
              <w:rPr>
                <w:sz w:val="20"/>
                <w:szCs w:val="20"/>
              </w:rPr>
              <w:t>providers.</w:t>
            </w:r>
          </w:p>
        </w:tc>
      </w:tr>
      <w:tr w:rsidR="002C5025">
        <w:trPr>
          <w:trHeight w:hRule="exact" w:val="1392"/>
        </w:trPr>
        <w:tc>
          <w:tcPr>
            <w:tcW w:w="2335" w:type="dxa"/>
            <w:tcBorders>
              <w:top w:val="single" w:sz="4" w:space="0" w:color="7F7F7F"/>
              <w:left w:val="single" w:sz="4" w:space="0" w:color="7F7F7F"/>
              <w:bottom w:val="single" w:sz="4" w:space="0" w:color="7F7F7F"/>
              <w:right w:val="single" w:sz="4" w:space="0" w:color="7F7F7F"/>
            </w:tcBorders>
          </w:tcPr>
          <w:p w:rsidR="002C5025" w:rsidRDefault="002C5025">
            <w:pPr>
              <w:pStyle w:val="TableParagraph"/>
              <w:kinsoku w:val="0"/>
              <w:overflowPunct w:val="0"/>
              <w:spacing w:line="225" w:lineRule="exact"/>
              <w:ind w:right="128"/>
              <w:rPr>
                <w:rFonts w:ascii="Times New Roman" w:hAnsi="Times New Roman" w:cs="Times New Roman"/>
              </w:rPr>
            </w:pPr>
            <w:r>
              <w:rPr>
                <w:sz w:val="20"/>
                <w:szCs w:val="20"/>
              </w:rPr>
              <w:t>Overall Comment</w:t>
            </w:r>
          </w:p>
        </w:tc>
        <w:tc>
          <w:tcPr>
            <w:tcW w:w="7200" w:type="dxa"/>
            <w:tcBorders>
              <w:top w:val="single" w:sz="4" w:space="0" w:color="7F7F7F"/>
              <w:left w:val="single" w:sz="4" w:space="0" w:color="7F7F7F"/>
              <w:bottom w:val="single" w:sz="4" w:space="0" w:color="7F7F7F"/>
              <w:right w:val="single" w:sz="4" w:space="0" w:color="7F7F7F"/>
            </w:tcBorders>
          </w:tcPr>
          <w:p w:rsidR="002C5025" w:rsidRDefault="002C5025">
            <w:pPr>
              <w:pStyle w:val="TableParagraph"/>
              <w:kinsoku w:val="0"/>
              <w:overflowPunct w:val="0"/>
              <w:ind w:right="150"/>
              <w:rPr>
                <w:rFonts w:ascii="Times New Roman" w:hAnsi="Times New Roman" w:cs="Times New Roman"/>
              </w:rPr>
            </w:pPr>
            <w:r>
              <w:rPr>
                <w:sz w:val="20"/>
                <w:szCs w:val="20"/>
              </w:rPr>
              <w:t>Beacon applauds the efforts by both the Centers for Medicare and Medicaid Services and the Commonwealth of Massachusetts in developing the One Care</w:t>
            </w:r>
            <w:r>
              <w:rPr>
                <w:spacing w:val="-7"/>
                <w:sz w:val="20"/>
                <w:szCs w:val="20"/>
              </w:rPr>
              <w:t xml:space="preserve"> </w:t>
            </w:r>
            <w:r>
              <w:rPr>
                <w:sz w:val="20"/>
                <w:szCs w:val="20"/>
              </w:rPr>
              <w:t>Program.</w:t>
            </w:r>
            <w:r>
              <w:rPr>
                <w:spacing w:val="-13"/>
                <w:sz w:val="20"/>
                <w:szCs w:val="20"/>
              </w:rPr>
              <w:t xml:space="preserve"> </w:t>
            </w:r>
            <w:r>
              <w:rPr>
                <w:spacing w:val="4"/>
                <w:sz w:val="20"/>
                <w:szCs w:val="20"/>
              </w:rPr>
              <w:t>We</w:t>
            </w:r>
            <w:r>
              <w:rPr>
                <w:spacing w:val="-10"/>
                <w:sz w:val="20"/>
                <w:szCs w:val="20"/>
              </w:rPr>
              <w:t xml:space="preserve"> </w:t>
            </w:r>
            <w:r>
              <w:rPr>
                <w:sz w:val="20"/>
                <w:szCs w:val="20"/>
              </w:rPr>
              <w:t>support</w:t>
            </w:r>
            <w:r>
              <w:rPr>
                <w:spacing w:val="-7"/>
                <w:sz w:val="20"/>
                <w:szCs w:val="20"/>
              </w:rPr>
              <w:t xml:space="preserve"> </w:t>
            </w:r>
            <w:r>
              <w:rPr>
                <w:sz w:val="20"/>
                <w:szCs w:val="20"/>
              </w:rPr>
              <w:t>the</w:t>
            </w:r>
            <w:r>
              <w:rPr>
                <w:spacing w:val="-7"/>
                <w:sz w:val="20"/>
                <w:szCs w:val="20"/>
              </w:rPr>
              <w:t xml:space="preserve"> </w:t>
            </w:r>
            <w:r>
              <w:rPr>
                <w:sz w:val="20"/>
                <w:szCs w:val="20"/>
              </w:rPr>
              <w:t>original</w:t>
            </w:r>
            <w:r>
              <w:rPr>
                <w:spacing w:val="-8"/>
                <w:sz w:val="20"/>
                <w:szCs w:val="20"/>
              </w:rPr>
              <w:t xml:space="preserve"> </w:t>
            </w:r>
            <w:r>
              <w:rPr>
                <w:sz w:val="20"/>
                <w:szCs w:val="20"/>
              </w:rPr>
              <w:t>purpose</w:t>
            </w:r>
            <w:r>
              <w:rPr>
                <w:spacing w:val="-7"/>
                <w:sz w:val="20"/>
                <w:szCs w:val="20"/>
              </w:rPr>
              <w:t xml:space="preserve"> </w:t>
            </w:r>
            <w:r>
              <w:rPr>
                <w:sz w:val="20"/>
                <w:szCs w:val="20"/>
              </w:rPr>
              <w:t>and</w:t>
            </w:r>
            <w:r>
              <w:rPr>
                <w:spacing w:val="-9"/>
                <w:sz w:val="20"/>
                <w:szCs w:val="20"/>
              </w:rPr>
              <w:t xml:space="preserve"> </w:t>
            </w:r>
            <w:r>
              <w:rPr>
                <w:sz w:val="20"/>
                <w:szCs w:val="20"/>
              </w:rPr>
              <w:t>design</w:t>
            </w:r>
            <w:r>
              <w:rPr>
                <w:spacing w:val="-7"/>
                <w:sz w:val="20"/>
                <w:szCs w:val="20"/>
              </w:rPr>
              <w:t xml:space="preserve"> </w:t>
            </w:r>
            <w:r>
              <w:rPr>
                <w:sz w:val="20"/>
                <w:szCs w:val="20"/>
              </w:rPr>
              <w:t>of</w:t>
            </w:r>
            <w:r>
              <w:rPr>
                <w:spacing w:val="-5"/>
                <w:sz w:val="20"/>
                <w:szCs w:val="20"/>
              </w:rPr>
              <w:t xml:space="preserve"> </w:t>
            </w:r>
            <w:r>
              <w:rPr>
                <w:sz w:val="20"/>
                <w:szCs w:val="20"/>
              </w:rPr>
              <w:t>the</w:t>
            </w:r>
            <w:r>
              <w:rPr>
                <w:spacing w:val="-7"/>
                <w:sz w:val="20"/>
                <w:szCs w:val="20"/>
              </w:rPr>
              <w:t xml:space="preserve"> </w:t>
            </w:r>
            <w:r>
              <w:rPr>
                <w:sz w:val="20"/>
                <w:szCs w:val="20"/>
              </w:rPr>
              <w:t>program</w:t>
            </w:r>
            <w:r>
              <w:rPr>
                <w:spacing w:val="-7"/>
                <w:sz w:val="20"/>
                <w:szCs w:val="20"/>
              </w:rPr>
              <w:t xml:space="preserve"> </w:t>
            </w:r>
            <w:r>
              <w:rPr>
                <w:sz w:val="20"/>
                <w:szCs w:val="20"/>
              </w:rPr>
              <w:t xml:space="preserve">and its specialty recognition around individuals with SMI. Beacon is supportive </w:t>
            </w:r>
            <w:r>
              <w:rPr>
                <w:spacing w:val="-3"/>
                <w:sz w:val="20"/>
                <w:szCs w:val="20"/>
              </w:rPr>
              <w:t xml:space="preserve">of </w:t>
            </w:r>
            <w:r>
              <w:rPr>
                <w:sz w:val="20"/>
                <w:szCs w:val="20"/>
              </w:rPr>
              <w:t>efforts to improve components of a rejuvenated One Care Program in the Commonwealth.</w:t>
            </w:r>
          </w:p>
        </w:tc>
      </w:tr>
      <w:tr w:rsidR="002C5025">
        <w:trPr>
          <w:trHeight w:hRule="exact" w:val="6218"/>
        </w:trPr>
        <w:tc>
          <w:tcPr>
            <w:tcW w:w="2335" w:type="dxa"/>
            <w:tcBorders>
              <w:top w:val="single" w:sz="4" w:space="0" w:color="7F7F7F"/>
              <w:left w:val="single" w:sz="4" w:space="0" w:color="7F7F7F"/>
              <w:bottom w:val="single" w:sz="4" w:space="0" w:color="7F7F7F"/>
              <w:right w:val="single" w:sz="4" w:space="0" w:color="7F7F7F"/>
            </w:tcBorders>
          </w:tcPr>
          <w:p w:rsidR="002C5025" w:rsidRDefault="002C5025">
            <w:pPr>
              <w:pStyle w:val="TableParagraph"/>
              <w:kinsoku w:val="0"/>
              <w:overflowPunct w:val="0"/>
              <w:spacing w:before="2" w:line="228" w:lineRule="exact"/>
              <w:ind w:right="128"/>
              <w:rPr>
                <w:rFonts w:ascii="Times New Roman" w:hAnsi="Times New Roman" w:cs="Times New Roman"/>
              </w:rPr>
            </w:pPr>
            <w:r>
              <w:rPr>
                <w:sz w:val="20"/>
                <w:szCs w:val="20"/>
              </w:rPr>
              <w:t>4.1. Overview of ACO Models</w:t>
            </w:r>
          </w:p>
        </w:tc>
        <w:tc>
          <w:tcPr>
            <w:tcW w:w="7200" w:type="dxa"/>
            <w:tcBorders>
              <w:top w:val="single" w:sz="4" w:space="0" w:color="7F7F7F"/>
              <w:left w:val="single" w:sz="4" w:space="0" w:color="7F7F7F"/>
              <w:bottom w:val="single" w:sz="4" w:space="0" w:color="7F7F7F"/>
              <w:right w:val="single" w:sz="4" w:space="0" w:color="7F7F7F"/>
            </w:tcBorders>
          </w:tcPr>
          <w:p w:rsidR="002C5025" w:rsidRDefault="002C5025">
            <w:pPr>
              <w:pStyle w:val="TableParagraph"/>
              <w:kinsoku w:val="0"/>
              <w:overflowPunct w:val="0"/>
              <w:ind w:left="102" w:right="250"/>
              <w:rPr>
                <w:sz w:val="20"/>
                <w:szCs w:val="20"/>
              </w:rPr>
            </w:pPr>
            <w:r>
              <w:rPr>
                <w:sz w:val="20"/>
                <w:szCs w:val="20"/>
              </w:rPr>
              <w:t>Individuals with SMI are among the most vulnerable members of our society, displaying dramatically reduced lifespans compared to the population norm. Untreated SMI conditions have a pronounced impact on a person’s executive functioning and self-care ability. This impact often results in several related- health deficits. Appropriate treatment resources and supports have far too often remained unavailable, inaccessible, or disorganized. The unintended consequences include criminal justice recidivism, increased rates of homelessness, unemployment, and higher use of avoidable ED and hospital admissions, or in the worst case, tragic community events.</w:t>
            </w:r>
          </w:p>
          <w:p w:rsidR="002C5025" w:rsidRDefault="002C5025">
            <w:pPr>
              <w:pStyle w:val="TableParagraph"/>
              <w:kinsoku w:val="0"/>
              <w:overflowPunct w:val="0"/>
              <w:ind w:left="0"/>
              <w:rPr>
                <w:sz w:val="20"/>
                <w:szCs w:val="20"/>
              </w:rPr>
            </w:pPr>
          </w:p>
          <w:p w:rsidR="002C5025" w:rsidRDefault="002C5025">
            <w:pPr>
              <w:pStyle w:val="TableParagraph"/>
              <w:kinsoku w:val="0"/>
              <w:overflowPunct w:val="0"/>
              <w:ind w:left="102" w:right="153"/>
              <w:rPr>
                <w:sz w:val="20"/>
                <w:szCs w:val="20"/>
              </w:rPr>
            </w:pPr>
            <w:r>
              <w:rPr>
                <w:sz w:val="20"/>
                <w:szCs w:val="20"/>
              </w:rPr>
              <w:t>Patterns of accessing care differ as well. A comparison of health care utilization in Massachusetts reveals that people with SMI access ED care six times more often, and primary care half as often, when compared to people without SMI.</w:t>
            </w:r>
            <w:r>
              <w:rPr>
                <w:position w:val="7"/>
                <w:sz w:val="13"/>
                <w:szCs w:val="13"/>
              </w:rPr>
              <w:t xml:space="preserve">2 </w:t>
            </w:r>
            <w:r>
              <w:rPr>
                <w:sz w:val="20"/>
                <w:szCs w:val="20"/>
              </w:rPr>
              <w:t xml:space="preserve">When asked why, individuals with SMI report they have trouble getting to appointments; feel uncomfortable disrobing in front of doctors; feel doctors do not really listen to them; and crowded waiting rooms make them nervous. Compounding these circumstances is that many primary care clinicians do not feel confident managing people with SMI. Primary care clinicians also </w:t>
            </w:r>
            <w:r>
              <w:rPr>
                <w:spacing w:val="2"/>
                <w:sz w:val="20"/>
                <w:szCs w:val="20"/>
              </w:rPr>
              <w:t xml:space="preserve">may </w:t>
            </w:r>
            <w:r>
              <w:rPr>
                <w:sz w:val="20"/>
                <w:szCs w:val="20"/>
              </w:rPr>
              <w:t>not recognize the early signs of mental illness, and if they do,</w:t>
            </w:r>
            <w:r>
              <w:rPr>
                <w:spacing w:val="-8"/>
                <w:sz w:val="20"/>
                <w:szCs w:val="20"/>
              </w:rPr>
              <w:t xml:space="preserve"> </w:t>
            </w:r>
            <w:r>
              <w:rPr>
                <w:sz w:val="20"/>
                <w:szCs w:val="20"/>
              </w:rPr>
              <w:t>lack</w:t>
            </w:r>
            <w:r>
              <w:rPr>
                <w:spacing w:val="-5"/>
                <w:sz w:val="20"/>
                <w:szCs w:val="20"/>
              </w:rPr>
              <w:t xml:space="preserve"> </w:t>
            </w:r>
            <w:r>
              <w:rPr>
                <w:sz w:val="20"/>
                <w:szCs w:val="20"/>
              </w:rPr>
              <w:t>opportunities</w:t>
            </w:r>
            <w:r>
              <w:rPr>
                <w:spacing w:val="-7"/>
                <w:sz w:val="20"/>
                <w:szCs w:val="20"/>
              </w:rPr>
              <w:t xml:space="preserve"> </w:t>
            </w:r>
            <w:r>
              <w:rPr>
                <w:sz w:val="20"/>
                <w:szCs w:val="20"/>
              </w:rPr>
              <w:t>to</w:t>
            </w:r>
            <w:r>
              <w:rPr>
                <w:spacing w:val="-8"/>
                <w:sz w:val="20"/>
                <w:szCs w:val="20"/>
              </w:rPr>
              <w:t xml:space="preserve"> </w:t>
            </w:r>
            <w:r>
              <w:rPr>
                <w:sz w:val="20"/>
                <w:szCs w:val="20"/>
              </w:rPr>
              <w:t>discuss</w:t>
            </w:r>
            <w:r>
              <w:rPr>
                <w:spacing w:val="-9"/>
                <w:sz w:val="20"/>
                <w:szCs w:val="20"/>
              </w:rPr>
              <w:t xml:space="preserve"> </w:t>
            </w:r>
            <w:r>
              <w:rPr>
                <w:sz w:val="20"/>
                <w:szCs w:val="20"/>
              </w:rPr>
              <w:t>shared</w:t>
            </w:r>
            <w:r>
              <w:rPr>
                <w:spacing w:val="-11"/>
                <w:sz w:val="20"/>
                <w:szCs w:val="20"/>
              </w:rPr>
              <w:t xml:space="preserve"> </w:t>
            </w:r>
            <w:r>
              <w:rPr>
                <w:sz w:val="20"/>
                <w:szCs w:val="20"/>
              </w:rPr>
              <w:t>care</w:t>
            </w:r>
            <w:r>
              <w:rPr>
                <w:spacing w:val="-8"/>
                <w:sz w:val="20"/>
                <w:szCs w:val="20"/>
              </w:rPr>
              <w:t xml:space="preserve"> </w:t>
            </w:r>
            <w:r>
              <w:rPr>
                <w:sz w:val="20"/>
                <w:szCs w:val="20"/>
              </w:rPr>
              <w:t>plans</w:t>
            </w:r>
            <w:r>
              <w:rPr>
                <w:spacing w:val="-7"/>
                <w:sz w:val="20"/>
                <w:szCs w:val="20"/>
              </w:rPr>
              <w:t xml:space="preserve"> </w:t>
            </w:r>
            <w:r>
              <w:rPr>
                <w:sz w:val="20"/>
                <w:szCs w:val="20"/>
              </w:rPr>
              <w:t>with</w:t>
            </w:r>
            <w:r>
              <w:rPr>
                <w:spacing w:val="-8"/>
                <w:sz w:val="20"/>
                <w:szCs w:val="20"/>
              </w:rPr>
              <w:t xml:space="preserve"> </w:t>
            </w:r>
            <w:r>
              <w:rPr>
                <w:sz w:val="20"/>
                <w:szCs w:val="20"/>
              </w:rPr>
              <w:t>specialty</w:t>
            </w:r>
            <w:r>
              <w:rPr>
                <w:spacing w:val="-14"/>
                <w:sz w:val="20"/>
                <w:szCs w:val="20"/>
              </w:rPr>
              <w:t xml:space="preserve"> </w:t>
            </w:r>
            <w:r>
              <w:rPr>
                <w:sz w:val="20"/>
                <w:szCs w:val="20"/>
              </w:rPr>
              <w:t>mental</w:t>
            </w:r>
            <w:r>
              <w:rPr>
                <w:spacing w:val="-9"/>
                <w:sz w:val="20"/>
                <w:szCs w:val="20"/>
              </w:rPr>
              <w:t xml:space="preserve"> </w:t>
            </w:r>
            <w:r>
              <w:rPr>
                <w:sz w:val="20"/>
                <w:szCs w:val="20"/>
              </w:rPr>
              <w:t>health colleagues.</w:t>
            </w:r>
          </w:p>
          <w:p w:rsidR="002C5025" w:rsidRDefault="002C5025">
            <w:pPr>
              <w:pStyle w:val="TableParagraph"/>
              <w:kinsoku w:val="0"/>
              <w:overflowPunct w:val="0"/>
              <w:spacing w:before="11"/>
              <w:ind w:left="0"/>
              <w:rPr>
                <w:sz w:val="19"/>
                <w:szCs w:val="19"/>
              </w:rPr>
            </w:pPr>
          </w:p>
          <w:p w:rsidR="002C5025" w:rsidRDefault="002C5025">
            <w:pPr>
              <w:pStyle w:val="TableParagraph"/>
              <w:kinsoku w:val="0"/>
              <w:overflowPunct w:val="0"/>
              <w:spacing w:line="237" w:lineRule="auto"/>
              <w:ind w:right="153"/>
              <w:rPr>
                <w:rFonts w:ascii="Times New Roman" w:hAnsi="Times New Roman" w:cs="Times New Roman"/>
              </w:rPr>
            </w:pPr>
            <w:r>
              <w:rPr>
                <w:sz w:val="20"/>
                <w:szCs w:val="20"/>
              </w:rPr>
              <w:t>Despite ongoing efforts to achieve integration and reduce stigma, people with SMI remain the most likely group to receive suboptimal care in primary care settings.</w:t>
            </w:r>
            <w:r>
              <w:rPr>
                <w:position w:val="7"/>
                <w:sz w:val="13"/>
                <w:szCs w:val="13"/>
              </w:rPr>
              <w:t xml:space="preserve">2 </w:t>
            </w:r>
            <w:r>
              <w:rPr>
                <w:sz w:val="20"/>
                <w:szCs w:val="20"/>
              </w:rPr>
              <w:t>Even when people with SMI are engaged with care, as few as seven percent actually receive evidence-based practices.</w:t>
            </w:r>
            <w:r>
              <w:rPr>
                <w:position w:val="7"/>
                <w:sz w:val="13"/>
                <w:szCs w:val="13"/>
              </w:rPr>
              <w:t xml:space="preserve">3 </w:t>
            </w:r>
            <w:r>
              <w:rPr>
                <w:sz w:val="20"/>
                <w:szCs w:val="20"/>
              </w:rPr>
              <w:t>Such individuals continue to live on the fringes of our communities, families, and society more broadly.</w:t>
            </w:r>
          </w:p>
        </w:tc>
      </w:tr>
    </w:tbl>
    <w:p w:rsidR="002C5025" w:rsidRDefault="002C5025">
      <w:pPr>
        <w:pStyle w:val="BodyText"/>
        <w:kinsoku w:val="0"/>
        <w:overflowPunct w:val="0"/>
        <w:rPr>
          <w:rFonts w:ascii="Arial" w:hAnsi="Arial" w:cs="Arial"/>
          <w:sz w:val="20"/>
          <w:szCs w:val="20"/>
        </w:rPr>
      </w:pPr>
    </w:p>
    <w:p w:rsidR="002C5025" w:rsidRDefault="00FB027C">
      <w:pPr>
        <w:pStyle w:val="BodyText"/>
        <w:kinsoku w:val="0"/>
        <w:overflowPunct w:val="0"/>
        <w:spacing w:before="2"/>
        <w:rPr>
          <w:rFonts w:ascii="Arial" w:hAnsi="Arial" w:cs="Arial"/>
          <w:sz w:val="10"/>
          <w:szCs w:val="10"/>
        </w:rPr>
      </w:pPr>
      <w:r>
        <w:rPr>
          <w:noProof/>
        </w:rPr>
        <mc:AlternateContent>
          <mc:Choice Requires="wps">
            <w:drawing>
              <wp:anchor distT="0" distB="0" distL="0" distR="0" simplePos="0" relativeHeight="251520512" behindDoc="0" locked="0" layoutInCell="0" allowOverlap="1">
                <wp:simplePos x="0" y="0"/>
                <wp:positionH relativeFrom="page">
                  <wp:posOffset>904875</wp:posOffset>
                </wp:positionH>
                <wp:positionV relativeFrom="paragraph">
                  <wp:posOffset>103505</wp:posOffset>
                </wp:positionV>
                <wp:extent cx="1492250" cy="12700"/>
                <wp:effectExtent l="0" t="0" r="0" b="0"/>
                <wp:wrapTopAndBottom/>
                <wp:docPr id="853" name="Freeform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92250" cy="12700"/>
                        </a:xfrm>
                        <a:custGeom>
                          <a:avLst/>
                          <a:gdLst>
                            <a:gd name="T0" fmla="*/ 0 w 2350"/>
                            <a:gd name="T1" fmla="*/ 0 h 20"/>
                            <a:gd name="T2" fmla="*/ 2349 w 2350"/>
                            <a:gd name="T3" fmla="*/ 0 h 20"/>
                          </a:gdLst>
                          <a:ahLst/>
                          <a:cxnLst>
                            <a:cxn ang="0">
                              <a:pos x="T0" y="T1"/>
                            </a:cxn>
                            <a:cxn ang="0">
                              <a:pos x="T2" y="T3"/>
                            </a:cxn>
                          </a:cxnLst>
                          <a:rect l="0" t="0" r="r" b="b"/>
                          <a:pathLst>
                            <a:path w="2350" h="20">
                              <a:moveTo>
                                <a:pt x="0" y="0"/>
                              </a:moveTo>
                              <a:lnTo>
                                <a:pt x="2349"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72" o:spid="_x0000_s1026" style="position:absolute;z-index:251520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1.25pt,8.15pt,188.7pt,8.15pt" coordsize="23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" o:allowincell="f" filled="f" strokeweight=".25397mm">
                <v:path arrowok="t" o:connecttype="custom" o:connectlocs="0,0;1491615,0" o:connectangles="0,0"/>
                <w10:wrap type="topAndBottom" anchorx="page"/>
              </v:polyline>
            </w:pict>
          </mc:Fallback>
        </mc:AlternateContent>
      </w:r>
    </w:p>
    <w:p w:rsidR="002C5025" w:rsidRDefault="002C5025">
      <w:pPr>
        <w:pStyle w:val="BodyText"/>
        <w:kinsoku w:val="0"/>
        <w:overflowPunct w:val="0"/>
        <w:spacing w:before="66"/>
        <w:ind w:left="140" w:right="805"/>
        <w:rPr>
          <w:rFonts w:ascii="Arial" w:hAnsi="Arial" w:cs="Arial"/>
          <w:sz w:val="16"/>
          <w:szCs w:val="16"/>
        </w:rPr>
      </w:pPr>
      <w:r>
        <w:rPr>
          <w:rFonts w:ascii="Arial" w:hAnsi="Arial" w:cs="Arial"/>
          <w:position w:val="6"/>
          <w:sz w:val="10"/>
          <w:szCs w:val="10"/>
        </w:rPr>
        <w:t xml:space="preserve">2 </w:t>
      </w:r>
      <w:r>
        <w:rPr>
          <w:rFonts w:ascii="Arial" w:hAnsi="Arial" w:cs="Arial"/>
          <w:sz w:val="16"/>
          <w:szCs w:val="16"/>
        </w:rPr>
        <w:t>Reardon, C. Integrating Behavioral Health and Primary Care – The Person-Centered Healthcare Home. Social Work Today. 2010;10(1):14.</w:t>
      </w:r>
    </w:p>
    <w:p w:rsidR="002C5025" w:rsidRDefault="002C5025">
      <w:pPr>
        <w:pStyle w:val="BodyText"/>
        <w:kinsoku w:val="0"/>
        <w:overflowPunct w:val="0"/>
        <w:spacing w:line="187" w:lineRule="exact"/>
        <w:ind w:left="140" w:right="442"/>
        <w:rPr>
          <w:rFonts w:ascii="Arial" w:hAnsi="Arial" w:cs="Arial"/>
          <w:sz w:val="16"/>
          <w:szCs w:val="16"/>
        </w:rPr>
      </w:pPr>
      <w:r>
        <w:rPr>
          <w:rFonts w:ascii="Arial" w:hAnsi="Arial" w:cs="Arial"/>
          <w:position w:val="6"/>
          <w:sz w:val="10"/>
          <w:szCs w:val="10"/>
        </w:rPr>
        <w:t xml:space="preserve">3 </w:t>
      </w:r>
      <w:proofErr w:type="spellStart"/>
      <w:r>
        <w:rPr>
          <w:rFonts w:ascii="Arial" w:hAnsi="Arial" w:cs="Arial"/>
          <w:sz w:val="16"/>
          <w:szCs w:val="16"/>
        </w:rPr>
        <w:t>Summergrad</w:t>
      </w:r>
      <w:proofErr w:type="spellEnd"/>
      <w:r>
        <w:rPr>
          <w:rFonts w:ascii="Arial" w:hAnsi="Arial" w:cs="Arial"/>
          <w:sz w:val="16"/>
          <w:szCs w:val="16"/>
        </w:rPr>
        <w:t xml:space="preserve">, P, &amp; </w:t>
      </w:r>
      <w:proofErr w:type="spellStart"/>
      <w:r>
        <w:rPr>
          <w:rFonts w:ascii="Arial" w:hAnsi="Arial" w:cs="Arial"/>
          <w:sz w:val="16"/>
          <w:szCs w:val="16"/>
        </w:rPr>
        <w:t>Kathol</w:t>
      </w:r>
      <w:proofErr w:type="spellEnd"/>
      <w:r>
        <w:rPr>
          <w:rFonts w:ascii="Arial" w:hAnsi="Arial" w:cs="Arial"/>
          <w:sz w:val="16"/>
          <w:szCs w:val="16"/>
        </w:rPr>
        <w:t>, RG. (2014). Integrated Care in Psychiatry. New York, NY: Springer.</w:t>
      </w:r>
    </w:p>
    <w:p w:rsidR="002C5025" w:rsidRDefault="002C5025">
      <w:pPr>
        <w:pStyle w:val="BodyText"/>
        <w:kinsoku w:val="0"/>
        <w:overflowPunct w:val="0"/>
        <w:rPr>
          <w:rFonts w:ascii="Arial" w:hAnsi="Arial" w:cs="Arial"/>
          <w:sz w:val="20"/>
          <w:szCs w:val="20"/>
        </w:rPr>
      </w:pPr>
    </w:p>
    <w:p w:rsidR="002C5025" w:rsidRDefault="00FB027C">
      <w:pPr>
        <w:pStyle w:val="BodyText"/>
        <w:kinsoku w:val="0"/>
        <w:overflowPunct w:val="0"/>
        <w:spacing w:before="2"/>
        <w:rPr>
          <w:rFonts w:ascii="Arial" w:hAnsi="Arial" w:cs="Arial"/>
          <w:sz w:val="13"/>
          <w:szCs w:val="13"/>
        </w:rPr>
      </w:pPr>
      <w:r>
        <w:rPr>
          <w:noProof/>
        </w:rPr>
        <mc:AlternateContent>
          <mc:Choice Requires="wps">
            <w:drawing>
              <wp:anchor distT="0" distB="0" distL="0" distR="0" simplePos="0" relativeHeight="251521536" behindDoc="0" locked="0" layoutInCell="0" allowOverlap="1">
                <wp:simplePos x="0" y="0"/>
                <wp:positionH relativeFrom="page">
                  <wp:posOffset>895350</wp:posOffset>
                </wp:positionH>
                <wp:positionV relativeFrom="paragraph">
                  <wp:posOffset>125095</wp:posOffset>
                </wp:positionV>
                <wp:extent cx="5982335" cy="12700"/>
                <wp:effectExtent l="0" t="0" r="0" b="0"/>
                <wp:wrapTopAndBottom/>
                <wp:docPr id="852" name="Freeform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2335" cy="12700"/>
                        </a:xfrm>
                        <a:custGeom>
                          <a:avLst/>
                          <a:gdLst>
                            <a:gd name="T0" fmla="*/ 0 w 9421"/>
                            <a:gd name="T1" fmla="*/ 0 h 20"/>
                            <a:gd name="T2" fmla="*/ 9421 w 9421"/>
                            <a:gd name="T3" fmla="*/ 0 h 20"/>
                          </a:gdLst>
                          <a:ahLst/>
                          <a:cxnLst>
                            <a:cxn ang="0">
                              <a:pos x="T0" y="T1"/>
                            </a:cxn>
                            <a:cxn ang="0">
                              <a:pos x="T2" y="T3"/>
                            </a:cxn>
                          </a:cxnLst>
                          <a:rect l="0" t="0" r="r" b="b"/>
                          <a:pathLst>
                            <a:path w="9421" h="20">
                              <a:moveTo>
                                <a:pt x="0" y="0"/>
                              </a:moveTo>
                              <a:lnTo>
                                <a:pt x="9421" y="0"/>
                              </a:lnTo>
                            </a:path>
                          </a:pathLst>
                        </a:custGeom>
                        <a:noFill/>
                        <a:ln w="7365">
                          <a:solidFill>
                            <a:srgbClr val="85CCE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73" o:spid="_x0000_s1026" style="position:absolute;z-index:251521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0.5pt,9.85pt,541.55pt,9.85pt" coordsize="94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" o:allowincell="f" filled="f" strokecolor="#85cced" strokeweight=".20458mm">
                <v:path arrowok="t" o:connecttype="custom" o:connectlocs="0,0;5982335,0" o:connectangles="0,0"/>
                <w10:wrap type="topAndBottom" anchorx="page"/>
              </v:polyline>
            </w:pict>
          </mc:Fallback>
        </mc:AlternateContent>
      </w:r>
    </w:p>
    <w:p w:rsidR="002C5025" w:rsidRDefault="002C5025">
      <w:pPr>
        <w:pStyle w:val="BodyText"/>
        <w:tabs>
          <w:tab w:val="right" w:pos="9500"/>
        </w:tabs>
        <w:kinsoku w:val="0"/>
        <w:overflowPunct w:val="0"/>
        <w:spacing w:before="46"/>
        <w:ind w:left="140"/>
        <w:rPr>
          <w:rFonts w:ascii="Arial" w:hAnsi="Arial" w:cs="Arial"/>
          <w:sz w:val="20"/>
          <w:szCs w:val="20"/>
        </w:rPr>
      </w:pPr>
      <w:r>
        <w:rPr>
          <w:rFonts w:ascii="Arial" w:hAnsi="Arial" w:cs="Arial"/>
          <w:sz w:val="20"/>
          <w:szCs w:val="20"/>
        </w:rPr>
        <w:t>MassHealth Section 1115</w:t>
      </w:r>
      <w:r>
        <w:rPr>
          <w:rFonts w:ascii="Arial" w:hAnsi="Arial" w:cs="Arial"/>
          <w:spacing w:val="-7"/>
          <w:sz w:val="20"/>
          <w:szCs w:val="20"/>
        </w:rPr>
        <w:t xml:space="preserve"> </w:t>
      </w:r>
      <w:r>
        <w:rPr>
          <w:rFonts w:ascii="Arial" w:hAnsi="Arial" w:cs="Arial"/>
          <w:sz w:val="20"/>
          <w:szCs w:val="20"/>
        </w:rPr>
        <w:t>Demonstration</w:t>
      </w:r>
      <w:r>
        <w:rPr>
          <w:rFonts w:ascii="Arial" w:hAnsi="Arial" w:cs="Arial"/>
          <w:spacing w:val="-4"/>
          <w:sz w:val="20"/>
          <w:szCs w:val="20"/>
        </w:rPr>
        <w:t xml:space="preserve"> </w:t>
      </w:r>
      <w:r>
        <w:rPr>
          <w:rFonts w:ascii="Arial" w:hAnsi="Arial" w:cs="Arial"/>
          <w:sz w:val="20"/>
          <w:szCs w:val="20"/>
        </w:rPr>
        <w:t>Comments</w:t>
      </w:r>
      <w:r>
        <w:rPr>
          <w:rFonts w:ascii="Arial" w:hAnsi="Arial" w:cs="Arial"/>
          <w:sz w:val="20"/>
          <w:szCs w:val="20"/>
        </w:rPr>
        <w:tab/>
        <w:t>3</w:t>
      </w:r>
    </w:p>
    <w:p w:rsidR="002C5025" w:rsidRDefault="002C5025">
      <w:pPr>
        <w:pStyle w:val="BodyText"/>
        <w:tabs>
          <w:tab w:val="right" w:pos="9500"/>
        </w:tabs>
        <w:kinsoku w:val="0"/>
        <w:overflowPunct w:val="0"/>
        <w:spacing w:before="46"/>
        <w:ind w:left="140"/>
        <w:rPr>
          <w:rFonts w:ascii="Arial" w:hAnsi="Arial" w:cs="Arial"/>
          <w:sz w:val="20"/>
          <w:szCs w:val="20"/>
        </w:rPr>
        <w:sectPr w:rsidR="002C5025">
          <w:pgSz w:w="12240" w:h="15840"/>
          <w:pgMar w:top="720" w:right="1140" w:bottom="280" w:left="1300" w:header="720" w:footer="720" w:gutter="0"/>
          <w:cols w:space="720"/>
          <w:noEndnote/>
        </w:sectPr>
      </w:pPr>
    </w:p>
    <w:p w:rsidR="002C5025" w:rsidRDefault="00FB027C">
      <w:pPr>
        <w:pStyle w:val="BodyText"/>
        <w:kinsoku w:val="0"/>
        <w:overflowPunct w:val="0"/>
        <w:ind w:left="130"/>
        <w:rPr>
          <w:rFonts w:ascii="Arial" w:hAnsi="Arial" w:cs="Arial"/>
          <w:sz w:val="20"/>
          <w:szCs w:val="20"/>
        </w:rPr>
      </w:pPr>
      <w:r>
        <w:rPr>
          <w:rFonts w:ascii="Arial" w:hAnsi="Arial" w:cs="Arial"/>
          <w:noProof/>
          <w:sz w:val="20"/>
          <w:szCs w:val="20"/>
        </w:rPr>
        <w:lastRenderedPageBreak/>
        <mc:AlternateContent>
          <mc:Choice Requires="wpg">
            <w:drawing>
              <wp:inline distT="0" distB="0" distL="0" distR="0">
                <wp:extent cx="6068060" cy="369570"/>
                <wp:effectExtent l="0" t="0" r="0" b="1905"/>
                <wp:docPr id="846"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369570"/>
                          <a:chOff x="0" y="0"/>
                          <a:chExt cx="9556" cy="582"/>
                        </a:xfrm>
                      </wpg:grpSpPr>
                      <pic:pic xmlns:pic="http://schemas.openxmlformats.org/drawingml/2006/picture">
                        <pic:nvPicPr>
                          <pic:cNvPr id="847" name="Picture 175"/>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10" y="0"/>
                            <a:ext cx="19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48" name="Freeform 176"/>
                        <wps:cNvSpPr>
                          <a:spLocks/>
                        </wps:cNvSpPr>
                        <wps:spPr bwMode="auto">
                          <a:xfrm>
                            <a:off x="10" y="571"/>
                            <a:ext cx="2336" cy="20"/>
                          </a:xfrm>
                          <a:custGeom>
                            <a:avLst/>
                            <a:gdLst>
                              <a:gd name="T0" fmla="*/ 0 w 2336"/>
                              <a:gd name="T1" fmla="*/ 0 h 20"/>
                              <a:gd name="T2" fmla="*/ 2335 w 2336"/>
                              <a:gd name="T3" fmla="*/ 0 h 20"/>
                            </a:gdLst>
                            <a:ahLst/>
                            <a:cxnLst>
                              <a:cxn ang="0">
                                <a:pos x="T0" y="T1"/>
                              </a:cxn>
                              <a:cxn ang="0">
                                <a:pos x="T2" y="T3"/>
                              </a:cxn>
                            </a:cxnLst>
                            <a:rect l="0" t="0" r="r" b="b"/>
                            <a:pathLst>
                              <a:path w="2336" h="20">
                                <a:moveTo>
                                  <a:pt x="0" y="0"/>
                                </a:moveTo>
                                <a:lnTo>
                                  <a:pt x="2335" y="0"/>
                                </a:lnTo>
                              </a:path>
                            </a:pathLst>
                          </a:custGeom>
                          <a:noFill/>
                          <a:ln w="12192">
                            <a:solidFill>
                              <a:srgbClr val="41B6E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9" name="Freeform 177"/>
                        <wps:cNvSpPr>
                          <a:spLocks/>
                        </wps:cNvSpPr>
                        <wps:spPr bwMode="auto">
                          <a:xfrm>
                            <a:off x="2345" y="571"/>
                            <a:ext cx="20" cy="20"/>
                          </a:xfrm>
                          <a:custGeom>
                            <a:avLst/>
                            <a:gdLst>
                              <a:gd name="T0" fmla="*/ 0 w 20"/>
                              <a:gd name="T1" fmla="*/ 0 h 20"/>
                              <a:gd name="T2" fmla="*/ 19 w 20"/>
                              <a:gd name="T3" fmla="*/ 0 h 20"/>
                            </a:gdLst>
                            <a:ahLst/>
                            <a:cxnLst>
                              <a:cxn ang="0">
                                <a:pos x="T0" y="T1"/>
                              </a:cxn>
                              <a:cxn ang="0">
                                <a:pos x="T2" y="T3"/>
                              </a:cxn>
                            </a:cxnLst>
                            <a:rect l="0" t="0" r="r" b="b"/>
                            <a:pathLst>
                              <a:path w="20" h="20">
                                <a:moveTo>
                                  <a:pt x="0" y="0"/>
                                </a:moveTo>
                                <a:lnTo>
                                  <a:pt x="19" y="0"/>
                                </a:lnTo>
                              </a:path>
                            </a:pathLst>
                          </a:custGeom>
                          <a:noFill/>
                          <a:ln w="12192">
                            <a:solidFill>
                              <a:srgbClr val="41B6E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0" name="Freeform 178"/>
                        <wps:cNvSpPr>
                          <a:spLocks/>
                        </wps:cNvSpPr>
                        <wps:spPr bwMode="auto">
                          <a:xfrm>
                            <a:off x="2364" y="571"/>
                            <a:ext cx="7181" cy="20"/>
                          </a:xfrm>
                          <a:custGeom>
                            <a:avLst/>
                            <a:gdLst>
                              <a:gd name="T0" fmla="*/ 0 w 7181"/>
                              <a:gd name="T1" fmla="*/ 0 h 20"/>
                              <a:gd name="T2" fmla="*/ 7180 w 7181"/>
                              <a:gd name="T3" fmla="*/ 0 h 20"/>
                            </a:gdLst>
                            <a:ahLst/>
                            <a:cxnLst>
                              <a:cxn ang="0">
                                <a:pos x="T0" y="T1"/>
                              </a:cxn>
                              <a:cxn ang="0">
                                <a:pos x="T2" y="T3"/>
                              </a:cxn>
                            </a:cxnLst>
                            <a:rect l="0" t="0" r="r" b="b"/>
                            <a:pathLst>
                              <a:path w="7181" h="20">
                                <a:moveTo>
                                  <a:pt x="0" y="0"/>
                                </a:moveTo>
                                <a:lnTo>
                                  <a:pt x="7180" y="0"/>
                                </a:lnTo>
                              </a:path>
                            </a:pathLst>
                          </a:custGeom>
                          <a:noFill/>
                          <a:ln w="12192">
                            <a:solidFill>
                              <a:srgbClr val="41B6E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1" name="Text Box 179"/>
                        <wps:cNvSpPr txBox="1">
                          <a:spLocks noChangeArrowheads="1"/>
                        </wps:cNvSpPr>
                        <wps:spPr bwMode="auto">
                          <a:xfrm>
                            <a:off x="0" y="0"/>
                            <a:ext cx="9555" cy="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pStyle w:val="BodyText"/>
                                <w:kinsoku w:val="0"/>
                                <w:overflowPunct w:val="0"/>
                                <w:spacing w:before="88" w:line="226" w:lineRule="exact"/>
                                <w:ind w:left="5128" w:firstLine="1212"/>
                                <w:rPr>
                                  <w:rFonts w:ascii="Arial" w:hAnsi="Arial" w:cs="Arial"/>
                                  <w:sz w:val="20"/>
                                  <w:szCs w:val="20"/>
                                </w:rPr>
                              </w:pPr>
                              <w:r>
                                <w:rPr>
                                  <w:rFonts w:ascii="Arial" w:hAnsi="Arial" w:cs="Arial"/>
                                  <w:sz w:val="20"/>
                                  <w:szCs w:val="20"/>
                                </w:rPr>
                                <w:t>Commonwealth of Massachusetts Executive Office of Health and Human Services</w:t>
                              </w:r>
                            </w:p>
                          </w:txbxContent>
                        </wps:txbx>
                        <wps:bodyPr rot="0" vert="horz" wrap="square" lIns="0" tIns="0" rIns="0" bIns="0" anchor="t" anchorCtr="0" upright="1">
                          <a:noAutofit/>
                        </wps:bodyPr>
                      </wps:wsp>
                    </wpg:wgp>
                  </a:graphicData>
                </a:graphic>
              </wp:inline>
            </w:drawing>
          </mc:Choice>
          <mc:Fallback>
            <w:pict>
              <v:group id="Group 174" o:spid="_x0000_s1101" style="width:477.8pt;height:29.1pt;mso-position-horizontal-relative:char;mso-position-vertical-relative:line" coordsize="9556,5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">
                <v:shape id="Picture 175" o:spid="_x0000_s1102" type="#_x0000_t75" style="position:absolute;left:10;width:1920;height:5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nYunDAAAA3AAAAA8AAABkcnMvZG93bnJldi54bWxEj92KwjAUhO8XfIdwhL1bU8W/7RpFhVXv&#10;ZOs+wKE5/cHmpDZRq09vBMHLYWa+YWaL1lTiQo0rLSvo9yIQxKnVJecK/g+/X1MQziNrrCyTghs5&#10;WMw7HzOMtb3yH10Sn4sAYRejgsL7OpbSpQUZdD1bEwcvs41BH2STS93gNcBNJQdRNJYGSw4LBda0&#10;Lig9JmejYPydVMvbKt2c9slke7ecHWiUKfXZbZc/IDy1/h1+tXdawXQ4geeZcATk/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2di6cMAAADcAAAADwAAAAAAAAAAAAAAAACf&#10;AgAAZHJzL2Rvd25yZXYueG1sUEsFBgAAAAAEAAQA9wAAAI8DAAAAAA==&#10;">
                  <v:imagedata r:id="rId127" o:title=""/>
                </v:shape>
                <v:shape id="Freeform 176" o:spid="_x0000_s1103" style="position:absolute;left:10;top:571;width:2336;height:20;visibility:visible;mso-wrap-style:square;v-text-anchor:top" coordsize="233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qXP8AA&#10;AADcAAAADwAAAGRycy9kb3ducmV2LnhtbERPW2vCMBR+H/gfwhF8m6lDRqlGUaewF2Hz8n5ojm20&#10;OSlJbLt/vzwM9vjx3ZfrwTaiIx+MYwWzaQaCuHTacKXgcj685iBCRNbYOCYFPxRgvRq9LLHQrudv&#10;6k6xEimEQ4EK6hjbQspQ1mQxTF1LnLib8xZjgr6S2mOfwm0j37LsXVo0nBpqbGlXU/k4Pa0Ck3eh&#10;P+6v56/j3XTY+8P2Q86UmoyHzQJEpCH+i//cn1pBPk9r05l0BOTq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kqXP8AAAADcAAAADwAAAAAAAAAAAAAAAACYAgAAZHJzL2Rvd25y&#10;ZXYueG1sUEsFBgAAAAAEAAQA9QAAAIUDAAAAAA==&#10;" path="m,l2335,e" filled="f" strokecolor="#41b6e6" strokeweight=".96pt">
                  <v:path arrowok="t" o:connecttype="custom" o:connectlocs="0,0;2335,0" o:connectangles="0,0"/>
                </v:shape>
                <v:shape id="Freeform 177" o:spid="_x0000_s1104" style="position:absolute;left:2345;top:571;width:20;height:20;visibility:visible;mso-wrap-style:square;v-text-anchor:top" coordsize="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mqTsYA&#10;AADcAAAADwAAAGRycy9kb3ducmV2LnhtbESPQWvCQBSE7wX/w/KE3upGa0RjNiKFghQ8NBXF2zP7&#10;TILZtyG71eiv7xYKPQ4z8w2TrnrTiCt1rrasYDyKQBAXVtdcKth9vb/MQTiPrLGxTAru5GCVDZ5S&#10;TLS98Sddc1+KAGGXoILK+zaR0hUVGXQj2xIH72w7gz7IrpS6w1uAm0ZOomgmDdYcFips6a2i4pJ/&#10;GwWPcR7LzWly/KDDPq6L3fZVx1qp52G/XoLw1Pv/8F97oxXMpwv4PROOgM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wmqTsYAAADcAAAADwAAAAAAAAAAAAAAAACYAgAAZHJz&#10;L2Rvd25yZXYueG1sUEsFBgAAAAAEAAQA9QAAAIsDAAAAAA==&#10;" path="m,l19,e" filled="f" strokecolor="#41b6e6" strokeweight=".96pt">
                  <v:path arrowok="t" o:connecttype="custom" o:connectlocs="0,0;19,0" o:connectangles="0,0"/>
                </v:shape>
                <v:shape id="Freeform 178" o:spid="_x0000_s1105" style="position:absolute;left:2364;top:571;width:7181;height:20;visibility:visible;mso-wrap-style:square;v-text-anchor:top" coordsize="71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b6Pr4A&#10;AADcAAAADwAAAGRycy9kb3ducmV2LnhtbERPTYvCMBC9C/6HMAt7EZ0qVKQaRQShV+te9jY0Y1u2&#10;mZQkav33m4Pg8fG+d4fR9urBPnRONCwXGSiW2plOGg0/1/N8AypEEkO9E9bw4gCH/XSyo8K4p1z4&#10;UcVGpRAJBWloYxwKxFC3bCks3MCSuJvzlmKCvkHj6ZnCbY+rLFujpU5SQ0sDn1qu/6q71WBPZedX&#10;JR6rMs9fv0g4zC43rb+/xuMWVOQxfsRvd2k0bPI0P51JRwD3/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Gm+j6+AAAA3AAAAA8AAAAAAAAAAAAAAAAAmAIAAGRycy9kb3ducmV2&#10;LnhtbFBLBQYAAAAABAAEAPUAAACDAwAAAAA=&#10;" path="m,l7180,e" filled="f" strokecolor="#41b6e6" strokeweight=".96pt">
                  <v:path arrowok="t" o:connecttype="custom" o:connectlocs="0,0;7180,0" o:connectangles="0,0"/>
                </v:shape>
                <v:shape id="Text Box 179" o:spid="_x0000_s1106" type="#_x0000_t202" style="position:absolute;width:9555;height: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6Nx8UA&#10;AADcAAAADwAAAGRycy9kb3ducmV2LnhtbESPQWvCQBSE74X+h+UVems2FhRN3YhIBaFQGuPB42v2&#10;mSzJvo3ZVdN/3y0UPA4z8w2zXI22E1cavHGsYJKkIIgrpw3XCg7l9mUOwgdkjZ1jUvBDHlb548MS&#10;M+1uXNB1H2oRIewzVNCE0GdS+qohiz5xPXH0Tm6wGKIcaqkHvEW47eRrms6kRcNxocGeNg1V7f5i&#10;FayPXLyb8+f3V3EqTFkuUv6YtUo9P43rNxCBxnAP/7d3WsF8OoG/M/EIy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3o3HxQAAANwAAAAPAAAAAAAAAAAAAAAAAJgCAABkcnMv&#10;ZG93bnJldi54bWxQSwUGAAAAAAQABAD1AAAAigMAAAAA&#10;" filled="f" stroked="f">
                  <v:textbox inset="0,0,0,0">
                    <w:txbxContent>
                      <w:p w:rsidR="007B2B7B" w:rsidRDefault="007B2B7B">
                        <w:pPr>
                          <w:pStyle w:val="BodyText"/>
                          <w:kinsoku w:val="0"/>
                          <w:overflowPunct w:val="0"/>
                          <w:spacing w:before="88" w:line="226" w:lineRule="exact"/>
                          <w:ind w:left="5128" w:firstLine="1212"/>
                          <w:rPr>
                            <w:rFonts w:ascii="Arial" w:hAnsi="Arial" w:cs="Arial"/>
                            <w:sz w:val="20"/>
                            <w:szCs w:val="20"/>
                          </w:rPr>
                        </w:pPr>
                        <w:r>
                          <w:rPr>
                            <w:rFonts w:ascii="Arial" w:hAnsi="Arial" w:cs="Arial"/>
                            <w:sz w:val="20"/>
                            <w:szCs w:val="20"/>
                          </w:rPr>
                          <w:t>Commonwealth of Massachusetts Executive Office of Health and Human Services</w:t>
                        </w:r>
                      </w:p>
                    </w:txbxContent>
                  </v:textbox>
                </v:shape>
                <w10:anchorlock/>
              </v:group>
            </w:pict>
          </mc:Fallback>
        </mc:AlternateContent>
      </w:r>
    </w:p>
    <w:p w:rsidR="002C5025" w:rsidRDefault="002C5025">
      <w:pPr>
        <w:pStyle w:val="BodyText"/>
        <w:kinsoku w:val="0"/>
        <w:overflowPunct w:val="0"/>
        <w:spacing w:before="10"/>
        <w:rPr>
          <w:rFonts w:ascii="Arial" w:hAnsi="Arial" w:cs="Arial"/>
          <w:sz w:val="17"/>
          <w:szCs w:val="17"/>
        </w:rPr>
      </w:pPr>
    </w:p>
    <w:tbl>
      <w:tblPr>
        <w:tblW w:w="0" w:type="auto"/>
        <w:tblInd w:w="138" w:type="dxa"/>
        <w:tblLayout w:type="fixed"/>
        <w:tblCellMar>
          <w:left w:w="0" w:type="dxa"/>
          <w:right w:w="0" w:type="dxa"/>
        </w:tblCellMar>
        <w:tblLook w:val="0000" w:firstRow="0" w:lastRow="0" w:firstColumn="0" w:lastColumn="0" w:noHBand="0" w:noVBand="0"/>
      </w:tblPr>
      <w:tblGrid>
        <w:gridCol w:w="2335"/>
        <w:gridCol w:w="7200"/>
      </w:tblGrid>
      <w:tr w:rsidR="002C5025">
        <w:trPr>
          <w:trHeight w:hRule="exact" w:val="478"/>
        </w:trPr>
        <w:tc>
          <w:tcPr>
            <w:tcW w:w="2335" w:type="dxa"/>
            <w:tcBorders>
              <w:top w:val="single" w:sz="4" w:space="0" w:color="7F7F7F"/>
              <w:left w:val="single" w:sz="4" w:space="0" w:color="7F7F7F"/>
              <w:bottom w:val="single" w:sz="4" w:space="0" w:color="7F7F7F"/>
              <w:right w:val="single" w:sz="4" w:space="0" w:color="7F7F7F"/>
            </w:tcBorders>
            <w:shd w:val="clear" w:color="auto" w:fill="0083CE"/>
          </w:tcPr>
          <w:p w:rsidR="002C5025" w:rsidRDefault="002C5025">
            <w:pPr>
              <w:pStyle w:val="TableParagraph"/>
              <w:kinsoku w:val="0"/>
              <w:overflowPunct w:val="0"/>
              <w:ind w:left="801" w:right="128" w:hanging="413"/>
              <w:rPr>
                <w:rFonts w:ascii="Times New Roman" w:hAnsi="Times New Roman" w:cs="Times New Roman"/>
              </w:rPr>
            </w:pPr>
            <w:r>
              <w:rPr>
                <w:b/>
                <w:bCs/>
                <w:color w:val="FFFFFF"/>
                <w:sz w:val="20"/>
                <w:szCs w:val="20"/>
              </w:rPr>
              <w:t>Relevant Waiver Section</w:t>
            </w:r>
          </w:p>
        </w:tc>
        <w:tc>
          <w:tcPr>
            <w:tcW w:w="7200" w:type="dxa"/>
            <w:tcBorders>
              <w:top w:val="single" w:sz="4" w:space="0" w:color="7F7F7F"/>
              <w:left w:val="single" w:sz="4" w:space="0" w:color="7F7F7F"/>
              <w:bottom w:val="single" w:sz="4" w:space="0" w:color="7F7F7F"/>
              <w:right w:val="single" w:sz="4" w:space="0" w:color="7F7F7F"/>
            </w:tcBorders>
            <w:shd w:val="clear" w:color="auto" w:fill="0083CE"/>
          </w:tcPr>
          <w:p w:rsidR="002C5025" w:rsidRDefault="002C5025">
            <w:pPr>
              <w:pStyle w:val="TableParagraph"/>
              <w:kinsoku w:val="0"/>
              <w:overflowPunct w:val="0"/>
              <w:spacing w:before="107"/>
              <w:ind w:left="2708" w:right="2706"/>
              <w:jc w:val="center"/>
              <w:rPr>
                <w:rFonts w:ascii="Times New Roman" w:hAnsi="Times New Roman" w:cs="Times New Roman"/>
              </w:rPr>
            </w:pPr>
            <w:r>
              <w:rPr>
                <w:b/>
                <w:bCs/>
                <w:color w:val="FFFFFF"/>
                <w:sz w:val="20"/>
                <w:szCs w:val="20"/>
              </w:rPr>
              <w:t>Beacon Response</w:t>
            </w:r>
          </w:p>
        </w:tc>
      </w:tr>
      <w:tr w:rsidR="002C5025">
        <w:trPr>
          <w:trHeight w:hRule="exact" w:val="11510"/>
        </w:trPr>
        <w:tc>
          <w:tcPr>
            <w:tcW w:w="2335" w:type="dxa"/>
            <w:tcBorders>
              <w:top w:val="single" w:sz="4" w:space="0" w:color="7F7F7F"/>
              <w:left w:val="single" w:sz="4" w:space="0" w:color="7F7F7F"/>
              <w:bottom w:val="single" w:sz="4" w:space="0" w:color="7F7F7F"/>
              <w:right w:val="single" w:sz="4" w:space="0" w:color="7F7F7F"/>
            </w:tcBorders>
          </w:tcPr>
          <w:p w:rsidR="002C5025" w:rsidRDefault="002C5025"/>
        </w:tc>
        <w:tc>
          <w:tcPr>
            <w:tcW w:w="7200" w:type="dxa"/>
            <w:tcBorders>
              <w:top w:val="single" w:sz="4" w:space="0" w:color="7F7F7F"/>
              <w:left w:val="single" w:sz="4" w:space="0" w:color="7F7F7F"/>
              <w:bottom w:val="single" w:sz="4" w:space="0" w:color="7F7F7F"/>
              <w:right w:val="single" w:sz="4" w:space="0" w:color="7F7F7F"/>
            </w:tcBorders>
          </w:tcPr>
          <w:p w:rsidR="002C5025" w:rsidRDefault="002C5025">
            <w:pPr>
              <w:pStyle w:val="TableParagraph"/>
              <w:kinsoku w:val="0"/>
              <w:overflowPunct w:val="0"/>
              <w:ind w:right="239"/>
              <w:rPr>
                <w:sz w:val="20"/>
                <w:szCs w:val="20"/>
              </w:rPr>
            </w:pPr>
            <w:r>
              <w:rPr>
                <w:sz w:val="20"/>
                <w:szCs w:val="20"/>
              </w:rPr>
              <w:t>Without a specific targeted approach from a health care perspective, they are disconnected from the larger system of care.</w:t>
            </w:r>
          </w:p>
          <w:p w:rsidR="002C5025" w:rsidRDefault="002C5025">
            <w:pPr>
              <w:pStyle w:val="TableParagraph"/>
              <w:kinsoku w:val="0"/>
              <w:overflowPunct w:val="0"/>
              <w:spacing w:before="9"/>
              <w:ind w:left="0"/>
              <w:rPr>
                <w:sz w:val="19"/>
                <w:szCs w:val="19"/>
              </w:rPr>
            </w:pPr>
          </w:p>
          <w:p w:rsidR="002C5025" w:rsidRDefault="002C5025">
            <w:pPr>
              <w:pStyle w:val="TableParagraph"/>
              <w:kinsoku w:val="0"/>
              <w:overflowPunct w:val="0"/>
              <w:spacing w:before="1"/>
              <w:ind w:left="102" w:right="128"/>
              <w:rPr>
                <w:sz w:val="20"/>
                <w:szCs w:val="20"/>
              </w:rPr>
            </w:pPr>
            <w:r>
              <w:rPr>
                <w:sz w:val="20"/>
                <w:szCs w:val="20"/>
              </w:rPr>
              <w:t>Additionally, although individuals with SUD are not always qualified as SMI, illicit drug dependence or abuse co-occurs in a significant percentage of adults with SMI. While the primary focus for treatment of SMI conditions has focused on bipolar, schizophrenia, and major depression, the strong presence of co- occurring SUD for 27 percent of the same individuals demands a solution.</w:t>
            </w:r>
          </w:p>
          <w:p w:rsidR="002C5025" w:rsidRDefault="002C5025">
            <w:pPr>
              <w:pStyle w:val="TableParagraph"/>
              <w:kinsoku w:val="0"/>
              <w:overflowPunct w:val="0"/>
              <w:ind w:left="102" w:right="104"/>
              <w:rPr>
                <w:sz w:val="20"/>
                <w:szCs w:val="20"/>
              </w:rPr>
            </w:pPr>
            <w:r>
              <w:rPr>
                <w:sz w:val="20"/>
                <w:szCs w:val="20"/>
              </w:rPr>
              <w:t>Within the context of integrated care, failure to provide adequate treatment and recovery resources for individuals with both SMI and SUD conditions can cause poor outcomes. Because the historical state funding structures and oversight divisions may segregate treatment resources for these conditions, there needs to be targeted strategies and programs to overcome these structural barriers and provide holistic treatment.</w:t>
            </w:r>
          </w:p>
          <w:p w:rsidR="002C5025" w:rsidRDefault="002C5025">
            <w:pPr>
              <w:pStyle w:val="TableParagraph"/>
              <w:kinsoku w:val="0"/>
              <w:overflowPunct w:val="0"/>
              <w:ind w:left="0"/>
              <w:rPr>
                <w:sz w:val="20"/>
                <w:szCs w:val="20"/>
              </w:rPr>
            </w:pPr>
          </w:p>
          <w:p w:rsidR="002C5025" w:rsidRDefault="002C5025">
            <w:pPr>
              <w:pStyle w:val="TableParagraph"/>
              <w:kinsoku w:val="0"/>
              <w:overflowPunct w:val="0"/>
              <w:ind w:right="206"/>
              <w:rPr>
                <w:sz w:val="20"/>
                <w:szCs w:val="20"/>
              </w:rPr>
            </w:pPr>
            <w:r>
              <w:rPr>
                <w:sz w:val="20"/>
                <w:szCs w:val="20"/>
              </w:rPr>
              <w:t>To fully address these issues in the Waiver, Beacon recommends inclusion of the following:</w:t>
            </w:r>
          </w:p>
          <w:p w:rsidR="002C5025" w:rsidRDefault="002C5025">
            <w:pPr>
              <w:pStyle w:val="TableParagraph"/>
              <w:kinsoku w:val="0"/>
              <w:overflowPunct w:val="0"/>
              <w:spacing w:before="9"/>
              <w:ind w:left="0"/>
              <w:rPr>
                <w:sz w:val="19"/>
                <w:szCs w:val="19"/>
              </w:rPr>
            </w:pPr>
          </w:p>
          <w:p w:rsidR="002C5025" w:rsidRDefault="002C5025">
            <w:pPr>
              <w:pStyle w:val="TableParagraph"/>
              <w:numPr>
                <w:ilvl w:val="0"/>
                <w:numId w:val="82"/>
              </w:numPr>
              <w:tabs>
                <w:tab w:val="left" w:pos="444"/>
              </w:tabs>
              <w:kinsoku w:val="0"/>
              <w:overflowPunct w:val="0"/>
              <w:spacing w:before="1"/>
              <w:ind w:right="148" w:hanging="358"/>
              <w:rPr>
                <w:sz w:val="20"/>
                <w:szCs w:val="20"/>
              </w:rPr>
            </w:pPr>
            <w:r>
              <w:rPr>
                <w:b/>
                <w:bCs/>
                <w:sz w:val="20"/>
                <w:szCs w:val="20"/>
              </w:rPr>
              <w:t>A</w:t>
            </w:r>
            <w:r>
              <w:rPr>
                <w:b/>
                <w:bCs/>
                <w:spacing w:val="-7"/>
                <w:sz w:val="20"/>
                <w:szCs w:val="20"/>
              </w:rPr>
              <w:t xml:space="preserve"> </w:t>
            </w:r>
            <w:r>
              <w:rPr>
                <w:b/>
                <w:bCs/>
                <w:sz w:val="20"/>
                <w:szCs w:val="20"/>
              </w:rPr>
              <w:t>clear</w:t>
            </w:r>
            <w:r>
              <w:rPr>
                <w:b/>
                <w:bCs/>
                <w:spacing w:val="-5"/>
                <w:sz w:val="20"/>
                <w:szCs w:val="20"/>
              </w:rPr>
              <w:t xml:space="preserve"> </w:t>
            </w:r>
            <w:r>
              <w:rPr>
                <w:b/>
                <w:bCs/>
                <w:sz w:val="20"/>
                <w:szCs w:val="20"/>
              </w:rPr>
              <w:t>definition</w:t>
            </w:r>
            <w:r>
              <w:rPr>
                <w:b/>
                <w:bCs/>
                <w:spacing w:val="-4"/>
                <w:sz w:val="20"/>
                <w:szCs w:val="20"/>
              </w:rPr>
              <w:t xml:space="preserve"> </w:t>
            </w:r>
            <w:r>
              <w:rPr>
                <w:b/>
                <w:bCs/>
                <w:sz w:val="20"/>
                <w:szCs w:val="20"/>
              </w:rPr>
              <w:t>of</w:t>
            </w:r>
            <w:r>
              <w:rPr>
                <w:b/>
                <w:bCs/>
                <w:spacing w:val="-4"/>
                <w:sz w:val="20"/>
                <w:szCs w:val="20"/>
              </w:rPr>
              <w:t xml:space="preserve"> </w:t>
            </w:r>
            <w:r>
              <w:rPr>
                <w:b/>
                <w:bCs/>
                <w:sz w:val="20"/>
                <w:szCs w:val="20"/>
              </w:rPr>
              <w:t>SMI</w:t>
            </w:r>
            <w:r>
              <w:rPr>
                <w:b/>
                <w:bCs/>
                <w:spacing w:val="-5"/>
                <w:sz w:val="20"/>
                <w:szCs w:val="20"/>
              </w:rPr>
              <w:t xml:space="preserve"> </w:t>
            </w:r>
            <w:r>
              <w:rPr>
                <w:sz w:val="20"/>
                <w:szCs w:val="20"/>
              </w:rPr>
              <w:t>–</w:t>
            </w:r>
            <w:r>
              <w:rPr>
                <w:spacing w:val="-8"/>
                <w:sz w:val="20"/>
                <w:szCs w:val="20"/>
              </w:rPr>
              <w:t xml:space="preserve"> </w:t>
            </w:r>
            <w:r>
              <w:rPr>
                <w:sz w:val="20"/>
                <w:szCs w:val="20"/>
              </w:rPr>
              <w:t>The</w:t>
            </w:r>
            <w:r>
              <w:rPr>
                <w:spacing w:val="-10"/>
                <w:sz w:val="20"/>
                <w:szCs w:val="20"/>
              </w:rPr>
              <w:t xml:space="preserve"> </w:t>
            </w:r>
            <w:r>
              <w:rPr>
                <w:sz w:val="20"/>
                <w:szCs w:val="20"/>
              </w:rPr>
              <w:t>Waiver</w:t>
            </w:r>
            <w:r>
              <w:rPr>
                <w:spacing w:val="-4"/>
                <w:sz w:val="20"/>
                <w:szCs w:val="20"/>
              </w:rPr>
              <w:t xml:space="preserve"> </w:t>
            </w:r>
            <w:r>
              <w:rPr>
                <w:sz w:val="20"/>
                <w:szCs w:val="20"/>
              </w:rPr>
              <w:t>is</w:t>
            </w:r>
            <w:r>
              <w:rPr>
                <w:spacing w:val="-4"/>
                <w:sz w:val="20"/>
                <w:szCs w:val="20"/>
              </w:rPr>
              <w:t xml:space="preserve"> </w:t>
            </w:r>
            <w:r>
              <w:rPr>
                <w:sz w:val="20"/>
                <w:szCs w:val="20"/>
              </w:rPr>
              <w:t>an</w:t>
            </w:r>
            <w:r>
              <w:rPr>
                <w:spacing w:val="-5"/>
                <w:sz w:val="20"/>
                <w:szCs w:val="20"/>
              </w:rPr>
              <w:t xml:space="preserve"> </w:t>
            </w:r>
            <w:r>
              <w:rPr>
                <w:sz w:val="20"/>
                <w:szCs w:val="20"/>
              </w:rPr>
              <w:t>opportunity</w:t>
            </w:r>
            <w:r>
              <w:rPr>
                <w:spacing w:val="-11"/>
                <w:sz w:val="20"/>
                <w:szCs w:val="20"/>
              </w:rPr>
              <w:t xml:space="preserve"> </w:t>
            </w:r>
            <w:r>
              <w:rPr>
                <w:sz w:val="20"/>
                <w:szCs w:val="20"/>
              </w:rPr>
              <w:t>to</w:t>
            </w:r>
            <w:r>
              <w:rPr>
                <w:spacing w:val="-5"/>
                <w:sz w:val="20"/>
                <w:szCs w:val="20"/>
              </w:rPr>
              <w:t xml:space="preserve"> </w:t>
            </w:r>
            <w:r>
              <w:rPr>
                <w:sz w:val="20"/>
                <w:szCs w:val="20"/>
              </w:rPr>
              <w:t>be</w:t>
            </w:r>
            <w:r>
              <w:rPr>
                <w:spacing w:val="-5"/>
                <w:sz w:val="20"/>
                <w:szCs w:val="20"/>
              </w:rPr>
              <w:t xml:space="preserve"> </w:t>
            </w:r>
            <w:r>
              <w:rPr>
                <w:sz w:val="20"/>
                <w:szCs w:val="20"/>
              </w:rPr>
              <w:t>prescriptive in defining what SMI means as this has been historically ill-defined in Massachusetts. While typically focused only on mental health conditions, Beacon strongly advocates for the inclusion of individuals with chronic SUD in this definition, including both individuals with co-occurring SMI and SUD,</w:t>
            </w:r>
            <w:r>
              <w:rPr>
                <w:spacing w:val="-6"/>
                <w:sz w:val="20"/>
                <w:szCs w:val="20"/>
              </w:rPr>
              <w:t xml:space="preserve"> </w:t>
            </w:r>
            <w:r>
              <w:rPr>
                <w:sz w:val="20"/>
                <w:szCs w:val="20"/>
              </w:rPr>
              <w:t>as</w:t>
            </w:r>
            <w:r>
              <w:rPr>
                <w:spacing w:val="-2"/>
                <w:sz w:val="20"/>
                <w:szCs w:val="20"/>
              </w:rPr>
              <w:t xml:space="preserve"> </w:t>
            </w:r>
            <w:r>
              <w:rPr>
                <w:sz w:val="20"/>
                <w:szCs w:val="20"/>
              </w:rPr>
              <w:t>well</w:t>
            </w:r>
            <w:r>
              <w:rPr>
                <w:spacing w:val="-7"/>
                <w:sz w:val="20"/>
                <w:szCs w:val="20"/>
              </w:rPr>
              <w:t xml:space="preserve"> </w:t>
            </w:r>
            <w:r>
              <w:rPr>
                <w:sz w:val="20"/>
                <w:szCs w:val="20"/>
              </w:rPr>
              <w:t>as</w:t>
            </w:r>
            <w:r>
              <w:rPr>
                <w:spacing w:val="-5"/>
                <w:sz w:val="20"/>
                <w:szCs w:val="20"/>
              </w:rPr>
              <w:t xml:space="preserve"> </w:t>
            </w:r>
            <w:r>
              <w:rPr>
                <w:sz w:val="20"/>
                <w:szCs w:val="20"/>
              </w:rPr>
              <w:t>those</w:t>
            </w:r>
            <w:r>
              <w:rPr>
                <w:spacing w:val="-6"/>
                <w:sz w:val="20"/>
                <w:szCs w:val="20"/>
              </w:rPr>
              <w:t xml:space="preserve"> </w:t>
            </w:r>
            <w:r>
              <w:rPr>
                <w:sz w:val="20"/>
                <w:szCs w:val="20"/>
              </w:rPr>
              <w:t>individuals</w:t>
            </w:r>
            <w:r>
              <w:rPr>
                <w:spacing w:val="-4"/>
                <w:sz w:val="20"/>
                <w:szCs w:val="20"/>
              </w:rPr>
              <w:t xml:space="preserve"> </w:t>
            </w:r>
            <w:r>
              <w:rPr>
                <w:sz w:val="20"/>
                <w:szCs w:val="20"/>
              </w:rPr>
              <w:t>with</w:t>
            </w:r>
            <w:r>
              <w:rPr>
                <w:spacing w:val="-6"/>
                <w:sz w:val="20"/>
                <w:szCs w:val="20"/>
              </w:rPr>
              <w:t xml:space="preserve"> </w:t>
            </w:r>
            <w:r>
              <w:rPr>
                <w:sz w:val="20"/>
                <w:szCs w:val="20"/>
              </w:rPr>
              <w:t>chronic</w:t>
            </w:r>
            <w:r>
              <w:rPr>
                <w:spacing w:val="-5"/>
                <w:sz w:val="20"/>
                <w:szCs w:val="20"/>
              </w:rPr>
              <w:t xml:space="preserve"> </w:t>
            </w:r>
            <w:r>
              <w:rPr>
                <w:sz w:val="20"/>
                <w:szCs w:val="20"/>
              </w:rPr>
              <w:t>SUD</w:t>
            </w:r>
            <w:r>
              <w:rPr>
                <w:spacing w:val="-6"/>
                <w:sz w:val="20"/>
                <w:szCs w:val="20"/>
              </w:rPr>
              <w:t xml:space="preserve"> </w:t>
            </w:r>
            <w:r>
              <w:rPr>
                <w:sz w:val="20"/>
                <w:szCs w:val="20"/>
              </w:rPr>
              <w:t>as</w:t>
            </w:r>
            <w:r>
              <w:rPr>
                <w:spacing w:val="-5"/>
                <w:sz w:val="20"/>
                <w:szCs w:val="20"/>
              </w:rPr>
              <w:t xml:space="preserve"> </w:t>
            </w:r>
            <w:r>
              <w:rPr>
                <w:sz w:val="20"/>
                <w:szCs w:val="20"/>
              </w:rPr>
              <w:t>the</w:t>
            </w:r>
            <w:r>
              <w:rPr>
                <w:spacing w:val="-6"/>
                <w:sz w:val="20"/>
                <w:szCs w:val="20"/>
              </w:rPr>
              <w:t xml:space="preserve"> </w:t>
            </w:r>
            <w:r>
              <w:rPr>
                <w:sz w:val="20"/>
                <w:szCs w:val="20"/>
              </w:rPr>
              <w:t>primary</w:t>
            </w:r>
            <w:r>
              <w:rPr>
                <w:spacing w:val="-11"/>
                <w:sz w:val="20"/>
                <w:szCs w:val="20"/>
              </w:rPr>
              <w:t xml:space="preserve"> </w:t>
            </w:r>
            <w:r>
              <w:rPr>
                <w:sz w:val="20"/>
                <w:szCs w:val="20"/>
              </w:rPr>
              <w:t>driver</w:t>
            </w:r>
            <w:r>
              <w:rPr>
                <w:spacing w:val="-5"/>
                <w:sz w:val="20"/>
                <w:szCs w:val="20"/>
              </w:rPr>
              <w:t xml:space="preserve"> </w:t>
            </w:r>
            <w:r>
              <w:rPr>
                <w:sz w:val="20"/>
                <w:szCs w:val="20"/>
              </w:rPr>
              <w:t>of their condition (e.g., no SMI</w:t>
            </w:r>
            <w:r>
              <w:rPr>
                <w:spacing w:val="-39"/>
                <w:sz w:val="20"/>
                <w:szCs w:val="20"/>
              </w:rPr>
              <w:t xml:space="preserve"> </w:t>
            </w:r>
            <w:r>
              <w:rPr>
                <w:sz w:val="20"/>
                <w:szCs w:val="20"/>
              </w:rPr>
              <w:t>diagnosis).</w:t>
            </w:r>
          </w:p>
          <w:p w:rsidR="002C5025" w:rsidRDefault="002C5025">
            <w:pPr>
              <w:pStyle w:val="TableParagraph"/>
              <w:numPr>
                <w:ilvl w:val="0"/>
                <w:numId w:val="82"/>
              </w:numPr>
              <w:tabs>
                <w:tab w:val="left" w:pos="443"/>
              </w:tabs>
              <w:kinsoku w:val="0"/>
              <w:overflowPunct w:val="0"/>
              <w:ind w:left="441" w:right="214" w:hanging="359"/>
              <w:rPr>
                <w:sz w:val="20"/>
                <w:szCs w:val="20"/>
              </w:rPr>
            </w:pPr>
            <w:r>
              <w:rPr>
                <w:b/>
                <w:bCs/>
                <w:sz w:val="20"/>
                <w:szCs w:val="20"/>
              </w:rPr>
              <w:t xml:space="preserve">A separate cohort and rating category for SMI </w:t>
            </w:r>
            <w:r>
              <w:rPr>
                <w:sz w:val="20"/>
                <w:szCs w:val="20"/>
              </w:rPr>
              <w:t>– The Waiver should be flexible enough to address populations differently and include specific requirements and programs that target individuals with SMI separately from</w:t>
            </w:r>
            <w:r>
              <w:rPr>
                <w:spacing w:val="-5"/>
                <w:sz w:val="20"/>
                <w:szCs w:val="20"/>
              </w:rPr>
              <w:t xml:space="preserve"> </w:t>
            </w:r>
            <w:r>
              <w:rPr>
                <w:sz w:val="20"/>
                <w:szCs w:val="20"/>
              </w:rPr>
              <w:t>the</w:t>
            </w:r>
            <w:r>
              <w:rPr>
                <w:spacing w:val="-10"/>
                <w:sz w:val="20"/>
                <w:szCs w:val="20"/>
              </w:rPr>
              <w:t xml:space="preserve"> </w:t>
            </w:r>
            <w:r>
              <w:rPr>
                <w:sz w:val="20"/>
                <w:szCs w:val="20"/>
              </w:rPr>
              <w:t>larger</w:t>
            </w:r>
            <w:r>
              <w:rPr>
                <w:spacing w:val="-9"/>
                <w:sz w:val="20"/>
                <w:szCs w:val="20"/>
              </w:rPr>
              <w:t xml:space="preserve"> </w:t>
            </w:r>
            <w:r>
              <w:rPr>
                <w:sz w:val="20"/>
                <w:szCs w:val="20"/>
              </w:rPr>
              <w:t>population.</w:t>
            </w:r>
            <w:r>
              <w:rPr>
                <w:spacing w:val="-14"/>
                <w:sz w:val="20"/>
                <w:szCs w:val="20"/>
              </w:rPr>
              <w:t xml:space="preserve"> </w:t>
            </w:r>
            <w:r>
              <w:rPr>
                <w:sz w:val="20"/>
                <w:szCs w:val="20"/>
              </w:rPr>
              <w:t>These</w:t>
            </w:r>
            <w:r>
              <w:rPr>
                <w:spacing w:val="-10"/>
                <w:sz w:val="20"/>
                <w:szCs w:val="20"/>
              </w:rPr>
              <w:t xml:space="preserve"> </w:t>
            </w:r>
            <w:r>
              <w:rPr>
                <w:sz w:val="20"/>
                <w:szCs w:val="20"/>
              </w:rPr>
              <w:t>individuals</w:t>
            </w:r>
            <w:r>
              <w:rPr>
                <w:spacing w:val="-8"/>
                <w:sz w:val="20"/>
                <w:szCs w:val="20"/>
              </w:rPr>
              <w:t xml:space="preserve"> </w:t>
            </w:r>
            <w:r>
              <w:rPr>
                <w:sz w:val="20"/>
                <w:szCs w:val="20"/>
              </w:rPr>
              <w:t>need</w:t>
            </w:r>
            <w:r>
              <w:rPr>
                <w:spacing w:val="-10"/>
                <w:sz w:val="20"/>
                <w:szCs w:val="20"/>
              </w:rPr>
              <w:t xml:space="preserve"> </w:t>
            </w:r>
            <w:r>
              <w:rPr>
                <w:sz w:val="20"/>
                <w:szCs w:val="20"/>
              </w:rPr>
              <w:t>something</w:t>
            </w:r>
            <w:r>
              <w:rPr>
                <w:spacing w:val="-10"/>
                <w:sz w:val="20"/>
                <w:szCs w:val="20"/>
              </w:rPr>
              <w:t xml:space="preserve"> </w:t>
            </w:r>
            <w:r>
              <w:rPr>
                <w:sz w:val="20"/>
                <w:szCs w:val="20"/>
              </w:rPr>
              <w:t>different</w:t>
            </w:r>
            <w:r>
              <w:rPr>
                <w:spacing w:val="-10"/>
                <w:sz w:val="20"/>
                <w:szCs w:val="20"/>
              </w:rPr>
              <w:t xml:space="preserve"> </w:t>
            </w:r>
            <w:r>
              <w:rPr>
                <w:sz w:val="20"/>
                <w:szCs w:val="20"/>
              </w:rPr>
              <w:t>and there should be clear mechanisms in place to identify them and fund their care</w:t>
            </w:r>
            <w:r>
              <w:rPr>
                <w:spacing w:val="-23"/>
                <w:sz w:val="20"/>
                <w:szCs w:val="20"/>
              </w:rPr>
              <w:t xml:space="preserve"> </w:t>
            </w:r>
            <w:r>
              <w:rPr>
                <w:sz w:val="20"/>
                <w:szCs w:val="20"/>
              </w:rPr>
              <w:t>separately.</w:t>
            </w:r>
          </w:p>
          <w:p w:rsidR="002C5025" w:rsidRDefault="002C5025">
            <w:pPr>
              <w:pStyle w:val="TableParagraph"/>
              <w:numPr>
                <w:ilvl w:val="0"/>
                <w:numId w:val="82"/>
              </w:numPr>
              <w:tabs>
                <w:tab w:val="left" w:pos="442"/>
              </w:tabs>
              <w:kinsoku w:val="0"/>
              <w:overflowPunct w:val="0"/>
              <w:spacing w:line="228" w:lineRule="exact"/>
              <w:ind w:left="441"/>
              <w:rPr>
                <w:b/>
                <w:bCs/>
                <w:sz w:val="20"/>
                <w:szCs w:val="20"/>
              </w:rPr>
            </w:pPr>
            <w:r>
              <w:rPr>
                <w:b/>
                <w:bCs/>
                <w:sz w:val="20"/>
                <w:szCs w:val="20"/>
              </w:rPr>
              <w:t>A</w:t>
            </w:r>
            <w:r>
              <w:rPr>
                <w:b/>
                <w:bCs/>
                <w:spacing w:val="-8"/>
                <w:sz w:val="20"/>
                <w:szCs w:val="20"/>
              </w:rPr>
              <w:t xml:space="preserve"> </w:t>
            </w:r>
            <w:r>
              <w:rPr>
                <w:b/>
                <w:bCs/>
                <w:sz w:val="20"/>
                <w:szCs w:val="20"/>
              </w:rPr>
              <w:t>separate</w:t>
            </w:r>
            <w:r>
              <w:rPr>
                <w:b/>
                <w:bCs/>
                <w:spacing w:val="-6"/>
                <w:sz w:val="20"/>
                <w:szCs w:val="20"/>
              </w:rPr>
              <w:t xml:space="preserve"> </w:t>
            </w:r>
            <w:r>
              <w:rPr>
                <w:b/>
                <w:bCs/>
                <w:sz w:val="20"/>
                <w:szCs w:val="20"/>
              </w:rPr>
              <w:t>SMI</w:t>
            </w:r>
            <w:r>
              <w:rPr>
                <w:b/>
                <w:bCs/>
                <w:spacing w:val="-9"/>
                <w:sz w:val="20"/>
                <w:szCs w:val="20"/>
              </w:rPr>
              <w:t xml:space="preserve"> </w:t>
            </w:r>
            <w:r>
              <w:rPr>
                <w:b/>
                <w:bCs/>
                <w:sz w:val="20"/>
                <w:szCs w:val="20"/>
              </w:rPr>
              <w:t>rate</w:t>
            </w:r>
            <w:r>
              <w:rPr>
                <w:b/>
                <w:bCs/>
                <w:spacing w:val="-6"/>
                <w:sz w:val="20"/>
                <w:szCs w:val="20"/>
              </w:rPr>
              <w:t xml:space="preserve"> </w:t>
            </w:r>
            <w:r>
              <w:rPr>
                <w:b/>
                <w:bCs/>
                <w:sz w:val="20"/>
                <w:szCs w:val="20"/>
              </w:rPr>
              <w:t>cell</w:t>
            </w:r>
            <w:r>
              <w:rPr>
                <w:b/>
                <w:bCs/>
                <w:spacing w:val="-6"/>
                <w:sz w:val="20"/>
                <w:szCs w:val="20"/>
              </w:rPr>
              <w:t xml:space="preserve"> </w:t>
            </w:r>
            <w:r>
              <w:rPr>
                <w:b/>
                <w:bCs/>
                <w:sz w:val="20"/>
                <w:szCs w:val="20"/>
              </w:rPr>
              <w:t>for</w:t>
            </w:r>
            <w:r>
              <w:rPr>
                <w:b/>
                <w:bCs/>
                <w:spacing w:val="-7"/>
                <w:sz w:val="20"/>
                <w:szCs w:val="20"/>
              </w:rPr>
              <w:t xml:space="preserve"> </w:t>
            </w:r>
            <w:r>
              <w:rPr>
                <w:b/>
                <w:bCs/>
                <w:sz w:val="20"/>
                <w:szCs w:val="20"/>
              </w:rPr>
              <w:t>individuals</w:t>
            </w:r>
            <w:r>
              <w:rPr>
                <w:b/>
                <w:bCs/>
                <w:spacing w:val="-10"/>
                <w:sz w:val="20"/>
                <w:szCs w:val="20"/>
              </w:rPr>
              <w:t xml:space="preserve"> </w:t>
            </w:r>
            <w:r>
              <w:rPr>
                <w:b/>
                <w:bCs/>
                <w:sz w:val="20"/>
                <w:szCs w:val="20"/>
              </w:rPr>
              <w:t>with</w:t>
            </w:r>
            <w:r>
              <w:rPr>
                <w:b/>
                <w:bCs/>
                <w:spacing w:val="-5"/>
                <w:sz w:val="20"/>
                <w:szCs w:val="20"/>
              </w:rPr>
              <w:t xml:space="preserve"> </w:t>
            </w:r>
            <w:r>
              <w:rPr>
                <w:b/>
                <w:bCs/>
                <w:sz w:val="20"/>
                <w:szCs w:val="20"/>
              </w:rPr>
              <w:t>SUD</w:t>
            </w:r>
            <w:r>
              <w:rPr>
                <w:b/>
                <w:bCs/>
                <w:spacing w:val="-6"/>
                <w:sz w:val="20"/>
                <w:szCs w:val="20"/>
              </w:rPr>
              <w:t xml:space="preserve"> </w:t>
            </w:r>
            <w:r>
              <w:rPr>
                <w:b/>
                <w:bCs/>
                <w:sz w:val="20"/>
                <w:szCs w:val="20"/>
              </w:rPr>
              <w:t>as</w:t>
            </w:r>
            <w:r>
              <w:rPr>
                <w:b/>
                <w:bCs/>
                <w:spacing w:val="-6"/>
                <w:sz w:val="20"/>
                <w:szCs w:val="20"/>
              </w:rPr>
              <w:t xml:space="preserve"> </w:t>
            </w:r>
            <w:r>
              <w:rPr>
                <w:b/>
                <w:bCs/>
                <w:sz w:val="20"/>
                <w:szCs w:val="20"/>
              </w:rPr>
              <w:t>Primary</w:t>
            </w:r>
            <w:r>
              <w:rPr>
                <w:b/>
                <w:bCs/>
                <w:spacing w:val="-10"/>
                <w:sz w:val="20"/>
                <w:szCs w:val="20"/>
              </w:rPr>
              <w:t xml:space="preserve"> </w:t>
            </w:r>
            <w:r>
              <w:rPr>
                <w:b/>
                <w:bCs/>
                <w:sz w:val="20"/>
                <w:szCs w:val="20"/>
              </w:rPr>
              <w:t>-</w:t>
            </w:r>
          </w:p>
          <w:p w:rsidR="002C5025" w:rsidRDefault="002C5025">
            <w:pPr>
              <w:pStyle w:val="TableParagraph"/>
              <w:kinsoku w:val="0"/>
              <w:overflowPunct w:val="0"/>
              <w:spacing w:before="3"/>
              <w:ind w:left="440" w:right="146"/>
              <w:rPr>
                <w:sz w:val="20"/>
                <w:szCs w:val="20"/>
              </w:rPr>
            </w:pPr>
            <w:r>
              <w:rPr>
                <w:sz w:val="20"/>
                <w:szCs w:val="20"/>
              </w:rPr>
              <w:t>Given the criticality of the opiate crisis in Massachusetts today, we believe that individuals with a primary SUD diagnosis (with or without a co- occurring mental health condition) require an intensive level of intervention similar to a complex mental illness and SMI designation. We advocate that a separate rate cell be created for the primary SUD population to demonstrate where a SUD is the driver of a mental health diagnosis, and vice versa.</w:t>
            </w:r>
          </w:p>
          <w:p w:rsidR="002C5025" w:rsidRDefault="002C5025">
            <w:pPr>
              <w:pStyle w:val="TableParagraph"/>
              <w:kinsoku w:val="0"/>
              <w:overflowPunct w:val="0"/>
              <w:spacing w:before="8"/>
              <w:ind w:left="0"/>
              <w:rPr>
                <w:sz w:val="19"/>
                <w:szCs w:val="19"/>
              </w:rPr>
            </w:pPr>
          </w:p>
          <w:p w:rsidR="002C5025" w:rsidRDefault="002C5025">
            <w:pPr>
              <w:pStyle w:val="TableParagraph"/>
              <w:kinsoku w:val="0"/>
              <w:overflowPunct w:val="0"/>
              <w:ind w:left="102" w:right="149"/>
              <w:rPr>
                <w:rFonts w:ascii="Times New Roman" w:hAnsi="Times New Roman" w:cs="Times New Roman"/>
              </w:rPr>
            </w:pPr>
            <w:r>
              <w:rPr>
                <w:sz w:val="20"/>
                <w:szCs w:val="20"/>
              </w:rPr>
              <w:t>Many other states have acknowledged SMI as a distinct category and developed targeted programs to manage and fund these individuals separately. For example, New York created two new high intensity health plans last year as part of their redesigned behavioral health system of care— the Health and Recovery Plan (HARP) for Medicaid adults with select SMI and SUD diagnoses and a HIV Special Needs Plan (SNP). The HARPs offer access to an enhanced benefit package comprised of home- and community- based services (HCBS) designed to provide the individual with a specialized scope of support services not currently covered under the State Plan Medicaid services.</w:t>
            </w:r>
          </w:p>
        </w:tc>
      </w:tr>
      <w:tr w:rsidR="002C5025">
        <w:trPr>
          <w:trHeight w:hRule="exact" w:val="698"/>
        </w:trPr>
        <w:tc>
          <w:tcPr>
            <w:tcW w:w="2335" w:type="dxa"/>
            <w:tcBorders>
              <w:top w:val="single" w:sz="4" w:space="0" w:color="7F7F7F"/>
              <w:left w:val="single" w:sz="4" w:space="0" w:color="7F7F7F"/>
              <w:bottom w:val="single" w:sz="4" w:space="0" w:color="7F7F7F"/>
              <w:right w:val="single" w:sz="4" w:space="0" w:color="7F7F7F"/>
            </w:tcBorders>
          </w:tcPr>
          <w:p w:rsidR="002C5025" w:rsidRDefault="002C5025">
            <w:pPr>
              <w:pStyle w:val="TableParagraph"/>
              <w:kinsoku w:val="0"/>
              <w:overflowPunct w:val="0"/>
              <w:spacing w:before="2" w:line="228" w:lineRule="exact"/>
              <w:ind w:right="128"/>
              <w:rPr>
                <w:rFonts w:ascii="Times New Roman" w:hAnsi="Times New Roman" w:cs="Times New Roman"/>
              </w:rPr>
            </w:pPr>
            <w:r>
              <w:rPr>
                <w:sz w:val="20"/>
                <w:szCs w:val="20"/>
              </w:rPr>
              <w:t>4.1. Overview of ACO Models</w:t>
            </w:r>
          </w:p>
        </w:tc>
        <w:tc>
          <w:tcPr>
            <w:tcW w:w="7200" w:type="dxa"/>
            <w:tcBorders>
              <w:top w:val="single" w:sz="4" w:space="0" w:color="7F7F7F"/>
              <w:left w:val="single" w:sz="4" w:space="0" w:color="7F7F7F"/>
              <w:bottom w:val="single" w:sz="4" w:space="0" w:color="7F7F7F"/>
              <w:right w:val="single" w:sz="4" w:space="0" w:color="7F7F7F"/>
            </w:tcBorders>
          </w:tcPr>
          <w:p w:rsidR="002C5025" w:rsidRDefault="002C5025">
            <w:pPr>
              <w:pStyle w:val="TableParagraph"/>
              <w:kinsoku w:val="0"/>
              <w:overflowPunct w:val="0"/>
              <w:ind w:right="272"/>
              <w:rPr>
                <w:rFonts w:ascii="Times New Roman" w:hAnsi="Times New Roman" w:cs="Times New Roman"/>
              </w:rPr>
            </w:pPr>
            <w:r>
              <w:rPr>
                <w:sz w:val="20"/>
                <w:szCs w:val="20"/>
              </w:rPr>
              <w:t>Beacon understands that by organizing care around providers in the form of Models A, B, and C, the ultimate goal is to get better value on total outcomes and total cost of care. However, this approach does not necessarily lead to</w:t>
            </w:r>
          </w:p>
        </w:tc>
      </w:tr>
    </w:tbl>
    <w:p w:rsidR="002C5025" w:rsidRDefault="002C5025">
      <w:pPr>
        <w:pStyle w:val="BodyText"/>
        <w:kinsoku w:val="0"/>
        <w:overflowPunct w:val="0"/>
        <w:rPr>
          <w:rFonts w:ascii="Arial" w:hAnsi="Arial" w:cs="Arial"/>
          <w:sz w:val="20"/>
          <w:szCs w:val="20"/>
        </w:rPr>
      </w:pPr>
    </w:p>
    <w:p w:rsidR="002C5025" w:rsidRDefault="00FB027C">
      <w:pPr>
        <w:pStyle w:val="BodyText"/>
        <w:kinsoku w:val="0"/>
        <w:overflowPunct w:val="0"/>
        <w:spacing w:before="7"/>
        <w:rPr>
          <w:rFonts w:ascii="Arial" w:hAnsi="Arial" w:cs="Arial"/>
          <w:sz w:val="26"/>
          <w:szCs w:val="26"/>
        </w:rPr>
      </w:pPr>
      <w:r>
        <w:rPr>
          <w:noProof/>
        </w:rPr>
        <mc:AlternateContent>
          <mc:Choice Requires="wps">
            <w:drawing>
              <wp:anchor distT="0" distB="0" distL="0" distR="0" simplePos="0" relativeHeight="251522560" behindDoc="0" locked="0" layoutInCell="0" allowOverlap="1">
                <wp:simplePos x="0" y="0"/>
                <wp:positionH relativeFrom="page">
                  <wp:posOffset>895350</wp:posOffset>
                </wp:positionH>
                <wp:positionV relativeFrom="paragraph">
                  <wp:posOffset>222885</wp:posOffset>
                </wp:positionV>
                <wp:extent cx="5982335" cy="12700"/>
                <wp:effectExtent l="0" t="0" r="0" b="0"/>
                <wp:wrapTopAndBottom/>
                <wp:docPr id="845" name="Freeform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2335" cy="12700"/>
                        </a:xfrm>
                        <a:custGeom>
                          <a:avLst/>
                          <a:gdLst>
                            <a:gd name="T0" fmla="*/ 0 w 9421"/>
                            <a:gd name="T1" fmla="*/ 0 h 20"/>
                            <a:gd name="T2" fmla="*/ 9421 w 9421"/>
                            <a:gd name="T3" fmla="*/ 0 h 20"/>
                          </a:gdLst>
                          <a:ahLst/>
                          <a:cxnLst>
                            <a:cxn ang="0">
                              <a:pos x="T0" y="T1"/>
                            </a:cxn>
                            <a:cxn ang="0">
                              <a:pos x="T2" y="T3"/>
                            </a:cxn>
                          </a:cxnLst>
                          <a:rect l="0" t="0" r="r" b="b"/>
                          <a:pathLst>
                            <a:path w="9421" h="20">
                              <a:moveTo>
                                <a:pt x="0" y="0"/>
                              </a:moveTo>
                              <a:lnTo>
                                <a:pt x="9421" y="0"/>
                              </a:lnTo>
                            </a:path>
                          </a:pathLst>
                        </a:custGeom>
                        <a:noFill/>
                        <a:ln w="7365">
                          <a:solidFill>
                            <a:srgbClr val="85CCE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80" o:spid="_x0000_s1026" style="position:absolute;z-index:251522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0.5pt,17.55pt,541.55pt,17.55pt" coordsize="94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" o:allowincell="f" filled="f" strokecolor="#85cced" strokeweight=".20458mm">
                <v:path arrowok="t" o:connecttype="custom" o:connectlocs="0,0;5982335,0" o:connectangles="0,0"/>
                <w10:wrap type="topAndBottom" anchorx="page"/>
              </v:polyline>
            </w:pict>
          </mc:Fallback>
        </mc:AlternateContent>
      </w:r>
    </w:p>
    <w:p w:rsidR="002C5025" w:rsidRDefault="002C5025">
      <w:pPr>
        <w:pStyle w:val="BodyText"/>
        <w:tabs>
          <w:tab w:val="left" w:pos="9389"/>
        </w:tabs>
        <w:kinsoku w:val="0"/>
        <w:overflowPunct w:val="0"/>
        <w:spacing w:before="46"/>
        <w:ind w:left="140"/>
        <w:rPr>
          <w:rFonts w:ascii="Arial" w:hAnsi="Arial" w:cs="Arial"/>
          <w:sz w:val="20"/>
          <w:szCs w:val="20"/>
        </w:rPr>
      </w:pPr>
      <w:r>
        <w:rPr>
          <w:rFonts w:ascii="Arial" w:hAnsi="Arial" w:cs="Arial"/>
          <w:sz w:val="20"/>
          <w:szCs w:val="20"/>
        </w:rPr>
        <w:t>MassHealth Section 1115</w:t>
      </w:r>
      <w:r>
        <w:rPr>
          <w:rFonts w:ascii="Arial" w:hAnsi="Arial" w:cs="Arial"/>
          <w:spacing w:val="-30"/>
          <w:sz w:val="20"/>
          <w:szCs w:val="20"/>
        </w:rPr>
        <w:t xml:space="preserve"> </w:t>
      </w:r>
      <w:r>
        <w:rPr>
          <w:rFonts w:ascii="Arial" w:hAnsi="Arial" w:cs="Arial"/>
          <w:sz w:val="20"/>
          <w:szCs w:val="20"/>
        </w:rPr>
        <w:t>Demonstration</w:t>
      </w:r>
      <w:r>
        <w:rPr>
          <w:rFonts w:ascii="Arial" w:hAnsi="Arial" w:cs="Arial"/>
          <w:spacing w:val="-11"/>
          <w:sz w:val="20"/>
          <w:szCs w:val="20"/>
        </w:rPr>
        <w:t xml:space="preserve"> </w:t>
      </w:r>
      <w:r>
        <w:rPr>
          <w:rFonts w:ascii="Arial" w:hAnsi="Arial" w:cs="Arial"/>
          <w:sz w:val="20"/>
          <w:szCs w:val="20"/>
        </w:rPr>
        <w:t>Comments</w:t>
      </w:r>
      <w:r>
        <w:rPr>
          <w:rFonts w:ascii="Arial" w:hAnsi="Arial" w:cs="Arial"/>
          <w:sz w:val="20"/>
          <w:szCs w:val="20"/>
        </w:rPr>
        <w:tab/>
        <w:t>4</w:t>
      </w:r>
    </w:p>
    <w:p w:rsidR="002C5025" w:rsidRDefault="002C5025">
      <w:pPr>
        <w:pStyle w:val="BodyText"/>
        <w:tabs>
          <w:tab w:val="left" w:pos="9389"/>
        </w:tabs>
        <w:kinsoku w:val="0"/>
        <w:overflowPunct w:val="0"/>
        <w:spacing w:before="46"/>
        <w:ind w:left="140"/>
        <w:rPr>
          <w:rFonts w:ascii="Arial" w:hAnsi="Arial" w:cs="Arial"/>
          <w:sz w:val="20"/>
          <w:szCs w:val="20"/>
        </w:rPr>
        <w:sectPr w:rsidR="002C5025">
          <w:pgSz w:w="12240" w:h="15840"/>
          <w:pgMar w:top="720" w:right="1140" w:bottom="280" w:left="1300" w:header="720" w:footer="720" w:gutter="0"/>
          <w:cols w:space="720"/>
          <w:noEndnote/>
        </w:sectPr>
      </w:pPr>
    </w:p>
    <w:p w:rsidR="002C5025" w:rsidRDefault="00FB027C">
      <w:pPr>
        <w:pStyle w:val="BodyText"/>
        <w:kinsoku w:val="0"/>
        <w:overflowPunct w:val="0"/>
        <w:ind w:left="130"/>
        <w:rPr>
          <w:rFonts w:ascii="Arial" w:hAnsi="Arial" w:cs="Arial"/>
          <w:sz w:val="20"/>
          <w:szCs w:val="20"/>
        </w:rPr>
      </w:pPr>
      <w:r>
        <w:rPr>
          <w:rFonts w:ascii="Arial" w:hAnsi="Arial" w:cs="Arial"/>
          <w:noProof/>
          <w:sz w:val="20"/>
          <w:szCs w:val="20"/>
        </w:rPr>
        <w:lastRenderedPageBreak/>
        <mc:AlternateContent>
          <mc:Choice Requires="wpg">
            <w:drawing>
              <wp:inline distT="0" distB="0" distL="0" distR="0">
                <wp:extent cx="6068060" cy="369570"/>
                <wp:effectExtent l="0" t="0" r="0" b="1905"/>
                <wp:docPr id="839"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369570"/>
                          <a:chOff x="0" y="0"/>
                          <a:chExt cx="9556" cy="582"/>
                        </a:xfrm>
                      </wpg:grpSpPr>
                      <pic:pic xmlns:pic="http://schemas.openxmlformats.org/drawingml/2006/picture">
                        <pic:nvPicPr>
                          <pic:cNvPr id="840" name="Picture 182"/>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10" y="0"/>
                            <a:ext cx="19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41" name="Freeform 183"/>
                        <wps:cNvSpPr>
                          <a:spLocks/>
                        </wps:cNvSpPr>
                        <wps:spPr bwMode="auto">
                          <a:xfrm>
                            <a:off x="10" y="571"/>
                            <a:ext cx="2336" cy="20"/>
                          </a:xfrm>
                          <a:custGeom>
                            <a:avLst/>
                            <a:gdLst>
                              <a:gd name="T0" fmla="*/ 0 w 2336"/>
                              <a:gd name="T1" fmla="*/ 0 h 20"/>
                              <a:gd name="T2" fmla="*/ 2335 w 2336"/>
                              <a:gd name="T3" fmla="*/ 0 h 20"/>
                            </a:gdLst>
                            <a:ahLst/>
                            <a:cxnLst>
                              <a:cxn ang="0">
                                <a:pos x="T0" y="T1"/>
                              </a:cxn>
                              <a:cxn ang="0">
                                <a:pos x="T2" y="T3"/>
                              </a:cxn>
                            </a:cxnLst>
                            <a:rect l="0" t="0" r="r" b="b"/>
                            <a:pathLst>
                              <a:path w="2336" h="20">
                                <a:moveTo>
                                  <a:pt x="0" y="0"/>
                                </a:moveTo>
                                <a:lnTo>
                                  <a:pt x="2335" y="0"/>
                                </a:lnTo>
                              </a:path>
                            </a:pathLst>
                          </a:custGeom>
                          <a:noFill/>
                          <a:ln w="12192">
                            <a:solidFill>
                              <a:srgbClr val="41B6E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2" name="Freeform 184"/>
                        <wps:cNvSpPr>
                          <a:spLocks/>
                        </wps:cNvSpPr>
                        <wps:spPr bwMode="auto">
                          <a:xfrm>
                            <a:off x="2345" y="571"/>
                            <a:ext cx="20" cy="20"/>
                          </a:xfrm>
                          <a:custGeom>
                            <a:avLst/>
                            <a:gdLst>
                              <a:gd name="T0" fmla="*/ 0 w 20"/>
                              <a:gd name="T1" fmla="*/ 0 h 20"/>
                              <a:gd name="T2" fmla="*/ 19 w 20"/>
                              <a:gd name="T3" fmla="*/ 0 h 20"/>
                            </a:gdLst>
                            <a:ahLst/>
                            <a:cxnLst>
                              <a:cxn ang="0">
                                <a:pos x="T0" y="T1"/>
                              </a:cxn>
                              <a:cxn ang="0">
                                <a:pos x="T2" y="T3"/>
                              </a:cxn>
                            </a:cxnLst>
                            <a:rect l="0" t="0" r="r" b="b"/>
                            <a:pathLst>
                              <a:path w="20" h="20">
                                <a:moveTo>
                                  <a:pt x="0" y="0"/>
                                </a:moveTo>
                                <a:lnTo>
                                  <a:pt x="19" y="0"/>
                                </a:lnTo>
                              </a:path>
                            </a:pathLst>
                          </a:custGeom>
                          <a:noFill/>
                          <a:ln w="12192">
                            <a:solidFill>
                              <a:srgbClr val="41B6E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3" name="Freeform 185"/>
                        <wps:cNvSpPr>
                          <a:spLocks/>
                        </wps:cNvSpPr>
                        <wps:spPr bwMode="auto">
                          <a:xfrm>
                            <a:off x="2364" y="571"/>
                            <a:ext cx="7181" cy="20"/>
                          </a:xfrm>
                          <a:custGeom>
                            <a:avLst/>
                            <a:gdLst>
                              <a:gd name="T0" fmla="*/ 0 w 7181"/>
                              <a:gd name="T1" fmla="*/ 0 h 20"/>
                              <a:gd name="T2" fmla="*/ 7180 w 7181"/>
                              <a:gd name="T3" fmla="*/ 0 h 20"/>
                            </a:gdLst>
                            <a:ahLst/>
                            <a:cxnLst>
                              <a:cxn ang="0">
                                <a:pos x="T0" y="T1"/>
                              </a:cxn>
                              <a:cxn ang="0">
                                <a:pos x="T2" y="T3"/>
                              </a:cxn>
                            </a:cxnLst>
                            <a:rect l="0" t="0" r="r" b="b"/>
                            <a:pathLst>
                              <a:path w="7181" h="20">
                                <a:moveTo>
                                  <a:pt x="0" y="0"/>
                                </a:moveTo>
                                <a:lnTo>
                                  <a:pt x="7180" y="0"/>
                                </a:lnTo>
                              </a:path>
                            </a:pathLst>
                          </a:custGeom>
                          <a:noFill/>
                          <a:ln w="12192">
                            <a:solidFill>
                              <a:srgbClr val="41B6E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4" name="Text Box 186"/>
                        <wps:cNvSpPr txBox="1">
                          <a:spLocks noChangeArrowheads="1"/>
                        </wps:cNvSpPr>
                        <wps:spPr bwMode="auto">
                          <a:xfrm>
                            <a:off x="0" y="0"/>
                            <a:ext cx="9555" cy="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pStyle w:val="BodyText"/>
                                <w:kinsoku w:val="0"/>
                                <w:overflowPunct w:val="0"/>
                                <w:spacing w:before="88" w:line="226" w:lineRule="exact"/>
                                <w:ind w:left="5128" w:firstLine="1212"/>
                                <w:rPr>
                                  <w:rFonts w:ascii="Arial" w:hAnsi="Arial" w:cs="Arial"/>
                                  <w:sz w:val="20"/>
                                  <w:szCs w:val="20"/>
                                </w:rPr>
                              </w:pPr>
                              <w:r>
                                <w:rPr>
                                  <w:rFonts w:ascii="Arial" w:hAnsi="Arial" w:cs="Arial"/>
                                  <w:sz w:val="20"/>
                                  <w:szCs w:val="20"/>
                                </w:rPr>
                                <w:t>Commonwealth of Massachusetts Executive Office of Health and Human Services</w:t>
                              </w:r>
                            </w:p>
                          </w:txbxContent>
                        </wps:txbx>
                        <wps:bodyPr rot="0" vert="horz" wrap="square" lIns="0" tIns="0" rIns="0" bIns="0" anchor="t" anchorCtr="0" upright="1">
                          <a:noAutofit/>
                        </wps:bodyPr>
                      </wps:wsp>
                    </wpg:wgp>
                  </a:graphicData>
                </a:graphic>
              </wp:inline>
            </w:drawing>
          </mc:Choice>
          <mc:Fallback>
            <w:pict>
              <v:group id="Group 181" o:spid="_x0000_s1107" style="width:477.8pt;height:29.1pt;mso-position-horizontal-relative:char;mso-position-vertical-relative:line" coordsize="9556,5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">
                <v:shape id="Picture 182" o:spid="_x0000_s1108" type="#_x0000_t75" style="position:absolute;left:10;width:1920;height:5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O+p3BAAAA3AAAAA8AAABkcnMvZG93bnJldi54bWxET8luwjAQvVfiH6xB6q04IAohYBAgdblV&#10;TfiAUTxZRDwOsSFJv74+VOrx6e27w2Aa8aDO1ZYVzGcRCOLc6ppLBZfs7SUG4TyyxsYyKRjJwWE/&#10;edphom3P3/RIfSlCCLsEFVTet4mULq/IoJvZljhwhe0M+gC7UuoO+xBuGrmIopU0WHNoqLClc0X5&#10;Nb0bBatN2hzHU/5++0rXHz+Wi4xeC6Wep8NxC8LT4P/Ff+5PrSBehvnhTDgCcv8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iO+p3BAAAA3AAAAA8AAAAAAAAAAAAAAAAAnwIA&#10;AGRycy9kb3ducmV2LnhtbFBLBQYAAAAABAAEAPcAAACNAwAAAAA=&#10;">
                  <v:imagedata r:id="rId127" o:title=""/>
                </v:shape>
                <v:shape id="Freeform 183" o:spid="_x0000_s1109" style="position:absolute;left:10;top:571;width:2336;height:20;visibility:visible;mso-wrap-style:square;v-text-anchor:top" coordsize="233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A+osQA&#10;AADcAAAADwAAAGRycy9kb3ducmV2LnhtbESPzWrDMBCE74W8g9hAbo3sEopxo4T8NJBLoE3a+2Jt&#10;bbXWykiK7bx9VCj0OMzMN8xyPdpW9OSDcawgn2cgiCunDdcKPi6HxwJEiMgaW8ek4EYB1qvJwxJL&#10;7QZ+p/4ca5EgHEpU0MTYlVKGqiGLYe464uR9OW8xJulrqT0OCW5b+ZRlz9Ki4bTQYEe7hqqf89Uq&#10;MEUfhtPr5+Xt9G16HPxhu5e5UrPpuHkBEWmM/+G/9lErKBY5/J5JR0C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wPqLEAAAA3AAAAA8AAAAAAAAAAAAAAAAAmAIAAGRycy9k&#10;b3ducmV2LnhtbFBLBQYAAAAABAAEAPUAAACJAwAAAAA=&#10;" path="m,l2335,e" filled="f" strokecolor="#41b6e6" strokeweight=".96pt">
                  <v:path arrowok="t" o:connecttype="custom" o:connectlocs="0,0;2335,0" o:connectangles="0,0"/>
                </v:shape>
                <v:shape id="Freeform 184" o:spid="_x0000_s1110" style="position:absolute;left:2345;top:571;width:20;height:20;visibility:visible;mso-wrap-style:square;v-text-anchor:top" coordsize="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04P8YA&#10;AADcAAAADwAAAGRycy9kb3ducmV2LnhtbESPQWvCQBSE70L/w/IKvdWNaSMSsxERBBF6aBRLb8/s&#10;axKafRuyq0Z/vVsoeBxm5hsmWwymFWfqXWNZwWQcgSAurW64UrDfrV9nIJxH1thaJgVXcrDIn0YZ&#10;ptpe+JPOha9EgLBLUUHtfZdK6cqaDLqx7YiD92N7gz7IvpK6x0uAm1bGUTSVBhsOCzV2tKqp/C1O&#10;RsFtUiRyc4y/t/R1SJpy//GmE63Uy/OwnIPwNPhH+L+90Qpm7zH8nQlHQOZ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a04P8YAAADcAAAADwAAAAAAAAAAAAAAAACYAgAAZHJz&#10;L2Rvd25yZXYueG1sUEsFBgAAAAAEAAQA9QAAAIsDAAAAAA==&#10;" path="m,l19,e" filled="f" strokecolor="#41b6e6" strokeweight=".96pt">
                  <v:path arrowok="t" o:connecttype="custom" o:connectlocs="0,0;19,0" o:connectangles="0,0"/>
                </v:shape>
                <v:shape id="Freeform 185" o:spid="_x0000_s1111" style="position:absolute;left:2364;top:571;width:7181;height:20;visibility:visible;mso-wrap-style:square;v-text-anchor:top" coordsize="71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3ylMIA&#10;AADcAAAADwAAAGRycy9kb3ducmV2LnhtbESPQWvCQBSE70L/w/KEXqS+qE2R1FVEEHI19dLbI/tM&#10;gtm3YXer8d93CwWPw8x8w2x2o+3VjX3onGhYzDNQLLUznTQazl/HtzWoEEkM9U5Yw4MD7LYvkw0V&#10;xt3lxLcqNipBJBSkoY1xKBBD3bKlMHcDS/IuzluKSfoGjad7gtsel1n2gZY6SQstDXxoub5WP1aD&#10;PZSdX5a4r8o8f3wj4TA7XbR+nY77T1CRx/gM/7dLo2H9voK/M+kI4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rfKUwgAAANwAAAAPAAAAAAAAAAAAAAAAAJgCAABkcnMvZG93&#10;bnJldi54bWxQSwUGAAAAAAQABAD1AAAAhwMAAAAA&#10;" path="m,l7180,e" filled="f" strokecolor="#41b6e6" strokeweight=".96pt">
                  <v:path arrowok="t" o:connecttype="custom" o:connectlocs="0,0;7180,0" o:connectangles="0,0"/>
                </v:shape>
                <v:shape id="Text Box 186" o:spid="_x0000_s1112" type="#_x0000_t202" style="position:absolute;width:9555;height: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C4gsUA&#10;AADcAAAADwAAAGRycy9kb3ducmV2LnhtbESPQWvCQBSE74L/YXmF3nRTEbGpGxGpIBRKYzx4fM0+&#10;kyXZt2l21fTfdwWhx2FmvmFW68G24kq9N44VvEwTEMSl04YrBcdiN1mC8AFZY+uYFPySh3U2Hq0w&#10;1e7GOV0PoRIRwj5FBXUIXSqlL2uy6KeuI47e2fUWQ5R9JXWPtwi3rZwlyUJaNBwXauxoW1PZHC5W&#10;webE+bv5+fz+ys+5KYrXhD8WjVLPT8PmDUSgIfyHH+29VrCcz+F+Jh4Bm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cLiCxQAAANwAAAAPAAAAAAAAAAAAAAAAAJgCAABkcnMv&#10;ZG93bnJldi54bWxQSwUGAAAAAAQABAD1AAAAigMAAAAA&#10;" filled="f" stroked="f">
                  <v:textbox inset="0,0,0,0">
                    <w:txbxContent>
                      <w:p w:rsidR="007B2B7B" w:rsidRDefault="007B2B7B">
                        <w:pPr>
                          <w:pStyle w:val="BodyText"/>
                          <w:kinsoku w:val="0"/>
                          <w:overflowPunct w:val="0"/>
                          <w:spacing w:before="88" w:line="226" w:lineRule="exact"/>
                          <w:ind w:left="5128" w:firstLine="1212"/>
                          <w:rPr>
                            <w:rFonts w:ascii="Arial" w:hAnsi="Arial" w:cs="Arial"/>
                            <w:sz w:val="20"/>
                            <w:szCs w:val="20"/>
                          </w:rPr>
                        </w:pPr>
                        <w:r>
                          <w:rPr>
                            <w:rFonts w:ascii="Arial" w:hAnsi="Arial" w:cs="Arial"/>
                            <w:sz w:val="20"/>
                            <w:szCs w:val="20"/>
                          </w:rPr>
                          <w:t>Commonwealth of Massachusetts Executive Office of Health and Human Services</w:t>
                        </w:r>
                      </w:p>
                    </w:txbxContent>
                  </v:textbox>
                </v:shape>
                <w10:anchorlock/>
              </v:group>
            </w:pict>
          </mc:Fallback>
        </mc:AlternateContent>
      </w:r>
    </w:p>
    <w:p w:rsidR="002C5025" w:rsidRDefault="002C5025">
      <w:pPr>
        <w:pStyle w:val="BodyText"/>
        <w:kinsoku w:val="0"/>
        <w:overflowPunct w:val="0"/>
        <w:spacing w:before="10"/>
        <w:rPr>
          <w:rFonts w:ascii="Arial" w:hAnsi="Arial" w:cs="Arial"/>
          <w:sz w:val="17"/>
          <w:szCs w:val="17"/>
        </w:rPr>
      </w:pPr>
    </w:p>
    <w:tbl>
      <w:tblPr>
        <w:tblW w:w="0" w:type="auto"/>
        <w:tblInd w:w="138" w:type="dxa"/>
        <w:tblLayout w:type="fixed"/>
        <w:tblCellMar>
          <w:left w:w="0" w:type="dxa"/>
          <w:right w:w="0" w:type="dxa"/>
        </w:tblCellMar>
        <w:tblLook w:val="0000" w:firstRow="0" w:lastRow="0" w:firstColumn="0" w:lastColumn="0" w:noHBand="0" w:noVBand="0"/>
      </w:tblPr>
      <w:tblGrid>
        <w:gridCol w:w="2335"/>
        <w:gridCol w:w="7200"/>
      </w:tblGrid>
      <w:tr w:rsidR="002C5025">
        <w:trPr>
          <w:trHeight w:hRule="exact" w:val="478"/>
        </w:trPr>
        <w:tc>
          <w:tcPr>
            <w:tcW w:w="2335" w:type="dxa"/>
            <w:tcBorders>
              <w:top w:val="single" w:sz="4" w:space="0" w:color="7F7F7F"/>
              <w:left w:val="single" w:sz="4" w:space="0" w:color="7F7F7F"/>
              <w:bottom w:val="single" w:sz="4" w:space="0" w:color="7F7F7F"/>
              <w:right w:val="single" w:sz="4" w:space="0" w:color="7F7F7F"/>
            </w:tcBorders>
            <w:shd w:val="clear" w:color="auto" w:fill="0083CE"/>
          </w:tcPr>
          <w:p w:rsidR="002C5025" w:rsidRDefault="002C5025">
            <w:pPr>
              <w:pStyle w:val="TableParagraph"/>
              <w:kinsoku w:val="0"/>
              <w:overflowPunct w:val="0"/>
              <w:ind w:left="801" w:right="128" w:hanging="413"/>
              <w:rPr>
                <w:rFonts w:ascii="Times New Roman" w:hAnsi="Times New Roman" w:cs="Times New Roman"/>
              </w:rPr>
            </w:pPr>
            <w:r>
              <w:rPr>
                <w:b/>
                <w:bCs/>
                <w:color w:val="FFFFFF"/>
                <w:sz w:val="20"/>
                <w:szCs w:val="20"/>
              </w:rPr>
              <w:t>Relevant Waiver Section</w:t>
            </w:r>
          </w:p>
        </w:tc>
        <w:tc>
          <w:tcPr>
            <w:tcW w:w="7200" w:type="dxa"/>
            <w:tcBorders>
              <w:top w:val="single" w:sz="4" w:space="0" w:color="7F7F7F"/>
              <w:left w:val="single" w:sz="4" w:space="0" w:color="7F7F7F"/>
              <w:bottom w:val="single" w:sz="4" w:space="0" w:color="7F7F7F"/>
              <w:right w:val="single" w:sz="4" w:space="0" w:color="7F7F7F"/>
            </w:tcBorders>
            <w:shd w:val="clear" w:color="auto" w:fill="0083CE"/>
          </w:tcPr>
          <w:p w:rsidR="002C5025" w:rsidRDefault="002C5025">
            <w:pPr>
              <w:pStyle w:val="TableParagraph"/>
              <w:kinsoku w:val="0"/>
              <w:overflowPunct w:val="0"/>
              <w:spacing w:before="107"/>
              <w:ind w:left="2708" w:right="2706"/>
              <w:jc w:val="center"/>
              <w:rPr>
                <w:rFonts w:ascii="Times New Roman" w:hAnsi="Times New Roman" w:cs="Times New Roman"/>
              </w:rPr>
            </w:pPr>
            <w:r>
              <w:rPr>
                <w:b/>
                <w:bCs/>
                <w:color w:val="FFFFFF"/>
                <w:sz w:val="20"/>
                <w:szCs w:val="20"/>
              </w:rPr>
              <w:t>Beacon Response</w:t>
            </w:r>
          </w:p>
        </w:tc>
      </w:tr>
      <w:tr w:rsidR="002C5025">
        <w:trPr>
          <w:trHeight w:hRule="exact" w:val="2309"/>
        </w:trPr>
        <w:tc>
          <w:tcPr>
            <w:tcW w:w="2335" w:type="dxa"/>
            <w:tcBorders>
              <w:top w:val="single" w:sz="4" w:space="0" w:color="7F7F7F"/>
              <w:left w:val="single" w:sz="4" w:space="0" w:color="7F7F7F"/>
              <w:bottom w:val="single" w:sz="4" w:space="0" w:color="7F7F7F"/>
              <w:right w:val="single" w:sz="4" w:space="0" w:color="7F7F7F"/>
            </w:tcBorders>
          </w:tcPr>
          <w:p w:rsidR="002C5025" w:rsidRDefault="002C5025"/>
        </w:tc>
        <w:tc>
          <w:tcPr>
            <w:tcW w:w="7200" w:type="dxa"/>
            <w:tcBorders>
              <w:top w:val="single" w:sz="4" w:space="0" w:color="7F7F7F"/>
              <w:left w:val="single" w:sz="4" w:space="0" w:color="7F7F7F"/>
              <w:bottom w:val="single" w:sz="4" w:space="0" w:color="7F7F7F"/>
              <w:right w:val="single" w:sz="4" w:space="0" w:color="7F7F7F"/>
            </w:tcBorders>
          </w:tcPr>
          <w:p w:rsidR="002C5025" w:rsidRDefault="002C5025">
            <w:pPr>
              <w:pStyle w:val="TableParagraph"/>
              <w:kinsoku w:val="0"/>
              <w:overflowPunct w:val="0"/>
              <w:ind w:right="168"/>
              <w:rPr>
                <w:rFonts w:ascii="Times New Roman" w:hAnsi="Times New Roman" w:cs="Times New Roman"/>
              </w:rPr>
            </w:pPr>
            <w:r>
              <w:rPr>
                <w:sz w:val="20"/>
                <w:szCs w:val="20"/>
              </w:rPr>
              <w:t>lower administrative costs. For individuals with complex behavioral health needs,</w:t>
            </w:r>
            <w:r>
              <w:rPr>
                <w:spacing w:val="-6"/>
                <w:sz w:val="20"/>
                <w:szCs w:val="20"/>
              </w:rPr>
              <w:t xml:space="preserve"> </w:t>
            </w:r>
            <w:r>
              <w:rPr>
                <w:sz w:val="20"/>
                <w:szCs w:val="20"/>
              </w:rPr>
              <w:t>to</w:t>
            </w:r>
            <w:r>
              <w:rPr>
                <w:spacing w:val="-4"/>
                <w:sz w:val="20"/>
                <w:szCs w:val="20"/>
              </w:rPr>
              <w:t xml:space="preserve"> </w:t>
            </w:r>
            <w:r>
              <w:rPr>
                <w:sz w:val="20"/>
                <w:szCs w:val="20"/>
              </w:rPr>
              <w:t>get</w:t>
            </w:r>
            <w:r>
              <w:rPr>
                <w:spacing w:val="-6"/>
                <w:sz w:val="20"/>
                <w:szCs w:val="20"/>
              </w:rPr>
              <w:t xml:space="preserve"> </w:t>
            </w:r>
            <w:r>
              <w:rPr>
                <w:sz w:val="20"/>
                <w:szCs w:val="20"/>
              </w:rPr>
              <w:t>this</w:t>
            </w:r>
            <w:r>
              <w:rPr>
                <w:spacing w:val="-5"/>
                <w:sz w:val="20"/>
                <w:szCs w:val="20"/>
              </w:rPr>
              <w:t xml:space="preserve"> </w:t>
            </w:r>
            <w:r>
              <w:rPr>
                <w:sz w:val="20"/>
                <w:szCs w:val="20"/>
              </w:rPr>
              <w:t>right,</w:t>
            </w:r>
            <w:r>
              <w:rPr>
                <w:spacing w:val="-6"/>
                <w:sz w:val="20"/>
                <w:szCs w:val="20"/>
              </w:rPr>
              <w:t xml:space="preserve"> </w:t>
            </w:r>
            <w:r>
              <w:rPr>
                <w:sz w:val="20"/>
                <w:szCs w:val="20"/>
              </w:rPr>
              <w:t>real</w:t>
            </w:r>
            <w:r>
              <w:rPr>
                <w:spacing w:val="-9"/>
                <w:sz w:val="20"/>
                <w:szCs w:val="20"/>
              </w:rPr>
              <w:t xml:space="preserve"> </w:t>
            </w:r>
            <w:r>
              <w:rPr>
                <w:sz w:val="20"/>
                <w:szCs w:val="20"/>
              </w:rPr>
              <w:t>reform</w:t>
            </w:r>
            <w:r>
              <w:rPr>
                <w:spacing w:val="-4"/>
                <w:sz w:val="20"/>
                <w:szCs w:val="20"/>
              </w:rPr>
              <w:t xml:space="preserve"> </w:t>
            </w:r>
            <w:r>
              <w:rPr>
                <w:sz w:val="20"/>
                <w:szCs w:val="20"/>
              </w:rPr>
              <w:t>will</w:t>
            </w:r>
            <w:r>
              <w:rPr>
                <w:spacing w:val="-7"/>
                <w:sz w:val="20"/>
                <w:szCs w:val="20"/>
              </w:rPr>
              <w:t xml:space="preserve"> </w:t>
            </w:r>
            <w:r>
              <w:rPr>
                <w:sz w:val="20"/>
                <w:szCs w:val="20"/>
              </w:rPr>
              <w:t>require</w:t>
            </w:r>
            <w:r>
              <w:rPr>
                <w:spacing w:val="-6"/>
                <w:sz w:val="20"/>
                <w:szCs w:val="20"/>
              </w:rPr>
              <w:t xml:space="preserve"> </w:t>
            </w:r>
            <w:r>
              <w:rPr>
                <w:sz w:val="20"/>
                <w:szCs w:val="20"/>
              </w:rPr>
              <w:t>an</w:t>
            </w:r>
            <w:r>
              <w:rPr>
                <w:spacing w:val="-6"/>
                <w:sz w:val="20"/>
                <w:szCs w:val="20"/>
              </w:rPr>
              <w:t xml:space="preserve"> </w:t>
            </w:r>
            <w:r>
              <w:rPr>
                <w:sz w:val="20"/>
                <w:szCs w:val="20"/>
              </w:rPr>
              <w:t>upfront</w:t>
            </w:r>
            <w:r>
              <w:rPr>
                <w:spacing w:val="-6"/>
                <w:sz w:val="20"/>
                <w:szCs w:val="20"/>
              </w:rPr>
              <w:t xml:space="preserve"> </w:t>
            </w:r>
            <w:r>
              <w:rPr>
                <w:sz w:val="20"/>
                <w:szCs w:val="20"/>
              </w:rPr>
              <w:t>investment</w:t>
            </w:r>
            <w:r>
              <w:rPr>
                <w:spacing w:val="-6"/>
                <w:sz w:val="20"/>
                <w:szCs w:val="20"/>
              </w:rPr>
              <w:t xml:space="preserve"> </w:t>
            </w:r>
            <w:r>
              <w:rPr>
                <w:sz w:val="20"/>
                <w:szCs w:val="20"/>
              </w:rPr>
              <w:t>to</w:t>
            </w:r>
            <w:r>
              <w:rPr>
                <w:spacing w:val="-6"/>
                <w:sz w:val="20"/>
                <w:szCs w:val="20"/>
              </w:rPr>
              <w:t xml:space="preserve"> </w:t>
            </w:r>
            <w:r>
              <w:rPr>
                <w:sz w:val="20"/>
                <w:szCs w:val="20"/>
              </w:rPr>
              <w:t>ensure delivery of care in the right time, at the right intensity, in the right setting. This may</w:t>
            </w:r>
            <w:r>
              <w:rPr>
                <w:spacing w:val="-11"/>
                <w:sz w:val="20"/>
                <w:szCs w:val="20"/>
              </w:rPr>
              <w:t xml:space="preserve"> </w:t>
            </w:r>
            <w:r>
              <w:rPr>
                <w:sz w:val="20"/>
                <w:szCs w:val="20"/>
              </w:rPr>
              <w:t>come</w:t>
            </w:r>
            <w:r>
              <w:rPr>
                <w:spacing w:val="-6"/>
                <w:sz w:val="20"/>
                <w:szCs w:val="20"/>
              </w:rPr>
              <w:t xml:space="preserve"> </w:t>
            </w:r>
            <w:r>
              <w:rPr>
                <w:sz w:val="20"/>
                <w:szCs w:val="20"/>
              </w:rPr>
              <w:t>in</w:t>
            </w:r>
            <w:r>
              <w:rPr>
                <w:spacing w:val="-9"/>
                <w:sz w:val="20"/>
                <w:szCs w:val="20"/>
              </w:rPr>
              <w:t xml:space="preserve"> </w:t>
            </w:r>
            <w:r>
              <w:rPr>
                <w:sz w:val="20"/>
                <w:szCs w:val="20"/>
              </w:rPr>
              <w:t>the</w:t>
            </w:r>
            <w:r>
              <w:rPr>
                <w:spacing w:val="-6"/>
                <w:sz w:val="20"/>
                <w:szCs w:val="20"/>
              </w:rPr>
              <w:t xml:space="preserve"> </w:t>
            </w:r>
            <w:r>
              <w:rPr>
                <w:sz w:val="20"/>
                <w:szCs w:val="20"/>
              </w:rPr>
              <w:t>form</w:t>
            </w:r>
            <w:r>
              <w:rPr>
                <w:spacing w:val="-1"/>
                <w:sz w:val="20"/>
                <w:szCs w:val="20"/>
              </w:rPr>
              <w:t xml:space="preserve"> </w:t>
            </w:r>
            <w:r>
              <w:rPr>
                <w:sz w:val="20"/>
                <w:szCs w:val="20"/>
              </w:rPr>
              <w:t>of</w:t>
            </w:r>
            <w:r>
              <w:rPr>
                <w:spacing w:val="-4"/>
                <w:sz w:val="20"/>
                <w:szCs w:val="20"/>
              </w:rPr>
              <w:t xml:space="preserve"> </w:t>
            </w:r>
            <w:r>
              <w:rPr>
                <w:sz w:val="20"/>
                <w:szCs w:val="20"/>
              </w:rPr>
              <w:t>building</w:t>
            </w:r>
            <w:r>
              <w:rPr>
                <w:spacing w:val="-6"/>
                <w:sz w:val="20"/>
                <w:szCs w:val="20"/>
              </w:rPr>
              <w:t xml:space="preserve"> </w:t>
            </w:r>
            <w:r>
              <w:rPr>
                <w:sz w:val="20"/>
                <w:szCs w:val="20"/>
              </w:rPr>
              <w:t>out</w:t>
            </w:r>
            <w:r>
              <w:rPr>
                <w:spacing w:val="-6"/>
                <w:sz w:val="20"/>
                <w:szCs w:val="20"/>
              </w:rPr>
              <w:t xml:space="preserve"> </w:t>
            </w:r>
            <w:r>
              <w:rPr>
                <w:sz w:val="20"/>
                <w:szCs w:val="20"/>
              </w:rPr>
              <w:t>existing</w:t>
            </w:r>
            <w:r>
              <w:rPr>
                <w:spacing w:val="-6"/>
                <w:sz w:val="20"/>
                <w:szCs w:val="20"/>
              </w:rPr>
              <w:t xml:space="preserve"> </w:t>
            </w:r>
            <w:r>
              <w:rPr>
                <w:sz w:val="20"/>
                <w:szCs w:val="20"/>
              </w:rPr>
              <w:t>infrastructure</w:t>
            </w:r>
            <w:r>
              <w:rPr>
                <w:spacing w:val="-6"/>
                <w:sz w:val="20"/>
                <w:szCs w:val="20"/>
              </w:rPr>
              <w:t xml:space="preserve"> </w:t>
            </w:r>
            <w:r>
              <w:rPr>
                <w:sz w:val="20"/>
                <w:szCs w:val="20"/>
              </w:rPr>
              <w:t>and</w:t>
            </w:r>
            <w:r>
              <w:rPr>
                <w:spacing w:val="-6"/>
                <w:sz w:val="20"/>
                <w:szCs w:val="20"/>
              </w:rPr>
              <w:t xml:space="preserve"> </w:t>
            </w:r>
            <w:r>
              <w:rPr>
                <w:sz w:val="20"/>
                <w:szCs w:val="20"/>
              </w:rPr>
              <w:t>adding</w:t>
            </w:r>
            <w:r>
              <w:rPr>
                <w:spacing w:val="-6"/>
                <w:sz w:val="20"/>
                <w:szCs w:val="20"/>
              </w:rPr>
              <w:t xml:space="preserve"> </w:t>
            </w:r>
            <w:r>
              <w:rPr>
                <w:sz w:val="20"/>
                <w:szCs w:val="20"/>
              </w:rPr>
              <w:t>people, services,</w:t>
            </w:r>
            <w:r>
              <w:rPr>
                <w:spacing w:val="-6"/>
                <w:sz w:val="20"/>
                <w:szCs w:val="20"/>
              </w:rPr>
              <w:t xml:space="preserve"> </w:t>
            </w:r>
            <w:r>
              <w:rPr>
                <w:sz w:val="20"/>
                <w:szCs w:val="20"/>
              </w:rPr>
              <w:t>and</w:t>
            </w:r>
            <w:r>
              <w:rPr>
                <w:spacing w:val="-6"/>
                <w:sz w:val="20"/>
                <w:szCs w:val="20"/>
              </w:rPr>
              <w:t xml:space="preserve"> </w:t>
            </w:r>
            <w:r>
              <w:rPr>
                <w:sz w:val="20"/>
                <w:szCs w:val="20"/>
              </w:rPr>
              <w:t>activities</w:t>
            </w:r>
            <w:r>
              <w:rPr>
                <w:spacing w:val="-5"/>
                <w:sz w:val="20"/>
                <w:szCs w:val="20"/>
              </w:rPr>
              <w:t xml:space="preserve"> </w:t>
            </w:r>
            <w:r>
              <w:rPr>
                <w:sz w:val="20"/>
                <w:szCs w:val="20"/>
              </w:rPr>
              <w:t>to</w:t>
            </w:r>
            <w:r>
              <w:rPr>
                <w:spacing w:val="-9"/>
                <w:sz w:val="20"/>
                <w:szCs w:val="20"/>
              </w:rPr>
              <w:t xml:space="preserve"> </w:t>
            </w:r>
            <w:r>
              <w:rPr>
                <w:sz w:val="20"/>
                <w:szCs w:val="20"/>
              </w:rPr>
              <w:t>fill</w:t>
            </w:r>
            <w:r>
              <w:rPr>
                <w:spacing w:val="-9"/>
                <w:sz w:val="20"/>
                <w:szCs w:val="20"/>
              </w:rPr>
              <w:t xml:space="preserve"> </w:t>
            </w:r>
            <w:r>
              <w:rPr>
                <w:sz w:val="20"/>
                <w:szCs w:val="20"/>
              </w:rPr>
              <w:t>the</w:t>
            </w:r>
            <w:r>
              <w:rPr>
                <w:spacing w:val="-6"/>
                <w:sz w:val="20"/>
                <w:szCs w:val="20"/>
              </w:rPr>
              <w:t xml:space="preserve"> </w:t>
            </w:r>
            <w:r>
              <w:rPr>
                <w:sz w:val="20"/>
                <w:szCs w:val="20"/>
              </w:rPr>
              <w:t>gaps</w:t>
            </w:r>
            <w:r>
              <w:rPr>
                <w:spacing w:val="-2"/>
                <w:sz w:val="20"/>
                <w:szCs w:val="20"/>
              </w:rPr>
              <w:t xml:space="preserve"> </w:t>
            </w:r>
            <w:r>
              <w:rPr>
                <w:sz w:val="20"/>
                <w:szCs w:val="20"/>
              </w:rPr>
              <w:t>in</w:t>
            </w:r>
            <w:r>
              <w:rPr>
                <w:spacing w:val="-9"/>
                <w:sz w:val="20"/>
                <w:szCs w:val="20"/>
              </w:rPr>
              <w:t xml:space="preserve"> </w:t>
            </w:r>
            <w:r>
              <w:rPr>
                <w:sz w:val="20"/>
                <w:szCs w:val="20"/>
              </w:rPr>
              <w:t>care</w:t>
            </w:r>
            <w:r>
              <w:rPr>
                <w:spacing w:val="-6"/>
                <w:sz w:val="20"/>
                <w:szCs w:val="20"/>
              </w:rPr>
              <w:t xml:space="preserve"> </w:t>
            </w:r>
            <w:r>
              <w:rPr>
                <w:sz w:val="20"/>
                <w:szCs w:val="20"/>
              </w:rPr>
              <w:t>that</w:t>
            </w:r>
            <w:r>
              <w:rPr>
                <w:spacing w:val="-6"/>
                <w:sz w:val="20"/>
                <w:szCs w:val="20"/>
              </w:rPr>
              <w:t xml:space="preserve"> </w:t>
            </w:r>
            <w:r>
              <w:rPr>
                <w:sz w:val="20"/>
                <w:szCs w:val="20"/>
              </w:rPr>
              <w:t>exist</w:t>
            </w:r>
            <w:r>
              <w:rPr>
                <w:spacing w:val="-8"/>
                <w:sz w:val="20"/>
                <w:szCs w:val="20"/>
              </w:rPr>
              <w:t xml:space="preserve"> </w:t>
            </w:r>
            <w:r>
              <w:rPr>
                <w:sz w:val="20"/>
                <w:szCs w:val="20"/>
              </w:rPr>
              <w:t>today.</w:t>
            </w:r>
            <w:r>
              <w:rPr>
                <w:spacing w:val="-6"/>
                <w:sz w:val="20"/>
                <w:szCs w:val="20"/>
              </w:rPr>
              <w:t xml:space="preserve"> </w:t>
            </w:r>
            <w:r>
              <w:rPr>
                <w:sz w:val="20"/>
                <w:szCs w:val="20"/>
              </w:rPr>
              <w:t>This</w:t>
            </w:r>
            <w:r>
              <w:rPr>
                <w:spacing w:val="-7"/>
                <w:sz w:val="20"/>
                <w:szCs w:val="20"/>
              </w:rPr>
              <w:t xml:space="preserve"> </w:t>
            </w:r>
            <w:r>
              <w:rPr>
                <w:sz w:val="20"/>
                <w:szCs w:val="20"/>
              </w:rPr>
              <w:t>may</w:t>
            </w:r>
            <w:r>
              <w:rPr>
                <w:spacing w:val="-11"/>
                <w:sz w:val="20"/>
                <w:szCs w:val="20"/>
              </w:rPr>
              <w:t xml:space="preserve"> </w:t>
            </w:r>
            <w:r>
              <w:rPr>
                <w:sz w:val="20"/>
                <w:szCs w:val="20"/>
              </w:rPr>
              <w:t>require a redistribution of funds to solve for these issues and increase access to diversionary and community-based services. However, this will ultimately mean fewer ED visits and fewer inpatient admissions, among other things, which will ultimately lead to better outcomes for members and lower total cost of</w:t>
            </w:r>
            <w:r>
              <w:rPr>
                <w:spacing w:val="-5"/>
                <w:sz w:val="20"/>
                <w:szCs w:val="20"/>
              </w:rPr>
              <w:t xml:space="preserve"> </w:t>
            </w:r>
            <w:r>
              <w:rPr>
                <w:sz w:val="20"/>
                <w:szCs w:val="20"/>
              </w:rPr>
              <w:t>care.</w:t>
            </w:r>
          </w:p>
        </w:tc>
      </w:tr>
      <w:tr w:rsidR="002C5025">
        <w:trPr>
          <w:trHeight w:hRule="exact" w:val="4908"/>
        </w:trPr>
        <w:tc>
          <w:tcPr>
            <w:tcW w:w="2335" w:type="dxa"/>
            <w:tcBorders>
              <w:top w:val="single" w:sz="4" w:space="0" w:color="7F7F7F"/>
              <w:left w:val="single" w:sz="4" w:space="0" w:color="7F7F7F"/>
              <w:bottom w:val="single" w:sz="4" w:space="0" w:color="7F7F7F"/>
              <w:right w:val="single" w:sz="4" w:space="0" w:color="7F7F7F"/>
            </w:tcBorders>
          </w:tcPr>
          <w:p w:rsidR="002C5025" w:rsidRDefault="002C5025">
            <w:pPr>
              <w:pStyle w:val="TableParagraph"/>
              <w:kinsoku w:val="0"/>
              <w:overflowPunct w:val="0"/>
              <w:ind w:right="128"/>
              <w:rPr>
                <w:rFonts w:ascii="Times New Roman" w:hAnsi="Times New Roman" w:cs="Times New Roman"/>
              </w:rPr>
            </w:pPr>
            <w:r>
              <w:rPr>
                <w:sz w:val="20"/>
                <w:szCs w:val="20"/>
              </w:rPr>
              <w:t>4.2.3. Community Partners</w:t>
            </w:r>
          </w:p>
        </w:tc>
        <w:tc>
          <w:tcPr>
            <w:tcW w:w="7200" w:type="dxa"/>
            <w:tcBorders>
              <w:top w:val="single" w:sz="4" w:space="0" w:color="7F7F7F"/>
              <w:left w:val="single" w:sz="4" w:space="0" w:color="7F7F7F"/>
              <w:bottom w:val="single" w:sz="4" w:space="0" w:color="7F7F7F"/>
              <w:right w:val="single" w:sz="4" w:space="0" w:color="7F7F7F"/>
            </w:tcBorders>
          </w:tcPr>
          <w:p w:rsidR="002C5025" w:rsidRDefault="002C5025">
            <w:pPr>
              <w:pStyle w:val="TableParagraph"/>
              <w:kinsoku w:val="0"/>
              <w:overflowPunct w:val="0"/>
              <w:ind w:right="150"/>
              <w:rPr>
                <w:sz w:val="20"/>
                <w:szCs w:val="20"/>
              </w:rPr>
            </w:pPr>
            <w:r>
              <w:rPr>
                <w:sz w:val="20"/>
                <w:szCs w:val="20"/>
              </w:rPr>
              <w:t>Beacon views the role of Behavioral Health Community Partners as more than just “care managers.” For individuals with SMI, they will most likely be the primary location where members receive care—similar to a health home.</w:t>
            </w:r>
          </w:p>
          <w:p w:rsidR="002C5025" w:rsidRDefault="002C5025">
            <w:pPr>
              <w:pStyle w:val="TableParagraph"/>
              <w:kinsoku w:val="0"/>
              <w:overflowPunct w:val="0"/>
              <w:ind w:right="384" w:hanging="1"/>
              <w:rPr>
                <w:sz w:val="20"/>
                <w:szCs w:val="20"/>
              </w:rPr>
            </w:pPr>
            <w:r>
              <w:rPr>
                <w:sz w:val="20"/>
                <w:szCs w:val="20"/>
              </w:rPr>
              <w:t>Because the ACOs will need to organize around the member’s primary location of care, Beacon advocates for a more clearly defined role of the Behavioral Health Community Partner and strict selection criteria, including:</w:t>
            </w:r>
          </w:p>
          <w:p w:rsidR="002C5025" w:rsidRDefault="002C5025">
            <w:pPr>
              <w:pStyle w:val="TableParagraph"/>
              <w:kinsoku w:val="0"/>
              <w:overflowPunct w:val="0"/>
              <w:spacing w:before="8"/>
              <w:ind w:left="0"/>
              <w:rPr>
                <w:sz w:val="19"/>
                <w:szCs w:val="19"/>
              </w:rPr>
            </w:pPr>
          </w:p>
          <w:p w:rsidR="002C5025" w:rsidRDefault="002C5025">
            <w:pPr>
              <w:pStyle w:val="TableParagraph"/>
              <w:numPr>
                <w:ilvl w:val="0"/>
                <w:numId w:val="81"/>
              </w:numPr>
              <w:tabs>
                <w:tab w:val="left" w:pos="444"/>
              </w:tabs>
              <w:kinsoku w:val="0"/>
              <w:overflowPunct w:val="0"/>
              <w:spacing w:line="244" w:lineRule="exact"/>
              <w:ind w:hanging="359"/>
              <w:rPr>
                <w:sz w:val="20"/>
                <w:szCs w:val="20"/>
              </w:rPr>
            </w:pPr>
            <w:r>
              <w:rPr>
                <w:sz w:val="20"/>
                <w:szCs w:val="20"/>
              </w:rPr>
              <w:t>Minimum</w:t>
            </w:r>
            <w:r>
              <w:rPr>
                <w:spacing w:val="-5"/>
                <w:sz w:val="20"/>
                <w:szCs w:val="20"/>
              </w:rPr>
              <w:t xml:space="preserve"> </w:t>
            </w:r>
            <w:r>
              <w:rPr>
                <w:sz w:val="20"/>
                <w:szCs w:val="20"/>
              </w:rPr>
              <w:t>experience</w:t>
            </w:r>
            <w:r>
              <w:rPr>
                <w:spacing w:val="-8"/>
                <w:sz w:val="20"/>
                <w:szCs w:val="20"/>
              </w:rPr>
              <w:t xml:space="preserve"> </w:t>
            </w:r>
            <w:r>
              <w:rPr>
                <w:sz w:val="20"/>
                <w:szCs w:val="20"/>
              </w:rPr>
              <w:t>and</w:t>
            </w:r>
            <w:r>
              <w:rPr>
                <w:spacing w:val="-8"/>
                <w:sz w:val="20"/>
                <w:szCs w:val="20"/>
              </w:rPr>
              <w:t xml:space="preserve"> </w:t>
            </w:r>
            <w:r>
              <w:rPr>
                <w:sz w:val="20"/>
                <w:szCs w:val="20"/>
              </w:rPr>
              <w:t>expertise</w:t>
            </w:r>
            <w:r>
              <w:rPr>
                <w:spacing w:val="-8"/>
                <w:sz w:val="20"/>
                <w:szCs w:val="20"/>
              </w:rPr>
              <w:t xml:space="preserve"> </w:t>
            </w:r>
            <w:r>
              <w:rPr>
                <w:sz w:val="20"/>
                <w:szCs w:val="20"/>
              </w:rPr>
              <w:t>in</w:t>
            </w:r>
            <w:r>
              <w:rPr>
                <w:spacing w:val="-11"/>
                <w:sz w:val="20"/>
                <w:szCs w:val="20"/>
              </w:rPr>
              <w:t xml:space="preserve"> </w:t>
            </w:r>
            <w:r>
              <w:rPr>
                <w:sz w:val="20"/>
                <w:szCs w:val="20"/>
              </w:rPr>
              <w:t>caring</w:t>
            </w:r>
            <w:r>
              <w:rPr>
                <w:spacing w:val="-8"/>
                <w:sz w:val="20"/>
                <w:szCs w:val="20"/>
              </w:rPr>
              <w:t xml:space="preserve"> </w:t>
            </w:r>
            <w:r>
              <w:rPr>
                <w:sz w:val="20"/>
                <w:szCs w:val="20"/>
              </w:rPr>
              <w:t>for</w:t>
            </w:r>
            <w:r>
              <w:rPr>
                <w:spacing w:val="-7"/>
                <w:sz w:val="20"/>
                <w:szCs w:val="20"/>
              </w:rPr>
              <w:t xml:space="preserve"> </w:t>
            </w:r>
            <w:r>
              <w:rPr>
                <w:sz w:val="20"/>
                <w:szCs w:val="20"/>
              </w:rPr>
              <w:t>individuals</w:t>
            </w:r>
            <w:r>
              <w:rPr>
                <w:spacing w:val="-7"/>
                <w:sz w:val="20"/>
                <w:szCs w:val="20"/>
              </w:rPr>
              <w:t xml:space="preserve"> </w:t>
            </w:r>
            <w:r>
              <w:rPr>
                <w:sz w:val="20"/>
                <w:szCs w:val="20"/>
              </w:rPr>
              <w:t>with</w:t>
            </w:r>
            <w:r>
              <w:rPr>
                <w:spacing w:val="-8"/>
                <w:sz w:val="20"/>
                <w:szCs w:val="20"/>
              </w:rPr>
              <w:t xml:space="preserve"> </w:t>
            </w:r>
            <w:r>
              <w:rPr>
                <w:sz w:val="20"/>
                <w:szCs w:val="20"/>
              </w:rPr>
              <w:t>SMI</w:t>
            </w:r>
          </w:p>
          <w:p w:rsidR="002C5025" w:rsidRDefault="002C5025">
            <w:pPr>
              <w:pStyle w:val="TableParagraph"/>
              <w:numPr>
                <w:ilvl w:val="0"/>
                <w:numId w:val="81"/>
              </w:numPr>
              <w:tabs>
                <w:tab w:val="left" w:pos="444"/>
              </w:tabs>
              <w:kinsoku w:val="0"/>
              <w:overflowPunct w:val="0"/>
              <w:spacing w:line="244" w:lineRule="exact"/>
              <w:rPr>
                <w:sz w:val="20"/>
                <w:szCs w:val="20"/>
              </w:rPr>
            </w:pPr>
            <w:r>
              <w:rPr>
                <w:sz w:val="20"/>
                <w:szCs w:val="20"/>
              </w:rPr>
              <w:t>Adherence</w:t>
            </w:r>
            <w:r>
              <w:rPr>
                <w:spacing w:val="-11"/>
                <w:sz w:val="20"/>
                <w:szCs w:val="20"/>
              </w:rPr>
              <w:t xml:space="preserve"> </w:t>
            </w:r>
            <w:r>
              <w:rPr>
                <w:sz w:val="20"/>
                <w:szCs w:val="20"/>
              </w:rPr>
              <w:t>and</w:t>
            </w:r>
            <w:r>
              <w:rPr>
                <w:spacing w:val="-12"/>
                <w:sz w:val="20"/>
                <w:szCs w:val="20"/>
              </w:rPr>
              <w:t xml:space="preserve"> </w:t>
            </w:r>
            <w:r>
              <w:rPr>
                <w:sz w:val="20"/>
                <w:szCs w:val="20"/>
              </w:rPr>
              <w:t>fidelity</w:t>
            </w:r>
            <w:r>
              <w:rPr>
                <w:spacing w:val="-16"/>
                <w:sz w:val="20"/>
                <w:szCs w:val="20"/>
              </w:rPr>
              <w:t xml:space="preserve"> </w:t>
            </w:r>
            <w:r>
              <w:rPr>
                <w:sz w:val="20"/>
                <w:szCs w:val="20"/>
              </w:rPr>
              <w:t>to</w:t>
            </w:r>
            <w:r>
              <w:rPr>
                <w:spacing w:val="-11"/>
                <w:sz w:val="20"/>
                <w:szCs w:val="20"/>
              </w:rPr>
              <w:t xml:space="preserve"> </w:t>
            </w:r>
            <w:r>
              <w:rPr>
                <w:sz w:val="20"/>
                <w:szCs w:val="20"/>
              </w:rPr>
              <w:t>evidence-based</w:t>
            </w:r>
            <w:r>
              <w:rPr>
                <w:spacing w:val="-11"/>
                <w:sz w:val="20"/>
                <w:szCs w:val="20"/>
              </w:rPr>
              <w:t xml:space="preserve"> </w:t>
            </w:r>
            <w:r>
              <w:rPr>
                <w:sz w:val="20"/>
                <w:szCs w:val="20"/>
              </w:rPr>
              <w:t>care</w:t>
            </w:r>
            <w:r>
              <w:rPr>
                <w:spacing w:val="-11"/>
                <w:sz w:val="20"/>
                <w:szCs w:val="20"/>
              </w:rPr>
              <w:t xml:space="preserve"> </w:t>
            </w:r>
            <w:r>
              <w:rPr>
                <w:sz w:val="20"/>
                <w:szCs w:val="20"/>
              </w:rPr>
              <w:t>approaches</w:t>
            </w:r>
          </w:p>
          <w:p w:rsidR="002C5025" w:rsidRDefault="002C5025">
            <w:pPr>
              <w:pStyle w:val="TableParagraph"/>
              <w:numPr>
                <w:ilvl w:val="0"/>
                <w:numId w:val="81"/>
              </w:numPr>
              <w:tabs>
                <w:tab w:val="left" w:pos="444"/>
              </w:tabs>
              <w:kinsoku w:val="0"/>
              <w:overflowPunct w:val="0"/>
              <w:spacing w:before="23" w:line="228" w:lineRule="exact"/>
              <w:ind w:right="1067"/>
              <w:rPr>
                <w:sz w:val="20"/>
                <w:szCs w:val="20"/>
              </w:rPr>
            </w:pPr>
            <w:r>
              <w:rPr>
                <w:sz w:val="20"/>
                <w:szCs w:val="20"/>
              </w:rPr>
              <w:t>Comprehensive</w:t>
            </w:r>
            <w:r>
              <w:rPr>
                <w:spacing w:val="-12"/>
                <w:sz w:val="20"/>
                <w:szCs w:val="20"/>
              </w:rPr>
              <w:t xml:space="preserve"> </w:t>
            </w:r>
            <w:r>
              <w:rPr>
                <w:sz w:val="20"/>
                <w:szCs w:val="20"/>
              </w:rPr>
              <w:t>care</w:t>
            </w:r>
            <w:r>
              <w:rPr>
                <w:spacing w:val="-14"/>
                <w:sz w:val="20"/>
                <w:szCs w:val="20"/>
              </w:rPr>
              <w:t xml:space="preserve"> </w:t>
            </w:r>
            <w:r>
              <w:rPr>
                <w:sz w:val="20"/>
                <w:szCs w:val="20"/>
              </w:rPr>
              <w:t>management</w:t>
            </w:r>
            <w:r>
              <w:rPr>
                <w:spacing w:val="-12"/>
                <w:sz w:val="20"/>
                <w:szCs w:val="20"/>
              </w:rPr>
              <w:t xml:space="preserve"> </w:t>
            </w:r>
            <w:r>
              <w:rPr>
                <w:sz w:val="20"/>
                <w:szCs w:val="20"/>
              </w:rPr>
              <w:t>capabilities</w:t>
            </w:r>
            <w:r>
              <w:rPr>
                <w:spacing w:val="-11"/>
                <w:sz w:val="20"/>
                <w:szCs w:val="20"/>
              </w:rPr>
              <w:t xml:space="preserve"> </w:t>
            </w:r>
            <w:r>
              <w:rPr>
                <w:sz w:val="20"/>
                <w:szCs w:val="20"/>
              </w:rPr>
              <w:t>that</w:t>
            </w:r>
            <w:r>
              <w:rPr>
                <w:spacing w:val="-12"/>
                <w:sz w:val="20"/>
                <w:szCs w:val="20"/>
              </w:rPr>
              <w:t xml:space="preserve"> </w:t>
            </w:r>
            <w:r>
              <w:rPr>
                <w:sz w:val="20"/>
                <w:szCs w:val="20"/>
              </w:rPr>
              <w:t>embrace</w:t>
            </w:r>
            <w:r>
              <w:rPr>
                <w:spacing w:val="-12"/>
                <w:sz w:val="20"/>
                <w:szCs w:val="20"/>
              </w:rPr>
              <w:t xml:space="preserve"> </w:t>
            </w:r>
            <w:r>
              <w:rPr>
                <w:sz w:val="20"/>
                <w:szCs w:val="20"/>
              </w:rPr>
              <w:t>real integration</w:t>
            </w:r>
            <w:r>
              <w:rPr>
                <w:spacing w:val="-12"/>
                <w:sz w:val="20"/>
                <w:szCs w:val="20"/>
              </w:rPr>
              <w:t xml:space="preserve"> </w:t>
            </w:r>
            <w:r>
              <w:rPr>
                <w:sz w:val="20"/>
                <w:szCs w:val="20"/>
              </w:rPr>
              <w:t>of</w:t>
            </w:r>
            <w:r>
              <w:rPr>
                <w:spacing w:val="-10"/>
                <w:sz w:val="20"/>
                <w:szCs w:val="20"/>
              </w:rPr>
              <w:t xml:space="preserve"> </w:t>
            </w:r>
            <w:r>
              <w:rPr>
                <w:sz w:val="20"/>
                <w:szCs w:val="20"/>
              </w:rPr>
              <w:t>physical</w:t>
            </w:r>
            <w:r>
              <w:rPr>
                <w:spacing w:val="-13"/>
                <w:sz w:val="20"/>
                <w:szCs w:val="20"/>
              </w:rPr>
              <w:t xml:space="preserve"> </w:t>
            </w:r>
            <w:r>
              <w:rPr>
                <w:sz w:val="20"/>
                <w:szCs w:val="20"/>
              </w:rPr>
              <w:t>and</w:t>
            </w:r>
            <w:r>
              <w:rPr>
                <w:spacing w:val="-12"/>
                <w:sz w:val="20"/>
                <w:szCs w:val="20"/>
              </w:rPr>
              <w:t xml:space="preserve"> </w:t>
            </w:r>
            <w:r>
              <w:rPr>
                <w:sz w:val="20"/>
                <w:szCs w:val="20"/>
              </w:rPr>
              <w:t>behavioral</w:t>
            </w:r>
            <w:r>
              <w:rPr>
                <w:spacing w:val="-13"/>
                <w:sz w:val="20"/>
                <w:szCs w:val="20"/>
              </w:rPr>
              <w:t xml:space="preserve"> </w:t>
            </w:r>
            <w:r>
              <w:rPr>
                <w:sz w:val="20"/>
                <w:szCs w:val="20"/>
              </w:rPr>
              <w:t>health</w:t>
            </w:r>
            <w:r>
              <w:rPr>
                <w:spacing w:val="-14"/>
                <w:sz w:val="20"/>
                <w:szCs w:val="20"/>
              </w:rPr>
              <w:t xml:space="preserve"> </w:t>
            </w:r>
            <w:r>
              <w:rPr>
                <w:sz w:val="20"/>
                <w:szCs w:val="20"/>
              </w:rPr>
              <w:t>services</w:t>
            </w:r>
          </w:p>
          <w:p w:rsidR="002C5025" w:rsidRDefault="002C5025">
            <w:pPr>
              <w:pStyle w:val="TableParagraph"/>
              <w:numPr>
                <w:ilvl w:val="0"/>
                <w:numId w:val="81"/>
              </w:numPr>
              <w:tabs>
                <w:tab w:val="left" w:pos="444"/>
              </w:tabs>
              <w:kinsoku w:val="0"/>
              <w:overflowPunct w:val="0"/>
              <w:spacing w:line="238" w:lineRule="exact"/>
              <w:rPr>
                <w:sz w:val="20"/>
                <w:szCs w:val="20"/>
              </w:rPr>
            </w:pPr>
            <w:r>
              <w:rPr>
                <w:sz w:val="20"/>
                <w:szCs w:val="20"/>
              </w:rPr>
              <w:t>Demonstrated</w:t>
            </w:r>
            <w:r>
              <w:rPr>
                <w:spacing w:val="-10"/>
                <w:sz w:val="20"/>
                <w:szCs w:val="20"/>
              </w:rPr>
              <w:t xml:space="preserve"> </w:t>
            </w:r>
            <w:r>
              <w:rPr>
                <w:sz w:val="20"/>
                <w:szCs w:val="20"/>
              </w:rPr>
              <w:t>processes</w:t>
            </w:r>
            <w:r>
              <w:rPr>
                <w:spacing w:val="-11"/>
                <w:sz w:val="20"/>
                <w:szCs w:val="20"/>
              </w:rPr>
              <w:t xml:space="preserve"> </w:t>
            </w:r>
            <w:r>
              <w:rPr>
                <w:sz w:val="20"/>
                <w:szCs w:val="20"/>
              </w:rPr>
              <w:t>for</w:t>
            </w:r>
            <w:r>
              <w:rPr>
                <w:spacing w:val="-9"/>
                <w:sz w:val="20"/>
                <w:szCs w:val="20"/>
              </w:rPr>
              <w:t xml:space="preserve"> </w:t>
            </w:r>
            <w:r>
              <w:rPr>
                <w:sz w:val="20"/>
                <w:szCs w:val="20"/>
              </w:rPr>
              <w:t>coordinating</w:t>
            </w:r>
            <w:r>
              <w:rPr>
                <w:spacing w:val="-12"/>
                <w:sz w:val="20"/>
                <w:szCs w:val="20"/>
              </w:rPr>
              <w:t xml:space="preserve"> </w:t>
            </w:r>
            <w:r>
              <w:rPr>
                <w:sz w:val="20"/>
                <w:szCs w:val="20"/>
              </w:rPr>
              <w:t>care</w:t>
            </w:r>
            <w:r>
              <w:rPr>
                <w:spacing w:val="-10"/>
                <w:sz w:val="20"/>
                <w:szCs w:val="20"/>
              </w:rPr>
              <w:t xml:space="preserve"> </w:t>
            </w:r>
            <w:r>
              <w:rPr>
                <w:sz w:val="20"/>
                <w:szCs w:val="20"/>
              </w:rPr>
              <w:t>with</w:t>
            </w:r>
            <w:r>
              <w:rPr>
                <w:spacing w:val="-10"/>
                <w:sz w:val="20"/>
                <w:szCs w:val="20"/>
              </w:rPr>
              <w:t xml:space="preserve"> </w:t>
            </w:r>
            <w:r>
              <w:rPr>
                <w:sz w:val="20"/>
                <w:szCs w:val="20"/>
              </w:rPr>
              <w:t>primary</w:t>
            </w:r>
            <w:r>
              <w:rPr>
                <w:spacing w:val="-15"/>
                <w:sz w:val="20"/>
                <w:szCs w:val="20"/>
              </w:rPr>
              <w:t xml:space="preserve"> </w:t>
            </w:r>
            <w:r>
              <w:rPr>
                <w:sz w:val="20"/>
                <w:szCs w:val="20"/>
              </w:rPr>
              <w:t>care</w:t>
            </w:r>
            <w:r>
              <w:rPr>
                <w:spacing w:val="-10"/>
                <w:sz w:val="20"/>
                <w:szCs w:val="20"/>
              </w:rPr>
              <w:t xml:space="preserve"> </w:t>
            </w:r>
            <w:r>
              <w:rPr>
                <w:sz w:val="20"/>
                <w:szCs w:val="20"/>
              </w:rPr>
              <w:t>clinicians</w:t>
            </w:r>
          </w:p>
          <w:p w:rsidR="002C5025" w:rsidRDefault="002C5025">
            <w:pPr>
              <w:pStyle w:val="TableParagraph"/>
              <w:numPr>
                <w:ilvl w:val="0"/>
                <w:numId w:val="81"/>
              </w:numPr>
              <w:tabs>
                <w:tab w:val="left" w:pos="444"/>
              </w:tabs>
              <w:kinsoku w:val="0"/>
              <w:overflowPunct w:val="0"/>
              <w:spacing w:before="23" w:line="228" w:lineRule="exact"/>
              <w:ind w:right="838"/>
              <w:rPr>
                <w:sz w:val="20"/>
                <w:szCs w:val="20"/>
              </w:rPr>
            </w:pPr>
            <w:r>
              <w:rPr>
                <w:sz w:val="20"/>
                <w:szCs w:val="20"/>
              </w:rPr>
              <w:t>Demonstrated</w:t>
            </w:r>
            <w:r>
              <w:rPr>
                <w:spacing w:val="-9"/>
                <w:sz w:val="20"/>
                <w:szCs w:val="20"/>
              </w:rPr>
              <w:t xml:space="preserve"> </w:t>
            </w:r>
            <w:r>
              <w:rPr>
                <w:sz w:val="20"/>
                <w:szCs w:val="20"/>
              </w:rPr>
              <w:t>linkages</w:t>
            </w:r>
            <w:r>
              <w:rPr>
                <w:spacing w:val="-8"/>
                <w:sz w:val="20"/>
                <w:szCs w:val="20"/>
              </w:rPr>
              <w:t xml:space="preserve"> </w:t>
            </w:r>
            <w:r>
              <w:rPr>
                <w:sz w:val="20"/>
                <w:szCs w:val="20"/>
              </w:rPr>
              <w:t>with</w:t>
            </w:r>
            <w:r>
              <w:rPr>
                <w:spacing w:val="-9"/>
                <w:sz w:val="20"/>
                <w:szCs w:val="20"/>
              </w:rPr>
              <w:t xml:space="preserve"> </w:t>
            </w:r>
            <w:r>
              <w:rPr>
                <w:sz w:val="20"/>
                <w:szCs w:val="20"/>
              </w:rPr>
              <w:t>other</w:t>
            </w:r>
            <w:r>
              <w:rPr>
                <w:spacing w:val="-8"/>
                <w:sz w:val="20"/>
                <w:szCs w:val="20"/>
              </w:rPr>
              <w:t xml:space="preserve"> </w:t>
            </w:r>
            <w:r>
              <w:rPr>
                <w:sz w:val="20"/>
                <w:szCs w:val="20"/>
              </w:rPr>
              <w:t>local</w:t>
            </w:r>
            <w:r>
              <w:rPr>
                <w:spacing w:val="-11"/>
                <w:sz w:val="20"/>
                <w:szCs w:val="20"/>
              </w:rPr>
              <w:t xml:space="preserve"> </w:t>
            </w:r>
            <w:r>
              <w:rPr>
                <w:sz w:val="20"/>
                <w:szCs w:val="20"/>
              </w:rPr>
              <w:t>providers</w:t>
            </w:r>
            <w:r>
              <w:rPr>
                <w:spacing w:val="-8"/>
                <w:sz w:val="20"/>
                <w:szCs w:val="20"/>
              </w:rPr>
              <w:t xml:space="preserve"> </w:t>
            </w:r>
            <w:r>
              <w:rPr>
                <w:sz w:val="20"/>
                <w:szCs w:val="20"/>
              </w:rPr>
              <w:t>to</w:t>
            </w:r>
            <w:r>
              <w:rPr>
                <w:spacing w:val="-11"/>
                <w:sz w:val="20"/>
                <w:szCs w:val="20"/>
              </w:rPr>
              <w:t xml:space="preserve"> </w:t>
            </w:r>
            <w:r>
              <w:rPr>
                <w:sz w:val="20"/>
                <w:szCs w:val="20"/>
              </w:rPr>
              <w:t>manage</w:t>
            </w:r>
            <w:r>
              <w:rPr>
                <w:spacing w:val="-9"/>
                <w:sz w:val="20"/>
                <w:szCs w:val="20"/>
              </w:rPr>
              <w:t xml:space="preserve"> </w:t>
            </w:r>
            <w:r>
              <w:rPr>
                <w:sz w:val="20"/>
                <w:szCs w:val="20"/>
              </w:rPr>
              <w:t>the</w:t>
            </w:r>
            <w:r>
              <w:rPr>
                <w:spacing w:val="-10"/>
                <w:sz w:val="20"/>
                <w:szCs w:val="20"/>
              </w:rPr>
              <w:t xml:space="preserve"> </w:t>
            </w:r>
            <w:r>
              <w:rPr>
                <w:sz w:val="20"/>
                <w:szCs w:val="20"/>
              </w:rPr>
              <w:t>full continuum</w:t>
            </w:r>
            <w:r>
              <w:rPr>
                <w:spacing w:val="-10"/>
                <w:sz w:val="20"/>
                <w:szCs w:val="20"/>
              </w:rPr>
              <w:t xml:space="preserve"> </w:t>
            </w:r>
            <w:r>
              <w:rPr>
                <w:sz w:val="20"/>
                <w:szCs w:val="20"/>
              </w:rPr>
              <w:t>of</w:t>
            </w:r>
            <w:r>
              <w:rPr>
                <w:spacing w:val="-10"/>
                <w:sz w:val="20"/>
                <w:szCs w:val="20"/>
              </w:rPr>
              <w:t xml:space="preserve"> </w:t>
            </w:r>
            <w:r>
              <w:rPr>
                <w:sz w:val="20"/>
                <w:szCs w:val="20"/>
              </w:rPr>
              <w:t>behavioral</w:t>
            </w:r>
            <w:r>
              <w:rPr>
                <w:spacing w:val="-13"/>
                <w:sz w:val="20"/>
                <w:szCs w:val="20"/>
              </w:rPr>
              <w:t xml:space="preserve"> </w:t>
            </w:r>
            <w:r>
              <w:rPr>
                <w:sz w:val="20"/>
                <w:szCs w:val="20"/>
              </w:rPr>
              <w:t>health</w:t>
            </w:r>
            <w:r>
              <w:rPr>
                <w:spacing w:val="-12"/>
                <w:sz w:val="20"/>
                <w:szCs w:val="20"/>
              </w:rPr>
              <w:t xml:space="preserve"> </w:t>
            </w:r>
            <w:r>
              <w:rPr>
                <w:sz w:val="20"/>
                <w:szCs w:val="20"/>
              </w:rPr>
              <w:t>care</w:t>
            </w:r>
          </w:p>
          <w:p w:rsidR="002C5025" w:rsidRDefault="002C5025">
            <w:pPr>
              <w:pStyle w:val="TableParagraph"/>
              <w:kinsoku w:val="0"/>
              <w:overflowPunct w:val="0"/>
              <w:spacing w:before="8"/>
              <w:ind w:left="0"/>
              <w:rPr>
                <w:sz w:val="19"/>
                <w:szCs w:val="19"/>
              </w:rPr>
            </w:pPr>
          </w:p>
          <w:p w:rsidR="002C5025" w:rsidRDefault="002C5025">
            <w:pPr>
              <w:pStyle w:val="TableParagraph"/>
              <w:kinsoku w:val="0"/>
              <w:overflowPunct w:val="0"/>
              <w:spacing w:before="1"/>
              <w:ind w:left="83" w:right="237"/>
              <w:rPr>
                <w:rFonts w:ascii="Times New Roman" w:hAnsi="Times New Roman" w:cs="Times New Roman"/>
              </w:rPr>
            </w:pPr>
            <w:r>
              <w:rPr>
                <w:sz w:val="20"/>
                <w:szCs w:val="20"/>
              </w:rPr>
              <w:t>That being said, many Community Partners may not have all of the required infrastructure and experience to operate in a larger organization and coordinate with larger systems. Therefore, we believe it is essential to include a specialty behavioral health focus to provide the technical assistance, infrastructure building, and training for providers that will be targeted by the ACOs to participate in this program.</w:t>
            </w:r>
          </w:p>
        </w:tc>
      </w:tr>
      <w:tr w:rsidR="002C5025">
        <w:trPr>
          <w:trHeight w:hRule="exact" w:val="5069"/>
        </w:trPr>
        <w:tc>
          <w:tcPr>
            <w:tcW w:w="2335" w:type="dxa"/>
            <w:tcBorders>
              <w:top w:val="single" w:sz="4" w:space="0" w:color="7F7F7F"/>
              <w:left w:val="single" w:sz="4" w:space="0" w:color="7F7F7F"/>
              <w:bottom w:val="single" w:sz="4" w:space="0" w:color="7F7F7F"/>
              <w:right w:val="single" w:sz="4" w:space="0" w:color="7F7F7F"/>
            </w:tcBorders>
          </w:tcPr>
          <w:p w:rsidR="002C5025" w:rsidRDefault="002C5025">
            <w:pPr>
              <w:pStyle w:val="TableParagraph"/>
              <w:kinsoku w:val="0"/>
              <w:overflowPunct w:val="0"/>
              <w:ind w:right="128"/>
              <w:rPr>
                <w:rFonts w:ascii="Times New Roman" w:hAnsi="Times New Roman" w:cs="Times New Roman"/>
              </w:rPr>
            </w:pPr>
            <w:r>
              <w:rPr>
                <w:sz w:val="20"/>
                <w:szCs w:val="20"/>
              </w:rPr>
              <w:t>4.2.2. MassHealth’s Role in Improving Integrated Care Delivery</w:t>
            </w:r>
          </w:p>
        </w:tc>
        <w:tc>
          <w:tcPr>
            <w:tcW w:w="7200" w:type="dxa"/>
            <w:tcBorders>
              <w:top w:val="single" w:sz="4" w:space="0" w:color="7F7F7F"/>
              <w:left w:val="single" w:sz="4" w:space="0" w:color="7F7F7F"/>
              <w:bottom w:val="single" w:sz="4" w:space="0" w:color="7F7F7F"/>
              <w:right w:val="single" w:sz="4" w:space="0" w:color="7F7F7F"/>
            </w:tcBorders>
          </w:tcPr>
          <w:p w:rsidR="002C5025" w:rsidRDefault="002C5025">
            <w:pPr>
              <w:pStyle w:val="TableParagraph"/>
              <w:kinsoku w:val="0"/>
              <w:overflowPunct w:val="0"/>
              <w:ind w:left="102" w:right="116"/>
              <w:rPr>
                <w:sz w:val="20"/>
                <w:szCs w:val="20"/>
              </w:rPr>
            </w:pPr>
            <w:r>
              <w:rPr>
                <w:sz w:val="20"/>
                <w:szCs w:val="20"/>
              </w:rPr>
              <w:t>Beacon is fully supportive of the proposed continuation of CBHI services and views the role of Behavioral Health Community Partners in delivering these services as essential. Beacon’s comments are based on extensive experience collaborating with the MassHealth Managed Care Entities in developing and implementing these home- and community-based services for children, youth, and families, as well as developing the respective medical necessity criteria and performance specifications. While the Waiver specifically states continuing CBHI services in the ACO model, it does not specifically address what happens to a CBHI enrollee. From our perspective, CBHI capitation should be held as a separate capitation so that EOHHS and the court monitor can be assured all designated CBHI funding is being spent on CBHI services.</w:t>
            </w:r>
          </w:p>
          <w:p w:rsidR="002C5025" w:rsidRDefault="002C5025">
            <w:pPr>
              <w:pStyle w:val="TableParagraph"/>
              <w:kinsoku w:val="0"/>
              <w:overflowPunct w:val="0"/>
              <w:ind w:left="0"/>
              <w:rPr>
                <w:sz w:val="20"/>
                <w:szCs w:val="20"/>
              </w:rPr>
            </w:pPr>
          </w:p>
          <w:p w:rsidR="002C5025" w:rsidRDefault="002C5025">
            <w:pPr>
              <w:pStyle w:val="TableParagraph"/>
              <w:kinsoku w:val="0"/>
              <w:overflowPunct w:val="0"/>
              <w:ind w:left="102" w:right="84"/>
              <w:rPr>
                <w:rFonts w:ascii="Times New Roman" w:hAnsi="Times New Roman" w:cs="Times New Roman"/>
              </w:rPr>
            </w:pPr>
            <w:r>
              <w:rPr>
                <w:sz w:val="20"/>
                <w:szCs w:val="20"/>
              </w:rPr>
              <w:t>Additionally, it is important to consider children involved with the child welfare and juvenile justice system, or other agency-affiliated and program-involved children and adolescents. This population requires a strong focus on care coordination and increased access to home- and community-based services and family/parent peer supports services to improve health outcomes, an increase in resiliency among youth and their families/caregivers, and ultimately to spend dollars more effectively. Therefore, Beacon advocates for a more prominent role of specialty behavioral health care to provide wraparound services, ensure accessible and responsive treatment is available, and fill gaps in continuum of care that results in a strong system of care for these members.</w:t>
            </w:r>
          </w:p>
        </w:tc>
      </w:tr>
    </w:tbl>
    <w:p w:rsidR="002C5025" w:rsidRDefault="002C5025">
      <w:pPr>
        <w:pStyle w:val="BodyText"/>
        <w:kinsoku w:val="0"/>
        <w:overflowPunct w:val="0"/>
        <w:rPr>
          <w:rFonts w:ascii="Arial" w:hAnsi="Arial" w:cs="Arial"/>
          <w:sz w:val="20"/>
          <w:szCs w:val="20"/>
        </w:rPr>
      </w:pPr>
    </w:p>
    <w:p w:rsidR="002C5025" w:rsidRDefault="00FB027C">
      <w:pPr>
        <w:pStyle w:val="BodyText"/>
        <w:kinsoku w:val="0"/>
        <w:overflowPunct w:val="0"/>
        <w:spacing w:before="10"/>
        <w:rPr>
          <w:rFonts w:ascii="Arial" w:hAnsi="Arial" w:cs="Arial"/>
          <w:sz w:val="19"/>
          <w:szCs w:val="19"/>
        </w:rPr>
      </w:pPr>
      <w:r>
        <w:rPr>
          <w:noProof/>
        </w:rPr>
        <mc:AlternateContent>
          <mc:Choice Requires="wps">
            <w:drawing>
              <wp:anchor distT="0" distB="0" distL="0" distR="0" simplePos="0" relativeHeight="251523584" behindDoc="0" locked="0" layoutInCell="0" allowOverlap="1">
                <wp:simplePos x="0" y="0"/>
                <wp:positionH relativeFrom="page">
                  <wp:posOffset>895350</wp:posOffset>
                </wp:positionH>
                <wp:positionV relativeFrom="paragraph">
                  <wp:posOffset>173990</wp:posOffset>
                </wp:positionV>
                <wp:extent cx="5982335" cy="12700"/>
                <wp:effectExtent l="0" t="0" r="0" b="0"/>
                <wp:wrapTopAndBottom/>
                <wp:docPr id="838" name="Freeform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2335" cy="12700"/>
                        </a:xfrm>
                        <a:custGeom>
                          <a:avLst/>
                          <a:gdLst>
                            <a:gd name="T0" fmla="*/ 0 w 9421"/>
                            <a:gd name="T1" fmla="*/ 0 h 20"/>
                            <a:gd name="T2" fmla="*/ 9421 w 9421"/>
                            <a:gd name="T3" fmla="*/ 0 h 20"/>
                          </a:gdLst>
                          <a:ahLst/>
                          <a:cxnLst>
                            <a:cxn ang="0">
                              <a:pos x="T0" y="T1"/>
                            </a:cxn>
                            <a:cxn ang="0">
                              <a:pos x="T2" y="T3"/>
                            </a:cxn>
                          </a:cxnLst>
                          <a:rect l="0" t="0" r="r" b="b"/>
                          <a:pathLst>
                            <a:path w="9421" h="20">
                              <a:moveTo>
                                <a:pt x="0" y="0"/>
                              </a:moveTo>
                              <a:lnTo>
                                <a:pt x="9421" y="0"/>
                              </a:lnTo>
                            </a:path>
                          </a:pathLst>
                        </a:custGeom>
                        <a:noFill/>
                        <a:ln w="7365">
                          <a:solidFill>
                            <a:srgbClr val="85CCE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87" o:spid="_x0000_s1026" style="position:absolute;z-index:251523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0.5pt,13.7pt,541.55pt,13.7pt" coordsize="94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" o:allowincell="f" filled="f" strokecolor="#85cced" strokeweight=".20458mm">
                <v:path arrowok="t" o:connecttype="custom" o:connectlocs="0,0;5982335,0" o:connectangles="0,0"/>
                <w10:wrap type="topAndBottom" anchorx="page"/>
              </v:polyline>
            </w:pict>
          </mc:Fallback>
        </mc:AlternateContent>
      </w:r>
    </w:p>
    <w:p w:rsidR="002C5025" w:rsidRDefault="002C5025">
      <w:pPr>
        <w:pStyle w:val="BodyText"/>
        <w:tabs>
          <w:tab w:val="right" w:pos="9500"/>
        </w:tabs>
        <w:kinsoku w:val="0"/>
        <w:overflowPunct w:val="0"/>
        <w:spacing w:before="46"/>
        <w:ind w:left="140"/>
        <w:rPr>
          <w:rFonts w:ascii="Arial" w:hAnsi="Arial" w:cs="Arial"/>
          <w:sz w:val="20"/>
          <w:szCs w:val="20"/>
        </w:rPr>
      </w:pPr>
      <w:r>
        <w:rPr>
          <w:rFonts w:ascii="Arial" w:hAnsi="Arial" w:cs="Arial"/>
          <w:sz w:val="20"/>
          <w:szCs w:val="20"/>
        </w:rPr>
        <w:t>MassHealth Section 1115</w:t>
      </w:r>
      <w:r>
        <w:rPr>
          <w:rFonts w:ascii="Arial" w:hAnsi="Arial" w:cs="Arial"/>
          <w:spacing w:val="-7"/>
          <w:sz w:val="20"/>
          <w:szCs w:val="20"/>
        </w:rPr>
        <w:t xml:space="preserve"> </w:t>
      </w:r>
      <w:r>
        <w:rPr>
          <w:rFonts w:ascii="Arial" w:hAnsi="Arial" w:cs="Arial"/>
          <w:sz w:val="20"/>
          <w:szCs w:val="20"/>
        </w:rPr>
        <w:t>Demonstration</w:t>
      </w:r>
      <w:r>
        <w:rPr>
          <w:rFonts w:ascii="Arial" w:hAnsi="Arial" w:cs="Arial"/>
          <w:spacing w:val="-4"/>
          <w:sz w:val="20"/>
          <w:szCs w:val="20"/>
        </w:rPr>
        <w:t xml:space="preserve"> </w:t>
      </w:r>
      <w:r>
        <w:rPr>
          <w:rFonts w:ascii="Arial" w:hAnsi="Arial" w:cs="Arial"/>
          <w:sz w:val="20"/>
          <w:szCs w:val="20"/>
        </w:rPr>
        <w:t>Comments</w:t>
      </w:r>
      <w:r>
        <w:rPr>
          <w:rFonts w:ascii="Arial" w:hAnsi="Arial" w:cs="Arial"/>
          <w:sz w:val="20"/>
          <w:szCs w:val="20"/>
        </w:rPr>
        <w:tab/>
        <w:t>5</w:t>
      </w:r>
    </w:p>
    <w:p w:rsidR="002C5025" w:rsidRDefault="002C5025">
      <w:pPr>
        <w:pStyle w:val="BodyText"/>
        <w:tabs>
          <w:tab w:val="right" w:pos="9500"/>
        </w:tabs>
        <w:kinsoku w:val="0"/>
        <w:overflowPunct w:val="0"/>
        <w:spacing w:before="46"/>
        <w:ind w:left="140"/>
        <w:rPr>
          <w:rFonts w:ascii="Arial" w:hAnsi="Arial" w:cs="Arial"/>
          <w:sz w:val="20"/>
          <w:szCs w:val="20"/>
        </w:rPr>
        <w:sectPr w:rsidR="002C5025">
          <w:pgSz w:w="12240" w:h="15840"/>
          <w:pgMar w:top="720" w:right="1140" w:bottom="280" w:left="1300" w:header="720" w:footer="720" w:gutter="0"/>
          <w:cols w:space="720"/>
          <w:noEndnote/>
        </w:sectPr>
      </w:pPr>
    </w:p>
    <w:p w:rsidR="002C5025" w:rsidRDefault="00FB027C">
      <w:pPr>
        <w:pStyle w:val="BodyText"/>
        <w:kinsoku w:val="0"/>
        <w:overflowPunct w:val="0"/>
        <w:ind w:left="130"/>
        <w:rPr>
          <w:rFonts w:ascii="Arial" w:hAnsi="Arial" w:cs="Arial"/>
          <w:sz w:val="20"/>
          <w:szCs w:val="20"/>
        </w:rPr>
      </w:pPr>
      <w:r>
        <w:rPr>
          <w:rFonts w:ascii="Arial" w:hAnsi="Arial" w:cs="Arial"/>
          <w:noProof/>
          <w:sz w:val="20"/>
          <w:szCs w:val="20"/>
        </w:rPr>
        <w:lastRenderedPageBreak/>
        <mc:AlternateContent>
          <mc:Choice Requires="wpg">
            <w:drawing>
              <wp:inline distT="0" distB="0" distL="0" distR="0">
                <wp:extent cx="6068060" cy="369570"/>
                <wp:effectExtent l="0" t="0" r="0" b="1905"/>
                <wp:docPr id="832"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369570"/>
                          <a:chOff x="0" y="0"/>
                          <a:chExt cx="9556" cy="582"/>
                        </a:xfrm>
                      </wpg:grpSpPr>
                      <pic:pic xmlns:pic="http://schemas.openxmlformats.org/drawingml/2006/picture">
                        <pic:nvPicPr>
                          <pic:cNvPr id="833" name="Picture 189"/>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10" y="0"/>
                            <a:ext cx="19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34" name="Freeform 190"/>
                        <wps:cNvSpPr>
                          <a:spLocks/>
                        </wps:cNvSpPr>
                        <wps:spPr bwMode="auto">
                          <a:xfrm>
                            <a:off x="10" y="571"/>
                            <a:ext cx="2336" cy="20"/>
                          </a:xfrm>
                          <a:custGeom>
                            <a:avLst/>
                            <a:gdLst>
                              <a:gd name="T0" fmla="*/ 0 w 2336"/>
                              <a:gd name="T1" fmla="*/ 0 h 20"/>
                              <a:gd name="T2" fmla="*/ 2335 w 2336"/>
                              <a:gd name="T3" fmla="*/ 0 h 20"/>
                            </a:gdLst>
                            <a:ahLst/>
                            <a:cxnLst>
                              <a:cxn ang="0">
                                <a:pos x="T0" y="T1"/>
                              </a:cxn>
                              <a:cxn ang="0">
                                <a:pos x="T2" y="T3"/>
                              </a:cxn>
                            </a:cxnLst>
                            <a:rect l="0" t="0" r="r" b="b"/>
                            <a:pathLst>
                              <a:path w="2336" h="20">
                                <a:moveTo>
                                  <a:pt x="0" y="0"/>
                                </a:moveTo>
                                <a:lnTo>
                                  <a:pt x="2335" y="0"/>
                                </a:lnTo>
                              </a:path>
                            </a:pathLst>
                          </a:custGeom>
                          <a:noFill/>
                          <a:ln w="12192">
                            <a:solidFill>
                              <a:srgbClr val="41B6E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5" name="Freeform 191"/>
                        <wps:cNvSpPr>
                          <a:spLocks/>
                        </wps:cNvSpPr>
                        <wps:spPr bwMode="auto">
                          <a:xfrm>
                            <a:off x="2345" y="571"/>
                            <a:ext cx="20" cy="20"/>
                          </a:xfrm>
                          <a:custGeom>
                            <a:avLst/>
                            <a:gdLst>
                              <a:gd name="T0" fmla="*/ 0 w 20"/>
                              <a:gd name="T1" fmla="*/ 0 h 20"/>
                              <a:gd name="T2" fmla="*/ 19 w 20"/>
                              <a:gd name="T3" fmla="*/ 0 h 20"/>
                            </a:gdLst>
                            <a:ahLst/>
                            <a:cxnLst>
                              <a:cxn ang="0">
                                <a:pos x="T0" y="T1"/>
                              </a:cxn>
                              <a:cxn ang="0">
                                <a:pos x="T2" y="T3"/>
                              </a:cxn>
                            </a:cxnLst>
                            <a:rect l="0" t="0" r="r" b="b"/>
                            <a:pathLst>
                              <a:path w="20" h="20">
                                <a:moveTo>
                                  <a:pt x="0" y="0"/>
                                </a:moveTo>
                                <a:lnTo>
                                  <a:pt x="19" y="0"/>
                                </a:lnTo>
                              </a:path>
                            </a:pathLst>
                          </a:custGeom>
                          <a:noFill/>
                          <a:ln w="12192">
                            <a:solidFill>
                              <a:srgbClr val="41B6E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6" name="Freeform 192"/>
                        <wps:cNvSpPr>
                          <a:spLocks/>
                        </wps:cNvSpPr>
                        <wps:spPr bwMode="auto">
                          <a:xfrm>
                            <a:off x="2364" y="571"/>
                            <a:ext cx="7181" cy="20"/>
                          </a:xfrm>
                          <a:custGeom>
                            <a:avLst/>
                            <a:gdLst>
                              <a:gd name="T0" fmla="*/ 0 w 7181"/>
                              <a:gd name="T1" fmla="*/ 0 h 20"/>
                              <a:gd name="T2" fmla="*/ 7180 w 7181"/>
                              <a:gd name="T3" fmla="*/ 0 h 20"/>
                            </a:gdLst>
                            <a:ahLst/>
                            <a:cxnLst>
                              <a:cxn ang="0">
                                <a:pos x="T0" y="T1"/>
                              </a:cxn>
                              <a:cxn ang="0">
                                <a:pos x="T2" y="T3"/>
                              </a:cxn>
                            </a:cxnLst>
                            <a:rect l="0" t="0" r="r" b="b"/>
                            <a:pathLst>
                              <a:path w="7181" h="20">
                                <a:moveTo>
                                  <a:pt x="0" y="0"/>
                                </a:moveTo>
                                <a:lnTo>
                                  <a:pt x="7180" y="0"/>
                                </a:lnTo>
                              </a:path>
                            </a:pathLst>
                          </a:custGeom>
                          <a:noFill/>
                          <a:ln w="12192">
                            <a:solidFill>
                              <a:srgbClr val="41B6E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7" name="Text Box 193"/>
                        <wps:cNvSpPr txBox="1">
                          <a:spLocks noChangeArrowheads="1"/>
                        </wps:cNvSpPr>
                        <wps:spPr bwMode="auto">
                          <a:xfrm>
                            <a:off x="0" y="0"/>
                            <a:ext cx="9555" cy="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pStyle w:val="BodyText"/>
                                <w:kinsoku w:val="0"/>
                                <w:overflowPunct w:val="0"/>
                                <w:spacing w:before="88" w:line="226" w:lineRule="exact"/>
                                <w:ind w:left="5128" w:firstLine="1212"/>
                                <w:rPr>
                                  <w:rFonts w:ascii="Arial" w:hAnsi="Arial" w:cs="Arial"/>
                                  <w:sz w:val="20"/>
                                  <w:szCs w:val="20"/>
                                </w:rPr>
                              </w:pPr>
                              <w:r>
                                <w:rPr>
                                  <w:rFonts w:ascii="Arial" w:hAnsi="Arial" w:cs="Arial"/>
                                  <w:sz w:val="20"/>
                                  <w:szCs w:val="20"/>
                                </w:rPr>
                                <w:t>Commonwealth of Massachusetts Executive Office of Health and Human Services</w:t>
                              </w:r>
                            </w:p>
                          </w:txbxContent>
                        </wps:txbx>
                        <wps:bodyPr rot="0" vert="horz" wrap="square" lIns="0" tIns="0" rIns="0" bIns="0" anchor="t" anchorCtr="0" upright="1">
                          <a:noAutofit/>
                        </wps:bodyPr>
                      </wps:wsp>
                    </wpg:wgp>
                  </a:graphicData>
                </a:graphic>
              </wp:inline>
            </w:drawing>
          </mc:Choice>
          <mc:Fallback>
            <w:pict>
              <v:group id="Group 188" o:spid="_x0000_s1113" style="width:477.8pt;height:29.1pt;mso-position-horizontal-relative:char;mso-position-vertical-relative:line" coordsize="9556,5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">
                <v:shape id="Picture 189" o:spid="_x0000_s1114" type="#_x0000_t75" style="position:absolute;left:10;width:1920;height:5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BaF5fFAAAA3AAAAA8AAABkcnMvZG93bnJldi54bWxEj81qwzAQhO+BvoPYQm+N3Jjmx4kS3EKb&#10;3kKcPMBirX+otXIs1Xb69FGhkOMwM98wm91oGtFT52rLCl6mEQji3OqaSwXn08fzEoTzyBoby6Tg&#10;Sg5224fJBhNtBz5Sn/lSBAi7BBVU3reJlC6vyKCb2pY4eIXtDPogu1LqDocAN42cRdFcGqw5LFTY&#10;0ntF+Xf2YxTMV1mTXt/yz8shW+x/LRcnei2Uenoc0zUIT6O/h//bX1rBMo7h70w4AnJ7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wWheXxQAAANwAAAAPAAAAAAAAAAAAAAAA&#10;AJ8CAABkcnMvZG93bnJldi54bWxQSwUGAAAAAAQABAD3AAAAkQMAAAAA&#10;">
                  <v:imagedata r:id="rId127" o:title=""/>
                </v:shape>
                <v:shape id="Freeform 190" o:spid="_x0000_s1115" style="position:absolute;left:10;top:571;width:2336;height:20;visibility:visible;mso-wrap-style:square;v-text-anchor:top" coordsize="233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HuR8QA&#10;AADcAAAADwAAAGRycy9kb3ducmV2LnhtbESPQWsCMRSE70L/Q3iF3jRrK2VZjaK2Qi9Cq/X+2Dx3&#10;o5uXJUl3t//eFAoeh5n5hlmsBtuIjnwwjhVMJxkI4tJpw5WC7+NunIMIEVlj45gU/FKA1fJhtMBC&#10;u56/qDvESiQIhwIV1DG2hZShrMlimLiWOHln5y3GJH0ltcc+wW0jn7PsVVo0nBZqbGlbU3k9/FgF&#10;Ju9Cv38/HT/3F9Nh73ebNzlV6ulxWM9BRBriPfzf/tAK8pcZ/J1JR0A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8B7kfEAAAA3AAAAA8AAAAAAAAAAAAAAAAAmAIAAGRycy9k&#10;b3ducmV2LnhtbFBLBQYAAAAABAAEAPUAAACJAwAAAAA=&#10;" path="m,l2335,e" filled="f" strokecolor="#41b6e6" strokeweight=".96pt">
                  <v:path arrowok="t" o:connecttype="custom" o:connectlocs="0,0;2335,0" o:connectangles="0,0"/>
                </v:shape>
                <v:shape id="Freeform 191" o:spid="_x0000_s1116" style="position:absolute;left:2345;top:571;width:20;height:20;visibility:visible;mso-wrap-style:square;v-text-anchor:top" coordsize="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LTNsQA&#10;AADcAAAADwAAAGRycy9kb3ducmV2LnhtbESPQYvCMBSE74L/ITzBm6YqXaRrFBEEETzYFWVvb5u3&#10;bbF5KU3U6q83guBxmJlvmNmiNZW4UuNKywpGwwgEcWZ1ybmCw896MAXhPLLGyjIpuJODxbzbmWGi&#10;7Y33dE19LgKEXYIKCu/rREqXFWTQDW1NHLx/2xj0QTa51A3eAtxUchxFX9JgyWGhwJpWBWXn9GIU&#10;PEZpLDd/498tnY5xmR12Ex1rpfq9dvkNwlPrP+F3e6MVTCcxvM6EIy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C0zbEAAAA3AAAAA8AAAAAAAAAAAAAAAAAmAIAAGRycy9k&#10;b3ducmV2LnhtbFBLBQYAAAAABAAEAPUAAACJAwAAAAA=&#10;" path="m,l19,e" filled="f" strokecolor="#41b6e6" strokeweight=".96pt">
                  <v:path arrowok="t" o:connecttype="custom" o:connectlocs="0,0;19,0" o:connectangles="0,0"/>
                </v:shape>
                <v:shape id="Freeform 192" o:spid="_x0000_s1117" style="position:absolute;left:2364;top:571;width:7181;height:20;visibility:visible;mso-wrap-style:square;v-text-anchor:top" coordsize="71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iccEA&#10;AADcAAAADwAAAGRycy9kb3ducmV2LnhtbESPQYvCMBSE7wv+h/CEvSz6ui6KVKOIsNCr1Yu3R/Ns&#10;i81LSaLWf78RhD0OM/MNs94OtlN39qF1ouF7moFiqZxppdZwOv5OlqBCJDHUOWENTw6w3Yw+1pQb&#10;95AD38tYqwSRkJOGJsY+RwxVw5bC1PUsybs4bykm6Ws0nh4JbjucZdkCLbWSFhrqed9wdS1vVoPd&#10;F62fFbgri/n8eUbC/utw0fpzPOxWoCIP8T/8bhdGw/JnAa8z6Qjg5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zcInHBAAAA3AAAAA8AAAAAAAAAAAAAAAAAmAIAAGRycy9kb3du&#10;cmV2LnhtbFBLBQYAAAAABAAEAPUAAACGAwAAAAA=&#10;" path="m,l7180,e" filled="f" strokecolor="#41b6e6" strokeweight=".96pt">
                  <v:path arrowok="t" o:connecttype="custom" o:connectlocs="0,0;7180,0" o:connectangles="0,0"/>
                </v:shape>
                <v:shape id="Text Box 193" o:spid="_x0000_s1118" type="#_x0000_t202" style="position:absolute;width:9555;height: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RViMUA&#10;AADcAAAADwAAAGRycy9kb3ducmV2LnhtbESPQWvCQBSE7wX/w/KE3upGBWujq4hUEARpTA89vmaf&#10;yWL2bZrdavz3riB4HGbmG2a+7GwtztR641jBcJCAIC6cNlwq+M43b1MQPiBrrB2Tgit5WC56L3NM&#10;tbtwRudDKEWEsE9RQRVCk0rpi4os+oFriKN3dK3FEGVbSt3iJcJtLUdJMpEWDceFChtaV1ScDv9W&#10;weqHs0/zt//9yo6ZyfOPhHeTk1Kv/W41AxGoC8/wo73VCqbjd7ifiUd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pFWIxQAAANwAAAAPAAAAAAAAAAAAAAAAAJgCAABkcnMv&#10;ZG93bnJldi54bWxQSwUGAAAAAAQABAD1AAAAigMAAAAA&#10;" filled="f" stroked="f">
                  <v:textbox inset="0,0,0,0">
                    <w:txbxContent>
                      <w:p w:rsidR="007B2B7B" w:rsidRDefault="007B2B7B">
                        <w:pPr>
                          <w:pStyle w:val="BodyText"/>
                          <w:kinsoku w:val="0"/>
                          <w:overflowPunct w:val="0"/>
                          <w:spacing w:before="88" w:line="226" w:lineRule="exact"/>
                          <w:ind w:left="5128" w:firstLine="1212"/>
                          <w:rPr>
                            <w:rFonts w:ascii="Arial" w:hAnsi="Arial" w:cs="Arial"/>
                            <w:sz w:val="20"/>
                            <w:szCs w:val="20"/>
                          </w:rPr>
                        </w:pPr>
                        <w:r>
                          <w:rPr>
                            <w:rFonts w:ascii="Arial" w:hAnsi="Arial" w:cs="Arial"/>
                            <w:sz w:val="20"/>
                            <w:szCs w:val="20"/>
                          </w:rPr>
                          <w:t>Commonwealth of Massachusetts Executive Office of Health and Human Services</w:t>
                        </w:r>
                      </w:p>
                    </w:txbxContent>
                  </v:textbox>
                </v:shape>
                <w10:anchorlock/>
              </v:group>
            </w:pict>
          </mc:Fallback>
        </mc:AlternateContent>
      </w:r>
    </w:p>
    <w:p w:rsidR="002C5025" w:rsidRDefault="002C5025">
      <w:pPr>
        <w:pStyle w:val="BodyText"/>
        <w:kinsoku w:val="0"/>
        <w:overflowPunct w:val="0"/>
        <w:spacing w:before="10"/>
        <w:rPr>
          <w:rFonts w:ascii="Arial" w:hAnsi="Arial" w:cs="Arial"/>
          <w:sz w:val="17"/>
          <w:szCs w:val="17"/>
        </w:rPr>
      </w:pPr>
    </w:p>
    <w:tbl>
      <w:tblPr>
        <w:tblW w:w="0" w:type="auto"/>
        <w:tblInd w:w="138" w:type="dxa"/>
        <w:tblLayout w:type="fixed"/>
        <w:tblCellMar>
          <w:left w:w="0" w:type="dxa"/>
          <w:right w:w="0" w:type="dxa"/>
        </w:tblCellMar>
        <w:tblLook w:val="0000" w:firstRow="0" w:lastRow="0" w:firstColumn="0" w:lastColumn="0" w:noHBand="0" w:noVBand="0"/>
      </w:tblPr>
      <w:tblGrid>
        <w:gridCol w:w="2335"/>
        <w:gridCol w:w="7200"/>
      </w:tblGrid>
      <w:tr w:rsidR="002C5025">
        <w:trPr>
          <w:trHeight w:hRule="exact" w:val="478"/>
        </w:trPr>
        <w:tc>
          <w:tcPr>
            <w:tcW w:w="2335" w:type="dxa"/>
            <w:tcBorders>
              <w:top w:val="single" w:sz="4" w:space="0" w:color="7F7F7F"/>
              <w:left w:val="single" w:sz="4" w:space="0" w:color="7F7F7F"/>
              <w:bottom w:val="single" w:sz="4" w:space="0" w:color="7F7F7F"/>
              <w:right w:val="single" w:sz="4" w:space="0" w:color="7F7F7F"/>
            </w:tcBorders>
            <w:shd w:val="clear" w:color="auto" w:fill="0083CE"/>
          </w:tcPr>
          <w:p w:rsidR="002C5025" w:rsidRDefault="002C5025">
            <w:pPr>
              <w:pStyle w:val="TableParagraph"/>
              <w:kinsoku w:val="0"/>
              <w:overflowPunct w:val="0"/>
              <w:ind w:left="801" w:right="128" w:hanging="413"/>
              <w:rPr>
                <w:rFonts w:ascii="Times New Roman" w:hAnsi="Times New Roman" w:cs="Times New Roman"/>
              </w:rPr>
            </w:pPr>
            <w:r>
              <w:rPr>
                <w:b/>
                <w:bCs/>
                <w:color w:val="FFFFFF"/>
                <w:sz w:val="20"/>
                <w:szCs w:val="20"/>
              </w:rPr>
              <w:t>Relevant Waiver Section</w:t>
            </w:r>
          </w:p>
        </w:tc>
        <w:tc>
          <w:tcPr>
            <w:tcW w:w="7200" w:type="dxa"/>
            <w:tcBorders>
              <w:top w:val="single" w:sz="4" w:space="0" w:color="7F7F7F"/>
              <w:left w:val="single" w:sz="4" w:space="0" w:color="7F7F7F"/>
              <w:bottom w:val="single" w:sz="4" w:space="0" w:color="7F7F7F"/>
              <w:right w:val="single" w:sz="4" w:space="0" w:color="7F7F7F"/>
            </w:tcBorders>
            <w:shd w:val="clear" w:color="auto" w:fill="0083CE"/>
          </w:tcPr>
          <w:p w:rsidR="002C5025" w:rsidRDefault="002C5025">
            <w:pPr>
              <w:pStyle w:val="TableParagraph"/>
              <w:kinsoku w:val="0"/>
              <w:overflowPunct w:val="0"/>
              <w:spacing w:before="107"/>
              <w:ind w:left="2708" w:right="2706"/>
              <w:jc w:val="center"/>
              <w:rPr>
                <w:rFonts w:ascii="Times New Roman" w:hAnsi="Times New Roman" w:cs="Times New Roman"/>
              </w:rPr>
            </w:pPr>
            <w:r>
              <w:rPr>
                <w:b/>
                <w:bCs/>
                <w:color w:val="FFFFFF"/>
                <w:sz w:val="20"/>
                <w:szCs w:val="20"/>
              </w:rPr>
              <w:t>Beacon Response</w:t>
            </w:r>
          </w:p>
        </w:tc>
      </w:tr>
      <w:tr w:rsidR="002C5025">
        <w:trPr>
          <w:trHeight w:hRule="exact" w:val="3689"/>
        </w:trPr>
        <w:tc>
          <w:tcPr>
            <w:tcW w:w="2335" w:type="dxa"/>
            <w:tcBorders>
              <w:top w:val="single" w:sz="4" w:space="0" w:color="7F7F7F"/>
              <w:left w:val="single" w:sz="4" w:space="0" w:color="7F7F7F"/>
              <w:bottom w:val="single" w:sz="4" w:space="0" w:color="7F7F7F"/>
              <w:right w:val="single" w:sz="4" w:space="0" w:color="7F7F7F"/>
            </w:tcBorders>
          </w:tcPr>
          <w:p w:rsidR="002C5025" w:rsidRDefault="002C5025">
            <w:pPr>
              <w:pStyle w:val="TableParagraph"/>
              <w:kinsoku w:val="0"/>
              <w:overflowPunct w:val="0"/>
              <w:ind w:right="128"/>
              <w:rPr>
                <w:rFonts w:ascii="Times New Roman" w:hAnsi="Times New Roman" w:cs="Times New Roman"/>
              </w:rPr>
            </w:pPr>
            <w:r>
              <w:rPr>
                <w:sz w:val="20"/>
                <w:szCs w:val="20"/>
              </w:rPr>
              <w:t>5. Delivery System Reform Incentive Program Investments</w:t>
            </w:r>
          </w:p>
        </w:tc>
        <w:tc>
          <w:tcPr>
            <w:tcW w:w="7200" w:type="dxa"/>
            <w:tcBorders>
              <w:top w:val="single" w:sz="4" w:space="0" w:color="7F7F7F"/>
              <w:left w:val="single" w:sz="4" w:space="0" w:color="7F7F7F"/>
              <w:bottom w:val="single" w:sz="4" w:space="0" w:color="7F7F7F"/>
              <w:right w:val="single" w:sz="4" w:space="0" w:color="7F7F7F"/>
            </w:tcBorders>
          </w:tcPr>
          <w:p w:rsidR="002C5025" w:rsidRDefault="002C5025">
            <w:pPr>
              <w:pStyle w:val="TableParagraph"/>
              <w:kinsoku w:val="0"/>
              <w:overflowPunct w:val="0"/>
              <w:ind w:left="102" w:right="128" w:firstLine="1"/>
              <w:rPr>
                <w:sz w:val="20"/>
                <w:szCs w:val="20"/>
              </w:rPr>
            </w:pPr>
            <w:r>
              <w:rPr>
                <w:sz w:val="20"/>
                <w:szCs w:val="20"/>
              </w:rPr>
              <w:t>As stated above, to really accomplish the goals outlined in the Waiver, there will be a need to build on and expand the current system of care to increase access to flexible supports and fill existing gaps in the care continuum, especially for individuals with complex behavioral health needs. To account for this, Beacon recommends adding a fifth level of DSRIP funding/separate line item that is used exclusively for this purpose. While we acknowledge that infrastructure may be lacking in specific geographic locations, infrastructure building should be funded separately from filling gaps in care and systems investments that drive connectivity.</w:t>
            </w:r>
          </w:p>
          <w:p w:rsidR="002C5025" w:rsidRDefault="002C5025">
            <w:pPr>
              <w:pStyle w:val="TableParagraph"/>
              <w:kinsoku w:val="0"/>
              <w:overflowPunct w:val="0"/>
              <w:ind w:left="0"/>
              <w:rPr>
                <w:sz w:val="20"/>
                <w:szCs w:val="20"/>
              </w:rPr>
            </w:pPr>
          </w:p>
          <w:p w:rsidR="002C5025" w:rsidRDefault="002C5025">
            <w:pPr>
              <w:pStyle w:val="TableParagraph"/>
              <w:kinsoku w:val="0"/>
              <w:overflowPunct w:val="0"/>
              <w:ind w:left="102" w:right="195"/>
              <w:rPr>
                <w:rFonts w:ascii="Times New Roman" w:hAnsi="Times New Roman" w:cs="Times New Roman"/>
              </w:rPr>
            </w:pPr>
            <w:r>
              <w:rPr>
                <w:sz w:val="20"/>
                <w:szCs w:val="20"/>
              </w:rPr>
              <w:t>Additionally, building and maintaining a high quality system requires clear and specific metrics that are monitored, measured, and reported to ensure ACOs and Community Partners are meeting requirements and spending funds appropriately. As such, there should be mechanisms in place to ensure ACOs and Community Partners are accountable to and transparent with EOHHS regarding their spending of DSRIP funds.</w:t>
            </w:r>
          </w:p>
        </w:tc>
      </w:tr>
      <w:tr w:rsidR="002C5025">
        <w:trPr>
          <w:trHeight w:hRule="exact" w:val="3730"/>
        </w:trPr>
        <w:tc>
          <w:tcPr>
            <w:tcW w:w="2335" w:type="dxa"/>
            <w:tcBorders>
              <w:top w:val="single" w:sz="4" w:space="0" w:color="7F7F7F"/>
              <w:left w:val="single" w:sz="4" w:space="0" w:color="7F7F7F"/>
              <w:bottom w:val="single" w:sz="4" w:space="0" w:color="7F7F7F"/>
              <w:right w:val="single" w:sz="4" w:space="0" w:color="7F7F7F"/>
            </w:tcBorders>
          </w:tcPr>
          <w:p w:rsidR="002C5025" w:rsidRDefault="002C5025">
            <w:pPr>
              <w:pStyle w:val="TableParagraph"/>
              <w:kinsoku w:val="0"/>
              <w:overflowPunct w:val="0"/>
              <w:spacing w:before="2" w:line="228" w:lineRule="exact"/>
              <w:ind w:right="128"/>
              <w:rPr>
                <w:rFonts w:ascii="Times New Roman" w:hAnsi="Times New Roman" w:cs="Times New Roman"/>
              </w:rPr>
            </w:pPr>
            <w:r>
              <w:rPr>
                <w:sz w:val="20"/>
                <w:szCs w:val="20"/>
              </w:rPr>
              <w:t>5.5.4. Emergency Department Boarding</w:t>
            </w:r>
          </w:p>
        </w:tc>
        <w:tc>
          <w:tcPr>
            <w:tcW w:w="7200" w:type="dxa"/>
            <w:tcBorders>
              <w:top w:val="single" w:sz="4" w:space="0" w:color="7F7F7F"/>
              <w:left w:val="single" w:sz="4" w:space="0" w:color="7F7F7F"/>
              <w:bottom w:val="single" w:sz="4" w:space="0" w:color="7F7F7F"/>
              <w:right w:val="single" w:sz="4" w:space="0" w:color="7F7F7F"/>
            </w:tcBorders>
          </w:tcPr>
          <w:p w:rsidR="002C5025" w:rsidRDefault="002C5025">
            <w:pPr>
              <w:pStyle w:val="TableParagraph"/>
              <w:kinsoku w:val="0"/>
              <w:overflowPunct w:val="0"/>
              <w:ind w:right="260"/>
              <w:rPr>
                <w:sz w:val="20"/>
                <w:szCs w:val="20"/>
              </w:rPr>
            </w:pPr>
            <w:r>
              <w:rPr>
                <w:sz w:val="20"/>
                <w:szCs w:val="20"/>
              </w:rPr>
              <w:t>Beacon is fully supportive of the proposed strategies outlined in the Waiver document to address the ED boarding challenges in Massachusetts. These strategies—specifically the use of community-based, diversionary services— are consistent with our approach and subsequent proposal to Massachusetts and in other states to combat this issue. However, there are additional strategies we feel that should be considered and potentially added for consideration. These include:</w:t>
            </w:r>
          </w:p>
          <w:p w:rsidR="002C5025" w:rsidRDefault="002C5025">
            <w:pPr>
              <w:pStyle w:val="TableParagraph"/>
              <w:kinsoku w:val="0"/>
              <w:overflowPunct w:val="0"/>
              <w:spacing w:before="10"/>
              <w:ind w:left="0"/>
              <w:rPr>
                <w:sz w:val="19"/>
                <w:szCs w:val="19"/>
              </w:rPr>
            </w:pPr>
          </w:p>
          <w:p w:rsidR="002C5025" w:rsidRDefault="002C5025">
            <w:pPr>
              <w:pStyle w:val="TableParagraph"/>
              <w:numPr>
                <w:ilvl w:val="0"/>
                <w:numId w:val="80"/>
              </w:numPr>
              <w:tabs>
                <w:tab w:val="left" w:pos="444"/>
              </w:tabs>
              <w:kinsoku w:val="0"/>
              <w:overflowPunct w:val="0"/>
              <w:ind w:right="355" w:hanging="359"/>
              <w:rPr>
                <w:sz w:val="20"/>
                <w:szCs w:val="20"/>
              </w:rPr>
            </w:pPr>
            <w:r>
              <w:rPr>
                <w:sz w:val="20"/>
                <w:szCs w:val="20"/>
              </w:rPr>
              <w:t>Additional</w:t>
            </w:r>
            <w:r>
              <w:rPr>
                <w:spacing w:val="-11"/>
                <w:sz w:val="20"/>
                <w:szCs w:val="20"/>
              </w:rPr>
              <w:t xml:space="preserve"> </w:t>
            </w:r>
            <w:r>
              <w:rPr>
                <w:sz w:val="20"/>
                <w:szCs w:val="20"/>
              </w:rPr>
              <w:t>investment</w:t>
            </w:r>
            <w:r>
              <w:rPr>
                <w:spacing w:val="-10"/>
                <w:sz w:val="20"/>
                <w:szCs w:val="20"/>
              </w:rPr>
              <w:t xml:space="preserve"> </w:t>
            </w:r>
            <w:r>
              <w:rPr>
                <w:sz w:val="20"/>
                <w:szCs w:val="20"/>
              </w:rPr>
              <w:t>in</w:t>
            </w:r>
            <w:r>
              <w:rPr>
                <w:spacing w:val="-10"/>
                <w:sz w:val="20"/>
                <w:szCs w:val="20"/>
              </w:rPr>
              <w:t xml:space="preserve"> </w:t>
            </w:r>
            <w:r>
              <w:rPr>
                <w:sz w:val="20"/>
                <w:szCs w:val="20"/>
              </w:rPr>
              <w:t>building</w:t>
            </w:r>
            <w:r>
              <w:rPr>
                <w:spacing w:val="-10"/>
                <w:sz w:val="20"/>
                <w:szCs w:val="20"/>
              </w:rPr>
              <w:t xml:space="preserve"> </w:t>
            </w:r>
            <w:r>
              <w:rPr>
                <w:sz w:val="20"/>
                <w:szCs w:val="20"/>
              </w:rPr>
              <w:t>inpatient</w:t>
            </w:r>
            <w:r>
              <w:rPr>
                <w:spacing w:val="-12"/>
                <w:sz w:val="20"/>
                <w:szCs w:val="20"/>
              </w:rPr>
              <w:t xml:space="preserve"> </w:t>
            </w:r>
            <w:r>
              <w:rPr>
                <w:sz w:val="20"/>
                <w:szCs w:val="20"/>
              </w:rPr>
              <w:t>capacity</w:t>
            </w:r>
            <w:r>
              <w:rPr>
                <w:spacing w:val="-17"/>
                <w:sz w:val="20"/>
                <w:szCs w:val="20"/>
              </w:rPr>
              <w:t xml:space="preserve"> </w:t>
            </w:r>
            <w:r>
              <w:rPr>
                <w:sz w:val="20"/>
                <w:szCs w:val="20"/>
              </w:rPr>
              <w:t>and</w:t>
            </w:r>
            <w:r>
              <w:rPr>
                <w:spacing w:val="-9"/>
                <w:sz w:val="20"/>
                <w:szCs w:val="20"/>
              </w:rPr>
              <w:t xml:space="preserve"> </w:t>
            </w:r>
            <w:r>
              <w:rPr>
                <w:sz w:val="20"/>
                <w:szCs w:val="20"/>
              </w:rPr>
              <w:t>strengthening</w:t>
            </w:r>
            <w:r>
              <w:rPr>
                <w:spacing w:val="-10"/>
                <w:sz w:val="20"/>
                <w:szCs w:val="20"/>
              </w:rPr>
              <w:t xml:space="preserve"> </w:t>
            </w:r>
            <w:r>
              <w:rPr>
                <w:sz w:val="20"/>
                <w:szCs w:val="20"/>
              </w:rPr>
              <w:t>the existing</w:t>
            </w:r>
            <w:r>
              <w:rPr>
                <w:spacing w:val="-10"/>
                <w:sz w:val="20"/>
                <w:szCs w:val="20"/>
              </w:rPr>
              <w:t xml:space="preserve"> </w:t>
            </w:r>
            <w:r>
              <w:rPr>
                <w:sz w:val="20"/>
                <w:szCs w:val="20"/>
              </w:rPr>
              <w:t>community-based</w:t>
            </w:r>
            <w:r>
              <w:rPr>
                <w:spacing w:val="-12"/>
                <w:sz w:val="20"/>
                <w:szCs w:val="20"/>
              </w:rPr>
              <w:t xml:space="preserve"> </w:t>
            </w:r>
            <w:r>
              <w:rPr>
                <w:sz w:val="20"/>
                <w:szCs w:val="20"/>
              </w:rPr>
              <w:t>diversionary</w:t>
            </w:r>
            <w:r>
              <w:rPr>
                <w:spacing w:val="-15"/>
                <w:sz w:val="20"/>
                <w:szCs w:val="20"/>
              </w:rPr>
              <w:t xml:space="preserve"> </w:t>
            </w:r>
            <w:r>
              <w:rPr>
                <w:sz w:val="20"/>
                <w:szCs w:val="20"/>
              </w:rPr>
              <w:t>system</w:t>
            </w:r>
            <w:r>
              <w:rPr>
                <w:spacing w:val="-6"/>
                <w:sz w:val="20"/>
                <w:szCs w:val="20"/>
              </w:rPr>
              <w:t xml:space="preserve"> </w:t>
            </w:r>
            <w:r>
              <w:rPr>
                <w:sz w:val="20"/>
                <w:szCs w:val="20"/>
              </w:rPr>
              <w:t>of</w:t>
            </w:r>
            <w:r>
              <w:rPr>
                <w:spacing w:val="-10"/>
                <w:sz w:val="20"/>
                <w:szCs w:val="20"/>
              </w:rPr>
              <w:t xml:space="preserve"> </w:t>
            </w:r>
            <w:r>
              <w:rPr>
                <w:sz w:val="20"/>
                <w:szCs w:val="20"/>
              </w:rPr>
              <w:t>care</w:t>
            </w:r>
          </w:p>
          <w:p w:rsidR="002C5025" w:rsidRDefault="002C5025">
            <w:pPr>
              <w:pStyle w:val="TableParagraph"/>
              <w:numPr>
                <w:ilvl w:val="0"/>
                <w:numId w:val="80"/>
              </w:numPr>
              <w:tabs>
                <w:tab w:val="left" w:pos="444"/>
              </w:tabs>
              <w:kinsoku w:val="0"/>
              <w:overflowPunct w:val="0"/>
              <w:spacing w:before="3" w:line="237" w:lineRule="auto"/>
              <w:ind w:left="442" w:right="433" w:hanging="359"/>
              <w:rPr>
                <w:sz w:val="20"/>
                <w:szCs w:val="20"/>
              </w:rPr>
            </w:pPr>
            <w:r>
              <w:rPr>
                <w:sz w:val="20"/>
                <w:szCs w:val="20"/>
              </w:rPr>
              <w:t>Adding in community-based flexible supports, including expanding Programs</w:t>
            </w:r>
            <w:r>
              <w:rPr>
                <w:spacing w:val="-10"/>
                <w:sz w:val="20"/>
                <w:szCs w:val="20"/>
              </w:rPr>
              <w:t xml:space="preserve"> </w:t>
            </w:r>
            <w:r>
              <w:rPr>
                <w:sz w:val="20"/>
                <w:szCs w:val="20"/>
              </w:rPr>
              <w:t>for</w:t>
            </w:r>
            <w:r>
              <w:rPr>
                <w:spacing w:val="-8"/>
                <w:sz w:val="20"/>
                <w:szCs w:val="20"/>
              </w:rPr>
              <w:t xml:space="preserve"> </w:t>
            </w:r>
            <w:r>
              <w:rPr>
                <w:sz w:val="20"/>
                <w:szCs w:val="20"/>
              </w:rPr>
              <w:t>Assertive</w:t>
            </w:r>
            <w:r>
              <w:rPr>
                <w:spacing w:val="-7"/>
                <w:sz w:val="20"/>
                <w:szCs w:val="20"/>
              </w:rPr>
              <w:t xml:space="preserve"> </w:t>
            </w:r>
            <w:r>
              <w:rPr>
                <w:sz w:val="20"/>
                <w:szCs w:val="20"/>
              </w:rPr>
              <w:t>Community</w:t>
            </w:r>
            <w:r>
              <w:rPr>
                <w:spacing w:val="-14"/>
                <w:sz w:val="20"/>
                <w:szCs w:val="20"/>
              </w:rPr>
              <w:t xml:space="preserve"> </w:t>
            </w:r>
            <w:r>
              <w:rPr>
                <w:sz w:val="20"/>
                <w:szCs w:val="20"/>
              </w:rPr>
              <w:t>Treatment</w:t>
            </w:r>
            <w:r>
              <w:rPr>
                <w:spacing w:val="-7"/>
                <w:sz w:val="20"/>
                <w:szCs w:val="20"/>
              </w:rPr>
              <w:t xml:space="preserve"> </w:t>
            </w:r>
            <w:r>
              <w:rPr>
                <w:sz w:val="20"/>
                <w:szCs w:val="20"/>
              </w:rPr>
              <w:t>(PACT)</w:t>
            </w:r>
            <w:r>
              <w:rPr>
                <w:spacing w:val="-9"/>
                <w:sz w:val="20"/>
                <w:szCs w:val="20"/>
              </w:rPr>
              <w:t xml:space="preserve"> </w:t>
            </w:r>
            <w:r>
              <w:rPr>
                <w:sz w:val="20"/>
                <w:szCs w:val="20"/>
              </w:rPr>
              <w:t>teams,</w:t>
            </w:r>
            <w:r>
              <w:rPr>
                <w:spacing w:val="-7"/>
                <w:sz w:val="20"/>
                <w:szCs w:val="20"/>
              </w:rPr>
              <w:t xml:space="preserve"> </w:t>
            </w:r>
            <w:r>
              <w:rPr>
                <w:sz w:val="20"/>
                <w:szCs w:val="20"/>
              </w:rPr>
              <w:t>which</w:t>
            </w:r>
            <w:r>
              <w:rPr>
                <w:spacing w:val="-10"/>
                <w:sz w:val="20"/>
                <w:szCs w:val="20"/>
              </w:rPr>
              <w:t xml:space="preserve"> </w:t>
            </w:r>
            <w:r>
              <w:rPr>
                <w:sz w:val="20"/>
                <w:szCs w:val="20"/>
              </w:rPr>
              <w:t>are currently</w:t>
            </w:r>
            <w:r>
              <w:rPr>
                <w:spacing w:val="-15"/>
                <w:sz w:val="20"/>
                <w:szCs w:val="20"/>
              </w:rPr>
              <w:t xml:space="preserve"> </w:t>
            </w:r>
            <w:r>
              <w:rPr>
                <w:sz w:val="20"/>
                <w:szCs w:val="20"/>
              </w:rPr>
              <w:t>available</w:t>
            </w:r>
            <w:r>
              <w:rPr>
                <w:spacing w:val="-10"/>
                <w:sz w:val="20"/>
                <w:szCs w:val="20"/>
              </w:rPr>
              <w:t xml:space="preserve"> </w:t>
            </w:r>
            <w:r>
              <w:rPr>
                <w:sz w:val="20"/>
                <w:szCs w:val="20"/>
              </w:rPr>
              <w:t>for</w:t>
            </w:r>
            <w:r>
              <w:rPr>
                <w:spacing w:val="-10"/>
                <w:sz w:val="20"/>
                <w:szCs w:val="20"/>
              </w:rPr>
              <w:t xml:space="preserve"> </w:t>
            </w:r>
            <w:r>
              <w:rPr>
                <w:sz w:val="20"/>
                <w:szCs w:val="20"/>
              </w:rPr>
              <w:t>the</w:t>
            </w:r>
            <w:r>
              <w:rPr>
                <w:spacing w:val="-12"/>
                <w:sz w:val="20"/>
                <w:szCs w:val="20"/>
              </w:rPr>
              <w:t xml:space="preserve"> </w:t>
            </w:r>
            <w:r>
              <w:rPr>
                <w:sz w:val="20"/>
                <w:szCs w:val="20"/>
              </w:rPr>
              <w:t>DMH</w:t>
            </w:r>
            <w:r>
              <w:rPr>
                <w:spacing w:val="-10"/>
                <w:sz w:val="20"/>
                <w:szCs w:val="20"/>
              </w:rPr>
              <w:t xml:space="preserve"> </w:t>
            </w:r>
            <w:r>
              <w:rPr>
                <w:sz w:val="20"/>
                <w:szCs w:val="20"/>
              </w:rPr>
              <w:t>population</w:t>
            </w:r>
          </w:p>
          <w:p w:rsidR="002C5025" w:rsidRDefault="002C5025">
            <w:pPr>
              <w:pStyle w:val="TableParagraph"/>
              <w:numPr>
                <w:ilvl w:val="0"/>
                <w:numId w:val="80"/>
              </w:numPr>
              <w:tabs>
                <w:tab w:val="left" w:pos="444"/>
              </w:tabs>
              <w:kinsoku w:val="0"/>
              <w:overflowPunct w:val="0"/>
              <w:spacing w:before="3" w:line="237" w:lineRule="auto"/>
              <w:ind w:left="444" w:right="806"/>
              <w:rPr>
                <w:rFonts w:ascii="Times New Roman" w:hAnsi="Times New Roman" w:cs="Times New Roman"/>
              </w:rPr>
            </w:pPr>
            <w:r>
              <w:rPr>
                <w:sz w:val="20"/>
                <w:szCs w:val="20"/>
              </w:rPr>
              <w:t>Enforcing</w:t>
            </w:r>
            <w:r>
              <w:rPr>
                <w:spacing w:val="-10"/>
                <w:sz w:val="20"/>
                <w:szCs w:val="20"/>
              </w:rPr>
              <w:t xml:space="preserve"> </w:t>
            </w:r>
            <w:r>
              <w:rPr>
                <w:sz w:val="20"/>
                <w:szCs w:val="20"/>
              </w:rPr>
              <w:t>a</w:t>
            </w:r>
            <w:r>
              <w:rPr>
                <w:spacing w:val="-10"/>
                <w:sz w:val="20"/>
                <w:szCs w:val="20"/>
              </w:rPr>
              <w:t xml:space="preserve"> </w:t>
            </w:r>
            <w:r>
              <w:rPr>
                <w:sz w:val="20"/>
                <w:szCs w:val="20"/>
              </w:rPr>
              <w:t>no-reject</w:t>
            </w:r>
            <w:r>
              <w:rPr>
                <w:spacing w:val="-10"/>
                <w:sz w:val="20"/>
                <w:szCs w:val="20"/>
              </w:rPr>
              <w:t xml:space="preserve"> </w:t>
            </w:r>
            <w:r>
              <w:rPr>
                <w:sz w:val="20"/>
                <w:szCs w:val="20"/>
              </w:rPr>
              <w:t>policy,</w:t>
            </w:r>
            <w:r>
              <w:rPr>
                <w:spacing w:val="-10"/>
                <w:sz w:val="20"/>
                <w:szCs w:val="20"/>
              </w:rPr>
              <w:t xml:space="preserve"> </w:t>
            </w:r>
            <w:r>
              <w:rPr>
                <w:sz w:val="20"/>
                <w:szCs w:val="20"/>
              </w:rPr>
              <w:t>requiring</w:t>
            </w:r>
            <w:r>
              <w:rPr>
                <w:spacing w:val="-10"/>
                <w:sz w:val="20"/>
                <w:szCs w:val="20"/>
              </w:rPr>
              <w:t xml:space="preserve"> </w:t>
            </w:r>
            <w:r>
              <w:rPr>
                <w:sz w:val="20"/>
                <w:szCs w:val="20"/>
              </w:rPr>
              <w:t>the</w:t>
            </w:r>
            <w:r>
              <w:rPr>
                <w:spacing w:val="-10"/>
                <w:sz w:val="20"/>
                <w:szCs w:val="20"/>
              </w:rPr>
              <w:t xml:space="preserve"> </w:t>
            </w:r>
            <w:r>
              <w:rPr>
                <w:sz w:val="20"/>
                <w:szCs w:val="20"/>
              </w:rPr>
              <w:t>ACOs</w:t>
            </w:r>
            <w:r>
              <w:rPr>
                <w:spacing w:val="-9"/>
                <w:sz w:val="20"/>
                <w:szCs w:val="20"/>
              </w:rPr>
              <w:t xml:space="preserve"> </w:t>
            </w:r>
            <w:r>
              <w:rPr>
                <w:sz w:val="20"/>
                <w:szCs w:val="20"/>
              </w:rPr>
              <w:t>that</w:t>
            </w:r>
            <w:r>
              <w:rPr>
                <w:spacing w:val="-10"/>
                <w:sz w:val="20"/>
                <w:szCs w:val="20"/>
              </w:rPr>
              <w:t xml:space="preserve"> </w:t>
            </w:r>
            <w:r>
              <w:rPr>
                <w:sz w:val="20"/>
                <w:szCs w:val="20"/>
              </w:rPr>
              <w:t>have</w:t>
            </w:r>
            <w:r>
              <w:rPr>
                <w:spacing w:val="-10"/>
                <w:sz w:val="20"/>
                <w:szCs w:val="20"/>
              </w:rPr>
              <w:t xml:space="preserve"> </w:t>
            </w:r>
            <w:r>
              <w:rPr>
                <w:sz w:val="20"/>
                <w:szCs w:val="20"/>
              </w:rPr>
              <w:t>attributed members stuck in an ED to find a bed or fund the person receiving services</w:t>
            </w:r>
            <w:r>
              <w:rPr>
                <w:spacing w:val="-22"/>
                <w:sz w:val="20"/>
                <w:szCs w:val="20"/>
              </w:rPr>
              <w:t xml:space="preserve"> </w:t>
            </w:r>
            <w:r>
              <w:rPr>
                <w:sz w:val="20"/>
                <w:szCs w:val="20"/>
              </w:rPr>
              <w:t>elsewhere</w:t>
            </w:r>
          </w:p>
        </w:tc>
      </w:tr>
      <w:tr w:rsidR="002C5025">
        <w:trPr>
          <w:trHeight w:hRule="exact" w:val="4841"/>
        </w:trPr>
        <w:tc>
          <w:tcPr>
            <w:tcW w:w="2335" w:type="dxa"/>
            <w:tcBorders>
              <w:top w:val="single" w:sz="4" w:space="0" w:color="7F7F7F"/>
              <w:left w:val="single" w:sz="4" w:space="0" w:color="7F7F7F"/>
              <w:bottom w:val="single" w:sz="4" w:space="0" w:color="7F7F7F"/>
              <w:right w:val="single" w:sz="4" w:space="0" w:color="7F7F7F"/>
            </w:tcBorders>
          </w:tcPr>
          <w:p w:rsidR="002C5025" w:rsidRDefault="002C5025">
            <w:pPr>
              <w:pStyle w:val="TableParagraph"/>
              <w:kinsoku w:val="0"/>
              <w:overflowPunct w:val="0"/>
              <w:ind w:right="128"/>
              <w:rPr>
                <w:rFonts w:ascii="Times New Roman" w:hAnsi="Times New Roman" w:cs="Times New Roman"/>
              </w:rPr>
            </w:pPr>
            <w:r>
              <w:rPr>
                <w:sz w:val="20"/>
                <w:szCs w:val="20"/>
              </w:rPr>
              <w:t>7. Enhanced Services for People with Substance Use Disorder</w:t>
            </w:r>
          </w:p>
        </w:tc>
        <w:tc>
          <w:tcPr>
            <w:tcW w:w="7200" w:type="dxa"/>
            <w:tcBorders>
              <w:top w:val="single" w:sz="4" w:space="0" w:color="7F7F7F"/>
              <w:left w:val="single" w:sz="4" w:space="0" w:color="7F7F7F"/>
              <w:bottom w:val="single" w:sz="4" w:space="0" w:color="7F7F7F"/>
              <w:right w:val="single" w:sz="4" w:space="0" w:color="7F7F7F"/>
            </w:tcBorders>
          </w:tcPr>
          <w:p w:rsidR="002C5025" w:rsidRDefault="002C5025">
            <w:pPr>
              <w:pStyle w:val="TableParagraph"/>
              <w:kinsoku w:val="0"/>
              <w:overflowPunct w:val="0"/>
              <w:ind w:left="102" w:right="118"/>
              <w:rPr>
                <w:sz w:val="20"/>
                <w:szCs w:val="20"/>
              </w:rPr>
            </w:pPr>
            <w:r>
              <w:rPr>
                <w:sz w:val="20"/>
                <w:szCs w:val="20"/>
              </w:rPr>
              <w:t>In general, the SUD Waiver is a critical component of the current efforts to redesign the MassHealth program, especially given the current opiate crisis that Massachusetts, like the rest of the nation, is facing. Unfortunately, our health care system is currently organized to treat SUD with acute services with the hope of abstinence upon discharge. Evidence tells us that this approach typically leads to treatment failures and readmissions to acute detoxification services. In short, this results in expensive care that delivers poor outcomes.</w:t>
            </w:r>
          </w:p>
          <w:p w:rsidR="002C5025" w:rsidRDefault="002C5025">
            <w:pPr>
              <w:pStyle w:val="TableParagraph"/>
              <w:kinsoku w:val="0"/>
              <w:overflowPunct w:val="0"/>
              <w:ind w:left="0"/>
              <w:rPr>
                <w:sz w:val="20"/>
                <w:szCs w:val="20"/>
              </w:rPr>
            </w:pPr>
          </w:p>
          <w:p w:rsidR="002C5025" w:rsidRDefault="002C5025">
            <w:pPr>
              <w:pStyle w:val="TableParagraph"/>
              <w:kinsoku w:val="0"/>
              <w:overflowPunct w:val="0"/>
              <w:ind w:right="179"/>
              <w:rPr>
                <w:sz w:val="20"/>
                <w:szCs w:val="20"/>
              </w:rPr>
            </w:pPr>
            <w:r>
              <w:rPr>
                <w:sz w:val="20"/>
                <w:szCs w:val="20"/>
              </w:rPr>
              <w:t>The Waiver is an opportunity to reinforce the evidence base of treatment for opiate addiction by providing a strong focus on diversion, prevention, and ensuring proper connectivity between inpatient levels of care and outpatient medication-assisted treatment (MAT). While the Waiver does propose expanding MAT, carving in Residential Rehabilitation Services (RRS) and Transitional Support Services (TSS), and circumventing the IMD exclusion for these services, these system improvements merit prominence in any redesign efforts.</w:t>
            </w:r>
          </w:p>
          <w:p w:rsidR="002C5025" w:rsidRDefault="002C5025">
            <w:pPr>
              <w:pStyle w:val="TableParagraph"/>
              <w:kinsoku w:val="0"/>
              <w:overflowPunct w:val="0"/>
              <w:spacing w:before="9"/>
              <w:ind w:left="0"/>
              <w:rPr>
                <w:sz w:val="19"/>
                <w:szCs w:val="19"/>
              </w:rPr>
            </w:pPr>
          </w:p>
          <w:p w:rsidR="002C5025" w:rsidRDefault="002C5025">
            <w:pPr>
              <w:pStyle w:val="TableParagraph"/>
              <w:kinsoku w:val="0"/>
              <w:overflowPunct w:val="0"/>
              <w:ind w:right="183"/>
              <w:rPr>
                <w:rFonts w:ascii="Times New Roman" w:hAnsi="Times New Roman" w:cs="Times New Roman"/>
              </w:rPr>
            </w:pPr>
            <w:r>
              <w:rPr>
                <w:sz w:val="20"/>
                <w:szCs w:val="20"/>
              </w:rPr>
              <w:t>Beacon strongly urges EOHHS to view SUD as a chronic illness. Like many medical chronic conditions that are treated in a community-based setting, so too should SUD conditions be treated in the community, focusing on providing individualized, member-centric care. This then provides an evidence-based</w:t>
            </w:r>
          </w:p>
        </w:tc>
      </w:tr>
    </w:tbl>
    <w:p w:rsidR="002C5025" w:rsidRDefault="002C5025">
      <w:pPr>
        <w:pStyle w:val="BodyText"/>
        <w:kinsoku w:val="0"/>
        <w:overflowPunct w:val="0"/>
        <w:rPr>
          <w:rFonts w:ascii="Arial" w:hAnsi="Arial" w:cs="Arial"/>
          <w:sz w:val="20"/>
          <w:szCs w:val="20"/>
        </w:rPr>
      </w:pPr>
    </w:p>
    <w:p w:rsidR="002C5025" w:rsidRDefault="00FB027C">
      <w:pPr>
        <w:pStyle w:val="BodyText"/>
        <w:kinsoku w:val="0"/>
        <w:overflowPunct w:val="0"/>
        <w:spacing w:before="2"/>
        <w:rPr>
          <w:rFonts w:ascii="Arial" w:hAnsi="Arial" w:cs="Arial"/>
        </w:rPr>
      </w:pPr>
      <w:r>
        <w:rPr>
          <w:noProof/>
        </w:rPr>
        <mc:AlternateContent>
          <mc:Choice Requires="wps">
            <w:drawing>
              <wp:anchor distT="0" distB="0" distL="0" distR="0" simplePos="0" relativeHeight="251524608" behindDoc="0" locked="0" layoutInCell="0" allowOverlap="1">
                <wp:simplePos x="0" y="0"/>
                <wp:positionH relativeFrom="page">
                  <wp:posOffset>895350</wp:posOffset>
                </wp:positionH>
                <wp:positionV relativeFrom="paragraph">
                  <wp:posOffset>190500</wp:posOffset>
                </wp:positionV>
                <wp:extent cx="5982335" cy="12700"/>
                <wp:effectExtent l="0" t="0" r="0" b="0"/>
                <wp:wrapTopAndBottom/>
                <wp:docPr id="831" name="Freeform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2335" cy="12700"/>
                        </a:xfrm>
                        <a:custGeom>
                          <a:avLst/>
                          <a:gdLst>
                            <a:gd name="T0" fmla="*/ 0 w 9421"/>
                            <a:gd name="T1" fmla="*/ 0 h 20"/>
                            <a:gd name="T2" fmla="*/ 9421 w 9421"/>
                            <a:gd name="T3" fmla="*/ 0 h 20"/>
                          </a:gdLst>
                          <a:ahLst/>
                          <a:cxnLst>
                            <a:cxn ang="0">
                              <a:pos x="T0" y="T1"/>
                            </a:cxn>
                            <a:cxn ang="0">
                              <a:pos x="T2" y="T3"/>
                            </a:cxn>
                          </a:cxnLst>
                          <a:rect l="0" t="0" r="r" b="b"/>
                          <a:pathLst>
                            <a:path w="9421" h="20">
                              <a:moveTo>
                                <a:pt x="0" y="0"/>
                              </a:moveTo>
                              <a:lnTo>
                                <a:pt x="9421" y="0"/>
                              </a:lnTo>
                            </a:path>
                          </a:pathLst>
                        </a:custGeom>
                        <a:noFill/>
                        <a:ln w="7365">
                          <a:solidFill>
                            <a:srgbClr val="85CCE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94" o:spid="_x0000_s1026" style="position:absolute;z-index:251524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0.5pt,15pt,541.55pt,15pt" coordsize="94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" o:allowincell="f" filled="f" strokecolor="#85cced" strokeweight=".20458mm">
                <v:path arrowok="t" o:connecttype="custom" o:connectlocs="0,0;5982335,0" o:connectangles="0,0"/>
                <w10:wrap type="topAndBottom" anchorx="page"/>
              </v:polyline>
            </w:pict>
          </mc:Fallback>
        </mc:AlternateContent>
      </w:r>
    </w:p>
    <w:p w:rsidR="002C5025" w:rsidRDefault="002C5025">
      <w:pPr>
        <w:pStyle w:val="BodyText"/>
        <w:tabs>
          <w:tab w:val="left" w:pos="9389"/>
        </w:tabs>
        <w:kinsoku w:val="0"/>
        <w:overflowPunct w:val="0"/>
        <w:spacing w:before="46"/>
        <w:ind w:left="140"/>
        <w:rPr>
          <w:rFonts w:ascii="Arial" w:hAnsi="Arial" w:cs="Arial"/>
          <w:sz w:val="20"/>
          <w:szCs w:val="20"/>
        </w:rPr>
      </w:pPr>
      <w:r>
        <w:rPr>
          <w:rFonts w:ascii="Arial" w:hAnsi="Arial" w:cs="Arial"/>
          <w:sz w:val="20"/>
          <w:szCs w:val="20"/>
        </w:rPr>
        <w:t>MassHealth Section 1115</w:t>
      </w:r>
      <w:r>
        <w:rPr>
          <w:rFonts w:ascii="Arial" w:hAnsi="Arial" w:cs="Arial"/>
          <w:spacing w:val="-30"/>
          <w:sz w:val="20"/>
          <w:szCs w:val="20"/>
        </w:rPr>
        <w:t xml:space="preserve"> </w:t>
      </w:r>
      <w:r>
        <w:rPr>
          <w:rFonts w:ascii="Arial" w:hAnsi="Arial" w:cs="Arial"/>
          <w:sz w:val="20"/>
          <w:szCs w:val="20"/>
        </w:rPr>
        <w:t>Demonstration</w:t>
      </w:r>
      <w:r>
        <w:rPr>
          <w:rFonts w:ascii="Arial" w:hAnsi="Arial" w:cs="Arial"/>
          <w:spacing w:val="-11"/>
          <w:sz w:val="20"/>
          <w:szCs w:val="20"/>
        </w:rPr>
        <w:t xml:space="preserve"> </w:t>
      </w:r>
      <w:r>
        <w:rPr>
          <w:rFonts w:ascii="Arial" w:hAnsi="Arial" w:cs="Arial"/>
          <w:sz w:val="20"/>
          <w:szCs w:val="20"/>
        </w:rPr>
        <w:t>Comments</w:t>
      </w:r>
      <w:r>
        <w:rPr>
          <w:rFonts w:ascii="Arial" w:hAnsi="Arial" w:cs="Arial"/>
          <w:sz w:val="20"/>
          <w:szCs w:val="20"/>
        </w:rPr>
        <w:tab/>
        <w:t>6</w:t>
      </w:r>
    </w:p>
    <w:p w:rsidR="002C5025" w:rsidRDefault="002C5025">
      <w:pPr>
        <w:pStyle w:val="BodyText"/>
        <w:tabs>
          <w:tab w:val="left" w:pos="9389"/>
        </w:tabs>
        <w:kinsoku w:val="0"/>
        <w:overflowPunct w:val="0"/>
        <w:spacing w:before="46"/>
        <w:ind w:left="140"/>
        <w:rPr>
          <w:rFonts w:ascii="Arial" w:hAnsi="Arial" w:cs="Arial"/>
          <w:sz w:val="20"/>
          <w:szCs w:val="20"/>
        </w:rPr>
        <w:sectPr w:rsidR="002C5025">
          <w:pgSz w:w="12240" w:h="15840"/>
          <w:pgMar w:top="720" w:right="1140" w:bottom="280" w:left="1300" w:header="720" w:footer="720" w:gutter="0"/>
          <w:cols w:space="720"/>
          <w:noEndnote/>
        </w:sectPr>
      </w:pPr>
    </w:p>
    <w:p w:rsidR="002C5025" w:rsidRDefault="00FB027C">
      <w:pPr>
        <w:pStyle w:val="BodyText"/>
        <w:kinsoku w:val="0"/>
        <w:overflowPunct w:val="0"/>
        <w:ind w:left="130"/>
        <w:rPr>
          <w:rFonts w:ascii="Arial" w:hAnsi="Arial" w:cs="Arial"/>
          <w:sz w:val="20"/>
          <w:szCs w:val="20"/>
        </w:rPr>
      </w:pPr>
      <w:r>
        <w:rPr>
          <w:rFonts w:ascii="Arial" w:hAnsi="Arial" w:cs="Arial"/>
          <w:noProof/>
          <w:sz w:val="20"/>
          <w:szCs w:val="20"/>
        </w:rPr>
        <w:lastRenderedPageBreak/>
        <mc:AlternateContent>
          <mc:Choice Requires="wpg">
            <w:drawing>
              <wp:inline distT="0" distB="0" distL="0" distR="0">
                <wp:extent cx="6068060" cy="369570"/>
                <wp:effectExtent l="0" t="0" r="0" b="1905"/>
                <wp:docPr id="82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369570"/>
                          <a:chOff x="0" y="0"/>
                          <a:chExt cx="9556" cy="582"/>
                        </a:xfrm>
                      </wpg:grpSpPr>
                      <pic:pic xmlns:pic="http://schemas.openxmlformats.org/drawingml/2006/picture">
                        <pic:nvPicPr>
                          <pic:cNvPr id="826" name="Picture 196"/>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10" y="0"/>
                            <a:ext cx="19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27" name="Freeform 197"/>
                        <wps:cNvSpPr>
                          <a:spLocks/>
                        </wps:cNvSpPr>
                        <wps:spPr bwMode="auto">
                          <a:xfrm>
                            <a:off x="10" y="571"/>
                            <a:ext cx="2336" cy="20"/>
                          </a:xfrm>
                          <a:custGeom>
                            <a:avLst/>
                            <a:gdLst>
                              <a:gd name="T0" fmla="*/ 0 w 2336"/>
                              <a:gd name="T1" fmla="*/ 0 h 20"/>
                              <a:gd name="T2" fmla="*/ 2335 w 2336"/>
                              <a:gd name="T3" fmla="*/ 0 h 20"/>
                            </a:gdLst>
                            <a:ahLst/>
                            <a:cxnLst>
                              <a:cxn ang="0">
                                <a:pos x="T0" y="T1"/>
                              </a:cxn>
                              <a:cxn ang="0">
                                <a:pos x="T2" y="T3"/>
                              </a:cxn>
                            </a:cxnLst>
                            <a:rect l="0" t="0" r="r" b="b"/>
                            <a:pathLst>
                              <a:path w="2336" h="20">
                                <a:moveTo>
                                  <a:pt x="0" y="0"/>
                                </a:moveTo>
                                <a:lnTo>
                                  <a:pt x="2335" y="0"/>
                                </a:lnTo>
                              </a:path>
                            </a:pathLst>
                          </a:custGeom>
                          <a:noFill/>
                          <a:ln w="12192">
                            <a:solidFill>
                              <a:srgbClr val="41B6E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8" name="Freeform 198"/>
                        <wps:cNvSpPr>
                          <a:spLocks/>
                        </wps:cNvSpPr>
                        <wps:spPr bwMode="auto">
                          <a:xfrm>
                            <a:off x="2345" y="571"/>
                            <a:ext cx="20" cy="20"/>
                          </a:xfrm>
                          <a:custGeom>
                            <a:avLst/>
                            <a:gdLst>
                              <a:gd name="T0" fmla="*/ 0 w 20"/>
                              <a:gd name="T1" fmla="*/ 0 h 20"/>
                              <a:gd name="T2" fmla="*/ 19 w 20"/>
                              <a:gd name="T3" fmla="*/ 0 h 20"/>
                            </a:gdLst>
                            <a:ahLst/>
                            <a:cxnLst>
                              <a:cxn ang="0">
                                <a:pos x="T0" y="T1"/>
                              </a:cxn>
                              <a:cxn ang="0">
                                <a:pos x="T2" y="T3"/>
                              </a:cxn>
                            </a:cxnLst>
                            <a:rect l="0" t="0" r="r" b="b"/>
                            <a:pathLst>
                              <a:path w="20" h="20">
                                <a:moveTo>
                                  <a:pt x="0" y="0"/>
                                </a:moveTo>
                                <a:lnTo>
                                  <a:pt x="19" y="0"/>
                                </a:lnTo>
                              </a:path>
                            </a:pathLst>
                          </a:custGeom>
                          <a:noFill/>
                          <a:ln w="12192">
                            <a:solidFill>
                              <a:srgbClr val="41B6E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9" name="Freeform 199"/>
                        <wps:cNvSpPr>
                          <a:spLocks/>
                        </wps:cNvSpPr>
                        <wps:spPr bwMode="auto">
                          <a:xfrm>
                            <a:off x="2364" y="571"/>
                            <a:ext cx="7181" cy="20"/>
                          </a:xfrm>
                          <a:custGeom>
                            <a:avLst/>
                            <a:gdLst>
                              <a:gd name="T0" fmla="*/ 0 w 7181"/>
                              <a:gd name="T1" fmla="*/ 0 h 20"/>
                              <a:gd name="T2" fmla="*/ 7180 w 7181"/>
                              <a:gd name="T3" fmla="*/ 0 h 20"/>
                            </a:gdLst>
                            <a:ahLst/>
                            <a:cxnLst>
                              <a:cxn ang="0">
                                <a:pos x="T0" y="T1"/>
                              </a:cxn>
                              <a:cxn ang="0">
                                <a:pos x="T2" y="T3"/>
                              </a:cxn>
                            </a:cxnLst>
                            <a:rect l="0" t="0" r="r" b="b"/>
                            <a:pathLst>
                              <a:path w="7181" h="20">
                                <a:moveTo>
                                  <a:pt x="0" y="0"/>
                                </a:moveTo>
                                <a:lnTo>
                                  <a:pt x="7180" y="0"/>
                                </a:lnTo>
                              </a:path>
                            </a:pathLst>
                          </a:custGeom>
                          <a:noFill/>
                          <a:ln w="12192">
                            <a:solidFill>
                              <a:srgbClr val="41B6E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0" name="Text Box 200"/>
                        <wps:cNvSpPr txBox="1">
                          <a:spLocks noChangeArrowheads="1"/>
                        </wps:cNvSpPr>
                        <wps:spPr bwMode="auto">
                          <a:xfrm>
                            <a:off x="0" y="0"/>
                            <a:ext cx="9555" cy="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pStyle w:val="BodyText"/>
                                <w:kinsoku w:val="0"/>
                                <w:overflowPunct w:val="0"/>
                                <w:spacing w:before="88" w:line="226" w:lineRule="exact"/>
                                <w:ind w:left="5128" w:firstLine="1212"/>
                                <w:rPr>
                                  <w:rFonts w:ascii="Arial" w:hAnsi="Arial" w:cs="Arial"/>
                                  <w:sz w:val="20"/>
                                  <w:szCs w:val="20"/>
                                </w:rPr>
                              </w:pPr>
                              <w:r>
                                <w:rPr>
                                  <w:rFonts w:ascii="Arial" w:hAnsi="Arial" w:cs="Arial"/>
                                  <w:sz w:val="20"/>
                                  <w:szCs w:val="20"/>
                                </w:rPr>
                                <w:t>Commonwealth of Massachusetts Executive Office of Health and Human Services</w:t>
                              </w:r>
                            </w:p>
                          </w:txbxContent>
                        </wps:txbx>
                        <wps:bodyPr rot="0" vert="horz" wrap="square" lIns="0" tIns="0" rIns="0" bIns="0" anchor="t" anchorCtr="0" upright="1">
                          <a:noAutofit/>
                        </wps:bodyPr>
                      </wps:wsp>
                    </wpg:wgp>
                  </a:graphicData>
                </a:graphic>
              </wp:inline>
            </w:drawing>
          </mc:Choice>
          <mc:Fallback>
            <w:pict>
              <v:group id="Group 195" o:spid="_x0000_s1119" style="width:477.8pt;height:29.1pt;mso-position-horizontal-relative:char;mso-position-vertical-relative:line" coordsize="9556,5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">
                <v:shape id="Picture 196" o:spid="_x0000_s1120" type="#_x0000_t75" style="position:absolute;left:10;width:1920;height:5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0ItLFAAAA3AAAAA8AAABkcnMvZG93bnJldi54bWxEj91qwkAUhO8LvsNyhN41G4WmGl1DLLT2&#10;rjTpAxyyJz+YPRuzW40+fbdQ8HKYmW+YbTaZXpxpdJ1lBYsoBkFcWd1xo+C7fHtagXAeWWNvmRRc&#10;yUG2mz1sMdX2wl90LnwjAoRdigpa74dUSle1ZNBFdiAOXm1Hgz7IsZF6xEuAm14u4ziRBjsOCy0O&#10;9NpSdSx+jIJkXfT5dV+9nz6Ll8PNcl3Sc63U43zKNyA8Tf4e/m9/aAWrZQJ/Z8IRkL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l9CLSxQAAANwAAAAPAAAAAAAAAAAAAAAA&#10;AJ8CAABkcnMvZG93bnJldi54bWxQSwUGAAAAAAQABAD3AAAAkQMAAAAA&#10;">
                  <v:imagedata r:id="rId127" o:title=""/>
                </v:shape>
                <v:shape id="Freeform 197" o:spid="_x0000_s1121" style="position:absolute;left:10;top:571;width:2336;height:20;visibility:visible;mso-wrap-style:square;v-text-anchor:top" coordsize="233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rm7cMA&#10;AADcAAAADwAAAGRycy9kb3ducmV2LnhtbESPQWsCMRSE7wX/Q3hCbzWrB122RlFboRfBqr0/Nq+7&#10;qZuXJYm723/fCEKPw8x8wyzXg21ERz4YxwqmkwwEcem04UrB5bx/yUGEiKyxcUwKfinAejV6WmKh&#10;Xc+f1J1iJRKEQ4EK6hjbQspQ1mQxTFxLnLxv5y3GJH0ltcc+wW0jZ1k2lxYNp4UaW9rVVF5PN6vA&#10;5F3oD+9f5+Phx3TY+/32TU6Veh4Pm1cQkYb4H360P7SCfLaA+5l0BO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grm7cMAAADcAAAADwAAAAAAAAAAAAAAAACYAgAAZHJzL2Rv&#10;d25yZXYueG1sUEsFBgAAAAAEAAQA9QAAAIgDAAAAAA==&#10;" path="m,l2335,e" filled="f" strokecolor="#41b6e6" strokeweight=".96pt">
                  <v:path arrowok="t" o:connecttype="custom" o:connectlocs="0,0;2335,0" o:connectangles="0,0"/>
                </v:shape>
                <v:shape id="Freeform 198" o:spid="_x0000_s1122" style="position:absolute;left:2345;top:571;width:20;height:20;visibility:visible;mso-wrap-style:square;v-text-anchor:top" coordsize="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rqdcIA&#10;AADcAAAADwAAAGRycy9kb3ducmV2LnhtbERPTYvCMBC9L/gfwgje1tRKF+kaRQRBBA92i+Jttplt&#10;yzaT0kSt/npzEDw+3vd82ZtGXKlztWUFk3EEgriwuuZSQf6z+ZyBcB5ZY2OZFNzJwXIx+Jhjqu2N&#10;D3TNfClCCLsUFVTet6mUrqjIoBvbljhwf7Yz6APsSqk7vIVw08g4ir6kwZpDQ4UtrSsq/rOLUfCY&#10;ZInc/sbnHZ2OSV3k+6lOtFKjYb/6BuGp92/xy73VCmZxWBvOhCM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mup1wgAAANwAAAAPAAAAAAAAAAAAAAAAAJgCAABkcnMvZG93&#10;bnJldi54bWxQSwUGAAAAAAQABAD1AAAAhwMAAAAA&#10;" path="m,l19,e" filled="f" strokecolor="#41b6e6" strokeweight=".96pt">
                  <v:path arrowok="t" o:connecttype="custom" o:connectlocs="0,0;19,0" o:connectangles="0,0"/>
                </v:shape>
                <v:shape id="Freeform 199" o:spid="_x0000_s1123" style="position:absolute;left:2364;top:571;width:7181;height:20;visibility:visible;mso-wrap-style:square;v-text-anchor:top" coordsize="71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og3sIA&#10;AADcAAAADwAAAGRycy9kb3ducmV2LnhtbESPQWvCQBSE7wX/w/IEL0VfGrDY6CoiFHI17aW3R/aZ&#10;BLNvw+6q8d+7gtDjMDPfMJvdaHt1ZR86Jxo+FhkoltqZThoNvz/f8xWoEEkM9U5Yw50D7LaTtw0V&#10;xt3kyNcqNipBJBSkoY1xKBBD3bKlsHADS/JOzluKSfoGjadbgtse8yz7REudpIWWBj60XJ+ri9Vg&#10;D2Xn8xL3Vblc3v+QcHg/nrSeTcf9GlTkMf6HX+3SaFjlX/A8k44Ab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miDewgAAANwAAAAPAAAAAAAAAAAAAAAAAJgCAABkcnMvZG93&#10;bnJldi54bWxQSwUGAAAAAAQABAD1AAAAhwMAAAAA&#10;" path="m,l7180,e" filled="f" strokecolor="#41b6e6" strokeweight=".96pt">
                  <v:path arrowok="t" o:connecttype="custom" o:connectlocs="0,0;7180,0" o:connectangles="0,0"/>
                </v:shape>
                <v:shape id="Text Box 200" o:spid="_x0000_s1124" type="#_x0000_t202" style="position:absolute;width:9555;height: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3N/MEA&#10;AADcAAAADwAAAGRycy9kb3ducmV2LnhtbERPTYvCMBC9C/sfwix401QF0WoUWVwQBLHWwx5nm7EN&#10;NpNuk9X6781B8Ph438t1Z2txo9YbxwpGwwQEceG04VLBOf8ezED4gKyxdkwKHuRhvfroLTHV7s4Z&#10;3U6hFDGEfYoKqhCaVEpfVGTRD11DHLmLay2GCNtS6hbvMdzWcpwkU2nRcGyosKGviorr6d8q2Pxw&#10;tjV/h99jdslMns8T3k+vSvU/u80CRKAuvMUv904rmE3i/HgmHgG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9NzfzBAAAA3AAAAA8AAAAAAAAAAAAAAAAAmAIAAGRycy9kb3du&#10;cmV2LnhtbFBLBQYAAAAABAAEAPUAAACGAwAAAAA=&#10;" filled="f" stroked="f">
                  <v:textbox inset="0,0,0,0">
                    <w:txbxContent>
                      <w:p w:rsidR="007B2B7B" w:rsidRDefault="007B2B7B">
                        <w:pPr>
                          <w:pStyle w:val="BodyText"/>
                          <w:kinsoku w:val="0"/>
                          <w:overflowPunct w:val="0"/>
                          <w:spacing w:before="88" w:line="226" w:lineRule="exact"/>
                          <w:ind w:left="5128" w:firstLine="1212"/>
                          <w:rPr>
                            <w:rFonts w:ascii="Arial" w:hAnsi="Arial" w:cs="Arial"/>
                            <w:sz w:val="20"/>
                            <w:szCs w:val="20"/>
                          </w:rPr>
                        </w:pPr>
                        <w:r>
                          <w:rPr>
                            <w:rFonts w:ascii="Arial" w:hAnsi="Arial" w:cs="Arial"/>
                            <w:sz w:val="20"/>
                            <w:szCs w:val="20"/>
                          </w:rPr>
                          <w:t>Commonwealth of Massachusetts Executive Office of Health and Human Services</w:t>
                        </w:r>
                      </w:p>
                    </w:txbxContent>
                  </v:textbox>
                </v:shape>
                <w10:anchorlock/>
              </v:group>
            </w:pict>
          </mc:Fallback>
        </mc:AlternateContent>
      </w:r>
    </w:p>
    <w:p w:rsidR="002C5025" w:rsidRDefault="002C5025">
      <w:pPr>
        <w:pStyle w:val="BodyText"/>
        <w:kinsoku w:val="0"/>
        <w:overflowPunct w:val="0"/>
        <w:spacing w:before="10"/>
        <w:rPr>
          <w:rFonts w:ascii="Arial" w:hAnsi="Arial" w:cs="Arial"/>
          <w:sz w:val="17"/>
          <w:szCs w:val="17"/>
        </w:rPr>
      </w:pPr>
    </w:p>
    <w:tbl>
      <w:tblPr>
        <w:tblW w:w="0" w:type="auto"/>
        <w:tblInd w:w="138" w:type="dxa"/>
        <w:tblLayout w:type="fixed"/>
        <w:tblCellMar>
          <w:left w:w="0" w:type="dxa"/>
          <w:right w:w="0" w:type="dxa"/>
        </w:tblCellMar>
        <w:tblLook w:val="0000" w:firstRow="0" w:lastRow="0" w:firstColumn="0" w:lastColumn="0" w:noHBand="0" w:noVBand="0"/>
      </w:tblPr>
      <w:tblGrid>
        <w:gridCol w:w="2335"/>
        <w:gridCol w:w="7200"/>
      </w:tblGrid>
      <w:tr w:rsidR="002C5025">
        <w:trPr>
          <w:trHeight w:hRule="exact" w:val="478"/>
        </w:trPr>
        <w:tc>
          <w:tcPr>
            <w:tcW w:w="2335" w:type="dxa"/>
            <w:tcBorders>
              <w:top w:val="single" w:sz="4" w:space="0" w:color="7F7F7F"/>
              <w:left w:val="single" w:sz="4" w:space="0" w:color="7F7F7F"/>
              <w:bottom w:val="single" w:sz="4" w:space="0" w:color="7F7F7F"/>
              <w:right w:val="single" w:sz="4" w:space="0" w:color="7F7F7F"/>
            </w:tcBorders>
            <w:shd w:val="clear" w:color="auto" w:fill="0083CE"/>
          </w:tcPr>
          <w:p w:rsidR="002C5025" w:rsidRDefault="002C5025">
            <w:pPr>
              <w:pStyle w:val="TableParagraph"/>
              <w:kinsoku w:val="0"/>
              <w:overflowPunct w:val="0"/>
              <w:ind w:left="801" w:right="128" w:hanging="413"/>
              <w:rPr>
                <w:rFonts w:ascii="Times New Roman" w:hAnsi="Times New Roman" w:cs="Times New Roman"/>
              </w:rPr>
            </w:pPr>
            <w:r>
              <w:rPr>
                <w:b/>
                <w:bCs/>
                <w:color w:val="FFFFFF"/>
                <w:sz w:val="20"/>
                <w:szCs w:val="20"/>
              </w:rPr>
              <w:t>Relevant Waiver Section</w:t>
            </w:r>
          </w:p>
        </w:tc>
        <w:tc>
          <w:tcPr>
            <w:tcW w:w="7200" w:type="dxa"/>
            <w:tcBorders>
              <w:top w:val="single" w:sz="4" w:space="0" w:color="7F7F7F"/>
              <w:left w:val="single" w:sz="4" w:space="0" w:color="7F7F7F"/>
              <w:bottom w:val="single" w:sz="4" w:space="0" w:color="7F7F7F"/>
              <w:right w:val="single" w:sz="4" w:space="0" w:color="7F7F7F"/>
            </w:tcBorders>
            <w:shd w:val="clear" w:color="auto" w:fill="0083CE"/>
          </w:tcPr>
          <w:p w:rsidR="002C5025" w:rsidRDefault="002C5025">
            <w:pPr>
              <w:pStyle w:val="TableParagraph"/>
              <w:kinsoku w:val="0"/>
              <w:overflowPunct w:val="0"/>
              <w:spacing w:before="107"/>
              <w:ind w:left="2708" w:right="2706"/>
              <w:jc w:val="center"/>
              <w:rPr>
                <w:rFonts w:ascii="Times New Roman" w:hAnsi="Times New Roman" w:cs="Times New Roman"/>
              </w:rPr>
            </w:pPr>
            <w:r>
              <w:rPr>
                <w:b/>
                <w:bCs/>
                <w:color w:val="FFFFFF"/>
                <w:sz w:val="20"/>
                <w:szCs w:val="20"/>
              </w:rPr>
              <w:t>Beacon Response</w:t>
            </w:r>
          </w:p>
        </w:tc>
      </w:tr>
      <w:tr w:rsidR="002C5025">
        <w:trPr>
          <w:trHeight w:hRule="exact" w:val="7450"/>
        </w:trPr>
        <w:tc>
          <w:tcPr>
            <w:tcW w:w="2335" w:type="dxa"/>
            <w:tcBorders>
              <w:top w:val="single" w:sz="4" w:space="0" w:color="7F7F7F"/>
              <w:left w:val="single" w:sz="4" w:space="0" w:color="7F7F7F"/>
              <w:bottom w:val="single" w:sz="4" w:space="0" w:color="7F7F7F"/>
              <w:right w:val="single" w:sz="4" w:space="0" w:color="7F7F7F"/>
            </w:tcBorders>
          </w:tcPr>
          <w:p w:rsidR="002C5025" w:rsidRDefault="002C5025"/>
        </w:tc>
        <w:tc>
          <w:tcPr>
            <w:tcW w:w="7200" w:type="dxa"/>
            <w:tcBorders>
              <w:top w:val="single" w:sz="4" w:space="0" w:color="7F7F7F"/>
              <w:left w:val="single" w:sz="4" w:space="0" w:color="7F7F7F"/>
              <w:bottom w:val="single" w:sz="4" w:space="0" w:color="7F7F7F"/>
              <w:right w:val="single" w:sz="4" w:space="0" w:color="7F7F7F"/>
            </w:tcBorders>
          </w:tcPr>
          <w:p w:rsidR="002C5025" w:rsidRDefault="002C5025">
            <w:pPr>
              <w:pStyle w:val="TableParagraph"/>
              <w:kinsoku w:val="0"/>
              <w:overflowPunct w:val="0"/>
              <w:ind w:left="102" w:right="206"/>
              <w:rPr>
                <w:sz w:val="20"/>
                <w:szCs w:val="20"/>
              </w:rPr>
            </w:pPr>
            <w:r>
              <w:rPr>
                <w:sz w:val="20"/>
                <w:szCs w:val="20"/>
              </w:rPr>
              <w:t>framework to increase the quality of care, reduce costs, and improve outcomes. It also highlights the role and need for primary care to assume a key position in the treatment continuum, with extensive specialty mental health/SUD support.</w:t>
            </w:r>
          </w:p>
          <w:p w:rsidR="002C5025" w:rsidRDefault="002C5025">
            <w:pPr>
              <w:pStyle w:val="TableParagraph"/>
              <w:kinsoku w:val="0"/>
              <w:overflowPunct w:val="0"/>
              <w:ind w:left="0"/>
              <w:rPr>
                <w:sz w:val="20"/>
                <w:szCs w:val="20"/>
              </w:rPr>
            </w:pPr>
          </w:p>
          <w:p w:rsidR="002C5025" w:rsidRDefault="002C5025">
            <w:pPr>
              <w:pStyle w:val="TableParagraph"/>
              <w:kinsoku w:val="0"/>
              <w:overflowPunct w:val="0"/>
              <w:ind w:right="506"/>
              <w:rPr>
                <w:sz w:val="20"/>
                <w:szCs w:val="20"/>
              </w:rPr>
            </w:pPr>
            <w:r>
              <w:rPr>
                <w:sz w:val="20"/>
                <w:szCs w:val="20"/>
              </w:rPr>
              <w:t>Further recommendations to create a well-functioning SUD system of care include:</w:t>
            </w:r>
          </w:p>
          <w:p w:rsidR="002C5025" w:rsidRDefault="002C5025">
            <w:pPr>
              <w:pStyle w:val="TableParagraph"/>
              <w:kinsoku w:val="0"/>
              <w:overflowPunct w:val="0"/>
              <w:spacing w:before="6"/>
              <w:ind w:left="0"/>
              <w:rPr>
                <w:sz w:val="21"/>
                <w:szCs w:val="21"/>
              </w:rPr>
            </w:pPr>
          </w:p>
          <w:p w:rsidR="002C5025" w:rsidRDefault="002C5025">
            <w:pPr>
              <w:pStyle w:val="TableParagraph"/>
              <w:numPr>
                <w:ilvl w:val="0"/>
                <w:numId w:val="79"/>
              </w:numPr>
              <w:tabs>
                <w:tab w:val="left" w:pos="444"/>
              </w:tabs>
              <w:kinsoku w:val="0"/>
              <w:overflowPunct w:val="0"/>
              <w:spacing w:line="228" w:lineRule="exact"/>
              <w:ind w:right="747" w:hanging="359"/>
              <w:rPr>
                <w:sz w:val="20"/>
                <w:szCs w:val="20"/>
              </w:rPr>
            </w:pPr>
            <w:r>
              <w:rPr>
                <w:sz w:val="20"/>
                <w:szCs w:val="20"/>
              </w:rPr>
              <w:t>Focusing</w:t>
            </w:r>
            <w:r>
              <w:rPr>
                <w:spacing w:val="-13"/>
                <w:sz w:val="20"/>
                <w:szCs w:val="20"/>
              </w:rPr>
              <w:t xml:space="preserve"> </w:t>
            </w:r>
            <w:r>
              <w:rPr>
                <w:sz w:val="20"/>
                <w:szCs w:val="20"/>
              </w:rPr>
              <w:t>more</w:t>
            </w:r>
            <w:r>
              <w:rPr>
                <w:spacing w:val="-10"/>
                <w:sz w:val="20"/>
                <w:szCs w:val="20"/>
              </w:rPr>
              <w:t xml:space="preserve"> </w:t>
            </w:r>
            <w:r>
              <w:rPr>
                <w:sz w:val="20"/>
                <w:szCs w:val="20"/>
              </w:rPr>
              <w:t>on</w:t>
            </w:r>
            <w:r>
              <w:rPr>
                <w:spacing w:val="-10"/>
                <w:sz w:val="20"/>
                <w:szCs w:val="20"/>
              </w:rPr>
              <w:t xml:space="preserve"> </w:t>
            </w:r>
            <w:r>
              <w:rPr>
                <w:sz w:val="20"/>
                <w:szCs w:val="20"/>
              </w:rPr>
              <w:t>prevention,</w:t>
            </w:r>
            <w:r>
              <w:rPr>
                <w:spacing w:val="-10"/>
                <w:sz w:val="20"/>
                <w:szCs w:val="20"/>
              </w:rPr>
              <w:t xml:space="preserve"> </w:t>
            </w:r>
            <w:r>
              <w:rPr>
                <w:sz w:val="20"/>
                <w:szCs w:val="20"/>
              </w:rPr>
              <w:t>education,</w:t>
            </w:r>
            <w:r>
              <w:rPr>
                <w:spacing w:val="-12"/>
                <w:sz w:val="20"/>
                <w:szCs w:val="20"/>
              </w:rPr>
              <w:t xml:space="preserve"> </w:t>
            </w:r>
            <w:r>
              <w:rPr>
                <w:sz w:val="20"/>
                <w:szCs w:val="20"/>
              </w:rPr>
              <w:t>and</w:t>
            </w:r>
            <w:r>
              <w:rPr>
                <w:spacing w:val="-10"/>
                <w:sz w:val="20"/>
                <w:szCs w:val="20"/>
              </w:rPr>
              <w:t xml:space="preserve"> </w:t>
            </w:r>
            <w:r>
              <w:rPr>
                <w:sz w:val="20"/>
                <w:szCs w:val="20"/>
              </w:rPr>
              <w:t>intervention</w:t>
            </w:r>
            <w:r>
              <w:rPr>
                <w:spacing w:val="-10"/>
                <w:sz w:val="20"/>
                <w:szCs w:val="20"/>
              </w:rPr>
              <w:t xml:space="preserve"> </w:t>
            </w:r>
            <w:r>
              <w:rPr>
                <w:sz w:val="20"/>
                <w:szCs w:val="20"/>
              </w:rPr>
              <w:t>to</w:t>
            </w:r>
            <w:r>
              <w:rPr>
                <w:spacing w:val="-10"/>
                <w:sz w:val="20"/>
                <w:szCs w:val="20"/>
              </w:rPr>
              <w:t xml:space="preserve"> </w:t>
            </w:r>
            <w:r>
              <w:rPr>
                <w:sz w:val="20"/>
                <w:szCs w:val="20"/>
              </w:rPr>
              <w:t>prevent individuals</w:t>
            </w:r>
            <w:r>
              <w:rPr>
                <w:spacing w:val="-14"/>
                <w:sz w:val="20"/>
                <w:szCs w:val="20"/>
              </w:rPr>
              <w:t xml:space="preserve"> </w:t>
            </w:r>
            <w:r>
              <w:rPr>
                <w:sz w:val="20"/>
                <w:szCs w:val="20"/>
              </w:rPr>
              <w:t>from</w:t>
            </w:r>
            <w:r>
              <w:rPr>
                <w:spacing w:val="-13"/>
                <w:sz w:val="20"/>
                <w:szCs w:val="20"/>
              </w:rPr>
              <w:t xml:space="preserve"> </w:t>
            </w:r>
            <w:r>
              <w:rPr>
                <w:sz w:val="20"/>
                <w:szCs w:val="20"/>
              </w:rPr>
              <w:t>becoming</w:t>
            </w:r>
            <w:r>
              <w:rPr>
                <w:spacing w:val="-15"/>
                <w:sz w:val="20"/>
                <w:szCs w:val="20"/>
              </w:rPr>
              <w:t xml:space="preserve"> </w:t>
            </w:r>
            <w:r>
              <w:rPr>
                <w:sz w:val="20"/>
                <w:szCs w:val="20"/>
              </w:rPr>
              <w:t>chronic</w:t>
            </w:r>
            <w:r>
              <w:rPr>
                <w:spacing w:val="-11"/>
                <w:sz w:val="20"/>
                <w:szCs w:val="20"/>
              </w:rPr>
              <w:t xml:space="preserve"> </w:t>
            </w:r>
            <w:r>
              <w:rPr>
                <w:sz w:val="20"/>
                <w:szCs w:val="20"/>
              </w:rPr>
              <w:t>substance</w:t>
            </w:r>
            <w:r>
              <w:rPr>
                <w:spacing w:val="-13"/>
                <w:sz w:val="20"/>
                <w:szCs w:val="20"/>
              </w:rPr>
              <w:t xml:space="preserve"> </w:t>
            </w:r>
            <w:r>
              <w:rPr>
                <w:sz w:val="20"/>
                <w:szCs w:val="20"/>
              </w:rPr>
              <w:t>users</w:t>
            </w:r>
          </w:p>
          <w:p w:rsidR="002C5025" w:rsidRDefault="002C5025">
            <w:pPr>
              <w:pStyle w:val="TableParagraph"/>
              <w:numPr>
                <w:ilvl w:val="0"/>
                <w:numId w:val="79"/>
              </w:numPr>
              <w:tabs>
                <w:tab w:val="left" w:pos="444"/>
              </w:tabs>
              <w:kinsoku w:val="0"/>
              <w:overflowPunct w:val="0"/>
              <w:ind w:right="463" w:hanging="359"/>
              <w:rPr>
                <w:sz w:val="20"/>
                <w:szCs w:val="20"/>
              </w:rPr>
            </w:pPr>
            <w:r>
              <w:rPr>
                <w:sz w:val="20"/>
                <w:szCs w:val="20"/>
              </w:rPr>
              <w:t>Emphasizing more connectivity between inpatient levels of care and maintenance</w:t>
            </w:r>
            <w:r>
              <w:rPr>
                <w:spacing w:val="-11"/>
                <w:sz w:val="20"/>
                <w:szCs w:val="20"/>
              </w:rPr>
              <w:t xml:space="preserve"> </w:t>
            </w:r>
            <w:r>
              <w:rPr>
                <w:sz w:val="20"/>
                <w:szCs w:val="20"/>
              </w:rPr>
              <w:t>in</w:t>
            </w:r>
            <w:r>
              <w:rPr>
                <w:spacing w:val="-9"/>
                <w:sz w:val="20"/>
                <w:szCs w:val="20"/>
              </w:rPr>
              <w:t xml:space="preserve"> </w:t>
            </w:r>
            <w:r>
              <w:rPr>
                <w:sz w:val="20"/>
                <w:szCs w:val="20"/>
              </w:rPr>
              <w:t>the</w:t>
            </w:r>
            <w:r>
              <w:rPr>
                <w:spacing w:val="-9"/>
                <w:sz w:val="20"/>
                <w:szCs w:val="20"/>
              </w:rPr>
              <w:t xml:space="preserve"> </w:t>
            </w:r>
            <w:r>
              <w:rPr>
                <w:sz w:val="20"/>
                <w:szCs w:val="20"/>
              </w:rPr>
              <w:t>community,</w:t>
            </w:r>
            <w:r>
              <w:rPr>
                <w:spacing w:val="-9"/>
                <w:sz w:val="20"/>
                <w:szCs w:val="20"/>
              </w:rPr>
              <w:t xml:space="preserve"> </w:t>
            </w:r>
            <w:r>
              <w:rPr>
                <w:sz w:val="20"/>
                <w:szCs w:val="20"/>
              </w:rPr>
              <w:t>including</w:t>
            </w:r>
            <w:r>
              <w:rPr>
                <w:spacing w:val="-9"/>
                <w:sz w:val="20"/>
                <w:szCs w:val="20"/>
              </w:rPr>
              <w:t xml:space="preserve"> </w:t>
            </w:r>
            <w:r>
              <w:rPr>
                <w:sz w:val="20"/>
                <w:szCs w:val="20"/>
              </w:rPr>
              <w:t>strengthening</w:t>
            </w:r>
            <w:r>
              <w:rPr>
                <w:spacing w:val="-9"/>
                <w:sz w:val="20"/>
                <w:szCs w:val="20"/>
              </w:rPr>
              <w:t xml:space="preserve"> </w:t>
            </w:r>
            <w:r>
              <w:rPr>
                <w:sz w:val="20"/>
                <w:szCs w:val="20"/>
              </w:rPr>
              <w:t>direct</w:t>
            </w:r>
            <w:r>
              <w:rPr>
                <w:spacing w:val="-9"/>
                <w:sz w:val="20"/>
                <w:szCs w:val="20"/>
              </w:rPr>
              <w:t xml:space="preserve"> </w:t>
            </w:r>
            <w:r>
              <w:rPr>
                <w:sz w:val="20"/>
                <w:szCs w:val="20"/>
              </w:rPr>
              <w:t>access</w:t>
            </w:r>
            <w:r>
              <w:rPr>
                <w:spacing w:val="-8"/>
                <w:sz w:val="20"/>
                <w:szCs w:val="20"/>
              </w:rPr>
              <w:t xml:space="preserve"> </w:t>
            </w:r>
            <w:r>
              <w:rPr>
                <w:sz w:val="20"/>
                <w:szCs w:val="20"/>
              </w:rPr>
              <w:t>to community-based</w:t>
            </w:r>
            <w:r>
              <w:rPr>
                <w:spacing w:val="-25"/>
                <w:sz w:val="20"/>
                <w:szCs w:val="20"/>
              </w:rPr>
              <w:t xml:space="preserve"> </w:t>
            </w:r>
            <w:r>
              <w:rPr>
                <w:sz w:val="20"/>
                <w:szCs w:val="20"/>
              </w:rPr>
              <w:t>care</w:t>
            </w:r>
          </w:p>
          <w:p w:rsidR="002C5025" w:rsidRDefault="002C5025">
            <w:pPr>
              <w:pStyle w:val="TableParagraph"/>
              <w:numPr>
                <w:ilvl w:val="0"/>
                <w:numId w:val="79"/>
              </w:numPr>
              <w:tabs>
                <w:tab w:val="left" w:pos="444"/>
              </w:tabs>
              <w:kinsoku w:val="0"/>
              <w:overflowPunct w:val="0"/>
              <w:ind w:right="464"/>
              <w:rPr>
                <w:sz w:val="20"/>
                <w:szCs w:val="20"/>
              </w:rPr>
            </w:pPr>
            <w:r>
              <w:rPr>
                <w:sz w:val="20"/>
                <w:szCs w:val="20"/>
              </w:rPr>
              <w:t>Increasing</w:t>
            </w:r>
            <w:r>
              <w:rPr>
                <w:spacing w:val="-7"/>
                <w:sz w:val="20"/>
                <w:szCs w:val="20"/>
              </w:rPr>
              <w:t xml:space="preserve"> </w:t>
            </w:r>
            <w:r>
              <w:rPr>
                <w:sz w:val="20"/>
                <w:szCs w:val="20"/>
              </w:rPr>
              <w:t>access</w:t>
            </w:r>
            <w:r>
              <w:rPr>
                <w:spacing w:val="-6"/>
                <w:sz w:val="20"/>
                <w:szCs w:val="20"/>
              </w:rPr>
              <w:t xml:space="preserve"> </w:t>
            </w:r>
            <w:r>
              <w:rPr>
                <w:sz w:val="20"/>
                <w:szCs w:val="20"/>
              </w:rPr>
              <w:t>to</w:t>
            </w:r>
            <w:r>
              <w:rPr>
                <w:spacing w:val="-7"/>
                <w:sz w:val="20"/>
                <w:szCs w:val="20"/>
              </w:rPr>
              <w:t xml:space="preserve"> </w:t>
            </w:r>
            <w:r>
              <w:rPr>
                <w:sz w:val="20"/>
                <w:szCs w:val="20"/>
              </w:rPr>
              <w:t>MAT,</w:t>
            </w:r>
            <w:r>
              <w:rPr>
                <w:spacing w:val="-12"/>
                <w:sz w:val="20"/>
                <w:szCs w:val="20"/>
              </w:rPr>
              <w:t xml:space="preserve"> </w:t>
            </w:r>
            <w:r>
              <w:rPr>
                <w:sz w:val="20"/>
                <w:szCs w:val="20"/>
              </w:rPr>
              <w:t>which</w:t>
            </w:r>
            <w:r>
              <w:rPr>
                <w:spacing w:val="-7"/>
                <w:sz w:val="20"/>
                <w:szCs w:val="20"/>
              </w:rPr>
              <w:t xml:space="preserve"> </w:t>
            </w:r>
            <w:r>
              <w:rPr>
                <w:sz w:val="20"/>
                <w:szCs w:val="20"/>
              </w:rPr>
              <w:t>is</w:t>
            </w:r>
            <w:r>
              <w:rPr>
                <w:spacing w:val="-6"/>
                <w:sz w:val="20"/>
                <w:szCs w:val="20"/>
              </w:rPr>
              <w:t xml:space="preserve"> </w:t>
            </w:r>
            <w:r>
              <w:rPr>
                <w:sz w:val="20"/>
                <w:szCs w:val="20"/>
              </w:rPr>
              <w:t>the</w:t>
            </w:r>
            <w:r>
              <w:rPr>
                <w:spacing w:val="-7"/>
                <w:sz w:val="20"/>
                <w:szCs w:val="20"/>
              </w:rPr>
              <w:t xml:space="preserve"> </w:t>
            </w:r>
            <w:r>
              <w:rPr>
                <w:sz w:val="20"/>
                <w:szCs w:val="20"/>
              </w:rPr>
              <w:t>only</w:t>
            </w:r>
            <w:r>
              <w:rPr>
                <w:spacing w:val="-10"/>
                <w:sz w:val="20"/>
                <w:szCs w:val="20"/>
              </w:rPr>
              <w:t xml:space="preserve"> </w:t>
            </w:r>
            <w:r>
              <w:rPr>
                <w:sz w:val="20"/>
                <w:szCs w:val="20"/>
              </w:rPr>
              <w:t>evidence-based</w:t>
            </w:r>
            <w:r>
              <w:rPr>
                <w:spacing w:val="-9"/>
                <w:sz w:val="20"/>
                <w:szCs w:val="20"/>
              </w:rPr>
              <w:t xml:space="preserve"> </w:t>
            </w:r>
            <w:r>
              <w:rPr>
                <w:sz w:val="20"/>
                <w:szCs w:val="20"/>
              </w:rPr>
              <w:t>care</w:t>
            </w:r>
            <w:r>
              <w:rPr>
                <w:spacing w:val="-7"/>
                <w:sz w:val="20"/>
                <w:szCs w:val="20"/>
              </w:rPr>
              <w:t xml:space="preserve"> </w:t>
            </w:r>
            <w:r>
              <w:rPr>
                <w:sz w:val="20"/>
                <w:szCs w:val="20"/>
              </w:rPr>
              <w:t>in</w:t>
            </w:r>
            <w:r>
              <w:rPr>
                <w:spacing w:val="-10"/>
                <w:sz w:val="20"/>
                <w:szCs w:val="20"/>
              </w:rPr>
              <w:t xml:space="preserve"> </w:t>
            </w:r>
            <w:r>
              <w:rPr>
                <w:sz w:val="20"/>
                <w:szCs w:val="20"/>
              </w:rPr>
              <w:t>the whole</w:t>
            </w:r>
            <w:r>
              <w:rPr>
                <w:spacing w:val="-12"/>
                <w:sz w:val="20"/>
                <w:szCs w:val="20"/>
              </w:rPr>
              <w:t xml:space="preserve"> </w:t>
            </w:r>
            <w:r>
              <w:rPr>
                <w:sz w:val="20"/>
                <w:szCs w:val="20"/>
              </w:rPr>
              <w:t>SUD</w:t>
            </w:r>
            <w:r>
              <w:rPr>
                <w:spacing w:val="-13"/>
                <w:sz w:val="20"/>
                <w:szCs w:val="20"/>
              </w:rPr>
              <w:t xml:space="preserve"> </w:t>
            </w:r>
            <w:r>
              <w:rPr>
                <w:sz w:val="20"/>
                <w:szCs w:val="20"/>
              </w:rPr>
              <w:t>continuum</w:t>
            </w:r>
            <w:r>
              <w:rPr>
                <w:spacing w:val="-10"/>
                <w:sz w:val="20"/>
                <w:szCs w:val="20"/>
              </w:rPr>
              <w:t xml:space="preserve"> </w:t>
            </w:r>
            <w:r>
              <w:rPr>
                <w:sz w:val="20"/>
                <w:szCs w:val="20"/>
              </w:rPr>
              <w:t>for</w:t>
            </w:r>
            <w:r>
              <w:rPr>
                <w:spacing w:val="-11"/>
                <w:sz w:val="20"/>
                <w:szCs w:val="20"/>
              </w:rPr>
              <w:t xml:space="preserve"> </w:t>
            </w:r>
            <w:r>
              <w:rPr>
                <w:sz w:val="20"/>
                <w:szCs w:val="20"/>
              </w:rPr>
              <w:t>long-term</w:t>
            </w:r>
            <w:r>
              <w:rPr>
                <w:spacing w:val="-10"/>
                <w:sz w:val="20"/>
                <w:szCs w:val="20"/>
              </w:rPr>
              <w:t xml:space="preserve"> </w:t>
            </w:r>
            <w:r>
              <w:rPr>
                <w:sz w:val="20"/>
                <w:szCs w:val="20"/>
              </w:rPr>
              <w:t>treatment</w:t>
            </w:r>
          </w:p>
          <w:p w:rsidR="002C5025" w:rsidRDefault="002C5025">
            <w:pPr>
              <w:pStyle w:val="TableParagraph"/>
              <w:numPr>
                <w:ilvl w:val="0"/>
                <w:numId w:val="79"/>
              </w:numPr>
              <w:tabs>
                <w:tab w:val="left" w:pos="444"/>
              </w:tabs>
              <w:kinsoku w:val="0"/>
              <w:overflowPunct w:val="0"/>
              <w:spacing w:before="3" w:line="237" w:lineRule="auto"/>
              <w:ind w:right="944"/>
              <w:rPr>
                <w:sz w:val="20"/>
                <w:szCs w:val="20"/>
              </w:rPr>
            </w:pPr>
            <w:r>
              <w:rPr>
                <w:sz w:val="20"/>
                <w:szCs w:val="20"/>
              </w:rPr>
              <w:t>Allocating</w:t>
            </w:r>
            <w:r>
              <w:rPr>
                <w:spacing w:val="-12"/>
                <w:sz w:val="20"/>
                <w:szCs w:val="20"/>
              </w:rPr>
              <w:t xml:space="preserve"> </w:t>
            </w:r>
            <w:r>
              <w:rPr>
                <w:sz w:val="20"/>
                <w:szCs w:val="20"/>
              </w:rPr>
              <w:t>DSRIP</w:t>
            </w:r>
            <w:r>
              <w:rPr>
                <w:spacing w:val="-12"/>
                <w:sz w:val="20"/>
                <w:szCs w:val="20"/>
              </w:rPr>
              <w:t xml:space="preserve"> </w:t>
            </w:r>
            <w:r>
              <w:rPr>
                <w:sz w:val="20"/>
                <w:szCs w:val="20"/>
              </w:rPr>
              <w:t>funds</w:t>
            </w:r>
            <w:r>
              <w:rPr>
                <w:spacing w:val="-8"/>
                <w:sz w:val="20"/>
                <w:szCs w:val="20"/>
              </w:rPr>
              <w:t xml:space="preserve"> </w:t>
            </w:r>
            <w:r>
              <w:rPr>
                <w:sz w:val="20"/>
                <w:szCs w:val="20"/>
              </w:rPr>
              <w:t>for</w:t>
            </w:r>
            <w:r>
              <w:rPr>
                <w:spacing w:val="-12"/>
                <w:sz w:val="20"/>
                <w:szCs w:val="20"/>
              </w:rPr>
              <w:t xml:space="preserve"> </w:t>
            </w:r>
            <w:r>
              <w:rPr>
                <w:sz w:val="20"/>
                <w:szCs w:val="20"/>
              </w:rPr>
              <w:t>expanding</w:t>
            </w:r>
            <w:r>
              <w:rPr>
                <w:spacing w:val="-9"/>
                <w:sz w:val="20"/>
                <w:szCs w:val="20"/>
              </w:rPr>
              <w:t xml:space="preserve"> </w:t>
            </w:r>
            <w:r>
              <w:rPr>
                <w:sz w:val="20"/>
                <w:szCs w:val="20"/>
              </w:rPr>
              <w:t>SUD</w:t>
            </w:r>
            <w:r>
              <w:rPr>
                <w:spacing w:val="-11"/>
                <w:sz w:val="20"/>
                <w:szCs w:val="20"/>
              </w:rPr>
              <w:t xml:space="preserve"> </w:t>
            </w:r>
            <w:r>
              <w:rPr>
                <w:sz w:val="20"/>
                <w:szCs w:val="20"/>
              </w:rPr>
              <w:t>community-based</w:t>
            </w:r>
            <w:r>
              <w:rPr>
                <w:spacing w:val="-9"/>
                <w:sz w:val="20"/>
                <w:szCs w:val="20"/>
              </w:rPr>
              <w:t xml:space="preserve"> </w:t>
            </w:r>
            <w:r>
              <w:rPr>
                <w:sz w:val="20"/>
                <w:szCs w:val="20"/>
              </w:rPr>
              <w:t>and diversionary services, including ambulatory levels of care and infrastructure</w:t>
            </w:r>
            <w:r>
              <w:rPr>
                <w:spacing w:val="-16"/>
                <w:sz w:val="20"/>
                <w:szCs w:val="20"/>
              </w:rPr>
              <w:t xml:space="preserve"> </w:t>
            </w:r>
            <w:r>
              <w:rPr>
                <w:sz w:val="20"/>
                <w:szCs w:val="20"/>
              </w:rPr>
              <w:t>building</w:t>
            </w:r>
            <w:r>
              <w:rPr>
                <w:spacing w:val="-12"/>
                <w:sz w:val="20"/>
                <w:szCs w:val="20"/>
              </w:rPr>
              <w:t xml:space="preserve"> </w:t>
            </w:r>
            <w:r>
              <w:rPr>
                <w:sz w:val="20"/>
                <w:szCs w:val="20"/>
              </w:rPr>
              <w:t>in</w:t>
            </w:r>
            <w:r>
              <w:rPr>
                <w:spacing w:val="-15"/>
                <w:sz w:val="20"/>
                <w:szCs w:val="20"/>
              </w:rPr>
              <w:t xml:space="preserve"> </w:t>
            </w:r>
            <w:r>
              <w:rPr>
                <w:sz w:val="20"/>
                <w:szCs w:val="20"/>
              </w:rPr>
              <w:t>community-based</w:t>
            </w:r>
            <w:r>
              <w:rPr>
                <w:spacing w:val="-14"/>
                <w:sz w:val="20"/>
                <w:szCs w:val="20"/>
              </w:rPr>
              <w:t xml:space="preserve"> </w:t>
            </w:r>
            <w:r>
              <w:rPr>
                <w:sz w:val="20"/>
                <w:szCs w:val="20"/>
              </w:rPr>
              <w:t>detox</w:t>
            </w:r>
            <w:r>
              <w:rPr>
                <w:spacing w:val="-12"/>
                <w:sz w:val="20"/>
                <w:szCs w:val="20"/>
              </w:rPr>
              <w:t xml:space="preserve"> </w:t>
            </w:r>
            <w:r>
              <w:rPr>
                <w:sz w:val="20"/>
                <w:szCs w:val="20"/>
              </w:rPr>
              <w:t>locations</w:t>
            </w:r>
          </w:p>
          <w:p w:rsidR="002C5025" w:rsidRDefault="002C5025">
            <w:pPr>
              <w:pStyle w:val="TableParagraph"/>
              <w:numPr>
                <w:ilvl w:val="0"/>
                <w:numId w:val="79"/>
              </w:numPr>
              <w:tabs>
                <w:tab w:val="left" w:pos="444"/>
              </w:tabs>
              <w:kinsoku w:val="0"/>
              <w:overflowPunct w:val="0"/>
              <w:spacing w:before="20" w:line="228" w:lineRule="exact"/>
              <w:ind w:right="706"/>
              <w:rPr>
                <w:sz w:val="20"/>
                <w:szCs w:val="20"/>
              </w:rPr>
            </w:pPr>
            <w:r>
              <w:rPr>
                <w:sz w:val="20"/>
                <w:szCs w:val="20"/>
              </w:rPr>
              <w:t>Proposing</w:t>
            </w:r>
            <w:r>
              <w:rPr>
                <w:spacing w:val="-12"/>
                <w:sz w:val="20"/>
                <w:szCs w:val="20"/>
              </w:rPr>
              <w:t xml:space="preserve"> </w:t>
            </w:r>
            <w:r>
              <w:rPr>
                <w:sz w:val="20"/>
                <w:szCs w:val="20"/>
              </w:rPr>
              <w:t>incentives</w:t>
            </w:r>
            <w:r>
              <w:rPr>
                <w:spacing w:val="-8"/>
                <w:sz w:val="20"/>
                <w:szCs w:val="20"/>
              </w:rPr>
              <w:t xml:space="preserve"> </w:t>
            </w:r>
            <w:r>
              <w:rPr>
                <w:sz w:val="20"/>
                <w:szCs w:val="20"/>
              </w:rPr>
              <w:t>to</w:t>
            </w:r>
            <w:r>
              <w:rPr>
                <w:spacing w:val="-12"/>
                <w:sz w:val="20"/>
                <w:szCs w:val="20"/>
              </w:rPr>
              <w:t xml:space="preserve"> </w:t>
            </w:r>
            <w:r>
              <w:rPr>
                <w:sz w:val="20"/>
                <w:szCs w:val="20"/>
              </w:rPr>
              <w:t>transition</w:t>
            </w:r>
            <w:r>
              <w:rPr>
                <w:spacing w:val="-9"/>
                <w:sz w:val="20"/>
                <w:szCs w:val="20"/>
              </w:rPr>
              <w:t xml:space="preserve"> </w:t>
            </w:r>
            <w:r>
              <w:rPr>
                <w:sz w:val="20"/>
                <w:szCs w:val="20"/>
              </w:rPr>
              <w:t>acute</w:t>
            </w:r>
            <w:r>
              <w:rPr>
                <w:spacing w:val="-14"/>
                <w:sz w:val="20"/>
                <w:szCs w:val="20"/>
              </w:rPr>
              <w:t xml:space="preserve"> </w:t>
            </w:r>
            <w:r>
              <w:rPr>
                <w:sz w:val="20"/>
                <w:szCs w:val="20"/>
              </w:rPr>
              <w:t>care</w:t>
            </w:r>
            <w:r>
              <w:rPr>
                <w:spacing w:val="-9"/>
                <w:sz w:val="20"/>
                <w:szCs w:val="20"/>
              </w:rPr>
              <w:t xml:space="preserve"> </w:t>
            </w:r>
            <w:r>
              <w:rPr>
                <w:sz w:val="20"/>
                <w:szCs w:val="20"/>
              </w:rPr>
              <w:t>dollars</w:t>
            </w:r>
            <w:r>
              <w:rPr>
                <w:spacing w:val="-8"/>
                <w:sz w:val="20"/>
                <w:szCs w:val="20"/>
              </w:rPr>
              <w:t xml:space="preserve"> </w:t>
            </w:r>
            <w:r>
              <w:rPr>
                <w:sz w:val="20"/>
                <w:szCs w:val="20"/>
              </w:rPr>
              <w:t>into</w:t>
            </w:r>
            <w:r>
              <w:rPr>
                <w:spacing w:val="-8"/>
                <w:sz w:val="20"/>
                <w:szCs w:val="20"/>
              </w:rPr>
              <w:t xml:space="preserve"> </w:t>
            </w:r>
            <w:r>
              <w:rPr>
                <w:sz w:val="20"/>
                <w:szCs w:val="20"/>
              </w:rPr>
              <w:t>chronic</w:t>
            </w:r>
            <w:r>
              <w:rPr>
                <w:spacing w:val="-8"/>
                <w:sz w:val="20"/>
                <w:szCs w:val="20"/>
              </w:rPr>
              <w:t xml:space="preserve"> </w:t>
            </w:r>
            <w:r>
              <w:rPr>
                <w:sz w:val="20"/>
                <w:szCs w:val="20"/>
              </w:rPr>
              <w:t>care dollars and change the</w:t>
            </w:r>
            <w:r>
              <w:rPr>
                <w:spacing w:val="-28"/>
                <w:sz w:val="20"/>
                <w:szCs w:val="20"/>
              </w:rPr>
              <w:t xml:space="preserve"> </w:t>
            </w:r>
            <w:r>
              <w:rPr>
                <w:sz w:val="20"/>
                <w:szCs w:val="20"/>
              </w:rPr>
              <w:t>ratio</w:t>
            </w:r>
          </w:p>
          <w:p w:rsidR="002C5025" w:rsidRDefault="002C5025">
            <w:pPr>
              <w:pStyle w:val="TableParagraph"/>
              <w:numPr>
                <w:ilvl w:val="0"/>
                <w:numId w:val="79"/>
              </w:numPr>
              <w:tabs>
                <w:tab w:val="left" w:pos="444"/>
              </w:tabs>
              <w:kinsoku w:val="0"/>
              <w:overflowPunct w:val="0"/>
              <w:spacing w:before="17" w:line="228" w:lineRule="exact"/>
              <w:ind w:right="646"/>
              <w:rPr>
                <w:sz w:val="20"/>
                <w:szCs w:val="20"/>
              </w:rPr>
            </w:pPr>
            <w:r>
              <w:rPr>
                <w:sz w:val="20"/>
                <w:szCs w:val="20"/>
              </w:rPr>
              <w:t>Developing</w:t>
            </w:r>
            <w:r>
              <w:rPr>
                <w:spacing w:val="-10"/>
                <w:sz w:val="20"/>
                <w:szCs w:val="20"/>
              </w:rPr>
              <w:t xml:space="preserve"> </w:t>
            </w:r>
            <w:r>
              <w:rPr>
                <w:sz w:val="20"/>
                <w:szCs w:val="20"/>
              </w:rPr>
              <w:t>alternative</w:t>
            </w:r>
            <w:r>
              <w:rPr>
                <w:spacing w:val="-10"/>
                <w:sz w:val="20"/>
                <w:szCs w:val="20"/>
              </w:rPr>
              <w:t xml:space="preserve"> </w:t>
            </w:r>
            <w:r>
              <w:rPr>
                <w:sz w:val="20"/>
                <w:szCs w:val="20"/>
              </w:rPr>
              <w:t>or</w:t>
            </w:r>
            <w:r>
              <w:rPr>
                <w:spacing w:val="-9"/>
                <w:sz w:val="20"/>
                <w:szCs w:val="20"/>
              </w:rPr>
              <w:t xml:space="preserve"> </w:t>
            </w:r>
            <w:r>
              <w:rPr>
                <w:sz w:val="20"/>
                <w:szCs w:val="20"/>
              </w:rPr>
              <w:t>value-based</w:t>
            </w:r>
            <w:r>
              <w:rPr>
                <w:spacing w:val="-10"/>
                <w:sz w:val="20"/>
                <w:szCs w:val="20"/>
              </w:rPr>
              <w:t xml:space="preserve"> </w:t>
            </w:r>
            <w:r>
              <w:rPr>
                <w:sz w:val="20"/>
                <w:szCs w:val="20"/>
              </w:rPr>
              <w:t>payments</w:t>
            </w:r>
            <w:r>
              <w:rPr>
                <w:spacing w:val="-9"/>
                <w:sz w:val="20"/>
                <w:szCs w:val="20"/>
              </w:rPr>
              <w:t xml:space="preserve"> </w:t>
            </w:r>
            <w:r>
              <w:rPr>
                <w:sz w:val="20"/>
                <w:szCs w:val="20"/>
              </w:rPr>
              <w:t>for</w:t>
            </w:r>
            <w:r>
              <w:rPr>
                <w:spacing w:val="-11"/>
                <w:sz w:val="20"/>
                <w:szCs w:val="20"/>
              </w:rPr>
              <w:t xml:space="preserve"> </w:t>
            </w:r>
            <w:r>
              <w:rPr>
                <w:sz w:val="20"/>
                <w:szCs w:val="20"/>
              </w:rPr>
              <w:t>SUD</w:t>
            </w:r>
            <w:r>
              <w:rPr>
                <w:spacing w:val="-10"/>
                <w:sz w:val="20"/>
                <w:szCs w:val="20"/>
              </w:rPr>
              <w:t xml:space="preserve"> </w:t>
            </w:r>
            <w:r>
              <w:rPr>
                <w:sz w:val="20"/>
                <w:szCs w:val="20"/>
              </w:rPr>
              <w:t>providers</w:t>
            </w:r>
            <w:r>
              <w:rPr>
                <w:spacing w:val="-9"/>
                <w:sz w:val="20"/>
                <w:szCs w:val="20"/>
              </w:rPr>
              <w:t xml:space="preserve"> </w:t>
            </w:r>
            <w:r>
              <w:rPr>
                <w:sz w:val="20"/>
                <w:szCs w:val="20"/>
              </w:rPr>
              <w:t>to support</w:t>
            </w:r>
            <w:r>
              <w:rPr>
                <w:spacing w:val="-7"/>
                <w:sz w:val="20"/>
                <w:szCs w:val="20"/>
              </w:rPr>
              <w:t xml:space="preserve"> </w:t>
            </w:r>
            <w:r>
              <w:rPr>
                <w:sz w:val="20"/>
                <w:szCs w:val="20"/>
              </w:rPr>
              <w:t>total</w:t>
            </w:r>
            <w:r>
              <w:rPr>
                <w:spacing w:val="-8"/>
                <w:sz w:val="20"/>
                <w:szCs w:val="20"/>
              </w:rPr>
              <w:t xml:space="preserve"> </w:t>
            </w:r>
            <w:r>
              <w:rPr>
                <w:sz w:val="20"/>
                <w:szCs w:val="20"/>
              </w:rPr>
              <w:t>cost</w:t>
            </w:r>
            <w:r>
              <w:rPr>
                <w:spacing w:val="-7"/>
                <w:sz w:val="20"/>
                <w:szCs w:val="20"/>
              </w:rPr>
              <w:t xml:space="preserve"> </w:t>
            </w:r>
            <w:r>
              <w:rPr>
                <w:sz w:val="20"/>
                <w:szCs w:val="20"/>
              </w:rPr>
              <w:t>of</w:t>
            </w:r>
            <w:r>
              <w:rPr>
                <w:spacing w:val="-6"/>
                <w:sz w:val="20"/>
                <w:szCs w:val="20"/>
              </w:rPr>
              <w:t xml:space="preserve"> </w:t>
            </w:r>
            <w:r>
              <w:rPr>
                <w:sz w:val="20"/>
                <w:szCs w:val="20"/>
              </w:rPr>
              <w:t>care</w:t>
            </w:r>
            <w:r>
              <w:rPr>
                <w:spacing w:val="-10"/>
                <w:sz w:val="20"/>
                <w:szCs w:val="20"/>
              </w:rPr>
              <w:t xml:space="preserve"> </w:t>
            </w:r>
            <w:r>
              <w:rPr>
                <w:sz w:val="20"/>
                <w:szCs w:val="20"/>
              </w:rPr>
              <w:t>for</w:t>
            </w:r>
            <w:r>
              <w:rPr>
                <w:spacing w:val="-6"/>
                <w:sz w:val="20"/>
                <w:szCs w:val="20"/>
              </w:rPr>
              <w:t xml:space="preserve"> </w:t>
            </w:r>
            <w:r>
              <w:rPr>
                <w:sz w:val="20"/>
                <w:szCs w:val="20"/>
              </w:rPr>
              <w:t>individuals</w:t>
            </w:r>
            <w:r>
              <w:rPr>
                <w:spacing w:val="-8"/>
                <w:sz w:val="20"/>
                <w:szCs w:val="20"/>
              </w:rPr>
              <w:t xml:space="preserve"> </w:t>
            </w:r>
            <w:r>
              <w:rPr>
                <w:sz w:val="20"/>
                <w:szCs w:val="20"/>
              </w:rPr>
              <w:t>with</w:t>
            </w:r>
            <w:r>
              <w:rPr>
                <w:spacing w:val="-7"/>
                <w:sz w:val="20"/>
                <w:szCs w:val="20"/>
              </w:rPr>
              <w:t xml:space="preserve"> </w:t>
            </w:r>
            <w:r>
              <w:rPr>
                <w:sz w:val="20"/>
                <w:szCs w:val="20"/>
              </w:rPr>
              <w:t>chronic</w:t>
            </w:r>
            <w:r>
              <w:rPr>
                <w:spacing w:val="-8"/>
                <w:sz w:val="20"/>
                <w:szCs w:val="20"/>
              </w:rPr>
              <w:t xml:space="preserve"> </w:t>
            </w:r>
            <w:r>
              <w:rPr>
                <w:sz w:val="20"/>
                <w:szCs w:val="20"/>
              </w:rPr>
              <w:t>SUD</w:t>
            </w:r>
          </w:p>
          <w:p w:rsidR="002C5025" w:rsidRDefault="002C5025">
            <w:pPr>
              <w:pStyle w:val="TableParagraph"/>
              <w:kinsoku w:val="0"/>
              <w:overflowPunct w:val="0"/>
              <w:spacing w:before="8"/>
              <w:ind w:left="0"/>
              <w:rPr>
                <w:sz w:val="19"/>
                <w:szCs w:val="19"/>
              </w:rPr>
            </w:pPr>
          </w:p>
          <w:p w:rsidR="002C5025" w:rsidRDefault="002C5025">
            <w:pPr>
              <w:pStyle w:val="TableParagraph"/>
              <w:kinsoku w:val="0"/>
              <w:overflowPunct w:val="0"/>
              <w:ind w:left="102" w:right="152"/>
              <w:rPr>
                <w:rFonts w:ascii="Times New Roman" w:hAnsi="Times New Roman" w:cs="Times New Roman"/>
              </w:rPr>
            </w:pPr>
            <w:r>
              <w:rPr>
                <w:sz w:val="20"/>
                <w:szCs w:val="20"/>
              </w:rPr>
              <w:t>While Beacon strongly advocates for expanding SUD services, primarily in the community, it will not be effective unless services are provided at the right time, by the right team, in the least restrictive setting. As such, we recommend EOHSS mandate the use of American Society of Addiction Medicine (ASAM) criteria</w:t>
            </w:r>
            <w:r>
              <w:rPr>
                <w:position w:val="7"/>
                <w:sz w:val="13"/>
                <w:szCs w:val="13"/>
              </w:rPr>
              <w:t xml:space="preserve">4 </w:t>
            </w:r>
            <w:r>
              <w:rPr>
                <w:sz w:val="20"/>
                <w:szCs w:val="20"/>
              </w:rPr>
              <w:t>to determine treatment and appropriate lengths of stay and monitoring to it to ensure there is recovery orientation and progress is being made. More than 30 states require the use of ASAM criteria to validate evidence-based best practices, including the use of medication-assisted treatment for individuals with an opiate addiction.</w:t>
            </w:r>
          </w:p>
        </w:tc>
      </w:tr>
      <w:tr w:rsidR="002C5025">
        <w:trPr>
          <w:trHeight w:hRule="exact" w:val="2770"/>
        </w:trPr>
        <w:tc>
          <w:tcPr>
            <w:tcW w:w="2335" w:type="dxa"/>
            <w:tcBorders>
              <w:top w:val="single" w:sz="4" w:space="0" w:color="7F7F7F"/>
              <w:left w:val="single" w:sz="4" w:space="0" w:color="7F7F7F"/>
              <w:bottom w:val="single" w:sz="4" w:space="0" w:color="7F7F7F"/>
              <w:right w:val="single" w:sz="4" w:space="0" w:color="7F7F7F"/>
            </w:tcBorders>
          </w:tcPr>
          <w:p w:rsidR="002C5025" w:rsidRDefault="002C5025">
            <w:pPr>
              <w:pStyle w:val="TableParagraph"/>
              <w:kinsoku w:val="0"/>
              <w:overflowPunct w:val="0"/>
              <w:spacing w:line="222" w:lineRule="exact"/>
              <w:ind w:right="128"/>
              <w:rPr>
                <w:sz w:val="20"/>
                <w:szCs w:val="20"/>
              </w:rPr>
            </w:pPr>
            <w:r>
              <w:rPr>
                <w:sz w:val="20"/>
                <w:szCs w:val="20"/>
              </w:rPr>
              <w:t>7.2.4. Levels 3.1 and</w:t>
            </w:r>
          </w:p>
          <w:p w:rsidR="002C5025" w:rsidRDefault="002C5025">
            <w:pPr>
              <w:pStyle w:val="TableParagraph"/>
              <w:kinsoku w:val="0"/>
              <w:overflowPunct w:val="0"/>
              <w:rPr>
                <w:rFonts w:ascii="Times New Roman" w:hAnsi="Times New Roman" w:cs="Times New Roman"/>
              </w:rPr>
            </w:pPr>
            <w:r>
              <w:rPr>
                <w:sz w:val="20"/>
                <w:szCs w:val="20"/>
              </w:rPr>
              <w:t>3.3 Treatment Services</w:t>
            </w:r>
          </w:p>
        </w:tc>
        <w:tc>
          <w:tcPr>
            <w:tcW w:w="7200" w:type="dxa"/>
            <w:tcBorders>
              <w:top w:val="single" w:sz="4" w:space="0" w:color="7F7F7F"/>
              <w:left w:val="single" w:sz="4" w:space="0" w:color="7F7F7F"/>
              <w:bottom w:val="single" w:sz="4" w:space="0" w:color="7F7F7F"/>
              <w:right w:val="single" w:sz="4" w:space="0" w:color="7F7F7F"/>
            </w:tcBorders>
          </w:tcPr>
          <w:p w:rsidR="002C5025" w:rsidRDefault="002C5025">
            <w:pPr>
              <w:pStyle w:val="TableParagraph"/>
              <w:kinsoku w:val="0"/>
              <w:overflowPunct w:val="0"/>
              <w:ind w:left="102" w:right="107"/>
              <w:rPr>
                <w:sz w:val="20"/>
                <w:szCs w:val="20"/>
              </w:rPr>
            </w:pPr>
            <w:r>
              <w:rPr>
                <w:sz w:val="20"/>
                <w:szCs w:val="20"/>
              </w:rPr>
              <w:t>The Waiver document proposes a continuation of CBHI services and views the role of Behavioral Health Community Partners as essential in delivering these services to children and adolescents. However, with a recognition that special considerations will be made for individuals with complex needs, there is no clear connection between community-based flexible supports for individuals with SMI and the Community Partners who will deliver those services. Today, the community-based flexible supports remain carved-out of managed care.</w:t>
            </w:r>
          </w:p>
          <w:p w:rsidR="002C5025" w:rsidRDefault="002C5025">
            <w:pPr>
              <w:pStyle w:val="TableParagraph"/>
              <w:kinsoku w:val="0"/>
              <w:overflowPunct w:val="0"/>
              <w:ind w:left="102" w:right="329"/>
              <w:rPr>
                <w:rFonts w:ascii="Times New Roman" w:hAnsi="Times New Roman" w:cs="Times New Roman"/>
              </w:rPr>
            </w:pPr>
            <w:r>
              <w:rPr>
                <w:sz w:val="20"/>
                <w:szCs w:val="20"/>
              </w:rPr>
              <w:t>Earlier in our comments, we advocated for a stronger, more prescriptive definition of Community Partners, which would offer a way to properly define who a Community Partner in the ACO model can and should be (e.g., tying DPH and DMH services together), and ask that formal communication protocols be established by EOHHS.</w:t>
            </w:r>
          </w:p>
        </w:tc>
      </w:tr>
      <w:tr w:rsidR="002C5025">
        <w:trPr>
          <w:trHeight w:hRule="exact" w:val="1622"/>
        </w:trPr>
        <w:tc>
          <w:tcPr>
            <w:tcW w:w="2335" w:type="dxa"/>
            <w:tcBorders>
              <w:top w:val="single" w:sz="4" w:space="0" w:color="7F7F7F"/>
              <w:left w:val="single" w:sz="4" w:space="0" w:color="7F7F7F"/>
              <w:bottom w:val="single" w:sz="4" w:space="0" w:color="7F7F7F"/>
              <w:right w:val="single" w:sz="4" w:space="0" w:color="7F7F7F"/>
            </w:tcBorders>
          </w:tcPr>
          <w:p w:rsidR="002C5025" w:rsidRDefault="002C5025">
            <w:pPr>
              <w:pStyle w:val="TableParagraph"/>
              <w:kinsoku w:val="0"/>
              <w:overflowPunct w:val="0"/>
              <w:ind w:right="128"/>
              <w:rPr>
                <w:rFonts w:ascii="Times New Roman" w:hAnsi="Times New Roman" w:cs="Times New Roman"/>
              </w:rPr>
            </w:pPr>
            <w:r>
              <w:rPr>
                <w:sz w:val="20"/>
                <w:szCs w:val="20"/>
              </w:rPr>
              <w:t>7.6. Quality Measurement and Evaluation Design</w:t>
            </w:r>
          </w:p>
        </w:tc>
        <w:tc>
          <w:tcPr>
            <w:tcW w:w="7200" w:type="dxa"/>
            <w:tcBorders>
              <w:top w:val="single" w:sz="4" w:space="0" w:color="7F7F7F"/>
              <w:left w:val="single" w:sz="4" w:space="0" w:color="7F7F7F"/>
              <w:bottom w:val="single" w:sz="4" w:space="0" w:color="7F7F7F"/>
              <w:right w:val="single" w:sz="4" w:space="0" w:color="7F7F7F"/>
            </w:tcBorders>
          </w:tcPr>
          <w:p w:rsidR="002C5025" w:rsidRDefault="002C5025">
            <w:pPr>
              <w:pStyle w:val="TableParagraph"/>
              <w:kinsoku w:val="0"/>
              <w:overflowPunct w:val="0"/>
              <w:ind w:left="102" w:right="192"/>
              <w:rPr>
                <w:rFonts w:ascii="Times New Roman" w:hAnsi="Times New Roman" w:cs="Times New Roman"/>
              </w:rPr>
            </w:pPr>
            <w:r>
              <w:rPr>
                <w:sz w:val="20"/>
                <w:szCs w:val="20"/>
              </w:rPr>
              <w:t>As stated above, we strongly advocate for a shift in the focus of treatment for individuals with chronic SUD from 24-hour levels of care to more of a community-based, diversionary, prevention strategy. As such, we recommend including alternative metrics and prioritizing the metrics based on level of importance. Based on our expertise, the three most important measures should be focused on:</w:t>
            </w:r>
          </w:p>
        </w:tc>
      </w:tr>
    </w:tbl>
    <w:p w:rsidR="002C5025" w:rsidRDefault="00FB027C">
      <w:pPr>
        <w:pStyle w:val="BodyText"/>
        <w:kinsoku w:val="0"/>
        <w:overflowPunct w:val="0"/>
        <w:spacing w:before="9"/>
        <w:rPr>
          <w:rFonts w:ascii="Arial" w:hAnsi="Arial" w:cs="Arial"/>
          <w:sz w:val="15"/>
          <w:szCs w:val="15"/>
        </w:rPr>
      </w:pPr>
      <w:r>
        <w:rPr>
          <w:noProof/>
        </w:rPr>
        <mc:AlternateContent>
          <mc:Choice Requires="wps">
            <w:drawing>
              <wp:anchor distT="0" distB="0" distL="0" distR="0" simplePos="0" relativeHeight="251525632" behindDoc="0" locked="0" layoutInCell="0" allowOverlap="1">
                <wp:simplePos x="0" y="0"/>
                <wp:positionH relativeFrom="page">
                  <wp:posOffset>904875</wp:posOffset>
                </wp:positionH>
                <wp:positionV relativeFrom="paragraph">
                  <wp:posOffset>144145</wp:posOffset>
                </wp:positionV>
                <wp:extent cx="1492250" cy="12700"/>
                <wp:effectExtent l="0" t="0" r="0" b="0"/>
                <wp:wrapTopAndBottom/>
                <wp:docPr id="824" name="Freeform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92250" cy="12700"/>
                        </a:xfrm>
                        <a:custGeom>
                          <a:avLst/>
                          <a:gdLst>
                            <a:gd name="T0" fmla="*/ 0 w 2350"/>
                            <a:gd name="T1" fmla="*/ 0 h 20"/>
                            <a:gd name="T2" fmla="*/ 2349 w 2350"/>
                            <a:gd name="T3" fmla="*/ 0 h 20"/>
                          </a:gdLst>
                          <a:ahLst/>
                          <a:cxnLst>
                            <a:cxn ang="0">
                              <a:pos x="T0" y="T1"/>
                            </a:cxn>
                            <a:cxn ang="0">
                              <a:pos x="T2" y="T3"/>
                            </a:cxn>
                          </a:cxnLst>
                          <a:rect l="0" t="0" r="r" b="b"/>
                          <a:pathLst>
                            <a:path w="2350" h="20">
                              <a:moveTo>
                                <a:pt x="0" y="0"/>
                              </a:moveTo>
                              <a:lnTo>
                                <a:pt x="2349"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01" o:spid="_x0000_s1026" style="position:absolute;z-index:251525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1.25pt,11.35pt,188.7pt,11.35pt" coordsize="23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" o:allowincell="f" filled="f" strokeweight=".25397mm">
                <v:path arrowok="t" o:connecttype="custom" o:connectlocs="0,0;1491615,0" o:connectangles="0,0"/>
                <w10:wrap type="topAndBottom" anchorx="page"/>
              </v:polyline>
            </w:pict>
          </mc:Fallback>
        </mc:AlternateContent>
      </w:r>
    </w:p>
    <w:p w:rsidR="002C5025" w:rsidRDefault="002C5025">
      <w:pPr>
        <w:pStyle w:val="BodyText"/>
        <w:tabs>
          <w:tab w:val="left" w:pos="507"/>
        </w:tabs>
        <w:kinsoku w:val="0"/>
        <w:overflowPunct w:val="0"/>
        <w:spacing w:before="66"/>
        <w:ind w:left="140" w:right="442"/>
        <w:rPr>
          <w:rFonts w:ascii="Arial" w:hAnsi="Arial" w:cs="Arial"/>
          <w:color w:val="000000"/>
          <w:sz w:val="16"/>
          <w:szCs w:val="16"/>
        </w:rPr>
      </w:pPr>
      <w:r>
        <w:rPr>
          <w:rFonts w:ascii="Arial" w:hAnsi="Arial" w:cs="Arial"/>
          <w:position w:val="6"/>
          <w:sz w:val="10"/>
          <w:szCs w:val="10"/>
        </w:rPr>
        <w:t>4</w:t>
      </w:r>
      <w:r>
        <w:rPr>
          <w:rFonts w:ascii="Arial" w:hAnsi="Arial" w:cs="Arial"/>
          <w:position w:val="6"/>
          <w:sz w:val="10"/>
          <w:szCs w:val="10"/>
        </w:rPr>
        <w:tab/>
      </w:r>
      <w:hyperlink r:id="rId130" w:history="1">
        <w:r>
          <w:rPr>
            <w:rFonts w:ascii="Arial" w:hAnsi="Arial" w:cs="Arial"/>
            <w:color w:val="0000FF"/>
            <w:sz w:val="16"/>
            <w:szCs w:val="16"/>
            <w:u w:val="single"/>
          </w:rPr>
          <w:t>http://www.asam.org/quality-practice/guidelines-and-consensus-documents/the-asam-criteria</w:t>
        </w:r>
        <w:r>
          <w:rPr>
            <w:rFonts w:ascii="Arial" w:hAnsi="Arial" w:cs="Arial"/>
            <w:color w:val="000000"/>
            <w:sz w:val="16"/>
            <w:szCs w:val="16"/>
          </w:rPr>
          <w:t>.</w:t>
        </w:r>
      </w:hyperlink>
    </w:p>
    <w:p w:rsidR="002C5025" w:rsidRDefault="002C5025">
      <w:pPr>
        <w:pStyle w:val="BodyText"/>
        <w:kinsoku w:val="0"/>
        <w:overflowPunct w:val="0"/>
        <w:rPr>
          <w:rFonts w:ascii="Arial" w:hAnsi="Arial" w:cs="Arial"/>
          <w:sz w:val="20"/>
          <w:szCs w:val="20"/>
        </w:rPr>
      </w:pPr>
    </w:p>
    <w:p w:rsidR="002C5025" w:rsidRDefault="00FB027C">
      <w:pPr>
        <w:pStyle w:val="BodyText"/>
        <w:kinsoku w:val="0"/>
        <w:overflowPunct w:val="0"/>
        <w:spacing w:before="5"/>
        <w:rPr>
          <w:rFonts w:ascii="Arial" w:hAnsi="Arial" w:cs="Arial"/>
          <w:sz w:val="13"/>
          <w:szCs w:val="13"/>
        </w:rPr>
      </w:pPr>
      <w:r>
        <w:rPr>
          <w:noProof/>
        </w:rPr>
        <mc:AlternateContent>
          <mc:Choice Requires="wps">
            <w:drawing>
              <wp:anchor distT="0" distB="0" distL="0" distR="0" simplePos="0" relativeHeight="251526656" behindDoc="0" locked="0" layoutInCell="0" allowOverlap="1">
                <wp:simplePos x="0" y="0"/>
                <wp:positionH relativeFrom="page">
                  <wp:posOffset>895350</wp:posOffset>
                </wp:positionH>
                <wp:positionV relativeFrom="paragraph">
                  <wp:posOffset>126365</wp:posOffset>
                </wp:positionV>
                <wp:extent cx="5982335" cy="12700"/>
                <wp:effectExtent l="0" t="0" r="0" b="0"/>
                <wp:wrapTopAndBottom/>
                <wp:docPr id="823" name="Freeform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2335" cy="12700"/>
                        </a:xfrm>
                        <a:custGeom>
                          <a:avLst/>
                          <a:gdLst>
                            <a:gd name="T0" fmla="*/ 0 w 9421"/>
                            <a:gd name="T1" fmla="*/ 0 h 20"/>
                            <a:gd name="T2" fmla="*/ 9421 w 9421"/>
                            <a:gd name="T3" fmla="*/ 0 h 20"/>
                          </a:gdLst>
                          <a:ahLst/>
                          <a:cxnLst>
                            <a:cxn ang="0">
                              <a:pos x="T0" y="T1"/>
                            </a:cxn>
                            <a:cxn ang="0">
                              <a:pos x="T2" y="T3"/>
                            </a:cxn>
                          </a:cxnLst>
                          <a:rect l="0" t="0" r="r" b="b"/>
                          <a:pathLst>
                            <a:path w="9421" h="20">
                              <a:moveTo>
                                <a:pt x="0" y="0"/>
                              </a:moveTo>
                              <a:lnTo>
                                <a:pt x="9421" y="0"/>
                              </a:lnTo>
                            </a:path>
                          </a:pathLst>
                        </a:custGeom>
                        <a:noFill/>
                        <a:ln w="7365">
                          <a:solidFill>
                            <a:srgbClr val="85CCE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02" o:spid="_x0000_s1026" style="position:absolute;z-index:251526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0.5pt,9.95pt,541.55pt,9.95pt" coordsize="94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" o:allowincell="f" filled="f" strokecolor="#85cced" strokeweight=".20458mm">
                <v:path arrowok="t" o:connecttype="custom" o:connectlocs="0,0;5982335,0" o:connectangles="0,0"/>
                <w10:wrap type="topAndBottom" anchorx="page"/>
              </v:polyline>
            </w:pict>
          </mc:Fallback>
        </mc:AlternateContent>
      </w:r>
    </w:p>
    <w:p w:rsidR="002C5025" w:rsidRDefault="002C5025">
      <w:pPr>
        <w:pStyle w:val="BodyText"/>
        <w:tabs>
          <w:tab w:val="right" w:pos="9500"/>
        </w:tabs>
        <w:kinsoku w:val="0"/>
        <w:overflowPunct w:val="0"/>
        <w:spacing w:before="46"/>
        <w:ind w:left="140"/>
        <w:rPr>
          <w:rFonts w:ascii="Arial" w:hAnsi="Arial" w:cs="Arial"/>
          <w:sz w:val="20"/>
          <w:szCs w:val="20"/>
        </w:rPr>
      </w:pPr>
      <w:r>
        <w:rPr>
          <w:rFonts w:ascii="Arial" w:hAnsi="Arial" w:cs="Arial"/>
          <w:sz w:val="20"/>
          <w:szCs w:val="20"/>
        </w:rPr>
        <w:t>MassHealth Section 1115</w:t>
      </w:r>
      <w:r>
        <w:rPr>
          <w:rFonts w:ascii="Arial" w:hAnsi="Arial" w:cs="Arial"/>
          <w:spacing w:val="-7"/>
          <w:sz w:val="20"/>
          <w:szCs w:val="20"/>
        </w:rPr>
        <w:t xml:space="preserve"> </w:t>
      </w:r>
      <w:r>
        <w:rPr>
          <w:rFonts w:ascii="Arial" w:hAnsi="Arial" w:cs="Arial"/>
          <w:sz w:val="20"/>
          <w:szCs w:val="20"/>
        </w:rPr>
        <w:t>Demonstration</w:t>
      </w:r>
      <w:r>
        <w:rPr>
          <w:rFonts w:ascii="Arial" w:hAnsi="Arial" w:cs="Arial"/>
          <w:spacing w:val="-4"/>
          <w:sz w:val="20"/>
          <w:szCs w:val="20"/>
        </w:rPr>
        <w:t xml:space="preserve"> </w:t>
      </w:r>
      <w:r>
        <w:rPr>
          <w:rFonts w:ascii="Arial" w:hAnsi="Arial" w:cs="Arial"/>
          <w:sz w:val="20"/>
          <w:szCs w:val="20"/>
        </w:rPr>
        <w:t>Comments</w:t>
      </w:r>
      <w:r>
        <w:rPr>
          <w:rFonts w:ascii="Arial" w:hAnsi="Arial" w:cs="Arial"/>
          <w:sz w:val="20"/>
          <w:szCs w:val="20"/>
        </w:rPr>
        <w:tab/>
        <w:t>7</w:t>
      </w:r>
    </w:p>
    <w:p w:rsidR="002C5025" w:rsidRDefault="002C5025">
      <w:pPr>
        <w:pStyle w:val="BodyText"/>
        <w:tabs>
          <w:tab w:val="right" w:pos="9500"/>
        </w:tabs>
        <w:kinsoku w:val="0"/>
        <w:overflowPunct w:val="0"/>
        <w:spacing w:before="46"/>
        <w:ind w:left="140"/>
        <w:rPr>
          <w:rFonts w:ascii="Arial" w:hAnsi="Arial" w:cs="Arial"/>
          <w:sz w:val="20"/>
          <w:szCs w:val="20"/>
        </w:rPr>
        <w:sectPr w:rsidR="002C5025">
          <w:pgSz w:w="12240" w:h="15840"/>
          <w:pgMar w:top="720" w:right="1140" w:bottom="280" w:left="1300" w:header="720" w:footer="720" w:gutter="0"/>
          <w:cols w:space="720"/>
          <w:noEndnote/>
        </w:sectPr>
      </w:pPr>
    </w:p>
    <w:p w:rsidR="002C5025" w:rsidRDefault="00FB027C">
      <w:pPr>
        <w:pStyle w:val="BodyText"/>
        <w:kinsoku w:val="0"/>
        <w:overflowPunct w:val="0"/>
        <w:ind w:left="130"/>
        <w:rPr>
          <w:rFonts w:ascii="Arial" w:hAnsi="Arial" w:cs="Arial"/>
          <w:sz w:val="20"/>
          <w:szCs w:val="20"/>
        </w:rPr>
      </w:pPr>
      <w:r>
        <w:rPr>
          <w:rFonts w:ascii="Arial" w:hAnsi="Arial" w:cs="Arial"/>
          <w:noProof/>
          <w:sz w:val="20"/>
          <w:szCs w:val="20"/>
        </w:rPr>
        <w:lastRenderedPageBreak/>
        <mc:AlternateContent>
          <mc:Choice Requires="wpg">
            <w:drawing>
              <wp:inline distT="0" distB="0" distL="0" distR="0">
                <wp:extent cx="6068060" cy="369570"/>
                <wp:effectExtent l="0" t="0" r="0" b="1905"/>
                <wp:docPr id="817"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369570"/>
                          <a:chOff x="0" y="0"/>
                          <a:chExt cx="9556" cy="582"/>
                        </a:xfrm>
                      </wpg:grpSpPr>
                      <pic:pic xmlns:pic="http://schemas.openxmlformats.org/drawingml/2006/picture">
                        <pic:nvPicPr>
                          <pic:cNvPr id="818" name="Picture 204"/>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10" y="0"/>
                            <a:ext cx="19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19" name="Freeform 205"/>
                        <wps:cNvSpPr>
                          <a:spLocks/>
                        </wps:cNvSpPr>
                        <wps:spPr bwMode="auto">
                          <a:xfrm>
                            <a:off x="10" y="571"/>
                            <a:ext cx="2336" cy="20"/>
                          </a:xfrm>
                          <a:custGeom>
                            <a:avLst/>
                            <a:gdLst>
                              <a:gd name="T0" fmla="*/ 0 w 2336"/>
                              <a:gd name="T1" fmla="*/ 0 h 20"/>
                              <a:gd name="T2" fmla="*/ 2335 w 2336"/>
                              <a:gd name="T3" fmla="*/ 0 h 20"/>
                            </a:gdLst>
                            <a:ahLst/>
                            <a:cxnLst>
                              <a:cxn ang="0">
                                <a:pos x="T0" y="T1"/>
                              </a:cxn>
                              <a:cxn ang="0">
                                <a:pos x="T2" y="T3"/>
                              </a:cxn>
                            </a:cxnLst>
                            <a:rect l="0" t="0" r="r" b="b"/>
                            <a:pathLst>
                              <a:path w="2336" h="20">
                                <a:moveTo>
                                  <a:pt x="0" y="0"/>
                                </a:moveTo>
                                <a:lnTo>
                                  <a:pt x="2335" y="0"/>
                                </a:lnTo>
                              </a:path>
                            </a:pathLst>
                          </a:custGeom>
                          <a:noFill/>
                          <a:ln w="12192">
                            <a:solidFill>
                              <a:srgbClr val="41B6E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0" name="Freeform 206"/>
                        <wps:cNvSpPr>
                          <a:spLocks/>
                        </wps:cNvSpPr>
                        <wps:spPr bwMode="auto">
                          <a:xfrm>
                            <a:off x="2345" y="571"/>
                            <a:ext cx="20" cy="20"/>
                          </a:xfrm>
                          <a:custGeom>
                            <a:avLst/>
                            <a:gdLst>
                              <a:gd name="T0" fmla="*/ 0 w 20"/>
                              <a:gd name="T1" fmla="*/ 0 h 20"/>
                              <a:gd name="T2" fmla="*/ 19 w 20"/>
                              <a:gd name="T3" fmla="*/ 0 h 20"/>
                            </a:gdLst>
                            <a:ahLst/>
                            <a:cxnLst>
                              <a:cxn ang="0">
                                <a:pos x="T0" y="T1"/>
                              </a:cxn>
                              <a:cxn ang="0">
                                <a:pos x="T2" y="T3"/>
                              </a:cxn>
                            </a:cxnLst>
                            <a:rect l="0" t="0" r="r" b="b"/>
                            <a:pathLst>
                              <a:path w="20" h="20">
                                <a:moveTo>
                                  <a:pt x="0" y="0"/>
                                </a:moveTo>
                                <a:lnTo>
                                  <a:pt x="19" y="0"/>
                                </a:lnTo>
                              </a:path>
                            </a:pathLst>
                          </a:custGeom>
                          <a:noFill/>
                          <a:ln w="12192">
                            <a:solidFill>
                              <a:srgbClr val="41B6E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1" name="Freeform 207"/>
                        <wps:cNvSpPr>
                          <a:spLocks/>
                        </wps:cNvSpPr>
                        <wps:spPr bwMode="auto">
                          <a:xfrm>
                            <a:off x="2364" y="571"/>
                            <a:ext cx="7181" cy="20"/>
                          </a:xfrm>
                          <a:custGeom>
                            <a:avLst/>
                            <a:gdLst>
                              <a:gd name="T0" fmla="*/ 0 w 7181"/>
                              <a:gd name="T1" fmla="*/ 0 h 20"/>
                              <a:gd name="T2" fmla="*/ 7180 w 7181"/>
                              <a:gd name="T3" fmla="*/ 0 h 20"/>
                            </a:gdLst>
                            <a:ahLst/>
                            <a:cxnLst>
                              <a:cxn ang="0">
                                <a:pos x="T0" y="T1"/>
                              </a:cxn>
                              <a:cxn ang="0">
                                <a:pos x="T2" y="T3"/>
                              </a:cxn>
                            </a:cxnLst>
                            <a:rect l="0" t="0" r="r" b="b"/>
                            <a:pathLst>
                              <a:path w="7181" h="20">
                                <a:moveTo>
                                  <a:pt x="0" y="0"/>
                                </a:moveTo>
                                <a:lnTo>
                                  <a:pt x="7180" y="0"/>
                                </a:lnTo>
                              </a:path>
                            </a:pathLst>
                          </a:custGeom>
                          <a:noFill/>
                          <a:ln w="12192">
                            <a:solidFill>
                              <a:srgbClr val="41B6E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2" name="Text Box 208"/>
                        <wps:cNvSpPr txBox="1">
                          <a:spLocks noChangeArrowheads="1"/>
                        </wps:cNvSpPr>
                        <wps:spPr bwMode="auto">
                          <a:xfrm>
                            <a:off x="0" y="0"/>
                            <a:ext cx="9555" cy="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pStyle w:val="BodyText"/>
                                <w:kinsoku w:val="0"/>
                                <w:overflowPunct w:val="0"/>
                                <w:spacing w:before="88" w:line="226" w:lineRule="exact"/>
                                <w:ind w:left="5128" w:firstLine="1212"/>
                                <w:rPr>
                                  <w:rFonts w:ascii="Arial" w:hAnsi="Arial" w:cs="Arial"/>
                                  <w:sz w:val="20"/>
                                  <w:szCs w:val="20"/>
                                </w:rPr>
                              </w:pPr>
                              <w:r>
                                <w:rPr>
                                  <w:rFonts w:ascii="Arial" w:hAnsi="Arial" w:cs="Arial"/>
                                  <w:sz w:val="20"/>
                                  <w:szCs w:val="20"/>
                                </w:rPr>
                                <w:t>Commonwealth of Massachusetts Executive Office of Health and Human Services</w:t>
                              </w:r>
                            </w:p>
                          </w:txbxContent>
                        </wps:txbx>
                        <wps:bodyPr rot="0" vert="horz" wrap="square" lIns="0" tIns="0" rIns="0" bIns="0" anchor="t" anchorCtr="0" upright="1">
                          <a:noAutofit/>
                        </wps:bodyPr>
                      </wps:wsp>
                    </wpg:wgp>
                  </a:graphicData>
                </a:graphic>
              </wp:inline>
            </w:drawing>
          </mc:Choice>
          <mc:Fallback>
            <w:pict>
              <v:group id="Group 203" o:spid="_x0000_s1125" style="width:477.8pt;height:29.1pt;mso-position-horizontal-relative:char;mso-position-vertical-relative:line" coordsize="9556,5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">
                <v:shape id="Picture 204" o:spid="_x0000_s1126" type="#_x0000_t75" style="position:absolute;left:10;width:1920;height:5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VL2YbBAAAA3AAAAA8AAABkcnMvZG93bnJldi54bWxET0tuwjAQ3VfqHaxBYlccKkHTFBOlSEB3&#10;FQkHGMWTj4jHaWwgcPp6gcTy6f1X6Wg6caHBtZYVzGcRCOLS6pZrBcdi+xaDcB5ZY2eZFNzIQbp+&#10;fVlhou2VD3TJfS1CCLsEFTTe94mUrmzIoJvZnjhwlR0M+gCHWuoBryHcdPI9ipbSYMuhocGeNg2V&#10;p/xsFCw/8y67fZe7v9/8Y3+3XBW0qJSaTsbsC4Sn0T/FD/ePVhDPw9pwJhwBuf4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VL2YbBAAAA3AAAAA8AAAAAAAAAAAAAAAAAnwIA&#10;AGRycy9kb3ducmV2LnhtbFBLBQYAAAAABAAEAPcAAACNAwAAAAA=&#10;">
                  <v:imagedata r:id="rId127" o:title=""/>
                </v:shape>
                <v:shape id="Freeform 205" o:spid="_x0000_s1127" style="position:absolute;left:10;top:571;width:2336;height:20;visibility:visible;mso-wrap-style:square;v-text-anchor:top" coordsize="233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UducQA&#10;AADcAAAADwAAAGRycy9kb3ducmV2LnhtbESPzWrDMBCE74W8g9hAbo3sHoLrRgn5aSCXQJu098Xa&#10;2mqtlZEU23n7qFDocZiZb5jlerSt6MkH41hBPs9AEFdOG64VfFwOjwWIEJE1to5JwY0CrFeThyWW&#10;2g38Tv051iJBOJSooImxK6UMVUMWw9x1xMn7ct5iTNLXUnscEty28inLFtKi4bTQYEe7hqqf89Uq&#10;MEUfhtPr5+Xt9G16HPxhu5e5UrPpuHkBEWmM/+G/9lErKPJn+D2TjoB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1HbnEAAAA3AAAAA8AAAAAAAAAAAAAAAAAmAIAAGRycy9k&#10;b3ducmV2LnhtbFBLBQYAAAAABAAEAPUAAACJAwAAAAA=&#10;" path="m,l2335,e" filled="f" strokecolor="#41b6e6" strokeweight=".96pt">
                  <v:path arrowok="t" o:connecttype="custom" o:connectlocs="0,0;2335,0" o:connectangles="0,0"/>
                </v:shape>
                <v:shape id="Freeform 206" o:spid="_x0000_s1128" style="position:absolute;left:2345;top:571;width:20;height:20;visibility:visible;mso-wrap-style:square;v-text-anchor:top" coordsize="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mc8IA&#10;AADcAAAADwAAAGRycy9kb3ducmV2LnhtbERPTYvCMBC9L/gfwgje1tRKF+kaRQRBBA92i+Jttplt&#10;yzaT0kSt/npzEDw+3vd82ZtGXKlztWUFk3EEgriwuuZSQf6z+ZyBcB5ZY2OZFNzJwXIx+Jhjqu2N&#10;D3TNfClCCLsUFVTet6mUrqjIoBvbljhwf7Yz6APsSqk7vIVw08g4ir6kwZpDQ4UtrSsq/rOLUfCY&#10;ZInc/sbnHZ2OSV3k+6lOtFKjYb/6BuGp92/xy73VCmZxmB/OhCM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7OZzwgAAANwAAAAPAAAAAAAAAAAAAAAAAJgCAABkcnMvZG93&#10;bnJldi54bWxQSwUGAAAAAAQABAD1AAAAhwMAAAAA&#10;" path="m,l19,e" filled="f" strokecolor="#41b6e6" strokeweight=".96pt">
                  <v:path arrowok="t" o:connecttype="custom" o:connectlocs="0,0;19,0" o:connectangles="0,0"/>
                </v:shape>
                <v:shape id="Freeform 207" o:spid="_x0000_s1129" style="position:absolute;left:2364;top:571;width:7181;height:20;visibility:visible;mso-wrap-style:square;v-text-anchor:top" coordsize="71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ws2MEA&#10;AADcAAAADwAAAGRycy9kb3ducmV2LnhtbESPQYvCMBSE78L+h/AWvMj6akGRrlFEEHq1evH2aJ5t&#10;2ealJFmt/94IC3scZuYbZrMbba/u7EPnRMNinoFiqZ3ppNFwOR+/1qBCJDHUO2ENTw6w235MNlQY&#10;95AT36vYqASRUJCGNsahQAx1y5bC3A0sybs5bykm6Rs0nh4JbnvMs2yFljpJCy0NfGi5/ql+rQZ7&#10;KDufl7ivyuXyeUXCYXa6aT39HPffoCKP8T/81y6NhnW+gPeZdARw+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sLNjBAAAA3AAAAA8AAAAAAAAAAAAAAAAAmAIAAGRycy9kb3du&#10;cmV2LnhtbFBLBQYAAAAABAAEAPUAAACGAwAAAAA=&#10;" path="m,l7180,e" filled="f" strokecolor="#41b6e6" strokeweight=".96pt">
                  <v:path arrowok="t" o:connecttype="custom" o:connectlocs="0,0;7180,0" o:connectangles="0,0"/>
                </v:shape>
                <v:shape id="Text Box 208" o:spid="_x0000_s1130" type="#_x0000_t202" style="position:absolute;width:9555;height: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pgzcQA&#10;AADcAAAADwAAAGRycy9kb3ducmV2LnhtbESPQWvCQBSE7wX/w/IEb3VjDmKjq4goFITSGA8en9ln&#10;sph9G7NbTf99VxB6HGbmG2ax6m0j7tR541jBZJyAIC6dNlwpOBa79xkIH5A1No5JwS95WC0HbwvM&#10;tHtwTvdDqESEsM9QQR1Cm0npy5os+rFriaN3cZ3FEGVXSd3hI8JtI9MkmUqLhuNCjS1taiqvhx+r&#10;YH3ifGtuX+fv/JKbovhIeD+9KjUa9us5iEB9+A+/2p9awSxN4XkmHg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KYM3EAAAA3AAAAA8AAAAAAAAAAAAAAAAAmAIAAGRycy9k&#10;b3ducmV2LnhtbFBLBQYAAAAABAAEAPUAAACJAwAAAAA=&#10;" filled="f" stroked="f">
                  <v:textbox inset="0,0,0,0">
                    <w:txbxContent>
                      <w:p w:rsidR="007B2B7B" w:rsidRDefault="007B2B7B">
                        <w:pPr>
                          <w:pStyle w:val="BodyText"/>
                          <w:kinsoku w:val="0"/>
                          <w:overflowPunct w:val="0"/>
                          <w:spacing w:before="88" w:line="226" w:lineRule="exact"/>
                          <w:ind w:left="5128" w:firstLine="1212"/>
                          <w:rPr>
                            <w:rFonts w:ascii="Arial" w:hAnsi="Arial" w:cs="Arial"/>
                            <w:sz w:val="20"/>
                            <w:szCs w:val="20"/>
                          </w:rPr>
                        </w:pPr>
                        <w:r>
                          <w:rPr>
                            <w:rFonts w:ascii="Arial" w:hAnsi="Arial" w:cs="Arial"/>
                            <w:sz w:val="20"/>
                            <w:szCs w:val="20"/>
                          </w:rPr>
                          <w:t>Commonwealth of Massachusetts Executive Office of Health and Human Services</w:t>
                        </w:r>
                      </w:p>
                    </w:txbxContent>
                  </v:textbox>
                </v:shape>
                <w10:anchorlock/>
              </v:group>
            </w:pict>
          </mc:Fallback>
        </mc:AlternateContent>
      </w:r>
    </w:p>
    <w:p w:rsidR="002C5025" w:rsidRDefault="002C5025">
      <w:pPr>
        <w:pStyle w:val="BodyText"/>
        <w:kinsoku w:val="0"/>
        <w:overflowPunct w:val="0"/>
        <w:spacing w:before="10"/>
        <w:rPr>
          <w:rFonts w:ascii="Arial" w:hAnsi="Arial" w:cs="Arial"/>
          <w:sz w:val="17"/>
          <w:szCs w:val="17"/>
        </w:rPr>
      </w:pPr>
    </w:p>
    <w:tbl>
      <w:tblPr>
        <w:tblW w:w="0" w:type="auto"/>
        <w:tblInd w:w="138" w:type="dxa"/>
        <w:tblLayout w:type="fixed"/>
        <w:tblCellMar>
          <w:left w:w="0" w:type="dxa"/>
          <w:right w:w="0" w:type="dxa"/>
        </w:tblCellMar>
        <w:tblLook w:val="0000" w:firstRow="0" w:lastRow="0" w:firstColumn="0" w:lastColumn="0" w:noHBand="0" w:noVBand="0"/>
      </w:tblPr>
      <w:tblGrid>
        <w:gridCol w:w="2335"/>
        <w:gridCol w:w="7200"/>
      </w:tblGrid>
      <w:tr w:rsidR="002C5025">
        <w:trPr>
          <w:trHeight w:hRule="exact" w:val="478"/>
        </w:trPr>
        <w:tc>
          <w:tcPr>
            <w:tcW w:w="2335" w:type="dxa"/>
            <w:tcBorders>
              <w:top w:val="single" w:sz="4" w:space="0" w:color="7F7F7F"/>
              <w:left w:val="single" w:sz="4" w:space="0" w:color="7F7F7F"/>
              <w:bottom w:val="single" w:sz="4" w:space="0" w:color="7F7F7F"/>
              <w:right w:val="single" w:sz="4" w:space="0" w:color="7F7F7F"/>
            </w:tcBorders>
            <w:shd w:val="clear" w:color="auto" w:fill="0083CE"/>
          </w:tcPr>
          <w:p w:rsidR="002C5025" w:rsidRDefault="002C5025">
            <w:pPr>
              <w:pStyle w:val="TableParagraph"/>
              <w:kinsoku w:val="0"/>
              <w:overflowPunct w:val="0"/>
              <w:ind w:left="801" w:right="128" w:hanging="413"/>
              <w:rPr>
                <w:rFonts w:ascii="Times New Roman" w:hAnsi="Times New Roman" w:cs="Times New Roman"/>
              </w:rPr>
            </w:pPr>
            <w:r>
              <w:rPr>
                <w:b/>
                <w:bCs/>
                <w:color w:val="FFFFFF"/>
                <w:sz w:val="20"/>
                <w:szCs w:val="20"/>
              </w:rPr>
              <w:t>Relevant Waiver Section</w:t>
            </w:r>
          </w:p>
        </w:tc>
        <w:tc>
          <w:tcPr>
            <w:tcW w:w="7200" w:type="dxa"/>
            <w:tcBorders>
              <w:top w:val="single" w:sz="4" w:space="0" w:color="7F7F7F"/>
              <w:left w:val="single" w:sz="4" w:space="0" w:color="7F7F7F"/>
              <w:bottom w:val="single" w:sz="4" w:space="0" w:color="7F7F7F"/>
              <w:right w:val="single" w:sz="4" w:space="0" w:color="7F7F7F"/>
            </w:tcBorders>
            <w:shd w:val="clear" w:color="auto" w:fill="0083CE"/>
          </w:tcPr>
          <w:p w:rsidR="002C5025" w:rsidRDefault="002C5025">
            <w:pPr>
              <w:pStyle w:val="TableParagraph"/>
              <w:kinsoku w:val="0"/>
              <w:overflowPunct w:val="0"/>
              <w:spacing w:before="107"/>
              <w:ind w:left="2708" w:right="2706"/>
              <w:jc w:val="center"/>
              <w:rPr>
                <w:rFonts w:ascii="Times New Roman" w:hAnsi="Times New Roman" w:cs="Times New Roman"/>
              </w:rPr>
            </w:pPr>
            <w:r>
              <w:rPr>
                <w:b/>
                <w:bCs/>
                <w:color w:val="FFFFFF"/>
                <w:sz w:val="20"/>
                <w:szCs w:val="20"/>
              </w:rPr>
              <w:t>Beacon Response</w:t>
            </w:r>
          </w:p>
        </w:tc>
      </w:tr>
      <w:tr w:rsidR="002C5025">
        <w:trPr>
          <w:trHeight w:hRule="exact" w:val="929"/>
        </w:trPr>
        <w:tc>
          <w:tcPr>
            <w:tcW w:w="2335" w:type="dxa"/>
            <w:tcBorders>
              <w:top w:val="single" w:sz="4" w:space="0" w:color="7F7F7F"/>
              <w:left w:val="single" w:sz="4" w:space="0" w:color="7F7F7F"/>
              <w:bottom w:val="single" w:sz="4" w:space="0" w:color="7F7F7F"/>
              <w:right w:val="single" w:sz="4" w:space="0" w:color="7F7F7F"/>
            </w:tcBorders>
          </w:tcPr>
          <w:p w:rsidR="002C5025" w:rsidRDefault="002C5025"/>
        </w:tc>
        <w:tc>
          <w:tcPr>
            <w:tcW w:w="7200" w:type="dxa"/>
            <w:tcBorders>
              <w:top w:val="single" w:sz="4" w:space="0" w:color="7F7F7F"/>
              <w:left w:val="single" w:sz="4" w:space="0" w:color="7F7F7F"/>
              <w:bottom w:val="single" w:sz="4" w:space="0" w:color="7F7F7F"/>
              <w:right w:val="single" w:sz="4" w:space="0" w:color="7F7F7F"/>
            </w:tcBorders>
          </w:tcPr>
          <w:p w:rsidR="002C5025" w:rsidRDefault="002C5025">
            <w:pPr>
              <w:pStyle w:val="TableParagraph"/>
              <w:numPr>
                <w:ilvl w:val="0"/>
                <w:numId w:val="78"/>
              </w:numPr>
              <w:tabs>
                <w:tab w:val="left" w:pos="444"/>
              </w:tabs>
              <w:kinsoku w:val="0"/>
              <w:overflowPunct w:val="0"/>
              <w:spacing w:line="223" w:lineRule="exact"/>
              <w:rPr>
                <w:sz w:val="20"/>
                <w:szCs w:val="20"/>
              </w:rPr>
            </w:pPr>
            <w:r>
              <w:rPr>
                <w:sz w:val="20"/>
                <w:szCs w:val="20"/>
              </w:rPr>
              <w:t>Increasing access and use of</w:t>
            </w:r>
            <w:r>
              <w:rPr>
                <w:spacing w:val="-39"/>
                <w:sz w:val="20"/>
                <w:szCs w:val="20"/>
              </w:rPr>
              <w:t xml:space="preserve"> </w:t>
            </w:r>
            <w:r>
              <w:rPr>
                <w:sz w:val="20"/>
                <w:szCs w:val="20"/>
              </w:rPr>
              <w:t>MAT</w:t>
            </w:r>
          </w:p>
          <w:p w:rsidR="002C5025" w:rsidRDefault="002C5025">
            <w:pPr>
              <w:pStyle w:val="TableParagraph"/>
              <w:numPr>
                <w:ilvl w:val="0"/>
                <w:numId w:val="78"/>
              </w:numPr>
              <w:tabs>
                <w:tab w:val="left" w:pos="444"/>
              </w:tabs>
              <w:kinsoku w:val="0"/>
              <w:overflowPunct w:val="0"/>
              <w:spacing w:line="228" w:lineRule="exact"/>
              <w:ind w:left="443" w:hanging="359"/>
              <w:rPr>
                <w:sz w:val="20"/>
                <w:szCs w:val="20"/>
              </w:rPr>
            </w:pPr>
            <w:r>
              <w:rPr>
                <w:sz w:val="20"/>
                <w:szCs w:val="20"/>
              </w:rPr>
              <w:t>Longevity</w:t>
            </w:r>
            <w:r>
              <w:rPr>
                <w:spacing w:val="-15"/>
                <w:sz w:val="20"/>
                <w:szCs w:val="20"/>
              </w:rPr>
              <w:t xml:space="preserve"> </w:t>
            </w:r>
            <w:r>
              <w:rPr>
                <w:sz w:val="20"/>
                <w:szCs w:val="20"/>
              </w:rPr>
              <w:t>and</w:t>
            </w:r>
            <w:r>
              <w:rPr>
                <w:spacing w:val="-10"/>
                <w:sz w:val="20"/>
                <w:szCs w:val="20"/>
              </w:rPr>
              <w:t xml:space="preserve"> </w:t>
            </w:r>
            <w:r>
              <w:rPr>
                <w:sz w:val="20"/>
                <w:szCs w:val="20"/>
              </w:rPr>
              <w:t>adherence</w:t>
            </w:r>
            <w:r>
              <w:rPr>
                <w:spacing w:val="-10"/>
                <w:sz w:val="20"/>
                <w:szCs w:val="20"/>
              </w:rPr>
              <w:t xml:space="preserve"> </w:t>
            </w:r>
            <w:r>
              <w:rPr>
                <w:sz w:val="20"/>
                <w:szCs w:val="20"/>
              </w:rPr>
              <w:t>to</w:t>
            </w:r>
            <w:r>
              <w:rPr>
                <w:spacing w:val="-13"/>
                <w:sz w:val="20"/>
                <w:szCs w:val="20"/>
              </w:rPr>
              <w:t xml:space="preserve"> </w:t>
            </w:r>
            <w:r>
              <w:rPr>
                <w:sz w:val="20"/>
                <w:szCs w:val="20"/>
              </w:rPr>
              <w:t>MAT</w:t>
            </w:r>
            <w:r>
              <w:rPr>
                <w:spacing w:val="-7"/>
                <w:sz w:val="20"/>
                <w:szCs w:val="20"/>
              </w:rPr>
              <w:t xml:space="preserve"> </w:t>
            </w:r>
            <w:r>
              <w:rPr>
                <w:sz w:val="20"/>
                <w:szCs w:val="20"/>
              </w:rPr>
              <w:t>programs</w:t>
            </w:r>
          </w:p>
          <w:p w:rsidR="002C5025" w:rsidRDefault="002C5025">
            <w:pPr>
              <w:pStyle w:val="TableParagraph"/>
              <w:numPr>
                <w:ilvl w:val="0"/>
                <w:numId w:val="78"/>
              </w:numPr>
              <w:tabs>
                <w:tab w:val="left" w:pos="444"/>
              </w:tabs>
              <w:kinsoku w:val="0"/>
              <w:overflowPunct w:val="0"/>
              <w:spacing w:before="3"/>
              <w:ind w:right="928"/>
              <w:rPr>
                <w:rFonts w:ascii="Times New Roman" w:hAnsi="Times New Roman" w:cs="Times New Roman"/>
              </w:rPr>
            </w:pPr>
            <w:r>
              <w:rPr>
                <w:sz w:val="20"/>
                <w:szCs w:val="20"/>
              </w:rPr>
              <w:t>Success</w:t>
            </w:r>
            <w:r>
              <w:rPr>
                <w:spacing w:val="-7"/>
                <w:sz w:val="20"/>
                <w:szCs w:val="20"/>
              </w:rPr>
              <w:t xml:space="preserve"> </w:t>
            </w:r>
            <w:r>
              <w:rPr>
                <w:sz w:val="20"/>
                <w:szCs w:val="20"/>
              </w:rPr>
              <w:t>in</w:t>
            </w:r>
            <w:r>
              <w:rPr>
                <w:spacing w:val="-8"/>
                <w:sz w:val="20"/>
                <w:szCs w:val="20"/>
              </w:rPr>
              <w:t xml:space="preserve"> </w:t>
            </w:r>
            <w:r>
              <w:rPr>
                <w:sz w:val="20"/>
                <w:szCs w:val="20"/>
              </w:rPr>
              <w:t>connectivity</w:t>
            </w:r>
            <w:r>
              <w:rPr>
                <w:spacing w:val="-15"/>
                <w:sz w:val="20"/>
                <w:szCs w:val="20"/>
              </w:rPr>
              <w:t xml:space="preserve"> </w:t>
            </w:r>
            <w:r>
              <w:rPr>
                <w:sz w:val="20"/>
                <w:szCs w:val="20"/>
              </w:rPr>
              <w:t>from</w:t>
            </w:r>
            <w:r>
              <w:rPr>
                <w:spacing w:val="-4"/>
                <w:sz w:val="20"/>
                <w:szCs w:val="20"/>
              </w:rPr>
              <w:t xml:space="preserve"> </w:t>
            </w:r>
            <w:r>
              <w:rPr>
                <w:sz w:val="20"/>
                <w:szCs w:val="20"/>
              </w:rPr>
              <w:t>24-hour</w:t>
            </w:r>
            <w:r>
              <w:rPr>
                <w:spacing w:val="-7"/>
                <w:sz w:val="20"/>
                <w:szCs w:val="20"/>
              </w:rPr>
              <w:t xml:space="preserve"> </w:t>
            </w:r>
            <w:r>
              <w:rPr>
                <w:sz w:val="20"/>
                <w:szCs w:val="20"/>
              </w:rPr>
              <w:t>levels</w:t>
            </w:r>
            <w:r>
              <w:rPr>
                <w:spacing w:val="-5"/>
                <w:sz w:val="20"/>
                <w:szCs w:val="20"/>
              </w:rPr>
              <w:t xml:space="preserve"> </w:t>
            </w:r>
            <w:r>
              <w:rPr>
                <w:sz w:val="20"/>
                <w:szCs w:val="20"/>
              </w:rPr>
              <w:t>of</w:t>
            </w:r>
            <w:r>
              <w:rPr>
                <w:spacing w:val="-6"/>
                <w:sz w:val="20"/>
                <w:szCs w:val="20"/>
              </w:rPr>
              <w:t xml:space="preserve"> </w:t>
            </w:r>
            <w:r>
              <w:rPr>
                <w:sz w:val="20"/>
                <w:szCs w:val="20"/>
              </w:rPr>
              <w:t>care</w:t>
            </w:r>
            <w:r>
              <w:rPr>
                <w:spacing w:val="-11"/>
                <w:sz w:val="20"/>
                <w:szCs w:val="20"/>
              </w:rPr>
              <w:t xml:space="preserve"> </w:t>
            </w:r>
            <w:r>
              <w:rPr>
                <w:sz w:val="20"/>
                <w:szCs w:val="20"/>
              </w:rPr>
              <w:t>to</w:t>
            </w:r>
            <w:r>
              <w:rPr>
                <w:spacing w:val="-8"/>
                <w:sz w:val="20"/>
                <w:szCs w:val="20"/>
              </w:rPr>
              <w:t xml:space="preserve"> </w:t>
            </w:r>
            <w:r>
              <w:rPr>
                <w:sz w:val="20"/>
                <w:szCs w:val="20"/>
              </w:rPr>
              <w:t>diversionary outpatient services in the</w:t>
            </w:r>
            <w:r>
              <w:rPr>
                <w:spacing w:val="-37"/>
                <w:sz w:val="20"/>
                <w:szCs w:val="20"/>
              </w:rPr>
              <w:t xml:space="preserve"> </w:t>
            </w:r>
            <w:r>
              <w:rPr>
                <w:sz w:val="20"/>
                <w:szCs w:val="20"/>
              </w:rPr>
              <w:t>community</w:t>
            </w:r>
          </w:p>
        </w:tc>
      </w:tr>
      <w:tr w:rsidR="002C5025">
        <w:trPr>
          <w:trHeight w:hRule="exact" w:val="3919"/>
        </w:trPr>
        <w:tc>
          <w:tcPr>
            <w:tcW w:w="2335" w:type="dxa"/>
            <w:tcBorders>
              <w:top w:val="single" w:sz="4" w:space="0" w:color="7F7F7F"/>
              <w:left w:val="single" w:sz="4" w:space="0" w:color="7F7F7F"/>
              <w:bottom w:val="single" w:sz="4" w:space="0" w:color="7F7F7F"/>
              <w:right w:val="single" w:sz="4" w:space="0" w:color="7F7F7F"/>
            </w:tcBorders>
          </w:tcPr>
          <w:p w:rsidR="002C5025" w:rsidRDefault="002C5025">
            <w:pPr>
              <w:pStyle w:val="TableParagraph"/>
              <w:kinsoku w:val="0"/>
              <w:overflowPunct w:val="0"/>
              <w:spacing w:line="225" w:lineRule="exact"/>
              <w:ind w:right="128"/>
              <w:rPr>
                <w:rFonts w:ascii="Times New Roman" w:hAnsi="Times New Roman" w:cs="Times New Roman"/>
              </w:rPr>
            </w:pPr>
            <w:r>
              <w:rPr>
                <w:sz w:val="20"/>
                <w:szCs w:val="20"/>
              </w:rPr>
              <w:t>9. Budget Neutrality</w:t>
            </w:r>
          </w:p>
        </w:tc>
        <w:tc>
          <w:tcPr>
            <w:tcW w:w="7200" w:type="dxa"/>
            <w:tcBorders>
              <w:top w:val="single" w:sz="4" w:space="0" w:color="7F7F7F"/>
              <w:left w:val="single" w:sz="4" w:space="0" w:color="7F7F7F"/>
              <w:bottom w:val="single" w:sz="4" w:space="0" w:color="7F7F7F"/>
              <w:right w:val="single" w:sz="4" w:space="0" w:color="7F7F7F"/>
            </w:tcBorders>
          </w:tcPr>
          <w:p w:rsidR="002C5025" w:rsidRDefault="002C5025">
            <w:pPr>
              <w:pStyle w:val="TableParagraph"/>
              <w:kinsoku w:val="0"/>
              <w:overflowPunct w:val="0"/>
              <w:ind w:right="128"/>
              <w:rPr>
                <w:sz w:val="20"/>
                <w:szCs w:val="20"/>
              </w:rPr>
            </w:pPr>
            <w:r>
              <w:rPr>
                <w:sz w:val="20"/>
                <w:szCs w:val="20"/>
              </w:rPr>
              <w:t>The delivery of care in and of itself, as well as the cost to deliver those services, will vary depending on geography. In some areas, the costs will be less, but the needs may be greater. This is due to a number of exogenous factors that impact how someone accesses and receives the care they need. For example, some areas will lack reliable public transportation or the distance between areas of service are far too great. Therefore, Beacon suggests applying an additional level of risk adjustment to account for these differences and ensure funds are distributed appropriately based on need. This should apply to both the PMPMs going to the ACOs, but also to the funding streams that are going to the Community Partners, which will differ.</w:t>
            </w:r>
          </w:p>
          <w:p w:rsidR="002C5025" w:rsidRDefault="002C5025">
            <w:pPr>
              <w:pStyle w:val="TableParagraph"/>
              <w:kinsoku w:val="0"/>
              <w:overflowPunct w:val="0"/>
              <w:spacing w:before="9"/>
              <w:ind w:left="0"/>
              <w:rPr>
                <w:sz w:val="19"/>
                <w:szCs w:val="19"/>
              </w:rPr>
            </w:pPr>
          </w:p>
          <w:p w:rsidR="002C5025" w:rsidRDefault="002C5025">
            <w:pPr>
              <w:pStyle w:val="TableParagraph"/>
              <w:kinsoku w:val="0"/>
              <w:overflowPunct w:val="0"/>
              <w:ind w:left="102" w:right="129"/>
              <w:rPr>
                <w:rFonts w:ascii="Times New Roman" w:hAnsi="Times New Roman" w:cs="Times New Roman"/>
              </w:rPr>
            </w:pPr>
            <w:r>
              <w:rPr>
                <w:sz w:val="20"/>
                <w:szCs w:val="20"/>
              </w:rPr>
              <w:t>Additionally, these safety net services (such as transportation) are not typically considered during a budgeting process, nor when funds are distributed, because there is no CPT code attached to them. However, funding should be inclusive of such services to ensure someone receives the full array of wraparound support they need to access services, regardless of their geographic location.</w:t>
            </w:r>
          </w:p>
        </w:tc>
      </w:tr>
    </w:tbl>
    <w:p w:rsidR="002C5025" w:rsidRDefault="002C5025">
      <w:pPr>
        <w:pStyle w:val="BodyText"/>
        <w:kinsoku w:val="0"/>
        <w:overflowPunct w:val="0"/>
        <w:spacing w:before="2"/>
        <w:rPr>
          <w:rFonts w:ascii="Arial" w:hAnsi="Arial" w:cs="Arial"/>
          <w:sz w:val="20"/>
          <w:szCs w:val="20"/>
        </w:rPr>
      </w:pPr>
    </w:p>
    <w:p w:rsidR="002C5025" w:rsidRDefault="002C5025">
      <w:pPr>
        <w:pStyle w:val="BodyText"/>
        <w:kinsoku w:val="0"/>
        <w:overflowPunct w:val="0"/>
        <w:ind w:left="140" w:right="361" w:hanging="1"/>
        <w:rPr>
          <w:rFonts w:ascii="Arial" w:hAnsi="Arial" w:cs="Arial"/>
          <w:sz w:val="21"/>
          <w:szCs w:val="21"/>
        </w:rPr>
      </w:pPr>
      <w:r>
        <w:rPr>
          <w:rFonts w:ascii="Arial" w:hAnsi="Arial" w:cs="Arial"/>
          <w:sz w:val="21"/>
          <w:szCs w:val="21"/>
        </w:rPr>
        <w:t>Thank you for the opportunity to provide our comments on this important, transformational Waiver to redesign the MassHealth Program in Massachusetts. Should you have any questions or require additional information, please do not hesitate to contact me.</w:t>
      </w:r>
    </w:p>
    <w:p w:rsidR="002C5025" w:rsidRDefault="002C5025">
      <w:pPr>
        <w:pStyle w:val="BodyText"/>
        <w:kinsoku w:val="0"/>
        <w:overflowPunct w:val="0"/>
        <w:spacing w:before="1"/>
        <w:rPr>
          <w:rFonts w:ascii="Arial" w:hAnsi="Arial" w:cs="Arial"/>
          <w:sz w:val="21"/>
          <w:szCs w:val="21"/>
        </w:rPr>
      </w:pPr>
    </w:p>
    <w:p w:rsidR="002C5025" w:rsidRDefault="002C5025">
      <w:pPr>
        <w:pStyle w:val="BodyText"/>
        <w:kinsoku w:val="0"/>
        <w:overflowPunct w:val="0"/>
        <w:spacing w:after="6"/>
        <w:ind w:left="140" w:right="442"/>
        <w:rPr>
          <w:rFonts w:ascii="Arial" w:hAnsi="Arial" w:cs="Arial"/>
          <w:sz w:val="21"/>
          <w:szCs w:val="21"/>
        </w:rPr>
      </w:pPr>
      <w:r>
        <w:rPr>
          <w:rFonts w:ascii="Arial" w:hAnsi="Arial" w:cs="Arial"/>
          <w:sz w:val="21"/>
          <w:szCs w:val="21"/>
        </w:rPr>
        <w:t>Sincerely,</w:t>
      </w:r>
    </w:p>
    <w:p w:rsidR="002C5025" w:rsidRDefault="00FB027C">
      <w:pPr>
        <w:pStyle w:val="BodyText"/>
        <w:kinsoku w:val="0"/>
        <w:overflowPunct w:val="0"/>
        <w:ind w:left="140"/>
        <w:rPr>
          <w:rFonts w:ascii="Arial" w:hAnsi="Arial" w:cs="Arial"/>
          <w:sz w:val="20"/>
          <w:szCs w:val="20"/>
        </w:rPr>
      </w:pPr>
      <w:r>
        <w:rPr>
          <w:rFonts w:ascii="Arial" w:hAnsi="Arial" w:cs="Arial"/>
          <w:noProof/>
          <w:sz w:val="20"/>
          <w:szCs w:val="20"/>
        </w:rPr>
        <w:drawing>
          <wp:inline distT="0" distB="0" distL="0" distR="0">
            <wp:extent cx="2381250" cy="504825"/>
            <wp:effectExtent l="0" t="0" r="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381250" cy="504825"/>
                    </a:xfrm>
                    <a:prstGeom prst="rect">
                      <a:avLst/>
                    </a:prstGeom>
                    <a:noFill/>
                    <a:ln>
                      <a:noFill/>
                    </a:ln>
                  </pic:spPr>
                </pic:pic>
              </a:graphicData>
            </a:graphic>
          </wp:inline>
        </w:drawing>
      </w:r>
    </w:p>
    <w:p w:rsidR="002C5025" w:rsidRDefault="002C5025">
      <w:pPr>
        <w:pStyle w:val="BodyText"/>
        <w:kinsoku w:val="0"/>
        <w:overflowPunct w:val="0"/>
        <w:spacing w:before="16"/>
        <w:ind w:left="140" w:right="442"/>
        <w:rPr>
          <w:rFonts w:ascii="Arial" w:hAnsi="Arial" w:cs="Arial"/>
          <w:sz w:val="21"/>
          <w:szCs w:val="21"/>
        </w:rPr>
      </w:pPr>
      <w:r>
        <w:rPr>
          <w:rFonts w:ascii="Arial" w:hAnsi="Arial" w:cs="Arial"/>
          <w:sz w:val="21"/>
          <w:szCs w:val="21"/>
        </w:rPr>
        <w:t>Christie L. Hager, J.D., M.P.H.</w:t>
      </w:r>
    </w:p>
    <w:p w:rsidR="002C5025" w:rsidRDefault="002C5025">
      <w:pPr>
        <w:pStyle w:val="BodyText"/>
        <w:kinsoku w:val="0"/>
        <w:overflowPunct w:val="0"/>
        <w:spacing w:before="1"/>
        <w:ind w:left="139" w:right="2140"/>
        <w:rPr>
          <w:rFonts w:ascii="Arial" w:hAnsi="Arial" w:cs="Arial"/>
          <w:sz w:val="21"/>
          <w:szCs w:val="21"/>
        </w:rPr>
      </w:pPr>
      <w:r>
        <w:rPr>
          <w:rFonts w:ascii="Arial" w:hAnsi="Arial" w:cs="Arial"/>
          <w:sz w:val="21"/>
          <w:szCs w:val="21"/>
        </w:rPr>
        <w:t>Senior Vice President, National Client Partnerships, New England Region Beacon Health Options</w:t>
      </w:r>
    </w:p>
    <w:p w:rsidR="002C5025" w:rsidRDefault="002C5025">
      <w:pPr>
        <w:pStyle w:val="BodyText"/>
        <w:kinsoku w:val="0"/>
        <w:overflowPunct w:val="0"/>
        <w:spacing w:line="240" w:lineRule="exact"/>
        <w:ind w:left="139" w:right="442"/>
        <w:rPr>
          <w:rFonts w:ascii="Arial" w:hAnsi="Arial" w:cs="Arial"/>
          <w:sz w:val="21"/>
          <w:szCs w:val="21"/>
        </w:rPr>
      </w:pPr>
      <w:r>
        <w:rPr>
          <w:rFonts w:ascii="Arial" w:hAnsi="Arial" w:cs="Arial"/>
          <w:sz w:val="21"/>
          <w:szCs w:val="21"/>
        </w:rPr>
        <w:t>200 State Street, Suite 302</w:t>
      </w:r>
    </w:p>
    <w:p w:rsidR="002C5025" w:rsidRDefault="002C5025">
      <w:pPr>
        <w:pStyle w:val="BodyText"/>
        <w:kinsoku w:val="0"/>
        <w:overflowPunct w:val="0"/>
        <w:spacing w:before="1"/>
        <w:ind w:left="139" w:right="442"/>
        <w:rPr>
          <w:rFonts w:ascii="Arial" w:hAnsi="Arial" w:cs="Arial"/>
          <w:sz w:val="21"/>
          <w:szCs w:val="21"/>
        </w:rPr>
      </w:pPr>
      <w:r>
        <w:rPr>
          <w:rFonts w:ascii="Arial" w:hAnsi="Arial" w:cs="Arial"/>
          <w:sz w:val="21"/>
          <w:szCs w:val="21"/>
        </w:rPr>
        <w:t>Boston, MA 02109</w:t>
      </w:r>
    </w:p>
    <w:p w:rsidR="002C5025" w:rsidRDefault="002C5025">
      <w:pPr>
        <w:pStyle w:val="BodyText"/>
        <w:kinsoku w:val="0"/>
        <w:overflowPunct w:val="0"/>
        <w:spacing w:before="1" w:line="241" w:lineRule="exact"/>
        <w:ind w:left="139" w:right="442"/>
        <w:rPr>
          <w:rFonts w:ascii="Arial" w:hAnsi="Arial" w:cs="Arial"/>
          <w:sz w:val="21"/>
          <w:szCs w:val="21"/>
        </w:rPr>
      </w:pPr>
      <w:r>
        <w:rPr>
          <w:rFonts w:ascii="Arial" w:hAnsi="Arial" w:cs="Arial"/>
          <w:sz w:val="21"/>
          <w:szCs w:val="21"/>
        </w:rPr>
        <w:t>Office: 617.476.1629</w:t>
      </w:r>
    </w:p>
    <w:p w:rsidR="002C5025" w:rsidRDefault="00FD19EE">
      <w:pPr>
        <w:pStyle w:val="BodyText"/>
        <w:kinsoku w:val="0"/>
        <w:overflowPunct w:val="0"/>
        <w:spacing w:line="241" w:lineRule="exact"/>
        <w:ind w:left="139" w:right="442"/>
        <w:rPr>
          <w:rFonts w:ascii="Arial" w:hAnsi="Arial" w:cs="Arial"/>
          <w:color w:val="0000FF"/>
          <w:sz w:val="21"/>
          <w:szCs w:val="21"/>
        </w:rPr>
      </w:pPr>
      <w:hyperlink r:id="rId132" w:history="1">
        <w:r w:rsidR="002C5025">
          <w:rPr>
            <w:rFonts w:ascii="Arial" w:hAnsi="Arial" w:cs="Arial"/>
            <w:color w:val="0000FF"/>
            <w:sz w:val="21"/>
            <w:szCs w:val="21"/>
            <w:u w:val="single"/>
          </w:rPr>
          <w:t>Christie.Hager@beaconhealthoptions.com</w:t>
        </w:r>
      </w:hyperlink>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FB027C">
      <w:pPr>
        <w:pStyle w:val="BodyText"/>
        <w:kinsoku w:val="0"/>
        <w:overflowPunct w:val="0"/>
        <w:spacing w:before="3"/>
        <w:rPr>
          <w:rFonts w:ascii="Arial" w:hAnsi="Arial" w:cs="Arial"/>
          <w:sz w:val="23"/>
          <w:szCs w:val="23"/>
        </w:rPr>
      </w:pPr>
      <w:r>
        <w:rPr>
          <w:noProof/>
        </w:rPr>
        <mc:AlternateContent>
          <mc:Choice Requires="wps">
            <w:drawing>
              <wp:anchor distT="0" distB="0" distL="0" distR="0" simplePos="0" relativeHeight="251527680" behindDoc="0" locked="0" layoutInCell="0" allowOverlap="1">
                <wp:simplePos x="0" y="0"/>
                <wp:positionH relativeFrom="page">
                  <wp:posOffset>895350</wp:posOffset>
                </wp:positionH>
                <wp:positionV relativeFrom="paragraph">
                  <wp:posOffset>198120</wp:posOffset>
                </wp:positionV>
                <wp:extent cx="5982335" cy="12700"/>
                <wp:effectExtent l="0" t="0" r="0" b="0"/>
                <wp:wrapTopAndBottom/>
                <wp:docPr id="816" name="Freeform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2335" cy="12700"/>
                        </a:xfrm>
                        <a:custGeom>
                          <a:avLst/>
                          <a:gdLst>
                            <a:gd name="T0" fmla="*/ 0 w 9421"/>
                            <a:gd name="T1" fmla="*/ 0 h 20"/>
                            <a:gd name="T2" fmla="*/ 9421 w 9421"/>
                            <a:gd name="T3" fmla="*/ 0 h 20"/>
                          </a:gdLst>
                          <a:ahLst/>
                          <a:cxnLst>
                            <a:cxn ang="0">
                              <a:pos x="T0" y="T1"/>
                            </a:cxn>
                            <a:cxn ang="0">
                              <a:pos x="T2" y="T3"/>
                            </a:cxn>
                          </a:cxnLst>
                          <a:rect l="0" t="0" r="r" b="b"/>
                          <a:pathLst>
                            <a:path w="9421" h="20">
                              <a:moveTo>
                                <a:pt x="0" y="0"/>
                              </a:moveTo>
                              <a:lnTo>
                                <a:pt x="9421" y="0"/>
                              </a:lnTo>
                            </a:path>
                          </a:pathLst>
                        </a:custGeom>
                        <a:noFill/>
                        <a:ln w="7365">
                          <a:solidFill>
                            <a:srgbClr val="85CCE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09" o:spid="_x0000_s1026" style="position:absolute;z-index:251527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0.5pt,15.6pt,541.55pt,15.6pt" coordsize="94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" o:allowincell="f" filled="f" strokecolor="#85cced" strokeweight=".20458mm">
                <v:path arrowok="t" o:connecttype="custom" o:connectlocs="0,0;5982335,0" o:connectangles="0,0"/>
                <w10:wrap type="topAndBottom" anchorx="page"/>
              </v:polyline>
            </w:pict>
          </mc:Fallback>
        </mc:AlternateContent>
      </w:r>
    </w:p>
    <w:p w:rsidR="002C5025" w:rsidRDefault="002C5025">
      <w:pPr>
        <w:pStyle w:val="BodyText"/>
        <w:tabs>
          <w:tab w:val="right" w:pos="9500"/>
        </w:tabs>
        <w:kinsoku w:val="0"/>
        <w:overflowPunct w:val="0"/>
        <w:spacing w:before="46"/>
        <w:ind w:left="140"/>
        <w:rPr>
          <w:rFonts w:ascii="Arial" w:hAnsi="Arial" w:cs="Arial"/>
          <w:sz w:val="20"/>
          <w:szCs w:val="20"/>
        </w:rPr>
      </w:pPr>
      <w:r>
        <w:rPr>
          <w:rFonts w:ascii="Arial" w:hAnsi="Arial" w:cs="Arial"/>
          <w:sz w:val="20"/>
          <w:szCs w:val="20"/>
        </w:rPr>
        <w:t>MassHealth Section 1115</w:t>
      </w:r>
      <w:r>
        <w:rPr>
          <w:rFonts w:ascii="Arial" w:hAnsi="Arial" w:cs="Arial"/>
          <w:spacing w:val="-7"/>
          <w:sz w:val="20"/>
          <w:szCs w:val="20"/>
        </w:rPr>
        <w:t xml:space="preserve"> </w:t>
      </w:r>
      <w:r>
        <w:rPr>
          <w:rFonts w:ascii="Arial" w:hAnsi="Arial" w:cs="Arial"/>
          <w:sz w:val="20"/>
          <w:szCs w:val="20"/>
        </w:rPr>
        <w:t>Demonstration</w:t>
      </w:r>
      <w:r>
        <w:rPr>
          <w:rFonts w:ascii="Arial" w:hAnsi="Arial" w:cs="Arial"/>
          <w:spacing w:val="-4"/>
          <w:sz w:val="20"/>
          <w:szCs w:val="20"/>
        </w:rPr>
        <w:t xml:space="preserve"> </w:t>
      </w:r>
      <w:r>
        <w:rPr>
          <w:rFonts w:ascii="Arial" w:hAnsi="Arial" w:cs="Arial"/>
          <w:sz w:val="20"/>
          <w:szCs w:val="20"/>
        </w:rPr>
        <w:t>Comments</w:t>
      </w:r>
      <w:r>
        <w:rPr>
          <w:rFonts w:ascii="Arial" w:hAnsi="Arial" w:cs="Arial"/>
          <w:sz w:val="20"/>
          <w:szCs w:val="20"/>
        </w:rPr>
        <w:tab/>
        <w:t>8</w:t>
      </w:r>
    </w:p>
    <w:p w:rsidR="002C5025" w:rsidRDefault="002C5025">
      <w:pPr>
        <w:pStyle w:val="BodyText"/>
        <w:tabs>
          <w:tab w:val="right" w:pos="9500"/>
        </w:tabs>
        <w:kinsoku w:val="0"/>
        <w:overflowPunct w:val="0"/>
        <w:spacing w:before="46"/>
        <w:ind w:left="140"/>
        <w:rPr>
          <w:rFonts w:ascii="Arial" w:hAnsi="Arial" w:cs="Arial"/>
          <w:sz w:val="20"/>
          <w:szCs w:val="20"/>
        </w:rPr>
        <w:sectPr w:rsidR="002C5025">
          <w:pgSz w:w="12240" w:h="15840"/>
          <w:pgMar w:top="720" w:right="1140" w:bottom="280" w:left="1300" w:header="720" w:footer="720" w:gutter="0"/>
          <w:cols w:space="720"/>
          <w:noEndnote/>
        </w:sectPr>
      </w:pPr>
    </w:p>
    <w:p w:rsidR="002C5025" w:rsidRDefault="00FB027C">
      <w:pPr>
        <w:pStyle w:val="BodyText"/>
        <w:kinsoku w:val="0"/>
        <w:overflowPunct w:val="0"/>
        <w:ind w:left="120"/>
        <w:rPr>
          <w:rFonts w:ascii="Arial" w:hAnsi="Arial" w:cs="Arial"/>
          <w:sz w:val="20"/>
          <w:szCs w:val="20"/>
        </w:rPr>
      </w:pPr>
      <w:r>
        <w:rPr>
          <w:rFonts w:ascii="Arial" w:hAnsi="Arial" w:cs="Arial"/>
          <w:noProof/>
          <w:sz w:val="20"/>
          <w:szCs w:val="20"/>
        </w:rPr>
        <w:lastRenderedPageBreak/>
        <mc:AlternateContent>
          <mc:Choice Requires="wpg">
            <w:drawing>
              <wp:inline distT="0" distB="0" distL="0" distR="0">
                <wp:extent cx="5969000" cy="471805"/>
                <wp:effectExtent l="0" t="0" r="3175" b="4445"/>
                <wp:docPr id="806"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9000" cy="471805"/>
                          <a:chOff x="0" y="0"/>
                          <a:chExt cx="9400" cy="743"/>
                        </a:xfrm>
                      </wpg:grpSpPr>
                      <wps:wsp>
                        <wps:cNvPr id="807" name="Freeform 211"/>
                        <wps:cNvSpPr>
                          <a:spLocks/>
                        </wps:cNvSpPr>
                        <wps:spPr bwMode="auto">
                          <a:xfrm>
                            <a:off x="0" y="1"/>
                            <a:ext cx="9400" cy="742"/>
                          </a:xfrm>
                          <a:custGeom>
                            <a:avLst/>
                            <a:gdLst>
                              <a:gd name="T0" fmla="*/ 9391 w 9400"/>
                              <a:gd name="T1" fmla="*/ 0 h 742"/>
                              <a:gd name="T2" fmla="*/ 8 w 9400"/>
                              <a:gd name="T3" fmla="*/ 0 h 742"/>
                              <a:gd name="T4" fmla="*/ 0 w 9400"/>
                              <a:gd name="T5" fmla="*/ 8 h 742"/>
                              <a:gd name="T6" fmla="*/ 0 w 9400"/>
                              <a:gd name="T7" fmla="*/ 733 h 742"/>
                              <a:gd name="T8" fmla="*/ 8 w 9400"/>
                              <a:gd name="T9" fmla="*/ 742 h 742"/>
                              <a:gd name="T10" fmla="*/ 9391 w 9400"/>
                              <a:gd name="T11" fmla="*/ 742 h 742"/>
                              <a:gd name="T12" fmla="*/ 9400 w 9400"/>
                              <a:gd name="T13" fmla="*/ 733 h 742"/>
                              <a:gd name="T14" fmla="*/ 9400 w 9400"/>
                              <a:gd name="T15" fmla="*/ 721 h 742"/>
                              <a:gd name="T16" fmla="*/ 40 w 9400"/>
                              <a:gd name="T17" fmla="*/ 721 h 742"/>
                              <a:gd name="T18" fmla="*/ 18 w 9400"/>
                              <a:gd name="T19" fmla="*/ 702 h 742"/>
                              <a:gd name="T20" fmla="*/ 40 w 9400"/>
                              <a:gd name="T21" fmla="*/ 702 h 742"/>
                              <a:gd name="T22" fmla="*/ 40 w 9400"/>
                              <a:gd name="T23" fmla="*/ 40 h 742"/>
                              <a:gd name="T24" fmla="*/ 18 w 9400"/>
                              <a:gd name="T25" fmla="*/ 40 h 742"/>
                              <a:gd name="T26" fmla="*/ 40 w 9400"/>
                              <a:gd name="T27" fmla="*/ 19 h 742"/>
                              <a:gd name="T28" fmla="*/ 9400 w 9400"/>
                              <a:gd name="T29" fmla="*/ 19 h 742"/>
                              <a:gd name="T30" fmla="*/ 9400 w 9400"/>
                              <a:gd name="T31" fmla="*/ 8 h 742"/>
                              <a:gd name="T32" fmla="*/ 9391 w 9400"/>
                              <a:gd name="T33" fmla="*/ 0 h 7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9400" h="742">
                                <a:moveTo>
                                  <a:pt x="9391" y="0"/>
                                </a:moveTo>
                                <a:lnTo>
                                  <a:pt x="8" y="0"/>
                                </a:lnTo>
                                <a:lnTo>
                                  <a:pt x="0" y="8"/>
                                </a:lnTo>
                                <a:lnTo>
                                  <a:pt x="0" y="733"/>
                                </a:lnTo>
                                <a:lnTo>
                                  <a:pt x="8" y="742"/>
                                </a:lnTo>
                                <a:lnTo>
                                  <a:pt x="9391" y="742"/>
                                </a:lnTo>
                                <a:lnTo>
                                  <a:pt x="9400" y="733"/>
                                </a:lnTo>
                                <a:lnTo>
                                  <a:pt x="9400" y="721"/>
                                </a:lnTo>
                                <a:lnTo>
                                  <a:pt x="40" y="721"/>
                                </a:lnTo>
                                <a:lnTo>
                                  <a:pt x="18" y="702"/>
                                </a:lnTo>
                                <a:lnTo>
                                  <a:pt x="40" y="702"/>
                                </a:lnTo>
                                <a:lnTo>
                                  <a:pt x="40" y="40"/>
                                </a:lnTo>
                                <a:lnTo>
                                  <a:pt x="18" y="40"/>
                                </a:lnTo>
                                <a:lnTo>
                                  <a:pt x="40" y="19"/>
                                </a:lnTo>
                                <a:lnTo>
                                  <a:pt x="9400" y="19"/>
                                </a:lnTo>
                                <a:lnTo>
                                  <a:pt x="9400" y="8"/>
                                </a:lnTo>
                                <a:lnTo>
                                  <a:pt x="9391" y="0"/>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8" name="Freeform 212"/>
                        <wps:cNvSpPr>
                          <a:spLocks/>
                        </wps:cNvSpPr>
                        <wps:spPr bwMode="auto">
                          <a:xfrm>
                            <a:off x="18" y="702"/>
                            <a:ext cx="21" cy="20"/>
                          </a:xfrm>
                          <a:custGeom>
                            <a:avLst/>
                            <a:gdLst>
                              <a:gd name="T0" fmla="*/ 21 w 21"/>
                              <a:gd name="T1" fmla="*/ 0 h 20"/>
                              <a:gd name="T2" fmla="*/ 0 w 21"/>
                              <a:gd name="T3" fmla="*/ 0 h 20"/>
                              <a:gd name="T4" fmla="*/ 21 w 21"/>
                              <a:gd name="T5" fmla="*/ 19 h 20"/>
                              <a:gd name="T6" fmla="*/ 21 w 21"/>
                              <a:gd name="T7" fmla="*/ 0 h 20"/>
                            </a:gdLst>
                            <a:ahLst/>
                            <a:cxnLst>
                              <a:cxn ang="0">
                                <a:pos x="T0" y="T1"/>
                              </a:cxn>
                              <a:cxn ang="0">
                                <a:pos x="T2" y="T3"/>
                              </a:cxn>
                              <a:cxn ang="0">
                                <a:pos x="T4" y="T5"/>
                              </a:cxn>
                              <a:cxn ang="0">
                                <a:pos x="T6" y="T7"/>
                              </a:cxn>
                            </a:cxnLst>
                            <a:rect l="0" t="0" r="r" b="b"/>
                            <a:pathLst>
                              <a:path w="21" h="20">
                                <a:moveTo>
                                  <a:pt x="21" y="0"/>
                                </a:moveTo>
                                <a:lnTo>
                                  <a:pt x="0" y="0"/>
                                </a:lnTo>
                                <a:lnTo>
                                  <a:pt x="21" y="19"/>
                                </a:lnTo>
                                <a:lnTo>
                                  <a:pt x="21" y="0"/>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9" name="Freeform 213"/>
                        <wps:cNvSpPr>
                          <a:spLocks/>
                        </wps:cNvSpPr>
                        <wps:spPr bwMode="auto">
                          <a:xfrm>
                            <a:off x="40" y="712"/>
                            <a:ext cx="9320" cy="20"/>
                          </a:xfrm>
                          <a:custGeom>
                            <a:avLst/>
                            <a:gdLst>
                              <a:gd name="T0" fmla="*/ 0 w 9320"/>
                              <a:gd name="T1" fmla="*/ 0 h 20"/>
                              <a:gd name="T2" fmla="*/ 9320 w 9320"/>
                              <a:gd name="T3" fmla="*/ 0 h 20"/>
                            </a:gdLst>
                            <a:ahLst/>
                            <a:cxnLst>
                              <a:cxn ang="0">
                                <a:pos x="T0" y="T1"/>
                              </a:cxn>
                              <a:cxn ang="0">
                                <a:pos x="T2" y="T3"/>
                              </a:cxn>
                            </a:cxnLst>
                            <a:rect l="0" t="0" r="r" b="b"/>
                            <a:pathLst>
                              <a:path w="9320" h="20">
                                <a:moveTo>
                                  <a:pt x="0" y="0"/>
                                </a:moveTo>
                                <a:lnTo>
                                  <a:pt x="9320" y="0"/>
                                </a:lnTo>
                              </a:path>
                            </a:pathLst>
                          </a:custGeom>
                          <a:noFill/>
                          <a:ln w="12065">
                            <a:solidFill>
                              <a:srgbClr val="4F81B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0" name="Freeform 214"/>
                        <wps:cNvSpPr>
                          <a:spLocks/>
                        </wps:cNvSpPr>
                        <wps:spPr bwMode="auto">
                          <a:xfrm>
                            <a:off x="9379" y="20"/>
                            <a:ext cx="20" cy="702"/>
                          </a:xfrm>
                          <a:custGeom>
                            <a:avLst/>
                            <a:gdLst>
                              <a:gd name="T0" fmla="*/ 0 w 20"/>
                              <a:gd name="T1" fmla="*/ 0 h 702"/>
                              <a:gd name="T2" fmla="*/ 0 w 20"/>
                              <a:gd name="T3" fmla="*/ 702 h 702"/>
                            </a:gdLst>
                            <a:ahLst/>
                            <a:cxnLst>
                              <a:cxn ang="0">
                                <a:pos x="T0" y="T1"/>
                              </a:cxn>
                              <a:cxn ang="0">
                                <a:pos x="T2" y="T3"/>
                              </a:cxn>
                            </a:cxnLst>
                            <a:rect l="0" t="0" r="r" b="b"/>
                            <a:pathLst>
                              <a:path w="20" h="702">
                                <a:moveTo>
                                  <a:pt x="0" y="0"/>
                                </a:moveTo>
                                <a:lnTo>
                                  <a:pt x="0" y="702"/>
                                </a:lnTo>
                              </a:path>
                            </a:pathLst>
                          </a:custGeom>
                          <a:noFill/>
                          <a:ln w="25400">
                            <a:solidFill>
                              <a:srgbClr val="4F81B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1" name="Freeform 215"/>
                        <wps:cNvSpPr>
                          <a:spLocks/>
                        </wps:cNvSpPr>
                        <wps:spPr bwMode="auto">
                          <a:xfrm>
                            <a:off x="9359" y="702"/>
                            <a:ext cx="40" cy="20"/>
                          </a:xfrm>
                          <a:custGeom>
                            <a:avLst/>
                            <a:gdLst>
                              <a:gd name="T0" fmla="*/ 40 w 40"/>
                              <a:gd name="T1" fmla="*/ 0 h 20"/>
                              <a:gd name="T2" fmla="*/ 19 w 40"/>
                              <a:gd name="T3" fmla="*/ 0 h 20"/>
                              <a:gd name="T4" fmla="*/ 0 w 40"/>
                              <a:gd name="T5" fmla="*/ 19 h 20"/>
                              <a:gd name="T6" fmla="*/ 40 w 40"/>
                              <a:gd name="T7" fmla="*/ 19 h 20"/>
                              <a:gd name="T8" fmla="*/ 40 w 40"/>
                              <a:gd name="T9" fmla="*/ 0 h 20"/>
                            </a:gdLst>
                            <a:ahLst/>
                            <a:cxnLst>
                              <a:cxn ang="0">
                                <a:pos x="T0" y="T1"/>
                              </a:cxn>
                              <a:cxn ang="0">
                                <a:pos x="T2" y="T3"/>
                              </a:cxn>
                              <a:cxn ang="0">
                                <a:pos x="T4" y="T5"/>
                              </a:cxn>
                              <a:cxn ang="0">
                                <a:pos x="T6" y="T7"/>
                              </a:cxn>
                              <a:cxn ang="0">
                                <a:pos x="T8" y="T9"/>
                              </a:cxn>
                            </a:cxnLst>
                            <a:rect l="0" t="0" r="r" b="b"/>
                            <a:pathLst>
                              <a:path w="40" h="20">
                                <a:moveTo>
                                  <a:pt x="40" y="0"/>
                                </a:moveTo>
                                <a:lnTo>
                                  <a:pt x="19" y="0"/>
                                </a:lnTo>
                                <a:lnTo>
                                  <a:pt x="0" y="19"/>
                                </a:lnTo>
                                <a:lnTo>
                                  <a:pt x="40" y="19"/>
                                </a:lnTo>
                                <a:lnTo>
                                  <a:pt x="40" y="0"/>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2" name="Freeform 216"/>
                        <wps:cNvSpPr>
                          <a:spLocks/>
                        </wps:cNvSpPr>
                        <wps:spPr bwMode="auto">
                          <a:xfrm>
                            <a:off x="18" y="20"/>
                            <a:ext cx="21" cy="21"/>
                          </a:xfrm>
                          <a:custGeom>
                            <a:avLst/>
                            <a:gdLst>
                              <a:gd name="T0" fmla="*/ 20 w 21"/>
                              <a:gd name="T1" fmla="*/ 0 h 21"/>
                              <a:gd name="T2" fmla="*/ 0 w 21"/>
                              <a:gd name="T3" fmla="*/ 21 h 21"/>
                              <a:gd name="T4" fmla="*/ 20 w 21"/>
                              <a:gd name="T5" fmla="*/ 21 h 21"/>
                              <a:gd name="T6" fmla="*/ 20 w 21"/>
                              <a:gd name="T7" fmla="*/ 0 h 21"/>
                            </a:gdLst>
                            <a:ahLst/>
                            <a:cxnLst>
                              <a:cxn ang="0">
                                <a:pos x="T0" y="T1"/>
                              </a:cxn>
                              <a:cxn ang="0">
                                <a:pos x="T2" y="T3"/>
                              </a:cxn>
                              <a:cxn ang="0">
                                <a:pos x="T4" y="T5"/>
                              </a:cxn>
                              <a:cxn ang="0">
                                <a:pos x="T6" y="T7"/>
                              </a:cxn>
                            </a:cxnLst>
                            <a:rect l="0" t="0" r="r" b="b"/>
                            <a:pathLst>
                              <a:path w="21" h="21">
                                <a:moveTo>
                                  <a:pt x="20" y="0"/>
                                </a:moveTo>
                                <a:lnTo>
                                  <a:pt x="0" y="21"/>
                                </a:lnTo>
                                <a:lnTo>
                                  <a:pt x="20" y="21"/>
                                </a:lnTo>
                                <a:lnTo>
                                  <a:pt x="20" y="0"/>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3" name="Freeform 217"/>
                        <wps:cNvSpPr>
                          <a:spLocks/>
                        </wps:cNvSpPr>
                        <wps:spPr bwMode="auto">
                          <a:xfrm>
                            <a:off x="40" y="30"/>
                            <a:ext cx="9320" cy="20"/>
                          </a:xfrm>
                          <a:custGeom>
                            <a:avLst/>
                            <a:gdLst>
                              <a:gd name="T0" fmla="*/ 0 w 9320"/>
                              <a:gd name="T1" fmla="*/ 0 h 20"/>
                              <a:gd name="T2" fmla="*/ 9320 w 9320"/>
                              <a:gd name="T3" fmla="*/ 0 h 20"/>
                            </a:gdLst>
                            <a:ahLst/>
                            <a:cxnLst>
                              <a:cxn ang="0">
                                <a:pos x="T0" y="T1"/>
                              </a:cxn>
                              <a:cxn ang="0">
                                <a:pos x="T2" y="T3"/>
                              </a:cxn>
                            </a:cxnLst>
                            <a:rect l="0" t="0" r="r" b="b"/>
                            <a:pathLst>
                              <a:path w="9320" h="20">
                                <a:moveTo>
                                  <a:pt x="0" y="0"/>
                                </a:moveTo>
                                <a:lnTo>
                                  <a:pt x="9320" y="0"/>
                                </a:lnTo>
                              </a:path>
                            </a:pathLst>
                          </a:custGeom>
                          <a:noFill/>
                          <a:ln w="13334">
                            <a:solidFill>
                              <a:srgbClr val="4F81B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4" name="Freeform 218"/>
                        <wps:cNvSpPr>
                          <a:spLocks/>
                        </wps:cNvSpPr>
                        <wps:spPr bwMode="auto">
                          <a:xfrm>
                            <a:off x="9360" y="20"/>
                            <a:ext cx="40" cy="21"/>
                          </a:xfrm>
                          <a:custGeom>
                            <a:avLst/>
                            <a:gdLst>
                              <a:gd name="T0" fmla="*/ 40 w 40"/>
                              <a:gd name="T1" fmla="*/ 0 h 21"/>
                              <a:gd name="T2" fmla="*/ 0 w 40"/>
                              <a:gd name="T3" fmla="*/ 0 h 21"/>
                              <a:gd name="T4" fmla="*/ 19 w 40"/>
                              <a:gd name="T5" fmla="*/ 21 h 21"/>
                              <a:gd name="T6" fmla="*/ 40 w 40"/>
                              <a:gd name="T7" fmla="*/ 21 h 21"/>
                              <a:gd name="T8" fmla="*/ 40 w 40"/>
                              <a:gd name="T9" fmla="*/ 0 h 21"/>
                            </a:gdLst>
                            <a:ahLst/>
                            <a:cxnLst>
                              <a:cxn ang="0">
                                <a:pos x="T0" y="T1"/>
                              </a:cxn>
                              <a:cxn ang="0">
                                <a:pos x="T2" y="T3"/>
                              </a:cxn>
                              <a:cxn ang="0">
                                <a:pos x="T4" y="T5"/>
                              </a:cxn>
                              <a:cxn ang="0">
                                <a:pos x="T6" y="T7"/>
                              </a:cxn>
                              <a:cxn ang="0">
                                <a:pos x="T8" y="T9"/>
                              </a:cxn>
                            </a:cxnLst>
                            <a:rect l="0" t="0" r="r" b="b"/>
                            <a:pathLst>
                              <a:path w="40" h="21">
                                <a:moveTo>
                                  <a:pt x="40" y="0"/>
                                </a:moveTo>
                                <a:lnTo>
                                  <a:pt x="0" y="0"/>
                                </a:lnTo>
                                <a:lnTo>
                                  <a:pt x="19" y="21"/>
                                </a:lnTo>
                                <a:lnTo>
                                  <a:pt x="40" y="21"/>
                                </a:lnTo>
                                <a:lnTo>
                                  <a:pt x="40" y="0"/>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5" name="Text Box 219"/>
                        <wps:cNvSpPr txBox="1">
                          <a:spLocks noChangeArrowheads="1"/>
                        </wps:cNvSpPr>
                        <wps:spPr bwMode="auto">
                          <a:xfrm>
                            <a:off x="0" y="0"/>
                            <a:ext cx="9400" cy="7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pStyle w:val="BodyText"/>
                                <w:kinsoku w:val="0"/>
                                <w:overflowPunct w:val="0"/>
                                <w:spacing w:before="109"/>
                                <w:ind w:left="2064" w:right="187"/>
                                <w:rPr>
                                  <w:color w:val="365F91"/>
                                  <w:sz w:val="28"/>
                                  <w:szCs w:val="28"/>
                                </w:rPr>
                              </w:pPr>
                              <w:bookmarkStart w:id="65" w:name="BACO_Comments_on_Demonstration_Extension"/>
                              <w:bookmarkEnd w:id="65"/>
                              <w:r>
                                <w:rPr>
                                  <w:color w:val="365F91"/>
                                  <w:sz w:val="28"/>
                                  <w:szCs w:val="28"/>
                                </w:rPr>
                                <w:t>Boston Accountable Care Organization (BACO)</w:t>
                              </w:r>
                            </w:p>
                          </w:txbxContent>
                        </wps:txbx>
                        <wps:bodyPr rot="0" vert="horz" wrap="square" lIns="0" tIns="0" rIns="0" bIns="0" anchor="t" anchorCtr="0" upright="1">
                          <a:noAutofit/>
                        </wps:bodyPr>
                      </wps:wsp>
                    </wpg:wgp>
                  </a:graphicData>
                </a:graphic>
              </wp:inline>
            </w:drawing>
          </mc:Choice>
          <mc:Fallback>
            <w:pict>
              <v:group id="Group 210" o:spid="_x0000_s1131" style="width:470pt;height:37.15pt;mso-position-horizontal-relative:char;mso-position-vertical-relative:line" coordsize="9400,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">
                <v:shape id="Freeform 211" o:spid="_x0000_s1132" style="position:absolute;top:1;width:9400;height:742;visibility:visible;mso-wrap-style:square;v-text-anchor:top" coordsize="9400,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duqMMA&#10;AADcAAAADwAAAGRycy9kb3ducmV2LnhtbESPQWsCMRSE70L/Q3iF3jTRQ2u3RhFF8FJK1SK9PZLX&#10;zdLNy5JEXf99UxA8DjPzDTNb9L4VZ4qpCaxhPFIgiE2wDdcaDvvNcAoiZWSLbWDScKUEi/nDYIaV&#10;DRf+pPMu16JAOFWoweXcVVIm48hjGoWOuHg/IXrMRcZa2oiXAvetnCj1LD02XBYcdrRyZH53J6/h&#10;9Ys+jt6YlVt/1/G9O9KV1Enrp8d++QYiU5/v4Vt7azVM1Qv8nylH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4duqMMAAADcAAAADwAAAAAAAAAAAAAAAACYAgAAZHJzL2Rv&#10;d25yZXYueG1sUEsFBgAAAAAEAAQA9QAAAIgDAAAAAA==&#10;" path="m9391,l8,,,8,,733r8,9l9391,742r9,-9l9400,721,40,721,18,702r22,l40,40r-22,l40,19r9360,l9400,8,9391,xe" fillcolor="#4f81bd" stroked="f">
                  <v:path arrowok="t" o:connecttype="custom" o:connectlocs="9391,0;8,0;0,8;0,733;8,742;9391,742;9400,733;9400,721;40,721;18,702;40,702;40,40;18,40;40,19;9400,19;9400,8;9391,0" o:connectangles="0,0,0,0,0,0,0,0,0,0,0,0,0,0,0,0,0"/>
                </v:shape>
                <v:shape id="Freeform 212" o:spid="_x0000_s1133" style="position:absolute;left:18;top:702;width:21;height:20;visibility:visible;mso-wrap-style:square;v-text-anchor:top" coordsize="2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qKWcEA&#10;AADcAAAADwAAAGRycy9kb3ducmV2LnhtbERPz2vCMBS+D/wfwhN2m0k9iHTGMgbiQBCnu+z2aN7a&#10;0uSlJFmt++vNYeDx4/u9qSZnxUghdp41FAsFgrj2puNGw9dl97IGEROyQeuZNNwoQrWdPW2wNP7K&#10;nzSeUyNyCMcSNbQpDaWUsW7JYVz4gThzPz44TBmGRpqA1xzurFwqtZIOO84NLQ703lLdn3+dhvB9&#10;6keJ8SgPf0dV97YIzd5q/Tyf3l5BJJrSQ/zv/jAa1iqvzWfyEZDb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LqilnBAAAA3AAAAA8AAAAAAAAAAAAAAAAAmAIAAGRycy9kb3du&#10;cmV2LnhtbFBLBQYAAAAABAAEAPUAAACGAwAAAAA=&#10;" path="m21,l,,21,19,21,xe" fillcolor="#4f81bd" stroked="f">
                  <v:path arrowok="t" o:connecttype="custom" o:connectlocs="21,0;0,0;21,19;21,0" o:connectangles="0,0,0,0"/>
                </v:shape>
                <v:shape id="Freeform 213" o:spid="_x0000_s1134" style="position:absolute;left:40;top:712;width:9320;height:20;visibility:visible;mso-wrap-style:square;v-text-anchor:top" coordsize="93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fUwsYA&#10;AADcAAAADwAAAGRycy9kb3ducmV2LnhtbESPT2sCMRTE7wW/Q3iCt5qtULGrUYpa+gcvXb14e26e&#10;m8XNy5JEXf30TaHQ4zAzv2Fmi8424kI+1I4VPA0zEMSl0zVXCnbbt8cJiBCRNTaOScGNAizmvYcZ&#10;5tpd+ZsuRaxEgnDIUYGJsc2lDKUhi2HoWuLkHZ23GJP0ldQerwluGznKsrG0WHNaMNjS0lB5Ks5W&#10;wWEdvw6fI66Xe383p/fN6vhc3JUa9LvXKYhIXfwP/7U/tIJJ9gK/Z9IRkP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3fUwsYAAADcAAAADwAAAAAAAAAAAAAAAACYAgAAZHJz&#10;L2Rvd25yZXYueG1sUEsFBgAAAAAEAAQA9QAAAIsDAAAAAA==&#10;" path="m,l9320,e" filled="f" strokecolor="#4f81bd" strokeweight=".95pt">
                  <v:path arrowok="t" o:connecttype="custom" o:connectlocs="0,0;9320,0" o:connectangles="0,0"/>
                </v:shape>
                <v:shape id="Freeform 214" o:spid="_x0000_s1135" style="position:absolute;left:9379;top:20;width:20;height:702;visibility:visible;mso-wrap-style:square;v-text-anchor:top" coordsize="20,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GzBMMA&#10;AADcAAAADwAAAGRycy9kb3ducmV2LnhtbERPz2vCMBS+D/wfwhN2m2l32KQzyhDLPIiwVmTeHs1b&#10;W2xeShJr+9+bw2DHj+/3ajOaTgzkfGtZQbpIQBBXVrdcKziV+csShA/IGjvLpGAiD5v17GmFmbZ3&#10;/qahCLWIIewzVNCE0GdS+qohg35he+LI/VpnMEToaqkd3mO46eRrkrxJgy3HhgZ72jZUXYubUXDI&#10;z+WYuoumy/Fr2l3P7vBTviv1PB8/P0AEGsO/+M+91wqWaZwfz8Qj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GzBMMAAADcAAAADwAAAAAAAAAAAAAAAACYAgAAZHJzL2Rv&#10;d25yZXYueG1sUEsFBgAAAAAEAAQA9QAAAIgDAAAAAA==&#10;" path="m,l,702e" filled="f" strokecolor="#4f81bd" strokeweight="2pt">
                  <v:path arrowok="t" o:connecttype="custom" o:connectlocs="0,0;0,702" o:connectangles="0,0"/>
                </v:shape>
                <v:shape id="Freeform 215" o:spid="_x0000_s1136" style="position:absolute;left:9359;top:702;width:40;height:20;visibility:visible;mso-wrap-style:square;v-text-anchor:top" coordsize="4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MdL8QA&#10;AADcAAAADwAAAGRycy9kb3ducmV2LnhtbESP3WrCQBCF74W+wzIFb0Q3UVpDdJVUUEovpI0+wJAd&#10;k9DsbMiuMb59VxB6eTg/H2e9HUwjeupcbVlBPItAEBdW11wqOJ/20wSE88gaG8uk4E4OtpuX0RpT&#10;bW/8Q33uSxFG2KWooPK+TaV0RUUG3cy2xMG72M6gD7Irpe7wFsZNI+dR9C4N1hwIFba0q6j4za8m&#10;QCbJ24G/cf/xtciOLuqPy11GSo1fh2wFwtPg/8PP9qdWkMQxPM6EIy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HS/EAAAA3AAAAA8AAAAAAAAAAAAAAAAAmAIAAGRycy9k&#10;b3ducmV2LnhtbFBLBQYAAAAABAAEAPUAAACJAwAAAAA=&#10;" path="m40,l19,,,19r40,l40,xe" fillcolor="#4f81bd" stroked="f">
                  <v:path arrowok="t" o:connecttype="custom" o:connectlocs="40,0;19,0;0,19;40,19;40,0" o:connectangles="0,0,0,0,0"/>
                </v:shape>
                <v:shape id="Freeform 216" o:spid="_x0000_s1137" style="position:absolute;left:18;top:20;width:21;height:21;visibility:visible;mso-wrap-style:square;v-text-anchor:top" coordsize="2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313sMA&#10;AADcAAAADwAAAGRycy9kb3ducmV2LnhtbESP0WrCQBRE3wv+w3IF3+pGsSWNrqJioW8laT7gkr0m&#10;wezdsLsm8e/dQqGPw8ycYXaHyXRiIOdbywpWywQEcWV1y7WC8ufzNQXhA7LGzjIpeJCHw372ssNM&#10;25FzGopQiwhhn6GCJoQ+k9JXDRn0S9sTR+9qncEQpauldjhGuOnkOknepcGW40KDPZ0bqm7F3SjQ&#10;b6XXH2V+rPPN9+niW5fcK6fUYj4dtyACTeE//Nf+0grS1Rp+z8QjIP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313sMAAADcAAAADwAAAAAAAAAAAAAAAACYAgAAZHJzL2Rv&#10;d25yZXYueG1sUEsFBgAAAAAEAAQA9QAAAIgDAAAAAA==&#10;" path="m20,l,21r20,l20,xe" fillcolor="#4f81bd" stroked="f">
                  <v:path arrowok="t" o:connecttype="custom" o:connectlocs="20,0;0,21;20,21;20,0" o:connectangles="0,0,0,0"/>
                </v:shape>
                <v:shape id="Freeform 217" o:spid="_x0000_s1138" style="position:absolute;left:40;top:30;width:9320;height:20;visibility:visible;mso-wrap-style:square;v-text-anchor:top" coordsize="93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KUx8YA&#10;AADcAAAADwAAAGRycy9kb3ducmV2LnhtbESP0WrCQBRE34X+w3ILvjWbWBCbukpbqxV8sTEfcMne&#10;JrHZuyG7mujXd4WCj8PMnGHmy8E04kydqy0rSKIYBHFhdc2lgvywfpqBcB5ZY2OZFFzIwXLxMJpj&#10;qm3P33TOfCkChF2KCirv21RKV1Rk0EW2JQ7ej+0M+iC7UuoO+wA3jZzE8VQarDksVNjSR0XFb3Yy&#10;Ct6vx/xgs91+6L/yyybxx/Llc6XU+HF4ewXhafD38H97qxXMkme4nQ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lKUx8YAAADcAAAADwAAAAAAAAAAAAAAAACYAgAAZHJz&#10;L2Rvd25yZXYueG1sUEsFBgAAAAAEAAQA9QAAAIsDAAAAAA==&#10;" path="m,l9320,e" filled="f" strokecolor="#4f81bd" strokeweight=".37039mm">
                  <v:path arrowok="t" o:connecttype="custom" o:connectlocs="0,0;9320,0" o:connectangles="0,0"/>
                </v:shape>
                <v:shape id="Freeform 218" o:spid="_x0000_s1139" style="position:absolute;left:9360;top:20;width:40;height:21;visibility:visible;mso-wrap-style:square;v-text-anchor:top" coordsize="40,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sjhsQA&#10;AADcAAAADwAAAGRycy9kb3ducmV2LnhtbESPzW7CMBCE75X6DtZW6q04/LSkKQZBJQRX0h56XNnb&#10;OGq8DrEh4e0xElKPo5n5RrNYDa4RZ+pC7VnBeJSBINbe1Fwp+P7avuQgQkQ22HgmBRcKsFo+Piyw&#10;ML7nA53LWIkE4VCgAhtjW0gZtCWHYeRb4uT9+s5hTLKrpOmwT3DXyEmWvUmHNacFiy19WtJ/5ckp&#10;qDab0+TnaOfvfT5l3M31+jVqpZ6fhvUHiEhD/A/f23ujIB/P4HYmHQG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7I4bEAAAA3AAAAA8AAAAAAAAAAAAAAAAAmAIAAGRycy9k&#10;b3ducmV2LnhtbFBLBQYAAAAABAAEAPUAAACJAwAAAAA=&#10;" path="m40,l,,19,21r21,l40,xe" fillcolor="#4f81bd" stroked="f">
                  <v:path arrowok="t" o:connecttype="custom" o:connectlocs="40,0;0,0;19,21;40,21;40,0" o:connectangles="0,0,0,0,0"/>
                </v:shape>
                <v:shape id="Text Box 219" o:spid="_x0000_s1140" type="#_x0000_t202" style="position:absolute;width:9400;height: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8yBMUA&#10;AADcAAAADwAAAGRycy9kb3ducmV2LnhtbESPQWvCQBSE74X+h+UVems2FhRN3YhIBaFQGuPB42v2&#10;mSzJvo3ZVdN/3y0UPA4z8w2zXI22E1cavHGsYJKkIIgrpw3XCg7l9mUOwgdkjZ1jUvBDHlb548MS&#10;M+1uXNB1H2oRIewzVNCE0GdS+qohiz5xPXH0Tm6wGKIcaqkHvEW47eRrms6kRcNxocGeNg1V7f5i&#10;FayPXLyb8+f3V3EqTFkuUv6YtUo9P43rNxCBxnAP/7d3WsF8MoW/M/EIy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jzIExQAAANwAAAAPAAAAAAAAAAAAAAAAAJgCAABkcnMv&#10;ZG93bnJldi54bWxQSwUGAAAAAAQABAD1AAAAigMAAAAA&#10;" filled="f" stroked="f">
                  <v:textbox inset="0,0,0,0">
                    <w:txbxContent>
                      <w:p w:rsidR="007B2B7B" w:rsidRDefault="007B2B7B">
                        <w:pPr>
                          <w:pStyle w:val="BodyText"/>
                          <w:kinsoku w:val="0"/>
                          <w:overflowPunct w:val="0"/>
                          <w:spacing w:before="109"/>
                          <w:ind w:left="2064" w:right="187"/>
                          <w:rPr>
                            <w:color w:val="365F91"/>
                            <w:sz w:val="28"/>
                            <w:szCs w:val="28"/>
                          </w:rPr>
                        </w:pPr>
                        <w:bookmarkStart w:id="66" w:name="BACO_Comments_on_Demonstration_Extension"/>
                        <w:bookmarkEnd w:id="66"/>
                        <w:r>
                          <w:rPr>
                            <w:color w:val="365F91"/>
                            <w:sz w:val="28"/>
                            <w:szCs w:val="28"/>
                          </w:rPr>
                          <w:t>Boston Accountable Care Organization (BACO)</w:t>
                        </w:r>
                      </w:p>
                    </w:txbxContent>
                  </v:textbox>
                </v:shape>
                <w10:anchorlock/>
              </v:group>
            </w:pict>
          </mc:Fallback>
        </mc:AlternateContent>
      </w:r>
    </w:p>
    <w:p w:rsidR="002C5025" w:rsidRDefault="002C5025">
      <w:pPr>
        <w:pStyle w:val="BodyText"/>
        <w:kinsoku w:val="0"/>
        <w:overflowPunct w:val="0"/>
        <w:spacing w:before="3"/>
        <w:rPr>
          <w:rFonts w:ascii="Arial" w:hAnsi="Arial" w:cs="Arial"/>
          <w:sz w:val="21"/>
          <w:szCs w:val="21"/>
        </w:rPr>
      </w:pPr>
    </w:p>
    <w:p w:rsidR="002C5025" w:rsidRDefault="002C5025">
      <w:pPr>
        <w:pStyle w:val="BodyText"/>
        <w:kinsoku w:val="0"/>
        <w:overflowPunct w:val="0"/>
        <w:ind w:left="140" w:right="5289"/>
      </w:pPr>
      <w:r>
        <w:t>July 15, 2016</w:t>
      </w:r>
    </w:p>
    <w:p w:rsidR="002C5025" w:rsidRDefault="002C5025">
      <w:pPr>
        <w:pStyle w:val="BodyText"/>
        <w:kinsoku w:val="0"/>
        <w:overflowPunct w:val="0"/>
        <w:spacing w:before="10"/>
        <w:rPr>
          <w:sz w:val="21"/>
          <w:szCs w:val="21"/>
        </w:rPr>
      </w:pPr>
    </w:p>
    <w:p w:rsidR="002C5025" w:rsidRDefault="002C5025">
      <w:pPr>
        <w:pStyle w:val="BodyText"/>
        <w:kinsoku w:val="0"/>
        <w:overflowPunct w:val="0"/>
        <w:ind w:left="140" w:right="5289"/>
      </w:pPr>
      <w:r>
        <w:t>Secretary Marylou Sudders</w:t>
      </w:r>
    </w:p>
    <w:p w:rsidR="002C5025" w:rsidRDefault="002C5025">
      <w:pPr>
        <w:pStyle w:val="BodyText"/>
        <w:kinsoku w:val="0"/>
        <w:overflowPunct w:val="0"/>
        <w:ind w:left="140" w:right="5289" w:hanging="1"/>
      </w:pPr>
      <w:r>
        <w:t>Executive Office of Health and Human Services One Ashburton Place</w:t>
      </w:r>
    </w:p>
    <w:p w:rsidR="002C5025" w:rsidRDefault="002C5025">
      <w:pPr>
        <w:pStyle w:val="BodyText"/>
        <w:kinsoku w:val="0"/>
        <w:overflowPunct w:val="0"/>
        <w:spacing w:line="480" w:lineRule="auto"/>
        <w:ind w:left="140" w:right="6525" w:hanging="1"/>
      </w:pPr>
      <w:r>
        <w:t>Boston, MA 02108 Dear Secretary Sudders,</w:t>
      </w:r>
    </w:p>
    <w:p w:rsidR="002C5025" w:rsidRDefault="002C5025">
      <w:pPr>
        <w:pStyle w:val="BodyText"/>
        <w:kinsoku w:val="0"/>
        <w:overflowPunct w:val="0"/>
        <w:spacing w:line="276" w:lineRule="auto"/>
        <w:ind w:left="140" w:right="201"/>
      </w:pPr>
      <w:r>
        <w:t>On</w:t>
      </w:r>
      <w:r>
        <w:rPr>
          <w:spacing w:val="-12"/>
        </w:rPr>
        <w:t xml:space="preserve"> </w:t>
      </w:r>
      <w:r>
        <w:t>behalf</w:t>
      </w:r>
      <w:r>
        <w:rPr>
          <w:spacing w:val="-11"/>
        </w:rPr>
        <w:t xml:space="preserve"> </w:t>
      </w:r>
      <w:r>
        <w:t>of</w:t>
      </w:r>
      <w:r>
        <w:rPr>
          <w:spacing w:val="-11"/>
        </w:rPr>
        <w:t xml:space="preserve"> </w:t>
      </w:r>
      <w:r>
        <w:t>the</w:t>
      </w:r>
      <w:r>
        <w:rPr>
          <w:spacing w:val="-10"/>
        </w:rPr>
        <w:t xml:space="preserve"> </w:t>
      </w:r>
      <w:r>
        <w:t>Boston</w:t>
      </w:r>
      <w:r>
        <w:rPr>
          <w:spacing w:val="-12"/>
        </w:rPr>
        <w:t xml:space="preserve"> </w:t>
      </w:r>
      <w:r>
        <w:t>Accountable</w:t>
      </w:r>
      <w:r>
        <w:rPr>
          <w:spacing w:val="-10"/>
        </w:rPr>
        <w:t xml:space="preserve"> </w:t>
      </w:r>
      <w:r>
        <w:t>Care</w:t>
      </w:r>
      <w:r>
        <w:rPr>
          <w:spacing w:val="-10"/>
        </w:rPr>
        <w:t xml:space="preserve"> </w:t>
      </w:r>
      <w:r>
        <w:t>Organization</w:t>
      </w:r>
      <w:r>
        <w:rPr>
          <w:spacing w:val="-14"/>
        </w:rPr>
        <w:t xml:space="preserve"> </w:t>
      </w:r>
      <w:r>
        <w:t>(BACO),</w:t>
      </w:r>
      <w:r>
        <w:rPr>
          <w:spacing w:val="-8"/>
        </w:rPr>
        <w:t xml:space="preserve"> </w:t>
      </w:r>
      <w:r>
        <w:t>we</w:t>
      </w:r>
      <w:r>
        <w:rPr>
          <w:spacing w:val="-10"/>
        </w:rPr>
        <w:t xml:space="preserve"> </w:t>
      </w:r>
      <w:r>
        <w:t>are</w:t>
      </w:r>
      <w:r>
        <w:rPr>
          <w:spacing w:val="-10"/>
        </w:rPr>
        <w:t xml:space="preserve"> </w:t>
      </w:r>
      <w:r>
        <w:t>pleased</w:t>
      </w:r>
      <w:r>
        <w:rPr>
          <w:spacing w:val="-12"/>
        </w:rPr>
        <w:t xml:space="preserve"> </w:t>
      </w:r>
      <w:r>
        <w:t>to</w:t>
      </w:r>
      <w:r>
        <w:rPr>
          <w:spacing w:val="-10"/>
        </w:rPr>
        <w:t xml:space="preserve"> </w:t>
      </w:r>
      <w:r>
        <w:t>submit</w:t>
      </w:r>
      <w:r>
        <w:rPr>
          <w:spacing w:val="-13"/>
        </w:rPr>
        <w:t xml:space="preserve"> </w:t>
      </w:r>
      <w:r>
        <w:t>this</w:t>
      </w:r>
      <w:r>
        <w:rPr>
          <w:spacing w:val="-11"/>
        </w:rPr>
        <w:t xml:space="preserve"> </w:t>
      </w:r>
      <w:r>
        <w:t>letter</w:t>
      </w:r>
      <w:r>
        <w:rPr>
          <w:spacing w:val="-11"/>
        </w:rPr>
        <w:t xml:space="preserve"> </w:t>
      </w:r>
      <w:r>
        <w:t>of support for the Commonwealth of Massachusetts’ Section 1115 Medicaid Waiver Request. With a history</w:t>
      </w:r>
      <w:r>
        <w:rPr>
          <w:spacing w:val="-14"/>
        </w:rPr>
        <w:t xml:space="preserve"> </w:t>
      </w:r>
      <w:r>
        <w:t>of</w:t>
      </w:r>
      <w:r>
        <w:rPr>
          <w:spacing w:val="-14"/>
        </w:rPr>
        <w:t xml:space="preserve"> </w:t>
      </w:r>
      <w:r>
        <w:t>twenty</w:t>
      </w:r>
      <w:r>
        <w:rPr>
          <w:spacing w:val="-13"/>
        </w:rPr>
        <w:t xml:space="preserve"> </w:t>
      </w:r>
      <w:r>
        <w:t>years</w:t>
      </w:r>
      <w:r>
        <w:rPr>
          <w:spacing w:val="-12"/>
        </w:rPr>
        <w:t xml:space="preserve"> </w:t>
      </w:r>
      <w:r>
        <w:t>of</w:t>
      </w:r>
      <w:r>
        <w:rPr>
          <w:spacing w:val="-14"/>
        </w:rPr>
        <w:t xml:space="preserve"> </w:t>
      </w:r>
      <w:r>
        <w:t>experience</w:t>
      </w:r>
      <w:r>
        <w:rPr>
          <w:spacing w:val="-11"/>
        </w:rPr>
        <w:t xml:space="preserve"> </w:t>
      </w:r>
      <w:r>
        <w:t>providing</w:t>
      </w:r>
      <w:r>
        <w:rPr>
          <w:spacing w:val="-13"/>
        </w:rPr>
        <w:t xml:space="preserve"> </w:t>
      </w:r>
      <w:r>
        <w:t>collaborative,</w:t>
      </w:r>
      <w:r>
        <w:rPr>
          <w:spacing w:val="-14"/>
        </w:rPr>
        <w:t xml:space="preserve"> </w:t>
      </w:r>
      <w:r>
        <w:t>integrated</w:t>
      </w:r>
      <w:r>
        <w:rPr>
          <w:spacing w:val="-13"/>
        </w:rPr>
        <w:t xml:space="preserve"> </w:t>
      </w:r>
      <w:r>
        <w:t>exceptional</w:t>
      </w:r>
      <w:r>
        <w:rPr>
          <w:spacing w:val="-12"/>
        </w:rPr>
        <w:t xml:space="preserve"> </w:t>
      </w:r>
      <w:r>
        <w:t>health</w:t>
      </w:r>
      <w:r>
        <w:rPr>
          <w:spacing w:val="-14"/>
        </w:rPr>
        <w:t xml:space="preserve"> </w:t>
      </w:r>
      <w:r>
        <w:t>care</w:t>
      </w:r>
      <w:r>
        <w:rPr>
          <w:spacing w:val="-14"/>
        </w:rPr>
        <w:t xml:space="preserve"> </w:t>
      </w:r>
      <w:r>
        <w:t>to</w:t>
      </w:r>
      <w:r>
        <w:rPr>
          <w:spacing w:val="-13"/>
        </w:rPr>
        <w:t xml:space="preserve"> </w:t>
      </w:r>
      <w:r>
        <w:t>all that began under Boston HealthNet, we fully endorse the move to accountable care for our patient population. BACO</w:t>
      </w:r>
      <w:r>
        <w:rPr>
          <w:spacing w:val="-2"/>
        </w:rPr>
        <w:t xml:space="preserve"> </w:t>
      </w:r>
      <w:r>
        <w:t>includes:</w:t>
      </w:r>
    </w:p>
    <w:p w:rsidR="002C5025" w:rsidRDefault="002C5025">
      <w:pPr>
        <w:pStyle w:val="BodyText"/>
        <w:kinsoku w:val="0"/>
        <w:overflowPunct w:val="0"/>
        <w:spacing w:before="4"/>
        <w:rPr>
          <w:sz w:val="16"/>
          <w:szCs w:val="16"/>
        </w:rPr>
      </w:pPr>
    </w:p>
    <w:p w:rsidR="002C5025" w:rsidRDefault="002C5025">
      <w:pPr>
        <w:pStyle w:val="ListParagraph"/>
        <w:numPr>
          <w:ilvl w:val="0"/>
          <w:numId w:val="16"/>
        </w:numPr>
        <w:tabs>
          <w:tab w:val="left" w:pos="860"/>
        </w:tabs>
        <w:kinsoku w:val="0"/>
        <w:overflowPunct w:val="0"/>
        <w:spacing w:before="1"/>
        <w:rPr>
          <w:rFonts w:ascii="Calibri" w:hAnsi="Calibri" w:cs="Calibri"/>
          <w:sz w:val="22"/>
          <w:szCs w:val="22"/>
        </w:rPr>
      </w:pPr>
      <w:r>
        <w:rPr>
          <w:rFonts w:ascii="Calibri" w:hAnsi="Calibri" w:cs="Calibri"/>
          <w:sz w:val="22"/>
          <w:szCs w:val="22"/>
        </w:rPr>
        <w:t>Codman</w:t>
      </w:r>
      <w:r>
        <w:rPr>
          <w:rFonts w:ascii="Calibri" w:hAnsi="Calibri" w:cs="Calibri"/>
          <w:spacing w:val="-18"/>
          <w:sz w:val="22"/>
          <w:szCs w:val="22"/>
        </w:rPr>
        <w:t xml:space="preserve"> </w:t>
      </w:r>
      <w:r>
        <w:rPr>
          <w:rFonts w:ascii="Calibri" w:hAnsi="Calibri" w:cs="Calibri"/>
          <w:sz w:val="22"/>
          <w:szCs w:val="22"/>
        </w:rPr>
        <w:t>Square</w:t>
      </w:r>
      <w:r>
        <w:rPr>
          <w:rFonts w:ascii="Calibri" w:hAnsi="Calibri" w:cs="Calibri"/>
          <w:spacing w:val="-16"/>
          <w:sz w:val="22"/>
          <w:szCs w:val="22"/>
        </w:rPr>
        <w:t xml:space="preserve"> </w:t>
      </w:r>
      <w:r>
        <w:rPr>
          <w:rFonts w:ascii="Calibri" w:hAnsi="Calibri" w:cs="Calibri"/>
          <w:sz w:val="22"/>
          <w:szCs w:val="22"/>
        </w:rPr>
        <w:t>Health</w:t>
      </w:r>
      <w:r>
        <w:rPr>
          <w:rFonts w:ascii="Calibri" w:hAnsi="Calibri" w:cs="Calibri"/>
          <w:spacing w:val="-15"/>
          <w:sz w:val="22"/>
          <w:szCs w:val="22"/>
        </w:rPr>
        <w:t xml:space="preserve"> </w:t>
      </w:r>
      <w:r>
        <w:rPr>
          <w:rFonts w:ascii="Calibri" w:hAnsi="Calibri" w:cs="Calibri"/>
          <w:sz w:val="22"/>
          <w:szCs w:val="22"/>
        </w:rPr>
        <w:t>Center</w:t>
      </w:r>
    </w:p>
    <w:p w:rsidR="002C5025" w:rsidRDefault="002C5025">
      <w:pPr>
        <w:pStyle w:val="ListParagraph"/>
        <w:numPr>
          <w:ilvl w:val="0"/>
          <w:numId w:val="16"/>
        </w:numPr>
        <w:tabs>
          <w:tab w:val="left" w:pos="860"/>
        </w:tabs>
        <w:kinsoku w:val="0"/>
        <w:overflowPunct w:val="0"/>
        <w:spacing w:before="41"/>
        <w:rPr>
          <w:rFonts w:ascii="Calibri" w:hAnsi="Calibri" w:cs="Calibri"/>
          <w:sz w:val="22"/>
          <w:szCs w:val="22"/>
        </w:rPr>
      </w:pPr>
      <w:proofErr w:type="spellStart"/>
      <w:r>
        <w:rPr>
          <w:rFonts w:ascii="Calibri" w:hAnsi="Calibri" w:cs="Calibri"/>
          <w:sz w:val="22"/>
          <w:szCs w:val="22"/>
        </w:rPr>
        <w:t>DotHouse</w:t>
      </w:r>
      <w:proofErr w:type="spellEnd"/>
      <w:r>
        <w:rPr>
          <w:rFonts w:ascii="Calibri" w:hAnsi="Calibri" w:cs="Calibri"/>
          <w:spacing w:val="-25"/>
          <w:sz w:val="22"/>
          <w:szCs w:val="22"/>
        </w:rPr>
        <w:t xml:space="preserve"> </w:t>
      </w:r>
      <w:r>
        <w:rPr>
          <w:rFonts w:ascii="Calibri" w:hAnsi="Calibri" w:cs="Calibri"/>
          <w:sz w:val="22"/>
          <w:szCs w:val="22"/>
        </w:rPr>
        <w:t>Health</w:t>
      </w:r>
    </w:p>
    <w:p w:rsidR="002C5025" w:rsidRDefault="002C5025">
      <w:pPr>
        <w:pStyle w:val="ListParagraph"/>
        <w:numPr>
          <w:ilvl w:val="0"/>
          <w:numId w:val="16"/>
        </w:numPr>
        <w:tabs>
          <w:tab w:val="left" w:pos="860"/>
        </w:tabs>
        <w:kinsoku w:val="0"/>
        <w:overflowPunct w:val="0"/>
        <w:spacing w:before="41"/>
        <w:rPr>
          <w:rFonts w:ascii="Calibri" w:hAnsi="Calibri" w:cs="Calibri"/>
          <w:sz w:val="22"/>
          <w:szCs w:val="22"/>
        </w:rPr>
      </w:pPr>
      <w:r>
        <w:rPr>
          <w:rFonts w:ascii="Calibri" w:hAnsi="Calibri" w:cs="Calibri"/>
          <w:sz w:val="22"/>
          <w:szCs w:val="22"/>
        </w:rPr>
        <w:t>Greater</w:t>
      </w:r>
      <w:r>
        <w:rPr>
          <w:rFonts w:ascii="Calibri" w:hAnsi="Calibri" w:cs="Calibri"/>
          <w:spacing w:val="-16"/>
          <w:sz w:val="22"/>
          <w:szCs w:val="22"/>
        </w:rPr>
        <w:t xml:space="preserve"> </w:t>
      </w:r>
      <w:r>
        <w:rPr>
          <w:rFonts w:ascii="Calibri" w:hAnsi="Calibri" w:cs="Calibri"/>
          <w:sz w:val="22"/>
          <w:szCs w:val="22"/>
        </w:rPr>
        <w:t>Roslindale</w:t>
      </w:r>
      <w:r>
        <w:rPr>
          <w:rFonts w:ascii="Calibri" w:hAnsi="Calibri" w:cs="Calibri"/>
          <w:spacing w:val="-15"/>
          <w:sz w:val="22"/>
          <w:szCs w:val="22"/>
        </w:rPr>
        <w:t xml:space="preserve"> </w:t>
      </w:r>
      <w:r>
        <w:rPr>
          <w:rFonts w:ascii="Calibri" w:hAnsi="Calibri" w:cs="Calibri"/>
          <w:sz w:val="22"/>
          <w:szCs w:val="22"/>
        </w:rPr>
        <w:t>Medical</w:t>
      </w:r>
      <w:r>
        <w:rPr>
          <w:rFonts w:ascii="Calibri" w:hAnsi="Calibri" w:cs="Calibri"/>
          <w:spacing w:val="-17"/>
          <w:sz w:val="22"/>
          <w:szCs w:val="22"/>
        </w:rPr>
        <w:t xml:space="preserve"> </w:t>
      </w:r>
      <w:r>
        <w:rPr>
          <w:rFonts w:ascii="Calibri" w:hAnsi="Calibri" w:cs="Calibri"/>
          <w:sz w:val="22"/>
          <w:szCs w:val="22"/>
        </w:rPr>
        <w:t>and</w:t>
      </w:r>
      <w:r>
        <w:rPr>
          <w:rFonts w:ascii="Calibri" w:hAnsi="Calibri" w:cs="Calibri"/>
          <w:spacing w:val="-16"/>
          <w:sz w:val="22"/>
          <w:szCs w:val="22"/>
        </w:rPr>
        <w:t xml:space="preserve"> </w:t>
      </w:r>
      <w:r>
        <w:rPr>
          <w:rFonts w:ascii="Calibri" w:hAnsi="Calibri" w:cs="Calibri"/>
          <w:sz w:val="22"/>
          <w:szCs w:val="22"/>
        </w:rPr>
        <w:t>Dental</w:t>
      </w:r>
    </w:p>
    <w:p w:rsidR="002C5025" w:rsidRDefault="002C5025">
      <w:pPr>
        <w:pStyle w:val="ListParagraph"/>
        <w:numPr>
          <w:ilvl w:val="0"/>
          <w:numId w:val="16"/>
        </w:numPr>
        <w:tabs>
          <w:tab w:val="left" w:pos="860"/>
        </w:tabs>
        <w:kinsoku w:val="0"/>
        <w:overflowPunct w:val="0"/>
        <w:spacing w:before="39"/>
        <w:rPr>
          <w:rFonts w:ascii="Calibri" w:hAnsi="Calibri" w:cs="Calibri"/>
          <w:sz w:val="22"/>
          <w:szCs w:val="22"/>
        </w:rPr>
      </w:pPr>
      <w:r>
        <w:rPr>
          <w:rFonts w:ascii="Calibri" w:hAnsi="Calibri" w:cs="Calibri"/>
          <w:sz w:val="22"/>
          <w:szCs w:val="22"/>
        </w:rPr>
        <w:t>Mattapan</w:t>
      </w:r>
      <w:r>
        <w:rPr>
          <w:rFonts w:ascii="Calibri" w:hAnsi="Calibri" w:cs="Calibri"/>
          <w:spacing w:val="-24"/>
          <w:sz w:val="22"/>
          <w:szCs w:val="22"/>
        </w:rPr>
        <w:t xml:space="preserve"> </w:t>
      </w:r>
      <w:r>
        <w:rPr>
          <w:rFonts w:ascii="Calibri" w:hAnsi="Calibri" w:cs="Calibri"/>
          <w:sz w:val="22"/>
          <w:szCs w:val="22"/>
        </w:rPr>
        <w:t>Community</w:t>
      </w:r>
      <w:r>
        <w:rPr>
          <w:rFonts w:ascii="Calibri" w:hAnsi="Calibri" w:cs="Calibri"/>
          <w:spacing w:val="-21"/>
          <w:sz w:val="22"/>
          <w:szCs w:val="22"/>
        </w:rPr>
        <w:t xml:space="preserve"> </w:t>
      </w:r>
      <w:r>
        <w:rPr>
          <w:rFonts w:ascii="Calibri" w:hAnsi="Calibri" w:cs="Calibri"/>
          <w:sz w:val="22"/>
          <w:szCs w:val="22"/>
        </w:rPr>
        <w:t>Health</w:t>
      </w:r>
      <w:r>
        <w:rPr>
          <w:rFonts w:ascii="Calibri" w:hAnsi="Calibri" w:cs="Calibri"/>
          <w:spacing w:val="-22"/>
          <w:sz w:val="22"/>
          <w:szCs w:val="22"/>
        </w:rPr>
        <w:t xml:space="preserve"> </w:t>
      </w:r>
      <w:r>
        <w:rPr>
          <w:rFonts w:ascii="Calibri" w:hAnsi="Calibri" w:cs="Calibri"/>
          <w:sz w:val="22"/>
          <w:szCs w:val="22"/>
        </w:rPr>
        <w:t>Center</w:t>
      </w:r>
    </w:p>
    <w:p w:rsidR="002C5025" w:rsidRDefault="002C5025">
      <w:pPr>
        <w:pStyle w:val="ListParagraph"/>
        <w:numPr>
          <w:ilvl w:val="0"/>
          <w:numId w:val="16"/>
        </w:numPr>
        <w:tabs>
          <w:tab w:val="left" w:pos="860"/>
        </w:tabs>
        <w:kinsoku w:val="0"/>
        <w:overflowPunct w:val="0"/>
        <w:spacing w:before="41"/>
        <w:rPr>
          <w:rFonts w:ascii="Calibri" w:hAnsi="Calibri" w:cs="Calibri"/>
          <w:sz w:val="22"/>
          <w:szCs w:val="22"/>
        </w:rPr>
      </w:pPr>
      <w:r>
        <w:rPr>
          <w:rFonts w:ascii="Calibri" w:hAnsi="Calibri" w:cs="Calibri"/>
          <w:sz w:val="22"/>
          <w:szCs w:val="22"/>
        </w:rPr>
        <w:t>South</w:t>
      </w:r>
      <w:r>
        <w:rPr>
          <w:rFonts w:ascii="Calibri" w:hAnsi="Calibri" w:cs="Calibri"/>
          <w:spacing w:val="-17"/>
          <w:sz w:val="22"/>
          <w:szCs w:val="22"/>
        </w:rPr>
        <w:t xml:space="preserve"> </w:t>
      </w:r>
      <w:r>
        <w:rPr>
          <w:rFonts w:ascii="Calibri" w:hAnsi="Calibri" w:cs="Calibri"/>
          <w:sz w:val="22"/>
          <w:szCs w:val="22"/>
        </w:rPr>
        <w:t>Boston</w:t>
      </w:r>
      <w:r>
        <w:rPr>
          <w:rFonts w:ascii="Calibri" w:hAnsi="Calibri" w:cs="Calibri"/>
          <w:spacing w:val="-17"/>
          <w:sz w:val="22"/>
          <w:szCs w:val="22"/>
        </w:rPr>
        <w:t xml:space="preserve"> </w:t>
      </w:r>
      <w:r>
        <w:rPr>
          <w:rFonts w:ascii="Calibri" w:hAnsi="Calibri" w:cs="Calibri"/>
          <w:sz w:val="22"/>
          <w:szCs w:val="22"/>
        </w:rPr>
        <w:t>Community</w:t>
      </w:r>
      <w:r>
        <w:rPr>
          <w:rFonts w:ascii="Calibri" w:hAnsi="Calibri" w:cs="Calibri"/>
          <w:spacing w:val="-16"/>
          <w:sz w:val="22"/>
          <w:szCs w:val="22"/>
        </w:rPr>
        <w:t xml:space="preserve"> </w:t>
      </w:r>
      <w:r>
        <w:rPr>
          <w:rFonts w:ascii="Calibri" w:hAnsi="Calibri" w:cs="Calibri"/>
          <w:sz w:val="22"/>
          <w:szCs w:val="22"/>
        </w:rPr>
        <w:t>Health</w:t>
      </w:r>
      <w:r>
        <w:rPr>
          <w:rFonts w:ascii="Calibri" w:hAnsi="Calibri" w:cs="Calibri"/>
          <w:spacing w:val="-17"/>
          <w:sz w:val="22"/>
          <w:szCs w:val="22"/>
        </w:rPr>
        <w:t xml:space="preserve"> </w:t>
      </w:r>
      <w:r>
        <w:rPr>
          <w:rFonts w:ascii="Calibri" w:hAnsi="Calibri" w:cs="Calibri"/>
          <w:sz w:val="22"/>
          <w:szCs w:val="22"/>
        </w:rPr>
        <w:t>Center</w:t>
      </w:r>
    </w:p>
    <w:p w:rsidR="002C5025" w:rsidRDefault="002C5025">
      <w:pPr>
        <w:pStyle w:val="ListParagraph"/>
        <w:numPr>
          <w:ilvl w:val="0"/>
          <w:numId w:val="16"/>
        </w:numPr>
        <w:tabs>
          <w:tab w:val="left" w:pos="860"/>
        </w:tabs>
        <w:kinsoku w:val="0"/>
        <w:overflowPunct w:val="0"/>
        <w:spacing w:before="39"/>
        <w:rPr>
          <w:rFonts w:ascii="Calibri" w:hAnsi="Calibri" w:cs="Calibri"/>
          <w:sz w:val="22"/>
          <w:szCs w:val="22"/>
        </w:rPr>
      </w:pPr>
      <w:r>
        <w:rPr>
          <w:rFonts w:ascii="Calibri" w:hAnsi="Calibri" w:cs="Calibri"/>
          <w:sz w:val="22"/>
          <w:szCs w:val="22"/>
        </w:rPr>
        <w:t>South</w:t>
      </w:r>
      <w:r>
        <w:rPr>
          <w:rFonts w:ascii="Calibri" w:hAnsi="Calibri" w:cs="Calibri"/>
          <w:spacing w:val="-17"/>
          <w:sz w:val="22"/>
          <w:szCs w:val="22"/>
        </w:rPr>
        <w:t xml:space="preserve"> </w:t>
      </w:r>
      <w:r>
        <w:rPr>
          <w:rFonts w:ascii="Calibri" w:hAnsi="Calibri" w:cs="Calibri"/>
          <w:sz w:val="22"/>
          <w:szCs w:val="22"/>
        </w:rPr>
        <w:t>End</w:t>
      </w:r>
      <w:r>
        <w:rPr>
          <w:rFonts w:ascii="Calibri" w:hAnsi="Calibri" w:cs="Calibri"/>
          <w:spacing w:val="-20"/>
          <w:sz w:val="22"/>
          <w:szCs w:val="22"/>
        </w:rPr>
        <w:t xml:space="preserve"> </w:t>
      </w:r>
      <w:r>
        <w:rPr>
          <w:rFonts w:ascii="Calibri" w:hAnsi="Calibri" w:cs="Calibri"/>
          <w:sz w:val="22"/>
          <w:szCs w:val="22"/>
        </w:rPr>
        <w:t>Community</w:t>
      </w:r>
      <w:r>
        <w:rPr>
          <w:rFonts w:ascii="Calibri" w:hAnsi="Calibri" w:cs="Calibri"/>
          <w:spacing w:val="-14"/>
          <w:sz w:val="22"/>
          <w:szCs w:val="22"/>
        </w:rPr>
        <w:t xml:space="preserve"> </w:t>
      </w:r>
      <w:r>
        <w:rPr>
          <w:rFonts w:ascii="Calibri" w:hAnsi="Calibri" w:cs="Calibri"/>
          <w:sz w:val="22"/>
          <w:szCs w:val="22"/>
        </w:rPr>
        <w:t>Health</w:t>
      </w:r>
      <w:r>
        <w:rPr>
          <w:rFonts w:ascii="Calibri" w:hAnsi="Calibri" w:cs="Calibri"/>
          <w:spacing w:val="-17"/>
          <w:sz w:val="22"/>
          <w:szCs w:val="22"/>
        </w:rPr>
        <w:t xml:space="preserve"> </w:t>
      </w:r>
      <w:r>
        <w:rPr>
          <w:rFonts w:ascii="Calibri" w:hAnsi="Calibri" w:cs="Calibri"/>
          <w:sz w:val="22"/>
          <w:szCs w:val="22"/>
        </w:rPr>
        <w:t>Center</w:t>
      </w:r>
    </w:p>
    <w:p w:rsidR="002C5025" w:rsidRDefault="002C5025">
      <w:pPr>
        <w:pStyle w:val="ListParagraph"/>
        <w:numPr>
          <w:ilvl w:val="0"/>
          <w:numId w:val="16"/>
        </w:numPr>
        <w:tabs>
          <w:tab w:val="left" w:pos="860"/>
        </w:tabs>
        <w:kinsoku w:val="0"/>
        <w:overflowPunct w:val="0"/>
        <w:spacing w:before="41"/>
        <w:rPr>
          <w:rFonts w:ascii="Calibri" w:hAnsi="Calibri" w:cs="Calibri"/>
          <w:sz w:val="22"/>
          <w:szCs w:val="22"/>
        </w:rPr>
      </w:pPr>
      <w:r>
        <w:rPr>
          <w:rFonts w:ascii="Calibri" w:hAnsi="Calibri" w:cs="Calibri"/>
          <w:sz w:val="22"/>
          <w:szCs w:val="22"/>
        </w:rPr>
        <w:t>Faculty</w:t>
      </w:r>
      <w:r>
        <w:rPr>
          <w:rFonts w:ascii="Calibri" w:hAnsi="Calibri" w:cs="Calibri"/>
          <w:spacing w:val="-14"/>
          <w:sz w:val="22"/>
          <w:szCs w:val="22"/>
        </w:rPr>
        <w:t xml:space="preserve"> </w:t>
      </w:r>
      <w:r>
        <w:rPr>
          <w:rFonts w:ascii="Calibri" w:hAnsi="Calibri" w:cs="Calibri"/>
          <w:sz w:val="22"/>
          <w:szCs w:val="22"/>
        </w:rPr>
        <w:t>Practice</w:t>
      </w:r>
      <w:r>
        <w:rPr>
          <w:rFonts w:ascii="Calibri" w:hAnsi="Calibri" w:cs="Calibri"/>
          <w:spacing w:val="-14"/>
          <w:sz w:val="22"/>
          <w:szCs w:val="22"/>
        </w:rPr>
        <w:t xml:space="preserve"> </w:t>
      </w:r>
      <w:r>
        <w:rPr>
          <w:rFonts w:ascii="Calibri" w:hAnsi="Calibri" w:cs="Calibri"/>
          <w:sz w:val="22"/>
          <w:szCs w:val="22"/>
        </w:rPr>
        <w:t>Foundation</w:t>
      </w:r>
      <w:r>
        <w:rPr>
          <w:rFonts w:ascii="Calibri" w:hAnsi="Calibri" w:cs="Calibri"/>
          <w:spacing w:val="-15"/>
          <w:sz w:val="22"/>
          <w:szCs w:val="22"/>
        </w:rPr>
        <w:t xml:space="preserve"> </w:t>
      </w:r>
      <w:r>
        <w:rPr>
          <w:rFonts w:ascii="Calibri" w:hAnsi="Calibri" w:cs="Calibri"/>
          <w:sz w:val="22"/>
          <w:szCs w:val="22"/>
        </w:rPr>
        <w:t>at</w:t>
      </w:r>
      <w:r>
        <w:rPr>
          <w:rFonts w:ascii="Calibri" w:hAnsi="Calibri" w:cs="Calibri"/>
          <w:spacing w:val="-12"/>
          <w:sz w:val="22"/>
          <w:szCs w:val="22"/>
        </w:rPr>
        <w:t xml:space="preserve"> </w:t>
      </w:r>
      <w:r>
        <w:rPr>
          <w:rFonts w:ascii="Calibri" w:hAnsi="Calibri" w:cs="Calibri"/>
          <w:sz w:val="22"/>
          <w:szCs w:val="22"/>
        </w:rPr>
        <w:t>Boston</w:t>
      </w:r>
      <w:r>
        <w:rPr>
          <w:rFonts w:ascii="Calibri" w:hAnsi="Calibri" w:cs="Calibri"/>
          <w:spacing w:val="-15"/>
          <w:sz w:val="22"/>
          <w:szCs w:val="22"/>
        </w:rPr>
        <w:t xml:space="preserve"> </w:t>
      </w:r>
      <w:r>
        <w:rPr>
          <w:rFonts w:ascii="Calibri" w:hAnsi="Calibri" w:cs="Calibri"/>
          <w:sz w:val="22"/>
          <w:szCs w:val="22"/>
        </w:rPr>
        <w:t>Medical</w:t>
      </w:r>
      <w:r>
        <w:rPr>
          <w:rFonts w:ascii="Calibri" w:hAnsi="Calibri" w:cs="Calibri"/>
          <w:spacing w:val="-14"/>
          <w:sz w:val="22"/>
          <w:szCs w:val="22"/>
        </w:rPr>
        <w:t xml:space="preserve"> </w:t>
      </w:r>
      <w:r>
        <w:rPr>
          <w:rFonts w:ascii="Calibri" w:hAnsi="Calibri" w:cs="Calibri"/>
          <w:sz w:val="22"/>
          <w:szCs w:val="22"/>
        </w:rPr>
        <w:t>Center</w:t>
      </w:r>
      <w:r>
        <w:rPr>
          <w:rFonts w:ascii="Calibri" w:hAnsi="Calibri" w:cs="Calibri"/>
          <w:spacing w:val="-13"/>
          <w:sz w:val="22"/>
          <w:szCs w:val="22"/>
        </w:rPr>
        <w:t xml:space="preserve"> </w:t>
      </w:r>
      <w:r>
        <w:rPr>
          <w:rFonts w:ascii="Calibri" w:hAnsi="Calibri" w:cs="Calibri"/>
          <w:sz w:val="22"/>
          <w:szCs w:val="22"/>
        </w:rPr>
        <w:t>and</w:t>
      </w:r>
      <w:r>
        <w:rPr>
          <w:rFonts w:ascii="Calibri" w:hAnsi="Calibri" w:cs="Calibri"/>
          <w:spacing w:val="-14"/>
          <w:sz w:val="22"/>
          <w:szCs w:val="22"/>
        </w:rPr>
        <w:t xml:space="preserve"> </w:t>
      </w:r>
      <w:r>
        <w:rPr>
          <w:rFonts w:ascii="Calibri" w:hAnsi="Calibri" w:cs="Calibri"/>
          <w:sz w:val="22"/>
          <w:szCs w:val="22"/>
        </w:rPr>
        <w:t>Boston</w:t>
      </w:r>
      <w:r>
        <w:rPr>
          <w:rFonts w:ascii="Calibri" w:hAnsi="Calibri" w:cs="Calibri"/>
          <w:spacing w:val="-15"/>
          <w:sz w:val="22"/>
          <w:szCs w:val="22"/>
        </w:rPr>
        <w:t xml:space="preserve"> </w:t>
      </w:r>
      <w:r>
        <w:rPr>
          <w:rFonts w:ascii="Calibri" w:hAnsi="Calibri" w:cs="Calibri"/>
          <w:sz w:val="22"/>
          <w:szCs w:val="22"/>
        </w:rPr>
        <w:t>University</w:t>
      </w:r>
      <w:r>
        <w:rPr>
          <w:rFonts w:ascii="Calibri" w:hAnsi="Calibri" w:cs="Calibri"/>
          <w:spacing w:val="-14"/>
          <w:sz w:val="22"/>
          <w:szCs w:val="22"/>
        </w:rPr>
        <w:t xml:space="preserve"> </w:t>
      </w:r>
      <w:r>
        <w:rPr>
          <w:rFonts w:ascii="Calibri" w:hAnsi="Calibri" w:cs="Calibri"/>
          <w:sz w:val="22"/>
          <w:szCs w:val="22"/>
        </w:rPr>
        <w:t>Medical</w:t>
      </w:r>
      <w:r>
        <w:rPr>
          <w:rFonts w:ascii="Calibri" w:hAnsi="Calibri" w:cs="Calibri"/>
          <w:spacing w:val="-14"/>
          <w:sz w:val="22"/>
          <w:szCs w:val="22"/>
        </w:rPr>
        <w:t xml:space="preserve"> </w:t>
      </w:r>
      <w:r>
        <w:rPr>
          <w:rFonts w:ascii="Calibri" w:hAnsi="Calibri" w:cs="Calibri"/>
          <w:sz w:val="22"/>
          <w:szCs w:val="22"/>
        </w:rPr>
        <w:t>School</w:t>
      </w:r>
    </w:p>
    <w:p w:rsidR="002C5025" w:rsidRDefault="002C5025">
      <w:pPr>
        <w:pStyle w:val="ListParagraph"/>
        <w:numPr>
          <w:ilvl w:val="1"/>
          <w:numId w:val="16"/>
        </w:numPr>
        <w:tabs>
          <w:tab w:val="left" w:pos="1580"/>
        </w:tabs>
        <w:kinsoku w:val="0"/>
        <w:overflowPunct w:val="0"/>
        <w:spacing w:before="38"/>
        <w:rPr>
          <w:rFonts w:ascii="Calibri" w:hAnsi="Calibri" w:cs="Calibri"/>
          <w:sz w:val="22"/>
          <w:szCs w:val="22"/>
        </w:rPr>
      </w:pPr>
      <w:r>
        <w:rPr>
          <w:rFonts w:ascii="Calibri" w:hAnsi="Calibri" w:cs="Calibri"/>
          <w:sz w:val="22"/>
          <w:szCs w:val="22"/>
        </w:rPr>
        <w:t>Evans</w:t>
      </w:r>
      <w:r>
        <w:rPr>
          <w:rFonts w:ascii="Calibri" w:hAnsi="Calibri" w:cs="Calibri"/>
          <w:spacing w:val="-18"/>
          <w:sz w:val="22"/>
          <w:szCs w:val="22"/>
        </w:rPr>
        <w:t xml:space="preserve"> </w:t>
      </w:r>
      <w:r>
        <w:rPr>
          <w:rFonts w:ascii="Calibri" w:hAnsi="Calibri" w:cs="Calibri"/>
          <w:sz w:val="22"/>
          <w:szCs w:val="22"/>
        </w:rPr>
        <w:t>General</w:t>
      </w:r>
      <w:r>
        <w:rPr>
          <w:rFonts w:ascii="Calibri" w:hAnsi="Calibri" w:cs="Calibri"/>
          <w:spacing w:val="-16"/>
          <w:sz w:val="22"/>
          <w:szCs w:val="22"/>
        </w:rPr>
        <w:t xml:space="preserve"> </w:t>
      </w:r>
      <w:r>
        <w:rPr>
          <w:rFonts w:ascii="Calibri" w:hAnsi="Calibri" w:cs="Calibri"/>
          <w:sz w:val="22"/>
          <w:szCs w:val="22"/>
        </w:rPr>
        <w:t>Internal</w:t>
      </w:r>
      <w:r>
        <w:rPr>
          <w:rFonts w:ascii="Calibri" w:hAnsi="Calibri" w:cs="Calibri"/>
          <w:spacing w:val="-18"/>
          <w:sz w:val="22"/>
          <w:szCs w:val="22"/>
        </w:rPr>
        <w:t xml:space="preserve"> </w:t>
      </w:r>
      <w:r>
        <w:rPr>
          <w:rFonts w:ascii="Calibri" w:hAnsi="Calibri" w:cs="Calibri"/>
          <w:sz w:val="22"/>
          <w:szCs w:val="22"/>
        </w:rPr>
        <w:t>Medicine</w:t>
      </w:r>
      <w:r>
        <w:rPr>
          <w:rFonts w:ascii="Calibri" w:hAnsi="Calibri" w:cs="Calibri"/>
          <w:spacing w:val="-15"/>
          <w:sz w:val="22"/>
          <w:szCs w:val="22"/>
        </w:rPr>
        <w:t xml:space="preserve"> </w:t>
      </w:r>
      <w:r>
        <w:rPr>
          <w:rFonts w:ascii="Calibri" w:hAnsi="Calibri" w:cs="Calibri"/>
          <w:sz w:val="22"/>
          <w:szCs w:val="22"/>
        </w:rPr>
        <w:t>Group</w:t>
      </w:r>
    </w:p>
    <w:p w:rsidR="002C5025" w:rsidRDefault="002C5025">
      <w:pPr>
        <w:pStyle w:val="ListParagraph"/>
        <w:numPr>
          <w:ilvl w:val="1"/>
          <w:numId w:val="16"/>
        </w:numPr>
        <w:tabs>
          <w:tab w:val="left" w:pos="1580"/>
        </w:tabs>
        <w:kinsoku w:val="0"/>
        <w:overflowPunct w:val="0"/>
        <w:spacing w:before="27"/>
        <w:rPr>
          <w:rFonts w:ascii="Calibri" w:hAnsi="Calibri" w:cs="Calibri"/>
          <w:sz w:val="22"/>
          <w:szCs w:val="22"/>
        </w:rPr>
      </w:pPr>
      <w:r>
        <w:rPr>
          <w:rFonts w:ascii="Calibri" w:hAnsi="Calibri" w:cs="Calibri"/>
          <w:sz w:val="22"/>
          <w:szCs w:val="22"/>
        </w:rPr>
        <w:t>BU</w:t>
      </w:r>
      <w:r>
        <w:rPr>
          <w:rFonts w:ascii="Calibri" w:hAnsi="Calibri" w:cs="Calibri"/>
          <w:spacing w:val="-17"/>
          <w:sz w:val="22"/>
          <w:szCs w:val="22"/>
        </w:rPr>
        <w:t xml:space="preserve"> </w:t>
      </w:r>
      <w:r>
        <w:rPr>
          <w:rFonts w:ascii="Calibri" w:hAnsi="Calibri" w:cs="Calibri"/>
          <w:sz w:val="22"/>
          <w:szCs w:val="22"/>
        </w:rPr>
        <w:t>Family</w:t>
      </w:r>
      <w:r>
        <w:rPr>
          <w:rFonts w:ascii="Calibri" w:hAnsi="Calibri" w:cs="Calibri"/>
          <w:spacing w:val="-15"/>
          <w:sz w:val="22"/>
          <w:szCs w:val="22"/>
        </w:rPr>
        <w:t xml:space="preserve"> </w:t>
      </w:r>
      <w:r>
        <w:rPr>
          <w:rFonts w:ascii="Calibri" w:hAnsi="Calibri" w:cs="Calibri"/>
          <w:sz w:val="22"/>
          <w:szCs w:val="22"/>
        </w:rPr>
        <w:t>Medicine,</w:t>
      </w:r>
      <w:r>
        <w:rPr>
          <w:rFonts w:ascii="Calibri" w:hAnsi="Calibri" w:cs="Calibri"/>
          <w:spacing w:val="-17"/>
          <w:sz w:val="22"/>
          <w:szCs w:val="22"/>
        </w:rPr>
        <w:t xml:space="preserve"> </w:t>
      </w:r>
      <w:r>
        <w:rPr>
          <w:rFonts w:ascii="Calibri" w:hAnsi="Calibri" w:cs="Calibri"/>
          <w:sz w:val="22"/>
          <w:szCs w:val="22"/>
        </w:rPr>
        <w:t>Inc.</w:t>
      </w:r>
    </w:p>
    <w:p w:rsidR="002C5025" w:rsidRDefault="002C5025">
      <w:pPr>
        <w:pStyle w:val="ListParagraph"/>
        <w:numPr>
          <w:ilvl w:val="1"/>
          <w:numId w:val="16"/>
        </w:numPr>
        <w:tabs>
          <w:tab w:val="left" w:pos="1580"/>
        </w:tabs>
        <w:kinsoku w:val="0"/>
        <w:overflowPunct w:val="0"/>
        <w:spacing w:before="27"/>
        <w:rPr>
          <w:rFonts w:ascii="Calibri" w:hAnsi="Calibri" w:cs="Calibri"/>
          <w:sz w:val="22"/>
          <w:szCs w:val="22"/>
        </w:rPr>
      </w:pPr>
      <w:r>
        <w:rPr>
          <w:rFonts w:ascii="Calibri" w:hAnsi="Calibri" w:cs="Calibri"/>
          <w:sz w:val="22"/>
          <w:szCs w:val="22"/>
        </w:rPr>
        <w:t>Child Health</w:t>
      </w:r>
      <w:r>
        <w:rPr>
          <w:rFonts w:ascii="Calibri" w:hAnsi="Calibri" w:cs="Calibri"/>
          <w:spacing w:val="-28"/>
          <w:sz w:val="22"/>
          <w:szCs w:val="22"/>
        </w:rPr>
        <w:t xml:space="preserve"> </w:t>
      </w:r>
      <w:r>
        <w:rPr>
          <w:rFonts w:ascii="Calibri" w:hAnsi="Calibri" w:cs="Calibri"/>
          <w:sz w:val="22"/>
          <w:szCs w:val="22"/>
        </w:rPr>
        <w:t>Foundation</w:t>
      </w:r>
    </w:p>
    <w:p w:rsidR="002C5025" w:rsidRDefault="002C5025">
      <w:pPr>
        <w:pStyle w:val="ListParagraph"/>
        <w:numPr>
          <w:ilvl w:val="1"/>
          <w:numId w:val="16"/>
        </w:numPr>
        <w:tabs>
          <w:tab w:val="left" w:pos="1580"/>
        </w:tabs>
        <w:kinsoku w:val="0"/>
        <w:overflowPunct w:val="0"/>
        <w:spacing w:before="27"/>
        <w:rPr>
          <w:rFonts w:ascii="Calibri" w:hAnsi="Calibri" w:cs="Calibri"/>
          <w:spacing w:val="-3"/>
          <w:sz w:val="22"/>
          <w:szCs w:val="22"/>
        </w:rPr>
      </w:pPr>
      <w:r>
        <w:rPr>
          <w:rFonts w:ascii="Calibri" w:hAnsi="Calibri" w:cs="Calibri"/>
          <w:sz w:val="22"/>
          <w:szCs w:val="22"/>
        </w:rPr>
        <w:t>Specialty</w:t>
      </w:r>
      <w:r>
        <w:rPr>
          <w:rFonts w:ascii="Calibri" w:hAnsi="Calibri" w:cs="Calibri"/>
          <w:spacing w:val="-13"/>
          <w:sz w:val="22"/>
          <w:szCs w:val="22"/>
        </w:rPr>
        <w:t xml:space="preserve"> </w:t>
      </w:r>
      <w:r>
        <w:rPr>
          <w:rFonts w:ascii="Calibri" w:hAnsi="Calibri" w:cs="Calibri"/>
          <w:sz w:val="22"/>
          <w:szCs w:val="22"/>
        </w:rPr>
        <w:t>Practices</w:t>
      </w:r>
      <w:r>
        <w:rPr>
          <w:rFonts w:ascii="Calibri" w:hAnsi="Calibri" w:cs="Calibri"/>
          <w:spacing w:val="-14"/>
          <w:sz w:val="22"/>
          <w:szCs w:val="22"/>
        </w:rPr>
        <w:t xml:space="preserve"> </w:t>
      </w:r>
      <w:r>
        <w:rPr>
          <w:rFonts w:ascii="Calibri" w:hAnsi="Calibri" w:cs="Calibri"/>
          <w:sz w:val="22"/>
          <w:szCs w:val="22"/>
        </w:rPr>
        <w:t>(medical</w:t>
      </w:r>
      <w:r>
        <w:rPr>
          <w:rFonts w:ascii="Calibri" w:hAnsi="Calibri" w:cs="Calibri"/>
          <w:spacing w:val="-14"/>
          <w:sz w:val="22"/>
          <w:szCs w:val="22"/>
        </w:rPr>
        <w:t xml:space="preserve"> </w:t>
      </w:r>
      <w:r>
        <w:rPr>
          <w:rFonts w:ascii="Calibri" w:hAnsi="Calibri" w:cs="Calibri"/>
          <w:sz w:val="22"/>
          <w:szCs w:val="22"/>
        </w:rPr>
        <w:t>and</w:t>
      </w:r>
      <w:r>
        <w:rPr>
          <w:rFonts w:ascii="Calibri" w:hAnsi="Calibri" w:cs="Calibri"/>
          <w:spacing w:val="-12"/>
          <w:sz w:val="22"/>
          <w:szCs w:val="22"/>
        </w:rPr>
        <w:t xml:space="preserve"> </w:t>
      </w:r>
      <w:r>
        <w:rPr>
          <w:rFonts w:ascii="Calibri" w:hAnsi="Calibri" w:cs="Calibri"/>
          <w:sz w:val="22"/>
          <w:szCs w:val="22"/>
        </w:rPr>
        <w:t>behavioral</w:t>
      </w:r>
      <w:r>
        <w:rPr>
          <w:rFonts w:ascii="Calibri" w:hAnsi="Calibri" w:cs="Calibri"/>
          <w:spacing w:val="-12"/>
          <w:sz w:val="22"/>
          <w:szCs w:val="22"/>
        </w:rPr>
        <w:t xml:space="preserve"> </w:t>
      </w:r>
      <w:r>
        <w:rPr>
          <w:rFonts w:ascii="Calibri" w:hAnsi="Calibri" w:cs="Calibri"/>
          <w:spacing w:val="-3"/>
          <w:sz w:val="22"/>
          <w:szCs w:val="22"/>
        </w:rPr>
        <w:t>health)</w:t>
      </w:r>
    </w:p>
    <w:p w:rsidR="002C5025" w:rsidRDefault="002C5025">
      <w:pPr>
        <w:pStyle w:val="ListParagraph"/>
        <w:numPr>
          <w:ilvl w:val="0"/>
          <w:numId w:val="16"/>
        </w:numPr>
        <w:tabs>
          <w:tab w:val="left" w:pos="860"/>
        </w:tabs>
        <w:kinsoku w:val="0"/>
        <w:overflowPunct w:val="0"/>
        <w:spacing w:before="24"/>
        <w:rPr>
          <w:rFonts w:ascii="Calibri" w:hAnsi="Calibri" w:cs="Calibri"/>
          <w:sz w:val="22"/>
          <w:szCs w:val="22"/>
        </w:rPr>
      </w:pPr>
      <w:r>
        <w:rPr>
          <w:rFonts w:ascii="Calibri" w:hAnsi="Calibri" w:cs="Calibri"/>
          <w:sz w:val="22"/>
          <w:szCs w:val="22"/>
        </w:rPr>
        <w:t>Boston Medical</w:t>
      </w:r>
      <w:r>
        <w:rPr>
          <w:rFonts w:ascii="Calibri" w:hAnsi="Calibri" w:cs="Calibri"/>
          <w:spacing w:val="-35"/>
          <w:sz w:val="22"/>
          <w:szCs w:val="22"/>
        </w:rPr>
        <w:t xml:space="preserve"> </w:t>
      </w:r>
      <w:r>
        <w:rPr>
          <w:rFonts w:ascii="Calibri" w:hAnsi="Calibri" w:cs="Calibri"/>
          <w:sz w:val="22"/>
          <w:szCs w:val="22"/>
        </w:rPr>
        <w:t>Center</w:t>
      </w:r>
    </w:p>
    <w:p w:rsidR="002C5025" w:rsidRDefault="002C5025">
      <w:pPr>
        <w:pStyle w:val="BodyText"/>
        <w:kinsoku w:val="0"/>
        <w:overflowPunct w:val="0"/>
        <w:spacing w:before="8"/>
        <w:rPr>
          <w:sz w:val="19"/>
          <w:szCs w:val="19"/>
        </w:rPr>
      </w:pPr>
    </w:p>
    <w:p w:rsidR="002C5025" w:rsidRDefault="002C5025">
      <w:pPr>
        <w:pStyle w:val="BodyText"/>
        <w:kinsoku w:val="0"/>
        <w:overflowPunct w:val="0"/>
        <w:spacing w:line="276" w:lineRule="auto"/>
        <w:ind w:left="140" w:right="201"/>
      </w:pPr>
      <w:r>
        <w:t>Many</w:t>
      </w:r>
      <w:r>
        <w:rPr>
          <w:spacing w:val="-13"/>
        </w:rPr>
        <w:t xml:space="preserve"> </w:t>
      </w:r>
      <w:r>
        <w:t>of</w:t>
      </w:r>
      <w:r>
        <w:rPr>
          <w:spacing w:val="-11"/>
        </w:rPr>
        <w:t xml:space="preserve"> </w:t>
      </w:r>
      <w:r>
        <w:t>our</w:t>
      </w:r>
      <w:r>
        <w:rPr>
          <w:spacing w:val="-9"/>
        </w:rPr>
        <w:t xml:space="preserve"> </w:t>
      </w:r>
      <w:r>
        <w:t>community</w:t>
      </w:r>
      <w:r>
        <w:rPr>
          <w:spacing w:val="-10"/>
        </w:rPr>
        <w:t xml:space="preserve"> </w:t>
      </w:r>
      <w:r>
        <w:t>health</w:t>
      </w:r>
      <w:r>
        <w:rPr>
          <w:spacing w:val="-12"/>
        </w:rPr>
        <w:t xml:space="preserve"> </w:t>
      </w:r>
      <w:r>
        <w:t>centers</w:t>
      </w:r>
      <w:r>
        <w:rPr>
          <w:spacing w:val="-9"/>
        </w:rPr>
        <w:t xml:space="preserve"> </w:t>
      </w:r>
      <w:r>
        <w:t>(CHCs),</w:t>
      </w:r>
      <w:r>
        <w:rPr>
          <w:spacing w:val="-11"/>
        </w:rPr>
        <w:t xml:space="preserve"> </w:t>
      </w:r>
      <w:r>
        <w:t>along</w:t>
      </w:r>
      <w:r>
        <w:rPr>
          <w:spacing w:val="-12"/>
        </w:rPr>
        <w:t xml:space="preserve"> </w:t>
      </w:r>
      <w:r>
        <w:t>with</w:t>
      </w:r>
      <w:r>
        <w:rPr>
          <w:spacing w:val="-12"/>
        </w:rPr>
        <w:t xml:space="preserve"> </w:t>
      </w:r>
      <w:r>
        <w:t>BMC</w:t>
      </w:r>
      <w:r>
        <w:rPr>
          <w:spacing w:val="-13"/>
        </w:rPr>
        <w:t xml:space="preserve"> </w:t>
      </w:r>
      <w:r>
        <w:t>and</w:t>
      </w:r>
      <w:r>
        <w:rPr>
          <w:spacing w:val="-12"/>
        </w:rPr>
        <w:t xml:space="preserve"> </w:t>
      </w:r>
      <w:r>
        <w:t>the</w:t>
      </w:r>
      <w:r>
        <w:rPr>
          <w:spacing w:val="-10"/>
        </w:rPr>
        <w:t xml:space="preserve"> </w:t>
      </w:r>
      <w:r>
        <w:t>BMC</w:t>
      </w:r>
      <w:r>
        <w:rPr>
          <w:spacing w:val="-11"/>
        </w:rPr>
        <w:t xml:space="preserve"> </w:t>
      </w:r>
      <w:r>
        <w:t>HealthNet</w:t>
      </w:r>
      <w:r>
        <w:rPr>
          <w:spacing w:val="-13"/>
        </w:rPr>
        <w:t xml:space="preserve"> </w:t>
      </w:r>
      <w:r>
        <w:t>Plan,</w:t>
      </w:r>
      <w:r>
        <w:rPr>
          <w:spacing w:val="-11"/>
        </w:rPr>
        <w:t xml:space="preserve"> </w:t>
      </w:r>
      <w:r>
        <w:t>were</w:t>
      </w:r>
      <w:r>
        <w:rPr>
          <w:spacing w:val="-10"/>
        </w:rPr>
        <w:t xml:space="preserve"> </w:t>
      </w:r>
      <w:r>
        <w:t>active participants in the robust stakeholder working groups. Through those groups, our clinical and administrative</w:t>
      </w:r>
      <w:r>
        <w:rPr>
          <w:spacing w:val="-13"/>
        </w:rPr>
        <w:t xml:space="preserve"> </w:t>
      </w:r>
      <w:r>
        <w:t>representatives</w:t>
      </w:r>
      <w:r>
        <w:rPr>
          <w:spacing w:val="-13"/>
        </w:rPr>
        <w:t xml:space="preserve"> </w:t>
      </w:r>
      <w:r>
        <w:t>had</w:t>
      </w:r>
      <w:r>
        <w:rPr>
          <w:spacing w:val="-12"/>
        </w:rPr>
        <w:t xml:space="preserve"> </w:t>
      </w:r>
      <w:r>
        <w:t>the</w:t>
      </w:r>
      <w:r>
        <w:rPr>
          <w:spacing w:val="-13"/>
        </w:rPr>
        <w:t xml:space="preserve"> </w:t>
      </w:r>
      <w:r>
        <w:t>opportunity</w:t>
      </w:r>
      <w:r>
        <w:rPr>
          <w:spacing w:val="-10"/>
        </w:rPr>
        <w:t xml:space="preserve"> </w:t>
      </w:r>
      <w:r>
        <w:t>for</w:t>
      </w:r>
      <w:r>
        <w:rPr>
          <w:spacing w:val="-13"/>
        </w:rPr>
        <w:t xml:space="preserve"> </w:t>
      </w:r>
      <w:r>
        <w:t>direct</w:t>
      </w:r>
      <w:r>
        <w:rPr>
          <w:spacing w:val="-10"/>
        </w:rPr>
        <w:t xml:space="preserve"> </w:t>
      </w:r>
      <w:r>
        <w:t>input</w:t>
      </w:r>
      <w:r>
        <w:rPr>
          <w:spacing w:val="-11"/>
        </w:rPr>
        <w:t xml:space="preserve"> </w:t>
      </w:r>
      <w:r>
        <w:t>into</w:t>
      </w:r>
      <w:r>
        <w:rPr>
          <w:spacing w:val="-12"/>
        </w:rPr>
        <w:t xml:space="preserve"> </w:t>
      </w:r>
      <w:r>
        <w:t>the</w:t>
      </w:r>
      <w:r>
        <w:rPr>
          <w:spacing w:val="-10"/>
        </w:rPr>
        <w:t xml:space="preserve"> </w:t>
      </w:r>
      <w:r>
        <w:t>development</w:t>
      </w:r>
      <w:r>
        <w:rPr>
          <w:spacing w:val="-13"/>
        </w:rPr>
        <w:t xml:space="preserve"> </w:t>
      </w:r>
      <w:r>
        <w:t>of</w:t>
      </w:r>
      <w:r>
        <w:rPr>
          <w:spacing w:val="-11"/>
        </w:rPr>
        <w:t xml:space="preserve"> </w:t>
      </w:r>
      <w:r>
        <w:t>the</w:t>
      </w:r>
      <w:r>
        <w:rPr>
          <w:spacing w:val="-10"/>
        </w:rPr>
        <w:t xml:space="preserve"> </w:t>
      </w:r>
      <w:r>
        <w:t xml:space="preserve">request. Beyond the working groups, the Executive Office of Health and Human Services (EOHHS) convened numerous additional meetings with us to allow for ongoing dialogue to prepare for this transition. </w:t>
      </w:r>
      <w:r>
        <w:rPr>
          <w:spacing w:val="-3"/>
        </w:rPr>
        <w:t xml:space="preserve">This </w:t>
      </w:r>
      <w:r>
        <w:t>collaborative process illustrates the strong partnership that EOHHS has cultivated with key Medicaid providers such as</w:t>
      </w:r>
      <w:r>
        <w:rPr>
          <w:spacing w:val="-29"/>
        </w:rPr>
        <w:t xml:space="preserve"> </w:t>
      </w:r>
      <w:r>
        <w:t>BACO.</w:t>
      </w:r>
    </w:p>
    <w:p w:rsidR="002C5025" w:rsidRDefault="002C5025">
      <w:pPr>
        <w:pStyle w:val="BodyText"/>
        <w:kinsoku w:val="0"/>
        <w:overflowPunct w:val="0"/>
        <w:spacing w:before="4"/>
        <w:rPr>
          <w:sz w:val="16"/>
          <w:szCs w:val="16"/>
        </w:rPr>
      </w:pPr>
    </w:p>
    <w:p w:rsidR="002C5025" w:rsidRDefault="002C5025">
      <w:pPr>
        <w:pStyle w:val="BodyText"/>
        <w:kinsoku w:val="0"/>
        <w:overflowPunct w:val="0"/>
        <w:spacing w:line="276" w:lineRule="auto"/>
        <w:ind w:left="140" w:right="201" w:hanging="3"/>
      </w:pPr>
      <w:r>
        <w:t xml:space="preserve">The Commonwealth’s 1115 Medicaid Waiver request is </w:t>
      </w:r>
      <w:r w:rsidR="00607624">
        <w:t xml:space="preserve"> </w:t>
      </w:r>
      <w:r>
        <w:t>aligned with our vision to bring high‐quality, cost‐effective, coordinated care to our patients. As the largest safety net provider system in Massachusetts,</w:t>
      </w:r>
      <w:r>
        <w:rPr>
          <w:spacing w:val="-12"/>
        </w:rPr>
        <w:t xml:space="preserve"> </w:t>
      </w:r>
      <w:r>
        <w:t>BACO</w:t>
      </w:r>
      <w:r>
        <w:rPr>
          <w:spacing w:val="-10"/>
        </w:rPr>
        <w:t xml:space="preserve"> </w:t>
      </w:r>
      <w:r>
        <w:t>was</w:t>
      </w:r>
      <w:r>
        <w:rPr>
          <w:spacing w:val="-10"/>
        </w:rPr>
        <w:t xml:space="preserve"> </w:t>
      </w:r>
      <w:r w:rsidR="00607624">
        <w:rPr>
          <w:spacing w:val="-10"/>
        </w:rPr>
        <w:t xml:space="preserve"> </w:t>
      </w:r>
      <w:r>
        <w:t>created</w:t>
      </w:r>
      <w:r>
        <w:rPr>
          <w:spacing w:val="-13"/>
        </w:rPr>
        <w:t xml:space="preserve"> </w:t>
      </w:r>
      <w:r>
        <w:t>to</w:t>
      </w:r>
      <w:r>
        <w:rPr>
          <w:spacing w:val="-6"/>
        </w:rPr>
        <w:t xml:space="preserve"> </w:t>
      </w:r>
      <w:r>
        <w:t>better</w:t>
      </w:r>
      <w:r>
        <w:rPr>
          <w:spacing w:val="-10"/>
        </w:rPr>
        <w:t xml:space="preserve"> </w:t>
      </w:r>
      <w:r>
        <w:t>serve</w:t>
      </w:r>
      <w:r>
        <w:rPr>
          <w:spacing w:val="-9"/>
        </w:rPr>
        <w:t xml:space="preserve"> </w:t>
      </w:r>
      <w:r>
        <w:t>the</w:t>
      </w:r>
      <w:r>
        <w:rPr>
          <w:spacing w:val="-12"/>
        </w:rPr>
        <w:t xml:space="preserve"> </w:t>
      </w:r>
      <w:r>
        <w:t>needs</w:t>
      </w:r>
      <w:r>
        <w:rPr>
          <w:spacing w:val="-10"/>
        </w:rPr>
        <w:t xml:space="preserve"> </w:t>
      </w:r>
      <w:r>
        <w:t>of</w:t>
      </w:r>
      <w:r>
        <w:rPr>
          <w:spacing w:val="-13"/>
        </w:rPr>
        <w:t xml:space="preserve"> </w:t>
      </w:r>
      <w:r>
        <w:t>our</w:t>
      </w:r>
      <w:r>
        <w:rPr>
          <w:spacing w:val="-8"/>
        </w:rPr>
        <w:t xml:space="preserve"> </w:t>
      </w:r>
      <w:r>
        <w:t>patients</w:t>
      </w:r>
      <w:r>
        <w:rPr>
          <w:spacing w:val="-10"/>
        </w:rPr>
        <w:t xml:space="preserve"> </w:t>
      </w:r>
      <w:r>
        <w:t>through</w:t>
      </w:r>
      <w:r>
        <w:rPr>
          <w:spacing w:val="-11"/>
        </w:rPr>
        <w:t xml:space="preserve"> </w:t>
      </w:r>
      <w:r>
        <w:t>an</w:t>
      </w:r>
      <w:r>
        <w:rPr>
          <w:spacing w:val="-11"/>
        </w:rPr>
        <w:t xml:space="preserve"> </w:t>
      </w:r>
      <w:r>
        <w:t>ACO</w:t>
      </w:r>
      <w:r>
        <w:rPr>
          <w:spacing w:val="-7"/>
        </w:rPr>
        <w:t xml:space="preserve"> </w:t>
      </w:r>
      <w:r>
        <w:t>that</w:t>
      </w:r>
      <w:r>
        <w:rPr>
          <w:spacing w:val="-9"/>
        </w:rPr>
        <w:t xml:space="preserve"> </w:t>
      </w:r>
      <w:r>
        <w:t>allows for full integration of patient care and health information as well as an enhanced focus on outcomes related</w:t>
      </w:r>
      <w:r>
        <w:rPr>
          <w:spacing w:val="-12"/>
        </w:rPr>
        <w:t xml:space="preserve"> </w:t>
      </w:r>
      <w:r>
        <w:t>to</w:t>
      </w:r>
      <w:r>
        <w:rPr>
          <w:spacing w:val="-10"/>
        </w:rPr>
        <w:t xml:space="preserve"> </w:t>
      </w:r>
      <w:r>
        <w:t>patients’</w:t>
      </w:r>
      <w:r>
        <w:rPr>
          <w:spacing w:val="-11"/>
        </w:rPr>
        <w:t xml:space="preserve"> </w:t>
      </w:r>
      <w:r>
        <w:t>quality</w:t>
      </w:r>
      <w:r>
        <w:rPr>
          <w:spacing w:val="-10"/>
        </w:rPr>
        <w:t xml:space="preserve"> </w:t>
      </w:r>
      <w:r>
        <w:t>of</w:t>
      </w:r>
      <w:r>
        <w:rPr>
          <w:spacing w:val="-11"/>
        </w:rPr>
        <w:t xml:space="preserve"> </w:t>
      </w:r>
      <w:r>
        <w:t>care</w:t>
      </w:r>
      <w:r>
        <w:rPr>
          <w:spacing w:val="-10"/>
        </w:rPr>
        <w:t xml:space="preserve"> </w:t>
      </w:r>
      <w:r>
        <w:t>across</w:t>
      </w:r>
      <w:r>
        <w:rPr>
          <w:spacing w:val="-13"/>
        </w:rPr>
        <w:t xml:space="preserve"> </w:t>
      </w:r>
      <w:r>
        <w:t>the</w:t>
      </w:r>
      <w:r>
        <w:rPr>
          <w:spacing w:val="-10"/>
        </w:rPr>
        <w:t xml:space="preserve"> </w:t>
      </w:r>
      <w:r>
        <w:t>continuum.</w:t>
      </w:r>
    </w:p>
    <w:p w:rsidR="002C5025" w:rsidRDefault="002C5025">
      <w:pPr>
        <w:pStyle w:val="BodyText"/>
        <w:kinsoku w:val="0"/>
        <w:overflowPunct w:val="0"/>
        <w:spacing w:line="276" w:lineRule="auto"/>
        <w:ind w:left="140" w:right="201" w:hanging="3"/>
        <w:sectPr w:rsidR="002C5025">
          <w:pgSz w:w="12240" w:h="15840"/>
          <w:pgMar w:top="720" w:right="1320" w:bottom="280" w:left="1300" w:header="720" w:footer="720" w:gutter="0"/>
          <w:cols w:space="720" w:equalWidth="0">
            <w:col w:w="9620"/>
          </w:cols>
          <w:noEndnote/>
        </w:sectPr>
      </w:pPr>
    </w:p>
    <w:p w:rsidR="002C5025" w:rsidRDefault="002C5025">
      <w:pPr>
        <w:pStyle w:val="BodyText"/>
        <w:kinsoku w:val="0"/>
        <w:overflowPunct w:val="0"/>
        <w:spacing w:before="31"/>
        <w:ind w:right="116"/>
        <w:jc w:val="right"/>
      </w:pPr>
      <w:r>
        <w:lastRenderedPageBreak/>
        <w:t>2</w:t>
      </w:r>
    </w:p>
    <w:p w:rsidR="002C5025" w:rsidRDefault="002C5025">
      <w:pPr>
        <w:pStyle w:val="BodyText"/>
        <w:kinsoku w:val="0"/>
        <w:overflowPunct w:val="0"/>
        <w:rPr>
          <w:sz w:val="20"/>
          <w:szCs w:val="20"/>
        </w:rPr>
      </w:pPr>
    </w:p>
    <w:p w:rsidR="002C5025" w:rsidRDefault="002C5025">
      <w:pPr>
        <w:pStyle w:val="BodyText"/>
        <w:kinsoku w:val="0"/>
        <w:overflowPunct w:val="0"/>
        <w:spacing w:before="190" w:line="276" w:lineRule="auto"/>
        <w:ind w:left="120" w:right="172"/>
        <w:rPr>
          <w:spacing w:val="-3"/>
        </w:rPr>
      </w:pPr>
      <w:r>
        <w:t>The Massachusetts waiver request is centered on the restructuring of care for the MassHealth population under these types of ACO models. Additionally, it allows for financial reimbursement that places prudent management of the total cost of care dollar at the ACO level. Such a model will allow ACOs,</w:t>
      </w:r>
      <w:r>
        <w:rPr>
          <w:spacing w:val="-10"/>
        </w:rPr>
        <w:t xml:space="preserve"> </w:t>
      </w:r>
      <w:r>
        <w:t>such</w:t>
      </w:r>
      <w:r>
        <w:rPr>
          <w:spacing w:val="-11"/>
        </w:rPr>
        <w:t xml:space="preserve"> </w:t>
      </w:r>
      <w:r>
        <w:t>as</w:t>
      </w:r>
      <w:r>
        <w:rPr>
          <w:spacing w:val="-7"/>
        </w:rPr>
        <w:t xml:space="preserve"> </w:t>
      </w:r>
      <w:r>
        <w:t>BACO,</w:t>
      </w:r>
      <w:r>
        <w:rPr>
          <w:spacing w:val="-10"/>
        </w:rPr>
        <w:t xml:space="preserve"> </w:t>
      </w:r>
      <w:r>
        <w:t>to</w:t>
      </w:r>
      <w:r>
        <w:rPr>
          <w:spacing w:val="-9"/>
        </w:rPr>
        <w:t xml:space="preserve"> </w:t>
      </w:r>
      <w:r>
        <w:t>support</w:t>
      </w:r>
      <w:r>
        <w:rPr>
          <w:spacing w:val="-9"/>
        </w:rPr>
        <w:t xml:space="preserve"> </w:t>
      </w:r>
      <w:r>
        <w:t>services</w:t>
      </w:r>
      <w:r>
        <w:rPr>
          <w:spacing w:val="-12"/>
        </w:rPr>
        <w:t xml:space="preserve"> </w:t>
      </w:r>
      <w:r>
        <w:t>that</w:t>
      </w:r>
      <w:r>
        <w:rPr>
          <w:spacing w:val="-9"/>
        </w:rPr>
        <w:t xml:space="preserve"> </w:t>
      </w:r>
      <w:r>
        <w:t>are</w:t>
      </w:r>
      <w:r>
        <w:rPr>
          <w:spacing w:val="-9"/>
        </w:rPr>
        <w:t xml:space="preserve"> </w:t>
      </w:r>
      <w:r>
        <w:t>most</w:t>
      </w:r>
      <w:r>
        <w:rPr>
          <w:spacing w:val="-12"/>
        </w:rPr>
        <w:t xml:space="preserve"> </w:t>
      </w:r>
      <w:r>
        <w:t>beneficial</w:t>
      </w:r>
      <w:r>
        <w:rPr>
          <w:spacing w:val="-8"/>
        </w:rPr>
        <w:t xml:space="preserve"> </w:t>
      </w:r>
      <w:r>
        <w:t>to</w:t>
      </w:r>
      <w:r>
        <w:rPr>
          <w:spacing w:val="-9"/>
        </w:rPr>
        <w:t xml:space="preserve"> </w:t>
      </w:r>
      <w:r>
        <w:t>the</w:t>
      </w:r>
      <w:r>
        <w:rPr>
          <w:spacing w:val="-9"/>
        </w:rPr>
        <w:t xml:space="preserve"> </w:t>
      </w:r>
      <w:r>
        <w:t>patient</w:t>
      </w:r>
      <w:r>
        <w:rPr>
          <w:spacing w:val="-9"/>
        </w:rPr>
        <w:t xml:space="preserve"> </w:t>
      </w:r>
      <w:r>
        <w:t>including</w:t>
      </w:r>
      <w:r>
        <w:rPr>
          <w:spacing w:val="-8"/>
        </w:rPr>
        <w:t xml:space="preserve"> </w:t>
      </w:r>
      <w:r>
        <w:t>some</w:t>
      </w:r>
      <w:r>
        <w:rPr>
          <w:spacing w:val="-7"/>
        </w:rPr>
        <w:t xml:space="preserve"> </w:t>
      </w:r>
      <w:r>
        <w:t>that</w:t>
      </w:r>
      <w:r>
        <w:rPr>
          <w:spacing w:val="-9"/>
        </w:rPr>
        <w:t xml:space="preserve"> </w:t>
      </w:r>
      <w:r>
        <w:rPr>
          <w:spacing w:val="-3"/>
        </w:rPr>
        <w:t xml:space="preserve">are </w:t>
      </w:r>
      <w:r>
        <w:t>not</w:t>
      </w:r>
      <w:r>
        <w:rPr>
          <w:spacing w:val="-11"/>
        </w:rPr>
        <w:t xml:space="preserve"> </w:t>
      </w:r>
      <w:r>
        <w:t>reimbursable</w:t>
      </w:r>
      <w:r>
        <w:rPr>
          <w:spacing w:val="-10"/>
        </w:rPr>
        <w:t xml:space="preserve"> </w:t>
      </w:r>
      <w:r>
        <w:t>under</w:t>
      </w:r>
      <w:r>
        <w:rPr>
          <w:spacing w:val="-9"/>
        </w:rPr>
        <w:t xml:space="preserve"> </w:t>
      </w:r>
      <w:r>
        <w:t>today’s</w:t>
      </w:r>
      <w:r>
        <w:rPr>
          <w:spacing w:val="-11"/>
        </w:rPr>
        <w:t xml:space="preserve"> </w:t>
      </w:r>
      <w:r>
        <w:t>fee</w:t>
      </w:r>
      <w:r>
        <w:rPr>
          <w:spacing w:val="-11"/>
        </w:rPr>
        <w:t xml:space="preserve"> </w:t>
      </w:r>
      <w:r>
        <w:t>for</w:t>
      </w:r>
      <w:r>
        <w:rPr>
          <w:spacing w:val="-9"/>
        </w:rPr>
        <w:t xml:space="preserve"> </w:t>
      </w:r>
      <w:r>
        <w:t>service</w:t>
      </w:r>
      <w:r>
        <w:rPr>
          <w:spacing w:val="-10"/>
        </w:rPr>
        <w:t xml:space="preserve"> </w:t>
      </w:r>
      <w:r>
        <w:t>system.</w:t>
      </w:r>
      <w:r>
        <w:rPr>
          <w:spacing w:val="29"/>
        </w:rPr>
        <w:t xml:space="preserve"> </w:t>
      </w:r>
      <w:r>
        <w:t>We</w:t>
      </w:r>
      <w:r>
        <w:rPr>
          <w:spacing w:val="-13"/>
        </w:rPr>
        <w:t xml:space="preserve"> </w:t>
      </w:r>
      <w:r>
        <w:t>welcome</w:t>
      </w:r>
      <w:r>
        <w:rPr>
          <w:spacing w:val="-10"/>
        </w:rPr>
        <w:t xml:space="preserve"> </w:t>
      </w:r>
      <w:r>
        <w:t>and</w:t>
      </w:r>
      <w:r>
        <w:rPr>
          <w:spacing w:val="-12"/>
        </w:rPr>
        <w:t xml:space="preserve"> </w:t>
      </w:r>
      <w:r>
        <w:t>support</w:t>
      </w:r>
      <w:r>
        <w:rPr>
          <w:spacing w:val="-13"/>
        </w:rPr>
        <w:t xml:space="preserve"> </w:t>
      </w:r>
      <w:r>
        <w:t>this</w:t>
      </w:r>
      <w:r>
        <w:rPr>
          <w:spacing w:val="-8"/>
        </w:rPr>
        <w:t xml:space="preserve"> </w:t>
      </w:r>
      <w:r>
        <w:rPr>
          <w:spacing w:val="-3"/>
        </w:rPr>
        <w:t>plan.</w:t>
      </w:r>
    </w:p>
    <w:p w:rsidR="002C5025" w:rsidRDefault="002C5025">
      <w:pPr>
        <w:pStyle w:val="BodyText"/>
        <w:kinsoku w:val="0"/>
        <w:overflowPunct w:val="0"/>
        <w:spacing w:line="276" w:lineRule="auto"/>
        <w:ind w:left="120" w:right="172"/>
      </w:pPr>
      <w:r>
        <w:t>While BACO is prepared to assume full responsibility of the total cost of patient care in conjunction with our affiliated BMC HealthNet Plan, we realize that not all providers in the state are in the same position. We therefore also support the Commonwealth’s plan to offer different models that suit the needs and readiness of providers who care for the MassHealth patients. Massachusetts is fortunate to have some of the highest NCQA‐ranked Medicaid Managed Care Organizations (MCOs) providing coverage to MassHealth patients. We believe that their valuable expertise can play an important role with providers who are at various stages of ACO readiness.</w:t>
      </w:r>
    </w:p>
    <w:p w:rsidR="002C5025" w:rsidRDefault="002C5025">
      <w:pPr>
        <w:pStyle w:val="BodyText"/>
        <w:kinsoku w:val="0"/>
        <w:overflowPunct w:val="0"/>
        <w:spacing w:before="7"/>
        <w:rPr>
          <w:sz w:val="16"/>
          <w:szCs w:val="16"/>
        </w:rPr>
      </w:pPr>
    </w:p>
    <w:p w:rsidR="002C5025" w:rsidRDefault="002C5025">
      <w:pPr>
        <w:pStyle w:val="BodyText"/>
        <w:kinsoku w:val="0"/>
        <w:overflowPunct w:val="0"/>
        <w:spacing w:line="276" w:lineRule="auto"/>
        <w:ind w:left="120" w:right="301"/>
      </w:pPr>
      <w:r>
        <w:t>The</w:t>
      </w:r>
      <w:r>
        <w:rPr>
          <w:spacing w:val="-12"/>
        </w:rPr>
        <w:t xml:space="preserve"> </w:t>
      </w:r>
      <w:r>
        <w:t>Massachusetts</w:t>
      </w:r>
      <w:r>
        <w:rPr>
          <w:spacing w:val="-13"/>
        </w:rPr>
        <w:t xml:space="preserve"> </w:t>
      </w:r>
      <w:r>
        <w:t>waiver</w:t>
      </w:r>
      <w:r>
        <w:rPr>
          <w:spacing w:val="-13"/>
        </w:rPr>
        <w:t xml:space="preserve"> </w:t>
      </w:r>
      <w:r>
        <w:t>request</w:t>
      </w:r>
      <w:r>
        <w:rPr>
          <w:spacing w:val="-12"/>
        </w:rPr>
        <w:t xml:space="preserve"> </w:t>
      </w:r>
      <w:r>
        <w:t>includes</w:t>
      </w:r>
      <w:r>
        <w:rPr>
          <w:spacing w:val="-10"/>
        </w:rPr>
        <w:t xml:space="preserve"> </w:t>
      </w:r>
      <w:r>
        <w:t>$1.8</w:t>
      </w:r>
      <w:r>
        <w:rPr>
          <w:spacing w:val="-10"/>
        </w:rPr>
        <w:t xml:space="preserve"> </w:t>
      </w:r>
      <w:r>
        <w:t>billion</w:t>
      </w:r>
      <w:r>
        <w:rPr>
          <w:spacing w:val="-11"/>
        </w:rPr>
        <w:t xml:space="preserve"> </w:t>
      </w:r>
      <w:r>
        <w:t>to</w:t>
      </w:r>
      <w:r>
        <w:rPr>
          <w:spacing w:val="-10"/>
        </w:rPr>
        <w:t xml:space="preserve"> </w:t>
      </w:r>
      <w:r>
        <w:t>support</w:t>
      </w:r>
      <w:r>
        <w:rPr>
          <w:spacing w:val="-10"/>
        </w:rPr>
        <w:t xml:space="preserve"> </w:t>
      </w:r>
      <w:r>
        <w:t>ACO</w:t>
      </w:r>
      <w:r>
        <w:rPr>
          <w:spacing w:val="-12"/>
        </w:rPr>
        <w:t xml:space="preserve"> </w:t>
      </w:r>
      <w:r>
        <w:t>transitions</w:t>
      </w:r>
      <w:r>
        <w:rPr>
          <w:spacing w:val="-10"/>
        </w:rPr>
        <w:t xml:space="preserve"> </w:t>
      </w:r>
      <w:r>
        <w:t>through</w:t>
      </w:r>
      <w:r>
        <w:rPr>
          <w:spacing w:val="-11"/>
        </w:rPr>
        <w:t xml:space="preserve"> </w:t>
      </w:r>
      <w:r>
        <w:t>the</w:t>
      </w:r>
      <w:r>
        <w:rPr>
          <w:spacing w:val="-12"/>
        </w:rPr>
        <w:t xml:space="preserve"> </w:t>
      </w:r>
      <w:r>
        <w:t>Delivery System Reform Incentive Program (DSRIP) funding. This funding will ensure partnerships between ACO’s,</w:t>
      </w:r>
      <w:r>
        <w:rPr>
          <w:spacing w:val="-11"/>
        </w:rPr>
        <w:t xml:space="preserve"> </w:t>
      </w:r>
      <w:r>
        <w:t>Behavioral</w:t>
      </w:r>
      <w:r>
        <w:rPr>
          <w:spacing w:val="-11"/>
        </w:rPr>
        <w:t xml:space="preserve"> </w:t>
      </w:r>
      <w:r>
        <w:t>Health</w:t>
      </w:r>
      <w:r>
        <w:rPr>
          <w:spacing w:val="-10"/>
        </w:rPr>
        <w:t xml:space="preserve"> </w:t>
      </w:r>
      <w:r>
        <w:t>(BH)</w:t>
      </w:r>
      <w:r>
        <w:rPr>
          <w:spacing w:val="-11"/>
        </w:rPr>
        <w:t xml:space="preserve"> </w:t>
      </w:r>
      <w:r>
        <w:t>and</w:t>
      </w:r>
      <w:r>
        <w:rPr>
          <w:spacing w:val="-10"/>
        </w:rPr>
        <w:t xml:space="preserve"> </w:t>
      </w:r>
      <w:r>
        <w:t>Long</w:t>
      </w:r>
      <w:r>
        <w:rPr>
          <w:spacing w:val="-10"/>
        </w:rPr>
        <w:t xml:space="preserve"> </w:t>
      </w:r>
      <w:r>
        <w:t>Term</w:t>
      </w:r>
      <w:r>
        <w:rPr>
          <w:spacing w:val="-10"/>
        </w:rPr>
        <w:t xml:space="preserve"> </w:t>
      </w:r>
      <w:r>
        <w:t>Support</w:t>
      </w:r>
      <w:r>
        <w:rPr>
          <w:spacing w:val="-13"/>
        </w:rPr>
        <w:t xml:space="preserve"> </w:t>
      </w:r>
      <w:r>
        <w:t>Services</w:t>
      </w:r>
      <w:r>
        <w:rPr>
          <w:spacing w:val="-11"/>
        </w:rPr>
        <w:t xml:space="preserve"> </w:t>
      </w:r>
      <w:r>
        <w:t>(LTSS)</w:t>
      </w:r>
      <w:r>
        <w:rPr>
          <w:spacing w:val="-11"/>
        </w:rPr>
        <w:t xml:space="preserve"> </w:t>
      </w:r>
      <w:r>
        <w:t>Community</w:t>
      </w:r>
      <w:r>
        <w:rPr>
          <w:spacing w:val="-10"/>
        </w:rPr>
        <w:t xml:space="preserve"> </w:t>
      </w:r>
      <w:r>
        <w:t>Partners.</w:t>
      </w:r>
      <w:r>
        <w:rPr>
          <w:spacing w:val="27"/>
        </w:rPr>
        <w:t xml:space="preserve"> </w:t>
      </w:r>
      <w:r>
        <w:t>BACO</w:t>
      </w:r>
      <w:r>
        <w:rPr>
          <w:spacing w:val="-11"/>
        </w:rPr>
        <w:t xml:space="preserve"> </w:t>
      </w:r>
      <w:r>
        <w:t>has</w:t>
      </w:r>
      <w:r>
        <w:rPr>
          <w:spacing w:val="-9"/>
        </w:rPr>
        <w:t xml:space="preserve"> </w:t>
      </w:r>
      <w:r>
        <w:t>a keen appreciation for the importance of strong partnerships with BH and LTSS providers as key to effective</w:t>
      </w:r>
      <w:r>
        <w:rPr>
          <w:spacing w:val="-12"/>
        </w:rPr>
        <w:t xml:space="preserve"> </w:t>
      </w:r>
      <w:r>
        <w:t>care</w:t>
      </w:r>
      <w:r>
        <w:rPr>
          <w:spacing w:val="-9"/>
        </w:rPr>
        <w:t xml:space="preserve"> </w:t>
      </w:r>
      <w:r>
        <w:t>for</w:t>
      </w:r>
      <w:r>
        <w:rPr>
          <w:spacing w:val="-10"/>
        </w:rPr>
        <w:t xml:space="preserve"> </w:t>
      </w:r>
      <w:r>
        <w:t>the</w:t>
      </w:r>
      <w:r>
        <w:rPr>
          <w:spacing w:val="-9"/>
        </w:rPr>
        <w:t xml:space="preserve"> </w:t>
      </w:r>
      <w:r>
        <w:t>MassHealth</w:t>
      </w:r>
      <w:r>
        <w:rPr>
          <w:spacing w:val="-10"/>
        </w:rPr>
        <w:t xml:space="preserve"> </w:t>
      </w:r>
      <w:r>
        <w:t>population.</w:t>
      </w:r>
      <w:r>
        <w:rPr>
          <w:spacing w:val="33"/>
        </w:rPr>
        <w:t xml:space="preserve"> </w:t>
      </w:r>
      <w:r>
        <w:t>We</w:t>
      </w:r>
      <w:r>
        <w:rPr>
          <w:spacing w:val="-12"/>
        </w:rPr>
        <w:t xml:space="preserve"> </w:t>
      </w:r>
      <w:r>
        <w:t>also</w:t>
      </w:r>
      <w:r>
        <w:rPr>
          <w:spacing w:val="-11"/>
        </w:rPr>
        <w:t xml:space="preserve"> </w:t>
      </w:r>
      <w:r>
        <w:t>applaud</w:t>
      </w:r>
      <w:r>
        <w:rPr>
          <w:spacing w:val="-8"/>
        </w:rPr>
        <w:t xml:space="preserve"> </w:t>
      </w:r>
      <w:r>
        <w:t>the</w:t>
      </w:r>
      <w:r>
        <w:rPr>
          <w:spacing w:val="-12"/>
        </w:rPr>
        <w:t xml:space="preserve"> </w:t>
      </w:r>
      <w:r>
        <w:t>Commonwealth’s</w:t>
      </w:r>
      <w:r>
        <w:rPr>
          <w:spacing w:val="-10"/>
        </w:rPr>
        <w:t xml:space="preserve"> </w:t>
      </w:r>
      <w:r>
        <w:t>efforts</w:t>
      </w:r>
      <w:r>
        <w:rPr>
          <w:spacing w:val="-10"/>
        </w:rPr>
        <w:t xml:space="preserve"> </w:t>
      </w:r>
      <w:r>
        <w:t>to</w:t>
      </w:r>
      <w:r>
        <w:rPr>
          <w:spacing w:val="-9"/>
        </w:rPr>
        <w:t xml:space="preserve"> </w:t>
      </w:r>
      <w:r>
        <w:t>use</w:t>
      </w:r>
      <w:r>
        <w:rPr>
          <w:spacing w:val="-12"/>
        </w:rPr>
        <w:t xml:space="preserve"> </w:t>
      </w:r>
      <w:r>
        <w:t>this funding for statewide investments in areas such as Emergency Room boarding and other important, beneficial services. Too often, we have struggled with finding a resolution for patients who have been “stuck”</w:t>
      </w:r>
      <w:r>
        <w:rPr>
          <w:spacing w:val="-9"/>
        </w:rPr>
        <w:t xml:space="preserve"> </w:t>
      </w:r>
      <w:r>
        <w:t>at</w:t>
      </w:r>
      <w:r>
        <w:rPr>
          <w:spacing w:val="-9"/>
        </w:rPr>
        <w:t xml:space="preserve"> </w:t>
      </w:r>
      <w:r>
        <w:t>the</w:t>
      </w:r>
      <w:r>
        <w:rPr>
          <w:spacing w:val="-9"/>
        </w:rPr>
        <w:t xml:space="preserve"> </w:t>
      </w:r>
      <w:r>
        <w:t>emergency</w:t>
      </w:r>
      <w:r>
        <w:rPr>
          <w:spacing w:val="-9"/>
        </w:rPr>
        <w:t xml:space="preserve"> </w:t>
      </w:r>
      <w:r>
        <w:t>room</w:t>
      </w:r>
      <w:r>
        <w:rPr>
          <w:spacing w:val="-11"/>
        </w:rPr>
        <w:t xml:space="preserve"> </w:t>
      </w:r>
      <w:r>
        <w:t>while</w:t>
      </w:r>
      <w:r>
        <w:rPr>
          <w:spacing w:val="-9"/>
        </w:rPr>
        <w:t xml:space="preserve"> </w:t>
      </w:r>
      <w:r>
        <w:t>we</w:t>
      </w:r>
      <w:r>
        <w:rPr>
          <w:spacing w:val="-9"/>
        </w:rPr>
        <w:t xml:space="preserve"> </w:t>
      </w:r>
      <w:r>
        <w:t>look</w:t>
      </w:r>
      <w:r>
        <w:rPr>
          <w:spacing w:val="-10"/>
        </w:rPr>
        <w:t xml:space="preserve"> </w:t>
      </w:r>
      <w:r>
        <w:t>for</w:t>
      </w:r>
      <w:r>
        <w:rPr>
          <w:spacing w:val="-10"/>
        </w:rPr>
        <w:t xml:space="preserve"> </w:t>
      </w:r>
      <w:r>
        <w:t>acceptable</w:t>
      </w:r>
      <w:r>
        <w:rPr>
          <w:spacing w:val="-7"/>
        </w:rPr>
        <w:t xml:space="preserve"> </w:t>
      </w:r>
      <w:r>
        <w:t>options.</w:t>
      </w:r>
      <w:r>
        <w:rPr>
          <w:spacing w:val="31"/>
        </w:rPr>
        <w:t xml:space="preserve"> </w:t>
      </w:r>
      <w:r>
        <w:t>Funding</w:t>
      </w:r>
      <w:r>
        <w:rPr>
          <w:spacing w:val="-8"/>
        </w:rPr>
        <w:t xml:space="preserve"> </w:t>
      </w:r>
      <w:r>
        <w:t>to</w:t>
      </w:r>
      <w:r>
        <w:rPr>
          <w:spacing w:val="-9"/>
        </w:rPr>
        <w:t xml:space="preserve"> </w:t>
      </w:r>
      <w:r>
        <w:t>provide</w:t>
      </w:r>
      <w:r>
        <w:rPr>
          <w:spacing w:val="-9"/>
        </w:rPr>
        <w:t xml:space="preserve"> </w:t>
      </w:r>
      <w:r>
        <w:t>those</w:t>
      </w:r>
      <w:r>
        <w:rPr>
          <w:spacing w:val="-11"/>
        </w:rPr>
        <w:t xml:space="preserve"> </w:t>
      </w:r>
      <w:r>
        <w:t>options would</w:t>
      </w:r>
      <w:r>
        <w:rPr>
          <w:spacing w:val="-11"/>
        </w:rPr>
        <w:t xml:space="preserve"> </w:t>
      </w:r>
      <w:r>
        <w:t>be</w:t>
      </w:r>
      <w:r>
        <w:rPr>
          <w:spacing w:val="-9"/>
        </w:rPr>
        <w:t xml:space="preserve"> </w:t>
      </w:r>
      <w:r>
        <w:t>of</w:t>
      </w:r>
      <w:r>
        <w:rPr>
          <w:spacing w:val="-10"/>
        </w:rPr>
        <w:t xml:space="preserve"> </w:t>
      </w:r>
      <w:r>
        <w:t>great</w:t>
      </w:r>
      <w:r>
        <w:rPr>
          <w:spacing w:val="-10"/>
        </w:rPr>
        <w:t xml:space="preserve"> </w:t>
      </w:r>
      <w:r>
        <w:t>benefit</w:t>
      </w:r>
      <w:r>
        <w:rPr>
          <w:spacing w:val="-9"/>
        </w:rPr>
        <w:t xml:space="preserve"> </w:t>
      </w:r>
      <w:r>
        <w:t>to</w:t>
      </w:r>
      <w:r>
        <w:rPr>
          <w:spacing w:val="-9"/>
        </w:rPr>
        <w:t xml:space="preserve"> </w:t>
      </w:r>
      <w:r>
        <w:t>the</w:t>
      </w:r>
      <w:r>
        <w:rPr>
          <w:spacing w:val="-7"/>
        </w:rPr>
        <w:t xml:space="preserve"> </w:t>
      </w:r>
      <w:r>
        <w:t>patients.</w:t>
      </w:r>
    </w:p>
    <w:p w:rsidR="002C5025" w:rsidRDefault="002C5025">
      <w:pPr>
        <w:pStyle w:val="BodyText"/>
        <w:kinsoku w:val="0"/>
        <w:overflowPunct w:val="0"/>
        <w:spacing w:before="4"/>
        <w:rPr>
          <w:sz w:val="16"/>
          <w:szCs w:val="16"/>
        </w:rPr>
      </w:pPr>
    </w:p>
    <w:p w:rsidR="002C5025" w:rsidRDefault="002C5025">
      <w:pPr>
        <w:pStyle w:val="BodyText"/>
        <w:kinsoku w:val="0"/>
        <w:overflowPunct w:val="0"/>
        <w:spacing w:line="276" w:lineRule="auto"/>
        <w:ind w:left="120" w:right="396"/>
      </w:pPr>
      <w:r>
        <w:t>Our system is better positioned to make this transition as a result of the efforts supported under the current Delivery System Transformation Initiative (DSTI) waiver. With the support of DSTI funding, we have developed our ACO, implemented focused efforts to reduce readmissions, designed and implemented targeted strategies aimed at the reducing the cost of care for the highest utilizers and enhanced our focus on quality improvements in key areas. The DSTI Community Based Care Delivery and Integration project ensures that we have identified the key community partners who will play a critical role in the ongoing care of our patients under an ACO model.</w:t>
      </w:r>
    </w:p>
    <w:p w:rsidR="002C5025" w:rsidRDefault="002C5025">
      <w:pPr>
        <w:pStyle w:val="BodyText"/>
        <w:kinsoku w:val="0"/>
        <w:overflowPunct w:val="0"/>
        <w:spacing w:before="4"/>
        <w:rPr>
          <w:sz w:val="16"/>
          <w:szCs w:val="16"/>
        </w:rPr>
      </w:pPr>
    </w:p>
    <w:p w:rsidR="002C5025" w:rsidRDefault="002C5025">
      <w:pPr>
        <w:pStyle w:val="BodyText"/>
        <w:kinsoku w:val="0"/>
        <w:overflowPunct w:val="0"/>
        <w:spacing w:line="276" w:lineRule="auto"/>
        <w:ind w:left="120" w:right="175"/>
      </w:pPr>
      <w:r>
        <w:t>The Safety Net Care Pool (SNCP) is an important mechanism to the financial support of systems such as BACO. Our community health centers and Boston Medical Center, the state’s largest safety net hospital, rely on SNCP funding, as do our patients. It provides important resources that benefit the unique needs of providers who disproportionately care for the low‐income population including not only those on Medicaid but also the residually uninsured. While this provision includes changes to some of the payments under the SNCP, it is well aligned with the ACO strategy of the Commonwealth and BACO.</w:t>
      </w:r>
    </w:p>
    <w:p w:rsidR="002C5025" w:rsidRDefault="002C5025">
      <w:pPr>
        <w:pStyle w:val="BodyText"/>
        <w:kinsoku w:val="0"/>
        <w:overflowPunct w:val="0"/>
        <w:spacing w:line="276" w:lineRule="auto"/>
        <w:ind w:left="121" w:right="106" w:hanging="2"/>
      </w:pPr>
      <w:r>
        <w:t>The CHCs, BMC and our patients rely on this associated funding. Most importantly, the SNCP request will allow for the continuation of nearly full health insurance coverage across our state.</w:t>
      </w:r>
    </w:p>
    <w:p w:rsidR="002C5025" w:rsidRDefault="002C5025">
      <w:pPr>
        <w:pStyle w:val="BodyText"/>
        <w:kinsoku w:val="0"/>
        <w:overflowPunct w:val="0"/>
        <w:spacing w:before="4"/>
        <w:rPr>
          <w:sz w:val="16"/>
          <w:szCs w:val="16"/>
        </w:rPr>
      </w:pPr>
    </w:p>
    <w:p w:rsidR="002C5025" w:rsidRDefault="002C5025">
      <w:pPr>
        <w:pStyle w:val="BodyText"/>
        <w:kinsoku w:val="0"/>
        <w:overflowPunct w:val="0"/>
        <w:spacing w:line="276" w:lineRule="auto"/>
        <w:ind w:left="120" w:right="548" w:hanging="3"/>
        <w:jc w:val="both"/>
      </w:pPr>
      <w:r>
        <w:t>Substance</w:t>
      </w:r>
      <w:r>
        <w:rPr>
          <w:spacing w:val="-11"/>
        </w:rPr>
        <w:t xml:space="preserve"> </w:t>
      </w:r>
      <w:r>
        <w:t>Use</w:t>
      </w:r>
      <w:r>
        <w:rPr>
          <w:spacing w:val="-11"/>
        </w:rPr>
        <w:t xml:space="preserve"> </w:t>
      </w:r>
      <w:r>
        <w:t>Disorders</w:t>
      </w:r>
      <w:r>
        <w:rPr>
          <w:spacing w:val="-10"/>
        </w:rPr>
        <w:t xml:space="preserve"> </w:t>
      </w:r>
      <w:r>
        <w:t>have</w:t>
      </w:r>
      <w:r>
        <w:rPr>
          <w:spacing w:val="-9"/>
        </w:rPr>
        <w:t xml:space="preserve"> </w:t>
      </w:r>
      <w:r>
        <w:t>reached</w:t>
      </w:r>
      <w:r>
        <w:rPr>
          <w:spacing w:val="-11"/>
        </w:rPr>
        <w:t xml:space="preserve"> </w:t>
      </w:r>
      <w:r>
        <w:t>a</w:t>
      </w:r>
      <w:r>
        <w:rPr>
          <w:spacing w:val="-12"/>
        </w:rPr>
        <w:t xml:space="preserve"> </w:t>
      </w:r>
      <w:r>
        <w:t>critical</w:t>
      </w:r>
      <w:r>
        <w:rPr>
          <w:spacing w:val="-12"/>
        </w:rPr>
        <w:t xml:space="preserve"> </w:t>
      </w:r>
      <w:r>
        <w:t>stage</w:t>
      </w:r>
      <w:r>
        <w:rPr>
          <w:spacing w:val="-11"/>
        </w:rPr>
        <w:t xml:space="preserve"> </w:t>
      </w:r>
      <w:r>
        <w:t>in</w:t>
      </w:r>
      <w:r>
        <w:rPr>
          <w:spacing w:val="-11"/>
        </w:rPr>
        <w:t xml:space="preserve"> </w:t>
      </w:r>
      <w:r>
        <w:t>Massachusetts</w:t>
      </w:r>
      <w:r>
        <w:rPr>
          <w:spacing w:val="-12"/>
        </w:rPr>
        <w:t xml:space="preserve"> </w:t>
      </w:r>
      <w:r>
        <w:t>and</w:t>
      </w:r>
      <w:r>
        <w:rPr>
          <w:spacing w:val="-11"/>
        </w:rPr>
        <w:t xml:space="preserve"> </w:t>
      </w:r>
      <w:r>
        <w:t>throughout</w:t>
      </w:r>
      <w:r>
        <w:rPr>
          <w:spacing w:val="-10"/>
        </w:rPr>
        <w:t xml:space="preserve"> </w:t>
      </w:r>
      <w:r>
        <w:t>the</w:t>
      </w:r>
      <w:r>
        <w:rPr>
          <w:spacing w:val="-11"/>
        </w:rPr>
        <w:t xml:space="preserve"> </w:t>
      </w:r>
      <w:r>
        <w:t>country. Our</w:t>
      </w:r>
      <w:r>
        <w:rPr>
          <w:spacing w:val="-12"/>
        </w:rPr>
        <w:t xml:space="preserve"> </w:t>
      </w:r>
      <w:r>
        <w:t>BACO</w:t>
      </w:r>
      <w:r>
        <w:rPr>
          <w:spacing w:val="-7"/>
        </w:rPr>
        <w:t xml:space="preserve"> </w:t>
      </w:r>
      <w:r>
        <w:t>providers</w:t>
      </w:r>
      <w:r>
        <w:rPr>
          <w:spacing w:val="-7"/>
        </w:rPr>
        <w:t xml:space="preserve"> </w:t>
      </w:r>
      <w:r>
        <w:t>have</w:t>
      </w:r>
      <w:r>
        <w:rPr>
          <w:spacing w:val="-9"/>
        </w:rPr>
        <w:t xml:space="preserve"> </w:t>
      </w:r>
      <w:r>
        <w:t>seen</w:t>
      </w:r>
      <w:r>
        <w:rPr>
          <w:spacing w:val="-11"/>
        </w:rPr>
        <w:t xml:space="preserve"> </w:t>
      </w:r>
      <w:r>
        <w:t>the</w:t>
      </w:r>
      <w:r>
        <w:rPr>
          <w:spacing w:val="-9"/>
        </w:rPr>
        <w:t xml:space="preserve"> </w:t>
      </w:r>
      <w:r>
        <w:t>devastating</w:t>
      </w:r>
      <w:r>
        <w:rPr>
          <w:spacing w:val="-10"/>
        </w:rPr>
        <w:t xml:space="preserve"> </w:t>
      </w:r>
      <w:r>
        <w:t>impact</w:t>
      </w:r>
      <w:r>
        <w:rPr>
          <w:spacing w:val="-9"/>
        </w:rPr>
        <w:t xml:space="preserve"> </w:t>
      </w:r>
      <w:r>
        <w:t>this</w:t>
      </w:r>
      <w:r>
        <w:rPr>
          <w:spacing w:val="-7"/>
        </w:rPr>
        <w:t xml:space="preserve"> </w:t>
      </w:r>
      <w:r>
        <w:t>has</w:t>
      </w:r>
      <w:r>
        <w:rPr>
          <w:spacing w:val="-8"/>
        </w:rPr>
        <w:t xml:space="preserve"> </w:t>
      </w:r>
      <w:r>
        <w:t>had</w:t>
      </w:r>
      <w:r>
        <w:rPr>
          <w:spacing w:val="-11"/>
        </w:rPr>
        <w:t xml:space="preserve"> </w:t>
      </w:r>
      <w:r>
        <w:t>on</w:t>
      </w:r>
      <w:r>
        <w:rPr>
          <w:spacing w:val="-13"/>
        </w:rPr>
        <w:t xml:space="preserve"> </w:t>
      </w:r>
      <w:r>
        <w:t>our</w:t>
      </w:r>
      <w:r>
        <w:rPr>
          <w:spacing w:val="-8"/>
        </w:rPr>
        <w:t xml:space="preserve"> </w:t>
      </w:r>
      <w:r>
        <w:t>patients</w:t>
      </w:r>
      <w:r>
        <w:rPr>
          <w:spacing w:val="-10"/>
        </w:rPr>
        <w:t xml:space="preserve"> </w:t>
      </w:r>
      <w:r>
        <w:t>and</w:t>
      </w:r>
      <w:r>
        <w:rPr>
          <w:spacing w:val="-11"/>
        </w:rPr>
        <w:t xml:space="preserve"> </w:t>
      </w:r>
      <w:r>
        <w:t>their</w:t>
      </w:r>
      <w:r>
        <w:rPr>
          <w:spacing w:val="-10"/>
        </w:rPr>
        <w:t xml:space="preserve"> </w:t>
      </w:r>
      <w:r>
        <w:t>families. While</w:t>
      </w:r>
      <w:r>
        <w:rPr>
          <w:spacing w:val="-8"/>
        </w:rPr>
        <w:t xml:space="preserve"> </w:t>
      </w:r>
      <w:r>
        <w:t>we</w:t>
      </w:r>
      <w:r>
        <w:rPr>
          <w:spacing w:val="-8"/>
        </w:rPr>
        <w:t xml:space="preserve"> </w:t>
      </w:r>
      <w:r>
        <w:t>have</w:t>
      </w:r>
      <w:r>
        <w:rPr>
          <w:spacing w:val="-11"/>
        </w:rPr>
        <w:t xml:space="preserve"> </w:t>
      </w:r>
      <w:r>
        <w:t>been</w:t>
      </w:r>
      <w:r>
        <w:rPr>
          <w:spacing w:val="-10"/>
        </w:rPr>
        <w:t xml:space="preserve"> </w:t>
      </w:r>
      <w:r>
        <w:t>a</w:t>
      </w:r>
      <w:r>
        <w:rPr>
          <w:spacing w:val="-12"/>
        </w:rPr>
        <w:t xml:space="preserve"> </w:t>
      </w:r>
      <w:r>
        <w:t>visible</w:t>
      </w:r>
      <w:r>
        <w:rPr>
          <w:spacing w:val="-8"/>
        </w:rPr>
        <w:t xml:space="preserve"> </w:t>
      </w:r>
      <w:r>
        <w:t>leader</w:t>
      </w:r>
      <w:r>
        <w:rPr>
          <w:spacing w:val="-7"/>
        </w:rPr>
        <w:t xml:space="preserve"> </w:t>
      </w:r>
      <w:r>
        <w:t>in</w:t>
      </w:r>
      <w:r>
        <w:rPr>
          <w:spacing w:val="-10"/>
        </w:rPr>
        <w:t xml:space="preserve"> </w:t>
      </w:r>
      <w:r>
        <w:t>the</w:t>
      </w:r>
      <w:r>
        <w:rPr>
          <w:spacing w:val="-8"/>
        </w:rPr>
        <w:t xml:space="preserve"> </w:t>
      </w:r>
      <w:r>
        <w:t>development</w:t>
      </w:r>
      <w:r>
        <w:rPr>
          <w:spacing w:val="-7"/>
        </w:rPr>
        <w:t xml:space="preserve"> </w:t>
      </w:r>
      <w:r>
        <w:t>of</w:t>
      </w:r>
      <w:r>
        <w:rPr>
          <w:spacing w:val="-12"/>
        </w:rPr>
        <w:t xml:space="preserve"> </w:t>
      </w:r>
      <w:r>
        <w:t>strategies</w:t>
      </w:r>
      <w:r>
        <w:rPr>
          <w:spacing w:val="-9"/>
        </w:rPr>
        <w:t xml:space="preserve"> </w:t>
      </w:r>
      <w:r>
        <w:t>to</w:t>
      </w:r>
      <w:r>
        <w:rPr>
          <w:spacing w:val="-8"/>
        </w:rPr>
        <w:t xml:space="preserve"> </w:t>
      </w:r>
      <w:r>
        <w:t>address</w:t>
      </w:r>
      <w:r>
        <w:rPr>
          <w:spacing w:val="-9"/>
        </w:rPr>
        <w:t xml:space="preserve"> </w:t>
      </w:r>
      <w:r>
        <w:rPr>
          <w:spacing w:val="-2"/>
        </w:rPr>
        <w:t>the</w:t>
      </w:r>
      <w:r>
        <w:rPr>
          <w:spacing w:val="-7"/>
        </w:rPr>
        <w:t xml:space="preserve"> </w:t>
      </w:r>
      <w:r>
        <w:t>crisis,</w:t>
      </w:r>
      <w:r>
        <w:rPr>
          <w:spacing w:val="-9"/>
        </w:rPr>
        <w:t xml:space="preserve"> </w:t>
      </w:r>
      <w:r>
        <w:t>current</w:t>
      </w:r>
    </w:p>
    <w:p w:rsidR="002C5025" w:rsidRDefault="002C5025">
      <w:pPr>
        <w:pStyle w:val="BodyText"/>
        <w:kinsoku w:val="0"/>
        <w:overflowPunct w:val="0"/>
        <w:spacing w:line="276" w:lineRule="auto"/>
        <w:ind w:left="120" w:right="548" w:hanging="3"/>
        <w:jc w:val="both"/>
        <w:sectPr w:rsidR="002C5025">
          <w:pgSz w:w="12240" w:h="15840"/>
          <w:pgMar w:top="700" w:right="1320" w:bottom="280" w:left="1320" w:header="720" w:footer="720" w:gutter="0"/>
          <w:cols w:space="720" w:equalWidth="0">
            <w:col w:w="9600"/>
          </w:cols>
          <w:noEndnote/>
        </w:sectPr>
      </w:pPr>
    </w:p>
    <w:p w:rsidR="002C5025" w:rsidRDefault="002C5025">
      <w:pPr>
        <w:pStyle w:val="BodyText"/>
        <w:kinsoku w:val="0"/>
        <w:overflowPunct w:val="0"/>
        <w:spacing w:before="31"/>
        <w:ind w:right="136"/>
        <w:jc w:val="right"/>
      </w:pPr>
      <w:r>
        <w:lastRenderedPageBreak/>
        <w:t>3</w:t>
      </w:r>
    </w:p>
    <w:p w:rsidR="002C5025" w:rsidRDefault="002C5025">
      <w:pPr>
        <w:pStyle w:val="BodyText"/>
        <w:kinsoku w:val="0"/>
        <w:overflowPunct w:val="0"/>
        <w:rPr>
          <w:sz w:val="20"/>
          <w:szCs w:val="20"/>
        </w:rPr>
      </w:pPr>
    </w:p>
    <w:p w:rsidR="002C5025" w:rsidRDefault="002C5025">
      <w:pPr>
        <w:pStyle w:val="BodyText"/>
        <w:kinsoku w:val="0"/>
        <w:overflowPunct w:val="0"/>
        <w:spacing w:before="188" w:line="276" w:lineRule="auto"/>
        <w:ind w:left="123" w:right="465" w:hanging="1"/>
      </w:pPr>
      <w:r>
        <w:t>resources have not been able to keep up with the demand. The Commonwealth is to be commended for its efforts to expand coverage in this area and to address the opioid crisis.</w:t>
      </w:r>
    </w:p>
    <w:p w:rsidR="002C5025" w:rsidRDefault="002C5025">
      <w:pPr>
        <w:pStyle w:val="BodyText"/>
        <w:kinsoku w:val="0"/>
        <w:overflowPunct w:val="0"/>
        <w:spacing w:before="4"/>
        <w:rPr>
          <w:sz w:val="16"/>
          <w:szCs w:val="16"/>
        </w:rPr>
      </w:pPr>
    </w:p>
    <w:p w:rsidR="002C5025" w:rsidRDefault="002C5025">
      <w:pPr>
        <w:pStyle w:val="BodyText"/>
        <w:kinsoku w:val="0"/>
        <w:overflowPunct w:val="0"/>
        <w:spacing w:line="276" w:lineRule="auto"/>
        <w:ind w:left="122" w:right="201"/>
      </w:pPr>
      <w:r>
        <w:t>In closing, we hope that CMS will approve the waiver proposal from the Commonwealth of Massachusetts. We believe it has the potential to have a very positive and lasting impact on the Medicaid financing and delivery system. Your approval will allow BACO and the Massachusetts provider community to continue to work in partnership with the state to the benefit of our patients.</w:t>
      </w:r>
    </w:p>
    <w:p w:rsidR="002C5025" w:rsidRDefault="002C5025">
      <w:pPr>
        <w:pStyle w:val="BodyText"/>
        <w:kinsoku w:val="0"/>
        <w:overflowPunct w:val="0"/>
        <w:spacing w:before="4"/>
        <w:rPr>
          <w:sz w:val="16"/>
          <w:szCs w:val="16"/>
        </w:rPr>
      </w:pPr>
    </w:p>
    <w:p w:rsidR="002C5025" w:rsidRDefault="002C5025">
      <w:pPr>
        <w:pStyle w:val="BodyText"/>
        <w:kinsoku w:val="0"/>
        <w:overflowPunct w:val="0"/>
        <w:ind w:left="122" w:right="5289"/>
      </w:pPr>
      <w:r>
        <w:t>Sincerely,</w:t>
      </w:r>
    </w:p>
    <w:p w:rsidR="002C5025" w:rsidRDefault="002C5025">
      <w:pPr>
        <w:pStyle w:val="BodyText"/>
        <w:kinsoku w:val="0"/>
        <w:overflowPunct w:val="0"/>
        <w:spacing w:before="1"/>
        <w:rPr>
          <w:sz w:val="15"/>
          <w:szCs w:val="15"/>
        </w:rPr>
      </w:pPr>
    </w:p>
    <w:p w:rsidR="002C5025" w:rsidRDefault="002C5025">
      <w:pPr>
        <w:pStyle w:val="BodyText"/>
        <w:kinsoku w:val="0"/>
        <w:overflowPunct w:val="0"/>
        <w:spacing w:before="1"/>
        <w:rPr>
          <w:sz w:val="15"/>
          <w:szCs w:val="15"/>
        </w:rPr>
        <w:sectPr w:rsidR="002C5025">
          <w:pgSz w:w="12240" w:h="15840"/>
          <w:pgMar w:top="700" w:right="1300" w:bottom="280" w:left="1320" w:header="720" w:footer="720" w:gutter="0"/>
          <w:cols w:space="720" w:equalWidth="0">
            <w:col w:w="9620"/>
          </w:cols>
          <w:noEndnote/>
        </w:sectPr>
      </w:pPr>
    </w:p>
    <w:p w:rsidR="002C5025" w:rsidRDefault="00FB027C">
      <w:pPr>
        <w:pStyle w:val="BodyText"/>
        <w:kinsoku w:val="0"/>
        <w:overflowPunct w:val="0"/>
        <w:spacing w:before="56"/>
        <w:ind w:left="122"/>
      </w:pPr>
      <w:r>
        <w:rPr>
          <w:noProof/>
        </w:rPr>
        <w:lastRenderedPageBreak/>
        <mc:AlternateContent>
          <mc:Choice Requires="wps">
            <w:drawing>
              <wp:anchor distT="0" distB="0" distL="114300" distR="114300" simplePos="0" relativeHeight="251528704" behindDoc="0" locked="0" layoutInCell="0" allowOverlap="1">
                <wp:simplePos x="0" y="0"/>
                <wp:positionH relativeFrom="page">
                  <wp:posOffset>914400</wp:posOffset>
                </wp:positionH>
                <wp:positionV relativeFrom="paragraph">
                  <wp:posOffset>208280</wp:posOffset>
                </wp:positionV>
                <wp:extent cx="1993900" cy="330200"/>
                <wp:effectExtent l="0" t="0" r="0" b="0"/>
                <wp:wrapNone/>
                <wp:docPr id="805" name="Rectangl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390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520" w:lineRule="atLeast"/>
                            </w:pPr>
                            <w:r>
                              <w:rPr>
                                <w:noProof/>
                              </w:rPr>
                              <w:drawing>
                                <wp:inline distT="0" distB="0" distL="0" distR="0">
                                  <wp:extent cx="1990725" cy="323850"/>
                                  <wp:effectExtent l="0" t="0" r="952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990725" cy="323850"/>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0" o:spid="_x0000_s1141" style="position:absolute;left:0;text-align:left;margin-left:1in;margin-top:16.4pt;width:157pt;height:26pt;z-index:251528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" o:allowincell="f" filled="f" stroked="f">
                <v:textbox inset="0,0,0,0">
                  <w:txbxContent>
                    <w:p w:rsidR="007B2B7B" w:rsidRDefault="007B2B7B">
                      <w:pPr>
                        <w:widowControl/>
                        <w:autoSpaceDE/>
                        <w:autoSpaceDN/>
                        <w:adjustRightInd/>
                        <w:spacing w:line="520" w:lineRule="atLeast"/>
                      </w:pPr>
                      <w:r>
                        <w:rPr>
                          <w:noProof/>
                        </w:rPr>
                        <w:drawing>
                          <wp:inline distT="0" distB="0" distL="0" distR="0">
                            <wp:extent cx="1990725" cy="323850"/>
                            <wp:effectExtent l="0" t="0" r="952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990725" cy="323850"/>
                                    </a:xfrm>
                                    <a:prstGeom prst="rect">
                                      <a:avLst/>
                                    </a:prstGeom>
                                    <a:noFill/>
                                    <a:ln>
                                      <a:noFill/>
                                    </a:ln>
                                  </pic:spPr>
                                </pic:pic>
                              </a:graphicData>
                            </a:graphic>
                          </wp:inline>
                        </w:drawing>
                      </w:r>
                    </w:p>
                    <w:p w:rsidR="007B2B7B" w:rsidRDefault="007B2B7B"/>
                  </w:txbxContent>
                </v:textbox>
                <w10:wrap anchorx="page"/>
              </v:rect>
            </w:pict>
          </mc:Fallback>
        </mc:AlternateContent>
      </w:r>
      <w:r w:rsidR="002C5025">
        <w:t>Codman Square Health Center</w:t>
      </w:r>
    </w:p>
    <w:p w:rsidR="002C5025" w:rsidRDefault="002C5025">
      <w:pPr>
        <w:pStyle w:val="BodyText"/>
        <w:kinsoku w:val="0"/>
        <w:overflowPunct w:val="0"/>
      </w:pPr>
    </w:p>
    <w:p w:rsidR="002C5025" w:rsidRDefault="002C5025">
      <w:pPr>
        <w:pStyle w:val="BodyText"/>
        <w:kinsoku w:val="0"/>
        <w:overflowPunct w:val="0"/>
      </w:pPr>
    </w:p>
    <w:p w:rsidR="002C5025" w:rsidRDefault="002C5025">
      <w:pPr>
        <w:pStyle w:val="BodyText"/>
        <w:kinsoku w:val="0"/>
        <w:overflowPunct w:val="0"/>
      </w:pPr>
    </w:p>
    <w:p w:rsidR="002C5025" w:rsidRDefault="002C5025">
      <w:pPr>
        <w:pStyle w:val="BodyText"/>
        <w:kinsoku w:val="0"/>
        <w:overflowPunct w:val="0"/>
        <w:spacing w:before="9"/>
        <w:rPr>
          <w:sz w:val="18"/>
          <w:szCs w:val="18"/>
        </w:rPr>
      </w:pPr>
    </w:p>
    <w:p w:rsidR="002C5025" w:rsidRDefault="00FB027C">
      <w:pPr>
        <w:pStyle w:val="BodyText"/>
        <w:kinsoku w:val="0"/>
        <w:overflowPunct w:val="0"/>
        <w:ind w:left="122"/>
        <w:rPr>
          <w:sz w:val="20"/>
          <w:szCs w:val="20"/>
        </w:rPr>
      </w:pPr>
      <w:r>
        <w:rPr>
          <w:noProof/>
        </w:rPr>
        <mc:AlternateContent>
          <mc:Choice Requires="wps">
            <w:drawing>
              <wp:anchor distT="0" distB="0" distL="114300" distR="114300" simplePos="0" relativeHeight="251529728" behindDoc="0" locked="0" layoutInCell="0" allowOverlap="1">
                <wp:simplePos x="0" y="0"/>
                <wp:positionH relativeFrom="page">
                  <wp:posOffset>924560</wp:posOffset>
                </wp:positionH>
                <wp:positionV relativeFrom="paragraph">
                  <wp:posOffset>-14605</wp:posOffset>
                </wp:positionV>
                <wp:extent cx="2738755" cy="12700"/>
                <wp:effectExtent l="0" t="0" r="0" b="0"/>
                <wp:wrapNone/>
                <wp:docPr id="804" name="Freeform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38755" cy="12700"/>
                        </a:xfrm>
                        <a:custGeom>
                          <a:avLst/>
                          <a:gdLst>
                            <a:gd name="T0" fmla="*/ 0 w 4313"/>
                            <a:gd name="T1" fmla="*/ 0 h 20"/>
                            <a:gd name="T2" fmla="*/ 4313 w 4313"/>
                            <a:gd name="T3" fmla="*/ 0 h 20"/>
                          </a:gdLst>
                          <a:ahLst/>
                          <a:cxnLst>
                            <a:cxn ang="0">
                              <a:pos x="T0" y="T1"/>
                            </a:cxn>
                            <a:cxn ang="0">
                              <a:pos x="T2" y="T3"/>
                            </a:cxn>
                          </a:cxnLst>
                          <a:rect l="0" t="0" r="r" b="b"/>
                          <a:pathLst>
                            <a:path w="4313" h="20">
                              <a:moveTo>
                                <a:pt x="0" y="0"/>
                              </a:moveTo>
                              <a:lnTo>
                                <a:pt x="4313"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21" o:spid="_x0000_s1026" style="position:absolute;z-index:251529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72.8pt,-1.15pt,288.45pt,-1.15pt" coordsize="43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" o:allowincell="f" filled="f" strokeweight=".82pt">
                <v:path arrowok="t" o:connecttype="custom" o:connectlocs="0,0;2738755,0" o:connectangles="0,0"/>
                <w10:wrap anchorx="page"/>
              </v:polyline>
            </w:pict>
          </mc:Fallback>
        </mc:AlternateContent>
      </w:r>
      <w:r w:rsidR="002C5025">
        <w:rPr>
          <w:sz w:val="20"/>
          <w:szCs w:val="20"/>
        </w:rPr>
        <w:t xml:space="preserve">Sandra </w:t>
      </w:r>
      <w:proofErr w:type="spellStart"/>
      <w:r w:rsidR="002C5025">
        <w:rPr>
          <w:sz w:val="20"/>
          <w:szCs w:val="20"/>
        </w:rPr>
        <w:t>Cotterell</w:t>
      </w:r>
      <w:proofErr w:type="spellEnd"/>
    </w:p>
    <w:p w:rsidR="002C5025" w:rsidRDefault="002C5025">
      <w:pPr>
        <w:pStyle w:val="BodyText"/>
        <w:kinsoku w:val="0"/>
        <w:overflowPunct w:val="0"/>
        <w:ind w:left="122"/>
        <w:rPr>
          <w:sz w:val="20"/>
          <w:szCs w:val="20"/>
        </w:rPr>
      </w:pPr>
      <w:r>
        <w:rPr>
          <w:sz w:val="20"/>
          <w:szCs w:val="20"/>
        </w:rPr>
        <w:t>Chief Executive Officer</w:t>
      </w:r>
    </w:p>
    <w:p w:rsidR="002C5025" w:rsidRDefault="002C5025">
      <w:pPr>
        <w:pStyle w:val="BodyText"/>
        <w:kinsoku w:val="0"/>
        <w:overflowPunct w:val="0"/>
        <w:spacing w:before="56"/>
        <w:ind w:left="123"/>
      </w:pPr>
      <w:r>
        <w:rPr>
          <w:rFonts w:ascii="Times New Roman" w:hAnsi="Times New Roman" w:cs="Times New Roman"/>
          <w:sz w:val="24"/>
          <w:szCs w:val="24"/>
        </w:rPr>
        <w:br w:type="column"/>
      </w:r>
      <w:proofErr w:type="spellStart"/>
      <w:r>
        <w:lastRenderedPageBreak/>
        <w:t>DotHouse</w:t>
      </w:r>
      <w:proofErr w:type="spellEnd"/>
      <w:r>
        <w:t xml:space="preserve"> Health</w:t>
      </w:r>
    </w:p>
    <w:p w:rsidR="002C5025" w:rsidRDefault="002C5025">
      <w:pPr>
        <w:pStyle w:val="BodyText"/>
        <w:kinsoku w:val="0"/>
        <w:overflowPunct w:val="0"/>
        <w:spacing w:before="11"/>
        <w:rPr>
          <w:sz w:val="9"/>
          <w:szCs w:val="9"/>
        </w:rPr>
      </w:pPr>
    </w:p>
    <w:p w:rsidR="002C5025" w:rsidRDefault="00FB027C">
      <w:pPr>
        <w:pStyle w:val="BodyText"/>
        <w:kinsoku w:val="0"/>
        <w:overflowPunct w:val="0"/>
        <w:ind w:left="120"/>
        <w:rPr>
          <w:sz w:val="20"/>
          <w:szCs w:val="20"/>
        </w:rPr>
      </w:pPr>
      <w:r>
        <w:rPr>
          <w:noProof/>
          <w:sz w:val="20"/>
          <w:szCs w:val="20"/>
        </w:rPr>
        <w:drawing>
          <wp:inline distT="0" distB="0" distL="0" distR="0">
            <wp:extent cx="1962150" cy="24765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962150" cy="247650"/>
                    </a:xfrm>
                    <a:prstGeom prst="rect">
                      <a:avLst/>
                    </a:prstGeom>
                    <a:noFill/>
                    <a:ln>
                      <a:noFill/>
                    </a:ln>
                  </pic:spPr>
                </pic:pic>
              </a:graphicData>
            </a:graphic>
          </wp:inline>
        </w:drawing>
      </w:r>
    </w:p>
    <w:p w:rsidR="002C5025" w:rsidRDefault="002C5025">
      <w:pPr>
        <w:pStyle w:val="BodyText"/>
        <w:kinsoku w:val="0"/>
        <w:overflowPunct w:val="0"/>
        <w:rPr>
          <w:sz w:val="20"/>
          <w:szCs w:val="20"/>
        </w:rPr>
      </w:pPr>
    </w:p>
    <w:p w:rsidR="002C5025" w:rsidRDefault="00FB027C">
      <w:pPr>
        <w:pStyle w:val="BodyText"/>
        <w:kinsoku w:val="0"/>
        <w:overflowPunct w:val="0"/>
        <w:spacing w:before="7"/>
        <w:rPr>
          <w:sz w:val="16"/>
          <w:szCs w:val="16"/>
        </w:rPr>
      </w:pPr>
      <w:r>
        <w:rPr>
          <w:noProof/>
        </w:rPr>
        <mc:AlternateContent>
          <mc:Choice Requires="wps">
            <w:drawing>
              <wp:anchor distT="0" distB="0" distL="0" distR="0" simplePos="0" relativeHeight="251530752" behindDoc="0" locked="0" layoutInCell="0" allowOverlap="1">
                <wp:simplePos x="0" y="0"/>
                <wp:positionH relativeFrom="page">
                  <wp:posOffset>4582795</wp:posOffset>
                </wp:positionH>
                <wp:positionV relativeFrom="paragraph">
                  <wp:posOffset>158115</wp:posOffset>
                </wp:positionV>
                <wp:extent cx="2290445" cy="12700"/>
                <wp:effectExtent l="0" t="0" r="0" b="0"/>
                <wp:wrapTopAndBottom/>
                <wp:docPr id="803" name="Freeform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90445" cy="12700"/>
                        </a:xfrm>
                        <a:custGeom>
                          <a:avLst/>
                          <a:gdLst>
                            <a:gd name="T0" fmla="*/ 0 w 3607"/>
                            <a:gd name="T1" fmla="*/ 0 h 20"/>
                            <a:gd name="T2" fmla="*/ 3607 w 3607"/>
                            <a:gd name="T3" fmla="*/ 0 h 20"/>
                          </a:gdLst>
                          <a:ahLst/>
                          <a:cxnLst>
                            <a:cxn ang="0">
                              <a:pos x="T0" y="T1"/>
                            </a:cxn>
                            <a:cxn ang="0">
                              <a:pos x="T2" y="T3"/>
                            </a:cxn>
                          </a:cxnLst>
                          <a:rect l="0" t="0" r="r" b="b"/>
                          <a:pathLst>
                            <a:path w="3607" h="20">
                              <a:moveTo>
                                <a:pt x="0" y="0"/>
                              </a:moveTo>
                              <a:lnTo>
                                <a:pt x="3607"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22" o:spid="_x0000_s1026" style="position:absolute;z-index:251530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360.85pt,12.45pt,541.2pt,12.45pt" coordsize="36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" o:allowincell="f" filled="f" strokeweight=".82pt">
                <v:path arrowok="t" o:connecttype="custom" o:connectlocs="0,0;2290445,0" o:connectangles="0,0"/>
                <w10:wrap type="topAndBottom" anchorx="page"/>
              </v:polyline>
            </w:pict>
          </mc:Fallback>
        </mc:AlternateContent>
      </w:r>
    </w:p>
    <w:p w:rsidR="002C5025" w:rsidRDefault="002C5025">
      <w:pPr>
        <w:pStyle w:val="BodyText"/>
        <w:kinsoku w:val="0"/>
        <w:overflowPunct w:val="0"/>
        <w:ind w:left="123"/>
        <w:rPr>
          <w:sz w:val="20"/>
          <w:szCs w:val="20"/>
        </w:rPr>
      </w:pPr>
      <w:r>
        <w:rPr>
          <w:sz w:val="20"/>
          <w:szCs w:val="20"/>
        </w:rPr>
        <w:t xml:space="preserve">Michelle </w:t>
      </w:r>
      <w:proofErr w:type="spellStart"/>
      <w:r>
        <w:rPr>
          <w:sz w:val="20"/>
          <w:szCs w:val="20"/>
        </w:rPr>
        <w:t>Nadow</w:t>
      </w:r>
      <w:proofErr w:type="spellEnd"/>
    </w:p>
    <w:p w:rsidR="002C5025" w:rsidRDefault="002C5025">
      <w:pPr>
        <w:pStyle w:val="BodyText"/>
        <w:kinsoku w:val="0"/>
        <w:overflowPunct w:val="0"/>
        <w:ind w:left="123"/>
        <w:rPr>
          <w:sz w:val="20"/>
          <w:szCs w:val="20"/>
        </w:rPr>
      </w:pPr>
      <w:r>
        <w:rPr>
          <w:sz w:val="20"/>
          <w:szCs w:val="20"/>
        </w:rPr>
        <w:t>Chief Executive Officer</w:t>
      </w:r>
    </w:p>
    <w:p w:rsidR="002C5025" w:rsidRDefault="002C5025">
      <w:pPr>
        <w:pStyle w:val="BodyText"/>
        <w:kinsoku w:val="0"/>
        <w:overflowPunct w:val="0"/>
        <w:ind w:left="123"/>
        <w:rPr>
          <w:sz w:val="20"/>
          <w:szCs w:val="20"/>
        </w:rPr>
        <w:sectPr w:rsidR="002C5025">
          <w:type w:val="continuous"/>
          <w:pgSz w:w="12240" w:h="15840"/>
          <w:pgMar w:top="720" w:right="1300" w:bottom="280" w:left="1320" w:header="720" w:footer="720" w:gutter="0"/>
          <w:cols w:num="2" w:space="720" w:equalWidth="0">
            <w:col w:w="3254" w:space="2505"/>
            <w:col w:w="3861"/>
          </w:cols>
          <w:noEndnote/>
        </w:sectPr>
      </w:pPr>
    </w:p>
    <w:p w:rsidR="002C5025" w:rsidRDefault="002C5025">
      <w:pPr>
        <w:pStyle w:val="BodyText"/>
        <w:kinsoku w:val="0"/>
        <w:overflowPunct w:val="0"/>
        <w:spacing w:before="3"/>
        <w:rPr>
          <w:sz w:val="17"/>
          <w:szCs w:val="17"/>
        </w:rPr>
      </w:pPr>
    </w:p>
    <w:p w:rsidR="002C5025" w:rsidRDefault="002C5025">
      <w:pPr>
        <w:pStyle w:val="BodyText"/>
        <w:kinsoku w:val="0"/>
        <w:overflowPunct w:val="0"/>
        <w:spacing w:before="3"/>
        <w:rPr>
          <w:sz w:val="17"/>
          <w:szCs w:val="17"/>
        </w:rPr>
        <w:sectPr w:rsidR="002C5025">
          <w:type w:val="continuous"/>
          <w:pgSz w:w="12240" w:h="15840"/>
          <w:pgMar w:top="720" w:right="1300" w:bottom="280" w:left="1320" w:header="720" w:footer="720" w:gutter="0"/>
          <w:cols w:space="720" w:equalWidth="0">
            <w:col w:w="9620"/>
          </w:cols>
          <w:noEndnote/>
        </w:sectPr>
      </w:pPr>
    </w:p>
    <w:p w:rsidR="002C5025" w:rsidRDefault="002C5025">
      <w:pPr>
        <w:pStyle w:val="BodyText"/>
        <w:kinsoku w:val="0"/>
        <w:overflowPunct w:val="0"/>
        <w:spacing w:before="56"/>
        <w:ind w:left="122" w:right="-4"/>
      </w:pPr>
      <w:r>
        <w:lastRenderedPageBreak/>
        <w:t>Mattapan</w:t>
      </w:r>
      <w:r>
        <w:rPr>
          <w:spacing w:val="-21"/>
        </w:rPr>
        <w:t xml:space="preserve"> </w:t>
      </w:r>
      <w:r>
        <w:t>Community</w:t>
      </w:r>
      <w:r>
        <w:rPr>
          <w:spacing w:val="-20"/>
        </w:rPr>
        <w:t xml:space="preserve"> </w:t>
      </w:r>
      <w:r>
        <w:t>Health</w:t>
      </w:r>
      <w:r>
        <w:rPr>
          <w:spacing w:val="-21"/>
        </w:rPr>
        <w:t xml:space="preserve"> </w:t>
      </w:r>
      <w:r>
        <w:t>Center</w:t>
      </w:r>
    </w:p>
    <w:p w:rsidR="002C5025" w:rsidRDefault="00FB027C">
      <w:pPr>
        <w:pStyle w:val="BodyText"/>
        <w:kinsoku w:val="0"/>
        <w:overflowPunct w:val="0"/>
        <w:spacing w:before="1"/>
        <w:rPr>
          <w:sz w:val="19"/>
          <w:szCs w:val="19"/>
        </w:rPr>
      </w:pPr>
      <w:r>
        <w:rPr>
          <w:noProof/>
        </w:rPr>
        <mc:AlternateContent>
          <mc:Choice Requires="wps">
            <w:drawing>
              <wp:anchor distT="0" distB="0" distL="0" distR="0" simplePos="0" relativeHeight="251531776" behindDoc="0" locked="0" layoutInCell="0" allowOverlap="1">
                <wp:simplePos x="0" y="0"/>
                <wp:positionH relativeFrom="page">
                  <wp:posOffset>914400</wp:posOffset>
                </wp:positionH>
                <wp:positionV relativeFrom="paragraph">
                  <wp:posOffset>172720</wp:posOffset>
                </wp:positionV>
                <wp:extent cx="1524000" cy="558800"/>
                <wp:effectExtent l="0" t="0" r="0" b="0"/>
                <wp:wrapTopAndBottom/>
                <wp:docPr id="802" name="Rectangl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55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880" w:lineRule="atLeast"/>
                            </w:pPr>
                            <w:r>
                              <w:rPr>
                                <w:noProof/>
                              </w:rPr>
                              <w:drawing>
                                <wp:inline distT="0" distB="0" distL="0" distR="0">
                                  <wp:extent cx="1514475" cy="552450"/>
                                  <wp:effectExtent l="0" t="0" r="952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514475" cy="552450"/>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3" o:spid="_x0000_s1142" style="position:absolute;margin-left:1in;margin-top:13.6pt;width:120pt;height:44pt;z-index:251531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" o:allowincell="f" filled="f" stroked="f">
                <v:textbox inset="0,0,0,0">
                  <w:txbxContent>
                    <w:p w:rsidR="007B2B7B" w:rsidRDefault="007B2B7B">
                      <w:pPr>
                        <w:widowControl/>
                        <w:autoSpaceDE/>
                        <w:autoSpaceDN/>
                        <w:adjustRightInd/>
                        <w:spacing w:line="880" w:lineRule="atLeast"/>
                      </w:pPr>
                      <w:r>
                        <w:rPr>
                          <w:noProof/>
                        </w:rPr>
                        <w:drawing>
                          <wp:inline distT="0" distB="0" distL="0" distR="0">
                            <wp:extent cx="1514475" cy="552450"/>
                            <wp:effectExtent l="0" t="0" r="952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514475" cy="552450"/>
                                    </a:xfrm>
                                    <a:prstGeom prst="rect">
                                      <a:avLst/>
                                    </a:prstGeom>
                                    <a:noFill/>
                                    <a:ln>
                                      <a:noFill/>
                                    </a:ln>
                                  </pic:spPr>
                                </pic:pic>
                              </a:graphicData>
                            </a:graphic>
                          </wp:inline>
                        </w:drawing>
                      </w:r>
                    </w:p>
                    <w:p w:rsidR="007B2B7B" w:rsidRDefault="007B2B7B"/>
                  </w:txbxContent>
                </v:textbox>
                <w10:wrap type="topAndBottom" anchorx="page"/>
              </v:rect>
            </w:pict>
          </mc:Fallback>
        </mc:AlternateContent>
      </w:r>
    </w:p>
    <w:p w:rsidR="002C5025" w:rsidRDefault="002C5025">
      <w:pPr>
        <w:pStyle w:val="BodyText"/>
        <w:kinsoku w:val="0"/>
        <w:overflowPunct w:val="0"/>
      </w:pPr>
    </w:p>
    <w:p w:rsidR="002C5025" w:rsidRDefault="002C5025">
      <w:pPr>
        <w:pStyle w:val="BodyText"/>
        <w:kinsoku w:val="0"/>
        <w:overflowPunct w:val="0"/>
        <w:rPr>
          <w:sz w:val="18"/>
          <w:szCs w:val="18"/>
        </w:rPr>
      </w:pPr>
    </w:p>
    <w:p w:rsidR="002C5025" w:rsidRDefault="00FB027C">
      <w:pPr>
        <w:pStyle w:val="BodyText"/>
        <w:kinsoku w:val="0"/>
        <w:overflowPunct w:val="0"/>
        <w:ind w:left="122" w:right="1361"/>
        <w:rPr>
          <w:sz w:val="20"/>
          <w:szCs w:val="20"/>
        </w:rPr>
      </w:pPr>
      <w:r>
        <w:rPr>
          <w:noProof/>
        </w:rPr>
        <mc:AlternateContent>
          <mc:Choice Requires="wps">
            <w:drawing>
              <wp:anchor distT="0" distB="0" distL="114300" distR="114300" simplePos="0" relativeHeight="251532800" behindDoc="0" locked="0" layoutInCell="0" allowOverlap="1">
                <wp:simplePos x="0" y="0"/>
                <wp:positionH relativeFrom="page">
                  <wp:posOffset>924560</wp:posOffset>
                </wp:positionH>
                <wp:positionV relativeFrom="paragraph">
                  <wp:posOffset>-15875</wp:posOffset>
                </wp:positionV>
                <wp:extent cx="2738755" cy="12700"/>
                <wp:effectExtent l="0" t="0" r="0" b="0"/>
                <wp:wrapNone/>
                <wp:docPr id="801" name="Freeform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38755" cy="12700"/>
                        </a:xfrm>
                        <a:custGeom>
                          <a:avLst/>
                          <a:gdLst>
                            <a:gd name="T0" fmla="*/ 0 w 4313"/>
                            <a:gd name="T1" fmla="*/ 0 h 20"/>
                            <a:gd name="T2" fmla="*/ 4313 w 4313"/>
                            <a:gd name="T3" fmla="*/ 0 h 20"/>
                          </a:gdLst>
                          <a:ahLst/>
                          <a:cxnLst>
                            <a:cxn ang="0">
                              <a:pos x="T0" y="T1"/>
                            </a:cxn>
                            <a:cxn ang="0">
                              <a:pos x="T2" y="T3"/>
                            </a:cxn>
                          </a:cxnLst>
                          <a:rect l="0" t="0" r="r" b="b"/>
                          <a:pathLst>
                            <a:path w="4313" h="20">
                              <a:moveTo>
                                <a:pt x="0" y="0"/>
                              </a:moveTo>
                              <a:lnTo>
                                <a:pt x="4313"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24" o:spid="_x0000_s1026" style="position:absolute;z-index:251532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72.8pt,-1.25pt,288.45pt,-1.25pt" coordsize="43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" o:allowincell="f" filled="f" strokeweight=".82pt">
                <v:path arrowok="t" o:connecttype="custom" o:connectlocs="0,0;2738755,0" o:connectangles="0,0"/>
                <w10:wrap anchorx="page"/>
              </v:polyline>
            </w:pict>
          </mc:Fallback>
        </mc:AlternateContent>
      </w:r>
      <w:proofErr w:type="spellStart"/>
      <w:r w:rsidR="002C5025">
        <w:rPr>
          <w:sz w:val="20"/>
          <w:szCs w:val="20"/>
        </w:rPr>
        <w:t>Azzie</w:t>
      </w:r>
      <w:proofErr w:type="spellEnd"/>
      <w:r w:rsidR="002C5025">
        <w:rPr>
          <w:sz w:val="20"/>
          <w:szCs w:val="20"/>
        </w:rPr>
        <w:t xml:space="preserve"> Young, PhD. Chief Executive Officer</w:t>
      </w:r>
    </w:p>
    <w:p w:rsidR="002C5025" w:rsidRDefault="002C5025">
      <w:pPr>
        <w:pStyle w:val="BodyText"/>
        <w:kinsoku w:val="0"/>
        <w:overflowPunct w:val="0"/>
        <w:spacing w:before="56"/>
        <w:ind w:left="122"/>
      </w:pPr>
      <w:r>
        <w:rPr>
          <w:rFonts w:ascii="Times New Roman" w:hAnsi="Times New Roman" w:cs="Times New Roman"/>
          <w:sz w:val="24"/>
          <w:szCs w:val="24"/>
        </w:rPr>
        <w:br w:type="column"/>
      </w:r>
      <w:r>
        <w:lastRenderedPageBreak/>
        <w:t>South Boston Community Health Center</w:t>
      </w:r>
    </w:p>
    <w:p w:rsidR="002C5025" w:rsidRDefault="00FB027C">
      <w:pPr>
        <w:pStyle w:val="BodyText"/>
        <w:kinsoku w:val="0"/>
        <w:overflowPunct w:val="0"/>
        <w:ind w:left="120"/>
        <w:rPr>
          <w:sz w:val="20"/>
          <w:szCs w:val="20"/>
        </w:rPr>
      </w:pPr>
      <w:r>
        <w:rPr>
          <w:noProof/>
          <w:sz w:val="20"/>
          <w:szCs w:val="20"/>
        </w:rPr>
        <w:drawing>
          <wp:inline distT="0" distB="0" distL="0" distR="0">
            <wp:extent cx="1104900" cy="714375"/>
            <wp:effectExtent l="0" t="0" r="0"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104900" cy="714375"/>
                    </a:xfrm>
                    <a:prstGeom prst="rect">
                      <a:avLst/>
                    </a:prstGeom>
                    <a:noFill/>
                    <a:ln>
                      <a:noFill/>
                    </a:ln>
                  </pic:spPr>
                </pic:pic>
              </a:graphicData>
            </a:graphic>
          </wp:inline>
        </w:drawing>
      </w:r>
    </w:p>
    <w:p w:rsidR="002C5025" w:rsidRDefault="002C5025">
      <w:pPr>
        <w:pStyle w:val="BodyText"/>
        <w:kinsoku w:val="0"/>
        <w:overflowPunct w:val="0"/>
        <w:rPr>
          <w:sz w:val="20"/>
          <w:szCs w:val="20"/>
        </w:rPr>
      </w:pPr>
    </w:p>
    <w:p w:rsidR="002C5025" w:rsidRDefault="00FB027C">
      <w:pPr>
        <w:pStyle w:val="BodyText"/>
        <w:kinsoku w:val="0"/>
        <w:overflowPunct w:val="0"/>
        <w:rPr>
          <w:sz w:val="18"/>
          <w:szCs w:val="18"/>
        </w:rPr>
      </w:pPr>
      <w:r>
        <w:rPr>
          <w:noProof/>
        </w:rPr>
        <mc:AlternateContent>
          <mc:Choice Requires="wps">
            <w:drawing>
              <wp:anchor distT="0" distB="0" distL="0" distR="0" simplePos="0" relativeHeight="251533824" behindDoc="0" locked="0" layoutInCell="0" allowOverlap="1">
                <wp:simplePos x="0" y="0"/>
                <wp:positionH relativeFrom="page">
                  <wp:posOffset>4582795</wp:posOffset>
                </wp:positionH>
                <wp:positionV relativeFrom="paragraph">
                  <wp:posOffset>169545</wp:posOffset>
                </wp:positionV>
                <wp:extent cx="2290445" cy="12700"/>
                <wp:effectExtent l="0" t="0" r="0" b="0"/>
                <wp:wrapTopAndBottom/>
                <wp:docPr id="800" name="Freeform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90445" cy="12700"/>
                        </a:xfrm>
                        <a:custGeom>
                          <a:avLst/>
                          <a:gdLst>
                            <a:gd name="T0" fmla="*/ 0 w 3607"/>
                            <a:gd name="T1" fmla="*/ 0 h 20"/>
                            <a:gd name="T2" fmla="*/ 3607 w 3607"/>
                            <a:gd name="T3" fmla="*/ 0 h 20"/>
                          </a:gdLst>
                          <a:ahLst/>
                          <a:cxnLst>
                            <a:cxn ang="0">
                              <a:pos x="T0" y="T1"/>
                            </a:cxn>
                            <a:cxn ang="0">
                              <a:pos x="T2" y="T3"/>
                            </a:cxn>
                          </a:cxnLst>
                          <a:rect l="0" t="0" r="r" b="b"/>
                          <a:pathLst>
                            <a:path w="3607" h="20">
                              <a:moveTo>
                                <a:pt x="0" y="0"/>
                              </a:moveTo>
                              <a:lnTo>
                                <a:pt x="3607"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25" o:spid="_x0000_s1026" style="position:absolute;z-index:251533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360.85pt,13.35pt,541.2pt,13.35pt" coordsize="36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" o:allowincell="f" filled="f" strokeweight=".82pt">
                <v:path arrowok="t" o:connecttype="custom" o:connectlocs="0,0;2290445,0" o:connectangles="0,0"/>
                <w10:wrap type="topAndBottom" anchorx="page"/>
              </v:polyline>
            </w:pict>
          </mc:Fallback>
        </mc:AlternateContent>
      </w:r>
    </w:p>
    <w:p w:rsidR="002C5025" w:rsidRDefault="002C5025">
      <w:pPr>
        <w:pStyle w:val="BodyText"/>
        <w:kinsoku w:val="0"/>
        <w:overflowPunct w:val="0"/>
        <w:ind w:left="122" w:right="1716"/>
        <w:rPr>
          <w:sz w:val="20"/>
          <w:szCs w:val="20"/>
        </w:rPr>
      </w:pPr>
      <w:r>
        <w:rPr>
          <w:sz w:val="20"/>
          <w:szCs w:val="20"/>
        </w:rPr>
        <w:t xml:space="preserve">William J. </w:t>
      </w:r>
      <w:proofErr w:type="spellStart"/>
      <w:r>
        <w:rPr>
          <w:sz w:val="20"/>
          <w:szCs w:val="20"/>
        </w:rPr>
        <w:t>Halpin</w:t>
      </w:r>
      <w:proofErr w:type="spellEnd"/>
      <w:r>
        <w:rPr>
          <w:sz w:val="20"/>
          <w:szCs w:val="20"/>
        </w:rPr>
        <w:t>, Jr. Chief Executive Officer</w:t>
      </w:r>
    </w:p>
    <w:p w:rsidR="002C5025" w:rsidRDefault="002C5025">
      <w:pPr>
        <w:pStyle w:val="BodyText"/>
        <w:kinsoku w:val="0"/>
        <w:overflowPunct w:val="0"/>
        <w:ind w:left="122" w:right="1716"/>
        <w:rPr>
          <w:sz w:val="20"/>
          <w:szCs w:val="20"/>
        </w:rPr>
        <w:sectPr w:rsidR="002C5025">
          <w:type w:val="continuous"/>
          <w:pgSz w:w="12240" w:h="15840"/>
          <w:pgMar w:top="720" w:right="1300" w:bottom="280" w:left="1320" w:header="720" w:footer="720" w:gutter="0"/>
          <w:cols w:num="2" w:space="720" w:equalWidth="0">
            <w:col w:w="3342" w:space="2418"/>
            <w:col w:w="3860"/>
          </w:cols>
          <w:noEndnote/>
        </w:sectPr>
      </w:pPr>
    </w:p>
    <w:p w:rsidR="002C5025" w:rsidRDefault="002C5025">
      <w:pPr>
        <w:pStyle w:val="BodyText"/>
        <w:kinsoku w:val="0"/>
        <w:overflowPunct w:val="0"/>
        <w:spacing w:before="3"/>
        <w:rPr>
          <w:sz w:val="17"/>
          <w:szCs w:val="17"/>
        </w:rPr>
      </w:pPr>
    </w:p>
    <w:p w:rsidR="002C5025" w:rsidRDefault="002C5025">
      <w:pPr>
        <w:pStyle w:val="BodyText"/>
        <w:kinsoku w:val="0"/>
        <w:overflowPunct w:val="0"/>
        <w:spacing w:before="3"/>
        <w:rPr>
          <w:sz w:val="17"/>
          <w:szCs w:val="17"/>
        </w:rPr>
        <w:sectPr w:rsidR="002C5025">
          <w:type w:val="continuous"/>
          <w:pgSz w:w="12240" w:h="15840"/>
          <w:pgMar w:top="720" w:right="1300" w:bottom="280" w:left="1320" w:header="720" w:footer="720" w:gutter="0"/>
          <w:cols w:space="720" w:equalWidth="0">
            <w:col w:w="9620"/>
          </w:cols>
          <w:noEndnote/>
        </w:sectPr>
      </w:pPr>
    </w:p>
    <w:p w:rsidR="002C5025" w:rsidRDefault="002C5025">
      <w:pPr>
        <w:pStyle w:val="BodyText"/>
        <w:kinsoku w:val="0"/>
        <w:overflowPunct w:val="0"/>
        <w:spacing w:before="56"/>
        <w:ind w:left="122"/>
      </w:pPr>
      <w:r>
        <w:lastRenderedPageBreak/>
        <w:t>Greater</w:t>
      </w:r>
      <w:r>
        <w:rPr>
          <w:spacing w:val="-17"/>
        </w:rPr>
        <w:t xml:space="preserve"> </w:t>
      </w:r>
      <w:r>
        <w:t>Roslindale</w:t>
      </w:r>
      <w:r>
        <w:rPr>
          <w:spacing w:val="-14"/>
        </w:rPr>
        <w:t xml:space="preserve"> </w:t>
      </w:r>
      <w:r>
        <w:t>Medical</w:t>
      </w:r>
      <w:r>
        <w:rPr>
          <w:spacing w:val="-17"/>
        </w:rPr>
        <w:t xml:space="preserve"> </w:t>
      </w:r>
      <w:r>
        <w:t>and</w:t>
      </w:r>
      <w:r>
        <w:rPr>
          <w:spacing w:val="-13"/>
        </w:rPr>
        <w:t xml:space="preserve"> </w:t>
      </w:r>
      <w:r>
        <w:t>Dental</w:t>
      </w:r>
      <w:r>
        <w:rPr>
          <w:spacing w:val="-13"/>
        </w:rPr>
        <w:t xml:space="preserve"> </w:t>
      </w:r>
      <w:r>
        <w:t>Center</w:t>
      </w:r>
    </w:p>
    <w:p w:rsidR="002C5025" w:rsidRDefault="00FB027C">
      <w:pPr>
        <w:pStyle w:val="BodyText"/>
        <w:kinsoku w:val="0"/>
        <w:overflowPunct w:val="0"/>
        <w:spacing w:before="5"/>
        <w:rPr>
          <w:sz w:val="11"/>
          <w:szCs w:val="11"/>
        </w:rPr>
      </w:pPr>
      <w:r>
        <w:rPr>
          <w:noProof/>
        </w:rPr>
        <mc:AlternateContent>
          <mc:Choice Requires="wps">
            <w:drawing>
              <wp:anchor distT="0" distB="0" distL="0" distR="0" simplePos="0" relativeHeight="251534848" behindDoc="0" locked="0" layoutInCell="0" allowOverlap="1">
                <wp:simplePos x="0" y="0"/>
                <wp:positionH relativeFrom="page">
                  <wp:posOffset>914400</wp:posOffset>
                </wp:positionH>
                <wp:positionV relativeFrom="paragraph">
                  <wp:posOffset>113665</wp:posOffset>
                </wp:positionV>
                <wp:extent cx="1524000" cy="381000"/>
                <wp:effectExtent l="0" t="0" r="0" b="0"/>
                <wp:wrapTopAndBottom/>
                <wp:docPr id="799" name="Rectangl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600" w:lineRule="atLeast"/>
                            </w:pPr>
                            <w:r>
                              <w:rPr>
                                <w:noProof/>
                              </w:rPr>
                              <w:drawing>
                                <wp:inline distT="0" distB="0" distL="0" distR="0">
                                  <wp:extent cx="1533525" cy="381000"/>
                                  <wp:effectExtent l="0" t="0" r="952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533525" cy="381000"/>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6" o:spid="_x0000_s1143" style="position:absolute;margin-left:1in;margin-top:8.95pt;width:120pt;height:30pt;z-index:251534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" o:allowincell="f" filled="f" stroked="f">
                <v:textbox inset="0,0,0,0">
                  <w:txbxContent>
                    <w:p w:rsidR="007B2B7B" w:rsidRDefault="007B2B7B">
                      <w:pPr>
                        <w:widowControl/>
                        <w:autoSpaceDE/>
                        <w:autoSpaceDN/>
                        <w:adjustRightInd/>
                        <w:spacing w:line="600" w:lineRule="atLeast"/>
                      </w:pPr>
                      <w:r>
                        <w:rPr>
                          <w:noProof/>
                        </w:rPr>
                        <w:drawing>
                          <wp:inline distT="0" distB="0" distL="0" distR="0">
                            <wp:extent cx="1533525" cy="381000"/>
                            <wp:effectExtent l="0" t="0" r="952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533525" cy="381000"/>
                                    </a:xfrm>
                                    <a:prstGeom prst="rect">
                                      <a:avLst/>
                                    </a:prstGeom>
                                    <a:noFill/>
                                    <a:ln>
                                      <a:noFill/>
                                    </a:ln>
                                  </pic:spPr>
                                </pic:pic>
                              </a:graphicData>
                            </a:graphic>
                          </wp:inline>
                        </w:drawing>
                      </w:r>
                    </w:p>
                    <w:p w:rsidR="007B2B7B" w:rsidRDefault="007B2B7B"/>
                  </w:txbxContent>
                </v:textbox>
                <w10:wrap type="topAndBottom" anchorx="page"/>
              </v:rect>
            </w:pict>
          </mc:Fallback>
        </mc:AlternateContent>
      </w:r>
    </w:p>
    <w:p w:rsidR="002C5025" w:rsidRDefault="002C5025">
      <w:pPr>
        <w:pStyle w:val="BodyText"/>
        <w:kinsoku w:val="0"/>
        <w:overflowPunct w:val="0"/>
      </w:pPr>
    </w:p>
    <w:p w:rsidR="002C5025" w:rsidRDefault="002C5025">
      <w:pPr>
        <w:pStyle w:val="BodyText"/>
        <w:kinsoku w:val="0"/>
        <w:overflowPunct w:val="0"/>
        <w:spacing w:before="2"/>
        <w:rPr>
          <w:sz w:val="18"/>
          <w:szCs w:val="18"/>
        </w:rPr>
      </w:pPr>
    </w:p>
    <w:p w:rsidR="002C5025" w:rsidRDefault="00FB027C">
      <w:pPr>
        <w:pStyle w:val="BodyText"/>
        <w:kinsoku w:val="0"/>
        <w:overflowPunct w:val="0"/>
        <w:ind w:left="122" w:right="2008" w:hanging="1"/>
        <w:rPr>
          <w:sz w:val="20"/>
          <w:szCs w:val="20"/>
        </w:rPr>
      </w:pPr>
      <w:r>
        <w:rPr>
          <w:noProof/>
        </w:rPr>
        <mc:AlternateContent>
          <mc:Choice Requires="wps">
            <w:drawing>
              <wp:anchor distT="0" distB="0" distL="114300" distR="114300" simplePos="0" relativeHeight="251535872" behindDoc="0" locked="0" layoutInCell="0" allowOverlap="1">
                <wp:simplePos x="0" y="0"/>
                <wp:positionH relativeFrom="page">
                  <wp:posOffset>924560</wp:posOffset>
                </wp:positionH>
                <wp:positionV relativeFrom="paragraph">
                  <wp:posOffset>-15240</wp:posOffset>
                </wp:positionV>
                <wp:extent cx="2738755" cy="12700"/>
                <wp:effectExtent l="0" t="0" r="0" b="0"/>
                <wp:wrapNone/>
                <wp:docPr id="798" name="Freeform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38755" cy="12700"/>
                        </a:xfrm>
                        <a:custGeom>
                          <a:avLst/>
                          <a:gdLst>
                            <a:gd name="T0" fmla="*/ 0 w 4313"/>
                            <a:gd name="T1" fmla="*/ 0 h 20"/>
                            <a:gd name="T2" fmla="*/ 4313 w 4313"/>
                            <a:gd name="T3" fmla="*/ 0 h 20"/>
                          </a:gdLst>
                          <a:ahLst/>
                          <a:cxnLst>
                            <a:cxn ang="0">
                              <a:pos x="T0" y="T1"/>
                            </a:cxn>
                            <a:cxn ang="0">
                              <a:pos x="T2" y="T3"/>
                            </a:cxn>
                          </a:cxnLst>
                          <a:rect l="0" t="0" r="r" b="b"/>
                          <a:pathLst>
                            <a:path w="4313" h="20">
                              <a:moveTo>
                                <a:pt x="0" y="0"/>
                              </a:moveTo>
                              <a:lnTo>
                                <a:pt x="4313"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27" o:spid="_x0000_s1026" style="position:absolute;z-index:251535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72.8pt,-1.2pt,288.45pt,-1.2pt" coordsize="43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" o:allowincell="f" filled="f" strokeweight=".82pt">
                <v:path arrowok="t" o:connecttype="custom" o:connectlocs="0,0;2738755,0" o:connectangles="0,0"/>
                <w10:wrap anchorx="page"/>
              </v:polyline>
            </w:pict>
          </mc:Fallback>
        </mc:AlternateContent>
      </w:r>
      <w:r w:rsidR="002C5025">
        <w:rPr>
          <w:sz w:val="20"/>
          <w:szCs w:val="20"/>
        </w:rPr>
        <w:t xml:space="preserve">Barbara </w:t>
      </w:r>
      <w:proofErr w:type="spellStart"/>
      <w:r w:rsidR="002C5025">
        <w:rPr>
          <w:sz w:val="20"/>
          <w:szCs w:val="20"/>
        </w:rPr>
        <w:t>Lottero</w:t>
      </w:r>
      <w:proofErr w:type="spellEnd"/>
      <w:r w:rsidR="002C5025">
        <w:rPr>
          <w:sz w:val="20"/>
          <w:szCs w:val="20"/>
        </w:rPr>
        <w:t xml:space="preserve"> Executive Director</w:t>
      </w:r>
    </w:p>
    <w:p w:rsidR="002C5025" w:rsidRDefault="002C5025">
      <w:pPr>
        <w:pStyle w:val="BodyText"/>
        <w:kinsoku w:val="0"/>
        <w:overflowPunct w:val="0"/>
        <w:spacing w:before="56"/>
        <w:ind w:left="122"/>
      </w:pPr>
      <w:r>
        <w:rPr>
          <w:rFonts w:ascii="Times New Roman" w:hAnsi="Times New Roman" w:cs="Times New Roman"/>
          <w:sz w:val="24"/>
          <w:szCs w:val="24"/>
        </w:rPr>
        <w:br w:type="column"/>
      </w:r>
      <w:r>
        <w:lastRenderedPageBreak/>
        <w:t>South End Community Health Center</w:t>
      </w:r>
    </w:p>
    <w:p w:rsidR="002C5025" w:rsidRDefault="00FB027C">
      <w:pPr>
        <w:pStyle w:val="BodyText"/>
        <w:kinsoku w:val="0"/>
        <w:overflowPunct w:val="0"/>
        <w:ind w:left="120"/>
        <w:rPr>
          <w:sz w:val="20"/>
          <w:szCs w:val="20"/>
        </w:rPr>
      </w:pPr>
      <w:r>
        <w:rPr>
          <w:noProof/>
          <w:sz w:val="20"/>
          <w:szCs w:val="20"/>
        </w:rPr>
        <w:drawing>
          <wp:inline distT="0" distB="0" distL="0" distR="0">
            <wp:extent cx="1447800" cy="485775"/>
            <wp:effectExtent l="0" t="0" r="0"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447800" cy="485775"/>
                    </a:xfrm>
                    <a:prstGeom prst="rect">
                      <a:avLst/>
                    </a:prstGeom>
                    <a:noFill/>
                    <a:ln>
                      <a:noFill/>
                    </a:ln>
                  </pic:spPr>
                </pic:pic>
              </a:graphicData>
            </a:graphic>
          </wp:inline>
        </w:drawing>
      </w:r>
    </w:p>
    <w:p w:rsidR="002C5025" w:rsidRDefault="002C5025">
      <w:pPr>
        <w:pStyle w:val="BodyText"/>
        <w:kinsoku w:val="0"/>
        <w:overflowPunct w:val="0"/>
        <w:rPr>
          <w:sz w:val="20"/>
          <w:szCs w:val="20"/>
        </w:rPr>
      </w:pPr>
    </w:p>
    <w:p w:rsidR="002C5025" w:rsidRDefault="00FB027C">
      <w:pPr>
        <w:pStyle w:val="BodyText"/>
        <w:kinsoku w:val="0"/>
        <w:overflowPunct w:val="0"/>
        <w:spacing w:before="4"/>
        <w:rPr>
          <w:sz w:val="18"/>
          <w:szCs w:val="18"/>
        </w:rPr>
      </w:pPr>
      <w:r>
        <w:rPr>
          <w:noProof/>
        </w:rPr>
        <mc:AlternateContent>
          <mc:Choice Requires="wps">
            <w:drawing>
              <wp:anchor distT="0" distB="0" distL="0" distR="0" simplePos="0" relativeHeight="251536896" behindDoc="0" locked="0" layoutInCell="0" allowOverlap="1">
                <wp:simplePos x="0" y="0"/>
                <wp:positionH relativeFrom="page">
                  <wp:posOffset>4582795</wp:posOffset>
                </wp:positionH>
                <wp:positionV relativeFrom="paragraph">
                  <wp:posOffset>172085</wp:posOffset>
                </wp:positionV>
                <wp:extent cx="2290445" cy="12700"/>
                <wp:effectExtent l="0" t="0" r="0" b="0"/>
                <wp:wrapTopAndBottom/>
                <wp:docPr id="797" name="Freeform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90445" cy="12700"/>
                        </a:xfrm>
                        <a:custGeom>
                          <a:avLst/>
                          <a:gdLst>
                            <a:gd name="T0" fmla="*/ 0 w 3607"/>
                            <a:gd name="T1" fmla="*/ 0 h 20"/>
                            <a:gd name="T2" fmla="*/ 3607 w 3607"/>
                            <a:gd name="T3" fmla="*/ 0 h 20"/>
                          </a:gdLst>
                          <a:ahLst/>
                          <a:cxnLst>
                            <a:cxn ang="0">
                              <a:pos x="T0" y="T1"/>
                            </a:cxn>
                            <a:cxn ang="0">
                              <a:pos x="T2" y="T3"/>
                            </a:cxn>
                          </a:cxnLst>
                          <a:rect l="0" t="0" r="r" b="b"/>
                          <a:pathLst>
                            <a:path w="3607" h="20">
                              <a:moveTo>
                                <a:pt x="0" y="0"/>
                              </a:moveTo>
                              <a:lnTo>
                                <a:pt x="3607"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28" o:spid="_x0000_s1026" style="position:absolute;z-index:25153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360.85pt,13.55pt,541.2pt,13.55pt" coordsize="36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" o:allowincell="f" filled="f" strokeweight=".82pt">
                <v:path arrowok="t" o:connecttype="custom" o:connectlocs="0,0;2290445,0" o:connectangles="0,0"/>
                <w10:wrap type="topAndBottom" anchorx="page"/>
              </v:polyline>
            </w:pict>
          </mc:Fallback>
        </mc:AlternateContent>
      </w:r>
    </w:p>
    <w:p w:rsidR="002C5025" w:rsidRDefault="002C5025">
      <w:pPr>
        <w:pStyle w:val="BodyText"/>
        <w:kinsoku w:val="0"/>
        <w:overflowPunct w:val="0"/>
        <w:ind w:left="122"/>
        <w:rPr>
          <w:sz w:val="20"/>
          <w:szCs w:val="20"/>
        </w:rPr>
      </w:pPr>
      <w:r>
        <w:rPr>
          <w:sz w:val="20"/>
          <w:szCs w:val="20"/>
        </w:rPr>
        <w:t xml:space="preserve">William </w:t>
      </w:r>
      <w:proofErr w:type="spellStart"/>
      <w:r>
        <w:rPr>
          <w:sz w:val="20"/>
          <w:szCs w:val="20"/>
        </w:rPr>
        <w:t>Walczak</w:t>
      </w:r>
      <w:proofErr w:type="spellEnd"/>
    </w:p>
    <w:p w:rsidR="002C5025" w:rsidRDefault="002C5025">
      <w:pPr>
        <w:pStyle w:val="BodyText"/>
        <w:kinsoku w:val="0"/>
        <w:overflowPunct w:val="0"/>
        <w:ind w:left="122"/>
        <w:rPr>
          <w:sz w:val="20"/>
          <w:szCs w:val="20"/>
        </w:rPr>
      </w:pPr>
      <w:r>
        <w:rPr>
          <w:sz w:val="20"/>
          <w:szCs w:val="20"/>
        </w:rPr>
        <w:t>Chief Executive Officer</w:t>
      </w:r>
    </w:p>
    <w:p w:rsidR="002C5025" w:rsidRDefault="002C5025">
      <w:pPr>
        <w:pStyle w:val="BodyText"/>
        <w:kinsoku w:val="0"/>
        <w:overflowPunct w:val="0"/>
        <w:ind w:left="122"/>
        <w:rPr>
          <w:sz w:val="20"/>
          <w:szCs w:val="20"/>
        </w:rPr>
        <w:sectPr w:rsidR="002C5025">
          <w:type w:val="continuous"/>
          <w:pgSz w:w="12240" w:h="15840"/>
          <w:pgMar w:top="720" w:right="1300" w:bottom="280" w:left="1320" w:header="720" w:footer="720" w:gutter="0"/>
          <w:cols w:num="2" w:space="720" w:equalWidth="0">
            <w:col w:w="4170" w:space="1590"/>
            <w:col w:w="3860"/>
          </w:cols>
          <w:noEndnote/>
        </w:sect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spacing w:before="4"/>
        <w:rPr>
          <w:sz w:val="17"/>
          <w:szCs w:val="17"/>
        </w:rPr>
      </w:pPr>
    </w:p>
    <w:p w:rsidR="002C5025" w:rsidRDefault="002C5025">
      <w:pPr>
        <w:pStyle w:val="BodyText"/>
        <w:kinsoku w:val="0"/>
        <w:overflowPunct w:val="0"/>
        <w:spacing w:before="57" w:line="276" w:lineRule="auto"/>
        <w:ind w:left="122" w:right="201"/>
      </w:pPr>
      <w:r>
        <w:t>Boston</w:t>
      </w:r>
      <w:r>
        <w:rPr>
          <w:spacing w:val="-12"/>
        </w:rPr>
        <w:t xml:space="preserve"> </w:t>
      </w:r>
      <w:r>
        <w:t>Medical</w:t>
      </w:r>
      <w:r>
        <w:rPr>
          <w:spacing w:val="-11"/>
        </w:rPr>
        <w:t xml:space="preserve"> </w:t>
      </w:r>
      <w:r>
        <w:t>Center</w:t>
      </w:r>
      <w:r>
        <w:rPr>
          <w:spacing w:val="-9"/>
        </w:rPr>
        <w:t xml:space="preserve"> </w:t>
      </w:r>
      <w:r>
        <w:t>and</w:t>
      </w:r>
      <w:r>
        <w:rPr>
          <w:spacing w:val="-10"/>
        </w:rPr>
        <w:t xml:space="preserve"> </w:t>
      </w:r>
      <w:r>
        <w:t>the</w:t>
      </w:r>
      <w:r>
        <w:rPr>
          <w:spacing w:val="-8"/>
        </w:rPr>
        <w:t xml:space="preserve"> </w:t>
      </w:r>
      <w:r>
        <w:t>Faculty</w:t>
      </w:r>
      <w:r>
        <w:rPr>
          <w:spacing w:val="-8"/>
        </w:rPr>
        <w:t xml:space="preserve"> </w:t>
      </w:r>
      <w:r>
        <w:t>Practice</w:t>
      </w:r>
      <w:r>
        <w:rPr>
          <w:spacing w:val="-8"/>
        </w:rPr>
        <w:t xml:space="preserve"> </w:t>
      </w:r>
      <w:r>
        <w:t>Foundation</w:t>
      </w:r>
      <w:r>
        <w:rPr>
          <w:spacing w:val="-10"/>
        </w:rPr>
        <w:t xml:space="preserve"> </w:t>
      </w:r>
      <w:r>
        <w:t>at</w:t>
      </w:r>
      <w:r>
        <w:rPr>
          <w:spacing w:val="-6"/>
        </w:rPr>
        <w:t xml:space="preserve"> </w:t>
      </w:r>
      <w:r>
        <w:t>BMC</w:t>
      </w:r>
      <w:r>
        <w:rPr>
          <w:spacing w:val="-9"/>
        </w:rPr>
        <w:t xml:space="preserve"> </w:t>
      </w:r>
      <w:r>
        <w:t>and</w:t>
      </w:r>
      <w:r>
        <w:rPr>
          <w:spacing w:val="-10"/>
        </w:rPr>
        <w:t xml:space="preserve"> </w:t>
      </w:r>
      <w:r>
        <w:t>the</w:t>
      </w:r>
      <w:r>
        <w:rPr>
          <w:spacing w:val="-8"/>
        </w:rPr>
        <w:t xml:space="preserve"> </w:t>
      </w:r>
      <w:r>
        <w:t>Boston</w:t>
      </w:r>
      <w:r>
        <w:rPr>
          <w:spacing w:val="-12"/>
        </w:rPr>
        <w:t xml:space="preserve"> </w:t>
      </w:r>
      <w:r>
        <w:t>University</w:t>
      </w:r>
      <w:r>
        <w:rPr>
          <w:spacing w:val="-8"/>
        </w:rPr>
        <w:t xml:space="preserve"> </w:t>
      </w:r>
      <w:r>
        <w:rPr>
          <w:spacing w:val="-2"/>
        </w:rPr>
        <w:t>School</w:t>
      </w:r>
      <w:r>
        <w:rPr>
          <w:spacing w:val="-9"/>
        </w:rPr>
        <w:t xml:space="preserve"> </w:t>
      </w:r>
      <w:r>
        <w:t>of Medicine</w:t>
      </w:r>
    </w:p>
    <w:p w:rsidR="002C5025" w:rsidRDefault="00FB027C">
      <w:pPr>
        <w:pStyle w:val="BodyText"/>
        <w:kinsoku w:val="0"/>
        <w:overflowPunct w:val="0"/>
        <w:spacing w:before="11"/>
        <w:rPr>
          <w:sz w:val="12"/>
          <w:szCs w:val="12"/>
        </w:rPr>
      </w:pPr>
      <w:r>
        <w:rPr>
          <w:noProof/>
        </w:rPr>
        <mc:AlternateContent>
          <mc:Choice Requires="wps">
            <w:drawing>
              <wp:anchor distT="0" distB="0" distL="0" distR="0" simplePos="0" relativeHeight="251537920" behindDoc="0" locked="0" layoutInCell="0" allowOverlap="1">
                <wp:simplePos x="0" y="0"/>
                <wp:positionH relativeFrom="page">
                  <wp:posOffset>913130</wp:posOffset>
                </wp:positionH>
                <wp:positionV relativeFrom="paragraph">
                  <wp:posOffset>125095</wp:posOffset>
                </wp:positionV>
                <wp:extent cx="1104900" cy="495300"/>
                <wp:effectExtent l="0" t="0" r="0" b="0"/>
                <wp:wrapTopAndBottom/>
                <wp:docPr id="796" name="Rectangle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780" w:lineRule="atLeast"/>
                            </w:pPr>
                            <w:r>
                              <w:rPr>
                                <w:noProof/>
                              </w:rPr>
                              <w:drawing>
                                <wp:inline distT="0" distB="0" distL="0" distR="0">
                                  <wp:extent cx="1104900" cy="4953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104900" cy="495300"/>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9" o:spid="_x0000_s1144" style="position:absolute;margin-left:71.9pt;margin-top:9.85pt;width:87pt;height:39pt;z-index:251537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" o:allowincell="f" filled="f" stroked="f">
                <v:textbox inset="0,0,0,0">
                  <w:txbxContent>
                    <w:p w:rsidR="007B2B7B" w:rsidRDefault="007B2B7B">
                      <w:pPr>
                        <w:widowControl/>
                        <w:autoSpaceDE/>
                        <w:autoSpaceDN/>
                        <w:adjustRightInd/>
                        <w:spacing w:line="780" w:lineRule="atLeast"/>
                      </w:pPr>
                      <w:r>
                        <w:rPr>
                          <w:noProof/>
                        </w:rPr>
                        <w:drawing>
                          <wp:inline distT="0" distB="0" distL="0" distR="0">
                            <wp:extent cx="1104900" cy="4953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104900" cy="495300"/>
                                    </a:xfrm>
                                    <a:prstGeom prst="rect">
                                      <a:avLst/>
                                    </a:prstGeom>
                                    <a:noFill/>
                                    <a:ln>
                                      <a:noFill/>
                                    </a:ln>
                                  </pic:spPr>
                                </pic:pic>
                              </a:graphicData>
                            </a:graphic>
                          </wp:inline>
                        </w:drawing>
                      </w:r>
                    </w:p>
                    <w:p w:rsidR="007B2B7B" w:rsidRDefault="007B2B7B"/>
                  </w:txbxContent>
                </v:textbox>
                <w10:wrap type="topAndBottom" anchorx="page"/>
              </v:rect>
            </w:pict>
          </mc:Fallback>
        </mc:AlternateContent>
      </w:r>
    </w:p>
    <w:p w:rsidR="002C5025" w:rsidRDefault="002C5025">
      <w:pPr>
        <w:pStyle w:val="BodyText"/>
        <w:kinsoku w:val="0"/>
        <w:overflowPunct w:val="0"/>
        <w:rPr>
          <w:sz w:val="20"/>
          <w:szCs w:val="20"/>
        </w:rPr>
      </w:pPr>
    </w:p>
    <w:p w:rsidR="002C5025" w:rsidRDefault="00FB027C">
      <w:pPr>
        <w:pStyle w:val="BodyText"/>
        <w:kinsoku w:val="0"/>
        <w:overflowPunct w:val="0"/>
        <w:spacing w:before="1"/>
        <w:rPr>
          <w:sz w:val="14"/>
          <w:szCs w:val="14"/>
        </w:rPr>
      </w:pPr>
      <w:r>
        <w:rPr>
          <w:noProof/>
        </w:rPr>
        <mc:AlternateContent>
          <mc:Choice Requires="wps">
            <w:drawing>
              <wp:anchor distT="0" distB="0" distL="0" distR="0" simplePos="0" relativeHeight="251538944" behindDoc="0" locked="0" layoutInCell="0" allowOverlap="1">
                <wp:simplePos x="0" y="0"/>
                <wp:positionH relativeFrom="page">
                  <wp:posOffset>924560</wp:posOffset>
                </wp:positionH>
                <wp:positionV relativeFrom="paragraph">
                  <wp:posOffset>139065</wp:posOffset>
                </wp:positionV>
                <wp:extent cx="2738755" cy="12700"/>
                <wp:effectExtent l="0" t="0" r="0" b="0"/>
                <wp:wrapTopAndBottom/>
                <wp:docPr id="795" name="Freeform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38755" cy="12700"/>
                        </a:xfrm>
                        <a:custGeom>
                          <a:avLst/>
                          <a:gdLst>
                            <a:gd name="T0" fmla="*/ 0 w 4313"/>
                            <a:gd name="T1" fmla="*/ 0 h 20"/>
                            <a:gd name="T2" fmla="*/ 4313 w 4313"/>
                            <a:gd name="T3" fmla="*/ 0 h 20"/>
                          </a:gdLst>
                          <a:ahLst/>
                          <a:cxnLst>
                            <a:cxn ang="0">
                              <a:pos x="T0" y="T1"/>
                            </a:cxn>
                            <a:cxn ang="0">
                              <a:pos x="T2" y="T3"/>
                            </a:cxn>
                          </a:cxnLst>
                          <a:rect l="0" t="0" r="r" b="b"/>
                          <a:pathLst>
                            <a:path w="4313" h="20">
                              <a:moveTo>
                                <a:pt x="0" y="0"/>
                              </a:moveTo>
                              <a:lnTo>
                                <a:pt x="4313"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30" o:spid="_x0000_s1026" style="position:absolute;z-index:25153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2.8pt,10.95pt,288.45pt,10.95pt" coordsize="43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" o:allowincell="f" filled="f" strokeweight=".82pt">
                <v:path arrowok="t" o:connecttype="custom" o:connectlocs="0,0;2738755,0" o:connectangles="0,0"/>
                <w10:wrap type="topAndBottom" anchorx="page"/>
              </v:polyline>
            </w:pict>
          </mc:Fallback>
        </mc:AlternateContent>
      </w:r>
    </w:p>
    <w:p w:rsidR="002C5025" w:rsidRDefault="002C5025">
      <w:pPr>
        <w:pStyle w:val="BodyText"/>
        <w:kinsoku w:val="0"/>
        <w:overflowPunct w:val="0"/>
        <w:ind w:left="122" w:right="5289"/>
        <w:rPr>
          <w:sz w:val="20"/>
          <w:szCs w:val="20"/>
        </w:rPr>
      </w:pPr>
      <w:r>
        <w:rPr>
          <w:sz w:val="20"/>
          <w:szCs w:val="20"/>
        </w:rPr>
        <w:t>Kathleen E. Walsh</w:t>
      </w:r>
    </w:p>
    <w:p w:rsidR="002C5025" w:rsidRDefault="002C5025">
      <w:pPr>
        <w:pStyle w:val="BodyText"/>
        <w:kinsoku w:val="0"/>
        <w:overflowPunct w:val="0"/>
        <w:ind w:left="122" w:right="5289"/>
        <w:rPr>
          <w:sz w:val="20"/>
          <w:szCs w:val="20"/>
        </w:rPr>
      </w:pPr>
      <w:r>
        <w:rPr>
          <w:sz w:val="20"/>
          <w:szCs w:val="20"/>
        </w:rPr>
        <w:t>President and Chief Executive Officer</w:t>
      </w:r>
    </w:p>
    <w:p w:rsidR="002C5025" w:rsidRDefault="002C5025">
      <w:pPr>
        <w:pStyle w:val="BodyText"/>
        <w:kinsoku w:val="0"/>
        <w:overflowPunct w:val="0"/>
        <w:ind w:left="122" w:right="5289"/>
        <w:rPr>
          <w:sz w:val="20"/>
          <w:szCs w:val="20"/>
        </w:rPr>
        <w:sectPr w:rsidR="002C5025">
          <w:type w:val="continuous"/>
          <w:pgSz w:w="12240" w:h="15840"/>
          <w:pgMar w:top="720" w:right="1300" w:bottom="280" w:left="1320" w:header="720" w:footer="720" w:gutter="0"/>
          <w:cols w:space="720" w:equalWidth="0">
            <w:col w:w="9620"/>
          </w:cols>
          <w:noEndnote/>
        </w:sectPr>
      </w:pPr>
    </w:p>
    <w:p w:rsidR="002C5025" w:rsidRDefault="00FB027C">
      <w:pPr>
        <w:pStyle w:val="BodyText"/>
        <w:kinsoku w:val="0"/>
        <w:overflowPunct w:val="0"/>
        <w:ind w:left="120"/>
        <w:rPr>
          <w:sz w:val="20"/>
          <w:szCs w:val="20"/>
        </w:rPr>
      </w:pPr>
      <w:r>
        <w:rPr>
          <w:noProof/>
          <w:sz w:val="20"/>
          <w:szCs w:val="20"/>
        </w:rPr>
        <w:lastRenderedPageBreak/>
        <w:drawing>
          <wp:inline distT="0" distB="0" distL="0" distR="0">
            <wp:extent cx="1209675" cy="1238250"/>
            <wp:effectExtent l="0" t="0" r="952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209675" cy="1238250"/>
                    </a:xfrm>
                    <a:prstGeom prst="rect">
                      <a:avLst/>
                    </a:prstGeom>
                    <a:noFill/>
                    <a:ln>
                      <a:noFill/>
                    </a:ln>
                  </pic:spPr>
                </pic:pic>
              </a:graphicData>
            </a:graphic>
          </wp:inline>
        </w:drawing>
      </w:r>
    </w:p>
    <w:p w:rsidR="002C5025" w:rsidRDefault="002C5025">
      <w:pPr>
        <w:pStyle w:val="BodyText"/>
        <w:kinsoku w:val="0"/>
        <w:overflowPunct w:val="0"/>
        <w:spacing w:before="4"/>
        <w:rPr>
          <w:sz w:val="13"/>
          <w:szCs w:val="13"/>
        </w:rPr>
      </w:pPr>
    </w:p>
    <w:p w:rsidR="002C5025" w:rsidRDefault="002C5025">
      <w:pPr>
        <w:pStyle w:val="BodyText"/>
        <w:kinsoku w:val="0"/>
        <w:overflowPunct w:val="0"/>
        <w:spacing w:before="51"/>
        <w:ind w:left="120" w:right="327"/>
        <w:rPr>
          <w:sz w:val="24"/>
          <w:szCs w:val="24"/>
        </w:rPr>
      </w:pPr>
      <w:bookmarkStart w:id="66" w:name="Boston_Public_Health_Commission_MassHeal"/>
      <w:bookmarkEnd w:id="66"/>
      <w:r>
        <w:rPr>
          <w:sz w:val="24"/>
          <w:szCs w:val="24"/>
        </w:rPr>
        <w:t xml:space="preserve">By email: </w:t>
      </w:r>
      <w:hyperlink r:id="rId145" w:history="1">
        <w:r>
          <w:rPr>
            <w:sz w:val="24"/>
            <w:szCs w:val="24"/>
          </w:rPr>
          <w:t>masshealth.innovations@state.ma.us</w:t>
        </w:r>
      </w:hyperlink>
    </w:p>
    <w:p w:rsidR="002C5025" w:rsidRDefault="002C5025">
      <w:pPr>
        <w:pStyle w:val="BodyText"/>
        <w:kinsoku w:val="0"/>
        <w:overflowPunct w:val="0"/>
        <w:spacing w:before="11"/>
        <w:rPr>
          <w:sz w:val="23"/>
          <w:szCs w:val="23"/>
        </w:rPr>
      </w:pPr>
    </w:p>
    <w:p w:rsidR="002C5025" w:rsidRDefault="002C5025">
      <w:pPr>
        <w:pStyle w:val="BodyText"/>
        <w:kinsoku w:val="0"/>
        <w:overflowPunct w:val="0"/>
        <w:spacing w:before="1"/>
        <w:ind w:left="120" w:right="327"/>
        <w:rPr>
          <w:sz w:val="24"/>
          <w:szCs w:val="24"/>
        </w:rPr>
      </w:pPr>
      <w:r>
        <w:rPr>
          <w:sz w:val="24"/>
          <w:szCs w:val="24"/>
        </w:rPr>
        <w:t>Daniel Tsai</w:t>
      </w:r>
    </w:p>
    <w:p w:rsidR="002C5025" w:rsidRDefault="002C5025">
      <w:pPr>
        <w:pStyle w:val="BodyText"/>
        <w:kinsoku w:val="0"/>
        <w:overflowPunct w:val="0"/>
        <w:spacing w:before="2"/>
        <w:ind w:left="119" w:right="4495"/>
        <w:rPr>
          <w:sz w:val="24"/>
          <w:szCs w:val="24"/>
        </w:rPr>
      </w:pPr>
      <w:r>
        <w:rPr>
          <w:sz w:val="24"/>
          <w:szCs w:val="24"/>
        </w:rPr>
        <w:t>Assistant Secretary for MassHealth Executive Office of Health and Human Services One Ashburton Place, 11th Floor</w:t>
      </w:r>
    </w:p>
    <w:p w:rsidR="002C5025" w:rsidRDefault="002C5025">
      <w:pPr>
        <w:pStyle w:val="BodyText"/>
        <w:tabs>
          <w:tab w:val="left" w:pos="8037"/>
        </w:tabs>
        <w:kinsoku w:val="0"/>
        <w:overflowPunct w:val="0"/>
        <w:ind w:left="119" w:right="225"/>
        <w:rPr>
          <w:sz w:val="24"/>
          <w:szCs w:val="24"/>
        </w:rPr>
      </w:pPr>
      <w:r>
        <w:rPr>
          <w:sz w:val="24"/>
          <w:szCs w:val="24"/>
        </w:rPr>
        <w:t>Boston,</w:t>
      </w:r>
      <w:r>
        <w:rPr>
          <w:spacing w:val="-8"/>
          <w:sz w:val="24"/>
          <w:szCs w:val="24"/>
        </w:rPr>
        <w:t xml:space="preserve"> </w:t>
      </w:r>
      <w:r>
        <w:rPr>
          <w:sz w:val="24"/>
          <w:szCs w:val="24"/>
        </w:rPr>
        <w:t>MA</w:t>
      </w:r>
      <w:r>
        <w:rPr>
          <w:spacing w:val="-7"/>
          <w:sz w:val="24"/>
          <w:szCs w:val="24"/>
        </w:rPr>
        <w:t xml:space="preserve"> </w:t>
      </w:r>
      <w:r>
        <w:rPr>
          <w:sz w:val="24"/>
          <w:szCs w:val="24"/>
        </w:rPr>
        <w:t>02108</w:t>
      </w:r>
      <w:r>
        <w:rPr>
          <w:sz w:val="24"/>
          <w:szCs w:val="24"/>
        </w:rPr>
        <w:tab/>
        <w:t>July 17,</w:t>
      </w:r>
      <w:r>
        <w:rPr>
          <w:spacing w:val="-21"/>
          <w:sz w:val="24"/>
          <w:szCs w:val="24"/>
        </w:rPr>
        <w:t xml:space="preserve"> </w:t>
      </w:r>
      <w:r>
        <w:rPr>
          <w:sz w:val="24"/>
          <w:szCs w:val="24"/>
        </w:rPr>
        <w:t>2016</w:t>
      </w:r>
    </w:p>
    <w:p w:rsidR="002C5025" w:rsidRDefault="002C5025">
      <w:pPr>
        <w:pStyle w:val="BodyText"/>
        <w:kinsoku w:val="0"/>
        <w:overflowPunct w:val="0"/>
        <w:spacing w:before="9"/>
        <w:rPr>
          <w:sz w:val="23"/>
          <w:szCs w:val="23"/>
        </w:rPr>
      </w:pPr>
    </w:p>
    <w:p w:rsidR="002C5025" w:rsidRDefault="002C5025">
      <w:pPr>
        <w:pStyle w:val="BodyText"/>
        <w:kinsoku w:val="0"/>
        <w:overflowPunct w:val="0"/>
        <w:spacing w:line="482" w:lineRule="auto"/>
        <w:ind w:left="120" w:right="2501"/>
        <w:rPr>
          <w:sz w:val="24"/>
          <w:szCs w:val="24"/>
        </w:rPr>
      </w:pPr>
      <w:r>
        <w:rPr>
          <w:sz w:val="24"/>
          <w:szCs w:val="24"/>
        </w:rPr>
        <w:t>RE: Draft Medicaid 1115 Demonstration Waiver Extension Request Dear Assistant Secretary Tsai,</w:t>
      </w:r>
    </w:p>
    <w:p w:rsidR="002C5025" w:rsidRDefault="002C5025">
      <w:pPr>
        <w:pStyle w:val="BodyText"/>
        <w:kinsoku w:val="0"/>
        <w:overflowPunct w:val="0"/>
        <w:spacing w:before="1"/>
        <w:ind w:left="119" w:right="225"/>
        <w:rPr>
          <w:sz w:val="24"/>
          <w:szCs w:val="24"/>
        </w:rPr>
      </w:pPr>
      <w:r>
        <w:rPr>
          <w:sz w:val="24"/>
          <w:szCs w:val="24"/>
        </w:rPr>
        <w:t>Thank you for the opportunity to offer our comments on the proposed Medicaid Waiver Extension Request. As the health department for the city of Boston, the Boston Public Health Commission provides a wide range of services to residents and visitors of Boston, including emergency medical services, substance use disorder treatment services, shelter and case management for homeless individuals and home visiting programs that span the life course. In addition, our agency provides infectious disease surveillance, health data analysis and healthcare navigation services in collaboration with the city’s robust healthcare provider network.</w:t>
      </w:r>
    </w:p>
    <w:p w:rsidR="002C5025" w:rsidRDefault="002C5025">
      <w:pPr>
        <w:pStyle w:val="BodyText"/>
        <w:kinsoku w:val="0"/>
        <w:overflowPunct w:val="0"/>
        <w:spacing w:before="2"/>
        <w:rPr>
          <w:sz w:val="24"/>
          <w:szCs w:val="24"/>
        </w:rPr>
      </w:pPr>
    </w:p>
    <w:p w:rsidR="002C5025" w:rsidRDefault="002C5025">
      <w:pPr>
        <w:pStyle w:val="BodyText"/>
        <w:kinsoku w:val="0"/>
        <w:overflowPunct w:val="0"/>
        <w:ind w:left="119" w:right="225"/>
        <w:rPr>
          <w:sz w:val="24"/>
          <w:szCs w:val="24"/>
        </w:rPr>
      </w:pPr>
      <w:r>
        <w:rPr>
          <w:sz w:val="24"/>
          <w:szCs w:val="24"/>
        </w:rPr>
        <w:t>As the largest local health department in Massachusetts, BPHC has been advocating for better integration of traditional healthcare, behavioral health and community-based care for a number of years, understanding that medical care is an important but relatively small part of what it takes to keep individuals healthy. As is becoming increasingly obvious, social determinants – quality housing, transportation, and income supports – have a far greater influence on health and well-being than the provision of medical care. In addition, we know from our own patient population that mental health and substance use disorders are primary drivers of healthcare consumption and that more effective, integrated care is needed to keep people well and out of high cost emergency department care. We are encouraged by the tremendous progress that MassHealth has made in just a short time toward laying out a blueprint for a more fully integrated healthcare system. Below are recommendations that we hope you will incorporate into your plans moving forward.</w:t>
      </w:r>
    </w:p>
    <w:p w:rsidR="002C5025" w:rsidRDefault="002C5025">
      <w:pPr>
        <w:pStyle w:val="BodyText"/>
        <w:kinsoku w:val="0"/>
        <w:overflowPunct w:val="0"/>
        <w:spacing w:before="11"/>
        <w:rPr>
          <w:sz w:val="23"/>
          <w:szCs w:val="23"/>
        </w:rPr>
      </w:pPr>
    </w:p>
    <w:p w:rsidR="002C5025" w:rsidRDefault="002C5025">
      <w:pPr>
        <w:pStyle w:val="BodyText"/>
        <w:kinsoku w:val="0"/>
        <w:overflowPunct w:val="0"/>
        <w:spacing w:before="1"/>
        <w:ind w:left="120" w:right="327"/>
        <w:rPr>
          <w:sz w:val="24"/>
          <w:szCs w:val="24"/>
        </w:rPr>
      </w:pPr>
      <w:r>
        <w:rPr>
          <w:sz w:val="24"/>
          <w:szCs w:val="24"/>
          <w:u w:val="single" w:color="000000"/>
        </w:rPr>
        <w:t>Healthcare Access:</w:t>
      </w:r>
    </w:p>
    <w:p w:rsidR="002C5025" w:rsidRDefault="002C5025">
      <w:pPr>
        <w:pStyle w:val="BodyText"/>
        <w:kinsoku w:val="0"/>
        <w:overflowPunct w:val="0"/>
        <w:spacing w:before="2"/>
        <w:ind w:left="120" w:right="111"/>
        <w:jc w:val="both"/>
        <w:rPr>
          <w:sz w:val="24"/>
          <w:szCs w:val="24"/>
        </w:rPr>
      </w:pPr>
      <w:r>
        <w:rPr>
          <w:sz w:val="24"/>
          <w:szCs w:val="24"/>
        </w:rPr>
        <w:t>As a longtime member of the ACT!! Coalition, we echo the comments of the Coalition regarding the importance of maintaining affordable, quality coverage for the most vulnerable residents of the Commonwealth. We appreciate MassHealth’s commitment to prioritizing this goal, and</w:t>
      </w:r>
    </w:p>
    <w:p w:rsidR="002C5025" w:rsidRDefault="002C5025">
      <w:pPr>
        <w:pStyle w:val="BodyText"/>
        <w:kinsoku w:val="0"/>
        <w:overflowPunct w:val="0"/>
        <w:spacing w:before="2"/>
        <w:ind w:left="120" w:right="111"/>
        <w:jc w:val="both"/>
        <w:rPr>
          <w:sz w:val="24"/>
          <w:szCs w:val="24"/>
        </w:rPr>
        <w:sectPr w:rsidR="002C5025">
          <w:pgSz w:w="12240" w:h="15840"/>
          <w:pgMar w:top="740" w:right="1360" w:bottom="280" w:left="1320" w:header="720" w:footer="720" w:gutter="0"/>
          <w:cols w:space="720" w:equalWidth="0">
            <w:col w:w="9560"/>
          </w:cols>
          <w:noEndnote/>
        </w:sectPr>
      </w:pPr>
    </w:p>
    <w:p w:rsidR="002C5025" w:rsidRDefault="002C5025">
      <w:pPr>
        <w:pStyle w:val="BodyText"/>
        <w:kinsoku w:val="0"/>
        <w:overflowPunct w:val="0"/>
        <w:spacing w:before="39" w:line="242" w:lineRule="auto"/>
        <w:ind w:left="120" w:right="1056"/>
        <w:rPr>
          <w:sz w:val="24"/>
          <w:szCs w:val="24"/>
        </w:rPr>
      </w:pPr>
      <w:r>
        <w:rPr>
          <w:sz w:val="24"/>
          <w:szCs w:val="24"/>
        </w:rPr>
        <w:lastRenderedPageBreak/>
        <w:t>support the proposals that are intended to increase access to services for low-income residents:</w:t>
      </w:r>
    </w:p>
    <w:p w:rsidR="002C5025" w:rsidRDefault="002C5025">
      <w:pPr>
        <w:pStyle w:val="ListParagraph"/>
        <w:numPr>
          <w:ilvl w:val="0"/>
          <w:numId w:val="77"/>
        </w:numPr>
        <w:tabs>
          <w:tab w:val="left" w:pos="840"/>
        </w:tabs>
        <w:kinsoku w:val="0"/>
        <w:overflowPunct w:val="0"/>
        <w:spacing w:line="300" w:lineRule="exact"/>
        <w:rPr>
          <w:rFonts w:ascii="Calibri" w:hAnsi="Calibri" w:cs="Calibri"/>
        </w:rPr>
      </w:pPr>
      <w:r>
        <w:rPr>
          <w:rFonts w:ascii="Calibri" w:hAnsi="Calibri" w:cs="Calibri"/>
        </w:rPr>
        <w:t>Eliminating</w:t>
      </w:r>
      <w:r>
        <w:rPr>
          <w:rFonts w:ascii="Calibri" w:hAnsi="Calibri" w:cs="Calibri"/>
          <w:spacing w:val="-6"/>
        </w:rPr>
        <w:t xml:space="preserve"> </w:t>
      </w:r>
      <w:r>
        <w:rPr>
          <w:rFonts w:ascii="Calibri" w:hAnsi="Calibri" w:cs="Calibri"/>
        </w:rPr>
        <w:t>copays</w:t>
      </w:r>
      <w:r>
        <w:rPr>
          <w:rFonts w:ascii="Calibri" w:hAnsi="Calibri" w:cs="Calibri"/>
          <w:spacing w:val="-7"/>
        </w:rPr>
        <w:t xml:space="preserve"> </w:t>
      </w:r>
      <w:r>
        <w:rPr>
          <w:rFonts w:ascii="Calibri" w:hAnsi="Calibri" w:cs="Calibri"/>
        </w:rPr>
        <w:t>for</w:t>
      </w:r>
      <w:r>
        <w:rPr>
          <w:rFonts w:ascii="Calibri" w:hAnsi="Calibri" w:cs="Calibri"/>
          <w:spacing w:val="-6"/>
        </w:rPr>
        <w:t xml:space="preserve"> </w:t>
      </w:r>
      <w:r>
        <w:rPr>
          <w:rFonts w:ascii="Calibri" w:hAnsi="Calibri" w:cs="Calibri"/>
        </w:rPr>
        <w:t>MassHealth</w:t>
      </w:r>
      <w:r>
        <w:rPr>
          <w:rFonts w:ascii="Calibri" w:hAnsi="Calibri" w:cs="Calibri"/>
          <w:spacing w:val="-5"/>
        </w:rPr>
        <w:t xml:space="preserve"> </w:t>
      </w:r>
      <w:r>
        <w:rPr>
          <w:rFonts w:ascii="Calibri" w:hAnsi="Calibri" w:cs="Calibri"/>
        </w:rPr>
        <w:t>members</w:t>
      </w:r>
      <w:r>
        <w:rPr>
          <w:rFonts w:ascii="Calibri" w:hAnsi="Calibri" w:cs="Calibri"/>
          <w:spacing w:val="-4"/>
        </w:rPr>
        <w:t xml:space="preserve"> </w:t>
      </w:r>
      <w:r>
        <w:rPr>
          <w:rFonts w:ascii="Calibri" w:hAnsi="Calibri" w:cs="Calibri"/>
        </w:rPr>
        <w:t>with</w:t>
      </w:r>
      <w:r>
        <w:rPr>
          <w:rFonts w:ascii="Calibri" w:hAnsi="Calibri" w:cs="Calibri"/>
          <w:spacing w:val="-5"/>
        </w:rPr>
        <w:t xml:space="preserve"> </w:t>
      </w:r>
      <w:r>
        <w:rPr>
          <w:rFonts w:ascii="Calibri" w:hAnsi="Calibri" w:cs="Calibri"/>
        </w:rPr>
        <w:t>income</w:t>
      </w:r>
      <w:r>
        <w:rPr>
          <w:rFonts w:ascii="Calibri" w:hAnsi="Calibri" w:cs="Calibri"/>
          <w:spacing w:val="-6"/>
        </w:rPr>
        <w:t xml:space="preserve"> </w:t>
      </w:r>
      <w:r>
        <w:rPr>
          <w:rFonts w:ascii="Calibri" w:hAnsi="Calibri" w:cs="Calibri"/>
        </w:rPr>
        <w:t>at</w:t>
      </w:r>
      <w:r>
        <w:rPr>
          <w:rFonts w:ascii="Calibri" w:hAnsi="Calibri" w:cs="Calibri"/>
          <w:spacing w:val="-5"/>
        </w:rPr>
        <w:t xml:space="preserve"> </w:t>
      </w:r>
      <w:r>
        <w:rPr>
          <w:rFonts w:ascii="Calibri" w:hAnsi="Calibri" w:cs="Calibri"/>
        </w:rPr>
        <w:t>or</w:t>
      </w:r>
      <w:r>
        <w:rPr>
          <w:rFonts w:ascii="Calibri" w:hAnsi="Calibri" w:cs="Calibri"/>
          <w:spacing w:val="-6"/>
        </w:rPr>
        <w:t xml:space="preserve"> </w:t>
      </w:r>
      <w:r>
        <w:rPr>
          <w:rFonts w:ascii="Calibri" w:hAnsi="Calibri" w:cs="Calibri"/>
        </w:rPr>
        <w:t>below</w:t>
      </w:r>
      <w:r>
        <w:rPr>
          <w:rFonts w:ascii="Calibri" w:hAnsi="Calibri" w:cs="Calibri"/>
          <w:spacing w:val="-5"/>
        </w:rPr>
        <w:t xml:space="preserve"> </w:t>
      </w:r>
      <w:r>
        <w:rPr>
          <w:rFonts w:ascii="Calibri" w:hAnsi="Calibri" w:cs="Calibri"/>
        </w:rPr>
        <w:t>50%</w:t>
      </w:r>
      <w:r>
        <w:rPr>
          <w:rFonts w:ascii="Calibri" w:hAnsi="Calibri" w:cs="Calibri"/>
          <w:spacing w:val="-8"/>
        </w:rPr>
        <w:t xml:space="preserve"> </w:t>
      </w:r>
      <w:r>
        <w:rPr>
          <w:rFonts w:ascii="Calibri" w:hAnsi="Calibri" w:cs="Calibri"/>
        </w:rPr>
        <w:t>FPL;</w:t>
      </w:r>
    </w:p>
    <w:p w:rsidR="002C5025" w:rsidRDefault="002C5025">
      <w:pPr>
        <w:pStyle w:val="ListParagraph"/>
        <w:numPr>
          <w:ilvl w:val="0"/>
          <w:numId w:val="77"/>
        </w:numPr>
        <w:tabs>
          <w:tab w:val="left" w:pos="840"/>
        </w:tabs>
        <w:kinsoku w:val="0"/>
        <w:overflowPunct w:val="0"/>
        <w:spacing w:line="242" w:lineRule="auto"/>
        <w:ind w:right="354"/>
        <w:rPr>
          <w:rFonts w:ascii="Calibri" w:hAnsi="Calibri" w:cs="Calibri"/>
        </w:rPr>
      </w:pPr>
      <w:r>
        <w:rPr>
          <w:rFonts w:ascii="Calibri" w:hAnsi="Calibri" w:cs="Calibri"/>
        </w:rPr>
        <w:t>Assuring</w:t>
      </w:r>
      <w:r>
        <w:rPr>
          <w:rFonts w:ascii="Calibri" w:hAnsi="Calibri" w:cs="Calibri"/>
          <w:spacing w:val="-7"/>
        </w:rPr>
        <w:t xml:space="preserve"> </w:t>
      </w:r>
      <w:r>
        <w:rPr>
          <w:rFonts w:ascii="Calibri" w:hAnsi="Calibri" w:cs="Calibri"/>
        </w:rPr>
        <w:t>the</w:t>
      </w:r>
      <w:r>
        <w:rPr>
          <w:rFonts w:ascii="Calibri" w:hAnsi="Calibri" w:cs="Calibri"/>
          <w:spacing w:val="-3"/>
        </w:rPr>
        <w:t xml:space="preserve"> </w:t>
      </w:r>
      <w:r>
        <w:rPr>
          <w:rFonts w:ascii="Calibri" w:hAnsi="Calibri" w:cs="Calibri"/>
        </w:rPr>
        <w:t>sustainability</w:t>
      </w:r>
      <w:r>
        <w:rPr>
          <w:rFonts w:ascii="Calibri" w:hAnsi="Calibri" w:cs="Calibri"/>
          <w:spacing w:val="-5"/>
        </w:rPr>
        <w:t xml:space="preserve"> </w:t>
      </w:r>
      <w:r>
        <w:rPr>
          <w:rFonts w:ascii="Calibri" w:hAnsi="Calibri" w:cs="Calibri"/>
        </w:rPr>
        <w:t>of</w:t>
      </w:r>
      <w:r>
        <w:rPr>
          <w:rFonts w:ascii="Calibri" w:hAnsi="Calibri" w:cs="Calibri"/>
          <w:spacing w:val="-5"/>
        </w:rPr>
        <w:t xml:space="preserve"> </w:t>
      </w:r>
      <w:r>
        <w:rPr>
          <w:rFonts w:ascii="Calibri" w:hAnsi="Calibri" w:cs="Calibri"/>
        </w:rPr>
        <w:t>the</w:t>
      </w:r>
      <w:r>
        <w:rPr>
          <w:rFonts w:ascii="Calibri" w:hAnsi="Calibri" w:cs="Calibri"/>
          <w:spacing w:val="-3"/>
        </w:rPr>
        <w:t xml:space="preserve"> </w:t>
      </w:r>
      <w:r>
        <w:rPr>
          <w:rFonts w:ascii="Calibri" w:hAnsi="Calibri" w:cs="Calibri"/>
        </w:rPr>
        <w:t>CommonHealth</w:t>
      </w:r>
      <w:r>
        <w:rPr>
          <w:rFonts w:ascii="Calibri" w:hAnsi="Calibri" w:cs="Calibri"/>
          <w:spacing w:val="-8"/>
        </w:rPr>
        <w:t xml:space="preserve"> </w:t>
      </w:r>
      <w:r>
        <w:rPr>
          <w:rFonts w:ascii="Calibri" w:hAnsi="Calibri" w:cs="Calibri"/>
        </w:rPr>
        <w:t>program</w:t>
      </w:r>
      <w:r>
        <w:rPr>
          <w:rFonts w:ascii="Calibri" w:hAnsi="Calibri" w:cs="Calibri"/>
          <w:spacing w:val="-6"/>
        </w:rPr>
        <w:t xml:space="preserve"> </w:t>
      </w:r>
      <w:r>
        <w:rPr>
          <w:rFonts w:ascii="Calibri" w:hAnsi="Calibri" w:cs="Calibri"/>
        </w:rPr>
        <w:t>for</w:t>
      </w:r>
      <w:r>
        <w:rPr>
          <w:rFonts w:ascii="Calibri" w:hAnsi="Calibri" w:cs="Calibri"/>
          <w:spacing w:val="-6"/>
        </w:rPr>
        <w:t xml:space="preserve"> </w:t>
      </w:r>
      <w:r>
        <w:rPr>
          <w:rFonts w:ascii="Calibri" w:hAnsi="Calibri" w:cs="Calibri"/>
        </w:rPr>
        <w:t>working</w:t>
      </w:r>
      <w:r>
        <w:rPr>
          <w:rFonts w:ascii="Calibri" w:hAnsi="Calibri" w:cs="Calibri"/>
          <w:spacing w:val="-7"/>
        </w:rPr>
        <w:t xml:space="preserve"> </w:t>
      </w:r>
      <w:r>
        <w:rPr>
          <w:rFonts w:ascii="Calibri" w:hAnsi="Calibri" w:cs="Calibri"/>
        </w:rPr>
        <w:t>disabled</w:t>
      </w:r>
      <w:r>
        <w:rPr>
          <w:rFonts w:ascii="Calibri" w:hAnsi="Calibri" w:cs="Calibri"/>
          <w:spacing w:val="-5"/>
        </w:rPr>
        <w:t xml:space="preserve"> </w:t>
      </w:r>
      <w:r>
        <w:rPr>
          <w:rFonts w:ascii="Calibri" w:hAnsi="Calibri" w:cs="Calibri"/>
        </w:rPr>
        <w:t>adults aged 65 and</w:t>
      </w:r>
      <w:r>
        <w:rPr>
          <w:rFonts w:ascii="Calibri" w:hAnsi="Calibri" w:cs="Calibri"/>
          <w:spacing w:val="-18"/>
        </w:rPr>
        <w:t xml:space="preserve"> </w:t>
      </w:r>
      <w:r>
        <w:rPr>
          <w:rFonts w:ascii="Calibri" w:hAnsi="Calibri" w:cs="Calibri"/>
        </w:rPr>
        <w:t>older;</w:t>
      </w:r>
    </w:p>
    <w:p w:rsidR="002C5025" w:rsidRDefault="002C5025">
      <w:pPr>
        <w:pStyle w:val="ListParagraph"/>
        <w:numPr>
          <w:ilvl w:val="0"/>
          <w:numId w:val="77"/>
        </w:numPr>
        <w:tabs>
          <w:tab w:val="left" w:pos="840"/>
        </w:tabs>
        <w:kinsoku w:val="0"/>
        <w:overflowPunct w:val="0"/>
        <w:spacing w:line="300" w:lineRule="exact"/>
        <w:rPr>
          <w:rFonts w:ascii="Calibri" w:hAnsi="Calibri" w:cs="Calibri"/>
        </w:rPr>
      </w:pPr>
      <w:r>
        <w:rPr>
          <w:rFonts w:ascii="Calibri" w:hAnsi="Calibri" w:cs="Calibri"/>
        </w:rPr>
        <w:t>Ensuring</w:t>
      </w:r>
      <w:r>
        <w:rPr>
          <w:rFonts w:ascii="Calibri" w:hAnsi="Calibri" w:cs="Calibri"/>
          <w:spacing w:val="-8"/>
        </w:rPr>
        <w:t xml:space="preserve"> </w:t>
      </w:r>
      <w:r>
        <w:rPr>
          <w:rFonts w:ascii="Calibri" w:hAnsi="Calibri" w:cs="Calibri"/>
        </w:rPr>
        <w:t>the</w:t>
      </w:r>
      <w:r>
        <w:rPr>
          <w:rFonts w:ascii="Calibri" w:hAnsi="Calibri" w:cs="Calibri"/>
          <w:spacing w:val="-7"/>
        </w:rPr>
        <w:t xml:space="preserve"> </w:t>
      </w:r>
      <w:r>
        <w:rPr>
          <w:rFonts w:ascii="Calibri" w:hAnsi="Calibri" w:cs="Calibri"/>
        </w:rPr>
        <w:t>sustainability</w:t>
      </w:r>
      <w:r>
        <w:rPr>
          <w:rFonts w:ascii="Calibri" w:hAnsi="Calibri" w:cs="Calibri"/>
          <w:spacing w:val="-8"/>
        </w:rPr>
        <w:t xml:space="preserve"> </w:t>
      </w:r>
      <w:r>
        <w:rPr>
          <w:rFonts w:ascii="Calibri" w:hAnsi="Calibri" w:cs="Calibri"/>
        </w:rPr>
        <w:t>of</w:t>
      </w:r>
      <w:r>
        <w:rPr>
          <w:rFonts w:ascii="Calibri" w:hAnsi="Calibri" w:cs="Calibri"/>
          <w:spacing w:val="-4"/>
        </w:rPr>
        <w:t xml:space="preserve"> </w:t>
      </w:r>
      <w:r>
        <w:rPr>
          <w:rFonts w:ascii="Calibri" w:hAnsi="Calibri" w:cs="Calibri"/>
        </w:rPr>
        <w:t>the</w:t>
      </w:r>
      <w:r>
        <w:rPr>
          <w:rFonts w:ascii="Calibri" w:hAnsi="Calibri" w:cs="Calibri"/>
          <w:spacing w:val="-7"/>
        </w:rPr>
        <w:t xml:space="preserve"> </w:t>
      </w:r>
      <w:proofErr w:type="spellStart"/>
      <w:r>
        <w:rPr>
          <w:rFonts w:ascii="Calibri" w:hAnsi="Calibri" w:cs="Calibri"/>
        </w:rPr>
        <w:t>ConnectorCare</w:t>
      </w:r>
      <w:proofErr w:type="spellEnd"/>
      <w:r>
        <w:rPr>
          <w:rFonts w:ascii="Calibri" w:hAnsi="Calibri" w:cs="Calibri"/>
          <w:spacing w:val="-9"/>
        </w:rPr>
        <w:t xml:space="preserve"> </w:t>
      </w:r>
      <w:r>
        <w:rPr>
          <w:rFonts w:ascii="Calibri" w:hAnsi="Calibri" w:cs="Calibri"/>
        </w:rPr>
        <w:t>program;</w:t>
      </w:r>
      <w:r>
        <w:rPr>
          <w:rFonts w:ascii="Calibri" w:hAnsi="Calibri" w:cs="Calibri"/>
          <w:spacing w:val="-4"/>
        </w:rPr>
        <w:t xml:space="preserve"> </w:t>
      </w:r>
      <w:r>
        <w:rPr>
          <w:rFonts w:ascii="Calibri" w:hAnsi="Calibri" w:cs="Calibri"/>
        </w:rPr>
        <w:t>and</w:t>
      </w:r>
    </w:p>
    <w:p w:rsidR="002C5025" w:rsidRDefault="002C5025">
      <w:pPr>
        <w:pStyle w:val="ListParagraph"/>
        <w:numPr>
          <w:ilvl w:val="0"/>
          <w:numId w:val="77"/>
        </w:numPr>
        <w:tabs>
          <w:tab w:val="left" w:pos="840"/>
        </w:tabs>
        <w:kinsoku w:val="0"/>
        <w:overflowPunct w:val="0"/>
        <w:spacing w:line="242" w:lineRule="auto"/>
        <w:ind w:right="452"/>
        <w:rPr>
          <w:rFonts w:ascii="Calibri" w:hAnsi="Calibri" w:cs="Calibri"/>
        </w:rPr>
      </w:pPr>
      <w:r>
        <w:rPr>
          <w:rFonts w:ascii="Calibri" w:hAnsi="Calibri" w:cs="Calibri"/>
        </w:rPr>
        <w:t>Providing</w:t>
      </w:r>
      <w:r>
        <w:rPr>
          <w:rFonts w:ascii="Calibri" w:hAnsi="Calibri" w:cs="Calibri"/>
          <w:spacing w:val="-4"/>
        </w:rPr>
        <w:t xml:space="preserve"> </w:t>
      </w:r>
      <w:r>
        <w:rPr>
          <w:rFonts w:ascii="Calibri" w:hAnsi="Calibri" w:cs="Calibri"/>
        </w:rPr>
        <w:t>continuous</w:t>
      </w:r>
      <w:r>
        <w:rPr>
          <w:rFonts w:ascii="Calibri" w:hAnsi="Calibri" w:cs="Calibri"/>
          <w:spacing w:val="-4"/>
        </w:rPr>
        <w:t xml:space="preserve"> </w:t>
      </w:r>
      <w:r>
        <w:rPr>
          <w:rFonts w:ascii="Calibri" w:hAnsi="Calibri" w:cs="Calibri"/>
        </w:rPr>
        <w:t>eligibility</w:t>
      </w:r>
      <w:r>
        <w:rPr>
          <w:rFonts w:ascii="Calibri" w:hAnsi="Calibri" w:cs="Calibri"/>
          <w:spacing w:val="-7"/>
        </w:rPr>
        <w:t xml:space="preserve"> </w:t>
      </w:r>
      <w:r>
        <w:rPr>
          <w:rFonts w:ascii="Calibri" w:hAnsi="Calibri" w:cs="Calibri"/>
        </w:rPr>
        <w:t>through</w:t>
      </w:r>
      <w:r>
        <w:rPr>
          <w:rFonts w:ascii="Calibri" w:hAnsi="Calibri" w:cs="Calibri"/>
          <w:spacing w:val="-5"/>
        </w:rPr>
        <w:t xml:space="preserve"> </w:t>
      </w:r>
      <w:r>
        <w:rPr>
          <w:rFonts w:ascii="Calibri" w:hAnsi="Calibri" w:cs="Calibri"/>
        </w:rPr>
        <w:t>the</w:t>
      </w:r>
      <w:r>
        <w:rPr>
          <w:rFonts w:ascii="Calibri" w:hAnsi="Calibri" w:cs="Calibri"/>
          <w:spacing w:val="-6"/>
        </w:rPr>
        <w:t xml:space="preserve"> </w:t>
      </w:r>
      <w:r>
        <w:rPr>
          <w:rFonts w:ascii="Calibri" w:hAnsi="Calibri" w:cs="Calibri"/>
        </w:rPr>
        <w:t>duration</w:t>
      </w:r>
      <w:r>
        <w:rPr>
          <w:rFonts w:ascii="Calibri" w:hAnsi="Calibri" w:cs="Calibri"/>
          <w:spacing w:val="-4"/>
        </w:rPr>
        <w:t xml:space="preserve"> </w:t>
      </w:r>
      <w:r>
        <w:rPr>
          <w:rFonts w:ascii="Calibri" w:hAnsi="Calibri" w:cs="Calibri"/>
        </w:rPr>
        <w:t>of</w:t>
      </w:r>
      <w:r>
        <w:rPr>
          <w:rFonts w:ascii="Calibri" w:hAnsi="Calibri" w:cs="Calibri"/>
          <w:spacing w:val="-4"/>
        </w:rPr>
        <w:t xml:space="preserve"> </w:t>
      </w:r>
      <w:r>
        <w:rPr>
          <w:rFonts w:ascii="Calibri" w:hAnsi="Calibri" w:cs="Calibri"/>
        </w:rPr>
        <w:t>the</w:t>
      </w:r>
      <w:r>
        <w:rPr>
          <w:rFonts w:ascii="Calibri" w:hAnsi="Calibri" w:cs="Calibri"/>
          <w:spacing w:val="-4"/>
        </w:rPr>
        <w:t xml:space="preserve"> </w:t>
      </w:r>
      <w:r>
        <w:rPr>
          <w:rFonts w:ascii="Calibri" w:hAnsi="Calibri" w:cs="Calibri"/>
        </w:rPr>
        <w:t>Student</w:t>
      </w:r>
      <w:r>
        <w:rPr>
          <w:rFonts w:ascii="Calibri" w:hAnsi="Calibri" w:cs="Calibri"/>
          <w:spacing w:val="-5"/>
        </w:rPr>
        <w:t xml:space="preserve"> </w:t>
      </w:r>
      <w:r>
        <w:rPr>
          <w:rFonts w:ascii="Calibri" w:hAnsi="Calibri" w:cs="Calibri"/>
        </w:rPr>
        <w:t>Health</w:t>
      </w:r>
      <w:r>
        <w:rPr>
          <w:rFonts w:ascii="Calibri" w:hAnsi="Calibri" w:cs="Calibri"/>
          <w:spacing w:val="-5"/>
        </w:rPr>
        <w:t xml:space="preserve"> </w:t>
      </w:r>
      <w:r>
        <w:rPr>
          <w:rFonts w:ascii="Calibri" w:hAnsi="Calibri" w:cs="Calibri"/>
        </w:rPr>
        <w:t>Insurance Plan</w:t>
      </w:r>
      <w:r>
        <w:rPr>
          <w:rFonts w:ascii="Calibri" w:hAnsi="Calibri" w:cs="Calibri"/>
          <w:spacing w:val="-6"/>
        </w:rPr>
        <w:t xml:space="preserve"> </w:t>
      </w:r>
      <w:r>
        <w:rPr>
          <w:rFonts w:ascii="Calibri" w:hAnsi="Calibri" w:cs="Calibri"/>
        </w:rPr>
        <w:t>period</w:t>
      </w:r>
      <w:r>
        <w:rPr>
          <w:rFonts w:ascii="Calibri" w:hAnsi="Calibri" w:cs="Calibri"/>
          <w:spacing w:val="-6"/>
        </w:rPr>
        <w:t xml:space="preserve"> </w:t>
      </w:r>
      <w:r>
        <w:rPr>
          <w:rFonts w:ascii="Calibri" w:hAnsi="Calibri" w:cs="Calibri"/>
        </w:rPr>
        <w:t>for</w:t>
      </w:r>
      <w:r>
        <w:rPr>
          <w:rFonts w:ascii="Calibri" w:hAnsi="Calibri" w:cs="Calibri"/>
          <w:spacing w:val="-7"/>
        </w:rPr>
        <w:t xml:space="preserve"> </w:t>
      </w:r>
      <w:r>
        <w:rPr>
          <w:rFonts w:ascii="Calibri" w:hAnsi="Calibri" w:cs="Calibri"/>
        </w:rPr>
        <w:t>enrollees</w:t>
      </w:r>
      <w:r>
        <w:rPr>
          <w:rFonts w:ascii="Calibri" w:hAnsi="Calibri" w:cs="Calibri"/>
          <w:spacing w:val="-10"/>
        </w:rPr>
        <w:t xml:space="preserve"> </w:t>
      </w:r>
      <w:r>
        <w:rPr>
          <w:rFonts w:ascii="Calibri" w:hAnsi="Calibri" w:cs="Calibri"/>
        </w:rPr>
        <w:t>receiving</w:t>
      </w:r>
      <w:r>
        <w:rPr>
          <w:rFonts w:ascii="Calibri" w:hAnsi="Calibri" w:cs="Calibri"/>
          <w:spacing w:val="-7"/>
        </w:rPr>
        <w:t xml:space="preserve"> </w:t>
      </w:r>
      <w:r>
        <w:rPr>
          <w:rFonts w:ascii="Calibri" w:hAnsi="Calibri" w:cs="Calibri"/>
        </w:rPr>
        <w:t>Premium</w:t>
      </w:r>
      <w:r>
        <w:rPr>
          <w:rFonts w:ascii="Calibri" w:hAnsi="Calibri" w:cs="Calibri"/>
          <w:spacing w:val="-7"/>
        </w:rPr>
        <w:t xml:space="preserve"> </w:t>
      </w:r>
      <w:r>
        <w:rPr>
          <w:rFonts w:ascii="Calibri" w:hAnsi="Calibri" w:cs="Calibri"/>
        </w:rPr>
        <w:t>Assistance</w:t>
      </w:r>
      <w:r>
        <w:rPr>
          <w:rFonts w:ascii="Calibri" w:hAnsi="Calibri" w:cs="Calibri"/>
          <w:spacing w:val="-7"/>
        </w:rPr>
        <w:t xml:space="preserve"> </w:t>
      </w:r>
      <w:r>
        <w:rPr>
          <w:rFonts w:ascii="Calibri" w:hAnsi="Calibri" w:cs="Calibri"/>
        </w:rPr>
        <w:t>for</w:t>
      </w:r>
      <w:r>
        <w:rPr>
          <w:rFonts w:ascii="Calibri" w:hAnsi="Calibri" w:cs="Calibri"/>
          <w:spacing w:val="-7"/>
        </w:rPr>
        <w:t xml:space="preserve"> </w:t>
      </w:r>
      <w:r>
        <w:rPr>
          <w:rFonts w:ascii="Calibri" w:hAnsi="Calibri" w:cs="Calibri"/>
        </w:rPr>
        <w:t>SHIPs.</w:t>
      </w:r>
    </w:p>
    <w:p w:rsidR="002C5025" w:rsidRDefault="002C5025">
      <w:pPr>
        <w:pStyle w:val="BodyText"/>
        <w:kinsoku w:val="0"/>
        <w:overflowPunct w:val="0"/>
        <w:ind w:left="120" w:right="248"/>
        <w:rPr>
          <w:sz w:val="24"/>
          <w:szCs w:val="24"/>
        </w:rPr>
      </w:pPr>
      <w:r>
        <w:rPr>
          <w:sz w:val="24"/>
          <w:szCs w:val="24"/>
        </w:rPr>
        <w:t>At the same time, we are concerned about potential changes to the MassHealth program that would limit access to care for members including:</w:t>
      </w:r>
    </w:p>
    <w:p w:rsidR="002C5025" w:rsidRDefault="002C5025">
      <w:pPr>
        <w:pStyle w:val="ListParagraph"/>
        <w:numPr>
          <w:ilvl w:val="0"/>
          <w:numId w:val="77"/>
        </w:numPr>
        <w:tabs>
          <w:tab w:val="left" w:pos="840"/>
        </w:tabs>
        <w:kinsoku w:val="0"/>
        <w:overflowPunct w:val="0"/>
        <w:spacing w:line="242" w:lineRule="auto"/>
        <w:ind w:right="420"/>
        <w:rPr>
          <w:rFonts w:ascii="Calibri" w:hAnsi="Calibri" w:cs="Calibri"/>
        </w:rPr>
      </w:pPr>
      <w:r>
        <w:rPr>
          <w:rFonts w:ascii="Calibri" w:hAnsi="Calibri" w:cs="Calibri"/>
        </w:rPr>
        <w:t>Eliminating</w:t>
      </w:r>
      <w:r>
        <w:rPr>
          <w:rFonts w:ascii="Calibri" w:hAnsi="Calibri" w:cs="Calibri"/>
          <w:spacing w:val="-6"/>
        </w:rPr>
        <w:t xml:space="preserve"> </w:t>
      </w:r>
      <w:r>
        <w:rPr>
          <w:rFonts w:ascii="Calibri" w:hAnsi="Calibri" w:cs="Calibri"/>
        </w:rPr>
        <w:t>coverage</w:t>
      </w:r>
      <w:r>
        <w:rPr>
          <w:rFonts w:ascii="Calibri" w:hAnsi="Calibri" w:cs="Calibri"/>
          <w:spacing w:val="-8"/>
        </w:rPr>
        <w:t xml:space="preserve"> </w:t>
      </w:r>
      <w:r>
        <w:rPr>
          <w:rFonts w:ascii="Calibri" w:hAnsi="Calibri" w:cs="Calibri"/>
        </w:rPr>
        <w:t>for</w:t>
      </w:r>
      <w:r>
        <w:rPr>
          <w:rFonts w:ascii="Calibri" w:hAnsi="Calibri" w:cs="Calibri"/>
          <w:spacing w:val="-8"/>
        </w:rPr>
        <w:t xml:space="preserve"> </w:t>
      </w:r>
      <w:r>
        <w:rPr>
          <w:rFonts w:ascii="Calibri" w:hAnsi="Calibri" w:cs="Calibri"/>
        </w:rPr>
        <w:t>chiropractic</w:t>
      </w:r>
      <w:r>
        <w:rPr>
          <w:rFonts w:ascii="Calibri" w:hAnsi="Calibri" w:cs="Calibri"/>
          <w:spacing w:val="-7"/>
        </w:rPr>
        <w:t xml:space="preserve"> </w:t>
      </w:r>
      <w:r>
        <w:rPr>
          <w:rFonts w:ascii="Calibri" w:hAnsi="Calibri" w:cs="Calibri"/>
        </w:rPr>
        <w:t>services,</w:t>
      </w:r>
      <w:r>
        <w:rPr>
          <w:rFonts w:ascii="Calibri" w:hAnsi="Calibri" w:cs="Calibri"/>
          <w:spacing w:val="-6"/>
        </w:rPr>
        <w:t xml:space="preserve"> </w:t>
      </w:r>
      <w:r>
        <w:rPr>
          <w:rFonts w:ascii="Calibri" w:hAnsi="Calibri" w:cs="Calibri"/>
        </w:rPr>
        <w:t>eye</w:t>
      </w:r>
      <w:r>
        <w:rPr>
          <w:rFonts w:ascii="Calibri" w:hAnsi="Calibri" w:cs="Calibri"/>
          <w:spacing w:val="-6"/>
        </w:rPr>
        <w:t xml:space="preserve"> </w:t>
      </w:r>
      <w:r>
        <w:rPr>
          <w:rFonts w:ascii="Calibri" w:hAnsi="Calibri" w:cs="Calibri"/>
        </w:rPr>
        <w:t>glasses,</w:t>
      </w:r>
      <w:r>
        <w:rPr>
          <w:rFonts w:ascii="Calibri" w:hAnsi="Calibri" w:cs="Calibri"/>
          <w:spacing w:val="-6"/>
        </w:rPr>
        <w:t xml:space="preserve"> </w:t>
      </w:r>
      <w:r>
        <w:rPr>
          <w:rFonts w:ascii="Calibri" w:hAnsi="Calibri" w:cs="Calibri"/>
        </w:rPr>
        <w:t>hearing</w:t>
      </w:r>
      <w:r>
        <w:rPr>
          <w:rFonts w:ascii="Calibri" w:hAnsi="Calibri" w:cs="Calibri"/>
          <w:spacing w:val="-7"/>
        </w:rPr>
        <w:t xml:space="preserve"> </w:t>
      </w:r>
      <w:r>
        <w:rPr>
          <w:rFonts w:ascii="Calibri" w:hAnsi="Calibri" w:cs="Calibri"/>
        </w:rPr>
        <w:t>aids,</w:t>
      </w:r>
      <w:r>
        <w:rPr>
          <w:rFonts w:ascii="Calibri" w:hAnsi="Calibri" w:cs="Calibri"/>
          <w:spacing w:val="-6"/>
        </w:rPr>
        <w:t xml:space="preserve"> </w:t>
      </w:r>
      <w:r>
        <w:rPr>
          <w:rFonts w:ascii="Calibri" w:hAnsi="Calibri" w:cs="Calibri"/>
        </w:rPr>
        <w:t>orthotics</w:t>
      </w:r>
      <w:r>
        <w:rPr>
          <w:rFonts w:ascii="Calibri" w:hAnsi="Calibri" w:cs="Calibri"/>
          <w:spacing w:val="-7"/>
        </w:rPr>
        <w:t xml:space="preserve"> </w:t>
      </w:r>
      <w:r>
        <w:rPr>
          <w:rFonts w:ascii="Calibri" w:hAnsi="Calibri" w:cs="Calibri"/>
        </w:rPr>
        <w:t>and other services in the Primary Care Clinician (PCC)</w:t>
      </w:r>
      <w:r>
        <w:rPr>
          <w:rFonts w:ascii="Calibri" w:hAnsi="Calibri" w:cs="Calibri"/>
          <w:spacing w:val="-37"/>
        </w:rPr>
        <w:t xml:space="preserve"> </w:t>
      </w:r>
      <w:r>
        <w:rPr>
          <w:rFonts w:ascii="Calibri" w:hAnsi="Calibri" w:cs="Calibri"/>
        </w:rPr>
        <w:t>plan;</w:t>
      </w:r>
    </w:p>
    <w:p w:rsidR="002C5025" w:rsidRDefault="002C5025">
      <w:pPr>
        <w:pStyle w:val="ListParagraph"/>
        <w:numPr>
          <w:ilvl w:val="0"/>
          <w:numId w:val="77"/>
        </w:numPr>
        <w:tabs>
          <w:tab w:val="left" w:pos="840"/>
        </w:tabs>
        <w:kinsoku w:val="0"/>
        <w:overflowPunct w:val="0"/>
        <w:spacing w:before="1" w:line="303" w:lineRule="exact"/>
        <w:rPr>
          <w:rFonts w:ascii="Calibri" w:hAnsi="Calibri" w:cs="Calibri"/>
        </w:rPr>
      </w:pPr>
      <w:r>
        <w:rPr>
          <w:rFonts w:ascii="Calibri" w:hAnsi="Calibri" w:cs="Calibri"/>
        </w:rPr>
        <w:t>Increasing</w:t>
      </w:r>
      <w:r>
        <w:rPr>
          <w:rFonts w:ascii="Calibri" w:hAnsi="Calibri" w:cs="Calibri"/>
          <w:spacing w:val="-5"/>
        </w:rPr>
        <w:t xml:space="preserve"> </w:t>
      </w:r>
      <w:r>
        <w:rPr>
          <w:rFonts w:ascii="Calibri" w:hAnsi="Calibri" w:cs="Calibri"/>
        </w:rPr>
        <w:t>copays</w:t>
      </w:r>
      <w:r>
        <w:rPr>
          <w:rFonts w:ascii="Calibri" w:hAnsi="Calibri" w:cs="Calibri"/>
          <w:spacing w:val="-5"/>
        </w:rPr>
        <w:t xml:space="preserve"> </w:t>
      </w:r>
      <w:r>
        <w:rPr>
          <w:rFonts w:ascii="Calibri" w:hAnsi="Calibri" w:cs="Calibri"/>
        </w:rPr>
        <w:t>for</w:t>
      </w:r>
      <w:r>
        <w:rPr>
          <w:rFonts w:ascii="Calibri" w:hAnsi="Calibri" w:cs="Calibri"/>
          <w:spacing w:val="-5"/>
        </w:rPr>
        <w:t xml:space="preserve"> </w:t>
      </w:r>
      <w:r>
        <w:rPr>
          <w:rFonts w:ascii="Calibri" w:hAnsi="Calibri" w:cs="Calibri"/>
        </w:rPr>
        <w:t>members</w:t>
      </w:r>
      <w:r>
        <w:rPr>
          <w:rFonts w:ascii="Calibri" w:hAnsi="Calibri" w:cs="Calibri"/>
          <w:spacing w:val="-8"/>
        </w:rPr>
        <w:t xml:space="preserve"> </w:t>
      </w:r>
      <w:r>
        <w:rPr>
          <w:rFonts w:ascii="Calibri" w:hAnsi="Calibri" w:cs="Calibri"/>
        </w:rPr>
        <w:t>enrolled</w:t>
      </w:r>
      <w:r>
        <w:rPr>
          <w:rFonts w:ascii="Calibri" w:hAnsi="Calibri" w:cs="Calibri"/>
          <w:spacing w:val="-6"/>
        </w:rPr>
        <w:t xml:space="preserve"> </w:t>
      </w:r>
      <w:r>
        <w:rPr>
          <w:rFonts w:ascii="Calibri" w:hAnsi="Calibri" w:cs="Calibri"/>
        </w:rPr>
        <w:t>in</w:t>
      </w:r>
      <w:r>
        <w:rPr>
          <w:rFonts w:ascii="Calibri" w:hAnsi="Calibri" w:cs="Calibri"/>
          <w:spacing w:val="-6"/>
        </w:rPr>
        <w:t xml:space="preserve"> </w:t>
      </w:r>
      <w:r>
        <w:rPr>
          <w:rFonts w:ascii="Calibri" w:hAnsi="Calibri" w:cs="Calibri"/>
        </w:rPr>
        <w:t>the</w:t>
      </w:r>
      <w:r>
        <w:rPr>
          <w:rFonts w:ascii="Calibri" w:hAnsi="Calibri" w:cs="Calibri"/>
          <w:spacing w:val="-4"/>
        </w:rPr>
        <w:t xml:space="preserve"> </w:t>
      </w:r>
      <w:r>
        <w:rPr>
          <w:rFonts w:ascii="Calibri" w:hAnsi="Calibri" w:cs="Calibri"/>
        </w:rPr>
        <w:t>PCC</w:t>
      </w:r>
      <w:r>
        <w:rPr>
          <w:rFonts w:ascii="Calibri" w:hAnsi="Calibri" w:cs="Calibri"/>
          <w:spacing w:val="-6"/>
        </w:rPr>
        <w:t xml:space="preserve"> </w:t>
      </w:r>
      <w:r>
        <w:rPr>
          <w:rFonts w:ascii="Calibri" w:hAnsi="Calibri" w:cs="Calibri"/>
        </w:rPr>
        <w:t>plan,</w:t>
      </w:r>
      <w:r>
        <w:rPr>
          <w:rFonts w:ascii="Calibri" w:hAnsi="Calibri" w:cs="Calibri"/>
          <w:spacing w:val="-7"/>
        </w:rPr>
        <w:t xml:space="preserve"> </w:t>
      </w:r>
      <w:r>
        <w:rPr>
          <w:rFonts w:ascii="Calibri" w:hAnsi="Calibri" w:cs="Calibri"/>
        </w:rPr>
        <w:t>in</w:t>
      </w:r>
      <w:r>
        <w:rPr>
          <w:rFonts w:ascii="Calibri" w:hAnsi="Calibri" w:cs="Calibri"/>
          <w:spacing w:val="-6"/>
        </w:rPr>
        <w:t xml:space="preserve"> </w:t>
      </w:r>
      <w:r>
        <w:rPr>
          <w:rFonts w:ascii="Calibri" w:hAnsi="Calibri" w:cs="Calibri"/>
        </w:rPr>
        <w:t>relation</w:t>
      </w:r>
      <w:r>
        <w:rPr>
          <w:rFonts w:ascii="Calibri" w:hAnsi="Calibri" w:cs="Calibri"/>
          <w:spacing w:val="-4"/>
        </w:rPr>
        <w:t xml:space="preserve"> </w:t>
      </w:r>
      <w:r>
        <w:rPr>
          <w:rFonts w:ascii="Calibri" w:hAnsi="Calibri" w:cs="Calibri"/>
        </w:rPr>
        <w:t>to</w:t>
      </w:r>
      <w:r>
        <w:rPr>
          <w:rFonts w:ascii="Calibri" w:hAnsi="Calibri" w:cs="Calibri"/>
          <w:spacing w:val="-4"/>
        </w:rPr>
        <w:t xml:space="preserve"> </w:t>
      </w:r>
      <w:r>
        <w:rPr>
          <w:rFonts w:ascii="Calibri" w:hAnsi="Calibri" w:cs="Calibri"/>
        </w:rPr>
        <w:t>MCO</w:t>
      </w:r>
      <w:r>
        <w:rPr>
          <w:rFonts w:ascii="Calibri" w:hAnsi="Calibri" w:cs="Calibri"/>
          <w:spacing w:val="-5"/>
        </w:rPr>
        <w:t xml:space="preserve"> </w:t>
      </w:r>
      <w:r>
        <w:rPr>
          <w:rFonts w:ascii="Calibri" w:hAnsi="Calibri" w:cs="Calibri"/>
        </w:rPr>
        <w:t>members;</w:t>
      </w:r>
    </w:p>
    <w:p w:rsidR="002C5025" w:rsidRDefault="002C5025">
      <w:pPr>
        <w:pStyle w:val="ListParagraph"/>
        <w:numPr>
          <w:ilvl w:val="0"/>
          <w:numId w:val="77"/>
        </w:numPr>
        <w:tabs>
          <w:tab w:val="left" w:pos="840"/>
        </w:tabs>
        <w:kinsoku w:val="0"/>
        <w:overflowPunct w:val="0"/>
        <w:spacing w:line="301" w:lineRule="exact"/>
        <w:rPr>
          <w:rFonts w:ascii="Calibri" w:hAnsi="Calibri" w:cs="Calibri"/>
        </w:rPr>
      </w:pPr>
      <w:r>
        <w:rPr>
          <w:rFonts w:ascii="Calibri" w:hAnsi="Calibri" w:cs="Calibri"/>
        </w:rPr>
        <w:t>Expanding the list of services to which copays apply;</w:t>
      </w:r>
      <w:r>
        <w:rPr>
          <w:rFonts w:ascii="Calibri" w:hAnsi="Calibri" w:cs="Calibri"/>
          <w:spacing w:val="-29"/>
        </w:rPr>
        <w:t xml:space="preserve"> </w:t>
      </w:r>
      <w:r>
        <w:rPr>
          <w:rFonts w:ascii="Calibri" w:hAnsi="Calibri" w:cs="Calibri"/>
        </w:rPr>
        <w:t>and</w:t>
      </w:r>
    </w:p>
    <w:p w:rsidR="002C5025" w:rsidRDefault="002C5025">
      <w:pPr>
        <w:pStyle w:val="ListParagraph"/>
        <w:numPr>
          <w:ilvl w:val="0"/>
          <w:numId w:val="77"/>
        </w:numPr>
        <w:tabs>
          <w:tab w:val="left" w:pos="840"/>
        </w:tabs>
        <w:kinsoku w:val="0"/>
        <w:overflowPunct w:val="0"/>
        <w:spacing w:line="304" w:lineRule="exact"/>
        <w:rPr>
          <w:rFonts w:ascii="Calibri" w:hAnsi="Calibri" w:cs="Calibri"/>
        </w:rPr>
      </w:pPr>
      <w:r>
        <w:rPr>
          <w:rFonts w:ascii="Calibri" w:hAnsi="Calibri" w:cs="Calibri"/>
        </w:rPr>
        <w:t>Increasing</w:t>
      </w:r>
      <w:r>
        <w:rPr>
          <w:rFonts w:ascii="Calibri" w:hAnsi="Calibri" w:cs="Calibri"/>
          <w:spacing w:val="-7"/>
        </w:rPr>
        <w:t xml:space="preserve"> </w:t>
      </w:r>
      <w:r>
        <w:rPr>
          <w:rFonts w:ascii="Calibri" w:hAnsi="Calibri" w:cs="Calibri"/>
        </w:rPr>
        <w:t>premiums</w:t>
      </w:r>
      <w:r>
        <w:rPr>
          <w:rFonts w:ascii="Calibri" w:hAnsi="Calibri" w:cs="Calibri"/>
          <w:spacing w:val="-8"/>
        </w:rPr>
        <w:t xml:space="preserve"> </w:t>
      </w:r>
      <w:r>
        <w:rPr>
          <w:rFonts w:ascii="Calibri" w:hAnsi="Calibri" w:cs="Calibri"/>
        </w:rPr>
        <w:t>for</w:t>
      </w:r>
      <w:r>
        <w:rPr>
          <w:rFonts w:ascii="Calibri" w:hAnsi="Calibri" w:cs="Calibri"/>
          <w:spacing w:val="-7"/>
        </w:rPr>
        <w:t xml:space="preserve"> </w:t>
      </w:r>
      <w:r>
        <w:rPr>
          <w:rFonts w:ascii="Calibri" w:hAnsi="Calibri" w:cs="Calibri"/>
        </w:rPr>
        <w:t>enrollees</w:t>
      </w:r>
      <w:r>
        <w:rPr>
          <w:rFonts w:ascii="Calibri" w:hAnsi="Calibri" w:cs="Calibri"/>
          <w:spacing w:val="-8"/>
        </w:rPr>
        <w:t xml:space="preserve"> </w:t>
      </w:r>
      <w:r>
        <w:rPr>
          <w:rFonts w:ascii="Calibri" w:hAnsi="Calibri" w:cs="Calibri"/>
        </w:rPr>
        <w:t>with</w:t>
      </w:r>
      <w:r>
        <w:rPr>
          <w:rFonts w:ascii="Calibri" w:hAnsi="Calibri" w:cs="Calibri"/>
          <w:spacing w:val="-6"/>
        </w:rPr>
        <w:t xml:space="preserve"> </w:t>
      </w:r>
      <w:r>
        <w:rPr>
          <w:rFonts w:ascii="Calibri" w:hAnsi="Calibri" w:cs="Calibri"/>
        </w:rPr>
        <w:t>incomes</w:t>
      </w:r>
      <w:r>
        <w:rPr>
          <w:rFonts w:ascii="Calibri" w:hAnsi="Calibri" w:cs="Calibri"/>
          <w:spacing w:val="-5"/>
        </w:rPr>
        <w:t xml:space="preserve"> </w:t>
      </w:r>
      <w:r>
        <w:rPr>
          <w:rFonts w:ascii="Calibri" w:hAnsi="Calibri" w:cs="Calibri"/>
        </w:rPr>
        <w:t>at</w:t>
      </w:r>
      <w:r>
        <w:rPr>
          <w:rFonts w:ascii="Calibri" w:hAnsi="Calibri" w:cs="Calibri"/>
          <w:spacing w:val="-4"/>
        </w:rPr>
        <w:t xml:space="preserve"> </w:t>
      </w:r>
      <w:r>
        <w:rPr>
          <w:rFonts w:ascii="Calibri" w:hAnsi="Calibri" w:cs="Calibri"/>
        </w:rPr>
        <w:t>or</w:t>
      </w:r>
      <w:r>
        <w:rPr>
          <w:rFonts w:ascii="Calibri" w:hAnsi="Calibri" w:cs="Calibri"/>
          <w:spacing w:val="-7"/>
        </w:rPr>
        <w:t xml:space="preserve"> </w:t>
      </w:r>
      <w:r>
        <w:rPr>
          <w:rFonts w:ascii="Calibri" w:hAnsi="Calibri" w:cs="Calibri"/>
        </w:rPr>
        <w:t>above</w:t>
      </w:r>
      <w:r>
        <w:rPr>
          <w:rFonts w:ascii="Calibri" w:hAnsi="Calibri" w:cs="Calibri"/>
          <w:spacing w:val="-7"/>
        </w:rPr>
        <w:t xml:space="preserve"> </w:t>
      </w:r>
      <w:r>
        <w:rPr>
          <w:rFonts w:ascii="Calibri" w:hAnsi="Calibri" w:cs="Calibri"/>
        </w:rPr>
        <w:t>150%</w:t>
      </w:r>
      <w:r>
        <w:rPr>
          <w:rFonts w:ascii="Calibri" w:hAnsi="Calibri" w:cs="Calibri"/>
          <w:spacing w:val="-6"/>
        </w:rPr>
        <w:t xml:space="preserve"> </w:t>
      </w:r>
      <w:r>
        <w:rPr>
          <w:rFonts w:ascii="Calibri" w:hAnsi="Calibri" w:cs="Calibri"/>
        </w:rPr>
        <w:t>FPL.</w:t>
      </w:r>
    </w:p>
    <w:p w:rsidR="002C5025" w:rsidRDefault="002C5025">
      <w:pPr>
        <w:pStyle w:val="BodyText"/>
        <w:kinsoku w:val="0"/>
        <w:overflowPunct w:val="0"/>
        <w:spacing w:before="6"/>
        <w:rPr>
          <w:sz w:val="24"/>
          <w:szCs w:val="24"/>
        </w:rPr>
      </w:pPr>
    </w:p>
    <w:p w:rsidR="002C5025" w:rsidRDefault="002C5025">
      <w:pPr>
        <w:pStyle w:val="BodyText"/>
        <w:kinsoku w:val="0"/>
        <w:overflowPunct w:val="0"/>
        <w:spacing w:before="1"/>
        <w:ind w:left="119" w:right="25"/>
        <w:rPr>
          <w:sz w:val="24"/>
          <w:szCs w:val="24"/>
        </w:rPr>
      </w:pPr>
      <w:r>
        <w:rPr>
          <w:sz w:val="24"/>
          <w:szCs w:val="24"/>
        </w:rPr>
        <w:t>We are particularly concerned about the push to limit services offered through the PCC plan. While we understand that MCOs may be a good option for many patients, the PCC plan remains an important option for many medically complex patients who wish to maintain the relationships with longstanding providers who are not part of an MCO network. These patients, many of whom have disabilities, should not be forced to make a choice between services and their providers.</w:t>
      </w:r>
    </w:p>
    <w:p w:rsidR="002C5025" w:rsidRDefault="002C5025">
      <w:pPr>
        <w:pStyle w:val="BodyText"/>
        <w:kinsoku w:val="0"/>
        <w:overflowPunct w:val="0"/>
        <w:spacing w:before="4"/>
        <w:rPr>
          <w:sz w:val="24"/>
          <w:szCs w:val="24"/>
        </w:rPr>
      </w:pPr>
    </w:p>
    <w:p w:rsidR="002C5025" w:rsidRDefault="002C5025">
      <w:pPr>
        <w:pStyle w:val="BodyText"/>
        <w:kinsoku w:val="0"/>
        <w:overflowPunct w:val="0"/>
        <w:spacing w:line="235" w:lineRule="auto"/>
        <w:ind w:left="119" w:right="241"/>
        <w:rPr>
          <w:sz w:val="24"/>
          <w:szCs w:val="24"/>
        </w:rPr>
      </w:pPr>
      <w:r>
        <w:rPr>
          <w:sz w:val="24"/>
          <w:szCs w:val="24"/>
          <w:u w:val="single" w:color="000000"/>
        </w:rPr>
        <w:t>Oral Health</w:t>
      </w:r>
      <w:r>
        <w:rPr>
          <w:sz w:val="24"/>
          <w:szCs w:val="24"/>
        </w:rPr>
        <w:t>: We applaud the inclusion of dental services in MassHealth’s vision for a modernized payment and delivery system and is pleased to see that dental services will be phased in to ACO accountability over time. There is increasing evidence to suggest that the provision of dental care actually lowers overall health care costs while granting consumers a higher quality of life.</w:t>
      </w:r>
      <w:r>
        <w:rPr>
          <w:position w:val="11"/>
          <w:sz w:val="16"/>
          <w:szCs w:val="16"/>
        </w:rPr>
        <w:t xml:space="preserve">1,2,3 </w:t>
      </w:r>
      <w:r>
        <w:rPr>
          <w:sz w:val="24"/>
          <w:szCs w:val="24"/>
        </w:rPr>
        <w:t>Through ACOs, there is a significant opportunity to both address the unmet health needs of the Commonwealth while leading the broader movement toward comprehensive whole-person health nationally. We believe that this is a major win for both MassHealth enrollees and the state.</w:t>
      </w:r>
    </w:p>
    <w:p w:rsidR="002C5025" w:rsidRDefault="002C5025">
      <w:pPr>
        <w:pStyle w:val="BodyText"/>
        <w:kinsoku w:val="0"/>
        <w:overflowPunct w:val="0"/>
        <w:spacing w:before="10"/>
        <w:rPr>
          <w:sz w:val="23"/>
          <w:szCs w:val="23"/>
        </w:rPr>
      </w:pPr>
    </w:p>
    <w:p w:rsidR="002C5025" w:rsidRDefault="002C5025">
      <w:pPr>
        <w:pStyle w:val="BodyText"/>
        <w:kinsoku w:val="0"/>
        <w:overflowPunct w:val="0"/>
        <w:ind w:left="119" w:right="94"/>
        <w:rPr>
          <w:sz w:val="24"/>
          <w:szCs w:val="24"/>
        </w:rPr>
      </w:pPr>
      <w:r>
        <w:rPr>
          <w:sz w:val="24"/>
          <w:szCs w:val="24"/>
        </w:rPr>
        <w:t>In order to more thoroughly rectify the arbitrary separation between oral health and overall health, we urge MassHealth to consider oral health as a component of primary care. ACOs should offer incentives, including adequate reimbursement and training, for primary care settings to incorporate oral health into routine care. This approach capitalizes on PCP access to</w:t>
      </w:r>
    </w:p>
    <w:p w:rsidR="002C5025" w:rsidRDefault="002C5025">
      <w:pPr>
        <w:pStyle w:val="BodyText"/>
        <w:kinsoku w:val="0"/>
        <w:overflowPunct w:val="0"/>
        <w:rPr>
          <w:sz w:val="20"/>
          <w:szCs w:val="20"/>
        </w:rPr>
      </w:pPr>
    </w:p>
    <w:p w:rsidR="002C5025" w:rsidRDefault="00FB027C">
      <w:pPr>
        <w:pStyle w:val="BodyText"/>
        <w:kinsoku w:val="0"/>
        <w:overflowPunct w:val="0"/>
        <w:spacing w:before="7"/>
        <w:rPr>
          <w:sz w:val="28"/>
          <w:szCs w:val="28"/>
        </w:rPr>
      </w:pPr>
      <w:r>
        <w:rPr>
          <w:noProof/>
        </w:rPr>
        <mc:AlternateContent>
          <mc:Choice Requires="wps">
            <w:drawing>
              <wp:anchor distT="0" distB="0" distL="0" distR="0" simplePos="0" relativeHeight="251539968" behindDoc="0" locked="0" layoutInCell="0" allowOverlap="1">
                <wp:simplePos x="0" y="0"/>
                <wp:positionH relativeFrom="page">
                  <wp:posOffset>922655</wp:posOffset>
                </wp:positionH>
                <wp:positionV relativeFrom="paragraph">
                  <wp:posOffset>251460</wp:posOffset>
                </wp:positionV>
                <wp:extent cx="1828800" cy="12700"/>
                <wp:effectExtent l="0" t="0" r="0" b="0"/>
                <wp:wrapTopAndBottom/>
                <wp:docPr id="794" name="Freeform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w 2880"/>
                            <a:gd name="T1" fmla="*/ 0 h 20"/>
                            <a:gd name="T2" fmla="*/ 2880 w 2880"/>
                            <a:gd name="T3" fmla="*/ 0 h 20"/>
                          </a:gdLst>
                          <a:ahLst/>
                          <a:cxnLst>
                            <a:cxn ang="0">
                              <a:pos x="T0" y="T1"/>
                            </a:cxn>
                            <a:cxn ang="0">
                              <a:pos x="T2" y="T3"/>
                            </a:cxn>
                          </a:cxnLst>
                          <a:rect l="0" t="0" r="r" b="b"/>
                          <a:pathLst>
                            <a:path w="2880" h="20">
                              <a:moveTo>
                                <a:pt x="0" y="0"/>
                              </a:moveTo>
                              <a:lnTo>
                                <a:pt x="288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31" o:spid="_x0000_s1026" style="position:absolute;z-index:251539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2.65pt,19.8pt,216.65pt,19.8pt" coordsize="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" o:allowincell="f" filled="f" strokeweight=".82pt">
                <v:path arrowok="t" o:connecttype="custom" o:connectlocs="0,0;1828800,0" o:connectangles="0,0"/>
                <w10:wrap type="topAndBottom" anchorx="page"/>
              </v:polyline>
            </w:pict>
          </mc:Fallback>
        </mc:AlternateContent>
      </w:r>
    </w:p>
    <w:p w:rsidR="002C5025" w:rsidRDefault="002C5025">
      <w:pPr>
        <w:pStyle w:val="BodyText"/>
        <w:kinsoku w:val="0"/>
        <w:overflowPunct w:val="0"/>
        <w:spacing w:before="72" w:line="249" w:lineRule="auto"/>
        <w:ind w:left="120" w:right="1219"/>
        <w:rPr>
          <w:rFonts w:ascii="Garamond" w:hAnsi="Garamond" w:cs="Garamond"/>
          <w:w w:val="105"/>
          <w:sz w:val="19"/>
          <w:szCs w:val="19"/>
        </w:rPr>
      </w:pPr>
      <w:r>
        <w:rPr>
          <w:rFonts w:ascii="Garamond" w:hAnsi="Garamond" w:cs="Garamond"/>
          <w:w w:val="105"/>
          <w:position w:val="5"/>
          <w:sz w:val="13"/>
          <w:szCs w:val="13"/>
        </w:rPr>
        <w:t>1</w:t>
      </w:r>
      <w:r>
        <w:rPr>
          <w:rFonts w:ascii="Garamond" w:hAnsi="Garamond" w:cs="Garamond"/>
          <w:spacing w:val="3"/>
          <w:w w:val="105"/>
          <w:position w:val="5"/>
          <w:sz w:val="13"/>
          <w:szCs w:val="13"/>
        </w:rPr>
        <w:t xml:space="preserve"> </w:t>
      </w:r>
      <w:r>
        <w:rPr>
          <w:rFonts w:ascii="Garamond" w:hAnsi="Garamond" w:cs="Garamond"/>
          <w:w w:val="105"/>
          <w:sz w:val="19"/>
          <w:szCs w:val="19"/>
        </w:rPr>
        <w:t>Cigna.</w:t>
      </w:r>
      <w:r>
        <w:rPr>
          <w:rFonts w:ascii="Garamond" w:hAnsi="Garamond" w:cs="Garamond"/>
          <w:spacing w:val="-11"/>
          <w:w w:val="105"/>
          <w:sz w:val="19"/>
          <w:szCs w:val="19"/>
        </w:rPr>
        <w:t xml:space="preserve"> </w:t>
      </w:r>
      <w:r>
        <w:rPr>
          <w:rFonts w:ascii="Garamond" w:hAnsi="Garamond" w:cs="Garamond"/>
          <w:w w:val="105"/>
          <w:sz w:val="19"/>
          <w:szCs w:val="19"/>
        </w:rPr>
        <w:t>(2010).</w:t>
      </w:r>
      <w:r>
        <w:rPr>
          <w:rFonts w:ascii="Garamond" w:hAnsi="Garamond" w:cs="Garamond"/>
          <w:spacing w:val="-11"/>
          <w:w w:val="105"/>
          <w:sz w:val="19"/>
          <w:szCs w:val="19"/>
        </w:rPr>
        <w:t xml:space="preserve"> </w:t>
      </w:r>
      <w:r>
        <w:rPr>
          <w:rFonts w:ascii="Garamond" w:hAnsi="Garamond" w:cs="Garamond"/>
          <w:i/>
          <w:iCs/>
          <w:w w:val="105"/>
          <w:sz w:val="19"/>
          <w:szCs w:val="19"/>
        </w:rPr>
        <w:t>Improved</w:t>
      </w:r>
      <w:r>
        <w:rPr>
          <w:rFonts w:ascii="Garamond" w:hAnsi="Garamond" w:cs="Garamond"/>
          <w:i/>
          <w:iCs/>
          <w:spacing w:val="-10"/>
          <w:w w:val="105"/>
          <w:sz w:val="19"/>
          <w:szCs w:val="19"/>
        </w:rPr>
        <w:t xml:space="preserve"> </w:t>
      </w:r>
      <w:r>
        <w:rPr>
          <w:rFonts w:ascii="Garamond" w:hAnsi="Garamond" w:cs="Garamond"/>
          <w:i/>
          <w:iCs/>
          <w:w w:val="105"/>
          <w:sz w:val="19"/>
          <w:szCs w:val="19"/>
        </w:rPr>
        <w:t>health</w:t>
      </w:r>
      <w:r>
        <w:rPr>
          <w:rFonts w:ascii="Garamond" w:hAnsi="Garamond" w:cs="Garamond"/>
          <w:i/>
          <w:iCs/>
          <w:spacing w:val="-10"/>
          <w:w w:val="105"/>
          <w:sz w:val="19"/>
          <w:szCs w:val="19"/>
        </w:rPr>
        <w:t xml:space="preserve"> </w:t>
      </w:r>
      <w:r>
        <w:rPr>
          <w:rFonts w:ascii="Garamond" w:hAnsi="Garamond" w:cs="Garamond"/>
          <w:i/>
          <w:iCs/>
          <w:w w:val="105"/>
          <w:sz w:val="19"/>
          <w:szCs w:val="19"/>
        </w:rPr>
        <w:t>and</w:t>
      </w:r>
      <w:r>
        <w:rPr>
          <w:rFonts w:ascii="Garamond" w:hAnsi="Garamond" w:cs="Garamond"/>
          <w:i/>
          <w:iCs/>
          <w:spacing w:val="-10"/>
          <w:w w:val="105"/>
          <w:sz w:val="19"/>
          <w:szCs w:val="19"/>
        </w:rPr>
        <w:t xml:space="preserve"> </w:t>
      </w:r>
      <w:r>
        <w:rPr>
          <w:rFonts w:ascii="Garamond" w:hAnsi="Garamond" w:cs="Garamond"/>
          <w:i/>
          <w:iCs/>
          <w:w w:val="105"/>
          <w:sz w:val="19"/>
          <w:szCs w:val="19"/>
        </w:rPr>
        <w:t>lower</w:t>
      </w:r>
      <w:r>
        <w:rPr>
          <w:rFonts w:ascii="Garamond" w:hAnsi="Garamond" w:cs="Garamond"/>
          <w:i/>
          <w:iCs/>
          <w:spacing w:val="-11"/>
          <w:w w:val="105"/>
          <w:sz w:val="19"/>
          <w:szCs w:val="19"/>
        </w:rPr>
        <w:t xml:space="preserve"> </w:t>
      </w:r>
      <w:r>
        <w:rPr>
          <w:rFonts w:ascii="Garamond" w:hAnsi="Garamond" w:cs="Garamond"/>
          <w:i/>
          <w:iCs/>
          <w:w w:val="105"/>
          <w:sz w:val="19"/>
          <w:szCs w:val="19"/>
        </w:rPr>
        <w:t>medical</w:t>
      </w:r>
      <w:r>
        <w:rPr>
          <w:rFonts w:ascii="Garamond" w:hAnsi="Garamond" w:cs="Garamond"/>
          <w:i/>
          <w:iCs/>
          <w:spacing w:val="-13"/>
          <w:w w:val="105"/>
          <w:sz w:val="19"/>
          <w:szCs w:val="19"/>
        </w:rPr>
        <w:t xml:space="preserve"> </w:t>
      </w:r>
      <w:r>
        <w:rPr>
          <w:rFonts w:ascii="Garamond" w:hAnsi="Garamond" w:cs="Garamond"/>
          <w:i/>
          <w:iCs/>
          <w:w w:val="105"/>
          <w:sz w:val="19"/>
          <w:szCs w:val="19"/>
        </w:rPr>
        <w:t>costs:</w:t>
      </w:r>
      <w:r>
        <w:rPr>
          <w:rFonts w:ascii="Garamond" w:hAnsi="Garamond" w:cs="Garamond"/>
          <w:i/>
          <w:iCs/>
          <w:spacing w:val="-12"/>
          <w:w w:val="105"/>
          <w:sz w:val="19"/>
          <w:szCs w:val="19"/>
        </w:rPr>
        <w:t xml:space="preserve"> </w:t>
      </w:r>
      <w:r>
        <w:rPr>
          <w:rFonts w:ascii="Garamond" w:hAnsi="Garamond" w:cs="Garamond"/>
          <w:i/>
          <w:iCs/>
          <w:w w:val="105"/>
          <w:sz w:val="19"/>
          <w:szCs w:val="19"/>
        </w:rPr>
        <w:t>why</w:t>
      </w:r>
      <w:r>
        <w:rPr>
          <w:rFonts w:ascii="Garamond" w:hAnsi="Garamond" w:cs="Garamond"/>
          <w:i/>
          <w:iCs/>
          <w:spacing w:val="-10"/>
          <w:w w:val="105"/>
          <w:sz w:val="19"/>
          <w:szCs w:val="19"/>
        </w:rPr>
        <w:t xml:space="preserve"> </w:t>
      </w:r>
      <w:r>
        <w:rPr>
          <w:rFonts w:ascii="Garamond" w:hAnsi="Garamond" w:cs="Garamond"/>
          <w:i/>
          <w:iCs/>
          <w:w w:val="105"/>
          <w:sz w:val="19"/>
          <w:szCs w:val="19"/>
        </w:rPr>
        <w:t>good</w:t>
      </w:r>
      <w:r>
        <w:rPr>
          <w:rFonts w:ascii="Garamond" w:hAnsi="Garamond" w:cs="Garamond"/>
          <w:i/>
          <w:iCs/>
          <w:spacing w:val="-10"/>
          <w:w w:val="105"/>
          <w:sz w:val="19"/>
          <w:szCs w:val="19"/>
        </w:rPr>
        <w:t xml:space="preserve"> </w:t>
      </w:r>
      <w:r>
        <w:rPr>
          <w:rFonts w:ascii="Garamond" w:hAnsi="Garamond" w:cs="Garamond"/>
          <w:i/>
          <w:iCs/>
          <w:w w:val="105"/>
          <w:sz w:val="19"/>
          <w:szCs w:val="19"/>
        </w:rPr>
        <w:t>dental</w:t>
      </w:r>
      <w:r>
        <w:rPr>
          <w:rFonts w:ascii="Garamond" w:hAnsi="Garamond" w:cs="Garamond"/>
          <w:i/>
          <w:iCs/>
          <w:spacing w:val="-12"/>
          <w:w w:val="105"/>
          <w:sz w:val="19"/>
          <w:szCs w:val="19"/>
        </w:rPr>
        <w:t xml:space="preserve"> </w:t>
      </w:r>
      <w:r>
        <w:rPr>
          <w:rFonts w:ascii="Garamond" w:hAnsi="Garamond" w:cs="Garamond"/>
          <w:i/>
          <w:iCs/>
          <w:w w:val="105"/>
          <w:sz w:val="19"/>
          <w:szCs w:val="19"/>
        </w:rPr>
        <w:t>care</w:t>
      </w:r>
      <w:r>
        <w:rPr>
          <w:rFonts w:ascii="Garamond" w:hAnsi="Garamond" w:cs="Garamond"/>
          <w:i/>
          <w:iCs/>
          <w:spacing w:val="-12"/>
          <w:w w:val="105"/>
          <w:sz w:val="19"/>
          <w:szCs w:val="19"/>
        </w:rPr>
        <w:t xml:space="preserve"> </w:t>
      </w:r>
      <w:r>
        <w:rPr>
          <w:rFonts w:ascii="Garamond" w:hAnsi="Garamond" w:cs="Garamond"/>
          <w:i/>
          <w:iCs/>
          <w:w w:val="105"/>
          <w:sz w:val="19"/>
          <w:szCs w:val="19"/>
        </w:rPr>
        <w:t>is</w:t>
      </w:r>
      <w:r>
        <w:rPr>
          <w:rFonts w:ascii="Garamond" w:hAnsi="Garamond" w:cs="Garamond"/>
          <w:i/>
          <w:iCs/>
          <w:spacing w:val="-12"/>
          <w:w w:val="105"/>
          <w:sz w:val="19"/>
          <w:szCs w:val="19"/>
        </w:rPr>
        <w:t xml:space="preserve"> </w:t>
      </w:r>
      <w:r>
        <w:rPr>
          <w:rFonts w:ascii="Garamond" w:hAnsi="Garamond" w:cs="Garamond"/>
          <w:i/>
          <w:iCs/>
          <w:w w:val="105"/>
          <w:sz w:val="19"/>
          <w:szCs w:val="19"/>
        </w:rPr>
        <w:t>important</w:t>
      </w:r>
      <w:r>
        <w:rPr>
          <w:rFonts w:ascii="Garamond" w:hAnsi="Garamond" w:cs="Garamond"/>
          <w:i/>
          <w:iCs/>
          <w:spacing w:val="-12"/>
          <w:w w:val="105"/>
          <w:sz w:val="19"/>
          <w:szCs w:val="19"/>
        </w:rPr>
        <w:t xml:space="preserve"> </w:t>
      </w:r>
      <w:r>
        <w:rPr>
          <w:rFonts w:ascii="Garamond" w:hAnsi="Garamond" w:cs="Garamond"/>
          <w:i/>
          <w:iCs/>
          <w:w w:val="105"/>
          <w:sz w:val="19"/>
          <w:szCs w:val="19"/>
        </w:rPr>
        <w:t>[white</w:t>
      </w:r>
      <w:r>
        <w:rPr>
          <w:rFonts w:ascii="Garamond" w:hAnsi="Garamond" w:cs="Garamond"/>
          <w:i/>
          <w:iCs/>
          <w:spacing w:val="-12"/>
          <w:w w:val="105"/>
          <w:sz w:val="19"/>
          <w:szCs w:val="19"/>
        </w:rPr>
        <w:t xml:space="preserve"> </w:t>
      </w:r>
      <w:r>
        <w:rPr>
          <w:rFonts w:ascii="Garamond" w:hAnsi="Garamond" w:cs="Garamond"/>
          <w:i/>
          <w:iCs/>
          <w:w w:val="105"/>
          <w:sz w:val="19"/>
          <w:szCs w:val="19"/>
        </w:rPr>
        <w:t>paper].</w:t>
      </w:r>
      <w:r>
        <w:rPr>
          <w:rFonts w:ascii="Garamond" w:hAnsi="Garamond" w:cs="Garamond"/>
          <w:i/>
          <w:iCs/>
          <w:spacing w:val="-11"/>
          <w:w w:val="105"/>
          <w:sz w:val="19"/>
          <w:szCs w:val="19"/>
        </w:rPr>
        <w:t xml:space="preserve"> </w:t>
      </w:r>
      <w:r>
        <w:rPr>
          <w:rFonts w:ascii="Garamond" w:hAnsi="Garamond" w:cs="Garamond"/>
          <w:w w:val="105"/>
          <w:sz w:val="19"/>
          <w:szCs w:val="19"/>
        </w:rPr>
        <w:t>Retrieved</w:t>
      </w:r>
      <w:r>
        <w:rPr>
          <w:rFonts w:ascii="Garamond" w:hAnsi="Garamond" w:cs="Garamond"/>
          <w:spacing w:val="-11"/>
          <w:w w:val="105"/>
          <w:sz w:val="19"/>
          <w:szCs w:val="19"/>
        </w:rPr>
        <w:t xml:space="preserve"> </w:t>
      </w:r>
      <w:r>
        <w:rPr>
          <w:rFonts w:ascii="Garamond" w:hAnsi="Garamond" w:cs="Garamond"/>
          <w:w w:val="105"/>
          <w:sz w:val="19"/>
          <w:szCs w:val="19"/>
        </w:rPr>
        <w:t xml:space="preserve">from </w:t>
      </w:r>
      <w:hyperlink r:id="rId146" w:history="1">
        <w:r>
          <w:rPr>
            <w:rFonts w:ascii="Garamond" w:hAnsi="Garamond" w:cs="Garamond"/>
            <w:w w:val="105"/>
            <w:sz w:val="19"/>
            <w:szCs w:val="19"/>
          </w:rPr>
          <w:t>http://www.cigna.com/assets/docs/life-wall-library/Whygooddentalcareisimportant_whitepaper.pdf</w:t>
        </w:r>
      </w:hyperlink>
    </w:p>
    <w:p w:rsidR="002C5025" w:rsidRDefault="002C5025">
      <w:pPr>
        <w:pStyle w:val="BodyText"/>
        <w:kinsoku w:val="0"/>
        <w:overflowPunct w:val="0"/>
        <w:spacing w:before="3" w:line="249" w:lineRule="auto"/>
        <w:ind w:left="120" w:right="241"/>
        <w:rPr>
          <w:rFonts w:ascii="Garamond" w:hAnsi="Garamond" w:cs="Garamond"/>
          <w:w w:val="105"/>
          <w:sz w:val="19"/>
          <w:szCs w:val="19"/>
        </w:rPr>
      </w:pPr>
      <w:r>
        <w:rPr>
          <w:rFonts w:ascii="Garamond" w:hAnsi="Garamond" w:cs="Garamond"/>
          <w:w w:val="105"/>
          <w:position w:val="5"/>
          <w:sz w:val="13"/>
          <w:szCs w:val="13"/>
        </w:rPr>
        <w:t>2</w:t>
      </w:r>
      <w:r>
        <w:rPr>
          <w:rFonts w:ascii="Garamond" w:hAnsi="Garamond" w:cs="Garamond"/>
          <w:spacing w:val="-3"/>
          <w:w w:val="105"/>
          <w:position w:val="5"/>
          <w:sz w:val="13"/>
          <w:szCs w:val="13"/>
        </w:rPr>
        <w:t xml:space="preserve"> </w:t>
      </w:r>
      <w:proofErr w:type="spellStart"/>
      <w:r>
        <w:rPr>
          <w:rFonts w:ascii="Garamond" w:hAnsi="Garamond" w:cs="Garamond"/>
          <w:w w:val="105"/>
          <w:sz w:val="19"/>
          <w:szCs w:val="19"/>
        </w:rPr>
        <w:t>UnitedHealthcare</w:t>
      </w:r>
      <w:proofErr w:type="spellEnd"/>
      <w:r>
        <w:rPr>
          <w:rFonts w:ascii="Garamond" w:hAnsi="Garamond" w:cs="Garamond"/>
          <w:w w:val="105"/>
          <w:sz w:val="19"/>
          <w:szCs w:val="19"/>
        </w:rPr>
        <w:t>,</w:t>
      </w:r>
      <w:r>
        <w:rPr>
          <w:rFonts w:ascii="Garamond" w:hAnsi="Garamond" w:cs="Garamond"/>
          <w:spacing w:val="-17"/>
          <w:w w:val="105"/>
          <w:sz w:val="19"/>
          <w:szCs w:val="19"/>
        </w:rPr>
        <w:t xml:space="preserve"> </w:t>
      </w:r>
      <w:proofErr w:type="spellStart"/>
      <w:r>
        <w:rPr>
          <w:rFonts w:ascii="Garamond" w:hAnsi="Garamond" w:cs="Garamond"/>
          <w:spacing w:val="2"/>
          <w:w w:val="105"/>
          <w:sz w:val="19"/>
          <w:szCs w:val="19"/>
        </w:rPr>
        <w:t>Optum</w:t>
      </w:r>
      <w:proofErr w:type="spellEnd"/>
      <w:r>
        <w:rPr>
          <w:rFonts w:ascii="Garamond" w:hAnsi="Garamond" w:cs="Garamond"/>
          <w:spacing w:val="2"/>
          <w:w w:val="105"/>
          <w:sz w:val="19"/>
          <w:szCs w:val="19"/>
        </w:rPr>
        <w:t>,</w:t>
      </w:r>
      <w:r>
        <w:rPr>
          <w:rFonts w:ascii="Garamond" w:hAnsi="Garamond" w:cs="Garamond"/>
          <w:spacing w:val="-17"/>
          <w:w w:val="105"/>
          <w:sz w:val="19"/>
          <w:szCs w:val="19"/>
        </w:rPr>
        <w:t xml:space="preserve"> </w:t>
      </w:r>
      <w:r>
        <w:rPr>
          <w:rFonts w:ascii="Garamond" w:hAnsi="Garamond" w:cs="Garamond"/>
          <w:w w:val="105"/>
          <w:sz w:val="19"/>
          <w:szCs w:val="19"/>
        </w:rPr>
        <w:t>(2013).</w:t>
      </w:r>
      <w:r>
        <w:rPr>
          <w:rFonts w:ascii="Garamond" w:hAnsi="Garamond" w:cs="Garamond"/>
          <w:spacing w:val="-17"/>
          <w:w w:val="105"/>
          <w:sz w:val="19"/>
          <w:szCs w:val="19"/>
        </w:rPr>
        <w:t xml:space="preserve"> </w:t>
      </w:r>
      <w:r>
        <w:rPr>
          <w:rFonts w:ascii="Garamond" w:hAnsi="Garamond" w:cs="Garamond"/>
          <w:i/>
          <w:iCs/>
          <w:w w:val="105"/>
          <w:sz w:val="19"/>
          <w:szCs w:val="19"/>
        </w:rPr>
        <w:t>Medical</w:t>
      </w:r>
      <w:r>
        <w:rPr>
          <w:rFonts w:ascii="Garamond" w:hAnsi="Garamond" w:cs="Garamond"/>
          <w:i/>
          <w:iCs/>
          <w:spacing w:val="-17"/>
          <w:w w:val="105"/>
          <w:sz w:val="19"/>
          <w:szCs w:val="19"/>
        </w:rPr>
        <w:t xml:space="preserve"> </w:t>
      </w:r>
      <w:r>
        <w:rPr>
          <w:rFonts w:ascii="Garamond" w:hAnsi="Garamond" w:cs="Garamond"/>
          <w:i/>
          <w:iCs/>
          <w:w w:val="105"/>
          <w:sz w:val="19"/>
          <w:szCs w:val="19"/>
        </w:rPr>
        <w:t>Dental</w:t>
      </w:r>
      <w:r>
        <w:rPr>
          <w:rFonts w:ascii="Garamond" w:hAnsi="Garamond" w:cs="Garamond"/>
          <w:i/>
          <w:iCs/>
          <w:spacing w:val="-17"/>
          <w:w w:val="105"/>
          <w:sz w:val="19"/>
          <w:szCs w:val="19"/>
        </w:rPr>
        <w:t xml:space="preserve"> </w:t>
      </w:r>
      <w:r>
        <w:rPr>
          <w:rFonts w:ascii="Garamond" w:hAnsi="Garamond" w:cs="Garamond"/>
          <w:i/>
          <w:iCs/>
          <w:w w:val="105"/>
          <w:sz w:val="19"/>
          <w:szCs w:val="19"/>
        </w:rPr>
        <w:t>Integration</w:t>
      </w:r>
      <w:r>
        <w:rPr>
          <w:rFonts w:ascii="Garamond" w:hAnsi="Garamond" w:cs="Garamond"/>
          <w:i/>
          <w:iCs/>
          <w:spacing w:val="-16"/>
          <w:w w:val="105"/>
          <w:sz w:val="19"/>
          <w:szCs w:val="19"/>
        </w:rPr>
        <w:t xml:space="preserve"> </w:t>
      </w:r>
      <w:r>
        <w:rPr>
          <w:rFonts w:ascii="Garamond" w:hAnsi="Garamond" w:cs="Garamond"/>
          <w:i/>
          <w:iCs/>
          <w:w w:val="105"/>
          <w:sz w:val="19"/>
          <w:szCs w:val="19"/>
        </w:rPr>
        <w:t>Study</w:t>
      </w:r>
      <w:r>
        <w:rPr>
          <w:rFonts w:ascii="Garamond" w:hAnsi="Garamond" w:cs="Garamond"/>
          <w:w w:val="105"/>
          <w:sz w:val="19"/>
          <w:szCs w:val="19"/>
        </w:rPr>
        <w:t>.</w:t>
      </w:r>
      <w:r>
        <w:rPr>
          <w:rFonts w:ascii="Garamond" w:hAnsi="Garamond" w:cs="Garamond"/>
          <w:spacing w:val="-17"/>
          <w:w w:val="105"/>
          <w:sz w:val="19"/>
          <w:szCs w:val="19"/>
        </w:rPr>
        <w:t xml:space="preserve"> </w:t>
      </w:r>
      <w:r>
        <w:rPr>
          <w:rFonts w:ascii="Garamond" w:hAnsi="Garamond" w:cs="Garamond"/>
          <w:w w:val="105"/>
          <w:sz w:val="19"/>
          <w:szCs w:val="19"/>
        </w:rPr>
        <w:t>United</w:t>
      </w:r>
      <w:r>
        <w:rPr>
          <w:rFonts w:ascii="Garamond" w:hAnsi="Garamond" w:cs="Garamond"/>
          <w:spacing w:val="-17"/>
          <w:w w:val="105"/>
          <w:sz w:val="19"/>
          <w:szCs w:val="19"/>
        </w:rPr>
        <w:t xml:space="preserve"> </w:t>
      </w:r>
      <w:r>
        <w:rPr>
          <w:rFonts w:ascii="Garamond" w:hAnsi="Garamond" w:cs="Garamond"/>
          <w:w w:val="105"/>
          <w:sz w:val="19"/>
          <w:szCs w:val="19"/>
        </w:rPr>
        <w:t>HealthCare</w:t>
      </w:r>
      <w:r>
        <w:rPr>
          <w:rFonts w:ascii="Garamond" w:hAnsi="Garamond" w:cs="Garamond"/>
          <w:spacing w:val="-18"/>
          <w:w w:val="105"/>
          <w:sz w:val="19"/>
          <w:szCs w:val="19"/>
        </w:rPr>
        <w:t xml:space="preserve"> </w:t>
      </w:r>
      <w:r>
        <w:rPr>
          <w:rFonts w:ascii="Garamond" w:hAnsi="Garamond" w:cs="Garamond"/>
          <w:w w:val="105"/>
          <w:sz w:val="19"/>
          <w:szCs w:val="19"/>
        </w:rPr>
        <w:t>Services,</w:t>
      </w:r>
      <w:r>
        <w:rPr>
          <w:rFonts w:ascii="Garamond" w:hAnsi="Garamond" w:cs="Garamond"/>
          <w:spacing w:val="-16"/>
          <w:w w:val="105"/>
          <w:sz w:val="19"/>
          <w:szCs w:val="19"/>
        </w:rPr>
        <w:t xml:space="preserve"> </w:t>
      </w:r>
      <w:r>
        <w:rPr>
          <w:rFonts w:ascii="Garamond" w:hAnsi="Garamond" w:cs="Garamond"/>
          <w:w w:val="105"/>
          <w:sz w:val="19"/>
          <w:szCs w:val="19"/>
        </w:rPr>
        <w:t>Inc.</w:t>
      </w:r>
      <w:r>
        <w:rPr>
          <w:rFonts w:ascii="Garamond" w:hAnsi="Garamond" w:cs="Garamond"/>
          <w:spacing w:val="-17"/>
          <w:w w:val="105"/>
          <w:sz w:val="19"/>
          <w:szCs w:val="19"/>
        </w:rPr>
        <w:t xml:space="preserve"> </w:t>
      </w:r>
      <w:r>
        <w:rPr>
          <w:rFonts w:ascii="Garamond" w:hAnsi="Garamond" w:cs="Garamond"/>
          <w:w w:val="105"/>
          <w:sz w:val="19"/>
          <w:szCs w:val="19"/>
        </w:rPr>
        <w:t>Retrieved</w:t>
      </w:r>
      <w:r>
        <w:rPr>
          <w:rFonts w:ascii="Garamond" w:hAnsi="Garamond" w:cs="Garamond"/>
          <w:spacing w:val="-16"/>
          <w:w w:val="105"/>
          <w:sz w:val="19"/>
          <w:szCs w:val="19"/>
        </w:rPr>
        <w:t xml:space="preserve"> </w:t>
      </w:r>
      <w:r>
        <w:rPr>
          <w:rFonts w:ascii="Garamond" w:hAnsi="Garamond" w:cs="Garamond"/>
          <w:w w:val="105"/>
          <w:sz w:val="19"/>
          <w:szCs w:val="19"/>
        </w:rPr>
        <w:t xml:space="preserve">from </w:t>
      </w:r>
      <w:hyperlink r:id="rId147" w:history="1">
        <w:r>
          <w:rPr>
            <w:rFonts w:ascii="Garamond" w:hAnsi="Garamond" w:cs="Garamond"/>
            <w:spacing w:val="2"/>
            <w:w w:val="105"/>
            <w:sz w:val="19"/>
            <w:szCs w:val="19"/>
          </w:rPr>
          <w:t>http://www.uhc.com/content/dam/uhcdotcom/en/Private%20Label%20Administrators/100-</w:t>
        </w:r>
      </w:hyperlink>
      <w:r>
        <w:rPr>
          <w:rFonts w:ascii="Garamond" w:hAnsi="Garamond" w:cs="Garamond"/>
          <w:spacing w:val="2"/>
          <w:w w:val="105"/>
          <w:sz w:val="19"/>
          <w:szCs w:val="19"/>
        </w:rPr>
        <w:t xml:space="preserve"> </w:t>
      </w:r>
      <w:r>
        <w:rPr>
          <w:rFonts w:ascii="Garamond" w:hAnsi="Garamond" w:cs="Garamond"/>
          <w:w w:val="105"/>
          <w:sz w:val="19"/>
          <w:szCs w:val="19"/>
        </w:rPr>
        <w:t>12683%20Bridge2Health_Study_Dental_Final.pdf</w:t>
      </w:r>
    </w:p>
    <w:p w:rsidR="002C5025" w:rsidRDefault="002C5025">
      <w:pPr>
        <w:pStyle w:val="BodyText"/>
        <w:kinsoku w:val="0"/>
        <w:overflowPunct w:val="0"/>
        <w:spacing w:before="3" w:line="249" w:lineRule="auto"/>
        <w:ind w:left="120" w:right="241"/>
        <w:rPr>
          <w:rFonts w:ascii="Garamond" w:hAnsi="Garamond" w:cs="Garamond"/>
          <w:w w:val="105"/>
          <w:sz w:val="19"/>
          <w:szCs w:val="19"/>
        </w:rPr>
      </w:pPr>
      <w:r>
        <w:rPr>
          <w:rFonts w:ascii="Garamond" w:hAnsi="Garamond" w:cs="Garamond"/>
          <w:w w:val="105"/>
          <w:position w:val="5"/>
          <w:sz w:val="13"/>
          <w:szCs w:val="13"/>
        </w:rPr>
        <w:t>3</w:t>
      </w:r>
      <w:r>
        <w:rPr>
          <w:rFonts w:ascii="Garamond" w:hAnsi="Garamond" w:cs="Garamond"/>
          <w:spacing w:val="3"/>
          <w:w w:val="105"/>
          <w:position w:val="5"/>
          <w:sz w:val="13"/>
          <w:szCs w:val="13"/>
        </w:rPr>
        <w:t xml:space="preserve"> </w:t>
      </w:r>
      <w:proofErr w:type="spellStart"/>
      <w:r>
        <w:rPr>
          <w:rFonts w:ascii="Garamond" w:hAnsi="Garamond" w:cs="Garamond"/>
          <w:w w:val="105"/>
          <w:sz w:val="19"/>
          <w:szCs w:val="19"/>
        </w:rPr>
        <w:t>Jeffcoat</w:t>
      </w:r>
      <w:proofErr w:type="spellEnd"/>
      <w:r>
        <w:rPr>
          <w:rFonts w:ascii="Garamond" w:hAnsi="Garamond" w:cs="Garamond"/>
          <w:w w:val="105"/>
          <w:sz w:val="19"/>
          <w:szCs w:val="19"/>
        </w:rPr>
        <w:t>,</w:t>
      </w:r>
      <w:r>
        <w:rPr>
          <w:rFonts w:ascii="Garamond" w:hAnsi="Garamond" w:cs="Garamond"/>
          <w:spacing w:val="-14"/>
          <w:w w:val="105"/>
          <w:sz w:val="19"/>
          <w:szCs w:val="19"/>
        </w:rPr>
        <w:t xml:space="preserve"> </w:t>
      </w:r>
      <w:r>
        <w:rPr>
          <w:rFonts w:ascii="Garamond" w:hAnsi="Garamond" w:cs="Garamond"/>
          <w:w w:val="105"/>
          <w:sz w:val="19"/>
          <w:szCs w:val="19"/>
        </w:rPr>
        <w:t>M.K.,</w:t>
      </w:r>
      <w:r>
        <w:rPr>
          <w:rFonts w:ascii="Garamond" w:hAnsi="Garamond" w:cs="Garamond"/>
          <w:spacing w:val="-14"/>
          <w:w w:val="105"/>
          <w:sz w:val="19"/>
          <w:szCs w:val="19"/>
        </w:rPr>
        <w:t xml:space="preserve"> </w:t>
      </w:r>
      <w:proofErr w:type="spellStart"/>
      <w:r>
        <w:rPr>
          <w:rFonts w:ascii="Garamond" w:hAnsi="Garamond" w:cs="Garamond"/>
          <w:w w:val="105"/>
          <w:sz w:val="19"/>
          <w:szCs w:val="19"/>
        </w:rPr>
        <w:t>Jeffcoat</w:t>
      </w:r>
      <w:proofErr w:type="spellEnd"/>
      <w:r>
        <w:rPr>
          <w:rFonts w:ascii="Garamond" w:hAnsi="Garamond" w:cs="Garamond"/>
          <w:w w:val="105"/>
          <w:sz w:val="19"/>
          <w:szCs w:val="19"/>
        </w:rPr>
        <w:t>,</w:t>
      </w:r>
      <w:r>
        <w:rPr>
          <w:rFonts w:ascii="Garamond" w:hAnsi="Garamond" w:cs="Garamond"/>
          <w:spacing w:val="-14"/>
          <w:w w:val="105"/>
          <w:sz w:val="19"/>
          <w:szCs w:val="19"/>
        </w:rPr>
        <w:t xml:space="preserve"> </w:t>
      </w:r>
      <w:r>
        <w:rPr>
          <w:rFonts w:ascii="Garamond" w:hAnsi="Garamond" w:cs="Garamond"/>
          <w:w w:val="105"/>
          <w:sz w:val="19"/>
          <w:szCs w:val="19"/>
        </w:rPr>
        <w:t>R.L.,</w:t>
      </w:r>
      <w:r>
        <w:rPr>
          <w:rFonts w:ascii="Garamond" w:hAnsi="Garamond" w:cs="Garamond"/>
          <w:spacing w:val="-12"/>
          <w:w w:val="105"/>
          <w:sz w:val="19"/>
          <w:szCs w:val="19"/>
        </w:rPr>
        <w:t xml:space="preserve"> </w:t>
      </w:r>
      <w:proofErr w:type="spellStart"/>
      <w:r>
        <w:rPr>
          <w:rFonts w:ascii="Garamond" w:hAnsi="Garamond" w:cs="Garamond"/>
          <w:w w:val="105"/>
          <w:sz w:val="19"/>
          <w:szCs w:val="19"/>
        </w:rPr>
        <w:t>Gladkowski</w:t>
      </w:r>
      <w:proofErr w:type="spellEnd"/>
      <w:r>
        <w:rPr>
          <w:rFonts w:ascii="Garamond" w:hAnsi="Garamond" w:cs="Garamond"/>
          <w:w w:val="105"/>
          <w:sz w:val="19"/>
          <w:szCs w:val="19"/>
        </w:rPr>
        <w:t>,</w:t>
      </w:r>
      <w:r>
        <w:rPr>
          <w:rFonts w:ascii="Garamond" w:hAnsi="Garamond" w:cs="Garamond"/>
          <w:spacing w:val="-11"/>
          <w:w w:val="105"/>
          <w:sz w:val="19"/>
          <w:szCs w:val="19"/>
        </w:rPr>
        <w:t xml:space="preserve"> </w:t>
      </w:r>
      <w:r>
        <w:rPr>
          <w:rFonts w:ascii="Garamond" w:hAnsi="Garamond" w:cs="Garamond"/>
          <w:w w:val="105"/>
          <w:sz w:val="19"/>
          <w:szCs w:val="19"/>
        </w:rPr>
        <w:t>P.A.,</w:t>
      </w:r>
      <w:r>
        <w:rPr>
          <w:rFonts w:ascii="Garamond" w:hAnsi="Garamond" w:cs="Garamond"/>
          <w:spacing w:val="-14"/>
          <w:w w:val="105"/>
          <w:sz w:val="19"/>
          <w:szCs w:val="19"/>
        </w:rPr>
        <w:t xml:space="preserve"> </w:t>
      </w:r>
      <w:proofErr w:type="spellStart"/>
      <w:r>
        <w:rPr>
          <w:rFonts w:ascii="Garamond" w:hAnsi="Garamond" w:cs="Garamond"/>
          <w:spacing w:val="2"/>
          <w:w w:val="105"/>
          <w:sz w:val="19"/>
          <w:szCs w:val="19"/>
        </w:rPr>
        <w:t>Bramson</w:t>
      </w:r>
      <w:proofErr w:type="spellEnd"/>
      <w:r>
        <w:rPr>
          <w:rFonts w:ascii="Garamond" w:hAnsi="Garamond" w:cs="Garamond"/>
          <w:spacing w:val="2"/>
          <w:w w:val="105"/>
          <w:sz w:val="19"/>
          <w:szCs w:val="19"/>
        </w:rPr>
        <w:t>,</w:t>
      </w:r>
      <w:r>
        <w:rPr>
          <w:rFonts w:ascii="Garamond" w:hAnsi="Garamond" w:cs="Garamond"/>
          <w:spacing w:val="-14"/>
          <w:w w:val="105"/>
          <w:sz w:val="19"/>
          <w:szCs w:val="19"/>
        </w:rPr>
        <w:t xml:space="preserve"> </w:t>
      </w:r>
      <w:r>
        <w:rPr>
          <w:rFonts w:ascii="Garamond" w:hAnsi="Garamond" w:cs="Garamond"/>
          <w:w w:val="105"/>
          <w:sz w:val="19"/>
          <w:szCs w:val="19"/>
        </w:rPr>
        <w:t>J.B.,</w:t>
      </w:r>
      <w:r>
        <w:rPr>
          <w:rFonts w:ascii="Garamond" w:hAnsi="Garamond" w:cs="Garamond"/>
          <w:spacing w:val="-14"/>
          <w:w w:val="105"/>
          <w:sz w:val="19"/>
          <w:szCs w:val="19"/>
        </w:rPr>
        <w:t xml:space="preserve"> </w:t>
      </w:r>
      <w:r>
        <w:rPr>
          <w:rFonts w:ascii="Garamond" w:hAnsi="Garamond" w:cs="Garamond"/>
          <w:w w:val="105"/>
          <w:sz w:val="19"/>
          <w:szCs w:val="19"/>
        </w:rPr>
        <w:t>Blum,</w:t>
      </w:r>
      <w:r>
        <w:rPr>
          <w:rFonts w:ascii="Garamond" w:hAnsi="Garamond" w:cs="Garamond"/>
          <w:spacing w:val="-14"/>
          <w:w w:val="105"/>
          <w:sz w:val="19"/>
          <w:szCs w:val="19"/>
        </w:rPr>
        <w:t xml:space="preserve"> </w:t>
      </w:r>
      <w:r>
        <w:rPr>
          <w:rFonts w:ascii="Garamond" w:hAnsi="Garamond" w:cs="Garamond"/>
          <w:w w:val="105"/>
          <w:sz w:val="19"/>
          <w:szCs w:val="19"/>
        </w:rPr>
        <w:t>J.J.</w:t>
      </w:r>
      <w:r>
        <w:rPr>
          <w:rFonts w:ascii="Garamond" w:hAnsi="Garamond" w:cs="Garamond"/>
          <w:spacing w:val="-14"/>
          <w:w w:val="105"/>
          <w:sz w:val="19"/>
          <w:szCs w:val="19"/>
        </w:rPr>
        <w:t xml:space="preserve"> </w:t>
      </w:r>
      <w:r>
        <w:rPr>
          <w:rFonts w:ascii="Garamond" w:hAnsi="Garamond" w:cs="Garamond"/>
          <w:w w:val="105"/>
          <w:sz w:val="19"/>
          <w:szCs w:val="19"/>
        </w:rPr>
        <w:t>(2014).</w:t>
      </w:r>
      <w:r>
        <w:rPr>
          <w:rFonts w:ascii="Garamond" w:hAnsi="Garamond" w:cs="Garamond"/>
          <w:spacing w:val="-11"/>
          <w:w w:val="105"/>
          <w:sz w:val="19"/>
          <w:szCs w:val="19"/>
        </w:rPr>
        <w:t xml:space="preserve"> </w:t>
      </w:r>
      <w:r>
        <w:rPr>
          <w:rFonts w:ascii="Garamond" w:hAnsi="Garamond" w:cs="Garamond"/>
          <w:i/>
          <w:iCs/>
          <w:w w:val="105"/>
          <w:sz w:val="19"/>
          <w:szCs w:val="19"/>
        </w:rPr>
        <w:t>Impact</w:t>
      </w:r>
      <w:r>
        <w:rPr>
          <w:rFonts w:ascii="Garamond" w:hAnsi="Garamond" w:cs="Garamond"/>
          <w:i/>
          <w:iCs/>
          <w:spacing w:val="-13"/>
          <w:w w:val="105"/>
          <w:sz w:val="19"/>
          <w:szCs w:val="19"/>
        </w:rPr>
        <w:t xml:space="preserve"> </w:t>
      </w:r>
      <w:r>
        <w:rPr>
          <w:rFonts w:ascii="Garamond" w:hAnsi="Garamond" w:cs="Garamond"/>
          <w:i/>
          <w:iCs/>
          <w:w w:val="105"/>
          <w:sz w:val="19"/>
          <w:szCs w:val="19"/>
        </w:rPr>
        <w:t>of</w:t>
      </w:r>
      <w:r>
        <w:rPr>
          <w:rFonts w:ascii="Garamond" w:hAnsi="Garamond" w:cs="Garamond"/>
          <w:i/>
          <w:iCs/>
          <w:spacing w:val="-12"/>
          <w:w w:val="105"/>
          <w:sz w:val="19"/>
          <w:szCs w:val="19"/>
        </w:rPr>
        <w:t xml:space="preserve"> </w:t>
      </w:r>
      <w:r>
        <w:rPr>
          <w:rFonts w:ascii="Garamond" w:hAnsi="Garamond" w:cs="Garamond"/>
          <w:i/>
          <w:iCs/>
          <w:w w:val="105"/>
          <w:sz w:val="19"/>
          <w:szCs w:val="19"/>
        </w:rPr>
        <w:t>Periodontal</w:t>
      </w:r>
      <w:r>
        <w:rPr>
          <w:rFonts w:ascii="Garamond" w:hAnsi="Garamond" w:cs="Garamond"/>
          <w:i/>
          <w:iCs/>
          <w:spacing w:val="-14"/>
          <w:w w:val="105"/>
          <w:sz w:val="19"/>
          <w:szCs w:val="19"/>
        </w:rPr>
        <w:t xml:space="preserve"> </w:t>
      </w:r>
      <w:r>
        <w:rPr>
          <w:rFonts w:ascii="Garamond" w:hAnsi="Garamond" w:cs="Garamond"/>
          <w:i/>
          <w:iCs/>
          <w:w w:val="105"/>
          <w:sz w:val="19"/>
          <w:szCs w:val="19"/>
        </w:rPr>
        <w:t>Therapy</w:t>
      </w:r>
      <w:r>
        <w:rPr>
          <w:rFonts w:ascii="Garamond" w:hAnsi="Garamond" w:cs="Garamond"/>
          <w:i/>
          <w:iCs/>
          <w:spacing w:val="-13"/>
          <w:w w:val="105"/>
          <w:sz w:val="19"/>
          <w:szCs w:val="19"/>
        </w:rPr>
        <w:t xml:space="preserve"> </w:t>
      </w:r>
      <w:r>
        <w:rPr>
          <w:rFonts w:ascii="Garamond" w:hAnsi="Garamond" w:cs="Garamond"/>
          <w:i/>
          <w:iCs/>
          <w:w w:val="105"/>
          <w:sz w:val="19"/>
          <w:szCs w:val="19"/>
        </w:rPr>
        <w:t>on</w:t>
      </w:r>
      <w:r>
        <w:rPr>
          <w:rFonts w:ascii="Garamond" w:hAnsi="Garamond" w:cs="Garamond"/>
          <w:i/>
          <w:iCs/>
          <w:spacing w:val="-12"/>
          <w:w w:val="105"/>
          <w:sz w:val="19"/>
          <w:szCs w:val="19"/>
        </w:rPr>
        <w:t xml:space="preserve"> </w:t>
      </w:r>
      <w:r>
        <w:rPr>
          <w:rFonts w:ascii="Garamond" w:hAnsi="Garamond" w:cs="Garamond"/>
          <w:i/>
          <w:iCs/>
          <w:w w:val="105"/>
          <w:sz w:val="19"/>
          <w:szCs w:val="19"/>
        </w:rPr>
        <w:t>General Health:</w:t>
      </w:r>
      <w:r>
        <w:rPr>
          <w:rFonts w:ascii="Garamond" w:hAnsi="Garamond" w:cs="Garamond"/>
          <w:i/>
          <w:iCs/>
          <w:spacing w:val="-13"/>
          <w:w w:val="105"/>
          <w:sz w:val="19"/>
          <w:szCs w:val="19"/>
        </w:rPr>
        <w:t xml:space="preserve"> </w:t>
      </w:r>
      <w:r>
        <w:rPr>
          <w:rFonts w:ascii="Garamond" w:hAnsi="Garamond" w:cs="Garamond"/>
          <w:i/>
          <w:iCs/>
          <w:w w:val="105"/>
          <w:sz w:val="19"/>
          <w:szCs w:val="19"/>
        </w:rPr>
        <w:t>Evidence</w:t>
      </w:r>
      <w:r>
        <w:rPr>
          <w:rFonts w:ascii="Garamond" w:hAnsi="Garamond" w:cs="Garamond"/>
          <w:i/>
          <w:iCs/>
          <w:spacing w:val="-13"/>
          <w:w w:val="105"/>
          <w:sz w:val="19"/>
          <w:szCs w:val="19"/>
        </w:rPr>
        <w:t xml:space="preserve"> </w:t>
      </w:r>
      <w:r>
        <w:rPr>
          <w:rFonts w:ascii="Garamond" w:hAnsi="Garamond" w:cs="Garamond"/>
          <w:i/>
          <w:iCs/>
          <w:w w:val="105"/>
          <w:sz w:val="19"/>
          <w:szCs w:val="19"/>
        </w:rPr>
        <w:t>from</w:t>
      </w:r>
      <w:r>
        <w:rPr>
          <w:rFonts w:ascii="Garamond" w:hAnsi="Garamond" w:cs="Garamond"/>
          <w:i/>
          <w:iCs/>
          <w:spacing w:val="-11"/>
          <w:w w:val="105"/>
          <w:sz w:val="19"/>
          <w:szCs w:val="19"/>
        </w:rPr>
        <w:t xml:space="preserve"> </w:t>
      </w:r>
      <w:r>
        <w:rPr>
          <w:rFonts w:ascii="Garamond" w:hAnsi="Garamond" w:cs="Garamond"/>
          <w:i/>
          <w:iCs/>
          <w:w w:val="105"/>
          <w:sz w:val="19"/>
          <w:szCs w:val="19"/>
        </w:rPr>
        <w:t>Insurance</w:t>
      </w:r>
      <w:r>
        <w:rPr>
          <w:rFonts w:ascii="Garamond" w:hAnsi="Garamond" w:cs="Garamond"/>
          <w:i/>
          <w:iCs/>
          <w:spacing w:val="-16"/>
          <w:w w:val="105"/>
          <w:sz w:val="19"/>
          <w:szCs w:val="19"/>
        </w:rPr>
        <w:t xml:space="preserve"> </w:t>
      </w:r>
      <w:r>
        <w:rPr>
          <w:rFonts w:ascii="Garamond" w:hAnsi="Garamond" w:cs="Garamond"/>
          <w:i/>
          <w:iCs/>
          <w:w w:val="105"/>
          <w:sz w:val="19"/>
          <w:szCs w:val="19"/>
        </w:rPr>
        <w:t>Data</w:t>
      </w:r>
      <w:r>
        <w:rPr>
          <w:rFonts w:ascii="Garamond" w:hAnsi="Garamond" w:cs="Garamond"/>
          <w:i/>
          <w:iCs/>
          <w:spacing w:val="-12"/>
          <w:w w:val="105"/>
          <w:sz w:val="19"/>
          <w:szCs w:val="19"/>
        </w:rPr>
        <w:t xml:space="preserve"> </w:t>
      </w:r>
      <w:r>
        <w:rPr>
          <w:rFonts w:ascii="Garamond" w:hAnsi="Garamond" w:cs="Garamond"/>
          <w:i/>
          <w:iCs/>
          <w:w w:val="105"/>
          <w:sz w:val="19"/>
          <w:szCs w:val="19"/>
        </w:rPr>
        <w:t>for</w:t>
      </w:r>
      <w:r>
        <w:rPr>
          <w:rFonts w:ascii="Garamond" w:hAnsi="Garamond" w:cs="Garamond"/>
          <w:i/>
          <w:iCs/>
          <w:spacing w:val="-13"/>
          <w:w w:val="105"/>
          <w:sz w:val="19"/>
          <w:szCs w:val="19"/>
        </w:rPr>
        <w:t xml:space="preserve"> </w:t>
      </w:r>
      <w:r>
        <w:rPr>
          <w:rFonts w:ascii="Garamond" w:hAnsi="Garamond" w:cs="Garamond"/>
          <w:i/>
          <w:iCs/>
          <w:w w:val="105"/>
          <w:sz w:val="19"/>
          <w:szCs w:val="19"/>
        </w:rPr>
        <w:t>Five</w:t>
      </w:r>
      <w:r>
        <w:rPr>
          <w:rFonts w:ascii="Garamond" w:hAnsi="Garamond" w:cs="Garamond"/>
          <w:i/>
          <w:iCs/>
          <w:spacing w:val="-15"/>
          <w:w w:val="105"/>
          <w:sz w:val="19"/>
          <w:szCs w:val="19"/>
        </w:rPr>
        <w:t xml:space="preserve"> </w:t>
      </w:r>
      <w:r>
        <w:rPr>
          <w:rFonts w:ascii="Garamond" w:hAnsi="Garamond" w:cs="Garamond"/>
          <w:i/>
          <w:iCs/>
          <w:w w:val="105"/>
          <w:sz w:val="19"/>
          <w:szCs w:val="19"/>
        </w:rPr>
        <w:t>Systemic</w:t>
      </w:r>
      <w:r>
        <w:rPr>
          <w:rFonts w:ascii="Garamond" w:hAnsi="Garamond" w:cs="Garamond"/>
          <w:i/>
          <w:iCs/>
          <w:spacing w:val="-14"/>
          <w:w w:val="105"/>
          <w:sz w:val="19"/>
          <w:szCs w:val="19"/>
        </w:rPr>
        <w:t xml:space="preserve"> </w:t>
      </w:r>
      <w:r>
        <w:rPr>
          <w:rFonts w:ascii="Garamond" w:hAnsi="Garamond" w:cs="Garamond"/>
          <w:i/>
          <w:iCs/>
          <w:w w:val="105"/>
          <w:sz w:val="19"/>
          <w:szCs w:val="19"/>
        </w:rPr>
        <w:t>Conditions</w:t>
      </w:r>
      <w:r>
        <w:rPr>
          <w:rFonts w:ascii="Garamond" w:hAnsi="Garamond" w:cs="Garamond"/>
          <w:w w:val="105"/>
          <w:sz w:val="19"/>
          <w:szCs w:val="19"/>
        </w:rPr>
        <w:t>,</w:t>
      </w:r>
      <w:r>
        <w:rPr>
          <w:rFonts w:ascii="Garamond" w:hAnsi="Garamond" w:cs="Garamond"/>
          <w:spacing w:val="-13"/>
          <w:w w:val="105"/>
          <w:sz w:val="19"/>
          <w:szCs w:val="19"/>
        </w:rPr>
        <w:t xml:space="preserve"> </w:t>
      </w:r>
      <w:r>
        <w:rPr>
          <w:rFonts w:ascii="Garamond" w:hAnsi="Garamond" w:cs="Garamond"/>
          <w:w w:val="105"/>
          <w:sz w:val="19"/>
          <w:szCs w:val="19"/>
        </w:rPr>
        <w:t>American</w:t>
      </w:r>
      <w:r>
        <w:rPr>
          <w:rFonts w:ascii="Garamond" w:hAnsi="Garamond" w:cs="Garamond"/>
          <w:spacing w:val="-10"/>
          <w:w w:val="105"/>
          <w:sz w:val="19"/>
          <w:szCs w:val="19"/>
        </w:rPr>
        <w:t xml:space="preserve"> </w:t>
      </w:r>
      <w:r>
        <w:rPr>
          <w:rFonts w:ascii="Garamond" w:hAnsi="Garamond" w:cs="Garamond"/>
          <w:w w:val="105"/>
          <w:sz w:val="19"/>
          <w:szCs w:val="19"/>
        </w:rPr>
        <w:t>Journal</w:t>
      </w:r>
      <w:r>
        <w:rPr>
          <w:rFonts w:ascii="Garamond" w:hAnsi="Garamond" w:cs="Garamond"/>
          <w:spacing w:val="-12"/>
          <w:w w:val="105"/>
          <w:sz w:val="19"/>
          <w:szCs w:val="19"/>
        </w:rPr>
        <w:t xml:space="preserve"> </w:t>
      </w:r>
      <w:r>
        <w:rPr>
          <w:rFonts w:ascii="Garamond" w:hAnsi="Garamond" w:cs="Garamond"/>
          <w:w w:val="105"/>
          <w:sz w:val="19"/>
          <w:szCs w:val="19"/>
        </w:rPr>
        <w:t>of</w:t>
      </w:r>
      <w:r>
        <w:rPr>
          <w:rFonts w:ascii="Garamond" w:hAnsi="Garamond" w:cs="Garamond"/>
          <w:spacing w:val="-12"/>
          <w:w w:val="105"/>
          <w:sz w:val="19"/>
          <w:szCs w:val="19"/>
        </w:rPr>
        <w:t xml:space="preserve"> </w:t>
      </w:r>
      <w:r>
        <w:rPr>
          <w:rFonts w:ascii="Garamond" w:hAnsi="Garamond" w:cs="Garamond"/>
          <w:w w:val="105"/>
          <w:sz w:val="19"/>
          <w:szCs w:val="19"/>
        </w:rPr>
        <w:t>Preventive</w:t>
      </w:r>
      <w:r>
        <w:rPr>
          <w:rFonts w:ascii="Garamond" w:hAnsi="Garamond" w:cs="Garamond"/>
          <w:spacing w:val="-13"/>
          <w:w w:val="105"/>
          <w:sz w:val="19"/>
          <w:szCs w:val="19"/>
        </w:rPr>
        <w:t xml:space="preserve"> </w:t>
      </w:r>
      <w:r>
        <w:rPr>
          <w:rFonts w:ascii="Garamond" w:hAnsi="Garamond" w:cs="Garamond"/>
          <w:w w:val="105"/>
          <w:sz w:val="19"/>
          <w:szCs w:val="19"/>
        </w:rPr>
        <w:t>Medicine,</w:t>
      </w:r>
      <w:r>
        <w:rPr>
          <w:rFonts w:ascii="Garamond" w:hAnsi="Garamond" w:cs="Garamond"/>
          <w:spacing w:val="-13"/>
          <w:w w:val="105"/>
          <w:sz w:val="19"/>
          <w:szCs w:val="19"/>
        </w:rPr>
        <w:t xml:space="preserve"> </w:t>
      </w:r>
      <w:r>
        <w:rPr>
          <w:rFonts w:ascii="Garamond" w:hAnsi="Garamond" w:cs="Garamond"/>
          <w:w w:val="105"/>
          <w:sz w:val="19"/>
          <w:szCs w:val="19"/>
        </w:rPr>
        <w:t>47:</w:t>
      </w:r>
      <w:r>
        <w:rPr>
          <w:rFonts w:ascii="Garamond" w:hAnsi="Garamond" w:cs="Garamond"/>
          <w:spacing w:val="-13"/>
          <w:w w:val="105"/>
          <w:sz w:val="19"/>
          <w:szCs w:val="19"/>
        </w:rPr>
        <w:t xml:space="preserve"> </w:t>
      </w:r>
      <w:r>
        <w:rPr>
          <w:rFonts w:ascii="Garamond" w:hAnsi="Garamond" w:cs="Garamond"/>
          <w:w w:val="105"/>
          <w:sz w:val="19"/>
          <w:szCs w:val="19"/>
        </w:rPr>
        <w:t>174-182.</w:t>
      </w:r>
    </w:p>
    <w:p w:rsidR="002C5025" w:rsidRDefault="002C5025">
      <w:pPr>
        <w:pStyle w:val="BodyText"/>
        <w:kinsoku w:val="0"/>
        <w:overflowPunct w:val="0"/>
        <w:spacing w:before="3" w:line="249" w:lineRule="auto"/>
        <w:ind w:left="120" w:right="241"/>
        <w:rPr>
          <w:rFonts w:ascii="Garamond" w:hAnsi="Garamond" w:cs="Garamond"/>
          <w:w w:val="105"/>
          <w:sz w:val="19"/>
          <w:szCs w:val="19"/>
        </w:rPr>
        <w:sectPr w:rsidR="002C5025">
          <w:pgSz w:w="12240" w:h="15840"/>
          <w:pgMar w:top="1400" w:right="1380" w:bottom="280" w:left="1320" w:header="720" w:footer="720" w:gutter="0"/>
          <w:cols w:space="720" w:equalWidth="0">
            <w:col w:w="9540"/>
          </w:cols>
          <w:noEndnote/>
        </w:sectPr>
      </w:pPr>
    </w:p>
    <w:p w:rsidR="002C5025" w:rsidRDefault="002C5025">
      <w:pPr>
        <w:pStyle w:val="BodyText"/>
        <w:kinsoku w:val="0"/>
        <w:overflowPunct w:val="0"/>
        <w:spacing w:before="39" w:line="242" w:lineRule="auto"/>
        <w:ind w:left="120" w:right="83"/>
        <w:rPr>
          <w:sz w:val="24"/>
          <w:szCs w:val="24"/>
        </w:rPr>
      </w:pPr>
      <w:r>
        <w:rPr>
          <w:sz w:val="24"/>
          <w:szCs w:val="24"/>
        </w:rPr>
        <w:lastRenderedPageBreak/>
        <w:t>individuals as well as primary care’s expertise in care coordination and prevention education, and will help ACOs achieve cost-savings.</w:t>
      </w:r>
    </w:p>
    <w:p w:rsidR="002C5025" w:rsidRDefault="002C5025">
      <w:pPr>
        <w:pStyle w:val="BodyText"/>
        <w:kinsoku w:val="0"/>
        <w:overflowPunct w:val="0"/>
        <w:rPr>
          <w:sz w:val="24"/>
          <w:szCs w:val="24"/>
        </w:rPr>
      </w:pPr>
    </w:p>
    <w:p w:rsidR="002C5025" w:rsidRDefault="002C5025">
      <w:pPr>
        <w:pStyle w:val="BodyText"/>
        <w:kinsoku w:val="0"/>
        <w:overflowPunct w:val="0"/>
        <w:rPr>
          <w:sz w:val="24"/>
          <w:szCs w:val="24"/>
        </w:rPr>
      </w:pPr>
    </w:p>
    <w:p w:rsidR="002C5025" w:rsidRDefault="002C5025">
      <w:pPr>
        <w:pStyle w:val="BodyText"/>
        <w:kinsoku w:val="0"/>
        <w:overflowPunct w:val="0"/>
        <w:spacing w:before="8"/>
        <w:rPr>
          <w:sz w:val="23"/>
          <w:szCs w:val="23"/>
        </w:rPr>
      </w:pPr>
    </w:p>
    <w:p w:rsidR="002C5025" w:rsidRDefault="002C5025">
      <w:pPr>
        <w:pStyle w:val="BodyText"/>
        <w:kinsoku w:val="0"/>
        <w:overflowPunct w:val="0"/>
        <w:ind w:left="120" w:right="83"/>
        <w:rPr>
          <w:sz w:val="24"/>
          <w:szCs w:val="24"/>
        </w:rPr>
      </w:pPr>
      <w:r>
        <w:rPr>
          <w:sz w:val="24"/>
          <w:szCs w:val="24"/>
          <w:u w:val="single" w:color="000000"/>
        </w:rPr>
        <w:t>Safety Net Providers:</w:t>
      </w:r>
    </w:p>
    <w:p w:rsidR="002C5025" w:rsidRDefault="002C5025">
      <w:pPr>
        <w:pStyle w:val="BodyText"/>
        <w:kinsoku w:val="0"/>
        <w:overflowPunct w:val="0"/>
        <w:ind w:left="119" w:right="83"/>
        <w:rPr>
          <w:sz w:val="24"/>
          <w:szCs w:val="24"/>
        </w:rPr>
      </w:pPr>
      <w:r>
        <w:rPr>
          <w:sz w:val="24"/>
          <w:szCs w:val="24"/>
        </w:rPr>
        <w:t>We appreciate the acknowledgement in the draft waiver extension of the important role that safety net providers play in the MassHealth ecosystem. Caring for the most vulnerable patients in the Commonwealth and achieving the quality goals cited in the waiver will require not only an infusion of DSRIP funds but also reimbursement rates that make it possible for providers to continue to serve these patients. We urge MassHealth to continue to prioritize the viability of safety net providers as you move forward with system transformation and creation of risk- adjustment formulas.</w:t>
      </w:r>
    </w:p>
    <w:p w:rsidR="002C5025" w:rsidRDefault="002C5025">
      <w:pPr>
        <w:pStyle w:val="BodyText"/>
        <w:kinsoku w:val="0"/>
        <w:overflowPunct w:val="0"/>
        <w:spacing w:before="11"/>
        <w:rPr>
          <w:sz w:val="23"/>
          <w:szCs w:val="23"/>
        </w:rPr>
      </w:pPr>
    </w:p>
    <w:p w:rsidR="002C5025" w:rsidRDefault="002C5025">
      <w:pPr>
        <w:pStyle w:val="BodyText"/>
        <w:kinsoku w:val="0"/>
        <w:overflowPunct w:val="0"/>
        <w:spacing w:before="1"/>
        <w:ind w:left="120" w:right="83"/>
        <w:rPr>
          <w:sz w:val="24"/>
          <w:szCs w:val="24"/>
        </w:rPr>
      </w:pPr>
      <w:r>
        <w:rPr>
          <w:sz w:val="24"/>
          <w:szCs w:val="24"/>
          <w:u w:val="single" w:color="000000"/>
        </w:rPr>
        <w:t>Community-based partnerships and linkages to social services</w:t>
      </w:r>
      <w:r>
        <w:rPr>
          <w:sz w:val="24"/>
          <w:szCs w:val="24"/>
        </w:rPr>
        <w:t>:</w:t>
      </w:r>
    </w:p>
    <w:p w:rsidR="002C5025" w:rsidRDefault="002C5025">
      <w:pPr>
        <w:pStyle w:val="BodyText"/>
        <w:kinsoku w:val="0"/>
        <w:overflowPunct w:val="0"/>
        <w:spacing w:before="2"/>
        <w:ind w:left="119" w:right="38"/>
        <w:rPr>
          <w:sz w:val="24"/>
          <w:szCs w:val="24"/>
        </w:rPr>
      </w:pPr>
      <w:r>
        <w:rPr>
          <w:sz w:val="24"/>
          <w:szCs w:val="24"/>
        </w:rPr>
        <w:t>We were hopeful that this waiver application would provide an opportunity to truly address the social determinants of health – those factors that influence health but are outside of the healthcare system – by integrating primary care, behavioral health and access to community- based services that help manage and prevent chronic disease.  We fear that the current proposal falls well short of achieving this goal.</w:t>
      </w:r>
    </w:p>
    <w:p w:rsidR="002C5025" w:rsidRDefault="002C5025">
      <w:pPr>
        <w:pStyle w:val="BodyText"/>
        <w:kinsoku w:val="0"/>
        <w:overflowPunct w:val="0"/>
        <w:spacing w:before="11"/>
        <w:rPr>
          <w:sz w:val="23"/>
          <w:szCs w:val="23"/>
        </w:rPr>
      </w:pPr>
    </w:p>
    <w:p w:rsidR="002C5025" w:rsidRDefault="002C5025">
      <w:pPr>
        <w:pStyle w:val="BodyText"/>
        <w:kinsoku w:val="0"/>
        <w:overflowPunct w:val="0"/>
        <w:spacing w:before="1"/>
        <w:ind w:left="119" w:right="158"/>
        <w:rPr>
          <w:sz w:val="24"/>
          <w:szCs w:val="24"/>
        </w:rPr>
      </w:pPr>
      <w:r>
        <w:rPr>
          <w:sz w:val="24"/>
          <w:szCs w:val="24"/>
        </w:rPr>
        <w:t>We support the concept of direct DSRIP funding for community partners to support existing community based care providers rather than leaving these funds in the control of the ACOs, which could lead to the creation of new, duplicative hospital-based care providers. However, we are concerned that the waiver, in providing DSRIP funds only to ACOs and to Behavioral Health/LTSS Community Partners, misses the opportunity to build-out a system of community- based care that would help keep MassHealth members healthy in their communities. The waiver seems to limit community supports to those with behavioral health or disability-related issues (see page 6). Though these patients may make up a percentage of those who could be defined as high-need, there are many more patients whose social experiences, including poverty, homelessness and emotional trauma, create barriers to maintaining their health and managing chronic disease. While some of these patients may ultimately find a way into the care of the narrowly defined behavioral health/LTSS category, we fear that others will be left out of these enhanced services.</w:t>
      </w:r>
    </w:p>
    <w:p w:rsidR="002C5025" w:rsidRDefault="002C5025">
      <w:pPr>
        <w:pStyle w:val="BodyText"/>
        <w:kinsoku w:val="0"/>
        <w:overflowPunct w:val="0"/>
        <w:spacing w:before="11"/>
        <w:rPr>
          <w:sz w:val="23"/>
          <w:szCs w:val="23"/>
        </w:rPr>
      </w:pPr>
    </w:p>
    <w:p w:rsidR="002C5025" w:rsidRDefault="002C5025">
      <w:pPr>
        <w:pStyle w:val="BodyText"/>
        <w:kinsoku w:val="0"/>
        <w:overflowPunct w:val="0"/>
        <w:spacing w:before="1"/>
        <w:ind w:left="120" w:right="38"/>
        <w:rPr>
          <w:sz w:val="24"/>
          <w:szCs w:val="24"/>
        </w:rPr>
      </w:pPr>
      <w:r>
        <w:rPr>
          <w:sz w:val="24"/>
          <w:szCs w:val="24"/>
        </w:rPr>
        <w:t>Moreover, while the 5-year DSRIP funds will be available to help these patients, without greater definition for how the “flexible funds” will be used, it is entirely possible that they will not be used to build infrastructure to better address the social determinants, but instead will be used as short-term relief of larger problems. Thus, when the one-time “flexible funds” are discontinued at the end of five-year period, there is a risk that there will not be a sustainable system in place for addressing social needs.</w:t>
      </w:r>
    </w:p>
    <w:p w:rsidR="002C5025" w:rsidRDefault="002C5025">
      <w:pPr>
        <w:pStyle w:val="BodyText"/>
        <w:kinsoku w:val="0"/>
        <w:overflowPunct w:val="0"/>
        <w:spacing w:before="11"/>
        <w:rPr>
          <w:sz w:val="23"/>
          <w:szCs w:val="23"/>
        </w:rPr>
      </w:pPr>
    </w:p>
    <w:p w:rsidR="002C5025" w:rsidRDefault="002C5025">
      <w:pPr>
        <w:pStyle w:val="BodyText"/>
        <w:kinsoku w:val="0"/>
        <w:overflowPunct w:val="0"/>
        <w:spacing w:before="1"/>
        <w:ind w:left="120" w:right="83"/>
        <w:rPr>
          <w:sz w:val="24"/>
          <w:szCs w:val="24"/>
        </w:rPr>
      </w:pPr>
      <w:r>
        <w:rPr>
          <w:sz w:val="24"/>
          <w:szCs w:val="24"/>
          <w:u w:val="single" w:color="000000"/>
        </w:rPr>
        <w:t>Behavioral Health Integration</w:t>
      </w:r>
    </w:p>
    <w:p w:rsidR="002C5025" w:rsidRDefault="002C5025">
      <w:pPr>
        <w:pStyle w:val="BodyText"/>
        <w:kinsoku w:val="0"/>
        <w:overflowPunct w:val="0"/>
        <w:spacing w:before="1"/>
        <w:ind w:left="120" w:right="83"/>
        <w:rPr>
          <w:sz w:val="24"/>
          <w:szCs w:val="24"/>
        </w:rPr>
        <w:sectPr w:rsidR="002C5025">
          <w:pgSz w:w="12240" w:h="15840"/>
          <w:pgMar w:top="1400" w:right="1400" w:bottom="280" w:left="1320" w:header="720" w:footer="720" w:gutter="0"/>
          <w:cols w:space="720" w:equalWidth="0">
            <w:col w:w="9520"/>
          </w:cols>
          <w:noEndnote/>
        </w:sectPr>
      </w:pPr>
    </w:p>
    <w:p w:rsidR="002C5025" w:rsidRDefault="002C5025">
      <w:pPr>
        <w:pStyle w:val="BodyText"/>
        <w:kinsoku w:val="0"/>
        <w:overflowPunct w:val="0"/>
        <w:spacing w:before="39"/>
        <w:ind w:left="119" w:right="100"/>
        <w:rPr>
          <w:sz w:val="24"/>
          <w:szCs w:val="24"/>
        </w:rPr>
      </w:pPr>
      <w:r>
        <w:rPr>
          <w:sz w:val="24"/>
          <w:szCs w:val="24"/>
        </w:rPr>
        <w:lastRenderedPageBreak/>
        <w:t>We are supportive of provisions that require further integration of ACOs and Behavioral Health/LTSS care providers through the establishment of formal relationships. At the same time, we remain concerned about whether there will be sufficient financial support to build the infrastructure and systems necessary for care providers to manage risk and effectively share information with ACOs. We know from our experiences coordinating the Prevention and Wellness Trust Program in Boston that linkages between clinical and community-based care must be built and this takes both a commitment of staff time as well as funding for infrastructure. The responsibility for building this infrastructure should not rest solely on the community partners when the entire system will benefit from this investment.</w:t>
      </w:r>
    </w:p>
    <w:p w:rsidR="002C5025" w:rsidRDefault="002C5025">
      <w:pPr>
        <w:pStyle w:val="BodyText"/>
        <w:kinsoku w:val="0"/>
        <w:overflowPunct w:val="0"/>
        <w:spacing w:before="11"/>
        <w:rPr>
          <w:sz w:val="23"/>
          <w:szCs w:val="23"/>
        </w:rPr>
      </w:pPr>
    </w:p>
    <w:p w:rsidR="002C5025" w:rsidRDefault="002C5025">
      <w:pPr>
        <w:pStyle w:val="BodyText"/>
        <w:kinsoku w:val="0"/>
        <w:overflowPunct w:val="0"/>
        <w:spacing w:before="1"/>
        <w:ind w:left="120" w:right="75"/>
        <w:rPr>
          <w:sz w:val="24"/>
          <w:szCs w:val="24"/>
        </w:rPr>
      </w:pPr>
      <w:r>
        <w:rPr>
          <w:sz w:val="24"/>
          <w:szCs w:val="24"/>
        </w:rPr>
        <w:t>We also hope that certification of community partners (CPs) is flexible enough to accommodate the many community-based organizations that are currently serving under-resourced communities in Boston. While it is critical to ensure that CPs meet minimum standards, we remain concerned that some existing organizations, for example those that provide services to special populations such as homeless individuals, will not meet all of the criteria for certification. In setting the bar too high, we risk excluding providers that have intimate knowledge and experience in serving vulnerable populations.</w:t>
      </w:r>
    </w:p>
    <w:p w:rsidR="002C5025" w:rsidRDefault="002C5025">
      <w:pPr>
        <w:pStyle w:val="BodyText"/>
        <w:kinsoku w:val="0"/>
        <w:overflowPunct w:val="0"/>
        <w:spacing w:before="11"/>
        <w:rPr>
          <w:sz w:val="23"/>
          <w:szCs w:val="23"/>
        </w:rPr>
      </w:pPr>
    </w:p>
    <w:p w:rsidR="002C5025" w:rsidRDefault="002C5025">
      <w:pPr>
        <w:pStyle w:val="BodyText"/>
        <w:kinsoku w:val="0"/>
        <w:overflowPunct w:val="0"/>
        <w:spacing w:before="1"/>
        <w:ind w:left="120" w:right="241"/>
        <w:rPr>
          <w:sz w:val="24"/>
          <w:szCs w:val="24"/>
        </w:rPr>
      </w:pPr>
      <w:r>
        <w:rPr>
          <w:sz w:val="24"/>
          <w:szCs w:val="24"/>
          <w:u w:val="single" w:color="000000"/>
        </w:rPr>
        <w:t>Substance Use Disorders (SUD):</w:t>
      </w:r>
    </w:p>
    <w:p w:rsidR="002C5025" w:rsidRDefault="002C5025">
      <w:pPr>
        <w:pStyle w:val="BodyText"/>
        <w:kinsoku w:val="0"/>
        <w:overflowPunct w:val="0"/>
        <w:ind w:left="119" w:right="103"/>
        <w:rPr>
          <w:sz w:val="24"/>
          <w:szCs w:val="24"/>
        </w:rPr>
      </w:pPr>
      <w:r>
        <w:rPr>
          <w:sz w:val="24"/>
          <w:szCs w:val="24"/>
        </w:rPr>
        <w:t>We applaud MassHealth’s commitment and proactive approach to addressing the opioid crisis in the Commonwealth by extending Medicaid to cover additional services and requiring greater integration of behavioral health and primary health care services. As the draft waiver request notes, MassHealth patients are disproportionately impacted by opioid-related morbidity and mortality and would benefit significantly from increased investment in the SUD continuum of care. In our SUD navigation program (PAATHS), we often see individuals who successfully complete detox but are unable find a placement that helps them maintain their sobriety and serve as a bridge to longer-term recovery programs. Thus, we support the decision by MassHealth to expand coverage to for MassHealth patients to include TSS and other services available to individuals who are in need of post-detox services. This proposed change will not only increase access to these critical services, but will also improve continuity of care by ensuring proper hand-off between providers. At the same time, we ask that you take care in implementation to ensure that reimbursement rates are sufficient to enable providers to operate successful programs. As a provider of TSS services, we struggle to maintain high quality care at the rates offered through MDPH’s Bureau of Substance Abuse Services. If the MassHealth rate falls below what is currently offered by MDPH, it will drive down the quality of services provided and have the unintended consequence of reducing rather than increasing the number of providers.</w:t>
      </w:r>
    </w:p>
    <w:p w:rsidR="002C5025" w:rsidRDefault="002C5025">
      <w:pPr>
        <w:pStyle w:val="BodyText"/>
        <w:kinsoku w:val="0"/>
        <w:overflowPunct w:val="0"/>
        <w:spacing w:before="11"/>
        <w:rPr>
          <w:sz w:val="23"/>
          <w:szCs w:val="23"/>
        </w:rPr>
      </w:pPr>
    </w:p>
    <w:p w:rsidR="002C5025" w:rsidRDefault="002C5025">
      <w:pPr>
        <w:pStyle w:val="BodyText"/>
        <w:kinsoku w:val="0"/>
        <w:overflowPunct w:val="0"/>
        <w:spacing w:before="1"/>
        <w:ind w:left="120" w:right="241"/>
        <w:rPr>
          <w:sz w:val="24"/>
          <w:szCs w:val="24"/>
        </w:rPr>
      </w:pPr>
      <w:r>
        <w:rPr>
          <w:sz w:val="24"/>
          <w:szCs w:val="24"/>
          <w:u w:val="single" w:color="000000"/>
        </w:rPr>
        <w:t>Statewide Investments</w:t>
      </w:r>
    </w:p>
    <w:p w:rsidR="002C5025" w:rsidRDefault="002C5025">
      <w:pPr>
        <w:pStyle w:val="BodyText"/>
        <w:kinsoku w:val="0"/>
        <w:overflowPunct w:val="0"/>
        <w:ind w:left="119" w:right="241"/>
        <w:rPr>
          <w:sz w:val="24"/>
          <w:szCs w:val="24"/>
        </w:rPr>
      </w:pPr>
      <w:r>
        <w:rPr>
          <w:sz w:val="24"/>
          <w:szCs w:val="24"/>
        </w:rPr>
        <w:t>We appreciate the plan to invest some DSRIP funds in a statewide system that benefits providers across the state and helps to prepare for the transition to ACOs. In particular, the planned investments in PCP workforce development, training and retention as well as the targeted TA for CHCs to help prepare for ACO participation and execution are critical to ensuring an integrated system.</w:t>
      </w:r>
    </w:p>
    <w:p w:rsidR="002C5025" w:rsidRDefault="002C5025">
      <w:pPr>
        <w:pStyle w:val="BodyText"/>
        <w:kinsoku w:val="0"/>
        <w:overflowPunct w:val="0"/>
        <w:ind w:left="119" w:right="241"/>
        <w:rPr>
          <w:sz w:val="24"/>
          <w:szCs w:val="24"/>
        </w:rPr>
        <w:sectPr w:rsidR="002C5025">
          <w:pgSz w:w="12240" w:h="15840"/>
          <w:pgMar w:top="1400" w:right="1380" w:bottom="280" w:left="1320" w:header="720" w:footer="720" w:gutter="0"/>
          <w:cols w:space="720" w:equalWidth="0">
            <w:col w:w="9540"/>
          </w:cols>
          <w:noEndnote/>
        </w:sectPr>
      </w:pPr>
    </w:p>
    <w:p w:rsidR="002C5025" w:rsidRDefault="002C5025">
      <w:pPr>
        <w:pStyle w:val="BodyText"/>
        <w:kinsoku w:val="0"/>
        <w:overflowPunct w:val="0"/>
        <w:spacing w:before="9"/>
        <w:rPr>
          <w:sz w:val="14"/>
          <w:szCs w:val="14"/>
        </w:rPr>
      </w:pPr>
    </w:p>
    <w:p w:rsidR="002C5025" w:rsidRDefault="002C5025">
      <w:pPr>
        <w:pStyle w:val="BodyText"/>
        <w:kinsoku w:val="0"/>
        <w:overflowPunct w:val="0"/>
        <w:spacing w:before="52"/>
        <w:ind w:left="340" w:right="235"/>
        <w:rPr>
          <w:sz w:val="24"/>
          <w:szCs w:val="24"/>
        </w:rPr>
      </w:pPr>
      <w:r>
        <w:rPr>
          <w:sz w:val="24"/>
          <w:szCs w:val="24"/>
          <w:u w:val="single" w:color="000000"/>
        </w:rPr>
        <w:t>Primary Care:</w:t>
      </w:r>
    </w:p>
    <w:p w:rsidR="002C5025" w:rsidRDefault="002C5025">
      <w:pPr>
        <w:pStyle w:val="BodyText"/>
        <w:kinsoku w:val="0"/>
        <w:overflowPunct w:val="0"/>
        <w:ind w:left="339" w:right="67"/>
        <w:rPr>
          <w:sz w:val="24"/>
          <w:szCs w:val="24"/>
        </w:rPr>
      </w:pPr>
      <w:r>
        <w:rPr>
          <w:sz w:val="24"/>
          <w:szCs w:val="24"/>
        </w:rPr>
        <w:t>While we are strong supporters of the move to alternative payment models that pay for improved health instead of volume of care, we are concerned that ACO activities/initiatives will be driven by the financial goals and objectives of hospitals who will lead most MassHealth ACOs in Boston at the expense of Boston's unusually robust workforce of providers who provide primary care to MassHealth-insured residents. This could result, for example, in PCPs due to attrition or to movement to clinics that do not serve MassHealth patients. To counter this, we recommend that MassHealth consider stronger inclusion of primary care and prevention metrics (i.e. vs. tertiary care-centric metrics) in the quality measurements, ACO rules which require a strong leadership role for primary care providers and perhaps a requirement that promotes inclusion of providers that are certified Health Homes in the ACO network.</w:t>
      </w:r>
    </w:p>
    <w:p w:rsidR="002C5025" w:rsidRDefault="002C5025">
      <w:pPr>
        <w:pStyle w:val="BodyText"/>
        <w:kinsoku w:val="0"/>
        <w:overflowPunct w:val="0"/>
        <w:spacing w:before="11"/>
        <w:rPr>
          <w:sz w:val="23"/>
          <w:szCs w:val="23"/>
        </w:rPr>
      </w:pPr>
    </w:p>
    <w:p w:rsidR="002C5025" w:rsidRDefault="002C5025">
      <w:pPr>
        <w:pStyle w:val="BodyText"/>
        <w:kinsoku w:val="0"/>
        <w:overflowPunct w:val="0"/>
        <w:spacing w:before="1"/>
        <w:ind w:left="339" w:right="179"/>
        <w:rPr>
          <w:sz w:val="24"/>
          <w:szCs w:val="24"/>
        </w:rPr>
      </w:pPr>
      <w:r>
        <w:rPr>
          <w:sz w:val="24"/>
          <w:szCs w:val="24"/>
        </w:rPr>
        <w:t>We appreciate the chance to offer our thoughts on a member-centered health delivery system that includes attention to the social determinants of health and better linkages to behavioral health supports. We thank you for your consideration and your leadership on this matter and are eager to collaborate with you to help ensure members have access to integrated, comprehensive, and accessible whole-person care.</w:t>
      </w:r>
    </w:p>
    <w:p w:rsidR="002C5025" w:rsidRDefault="002C5025">
      <w:pPr>
        <w:pStyle w:val="BodyText"/>
        <w:kinsoku w:val="0"/>
        <w:overflowPunct w:val="0"/>
        <w:spacing w:before="11"/>
        <w:rPr>
          <w:sz w:val="23"/>
          <w:szCs w:val="23"/>
        </w:rPr>
      </w:pPr>
    </w:p>
    <w:p w:rsidR="002C5025" w:rsidRDefault="00FB027C">
      <w:pPr>
        <w:pStyle w:val="BodyText"/>
        <w:kinsoku w:val="0"/>
        <w:overflowPunct w:val="0"/>
        <w:spacing w:before="1"/>
        <w:ind w:left="340" w:right="235"/>
        <w:rPr>
          <w:sz w:val="24"/>
          <w:szCs w:val="24"/>
        </w:rPr>
      </w:pPr>
      <w:r>
        <w:rPr>
          <w:noProof/>
        </w:rPr>
        <mc:AlternateContent>
          <mc:Choice Requires="wps">
            <w:drawing>
              <wp:anchor distT="0" distB="0" distL="114300" distR="114300" simplePos="0" relativeHeight="251540992" behindDoc="1" locked="0" layoutInCell="0" allowOverlap="1">
                <wp:simplePos x="0" y="0"/>
                <wp:positionH relativeFrom="page">
                  <wp:posOffset>771525</wp:posOffset>
                </wp:positionH>
                <wp:positionV relativeFrom="paragraph">
                  <wp:posOffset>259080</wp:posOffset>
                </wp:positionV>
                <wp:extent cx="1066800" cy="495300"/>
                <wp:effectExtent l="0" t="0" r="0" b="0"/>
                <wp:wrapNone/>
                <wp:docPr id="793" name="Rectangle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780" w:lineRule="atLeast"/>
                            </w:pPr>
                            <w:r>
                              <w:rPr>
                                <w:noProof/>
                              </w:rPr>
                              <w:drawing>
                                <wp:inline distT="0" distB="0" distL="0" distR="0">
                                  <wp:extent cx="1066800" cy="4953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066800" cy="495300"/>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2" o:spid="_x0000_s1145" style="position:absolute;left:0;text-align:left;margin-left:60.75pt;margin-top:20.4pt;width:84pt;height:39pt;z-index:-251775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" o:allowincell="f" filled="f" stroked="f">
                <v:textbox inset="0,0,0,0">
                  <w:txbxContent>
                    <w:p w:rsidR="007B2B7B" w:rsidRDefault="007B2B7B">
                      <w:pPr>
                        <w:widowControl/>
                        <w:autoSpaceDE/>
                        <w:autoSpaceDN/>
                        <w:adjustRightInd/>
                        <w:spacing w:line="780" w:lineRule="atLeast"/>
                      </w:pPr>
                      <w:r>
                        <w:rPr>
                          <w:noProof/>
                        </w:rPr>
                        <w:drawing>
                          <wp:inline distT="0" distB="0" distL="0" distR="0">
                            <wp:extent cx="1066800" cy="4953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066800" cy="495300"/>
                                    </a:xfrm>
                                    <a:prstGeom prst="rect">
                                      <a:avLst/>
                                    </a:prstGeom>
                                    <a:noFill/>
                                    <a:ln>
                                      <a:noFill/>
                                    </a:ln>
                                  </pic:spPr>
                                </pic:pic>
                              </a:graphicData>
                            </a:graphic>
                          </wp:inline>
                        </w:drawing>
                      </w:r>
                    </w:p>
                    <w:p w:rsidR="007B2B7B" w:rsidRDefault="007B2B7B"/>
                  </w:txbxContent>
                </v:textbox>
                <w10:wrap anchorx="page"/>
              </v:rect>
            </w:pict>
          </mc:Fallback>
        </mc:AlternateContent>
      </w:r>
      <w:r w:rsidR="002C5025">
        <w:rPr>
          <w:sz w:val="24"/>
          <w:szCs w:val="24"/>
        </w:rPr>
        <w:t>Sincerely,</w:t>
      </w:r>
    </w:p>
    <w:p w:rsidR="002C5025" w:rsidRDefault="002C5025">
      <w:pPr>
        <w:pStyle w:val="BodyText"/>
        <w:kinsoku w:val="0"/>
        <w:overflowPunct w:val="0"/>
        <w:rPr>
          <w:sz w:val="24"/>
          <w:szCs w:val="24"/>
        </w:rPr>
      </w:pPr>
    </w:p>
    <w:p w:rsidR="002C5025" w:rsidRDefault="002C5025">
      <w:pPr>
        <w:pStyle w:val="BodyText"/>
        <w:kinsoku w:val="0"/>
        <w:overflowPunct w:val="0"/>
        <w:rPr>
          <w:sz w:val="24"/>
          <w:szCs w:val="24"/>
        </w:rPr>
      </w:pPr>
    </w:p>
    <w:p w:rsidR="002C5025" w:rsidRDefault="002C5025">
      <w:pPr>
        <w:pStyle w:val="BodyText"/>
        <w:kinsoku w:val="0"/>
        <w:overflowPunct w:val="0"/>
        <w:spacing w:before="11"/>
        <w:rPr>
          <w:sz w:val="23"/>
          <w:szCs w:val="23"/>
        </w:rPr>
      </w:pPr>
    </w:p>
    <w:p w:rsidR="002C5025" w:rsidRDefault="002C5025">
      <w:pPr>
        <w:pStyle w:val="BodyText"/>
        <w:kinsoku w:val="0"/>
        <w:overflowPunct w:val="0"/>
        <w:ind w:left="339" w:right="5686"/>
        <w:rPr>
          <w:sz w:val="24"/>
          <w:szCs w:val="24"/>
        </w:rPr>
      </w:pPr>
      <w:r>
        <w:rPr>
          <w:sz w:val="24"/>
          <w:szCs w:val="24"/>
        </w:rPr>
        <w:t xml:space="preserve">Monica Valdes </w:t>
      </w:r>
      <w:proofErr w:type="spellStart"/>
      <w:r>
        <w:rPr>
          <w:sz w:val="24"/>
          <w:szCs w:val="24"/>
        </w:rPr>
        <w:t>Lupi</w:t>
      </w:r>
      <w:proofErr w:type="spellEnd"/>
      <w:r>
        <w:rPr>
          <w:sz w:val="24"/>
          <w:szCs w:val="24"/>
        </w:rPr>
        <w:t>, JD, MPH Executive Director</w:t>
      </w:r>
    </w:p>
    <w:p w:rsidR="002C5025" w:rsidRDefault="002C5025">
      <w:pPr>
        <w:pStyle w:val="BodyText"/>
        <w:kinsoku w:val="0"/>
        <w:overflowPunct w:val="0"/>
        <w:ind w:left="339" w:right="5686"/>
        <w:rPr>
          <w:sz w:val="24"/>
          <w:szCs w:val="24"/>
        </w:rPr>
        <w:sectPr w:rsidR="002C5025">
          <w:pgSz w:w="12240" w:h="15840"/>
          <w:pgMar w:top="1500" w:right="1380" w:bottom="280" w:left="1100" w:header="720" w:footer="720" w:gutter="0"/>
          <w:cols w:space="720" w:equalWidth="0">
            <w:col w:w="9760"/>
          </w:cols>
          <w:noEndnote/>
        </w:sectPr>
      </w:pPr>
    </w:p>
    <w:p w:rsidR="002C5025" w:rsidRDefault="002C5025">
      <w:pPr>
        <w:pStyle w:val="BodyText"/>
        <w:kinsoku w:val="0"/>
        <w:overflowPunct w:val="0"/>
        <w:spacing w:before="37"/>
        <w:ind w:left="120" w:right="296"/>
      </w:pPr>
      <w:bookmarkStart w:id="67" w:name="Brian_Coppola_Personal_Response"/>
      <w:bookmarkEnd w:id="67"/>
      <w:r>
        <w:lastRenderedPageBreak/>
        <w:t>To Whomever It May Concern:</w:t>
      </w:r>
    </w:p>
    <w:p w:rsidR="002C5025" w:rsidRDefault="002C5025">
      <w:pPr>
        <w:pStyle w:val="BodyText"/>
        <w:kinsoku w:val="0"/>
        <w:overflowPunct w:val="0"/>
      </w:pPr>
    </w:p>
    <w:p w:rsidR="002C5025" w:rsidRDefault="002C5025">
      <w:pPr>
        <w:pStyle w:val="BodyText"/>
        <w:kinsoku w:val="0"/>
        <w:overflowPunct w:val="0"/>
        <w:ind w:left="120" w:right="186"/>
      </w:pPr>
      <w:r>
        <w:t>It is with great regret that I was unable to attend any of the formal listening sessions that you had going on during the month of June, due to other commitments that I had to attend to, however, there are comments that I would like to submit at this time.</w:t>
      </w:r>
    </w:p>
    <w:p w:rsidR="002C5025" w:rsidRDefault="002C5025">
      <w:pPr>
        <w:pStyle w:val="BodyText"/>
        <w:kinsoku w:val="0"/>
        <w:overflowPunct w:val="0"/>
        <w:spacing w:before="10"/>
        <w:rPr>
          <w:sz w:val="21"/>
          <w:szCs w:val="21"/>
        </w:rPr>
      </w:pPr>
    </w:p>
    <w:p w:rsidR="002C5025" w:rsidRDefault="002C5025">
      <w:pPr>
        <w:pStyle w:val="BodyText"/>
        <w:kinsoku w:val="0"/>
        <w:overflowPunct w:val="0"/>
        <w:ind w:left="119" w:right="108"/>
      </w:pPr>
      <w:r>
        <w:t xml:space="preserve">First of all, as it relates to behavioral health, as said before, for those who are blind or have other transportation related matters due to the fact that one, through no choice of their own cannot obtain a driver’s license due to a disability that prevents them from doing so, as it relates to behavioral health and transportation to and from psychiatric/psychology appointments, including psychotherapy, and medication management appointments, as it is at the time, under the current Pt1 system for medical transportation, people on MassHealth or CommonHealth can only get medical transportation when prescribed by a doctor to a MassHealth or CommonHealth provider, who accepts either one of these insurances, however, if someone who is transportation disabled goes to a provider who does not accept MassHealth or CommonHealth, but, only accepts Medicare or some other insurance, than even through a </w:t>
      </w:r>
      <w:proofErr w:type="spellStart"/>
      <w:r>
        <w:t>pt</w:t>
      </w:r>
      <w:proofErr w:type="spellEnd"/>
      <w:r>
        <w:t xml:space="preserve"> 1 such person cannot get medical transportation to and from the facility. This rule has to change to allow for an exception to this policy in order to allow for those who are blind or have other disabilities that prevent them from getting an automobile license to be allowed to get </w:t>
      </w:r>
      <w:proofErr w:type="spellStart"/>
      <w:r>
        <w:t>pt</w:t>
      </w:r>
      <w:proofErr w:type="spellEnd"/>
      <w:r>
        <w:t xml:space="preserve"> 1 medical transportation coverage to and from behavioral health facilities when a blind person or a disabled person who cannot get a driver’s license is either enrolled in MassHealth or CommonHealth. The reasons following dictate so. 1. To take a taxi to and from such behavioral health facility such as a psychiatrists office or a psychologist office can be quite expensive, and you and I know that people who receive MassHealth are on fixed incomes, but, yet, an automobile is required to get to these appointments, as often times public transportation is either unavailable in the vicinity of the area of the appointment or is in conflict in schedule to the time the person has to arrive at the appointment and wait to either leave or go back. 2. The issue of paratransit requires that one who needs to go to said facilities requires one to book the trip either one day in advance or several days in advance. Now this obviously includes round trips, and said paratransit does not allow for “will calls,” when an appointment is completed. Instead, said complementary paratransit will either have the patient schedule a drop off time or a pick-up time, thus, depending on the time when the appointment starts and end, can incur long wait times. This does not put someone on an equal playing field to those who do not have any disabilities that would preclude them from full enjoyment of the privilege of having a driver’s license, thus, meaning, while a blind person cannot drive a car, a person with let’s say, a certain type of walking problem, with the appropriate accommodations would be able to obtain and enjoy the privilege of being able to maintain full autonomy via a driver’s license. Thus, making exceptions to the Pt 1 rules, policies and regulations, would otherwise allow for those with transportation related disabilities such as blindness or deaf/blindness to be able to have full autonomy just the same as other non-transportation handicapped individuals in the Commonwealth of Massachusetts do enjoy, and doing such would greatly enhance the quality and quantity of life, as also you and I both know, failure for one to obtain a driver’s license, due to its privilege nature does not in itself deem someone to be incompetent to take care of themselves and maintain full</w:t>
      </w:r>
      <w:r>
        <w:rPr>
          <w:spacing w:val="-11"/>
        </w:rPr>
        <w:t xml:space="preserve"> </w:t>
      </w:r>
      <w:r>
        <w:t>autonomy.</w:t>
      </w:r>
    </w:p>
    <w:p w:rsidR="002C5025" w:rsidRDefault="002C5025">
      <w:pPr>
        <w:pStyle w:val="BodyText"/>
        <w:kinsoku w:val="0"/>
        <w:overflowPunct w:val="0"/>
      </w:pPr>
    </w:p>
    <w:p w:rsidR="002C5025" w:rsidRDefault="002C5025">
      <w:pPr>
        <w:pStyle w:val="BodyText"/>
        <w:kinsoku w:val="0"/>
        <w:overflowPunct w:val="0"/>
        <w:ind w:left="119" w:right="91"/>
      </w:pPr>
      <w:r>
        <w:t>As to other issues related to behavioral health, while I am not a psychiatrist or a psychologist and don’t even pretend to be, given all of the mass shootings that had taken place most recently, MassHealth, CommonHealth and also Medicare, also need to provide better quality mental health services. Even if such means paying for voluntary or involuntary commitment to a psychiatric hospital inpatient care for a thorough psychological and psychiatric evaluations or re-evaluations for periods of up to 30 days and that mental health services need to be covered based upon those treatment plans that had been made</w:t>
      </w:r>
    </w:p>
    <w:p w:rsidR="002C5025" w:rsidRDefault="002C5025">
      <w:pPr>
        <w:pStyle w:val="BodyText"/>
        <w:kinsoku w:val="0"/>
        <w:overflowPunct w:val="0"/>
        <w:ind w:left="119" w:right="91"/>
        <w:sectPr w:rsidR="002C5025">
          <w:pgSz w:w="12240" w:h="15840"/>
          <w:pgMar w:top="1400" w:right="1340" w:bottom="280" w:left="1320" w:header="720" w:footer="720" w:gutter="0"/>
          <w:cols w:space="720" w:equalWidth="0">
            <w:col w:w="9580"/>
          </w:cols>
          <w:noEndnote/>
        </w:sectPr>
      </w:pPr>
    </w:p>
    <w:p w:rsidR="002C5025" w:rsidRDefault="002C5025">
      <w:pPr>
        <w:pStyle w:val="BodyText"/>
        <w:kinsoku w:val="0"/>
        <w:overflowPunct w:val="0"/>
        <w:spacing w:before="37"/>
        <w:ind w:left="119" w:right="86"/>
      </w:pPr>
      <w:r>
        <w:lastRenderedPageBreak/>
        <w:t>while the person was in hospital for first evaluation or subsequent re-evaluation. As it is, our right to be safe, it is also our responsibility to tend to situations that may make it unsafe for self or others in our community. Thus, to extend beyond just mass shootings, as you are aware, you have elders living longer, and in some cases, some elders do experience dementia, such as Alzheimer’s disease. Although I am neither a doctor or an expert on the topic, the researched literature that I had looked into even web</w:t>
      </w:r>
    </w:p>
    <w:p w:rsidR="002C5025" w:rsidRDefault="002C5025">
      <w:pPr>
        <w:pStyle w:val="BodyText"/>
        <w:kinsoku w:val="0"/>
        <w:overflowPunct w:val="0"/>
        <w:ind w:left="119" w:right="134"/>
      </w:pPr>
      <w:r>
        <w:t>M.D do suggest that for some people in the middle stages of the progression of the disease can become aggressive or even hostile and violent, but, yet, the caregiver calls the doctor of the patient or loved one so being affected by the disease and tells the doctor of the aggression, hostility or other changes in behavior, such as from calm to violence, these professionals do advise the caregivers of their loved ones to keep them home with them and have the caregiver observe the violent behaviors themselves.</w:t>
      </w:r>
    </w:p>
    <w:p w:rsidR="002C5025" w:rsidRDefault="002C5025">
      <w:pPr>
        <w:pStyle w:val="BodyText"/>
        <w:kinsoku w:val="0"/>
        <w:overflowPunct w:val="0"/>
      </w:pPr>
    </w:p>
    <w:p w:rsidR="002C5025" w:rsidRDefault="002C5025">
      <w:pPr>
        <w:pStyle w:val="BodyText"/>
        <w:kinsoku w:val="0"/>
        <w:overflowPunct w:val="0"/>
        <w:ind w:left="119" w:right="138"/>
      </w:pPr>
      <w:r>
        <w:t>Common sense alone tells me to be weary of such advice and practice as one must also factor in that the caregiver may also be the parent of a minor child who is too little to understand what is going on or why the little one may had become, let’s say for example, permanently disabled as a result of the patient’s hostility or violent behavior that had resulted from said dementia. It is at this point that I urge that both MassHealth and CommonHealth also engage in lobbying activity that would place a law on the books in Massachusetts that says that when a patient suffering from dementia’s doctor becomes aware of such hostility or violence taking place, that such doctor must have involuntarily committed to a psychiatric hospital or facility, a patient with such dementia for a period of no more than 20 days and that upon such evaluation or re-evaluation, said clinicians performing said psychiatric and psychological evaluations at said psychiatric hospital or facility must give a report to the patient’s doctor, their caregiver and the patient’s healthcare proxy as at that point in dementia, said patient does not even know that he/she is acting aggressively and violently or in a hostile manner. Contained in such reports should also include a treatment plan to deal with such troublesome behaviors and or whether or not any treatment plan will be capable of working, and if a treatment plan is working, outline in said reports situations that may trigger the hostility, aggression or violence. This can be observed in a psychiatric facility just as well as at home, by having a psychiatrist and psychologist and a mental health specialist who is more professionally trained in dealing with such situations as to what triggers the behaviors and what does not based on different situations and</w:t>
      </w:r>
      <w:r>
        <w:rPr>
          <w:spacing w:val="-18"/>
        </w:rPr>
        <w:t xml:space="preserve"> </w:t>
      </w:r>
      <w:r>
        <w:t>scenarios.</w:t>
      </w:r>
    </w:p>
    <w:p w:rsidR="002C5025" w:rsidRDefault="002C5025">
      <w:pPr>
        <w:pStyle w:val="BodyText"/>
        <w:kinsoku w:val="0"/>
        <w:overflowPunct w:val="0"/>
      </w:pPr>
    </w:p>
    <w:p w:rsidR="002C5025" w:rsidRDefault="002C5025">
      <w:pPr>
        <w:pStyle w:val="BodyText"/>
        <w:kinsoku w:val="0"/>
        <w:overflowPunct w:val="0"/>
        <w:ind w:left="118" w:right="110"/>
      </w:pPr>
      <w:r>
        <w:t>With this information, the caregiver can better predict and better be able to prevent or have such situations avoided or call a family meeting to decide whether or not it is time to put such patient with dementia into a long term facility, such as an assistive living program specializing in patients with Alzheimer’s disease or even a nursing home. If a long term care facility outside of the community is warranted for said person with dementia, this brings to mind the estate recovery act so mandated by the federal government that compels states to recover the costs of such long term care, such as nursing home care. In commenting on this issue, I’d like to comment and suggest that this estate recovery act be reviewed and updated to make some exceptions as to the changes or exceptions that may need to be made to the rule. Let’s say for instance, the demented patient and their son owns real property together as joint owners, and let’s say it is the son’s mother. She is the one affected by the dementia, which in turn affects in a harmful way her son who is caring for her, his wife or even their children. Now, the mother passes away. Even though the mother may have not known what she was doing while she was alive and suffering from the middle stages of Alzheimer’s disease, and it was said upon evaluation by all clinicians involved, that it would be in the son’s and mother’s best interest to place the mother in a nursing home. The exception should be here, that said estate recovery for the long term care should come from any assets that she has besides the house that she owns with her son and that when all assets, with the exception of the house has been collected for recovery of the long term care has been done, this shall be deemed to be as long term care expenses has been recovered. If the</w:t>
      </w:r>
      <w:r>
        <w:rPr>
          <w:spacing w:val="-32"/>
        </w:rPr>
        <w:t xml:space="preserve"> </w:t>
      </w:r>
      <w:r>
        <w:t>deceased</w:t>
      </w:r>
    </w:p>
    <w:p w:rsidR="002C5025" w:rsidRDefault="002C5025">
      <w:pPr>
        <w:pStyle w:val="BodyText"/>
        <w:kinsoku w:val="0"/>
        <w:overflowPunct w:val="0"/>
        <w:ind w:left="118" w:right="110"/>
        <w:sectPr w:rsidR="002C5025">
          <w:pgSz w:w="12240" w:h="15840"/>
          <w:pgMar w:top="1400" w:right="1340" w:bottom="280" w:left="1320" w:header="720" w:footer="720" w:gutter="0"/>
          <w:cols w:space="720"/>
          <w:noEndnote/>
        </w:sectPr>
      </w:pPr>
    </w:p>
    <w:p w:rsidR="002C5025" w:rsidRDefault="002C5025">
      <w:pPr>
        <w:pStyle w:val="BodyText"/>
        <w:kinsoku w:val="0"/>
        <w:overflowPunct w:val="0"/>
        <w:spacing w:before="37"/>
        <w:ind w:left="100" w:right="187"/>
      </w:pPr>
      <w:r>
        <w:lastRenderedPageBreak/>
        <w:t>mother has no assets at the time of her passing, n estate recovery for such long term care should take place, unless, during her care, the son who was caring for his mother acted abusive and in a violent way towards her while he was taking care of her.</w:t>
      </w:r>
    </w:p>
    <w:p w:rsidR="002C5025" w:rsidRDefault="002C5025">
      <w:pPr>
        <w:pStyle w:val="BodyText"/>
        <w:kinsoku w:val="0"/>
        <w:overflowPunct w:val="0"/>
      </w:pPr>
    </w:p>
    <w:p w:rsidR="002C5025" w:rsidRDefault="002C5025">
      <w:pPr>
        <w:pStyle w:val="BodyText"/>
        <w:kinsoku w:val="0"/>
        <w:overflowPunct w:val="0"/>
        <w:ind w:left="100" w:right="115"/>
        <w:jc w:val="both"/>
      </w:pPr>
      <w:r>
        <w:t>I hope that you will take a serious look at these comments here as you deliberate as to what policies and procedures that you may put in place. If you have any questions, please do not hesitate to contact me at 508 265-5099. I look forward to what comes out of your careful deliberations as you proceed forward.</w:t>
      </w:r>
    </w:p>
    <w:p w:rsidR="002C5025" w:rsidRDefault="002C5025">
      <w:pPr>
        <w:pStyle w:val="BodyText"/>
        <w:kinsoku w:val="0"/>
        <w:overflowPunct w:val="0"/>
        <w:ind w:left="100" w:right="327"/>
      </w:pPr>
      <w:r>
        <w:t>Have a nice day.</w:t>
      </w:r>
    </w:p>
    <w:p w:rsidR="002C5025" w:rsidRDefault="002C5025">
      <w:pPr>
        <w:pStyle w:val="BodyText"/>
        <w:kinsoku w:val="0"/>
        <w:overflowPunct w:val="0"/>
      </w:pPr>
    </w:p>
    <w:p w:rsidR="002C5025" w:rsidRDefault="002C5025">
      <w:pPr>
        <w:pStyle w:val="BodyText"/>
        <w:kinsoku w:val="0"/>
        <w:overflowPunct w:val="0"/>
        <w:ind w:left="100" w:right="327"/>
      </w:pPr>
      <w:r>
        <w:t>With Warm Regards,</w:t>
      </w:r>
    </w:p>
    <w:p w:rsidR="002C5025" w:rsidRDefault="002C5025">
      <w:pPr>
        <w:pStyle w:val="BodyText"/>
        <w:kinsoku w:val="0"/>
        <w:overflowPunct w:val="0"/>
        <w:spacing w:before="2" w:line="268" w:lineRule="exact"/>
        <w:ind w:left="100" w:right="327"/>
        <w:rPr>
          <w:rFonts w:ascii="Brush Script MT" w:hAnsi="Brush Script MT" w:cs="Brush Script MT"/>
          <w:i/>
          <w:iCs/>
        </w:rPr>
      </w:pPr>
      <w:r>
        <w:rPr>
          <w:rFonts w:ascii="Brush Script MT" w:hAnsi="Brush Script MT" w:cs="Brush Script MT"/>
          <w:i/>
          <w:iCs/>
        </w:rPr>
        <w:t>Brian J. Coppola</w:t>
      </w:r>
    </w:p>
    <w:p w:rsidR="002C5025" w:rsidRDefault="002C5025">
      <w:pPr>
        <w:pStyle w:val="BodyText"/>
        <w:kinsoku w:val="0"/>
        <w:overflowPunct w:val="0"/>
        <w:spacing w:line="267" w:lineRule="exact"/>
        <w:ind w:left="100" w:right="327"/>
      </w:pPr>
      <w:r>
        <w:t>Brian J. Coppola</w:t>
      </w:r>
    </w:p>
    <w:p w:rsidR="002C5025" w:rsidRDefault="002C5025">
      <w:pPr>
        <w:pStyle w:val="BodyText"/>
        <w:kinsoku w:val="0"/>
        <w:overflowPunct w:val="0"/>
        <w:spacing w:line="267" w:lineRule="exact"/>
        <w:ind w:left="100" w:right="327"/>
        <w:sectPr w:rsidR="002C5025">
          <w:pgSz w:w="12240" w:h="15840"/>
          <w:pgMar w:top="1400" w:right="1340" w:bottom="280" w:left="1340" w:header="720" w:footer="720" w:gutter="0"/>
          <w:cols w:space="720" w:equalWidth="0">
            <w:col w:w="9560"/>
          </w:cols>
          <w:noEndnote/>
        </w:sectPr>
      </w:pPr>
    </w:p>
    <w:p w:rsidR="002C5025" w:rsidRDefault="002C5025">
      <w:pPr>
        <w:pStyle w:val="BodyText"/>
        <w:kinsoku w:val="0"/>
        <w:overflowPunct w:val="0"/>
        <w:spacing w:before="39"/>
        <w:ind w:left="120" w:right="296"/>
        <w:rPr>
          <w:rFonts w:ascii="Tahoma" w:hAnsi="Tahoma" w:cs="Tahoma"/>
          <w:sz w:val="20"/>
          <w:szCs w:val="20"/>
        </w:rPr>
      </w:pPr>
      <w:bookmarkStart w:id="68" w:name="Carole_Upshur_Department_of_Family_Medic"/>
      <w:bookmarkStart w:id="69" w:name="From:_May,_John_(EHS)__Sent:_Tuesday,_Ju"/>
      <w:bookmarkEnd w:id="68"/>
      <w:bookmarkEnd w:id="69"/>
      <w:r>
        <w:rPr>
          <w:rFonts w:ascii="Tahoma" w:hAnsi="Tahoma" w:cs="Tahoma"/>
          <w:b/>
          <w:bCs/>
          <w:sz w:val="20"/>
          <w:szCs w:val="20"/>
        </w:rPr>
        <w:lastRenderedPageBreak/>
        <w:t xml:space="preserve">From: </w:t>
      </w:r>
      <w:r>
        <w:rPr>
          <w:rFonts w:ascii="Tahoma" w:hAnsi="Tahoma" w:cs="Tahoma"/>
          <w:sz w:val="20"/>
          <w:szCs w:val="20"/>
        </w:rPr>
        <w:t>May, John (EHS)</w:t>
      </w:r>
    </w:p>
    <w:p w:rsidR="002C5025" w:rsidRDefault="002C5025">
      <w:pPr>
        <w:pStyle w:val="BodyText"/>
        <w:kinsoku w:val="0"/>
        <w:overflowPunct w:val="0"/>
        <w:spacing w:before="1" w:line="241" w:lineRule="exact"/>
        <w:ind w:left="120" w:right="296"/>
        <w:rPr>
          <w:rFonts w:ascii="Tahoma" w:hAnsi="Tahoma" w:cs="Tahoma"/>
          <w:sz w:val="20"/>
          <w:szCs w:val="20"/>
        </w:rPr>
      </w:pPr>
      <w:r>
        <w:rPr>
          <w:rFonts w:ascii="Tahoma" w:hAnsi="Tahoma" w:cs="Tahoma"/>
          <w:b/>
          <w:bCs/>
          <w:sz w:val="20"/>
          <w:szCs w:val="20"/>
        </w:rPr>
        <w:t xml:space="preserve">Sent: </w:t>
      </w:r>
      <w:r>
        <w:rPr>
          <w:rFonts w:ascii="Tahoma" w:hAnsi="Tahoma" w:cs="Tahoma"/>
          <w:sz w:val="20"/>
          <w:szCs w:val="20"/>
        </w:rPr>
        <w:t>Tuesday, June 28, 2016 10:22 AM</w:t>
      </w:r>
    </w:p>
    <w:p w:rsidR="002C5025" w:rsidRDefault="002C5025">
      <w:pPr>
        <w:pStyle w:val="BodyText"/>
        <w:kinsoku w:val="0"/>
        <w:overflowPunct w:val="0"/>
        <w:spacing w:line="241" w:lineRule="exact"/>
        <w:ind w:left="120" w:right="296"/>
        <w:rPr>
          <w:rFonts w:ascii="Tahoma" w:hAnsi="Tahoma" w:cs="Tahoma"/>
          <w:sz w:val="20"/>
          <w:szCs w:val="20"/>
        </w:rPr>
      </w:pPr>
      <w:r>
        <w:rPr>
          <w:rFonts w:ascii="Tahoma" w:hAnsi="Tahoma" w:cs="Tahoma"/>
          <w:b/>
          <w:bCs/>
          <w:sz w:val="20"/>
          <w:szCs w:val="20"/>
        </w:rPr>
        <w:t xml:space="preserve">To: </w:t>
      </w:r>
      <w:r>
        <w:rPr>
          <w:rFonts w:ascii="Tahoma" w:hAnsi="Tahoma" w:cs="Tahoma"/>
          <w:sz w:val="20"/>
          <w:szCs w:val="20"/>
        </w:rPr>
        <w:t>Tierney, Laxmi (EHS)</w:t>
      </w:r>
    </w:p>
    <w:p w:rsidR="002C5025" w:rsidRDefault="002C5025">
      <w:pPr>
        <w:pStyle w:val="BodyText"/>
        <w:kinsoku w:val="0"/>
        <w:overflowPunct w:val="0"/>
        <w:spacing w:before="1"/>
        <w:ind w:left="120" w:right="296"/>
        <w:rPr>
          <w:rFonts w:ascii="Tahoma" w:hAnsi="Tahoma" w:cs="Tahoma"/>
          <w:sz w:val="20"/>
          <w:szCs w:val="20"/>
        </w:rPr>
      </w:pPr>
      <w:r>
        <w:rPr>
          <w:rFonts w:ascii="Tahoma" w:hAnsi="Tahoma" w:cs="Tahoma"/>
          <w:b/>
          <w:bCs/>
          <w:sz w:val="20"/>
          <w:szCs w:val="20"/>
        </w:rPr>
        <w:t xml:space="preserve">Subject: </w:t>
      </w:r>
      <w:r>
        <w:rPr>
          <w:rFonts w:ascii="Tahoma" w:hAnsi="Tahoma" w:cs="Tahoma"/>
          <w:sz w:val="20"/>
          <w:szCs w:val="20"/>
        </w:rPr>
        <w:t>FW: Information for tomorrow's MCAC and PPAB meeting</w:t>
      </w:r>
    </w:p>
    <w:p w:rsidR="002C5025" w:rsidRDefault="002C5025">
      <w:pPr>
        <w:pStyle w:val="BodyText"/>
        <w:kinsoku w:val="0"/>
        <w:overflowPunct w:val="0"/>
        <w:spacing w:before="11"/>
        <w:rPr>
          <w:rFonts w:ascii="Tahoma" w:hAnsi="Tahoma" w:cs="Tahoma"/>
          <w:sz w:val="21"/>
          <w:szCs w:val="21"/>
        </w:rPr>
      </w:pPr>
    </w:p>
    <w:p w:rsidR="002C5025" w:rsidRDefault="002C5025">
      <w:pPr>
        <w:pStyle w:val="BodyText"/>
        <w:kinsoku w:val="0"/>
        <w:overflowPunct w:val="0"/>
        <w:ind w:left="120" w:right="296"/>
        <w:rPr>
          <w:color w:val="1F497D"/>
        </w:rPr>
      </w:pPr>
      <w:r>
        <w:rPr>
          <w:color w:val="1F497D"/>
        </w:rPr>
        <w:t>Hi Laxmi,</w:t>
      </w:r>
    </w:p>
    <w:p w:rsidR="002C5025" w:rsidRDefault="002C5025">
      <w:pPr>
        <w:pStyle w:val="BodyText"/>
        <w:kinsoku w:val="0"/>
        <w:overflowPunct w:val="0"/>
      </w:pPr>
    </w:p>
    <w:p w:rsidR="002C5025" w:rsidRDefault="002C5025">
      <w:pPr>
        <w:pStyle w:val="BodyText"/>
        <w:kinsoku w:val="0"/>
        <w:overflowPunct w:val="0"/>
        <w:spacing w:line="480" w:lineRule="auto"/>
        <w:ind w:left="120" w:right="2612"/>
        <w:rPr>
          <w:color w:val="1F497D"/>
        </w:rPr>
      </w:pPr>
      <w:r>
        <w:rPr>
          <w:color w:val="1F497D"/>
        </w:rPr>
        <w:t>FYI – Here is some feedback on the waiver proposal from an MCAC member. John</w:t>
      </w:r>
    </w:p>
    <w:p w:rsidR="002C5025" w:rsidRDefault="002C5025">
      <w:pPr>
        <w:pStyle w:val="BodyText"/>
        <w:kinsoku w:val="0"/>
        <w:overflowPunct w:val="0"/>
        <w:spacing w:before="3" w:line="241" w:lineRule="exact"/>
        <w:ind w:left="120" w:right="296"/>
        <w:rPr>
          <w:rFonts w:ascii="Tahoma" w:hAnsi="Tahoma" w:cs="Tahoma"/>
          <w:color w:val="000000"/>
          <w:sz w:val="20"/>
          <w:szCs w:val="20"/>
        </w:rPr>
      </w:pPr>
      <w:bookmarkStart w:id="70" w:name="From:_Upshur,_Carole_[30TUmailto:Carole."/>
      <w:bookmarkEnd w:id="70"/>
      <w:r>
        <w:rPr>
          <w:rFonts w:ascii="Tahoma" w:hAnsi="Tahoma" w:cs="Tahoma"/>
          <w:b/>
          <w:bCs/>
          <w:sz w:val="20"/>
          <w:szCs w:val="20"/>
        </w:rPr>
        <w:t xml:space="preserve">From: </w:t>
      </w:r>
      <w:r>
        <w:rPr>
          <w:rFonts w:ascii="Tahoma" w:hAnsi="Tahoma" w:cs="Tahoma"/>
          <w:sz w:val="20"/>
          <w:szCs w:val="20"/>
        </w:rPr>
        <w:t>Upshur, Carole [</w:t>
      </w:r>
      <w:hyperlink r:id="rId150" w:history="1">
        <w:r>
          <w:rPr>
            <w:rFonts w:ascii="Tahoma" w:hAnsi="Tahoma" w:cs="Tahoma"/>
            <w:color w:val="0000FF"/>
            <w:sz w:val="20"/>
            <w:szCs w:val="20"/>
            <w:u w:val="single"/>
          </w:rPr>
          <w:t>mailto:Carole.Upshur@umassmed.edu</w:t>
        </w:r>
      </w:hyperlink>
      <w:r>
        <w:rPr>
          <w:rFonts w:ascii="Tahoma" w:hAnsi="Tahoma" w:cs="Tahoma"/>
          <w:color w:val="000000"/>
          <w:sz w:val="20"/>
          <w:szCs w:val="20"/>
        </w:rPr>
        <w:t>]</w:t>
      </w:r>
    </w:p>
    <w:p w:rsidR="002C5025" w:rsidRDefault="002C5025">
      <w:pPr>
        <w:pStyle w:val="BodyText"/>
        <w:kinsoku w:val="0"/>
        <w:overflowPunct w:val="0"/>
        <w:spacing w:line="241" w:lineRule="exact"/>
        <w:ind w:left="120" w:right="296"/>
        <w:rPr>
          <w:rFonts w:ascii="Tahoma" w:hAnsi="Tahoma" w:cs="Tahoma"/>
          <w:sz w:val="20"/>
          <w:szCs w:val="20"/>
        </w:rPr>
      </w:pPr>
      <w:r>
        <w:rPr>
          <w:rFonts w:ascii="Tahoma" w:hAnsi="Tahoma" w:cs="Tahoma"/>
          <w:b/>
          <w:bCs/>
          <w:sz w:val="20"/>
          <w:szCs w:val="20"/>
        </w:rPr>
        <w:t xml:space="preserve">Sent: </w:t>
      </w:r>
      <w:r>
        <w:rPr>
          <w:rFonts w:ascii="Tahoma" w:hAnsi="Tahoma" w:cs="Tahoma"/>
          <w:sz w:val="20"/>
          <w:szCs w:val="20"/>
        </w:rPr>
        <w:t>Monday, June 27, 2016 9:34 AM</w:t>
      </w:r>
    </w:p>
    <w:p w:rsidR="002C5025" w:rsidRDefault="002C5025">
      <w:pPr>
        <w:pStyle w:val="BodyText"/>
        <w:kinsoku w:val="0"/>
        <w:overflowPunct w:val="0"/>
        <w:spacing w:before="1" w:line="241" w:lineRule="exact"/>
        <w:ind w:left="120" w:right="296"/>
        <w:rPr>
          <w:rFonts w:ascii="Tahoma" w:hAnsi="Tahoma" w:cs="Tahoma"/>
          <w:sz w:val="20"/>
          <w:szCs w:val="20"/>
        </w:rPr>
      </w:pPr>
      <w:r>
        <w:rPr>
          <w:rFonts w:ascii="Tahoma" w:hAnsi="Tahoma" w:cs="Tahoma"/>
          <w:b/>
          <w:bCs/>
          <w:sz w:val="20"/>
          <w:szCs w:val="20"/>
        </w:rPr>
        <w:t xml:space="preserve">To: </w:t>
      </w:r>
      <w:r>
        <w:rPr>
          <w:rFonts w:ascii="Tahoma" w:hAnsi="Tahoma" w:cs="Tahoma"/>
          <w:sz w:val="20"/>
          <w:szCs w:val="20"/>
        </w:rPr>
        <w:t>May, John (EHS)</w:t>
      </w:r>
    </w:p>
    <w:p w:rsidR="002C5025" w:rsidRDefault="002C5025">
      <w:pPr>
        <w:pStyle w:val="BodyText"/>
        <w:kinsoku w:val="0"/>
        <w:overflowPunct w:val="0"/>
        <w:spacing w:line="241" w:lineRule="exact"/>
        <w:ind w:left="120" w:right="296"/>
        <w:rPr>
          <w:rFonts w:ascii="Tahoma" w:hAnsi="Tahoma" w:cs="Tahoma"/>
          <w:sz w:val="20"/>
          <w:szCs w:val="20"/>
        </w:rPr>
      </w:pPr>
      <w:r>
        <w:rPr>
          <w:rFonts w:ascii="Tahoma" w:hAnsi="Tahoma" w:cs="Tahoma"/>
          <w:b/>
          <w:bCs/>
          <w:sz w:val="20"/>
          <w:szCs w:val="20"/>
        </w:rPr>
        <w:t xml:space="preserve">Subject: </w:t>
      </w:r>
      <w:r>
        <w:rPr>
          <w:rFonts w:ascii="Tahoma" w:hAnsi="Tahoma" w:cs="Tahoma"/>
          <w:sz w:val="20"/>
          <w:szCs w:val="20"/>
        </w:rPr>
        <w:t>RE: Information for tomorrow's MCAC and PPAB meeting</w:t>
      </w:r>
    </w:p>
    <w:p w:rsidR="002C5025" w:rsidRDefault="002C5025">
      <w:pPr>
        <w:pStyle w:val="BodyText"/>
        <w:kinsoku w:val="0"/>
        <w:overflowPunct w:val="0"/>
        <w:spacing w:before="1"/>
        <w:rPr>
          <w:rFonts w:ascii="Tahoma" w:hAnsi="Tahoma" w:cs="Tahoma"/>
        </w:rPr>
      </w:pPr>
    </w:p>
    <w:p w:rsidR="002C5025" w:rsidRDefault="002C5025">
      <w:pPr>
        <w:pStyle w:val="BodyText"/>
        <w:kinsoku w:val="0"/>
        <w:overflowPunct w:val="0"/>
        <w:spacing w:before="1"/>
        <w:ind w:left="120" w:right="296"/>
        <w:rPr>
          <w:color w:val="1F497D"/>
        </w:rPr>
      </w:pPr>
      <w:r>
        <w:rPr>
          <w:color w:val="1F497D"/>
        </w:rPr>
        <w:t>Hi John,</w:t>
      </w:r>
    </w:p>
    <w:p w:rsidR="002C5025" w:rsidRDefault="002C5025">
      <w:pPr>
        <w:pStyle w:val="BodyText"/>
        <w:kinsoku w:val="0"/>
        <w:overflowPunct w:val="0"/>
      </w:pPr>
    </w:p>
    <w:p w:rsidR="002C5025" w:rsidRDefault="002C5025">
      <w:pPr>
        <w:pStyle w:val="BodyText"/>
        <w:kinsoku w:val="0"/>
        <w:overflowPunct w:val="0"/>
        <w:ind w:left="119" w:right="215"/>
        <w:rPr>
          <w:color w:val="1F497D"/>
        </w:rPr>
      </w:pPr>
      <w:r>
        <w:rPr>
          <w:color w:val="1F497D"/>
        </w:rPr>
        <w:t>I went through the materials sent last week. Sorry I missed the hearing. I am not enough up on the financials issues from vendor perspectives to discuss the downsides, but I will say that the conversation about created better integration and more management of care has been going on for years. I have always been in support of that, including more behavioral health integration since my whole career has been spent in documenting evidence based interventions for behavioral health integration in primary care.</w:t>
      </w:r>
    </w:p>
    <w:p w:rsidR="002C5025" w:rsidRDefault="002C5025">
      <w:pPr>
        <w:pStyle w:val="BodyText"/>
        <w:kinsoku w:val="0"/>
        <w:overflowPunct w:val="0"/>
      </w:pPr>
    </w:p>
    <w:p w:rsidR="002C5025" w:rsidRDefault="002C5025">
      <w:pPr>
        <w:pStyle w:val="BodyText"/>
        <w:kinsoku w:val="0"/>
        <w:overflowPunct w:val="0"/>
        <w:ind w:left="119" w:right="96"/>
        <w:rPr>
          <w:color w:val="1F497D"/>
        </w:rPr>
      </w:pPr>
      <w:r>
        <w:rPr>
          <w:color w:val="1F497D"/>
        </w:rPr>
        <w:t>I do hope the waiver moves forward in the direction outlined and I do believe it will result in cost savings and more efficiencies in the Medicaid program.</w:t>
      </w:r>
    </w:p>
    <w:p w:rsidR="002C5025" w:rsidRDefault="002C5025">
      <w:pPr>
        <w:pStyle w:val="BodyText"/>
        <w:kinsoku w:val="0"/>
        <w:overflowPunct w:val="0"/>
      </w:pPr>
    </w:p>
    <w:p w:rsidR="002C5025" w:rsidRDefault="002C5025">
      <w:pPr>
        <w:pStyle w:val="BodyText"/>
        <w:kinsoku w:val="0"/>
        <w:overflowPunct w:val="0"/>
        <w:ind w:left="119" w:right="296"/>
        <w:rPr>
          <w:color w:val="1F497D"/>
        </w:rPr>
      </w:pPr>
      <w:r>
        <w:rPr>
          <w:color w:val="1F497D"/>
        </w:rPr>
        <w:t>Carole</w:t>
      </w:r>
    </w:p>
    <w:p w:rsidR="002C5025" w:rsidRDefault="002C5025">
      <w:pPr>
        <w:pStyle w:val="BodyText"/>
        <w:kinsoku w:val="0"/>
        <w:overflowPunct w:val="0"/>
        <w:spacing w:before="10"/>
        <w:rPr>
          <w:sz w:val="21"/>
          <w:szCs w:val="21"/>
        </w:rPr>
      </w:pPr>
    </w:p>
    <w:p w:rsidR="002C5025" w:rsidRDefault="002C5025">
      <w:pPr>
        <w:pStyle w:val="BodyText"/>
        <w:kinsoku w:val="0"/>
        <w:overflowPunct w:val="0"/>
        <w:ind w:left="119" w:right="2395"/>
        <w:rPr>
          <w:color w:val="1F497D"/>
        </w:rPr>
      </w:pPr>
      <w:r>
        <w:rPr>
          <w:color w:val="1F497D"/>
        </w:rPr>
        <w:t xml:space="preserve">Carole Upshur, </w:t>
      </w:r>
      <w:proofErr w:type="spellStart"/>
      <w:r>
        <w:rPr>
          <w:color w:val="1F497D"/>
        </w:rPr>
        <w:t>EdD</w:t>
      </w:r>
      <w:proofErr w:type="spellEnd"/>
      <w:r>
        <w:rPr>
          <w:color w:val="1F497D"/>
        </w:rPr>
        <w:t>, Professor, Director of Research Training and Development Department of Family Medicine and Community Health</w:t>
      </w:r>
    </w:p>
    <w:p w:rsidR="002C5025" w:rsidRDefault="002C5025">
      <w:pPr>
        <w:pStyle w:val="BodyText"/>
        <w:kinsoku w:val="0"/>
        <w:overflowPunct w:val="0"/>
        <w:ind w:left="119" w:right="5527"/>
        <w:rPr>
          <w:color w:val="1F497D"/>
        </w:rPr>
      </w:pPr>
      <w:r>
        <w:rPr>
          <w:color w:val="1F497D"/>
        </w:rPr>
        <w:t>University of Massachusetts Medical School 55 Lake Avenue North</w:t>
      </w:r>
    </w:p>
    <w:p w:rsidR="002C5025" w:rsidRDefault="002C5025">
      <w:pPr>
        <w:pStyle w:val="BodyText"/>
        <w:kinsoku w:val="0"/>
        <w:overflowPunct w:val="0"/>
        <w:ind w:left="119" w:right="7531"/>
        <w:rPr>
          <w:color w:val="1F497D"/>
        </w:rPr>
      </w:pPr>
      <w:r>
        <w:rPr>
          <w:color w:val="1F497D"/>
        </w:rPr>
        <w:t>Worcester MA 01655 Benedict A3-232</w:t>
      </w:r>
    </w:p>
    <w:p w:rsidR="002C5025" w:rsidRDefault="002C5025">
      <w:pPr>
        <w:pStyle w:val="BodyText"/>
        <w:kinsoku w:val="0"/>
        <w:overflowPunct w:val="0"/>
        <w:ind w:left="119" w:right="296"/>
        <w:rPr>
          <w:color w:val="1F497D"/>
        </w:rPr>
      </w:pPr>
      <w:r>
        <w:rPr>
          <w:color w:val="1F497D"/>
        </w:rPr>
        <w:t>774-443-7267 (DFMCH) OR</w:t>
      </w:r>
    </w:p>
    <w:p w:rsidR="002C5025" w:rsidRDefault="002C5025">
      <w:pPr>
        <w:pStyle w:val="BodyText"/>
        <w:kinsoku w:val="0"/>
        <w:overflowPunct w:val="0"/>
        <w:spacing w:line="267" w:lineRule="exact"/>
        <w:ind w:left="119" w:right="296"/>
        <w:rPr>
          <w:color w:val="1F497D"/>
        </w:rPr>
      </w:pPr>
      <w:r>
        <w:rPr>
          <w:color w:val="1F497D"/>
        </w:rPr>
        <w:t>Fax: 774--441-6212</w:t>
      </w:r>
    </w:p>
    <w:p w:rsidR="002C5025" w:rsidRDefault="002C5025">
      <w:pPr>
        <w:pStyle w:val="BodyText"/>
        <w:kinsoku w:val="0"/>
        <w:overflowPunct w:val="0"/>
        <w:spacing w:line="274" w:lineRule="exact"/>
        <w:ind w:left="120" w:right="296"/>
        <w:rPr>
          <w:rFonts w:ascii="Times New Roman" w:hAnsi="Times New Roman" w:cs="Times New Roman"/>
          <w:i/>
          <w:iCs/>
          <w:color w:val="1F497D"/>
          <w:sz w:val="24"/>
          <w:szCs w:val="24"/>
        </w:rPr>
      </w:pPr>
      <w:r>
        <w:rPr>
          <w:rFonts w:ascii="Times New Roman" w:hAnsi="Times New Roman" w:cs="Times New Roman"/>
          <w:i/>
          <w:iCs/>
          <w:color w:val="1F497D"/>
          <w:sz w:val="24"/>
          <w:szCs w:val="24"/>
          <w:u w:val="single"/>
        </w:rPr>
        <w:t>Confidentiality Notice:</w:t>
      </w:r>
    </w:p>
    <w:p w:rsidR="002C5025" w:rsidRDefault="002C5025">
      <w:pPr>
        <w:pStyle w:val="BodyText"/>
        <w:kinsoku w:val="0"/>
        <w:overflowPunct w:val="0"/>
        <w:ind w:left="120" w:right="181"/>
        <w:rPr>
          <w:rFonts w:ascii="Times New Roman" w:hAnsi="Times New Roman" w:cs="Times New Roman"/>
          <w:i/>
          <w:iCs/>
          <w:color w:val="1F497D"/>
          <w:sz w:val="24"/>
          <w:szCs w:val="24"/>
        </w:rPr>
      </w:pPr>
      <w:r>
        <w:rPr>
          <w:rFonts w:ascii="Times New Roman" w:hAnsi="Times New Roman" w:cs="Times New Roman"/>
          <w:i/>
          <w:iCs/>
          <w:color w:val="1F497D"/>
          <w:sz w:val="24"/>
          <w:szCs w:val="24"/>
        </w:rPr>
        <w:t>This e-mail message, including any attachments, is for the sole use of the intended recipient(s) and may contain confidential, proprietary and privileged information. Any unauthorized review, use, disclosure or distribution is prohibited. If you are not the intended recipient, please contact the sender immediately and destroy or permanently delete all copies of the original message.</w:t>
      </w:r>
    </w:p>
    <w:p w:rsidR="002C5025" w:rsidRDefault="002C5025">
      <w:pPr>
        <w:pStyle w:val="BodyText"/>
        <w:kinsoku w:val="0"/>
        <w:overflowPunct w:val="0"/>
        <w:spacing w:before="9"/>
        <w:rPr>
          <w:rFonts w:ascii="Times New Roman" w:hAnsi="Times New Roman" w:cs="Times New Roman"/>
          <w:i/>
          <w:iCs/>
          <w:sz w:val="23"/>
          <w:szCs w:val="23"/>
        </w:rPr>
      </w:pPr>
    </w:p>
    <w:p w:rsidR="002C5025" w:rsidRDefault="002C5025">
      <w:pPr>
        <w:pStyle w:val="BodyText"/>
        <w:kinsoku w:val="0"/>
        <w:overflowPunct w:val="0"/>
        <w:ind w:left="120" w:right="296"/>
        <w:rPr>
          <w:rFonts w:ascii="Tahoma" w:hAnsi="Tahoma" w:cs="Tahoma"/>
          <w:color w:val="000000"/>
          <w:sz w:val="20"/>
          <w:szCs w:val="20"/>
        </w:rPr>
      </w:pPr>
      <w:bookmarkStart w:id="71" w:name="From:_May,_John_(EHS)_[30TUmailto:John.M"/>
      <w:bookmarkEnd w:id="71"/>
      <w:r>
        <w:rPr>
          <w:rFonts w:ascii="Tahoma" w:hAnsi="Tahoma" w:cs="Tahoma"/>
          <w:b/>
          <w:bCs/>
          <w:sz w:val="20"/>
          <w:szCs w:val="20"/>
        </w:rPr>
        <w:t xml:space="preserve">From: </w:t>
      </w:r>
      <w:r>
        <w:rPr>
          <w:rFonts w:ascii="Tahoma" w:hAnsi="Tahoma" w:cs="Tahoma"/>
          <w:sz w:val="20"/>
          <w:szCs w:val="20"/>
        </w:rPr>
        <w:t>May, John (EHS) [</w:t>
      </w:r>
      <w:hyperlink r:id="rId151" w:history="1">
        <w:r>
          <w:rPr>
            <w:rFonts w:ascii="Tahoma" w:hAnsi="Tahoma" w:cs="Tahoma"/>
            <w:color w:val="0000FF"/>
            <w:sz w:val="20"/>
            <w:szCs w:val="20"/>
            <w:u w:val="single"/>
          </w:rPr>
          <w:t>mailto:John.May@MassMail.State.MA.US</w:t>
        </w:r>
      </w:hyperlink>
      <w:r>
        <w:rPr>
          <w:rFonts w:ascii="Tahoma" w:hAnsi="Tahoma" w:cs="Tahoma"/>
          <w:color w:val="000000"/>
          <w:sz w:val="20"/>
          <w:szCs w:val="20"/>
        </w:rPr>
        <w:t>]</w:t>
      </w:r>
    </w:p>
    <w:p w:rsidR="002C5025" w:rsidRDefault="002C5025">
      <w:pPr>
        <w:pStyle w:val="BodyText"/>
        <w:kinsoku w:val="0"/>
        <w:overflowPunct w:val="0"/>
        <w:spacing w:before="1"/>
        <w:ind w:left="120" w:right="296"/>
        <w:rPr>
          <w:rFonts w:ascii="Tahoma" w:hAnsi="Tahoma" w:cs="Tahoma"/>
          <w:sz w:val="20"/>
          <w:szCs w:val="20"/>
        </w:rPr>
      </w:pPr>
      <w:r>
        <w:rPr>
          <w:rFonts w:ascii="Tahoma" w:hAnsi="Tahoma" w:cs="Tahoma"/>
          <w:b/>
          <w:bCs/>
          <w:sz w:val="20"/>
          <w:szCs w:val="20"/>
        </w:rPr>
        <w:t xml:space="preserve">Sent: </w:t>
      </w:r>
      <w:r>
        <w:rPr>
          <w:rFonts w:ascii="Tahoma" w:hAnsi="Tahoma" w:cs="Tahoma"/>
          <w:sz w:val="20"/>
          <w:szCs w:val="20"/>
        </w:rPr>
        <w:t>Thursday, June 23, 2016 3:13 PM</w:t>
      </w:r>
    </w:p>
    <w:p w:rsidR="002C5025" w:rsidRDefault="002C5025">
      <w:pPr>
        <w:pStyle w:val="BodyText"/>
        <w:kinsoku w:val="0"/>
        <w:overflowPunct w:val="0"/>
        <w:spacing w:before="1"/>
        <w:ind w:left="120" w:right="188"/>
        <w:rPr>
          <w:rFonts w:ascii="Tahoma" w:hAnsi="Tahoma" w:cs="Tahoma"/>
          <w:color w:val="000000"/>
          <w:sz w:val="20"/>
          <w:szCs w:val="20"/>
        </w:rPr>
      </w:pPr>
      <w:r>
        <w:rPr>
          <w:rFonts w:ascii="Tahoma" w:hAnsi="Tahoma" w:cs="Tahoma"/>
          <w:b/>
          <w:bCs/>
          <w:sz w:val="20"/>
          <w:szCs w:val="20"/>
        </w:rPr>
        <w:t xml:space="preserve">To: </w:t>
      </w:r>
      <w:r>
        <w:rPr>
          <w:rFonts w:ascii="Tahoma" w:hAnsi="Tahoma" w:cs="Tahoma"/>
          <w:sz w:val="20"/>
          <w:szCs w:val="20"/>
        </w:rPr>
        <w:t>Tsai, Daniel (EHS); Dunbar-Hester, Anna (EHS); Elizabeth Funk (</w:t>
      </w:r>
      <w:hyperlink r:id="rId152" w:history="1">
        <w:r>
          <w:rPr>
            <w:rFonts w:ascii="Tahoma" w:hAnsi="Tahoma" w:cs="Tahoma"/>
            <w:color w:val="0000FF"/>
            <w:sz w:val="20"/>
            <w:szCs w:val="20"/>
            <w:u w:val="single"/>
          </w:rPr>
          <w:t>BettyFunk@rcn.com</w:t>
        </w:r>
      </w:hyperlink>
      <w:r>
        <w:rPr>
          <w:rFonts w:ascii="Tahoma" w:hAnsi="Tahoma" w:cs="Tahoma"/>
          <w:color w:val="000000"/>
          <w:sz w:val="20"/>
          <w:szCs w:val="20"/>
        </w:rPr>
        <w:t xml:space="preserve">); 'Joanne.Cox@childrens.harvard.edu'; Kate </w:t>
      </w:r>
      <w:proofErr w:type="spellStart"/>
      <w:r>
        <w:rPr>
          <w:rFonts w:ascii="Tahoma" w:hAnsi="Tahoma" w:cs="Tahoma"/>
          <w:color w:val="000000"/>
          <w:sz w:val="20"/>
          <w:szCs w:val="20"/>
        </w:rPr>
        <w:t>Holahan</w:t>
      </w:r>
      <w:proofErr w:type="spellEnd"/>
      <w:r>
        <w:rPr>
          <w:rFonts w:ascii="Tahoma" w:hAnsi="Tahoma" w:cs="Tahoma"/>
          <w:color w:val="000000"/>
          <w:sz w:val="20"/>
          <w:szCs w:val="20"/>
        </w:rPr>
        <w:t xml:space="preserve">; Spooner, Paul; Richard </w:t>
      </w:r>
      <w:proofErr w:type="spellStart"/>
      <w:r>
        <w:rPr>
          <w:rFonts w:ascii="Tahoma" w:hAnsi="Tahoma" w:cs="Tahoma"/>
          <w:color w:val="000000"/>
          <w:sz w:val="20"/>
          <w:szCs w:val="20"/>
        </w:rPr>
        <w:t>Dropski</w:t>
      </w:r>
      <w:proofErr w:type="spellEnd"/>
      <w:r>
        <w:rPr>
          <w:rFonts w:ascii="Tahoma" w:hAnsi="Tahoma" w:cs="Tahoma"/>
          <w:color w:val="000000"/>
          <w:sz w:val="20"/>
          <w:szCs w:val="20"/>
        </w:rPr>
        <w:t xml:space="preserve">; Suzanne Curry; Upshur, Carole; </w:t>
      </w:r>
      <w:proofErr w:type="spellStart"/>
      <w:r>
        <w:rPr>
          <w:rFonts w:ascii="Tahoma" w:hAnsi="Tahoma" w:cs="Tahoma"/>
          <w:color w:val="000000"/>
          <w:sz w:val="20"/>
          <w:szCs w:val="20"/>
        </w:rPr>
        <w:t>Vicker</w:t>
      </w:r>
      <w:proofErr w:type="spellEnd"/>
      <w:r>
        <w:rPr>
          <w:rFonts w:ascii="Tahoma" w:hAnsi="Tahoma" w:cs="Tahoma"/>
          <w:color w:val="000000"/>
          <w:sz w:val="20"/>
          <w:szCs w:val="20"/>
        </w:rPr>
        <w:t xml:space="preserve"> V. DiGravio (</w:t>
      </w:r>
      <w:hyperlink r:id="rId153" w:history="1">
        <w:r>
          <w:rPr>
            <w:rFonts w:ascii="Tahoma" w:hAnsi="Tahoma" w:cs="Tahoma"/>
            <w:color w:val="0000FF"/>
            <w:sz w:val="20"/>
            <w:szCs w:val="20"/>
            <w:u w:val="single"/>
          </w:rPr>
          <w:t>vdigravio@abhmass.org</w:t>
        </w:r>
      </w:hyperlink>
      <w:r>
        <w:rPr>
          <w:rFonts w:ascii="Tahoma" w:hAnsi="Tahoma" w:cs="Tahoma"/>
          <w:color w:val="000000"/>
          <w:sz w:val="20"/>
          <w:szCs w:val="20"/>
        </w:rPr>
        <w:t>); McHale, Dan; Matteodo, David; Sherman,</w:t>
      </w:r>
    </w:p>
    <w:p w:rsidR="002C5025" w:rsidRDefault="002C5025">
      <w:pPr>
        <w:pStyle w:val="BodyText"/>
        <w:kinsoku w:val="0"/>
        <w:overflowPunct w:val="0"/>
        <w:spacing w:before="1"/>
        <w:ind w:left="120" w:right="188"/>
        <w:rPr>
          <w:rFonts w:ascii="Tahoma" w:hAnsi="Tahoma" w:cs="Tahoma"/>
          <w:color w:val="000000"/>
          <w:sz w:val="20"/>
          <w:szCs w:val="20"/>
        </w:rPr>
        <w:sectPr w:rsidR="002C5025">
          <w:pgSz w:w="12240" w:h="15840"/>
          <w:pgMar w:top="1400" w:right="1340" w:bottom="280" w:left="1320" w:header="720" w:footer="720" w:gutter="0"/>
          <w:cols w:space="720" w:equalWidth="0">
            <w:col w:w="9580"/>
          </w:cols>
          <w:noEndnote/>
        </w:sectPr>
      </w:pPr>
    </w:p>
    <w:p w:rsidR="002C5025" w:rsidRDefault="002C5025">
      <w:pPr>
        <w:pStyle w:val="BodyText"/>
        <w:kinsoku w:val="0"/>
        <w:overflowPunct w:val="0"/>
        <w:spacing w:before="39"/>
        <w:ind w:left="120" w:right="100"/>
        <w:rPr>
          <w:rFonts w:ascii="Tahoma" w:hAnsi="Tahoma" w:cs="Tahoma"/>
          <w:color w:val="000000"/>
          <w:sz w:val="20"/>
          <w:szCs w:val="20"/>
        </w:rPr>
      </w:pPr>
      <w:r>
        <w:rPr>
          <w:rFonts w:ascii="Tahoma" w:hAnsi="Tahoma" w:cs="Tahoma"/>
          <w:sz w:val="20"/>
          <w:szCs w:val="20"/>
        </w:rPr>
        <w:lastRenderedPageBreak/>
        <w:t xml:space="preserve">Elissa; </w:t>
      </w:r>
      <w:proofErr w:type="spellStart"/>
      <w:r>
        <w:rPr>
          <w:rFonts w:ascii="Tahoma" w:hAnsi="Tahoma" w:cs="Tahoma"/>
          <w:sz w:val="20"/>
          <w:szCs w:val="20"/>
        </w:rPr>
        <w:t>Nordahl</w:t>
      </w:r>
      <w:proofErr w:type="spellEnd"/>
      <w:r>
        <w:rPr>
          <w:rFonts w:ascii="Tahoma" w:hAnsi="Tahoma" w:cs="Tahoma"/>
          <w:sz w:val="20"/>
          <w:szCs w:val="20"/>
        </w:rPr>
        <w:t>, Kate; Kramer, Marilyn (CHIA); Mark Reynolds (</w:t>
      </w:r>
      <w:hyperlink r:id="rId154" w:history="1">
        <w:r>
          <w:rPr>
            <w:rFonts w:ascii="Tahoma" w:hAnsi="Tahoma" w:cs="Tahoma"/>
            <w:color w:val="0000FF"/>
            <w:sz w:val="20"/>
            <w:szCs w:val="20"/>
            <w:u w:val="single"/>
          </w:rPr>
          <w:t>MReynolds@rmf.harvard.edu</w:t>
        </w:r>
      </w:hyperlink>
      <w:r>
        <w:rPr>
          <w:rFonts w:ascii="Tahoma" w:hAnsi="Tahoma" w:cs="Tahoma"/>
          <w:color w:val="000000"/>
          <w:sz w:val="20"/>
          <w:szCs w:val="20"/>
        </w:rPr>
        <w:t xml:space="preserve">); </w:t>
      </w:r>
      <w:proofErr w:type="spellStart"/>
      <w:r>
        <w:rPr>
          <w:rFonts w:ascii="Tahoma" w:hAnsi="Tahoma" w:cs="Tahoma"/>
          <w:color w:val="000000"/>
          <w:sz w:val="20"/>
          <w:szCs w:val="20"/>
        </w:rPr>
        <w:t>Edraos</w:t>
      </w:r>
      <w:proofErr w:type="spellEnd"/>
      <w:r>
        <w:rPr>
          <w:rFonts w:ascii="Tahoma" w:hAnsi="Tahoma" w:cs="Tahoma"/>
          <w:color w:val="000000"/>
          <w:sz w:val="20"/>
          <w:szCs w:val="20"/>
        </w:rPr>
        <w:t xml:space="preserve">, Pat; Kelleher, Patricia; </w:t>
      </w:r>
      <w:hyperlink r:id="rId155" w:history="1">
        <w:r>
          <w:rPr>
            <w:rFonts w:ascii="Tahoma" w:hAnsi="Tahoma" w:cs="Tahoma"/>
            <w:color w:val="0000FF"/>
            <w:sz w:val="20"/>
            <w:szCs w:val="20"/>
            <w:u w:val="single"/>
          </w:rPr>
          <w:t>raymond.mccarthy@baystatehealth.org</w:t>
        </w:r>
      </w:hyperlink>
      <w:r>
        <w:rPr>
          <w:rFonts w:ascii="Tahoma" w:hAnsi="Tahoma" w:cs="Tahoma"/>
          <w:color w:val="000000"/>
          <w:sz w:val="20"/>
          <w:szCs w:val="20"/>
        </w:rPr>
        <w:t xml:space="preserve">; Robert </w:t>
      </w:r>
      <w:proofErr w:type="spellStart"/>
      <w:r>
        <w:rPr>
          <w:rFonts w:ascii="Tahoma" w:hAnsi="Tahoma" w:cs="Tahoma"/>
          <w:color w:val="000000"/>
          <w:sz w:val="20"/>
          <w:szCs w:val="20"/>
        </w:rPr>
        <w:t>LeBow</w:t>
      </w:r>
      <w:proofErr w:type="spellEnd"/>
      <w:r>
        <w:rPr>
          <w:rFonts w:ascii="Tahoma" w:hAnsi="Tahoma" w:cs="Tahoma"/>
          <w:color w:val="000000"/>
          <w:sz w:val="20"/>
          <w:szCs w:val="20"/>
        </w:rPr>
        <w:t xml:space="preserve"> (</w:t>
      </w:r>
      <w:hyperlink r:id="rId156" w:history="1">
        <w:r>
          <w:rPr>
            <w:rFonts w:ascii="Tahoma" w:hAnsi="Tahoma" w:cs="Tahoma"/>
            <w:color w:val="0000FF"/>
            <w:sz w:val="20"/>
            <w:szCs w:val="20"/>
            <w:u w:val="single"/>
          </w:rPr>
          <w:t>robertlebow@yahoo.com</w:t>
        </w:r>
      </w:hyperlink>
      <w:r>
        <w:rPr>
          <w:rFonts w:ascii="Tahoma" w:hAnsi="Tahoma" w:cs="Tahoma"/>
          <w:color w:val="000000"/>
          <w:sz w:val="20"/>
          <w:szCs w:val="20"/>
        </w:rPr>
        <w:t>); Robert Moran (</w:t>
      </w:r>
      <w:hyperlink r:id="rId157" w:history="1">
        <w:r>
          <w:rPr>
            <w:rFonts w:ascii="Tahoma" w:hAnsi="Tahoma" w:cs="Tahoma"/>
            <w:color w:val="0000FF"/>
            <w:sz w:val="20"/>
            <w:szCs w:val="20"/>
            <w:u w:val="single"/>
          </w:rPr>
          <w:t>moran87@charter.net</w:t>
        </w:r>
      </w:hyperlink>
      <w:r>
        <w:rPr>
          <w:rFonts w:ascii="Tahoma" w:hAnsi="Tahoma" w:cs="Tahoma"/>
          <w:color w:val="000000"/>
          <w:sz w:val="20"/>
          <w:szCs w:val="20"/>
        </w:rPr>
        <w:t>); Lit, Susan; Gregorio, Tara</w:t>
      </w:r>
    </w:p>
    <w:p w:rsidR="002C5025" w:rsidRDefault="002C5025">
      <w:pPr>
        <w:pStyle w:val="BodyText"/>
        <w:kinsoku w:val="0"/>
        <w:overflowPunct w:val="0"/>
        <w:spacing w:before="1" w:line="241" w:lineRule="exact"/>
        <w:ind w:left="120" w:right="296"/>
        <w:rPr>
          <w:rFonts w:ascii="Tahoma" w:hAnsi="Tahoma" w:cs="Tahoma"/>
          <w:sz w:val="20"/>
          <w:szCs w:val="20"/>
        </w:rPr>
      </w:pPr>
      <w:r>
        <w:rPr>
          <w:rFonts w:ascii="Tahoma" w:hAnsi="Tahoma" w:cs="Tahoma"/>
          <w:b/>
          <w:bCs/>
          <w:sz w:val="20"/>
          <w:szCs w:val="20"/>
        </w:rPr>
        <w:t xml:space="preserve">Cc: </w:t>
      </w:r>
      <w:r>
        <w:rPr>
          <w:rFonts w:ascii="Tahoma" w:hAnsi="Tahoma" w:cs="Tahoma"/>
          <w:sz w:val="20"/>
          <w:szCs w:val="20"/>
        </w:rPr>
        <w:t>Cassel Kraft, Amanda (EHS); Tierney, Laxmi (EHS); Newman, Dennis (EHS)</w:t>
      </w:r>
    </w:p>
    <w:p w:rsidR="002C5025" w:rsidRDefault="002C5025">
      <w:pPr>
        <w:pStyle w:val="BodyText"/>
        <w:kinsoku w:val="0"/>
        <w:overflowPunct w:val="0"/>
        <w:spacing w:line="241" w:lineRule="exact"/>
        <w:ind w:left="120" w:right="296"/>
        <w:rPr>
          <w:rFonts w:ascii="Tahoma" w:hAnsi="Tahoma" w:cs="Tahoma"/>
          <w:sz w:val="20"/>
          <w:szCs w:val="20"/>
        </w:rPr>
      </w:pPr>
      <w:r>
        <w:rPr>
          <w:rFonts w:ascii="Tahoma" w:hAnsi="Tahoma" w:cs="Tahoma"/>
          <w:b/>
          <w:bCs/>
          <w:sz w:val="20"/>
          <w:szCs w:val="20"/>
        </w:rPr>
        <w:t xml:space="preserve">Subject: </w:t>
      </w:r>
      <w:r>
        <w:rPr>
          <w:rFonts w:ascii="Tahoma" w:hAnsi="Tahoma" w:cs="Tahoma"/>
          <w:sz w:val="20"/>
          <w:szCs w:val="20"/>
        </w:rPr>
        <w:t>Information for tomorrow's MCAC and PPAB meeting</w:t>
      </w:r>
    </w:p>
    <w:p w:rsidR="002C5025" w:rsidRDefault="002C5025">
      <w:pPr>
        <w:pStyle w:val="BodyText"/>
        <w:kinsoku w:val="0"/>
        <w:overflowPunct w:val="0"/>
        <w:spacing w:before="1"/>
        <w:rPr>
          <w:rFonts w:ascii="Tahoma" w:hAnsi="Tahoma" w:cs="Tahoma"/>
        </w:rPr>
      </w:pPr>
    </w:p>
    <w:p w:rsidR="002C5025" w:rsidRDefault="002C5025">
      <w:pPr>
        <w:pStyle w:val="BodyText"/>
        <w:kinsoku w:val="0"/>
        <w:overflowPunct w:val="0"/>
        <w:spacing w:before="1"/>
        <w:ind w:left="120" w:right="296"/>
        <w:rPr>
          <w:color w:val="1F497D"/>
        </w:rPr>
      </w:pPr>
      <w:r>
        <w:rPr>
          <w:color w:val="1F497D"/>
        </w:rPr>
        <w:t>Dear MCAC and PPAB members,</w:t>
      </w:r>
    </w:p>
    <w:p w:rsidR="002C5025" w:rsidRDefault="002C5025">
      <w:pPr>
        <w:pStyle w:val="BodyText"/>
        <w:kinsoku w:val="0"/>
        <w:overflowPunct w:val="0"/>
        <w:spacing w:before="10"/>
      </w:pPr>
    </w:p>
    <w:p w:rsidR="002C5025" w:rsidRDefault="002C5025">
      <w:pPr>
        <w:pStyle w:val="BodyText"/>
        <w:kinsoku w:val="0"/>
        <w:overflowPunct w:val="0"/>
        <w:spacing w:line="228" w:lineRule="auto"/>
        <w:ind w:left="119" w:right="296"/>
        <w:rPr>
          <w:color w:val="000000"/>
        </w:rPr>
      </w:pPr>
      <w:r>
        <w:rPr>
          <w:color w:val="1F497D"/>
        </w:rPr>
        <w:t>Attached are the slides we will be using for our presentation at the meeting tomorrow at 2:30 at 1 Ashburton Place, 21</w:t>
      </w:r>
      <w:proofErr w:type="spellStart"/>
      <w:r>
        <w:rPr>
          <w:color w:val="1F497D"/>
          <w:position w:val="10"/>
          <w:sz w:val="14"/>
          <w:szCs w:val="14"/>
        </w:rPr>
        <w:t>st</w:t>
      </w:r>
      <w:proofErr w:type="spellEnd"/>
      <w:r>
        <w:rPr>
          <w:color w:val="1F497D"/>
          <w:position w:val="10"/>
          <w:sz w:val="14"/>
          <w:szCs w:val="14"/>
        </w:rPr>
        <w:t xml:space="preserve"> </w:t>
      </w:r>
      <w:r>
        <w:rPr>
          <w:color w:val="1F497D"/>
        </w:rPr>
        <w:t xml:space="preserve">Floor. Also attached is a summary of the waiver. You can find this document and other information about the waiver at </w:t>
      </w:r>
      <w:hyperlink r:id="rId158" w:history="1">
        <w:r>
          <w:rPr>
            <w:rFonts w:ascii="Arial" w:hAnsi="Arial" w:cs="Arial"/>
            <w:color w:val="0000FF"/>
            <w:sz w:val="20"/>
            <w:szCs w:val="20"/>
            <w:u w:val="single"/>
          </w:rPr>
          <w:t>http://www.mass.gov/hhs/masshealth-innovations</w:t>
        </w:r>
        <w:r>
          <w:rPr>
            <w:color w:val="000000"/>
          </w:rPr>
          <w:t>.</w:t>
        </w:r>
      </w:hyperlink>
    </w:p>
    <w:p w:rsidR="002C5025" w:rsidRDefault="002C5025">
      <w:pPr>
        <w:pStyle w:val="BodyText"/>
        <w:kinsoku w:val="0"/>
        <w:overflowPunct w:val="0"/>
        <w:spacing w:before="8"/>
        <w:rPr>
          <w:sz w:val="17"/>
          <w:szCs w:val="17"/>
        </w:rPr>
      </w:pPr>
    </w:p>
    <w:p w:rsidR="002C5025" w:rsidRDefault="002C5025">
      <w:pPr>
        <w:pStyle w:val="BodyText"/>
        <w:kinsoku w:val="0"/>
        <w:overflowPunct w:val="0"/>
        <w:spacing w:before="56"/>
        <w:ind w:left="119" w:right="234"/>
        <w:rPr>
          <w:color w:val="1F497D"/>
        </w:rPr>
      </w:pPr>
      <w:r>
        <w:rPr>
          <w:color w:val="1F497D"/>
        </w:rPr>
        <w:t>The waiver proposal lays out a restructuring of the MassHealth care delivery and payment system through Accountable Care Organizations (ACOs), and includes a significant expansion of substance use disorder treatment services in an effort to address the opioid epidemic. Your input will be particularly helpful given the breadth and depth of your collective expertise and experience. If you have any questions or if you want to discuss aspects of the waiver proposal in advance of the meeting, please let us know.</w:t>
      </w:r>
    </w:p>
    <w:p w:rsidR="002C5025" w:rsidRDefault="002C5025">
      <w:pPr>
        <w:pStyle w:val="BodyText"/>
        <w:kinsoku w:val="0"/>
        <w:overflowPunct w:val="0"/>
        <w:spacing w:before="10"/>
        <w:rPr>
          <w:sz w:val="21"/>
          <w:szCs w:val="21"/>
        </w:rPr>
      </w:pPr>
    </w:p>
    <w:p w:rsidR="002C5025" w:rsidRDefault="002C5025">
      <w:pPr>
        <w:pStyle w:val="BodyText"/>
        <w:kinsoku w:val="0"/>
        <w:overflowPunct w:val="0"/>
        <w:ind w:left="119" w:right="296"/>
        <w:rPr>
          <w:color w:val="1F497D"/>
        </w:rPr>
      </w:pPr>
      <w:r>
        <w:rPr>
          <w:color w:val="1F497D"/>
        </w:rPr>
        <w:t>Following the presentation , you will be invited to comment on the waiver proposal. After MCAC and PPAB members provide their comments, we will invite comments from anyone else who attends the meeting. As this meeting is part of the public comment process for the waiver, we will not respond to any of comments during the meeting, but we will carefully consider all of the input during the public comment review process.</w:t>
      </w:r>
    </w:p>
    <w:p w:rsidR="002C5025" w:rsidRDefault="002C5025">
      <w:pPr>
        <w:pStyle w:val="BodyText"/>
        <w:kinsoku w:val="0"/>
        <w:overflowPunct w:val="0"/>
      </w:pPr>
    </w:p>
    <w:p w:rsidR="002C5025" w:rsidRDefault="002C5025">
      <w:pPr>
        <w:pStyle w:val="BodyText"/>
        <w:kinsoku w:val="0"/>
        <w:overflowPunct w:val="0"/>
        <w:ind w:left="119" w:right="97"/>
        <w:rPr>
          <w:color w:val="1F497D"/>
        </w:rPr>
      </w:pPr>
      <w:r>
        <w:rPr>
          <w:color w:val="1F497D"/>
        </w:rPr>
        <w:t>We look forward to seeing you there and will very much appreciate your participation.  If you have not yet rsvp’d, please let me know whether you plan to attend. If you send you reply tomorrow, please copy Dennis Newman.  If you cannot attend the meeting but would like to send written comments, please send them to us.</w:t>
      </w:r>
    </w:p>
    <w:p w:rsidR="002C5025" w:rsidRDefault="002C5025">
      <w:pPr>
        <w:pStyle w:val="BodyText"/>
        <w:kinsoku w:val="0"/>
        <w:overflowPunct w:val="0"/>
        <w:spacing w:before="10"/>
        <w:rPr>
          <w:sz w:val="21"/>
          <w:szCs w:val="21"/>
        </w:rPr>
      </w:pPr>
    </w:p>
    <w:p w:rsidR="002C5025" w:rsidRDefault="002C5025">
      <w:pPr>
        <w:pStyle w:val="BodyText"/>
        <w:kinsoku w:val="0"/>
        <w:overflowPunct w:val="0"/>
        <w:spacing w:line="480" w:lineRule="auto"/>
        <w:ind w:left="119" w:right="8274"/>
        <w:rPr>
          <w:color w:val="1F497D"/>
        </w:rPr>
      </w:pPr>
      <w:r>
        <w:rPr>
          <w:color w:val="1F497D"/>
        </w:rPr>
        <w:t>Best regards, John</w:t>
      </w:r>
    </w:p>
    <w:p w:rsidR="002C5025" w:rsidRDefault="002C5025">
      <w:pPr>
        <w:pStyle w:val="BodyText"/>
        <w:kinsoku w:val="0"/>
        <w:overflowPunct w:val="0"/>
      </w:pPr>
    </w:p>
    <w:p w:rsidR="002C5025" w:rsidRDefault="002C5025">
      <w:pPr>
        <w:pStyle w:val="BodyText"/>
        <w:kinsoku w:val="0"/>
        <w:overflowPunct w:val="0"/>
      </w:pPr>
    </w:p>
    <w:p w:rsidR="002C5025" w:rsidRDefault="002C5025">
      <w:pPr>
        <w:pStyle w:val="BodyText"/>
        <w:kinsoku w:val="0"/>
        <w:overflowPunct w:val="0"/>
        <w:ind w:left="119" w:right="296"/>
        <w:rPr>
          <w:b/>
          <w:bCs/>
        </w:rPr>
      </w:pPr>
      <w:r>
        <w:rPr>
          <w:b/>
          <w:bCs/>
        </w:rPr>
        <w:t>John May</w:t>
      </w:r>
    </w:p>
    <w:p w:rsidR="002C5025" w:rsidRDefault="002C5025">
      <w:pPr>
        <w:pStyle w:val="BodyText"/>
        <w:kinsoku w:val="0"/>
        <w:overflowPunct w:val="0"/>
        <w:spacing w:before="4"/>
        <w:ind w:left="119" w:right="7124"/>
        <w:rPr>
          <w:sz w:val="18"/>
          <w:szCs w:val="18"/>
        </w:rPr>
      </w:pPr>
      <w:r>
        <w:rPr>
          <w:sz w:val="18"/>
          <w:szCs w:val="18"/>
        </w:rPr>
        <w:t>Senior Legislative Policy Analyst Office of Medicaid</w:t>
      </w:r>
    </w:p>
    <w:p w:rsidR="002C5025" w:rsidRDefault="002C5025">
      <w:pPr>
        <w:pStyle w:val="BodyText"/>
        <w:kinsoku w:val="0"/>
        <w:overflowPunct w:val="0"/>
        <w:spacing w:line="220" w:lineRule="exact"/>
        <w:ind w:left="119" w:right="296"/>
        <w:rPr>
          <w:sz w:val="18"/>
          <w:szCs w:val="18"/>
        </w:rPr>
      </w:pPr>
      <w:r>
        <w:rPr>
          <w:sz w:val="18"/>
          <w:szCs w:val="18"/>
        </w:rPr>
        <w:t>One Ashburton Place, 11</w:t>
      </w:r>
      <w:proofErr w:type="spellStart"/>
      <w:r>
        <w:rPr>
          <w:position w:val="9"/>
          <w:sz w:val="12"/>
          <w:szCs w:val="12"/>
        </w:rPr>
        <w:t>th</w:t>
      </w:r>
      <w:proofErr w:type="spellEnd"/>
      <w:r>
        <w:rPr>
          <w:position w:val="9"/>
          <w:sz w:val="12"/>
          <w:szCs w:val="12"/>
        </w:rPr>
        <w:t xml:space="preserve"> </w:t>
      </w:r>
      <w:r>
        <w:rPr>
          <w:sz w:val="18"/>
          <w:szCs w:val="18"/>
        </w:rPr>
        <w:t>Floor</w:t>
      </w:r>
    </w:p>
    <w:p w:rsidR="002C5025" w:rsidRDefault="002C5025">
      <w:pPr>
        <w:pStyle w:val="BodyText"/>
        <w:kinsoku w:val="0"/>
        <w:overflowPunct w:val="0"/>
        <w:spacing w:line="219" w:lineRule="exact"/>
        <w:ind w:left="119" w:right="296"/>
        <w:rPr>
          <w:sz w:val="18"/>
          <w:szCs w:val="18"/>
        </w:rPr>
      </w:pPr>
      <w:r>
        <w:rPr>
          <w:sz w:val="18"/>
          <w:szCs w:val="18"/>
        </w:rPr>
        <w:t>Boston, MA 02108</w:t>
      </w:r>
    </w:p>
    <w:p w:rsidR="002C5025" w:rsidRDefault="002C5025">
      <w:pPr>
        <w:pStyle w:val="BodyText"/>
        <w:kinsoku w:val="0"/>
        <w:overflowPunct w:val="0"/>
        <w:spacing w:before="1"/>
        <w:ind w:left="119" w:right="296"/>
        <w:rPr>
          <w:sz w:val="18"/>
          <w:szCs w:val="18"/>
        </w:rPr>
      </w:pPr>
      <w:r>
        <w:rPr>
          <w:sz w:val="18"/>
          <w:szCs w:val="18"/>
        </w:rPr>
        <w:t>617-573-1763</w:t>
      </w:r>
    </w:p>
    <w:p w:rsidR="002C5025" w:rsidRDefault="002C5025">
      <w:pPr>
        <w:pStyle w:val="BodyText"/>
        <w:kinsoku w:val="0"/>
        <w:overflowPunct w:val="0"/>
        <w:spacing w:before="1"/>
        <w:ind w:left="119" w:right="296"/>
        <w:rPr>
          <w:sz w:val="18"/>
          <w:szCs w:val="18"/>
        </w:rPr>
        <w:sectPr w:rsidR="002C5025">
          <w:pgSz w:w="12240" w:h="15840"/>
          <w:pgMar w:top="1400" w:right="1340" w:bottom="280" w:left="1320" w:header="720" w:footer="720" w:gutter="0"/>
          <w:cols w:space="720"/>
          <w:noEndnote/>
        </w:sectPr>
      </w:pPr>
    </w:p>
    <w:p w:rsidR="002C5025" w:rsidRDefault="00FB027C">
      <w:pPr>
        <w:pStyle w:val="BodyText"/>
        <w:kinsoku w:val="0"/>
        <w:overflowPunct w:val="0"/>
        <w:spacing w:before="51"/>
        <w:ind w:left="120" w:right="6644"/>
        <w:rPr>
          <w:rFonts w:ascii="Arial" w:hAnsi="Arial" w:cs="Arial"/>
          <w:sz w:val="24"/>
          <w:szCs w:val="24"/>
        </w:rPr>
      </w:pPr>
      <w:r>
        <w:rPr>
          <w:noProof/>
        </w:rPr>
        <w:lastRenderedPageBreak/>
        <mc:AlternateContent>
          <mc:Choice Requires="wpg">
            <w:drawing>
              <wp:anchor distT="0" distB="0" distL="114300" distR="114300" simplePos="0" relativeHeight="251542016" behindDoc="1" locked="0" layoutInCell="0" allowOverlap="1">
                <wp:simplePos x="0" y="0"/>
                <wp:positionH relativeFrom="page">
                  <wp:posOffset>227965</wp:posOffset>
                </wp:positionH>
                <wp:positionV relativeFrom="page">
                  <wp:posOffset>0</wp:posOffset>
                </wp:positionV>
                <wp:extent cx="7543800" cy="9982200"/>
                <wp:effectExtent l="0" t="0" r="0" b="0"/>
                <wp:wrapNone/>
                <wp:docPr id="789"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3800" cy="9982200"/>
                          <a:chOff x="359" y="0"/>
                          <a:chExt cx="11880" cy="15720"/>
                        </a:xfrm>
                      </wpg:grpSpPr>
                      <pic:pic xmlns:pic="http://schemas.openxmlformats.org/drawingml/2006/picture">
                        <pic:nvPicPr>
                          <pic:cNvPr id="790" name="Picture 234"/>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360" y="0"/>
                            <a:ext cx="11880" cy="15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91" name="Freeform 235"/>
                        <wps:cNvSpPr>
                          <a:spLocks/>
                        </wps:cNvSpPr>
                        <wps:spPr bwMode="auto">
                          <a:xfrm>
                            <a:off x="360" y="5017"/>
                            <a:ext cx="9048" cy="284"/>
                          </a:xfrm>
                          <a:custGeom>
                            <a:avLst/>
                            <a:gdLst>
                              <a:gd name="T0" fmla="*/ 0 w 9048"/>
                              <a:gd name="T1" fmla="*/ 284 h 284"/>
                              <a:gd name="T2" fmla="*/ 9048 w 9048"/>
                              <a:gd name="T3" fmla="*/ 284 h 284"/>
                              <a:gd name="T4" fmla="*/ 9048 w 9048"/>
                              <a:gd name="T5" fmla="*/ 0 h 284"/>
                              <a:gd name="T6" fmla="*/ 0 w 9048"/>
                              <a:gd name="T7" fmla="*/ 0 h 284"/>
                              <a:gd name="T8" fmla="*/ 0 w 9048"/>
                              <a:gd name="T9" fmla="*/ 284 h 284"/>
                            </a:gdLst>
                            <a:ahLst/>
                            <a:cxnLst>
                              <a:cxn ang="0">
                                <a:pos x="T0" y="T1"/>
                              </a:cxn>
                              <a:cxn ang="0">
                                <a:pos x="T2" y="T3"/>
                              </a:cxn>
                              <a:cxn ang="0">
                                <a:pos x="T4" y="T5"/>
                              </a:cxn>
                              <a:cxn ang="0">
                                <a:pos x="T6" y="T7"/>
                              </a:cxn>
                              <a:cxn ang="0">
                                <a:pos x="T8" y="T9"/>
                              </a:cxn>
                            </a:cxnLst>
                            <a:rect l="0" t="0" r="r" b="b"/>
                            <a:pathLst>
                              <a:path w="9048" h="284">
                                <a:moveTo>
                                  <a:pt x="0" y="284"/>
                                </a:moveTo>
                                <a:lnTo>
                                  <a:pt x="9048" y="284"/>
                                </a:lnTo>
                                <a:lnTo>
                                  <a:pt x="9048" y="0"/>
                                </a:lnTo>
                                <a:lnTo>
                                  <a:pt x="0" y="0"/>
                                </a:lnTo>
                                <a:lnTo>
                                  <a:pt x="0" y="28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2" name="Freeform 236"/>
                        <wps:cNvSpPr>
                          <a:spLocks/>
                        </wps:cNvSpPr>
                        <wps:spPr bwMode="auto">
                          <a:xfrm>
                            <a:off x="360" y="5294"/>
                            <a:ext cx="9053" cy="284"/>
                          </a:xfrm>
                          <a:custGeom>
                            <a:avLst/>
                            <a:gdLst>
                              <a:gd name="T0" fmla="*/ 0 w 9053"/>
                              <a:gd name="T1" fmla="*/ 284 h 284"/>
                              <a:gd name="T2" fmla="*/ 9053 w 9053"/>
                              <a:gd name="T3" fmla="*/ 284 h 284"/>
                              <a:gd name="T4" fmla="*/ 9053 w 9053"/>
                              <a:gd name="T5" fmla="*/ 0 h 284"/>
                              <a:gd name="T6" fmla="*/ 0 w 9053"/>
                              <a:gd name="T7" fmla="*/ 0 h 284"/>
                              <a:gd name="T8" fmla="*/ 0 w 9053"/>
                              <a:gd name="T9" fmla="*/ 284 h 284"/>
                            </a:gdLst>
                            <a:ahLst/>
                            <a:cxnLst>
                              <a:cxn ang="0">
                                <a:pos x="T0" y="T1"/>
                              </a:cxn>
                              <a:cxn ang="0">
                                <a:pos x="T2" y="T3"/>
                              </a:cxn>
                              <a:cxn ang="0">
                                <a:pos x="T4" y="T5"/>
                              </a:cxn>
                              <a:cxn ang="0">
                                <a:pos x="T6" y="T7"/>
                              </a:cxn>
                              <a:cxn ang="0">
                                <a:pos x="T8" y="T9"/>
                              </a:cxn>
                            </a:cxnLst>
                            <a:rect l="0" t="0" r="r" b="b"/>
                            <a:pathLst>
                              <a:path w="9053" h="284">
                                <a:moveTo>
                                  <a:pt x="0" y="284"/>
                                </a:moveTo>
                                <a:lnTo>
                                  <a:pt x="9053" y="284"/>
                                </a:lnTo>
                                <a:lnTo>
                                  <a:pt x="9053" y="0"/>
                                </a:lnTo>
                                <a:lnTo>
                                  <a:pt x="0" y="0"/>
                                </a:lnTo>
                                <a:lnTo>
                                  <a:pt x="0" y="28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3" o:spid="_x0000_s1026" style="position:absolute;margin-left:17.95pt;margin-top:0;width:594pt;height:786pt;z-index:-251774464;mso-position-horizontal-relative:page;mso-position-vertical-relative:page" coordorigin="359" coordsize="11880,157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" o:allowincell="f">
                <v:shape id="Picture 234" o:spid="_x0000_s1027" type="#_x0000_t75" style="position:absolute;left:360;width:11880;height:157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ylE/DAAAA3AAAAA8AAABkcnMvZG93bnJldi54bWxET11rwjAUfR/sP4Q78GVoOoWpnVFEEIeM&#10;Davu+ZJc22Jz0zVZW/+9eRjs8XC+F6veVqKlxpeOFbyMEhDE2pmScwWn43Y4A+EDssHKMSm4kYfV&#10;8vFhgalxHR+ozUIuYgj7FBUUIdSplF4XZNGPXE0cuYtrLIYIm1yaBrsYbis5TpJXabHk2FBgTZuC&#10;9DX7tQp2P5uv70/dHWa5Pl+ytsPnj8leqcFTv34DEagP/+I/97tRMJ3H+fFMPAJye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HKUT8MAAADcAAAADwAAAAAAAAAAAAAAAACf&#10;AgAAZHJzL2Rvd25yZXYueG1sUEsFBgAAAAAEAAQA9wAAAI8DAAAAAA==&#10;">
                  <v:imagedata r:id="rId160" o:title=""/>
                </v:shape>
                <v:shape id="Freeform 235" o:spid="_x0000_s1028" style="position:absolute;left:360;top:5017;width:9048;height:284;visibility:visible;mso-wrap-style:square;v-text-anchor:top" coordsize="9048,2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1JqMIA&#10;AADcAAAADwAAAGRycy9kb3ducmV2LnhtbERPz2vCMBS+D/wfwhN2m6kerKtGKTpx7DBYFc+P5tkW&#10;m5eSZFr96xdB2PHj+71Y9aYVF3K+saxgPEpAEJdWN1wpOOy3bzMQPiBrbC2Tght5WC0HLwvMtL3y&#10;D12KUIkYwj5DBXUIXSalL2sy6Ee2I47cyTqDIUJXSe3wGsNNKydJMpUGG44NNXa0rqk8F79GQX5P&#10;77uPWVpMNrcmd9+0+zrGeep12OdzEIH68C9+uj+1gvR9DI8z8QjI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7UmowgAAANwAAAAPAAAAAAAAAAAAAAAAAJgCAABkcnMvZG93&#10;bnJldi54bWxQSwUGAAAAAAQABAD1AAAAhwMAAAAA&#10;" path="m,284r9048,l9048,,,,,284xe" stroked="f">
                  <v:path arrowok="t" o:connecttype="custom" o:connectlocs="0,284;9048,284;9048,0;0,0;0,284" o:connectangles="0,0,0,0,0"/>
                </v:shape>
                <v:shape id="Freeform 236" o:spid="_x0000_s1029" style="position:absolute;left:360;top:5294;width:9053;height:284;visibility:visible;mso-wrap-style:square;v-text-anchor:top" coordsize="9053,2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FqNsUA&#10;AADcAAAADwAAAGRycy9kb3ducmV2LnhtbESPQWvCQBSE7wX/w/KE3urGHKpGVxGhRfAQEtOCt0f2&#10;mQSzb0N21fjvuwXB4zAz3zCrzWBacaPeNZYVTCcRCOLS6oYrBcXx62MOwnlkja1lUvAgB5v16G2F&#10;ibZ3zuiW+0oECLsEFdTed4mUrqzJoJvYjjh4Z9sb9EH2ldQ93gPctDKOok9psOGwUGNHu5rKS341&#10;CpqfdD7bnrLqmH4f4jhfFGn2Wyj1Ph62SxCeBv8KP9t7rWC2iOH/TDgC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QWo2xQAAANwAAAAPAAAAAAAAAAAAAAAAAJgCAABkcnMv&#10;ZG93bnJldi54bWxQSwUGAAAAAAQABAD1AAAAigMAAAAA&#10;" path="m,284r9053,l9053,,,,,284xe" stroked="f">
                  <v:path arrowok="t" o:connecttype="custom" o:connectlocs="0,284;9053,284;9053,0;0,0;0,284" o:connectangles="0,0,0,0,0"/>
                </v:shape>
                <w10:wrap anchorx="page" anchory="page"/>
              </v:group>
            </w:pict>
          </mc:Fallback>
        </mc:AlternateContent>
      </w:r>
      <w:bookmarkStart w:id="72" w:name="CasaEsperanzaComments1115Waiver7-17-16.f"/>
      <w:bookmarkEnd w:id="72"/>
      <w:r w:rsidR="002C5025">
        <w:rPr>
          <w:rFonts w:ascii="Arial" w:hAnsi="Arial" w:cs="Arial"/>
          <w:sz w:val="24"/>
          <w:szCs w:val="24"/>
        </w:rPr>
        <w:t>July 17, 2016</w:t>
      </w:r>
    </w:p>
    <w:p w:rsidR="002C5025" w:rsidRDefault="002C5025">
      <w:pPr>
        <w:pStyle w:val="BodyText"/>
        <w:kinsoku w:val="0"/>
        <w:overflowPunct w:val="0"/>
        <w:rPr>
          <w:rFonts w:ascii="Arial" w:hAnsi="Arial" w:cs="Arial"/>
          <w:sz w:val="24"/>
          <w:szCs w:val="24"/>
        </w:rPr>
      </w:pPr>
    </w:p>
    <w:p w:rsidR="002C5025" w:rsidRDefault="002C5025">
      <w:pPr>
        <w:pStyle w:val="BodyText"/>
        <w:tabs>
          <w:tab w:val="left" w:pos="5158"/>
        </w:tabs>
        <w:kinsoku w:val="0"/>
        <w:overflowPunct w:val="0"/>
        <w:ind w:left="120" w:right="5102"/>
        <w:rPr>
          <w:rFonts w:ascii="Arial" w:hAnsi="Arial" w:cs="Arial"/>
          <w:color w:val="1B1B1B"/>
          <w:sz w:val="24"/>
          <w:szCs w:val="24"/>
        </w:rPr>
      </w:pPr>
      <w:r>
        <w:rPr>
          <w:rFonts w:ascii="Arial" w:hAnsi="Arial" w:cs="Arial"/>
          <w:color w:val="1B1B1B"/>
          <w:sz w:val="24"/>
          <w:szCs w:val="24"/>
          <w:shd w:val="clear" w:color="auto" w:fill="FFFFFF"/>
        </w:rPr>
        <w:t>Executive</w:t>
      </w:r>
      <w:r>
        <w:rPr>
          <w:rFonts w:ascii="Arial" w:hAnsi="Arial" w:cs="Arial"/>
          <w:color w:val="1B1B1B"/>
          <w:spacing w:val="-17"/>
          <w:sz w:val="24"/>
          <w:szCs w:val="24"/>
          <w:shd w:val="clear" w:color="auto" w:fill="FFFFFF"/>
        </w:rPr>
        <w:t xml:space="preserve"> </w:t>
      </w:r>
      <w:r>
        <w:rPr>
          <w:rFonts w:ascii="Arial" w:hAnsi="Arial" w:cs="Arial"/>
          <w:color w:val="1B1B1B"/>
          <w:sz w:val="24"/>
          <w:szCs w:val="24"/>
          <w:shd w:val="clear" w:color="auto" w:fill="FFFFFF"/>
        </w:rPr>
        <w:t>Office</w:t>
      </w:r>
      <w:r>
        <w:rPr>
          <w:rFonts w:ascii="Arial" w:hAnsi="Arial" w:cs="Arial"/>
          <w:color w:val="1B1B1B"/>
          <w:spacing w:val="-18"/>
          <w:sz w:val="24"/>
          <w:szCs w:val="24"/>
          <w:shd w:val="clear" w:color="auto" w:fill="FFFFFF"/>
        </w:rPr>
        <w:t xml:space="preserve"> </w:t>
      </w:r>
      <w:r>
        <w:rPr>
          <w:rFonts w:ascii="Arial" w:hAnsi="Arial" w:cs="Arial"/>
          <w:color w:val="1B1B1B"/>
          <w:sz w:val="24"/>
          <w:szCs w:val="24"/>
          <w:shd w:val="clear" w:color="auto" w:fill="FFFFFF"/>
        </w:rPr>
        <w:t>of</w:t>
      </w:r>
      <w:r>
        <w:rPr>
          <w:rFonts w:ascii="Arial" w:hAnsi="Arial" w:cs="Arial"/>
          <w:color w:val="1B1B1B"/>
          <w:spacing w:val="-12"/>
          <w:sz w:val="24"/>
          <w:szCs w:val="24"/>
          <w:shd w:val="clear" w:color="auto" w:fill="FFFFFF"/>
        </w:rPr>
        <w:t xml:space="preserve"> </w:t>
      </w:r>
      <w:r>
        <w:rPr>
          <w:rFonts w:ascii="Arial" w:hAnsi="Arial" w:cs="Arial"/>
          <w:color w:val="1B1B1B"/>
          <w:sz w:val="24"/>
          <w:szCs w:val="24"/>
          <w:shd w:val="clear" w:color="auto" w:fill="FFFFFF"/>
        </w:rPr>
        <w:t>Health</w:t>
      </w:r>
      <w:r>
        <w:rPr>
          <w:rFonts w:ascii="Arial" w:hAnsi="Arial" w:cs="Arial"/>
          <w:color w:val="1B1B1B"/>
          <w:spacing w:val="-17"/>
          <w:sz w:val="24"/>
          <w:szCs w:val="24"/>
          <w:shd w:val="clear" w:color="auto" w:fill="FFFFFF"/>
        </w:rPr>
        <w:t xml:space="preserve"> </w:t>
      </w:r>
      <w:r>
        <w:rPr>
          <w:rFonts w:ascii="Arial" w:hAnsi="Arial" w:cs="Arial"/>
          <w:color w:val="1B1B1B"/>
          <w:sz w:val="24"/>
          <w:szCs w:val="24"/>
          <w:shd w:val="clear" w:color="auto" w:fill="FFFFFF"/>
        </w:rPr>
        <w:t>and</w:t>
      </w:r>
      <w:r>
        <w:rPr>
          <w:rFonts w:ascii="Arial" w:hAnsi="Arial" w:cs="Arial"/>
          <w:color w:val="1B1B1B"/>
          <w:spacing w:val="-14"/>
          <w:sz w:val="24"/>
          <w:szCs w:val="24"/>
          <w:shd w:val="clear" w:color="auto" w:fill="FFFFFF"/>
        </w:rPr>
        <w:t xml:space="preserve"> </w:t>
      </w:r>
      <w:r>
        <w:rPr>
          <w:rFonts w:ascii="Arial" w:hAnsi="Arial" w:cs="Arial"/>
          <w:color w:val="1B1B1B"/>
          <w:sz w:val="24"/>
          <w:szCs w:val="24"/>
          <w:shd w:val="clear" w:color="auto" w:fill="FFFFFF"/>
        </w:rPr>
        <w:t>Human</w:t>
      </w:r>
      <w:r>
        <w:rPr>
          <w:rFonts w:ascii="Arial" w:hAnsi="Arial" w:cs="Arial"/>
          <w:color w:val="1B1B1B"/>
          <w:spacing w:val="-17"/>
          <w:sz w:val="24"/>
          <w:szCs w:val="24"/>
          <w:shd w:val="clear" w:color="auto" w:fill="FFFFFF"/>
        </w:rPr>
        <w:t xml:space="preserve"> </w:t>
      </w:r>
      <w:r>
        <w:rPr>
          <w:rFonts w:ascii="Arial" w:hAnsi="Arial" w:cs="Arial"/>
          <w:color w:val="1B1B1B"/>
          <w:sz w:val="24"/>
          <w:szCs w:val="24"/>
          <w:shd w:val="clear" w:color="auto" w:fill="FFFFFF"/>
        </w:rPr>
        <w:t>Services</w:t>
      </w:r>
      <w:r>
        <w:rPr>
          <w:rFonts w:ascii="Arial" w:hAnsi="Arial" w:cs="Arial"/>
          <w:color w:val="1B1B1B"/>
          <w:sz w:val="24"/>
          <w:szCs w:val="24"/>
          <w:shd w:val="clear" w:color="auto" w:fill="FFFFFF"/>
        </w:rPr>
        <w:tab/>
      </w:r>
      <w:r>
        <w:rPr>
          <w:rFonts w:ascii="Arial" w:hAnsi="Arial" w:cs="Arial"/>
          <w:color w:val="1B1B1B"/>
          <w:w w:val="26"/>
          <w:sz w:val="24"/>
          <w:szCs w:val="24"/>
          <w:shd w:val="clear" w:color="auto" w:fill="FFFFFF"/>
        </w:rPr>
        <w:t xml:space="preserve"> </w:t>
      </w:r>
      <w:r>
        <w:rPr>
          <w:rFonts w:ascii="Arial" w:hAnsi="Arial" w:cs="Arial"/>
          <w:color w:val="1B1B1B"/>
          <w:sz w:val="24"/>
          <w:szCs w:val="24"/>
        </w:rPr>
        <w:t xml:space="preserve"> </w:t>
      </w:r>
      <w:r>
        <w:rPr>
          <w:rFonts w:ascii="Arial" w:hAnsi="Arial" w:cs="Arial"/>
          <w:color w:val="1B1B1B"/>
          <w:sz w:val="24"/>
          <w:szCs w:val="24"/>
          <w:shd w:val="clear" w:color="auto" w:fill="FFFFFF"/>
        </w:rPr>
        <w:t>Office of</w:t>
      </w:r>
      <w:r>
        <w:rPr>
          <w:rFonts w:ascii="Arial" w:hAnsi="Arial" w:cs="Arial"/>
          <w:color w:val="1B1B1B"/>
          <w:spacing w:val="-39"/>
          <w:sz w:val="24"/>
          <w:szCs w:val="24"/>
          <w:shd w:val="clear" w:color="auto" w:fill="FFFFFF"/>
        </w:rPr>
        <w:t xml:space="preserve"> </w:t>
      </w:r>
      <w:r>
        <w:rPr>
          <w:rFonts w:ascii="Arial" w:hAnsi="Arial" w:cs="Arial"/>
          <w:color w:val="1B1B1B"/>
          <w:sz w:val="24"/>
          <w:szCs w:val="24"/>
          <w:shd w:val="clear" w:color="auto" w:fill="FFFFFF"/>
        </w:rPr>
        <w:t>Medicaid</w:t>
      </w:r>
    </w:p>
    <w:p w:rsidR="002C5025" w:rsidRDefault="002C5025">
      <w:pPr>
        <w:pStyle w:val="BodyText"/>
        <w:kinsoku w:val="0"/>
        <w:overflowPunct w:val="0"/>
        <w:ind w:left="120" w:right="6644"/>
        <w:rPr>
          <w:rFonts w:ascii="Arial" w:hAnsi="Arial" w:cs="Arial"/>
          <w:color w:val="1B1B1B"/>
          <w:sz w:val="24"/>
          <w:szCs w:val="24"/>
        </w:rPr>
      </w:pPr>
      <w:r>
        <w:rPr>
          <w:rFonts w:ascii="Arial" w:hAnsi="Arial" w:cs="Arial"/>
          <w:color w:val="1B1B1B"/>
          <w:sz w:val="24"/>
          <w:szCs w:val="24"/>
          <w:shd w:val="clear" w:color="auto" w:fill="FFFFFF"/>
        </w:rPr>
        <w:t>One Ashburton Place, 11th Floor Boston, MA 02108</w:t>
      </w:r>
    </w:p>
    <w:p w:rsidR="002C5025" w:rsidRDefault="002C5025">
      <w:pPr>
        <w:pStyle w:val="BodyText"/>
        <w:kinsoku w:val="0"/>
        <w:overflowPunct w:val="0"/>
        <w:rPr>
          <w:rFonts w:ascii="Arial" w:hAnsi="Arial" w:cs="Arial"/>
          <w:sz w:val="24"/>
          <w:szCs w:val="24"/>
        </w:rPr>
      </w:pPr>
    </w:p>
    <w:p w:rsidR="002C5025" w:rsidRDefault="002C5025">
      <w:pPr>
        <w:pStyle w:val="BodyText"/>
        <w:kinsoku w:val="0"/>
        <w:overflowPunct w:val="0"/>
        <w:ind w:left="120" w:right="1155"/>
        <w:rPr>
          <w:rFonts w:ascii="Arial" w:hAnsi="Arial" w:cs="Arial"/>
          <w:b/>
          <w:bCs/>
          <w:color w:val="1B1B1B"/>
          <w:sz w:val="24"/>
          <w:szCs w:val="24"/>
        </w:rPr>
      </w:pPr>
      <w:bookmarkStart w:id="73" w:name="Attn:_1115_Demonstration_Comments"/>
      <w:bookmarkEnd w:id="73"/>
      <w:r>
        <w:rPr>
          <w:rFonts w:ascii="Arial" w:hAnsi="Arial" w:cs="Arial"/>
          <w:b/>
          <w:bCs/>
          <w:color w:val="1B1B1B"/>
          <w:sz w:val="24"/>
          <w:szCs w:val="24"/>
          <w:shd w:val="clear" w:color="auto" w:fill="FFFFFF"/>
        </w:rPr>
        <w:t>Attn: 1115 Demonstration Comments</w:t>
      </w:r>
    </w:p>
    <w:p w:rsidR="002C5025" w:rsidRDefault="002C5025">
      <w:pPr>
        <w:pStyle w:val="BodyText"/>
        <w:kinsoku w:val="0"/>
        <w:overflowPunct w:val="0"/>
        <w:rPr>
          <w:rFonts w:ascii="Arial" w:hAnsi="Arial" w:cs="Arial"/>
          <w:b/>
          <w:bCs/>
          <w:sz w:val="24"/>
          <w:szCs w:val="24"/>
        </w:rPr>
      </w:pPr>
    </w:p>
    <w:p w:rsidR="002C5025" w:rsidRDefault="002C5025">
      <w:pPr>
        <w:pStyle w:val="BodyText"/>
        <w:kinsoku w:val="0"/>
        <w:overflowPunct w:val="0"/>
        <w:ind w:left="120" w:right="6644"/>
        <w:rPr>
          <w:rFonts w:ascii="Arial" w:hAnsi="Arial" w:cs="Arial"/>
          <w:sz w:val="24"/>
          <w:szCs w:val="24"/>
        </w:rPr>
      </w:pPr>
      <w:r>
        <w:rPr>
          <w:rFonts w:ascii="Arial" w:hAnsi="Arial" w:cs="Arial"/>
          <w:sz w:val="24"/>
          <w:szCs w:val="24"/>
        </w:rPr>
        <w:t>Dear Assistant Secretary Tsai:</w:t>
      </w:r>
    </w:p>
    <w:p w:rsidR="002C5025" w:rsidRDefault="002C5025">
      <w:pPr>
        <w:pStyle w:val="BodyText"/>
        <w:kinsoku w:val="0"/>
        <w:overflowPunct w:val="0"/>
        <w:rPr>
          <w:rFonts w:ascii="Arial" w:hAnsi="Arial" w:cs="Arial"/>
          <w:sz w:val="24"/>
          <w:szCs w:val="24"/>
        </w:rPr>
      </w:pPr>
    </w:p>
    <w:p w:rsidR="002C5025" w:rsidRDefault="002C5025">
      <w:pPr>
        <w:pStyle w:val="BodyText"/>
        <w:tabs>
          <w:tab w:val="left" w:pos="8896"/>
          <w:tab w:val="left" w:pos="9100"/>
        </w:tabs>
        <w:kinsoku w:val="0"/>
        <w:overflowPunct w:val="0"/>
        <w:ind w:left="119" w:right="1155"/>
        <w:rPr>
          <w:rFonts w:ascii="Arial" w:hAnsi="Arial" w:cs="Arial"/>
          <w:sz w:val="24"/>
          <w:szCs w:val="24"/>
        </w:rPr>
      </w:pPr>
      <w:r>
        <w:rPr>
          <w:rFonts w:ascii="Arial" w:hAnsi="Arial" w:cs="Arial"/>
          <w:sz w:val="24"/>
          <w:szCs w:val="24"/>
        </w:rPr>
        <w:t>Casa</w:t>
      </w:r>
      <w:r>
        <w:rPr>
          <w:rFonts w:ascii="Arial" w:hAnsi="Arial" w:cs="Arial"/>
          <w:spacing w:val="-18"/>
          <w:sz w:val="24"/>
          <w:szCs w:val="24"/>
        </w:rPr>
        <w:t xml:space="preserve"> </w:t>
      </w:r>
      <w:r>
        <w:rPr>
          <w:rFonts w:ascii="Arial" w:hAnsi="Arial" w:cs="Arial"/>
          <w:sz w:val="24"/>
          <w:szCs w:val="24"/>
        </w:rPr>
        <w:t>Esperanza,</w:t>
      </w:r>
      <w:r>
        <w:rPr>
          <w:rFonts w:ascii="Arial" w:hAnsi="Arial" w:cs="Arial"/>
          <w:spacing w:val="-20"/>
          <w:sz w:val="24"/>
          <w:szCs w:val="24"/>
        </w:rPr>
        <w:t xml:space="preserve"> </w:t>
      </w:r>
      <w:r>
        <w:rPr>
          <w:rFonts w:ascii="Arial" w:hAnsi="Arial" w:cs="Arial"/>
          <w:sz w:val="24"/>
          <w:szCs w:val="24"/>
        </w:rPr>
        <w:t>Inc.</w:t>
      </w:r>
      <w:r>
        <w:rPr>
          <w:rFonts w:ascii="Arial" w:hAnsi="Arial" w:cs="Arial"/>
          <w:spacing w:val="-18"/>
          <w:sz w:val="24"/>
          <w:szCs w:val="24"/>
        </w:rPr>
        <w:t xml:space="preserve"> </w:t>
      </w:r>
      <w:r>
        <w:rPr>
          <w:rFonts w:ascii="Arial" w:hAnsi="Arial" w:cs="Arial"/>
          <w:sz w:val="24"/>
          <w:szCs w:val="24"/>
        </w:rPr>
        <w:t>is</w:t>
      </w:r>
      <w:r>
        <w:rPr>
          <w:rFonts w:ascii="Arial" w:hAnsi="Arial" w:cs="Arial"/>
          <w:spacing w:val="-20"/>
          <w:sz w:val="24"/>
          <w:szCs w:val="24"/>
        </w:rPr>
        <w:t xml:space="preserve"> </w:t>
      </w:r>
      <w:r>
        <w:rPr>
          <w:rFonts w:ascii="Arial" w:hAnsi="Arial" w:cs="Arial"/>
          <w:sz w:val="24"/>
          <w:szCs w:val="24"/>
        </w:rPr>
        <w:t>a</w:t>
      </w:r>
      <w:r>
        <w:rPr>
          <w:rFonts w:ascii="Arial" w:hAnsi="Arial" w:cs="Arial"/>
          <w:spacing w:val="-18"/>
          <w:sz w:val="24"/>
          <w:szCs w:val="24"/>
        </w:rPr>
        <w:t xml:space="preserve"> </w:t>
      </w:r>
      <w:r>
        <w:rPr>
          <w:rFonts w:ascii="Arial" w:hAnsi="Arial" w:cs="Arial"/>
          <w:sz w:val="24"/>
          <w:szCs w:val="24"/>
        </w:rPr>
        <w:t>bilingual/bicultural</w:t>
      </w:r>
      <w:r>
        <w:rPr>
          <w:rFonts w:ascii="Arial" w:hAnsi="Arial" w:cs="Arial"/>
          <w:spacing w:val="-23"/>
          <w:sz w:val="24"/>
          <w:szCs w:val="24"/>
        </w:rPr>
        <w:t xml:space="preserve"> </w:t>
      </w:r>
      <w:r>
        <w:rPr>
          <w:rFonts w:ascii="Arial" w:hAnsi="Arial" w:cs="Arial"/>
          <w:sz w:val="24"/>
          <w:szCs w:val="24"/>
        </w:rPr>
        <w:t>behavioral</w:t>
      </w:r>
      <w:r>
        <w:rPr>
          <w:rFonts w:ascii="Arial" w:hAnsi="Arial" w:cs="Arial"/>
          <w:spacing w:val="-19"/>
          <w:sz w:val="24"/>
          <w:szCs w:val="24"/>
        </w:rPr>
        <w:t xml:space="preserve"> </w:t>
      </w:r>
      <w:r>
        <w:rPr>
          <w:rFonts w:ascii="Arial" w:hAnsi="Arial" w:cs="Arial"/>
          <w:sz w:val="24"/>
          <w:szCs w:val="24"/>
        </w:rPr>
        <w:t>health</w:t>
      </w:r>
      <w:r>
        <w:rPr>
          <w:rFonts w:ascii="Arial" w:hAnsi="Arial" w:cs="Arial"/>
          <w:spacing w:val="-20"/>
          <w:sz w:val="24"/>
          <w:szCs w:val="24"/>
        </w:rPr>
        <w:t xml:space="preserve"> </w:t>
      </w:r>
      <w:r>
        <w:rPr>
          <w:rFonts w:ascii="Arial" w:hAnsi="Arial" w:cs="Arial"/>
          <w:sz w:val="24"/>
          <w:szCs w:val="24"/>
        </w:rPr>
        <w:t>agency</w:t>
      </w:r>
      <w:r>
        <w:rPr>
          <w:rFonts w:ascii="Arial" w:hAnsi="Arial" w:cs="Arial"/>
          <w:spacing w:val="-20"/>
          <w:sz w:val="24"/>
          <w:szCs w:val="24"/>
        </w:rPr>
        <w:t xml:space="preserve"> </w:t>
      </w:r>
      <w:r>
        <w:rPr>
          <w:rFonts w:ascii="Arial" w:hAnsi="Arial" w:cs="Arial"/>
          <w:sz w:val="24"/>
          <w:szCs w:val="24"/>
        </w:rPr>
        <w:t>that</w:t>
      </w:r>
      <w:r>
        <w:rPr>
          <w:rFonts w:ascii="Arial" w:hAnsi="Arial" w:cs="Arial"/>
          <w:spacing w:val="-18"/>
          <w:sz w:val="24"/>
          <w:szCs w:val="24"/>
        </w:rPr>
        <w:t xml:space="preserve"> </w:t>
      </w:r>
      <w:r>
        <w:rPr>
          <w:rFonts w:ascii="Arial" w:hAnsi="Arial" w:cs="Arial"/>
          <w:sz w:val="24"/>
          <w:szCs w:val="24"/>
        </w:rPr>
        <w:t>specializes in</w:t>
      </w:r>
      <w:r>
        <w:rPr>
          <w:rFonts w:ascii="Arial" w:hAnsi="Arial" w:cs="Arial"/>
          <w:spacing w:val="-12"/>
          <w:sz w:val="24"/>
          <w:szCs w:val="24"/>
        </w:rPr>
        <w:t xml:space="preserve"> </w:t>
      </w:r>
      <w:r>
        <w:rPr>
          <w:rFonts w:ascii="Arial" w:hAnsi="Arial" w:cs="Arial"/>
          <w:sz w:val="24"/>
          <w:szCs w:val="24"/>
        </w:rPr>
        <w:t>serving</w:t>
      </w:r>
      <w:r>
        <w:rPr>
          <w:rFonts w:ascii="Arial" w:hAnsi="Arial" w:cs="Arial"/>
          <w:spacing w:val="-17"/>
          <w:sz w:val="24"/>
          <w:szCs w:val="24"/>
        </w:rPr>
        <w:t xml:space="preserve"> </w:t>
      </w:r>
      <w:r>
        <w:rPr>
          <w:rFonts w:ascii="Arial" w:hAnsi="Arial" w:cs="Arial"/>
          <w:sz w:val="24"/>
          <w:szCs w:val="24"/>
        </w:rPr>
        <w:t>the</w:t>
      </w:r>
      <w:r>
        <w:rPr>
          <w:rFonts w:ascii="Arial" w:hAnsi="Arial" w:cs="Arial"/>
          <w:spacing w:val="-12"/>
          <w:sz w:val="24"/>
          <w:szCs w:val="24"/>
        </w:rPr>
        <w:t xml:space="preserve"> </w:t>
      </w:r>
      <w:r>
        <w:rPr>
          <w:rFonts w:ascii="Arial" w:hAnsi="Arial" w:cs="Arial"/>
          <w:sz w:val="24"/>
          <w:szCs w:val="24"/>
        </w:rPr>
        <w:t>Latino</w:t>
      </w:r>
      <w:r>
        <w:rPr>
          <w:rFonts w:ascii="Arial" w:hAnsi="Arial" w:cs="Arial"/>
          <w:spacing w:val="-15"/>
          <w:sz w:val="24"/>
          <w:szCs w:val="24"/>
        </w:rPr>
        <w:t xml:space="preserve"> </w:t>
      </w:r>
      <w:r>
        <w:rPr>
          <w:rFonts w:ascii="Arial" w:hAnsi="Arial" w:cs="Arial"/>
          <w:sz w:val="24"/>
          <w:szCs w:val="24"/>
        </w:rPr>
        <w:t>community</w:t>
      </w:r>
      <w:r>
        <w:rPr>
          <w:rFonts w:ascii="Arial" w:hAnsi="Arial" w:cs="Arial"/>
          <w:spacing w:val="-18"/>
          <w:sz w:val="24"/>
          <w:szCs w:val="24"/>
        </w:rPr>
        <w:t xml:space="preserve"> </w:t>
      </w:r>
      <w:r>
        <w:rPr>
          <w:rFonts w:ascii="Arial" w:hAnsi="Arial" w:cs="Arial"/>
          <w:sz w:val="24"/>
          <w:szCs w:val="24"/>
        </w:rPr>
        <w:t>in</w:t>
      </w:r>
      <w:r>
        <w:rPr>
          <w:rFonts w:ascii="Arial" w:hAnsi="Arial" w:cs="Arial"/>
          <w:spacing w:val="-12"/>
          <w:sz w:val="24"/>
          <w:szCs w:val="24"/>
        </w:rPr>
        <w:t xml:space="preserve"> </w:t>
      </w:r>
      <w:r>
        <w:rPr>
          <w:rFonts w:ascii="Arial" w:hAnsi="Arial" w:cs="Arial"/>
          <w:sz w:val="24"/>
          <w:szCs w:val="24"/>
        </w:rPr>
        <w:t>Massachusetts.</w:t>
      </w:r>
      <w:r>
        <w:rPr>
          <w:rFonts w:ascii="Arial" w:hAnsi="Arial" w:cs="Arial"/>
          <w:spacing w:val="-13"/>
          <w:sz w:val="24"/>
          <w:szCs w:val="24"/>
        </w:rPr>
        <w:t xml:space="preserve"> </w:t>
      </w:r>
      <w:r>
        <w:rPr>
          <w:rFonts w:ascii="Arial" w:hAnsi="Arial" w:cs="Arial"/>
          <w:b/>
          <w:bCs/>
          <w:sz w:val="24"/>
          <w:szCs w:val="24"/>
        </w:rPr>
        <w:t>Casa’s</w:t>
      </w:r>
      <w:r>
        <w:rPr>
          <w:rFonts w:ascii="Arial" w:hAnsi="Arial" w:cs="Arial"/>
          <w:b/>
          <w:bCs/>
          <w:spacing w:val="-12"/>
          <w:sz w:val="24"/>
          <w:szCs w:val="24"/>
        </w:rPr>
        <w:t xml:space="preserve"> </w:t>
      </w:r>
      <w:r>
        <w:rPr>
          <w:rFonts w:ascii="Arial" w:hAnsi="Arial" w:cs="Arial"/>
          <w:b/>
          <w:bCs/>
          <w:sz w:val="24"/>
          <w:szCs w:val="24"/>
        </w:rPr>
        <w:t>miss</w:t>
      </w:r>
      <w:r>
        <w:rPr>
          <w:rFonts w:ascii="Arial" w:hAnsi="Arial" w:cs="Arial"/>
          <w:b/>
          <w:bCs/>
          <w:sz w:val="24"/>
          <w:szCs w:val="24"/>
          <w:shd w:val="clear" w:color="auto" w:fill="FFFFFF"/>
        </w:rPr>
        <w:t>ion</w:t>
      </w:r>
      <w:r>
        <w:rPr>
          <w:rFonts w:ascii="Arial" w:hAnsi="Arial" w:cs="Arial"/>
          <w:b/>
          <w:bCs/>
          <w:spacing w:val="-13"/>
          <w:sz w:val="24"/>
          <w:szCs w:val="24"/>
          <w:shd w:val="clear" w:color="auto" w:fill="FFFFFF"/>
        </w:rPr>
        <w:t xml:space="preserve"> </w:t>
      </w:r>
      <w:r>
        <w:rPr>
          <w:rFonts w:ascii="Arial" w:hAnsi="Arial" w:cs="Arial"/>
          <w:b/>
          <w:bCs/>
          <w:sz w:val="24"/>
          <w:szCs w:val="24"/>
          <w:shd w:val="clear" w:color="auto" w:fill="FFFFFF"/>
        </w:rPr>
        <w:t>is</w:t>
      </w:r>
      <w:r>
        <w:rPr>
          <w:rFonts w:ascii="Arial" w:hAnsi="Arial" w:cs="Arial"/>
          <w:b/>
          <w:bCs/>
          <w:spacing w:val="-12"/>
          <w:sz w:val="24"/>
          <w:szCs w:val="24"/>
          <w:shd w:val="clear" w:color="auto" w:fill="FFFFFF"/>
        </w:rPr>
        <w:t xml:space="preserve"> </w:t>
      </w:r>
      <w:r>
        <w:rPr>
          <w:rFonts w:ascii="Arial" w:hAnsi="Arial" w:cs="Arial"/>
          <w:b/>
          <w:bCs/>
          <w:sz w:val="24"/>
          <w:szCs w:val="24"/>
          <w:shd w:val="clear" w:color="auto" w:fill="FFFFFF"/>
        </w:rPr>
        <w:t>to</w:t>
      </w:r>
      <w:r>
        <w:rPr>
          <w:rFonts w:ascii="Arial" w:hAnsi="Arial" w:cs="Arial"/>
          <w:b/>
          <w:bCs/>
          <w:spacing w:val="-13"/>
          <w:sz w:val="24"/>
          <w:szCs w:val="24"/>
          <w:shd w:val="clear" w:color="auto" w:fill="FFFFFF"/>
        </w:rPr>
        <w:t xml:space="preserve"> </w:t>
      </w:r>
      <w:r>
        <w:rPr>
          <w:rFonts w:ascii="Arial" w:hAnsi="Arial" w:cs="Arial"/>
          <w:b/>
          <w:bCs/>
          <w:sz w:val="24"/>
          <w:szCs w:val="24"/>
          <w:shd w:val="clear" w:color="auto" w:fill="FFFFFF"/>
        </w:rPr>
        <w:t>help</w:t>
      </w:r>
      <w:r>
        <w:rPr>
          <w:rFonts w:ascii="Arial" w:hAnsi="Arial" w:cs="Arial"/>
          <w:b/>
          <w:bCs/>
          <w:sz w:val="24"/>
          <w:szCs w:val="24"/>
          <w:shd w:val="clear" w:color="auto" w:fill="FFFFFF"/>
        </w:rPr>
        <w:tab/>
      </w:r>
      <w:r>
        <w:rPr>
          <w:rFonts w:ascii="Arial" w:hAnsi="Arial" w:cs="Arial"/>
          <w:b/>
          <w:bCs/>
          <w:sz w:val="24"/>
          <w:szCs w:val="24"/>
          <w:shd w:val="clear" w:color="auto" w:fill="FFFFFF"/>
        </w:rPr>
        <w:tab/>
      </w:r>
      <w:r>
        <w:rPr>
          <w:rFonts w:ascii="Arial" w:hAnsi="Arial" w:cs="Arial"/>
          <w:b/>
          <w:bCs/>
          <w:sz w:val="24"/>
          <w:szCs w:val="24"/>
        </w:rPr>
        <w:t xml:space="preserve"> men,</w:t>
      </w:r>
      <w:r>
        <w:rPr>
          <w:rFonts w:ascii="Arial" w:hAnsi="Arial" w:cs="Arial"/>
          <w:b/>
          <w:bCs/>
          <w:spacing w:val="-23"/>
          <w:sz w:val="24"/>
          <w:szCs w:val="24"/>
        </w:rPr>
        <w:t xml:space="preserve"> </w:t>
      </w:r>
      <w:r>
        <w:rPr>
          <w:rFonts w:ascii="Arial" w:hAnsi="Arial" w:cs="Arial"/>
          <w:b/>
          <w:bCs/>
          <w:sz w:val="24"/>
          <w:szCs w:val="24"/>
        </w:rPr>
        <w:t>women</w:t>
      </w:r>
      <w:r>
        <w:rPr>
          <w:rFonts w:ascii="Arial" w:hAnsi="Arial" w:cs="Arial"/>
          <w:b/>
          <w:bCs/>
          <w:spacing w:val="-22"/>
          <w:sz w:val="24"/>
          <w:szCs w:val="24"/>
        </w:rPr>
        <w:t xml:space="preserve"> </w:t>
      </w:r>
      <w:r>
        <w:rPr>
          <w:rFonts w:ascii="Arial" w:hAnsi="Arial" w:cs="Arial"/>
          <w:b/>
          <w:bCs/>
          <w:sz w:val="24"/>
          <w:szCs w:val="24"/>
        </w:rPr>
        <w:t>and</w:t>
      </w:r>
      <w:r>
        <w:rPr>
          <w:rFonts w:ascii="Arial" w:hAnsi="Arial" w:cs="Arial"/>
          <w:b/>
          <w:bCs/>
          <w:spacing w:val="-17"/>
          <w:sz w:val="24"/>
          <w:szCs w:val="24"/>
        </w:rPr>
        <w:t xml:space="preserve"> </w:t>
      </w:r>
      <w:r>
        <w:rPr>
          <w:rFonts w:ascii="Arial" w:hAnsi="Arial" w:cs="Arial"/>
          <w:b/>
          <w:bCs/>
          <w:sz w:val="24"/>
          <w:szCs w:val="24"/>
        </w:rPr>
        <w:t>children</w:t>
      </w:r>
      <w:r>
        <w:rPr>
          <w:rFonts w:ascii="Arial" w:hAnsi="Arial" w:cs="Arial"/>
          <w:b/>
          <w:bCs/>
          <w:spacing w:val="-17"/>
          <w:sz w:val="24"/>
          <w:szCs w:val="24"/>
        </w:rPr>
        <w:t xml:space="preserve"> </w:t>
      </w:r>
      <w:r>
        <w:rPr>
          <w:rFonts w:ascii="Arial" w:hAnsi="Arial" w:cs="Arial"/>
          <w:b/>
          <w:bCs/>
          <w:sz w:val="24"/>
          <w:szCs w:val="24"/>
        </w:rPr>
        <w:t>overcome</w:t>
      </w:r>
      <w:r>
        <w:rPr>
          <w:rFonts w:ascii="Arial" w:hAnsi="Arial" w:cs="Arial"/>
          <w:b/>
          <w:bCs/>
          <w:spacing w:val="-18"/>
          <w:sz w:val="24"/>
          <w:szCs w:val="24"/>
        </w:rPr>
        <w:t xml:space="preserve"> </w:t>
      </w:r>
      <w:r>
        <w:rPr>
          <w:rFonts w:ascii="Arial" w:hAnsi="Arial" w:cs="Arial"/>
          <w:b/>
          <w:bCs/>
          <w:sz w:val="24"/>
          <w:szCs w:val="24"/>
        </w:rPr>
        <w:t>homelessness</w:t>
      </w:r>
      <w:r>
        <w:rPr>
          <w:rFonts w:ascii="Arial" w:hAnsi="Arial" w:cs="Arial"/>
          <w:b/>
          <w:bCs/>
          <w:spacing w:val="-18"/>
          <w:sz w:val="24"/>
          <w:szCs w:val="24"/>
        </w:rPr>
        <w:t xml:space="preserve"> </w:t>
      </w:r>
      <w:r>
        <w:rPr>
          <w:rFonts w:ascii="Arial" w:hAnsi="Arial" w:cs="Arial"/>
          <w:b/>
          <w:bCs/>
          <w:sz w:val="24"/>
          <w:szCs w:val="24"/>
        </w:rPr>
        <w:t>and</w:t>
      </w:r>
      <w:r>
        <w:rPr>
          <w:rFonts w:ascii="Arial" w:hAnsi="Arial" w:cs="Arial"/>
          <w:b/>
          <w:bCs/>
          <w:spacing w:val="-17"/>
          <w:sz w:val="24"/>
          <w:szCs w:val="24"/>
        </w:rPr>
        <w:t xml:space="preserve"> </w:t>
      </w:r>
      <w:r>
        <w:rPr>
          <w:rFonts w:ascii="Arial" w:hAnsi="Arial" w:cs="Arial"/>
          <w:b/>
          <w:bCs/>
          <w:sz w:val="24"/>
          <w:szCs w:val="24"/>
        </w:rPr>
        <w:t>health</w:t>
      </w:r>
      <w:r>
        <w:rPr>
          <w:rFonts w:ascii="Arial" w:hAnsi="Arial" w:cs="Arial"/>
          <w:b/>
          <w:bCs/>
          <w:spacing w:val="-19"/>
          <w:sz w:val="24"/>
          <w:szCs w:val="24"/>
        </w:rPr>
        <w:t xml:space="preserve"> </w:t>
      </w:r>
      <w:r>
        <w:rPr>
          <w:rFonts w:ascii="Arial" w:hAnsi="Arial" w:cs="Arial"/>
          <w:b/>
          <w:bCs/>
          <w:sz w:val="24"/>
          <w:szCs w:val="24"/>
        </w:rPr>
        <w:t>disparities;</w:t>
      </w:r>
      <w:r>
        <w:rPr>
          <w:rFonts w:ascii="Arial" w:hAnsi="Arial" w:cs="Arial"/>
          <w:b/>
          <w:bCs/>
          <w:w w:val="99"/>
          <w:sz w:val="24"/>
          <w:szCs w:val="24"/>
        </w:rPr>
        <w:t xml:space="preserve"> </w:t>
      </w:r>
      <w:r>
        <w:rPr>
          <w:rFonts w:ascii="Arial" w:hAnsi="Arial" w:cs="Arial"/>
          <w:b/>
          <w:bCs/>
          <w:sz w:val="24"/>
          <w:szCs w:val="24"/>
        </w:rPr>
        <w:t>recover</w:t>
      </w:r>
      <w:r>
        <w:rPr>
          <w:rFonts w:ascii="Arial" w:hAnsi="Arial" w:cs="Arial"/>
          <w:b/>
          <w:bCs/>
          <w:spacing w:val="-12"/>
          <w:sz w:val="24"/>
          <w:szCs w:val="24"/>
        </w:rPr>
        <w:t xml:space="preserve"> </w:t>
      </w:r>
      <w:r>
        <w:rPr>
          <w:rFonts w:ascii="Arial" w:hAnsi="Arial" w:cs="Arial"/>
          <w:b/>
          <w:bCs/>
          <w:sz w:val="24"/>
          <w:szCs w:val="24"/>
        </w:rPr>
        <w:t>from</w:t>
      </w:r>
      <w:r>
        <w:rPr>
          <w:rFonts w:ascii="Arial" w:hAnsi="Arial" w:cs="Arial"/>
          <w:b/>
          <w:bCs/>
          <w:spacing w:val="-14"/>
          <w:sz w:val="24"/>
          <w:szCs w:val="24"/>
        </w:rPr>
        <w:t xml:space="preserve"> </w:t>
      </w:r>
      <w:r>
        <w:rPr>
          <w:rFonts w:ascii="Arial" w:hAnsi="Arial" w:cs="Arial"/>
          <w:b/>
          <w:bCs/>
          <w:sz w:val="24"/>
          <w:szCs w:val="24"/>
        </w:rPr>
        <w:t>addiction,</w:t>
      </w:r>
      <w:r>
        <w:rPr>
          <w:rFonts w:ascii="Arial" w:hAnsi="Arial" w:cs="Arial"/>
          <w:b/>
          <w:bCs/>
          <w:spacing w:val="-12"/>
          <w:sz w:val="24"/>
          <w:szCs w:val="24"/>
        </w:rPr>
        <w:t xml:space="preserve"> </w:t>
      </w:r>
      <w:r>
        <w:rPr>
          <w:rFonts w:ascii="Arial" w:hAnsi="Arial" w:cs="Arial"/>
          <w:b/>
          <w:bCs/>
          <w:sz w:val="24"/>
          <w:szCs w:val="24"/>
        </w:rPr>
        <w:t>mental</w:t>
      </w:r>
      <w:r>
        <w:rPr>
          <w:rFonts w:ascii="Arial" w:hAnsi="Arial" w:cs="Arial"/>
          <w:b/>
          <w:bCs/>
          <w:spacing w:val="-12"/>
          <w:sz w:val="24"/>
          <w:szCs w:val="24"/>
        </w:rPr>
        <w:t xml:space="preserve"> </w:t>
      </w:r>
      <w:r>
        <w:rPr>
          <w:rFonts w:ascii="Arial" w:hAnsi="Arial" w:cs="Arial"/>
          <w:b/>
          <w:bCs/>
          <w:sz w:val="24"/>
          <w:szCs w:val="24"/>
        </w:rPr>
        <w:t>illness,</w:t>
      </w:r>
      <w:r>
        <w:rPr>
          <w:rFonts w:ascii="Arial" w:hAnsi="Arial" w:cs="Arial"/>
          <w:b/>
          <w:bCs/>
          <w:spacing w:val="-14"/>
          <w:sz w:val="24"/>
          <w:szCs w:val="24"/>
        </w:rPr>
        <w:t xml:space="preserve"> </w:t>
      </w:r>
      <w:r>
        <w:rPr>
          <w:rFonts w:ascii="Arial" w:hAnsi="Arial" w:cs="Arial"/>
          <w:b/>
          <w:bCs/>
          <w:sz w:val="24"/>
          <w:szCs w:val="24"/>
        </w:rPr>
        <w:t>and</w:t>
      </w:r>
      <w:r>
        <w:rPr>
          <w:rFonts w:ascii="Arial" w:hAnsi="Arial" w:cs="Arial"/>
          <w:b/>
          <w:bCs/>
          <w:spacing w:val="-17"/>
          <w:sz w:val="24"/>
          <w:szCs w:val="24"/>
        </w:rPr>
        <w:t xml:space="preserve"> </w:t>
      </w:r>
      <w:r>
        <w:rPr>
          <w:rFonts w:ascii="Arial" w:hAnsi="Arial" w:cs="Arial"/>
          <w:b/>
          <w:bCs/>
          <w:sz w:val="24"/>
          <w:szCs w:val="24"/>
        </w:rPr>
        <w:t>chronic</w:t>
      </w:r>
      <w:r>
        <w:rPr>
          <w:rFonts w:ascii="Arial" w:hAnsi="Arial" w:cs="Arial"/>
          <w:b/>
          <w:bCs/>
          <w:spacing w:val="-11"/>
          <w:sz w:val="24"/>
          <w:szCs w:val="24"/>
        </w:rPr>
        <w:t xml:space="preserve"> </w:t>
      </w:r>
      <w:r>
        <w:rPr>
          <w:rFonts w:ascii="Arial" w:hAnsi="Arial" w:cs="Arial"/>
          <w:b/>
          <w:bCs/>
          <w:sz w:val="24"/>
          <w:szCs w:val="24"/>
        </w:rPr>
        <w:t>disease;</w:t>
      </w:r>
      <w:r>
        <w:rPr>
          <w:rFonts w:ascii="Arial" w:hAnsi="Arial" w:cs="Arial"/>
          <w:b/>
          <w:bCs/>
          <w:spacing w:val="-13"/>
          <w:sz w:val="24"/>
          <w:szCs w:val="24"/>
        </w:rPr>
        <w:t xml:space="preserve"> </w:t>
      </w:r>
      <w:r>
        <w:rPr>
          <w:rFonts w:ascii="Arial" w:hAnsi="Arial" w:cs="Arial"/>
          <w:b/>
          <w:bCs/>
          <w:sz w:val="24"/>
          <w:szCs w:val="24"/>
        </w:rPr>
        <w:t>gain</w:t>
      </w:r>
      <w:r>
        <w:rPr>
          <w:rFonts w:ascii="Arial" w:hAnsi="Arial" w:cs="Arial"/>
          <w:b/>
          <w:bCs/>
          <w:spacing w:val="-15"/>
          <w:sz w:val="24"/>
          <w:szCs w:val="24"/>
        </w:rPr>
        <w:t xml:space="preserve"> </w:t>
      </w:r>
      <w:r>
        <w:rPr>
          <w:rFonts w:ascii="Arial" w:hAnsi="Arial" w:cs="Arial"/>
          <w:b/>
          <w:bCs/>
          <w:sz w:val="24"/>
          <w:szCs w:val="24"/>
        </w:rPr>
        <w:t>the</w:t>
      </w:r>
      <w:r>
        <w:rPr>
          <w:rFonts w:ascii="Arial" w:hAnsi="Arial" w:cs="Arial"/>
          <w:b/>
          <w:bCs/>
          <w:spacing w:val="-14"/>
          <w:sz w:val="24"/>
          <w:szCs w:val="24"/>
        </w:rPr>
        <w:t xml:space="preserve"> </w:t>
      </w:r>
      <w:r>
        <w:rPr>
          <w:rFonts w:ascii="Arial" w:hAnsi="Arial" w:cs="Arial"/>
          <w:b/>
          <w:bCs/>
          <w:sz w:val="24"/>
          <w:szCs w:val="24"/>
        </w:rPr>
        <w:t>skills</w:t>
      </w:r>
      <w:r>
        <w:rPr>
          <w:rFonts w:ascii="Arial" w:hAnsi="Arial" w:cs="Arial"/>
          <w:b/>
          <w:bCs/>
          <w:spacing w:val="-11"/>
          <w:sz w:val="24"/>
          <w:szCs w:val="24"/>
        </w:rPr>
        <w:t xml:space="preserve"> </w:t>
      </w:r>
      <w:r>
        <w:rPr>
          <w:rFonts w:ascii="Arial" w:hAnsi="Arial" w:cs="Arial"/>
          <w:b/>
          <w:bCs/>
          <w:sz w:val="24"/>
          <w:szCs w:val="24"/>
        </w:rPr>
        <w:t xml:space="preserve">they </w:t>
      </w:r>
      <w:r>
        <w:rPr>
          <w:rFonts w:ascii="Arial" w:hAnsi="Arial" w:cs="Arial"/>
          <w:b/>
          <w:bCs/>
          <w:sz w:val="24"/>
          <w:szCs w:val="24"/>
          <w:shd w:val="clear" w:color="auto" w:fill="FFFFFF"/>
        </w:rPr>
        <w:t>need</w:t>
      </w:r>
      <w:r>
        <w:rPr>
          <w:rFonts w:ascii="Arial" w:hAnsi="Arial" w:cs="Arial"/>
          <w:b/>
          <w:bCs/>
          <w:spacing w:val="-15"/>
          <w:sz w:val="24"/>
          <w:szCs w:val="24"/>
          <w:shd w:val="clear" w:color="auto" w:fill="FFFFFF"/>
        </w:rPr>
        <w:t xml:space="preserve"> </w:t>
      </w:r>
      <w:r>
        <w:rPr>
          <w:rFonts w:ascii="Arial" w:hAnsi="Arial" w:cs="Arial"/>
          <w:b/>
          <w:bCs/>
          <w:sz w:val="24"/>
          <w:szCs w:val="24"/>
          <w:shd w:val="clear" w:color="auto" w:fill="FFFFFF"/>
        </w:rPr>
        <w:t>to</w:t>
      </w:r>
      <w:r>
        <w:rPr>
          <w:rFonts w:ascii="Arial" w:hAnsi="Arial" w:cs="Arial"/>
          <w:b/>
          <w:bCs/>
          <w:spacing w:val="-15"/>
          <w:sz w:val="24"/>
          <w:szCs w:val="24"/>
          <w:shd w:val="clear" w:color="auto" w:fill="FFFFFF"/>
        </w:rPr>
        <w:t xml:space="preserve"> </w:t>
      </w:r>
      <w:r>
        <w:rPr>
          <w:rFonts w:ascii="Arial" w:hAnsi="Arial" w:cs="Arial"/>
          <w:b/>
          <w:bCs/>
          <w:sz w:val="24"/>
          <w:szCs w:val="24"/>
          <w:shd w:val="clear" w:color="auto" w:fill="FFFFFF"/>
        </w:rPr>
        <w:t>be</w:t>
      </w:r>
      <w:r>
        <w:rPr>
          <w:rFonts w:ascii="Arial" w:hAnsi="Arial" w:cs="Arial"/>
          <w:b/>
          <w:bCs/>
          <w:spacing w:val="-16"/>
          <w:sz w:val="24"/>
          <w:szCs w:val="24"/>
          <w:shd w:val="clear" w:color="auto" w:fill="FFFFFF"/>
        </w:rPr>
        <w:t xml:space="preserve"> </w:t>
      </w:r>
      <w:r>
        <w:rPr>
          <w:rFonts w:ascii="Arial" w:hAnsi="Arial" w:cs="Arial"/>
          <w:b/>
          <w:bCs/>
          <w:sz w:val="24"/>
          <w:szCs w:val="24"/>
          <w:shd w:val="clear" w:color="auto" w:fill="FFFFFF"/>
        </w:rPr>
        <w:t>self-sufficient,</w:t>
      </w:r>
      <w:r>
        <w:rPr>
          <w:rFonts w:ascii="Arial" w:hAnsi="Arial" w:cs="Arial"/>
          <w:b/>
          <w:bCs/>
          <w:spacing w:val="-16"/>
          <w:sz w:val="24"/>
          <w:szCs w:val="24"/>
          <w:shd w:val="clear" w:color="auto" w:fill="FFFFFF"/>
        </w:rPr>
        <w:t xml:space="preserve"> </w:t>
      </w:r>
      <w:r>
        <w:rPr>
          <w:rFonts w:ascii="Arial" w:hAnsi="Arial" w:cs="Arial"/>
          <w:b/>
          <w:bCs/>
          <w:sz w:val="24"/>
          <w:szCs w:val="24"/>
          <w:shd w:val="clear" w:color="auto" w:fill="FFFFFF"/>
        </w:rPr>
        <w:t>contributing</w:t>
      </w:r>
      <w:r>
        <w:rPr>
          <w:rFonts w:ascii="Arial" w:hAnsi="Arial" w:cs="Arial"/>
          <w:b/>
          <w:bCs/>
          <w:spacing w:val="-15"/>
          <w:sz w:val="24"/>
          <w:szCs w:val="24"/>
          <w:shd w:val="clear" w:color="auto" w:fill="FFFFFF"/>
        </w:rPr>
        <w:t xml:space="preserve"> </w:t>
      </w:r>
      <w:r>
        <w:rPr>
          <w:rFonts w:ascii="Arial" w:hAnsi="Arial" w:cs="Arial"/>
          <w:b/>
          <w:bCs/>
          <w:sz w:val="24"/>
          <w:szCs w:val="24"/>
          <w:shd w:val="clear" w:color="auto" w:fill="FFFFFF"/>
        </w:rPr>
        <w:t>members</w:t>
      </w:r>
      <w:r>
        <w:rPr>
          <w:rFonts w:ascii="Arial" w:hAnsi="Arial" w:cs="Arial"/>
          <w:b/>
          <w:bCs/>
          <w:spacing w:val="-14"/>
          <w:sz w:val="24"/>
          <w:szCs w:val="24"/>
          <w:shd w:val="clear" w:color="auto" w:fill="FFFFFF"/>
        </w:rPr>
        <w:t xml:space="preserve"> </w:t>
      </w:r>
      <w:r>
        <w:rPr>
          <w:rFonts w:ascii="Arial" w:hAnsi="Arial" w:cs="Arial"/>
          <w:b/>
          <w:bCs/>
          <w:sz w:val="24"/>
          <w:szCs w:val="24"/>
          <w:shd w:val="clear" w:color="auto" w:fill="FFFFFF"/>
        </w:rPr>
        <w:t>of</w:t>
      </w:r>
      <w:r>
        <w:rPr>
          <w:rFonts w:ascii="Arial" w:hAnsi="Arial" w:cs="Arial"/>
          <w:b/>
          <w:bCs/>
          <w:spacing w:val="-17"/>
          <w:sz w:val="24"/>
          <w:szCs w:val="24"/>
          <w:shd w:val="clear" w:color="auto" w:fill="FFFFFF"/>
        </w:rPr>
        <w:t xml:space="preserve"> </w:t>
      </w:r>
      <w:r>
        <w:rPr>
          <w:rFonts w:ascii="Arial" w:hAnsi="Arial" w:cs="Arial"/>
          <w:b/>
          <w:bCs/>
          <w:sz w:val="24"/>
          <w:szCs w:val="24"/>
          <w:shd w:val="clear" w:color="auto" w:fill="FFFFFF"/>
        </w:rPr>
        <w:t>society;</w:t>
      </w:r>
      <w:r>
        <w:rPr>
          <w:rFonts w:ascii="Arial" w:hAnsi="Arial" w:cs="Arial"/>
          <w:b/>
          <w:bCs/>
          <w:spacing w:val="-11"/>
          <w:sz w:val="24"/>
          <w:szCs w:val="24"/>
          <w:shd w:val="clear" w:color="auto" w:fill="FFFFFF"/>
        </w:rPr>
        <w:t xml:space="preserve"> </w:t>
      </w:r>
      <w:r>
        <w:rPr>
          <w:rFonts w:ascii="Arial" w:hAnsi="Arial" w:cs="Arial"/>
          <w:b/>
          <w:bCs/>
          <w:sz w:val="24"/>
          <w:szCs w:val="24"/>
          <w:shd w:val="clear" w:color="auto" w:fill="FFFFFF"/>
        </w:rPr>
        <w:t>and</w:t>
      </w:r>
      <w:r>
        <w:rPr>
          <w:rFonts w:ascii="Arial" w:hAnsi="Arial" w:cs="Arial"/>
          <w:b/>
          <w:bCs/>
          <w:spacing w:val="-17"/>
          <w:sz w:val="24"/>
          <w:szCs w:val="24"/>
          <w:shd w:val="clear" w:color="auto" w:fill="FFFFFF"/>
        </w:rPr>
        <w:t xml:space="preserve"> </w:t>
      </w:r>
      <w:r>
        <w:rPr>
          <w:rFonts w:ascii="Arial" w:hAnsi="Arial" w:cs="Arial"/>
          <w:b/>
          <w:bCs/>
          <w:sz w:val="24"/>
          <w:szCs w:val="24"/>
          <w:shd w:val="clear" w:color="auto" w:fill="FFFFFF"/>
        </w:rPr>
        <w:t>to</w:t>
      </w:r>
      <w:r>
        <w:rPr>
          <w:rFonts w:ascii="Arial" w:hAnsi="Arial" w:cs="Arial"/>
          <w:b/>
          <w:bCs/>
          <w:spacing w:val="-15"/>
          <w:sz w:val="24"/>
          <w:szCs w:val="24"/>
          <w:shd w:val="clear" w:color="auto" w:fill="FFFFFF"/>
        </w:rPr>
        <w:t xml:space="preserve"> </w:t>
      </w:r>
      <w:r>
        <w:rPr>
          <w:rFonts w:ascii="Arial" w:hAnsi="Arial" w:cs="Arial"/>
          <w:b/>
          <w:bCs/>
          <w:sz w:val="24"/>
          <w:szCs w:val="24"/>
          <w:shd w:val="clear" w:color="auto" w:fill="FFFFFF"/>
        </w:rPr>
        <w:t>repair</w:t>
      </w:r>
      <w:r>
        <w:rPr>
          <w:rFonts w:ascii="Arial" w:hAnsi="Arial" w:cs="Arial"/>
          <w:b/>
          <w:bCs/>
          <w:spacing w:val="-19"/>
          <w:sz w:val="24"/>
          <w:szCs w:val="24"/>
          <w:shd w:val="clear" w:color="auto" w:fill="FFFFFF"/>
        </w:rPr>
        <w:t xml:space="preserve"> </w:t>
      </w:r>
      <w:r>
        <w:rPr>
          <w:rFonts w:ascii="Arial" w:hAnsi="Arial" w:cs="Arial"/>
          <w:b/>
          <w:bCs/>
          <w:sz w:val="24"/>
          <w:szCs w:val="24"/>
          <w:shd w:val="clear" w:color="auto" w:fill="FFFFFF"/>
        </w:rPr>
        <w:t>and</w:t>
      </w:r>
      <w:r>
        <w:rPr>
          <w:rFonts w:ascii="Arial" w:hAnsi="Arial" w:cs="Arial"/>
          <w:b/>
          <w:bCs/>
          <w:sz w:val="24"/>
          <w:szCs w:val="24"/>
          <w:shd w:val="clear" w:color="auto" w:fill="FFFFFF"/>
        </w:rPr>
        <w:tab/>
      </w:r>
      <w:r>
        <w:rPr>
          <w:rFonts w:ascii="Arial" w:hAnsi="Arial" w:cs="Arial"/>
          <w:b/>
          <w:bCs/>
          <w:sz w:val="24"/>
          <w:szCs w:val="24"/>
        </w:rPr>
        <w:t xml:space="preserve"> </w:t>
      </w:r>
      <w:r>
        <w:rPr>
          <w:rFonts w:ascii="Arial" w:hAnsi="Arial" w:cs="Arial"/>
          <w:b/>
          <w:bCs/>
          <w:sz w:val="24"/>
          <w:szCs w:val="24"/>
          <w:shd w:val="clear" w:color="auto" w:fill="FFFFFF"/>
        </w:rPr>
        <w:t>strengthen</w:t>
      </w:r>
      <w:r>
        <w:rPr>
          <w:rFonts w:ascii="Arial" w:hAnsi="Arial" w:cs="Arial"/>
          <w:b/>
          <w:bCs/>
          <w:spacing w:val="-13"/>
          <w:sz w:val="24"/>
          <w:szCs w:val="24"/>
          <w:shd w:val="clear" w:color="auto" w:fill="FFFFFF"/>
        </w:rPr>
        <w:t xml:space="preserve"> </w:t>
      </w:r>
      <w:r>
        <w:rPr>
          <w:rFonts w:ascii="Arial" w:hAnsi="Arial" w:cs="Arial"/>
          <w:b/>
          <w:bCs/>
          <w:sz w:val="24"/>
          <w:szCs w:val="24"/>
          <w:shd w:val="clear" w:color="auto" w:fill="FFFFFF"/>
        </w:rPr>
        <w:t>families</w:t>
      </w:r>
      <w:r>
        <w:rPr>
          <w:rFonts w:ascii="Arial" w:hAnsi="Arial" w:cs="Arial"/>
          <w:b/>
          <w:bCs/>
          <w:spacing w:val="-12"/>
          <w:sz w:val="24"/>
          <w:szCs w:val="24"/>
          <w:shd w:val="clear" w:color="auto" w:fill="FFFFFF"/>
        </w:rPr>
        <w:t xml:space="preserve"> </w:t>
      </w:r>
      <w:r>
        <w:rPr>
          <w:rFonts w:ascii="Arial" w:hAnsi="Arial" w:cs="Arial"/>
          <w:b/>
          <w:bCs/>
          <w:sz w:val="24"/>
          <w:szCs w:val="24"/>
          <w:shd w:val="clear" w:color="auto" w:fill="FFFFFF"/>
        </w:rPr>
        <w:t>torn</w:t>
      </w:r>
      <w:r>
        <w:rPr>
          <w:rFonts w:ascii="Arial" w:hAnsi="Arial" w:cs="Arial"/>
          <w:b/>
          <w:bCs/>
          <w:spacing w:val="-15"/>
          <w:sz w:val="24"/>
          <w:szCs w:val="24"/>
          <w:shd w:val="clear" w:color="auto" w:fill="FFFFFF"/>
        </w:rPr>
        <w:t xml:space="preserve"> </w:t>
      </w:r>
      <w:r>
        <w:rPr>
          <w:rFonts w:ascii="Arial" w:hAnsi="Arial" w:cs="Arial"/>
          <w:b/>
          <w:bCs/>
          <w:sz w:val="24"/>
          <w:szCs w:val="24"/>
          <w:shd w:val="clear" w:color="auto" w:fill="FFFFFF"/>
        </w:rPr>
        <w:t>apart</w:t>
      </w:r>
      <w:r>
        <w:rPr>
          <w:rFonts w:ascii="Arial" w:hAnsi="Arial" w:cs="Arial"/>
          <w:b/>
          <w:bCs/>
          <w:spacing w:val="-13"/>
          <w:sz w:val="24"/>
          <w:szCs w:val="24"/>
          <w:shd w:val="clear" w:color="auto" w:fill="FFFFFF"/>
        </w:rPr>
        <w:t xml:space="preserve"> </w:t>
      </w:r>
      <w:r>
        <w:rPr>
          <w:rFonts w:ascii="Arial" w:hAnsi="Arial" w:cs="Arial"/>
          <w:b/>
          <w:bCs/>
          <w:sz w:val="24"/>
          <w:szCs w:val="24"/>
          <w:shd w:val="clear" w:color="auto" w:fill="FFFFFF"/>
        </w:rPr>
        <w:t>by</w:t>
      </w:r>
      <w:r>
        <w:rPr>
          <w:rFonts w:ascii="Arial" w:hAnsi="Arial" w:cs="Arial"/>
          <w:b/>
          <w:bCs/>
          <w:spacing w:val="-23"/>
          <w:sz w:val="24"/>
          <w:szCs w:val="24"/>
          <w:shd w:val="clear" w:color="auto" w:fill="FFFFFF"/>
        </w:rPr>
        <w:t xml:space="preserve"> </w:t>
      </w:r>
      <w:r>
        <w:rPr>
          <w:rFonts w:ascii="Arial" w:hAnsi="Arial" w:cs="Arial"/>
          <w:b/>
          <w:bCs/>
          <w:sz w:val="24"/>
          <w:szCs w:val="24"/>
          <w:shd w:val="clear" w:color="auto" w:fill="FFFFFF"/>
        </w:rPr>
        <w:t>trauma</w:t>
      </w:r>
      <w:r>
        <w:rPr>
          <w:rFonts w:ascii="Arial" w:hAnsi="Arial" w:cs="Arial"/>
          <w:b/>
          <w:bCs/>
          <w:spacing w:val="-12"/>
          <w:sz w:val="24"/>
          <w:szCs w:val="24"/>
          <w:shd w:val="clear" w:color="auto" w:fill="FFFFFF"/>
        </w:rPr>
        <w:t xml:space="preserve"> </w:t>
      </w:r>
      <w:r>
        <w:rPr>
          <w:rFonts w:ascii="Arial" w:hAnsi="Arial" w:cs="Arial"/>
          <w:b/>
          <w:bCs/>
          <w:sz w:val="24"/>
          <w:szCs w:val="24"/>
          <w:shd w:val="clear" w:color="auto" w:fill="FFFFFF"/>
        </w:rPr>
        <w:t>and</w:t>
      </w:r>
      <w:r>
        <w:rPr>
          <w:rFonts w:ascii="Arial" w:hAnsi="Arial" w:cs="Arial"/>
          <w:b/>
          <w:bCs/>
          <w:spacing w:val="-13"/>
          <w:sz w:val="24"/>
          <w:szCs w:val="24"/>
          <w:shd w:val="clear" w:color="auto" w:fill="FFFFFF"/>
        </w:rPr>
        <w:t xml:space="preserve"> </w:t>
      </w:r>
      <w:r>
        <w:rPr>
          <w:rFonts w:ascii="Arial" w:hAnsi="Arial" w:cs="Arial"/>
          <w:b/>
          <w:bCs/>
          <w:sz w:val="24"/>
          <w:szCs w:val="24"/>
          <w:shd w:val="clear" w:color="auto" w:fill="FFFFFF"/>
        </w:rPr>
        <w:t>abuse.</w:t>
      </w:r>
      <w:r>
        <w:rPr>
          <w:rFonts w:ascii="Arial" w:hAnsi="Arial" w:cs="Arial"/>
          <w:b/>
          <w:bCs/>
          <w:spacing w:val="-13"/>
          <w:sz w:val="24"/>
          <w:szCs w:val="24"/>
          <w:shd w:val="clear" w:color="auto" w:fill="FFFFFF"/>
        </w:rPr>
        <w:t xml:space="preserve"> </w:t>
      </w:r>
      <w:r>
        <w:rPr>
          <w:rFonts w:ascii="Arial" w:hAnsi="Arial" w:cs="Arial"/>
          <w:sz w:val="24"/>
          <w:szCs w:val="24"/>
          <w:shd w:val="clear" w:color="auto" w:fill="FFFFFF"/>
        </w:rPr>
        <w:t>C</w:t>
      </w:r>
      <w:r>
        <w:rPr>
          <w:rFonts w:ascii="Arial" w:hAnsi="Arial" w:cs="Arial"/>
          <w:sz w:val="24"/>
          <w:szCs w:val="24"/>
        </w:rPr>
        <w:t>asa</w:t>
      </w:r>
      <w:r>
        <w:rPr>
          <w:rFonts w:ascii="Arial" w:hAnsi="Arial" w:cs="Arial"/>
          <w:spacing w:val="-14"/>
          <w:sz w:val="24"/>
          <w:szCs w:val="24"/>
        </w:rPr>
        <w:t xml:space="preserve"> </w:t>
      </w:r>
      <w:r>
        <w:rPr>
          <w:rFonts w:ascii="Arial" w:hAnsi="Arial" w:cs="Arial"/>
          <w:sz w:val="24"/>
          <w:szCs w:val="24"/>
        </w:rPr>
        <w:t>Esperanza</w:t>
      </w:r>
      <w:r>
        <w:rPr>
          <w:rFonts w:ascii="Arial" w:hAnsi="Arial" w:cs="Arial"/>
          <w:spacing w:val="-12"/>
          <w:sz w:val="24"/>
          <w:szCs w:val="24"/>
        </w:rPr>
        <w:t xml:space="preserve"> </w:t>
      </w:r>
      <w:r>
        <w:rPr>
          <w:rFonts w:ascii="Arial" w:hAnsi="Arial" w:cs="Arial"/>
          <w:sz w:val="24"/>
          <w:szCs w:val="24"/>
        </w:rPr>
        <w:t>offers</w:t>
      </w:r>
      <w:r>
        <w:rPr>
          <w:rFonts w:ascii="Arial" w:hAnsi="Arial" w:cs="Arial"/>
          <w:spacing w:val="-13"/>
          <w:sz w:val="24"/>
          <w:szCs w:val="24"/>
        </w:rPr>
        <w:t xml:space="preserve"> </w:t>
      </w:r>
      <w:r>
        <w:rPr>
          <w:rFonts w:ascii="Arial" w:hAnsi="Arial" w:cs="Arial"/>
          <w:sz w:val="24"/>
          <w:szCs w:val="24"/>
        </w:rPr>
        <w:t>a</w:t>
      </w:r>
      <w:r>
        <w:rPr>
          <w:rFonts w:ascii="Arial" w:hAnsi="Arial" w:cs="Arial"/>
          <w:w w:val="99"/>
          <w:sz w:val="24"/>
          <w:szCs w:val="24"/>
        </w:rPr>
        <w:t xml:space="preserve"> </w:t>
      </w:r>
      <w:r>
        <w:rPr>
          <w:rFonts w:ascii="Arial" w:hAnsi="Arial" w:cs="Arial"/>
          <w:sz w:val="24"/>
          <w:szCs w:val="24"/>
        </w:rPr>
        <w:t>range of treatment and support services including Residential Recovery Home services for adult men and women, including pregnant and postpartum women, and women reunifying with their children; outpatient mental health and addictions treatment, including the only Spanish language Structured Outpatient Addictions Program in Greater Boston, and an OBAT program that prescribes both Vivitrol and Suboxone</w:t>
      </w:r>
      <w:r>
        <w:rPr>
          <w:rFonts w:ascii="Arial" w:hAnsi="Arial" w:cs="Arial"/>
          <w:spacing w:val="-18"/>
          <w:sz w:val="24"/>
          <w:szCs w:val="24"/>
        </w:rPr>
        <w:t xml:space="preserve"> </w:t>
      </w:r>
      <w:r>
        <w:rPr>
          <w:rFonts w:ascii="Arial" w:hAnsi="Arial" w:cs="Arial"/>
          <w:sz w:val="24"/>
          <w:szCs w:val="24"/>
        </w:rPr>
        <w:t>with</w:t>
      </w:r>
      <w:r>
        <w:rPr>
          <w:rFonts w:ascii="Arial" w:hAnsi="Arial" w:cs="Arial"/>
          <w:spacing w:val="-18"/>
          <w:sz w:val="24"/>
          <w:szCs w:val="24"/>
        </w:rPr>
        <w:t xml:space="preserve"> </w:t>
      </w:r>
      <w:r>
        <w:rPr>
          <w:rFonts w:ascii="Arial" w:hAnsi="Arial" w:cs="Arial"/>
          <w:sz w:val="24"/>
          <w:szCs w:val="24"/>
        </w:rPr>
        <w:t>wraparound</w:t>
      </w:r>
      <w:r>
        <w:rPr>
          <w:rFonts w:ascii="Arial" w:hAnsi="Arial" w:cs="Arial"/>
          <w:spacing w:val="-18"/>
          <w:sz w:val="24"/>
          <w:szCs w:val="24"/>
        </w:rPr>
        <w:t xml:space="preserve"> </w:t>
      </w:r>
      <w:r>
        <w:rPr>
          <w:rFonts w:ascii="Arial" w:hAnsi="Arial" w:cs="Arial"/>
          <w:sz w:val="24"/>
          <w:szCs w:val="24"/>
        </w:rPr>
        <w:t>culturally-focused</w:t>
      </w:r>
      <w:r>
        <w:rPr>
          <w:rFonts w:ascii="Arial" w:hAnsi="Arial" w:cs="Arial"/>
          <w:spacing w:val="-18"/>
          <w:sz w:val="24"/>
          <w:szCs w:val="24"/>
        </w:rPr>
        <w:t xml:space="preserve"> </w:t>
      </w:r>
      <w:r>
        <w:rPr>
          <w:rFonts w:ascii="Arial" w:hAnsi="Arial" w:cs="Arial"/>
          <w:sz w:val="24"/>
          <w:szCs w:val="24"/>
        </w:rPr>
        <w:t>support</w:t>
      </w:r>
      <w:r>
        <w:rPr>
          <w:rFonts w:ascii="Arial" w:hAnsi="Arial" w:cs="Arial"/>
          <w:spacing w:val="-18"/>
          <w:sz w:val="24"/>
          <w:szCs w:val="24"/>
        </w:rPr>
        <w:t xml:space="preserve"> </w:t>
      </w:r>
      <w:r>
        <w:rPr>
          <w:rFonts w:ascii="Arial" w:hAnsi="Arial" w:cs="Arial"/>
          <w:sz w:val="24"/>
          <w:szCs w:val="24"/>
        </w:rPr>
        <w:t>services;</w:t>
      </w:r>
      <w:r>
        <w:rPr>
          <w:rFonts w:ascii="Arial" w:hAnsi="Arial" w:cs="Arial"/>
          <w:spacing w:val="-18"/>
          <w:sz w:val="24"/>
          <w:szCs w:val="24"/>
        </w:rPr>
        <w:t xml:space="preserve"> </w:t>
      </w:r>
      <w:r>
        <w:rPr>
          <w:rFonts w:ascii="Arial" w:hAnsi="Arial" w:cs="Arial"/>
          <w:sz w:val="24"/>
          <w:szCs w:val="24"/>
        </w:rPr>
        <w:t>37</w:t>
      </w:r>
      <w:r>
        <w:rPr>
          <w:rFonts w:ascii="Arial" w:hAnsi="Arial" w:cs="Arial"/>
          <w:spacing w:val="-21"/>
          <w:sz w:val="24"/>
          <w:szCs w:val="24"/>
        </w:rPr>
        <w:t xml:space="preserve"> </w:t>
      </w:r>
      <w:r>
        <w:rPr>
          <w:rFonts w:ascii="Arial" w:hAnsi="Arial" w:cs="Arial"/>
          <w:sz w:val="24"/>
          <w:szCs w:val="24"/>
        </w:rPr>
        <w:t>units</w:t>
      </w:r>
      <w:r>
        <w:rPr>
          <w:rFonts w:ascii="Arial" w:hAnsi="Arial" w:cs="Arial"/>
          <w:spacing w:val="-19"/>
          <w:sz w:val="24"/>
          <w:szCs w:val="24"/>
        </w:rPr>
        <w:t xml:space="preserve"> </w:t>
      </w:r>
      <w:r>
        <w:rPr>
          <w:rFonts w:ascii="Arial" w:hAnsi="Arial" w:cs="Arial"/>
          <w:sz w:val="24"/>
          <w:szCs w:val="24"/>
        </w:rPr>
        <w:t>of</w:t>
      </w:r>
      <w:r>
        <w:rPr>
          <w:rFonts w:ascii="Arial" w:hAnsi="Arial" w:cs="Arial"/>
          <w:spacing w:val="-18"/>
          <w:sz w:val="24"/>
          <w:szCs w:val="24"/>
        </w:rPr>
        <w:t xml:space="preserve"> </w:t>
      </w:r>
      <w:r>
        <w:rPr>
          <w:rFonts w:ascii="Arial" w:hAnsi="Arial" w:cs="Arial"/>
          <w:sz w:val="24"/>
          <w:szCs w:val="24"/>
        </w:rPr>
        <w:t xml:space="preserve">Supportive Housing; and the Commonwealth’s first bilingual/bicultural Clinical Stabilization Services program, which is currently under development. Each of these programs </w:t>
      </w:r>
      <w:r>
        <w:rPr>
          <w:rFonts w:ascii="Arial" w:hAnsi="Arial" w:cs="Arial"/>
          <w:spacing w:val="-3"/>
          <w:sz w:val="24"/>
          <w:szCs w:val="24"/>
        </w:rPr>
        <w:t xml:space="preserve">is </w:t>
      </w:r>
      <w:r>
        <w:rPr>
          <w:rFonts w:ascii="Arial" w:hAnsi="Arial" w:cs="Arial"/>
          <w:sz w:val="24"/>
          <w:szCs w:val="24"/>
        </w:rPr>
        <w:t xml:space="preserve">part of our larger </w:t>
      </w:r>
      <w:proofErr w:type="spellStart"/>
      <w:r>
        <w:rPr>
          <w:rFonts w:ascii="Arial" w:hAnsi="Arial" w:cs="Arial"/>
          <w:sz w:val="24"/>
          <w:szCs w:val="24"/>
        </w:rPr>
        <w:t>CasaCare</w:t>
      </w:r>
      <w:proofErr w:type="spellEnd"/>
      <w:r>
        <w:rPr>
          <w:rFonts w:ascii="Arial" w:hAnsi="Arial" w:cs="Arial"/>
          <w:sz w:val="24"/>
          <w:szCs w:val="24"/>
        </w:rPr>
        <w:t xml:space="preserve"> model that provides integrated behavioral health and primary</w:t>
      </w:r>
      <w:r>
        <w:rPr>
          <w:rFonts w:ascii="Arial" w:hAnsi="Arial" w:cs="Arial"/>
          <w:spacing w:val="-20"/>
          <w:sz w:val="24"/>
          <w:szCs w:val="24"/>
        </w:rPr>
        <w:t xml:space="preserve"> </w:t>
      </w:r>
      <w:r>
        <w:rPr>
          <w:rFonts w:ascii="Arial" w:hAnsi="Arial" w:cs="Arial"/>
          <w:sz w:val="24"/>
          <w:szCs w:val="24"/>
        </w:rPr>
        <w:t>care</w:t>
      </w:r>
      <w:r>
        <w:rPr>
          <w:rFonts w:ascii="Arial" w:hAnsi="Arial" w:cs="Arial"/>
          <w:spacing w:val="-13"/>
          <w:sz w:val="24"/>
          <w:szCs w:val="24"/>
        </w:rPr>
        <w:t xml:space="preserve"> </w:t>
      </w:r>
      <w:r>
        <w:rPr>
          <w:rFonts w:ascii="Arial" w:hAnsi="Arial" w:cs="Arial"/>
          <w:sz w:val="24"/>
          <w:szCs w:val="24"/>
        </w:rPr>
        <w:t>services</w:t>
      </w:r>
      <w:r>
        <w:rPr>
          <w:rFonts w:ascii="Arial" w:hAnsi="Arial" w:cs="Arial"/>
          <w:spacing w:val="-17"/>
          <w:sz w:val="24"/>
          <w:szCs w:val="24"/>
        </w:rPr>
        <w:t xml:space="preserve"> </w:t>
      </w:r>
      <w:r>
        <w:rPr>
          <w:rFonts w:ascii="Arial" w:hAnsi="Arial" w:cs="Arial"/>
          <w:sz w:val="24"/>
          <w:szCs w:val="24"/>
        </w:rPr>
        <w:t>across</w:t>
      </w:r>
      <w:r>
        <w:rPr>
          <w:rFonts w:ascii="Arial" w:hAnsi="Arial" w:cs="Arial"/>
          <w:spacing w:val="-17"/>
          <w:sz w:val="24"/>
          <w:szCs w:val="24"/>
        </w:rPr>
        <w:t xml:space="preserve"> </w:t>
      </w:r>
      <w:r>
        <w:rPr>
          <w:rFonts w:ascii="Arial" w:hAnsi="Arial" w:cs="Arial"/>
          <w:sz w:val="24"/>
          <w:szCs w:val="24"/>
        </w:rPr>
        <w:t>our</w:t>
      </w:r>
      <w:r>
        <w:rPr>
          <w:rFonts w:ascii="Arial" w:hAnsi="Arial" w:cs="Arial"/>
          <w:spacing w:val="-17"/>
          <w:sz w:val="24"/>
          <w:szCs w:val="24"/>
        </w:rPr>
        <w:t xml:space="preserve"> </w:t>
      </w:r>
      <w:r>
        <w:rPr>
          <w:rFonts w:ascii="Arial" w:hAnsi="Arial" w:cs="Arial"/>
          <w:sz w:val="24"/>
          <w:szCs w:val="24"/>
        </w:rPr>
        <w:t>continuum.</w:t>
      </w:r>
    </w:p>
    <w:p w:rsidR="002C5025" w:rsidRDefault="002C5025">
      <w:pPr>
        <w:pStyle w:val="BodyText"/>
        <w:kinsoku w:val="0"/>
        <w:overflowPunct w:val="0"/>
        <w:rPr>
          <w:rFonts w:ascii="Arial" w:hAnsi="Arial" w:cs="Arial"/>
          <w:sz w:val="24"/>
          <w:szCs w:val="24"/>
        </w:rPr>
      </w:pPr>
    </w:p>
    <w:p w:rsidR="002C5025" w:rsidRDefault="002C5025">
      <w:pPr>
        <w:pStyle w:val="BodyText"/>
        <w:kinsoku w:val="0"/>
        <w:overflowPunct w:val="0"/>
        <w:ind w:left="120" w:right="1155"/>
        <w:rPr>
          <w:rFonts w:ascii="Arial" w:hAnsi="Arial" w:cs="Arial"/>
          <w:sz w:val="24"/>
          <w:szCs w:val="24"/>
        </w:rPr>
      </w:pPr>
      <w:r>
        <w:rPr>
          <w:rFonts w:ascii="Arial" w:hAnsi="Arial" w:cs="Arial"/>
          <w:sz w:val="24"/>
          <w:szCs w:val="24"/>
        </w:rPr>
        <w:t>As</w:t>
      </w:r>
      <w:r>
        <w:rPr>
          <w:rFonts w:ascii="Arial" w:hAnsi="Arial" w:cs="Arial"/>
          <w:spacing w:val="-12"/>
          <w:sz w:val="24"/>
          <w:szCs w:val="24"/>
        </w:rPr>
        <w:t xml:space="preserve"> </w:t>
      </w:r>
      <w:r>
        <w:rPr>
          <w:rFonts w:ascii="Arial" w:hAnsi="Arial" w:cs="Arial"/>
          <w:sz w:val="24"/>
          <w:szCs w:val="24"/>
        </w:rPr>
        <w:t>an</w:t>
      </w:r>
      <w:r>
        <w:rPr>
          <w:rFonts w:ascii="Arial" w:hAnsi="Arial" w:cs="Arial"/>
          <w:spacing w:val="-14"/>
          <w:sz w:val="24"/>
          <w:szCs w:val="24"/>
        </w:rPr>
        <w:t xml:space="preserve"> </w:t>
      </w:r>
      <w:r>
        <w:rPr>
          <w:rFonts w:ascii="Arial" w:hAnsi="Arial" w:cs="Arial"/>
          <w:sz w:val="24"/>
          <w:szCs w:val="24"/>
        </w:rPr>
        <w:t>active</w:t>
      </w:r>
      <w:r>
        <w:rPr>
          <w:rFonts w:ascii="Arial" w:hAnsi="Arial" w:cs="Arial"/>
          <w:spacing w:val="-11"/>
          <w:sz w:val="24"/>
          <w:szCs w:val="24"/>
        </w:rPr>
        <w:t xml:space="preserve"> </w:t>
      </w:r>
      <w:r>
        <w:rPr>
          <w:rFonts w:ascii="Arial" w:hAnsi="Arial" w:cs="Arial"/>
          <w:sz w:val="24"/>
          <w:szCs w:val="24"/>
        </w:rPr>
        <w:t>member</w:t>
      </w:r>
      <w:r>
        <w:rPr>
          <w:rFonts w:ascii="Arial" w:hAnsi="Arial" w:cs="Arial"/>
          <w:spacing w:val="-15"/>
          <w:sz w:val="24"/>
          <w:szCs w:val="24"/>
        </w:rPr>
        <w:t xml:space="preserve"> </w:t>
      </w:r>
      <w:r>
        <w:rPr>
          <w:rFonts w:ascii="Arial" w:hAnsi="Arial" w:cs="Arial"/>
          <w:sz w:val="24"/>
          <w:szCs w:val="24"/>
        </w:rPr>
        <w:t>of</w:t>
      </w:r>
      <w:r>
        <w:rPr>
          <w:rFonts w:ascii="Arial" w:hAnsi="Arial" w:cs="Arial"/>
          <w:spacing w:val="-10"/>
          <w:sz w:val="24"/>
          <w:szCs w:val="24"/>
        </w:rPr>
        <w:t xml:space="preserve"> </w:t>
      </w:r>
      <w:r>
        <w:rPr>
          <w:rFonts w:ascii="Arial" w:hAnsi="Arial" w:cs="Arial"/>
          <w:sz w:val="24"/>
          <w:szCs w:val="24"/>
        </w:rPr>
        <w:t>the</w:t>
      </w:r>
      <w:r>
        <w:rPr>
          <w:rFonts w:ascii="Arial" w:hAnsi="Arial" w:cs="Arial"/>
          <w:spacing w:val="-14"/>
          <w:sz w:val="24"/>
          <w:szCs w:val="24"/>
        </w:rPr>
        <w:t xml:space="preserve"> </w:t>
      </w:r>
      <w:r>
        <w:rPr>
          <w:rFonts w:ascii="Arial" w:hAnsi="Arial" w:cs="Arial"/>
          <w:sz w:val="24"/>
          <w:szCs w:val="24"/>
        </w:rPr>
        <w:t>Association</w:t>
      </w:r>
      <w:r>
        <w:rPr>
          <w:rFonts w:ascii="Arial" w:hAnsi="Arial" w:cs="Arial"/>
          <w:spacing w:val="-16"/>
          <w:sz w:val="24"/>
          <w:szCs w:val="24"/>
        </w:rPr>
        <w:t xml:space="preserve"> </w:t>
      </w:r>
      <w:r>
        <w:rPr>
          <w:rFonts w:ascii="Arial" w:hAnsi="Arial" w:cs="Arial"/>
          <w:sz w:val="24"/>
          <w:szCs w:val="24"/>
        </w:rPr>
        <w:t>for</w:t>
      </w:r>
      <w:r>
        <w:rPr>
          <w:rFonts w:ascii="Arial" w:hAnsi="Arial" w:cs="Arial"/>
          <w:spacing w:val="-15"/>
          <w:sz w:val="24"/>
          <w:szCs w:val="24"/>
        </w:rPr>
        <w:t xml:space="preserve"> </w:t>
      </w:r>
      <w:r>
        <w:rPr>
          <w:rFonts w:ascii="Arial" w:hAnsi="Arial" w:cs="Arial"/>
          <w:sz w:val="24"/>
          <w:szCs w:val="24"/>
        </w:rPr>
        <w:t>Behavioral</w:t>
      </w:r>
      <w:r>
        <w:rPr>
          <w:rFonts w:ascii="Arial" w:hAnsi="Arial" w:cs="Arial"/>
          <w:spacing w:val="-13"/>
          <w:sz w:val="24"/>
          <w:szCs w:val="24"/>
        </w:rPr>
        <w:t xml:space="preserve"> </w:t>
      </w:r>
      <w:r>
        <w:rPr>
          <w:rFonts w:ascii="Arial" w:hAnsi="Arial" w:cs="Arial"/>
          <w:sz w:val="24"/>
          <w:szCs w:val="24"/>
        </w:rPr>
        <w:t>Healthcare,</w:t>
      </w:r>
      <w:r>
        <w:rPr>
          <w:rFonts w:ascii="Arial" w:hAnsi="Arial" w:cs="Arial"/>
          <w:spacing w:val="-14"/>
          <w:sz w:val="24"/>
          <w:szCs w:val="24"/>
        </w:rPr>
        <w:t xml:space="preserve"> </w:t>
      </w:r>
      <w:r>
        <w:rPr>
          <w:rFonts w:ascii="Arial" w:hAnsi="Arial" w:cs="Arial"/>
          <w:sz w:val="24"/>
          <w:szCs w:val="24"/>
        </w:rPr>
        <w:t>Casa</w:t>
      </w:r>
      <w:r>
        <w:rPr>
          <w:rFonts w:ascii="Arial" w:hAnsi="Arial" w:cs="Arial"/>
          <w:spacing w:val="-11"/>
          <w:sz w:val="24"/>
          <w:szCs w:val="24"/>
        </w:rPr>
        <w:t xml:space="preserve"> </w:t>
      </w:r>
      <w:r>
        <w:rPr>
          <w:rFonts w:ascii="Arial" w:hAnsi="Arial" w:cs="Arial"/>
          <w:sz w:val="24"/>
          <w:szCs w:val="24"/>
        </w:rPr>
        <w:t>would</w:t>
      </w:r>
      <w:r>
        <w:rPr>
          <w:rFonts w:ascii="Arial" w:hAnsi="Arial" w:cs="Arial"/>
          <w:spacing w:val="-11"/>
          <w:sz w:val="24"/>
          <w:szCs w:val="24"/>
        </w:rPr>
        <w:t xml:space="preserve"> </w:t>
      </w:r>
      <w:r>
        <w:rPr>
          <w:rFonts w:ascii="Arial" w:hAnsi="Arial" w:cs="Arial"/>
          <w:sz w:val="24"/>
          <w:szCs w:val="24"/>
        </w:rPr>
        <w:t>like</w:t>
      </w:r>
      <w:r>
        <w:rPr>
          <w:rFonts w:ascii="Arial" w:hAnsi="Arial" w:cs="Arial"/>
          <w:spacing w:val="-11"/>
          <w:sz w:val="24"/>
          <w:szCs w:val="24"/>
        </w:rPr>
        <w:t xml:space="preserve"> </w:t>
      </w:r>
      <w:r>
        <w:rPr>
          <w:rFonts w:ascii="Arial" w:hAnsi="Arial" w:cs="Arial"/>
          <w:sz w:val="24"/>
          <w:szCs w:val="24"/>
        </w:rPr>
        <w:t>to fully</w:t>
      </w:r>
      <w:r>
        <w:rPr>
          <w:rFonts w:ascii="Arial" w:hAnsi="Arial" w:cs="Arial"/>
          <w:spacing w:val="-18"/>
          <w:sz w:val="24"/>
          <w:szCs w:val="24"/>
        </w:rPr>
        <w:t xml:space="preserve"> </w:t>
      </w:r>
      <w:r>
        <w:rPr>
          <w:rFonts w:ascii="Arial" w:hAnsi="Arial" w:cs="Arial"/>
          <w:sz w:val="24"/>
          <w:szCs w:val="24"/>
        </w:rPr>
        <w:t>endorse</w:t>
      </w:r>
      <w:r>
        <w:rPr>
          <w:rFonts w:ascii="Arial" w:hAnsi="Arial" w:cs="Arial"/>
          <w:spacing w:val="-15"/>
          <w:sz w:val="24"/>
          <w:szCs w:val="24"/>
        </w:rPr>
        <w:t xml:space="preserve"> </w:t>
      </w:r>
      <w:r>
        <w:rPr>
          <w:rFonts w:ascii="Arial" w:hAnsi="Arial" w:cs="Arial"/>
          <w:sz w:val="24"/>
          <w:szCs w:val="24"/>
        </w:rPr>
        <w:t>the</w:t>
      </w:r>
      <w:r>
        <w:rPr>
          <w:rFonts w:ascii="Arial" w:hAnsi="Arial" w:cs="Arial"/>
          <w:spacing w:val="-15"/>
          <w:sz w:val="24"/>
          <w:szCs w:val="24"/>
        </w:rPr>
        <w:t xml:space="preserve"> </w:t>
      </w:r>
      <w:r>
        <w:rPr>
          <w:rFonts w:ascii="Arial" w:hAnsi="Arial" w:cs="Arial"/>
          <w:sz w:val="24"/>
          <w:szCs w:val="24"/>
        </w:rPr>
        <w:t>comments</w:t>
      </w:r>
      <w:r>
        <w:rPr>
          <w:rFonts w:ascii="Arial" w:hAnsi="Arial" w:cs="Arial"/>
          <w:spacing w:val="-16"/>
          <w:sz w:val="24"/>
          <w:szCs w:val="24"/>
        </w:rPr>
        <w:t xml:space="preserve"> </w:t>
      </w:r>
      <w:r>
        <w:rPr>
          <w:rFonts w:ascii="Arial" w:hAnsi="Arial" w:cs="Arial"/>
          <w:sz w:val="24"/>
          <w:szCs w:val="24"/>
        </w:rPr>
        <w:t>and</w:t>
      </w:r>
      <w:r>
        <w:rPr>
          <w:rFonts w:ascii="Arial" w:hAnsi="Arial" w:cs="Arial"/>
          <w:spacing w:val="-13"/>
          <w:sz w:val="24"/>
          <w:szCs w:val="24"/>
        </w:rPr>
        <w:t xml:space="preserve"> </w:t>
      </w:r>
      <w:r>
        <w:rPr>
          <w:rFonts w:ascii="Arial" w:hAnsi="Arial" w:cs="Arial"/>
          <w:sz w:val="24"/>
          <w:szCs w:val="24"/>
        </w:rPr>
        <w:t>recommendations</w:t>
      </w:r>
      <w:r>
        <w:rPr>
          <w:rFonts w:ascii="Arial" w:hAnsi="Arial" w:cs="Arial"/>
          <w:spacing w:val="-16"/>
          <w:sz w:val="24"/>
          <w:szCs w:val="24"/>
        </w:rPr>
        <w:t xml:space="preserve"> </w:t>
      </w:r>
      <w:r>
        <w:rPr>
          <w:rFonts w:ascii="Arial" w:hAnsi="Arial" w:cs="Arial"/>
          <w:sz w:val="24"/>
          <w:szCs w:val="24"/>
        </w:rPr>
        <w:t>submitted</w:t>
      </w:r>
      <w:r>
        <w:rPr>
          <w:rFonts w:ascii="Arial" w:hAnsi="Arial" w:cs="Arial"/>
          <w:spacing w:val="-13"/>
          <w:sz w:val="24"/>
          <w:szCs w:val="24"/>
        </w:rPr>
        <w:t xml:space="preserve"> </w:t>
      </w:r>
      <w:r>
        <w:rPr>
          <w:rFonts w:ascii="Arial" w:hAnsi="Arial" w:cs="Arial"/>
          <w:sz w:val="24"/>
          <w:szCs w:val="24"/>
        </w:rPr>
        <w:t>by</w:t>
      </w:r>
      <w:r>
        <w:rPr>
          <w:rFonts w:ascii="Arial" w:hAnsi="Arial" w:cs="Arial"/>
          <w:spacing w:val="-18"/>
          <w:sz w:val="24"/>
          <w:szCs w:val="24"/>
        </w:rPr>
        <w:t xml:space="preserve"> </w:t>
      </w:r>
      <w:r>
        <w:rPr>
          <w:rFonts w:ascii="Arial" w:hAnsi="Arial" w:cs="Arial"/>
          <w:sz w:val="24"/>
          <w:szCs w:val="24"/>
        </w:rPr>
        <w:t>ABH</w:t>
      </w:r>
      <w:r>
        <w:rPr>
          <w:rFonts w:ascii="Arial" w:hAnsi="Arial" w:cs="Arial"/>
          <w:spacing w:val="-16"/>
          <w:sz w:val="24"/>
          <w:szCs w:val="24"/>
        </w:rPr>
        <w:t xml:space="preserve"> </w:t>
      </w:r>
      <w:r>
        <w:rPr>
          <w:rFonts w:ascii="Arial" w:hAnsi="Arial" w:cs="Arial"/>
          <w:sz w:val="24"/>
          <w:szCs w:val="24"/>
        </w:rPr>
        <w:t>on</w:t>
      </w:r>
      <w:r>
        <w:rPr>
          <w:rFonts w:ascii="Arial" w:hAnsi="Arial" w:cs="Arial"/>
          <w:spacing w:val="-15"/>
          <w:sz w:val="24"/>
          <w:szCs w:val="24"/>
        </w:rPr>
        <w:t xml:space="preserve"> </w:t>
      </w:r>
      <w:r>
        <w:rPr>
          <w:rFonts w:ascii="Arial" w:hAnsi="Arial" w:cs="Arial"/>
          <w:sz w:val="24"/>
          <w:szCs w:val="24"/>
        </w:rPr>
        <w:t>the</w:t>
      </w:r>
      <w:r>
        <w:rPr>
          <w:rFonts w:ascii="Arial" w:hAnsi="Arial" w:cs="Arial"/>
          <w:spacing w:val="-13"/>
          <w:sz w:val="24"/>
          <w:szCs w:val="24"/>
        </w:rPr>
        <w:t xml:space="preserve"> </w:t>
      </w:r>
      <w:r>
        <w:rPr>
          <w:rFonts w:ascii="Arial" w:hAnsi="Arial" w:cs="Arial"/>
          <w:sz w:val="24"/>
          <w:szCs w:val="24"/>
        </w:rPr>
        <w:t>Request for Amendment and Extension of the Section 1115 Demonstration; and respectfully submits these additional comments at this pivotal moment in health systems transformation in the hopes of strengthening mechanisms that can support the eradication</w:t>
      </w:r>
      <w:r>
        <w:rPr>
          <w:rFonts w:ascii="Arial" w:hAnsi="Arial" w:cs="Arial"/>
          <w:spacing w:val="-27"/>
          <w:sz w:val="24"/>
          <w:szCs w:val="24"/>
        </w:rPr>
        <w:t xml:space="preserve"> </w:t>
      </w:r>
      <w:r>
        <w:rPr>
          <w:rFonts w:ascii="Arial" w:hAnsi="Arial" w:cs="Arial"/>
          <w:sz w:val="24"/>
          <w:szCs w:val="24"/>
        </w:rPr>
        <w:t>of</w:t>
      </w:r>
      <w:r>
        <w:rPr>
          <w:rFonts w:ascii="Arial" w:hAnsi="Arial" w:cs="Arial"/>
          <w:spacing w:val="-24"/>
          <w:sz w:val="24"/>
          <w:szCs w:val="24"/>
        </w:rPr>
        <w:t xml:space="preserve"> </w:t>
      </w:r>
      <w:r>
        <w:rPr>
          <w:rFonts w:ascii="Arial" w:hAnsi="Arial" w:cs="Arial"/>
          <w:sz w:val="24"/>
          <w:szCs w:val="24"/>
        </w:rPr>
        <w:t>health</w:t>
      </w:r>
      <w:r>
        <w:rPr>
          <w:rFonts w:ascii="Arial" w:hAnsi="Arial" w:cs="Arial"/>
          <w:spacing w:val="-25"/>
          <w:sz w:val="24"/>
          <w:szCs w:val="24"/>
        </w:rPr>
        <w:t xml:space="preserve"> </w:t>
      </w:r>
      <w:r>
        <w:rPr>
          <w:rFonts w:ascii="Arial" w:hAnsi="Arial" w:cs="Arial"/>
          <w:sz w:val="24"/>
          <w:szCs w:val="24"/>
        </w:rPr>
        <w:t>disparities.</w:t>
      </w:r>
    </w:p>
    <w:p w:rsidR="002C5025" w:rsidRDefault="002C5025">
      <w:pPr>
        <w:pStyle w:val="BodyText"/>
        <w:kinsoku w:val="0"/>
        <w:overflowPunct w:val="0"/>
        <w:rPr>
          <w:rFonts w:ascii="Arial" w:hAnsi="Arial" w:cs="Arial"/>
          <w:sz w:val="24"/>
          <w:szCs w:val="24"/>
        </w:rPr>
      </w:pPr>
    </w:p>
    <w:p w:rsidR="002C5025" w:rsidRDefault="002C5025">
      <w:pPr>
        <w:pStyle w:val="BodyText"/>
        <w:kinsoku w:val="0"/>
        <w:overflowPunct w:val="0"/>
        <w:ind w:left="120" w:right="1317"/>
        <w:rPr>
          <w:rFonts w:ascii="Arial" w:hAnsi="Arial" w:cs="Arial"/>
          <w:sz w:val="24"/>
          <w:szCs w:val="24"/>
        </w:rPr>
      </w:pPr>
      <w:r>
        <w:rPr>
          <w:rFonts w:ascii="Arial" w:hAnsi="Arial" w:cs="Arial"/>
          <w:sz w:val="24"/>
          <w:szCs w:val="24"/>
        </w:rPr>
        <w:t>On</w:t>
      </w:r>
      <w:r>
        <w:rPr>
          <w:rFonts w:ascii="Arial" w:hAnsi="Arial" w:cs="Arial"/>
          <w:spacing w:val="-9"/>
          <w:sz w:val="24"/>
          <w:szCs w:val="24"/>
        </w:rPr>
        <w:t xml:space="preserve"> </w:t>
      </w:r>
      <w:r>
        <w:rPr>
          <w:rFonts w:ascii="Arial" w:hAnsi="Arial" w:cs="Arial"/>
          <w:sz w:val="24"/>
          <w:szCs w:val="24"/>
        </w:rPr>
        <w:t>behalf</w:t>
      </w:r>
      <w:r>
        <w:rPr>
          <w:rFonts w:ascii="Arial" w:hAnsi="Arial" w:cs="Arial"/>
          <w:spacing w:val="-9"/>
          <w:sz w:val="24"/>
          <w:szCs w:val="24"/>
        </w:rPr>
        <w:t xml:space="preserve"> </w:t>
      </w:r>
      <w:r>
        <w:rPr>
          <w:rFonts w:ascii="Arial" w:hAnsi="Arial" w:cs="Arial"/>
          <w:sz w:val="24"/>
          <w:szCs w:val="24"/>
        </w:rPr>
        <w:t>of</w:t>
      </w:r>
      <w:r>
        <w:rPr>
          <w:rFonts w:ascii="Arial" w:hAnsi="Arial" w:cs="Arial"/>
          <w:spacing w:val="-9"/>
          <w:sz w:val="24"/>
          <w:szCs w:val="24"/>
        </w:rPr>
        <w:t xml:space="preserve"> </w:t>
      </w:r>
      <w:r>
        <w:rPr>
          <w:rFonts w:ascii="Arial" w:hAnsi="Arial" w:cs="Arial"/>
          <w:sz w:val="24"/>
          <w:szCs w:val="24"/>
        </w:rPr>
        <w:t>our</w:t>
      </w:r>
      <w:r>
        <w:rPr>
          <w:rFonts w:ascii="Arial" w:hAnsi="Arial" w:cs="Arial"/>
          <w:spacing w:val="-12"/>
          <w:sz w:val="24"/>
          <w:szCs w:val="24"/>
        </w:rPr>
        <w:t xml:space="preserve"> </w:t>
      </w:r>
      <w:r>
        <w:rPr>
          <w:rFonts w:ascii="Arial" w:hAnsi="Arial" w:cs="Arial"/>
          <w:sz w:val="24"/>
          <w:szCs w:val="24"/>
        </w:rPr>
        <w:t>clients,</w:t>
      </w:r>
      <w:r>
        <w:rPr>
          <w:rFonts w:ascii="Arial" w:hAnsi="Arial" w:cs="Arial"/>
          <w:spacing w:val="-9"/>
          <w:sz w:val="24"/>
          <w:szCs w:val="24"/>
        </w:rPr>
        <w:t xml:space="preserve"> </w:t>
      </w:r>
      <w:r>
        <w:rPr>
          <w:rFonts w:ascii="Arial" w:hAnsi="Arial" w:cs="Arial"/>
          <w:sz w:val="24"/>
          <w:szCs w:val="24"/>
        </w:rPr>
        <w:t>staff,</w:t>
      </w:r>
      <w:r>
        <w:rPr>
          <w:rFonts w:ascii="Arial" w:hAnsi="Arial" w:cs="Arial"/>
          <w:spacing w:val="-11"/>
          <w:sz w:val="24"/>
          <w:szCs w:val="24"/>
        </w:rPr>
        <w:t xml:space="preserve"> </w:t>
      </w:r>
      <w:r>
        <w:rPr>
          <w:rFonts w:ascii="Arial" w:hAnsi="Arial" w:cs="Arial"/>
          <w:sz w:val="24"/>
          <w:szCs w:val="24"/>
        </w:rPr>
        <w:t>and</w:t>
      </w:r>
      <w:r>
        <w:rPr>
          <w:rFonts w:ascii="Arial" w:hAnsi="Arial" w:cs="Arial"/>
          <w:spacing w:val="-10"/>
          <w:sz w:val="24"/>
          <w:szCs w:val="24"/>
        </w:rPr>
        <w:t xml:space="preserve"> </w:t>
      </w:r>
      <w:r>
        <w:rPr>
          <w:rFonts w:ascii="Arial" w:hAnsi="Arial" w:cs="Arial"/>
          <w:sz w:val="24"/>
          <w:szCs w:val="24"/>
        </w:rPr>
        <w:t>Board</w:t>
      </w:r>
      <w:r>
        <w:rPr>
          <w:rFonts w:ascii="Arial" w:hAnsi="Arial" w:cs="Arial"/>
          <w:spacing w:val="-13"/>
          <w:sz w:val="24"/>
          <w:szCs w:val="24"/>
        </w:rPr>
        <w:t xml:space="preserve"> </w:t>
      </w:r>
      <w:r>
        <w:rPr>
          <w:rFonts w:ascii="Arial" w:hAnsi="Arial" w:cs="Arial"/>
          <w:sz w:val="24"/>
          <w:szCs w:val="24"/>
        </w:rPr>
        <w:t>of</w:t>
      </w:r>
      <w:r>
        <w:rPr>
          <w:rFonts w:ascii="Arial" w:hAnsi="Arial" w:cs="Arial"/>
          <w:spacing w:val="-7"/>
          <w:sz w:val="24"/>
          <w:szCs w:val="24"/>
        </w:rPr>
        <w:t xml:space="preserve"> </w:t>
      </w:r>
      <w:r>
        <w:rPr>
          <w:rFonts w:ascii="Arial" w:hAnsi="Arial" w:cs="Arial"/>
          <w:sz w:val="24"/>
          <w:szCs w:val="24"/>
        </w:rPr>
        <w:t>Directors,</w:t>
      </w:r>
      <w:r>
        <w:rPr>
          <w:rFonts w:ascii="Arial" w:hAnsi="Arial" w:cs="Arial"/>
          <w:spacing w:val="-9"/>
          <w:sz w:val="24"/>
          <w:szCs w:val="24"/>
        </w:rPr>
        <w:t xml:space="preserve"> </w:t>
      </w:r>
      <w:r>
        <w:rPr>
          <w:rFonts w:ascii="Arial" w:hAnsi="Arial" w:cs="Arial"/>
          <w:sz w:val="24"/>
          <w:szCs w:val="24"/>
        </w:rPr>
        <w:t>I</w:t>
      </w:r>
      <w:r>
        <w:rPr>
          <w:rFonts w:ascii="Arial" w:hAnsi="Arial" w:cs="Arial"/>
          <w:spacing w:val="-9"/>
          <w:sz w:val="24"/>
          <w:szCs w:val="24"/>
        </w:rPr>
        <w:t xml:space="preserve"> </w:t>
      </w:r>
      <w:r>
        <w:rPr>
          <w:rFonts w:ascii="Arial" w:hAnsi="Arial" w:cs="Arial"/>
          <w:sz w:val="24"/>
          <w:szCs w:val="24"/>
        </w:rPr>
        <w:t>would</w:t>
      </w:r>
      <w:r>
        <w:rPr>
          <w:rFonts w:ascii="Arial" w:hAnsi="Arial" w:cs="Arial"/>
          <w:spacing w:val="-9"/>
          <w:sz w:val="24"/>
          <w:szCs w:val="24"/>
        </w:rPr>
        <w:t xml:space="preserve"> </w:t>
      </w:r>
      <w:r>
        <w:rPr>
          <w:rFonts w:ascii="Arial" w:hAnsi="Arial" w:cs="Arial"/>
          <w:sz w:val="24"/>
          <w:szCs w:val="24"/>
        </w:rPr>
        <w:t>like</w:t>
      </w:r>
      <w:r>
        <w:rPr>
          <w:rFonts w:ascii="Arial" w:hAnsi="Arial" w:cs="Arial"/>
          <w:spacing w:val="-10"/>
          <w:sz w:val="24"/>
          <w:szCs w:val="24"/>
        </w:rPr>
        <w:t xml:space="preserve"> </w:t>
      </w:r>
      <w:r>
        <w:rPr>
          <w:rFonts w:ascii="Arial" w:hAnsi="Arial" w:cs="Arial"/>
          <w:sz w:val="24"/>
          <w:szCs w:val="24"/>
        </w:rPr>
        <w:t>to</w:t>
      </w:r>
      <w:r>
        <w:rPr>
          <w:rFonts w:ascii="Arial" w:hAnsi="Arial" w:cs="Arial"/>
          <w:spacing w:val="-10"/>
          <w:sz w:val="24"/>
          <w:szCs w:val="24"/>
        </w:rPr>
        <w:t xml:space="preserve"> </w:t>
      </w:r>
      <w:r>
        <w:rPr>
          <w:rFonts w:ascii="Arial" w:hAnsi="Arial" w:cs="Arial"/>
          <w:sz w:val="24"/>
          <w:szCs w:val="24"/>
        </w:rPr>
        <w:t>thank</w:t>
      </w:r>
      <w:r>
        <w:rPr>
          <w:rFonts w:ascii="Arial" w:hAnsi="Arial" w:cs="Arial"/>
          <w:spacing w:val="-14"/>
          <w:sz w:val="24"/>
          <w:szCs w:val="24"/>
        </w:rPr>
        <w:t xml:space="preserve"> </w:t>
      </w:r>
      <w:r>
        <w:rPr>
          <w:rFonts w:ascii="Arial" w:hAnsi="Arial" w:cs="Arial"/>
          <w:sz w:val="24"/>
          <w:szCs w:val="24"/>
        </w:rPr>
        <w:t>the</w:t>
      </w:r>
      <w:r>
        <w:rPr>
          <w:rFonts w:ascii="Arial" w:hAnsi="Arial" w:cs="Arial"/>
          <w:spacing w:val="-10"/>
          <w:sz w:val="24"/>
          <w:szCs w:val="24"/>
        </w:rPr>
        <w:t xml:space="preserve"> </w:t>
      </w:r>
      <w:r>
        <w:rPr>
          <w:rFonts w:ascii="Arial" w:hAnsi="Arial" w:cs="Arial"/>
          <w:sz w:val="24"/>
          <w:szCs w:val="24"/>
        </w:rPr>
        <w:t>Baker Administration,</w:t>
      </w:r>
      <w:r>
        <w:rPr>
          <w:rFonts w:ascii="Arial" w:hAnsi="Arial" w:cs="Arial"/>
          <w:spacing w:val="-18"/>
          <w:sz w:val="24"/>
          <w:szCs w:val="24"/>
        </w:rPr>
        <w:t xml:space="preserve"> </w:t>
      </w:r>
      <w:r>
        <w:rPr>
          <w:rFonts w:ascii="Arial" w:hAnsi="Arial" w:cs="Arial"/>
          <w:sz w:val="24"/>
          <w:szCs w:val="24"/>
        </w:rPr>
        <w:t>the</w:t>
      </w:r>
      <w:r>
        <w:rPr>
          <w:rFonts w:ascii="Arial" w:hAnsi="Arial" w:cs="Arial"/>
          <w:spacing w:val="-15"/>
          <w:sz w:val="24"/>
          <w:szCs w:val="24"/>
        </w:rPr>
        <w:t xml:space="preserve"> </w:t>
      </w:r>
      <w:r>
        <w:rPr>
          <w:rFonts w:ascii="Arial" w:hAnsi="Arial" w:cs="Arial"/>
          <w:sz w:val="24"/>
          <w:szCs w:val="24"/>
        </w:rPr>
        <w:t>Executive</w:t>
      </w:r>
      <w:r>
        <w:rPr>
          <w:rFonts w:ascii="Arial" w:hAnsi="Arial" w:cs="Arial"/>
          <w:spacing w:val="-18"/>
          <w:sz w:val="24"/>
          <w:szCs w:val="24"/>
        </w:rPr>
        <w:t xml:space="preserve"> </w:t>
      </w:r>
      <w:r>
        <w:rPr>
          <w:rFonts w:ascii="Arial" w:hAnsi="Arial" w:cs="Arial"/>
          <w:sz w:val="24"/>
          <w:szCs w:val="24"/>
        </w:rPr>
        <w:t>Office</w:t>
      </w:r>
      <w:r>
        <w:rPr>
          <w:rFonts w:ascii="Arial" w:hAnsi="Arial" w:cs="Arial"/>
          <w:spacing w:val="-20"/>
          <w:sz w:val="24"/>
          <w:szCs w:val="24"/>
        </w:rPr>
        <w:t xml:space="preserve"> </w:t>
      </w:r>
      <w:r>
        <w:rPr>
          <w:rFonts w:ascii="Arial" w:hAnsi="Arial" w:cs="Arial"/>
          <w:sz w:val="24"/>
          <w:szCs w:val="24"/>
        </w:rPr>
        <w:t>of</w:t>
      </w:r>
      <w:r>
        <w:rPr>
          <w:rFonts w:ascii="Arial" w:hAnsi="Arial" w:cs="Arial"/>
          <w:spacing w:val="-14"/>
          <w:sz w:val="24"/>
          <w:szCs w:val="24"/>
        </w:rPr>
        <w:t xml:space="preserve"> </w:t>
      </w:r>
      <w:r>
        <w:rPr>
          <w:rFonts w:ascii="Arial" w:hAnsi="Arial" w:cs="Arial"/>
          <w:sz w:val="24"/>
          <w:szCs w:val="24"/>
        </w:rPr>
        <w:t>Health</w:t>
      </w:r>
      <w:r>
        <w:rPr>
          <w:rFonts w:ascii="Arial" w:hAnsi="Arial" w:cs="Arial"/>
          <w:spacing w:val="-18"/>
          <w:sz w:val="24"/>
          <w:szCs w:val="24"/>
        </w:rPr>
        <w:t xml:space="preserve"> </w:t>
      </w:r>
      <w:r>
        <w:rPr>
          <w:rFonts w:ascii="Arial" w:hAnsi="Arial" w:cs="Arial"/>
          <w:sz w:val="24"/>
          <w:szCs w:val="24"/>
        </w:rPr>
        <w:t>and</w:t>
      </w:r>
      <w:r>
        <w:rPr>
          <w:rFonts w:ascii="Arial" w:hAnsi="Arial" w:cs="Arial"/>
          <w:spacing w:val="-18"/>
          <w:sz w:val="24"/>
          <w:szCs w:val="24"/>
        </w:rPr>
        <w:t xml:space="preserve"> </w:t>
      </w:r>
      <w:r>
        <w:rPr>
          <w:rFonts w:ascii="Arial" w:hAnsi="Arial" w:cs="Arial"/>
          <w:sz w:val="24"/>
          <w:szCs w:val="24"/>
        </w:rPr>
        <w:t>Human</w:t>
      </w:r>
      <w:r>
        <w:rPr>
          <w:rFonts w:ascii="Arial" w:hAnsi="Arial" w:cs="Arial"/>
          <w:spacing w:val="-15"/>
          <w:sz w:val="24"/>
          <w:szCs w:val="24"/>
        </w:rPr>
        <w:t xml:space="preserve"> </w:t>
      </w:r>
      <w:r>
        <w:rPr>
          <w:rFonts w:ascii="Arial" w:hAnsi="Arial" w:cs="Arial"/>
          <w:sz w:val="24"/>
          <w:szCs w:val="24"/>
        </w:rPr>
        <w:t>Services,</w:t>
      </w:r>
      <w:r>
        <w:rPr>
          <w:rFonts w:ascii="Arial" w:hAnsi="Arial" w:cs="Arial"/>
          <w:spacing w:val="-18"/>
          <w:sz w:val="24"/>
          <w:szCs w:val="24"/>
        </w:rPr>
        <w:t xml:space="preserve"> </w:t>
      </w:r>
      <w:r>
        <w:rPr>
          <w:rFonts w:ascii="Arial" w:hAnsi="Arial" w:cs="Arial"/>
          <w:sz w:val="24"/>
          <w:szCs w:val="24"/>
        </w:rPr>
        <w:t>and</w:t>
      </w:r>
      <w:r>
        <w:rPr>
          <w:rFonts w:ascii="Arial" w:hAnsi="Arial" w:cs="Arial"/>
          <w:spacing w:val="-15"/>
          <w:sz w:val="24"/>
          <w:szCs w:val="24"/>
        </w:rPr>
        <w:t xml:space="preserve"> </w:t>
      </w:r>
      <w:r>
        <w:rPr>
          <w:rFonts w:ascii="Arial" w:hAnsi="Arial" w:cs="Arial"/>
          <w:sz w:val="24"/>
          <w:szCs w:val="24"/>
        </w:rPr>
        <w:t xml:space="preserve">MassHealth for an 1115 waiver proposal that recognizes the need for: 1) better care integration among physical health, behavioral health, and long-term services and supports; 2) services and resources that address the social determinants of health; and 3) evidence-based interventions that meet the unique needs of cultural and linguistic minorities, and other vulnerable subpopulations. </w:t>
      </w:r>
      <w:r>
        <w:rPr>
          <w:rFonts w:ascii="Arial" w:hAnsi="Arial" w:cs="Arial"/>
          <w:spacing w:val="4"/>
          <w:sz w:val="24"/>
          <w:szCs w:val="24"/>
        </w:rPr>
        <w:t xml:space="preserve">We </w:t>
      </w:r>
      <w:r>
        <w:rPr>
          <w:rFonts w:ascii="Arial" w:hAnsi="Arial" w:cs="Arial"/>
          <w:sz w:val="24"/>
          <w:szCs w:val="24"/>
        </w:rPr>
        <w:t xml:space="preserve">believe that this proposal provides a framework that helps the Commonwealth move toward these goals as </w:t>
      </w:r>
      <w:r>
        <w:rPr>
          <w:rFonts w:ascii="Arial" w:hAnsi="Arial" w:cs="Arial"/>
          <w:spacing w:val="-3"/>
          <w:sz w:val="24"/>
          <w:szCs w:val="24"/>
        </w:rPr>
        <w:t xml:space="preserve">it </w:t>
      </w:r>
      <w:r>
        <w:rPr>
          <w:rFonts w:ascii="Arial" w:hAnsi="Arial" w:cs="Arial"/>
          <w:sz w:val="24"/>
          <w:szCs w:val="24"/>
        </w:rPr>
        <w:t>seeks</w:t>
      </w:r>
      <w:r>
        <w:rPr>
          <w:rFonts w:ascii="Arial" w:hAnsi="Arial" w:cs="Arial"/>
          <w:spacing w:val="-15"/>
          <w:sz w:val="24"/>
          <w:szCs w:val="24"/>
        </w:rPr>
        <w:t xml:space="preserve"> </w:t>
      </w:r>
      <w:r>
        <w:rPr>
          <w:rFonts w:ascii="Arial" w:hAnsi="Arial" w:cs="Arial"/>
          <w:sz w:val="24"/>
          <w:szCs w:val="24"/>
        </w:rPr>
        <w:t>to</w:t>
      </w:r>
      <w:r>
        <w:rPr>
          <w:rFonts w:ascii="Arial" w:hAnsi="Arial" w:cs="Arial"/>
          <w:spacing w:val="-14"/>
          <w:sz w:val="24"/>
          <w:szCs w:val="24"/>
        </w:rPr>
        <w:t xml:space="preserve"> </w:t>
      </w:r>
      <w:r>
        <w:rPr>
          <w:rFonts w:ascii="Arial" w:hAnsi="Arial" w:cs="Arial"/>
          <w:sz w:val="24"/>
          <w:szCs w:val="24"/>
        </w:rPr>
        <w:t>manage</w:t>
      </w:r>
      <w:r>
        <w:rPr>
          <w:rFonts w:ascii="Arial" w:hAnsi="Arial" w:cs="Arial"/>
          <w:spacing w:val="-9"/>
          <w:sz w:val="24"/>
          <w:szCs w:val="24"/>
        </w:rPr>
        <w:t xml:space="preserve"> </w:t>
      </w:r>
      <w:r>
        <w:rPr>
          <w:rFonts w:ascii="Arial" w:hAnsi="Arial" w:cs="Arial"/>
          <w:sz w:val="24"/>
          <w:szCs w:val="24"/>
        </w:rPr>
        <w:t>costs</w:t>
      </w:r>
      <w:r>
        <w:rPr>
          <w:rFonts w:ascii="Arial" w:hAnsi="Arial" w:cs="Arial"/>
          <w:spacing w:val="-15"/>
          <w:sz w:val="24"/>
          <w:szCs w:val="24"/>
        </w:rPr>
        <w:t xml:space="preserve"> </w:t>
      </w:r>
      <w:r>
        <w:rPr>
          <w:rFonts w:ascii="Arial" w:hAnsi="Arial" w:cs="Arial"/>
          <w:sz w:val="24"/>
          <w:szCs w:val="24"/>
        </w:rPr>
        <w:t>and</w:t>
      </w:r>
      <w:r>
        <w:rPr>
          <w:rFonts w:ascii="Arial" w:hAnsi="Arial" w:cs="Arial"/>
          <w:spacing w:val="-11"/>
          <w:sz w:val="24"/>
          <w:szCs w:val="24"/>
        </w:rPr>
        <w:t xml:space="preserve"> </w:t>
      </w:r>
      <w:r>
        <w:rPr>
          <w:rFonts w:ascii="Arial" w:hAnsi="Arial" w:cs="Arial"/>
          <w:sz w:val="24"/>
          <w:szCs w:val="24"/>
        </w:rPr>
        <w:t>improve</w:t>
      </w:r>
      <w:r>
        <w:rPr>
          <w:rFonts w:ascii="Arial" w:hAnsi="Arial" w:cs="Arial"/>
          <w:spacing w:val="-11"/>
          <w:sz w:val="24"/>
          <w:szCs w:val="24"/>
        </w:rPr>
        <w:t xml:space="preserve"> </w:t>
      </w:r>
      <w:r>
        <w:rPr>
          <w:rFonts w:ascii="Arial" w:hAnsi="Arial" w:cs="Arial"/>
          <w:sz w:val="24"/>
          <w:szCs w:val="24"/>
        </w:rPr>
        <w:t>both</w:t>
      </w:r>
      <w:r>
        <w:rPr>
          <w:rFonts w:ascii="Arial" w:hAnsi="Arial" w:cs="Arial"/>
          <w:spacing w:val="-11"/>
          <w:sz w:val="24"/>
          <w:szCs w:val="24"/>
        </w:rPr>
        <w:t xml:space="preserve"> </w:t>
      </w:r>
      <w:r>
        <w:rPr>
          <w:rFonts w:ascii="Arial" w:hAnsi="Arial" w:cs="Arial"/>
          <w:sz w:val="24"/>
          <w:szCs w:val="24"/>
        </w:rPr>
        <w:t>the</w:t>
      </w:r>
      <w:r>
        <w:rPr>
          <w:rFonts w:ascii="Arial" w:hAnsi="Arial" w:cs="Arial"/>
          <w:spacing w:val="-14"/>
          <w:sz w:val="24"/>
          <w:szCs w:val="24"/>
        </w:rPr>
        <w:t xml:space="preserve"> </w:t>
      </w:r>
      <w:r>
        <w:rPr>
          <w:rFonts w:ascii="Arial" w:hAnsi="Arial" w:cs="Arial"/>
          <w:sz w:val="24"/>
          <w:szCs w:val="24"/>
        </w:rPr>
        <w:t>quality</w:t>
      </w:r>
      <w:r>
        <w:rPr>
          <w:rFonts w:ascii="Arial" w:hAnsi="Arial" w:cs="Arial"/>
          <w:spacing w:val="-17"/>
          <w:sz w:val="24"/>
          <w:szCs w:val="24"/>
        </w:rPr>
        <w:t xml:space="preserve"> </w:t>
      </w:r>
      <w:r>
        <w:rPr>
          <w:rFonts w:ascii="Arial" w:hAnsi="Arial" w:cs="Arial"/>
          <w:sz w:val="24"/>
          <w:szCs w:val="24"/>
        </w:rPr>
        <w:t>and</w:t>
      </w:r>
      <w:r>
        <w:rPr>
          <w:rFonts w:ascii="Arial" w:hAnsi="Arial" w:cs="Arial"/>
          <w:spacing w:val="-9"/>
          <w:sz w:val="24"/>
          <w:szCs w:val="24"/>
        </w:rPr>
        <w:t xml:space="preserve"> </w:t>
      </w:r>
      <w:r>
        <w:rPr>
          <w:rFonts w:ascii="Arial" w:hAnsi="Arial" w:cs="Arial"/>
          <w:sz w:val="24"/>
          <w:szCs w:val="24"/>
        </w:rPr>
        <w:t>experience</w:t>
      </w:r>
      <w:r>
        <w:rPr>
          <w:rFonts w:ascii="Arial" w:hAnsi="Arial" w:cs="Arial"/>
          <w:spacing w:val="-14"/>
          <w:sz w:val="24"/>
          <w:szCs w:val="24"/>
        </w:rPr>
        <w:t xml:space="preserve"> </w:t>
      </w:r>
      <w:r>
        <w:rPr>
          <w:rFonts w:ascii="Arial" w:hAnsi="Arial" w:cs="Arial"/>
          <w:sz w:val="24"/>
          <w:szCs w:val="24"/>
        </w:rPr>
        <w:t>of</w:t>
      </w:r>
      <w:r>
        <w:rPr>
          <w:rFonts w:ascii="Arial" w:hAnsi="Arial" w:cs="Arial"/>
          <w:spacing w:val="-9"/>
          <w:sz w:val="24"/>
          <w:szCs w:val="24"/>
        </w:rPr>
        <w:t xml:space="preserve"> </w:t>
      </w:r>
      <w:r>
        <w:rPr>
          <w:rFonts w:ascii="Arial" w:hAnsi="Arial" w:cs="Arial"/>
          <w:sz w:val="24"/>
          <w:szCs w:val="24"/>
        </w:rPr>
        <w:t>care.</w:t>
      </w:r>
    </w:p>
    <w:p w:rsidR="002C5025" w:rsidRDefault="002C5025">
      <w:pPr>
        <w:pStyle w:val="BodyText"/>
        <w:kinsoku w:val="0"/>
        <w:overflowPunct w:val="0"/>
        <w:spacing w:before="9"/>
        <w:rPr>
          <w:rFonts w:ascii="Arial" w:hAnsi="Arial" w:cs="Arial"/>
          <w:sz w:val="23"/>
          <w:szCs w:val="23"/>
        </w:rPr>
      </w:pPr>
    </w:p>
    <w:p w:rsidR="002C5025" w:rsidRDefault="002C5025">
      <w:pPr>
        <w:pStyle w:val="BodyText"/>
        <w:kinsoku w:val="0"/>
        <w:overflowPunct w:val="0"/>
        <w:ind w:left="119" w:right="217"/>
        <w:rPr>
          <w:rFonts w:ascii="Arial" w:hAnsi="Arial" w:cs="Arial"/>
          <w:sz w:val="24"/>
          <w:szCs w:val="24"/>
        </w:rPr>
      </w:pPr>
      <w:r>
        <w:rPr>
          <w:rFonts w:ascii="Arial" w:hAnsi="Arial" w:cs="Arial"/>
          <w:sz w:val="24"/>
          <w:szCs w:val="24"/>
        </w:rPr>
        <w:t>We strongly support the Commonwealth’s stated intention to “reference national best</w:t>
      </w:r>
    </w:p>
    <w:p w:rsidR="002C5025" w:rsidRDefault="002C5025">
      <w:pPr>
        <w:pStyle w:val="BodyText"/>
        <w:kinsoku w:val="0"/>
        <w:overflowPunct w:val="0"/>
        <w:ind w:left="119" w:right="217"/>
        <w:rPr>
          <w:rFonts w:ascii="Arial" w:hAnsi="Arial" w:cs="Arial"/>
          <w:sz w:val="24"/>
          <w:szCs w:val="24"/>
        </w:rPr>
        <w:sectPr w:rsidR="002C5025">
          <w:pgSz w:w="12240" w:h="15840"/>
          <w:pgMar w:top="1380" w:right="1720" w:bottom="280" w:left="240" w:header="720" w:footer="720" w:gutter="0"/>
          <w:cols w:space="720" w:equalWidth="0">
            <w:col w:w="10280"/>
          </w:cols>
          <w:noEndnote/>
        </w:sectPr>
      </w:pPr>
    </w:p>
    <w:p w:rsidR="002C5025" w:rsidRDefault="00FB027C">
      <w:pPr>
        <w:pStyle w:val="BodyText"/>
        <w:kinsoku w:val="0"/>
        <w:overflowPunct w:val="0"/>
        <w:spacing w:before="51"/>
        <w:ind w:left="100" w:right="1092"/>
        <w:rPr>
          <w:rFonts w:ascii="Arial" w:hAnsi="Arial" w:cs="Arial"/>
          <w:sz w:val="24"/>
          <w:szCs w:val="24"/>
        </w:rPr>
      </w:pPr>
      <w:r>
        <w:rPr>
          <w:noProof/>
        </w:rPr>
        <w:lastRenderedPageBreak/>
        <mc:AlternateContent>
          <mc:Choice Requires="wps">
            <w:drawing>
              <wp:anchor distT="0" distB="0" distL="114300" distR="114300" simplePos="0" relativeHeight="251543040" behindDoc="1" locked="0" layoutInCell="0" allowOverlap="1">
                <wp:simplePos x="0" y="0"/>
                <wp:positionH relativeFrom="page">
                  <wp:posOffset>228600</wp:posOffset>
                </wp:positionH>
                <wp:positionV relativeFrom="page">
                  <wp:posOffset>0</wp:posOffset>
                </wp:positionV>
                <wp:extent cx="7543800" cy="9982200"/>
                <wp:effectExtent l="0" t="0" r="0" b="0"/>
                <wp:wrapNone/>
                <wp:docPr id="788" name="Rectangl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998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15720" w:lineRule="atLeast"/>
                            </w:pPr>
                            <w:r>
                              <w:rPr>
                                <w:noProof/>
                              </w:rPr>
                              <w:drawing>
                                <wp:inline distT="0" distB="0" distL="0" distR="0">
                                  <wp:extent cx="7543800" cy="998220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7543800" cy="9982200"/>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7" o:spid="_x0000_s1146" style="position:absolute;left:0;text-align:left;margin-left:18pt;margin-top:0;width:594pt;height:786pt;z-index:-251773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" o:allowincell="f" filled="f" stroked="f">
                <v:textbox inset="0,0,0,0">
                  <w:txbxContent>
                    <w:p w:rsidR="007B2B7B" w:rsidRDefault="007B2B7B">
                      <w:pPr>
                        <w:widowControl/>
                        <w:autoSpaceDE/>
                        <w:autoSpaceDN/>
                        <w:adjustRightInd/>
                        <w:spacing w:line="15720" w:lineRule="atLeast"/>
                      </w:pPr>
                      <w:r>
                        <w:rPr>
                          <w:noProof/>
                        </w:rPr>
                        <w:drawing>
                          <wp:inline distT="0" distB="0" distL="0" distR="0">
                            <wp:extent cx="7543800" cy="998220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7543800" cy="9982200"/>
                                    </a:xfrm>
                                    <a:prstGeom prst="rect">
                                      <a:avLst/>
                                    </a:prstGeom>
                                    <a:noFill/>
                                    <a:ln>
                                      <a:noFill/>
                                    </a:ln>
                                  </pic:spPr>
                                </pic:pic>
                              </a:graphicData>
                            </a:graphic>
                          </wp:inline>
                        </w:drawing>
                      </w:r>
                    </w:p>
                    <w:p w:rsidR="007B2B7B" w:rsidRDefault="007B2B7B"/>
                  </w:txbxContent>
                </v:textbox>
                <w10:wrap anchorx="page" anchory="page"/>
              </v:rect>
            </w:pict>
          </mc:Fallback>
        </mc:AlternateContent>
      </w:r>
      <w:r w:rsidR="002C5025">
        <w:rPr>
          <w:rFonts w:ascii="Arial" w:hAnsi="Arial" w:cs="Arial"/>
          <w:sz w:val="24"/>
          <w:szCs w:val="24"/>
        </w:rPr>
        <w:t>practices</w:t>
      </w:r>
      <w:r w:rsidR="002C5025">
        <w:rPr>
          <w:rFonts w:ascii="Arial" w:hAnsi="Arial" w:cs="Arial"/>
          <w:spacing w:val="-19"/>
          <w:sz w:val="24"/>
          <w:szCs w:val="24"/>
        </w:rPr>
        <w:t xml:space="preserve"> </w:t>
      </w:r>
      <w:r w:rsidR="002C5025">
        <w:rPr>
          <w:rFonts w:ascii="Arial" w:hAnsi="Arial" w:cs="Arial"/>
          <w:sz w:val="24"/>
          <w:szCs w:val="24"/>
        </w:rPr>
        <w:t>to</w:t>
      </w:r>
      <w:r w:rsidR="002C5025">
        <w:rPr>
          <w:rFonts w:ascii="Arial" w:hAnsi="Arial" w:cs="Arial"/>
          <w:spacing w:val="-16"/>
          <w:sz w:val="24"/>
          <w:szCs w:val="24"/>
        </w:rPr>
        <w:t xml:space="preserve"> </w:t>
      </w:r>
      <w:r w:rsidR="002C5025">
        <w:rPr>
          <w:rFonts w:ascii="Arial" w:hAnsi="Arial" w:cs="Arial"/>
          <w:sz w:val="24"/>
          <w:szCs w:val="24"/>
        </w:rPr>
        <w:t>advance</w:t>
      </w:r>
      <w:r w:rsidR="002C5025">
        <w:rPr>
          <w:rFonts w:ascii="Arial" w:hAnsi="Arial" w:cs="Arial"/>
          <w:spacing w:val="-16"/>
          <w:sz w:val="24"/>
          <w:szCs w:val="24"/>
        </w:rPr>
        <w:t xml:space="preserve"> </w:t>
      </w:r>
      <w:r w:rsidR="002C5025">
        <w:rPr>
          <w:rFonts w:ascii="Arial" w:hAnsi="Arial" w:cs="Arial"/>
          <w:sz w:val="24"/>
          <w:szCs w:val="24"/>
        </w:rPr>
        <w:t>wellness,</w:t>
      </w:r>
      <w:r w:rsidR="002C5025">
        <w:rPr>
          <w:rFonts w:ascii="Arial" w:hAnsi="Arial" w:cs="Arial"/>
          <w:spacing w:val="-18"/>
          <w:sz w:val="24"/>
          <w:szCs w:val="24"/>
        </w:rPr>
        <w:t xml:space="preserve"> </w:t>
      </w:r>
      <w:r w:rsidR="002C5025">
        <w:rPr>
          <w:rFonts w:ascii="Arial" w:hAnsi="Arial" w:cs="Arial"/>
          <w:sz w:val="24"/>
          <w:szCs w:val="24"/>
        </w:rPr>
        <w:t>prevention,</w:t>
      </w:r>
      <w:r w:rsidR="002C5025">
        <w:rPr>
          <w:rFonts w:ascii="Arial" w:hAnsi="Arial" w:cs="Arial"/>
          <w:spacing w:val="-18"/>
          <w:sz w:val="24"/>
          <w:szCs w:val="24"/>
        </w:rPr>
        <w:t xml:space="preserve"> </w:t>
      </w:r>
      <w:r w:rsidR="002C5025">
        <w:rPr>
          <w:rFonts w:ascii="Arial" w:hAnsi="Arial" w:cs="Arial"/>
          <w:sz w:val="24"/>
          <w:szCs w:val="24"/>
        </w:rPr>
        <w:t>cultural</w:t>
      </w:r>
      <w:r w:rsidR="002C5025">
        <w:rPr>
          <w:rFonts w:ascii="Arial" w:hAnsi="Arial" w:cs="Arial"/>
          <w:spacing w:val="-17"/>
          <w:sz w:val="24"/>
          <w:szCs w:val="24"/>
        </w:rPr>
        <w:t xml:space="preserve"> </w:t>
      </w:r>
      <w:r w:rsidR="002C5025">
        <w:rPr>
          <w:rFonts w:ascii="Arial" w:hAnsi="Arial" w:cs="Arial"/>
          <w:sz w:val="24"/>
          <w:szCs w:val="24"/>
        </w:rPr>
        <w:t>competency</w:t>
      </w:r>
      <w:r w:rsidR="002C5025">
        <w:rPr>
          <w:rFonts w:ascii="Arial" w:hAnsi="Arial" w:cs="Arial"/>
          <w:spacing w:val="-21"/>
          <w:sz w:val="24"/>
          <w:szCs w:val="24"/>
        </w:rPr>
        <w:t xml:space="preserve"> </w:t>
      </w:r>
      <w:r w:rsidR="002C5025">
        <w:rPr>
          <w:rFonts w:ascii="Arial" w:hAnsi="Arial" w:cs="Arial"/>
          <w:sz w:val="24"/>
          <w:szCs w:val="24"/>
        </w:rPr>
        <w:t>and</w:t>
      </w:r>
      <w:r w:rsidR="002C5025">
        <w:rPr>
          <w:rFonts w:ascii="Arial" w:hAnsi="Arial" w:cs="Arial"/>
          <w:spacing w:val="-18"/>
          <w:sz w:val="24"/>
          <w:szCs w:val="24"/>
        </w:rPr>
        <w:t xml:space="preserve"> </w:t>
      </w:r>
      <w:r w:rsidR="002C5025">
        <w:rPr>
          <w:rFonts w:ascii="Arial" w:hAnsi="Arial" w:cs="Arial"/>
          <w:sz w:val="24"/>
          <w:szCs w:val="24"/>
        </w:rPr>
        <w:t>care</w:t>
      </w:r>
      <w:r w:rsidR="002C5025">
        <w:rPr>
          <w:rFonts w:ascii="Arial" w:hAnsi="Arial" w:cs="Arial"/>
          <w:spacing w:val="-14"/>
          <w:sz w:val="24"/>
          <w:szCs w:val="24"/>
        </w:rPr>
        <w:t xml:space="preserve"> </w:t>
      </w:r>
      <w:r w:rsidR="002C5025">
        <w:rPr>
          <w:rFonts w:ascii="Arial" w:hAnsi="Arial" w:cs="Arial"/>
          <w:sz w:val="24"/>
          <w:szCs w:val="24"/>
        </w:rPr>
        <w:t xml:space="preserve">integration and…build these expectations and standards into the ACO procurement and contractual requirements,” and </w:t>
      </w:r>
      <w:r w:rsidR="002C5025">
        <w:rPr>
          <w:rFonts w:ascii="Arial" w:hAnsi="Arial" w:cs="Arial"/>
          <w:spacing w:val="-3"/>
          <w:sz w:val="24"/>
          <w:szCs w:val="24"/>
        </w:rPr>
        <w:t xml:space="preserve">we </w:t>
      </w:r>
      <w:r w:rsidR="002C5025">
        <w:rPr>
          <w:rFonts w:ascii="Arial" w:hAnsi="Arial" w:cs="Arial"/>
          <w:sz w:val="24"/>
          <w:szCs w:val="24"/>
        </w:rPr>
        <w:t xml:space="preserve">applaud the current administration for its vocal, public support for the elimination of health disparities. While </w:t>
      </w:r>
      <w:r w:rsidR="002C5025">
        <w:rPr>
          <w:rFonts w:ascii="Arial" w:hAnsi="Arial" w:cs="Arial"/>
          <w:spacing w:val="-3"/>
          <w:sz w:val="24"/>
          <w:szCs w:val="24"/>
        </w:rPr>
        <w:t xml:space="preserve">we </w:t>
      </w:r>
      <w:r w:rsidR="002C5025">
        <w:rPr>
          <w:rFonts w:ascii="Arial" w:hAnsi="Arial" w:cs="Arial"/>
          <w:sz w:val="24"/>
          <w:szCs w:val="24"/>
        </w:rPr>
        <w:t xml:space="preserve">firmly believe that these commitments, along with the goals stated above, </w:t>
      </w:r>
      <w:r w:rsidR="002C5025">
        <w:rPr>
          <w:rFonts w:ascii="Arial" w:hAnsi="Arial" w:cs="Arial"/>
          <w:spacing w:val="-3"/>
          <w:sz w:val="24"/>
          <w:szCs w:val="24"/>
        </w:rPr>
        <w:t xml:space="preserve">will </w:t>
      </w:r>
      <w:r w:rsidR="002C5025">
        <w:rPr>
          <w:rFonts w:ascii="Arial" w:hAnsi="Arial" w:cs="Arial"/>
          <w:sz w:val="24"/>
          <w:szCs w:val="24"/>
        </w:rPr>
        <w:t xml:space="preserve">advance care for vulnerable populations and promote the reduction of health disparities, </w:t>
      </w:r>
      <w:r w:rsidR="002C5025">
        <w:rPr>
          <w:rFonts w:ascii="Arial" w:hAnsi="Arial" w:cs="Arial"/>
          <w:b/>
          <w:bCs/>
          <w:spacing w:val="-3"/>
          <w:sz w:val="24"/>
          <w:szCs w:val="24"/>
        </w:rPr>
        <w:t xml:space="preserve">Casa </w:t>
      </w:r>
      <w:r w:rsidR="002C5025">
        <w:rPr>
          <w:rFonts w:ascii="Arial" w:hAnsi="Arial" w:cs="Arial"/>
          <w:b/>
          <w:bCs/>
          <w:sz w:val="24"/>
          <w:szCs w:val="24"/>
        </w:rPr>
        <w:t>recommends</w:t>
      </w:r>
      <w:r w:rsidR="002C5025">
        <w:rPr>
          <w:rFonts w:ascii="Arial" w:hAnsi="Arial" w:cs="Arial"/>
          <w:b/>
          <w:bCs/>
          <w:spacing w:val="-17"/>
          <w:sz w:val="24"/>
          <w:szCs w:val="24"/>
        </w:rPr>
        <w:t xml:space="preserve"> </w:t>
      </w:r>
      <w:r w:rsidR="002C5025">
        <w:rPr>
          <w:rFonts w:ascii="Arial" w:hAnsi="Arial" w:cs="Arial"/>
          <w:b/>
          <w:bCs/>
          <w:spacing w:val="-3"/>
          <w:sz w:val="24"/>
          <w:szCs w:val="24"/>
        </w:rPr>
        <w:t>the</w:t>
      </w:r>
      <w:r w:rsidR="002C5025">
        <w:rPr>
          <w:rFonts w:ascii="Arial" w:hAnsi="Arial" w:cs="Arial"/>
          <w:b/>
          <w:bCs/>
          <w:spacing w:val="-15"/>
          <w:sz w:val="24"/>
          <w:szCs w:val="24"/>
        </w:rPr>
        <w:t xml:space="preserve"> </w:t>
      </w:r>
      <w:r w:rsidR="002C5025">
        <w:rPr>
          <w:rFonts w:ascii="Arial" w:hAnsi="Arial" w:cs="Arial"/>
          <w:b/>
          <w:bCs/>
          <w:sz w:val="24"/>
          <w:szCs w:val="24"/>
        </w:rPr>
        <w:t>addition</w:t>
      </w:r>
      <w:r w:rsidR="002C5025">
        <w:rPr>
          <w:rFonts w:ascii="Arial" w:hAnsi="Arial" w:cs="Arial"/>
          <w:b/>
          <w:bCs/>
          <w:spacing w:val="-16"/>
          <w:sz w:val="24"/>
          <w:szCs w:val="24"/>
        </w:rPr>
        <w:t xml:space="preserve"> </w:t>
      </w:r>
      <w:r w:rsidR="002C5025">
        <w:rPr>
          <w:rFonts w:ascii="Arial" w:hAnsi="Arial" w:cs="Arial"/>
          <w:b/>
          <w:bCs/>
          <w:sz w:val="24"/>
          <w:szCs w:val="24"/>
        </w:rPr>
        <w:t>of</w:t>
      </w:r>
      <w:r w:rsidR="002C5025">
        <w:rPr>
          <w:rFonts w:ascii="Arial" w:hAnsi="Arial" w:cs="Arial"/>
          <w:b/>
          <w:bCs/>
          <w:spacing w:val="-19"/>
          <w:sz w:val="24"/>
          <w:szCs w:val="24"/>
        </w:rPr>
        <w:t xml:space="preserve"> </w:t>
      </w:r>
      <w:r w:rsidR="002C5025">
        <w:rPr>
          <w:rFonts w:ascii="Arial" w:hAnsi="Arial" w:cs="Arial"/>
          <w:b/>
          <w:bCs/>
          <w:sz w:val="24"/>
          <w:szCs w:val="24"/>
        </w:rPr>
        <w:t>explicit</w:t>
      </w:r>
      <w:r w:rsidR="002C5025">
        <w:rPr>
          <w:rFonts w:ascii="Arial" w:hAnsi="Arial" w:cs="Arial"/>
          <w:b/>
          <w:bCs/>
          <w:spacing w:val="-19"/>
          <w:sz w:val="24"/>
          <w:szCs w:val="24"/>
        </w:rPr>
        <w:t xml:space="preserve"> </w:t>
      </w:r>
      <w:r w:rsidR="002C5025">
        <w:rPr>
          <w:rFonts w:ascii="Arial" w:hAnsi="Arial" w:cs="Arial"/>
          <w:b/>
          <w:bCs/>
          <w:sz w:val="24"/>
          <w:szCs w:val="24"/>
        </w:rPr>
        <w:t>language</w:t>
      </w:r>
      <w:r w:rsidR="002C5025">
        <w:rPr>
          <w:rFonts w:ascii="Arial" w:hAnsi="Arial" w:cs="Arial"/>
          <w:b/>
          <w:bCs/>
          <w:spacing w:val="-15"/>
          <w:sz w:val="24"/>
          <w:szCs w:val="24"/>
        </w:rPr>
        <w:t xml:space="preserve"> </w:t>
      </w:r>
      <w:r w:rsidR="002C5025">
        <w:rPr>
          <w:rFonts w:ascii="Arial" w:hAnsi="Arial" w:cs="Arial"/>
          <w:b/>
          <w:bCs/>
          <w:sz w:val="24"/>
          <w:szCs w:val="24"/>
        </w:rPr>
        <w:t>that</w:t>
      </w:r>
      <w:r w:rsidR="002C5025">
        <w:rPr>
          <w:rFonts w:ascii="Arial" w:hAnsi="Arial" w:cs="Arial"/>
          <w:b/>
          <w:bCs/>
          <w:spacing w:val="-19"/>
          <w:sz w:val="24"/>
          <w:szCs w:val="24"/>
        </w:rPr>
        <w:t xml:space="preserve"> </w:t>
      </w:r>
      <w:r w:rsidR="002C5025">
        <w:rPr>
          <w:rFonts w:ascii="Arial" w:hAnsi="Arial" w:cs="Arial"/>
          <w:b/>
          <w:bCs/>
          <w:sz w:val="24"/>
          <w:szCs w:val="24"/>
        </w:rPr>
        <w:t>states</w:t>
      </w:r>
      <w:r w:rsidR="002C5025">
        <w:rPr>
          <w:rFonts w:ascii="Arial" w:hAnsi="Arial" w:cs="Arial"/>
          <w:b/>
          <w:bCs/>
          <w:spacing w:val="-15"/>
          <w:sz w:val="24"/>
          <w:szCs w:val="24"/>
        </w:rPr>
        <w:t xml:space="preserve"> </w:t>
      </w:r>
      <w:r w:rsidR="002C5025">
        <w:rPr>
          <w:rFonts w:ascii="Arial" w:hAnsi="Arial" w:cs="Arial"/>
          <w:b/>
          <w:bCs/>
          <w:sz w:val="24"/>
          <w:szCs w:val="24"/>
        </w:rPr>
        <w:t>the</w:t>
      </w:r>
      <w:r w:rsidR="002C5025">
        <w:rPr>
          <w:rFonts w:ascii="Arial" w:hAnsi="Arial" w:cs="Arial"/>
          <w:b/>
          <w:bCs/>
          <w:spacing w:val="-15"/>
          <w:sz w:val="24"/>
          <w:szCs w:val="24"/>
        </w:rPr>
        <w:t xml:space="preserve"> </w:t>
      </w:r>
      <w:r w:rsidR="002C5025">
        <w:rPr>
          <w:rFonts w:ascii="Arial" w:hAnsi="Arial" w:cs="Arial"/>
          <w:b/>
          <w:bCs/>
          <w:sz w:val="24"/>
          <w:szCs w:val="24"/>
        </w:rPr>
        <w:t>Commonwealth’s intention to significantly reduce or eliminate health disparities through the systems</w:t>
      </w:r>
      <w:r w:rsidR="002C5025">
        <w:rPr>
          <w:rFonts w:ascii="Arial" w:hAnsi="Arial" w:cs="Arial"/>
          <w:b/>
          <w:bCs/>
          <w:spacing w:val="-11"/>
          <w:sz w:val="24"/>
          <w:szCs w:val="24"/>
        </w:rPr>
        <w:t xml:space="preserve"> </w:t>
      </w:r>
      <w:r w:rsidR="002C5025">
        <w:rPr>
          <w:rFonts w:ascii="Arial" w:hAnsi="Arial" w:cs="Arial"/>
          <w:b/>
          <w:bCs/>
          <w:sz w:val="24"/>
          <w:szCs w:val="24"/>
        </w:rPr>
        <w:t>transformation</w:t>
      </w:r>
      <w:r w:rsidR="002C5025">
        <w:rPr>
          <w:rFonts w:ascii="Arial" w:hAnsi="Arial" w:cs="Arial"/>
          <w:b/>
          <w:bCs/>
          <w:spacing w:val="-12"/>
          <w:sz w:val="24"/>
          <w:szCs w:val="24"/>
        </w:rPr>
        <w:t xml:space="preserve"> </w:t>
      </w:r>
      <w:r w:rsidR="002C5025">
        <w:rPr>
          <w:rFonts w:ascii="Arial" w:hAnsi="Arial" w:cs="Arial"/>
          <w:b/>
          <w:bCs/>
          <w:sz w:val="24"/>
          <w:szCs w:val="24"/>
        </w:rPr>
        <w:t>described</w:t>
      </w:r>
      <w:r w:rsidR="002C5025">
        <w:rPr>
          <w:rFonts w:ascii="Arial" w:hAnsi="Arial" w:cs="Arial"/>
          <w:b/>
          <w:bCs/>
          <w:spacing w:val="-15"/>
          <w:sz w:val="24"/>
          <w:szCs w:val="24"/>
        </w:rPr>
        <w:t xml:space="preserve"> </w:t>
      </w:r>
      <w:r w:rsidR="002C5025">
        <w:rPr>
          <w:rFonts w:ascii="Arial" w:hAnsi="Arial" w:cs="Arial"/>
          <w:b/>
          <w:bCs/>
          <w:sz w:val="24"/>
          <w:szCs w:val="24"/>
        </w:rPr>
        <w:t>in</w:t>
      </w:r>
      <w:r w:rsidR="002C5025">
        <w:rPr>
          <w:rFonts w:ascii="Arial" w:hAnsi="Arial" w:cs="Arial"/>
          <w:b/>
          <w:bCs/>
          <w:spacing w:val="-15"/>
          <w:sz w:val="24"/>
          <w:szCs w:val="24"/>
        </w:rPr>
        <w:t xml:space="preserve"> </w:t>
      </w:r>
      <w:r w:rsidR="002C5025">
        <w:rPr>
          <w:rFonts w:ascii="Arial" w:hAnsi="Arial" w:cs="Arial"/>
          <w:b/>
          <w:bCs/>
          <w:sz w:val="24"/>
          <w:szCs w:val="24"/>
        </w:rPr>
        <w:t>the</w:t>
      </w:r>
      <w:r w:rsidR="002C5025">
        <w:rPr>
          <w:rFonts w:ascii="Arial" w:hAnsi="Arial" w:cs="Arial"/>
          <w:b/>
          <w:bCs/>
          <w:spacing w:val="-14"/>
          <w:sz w:val="24"/>
          <w:szCs w:val="24"/>
        </w:rPr>
        <w:t xml:space="preserve"> </w:t>
      </w:r>
      <w:r w:rsidR="002C5025">
        <w:rPr>
          <w:rFonts w:ascii="Arial" w:hAnsi="Arial" w:cs="Arial"/>
          <w:b/>
          <w:bCs/>
          <w:sz w:val="24"/>
          <w:szCs w:val="24"/>
        </w:rPr>
        <w:t>1115</w:t>
      </w:r>
      <w:r w:rsidR="002C5025">
        <w:rPr>
          <w:rFonts w:ascii="Arial" w:hAnsi="Arial" w:cs="Arial"/>
          <w:b/>
          <w:bCs/>
          <w:spacing w:val="-21"/>
          <w:sz w:val="24"/>
          <w:szCs w:val="24"/>
        </w:rPr>
        <w:t xml:space="preserve"> </w:t>
      </w:r>
      <w:r w:rsidR="002C5025">
        <w:rPr>
          <w:rFonts w:ascii="Arial" w:hAnsi="Arial" w:cs="Arial"/>
          <w:b/>
          <w:bCs/>
          <w:sz w:val="24"/>
          <w:szCs w:val="24"/>
        </w:rPr>
        <w:t>waiver</w:t>
      </w:r>
      <w:r w:rsidR="002C5025">
        <w:rPr>
          <w:rFonts w:ascii="Arial" w:hAnsi="Arial" w:cs="Arial"/>
          <w:b/>
          <w:bCs/>
          <w:spacing w:val="-12"/>
          <w:sz w:val="24"/>
          <w:szCs w:val="24"/>
        </w:rPr>
        <w:t xml:space="preserve"> </w:t>
      </w:r>
      <w:r w:rsidR="002C5025">
        <w:rPr>
          <w:rFonts w:ascii="Arial" w:hAnsi="Arial" w:cs="Arial"/>
          <w:b/>
          <w:bCs/>
          <w:sz w:val="24"/>
          <w:szCs w:val="24"/>
        </w:rPr>
        <w:t>proposal</w:t>
      </w:r>
      <w:r w:rsidR="002C5025">
        <w:rPr>
          <w:rFonts w:ascii="Arial" w:hAnsi="Arial" w:cs="Arial"/>
          <w:sz w:val="24"/>
          <w:szCs w:val="24"/>
        </w:rPr>
        <w:t>.</w:t>
      </w:r>
      <w:r w:rsidR="002C5025">
        <w:rPr>
          <w:rFonts w:ascii="Arial" w:hAnsi="Arial" w:cs="Arial"/>
          <w:spacing w:val="-19"/>
          <w:sz w:val="24"/>
          <w:szCs w:val="24"/>
        </w:rPr>
        <w:t xml:space="preserve"> </w:t>
      </w:r>
      <w:r w:rsidR="002C5025">
        <w:rPr>
          <w:rFonts w:ascii="Arial" w:hAnsi="Arial" w:cs="Arial"/>
          <w:spacing w:val="4"/>
          <w:sz w:val="24"/>
          <w:szCs w:val="24"/>
        </w:rPr>
        <w:t>We</w:t>
      </w:r>
      <w:r w:rsidR="002C5025">
        <w:rPr>
          <w:rFonts w:ascii="Arial" w:hAnsi="Arial" w:cs="Arial"/>
          <w:spacing w:val="-18"/>
          <w:sz w:val="24"/>
          <w:szCs w:val="24"/>
        </w:rPr>
        <w:t xml:space="preserve"> </w:t>
      </w:r>
      <w:r w:rsidR="002C5025">
        <w:rPr>
          <w:rFonts w:ascii="Arial" w:hAnsi="Arial" w:cs="Arial"/>
          <w:sz w:val="24"/>
          <w:szCs w:val="24"/>
        </w:rPr>
        <w:t>believe</w:t>
      </w:r>
      <w:r w:rsidR="002C5025">
        <w:rPr>
          <w:rFonts w:ascii="Arial" w:hAnsi="Arial" w:cs="Arial"/>
          <w:spacing w:val="-14"/>
          <w:sz w:val="24"/>
          <w:szCs w:val="24"/>
        </w:rPr>
        <w:t xml:space="preserve"> </w:t>
      </w:r>
      <w:r w:rsidR="002C5025">
        <w:rPr>
          <w:rFonts w:ascii="Arial" w:hAnsi="Arial" w:cs="Arial"/>
          <w:sz w:val="24"/>
          <w:szCs w:val="24"/>
        </w:rPr>
        <w:t>that setting</w:t>
      </w:r>
      <w:r w:rsidR="002C5025">
        <w:rPr>
          <w:rFonts w:ascii="Arial" w:hAnsi="Arial" w:cs="Arial"/>
          <w:spacing w:val="-13"/>
          <w:sz w:val="24"/>
          <w:szCs w:val="24"/>
        </w:rPr>
        <w:t xml:space="preserve"> </w:t>
      </w:r>
      <w:r w:rsidR="002C5025">
        <w:rPr>
          <w:rFonts w:ascii="Arial" w:hAnsi="Arial" w:cs="Arial"/>
          <w:sz w:val="24"/>
          <w:szCs w:val="24"/>
        </w:rPr>
        <w:t>the</w:t>
      </w:r>
      <w:r w:rsidR="002C5025">
        <w:rPr>
          <w:rFonts w:ascii="Arial" w:hAnsi="Arial" w:cs="Arial"/>
          <w:spacing w:val="-8"/>
          <w:sz w:val="24"/>
          <w:szCs w:val="24"/>
        </w:rPr>
        <w:t xml:space="preserve"> </w:t>
      </w:r>
      <w:r w:rsidR="002C5025">
        <w:rPr>
          <w:rFonts w:ascii="Arial" w:hAnsi="Arial" w:cs="Arial"/>
          <w:sz w:val="24"/>
          <w:szCs w:val="24"/>
        </w:rPr>
        <w:t>elimination</w:t>
      </w:r>
      <w:r w:rsidR="002C5025">
        <w:rPr>
          <w:rFonts w:ascii="Arial" w:hAnsi="Arial" w:cs="Arial"/>
          <w:spacing w:val="-13"/>
          <w:sz w:val="24"/>
          <w:szCs w:val="24"/>
        </w:rPr>
        <w:t xml:space="preserve"> </w:t>
      </w:r>
      <w:r w:rsidR="002C5025">
        <w:rPr>
          <w:rFonts w:ascii="Arial" w:hAnsi="Arial" w:cs="Arial"/>
          <w:sz w:val="24"/>
          <w:szCs w:val="24"/>
        </w:rPr>
        <w:t>of</w:t>
      </w:r>
      <w:r w:rsidR="002C5025">
        <w:rPr>
          <w:rFonts w:ascii="Arial" w:hAnsi="Arial" w:cs="Arial"/>
          <w:spacing w:val="-8"/>
          <w:sz w:val="24"/>
          <w:szCs w:val="24"/>
        </w:rPr>
        <w:t xml:space="preserve"> </w:t>
      </w:r>
      <w:r w:rsidR="002C5025">
        <w:rPr>
          <w:rFonts w:ascii="Arial" w:hAnsi="Arial" w:cs="Arial"/>
          <w:sz w:val="24"/>
          <w:szCs w:val="24"/>
        </w:rPr>
        <w:t>health</w:t>
      </w:r>
      <w:r w:rsidR="002C5025">
        <w:rPr>
          <w:rFonts w:ascii="Arial" w:hAnsi="Arial" w:cs="Arial"/>
          <w:spacing w:val="-10"/>
          <w:sz w:val="24"/>
          <w:szCs w:val="24"/>
        </w:rPr>
        <w:t xml:space="preserve"> </w:t>
      </w:r>
      <w:r w:rsidR="002C5025">
        <w:rPr>
          <w:rFonts w:ascii="Arial" w:hAnsi="Arial" w:cs="Arial"/>
          <w:sz w:val="24"/>
          <w:szCs w:val="24"/>
        </w:rPr>
        <w:t>disparities</w:t>
      </w:r>
      <w:r w:rsidR="002C5025">
        <w:rPr>
          <w:rFonts w:ascii="Arial" w:hAnsi="Arial" w:cs="Arial"/>
          <w:spacing w:val="-11"/>
          <w:sz w:val="24"/>
          <w:szCs w:val="24"/>
        </w:rPr>
        <w:t xml:space="preserve"> </w:t>
      </w:r>
      <w:r w:rsidR="002C5025">
        <w:rPr>
          <w:rFonts w:ascii="Arial" w:hAnsi="Arial" w:cs="Arial"/>
          <w:sz w:val="24"/>
          <w:szCs w:val="24"/>
        </w:rPr>
        <w:t>as</w:t>
      </w:r>
      <w:r w:rsidR="002C5025">
        <w:rPr>
          <w:rFonts w:ascii="Arial" w:hAnsi="Arial" w:cs="Arial"/>
          <w:spacing w:val="-14"/>
          <w:sz w:val="24"/>
          <w:szCs w:val="24"/>
        </w:rPr>
        <w:t xml:space="preserve"> </w:t>
      </w:r>
      <w:r w:rsidR="002C5025">
        <w:rPr>
          <w:rFonts w:ascii="Arial" w:hAnsi="Arial" w:cs="Arial"/>
          <w:sz w:val="24"/>
          <w:szCs w:val="24"/>
        </w:rPr>
        <w:t>a</w:t>
      </w:r>
      <w:r w:rsidR="002C5025">
        <w:rPr>
          <w:rFonts w:ascii="Arial" w:hAnsi="Arial" w:cs="Arial"/>
          <w:spacing w:val="-8"/>
          <w:sz w:val="24"/>
          <w:szCs w:val="24"/>
        </w:rPr>
        <w:t xml:space="preserve"> </w:t>
      </w:r>
      <w:r w:rsidR="002C5025">
        <w:rPr>
          <w:rFonts w:ascii="Arial" w:hAnsi="Arial" w:cs="Arial"/>
          <w:sz w:val="24"/>
          <w:szCs w:val="24"/>
        </w:rPr>
        <w:t>specific</w:t>
      </w:r>
      <w:r w:rsidR="002C5025">
        <w:rPr>
          <w:rFonts w:ascii="Arial" w:hAnsi="Arial" w:cs="Arial"/>
          <w:spacing w:val="-11"/>
          <w:sz w:val="24"/>
          <w:szCs w:val="24"/>
        </w:rPr>
        <w:t xml:space="preserve"> </w:t>
      </w:r>
      <w:r w:rsidR="002C5025">
        <w:rPr>
          <w:rFonts w:ascii="Arial" w:hAnsi="Arial" w:cs="Arial"/>
          <w:sz w:val="24"/>
          <w:szCs w:val="24"/>
        </w:rPr>
        <w:t>goal</w:t>
      </w:r>
      <w:r w:rsidR="002C5025">
        <w:rPr>
          <w:rFonts w:ascii="Arial" w:hAnsi="Arial" w:cs="Arial"/>
          <w:spacing w:val="-14"/>
          <w:sz w:val="24"/>
          <w:szCs w:val="24"/>
        </w:rPr>
        <w:t xml:space="preserve"> </w:t>
      </w:r>
      <w:r w:rsidR="002C5025">
        <w:rPr>
          <w:rFonts w:ascii="Arial" w:hAnsi="Arial" w:cs="Arial"/>
          <w:sz w:val="24"/>
          <w:szCs w:val="24"/>
        </w:rPr>
        <w:t>of</w:t>
      </w:r>
      <w:r w:rsidR="002C5025">
        <w:rPr>
          <w:rFonts w:ascii="Arial" w:hAnsi="Arial" w:cs="Arial"/>
          <w:spacing w:val="-6"/>
          <w:sz w:val="24"/>
          <w:szCs w:val="24"/>
        </w:rPr>
        <w:t xml:space="preserve"> </w:t>
      </w:r>
      <w:r w:rsidR="002C5025">
        <w:rPr>
          <w:rFonts w:ascii="Arial" w:hAnsi="Arial" w:cs="Arial"/>
          <w:sz w:val="24"/>
          <w:szCs w:val="24"/>
        </w:rPr>
        <w:t>the</w:t>
      </w:r>
      <w:r w:rsidR="002C5025">
        <w:rPr>
          <w:rFonts w:ascii="Arial" w:hAnsi="Arial" w:cs="Arial"/>
          <w:spacing w:val="-8"/>
          <w:sz w:val="24"/>
          <w:szCs w:val="24"/>
        </w:rPr>
        <w:t xml:space="preserve"> </w:t>
      </w:r>
      <w:r w:rsidR="002C5025">
        <w:rPr>
          <w:rFonts w:ascii="Arial" w:hAnsi="Arial" w:cs="Arial"/>
          <w:sz w:val="24"/>
          <w:szCs w:val="24"/>
        </w:rPr>
        <w:t>waiver</w:t>
      </w:r>
      <w:r w:rsidR="002C5025">
        <w:rPr>
          <w:rFonts w:ascii="Arial" w:hAnsi="Arial" w:cs="Arial"/>
          <w:spacing w:val="-9"/>
          <w:sz w:val="24"/>
          <w:szCs w:val="24"/>
        </w:rPr>
        <w:t xml:space="preserve"> </w:t>
      </w:r>
      <w:r w:rsidR="002C5025">
        <w:rPr>
          <w:rFonts w:ascii="Arial" w:hAnsi="Arial" w:cs="Arial"/>
          <w:spacing w:val="-3"/>
          <w:sz w:val="24"/>
          <w:szCs w:val="24"/>
        </w:rPr>
        <w:t>will</w:t>
      </w:r>
      <w:r w:rsidR="002C5025">
        <w:rPr>
          <w:rFonts w:ascii="Arial" w:hAnsi="Arial" w:cs="Arial"/>
          <w:spacing w:val="-12"/>
          <w:sz w:val="24"/>
          <w:szCs w:val="24"/>
        </w:rPr>
        <w:t xml:space="preserve"> </w:t>
      </w:r>
      <w:r w:rsidR="002C5025">
        <w:rPr>
          <w:rFonts w:ascii="Arial" w:hAnsi="Arial" w:cs="Arial"/>
          <w:sz w:val="24"/>
          <w:szCs w:val="24"/>
        </w:rPr>
        <w:t>help</w:t>
      </w:r>
      <w:r w:rsidR="002C5025">
        <w:rPr>
          <w:rFonts w:ascii="Arial" w:hAnsi="Arial" w:cs="Arial"/>
          <w:spacing w:val="-8"/>
          <w:sz w:val="24"/>
          <w:szCs w:val="24"/>
        </w:rPr>
        <w:t xml:space="preserve"> </w:t>
      </w:r>
      <w:r w:rsidR="002C5025">
        <w:rPr>
          <w:rFonts w:ascii="Arial" w:hAnsi="Arial" w:cs="Arial"/>
          <w:sz w:val="24"/>
          <w:szCs w:val="24"/>
        </w:rPr>
        <w:t>to guide the development of critical components of this system that have yet to be finalized.</w:t>
      </w:r>
    </w:p>
    <w:p w:rsidR="002C5025" w:rsidRDefault="002C5025">
      <w:pPr>
        <w:pStyle w:val="BodyText"/>
        <w:kinsoku w:val="0"/>
        <w:overflowPunct w:val="0"/>
        <w:rPr>
          <w:rFonts w:ascii="Arial" w:hAnsi="Arial" w:cs="Arial"/>
          <w:sz w:val="24"/>
          <w:szCs w:val="24"/>
        </w:rPr>
      </w:pPr>
    </w:p>
    <w:p w:rsidR="002C5025" w:rsidRDefault="002C5025">
      <w:pPr>
        <w:pStyle w:val="BodyText"/>
        <w:kinsoku w:val="0"/>
        <w:overflowPunct w:val="0"/>
        <w:ind w:left="100" w:right="1092"/>
        <w:rPr>
          <w:rFonts w:ascii="Arial" w:hAnsi="Arial" w:cs="Arial"/>
          <w:sz w:val="24"/>
          <w:szCs w:val="24"/>
        </w:rPr>
      </w:pPr>
      <w:r>
        <w:rPr>
          <w:rFonts w:ascii="Arial" w:hAnsi="Arial" w:cs="Arial"/>
          <w:spacing w:val="4"/>
          <w:sz w:val="24"/>
          <w:szCs w:val="24"/>
        </w:rPr>
        <w:t xml:space="preserve">We </w:t>
      </w:r>
      <w:r>
        <w:rPr>
          <w:rFonts w:ascii="Arial" w:hAnsi="Arial" w:cs="Arial"/>
          <w:sz w:val="24"/>
          <w:szCs w:val="24"/>
        </w:rPr>
        <w:t>would also like to acknowledge the truly collaborative process that MassHealth has</w:t>
      </w:r>
      <w:r>
        <w:rPr>
          <w:rFonts w:ascii="Arial" w:hAnsi="Arial" w:cs="Arial"/>
          <w:spacing w:val="-17"/>
          <w:sz w:val="24"/>
          <w:szCs w:val="24"/>
        </w:rPr>
        <w:t xml:space="preserve"> </w:t>
      </w:r>
      <w:r>
        <w:rPr>
          <w:rFonts w:ascii="Arial" w:hAnsi="Arial" w:cs="Arial"/>
          <w:sz w:val="24"/>
          <w:szCs w:val="24"/>
        </w:rPr>
        <w:t>facilitated</w:t>
      </w:r>
      <w:r>
        <w:rPr>
          <w:rFonts w:ascii="Arial" w:hAnsi="Arial" w:cs="Arial"/>
          <w:spacing w:val="-14"/>
          <w:sz w:val="24"/>
          <w:szCs w:val="24"/>
        </w:rPr>
        <w:t xml:space="preserve"> </w:t>
      </w:r>
      <w:r>
        <w:rPr>
          <w:rFonts w:ascii="Arial" w:hAnsi="Arial" w:cs="Arial"/>
          <w:sz w:val="24"/>
          <w:szCs w:val="24"/>
        </w:rPr>
        <w:t>to</w:t>
      </w:r>
      <w:r>
        <w:rPr>
          <w:rFonts w:ascii="Arial" w:hAnsi="Arial" w:cs="Arial"/>
          <w:spacing w:val="-16"/>
          <w:sz w:val="24"/>
          <w:szCs w:val="24"/>
        </w:rPr>
        <w:t xml:space="preserve"> </w:t>
      </w:r>
      <w:r>
        <w:rPr>
          <w:rFonts w:ascii="Arial" w:hAnsi="Arial" w:cs="Arial"/>
          <w:sz w:val="24"/>
          <w:szCs w:val="24"/>
        </w:rPr>
        <w:t>ensure</w:t>
      </w:r>
      <w:r>
        <w:rPr>
          <w:rFonts w:ascii="Arial" w:hAnsi="Arial" w:cs="Arial"/>
          <w:spacing w:val="-12"/>
          <w:sz w:val="24"/>
          <w:szCs w:val="24"/>
        </w:rPr>
        <w:t xml:space="preserve"> </w:t>
      </w:r>
      <w:r>
        <w:rPr>
          <w:rFonts w:ascii="Arial" w:hAnsi="Arial" w:cs="Arial"/>
          <w:sz w:val="24"/>
          <w:szCs w:val="24"/>
        </w:rPr>
        <w:t>broad</w:t>
      </w:r>
      <w:r>
        <w:rPr>
          <w:rFonts w:ascii="Arial" w:hAnsi="Arial" w:cs="Arial"/>
          <w:spacing w:val="-12"/>
          <w:sz w:val="24"/>
          <w:szCs w:val="24"/>
        </w:rPr>
        <w:t xml:space="preserve"> </w:t>
      </w:r>
      <w:r>
        <w:rPr>
          <w:rFonts w:ascii="Arial" w:hAnsi="Arial" w:cs="Arial"/>
          <w:sz w:val="24"/>
          <w:szCs w:val="24"/>
        </w:rPr>
        <w:t>stakeholder</w:t>
      </w:r>
      <w:r>
        <w:rPr>
          <w:rFonts w:ascii="Arial" w:hAnsi="Arial" w:cs="Arial"/>
          <w:spacing w:val="-13"/>
          <w:sz w:val="24"/>
          <w:szCs w:val="24"/>
        </w:rPr>
        <w:t xml:space="preserve"> </w:t>
      </w:r>
      <w:r>
        <w:rPr>
          <w:rFonts w:ascii="Arial" w:hAnsi="Arial" w:cs="Arial"/>
          <w:sz w:val="24"/>
          <w:szCs w:val="24"/>
        </w:rPr>
        <w:t>input</w:t>
      </w:r>
      <w:r>
        <w:rPr>
          <w:rFonts w:ascii="Arial" w:hAnsi="Arial" w:cs="Arial"/>
          <w:spacing w:val="-12"/>
          <w:sz w:val="24"/>
          <w:szCs w:val="24"/>
        </w:rPr>
        <w:t xml:space="preserve"> </w:t>
      </w:r>
      <w:r>
        <w:rPr>
          <w:rFonts w:ascii="Arial" w:hAnsi="Arial" w:cs="Arial"/>
          <w:sz w:val="24"/>
          <w:szCs w:val="24"/>
        </w:rPr>
        <w:t>into</w:t>
      </w:r>
      <w:r>
        <w:rPr>
          <w:rFonts w:ascii="Arial" w:hAnsi="Arial" w:cs="Arial"/>
          <w:spacing w:val="-14"/>
          <w:sz w:val="24"/>
          <w:szCs w:val="24"/>
        </w:rPr>
        <w:t xml:space="preserve"> </w:t>
      </w:r>
      <w:r>
        <w:rPr>
          <w:rFonts w:ascii="Arial" w:hAnsi="Arial" w:cs="Arial"/>
          <w:sz w:val="24"/>
          <w:szCs w:val="24"/>
        </w:rPr>
        <w:t>this</w:t>
      </w:r>
      <w:r>
        <w:rPr>
          <w:rFonts w:ascii="Arial" w:hAnsi="Arial" w:cs="Arial"/>
          <w:spacing w:val="-12"/>
          <w:sz w:val="24"/>
          <w:szCs w:val="24"/>
        </w:rPr>
        <w:t xml:space="preserve"> </w:t>
      </w:r>
      <w:r>
        <w:rPr>
          <w:rFonts w:ascii="Arial" w:hAnsi="Arial" w:cs="Arial"/>
          <w:sz w:val="24"/>
          <w:szCs w:val="24"/>
        </w:rPr>
        <w:t>waiver</w:t>
      </w:r>
      <w:r>
        <w:rPr>
          <w:rFonts w:ascii="Arial" w:hAnsi="Arial" w:cs="Arial"/>
          <w:spacing w:val="-15"/>
          <w:sz w:val="24"/>
          <w:szCs w:val="24"/>
        </w:rPr>
        <w:t xml:space="preserve"> </w:t>
      </w:r>
      <w:r>
        <w:rPr>
          <w:rFonts w:ascii="Arial" w:hAnsi="Arial" w:cs="Arial"/>
          <w:sz w:val="24"/>
          <w:szCs w:val="24"/>
        </w:rPr>
        <w:t>proposal.</w:t>
      </w:r>
      <w:r>
        <w:rPr>
          <w:rFonts w:ascii="Arial" w:hAnsi="Arial" w:cs="Arial"/>
          <w:spacing w:val="-25"/>
          <w:sz w:val="24"/>
          <w:szCs w:val="24"/>
        </w:rPr>
        <w:t xml:space="preserve"> </w:t>
      </w:r>
      <w:r>
        <w:rPr>
          <w:rFonts w:ascii="Arial" w:hAnsi="Arial" w:cs="Arial"/>
          <w:spacing w:val="5"/>
          <w:sz w:val="24"/>
          <w:szCs w:val="24"/>
        </w:rPr>
        <w:t>We</w:t>
      </w:r>
      <w:r>
        <w:rPr>
          <w:rFonts w:ascii="Arial" w:hAnsi="Arial" w:cs="Arial"/>
          <w:spacing w:val="-14"/>
          <w:sz w:val="24"/>
          <w:szCs w:val="24"/>
        </w:rPr>
        <w:t xml:space="preserve"> </w:t>
      </w:r>
      <w:r>
        <w:rPr>
          <w:rFonts w:ascii="Arial" w:hAnsi="Arial" w:cs="Arial"/>
          <w:sz w:val="24"/>
          <w:szCs w:val="24"/>
        </w:rPr>
        <w:t>believe that</w:t>
      </w:r>
      <w:r>
        <w:rPr>
          <w:rFonts w:ascii="Arial" w:hAnsi="Arial" w:cs="Arial"/>
          <w:spacing w:val="-16"/>
          <w:sz w:val="24"/>
          <w:szCs w:val="24"/>
        </w:rPr>
        <w:t xml:space="preserve"> </w:t>
      </w:r>
      <w:r>
        <w:rPr>
          <w:rFonts w:ascii="Arial" w:hAnsi="Arial" w:cs="Arial"/>
          <w:sz w:val="24"/>
          <w:szCs w:val="24"/>
        </w:rPr>
        <w:t>active</w:t>
      </w:r>
      <w:r>
        <w:rPr>
          <w:rFonts w:ascii="Arial" w:hAnsi="Arial" w:cs="Arial"/>
          <w:spacing w:val="-15"/>
          <w:sz w:val="24"/>
          <w:szCs w:val="24"/>
        </w:rPr>
        <w:t xml:space="preserve"> </w:t>
      </w:r>
      <w:r>
        <w:rPr>
          <w:rFonts w:ascii="Arial" w:hAnsi="Arial" w:cs="Arial"/>
          <w:sz w:val="24"/>
          <w:szCs w:val="24"/>
        </w:rPr>
        <w:t>stakeholder</w:t>
      </w:r>
      <w:r>
        <w:rPr>
          <w:rFonts w:ascii="Arial" w:hAnsi="Arial" w:cs="Arial"/>
          <w:spacing w:val="-16"/>
          <w:sz w:val="24"/>
          <w:szCs w:val="24"/>
        </w:rPr>
        <w:t xml:space="preserve"> </w:t>
      </w:r>
      <w:r>
        <w:rPr>
          <w:rFonts w:ascii="Arial" w:hAnsi="Arial" w:cs="Arial"/>
          <w:sz w:val="24"/>
          <w:szCs w:val="24"/>
        </w:rPr>
        <w:t>engagement</w:t>
      </w:r>
      <w:r>
        <w:rPr>
          <w:rFonts w:ascii="Arial" w:hAnsi="Arial" w:cs="Arial"/>
          <w:spacing w:val="-13"/>
          <w:sz w:val="24"/>
          <w:szCs w:val="24"/>
        </w:rPr>
        <w:t xml:space="preserve"> </w:t>
      </w:r>
      <w:r>
        <w:rPr>
          <w:rFonts w:ascii="Arial" w:hAnsi="Arial" w:cs="Arial"/>
          <w:sz w:val="24"/>
          <w:szCs w:val="24"/>
        </w:rPr>
        <w:t>is</w:t>
      </w:r>
      <w:r>
        <w:rPr>
          <w:rFonts w:ascii="Arial" w:hAnsi="Arial" w:cs="Arial"/>
          <w:spacing w:val="-17"/>
          <w:sz w:val="24"/>
          <w:szCs w:val="24"/>
        </w:rPr>
        <w:t xml:space="preserve"> </w:t>
      </w:r>
      <w:r>
        <w:rPr>
          <w:rFonts w:ascii="Arial" w:hAnsi="Arial" w:cs="Arial"/>
          <w:sz w:val="24"/>
          <w:szCs w:val="24"/>
        </w:rPr>
        <w:t>essential</w:t>
      </w:r>
      <w:r>
        <w:rPr>
          <w:rFonts w:ascii="Arial" w:hAnsi="Arial" w:cs="Arial"/>
          <w:spacing w:val="-14"/>
          <w:sz w:val="24"/>
          <w:szCs w:val="24"/>
        </w:rPr>
        <w:t xml:space="preserve"> </w:t>
      </w:r>
      <w:r>
        <w:rPr>
          <w:rFonts w:ascii="Arial" w:hAnsi="Arial" w:cs="Arial"/>
          <w:sz w:val="24"/>
          <w:szCs w:val="24"/>
        </w:rPr>
        <w:t>to</w:t>
      </w:r>
      <w:r>
        <w:rPr>
          <w:rFonts w:ascii="Arial" w:hAnsi="Arial" w:cs="Arial"/>
          <w:spacing w:val="-12"/>
          <w:sz w:val="24"/>
          <w:szCs w:val="24"/>
        </w:rPr>
        <w:t xml:space="preserve"> </w:t>
      </w:r>
      <w:r>
        <w:rPr>
          <w:rFonts w:ascii="Arial" w:hAnsi="Arial" w:cs="Arial"/>
          <w:sz w:val="24"/>
          <w:szCs w:val="24"/>
        </w:rPr>
        <w:t>the</w:t>
      </w:r>
      <w:r>
        <w:rPr>
          <w:rFonts w:ascii="Arial" w:hAnsi="Arial" w:cs="Arial"/>
          <w:spacing w:val="-15"/>
          <w:sz w:val="24"/>
          <w:szCs w:val="24"/>
        </w:rPr>
        <w:t xml:space="preserve"> </w:t>
      </w:r>
      <w:r>
        <w:rPr>
          <w:rFonts w:ascii="Arial" w:hAnsi="Arial" w:cs="Arial"/>
          <w:sz w:val="24"/>
          <w:szCs w:val="24"/>
        </w:rPr>
        <w:t>development</w:t>
      </w:r>
      <w:r>
        <w:rPr>
          <w:rFonts w:ascii="Arial" w:hAnsi="Arial" w:cs="Arial"/>
          <w:spacing w:val="-15"/>
          <w:sz w:val="24"/>
          <w:szCs w:val="24"/>
        </w:rPr>
        <w:t xml:space="preserve"> </w:t>
      </w:r>
      <w:r>
        <w:rPr>
          <w:rFonts w:ascii="Arial" w:hAnsi="Arial" w:cs="Arial"/>
          <w:sz w:val="24"/>
          <w:szCs w:val="24"/>
        </w:rPr>
        <w:t>of</w:t>
      </w:r>
      <w:r>
        <w:rPr>
          <w:rFonts w:ascii="Arial" w:hAnsi="Arial" w:cs="Arial"/>
          <w:spacing w:val="-10"/>
          <w:sz w:val="24"/>
          <w:szCs w:val="24"/>
        </w:rPr>
        <w:t xml:space="preserve"> </w:t>
      </w:r>
      <w:r>
        <w:rPr>
          <w:rFonts w:ascii="Arial" w:hAnsi="Arial" w:cs="Arial"/>
          <w:sz w:val="24"/>
          <w:szCs w:val="24"/>
        </w:rPr>
        <w:t>a</w:t>
      </w:r>
      <w:r>
        <w:rPr>
          <w:rFonts w:ascii="Arial" w:hAnsi="Arial" w:cs="Arial"/>
          <w:spacing w:val="-15"/>
          <w:sz w:val="24"/>
          <w:szCs w:val="24"/>
        </w:rPr>
        <w:t xml:space="preserve"> </w:t>
      </w:r>
      <w:r>
        <w:rPr>
          <w:rFonts w:ascii="Arial" w:hAnsi="Arial" w:cs="Arial"/>
          <w:sz w:val="24"/>
          <w:szCs w:val="24"/>
        </w:rPr>
        <w:t>proposal</w:t>
      </w:r>
      <w:r>
        <w:rPr>
          <w:rFonts w:ascii="Arial" w:hAnsi="Arial" w:cs="Arial"/>
          <w:spacing w:val="-14"/>
          <w:sz w:val="24"/>
          <w:szCs w:val="24"/>
        </w:rPr>
        <w:t xml:space="preserve"> </w:t>
      </w:r>
      <w:r>
        <w:rPr>
          <w:rFonts w:ascii="Arial" w:hAnsi="Arial" w:cs="Arial"/>
          <w:sz w:val="24"/>
          <w:szCs w:val="24"/>
        </w:rPr>
        <w:t xml:space="preserve">that is both aspirational and achievable. </w:t>
      </w:r>
      <w:r>
        <w:rPr>
          <w:rFonts w:ascii="Arial" w:hAnsi="Arial" w:cs="Arial"/>
          <w:spacing w:val="5"/>
          <w:sz w:val="24"/>
          <w:szCs w:val="24"/>
        </w:rPr>
        <w:t xml:space="preserve">We </w:t>
      </w:r>
      <w:r>
        <w:rPr>
          <w:rFonts w:ascii="Arial" w:hAnsi="Arial" w:cs="Arial"/>
          <w:sz w:val="24"/>
          <w:szCs w:val="24"/>
        </w:rPr>
        <w:t>are particularly pleased to see that “MassHealth</w:t>
      </w:r>
      <w:r>
        <w:rPr>
          <w:rFonts w:ascii="Arial" w:hAnsi="Arial" w:cs="Arial"/>
          <w:spacing w:val="-10"/>
          <w:sz w:val="24"/>
          <w:szCs w:val="24"/>
        </w:rPr>
        <w:t xml:space="preserve"> </w:t>
      </w:r>
      <w:r>
        <w:rPr>
          <w:rFonts w:ascii="Arial" w:hAnsi="Arial" w:cs="Arial"/>
          <w:spacing w:val="-3"/>
          <w:sz w:val="24"/>
          <w:szCs w:val="24"/>
        </w:rPr>
        <w:t>will</w:t>
      </w:r>
      <w:r>
        <w:rPr>
          <w:rFonts w:ascii="Arial" w:hAnsi="Arial" w:cs="Arial"/>
          <w:spacing w:val="-14"/>
          <w:sz w:val="24"/>
          <w:szCs w:val="24"/>
        </w:rPr>
        <w:t xml:space="preserve"> </w:t>
      </w:r>
      <w:r>
        <w:rPr>
          <w:rFonts w:ascii="Arial" w:hAnsi="Arial" w:cs="Arial"/>
          <w:sz w:val="24"/>
          <w:szCs w:val="24"/>
        </w:rPr>
        <w:t>continue</w:t>
      </w:r>
      <w:r>
        <w:rPr>
          <w:rFonts w:ascii="Arial" w:hAnsi="Arial" w:cs="Arial"/>
          <w:spacing w:val="-10"/>
          <w:sz w:val="24"/>
          <w:szCs w:val="24"/>
        </w:rPr>
        <w:t xml:space="preserve"> </w:t>
      </w:r>
      <w:r>
        <w:rPr>
          <w:rFonts w:ascii="Arial" w:hAnsi="Arial" w:cs="Arial"/>
          <w:sz w:val="24"/>
          <w:szCs w:val="24"/>
        </w:rPr>
        <w:t>to</w:t>
      </w:r>
      <w:r>
        <w:rPr>
          <w:rFonts w:ascii="Arial" w:hAnsi="Arial" w:cs="Arial"/>
          <w:spacing w:val="-10"/>
          <w:sz w:val="24"/>
          <w:szCs w:val="24"/>
        </w:rPr>
        <w:t xml:space="preserve"> </w:t>
      </w:r>
      <w:r>
        <w:rPr>
          <w:rFonts w:ascii="Arial" w:hAnsi="Arial" w:cs="Arial"/>
          <w:sz w:val="24"/>
          <w:szCs w:val="24"/>
        </w:rPr>
        <w:t>seek</w:t>
      </w:r>
      <w:r>
        <w:rPr>
          <w:rFonts w:ascii="Arial" w:hAnsi="Arial" w:cs="Arial"/>
          <w:spacing w:val="-11"/>
          <w:sz w:val="24"/>
          <w:szCs w:val="24"/>
        </w:rPr>
        <w:t xml:space="preserve"> </w:t>
      </w:r>
      <w:r>
        <w:rPr>
          <w:rFonts w:ascii="Arial" w:hAnsi="Arial" w:cs="Arial"/>
          <w:sz w:val="24"/>
          <w:szCs w:val="24"/>
        </w:rPr>
        <w:t>input</w:t>
      </w:r>
      <w:r>
        <w:rPr>
          <w:rFonts w:ascii="Arial" w:hAnsi="Arial" w:cs="Arial"/>
          <w:spacing w:val="-15"/>
          <w:sz w:val="24"/>
          <w:szCs w:val="24"/>
        </w:rPr>
        <w:t xml:space="preserve"> </w:t>
      </w:r>
      <w:r>
        <w:rPr>
          <w:rFonts w:ascii="Arial" w:hAnsi="Arial" w:cs="Arial"/>
          <w:sz w:val="24"/>
          <w:szCs w:val="24"/>
        </w:rPr>
        <w:t>from</w:t>
      </w:r>
      <w:r>
        <w:rPr>
          <w:rFonts w:ascii="Arial" w:hAnsi="Arial" w:cs="Arial"/>
          <w:spacing w:val="-12"/>
          <w:sz w:val="24"/>
          <w:szCs w:val="24"/>
        </w:rPr>
        <w:t xml:space="preserve"> </w:t>
      </w:r>
      <w:r>
        <w:rPr>
          <w:rFonts w:ascii="Arial" w:hAnsi="Arial" w:cs="Arial"/>
          <w:sz w:val="24"/>
          <w:szCs w:val="24"/>
        </w:rPr>
        <w:t>technical</w:t>
      </w:r>
      <w:r>
        <w:rPr>
          <w:rFonts w:ascii="Arial" w:hAnsi="Arial" w:cs="Arial"/>
          <w:spacing w:val="-16"/>
          <w:sz w:val="24"/>
          <w:szCs w:val="24"/>
        </w:rPr>
        <w:t xml:space="preserve"> </w:t>
      </w:r>
      <w:r>
        <w:rPr>
          <w:rFonts w:ascii="Arial" w:hAnsi="Arial" w:cs="Arial"/>
          <w:sz w:val="24"/>
          <w:szCs w:val="24"/>
        </w:rPr>
        <w:t>advisory</w:t>
      </w:r>
      <w:r>
        <w:rPr>
          <w:rFonts w:ascii="Arial" w:hAnsi="Arial" w:cs="Arial"/>
          <w:spacing w:val="-14"/>
          <w:sz w:val="24"/>
          <w:szCs w:val="24"/>
        </w:rPr>
        <w:t xml:space="preserve"> </w:t>
      </w:r>
      <w:r>
        <w:rPr>
          <w:rFonts w:ascii="Arial" w:hAnsi="Arial" w:cs="Arial"/>
          <w:sz w:val="24"/>
          <w:szCs w:val="24"/>
        </w:rPr>
        <w:t>groups</w:t>
      </w:r>
      <w:r>
        <w:rPr>
          <w:rFonts w:ascii="Arial" w:hAnsi="Arial" w:cs="Arial"/>
          <w:spacing w:val="-11"/>
          <w:sz w:val="24"/>
          <w:szCs w:val="24"/>
        </w:rPr>
        <w:t xml:space="preserve"> </w:t>
      </w:r>
      <w:r>
        <w:rPr>
          <w:rFonts w:ascii="Arial" w:hAnsi="Arial" w:cs="Arial"/>
          <w:sz w:val="24"/>
          <w:szCs w:val="24"/>
        </w:rPr>
        <w:t>on</w:t>
      </w:r>
      <w:r>
        <w:rPr>
          <w:rFonts w:ascii="Arial" w:hAnsi="Arial" w:cs="Arial"/>
          <w:spacing w:val="-13"/>
          <w:sz w:val="24"/>
          <w:szCs w:val="24"/>
        </w:rPr>
        <w:t xml:space="preserve"> </w:t>
      </w:r>
      <w:r>
        <w:rPr>
          <w:rFonts w:ascii="Arial" w:hAnsi="Arial" w:cs="Arial"/>
          <w:sz w:val="24"/>
          <w:szCs w:val="24"/>
        </w:rPr>
        <w:t>key</w:t>
      </w:r>
      <w:r>
        <w:rPr>
          <w:rFonts w:ascii="Arial" w:hAnsi="Arial" w:cs="Arial"/>
          <w:spacing w:val="-16"/>
          <w:sz w:val="24"/>
          <w:szCs w:val="24"/>
        </w:rPr>
        <w:t xml:space="preserve"> </w:t>
      </w:r>
      <w:r>
        <w:rPr>
          <w:rFonts w:ascii="Arial" w:hAnsi="Arial" w:cs="Arial"/>
          <w:sz w:val="24"/>
          <w:szCs w:val="24"/>
        </w:rPr>
        <w:t xml:space="preserve">topics, e.g., certification criteria for Community Partners, quality and member experience measurement approach, and ACO model details.” </w:t>
      </w:r>
      <w:r>
        <w:rPr>
          <w:rFonts w:ascii="Arial" w:hAnsi="Arial" w:cs="Arial"/>
          <w:b/>
          <w:bCs/>
          <w:sz w:val="24"/>
          <w:szCs w:val="24"/>
        </w:rPr>
        <w:t xml:space="preserve">Casa recommends that </w:t>
      </w:r>
      <w:r>
        <w:rPr>
          <w:rFonts w:ascii="Arial" w:hAnsi="Arial" w:cs="Arial"/>
          <w:b/>
          <w:bCs/>
          <w:spacing w:val="-3"/>
          <w:sz w:val="24"/>
          <w:szCs w:val="24"/>
        </w:rPr>
        <w:t xml:space="preserve">the </w:t>
      </w:r>
      <w:r>
        <w:rPr>
          <w:rFonts w:ascii="Arial" w:hAnsi="Arial" w:cs="Arial"/>
          <w:b/>
          <w:bCs/>
          <w:sz w:val="24"/>
          <w:szCs w:val="24"/>
        </w:rPr>
        <w:t>waiver include a stated intention to actively engage stakeholders with demonstrated expertise in serving/researching the needs of cultural and linguistic minorities, homeless individuals, individuals recently released from incarceration,</w:t>
      </w:r>
      <w:r>
        <w:rPr>
          <w:rFonts w:ascii="Arial" w:hAnsi="Arial" w:cs="Arial"/>
          <w:b/>
          <w:bCs/>
          <w:spacing w:val="-20"/>
          <w:sz w:val="24"/>
          <w:szCs w:val="24"/>
        </w:rPr>
        <w:t xml:space="preserve"> </w:t>
      </w:r>
      <w:r>
        <w:rPr>
          <w:rFonts w:ascii="Arial" w:hAnsi="Arial" w:cs="Arial"/>
          <w:b/>
          <w:bCs/>
          <w:sz w:val="24"/>
          <w:szCs w:val="24"/>
        </w:rPr>
        <w:t>and</w:t>
      </w:r>
      <w:r>
        <w:rPr>
          <w:rFonts w:ascii="Arial" w:hAnsi="Arial" w:cs="Arial"/>
          <w:b/>
          <w:bCs/>
          <w:spacing w:val="-17"/>
          <w:sz w:val="24"/>
          <w:szCs w:val="24"/>
        </w:rPr>
        <w:t xml:space="preserve"> </w:t>
      </w:r>
      <w:r>
        <w:rPr>
          <w:rFonts w:ascii="Arial" w:hAnsi="Arial" w:cs="Arial"/>
          <w:b/>
          <w:bCs/>
          <w:sz w:val="24"/>
          <w:szCs w:val="24"/>
        </w:rPr>
        <w:t>other</w:t>
      </w:r>
      <w:r>
        <w:rPr>
          <w:rFonts w:ascii="Arial" w:hAnsi="Arial" w:cs="Arial"/>
          <w:b/>
          <w:bCs/>
          <w:spacing w:val="-16"/>
          <w:sz w:val="24"/>
          <w:szCs w:val="24"/>
        </w:rPr>
        <w:t xml:space="preserve"> </w:t>
      </w:r>
      <w:r>
        <w:rPr>
          <w:rFonts w:ascii="Arial" w:hAnsi="Arial" w:cs="Arial"/>
          <w:b/>
          <w:bCs/>
          <w:sz w:val="24"/>
          <w:szCs w:val="24"/>
        </w:rPr>
        <w:t>vulnerable</w:t>
      </w:r>
      <w:r>
        <w:rPr>
          <w:rFonts w:ascii="Arial" w:hAnsi="Arial" w:cs="Arial"/>
          <w:b/>
          <w:bCs/>
          <w:spacing w:val="-17"/>
          <w:sz w:val="24"/>
          <w:szCs w:val="24"/>
        </w:rPr>
        <w:t xml:space="preserve"> </w:t>
      </w:r>
      <w:r>
        <w:rPr>
          <w:rFonts w:ascii="Arial" w:hAnsi="Arial" w:cs="Arial"/>
          <w:b/>
          <w:bCs/>
          <w:sz w:val="24"/>
          <w:szCs w:val="24"/>
        </w:rPr>
        <w:t>subpopulations,</w:t>
      </w:r>
      <w:r>
        <w:rPr>
          <w:rFonts w:ascii="Arial" w:hAnsi="Arial" w:cs="Arial"/>
          <w:b/>
          <w:bCs/>
          <w:spacing w:val="-16"/>
          <w:sz w:val="24"/>
          <w:szCs w:val="24"/>
        </w:rPr>
        <w:t xml:space="preserve"> </w:t>
      </w:r>
      <w:r>
        <w:rPr>
          <w:rFonts w:ascii="Arial" w:hAnsi="Arial" w:cs="Arial"/>
          <w:b/>
          <w:bCs/>
          <w:sz w:val="24"/>
          <w:szCs w:val="24"/>
        </w:rPr>
        <w:t>for</w:t>
      </w:r>
      <w:r>
        <w:rPr>
          <w:rFonts w:ascii="Arial" w:hAnsi="Arial" w:cs="Arial"/>
          <w:b/>
          <w:bCs/>
          <w:spacing w:val="-16"/>
          <w:sz w:val="24"/>
          <w:szCs w:val="24"/>
        </w:rPr>
        <w:t xml:space="preserve"> </w:t>
      </w:r>
      <w:r>
        <w:rPr>
          <w:rFonts w:ascii="Arial" w:hAnsi="Arial" w:cs="Arial"/>
          <w:b/>
          <w:bCs/>
          <w:spacing w:val="-3"/>
          <w:sz w:val="24"/>
          <w:szCs w:val="24"/>
        </w:rPr>
        <w:t>the</w:t>
      </w:r>
      <w:r>
        <w:rPr>
          <w:rFonts w:ascii="Arial" w:hAnsi="Arial" w:cs="Arial"/>
          <w:b/>
          <w:bCs/>
          <w:spacing w:val="-16"/>
          <w:sz w:val="24"/>
          <w:szCs w:val="24"/>
        </w:rPr>
        <w:t xml:space="preserve"> </w:t>
      </w:r>
      <w:r>
        <w:rPr>
          <w:rFonts w:ascii="Arial" w:hAnsi="Arial" w:cs="Arial"/>
          <w:b/>
          <w:bCs/>
          <w:sz w:val="24"/>
          <w:szCs w:val="24"/>
        </w:rPr>
        <w:t>express</w:t>
      </w:r>
      <w:r>
        <w:rPr>
          <w:rFonts w:ascii="Arial" w:hAnsi="Arial" w:cs="Arial"/>
          <w:b/>
          <w:bCs/>
          <w:spacing w:val="-16"/>
          <w:sz w:val="24"/>
          <w:szCs w:val="24"/>
        </w:rPr>
        <w:t xml:space="preserve"> </w:t>
      </w:r>
      <w:r>
        <w:rPr>
          <w:rFonts w:ascii="Arial" w:hAnsi="Arial" w:cs="Arial"/>
          <w:b/>
          <w:bCs/>
          <w:sz w:val="24"/>
          <w:szCs w:val="24"/>
        </w:rPr>
        <w:t>purpose</w:t>
      </w:r>
      <w:r>
        <w:rPr>
          <w:rFonts w:ascii="Arial" w:hAnsi="Arial" w:cs="Arial"/>
          <w:b/>
          <w:bCs/>
          <w:spacing w:val="-16"/>
          <w:sz w:val="24"/>
          <w:szCs w:val="24"/>
        </w:rPr>
        <w:t xml:space="preserve"> </w:t>
      </w:r>
      <w:r>
        <w:rPr>
          <w:rFonts w:ascii="Arial" w:hAnsi="Arial" w:cs="Arial"/>
          <w:b/>
          <w:bCs/>
          <w:sz w:val="24"/>
          <w:szCs w:val="24"/>
        </w:rPr>
        <w:t xml:space="preserve">of commenting on critical operational components that will </w:t>
      </w:r>
      <w:r>
        <w:rPr>
          <w:rFonts w:ascii="Arial" w:hAnsi="Arial" w:cs="Arial"/>
          <w:b/>
          <w:bCs/>
          <w:spacing w:val="-3"/>
          <w:sz w:val="24"/>
          <w:szCs w:val="24"/>
        </w:rPr>
        <w:t xml:space="preserve">drive </w:t>
      </w:r>
      <w:r>
        <w:rPr>
          <w:rFonts w:ascii="Arial" w:hAnsi="Arial" w:cs="Arial"/>
          <w:b/>
          <w:bCs/>
          <w:sz w:val="24"/>
          <w:szCs w:val="24"/>
        </w:rPr>
        <w:t xml:space="preserve">the reduction of health disparities. </w:t>
      </w:r>
      <w:r>
        <w:rPr>
          <w:rFonts w:ascii="Arial" w:hAnsi="Arial" w:cs="Arial"/>
          <w:spacing w:val="5"/>
          <w:sz w:val="24"/>
          <w:szCs w:val="24"/>
        </w:rPr>
        <w:t xml:space="preserve">We </w:t>
      </w:r>
      <w:r>
        <w:rPr>
          <w:rFonts w:ascii="Arial" w:hAnsi="Arial" w:cs="Arial"/>
          <w:sz w:val="24"/>
          <w:szCs w:val="24"/>
        </w:rPr>
        <w:t>believe that stakeholder engagement in clarifying these operational</w:t>
      </w:r>
      <w:r>
        <w:rPr>
          <w:rFonts w:ascii="Arial" w:hAnsi="Arial" w:cs="Arial"/>
          <w:spacing w:val="-19"/>
          <w:sz w:val="24"/>
          <w:szCs w:val="24"/>
        </w:rPr>
        <w:t xml:space="preserve"> </w:t>
      </w:r>
      <w:r>
        <w:rPr>
          <w:rFonts w:ascii="Arial" w:hAnsi="Arial" w:cs="Arial"/>
          <w:sz w:val="24"/>
          <w:szCs w:val="24"/>
        </w:rPr>
        <w:t>details</w:t>
      </w:r>
      <w:r>
        <w:rPr>
          <w:rFonts w:ascii="Arial" w:hAnsi="Arial" w:cs="Arial"/>
          <w:spacing w:val="-12"/>
          <w:sz w:val="24"/>
          <w:szCs w:val="24"/>
        </w:rPr>
        <w:t xml:space="preserve"> </w:t>
      </w:r>
      <w:r>
        <w:rPr>
          <w:rFonts w:ascii="Arial" w:hAnsi="Arial" w:cs="Arial"/>
          <w:sz w:val="24"/>
          <w:szCs w:val="24"/>
        </w:rPr>
        <w:t>is</w:t>
      </w:r>
      <w:r>
        <w:rPr>
          <w:rFonts w:ascii="Arial" w:hAnsi="Arial" w:cs="Arial"/>
          <w:spacing w:val="-12"/>
          <w:sz w:val="24"/>
          <w:szCs w:val="24"/>
        </w:rPr>
        <w:t xml:space="preserve"> </w:t>
      </w:r>
      <w:r>
        <w:rPr>
          <w:rFonts w:ascii="Arial" w:hAnsi="Arial" w:cs="Arial"/>
          <w:sz w:val="24"/>
          <w:szCs w:val="24"/>
        </w:rPr>
        <w:t>essential</w:t>
      </w:r>
      <w:r>
        <w:rPr>
          <w:rFonts w:ascii="Arial" w:hAnsi="Arial" w:cs="Arial"/>
          <w:spacing w:val="-15"/>
          <w:sz w:val="24"/>
          <w:szCs w:val="24"/>
        </w:rPr>
        <w:t xml:space="preserve"> </w:t>
      </w:r>
      <w:r>
        <w:rPr>
          <w:rFonts w:ascii="Arial" w:hAnsi="Arial" w:cs="Arial"/>
          <w:sz w:val="24"/>
          <w:szCs w:val="24"/>
        </w:rPr>
        <w:t>to</w:t>
      </w:r>
      <w:r>
        <w:rPr>
          <w:rFonts w:ascii="Arial" w:hAnsi="Arial" w:cs="Arial"/>
          <w:spacing w:val="-11"/>
          <w:sz w:val="24"/>
          <w:szCs w:val="24"/>
        </w:rPr>
        <w:t xml:space="preserve"> </w:t>
      </w:r>
      <w:r>
        <w:rPr>
          <w:rFonts w:ascii="Arial" w:hAnsi="Arial" w:cs="Arial"/>
          <w:sz w:val="24"/>
          <w:szCs w:val="24"/>
        </w:rPr>
        <w:t>ensure</w:t>
      </w:r>
      <w:r>
        <w:rPr>
          <w:rFonts w:ascii="Arial" w:hAnsi="Arial" w:cs="Arial"/>
          <w:spacing w:val="-15"/>
          <w:sz w:val="24"/>
          <w:szCs w:val="24"/>
        </w:rPr>
        <w:t xml:space="preserve"> </w:t>
      </w:r>
      <w:r>
        <w:rPr>
          <w:rFonts w:ascii="Arial" w:hAnsi="Arial" w:cs="Arial"/>
          <w:sz w:val="24"/>
          <w:szCs w:val="24"/>
        </w:rPr>
        <w:t>that</w:t>
      </w:r>
      <w:r>
        <w:rPr>
          <w:rFonts w:ascii="Arial" w:hAnsi="Arial" w:cs="Arial"/>
          <w:spacing w:val="-15"/>
          <w:sz w:val="24"/>
          <w:szCs w:val="24"/>
        </w:rPr>
        <w:t xml:space="preserve"> </w:t>
      </w:r>
      <w:r>
        <w:rPr>
          <w:rFonts w:ascii="Arial" w:hAnsi="Arial" w:cs="Arial"/>
          <w:sz w:val="24"/>
          <w:szCs w:val="24"/>
        </w:rPr>
        <w:t>specific</w:t>
      </w:r>
      <w:r>
        <w:rPr>
          <w:rFonts w:ascii="Arial" w:hAnsi="Arial" w:cs="Arial"/>
          <w:spacing w:val="-15"/>
          <w:sz w:val="24"/>
          <w:szCs w:val="24"/>
        </w:rPr>
        <w:t xml:space="preserve"> </w:t>
      </w:r>
      <w:r>
        <w:rPr>
          <w:rFonts w:ascii="Arial" w:hAnsi="Arial" w:cs="Arial"/>
          <w:sz w:val="24"/>
          <w:szCs w:val="24"/>
        </w:rPr>
        <w:t>mechanisms</w:t>
      </w:r>
      <w:r>
        <w:rPr>
          <w:rFonts w:ascii="Arial" w:hAnsi="Arial" w:cs="Arial"/>
          <w:spacing w:val="-18"/>
          <w:sz w:val="24"/>
          <w:szCs w:val="24"/>
        </w:rPr>
        <w:t xml:space="preserve"> </w:t>
      </w:r>
      <w:r>
        <w:rPr>
          <w:rFonts w:ascii="Arial" w:hAnsi="Arial" w:cs="Arial"/>
          <w:sz w:val="24"/>
          <w:szCs w:val="24"/>
        </w:rPr>
        <w:t>for</w:t>
      </w:r>
      <w:r>
        <w:rPr>
          <w:rFonts w:ascii="Arial" w:hAnsi="Arial" w:cs="Arial"/>
          <w:spacing w:val="-13"/>
          <w:sz w:val="24"/>
          <w:szCs w:val="24"/>
        </w:rPr>
        <w:t xml:space="preserve"> </w:t>
      </w:r>
      <w:r>
        <w:rPr>
          <w:rFonts w:ascii="Arial" w:hAnsi="Arial" w:cs="Arial"/>
          <w:sz w:val="24"/>
          <w:szCs w:val="24"/>
        </w:rPr>
        <w:t>identifying</w:t>
      </w:r>
      <w:r>
        <w:rPr>
          <w:rFonts w:ascii="Arial" w:hAnsi="Arial" w:cs="Arial"/>
          <w:spacing w:val="-15"/>
          <w:sz w:val="24"/>
          <w:szCs w:val="24"/>
        </w:rPr>
        <w:t xml:space="preserve"> </w:t>
      </w:r>
      <w:r>
        <w:rPr>
          <w:rFonts w:ascii="Arial" w:hAnsi="Arial" w:cs="Arial"/>
          <w:sz w:val="24"/>
          <w:szCs w:val="24"/>
        </w:rPr>
        <w:t>and targeting the elimination of health disparities are both required and incentivized, to promote</w:t>
      </w:r>
      <w:r>
        <w:rPr>
          <w:rFonts w:ascii="Arial" w:hAnsi="Arial" w:cs="Arial"/>
          <w:spacing w:val="-23"/>
          <w:sz w:val="24"/>
          <w:szCs w:val="24"/>
        </w:rPr>
        <w:t xml:space="preserve"> </w:t>
      </w:r>
      <w:r>
        <w:rPr>
          <w:rFonts w:ascii="Arial" w:hAnsi="Arial" w:cs="Arial"/>
          <w:sz w:val="24"/>
          <w:szCs w:val="24"/>
        </w:rPr>
        <w:t>the</w:t>
      </w:r>
      <w:r>
        <w:rPr>
          <w:rFonts w:ascii="Arial" w:hAnsi="Arial" w:cs="Arial"/>
          <w:spacing w:val="-23"/>
          <w:sz w:val="24"/>
          <w:szCs w:val="24"/>
        </w:rPr>
        <w:t xml:space="preserve"> </w:t>
      </w:r>
      <w:r>
        <w:rPr>
          <w:rFonts w:ascii="Arial" w:hAnsi="Arial" w:cs="Arial"/>
          <w:sz w:val="24"/>
          <w:szCs w:val="24"/>
        </w:rPr>
        <w:t>assertive</w:t>
      </w:r>
      <w:r>
        <w:rPr>
          <w:rFonts w:ascii="Arial" w:hAnsi="Arial" w:cs="Arial"/>
          <w:spacing w:val="-23"/>
          <w:sz w:val="24"/>
          <w:szCs w:val="24"/>
        </w:rPr>
        <w:t xml:space="preserve"> </w:t>
      </w:r>
      <w:r>
        <w:rPr>
          <w:rFonts w:ascii="Arial" w:hAnsi="Arial" w:cs="Arial"/>
          <w:sz w:val="24"/>
          <w:szCs w:val="24"/>
        </w:rPr>
        <w:t>engagement</w:t>
      </w:r>
      <w:r>
        <w:rPr>
          <w:rFonts w:ascii="Arial" w:hAnsi="Arial" w:cs="Arial"/>
          <w:spacing w:val="-24"/>
          <w:sz w:val="24"/>
          <w:szCs w:val="24"/>
        </w:rPr>
        <w:t xml:space="preserve"> </w:t>
      </w:r>
      <w:r>
        <w:rPr>
          <w:rFonts w:ascii="Arial" w:hAnsi="Arial" w:cs="Arial"/>
          <w:sz w:val="24"/>
          <w:szCs w:val="24"/>
        </w:rPr>
        <w:t>of</w:t>
      </w:r>
      <w:r>
        <w:rPr>
          <w:rFonts w:ascii="Arial" w:hAnsi="Arial" w:cs="Arial"/>
          <w:spacing w:val="-20"/>
          <w:sz w:val="24"/>
          <w:szCs w:val="24"/>
        </w:rPr>
        <w:t xml:space="preserve"> </w:t>
      </w:r>
      <w:r>
        <w:rPr>
          <w:rFonts w:ascii="Arial" w:hAnsi="Arial" w:cs="Arial"/>
          <w:sz w:val="24"/>
          <w:szCs w:val="24"/>
        </w:rPr>
        <w:t>hard-to-reach</w:t>
      </w:r>
      <w:r>
        <w:rPr>
          <w:rFonts w:ascii="Arial" w:hAnsi="Arial" w:cs="Arial"/>
          <w:spacing w:val="-22"/>
          <w:sz w:val="24"/>
          <w:szCs w:val="24"/>
        </w:rPr>
        <w:t xml:space="preserve"> </w:t>
      </w:r>
      <w:r>
        <w:rPr>
          <w:rFonts w:ascii="Arial" w:hAnsi="Arial" w:cs="Arial"/>
          <w:sz w:val="24"/>
          <w:szCs w:val="24"/>
        </w:rPr>
        <w:t>populations.</w:t>
      </w:r>
    </w:p>
    <w:p w:rsidR="002C5025" w:rsidRDefault="002C5025">
      <w:pPr>
        <w:pStyle w:val="BodyText"/>
        <w:kinsoku w:val="0"/>
        <w:overflowPunct w:val="0"/>
        <w:rPr>
          <w:rFonts w:ascii="Arial" w:hAnsi="Arial" w:cs="Arial"/>
          <w:sz w:val="24"/>
          <w:szCs w:val="24"/>
        </w:rPr>
      </w:pPr>
    </w:p>
    <w:p w:rsidR="002C5025" w:rsidRDefault="002C5025">
      <w:pPr>
        <w:pStyle w:val="BodyText"/>
        <w:kinsoku w:val="0"/>
        <w:overflowPunct w:val="0"/>
        <w:ind w:left="100" w:right="1092"/>
        <w:rPr>
          <w:rFonts w:ascii="Arial" w:hAnsi="Arial" w:cs="Arial"/>
          <w:sz w:val="24"/>
          <w:szCs w:val="24"/>
        </w:rPr>
      </w:pPr>
      <w:r>
        <w:rPr>
          <w:rFonts w:ascii="Arial" w:hAnsi="Arial" w:cs="Arial"/>
          <w:sz w:val="24"/>
          <w:szCs w:val="24"/>
        </w:rPr>
        <w:t xml:space="preserve">Finally, </w:t>
      </w:r>
      <w:r>
        <w:rPr>
          <w:rFonts w:ascii="Arial" w:hAnsi="Arial" w:cs="Arial"/>
          <w:spacing w:val="-3"/>
          <w:sz w:val="24"/>
          <w:szCs w:val="24"/>
        </w:rPr>
        <w:t xml:space="preserve">we </w:t>
      </w:r>
      <w:r>
        <w:rPr>
          <w:rFonts w:ascii="Arial" w:hAnsi="Arial" w:cs="Arial"/>
          <w:sz w:val="24"/>
          <w:szCs w:val="24"/>
        </w:rPr>
        <w:t xml:space="preserve">are extremely appreciative of the comprehensive way in which the waiver addresses the needs of MassHealth members living with Substance Use Disorders. </w:t>
      </w:r>
      <w:r>
        <w:rPr>
          <w:rFonts w:ascii="Arial" w:hAnsi="Arial" w:cs="Arial"/>
          <w:spacing w:val="4"/>
          <w:sz w:val="24"/>
          <w:szCs w:val="24"/>
        </w:rPr>
        <w:t xml:space="preserve">We </w:t>
      </w:r>
      <w:r>
        <w:rPr>
          <w:rFonts w:ascii="Arial" w:hAnsi="Arial" w:cs="Arial"/>
          <w:sz w:val="24"/>
          <w:szCs w:val="24"/>
        </w:rPr>
        <w:t>are continuously grateful to the Baker Administration and EOHHS for their commitment</w:t>
      </w:r>
      <w:r>
        <w:rPr>
          <w:rFonts w:ascii="Arial" w:hAnsi="Arial" w:cs="Arial"/>
          <w:spacing w:val="-13"/>
          <w:sz w:val="24"/>
          <w:szCs w:val="24"/>
        </w:rPr>
        <w:t xml:space="preserve"> </w:t>
      </w:r>
      <w:r>
        <w:rPr>
          <w:rFonts w:ascii="Arial" w:hAnsi="Arial" w:cs="Arial"/>
          <w:sz w:val="24"/>
          <w:szCs w:val="24"/>
        </w:rPr>
        <w:t>to</w:t>
      </w:r>
      <w:r>
        <w:rPr>
          <w:rFonts w:ascii="Arial" w:hAnsi="Arial" w:cs="Arial"/>
          <w:spacing w:val="-10"/>
          <w:sz w:val="24"/>
          <w:szCs w:val="24"/>
        </w:rPr>
        <w:t xml:space="preserve"> </w:t>
      </w:r>
      <w:r>
        <w:rPr>
          <w:rFonts w:ascii="Arial" w:hAnsi="Arial" w:cs="Arial"/>
          <w:sz w:val="24"/>
          <w:szCs w:val="24"/>
        </w:rPr>
        <w:t>those</w:t>
      </w:r>
      <w:r>
        <w:rPr>
          <w:rFonts w:ascii="Arial" w:hAnsi="Arial" w:cs="Arial"/>
          <w:spacing w:val="-10"/>
          <w:sz w:val="24"/>
          <w:szCs w:val="24"/>
        </w:rPr>
        <w:t xml:space="preserve"> </w:t>
      </w:r>
      <w:r>
        <w:rPr>
          <w:rFonts w:ascii="Arial" w:hAnsi="Arial" w:cs="Arial"/>
          <w:sz w:val="24"/>
          <w:szCs w:val="24"/>
        </w:rPr>
        <w:t>affected</w:t>
      </w:r>
      <w:r>
        <w:rPr>
          <w:rFonts w:ascii="Arial" w:hAnsi="Arial" w:cs="Arial"/>
          <w:spacing w:val="-8"/>
          <w:sz w:val="24"/>
          <w:szCs w:val="24"/>
        </w:rPr>
        <w:t xml:space="preserve"> </w:t>
      </w:r>
      <w:r>
        <w:rPr>
          <w:rFonts w:ascii="Arial" w:hAnsi="Arial" w:cs="Arial"/>
          <w:sz w:val="24"/>
          <w:szCs w:val="24"/>
        </w:rPr>
        <w:t>by</w:t>
      </w:r>
      <w:r>
        <w:rPr>
          <w:rFonts w:ascii="Arial" w:hAnsi="Arial" w:cs="Arial"/>
          <w:spacing w:val="-14"/>
          <w:sz w:val="24"/>
          <w:szCs w:val="24"/>
        </w:rPr>
        <w:t xml:space="preserve"> </w:t>
      </w:r>
      <w:r>
        <w:rPr>
          <w:rFonts w:ascii="Arial" w:hAnsi="Arial" w:cs="Arial"/>
          <w:sz w:val="24"/>
          <w:szCs w:val="24"/>
        </w:rPr>
        <w:t>SUDs,</w:t>
      </w:r>
      <w:r>
        <w:rPr>
          <w:rFonts w:ascii="Arial" w:hAnsi="Arial" w:cs="Arial"/>
          <w:spacing w:val="-11"/>
          <w:sz w:val="24"/>
          <w:szCs w:val="24"/>
        </w:rPr>
        <w:t xml:space="preserve"> </w:t>
      </w:r>
      <w:r>
        <w:rPr>
          <w:rFonts w:ascii="Arial" w:hAnsi="Arial" w:cs="Arial"/>
          <w:sz w:val="24"/>
          <w:szCs w:val="24"/>
        </w:rPr>
        <w:t>and</w:t>
      </w:r>
      <w:r>
        <w:rPr>
          <w:rFonts w:ascii="Arial" w:hAnsi="Arial" w:cs="Arial"/>
          <w:spacing w:val="-10"/>
          <w:sz w:val="24"/>
          <w:szCs w:val="24"/>
        </w:rPr>
        <w:t xml:space="preserve"> </w:t>
      </w:r>
      <w:r>
        <w:rPr>
          <w:rFonts w:ascii="Arial" w:hAnsi="Arial" w:cs="Arial"/>
          <w:sz w:val="24"/>
          <w:szCs w:val="24"/>
        </w:rPr>
        <w:t>the</w:t>
      </w:r>
      <w:r>
        <w:rPr>
          <w:rFonts w:ascii="Arial" w:hAnsi="Arial" w:cs="Arial"/>
          <w:spacing w:val="-8"/>
          <w:sz w:val="24"/>
          <w:szCs w:val="24"/>
        </w:rPr>
        <w:t xml:space="preserve"> </w:t>
      </w:r>
      <w:r>
        <w:rPr>
          <w:rFonts w:ascii="Arial" w:hAnsi="Arial" w:cs="Arial"/>
          <w:sz w:val="24"/>
          <w:szCs w:val="24"/>
        </w:rPr>
        <w:t>waiver</w:t>
      </w:r>
      <w:r>
        <w:rPr>
          <w:rFonts w:ascii="Arial" w:hAnsi="Arial" w:cs="Arial"/>
          <w:spacing w:val="-14"/>
          <w:sz w:val="24"/>
          <w:szCs w:val="24"/>
        </w:rPr>
        <w:t xml:space="preserve"> </w:t>
      </w:r>
      <w:r>
        <w:rPr>
          <w:rFonts w:ascii="Arial" w:hAnsi="Arial" w:cs="Arial"/>
          <w:sz w:val="24"/>
          <w:szCs w:val="24"/>
        </w:rPr>
        <w:t>is</w:t>
      </w:r>
      <w:r>
        <w:rPr>
          <w:rFonts w:ascii="Arial" w:hAnsi="Arial" w:cs="Arial"/>
          <w:spacing w:val="-11"/>
          <w:sz w:val="24"/>
          <w:szCs w:val="24"/>
        </w:rPr>
        <w:t xml:space="preserve"> </w:t>
      </w:r>
      <w:r>
        <w:rPr>
          <w:rFonts w:ascii="Arial" w:hAnsi="Arial" w:cs="Arial"/>
          <w:sz w:val="24"/>
          <w:szCs w:val="24"/>
        </w:rPr>
        <w:t>just</w:t>
      </w:r>
      <w:r>
        <w:rPr>
          <w:rFonts w:ascii="Arial" w:hAnsi="Arial" w:cs="Arial"/>
          <w:spacing w:val="-11"/>
          <w:sz w:val="24"/>
          <w:szCs w:val="24"/>
        </w:rPr>
        <w:t xml:space="preserve"> </w:t>
      </w:r>
      <w:r>
        <w:rPr>
          <w:rFonts w:ascii="Arial" w:hAnsi="Arial" w:cs="Arial"/>
          <w:sz w:val="24"/>
          <w:szCs w:val="24"/>
        </w:rPr>
        <w:t>another</w:t>
      </w:r>
      <w:r>
        <w:rPr>
          <w:rFonts w:ascii="Arial" w:hAnsi="Arial" w:cs="Arial"/>
          <w:spacing w:val="-12"/>
          <w:sz w:val="24"/>
          <w:szCs w:val="24"/>
        </w:rPr>
        <w:t xml:space="preserve"> </w:t>
      </w:r>
      <w:r>
        <w:rPr>
          <w:rFonts w:ascii="Arial" w:hAnsi="Arial" w:cs="Arial"/>
          <w:sz w:val="24"/>
          <w:szCs w:val="24"/>
        </w:rPr>
        <w:t>example</w:t>
      </w:r>
      <w:r>
        <w:rPr>
          <w:rFonts w:ascii="Arial" w:hAnsi="Arial" w:cs="Arial"/>
          <w:spacing w:val="-13"/>
          <w:sz w:val="24"/>
          <w:szCs w:val="24"/>
        </w:rPr>
        <w:t xml:space="preserve"> </w:t>
      </w:r>
      <w:r>
        <w:rPr>
          <w:rFonts w:ascii="Arial" w:hAnsi="Arial" w:cs="Arial"/>
          <w:sz w:val="24"/>
          <w:szCs w:val="24"/>
        </w:rPr>
        <w:t>of</w:t>
      </w:r>
      <w:r>
        <w:rPr>
          <w:rFonts w:ascii="Arial" w:hAnsi="Arial" w:cs="Arial"/>
          <w:spacing w:val="-8"/>
          <w:sz w:val="24"/>
          <w:szCs w:val="24"/>
        </w:rPr>
        <w:t xml:space="preserve"> </w:t>
      </w:r>
      <w:r>
        <w:rPr>
          <w:rFonts w:ascii="Arial" w:hAnsi="Arial" w:cs="Arial"/>
          <w:sz w:val="24"/>
          <w:szCs w:val="24"/>
        </w:rPr>
        <w:t xml:space="preserve">this commitment at work. In addition, </w:t>
      </w:r>
      <w:r>
        <w:rPr>
          <w:rFonts w:ascii="Arial" w:hAnsi="Arial" w:cs="Arial"/>
          <w:spacing w:val="-3"/>
          <w:sz w:val="24"/>
          <w:szCs w:val="24"/>
        </w:rPr>
        <w:t xml:space="preserve">we </w:t>
      </w:r>
      <w:r>
        <w:rPr>
          <w:rFonts w:ascii="Arial" w:hAnsi="Arial" w:cs="Arial"/>
          <w:sz w:val="24"/>
          <w:szCs w:val="24"/>
        </w:rPr>
        <w:t>appreciate the specific attention paid to the needs of cultural and linguistic minorities throughout the SUD sections of the proposal,</w:t>
      </w:r>
      <w:r>
        <w:rPr>
          <w:rFonts w:ascii="Arial" w:hAnsi="Arial" w:cs="Arial"/>
          <w:spacing w:val="-10"/>
          <w:sz w:val="24"/>
          <w:szCs w:val="24"/>
        </w:rPr>
        <w:t xml:space="preserve"> </w:t>
      </w:r>
      <w:r>
        <w:rPr>
          <w:rFonts w:ascii="Arial" w:hAnsi="Arial" w:cs="Arial"/>
          <w:sz w:val="24"/>
          <w:szCs w:val="24"/>
        </w:rPr>
        <w:t>and</w:t>
      </w:r>
      <w:r>
        <w:rPr>
          <w:rFonts w:ascii="Arial" w:hAnsi="Arial" w:cs="Arial"/>
          <w:spacing w:val="-8"/>
          <w:sz w:val="24"/>
          <w:szCs w:val="24"/>
        </w:rPr>
        <w:t xml:space="preserve"> </w:t>
      </w:r>
      <w:r>
        <w:rPr>
          <w:rFonts w:ascii="Arial" w:hAnsi="Arial" w:cs="Arial"/>
          <w:spacing w:val="-3"/>
          <w:sz w:val="24"/>
          <w:szCs w:val="24"/>
        </w:rPr>
        <w:t>we</w:t>
      </w:r>
      <w:r>
        <w:rPr>
          <w:rFonts w:ascii="Arial" w:hAnsi="Arial" w:cs="Arial"/>
          <w:spacing w:val="-12"/>
          <w:sz w:val="24"/>
          <w:szCs w:val="24"/>
        </w:rPr>
        <w:t xml:space="preserve"> </w:t>
      </w:r>
      <w:r>
        <w:rPr>
          <w:rFonts w:ascii="Arial" w:hAnsi="Arial" w:cs="Arial"/>
          <w:sz w:val="24"/>
          <w:szCs w:val="24"/>
        </w:rPr>
        <w:t>are</w:t>
      </w:r>
      <w:r>
        <w:rPr>
          <w:rFonts w:ascii="Arial" w:hAnsi="Arial" w:cs="Arial"/>
          <w:spacing w:val="-10"/>
          <w:sz w:val="24"/>
          <w:szCs w:val="24"/>
        </w:rPr>
        <w:t xml:space="preserve"> </w:t>
      </w:r>
      <w:r>
        <w:rPr>
          <w:rFonts w:ascii="Arial" w:hAnsi="Arial" w:cs="Arial"/>
          <w:sz w:val="24"/>
          <w:szCs w:val="24"/>
        </w:rPr>
        <w:t>extremely</w:t>
      </w:r>
      <w:r>
        <w:rPr>
          <w:rFonts w:ascii="Arial" w:hAnsi="Arial" w:cs="Arial"/>
          <w:spacing w:val="-13"/>
          <w:sz w:val="24"/>
          <w:szCs w:val="24"/>
        </w:rPr>
        <w:t xml:space="preserve"> </w:t>
      </w:r>
      <w:r>
        <w:rPr>
          <w:rFonts w:ascii="Arial" w:hAnsi="Arial" w:cs="Arial"/>
          <w:sz w:val="24"/>
          <w:szCs w:val="24"/>
        </w:rPr>
        <w:t>honored</w:t>
      </w:r>
      <w:r>
        <w:rPr>
          <w:rFonts w:ascii="Arial" w:hAnsi="Arial" w:cs="Arial"/>
          <w:spacing w:val="-12"/>
          <w:sz w:val="24"/>
          <w:szCs w:val="24"/>
        </w:rPr>
        <w:t xml:space="preserve"> </w:t>
      </w:r>
      <w:r>
        <w:rPr>
          <w:rFonts w:ascii="Arial" w:hAnsi="Arial" w:cs="Arial"/>
          <w:sz w:val="24"/>
          <w:szCs w:val="24"/>
        </w:rPr>
        <w:t>to</w:t>
      </w:r>
      <w:r>
        <w:rPr>
          <w:rFonts w:ascii="Arial" w:hAnsi="Arial" w:cs="Arial"/>
          <w:spacing w:val="-12"/>
          <w:sz w:val="24"/>
          <w:szCs w:val="24"/>
        </w:rPr>
        <w:t xml:space="preserve"> </w:t>
      </w:r>
      <w:r>
        <w:rPr>
          <w:rFonts w:ascii="Arial" w:hAnsi="Arial" w:cs="Arial"/>
          <w:sz w:val="24"/>
          <w:szCs w:val="24"/>
        </w:rPr>
        <w:t>be</w:t>
      </w:r>
      <w:r>
        <w:rPr>
          <w:rFonts w:ascii="Arial" w:hAnsi="Arial" w:cs="Arial"/>
          <w:spacing w:val="-12"/>
          <w:sz w:val="24"/>
          <w:szCs w:val="24"/>
        </w:rPr>
        <w:t xml:space="preserve"> </w:t>
      </w:r>
      <w:r>
        <w:rPr>
          <w:rFonts w:ascii="Arial" w:hAnsi="Arial" w:cs="Arial"/>
          <w:sz w:val="24"/>
          <w:szCs w:val="24"/>
        </w:rPr>
        <w:t>referenced</w:t>
      </w:r>
      <w:r>
        <w:rPr>
          <w:rFonts w:ascii="Arial" w:hAnsi="Arial" w:cs="Arial"/>
          <w:spacing w:val="-12"/>
          <w:sz w:val="24"/>
          <w:szCs w:val="24"/>
        </w:rPr>
        <w:t xml:space="preserve"> </w:t>
      </w:r>
      <w:r>
        <w:rPr>
          <w:rFonts w:ascii="Arial" w:hAnsi="Arial" w:cs="Arial"/>
          <w:sz w:val="24"/>
          <w:szCs w:val="24"/>
        </w:rPr>
        <w:t>as</w:t>
      </w:r>
      <w:r>
        <w:rPr>
          <w:rFonts w:ascii="Arial" w:hAnsi="Arial" w:cs="Arial"/>
          <w:spacing w:val="-10"/>
          <w:sz w:val="24"/>
          <w:szCs w:val="24"/>
        </w:rPr>
        <w:t xml:space="preserve"> </w:t>
      </w:r>
      <w:r>
        <w:rPr>
          <w:rFonts w:ascii="Arial" w:hAnsi="Arial" w:cs="Arial"/>
          <w:sz w:val="24"/>
          <w:szCs w:val="24"/>
        </w:rPr>
        <w:t>a</w:t>
      </w:r>
      <w:r>
        <w:rPr>
          <w:rFonts w:ascii="Arial" w:hAnsi="Arial" w:cs="Arial"/>
          <w:spacing w:val="-12"/>
          <w:sz w:val="24"/>
          <w:szCs w:val="24"/>
        </w:rPr>
        <w:t xml:space="preserve"> </w:t>
      </w:r>
      <w:r>
        <w:rPr>
          <w:rFonts w:ascii="Arial" w:hAnsi="Arial" w:cs="Arial"/>
          <w:sz w:val="24"/>
          <w:szCs w:val="24"/>
        </w:rPr>
        <w:t>model</w:t>
      </w:r>
      <w:r>
        <w:rPr>
          <w:rFonts w:ascii="Arial" w:hAnsi="Arial" w:cs="Arial"/>
          <w:spacing w:val="-15"/>
          <w:sz w:val="24"/>
          <w:szCs w:val="24"/>
        </w:rPr>
        <w:t xml:space="preserve"> </w:t>
      </w:r>
      <w:r>
        <w:rPr>
          <w:rFonts w:ascii="Arial" w:hAnsi="Arial" w:cs="Arial"/>
          <w:sz w:val="24"/>
          <w:szCs w:val="24"/>
        </w:rPr>
        <w:t>program.</w:t>
      </w:r>
    </w:p>
    <w:p w:rsidR="002C5025" w:rsidRDefault="002C5025">
      <w:pPr>
        <w:pStyle w:val="BodyText"/>
        <w:kinsoku w:val="0"/>
        <w:overflowPunct w:val="0"/>
        <w:rPr>
          <w:rFonts w:ascii="Arial" w:hAnsi="Arial" w:cs="Arial"/>
          <w:sz w:val="24"/>
          <w:szCs w:val="24"/>
        </w:rPr>
      </w:pPr>
    </w:p>
    <w:p w:rsidR="002C5025" w:rsidRDefault="002C5025">
      <w:pPr>
        <w:pStyle w:val="BodyText"/>
        <w:kinsoku w:val="0"/>
        <w:overflowPunct w:val="0"/>
        <w:ind w:left="100" w:right="1092"/>
        <w:rPr>
          <w:rFonts w:ascii="Arial" w:hAnsi="Arial" w:cs="Arial"/>
          <w:sz w:val="24"/>
          <w:szCs w:val="24"/>
        </w:rPr>
      </w:pPr>
      <w:r>
        <w:rPr>
          <w:rFonts w:ascii="Arial" w:hAnsi="Arial" w:cs="Arial"/>
          <w:sz w:val="24"/>
          <w:szCs w:val="24"/>
        </w:rPr>
        <w:t>Further, Casa firmly supports the measures outlined on page 76 of the waiver proposal,</w:t>
      </w:r>
      <w:r>
        <w:rPr>
          <w:rFonts w:ascii="Arial" w:hAnsi="Arial" w:cs="Arial"/>
          <w:spacing w:val="-13"/>
          <w:sz w:val="24"/>
          <w:szCs w:val="24"/>
        </w:rPr>
        <w:t xml:space="preserve"> </w:t>
      </w:r>
      <w:r>
        <w:rPr>
          <w:rFonts w:ascii="Arial" w:hAnsi="Arial" w:cs="Arial"/>
          <w:sz w:val="24"/>
          <w:szCs w:val="24"/>
        </w:rPr>
        <w:t>including</w:t>
      </w:r>
      <w:r>
        <w:rPr>
          <w:rFonts w:ascii="Arial" w:hAnsi="Arial" w:cs="Arial"/>
          <w:spacing w:val="-17"/>
          <w:sz w:val="24"/>
          <w:szCs w:val="24"/>
        </w:rPr>
        <w:t xml:space="preserve"> </w:t>
      </w:r>
      <w:r>
        <w:rPr>
          <w:rFonts w:ascii="Arial" w:hAnsi="Arial" w:cs="Arial"/>
          <w:sz w:val="24"/>
          <w:szCs w:val="24"/>
        </w:rPr>
        <w:t>the</w:t>
      </w:r>
      <w:r>
        <w:rPr>
          <w:rFonts w:ascii="Arial" w:hAnsi="Arial" w:cs="Arial"/>
          <w:spacing w:val="-15"/>
          <w:sz w:val="24"/>
          <w:szCs w:val="24"/>
        </w:rPr>
        <w:t xml:space="preserve"> </w:t>
      </w:r>
      <w:r>
        <w:rPr>
          <w:rFonts w:ascii="Arial" w:hAnsi="Arial" w:cs="Arial"/>
          <w:sz w:val="24"/>
          <w:szCs w:val="24"/>
        </w:rPr>
        <w:t>use</w:t>
      </w:r>
      <w:r>
        <w:rPr>
          <w:rFonts w:ascii="Arial" w:hAnsi="Arial" w:cs="Arial"/>
          <w:spacing w:val="-15"/>
          <w:sz w:val="24"/>
          <w:szCs w:val="24"/>
        </w:rPr>
        <w:t xml:space="preserve"> </w:t>
      </w:r>
      <w:r>
        <w:rPr>
          <w:rFonts w:ascii="Arial" w:hAnsi="Arial" w:cs="Arial"/>
          <w:sz w:val="24"/>
          <w:szCs w:val="24"/>
        </w:rPr>
        <w:t>of</w:t>
      </w:r>
      <w:r>
        <w:rPr>
          <w:rFonts w:ascii="Arial" w:hAnsi="Arial" w:cs="Arial"/>
          <w:spacing w:val="-10"/>
          <w:sz w:val="24"/>
          <w:szCs w:val="24"/>
        </w:rPr>
        <w:t xml:space="preserve"> </w:t>
      </w:r>
      <w:r>
        <w:rPr>
          <w:rFonts w:ascii="Arial" w:hAnsi="Arial" w:cs="Arial"/>
          <w:sz w:val="24"/>
          <w:szCs w:val="24"/>
        </w:rPr>
        <w:t>NOMS;</w:t>
      </w:r>
      <w:r>
        <w:rPr>
          <w:rFonts w:ascii="Arial" w:hAnsi="Arial" w:cs="Arial"/>
          <w:spacing w:val="-17"/>
          <w:sz w:val="24"/>
          <w:szCs w:val="24"/>
        </w:rPr>
        <w:t xml:space="preserve"> </w:t>
      </w:r>
      <w:r>
        <w:rPr>
          <w:rFonts w:ascii="Arial" w:hAnsi="Arial" w:cs="Arial"/>
          <w:sz w:val="24"/>
          <w:szCs w:val="24"/>
        </w:rPr>
        <w:t>however,</w:t>
      </w:r>
      <w:r>
        <w:rPr>
          <w:rFonts w:ascii="Arial" w:hAnsi="Arial" w:cs="Arial"/>
          <w:spacing w:val="-13"/>
          <w:sz w:val="24"/>
          <w:szCs w:val="24"/>
        </w:rPr>
        <w:t xml:space="preserve"> </w:t>
      </w:r>
      <w:r>
        <w:rPr>
          <w:rFonts w:ascii="Arial" w:hAnsi="Arial" w:cs="Arial"/>
          <w:spacing w:val="-3"/>
          <w:sz w:val="24"/>
          <w:szCs w:val="24"/>
        </w:rPr>
        <w:t>we</w:t>
      </w:r>
      <w:r>
        <w:rPr>
          <w:rFonts w:ascii="Arial" w:hAnsi="Arial" w:cs="Arial"/>
          <w:spacing w:val="-12"/>
          <w:sz w:val="24"/>
          <w:szCs w:val="24"/>
        </w:rPr>
        <w:t xml:space="preserve"> </w:t>
      </w:r>
      <w:r>
        <w:rPr>
          <w:rFonts w:ascii="Arial" w:hAnsi="Arial" w:cs="Arial"/>
          <w:sz w:val="24"/>
          <w:szCs w:val="24"/>
        </w:rPr>
        <w:t>would</w:t>
      </w:r>
      <w:r>
        <w:rPr>
          <w:rFonts w:ascii="Arial" w:hAnsi="Arial" w:cs="Arial"/>
          <w:spacing w:val="-12"/>
          <w:sz w:val="24"/>
          <w:szCs w:val="24"/>
        </w:rPr>
        <w:t xml:space="preserve"> </w:t>
      </w:r>
      <w:r>
        <w:rPr>
          <w:rFonts w:ascii="Arial" w:hAnsi="Arial" w:cs="Arial"/>
          <w:sz w:val="24"/>
          <w:szCs w:val="24"/>
        </w:rPr>
        <w:t>caution</w:t>
      </w:r>
      <w:r>
        <w:rPr>
          <w:rFonts w:ascii="Arial" w:hAnsi="Arial" w:cs="Arial"/>
          <w:spacing w:val="-15"/>
          <w:sz w:val="24"/>
          <w:szCs w:val="24"/>
        </w:rPr>
        <w:t xml:space="preserve"> </w:t>
      </w:r>
      <w:r>
        <w:rPr>
          <w:rFonts w:ascii="Arial" w:hAnsi="Arial" w:cs="Arial"/>
          <w:sz w:val="24"/>
          <w:szCs w:val="24"/>
        </w:rPr>
        <w:t>the</w:t>
      </w:r>
      <w:r>
        <w:rPr>
          <w:rFonts w:ascii="Arial" w:hAnsi="Arial" w:cs="Arial"/>
          <w:spacing w:val="-15"/>
          <w:sz w:val="24"/>
          <w:szCs w:val="24"/>
        </w:rPr>
        <w:t xml:space="preserve"> </w:t>
      </w:r>
      <w:r>
        <w:rPr>
          <w:rFonts w:ascii="Arial" w:hAnsi="Arial" w:cs="Arial"/>
          <w:sz w:val="24"/>
          <w:szCs w:val="24"/>
        </w:rPr>
        <w:t>Commonwealth that success with key measures such as “increased housing” are often largely dependent on systems and conditions outside a provider’s control, specifically the availability and accessibility of affordable, stable housing. Particularly in the City of Boston, affordable housing is extremely difficult to secure, while a lack of stable housing</w:t>
      </w:r>
      <w:r>
        <w:rPr>
          <w:rFonts w:ascii="Arial" w:hAnsi="Arial" w:cs="Arial"/>
          <w:spacing w:val="-16"/>
          <w:sz w:val="24"/>
          <w:szCs w:val="24"/>
        </w:rPr>
        <w:t xml:space="preserve"> </w:t>
      </w:r>
      <w:r>
        <w:rPr>
          <w:rFonts w:ascii="Arial" w:hAnsi="Arial" w:cs="Arial"/>
          <w:sz w:val="24"/>
          <w:szCs w:val="24"/>
        </w:rPr>
        <w:t>continues</w:t>
      </w:r>
      <w:r>
        <w:rPr>
          <w:rFonts w:ascii="Arial" w:hAnsi="Arial" w:cs="Arial"/>
          <w:spacing w:val="-12"/>
          <w:sz w:val="24"/>
          <w:szCs w:val="24"/>
        </w:rPr>
        <w:t xml:space="preserve"> </w:t>
      </w:r>
      <w:r>
        <w:rPr>
          <w:rFonts w:ascii="Arial" w:hAnsi="Arial" w:cs="Arial"/>
          <w:sz w:val="24"/>
          <w:szCs w:val="24"/>
        </w:rPr>
        <w:t>to</w:t>
      </w:r>
      <w:r>
        <w:rPr>
          <w:rFonts w:ascii="Arial" w:hAnsi="Arial" w:cs="Arial"/>
          <w:spacing w:val="-11"/>
          <w:sz w:val="24"/>
          <w:szCs w:val="24"/>
        </w:rPr>
        <w:t xml:space="preserve"> </w:t>
      </w:r>
      <w:r>
        <w:rPr>
          <w:rFonts w:ascii="Arial" w:hAnsi="Arial" w:cs="Arial"/>
          <w:sz w:val="24"/>
          <w:szCs w:val="24"/>
        </w:rPr>
        <w:t>be</w:t>
      </w:r>
      <w:r>
        <w:rPr>
          <w:rFonts w:ascii="Arial" w:hAnsi="Arial" w:cs="Arial"/>
          <w:spacing w:val="-9"/>
          <w:sz w:val="24"/>
          <w:szCs w:val="24"/>
        </w:rPr>
        <w:t xml:space="preserve"> </w:t>
      </w:r>
      <w:r>
        <w:rPr>
          <w:rFonts w:ascii="Arial" w:hAnsi="Arial" w:cs="Arial"/>
          <w:sz w:val="24"/>
          <w:szCs w:val="24"/>
        </w:rPr>
        <w:t>a</w:t>
      </w:r>
      <w:r>
        <w:rPr>
          <w:rFonts w:ascii="Arial" w:hAnsi="Arial" w:cs="Arial"/>
          <w:spacing w:val="-14"/>
          <w:sz w:val="24"/>
          <w:szCs w:val="24"/>
        </w:rPr>
        <w:t xml:space="preserve"> </w:t>
      </w:r>
      <w:r>
        <w:rPr>
          <w:rFonts w:ascii="Arial" w:hAnsi="Arial" w:cs="Arial"/>
          <w:sz w:val="24"/>
          <w:szCs w:val="24"/>
        </w:rPr>
        <w:t>primary</w:t>
      </w:r>
      <w:r>
        <w:rPr>
          <w:rFonts w:ascii="Arial" w:hAnsi="Arial" w:cs="Arial"/>
          <w:spacing w:val="-15"/>
          <w:sz w:val="24"/>
          <w:szCs w:val="24"/>
        </w:rPr>
        <w:t xml:space="preserve"> </w:t>
      </w:r>
      <w:r>
        <w:rPr>
          <w:rFonts w:ascii="Arial" w:hAnsi="Arial" w:cs="Arial"/>
          <w:sz w:val="24"/>
          <w:szCs w:val="24"/>
        </w:rPr>
        <w:t>catalyst</w:t>
      </w:r>
      <w:r>
        <w:rPr>
          <w:rFonts w:ascii="Arial" w:hAnsi="Arial" w:cs="Arial"/>
          <w:spacing w:val="-14"/>
          <w:sz w:val="24"/>
          <w:szCs w:val="24"/>
        </w:rPr>
        <w:t xml:space="preserve"> </w:t>
      </w:r>
      <w:r>
        <w:rPr>
          <w:rFonts w:ascii="Arial" w:hAnsi="Arial" w:cs="Arial"/>
          <w:sz w:val="24"/>
          <w:szCs w:val="24"/>
        </w:rPr>
        <w:t>of</w:t>
      </w:r>
      <w:r>
        <w:rPr>
          <w:rFonts w:ascii="Arial" w:hAnsi="Arial" w:cs="Arial"/>
          <w:spacing w:val="-12"/>
          <w:sz w:val="24"/>
          <w:szCs w:val="24"/>
        </w:rPr>
        <w:t xml:space="preserve"> </w:t>
      </w:r>
      <w:r>
        <w:rPr>
          <w:rFonts w:ascii="Arial" w:hAnsi="Arial" w:cs="Arial"/>
          <w:sz w:val="24"/>
          <w:szCs w:val="24"/>
        </w:rPr>
        <w:t>both</w:t>
      </w:r>
      <w:r>
        <w:rPr>
          <w:rFonts w:ascii="Arial" w:hAnsi="Arial" w:cs="Arial"/>
          <w:spacing w:val="-14"/>
          <w:sz w:val="24"/>
          <w:szCs w:val="24"/>
        </w:rPr>
        <w:t xml:space="preserve"> </w:t>
      </w:r>
      <w:r>
        <w:rPr>
          <w:rFonts w:ascii="Arial" w:hAnsi="Arial" w:cs="Arial"/>
          <w:sz w:val="24"/>
          <w:szCs w:val="24"/>
        </w:rPr>
        <w:t>relapse</w:t>
      </w:r>
      <w:r>
        <w:rPr>
          <w:rFonts w:ascii="Arial" w:hAnsi="Arial" w:cs="Arial"/>
          <w:spacing w:val="-14"/>
          <w:sz w:val="24"/>
          <w:szCs w:val="24"/>
        </w:rPr>
        <w:t xml:space="preserve"> </w:t>
      </w:r>
      <w:r>
        <w:rPr>
          <w:rFonts w:ascii="Arial" w:hAnsi="Arial" w:cs="Arial"/>
          <w:sz w:val="24"/>
          <w:szCs w:val="24"/>
        </w:rPr>
        <w:t>and</w:t>
      </w:r>
      <w:r>
        <w:rPr>
          <w:rFonts w:ascii="Arial" w:hAnsi="Arial" w:cs="Arial"/>
          <w:spacing w:val="-9"/>
          <w:sz w:val="24"/>
          <w:szCs w:val="24"/>
        </w:rPr>
        <w:t xml:space="preserve"> </w:t>
      </w:r>
      <w:r>
        <w:rPr>
          <w:rFonts w:ascii="Arial" w:hAnsi="Arial" w:cs="Arial"/>
          <w:sz w:val="24"/>
          <w:szCs w:val="24"/>
        </w:rPr>
        <w:t>recidivism.</w:t>
      </w:r>
      <w:r>
        <w:rPr>
          <w:rFonts w:ascii="Arial" w:hAnsi="Arial" w:cs="Arial"/>
          <w:spacing w:val="-12"/>
          <w:sz w:val="24"/>
          <w:szCs w:val="24"/>
        </w:rPr>
        <w:t xml:space="preserve"> </w:t>
      </w:r>
      <w:r>
        <w:rPr>
          <w:rFonts w:ascii="Arial" w:hAnsi="Arial" w:cs="Arial"/>
          <w:sz w:val="24"/>
          <w:szCs w:val="24"/>
        </w:rPr>
        <w:t>Given</w:t>
      </w:r>
      <w:r>
        <w:rPr>
          <w:rFonts w:ascii="Arial" w:hAnsi="Arial" w:cs="Arial"/>
          <w:spacing w:val="-9"/>
          <w:sz w:val="24"/>
          <w:szCs w:val="24"/>
        </w:rPr>
        <w:t xml:space="preserve"> </w:t>
      </w:r>
      <w:r>
        <w:rPr>
          <w:rFonts w:ascii="Arial" w:hAnsi="Arial" w:cs="Arial"/>
          <w:sz w:val="24"/>
          <w:szCs w:val="24"/>
        </w:rPr>
        <w:t>that housing</w:t>
      </w:r>
      <w:r>
        <w:rPr>
          <w:rFonts w:ascii="Arial" w:hAnsi="Arial" w:cs="Arial"/>
          <w:spacing w:val="-13"/>
          <w:sz w:val="24"/>
          <w:szCs w:val="24"/>
        </w:rPr>
        <w:t xml:space="preserve"> </w:t>
      </w:r>
      <w:r>
        <w:rPr>
          <w:rFonts w:ascii="Arial" w:hAnsi="Arial" w:cs="Arial"/>
          <w:sz w:val="24"/>
          <w:szCs w:val="24"/>
        </w:rPr>
        <w:t>stability</w:t>
      </w:r>
      <w:r>
        <w:rPr>
          <w:rFonts w:ascii="Arial" w:hAnsi="Arial" w:cs="Arial"/>
          <w:spacing w:val="-14"/>
          <w:sz w:val="24"/>
          <w:szCs w:val="24"/>
        </w:rPr>
        <w:t xml:space="preserve"> </w:t>
      </w:r>
      <w:r>
        <w:rPr>
          <w:rFonts w:ascii="Arial" w:hAnsi="Arial" w:cs="Arial"/>
          <w:sz w:val="24"/>
          <w:szCs w:val="24"/>
        </w:rPr>
        <w:t>is</w:t>
      </w:r>
      <w:r>
        <w:rPr>
          <w:rFonts w:ascii="Arial" w:hAnsi="Arial" w:cs="Arial"/>
          <w:spacing w:val="-11"/>
          <w:sz w:val="24"/>
          <w:szCs w:val="24"/>
        </w:rPr>
        <w:t xml:space="preserve"> </w:t>
      </w:r>
      <w:r>
        <w:rPr>
          <w:rFonts w:ascii="Arial" w:hAnsi="Arial" w:cs="Arial"/>
          <w:sz w:val="24"/>
          <w:szCs w:val="24"/>
        </w:rPr>
        <w:t>a</w:t>
      </w:r>
      <w:r>
        <w:rPr>
          <w:rFonts w:ascii="Arial" w:hAnsi="Arial" w:cs="Arial"/>
          <w:spacing w:val="-11"/>
          <w:sz w:val="24"/>
          <w:szCs w:val="24"/>
        </w:rPr>
        <w:t xml:space="preserve"> </w:t>
      </w:r>
      <w:r>
        <w:rPr>
          <w:rFonts w:ascii="Arial" w:hAnsi="Arial" w:cs="Arial"/>
          <w:sz w:val="24"/>
          <w:szCs w:val="24"/>
        </w:rPr>
        <w:t>“social</w:t>
      </w:r>
      <w:r>
        <w:rPr>
          <w:rFonts w:ascii="Arial" w:hAnsi="Arial" w:cs="Arial"/>
          <w:spacing w:val="-10"/>
          <w:sz w:val="24"/>
          <w:szCs w:val="24"/>
        </w:rPr>
        <w:t xml:space="preserve"> </w:t>
      </w:r>
      <w:r>
        <w:rPr>
          <w:rFonts w:ascii="Arial" w:hAnsi="Arial" w:cs="Arial"/>
          <w:sz w:val="24"/>
          <w:szCs w:val="24"/>
        </w:rPr>
        <w:t>determinant</w:t>
      </w:r>
      <w:r>
        <w:rPr>
          <w:rFonts w:ascii="Arial" w:hAnsi="Arial" w:cs="Arial"/>
          <w:spacing w:val="-13"/>
          <w:sz w:val="24"/>
          <w:szCs w:val="24"/>
        </w:rPr>
        <w:t xml:space="preserve"> </w:t>
      </w:r>
      <w:r>
        <w:rPr>
          <w:rFonts w:ascii="Arial" w:hAnsi="Arial" w:cs="Arial"/>
          <w:sz w:val="24"/>
          <w:szCs w:val="24"/>
        </w:rPr>
        <w:t>of</w:t>
      </w:r>
      <w:r>
        <w:rPr>
          <w:rFonts w:ascii="Arial" w:hAnsi="Arial" w:cs="Arial"/>
          <w:spacing w:val="-9"/>
          <w:sz w:val="24"/>
          <w:szCs w:val="24"/>
        </w:rPr>
        <w:t xml:space="preserve"> </w:t>
      </w:r>
      <w:r>
        <w:rPr>
          <w:rFonts w:ascii="Arial" w:hAnsi="Arial" w:cs="Arial"/>
          <w:sz w:val="24"/>
          <w:szCs w:val="24"/>
        </w:rPr>
        <w:t>health”</w:t>
      </w:r>
      <w:r>
        <w:rPr>
          <w:rFonts w:ascii="Arial" w:hAnsi="Arial" w:cs="Arial"/>
          <w:spacing w:val="-12"/>
          <w:sz w:val="24"/>
          <w:szCs w:val="24"/>
        </w:rPr>
        <w:t xml:space="preserve"> </w:t>
      </w:r>
      <w:r>
        <w:rPr>
          <w:rFonts w:ascii="Arial" w:hAnsi="Arial" w:cs="Arial"/>
          <w:sz w:val="24"/>
          <w:szCs w:val="24"/>
        </w:rPr>
        <w:t>that</w:t>
      </w:r>
      <w:r>
        <w:rPr>
          <w:rFonts w:ascii="Arial" w:hAnsi="Arial" w:cs="Arial"/>
          <w:spacing w:val="-11"/>
          <w:sz w:val="24"/>
          <w:szCs w:val="24"/>
        </w:rPr>
        <w:t xml:space="preserve"> </w:t>
      </w:r>
      <w:r>
        <w:rPr>
          <w:rFonts w:ascii="Arial" w:hAnsi="Arial" w:cs="Arial"/>
          <w:sz w:val="24"/>
          <w:szCs w:val="24"/>
        </w:rPr>
        <w:t>impacts</w:t>
      </w:r>
      <w:r>
        <w:rPr>
          <w:rFonts w:ascii="Arial" w:hAnsi="Arial" w:cs="Arial"/>
          <w:spacing w:val="-11"/>
          <w:sz w:val="24"/>
          <w:szCs w:val="24"/>
        </w:rPr>
        <w:t xml:space="preserve"> </w:t>
      </w:r>
      <w:r>
        <w:rPr>
          <w:rFonts w:ascii="Arial" w:hAnsi="Arial" w:cs="Arial"/>
          <w:sz w:val="24"/>
          <w:szCs w:val="24"/>
        </w:rPr>
        <w:t>such</w:t>
      </w:r>
      <w:r>
        <w:rPr>
          <w:rFonts w:ascii="Arial" w:hAnsi="Arial" w:cs="Arial"/>
          <w:spacing w:val="-13"/>
          <w:sz w:val="24"/>
          <w:szCs w:val="24"/>
        </w:rPr>
        <w:t xml:space="preserve"> </w:t>
      </w:r>
      <w:r>
        <w:rPr>
          <w:rFonts w:ascii="Arial" w:hAnsi="Arial" w:cs="Arial"/>
          <w:sz w:val="24"/>
          <w:szCs w:val="24"/>
        </w:rPr>
        <w:t>a</w:t>
      </w:r>
      <w:r>
        <w:rPr>
          <w:rFonts w:ascii="Arial" w:hAnsi="Arial" w:cs="Arial"/>
          <w:spacing w:val="-9"/>
          <w:sz w:val="24"/>
          <w:szCs w:val="24"/>
        </w:rPr>
        <w:t xml:space="preserve"> </w:t>
      </w:r>
      <w:r>
        <w:rPr>
          <w:rFonts w:ascii="Arial" w:hAnsi="Arial" w:cs="Arial"/>
          <w:sz w:val="24"/>
          <w:szCs w:val="24"/>
        </w:rPr>
        <w:t>broad</w:t>
      </w:r>
      <w:r>
        <w:rPr>
          <w:rFonts w:ascii="Arial" w:hAnsi="Arial" w:cs="Arial"/>
          <w:spacing w:val="-11"/>
          <w:sz w:val="24"/>
          <w:szCs w:val="24"/>
        </w:rPr>
        <w:t xml:space="preserve"> </w:t>
      </w:r>
      <w:r>
        <w:rPr>
          <w:rFonts w:ascii="Arial" w:hAnsi="Arial" w:cs="Arial"/>
          <w:sz w:val="24"/>
          <w:szCs w:val="24"/>
        </w:rPr>
        <w:t>array</w:t>
      </w:r>
      <w:r>
        <w:rPr>
          <w:rFonts w:ascii="Arial" w:hAnsi="Arial" w:cs="Arial"/>
          <w:spacing w:val="-14"/>
          <w:sz w:val="24"/>
          <w:szCs w:val="24"/>
        </w:rPr>
        <w:t xml:space="preserve"> </w:t>
      </w:r>
      <w:r>
        <w:rPr>
          <w:rFonts w:ascii="Arial" w:hAnsi="Arial" w:cs="Arial"/>
          <w:sz w:val="24"/>
          <w:szCs w:val="24"/>
        </w:rPr>
        <w:t>of</w:t>
      </w:r>
    </w:p>
    <w:p w:rsidR="002C5025" w:rsidRDefault="002C5025">
      <w:pPr>
        <w:pStyle w:val="BodyText"/>
        <w:kinsoku w:val="0"/>
        <w:overflowPunct w:val="0"/>
        <w:ind w:left="100" w:right="1092"/>
        <w:rPr>
          <w:rFonts w:ascii="Arial" w:hAnsi="Arial" w:cs="Arial"/>
          <w:sz w:val="24"/>
          <w:szCs w:val="24"/>
        </w:rPr>
        <w:sectPr w:rsidR="002C5025">
          <w:pgSz w:w="12240" w:h="15840"/>
          <w:pgMar w:top="1380" w:right="1720" w:bottom="280" w:left="260" w:header="720" w:footer="720" w:gutter="0"/>
          <w:cols w:space="720" w:equalWidth="0">
            <w:col w:w="10260"/>
          </w:cols>
          <w:noEndnote/>
        </w:sectPr>
      </w:pPr>
    </w:p>
    <w:p w:rsidR="002C5025" w:rsidRDefault="00FB027C">
      <w:pPr>
        <w:pStyle w:val="BodyText"/>
        <w:kinsoku w:val="0"/>
        <w:overflowPunct w:val="0"/>
        <w:spacing w:before="51"/>
        <w:ind w:left="120" w:right="1155"/>
        <w:rPr>
          <w:rFonts w:ascii="Arial" w:hAnsi="Arial" w:cs="Arial"/>
          <w:sz w:val="24"/>
          <w:szCs w:val="24"/>
        </w:rPr>
      </w:pPr>
      <w:r>
        <w:rPr>
          <w:noProof/>
        </w:rPr>
        <w:lastRenderedPageBreak/>
        <mc:AlternateContent>
          <mc:Choice Requires="wpg">
            <w:drawing>
              <wp:anchor distT="0" distB="0" distL="114300" distR="114300" simplePos="0" relativeHeight="251544064" behindDoc="1" locked="0" layoutInCell="0" allowOverlap="1">
                <wp:simplePos x="0" y="0"/>
                <wp:positionH relativeFrom="page">
                  <wp:posOffset>227965</wp:posOffset>
                </wp:positionH>
                <wp:positionV relativeFrom="page">
                  <wp:posOffset>0</wp:posOffset>
                </wp:positionV>
                <wp:extent cx="7543800" cy="9982200"/>
                <wp:effectExtent l="0" t="0" r="0" b="0"/>
                <wp:wrapNone/>
                <wp:docPr id="785"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3800" cy="9982200"/>
                          <a:chOff x="359" y="0"/>
                          <a:chExt cx="11880" cy="15720"/>
                        </a:xfrm>
                      </wpg:grpSpPr>
                      <pic:pic xmlns:pic="http://schemas.openxmlformats.org/drawingml/2006/picture">
                        <pic:nvPicPr>
                          <pic:cNvPr id="786" name="Picture 239"/>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360" y="0"/>
                            <a:ext cx="11880" cy="15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7" name="Picture 240"/>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360" y="5304"/>
                            <a:ext cx="3220" cy="1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38" o:spid="_x0000_s1026" style="position:absolute;margin-left:17.95pt;margin-top:0;width:594pt;height:786pt;z-index:-251772416;mso-position-horizontal-relative:page;mso-position-vertical-relative:page" coordorigin="359" coordsize="11880,157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" o:allowincell="f">
                <v:shape id="Picture 239" o:spid="_x0000_s1027" type="#_x0000_t75" style="position:absolute;left:360;width:11880;height:157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OP33GAAAA3AAAAA8AAABkcnMvZG93bnJldi54bWxEj0FrwkAUhO+C/2F5BS9SN7WgIbqKCKWl&#10;lIqpen7sPpPQ7Ns0u03Sf98tFDwOM/MNs94OthYdtb5yrOBhloAg1s5UXCg4fTzdpyB8QDZYOyYF&#10;P+RhuxmP1pgZ1/ORujwUIkLYZ6igDKHJpPS6JIt+5hri6F1dazFE2RbStNhHuK3lPEkW0mLFcaHE&#10;hvYl6c/82yp4/tofLu+6P6aFPl/zrsfp2+OrUpO7YbcCEWgIt/B/+8UoWKYL+DsTj4Dc/A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Q4/fcYAAADcAAAADwAAAAAAAAAAAAAA&#10;AACfAgAAZHJzL2Rvd25yZXYueG1sUEsFBgAAAAAEAAQA9wAAAJIDAAAAAA==&#10;">
                  <v:imagedata r:id="rId160" o:title=""/>
                </v:shape>
                <v:shape id="Picture 240" o:spid="_x0000_s1028" type="#_x0000_t75" style="position:absolute;left:360;top:5304;width:3220;height:14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WoqjEAAAA3AAAAA8AAABkcnMvZG93bnJldi54bWxEj0FrwkAUhO8F/8PyCt6ajQo1RDdBhELF&#10;U1UKvT2zz2xo9m3Irkn8991CocdhZr5htuVkWzFQ7xvHChZJCoK4crrhWsHl/PaSgfABWWPrmBQ8&#10;yENZzJ62mGs38gcNp1CLCGGfowITQpdL6StDFn3iOuLo3VxvMUTZ11L3OEa4beUyTV+lxYbjgsGO&#10;9oaq79PdKqDr0dwvZOSi+Tzczvprudo9rFLz52m3ARFoCv/hv/a7VrDO1vB7Jh4BWfw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EWoqjEAAAA3AAAAA8AAAAAAAAAAAAAAAAA&#10;nwIAAGRycy9kb3ducmV2LnhtbFBLBQYAAAAABAAEAPcAAACQAwAAAAA=&#10;">
                  <v:imagedata r:id="rId163" o:title=""/>
                </v:shape>
                <w10:wrap anchorx="page" anchory="page"/>
              </v:group>
            </w:pict>
          </mc:Fallback>
        </mc:AlternateContent>
      </w:r>
      <w:bookmarkStart w:id="74" w:name="MassHealth_members,_Casa_recommends_that"/>
      <w:bookmarkEnd w:id="74"/>
      <w:r w:rsidR="002C5025">
        <w:rPr>
          <w:rFonts w:ascii="Arial" w:hAnsi="Arial" w:cs="Arial"/>
          <w:sz w:val="24"/>
          <w:szCs w:val="24"/>
        </w:rPr>
        <w:t>MassHealth</w:t>
      </w:r>
      <w:r w:rsidR="002C5025">
        <w:rPr>
          <w:rFonts w:ascii="Arial" w:hAnsi="Arial" w:cs="Arial"/>
          <w:spacing w:val="-19"/>
          <w:sz w:val="24"/>
          <w:szCs w:val="24"/>
        </w:rPr>
        <w:t xml:space="preserve"> </w:t>
      </w:r>
      <w:r w:rsidR="002C5025">
        <w:rPr>
          <w:rFonts w:ascii="Arial" w:hAnsi="Arial" w:cs="Arial"/>
          <w:sz w:val="24"/>
          <w:szCs w:val="24"/>
        </w:rPr>
        <w:t>members,</w:t>
      </w:r>
      <w:r w:rsidR="002C5025">
        <w:rPr>
          <w:rFonts w:ascii="Arial" w:hAnsi="Arial" w:cs="Arial"/>
          <w:spacing w:val="-20"/>
          <w:sz w:val="24"/>
          <w:szCs w:val="24"/>
        </w:rPr>
        <w:t xml:space="preserve"> </w:t>
      </w:r>
      <w:r w:rsidR="002C5025">
        <w:rPr>
          <w:rFonts w:ascii="Arial" w:hAnsi="Arial" w:cs="Arial"/>
          <w:b/>
          <w:bCs/>
          <w:sz w:val="24"/>
          <w:szCs w:val="24"/>
        </w:rPr>
        <w:t>Casa</w:t>
      </w:r>
      <w:r w:rsidR="002C5025">
        <w:rPr>
          <w:rFonts w:ascii="Arial" w:hAnsi="Arial" w:cs="Arial"/>
          <w:b/>
          <w:bCs/>
          <w:spacing w:val="-18"/>
          <w:sz w:val="24"/>
          <w:szCs w:val="24"/>
        </w:rPr>
        <w:t xml:space="preserve"> </w:t>
      </w:r>
      <w:r w:rsidR="002C5025">
        <w:rPr>
          <w:rFonts w:ascii="Arial" w:hAnsi="Arial" w:cs="Arial"/>
          <w:b/>
          <w:bCs/>
          <w:sz w:val="24"/>
          <w:szCs w:val="24"/>
        </w:rPr>
        <w:t>recommends</w:t>
      </w:r>
      <w:r w:rsidR="002C5025">
        <w:rPr>
          <w:rFonts w:ascii="Arial" w:hAnsi="Arial" w:cs="Arial"/>
          <w:b/>
          <w:bCs/>
          <w:spacing w:val="-16"/>
          <w:sz w:val="24"/>
          <w:szCs w:val="24"/>
        </w:rPr>
        <w:t xml:space="preserve"> </w:t>
      </w:r>
      <w:r w:rsidR="002C5025">
        <w:rPr>
          <w:rFonts w:ascii="Arial" w:hAnsi="Arial" w:cs="Arial"/>
          <w:b/>
          <w:bCs/>
          <w:sz w:val="24"/>
          <w:szCs w:val="24"/>
        </w:rPr>
        <w:t>that</w:t>
      </w:r>
      <w:r w:rsidR="002C5025">
        <w:rPr>
          <w:rFonts w:ascii="Arial" w:hAnsi="Arial" w:cs="Arial"/>
          <w:b/>
          <w:bCs/>
          <w:spacing w:val="-19"/>
          <w:sz w:val="24"/>
          <w:szCs w:val="24"/>
        </w:rPr>
        <w:t xml:space="preserve"> </w:t>
      </w:r>
      <w:r w:rsidR="002C5025">
        <w:rPr>
          <w:rFonts w:ascii="Arial" w:hAnsi="Arial" w:cs="Arial"/>
          <w:b/>
          <w:bCs/>
          <w:sz w:val="24"/>
          <w:szCs w:val="24"/>
        </w:rPr>
        <w:t>MassHealth</w:t>
      </w:r>
      <w:r w:rsidR="002C5025">
        <w:rPr>
          <w:rFonts w:ascii="Arial" w:hAnsi="Arial" w:cs="Arial"/>
          <w:b/>
          <w:bCs/>
          <w:spacing w:val="-19"/>
          <w:sz w:val="24"/>
          <w:szCs w:val="24"/>
        </w:rPr>
        <w:t xml:space="preserve"> </w:t>
      </w:r>
      <w:r w:rsidR="002C5025">
        <w:rPr>
          <w:rFonts w:ascii="Arial" w:hAnsi="Arial" w:cs="Arial"/>
          <w:b/>
          <w:bCs/>
          <w:sz w:val="24"/>
          <w:szCs w:val="24"/>
        </w:rPr>
        <w:t>consider</w:t>
      </w:r>
      <w:r w:rsidR="002C5025">
        <w:rPr>
          <w:rFonts w:ascii="Arial" w:hAnsi="Arial" w:cs="Arial"/>
          <w:b/>
          <w:bCs/>
          <w:spacing w:val="-19"/>
          <w:sz w:val="24"/>
          <w:szCs w:val="24"/>
        </w:rPr>
        <w:t xml:space="preserve"> </w:t>
      </w:r>
      <w:r w:rsidR="002C5025">
        <w:rPr>
          <w:rFonts w:ascii="Arial" w:hAnsi="Arial" w:cs="Arial"/>
          <w:b/>
          <w:bCs/>
          <w:sz w:val="24"/>
          <w:szCs w:val="24"/>
        </w:rPr>
        <w:t>including</w:t>
      </w:r>
      <w:r w:rsidR="002C5025">
        <w:rPr>
          <w:rFonts w:ascii="Arial" w:hAnsi="Arial" w:cs="Arial"/>
          <w:b/>
          <w:bCs/>
          <w:spacing w:val="-19"/>
          <w:sz w:val="24"/>
          <w:szCs w:val="24"/>
        </w:rPr>
        <w:t xml:space="preserve"> </w:t>
      </w:r>
      <w:r w:rsidR="002C5025">
        <w:rPr>
          <w:rFonts w:ascii="Arial" w:hAnsi="Arial" w:cs="Arial"/>
          <w:b/>
          <w:bCs/>
          <w:sz w:val="24"/>
          <w:szCs w:val="24"/>
        </w:rPr>
        <w:t>a stated</w:t>
      </w:r>
      <w:r w:rsidR="002C5025">
        <w:rPr>
          <w:rFonts w:ascii="Arial" w:hAnsi="Arial" w:cs="Arial"/>
          <w:b/>
          <w:bCs/>
          <w:spacing w:val="-11"/>
          <w:sz w:val="24"/>
          <w:szCs w:val="24"/>
        </w:rPr>
        <w:t xml:space="preserve"> </w:t>
      </w:r>
      <w:r w:rsidR="002C5025">
        <w:rPr>
          <w:rFonts w:ascii="Arial" w:hAnsi="Arial" w:cs="Arial"/>
          <w:b/>
          <w:bCs/>
          <w:sz w:val="24"/>
          <w:szCs w:val="24"/>
        </w:rPr>
        <w:t>commitment</w:t>
      </w:r>
      <w:r w:rsidR="002C5025">
        <w:rPr>
          <w:rFonts w:ascii="Arial" w:hAnsi="Arial" w:cs="Arial"/>
          <w:b/>
          <w:bCs/>
          <w:spacing w:val="-12"/>
          <w:sz w:val="24"/>
          <w:szCs w:val="24"/>
        </w:rPr>
        <w:t xml:space="preserve"> </w:t>
      </w:r>
      <w:r w:rsidR="002C5025">
        <w:rPr>
          <w:rFonts w:ascii="Arial" w:hAnsi="Arial" w:cs="Arial"/>
          <w:b/>
          <w:bCs/>
          <w:sz w:val="24"/>
          <w:szCs w:val="24"/>
        </w:rPr>
        <w:t>to</w:t>
      </w:r>
      <w:r w:rsidR="002C5025">
        <w:rPr>
          <w:rFonts w:ascii="Arial" w:hAnsi="Arial" w:cs="Arial"/>
          <w:b/>
          <w:bCs/>
          <w:spacing w:val="-14"/>
          <w:sz w:val="24"/>
          <w:szCs w:val="24"/>
        </w:rPr>
        <w:t xml:space="preserve"> </w:t>
      </w:r>
      <w:r w:rsidR="002C5025">
        <w:rPr>
          <w:rFonts w:ascii="Arial" w:hAnsi="Arial" w:cs="Arial"/>
          <w:b/>
          <w:bCs/>
          <w:sz w:val="24"/>
          <w:szCs w:val="24"/>
        </w:rPr>
        <w:t>the</w:t>
      </w:r>
      <w:r w:rsidR="002C5025">
        <w:rPr>
          <w:rFonts w:ascii="Arial" w:hAnsi="Arial" w:cs="Arial"/>
          <w:b/>
          <w:bCs/>
          <w:spacing w:val="-10"/>
          <w:sz w:val="24"/>
          <w:szCs w:val="24"/>
        </w:rPr>
        <w:t xml:space="preserve"> </w:t>
      </w:r>
      <w:r w:rsidR="002C5025">
        <w:rPr>
          <w:rFonts w:ascii="Arial" w:hAnsi="Arial" w:cs="Arial"/>
          <w:b/>
          <w:bCs/>
          <w:sz w:val="24"/>
          <w:szCs w:val="24"/>
        </w:rPr>
        <w:t>development</w:t>
      </w:r>
      <w:r w:rsidR="002C5025">
        <w:rPr>
          <w:rFonts w:ascii="Arial" w:hAnsi="Arial" w:cs="Arial"/>
          <w:b/>
          <w:bCs/>
          <w:spacing w:val="-14"/>
          <w:sz w:val="24"/>
          <w:szCs w:val="24"/>
        </w:rPr>
        <w:t xml:space="preserve"> </w:t>
      </w:r>
      <w:r w:rsidR="002C5025">
        <w:rPr>
          <w:rFonts w:ascii="Arial" w:hAnsi="Arial" w:cs="Arial"/>
          <w:b/>
          <w:bCs/>
          <w:sz w:val="24"/>
          <w:szCs w:val="24"/>
        </w:rPr>
        <w:t>of</w:t>
      </w:r>
      <w:r w:rsidR="002C5025">
        <w:rPr>
          <w:rFonts w:ascii="Arial" w:hAnsi="Arial" w:cs="Arial"/>
          <w:b/>
          <w:bCs/>
          <w:spacing w:val="-12"/>
          <w:sz w:val="24"/>
          <w:szCs w:val="24"/>
        </w:rPr>
        <w:t xml:space="preserve"> </w:t>
      </w:r>
      <w:r w:rsidR="002C5025">
        <w:rPr>
          <w:rFonts w:ascii="Arial" w:hAnsi="Arial" w:cs="Arial"/>
          <w:b/>
          <w:bCs/>
          <w:sz w:val="24"/>
          <w:szCs w:val="24"/>
        </w:rPr>
        <w:t>an</w:t>
      </w:r>
      <w:r w:rsidR="002C5025">
        <w:rPr>
          <w:rFonts w:ascii="Arial" w:hAnsi="Arial" w:cs="Arial"/>
          <w:b/>
          <w:bCs/>
          <w:spacing w:val="-11"/>
          <w:sz w:val="24"/>
          <w:szCs w:val="24"/>
        </w:rPr>
        <w:t xml:space="preserve"> </w:t>
      </w:r>
      <w:r w:rsidR="002C5025">
        <w:rPr>
          <w:rFonts w:ascii="Arial" w:hAnsi="Arial" w:cs="Arial"/>
          <w:b/>
          <w:bCs/>
          <w:sz w:val="24"/>
          <w:szCs w:val="24"/>
        </w:rPr>
        <w:t>interagency</w:t>
      </w:r>
      <w:r w:rsidR="002C5025">
        <w:rPr>
          <w:rFonts w:ascii="Arial" w:hAnsi="Arial" w:cs="Arial"/>
          <w:b/>
          <w:bCs/>
          <w:spacing w:val="-21"/>
          <w:sz w:val="24"/>
          <w:szCs w:val="24"/>
        </w:rPr>
        <w:t xml:space="preserve"> </w:t>
      </w:r>
      <w:r w:rsidR="002C5025">
        <w:rPr>
          <w:rFonts w:ascii="Arial" w:hAnsi="Arial" w:cs="Arial"/>
          <w:b/>
          <w:bCs/>
          <w:sz w:val="24"/>
          <w:szCs w:val="24"/>
        </w:rPr>
        <w:t>plan</w:t>
      </w:r>
      <w:r w:rsidR="002C5025">
        <w:rPr>
          <w:rFonts w:ascii="Arial" w:hAnsi="Arial" w:cs="Arial"/>
          <w:b/>
          <w:bCs/>
          <w:spacing w:val="-11"/>
          <w:sz w:val="24"/>
          <w:szCs w:val="24"/>
        </w:rPr>
        <w:t xml:space="preserve"> </w:t>
      </w:r>
      <w:r w:rsidR="002C5025">
        <w:rPr>
          <w:rFonts w:ascii="Arial" w:hAnsi="Arial" w:cs="Arial"/>
          <w:b/>
          <w:bCs/>
          <w:sz w:val="24"/>
          <w:szCs w:val="24"/>
        </w:rPr>
        <w:t>to</w:t>
      </w:r>
      <w:r w:rsidR="002C5025">
        <w:rPr>
          <w:rFonts w:ascii="Arial" w:hAnsi="Arial" w:cs="Arial"/>
          <w:b/>
          <w:bCs/>
          <w:spacing w:val="-11"/>
          <w:sz w:val="24"/>
          <w:szCs w:val="24"/>
        </w:rPr>
        <w:t xml:space="preserve"> </w:t>
      </w:r>
      <w:r w:rsidR="002C5025">
        <w:rPr>
          <w:rFonts w:ascii="Arial" w:hAnsi="Arial" w:cs="Arial"/>
          <w:b/>
          <w:bCs/>
          <w:sz w:val="24"/>
          <w:szCs w:val="24"/>
        </w:rPr>
        <w:t>increase</w:t>
      </w:r>
      <w:r w:rsidR="002C5025">
        <w:rPr>
          <w:rFonts w:ascii="Arial" w:hAnsi="Arial" w:cs="Arial"/>
          <w:b/>
          <w:bCs/>
          <w:spacing w:val="-10"/>
          <w:sz w:val="24"/>
          <w:szCs w:val="24"/>
        </w:rPr>
        <w:t xml:space="preserve"> </w:t>
      </w:r>
      <w:r w:rsidR="002C5025">
        <w:rPr>
          <w:rFonts w:ascii="Arial" w:hAnsi="Arial" w:cs="Arial"/>
          <w:b/>
          <w:bCs/>
          <w:spacing w:val="-3"/>
          <w:sz w:val="24"/>
          <w:szCs w:val="24"/>
        </w:rPr>
        <w:t xml:space="preserve">the </w:t>
      </w:r>
      <w:r w:rsidR="002C5025">
        <w:rPr>
          <w:rFonts w:ascii="Arial" w:hAnsi="Arial" w:cs="Arial"/>
          <w:b/>
          <w:bCs/>
          <w:sz w:val="24"/>
          <w:szCs w:val="24"/>
        </w:rPr>
        <w:t>availability</w:t>
      </w:r>
      <w:r w:rsidR="002C5025">
        <w:rPr>
          <w:rFonts w:ascii="Arial" w:hAnsi="Arial" w:cs="Arial"/>
          <w:b/>
          <w:bCs/>
          <w:spacing w:val="-25"/>
          <w:sz w:val="24"/>
          <w:szCs w:val="24"/>
        </w:rPr>
        <w:t xml:space="preserve"> </w:t>
      </w:r>
      <w:r w:rsidR="002C5025">
        <w:rPr>
          <w:rFonts w:ascii="Arial" w:hAnsi="Arial" w:cs="Arial"/>
          <w:b/>
          <w:bCs/>
          <w:sz w:val="24"/>
          <w:szCs w:val="24"/>
        </w:rPr>
        <w:t>and</w:t>
      </w:r>
      <w:r w:rsidR="002C5025">
        <w:rPr>
          <w:rFonts w:ascii="Arial" w:hAnsi="Arial" w:cs="Arial"/>
          <w:b/>
          <w:bCs/>
          <w:spacing w:val="-12"/>
          <w:sz w:val="24"/>
          <w:szCs w:val="24"/>
        </w:rPr>
        <w:t xml:space="preserve"> </w:t>
      </w:r>
      <w:r w:rsidR="002C5025">
        <w:rPr>
          <w:rFonts w:ascii="Arial" w:hAnsi="Arial" w:cs="Arial"/>
          <w:b/>
          <w:bCs/>
          <w:sz w:val="24"/>
          <w:szCs w:val="24"/>
        </w:rPr>
        <w:t>accessibility</w:t>
      </w:r>
      <w:r w:rsidR="002C5025">
        <w:rPr>
          <w:rFonts w:ascii="Arial" w:hAnsi="Arial" w:cs="Arial"/>
          <w:b/>
          <w:bCs/>
          <w:spacing w:val="-25"/>
          <w:sz w:val="24"/>
          <w:szCs w:val="24"/>
        </w:rPr>
        <w:t xml:space="preserve"> </w:t>
      </w:r>
      <w:r w:rsidR="002C5025">
        <w:rPr>
          <w:rFonts w:ascii="Arial" w:hAnsi="Arial" w:cs="Arial"/>
          <w:b/>
          <w:bCs/>
          <w:sz w:val="24"/>
          <w:szCs w:val="24"/>
        </w:rPr>
        <w:t>of</w:t>
      </w:r>
      <w:r w:rsidR="002C5025">
        <w:rPr>
          <w:rFonts w:ascii="Arial" w:hAnsi="Arial" w:cs="Arial"/>
          <w:b/>
          <w:bCs/>
          <w:spacing w:val="-14"/>
          <w:sz w:val="24"/>
          <w:szCs w:val="24"/>
        </w:rPr>
        <w:t xml:space="preserve"> </w:t>
      </w:r>
      <w:r w:rsidR="002C5025">
        <w:rPr>
          <w:rFonts w:ascii="Arial" w:hAnsi="Arial" w:cs="Arial"/>
          <w:b/>
          <w:bCs/>
          <w:sz w:val="24"/>
          <w:szCs w:val="24"/>
        </w:rPr>
        <w:t>affordable</w:t>
      </w:r>
      <w:r w:rsidR="002C5025">
        <w:rPr>
          <w:rFonts w:ascii="Arial" w:hAnsi="Arial" w:cs="Arial"/>
          <w:b/>
          <w:bCs/>
          <w:spacing w:val="-11"/>
          <w:sz w:val="24"/>
          <w:szCs w:val="24"/>
        </w:rPr>
        <w:t xml:space="preserve"> </w:t>
      </w:r>
      <w:r w:rsidR="002C5025">
        <w:rPr>
          <w:rFonts w:ascii="Arial" w:hAnsi="Arial" w:cs="Arial"/>
          <w:b/>
          <w:bCs/>
          <w:sz w:val="24"/>
          <w:szCs w:val="24"/>
        </w:rPr>
        <w:t>housing,</w:t>
      </w:r>
      <w:r w:rsidR="002C5025">
        <w:rPr>
          <w:rFonts w:ascii="Arial" w:hAnsi="Arial" w:cs="Arial"/>
          <w:b/>
          <w:bCs/>
          <w:spacing w:val="-12"/>
          <w:sz w:val="24"/>
          <w:szCs w:val="24"/>
        </w:rPr>
        <w:t xml:space="preserve"> </w:t>
      </w:r>
      <w:r w:rsidR="002C5025">
        <w:rPr>
          <w:rFonts w:ascii="Arial" w:hAnsi="Arial" w:cs="Arial"/>
          <w:b/>
          <w:bCs/>
          <w:sz w:val="24"/>
          <w:szCs w:val="24"/>
        </w:rPr>
        <w:t>for</w:t>
      </w:r>
      <w:r w:rsidR="002C5025">
        <w:rPr>
          <w:rFonts w:ascii="Arial" w:hAnsi="Arial" w:cs="Arial"/>
          <w:b/>
          <w:bCs/>
          <w:spacing w:val="-13"/>
          <w:sz w:val="24"/>
          <w:szCs w:val="24"/>
        </w:rPr>
        <w:t xml:space="preserve"> </w:t>
      </w:r>
      <w:r w:rsidR="002C5025">
        <w:rPr>
          <w:rFonts w:ascii="Arial" w:hAnsi="Arial" w:cs="Arial"/>
          <w:b/>
          <w:bCs/>
          <w:sz w:val="24"/>
          <w:szCs w:val="24"/>
        </w:rPr>
        <w:t>the</w:t>
      </w:r>
      <w:r w:rsidR="002C5025">
        <w:rPr>
          <w:rFonts w:ascii="Arial" w:hAnsi="Arial" w:cs="Arial"/>
          <w:b/>
          <w:bCs/>
          <w:spacing w:val="-13"/>
          <w:sz w:val="24"/>
          <w:szCs w:val="24"/>
        </w:rPr>
        <w:t xml:space="preserve"> </w:t>
      </w:r>
      <w:r w:rsidR="002C5025">
        <w:rPr>
          <w:rFonts w:ascii="Arial" w:hAnsi="Arial" w:cs="Arial"/>
          <w:b/>
          <w:bCs/>
          <w:sz w:val="24"/>
          <w:szCs w:val="24"/>
        </w:rPr>
        <w:t>express</w:t>
      </w:r>
      <w:r w:rsidR="002C5025">
        <w:rPr>
          <w:rFonts w:ascii="Arial" w:hAnsi="Arial" w:cs="Arial"/>
          <w:b/>
          <w:bCs/>
          <w:spacing w:val="-13"/>
          <w:sz w:val="24"/>
          <w:szCs w:val="24"/>
        </w:rPr>
        <w:t xml:space="preserve"> </w:t>
      </w:r>
      <w:r w:rsidR="002C5025">
        <w:rPr>
          <w:rFonts w:ascii="Arial" w:hAnsi="Arial" w:cs="Arial"/>
          <w:b/>
          <w:bCs/>
          <w:sz w:val="24"/>
          <w:szCs w:val="24"/>
        </w:rPr>
        <w:t>purpose</w:t>
      </w:r>
      <w:r w:rsidR="002C5025">
        <w:rPr>
          <w:rFonts w:ascii="Arial" w:hAnsi="Arial" w:cs="Arial"/>
          <w:b/>
          <w:bCs/>
          <w:spacing w:val="-11"/>
          <w:sz w:val="24"/>
          <w:szCs w:val="24"/>
        </w:rPr>
        <w:t xml:space="preserve"> </w:t>
      </w:r>
      <w:r w:rsidR="002C5025">
        <w:rPr>
          <w:rFonts w:ascii="Arial" w:hAnsi="Arial" w:cs="Arial"/>
          <w:b/>
          <w:bCs/>
          <w:sz w:val="24"/>
          <w:szCs w:val="24"/>
        </w:rPr>
        <w:t>of improving the health outcomes of MassHealth members affected by housing instability</w:t>
      </w:r>
      <w:r w:rsidR="002C5025">
        <w:rPr>
          <w:rFonts w:ascii="Arial" w:hAnsi="Arial" w:cs="Arial"/>
          <w:sz w:val="24"/>
          <w:szCs w:val="24"/>
        </w:rPr>
        <w:t>.</w:t>
      </w:r>
    </w:p>
    <w:p w:rsidR="002C5025" w:rsidRDefault="002C5025">
      <w:pPr>
        <w:pStyle w:val="BodyText"/>
        <w:kinsoku w:val="0"/>
        <w:overflowPunct w:val="0"/>
        <w:rPr>
          <w:rFonts w:ascii="Arial" w:hAnsi="Arial" w:cs="Arial"/>
          <w:sz w:val="24"/>
          <w:szCs w:val="24"/>
        </w:rPr>
      </w:pPr>
    </w:p>
    <w:p w:rsidR="002C5025" w:rsidRDefault="002C5025">
      <w:pPr>
        <w:pStyle w:val="BodyText"/>
        <w:kinsoku w:val="0"/>
        <w:overflowPunct w:val="0"/>
        <w:ind w:left="120" w:right="1202"/>
        <w:rPr>
          <w:rFonts w:ascii="Arial" w:hAnsi="Arial" w:cs="Arial"/>
          <w:sz w:val="24"/>
          <w:szCs w:val="24"/>
        </w:rPr>
      </w:pPr>
      <w:r>
        <w:rPr>
          <w:rFonts w:ascii="Arial" w:hAnsi="Arial" w:cs="Arial"/>
          <w:sz w:val="24"/>
          <w:szCs w:val="24"/>
        </w:rPr>
        <w:t xml:space="preserve">Once again, </w:t>
      </w:r>
      <w:r>
        <w:rPr>
          <w:rFonts w:ascii="Arial" w:hAnsi="Arial" w:cs="Arial"/>
          <w:spacing w:val="-3"/>
          <w:sz w:val="24"/>
          <w:szCs w:val="24"/>
        </w:rPr>
        <w:t xml:space="preserve">we </w:t>
      </w:r>
      <w:r>
        <w:rPr>
          <w:rFonts w:ascii="Arial" w:hAnsi="Arial" w:cs="Arial"/>
          <w:sz w:val="24"/>
          <w:szCs w:val="24"/>
        </w:rPr>
        <w:t>thank EOHHS and MassHealth for the chance to participate in this stakeholder</w:t>
      </w:r>
      <w:r>
        <w:rPr>
          <w:rFonts w:ascii="Arial" w:hAnsi="Arial" w:cs="Arial"/>
          <w:spacing w:val="-18"/>
          <w:sz w:val="24"/>
          <w:szCs w:val="24"/>
        </w:rPr>
        <w:t xml:space="preserve"> </w:t>
      </w:r>
      <w:r>
        <w:rPr>
          <w:rFonts w:ascii="Arial" w:hAnsi="Arial" w:cs="Arial"/>
          <w:sz w:val="24"/>
          <w:szCs w:val="24"/>
        </w:rPr>
        <w:t>process</w:t>
      </w:r>
      <w:r>
        <w:rPr>
          <w:rFonts w:ascii="Arial" w:hAnsi="Arial" w:cs="Arial"/>
          <w:spacing w:val="-15"/>
          <w:sz w:val="24"/>
          <w:szCs w:val="24"/>
        </w:rPr>
        <w:t xml:space="preserve"> </w:t>
      </w:r>
      <w:r>
        <w:rPr>
          <w:rFonts w:ascii="Arial" w:hAnsi="Arial" w:cs="Arial"/>
          <w:sz w:val="24"/>
          <w:szCs w:val="24"/>
        </w:rPr>
        <w:t>and</w:t>
      </w:r>
      <w:r>
        <w:rPr>
          <w:rFonts w:ascii="Arial" w:hAnsi="Arial" w:cs="Arial"/>
          <w:spacing w:val="-12"/>
          <w:sz w:val="24"/>
          <w:szCs w:val="24"/>
        </w:rPr>
        <w:t xml:space="preserve"> </w:t>
      </w:r>
      <w:r>
        <w:rPr>
          <w:rFonts w:ascii="Arial" w:hAnsi="Arial" w:cs="Arial"/>
          <w:sz w:val="24"/>
          <w:szCs w:val="24"/>
        </w:rPr>
        <w:t>the</w:t>
      </w:r>
      <w:r>
        <w:rPr>
          <w:rFonts w:ascii="Arial" w:hAnsi="Arial" w:cs="Arial"/>
          <w:spacing w:val="-14"/>
          <w:sz w:val="24"/>
          <w:szCs w:val="24"/>
        </w:rPr>
        <w:t xml:space="preserve"> </w:t>
      </w:r>
      <w:r>
        <w:rPr>
          <w:rFonts w:ascii="Arial" w:hAnsi="Arial" w:cs="Arial"/>
          <w:sz w:val="24"/>
          <w:szCs w:val="24"/>
        </w:rPr>
        <w:t>opportunity</w:t>
      </w:r>
      <w:r>
        <w:rPr>
          <w:rFonts w:ascii="Arial" w:hAnsi="Arial" w:cs="Arial"/>
          <w:spacing w:val="-17"/>
          <w:sz w:val="24"/>
          <w:szCs w:val="24"/>
        </w:rPr>
        <w:t xml:space="preserve"> </w:t>
      </w:r>
      <w:r>
        <w:rPr>
          <w:rFonts w:ascii="Arial" w:hAnsi="Arial" w:cs="Arial"/>
          <w:sz w:val="24"/>
          <w:szCs w:val="24"/>
        </w:rPr>
        <w:t>to</w:t>
      </w:r>
      <w:r>
        <w:rPr>
          <w:rFonts w:ascii="Arial" w:hAnsi="Arial" w:cs="Arial"/>
          <w:spacing w:val="-12"/>
          <w:sz w:val="24"/>
          <w:szCs w:val="24"/>
        </w:rPr>
        <w:t xml:space="preserve"> </w:t>
      </w:r>
      <w:r>
        <w:rPr>
          <w:rFonts w:ascii="Arial" w:hAnsi="Arial" w:cs="Arial"/>
          <w:sz w:val="24"/>
          <w:szCs w:val="24"/>
        </w:rPr>
        <w:t>comment</w:t>
      </w:r>
      <w:r>
        <w:rPr>
          <w:rFonts w:ascii="Arial" w:hAnsi="Arial" w:cs="Arial"/>
          <w:spacing w:val="-14"/>
          <w:sz w:val="24"/>
          <w:szCs w:val="24"/>
        </w:rPr>
        <w:t xml:space="preserve"> </w:t>
      </w:r>
      <w:r>
        <w:rPr>
          <w:rFonts w:ascii="Arial" w:hAnsi="Arial" w:cs="Arial"/>
          <w:sz w:val="24"/>
          <w:szCs w:val="24"/>
        </w:rPr>
        <w:t>on</w:t>
      </w:r>
      <w:r>
        <w:rPr>
          <w:rFonts w:ascii="Arial" w:hAnsi="Arial" w:cs="Arial"/>
          <w:spacing w:val="-14"/>
          <w:sz w:val="24"/>
          <w:szCs w:val="24"/>
        </w:rPr>
        <w:t xml:space="preserve"> </w:t>
      </w:r>
      <w:r>
        <w:rPr>
          <w:rFonts w:ascii="Arial" w:hAnsi="Arial" w:cs="Arial"/>
          <w:sz w:val="24"/>
          <w:szCs w:val="24"/>
        </w:rPr>
        <w:t>this</w:t>
      </w:r>
      <w:r>
        <w:rPr>
          <w:rFonts w:ascii="Arial" w:hAnsi="Arial" w:cs="Arial"/>
          <w:spacing w:val="-15"/>
          <w:sz w:val="24"/>
          <w:szCs w:val="24"/>
        </w:rPr>
        <w:t xml:space="preserve"> </w:t>
      </w:r>
      <w:r>
        <w:rPr>
          <w:rFonts w:ascii="Arial" w:hAnsi="Arial" w:cs="Arial"/>
          <w:sz w:val="24"/>
          <w:szCs w:val="24"/>
        </w:rPr>
        <w:t>historic</w:t>
      </w:r>
      <w:r>
        <w:rPr>
          <w:rFonts w:ascii="Arial" w:hAnsi="Arial" w:cs="Arial"/>
          <w:spacing w:val="-15"/>
          <w:sz w:val="24"/>
          <w:szCs w:val="24"/>
        </w:rPr>
        <w:t xml:space="preserve"> </w:t>
      </w:r>
      <w:r>
        <w:rPr>
          <w:rFonts w:ascii="Arial" w:hAnsi="Arial" w:cs="Arial"/>
          <w:sz w:val="24"/>
          <w:szCs w:val="24"/>
        </w:rPr>
        <w:t>waiver</w:t>
      </w:r>
      <w:r>
        <w:rPr>
          <w:rFonts w:ascii="Arial" w:hAnsi="Arial" w:cs="Arial"/>
          <w:spacing w:val="-15"/>
          <w:sz w:val="24"/>
          <w:szCs w:val="24"/>
        </w:rPr>
        <w:t xml:space="preserve"> </w:t>
      </w:r>
      <w:r>
        <w:rPr>
          <w:rFonts w:ascii="Arial" w:hAnsi="Arial" w:cs="Arial"/>
          <w:sz w:val="24"/>
          <w:szCs w:val="24"/>
        </w:rPr>
        <w:t>proposal. If you have any questions or concerns regarding these comments and recommendations,</w:t>
      </w:r>
      <w:r>
        <w:rPr>
          <w:rFonts w:ascii="Arial" w:hAnsi="Arial" w:cs="Arial"/>
          <w:spacing w:val="-26"/>
          <w:sz w:val="24"/>
          <w:szCs w:val="24"/>
        </w:rPr>
        <w:t xml:space="preserve"> </w:t>
      </w:r>
      <w:r>
        <w:rPr>
          <w:rFonts w:ascii="Arial" w:hAnsi="Arial" w:cs="Arial"/>
          <w:sz w:val="24"/>
          <w:szCs w:val="24"/>
        </w:rPr>
        <w:t>please</w:t>
      </w:r>
      <w:r>
        <w:rPr>
          <w:rFonts w:ascii="Arial" w:hAnsi="Arial" w:cs="Arial"/>
          <w:spacing w:val="-21"/>
          <w:sz w:val="24"/>
          <w:szCs w:val="24"/>
        </w:rPr>
        <w:t xml:space="preserve"> </w:t>
      </w:r>
      <w:r>
        <w:rPr>
          <w:rFonts w:ascii="Arial" w:hAnsi="Arial" w:cs="Arial"/>
          <w:sz w:val="24"/>
          <w:szCs w:val="24"/>
        </w:rPr>
        <w:t>contact</w:t>
      </w:r>
      <w:r>
        <w:rPr>
          <w:rFonts w:ascii="Arial" w:hAnsi="Arial" w:cs="Arial"/>
          <w:spacing w:val="-24"/>
          <w:sz w:val="24"/>
          <w:szCs w:val="24"/>
        </w:rPr>
        <w:t xml:space="preserve"> </w:t>
      </w:r>
      <w:r>
        <w:rPr>
          <w:rFonts w:ascii="Arial" w:hAnsi="Arial" w:cs="Arial"/>
          <w:sz w:val="24"/>
          <w:szCs w:val="24"/>
        </w:rPr>
        <w:t>me</w:t>
      </w:r>
      <w:r>
        <w:rPr>
          <w:rFonts w:ascii="Arial" w:hAnsi="Arial" w:cs="Arial"/>
          <w:spacing w:val="-21"/>
          <w:sz w:val="24"/>
          <w:szCs w:val="24"/>
        </w:rPr>
        <w:t xml:space="preserve"> </w:t>
      </w:r>
      <w:r>
        <w:rPr>
          <w:rFonts w:ascii="Arial" w:hAnsi="Arial" w:cs="Arial"/>
          <w:sz w:val="24"/>
          <w:szCs w:val="24"/>
        </w:rPr>
        <w:t>directly.</w:t>
      </w:r>
    </w:p>
    <w:p w:rsidR="002C5025" w:rsidRDefault="002C5025">
      <w:pPr>
        <w:pStyle w:val="BodyText"/>
        <w:kinsoku w:val="0"/>
        <w:overflowPunct w:val="0"/>
        <w:rPr>
          <w:rFonts w:ascii="Arial" w:hAnsi="Arial" w:cs="Arial"/>
          <w:sz w:val="24"/>
          <w:szCs w:val="24"/>
        </w:rPr>
      </w:pPr>
    </w:p>
    <w:p w:rsidR="002C5025" w:rsidRDefault="002C5025">
      <w:pPr>
        <w:pStyle w:val="BodyText"/>
        <w:kinsoku w:val="0"/>
        <w:overflowPunct w:val="0"/>
        <w:rPr>
          <w:rFonts w:ascii="Arial" w:hAnsi="Arial" w:cs="Arial"/>
          <w:sz w:val="24"/>
          <w:szCs w:val="24"/>
        </w:rPr>
      </w:pPr>
    </w:p>
    <w:p w:rsidR="002C5025" w:rsidRDefault="002C5025">
      <w:pPr>
        <w:pStyle w:val="BodyText"/>
        <w:kinsoku w:val="0"/>
        <w:overflowPunct w:val="0"/>
        <w:rPr>
          <w:rFonts w:ascii="Arial" w:hAnsi="Arial" w:cs="Arial"/>
          <w:sz w:val="24"/>
          <w:szCs w:val="24"/>
        </w:rPr>
      </w:pPr>
    </w:p>
    <w:p w:rsidR="002C5025" w:rsidRDefault="002C5025">
      <w:pPr>
        <w:pStyle w:val="BodyText"/>
        <w:kinsoku w:val="0"/>
        <w:overflowPunct w:val="0"/>
        <w:ind w:left="119" w:right="6644"/>
        <w:rPr>
          <w:rFonts w:ascii="Arial" w:hAnsi="Arial" w:cs="Arial"/>
          <w:sz w:val="24"/>
          <w:szCs w:val="24"/>
        </w:rPr>
      </w:pPr>
      <w:r>
        <w:rPr>
          <w:rFonts w:ascii="Arial" w:hAnsi="Arial" w:cs="Arial"/>
          <w:sz w:val="24"/>
          <w:szCs w:val="24"/>
        </w:rPr>
        <w:t>Sincerely,</w:t>
      </w:r>
    </w:p>
    <w:p w:rsidR="002C5025" w:rsidRDefault="002C5025">
      <w:pPr>
        <w:pStyle w:val="BodyText"/>
        <w:kinsoku w:val="0"/>
        <w:overflowPunct w:val="0"/>
        <w:rPr>
          <w:rFonts w:ascii="Arial" w:hAnsi="Arial" w:cs="Arial"/>
          <w:sz w:val="24"/>
          <w:szCs w:val="24"/>
        </w:rPr>
      </w:pPr>
    </w:p>
    <w:p w:rsidR="002C5025" w:rsidRDefault="002C5025">
      <w:pPr>
        <w:pStyle w:val="BodyText"/>
        <w:kinsoku w:val="0"/>
        <w:overflowPunct w:val="0"/>
        <w:rPr>
          <w:rFonts w:ascii="Arial" w:hAnsi="Arial" w:cs="Arial"/>
          <w:sz w:val="24"/>
          <w:szCs w:val="24"/>
        </w:rPr>
      </w:pPr>
    </w:p>
    <w:p w:rsidR="002C5025" w:rsidRDefault="002C5025">
      <w:pPr>
        <w:pStyle w:val="BodyText"/>
        <w:kinsoku w:val="0"/>
        <w:overflowPunct w:val="0"/>
        <w:rPr>
          <w:rFonts w:ascii="Arial" w:hAnsi="Arial" w:cs="Arial"/>
          <w:sz w:val="24"/>
          <w:szCs w:val="24"/>
        </w:rPr>
      </w:pPr>
    </w:p>
    <w:p w:rsidR="002C5025" w:rsidRDefault="002C5025">
      <w:pPr>
        <w:pStyle w:val="BodyText"/>
        <w:kinsoku w:val="0"/>
        <w:overflowPunct w:val="0"/>
        <w:rPr>
          <w:rFonts w:ascii="Arial" w:hAnsi="Arial" w:cs="Arial"/>
          <w:sz w:val="24"/>
          <w:szCs w:val="24"/>
        </w:rPr>
      </w:pPr>
    </w:p>
    <w:p w:rsidR="002C5025" w:rsidRDefault="002C5025">
      <w:pPr>
        <w:pStyle w:val="BodyText"/>
        <w:kinsoku w:val="0"/>
        <w:overflowPunct w:val="0"/>
        <w:spacing w:before="8"/>
        <w:rPr>
          <w:rFonts w:ascii="Arial" w:hAnsi="Arial" w:cs="Arial"/>
          <w:sz w:val="27"/>
          <w:szCs w:val="27"/>
        </w:rPr>
      </w:pPr>
    </w:p>
    <w:p w:rsidR="002C5025" w:rsidRDefault="002C5025">
      <w:pPr>
        <w:pStyle w:val="BodyText"/>
        <w:kinsoku w:val="0"/>
        <w:overflowPunct w:val="0"/>
        <w:spacing w:before="1"/>
        <w:ind w:left="120" w:right="7672"/>
        <w:rPr>
          <w:rFonts w:ascii="Arial" w:hAnsi="Arial" w:cs="Arial"/>
          <w:sz w:val="24"/>
          <w:szCs w:val="24"/>
        </w:rPr>
      </w:pPr>
      <w:r>
        <w:rPr>
          <w:rFonts w:ascii="Arial" w:hAnsi="Arial" w:cs="Arial"/>
          <w:sz w:val="24"/>
          <w:szCs w:val="24"/>
        </w:rPr>
        <w:t>Emily Stewart Executive Director</w:t>
      </w:r>
    </w:p>
    <w:p w:rsidR="002C5025" w:rsidRDefault="002C5025">
      <w:pPr>
        <w:pStyle w:val="BodyText"/>
        <w:kinsoku w:val="0"/>
        <w:overflowPunct w:val="0"/>
        <w:ind w:left="120" w:right="1155"/>
        <w:rPr>
          <w:rFonts w:ascii="Arial" w:hAnsi="Arial" w:cs="Arial"/>
          <w:sz w:val="24"/>
          <w:szCs w:val="24"/>
        </w:rPr>
      </w:pPr>
      <w:r>
        <w:rPr>
          <w:rFonts w:ascii="Arial" w:hAnsi="Arial" w:cs="Arial"/>
          <w:sz w:val="24"/>
          <w:szCs w:val="24"/>
        </w:rPr>
        <w:t>Casa Esperanza, Inc./Nueva Vida, Inc.</w:t>
      </w:r>
    </w:p>
    <w:p w:rsidR="002C5025" w:rsidRDefault="002C5025">
      <w:pPr>
        <w:pStyle w:val="BodyText"/>
        <w:kinsoku w:val="0"/>
        <w:overflowPunct w:val="0"/>
        <w:ind w:left="120" w:right="1155"/>
        <w:rPr>
          <w:rFonts w:ascii="Arial" w:hAnsi="Arial" w:cs="Arial"/>
          <w:sz w:val="24"/>
          <w:szCs w:val="24"/>
        </w:rPr>
        <w:sectPr w:rsidR="002C5025">
          <w:pgSz w:w="12240" w:h="15840"/>
          <w:pgMar w:top="1380" w:right="1720" w:bottom="280" w:left="240" w:header="720" w:footer="720" w:gutter="0"/>
          <w:cols w:space="720" w:equalWidth="0">
            <w:col w:w="10280"/>
          </w:cols>
          <w:noEndnote/>
        </w:sectPr>
      </w:pPr>
    </w:p>
    <w:p w:rsidR="002C5025" w:rsidRDefault="002C5025">
      <w:pPr>
        <w:pStyle w:val="BodyText"/>
        <w:kinsoku w:val="0"/>
        <w:overflowPunct w:val="0"/>
        <w:spacing w:before="52"/>
        <w:ind w:left="100" w:right="83"/>
        <w:rPr>
          <w:rFonts w:ascii="Times New Roman" w:hAnsi="Times New Roman" w:cs="Times New Roman"/>
          <w:sz w:val="24"/>
          <w:szCs w:val="24"/>
        </w:rPr>
      </w:pPr>
      <w:bookmarkStart w:id="75" w:name="Catherine_Boyle"/>
      <w:bookmarkEnd w:id="75"/>
      <w:r>
        <w:rPr>
          <w:rFonts w:ascii="Times New Roman" w:hAnsi="Times New Roman" w:cs="Times New Roman"/>
          <w:sz w:val="24"/>
          <w:szCs w:val="24"/>
        </w:rPr>
        <w:lastRenderedPageBreak/>
        <w:t>Hello,</w:t>
      </w:r>
    </w:p>
    <w:p w:rsidR="002C5025" w:rsidRDefault="002C5025">
      <w:pPr>
        <w:pStyle w:val="BodyText"/>
        <w:kinsoku w:val="0"/>
        <w:overflowPunct w:val="0"/>
        <w:spacing w:before="10"/>
        <w:rPr>
          <w:rFonts w:ascii="Times New Roman" w:hAnsi="Times New Roman" w:cs="Times New Roman"/>
          <w:sz w:val="20"/>
          <w:szCs w:val="20"/>
        </w:rPr>
      </w:pPr>
    </w:p>
    <w:p w:rsidR="002C5025" w:rsidRDefault="002C5025">
      <w:pPr>
        <w:pStyle w:val="BodyText"/>
        <w:kinsoku w:val="0"/>
        <w:overflowPunct w:val="0"/>
        <w:ind w:left="100" w:right="83"/>
        <w:rPr>
          <w:rFonts w:ascii="Times New Roman" w:hAnsi="Times New Roman" w:cs="Times New Roman"/>
          <w:sz w:val="24"/>
          <w:szCs w:val="24"/>
        </w:rPr>
      </w:pPr>
      <w:r>
        <w:rPr>
          <w:rFonts w:ascii="Times New Roman" w:hAnsi="Times New Roman" w:cs="Times New Roman"/>
          <w:sz w:val="24"/>
          <w:szCs w:val="24"/>
        </w:rPr>
        <w:t>My name is Catherine Boyle. I have already submitted comments in my professional capacity. These comments are in my capacity as the mother and legal guardian of a MassHealth member.</w:t>
      </w:r>
    </w:p>
    <w:p w:rsidR="002C5025" w:rsidRDefault="002C5025">
      <w:pPr>
        <w:pStyle w:val="BodyText"/>
        <w:kinsoku w:val="0"/>
        <w:overflowPunct w:val="0"/>
        <w:spacing w:before="10"/>
        <w:rPr>
          <w:rFonts w:ascii="Times New Roman" w:hAnsi="Times New Roman" w:cs="Times New Roman"/>
          <w:sz w:val="20"/>
          <w:szCs w:val="20"/>
        </w:rPr>
      </w:pPr>
    </w:p>
    <w:p w:rsidR="002C5025" w:rsidRDefault="002C5025">
      <w:pPr>
        <w:pStyle w:val="BodyText"/>
        <w:kinsoku w:val="0"/>
        <w:overflowPunct w:val="0"/>
        <w:ind w:left="100" w:right="369"/>
        <w:rPr>
          <w:rFonts w:ascii="Times New Roman" w:hAnsi="Times New Roman" w:cs="Times New Roman"/>
          <w:sz w:val="24"/>
          <w:szCs w:val="24"/>
        </w:rPr>
      </w:pPr>
      <w:r>
        <w:rPr>
          <w:rFonts w:ascii="Times New Roman" w:hAnsi="Times New Roman" w:cs="Times New Roman"/>
          <w:sz w:val="24"/>
          <w:szCs w:val="24"/>
        </w:rPr>
        <w:t>My son has severe autism, accompanied by aggression and self-injurious behavior when he is stressed. One of the things he finds most stressful is blood draws, which he must have done regularly. While he attended a residential school in NH, these were done at his residence by a visiting nurse. Having these done in his residence, before breakfast, greatly reduced his stress, and he generally had few difficulties compared to his previous experiences going to a lab.</w:t>
      </w:r>
    </w:p>
    <w:p w:rsidR="002C5025" w:rsidRDefault="002C5025">
      <w:pPr>
        <w:pStyle w:val="BodyText"/>
        <w:kinsoku w:val="0"/>
        <w:overflowPunct w:val="0"/>
        <w:spacing w:before="10"/>
        <w:rPr>
          <w:rFonts w:ascii="Times New Roman" w:hAnsi="Times New Roman" w:cs="Times New Roman"/>
          <w:sz w:val="20"/>
          <w:szCs w:val="20"/>
        </w:rPr>
      </w:pPr>
    </w:p>
    <w:p w:rsidR="002C5025" w:rsidRDefault="002C5025">
      <w:pPr>
        <w:pStyle w:val="BodyText"/>
        <w:kinsoku w:val="0"/>
        <w:overflowPunct w:val="0"/>
        <w:ind w:left="100" w:right="83"/>
        <w:rPr>
          <w:rFonts w:ascii="Times New Roman" w:hAnsi="Times New Roman" w:cs="Times New Roman"/>
          <w:sz w:val="24"/>
          <w:szCs w:val="24"/>
        </w:rPr>
      </w:pPr>
      <w:r>
        <w:rPr>
          <w:rFonts w:ascii="Times New Roman" w:hAnsi="Times New Roman" w:cs="Times New Roman"/>
          <w:sz w:val="24"/>
          <w:szCs w:val="24"/>
        </w:rPr>
        <w:t>He is now an adult, and resides in a group home in Mass. He is currently not able to get blood drawn at his residence because his need for a house call is due to behavioral reasons, not medical ones. Instead, he must go to a blood lab, where a restraint is performed by several staff members from his residence. I was actually told by Mass General that, were he to go to Mass General for labs, they could only see him in the emergency room, as that is where the security team is.</w:t>
      </w:r>
    </w:p>
    <w:p w:rsidR="002C5025" w:rsidRDefault="002C5025">
      <w:pPr>
        <w:pStyle w:val="BodyText"/>
        <w:kinsoku w:val="0"/>
        <w:overflowPunct w:val="0"/>
        <w:spacing w:before="10"/>
        <w:rPr>
          <w:rFonts w:ascii="Times New Roman" w:hAnsi="Times New Roman" w:cs="Times New Roman"/>
          <w:sz w:val="20"/>
          <w:szCs w:val="20"/>
        </w:rPr>
      </w:pPr>
    </w:p>
    <w:p w:rsidR="002C5025" w:rsidRDefault="002C5025">
      <w:pPr>
        <w:pStyle w:val="BodyText"/>
        <w:kinsoku w:val="0"/>
        <w:overflowPunct w:val="0"/>
        <w:ind w:left="100" w:right="95"/>
        <w:rPr>
          <w:rFonts w:ascii="Times New Roman" w:hAnsi="Times New Roman" w:cs="Times New Roman"/>
          <w:sz w:val="24"/>
          <w:szCs w:val="24"/>
        </w:rPr>
      </w:pPr>
      <w:r>
        <w:rPr>
          <w:rFonts w:ascii="Times New Roman" w:hAnsi="Times New Roman" w:cs="Times New Roman"/>
          <w:sz w:val="24"/>
          <w:szCs w:val="24"/>
        </w:rPr>
        <w:t>This situation is not only extremely stressful for my son, it endangers other patients and medical personnel at the lab. Additionally, it incurs the cost of multiple staff having to accompany him to the blood draw. I know he is not the only individual in this situation. I believe every resident of my son's home requires labs regularly. It would be far safer, more efficient, cost effective, and less stressful to have a visiting nurse perform labs at the residence periodically.</w:t>
      </w:r>
    </w:p>
    <w:p w:rsidR="002C5025" w:rsidRDefault="002C5025">
      <w:pPr>
        <w:pStyle w:val="BodyText"/>
        <w:kinsoku w:val="0"/>
        <w:overflowPunct w:val="0"/>
        <w:spacing w:before="10"/>
        <w:rPr>
          <w:rFonts w:ascii="Times New Roman" w:hAnsi="Times New Roman" w:cs="Times New Roman"/>
          <w:sz w:val="20"/>
          <w:szCs w:val="20"/>
        </w:rPr>
      </w:pPr>
    </w:p>
    <w:p w:rsidR="002C5025" w:rsidRDefault="002C5025">
      <w:pPr>
        <w:pStyle w:val="BodyText"/>
        <w:kinsoku w:val="0"/>
        <w:overflowPunct w:val="0"/>
        <w:spacing w:line="448" w:lineRule="auto"/>
        <w:ind w:left="100" w:right="6440"/>
        <w:rPr>
          <w:rFonts w:ascii="Times New Roman" w:hAnsi="Times New Roman" w:cs="Times New Roman"/>
          <w:sz w:val="24"/>
          <w:szCs w:val="24"/>
        </w:rPr>
      </w:pPr>
      <w:r>
        <w:rPr>
          <w:rFonts w:ascii="Times New Roman" w:hAnsi="Times New Roman" w:cs="Times New Roman"/>
          <w:sz w:val="24"/>
          <w:szCs w:val="24"/>
        </w:rPr>
        <w:t>Thanks for your consideration. Catherine Boyle</w:t>
      </w:r>
    </w:p>
    <w:p w:rsidR="002C5025" w:rsidRDefault="002C5025">
      <w:pPr>
        <w:pStyle w:val="BodyText"/>
        <w:kinsoku w:val="0"/>
        <w:overflowPunct w:val="0"/>
        <w:spacing w:line="448" w:lineRule="auto"/>
        <w:ind w:left="100" w:right="6440"/>
        <w:rPr>
          <w:rFonts w:ascii="Times New Roman" w:hAnsi="Times New Roman" w:cs="Times New Roman"/>
          <w:sz w:val="24"/>
          <w:szCs w:val="24"/>
        </w:rPr>
        <w:sectPr w:rsidR="002C5025">
          <w:pgSz w:w="12240" w:h="15840"/>
          <w:pgMar w:top="1380" w:right="1380" w:bottom="280" w:left="1340" w:header="720" w:footer="720" w:gutter="0"/>
          <w:cols w:space="720" w:equalWidth="0">
            <w:col w:w="9520"/>
          </w:cols>
          <w:noEndnote/>
        </w:sectPr>
      </w:pPr>
    </w:p>
    <w:p w:rsidR="002C5025" w:rsidRDefault="002C5025">
      <w:pPr>
        <w:pStyle w:val="BodyText"/>
        <w:kinsoku w:val="0"/>
        <w:overflowPunct w:val="0"/>
        <w:spacing w:before="2"/>
        <w:rPr>
          <w:rFonts w:ascii="Times New Roman" w:hAnsi="Times New Roman" w:cs="Times New Roman"/>
          <w:sz w:val="18"/>
          <w:szCs w:val="18"/>
        </w:rPr>
      </w:pPr>
    </w:p>
    <w:p w:rsidR="002C5025" w:rsidRDefault="00FB027C">
      <w:pPr>
        <w:pStyle w:val="BodyText"/>
        <w:tabs>
          <w:tab w:val="left" w:pos="5390"/>
        </w:tabs>
        <w:kinsoku w:val="0"/>
        <w:overflowPunct w:val="0"/>
        <w:ind w:left="120"/>
        <w:rPr>
          <w:rFonts w:ascii="Times New Roman" w:hAnsi="Times New Roman" w:cs="Times New Roman"/>
          <w:sz w:val="20"/>
          <w:szCs w:val="20"/>
        </w:rPr>
      </w:pPr>
      <w:r>
        <w:rPr>
          <w:rFonts w:ascii="Times New Roman" w:hAnsi="Times New Roman" w:cs="Times New Roman"/>
          <w:noProof/>
          <w:position w:val="1"/>
          <w:sz w:val="20"/>
          <w:szCs w:val="20"/>
        </w:rPr>
        <w:drawing>
          <wp:inline distT="0" distB="0" distL="0" distR="0">
            <wp:extent cx="2714625" cy="609600"/>
            <wp:effectExtent l="0" t="0" r="952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714625" cy="609600"/>
                    </a:xfrm>
                    <a:prstGeom prst="rect">
                      <a:avLst/>
                    </a:prstGeom>
                    <a:noFill/>
                    <a:ln>
                      <a:noFill/>
                    </a:ln>
                  </pic:spPr>
                </pic:pic>
              </a:graphicData>
            </a:graphic>
          </wp:inline>
        </w:drawing>
      </w:r>
      <w:r w:rsidR="002C5025">
        <w:rPr>
          <w:rFonts w:ascii="Times New Roman" w:hAnsi="Times New Roman" w:cs="Times New Roman"/>
          <w:position w:val="1"/>
          <w:sz w:val="20"/>
          <w:szCs w:val="20"/>
        </w:rPr>
        <w:t xml:space="preserve"> </w:t>
      </w:r>
      <w:r w:rsidR="002C5025">
        <w:rPr>
          <w:rFonts w:ascii="Times New Roman" w:hAnsi="Times New Roman" w:cs="Times New Roman"/>
          <w:position w:val="1"/>
          <w:sz w:val="20"/>
          <w:szCs w:val="20"/>
        </w:rPr>
        <w:tab/>
      </w:r>
      <w:r>
        <w:rPr>
          <w:rFonts w:ascii="Times New Roman" w:hAnsi="Times New Roman" w:cs="Times New Roman"/>
          <w:noProof/>
          <w:sz w:val="20"/>
          <w:szCs w:val="20"/>
        </w:rPr>
        <w:drawing>
          <wp:inline distT="0" distB="0" distL="0" distR="0">
            <wp:extent cx="2524125" cy="647700"/>
            <wp:effectExtent l="0" t="0" r="952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524125" cy="647700"/>
                    </a:xfrm>
                    <a:prstGeom prst="rect">
                      <a:avLst/>
                    </a:prstGeom>
                    <a:noFill/>
                    <a:ln>
                      <a:noFill/>
                    </a:ln>
                  </pic:spPr>
                </pic:pic>
              </a:graphicData>
            </a:graphic>
          </wp:inline>
        </w:drawing>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189"/>
        <w:ind w:left="120" w:right="5427"/>
        <w:rPr>
          <w:rFonts w:ascii="Times New Roman" w:hAnsi="Times New Roman" w:cs="Times New Roman"/>
          <w:sz w:val="24"/>
          <w:szCs w:val="24"/>
        </w:rPr>
      </w:pPr>
      <w:bookmarkStart w:id="76" w:name="Center_for_Health_Law_and_Policy_Innovat"/>
      <w:bookmarkEnd w:id="76"/>
      <w:r>
        <w:rPr>
          <w:rFonts w:ascii="Times New Roman" w:hAnsi="Times New Roman" w:cs="Times New Roman"/>
          <w:sz w:val="24"/>
          <w:szCs w:val="24"/>
        </w:rPr>
        <w:t>The Honorable Marylou Sudders Secretary of Health &amp; Human Services</w:t>
      </w:r>
    </w:p>
    <w:p w:rsidR="002C5025" w:rsidRDefault="002C5025">
      <w:pPr>
        <w:pStyle w:val="BodyText"/>
        <w:kinsoku w:val="0"/>
        <w:overflowPunct w:val="0"/>
        <w:ind w:left="120" w:right="4621"/>
        <w:rPr>
          <w:rFonts w:ascii="Times New Roman" w:hAnsi="Times New Roman" w:cs="Times New Roman"/>
          <w:sz w:val="24"/>
          <w:szCs w:val="24"/>
        </w:rPr>
      </w:pPr>
      <w:r>
        <w:rPr>
          <w:rFonts w:ascii="Times New Roman" w:hAnsi="Times New Roman" w:cs="Times New Roman"/>
          <w:sz w:val="24"/>
          <w:szCs w:val="24"/>
        </w:rPr>
        <w:t>Executive Office of Health &amp; Human Services One Ashburton Place, 11th Floor</w:t>
      </w:r>
    </w:p>
    <w:p w:rsidR="002C5025" w:rsidRDefault="002C5025">
      <w:pPr>
        <w:pStyle w:val="BodyText"/>
        <w:kinsoku w:val="0"/>
        <w:overflowPunct w:val="0"/>
        <w:ind w:left="120"/>
        <w:jc w:val="both"/>
        <w:rPr>
          <w:rFonts w:ascii="Times New Roman" w:hAnsi="Times New Roman" w:cs="Times New Roman"/>
          <w:sz w:val="24"/>
          <w:szCs w:val="24"/>
        </w:rPr>
      </w:pPr>
      <w:r>
        <w:rPr>
          <w:rFonts w:ascii="Times New Roman" w:hAnsi="Times New Roman" w:cs="Times New Roman"/>
          <w:sz w:val="24"/>
          <w:szCs w:val="24"/>
        </w:rPr>
        <w:t>Boston, MA 02108</w:t>
      </w:r>
    </w:p>
    <w:p w:rsidR="002C5025" w:rsidRDefault="002C5025">
      <w:pPr>
        <w:pStyle w:val="BodyText"/>
        <w:kinsoku w:val="0"/>
        <w:overflowPunct w:val="0"/>
        <w:spacing w:before="2" w:line="415" w:lineRule="auto"/>
        <w:ind w:left="120" w:right="2753"/>
        <w:rPr>
          <w:rFonts w:ascii="Times New Roman" w:hAnsi="Times New Roman" w:cs="Times New Roman"/>
          <w:color w:val="000000"/>
          <w:sz w:val="24"/>
          <w:szCs w:val="24"/>
        </w:rPr>
      </w:pPr>
      <w:r>
        <w:rPr>
          <w:rFonts w:ascii="Times New Roman" w:hAnsi="Times New Roman" w:cs="Times New Roman"/>
          <w:sz w:val="24"/>
          <w:szCs w:val="24"/>
        </w:rPr>
        <w:t xml:space="preserve">Submitted via Electronic Mail: </w:t>
      </w:r>
      <w:hyperlink r:id="rId166" w:history="1">
        <w:r>
          <w:rPr>
            <w:rFonts w:ascii="Times New Roman" w:hAnsi="Times New Roman" w:cs="Times New Roman"/>
            <w:color w:val="0000FF"/>
            <w:sz w:val="24"/>
            <w:szCs w:val="24"/>
            <w:u w:val="single"/>
          </w:rPr>
          <w:t>masshealth.innovations@state.ma.gov</w:t>
        </w:r>
      </w:hyperlink>
      <w:r>
        <w:rPr>
          <w:rFonts w:ascii="Times New Roman" w:hAnsi="Times New Roman" w:cs="Times New Roman"/>
          <w:color w:val="0000FF"/>
          <w:sz w:val="24"/>
          <w:szCs w:val="24"/>
          <w:u w:val="single"/>
        </w:rPr>
        <w:t xml:space="preserve"> </w:t>
      </w:r>
      <w:r>
        <w:rPr>
          <w:rFonts w:ascii="Times New Roman" w:hAnsi="Times New Roman" w:cs="Times New Roman"/>
          <w:color w:val="000000"/>
          <w:sz w:val="24"/>
          <w:szCs w:val="24"/>
        </w:rPr>
        <w:t>July 15, 2016</w:t>
      </w:r>
    </w:p>
    <w:p w:rsidR="002C5025" w:rsidRDefault="002C5025">
      <w:pPr>
        <w:pStyle w:val="BodyText"/>
        <w:kinsoku w:val="0"/>
        <w:overflowPunct w:val="0"/>
        <w:spacing w:before="22"/>
        <w:ind w:left="120"/>
        <w:jc w:val="both"/>
        <w:rPr>
          <w:rFonts w:ascii="Times New Roman" w:hAnsi="Times New Roman" w:cs="Times New Roman"/>
          <w:b/>
          <w:bCs/>
          <w:sz w:val="24"/>
          <w:szCs w:val="24"/>
        </w:rPr>
      </w:pPr>
      <w:bookmarkStart w:id="77" w:name="RE:_Comments_on_Demonstration_Extension_"/>
      <w:bookmarkEnd w:id="77"/>
      <w:r>
        <w:rPr>
          <w:rFonts w:ascii="Times New Roman" w:hAnsi="Times New Roman" w:cs="Times New Roman"/>
          <w:b/>
          <w:bCs/>
          <w:sz w:val="24"/>
          <w:szCs w:val="24"/>
        </w:rPr>
        <w:t>RE: Comments on Demonstration Extension Request</w:t>
      </w:r>
    </w:p>
    <w:p w:rsidR="002C5025" w:rsidRDefault="002C5025">
      <w:pPr>
        <w:pStyle w:val="BodyText"/>
        <w:kinsoku w:val="0"/>
        <w:overflowPunct w:val="0"/>
        <w:spacing w:before="189"/>
        <w:ind w:left="120"/>
        <w:jc w:val="both"/>
        <w:rPr>
          <w:rFonts w:ascii="Times New Roman" w:hAnsi="Times New Roman" w:cs="Times New Roman"/>
          <w:sz w:val="24"/>
          <w:szCs w:val="24"/>
        </w:rPr>
      </w:pPr>
      <w:r>
        <w:rPr>
          <w:rFonts w:ascii="Times New Roman" w:hAnsi="Times New Roman" w:cs="Times New Roman"/>
          <w:sz w:val="24"/>
          <w:szCs w:val="24"/>
        </w:rPr>
        <w:t>Dear Secretary Sudders:</w:t>
      </w:r>
    </w:p>
    <w:p w:rsidR="002C5025" w:rsidRDefault="002C5025">
      <w:pPr>
        <w:pStyle w:val="BodyText"/>
        <w:kinsoku w:val="0"/>
        <w:overflowPunct w:val="0"/>
        <w:spacing w:before="197"/>
        <w:ind w:left="119" w:right="114"/>
        <w:jc w:val="both"/>
        <w:rPr>
          <w:rFonts w:ascii="Times New Roman" w:hAnsi="Times New Roman" w:cs="Times New Roman"/>
          <w:sz w:val="24"/>
          <w:szCs w:val="24"/>
        </w:rPr>
      </w:pPr>
      <w:r>
        <w:rPr>
          <w:rFonts w:ascii="Times New Roman" w:hAnsi="Times New Roman" w:cs="Times New Roman"/>
          <w:sz w:val="24"/>
          <w:szCs w:val="24"/>
        </w:rPr>
        <w:t xml:space="preserve">Thank </w:t>
      </w:r>
      <w:r>
        <w:rPr>
          <w:rFonts w:ascii="Times New Roman" w:hAnsi="Times New Roman" w:cs="Times New Roman"/>
          <w:spacing w:val="-5"/>
          <w:sz w:val="24"/>
          <w:szCs w:val="24"/>
        </w:rPr>
        <w:t xml:space="preserve">you </w:t>
      </w:r>
      <w:r>
        <w:rPr>
          <w:rFonts w:ascii="Times New Roman" w:hAnsi="Times New Roman" w:cs="Times New Roman"/>
          <w:sz w:val="24"/>
          <w:szCs w:val="24"/>
        </w:rPr>
        <w:t>for the opportunity to submit comments on the Executive Office of Health and</w:t>
      </w:r>
      <w:r>
        <w:rPr>
          <w:rFonts w:ascii="Times New Roman" w:hAnsi="Times New Roman" w:cs="Times New Roman"/>
          <w:spacing w:val="-30"/>
          <w:sz w:val="24"/>
          <w:szCs w:val="24"/>
        </w:rPr>
        <w:t xml:space="preserve"> </w:t>
      </w:r>
      <w:r>
        <w:rPr>
          <w:rFonts w:ascii="Times New Roman" w:hAnsi="Times New Roman" w:cs="Times New Roman"/>
          <w:sz w:val="24"/>
          <w:szCs w:val="24"/>
        </w:rPr>
        <w:t>Human Services’ (EOHHS) proposed Section 1115 Demonstration Project Amendment and Extension Request (“the Request”) to restructure MassHealth to an Accountable Care Organization (ACO) model.</w:t>
      </w:r>
    </w:p>
    <w:p w:rsidR="002C5025" w:rsidRDefault="002C5025">
      <w:pPr>
        <w:pStyle w:val="BodyText"/>
        <w:kinsoku w:val="0"/>
        <w:overflowPunct w:val="0"/>
        <w:spacing w:before="197"/>
        <w:ind w:left="119" w:right="107"/>
        <w:jc w:val="both"/>
        <w:rPr>
          <w:rFonts w:ascii="Times New Roman" w:hAnsi="Times New Roman" w:cs="Times New Roman"/>
          <w:sz w:val="24"/>
          <w:szCs w:val="24"/>
        </w:rPr>
      </w:pPr>
      <w:r>
        <w:rPr>
          <w:rFonts w:ascii="Times New Roman" w:hAnsi="Times New Roman" w:cs="Times New Roman"/>
          <w:sz w:val="24"/>
          <w:szCs w:val="24"/>
        </w:rPr>
        <w:t xml:space="preserve">The Center for Health Law &amp; Policy Innovation of Harvard </w:t>
      </w:r>
      <w:r>
        <w:rPr>
          <w:rFonts w:ascii="Times New Roman" w:hAnsi="Times New Roman" w:cs="Times New Roman"/>
          <w:spacing w:val="-3"/>
          <w:sz w:val="24"/>
          <w:szCs w:val="24"/>
        </w:rPr>
        <w:t xml:space="preserve">Law </w:t>
      </w:r>
      <w:r>
        <w:rPr>
          <w:rFonts w:ascii="Times New Roman" w:hAnsi="Times New Roman" w:cs="Times New Roman"/>
          <w:sz w:val="24"/>
          <w:szCs w:val="24"/>
        </w:rPr>
        <w:t xml:space="preserve">School (CHLPI) advocates </w:t>
      </w:r>
      <w:r>
        <w:rPr>
          <w:rFonts w:ascii="Times New Roman" w:hAnsi="Times New Roman" w:cs="Times New Roman"/>
          <w:spacing w:val="-3"/>
          <w:sz w:val="24"/>
          <w:szCs w:val="24"/>
        </w:rPr>
        <w:t xml:space="preserve">for </w:t>
      </w:r>
      <w:r>
        <w:rPr>
          <w:rFonts w:ascii="Times New Roman" w:hAnsi="Times New Roman" w:cs="Times New Roman"/>
          <w:sz w:val="24"/>
          <w:szCs w:val="24"/>
        </w:rPr>
        <w:t xml:space="preserve">legal, regulatory, and policy reforms to improve the health of underserved populations, with a focus on the needs of low-income people living with chronic illnesses. As part of this work, </w:t>
      </w:r>
      <w:r>
        <w:rPr>
          <w:rFonts w:ascii="Times New Roman" w:hAnsi="Times New Roman" w:cs="Times New Roman"/>
          <w:spacing w:val="-3"/>
          <w:sz w:val="24"/>
          <w:szCs w:val="24"/>
        </w:rPr>
        <w:t xml:space="preserve">we </w:t>
      </w:r>
      <w:r>
        <w:rPr>
          <w:rFonts w:ascii="Times New Roman" w:hAnsi="Times New Roman" w:cs="Times New Roman"/>
          <w:sz w:val="24"/>
          <w:szCs w:val="24"/>
        </w:rPr>
        <w:t>collaborate</w:t>
      </w:r>
      <w:r>
        <w:rPr>
          <w:rFonts w:ascii="Times New Roman" w:hAnsi="Times New Roman" w:cs="Times New Roman"/>
          <w:spacing w:val="-10"/>
          <w:sz w:val="24"/>
          <w:szCs w:val="24"/>
        </w:rPr>
        <w:t xml:space="preserve"> </w:t>
      </w:r>
      <w:r>
        <w:rPr>
          <w:rFonts w:ascii="Times New Roman" w:hAnsi="Times New Roman" w:cs="Times New Roman"/>
          <w:sz w:val="24"/>
          <w:szCs w:val="24"/>
        </w:rPr>
        <w:t>with</w:t>
      </w:r>
      <w:r>
        <w:rPr>
          <w:rFonts w:ascii="Times New Roman" w:hAnsi="Times New Roman" w:cs="Times New Roman"/>
          <w:spacing w:val="-9"/>
          <w:sz w:val="24"/>
          <w:szCs w:val="24"/>
        </w:rPr>
        <w:t xml:space="preserve"> </w:t>
      </w:r>
      <w:r>
        <w:rPr>
          <w:rFonts w:ascii="Times New Roman" w:hAnsi="Times New Roman" w:cs="Times New Roman"/>
          <w:sz w:val="24"/>
          <w:szCs w:val="24"/>
        </w:rPr>
        <w:t>a</w:t>
      </w:r>
      <w:r>
        <w:rPr>
          <w:rFonts w:ascii="Times New Roman" w:hAnsi="Times New Roman" w:cs="Times New Roman"/>
          <w:spacing w:val="-10"/>
          <w:sz w:val="24"/>
          <w:szCs w:val="24"/>
        </w:rPr>
        <w:t xml:space="preserve"> </w:t>
      </w:r>
      <w:r>
        <w:rPr>
          <w:rFonts w:ascii="Times New Roman" w:hAnsi="Times New Roman" w:cs="Times New Roman"/>
          <w:sz w:val="24"/>
          <w:szCs w:val="24"/>
        </w:rPr>
        <w:t>number</w:t>
      </w:r>
      <w:r>
        <w:rPr>
          <w:rFonts w:ascii="Times New Roman" w:hAnsi="Times New Roman" w:cs="Times New Roman"/>
          <w:spacing w:val="-11"/>
          <w:sz w:val="24"/>
          <w:szCs w:val="24"/>
        </w:rPr>
        <w:t xml:space="preserve"> </w:t>
      </w:r>
      <w:r>
        <w:rPr>
          <w:rFonts w:ascii="Times New Roman" w:hAnsi="Times New Roman" w:cs="Times New Roman"/>
          <w:sz w:val="24"/>
          <w:szCs w:val="24"/>
        </w:rPr>
        <w:t>of</w:t>
      </w:r>
      <w:r>
        <w:rPr>
          <w:rFonts w:ascii="Times New Roman" w:hAnsi="Times New Roman" w:cs="Times New Roman"/>
          <w:spacing w:val="-8"/>
          <w:sz w:val="24"/>
          <w:szCs w:val="24"/>
        </w:rPr>
        <w:t xml:space="preserve"> </w:t>
      </w:r>
      <w:r>
        <w:rPr>
          <w:rFonts w:ascii="Times New Roman" w:hAnsi="Times New Roman" w:cs="Times New Roman"/>
          <w:sz w:val="24"/>
          <w:szCs w:val="24"/>
        </w:rPr>
        <w:t>community</w:t>
      </w:r>
      <w:r>
        <w:rPr>
          <w:rFonts w:ascii="Times New Roman" w:hAnsi="Times New Roman" w:cs="Times New Roman"/>
          <w:spacing w:val="-15"/>
          <w:sz w:val="24"/>
          <w:szCs w:val="24"/>
        </w:rPr>
        <w:t xml:space="preserve"> </w:t>
      </w:r>
      <w:r>
        <w:rPr>
          <w:rFonts w:ascii="Times New Roman" w:hAnsi="Times New Roman" w:cs="Times New Roman"/>
          <w:sz w:val="24"/>
          <w:szCs w:val="24"/>
        </w:rPr>
        <w:t>partners</w:t>
      </w:r>
      <w:r>
        <w:rPr>
          <w:rFonts w:ascii="Times New Roman" w:hAnsi="Times New Roman" w:cs="Times New Roman"/>
          <w:spacing w:val="-10"/>
          <w:sz w:val="24"/>
          <w:szCs w:val="24"/>
        </w:rPr>
        <w:t xml:space="preserve"> </w:t>
      </w:r>
      <w:r>
        <w:rPr>
          <w:rFonts w:ascii="Times New Roman" w:hAnsi="Times New Roman" w:cs="Times New Roman"/>
          <w:sz w:val="24"/>
          <w:szCs w:val="24"/>
        </w:rPr>
        <w:t>working</w:t>
      </w:r>
      <w:r>
        <w:rPr>
          <w:rFonts w:ascii="Times New Roman" w:hAnsi="Times New Roman" w:cs="Times New Roman"/>
          <w:spacing w:val="-11"/>
          <w:sz w:val="24"/>
          <w:szCs w:val="24"/>
        </w:rPr>
        <w:t xml:space="preserve"> </w:t>
      </w:r>
      <w:r>
        <w:rPr>
          <w:rFonts w:ascii="Times New Roman" w:hAnsi="Times New Roman" w:cs="Times New Roman"/>
          <w:sz w:val="24"/>
          <w:szCs w:val="24"/>
        </w:rPr>
        <w:t>to</w:t>
      </w:r>
      <w:r>
        <w:rPr>
          <w:rFonts w:ascii="Times New Roman" w:hAnsi="Times New Roman" w:cs="Times New Roman"/>
          <w:spacing w:val="-9"/>
          <w:sz w:val="24"/>
          <w:szCs w:val="24"/>
        </w:rPr>
        <w:t xml:space="preserve"> </w:t>
      </w:r>
      <w:r>
        <w:rPr>
          <w:rFonts w:ascii="Times New Roman" w:hAnsi="Times New Roman" w:cs="Times New Roman"/>
          <w:sz w:val="24"/>
          <w:szCs w:val="24"/>
        </w:rPr>
        <w:t>address</w:t>
      </w:r>
      <w:r>
        <w:rPr>
          <w:rFonts w:ascii="Times New Roman" w:hAnsi="Times New Roman" w:cs="Times New Roman"/>
          <w:spacing w:val="-9"/>
          <w:sz w:val="24"/>
          <w:szCs w:val="24"/>
        </w:rPr>
        <w:t xml:space="preserve"> </w:t>
      </w:r>
      <w:r>
        <w:rPr>
          <w:rFonts w:ascii="Times New Roman" w:hAnsi="Times New Roman" w:cs="Times New Roman"/>
          <w:sz w:val="24"/>
          <w:szCs w:val="24"/>
        </w:rPr>
        <w:t>social</w:t>
      </w:r>
      <w:r>
        <w:rPr>
          <w:rFonts w:ascii="Times New Roman" w:hAnsi="Times New Roman" w:cs="Times New Roman"/>
          <w:spacing w:val="-9"/>
          <w:sz w:val="24"/>
          <w:szCs w:val="24"/>
        </w:rPr>
        <w:t xml:space="preserve"> </w:t>
      </w:r>
      <w:r>
        <w:rPr>
          <w:rFonts w:ascii="Times New Roman" w:hAnsi="Times New Roman" w:cs="Times New Roman"/>
          <w:sz w:val="24"/>
          <w:szCs w:val="24"/>
        </w:rPr>
        <w:t>determinants</w:t>
      </w:r>
      <w:r>
        <w:rPr>
          <w:rFonts w:ascii="Times New Roman" w:hAnsi="Times New Roman" w:cs="Times New Roman"/>
          <w:spacing w:val="-9"/>
          <w:sz w:val="24"/>
          <w:szCs w:val="24"/>
        </w:rPr>
        <w:t xml:space="preserve"> </w:t>
      </w:r>
      <w:r>
        <w:rPr>
          <w:rFonts w:ascii="Times New Roman" w:hAnsi="Times New Roman" w:cs="Times New Roman"/>
          <w:sz w:val="24"/>
          <w:szCs w:val="24"/>
        </w:rPr>
        <w:t>of</w:t>
      </w:r>
      <w:r>
        <w:rPr>
          <w:rFonts w:ascii="Times New Roman" w:hAnsi="Times New Roman" w:cs="Times New Roman"/>
          <w:spacing w:val="-11"/>
          <w:sz w:val="24"/>
          <w:szCs w:val="24"/>
        </w:rPr>
        <w:t xml:space="preserve"> </w:t>
      </w:r>
      <w:r>
        <w:rPr>
          <w:rFonts w:ascii="Times New Roman" w:hAnsi="Times New Roman" w:cs="Times New Roman"/>
          <w:sz w:val="24"/>
          <w:szCs w:val="24"/>
        </w:rPr>
        <w:t xml:space="preserve">health by providing services such as medically tailored meals, housing stabilization services, </w:t>
      </w:r>
      <w:r>
        <w:rPr>
          <w:rFonts w:ascii="Times New Roman" w:hAnsi="Times New Roman" w:cs="Times New Roman"/>
          <w:spacing w:val="-3"/>
          <w:sz w:val="24"/>
          <w:szCs w:val="24"/>
        </w:rPr>
        <w:t xml:space="preserve">and </w:t>
      </w:r>
      <w:r>
        <w:rPr>
          <w:rFonts w:ascii="Times New Roman" w:hAnsi="Times New Roman" w:cs="Times New Roman"/>
          <w:sz w:val="24"/>
          <w:szCs w:val="24"/>
        </w:rPr>
        <w:t>employment supports. One of the organizations with which we collaborate is Community Servings, a Boston based not-for-profit that prepares and delivers medically tailored meals to home-bound,</w:t>
      </w:r>
      <w:r>
        <w:rPr>
          <w:rFonts w:ascii="Times New Roman" w:hAnsi="Times New Roman" w:cs="Times New Roman"/>
          <w:spacing w:val="-6"/>
          <w:sz w:val="24"/>
          <w:szCs w:val="24"/>
        </w:rPr>
        <w:t xml:space="preserve"> </w:t>
      </w:r>
      <w:r>
        <w:rPr>
          <w:rFonts w:ascii="Times New Roman" w:hAnsi="Times New Roman" w:cs="Times New Roman"/>
          <w:sz w:val="24"/>
          <w:szCs w:val="24"/>
        </w:rPr>
        <w:t>critically</w:t>
      </w:r>
      <w:r>
        <w:rPr>
          <w:rFonts w:ascii="Times New Roman" w:hAnsi="Times New Roman" w:cs="Times New Roman"/>
          <w:spacing w:val="-15"/>
          <w:sz w:val="24"/>
          <w:szCs w:val="24"/>
        </w:rPr>
        <w:t xml:space="preserve"> </w:t>
      </w:r>
      <w:r>
        <w:rPr>
          <w:rFonts w:ascii="Times New Roman" w:hAnsi="Times New Roman" w:cs="Times New Roman"/>
          <w:sz w:val="24"/>
          <w:szCs w:val="24"/>
        </w:rPr>
        <w:t>and</w:t>
      </w:r>
      <w:r>
        <w:rPr>
          <w:rFonts w:ascii="Times New Roman" w:hAnsi="Times New Roman" w:cs="Times New Roman"/>
          <w:spacing w:val="-6"/>
          <w:sz w:val="24"/>
          <w:szCs w:val="24"/>
        </w:rPr>
        <w:t xml:space="preserve"> </w:t>
      </w:r>
      <w:r>
        <w:rPr>
          <w:rFonts w:ascii="Times New Roman" w:hAnsi="Times New Roman" w:cs="Times New Roman"/>
          <w:sz w:val="24"/>
          <w:szCs w:val="24"/>
        </w:rPr>
        <w:t>chronically</w:t>
      </w:r>
      <w:r>
        <w:rPr>
          <w:rFonts w:ascii="Times New Roman" w:hAnsi="Times New Roman" w:cs="Times New Roman"/>
          <w:spacing w:val="-15"/>
          <w:sz w:val="24"/>
          <w:szCs w:val="24"/>
        </w:rPr>
        <w:t xml:space="preserve"> </w:t>
      </w:r>
      <w:r>
        <w:rPr>
          <w:rFonts w:ascii="Times New Roman" w:hAnsi="Times New Roman" w:cs="Times New Roman"/>
          <w:sz w:val="24"/>
          <w:szCs w:val="24"/>
        </w:rPr>
        <w:t>ill</w:t>
      </w:r>
      <w:r>
        <w:rPr>
          <w:rFonts w:ascii="Times New Roman" w:hAnsi="Times New Roman" w:cs="Times New Roman"/>
          <w:spacing w:val="-6"/>
          <w:sz w:val="24"/>
          <w:szCs w:val="24"/>
        </w:rPr>
        <w:t xml:space="preserve"> </w:t>
      </w:r>
      <w:r>
        <w:rPr>
          <w:rFonts w:ascii="Times New Roman" w:hAnsi="Times New Roman" w:cs="Times New Roman"/>
          <w:sz w:val="24"/>
          <w:szCs w:val="24"/>
        </w:rPr>
        <w:t>individuals</w:t>
      </w:r>
      <w:r>
        <w:rPr>
          <w:rFonts w:ascii="Times New Roman" w:hAnsi="Times New Roman" w:cs="Times New Roman"/>
          <w:spacing w:val="-6"/>
          <w:sz w:val="24"/>
          <w:szCs w:val="24"/>
        </w:rPr>
        <w:t xml:space="preserve"> </w:t>
      </w:r>
      <w:r>
        <w:rPr>
          <w:rFonts w:ascii="Times New Roman" w:hAnsi="Times New Roman" w:cs="Times New Roman"/>
          <w:sz w:val="24"/>
          <w:szCs w:val="24"/>
        </w:rPr>
        <w:t>throughout</w:t>
      </w:r>
      <w:r>
        <w:rPr>
          <w:rFonts w:ascii="Times New Roman" w:hAnsi="Times New Roman" w:cs="Times New Roman"/>
          <w:spacing w:val="-6"/>
          <w:sz w:val="24"/>
          <w:szCs w:val="24"/>
        </w:rPr>
        <w:t xml:space="preserve"> </w:t>
      </w:r>
      <w:r>
        <w:rPr>
          <w:rFonts w:ascii="Times New Roman" w:hAnsi="Times New Roman" w:cs="Times New Roman"/>
          <w:sz w:val="24"/>
          <w:szCs w:val="24"/>
        </w:rPr>
        <w:t>Massachusetts.</w:t>
      </w:r>
    </w:p>
    <w:p w:rsidR="002C5025" w:rsidRDefault="002C5025">
      <w:pPr>
        <w:pStyle w:val="BodyText"/>
        <w:kinsoku w:val="0"/>
        <w:overflowPunct w:val="0"/>
        <w:spacing w:before="197"/>
        <w:ind w:left="119" w:right="115"/>
        <w:jc w:val="both"/>
        <w:rPr>
          <w:rFonts w:ascii="Times New Roman" w:hAnsi="Times New Roman" w:cs="Times New Roman"/>
          <w:sz w:val="24"/>
          <w:szCs w:val="24"/>
        </w:rPr>
      </w:pPr>
      <w:r>
        <w:rPr>
          <w:rFonts w:ascii="Times New Roman" w:hAnsi="Times New Roman" w:cs="Times New Roman"/>
          <w:sz w:val="24"/>
          <w:szCs w:val="24"/>
        </w:rPr>
        <w:t>We applaud EOHHS’ commitment to prioritizing social determinants of health as part of the MassHealth ACO model. Addressing social determinants of health, especially access to healthy and medically-appropriate food, is vital to patient-centered care because of the significant impact that social determinants can have on health outcomes.</w:t>
      </w:r>
    </w:p>
    <w:p w:rsidR="002C5025" w:rsidRDefault="002C5025">
      <w:pPr>
        <w:pStyle w:val="BodyText"/>
        <w:kinsoku w:val="0"/>
        <w:overflowPunct w:val="0"/>
        <w:spacing w:before="205" w:line="276" w:lineRule="exact"/>
        <w:ind w:left="120" w:right="114"/>
        <w:jc w:val="both"/>
        <w:rPr>
          <w:rFonts w:ascii="Times New Roman" w:hAnsi="Times New Roman" w:cs="Times New Roman"/>
          <w:sz w:val="24"/>
          <w:szCs w:val="24"/>
        </w:rPr>
      </w:pPr>
      <w:r>
        <w:rPr>
          <w:rFonts w:ascii="Times New Roman" w:hAnsi="Times New Roman" w:cs="Times New Roman"/>
          <w:sz w:val="24"/>
          <w:szCs w:val="24"/>
        </w:rPr>
        <w:t>Food insecurity occurs “whenever the availability of nutritionally adequate and safe foods or the ability</w:t>
      </w:r>
      <w:r>
        <w:rPr>
          <w:rFonts w:ascii="Times New Roman" w:hAnsi="Times New Roman" w:cs="Times New Roman"/>
          <w:spacing w:val="-24"/>
          <w:sz w:val="24"/>
          <w:szCs w:val="24"/>
        </w:rPr>
        <w:t xml:space="preserve"> </w:t>
      </w:r>
      <w:r>
        <w:rPr>
          <w:rFonts w:ascii="Times New Roman" w:hAnsi="Times New Roman" w:cs="Times New Roman"/>
          <w:sz w:val="24"/>
          <w:szCs w:val="24"/>
        </w:rPr>
        <w:t>to</w:t>
      </w:r>
      <w:r>
        <w:rPr>
          <w:rFonts w:ascii="Times New Roman" w:hAnsi="Times New Roman" w:cs="Times New Roman"/>
          <w:spacing w:val="-11"/>
          <w:sz w:val="24"/>
          <w:szCs w:val="24"/>
        </w:rPr>
        <w:t xml:space="preserve"> </w:t>
      </w:r>
      <w:r>
        <w:rPr>
          <w:rFonts w:ascii="Times New Roman" w:hAnsi="Times New Roman" w:cs="Times New Roman"/>
          <w:sz w:val="24"/>
          <w:szCs w:val="24"/>
        </w:rPr>
        <w:t>acquire</w:t>
      </w:r>
      <w:r>
        <w:rPr>
          <w:rFonts w:ascii="Times New Roman" w:hAnsi="Times New Roman" w:cs="Times New Roman"/>
          <w:spacing w:val="-14"/>
          <w:sz w:val="24"/>
          <w:szCs w:val="24"/>
        </w:rPr>
        <w:t xml:space="preserve"> </w:t>
      </w:r>
      <w:r>
        <w:rPr>
          <w:rFonts w:ascii="Times New Roman" w:hAnsi="Times New Roman" w:cs="Times New Roman"/>
          <w:sz w:val="24"/>
          <w:szCs w:val="24"/>
        </w:rPr>
        <w:t>acceptable</w:t>
      </w:r>
      <w:r>
        <w:rPr>
          <w:rFonts w:ascii="Times New Roman" w:hAnsi="Times New Roman" w:cs="Times New Roman"/>
          <w:spacing w:val="-12"/>
          <w:sz w:val="24"/>
          <w:szCs w:val="24"/>
        </w:rPr>
        <w:t xml:space="preserve"> </w:t>
      </w:r>
      <w:r>
        <w:rPr>
          <w:rFonts w:ascii="Times New Roman" w:hAnsi="Times New Roman" w:cs="Times New Roman"/>
          <w:sz w:val="24"/>
          <w:szCs w:val="24"/>
        </w:rPr>
        <w:t>foods</w:t>
      </w:r>
      <w:r>
        <w:rPr>
          <w:rFonts w:ascii="Times New Roman" w:hAnsi="Times New Roman" w:cs="Times New Roman"/>
          <w:spacing w:val="-10"/>
          <w:sz w:val="24"/>
          <w:szCs w:val="24"/>
        </w:rPr>
        <w:t xml:space="preserve"> </w:t>
      </w:r>
      <w:r>
        <w:rPr>
          <w:rFonts w:ascii="Times New Roman" w:hAnsi="Times New Roman" w:cs="Times New Roman"/>
          <w:sz w:val="24"/>
          <w:szCs w:val="24"/>
        </w:rPr>
        <w:t>in</w:t>
      </w:r>
      <w:r>
        <w:rPr>
          <w:rFonts w:ascii="Times New Roman" w:hAnsi="Times New Roman" w:cs="Times New Roman"/>
          <w:spacing w:val="-11"/>
          <w:sz w:val="24"/>
          <w:szCs w:val="24"/>
        </w:rPr>
        <w:t xml:space="preserve"> </w:t>
      </w:r>
      <w:r>
        <w:rPr>
          <w:rFonts w:ascii="Times New Roman" w:hAnsi="Times New Roman" w:cs="Times New Roman"/>
          <w:sz w:val="24"/>
          <w:szCs w:val="24"/>
        </w:rPr>
        <w:t>socially</w:t>
      </w:r>
      <w:r>
        <w:rPr>
          <w:rFonts w:ascii="Times New Roman" w:hAnsi="Times New Roman" w:cs="Times New Roman"/>
          <w:spacing w:val="-24"/>
          <w:sz w:val="24"/>
          <w:szCs w:val="24"/>
        </w:rPr>
        <w:t xml:space="preserve"> </w:t>
      </w:r>
      <w:r>
        <w:rPr>
          <w:rFonts w:ascii="Times New Roman" w:hAnsi="Times New Roman" w:cs="Times New Roman"/>
          <w:sz w:val="24"/>
          <w:szCs w:val="24"/>
        </w:rPr>
        <w:t>acceptable</w:t>
      </w:r>
      <w:r>
        <w:rPr>
          <w:rFonts w:ascii="Times New Roman" w:hAnsi="Times New Roman" w:cs="Times New Roman"/>
          <w:spacing w:val="-14"/>
          <w:sz w:val="24"/>
          <w:szCs w:val="24"/>
        </w:rPr>
        <w:t xml:space="preserve"> </w:t>
      </w:r>
      <w:r>
        <w:rPr>
          <w:rFonts w:ascii="Times New Roman" w:hAnsi="Times New Roman" w:cs="Times New Roman"/>
          <w:sz w:val="24"/>
          <w:szCs w:val="24"/>
        </w:rPr>
        <w:t>ways</w:t>
      </w:r>
      <w:r>
        <w:rPr>
          <w:rFonts w:ascii="Times New Roman" w:hAnsi="Times New Roman" w:cs="Times New Roman"/>
          <w:spacing w:val="-13"/>
          <w:sz w:val="24"/>
          <w:szCs w:val="24"/>
        </w:rPr>
        <w:t xml:space="preserve"> </w:t>
      </w:r>
      <w:r>
        <w:rPr>
          <w:rFonts w:ascii="Times New Roman" w:hAnsi="Times New Roman" w:cs="Times New Roman"/>
          <w:sz w:val="24"/>
          <w:szCs w:val="24"/>
        </w:rPr>
        <w:t>is</w:t>
      </w:r>
      <w:r>
        <w:rPr>
          <w:rFonts w:ascii="Times New Roman" w:hAnsi="Times New Roman" w:cs="Times New Roman"/>
          <w:spacing w:val="-10"/>
          <w:sz w:val="24"/>
          <w:szCs w:val="24"/>
        </w:rPr>
        <w:t xml:space="preserve"> </w:t>
      </w:r>
      <w:r>
        <w:rPr>
          <w:rFonts w:ascii="Times New Roman" w:hAnsi="Times New Roman" w:cs="Times New Roman"/>
          <w:sz w:val="24"/>
          <w:szCs w:val="24"/>
        </w:rPr>
        <w:t>limited</w:t>
      </w:r>
      <w:r>
        <w:rPr>
          <w:rFonts w:ascii="Times New Roman" w:hAnsi="Times New Roman" w:cs="Times New Roman"/>
          <w:spacing w:val="-11"/>
          <w:sz w:val="24"/>
          <w:szCs w:val="24"/>
        </w:rPr>
        <w:t xml:space="preserve"> </w:t>
      </w:r>
      <w:r>
        <w:rPr>
          <w:rFonts w:ascii="Times New Roman" w:hAnsi="Times New Roman" w:cs="Times New Roman"/>
          <w:sz w:val="24"/>
          <w:szCs w:val="24"/>
        </w:rPr>
        <w:t>or</w:t>
      </w:r>
      <w:r>
        <w:rPr>
          <w:rFonts w:ascii="Times New Roman" w:hAnsi="Times New Roman" w:cs="Times New Roman"/>
          <w:spacing w:val="-15"/>
          <w:sz w:val="24"/>
          <w:szCs w:val="24"/>
        </w:rPr>
        <w:t xml:space="preserve"> </w:t>
      </w:r>
      <w:r>
        <w:rPr>
          <w:rFonts w:ascii="Times New Roman" w:hAnsi="Times New Roman" w:cs="Times New Roman"/>
          <w:sz w:val="24"/>
          <w:szCs w:val="24"/>
        </w:rPr>
        <w:t>uncertain.”</w:t>
      </w:r>
      <w:r>
        <w:rPr>
          <w:rFonts w:ascii="Times New Roman" w:hAnsi="Times New Roman" w:cs="Times New Roman"/>
          <w:position w:val="9"/>
          <w:sz w:val="16"/>
          <w:szCs w:val="16"/>
        </w:rPr>
        <w:t>1</w:t>
      </w:r>
      <w:r>
        <w:rPr>
          <w:rFonts w:ascii="Times New Roman" w:hAnsi="Times New Roman" w:cs="Times New Roman"/>
          <w:spacing w:val="18"/>
          <w:position w:val="9"/>
          <w:sz w:val="16"/>
          <w:szCs w:val="16"/>
        </w:rPr>
        <w:t xml:space="preserve"> </w:t>
      </w:r>
      <w:r>
        <w:rPr>
          <w:rFonts w:ascii="Times New Roman" w:hAnsi="Times New Roman" w:cs="Times New Roman"/>
          <w:spacing w:val="-4"/>
          <w:sz w:val="24"/>
          <w:szCs w:val="24"/>
        </w:rPr>
        <w:t>In</w:t>
      </w:r>
      <w:r>
        <w:rPr>
          <w:rFonts w:ascii="Times New Roman" w:hAnsi="Times New Roman" w:cs="Times New Roman"/>
          <w:spacing w:val="-11"/>
          <w:sz w:val="24"/>
          <w:szCs w:val="24"/>
        </w:rPr>
        <w:t xml:space="preserve"> </w:t>
      </w:r>
      <w:r>
        <w:rPr>
          <w:rFonts w:ascii="Times New Roman" w:hAnsi="Times New Roman" w:cs="Times New Roman"/>
          <w:sz w:val="24"/>
          <w:szCs w:val="24"/>
        </w:rPr>
        <w:t>general,</w:t>
      </w:r>
    </w:p>
    <w:p w:rsidR="002C5025" w:rsidRDefault="002C5025">
      <w:pPr>
        <w:pStyle w:val="BodyText"/>
        <w:kinsoku w:val="0"/>
        <w:overflowPunct w:val="0"/>
        <w:rPr>
          <w:rFonts w:ascii="Times New Roman" w:hAnsi="Times New Roman" w:cs="Times New Roman"/>
          <w:sz w:val="20"/>
          <w:szCs w:val="20"/>
        </w:rPr>
      </w:pPr>
    </w:p>
    <w:p w:rsidR="002C5025" w:rsidRDefault="00FB027C">
      <w:pPr>
        <w:pStyle w:val="BodyText"/>
        <w:kinsoku w:val="0"/>
        <w:overflowPunct w:val="0"/>
        <w:spacing w:before="5"/>
        <w:rPr>
          <w:rFonts w:ascii="Times New Roman" w:hAnsi="Times New Roman" w:cs="Times New Roman"/>
          <w:sz w:val="11"/>
          <w:szCs w:val="11"/>
        </w:rPr>
      </w:pPr>
      <w:r>
        <w:rPr>
          <w:noProof/>
        </w:rPr>
        <mc:AlternateContent>
          <mc:Choice Requires="wps">
            <w:drawing>
              <wp:anchor distT="0" distB="0" distL="0" distR="0" simplePos="0" relativeHeight="251545088" behindDoc="0" locked="0" layoutInCell="0" allowOverlap="1">
                <wp:simplePos x="0" y="0"/>
                <wp:positionH relativeFrom="page">
                  <wp:posOffset>923925</wp:posOffset>
                </wp:positionH>
                <wp:positionV relativeFrom="paragraph">
                  <wp:posOffset>113665</wp:posOffset>
                </wp:positionV>
                <wp:extent cx="1829435" cy="12700"/>
                <wp:effectExtent l="0" t="0" r="0" b="0"/>
                <wp:wrapTopAndBottom/>
                <wp:docPr id="784" name="Freeform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1 w 2881"/>
                            <a:gd name="T3" fmla="*/ 0 h 20"/>
                          </a:gdLst>
                          <a:ahLst/>
                          <a:cxnLst>
                            <a:cxn ang="0">
                              <a:pos x="T0" y="T1"/>
                            </a:cxn>
                            <a:cxn ang="0">
                              <a:pos x="T2" y="T3"/>
                            </a:cxn>
                          </a:cxnLst>
                          <a:rect l="0" t="0" r="r" b="b"/>
                          <a:pathLst>
                            <a:path w="2881" h="20">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41" o:spid="_x0000_s1026" style="position:absolute;z-index:25154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2.75pt,8.95pt,216.8pt,8.95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" o:allowincell="f" filled="f" strokeweight=".82pt">
                <v:path arrowok="t" o:connecttype="custom" o:connectlocs="0,0;1829435,0" o:connectangles="0,0"/>
                <w10:wrap type="topAndBottom" anchorx="page"/>
              </v:polyline>
            </w:pict>
          </mc:Fallback>
        </mc:AlternateContent>
      </w:r>
    </w:p>
    <w:p w:rsidR="002C5025" w:rsidRDefault="002C5025">
      <w:pPr>
        <w:pStyle w:val="BodyText"/>
        <w:kinsoku w:val="0"/>
        <w:overflowPunct w:val="0"/>
        <w:spacing w:before="60"/>
        <w:ind w:left="119" w:right="301"/>
        <w:rPr>
          <w:rFonts w:ascii="Times New Roman" w:hAnsi="Times New Roman" w:cs="Times New Roman"/>
          <w:sz w:val="18"/>
          <w:szCs w:val="18"/>
        </w:rPr>
      </w:pPr>
      <w:r>
        <w:rPr>
          <w:rFonts w:ascii="Times New Roman" w:hAnsi="Times New Roman" w:cs="Times New Roman"/>
          <w:position w:val="6"/>
          <w:sz w:val="12"/>
          <w:szCs w:val="12"/>
        </w:rPr>
        <w:t xml:space="preserve">1 </w:t>
      </w:r>
      <w:r>
        <w:rPr>
          <w:rFonts w:ascii="Times New Roman" w:hAnsi="Times New Roman" w:cs="Times New Roman"/>
          <w:sz w:val="18"/>
          <w:szCs w:val="18"/>
        </w:rPr>
        <w:t xml:space="preserve">David A. </w:t>
      </w:r>
      <w:proofErr w:type="spellStart"/>
      <w:r>
        <w:rPr>
          <w:rFonts w:ascii="Times New Roman" w:hAnsi="Times New Roman" w:cs="Times New Roman"/>
          <w:sz w:val="18"/>
          <w:szCs w:val="18"/>
        </w:rPr>
        <w:t>Himmelgreen</w:t>
      </w:r>
      <w:proofErr w:type="spellEnd"/>
      <w:r>
        <w:rPr>
          <w:rFonts w:ascii="Times New Roman" w:hAnsi="Times New Roman" w:cs="Times New Roman"/>
          <w:sz w:val="18"/>
          <w:szCs w:val="18"/>
        </w:rPr>
        <w:t xml:space="preserve"> et al., </w:t>
      </w:r>
      <w:r>
        <w:rPr>
          <w:rFonts w:ascii="Times New Roman" w:hAnsi="Times New Roman" w:cs="Times New Roman"/>
          <w:i/>
          <w:iCs/>
          <w:sz w:val="18"/>
          <w:szCs w:val="18"/>
        </w:rPr>
        <w:t>A Comparison of the Nutritional Status and Food Security of Drug-Using and Non-Drug-Using Hispanic Women in Hartford</w:t>
      </w:r>
      <w:r>
        <w:rPr>
          <w:rFonts w:ascii="Times New Roman" w:hAnsi="Times New Roman" w:cs="Times New Roman"/>
          <w:sz w:val="18"/>
          <w:szCs w:val="18"/>
        </w:rPr>
        <w:t xml:space="preserve">, </w:t>
      </w:r>
      <w:r>
        <w:rPr>
          <w:rFonts w:ascii="Times New Roman" w:hAnsi="Times New Roman" w:cs="Times New Roman"/>
          <w:i/>
          <w:iCs/>
          <w:sz w:val="18"/>
          <w:szCs w:val="18"/>
        </w:rPr>
        <w:t>Connecticut</w:t>
      </w:r>
      <w:r>
        <w:rPr>
          <w:rFonts w:ascii="Times New Roman" w:hAnsi="Times New Roman" w:cs="Times New Roman"/>
          <w:sz w:val="18"/>
          <w:szCs w:val="18"/>
        </w:rPr>
        <w:t>, 107 A</w:t>
      </w:r>
      <w:r>
        <w:rPr>
          <w:rFonts w:ascii="Times New Roman" w:hAnsi="Times New Roman" w:cs="Times New Roman"/>
          <w:sz w:val="14"/>
          <w:szCs w:val="14"/>
        </w:rPr>
        <w:t>M</w:t>
      </w:r>
      <w:r>
        <w:rPr>
          <w:rFonts w:ascii="Times New Roman" w:hAnsi="Times New Roman" w:cs="Times New Roman"/>
          <w:sz w:val="18"/>
          <w:szCs w:val="18"/>
        </w:rPr>
        <w:t>. J. P</w:t>
      </w:r>
      <w:r>
        <w:rPr>
          <w:rFonts w:ascii="Times New Roman" w:hAnsi="Times New Roman" w:cs="Times New Roman"/>
          <w:sz w:val="14"/>
          <w:szCs w:val="14"/>
        </w:rPr>
        <w:t>HYS</w:t>
      </w:r>
      <w:r>
        <w:rPr>
          <w:rFonts w:ascii="Times New Roman" w:hAnsi="Times New Roman" w:cs="Times New Roman"/>
          <w:sz w:val="18"/>
          <w:szCs w:val="18"/>
        </w:rPr>
        <w:t>. A</w:t>
      </w:r>
      <w:r>
        <w:rPr>
          <w:rFonts w:ascii="Times New Roman" w:hAnsi="Times New Roman" w:cs="Times New Roman"/>
          <w:sz w:val="14"/>
          <w:szCs w:val="14"/>
        </w:rPr>
        <w:t>NTHROP</w:t>
      </w:r>
      <w:r>
        <w:rPr>
          <w:rFonts w:ascii="Times New Roman" w:hAnsi="Times New Roman" w:cs="Times New Roman"/>
          <w:sz w:val="18"/>
          <w:szCs w:val="18"/>
        </w:rPr>
        <w:t>. 353 (1998).</w:t>
      </w:r>
    </w:p>
    <w:p w:rsidR="002C5025" w:rsidRDefault="002C5025">
      <w:pPr>
        <w:pStyle w:val="BodyText"/>
        <w:kinsoku w:val="0"/>
        <w:overflowPunct w:val="0"/>
        <w:spacing w:line="251" w:lineRule="exact"/>
        <w:ind w:left="4"/>
        <w:jc w:val="center"/>
        <w:rPr>
          <w:rFonts w:ascii="Times New Roman" w:hAnsi="Times New Roman" w:cs="Times New Roman"/>
        </w:rPr>
      </w:pPr>
      <w:r>
        <w:rPr>
          <w:rFonts w:ascii="Times New Roman" w:hAnsi="Times New Roman" w:cs="Times New Roman"/>
        </w:rPr>
        <w:t>1</w:t>
      </w:r>
    </w:p>
    <w:p w:rsidR="002C5025" w:rsidRDefault="002C5025">
      <w:pPr>
        <w:pStyle w:val="BodyText"/>
        <w:kinsoku w:val="0"/>
        <w:overflowPunct w:val="0"/>
        <w:spacing w:line="251" w:lineRule="exact"/>
        <w:ind w:left="4"/>
        <w:jc w:val="center"/>
        <w:rPr>
          <w:rFonts w:ascii="Times New Roman" w:hAnsi="Times New Roman" w:cs="Times New Roman"/>
        </w:rPr>
        <w:sectPr w:rsidR="002C5025">
          <w:pgSz w:w="12240" w:h="15840"/>
          <w:pgMar w:top="1500" w:right="1320" w:bottom="280" w:left="1320" w:header="720" w:footer="720" w:gutter="0"/>
          <w:cols w:space="720" w:equalWidth="0">
            <w:col w:w="9600"/>
          </w:cols>
          <w:noEndnote/>
        </w:sectPr>
      </w:pPr>
    </w:p>
    <w:p w:rsidR="002C5025" w:rsidRDefault="002C5025">
      <w:pPr>
        <w:pStyle w:val="BodyText"/>
        <w:kinsoku w:val="0"/>
        <w:overflowPunct w:val="0"/>
        <w:spacing w:before="9"/>
        <w:rPr>
          <w:rFonts w:ascii="Times New Roman" w:hAnsi="Times New Roman" w:cs="Times New Roman"/>
          <w:sz w:val="10"/>
          <w:szCs w:val="10"/>
        </w:rPr>
      </w:pPr>
    </w:p>
    <w:p w:rsidR="002C5025" w:rsidRDefault="002C5025">
      <w:pPr>
        <w:pStyle w:val="BodyText"/>
        <w:kinsoku w:val="0"/>
        <w:overflowPunct w:val="0"/>
        <w:spacing w:before="74" w:line="235" w:lineRule="auto"/>
        <w:ind w:left="119" w:right="108"/>
        <w:jc w:val="both"/>
        <w:rPr>
          <w:rFonts w:ascii="Times New Roman" w:hAnsi="Times New Roman" w:cs="Times New Roman"/>
          <w:position w:val="9"/>
          <w:sz w:val="16"/>
          <w:szCs w:val="16"/>
        </w:rPr>
      </w:pPr>
      <w:r>
        <w:rPr>
          <w:rFonts w:ascii="Times New Roman" w:hAnsi="Times New Roman" w:cs="Times New Roman"/>
          <w:sz w:val="24"/>
          <w:szCs w:val="24"/>
        </w:rPr>
        <w:t>food insecurity is linked to “poor child development, increased hospitalizations, anemia, asthma, suicidal ideation, depression and anxiety, diabetes, and chronic disease.”</w:t>
      </w:r>
      <w:r>
        <w:rPr>
          <w:rFonts w:ascii="Times New Roman" w:hAnsi="Times New Roman" w:cs="Times New Roman"/>
          <w:position w:val="9"/>
          <w:sz w:val="16"/>
          <w:szCs w:val="16"/>
        </w:rPr>
        <w:t xml:space="preserve">2 </w:t>
      </w:r>
      <w:r>
        <w:rPr>
          <w:rFonts w:ascii="Times New Roman" w:hAnsi="Times New Roman" w:cs="Times New Roman"/>
          <w:sz w:val="24"/>
          <w:szCs w:val="24"/>
        </w:rPr>
        <w:t>By offering nutritional counseling</w:t>
      </w:r>
      <w:r>
        <w:rPr>
          <w:rFonts w:ascii="Times New Roman" w:hAnsi="Times New Roman" w:cs="Times New Roman"/>
          <w:spacing w:val="-10"/>
          <w:sz w:val="24"/>
          <w:szCs w:val="24"/>
        </w:rPr>
        <w:t xml:space="preserve"> </w:t>
      </w:r>
      <w:r>
        <w:rPr>
          <w:rFonts w:ascii="Times New Roman" w:hAnsi="Times New Roman" w:cs="Times New Roman"/>
          <w:sz w:val="24"/>
          <w:szCs w:val="24"/>
        </w:rPr>
        <w:t>and</w:t>
      </w:r>
      <w:r>
        <w:rPr>
          <w:rFonts w:ascii="Times New Roman" w:hAnsi="Times New Roman" w:cs="Times New Roman"/>
          <w:spacing w:val="-7"/>
          <w:sz w:val="24"/>
          <w:szCs w:val="24"/>
        </w:rPr>
        <w:t xml:space="preserve"> </w:t>
      </w:r>
      <w:r>
        <w:rPr>
          <w:rFonts w:ascii="Times New Roman" w:hAnsi="Times New Roman" w:cs="Times New Roman"/>
          <w:sz w:val="24"/>
          <w:szCs w:val="24"/>
        </w:rPr>
        <w:t>directly</w:t>
      </w:r>
      <w:r>
        <w:rPr>
          <w:rFonts w:ascii="Times New Roman" w:hAnsi="Times New Roman" w:cs="Times New Roman"/>
          <w:spacing w:val="-16"/>
          <w:sz w:val="24"/>
          <w:szCs w:val="24"/>
        </w:rPr>
        <w:t xml:space="preserve"> </w:t>
      </w:r>
      <w:r>
        <w:rPr>
          <w:rFonts w:ascii="Times New Roman" w:hAnsi="Times New Roman" w:cs="Times New Roman"/>
          <w:sz w:val="24"/>
          <w:szCs w:val="24"/>
        </w:rPr>
        <w:t>providing</w:t>
      </w:r>
      <w:r>
        <w:rPr>
          <w:rFonts w:ascii="Times New Roman" w:hAnsi="Times New Roman" w:cs="Times New Roman"/>
          <w:spacing w:val="-10"/>
          <w:sz w:val="24"/>
          <w:szCs w:val="24"/>
        </w:rPr>
        <w:t xml:space="preserve"> </w:t>
      </w:r>
      <w:r>
        <w:rPr>
          <w:rFonts w:ascii="Times New Roman" w:hAnsi="Times New Roman" w:cs="Times New Roman"/>
          <w:sz w:val="24"/>
          <w:szCs w:val="24"/>
        </w:rPr>
        <w:t>healthy,</w:t>
      </w:r>
      <w:r>
        <w:rPr>
          <w:rFonts w:ascii="Times New Roman" w:hAnsi="Times New Roman" w:cs="Times New Roman"/>
          <w:spacing w:val="-7"/>
          <w:sz w:val="24"/>
          <w:szCs w:val="24"/>
        </w:rPr>
        <w:t xml:space="preserve"> </w:t>
      </w:r>
      <w:r>
        <w:rPr>
          <w:rFonts w:ascii="Times New Roman" w:hAnsi="Times New Roman" w:cs="Times New Roman"/>
          <w:sz w:val="24"/>
          <w:szCs w:val="24"/>
        </w:rPr>
        <w:t>medically-appropriate</w:t>
      </w:r>
      <w:r>
        <w:rPr>
          <w:rFonts w:ascii="Times New Roman" w:hAnsi="Times New Roman" w:cs="Times New Roman"/>
          <w:spacing w:val="-8"/>
          <w:sz w:val="24"/>
          <w:szCs w:val="24"/>
        </w:rPr>
        <w:t xml:space="preserve"> </w:t>
      </w:r>
      <w:r>
        <w:rPr>
          <w:rFonts w:ascii="Times New Roman" w:hAnsi="Times New Roman" w:cs="Times New Roman"/>
          <w:sz w:val="24"/>
          <w:szCs w:val="24"/>
        </w:rPr>
        <w:t>food,</w:t>
      </w:r>
      <w:r>
        <w:rPr>
          <w:rFonts w:ascii="Times New Roman" w:hAnsi="Times New Roman" w:cs="Times New Roman"/>
          <w:spacing w:val="-5"/>
          <w:sz w:val="24"/>
          <w:szCs w:val="24"/>
        </w:rPr>
        <w:t xml:space="preserve"> </w:t>
      </w:r>
      <w:r>
        <w:rPr>
          <w:rFonts w:ascii="Times New Roman" w:hAnsi="Times New Roman" w:cs="Times New Roman"/>
          <w:sz w:val="24"/>
          <w:szCs w:val="24"/>
        </w:rPr>
        <w:t>food</w:t>
      </w:r>
      <w:r>
        <w:rPr>
          <w:rFonts w:ascii="Times New Roman" w:hAnsi="Times New Roman" w:cs="Times New Roman"/>
          <w:spacing w:val="-7"/>
          <w:sz w:val="24"/>
          <w:szCs w:val="24"/>
        </w:rPr>
        <w:t xml:space="preserve"> </w:t>
      </w:r>
      <w:r>
        <w:rPr>
          <w:rFonts w:ascii="Times New Roman" w:hAnsi="Times New Roman" w:cs="Times New Roman"/>
          <w:sz w:val="24"/>
          <w:szCs w:val="24"/>
        </w:rPr>
        <w:t>and</w:t>
      </w:r>
      <w:r>
        <w:rPr>
          <w:rFonts w:ascii="Times New Roman" w:hAnsi="Times New Roman" w:cs="Times New Roman"/>
          <w:spacing w:val="-7"/>
          <w:sz w:val="24"/>
          <w:szCs w:val="24"/>
        </w:rPr>
        <w:t xml:space="preserve"> </w:t>
      </w:r>
      <w:r>
        <w:rPr>
          <w:rFonts w:ascii="Times New Roman" w:hAnsi="Times New Roman" w:cs="Times New Roman"/>
          <w:sz w:val="24"/>
          <w:szCs w:val="24"/>
        </w:rPr>
        <w:t>nutrition</w:t>
      </w:r>
      <w:r>
        <w:rPr>
          <w:rFonts w:ascii="Times New Roman" w:hAnsi="Times New Roman" w:cs="Times New Roman"/>
          <w:spacing w:val="-7"/>
          <w:sz w:val="24"/>
          <w:szCs w:val="24"/>
        </w:rPr>
        <w:t xml:space="preserve"> </w:t>
      </w:r>
      <w:r>
        <w:rPr>
          <w:rFonts w:ascii="Times New Roman" w:hAnsi="Times New Roman" w:cs="Times New Roman"/>
          <w:sz w:val="24"/>
          <w:szCs w:val="24"/>
        </w:rPr>
        <w:t>services (FNS) improve these health outcomes. Provision of FNS has been shown to reduce emergency room</w:t>
      </w:r>
      <w:r>
        <w:rPr>
          <w:rFonts w:ascii="Times New Roman" w:hAnsi="Times New Roman" w:cs="Times New Roman"/>
          <w:spacing w:val="-6"/>
          <w:sz w:val="24"/>
          <w:szCs w:val="24"/>
        </w:rPr>
        <w:t xml:space="preserve"> </w:t>
      </w:r>
      <w:r>
        <w:rPr>
          <w:rFonts w:ascii="Times New Roman" w:hAnsi="Times New Roman" w:cs="Times New Roman"/>
          <w:sz w:val="24"/>
          <w:szCs w:val="24"/>
        </w:rPr>
        <w:t>visits</w:t>
      </w:r>
      <w:r>
        <w:rPr>
          <w:rFonts w:ascii="Times New Roman" w:hAnsi="Times New Roman" w:cs="Times New Roman"/>
          <w:spacing w:val="-6"/>
          <w:sz w:val="24"/>
          <w:szCs w:val="24"/>
        </w:rPr>
        <w:t xml:space="preserve"> </w:t>
      </w:r>
      <w:r>
        <w:rPr>
          <w:rFonts w:ascii="Times New Roman" w:hAnsi="Times New Roman" w:cs="Times New Roman"/>
          <w:sz w:val="24"/>
          <w:szCs w:val="24"/>
        </w:rPr>
        <w:t>and</w:t>
      </w:r>
      <w:r>
        <w:rPr>
          <w:rFonts w:ascii="Times New Roman" w:hAnsi="Times New Roman" w:cs="Times New Roman"/>
          <w:spacing w:val="-6"/>
          <w:sz w:val="24"/>
          <w:szCs w:val="24"/>
        </w:rPr>
        <w:t xml:space="preserve"> </w:t>
      </w:r>
      <w:r>
        <w:rPr>
          <w:rFonts w:ascii="Times New Roman" w:hAnsi="Times New Roman" w:cs="Times New Roman"/>
          <w:sz w:val="24"/>
          <w:szCs w:val="24"/>
        </w:rPr>
        <w:t>hospital</w:t>
      </w:r>
      <w:r>
        <w:rPr>
          <w:rFonts w:ascii="Times New Roman" w:hAnsi="Times New Roman" w:cs="Times New Roman"/>
          <w:spacing w:val="-6"/>
          <w:sz w:val="24"/>
          <w:szCs w:val="24"/>
        </w:rPr>
        <w:t xml:space="preserve"> </w:t>
      </w:r>
      <w:r>
        <w:rPr>
          <w:rFonts w:ascii="Times New Roman" w:hAnsi="Times New Roman" w:cs="Times New Roman"/>
          <w:sz w:val="24"/>
          <w:szCs w:val="24"/>
        </w:rPr>
        <w:t>stays,</w:t>
      </w:r>
      <w:r>
        <w:rPr>
          <w:rFonts w:ascii="Times New Roman" w:hAnsi="Times New Roman" w:cs="Times New Roman"/>
          <w:spacing w:val="-6"/>
          <w:sz w:val="24"/>
          <w:szCs w:val="24"/>
        </w:rPr>
        <w:t xml:space="preserve"> </w:t>
      </w:r>
      <w:r>
        <w:rPr>
          <w:rFonts w:ascii="Times New Roman" w:hAnsi="Times New Roman" w:cs="Times New Roman"/>
          <w:sz w:val="24"/>
          <w:szCs w:val="24"/>
        </w:rPr>
        <w:t>enhance</w:t>
      </w:r>
      <w:r>
        <w:rPr>
          <w:rFonts w:ascii="Times New Roman" w:hAnsi="Times New Roman" w:cs="Times New Roman"/>
          <w:spacing w:val="-7"/>
          <w:sz w:val="24"/>
          <w:szCs w:val="24"/>
        </w:rPr>
        <w:t xml:space="preserve"> </w:t>
      </w:r>
      <w:r>
        <w:rPr>
          <w:rFonts w:ascii="Times New Roman" w:hAnsi="Times New Roman" w:cs="Times New Roman"/>
          <w:sz w:val="24"/>
          <w:szCs w:val="24"/>
        </w:rPr>
        <w:t>treatment</w:t>
      </w:r>
      <w:r>
        <w:rPr>
          <w:rFonts w:ascii="Times New Roman" w:hAnsi="Times New Roman" w:cs="Times New Roman"/>
          <w:spacing w:val="-4"/>
          <w:sz w:val="24"/>
          <w:szCs w:val="24"/>
        </w:rPr>
        <w:t xml:space="preserve"> </w:t>
      </w:r>
      <w:r>
        <w:rPr>
          <w:rFonts w:ascii="Times New Roman" w:hAnsi="Times New Roman" w:cs="Times New Roman"/>
          <w:sz w:val="24"/>
          <w:szCs w:val="24"/>
        </w:rPr>
        <w:t>adherence,</w:t>
      </w:r>
      <w:r>
        <w:rPr>
          <w:rFonts w:ascii="Times New Roman" w:hAnsi="Times New Roman" w:cs="Times New Roman"/>
          <w:spacing w:val="-6"/>
          <w:sz w:val="24"/>
          <w:szCs w:val="24"/>
        </w:rPr>
        <w:t xml:space="preserve"> </w:t>
      </w:r>
      <w:r>
        <w:rPr>
          <w:rFonts w:ascii="Times New Roman" w:hAnsi="Times New Roman" w:cs="Times New Roman"/>
          <w:sz w:val="24"/>
          <w:szCs w:val="24"/>
        </w:rPr>
        <w:t>and</w:t>
      </w:r>
      <w:r>
        <w:rPr>
          <w:rFonts w:ascii="Times New Roman" w:hAnsi="Times New Roman" w:cs="Times New Roman"/>
          <w:spacing w:val="-6"/>
          <w:sz w:val="24"/>
          <w:szCs w:val="24"/>
        </w:rPr>
        <w:t xml:space="preserve"> </w:t>
      </w:r>
      <w:r>
        <w:rPr>
          <w:rFonts w:ascii="Times New Roman" w:hAnsi="Times New Roman" w:cs="Times New Roman"/>
          <w:sz w:val="24"/>
          <w:szCs w:val="24"/>
        </w:rPr>
        <w:t>improve</w:t>
      </w:r>
      <w:r>
        <w:rPr>
          <w:rFonts w:ascii="Times New Roman" w:hAnsi="Times New Roman" w:cs="Times New Roman"/>
          <w:spacing w:val="-7"/>
          <w:sz w:val="24"/>
          <w:szCs w:val="24"/>
        </w:rPr>
        <w:t xml:space="preserve"> </w:t>
      </w:r>
      <w:r>
        <w:rPr>
          <w:rFonts w:ascii="Times New Roman" w:hAnsi="Times New Roman" w:cs="Times New Roman"/>
          <w:sz w:val="24"/>
          <w:szCs w:val="24"/>
        </w:rPr>
        <w:t>disease</w:t>
      </w:r>
      <w:r>
        <w:rPr>
          <w:rFonts w:ascii="Times New Roman" w:hAnsi="Times New Roman" w:cs="Times New Roman"/>
          <w:spacing w:val="-10"/>
          <w:sz w:val="24"/>
          <w:szCs w:val="24"/>
        </w:rPr>
        <w:t xml:space="preserve"> </w:t>
      </w:r>
      <w:r>
        <w:rPr>
          <w:rFonts w:ascii="Times New Roman" w:hAnsi="Times New Roman" w:cs="Times New Roman"/>
          <w:sz w:val="24"/>
          <w:szCs w:val="24"/>
        </w:rPr>
        <w:t>management.</w:t>
      </w:r>
      <w:r>
        <w:rPr>
          <w:rFonts w:ascii="Times New Roman" w:hAnsi="Times New Roman" w:cs="Times New Roman"/>
          <w:position w:val="9"/>
          <w:sz w:val="16"/>
          <w:szCs w:val="16"/>
        </w:rPr>
        <w:t>3</w:t>
      </w:r>
    </w:p>
    <w:p w:rsidR="002C5025" w:rsidRDefault="002C5025">
      <w:pPr>
        <w:pStyle w:val="BodyText"/>
        <w:kinsoku w:val="0"/>
        <w:overflowPunct w:val="0"/>
        <w:spacing w:before="207" w:line="232" w:lineRule="auto"/>
        <w:ind w:left="120" w:right="113"/>
        <w:jc w:val="both"/>
        <w:rPr>
          <w:rFonts w:ascii="Times New Roman" w:hAnsi="Times New Roman" w:cs="Times New Roman"/>
          <w:position w:val="9"/>
          <w:sz w:val="16"/>
          <w:szCs w:val="16"/>
        </w:rPr>
      </w:pPr>
      <w:r>
        <w:rPr>
          <w:rFonts w:ascii="Times New Roman" w:hAnsi="Times New Roman" w:cs="Times New Roman"/>
          <w:sz w:val="24"/>
          <w:szCs w:val="24"/>
        </w:rPr>
        <w:t>Social determinants, such as food insecurity, can also play an important role in efforts to address substance use disorders (SUDs). For example, families with very low food security exhibited 10 times the rate of heroin use in the past 30 days compared to the general population.</w:t>
      </w:r>
      <w:r>
        <w:rPr>
          <w:rFonts w:ascii="Times New Roman" w:hAnsi="Times New Roman" w:cs="Times New Roman"/>
          <w:position w:val="9"/>
          <w:sz w:val="16"/>
          <w:szCs w:val="16"/>
        </w:rPr>
        <w:t xml:space="preserve">4 </w:t>
      </w:r>
      <w:r>
        <w:rPr>
          <w:rFonts w:ascii="Times New Roman" w:hAnsi="Times New Roman" w:cs="Times New Roman"/>
          <w:sz w:val="24"/>
          <w:szCs w:val="24"/>
        </w:rPr>
        <w:t>Further, individuals with SUDs who are food insecure experience “diminished physical and mental health states … including obesity, diabetes, heart disease, hypertension, and depression.”</w:t>
      </w:r>
      <w:r>
        <w:rPr>
          <w:rFonts w:ascii="Times New Roman" w:hAnsi="Times New Roman" w:cs="Times New Roman"/>
          <w:position w:val="9"/>
          <w:sz w:val="16"/>
          <w:szCs w:val="16"/>
        </w:rPr>
        <w:t>5</w:t>
      </w:r>
    </w:p>
    <w:p w:rsidR="002C5025" w:rsidRDefault="002C5025">
      <w:pPr>
        <w:pStyle w:val="BodyText"/>
        <w:kinsoku w:val="0"/>
        <w:overflowPunct w:val="0"/>
        <w:spacing w:before="10"/>
        <w:rPr>
          <w:rFonts w:ascii="Times New Roman" w:hAnsi="Times New Roman" w:cs="Times New Roman"/>
        </w:rPr>
      </w:pPr>
    </w:p>
    <w:p w:rsidR="002C5025" w:rsidRDefault="002C5025">
      <w:pPr>
        <w:pStyle w:val="BodyText"/>
        <w:kinsoku w:val="0"/>
        <w:overflowPunct w:val="0"/>
        <w:spacing w:line="242" w:lineRule="auto"/>
        <w:ind w:left="119" w:right="110"/>
        <w:jc w:val="both"/>
        <w:rPr>
          <w:rFonts w:ascii="Times New Roman" w:hAnsi="Times New Roman" w:cs="Times New Roman"/>
          <w:sz w:val="24"/>
          <w:szCs w:val="24"/>
        </w:rPr>
      </w:pPr>
      <w:r>
        <w:rPr>
          <w:rFonts w:ascii="Times New Roman" w:hAnsi="Times New Roman" w:cs="Times New Roman"/>
          <w:sz w:val="24"/>
          <w:szCs w:val="24"/>
        </w:rPr>
        <w:t>CHLPI and Community Servings therefore encourage EOHHS to take the following steps to maximize the positive impact of the new ACOs in addressing social determinants of health:</w:t>
      </w:r>
    </w:p>
    <w:p w:rsidR="002C5025" w:rsidRDefault="002C5025">
      <w:pPr>
        <w:pStyle w:val="ListParagraph"/>
        <w:numPr>
          <w:ilvl w:val="0"/>
          <w:numId w:val="15"/>
        </w:numPr>
        <w:tabs>
          <w:tab w:val="left" w:pos="840"/>
        </w:tabs>
        <w:kinsoku w:val="0"/>
        <w:overflowPunct w:val="0"/>
        <w:spacing w:before="203"/>
        <w:rPr>
          <w:b/>
          <w:bCs/>
          <w:spacing w:val="-3"/>
        </w:rPr>
      </w:pPr>
      <w:bookmarkStart w:id="78" w:name="1._Clarify_the_requirements_around_ACO_f"/>
      <w:bookmarkEnd w:id="78"/>
      <w:r>
        <w:rPr>
          <w:b/>
          <w:bCs/>
        </w:rPr>
        <w:t>Clarify</w:t>
      </w:r>
      <w:r>
        <w:rPr>
          <w:b/>
          <w:bCs/>
          <w:spacing w:val="-7"/>
        </w:rPr>
        <w:t xml:space="preserve"> </w:t>
      </w:r>
      <w:r>
        <w:rPr>
          <w:b/>
          <w:bCs/>
        </w:rPr>
        <w:t>the</w:t>
      </w:r>
      <w:r>
        <w:rPr>
          <w:b/>
          <w:bCs/>
          <w:spacing w:val="-8"/>
        </w:rPr>
        <w:t xml:space="preserve"> </w:t>
      </w:r>
      <w:r>
        <w:rPr>
          <w:b/>
          <w:bCs/>
        </w:rPr>
        <w:t>requirements</w:t>
      </w:r>
      <w:r>
        <w:rPr>
          <w:b/>
          <w:bCs/>
          <w:spacing w:val="-7"/>
        </w:rPr>
        <w:t xml:space="preserve"> </w:t>
      </w:r>
      <w:r>
        <w:rPr>
          <w:b/>
          <w:bCs/>
        </w:rPr>
        <w:t>around</w:t>
      </w:r>
      <w:r>
        <w:rPr>
          <w:b/>
          <w:bCs/>
          <w:spacing w:val="-7"/>
        </w:rPr>
        <w:t xml:space="preserve"> </w:t>
      </w:r>
      <w:r>
        <w:rPr>
          <w:b/>
          <w:bCs/>
        </w:rPr>
        <w:t>ACO</w:t>
      </w:r>
      <w:r>
        <w:rPr>
          <w:b/>
          <w:bCs/>
          <w:spacing w:val="-7"/>
        </w:rPr>
        <w:t xml:space="preserve"> </w:t>
      </w:r>
      <w:r>
        <w:rPr>
          <w:b/>
          <w:bCs/>
        </w:rPr>
        <w:t>flexible</w:t>
      </w:r>
      <w:r>
        <w:rPr>
          <w:b/>
          <w:bCs/>
          <w:spacing w:val="-8"/>
        </w:rPr>
        <w:t xml:space="preserve"> </w:t>
      </w:r>
      <w:r>
        <w:rPr>
          <w:b/>
          <w:bCs/>
        </w:rPr>
        <w:t>spending</w:t>
      </w:r>
      <w:r>
        <w:rPr>
          <w:b/>
          <w:bCs/>
          <w:spacing w:val="-7"/>
        </w:rPr>
        <w:t xml:space="preserve"> </w:t>
      </w:r>
      <w:r>
        <w:rPr>
          <w:b/>
          <w:bCs/>
        </w:rPr>
        <w:t>services</w:t>
      </w:r>
      <w:r>
        <w:rPr>
          <w:b/>
          <w:bCs/>
          <w:spacing w:val="-7"/>
        </w:rPr>
        <w:t xml:space="preserve"> </w:t>
      </w:r>
      <w:r>
        <w:rPr>
          <w:b/>
          <w:bCs/>
          <w:spacing w:val="-3"/>
        </w:rPr>
        <w:t>(FSS).</w:t>
      </w:r>
    </w:p>
    <w:p w:rsidR="002C5025" w:rsidRDefault="002C5025">
      <w:pPr>
        <w:pStyle w:val="BodyText"/>
        <w:kinsoku w:val="0"/>
        <w:overflowPunct w:val="0"/>
        <w:spacing w:before="11"/>
        <w:rPr>
          <w:rFonts w:ascii="Times New Roman" w:hAnsi="Times New Roman" w:cs="Times New Roman"/>
          <w:b/>
          <w:bCs/>
        </w:rPr>
      </w:pPr>
    </w:p>
    <w:p w:rsidR="002C5025" w:rsidRDefault="002C5025">
      <w:pPr>
        <w:pStyle w:val="BodyText"/>
        <w:kinsoku w:val="0"/>
        <w:overflowPunct w:val="0"/>
        <w:ind w:left="119" w:right="107"/>
        <w:jc w:val="both"/>
        <w:rPr>
          <w:rFonts w:ascii="Times New Roman" w:hAnsi="Times New Roman" w:cs="Times New Roman"/>
          <w:sz w:val="24"/>
          <w:szCs w:val="24"/>
        </w:rPr>
      </w:pPr>
      <w:r>
        <w:rPr>
          <w:rFonts w:ascii="Times New Roman" w:hAnsi="Times New Roman" w:cs="Times New Roman"/>
          <w:sz w:val="24"/>
          <w:szCs w:val="24"/>
        </w:rPr>
        <w:t>Under</w:t>
      </w:r>
      <w:r>
        <w:rPr>
          <w:rFonts w:ascii="Times New Roman" w:hAnsi="Times New Roman" w:cs="Times New Roman"/>
          <w:spacing w:val="-8"/>
          <w:sz w:val="24"/>
          <w:szCs w:val="24"/>
        </w:rPr>
        <w:t xml:space="preserve"> </w:t>
      </w:r>
      <w:r>
        <w:rPr>
          <w:rFonts w:ascii="Times New Roman" w:hAnsi="Times New Roman" w:cs="Times New Roman"/>
          <w:sz w:val="24"/>
          <w:szCs w:val="24"/>
        </w:rPr>
        <w:t>Section</w:t>
      </w:r>
      <w:r>
        <w:rPr>
          <w:rFonts w:ascii="Times New Roman" w:hAnsi="Times New Roman" w:cs="Times New Roman"/>
          <w:spacing w:val="-3"/>
          <w:sz w:val="24"/>
          <w:szCs w:val="24"/>
        </w:rPr>
        <w:t xml:space="preserve"> </w:t>
      </w:r>
      <w:r>
        <w:rPr>
          <w:rFonts w:ascii="Times New Roman" w:hAnsi="Times New Roman" w:cs="Times New Roman"/>
          <w:sz w:val="24"/>
          <w:szCs w:val="24"/>
        </w:rPr>
        <w:t>4.2.2</w:t>
      </w:r>
      <w:r>
        <w:rPr>
          <w:rFonts w:ascii="Times New Roman" w:hAnsi="Times New Roman" w:cs="Times New Roman"/>
          <w:spacing w:val="-5"/>
          <w:sz w:val="24"/>
          <w:szCs w:val="24"/>
        </w:rPr>
        <w:t xml:space="preserve"> </w:t>
      </w:r>
      <w:r>
        <w:rPr>
          <w:rFonts w:ascii="Times New Roman" w:hAnsi="Times New Roman" w:cs="Times New Roman"/>
          <w:sz w:val="24"/>
          <w:szCs w:val="24"/>
        </w:rPr>
        <w:t>of</w:t>
      </w:r>
      <w:r>
        <w:rPr>
          <w:rFonts w:ascii="Times New Roman" w:hAnsi="Times New Roman" w:cs="Times New Roman"/>
          <w:spacing w:val="-4"/>
          <w:sz w:val="24"/>
          <w:szCs w:val="24"/>
        </w:rPr>
        <w:t xml:space="preserve"> </w:t>
      </w:r>
      <w:r>
        <w:rPr>
          <w:rFonts w:ascii="Times New Roman" w:hAnsi="Times New Roman" w:cs="Times New Roman"/>
          <w:sz w:val="24"/>
          <w:szCs w:val="24"/>
        </w:rPr>
        <w:t>the</w:t>
      </w:r>
      <w:r>
        <w:rPr>
          <w:rFonts w:ascii="Times New Roman" w:hAnsi="Times New Roman" w:cs="Times New Roman"/>
          <w:spacing w:val="-4"/>
          <w:sz w:val="24"/>
          <w:szCs w:val="24"/>
        </w:rPr>
        <w:t xml:space="preserve"> </w:t>
      </w:r>
      <w:r>
        <w:rPr>
          <w:rFonts w:ascii="Times New Roman" w:hAnsi="Times New Roman" w:cs="Times New Roman"/>
          <w:sz w:val="24"/>
          <w:szCs w:val="24"/>
        </w:rPr>
        <w:t>Request,</w:t>
      </w:r>
      <w:r>
        <w:rPr>
          <w:rFonts w:ascii="Times New Roman" w:hAnsi="Times New Roman" w:cs="Times New Roman"/>
          <w:spacing w:val="-5"/>
          <w:sz w:val="24"/>
          <w:szCs w:val="24"/>
        </w:rPr>
        <w:t xml:space="preserve"> </w:t>
      </w:r>
      <w:r>
        <w:rPr>
          <w:rFonts w:ascii="Times New Roman" w:hAnsi="Times New Roman" w:cs="Times New Roman"/>
          <w:sz w:val="24"/>
          <w:szCs w:val="24"/>
        </w:rPr>
        <w:t>EOHHS</w:t>
      </w:r>
      <w:r>
        <w:rPr>
          <w:rFonts w:ascii="Times New Roman" w:hAnsi="Times New Roman" w:cs="Times New Roman"/>
          <w:spacing w:val="-5"/>
          <w:sz w:val="24"/>
          <w:szCs w:val="24"/>
        </w:rPr>
        <w:t xml:space="preserve"> </w:t>
      </w:r>
      <w:r>
        <w:rPr>
          <w:rFonts w:ascii="Times New Roman" w:hAnsi="Times New Roman" w:cs="Times New Roman"/>
          <w:sz w:val="24"/>
          <w:szCs w:val="24"/>
        </w:rPr>
        <w:t>states</w:t>
      </w:r>
      <w:r>
        <w:rPr>
          <w:rFonts w:ascii="Times New Roman" w:hAnsi="Times New Roman" w:cs="Times New Roman"/>
          <w:spacing w:val="-5"/>
          <w:sz w:val="24"/>
          <w:szCs w:val="24"/>
        </w:rPr>
        <w:t xml:space="preserve"> </w:t>
      </w:r>
      <w:r>
        <w:rPr>
          <w:rFonts w:ascii="Times New Roman" w:hAnsi="Times New Roman" w:cs="Times New Roman"/>
          <w:sz w:val="24"/>
          <w:szCs w:val="24"/>
        </w:rPr>
        <w:t>that</w:t>
      </w:r>
      <w:r>
        <w:rPr>
          <w:rFonts w:ascii="Times New Roman" w:hAnsi="Times New Roman" w:cs="Times New Roman"/>
          <w:spacing w:val="-5"/>
          <w:sz w:val="24"/>
          <w:szCs w:val="24"/>
        </w:rPr>
        <w:t xml:space="preserve"> </w:t>
      </w:r>
      <w:r>
        <w:rPr>
          <w:rFonts w:ascii="Times New Roman" w:hAnsi="Times New Roman" w:cs="Times New Roman"/>
          <w:sz w:val="24"/>
          <w:szCs w:val="24"/>
        </w:rPr>
        <w:t>spending</w:t>
      </w:r>
      <w:r>
        <w:rPr>
          <w:rFonts w:ascii="Times New Roman" w:hAnsi="Times New Roman" w:cs="Times New Roman"/>
          <w:spacing w:val="-7"/>
          <w:sz w:val="24"/>
          <w:szCs w:val="24"/>
        </w:rPr>
        <w:t xml:space="preserve"> </w:t>
      </w:r>
      <w:r>
        <w:rPr>
          <w:rFonts w:ascii="Times New Roman" w:hAnsi="Times New Roman" w:cs="Times New Roman"/>
          <w:sz w:val="24"/>
          <w:szCs w:val="24"/>
        </w:rPr>
        <w:t>for</w:t>
      </w:r>
      <w:r>
        <w:rPr>
          <w:rFonts w:ascii="Times New Roman" w:hAnsi="Times New Roman" w:cs="Times New Roman"/>
          <w:spacing w:val="-6"/>
          <w:sz w:val="24"/>
          <w:szCs w:val="24"/>
        </w:rPr>
        <w:t xml:space="preserve"> </w:t>
      </w:r>
      <w:r>
        <w:rPr>
          <w:rFonts w:ascii="Times New Roman" w:hAnsi="Times New Roman" w:cs="Times New Roman"/>
          <w:sz w:val="24"/>
          <w:szCs w:val="24"/>
        </w:rPr>
        <w:t>flexible</w:t>
      </w:r>
      <w:r>
        <w:rPr>
          <w:rFonts w:ascii="Times New Roman" w:hAnsi="Times New Roman" w:cs="Times New Roman"/>
          <w:spacing w:val="-4"/>
          <w:sz w:val="24"/>
          <w:szCs w:val="24"/>
        </w:rPr>
        <w:t xml:space="preserve"> </w:t>
      </w:r>
      <w:r>
        <w:rPr>
          <w:rFonts w:ascii="Times New Roman" w:hAnsi="Times New Roman" w:cs="Times New Roman"/>
          <w:sz w:val="24"/>
          <w:szCs w:val="24"/>
        </w:rPr>
        <w:t>services</w:t>
      </w:r>
      <w:r>
        <w:rPr>
          <w:rFonts w:ascii="Times New Roman" w:hAnsi="Times New Roman" w:cs="Times New Roman"/>
          <w:spacing w:val="-3"/>
          <w:sz w:val="24"/>
          <w:szCs w:val="24"/>
        </w:rPr>
        <w:t xml:space="preserve"> </w:t>
      </w:r>
      <w:r>
        <w:rPr>
          <w:rFonts w:ascii="Times New Roman" w:hAnsi="Times New Roman" w:cs="Times New Roman"/>
          <w:sz w:val="24"/>
          <w:szCs w:val="24"/>
        </w:rPr>
        <w:t>must</w:t>
      </w:r>
      <w:r>
        <w:rPr>
          <w:rFonts w:ascii="Times New Roman" w:hAnsi="Times New Roman" w:cs="Times New Roman"/>
          <w:spacing w:val="-3"/>
          <w:sz w:val="24"/>
          <w:szCs w:val="24"/>
        </w:rPr>
        <w:t xml:space="preserve"> </w:t>
      </w:r>
      <w:r>
        <w:rPr>
          <w:rFonts w:ascii="Times New Roman" w:hAnsi="Times New Roman" w:cs="Times New Roman"/>
          <w:sz w:val="24"/>
          <w:szCs w:val="24"/>
        </w:rPr>
        <w:t>satisfy a number of specific criteria, including a requirement that services are “determined to be cost- effective alternatives to covered benefits and likely to generate savings.” We encourage EOHHS to eliminate or clarify this requirement to avoid unnecessary restrictions on ACOs and social service</w:t>
      </w:r>
      <w:r>
        <w:rPr>
          <w:rFonts w:ascii="Times New Roman" w:hAnsi="Times New Roman" w:cs="Times New Roman"/>
          <w:spacing w:val="-11"/>
          <w:sz w:val="24"/>
          <w:szCs w:val="24"/>
        </w:rPr>
        <w:t xml:space="preserve"> </w:t>
      </w:r>
      <w:r>
        <w:rPr>
          <w:rFonts w:ascii="Times New Roman" w:hAnsi="Times New Roman" w:cs="Times New Roman"/>
          <w:sz w:val="24"/>
          <w:szCs w:val="24"/>
        </w:rPr>
        <w:t>providers.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20" w:right="114"/>
        <w:jc w:val="both"/>
        <w:rPr>
          <w:rFonts w:ascii="Times New Roman" w:hAnsi="Times New Roman" w:cs="Times New Roman"/>
          <w:sz w:val="24"/>
          <w:szCs w:val="24"/>
        </w:rPr>
      </w:pPr>
      <w:r>
        <w:rPr>
          <w:rFonts w:ascii="Times New Roman" w:hAnsi="Times New Roman" w:cs="Times New Roman"/>
          <w:sz w:val="24"/>
          <w:szCs w:val="24"/>
        </w:rPr>
        <w:t>Many of the examples of FSS described in the Request—such as housing stabilization, physical activity, and nutrition—should not be, in most cases, a substitution for other health care services.</w:t>
      </w:r>
    </w:p>
    <w:p w:rsidR="002C5025" w:rsidRDefault="00FB027C">
      <w:pPr>
        <w:pStyle w:val="BodyText"/>
        <w:kinsoku w:val="0"/>
        <w:overflowPunct w:val="0"/>
        <w:spacing w:before="2"/>
        <w:rPr>
          <w:rFonts w:ascii="Times New Roman" w:hAnsi="Times New Roman" w:cs="Times New Roman"/>
          <w:sz w:val="21"/>
          <w:szCs w:val="21"/>
        </w:rPr>
      </w:pPr>
      <w:r>
        <w:rPr>
          <w:noProof/>
        </w:rPr>
        <mc:AlternateContent>
          <mc:Choice Requires="wps">
            <w:drawing>
              <wp:anchor distT="0" distB="0" distL="0" distR="0" simplePos="0" relativeHeight="251546112" behindDoc="0" locked="0" layoutInCell="0" allowOverlap="1">
                <wp:simplePos x="0" y="0"/>
                <wp:positionH relativeFrom="page">
                  <wp:posOffset>923925</wp:posOffset>
                </wp:positionH>
                <wp:positionV relativeFrom="paragraph">
                  <wp:posOffset>184785</wp:posOffset>
                </wp:positionV>
                <wp:extent cx="1829435" cy="12700"/>
                <wp:effectExtent l="0" t="0" r="0" b="0"/>
                <wp:wrapTopAndBottom/>
                <wp:docPr id="783" name="Freeform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1 w 2881"/>
                            <a:gd name="T3" fmla="*/ 0 h 20"/>
                          </a:gdLst>
                          <a:ahLst/>
                          <a:cxnLst>
                            <a:cxn ang="0">
                              <a:pos x="T0" y="T1"/>
                            </a:cxn>
                            <a:cxn ang="0">
                              <a:pos x="T2" y="T3"/>
                            </a:cxn>
                          </a:cxnLst>
                          <a:rect l="0" t="0" r="r" b="b"/>
                          <a:pathLst>
                            <a:path w="2881" h="20">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42" o:spid="_x0000_s1026" style="position:absolute;z-index:251546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2.75pt,14.55pt,216.8pt,14.55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" o:allowincell="f" filled="f" strokeweight=".82pt">
                <v:path arrowok="t" o:connecttype="custom" o:connectlocs="0,0;1829435,0" o:connectangles="0,0"/>
                <w10:wrap type="topAndBottom" anchorx="page"/>
              </v:polyline>
            </w:pict>
          </mc:Fallback>
        </mc:AlternateContent>
      </w:r>
    </w:p>
    <w:p w:rsidR="002C5025" w:rsidRDefault="002C5025">
      <w:pPr>
        <w:pStyle w:val="BodyText"/>
        <w:kinsoku w:val="0"/>
        <w:overflowPunct w:val="0"/>
        <w:spacing w:before="59"/>
        <w:ind w:left="120" w:right="252"/>
        <w:rPr>
          <w:rFonts w:ascii="Times New Roman" w:hAnsi="Times New Roman" w:cs="Times New Roman"/>
          <w:sz w:val="18"/>
          <w:szCs w:val="18"/>
        </w:rPr>
      </w:pPr>
      <w:r>
        <w:rPr>
          <w:rFonts w:ascii="Times New Roman" w:hAnsi="Times New Roman" w:cs="Times New Roman"/>
          <w:position w:val="6"/>
          <w:sz w:val="12"/>
          <w:szCs w:val="12"/>
        </w:rPr>
        <w:t>2</w:t>
      </w:r>
      <w:r>
        <w:rPr>
          <w:rFonts w:ascii="Times New Roman" w:hAnsi="Times New Roman" w:cs="Times New Roman"/>
          <w:spacing w:val="8"/>
          <w:position w:val="6"/>
          <w:sz w:val="12"/>
          <w:szCs w:val="12"/>
        </w:rPr>
        <w:t xml:space="preserve"> </w:t>
      </w:r>
      <w:r>
        <w:rPr>
          <w:rFonts w:ascii="Times New Roman" w:hAnsi="Times New Roman" w:cs="Times New Roman"/>
          <w:sz w:val="18"/>
          <w:szCs w:val="18"/>
        </w:rPr>
        <w:t>Mariana</w:t>
      </w:r>
      <w:r>
        <w:rPr>
          <w:rFonts w:ascii="Times New Roman" w:hAnsi="Times New Roman" w:cs="Times New Roman"/>
          <w:spacing w:val="-10"/>
          <w:sz w:val="18"/>
          <w:szCs w:val="18"/>
        </w:rPr>
        <w:t xml:space="preserve"> </w:t>
      </w:r>
      <w:r>
        <w:rPr>
          <w:rFonts w:ascii="Times New Roman" w:hAnsi="Times New Roman" w:cs="Times New Roman"/>
          <w:sz w:val="18"/>
          <w:szCs w:val="18"/>
        </w:rPr>
        <w:t>Chilton</w:t>
      </w:r>
      <w:r>
        <w:rPr>
          <w:rFonts w:ascii="Times New Roman" w:hAnsi="Times New Roman" w:cs="Times New Roman"/>
          <w:spacing w:val="-6"/>
          <w:sz w:val="18"/>
          <w:szCs w:val="18"/>
        </w:rPr>
        <w:t xml:space="preserve"> </w:t>
      </w:r>
      <w:r>
        <w:rPr>
          <w:rFonts w:ascii="Times New Roman" w:hAnsi="Times New Roman" w:cs="Times New Roman"/>
          <w:sz w:val="18"/>
          <w:szCs w:val="18"/>
        </w:rPr>
        <w:t>et</w:t>
      </w:r>
      <w:r>
        <w:rPr>
          <w:rFonts w:ascii="Times New Roman" w:hAnsi="Times New Roman" w:cs="Times New Roman"/>
          <w:spacing w:val="-7"/>
          <w:sz w:val="18"/>
          <w:szCs w:val="18"/>
        </w:rPr>
        <w:t xml:space="preserve"> </w:t>
      </w:r>
      <w:r>
        <w:rPr>
          <w:rFonts w:ascii="Times New Roman" w:hAnsi="Times New Roman" w:cs="Times New Roman"/>
          <w:sz w:val="18"/>
          <w:szCs w:val="18"/>
        </w:rPr>
        <w:t>al.,</w:t>
      </w:r>
      <w:r>
        <w:rPr>
          <w:rFonts w:ascii="Times New Roman" w:hAnsi="Times New Roman" w:cs="Times New Roman"/>
          <w:spacing w:val="-9"/>
          <w:sz w:val="18"/>
          <w:szCs w:val="18"/>
        </w:rPr>
        <w:t xml:space="preserve"> </w:t>
      </w:r>
      <w:r>
        <w:rPr>
          <w:rFonts w:ascii="Times New Roman" w:hAnsi="Times New Roman" w:cs="Times New Roman"/>
          <w:i/>
          <w:iCs/>
          <w:sz w:val="18"/>
          <w:szCs w:val="18"/>
        </w:rPr>
        <w:t>The</w:t>
      </w:r>
      <w:r>
        <w:rPr>
          <w:rFonts w:ascii="Times New Roman" w:hAnsi="Times New Roman" w:cs="Times New Roman"/>
          <w:i/>
          <w:iCs/>
          <w:spacing w:val="-10"/>
          <w:sz w:val="18"/>
          <w:szCs w:val="18"/>
        </w:rPr>
        <w:t xml:space="preserve"> </w:t>
      </w:r>
      <w:r>
        <w:rPr>
          <w:rFonts w:ascii="Times New Roman" w:hAnsi="Times New Roman" w:cs="Times New Roman"/>
          <w:i/>
          <w:iCs/>
          <w:sz w:val="18"/>
          <w:szCs w:val="18"/>
        </w:rPr>
        <w:t>Intergenerational</w:t>
      </w:r>
      <w:r>
        <w:rPr>
          <w:rFonts w:ascii="Times New Roman" w:hAnsi="Times New Roman" w:cs="Times New Roman"/>
          <w:i/>
          <w:iCs/>
          <w:spacing w:val="-9"/>
          <w:sz w:val="18"/>
          <w:szCs w:val="18"/>
        </w:rPr>
        <w:t xml:space="preserve"> </w:t>
      </w:r>
      <w:r>
        <w:rPr>
          <w:rFonts w:ascii="Times New Roman" w:hAnsi="Times New Roman" w:cs="Times New Roman"/>
          <w:i/>
          <w:iCs/>
          <w:sz w:val="18"/>
          <w:szCs w:val="18"/>
        </w:rPr>
        <w:t>Circumstances</w:t>
      </w:r>
      <w:r>
        <w:rPr>
          <w:rFonts w:ascii="Times New Roman" w:hAnsi="Times New Roman" w:cs="Times New Roman"/>
          <w:i/>
          <w:iCs/>
          <w:spacing w:val="-9"/>
          <w:sz w:val="18"/>
          <w:szCs w:val="18"/>
        </w:rPr>
        <w:t xml:space="preserve"> </w:t>
      </w:r>
      <w:r>
        <w:rPr>
          <w:rFonts w:ascii="Times New Roman" w:hAnsi="Times New Roman" w:cs="Times New Roman"/>
          <w:i/>
          <w:iCs/>
          <w:sz w:val="18"/>
          <w:szCs w:val="18"/>
        </w:rPr>
        <w:t>of</w:t>
      </w:r>
      <w:r>
        <w:rPr>
          <w:rFonts w:ascii="Times New Roman" w:hAnsi="Times New Roman" w:cs="Times New Roman"/>
          <w:i/>
          <w:iCs/>
          <w:spacing w:val="-9"/>
          <w:sz w:val="18"/>
          <w:szCs w:val="18"/>
        </w:rPr>
        <w:t xml:space="preserve"> </w:t>
      </w:r>
      <w:r>
        <w:rPr>
          <w:rFonts w:ascii="Times New Roman" w:hAnsi="Times New Roman" w:cs="Times New Roman"/>
          <w:i/>
          <w:iCs/>
          <w:sz w:val="18"/>
          <w:szCs w:val="18"/>
        </w:rPr>
        <w:t>Food</w:t>
      </w:r>
      <w:r>
        <w:rPr>
          <w:rFonts w:ascii="Times New Roman" w:hAnsi="Times New Roman" w:cs="Times New Roman"/>
          <w:i/>
          <w:iCs/>
          <w:spacing w:val="-10"/>
          <w:sz w:val="18"/>
          <w:szCs w:val="18"/>
        </w:rPr>
        <w:t xml:space="preserve"> </w:t>
      </w:r>
      <w:r>
        <w:rPr>
          <w:rFonts w:ascii="Times New Roman" w:hAnsi="Times New Roman" w:cs="Times New Roman"/>
          <w:i/>
          <w:iCs/>
          <w:sz w:val="18"/>
          <w:szCs w:val="18"/>
        </w:rPr>
        <w:t>Insecurity</w:t>
      </w:r>
      <w:r>
        <w:rPr>
          <w:rFonts w:ascii="Times New Roman" w:hAnsi="Times New Roman" w:cs="Times New Roman"/>
          <w:i/>
          <w:iCs/>
          <w:spacing w:val="-14"/>
          <w:sz w:val="18"/>
          <w:szCs w:val="18"/>
        </w:rPr>
        <w:t xml:space="preserve"> </w:t>
      </w:r>
      <w:r>
        <w:rPr>
          <w:rFonts w:ascii="Times New Roman" w:hAnsi="Times New Roman" w:cs="Times New Roman"/>
          <w:i/>
          <w:iCs/>
          <w:sz w:val="18"/>
          <w:szCs w:val="18"/>
        </w:rPr>
        <w:t>and</w:t>
      </w:r>
      <w:r>
        <w:rPr>
          <w:rFonts w:ascii="Times New Roman" w:hAnsi="Times New Roman" w:cs="Times New Roman"/>
          <w:i/>
          <w:iCs/>
          <w:spacing w:val="-6"/>
          <w:sz w:val="18"/>
          <w:szCs w:val="18"/>
        </w:rPr>
        <w:t xml:space="preserve"> </w:t>
      </w:r>
      <w:r>
        <w:rPr>
          <w:rFonts w:ascii="Times New Roman" w:hAnsi="Times New Roman" w:cs="Times New Roman"/>
          <w:i/>
          <w:iCs/>
          <w:sz w:val="18"/>
          <w:szCs w:val="18"/>
        </w:rPr>
        <w:t>Adversity</w:t>
      </w:r>
      <w:r>
        <w:rPr>
          <w:rFonts w:ascii="Times New Roman" w:hAnsi="Times New Roman" w:cs="Times New Roman"/>
          <w:sz w:val="18"/>
          <w:szCs w:val="18"/>
        </w:rPr>
        <w:t>,</w:t>
      </w:r>
      <w:r>
        <w:rPr>
          <w:rFonts w:ascii="Times New Roman" w:hAnsi="Times New Roman" w:cs="Times New Roman"/>
          <w:spacing w:val="-6"/>
          <w:sz w:val="18"/>
          <w:szCs w:val="18"/>
        </w:rPr>
        <w:t xml:space="preserve"> </w:t>
      </w:r>
      <w:r>
        <w:rPr>
          <w:rFonts w:ascii="Times New Roman" w:hAnsi="Times New Roman" w:cs="Times New Roman"/>
          <w:sz w:val="18"/>
          <w:szCs w:val="18"/>
        </w:rPr>
        <w:t>J.</w:t>
      </w:r>
      <w:r>
        <w:rPr>
          <w:rFonts w:ascii="Times New Roman" w:hAnsi="Times New Roman" w:cs="Times New Roman"/>
          <w:spacing w:val="-17"/>
          <w:sz w:val="18"/>
          <w:szCs w:val="18"/>
        </w:rPr>
        <w:t xml:space="preserve"> </w:t>
      </w:r>
      <w:r>
        <w:rPr>
          <w:rFonts w:ascii="Times New Roman" w:hAnsi="Times New Roman" w:cs="Times New Roman"/>
          <w:sz w:val="18"/>
          <w:szCs w:val="18"/>
        </w:rPr>
        <w:t>H</w:t>
      </w:r>
      <w:r>
        <w:rPr>
          <w:rFonts w:ascii="Times New Roman" w:hAnsi="Times New Roman" w:cs="Times New Roman"/>
          <w:sz w:val="14"/>
          <w:szCs w:val="14"/>
        </w:rPr>
        <w:t>UNGER</w:t>
      </w:r>
      <w:r>
        <w:rPr>
          <w:rFonts w:ascii="Times New Roman" w:hAnsi="Times New Roman" w:cs="Times New Roman"/>
          <w:spacing w:val="-5"/>
          <w:sz w:val="14"/>
          <w:szCs w:val="14"/>
        </w:rPr>
        <w:t xml:space="preserve"> </w:t>
      </w:r>
      <w:r>
        <w:rPr>
          <w:rFonts w:ascii="Times New Roman" w:hAnsi="Times New Roman" w:cs="Times New Roman"/>
          <w:sz w:val="18"/>
          <w:szCs w:val="18"/>
        </w:rPr>
        <w:t>&amp;</w:t>
      </w:r>
      <w:r>
        <w:rPr>
          <w:rFonts w:ascii="Times New Roman" w:hAnsi="Times New Roman" w:cs="Times New Roman"/>
          <w:spacing w:val="-18"/>
          <w:sz w:val="18"/>
          <w:szCs w:val="18"/>
        </w:rPr>
        <w:t xml:space="preserve"> </w:t>
      </w:r>
      <w:r>
        <w:rPr>
          <w:rFonts w:ascii="Times New Roman" w:hAnsi="Times New Roman" w:cs="Times New Roman"/>
          <w:sz w:val="18"/>
          <w:szCs w:val="18"/>
        </w:rPr>
        <w:t>E</w:t>
      </w:r>
      <w:r>
        <w:rPr>
          <w:rFonts w:ascii="Times New Roman" w:hAnsi="Times New Roman" w:cs="Times New Roman"/>
          <w:sz w:val="14"/>
          <w:szCs w:val="14"/>
        </w:rPr>
        <w:t>NVT</w:t>
      </w:r>
      <w:r>
        <w:rPr>
          <w:rFonts w:ascii="Times New Roman" w:hAnsi="Times New Roman" w:cs="Times New Roman"/>
          <w:sz w:val="18"/>
          <w:szCs w:val="18"/>
        </w:rPr>
        <w:t>’</w:t>
      </w:r>
      <w:r>
        <w:rPr>
          <w:rFonts w:ascii="Times New Roman" w:hAnsi="Times New Roman" w:cs="Times New Roman"/>
          <w:sz w:val="14"/>
          <w:szCs w:val="14"/>
        </w:rPr>
        <w:t>L</w:t>
      </w:r>
      <w:r>
        <w:rPr>
          <w:rFonts w:ascii="Times New Roman" w:hAnsi="Times New Roman" w:cs="Times New Roman"/>
          <w:spacing w:val="-10"/>
          <w:sz w:val="14"/>
          <w:szCs w:val="14"/>
        </w:rPr>
        <w:t xml:space="preserve"> </w:t>
      </w:r>
      <w:r>
        <w:rPr>
          <w:rFonts w:ascii="Times New Roman" w:hAnsi="Times New Roman" w:cs="Times New Roman"/>
          <w:sz w:val="18"/>
          <w:szCs w:val="18"/>
        </w:rPr>
        <w:t>N</w:t>
      </w:r>
      <w:r>
        <w:rPr>
          <w:rFonts w:ascii="Times New Roman" w:hAnsi="Times New Roman" w:cs="Times New Roman"/>
          <w:sz w:val="14"/>
          <w:szCs w:val="14"/>
        </w:rPr>
        <w:t xml:space="preserve">UTRITION </w:t>
      </w:r>
      <w:r>
        <w:rPr>
          <w:rFonts w:ascii="Times New Roman" w:hAnsi="Times New Roman" w:cs="Times New Roman"/>
          <w:sz w:val="18"/>
          <w:szCs w:val="18"/>
        </w:rPr>
        <w:t>1-28</w:t>
      </w:r>
      <w:r>
        <w:rPr>
          <w:rFonts w:ascii="Times New Roman" w:hAnsi="Times New Roman" w:cs="Times New Roman"/>
          <w:spacing w:val="-14"/>
          <w:sz w:val="18"/>
          <w:szCs w:val="18"/>
        </w:rPr>
        <w:t xml:space="preserve"> </w:t>
      </w:r>
      <w:r>
        <w:rPr>
          <w:rFonts w:ascii="Times New Roman" w:hAnsi="Times New Roman" w:cs="Times New Roman"/>
          <w:sz w:val="18"/>
          <w:szCs w:val="18"/>
        </w:rPr>
        <w:t>(2016).</w:t>
      </w:r>
    </w:p>
    <w:p w:rsidR="002C5025" w:rsidRDefault="002C5025">
      <w:pPr>
        <w:pStyle w:val="BodyText"/>
        <w:tabs>
          <w:tab w:val="left" w:pos="8402"/>
          <w:tab w:val="left" w:pos="8879"/>
        </w:tabs>
        <w:kinsoku w:val="0"/>
        <w:overflowPunct w:val="0"/>
        <w:ind w:left="120" w:right="279"/>
        <w:rPr>
          <w:rFonts w:ascii="Times New Roman" w:hAnsi="Times New Roman" w:cs="Times New Roman"/>
          <w:sz w:val="20"/>
          <w:szCs w:val="20"/>
        </w:rPr>
      </w:pPr>
      <w:r>
        <w:rPr>
          <w:rFonts w:ascii="Times New Roman" w:hAnsi="Times New Roman" w:cs="Times New Roman"/>
          <w:position w:val="7"/>
          <w:sz w:val="13"/>
          <w:szCs w:val="13"/>
        </w:rPr>
        <w:t>3</w:t>
      </w:r>
      <w:r>
        <w:rPr>
          <w:rFonts w:ascii="Times New Roman" w:hAnsi="Times New Roman" w:cs="Times New Roman"/>
          <w:spacing w:val="10"/>
          <w:position w:val="7"/>
          <w:sz w:val="13"/>
          <w:szCs w:val="13"/>
        </w:rPr>
        <w:t xml:space="preserve"> </w:t>
      </w:r>
      <w:r>
        <w:rPr>
          <w:rFonts w:ascii="Times New Roman" w:hAnsi="Times New Roman" w:cs="Times New Roman"/>
          <w:sz w:val="20"/>
          <w:szCs w:val="20"/>
        </w:rPr>
        <w:t>See</w:t>
      </w:r>
      <w:r>
        <w:rPr>
          <w:rFonts w:ascii="Times New Roman" w:hAnsi="Times New Roman" w:cs="Times New Roman"/>
          <w:spacing w:val="-7"/>
          <w:sz w:val="20"/>
          <w:szCs w:val="20"/>
        </w:rPr>
        <w:t xml:space="preserve"> </w:t>
      </w:r>
      <w:r>
        <w:rPr>
          <w:rFonts w:ascii="Times New Roman" w:hAnsi="Times New Roman" w:cs="Times New Roman"/>
          <w:sz w:val="20"/>
          <w:szCs w:val="20"/>
        </w:rPr>
        <w:t>Su</w:t>
      </w:r>
      <w:r>
        <w:rPr>
          <w:rFonts w:ascii="Times New Roman" w:hAnsi="Times New Roman" w:cs="Times New Roman"/>
          <w:spacing w:val="-7"/>
          <w:sz w:val="20"/>
          <w:szCs w:val="20"/>
        </w:rPr>
        <w:t xml:space="preserve"> </w:t>
      </w:r>
      <w:r>
        <w:rPr>
          <w:rFonts w:ascii="Times New Roman" w:hAnsi="Times New Roman" w:cs="Times New Roman"/>
          <w:sz w:val="20"/>
          <w:szCs w:val="20"/>
        </w:rPr>
        <w:t>Lin</w:t>
      </w:r>
      <w:r>
        <w:rPr>
          <w:rFonts w:ascii="Times New Roman" w:hAnsi="Times New Roman" w:cs="Times New Roman"/>
          <w:spacing w:val="-7"/>
          <w:sz w:val="20"/>
          <w:szCs w:val="20"/>
        </w:rPr>
        <w:t xml:space="preserve"> </w:t>
      </w:r>
      <w:r>
        <w:rPr>
          <w:rFonts w:ascii="Times New Roman" w:hAnsi="Times New Roman" w:cs="Times New Roman"/>
          <w:sz w:val="20"/>
          <w:szCs w:val="20"/>
        </w:rPr>
        <w:t>Lim</w:t>
      </w:r>
      <w:r>
        <w:rPr>
          <w:rFonts w:ascii="Times New Roman" w:hAnsi="Times New Roman" w:cs="Times New Roman"/>
          <w:spacing w:val="-9"/>
          <w:sz w:val="20"/>
          <w:szCs w:val="20"/>
        </w:rPr>
        <w:t xml:space="preserve"> </w:t>
      </w:r>
      <w:r>
        <w:rPr>
          <w:rFonts w:ascii="Times New Roman" w:hAnsi="Times New Roman" w:cs="Times New Roman"/>
          <w:sz w:val="20"/>
          <w:szCs w:val="20"/>
        </w:rPr>
        <w:t>et</w:t>
      </w:r>
      <w:r>
        <w:rPr>
          <w:rFonts w:ascii="Times New Roman" w:hAnsi="Times New Roman" w:cs="Times New Roman"/>
          <w:spacing w:val="-8"/>
          <w:sz w:val="20"/>
          <w:szCs w:val="20"/>
        </w:rPr>
        <w:t xml:space="preserve"> </w:t>
      </w:r>
      <w:r>
        <w:rPr>
          <w:rFonts w:ascii="Times New Roman" w:hAnsi="Times New Roman" w:cs="Times New Roman"/>
          <w:sz w:val="20"/>
          <w:szCs w:val="20"/>
        </w:rPr>
        <w:t>al.,</w:t>
      </w:r>
      <w:r>
        <w:rPr>
          <w:rFonts w:ascii="Times New Roman" w:hAnsi="Times New Roman" w:cs="Times New Roman"/>
          <w:spacing w:val="-7"/>
          <w:sz w:val="20"/>
          <w:szCs w:val="20"/>
        </w:rPr>
        <w:t xml:space="preserve"> </w:t>
      </w:r>
      <w:r>
        <w:rPr>
          <w:rFonts w:ascii="Times New Roman" w:hAnsi="Times New Roman" w:cs="Times New Roman"/>
          <w:sz w:val="20"/>
          <w:szCs w:val="20"/>
        </w:rPr>
        <w:t>Malnutrition</w:t>
      </w:r>
      <w:r>
        <w:rPr>
          <w:rFonts w:ascii="Times New Roman" w:hAnsi="Times New Roman" w:cs="Times New Roman"/>
          <w:spacing w:val="-9"/>
          <w:sz w:val="20"/>
          <w:szCs w:val="20"/>
        </w:rPr>
        <w:t xml:space="preserve"> </w:t>
      </w:r>
      <w:r>
        <w:rPr>
          <w:rFonts w:ascii="Times New Roman" w:hAnsi="Times New Roman" w:cs="Times New Roman"/>
          <w:sz w:val="20"/>
          <w:szCs w:val="20"/>
        </w:rPr>
        <w:t>and</w:t>
      </w:r>
      <w:r>
        <w:rPr>
          <w:rFonts w:ascii="Times New Roman" w:hAnsi="Times New Roman" w:cs="Times New Roman"/>
          <w:spacing w:val="-4"/>
          <w:sz w:val="20"/>
          <w:szCs w:val="20"/>
        </w:rPr>
        <w:t xml:space="preserve"> </w:t>
      </w:r>
      <w:r>
        <w:rPr>
          <w:rFonts w:ascii="Times New Roman" w:hAnsi="Times New Roman" w:cs="Times New Roman"/>
          <w:sz w:val="20"/>
          <w:szCs w:val="20"/>
        </w:rPr>
        <w:t>its</w:t>
      </w:r>
      <w:r>
        <w:rPr>
          <w:rFonts w:ascii="Times New Roman" w:hAnsi="Times New Roman" w:cs="Times New Roman"/>
          <w:spacing w:val="-8"/>
          <w:sz w:val="20"/>
          <w:szCs w:val="20"/>
        </w:rPr>
        <w:t xml:space="preserve"> </w:t>
      </w:r>
      <w:r>
        <w:rPr>
          <w:rFonts w:ascii="Times New Roman" w:hAnsi="Times New Roman" w:cs="Times New Roman"/>
          <w:sz w:val="20"/>
          <w:szCs w:val="20"/>
        </w:rPr>
        <w:t>Impact</w:t>
      </w:r>
      <w:r>
        <w:rPr>
          <w:rFonts w:ascii="Times New Roman" w:hAnsi="Times New Roman" w:cs="Times New Roman"/>
          <w:spacing w:val="-8"/>
          <w:sz w:val="20"/>
          <w:szCs w:val="20"/>
        </w:rPr>
        <w:t xml:space="preserve"> </w:t>
      </w:r>
      <w:r>
        <w:rPr>
          <w:rFonts w:ascii="Times New Roman" w:hAnsi="Times New Roman" w:cs="Times New Roman"/>
          <w:sz w:val="20"/>
          <w:szCs w:val="20"/>
        </w:rPr>
        <w:t>on</w:t>
      </w:r>
      <w:r>
        <w:rPr>
          <w:rFonts w:ascii="Times New Roman" w:hAnsi="Times New Roman" w:cs="Times New Roman"/>
          <w:spacing w:val="-9"/>
          <w:sz w:val="20"/>
          <w:szCs w:val="20"/>
        </w:rPr>
        <w:t xml:space="preserve"> </w:t>
      </w:r>
      <w:r>
        <w:rPr>
          <w:rFonts w:ascii="Times New Roman" w:hAnsi="Times New Roman" w:cs="Times New Roman"/>
          <w:sz w:val="20"/>
          <w:szCs w:val="20"/>
        </w:rPr>
        <w:t>Cost</w:t>
      </w:r>
      <w:r>
        <w:rPr>
          <w:rFonts w:ascii="Times New Roman" w:hAnsi="Times New Roman" w:cs="Times New Roman"/>
          <w:spacing w:val="-8"/>
          <w:sz w:val="20"/>
          <w:szCs w:val="20"/>
        </w:rPr>
        <w:t xml:space="preserve"> </w:t>
      </w:r>
      <w:r>
        <w:rPr>
          <w:rFonts w:ascii="Times New Roman" w:hAnsi="Times New Roman" w:cs="Times New Roman"/>
          <w:sz w:val="20"/>
          <w:szCs w:val="20"/>
        </w:rPr>
        <w:t>of</w:t>
      </w:r>
      <w:r>
        <w:rPr>
          <w:rFonts w:ascii="Times New Roman" w:hAnsi="Times New Roman" w:cs="Times New Roman"/>
          <w:spacing w:val="34"/>
          <w:sz w:val="20"/>
          <w:szCs w:val="20"/>
        </w:rPr>
        <w:t xml:space="preserve"> </w:t>
      </w:r>
      <w:r>
        <w:rPr>
          <w:rFonts w:ascii="Times New Roman" w:hAnsi="Times New Roman" w:cs="Times New Roman"/>
          <w:sz w:val="20"/>
          <w:szCs w:val="20"/>
        </w:rPr>
        <w:t>Hospitalization,</w:t>
      </w:r>
      <w:r>
        <w:rPr>
          <w:rFonts w:ascii="Times New Roman" w:hAnsi="Times New Roman" w:cs="Times New Roman"/>
          <w:spacing w:val="-7"/>
          <w:sz w:val="20"/>
          <w:szCs w:val="20"/>
        </w:rPr>
        <w:t xml:space="preserve"> </w:t>
      </w:r>
      <w:r>
        <w:rPr>
          <w:rFonts w:ascii="Times New Roman" w:hAnsi="Times New Roman" w:cs="Times New Roman"/>
          <w:sz w:val="20"/>
          <w:szCs w:val="20"/>
        </w:rPr>
        <w:t>Length</w:t>
      </w:r>
      <w:r>
        <w:rPr>
          <w:rFonts w:ascii="Times New Roman" w:hAnsi="Times New Roman" w:cs="Times New Roman"/>
          <w:spacing w:val="-9"/>
          <w:sz w:val="20"/>
          <w:szCs w:val="20"/>
        </w:rPr>
        <w:t xml:space="preserve"> </w:t>
      </w:r>
      <w:r>
        <w:rPr>
          <w:rFonts w:ascii="Times New Roman" w:hAnsi="Times New Roman" w:cs="Times New Roman"/>
          <w:sz w:val="20"/>
          <w:szCs w:val="20"/>
        </w:rPr>
        <w:t>of</w:t>
      </w:r>
      <w:r>
        <w:rPr>
          <w:rFonts w:ascii="Times New Roman" w:hAnsi="Times New Roman" w:cs="Times New Roman"/>
          <w:spacing w:val="-12"/>
          <w:sz w:val="20"/>
          <w:szCs w:val="20"/>
        </w:rPr>
        <w:t xml:space="preserve"> </w:t>
      </w:r>
      <w:r>
        <w:rPr>
          <w:rFonts w:ascii="Times New Roman" w:hAnsi="Times New Roman" w:cs="Times New Roman"/>
          <w:sz w:val="20"/>
          <w:szCs w:val="20"/>
        </w:rPr>
        <w:t>Stay,</w:t>
      </w:r>
      <w:r>
        <w:rPr>
          <w:rFonts w:ascii="Times New Roman" w:hAnsi="Times New Roman" w:cs="Times New Roman"/>
          <w:spacing w:val="-5"/>
          <w:sz w:val="20"/>
          <w:szCs w:val="20"/>
        </w:rPr>
        <w:t xml:space="preserve"> </w:t>
      </w:r>
      <w:r>
        <w:rPr>
          <w:rFonts w:ascii="Times New Roman" w:hAnsi="Times New Roman" w:cs="Times New Roman"/>
          <w:sz w:val="20"/>
          <w:szCs w:val="20"/>
        </w:rPr>
        <w:t>Readmission</w:t>
      </w:r>
      <w:r>
        <w:rPr>
          <w:rFonts w:ascii="Times New Roman" w:hAnsi="Times New Roman" w:cs="Times New Roman"/>
          <w:spacing w:val="-9"/>
          <w:sz w:val="20"/>
          <w:szCs w:val="20"/>
        </w:rPr>
        <w:t xml:space="preserve"> </w:t>
      </w:r>
      <w:r>
        <w:rPr>
          <w:rFonts w:ascii="Times New Roman" w:hAnsi="Times New Roman" w:cs="Times New Roman"/>
          <w:sz w:val="20"/>
          <w:szCs w:val="20"/>
        </w:rPr>
        <w:t>and</w:t>
      </w:r>
      <w:r>
        <w:rPr>
          <w:rFonts w:ascii="Times New Roman" w:hAnsi="Times New Roman" w:cs="Times New Roman"/>
          <w:spacing w:val="-4"/>
          <w:sz w:val="20"/>
          <w:szCs w:val="20"/>
        </w:rPr>
        <w:t xml:space="preserve"> </w:t>
      </w:r>
      <w:r>
        <w:rPr>
          <w:rFonts w:ascii="Times New Roman" w:hAnsi="Times New Roman" w:cs="Times New Roman"/>
          <w:spacing w:val="2"/>
          <w:sz w:val="20"/>
          <w:szCs w:val="20"/>
        </w:rPr>
        <w:t xml:space="preserve">3- </w:t>
      </w:r>
      <w:r>
        <w:rPr>
          <w:rFonts w:ascii="Times New Roman" w:hAnsi="Times New Roman" w:cs="Times New Roman"/>
          <w:sz w:val="20"/>
          <w:szCs w:val="20"/>
        </w:rPr>
        <w:t xml:space="preserve">Year Mortality, 31 Clinical Nutrition 345-350 (2012), available </w:t>
      </w:r>
      <w:proofErr w:type="spellStart"/>
      <w:r>
        <w:rPr>
          <w:rFonts w:ascii="Times New Roman" w:hAnsi="Times New Roman" w:cs="Times New Roman"/>
          <w:sz w:val="20"/>
          <w:szCs w:val="20"/>
        </w:rPr>
        <w:t xml:space="preserve">at </w:t>
      </w:r>
      <w:hyperlink r:id="rId167" w:history="1">
        <w:r>
          <w:rPr>
            <w:rFonts w:ascii="Times New Roman" w:hAnsi="Times New Roman" w:cs="Times New Roman"/>
            <w:sz w:val="20"/>
            <w:szCs w:val="20"/>
          </w:rPr>
          <w:t>http://www.clinicalnutritionjournal.com/article/S0261-5614(11)00199-3/pdf;</w:t>
        </w:r>
      </w:hyperlink>
      <w:r>
        <w:rPr>
          <w:rFonts w:ascii="Times New Roman" w:hAnsi="Times New Roman" w:cs="Times New Roman"/>
          <w:sz w:val="20"/>
          <w:szCs w:val="20"/>
        </w:rPr>
        <w:t xml:space="preserve"> see</w:t>
      </w:r>
      <w:proofErr w:type="spellEnd"/>
      <w:r>
        <w:rPr>
          <w:rFonts w:ascii="Times New Roman" w:hAnsi="Times New Roman" w:cs="Times New Roman"/>
          <w:sz w:val="20"/>
          <w:szCs w:val="20"/>
        </w:rPr>
        <w:t xml:space="preserve"> also Fact Sheet HIV/AIDS, Food &amp; Nutrition </w:t>
      </w:r>
      <w:proofErr w:type="spellStart"/>
      <w:r>
        <w:rPr>
          <w:rFonts w:ascii="Times New Roman" w:hAnsi="Times New Roman" w:cs="Times New Roman"/>
          <w:sz w:val="20"/>
          <w:szCs w:val="20"/>
        </w:rPr>
        <w:t>Services</w:t>
      </w:r>
      <w:proofErr w:type="spellEnd"/>
      <w:r>
        <w:rPr>
          <w:rFonts w:ascii="Times New Roman" w:hAnsi="Times New Roman" w:cs="Times New Roman"/>
          <w:sz w:val="20"/>
          <w:szCs w:val="20"/>
        </w:rPr>
        <w:t xml:space="preserve"> Needs, </w:t>
      </w:r>
      <w:proofErr w:type="spellStart"/>
      <w:r>
        <w:rPr>
          <w:rFonts w:ascii="Times New Roman" w:hAnsi="Times New Roman" w:cs="Times New Roman"/>
          <w:sz w:val="20"/>
          <w:szCs w:val="20"/>
        </w:rPr>
        <w:t>Cmty</w:t>
      </w:r>
      <w:proofErr w:type="spellEnd"/>
      <w:r>
        <w:rPr>
          <w:rFonts w:ascii="Times New Roman" w:hAnsi="Times New Roman" w:cs="Times New Roman"/>
          <w:sz w:val="20"/>
          <w:szCs w:val="20"/>
        </w:rPr>
        <w:t xml:space="preserve">. Health Advisory &amp; Info. Network (Oct. 2011), available at </w:t>
      </w:r>
      <w:hyperlink r:id="rId168" w:history="1">
        <w:r>
          <w:rPr>
            <w:rFonts w:ascii="Times New Roman" w:hAnsi="Times New Roman" w:cs="Times New Roman"/>
            <w:sz w:val="20"/>
            <w:szCs w:val="20"/>
          </w:rPr>
          <w:t>http://www.nyhiv.org/pdfs/chain/CHAIN%202011-</w:t>
        </w:r>
      </w:hyperlink>
      <w:r>
        <w:rPr>
          <w:rFonts w:ascii="Times New Roman" w:hAnsi="Times New Roman" w:cs="Times New Roman"/>
          <w:sz w:val="20"/>
          <w:szCs w:val="20"/>
        </w:rPr>
        <w:t xml:space="preserve"> </w:t>
      </w:r>
      <w:r>
        <w:rPr>
          <w:rFonts w:ascii="Times New Roman" w:hAnsi="Times New Roman" w:cs="Times New Roman"/>
          <w:w w:val="95"/>
          <w:sz w:val="20"/>
          <w:szCs w:val="20"/>
        </w:rPr>
        <w:t>5%20Brief%20Report_HIVAIDS,%20Food%20&amp;%20Nutrition%20Service%20Needs%20Factsheet.pdf;</w:t>
      </w:r>
      <w:r>
        <w:rPr>
          <w:rFonts w:ascii="Times New Roman" w:hAnsi="Times New Roman" w:cs="Times New Roman"/>
          <w:w w:val="95"/>
          <w:sz w:val="20"/>
          <w:szCs w:val="20"/>
        </w:rPr>
        <w:tab/>
      </w:r>
      <w:r>
        <w:rPr>
          <w:rFonts w:ascii="Times New Roman" w:hAnsi="Times New Roman" w:cs="Times New Roman"/>
          <w:sz w:val="20"/>
          <w:szCs w:val="20"/>
        </w:rPr>
        <w:t>see</w:t>
      </w:r>
      <w:r>
        <w:rPr>
          <w:rFonts w:ascii="Times New Roman" w:hAnsi="Times New Roman" w:cs="Times New Roman"/>
          <w:sz w:val="20"/>
          <w:szCs w:val="20"/>
        </w:rPr>
        <w:tab/>
        <w:t>also Fact</w:t>
      </w:r>
      <w:r>
        <w:rPr>
          <w:rFonts w:ascii="Times New Roman" w:hAnsi="Times New Roman" w:cs="Times New Roman"/>
          <w:spacing w:val="-8"/>
          <w:sz w:val="20"/>
          <w:szCs w:val="20"/>
        </w:rPr>
        <w:t xml:space="preserve"> </w:t>
      </w:r>
      <w:r>
        <w:rPr>
          <w:rFonts w:ascii="Times New Roman" w:hAnsi="Times New Roman" w:cs="Times New Roman"/>
          <w:sz w:val="20"/>
          <w:szCs w:val="20"/>
        </w:rPr>
        <w:t>Sheet</w:t>
      </w:r>
      <w:r>
        <w:rPr>
          <w:rFonts w:ascii="Times New Roman" w:hAnsi="Times New Roman" w:cs="Times New Roman"/>
          <w:spacing w:val="-8"/>
          <w:sz w:val="20"/>
          <w:szCs w:val="20"/>
        </w:rPr>
        <w:t xml:space="preserve"> </w:t>
      </w:r>
      <w:r>
        <w:rPr>
          <w:rFonts w:ascii="Times New Roman" w:hAnsi="Times New Roman" w:cs="Times New Roman"/>
          <w:sz w:val="20"/>
          <w:szCs w:val="20"/>
        </w:rPr>
        <w:t>#2</w:t>
      </w:r>
      <w:r>
        <w:rPr>
          <w:rFonts w:ascii="Times New Roman" w:hAnsi="Times New Roman" w:cs="Times New Roman"/>
          <w:spacing w:val="-7"/>
          <w:sz w:val="20"/>
          <w:szCs w:val="20"/>
        </w:rPr>
        <w:t xml:space="preserve"> </w:t>
      </w:r>
      <w:r>
        <w:rPr>
          <w:rFonts w:ascii="Times New Roman" w:hAnsi="Times New Roman" w:cs="Times New Roman"/>
          <w:sz w:val="20"/>
          <w:szCs w:val="20"/>
        </w:rPr>
        <w:t>Who</w:t>
      </w:r>
      <w:r>
        <w:rPr>
          <w:rFonts w:ascii="Times New Roman" w:hAnsi="Times New Roman" w:cs="Times New Roman"/>
          <w:spacing w:val="-4"/>
          <w:sz w:val="20"/>
          <w:szCs w:val="20"/>
        </w:rPr>
        <w:t xml:space="preserve"> </w:t>
      </w:r>
      <w:r>
        <w:rPr>
          <w:rFonts w:ascii="Times New Roman" w:hAnsi="Times New Roman" w:cs="Times New Roman"/>
          <w:sz w:val="20"/>
          <w:szCs w:val="20"/>
        </w:rPr>
        <w:t>Needs</w:t>
      </w:r>
      <w:r>
        <w:rPr>
          <w:rFonts w:ascii="Times New Roman" w:hAnsi="Times New Roman" w:cs="Times New Roman"/>
          <w:spacing w:val="-9"/>
          <w:sz w:val="20"/>
          <w:szCs w:val="20"/>
        </w:rPr>
        <w:t xml:space="preserve"> </w:t>
      </w:r>
      <w:r>
        <w:rPr>
          <w:rFonts w:ascii="Times New Roman" w:hAnsi="Times New Roman" w:cs="Times New Roman"/>
          <w:sz w:val="20"/>
          <w:szCs w:val="20"/>
        </w:rPr>
        <w:t>Food</w:t>
      </w:r>
      <w:r>
        <w:rPr>
          <w:rFonts w:ascii="Times New Roman" w:hAnsi="Times New Roman" w:cs="Times New Roman"/>
          <w:spacing w:val="-7"/>
          <w:sz w:val="20"/>
          <w:szCs w:val="20"/>
        </w:rPr>
        <w:t xml:space="preserve"> </w:t>
      </w:r>
      <w:r>
        <w:rPr>
          <w:rFonts w:ascii="Times New Roman" w:hAnsi="Times New Roman" w:cs="Times New Roman"/>
          <w:sz w:val="20"/>
          <w:szCs w:val="20"/>
        </w:rPr>
        <w:t>&amp;</w:t>
      </w:r>
      <w:r>
        <w:rPr>
          <w:rFonts w:ascii="Times New Roman" w:hAnsi="Times New Roman" w:cs="Times New Roman"/>
          <w:spacing w:val="-12"/>
          <w:sz w:val="20"/>
          <w:szCs w:val="20"/>
        </w:rPr>
        <w:t xml:space="preserve"> </w:t>
      </w:r>
      <w:r>
        <w:rPr>
          <w:rFonts w:ascii="Times New Roman" w:hAnsi="Times New Roman" w:cs="Times New Roman"/>
          <w:sz w:val="20"/>
          <w:szCs w:val="20"/>
        </w:rPr>
        <w:t>Nutrition</w:t>
      </w:r>
      <w:r>
        <w:rPr>
          <w:rFonts w:ascii="Times New Roman" w:hAnsi="Times New Roman" w:cs="Times New Roman"/>
          <w:spacing w:val="-9"/>
          <w:sz w:val="20"/>
          <w:szCs w:val="20"/>
        </w:rPr>
        <w:t xml:space="preserve"> </w:t>
      </w:r>
      <w:r>
        <w:rPr>
          <w:rFonts w:ascii="Times New Roman" w:hAnsi="Times New Roman" w:cs="Times New Roman"/>
          <w:sz w:val="20"/>
          <w:szCs w:val="20"/>
        </w:rPr>
        <w:t>Services</w:t>
      </w:r>
      <w:r>
        <w:rPr>
          <w:rFonts w:ascii="Times New Roman" w:hAnsi="Times New Roman" w:cs="Times New Roman"/>
          <w:spacing w:val="-9"/>
          <w:sz w:val="20"/>
          <w:szCs w:val="20"/>
        </w:rPr>
        <w:t xml:space="preserve"> </w:t>
      </w:r>
      <w:r>
        <w:rPr>
          <w:rFonts w:ascii="Times New Roman" w:hAnsi="Times New Roman" w:cs="Times New Roman"/>
          <w:sz w:val="20"/>
          <w:szCs w:val="20"/>
        </w:rPr>
        <w:t>and</w:t>
      </w:r>
      <w:r>
        <w:rPr>
          <w:rFonts w:ascii="Times New Roman" w:hAnsi="Times New Roman" w:cs="Times New Roman"/>
          <w:spacing w:val="-7"/>
          <w:sz w:val="20"/>
          <w:szCs w:val="20"/>
        </w:rPr>
        <w:t xml:space="preserve"> </w:t>
      </w:r>
      <w:r>
        <w:rPr>
          <w:rFonts w:ascii="Times New Roman" w:hAnsi="Times New Roman" w:cs="Times New Roman"/>
          <w:sz w:val="20"/>
          <w:szCs w:val="20"/>
        </w:rPr>
        <w:t>Where</w:t>
      </w:r>
      <w:r>
        <w:rPr>
          <w:rFonts w:ascii="Times New Roman" w:hAnsi="Times New Roman" w:cs="Times New Roman"/>
          <w:spacing w:val="-7"/>
          <w:sz w:val="20"/>
          <w:szCs w:val="20"/>
        </w:rPr>
        <w:t xml:space="preserve"> </w:t>
      </w:r>
      <w:r>
        <w:rPr>
          <w:rFonts w:ascii="Times New Roman" w:hAnsi="Times New Roman" w:cs="Times New Roman"/>
          <w:sz w:val="20"/>
          <w:szCs w:val="20"/>
        </w:rPr>
        <w:t>Do</w:t>
      </w:r>
      <w:r>
        <w:rPr>
          <w:rFonts w:ascii="Times New Roman" w:hAnsi="Times New Roman" w:cs="Times New Roman"/>
          <w:spacing w:val="-7"/>
          <w:sz w:val="20"/>
          <w:szCs w:val="20"/>
        </w:rPr>
        <w:t xml:space="preserve"> </w:t>
      </w:r>
      <w:r>
        <w:rPr>
          <w:rFonts w:ascii="Times New Roman" w:hAnsi="Times New Roman" w:cs="Times New Roman"/>
          <w:sz w:val="20"/>
          <w:szCs w:val="20"/>
        </w:rPr>
        <w:t>They</w:t>
      </w:r>
      <w:r>
        <w:rPr>
          <w:rFonts w:ascii="Times New Roman" w:hAnsi="Times New Roman" w:cs="Times New Roman"/>
          <w:spacing w:val="-14"/>
          <w:sz w:val="20"/>
          <w:szCs w:val="20"/>
        </w:rPr>
        <w:t xml:space="preserve"> </w:t>
      </w:r>
      <w:r>
        <w:rPr>
          <w:rFonts w:ascii="Times New Roman" w:hAnsi="Times New Roman" w:cs="Times New Roman"/>
          <w:sz w:val="20"/>
          <w:szCs w:val="20"/>
        </w:rPr>
        <w:t>Go</w:t>
      </w:r>
      <w:r>
        <w:rPr>
          <w:rFonts w:ascii="Times New Roman" w:hAnsi="Times New Roman" w:cs="Times New Roman"/>
          <w:spacing w:val="-4"/>
          <w:sz w:val="20"/>
          <w:szCs w:val="20"/>
        </w:rPr>
        <w:t xml:space="preserve"> </w:t>
      </w:r>
      <w:r>
        <w:rPr>
          <w:rFonts w:ascii="Times New Roman" w:hAnsi="Times New Roman" w:cs="Times New Roman"/>
          <w:sz w:val="20"/>
          <w:szCs w:val="20"/>
        </w:rPr>
        <w:t>for</w:t>
      </w:r>
      <w:r>
        <w:rPr>
          <w:rFonts w:ascii="Times New Roman" w:hAnsi="Times New Roman" w:cs="Times New Roman"/>
          <w:spacing w:val="-7"/>
          <w:sz w:val="20"/>
          <w:szCs w:val="20"/>
        </w:rPr>
        <w:t xml:space="preserve"> </w:t>
      </w:r>
      <w:r>
        <w:rPr>
          <w:rFonts w:ascii="Times New Roman" w:hAnsi="Times New Roman" w:cs="Times New Roman"/>
          <w:sz w:val="20"/>
          <w:szCs w:val="20"/>
        </w:rPr>
        <w:t>Help?,</w:t>
      </w:r>
      <w:r>
        <w:rPr>
          <w:rFonts w:ascii="Times New Roman" w:hAnsi="Times New Roman" w:cs="Times New Roman"/>
          <w:spacing w:val="-7"/>
          <w:sz w:val="20"/>
          <w:szCs w:val="20"/>
        </w:rPr>
        <w:t xml:space="preserve"> </w:t>
      </w:r>
      <w:proofErr w:type="spellStart"/>
      <w:r>
        <w:rPr>
          <w:rFonts w:ascii="Times New Roman" w:hAnsi="Times New Roman" w:cs="Times New Roman"/>
          <w:sz w:val="20"/>
          <w:szCs w:val="20"/>
        </w:rPr>
        <w:t>Cmty</w:t>
      </w:r>
      <w:proofErr w:type="spellEnd"/>
      <w:r>
        <w:rPr>
          <w:rFonts w:ascii="Times New Roman" w:hAnsi="Times New Roman" w:cs="Times New Roman"/>
          <w:sz w:val="20"/>
          <w:szCs w:val="20"/>
        </w:rPr>
        <w:t>.</w:t>
      </w:r>
      <w:r>
        <w:rPr>
          <w:rFonts w:ascii="Times New Roman" w:hAnsi="Times New Roman" w:cs="Times New Roman"/>
          <w:spacing w:val="-3"/>
          <w:sz w:val="20"/>
          <w:szCs w:val="20"/>
        </w:rPr>
        <w:t xml:space="preserve"> </w:t>
      </w:r>
      <w:r>
        <w:rPr>
          <w:rFonts w:ascii="Times New Roman" w:hAnsi="Times New Roman" w:cs="Times New Roman"/>
          <w:sz w:val="20"/>
          <w:szCs w:val="20"/>
        </w:rPr>
        <w:t>Health</w:t>
      </w:r>
      <w:r>
        <w:rPr>
          <w:rFonts w:ascii="Times New Roman" w:hAnsi="Times New Roman" w:cs="Times New Roman"/>
          <w:spacing w:val="-4"/>
          <w:sz w:val="20"/>
          <w:szCs w:val="20"/>
        </w:rPr>
        <w:t xml:space="preserve"> </w:t>
      </w:r>
      <w:r>
        <w:rPr>
          <w:rFonts w:ascii="Times New Roman" w:hAnsi="Times New Roman" w:cs="Times New Roman"/>
          <w:sz w:val="20"/>
          <w:szCs w:val="20"/>
        </w:rPr>
        <w:t>Advisory</w:t>
      </w:r>
      <w:r>
        <w:rPr>
          <w:rFonts w:ascii="Times New Roman" w:hAnsi="Times New Roman" w:cs="Times New Roman"/>
          <w:spacing w:val="-11"/>
          <w:sz w:val="20"/>
          <w:szCs w:val="20"/>
        </w:rPr>
        <w:t xml:space="preserve"> </w:t>
      </w:r>
      <w:r>
        <w:rPr>
          <w:rFonts w:ascii="Times New Roman" w:hAnsi="Times New Roman" w:cs="Times New Roman"/>
          <w:sz w:val="20"/>
          <w:szCs w:val="20"/>
        </w:rPr>
        <w:t xml:space="preserve">&amp; Info. Network (Aug. 2013), available at </w:t>
      </w:r>
      <w:hyperlink r:id="rId169" w:history="1">
        <w:r>
          <w:rPr>
            <w:rFonts w:ascii="Times New Roman" w:hAnsi="Times New Roman" w:cs="Times New Roman"/>
            <w:sz w:val="20"/>
            <w:szCs w:val="20"/>
          </w:rPr>
          <w:t>http://www.nyhiv.org/pdfs/chain/CHAIN%202013-</w:t>
        </w:r>
      </w:hyperlink>
      <w:r>
        <w:rPr>
          <w:rFonts w:ascii="Times New Roman" w:hAnsi="Times New Roman" w:cs="Times New Roman"/>
          <w:sz w:val="20"/>
          <w:szCs w:val="20"/>
        </w:rPr>
        <w:t xml:space="preserve"> 2%20Brief%20Report_Food%20Insecurity%20Fact%20Sheet_2.pdf; see also Fact Sheet #3 Food &amp; Nutrition Services, HIV Medical Care, and Health Outcomes, </w:t>
      </w:r>
      <w:proofErr w:type="spellStart"/>
      <w:r>
        <w:rPr>
          <w:rFonts w:ascii="Times New Roman" w:hAnsi="Times New Roman" w:cs="Times New Roman"/>
          <w:sz w:val="20"/>
          <w:szCs w:val="20"/>
        </w:rPr>
        <w:t>Cmty</w:t>
      </w:r>
      <w:proofErr w:type="spellEnd"/>
      <w:r>
        <w:rPr>
          <w:rFonts w:ascii="Times New Roman" w:hAnsi="Times New Roman" w:cs="Times New Roman"/>
          <w:sz w:val="20"/>
          <w:szCs w:val="20"/>
        </w:rPr>
        <w:t xml:space="preserve">. Health Advisory &amp; Info. Network, available at </w:t>
      </w:r>
      <w:r>
        <w:rPr>
          <w:rFonts w:ascii="Times New Roman" w:hAnsi="Times New Roman" w:cs="Times New Roman"/>
          <w:spacing w:val="-1"/>
          <w:w w:val="95"/>
          <w:sz w:val="20"/>
          <w:szCs w:val="20"/>
        </w:rPr>
        <w:t>https://</w:t>
      </w:r>
      <w:hyperlink r:id="rId170" w:history="1">
        <w:r>
          <w:rPr>
            <w:rFonts w:ascii="Times New Roman" w:hAnsi="Times New Roman" w:cs="Times New Roman"/>
            <w:spacing w:val="-1"/>
            <w:w w:val="95"/>
            <w:sz w:val="20"/>
            <w:szCs w:val="20"/>
          </w:rPr>
          <w:t>www.health.ny.gov/diseases/aids/ending_the_epidemic/docs/key_resources/housing_and_supportive_service</w:t>
        </w:r>
      </w:hyperlink>
      <w:r>
        <w:rPr>
          <w:rFonts w:ascii="Times New Roman" w:hAnsi="Times New Roman" w:cs="Times New Roman"/>
          <w:spacing w:val="-1"/>
          <w:w w:val="95"/>
          <w:sz w:val="20"/>
          <w:szCs w:val="20"/>
        </w:rPr>
        <w:t xml:space="preserve"> </w:t>
      </w:r>
      <w:r>
        <w:rPr>
          <w:rFonts w:ascii="Times New Roman" w:hAnsi="Times New Roman" w:cs="Times New Roman"/>
          <w:sz w:val="20"/>
          <w:szCs w:val="20"/>
        </w:rPr>
        <w:t>s/chain_factsheet3.pdf (last visited May 31,</w:t>
      </w:r>
      <w:r>
        <w:rPr>
          <w:rFonts w:ascii="Times New Roman" w:hAnsi="Times New Roman" w:cs="Times New Roman"/>
          <w:spacing w:val="-21"/>
          <w:sz w:val="20"/>
          <w:szCs w:val="20"/>
        </w:rPr>
        <w:t xml:space="preserve"> </w:t>
      </w:r>
      <w:r>
        <w:rPr>
          <w:rFonts w:ascii="Times New Roman" w:hAnsi="Times New Roman" w:cs="Times New Roman"/>
          <w:sz w:val="20"/>
          <w:szCs w:val="20"/>
        </w:rPr>
        <w:t>2016).</w:t>
      </w:r>
    </w:p>
    <w:p w:rsidR="002C5025" w:rsidRDefault="002C5025">
      <w:pPr>
        <w:pStyle w:val="BodyText"/>
        <w:kinsoku w:val="0"/>
        <w:overflowPunct w:val="0"/>
        <w:spacing w:line="254" w:lineRule="auto"/>
        <w:ind w:left="120" w:right="301"/>
        <w:rPr>
          <w:rFonts w:ascii="Times New Roman" w:hAnsi="Times New Roman" w:cs="Times New Roman"/>
          <w:sz w:val="20"/>
          <w:szCs w:val="20"/>
        </w:rPr>
      </w:pPr>
      <w:r>
        <w:rPr>
          <w:position w:val="8"/>
          <w:sz w:val="16"/>
          <w:szCs w:val="16"/>
        </w:rPr>
        <w:t>4</w:t>
      </w:r>
      <w:r>
        <w:rPr>
          <w:spacing w:val="7"/>
          <w:position w:val="8"/>
          <w:sz w:val="16"/>
          <w:szCs w:val="16"/>
        </w:rPr>
        <w:t xml:space="preserve"> </w:t>
      </w:r>
      <w:r>
        <w:rPr>
          <w:rFonts w:ascii="Times New Roman" w:hAnsi="Times New Roman" w:cs="Times New Roman"/>
          <w:sz w:val="20"/>
          <w:szCs w:val="20"/>
        </w:rPr>
        <w:t>Craig</w:t>
      </w:r>
      <w:r>
        <w:rPr>
          <w:rFonts w:ascii="Times New Roman" w:hAnsi="Times New Roman" w:cs="Times New Roman"/>
          <w:spacing w:val="-13"/>
          <w:sz w:val="20"/>
          <w:szCs w:val="20"/>
        </w:rPr>
        <w:t xml:space="preserve"> </w:t>
      </w:r>
      <w:proofErr w:type="spellStart"/>
      <w:r>
        <w:rPr>
          <w:rFonts w:ascii="Times New Roman" w:hAnsi="Times New Roman" w:cs="Times New Roman"/>
          <w:sz w:val="20"/>
          <w:szCs w:val="20"/>
        </w:rPr>
        <w:t>Gundersen</w:t>
      </w:r>
      <w:proofErr w:type="spellEnd"/>
      <w:r>
        <w:rPr>
          <w:rFonts w:ascii="Times New Roman" w:hAnsi="Times New Roman" w:cs="Times New Roman"/>
          <w:spacing w:val="-10"/>
          <w:sz w:val="20"/>
          <w:szCs w:val="20"/>
        </w:rPr>
        <w:t xml:space="preserve"> </w:t>
      </w:r>
      <w:r>
        <w:rPr>
          <w:rFonts w:ascii="Times New Roman" w:hAnsi="Times New Roman" w:cs="Times New Roman"/>
          <w:sz w:val="20"/>
          <w:szCs w:val="20"/>
        </w:rPr>
        <w:t>&amp;</w:t>
      </w:r>
      <w:r>
        <w:rPr>
          <w:rFonts w:ascii="Times New Roman" w:hAnsi="Times New Roman" w:cs="Times New Roman"/>
          <w:spacing w:val="-13"/>
          <w:sz w:val="20"/>
          <w:szCs w:val="20"/>
        </w:rPr>
        <w:t xml:space="preserve"> </w:t>
      </w:r>
      <w:r>
        <w:rPr>
          <w:rFonts w:ascii="Times New Roman" w:hAnsi="Times New Roman" w:cs="Times New Roman"/>
          <w:sz w:val="20"/>
          <w:szCs w:val="20"/>
        </w:rPr>
        <w:t>James</w:t>
      </w:r>
      <w:r>
        <w:rPr>
          <w:rFonts w:ascii="Times New Roman" w:hAnsi="Times New Roman" w:cs="Times New Roman"/>
          <w:spacing w:val="-12"/>
          <w:sz w:val="20"/>
          <w:szCs w:val="20"/>
        </w:rPr>
        <w:t xml:space="preserve"> </w:t>
      </w:r>
      <w:r>
        <w:rPr>
          <w:rFonts w:ascii="Times New Roman" w:hAnsi="Times New Roman" w:cs="Times New Roman"/>
          <w:sz w:val="20"/>
          <w:szCs w:val="20"/>
        </w:rPr>
        <w:t>P.</w:t>
      </w:r>
      <w:r>
        <w:rPr>
          <w:rFonts w:ascii="Times New Roman" w:hAnsi="Times New Roman" w:cs="Times New Roman"/>
          <w:spacing w:val="-8"/>
          <w:sz w:val="20"/>
          <w:szCs w:val="20"/>
        </w:rPr>
        <w:t xml:space="preserve"> </w:t>
      </w:r>
      <w:proofErr w:type="spellStart"/>
      <w:r>
        <w:rPr>
          <w:rFonts w:ascii="Times New Roman" w:hAnsi="Times New Roman" w:cs="Times New Roman"/>
          <w:sz w:val="20"/>
          <w:szCs w:val="20"/>
        </w:rPr>
        <w:t>Ziliak</w:t>
      </w:r>
      <w:proofErr w:type="spellEnd"/>
      <w:r>
        <w:rPr>
          <w:rFonts w:ascii="Times New Roman" w:hAnsi="Times New Roman" w:cs="Times New Roman"/>
          <w:sz w:val="20"/>
          <w:szCs w:val="20"/>
        </w:rPr>
        <w:t>,</w:t>
      </w:r>
      <w:r>
        <w:rPr>
          <w:rFonts w:ascii="Times New Roman" w:hAnsi="Times New Roman" w:cs="Times New Roman"/>
          <w:spacing w:val="-11"/>
          <w:sz w:val="20"/>
          <w:szCs w:val="20"/>
        </w:rPr>
        <w:t xml:space="preserve"> </w:t>
      </w:r>
      <w:r>
        <w:rPr>
          <w:rFonts w:ascii="Times New Roman" w:hAnsi="Times New Roman" w:cs="Times New Roman"/>
          <w:sz w:val="20"/>
          <w:szCs w:val="20"/>
        </w:rPr>
        <w:t>Childhood</w:t>
      </w:r>
      <w:r>
        <w:rPr>
          <w:rFonts w:ascii="Times New Roman" w:hAnsi="Times New Roman" w:cs="Times New Roman"/>
          <w:spacing w:val="-8"/>
          <w:sz w:val="20"/>
          <w:szCs w:val="20"/>
        </w:rPr>
        <w:t xml:space="preserve"> </w:t>
      </w:r>
      <w:r>
        <w:rPr>
          <w:rFonts w:ascii="Times New Roman" w:hAnsi="Times New Roman" w:cs="Times New Roman"/>
          <w:sz w:val="20"/>
          <w:szCs w:val="20"/>
        </w:rPr>
        <w:t>Food</w:t>
      </w:r>
      <w:r>
        <w:rPr>
          <w:rFonts w:ascii="Times New Roman" w:hAnsi="Times New Roman" w:cs="Times New Roman"/>
          <w:spacing w:val="-8"/>
          <w:sz w:val="20"/>
          <w:szCs w:val="20"/>
        </w:rPr>
        <w:t xml:space="preserve"> </w:t>
      </w:r>
      <w:r>
        <w:rPr>
          <w:rFonts w:ascii="Times New Roman" w:hAnsi="Times New Roman" w:cs="Times New Roman"/>
          <w:sz w:val="20"/>
          <w:szCs w:val="20"/>
        </w:rPr>
        <w:t>Insecurity</w:t>
      </w:r>
      <w:r>
        <w:rPr>
          <w:rFonts w:ascii="Times New Roman" w:hAnsi="Times New Roman" w:cs="Times New Roman"/>
          <w:spacing w:val="-16"/>
          <w:sz w:val="20"/>
          <w:szCs w:val="20"/>
        </w:rPr>
        <w:t xml:space="preserve"> </w:t>
      </w:r>
      <w:r>
        <w:rPr>
          <w:rFonts w:ascii="Times New Roman" w:hAnsi="Times New Roman" w:cs="Times New Roman"/>
          <w:sz w:val="20"/>
          <w:szCs w:val="20"/>
        </w:rPr>
        <w:t>in</w:t>
      </w:r>
      <w:r>
        <w:rPr>
          <w:rFonts w:ascii="Times New Roman" w:hAnsi="Times New Roman" w:cs="Times New Roman"/>
          <w:spacing w:val="-10"/>
          <w:sz w:val="20"/>
          <w:szCs w:val="20"/>
        </w:rPr>
        <w:t xml:space="preserve"> </w:t>
      </w:r>
      <w:r>
        <w:rPr>
          <w:rFonts w:ascii="Times New Roman" w:hAnsi="Times New Roman" w:cs="Times New Roman"/>
          <w:sz w:val="20"/>
          <w:szCs w:val="20"/>
        </w:rPr>
        <w:t>the</w:t>
      </w:r>
      <w:r>
        <w:rPr>
          <w:rFonts w:ascii="Times New Roman" w:hAnsi="Times New Roman" w:cs="Times New Roman"/>
          <w:spacing w:val="-8"/>
          <w:sz w:val="20"/>
          <w:szCs w:val="20"/>
        </w:rPr>
        <w:t xml:space="preserve"> </w:t>
      </w:r>
      <w:r>
        <w:rPr>
          <w:rFonts w:ascii="Times New Roman" w:hAnsi="Times New Roman" w:cs="Times New Roman"/>
          <w:sz w:val="20"/>
          <w:szCs w:val="20"/>
        </w:rPr>
        <w:t>U.S.:</w:t>
      </w:r>
      <w:r>
        <w:rPr>
          <w:rFonts w:ascii="Times New Roman" w:hAnsi="Times New Roman" w:cs="Times New Roman"/>
          <w:spacing w:val="-9"/>
          <w:sz w:val="20"/>
          <w:szCs w:val="20"/>
        </w:rPr>
        <w:t xml:space="preserve"> </w:t>
      </w:r>
      <w:r>
        <w:rPr>
          <w:rFonts w:ascii="Times New Roman" w:hAnsi="Times New Roman" w:cs="Times New Roman"/>
          <w:sz w:val="20"/>
          <w:szCs w:val="20"/>
        </w:rPr>
        <w:t>Trends,</w:t>
      </w:r>
      <w:r>
        <w:rPr>
          <w:rFonts w:ascii="Times New Roman" w:hAnsi="Times New Roman" w:cs="Times New Roman"/>
          <w:spacing w:val="-8"/>
          <w:sz w:val="20"/>
          <w:szCs w:val="20"/>
        </w:rPr>
        <w:t xml:space="preserve"> </w:t>
      </w:r>
      <w:r>
        <w:rPr>
          <w:rFonts w:ascii="Times New Roman" w:hAnsi="Times New Roman" w:cs="Times New Roman"/>
          <w:sz w:val="20"/>
          <w:szCs w:val="20"/>
        </w:rPr>
        <w:t>Causes,</w:t>
      </w:r>
      <w:r>
        <w:rPr>
          <w:rFonts w:ascii="Times New Roman" w:hAnsi="Times New Roman" w:cs="Times New Roman"/>
          <w:spacing w:val="-8"/>
          <w:sz w:val="20"/>
          <w:szCs w:val="20"/>
        </w:rPr>
        <w:t xml:space="preserve"> </w:t>
      </w:r>
      <w:r>
        <w:rPr>
          <w:rFonts w:ascii="Times New Roman" w:hAnsi="Times New Roman" w:cs="Times New Roman"/>
          <w:sz w:val="20"/>
          <w:szCs w:val="20"/>
        </w:rPr>
        <w:t>and</w:t>
      </w:r>
      <w:r>
        <w:rPr>
          <w:rFonts w:ascii="Times New Roman" w:hAnsi="Times New Roman" w:cs="Times New Roman"/>
          <w:spacing w:val="-8"/>
          <w:sz w:val="20"/>
          <w:szCs w:val="20"/>
        </w:rPr>
        <w:t xml:space="preserve"> </w:t>
      </w:r>
      <w:r>
        <w:rPr>
          <w:rFonts w:ascii="Times New Roman" w:hAnsi="Times New Roman" w:cs="Times New Roman"/>
          <w:sz w:val="20"/>
          <w:szCs w:val="20"/>
        </w:rPr>
        <w:t>Policy</w:t>
      </w:r>
      <w:r>
        <w:rPr>
          <w:rFonts w:ascii="Times New Roman" w:hAnsi="Times New Roman" w:cs="Times New Roman"/>
          <w:spacing w:val="-15"/>
          <w:sz w:val="20"/>
          <w:szCs w:val="20"/>
        </w:rPr>
        <w:t xml:space="preserve"> </w:t>
      </w:r>
      <w:r>
        <w:rPr>
          <w:rFonts w:ascii="Times New Roman" w:hAnsi="Times New Roman" w:cs="Times New Roman"/>
          <w:sz w:val="20"/>
          <w:szCs w:val="20"/>
        </w:rPr>
        <w:t>Options, T</w:t>
      </w:r>
      <w:r>
        <w:rPr>
          <w:rFonts w:ascii="Times New Roman" w:hAnsi="Times New Roman" w:cs="Times New Roman"/>
          <w:sz w:val="16"/>
          <w:szCs w:val="16"/>
        </w:rPr>
        <w:t>HE</w:t>
      </w:r>
      <w:r>
        <w:rPr>
          <w:rFonts w:ascii="Times New Roman" w:hAnsi="Times New Roman" w:cs="Times New Roman"/>
          <w:spacing w:val="-10"/>
          <w:sz w:val="16"/>
          <w:szCs w:val="16"/>
        </w:rPr>
        <w:t xml:space="preserve"> </w:t>
      </w:r>
      <w:r>
        <w:rPr>
          <w:rFonts w:ascii="Times New Roman" w:hAnsi="Times New Roman" w:cs="Times New Roman"/>
          <w:sz w:val="20"/>
          <w:szCs w:val="20"/>
        </w:rPr>
        <w:t>F</w:t>
      </w:r>
      <w:r>
        <w:rPr>
          <w:rFonts w:ascii="Times New Roman" w:hAnsi="Times New Roman" w:cs="Times New Roman"/>
          <w:sz w:val="16"/>
          <w:szCs w:val="16"/>
        </w:rPr>
        <w:t>UTURE</w:t>
      </w:r>
      <w:r>
        <w:rPr>
          <w:rFonts w:ascii="Times New Roman" w:hAnsi="Times New Roman" w:cs="Times New Roman"/>
          <w:spacing w:val="-6"/>
          <w:sz w:val="16"/>
          <w:szCs w:val="16"/>
        </w:rPr>
        <w:t xml:space="preserve"> </w:t>
      </w:r>
      <w:r>
        <w:rPr>
          <w:rFonts w:ascii="Times New Roman" w:hAnsi="Times New Roman" w:cs="Times New Roman"/>
          <w:sz w:val="16"/>
          <w:szCs w:val="16"/>
        </w:rPr>
        <w:t>OF</w:t>
      </w:r>
      <w:r>
        <w:rPr>
          <w:rFonts w:ascii="Times New Roman" w:hAnsi="Times New Roman" w:cs="Times New Roman"/>
          <w:spacing w:val="-11"/>
          <w:sz w:val="16"/>
          <w:szCs w:val="16"/>
        </w:rPr>
        <w:t xml:space="preserve"> </w:t>
      </w:r>
      <w:r>
        <w:rPr>
          <w:rFonts w:ascii="Times New Roman" w:hAnsi="Times New Roman" w:cs="Times New Roman"/>
          <w:sz w:val="20"/>
          <w:szCs w:val="20"/>
        </w:rPr>
        <w:t>C</w:t>
      </w:r>
      <w:r>
        <w:rPr>
          <w:rFonts w:ascii="Times New Roman" w:hAnsi="Times New Roman" w:cs="Times New Roman"/>
          <w:sz w:val="16"/>
          <w:szCs w:val="16"/>
        </w:rPr>
        <w:t xml:space="preserve">HILDREN </w:t>
      </w:r>
      <w:r>
        <w:rPr>
          <w:rFonts w:ascii="Times New Roman" w:hAnsi="Times New Roman" w:cs="Times New Roman"/>
          <w:sz w:val="20"/>
          <w:szCs w:val="20"/>
        </w:rPr>
        <w:t>6</w:t>
      </w:r>
      <w:r>
        <w:rPr>
          <w:rFonts w:ascii="Times New Roman" w:hAnsi="Times New Roman" w:cs="Times New Roman"/>
          <w:spacing w:val="-6"/>
          <w:sz w:val="20"/>
          <w:szCs w:val="20"/>
        </w:rPr>
        <w:t xml:space="preserve"> </w:t>
      </w:r>
      <w:r>
        <w:rPr>
          <w:rFonts w:ascii="Times New Roman" w:hAnsi="Times New Roman" w:cs="Times New Roman"/>
          <w:sz w:val="20"/>
          <w:szCs w:val="20"/>
        </w:rPr>
        <w:t>(2014),</w:t>
      </w:r>
      <w:r>
        <w:rPr>
          <w:rFonts w:ascii="Times New Roman" w:hAnsi="Times New Roman" w:cs="Times New Roman"/>
          <w:spacing w:val="-7"/>
          <w:sz w:val="20"/>
          <w:szCs w:val="20"/>
        </w:rPr>
        <w:t xml:space="preserve"> </w:t>
      </w:r>
      <w:r>
        <w:rPr>
          <w:rFonts w:ascii="Times New Roman" w:hAnsi="Times New Roman" w:cs="Times New Roman"/>
          <w:sz w:val="20"/>
          <w:szCs w:val="20"/>
        </w:rPr>
        <w:t>available</w:t>
      </w:r>
      <w:r>
        <w:rPr>
          <w:rFonts w:ascii="Times New Roman" w:hAnsi="Times New Roman" w:cs="Times New Roman"/>
          <w:spacing w:val="-7"/>
          <w:sz w:val="20"/>
          <w:szCs w:val="20"/>
        </w:rPr>
        <w:t xml:space="preserve"> </w:t>
      </w:r>
      <w:r>
        <w:rPr>
          <w:rFonts w:ascii="Times New Roman" w:hAnsi="Times New Roman" w:cs="Times New Roman"/>
          <w:sz w:val="20"/>
          <w:szCs w:val="20"/>
        </w:rPr>
        <w:t>at</w:t>
      </w:r>
    </w:p>
    <w:p w:rsidR="002C5025" w:rsidRDefault="00FD19EE">
      <w:pPr>
        <w:pStyle w:val="BodyText"/>
        <w:kinsoku w:val="0"/>
        <w:overflowPunct w:val="0"/>
        <w:spacing w:line="217" w:lineRule="exact"/>
        <w:ind w:left="120"/>
        <w:jc w:val="both"/>
        <w:rPr>
          <w:rFonts w:ascii="Times New Roman" w:hAnsi="Times New Roman" w:cs="Times New Roman"/>
          <w:sz w:val="20"/>
          <w:szCs w:val="20"/>
        </w:rPr>
      </w:pPr>
      <w:hyperlink r:id="rId171" w:history="1">
        <w:r w:rsidR="002C5025">
          <w:rPr>
            <w:rFonts w:ascii="Times New Roman" w:hAnsi="Times New Roman" w:cs="Times New Roman"/>
            <w:sz w:val="20"/>
            <w:szCs w:val="20"/>
          </w:rPr>
          <w:t>http://futureofchildren.org/futureofchildren/publications/docs/ResearchReport-Fall2014.pdf.</w:t>
        </w:r>
      </w:hyperlink>
    </w:p>
    <w:p w:rsidR="002C5025" w:rsidRDefault="002C5025">
      <w:pPr>
        <w:pStyle w:val="BodyText"/>
        <w:kinsoku w:val="0"/>
        <w:overflowPunct w:val="0"/>
        <w:spacing w:line="242" w:lineRule="auto"/>
        <w:ind w:left="120" w:right="267"/>
        <w:rPr>
          <w:rFonts w:ascii="Times New Roman" w:hAnsi="Times New Roman" w:cs="Times New Roman"/>
          <w:sz w:val="18"/>
          <w:szCs w:val="18"/>
        </w:rPr>
      </w:pPr>
      <w:r>
        <w:rPr>
          <w:rFonts w:ascii="Times New Roman" w:hAnsi="Times New Roman" w:cs="Times New Roman"/>
          <w:position w:val="6"/>
          <w:sz w:val="12"/>
          <w:szCs w:val="12"/>
        </w:rPr>
        <w:t xml:space="preserve">5 </w:t>
      </w:r>
      <w:r>
        <w:rPr>
          <w:rFonts w:ascii="Times New Roman" w:hAnsi="Times New Roman" w:cs="Times New Roman"/>
          <w:sz w:val="18"/>
          <w:szCs w:val="18"/>
        </w:rPr>
        <w:t xml:space="preserve">Carol Strike et al., </w:t>
      </w:r>
      <w:r>
        <w:rPr>
          <w:rFonts w:ascii="Times New Roman" w:hAnsi="Times New Roman" w:cs="Times New Roman"/>
          <w:i/>
          <w:iCs/>
          <w:sz w:val="18"/>
          <w:szCs w:val="18"/>
        </w:rPr>
        <w:t>Frequent Food Insecurity among Injection Drug Users: Correlates and Concerns</w:t>
      </w:r>
      <w:r>
        <w:rPr>
          <w:rFonts w:ascii="Times New Roman" w:hAnsi="Times New Roman" w:cs="Times New Roman"/>
          <w:sz w:val="18"/>
          <w:szCs w:val="18"/>
        </w:rPr>
        <w:t>, 12 BMC P</w:t>
      </w:r>
      <w:r>
        <w:rPr>
          <w:rFonts w:ascii="Times New Roman" w:hAnsi="Times New Roman" w:cs="Times New Roman"/>
          <w:sz w:val="14"/>
          <w:szCs w:val="14"/>
        </w:rPr>
        <w:t>UB</w:t>
      </w:r>
      <w:r>
        <w:rPr>
          <w:rFonts w:ascii="Times New Roman" w:hAnsi="Times New Roman" w:cs="Times New Roman"/>
          <w:sz w:val="18"/>
          <w:szCs w:val="18"/>
        </w:rPr>
        <w:t>. H</w:t>
      </w:r>
      <w:r>
        <w:rPr>
          <w:rFonts w:ascii="Times New Roman" w:hAnsi="Times New Roman" w:cs="Times New Roman"/>
          <w:sz w:val="14"/>
          <w:szCs w:val="14"/>
        </w:rPr>
        <w:t xml:space="preserve">EALTH </w:t>
      </w:r>
      <w:r>
        <w:rPr>
          <w:rFonts w:ascii="Times New Roman" w:hAnsi="Times New Roman" w:cs="Times New Roman"/>
          <w:sz w:val="18"/>
          <w:szCs w:val="18"/>
        </w:rPr>
        <w:t>2 (2012).</w:t>
      </w:r>
    </w:p>
    <w:p w:rsidR="002C5025" w:rsidRDefault="002C5025">
      <w:pPr>
        <w:pStyle w:val="BodyText"/>
        <w:kinsoku w:val="0"/>
        <w:overflowPunct w:val="0"/>
        <w:spacing w:line="244" w:lineRule="exact"/>
        <w:ind w:left="4"/>
        <w:jc w:val="center"/>
        <w:rPr>
          <w:rFonts w:ascii="Times New Roman" w:hAnsi="Times New Roman" w:cs="Times New Roman"/>
        </w:rPr>
      </w:pPr>
      <w:r>
        <w:rPr>
          <w:rFonts w:ascii="Times New Roman" w:hAnsi="Times New Roman" w:cs="Times New Roman"/>
        </w:rPr>
        <w:t>2</w:t>
      </w:r>
    </w:p>
    <w:p w:rsidR="002C5025" w:rsidRDefault="002C5025">
      <w:pPr>
        <w:pStyle w:val="BodyText"/>
        <w:kinsoku w:val="0"/>
        <w:overflowPunct w:val="0"/>
        <w:spacing w:line="244" w:lineRule="exact"/>
        <w:ind w:left="4"/>
        <w:jc w:val="center"/>
        <w:rPr>
          <w:rFonts w:ascii="Times New Roman" w:hAnsi="Times New Roman" w:cs="Times New Roman"/>
        </w:rPr>
        <w:sectPr w:rsidR="002C5025">
          <w:pgSz w:w="12240" w:h="15840"/>
          <w:pgMar w:top="1500" w:right="1320" w:bottom="280" w:left="1320" w:header="720" w:footer="720" w:gutter="0"/>
          <w:cols w:space="720"/>
          <w:noEndnote/>
        </w:sectPr>
      </w:pPr>
    </w:p>
    <w:p w:rsidR="002C5025" w:rsidRDefault="002C5025">
      <w:pPr>
        <w:pStyle w:val="BodyText"/>
        <w:kinsoku w:val="0"/>
        <w:overflowPunct w:val="0"/>
        <w:spacing w:before="9"/>
        <w:rPr>
          <w:rFonts w:ascii="Times New Roman" w:hAnsi="Times New Roman" w:cs="Times New Roman"/>
          <w:sz w:val="10"/>
          <w:szCs w:val="10"/>
        </w:rPr>
      </w:pPr>
    </w:p>
    <w:p w:rsidR="002C5025" w:rsidRDefault="002C5025">
      <w:pPr>
        <w:pStyle w:val="BodyText"/>
        <w:kinsoku w:val="0"/>
        <w:overflowPunct w:val="0"/>
        <w:spacing w:before="69"/>
        <w:ind w:left="119" w:right="112"/>
        <w:jc w:val="both"/>
        <w:rPr>
          <w:rFonts w:ascii="Times New Roman" w:hAnsi="Times New Roman" w:cs="Times New Roman"/>
          <w:sz w:val="24"/>
          <w:szCs w:val="24"/>
        </w:rPr>
      </w:pPr>
      <w:r>
        <w:rPr>
          <w:rFonts w:ascii="Times New Roman" w:hAnsi="Times New Roman" w:cs="Times New Roman"/>
          <w:sz w:val="24"/>
          <w:szCs w:val="24"/>
        </w:rPr>
        <w:t>Instead,</w:t>
      </w:r>
      <w:r>
        <w:rPr>
          <w:rFonts w:ascii="Times New Roman" w:hAnsi="Times New Roman" w:cs="Times New Roman"/>
          <w:spacing w:val="-6"/>
          <w:sz w:val="24"/>
          <w:szCs w:val="24"/>
        </w:rPr>
        <w:t xml:space="preserve"> </w:t>
      </w:r>
      <w:r>
        <w:rPr>
          <w:rFonts w:ascii="Times New Roman" w:hAnsi="Times New Roman" w:cs="Times New Roman"/>
          <w:sz w:val="24"/>
          <w:szCs w:val="24"/>
        </w:rPr>
        <w:t>these</w:t>
      </w:r>
      <w:r>
        <w:rPr>
          <w:rFonts w:ascii="Times New Roman" w:hAnsi="Times New Roman" w:cs="Times New Roman"/>
          <w:spacing w:val="-8"/>
          <w:sz w:val="24"/>
          <w:szCs w:val="24"/>
        </w:rPr>
        <w:t xml:space="preserve"> </w:t>
      </w:r>
      <w:r>
        <w:rPr>
          <w:rFonts w:ascii="Times New Roman" w:hAnsi="Times New Roman" w:cs="Times New Roman"/>
          <w:sz w:val="24"/>
          <w:szCs w:val="24"/>
        </w:rPr>
        <w:t>services</w:t>
      </w:r>
      <w:r>
        <w:rPr>
          <w:rFonts w:ascii="Times New Roman" w:hAnsi="Times New Roman" w:cs="Times New Roman"/>
          <w:spacing w:val="-8"/>
          <w:sz w:val="24"/>
          <w:szCs w:val="24"/>
        </w:rPr>
        <w:t xml:space="preserve"> </w:t>
      </w:r>
      <w:r>
        <w:rPr>
          <w:rFonts w:ascii="Times New Roman" w:hAnsi="Times New Roman" w:cs="Times New Roman"/>
          <w:sz w:val="24"/>
          <w:szCs w:val="24"/>
        </w:rPr>
        <w:t>should</w:t>
      </w:r>
      <w:r>
        <w:rPr>
          <w:rFonts w:ascii="Times New Roman" w:hAnsi="Times New Roman" w:cs="Times New Roman"/>
          <w:spacing w:val="-6"/>
          <w:sz w:val="24"/>
          <w:szCs w:val="24"/>
        </w:rPr>
        <w:t xml:space="preserve"> </w:t>
      </w:r>
      <w:r>
        <w:rPr>
          <w:rFonts w:ascii="Times New Roman" w:hAnsi="Times New Roman" w:cs="Times New Roman"/>
          <w:sz w:val="24"/>
          <w:szCs w:val="24"/>
        </w:rPr>
        <w:t>supplement</w:t>
      </w:r>
      <w:r>
        <w:rPr>
          <w:rFonts w:ascii="Times New Roman" w:hAnsi="Times New Roman" w:cs="Times New Roman"/>
          <w:spacing w:val="-8"/>
          <w:sz w:val="24"/>
          <w:szCs w:val="24"/>
        </w:rPr>
        <w:t xml:space="preserve"> </w:t>
      </w:r>
      <w:r>
        <w:rPr>
          <w:rFonts w:ascii="Times New Roman" w:hAnsi="Times New Roman" w:cs="Times New Roman"/>
          <w:sz w:val="24"/>
          <w:szCs w:val="24"/>
        </w:rPr>
        <w:t>existing</w:t>
      </w:r>
      <w:r>
        <w:rPr>
          <w:rFonts w:ascii="Times New Roman" w:hAnsi="Times New Roman" w:cs="Times New Roman"/>
          <w:spacing w:val="-15"/>
          <w:sz w:val="24"/>
          <w:szCs w:val="24"/>
        </w:rPr>
        <w:t xml:space="preserve"> </w:t>
      </w:r>
      <w:r>
        <w:rPr>
          <w:rFonts w:ascii="Times New Roman" w:hAnsi="Times New Roman" w:cs="Times New Roman"/>
          <w:sz w:val="24"/>
          <w:szCs w:val="24"/>
        </w:rPr>
        <w:t>MassHealth</w:t>
      </w:r>
      <w:r>
        <w:rPr>
          <w:rFonts w:ascii="Times New Roman" w:hAnsi="Times New Roman" w:cs="Times New Roman"/>
          <w:spacing w:val="-8"/>
          <w:sz w:val="24"/>
          <w:szCs w:val="24"/>
        </w:rPr>
        <w:t xml:space="preserve"> </w:t>
      </w:r>
      <w:r>
        <w:rPr>
          <w:rFonts w:ascii="Times New Roman" w:hAnsi="Times New Roman" w:cs="Times New Roman"/>
          <w:sz w:val="24"/>
          <w:szCs w:val="24"/>
        </w:rPr>
        <w:t>benefits</w:t>
      </w:r>
      <w:r>
        <w:rPr>
          <w:rFonts w:ascii="Times New Roman" w:hAnsi="Times New Roman" w:cs="Times New Roman"/>
          <w:spacing w:val="-6"/>
          <w:sz w:val="24"/>
          <w:szCs w:val="24"/>
        </w:rPr>
        <w:t xml:space="preserve"> </w:t>
      </w:r>
      <w:r>
        <w:rPr>
          <w:rFonts w:ascii="Times New Roman" w:hAnsi="Times New Roman" w:cs="Times New Roman"/>
          <w:sz w:val="24"/>
          <w:szCs w:val="24"/>
        </w:rPr>
        <w:t>and</w:t>
      </w:r>
      <w:r>
        <w:rPr>
          <w:rFonts w:ascii="Times New Roman" w:hAnsi="Times New Roman" w:cs="Times New Roman"/>
          <w:spacing w:val="-10"/>
          <w:sz w:val="24"/>
          <w:szCs w:val="24"/>
        </w:rPr>
        <w:t xml:space="preserve"> </w:t>
      </w:r>
      <w:r>
        <w:rPr>
          <w:rFonts w:ascii="Times New Roman" w:hAnsi="Times New Roman" w:cs="Times New Roman"/>
          <w:sz w:val="24"/>
          <w:szCs w:val="24"/>
        </w:rPr>
        <w:t>strengthen</w:t>
      </w:r>
      <w:r>
        <w:rPr>
          <w:rFonts w:ascii="Times New Roman" w:hAnsi="Times New Roman" w:cs="Times New Roman"/>
          <w:spacing w:val="-6"/>
          <w:sz w:val="24"/>
          <w:szCs w:val="24"/>
        </w:rPr>
        <w:t xml:space="preserve"> </w:t>
      </w:r>
      <w:r>
        <w:rPr>
          <w:rFonts w:ascii="Times New Roman" w:hAnsi="Times New Roman" w:cs="Times New Roman"/>
          <w:sz w:val="24"/>
          <w:szCs w:val="24"/>
        </w:rPr>
        <w:t>their</w:t>
      </w:r>
      <w:r>
        <w:rPr>
          <w:rFonts w:ascii="Times New Roman" w:hAnsi="Times New Roman" w:cs="Times New Roman"/>
          <w:spacing w:val="-8"/>
          <w:sz w:val="24"/>
          <w:szCs w:val="24"/>
        </w:rPr>
        <w:t xml:space="preserve"> </w:t>
      </w:r>
      <w:r>
        <w:rPr>
          <w:rFonts w:ascii="Times New Roman" w:hAnsi="Times New Roman" w:cs="Times New Roman"/>
          <w:sz w:val="24"/>
          <w:szCs w:val="24"/>
        </w:rPr>
        <w:t>effect on overall patient health. For example, nutrition services, such as medically tailored home- delivered meals provide an array of benefits—addressing management of blood glucose, increasing the effect of medication that must be taken with food, managing protein levels for kidney disease, maintaining healthy weight, etc.—that help patients manage their health conditions,</w:t>
      </w:r>
      <w:r>
        <w:rPr>
          <w:rFonts w:ascii="Times New Roman" w:hAnsi="Times New Roman" w:cs="Times New Roman"/>
          <w:spacing w:val="-11"/>
          <w:sz w:val="24"/>
          <w:szCs w:val="24"/>
        </w:rPr>
        <w:t xml:space="preserve"> </w:t>
      </w:r>
      <w:r>
        <w:rPr>
          <w:rFonts w:ascii="Times New Roman" w:hAnsi="Times New Roman" w:cs="Times New Roman"/>
          <w:sz w:val="24"/>
          <w:szCs w:val="24"/>
        </w:rPr>
        <w:t>adhere</w:t>
      </w:r>
      <w:r>
        <w:rPr>
          <w:rFonts w:ascii="Times New Roman" w:hAnsi="Times New Roman" w:cs="Times New Roman"/>
          <w:spacing w:val="-14"/>
          <w:sz w:val="24"/>
          <w:szCs w:val="24"/>
        </w:rPr>
        <w:t xml:space="preserve"> </w:t>
      </w:r>
      <w:r>
        <w:rPr>
          <w:rFonts w:ascii="Times New Roman" w:hAnsi="Times New Roman" w:cs="Times New Roman"/>
          <w:sz w:val="24"/>
          <w:szCs w:val="24"/>
        </w:rPr>
        <w:t>to</w:t>
      </w:r>
      <w:r>
        <w:rPr>
          <w:rFonts w:ascii="Times New Roman" w:hAnsi="Times New Roman" w:cs="Times New Roman"/>
          <w:spacing w:val="-13"/>
          <w:sz w:val="24"/>
          <w:szCs w:val="24"/>
        </w:rPr>
        <w:t xml:space="preserve"> </w:t>
      </w:r>
      <w:r>
        <w:rPr>
          <w:rFonts w:ascii="Times New Roman" w:hAnsi="Times New Roman" w:cs="Times New Roman"/>
          <w:sz w:val="24"/>
          <w:szCs w:val="24"/>
        </w:rPr>
        <w:t>treatment</w:t>
      </w:r>
      <w:r>
        <w:rPr>
          <w:rFonts w:ascii="Times New Roman" w:hAnsi="Times New Roman" w:cs="Times New Roman"/>
          <w:spacing w:val="-11"/>
          <w:sz w:val="24"/>
          <w:szCs w:val="24"/>
        </w:rPr>
        <w:t xml:space="preserve"> </w:t>
      </w:r>
      <w:r>
        <w:rPr>
          <w:rFonts w:ascii="Times New Roman" w:hAnsi="Times New Roman" w:cs="Times New Roman"/>
          <w:sz w:val="24"/>
          <w:szCs w:val="24"/>
        </w:rPr>
        <w:t>plans,</w:t>
      </w:r>
      <w:r>
        <w:rPr>
          <w:rFonts w:ascii="Times New Roman" w:hAnsi="Times New Roman" w:cs="Times New Roman"/>
          <w:spacing w:val="-11"/>
          <w:sz w:val="24"/>
          <w:szCs w:val="24"/>
        </w:rPr>
        <w:t xml:space="preserve"> </w:t>
      </w:r>
      <w:r>
        <w:rPr>
          <w:rFonts w:ascii="Times New Roman" w:hAnsi="Times New Roman" w:cs="Times New Roman"/>
          <w:sz w:val="24"/>
          <w:szCs w:val="24"/>
        </w:rPr>
        <w:t>and</w:t>
      </w:r>
      <w:r>
        <w:rPr>
          <w:rFonts w:ascii="Times New Roman" w:hAnsi="Times New Roman" w:cs="Times New Roman"/>
          <w:spacing w:val="-11"/>
          <w:sz w:val="24"/>
          <w:szCs w:val="24"/>
        </w:rPr>
        <w:t xml:space="preserve"> </w:t>
      </w:r>
      <w:r>
        <w:rPr>
          <w:rFonts w:ascii="Times New Roman" w:hAnsi="Times New Roman" w:cs="Times New Roman"/>
          <w:sz w:val="24"/>
          <w:szCs w:val="24"/>
        </w:rPr>
        <w:t>follow</w:t>
      </w:r>
      <w:r>
        <w:rPr>
          <w:rFonts w:ascii="Times New Roman" w:hAnsi="Times New Roman" w:cs="Times New Roman"/>
          <w:spacing w:val="-12"/>
          <w:sz w:val="24"/>
          <w:szCs w:val="24"/>
        </w:rPr>
        <w:t xml:space="preserve"> </w:t>
      </w:r>
      <w:r>
        <w:rPr>
          <w:rFonts w:ascii="Times New Roman" w:hAnsi="Times New Roman" w:cs="Times New Roman"/>
          <w:sz w:val="24"/>
          <w:szCs w:val="24"/>
        </w:rPr>
        <w:t>the</w:t>
      </w:r>
      <w:r>
        <w:rPr>
          <w:rFonts w:ascii="Times New Roman" w:hAnsi="Times New Roman" w:cs="Times New Roman"/>
          <w:spacing w:val="-14"/>
          <w:sz w:val="24"/>
          <w:szCs w:val="24"/>
        </w:rPr>
        <w:t xml:space="preserve"> </w:t>
      </w:r>
      <w:r>
        <w:rPr>
          <w:rFonts w:ascii="Times New Roman" w:hAnsi="Times New Roman" w:cs="Times New Roman"/>
          <w:sz w:val="24"/>
          <w:szCs w:val="24"/>
        </w:rPr>
        <w:t>instructions</w:t>
      </w:r>
      <w:r>
        <w:rPr>
          <w:rFonts w:ascii="Times New Roman" w:hAnsi="Times New Roman" w:cs="Times New Roman"/>
          <w:spacing w:val="-11"/>
          <w:sz w:val="24"/>
          <w:szCs w:val="24"/>
        </w:rPr>
        <w:t xml:space="preserve"> </w:t>
      </w:r>
      <w:r>
        <w:rPr>
          <w:rFonts w:ascii="Times New Roman" w:hAnsi="Times New Roman" w:cs="Times New Roman"/>
          <w:sz w:val="24"/>
          <w:szCs w:val="24"/>
        </w:rPr>
        <w:t>of</w:t>
      </w:r>
      <w:r>
        <w:rPr>
          <w:rFonts w:ascii="Times New Roman" w:hAnsi="Times New Roman" w:cs="Times New Roman"/>
          <w:spacing w:val="-13"/>
          <w:sz w:val="24"/>
          <w:szCs w:val="24"/>
        </w:rPr>
        <w:t xml:space="preserve"> </w:t>
      </w:r>
      <w:r>
        <w:rPr>
          <w:rFonts w:ascii="Times New Roman" w:hAnsi="Times New Roman" w:cs="Times New Roman"/>
          <w:sz w:val="24"/>
          <w:szCs w:val="24"/>
        </w:rPr>
        <w:t>their</w:t>
      </w:r>
      <w:r>
        <w:rPr>
          <w:rFonts w:ascii="Times New Roman" w:hAnsi="Times New Roman" w:cs="Times New Roman"/>
          <w:spacing w:val="-13"/>
          <w:sz w:val="24"/>
          <w:szCs w:val="24"/>
        </w:rPr>
        <w:t xml:space="preserve"> </w:t>
      </w:r>
      <w:r>
        <w:rPr>
          <w:rFonts w:ascii="Times New Roman" w:hAnsi="Times New Roman" w:cs="Times New Roman"/>
          <w:sz w:val="24"/>
          <w:szCs w:val="24"/>
        </w:rPr>
        <w:t>physicians</w:t>
      </w:r>
      <w:r>
        <w:rPr>
          <w:rFonts w:ascii="Times New Roman" w:hAnsi="Times New Roman" w:cs="Times New Roman"/>
          <w:spacing w:val="-11"/>
          <w:sz w:val="24"/>
          <w:szCs w:val="24"/>
        </w:rPr>
        <w:t xml:space="preserve"> </w:t>
      </w:r>
      <w:r>
        <w:rPr>
          <w:rFonts w:ascii="Times New Roman" w:hAnsi="Times New Roman" w:cs="Times New Roman"/>
          <w:sz w:val="24"/>
          <w:szCs w:val="24"/>
        </w:rPr>
        <w:t>and</w:t>
      </w:r>
      <w:r>
        <w:rPr>
          <w:rFonts w:ascii="Times New Roman" w:hAnsi="Times New Roman" w:cs="Times New Roman"/>
          <w:spacing w:val="-11"/>
          <w:sz w:val="24"/>
          <w:szCs w:val="24"/>
        </w:rPr>
        <w:t xml:space="preserve"> </w:t>
      </w:r>
      <w:r>
        <w:rPr>
          <w:rFonts w:ascii="Times New Roman" w:hAnsi="Times New Roman" w:cs="Times New Roman"/>
          <w:sz w:val="24"/>
          <w:szCs w:val="24"/>
        </w:rPr>
        <w:t>providers. Over</w:t>
      </w:r>
      <w:r>
        <w:rPr>
          <w:rFonts w:ascii="Times New Roman" w:hAnsi="Times New Roman" w:cs="Times New Roman"/>
          <w:spacing w:val="-9"/>
          <w:sz w:val="24"/>
          <w:szCs w:val="24"/>
        </w:rPr>
        <w:t xml:space="preserve"> </w:t>
      </w:r>
      <w:r>
        <w:rPr>
          <w:rFonts w:ascii="Times New Roman" w:hAnsi="Times New Roman" w:cs="Times New Roman"/>
          <w:sz w:val="24"/>
          <w:szCs w:val="24"/>
        </w:rPr>
        <w:t>time,</w:t>
      </w:r>
      <w:r>
        <w:rPr>
          <w:rFonts w:ascii="Times New Roman" w:hAnsi="Times New Roman" w:cs="Times New Roman"/>
          <w:spacing w:val="-8"/>
          <w:sz w:val="24"/>
          <w:szCs w:val="24"/>
        </w:rPr>
        <w:t xml:space="preserve"> </w:t>
      </w:r>
      <w:r>
        <w:rPr>
          <w:rFonts w:ascii="Times New Roman" w:hAnsi="Times New Roman" w:cs="Times New Roman"/>
          <w:sz w:val="24"/>
          <w:szCs w:val="24"/>
        </w:rPr>
        <w:t>these</w:t>
      </w:r>
      <w:r>
        <w:rPr>
          <w:rFonts w:ascii="Times New Roman" w:hAnsi="Times New Roman" w:cs="Times New Roman"/>
          <w:spacing w:val="-9"/>
          <w:sz w:val="24"/>
          <w:szCs w:val="24"/>
        </w:rPr>
        <w:t xml:space="preserve"> </w:t>
      </w:r>
      <w:r>
        <w:rPr>
          <w:rFonts w:ascii="Times New Roman" w:hAnsi="Times New Roman" w:cs="Times New Roman"/>
          <w:sz w:val="24"/>
          <w:szCs w:val="24"/>
        </w:rPr>
        <w:t>benefits</w:t>
      </w:r>
      <w:r>
        <w:rPr>
          <w:rFonts w:ascii="Times New Roman" w:hAnsi="Times New Roman" w:cs="Times New Roman"/>
          <w:spacing w:val="-3"/>
          <w:sz w:val="24"/>
          <w:szCs w:val="24"/>
        </w:rPr>
        <w:t xml:space="preserve"> </w:t>
      </w:r>
      <w:r>
        <w:rPr>
          <w:rFonts w:ascii="Times New Roman" w:hAnsi="Times New Roman" w:cs="Times New Roman"/>
          <w:sz w:val="24"/>
          <w:szCs w:val="24"/>
        </w:rPr>
        <w:t>will</w:t>
      </w:r>
      <w:r>
        <w:rPr>
          <w:rFonts w:ascii="Times New Roman" w:hAnsi="Times New Roman" w:cs="Times New Roman"/>
          <w:spacing w:val="-8"/>
          <w:sz w:val="24"/>
          <w:szCs w:val="24"/>
        </w:rPr>
        <w:t xml:space="preserve"> </w:t>
      </w:r>
      <w:r>
        <w:rPr>
          <w:rFonts w:ascii="Times New Roman" w:hAnsi="Times New Roman" w:cs="Times New Roman"/>
          <w:sz w:val="24"/>
          <w:szCs w:val="24"/>
        </w:rPr>
        <w:t>reduce</w:t>
      </w:r>
      <w:r>
        <w:rPr>
          <w:rFonts w:ascii="Times New Roman" w:hAnsi="Times New Roman" w:cs="Times New Roman"/>
          <w:spacing w:val="-7"/>
          <w:sz w:val="24"/>
          <w:szCs w:val="24"/>
        </w:rPr>
        <w:t xml:space="preserve"> </w:t>
      </w:r>
      <w:r>
        <w:rPr>
          <w:rFonts w:ascii="Times New Roman" w:hAnsi="Times New Roman" w:cs="Times New Roman"/>
          <w:sz w:val="24"/>
          <w:szCs w:val="24"/>
        </w:rPr>
        <w:t>avoidable</w:t>
      </w:r>
      <w:r>
        <w:rPr>
          <w:rFonts w:ascii="Times New Roman" w:hAnsi="Times New Roman" w:cs="Times New Roman"/>
          <w:spacing w:val="-7"/>
          <w:sz w:val="24"/>
          <w:szCs w:val="24"/>
        </w:rPr>
        <w:t xml:space="preserve"> </w:t>
      </w:r>
      <w:r>
        <w:rPr>
          <w:rFonts w:ascii="Times New Roman" w:hAnsi="Times New Roman" w:cs="Times New Roman"/>
          <w:sz w:val="24"/>
          <w:szCs w:val="24"/>
        </w:rPr>
        <w:t>hospitalizations</w:t>
      </w:r>
      <w:r>
        <w:rPr>
          <w:rFonts w:ascii="Times New Roman" w:hAnsi="Times New Roman" w:cs="Times New Roman"/>
          <w:spacing w:val="-8"/>
          <w:sz w:val="24"/>
          <w:szCs w:val="24"/>
        </w:rPr>
        <w:t xml:space="preserve"> </w:t>
      </w:r>
      <w:r>
        <w:rPr>
          <w:rFonts w:ascii="Times New Roman" w:hAnsi="Times New Roman" w:cs="Times New Roman"/>
          <w:sz w:val="24"/>
          <w:szCs w:val="24"/>
        </w:rPr>
        <w:t>and</w:t>
      </w:r>
      <w:r>
        <w:rPr>
          <w:rFonts w:ascii="Times New Roman" w:hAnsi="Times New Roman" w:cs="Times New Roman"/>
          <w:spacing w:val="-8"/>
          <w:sz w:val="24"/>
          <w:szCs w:val="24"/>
        </w:rPr>
        <w:t xml:space="preserve"> </w:t>
      </w:r>
      <w:r>
        <w:rPr>
          <w:rFonts w:ascii="Times New Roman" w:hAnsi="Times New Roman" w:cs="Times New Roman"/>
          <w:sz w:val="24"/>
          <w:szCs w:val="24"/>
        </w:rPr>
        <w:t>use</w:t>
      </w:r>
      <w:r>
        <w:rPr>
          <w:rFonts w:ascii="Times New Roman" w:hAnsi="Times New Roman" w:cs="Times New Roman"/>
          <w:spacing w:val="-9"/>
          <w:sz w:val="24"/>
          <w:szCs w:val="24"/>
        </w:rPr>
        <w:t xml:space="preserve"> </w:t>
      </w:r>
      <w:r>
        <w:rPr>
          <w:rFonts w:ascii="Times New Roman" w:hAnsi="Times New Roman" w:cs="Times New Roman"/>
          <w:sz w:val="24"/>
          <w:szCs w:val="24"/>
        </w:rPr>
        <w:t>of</w:t>
      </w:r>
      <w:r>
        <w:rPr>
          <w:rFonts w:ascii="Times New Roman" w:hAnsi="Times New Roman" w:cs="Times New Roman"/>
          <w:spacing w:val="-7"/>
          <w:sz w:val="24"/>
          <w:szCs w:val="24"/>
        </w:rPr>
        <w:t xml:space="preserve"> </w:t>
      </w:r>
      <w:r>
        <w:rPr>
          <w:rFonts w:ascii="Times New Roman" w:hAnsi="Times New Roman" w:cs="Times New Roman"/>
          <w:sz w:val="24"/>
          <w:szCs w:val="24"/>
        </w:rPr>
        <w:t>emergency</w:t>
      </w:r>
      <w:r>
        <w:rPr>
          <w:rFonts w:ascii="Times New Roman" w:hAnsi="Times New Roman" w:cs="Times New Roman"/>
          <w:spacing w:val="-15"/>
          <w:sz w:val="24"/>
          <w:szCs w:val="24"/>
        </w:rPr>
        <w:t xml:space="preserve"> </w:t>
      </w:r>
      <w:r>
        <w:rPr>
          <w:rFonts w:ascii="Times New Roman" w:hAnsi="Times New Roman" w:cs="Times New Roman"/>
          <w:sz w:val="24"/>
          <w:szCs w:val="24"/>
        </w:rPr>
        <w:t xml:space="preserve">care. </w:t>
      </w:r>
      <w:r>
        <w:rPr>
          <w:rFonts w:ascii="Times New Roman" w:hAnsi="Times New Roman" w:cs="Times New Roman"/>
          <w:spacing w:val="-3"/>
          <w:sz w:val="24"/>
          <w:szCs w:val="24"/>
        </w:rPr>
        <w:t>In</w:t>
      </w:r>
      <w:r>
        <w:rPr>
          <w:rFonts w:ascii="Times New Roman" w:hAnsi="Times New Roman" w:cs="Times New Roman"/>
          <w:spacing w:val="-11"/>
          <w:sz w:val="24"/>
          <w:szCs w:val="24"/>
        </w:rPr>
        <w:t xml:space="preserve"> </w:t>
      </w:r>
      <w:r>
        <w:rPr>
          <w:rFonts w:ascii="Times New Roman" w:hAnsi="Times New Roman" w:cs="Times New Roman"/>
          <w:sz w:val="24"/>
          <w:szCs w:val="24"/>
        </w:rPr>
        <w:t>that respect,</w:t>
      </w:r>
      <w:r>
        <w:rPr>
          <w:rFonts w:ascii="Times New Roman" w:hAnsi="Times New Roman" w:cs="Times New Roman"/>
          <w:spacing w:val="-3"/>
          <w:sz w:val="24"/>
          <w:szCs w:val="24"/>
        </w:rPr>
        <w:t xml:space="preserve"> </w:t>
      </w:r>
      <w:r>
        <w:rPr>
          <w:rFonts w:ascii="Times New Roman" w:hAnsi="Times New Roman" w:cs="Times New Roman"/>
          <w:sz w:val="24"/>
          <w:szCs w:val="24"/>
        </w:rPr>
        <w:t>food</w:t>
      </w:r>
      <w:r>
        <w:rPr>
          <w:rFonts w:ascii="Times New Roman" w:hAnsi="Times New Roman" w:cs="Times New Roman"/>
          <w:spacing w:val="-3"/>
          <w:sz w:val="24"/>
          <w:szCs w:val="24"/>
        </w:rPr>
        <w:t xml:space="preserve"> </w:t>
      </w:r>
      <w:r>
        <w:rPr>
          <w:rFonts w:ascii="Times New Roman" w:hAnsi="Times New Roman" w:cs="Times New Roman"/>
          <w:sz w:val="24"/>
          <w:szCs w:val="24"/>
        </w:rPr>
        <w:t>and</w:t>
      </w:r>
      <w:r>
        <w:rPr>
          <w:rFonts w:ascii="Times New Roman" w:hAnsi="Times New Roman" w:cs="Times New Roman"/>
          <w:spacing w:val="-5"/>
          <w:sz w:val="24"/>
          <w:szCs w:val="24"/>
        </w:rPr>
        <w:t xml:space="preserve"> </w:t>
      </w:r>
      <w:r>
        <w:rPr>
          <w:rFonts w:ascii="Times New Roman" w:hAnsi="Times New Roman" w:cs="Times New Roman"/>
          <w:sz w:val="24"/>
          <w:szCs w:val="24"/>
        </w:rPr>
        <w:t>nutrition</w:t>
      </w:r>
      <w:r>
        <w:rPr>
          <w:rFonts w:ascii="Times New Roman" w:hAnsi="Times New Roman" w:cs="Times New Roman"/>
          <w:spacing w:val="-3"/>
          <w:sz w:val="24"/>
          <w:szCs w:val="24"/>
        </w:rPr>
        <w:t xml:space="preserve"> </w:t>
      </w:r>
      <w:r>
        <w:rPr>
          <w:rFonts w:ascii="Times New Roman" w:hAnsi="Times New Roman" w:cs="Times New Roman"/>
          <w:sz w:val="24"/>
          <w:szCs w:val="24"/>
        </w:rPr>
        <w:t>services</w:t>
      </w:r>
      <w:r>
        <w:rPr>
          <w:rFonts w:ascii="Times New Roman" w:hAnsi="Times New Roman" w:cs="Times New Roman"/>
          <w:spacing w:val="-3"/>
          <w:sz w:val="24"/>
          <w:szCs w:val="24"/>
        </w:rPr>
        <w:t xml:space="preserve"> </w:t>
      </w:r>
      <w:r>
        <w:rPr>
          <w:rFonts w:ascii="Times New Roman" w:hAnsi="Times New Roman" w:cs="Times New Roman"/>
          <w:sz w:val="24"/>
          <w:szCs w:val="24"/>
        </w:rPr>
        <w:t>ultimately</w:t>
      </w:r>
      <w:r>
        <w:rPr>
          <w:rFonts w:ascii="Times New Roman" w:hAnsi="Times New Roman" w:cs="Times New Roman"/>
          <w:spacing w:val="-14"/>
          <w:sz w:val="24"/>
          <w:szCs w:val="24"/>
        </w:rPr>
        <w:t xml:space="preserve"> </w:t>
      </w:r>
      <w:r>
        <w:rPr>
          <w:rFonts w:ascii="Times New Roman" w:hAnsi="Times New Roman" w:cs="Times New Roman"/>
          <w:sz w:val="24"/>
          <w:szCs w:val="24"/>
        </w:rPr>
        <w:t>provide</w:t>
      </w:r>
      <w:r>
        <w:rPr>
          <w:rFonts w:ascii="Times New Roman" w:hAnsi="Times New Roman" w:cs="Times New Roman"/>
          <w:spacing w:val="-4"/>
          <w:sz w:val="24"/>
          <w:szCs w:val="24"/>
        </w:rPr>
        <w:t xml:space="preserve"> </w:t>
      </w:r>
      <w:r>
        <w:rPr>
          <w:rFonts w:ascii="Times New Roman" w:hAnsi="Times New Roman" w:cs="Times New Roman"/>
          <w:sz w:val="24"/>
          <w:szCs w:val="24"/>
        </w:rPr>
        <w:t>an</w:t>
      </w:r>
      <w:r>
        <w:rPr>
          <w:rFonts w:ascii="Times New Roman" w:hAnsi="Times New Roman" w:cs="Times New Roman"/>
          <w:spacing w:val="-3"/>
          <w:sz w:val="24"/>
          <w:szCs w:val="24"/>
        </w:rPr>
        <w:t xml:space="preserve"> </w:t>
      </w:r>
      <w:r>
        <w:rPr>
          <w:rFonts w:ascii="Times New Roman" w:hAnsi="Times New Roman" w:cs="Times New Roman"/>
          <w:sz w:val="24"/>
          <w:szCs w:val="24"/>
        </w:rPr>
        <w:t>inexpensive</w:t>
      </w:r>
      <w:r>
        <w:rPr>
          <w:rFonts w:ascii="Times New Roman" w:hAnsi="Times New Roman" w:cs="Times New Roman"/>
          <w:spacing w:val="-4"/>
          <w:sz w:val="24"/>
          <w:szCs w:val="24"/>
        </w:rPr>
        <w:t xml:space="preserve"> </w:t>
      </w:r>
      <w:r>
        <w:rPr>
          <w:rFonts w:ascii="Times New Roman" w:hAnsi="Times New Roman" w:cs="Times New Roman"/>
          <w:sz w:val="24"/>
          <w:szCs w:val="24"/>
        </w:rPr>
        <w:t>alternative</w:t>
      </w:r>
      <w:r>
        <w:rPr>
          <w:rFonts w:ascii="Times New Roman" w:hAnsi="Times New Roman" w:cs="Times New Roman"/>
          <w:spacing w:val="-6"/>
          <w:sz w:val="24"/>
          <w:szCs w:val="24"/>
        </w:rPr>
        <w:t xml:space="preserve"> </w:t>
      </w:r>
      <w:r>
        <w:rPr>
          <w:rFonts w:ascii="Times New Roman" w:hAnsi="Times New Roman" w:cs="Times New Roman"/>
          <w:sz w:val="24"/>
          <w:szCs w:val="24"/>
        </w:rPr>
        <w:t>to</w:t>
      </w:r>
      <w:r>
        <w:rPr>
          <w:rFonts w:ascii="Times New Roman" w:hAnsi="Times New Roman" w:cs="Times New Roman"/>
          <w:spacing w:val="-3"/>
          <w:sz w:val="24"/>
          <w:szCs w:val="24"/>
        </w:rPr>
        <w:t xml:space="preserve"> </w:t>
      </w:r>
      <w:r>
        <w:rPr>
          <w:rFonts w:ascii="Times New Roman" w:hAnsi="Times New Roman" w:cs="Times New Roman"/>
          <w:sz w:val="24"/>
          <w:szCs w:val="24"/>
        </w:rPr>
        <w:t>the</w:t>
      </w:r>
      <w:r>
        <w:rPr>
          <w:rFonts w:ascii="Times New Roman" w:hAnsi="Times New Roman" w:cs="Times New Roman"/>
          <w:spacing w:val="-6"/>
          <w:sz w:val="24"/>
          <w:szCs w:val="24"/>
        </w:rPr>
        <w:t xml:space="preserve"> </w:t>
      </w:r>
      <w:r>
        <w:rPr>
          <w:rFonts w:ascii="Times New Roman" w:hAnsi="Times New Roman" w:cs="Times New Roman"/>
          <w:sz w:val="24"/>
          <w:szCs w:val="24"/>
        </w:rPr>
        <w:t>utilization of costly health care services. However, the immediate impact of services that address social determinants of health is improved patient engagement and adherence in routine care. EOHHS should therefore either remove or clarify the requirement that FSS be “alternatives to covered benefits”</w:t>
      </w:r>
      <w:r>
        <w:rPr>
          <w:rFonts w:ascii="Times New Roman" w:hAnsi="Times New Roman" w:cs="Times New Roman"/>
          <w:spacing w:val="-4"/>
          <w:sz w:val="24"/>
          <w:szCs w:val="24"/>
        </w:rPr>
        <w:t xml:space="preserve"> </w:t>
      </w:r>
      <w:r>
        <w:rPr>
          <w:rFonts w:ascii="Times New Roman" w:hAnsi="Times New Roman" w:cs="Times New Roman"/>
          <w:sz w:val="24"/>
          <w:szCs w:val="24"/>
        </w:rPr>
        <w:t>to</w:t>
      </w:r>
      <w:r>
        <w:rPr>
          <w:rFonts w:ascii="Times New Roman" w:hAnsi="Times New Roman" w:cs="Times New Roman"/>
          <w:spacing w:val="-3"/>
          <w:sz w:val="24"/>
          <w:szCs w:val="24"/>
        </w:rPr>
        <w:t xml:space="preserve"> </w:t>
      </w:r>
      <w:r>
        <w:rPr>
          <w:rFonts w:ascii="Times New Roman" w:hAnsi="Times New Roman" w:cs="Times New Roman"/>
          <w:sz w:val="24"/>
          <w:szCs w:val="24"/>
        </w:rPr>
        <w:t>avoid</w:t>
      </w:r>
      <w:r>
        <w:rPr>
          <w:rFonts w:ascii="Times New Roman" w:hAnsi="Times New Roman" w:cs="Times New Roman"/>
          <w:spacing w:val="-3"/>
          <w:sz w:val="24"/>
          <w:szCs w:val="24"/>
        </w:rPr>
        <w:t xml:space="preserve"> </w:t>
      </w:r>
      <w:r>
        <w:rPr>
          <w:rFonts w:ascii="Times New Roman" w:hAnsi="Times New Roman" w:cs="Times New Roman"/>
          <w:sz w:val="24"/>
          <w:szCs w:val="24"/>
        </w:rPr>
        <w:t>creating</w:t>
      </w:r>
      <w:r>
        <w:rPr>
          <w:rFonts w:ascii="Times New Roman" w:hAnsi="Times New Roman" w:cs="Times New Roman"/>
          <w:spacing w:val="-8"/>
          <w:sz w:val="24"/>
          <w:szCs w:val="24"/>
        </w:rPr>
        <w:t xml:space="preserve"> </w:t>
      </w:r>
      <w:r>
        <w:rPr>
          <w:rFonts w:ascii="Times New Roman" w:hAnsi="Times New Roman" w:cs="Times New Roman"/>
          <w:sz w:val="24"/>
          <w:szCs w:val="24"/>
        </w:rPr>
        <w:t>an</w:t>
      </w:r>
      <w:r>
        <w:rPr>
          <w:rFonts w:ascii="Times New Roman" w:hAnsi="Times New Roman" w:cs="Times New Roman"/>
          <w:spacing w:val="-3"/>
          <w:sz w:val="24"/>
          <w:szCs w:val="24"/>
        </w:rPr>
        <w:t xml:space="preserve"> </w:t>
      </w:r>
      <w:r>
        <w:rPr>
          <w:rFonts w:ascii="Times New Roman" w:hAnsi="Times New Roman" w:cs="Times New Roman"/>
          <w:sz w:val="24"/>
          <w:szCs w:val="24"/>
        </w:rPr>
        <w:t>unnecessary</w:t>
      </w:r>
      <w:r>
        <w:rPr>
          <w:rFonts w:ascii="Times New Roman" w:hAnsi="Times New Roman" w:cs="Times New Roman"/>
          <w:spacing w:val="-12"/>
          <w:sz w:val="24"/>
          <w:szCs w:val="24"/>
        </w:rPr>
        <w:t xml:space="preserve"> </w:t>
      </w:r>
      <w:r>
        <w:rPr>
          <w:rFonts w:ascii="Times New Roman" w:hAnsi="Times New Roman" w:cs="Times New Roman"/>
          <w:sz w:val="24"/>
          <w:szCs w:val="24"/>
        </w:rPr>
        <w:t>barrier</w:t>
      </w:r>
      <w:r>
        <w:rPr>
          <w:rFonts w:ascii="Times New Roman" w:hAnsi="Times New Roman" w:cs="Times New Roman"/>
          <w:spacing w:val="1"/>
          <w:sz w:val="24"/>
          <w:szCs w:val="24"/>
        </w:rPr>
        <w:t xml:space="preserve"> </w:t>
      </w:r>
      <w:r>
        <w:rPr>
          <w:rFonts w:ascii="Times New Roman" w:hAnsi="Times New Roman" w:cs="Times New Roman"/>
          <w:sz w:val="24"/>
          <w:szCs w:val="24"/>
        </w:rPr>
        <w:t>to</w:t>
      </w:r>
      <w:r>
        <w:rPr>
          <w:rFonts w:ascii="Times New Roman" w:hAnsi="Times New Roman" w:cs="Times New Roman"/>
          <w:spacing w:val="-3"/>
          <w:sz w:val="24"/>
          <w:szCs w:val="24"/>
        </w:rPr>
        <w:t xml:space="preserve"> </w:t>
      </w:r>
      <w:r>
        <w:rPr>
          <w:rFonts w:ascii="Times New Roman" w:hAnsi="Times New Roman" w:cs="Times New Roman"/>
          <w:sz w:val="24"/>
          <w:szCs w:val="24"/>
        </w:rPr>
        <w:t>the</w:t>
      </w:r>
      <w:r>
        <w:rPr>
          <w:rFonts w:ascii="Times New Roman" w:hAnsi="Times New Roman" w:cs="Times New Roman"/>
          <w:spacing w:val="-4"/>
          <w:sz w:val="24"/>
          <w:szCs w:val="24"/>
        </w:rPr>
        <w:t xml:space="preserve"> </w:t>
      </w:r>
      <w:r>
        <w:rPr>
          <w:rFonts w:ascii="Times New Roman" w:hAnsi="Times New Roman" w:cs="Times New Roman"/>
          <w:sz w:val="24"/>
          <w:szCs w:val="24"/>
        </w:rPr>
        <w:t>provision</w:t>
      </w:r>
      <w:r>
        <w:rPr>
          <w:rFonts w:ascii="Times New Roman" w:hAnsi="Times New Roman" w:cs="Times New Roman"/>
          <w:spacing w:val="-3"/>
          <w:sz w:val="24"/>
          <w:szCs w:val="24"/>
        </w:rPr>
        <w:t xml:space="preserve"> </w:t>
      </w:r>
      <w:r>
        <w:rPr>
          <w:rFonts w:ascii="Times New Roman" w:hAnsi="Times New Roman" w:cs="Times New Roman"/>
          <w:sz w:val="24"/>
          <w:szCs w:val="24"/>
        </w:rPr>
        <w:t>of</w:t>
      </w:r>
      <w:r>
        <w:rPr>
          <w:rFonts w:ascii="Times New Roman" w:hAnsi="Times New Roman" w:cs="Times New Roman"/>
          <w:spacing w:val="-4"/>
          <w:sz w:val="24"/>
          <w:szCs w:val="24"/>
        </w:rPr>
        <w:t xml:space="preserve"> </w:t>
      </w:r>
      <w:r>
        <w:rPr>
          <w:rFonts w:ascii="Times New Roman" w:hAnsi="Times New Roman" w:cs="Times New Roman"/>
          <w:sz w:val="24"/>
          <w:szCs w:val="24"/>
        </w:rPr>
        <w:t>key</w:t>
      </w:r>
      <w:r>
        <w:rPr>
          <w:rFonts w:ascii="Times New Roman" w:hAnsi="Times New Roman" w:cs="Times New Roman"/>
          <w:spacing w:val="-14"/>
          <w:sz w:val="24"/>
          <w:szCs w:val="24"/>
        </w:rPr>
        <w:t xml:space="preserve"> </w:t>
      </w:r>
      <w:r>
        <w:rPr>
          <w:rFonts w:ascii="Times New Roman" w:hAnsi="Times New Roman" w:cs="Times New Roman"/>
          <w:sz w:val="24"/>
          <w:szCs w:val="24"/>
        </w:rPr>
        <w:t>social</w:t>
      </w:r>
      <w:r>
        <w:rPr>
          <w:rFonts w:ascii="Times New Roman" w:hAnsi="Times New Roman" w:cs="Times New Roman"/>
          <w:spacing w:val="-3"/>
          <w:sz w:val="24"/>
          <w:szCs w:val="24"/>
        </w:rPr>
        <w:t xml:space="preserve"> </w:t>
      </w:r>
      <w:r>
        <w:rPr>
          <w:rFonts w:ascii="Times New Roman" w:hAnsi="Times New Roman" w:cs="Times New Roman"/>
          <w:sz w:val="24"/>
          <w:szCs w:val="24"/>
        </w:rPr>
        <w:t>services.</w:t>
      </w:r>
    </w:p>
    <w:p w:rsidR="002C5025" w:rsidRDefault="002C5025">
      <w:pPr>
        <w:pStyle w:val="BodyText"/>
        <w:kinsoku w:val="0"/>
        <w:overflowPunct w:val="0"/>
        <w:spacing w:before="4"/>
        <w:rPr>
          <w:rFonts w:ascii="Times New Roman" w:hAnsi="Times New Roman" w:cs="Times New Roman"/>
          <w:sz w:val="23"/>
          <w:szCs w:val="23"/>
        </w:rPr>
      </w:pPr>
    </w:p>
    <w:p w:rsidR="002C5025" w:rsidRDefault="002C5025">
      <w:pPr>
        <w:pStyle w:val="BodyText"/>
        <w:kinsoku w:val="0"/>
        <w:overflowPunct w:val="0"/>
        <w:ind w:left="119" w:right="103"/>
        <w:jc w:val="both"/>
        <w:rPr>
          <w:rFonts w:ascii="Times New Roman" w:hAnsi="Times New Roman" w:cs="Times New Roman"/>
          <w:sz w:val="24"/>
          <w:szCs w:val="24"/>
        </w:rPr>
      </w:pPr>
      <w:r>
        <w:rPr>
          <w:rFonts w:ascii="Times New Roman" w:hAnsi="Times New Roman" w:cs="Times New Roman"/>
          <w:sz w:val="24"/>
          <w:szCs w:val="24"/>
        </w:rPr>
        <w:t>We</w:t>
      </w:r>
      <w:r>
        <w:rPr>
          <w:rFonts w:ascii="Times New Roman" w:hAnsi="Times New Roman" w:cs="Times New Roman"/>
          <w:spacing w:val="-6"/>
          <w:sz w:val="24"/>
          <w:szCs w:val="24"/>
        </w:rPr>
        <w:t xml:space="preserve"> </w:t>
      </w:r>
      <w:r>
        <w:rPr>
          <w:rFonts w:ascii="Times New Roman" w:hAnsi="Times New Roman" w:cs="Times New Roman"/>
          <w:sz w:val="24"/>
          <w:szCs w:val="24"/>
        </w:rPr>
        <w:t>also</w:t>
      </w:r>
      <w:r>
        <w:rPr>
          <w:rFonts w:ascii="Times New Roman" w:hAnsi="Times New Roman" w:cs="Times New Roman"/>
          <w:spacing w:val="-3"/>
          <w:sz w:val="24"/>
          <w:szCs w:val="24"/>
        </w:rPr>
        <w:t xml:space="preserve"> </w:t>
      </w:r>
      <w:r>
        <w:rPr>
          <w:rFonts w:ascii="Times New Roman" w:hAnsi="Times New Roman" w:cs="Times New Roman"/>
          <w:sz w:val="24"/>
          <w:szCs w:val="24"/>
        </w:rPr>
        <w:t>recommend</w:t>
      </w:r>
      <w:r>
        <w:rPr>
          <w:rFonts w:ascii="Times New Roman" w:hAnsi="Times New Roman" w:cs="Times New Roman"/>
          <w:spacing w:val="-5"/>
          <w:sz w:val="24"/>
          <w:szCs w:val="24"/>
        </w:rPr>
        <w:t xml:space="preserve"> </w:t>
      </w:r>
      <w:r>
        <w:rPr>
          <w:rFonts w:ascii="Times New Roman" w:hAnsi="Times New Roman" w:cs="Times New Roman"/>
          <w:sz w:val="24"/>
          <w:szCs w:val="24"/>
        </w:rPr>
        <w:t>that</w:t>
      </w:r>
      <w:r>
        <w:rPr>
          <w:rFonts w:ascii="Times New Roman" w:hAnsi="Times New Roman" w:cs="Times New Roman"/>
          <w:spacing w:val="-5"/>
          <w:sz w:val="24"/>
          <w:szCs w:val="24"/>
        </w:rPr>
        <w:t xml:space="preserve"> </w:t>
      </w:r>
      <w:r>
        <w:rPr>
          <w:rFonts w:ascii="Times New Roman" w:hAnsi="Times New Roman" w:cs="Times New Roman"/>
          <w:sz w:val="24"/>
          <w:szCs w:val="24"/>
        </w:rPr>
        <w:t>EOHHS</w:t>
      </w:r>
      <w:r>
        <w:rPr>
          <w:rFonts w:ascii="Times New Roman" w:hAnsi="Times New Roman" w:cs="Times New Roman"/>
          <w:spacing w:val="-2"/>
          <w:sz w:val="24"/>
          <w:szCs w:val="24"/>
        </w:rPr>
        <w:t xml:space="preserve"> </w:t>
      </w:r>
      <w:r>
        <w:rPr>
          <w:rFonts w:ascii="Times New Roman" w:hAnsi="Times New Roman" w:cs="Times New Roman"/>
          <w:sz w:val="24"/>
          <w:szCs w:val="24"/>
        </w:rPr>
        <w:t>eliminate</w:t>
      </w:r>
      <w:r>
        <w:rPr>
          <w:rFonts w:ascii="Times New Roman" w:hAnsi="Times New Roman" w:cs="Times New Roman"/>
          <w:spacing w:val="-4"/>
          <w:sz w:val="24"/>
          <w:szCs w:val="24"/>
        </w:rPr>
        <w:t xml:space="preserve"> </w:t>
      </w:r>
      <w:r>
        <w:rPr>
          <w:rFonts w:ascii="Times New Roman" w:hAnsi="Times New Roman" w:cs="Times New Roman"/>
          <w:sz w:val="24"/>
          <w:szCs w:val="24"/>
        </w:rPr>
        <w:t>or</w:t>
      </w:r>
      <w:r>
        <w:rPr>
          <w:rFonts w:ascii="Times New Roman" w:hAnsi="Times New Roman" w:cs="Times New Roman"/>
          <w:spacing w:val="-6"/>
          <w:sz w:val="24"/>
          <w:szCs w:val="24"/>
        </w:rPr>
        <w:t xml:space="preserve"> </w:t>
      </w:r>
      <w:r>
        <w:rPr>
          <w:rFonts w:ascii="Times New Roman" w:hAnsi="Times New Roman" w:cs="Times New Roman"/>
          <w:sz w:val="24"/>
          <w:szCs w:val="24"/>
        </w:rPr>
        <w:t>clarify</w:t>
      </w:r>
      <w:r>
        <w:rPr>
          <w:rFonts w:ascii="Times New Roman" w:hAnsi="Times New Roman" w:cs="Times New Roman"/>
          <w:spacing w:val="-12"/>
          <w:sz w:val="24"/>
          <w:szCs w:val="24"/>
        </w:rPr>
        <w:t xml:space="preserve"> </w:t>
      </w:r>
      <w:r>
        <w:rPr>
          <w:rFonts w:ascii="Times New Roman" w:hAnsi="Times New Roman" w:cs="Times New Roman"/>
          <w:sz w:val="24"/>
          <w:szCs w:val="24"/>
        </w:rPr>
        <w:t>how</w:t>
      </w:r>
      <w:r>
        <w:rPr>
          <w:rFonts w:ascii="Times New Roman" w:hAnsi="Times New Roman" w:cs="Times New Roman"/>
          <w:spacing w:val="-4"/>
          <w:sz w:val="24"/>
          <w:szCs w:val="24"/>
        </w:rPr>
        <w:t xml:space="preserve"> </w:t>
      </w:r>
      <w:r>
        <w:rPr>
          <w:rFonts w:ascii="Times New Roman" w:hAnsi="Times New Roman" w:cs="Times New Roman"/>
          <w:sz w:val="24"/>
          <w:szCs w:val="24"/>
        </w:rPr>
        <w:t>it</w:t>
      </w:r>
      <w:r>
        <w:rPr>
          <w:rFonts w:ascii="Times New Roman" w:hAnsi="Times New Roman" w:cs="Times New Roman"/>
          <w:spacing w:val="-3"/>
          <w:sz w:val="24"/>
          <w:szCs w:val="24"/>
        </w:rPr>
        <w:t xml:space="preserve"> </w:t>
      </w:r>
      <w:r>
        <w:rPr>
          <w:rFonts w:ascii="Times New Roman" w:hAnsi="Times New Roman" w:cs="Times New Roman"/>
          <w:sz w:val="24"/>
          <w:szCs w:val="24"/>
        </w:rPr>
        <w:t>will</w:t>
      </w:r>
      <w:r>
        <w:rPr>
          <w:rFonts w:ascii="Times New Roman" w:hAnsi="Times New Roman" w:cs="Times New Roman"/>
          <w:spacing w:val="-3"/>
          <w:sz w:val="24"/>
          <w:szCs w:val="24"/>
        </w:rPr>
        <w:t xml:space="preserve"> </w:t>
      </w:r>
      <w:r>
        <w:rPr>
          <w:rFonts w:ascii="Times New Roman" w:hAnsi="Times New Roman" w:cs="Times New Roman"/>
          <w:sz w:val="24"/>
          <w:szCs w:val="24"/>
        </w:rPr>
        <w:t>define</w:t>
      </w:r>
      <w:r>
        <w:rPr>
          <w:rFonts w:ascii="Times New Roman" w:hAnsi="Times New Roman" w:cs="Times New Roman"/>
          <w:spacing w:val="-6"/>
          <w:sz w:val="24"/>
          <w:szCs w:val="24"/>
        </w:rPr>
        <w:t xml:space="preserve"> </w:t>
      </w:r>
      <w:r>
        <w:rPr>
          <w:rFonts w:ascii="Times New Roman" w:hAnsi="Times New Roman" w:cs="Times New Roman"/>
          <w:sz w:val="24"/>
          <w:szCs w:val="24"/>
        </w:rPr>
        <w:t>the</w:t>
      </w:r>
      <w:r>
        <w:rPr>
          <w:rFonts w:ascii="Times New Roman" w:hAnsi="Times New Roman" w:cs="Times New Roman"/>
          <w:spacing w:val="-6"/>
          <w:sz w:val="24"/>
          <w:szCs w:val="24"/>
        </w:rPr>
        <w:t xml:space="preserve"> </w:t>
      </w:r>
      <w:r>
        <w:rPr>
          <w:rFonts w:ascii="Times New Roman" w:hAnsi="Times New Roman" w:cs="Times New Roman"/>
          <w:sz w:val="24"/>
          <w:szCs w:val="24"/>
        </w:rPr>
        <w:t>term</w:t>
      </w:r>
      <w:r>
        <w:rPr>
          <w:rFonts w:ascii="Times New Roman" w:hAnsi="Times New Roman" w:cs="Times New Roman"/>
          <w:spacing w:val="-3"/>
          <w:sz w:val="24"/>
          <w:szCs w:val="24"/>
        </w:rPr>
        <w:t xml:space="preserve"> </w:t>
      </w:r>
      <w:r>
        <w:rPr>
          <w:rFonts w:ascii="Times New Roman" w:hAnsi="Times New Roman" w:cs="Times New Roman"/>
          <w:sz w:val="24"/>
          <w:szCs w:val="24"/>
        </w:rPr>
        <w:t xml:space="preserve">“cost-effective.” The purpose of funding flexible services is to enable delivery of innovative and promising interventions that meet the needs the ACO’s patient population. </w:t>
      </w:r>
      <w:r>
        <w:rPr>
          <w:rFonts w:ascii="Times New Roman" w:hAnsi="Times New Roman" w:cs="Times New Roman"/>
          <w:spacing w:val="-3"/>
          <w:sz w:val="24"/>
          <w:szCs w:val="24"/>
        </w:rPr>
        <w:t xml:space="preserve">In </w:t>
      </w:r>
      <w:r>
        <w:rPr>
          <w:rFonts w:ascii="Times New Roman" w:hAnsi="Times New Roman" w:cs="Times New Roman"/>
          <w:sz w:val="24"/>
          <w:szCs w:val="24"/>
        </w:rPr>
        <w:t xml:space="preserve">order to make the promise of this funding real with respect to patient outcomes and cost, ACOs should be able to draw from a wide array of possible interventions. </w:t>
      </w:r>
      <w:r>
        <w:rPr>
          <w:rFonts w:ascii="Times New Roman" w:hAnsi="Times New Roman" w:cs="Times New Roman"/>
          <w:spacing w:val="-4"/>
          <w:sz w:val="24"/>
          <w:szCs w:val="24"/>
        </w:rPr>
        <w:t xml:space="preserve">In </w:t>
      </w:r>
      <w:r>
        <w:rPr>
          <w:rFonts w:ascii="Times New Roman" w:hAnsi="Times New Roman" w:cs="Times New Roman"/>
          <w:sz w:val="24"/>
          <w:szCs w:val="24"/>
        </w:rPr>
        <w:t>some contexts, “cost-effective” is used to indicate that a study has been published examining the return on investment (ROI) or ratio of cost to quality- adjusted life years gained for the intervention. ACOs could therefore interpret the phrase “determined to be cost-effective” to mean that such studies must exist in order for a particular service</w:t>
      </w:r>
      <w:r>
        <w:rPr>
          <w:rFonts w:ascii="Times New Roman" w:hAnsi="Times New Roman" w:cs="Times New Roman"/>
          <w:spacing w:val="-4"/>
          <w:sz w:val="24"/>
          <w:szCs w:val="24"/>
        </w:rPr>
        <w:t xml:space="preserve"> </w:t>
      </w:r>
      <w:r>
        <w:rPr>
          <w:rFonts w:ascii="Times New Roman" w:hAnsi="Times New Roman" w:cs="Times New Roman"/>
          <w:sz w:val="24"/>
          <w:szCs w:val="24"/>
        </w:rPr>
        <w:t>to</w:t>
      </w:r>
      <w:r>
        <w:rPr>
          <w:rFonts w:ascii="Times New Roman" w:hAnsi="Times New Roman" w:cs="Times New Roman"/>
          <w:spacing w:val="-3"/>
          <w:sz w:val="24"/>
          <w:szCs w:val="24"/>
        </w:rPr>
        <w:t xml:space="preserve"> </w:t>
      </w:r>
      <w:r>
        <w:rPr>
          <w:rFonts w:ascii="Times New Roman" w:hAnsi="Times New Roman" w:cs="Times New Roman"/>
          <w:sz w:val="24"/>
          <w:szCs w:val="24"/>
        </w:rPr>
        <w:t>be</w:t>
      </w:r>
      <w:r>
        <w:rPr>
          <w:rFonts w:ascii="Times New Roman" w:hAnsi="Times New Roman" w:cs="Times New Roman"/>
          <w:spacing w:val="-4"/>
          <w:sz w:val="24"/>
          <w:szCs w:val="24"/>
        </w:rPr>
        <w:t xml:space="preserve"> </w:t>
      </w:r>
      <w:r>
        <w:rPr>
          <w:rFonts w:ascii="Times New Roman" w:hAnsi="Times New Roman" w:cs="Times New Roman"/>
          <w:sz w:val="24"/>
          <w:szCs w:val="24"/>
        </w:rPr>
        <w:t>covered</w:t>
      </w:r>
      <w:r>
        <w:rPr>
          <w:rFonts w:ascii="Times New Roman" w:hAnsi="Times New Roman" w:cs="Times New Roman"/>
          <w:spacing w:val="-3"/>
          <w:sz w:val="24"/>
          <w:szCs w:val="24"/>
        </w:rPr>
        <w:t xml:space="preserve"> </w:t>
      </w:r>
      <w:r>
        <w:rPr>
          <w:rFonts w:ascii="Times New Roman" w:hAnsi="Times New Roman" w:cs="Times New Roman"/>
          <w:sz w:val="24"/>
          <w:szCs w:val="24"/>
        </w:rPr>
        <w:t>under</w:t>
      </w:r>
      <w:r>
        <w:rPr>
          <w:rFonts w:ascii="Times New Roman" w:hAnsi="Times New Roman" w:cs="Times New Roman"/>
          <w:spacing w:val="-4"/>
          <w:sz w:val="24"/>
          <w:szCs w:val="24"/>
        </w:rPr>
        <w:t xml:space="preserve"> </w:t>
      </w:r>
      <w:r>
        <w:rPr>
          <w:rFonts w:ascii="Times New Roman" w:hAnsi="Times New Roman" w:cs="Times New Roman"/>
          <w:sz w:val="24"/>
          <w:szCs w:val="24"/>
        </w:rPr>
        <w:t>FSS.</w:t>
      </w:r>
      <w:r>
        <w:rPr>
          <w:rFonts w:ascii="Times New Roman" w:hAnsi="Times New Roman" w:cs="Times New Roman"/>
          <w:spacing w:val="-3"/>
          <w:sz w:val="24"/>
          <w:szCs w:val="24"/>
        </w:rPr>
        <w:t xml:space="preserve"> </w:t>
      </w:r>
      <w:r>
        <w:rPr>
          <w:rFonts w:ascii="Times New Roman" w:hAnsi="Times New Roman" w:cs="Times New Roman"/>
          <w:sz w:val="24"/>
          <w:szCs w:val="24"/>
        </w:rPr>
        <w:t>For</w:t>
      </w:r>
      <w:r>
        <w:rPr>
          <w:rFonts w:ascii="Times New Roman" w:hAnsi="Times New Roman" w:cs="Times New Roman"/>
          <w:spacing w:val="-4"/>
          <w:sz w:val="24"/>
          <w:szCs w:val="24"/>
        </w:rPr>
        <w:t xml:space="preserve"> </w:t>
      </w:r>
      <w:r>
        <w:rPr>
          <w:rFonts w:ascii="Times New Roman" w:hAnsi="Times New Roman" w:cs="Times New Roman"/>
          <w:sz w:val="24"/>
          <w:szCs w:val="24"/>
        </w:rPr>
        <w:t>many</w:t>
      </w:r>
      <w:r>
        <w:rPr>
          <w:rFonts w:ascii="Times New Roman" w:hAnsi="Times New Roman" w:cs="Times New Roman"/>
          <w:spacing w:val="-12"/>
          <w:sz w:val="24"/>
          <w:szCs w:val="24"/>
        </w:rPr>
        <w:t xml:space="preserve"> </w:t>
      </w:r>
      <w:r>
        <w:rPr>
          <w:rFonts w:ascii="Times New Roman" w:hAnsi="Times New Roman" w:cs="Times New Roman"/>
          <w:sz w:val="24"/>
          <w:szCs w:val="24"/>
        </w:rPr>
        <w:t>key</w:t>
      </w:r>
      <w:r>
        <w:rPr>
          <w:rFonts w:ascii="Times New Roman" w:hAnsi="Times New Roman" w:cs="Times New Roman"/>
          <w:spacing w:val="-12"/>
          <w:sz w:val="24"/>
          <w:szCs w:val="24"/>
        </w:rPr>
        <w:t xml:space="preserve"> </w:t>
      </w:r>
      <w:r>
        <w:rPr>
          <w:rFonts w:ascii="Times New Roman" w:hAnsi="Times New Roman" w:cs="Times New Roman"/>
          <w:sz w:val="24"/>
          <w:szCs w:val="24"/>
        </w:rPr>
        <w:t>social</w:t>
      </w:r>
      <w:r>
        <w:rPr>
          <w:rFonts w:ascii="Times New Roman" w:hAnsi="Times New Roman" w:cs="Times New Roman"/>
          <w:spacing w:val="-3"/>
          <w:sz w:val="24"/>
          <w:szCs w:val="24"/>
        </w:rPr>
        <w:t xml:space="preserve"> </w:t>
      </w:r>
      <w:r>
        <w:rPr>
          <w:rFonts w:ascii="Times New Roman" w:hAnsi="Times New Roman" w:cs="Times New Roman"/>
          <w:sz w:val="24"/>
          <w:szCs w:val="24"/>
        </w:rPr>
        <w:t>service</w:t>
      </w:r>
      <w:r>
        <w:rPr>
          <w:rFonts w:ascii="Times New Roman" w:hAnsi="Times New Roman" w:cs="Times New Roman"/>
          <w:spacing w:val="-6"/>
          <w:sz w:val="24"/>
          <w:szCs w:val="24"/>
        </w:rPr>
        <w:t xml:space="preserve"> </w:t>
      </w:r>
      <w:r>
        <w:rPr>
          <w:rFonts w:ascii="Times New Roman" w:hAnsi="Times New Roman" w:cs="Times New Roman"/>
          <w:sz w:val="24"/>
          <w:szCs w:val="24"/>
        </w:rPr>
        <w:t>interventions,</w:t>
      </w:r>
      <w:r>
        <w:rPr>
          <w:rFonts w:ascii="Times New Roman" w:hAnsi="Times New Roman" w:cs="Times New Roman"/>
          <w:spacing w:val="-3"/>
          <w:sz w:val="24"/>
          <w:szCs w:val="24"/>
        </w:rPr>
        <w:t xml:space="preserve"> </w:t>
      </w:r>
      <w:r>
        <w:rPr>
          <w:rFonts w:ascii="Times New Roman" w:hAnsi="Times New Roman" w:cs="Times New Roman"/>
          <w:sz w:val="24"/>
          <w:szCs w:val="24"/>
        </w:rPr>
        <w:t>this</w:t>
      </w:r>
      <w:r>
        <w:rPr>
          <w:rFonts w:ascii="Times New Roman" w:hAnsi="Times New Roman" w:cs="Times New Roman"/>
          <w:spacing w:val="-1"/>
          <w:sz w:val="24"/>
          <w:szCs w:val="24"/>
        </w:rPr>
        <w:t xml:space="preserve"> </w:t>
      </w:r>
      <w:r>
        <w:rPr>
          <w:rFonts w:ascii="Times New Roman" w:hAnsi="Times New Roman" w:cs="Times New Roman"/>
          <w:sz w:val="24"/>
          <w:szCs w:val="24"/>
        </w:rPr>
        <w:t>level</w:t>
      </w:r>
      <w:r>
        <w:rPr>
          <w:rFonts w:ascii="Times New Roman" w:hAnsi="Times New Roman" w:cs="Times New Roman"/>
          <w:spacing w:val="-1"/>
          <w:sz w:val="24"/>
          <w:szCs w:val="24"/>
        </w:rPr>
        <w:t xml:space="preserve"> </w:t>
      </w:r>
      <w:r>
        <w:rPr>
          <w:rFonts w:ascii="Times New Roman" w:hAnsi="Times New Roman" w:cs="Times New Roman"/>
          <w:sz w:val="24"/>
          <w:szCs w:val="24"/>
        </w:rPr>
        <w:t>of</w:t>
      </w:r>
      <w:r>
        <w:rPr>
          <w:rFonts w:ascii="Times New Roman" w:hAnsi="Times New Roman" w:cs="Times New Roman"/>
          <w:spacing w:val="-4"/>
          <w:sz w:val="24"/>
          <w:szCs w:val="24"/>
        </w:rPr>
        <w:t xml:space="preserve"> </w:t>
      </w:r>
      <w:r>
        <w:rPr>
          <w:rFonts w:ascii="Times New Roman" w:hAnsi="Times New Roman" w:cs="Times New Roman"/>
          <w:sz w:val="24"/>
          <w:szCs w:val="24"/>
        </w:rPr>
        <w:t>data</w:t>
      </w:r>
      <w:r>
        <w:rPr>
          <w:rFonts w:ascii="Times New Roman" w:hAnsi="Times New Roman" w:cs="Times New Roman"/>
          <w:spacing w:val="-4"/>
          <w:sz w:val="24"/>
          <w:szCs w:val="24"/>
        </w:rPr>
        <w:t xml:space="preserve"> </w:t>
      </w:r>
      <w:r>
        <w:rPr>
          <w:rFonts w:ascii="Times New Roman" w:hAnsi="Times New Roman" w:cs="Times New Roman"/>
          <w:sz w:val="24"/>
          <w:szCs w:val="24"/>
        </w:rPr>
        <w:t>may not</w:t>
      </w:r>
      <w:r>
        <w:rPr>
          <w:rFonts w:ascii="Times New Roman" w:hAnsi="Times New Roman" w:cs="Times New Roman"/>
          <w:spacing w:val="-4"/>
          <w:sz w:val="24"/>
          <w:szCs w:val="24"/>
        </w:rPr>
        <w:t xml:space="preserve"> </w:t>
      </w:r>
      <w:r>
        <w:rPr>
          <w:rFonts w:ascii="Times New Roman" w:hAnsi="Times New Roman" w:cs="Times New Roman"/>
          <w:spacing w:val="-3"/>
          <w:sz w:val="24"/>
          <w:szCs w:val="24"/>
        </w:rPr>
        <w:t>yet</w:t>
      </w:r>
      <w:r>
        <w:rPr>
          <w:rFonts w:ascii="Times New Roman" w:hAnsi="Times New Roman" w:cs="Times New Roman"/>
          <w:spacing w:val="-10"/>
          <w:sz w:val="24"/>
          <w:szCs w:val="24"/>
        </w:rPr>
        <w:t xml:space="preserve"> </w:t>
      </w:r>
      <w:r>
        <w:rPr>
          <w:rFonts w:ascii="Times New Roman" w:hAnsi="Times New Roman" w:cs="Times New Roman"/>
          <w:sz w:val="24"/>
          <w:szCs w:val="24"/>
        </w:rPr>
        <w:t>exist</w:t>
      </w:r>
      <w:r>
        <w:rPr>
          <w:rFonts w:ascii="Times New Roman" w:hAnsi="Times New Roman" w:cs="Times New Roman"/>
          <w:spacing w:val="-6"/>
          <w:sz w:val="24"/>
          <w:szCs w:val="24"/>
        </w:rPr>
        <w:t xml:space="preserve"> </w:t>
      </w:r>
      <w:r>
        <w:rPr>
          <w:rFonts w:ascii="Times New Roman" w:hAnsi="Times New Roman" w:cs="Times New Roman"/>
          <w:sz w:val="24"/>
          <w:szCs w:val="24"/>
        </w:rPr>
        <w:t>despite</w:t>
      </w:r>
      <w:r>
        <w:rPr>
          <w:rFonts w:ascii="Times New Roman" w:hAnsi="Times New Roman" w:cs="Times New Roman"/>
          <w:spacing w:val="-11"/>
          <w:sz w:val="24"/>
          <w:szCs w:val="24"/>
        </w:rPr>
        <w:t xml:space="preserve"> </w:t>
      </w:r>
      <w:r>
        <w:rPr>
          <w:rFonts w:ascii="Times New Roman" w:hAnsi="Times New Roman" w:cs="Times New Roman"/>
          <w:sz w:val="24"/>
          <w:szCs w:val="24"/>
        </w:rPr>
        <w:t>compelling</w:t>
      </w:r>
      <w:r>
        <w:rPr>
          <w:rFonts w:ascii="Times New Roman" w:hAnsi="Times New Roman" w:cs="Times New Roman"/>
          <w:spacing w:val="-13"/>
          <w:sz w:val="24"/>
          <w:szCs w:val="24"/>
        </w:rPr>
        <w:t xml:space="preserve"> </w:t>
      </w:r>
      <w:r>
        <w:rPr>
          <w:rFonts w:ascii="Times New Roman" w:hAnsi="Times New Roman" w:cs="Times New Roman"/>
          <w:sz w:val="24"/>
          <w:szCs w:val="24"/>
        </w:rPr>
        <w:t>evidence</w:t>
      </w:r>
      <w:r>
        <w:rPr>
          <w:rFonts w:ascii="Times New Roman" w:hAnsi="Times New Roman" w:cs="Times New Roman"/>
          <w:spacing w:val="-11"/>
          <w:sz w:val="24"/>
          <w:szCs w:val="24"/>
        </w:rPr>
        <w:t xml:space="preserve"> </w:t>
      </w:r>
      <w:r>
        <w:rPr>
          <w:rFonts w:ascii="Times New Roman" w:hAnsi="Times New Roman" w:cs="Times New Roman"/>
          <w:sz w:val="24"/>
          <w:szCs w:val="24"/>
        </w:rPr>
        <w:t>(e.g.,</w:t>
      </w:r>
      <w:r>
        <w:rPr>
          <w:rFonts w:ascii="Times New Roman" w:hAnsi="Times New Roman" w:cs="Times New Roman"/>
          <w:spacing w:val="-10"/>
          <w:sz w:val="24"/>
          <w:szCs w:val="24"/>
        </w:rPr>
        <w:t xml:space="preserve"> </w:t>
      </w:r>
      <w:r>
        <w:rPr>
          <w:rFonts w:ascii="Times New Roman" w:hAnsi="Times New Roman" w:cs="Times New Roman"/>
          <w:sz w:val="24"/>
          <w:szCs w:val="24"/>
        </w:rPr>
        <w:t>pilot</w:t>
      </w:r>
      <w:r>
        <w:rPr>
          <w:rFonts w:ascii="Times New Roman" w:hAnsi="Times New Roman" w:cs="Times New Roman"/>
          <w:spacing w:val="-8"/>
          <w:sz w:val="24"/>
          <w:szCs w:val="24"/>
        </w:rPr>
        <w:t xml:space="preserve"> </w:t>
      </w:r>
      <w:r>
        <w:rPr>
          <w:rFonts w:ascii="Times New Roman" w:hAnsi="Times New Roman" w:cs="Times New Roman"/>
          <w:sz w:val="24"/>
          <w:szCs w:val="24"/>
        </w:rPr>
        <w:t>studies</w:t>
      </w:r>
      <w:r>
        <w:rPr>
          <w:rFonts w:ascii="Times New Roman" w:hAnsi="Times New Roman" w:cs="Times New Roman"/>
          <w:spacing w:val="-9"/>
          <w:sz w:val="24"/>
          <w:szCs w:val="24"/>
        </w:rPr>
        <w:t xml:space="preserve"> </w:t>
      </w:r>
      <w:r>
        <w:rPr>
          <w:rFonts w:ascii="Times New Roman" w:hAnsi="Times New Roman" w:cs="Times New Roman"/>
          <w:sz w:val="24"/>
          <w:szCs w:val="24"/>
        </w:rPr>
        <w:t>and</w:t>
      </w:r>
      <w:r>
        <w:rPr>
          <w:rFonts w:ascii="Times New Roman" w:hAnsi="Times New Roman" w:cs="Times New Roman"/>
          <w:spacing w:val="-9"/>
          <w:sz w:val="24"/>
          <w:szCs w:val="24"/>
        </w:rPr>
        <w:t xml:space="preserve"> </w:t>
      </w:r>
      <w:r>
        <w:rPr>
          <w:rFonts w:ascii="Times New Roman" w:hAnsi="Times New Roman" w:cs="Times New Roman"/>
          <w:sz w:val="24"/>
          <w:szCs w:val="24"/>
        </w:rPr>
        <w:t>internal</w:t>
      </w:r>
      <w:r>
        <w:rPr>
          <w:rFonts w:ascii="Times New Roman" w:hAnsi="Times New Roman" w:cs="Times New Roman"/>
          <w:spacing w:val="-8"/>
          <w:sz w:val="24"/>
          <w:szCs w:val="24"/>
        </w:rPr>
        <w:t xml:space="preserve"> </w:t>
      </w:r>
      <w:r>
        <w:rPr>
          <w:rFonts w:ascii="Times New Roman" w:hAnsi="Times New Roman" w:cs="Times New Roman"/>
          <w:sz w:val="24"/>
          <w:szCs w:val="24"/>
        </w:rPr>
        <w:t>data)</w:t>
      </w:r>
      <w:r>
        <w:rPr>
          <w:rFonts w:ascii="Times New Roman" w:hAnsi="Times New Roman" w:cs="Times New Roman"/>
          <w:spacing w:val="-7"/>
          <w:sz w:val="24"/>
          <w:szCs w:val="24"/>
        </w:rPr>
        <w:t xml:space="preserve"> </w:t>
      </w:r>
      <w:r>
        <w:rPr>
          <w:rFonts w:ascii="Times New Roman" w:hAnsi="Times New Roman" w:cs="Times New Roman"/>
          <w:sz w:val="24"/>
          <w:szCs w:val="24"/>
        </w:rPr>
        <w:t>that</w:t>
      </w:r>
      <w:r>
        <w:rPr>
          <w:rFonts w:ascii="Times New Roman" w:hAnsi="Times New Roman" w:cs="Times New Roman"/>
          <w:spacing w:val="-8"/>
          <w:sz w:val="24"/>
          <w:szCs w:val="24"/>
        </w:rPr>
        <w:t xml:space="preserve"> </w:t>
      </w:r>
      <w:r>
        <w:rPr>
          <w:rFonts w:ascii="Times New Roman" w:hAnsi="Times New Roman" w:cs="Times New Roman"/>
          <w:sz w:val="24"/>
          <w:szCs w:val="24"/>
        </w:rPr>
        <w:t>the</w:t>
      </w:r>
      <w:r>
        <w:rPr>
          <w:rFonts w:ascii="Times New Roman" w:hAnsi="Times New Roman" w:cs="Times New Roman"/>
          <w:spacing w:val="-10"/>
          <w:sz w:val="24"/>
          <w:szCs w:val="24"/>
        </w:rPr>
        <w:t xml:space="preserve"> </w:t>
      </w:r>
      <w:r>
        <w:rPr>
          <w:rFonts w:ascii="Times New Roman" w:hAnsi="Times New Roman" w:cs="Times New Roman"/>
          <w:sz w:val="24"/>
          <w:szCs w:val="24"/>
        </w:rPr>
        <w:t>intervention is low-cost and high-impact. We therefore urge EOHHS to eliminate or clarify the requirement that</w:t>
      </w:r>
      <w:r>
        <w:rPr>
          <w:rFonts w:ascii="Times New Roman" w:hAnsi="Times New Roman" w:cs="Times New Roman"/>
          <w:spacing w:val="-10"/>
          <w:sz w:val="24"/>
          <w:szCs w:val="24"/>
        </w:rPr>
        <w:t xml:space="preserve"> </w:t>
      </w:r>
      <w:r>
        <w:rPr>
          <w:rFonts w:ascii="Times New Roman" w:hAnsi="Times New Roman" w:cs="Times New Roman"/>
          <w:sz w:val="24"/>
          <w:szCs w:val="24"/>
        </w:rPr>
        <w:t>FSS</w:t>
      </w:r>
      <w:r>
        <w:rPr>
          <w:rFonts w:ascii="Times New Roman" w:hAnsi="Times New Roman" w:cs="Times New Roman"/>
          <w:spacing w:val="-7"/>
          <w:sz w:val="24"/>
          <w:szCs w:val="24"/>
        </w:rPr>
        <w:t xml:space="preserve"> </w:t>
      </w:r>
      <w:r>
        <w:rPr>
          <w:rFonts w:ascii="Times New Roman" w:hAnsi="Times New Roman" w:cs="Times New Roman"/>
          <w:sz w:val="24"/>
          <w:szCs w:val="24"/>
        </w:rPr>
        <w:t>be</w:t>
      </w:r>
      <w:r>
        <w:rPr>
          <w:rFonts w:ascii="Times New Roman" w:hAnsi="Times New Roman" w:cs="Times New Roman"/>
          <w:spacing w:val="-9"/>
          <w:sz w:val="24"/>
          <w:szCs w:val="24"/>
        </w:rPr>
        <w:t xml:space="preserve"> </w:t>
      </w:r>
      <w:r>
        <w:rPr>
          <w:rFonts w:ascii="Times New Roman" w:hAnsi="Times New Roman" w:cs="Times New Roman"/>
          <w:sz w:val="24"/>
          <w:szCs w:val="24"/>
        </w:rPr>
        <w:t>“determined</w:t>
      </w:r>
      <w:r>
        <w:rPr>
          <w:rFonts w:ascii="Times New Roman" w:hAnsi="Times New Roman" w:cs="Times New Roman"/>
          <w:spacing w:val="-10"/>
          <w:sz w:val="24"/>
          <w:szCs w:val="24"/>
        </w:rPr>
        <w:t xml:space="preserve"> </w:t>
      </w:r>
      <w:r>
        <w:rPr>
          <w:rFonts w:ascii="Times New Roman" w:hAnsi="Times New Roman" w:cs="Times New Roman"/>
          <w:sz w:val="24"/>
          <w:szCs w:val="24"/>
        </w:rPr>
        <w:t>to</w:t>
      </w:r>
      <w:r>
        <w:rPr>
          <w:rFonts w:ascii="Times New Roman" w:hAnsi="Times New Roman" w:cs="Times New Roman"/>
          <w:spacing w:val="-10"/>
          <w:sz w:val="24"/>
          <w:szCs w:val="24"/>
        </w:rPr>
        <w:t xml:space="preserve"> </w:t>
      </w:r>
      <w:r>
        <w:rPr>
          <w:rFonts w:ascii="Times New Roman" w:hAnsi="Times New Roman" w:cs="Times New Roman"/>
          <w:sz w:val="24"/>
          <w:szCs w:val="24"/>
        </w:rPr>
        <w:t>be</w:t>
      </w:r>
      <w:r>
        <w:rPr>
          <w:rFonts w:ascii="Times New Roman" w:hAnsi="Times New Roman" w:cs="Times New Roman"/>
          <w:spacing w:val="-7"/>
          <w:sz w:val="24"/>
          <w:szCs w:val="24"/>
        </w:rPr>
        <w:t xml:space="preserve"> </w:t>
      </w:r>
      <w:r>
        <w:rPr>
          <w:rFonts w:ascii="Times New Roman" w:hAnsi="Times New Roman" w:cs="Times New Roman"/>
          <w:sz w:val="24"/>
          <w:szCs w:val="24"/>
        </w:rPr>
        <w:t>cost-effective.”</w:t>
      </w:r>
      <w:r>
        <w:rPr>
          <w:rFonts w:ascii="Times New Roman" w:hAnsi="Times New Roman" w:cs="Times New Roman"/>
          <w:spacing w:val="-4"/>
          <w:sz w:val="24"/>
          <w:szCs w:val="24"/>
        </w:rPr>
        <w:t xml:space="preserve"> In</w:t>
      </w:r>
      <w:r>
        <w:rPr>
          <w:rFonts w:ascii="Times New Roman" w:hAnsi="Times New Roman" w:cs="Times New Roman"/>
          <w:spacing w:val="-10"/>
          <w:sz w:val="24"/>
          <w:szCs w:val="24"/>
        </w:rPr>
        <w:t xml:space="preserve"> </w:t>
      </w:r>
      <w:r>
        <w:rPr>
          <w:rFonts w:ascii="Times New Roman" w:hAnsi="Times New Roman" w:cs="Times New Roman"/>
          <w:sz w:val="24"/>
          <w:szCs w:val="24"/>
        </w:rPr>
        <w:t>the</w:t>
      </w:r>
      <w:r>
        <w:rPr>
          <w:rFonts w:ascii="Times New Roman" w:hAnsi="Times New Roman" w:cs="Times New Roman"/>
          <w:spacing w:val="-11"/>
          <w:sz w:val="24"/>
          <w:szCs w:val="24"/>
        </w:rPr>
        <w:t xml:space="preserve"> </w:t>
      </w:r>
      <w:r>
        <w:rPr>
          <w:rFonts w:ascii="Times New Roman" w:hAnsi="Times New Roman" w:cs="Times New Roman"/>
          <w:sz w:val="24"/>
          <w:szCs w:val="24"/>
        </w:rPr>
        <w:t>event</w:t>
      </w:r>
      <w:r>
        <w:rPr>
          <w:rFonts w:ascii="Times New Roman" w:hAnsi="Times New Roman" w:cs="Times New Roman"/>
          <w:spacing w:val="-10"/>
          <w:sz w:val="24"/>
          <w:szCs w:val="24"/>
        </w:rPr>
        <w:t xml:space="preserve"> </w:t>
      </w:r>
      <w:r>
        <w:rPr>
          <w:rFonts w:ascii="Times New Roman" w:hAnsi="Times New Roman" w:cs="Times New Roman"/>
          <w:sz w:val="24"/>
          <w:szCs w:val="24"/>
        </w:rPr>
        <w:t>that</w:t>
      </w:r>
      <w:r>
        <w:rPr>
          <w:rFonts w:ascii="Times New Roman" w:hAnsi="Times New Roman" w:cs="Times New Roman"/>
          <w:spacing w:val="-10"/>
          <w:sz w:val="24"/>
          <w:szCs w:val="24"/>
        </w:rPr>
        <w:t xml:space="preserve"> </w:t>
      </w:r>
      <w:r>
        <w:rPr>
          <w:rFonts w:ascii="Times New Roman" w:hAnsi="Times New Roman" w:cs="Times New Roman"/>
          <w:sz w:val="24"/>
          <w:szCs w:val="24"/>
        </w:rPr>
        <w:t>EOHHS</w:t>
      </w:r>
      <w:r>
        <w:rPr>
          <w:rFonts w:ascii="Times New Roman" w:hAnsi="Times New Roman" w:cs="Times New Roman"/>
          <w:spacing w:val="-10"/>
          <w:sz w:val="24"/>
          <w:szCs w:val="24"/>
        </w:rPr>
        <w:t xml:space="preserve"> </w:t>
      </w:r>
      <w:r>
        <w:rPr>
          <w:rFonts w:ascii="Times New Roman" w:hAnsi="Times New Roman" w:cs="Times New Roman"/>
          <w:sz w:val="24"/>
          <w:szCs w:val="24"/>
        </w:rPr>
        <w:t>chooses</w:t>
      </w:r>
      <w:r>
        <w:rPr>
          <w:rFonts w:ascii="Times New Roman" w:hAnsi="Times New Roman" w:cs="Times New Roman"/>
          <w:spacing w:val="-10"/>
          <w:sz w:val="24"/>
          <w:szCs w:val="24"/>
        </w:rPr>
        <w:t xml:space="preserve"> </w:t>
      </w:r>
      <w:r>
        <w:rPr>
          <w:rFonts w:ascii="Times New Roman" w:hAnsi="Times New Roman" w:cs="Times New Roman"/>
          <w:sz w:val="24"/>
          <w:szCs w:val="24"/>
        </w:rPr>
        <w:t>to</w:t>
      </w:r>
      <w:r>
        <w:rPr>
          <w:rFonts w:ascii="Times New Roman" w:hAnsi="Times New Roman" w:cs="Times New Roman"/>
          <w:spacing w:val="-10"/>
          <w:sz w:val="24"/>
          <w:szCs w:val="24"/>
        </w:rPr>
        <w:t xml:space="preserve"> </w:t>
      </w:r>
      <w:r>
        <w:rPr>
          <w:rFonts w:ascii="Times New Roman" w:hAnsi="Times New Roman" w:cs="Times New Roman"/>
          <w:sz w:val="24"/>
          <w:szCs w:val="24"/>
        </w:rPr>
        <w:t>clarify</w:t>
      </w:r>
      <w:r>
        <w:rPr>
          <w:rFonts w:ascii="Times New Roman" w:hAnsi="Times New Roman" w:cs="Times New Roman"/>
          <w:spacing w:val="-19"/>
          <w:sz w:val="24"/>
          <w:szCs w:val="24"/>
        </w:rPr>
        <w:t xml:space="preserve"> </w:t>
      </w:r>
      <w:r>
        <w:rPr>
          <w:rFonts w:ascii="Times New Roman" w:hAnsi="Times New Roman" w:cs="Times New Roman"/>
          <w:sz w:val="24"/>
          <w:szCs w:val="24"/>
        </w:rPr>
        <w:t>the</w:t>
      </w:r>
      <w:r>
        <w:rPr>
          <w:rFonts w:ascii="Times New Roman" w:hAnsi="Times New Roman" w:cs="Times New Roman"/>
          <w:spacing w:val="-7"/>
          <w:sz w:val="24"/>
          <w:szCs w:val="24"/>
        </w:rPr>
        <w:t xml:space="preserve"> </w:t>
      </w:r>
      <w:r>
        <w:rPr>
          <w:rFonts w:ascii="Times New Roman" w:hAnsi="Times New Roman" w:cs="Times New Roman"/>
          <w:sz w:val="24"/>
          <w:szCs w:val="24"/>
        </w:rPr>
        <w:t>term “cost-effective,” we support the adoption of a broad definition to avoid limiting ACOs’ ability to provide</w:t>
      </w:r>
      <w:r>
        <w:rPr>
          <w:rFonts w:ascii="Times New Roman" w:hAnsi="Times New Roman" w:cs="Times New Roman"/>
          <w:spacing w:val="-7"/>
          <w:sz w:val="24"/>
          <w:szCs w:val="24"/>
        </w:rPr>
        <w:t xml:space="preserve"> </w:t>
      </w:r>
      <w:r>
        <w:rPr>
          <w:rFonts w:ascii="Times New Roman" w:hAnsi="Times New Roman" w:cs="Times New Roman"/>
          <w:sz w:val="24"/>
          <w:szCs w:val="24"/>
        </w:rPr>
        <w:t>FSS</w:t>
      </w:r>
      <w:r>
        <w:rPr>
          <w:rFonts w:ascii="Times New Roman" w:hAnsi="Times New Roman" w:cs="Times New Roman"/>
          <w:spacing w:val="-3"/>
          <w:sz w:val="24"/>
          <w:szCs w:val="24"/>
        </w:rPr>
        <w:t xml:space="preserve"> </w:t>
      </w:r>
      <w:r>
        <w:rPr>
          <w:rFonts w:ascii="Times New Roman" w:hAnsi="Times New Roman" w:cs="Times New Roman"/>
          <w:sz w:val="24"/>
          <w:szCs w:val="24"/>
        </w:rPr>
        <w:t>that</w:t>
      </w:r>
      <w:r>
        <w:rPr>
          <w:rFonts w:ascii="Times New Roman" w:hAnsi="Times New Roman" w:cs="Times New Roman"/>
          <w:spacing w:val="-3"/>
          <w:sz w:val="24"/>
          <w:szCs w:val="24"/>
        </w:rPr>
        <w:t xml:space="preserve"> </w:t>
      </w:r>
      <w:r>
        <w:rPr>
          <w:rFonts w:ascii="Times New Roman" w:hAnsi="Times New Roman" w:cs="Times New Roman"/>
          <w:sz w:val="24"/>
          <w:szCs w:val="24"/>
        </w:rPr>
        <w:t>address</w:t>
      </w:r>
      <w:r>
        <w:rPr>
          <w:rFonts w:ascii="Times New Roman" w:hAnsi="Times New Roman" w:cs="Times New Roman"/>
          <w:spacing w:val="-3"/>
          <w:sz w:val="24"/>
          <w:szCs w:val="24"/>
        </w:rPr>
        <w:t xml:space="preserve"> </w:t>
      </w:r>
      <w:r>
        <w:rPr>
          <w:rFonts w:ascii="Times New Roman" w:hAnsi="Times New Roman" w:cs="Times New Roman"/>
          <w:sz w:val="24"/>
          <w:szCs w:val="24"/>
        </w:rPr>
        <w:t>the</w:t>
      </w:r>
      <w:r>
        <w:rPr>
          <w:rFonts w:ascii="Times New Roman" w:hAnsi="Times New Roman" w:cs="Times New Roman"/>
          <w:spacing w:val="-4"/>
          <w:sz w:val="24"/>
          <w:szCs w:val="24"/>
        </w:rPr>
        <w:t xml:space="preserve"> </w:t>
      </w:r>
      <w:r>
        <w:rPr>
          <w:rFonts w:ascii="Times New Roman" w:hAnsi="Times New Roman" w:cs="Times New Roman"/>
          <w:sz w:val="24"/>
          <w:szCs w:val="24"/>
        </w:rPr>
        <w:t>unique</w:t>
      </w:r>
      <w:r>
        <w:rPr>
          <w:rFonts w:ascii="Times New Roman" w:hAnsi="Times New Roman" w:cs="Times New Roman"/>
          <w:spacing w:val="-4"/>
          <w:sz w:val="24"/>
          <w:szCs w:val="24"/>
        </w:rPr>
        <w:t xml:space="preserve"> </w:t>
      </w:r>
      <w:r>
        <w:rPr>
          <w:rFonts w:ascii="Times New Roman" w:hAnsi="Times New Roman" w:cs="Times New Roman"/>
          <w:sz w:val="24"/>
          <w:szCs w:val="24"/>
        </w:rPr>
        <w:t>and</w:t>
      </w:r>
      <w:r>
        <w:rPr>
          <w:rFonts w:ascii="Times New Roman" w:hAnsi="Times New Roman" w:cs="Times New Roman"/>
          <w:spacing w:val="-3"/>
          <w:sz w:val="24"/>
          <w:szCs w:val="24"/>
        </w:rPr>
        <w:t xml:space="preserve"> </w:t>
      </w:r>
      <w:r>
        <w:rPr>
          <w:rFonts w:ascii="Times New Roman" w:hAnsi="Times New Roman" w:cs="Times New Roman"/>
          <w:sz w:val="24"/>
          <w:szCs w:val="24"/>
        </w:rPr>
        <w:t>often</w:t>
      </w:r>
      <w:r>
        <w:rPr>
          <w:rFonts w:ascii="Times New Roman" w:hAnsi="Times New Roman" w:cs="Times New Roman"/>
          <w:spacing w:val="-3"/>
          <w:sz w:val="24"/>
          <w:szCs w:val="24"/>
        </w:rPr>
        <w:t xml:space="preserve"> </w:t>
      </w:r>
      <w:r>
        <w:rPr>
          <w:rFonts w:ascii="Times New Roman" w:hAnsi="Times New Roman" w:cs="Times New Roman"/>
          <w:sz w:val="24"/>
          <w:szCs w:val="24"/>
        </w:rPr>
        <w:t>overlooked</w:t>
      </w:r>
      <w:r>
        <w:rPr>
          <w:rFonts w:ascii="Times New Roman" w:hAnsi="Times New Roman" w:cs="Times New Roman"/>
          <w:spacing w:val="-3"/>
          <w:sz w:val="24"/>
          <w:szCs w:val="24"/>
        </w:rPr>
        <w:t xml:space="preserve"> </w:t>
      </w:r>
      <w:r>
        <w:rPr>
          <w:rFonts w:ascii="Times New Roman" w:hAnsi="Times New Roman" w:cs="Times New Roman"/>
          <w:sz w:val="24"/>
          <w:szCs w:val="24"/>
        </w:rPr>
        <w:t>needs</w:t>
      </w:r>
      <w:r>
        <w:rPr>
          <w:rFonts w:ascii="Times New Roman" w:hAnsi="Times New Roman" w:cs="Times New Roman"/>
          <w:spacing w:val="-3"/>
          <w:sz w:val="24"/>
          <w:szCs w:val="24"/>
        </w:rPr>
        <w:t xml:space="preserve"> </w:t>
      </w:r>
      <w:r>
        <w:rPr>
          <w:rFonts w:ascii="Times New Roman" w:hAnsi="Times New Roman" w:cs="Times New Roman"/>
          <w:sz w:val="24"/>
          <w:szCs w:val="24"/>
        </w:rPr>
        <w:t>of</w:t>
      </w:r>
      <w:r>
        <w:rPr>
          <w:rFonts w:ascii="Times New Roman" w:hAnsi="Times New Roman" w:cs="Times New Roman"/>
          <w:spacing w:val="-7"/>
          <w:sz w:val="24"/>
          <w:szCs w:val="24"/>
        </w:rPr>
        <w:t xml:space="preserve"> </w:t>
      </w:r>
      <w:r>
        <w:rPr>
          <w:rFonts w:ascii="Times New Roman" w:hAnsi="Times New Roman" w:cs="Times New Roman"/>
          <w:sz w:val="24"/>
          <w:szCs w:val="24"/>
        </w:rPr>
        <w:t>their</w:t>
      </w:r>
      <w:r>
        <w:rPr>
          <w:rFonts w:ascii="Times New Roman" w:hAnsi="Times New Roman" w:cs="Times New Roman"/>
          <w:spacing w:val="-4"/>
          <w:sz w:val="24"/>
          <w:szCs w:val="24"/>
        </w:rPr>
        <w:t xml:space="preserve"> </w:t>
      </w:r>
      <w:r>
        <w:rPr>
          <w:rFonts w:ascii="Times New Roman" w:hAnsi="Times New Roman" w:cs="Times New Roman"/>
          <w:sz w:val="24"/>
          <w:szCs w:val="24"/>
        </w:rPr>
        <w:t>patient</w:t>
      </w:r>
      <w:r>
        <w:rPr>
          <w:rFonts w:ascii="Times New Roman" w:hAnsi="Times New Roman" w:cs="Times New Roman"/>
          <w:spacing w:val="-3"/>
          <w:sz w:val="24"/>
          <w:szCs w:val="24"/>
        </w:rPr>
        <w:t xml:space="preserve"> </w:t>
      </w:r>
      <w:r>
        <w:rPr>
          <w:rFonts w:ascii="Times New Roman" w:hAnsi="Times New Roman" w:cs="Times New Roman"/>
          <w:sz w:val="24"/>
          <w:szCs w:val="24"/>
        </w:rPr>
        <w:t>populations.</w:t>
      </w:r>
    </w:p>
    <w:p w:rsidR="002C5025" w:rsidRDefault="002C5025">
      <w:pPr>
        <w:pStyle w:val="BodyText"/>
        <w:kinsoku w:val="0"/>
        <w:overflowPunct w:val="0"/>
        <w:spacing w:before="1"/>
        <w:rPr>
          <w:rFonts w:ascii="Times New Roman" w:hAnsi="Times New Roman" w:cs="Times New Roman"/>
          <w:sz w:val="23"/>
          <w:szCs w:val="23"/>
        </w:rPr>
      </w:pPr>
    </w:p>
    <w:p w:rsidR="002C5025" w:rsidRDefault="002C5025">
      <w:pPr>
        <w:pStyle w:val="BodyText"/>
        <w:kinsoku w:val="0"/>
        <w:overflowPunct w:val="0"/>
        <w:spacing w:before="1"/>
        <w:ind w:left="119" w:right="109"/>
        <w:jc w:val="both"/>
        <w:rPr>
          <w:rFonts w:ascii="Times New Roman" w:hAnsi="Times New Roman" w:cs="Times New Roman"/>
          <w:sz w:val="24"/>
          <w:szCs w:val="24"/>
        </w:rPr>
      </w:pPr>
      <w:r>
        <w:rPr>
          <w:rFonts w:ascii="Times New Roman" w:hAnsi="Times New Roman" w:cs="Times New Roman"/>
          <w:sz w:val="24"/>
          <w:szCs w:val="24"/>
        </w:rPr>
        <w:t xml:space="preserve">Under the same section, the Request requires that FSS “funding is not available from other publicly-funded programs.” We urge EOHHS to provide clarification on how it will assess situations in which flexible spending may appear to be similar to a preexisting public benefit program, but is actually complementary. For example, ACOs could provide fruit and vegetable vouchers and nutritional counseling as low-cost, high-impact interventions for beneficiaries identified as food insecure. </w:t>
      </w:r>
      <w:r>
        <w:rPr>
          <w:rFonts w:ascii="Times New Roman" w:hAnsi="Times New Roman" w:cs="Times New Roman"/>
          <w:spacing w:val="-4"/>
          <w:sz w:val="24"/>
          <w:szCs w:val="24"/>
        </w:rPr>
        <w:t xml:space="preserve">In </w:t>
      </w:r>
      <w:r>
        <w:rPr>
          <w:rFonts w:ascii="Times New Roman" w:hAnsi="Times New Roman" w:cs="Times New Roman"/>
          <w:sz w:val="24"/>
          <w:szCs w:val="24"/>
        </w:rPr>
        <w:t>such cases, MassHealth members should not be precluded from receiving these vouchers if they also, for example, receive SNAP benefits. To do so would</w:t>
      </w:r>
      <w:r>
        <w:rPr>
          <w:rFonts w:ascii="Times New Roman" w:hAnsi="Times New Roman" w:cs="Times New Roman"/>
          <w:spacing w:val="-41"/>
          <w:sz w:val="24"/>
          <w:szCs w:val="24"/>
        </w:rPr>
        <w:t xml:space="preserve"> </w:t>
      </w:r>
      <w:r>
        <w:rPr>
          <w:rFonts w:ascii="Times New Roman" w:hAnsi="Times New Roman" w:cs="Times New Roman"/>
          <w:sz w:val="24"/>
          <w:szCs w:val="24"/>
        </w:rPr>
        <w:t>inhibit ACOs from effectively using FSS to improve the care of beneficiaries who participate in</w:t>
      </w:r>
      <w:r>
        <w:rPr>
          <w:rFonts w:ascii="Times New Roman" w:hAnsi="Times New Roman" w:cs="Times New Roman"/>
          <w:spacing w:val="-28"/>
          <w:sz w:val="24"/>
          <w:szCs w:val="24"/>
        </w:rPr>
        <w:t xml:space="preserve"> </w:t>
      </w:r>
      <w:r>
        <w:rPr>
          <w:rFonts w:ascii="Times New Roman" w:hAnsi="Times New Roman" w:cs="Times New Roman"/>
          <w:sz w:val="24"/>
          <w:szCs w:val="24"/>
        </w:rPr>
        <w:t>multiple public</w:t>
      </w:r>
      <w:r>
        <w:rPr>
          <w:rFonts w:ascii="Times New Roman" w:hAnsi="Times New Roman" w:cs="Times New Roman"/>
          <w:spacing w:val="-16"/>
          <w:sz w:val="24"/>
          <w:szCs w:val="24"/>
        </w:rPr>
        <w:t xml:space="preserve"> </w:t>
      </w:r>
      <w:r>
        <w:rPr>
          <w:rFonts w:ascii="Times New Roman" w:hAnsi="Times New Roman" w:cs="Times New Roman"/>
          <w:sz w:val="24"/>
          <w:szCs w:val="24"/>
        </w:rPr>
        <w:t>programs.</w:t>
      </w:r>
      <w:r>
        <w:rPr>
          <w:rFonts w:ascii="Times New Roman" w:hAnsi="Times New Roman" w:cs="Times New Roman"/>
          <w:spacing w:val="-13"/>
          <w:sz w:val="24"/>
          <w:szCs w:val="24"/>
        </w:rPr>
        <w:t xml:space="preserve"> </w:t>
      </w:r>
      <w:r>
        <w:rPr>
          <w:rFonts w:ascii="Times New Roman" w:hAnsi="Times New Roman" w:cs="Times New Roman"/>
          <w:sz w:val="24"/>
          <w:szCs w:val="24"/>
        </w:rPr>
        <w:t>Any</w:t>
      </w:r>
      <w:r>
        <w:rPr>
          <w:rFonts w:ascii="Times New Roman" w:hAnsi="Times New Roman" w:cs="Times New Roman"/>
          <w:spacing w:val="-24"/>
          <w:sz w:val="24"/>
          <w:szCs w:val="24"/>
        </w:rPr>
        <w:t xml:space="preserve"> </w:t>
      </w:r>
      <w:r>
        <w:rPr>
          <w:rFonts w:ascii="Times New Roman" w:hAnsi="Times New Roman" w:cs="Times New Roman"/>
          <w:sz w:val="24"/>
          <w:szCs w:val="24"/>
        </w:rPr>
        <w:t>clarification</w:t>
      </w:r>
      <w:r>
        <w:rPr>
          <w:rFonts w:ascii="Times New Roman" w:hAnsi="Times New Roman" w:cs="Times New Roman"/>
          <w:spacing w:val="-13"/>
          <w:sz w:val="24"/>
          <w:szCs w:val="24"/>
        </w:rPr>
        <w:t xml:space="preserve"> </w:t>
      </w:r>
      <w:r>
        <w:rPr>
          <w:rFonts w:ascii="Times New Roman" w:hAnsi="Times New Roman" w:cs="Times New Roman"/>
          <w:sz w:val="24"/>
          <w:szCs w:val="24"/>
        </w:rPr>
        <w:t>that</w:t>
      </w:r>
      <w:r>
        <w:rPr>
          <w:rFonts w:ascii="Times New Roman" w:hAnsi="Times New Roman" w:cs="Times New Roman"/>
          <w:spacing w:val="-15"/>
          <w:sz w:val="24"/>
          <w:szCs w:val="24"/>
        </w:rPr>
        <w:t xml:space="preserve"> </w:t>
      </w:r>
      <w:r>
        <w:rPr>
          <w:rFonts w:ascii="Times New Roman" w:hAnsi="Times New Roman" w:cs="Times New Roman"/>
          <w:sz w:val="24"/>
          <w:szCs w:val="24"/>
        </w:rPr>
        <w:t>EOHHS</w:t>
      </w:r>
      <w:r>
        <w:rPr>
          <w:rFonts w:ascii="Times New Roman" w:hAnsi="Times New Roman" w:cs="Times New Roman"/>
          <w:spacing w:val="-12"/>
          <w:sz w:val="24"/>
          <w:szCs w:val="24"/>
        </w:rPr>
        <w:t xml:space="preserve"> </w:t>
      </w:r>
      <w:r>
        <w:rPr>
          <w:rFonts w:ascii="Times New Roman" w:hAnsi="Times New Roman" w:cs="Times New Roman"/>
          <w:sz w:val="24"/>
          <w:szCs w:val="24"/>
        </w:rPr>
        <w:t>can</w:t>
      </w:r>
      <w:r>
        <w:rPr>
          <w:rFonts w:ascii="Times New Roman" w:hAnsi="Times New Roman" w:cs="Times New Roman"/>
          <w:spacing w:val="-13"/>
          <w:sz w:val="24"/>
          <w:szCs w:val="24"/>
        </w:rPr>
        <w:t xml:space="preserve"> </w:t>
      </w:r>
      <w:r>
        <w:rPr>
          <w:rFonts w:ascii="Times New Roman" w:hAnsi="Times New Roman" w:cs="Times New Roman"/>
          <w:sz w:val="24"/>
          <w:szCs w:val="24"/>
        </w:rPr>
        <w:t>provide</w:t>
      </w:r>
      <w:r>
        <w:rPr>
          <w:rFonts w:ascii="Times New Roman" w:hAnsi="Times New Roman" w:cs="Times New Roman"/>
          <w:spacing w:val="-16"/>
          <w:sz w:val="24"/>
          <w:szCs w:val="24"/>
        </w:rPr>
        <w:t xml:space="preserve"> </w:t>
      </w:r>
      <w:r>
        <w:rPr>
          <w:rFonts w:ascii="Times New Roman" w:hAnsi="Times New Roman" w:cs="Times New Roman"/>
          <w:sz w:val="24"/>
          <w:szCs w:val="24"/>
        </w:rPr>
        <w:t>on</w:t>
      </w:r>
      <w:r>
        <w:rPr>
          <w:rFonts w:ascii="Times New Roman" w:hAnsi="Times New Roman" w:cs="Times New Roman"/>
          <w:spacing w:val="-13"/>
          <w:sz w:val="24"/>
          <w:szCs w:val="24"/>
        </w:rPr>
        <w:t xml:space="preserve"> </w:t>
      </w:r>
      <w:r>
        <w:rPr>
          <w:rFonts w:ascii="Times New Roman" w:hAnsi="Times New Roman" w:cs="Times New Roman"/>
          <w:sz w:val="24"/>
          <w:szCs w:val="24"/>
        </w:rPr>
        <w:t>how</w:t>
      </w:r>
      <w:r>
        <w:rPr>
          <w:rFonts w:ascii="Times New Roman" w:hAnsi="Times New Roman" w:cs="Times New Roman"/>
          <w:spacing w:val="-16"/>
          <w:sz w:val="24"/>
          <w:szCs w:val="24"/>
        </w:rPr>
        <w:t xml:space="preserve"> </w:t>
      </w:r>
      <w:r>
        <w:rPr>
          <w:rFonts w:ascii="Times New Roman" w:hAnsi="Times New Roman" w:cs="Times New Roman"/>
          <w:sz w:val="24"/>
          <w:szCs w:val="24"/>
        </w:rPr>
        <w:t>it</w:t>
      </w:r>
      <w:r>
        <w:rPr>
          <w:rFonts w:ascii="Times New Roman" w:hAnsi="Times New Roman" w:cs="Times New Roman"/>
          <w:spacing w:val="-10"/>
          <w:sz w:val="24"/>
          <w:szCs w:val="24"/>
        </w:rPr>
        <w:t xml:space="preserve"> </w:t>
      </w:r>
      <w:r>
        <w:rPr>
          <w:rFonts w:ascii="Times New Roman" w:hAnsi="Times New Roman" w:cs="Times New Roman"/>
          <w:sz w:val="24"/>
          <w:szCs w:val="24"/>
        </w:rPr>
        <w:t>will</w:t>
      </w:r>
      <w:r>
        <w:rPr>
          <w:rFonts w:ascii="Times New Roman" w:hAnsi="Times New Roman" w:cs="Times New Roman"/>
          <w:spacing w:val="-15"/>
          <w:sz w:val="24"/>
          <w:szCs w:val="24"/>
        </w:rPr>
        <w:t xml:space="preserve"> </w:t>
      </w:r>
      <w:r>
        <w:rPr>
          <w:rFonts w:ascii="Times New Roman" w:hAnsi="Times New Roman" w:cs="Times New Roman"/>
          <w:sz w:val="24"/>
          <w:szCs w:val="24"/>
        </w:rPr>
        <w:t>assess</w:t>
      </w:r>
      <w:r>
        <w:rPr>
          <w:rFonts w:ascii="Times New Roman" w:hAnsi="Times New Roman" w:cs="Times New Roman"/>
          <w:spacing w:val="-15"/>
          <w:sz w:val="24"/>
          <w:szCs w:val="24"/>
        </w:rPr>
        <w:t xml:space="preserve"> </w:t>
      </w:r>
      <w:r>
        <w:rPr>
          <w:rFonts w:ascii="Times New Roman" w:hAnsi="Times New Roman" w:cs="Times New Roman"/>
          <w:sz w:val="24"/>
          <w:szCs w:val="24"/>
        </w:rPr>
        <w:t>similar</w:t>
      </w:r>
      <w:r>
        <w:rPr>
          <w:rFonts w:ascii="Times New Roman" w:hAnsi="Times New Roman" w:cs="Times New Roman"/>
          <w:spacing w:val="-17"/>
          <w:sz w:val="24"/>
          <w:szCs w:val="24"/>
        </w:rPr>
        <w:t xml:space="preserve"> </w:t>
      </w:r>
      <w:r>
        <w:rPr>
          <w:rFonts w:ascii="Times New Roman" w:hAnsi="Times New Roman" w:cs="Times New Roman"/>
          <w:sz w:val="24"/>
          <w:szCs w:val="24"/>
        </w:rPr>
        <w:t>situations in</w:t>
      </w:r>
      <w:r>
        <w:rPr>
          <w:rFonts w:ascii="Times New Roman" w:hAnsi="Times New Roman" w:cs="Times New Roman"/>
          <w:spacing w:val="-4"/>
          <w:sz w:val="24"/>
          <w:szCs w:val="24"/>
        </w:rPr>
        <w:t xml:space="preserve"> </w:t>
      </w:r>
      <w:r>
        <w:rPr>
          <w:rFonts w:ascii="Times New Roman" w:hAnsi="Times New Roman" w:cs="Times New Roman"/>
          <w:sz w:val="24"/>
          <w:szCs w:val="24"/>
        </w:rPr>
        <w:t>order</w:t>
      </w:r>
      <w:r>
        <w:rPr>
          <w:rFonts w:ascii="Times New Roman" w:hAnsi="Times New Roman" w:cs="Times New Roman"/>
          <w:spacing w:val="-8"/>
          <w:sz w:val="24"/>
          <w:szCs w:val="24"/>
        </w:rPr>
        <w:t xml:space="preserve"> </w:t>
      </w:r>
      <w:r>
        <w:rPr>
          <w:rFonts w:ascii="Times New Roman" w:hAnsi="Times New Roman" w:cs="Times New Roman"/>
          <w:sz w:val="24"/>
          <w:szCs w:val="24"/>
        </w:rPr>
        <w:t>to</w:t>
      </w:r>
      <w:r>
        <w:rPr>
          <w:rFonts w:ascii="Times New Roman" w:hAnsi="Times New Roman" w:cs="Times New Roman"/>
          <w:spacing w:val="-4"/>
          <w:sz w:val="24"/>
          <w:szCs w:val="24"/>
        </w:rPr>
        <w:t xml:space="preserve"> </w:t>
      </w:r>
      <w:r>
        <w:rPr>
          <w:rFonts w:ascii="Times New Roman" w:hAnsi="Times New Roman" w:cs="Times New Roman"/>
          <w:sz w:val="24"/>
          <w:szCs w:val="24"/>
        </w:rPr>
        <w:t>avoid</w:t>
      </w:r>
      <w:r>
        <w:rPr>
          <w:rFonts w:ascii="Times New Roman" w:hAnsi="Times New Roman" w:cs="Times New Roman"/>
          <w:spacing w:val="-4"/>
          <w:sz w:val="24"/>
          <w:szCs w:val="24"/>
        </w:rPr>
        <w:t xml:space="preserve"> </w:t>
      </w:r>
      <w:r>
        <w:rPr>
          <w:rFonts w:ascii="Times New Roman" w:hAnsi="Times New Roman" w:cs="Times New Roman"/>
          <w:sz w:val="24"/>
          <w:szCs w:val="24"/>
        </w:rPr>
        <w:t>excessive</w:t>
      </w:r>
      <w:r>
        <w:rPr>
          <w:rFonts w:ascii="Times New Roman" w:hAnsi="Times New Roman" w:cs="Times New Roman"/>
          <w:spacing w:val="-5"/>
          <w:sz w:val="24"/>
          <w:szCs w:val="24"/>
        </w:rPr>
        <w:t xml:space="preserve"> </w:t>
      </w:r>
      <w:r>
        <w:rPr>
          <w:rFonts w:ascii="Times New Roman" w:hAnsi="Times New Roman" w:cs="Times New Roman"/>
          <w:sz w:val="24"/>
          <w:szCs w:val="24"/>
        </w:rPr>
        <w:t>limitation</w:t>
      </w:r>
      <w:r>
        <w:rPr>
          <w:rFonts w:ascii="Times New Roman" w:hAnsi="Times New Roman" w:cs="Times New Roman"/>
          <w:spacing w:val="-4"/>
          <w:sz w:val="24"/>
          <w:szCs w:val="24"/>
        </w:rPr>
        <w:t xml:space="preserve"> </w:t>
      </w:r>
      <w:r>
        <w:rPr>
          <w:rFonts w:ascii="Times New Roman" w:hAnsi="Times New Roman" w:cs="Times New Roman"/>
          <w:sz w:val="24"/>
          <w:szCs w:val="24"/>
        </w:rPr>
        <w:t>of</w:t>
      </w:r>
      <w:r>
        <w:rPr>
          <w:rFonts w:ascii="Times New Roman" w:hAnsi="Times New Roman" w:cs="Times New Roman"/>
          <w:spacing w:val="-5"/>
          <w:sz w:val="24"/>
          <w:szCs w:val="24"/>
        </w:rPr>
        <w:t xml:space="preserve"> </w:t>
      </w:r>
      <w:r>
        <w:rPr>
          <w:rFonts w:ascii="Times New Roman" w:hAnsi="Times New Roman" w:cs="Times New Roman"/>
          <w:sz w:val="24"/>
          <w:szCs w:val="24"/>
        </w:rPr>
        <w:t>flexible</w:t>
      </w:r>
      <w:r>
        <w:rPr>
          <w:rFonts w:ascii="Times New Roman" w:hAnsi="Times New Roman" w:cs="Times New Roman"/>
          <w:spacing w:val="-5"/>
          <w:sz w:val="24"/>
          <w:szCs w:val="24"/>
        </w:rPr>
        <w:t xml:space="preserve"> </w:t>
      </w:r>
      <w:r>
        <w:rPr>
          <w:rFonts w:ascii="Times New Roman" w:hAnsi="Times New Roman" w:cs="Times New Roman"/>
          <w:sz w:val="24"/>
          <w:szCs w:val="24"/>
        </w:rPr>
        <w:t>services</w:t>
      </w:r>
      <w:r>
        <w:rPr>
          <w:rFonts w:ascii="Times New Roman" w:hAnsi="Times New Roman" w:cs="Times New Roman"/>
          <w:spacing w:val="-4"/>
          <w:sz w:val="24"/>
          <w:szCs w:val="24"/>
        </w:rPr>
        <w:t xml:space="preserve"> </w:t>
      </w:r>
      <w:r>
        <w:rPr>
          <w:rFonts w:ascii="Times New Roman" w:hAnsi="Times New Roman" w:cs="Times New Roman"/>
          <w:sz w:val="24"/>
          <w:szCs w:val="24"/>
        </w:rPr>
        <w:t>would</w:t>
      </w:r>
      <w:r>
        <w:rPr>
          <w:rFonts w:ascii="Times New Roman" w:hAnsi="Times New Roman" w:cs="Times New Roman"/>
          <w:spacing w:val="-4"/>
          <w:sz w:val="24"/>
          <w:szCs w:val="24"/>
        </w:rPr>
        <w:t xml:space="preserve"> </w:t>
      </w:r>
      <w:r>
        <w:rPr>
          <w:rFonts w:ascii="Times New Roman" w:hAnsi="Times New Roman" w:cs="Times New Roman"/>
          <w:sz w:val="24"/>
          <w:szCs w:val="24"/>
        </w:rPr>
        <w:t>be</w:t>
      </w:r>
      <w:r>
        <w:rPr>
          <w:rFonts w:ascii="Times New Roman" w:hAnsi="Times New Roman" w:cs="Times New Roman"/>
          <w:spacing w:val="-5"/>
          <w:sz w:val="24"/>
          <w:szCs w:val="24"/>
        </w:rPr>
        <w:t xml:space="preserve"> </w:t>
      </w:r>
      <w:r>
        <w:rPr>
          <w:rFonts w:ascii="Times New Roman" w:hAnsi="Times New Roman" w:cs="Times New Roman"/>
          <w:sz w:val="24"/>
          <w:szCs w:val="24"/>
        </w:rPr>
        <w:t>appreciated.</w:t>
      </w:r>
    </w:p>
    <w:p w:rsidR="002C5025" w:rsidRDefault="002C5025">
      <w:pPr>
        <w:pStyle w:val="BodyText"/>
        <w:kinsoku w:val="0"/>
        <w:overflowPunct w:val="0"/>
        <w:spacing w:before="2"/>
        <w:rPr>
          <w:rFonts w:ascii="Times New Roman" w:hAnsi="Times New Roman" w:cs="Times New Roman"/>
          <w:sz w:val="24"/>
          <w:szCs w:val="24"/>
        </w:rPr>
      </w:pPr>
    </w:p>
    <w:p w:rsidR="002C5025" w:rsidRDefault="002C5025">
      <w:pPr>
        <w:pStyle w:val="ListParagraph"/>
        <w:numPr>
          <w:ilvl w:val="0"/>
          <w:numId w:val="15"/>
        </w:numPr>
        <w:tabs>
          <w:tab w:val="left" w:pos="840"/>
        </w:tabs>
        <w:kinsoku w:val="0"/>
        <w:overflowPunct w:val="0"/>
        <w:rPr>
          <w:b/>
          <w:bCs/>
        </w:rPr>
      </w:pPr>
      <w:bookmarkStart w:id="79" w:name="2._Provide_a_framework_to_govern_the_use"/>
      <w:bookmarkEnd w:id="79"/>
      <w:r>
        <w:rPr>
          <w:b/>
          <w:bCs/>
        </w:rPr>
        <w:t>Provide</w:t>
      </w:r>
      <w:r>
        <w:rPr>
          <w:b/>
          <w:bCs/>
          <w:spacing w:val="-5"/>
        </w:rPr>
        <w:t xml:space="preserve"> </w:t>
      </w:r>
      <w:r>
        <w:rPr>
          <w:b/>
          <w:bCs/>
        </w:rPr>
        <w:t>a</w:t>
      </w:r>
      <w:r>
        <w:rPr>
          <w:b/>
          <w:bCs/>
          <w:spacing w:val="-7"/>
        </w:rPr>
        <w:t xml:space="preserve"> </w:t>
      </w:r>
      <w:r>
        <w:rPr>
          <w:b/>
          <w:bCs/>
        </w:rPr>
        <w:t>framework</w:t>
      </w:r>
      <w:r>
        <w:rPr>
          <w:b/>
          <w:bCs/>
          <w:spacing w:val="-4"/>
        </w:rPr>
        <w:t xml:space="preserve"> </w:t>
      </w:r>
      <w:r>
        <w:rPr>
          <w:b/>
          <w:bCs/>
        </w:rPr>
        <w:t>to</w:t>
      </w:r>
      <w:r>
        <w:rPr>
          <w:b/>
          <w:bCs/>
          <w:spacing w:val="-2"/>
        </w:rPr>
        <w:t xml:space="preserve"> </w:t>
      </w:r>
      <w:r>
        <w:rPr>
          <w:b/>
          <w:bCs/>
        </w:rPr>
        <w:t>govern</w:t>
      </w:r>
      <w:r>
        <w:rPr>
          <w:b/>
          <w:bCs/>
          <w:spacing w:val="-4"/>
        </w:rPr>
        <w:t xml:space="preserve"> </w:t>
      </w:r>
      <w:r>
        <w:rPr>
          <w:b/>
          <w:bCs/>
        </w:rPr>
        <w:t>the</w:t>
      </w:r>
      <w:r>
        <w:rPr>
          <w:b/>
          <w:bCs/>
          <w:spacing w:val="-5"/>
        </w:rPr>
        <w:t xml:space="preserve"> </w:t>
      </w:r>
      <w:r>
        <w:rPr>
          <w:b/>
          <w:bCs/>
        </w:rPr>
        <w:t>use</w:t>
      </w:r>
      <w:r>
        <w:rPr>
          <w:b/>
          <w:bCs/>
          <w:spacing w:val="-5"/>
        </w:rPr>
        <w:t xml:space="preserve"> </w:t>
      </w:r>
      <w:r>
        <w:rPr>
          <w:b/>
          <w:bCs/>
        </w:rPr>
        <w:t>of</w:t>
      </w:r>
      <w:r>
        <w:rPr>
          <w:b/>
          <w:bCs/>
          <w:spacing w:val="-5"/>
        </w:rPr>
        <w:t xml:space="preserve"> </w:t>
      </w:r>
      <w:r>
        <w:rPr>
          <w:b/>
          <w:bCs/>
        </w:rPr>
        <w:t>flexible</w:t>
      </w:r>
      <w:r>
        <w:rPr>
          <w:b/>
          <w:bCs/>
          <w:spacing w:val="-5"/>
        </w:rPr>
        <w:t xml:space="preserve"> </w:t>
      </w:r>
      <w:r>
        <w:rPr>
          <w:b/>
          <w:bCs/>
        </w:rPr>
        <w:t>spending</w:t>
      </w:r>
      <w:r>
        <w:rPr>
          <w:b/>
          <w:bCs/>
          <w:spacing w:val="-9"/>
        </w:rPr>
        <w:t xml:space="preserve"> </w:t>
      </w:r>
      <w:r>
        <w:rPr>
          <w:b/>
          <w:bCs/>
        </w:rPr>
        <w:t>funds.</w:t>
      </w:r>
    </w:p>
    <w:p w:rsidR="002C5025" w:rsidRDefault="002C5025">
      <w:pPr>
        <w:pStyle w:val="BodyText"/>
        <w:kinsoku w:val="0"/>
        <w:overflowPunct w:val="0"/>
        <w:rPr>
          <w:rFonts w:ascii="Times New Roman" w:hAnsi="Times New Roman" w:cs="Times New Roman"/>
          <w:b/>
          <w:bCs/>
          <w:sz w:val="20"/>
          <w:szCs w:val="20"/>
        </w:rPr>
      </w:pPr>
    </w:p>
    <w:p w:rsidR="002C5025" w:rsidRDefault="002C5025">
      <w:pPr>
        <w:pStyle w:val="BodyText"/>
        <w:kinsoku w:val="0"/>
        <w:overflowPunct w:val="0"/>
        <w:spacing w:before="10"/>
        <w:rPr>
          <w:rFonts w:ascii="Times New Roman" w:hAnsi="Times New Roman" w:cs="Times New Roman"/>
          <w:b/>
          <w:bCs/>
          <w:sz w:val="17"/>
          <w:szCs w:val="17"/>
        </w:rPr>
      </w:pPr>
    </w:p>
    <w:p w:rsidR="002C5025" w:rsidRDefault="002C5025">
      <w:pPr>
        <w:pStyle w:val="BodyText"/>
        <w:kinsoku w:val="0"/>
        <w:overflowPunct w:val="0"/>
        <w:spacing w:before="1"/>
        <w:ind w:left="4"/>
        <w:jc w:val="center"/>
        <w:rPr>
          <w:rFonts w:ascii="Times New Roman" w:hAnsi="Times New Roman" w:cs="Times New Roman"/>
        </w:rPr>
      </w:pPr>
      <w:r>
        <w:rPr>
          <w:rFonts w:ascii="Times New Roman" w:hAnsi="Times New Roman" w:cs="Times New Roman"/>
        </w:rPr>
        <w:t>3</w:t>
      </w:r>
    </w:p>
    <w:p w:rsidR="002C5025" w:rsidRDefault="002C5025">
      <w:pPr>
        <w:pStyle w:val="BodyText"/>
        <w:kinsoku w:val="0"/>
        <w:overflowPunct w:val="0"/>
        <w:spacing w:before="1"/>
        <w:ind w:left="4"/>
        <w:jc w:val="center"/>
        <w:rPr>
          <w:rFonts w:ascii="Times New Roman" w:hAnsi="Times New Roman" w:cs="Times New Roman"/>
        </w:rPr>
        <w:sectPr w:rsidR="002C5025">
          <w:pgSz w:w="12240" w:h="15840"/>
          <w:pgMar w:top="1500" w:right="1320" w:bottom="280" w:left="1320" w:header="720" w:footer="720" w:gutter="0"/>
          <w:cols w:space="720"/>
          <w:noEndnote/>
        </w:sectPr>
      </w:pPr>
    </w:p>
    <w:p w:rsidR="002C5025" w:rsidRDefault="002C5025">
      <w:pPr>
        <w:pStyle w:val="BodyText"/>
        <w:kinsoku w:val="0"/>
        <w:overflowPunct w:val="0"/>
        <w:spacing w:before="9"/>
        <w:rPr>
          <w:rFonts w:ascii="Times New Roman" w:hAnsi="Times New Roman" w:cs="Times New Roman"/>
          <w:sz w:val="10"/>
          <w:szCs w:val="10"/>
        </w:rPr>
      </w:pPr>
    </w:p>
    <w:p w:rsidR="002C5025" w:rsidRDefault="002C5025">
      <w:pPr>
        <w:pStyle w:val="BodyText"/>
        <w:kinsoku w:val="0"/>
        <w:overflowPunct w:val="0"/>
        <w:spacing w:before="69"/>
        <w:ind w:left="119" w:right="113"/>
        <w:jc w:val="both"/>
        <w:rPr>
          <w:rFonts w:ascii="Times New Roman" w:hAnsi="Times New Roman" w:cs="Times New Roman"/>
          <w:sz w:val="24"/>
          <w:szCs w:val="24"/>
        </w:rPr>
      </w:pPr>
      <w:r>
        <w:rPr>
          <w:rFonts w:ascii="Times New Roman" w:hAnsi="Times New Roman" w:cs="Times New Roman"/>
          <w:spacing w:val="-3"/>
          <w:sz w:val="24"/>
          <w:szCs w:val="24"/>
        </w:rPr>
        <w:t xml:space="preserve">In </w:t>
      </w:r>
      <w:r>
        <w:rPr>
          <w:rFonts w:ascii="Times New Roman" w:hAnsi="Times New Roman" w:cs="Times New Roman"/>
          <w:sz w:val="24"/>
          <w:szCs w:val="24"/>
        </w:rPr>
        <w:t xml:space="preserve">order to maximize the impact of the new ACO model in addressing social determinants </w:t>
      </w:r>
      <w:r>
        <w:rPr>
          <w:rFonts w:ascii="Times New Roman" w:hAnsi="Times New Roman" w:cs="Times New Roman"/>
          <w:spacing w:val="-3"/>
          <w:sz w:val="24"/>
          <w:szCs w:val="24"/>
        </w:rPr>
        <w:t xml:space="preserve">of </w:t>
      </w:r>
      <w:r>
        <w:rPr>
          <w:rFonts w:ascii="Times New Roman" w:hAnsi="Times New Roman" w:cs="Times New Roman"/>
          <w:sz w:val="24"/>
          <w:szCs w:val="24"/>
        </w:rPr>
        <w:t>health,</w:t>
      </w:r>
      <w:r>
        <w:rPr>
          <w:rFonts w:ascii="Times New Roman" w:hAnsi="Times New Roman" w:cs="Times New Roman"/>
          <w:spacing w:val="-7"/>
          <w:sz w:val="24"/>
          <w:szCs w:val="24"/>
        </w:rPr>
        <w:t xml:space="preserve"> </w:t>
      </w:r>
      <w:r>
        <w:rPr>
          <w:rFonts w:ascii="Times New Roman" w:hAnsi="Times New Roman" w:cs="Times New Roman"/>
          <w:sz w:val="24"/>
          <w:szCs w:val="24"/>
        </w:rPr>
        <w:t>we</w:t>
      </w:r>
      <w:r>
        <w:rPr>
          <w:rFonts w:ascii="Times New Roman" w:hAnsi="Times New Roman" w:cs="Times New Roman"/>
          <w:spacing w:val="-8"/>
          <w:sz w:val="24"/>
          <w:szCs w:val="24"/>
        </w:rPr>
        <w:t xml:space="preserve"> </w:t>
      </w:r>
      <w:r>
        <w:rPr>
          <w:rFonts w:ascii="Times New Roman" w:hAnsi="Times New Roman" w:cs="Times New Roman"/>
          <w:sz w:val="24"/>
          <w:szCs w:val="24"/>
        </w:rPr>
        <w:t>encourage</w:t>
      </w:r>
      <w:r>
        <w:rPr>
          <w:rFonts w:ascii="Times New Roman" w:hAnsi="Times New Roman" w:cs="Times New Roman"/>
          <w:spacing w:val="-6"/>
          <w:sz w:val="24"/>
          <w:szCs w:val="24"/>
        </w:rPr>
        <w:t xml:space="preserve"> </w:t>
      </w:r>
      <w:r>
        <w:rPr>
          <w:rFonts w:ascii="Times New Roman" w:hAnsi="Times New Roman" w:cs="Times New Roman"/>
          <w:sz w:val="24"/>
          <w:szCs w:val="24"/>
        </w:rPr>
        <w:t>EOHHS</w:t>
      </w:r>
      <w:r>
        <w:rPr>
          <w:rFonts w:ascii="Times New Roman" w:hAnsi="Times New Roman" w:cs="Times New Roman"/>
          <w:spacing w:val="-4"/>
          <w:sz w:val="24"/>
          <w:szCs w:val="24"/>
        </w:rPr>
        <w:t xml:space="preserve"> </w:t>
      </w:r>
      <w:r>
        <w:rPr>
          <w:rFonts w:ascii="Times New Roman" w:hAnsi="Times New Roman" w:cs="Times New Roman"/>
          <w:sz w:val="24"/>
          <w:szCs w:val="24"/>
        </w:rPr>
        <w:t>to</w:t>
      </w:r>
      <w:r>
        <w:rPr>
          <w:rFonts w:ascii="Times New Roman" w:hAnsi="Times New Roman" w:cs="Times New Roman"/>
          <w:spacing w:val="-7"/>
          <w:sz w:val="24"/>
          <w:szCs w:val="24"/>
        </w:rPr>
        <w:t xml:space="preserve"> </w:t>
      </w:r>
      <w:r>
        <w:rPr>
          <w:rFonts w:ascii="Times New Roman" w:hAnsi="Times New Roman" w:cs="Times New Roman"/>
          <w:sz w:val="24"/>
          <w:szCs w:val="24"/>
        </w:rPr>
        <w:t>provide</w:t>
      </w:r>
      <w:r>
        <w:rPr>
          <w:rFonts w:ascii="Times New Roman" w:hAnsi="Times New Roman" w:cs="Times New Roman"/>
          <w:spacing w:val="-6"/>
          <w:sz w:val="24"/>
          <w:szCs w:val="24"/>
        </w:rPr>
        <w:t xml:space="preserve"> </w:t>
      </w:r>
      <w:r>
        <w:rPr>
          <w:rFonts w:ascii="Times New Roman" w:hAnsi="Times New Roman" w:cs="Times New Roman"/>
          <w:sz w:val="24"/>
          <w:szCs w:val="24"/>
        </w:rPr>
        <w:t>a</w:t>
      </w:r>
      <w:r>
        <w:rPr>
          <w:rFonts w:ascii="Times New Roman" w:hAnsi="Times New Roman" w:cs="Times New Roman"/>
          <w:spacing w:val="-11"/>
          <w:sz w:val="24"/>
          <w:szCs w:val="24"/>
        </w:rPr>
        <w:t xml:space="preserve"> </w:t>
      </w:r>
      <w:r>
        <w:rPr>
          <w:rFonts w:ascii="Times New Roman" w:hAnsi="Times New Roman" w:cs="Times New Roman"/>
          <w:sz w:val="24"/>
          <w:szCs w:val="24"/>
        </w:rPr>
        <w:t>framework</w:t>
      </w:r>
      <w:r>
        <w:rPr>
          <w:rFonts w:ascii="Times New Roman" w:hAnsi="Times New Roman" w:cs="Times New Roman"/>
          <w:spacing w:val="-7"/>
          <w:sz w:val="24"/>
          <w:szCs w:val="24"/>
        </w:rPr>
        <w:t xml:space="preserve"> </w:t>
      </w:r>
      <w:r>
        <w:rPr>
          <w:rFonts w:ascii="Times New Roman" w:hAnsi="Times New Roman" w:cs="Times New Roman"/>
          <w:sz w:val="24"/>
          <w:szCs w:val="24"/>
        </w:rPr>
        <w:t>for</w:t>
      </w:r>
      <w:r>
        <w:rPr>
          <w:rFonts w:ascii="Times New Roman" w:hAnsi="Times New Roman" w:cs="Times New Roman"/>
          <w:spacing w:val="-8"/>
          <w:sz w:val="24"/>
          <w:szCs w:val="24"/>
        </w:rPr>
        <w:t xml:space="preserve"> </w:t>
      </w:r>
      <w:r>
        <w:rPr>
          <w:rFonts w:ascii="Times New Roman" w:hAnsi="Times New Roman" w:cs="Times New Roman"/>
          <w:sz w:val="24"/>
          <w:szCs w:val="24"/>
        </w:rPr>
        <w:t>the</w:t>
      </w:r>
      <w:r>
        <w:rPr>
          <w:rFonts w:ascii="Times New Roman" w:hAnsi="Times New Roman" w:cs="Times New Roman"/>
          <w:spacing w:val="-8"/>
          <w:sz w:val="24"/>
          <w:szCs w:val="24"/>
        </w:rPr>
        <w:t xml:space="preserve"> </w:t>
      </w:r>
      <w:r>
        <w:rPr>
          <w:rFonts w:ascii="Times New Roman" w:hAnsi="Times New Roman" w:cs="Times New Roman"/>
          <w:sz w:val="24"/>
          <w:szCs w:val="24"/>
        </w:rPr>
        <w:t>use</w:t>
      </w:r>
      <w:r>
        <w:rPr>
          <w:rFonts w:ascii="Times New Roman" w:hAnsi="Times New Roman" w:cs="Times New Roman"/>
          <w:spacing w:val="-6"/>
          <w:sz w:val="24"/>
          <w:szCs w:val="24"/>
        </w:rPr>
        <w:t xml:space="preserve"> </w:t>
      </w:r>
      <w:r>
        <w:rPr>
          <w:rFonts w:ascii="Times New Roman" w:hAnsi="Times New Roman" w:cs="Times New Roman"/>
          <w:sz w:val="24"/>
          <w:szCs w:val="24"/>
        </w:rPr>
        <w:t>of</w:t>
      </w:r>
      <w:r>
        <w:rPr>
          <w:rFonts w:ascii="Times New Roman" w:hAnsi="Times New Roman" w:cs="Times New Roman"/>
          <w:spacing w:val="-6"/>
          <w:sz w:val="24"/>
          <w:szCs w:val="24"/>
        </w:rPr>
        <w:t xml:space="preserve"> </w:t>
      </w:r>
      <w:r>
        <w:rPr>
          <w:rFonts w:ascii="Times New Roman" w:hAnsi="Times New Roman" w:cs="Times New Roman"/>
          <w:sz w:val="24"/>
          <w:szCs w:val="24"/>
        </w:rPr>
        <w:t>flexible</w:t>
      </w:r>
      <w:r>
        <w:rPr>
          <w:rFonts w:ascii="Times New Roman" w:hAnsi="Times New Roman" w:cs="Times New Roman"/>
          <w:spacing w:val="-11"/>
          <w:sz w:val="24"/>
          <w:szCs w:val="24"/>
        </w:rPr>
        <w:t xml:space="preserve"> </w:t>
      </w:r>
      <w:r>
        <w:rPr>
          <w:rFonts w:ascii="Times New Roman" w:hAnsi="Times New Roman" w:cs="Times New Roman"/>
          <w:sz w:val="24"/>
          <w:szCs w:val="24"/>
        </w:rPr>
        <w:t>spending</w:t>
      </w:r>
      <w:r>
        <w:rPr>
          <w:rFonts w:ascii="Times New Roman" w:hAnsi="Times New Roman" w:cs="Times New Roman"/>
          <w:spacing w:val="-10"/>
          <w:sz w:val="24"/>
          <w:szCs w:val="24"/>
        </w:rPr>
        <w:t xml:space="preserve"> </w:t>
      </w:r>
      <w:r>
        <w:rPr>
          <w:rFonts w:ascii="Times New Roman" w:hAnsi="Times New Roman" w:cs="Times New Roman"/>
          <w:sz w:val="24"/>
          <w:szCs w:val="24"/>
        </w:rPr>
        <w:t>funds.</w:t>
      </w:r>
      <w:r>
        <w:rPr>
          <w:rFonts w:ascii="Times New Roman" w:hAnsi="Times New Roman" w:cs="Times New Roman"/>
          <w:spacing w:val="-7"/>
          <w:sz w:val="24"/>
          <w:szCs w:val="24"/>
        </w:rPr>
        <w:t xml:space="preserve"> </w:t>
      </w:r>
      <w:r>
        <w:rPr>
          <w:rFonts w:ascii="Times New Roman" w:hAnsi="Times New Roman" w:cs="Times New Roman"/>
          <w:spacing w:val="-3"/>
          <w:sz w:val="24"/>
          <w:szCs w:val="24"/>
        </w:rPr>
        <w:t xml:space="preserve">Such </w:t>
      </w:r>
      <w:r>
        <w:rPr>
          <w:rFonts w:ascii="Times New Roman" w:hAnsi="Times New Roman" w:cs="Times New Roman"/>
          <w:sz w:val="24"/>
          <w:szCs w:val="24"/>
        </w:rPr>
        <w:t>a</w:t>
      </w:r>
      <w:r>
        <w:rPr>
          <w:rFonts w:ascii="Times New Roman" w:hAnsi="Times New Roman" w:cs="Times New Roman"/>
          <w:spacing w:val="-8"/>
          <w:sz w:val="24"/>
          <w:szCs w:val="24"/>
        </w:rPr>
        <w:t xml:space="preserve"> </w:t>
      </w:r>
      <w:r>
        <w:rPr>
          <w:rFonts w:ascii="Times New Roman" w:hAnsi="Times New Roman" w:cs="Times New Roman"/>
          <w:sz w:val="24"/>
          <w:szCs w:val="24"/>
        </w:rPr>
        <w:t>framework</w:t>
      </w:r>
      <w:r>
        <w:rPr>
          <w:rFonts w:ascii="Times New Roman" w:hAnsi="Times New Roman" w:cs="Times New Roman"/>
          <w:spacing w:val="-7"/>
          <w:sz w:val="24"/>
          <w:szCs w:val="24"/>
        </w:rPr>
        <w:t xml:space="preserve"> </w:t>
      </w:r>
      <w:r>
        <w:rPr>
          <w:rFonts w:ascii="Times New Roman" w:hAnsi="Times New Roman" w:cs="Times New Roman"/>
          <w:sz w:val="24"/>
          <w:szCs w:val="24"/>
        </w:rPr>
        <w:t>would</w:t>
      </w:r>
      <w:r>
        <w:rPr>
          <w:rFonts w:ascii="Times New Roman" w:hAnsi="Times New Roman" w:cs="Times New Roman"/>
          <w:spacing w:val="-5"/>
          <w:sz w:val="24"/>
          <w:szCs w:val="24"/>
        </w:rPr>
        <w:t xml:space="preserve"> </w:t>
      </w:r>
      <w:r>
        <w:rPr>
          <w:rFonts w:ascii="Times New Roman" w:hAnsi="Times New Roman" w:cs="Times New Roman"/>
          <w:sz w:val="24"/>
          <w:szCs w:val="24"/>
        </w:rPr>
        <w:t>both</w:t>
      </w:r>
      <w:r>
        <w:rPr>
          <w:rFonts w:ascii="Times New Roman" w:hAnsi="Times New Roman" w:cs="Times New Roman"/>
          <w:spacing w:val="-7"/>
          <w:sz w:val="24"/>
          <w:szCs w:val="24"/>
        </w:rPr>
        <w:t xml:space="preserve"> </w:t>
      </w:r>
      <w:r>
        <w:rPr>
          <w:rFonts w:ascii="Times New Roman" w:hAnsi="Times New Roman" w:cs="Times New Roman"/>
          <w:sz w:val="24"/>
          <w:szCs w:val="24"/>
        </w:rPr>
        <w:t>ensure</w:t>
      </w:r>
      <w:r>
        <w:rPr>
          <w:rFonts w:ascii="Times New Roman" w:hAnsi="Times New Roman" w:cs="Times New Roman"/>
          <w:spacing w:val="-10"/>
          <w:sz w:val="24"/>
          <w:szCs w:val="24"/>
        </w:rPr>
        <w:t xml:space="preserve"> </w:t>
      </w:r>
      <w:r>
        <w:rPr>
          <w:rFonts w:ascii="Times New Roman" w:hAnsi="Times New Roman" w:cs="Times New Roman"/>
          <w:sz w:val="24"/>
          <w:szCs w:val="24"/>
        </w:rPr>
        <w:t>oversight</w:t>
      </w:r>
      <w:r>
        <w:rPr>
          <w:rFonts w:ascii="Times New Roman" w:hAnsi="Times New Roman" w:cs="Times New Roman"/>
          <w:spacing w:val="-5"/>
          <w:sz w:val="24"/>
          <w:szCs w:val="24"/>
        </w:rPr>
        <w:t xml:space="preserve"> </w:t>
      </w:r>
      <w:r>
        <w:rPr>
          <w:rFonts w:ascii="Times New Roman" w:hAnsi="Times New Roman" w:cs="Times New Roman"/>
          <w:sz w:val="24"/>
          <w:szCs w:val="24"/>
        </w:rPr>
        <w:t>of</w:t>
      </w:r>
      <w:r>
        <w:rPr>
          <w:rFonts w:ascii="Times New Roman" w:hAnsi="Times New Roman" w:cs="Times New Roman"/>
          <w:spacing w:val="-8"/>
          <w:sz w:val="24"/>
          <w:szCs w:val="24"/>
        </w:rPr>
        <w:t xml:space="preserve"> </w:t>
      </w:r>
      <w:r>
        <w:rPr>
          <w:rFonts w:ascii="Times New Roman" w:hAnsi="Times New Roman" w:cs="Times New Roman"/>
          <w:sz w:val="24"/>
          <w:szCs w:val="24"/>
        </w:rPr>
        <w:t>the</w:t>
      </w:r>
      <w:r>
        <w:rPr>
          <w:rFonts w:ascii="Times New Roman" w:hAnsi="Times New Roman" w:cs="Times New Roman"/>
          <w:spacing w:val="-8"/>
          <w:sz w:val="24"/>
          <w:szCs w:val="24"/>
        </w:rPr>
        <w:t xml:space="preserve"> </w:t>
      </w:r>
      <w:r>
        <w:rPr>
          <w:rFonts w:ascii="Times New Roman" w:hAnsi="Times New Roman" w:cs="Times New Roman"/>
          <w:sz w:val="24"/>
          <w:szCs w:val="24"/>
        </w:rPr>
        <w:t>flexible</w:t>
      </w:r>
      <w:r>
        <w:rPr>
          <w:rFonts w:ascii="Times New Roman" w:hAnsi="Times New Roman" w:cs="Times New Roman"/>
          <w:spacing w:val="-8"/>
          <w:sz w:val="24"/>
          <w:szCs w:val="24"/>
        </w:rPr>
        <w:t xml:space="preserve"> </w:t>
      </w:r>
      <w:r>
        <w:rPr>
          <w:rFonts w:ascii="Times New Roman" w:hAnsi="Times New Roman" w:cs="Times New Roman"/>
          <w:sz w:val="24"/>
          <w:szCs w:val="24"/>
        </w:rPr>
        <w:t>spending</w:t>
      </w:r>
      <w:r>
        <w:rPr>
          <w:rFonts w:ascii="Times New Roman" w:hAnsi="Times New Roman" w:cs="Times New Roman"/>
          <w:spacing w:val="-7"/>
          <w:sz w:val="24"/>
          <w:szCs w:val="24"/>
        </w:rPr>
        <w:t xml:space="preserve"> </w:t>
      </w:r>
      <w:r>
        <w:rPr>
          <w:rFonts w:ascii="Times New Roman" w:hAnsi="Times New Roman" w:cs="Times New Roman"/>
          <w:sz w:val="24"/>
          <w:szCs w:val="24"/>
        </w:rPr>
        <w:t>program</w:t>
      </w:r>
      <w:r>
        <w:rPr>
          <w:rFonts w:ascii="Times New Roman" w:hAnsi="Times New Roman" w:cs="Times New Roman"/>
          <w:spacing w:val="-7"/>
          <w:sz w:val="24"/>
          <w:szCs w:val="24"/>
        </w:rPr>
        <w:t xml:space="preserve"> </w:t>
      </w:r>
      <w:r>
        <w:rPr>
          <w:rFonts w:ascii="Times New Roman" w:hAnsi="Times New Roman" w:cs="Times New Roman"/>
          <w:sz w:val="24"/>
          <w:szCs w:val="24"/>
        </w:rPr>
        <w:t>and</w:t>
      </w:r>
      <w:r>
        <w:rPr>
          <w:rFonts w:ascii="Times New Roman" w:hAnsi="Times New Roman" w:cs="Times New Roman"/>
          <w:spacing w:val="-5"/>
          <w:sz w:val="24"/>
          <w:szCs w:val="24"/>
        </w:rPr>
        <w:t xml:space="preserve"> </w:t>
      </w:r>
      <w:r>
        <w:rPr>
          <w:rFonts w:ascii="Times New Roman" w:hAnsi="Times New Roman" w:cs="Times New Roman"/>
          <w:sz w:val="24"/>
          <w:szCs w:val="24"/>
        </w:rPr>
        <w:t>provide</w:t>
      </w:r>
      <w:r>
        <w:rPr>
          <w:rFonts w:ascii="Times New Roman" w:hAnsi="Times New Roman" w:cs="Times New Roman"/>
          <w:spacing w:val="-8"/>
          <w:sz w:val="24"/>
          <w:szCs w:val="24"/>
        </w:rPr>
        <w:t xml:space="preserve"> </w:t>
      </w:r>
      <w:r>
        <w:rPr>
          <w:rFonts w:ascii="Times New Roman" w:hAnsi="Times New Roman" w:cs="Times New Roman"/>
          <w:sz w:val="24"/>
          <w:szCs w:val="24"/>
        </w:rPr>
        <w:t>additional clarity for ACOs by establishing a uniform process. We recommend that the framework address at least the following</w:t>
      </w:r>
      <w:r>
        <w:rPr>
          <w:rFonts w:ascii="Times New Roman" w:hAnsi="Times New Roman" w:cs="Times New Roman"/>
          <w:spacing w:val="-20"/>
          <w:sz w:val="24"/>
          <w:szCs w:val="24"/>
        </w:rPr>
        <w:t xml:space="preserve"> </w:t>
      </w:r>
      <w:r>
        <w:rPr>
          <w:rFonts w:ascii="Times New Roman" w:hAnsi="Times New Roman" w:cs="Times New Roman"/>
          <w:sz w:val="24"/>
          <w:szCs w:val="24"/>
        </w:rPr>
        <w:t>elements: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ListParagraph"/>
        <w:numPr>
          <w:ilvl w:val="0"/>
          <w:numId w:val="76"/>
        </w:numPr>
        <w:tabs>
          <w:tab w:val="left" w:pos="840"/>
        </w:tabs>
        <w:kinsoku w:val="0"/>
        <w:overflowPunct w:val="0"/>
        <w:rPr>
          <w:i/>
          <w:iCs/>
        </w:rPr>
      </w:pPr>
      <w:r>
        <w:rPr>
          <w:i/>
          <w:iCs/>
        </w:rPr>
        <w:t>Which parties determine how flexible spending funds will be</w:t>
      </w:r>
      <w:r>
        <w:rPr>
          <w:i/>
          <w:iCs/>
          <w:spacing w:val="-39"/>
        </w:rPr>
        <w:t xml:space="preserve"> </w:t>
      </w:r>
      <w:r>
        <w:rPr>
          <w:i/>
          <w:iCs/>
        </w:rPr>
        <w:t>spent.</w:t>
      </w:r>
    </w:p>
    <w:p w:rsidR="002C5025" w:rsidRDefault="002C5025">
      <w:pPr>
        <w:pStyle w:val="BodyText"/>
        <w:kinsoku w:val="0"/>
        <w:overflowPunct w:val="0"/>
        <w:rPr>
          <w:rFonts w:ascii="Times New Roman" w:hAnsi="Times New Roman" w:cs="Times New Roman"/>
          <w:i/>
          <w:iCs/>
          <w:sz w:val="24"/>
          <w:szCs w:val="24"/>
        </w:rPr>
      </w:pPr>
    </w:p>
    <w:p w:rsidR="002C5025" w:rsidRDefault="002C5025">
      <w:pPr>
        <w:pStyle w:val="BodyText"/>
        <w:kinsoku w:val="0"/>
        <w:overflowPunct w:val="0"/>
        <w:ind w:left="119" w:right="112"/>
        <w:jc w:val="both"/>
        <w:rPr>
          <w:rFonts w:ascii="Times New Roman" w:hAnsi="Times New Roman" w:cs="Times New Roman"/>
          <w:sz w:val="24"/>
          <w:szCs w:val="24"/>
        </w:rPr>
      </w:pPr>
      <w:r>
        <w:rPr>
          <w:rFonts w:ascii="Times New Roman" w:hAnsi="Times New Roman" w:cs="Times New Roman"/>
          <w:sz w:val="24"/>
          <w:szCs w:val="24"/>
        </w:rPr>
        <w:t xml:space="preserve">Currently, the Request does not provide guidance on who will decide how funds are spent within the FSS programs. As a result, ACOs may defer to their partner social service organizations to make these determinations. Because such organizations are often focused on specific needs </w:t>
      </w:r>
      <w:r>
        <w:rPr>
          <w:rFonts w:ascii="Times New Roman" w:hAnsi="Times New Roman" w:cs="Times New Roman"/>
          <w:spacing w:val="-3"/>
          <w:sz w:val="24"/>
          <w:szCs w:val="24"/>
        </w:rPr>
        <w:t xml:space="preserve">or </w:t>
      </w:r>
      <w:r>
        <w:rPr>
          <w:rFonts w:ascii="Times New Roman" w:hAnsi="Times New Roman" w:cs="Times New Roman"/>
          <w:sz w:val="24"/>
          <w:szCs w:val="24"/>
        </w:rPr>
        <w:t>patients,</w:t>
      </w:r>
      <w:r>
        <w:rPr>
          <w:rFonts w:ascii="Times New Roman" w:hAnsi="Times New Roman" w:cs="Times New Roman"/>
          <w:spacing w:val="-6"/>
          <w:sz w:val="24"/>
          <w:szCs w:val="24"/>
        </w:rPr>
        <w:t xml:space="preserve"> </w:t>
      </w:r>
      <w:r>
        <w:rPr>
          <w:rFonts w:ascii="Times New Roman" w:hAnsi="Times New Roman" w:cs="Times New Roman"/>
          <w:sz w:val="24"/>
          <w:szCs w:val="24"/>
        </w:rPr>
        <w:t>such</w:t>
      </w:r>
      <w:r>
        <w:rPr>
          <w:rFonts w:ascii="Times New Roman" w:hAnsi="Times New Roman" w:cs="Times New Roman"/>
          <w:spacing w:val="-6"/>
          <w:sz w:val="24"/>
          <w:szCs w:val="24"/>
        </w:rPr>
        <w:t xml:space="preserve"> </w:t>
      </w:r>
      <w:r>
        <w:rPr>
          <w:rFonts w:ascii="Times New Roman" w:hAnsi="Times New Roman" w:cs="Times New Roman"/>
          <w:sz w:val="24"/>
          <w:szCs w:val="24"/>
        </w:rPr>
        <w:t>a</w:t>
      </w:r>
      <w:r>
        <w:rPr>
          <w:rFonts w:ascii="Times New Roman" w:hAnsi="Times New Roman" w:cs="Times New Roman"/>
          <w:spacing w:val="-7"/>
          <w:sz w:val="24"/>
          <w:szCs w:val="24"/>
        </w:rPr>
        <w:t xml:space="preserve"> </w:t>
      </w:r>
      <w:r>
        <w:rPr>
          <w:rFonts w:ascii="Times New Roman" w:hAnsi="Times New Roman" w:cs="Times New Roman"/>
          <w:sz w:val="24"/>
          <w:szCs w:val="24"/>
        </w:rPr>
        <w:t>strategy</w:t>
      </w:r>
      <w:r>
        <w:rPr>
          <w:rFonts w:ascii="Times New Roman" w:hAnsi="Times New Roman" w:cs="Times New Roman"/>
          <w:spacing w:val="-14"/>
          <w:sz w:val="24"/>
          <w:szCs w:val="24"/>
        </w:rPr>
        <w:t xml:space="preserve"> </w:t>
      </w:r>
      <w:r>
        <w:rPr>
          <w:rFonts w:ascii="Times New Roman" w:hAnsi="Times New Roman" w:cs="Times New Roman"/>
          <w:sz w:val="24"/>
          <w:szCs w:val="24"/>
        </w:rPr>
        <w:t>could</w:t>
      </w:r>
      <w:r>
        <w:rPr>
          <w:rFonts w:ascii="Times New Roman" w:hAnsi="Times New Roman" w:cs="Times New Roman"/>
          <w:spacing w:val="-3"/>
          <w:sz w:val="24"/>
          <w:szCs w:val="24"/>
        </w:rPr>
        <w:t xml:space="preserve"> </w:t>
      </w:r>
      <w:r>
        <w:rPr>
          <w:rFonts w:ascii="Times New Roman" w:hAnsi="Times New Roman" w:cs="Times New Roman"/>
          <w:sz w:val="24"/>
          <w:szCs w:val="24"/>
        </w:rPr>
        <w:t>result</w:t>
      </w:r>
      <w:r>
        <w:rPr>
          <w:rFonts w:ascii="Times New Roman" w:hAnsi="Times New Roman" w:cs="Times New Roman"/>
          <w:spacing w:val="-3"/>
          <w:sz w:val="24"/>
          <w:szCs w:val="24"/>
        </w:rPr>
        <w:t xml:space="preserve"> </w:t>
      </w:r>
      <w:r>
        <w:rPr>
          <w:rFonts w:ascii="Times New Roman" w:hAnsi="Times New Roman" w:cs="Times New Roman"/>
          <w:sz w:val="24"/>
          <w:szCs w:val="24"/>
        </w:rPr>
        <w:t>in</w:t>
      </w:r>
      <w:r>
        <w:rPr>
          <w:rFonts w:ascii="Times New Roman" w:hAnsi="Times New Roman" w:cs="Times New Roman"/>
          <w:spacing w:val="-6"/>
          <w:sz w:val="24"/>
          <w:szCs w:val="24"/>
        </w:rPr>
        <w:t xml:space="preserve"> </w:t>
      </w:r>
      <w:r>
        <w:rPr>
          <w:rFonts w:ascii="Times New Roman" w:hAnsi="Times New Roman" w:cs="Times New Roman"/>
          <w:sz w:val="24"/>
          <w:szCs w:val="24"/>
        </w:rPr>
        <w:t>only</w:t>
      </w:r>
      <w:r>
        <w:rPr>
          <w:rFonts w:ascii="Times New Roman" w:hAnsi="Times New Roman" w:cs="Times New Roman"/>
          <w:spacing w:val="-17"/>
          <w:sz w:val="24"/>
          <w:szCs w:val="24"/>
        </w:rPr>
        <w:t xml:space="preserve"> </w:t>
      </w:r>
      <w:r>
        <w:rPr>
          <w:rFonts w:ascii="Times New Roman" w:hAnsi="Times New Roman" w:cs="Times New Roman"/>
          <w:sz w:val="24"/>
          <w:szCs w:val="24"/>
        </w:rPr>
        <w:t>a</w:t>
      </w:r>
      <w:r>
        <w:rPr>
          <w:rFonts w:ascii="Times New Roman" w:hAnsi="Times New Roman" w:cs="Times New Roman"/>
          <w:spacing w:val="-7"/>
          <w:sz w:val="24"/>
          <w:szCs w:val="24"/>
        </w:rPr>
        <w:t xml:space="preserve"> </w:t>
      </w:r>
      <w:r>
        <w:rPr>
          <w:rFonts w:ascii="Times New Roman" w:hAnsi="Times New Roman" w:cs="Times New Roman"/>
          <w:sz w:val="24"/>
          <w:szCs w:val="24"/>
        </w:rPr>
        <w:t>portion</w:t>
      </w:r>
      <w:r>
        <w:rPr>
          <w:rFonts w:ascii="Times New Roman" w:hAnsi="Times New Roman" w:cs="Times New Roman"/>
          <w:spacing w:val="-6"/>
          <w:sz w:val="24"/>
          <w:szCs w:val="24"/>
        </w:rPr>
        <w:t xml:space="preserve"> </w:t>
      </w:r>
      <w:r>
        <w:rPr>
          <w:rFonts w:ascii="Times New Roman" w:hAnsi="Times New Roman" w:cs="Times New Roman"/>
          <w:sz w:val="24"/>
          <w:szCs w:val="24"/>
        </w:rPr>
        <w:t>of</w:t>
      </w:r>
      <w:r>
        <w:rPr>
          <w:rFonts w:ascii="Times New Roman" w:hAnsi="Times New Roman" w:cs="Times New Roman"/>
          <w:spacing w:val="-7"/>
          <w:sz w:val="24"/>
          <w:szCs w:val="24"/>
        </w:rPr>
        <w:t xml:space="preserve"> </w:t>
      </w:r>
      <w:r>
        <w:rPr>
          <w:rFonts w:ascii="Times New Roman" w:hAnsi="Times New Roman" w:cs="Times New Roman"/>
          <w:sz w:val="24"/>
          <w:szCs w:val="24"/>
        </w:rPr>
        <w:t>the</w:t>
      </w:r>
      <w:r>
        <w:rPr>
          <w:rFonts w:ascii="Times New Roman" w:hAnsi="Times New Roman" w:cs="Times New Roman"/>
          <w:spacing w:val="-7"/>
          <w:sz w:val="24"/>
          <w:szCs w:val="24"/>
        </w:rPr>
        <w:t xml:space="preserve"> </w:t>
      </w:r>
      <w:r>
        <w:rPr>
          <w:rFonts w:ascii="Times New Roman" w:hAnsi="Times New Roman" w:cs="Times New Roman"/>
          <w:sz w:val="24"/>
          <w:szCs w:val="24"/>
        </w:rPr>
        <w:t>ACO’s</w:t>
      </w:r>
      <w:r>
        <w:rPr>
          <w:rFonts w:ascii="Times New Roman" w:hAnsi="Times New Roman" w:cs="Times New Roman"/>
          <w:spacing w:val="-6"/>
          <w:sz w:val="24"/>
          <w:szCs w:val="24"/>
        </w:rPr>
        <w:t xml:space="preserve"> </w:t>
      </w:r>
      <w:r>
        <w:rPr>
          <w:rFonts w:ascii="Times New Roman" w:hAnsi="Times New Roman" w:cs="Times New Roman"/>
          <w:sz w:val="24"/>
          <w:szCs w:val="24"/>
        </w:rPr>
        <w:t>population</w:t>
      </w:r>
      <w:r>
        <w:rPr>
          <w:rFonts w:ascii="Times New Roman" w:hAnsi="Times New Roman" w:cs="Times New Roman"/>
          <w:spacing w:val="-6"/>
          <w:sz w:val="24"/>
          <w:szCs w:val="24"/>
        </w:rPr>
        <w:t xml:space="preserve"> </w:t>
      </w:r>
      <w:r>
        <w:rPr>
          <w:rFonts w:ascii="Times New Roman" w:hAnsi="Times New Roman" w:cs="Times New Roman"/>
          <w:sz w:val="24"/>
          <w:szCs w:val="24"/>
        </w:rPr>
        <w:t>receiving</w:t>
      </w:r>
      <w:r>
        <w:rPr>
          <w:rFonts w:ascii="Times New Roman" w:hAnsi="Times New Roman" w:cs="Times New Roman"/>
          <w:spacing w:val="-11"/>
          <w:sz w:val="24"/>
          <w:szCs w:val="24"/>
        </w:rPr>
        <w:t xml:space="preserve"> </w:t>
      </w:r>
      <w:r>
        <w:rPr>
          <w:rFonts w:ascii="Times New Roman" w:hAnsi="Times New Roman" w:cs="Times New Roman"/>
          <w:sz w:val="24"/>
          <w:szCs w:val="24"/>
        </w:rPr>
        <w:t>access</w:t>
      </w:r>
      <w:r>
        <w:rPr>
          <w:rFonts w:ascii="Times New Roman" w:hAnsi="Times New Roman" w:cs="Times New Roman"/>
          <w:spacing w:val="-6"/>
          <w:sz w:val="24"/>
          <w:szCs w:val="24"/>
        </w:rPr>
        <w:t xml:space="preserve"> </w:t>
      </w:r>
      <w:r>
        <w:rPr>
          <w:rFonts w:ascii="Times New Roman" w:hAnsi="Times New Roman" w:cs="Times New Roman"/>
          <w:sz w:val="24"/>
          <w:szCs w:val="24"/>
        </w:rPr>
        <w:t>to FSS.</w:t>
      </w:r>
      <w:r>
        <w:rPr>
          <w:rFonts w:ascii="Times New Roman" w:hAnsi="Times New Roman" w:cs="Times New Roman"/>
          <w:spacing w:val="-13"/>
          <w:sz w:val="24"/>
          <w:szCs w:val="24"/>
        </w:rPr>
        <w:t xml:space="preserve"> </w:t>
      </w:r>
      <w:r>
        <w:rPr>
          <w:rFonts w:ascii="Times New Roman" w:hAnsi="Times New Roman" w:cs="Times New Roman"/>
          <w:spacing w:val="-4"/>
          <w:sz w:val="24"/>
          <w:szCs w:val="24"/>
        </w:rPr>
        <w:t>In</w:t>
      </w:r>
      <w:r>
        <w:rPr>
          <w:rFonts w:ascii="Times New Roman" w:hAnsi="Times New Roman" w:cs="Times New Roman"/>
          <w:spacing w:val="-17"/>
          <w:sz w:val="24"/>
          <w:szCs w:val="24"/>
        </w:rPr>
        <w:t xml:space="preserve"> </w:t>
      </w:r>
      <w:r>
        <w:rPr>
          <w:rFonts w:ascii="Times New Roman" w:hAnsi="Times New Roman" w:cs="Times New Roman"/>
          <w:sz w:val="24"/>
          <w:szCs w:val="24"/>
        </w:rPr>
        <w:t>contrast,</w:t>
      </w:r>
      <w:r>
        <w:rPr>
          <w:rFonts w:ascii="Times New Roman" w:hAnsi="Times New Roman" w:cs="Times New Roman"/>
          <w:spacing w:val="-17"/>
          <w:sz w:val="24"/>
          <w:szCs w:val="24"/>
        </w:rPr>
        <w:t xml:space="preserve"> </w:t>
      </w:r>
      <w:r>
        <w:rPr>
          <w:rFonts w:ascii="Times New Roman" w:hAnsi="Times New Roman" w:cs="Times New Roman"/>
          <w:sz w:val="24"/>
          <w:szCs w:val="24"/>
        </w:rPr>
        <w:t>the</w:t>
      </w:r>
      <w:r>
        <w:rPr>
          <w:rFonts w:ascii="Times New Roman" w:hAnsi="Times New Roman" w:cs="Times New Roman"/>
          <w:spacing w:val="-16"/>
          <w:sz w:val="24"/>
          <w:szCs w:val="24"/>
        </w:rPr>
        <w:t xml:space="preserve"> </w:t>
      </w:r>
      <w:r>
        <w:rPr>
          <w:rFonts w:ascii="Times New Roman" w:hAnsi="Times New Roman" w:cs="Times New Roman"/>
          <w:sz w:val="24"/>
          <w:szCs w:val="24"/>
        </w:rPr>
        <w:t>ACOs</w:t>
      </w:r>
      <w:r>
        <w:rPr>
          <w:rFonts w:ascii="Times New Roman" w:hAnsi="Times New Roman" w:cs="Times New Roman"/>
          <w:spacing w:val="-15"/>
          <w:sz w:val="24"/>
          <w:szCs w:val="24"/>
        </w:rPr>
        <w:t xml:space="preserve"> </w:t>
      </w:r>
      <w:r>
        <w:rPr>
          <w:rFonts w:ascii="Times New Roman" w:hAnsi="Times New Roman" w:cs="Times New Roman"/>
          <w:sz w:val="24"/>
          <w:szCs w:val="24"/>
        </w:rPr>
        <w:t>themselves</w:t>
      </w:r>
      <w:r>
        <w:rPr>
          <w:rFonts w:ascii="Times New Roman" w:hAnsi="Times New Roman" w:cs="Times New Roman"/>
          <w:spacing w:val="-15"/>
          <w:sz w:val="24"/>
          <w:szCs w:val="24"/>
        </w:rPr>
        <w:t xml:space="preserve"> </w:t>
      </w:r>
      <w:r>
        <w:rPr>
          <w:rFonts w:ascii="Times New Roman" w:hAnsi="Times New Roman" w:cs="Times New Roman"/>
          <w:sz w:val="24"/>
          <w:szCs w:val="24"/>
        </w:rPr>
        <w:t>are</w:t>
      </w:r>
      <w:r>
        <w:rPr>
          <w:rFonts w:ascii="Times New Roman" w:hAnsi="Times New Roman" w:cs="Times New Roman"/>
          <w:spacing w:val="-16"/>
          <w:sz w:val="24"/>
          <w:szCs w:val="24"/>
        </w:rPr>
        <w:t xml:space="preserve"> </w:t>
      </w:r>
      <w:r>
        <w:rPr>
          <w:rFonts w:ascii="Times New Roman" w:hAnsi="Times New Roman" w:cs="Times New Roman"/>
          <w:sz w:val="24"/>
          <w:szCs w:val="24"/>
        </w:rPr>
        <w:t>well-positioned</w:t>
      </w:r>
      <w:r>
        <w:rPr>
          <w:rFonts w:ascii="Times New Roman" w:hAnsi="Times New Roman" w:cs="Times New Roman"/>
          <w:spacing w:val="-17"/>
          <w:sz w:val="24"/>
          <w:szCs w:val="24"/>
        </w:rPr>
        <w:t xml:space="preserve"> </w:t>
      </w:r>
      <w:r>
        <w:rPr>
          <w:rFonts w:ascii="Times New Roman" w:hAnsi="Times New Roman" w:cs="Times New Roman"/>
          <w:sz w:val="24"/>
          <w:szCs w:val="24"/>
        </w:rPr>
        <w:t>to</w:t>
      </w:r>
      <w:r>
        <w:rPr>
          <w:rFonts w:ascii="Times New Roman" w:hAnsi="Times New Roman" w:cs="Times New Roman"/>
          <w:spacing w:val="-15"/>
          <w:sz w:val="24"/>
          <w:szCs w:val="24"/>
        </w:rPr>
        <w:t xml:space="preserve"> </w:t>
      </w:r>
      <w:r>
        <w:rPr>
          <w:rFonts w:ascii="Times New Roman" w:hAnsi="Times New Roman" w:cs="Times New Roman"/>
          <w:sz w:val="24"/>
          <w:szCs w:val="24"/>
        </w:rPr>
        <w:t>assess</w:t>
      </w:r>
      <w:r>
        <w:rPr>
          <w:rFonts w:ascii="Times New Roman" w:hAnsi="Times New Roman" w:cs="Times New Roman"/>
          <w:spacing w:val="-17"/>
          <w:sz w:val="24"/>
          <w:szCs w:val="24"/>
        </w:rPr>
        <w:t xml:space="preserve"> </w:t>
      </w:r>
      <w:r>
        <w:rPr>
          <w:rFonts w:ascii="Times New Roman" w:hAnsi="Times New Roman" w:cs="Times New Roman"/>
          <w:sz w:val="24"/>
          <w:szCs w:val="24"/>
        </w:rPr>
        <w:t>the</w:t>
      </w:r>
      <w:r>
        <w:rPr>
          <w:rFonts w:ascii="Times New Roman" w:hAnsi="Times New Roman" w:cs="Times New Roman"/>
          <w:spacing w:val="-16"/>
          <w:sz w:val="24"/>
          <w:szCs w:val="24"/>
        </w:rPr>
        <w:t xml:space="preserve"> </w:t>
      </w:r>
      <w:r>
        <w:rPr>
          <w:rFonts w:ascii="Times New Roman" w:hAnsi="Times New Roman" w:cs="Times New Roman"/>
          <w:sz w:val="24"/>
          <w:szCs w:val="24"/>
        </w:rPr>
        <w:t>needs</w:t>
      </w:r>
      <w:r>
        <w:rPr>
          <w:rFonts w:ascii="Times New Roman" w:hAnsi="Times New Roman" w:cs="Times New Roman"/>
          <w:spacing w:val="-15"/>
          <w:sz w:val="24"/>
          <w:szCs w:val="24"/>
        </w:rPr>
        <w:t xml:space="preserve"> </w:t>
      </w:r>
      <w:r>
        <w:rPr>
          <w:rFonts w:ascii="Times New Roman" w:hAnsi="Times New Roman" w:cs="Times New Roman"/>
          <w:sz w:val="24"/>
          <w:szCs w:val="24"/>
        </w:rPr>
        <w:t>of</w:t>
      </w:r>
      <w:r>
        <w:rPr>
          <w:rFonts w:ascii="Times New Roman" w:hAnsi="Times New Roman" w:cs="Times New Roman"/>
          <w:spacing w:val="-18"/>
          <w:sz w:val="24"/>
          <w:szCs w:val="24"/>
        </w:rPr>
        <w:t xml:space="preserve"> </w:t>
      </w:r>
      <w:r>
        <w:rPr>
          <w:rFonts w:ascii="Times New Roman" w:hAnsi="Times New Roman" w:cs="Times New Roman"/>
          <w:sz w:val="24"/>
          <w:szCs w:val="24"/>
        </w:rPr>
        <w:t>their</w:t>
      </w:r>
      <w:r>
        <w:rPr>
          <w:rFonts w:ascii="Times New Roman" w:hAnsi="Times New Roman" w:cs="Times New Roman"/>
          <w:spacing w:val="-18"/>
          <w:sz w:val="24"/>
          <w:szCs w:val="24"/>
        </w:rPr>
        <w:t xml:space="preserve"> </w:t>
      </w:r>
      <w:r>
        <w:rPr>
          <w:rFonts w:ascii="Times New Roman" w:hAnsi="Times New Roman" w:cs="Times New Roman"/>
          <w:sz w:val="24"/>
          <w:szCs w:val="24"/>
        </w:rPr>
        <w:t>entire</w:t>
      </w:r>
      <w:r>
        <w:rPr>
          <w:rFonts w:ascii="Times New Roman" w:hAnsi="Times New Roman" w:cs="Times New Roman"/>
          <w:spacing w:val="-18"/>
          <w:sz w:val="24"/>
          <w:szCs w:val="24"/>
        </w:rPr>
        <w:t xml:space="preserve"> </w:t>
      </w:r>
      <w:r>
        <w:rPr>
          <w:rFonts w:ascii="Times New Roman" w:hAnsi="Times New Roman" w:cs="Times New Roman"/>
          <w:sz w:val="24"/>
          <w:szCs w:val="24"/>
        </w:rPr>
        <w:t>patient population</w:t>
      </w:r>
      <w:r>
        <w:rPr>
          <w:rFonts w:ascii="Times New Roman" w:hAnsi="Times New Roman" w:cs="Times New Roman"/>
          <w:spacing w:val="-6"/>
          <w:sz w:val="24"/>
          <w:szCs w:val="24"/>
        </w:rPr>
        <w:t xml:space="preserve"> </w:t>
      </w:r>
      <w:r>
        <w:rPr>
          <w:rFonts w:ascii="Times New Roman" w:hAnsi="Times New Roman" w:cs="Times New Roman"/>
          <w:sz w:val="24"/>
          <w:szCs w:val="24"/>
        </w:rPr>
        <w:t>and</w:t>
      </w:r>
      <w:r>
        <w:rPr>
          <w:rFonts w:ascii="Times New Roman" w:hAnsi="Times New Roman" w:cs="Times New Roman"/>
          <w:spacing w:val="-8"/>
          <w:sz w:val="24"/>
          <w:szCs w:val="24"/>
        </w:rPr>
        <w:t xml:space="preserve"> </w:t>
      </w:r>
      <w:r>
        <w:rPr>
          <w:rFonts w:ascii="Times New Roman" w:hAnsi="Times New Roman" w:cs="Times New Roman"/>
          <w:sz w:val="24"/>
          <w:szCs w:val="24"/>
        </w:rPr>
        <w:t>to</w:t>
      </w:r>
      <w:r>
        <w:rPr>
          <w:rFonts w:ascii="Times New Roman" w:hAnsi="Times New Roman" w:cs="Times New Roman"/>
          <w:spacing w:val="-8"/>
          <w:sz w:val="24"/>
          <w:szCs w:val="24"/>
        </w:rPr>
        <w:t xml:space="preserve"> </w:t>
      </w:r>
      <w:r>
        <w:rPr>
          <w:rFonts w:ascii="Times New Roman" w:hAnsi="Times New Roman" w:cs="Times New Roman"/>
          <w:sz w:val="24"/>
          <w:szCs w:val="24"/>
        </w:rPr>
        <w:t>direct</w:t>
      </w:r>
      <w:r>
        <w:rPr>
          <w:rFonts w:ascii="Times New Roman" w:hAnsi="Times New Roman" w:cs="Times New Roman"/>
          <w:spacing w:val="-7"/>
          <w:sz w:val="24"/>
          <w:szCs w:val="24"/>
        </w:rPr>
        <w:t xml:space="preserve"> </w:t>
      </w:r>
      <w:r>
        <w:rPr>
          <w:rFonts w:ascii="Times New Roman" w:hAnsi="Times New Roman" w:cs="Times New Roman"/>
          <w:sz w:val="24"/>
          <w:szCs w:val="24"/>
        </w:rPr>
        <w:t>the</w:t>
      </w:r>
      <w:r>
        <w:rPr>
          <w:rFonts w:ascii="Times New Roman" w:hAnsi="Times New Roman" w:cs="Times New Roman"/>
          <w:spacing w:val="-9"/>
          <w:sz w:val="24"/>
          <w:szCs w:val="24"/>
        </w:rPr>
        <w:t xml:space="preserve"> </w:t>
      </w:r>
      <w:r>
        <w:rPr>
          <w:rFonts w:ascii="Times New Roman" w:hAnsi="Times New Roman" w:cs="Times New Roman"/>
          <w:sz w:val="24"/>
          <w:szCs w:val="24"/>
        </w:rPr>
        <w:t>funds</w:t>
      </w:r>
      <w:r>
        <w:rPr>
          <w:rFonts w:ascii="Times New Roman" w:hAnsi="Times New Roman" w:cs="Times New Roman"/>
          <w:spacing w:val="-8"/>
          <w:sz w:val="24"/>
          <w:szCs w:val="24"/>
        </w:rPr>
        <w:t xml:space="preserve"> </w:t>
      </w:r>
      <w:r>
        <w:rPr>
          <w:rFonts w:ascii="Times New Roman" w:hAnsi="Times New Roman" w:cs="Times New Roman"/>
          <w:sz w:val="24"/>
          <w:szCs w:val="24"/>
        </w:rPr>
        <w:t>accordingly.</w:t>
      </w:r>
      <w:r>
        <w:rPr>
          <w:rFonts w:ascii="Times New Roman" w:hAnsi="Times New Roman" w:cs="Times New Roman"/>
          <w:spacing w:val="-6"/>
          <w:sz w:val="24"/>
          <w:szCs w:val="24"/>
        </w:rPr>
        <w:t xml:space="preserve"> </w:t>
      </w:r>
      <w:r>
        <w:rPr>
          <w:rFonts w:ascii="Times New Roman" w:hAnsi="Times New Roman" w:cs="Times New Roman"/>
          <w:sz w:val="24"/>
          <w:szCs w:val="24"/>
        </w:rPr>
        <w:t>Therefore,</w:t>
      </w:r>
      <w:r>
        <w:rPr>
          <w:rFonts w:ascii="Times New Roman" w:hAnsi="Times New Roman" w:cs="Times New Roman"/>
          <w:spacing w:val="-8"/>
          <w:sz w:val="24"/>
          <w:szCs w:val="24"/>
        </w:rPr>
        <w:t xml:space="preserve"> </w:t>
      </w:r>
      <w:r>
        <w:rPr>
          <w:rFonts w:ascii="Times New Roman" w:hAnsi="Times New Roman" w:cs="Times New Roman"/>
          <w:sz w:val="24"/>
          <w:szCs w:val="24"/>
        </w:rPr>
        <w:t>we</w:t>
      </w:r>
      <w:r>
        <w:rPr>
          <w:rFonts w:ascii="Times New Roman" w:hAnsi="Times New Roman" w:cs="Times New Roman"/>
          <w:spacing w:val="-9"/>
          <w:sz w:val="24"/>
          <w:szCs w:val="24"/>
        </w:rPr>
        <w:t xml:space="preserve"> </w:t>
      </w:r>
      <w:r>
        <w:rPr>
          <w:rFonts w:ascii="Times New Roman" w:hAnsi="Times New Roman" w:cs="Times New Roman"/>
          <w:sz w:val="24"/>
          <w:szCs w:val="24"/>
        </w:rPr>
        <w:t>recommend</w:t>
      </w:r>
      <w:r>
        <w:rPr>
          <w:rFonts w:ascii="Times New Roman" w:hAnsi="Times New Roman" w:cs="Times New Roman"/>
          <w:spacing w:val="-6"/>
          <w:sz w:val="24"/>
          <w:szCs w:val="24"/>
        </w:rPr>
        <w:t xml:space="preserve"> </w:t>
      </w:r>
      <w:r>
        <w:rPr>
          <w:rFonts w:ascii="Times New Roman" w:hAnsi="Times New Roman" w:cs="Times New Roman"/>
          <w:sz w:val="24"/>
          <w:szCs w:val="24"/>
        </w:rPr>
        <w:t>that</w:t>
      </w:r>
      <w:r>
        <w:rPr>
          <w:rFonts w:ascii="Times New Roman" w:hAnsi="Times New Roman" w:cs="Times New Roman"/>
          <w:spacing w:val="-6"/>
          <w:sz w:val="24"/>
          <w:szCs w:val="24"/>
        </w:rPr>
        <w:t xml:space="preserve"> </w:t>
      </w:r>
      <w:r>
        <w:rPr>
          <w:rFonts w:ascii="Times New Roman" w:hAnsi="Times New Roman" w:cs="Times New Roman"/>
          <w:sz w:val="24"/>
          <w:szCs w:val="24"/>
        </w:rPr>
        <w:t>the</w:t>
      </w:r>
      <w:r>
        <w:rPr>
          <w:rFonts w:ascii="Times New Roman" w:hAnsi="Times New Roman" w:cs="Times New Roman"/>
          <w:spacing w:val="-9"/>
          <w:sz w:val="24"/>
          <w:szCs w:val="24"/>
        </w:rPr>
        <w:t xml:space="preserve"> </w:t>
      </w:r>
      <w:r>
        <w:rPr>
          <w:rFonts w:ascii="Times New Roman" w:hAnsi="Times New Roman" w:cs="Times New Roman"/>
          <w:sz w:val="24"/>
          <w:szCs w:val="24"/>
        </w:rPr>
        <w:t>FSS</w:t>
      </w:r>
      <w:r>
        <w:rPr>
          <w:rFonts w:ascii="Times New Roman" w:hAnsi="Times New Roman" w:cs="Times New Roman"/>
          <w:spacing w:val="-6"/>
          <w:sz w:val="24"/>
          <w:szCs w:val="24"/>
        </w:rPr>
        <w:t xml:space="preserve"> </w:t>
      </w:r>
      <w:r>
        <w:rPr>
          <w:rFonts w:ascii="Times New Roman" w:hAnsi="Times New Roman" w:cs="Times New Roman"/>
          <w:sz w:val="24"/>
          <w:szCs w:val="24"/>
        </w:rPr>
        <w:t>framework require</w:t>
      </w:r>
      <w:r>
        <w:rPr>
          <w:rFonts w:ascii="Times New Roman" w:hAnsi="Times New Roman" w:cs="Times New Roman"/>
          <w:spacing w:val="-7"/>
          <w:sz w:val="24"/>
          <w:szCs w:val="24"/>
        </w:rPr>
        <w:t xml:space="preserve"> </w:t>
      </w:r>
      <w:r>
        <w:rPr>
          <w:rFonts w:ascii="Times New Roman" w:hAnsi="Times New Roman" w:cs="Times New Roman"/>
          <w:sz w:val="24"/>
          <w:szCs w:val="24"/>
        </w:rPr>
        <w:t>ACOs</w:t>
      </w:r>
      <w:r>
        <w:rPr>
          <w:rFonts w:ascii="Times New Roman" w:hAnsi="Times New Roman" w:cs="Times New Roman"/>
          <w:spacing w:val="-3"/>
          <w:sz w:val="24"/>
          <w:szCs w:val="24"/>
        </w:rPr>
        <w:t xml:space="preserve"> </w:t>
      </w:r>
      <w:r>
        <w:rPr>
          <w:rFonts w:ascii="Times New Roman" w:hAnsi="Times New Roman" w:cs="Times New Roman"/>
          <w:sz w:val="24"/>
          <w:szCs w:val="24"/>
        </w:rPr>
        <w:t>to</w:t>
      </w:r>
      <w:r>
        <w:rPr>
          <w:rFonts w:ascii="Times New Roman" w:hAnsi="Times New Roman" w:cs="Times New Roman"/>
          <w:spacing w:val="-3"/>
          <w:sz w:val="24"/>
          <w:szCs w:val="24"/>
        </w:rPr>
        <w:t xml:space="preserve"> </w:t>
      </w:r>
      <w:r>
        <w:rPr>
          <w:rFonts w:ascii="Times New Roman" w:hAnsi="Times New Roman" w:cs="Times New Roman"/>
          <w:sz w:val="24"/>
          <w:szCs w:val="24"/>
        </w:rPr>
        <w:t>be</w:t>
      </w:r>
      <w:r>
        <w:rPr>
          <w:rFonts w:ascii="Times New Roman" w:hAnsi="Times New Roman" w:cs="Times New Roman"/>
          <w:spacing w:val="-4"/>
          <w:sz w:val="24"/>
          <w:szCs w:val="24"/>
        </w:rPr>
        <w:t xml:space="preserve"> </w:t>
      </w:r>
      <w:r>
        <w:rPr>
          <w:rFonts w:ascii="Times New Roman" w:hAnsi="Times New Roman" w:cs="Times New Roman"/>
          <w:sz w:val="24"/>
          <w:szCs w:val="24"/>
        </w:rPr>
        <w:t>responsible</w:t>
      </w:r>
      <w:r>
        <w:rPr>
          <w:rFonts w:ascii="Times New Roman" w:hAnsi="Times New Roman" w:cs="Times New Roman"/>
          <w:spacing w:val="-4"/>
          <w:sz w:val="24"/>
          <w:szCs w:val="24"/>
        </w:rPr>
        <w:t xml:space="preserve"> </w:t>
      </w:r>
      <w:r>
        <w:rPr>
          <w:rFonts w:ascii="Times New Roman" w:hAnsi="Times New Roman" w:cs="Times New Roman"/>
          <w:sz w:val="24"/>
          <w:szCs w:val="24"/>
        </w:rPr>
        <w:t>for</w:t>
      </w:r>
      <w:r>
        <w:rPr>
          <w:rFonts w:ascii="Times New Roman" w:hAnsi="Times New Roman" w:cs="Times New Roman"/>
          <w:spacing w:val="-7"/>
          <w:sz w:val="24"/>
          <w:szCs w:val="24"/>
        </w:rPr>
        <w:t xml:space="preserve"> </w:t>
      </w:r>
      <w:r>
        <w:rPr>
          <w:rFonts w:ascii="Times New Roman" w:hAnsi="Times New Roman" w:cs="Times New Roman"/>
          <w:sz w:val="24"/>
          <w:szCs w:val="24"/>
        </w:rPr>
        <w:t>determining</w:t>
      </w:r>
      <w:r>
        <w:rPr>
          <w:rFonts w:ascii="Times New Roman" w:hAnsi="Times New Roman" w:cs="Times New Roman"/>
          <w:spacing w:val="-8"/>
          <w:sz w:val="24"/>
          <w:szCs w:val="24"/>
        </w:rPr>
        <w:t xml:space="preserve"> </w:t>
      </w:r>
      <w:r>
        <w:rPr>
          <w:rFonts w:ascii="Times New Roman" w:hAnsi="Times New Roman" w:cs="Times New Roman"/>
          <w:sz w:val="24"/>
          <w:szCs w:val="24"/>
        </w:rPr>
        <w:t>how</w:t>
      </w:r>
      <w:r>
        <w:rPr>
          <w:rFonts w:ascii="Times New Roman" w:hAnsi="Times New Roman" w:cs="Times New Roman"/>
          <w:spacing w:val="-4"/>
          <w:sz w:val="24"/>
          <w:szCs w:val="24"/>
        </w:rPr>
        <w:t xml:space="preserve"> </w:t>
      </w:r>
      <w:r>
        <w:rPr>
          <w:rFonts w:ascii="Times New Roman" w:hAnsi="Times New Roman" w:cs="Times New Roman"/>
          <w:sz w:val="24"/>
          <w:szCs w:val="24"/>
        </w:rPr>
        <w:t>FSS</w:t>
      </w:r>
      <w:r>
        <w:rPr>
          <w:rFonts w:ascii="Times New Roman" w:hAnsi="Times New Roman" w:cs="Times New Roman"/>
          <w:spacing w:val="-3"/>
          <w:sz w:val="24"/>
          <w:szCs w:val="24"/>
        </w:rPr>
        <w:t xml:space="preserve"> </w:t>
      </w:r>
      <w:r>
        <w:rPr>
          <w:rFonts w:ascii="Times New Roman" w:hAnsi="Times New Roman" w:cs="Times New Roman"/>
          <w:sz w:val="24"/>
          <w:szCs w:val="24"/>
        </w:rPr>
        <w:t>funds</w:t>
      </w:r>
      <w:r>
        <w:rPr>
          <w:rFonts w:ascii="Times New Roman" w:hAnsi="Times New Roman" w:cs="Times New Roman"/>
          <w:spacing w:val="-3"/>
          <w:sz w:val="24"/>
          <w:szCs w:val="24"/>
        </w:rPr>
        <w:t xml:space="preserve"> </w:t>
      </w:r>
      <w:r>
        <w:rPr>
          <w:rFonts w:ascii="Times New Roman" w:hAnsi="Times New Roman" w:cs="Times New Roman"/>
          <w:sz w:val="24"/>
          <w:szCs w:val="24"/>
        </w:rPr>
        <w:t>are</w:t>
      </w:r>
      <w:r>
        <w:rPr>
          <w:rFonts w:ascii="Times New Roman" w:hAnsi="Times New Roman" w:cs="Times New Roman"/>
          <w:spacing w:val="-7"/>
          <w:sz w:val="24"/>
          <w:szCs w:val="24"/>
        </w:rPr>
        <w:t xml:space="preserve"> </w:t>
      </w:r>
      <w:r>
        <w:rPr>
          <w:rFonts w:ascii="Times New Roman" w:hAnsi="Times New Roman" w:cs="Times New Roman"/>
          <w:sz w:val="24"/>
          <w:szCs w:val="24"/>
        </w:rPr>
        <w:t>spent.</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ListParagraph"/>
        <w:numPr>
          <w:ilvl w:val="0"/>
          <w:numId w:val="76"/>
        </w:numPr>
        <w:tabs>
          <w:tab w:val="left" w:pos="840"/>
        </w:tabs>
        <w:kinsoku w:val="0"/>
        <w:overflowPunct w:val="0"/>
        <w:ind w:hanging="555"/>
        <w:rPr>
          <w:i/>
          <w:iCs/>
        </w:rPr>
      </w:pPr>
      <w:r>
        <w:rPr>
          <w:i/>
          <w:iCs/>
        </w:rPr>
        <w:t>The</w:t>
      </w:r>
      <w:r>
        <w:rPr>
          <w:i/>
          <w:iCs/>
          <w:spacing w:val="-5"/>
        </w:rPr>
        <w:t xml:space="preserve"> </w:t>
      </w:r>
      <w:r>
        <w:rPr>
          <w:i/>
          <w:iCs/>
        </w:rPr>
        <w:t>process</w:t>
      </w:r>
      <w:r>
        <w:rPr>
          <w:i/>
          <w:iCs/>
          <w:spacing w:val="-5"/>
        </w:rPr>
        <w:t xml:space="preserve"> </w:t>
      </w:r>
      <w:r>
        <w:rPr>
          <w:i/>
          <w:iCs/>
        </w:rPr>
        <w:t>that</w:t>
      </w:r>
      <w:r>
        <w:rPr>
          <w:i/>
          <w:iCs/>
          <w:spacing w:val="-5"/>
        </w:rPr>
        <w:t xml:space="preserve"> </w:t>
      </w:r>
      <w:r>
        <w:rPr>
          <w:i/>
          <w:iCs/>
        </w:rPr>
        <w:t>ACOs</w:t>
      </w:r>
      <w:r>
        <w:rPr>
          <w:i/>
          <w:iCs/>
          <w:spacing w:val="-5"/>
        </w:rPr>
        <w:t xml:space="preserve"> </w:t>
      </w:r>
      <w:r>
        <w:rPr>
          <w:i/>
          <w:iCs/>
        </w:rPr>
        <w:t>must</w:t>
      </w:r>
      <w:r>
        <w:rPr>
          <w:i/>
          <w:iCs/>
          <w:spacing w:val="-5"/>
        </w:rPr>
        <w:t xml:space="preserve"> </w:t>
      </w:r>
      <w:r>
        <w:rPr>
          <w:i/>
          <w:iCs/>
        </w:rPr>
        <w:t>use</w:t>
      </w:r>
      <w:r>
        <w:rPr>
          <w:i/>
          <w:iCs/>
          <w:spacing w:val="-5"/>
        </w:rPr>
        <w:t xml:space="preserve"> </w:t>
      </w:r>
      <w:r>
        <w:rPr>
          <w:i/>
          <w:iCs/>
        </w:rPr>
        <w:t>to</w:t>
      </w:r>
      <w:r>
        <w:rPr>
          <w:i/>
          <w:iCs/>
          <w:spacing w:val="-5"/>
        </w:rPr>
        <w:t xml:space="preserve"> </w:t>
      </w:r>
      <w:r>
        <w:rPr>
          <w:i/>
          <w:iCs/>
        </w:rPr>
        <w:t>determine</w:t>
      </w:r>
      <w:r>
        <w:rPr>
          <w:i/>
          <w:iCs/>
          <w:spacing w:val="-5"/>
        </w:rPr>
        <w:t xml:space="preserve"> </w:t>
      </w:r>
      <w:r>
        <w:rPr>
          <w:i/>
          <w:iCs/>
        </w:rPr>
        <w:t>their</w:t>
      </w:r>
      <w:r>
        <w:rPr>
          <w:i/>
          <w:iCs/>
          <w:spacing w:val="-5"/>
        </w:rPr>
        <w:t xml:space="preserve"> </w:t>
      </w:r>
      <w:r>
        <w:rPr>
          <w:i/>
          <w:iCs/>
        </w:rPr>
        <w:t>members’</w:t>
      </w:r>
      <w:r>
        <w:rPr>
          <w:i/>
          <w:iCs/>
          <w:spacing w:val="-5"/>
        </w:rPr>
        <w:t xml:space="preserve"> </w:t>
      </w:r>
      <w:r>
        <w:rPr>
          <w:i/>
          <w:iCs/>
        </w:rPr>
        <w:t>social</w:t>
      </w:r>
      <w:r>
        <w:rPr>
          <w:i/>
          <w:iCs/>
          <w:spacing w:val="-6"/>
        </w:rPr>
        <w:t xml:space="preserve"> </w:t>
      </w:r>
      <w:r>
        <w:rPr>
          <w:i/>
          <w:iCs/>
        </w:rPr>
        <w:t>service</w:t>
      </w:r>
      <w:r>
        <w:rPr>
          <w:i/>
          <w:iCs/>
          <w:spacing w:val="-8"/>
        </w:rPr>
        <w:t xml:space="preserve"> </w:t>
      </w:r>
      <w:r>
        <w:rPr>
          <w:i/>
          <w:iCs/>
        </w:rPr>
        <w:t>needs.</w:t>
      </w:r>
    </w:p>
    <w:p w:rsidR="002C5025" w:rsidRDefault="002C5025">
      <w:pPr>
        <w:pStyle w:val="BodyText"/>
        <w:kinsoku w:val="0"/>
        <w:overflowPunct w:val="0"/>
        <w:rPr>
          <w:rFonts w:ascii="Times New Roman" w:hAnsi="Times New Roman" w:cs="Times New Roman"/>
          <w:i/>
          <w:iCs/>
          <w:sz w:val="24"/>
          <w:szCs w:val="24"/>
        </w:rPr>
      </w:pPr>
    </w:p>
    <w:p w:rsidR="002C5025" w:rsidRDefault="002C5025">
      <w:pPr>
        <w:pStyle w:val="BodyText"/>
        <w:kinsoku w:val="0"/>
        <w:overflowPunct w:val="0"/>
        <w:ind w:left="119" w:right="108"/>
        <w:jc w:val="both"/>
        <w:rPr>
          <w:rFonts w:ascii="Times New Roman" w:hAnsi="Times New Roman" w:cs="Times New Roman"/>
          <w:sz w:val="24"/>
          <w:szCs w:val="24"/>
        </w:rPr>
      </w:pPr>
      <w:r>
        <w:rPr>
          <w:rFonts w:ascii="Times New Roman" w:hAnsi="Times New Roman" w:cs="Times New Roman"/>
          <w:spacing w:val="-3"/>
          <w:sz w:val="24"/>
          <w:szCs w:val="24"/>
        </w:rPr>
        <w:t xml:space="preserve">In </w:t>
      </w:r>
      <w:r>
        <w:rPr>
          <w:rFonts w:ascii="Times New Roman" w:hAnsi="Times New Roman" w:cs="Times New Roman"/>
          <w:sz w:val="24"/>
          <w:szCs w:val="24"/>
        </w:rPr>
        <w:t xml:space="preserve">order to facilitate appropriate use of flexible spending funds, we also encourage EOHHS to include guidance in the FSS framework regarding how ACOs should determine the social service needs of their members. </w:t>
      </w:r>
      <w:r>
        <w:rPr>
          <w:rFonts w:ascii="Times New Roman" w:hAnsi="Times New Roman" w:cs="Times New Roman"/>
          <w:spacing w:val="-4"/>
          <w:sz w:val="24"/>
          <w:szCs w:val="24"/>
        </w:rPr>
        <w:t xml:space="preserve">In </w:t>
      </w:r>
      <w:r>
        <w:rPr>
          <w:rFonts w:ascii="Times New Roman" w:hAnsi="Times New Roman" w:cs="Times New Roman"/>
          <w:sz w:val="24"/>
          <w:szCs w:val="24"/>
        </w:rPr>
        <w:t xml:space="preserve">developing this guidance, EOHHS could require ACOs to look to existing data sources and recent patient data to assess community needs. For example, in the </w:t>
      </w:r>
      <w:r>
        <w:rPr>
          <w:rFonts w:ascii="Times New Roman" w:hAnsi="Times New Roman" w:cs="Times New Roman"/>
          <w:spacing w:val="-3"/>
          <w:sz w:val="24"/>
          <w:szCs w:val="24"/>
        </w:rPr>
        <w:t xml:space="preserve">first </w:t>
      </w:r>
      <w:r>
        <w:rPr>
          <w:rFonts w:ascii="Times New Roman" w:hAnsi="Times New Roman" w:cs="Times New Roman"/>
          <w:sz w:val="24"/>
          <w:szCs w:val="24"/>
        </w:rPr>
        <w:t>year</w:t>
      </w:r>
      <w:r>
        <w:rPr>
          <w:rFonts w:ascii="Times New Roman" w:hAnsi="Times New Roman" w:cs="Times New Roman"/>
          <w:spacing w:val="-10"/>
          <w:sz w:val="24"/>
          <w:szCs w:val="24"/>
        </w:rPr>
        <w:t xml:space="preserve"> </w:t>
      </w:r>
      <w:r>
        <w:rPr>
          <w:rFonts w:ascii="Times New Roman" w:hAnsi="Times New Roman" w:cs="Times New Roman"/>
          <w:sz w:val="24"/>
          <w:szCs w:val="24"/>
        </w:rPr>
        <w:t>of</w:t>
      </w:r>
      <w:r>
        <w:rPr>
          <w:rFonts w:ascii="Times New Roman" w:hAnsi="Times New Roman" w:cs="Times New Roman"/>
          <w:spacing w:val="-8"/>
          <w:sz w:val="24"/>
          <w:szCs w:val="24"/>
        </w:rPr>
        <w:t xml:space="preserve"> </w:t>
      </w:r>
      <w:r>
        <w:rPr>
          <w:rFonts w:ascii="Times New Roman" w:hAnsi="Times New Roman" w:cs="Times New Roman"/>
          <w:sz w:val="24"/>
          <w:szCs w:val="24"/>
        </w:rPr>
        <w:t>the</w:t>
      </w:r>
      <w:r>
        <w:rPr>
          <w:rFonts w:ascii="Times New Roman" w:hAnsi="Times New Roman" w:cs="Times New Roman"/>
          <w:spacing w:val="-10"/>
          <w:sz w:val="24"/>
          <w:szCs w:val="24"/>
        </w:rPr>
        <w:t xml:space="preserve"> </w:t>
      </w:r>
      <w:r>
        <w:rPr>
          <w:rFonts w:ascii="Times New Roman" w:hAnsi="Times New Roman" w:cs="Times New Roman"/>
          <w:sz w:val="24"/>
          <w:szCs w:val="24"/>
        </w:rPr>
        <w:t>demonstration,</w:t>
      </w:r>
      <w:r>
        <w:rPr>
          <w:rFonts w:ascii="Times New Roman" w:hAnsi="Times New Roman" w:cs="Times New Roman"/>
          <w:spacing w:val="-9"/>
          <w:sz w:val="24"/>
          <w:szCs w:val="24"/>
        </w:rPr>
        <w:t xml:space="preserve"> </w:t>
      </w:r>
      <w:r>
        <w:rPr>
          <w:rFonts w:ascii="Times New Roman" w:hAnsi="Times New Roman" w:cs="Times New Roman"/>
          <w:sz w:val="24"/>
          <w:szCs w:val="24"/>
        </w:rPr>
        <w:t>EOHHS</w:t>
      </w:r>
      <w:r>
        <w:rPr>
          <w:rFonts w:ascii="Times New Roman" w:hAnsi="Times New Roman" w:cs="Times New Roman"/>
          <w:spacing w:val="-8"/>
          <w:sz w:val="24"/>
          <w:szCs w:val="24"/>
        </w:rPr>
        <w:t xml:space="preserve"> </w:t>
      </w:r>
      <w:r>
        <w:rPr>
          <w:rFonts w:ascii="Times New Roman" w:hAnsi="Times New Roman" w:cs="Times New Roman"/>
          <w:sz w:val="24"/>
          <w:szCs w:val="24"/>
        </w:rPr>
        <w:t>could</w:t>
      </w:r>
      <w:r>
        <w:rPr>
          <w:rFonts w:ascii="Times New Roman" w:hAnsi="Times New Roman" w:cs="Times New Roman"/>
          <w:spacing w:val="-7"/>
          <w:sz w:val="24"/>
          <w:szCs w:val="24"/>
        </w:rPr>
        <w:t xml:space="preserve"> </w:t>
      </w:r>
      <w:r>
        <w:rPr>
          <w:rFonts w:ascii="Times New Roman" w:hAnsi="Times New Roman" w:cs="Times New Roman"/>
          <w:sz w:val="24"/>
          <w:szCs w:val="24"/>
        </w:rPr>
        <w:t>require</w:t>
      </w:r>
      <w:r>
        <w:rPr>
          <w:rFonts w:ascii="Times New Roman" w:hAnsi="Times New Roman" w:cs="Times New Roman"/>
          <w:spacing w:val="-8"/>
          <w:sz w:val="24"/>
          <w:szCs w:val="24"/>
        </w:rPr>
        <w:t xml:space="preserve"> </w:t>
      </w:r>
      <w:r>
        <w:rPr>
          <w:rFonts w:ascii="Times New Roman" w:hAnsi="Times New Roman" w:cs="Times New Roman"/>
          <w:sz w:val="24"/>
          <w:szCs w:val="24"/>
        </w:rPr>
        <w:t>ACOs</w:t>
      </w:r>
      <w:r>
        <w:rPr>
          <w:rFonts w:ascii="Times New Roman" w:hAnsi="Times New Roman" w:cs="Times New Roman"/>
          <w:spacing w:val="-7"/>
          <w:sz w:val="24"/>
          <w:szCs w:val="24"/>
        </w:rPr>
        <w:t xml:space="preserve"> </w:t>
      </w:r>
      <w:r>
        <w:rPr>
          <w:rFonts w:ascii="Times New Roman" w:hAnsi="Times New Roman" w:cs="Times New Roman"/>
          <w:sz w:val="24"/>
          <w:szCs w:val="24"/>
        </w:rPr>
        <w:t>to</w:t>
      </w:r>
      <w:r>
        <w:rPr>
          <w:rFonts w:ascii="Times New Roman" w:hAnsi="Times New Roman" w:cs="Times New Roman"/>
          <w:spacing w:val="-9"/>
          <w:sz w:val="24"/>
          <w:szCs w:val="24"/>
        </w:rPr>
        <w:t xml:space="preserve"> </w:t>
      </w:r>
      <w:r>
        <w:rPr>
          <w:rFonts w:ascii="Times New Roman" w:hAnsi="Times New Roman" w:cs="Times New Roman"/>
          <w:sz w:val="24"/>
          <w:szCs w:val="24"/>
        </w:rPr>
        <w:t>base</w:t>
      </w:r>
      <w:r>
        <w:rPr>
          <w:rFonts w:ascii="Times New Roman" w:hAnsi="Times New Roman" w:cs="Times New Roman"/>
          <w:spacing w:val="-10"/>
          <w:sz w:val="24"/>
          <w:szCs w:val="24"/>
        </w:rPr>
        <w:t xml:space="preserve"> </w:t>
      </w:r>
      <w:r>
        <w:rPr>
          <w:rFonts w:ascii="Times New Roman" w:hAnsi="Times New Roman" w:cs="Times New Roman"/>
          <w:sz w:val="24"/>
          <w:szCs w:val="24"/>
        </w:rPr>
        <w:t>their</w:t>
      </w:r>
      <w:r>
        <w:rPr>
          <w:rFonts w:ascii="Times New Roman" w:hAnsi="Times New Roman" w:cs="Times New Roman"/>
          <w:spacing w:val="-10"/>
          <w:sz w:val="24"/>
          <w:szCs w:val="24"/>
        </w:rPr>
        <w:t xml:space="preserve"> </w:t>
      </w:r>
      <w:r>
        <w:rPr>
          <w:rFonts w:ascii="Times New Roman" w:hAnsi="Times New Roman" w:cs="Times New Roman"/>
          <w:sz w:val="24"/>
          <w:szCs w:val="24"/>
        </w:rPr>
        <w:t>needs</w:t>
      </w:r>
      <w:r>
        <w:rPr>
          <w:rFonts w:ascii="Times New Roman" w:hAnsi="Times New Roman" w:cs="Times New Roman"/>
          <w:spacing w:val="-7"/>
          <w:sz w:val="24"/>
          <w:szCs w:val="24"/>
        </w:rPr>
        <w:t xml:space="preserve"> </w:t>
      </w:r>
      <w:r>
        <w:rPr>
          <w:rFonts w:ascii="Times New Roman" w:hAnsi="Times New Roman" w:cs="Times New Roman"/>
          <w:sz w:val="24"/>
          <w:szCs w:val="24"/>
        </w:rPr>
        <w:t>assessment</w:t>
      </w:r>
      <w:r>
        <w:rPr>
          <w:rFonts w:ascii="Times New Roman" w:hAnsi="Times New Roman" w:cs="Times New Roman"/>
          <w:spacing w:val="-9"/>
          <w:sz w:val="24"/>
          <w:szCs w:val="24"/>
        </w:rPr>
        <w:t xml:space="preserve"> </w:t>
      </w:r>
      <w:r>
        <w:rPr>
          <w:rFonts w:ascii="Times New Roman" w:hAnsi="Times New Roman" w:cs="Times New Roman"/>
          <w:sz w:val="24"/>
          <w:szCs w:val="24"/>
        </w:rPr>
        <w:t>on</w:t>
      </w:r>
      <w:r>
        <w:rPr>
          <w:rFonts w:ascii="Times New Roman" w:hAnsi="Times New Roman" w:cs="Times New Roman"/>
          <w:spacing w:val="-9"/>
          <w:sz w:val="24"/>
          <w:szCs w:val="24"/>
        </w:rPr>
        <w:t xml:space="preserve"> </w:t>
      </w:r>
      <w:r>
        <w:rPr>
          <w:rFonts w:ascii="Times New Roman" w:hAnsi="Times New Roman" w:cs="Times New Roman"/>
          <w:sz w:val="24"/>
          <w:szCs w:val="24"/>
        </w:rPr>
        <w:t>existing data sources such as Community Health Needs Assessments performed by non-profit hospitals in their service area and county-level data related to social determinants such as food insecurity and housing. Moving forward, EOHHS could then require ACOs to screen patients for social service needs</w:t>
      </w:r>
      <w:r>
        <w:rPr>
          <w:rFonts w:ascii="Times New Roman" w:hAnsi="Times New Roman" w:cs="Times New Roman"/>
          <w:spacing w:val="-3"/>
          <w:sz w:val="24"/>
          <w:szCs w:val="24"/>
        </w:rPr>
        <w:t xml:space="preserve"> </w:t>
      </w:r>
      <w:r>
        <w:rPr>
          <w:rFonts w:ascii="Times New Roman" w:hAnsi="Times New Roman" w:cs="Times New Roman"/>
          <w:sz w:val="24"/>
          <w:szCs w:val="24"/>
        </w:rPr>
        <w:t>during</w:t>
      </w:r>
      <w:r>
        <w:rPr>
          <w:rFonts w:ascii="Times New Roman" w:hAnsi="Times New Roman" w:cs="Times New Roman"/>
          <w:spacing w:val="-8"/>
          <w:sz w:val="24"/>
          <w:szCs w:val="24"/>
        </w:rPr>
        <w:t xml:space="preserve"> </w:t>
      </w:r>
      <w:r>
        <w:rPr>
          <w:rFonts w:ascii="Times New Roman" w:hAnsi="Times New Roman" w:cs="Times New Roman"/>
          <w:sz w:val="24"/>
          <w:szCs w:val="24"/>
        </w:rPr>
        <w:t>health</w:t>
      </w:r>
      <w:r>
        <w:rPr>
          <w:rFonts w:ascii="Times New Roman" w:hAnsi="Times New Roman" w:cs="Times New Roman"/>
          <w:spacing w:val="-3"/>
          <w:sz w:val="24"/>
          <w:szCs w:val="24"/>
        </w:rPr>
        <w:t xml:space="preserve"> </w:t>
      </w:r>
      <w:r>
        <w:rPr>
          <w:rFonts w:ascii="Times New Roman" w:hAnsi="Times New Roman" w:cs="Times New Roman"/>
          <w:sz w:val="24"/>
          <w:szCs w:val="24"/>
        </w:rPr>
        <w:t>care</w:t>
      </w:r>
      <w:r>
        <w:rPr>
          <w:rFonts w:ascii="Times New Roman" w:hAnsi="Times New Roman" w:cs="Times New Roman"/>
          <w:spacing w:val="-4"/>
          <w:sz w:val="24"/>
          <w:szCs w:val="24"/>
        </w:rPr>
        <w:t xml:space="preserve"> </w:t>
      </w:r>
      <w:r>
        <w:rPr>
          <w:rFonts w:ascii="Times New Roman" w:hAnsi="Times New Roman" w:cs="Times New Roman"/>
          <w:sz w:val="24"/>
          <w:szCs w:val="24"/>
        </w:rPr>
        <w:t>visits</w:t>
      </w:r>
      <w:r>
        <w:rPr>
          <w:rFonts w:ascii="Times New Roman" w:hAnsi="Times New Roman" w:cs="Times New Roman"/>
          <w:spacing w:val="-3"/>
          <w:sz w:val="24"/>
          <w:szCs w:val="24"/>
        </w:rPr>
        <w:t xml:space="preserve"> </w:t>
      </w:r>
      <w:r>
        <w:rPr>
          <w:rFonts w:ascii="Times New Roman" w:hAnsi="Times New Roman" w:cs="Times New Roman"/>
          <w:sz w:val="24"/>
          <w:szCs w:val="24"/>
        </w:rPr>
        <w:t>and</w:t>
      </w:r>
      <w:r>
        <w:rPr>
          <w:rFonts w:ascii="Times New Roman" w:hAnsi="Times New Roman" w:cs="Times New Roman"/>
          <w:spacing w:val="-3"/>
          <w:sz w:val="24"/>
          <w:szCs w:val="24"/>
        </w:rPr>
        <w:t xml:space="preserve"> </w:t>
      </w:r>
      <w:r>
        <w:rPr>
          <w:rFonts w:ascii="Times New Roman" w:hAnsi="Times New Roman" w:cs="Times New Roman"/>
          <w:sz w:val="24"/>
          <w:szCs w:val="24"/>
        </w:rPr>
        <w:t>use</w:t>
      </w:r>
      <w:r>
        <w:rPr>
          <w:rFonts w:ascii="Times New Roman" w:hAnsi="Times New Roman" w:cs="Times New Roman"/>
          <w:spacing w:val="-4"/>
          <w:sz w:val="24"/>
          <w:szCs w:val="24"/>
        </w:rPr>
        <w:t xml:space="preserve"> </w:t>
      </w:r>
      <w:r>
        <w:rPr>
          <w:rFonts w:ascii="Times New Roman" w:hAnsi="Times New Roman" w:cs="Times New Roman"/>
          <w:sz w:val="24"/>
          <w:szCs w:val="24"/>
        </w:rPr>
        <w:t>that</w:t>
      </w:r>
      <w:r>
        <w:rPr>
          <w:rFonts w:ascii="Times New Roman" w:hAnsi="Times New Roman" w:cs="Times New Roman"/>
          <w:spacing w:val="-3"/>
          <w:sz w:val="24"/>
          <w:szCs w:val="24"/>
        </w:rPr>
        <w:t xml:space="preserve"> </w:t>
      </w:r>
      <w:r>
        <w:rPr>
          <w:rFonts w:ascii="Times New Roman" w:hAnsi="Times New Roman" w:cs="Times New Roman"/>
          <w:sz w:val="24"/>
          <w:szCs w:val="24"/>
        </w:rPr>
        <w:t>data</w:t>
      </w:r>
      <w:r>
        <w:rPr>
          <w:rFonts w:ascii="Times New Roman" w:hAnsi="Times New Roman" w:cs="Times New Roman"/>
          <w:spacing w:val="-4"/>
          <w:sz w:val="24"/>
          <w:szCs w:val="24"/>
        </w:rPr>
        <w:t xml:space="preserve"> </w:t>
      </w:r>
      <w:r>
        <w:rPr>
          <w:rFonts w:ascii="Times New Roman" w:hAnsi="Times New Roman" w:cs="Times New Roman"/>
          <w:sz w:val="24"/>
          <w:szCs w:val="24"/>
        </w:rPr>
        <w:t>to</w:t>
      </w:r>
      <w:r>
        <w:rPr>
          <w:rFonts w:ascii="Times New Roman" w:hAnsi="Times New Roman" w:cs="Times New Roman"/>
          <w:spacing w:val="-6"/>
          <w:sz w:val="24"/>
          <w:szCs w:val="24"/>
        </w:rPr>
        <w:t xml:space="preserve"> </w:t>
      </w:r>
      <w:r>
        <w:rPr>
          <w:rFonts w:ascii="Times New Roman" w:hAnsi="Times New Roman" w:cs="Times New Roman"/>
          <w:sz w:val="24"/>
          <w:szCs w:val="24"/>
        </w:rPr>
        <w:t>drive</w:t>
      </w:r>
      <w:r>
        <w:rPr>
          <w:rFonts w:ascii="Times New Roman" w:hAnsi="Times New Roman" w:cs="Times New Roman"/>
          <w:spacing w:val="-4"/>
          <w:sz w:val="24"/>
          <w:szCs w:val="24"/>
        </w:rPr>
        <w:t xml:space="preserve"> </w:t>
      </w:r>
      <w:r>
        <w:rPr>
          <w:rFonts w:ascii="Times New Roman" w:hAnsi="Times New Roman" w:cs="Times New Roman"/>
          <w:sz w:val="24"/>
          <w:szCs w:val="24"/>
        </w:rPr>
        <w:t>allocation</w:t>
      </w:r>
      <w:r>
        <w:rPr>
          <w:rFonts w:ascii="Times New Roman" w:hAnsi="Times New Roman" w:cs="Times New Roman"/>
          <w:spacing w:val="-3"/>
          <w:sz w:val="24"/>
          <w:szCs w:val="24"/>
        </w:rPr>
        <w:t xml:space="preserve"> </w:t>
      </w:r>
      <w:r>
        <w:rPr>
          <w:rFonts w:ascii="Times New Roman" w:hAnsi="Times New Roman" w:cs="Times New Roman"/>
          <w:sz w:val="24"/>
          <w:szCs w:val="24"/>
        </w:rPr>
        <w:t>of</w:t>
      </w:r>
      <w:r>
        <w:rPr>
          <w:rFonts w:ascii="Times New Roman" w:hAnsi="Times New Roman" w:cs="Times New Roman"/>
          <w:spacing w:val="-4"/>
          <w:sz w:val="24"/>
          <w:szCs w:val="24"/>
        </w:rPr>
        <w:t xml:space="preserve"> </w:t>
      </w:r>
      <w:r>
        <w:rPr>
          <w:rFonts w:ascii="Times New Roman" w:hAnsi="Times New Roman" w:cs="Times New Roman"/>
          <w:sz w:val="24"/>
          <w:szCs w:val="24"/>
        </w:rPr>
        <w:t>FSS</w:t>
      </w:r>
      <w:r>
        <w:rPr>
          <w:rFonts w:ascii="Times New Roman" w:hAnsi="Times New Roman" w:cs="Times New Roman"/>
          <w:spacing w:val="-3"/>
          <w:sz w:val="24"/>
          <w:szCs w:val="24"/>
        </w:rPr>
        <w:t xml:space="preserve"> </w:t>
      </w:r>
      <w:r>
        <w:rPr>
          <w:rFonts w:ascii="Times New Roman" w:hAnsi="Times New Roman" w:cs="Times New Roman"/>
          <w:sz w:val="24"/>
          <w:szCs w:val="24"/>
        </w:rPr>
        <w:t>funds.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19" w:right="116"/>
        <w:jc w:val="both"/>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11"/>
          <w:sz w:val="24"/>
          <w:szCs w:val="24"/>
        </w:rPr>
        <w:t xml:space="preserve"> </w:t>
      </w:r>
      <w:r>
        <w:rPr>
          <w:rFonts w:ascii="Times New Roman" w:hAnsi="Times New Roman" w:cs="Times New Roman"/>
          <w:sz w:val="24"/>
          <w:szCs w:val="24"/>
        </w:rPr>
        <w:t>help</w:t>
      </w:r>
      <w:r>
        <w:rPr>
          <w:rFonts w:ascii="Times New Roman" w:hAnsi="Times New Roman" w:cs="Times New Roman"/>
          <w:spacing w:val="-11"/>
          <w:sz w:val="24"/>
          <w:szCs w:val="24"/>
        </w:rPr>
        <w:t xml:space="preserve"> </w:t>
      </w:r>
      <w:r>
        <w:rPr>
          <w:rFonts w:ascii="Times New Roman" w:hAnsi="Times New Roman" w:cs="Times New Roman"/>
          <w:sz w:val="24"/>
          <w:szCs w:val="24"/>
        </w:rPr>
        <w:t>developing</w:t>
      </w:r>
      <w:r>
        <w:rPr>
          <w:rFonts w:ascii="Times New Roman" w:hAnsi="Times New Roman" w:cs="Times New Roman"/>
          <w:spacing w:val="-15"/>
          <w:sz w:val="24"/>
          <w:szCs w:val="24"/>
        </w:rPr>
        <w:t xml:space="preserve"> </w:t>
      </w:r>
      <w:r>
        <w:rPr>
          <w:rFonts w:ascii="Times New Roman" w:hAnsi="Times New Roman" w:cs="Times New Roman"/>
          <w:sz w:val="24"/>
          <w:szCs w:val="24"/>
        </w:rPr>
        <w:t>ACOs</w:t>
      </w:r>
      <w:r>
        <w:rPr>
          <w:rFonts w:ascii="Times New Roman" w:hAnsi="Times New Roman" w:cs="Times New Roman"/>
          <w:spacing w:val="-10"/>
          <w:sz w:val="24"/>
          <w:szCs w:val="24"/>
        </w:rPr>
        <w:t xml:space="preserve"> </w:t>
      </w:r>
      <w:r>
        <w:rPr>
          <w:rFonts w:ascii="Times New Roman" w:hAnsi="Times New Roman" w:cs="Times New Roman"/>
          <w:sz w:val="24"/>
          <w:szCs w:val="24"/>
        </w:rPr>
        <w:t>begin</w:t>
      </w:r>
      <w:r>
        <w:rPr>
          <w:rFonts w:ascii="Times New Roman" w:hAnsi="Times New Roman" w:cs="Times New Roman"/>
          <w:spacing w:val="-11"/>
          <w:sz w:val="24"/>
          <w:szCs w:val="24"/>
        </w:rPr>
        <w:t xml:space="preserve"> </w:t>
      </w:r>
      <w:r>
        <w:rPr>
          <w:rFonts w:ascii="Times New Roman" w:hAnsi="Times New Roman" w:cs="Times New Roman"/>
          <w:sz w:val="24"/>
          <w:szCs w:val="24"/>
        </w:rPr>
        <w:t>to</w:t>
      </w:r>
      <w:r>
        <w:rPr>
          <w:rFonts w:ascii="Times New Roman" w:hAnsi="Times New Roman" w:cs="Times New Roman"/>
          <w:spacing w:val="-11"/>
          <w:sz w:val="24"/>
          <w:szCs w:val="24"/>
        </w:rPr>
        <w:t xml:space="preserve"> </w:t>
      </w:r>
      <w:r>
        <w:rPr>
          <w:rFonts w:ascii="Times New Roman" w:hAnsi="Times New Roman" w:cs="Times New Roman"/>
          <w:sz w:val="24"/>
          <w:szCs w:val="24"/>
        </w:rPr>
        <w:t>plan</w:t>
      </w:r>
      <w:r>
        <w:rPr>
          <w:rFonts w:ascii="Times New Roman" w:hAnsi="Times New Roman" w:cs="Times New Roman"/>
          <w:spacing w:val="-11"/>
          <w:sz w:val="24"/>
          <w:szCs w:val="24"/>
        </w:rPr>
        <w:t xml:space="preserve"> </w:t>
      </w:r>
      <w:r>
        <w:rPr>
          <w:rFonts w:ascii="Times New Roman" w:hAnsi="Times New Roman" w:cs="Times New Roman"/>
          <w:sz w:val="24"/>
          <w:szCs w:val="24"/>
        </w:rPr>
        <w:t>for</w:t>
      </w:r>
      <w:r>
        <w:rPr>
          <w:rFonts w:ascii="Times New Roman" w:hAnsi="Times New Roman" w:cs="Times New Roman"/>
          <w:spacing w:val="-14"/>
          <w:sz w:val="24"/>
          <w:szCs w:val="24"/>
        </w:rPr>
        <w:t xml:space="preserve"> </w:t>
      </w:r>
      <w:r>
        <w:rPr>
          <w:rFonts w:ascii="Times New Roman" w:hAnsi="Times New Roman" w:cs="Times New Roman"/>
          <w:sz w:val="24"/>
          <w:szCs w:val="24"/>
        </w:rPr>
        <w:t>this</w:t>
      </w:r>
      <w:r>
        <w:rPr>
          <w:rFonts w:ascii="Times New Roman" w:hAnsi="Times New Roman" w:cs="Times New Roman"/>
          <w:spacing w:val="-10"/>
          <w:sz w:val="24"/>
          <w:szCs w:val="24"/>
        </w:rPr>
        <w:t xml:space="preserve"> </w:t>
      </w:r>
      <w:r>
        <w:rPr>
          <w:rFonts w:ascii="Times New Roman" w:hAnsi="Times New Roman" w:cs="Times New Roman"/>
          <w:sz w:val="24"/>
          <w:szCs w:val="24"/>
        </w:rPr>
        <w:t>process,</w:t>
      </w:r>
      <w:r>
        <w:rPr>
          <w:rFonts w:ascii="Times New Roman" w:hAnsi="Times New Roman" w:cs="Times New Roman"/>
          <w:spacing w:val="-11"/>
          <w:sz w:val="24"/>
          <w:szCs w:val="24"/>
        </w:rPr>
        <w:t xml:space="preserve"> </w:t>
      </w:r>
      <w:r>
        <w:rPr>
          <w:rFonts w:ascii="Times New Roman" w:hAnsi="Times New Roman" w:cs="Times New Roman"/>
          <w:sz w:val="24"/>
          <w:szCs w:val="24"/>
        </w:rPr>
        <w:t>we</w:t>
      </w:r>
      <w:r>
        <w:rPr>
          <w:rFonts w:ascii="Times New Roman" w:hAnsi="Times New Roman" w:cs="Times New Roman"/>
          <w:spacing w:val="-14"/>
          <w:sz w:val="24"/>
          <w:szCs w:val="24"/>
        </w:rPr>
        <w:t xml:space="preserve"> </w:t>
      </w:r>
      <w:r>
        <w:rPr>
          <w:rFonts w:ascii="Times New Roman" w:hAnsi="Times New Roman" w:cs="Times New Roman"/>
          <w:sz w:val="24"/>
          <w:szCs w:val="24"/>
        </w:rPr>
        <w:t>also</w:t>
      </w:r>
      <w:r>
        <w:rPr>
          <w:rFonts w:ascii="Times New Roman" w:hAnsi="Times New Roman" w:cs="Times New Roman"/>
          <w:spacing w:val="-11"/>
          <w:sz w:val="24"/>
          <w:szCs w:val="24"/>
        </w:rPr>
        <w:t xml:space="preserve"> </w:t>
      </w:r>
      <w:r>
        <w:rPr>
          <w:rFonts w:ascii="Times New Roman" w:hAnsi="Times New Roman" w:cs="Times New Roman"/>
          <w:sz w:val="24"/>
          <w:szCs w:val="24"/>
        </w:rPr>
        <w:t>encourage</w:t>
      </w:r>
      <w:r>
        <w:rPr>
          <w:rFonts w:ascii="Times New Roman" w:hAnsi="Times New Roman" w:cs="Times New Roman"/>
          <w:spacing w:val="-12"/>
          <w:sz w:val="24"/>
          <w:szCs w:val="24"/>
        </w:rPr>
        <w:t xml:space="preserve"> </w:t>
      </w:r>
      <w:r>
        <w:rPr>
          <w:rFonts w:ascii="Times New Roman" w:hAnsi="Times New Roman" w:cs="Times New Roman"/>
          <w:sz w:val="24"/>
          <w:szCs w:val="24"/>
        </w:rPr>
        <w:t>EOHHS</w:t>
      </w:r>
      <w:r>
        <w:rPr>
          <w:rFonts w:ascii="Times New Roman" w:hAnsi="Times New Roman" w:cs="Times New Roman"/>
          <w:spacing w:val="-8"/>
          <w:sz w:val="24"/>
          <w:szCs w:val="24"/>
        </w:rPr>
        <w:t xml:space="preserve"> </w:t>
      </w:r>
      <w:r>
        <w:rPr>
          <w:rFonts w:ascii="Times New Roman" w:hAnsi="Times New Roman" w:cs="Times New Roman"/>
          <w:sz w:val="24"/>
          <w:szCs w:val="24"/>
        </w:rPr>
        <w:t>to</w:t>
      </w:r>
      <w:r>
        <w:rPr>
          <w:rFonts w:ascii="Times New Roman" w:hAnsi="Times New Roman" w:cs="Times New Roman"/>
          <w:spacing w:val="-11"/>
          <w:sz w:val="24"/>
          <w:szCs w:val="24"/>
        </w:rPr>
        <w:t xml:space="preserve"> </w:t>
      </w:r>
      <w:r>
        <w:rPr>
          <w:rFonts w:ascii="Times New Roman" w:hAnsi="Times New Roman" w:cs="Times New Roman"/>
          <w:sz w:val="24"/>
          <w:szCs w:val="24"/>
        </w:rPr>
        <w:t>clarify</w:t>
      </w:r>
      <w:r>
        <w:rPr>
          <w:rFonts w:ascii="Times New Roman" w:hAnsi="Times New Roman" w:cs="Times New Roman"/>
          <w:spacing w:val="-23"/>
          <w:sz w:val="24"/>
          <w:szCs w:val="24"/>
        </w:rPr>
        <w:t xml:space="preserve"> </w:t>
      </w:r>
      <w:r>
        <w:rPr>
          <w:rFonts w:ascii="Times New Roman" w:hAnsi="Times New Roman" w:cs="Times New Roman"/>
          <w:sz w:val="24"/>
          <w:szCs w:val="24"/>
        </w:rPr>
        <w:t>how it</w:t>
      </w:r>
      <w:r>
        <w:rPr>
          <w:rFonts w:ascii="Times New Roman" w:hAnsi="Times New Roman" w:cs="Times New Roman"/>
          <w:spacing w:val="-4"/>
          <w:sz w:val="24"/>
          <w:szCs w:val="24"/>
        </w:rPr>
        <w:t xml:space="preserve"> </w:t>
      </w:r>
      <w:r>
        <w:rPr>
          <w:rFonts w:ascii="Times New Roman" w:hAnsi="Times New Roman" w:cs="Times New Roman"/>
          <w:sz w:val="24"/>
          <w:szCs w:val="24"/>
        </w:rPr>
        <w:t>will</w:t>
      </w:r>
      <w:r>
        <w:rPr>
          <w:rFonts w:ascii="Times New Roman" w:hAnsi="Times New Roman" w:cs="Times New Roman"/>
          <w:spacing w:val="-4"/>
          <w:sz w:val="24"/>
          <w:szCs w:val="24"/>
        </w:rPr>
        <w:t xml:space="preserve"> </w:t>
      </w:r>
      <w:r>
        <w:rPr>
          <w:rFonts w:ascii="Times New Roman" w:hAnsi="Times New Roman" w:cs="Times New Roman"/>
          <w:sz w:val="24"/>
          <w:szCs w:val="24"/>
        </w:rPr>
        <w:t>calculate</w:t>
      </w:r>
      <w:r>
        <w:rPr>
          <w:rFonts w:ascii="Times New Roman" w:hAnsi="Times New Roman" w:cs="Times New Roman"/>
          <w:spacing w:val="-8"/>
          <w:sz w:val="24"/>
          <w:szCs w:val="24"/>
        </w:rPr>
        <w:t xml:space="preserve"> </w:t>
      </w:r>
      <w:r>
        <w:rPr>
          <w:rFonts w:ascii="Times New Roman" w:hAnsi="Times New Roman" w:cs="Times New Roman"/>
          <w:sz w:val="24"/>
          <w:szCs w:val="24"/>
        </w:rPr>
        <w:t>the</w:t>
      </w:r>
      <w:r>
        <w:rPr>
          <w:rFonts w:ascii="Times New Roman" w:hAnsi="Times New Roman" w:cs="Times New Roman"/>
          <w:spacing w:val="-6"/>
          <w:sz w:val="24"/>
          <w:szCs w:val="24"/>
        </w:rPr>
        <w:t xml:space="preserve"> </w:t>
      </w:r>
      <w:r>
        <w:rPr>
          <w:rFonts w:ascii="Times New Roman" w:hAnsi="Times New Roman" w:cs="Times New Roman"/>
          <w:sz w:val="24"/>
          <w:szCs w:val="24"/>
        </w:rPr>
        <w:t>amount</w:t>
      </w:r>
      <w:r>
        <w:rPr>
          <w:rFonts w:ascii="Times New Roman" w:hAnsi="Times New Roman" w:cs="Times New Roman"/>
          <w:spacing w:val="-4"/>
          <w:sz w:val="24"/>
          <w:szCs w:val="24"/>
        </w:rPr>
        <w:t xml:space="preserve"> </w:t>
      </w:r>
      <w:r>
        <w:rPr>
          <w:rFonts w:ascii="Times New Roman" w:hAnsi="Times New Roman" w:cs="Times New Roman"/>
          <w:sz w:val="24"/>
          <w:szCs w:val="24"/>
        </w:rPr>
        <w:t>of</w:t>
      </w:r>
      <w:r>
        <w:rPr>
          <w:rFonts w:ascii="Times New Roman" w:hAnsi="Times New Roman" w:cs="Times New Roman"/>
          <w:spacing w:val="-6"/>
          <w:sz w:val="24"/>
          <w:szCs w:val="24"/>
        </w:rPr>
        <w:t xml:space="preserve"> </w:t>
      </w:r>
      <w:r>
        <w:rPr>
          <w:rFonts w:ascii="Times New Roman" w:hAnsi="Times New Roman" w:cs="Times New Roman"/>
          <w:spacing w:val="-3"/>
          <w:sz w:val="24"/>
          <w:szCs w:val="24"/>
        </w:rPr>
        <w:t>DSRIP</w:t>
      </w:r>
      <w:r>
        <w:rPr>
          <w:rFonts w:ascii="Times New Roman" w:hAnsi="Times New Roman" w:cs="Times New Roman"/>
          <w:spacing w:val="-6"/>
          <w:sz w:val="24"/>
          <w:szCs w:val="24"/>
        </w:rPr>
        <w:t xml:space="preserve"> </w:t>
      </w:r>
      <w:r>
        <w:rPr>
          <w:rFonts w:ascii="Times New Roman" w:hAnsi="Times New Roman" w:cs="Times New Roman"/>
          <w:sz w:val="24"/>
          <w:szCs w:val="24"/>
        </w:rPr>
        <w:t>funding</w:t>
      </w:r>
      <w:r>
        <w:rPr>
          <w:rFonts w:ascii="Times New Roman" w:hAnsi="Times New Roman" w:cs="Times New Roman"/>
          <w:spacing w:val="-10"/>
          <w:sz w:val="24"/>
          <w:szCs w:val="24"/>
        </w:rPr>
        <w:t xml:space="preserve"> </w:t>
      </w:r>
      <w:r>
        <w:rPr>
          <w:rFonts w:ascii="Times New Roman" w:hAnsi="Times New Roman" w:cs="Times New Roman"/>
          <w:sz w:val="24"/>
          <w:szCs w:val="24"/>
        </w:rPr>
        <w:t>that</w:t>
      </w:r>
      <w:r>
        <w:rPr>
          <w:rFonts w:ascii="Times New Roman" w:hAnsi="Times New Roman" w:cs="Times New Roman"/>
          <w:spacing w:val="-2"/>
          <w:sz w:val="24"/>
          <w:szCs w:val="24"/>
        </w:rPr>
        <w:t xml:space="preserve"> </w:t>
      </w:r>
      <w:r>
        <w:rPr>
          <w:rFonts w:ascii="Times New Roman" w:hAnsi="Times New Roman" w:cs="Times New Roman"/>
          <w:sz w:val="24"/>
          <w:szCs w:val="24"/>
        </w:rPr>
        <w:t>ACOs</w:t>
      </w:r>
      <w:r>
        <w:rPr>
          <w:rFonts w:ascii="Times New Roman" w:hAnsi="Times New Roman" w:cs="Times New Roman"/>
          <w:spacing w:val="-5"/>
          <w:sz w:val="24"/>
          <w:szCs w:val="24"/>
        </w:rPr>
        <w:t xml:space="preserve"> </w:t>
      </w:r>
      <w:r>
        <w:rPr>
          <w:rFonts w:ascii="Times New Roman" w:hAnsi="Times New Roman" w:cs="Times New Roman"/>
          <w:sz w:val="24"/>
          <w:szCs w:val="24"/>
        </w:rPr>
        <w:t>will</w:t>
      </w:r>
      <w:r>
        <w:rPr>
          <w:rFonts w:ascii="Times New Roman" w:hAnsi="Times New Roman" w:cs="Times New Roman"/>
          <w:spacing w:val="-4"/>
          <w:sz w:val="24"/>
          <w:szCs w:val="24"/>
        </w:rPr>
        <w:t xml:space="preserve"> </w:t>
      </w:r>
      <w:r>
        <w:rPr>
          <w:rFonts w:ascii="Times New Roman" w:hAnsi="Times New Roman" w:cs="Times New Roman"/>
          <w:sz w:val="24"/>
          <w:szCs w:val="24"/>
        </w:rPr>
        <w:t>receive</w:t>
      </w:r>
      <w:r>
        <w:rPr>
          <w:rFonts w:ascii="Times New Roman" w:hAnsi="Times New Roman" w:cs="Times New Roman"/>
          <w:spacing w:val="-8"/>
          <w:sz w:val="24"/>
          <w:szCs w:val="24"/>
        </w:rPr>
        <w:t xml:space="preserve"> </w:t>
      </w:r>
      <w:r>
        <w:rPr>
          <w:rFonts w:ascii="Times New Roman" w:hAnsi="Times New Roman" w:cs="Times New Roman"/>
          <w:sz w:val="24"/>
          <w:szCs w:val="24"/>
        </w:rPr>
        <w:t>for</w:t>
      </w:r>
      <w:r>
        <w:rPr>
          <w:rFonts w:ascii="Times New Roman" w:hAnsi="Times New Roman" w:cs="Times New Roman"/>
          <w:spacing w:val="-3"/>
          <w:sz w:val="24"/>
          <w:szCs w:val="24"/>
        </w:rPr>
        <w:t xml:space="preserve"> </w:t>
      </w:r>
      <w:r>
        <w:rPr>
          <w:rFonts w:ascii="Times New Roman" w:hAnsi="Times New Roman" w:cs="Times New Roman"/>
          <w:sz w:val="24"/>
          <w:szCs w:val="24"/>
        </w:rPr>
        <w:t>FSS.</w:t>
      </w:r>
      <w:r>
        <w:rPr>
          <w:rFonts w:ascii="Times New Roman" w:hAnsi="Times New Roman" w:cs="Times New Roman"/>
          <w:spacing w:val="-5"/>
          <w:sz w:val="24"/>
          <w:szCs w:val="24"/>
        </w:rPr>
        <w:t xml:space="preserve"> </w:t>
      </w:r>
      <w:r>
        <w:rPr>
          <w:rFonts w:ascii="Times New Roman" w:hAnsi="Times New Roman" w:cs="Times New Roman"/>
          <w:sz w:val="24"/>
          <w:szCs w:val="24"/>
        </w:rPr>
        <w:t>By</w:t>
      </w:r>
      <w:r>
        <w:rPr>
          <w:rFonts w:ascii="Times New Roman" w:hAnsi="Times New Roman" w:cs="Times New Roman"/>
          <w:spacing w:val="-14"/>
          <w:sz w:val="24"/>
          <w:szCs w:val="24"/>
        </w:rPr>
        <w:t xml:space="preserve"> </w:t>
      </w:r>
      <w:r>
        <w:rPr>
          <w:rFonts w:ascii="Times New Roman" w:hAnsi="Times New Roman" w:cs="Times New Roman"/>
          <w:sz w:val="24"/>
          <w:szCs w:val="24"/>
        </w:rPr>
        <w:t>allowing</w:t>
      </w:r>
      <w:r>
        <w:rPr>
          <w:rFonts w:ascii="Times New Roman" w:hAnsi="Times New Roman" w:cs="Times New Roman"/>
          <w:spacing w:val="-10"/>
          <w:sz w:val="24"/>
          <w:szCs w:val="24"/>
        </w:rPr>
        <w:t xml:space="preserve"> </w:t>
      </w:r>
      <w:r>
        <w:rPr>
          <w:rFonts w:ascii="Times New Roman" w:hAnsi="Times New Roman" w:cs="Times New Roman"/>
          <w:sz w:val="24"/>
          <w:szCs w:val="24"/>
        </w:rPr>
        <w:t>ACOs to better estimate how much funding they will receive for FSS and how that funding will impact their</w:t>
      </w:r>
      <w:r>
        <w:rPr>
          <w:rFonts w:ascii="Times New Roman" w:hAnsi="Times New Roman" w:cs="Times New Roman"/>
          <w:spacing w:val="-6"/>
          <w:sz w:val="24"/>
          <w:szCs w:val="24"/>
        </w:rPr>
        <w:t xml:space="preserve"> </w:t>
      </w:r>
      <w:r>
        <w:rPr>
          <w:rFonts w:ascii="Times New Roman" w:hAnsi="Times New Roman" w:cs="Times New Roman"/>
          <w:sz w:val="24"/>
          <w:szCs w:val="24"/>
        </w:rPr>
        <w:t>overall</w:t>
      </w:r>
      <w:r>
        <w:rPr>
          <w:rFonts w:ascii="Times New Roman" w:hAnsi="Times New Roman" w:cs="Times New Roman"/>
          <w:spacing w:val="-7"/>
          <w:sz w:val="24"/>
          <w:szCs w:val="24"/>
        </w:rPr>
        <w:t xml:space="preserve"> </w:t>
      </w:r>
      <w:r>
        <w:rPr>
          <w:rFonts w:ascii="Times New Roman" w:hAnsi="Times New Roman" w:cs="Times New Roman"/>
          <w:sz w:val="24"/>
          <w:szCs w:val="24"/>
        </w:rPr>
        <w:t>budgets,</w:t>
      </w:r>
      <w:r>
        <w:rPr>
          <w:rFonts w:ascii="Times New Roman" w:hAnsi="Times New Roman" w:cs="Times New Roman"/>
          <w:spacing w:val="-5"/>
          <w:sz w:val="24"/>
          <w:szCs w:val="24"/>
        </w:rPr>
        <w:t xml:space="preserve"> </w:t>
      </w:r>
      <w:r>
        <w:rPr>
          <w:rFonts w:ascii="Times New Roman" w:hAnsi="Times New Roman" w:cs="Times New Roman"/>
          <w:sz w:val="24"/>
          <w:szCs w:val="24"/>
        </w:rPr>
        <w:t>ACOs</w:t>
      </w:r>
      <w:r>
        <w:rPr>
          <w:rFonts w:ascii="Times New Roman" w:hAnsi="Times New Roman" w:cs="Times New Roman"/>
          <w:spacing w:val="-5"/>
          <w:sz w:val="24"/>
          <w:szCs w:val="24"/>
        </w:rPr>
        <w:t xml:space="preserve"> </w:t>
      </w:r>
      <w:r>
        <w:rPr>
          <w:rFonts w:ascii="Times New Roman" w:hAnsi="Times New Roman" w:cs="Times New Roman"/>
          <w:sz w:val="24"/>
          <w:szCs w:val="24"/>
        </w:rPr>
        <w:t>will</w:t>
      </w:r>
      <w:r>
        <w:rPr>
          <w:rFonts w:ascii="Times New Roman" w:hAnsi="Times New Roman" w:cs="Times New Roman"/>
          <w:spacing w:val="-5"/>
          <w:sz w:val="24"/>
          <w:szCs w:val="24"/>
        </w:rPr>
        <w:t xml:space="preserve"> </w:t>
      </w:r>
      <w:r>
        <w:rPr>
          <w:rFonts w:ascii="Times New Roman" w:hAnsi="Times New Roman" w:cs="Times New Roman"/>
          <w:sz w:val="24"/>
          <w:szCs w:val="24"/>
        </w:rPr>
        <w:t>be</w:t>
      </w:r>
      <w:r>
        <w:rPr>
          <w:rFonts w:ascii="Times New Roman" w:hAnsi="Times New Roman" w:cs="Times New Roman"/>
          <w:spacing w:val="-6"/>
          <w:sz w:val="24"/>
          <w:szCs w:val="24"/>
        </w:rPr>
        <w:t xml:space="preserve"> </w:t>
      </w:r>
      <w:r>
        <w:rPr>
          <w:rFonts w:ascii="Times New Roman" w:hAnsi="Times New Roman" w:cs="Times New Roman"/>
          <w:sz w:val="24"/>
          <w:szCs w:val="24"/>
        </w:rPr>
        <w:t>better</w:t>
      </w:r>
      <w:r>
        <w:rPr>
          <w:rFonts w:ascii="Times New Roman" w:hAnsi="Times New Roman" w:cs="Times New Roman"/>
          <w:spacing w:val="-6"/>
          <w:sz w:val="24"/>
          <w:szCs w:val="24"/>
        </w:rPr>
        <w:t xml:space="preserve"> </w:t>
      </w:r>
      <w:r>
        <w:rPr>
          <w:rFonts w:ascii="Times New Roman" w:hAnsi="Times New Roman" w:cs="Times New Roman"/>
          <w:sz w:val="24"/>
          <w:szCs w:val="24"/>
        </w:rPr>
        <w:t>equipped</w:t>
      </w:r>
      <w:r>
        <w:rPr>
          <w:rFonts w:ascii="Times New Roman" w:hAnsi="Times New Roman" w:cs="Times New Roman"/>
          <w:spacing w:val="-5"/>
          <w:sz w:val="24"/>
          <w:szCs w:val="24"/>
        </w:rPr>
        <w:t xml:space="preserve"> </w:t>
      </w:r>
      <w:r>
        <w:rPr>
          <w:rFonts w:ascii="Times New Roman" w:hAnsi="Times New Roman" w:cs="Times New Roman"/>
          <w:sz w:val="24"/>
          <w:szCs w:val="24"/>
        </w:rPr>
        <w:t>to</w:t>
      </w:r>
      <w:r>
        <w:rPr>
          <w:rFonts w:ascii="Times New Roman" w:hAnsi="Times New Roman" w:cs="Times New Roman"/>
          <w:spacing w:val="-5"/>
          <w:sz w:val="24"/>
          <w:szCs w:val="24"/>
        </w:rPr>
        <w:t xml:space="preserve"> </w:t>
      </w:r>
      <w:r>
        <w:rPr>
          <w:rFonts w:ascii="Times New Roman" w:hAnsi="Times New Roman" w:cs="Times New Roman"/>
          <w:sz w:val="24"/>
          <w:szCs w:val="24"/>
        </w:rPr>
        <w:t>begin</w:t>
      </w:r>
      <w:r>
        <w:rPr>
          <w:rFonts w:ascii="Times New Roman" w:hAnsi="Times New Roman" w:cs="Times New Roman"/>
          <w:spacing w:val="-5"/>
          <w:sz w:val="24"/>
          <w:szCs w:val="24"/>
        </w:rPr>
        <w:t xml:space="preserve"> </w:t>
      </w:r>
      <w:r>
        <w:rPr>
          <w:rFonts w:ascii="Times New Roman" w:hAnsi="Times New Roman" w:cs="Times New Roman"/>
          <w:sz w:val="24"/>
          <w:szCs w:val="24"/>
        </w:rPr>
        <w:t>planning</w:t>
      </w:r>
      <w:r>
        <w:rPr>
          <w:rFonts w:ascii="Times New Roman" w:hAnsi="Times New Roman" w:cs="Times New Roman"/>
          <w:spacing w:val="-10"/>
          <w:sz w:val="24"/>
          <w:szCs w:val="24"/>
        </w:rPr>
        <w:t xml:space="preserve"> </w:t>
      </w:r>
      <w:r>
        <w:rPr>
          <w:rFonts w:ascii="Times New Roman" w:hAnsi="Times New Roman" w:cs="Times New Roman"/>
          <w:sz w:val="24"/>
          <w:szCs w:val="24"/>
        </w:rPr>
        <w:t>to</w:t>
      </w:r>
      <w:r>
        <w:rPr>
          <w:rFonts w:ascii="Times New Roman" w:hAnsi="Times New Roman" w:cs="Times New Roman"/>
          <w:spacing w:val="-5"/>
          <w:sz w:val="24"/>
          <w:szCs w:val="24"/>
        </w:rPr>
        <w:t xml:space="preserve"> </w:t>
      </w:r>
      <w:r>
        <w:rPr>
          <w:rFonts w:ascii="Times New Roman" w:hAnsi="Times New Roman" w:cs="Times New Roman"/>
          <w:sz w:val="24"/>
          <w:szCs w:val="24"/>
        </w:rPr>
        <w:t>provide</w:t>
      </w:r>
      <w:r>
        <w:rPr>
          <w:rFonts w:ascii="Times New Roman" w:hAnsi="Times New Roman" w:cs="Times New Roman"/>
          <w:spacing w:val="-6"/>
          <w:sz w:val="24"/>
          <w:szCs w:val="24"/>
        </w:rPr>
        <w:t xml:space="preserve"> </w:t>
      </w:r>
      <w:r>
        <w:rPr>
          <w:rFonts w:ascii="Times New Roman" w:hAnsi="Times New Roman" w:cs="Times New Roman"/>
          <w:sz w:val="24"/>
          <w:szCs w:val="24"/>
        </w:rPr>
        <w:t>FSS.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ListParagraph"/>
        <w:numPr>
          <w:ilvl w:val="0"/>
          <w:numId w:val="76"/>
        </w:numPr>
        <w:tabs>
          <w:tab w:val="left" w:pos="840"/>
        </w:tabs>
        <w:kinsoku w:val="0"/>
        <w:overflowPunct w:val="0"/>
        <w:ind w:hanging="620"/>
        <w:rPr>
          <w:i/>
          <w:iCs/>
        </w:rPr>
      </w:pPr>
      <w:r>
        <w:rPr>
          <w:i/>
          <w:iCs/>
        </w:rPr>
        <w:t>The</w:t>
      </w:r>
      <w:r>
        <w:rPr>
          <w:i/>
          <w:iCs/>
          <w:spacing w:val="-7"/>
        </w:rPr>
        <w:t xml:space="preserve"> </w:t>
      </w:r>
      <w:r>
        <w:rPr>
          <w:i/>
          <w:iCs/>
        </w:rPr>
        <w:t>FSS</w:t>
      </w:r>
      <w:r>
        <w:rPr>
          <w:i/>
          <w:iCs/>
          <w:spacing w:val="-6"/>
        </w:rPr>
        <w:t xml:space="preserve"> </w:t>
      </w:r>
      <w:r>
        <w:rPr>
          <w:i/>
          <w:iCs/>
        </w:rPr>
        <w:t>reporting</w:t>
      </w:r>
      <w:r>
        <w:rPr>
          <w:i/>
          <w:iCs/>
          <w:spacing w:val="-9"/>
        </w:rPr>
        <w:t xml:space="preserve"> </w:t>
      </w:r>
      <w:r>
        <w:rPr>
          <w:i/>
          <w:iCs/>
        </w:rPr>
        <w:t>requirements</w:t>
      </w:r>
      <w:r>
        <w:rPr>
          <w:i/>
          <w:iCs/>
          <w:spacing w:val="-6"/>
        </w:rPr>
        <w:t xml:space="preserve"> </w:t>
      </w:r>
      <w:r>
        <w:rPr>
          <w:i/>
          <w:iCs/>
        </w:rPr>
        <w:t>that</w:t>
      </w:r>
      <w:r>
        <w:rPr>
          <w:i/>
          <w:iCs/>
          <w:spacing w:val="-6"/>
        </w:rPr>
        <w:t xml:space="preserve"> </w:t>
      </w:r>
      <w:r>
        <w:rPr>
          <w:i/>
          <w:iCs/>
        </w:rPr>
        <w:t>ACOs</w:t>
      </w:r>
      <w:r>
        <w:rPr>
          <w:i/>
          <w:iCs/>
          <w:spacing w:val="-6"/>
        </w:rPr>
        <w:t xml:space="preserve"> </w:t>
      </w:r>
      <w:r>
        <w:rPr>
          <w:i/>
          <w:iCs/>
        </w:rPr>
        <w:t>must</w:t>
      </w:r>
      <w:r>
        <w:rPr>
          <w:i/>
          <w:iCs/>
          <w:spacing w:val="-8"/>
        </w:rPr>
        <w:t xml:space="preserve"> </w:t>
      </w:r>
      <w:r>
        <w:rPr>
          <w:i/>
          <w:iCs/>
        </w:rPr>
        <w:t>meet</w:t>
      </w:r>
      <w:r>
        <w:rPr>
          <w:i/>
          <w:iCs/>
          <w:spacing w:val="-6"/>
        </w:rPr>
        <w:t xml:space="preserve"> </w:t>
      </w:r>
      <w:r>
        <w:rPr>
          <w:i/>
          <w:iCs/>
        </w:rPr>
        <w:t>to</w:t>
      </w:r>
      <w:r>
        <w:rPr>
          <w:i/>
          <w:iCs/>
          <w:spacing w:val="-6"/>
        </w:rPr>
        <w:t xml:space="preserve"> </w:t>
      </w:r>
      <w:r>
        <w:rPr>
          <w:i/>
          <w:iCs/>
        </w:rPr>
        <w:t>ensure</w:t>
      </w:r>
      <w:r>
        <w:rPr>
          <w:i/>
          <w:iCs/>
          <w:spacing w:val="-10"/>
        </w:rPr>
        <w:t xml:space="preserve"> </w:t>
      </w:r>
      <w:r>
        <w:rPr>
          <w:i/>
          <w:iCs/>
        </w:rPr>
        <w:t>transparency.</w:t>
      </w:r>
    </w:p>
    <w:p w:rsidR="002C5025" w:rsidRDefault="002C5025">
      <w:pPr>
        <w:pStyle w:val="BodyText"/>
        <w:kinsoku w:val="0"/>
        <w:overflowPunct w:val="0"/>
        <w:rPr>
          <w:rFonts w:ascii="Times New Roman" w:hAnsi="Times New Roman" w:cs="Times New Roman"/>
          <w:i/>
          <w:iCs/>
          <w:sz w:val="24"/>
          <w:szCs w:val="24"/>
        </w:rPr>
      </w:pPr>
    </w:p>
    <w:p w:rsidR="002C5025" w:rsidRDefault="002C5025">
      <w:pPr>
        <w:pStyle w:val="BodyText"/>
        <w:kinsoku w:val="0"/>
        <w:overflowPunct w:val="0"/>
        <w:ind w:left="119" w:right="109"/>
        <w:jc w:val="both"/>
        <w:rPr>
          <w:rFonts w:ascii="Times New Roman" w:hAnsi="Times New Roman" w:cs="Times New Roman"/>
          <w:sz w:val="24"/>
          <w:szCs w:val="24"/>
        </w:rPr>
      </w:pPr>
      <w:r>
        <w:rPr>
          <w:rFonts w:ascii="Times New Roman" w:hAnsi="Times New Roman" w:cs="Times New Roman"/>
          <w:sz w:val="24"/>
          <w:szCs w:val="24"/>
        </w:rPr>
        <w:t>Lastly, it would be beneficial for EOHHS to establish transparency requirements regarding FSS funds. Specifically we recommend that EOHHS require each ACO to produce an annual public report describing how they determined their members’ social services needs and how they are allocated FSS funds to meet those needs. By doing so, EOHHS can create greater oversight of</w:t>
      </w:r>
      <w:r>
        <w:rPr>
          <w:rFonts w:ascii="Times New Roman" w:hAnsi="Times New Roman" w:cs="Times New Roman"/>
          <w:spacing w:val="-38"/>
          <w:sz w:val="24"/>
          <w:szCs w:val="24"/>
        </w:rPr>
        <w:t xml:space="preserve"> </w:t>
      </w:r>
      <w:r>
        <w:rPr>
          <w:rFonts w:ascii="Times New Roman" w:hAnsi="Times New Roman" w:cs="Times New Roman"/>
          <w:sz w:val="24"/>
          <w:szCs w:val="24"/>
        </w:rPr>
        <w:t>the FSS</w:t>
      </w:r>
      <w:r>
        <w:rPr>
          <w:rFonts w:ascii="Times New Roman" w:hAnsi="Times New Roman" w:cs="Times New Roman"/>
          <w:spacing w:val="-5"/>
          <w:sz w:val="24"/>
          <w:szCs w:val="24"/>
        </w:rPr>
        <w:t xml:space="preserve"> </w:t>
      </w:r>
      <w:r>
        <w:rPr>
          <w:rFonts w:ascii="Times New Roman" w:hAnsi="Times New Roman" w:cs="Times New Roman"/>
          <w:sz w:val="24"/>
          <w:szCs w:val="24"/>
        </w:rPr>
        <w:t>program</w:t>
      </w:r>
      <w:r>
        <w:rPr>
          <w:rFonts w:ascii="Times New Roman" w:hAnsi="Times New Roman" w:cs="Times New Roman"/>
          <w:spacing w:val="-3"/>
          <w:sz w:val="24"/>
          <w:szCs w:val="24"/>
        </w:rPr>
        <w:t xml:space="preserve"> </w:t>
      </w:r>
      <w:r>
        <w:rPr>
          <w:rFonts w:ascii="Times New Roman" w:hAnsi="Times New Roman" w:cs="Times New Roman"/>
          <w:sz w:val="24"/>
          <w:szCs w:val="24"/>
        </w:rPr>
        <w:t>and</w:t>
      </w:r>
      <w:r>
        <w:rPr>
          <w:rFonts w:ascii="Times New Roman" w:hAnsi="Times New Roman" w:cs="Times New Roman"/>
          <w:spacing w:val="-3"/>
          <w:sz w:val="24"/>
          <w:szCs w:val="24"/>
        </w:rPr>
        <w:t xml:space="preserve"> </w:t>
      </w:r>
      <w:r>
        <w:rPr>
          <w:rFonts w:ascii="Times New Roman" w:hAnsi="Times New Roman" w:cs="Times New Roman"/>
          <w:sz w:val="24"/>
          <w:szCs w:val="24"/>
        </w:rPr>
        <w:t>motivate</w:t>
      </w:r>
      <w:r>
        <w:rPr>
          <w:rFonts w:ascii="Times New Roman" w:hAnsi="Times New Roman" w:cs="Times New Roman"/>
          <w:spacing w:val="-4"/>
          <w:sz w:val="24"/>
          <w:szCs w:val="24"/>
        </w:rPr>
        <w:t xml:space="preserve"> </w:t>
      </w:r>
      <w:r>
        <w:rPr>
          <w:rFonts w:ascii="Times New Roman" w:hAnsi="Times New Roman" w:cs="Times New Roman"/>
          <w:sz w:val="24"/>
          <w:szCs w:val="24"/>
        </w:rPr>
        <w:t>ACOs</w:t>
      </w:r>
      <w:r>
        <w:rPr>
          <w:rFonts w:ascii="Times New Roman" w:hAnsi="Times New Roman" w:cs="Times New Roman"/>
          <w:spacing w:val="-6"/>
          <w:sz w:val="24"/>
          <w:szCs w:val="24"/>
        </w:rPr>
        <w:t xml:space="preserve"> </w:t>
      </w:r>
      <w:r>
        <w:rPr>
          <w:rFonts w:ascii="Times New Roman" w:hAnsi="Times New Roman" w:cs="Times New Roman"/>
          <w:sz w:val="24"/>
          <w:szCs w:val="24"/>
        </w:rPr>
        <w:t>to</w:t>
      </w:r>
      <w:r>
        <w:rPr>
          <w:rFonts w:ascii="Times New Roman" w:hAnsi="Times New Roman" w:cs="Times New Roman"/>
          <w:spacing w:val="-3"/>
          <w:sz w:val="24"/>
          <w:szCs w:val="24"/>
        </w:rPr>
        <w:t xml:space="preserve"> </w:t>
      </w:r>
      <w:r>
        <w:rPr>
          <w:rFonts w:ascii="Times New Roman" w:hAnsi="Times New Roman" w:cs="Times New Roman"/>
          <w:sz w:val="24"/>
          <w:szCs w:val="24"/>
        </w:rPr>
        <w:t>carefully</w:t>
      </w:r>
      <w:r>
        <w:rPr>
          <w:rFonts w:ascii="Times New Roman" w:hAnsi="Times New Roman" w:cs="Times New Roman"/>
          <w:spacing w:val="-13"/>
          <w:sz w:val="24"/>
          <w:szCs w:val="24"/>
        </w:rPr>
        <w:t xml:space="preserve"> </w:t>
      </w:r>
      <w:r>
        <w:rPr>
          <w:rFonts w:ascii="Times New Roman" w:hAnsi="Times New Roman" w:cs="Times New Roman"/>
          <w:sz w:val="24"/>
          <w:szCs w:val="24"/>
        </w:rPr>
        <w:t>tailor</w:t>
      </w:r>
      <w:r>
        <w:rPr>
          <w:rFonts w:ascii="Times New Roman" w:hAnsi="Times New Roman" w:cs="Times New Roman"/>
          <w:spacing w:val="-4"/>
          <w:sz w:val="24"/>
          <w:szCs w:val="24"/>
        </w:rPr>
        <w:t xml:space="preserve"> </w:t>
      </w:r>
      <w:r>
        <w:rPr>
          <w:rFonts w:ascii="Times New Roman" w:hAnsi="Times New Roman" w:cs="Times New Roman"/>
          <w:sz w:val="24"/>
          <w:szCs w:val="24"/>
        </w:rPr>
        <w:t>FSS</w:t>
      </w:r>
      <w:r>
        <w:rPr>
          <w:rFonts w:ascii="Times New Roman" w:hAnsi="Times New Roman" w:cs="Times New Roman"/>
          <w:spacing w:val="-3"/>
          <w:sz w:val="24"/>
          <w:szCs w:val="24"/>
        </w:rPr>
        <w:t xml:space="preserve"> </w:t>
      </w:r>
      <w:r>
        <w:rPr>
          <w:rFonts w:ascii="Times New Roman" w:hAnsi="Times New Roman" w:cs="Times New Roman"/>
          <w:sz w:val="24"/>
          <w:szCs w:val="24"/>
        </w:rPr>
        <w:t>funds</w:t>
      </w:r>
      <w:r>
        <w:rPr>
          <w:rFonts w:ascii="Times New Roman" w:hAnsi="Times New Roman" w:cs="Times New Roman"/>
          <w:spacing w:val="-3"/>
          <w:sz w:val="24"/>
          <w:szCs w:val="24"/>
        </w:rPr>
        <w:t xml:space="preserve"> </w:t>
      </w:r>
      <w:r>
        <w:rPr>
          <w:rFonts w:ascii="Times New Roman" w:hAnsi="Times New Roman" w:cs="Times New Roman"/>
          <w:sz w:val="24"/>
          <w:szCs w:val="24"/>
        </w:rPr>
        <w:t>to</w:t>
      </w:r>
      <w:r>
        <w:rPr>
          <w:rFonts w:ascii="Times New Roman" w:hAnsi="Times New Roman" w:cs="Times New Roman"/>
          <w:spacing w:val="-3"/>
          <w:sz w:val="24"/>
          <w:szCs w:val="24"/>
        </w:rPr>
        <w:t xml:space="preserve"> </w:t>
      </w:r>
      <w:r>
        <w:rPr>
          <w:rFonts w:ascii="Times New Roman" w:hAnsi="Times New Roman" w:cs="Times New Roman"/>
          <w:sz w:val="24"/>
          <w:szCs w:val="24"/>
        </w:rPr>
        <w:t>member</w:t>
      </w:r>
      <w:r>
        <w:rPr>
          <w:rFonts w:ascii="Times New Roman" w:hAnsi="Times New Roman" w:cs="Times New Roman"/>
          <w:spacing w:val="-7"/>
          <w:sz w:val="24"/>
          <w:szCs w:val="24"/>
        </w:rPr>
        <w:t xml:space="preserve"> </w:t>
      </w:r>
      <w:r>
        <w:rPr>
          <w:rFonts w:ascii="Times New Roman" w:hAnsi="Times New Roman" w:cs="Times New Roman"/>
          <w:sz w:val="24"/>
          <w:szCs w:val="24"/>
        </w:rPr>
        <w:t>needs.</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192"/>
        <w:ind w:left="4"/>
        <w:jc w:val="center"/>
        <w:rPr>
          <w:rFonts w:ascii="Times New Roman" w:hAnsi="Times New Roman" w:cs="Times New Roman"/>
        </w:rPr>
      </w:pPr>
      <w:r>
        <w:rPr>
          <w:rFonts w:ascii="Times New Roman" w:hAnsi="Times New Roman" w:cs="Times New Roman"/>
        </w:rPr>
        <w:t>4</w:t>
      </w:r>
    </w:p>
    <w:p w:rsidR="002C5025" w:rsidRDefault="002C5025">
      <w:pPr>
        <w:pStyle w:val="BodyText"/>
        <w:kinsoku w:val="0"/>
        <w:overflowPunct w:val="0"/>
        <w:spacing w:before="192"/>
        <w:ind w:left="4"/>
        <w:jc w:val="center"/>
        <w:rPr>
          <w:rFonts w:ascii="Times New Roman" w:hAnsi="Times New Roman" w:cs="Times New Roman"/>
        </w:rPr>
        <w:sectPr w:rsidR="002C5025">
          <w:pgSz w:w="12240" w:h="15840"/>
          <w:pgMar w:top="1500" w:right="1320" w:bottom="280" w:left="1320" w:header="720" w:footer="720" w:gutter="0"/>
          <w:cols w:space="720"/>
          <w:noEndnote/>
        </w:sectPr>
      </w:pPr>
    </w:p>
    <w:p w:rsidR="002C5025" w:rsidRDefault="002C5025">
      <w:pPr>
        <w:pStyle w:val="BodyText"/>
        <w:kinsoku w:val="0"/>
        <w:overflowPunct w:val="0"/>
        <w:spacing w:before="7"/>
        <w:rPr>
          <w:rFonts w:ascii="Times New Roman" w:hAnsi="Times New Roman" w:cs="Times New Roman"/>
          <w:sz w:val="11"/>
          <w:szCs w:val="11"/>
        </w:rPr>
      </w:pPr>
    </w:p>
    <w:p w:rsidR="002C5025" w:rsidRDefault="002C5025">
      <w:pPr>
        <w:pStyle w:val="BodyText"/>
        <w:numPr>
          <w:ilvl w:val="0"/>
          <w:numId w:val="15"/>
        </w:numPr>
        <w:tabs>
          <w:tab w:val="left" w:pos="840"/>
        </w:tabs>
        <w:kinsoku w:val="0"/>
        <w:overflowPunct w:val="0"/>
        <w:spacing w:before="69"/>
        <w:ind w:right="170"/>
        <w:rPr>
          <w:rFonts w:ascii="Times New Roman" w:hAnsi="Times New Roman" w:cs="Times New Roman"/>
          <w:b/>
          <w:bCs/>
          <w:sz w:val="24"/>
          <w:szCs w:val="24"/>
        </w:rPr>
      </w:pPr>
      <w:bookmarkStart w:id="80" w:name="3._Emphasize__the__role__of__food__and__"/>
      <w:bookmarkEnd w:id="80"/>
      <w:r>
        <w:rPr>
          <w:rFonts w:ascii="Times New Roman" w:hAnsi="Times New Roman" w:cs="Times New Roman"/>
          <w:b/>
          <w:bCs/>
          <w:sz w:val="24"/>
          <w:szCs w:val="24"/>
        </w:rPr>
        <w:t xml:space="preserve">Emphasize the role of food and nutrition services in helping individuals </w:t>
      </w:r>
      <w:r>
        <w:rPr>
          <w:rFonts w:ascii="Times New Roman" w:hAnsi="Times New Roman" w:cs="Times New Roman"/>
          <w:b/>
          <w:bCs/>
          <w:spacing w:val="-3"/>
          <w:sz w:val="24"/>
          <w:szCs w:val="24"/>
        </w:rPr>
        <w:t xml:space="preserve">with </w:t>
      </w:r>
      <w:r>
        <w:rPr>
          <w:rFonts w:ascii="Times New Roman" w:hAnsi="Times New Roman" w:cs="Times New Roman"/>
          <w:b/>
          <w:bCs/>
          <w:sz w:val="24"/>
          <w:szCs w:val="24"/>
        </w:rPr>
        <w:t>substance</w:t>
      </w:r>
      <w:r>
        <w:rPr>
          <w:rFonts w:ascii="Times New Roman" w:hAnsi="Times New Roman" w:cs="Times New Roman"/>
          <w:b/>
          <w:bCs/>
          <w:spacing w:val="-9"/>
          <w:sz w:val="24"/>
          <w:szCs w:val="24"/>
        </w:rPr>
        <w:t xml:space="preserve"> </w:t>
      </w:r>
      <w:r>
        <w:rPr>
          <w:rFonts w:ascii="Times New Roman" w:hAnsi="Times New Roman" w:cs="Times New Roman"/>
          <w:b/>
          <w:bCs/>
          <w:sz w:val="24"/>
          <w:szCs w:val="24"/>
        </w:rPr>
        <w:t>use</w:t>
      </w:r>
      <w:r>
        <w:rPr>
          <w:rFonts w:ascii="Times New Roman" w:hAnsi="Times New Roman" w:cs="Times New Roman"/>
          <w:b/>
          <w:bCs/>
          <w:spacing w:val="-12"/>
          <w:sz w:val="24"/>
          <w:szCs w:val="24"/>
        </w:rPr>
        <w:t xml:space="preserve"> </w:t>
      </w:r>
      <w:r>
        <w:rPr>
          <w:rFonts w:ascii="Times New Roman" w:hAnsi="Times New Roman" w:cs="Times New Roman"/>
          <w:b/>
          <w:bCs/>
          <w:sz w:val="24"/>
          <w:szCs w:val="24"/>
        </w:rPr>
        <w:t>disorders</w:t>
      </w:r>
      <w:r>
        <w:rPr>
          <w:rFonts w:ascii="Times New Roman" w:hAnsi="Times New Roman" w:cs="Times New Roman"/>
          <w:b/>
          <w:bCs/>
          <w:spacing w:val="-11"/>
          <w:sz w:val="24"/>
          <w:szCs w:val="24"/>
        </w:rPr>
        <w:t xml:space="preserve"> </w:t>
      </w:r>
      <w:r>
        <w:rPr>
          <w:rFonts w:ascii="Times New Roman" w:hAnsi="Times New Roman" w:cs="Times New Roman"/>
          <w:b/>
          <w:bCs/>
          <w:sz w:val="24"/>
          <w:szCs w:val="24"/>
        </w:rPr>
        <w:t>recover</w:t>
      </w:r>
      <w:r>
        <w:rPr>
          <w:rFonts w:ascii="Times New Roman" w:hAnsi="Times New Roman" w:cs="Times New Roman"/>
          <w:b/>
          <w:bCs/>
          <w:spacing w:val="-9"/>
          <w:sz w:val="24"/>
          <w:szCs w:val="24"/>
        </w:rPr>
        <w:t xml:space="preserve"> </w:t>
      </w:r>
      <w:r>
        <w:rPr>
          <w:rFonts w:ascii="Times New Roman" w:hAnsi="Times New Roman" w:cs="Times New Roman"/>
          <w:b/>
          <w:bCs/>
          <w:sz w:val="24"/>
          <w:szCs w:val="24"/>
        </w:rPr>
        <w:t>and</w:t>
      </w:r>
      <w:r>
        <w:rPr>
          <w:rFonts w:ascii="Times New Roman" w:hAnsi="Times New Roman" w:cs="Times New Roman"/>
          <w:b/>
          <w:bCs/>
          <w:spacing w:val="-6"/>
          <w:sz w:val="24"/>
          <w:szCs w:val="24"/>
        </w:rPr>
        <w:t xml:space="preserve"> </w:t>
      </w:r>
      <w:r>
        <w:rPr>
          <w:rFonts w:ascii="Times New Roman" w:hAnsi="Times New Roman" w:cs="Times New Roman"/>
          <w:b/>
          <w:bCs/>
          <w:sz w:val="24"/>
          <w:szCs w:val="24"/>
        </w:rPr>
        <w:t>maintain</w:t>
      </w:r>
      <w:r>
        <w:rPr>
          <w:rFonts w:ascii="Times New Roman" w:hAnsi="Times New Roman" w:cs="Times New Roman"/>
          <w:b/>
          <w:bCs/>
          <w:spacing w:val="-10"/>
          <w:sz w:val="24"/>
          <w:szCs w:val="24"/>
        </w:rPr>
        <w:t xml:space="preserve"> </w:t>
      </w:r>
      <w:r>
        <w:rPr>
          <w:rFonts w:ascii="Times New Roman" w:hAnsi="Times New Roman" w:cs="Times New Roman"/>
          <w:b/>
          <w:bCs/>
          <w:sz w:val="24"/>
          <w:szCs w:val="24"/>
        </w:rPr>
        <w:t>long-term</w:t>
      </w:r>
      <w:r>
        <w:rPr>
          <w:rFonts w:ascii="Times New Roman" w:hAnsi="Times New Roman" w:cs="Times New Roman"/>
          <w:b/>
          <w:bCs/>
          <w:spacing w:val="-15"/>
          <w:sz w:val="24"/>
          <w:szCs w:val="24"/>
        </w:rPr>
        <w:t xml:space="preserve"> </w:t>
      </w:r>
      <w:r>
        <w:rPr>
          <w:rFonts w:ascii="Times New Roman" w:hAnsi="Times New Roman" w:cs="Times New Roman"/>
          <w:b/>
          <w:bCs/>
          <w:sz w:val="24"/>
          <w:szCs w:val="24"/>
        </w:rPr>
        <w:t>abstinence.</w:t>
      </w:r>
    </w:p>
    <w:p w:rsidR="002C5025" w:rsidRDefault="002C5025">
      <w:pPr>
        <w:pStyle w:val="BodyText"/>
        <w:kinsoku w:val="0"/>
        <w:overflowPunct w:val="0"/>
        <w:spacing w:before="1"/>
        <w:rPr>
          <w:rFonts w:ascii="Times New Roman" w:hAnsi="Times New Roman" w:cs="Times New Roman"/>
          <w:b/>
          <w:bCs/>
          <w:sz w:val="23"/>
          <w:szCs w:val="23"/>
        </w:rPr>
      </w:pPr>
    </w:p>
    <w:p w:rsidR="002C5025" w:rsidRDefault="002C5025">
      <w:pPr>
        <w:pStyle w:val="BodyText"/>
        <w:kinsoku w:val="0"/>
        <w:overflowPunct w:val="0"/>
        <w:spacing w:before="1"/>
        <w:ind w:left="120" w:right="110"/>
        <w:jc w:val="both"/>
        <w:rPr>
          <w:rFonts w:ascii="Times New Roman" w:hAnsi="Times New Roman" w:cs="Times New Roman"/>
          <w:sz w:val="24"/>
          <w:szCs w:val="24"/>
        </w:rPr>
      </w:pPr>
      <w:r>
        <w:rPr>
          <w:rFonts w:ascii="Times New Roman" w:hAnsi="Times New Roman" w:cs="Times New Roman"/>
          <w:spacing w:val="-3"/>
          <w:sz w:val="24"/>
          <w:szCs w:val="24"/>
        </w:rPr>
        <w:t xml:space="preserve">In </w:t>
      </w:r>
      <w:r>
        <w:rPr>
          <w:rFonts w:ascii="Times New Roman" w:hAnsi="Times New Roman" w:cs="Times New Roman"/>
          <w:sz w:val="24"/>
          <w:szCs w:val="24"/>
        </w:rPr>
        <w:t>the Request, EOHHS demonstrates a strong commitment to enhancing services for people coping with substance use disorders (SUDs). We applaud EOHHS for its efforts to better address SUDs and ask EOHHS to encourage ACOs to consider including food and nutrition interventions as a critical facet of their SUD strategies. Food insecurity among individuals with SUDs leads to poor health outcomes from both individual and public health perspectives (see studies cited below). As a result, food and nutrition services can help these individuals to recover and</w:t>
      </w:r>
      <w:r>
        <w:rPr>
          <w:rFonts w:ascii="Times New Roman" w:hAnsi="Times New Roman" w:cs="Times New Roman"/>
          <w:spacing w:val="-32"/>
          <w:sz w:val="24"/>
          <w:szCs w:val="24"/>
        </w:rPr>
        <w:t xml:space="preserve"> </w:t>
      </w:r>
      <w:r>
        <w:rPr>
          <w:rFonts w:ascii="Times New Roman" w:hAnsi="Times New Roman" w:cs="Times New Roman"/>
          <w:sz w:val="24"/>
          <w:szCs w:val="24"/>
        </w:rPr>
        <w:t>maintain long-term</w:t>
      </w:r>
      <w:r>
        <w:rPr>
          <w:rFonts w:ascii="Times New Roman" w:hAnsi="Times New Roman" w:cs="Times New Roman"/>
          <w:spacing w:val="-24"/>
          <w:sz w:val="24"/>
          <w:szCs w:val="24"/>
        </w:rPr>
        <w:t xml:space="preserve"> </w:t>
      </w:r>
      <w:r>
        <w:rPr>
          <w:rFonts w:ascii="Times New Roman" w:hAnsi="Times New Roman" w:cs="Times New Roman"/>
          <w:sz w:val="24"/>
          <w:szCs w:val="24"/>
        </w:rPr>
        <w:t>abstinence.</w:t>
      </w:r>
    </w:p>
    <w:p w:rsidR="002C5025" w:rsidRDefault="002C5025">
      <w:pPr>
        <w:pStyle w:val="BodyText"/>
        <w:kinsoku w:val="0"/>
        <w:overflowPunct w:val="0"/>
        <w:spacing w:before="9"/>
        <w:rPr>
          <w:rFonts w:ascii="Times New Roman" w:hAnsi="Times New Roman" w:cs="Times New Roman"/>
        </w:rPr>
      </w:pPr>
    </w:p>
    <w:p w:rsidR="002C5025" w:rsidRDefault="002C5025">
      <w:pPr>
        <w:pStyle w:val="BodyText"/>
        <w:kinsoku w:val="0"/>
        <w:overflowPunct w:val="0"/>
        <w:spacing w:line="230" w:lineRule="auto"/>
        <w:ind w:left="119" w:right="107"/>
        <w:jc w:val="both"/>
        <w:rPr>
          <w:rFonts w:ascii="Times New Roman" w:hAnsi="Times New Roman" w:cs="Times New Roman"/>
          <w:position w:val="9"/>
          <w:sz w:val="16"/>
          <w:szCs w:val="16"/>
        </w:rPr>
      </w:pPr>
      <w:r>
        <w:rPr>
          <w:rFonts w:ascii="Times New Roman" w:hAnsi="Times New Roman" w:cs="Times New Roman"/>
          <w:sz w:val="24"/>
          <w:szCs w:val="24"/>
        </w:rPr>
        <w:t>From a nutritional standpoint, individuals with SUDs are more likely to be food insecure.</w:t>
      </w:r>
      <w:r>
        <w:rPr>
          <w:rFonts w:ascii="Times New Roman" w:hAnsi="Times New Roman" w:cs="Times New Roman"/>
          <w:position w:val="9"/>
          <w:sz w:val="16"/>
          <w:szCs w:val="16"/>
        </w:rPr>
        <w:t xml:space="preserve">6 </w:t>
      </w:r>
      <w:r>
        <w:rPr>
          <w:rFonts w:ascii="Times New Roman" w:hAnsi="Times New Roman" w:cs="Times New Roman"/>
          <w:sz w:val="24"/>
          <w:szCs w:val="24"/>
        </w:rPr>
        <w:t>Food insecurity for these individuals tends to become “increasingly severe.”</w:t>
      </w:r>
      <w:r>
        <w:rPr>
          <w:rFonts w:ascii="Times New Roman" w:hAnsi="Times New Roman" w:cs="Times New Roman"/>
          <w:position w:val="9"/>
          <w:sz w:val="16"/>
          <w:szCs w:val="16"/>
        </w:rPr>
        <w:t xml:space="preserve">7 </w:t>
      </w:r>
      <w:r>
        <w:rPr>
          <w:rFonts w:ascii="Times New Roman" w:hAnsi="Times New Roman" w:cs="Times New Roman"/>
          <w:sz w:val="24"/>
          <w:szCs w:val="24"/>
        </w:rPr>
        <w:t>While individuals with SUDs have a greater risk of malnutrition, the risk is greatest for injection drug users.</w:t>
      </w:r>
      <w:r>
        <w:rPr>
          <w:rFonts w:ascii="Times New Roman" w:hAnsi="Times New Roman" w:cs="Times New Roman"/>
          <w:position w:val="9"/>
          <w:sz w:val="16"/>
          <w:szCs w:val="16"/>
        </w:rPr>
        <w:t xml:space="preserve">8 </w:t>
      </w:r>
      <w:r>
        <w:rPr>
          <w:rFonts w:ascii="Times New Roman" w:hAnsi="Times New Roman" w:cs="Times New Roman"/>
          <w:sz w:val="24"/>
          <w:szCs w:val="24"/>
        </w:rPr>
        <w:t>Vitamin deficiencies experienced by people with SUDs as a result of food insecurity can lead to negative emotions such as “apathy, anxiety, irritability, and depression.”</w:t>
      </w:r>
      <w:r>
        <w:rPr>
          <w:rFonts w:ascii="Times New Roman" w:hAnsi="Times New Roman" w:cs="Times New Roman"/>
          <w:position w:val="9"/>
          <w:sz w:val="16"/>
          <w:szCs w:val="16"/>
        </w:rPr>
        <w:t>9</w:t>
      </w:r>
    </w:p>
    <w:p w:rsidR="002C5025" w:rsidRDefault="002C5025">
      <w:pPr>
        <w:pStyle w:val="BodyText"/>
        <w:kinsoku w:val="0"/>
        <w:overflowPunct w:val="0"/>
        <w:spacing w:before="10"/>
        <w:rPr>
          <w:rFonts w:ascii="Times New Roman" w:hAnsi="Times New Roman" w:cs="Times New Roman"/>
          <w:sz w:val="23"/>
          <w:szCs w:val="23"/>
        </w:rPr>
      </w:pPr>
    </w:p>
    <w:p w:rsidR="002C5025" w:rsidRDefault="002C5025">
      <w:pPr>
        <w:pStyle w:val="BodyText"/>
        <w:kinsoku w:val="0"/>
        <w:overflowPunct w:val="0"/>
        <w:spacing w:before="1" w:line="235" w:lineRule="auto"/>
        <w:ind w:left="119" w:right="112"/>
        <w:jc w:val="both"/>
        <w:rPr>
          <w:rFonts w:ascii="Times New Roman" w:hAnsi="Times New Roman" w:cs="Times New Roman"/>
          <w:sz w:val="24"/>
          <w:szCs w:val="24"/>
        </w:rPr>
      </w:pPr>
      <w:r>
        <w:rPr>
          <w:rFonts w:ascii="Times New Roman" w:hAnsi="Times New Roman" w:cs="Times New Roman"/>
          <w:spacing w:val="-3"/>
          <w:sz w:val="24"/>
          <w:szCs w:val="24"/>
        </w:rPr>
        <w:t xml:space="preserve">In </w:t>
      </w:r>
      <w:r>
        <w:rPr>
          <w:rFonts w:ascii="Times New Roman" w:hAnsi="Times New Roman" w:cs="Times New Roman"/>
          <w:sz w:val="24"/>
          <w:szCs w:val="24"/>
        </w:rPr>
        <w:t>addition, because individuals with SUDs who are food insecure tend to make riskier choices, food</w:t>
      </w:r>
      <w:r>
        <w:rPr>
          <w:rFonts w:ascii="Times New Roman" w:hAnsi="Times New Roman" w:cs="Times New Roman"/>
          <w:spacing w:val="-6"/>
          <w:sz w:val="24"/>
          <w:szCs w:val="24"/>
        </w:rPr>
        <w:t xml:space="preserve"> </w:t>
      </w:r>
      <w:r>
        <w:rPr>
          <w:rFonts w:ascii="Times New Roman" w:hAnsi="Times New Roman" w:cs="Times New Roman"/>
          <w:sz w:val="24"/>
          <w:szCs w:val="24"/>
        </w:rPr>
        <w:t>insecurity</w:t>
      </w:r>
      <w:r>
        <w:rPr>
          <w:rFonts w:ascii="Times New Roman" w:hAnsi="Times New Roman" w:cs="Times New Roman"/>
          <w:spacing w:val="-13"/>
          <w:sz w:val="24"/>
          <w:szCs w:val="24"/>
        </w:rPr>
        <w:t xml:space="preserve"> </w:t>
      </w:r>
      <w:r>
        <w:rPr>
          <w:rFonts w:ascii="Times New Roman" w:hAnsi="Times New Roman" w:cs="Times New Roman"/>
          <w:sz w:val="24"/>
          <w:szCs w:val="24"/>
        </w:rPr>
        <w:t>also</w:t>
      </w:r>
      <w:r>
        <w:rPr>
          <w:rFonts w:ascii="Times New Roman" w:hAnsi="Times New Roman" w:cs="Times New Roman"/>
          <w:spacing w:val="-6"/>
          <w:sz w:val="24"/>
          <w:szCs w:val="24"/>
        </w:rPr>
        <w:t xml:space="preserve"> </w:t>
      </w:r>
      <w:r>
        <w:rPr>
          <w:rFonts w:ascii="Times New Roman" w:hAnsi="Times New Roman" w:cs="Times New Roman"/>
          <w:sz w:val="24"/>
          <w:szCs w:val="24"/>
        </w:rPr>
        <w:t>impacts</w:t>
      </w:r>
      <w:r>
        <w:rPr>
          <w:rFonts w:ascii="Times New Roman" w:hAnsi="Times New Roman" w:cs="Times New Roman"/>
          <w:spacing w:val="-6"/>
          <w:sz w:val="24"/>
          <w:szCs w:val="24"/>
        </w:rPr>
        <w:t xml:space="preserve"> </w:t>
      </w:r>
      <w:r>
        <w:rPr>
          <w:rFonts w:ascii="Times New Roman" w:hAnsi="Times New Roman" w:cs="Times New Roman"/>
          <w:sz w:val="24"/>
          <w:szCs w:val="24"/>
        </w:rPr>
        <w:t>the</w:t>
      </w:r>
      <w:r>
        <w:rPr>
          <w:rFonts w:ascii="Times New Roman" w:hAnsi="Times New Roman" w:cs="Times New Roman"/>
          <w:spacing w:val="-7"/>
          <w:sz w:val="24"/>
          <w:szCs w:val="24"/>
        </w:rPr>
        <w:t xml:space="preserve"> </w:t>
      </w:r>
      <w:r>
        <w:rPr>
          <w:rFonts w:ascii="Times New Roman" w:hAnsi="Times New Roman" w:cs="Times New Roman"/>
          <w:sz w:val="24"/>
          <w:szCs w:val="24"/>
        </w:rPr>
        <w:t>public</w:t>
      </w:r>
      <w:r>
        <w:rPr>
          <w:rFonts w:ascii="Times New Roman" w:hAnsi="Times New Roman" w:cs="Times New Roman"/>
          <w:spacing w:val="-7"/>
          <w:sz w:val="24"/>
          <w:szCs w:val="24"/>
        </w:rPr>
        <w:t xml:space="preserve"> </w:t>
      </w:r>
      <w:r>
        <w:rPr>
          <w:rFonts w:ascii="Times New Roman" w:hAnsi="Times New Roman" w:cs="Times New Roman"/>
          <w:sz w:val="24"/>
          <w:szCs w:val="24"/>
        </w:rPr>
        <w:t>health.</w:t>
      </w:r>
      <w:r>
        <w:rPr>
          <w:rFonts w:ascii="Times New Roman" w:hAnsi="Times New Roman" w:cs="Times New Roman"/>
          <w:spacing w:val="-6"/>
          <w:sz w:val="24"/>
          <w:szCs w:val="24"/>
        </w:rPr>
        <w:t xml:space="preserve"> </w:t>
      </w:r>
      <w:r>
        <w:rPr>
          <w:rFonts w:ascii="Times New Roman" w:hAnsi="Times New Roman" w:cs="Times New Roman"/>
          <w:sz w:val="24"/>
          <w:szCs w:val="24"/>
        </w:rPr>
        <w:t>Several</w:t>
      </w:r>
      <w:r>
        <w:rPr>
          <w:rFonts w:ascii="Times New Roman" w:hAnsi="Times New Roman" w:cs="Times New Roman"/>
          <w:spacing w:val="-5"/>
          <w:sz w:val="24"/>
          <w:szCs w:val="24"/>
        </w:rPr>
        <w:t xml:space="preserve"> </w:t>
      </w:r>
      <w:r>
        <w:rPr>
          <w:rFonts w:ascii="Times New Roman" w:hAnsi="Times New Roman" w:cs="Times New Roman"/>
          <w:sz w:val="24"/>
          <w:szCs w:val="24"/>
        </w:rPr>
        <w:t>studies</w:t>
      </w:r>
      <w:r>
        <w:rPr>
          <w:rFonts w:ascii="Times New Roman" w:hAnsi="Times New Roman" w:cs="Times New Roman"/>
          <w:spacing w:val="-6"/>
          <w:sz w:val="24"/>
          <w:szCs w:val="24"/>
        </w:rPr>
        <w:t xml:space="preserve"> </w:t>
      </w:r>
      <w:r>
        <w:rPr>
          <w:rFonts w:ascii="Times New Roman" w:hAnsi="Times New Roman" w:cs="Times New Roman"/>
          <w:sz w:val="24"/>
          <w:szCs w:val="24"/>
        </w:rPr>
        <w:t>indicate</w:t>
      </w:r>
      <w:r>
        <w:rPr>
          <w:rFonts w:ascii="Times New Roman" w:hAnsi="Times New Roman" w:cs="Times New Roman"/>
          <w:spacing w:val="-7"/>
          <w:sz w:val="24"/>
          <w:szCs w:val="24"/>
        </w:rPr>
        <w:t xml:space="preserve"> </w:t>
      </w:r>
      <w:r>
        <w:rPr>
          <w:rFonts w:ascii="Times New Roman" w:hAnsi="Times New Roman" w:cs="Times New Roman"/>
          <w:sz w:val="24"/>
          <w:szCs w:val="24"/>
        </w:rPr>
        <w:t>that</w:t>
      </w:r>
      <w:r>
        <w:rPr>
          <w:rFonts w:ascii="Times New Roman" w:hAnsi="Times New Roman" w:cs="Times New Roman"/>
          <w:spacing w:val="-3"/>
          <w:sz w:val="24"/>
          <w:szCs w:val="24"/>
        </w:rPr>
        <w:t xml:space="preserve"> </w:t>
      </w:r>
      <w:r>
        <w:rPr>
          <w:rFonts w:ascii="Times New Roman" w:hAnsi="Times New Roman" w:cs="Times New Roman"/>
          <w:sz w:val="24"/>
          <w:szCs w:val="24"/>
        </w:rPr>
        <w:t>individuals</w:t>
      </w:r>
      <w:r>
        <w:rPr>
          <w:rFonts w:ascii="Times New Roman" w:hAnsi="Times New Roman" w:cs="Times New Roman"/>
          <w:spacing w:val="-6"/>
          <w:sz w:val="24"/>
          <w:szCs w:val="24"/>
        </w:rPr>
        <w:t xml:space="preserve"> </w:t>
      </w:r>
      <w:r>
        <w:rPr>
          <w:rFonts w:ascii="Times New Roman" w:hAnsi="Times New Roman" w:cs="Times New Roman"/>
          <w:sz w:val="24"/>
          <w:szCs w:val="24"/>
        </w:rPr>
        <w:t>with</w:t>
      </w:r>
      <w:r>
        <w:rPr>
          <w:rFonts w:ascii="Times New Roman" w:hAnsi="Times New Roman" w:cs="Times New Roman"/>
          <w:spacing w:val="-6"/>
          <w:sz w:val="24"/>
          <w:szCs w:val="24"/>
        </w:rPr>
        <w:t xml:space="preserve"> </w:t>
      </w:r>
      <w:r>
        <w:rPr>
          <w:rFonts w:ascii="Times New Roman" w:hAnsi="Times New Roman" w:cs="Times New Roman"/>
          <w:sz w:val="24"/>
          <w:szCs w:val="24"/>
        </w:rPr>
        <w:t>SUDs who are food insecure have higher chances of engaging in needle sharing</w:t>
      </w:r>
      <w:r>
        <w:rPr>
          <w:rFonts w:ascii="Times New Roman" w:hAnsi="Times New Roman" w:cs="Times New Roman"/>
          <w:position w:val="9"/>
          <w:sz w:val="16"/>
          <w:szCs w:val="16"/>
        </w:rPr>
        <w:t xml:space="preserve">10 </w:t>
      </w:r>
      <w:r>
        <w:rPr>
          <w:rFonts w:ascii="Times New Roman" w:hAnsi="Times New Roman" w:cs="Times New Roman"/>
          <w:sz w:val="24"/>
          <w:szCs w:val="24"/>
        </w:rPr>
        <w:t>and unprotected</w:t>
      </w:r>
      <w:r>
        <w:rPr>
          <w:rFonts w:ascii="Times New Roman" w:hAnsi="Times New Roman" w:cs="Times New Roman"/>
          <w:spacing w:val="-23"/>
          <w:sz w:val="24"/>
          <w:szCs w:val="24"/>
        </w:rPr>
        <w:t xml:space="preserve"> </w:t>
      </w:r>
      <w:r>
        <w:rPr>
          <w:rFonts w:ascii="Times New Roman" w:hAnsi="Times New Roman" w:cs="Times New Roman"/>
          <w:sz w:val="24"/>
          <w:szCs w:val="24"/>
        </w:rPr>
        <w:t>sex.</w:t>
      </w:r>
      <w:r>
        <w:rPr>
          <w:rFonts w:ascii="Times New Roman" w:hAnsi="Times New Roman" w:cs="Times New Roman"/>
          <w:position w:val="9"/>
          <w:sz w:val="16"/>
          <w:szCs w:val="16"/>
        </w:rPr>
        <w:t xml:space="preserve">11 </w:t>
      </w:r>
      <w:r>
        <w:rPr>
          <w:rFonts w:ascii="Times New Roman" w:hAnsi="Times New Roman" w:cs="Times New Roman"/>
          <w:sz w:val="24"/>
          <w:szCs w:val="24"/>
        </w:rPr>
        <w:t>These activities increase the risk of disease transmission. This increased risk of transmission combined with reduced health status of individuals with SUDs means they are more likely to contract disease and to experience rapid disease progression, health complications, and negative treatment</w:t>
      </w:r>
      <w:r>
        <w:rPr>
          <w:rFonts w:ascii="Times New Roman" w:hAnsi="Times New Roman" w:cs="Times New Roman"/>
          <w:spacing w:val="-5"/>
          <w:sz w:val="24"/>
          <w:szCs w:val="24"/>
        </w:rPr>
        <w:t xml:space="preserve"> </w:t>
      </w:r>
      <w:r>
        <w:rPr>
          <w:rFonts w:ascii="Times New Roman" w:hAnsi="Times New Roman" w:cs="Times New Roman"/>
          <w:sz w:val="24"/>
          <w:szCs w:val="24"/>
        </w:rPr>
        <w:t>outcomes.</w:t>
      </w:r>
      <w:r>
        <w:rPr>
          <w:rFonts w:ascii="Times New Roman" w:hAnsi="Times New Roman" w:cs="Times New Roman"/>
          <w:position w:val="9"/>
          <w:sz w:val="16"/>
          <w:szCs w:val="16"/>
        </w:rPr>
        <w:t>12</w:t>
      </w:r>
      <w:r>
        <w:rPr>
          <w:rFonts w:ascii="Times New Roman" w:hAnsi="Times New Roman" w:cs="Times New Roman"/>
          <w:spacing w:val="18"/>
          <w:position w:val="9"/>
          <w:sz w:val="16"/>
          <w:szCs w:val="16"/>
        </w:rPr>
        <w:t xml:space="preserve"> </w:t>
      </w:r>
      <w:r>
        <w:rPr>
          <w:rFonts w:ascii="Times New Roman" w:hAnsi="Times New Roman" w:cs="Times New Roman"/>
          <w:sz w:val="24"/>
          <w:szCs w:val="24"/>
        </w:rPr>
        <w:t>Given</w:t>
      </w:r>
      <w:r>
        <w:rPr>
          <w:rFonts w:ascii="Times New Roman" w:hAnsi="Times New Roman" w:cs="Times New Roman"/>
          <w:spacing w:val="-6"/>
          <w:sz w:val="24"/>
          <w:szCs w:val="24"/>
        </w:rPr>
        <w:t xml:space="preserve"> </w:t>
      </w:r>
      <w:r>
        <w:rPr>
          <w:rFonts w:ascii="Times New Roman" w:hAnsi="Times New Roman" w:cs="Times New Roman"/>
          <w:sz w:val="24"/>
          <w:szCs w:val="24"/>
        </w:rPr>
        <w:t>the</w:t>
      </w:r>
      <w:r>
        <w:rPr>
          <w:rFonts w:ascii="Times New Roman" w:hAnsi="Times New Roman" w:cs="Times New Roman"/>
          <w:spacing w:val="-7"/>
          <w:sz w:val="24"/>
          <w:szCs w:val="24"/>
        </w:rPr>
        <w:t xml:space="preserve"> </w:t>
      </w:r>
      <w:r>
        <w:rPr>
          <w:rFonts w:ascii="Times New Roman" w:hAnsi="Times New Roman" w:cs="Times New Roman"/>
          <w:sz w:val="24"/>
          <w:szCs w:val="24"/>
        </w:rPr>
        <w:t>relationship</w:t>
      </w:r>
      <w:r>
        <w:rPr>
          <w:rFonts w:ascii="Times New Roman" w:hAnsi="Times New Roman" w:cs="Times New Roman"/>
          <w:spacing w:val="-6"/>
          <w:sz w:val="24"/>
          <w:szCs w:val="24"/>
        </w:rPr>
        <w:t xml:space="preserve"> </w:t>
      </w:r>
      <w:r>
        <w:rPr>
          <w:rFonts w:ascii="Times New Roman" w:hAnsi="Times New Roman" w:cs="Times New Roman"/>
          <w:sz w:val="24"/>
          <w:szCs w:val="24"/>
        </w:rPr>
        <w:t>between</w:t>
      </w:r>
      <w:r>
        <w:rPr>
          <w:rFonts w:ascii="Times New Roman" w:hAnsi="Times New Roman" w:cs="Times New Roman"/>
          <w:spacing w:val="-6"/>
          <w:sz w:val="24"/>
          <w:szCs w:val="24"/>
        </w:rPr>
        <w:t xml:space="preserve"> </w:t>
      </w:r>
      <w:r>
        <w:rPr>
          <w:rFonts w:ascii="Times New Roman" w:hAnsi="Times New Roman" w:cs="Times New Roman"/>
          <w:sz w:val="24"/>
          <w:szCs w:val="24"/>
        </w:rPr>
        <w:t>food</w:t>
      </w:r>
      <w:r>
        <w:rPr>
          <w:rFonts w:ascii="Times New Roman" w:hAnsi="Times New Roman" w:cs="Times New Roman"/>
          <w:spacing w:val="-6"/>
          <w:sz w:val="24"/>
          <w:szCs w:val="24"/>
        </w:rPr>
        <w:t xml:space="preserve"> </w:t>
      </w:r>
      <w:r>
        <w:rPr>
          <w:rFonts w:ascii="Times New Roman" w:hAnsi="Times New Roman" w:cs="Times New Roman"/>
          <w:sz w:val="24"/>
          <w:szCs w:val="24"/>
        </w:rPr>
        <w:t>insecurity</w:t>
      </w:r>
      <w:r>
        <w:rPr>
          <w:rFonts w:ascii="Times New Roman" w:hAnsi="Times New Roman" w:cs="Times New Roman"/>
          <w:spacing w:val="-13"/>
          <w:sz w:val="24"/>
          <w:szCs w:val="24"/>
        </w:rPr>
        <w:t xml:space="preserve"> </w:t>
      </w:r>
      <w:r>
        <w:rPr>
          <w:rFonts w:ascii="Times New Roman" w:hAnsi="Times New Roman" w:cs="Times New Roman"/>
          <w:sz w:val="24"/>
          <w:szCs w:val="24"/>
        </w:rPr>
        <w:t>and</w:t>
      </w:r>
      <w:r>
        <w:rPr>
          <w:rFonts w:ascii="Times New Roman" w:hAnsi="Times New Roman" w:cs="Times New Roman"/>
          <w:spacing w:val="-6"/>
          <w:sz w:val="24"/>
          <w:szCs w:val="24"/>
        </w:rPr>
        <w:t xml:space="preserve"> </w:t>
      </w:r>
      <w:r>
        <w:rPr>
          <w:rFonts w:ascii="Times New Roman" w:hAnsi="Times New Roman" w:cs="Times New Roman"/>
          <w:sz w:val="24"/>
          <w:szCs w:val="24"/>
        </w:rPr>
        <w:t>SUDs,</w:t>
      </w:r>
      <w:r>
        <w:rPr>
          <w:rFonts w:ascii="Times New Roman" w:hAnsi="Times New Roman" w:cs="Times New Roman"/>
          <w:spacing w:val="-6"/>
          <w:sz w:val="24"/>
          <w:szCs w:val="24"/>
        </w:rPr>
        <w:t xml:space="preserve"> </w:t>
      </w:r>
      <w:r>
        <w:rPr>
          <w:rFonts w:ascii="Times New Roman" w:hAnsi="Times New Roman" w:cs="Times New Roman"/>
          <w:sz w:val="24"/>
          <w:szCs w:val="24"/>
        </w:rPr>
        <w:t>FNS can</w:t>
      </w:r>
      <w:r>
        <w:rPr>
          <w:rFonts w:ascii="Times New Roman" w:hAnsi="Times New Roman" w:cs="Times New Roman"/>
          <w:spacing w:val="-6"/>
          <w:sz w:val="24"/>
          <w:szCs w:val="24"/>
        </w:rPr>
        <w:t xml:space="preserve"> </w:t>
      </w:r>
      <w:r>
        <w:rPr>
          <w:rFonts w:ascii="Times New Roman" w:hAnsi="Times New Roman" w:cs="Times New Roman"/>
          <w:sz w:val="24"/>
          <w:szCs w:val="24"/>
        </w:rPr>
        <w:t>play</w:t>
      </w:r>
      <w:r>
        <w:rPr>
          <w:rFonts w:ascii="Times New Roman" w:hAnsi="Times New Roman" w:cs="Times New Roman"/>
          <w:spacing w:val="-13"/>
          <w:sz w:val="24"/>
          <w:szCs w:val="24"/>
        </w:rPr>
        <w:t xml:space="preserve"> </w:t>
      </w:r>
      <w:r>
        <w:rPr>
          <w:rFonts w:ascii="Times New Roman" w:hAnsi="Times New Roman" w:cs="Times New Roman"/>
          <w:sz w:val="24"/>
          <w:szCs w:val="24"/>
        </w:rPr>
        <w:t>an important role in addressing the impact of SUDs in the Commonwealth and should therefore be included part of ACO strategies on this</w:t>
      </w:r>
      <w:r>
        <w:rPr>
          <w:rFonts w:ascii="Times New Roman" w:hAnsi="Times New Roman" w:cs="Times New Roman"/>
          <w:spacing w:val="-42"/>
          <w:sz w:val="24"/>
          <w:szCs w:val="24"/>
        </w:rPr>
        <w:t xml:space="preserve"> </w:t>
      </w:r>
      <w:r>
        <w:rPr>
          <w:rFonts w:ascii="Times New Roman" w:hAnsi="Times New Roman" w:cs="Times New Roman"/>
          <w:sz w:val="24"/>
          <w:szCs w:val="24"/>
        </w:rPr>
        <w:t>issue.</w:t>
      </w:r>
    </w:p>
    <w:p w:rsidR="002C5025" w:rsidRDefault="002C5025">
      <w:pPr>
        <w:pStyle w:val="BodyText"/>
        <w:kinsoku w:val="0"/>
        <w:overflowPunct w:val="0"/>
        <w:spacing w:before="1"/>
        <w:rPr>
          <w:rFonts w:ascii="Times New Roman" w:hAnsi="Times New Roman" w:cs="Times New Roman"/>
          <w:sz w:val="24"/>
          <w:szCs w:val="24"/>
        </w:rPr>
      </w:pPr>
    </w:p>
    <w:p w:rsidR="002C5025" w:rsidRDefault="002C5025">
      <w:pPr>
        <w:pStyle w:val="BodyText"/>
        <w:kinsoku w:val="0"/>
        <w:overflowPunct w:val="0"/>
        <w:ind w:left="119"/>
        <w:rPr>
          <w:rFonts w:ascii="Times New Roman" w:hAnsi="Times New Roman" w:cs="Times New Roman"/>
          <w:spacing w:val="-2"/>
          <w:sz w:val="24"/>
          <w:szCs w:val="24"/>
        </w:rPr>
      </w:pPr>
      <w:r>
        <w:rPr>
          <w:rFonts w:ascii="Times New Roman" w:hAnsi="Times New Roman" w:cs="Times New Roman"/>
          <w:spacing w:val="-3"/>
          <w:sz w:val="24"/>
          <w:szCs w:val="24"/>
        </w:rPr>
        <w:t xml:space="preserve">In </w:t>
      </w:r>
      <w:r>
        <w:rPr>
          <w:rFonts w:ascii="Times New Roman" w:hAnsi="Times New Roman" w:cs="Times New Roman"/>
          <w:sz w:val="24"/>
          <w:szCs w:val="24"/>
        </w:rPr>
        <w:t xml:space="preserve">closing, we appreciate EOHHS’s dedication to addressing social determinants of health in its 1115  Demonstration  Amendment  and  Extension  Request.  The  decision  to  address    </w:t>
      </w:r>
      <w:r>
        <w:rPr>
          <w:rFonts w:ascii="Times New Roman" w:hAnsi="Times New Roman" w:cs="Times New Roman"/>
          <w:spacing w:val="57"/>
          <w:sz w:val="24"/>
          <w:szCs w:val="24"/>
        </w:rPr>
        <w:t xml:space="preserve"> </w:t>
      </w:r>
      <w:r>
        <w:rPr>
          <w:rFonts w:ascii="Times New Roman" w:hAnsi="Times New Roman" w:cs="Times New Roman"/>
          <w:spacing w:val="-2"/>
          <w:sz w:val="24"/>
          <w:szCs w:val="24"/>
        </w:rPr>
        <w:t>social</w:t>
      </w:r>
    </w:p>
    <w:p w:rsidR="002C5025" w:rsidRDefault="00FB027C">
      <w:pPr>
        <w:pStyle w:val="BodyText"/>
        <w:kinsoku w:val="0"/>
        <w:overflowPunct w:val="0"/>
        <w:rPr>
          <w:rFonts w:ascii="Times New Roman" w:hAnsi="Times New Roman" w:cs="Times New Roman"/>
          <w:sz w:val="20"/>
          <w:szCs w:val="20"/>
        </w:rPr>
      </w:pPr>
      <w:r>
        <w:rPr>
          <w:noProof/>
        </w:rPr>
        <mc:AlternateContent>
          <mc:Choice Requires="wps">
            <w:drawing>
              <wp:anchor distT="0" distB="0" distL="0" distR="0" simplePos="0" relativeHeight="251547136" behindDoc="0" locked="0" layoutInCell="0" allowOverlap="1">
                <wp:simplePos x="0" y="0"/>
                <wp:positionH relativeFrom="page">
                  <wp:posOffset>923925</wp:posOffset>
                </wp:positionH>
                <wp:positionV relativeFrom="paragraph">
                  <wp:posOffset>176530</wp:posOffset>
                </wp:positionV>
                <wp:extent cx="1829435" cy="12700"/>
                <wp:effectExtent l="0" t="0" r="0" b="0"/>
                <wp:wrapTopAndBottom/>
                <wp:docPr id="782" name="Freeform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1 w 2881"/>
                            <a:gd name="T3" fmla="*/ 0 h 20"/>
                          </a:gdLst>
                          <a:ahLst/>
                          <a:cxnLst>
                            <a:cxn ang="0">
                              <a:pos x="T0" y="T1"/>
                            </a:cxn>
                            <a:cxn ang="0">
                              <a:pos x="T2" y="T3"/>
                            </a:cxn>
                          </a:cxnLst>
                          <a:rect l="0" t="0" r="r" b="b"/>
                          <a:pathLst>
                            <a:path w="2881" h="20">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43" o:spid="_x0000_s1026" style="position:absolute;z-index:25154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2.75pt,13.9pt,216.8pt,13.9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" o:allowincell="f" filled="f" strokeweight=".82pt">
                <v:path arrowok="t" o:connecttype="custom" o:connectlocs="0,0;1829435,0" o:connectangles="0,0"/>
                <w10:wrap type="topAndBottom" anchorx="page"/>
              </v:polyline>
            </w:pict>
          </mc:Fallback>
        </mc:AlternateContent>
      </w:r>
    </w:p>
    <w:p w:rsidR="002C5025" w:rsidRDefault="002C5025">
      <w:pPr>
        <w:pStyle w:val="BodyText"/>
        <w:kinsoku w:val="0"/>
        <w:overflowPunct w:val="0"/>
        <w:spacing w:before="60"/>
        <w:ind w:left="119" w:right="297"/>
        <w:jc w:val="both"/>
        <w:rPr>
          <w:rFonts w:ascii="Times New Roman" w:hAnsi="Times New Roman" w:cs="Times New Roman"/>
          <w:sz w:val="18"/>
          <w:szCs w:val="18"/>
        </w:rPr>
      </w:pPr>
      <w:r>
        <w:rPr>
          <w:rFonts w:ascii="Times New Roman" w:hAnsi="Times New Roman" w:cs="Times New Roman"/>
          <w:position w:val="6"/>
          <w:sz w:val="12"/>
          <w:szCs w:val="12"/>
        </w:rPr>
        <w:t xml:space="preserve">6 </w:t>
      </w:r>
      <w:r>
        <w:rPr>
          <w:rFonts w:ascii="Times New Roman" w:hAnsi="Times New Roman" w:cs="Times New Roman"/>
          <w:sz w:val="18"/>
          <w:szCs w:val="18"/>
        </w:rPr>
        <w:t xml:space="preserve">David A. </w:t>
      </w:r>
      <w:proofErr w:type="spellStart"/>
      <w:r>
        <w:rPr>
          <w:rFonts w:ascii="Times New Roman" w:hAnsi="Times New Roman" w:cs="Times New Roman"/>
          <w:sz w:val="18"/>
          <w:szCs w:val="18"/>
        </w:rPr>
        <w:t>Himmelgreen</w:t>
      </w:r>
      <w:proofErr w:type="spellEnd"/>
      <w:r>
        <w:rPr>
          <w:rFonts w:ascii="Times New Roman" w:hAnsi="Times New Roman" w:cs="Times New Roman"/>
          <w:sz w:val="18"/>
          <w:szCs w:val="18"/>
        </w:rPr>
        <w:t xml:space="preserve"> et al., </w:t>
      </w:r>
      <w:r>
        <w:rPr>
          <w:rFonts w:ascii="Times New Roman" w:hAnsi="Times New Roman" w:cs="Times New Roman"/>
          <w:i/>
          <w:iCs/>
          <w:sz w:val="18"/>
          <w:szCs w:val="18"/>
        </w:rPr>
        <w:t>A Comparison of the Nutritional Status and Food Security of Drug-Using and Non-Drug-Using Hispanic Women in Hartford, Connecticut</w:t>
      </w:r>
      <w:r>
        <w:rPr>
          <w:rFonts w:ascii="Times New Roman" w:hAnsi="Times New Roman" w:cs="Times New Roman"/>
          <w:sz w:val="18"/>
          <w:szCs w:val="18"/>
        </w:rPr>
        <w:t>, 107 A</w:t>
      </w:r>
      <w:r>
        <w:rPr>
          <w:rFonts w:ascii="Times New Roman" w:hAnsi="Times New Roman" w:cs="Times New Roman"/>
          <w:sz w:val="14"/>
          <w:szCs w:val="14"/>
        </w:rPr>
        <w:t>M</w:t>
      </w:r>
      <w:r>
        <w:rPr>
          <w:rFonts w:ascii="Times New Roman" w:hAnsi="Times New Roman" w:cs="Times New Roman"/>
          <w:sz w:val="18"/>
          <w:szCs w:val="18"/>
        </w:rPr>
        <w:t>. J. P</w:t>
      </w:r>
      <w:r>
        <w:rPr>
          <w:rFonts w:ascii="Times New Roman" w:hAnsi="Times New Roman" w:cs="Times New Roman"/>
          <w:sz w:val="14"/>
          <w:szCs w:val="14"/>
        </w:rPr>
        <w:t>HYS</w:t>
      </w:r>
      <w:r>
        <w:rPr>
          <w:rFonts w:ascii="Times New Roman" w:hAnsi="Times New Roman" w:cs="Times New Roman"/>
          <w:sz w:val="18"/>
          <w:szCs w:val="18"/>
        </w:rPr>
        <w:t>. A</w:t>
      </w:r>
      <w:r>
        <w:rPr>
          <w:rFonts w:ascii="Times New Roman" w:hAnsi="Times New Roman" w:cs="Times New Roman"/>
          <w:sz w:val="14"/>
          <w:szCs w:val="14"/>
        </w:rPr>
        <w:t>NTHROP</w:t>
      </w:r>
      <w:r>
        <w:rPr>
          <w:rFonts w:ascii="Times New Roman" w:hAnsi="Times New Roman" w:cs="Times New Roman"/>
          <w:sz w:val="18"/>
          <w:szCs w:val="18"/>
        </w:rPr>
        <w:t xml:space="preserve">. 351 (1998); </w:t>
      </w:r>
      <w:r>
        <w:rPr>
          <w:rFonts w:ascii="Times New Roman" w:hAnsi="Times New Roman" w:cs="Times New Roman"/>
          <w:i/>
          <w:iCs/>
          <w:sz w:val="18"/>
          <w:szCs w:val="18"/>
        </w:rPr>
        <w:t xml:space="preserve">see also </w:t>
      </w:r>
      <w:r>
        <w:rPr>
          <w:rFonts w:ascii="Times New Roman" w:hAnsi="Times New Roman" w:cs="Times New Roman"/>
          <w:sz w:val="18"/>
          <w:szCs w:val="18"/>
        </w:rPr>
        <w:t xml:space="preserve">Carol Strike et al., </w:t>
      </w:r>
      <w:r>
        <w:rPr>
          <w:rFonts w:ascii="Times New Roman" w:hAnsi="Times New Roman" w:cs="Times New Roman"/>
          <w:i/>
          <w:iCs/>
          <w:sz w:val="18"/>
          <w:szCs w:val="18"/>
        </w:rPr>
        <w:t>Frequent Food Insecurity among Injection Drug Users: Correlates and Concerns</w:t>
      </w:r>
      <w:r>
        <w:rPr>
          <w:rFonts w:ascii="Times New Roman" w:hAnsi="Times New Roman" w:cs="Times New Roman"/>
          <w:sz w:val="18"/>
          <w:szCs w:val="18"/>
        </w:rPr>
        <w:t>, 12 BMC P</w:t>
      </w:r>
      <w:r>
        <w:rPr>
          <w:rFonts w:ascii="Times New Roman" w:hAnsi="Times New Roman" w:cs="Times New Roman"/>
          <w:sz w:val="14"/>
          <w:szCs w:val="14"/>
        </w:rPr>
        <w:t>UB</w:t>
      </w:r>
      <w:r>
        <w:rPr>
          <w:rFonts w:ascii="Times New Roman" w:hAnsi="Times New Roman" w:cs="Times New Roman"/>
          <w:sz w:val="18"/>
          <w:szCs w:val="18"/>
        </w:rPr>
        <w:t>. H</w:t>
      </w:r>
      <w:r>
        <w:rPr>
          <w:rFonts w:ascii="Times New Roman" w:hAnsi="Times New Roman" w:cs="Times New Roman"/>
          <w:sz w:val="14"/>
          <w:szCs w:val="14"/>
        </w:rPr>
        <w:t xml:space="preserve">EALTH </w:t>
      </w:r>
      <w:r>
        <w:rPr>
          <w:rFonts w:ascii="Times New Roman" w:hAnsi="Times New Roman" w:cs="Times New Roman"/>
          <w:sz w:val="18"/>
          <w:szCs w:val="18"/>
        </w:rPr>
        <w:t>6 (2012).</w:t>
      </w:r>
    </w:p>
    <w:p w:rsidR="002C5025" w:rsidRDefault="002C5025">
      <w:pPr>
        <w:pStyle w:val="BodyText"/>
        <w:kinsoku w:val="0"/>
        <w:overflowPunct w:val="0"/>
        <w:spacing w:before="9" w:line="204" w:lineRule="exact"/>
        <w:ind w:left="119" w:right="297"/>
        <w:jc w:val="both"/>
        <w:rPr>
          <w:rFonts w:ascii="Times New Roman" w:hAnsi="Times New Roman" w:cs="Times New Roman"/>
          <w:sz w:val="18"/>
          <w:szCs w:val="18"/>
        </w:rPr>
      </w:pPr>
      <w:r>
        <w:rPr>
          <w:rFonts w:ascii="Times New Roman" w:hAnsi="Times New Roman" w:cs="Times New Roman"/>
          <w:position w:val="6"/>
          <w:sz w:val="12"/>
          <w:szCs w:val="12"/>
        </w:rPr>
        <w:t xml:space="preserve">7 </w:t>
      </w:r>
      <w:r>
        <w:rPr>
          <w:rFonts w:ascii="Times New Roman" w:hAnsi="Times New Roman" w:cs="Times New Roman"/>
          <w:sz w:val="18"/>
          <w:szCs w:val="18"/>
        </w:rPr>
        <w:t xml:space="preserve">David A. </w:t>
      </w:r>
      <w:proofErr w:type="spellStart"/>
      <w:r>
        <w:rPr>
          <w:rFonts w:ascii="Times New Roman" w:hAnsi="Times New Roman" w:cs="Times New Roman"/>
          <w:sz w:val="18"/>
          <w:szCs w:val="18"/>
        </w:rPr>
        <w:t>Himmelgreen</w:t>
      </w:r>
      <w:proofErr w:type="spellEnd"/>
      <w:r>
        <w:rPr>
          <w:rFonts w:ascii="Times New Roman" w:hAnsi="Times New Roman" w:cs="Times New Roman"/>
          <w:sz w:val="18"/>
          <w:szCs w:val="18"/>
        </w:rPr>
        <w:t xml:space="preserve"> et al., </w:t>
      </w:r>
      <w:r>
        <w:rPr>
          <w:rFonts w:ascii="Times New Roman" w:hAnsi="Times New Roman" w:cs="Times New Roman"/>
          <w:i/>
          <w:iCs/>
          <w:sz w:val="18"/>
          <w:szCs w:val="18"/>
        </w:rPr>
        <w:t>A Comparison of the Nutritional Status and Food Security of Drug-Using and Non-Drug-Using Hispanic Women in Hartford, Connecticut</w:t>
      </w:r>
      <w:r>
        <w:rPr>
          <w:rFonts w:ascii="Times New Roman" w:hAnsi="Times New Roman" w:cs="Times New Roman"/>
          <w:sz w:val="18"/>
          <w:szCs w:val="18"/>
        </w:rPr>
        <w:t>, 107 A</w:t>
      </w:r>
      <w:r>
        <w:rPr>
          <w:rFonts w:ascii="Times New Roman" w:hAnsi="Times New Roman" w:cs="Times New Roman"/>
          <w:sz w:val="14"/>
          <w:szCs w:val="14"/>
        </w:rPr>
        <w:t>M</w:t>
      </w:r>
      <w:r>
        <w:rPr>
          <w:rFonts w:ascii="Times New Roman" w:hAnsi="Times New Roman" w:cs="Times New Roman"/>
          <w:sz w:val="18"/>
          <w:szCs w:val="18"/>
        </w:rPr>
        <w:t>. J. P</w:t>
      </w:r>
      <w:r>
        <w:rPr>
          <w:rFonts w:ascii="Times New Roman" w:hAnsi="Times New Roman" w:cs="Times New Roman"/>
          <w:sz w:val="14"/>
          <w:szCs w:val="14"/>
        </w:rPr>
        <w:t>HYS</w:t>
      </w:r>
      <w:r>
        <w:rPr>
          <w:rFonts w:ascii="Times New Roman" w:hAnsi="Times New Roman" w:cs="Times New Roman"/>
          <w:sz w:val="18"/>
          <w:szCs w:val="18"/>
        </w:rPr>
        <w:t>. A</w:t>
      </w:r>
      <w:r>
        <w:rPr>
          <w:rFonts w:ascii="Times New Roman" w:hAnsi="Times New Roman" w:cs="Times New Roman"/>
          <w:sz w:val="14"/>
          <w:szCs w:val="14"/>
        </w:rPr>
        <w:t>NTHROP</w:t>
      </w:r>
      <w:r>
        <w:rPr>
          <w:rFonts w:ascii="Times New Roman" w:hAnsi="Times New Roman" w:cs="Times New Roman"/>
          <w:sz w:val="18"/>
          <w:szCs w:val="18"/>
        </w:rPr>
        <w:t>. 351 (1998).</w:t>
      </w:r>
    </w:p>
    <w:p w:rsidR="002C5025" w:rsidRDefault="002C5025">
      <w:pPr>
        <w:pStyle w:val="BodyText"/>
        <w:kinsoku w:val="0"/>
        <w:overflowPunct w:val="0"/>
        <w:spacing w:line="242" w:lineRule="auto"/>
        <w:ind w:left="119" w:right="297"/>
        <w:jc w:val="both"/>
        <w:rPr>
          <w:rFonts w:ascii="Times New Roman" w:hAnsi="Times New Roman" w:cs="Times New Roman"/>
          <w:sz w:val="18"/>
          <w:szCs w:val="18"/>
        </w:rPr>
      </w:pPr>
      <w:r>
        <w:rPr>
          <w:rFonts w:ascii="Times New Roman" w:hAnsi="Times New Roman" w:cs="Times New Roman"/>
          <w:position w:val="6"/>
          <w:sz w:val="12"/>
          <w:szCs w:val="12"/>
        </w:rPr>
        <w:t xml:space="preserve">8 </w:t>
      </w:r>
      <w:r>
        <w:rPr>
          <w:rFonts w:ascii="Times New Roman" w:hAnsi="Times New Roman" w:cs="Times New Roman"/>
          <w:sz w:val="18"/>
          <w:szCs w:val="18"/>
        </w:rPr>
        <w:t xml:space="preserve">David A. </w:t>
      </w:r>
      <w:proofErr w:type="spellStart"/>
      <w:r>
        <w:rPr>
          <w:rFonts w:ascii="Times New Roman" w:hAnsi="Times New Roman" w:cs="Times New Roman"/>
          <w:sz w:val="18"/>
          <w:szCs w:val="18"/>
        </w:rPr>
        <w:t>Himmelgreen</w:t>
      </w:r>
      <w:proofErr w:type="spellEnd"/>
      <w:r>
        <w:rPr>
          <w:rFonts w:ascii="Times New Roman" w:hAnsi="Times New Roman" w:cs="Times New Roman"/>
          <w:sz w:val="18"/>
          <w:szCs w:val="18"/>
        </w:rPr>
        <w:t xml:space="preserve"> et al., </w:t>
      </w:r>
      <w:r>
        <w:rPr>
          <w:rFonts w:ascii="Times New Roman" w:hAnsi="Times New Roman" w:cs="Times New Roman"/>
          <w:i/>
          <w:iCs/>
          <w:sz w:val="18"/>
          <w:szCs w:val="18"/>
        </w:rPr>
        <w:t>A Comparison of the Nutritional Status and Food Security of Drug-Using and Non-Drug-Using Hispanic Women in Hartford, Connecticut</w:t>
      </w:r>
      <w:r>
        <w:rPr>
          <w:rFonts w:ascii="Times New Roman" w:hAnsi="Times New Roman" w:cs="Times New Roman"/>
          <w:sz w:val="18"/>
          <w:szCs w:val="18"/>
        </w:rPr>
        <w:t>, 107 A</w:t>
      </w:r>
      <w:r>
        <w:rPr>
          <w:rFonts w:ascii="Times New Roman" w:hAnsi="Times New Roman" w:cs="Times New Roman"/>
          <w:sz w:val="14"/>
          <w:szCs w:val="14"/>
        </w:rPr>
        <w:t>M</w:t>
      </w:r>
      <w:r>
        <w:rPr>
          <w:rFonts w:ascii="Times New Roman" w:hAnsi="Times New Roman" w:cs="Times New Roman"/>
          <w:sz w:val="18"/>
          <w:szCs w:val="18"/>
        </w:rPr>
        <w:t>. J. P</w:t>
      </w:r>
      <w:r>
        <w:rPr>
          <w:rFonts w:ascii="Times New Roman" w:hAnsi="Times New Roman" w:cs="Times New Roman"/>
          <w:sz w:val="14"/>
          <w:szCs w:val="14"/>
        </w:rPr>
        <w:t>HYS</w:t>
      </w:r>
      <w:r>
        <w:rPr>
          <w:rFonts w:ascii="Times New Roman" w:hAnsi="Times New Roman" w:cs="Times New Roman"/>
          <w:sz w:val="18"/>
          <w:szCs w:val="18"/>
        </w:rPr>
        <w:t>. A</w:t>
      </w:r>
      <w:r>
        <w:rPr>
          <w:rFonts w:ascii="Times New Roman" w:hAnsi="Times New Roman" w:cs="Times New Roman"/>
          <w:sz w:val="14"/>
          <w:szCs w:val="14"/>
        </w:rPr>
        <w:t>NTHROP</w:t>
      </w:r>
      <w:r>
        <w:rPr>
          <w:rFonts w:ascii="Times New Roman" w:hAnsi="Times New Roman" w:cs="Times New Roman"/>
          <w:sz w:val="18"/>
          <w:szCs w:val="18"/>
        </w:rPr>
        <w:t>. 352 (1998).</w:t>
      </w:r>
    </w:p>
    <w:p w:rsidR="002C5025" w:rsidRDefault="002C5025">
      <w:pPr>
        <w:pStyle w:val="BodyText"/>
        <w:kinsoku w:val="0"/>
        <w:overflowPunct w:val="0"/>
        <w:spacing w:before="9" w:line="204" w:lineRule="exact"/>
        <w:ind w:left="119" w:right="282"/>
        <w:jc w:val="both"/>
        <w:rPr>
          <w:rFonts w:ascii="Times New Roman" w:hAnsi="Times New Roman" w:cs="Times New Roman"/>
          <w:sz w:val="18"/>
          <w:szCs w:val="18"/>
        </w:rPr>
      </w:pPr>
      <w:r>
        <w:rPr>
          <w:rFonts w:ascii="Times New Roman" w:hAnsi="Times New Roman" w:cs="Times New Roman"/>
          <w:position w:val="6"/>
          <w:sz w:val="12"/>
          <w:szCs w:val="12"/>
        </w:rPr>
        <w:t xml:space="preserve">9 </w:t>
      </w:r>
      <w:r>
        <w:rPr>
          <w:rFonts w:ascii="Times New Roman" w:hAnsi="Times New Roman" w:cs="Times New Roman"/>
          <w:sz w:val="18"/>
          <w:szCs w:val="18"/>
        </w:rPr>
        <w:t xml:space="preserve">Carol Strike et al., </w:t>
      </w:r>
      <w:r>
        <w:rPr>
          <w:rFonts w:ascii="Times New Roman" w:hAnsi="Times New Roman" w:cs="Times New Roman"/>
          <w:i/>
          <w:iCs/>
          <w:sz w:val="18"/>
          <w:szCs w:val="18"/>
        </w:rPr>
        <w:t>Frequent Food Insecurity among Injection Drug Users: Correlates and Concerns</w:t>
      </w:r>
      <w:r>
        <w:rPr>
          <w:rFonts w:ascii="Times New Roman" w:hAnsi="Times New Roman" w:cs="Times New Roman"/>
          <w:sz w:val="18"/>
          <w:szCs w:val="18"/>
        </w:rPr>
        <w:t>, 12 BMC P</w:t>
      </w:r>
      <w:r>
        <w:rPr>
          <w:rFonts w:ascii="Times New Roman" w:hAnsi="Times New Roman" w:cs="Times New Roman"/>
          <w:sz w:val="14"/>
          <w:szCs w:val="14"/>
        </w:rPr>
        <w:t>UB</w:t>
      </w:r>
      <w:r>
        <w:rPr>
          <w:rFonts w:ascii="Times New Roman" w:hAnsi="Times New Roman" w:cs="Times New Roman"/>
          <w:sz w:val="18"/>
          <w:szCs w:val="18"/>
        </w:rPr>
        <w:t>. H</w:t>
      </w:r>
      <w:r>
        <w:rPr>
          <w:rFonts w:ascii="Times New Roman" w:hAnsi="Times New Roman" w:cs="Times New Roman"/>
          <w:sz w:val="14"/>
          <w:szCs w:val="14"/>
        </w:rPr>
        <w:t xml:space="preserve">EALTH </w:t>
      </w:r>
      <w:r>
        <w:rPr>
          <w:rFonts w:ascii="Times New Roman" w:hAnsi="Times New Roman" w:cs="Times New Roman"/>
          <w:sz w:val="18"/>
          <w:szCs w:val="18"/>
        </w:rPr>
        <w:t>7 (2012).</w:t>
      </w:r>
    </w:p>
    <w:p w:rsidR="002C5025" w:rsidRDefault="002C5025">
      <w:pPr>
        <w:pStyle w:val="BodyText"/>
        <w:kinsoku w:val="0"/>
        <w:overflowPunct w:val="0"/>
        <w:spacing w:line="242" w:lineRule="auto"/>
        <w:ind w:left="120" w:right="251" w:hanging="1"/>
        <w:jc w:val="both"/>
        <w:rPr>
          <w:rFonts w:ascii="Times New Roman" w:hAnsi="Times New Roman" w:cs="Times New Roman"/>
          <w:sz w:val="18"/>
          <w:szCs w:val="18"/>
        </w:rPr>
      </w:pPr>
      <w:r>
        <w:rPr>
          <w:rFonts w:ascii="Times New Roman" w:hAnsi="Times New Roman" w:cs="Times New Roman"/>
          <w:position w:val="6"/>
          <w:sz w:val="12"/>
          <w:szCs w:val="12"/>
        </w:rPr>
        <w:t>10</w:t>
      </w:r>
      <w:r>
        <w:rPr>
          <w:rFonts w:ascii="Times New Roman" w:hAnsi="Times New Roman" w:cs="Times New Roman"/>
          <w:spacing w:val="9"/>
          <w:position w:val="6"/>
          <w:sz w:val="12"/>
          <w:szCs w:val="12"/>
        </w:rPr>
        <w:t xml:space="preserve"> </w:t>
      </w:r>
      <w:r>
        <w:rPr>
          <w:rFonts w:ascii="Times New Roman" w:hAnsi="Times New Roman" w:cs="Times New Roman"/>
          <w:sz w:val="18"/>
          <w:szCs w:val="18"/>
        </w:rPr>
        <w:t>Carol</w:t>
      </w:r>
      <w:r>
        <w:rPr>
          <w:rFonts w:ascii="Times New Roman" w:hAnsi="Times New Roman" w:cs="Times New Roman"/>
          <w:spacing w:val="-8"/>
          <w:sz w:val="18"/>
          <w:szCs w:val="18"/>
        </w:rPr>
        <w:t xml:space="preserve"> </w:t>
      </w:r>
      <w:r>
        <w:rPr>
          <w:rFonts w:ascii="Times New Roman" w:hAnsi="Times New Roman" w:cs="Times New Roman"/>
          <w:sz w:val="18"/>
          <w:szCs w:val="18"/>
        </w:rPr>
        <w:t>Strike</w:t>
      </w:r>
      <w:r>
        <w:rPr>
          <w:rFonts w:ascii="Times New Roman" w:hAnsi="Times New Roman" w:cs="Times New Roman"/>
          <w:spacing w:val="-9"/>
          <w:sz w:val="18"/>
          <w:szCs w:val="18"/>
        </w:rPr>
        <w:t xml:space="preserve"> </w:t>
      </w:r>
      <w:r>
        <w:rPr>
          <w:rFonts w:ascii="Times New Roman" w:hAnsi="Times New Roman" w:cs="Times New Roman"/>
          <w:sz w:val="18"/>
          <w:szCs w:val="18"/>
        </w:rPr>
        <w:t>et</w:t>
      </w:r>
      <w:r>
        <w:rPr>
          <w:rFonts w:ascii="Times New Roman" w:hAnsi="Times New Roman" w:cs="Times New Roman"/>
          <w:spacing w:val="-8"/>
          <w:sz w:val="18"/>
          <w:szCs w:val="18"/>
        </w:rPr>
        <w:t xml:space="preserve"> </w:t>
      </w:r>
      <w:r>
        <w:rPr>
          <w:rFonts w:ascii="Times New Roman" w:hAnsi="Times New Roman" w:cs="Times New Roman"/>
          <w:sz w:val="18"/>
          <w:szCs w:val="18"/>
        </w:rPr>
        <w:t>al.,</w:t>
      </w:r>
      <w:r>
        <w:rPr>
          <w:rFonts w:ascii="Times New Roman" w:hAnsi="Times New Roman" w:cs="Times New Roman"/>
          <w:spacing w:val="-8"/>
          <w:sz w:val="18"/>
          <w:szCs w:val="18"/>
        </w:rPr>
        <w:t xml:space="preserve"> </w:t>
      </w:r>
      <w:r>
        <w:rPr>
          <w:rFonts w:ascii="Times New Roman" w:hAnsi="Times New Roman" w:cs="Times New Roman"/>
          <w:i/>
          <w:iCs/>
          <w:sz w:val="18"/>
          <w:szCs w:val="18"/>
        </w:rPr>
        <w:t>Frequent</w:t>
      </w:r>
      <w:r>
        <w:rPr>
          <w:rFonts w:ascii="Times New Roman" w:hAnsi="Times New Roman" w:cs="Times New Roman"/>
          <w:i/>
          <w:iCs/>
          <w:spacing w:val="-10"/>
          <w:sz w:val="18"/>
          <w:szCs w:val="18"/>
        </w:rPr>
        <w:t xml:space="preserve"> </w:t>
      </w:r>
      <w:r>
        <w:rPr>
          <w:rFonts w:ascii="Times New Roman" w:hAnsi="Times New Roman" w:cs="Times New Roman"/>
          <w:i/>
          <w:iCs/>
          <w:sz w:val="18"/>
          <w:szCs w:val="18"/>
        </w:rPr>
        <w:t>Food</w:t>
      </w:r>
      <w:r>
        <w:rPr>
          <w:rFonts w:ascii="Times New Roman" w:hAnsi="Times New Roman" w:cs="Times New Roman"/>
          <w:i/>
          <w:iCs/>
          <w:spacing w:val="-5"/>
          <w:sz w:val="18"/>
          <w:szCs w:val="18"/>
        </w:rPr>
        <w:t xml:space="preserve"> </w:t>
      </w:r>
      <w:r>
        <w:rPr>
          <w:rFonts w:ascii="Times New Roman" w:hAnsi="Times New Roman" w:cs="Times New Roman"/>
          <w:i/>
          <w:iCs/>
          <w:sz w:val="18"/>
          <w:szCs w:val="18"/>
        </w:rPr>
        <w:t>Insecurity</w:t>
      </w:r>
      <w:r>
        <w:rPr>
          <w:rFonts w:ascii="Times New Roman" w:hAnsi="Times New Roman" w:cs="Times New Roman"/>
          <w:i/>
          <w:iCs/>
          <w:spacing w:val="-11"/>
          <w:sz w:val="18"/>
          <w:szCs w:val="18"/>
        </w:rPr>
        <w:t xml:space="preserve"> </w:t>
      </w:r>
      <w:r>
        <w:rPr>
          <w:rFonts w:ascii="Times New Roman" w:hAnsi="Times New Roman" w:cs="Times New Roman"/>
          <w:i/>
          <w:iCs/>
          <w:sz w:val="18"/>
          <w:szCs w:val="18"/>
        </w:rPr>
        <w:t>among</w:t>
      </w:r>
      <w:r>
        <w:rPr>
          <w:rFonts w:ascii="Times New Roman" w:hAnsi="Times New Roman" w:cs="Times New Roman"/>
          <w:i/>
          <w:iCs/>
          <w:spacing w:val="-7"/>
          <w:sz w:val="18"/>
          <w:szCs w:val="18"/>
        </w:rPr>
        <w:t xml:space="preserve"> </w:t>
      </w:r>
      <w:r>
        <w:rPr>
          <w:rFonts w:ascii="Times New Roman" w:hAnsi="Times New Roman" w:cs="Times New Roman"/>
          <w:i/>
          <w:iCs/>
          <w:sz w:val="18"/>
          <w:szCs w:val="18"/>
        </w:rPr>
        <w:t>Injection</w:t>
      </w:r>
      <w:r>
        <w:rPr>
          <w:rFonts w:ascii="Times New Roman" w:hAnsi="Times New Roman" w:cs="Times New Roman"/>
          <w:i/>
          <w:iCs/>
          <w:spacing w:val="-5"/>
          <w:sz w:val="18"/>
          <w:szCs w:val="18"/>
        </w:rPr>
        <w:t xml:space="preserve"> </w:t>
      </w:r>
      <w:r>
        <w:rPr>
          <w:rFonts w:ascii="Times New Roman" w:hAnsi="Times New Roman" w:cs="Times New Roman"/>
          <w:i/>
          <w:iCs/>
          <w:sz w:val="18"/>
          <w:szCs w:val="18"/>
        </w:rPr>
        <w:t>Drug</w:t>
      </w:r>
      <w:r>
        <w:rPr>
          <w:rFonts w:ascii="Times New Roman" w:hAnsi="Times New Roman" w:cs="Times New Roman"/>
          <w:i/>
          <w:iCs/>
          <w:spacing w:val="-5"/>
          <w:sz w:val="18"/>
          <w:szCs w:val="18"/>
        </w:rPr>
        <w:t xml:space="preserve"> </w:t>
      </w:r>
      <w:r>
        <w:rPr>
          <w:rFonts w:ascii="Times New Roman" w:hAnsi="Times New Roman" w:cs="Times New Roman"/>
          <w:i/>
          <w:iCs/>
          <w:sz w:val="18"/>
          <w:szCs w:val="18"/>
        </w:rPr>
        <w:t>Users:</w:t>
      </w:r>
      <w:r>
        <w:rPr>
          <w:rFonts w:ascii="Times New Roman" w:hAnsi="Times New Roman" w:cs="Times New Roman"/>
          <w:i/>
          <w:iCs/>
          <w:spacing w:val="-8"/>
          <w:sz w:val="18"/>
          <w:szCs w:val="18"/>
        </w:rPr>
        <w:t xml:space="preserve"> </w:t>
      </w:r>
      <w:r>
        <w:rPr>
          <w:rFonts w:ascii="Times New Roman" w:hAnsi="Times New Roman" w:cs="Times New Roman"/>
          <w:i/>
          <w:iCs/>
          <w:sz w:val="18"/>
          <w:szCs w:val="18"/>
        </w:rPr>
        <w:t>Correlates</w:t>
      </w:r>
      <w:r>
        <w:rPr>
          <w:rFonts w:ascii="Times New Roman" w:hAnsi="Times New Roman" w:cs="Times New Roman"/>
          <w:i/>
          <w:iCs/>
          <w:spacing w:val="-11"/>
          <w:sz w:val="18"/>
          <w:szCs w:val="18"/>
        </w:rPr>
        <w:t xml:space="preserve"> </w:t>
      </w:r>
      <w:r>
        <w:rPr>
          <w:rFonts w:ascii="Times New Roman" w:hAnsi="Times New Roman" w:cs="Times New Roman"/>
          <w:i/>
          <w:iCs/>
          <w:sz w:val="18"/>
          <w:szCs w:val="18"/>
        </w:rPr>
        <w:t>and</w:t>
      </w:r>
      <w:r>
        <w:rPr>
          <w:rFonts w:ascii="Times New Roman" w:hAnsi="Times New Roman" w:cs="Times New Roman"/>
          <w:i/>
          <w:iCs/>
          <w:spacing w:val="-5"/>
          <w:sz w:val="18"/>
          <w:szCs w:val="18"/>
        </w:rPr>
        <w:t xml:space="preserve"> </w:t>
      </w:r>
      <w:r>
        <w:rPr>
          <w:rFonts w:ascii="Times New Roman" w:hAnsi="Times New Roman" w:cs="Times New Roman"/>
          <w:i/>
          <w:iCs/>
          <w:sz w:val="18"/>
          <w:szCs w:val="18"/>
        </w:rPr>
        <w:t>Concerns</w:t>
      </w:r>
      <w:r>
        <w:rPr>
          <w:rFonts w:ascii="Times New Roman" w:hAnsi="Times New Roman" w:cs="Times New Roman"/>
          <w:sz w:val="18"/>
          <w:szCs w:val="18"/>
        </w:rPr>
        <w:t>,</w:t>
      </w:r>
      <w:r>
        <w:rPr>
          <w:rFonts w:ascii="Times New Roman" w:hAnsi="Times New Roman" w:cs="Times New Roman"/>
          <w:spacing w:val="-8"/>
          <w:sz w:val="18"/>
          <w:szCs w:val="18"/>
        </w:rPr>
        <w:t xml:space="preserve"> </w:t>
      </w:r>
      <w:r>
        <w:rPr>
          <w:rFonts w:ascii="Times New Roman" w:hAnsi="Times New Roman" w:cs="Times New Roman"/>
          <w:sz w:val="18"/>
          <w:szCs w:val="18"/>
        </w:rPr>
        <w:t>12</w:t>
      </w:r>
      <w:r>
        <w:rPr>
          <w:rFonts w:ascii="Times New Roman" w:hAnsi="Times New Roman" w:cs="Times New Roman"/>
          <w:spacing w:val="-5"/>
          <w:sz w:val="18"/>
          <w:szCs w:val="18"/>
        </w:rPr>
        <w:t xml:space="preserve"> </w:t>
      </w:r>
      <w:r>
        <w:rPr>
          <w:rFonts w:ascii="Times New Roman" w:hAnsi="Times New Roman" w:cs="Times New Roman"/>
          <w:sz w:val="18"/>
          <w:szCs w:val="18"/>
        </w:rPr>
        <w:t>BMC</w:t>
      </w:r>
      <w:r>
        <w:rPr>
          <w:rFonts w:ascii="Times New Roman" w:hAnsi="Times New Roman" w:cs="Times New Roman"/>
          <w:spacing w:val="-18"/>
          <w:sz w:val="18"/>
          <w:szCs w:val="18"/>
        </w:rPr>
        <w:t xml:space="preserve"> </w:t>
      </w:r>
      <w:r>
        <w:rPr>
          <w:rFonts w:ascii="Times New Roman" w:hAnsi="Times New Roman" w:cs="Times New Roman"/>
          <w:sz w:val="18"/>
          <w:szCs w:val="18"/>
        </w:rPr>
        <w:t>P</w:t>
      </w:r>
      <w:r>
        <w:rPr>
          <w:rFonts w:ascii="Times New Roman" w:hAnsi="Times New Roman" w:cs="Times New Roman"/>
          <w:sz w:val="14"/>
          <w:szCs w:val="14"/>
        </w:rPr>
        <w:t>UB</w:t>
      </w:r>
      <w:r>
        <w:rPr>
          <w:rFonts w:ascii="Times New Roman" w:hAnsi="Times New Roman" w:cs="Times New Roman"/>
          <w:sz w:val="18"/>
          <w:szCs w:val="18"/>
        </w:rPr>
        <w:t>.</w:t>
      </w:r>
      <w:r>
        <w:rPr>
          <w:rFonts w:ascii="Times New Roman" w:hAnsi="Times New Roman" w:cs="Times New Roman"/>
          <w:spacing w:val="-14"/>
          <w:sz w:val="18"/>
          <w:szCs w:val="18"/>
        </w:rPr>
        <w:t xml:space="preserve"> </w:t>
      </w:r>
      <w:r>
        <w:rPr>
          <w:rFonts w:ascii="Times New Roman" w:hAnsi="Times New Roman" w:cs="Times New Roman"/>
          <w:sz w:val="18"/>
          <w:szCs w:val="18"/>
        </w:rPr>
        <w:t>H</w:t>
      </w:r>
      <w:r>
        <w:rPr>
          <w:rFonts w:ascii="Times New Roman" w:hAnsi="Times New Roman" w:cs="Times New Roman"/>
          <w:sz w:val="14"/>
          <w:szCs w:val="14"/>
        </w:rPr>
        <w:t xml:space="preserve">EALTH </w:t>
      </w:r>
      <w:r>
        <w:rPr>
          <w:rFonts w:ascii="Times New Roman" w:hAnsi="Times New Roman" w:cs="Times New Roman"/>
          <w:sz w:val="18"/>
          <w:szCs w:val="18"/>
        </w:rPr>
        <w:t>1- 9</w:t>
      </w:r>
      <w:r>
        <w:rPr>
          <w:rFonts w:ascii="Times New Roman" w:hAnsi="Times New Roman" w:cs="Times New Roman"/>
          <w:spacing w:val="-10"/>
          <w:sz w:val="18"/>
          <w:szCs w:val="18"/>
        </w:rPr>
        <w:t xml:space="preserve"> </w:t>
      </w:r>
      <w:r>
        <w:rPr>
          <w:rFonts w:ascii="Times New Roman" w:hAnsi="Times New Roman" w:cs="Times New Roman"/>
          <w:sz w:val="18"/>
          <w:szCs w:val="18"/>
        </w:rPr>
        <w:t>(2012).</w:t>
      </w:r>
    </w:p>
    <w:p w:rsidR="002C5025" w:rsidRDefault="002C5025">
      <w:pPr>
        <w:pStyle w:val="BodyText"/>
        <w:kinsoku w:val="0"/>
        <w:overflowPunct w:val="0"/>
        <w:ind w:left="119" w:right="368"/>
        <w:rPr>
          <w:rFonts w:ascii="Times New Roman" w:hAnsi="Times New Roman" w:cs="Times New Roman"/>
          <w:sz w:val="18"/>
          <w:szCs w:val="18"/>
        </w:rPr>
      </w:pPr>
      <w:r>
        <w:rPr>
          <w:rFonts w:ascii="Times New Roman" w:hAnsi="Times New Roman" w:cs="Times New Roman"/>
          <w:position w:val="6"/>
          <w:sz w:val="12"/>
          <w:szCs w:val="12"/>
        </w:rPr>
        <w:t xml:space="preserve">11 </w:t>
      </w:r>
      <w:r>
        <w:rPr>
          <w:rFonts w:ascii="Times New Roman" w:hAnsi="Times New Roman" w:cs="Times New Roman"/>
          <w:sz w:val="18"/>
          <w:szCs w:val="18"/>
        </w:rPr>
        <w:t xml:space="preserve">Kate Shannon et al., </w:t>
      </w:r>
      <w:r>
        <w:rPr>
          <w:rFonts w:ascii="Times New Roman" w:hAnsi="Times New Roman" w:cs="Times New Roman"/>
          <w:i/>
          <w:iCs/>
          <w:sz w:val="18"/>
          <w:szCs w:val="18"/>
        </w:rPr>
        <w:t>Severe Food Insecurity is Associated with Elevated Unprotected Sex among HIV-Seropositive Injection Drug Users Independent of HAART Use</w:t>
      </w:r>
      <w:r>
        <w:rPr>
          <w:rFonts w:ascii="Times New Roman" w:hAnsi="Times New Roman" w:cs="Times New Roman"/>
          <w:sz w:val="18"/>
          <w:szCs w:val="18"/>
        </w:rPr>
        <w:t>, 25 AIDS 2037-2041 (2011).</w:t>
      </w:r>
    </w:p>
    <w:p w:rsidR="002C5025" w:rsidRDefault="002C5025">
      <w:pPr>
        <w:pStyle w:val="BodyText"/>
        <w:kinsoku w:val="0"/>
        <w:overflowPunct w:val="0"/>
        <w:spacing w:before="4" w:line="204" w:lineRule="exact"/>
        <w:ind w:left="119" w:right="222"/>
        <w:jc w:val="both"/>
        <w:rPr>
          <w:rFonts w:ascii="Times New Roman" w:hAnsi="Times New Roman" w:cs="Times New Roman"/>
          <w:sz w:val="18"/>
          <w:szCs w:val="18"/>
        </w:rPr>
      </w:pPr>
      <w:r>
        <w:rPr>
          <w:rFonts w:ascii="Times New Roman" w:hAnsi="Times New Roman" w:cs="Times New Roman"/>
          <w:position w:val="6"/>
          <w:sz w:val="12"/>
          <w:szCs w:val="12"/>
        </w:rPr>
        <w:t xml:space="preserve">12 </w:t>
      </w:r>
      <w:r>
        <w:rPr>
          <w:rFonts w:ascii="Times New Roman" w:hAnsi="Times New Roman" w:cs="Times New Roman"/>
          <w:sz w:val="18"/>
          <w:szCs w:val="18"/>
        </w:rPr>
        <w:t xml:space="preserve">Carol Strike et al., </w:t>
      </w:r>
      <w:r>
        <w:rPr>
          <w:rFonts w:ascii="Times New Roman" w:hAnsi="Times New Roman" w:cs="Times New Roman"/>
          <w:i/>
          <w:iCs/>
          <w:sz w:val="18"/>
          <w:szCs w:val="18"/>
        </w:rPr>
        <w:t>Frequent Food Insecurity among Injection Drug Users: Correlates and Concerns</w:t>
      </w:r>
      <w:r>
        <w:rPr>
          <w:rFonts w:ascii="Times New Roman" w:hAnsi="Times New Roman" w:cs="Times New Roman"/>
          <w:sz w:val="18"/>
          <w:szCs w:val="18"/>
        </w:rPr>
        <w:t>, 12 BMC P</w:t>
      </w:r>
      <w:r>
        <w:rPr>
          <w:rFonts w:ascii="Times New Roman" w:hAnsi="Times New Roman" w:cs="Times New Roman"/>
          <w:sz w:val="14"/>
          <w:szCs w:val="14"/>
        </w:rPr>
        <w:t>UB</w:t>
      </w:r>
      <w:r>
        <w:rPr>
          <w:rFonts w:ascii="Times New Roman" w:hAnsi="Times New Roman" w:cs="Times New Roman"/>
          <w:sz w:val="18"/>
          <w:szCs w:val="18"/>
        </w:rPr>
        <w:t>. H</w:t>
      </w:r>
      <w:r>
        <w:rPr>
          <w:rFonts w:ascii="Times New Roman" w:hAnsi="Times New Roman" w:cs="Times New Roman"/>
          <w:sz w:val="14"/>
          <w:szCs w:val="14"/>
        </w:rPr>
        <w:t xml:space="preserve">EALTH </w:t>
      </w:r>
      <w:r>
        <w:rPr>
          <w:rFonts w:ascii="Times New Roman" w:hAnsi="Times New Roman" w:cs="Times New Roman"/>
          <w:sz w:val="18"/>
          <w:szCs w:val="18"/>
        </w:rPr>
        <w:t>7 (2012).</w:t>
      </w:r>
    </w:p>
    <w:p w:rsidR="002C5025" w:rsidRDefault="002C5025">
      <w:pPr>
        <w:pStyle w:val="BodyText"/>
        <w:kinsoku w:val="0"/>
        <w:overflowPunct w:val="0"/>
        <w:spacing w:line="235" w:lineRule="exact"/>
        <w:ind w:left="4"/>
        <w:jc w:val="center"/>
        <w:rPr>
          <w:rFonts w:ascii="Times New Roman" w:hAnsi="Times New Roman" w:cs="Times New Roman"/>
        </w:rPr>
      </w:pPr>
      <w:r>
        <w:rPr>
          <w:rFonts w:ascii="Times New Roman" w:hAnsi="Times New Roman" w:cs="Times New Roman"/>
        </w:rPr>
        <w:t>5</w:t>
      </w:r>
    </w:p>
    <w:p w:rsidR="002C5025" w:rsidRDefault="002C5025">
      <w:pPr>
        <w:pStyle w:val="BodyText"/>
        <w:kinsoku w:val="0"/>
        <w:overflowPunct w:val="0"/>
        <w:spacing w:line="235" w:lineRule="exact"/>
        <w:ind w:left="4"/>
        <w:jc w:val="center"/>
        <w:rPr>
          <w:rFonts w:ascii="Times New Roman" w:hAnsi="Times New Roman" w:cs="Times New Roman"/>
        </w:rPr>
        <w:sectPr w:rsidR="002C5025">
          <w:pgSz w:w="12240" w:h="15840"/>
          <w:pgMar w:top="1500" w:right="1320" w:bottom="280" w:left="1320" w:header="720" w:footer="720" w:gutter="0"/>
          <w:cols w:space="720"/>
          <w:noEndnote/>
        </w:sectPr>
      </w:pPr>
    </w:p>
    <w:p w:rsidR="002C5025" w:rsidRDefault="002C5025">
      <w:pPr>
        <w:pStyle w:val="BodyText"/>
        <w:kinsoku w:val="0"/>
        <w:overflowPunct w:val="0"/>
        <w:spacing w:before="9"/>
        <w:rPr>
          <w:rFonts w:ascii="Times New Roman" w:hAnsi="Times New Roman" w:cs="Times New Roman"/>
          <w:sz w:val="10"/>
          <w:szCs w:val="10"/>
        </w:rPr>
      </w:pPr>
    </w:p>
    <w:p w:rsidR="002C5025" w:rsidRDefault="002C5025">
      <w:pPr>
        <w:pStyle w:val="BodyText"/>
        <w:kinsoku w:val="0"/>
        <w:overflowPunct w:val="0"/>
        <w:spacing w:before="69"/>
        <w:ind w:left="120" w:right="112"/>
        <w:jc w:val="both"/>
        <w:rPr>
          <w:rFonts w:ascii="Times New Roman" w:hAnsi="Times New Roman" w:cs="Times New Roman"/>
          <w:sz w:val="24"/>
          <w:szCs w:val="24"/>
        </w:rPr>
      </w:pPr>
      <w:r>
        <w:rPr>
          <w:rFonts w:ascii="Times New Roman" w:hAnsi="Times New Roman" w:cs="Times New Roman"/>
          <w:sz w:val="24"/>
          <w:szCs w:val="24"/>
        </w:rPr>
        <w:t>determinants in the new MassHealth ACO model will positively impact individuals in the Commonwealth living with chronic illness. We believe that by clarifying flexible spending requirements, providing a uniform framework for the FSS program, and emphasizing FNS as a facet of whole-person treatment for SUDs, EOHHS can maximize this impact.</w:t>
      </w:r>
    </w:p>
    <w:p w:rsidR="002C5025" w:rsidRDefault="002C5025">
      <w:pPr>
        <w:pStyle w:val="BodyText"/>
        <w:kinsoku w:val="0"/>
        <w:overflowPunct w:val="0"/>
        <w:spacing w:before="197"/>
        <w:ind w:left="120" w:right="115"/>
        <w:jc w:val="both"/>
        <w:rPr>
          <w:rFonts w:ascii="Times New Roman" w:hAnsi="Times New Roman" w:cs="Times New Roman"/>
          <w:sz w:val="24"/>
          <w:szCs w:val="24"/>
        </w:rPr>
      </w:pPr>
      <w:r>
        <w:rPr>
          <w:rFonts w:ascii="Times New Roman" w:hAnsi="Times New Roman" w:cs="Times New Roman"/>
          <w:sz w:val="24"/>
          <w:szCs w:val="24"/>
        </w:rPr>
        <w:t>Again, we applaud EOHHS’s efforts to provide whole-person accountable care to MassHealth members, and we would be happy to work with the Office to address any of the comments described above.</w:t>
      </w:r>
    </w:p>
    <w:p w:rsidR="002C5025" w:rsidRDefault="002C5025">
      <w:pPr>
        <w:pStyle w:val="BodyText"/>
        <w:kinsoku w:val="0"/>
        <w:overflowPunct w:val="0"/>
        <w:spacing w:before="199"/>
        <w:ind w:left="120"/>
        <w:jc w:val="both"/>
        <w:rPr>
          <w:rFonts w:ascii="Times New Roman" w:hAnsi="Times New Roman" w:cs="Times New Roman"/>
          <w:sz w:val="24"/>
          <w:szCs w:val="24"/>
        </w:rPr>
      </w:pPr>
      <w:r>
        <w:rPr>
          <w:rFonts w:ascii="Times New Roman" w:hAnsi="Times New Roman" w:cs="Times New Roman"/>
          <w:sz w:val="24"/>
          <w:szCs w:val="24"/>
        </w:rPr>
        <w:t>Sincerely,</w:t>
      </w:r>
    </w:p>
    <w:p w:rsidR="002C5025" w:rsidRDefault="00FB027C">
      <w:pPr>
        <w:pStyle w:val="BodyText"/>
        <w:kinsoku w:val="0"/>
        <w:overflowPunct w:val="0"/>
        <w:rPr>
          <w:rFonts w:ascii="Times New Roman" w:hAnsi="Times New Roman" w:cs="Times New Roman"/>
          <w:sz w:val="15"/>
          <w:szCs w:val="15"/>
        </w:rPr>
      </w:pPr>
      <w:r>
        <w:rPr>
          <w:noProof/>
        </w:rPr>
        <mc:AlternateContent>
          <mc:Choice Requires="wps">
            <w:drawing>
              <wp:anchor distT="0" distB="0" distL="0" distR="0" simplePos="0" relativeHeight="251548160" behindDoc="0" locked="0" layoutInCell="0" allowOverlap="1">
                <wp:simplePos x="0" y="0"/>
                <wp:positionH relativeFrom="page">
                  <wp:posOffset>914400</wp:posOffset>
                </wp:positionH>
                <wp:positionV relativeFrom="paragraph">
                  <wp:posOffset>134620</wp:posOffset>
                </wp:positionV>
                <wp:extent cx="1549400" cy="482600"/>
                <wp:effectExtent l="0" t="0" r="0" b="0"/>
                <wp:wrapTopAndBottom/>
                <wp:docPr id="781" name="Rectangle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9400" cy="482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760" w:lineRule="atLeast"/>
                            </w:pPr>
                            <w:r>
                              <w:rPr>
                                <w:noProof/>
                              </w:rPr>
                              <w:drawing>
                                <wp:inline distT="0" distB="0" distL="0" distR="0">
                                  <wp:extent cx="1571625" cy="476250"/>
                                  <wp:effectExtent l="0" t="0" r="952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1571625" cy="476250"/>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4" o:spid="_x0000_s1147" style="position:absolute;margin-left:1in;margin-top:10.6pt;width:122pt;height:38pt;z-index:251548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" o:allowincell="f" filled="f" stroked="f">
                <v:textbox inset="0,0,0,0">
                  <w:txbxContent>
                    <w:p w:rsidR="007B2B7B" w:rsidRDefault="007B2B7B">
                      <w:pPr>
                        <w:widowControl/>
                        <w:autoSpaceDE/>
                        <w:autoSpaceDN/>
                        <w:adjustRightInd/>
                        <w:spacing w:line="760" w:lineRule="atLeast"/>
                      </w:pPr>
                      <w:r>
                        <w:rPr>
                          <w:noProof/>
                        </w:rPr>
                        <w:drawing>
                          <wp:inline distT="0" distB="0" distL="0" distR="0">
                            <wp:extent cx="1571625" cy="476250"/>
                            <wp:effectExtent l="0" t="0" r="952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571625" cy="476250"/>
                                    </a:xfrm>
                                    <a:prstGeom prst="rect">
                                      <a:avLst/>
                                    </a:prstGeom>
                                    <a:noFill/>
                                    <a:ln>
                                      <a:noFill/>
                                    </a:ln>
                                  </pic:spPr>
                                </pic:pic>
                              </a:graphicData>
                            </a:graphic>
                          </wp:inline>
                        </w:drawing>
                      </w:r>
                    </w:p>
                    <w:p w:rsidR="007B2B7B" w:rsidRDefault="007B2B7B"/>
                  </w:txbxContent>
                </v:textbox>
                <w10:wrap type="topAndBottom" anchorx="page"/>
              </v:rect>
            </w:pict>
          </mc:Fallback>
        </mc:AlternateContent>
      </w:r>
      <w:r>
        <w:rPr>
          <w:noProof/>
        </w:rPr>
        <mc:AlternateContent>
          <mc:Choice Requires="wps">
            <w:drawing>
              <wp:anchor distT="0" distB="0" distL="0" distR="0" simplePos="0" relativeHeight="251549184" behindDoc="0" locked="0" layoutInCell="0" allowOverlap="1">
                <wp:simplePos x="0" y="0"/>
                <wp:positionH relativeFrom="page">
                  <wp:posOffset>3779520</wp:posOffset>
                </wp:positionH>
                <wp:positionV relativeFrom="paragraph">
                  <wp:posOffset>241935</wp:posOffset>
                </wp:positionV>
                <wp:extent cx="1854200" cy="381000"/>
                <wp:effectExtent l="0" t="0" r="0" b="0"/>
                <wp:wrapTopAndBottom/>
                <wp:docPr id="780" name="Rectangle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42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600" w:lineRule="atLeast"/>
                            </w:pPr>
                            <w:r>
                              <w:rPr>
                                <w:noProof/>
                              </w:rPr>
                              <w:drawing>
                                <wp:inline distT="0" distB="0" distL="0" distR="0">
                                  <wp:extent cx="1847850" cy="38100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847850" cy="381000"/>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5" o:spid="_x0000_s1148" style="position:absolute;margin-left:297.6pt;margin-top:19.05pt;width:146pt;height:30pt;z-index:251549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" o:allowincell="f" filled="f" stroked="f">
                <v:textbox inset="0,0,0,0">
                  <w:txbxContent>
                    <w:p w:rsidR="007B2B7B" w:rsidRDefault="007B2B7B">
                      <w:pPr>
                        <w:widowControl/>
                        <w:autoSpaceDE/>
                        <w:autoSpaceDN/>
                        <w:adjustRightInd/>
                        <w:spacing w:line="600" w:lineRule="atLeast"/>
                      </w:pPr>
                      <w:r>
                        <w:rPr>
                          <w:noProof/>
                        </w:rPr>
                        <w:drawing>
                          <wp:inline distT="0" distB="0" distL="0" distR="0">
                            <wp:extent cx="1847850" cy="38100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847850" cy="381000"/>
                                    </a:xfrm>
                                    <a:prstGeom prst="rect">
                                      <a:avLst/>
                                    </a:prstGeom>
                                    <a:noFill/>
                                    <a:ln>
                                      <a:noFill/>
                                    </a:ln>
                                  </pic:spPr>
                                </pic:pic>
                              </a:graphicData>
                            </a:graphic>
                          </wp:inline>
                        </w:drawing>
                      </w:r>
                    </w:p>
                    <w:p w:rsidR="007B2B7B" w:rsidRDefault="007B2B7B"/>
                  </w:txbxContent>
                </v:textbox>
                <w10:wrap type="topAndBottom" anchorx="page"/>
              </v:rect>
            </w:pict>
          </mc:Fallback>
        </mc:AlternateContent>
      </w:r>
    </w:p>
    <w:p w:rsidR="002C5025" w:rsidRDefault="002C5025">
      <w:pPr>
        <w:pStyle w:val="BodyText"/>
        <w:tabs>
          <w:tab w:val="left" w:pos="5159"/>
        </w:tabs>
        <w:kinsoku w:val="0"/>
        <w:overflowPunct w:val="0"/>
        <w:spacing w:before="159" w:line="275" w:lineRule="exact"/>
        <w:ind w:left="120"/>
        <w:jc w:val="both"/>
        <w:rPr>
          <w:rFonts w:ascii="Times New Roman" w:hAnsi="Times New Roman" w:cs="Times New Roman"/>
          <w:sz w:val="24"/>
          <w:szCs w:val="24"/>
        </w:rPr>
      </w:pPr>
      <w:r>
        <w:rPr>
          <w:rFonts w:ascii="Times New Roman" w:hAnsi="Times New Roman" w:cs="Times New Roman"/>
          <w:sz w:val="24"/>
          <w:szCs w:val="24"/>
        </w:rPr>
        <w:t>Robert</w:t>
      </w:r>
      <w:r>
        <w:rPr>
          <w:rFonts w:ascii="Times New Roman" w:hAnsi="Times New Roman" w:cs="Times New Roman"/>
          <w:spacing w:val="-7"/>
          <w:sz w:val="24"/>
          <w:szCs w:val="24"/>
        </w:rPr>
        <w:t xml:space="preserve"> </w:t>
      </w:r>
      <w:r>
        <w:rPr>
          <w:rFonts w:ascii="Times New Roman" w:hAnsi="Times New Roman" w:cs="Times New Roman"/>
          <w:sz w:val="24"/>
          <w:szCs w:val="24"/>
        </w:rPr>
        <w:t>Greenwald</w:t>
      </w:r>
      <w:r>
        <w:rPr>
          <w:rFonts w:ascii="Times New Roman" w:hAnsi="Times New Roman" w:cs="Times New Roman"/>
          <w:sz w:val="24"/>
          <w:szCs w:val="24"/>
        </w:rPr>
        <w:tab/>
        <w:t>David</w:t>
      </w:r>
      <w:r>
        <w:rPr>
          <w:rFonts w:ascii="Times New Roman" w:hAnsi="Times New Roman" w:cs="Times New Roman"/>
          <w:spacing w:val="-13"/>
          <w:sz w:val="24"/>
          <w:szCs w:val="24"/>
        </w:rPr>
        <w:t xml:space="preserve"> </w:t>
      </w:r>
      <w:r>
        <w:rPr>
          <w:rFonts w:ascii="Times New Roman" w:hAnsi="Times New Roman" w:cs="Times New Roman"/>
          <w:sz w:val="24"/>
          <w:szCs w:val="24"/>
        </w:rPr>
        <w:t>Waters</w:t>
      </w:r>
    </w:p>
    <w:p w:rsidR="002C5025" w:rsidRDefault="002C5025">
      <w:pPr>
        <w:pStyle w:val="BodyText"/>
        <w:tabs>
          <w:tab w:val="left" w:pos="5159"/>
        </w:tabs>
        <w:kinsoku w:val="0"/>
        <w:overflowPunct w:val="0"/>
        <w:spacing w:line="242" w:lineRule="auto"/>
        <w:ind w:left="119" w:right="1815"/>
        <w:rPr>
          <w:rFonts w:ascii="Times New Roman" w:hAnsi="Times New Roman" w:cs="Times New Roman"/>
          <w:sz w:val="24"/>
          <w:szCs w:val="24"/>
        </w:rPr>
      </w:pPr>
      <w:r>
        <w:rPr>
          <w:rFonts w:ascii="Times New Roman" w:hAnsi="Times New Roman" w:cs="Times New Roman"/>
          <w:sz w:val="24"/>
          <w:szCs w:val="24"/>
        </w:rPr>
        <w:t>Faculty</w:t>
      </w:r>
      <w:r>
        <w:rPr>
          <w:rFonts w:ascii="Times New Roman" w:hAnsi="Times New Roman" w:cs="Times New Roman"/>
          <w:spacing w:val="-13"/>
          <w:sz w:val="24"/>
          <w:szCs w:val="24"/>
        </w:rPr>
        <w:t xml:space="preserve"> </w:t>
      </w:r>
      <w:r>
        <w:rPr>
          <w:rFonts w:ascii="Times New Roman" w:hAnsi="Times New Roman" w:cs="Times New Roman"/>
          <w:sz w:val="24"/>
          <w:szCs w:val="24"/>
        </w:rPr>
        <w:t>Director,</w:t>
      </w:r>
      <w:r>
        <w:rPr>
          <w:rFonts w:ascii="Times New Roman" w:hAnsi="Times New Roman" w:cs="Times New Roman"/>
          <w:spacing w:val="-3"/>
          <w:sz w:val="24"/>
          <w:szCs w:val="24"/>
        </w:rPr>
        <w:t xml:space="preserve"> </w:t>
      </w:r>
      <w:r>
        <w:rPr>
          <w:rFonts w:ascii="Times New Roman" w:hAnsi="Times New Roman" w:cs="Times New Roman"/>
          <w:sz w:val="24"/>
          <w:szCs w:val="24"/>
        </w:rPr>
        <w:t>CHLPI</w:t>
      </w:r>
      <w:r>
        <w:rPr>
          <w:rFonts w:ascii="Times New Roman" w:hAnsi="Times New Roman" w:cs="Times New Roman"/>
          <w:sz w:val="24"/>
          <w:szCs w:val="24"/>
        </w:rPr>
        <w:tab/>
        <w:t>CEO,</w:t>
      </w:r>
      <w:r>
        <w:rPr>
          <w:rFonts w:ascii="Times New Roman" w:hAnsi="Times New Roman" w:cs="Times New Roman"/>
          <w:spacing w:val="-11"/>
          <w:sz w:val="24"/>
          <w:szCs w:val="24"/>
        </w:rPr>
        <w:t xml:space="preserve"> </w:t>
      </w:r>
      <w:r>
        <w:rPr>
          <w:rFonts w:ascii="Times New Roman" w:hAnsi="Times New Roman" w:cs="Times New Roman"/>
          <w:sz w:val="24"/>
          <w:szCs w:val="24"/>
        </w:rPr>
        <w:t>Community</w:t>
      </w:r>
      <w:r>
        <w:rPr>
          <w:rFonts w:ascii="Times New Roman" w:hAnsi="Times New Roman" w:cs="Times New Roman"/>
          <w:spacing w:val="-23"/>
          <w:sz w:val="24"/>
          <w:szCs w:val="24"/>
        </w:rPr>
        <w:t xml:space="preserve"> </w:t>
      </w:r>
      <w:r>
        <w:rPr>
          <w:rFonts w:ascii="Times New Roman" w:hAnsi="Times New Roman" w:cs="Times New Roman"/>
          <w:sz w:val="24"/>
          <w:szCs w:val="24"/>
        </w:rPr>
        <w:t>Servings</w:t>
      </w:r>
      <w:r>
        <w:rPr>
          <w:rFonts w:ascii="Times New Roman" w:hAnsi="Times New Roman" w:cs="Times New Roman"/>
          <w:spacing w:val="-3"/>
          <w:w w:val="99"/>
          <w:sz w:val="24"/>
          <w:szCs w:val="24"/>
        </w:rPr>
        <w:t xml:space="preserve"> </w:t>
      </w:r>
      <w:r>
        <w:rPr>
          <w:rFonts w:ascii="Times New Roman" w:hAnsi="Times New Roman" w:cs="Times New Roman"/>
          <w:sz w:val="24"/>
          <w:szCs w:val="24"/>
        </w:rPr>
        <w:t xml:space="preserve">Clinical Professor of Law, Harvard </w:t>
      </w:r>
      <w:r>
        <w:rPr>
          <w:rFonts w:ascii="Times New Roman" w:hAnsi="Times New Roman" w:cs="Times New Roman"/>
          <w:spacing w:val="-3"/>
          <w:sz w:val="24"/>
          <w:szCs w:val="24"/>
        </w:rPr>
        <w:t>Law</w:t>
      </w:r>
      <w:r>
        <w:rPr>
          <w:rFonts w:ascii="Times New Roman" w:hAnsi="Times New Roman" w:cs="Times New Roman"/>
          <w:spacing w:val="-38"/>
          <w:sz w:val="24"/>
          <w:szCs w:val="24"/>
        </w:rPr>
        <w:t xml:space="preserve"> </w:t>
      </w:r>
      <w:r>
        <w:rPr>
          <w:rFonts w:ascii="Times New Roman" w:hAnsi="Times New Roman" w:cs="Times New Roman"/>
          <w:sz w:val="24"/>
          <w:szCs w:val="24"/>
        </w:rPr>
        <w:t>School</w:t>
      </w:r>
    </w:p>
    <w:p w:rsidR="002C5025" w:rsidRDefault="002C5025">
      <w:pPr>
        <w:pStyle w:val="BodyText"/>
        <w:kinsoku w:val="0"/>
        <w:overflowPunct w:val="0"/>
        <w:spacing w:before="199"/>
        <w:ind w:left="120"/>
        <w:jc w:val="both"/>
        <w:rPr>
          <w:rFonts w:ascii="Times New Roman" w:hAnsi="Times New Roman" w:cs="Times New Roman"/>
          <w:sz w:val="24"/>
          <w:szCs w:val="24"/>
        </w:rPr>
      </w:pPr>
      <w:r>
        <w:rPr>
          <w:rFonts w:ascii="Times New Roman" w:hAnsi="Times New Roman" w:cs="Times New Roman"/>
          <w:sz w:val="24"/>
          <w:szCs w:val="24"/>
        </w:rPr>
        <w:t>Together with the following:</w:t>
      </w:r>
    </w:p>
    <w:p w:rsidR="002C5025" w:rsidRDefault="002C5025">
      <w:pPr>
        <w:pStyle w:val="BodyText"/>
        <w:kinsoku w:val="0"/>
        <w:overflowPunct w:val="0"/>
        <w:spacing w:before="199" w:line="412" w:lineRule="auto"/>
        <w:ind w:left="119" w:right="2753"/>
        <w:rPr>
          <w:rFonts w:ascii="Times New Roman" w:hAnsi="Times New Roman" w:cs="Times New Roman"/>
          <w:sz w:val="24"/>
          <w:szCs w:val="24"/>
        </w:rPr>
      </w:pPr>
      <w:r>
        <w:rPr>
          <w:rFonts w:ascii="Times New Roman" w:hAnsi="Times New Roman" w:cs="Times New Roman"/>
          <w:sz w:val="24"/>
          <w:szCs w:val="24"/>
        </w:rPr>
        <w:t xml:space="preserve">Action for Boston Community Development, Inc., Boston, MA Children’s </w:t>
      </w:r>
      <w:proofErr w:type="spellStart"/>
      <w:r>
        <w:rPr>
          <w:rFonts w:ascii="Times New Roman" w:hAnsi="Times New Roman" w:cs="Times New Roman"/>
          <w:sz w:val="24"/>
          <w:szCs w:val="24"/>
        </w:rPr>
        <w:t>HealthWatch</w:t>
      </w:r>
      <w:proofErr w:type="spellEnd"/>
      <w:r>
        <w:rPr>
          <w:rFonts w:ascii="Times New Roman" w:hAnsi="Times New Roman" w:cs="Times New Roman"/>
          <w:sz w:val="24"/>
          <w:szCs w:val="24"/>
        </w:rPr>
        <w:t>, Boston, MA</w:t>
      </w:r>
    </w:p>
    <w:p w:rsidR="002C5025" w:rsidRDefault="002C5025">
      <w:pPr>
        <w:pStyle w:val="BodyText"/>
        <w:kinsoku w:val="0"/>
        <w:overflowPunct w:val="0"/>
        <w:spacing w:before="15" w:line="412" w:lineRule="auto"/>
        <w:ind w:left="119" w:right="5427"/>
        <w:rPr>
          <w:rFonts w:ascii="Times New Roman" w:hAnsi="Times New Roman" w:cs="Times New Roman"/>
          <w:sz w:val="24"/>
          <w:szCs w:val="24"/>
        </w:rPr>
      </w:pPr>
      <w:r>
        <w:rPr>
          <w:rFonts w:ascii="Times New Roman" w:hAnsi="Times New Roman" w:cs="Times New Roman"/>
          <w:sz w:val="24"/>
          <w:szCs w:val="24"/>
        </w:rPr>
        <w:t>Fresh Advantage® LLC, Cambridge, MA Health Care for All, Boston, MA</w:t>
      </w:r>
    </w:p>
    <w:p w:rsidR="002C5025" w:rsidRDefault="002C5025">
      <w:pPr>
        <w:pStyle w:val="BodyText"/>
        <w:kinsoku w:val="0"/>
        <w:overflowPunct w:val="0"/>
        <w:spacing w:before="15" w:line="412" w:lineRule="auto"/>
        <w:ind w:left="120" w:right="4180"/>
        <w:rPr>
          <w:rFonts w:ascii="Times New Roman" w:hAnsi="Times New Roman" w:cs="Times New Roman"/>
          <w:sz w:val="24"/>
          <w:szCs w:val="24"/>
        </w:rPr>
      </w:pPr>
      <w:r>
        <w:rPr>
          <w:rFonts w:ascii="Times New Roman" w:hAnsi="Times New Roman" w:cs="Times New Roman"/>
          <w:sz w:val="24"/>
          <w:szCs w:val="24"/>
        </w:rPr>
        <w:t xml:space="preserve">Health Care Without Harm, Boston, MA Massachusetts </w:t>
      </w:r>
      <w:r>
        <w:rPr>
          <w:rFonts w:ascii="Times New Roman" w:hAnsi="Times New Roman" w:cs="Times New Roman"/>
          <w:spacing w:val="-4"/>
          <w:sz w:val="24"/>
          <w:szCs w:val="24"/>
        </w:rPr>
        <w:t xml:space="preserve">Law </w:t>
      </w:r>
      <w:r>
        <w:rPr>
          <w:rFonts w:ascii="Times New Roman" w:hAnsi="Times New Roman" w:cs="Times New Roman"/>
          <w:sz w:val="24"/>
          <w:szCs w:val="24"/>
        </w:rPr>
        <w:t>Reform Institute, Inc., Boston, MA The Greater Boston Food Bank, Boston, MA</w:t>
      </w:r>
    </w:p>
    <w:p w:rsidR="002C5025" w:rsidRDefault="002C5025">
      <w:pPr>
        <w:pStyle w:val="BodyText"/>
        <w:kinsoku w:val="0"/>
        <w:overflowPunct w:val="0"/>
        <w:spacing w:before="17"/>
        <w:ind w:left="119"/>
        <w:jc w:val="both"/>
        <w:rPr>
          <w:rFonts w:ascii="Times New Roman" w:hAnsi="Times New Roman" w:cs="Times New Roman"/>
          <w:sz w:val="24"/>
          <w:szCs w:val="24"/>
        </w:rPr>
      </w:pPr>
      <w:r>
        <w:rPr>
          <w:rFonts w:ascii="Times New Roman" w:hAnsi="Times New Roman" w:cs="Times New Roman"/>
          <w:sz w:val="24"/>
          <w:szCs w:val="24"/>
        </w:rPr>
        <w:t>The Open Door, Gloucester, MA</w:t>
      </w:r>
    </w:p>
    <w:p w:rsidR="002C5025" w:rsidRDefault="002C5025">
      <w:pPr>
        <w:pStyle w:val="BodyText"/>
        <w:kinsoku w:val="0"/>
        <w:overflowPunct w:val="0"/>
        <w:spacing w:before="199"/>
        <w:ind w:left="119"/>
        <w:jc w:val="both"/>
        <w:rPr>
          <w:rFonts w:ascii="Times New Roman" w:hAnsi="Times New Roman" w:cs="Times New Roman"/>
          <w:sz w:val="24"/>
          <w:szCs w:val="24"/>
        </w:rPr>
      </w:pPr>
      <w:r>
        <w:rPr>
          <w:rFonts w:ascii="Times New Roman" w:hAnsi="Times New Roman" w:cs="Times New Roman"/>
          <w:sz w:val="24"/>
          <w:szCs w:val="24"/>
        </w:rPr>
        <w:t>Worcester County Food Bank, Shrewsbury, MA</w:t>
      </w:r>
    </w:p>
    <w:p w:rsidR="002C5025" w:rsidRDefault="002C5025">
      <w:pPr>
        <w:pStyle w:val="BodyText"/>
        <w:kinsoku w:val="0"/>
        <w:overflowPunct w:val="0"/>
        <w:spacing w:before="199"/>
        <w:ind w:left="119" w:right="729"/>
        <w:rPr>
          <w:rFonts w:ascii="Times New Roman" w:hAnsi="Times New Roman" w:cs="Times New Roman"/>
          <w:sz w:val="24"/>
          <w:szCs w:val="24"/>
        </w:rPr>
      </w:pPr>
      <w:proofErr w:type="spellStart"/>
      <w:r>
        <w:rPr>
          <w:rFonts w:ascii="Times New Roman" w:hAnsi="Times New Roman" w:cs="Times New Roman"/>
          <w:sz w:val="24"/>
          <w:szCs w:val="24"/>
        </w:rPr>
        <w:t>Avik</w:t>
      </w:r>
      <w:proofErr w:type="spellEnd"/>
      <w:r>
        <w:rPr>
          <w:rFonts w:ascii="Times New Roman" w:hAnsi="Times New Roman" w:cs="Times New Roman"/>
          <w:sz w:val="24"/>
          <w:szCs w:val="24"/>
        </w:rPr>
        <w:t xml:space="preserve"> Chatterjee, MD, MPH, Physician, Boston Health Care for the Homeless Program and Instructor, Harvard Medical School</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8"/>
        <w:rPr>
          <w:rFonts w:ascii="Times New Roman" w:hAnsi="Times New Roman" w:cs="Times New Roman"/>
          <w:sz w:val="29"/>
          <w:szCs w:val="29"/>
        </w:rPr>
      </w:pPr>
    </w:p>
    <w:p w:rsidR="002C5025" w:rsidRDefault="002C5025">
      <w:pPr>
        <w:pStyle w:val="BodyText"/>
        <w:kinsoku w:val="0"/>
        <w:overflowPunct w:val="0"/>
        <w:spacing w:before="72"/>
        <w:ind w:left="4"/>
        <w:jc w:val="center"/>
        <w:rPr>
          <w:rFonts w:ascii="Times New Roman" w:hAnsi="Times New Roman" w:cs="Times New Roman"/>
        </w:rPr>
      </w:pPr>
      <w:r>
        <w:rPr>
          <w:rFonts w:ascii="Times New Roman" w:hAnsi="Times New Roman" w:cs="Times New Roman"/>
        </w:rPr>
        <w:t>6</w:t>
      </w:r>
    </w:p>
    <w:p w:rsidR="002C5025" w:rsidRDefault="002C5025">
      <w:pPr>
        <w:pStyle w:val="BodyText"/>
        <w:kinsoku w:val="0"/>
        <w:overflowPunct w:val="0"/>
        <w:spacing w:before="72"/>
        <w:ind w:left="4"/>
        <w:jc w:val="center"/>
        <w:rPr>
          <w:rFonts w:ascii="Times New Roman" w:hAnsi="Times New Roman" w:cs="Times New Roman"/>
        </w:rPr>
        <w:sectPr w:rsidR="002C5025">
          <w:pgSz w:w="12240" w:h="15840"/>
          <w:pgMar w:top="1500" w:right="1320" w:bottom="280" w:left="1320" w:header="720" w:footer="720" w:gutter="0"/>
          <w:cols w:space="720"/>
          <w:noEndnote/>
        </w:sectPr>
      </w:pPr>
    </w:p>
    <w:p w:rsidR="002C5025" w:rsidRDefault="00FB027C">
      <w:pPr>
        <w:pStyle w:val="BodyText"/>
        <w:kinsoku w:val="0"/>
        <w:overflowPunct w:val="0"/>
        <w:ind w:left="4752"/>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extent cx="1390650" cy="561975"/>
            <wp:effectExtent l="0" t="0" r="0" b="952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390650" cy="561975"/>
                    </a:xfrm>
                    <a:prstGeom prst="rect">
                      <a:avLst/>
                    </a:prstGeom>
                    <a:noFill/>
                    <a:ln>
                      <a:noFill/>
                    </a:ln>
                  </pic:spPr>
                </pic:pic>
              </a:graphicData>
            </a:graphic>
          </wp:inline>
        </w:drawing>
      </w:r>
    </w:p>
    <w:p w:rsidR="002C5025" w:rsidRDefault="00FB027C">
      <w:pPr>
        <w:pStyle w:val="BodyText"/>
        <w:tabs>
          <w:tab w:val="left" w:pos="515"/>
          <w:tab w:val="left" w:pos="1012"/>
          <w:tab w:val="left" w:pos="1521"/>
          <w:tab w:val="left" w:pos="1987"/>
        </w:tabs>
        <w:kinsoku w:val="0"/>
        <w:overflowPunct w:val="0"/>
        <w:spacing w:line="305" w:lineRule="exact"/>
        <w:ind w:right="99"/>
        <w:jc w:val="center"/>
        <w:rPr>
          <w:rFonts w:ascii="Times New Roman" w:hAnsi="Times New Roman" w:cs="Times New Roman"/>
          <w:position w:val="3"/>
          <w:sz w:val="23"/>
          <w:szCs w:val="23"/>
        </w:rPr>
      </w:pPr>
      <w:r>
        <w:rPr>
          <w:noProof/>
        </w:rPr>
        <mc:AlternateContent>
          <mc:Choice Requires="wps">
            <w:drawing>
              <wp:anchor distT="0" distB="0" distL="0" distR="0" simplePos="0" relativeHeight="251550208" behindDoc="0" locked="0" layoutInCell="0" allowOverlap="1">
                <wp:simplePos x="0" y="0"/>
                <wp:positionH relativeFrom="page">
                  <wp:posOffset>3141345</wp:posOffset>
                </wp:positionH>
                <wp:positionV relativeFrom="paragraph">
                  <wp:posOffset>233045</wp:posOffset>
                </wp:positionV>
                <wp:extent cx="1357630" cy="12700"/>
                <wp:effectExtent l="0" t="0" r="0" b="0"/>
                <wp:wrapTopAndBottom/>
                <wp:docPr id="779" name="Freeform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7630" cy="12700"/>
                        </a:xfrm>
                        <a:custGeom>
                          <a:avLst/>
                          <a:gdLst>
                            <a:gd name="T0" fmla="*/ 0 w 2138"/>
                            <a:gd name="T1" fmla="*/ 0 h 20"/>
                            <a:gd name="T2" fmla="*/ 2138 w 2138"/>
                            <a:gd name="T3" fmla="*/ 0 h 20"/>
                          </a:gdLst>
                          <a:ahLst/>
                          <a:cxnLst>
                            <a:cxn ang="0">
                              <a:pos x="T0" y="T1"/>
                            </a:cxn>
                            <a:cxn ang="0">
                              <a:pos x="T2" y="T3"/>
                            </a:cxn>
                          </a:cxnLst>
                          <a:rect l="0" t="0" r="r" b="b"/>
                          <a:pathLst>
                            <a:path w="2138" h="20">
                              <a:moveTo>
                                <a:pt x="0" y="0"/>
                              </a:moveTo>
                              <a:lnTo>
                                <a:pt x="2138" y="0"/>
                              </a:lnTo>
                            </a:path>
                          </a:pathLst>
                        </a:custGeom>
                        <a:noFill/>
                        <a:ln w="1802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46" o:spid="_x0000_s1026" style="position:absolute;z-index:25155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247.35pt,18.35pt,354.25pt,18.35pt" coordsize="213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" o:allowincell="f" filled="f" strokeweight=".50058mm">
                <v:path arrowok="t" o:connecttype="custom" o:connectlocs="0,0;1357630,0" o:connectangles="0,0"/>
                <w10:wrap type="topAndBottom" anchorx="page"/>
              </v:polyline>
            </w:pict>
          </mc:Fallback>
        </mc:AlternateContent>
      </w:r>
      <w:bookmarkStart w:id="81" w:name="CHAPA_Comments_1115_Demonstration_Extens"/>
      <w:bookmarkEnd w:id="81"/>
      <w:r w:rsidR="002C5025">
        <w:rPr>
          <w:rFonts w:ascii="Arial" w:hAnsi="Arial" w:cs="Arial"/>
          <w:sz w:val="29"/>
          <w:szCs w:val="29"/>
        </w:rPr>
        <w:t>c</w:t>
      </w:r>
      <w:r w:rsidR="002C5025">
        <w:rPr>
          <w:rFonts w:ascii="Arial" w:hAnsi="Arial" w:cs="Arial"/>
          <w:sz w:val="29"/>
          <w:szCs w:val="29"/>
        </w:rPr>
        <w:tab/>
      </w:r>
      <w:r w:rsidR="002C5025">
        <w:rPr>
          <w:rFonts w:ascii="Times New Roman" w:hAnsi="Times New Roman" w:cs="Times New Roman"/>
          <w:sz w:val="24"/>
          <w:szCs w:val="24"/>
        </w:rPr>
        <w:t>H</w:t>
      </w:r>
      <w:r w:rsidR="002C5025">
        <w:rPr>
          <w:rFonts w:ascii="Times New Roman" w:hAnsi="Times New Roman" w:cs="Times New Roman"/>
          <w:sz w:val="24"/>
          <w:szCs w:val="24"/>
        </w:rPr>
        <w:tab/>
      </w:r>
      <w:r w:rsidR="002C5025">
        <w:rPr>
          <w:rFonts w:ascii="Times New Roman" w:hAnsi="Times New Roman" w:cs="Times New Roman"/>
          <w:sz w:val="23"/>
          <w:szCs w:val="23"/>
        </w:rPr>
        <w:t>A</w:t>
      </w:r>
      <w:r w:rsidR="002C5025">
        <w:rPr>
          <w:rFonts w:ascii="Times New Roman" w:hAnsi="Times New Roman" w:cs="Times New Roman"/>
          <w:sz w:val="23"/>
          <w:szCs w:val="23"/>
        </w:rPr>
        <w:tab/>
      </w:r>
      <w:r w:rsidR="002C5025">
        <w:rPr>
          <w:rFonts w:ascii="Times New Roman" w:hAnsi="Times New Roman" w:cs="Times New Roman"/>
          <w:position w:val="3"/>
          <w:sz w:val="23"/>
          <w:szCs w:val="23"/>
        </w:rPr>
        <w:t>p</w:t>
      </w:r>
      <w:r w:rsidR="002C5025">
        <w:rPr>
          <w:rFonts w:ascii="Times New Roman" w:hAnsi="Times New Roman" w:cs="Times New Roman"/>
          <w:position w:val="3"/>
          <w:sz w:val="23"/>
          <w:szCs w:val="23"/>
        </w:rPr>
        <w:tab/>
        <w:t>A</w:t>
      </w:r>
    </w:p>
    <w:p w:rsidR="002C5025" w:rsidRDefault="002C5025">
      <w:pPr>
        <w:pStyle w:val="BodyText"/>
        <w:kinsoku w:val="0"/>
        <w:overflowPunct w:val="0"/>
        <w:spacing w:before="56" w:line="249" w:lineRule="auto"/>
        <w:ind w:left="4699" w:right="4756" w:hanging="34"/>
        <w:jc w:val="center"/>
        <w:rPr>
          <w:rFonts w:ascii="Arial" w:hAnsi="Arial" w:cs="Arial"/>
          <w:sz w:val="18"/>
          <w:szCs w:val="18"/>
        </w:rPr>
      </w:pPr>
      <w:r>
        <w:rPr>
          <w:rFonts w:ascii="Arial" w:hAnsi="Arial" w:cs="Arial"/>
          <w:sz w:val="18"/>
          <w:szCs w:val="18"/>
        </w:rPr>
        <w:t>Citizens' Housing and Planning Association,  Inc.</w:t>
      </w:r>
    </w:p>
    <w:p w:rsidR="002C5025" w:rsidRDefault="002C5025">
      <w:pPr>
        <w:pStyle w:val="BodyText"/>
        <w:kinsoku w:val="0"/>
        <w:overflowPunct w:val="0"/>
        <w:rPr>
          <w:rFonts w:ascii="Arial" w:hAnsi="Arial" w:cs="Arial"/>
          <w:sz w:val="18"/>
          <w:szCs w:val="18"/>
        </w:rPr>
      </w:pPr>
    </w:p>
    <w:p w:rsidR="002C5025" w:rsidRDefault="002C5025">
      <w:pPr>
        <w:pStyle w:val="BodyText"/>
        <w:kinsoku w:val="0"/>
        <w:overflowPunct w:val="0"/>
        <w:rPr>
          <w:rFonts w:ascii="Arial" w:hAnsi="Arial" w:cs="Arial"/>
          <w:sz w:val="25"/>
          <w:szCs w:val="25"/>
        </w:rPr>
      </w:pPr>
    </w:p>
    <w:p w:rsidR="002C5025" w:rsidRDefault="002C5025">
      <w:pPr>
        <w:pStyle w:val="BodyText"/>
        <w:kinsoku w:val="0"/>
        <w:overflowPunct w:val="0"/>
        <w:spacing w:line="176" w:lineRule="exact"/>
        <w:ind w:left="107" w:right="1294"/>
        <w:rPr>
          <w:rFonts w:ascii="Arial" w:hAnsi="Arial" w:cs="Arial"/>
          <w:w w:val="105"/>
          <w:sz w:val="17"/>
          <w:szCs w:val="17"/>
        </w:rPr>
      </w:pPr>
      <w:r>
        <w:rPr>
          <w:rFonts w:ascii="Arial" w:hAnsi="Arial" w:cs="Arial"/>
          <w:w w:val="105"/>
          <w:sz w:val="17"/>
          <w:szCs w:val="17"/>
        </w:rPr>
        <w:t>President</w:t>
      </w:r>
    </w:p>
    <w:p w:rsidR="002C5025" w:rsidRDefault="002C5025">
      <w:pPr>
        <w:pStyle w:val="BodyText"/>
        <w:tabs>
          <w:tab w:val="left" w:pos="2162"/>
        </w:tabs>
        <w:kinsoku w:val="0"/>
        <w:overflowPunct w:val="0"/>
        <w:spacing w:line="214" w:lineRule="exact"/>
        <w:ind w:left="103" w:right="1294"/>
        <w:rPr>
          <w:rFonts w:ascii="Arial" w:hAnsi="Arial" w:cs="Arial"/>
          <w:spacing w:val="-4"/>
          <w:position w:val="3"/>
          <w:sz w:val="18"/>
          <w:szCs w:val="18"/>
        </w:rPr>
      </w:pPr>
      <w:r>
        <w:rPr>
          <w:rFonts w:ascii="Arial" w:hAnsi="Arial" w:cs="Arial"/>
          <w:i/>
          <w:iCs/>
          <w:sz w:val="16"/>
          <w:szCs w:val="16"/>
        </w:rPr>
        <w:t>Jeanne</w:t>
      </w:r>
      <w:r>
        <w:rPr>
          <w:rFonts w:ascii="Arial" w:hAnsi="Arial" w:cs="Arial"/>
          <w:i/>
          <w:iCs/>
          <w:spacing w:val="-20"/>
          <w:sz w:val="16"/>
          <w:szCs w:val="16"/>
        </w:rPr>
        <w:t xml:space="preserve"> </w:t>
      </w:r>
      <w:proofErr w:type="spellStart"/>
      <w:r>
        <w:rPr>
          <w:rFonts w:ascii="Arial" w:hAnsi="Arial" w:cs="Arial"/>
          <w:i/>
          <w:iCs/>
          <w:sz w:val="16"/>
          <w:szCs w:val="16"/>
        </w:rPr>
        <w:t>Pinado</w:t>
      </w:r>
      <w:proofErr w:type="spellEnd"/>
      <w:r>
        <w:rPr>
          <w:rFonts w:ascii="Arial" w:hAnsi="Arial" w:cs="Arial"/>
          <w:i/>
          <w:iCs/>
          <w:sz w:val="16"/>
          <w:szCs w:val="16"/>
        </w:rPr>
        <w:tab/>
      </w:r>
      <w:r>
        <w:rPr>
          <w:rFonts w:ascii="Arial" w:hAnsi="Arial" w:cs="Arial"/>
          <w:position w:val="3"/>
          <w:sz w:val="18"/>
          <w:szCs w:val="18"/>
        </w:rPr>
        <w:t xml:space="preserve">July  </w:t>
      </w:r>
      <w:r>
        <w:rPr>
          <w:rFonts w:ascii="Arial" w:hAnsi="Arial" w:cs="Arial"/>
          <w:spacing w:val="-16"/>
          <w:position w:val="3"/>
          <w:sz w:val="18"/>
          <w:szCs w:val="18"/>
        </w:rPr>
        <w:t>15,</w:t>
      </w:r>
      <w:r>
        <w:rPr>
          <w:rFonts w:ascii="Arial" w:hAnsi="Arial" w:cs="Arial"/>
          <w:spacing w:val="-17"/>
          <w:position w:val="3"/>
          <w:sz w:val="18"/>
          <w:szCs w:val="18"/>
        </w:rPr>
        <w:t xml:space="preserve"> </w:t>
      </w:r>
      <w:r>
        <w:rPr>
          <w:rFonts w:ascii="Arial" w:hAnsi="Arial" w:cs="Arial"/>
          <w:spacing w:val="-4"/>
          <w:position w:val="3"/>
          <w:sz w:val="18"/>
          <w:szCs w:val="18"/>
        </w:rPr>
        <w:t>2016</w:t>
      </w:r>
    </w:p>
    <w:p w:rsidR="002C5025" w:rsidRDefault="002C5025">
      <w:pPr>
        <w:pStyle w:val="BodyText"/>
        <w:kinsoku w:val="0"/>
        <w:overflowPunct w:val="0"/>
        <w:spacing w:before="126" w:line="190" w:lineRule="exact"/>
        <w:ind w:left="107" w:right="1294"/>
        <w:rPr>
          <w:rFonts w:ascii="Arial" w:hAnsi="Arial" w:cs="Arial"/>
          <w:sz w:val="17"/>
          <w:szCs w:val="17"/>
        </w:rPr>
      </w:pPr>
      <w:r>
        <w:rPr>
          <w:rFonts w:ascii="Arial" w:hAnsi="Arial" w:cs="Arial"/>
          <w:sz w:val="17"/>
          <w:szCs w:val="17"/>
        </w:rPr>
        <w:t>Vice President</w:t>
      </w:r>
    </w:p>
    <w:p w:rsidR="002C5025" w:rsidRDefault="002C5025">
      <w:pPr>
        <w:pStyle w:val="BodyText"/>
        <w:tabs>
          <w:tab w:val="left" w:pos="2176"/>
        </w:tabs>
        <w:kinsoku w:val="0"/>
        <w:overflowPunct w:val="0"/>
        <w:spacing w:line="226" w:lineRule="exact"/>
        <w:ind w:left="112" w:right="1294"/>
        <w:rPr>
          <w:rFonts w:ascii="Arial" w:hAnsi="Arial" w:cs="Arial"/>
          <w:sz w:val="18"/>
          <w:szCs w:val="18"/>
        </w:rPr>
      </w:pPr>
      <w:proofErr w:type="spellStart"/>
      <w:r>
        <w:rPr>
          <w:rFonts w:ascii="Arial" w:hAnsi="Arial" w:cs="Arial"/>
          <w:i/>
          <w:iCs/>
          <w:position w:val="-7"/>
          <w:sz w:val="16"/>
          <w:szCs w:val="16"/>
        </w:rPr>
        <w:t>Charleen</w:t>
      </w:r>
      <w:proofErr w:type="spellEnd"/>
      <w:r>
        <w:rPr>
          <w:rFonts w:ascii="Arial" w:hAnsi="Arial" w:cs="Arial"/>
          <w:i/>
          <w:iCs/>
          <w:spacing w:val="-20"/>
          <w:position w:val="-7"/>
          <w:sz w:val="16"/>
          <w:szCs w:val="16"/>
        </w:rPr>
        <w:t xml:space="preserve"> </w:t>
      </w:r>
      <w:r>
        <w:rPr>
          <w:rFonts w:ascii="Arial" w:hAnsi="Arial" w:cs="Arial"/>
          <w:i/>
          <w:iCs/>
          <w:position w:val="-7"/>
          <w:sz w:val="16"/>
          <w:szCs w:val="16"/>
        </w:rPr>
        <w:t>Regan</w:t>
      </w:r>
      <w:r>
        <w:rPr>
          <w:rFonts w:ascii="Arial" w:hAnsi="Arial" w:cs="Arial"/>
          <w:i/>
          <w:iCs/>
          <w:position w:val="-7"/>
          <w:sz w:val="16"/>
          <w:szCs w:val="16"/>
        </w:rPr>
        <w:tab/>
      </w:r>
      <w:r>
        <w:rPr>
          <w:rFonts w:ascii="Arial" w:hAnsi="Arial" w:cs="Arial"/>
          <w:sz w:val="18"/>
          <w:szCs w:val="18"/>
        </w:rPr>
        <w:t>EOHHS</w:t>
      </w:r>
      <w:r>
        <w:rPr>
          <w:rFonts w:ascii="Arial" w:hAnsi="Arial" w:cs="Arial"/>
          <w:spacing w:val="-25"/>
          <w:sz w:val="18"/>
          <w:szCs w:val="18"/>
        </w:rPr>
        <w:t xml:space="preserve"> </w:t>
      </w:r>
      <w:r>
        <w:rPr>
          <w:rFonts w:ascii="Arial" w:hAnsi="Arial" w:cs="Arial"/>
          <w:sz w:val="18"/>
          <w:szCs w:val="18"/>
        </w:rPr>
        <w:t>Office</w:t>
      </w:r>
      <w:r>
        <w:rPr>
          <w:rFonts w:ascii="Arial" w:hAnsi="Arial" w:cs="Arial"/>
          <w:spacing w:val="-25"/>
          <w:sz w:val="18"/>
          <w:szCs w:val="18"/>
        </w:rPr>
        <w:t xml:space="preserve"> </w:t>
      </w:r>
      <w:r>
        <w:rPr>
          <w:rFonts w:ascii="Arial" w:hAnsi="Arial" w:cs="Arial"/>
          <w:sz w:val="18"/>
          <w:szCs w:val="18"/>
        </w:rPr>
        <w:t>of</w:t>
      </w:r>
      <w:r>
        <w:rPr>
          <w:rFonts w:ascii="Arial" w:hAnsi="Arial" w:cs="Arial"/>
          <w:spacing w:val="-25"/>
          <w:sz w:val="18"/>
          <w:szCs w:val="18"/>
        </w:rPr>
        <w:t xml:space="preserve"> </w:t>
      </w:r>
      <w:r>
        <w:rPr>
          <w:rFonts w:ascii="Arial" w:hAnsi="Arial" w:cs="Arial"/>
          <w:sz w:val="18"/>
          <w:szCs w:val="18"/>
        </w:rPr>
        <w:t>Medicaid</w:t>
      </w:r>
    </w:p>
    <w:p w:rsidR="002C5025" w:rsidRDefault="002C5025">
      <w:pPr>
        <w:pStyle w:val="BodyText"/>
        <w:kinsoku w:val="0"/>
        <w:overflowPunct w:val="0"/>
        <w:spacing w:line="165" w:lineRule="exact"/>
        <w:ind w:left="2167" w:right="1294"/>
        <w:rPr>
          <w:rFonts w:ascii="Arial" w:hAnsi="Arial" w:cs="Arial"/>
          <w:w w:val="105"/>
          <w:sz w:val="18"/>
          <w:szCs w:val="18"/>
        </w:rPr>
      </w:pPr>
      <w:r>
        <w:rPr>
          <w:rFonts w:ascii="Arial" w:hAnsi="Arial" w:cs="Arial"/>
          <w:w w:val="105"/>
          <w:sz w:val="18"/>
          <w:szCs w:val="18"/>
        </w:rPr>
        <w:t>Attn: 1115   Demonstration Comments</w:t>
      </w:r>
    </w:p>
    <w:p w:rsidR="002C5025" w:rsidRDefault="002C5025">
      <w:pPr>
        <w:pStyle w:val="BodyText"/>
        <w:kinsoku w:val="0"/>
        <w:overflowPunct w:val="0"/>
        <w:spacing w:line="165" w:lineRule="exact"/>
        <w:ind w:left="2167" w:right="1294"/>
        <w:rPr>
          <w:rFonts w:ascii="Arial" w:hAnsi="Arial" w:cs="Arial"/>
          <w:w w:val="105"/>
          <w:sz w:val="18"/>
          <w:szCs w:val="18"/>
        </w:rPr>
        <w:sectPr w:rsidR="002C5025">
          <w:pgSz w:w="12240" w:h="15840"/>
          <w:pgMar w:top="380" w:right="380" w:bottom="280" w:left="240" w:header="720" w:footer="720" w:gutter="0"/>
          <w:cols w:space="720" w:equalWidth="0">
            <w:col w:w="11620"/>
          </w:cols>
          <w:noEndnote/>
        </w:sectPr>
      </w:pPr>
    </w:p>
    <w:p w:rsidR="002C5025" w:rsidRDefault="002C5025">
      <w:pPr>
        <w:pStyle w:val="BodyText"/>
        <w:kinsoku w:val="0"/>
        <w:overflowPunct w:val="0"/>
        <w:spacing w:line="182" w:lineRule="exact"/>
        <w:ind w:left="100" w:right="-11"/>
        <w:rPr>
          <w:rFonts w:ascii="Arial" w:hAnsi="Arial" w:cs="Arial"/>
          <w:sz w:val="17"/>
          <w:szCs w:val="17"/>
        </w:rPr>
      </w:pPr>
      <w:r>
        <w:rPr>
          <w:rFonts w:ascii="Arial" w:hAnsi="Arial" w:cs="Arial"/>
          <w:sz w:val="17"/>
          <w:szCs w:val="17"/>
        </w:rPr>
        <w:lastRenderedPageBreak/>
        <w:t>Treasurer</w:t>
      </w:r>
    </w:p>
    <w:p w:rsidR="002C5025" w:rsidRDefault="002C5025">
      <w:pPr>
        <w:pStyle w:val="BodyText"/>
        <w:kinsoku w:val="0"/>
        <w:overflowPunct w:val="0"/>
        <w:spacing w:line="181" w:lineRule="exact"/>
        <w:ind w:left="103" w:right="-11"/>
        <w:rPr>
          <w:rFonts w:ascii="Arial" w:hAnsi="Arial" w:cs="Arial"/>
          <w:i/>
          <w:iCs/>
          <w:sz w:val="16"/>
          <w:szCs w:val="16"/>
        </w:rPr>
      </w:pPr>
      <w:r>
        <w:rPr>
          <w:rFonts w:ascii="Arial" w:hAnsi="Arial" w:cs="Arial"/>
          <w:i/>
          <w:iCs/>
          <w:sz w:val="16"/>
          <w:szCs w:val="16"/>
        </w:rPr>
        <w:t xml:space="preserve">Joseph </w:t>
      </w:r>
      <w:proofErr w:type="spellStart"/>
      <w:r>
        <w:rPr>
          <w:rFonts w:ascii="Arial" w:hAnsi="Arial" w:cs="Arial"/>
          <w:i/>
          <w:iCs/>
          <w:sz w:val="16"/>
          <w:szCs w:val="16"/>
        </w:rPr>
        <w:t>Flatley</w:t>
      </w:r>
      <w:proofErr w:type="spellEnd"/>
    </w:p>
    <w:p w:rsidR="002C5025" w:rsidRDefault="002C5025">
      <w:pPr>
        <w:pStyle w:val="BodyText"/>
        <w:kinsoku w:val="0"/>
        <w:overflowPunct w:val="0"/>
        <w:rPr>
          <w:rFonts w:ascii="Arial" w:hAnsi="Arial" w:cs="Arial"/>
          <w:i/>
          <w:iCs/>
          <w:sz w:val="14"/>
          <w:szCs w:val="14"/>
        </w:rPr>
      </w:pPr>
    </w:p>
    <w:p w:rsidR="002C5025" w:rsidRDefault="002C5025">
      <w:pPr>
        <w:pStyle w:val="BodyText"/>
        <w:kinsoku w:val="0"/>
        <w:overflowPunct w:val="0"/>
        <w:spacing w:before="1" w:line="191" w:lineRule="exact"/>
        <w:ind w:left="107" w:right="-11"/>
        <w:rPr>
          <w:rFonts w:ascii="Arial" w:hAnsi="Arial" w:cs="Arial"/>
          <w:w w:val="105"/>
          <w:sz w:val="17"/>
          <w:szCs w:val="17"/>
        </w:rPr>
      </w:pPr>
      <w:r>
        <w:rPr>
          <w:rFonts w:ascii="Arial" w:hAnsi="Arial" w:cs="Arial"/>
          <w:w w:val="105"/>
          <w:sz w:val="17"/>
          <w:szCs w:val="17"/>
        </w:rPr>
        <w:t>Clerk</w:t>
      </w:r>
    </w:p>
    <w:p w:rsidR="002C5025" w:rsidRDefault="002C5025">
      <w:pPr>
        <w:pStyle w:val="BodyText"/>
        <w:kinsoku w:val="0"/>
        <w:overflowPunct w:val="0"/>
        <w:spacing w:line="180" w:lineRule="exact"/>
        <w:ind w:left="112" w:right="-11"/>
        <w:rPr>
          <w:rFonts w:ascii="Arial" w:hAnsi="Arial" w:cs="Arial"/>
          <w:i/>
          <w:iCs/>
          <w:w w:val="95"/>
          <w:sz w:val="16"/>
          <w:szCs w:val="16"/>
        </w:rPr>
      </w:pPr>
      <w:r>
        <w:rPr>
          <w:rFonts w:ascii="Arial" w:hAnsi="Arial" w:cs="Arial"/>
          <w:i/>
          <w:iCs/>
          <w:w w:val="95"/>
          <w:sz w:val="16"/>
          <w:szCs w:val="16"/>
        </w:rPr>
        <w:t xml:space="preserve">Naomi </w:t>
      </w:r>
      <w:proofErr w:type="spellStart"/>
      <w:r>
        <w:rPr>
          <w:rFonts w:ascii="Arial" w:hAnsi="Arial" w:cs="Arial"/>
          <w:i/>
          <w:iCs/>
          <w:w w:val="95"/>
          <w:sz w:val="16"/>
          <w:szCs w:val="16"/>
        </w:rPr>
        <w:t>Sweitzer</w:t>
      </w:r>
      <w:proofErr w:type="spellEnd"/>
    </w:p>
    <w:p w:rsidR="002C5025" w:rsidRDefault="002C5025">
      <w:pPr>
        <w:pStyle w:val="BodyText"/>
        <w:kinsoku w:val="0"/>
        <w:overflowPunct w:val="0"/>
        <w:spacing w:before="5"/>
        <w:rPr>
          <w:rFonts w:ascii="Arial" w:hAnsi="Arial" w:cs="Arial"/>
          <w:i/>
          <w:iCs/>
          <w:sz w:val="13"/>
          <w:szCs w:val="13"/>
        </w:rPr>
      </w:pPr>
    </w:p>
    <w:p w:rsidR="002C5025" w:rsidRDefault="002C5025">
      <w:pPr>
        <w:pStyle w:val="BodyText"/>
        <w:kinsoku w:val="0"/>
        <w:overflowPunct w:val="0"/>
        <w:spacing w:line="195" w:lineRule="exact"/>
        <w:ind w:left="120" w:right="-11"/>
        <w:rPr>
          <w:rFonts w:ascii="Arial" w:hAnsi="Arial" w:cs="Arial"/>
          <w:w w:val="105"/>
          <w:sz w:val="17"/>
          <w:szCs w:val="17"/>
        </w:rPr>
      </w:pPr>
      <w:r>
        <w:rPr>
          <w:rFonts w:ascii="Arial" w:hAnsi="Arial" w:cs="Arial"/>
          <w:w w:val="105"/>
          <w:sz w:val="17"/>
          <w:szCs w:val="17"/>
        </w:rPr>
        <w:t>Executive</w:t>
      </w:r>
      <w:r>
        <w:rPr>
          <w:rFonts w:ascii="Arial" w:hAnsi="Arial" w:cs="Arial"/>
          <w:spacing w:val="-11"/>
          <w:w w:val="105"/>
          <w:sz w:val="17"/>
          <w:szCs w:val="17"/>
        </w:rPr>
        <w:t xml:space="preserve"> </w:t>
      </w:r>
      <w:r>
        <w:rPr>
          <w:rFonts w:ascii="Arial" w:hAnsi="Arial" w:cs="Arial"/>
          <w:w w:val="105"/>
          <w:sz w:val="17"/>
          <w:szCs w:val="17"/>
        </w:rPr>
        <w:t>Director</w:t>
      </w:r>
    </w:p>
    <w:p w:rsidR="002C5025" w:rsidRDefault="002C5025">
      <w:pPr>
        <w:pStyle w:val="BodyText"/>
        <w:kinsoku w:val="0"/>
        <w:overflowPunct w:val="0"/>
        <w:spacing w:line="183" w:lineRule="exact"/>
        <w:ind w:left="120" w:right="-11"/>
        <w:rPr>
          <w:rFonts w:ascii="Arial" w:hAnsi="Arial" w:cs="Arial"/>
          <w:i/>
          <w:iCs/>
          <w:w w:val="95"/>
          <w:sz w:val="16"/>
          <w:szCs w:val="16"/>
        </w:rPr>
      </w:pPr>
      <w:r>
        <w:rPr>
          <w:rFonts w:ascii="Arial" w:hAnsi="Arial" w:cs="Arial"/>
          <w:i/>
          <w:iCs/>
          <w:w w:val="95"/>
          <w:sz w:val="16"/>
          <w:szCs w:val="16"/>
        </w:rPr>
        <w:t>Brenda Clement</w:t>
      </w:r>
    </w:p>
    <w:p w:rsidR="002C5025" w:rsidRDefault="002C5025">
      <w:pPr>
        <w:pStyle w:val="BodyText"/>
        <w:kinsoku w:val="0"/>
        <w:overflowPunct w:val="0"/>
        <w:spacing w:before="33" w:line="280" w:lineRule="auto"/>
        <w:ind w:left="115" w:right="6514" w:hanging="10"/>
        <w:rPr>
          <w:rFonts w:ascii="Arial" w:hAnsi="Arial" w:cs="Arial"/>
          <w:sz w:val="18"/>
          <w:szCs w:val="18"/>
        </w:rPr>
      </w:pPr>
      <w:r>
        <w:rPr>
          <w:rFonts w:ascii="Times New Roman" w:hAnsi="Times New Roman" w:cs="Times New Roman"/>
          <w:sz w:val="24"/>
          <w:szCs w:val="24"/>
        </w:rPr>
        <w:br w:type="column"/>
      </w:r>
      <w:r>
        <w:rPr>
          <w:rFonts w:ascii="Arial" w:hAnsi="Arial" w:cs="Arial"/>
          <w:sz w:val="18"/>
          <w:szCs w:val="18"/>
        </w:rPr>
        <w:lastRenderedPageBreak/>
        <w:t>One Ashburton Place - 11th Floor Boston, MA 02108</w:t>
      </w:r>
    </w:p>
    <w:p w:rsidR="002C5025" w:rsidRDefault="002C5025">
      <w:pPr>
        <w:pStyle w:val="BodyText"/>
        <w:kinsoku w:val="0"/>
        <w:overflowPunct w:val="0"/>
        <w:spacing w:before="3"/>
        <w:ind w:left="103" w:right="327"/>
        <w:rPr>
          <w:rFonts w:ascii="Arial" w:hAnsi="Arial" w:cs="Arial"/>
          <w:sz w:val="18"/>
          <w:szCs w:val="18"/>
        </w:rPr>
      </w:pPr>
      <w:r>
        <w:rPr>
          <w:rFonts w:ascii="Arial" w:hAnsi="Arial" w:cs="Arial"/>
          <w:sz w:val="18"/>
          <w:szCs w:val="18"/>
          <w:u w:val="single"/>
        </w:rPr>
        <w:t>Submitted by e</w:t>
      </w:r>
      <w:r>
        <w:rPr>
          <w:rFonts w:ascii="Arial" w:hAnsi="Arial" w:cs="Arial"/>
          <w:sz w:val="18"/>
          <w:szCs w:val="18"/>
        </w:rPr>
        <w:t>mail</w:t>
      </w:r>
    </w:p>
    <w:p w:rsidR="002C5025" w:rsidRDefault="002C5025">
      <w:pPr>
        <w:pStyle w:val="BodyText"/>
        <w:kinsoku w:val="0"/>
        <w:overflowPunct w:val="0"/>
        <w:spacing w:before="1"/>
        <w:rPr>
          <w:rFonts w:ascii="Arial" w:hAnsi="Arial" w:cs="Arial"/>
          <w:sz w:val="24"/>
          <w:szCs w:val="24"/>
        </w:rPr>
      </w:pPr>
    </w:p>
    <w:p w:rsidR="002C5025" w:rsidRDefault="002C5025">
      <w:pPr>
        <w:pStyle w:val="BodyText"/>
        <w:kinsoku w:val="0"/>
        <w:overflowPunct w:val="0"/>
        <w:spacing w:before="1"/>
        <w:ind w:left="107" w:right="327"/>
        <w:rPr>
          <w:rFonts w:ascii="Arial" w:hAnsi="Arial" w:cs="Arial"/>
          <w:w w:val="105"/>
          <w:sz w:val="18"/>
          <w:szCs w:val="18"/>
        </w:rPr>
      </w:pPr>
      <w:r>
        <w:rPr>
          <w:rFonts w:ascii="Arial" w:hAnsi="Arial" w:cs="Arial"/>
          <w:w w:val="105"/>
          <w:sz w:val="18"/>
          <w:szCs w:val="18"/>
        </w:rPr>
        <w:t>To Whom It May Concern:</w:t>
      </w:r>
    </w:p>
    <w:p w:rsidR="002C5025" w:rsidRDefault="002C5025">
      <w:pPr>
        <w:pStyle w:val="BodyText"/>
        <w:kinsoku w:val="0"/>
        <w:overflowPunct w:val="0"/>
        <w:spacing w:before="1"/>
        <w:rPr>
          <w:rFonts w:ascii="Arial" w:hAnsi="Arial" w:cs="Arial"/>
          <w:sz w:val="24"/>
          <w:szCs w:val="24"/>
        </w:rPr>
      </w:pPr>
    </w:p>
    <w:p w:rsidR="002C5025" w:rsidRDefault="002C5025">
      <w:pPr>
        <w:pStyle w:val="BodyText"/>
        <w:kinsoku w:val="0"/>
        <w:overflowPunct w:val="0"/>
        <w:spacing w:before="1" w:line="278" w:lineRule="auto"/>
        <w:ind w:left="103" w:right="1398"/>
        <w:rPr>
          <w:rFonts w:ascii="Arial" w:hAnsi="Arial" w:cs="Arial"/>
          <w:w w:val="105"/>
          <w:sz w:val="18"/>
          <w:szCs w:val="18"/>
        </w:rPr>
      </w:pPr>
      <w:r>
        <w:rPr>
          <w:rFonts w:ascii="Arial" w:hAnsi="Arial" w:cs="Arial"/>
          <w:w w:val="105"/>
          <w:sz w:val="18"/>
          <w:szCs w:val="18"/>
        </w:rPr>
        <w:t xml:space="preserve">Thank you for this opportunity to comment on the proposed Section </w:t>
      </w:r>
      <w:r>
        <w:rPr>
          <w:rFonts w:ascii="Arial" w:hAnsi="Arial" w:cs="Arial"/>
          <w:spacing w:val="-43"/>
          <w:w w:val="105"/>
          <w:sz w:val="18"/>
          <w:szCs w:val="18"/>
        </w:rPr>
        <w:t xml:space="preserve">1115 </w:t>
      </w:r>
      <w:r>
        <w:rPr>
          <w:rFonts w:ascii="Arial" w:hAnsi="Arial" w:cs="Arial"/>
          <w:w w:val="105"/>
          <w:sz w:val="18"/>
          <w:szCs w:val="18"/>
        </w:rPr>
        <w:t xml:space="preserve">amendment for the </w:t>
      </w:r>
      <w:r>
        <w:rPr>
          <w:rFonts w:ascii="Arial" w:hAnsi="Arial" w:cs="Arial"/>
          <w:sz w:val="18"/>
          <w:szCs w:val="18"/>
        </w:rPr>
        <w:t>MassHealth</w:t>
      </w:r>
      <w:r>
        <w:rPr>
          <w:rFonts w:ascii="Arial" w:hAnsi="Arial" w:cs="Arial"/>
          <w:spacing w:val="-7"/>
          <w:sz w:val="18"/>
          <w:szCs w:val="18"/>
        </w:rPr>
        <w:t xml:space="preserve"> </w:t>
      </w:r>
      <w:r>
        <w:rPr>
          <w:rFonts w:ascii="Arial" w:hAnsi="Arial" w:cs="Arial"/>
          <w:sz w:val="18"/>
          <w:szCs w:val="18"/>
        </w:rPr>
        <w:t>program.</w:t>
      </w:r>
      <w:r>
        <w:rPr>
          <w:rFonts w:ascii="Arial" w:hAnsi="Arial" w:cs="Arial"/>
          <w:spacing w:val="29"/>
          <w:sz w:val="18"/>
          <w:szCs w:val="18"/>
        </w:rPr>
        <w:t xml:space="preserve"> </w:t>
      </w:r>
      <w:r>
        <w:rPr>
          <w:rFonts w:ascii="Arial" w:hAnsi="Arial" w:cs="Arial"/>
          <w:sz w:val="18"/>
          <w:szCs w:val="18"/>
        </w:rPr>
        <w:t>I</w:t>
      </w:r>
      <w:r w:rsidR="00607624">
        <w:rPr>
          <w:rFonts w:ascii="Arial" w:hAnsi="Arial" w:cs="Arial"/>
          <w:sz w:val="18"/>
          <w:szCs w:val="18"/>
        </w:rPr>
        <w:t xml:space="preserve"> </w:t>
      </w:r>
      <w:r>
        <w:rPr>
          <w:rFonts w:ascii="Arial" w:hAnsi="Arial" w:cs="Arial"/>
          <w:sz w:val="18"/>
          <w:szCs w:val="18"/>
        </w:rPr>
        <w:t>am</w:t>
      </w:r>
      <w:r>
        <w:rPr>
          <w:rFonts w:ascii="Arial" w:hAnsi="Arial" w:cs="Arial"/>
          <w:spacing w:val="-17"/>
          <w:sz w:val="18"/>
          <w:szCs w:val="18"/>
        </w:rPr>
        <w:t xml:space="preserve"> </w:t>
      </w:r>
      <w:r>
        <w:rPr>
          <w:rFonts w:ascii="Arial" w:hAnsi="Arial" w:cs="Arial"/>
          <w:sz w:val="18"/>
          <w:szCs w:val="18"/>
        </w:rPr>
        <w:t>writing</w:t>
      </w:r>
      <w:r>
        <w:rPr>
          <w:rFonts w:ascii="Arial" w:hAnsi="Arial" w:cs="Arial"/>
          <w:spacing w:val="-26"/>
          <w:sz w:val="18"/>
          <w:szCs w:val="18"/>
        </w:rPr>
        <w:t xml:space="preserve"> </w:t>
      </w:r>
      <w:r>
        <w:rPr>
          <w:rFonts w:ascii="Arial" w:hAnsi="Arial" w:cs="Arial"/>
          <w:sz w:val="18"/>
          <w:szCs w:val="18"/>
        </w:rPr>
        <w:t>on</w:t>
      </w:r>
      <w:r>
        <w:rPr>
          <w:rFonts w:ascii="Arial" w:hAnsi="Arial" w:cs="Arial"/>
          <w:spacing w:val="-12"/>
          <w:sz w:val="18"/>
          <w:szCs w:val="18"/>
        </w:rPr>
        <w:t xml:space="preserve"> </w:t>
      </w:r>
      <w:r>
        <w:rPr>
          <w:rFonts w:ascii="Arial" w:hAnsi="Arial" w:cs="Arial"/>
          <w:sz w:val="18"/>
          <w:szCs w:val="18"/>
        </w:rPr>
        <w:t>behalf</w:t>
      </w:r>
      <w:r>
        <w:rPr>
          <w:rFonts w:ascii="Arial" w:hAnsi="Arial" w:cs="Arial"/>
          <w:spacing w:val="-12"/>
          <w:sz w:val="18"/>
          <w:szCs w:val="18"/>
        </w:rPr>
        <w:t xml:space="preserve"> </w:t>
      </w:r>
      <w:r>
        <w:rPr>
          <w:rFonts w:ascii="Arial" w:hAnsi="Arial" w:cs="Arial"/>
          <w:sz w:val="18"/>
          <w:szCs w:val="18"/>
        </w:rPr>
        <w:t>of</w:t>
      </w:r>
      <w:r>
        <w:rPr>
          <w:rFonts w:ascii="Arial" w:hAnsi="Arial" w:cs="Arial"/>
          <w:spacing w:val="-16"/>
          <w:sz w:val="18"/>
          <w:szCs w:val="18"/>
        </w:rPr>
        <w:t xml:space="preserve"> </w:t>
      </w:r>
      <w:r>
        <w:rPr>
          <w:rFonts w:ascii="Arial" w:hAnsi="Arial" w:cs="Arial"/>
          <w:sz w:val="18"/>
          <w:szCs w:val="18"/>
        </w:rPr>
        <w:t>Citizens'</w:t>
      </w:r>
      <w:r>
        <w:rPr>
          <w:rFonts w:ascii="Arial" w:hAnsi="Arial" w:cs="Arial"/>
          <w:spacing w:val="-7"/>
          <w:sz w:val="18"/>
          <w:szCs w:val="18"/>
        </w:rPr>
        <w:t xml:space="preserve"> </w:t>
      </w:r>
      <w:r>
        <w:rPr>
          <w:rFonts w:ascii="Arial" w:hAnsi="Arial" w:cs="Arial"/>
          <w:sz w:val="18"/>
          <w:szCs w:val="18"/>
        </w:rPr>
        <w:t>Housing</w:t>
      </w:r>
      <w:r>
        <w:rPr>
          <w:rFonts w:ascii="Arial" w:hAnsi="Arial" w:cs="Arial"/>
          <w:spacing w:val="-24"/>
          <w:sz w:val="18"/>
          <w:szCs w:val="18"/>
        </w:rPr>
        <w:t xml:space="preserve"> </w:t>
      </w:r>
      <w:r>
        <w:rPr>
          <w:rFonts w:ascii="Arial" w:hAnsi="Arial" w:cs="Arial"/>
          <w:sz w:val="18"/>
          <w:szCs w:val="18"/>
        </w:rPr>
        <w:t>and</w:t>
      </w:r>
      <w:r>
        <w:rPr>
          <w:rFonts w:ascii="Arial" w:hAnsi="Arial" w:cs="Arial"/>
          <w:spacing w:val="-14"/>
          <w:sz w:val="18"/>
          <w:szCs w:val="18"/>
        </w:rPr>
        <w:t xml:space="preserve"> </w:t>
      </w:r>
      <w:r>
        <w:rPr>
          <w:rFonts w:ascii="Arial" w:hAnsi="Arial" w:cs="Arial"/>
          <w:sz w:val="18"/>
          <w:szCs w:val="18"/>
        </w:rPr>
        <w:t>Planning</w:t>
      </w:r>
      <w:r>
        <w:rPr>
          <w:rFonts w:ascii="Arial" w:hAnsi="Arial" w:cs="Arial"/>
          <w:spacing w:val="-35"/>
          <w:sz w:val="18"/>
          <w:szCs w:val="18"/>
        </w:rPr>
        <w:t xml:space="preserve"> </w:t>
      </w:r>
      <w:r>
        <w:rPr>
          <w:rFonts w:ascii="Arial" w:hAnsi="Arial" w:cs="Arial"/>
          <w:sz w:val="18"/>
          <w:szCs w:val="18"/>
        </w:rPr>
        <w:t>Association</w:t>
      </w:r>
      <w:r>
        <w:rPr>
          <w:rFonts w:ascii="Arial" w:hAnsi="Arial" w:cs="Arial"/>
          <w:spacing w:val="-14"/>
          <w:sz w:val="18"/>
          <w:szCs w:val="18"/>
        </w:rPr>
        <w:t xml:space="preserve"> </w:t>
      </w:r>
      <w:r>
        <w:rPr>
          <w:rFonts w:ascii="Arial" w:hAnsi="Arial" w:cs="Arial"/>
          <w:sz w:val="18"/>
          <w:szCs w:val="18"/>
        </w:rPr>
        <w:t xml:space="preserve">(CHAPA). </w:t>
      </w:r>
      <w:r>
        <w:rPr>
          <w:rFonts w:ascii="Arial" w:hAnsi="Arial" w:cs="Arial"/>
          <w:w w:val="105"/>
          <w:sz w:val="18"/>
          <w:szCs w:val="18"/>
        </w:rPr>
        <w:t xml:space="preserve">We are a statewide </w:t>
      </w:r>
      <w:r>
        <w:rPr>
          <w:rFonts w:ascii="Arial" w:hAnsi="Arial" w:cs="Arial"/>
          <w:spacing w:val="2"/>
          <w:w w:val="105"/>
          <w:sz w:val="18"/>
          <w:szCs w:val="18"/>
        </w:rPr>
        <w:t>organization</w:t>
      </w:r>
      <w:r w:rsidR="00607624">
        <w:rPr>
          <w:rFonts w:ascii="Arial" w:hAnsi="Arial" w:cs="Arial"/>
          <w:spacing w:val="2"/>
          <w:w w:val="105"/>
          <w:sz w:val="18"/>
          <w:szCs w:val="18"/>
        </w:rPr>
        <w:t xml:space="preserve"> </w:t>
      </w:r>
      <w:r>
        <w:rPr>
          <w:rFonts w:ascii="Arial" w:hAnsi="Arial" w:cs="Arial"/>
          <w:spacing w:val="2"/>
          <w:w w:val="105"/>
          <w:sz w:val="18"/>
          <w:szCs w:val="18"/>
        </w:rPr>
        <w:t xml:space="preserve">that </w:t>
      </w:r>
      <w:r>
        <w:rPr>
          <w:rFonts w:ascii="Arial" w:hAnsi="Arial" w:cs="Arial"/>
          <w:w w:val="105"/>
          <w:sz w:val="18"/>
          <w:szCs w:val="18"/>
        </w:rPr>
        <w:t xml:space="preserve">promotes affordable housing and </w:t>
      </w:r>
      <w:r>
        <w:rPr>
          <w:rFonts w:ascii="Arial" w:hAnsi="Arial" w:cs="Arial"/>
          <w:spacing w:val="2"/>
          <w:w w:val="105"/>
          <w:sz w:val="18"/>
          <w:szCs w:val="18"/>
        </w:rPr>
        <w:t>equitable</w:t>
      </w:r>
      <w:r w:rsidR="00607624">
        <w:rPr>
          <w:rFonts w:ascii="Arial" w:hAnsi="Arial" w:cs="Arial"/>
          <w:spacing w:val="2"/>
          <w:w w:val="105"/>
          <w:sz w:val="18"/>
          <w:szCs w:val="18"/>
        </w:rPr>
        <w:t xml:space="preserve"> </w:t>
      </w:r>
      <w:r>
        <w:rPr>
          <w:rFonts w:ascii="Arial" w:hAnsi="Arial" w:cs="Arial"/>
          <w:spacing w:val="2"/>
          <w:w w:val="105"/>
          <w:sz w:val="18"/>
          <w:szCs w:val="18"/>
        </w:rPr>
        <w:t xml:space="preserve">community </w:t>
      </w:r>
      <w:r>
        <w:rPr>
          <w:rFonts w:ascii="Arial" w:hAnsi="Arial" w:cs="Arial"/>
          <w:w w:val="105"/>
          <w:sz w:val="18"/>
          <w:szCs w:val="18"/>
        </w:rPr>
        <w:t>development</w:t>
      </w:r>
      <w:r>
        <w:rPr>
          <w:rFonts w:ascii="Arial" w:hAnsi="Arial" w:cs="Arial"/>
          <w:spacing w:val="-31"/>
          <w:w w:val="105"/>
          <w:sz w:val="18"/>
          <w:szCs w:val="18"/>
        </w:rPr>
        <w:t xml:space="preserve"> </w:t>
      </w:r>
      <w:r>
        <w:rPr>
          <w:rFonts w:ascii="Arial" w:hAnsi="Arial" w:cs="Arial"/>
          <w:w w:val="105"/>
          <w:sz w:val="18"/>
          <w:szCs w:val="18"/>
        </w:rPr>
        <w:t>through</w:t>
      </w:r>
      <w:r>
        <w:rPr>
          <w:rFonts w:ascii="Arial" w:hAnsi="Arial" w:cs="Arial"/>
          <w:spacing w:val="-29"/>
          <w:w w:val="105"/>
          <w:sz w:val="18"/>
          <w:szCs w:val="18"/>
        </w:rPr>
        <w:t xml:space="preserve"> </w:t>
      </w:r>
      <w:r>
        <w:rPr>
          <w:rFonts w:ascii="Arial" w:hAnsi="Arial" w:cs="Arial"/>
          <w:w w:val="105"/>
          <w:sz w:val="18"/>
          <w:szCs w:val="18"/>
        </w:rPr>
        <w:t>education,</w:t>
      </w:r>
      <w:r>
        <w:rPr>
          <w:rFonts w:ascii="Arial" w:hAnsi="Arial" w:cs="Arial"/>
          <w:spacing w:val="-35"/>
          <w:w w:val="105"/>
          <w:sz w:val="18"/>
          <w:szCs w:val="18"/>
        </w:rPr>
        <w:t xml:space="preserve"> </w:t>
      </w:r>
      <w:r>
        <w:rPr>
          <w:rFonts w:ascii="Arial" w:hAnsi="Arial" w:cs="Arial"/>
          <w:w w:val="105"/>
          <w:sz w:val="18"/>
          <w:szCs w:val="18"/>
        </w:rPr>
        <w:t>research</w:t>
      </w:r>
      <w:r>
        <w:rPr>
          <w:rFonts w:ascii="Arial" w:hAnsi="Arial" w:cs="Arial"/>
          <w:spacing w:val="-32"/>
          <w:w w:val="105"/>
          <w:sz w:val="18"/>
          <w:szCs w:val="18"/>
        </w:rPr>
        <w:t xml:space="preserve"> </w:t>
      </w:r>
      <w:r>
        <w:rPr>
          <w:rFonts w:ascii="Arial" w:hAnsi="Arial" w:cs="Arial"/>
          <w:w w:val="105"/>
          <w:sz w:val="18"/>
          <w:szCs w:val="18"/>
        </w:rPr>
        <w:t>and</w:t>
      </w:r>
      <w:r>
        <w:rPr>
          <w:rFonts w:ascii="Arial" w:hAnsi="Arial" w:cs="Arial"/>
          <w:spacing w:val="-32"/>
          <w:w w:val="105"/>
          <w:sz w:val="18"/>
          <w:szCs w:val="18"/>
        </w:rPr>
        <w:t xml:space="preserve"> </w:t>
      </w:r>
      <w:r>
        <w:rPr>
          <w:rFonts w:ascii="Arial" w:hAnsi="Arial" w:cs="Arial"/>
          <w:w w:val="105"/>
          <w:sz w:val="18"/>
          <w:szCs w:val="18"/>
        </w:rPr>
        <w:t>legislation.</w:t>
      </w:r>
      <w:r>
        <w:rPr>
          <w:rFonts w:ascii="Arial" w:hAnsi="Arial" w:cs="Arial"/>
          <w:spacing w:val="-17"/>
          <w:w w:val="105"/>
          <w:sz w:val="18"/>
          <w:szCs w:val="18"/>
        </w:rPr>
        <w:t xml:space="preserve"> </w:t>
      </w:r>
      <w:r>
        <w:rPr>
          <w:rFonts w:ascii="Arial" w:hAnsi="Arial" w:cs="Arial"/>
          <w:w w:val="105"/>
          <w:sz w:val="18"/>
          <w:szCs w:val="18"/>
        </w:rPr>
        <w:t>We</w:t>
      </w:r>
      <w:r>
        <w:rPr>
          <w:rFonts w:ascii="Arial" w:hAnsi="Arial" w:cs="Arial"/>
          <w:spacing w:val="-30"/>
          <w:w w:val="105"/>
          <w:sz w:val="18"/>
          <w:szCs w:val="18"/>
        </w:rPr>
        <w:t xml:space="preserve"> </w:t>
      </w:r>
      <w:r>
        <w:rPr>
          <w:rFonts w:ascii="Arial" w:hAnsi="Arial" w:cs="Arial"/>
          <w:w w:val="105"/>
          <w:sz w:val="18"/>
          <w:szCs w:val="18"/>
        </w:rPr>
        <w:t>also</w:t>
      </w:r>
      <w:r>
        <w:rPr>
          <w:rFonts w:ascii="Arial" w:hAnsi="Arial" w:cs="Arial"/>
          <w:spacing w:val="-30"/>
          <w:w w:val="105"/>
          <w:sz w:val="18"/>
          <w:szCs w:val="18"/>
        </w:rPr>
        <w:t xml:space="preserve"> </w:t>
      </w:r>
      <w:r>
        <w:rPr>
          <w:rFonts w:ascii="Arial" w:hAnsi="Arial" w:cs="Arial"/>
          <w:spacing w:val="4"/>
          <w:w w:val="105"/>
          <w:sz w:val="18"/>
          <w:szCs w:val="18"/>
        </w:rPr>
        <w:t>belong</w:t>
      </w:r>
      <w:r w:rsidR="00607624">
        <w:rPr>
          <w:rFonts w:ascii="Arial" w:hAnsi="Arial" w:cs="Arial"/>
          <w:spacing w:val="4"/>
          <w:w w:val="105"/>
          <w:sz w:val="18"/>
          <w:szCs w:val="18"/>
        </w:rPr>
        <w:t xml:space="preserve"> </w:t>
      </w:r>
      <w:r>
        <w:rPr>
          <w:rFonts w:ascii="Arial" w:hAnsi="Arial" w:cs="Arial"/>
          <w:spacing w:val="4"/>
          <w:w w:val="105"/>
          <w:sz w:val="18"/>
          <w:szCs w:val="18"/>
        </w:rPr>
        <w:t>to</w:t>
      </w:r>
      <w:r w:rsidR="00607624">
        <w:rPr>
          <w:rFonts w:ascii="Arial" w:hAnsi="Arial" w:cs="Arial"/>
          <w:spacing w:val="4"/>
          <w:w w:val="105"/>
          <w:sz w:val="18"/>
          <w:szCs w:val="18"/>
        </w:rPr>
        <w:t xml:space="preserve"> </w:t>
      </w:r>
      <w:r>
        <w:rPr>
          <w:rFonts w:ascii="Arial" w:hAnsi="Arial" w:cs="Arial"/>
          <w:spacing w:val="4"/>
          <w:w w:val="105"/>
          <w:sz w:val="18"/>
          <w:szCs w:val="18"/>
        </w:rPr>
        <w:t>the</w:t>
      </w:r>
      <w:r>
        <w:rPr>
          <w:rFonts w:ascii="Arial" w:hAnsi="Arial" w:cs="Arial"/>
          <w:spacing w:val="-33"/>
          <w:w w:val="105"/>
          <w:sz w:val="18"/>
          <w:szCs w:val="18"/>
        </w:rPr>
        <w:t xml:space="preserve"> </w:t>
      </w:r>
      <w:r>
        <w:rPr>
          <w:rFonts w:ascii="Arial" w:hAnsi="Arial" w:cs="Arial"/>
          <w:w w:val="105"/>
          <w:sz w:val="18"/>
          <w:szCs w:val="18"/>
        </w:rPr>
        <w:t>On</w:t>
      </w:r>
      <w:r>
        <w:rPr>
          <w:rFonts w:ascii="Arial" w:hAnsi="Arial" w:cs="Arial"/>
          <w:spacing w:val="-32"/>
          <w:w w:val="105"/>
          <w:sz w:val="18"/>
          <w:szCs w:val="18"/>
        </w:rPr>
        <w:t xml:space="preserve"> </w:t>
      </w:r>
      <w:r>
        <w:rPr>
          <w:rFonts w:ascii="Arial" w:hAnsi="Arial" w:cs="Arial"/>
          <w:w w:val="105"/>
          <w:sz w:val="18"/>
          <w:szCs w:val="18"/>
        </w:rPr>
        <w:t>Solid</w:t>
      </w:r>
      <w:r>
        <w:rPr>
          <w:rFonts w:ascii="Arial" w:hAnsi="Arial" w:cs="Arial"/>
          <w:spacing w:val="-33"/>
          <w:w w:val="105"/>
          <w:sz w:val="18"/>
          <w:szCs w:val="18"/>
        </w:rPr>
        <w:t xml:space="preserve"> </w:t>
      </w:r>
      <w:r>
        <w:rPr>
          <w:rFonts w:ascii="Arial" w:hAnsi="Arial" w:cs="Arial"/>
          <w:w w:val="105"/>
          <w:sz w:val="18"/>
          <w:szCs w:val="18"/>
        </w:rPr>
        <w:t>Ground Coalition,</w:t>
      </w:r>
      <w:r w:rsidR="00607624">
        <w:rPr>
          <w:rFonts w:ascii="Arial" w:hAnsi="Arial" w:cs="Arial"/>
          <w:w w:val="105"/>
          <w:sz w:val="18"/>
          <w:szCs w:val="18"/>
        </w:rPr>
        <w:t xml:space="preserve"> </w:t>
      </w:r>
      <w:r>
        <w:rPr>
          <w:rFonts w:ascii="Arial" w:hAnsi="Arial" w:cs="Arial"/>
          <w:w w:val="105"/>
          <w:sz w:val="18"/>
          <w:szCs w:val="18"/>
        </w:rPr>
        <w:t xml:space="preserve">a cross-sector group of </w:t>
      </w:r>
      <w:r>
        <w:rPr>
          <w:rFonts w:ascii="Arial" w:hAnsi="Arial" w:cs="Arial"/>
          <w:spacing w:val="3"/>
          <w:w w:val="105"/>
          <w:sz w:val="18"/>
          <w:szCs w:val="18"/>
        </w:rPr>
        <w:t>more</w:t>
      </w:r>
      <w:r w:rsidR="00607624">
        <w:rPr>
          <w:rFonts w:ascii="Arial" w:hAnsi="Arial" w:cs="Arial"/>
          <w:spacing w:val="3"/>
          <w:w w:val="105"/>
          <w:sz w:val="18"/>
          <w:szCs w:val="18"/>
        </w:rPr>
        <w:t xml:space="preserve"> </w:t>
      </w:r>
      <w:r>
        <w:rPr>
          <w:rFonts w:ascii="Arial" w:hAnsi="Arial" w:cs="Arial"/>
          <w:spacing w:val="3"/>
          <w:w w:val="105"/>
          <w:sz w:val="18"/>
          <w:szCs w:val="18"/>
        </w:rPr>
        <w:t xml:space="preserve">than </w:t>
      </w:r>
      <w:r>
        <w:rPr>
          <w:rFonts w:ascii="Arial" w:hAnsi="Arial" w:cs="Arial"/>
          <w:w w:val="105"/>
          <w:sz w:val="18"/>
          <w:szCs w:val="18"/>
        </w:rPr>
        <w:t>30 organizations committed to a research-based approach</w:t>
      </w:r>
      <w:r>
        <w:rPr>
          <w:rFonts w:ascii="Arial" w:hAnsi="Arial" w:cs="Arial"/>
          <w:spacing w:val="-31"/>
          <w:w w:val="105"/>
          <w:sz w:val="18"/>
          <w:szCs w:val="18"/>
        </w:rPr>
        <w:t xml:space="preserve"> </w:t>
      </w:r>
      <w:r>
        <w:rPr>
          <w:rFonts w:ascii="Arial" w:hAnsi="Arial" w:cs="Arial"/>
          <w:w w:val="105"/>
          <w:sz w:val="18"/>
          <w:szCs w:val="18"/>
        </w:rPr>
        <w:t>to</w:t>
      </w:r>
      <w:r>
        <w:rPr>
          <w:rFonts w:ascii="Arial" w:hAnsi="Arial" w:cs="Arial"/>
          <w:spacing w:val="-31"/>
          <w:w w:val="105"/>
          <w:sz w:val="18"/>
          <w:szCs w:val="18"/>
        </w:rPr>
        <w:t xml:space="preserve"> </w:t>
      </w:r>
      <w:r>
        <w:rPr>
          <w:rFonts w:ascii="Arial" w:hAnsi="Arial" w:cs="Arial"/>
          <w:w w:val="105"/>
          <w:sz w:val="18"/>
          <w:szCs w:val="18"/>
        </w:rPr>
        <w:t>increasing</w:t>
      </w:r>
      <w:r w:rsidR="00607624">
        <w:rPr>
          <w:rFonts w:ascii="Arial" w:hAnsi="Arial" w:cs="Arial"/>
          <w:w w:val="105"/>
          <w:sz w:val="18"/>
          <w:szCs w:val="18"/>
        </w:rPr>
        <w:t xml:space="preserve"> </w:t>
      </w:r>
      <w:r>
        <w:rPr>
          <w:rFonts w:ascii="Arial" w:hAnsi="Arial" w:cs="Arial"/>
          <w:w w:val="105"/>
          <w:sz w:val="18"/>
          <w:szCs w:val="18"/>
        </w:rPr>
        <w:t>housing</w:t>
      </w:r>
      <w:r w:rsidR="00607624">
        <w:rPr>
          <w:rFonts w:ascii="Arial" w:hAnsi="Arial" w:cs="Arial"/>
          <w:w w:val="105"/>
          <w:sz w:val="18"/>
          <w:szCs w:val="18"/>
        </w:rPr>
        <w:t xml:space="preserve"> </w:t>
      </w:r>
      <w:r>
        <w:rPr>
          <w:rFonts w:ascii="Arial" w:hAnsi="Arial" w:cs="Arial"/>
          <w:w w:val="105"/>
          <w:sz w:val="18"/>
          <w:szCs w:val="18"/>
        </w:rPr>
        <w:t>stability</w:t>
      </w:r>
      <w:r>
        <w:rPr>
          <w:rFonts w:ascii="Arial" w:hAnsi="Arial" w:cs="Arial"/>
          <w:spacing w:val="-29"/>
          <w:w w:val="105"/>
          <w:sz w:val="18"/>
          <w:szCs w:val="18"/>
        </w:rPr>
        <w:t xml:space="preserve"> </w:t>
      </w:r>
      <w:r>
        <w:rPr>
          <w:rFonts w:ascii="Arial" w:hAnsi="Arial" w:cs="Arial"/>
          <w:w w:val="105"/>
          <w:sz w:val="18"/>
          <w:szCs w:val="18"/>
        </w:rPr>
        <w:t>and</w:t>
      </w:r>
      <w:r>
        <w:rPr>
          <w:rFonts w:ascii="Arial" w:hAnsi="Arial" w:cs="Arial"/>
          <w:spacing w:val="-31"/>
          <w:w w:val="105"/>
          <w:sz w:val="18"/>
          <w:szCs w:val="18"/>
        </w:rPr>
        <w:t xml:space="preserve"> </w:t>
      </w:r>
      <w:r>
        <w:rPr>
          <w:rFonts w:ascii="Arial" w:hAnsi="Arial" w:cs="Arial"/>
          <w:w w:val="105"/>
          <w:sz w:val="18"/>
          <w:szCs w:val="18"/>
        </w:rPr>
        <w:t>economic</w:t>
      </w:r>
      <w:r>
        <w:rPr>
          <w:rFonts w:ascii="Arial" w:hAnsi="Arial" w:cs="Arial"/>
          <w:spacing w:val="-26"/>
          <w:w w:val="105"/>
          <w:sz w:val="18"/>
          <w:szCs w:val="18"/>
        </w:rPr>
        <w:t xml:space="preserve"> </w:t>
      </w:r>
      <w:r>
        <w:rPr>
          <w:rFonts w:ascii="Arial" w:hAnsi="Arial" w:cs="Arial"/>
          <w:w w:val="105"/>
          <w:sz w:val="18"/>
          <w:szCs w:val="18"/>
        </w:rPr>
        <w:t>mobility.</w:t>
      </w:r>
      <w:r>
        <w:rPr>
          <w:rFonts w:ascii="Arial" w:hAnsi="Arial" w:cs="Arial"/>
          <w:spacing w:val="-14"/>
          <w:w w:val="105"/>
          <w:sz w:val="18"/>
          <w:szCs w:val="18"/>
        </w:rPr>
        <w:t xml:space="preserve"> </w:t>
      </w:r>
      <w:r>
        <w:rPr>
          <w:rFonts w:ascii="Arial" w:hAnsi="Arial" w:cs="Arial"/>
          <w:w w:val="105"/>
          <w:sz w:val="18"/>
          <w:szCs w:val="18"/>
        </w:rPr>
        <w:t>We</w:t>
      </w:r>
      <w:r>
        <w:rPr>
          <w:rFonts w:ascii="Arial" w:hAnsi="Arial" w:cs="Arial"/>
          <w:spacing w:val="-27"/>
          <w:w w:val="105"/>
          <w:sz w:val="18"/>
          <w:szCs w:val="18"/>
        </w:rPr>
        <w:t xml:space="preserve"> </w:t>
      </w:r>
      <w:r>
        <w:rPr>
          <w:rFonts w:ascii="Arial" w:hAnsi="Arial" w:cs="Arial"/>
          <w:spacing w:val="2"/>
          <w:w w:val="105"/>
          <w:sz w:val="18"/>
          <w:szCs w:val="18"/>
        </w:rPr>
        <w:t>believe</w:t>
      </w:r>
      <w:r w:rsidR="00607624">
        <w:rPr>
          <w:rFonts w:ascii="Arial" w:hAnsi="Arial" w:cs="Arial"/>
          <w:spacing w:val="2"/>
          <w:w w:val="105"/>
          <w:sz w:val="18"/>
          <w:szCs w:val="18"/>
        </w:rPr>
        <w:t xml:space="preserve"> </w:t>
      </w:r>
      <w:r>
        <w:rPr>
          <w:rFonts w:ascii="Arial" w:hAnsi="Arial" w:cs="Arial"/>
          <w:spacing w:val="2"/>
          <w:w w:val="105"/>
          <w:sz w:val="18"/>
          <w:szCs w:val="18"/>
        </w:rPr>
        <w:t>that</w:t>
      </w:r>
      <w:r>
        <w:rPr>
          <w:rFonts w:ascii="Arial" w:hAnsi="Arial" w:cs="Arial"/>
          <w:spacing w:val="-30"/>
          <w:w w:val="105"/>
          <w:sz w:val="18"/>
          <w:szCs w:val="18"/>
        </w:rPr>
        <w:t xml:space="preserve"> </w:t>
      </w:r>
      <w:r>
        <w:rPr>
          <w:rFonts w:ascii="Arial" w:hAnsi="Arial" w:cs="Arial"/>
          <w:w w:val="105"/>
          <w:sz w:val="18"/>
          <w:szCs w:val="18"/>
        </w:rPr>
        <w:t>achieving</w:t>
      </w:r>
      <w:r>
        <w:rPr>
          <w:rFonts w:ascii="Arial" w:hAnsi="Arial" w:cs="Arial"/>
          <w:spacing w:val="-33"/>
          <w:w w:val="105"/>
          <w:sz w:val="18"/>
          <w:szCs w:val="18"/>
        </w:rPr>
        <w:t xml:space="preserve"> </w:t>
      </w:r>
      <w:r>
        <w:rPr>
          <w:rFonts w:ascii="Arial" w:hAnsi="Arial" w:cs="Arial"/>
          <w:spacing w:val="2"/>
          <w:w w:val="105"/>
          <w:sz w:val="18"/>
          <w:szCs w:val="18"/>
        </w:rPr>
        <w:t xml:space="preserve">housing </w:t>
      </w:r>
      <w:r>
        <w:rPr>
          <w:rFonts w:ascii="Arial" w:hAnsi="Arial" w:cs="Arial"/>
          <w:w w:val="105"/>
          <w:sz w:val="18"/>
          <w:szCs w:val="18"/>
        </w:rPr>
        <w:t>stability</w:t>
      </w:r>
      <w:r>
        <w:rPr>
          <w:rFonts w:ascii="Arial" w:hAnsi="Arial" w:cs="Arial"/>
          <w:spacing w:val="-27"/>
          <w:w w:val="105"/>
          <w:sz w:val="18"/>
          <w:szCs w:val="18"/>
        </w:rPr>
        <w:t xml:space="preserve"> </w:t>
      </w:r>
      <w:r>
        <w:rPr>
          <w:rFonts w:ascii="Arial" w:hAnsi="Arial" w:cs="Arial"/>
          <w:w w:val="105"/>
          <w:sz w:val="18"/>
          <w:szCs w:val="18"/>
        </w:rPr>
        <w:t>and</w:t>
      </w:r>
      <w:r>
        <w:rPr>
          <w:rFonts w:ascii="Arial" w:hAnsi="Arial" w:cs="Arial"/>
          <w:spacing w:val="-31"/>
          <w:w w:val="105"/>
          <w:sz w:val="18"/>
          <w:szCs w:val="18"/>
        </w:rPr>
        <w:t xml:space="preserve"> </w:t>
      </w:r>
      <w:r>
        <w:rPr>
          <w:rFonts w:ascii="Arial" w:hAnsi="Arial" w:cs="Arial"/>
          <w:w w:val="105"/>
          <w:sz w:val="18"/>
          <w:szCs w:val="18"/>
        </w:rPr>
        <w:t>economic</w:t>
      </w:r>
      <w:r>
        <w:rPr>
          <w:rFonts w:ascii="Arial" w:hAnsi="Arial" w:cs="Arial"/>
          <w:spacing w:val="-29"/>
          <w:w w:val="105"/>
          <w:sz w:val="18"/>
          <w:szCs w:val="18"/>
        </w:rPr>
        <w:t xml:space="preserve"> </w:t>
      </w:r>
      <w:r>
        <w:rPr>
          <w:rFonts w:ascii="Arial" w:hAnsi="Arial" w:cs="Arial"/>
          <w:w w:val="105"/>
          <w:sz w:val="18"/>
          <w:szCs w:val="18"/>
        </w:rPr>
        <w:t>mobility</w:t>
      </w:r>
      <w:r>
        <w:rPr>
          <w:rFonts w:ascii="Arial" w:hAnsi="Arial" w:cs="Arial"/>
          <w:spacing w:val="-29"/>
          <w:w w:val="105"/>
          <w:sz w:val="18"/>
          <w:szCs w:val="18"/>
        </w:rPr>
        <w:t xml:space="preserve"> </w:t>
      </w:r>
      <w:r>
        <w:rPr>
          <w:rFonts w:ascii="Arial" w:hAnsi="Arial" w:cs="Arial"/>
          <w:w w:val="105"/>
          <w:sz w:val="18"/>
          <w:szCs w:val="18"/>
        </w:rPr>
        <w:t>requires</w:t>
      </w:r>
      <w:r>
        <w:rPr>
          <w:rFonts w:ascii="Arial" w:hAnsi="Arial" w:cs="Arial"/>
          <w:spacing w:val="-36"/>
          <w:w w:val="105"/>
          <w:sz w:val="18"/>
          <w:szCs w:val="18"/>
        </w:rPr>
        <w:t xml:space="preserve"> </w:t>
      </w:r>
      <w:r>
        <w:rPr>
          <w:rFonts w:ascii="Arial" w:hAnsi="Arial" w:cs="Arial"/>
          <w:w w:val="105"/>
          <w:sz w:val="18"/>
          <w:szCs w:val="18"/>
        </w:rPr>
        <w:t>coordinated</w:t>
      </w:r>
      <w:r>
        <w:rPr>
          <w:rFonts w:ascii="Arial" w:hAnsi="Arial" w:cs="Arial"/>
          <w:spacing w:val="-29"/>
          <w:w w:val="105"/>
          <w:sz w:val="18"/>
          <w:szCs w:val="18"/>
        </w:rPr>
        <w:t xml:space="preserve"> </w:t>
      </w:r>
      <w:r>
        <w:rPr>
          <w:rFonts w:ascii="Arial" w:hAnsi="Arial" w:cs="Arial"/>
          <w:w w:val="105"/>
          <w:sz w:val="18"/>
          <w:szCs w:val="18"/>
        </w:rPr>
        <w:t>housing,</w:t>
      </w:r>
      <w:r w:rsidR="00607624">
        <w:rPr>
          <w:rFonts w:ascii="Arial" w:hAnsi="Arial" w:cs="Arial"/>
          <w:w w:val="105"/>
          <w:sz w:val="18"/>
          <w:szCs w:val="18"/>
        </w:rPr>
        <w:t xml:space="preserve"> </w:t>
      </w:r>
      <w:r>
        <w:rPr>
          <w:rFonts w:ascii="Arial" w:hAnsi="Arial" w:cs="Arial"/>
          <w:w w:val="105"/>
          <w:sz w:val="18"/>
          <w:szCs w:val="18"/>
        </w:rPr>
        <w:t>workforce</w:t>
      </w:r>
      <w:r>
        <w:rPr>
          <w:rFonts w:ascii="Arial" w:hAnsi="Arial" w:cs="Arial"/>
          <w:spacing w:val="-24"/>
          <w:w w:val="105"/>
          <w:sz w:val="18"/>
          <w:szCs w:val="18"/>
        </w:rPr>
        <w:t xml:space="preserve"> </w:t>
      </w:r>
      <w:r>
        <w:rPr>
          <w:rFonts w:ascii="Arial" w:hAnsi="Arial" w:cs="Arial"/>
          <w:w w:val="105"/>
          <w:sz w:val="18"/>
          <w:szCs w:val="18"/>
        </w:rPr>
        <w:t>development,</w:t>
      </w:r>
      <w:r>
        <w:rPr>
          <w:rFonts w:ascii="Arial" w:hAnsi="Arial" w:cs="Arial"/>
          <w:spacing w:val="-23"/>
          <w:w w:val="105"/>
          <w:sz w:val="18"/>
          <w:szCs w:val="18"/>
        </w:rPr>
        <w:t xml:space="preserve"> </w:t>
      </w:r>
      <w:r>
        <w:rPr>
          <w:rFonts w:ascii="Arial" w:hAnsi="Arial" w:cs="Arial"/>
          <w:w w:val="105"/>
          <w:sz w:val="18"/>
          <w:szCs w:val="18"/>
        </w:rPr>
        <w:t>education, and</w:t>
      </w:r>
      <w:r>
        <w:rPr>
          <w:rFonts w:ascii="Arial" w:hAnsi="Arial" w:cs="Arial"/>
          <w:spacing w:val="-19"/>
          <w:w w:val="105"/>
          <w:sz w:val="18"/>
          <w:szCs w:val="18"/>
        </w:rPr>
        <w:t xml:space="preserve"> </w:t>
      </w:r>
      <w:r>
        <w:rPr>
          <w:rFonts w:ascii="Arial" w:hAnsi="Arial" w:cs="Arial"/>
          <w:w w:val="105"/>
          <w:sz w:val="18"/>
          <w:szCs w:val="18"/>
        </w:rPr>
        <w:t>health</w:t>
      </w:r>
      <w:r>
        <w:rPr>
          <w:rFonts w:ascii="Arial" w:hAnsi="Arial" w:cs="Arial"/>
          <w:spacing w:val="-25"/>
          <w:w w:val="105"/>
          <w:sz w:val="18"/>
          <w:szCs w:val="18"/>
        </w:rPr>
        <w:t xml:space="preserve"> </w:t>
      </w:r>
      <w:r>
        <w:rPr>
          <w:rFonts w:ascii="Arial" w:hAnsi="Arial" w:cs="Arial"/>
          <w:w w:val="105"/>
          <w:sz w:val="18"/>
          <w:szCs w:val="18"/>
        </w:rPr>
        <w:t>and</w:t>
      </w:r>
      <w:r>
        <w:rPr>
          <w:rFonts w:ascii="Arial" w:hAnsi="Arial" w:cs="Arial"/>
          <w:spacing w:val="-25"/>
          <w:w w:val="105"/>
          <w:sz w:val="18"/>
          <w:szCs w:val="18"/>
        </w:rPr>
        <w:t xml:space="preserve"> </w:t>
      </w:r>
      <w:r>
        <w:rPr>
          <w:rFonts w:ascii="Arial" w:hAnsi="Arial" w:cs="Arial"/>
          <w:w w:val="105"/>
          <w:sz w:val="18"/>
          <w:szCs w:val="18"/>
        </w:rPr>
        <w:t>wellness</w:t>
      </w:r>
      <w:r>
        <w:rPr>
          <w:rFonts w:ascii="Arial" w:hAnsi="Arial" w:cs="Arial"/>
          <w:spacing w:val="-12"/>
          <w:w w:val="105"/>
          <w:sz w:val="18"/>
          <w:szCs w:val="18"/>
        </w:rPr>
        <w:t xml:space="preserve"> </w:t>
      </w:r>
      <w:r>
        <w:rPr>
          <w:rFonts w:ascii="Arial" w:hAnsi="Arial" w:cs="Arial"/>
          <w:w w:val="105"/>
          <w:sz w:val="18"/>
          <w:szCs w:val="18"/>
        </w:rPr>
        <w:t>policies;</w:t>
      </w:r>
      <w:r>
        <w:rPr>
          <w:rFonts w:ascii="Arial" w:hAnsi="Arial" w:cs="Arial"/>
          <w:spacing w:val="-30"/>
          <w:w w:val="105"/>
          <w:sz w:val="18"/>
          <w:szCs w:val="18"/>
        </w:rPr>
        <w:t xml:space="preserve"> </w:t>
      </w:r>
      <w:r>
        <w:rPr>
          <w:rFonts w:ascii="Arial" w:hAnsi="Arial" w:cs="Arial"/>
          <w:spacing w:val="-6"/>
          <w:w w:val="105"/>
          <w:sz w:val="18"/>
          <w:szCs w:val="18"/>
        </w:rPr>
        <w:t>it</w:t>
      </w:r>
      <w:r>
        <w:rPr>
          <w:rFonts w:ascii="Arial" w:hAnsi="Arial" w:cs="Arial"/>
          <w:spacing w:val="-36"/>
          <w:w w:val="105"/>
          <w:sz w:val="18"/>
          <w:szCs w:val="18"/>
        </w:rPr>
        <w:t xml:space="preserve"> </w:t>
      </w:r>
      <w:r w:rsidR="00607624">
        <w:rPr>
          <w:rFonts w:ascii="Arial" w:hAnsi="Arial" w:cs="Arial"/>
          <w:spacing w:val="-36"/>
          <w:w w:val="105"/>
          <w:sz w:val="18"/>
          <w:szCs w:val="18"/>
        </w:rPr>
        <w:t xml:space="preserve">  </w:t>
      </w:r>
      <w:r>
        <w:rPr>
          <w:rFonts w:ascii="Arial" w:hAnsi="Arial" w:cs="Arial"/>
          <w:w w:val="105"/>
          <w:sz w:val="18"/>
          <w:szCs w:val="18"/>
        </w:rPr>
        <w:t>is</w:t>
      </w:r>
      <w:r w:rsidR="00607624">
        <w:rPr>
          <w:rFonts w:ascii="Arial" w:hAnsi="Arial" w:cs="Arial"/>
          <w:w w:val="105"/>
          <w:sz w:val="18"/>
          <w:szCs w:val="18"/>
        </w:rPr>
        <w:t xml:space="preserve"> </w:t>
      </w:r>
      <w:r>
        <w:rPr>
          <w:rFonts w:ascii="Arial" w:hAnsi="Arial" w:cs="Arial"/>
          <w:w w:val="105"/>
          <w:sz w:val="18"/>
          <w:szCs w:val="18"/>
        </w:rPr>
        <w:t>more</w:t>
      </w:r>
      <w:r>
        <w:rPr>
          <w:rFonts w:ascii="Arial" w:hAnsi="Arial" w:cs="Arial"/>
          <w:spacing w:val="-28"/>
          <w:w w:val="105"/>
          <w:sz w:val="18"/>
          <w:szCs w:val="18"/>
        </w:rPr>
        <w:t xml:space="preserve"> </w:t>
      </w:r>
      <w:r>
        <w:rPr>
          <w:rFonts w:ascii="Arial" w:hAnsi="Arial" w:cs="Arial"/>
          <w:w w:val="105"/>
          <w:sz w:val="18"/>
          <w:szCs w:val="18"/>
        </w:rPr>
        <w:t>difficult</w:t>
      </w:r>
      <w:r>
        <w:rPr>
          <w:rFonts w:ascii="Arial" w:hAnsi="Arial" w:cs="Arial"/>
          <w:spacing w:val="-26"/>
          <w:w w:val="105"/>
          <w:sz w:val="18"/>
          <w:szCs w:val="18"/>
        </w:rPr>
        <w:t xml:space="preserve"> </w:t>
      </w:r>
      <w:r>
        <w:rPr>
          <w:rFonts w:ascii="Arial" w:hAnsi="Arial" w:cs="Arial"/>
          <w:w w:val="105"/>
          <w:sz w:val="18"/>
          <w:szCs w:val="18"/>
        </w:rPr>
        <w:t>for</w:t>
      </w:r>
      <w:r>
        <w:rPr>
          <w:rFonts w:ascii="Arial" w:hAnsi="Arial" w:cs="Arial"/>
          <w:spacing w:val="-13"/>
          <w:w w:val="105"/>
          <w:sz w:val="18"/>
          <w:szCs w:val="18"/>
        </w:rPr>
        <w:t xml:space="preserve"> </w:t>
      </w:r>
      <w:r>
        <w:rPr>
          <w:rFonts w:ascii="Arial" w:hAnsi="Arial" w:cs="Arial"/>
          <w:w w:val="105"/>
          <w:sz w:val="18"/>
          <w:szCs w:val="18"/>
        </w:rPr>
        <w:t>unstably</w:t>
      </w:r>
      <w:r>
        <w:rPr>
          <w:rFonts w:ascii="Arial" w:hAnsi="Arial" w:cs="Arial"/>
          <w:spacing w:val="-22"/>
          <w:w w:val="105"/>
          <w:sz w:val="18"/>
          <w:szCs w:val="18"/>
        </w:rPr>
        <w:t xml:space="preserve"> </w:t>
      </w:r>
      <w:r>
        <w:rPr>
          <w:rFonts w:ascii="Arial" w:hAnsi="Arial" w:cs="Arial"/>
          <w:w w:val="105"/>
          <w:sz w:val="18"/>
          <w:szCs w:val="18"/>
        </w:rPr>
        <w:t>housed</w:t>
      </w:r>
      <w:r>
        <w:rPr>
          <w:rFonts w:ascii="Arial" w:hAnsi="Arial" w:cs="Arial"/>
          <w:spacing w:val="-21"/>
          <w:w w:val="105"/>
          <w:sz w:val="18"/>
          <w:szCs w:val="18"/>
        </w:rPr>
        <w:t xml:space="preserve"> </w:t>
      </w:r>
      <w:r>
        <w:rPr>
          <w:rFonts w:ascii="Arial" w:hAnsi="Arial" w:cs="Arial"/>
          <w:w w:val="105"/>
          <w:sz w:val="18"/>
          <w:szCs w:val="18"/>
        </w:rPr>
        <w:t>patients</w:t>
      </w:r>
      <w:r>
        <w:rPr>
          <w:rFonts w:ascii="Arial" w:hAnsi="Arial" w:cs="Arial"/>
          <w:spacing w:val="-22"/>
          <w:w w:val="105"/>
          <w:sz w:val="18"/>
          <w:szCs w:val="18"/>
        </w:rPr>
        <w:t xml:space="preserve"> </w:t>
      </w:r>
      <w:r>
        <w:rPr>
          <w:rFonts w:ascii="Arial" w:hAnsi="Arial" w:cs="Arial"/>
          <w:w w:val="105"/>
          <w:sz w:val="18"/>
          <w:szCs w:val="18"/>
        </w:rPr>
        <w:t>to</w:t>
      </w:r>
      <w:r>
        <w:rPr>
          <w:rFonts w:ascii="Arial" w:hAnsi="Arial" w:cs="Arial"/>
          <w:spacing w:val="-19"/>
          <w:w w:val="105"/>
          <w:sz w:val="18"/>
          <w:szCs w:val="18"/>
        </w:rPr>
        <w:t xml:space="preserve"> </w:t>
      </w:r>
      <w:r>
        <w:rPr>
          <w:rFonts w:ascii="Arial" w:hAnsi="Arial" w:cs="Arial"/>
          <w:w w:val="105"/>
          <w:sz w:val="18"/>
          <w:szCs w:val="18"/>
        </w:rPr>
        <w:t>be</w:t>
      </w:r>
      <w:r>
        <w:rPr>
          <w:rFonts w:ascii="Arial" w:hAnsi="Arial" w:cs="Arial"/>
          <w:spacing w:val="-23"/>
          <w:w w:val="105"/>
          <w:sz w:val="18"/>
          <w:szCs w:val="18"/>
        </w:rPr>
        <w:t xml:space="preserve"> </w:t>
      </w:r>
      <w:r>
        <w:rPr>
          <w:rFonts w:ascii="Arial" w:hAnsi="Arial" w:cs="Arial"/>
          <w:w w:val="105"/>
          <w:sz w:val="18"/>
          <w:szCs w:val="18"/>
        </w:rPr>
        <w:t>medically compliant</w:t>
      </w:r>
      <w:r>
        <w:rPr>
          <w:rFonts w:ascii="Arial" w:hAnsi="Arial" w:cs="Arial"/>
          <w:spacing w:val="-17"/>
          <w:w w:val="105"/>
          <w:sz w:val="18"/>
          <w:szCs w:val="18"/>
        </w:rPr>
        <w:t xml:space="preserve"> </w:t>
      </w:r>
      <w:r>
        <w:rPr>
          <w:rFonts w:ascii="Arial" w:hAnsi="Arial" w:cs="Arial"/>
          <w:w w:val="105"/>
          <w:sz w:val="18"/>
          <w:szCs w:val="18"/>
        </w:rPr>
        <w:t>and</w:t>
      </w:r>
      <w:r>
        <w:rPr>
          <w:rFonts w:ascii="Arial" w:hAnsi="Arial" w:cs="Arial"/>
          <w:spacing w:val="-27"/>
          <w:w w:val="105"/>
          <w:sz w:val="18"/>
          <w:szCs w:val="18"/>
        </w:rPr>
        <w:t xml:space="preserve"> </w:t>
      </w:r>
      <w:r>
        <w:rPr>
          <w:rFonts w:ascii="Arial" w:hAnsi="Arial" w:cs="Arial"/>
          <w:w w:val="105"/>
          <w:sz w:val="18"/>
          <w:szCs w:val="18"/>
        </w:rPr>
        <w:t>chronic</w:t>
      </w:r>
      <w:r>
        <w:rPr>
          <w:rFonts w:ascii="Arial" w:hAnsi="Arial" w:cs="Arial"/>
          <w:spacing w:val="-28"/>
          <w:w w:val="105"/>
          <w:sz w:val="18"/>
          <w:szCs w:val="18"/>
        </w:rPr>
        <w:t xml:space="preserve"> </w:t>
      </w:r>
      <w:r>
        <w:rPr>
          <w:rFonts w:ascii="Arial" w:hAnsi="Arial" w:cs="Arial"/>
          <w:w w:val="105"/>
          <w:sz w:val="18"/>
          <w:szCs w:val="18"/>
        </w:rPr>
        <w:t>illness</w:t>
      </w:r>
      <w:r>
        <w:rPr>
          <w:rFonts w:ascii="Arial" w:hAnsi="Arial" w:cs="Arial"/>
          <w:spacing w:val="-27"/>
          <w:w w:val="105"/>
          <w:sz w:val="18"/>
          <w:szCs w:val="18"/>
        </w:rPr>
        <w:t xml:space="preserve"> </w:t>
      </w:r>
      <w:r>
        <w:rPr>
          <w:rFonts w:ascii="Arial" w:hAnsi="Arial" w:cs="Arial"/>
          <w:w w:val="105"/>
          <w:sz w:val="18"/>
          <w:szCs w:val="18"/>
        </w:rPr>
        <w:t>is</w:t>
      </w:r>
      <w:r w:rsidR="00607624">
        <w:rPr>
          <w:rFonts w:ascii="Arial" w:hAnsi="Arial" w:cs="Arial"/>
          <w:w w:val="105"/>
          <w:sz w:val="18"/>
          <w:szCs w:val="18"/>
        </w:rPr>
        <w:t xml:space="preserve"> </w:t>
      </w:r>
      <w:r>
        <w:rPr>
          <w:rFonts w:ascii="Arial" w:hAnsi="Arial" w:cs="Arial"/>
          <w:w w:val="105"/>
          <w:sz w:val="18"/>
          <w:szCs w:val="18"/>
        </w:rPr>
        <w:t>often</w:t>
      </w:r>
      <w:r>
        <w:rPr>
          <w:rFonts w:ascii="Arial" w:hAnsi="Arial" w:cs="Arial"/>
          <w:spacing w:val="-27"/>
          <w:w w:val="105"/>
          <w:sz w:val="18"/>
          <w:szCs w:val="18"/>
        </w:rPr>
        <w:t xml:space="preserve"> </w:t>
      </w:r>
      <w:r>
        <w:rPr>
          <w:rFonts w:ascii="Arial" w:hAnsi="Arial" w:cs="Arial"/>
          <w:w w:val="105"/>
          <w:sz w:val="18"/>
          <w:szCs w:val="18"/>
        </w:rPr>
        <w:t>a</w:t>
      </w:r>
      <w:r>
        <w:rPr>
          <w:rFonts w:ascii="Arial" w:hAnsi="Arial" w:cs="Arial"/>
          <w:spacing w:val="-23"/>
          <w:w w:val="105"/>
          <w:sz w:val="18"/>
          <w:szCs w:val="18"/>
        </w:rPr>
        <w:t xml:space="preserve"> </w:t>
      </w:r>
      <w:r>
        <w:rPr>
          <w:rFonts w:ascii="Arial" w:hAnsi="Arial" w:cs="Arial"/>
          <w:w w:val="105"/>
          <w:sz w:val="18"/>
          <w:szCs w:val="18"/>
        </w:rPr>
        <w:t>barrier</w:t>
      </w:r>
      <w:r>
        <w:rPr>
          <w:rFonts w:ascii="Arial" w:hAnsi="Arial" w:cs="Arial"/>
          <w:spacing w:val="-27"/>
          <w:w w:val="105"/>
          <w:sz w:val="18"/>
          <w:szCs w:val="18"/>
        </w:rPr>
        <w:t xml:space="preserve"> </w:t>
      </w:r>
      <w:r>
        <w:rPr>
          <w:rFonts w:ascii="Arial" w:hAnsi="Arial" w:cs="Arial"/>
          <w:w w:val="105"/>
          <w:sz w:val="18"/>
          <w:szCs w:val="18"/>
        </w:rPr>
        <w:t>to</w:t>
      </w:r>
      <w:r>
        <w:rPr>
          <w:rFonts w:ascii="Arial" w:hAnsi="Arial" w:cs="Arial"/>
          <w:spacing w:val="-25"/>
          <w:w w:val="105"/>
          <w:sz w:val="18"/>
          <w:szCs w:val="18"/>
        </w:rPr>
        <w:t xml:space="preserve"> </w:t>
      </w:r>
      <w:r>
        <w:rPr>
          <w:rFonts w:ascii="Arial" w:hAnsi="Arial" w:cs="Arial"/>
          <w:w w:val="105"/>
          <w:sz w:val="18"/>
          <w:szCs w:val="18"/>
        </w:rPr>
        <w:t>education</w:t>
      </w:r>
      <w:r>
        <w:rPr>
          <w:rFonts w:ascii="Arial" w:hAnsi="Arial" w:cs="Arial"/>
          <w:spacing w:val="-27"/>
          <w:w w:val="105"/>
          <w:sz w:val="18"/>
          <w:szCs w:val="18"/>
        </w:rPr>
        <w:t xml:space="preserve"> </w:t>
      </w:r>
      <w:r>
        <w:rPr>
          <w:rFonts w:ascii="Arial" w:hAnsi="Arial" w:cs="Arial"/>
          <w:w w:val="105"/>
          <w:sz w:val="18"/>
          <w:szCs w:val="18"/>
        </w:rPr>
        <w:t>and</w:t>
      </w:r>
      <w:r>
        <w:rPr>
          <w:rFonts w:ascii="Arial" w:hAnsi="Arial" w:cs="Arial"/>
          <w:spacing w:val="-33"/>
          <w:w w:val="105"/>
          <w:sz w:val="18"/>
          <w:szCs w:val="18"/>
        </w:rPr>
        <w:t xml:space="preserve"> </w:t>
      </w:r>
      <w:r>
        <w:rPr>
          <w:rFonts w:ascii="Arial" w:hAnsi="Arial" w:cs="Arial"/>
          <w:w w:val="105"/>
          <w:sz w:val="18"/>
          <w:szCs w:val="18"/>
        </w:rPr>
        <w:t>steady</w:t>
      </w:r>
      <w:r>
        <w:rPr>
          <w:rFonts w:ascii="Arial" w:hAnsi="Arial" w:cs="Arial"/>
          <w:spacing w:val="-16"/>
          <w:w w:val="105"/>
          <w:sz w:val="18"/>
          <w:szCs w:val="18"/>
        </w:rPr>
        <w:t xml:space="preserve"> </w:t>
      </w:r>
      <w:r>
        <w:rPr>
          <w:rFonts w:ascii="Arial" w:hAnsi="Arial" w:cs="Arial"/>
          <w:w w:val="105"/>
          <w:sz w:val="18"/>
          <w:szCs w:val="18"/>
        </w:rPr>
        <w:t>employment.</w:t>
      </w:r>
    </w:p>
    <w:p w:rsidR="002C5025" w:rsidRDefault="002C5025">
      <w:pPr>
        <w:pStyle w:val="BodyText"/>
        <w:kinsoku w:val="0"/>
        <w:overflowPunct w:val="0"/>
        <w:spacing w:before="10"/>
        <w:rPr>
          <w:rFonts w:ascii="Arial" w:hAnsi="Arial" w:cs="Arial"/>
          <w:sz w:val="20"/>
          <w:szCs w:val="20"/>
        </w:rPr>
      </w:pPr>
    </w:p>
    <w:p w:rsidR="002C5025" w:rsidRDefault="002C5025">
      <w:pPr>
        <w:pStyle w:val="BodyText"/>
        <w:kinsoku w:val="0"/>
        <w:overflowPunct w:val="0"/>
        <w:spacing w:before="1" w:line="276" w:lineRule="auto"/>
        <w:ind w:left="107" w:right="1398"/>
        <w:rPr>
          <w:rFonts w:ascii="Arial" w:hAnsi="Arial" w:cs="Arial"/>
          <w:sz w:val="18"/>
          <w:szCs w:val="18"/>
        </w:rPr>
      </w:pPr>
      <w:r>
        <w:rPr>
          <w:rFonts w:ascii="Arial" w:hAnsi="Arial" w:cs="Arial"/>
          <w:sz w:val="18"/>
          <w:szCs w:val="18"/>
        </w:rPr>
        <w:t>We believe that the proposed Section 1115 waiver amendment, with its emphasis on integrated care, comprehensive needs assessments and funding for traditionally non-reimbursed flexible services offers an important opportunity to improve the health and well-being of Massachusetts'  residents.</w:t>
      </w:r>
    </w:p>
    <w:p w:rsidR="002C5025" w:rsidRDefault="002C5025">
      <w:pPr>
        <w:pStyle w:val="BodyText"/>
        <w:kinsoku w:val="0"/>
        <w:overflowPunct w:val="0"/>
        <w:spacing w:before="3" w:line="280" w:lineRule="auto"/>
        <w:ind w:left="103" w:right="1419" w:firstLine="2"/>
        <w:rPr>
          <w:rFonts w:ascii="Arial" w:hAnsi="Arial" w:cs="Arial"/>
          <w:sz w:val="18"/>
          <w:szCs w:val="18"/>
        </w:rPr>
      </w:pPr>
      <w:r>
        <w:rPr>
          <w:rFonts w:ascii="Arial" w:hAnsi="Arial" w:cs="Arial"/>
          <w:w w:val="105"/>
          <w:sz w:val="18"/>
          <w:szCs w:val="18"/>
        </w:rPr>
        <w:t>We</w:t>
      </w:r>
      <w:r>
        <w:rPr>
          <w:rFonts w:ascii="Arial" w:hAnsi="Arial" w:cs="Arial"/>
          <w:spacing w:val="-26"/>
          <w:w w:val="105"/>
          <w:sz w:val="18"/>
          <w:szCs w:val="18"/>
        </w:rPr>
        <w:t xml:space="preserve"> </w:t>
      </w:r>
      <w:r>
        <w:rPr>
          <w:rFonts w:ascii="Arial" w:hAnsi="Arial" w:cs="Arial"/>
          <w:w w:val="105"/>
          <w:sz w:val="18"/>
          <w:szCs w:val="18"/>
        </w:rPr>
        <w:t>are</w:t>
      </w:r>
      <w:r>
        <w:rPr>
          <w:rFonts w:ascii="Arial" w:hAnsi="Arial" w:cs="Arial"/>
          <w:spacing w:val="-32"/>
          <w:w w:val="105"/>
          <w:sz w:val="18"/>
          <w:szCs w:val="18"/>
        </w:rPr>
        <w:t xml:space="preserve"> </w:t>
      </w:r>
      <w:r>
        <w:rPr>
          <w:rFonts w:ascii="Arial" w:hAnsi="Arial" w:cs="Arial"/>
          <w:w w:val="105"/>
          <w:sz w:val="18"/>
          <w:szCs w:val="18"/>
        </w:rPr>
        <w:t>very</w:t>
      </w:r>
      <w:r>
        <w:rPr>
          <w:rFonts w:ascii="Arial" w:hAnsi="Arial" w:cs="Arial"/>
          <w:spacing w:val="-18"/>
          <w:w w:val="105"/>
          <w:sz w:val="18"/>
          <w:szCs w:val="18"/>
        </w:rPr>
        <w:t xml:space="preserve"> </w:t>
      </w:r>
      <w:r>
        <w:rPr>
          <w:rFonts w:ascii="Arial" w:hAnsi="Arial" w:cs="Arial"/>
          <w:w w:val="105"/>
          <w:sz w:val="18"/>
          <w:szCs w:val="18"/>
        </w:rPr>
        <w:t>pleased</w:t>
      </w:r>
      <w:r>
        <w:rPr>
          <w:rFonts w:ascii="Arial" w:hAnsi="Arial" w:cs="Arial"/>
          <w:spacing w:val="-30"/>
          <w:w w:val="105"/>
          <w:sz w:val="18"/>
          <w:szCs w:val="18"/>
        </w:rPr>
        <w:t xml:space="preserve"> </w:t>
      </w:r>
      <w:r>
        <w:rPr>
          <w:rFonts w:ascii="Arial" w:hAnsi="Arial" w:cs="Arial"/>
          <w:w w:val="105"/>
          <w:sz w:val="18"/>
          <w:szCs w:val="18"/>
        </w:rPr>
        <w:t>that</w:t>
      </w:r>
      <w:r>
        <w:rPr>
          <w:rFonts w:ascii="Arial" w:hAnsi="Arial" w:cs="Arial"/>
          <w:spacing w:val="-26"/>
          <w:w w:val="105"/>
          <w:sz w:val="18"/>
          <w:szCs w:val="18"/>
        </w:rPr>
        <w:t xml:space="preserve"> </w:t>
      </w:r>
      <w:r>
        <w:rPr>
          <w:rFonts w:ascii="Arial" w:hAnsi="Arial" w:cs="Arial"/>
          <w:spacing w:val="-12"/>
          <w:w w:val="105"/>
          <w:sz w:val="18"/>
          <w:szCs w:val="18"/>
        </w:rPr>
        <w:t>it</w:t>
      </w:r>
      <w:r>
        <w:rPr>
          <w:rFonts w:ascii="Arial" w:hAnsi="Arial" w:cs="Arial"/>
          <w:spacing w:val="-30"/>
          <w:w w:val="105"/>
          <w:sz w:val="18"/>
          <w:szCs w:val="18"/>
        </w:rPr>
        <w:t xml:space="preserve"> </w:t>
      </w:r>
      <w:r>
        <w:rPr>
          <w:rFonts w:ascii="Arial" w:hAnsi="Arial" w:cs="Arial"/>
          <w:w w:val="105"/>
          <w:sz w:val="18"/>
          <w:szCs w:val="18"/>
        </w:rPr>
        <w:t>will</w:t>
      </w:r>
      <w:r>
        <w:rPr>
          <w:rFonts w:ascii="Arial" w:hAnsi="Arial" w:cs="Arial"/>
          <w:spacing w:val="-24"/>
          <w:w w:val="105"/>
          <w:sz w:val="18"/>
          <w:szCs w:val="18"/>
        </w:rPr>
        <w:t xml:space="preserve"> </w:t>
      </w:r>
      <w:r>
        <w:rPr>
          <w:rFonts w:ascii="Arial" w:hAnsi="Arial" w:cs="Arial"/>
          <w:w w:val="105"/>
          <w:sz w:val="18"/>
          <w:szCs w:val="18"/>
        </w:rPr>
        <w:t>explicitly</w:t>
      </w:r>
      <w:r>
        <w:rPr>
          <w:rFonts w:ascii="Arial" w:hAnsi="Arial" w:cs="Arial"/>
          <w:spacing w:val="-23"/>
          <w:w w:val="105"/>
          <w:sz w:val="18"/>
          <w:szCs w:val="18"/>
        </w:rPr>
        <w:t xml:space="preserve"> </w:t>
      </w:r>
      <w:r>
        <w:rPr>
          <w:rFonts w:ascii="Arial" w:hAnsi="Arial" w:cs="Arial"/>
          <w:w w:val="105"/>
          <w:sz w:val="18"/>
          <w:szCs w:val="18"/>
        </w:rPr>
        <w:t>address</w:t>
      </w:r>
      <w:r>
        <w:rPr>
          <w:rFonts w:ascii="Arial" w:hAnsi="Arial" w:cs="Arial"/>
          <w:spacing w:val="-23"/>
          <w:w w:val="105"/>
          <w:sz w:val="18"/>
          <w:szCs w:val="18"/>
        </w:rPr>
        <w:t xml:space="preserve"> </w:t>
      </w:r>
      <w:r>
        <w:rPr>
          <w:rFonts w:ascii="Arial" w:hAnsi="Arial" w:cs="Arial"/>
          <w:spacing w:val="2"/>
          <w:w w:val="105"/>
          <w:sz w:val="18"/>
          <w:szCs w:val="18"/>
        </w:rPr>
        <w:t>social</w:t>
      </w:r>
      <w:r>
        <w:rPr>
          <w:rFonts w:ascii="Arial" w:hAnsi="Arial" w:cs="Arial"/>
          <w:spacing w:val="-31"/>
          <w:w w:val="105"/>
          <w:sz w:val="18"/>
          <w:szCs w:val="18"/>
        </w:rPr>
        <w:t xml:space="preserve"> </w:t>
      </w:r>
      <w:proofErr w:type="spellStart"/>
      <w:r>
        <w:rPr>
          <w:rFonts w:ascii="Arial" w:hAnsi="Arial" w:cs="Arial"/>
          <w:w w:val="105"/>
          <w:sz w:val="18"/>
          <w:szCs w:val="18"/>
        </w:rPr>
        <w:t>determi</w:t>
      </w:r>
      <w:proofErr w:type="spellEnd"/>
      <w:r>
        <w:rPr>
          <w:rFonts w:ascii="Arial" w:hAnsi="Arial" w:cs="Arial"/>
          <w:spacing w:val="-39"/>
          <w:w w:val="105"/>
          <w:sz w:val="18"/>
          <w:szCs w:val="18"/>
        </w:rPr>
        <w:t xml:space="preserve"> </w:t>
      </w:r>
      <w:proofErr w:type="spellStart"/>
      <w:r>
        <w:rPr>
          <w:rFonts w:ascii="Arial" w:hAnsi="Arial" w:cs="Arial"/>
          <w:w w:val="105"/>
          <w:sz w:val="18"/>
          <w:szCs w:val="18"/>
        </w:rPr>
        <w:t>nants</w:t>
      </w:r>
      <w:proofErr w:type="spellEnd"/>
      <w:r>
        <w:rPr>
          <w:rFonts w:ascii="Arial" w:hAnsi="Arial" w:cs="Arial"/>
          <w:spacing w:val="-29"/>
          <w:w w:val="105"/>
          <w:sz w:val="18"/>
          <w:szCs w:val="18"/>
        </w:rPr>
        <w:t xml:space="preserve"> </w:t>
      </w:r>
      <w:r>
        <w:rPr>
          <w:rFonts w:ascii="Arial" w:hAnsi="Arial" w:cs="Arial"/>
          <w:w w:val="105"/>
          <w:sz w:val="18"/>
          <w:szCs w:val="18"/>
        </w:rPr>
        <w:t>of</w:t>
      </w:r>
      <w:r>
        <w:rPr>
          <w:rFonts w:ascii="Arial" w:hAnsi="Arial" w:cs="Arial"/>
          <w:spacing w:val="-26"/>
          <w:w w:val="105"/>
          <w:sz w:val="18"/>
          <w:szCs w:val="18"/>
        </w:rPr>
        <w:t xml:space="preserve"> </w:t>
      </w:r>
      <w:r>
        <w:rPr>
          <w:rFonts w:ascii="Arial" w:hAnsi="Arial" w:cs="Arial"/>
          <w:w w:val="105"/>
          <w:sz w:val="18"/>
          <w:szCs w:val="18"/>
        </w:rPr>
        <w:t>health</w:t>
      </w:r>
      <w:r>
        <w:rPr>
          <w:rFonts w:ascii="Arial" w:hAnsi="Arial" w:cs="Arial"/>
          <w:spacing w:val="-26"/>
          <w:w w:val="105"/>
          <w:sz w:val="18"/>
          <w:szCs w:val="18"/>
        </w:rPr>
        <w:t xml:space="preserve"> </w:t>
      </w:r>
      <w:r>
        <w:rPr>
          <w:rFonts w:ascii="Arial" w:hAnsi="Arial" w:cs="Arial"/>
          <w:w w:val="105"/>
          <w:sz w:val="18"/>
          <w:szCs w:val="18"/>
        </w:rPr>
        <w:t>and</w:t>
      </w:r>
      <w:r>
        <w:rPr>
          <w:rFonts w:ascii="Arial" w:hAnsi="Arial" w:cs="Arial"/>
          <w:spacing w:val="-27"/>
          <w:w w:val="105"/>
          <w:sz w:val="18"/>
          <w:szCs w:val="18"/>
        </w:rPr>
        <w:t xml:space="preserve"> </w:t>
      </w:r>
      <w:r>
        <w:rPr>
          <w:rFonts w:ascii="Arial" w:hAnsi="Arial" w:cs="Arial"/>
          <w:spacing w:val="3"/>
          <w:w w:val="105"/>
          <w:sz w:val="18"/>
          <w:szCs w:val="18"/>
        </w:rPr>
        <w:t>provide</w:t>
      </w:r>
      <w:r w:rsidR="00607624">
        <w:rPr>
          <w:rFonts w:ascii="Arial" w:hAnsi="Arial" w:cs="Arial"/>
          <w:spacing w:val="3"/>
          <w:w w:val="105"/>
          <w:sz w:val="18"/>
          <w:szCs w:val="18"/>
        </w:rPr>
        <w:t xml:space="preserve"> </w:t>
      </w:r>
      <w:r>
        <w:rPr>
          <w:rFonts w:ascii="Arial" w:hAnsi="Arial" w:cs="Arial"/>
          <w:spacing w:val="3"/>
          <w:w w:val="105"/>
          <w:sz w:val="18"/>
          <w:szCs w:val="18"/>
        </w:rPr>
        <w:t xml:space="preserve">funding </w:t>
      </w:r>
      <w:r>
        <w:rPr>
          <w:rFonts w:ascii="Arial" w:hAnsi="Arial" w:cs="Arial"/>
          <w:sz w:val="18"/>
          <w:szCs w:val="18"/>
        </w:rPr>
        <w:t>for</w:t>
      </w:r>
      <w:r>
        <w:rPr>
          <w:rFonts w:ascii="Arial" w:hAnsi="Arial" w:cs="Arial"/>
          <w:spacing w:val="-10"/>
          <w:sz w:val="18"/>
          <w:szCs w:val="18"/>
        </w:rPr>
        <w:t xml:space="preserve"> </w:t>
      </w:r>
      <w:r>
        <w:rPr>
          <w:rFonts w:ascii="Arial" w:hAnsi="Arial" w:cs="Arial"/>
          <w:spacing w:val="-3"/>
          <w:sz w:val="18"/>
          <w:szCs w:val="18"/>
        </w:rPr>
        <w:t>flexible</w:t>
      </w:r>
      <w:r>
        <w:rPr>
          <w:rFonts w:ascii="Arial" w:hAnsi="Arial" w:cs="Arial"/>
          <w:spacing w:val="-15"/>
          <w:sz w:val="18"/>
          <w:szCs w:val="18"/>
        </w:rPr>
        <w:t xml:space="preserve"> </w:t>
      </w:r>
      <w:r>
        <w:rPr>
          <w:rFonts w:ascii="Arial" w:hAnsi="Arial" w:cs="Arial"/>
          <w:sz w:val="18"/>
          <w:szCs w:val="18"/>
        </w:rPr>
        <w:t>health-related</w:t>
      </w:r>
      <w:r>
        <w:rPr>
          <w:rFonts w:ascii="Arial" w:hAnsi="Arial" w:cs="Arial"/>
          <w:spacing w:val="-13"/>
          <w:sz w:val="18"/>
          <w:szCs w:val="18"/>
        </w:rPr>
        <w:t xml:space="preserve"> </w:t>
      </w:r>
      <w:r>
        <w:rPr>
          <w:rFonts w:ascii="Arial" w:hAnsi="Arial" w:cs="Arial"/>
          <w:sz w:val="18"/>
          <w:szCs w:val="18"/>
        </w:rPr>
        <w:t>social</w:t>
      </w:r>
      <w:r>
        <w:rPr>
          <w:rFonts w:ascii="Arial" w:hAnsi="Arial" w:cs="Arial"/>
          <w:spacing w:val="-13"/>
          <w:sz w:val="18"/>
          <w:szCs w:val="18"/>
        </w:rPr>
        <w:t xml:space="preserve"> </w:t>
      </w:r>
      <w:r>
        <w:rPr>
          <w:rFonts w:ascii="Arial" w:hAnsi="Arial" w:cs="Arial"/>
          <w:sz w:val="18"/>
          <w:szCs w:val="18"/>
        </w:rPr>
        <w:t>services</w:t>
      </w:r>
      <w:r>
        <w:rPr>
          <w:rFonts w:ascii="Arial" w:hAnsi="Arial" w:cs="Arial"/>
          <w:spacing w:val="-4"/>
          <w:sz w:val="18"/>
          <w:szCs w:val="18"/>
        </w:rPr>
        <w:t xml:space="preserve"> </w:t>
      </w:r>
      <w:r>
        <w:rPr>
          <w:rFonts w:ascii="Arial" w:hAnsi="Arial" w:cs="Arial"/>
          <w:sz w:val="18"/>
          <w:szCs w:val="18"/>
        </w:rPr>
        <w:t>through</w:t>
      </w:r>
      <w:r>
        <w:rPr>
          <w:rFonts w:ascii="Arial" w:hAnsi="Arial" w:cs="Arial"/>
          <w:spacing w:val="-4"/>
          <w:sz w:val="18"/>
          <w:szCs w:val="18"/>
        </w:rPr>
        <w:t xml:space="preserve"> </w:t>
      </w:r>
      <w:r>
        <w:rPr>
          <w:rFonts w:ascii="Arial" w:hAnsi="Arial" w:cs="Arial"/>
          <w:sz w:val="18"/>
          <w:szCs w:val="18"/>
        </w:rPr>
        <w:t>DSRIP.</w:t>
      </w:r>
    </w:p>
    <w:p w:rsidR="002C5025" w:rsidRDefault="002C5025">
      <w:pPr>
        <w:pStyle w:val="BodyText"/>
        <w:kinsoku w:val="0"/>
        <w:overflowPunct w:val="0"/>
        <w:spacing w:before="2"/>
        <w:rPr>
          <w:rFonts w:ascii="Arial" w:hAnsi="Arial" w:cs="Arial"/>
          <w:sz w:val="21"/>
          <w:szCs w:val="21"/>
        </w:rPr>
      </w:pPr>
    </w:p>
    <w:p w:rsidR="002C5025" w:rsidRDefault="002C5025">
      <w:pPr>
        <w:pStyle w:val="BodyText"/>
        <w:kinsoku w:val="0"/>
        <w:overflowPunct w:val="0"/>
        <w:spacing w:line="280" w:lineRule="auto"/>
        <w:ind w:left="103" w:right="1398" w:firstLine="2"/>
        <w:rPr>
          <w:rFonts w:ascii="Arial" w:hAnsi="Arial" w:cs="Arial"/>
          <w:sz w:val="18"/>
          <w:szCs w:val="18"/>
        </w:rPr>
      </w:pPr>
      <w:r>
        <w:rPr>
          <w:rFonts w:ascii="Arial" w:hAnsi="Arial" w:cs="Arial"/>
          <w:sz w:val="18"/>
          <w:szCs w:val="18"/>
        </w:rPr>
        <w:t xml:space="preserve">Our </w:t>
      </w:r>
      <w:r>
        <w:rPr>
          <w:rFonts w:ascii="Arial" w:hAnsi="Arial" w:cs="Arial"/>
          <w:spacing w:val="2"/>
          <w:sz w:val="18"/>
          <w:szCs w:val="18"/>
        </w:rPr>
        <w:t>comments</w:t>
      </w:r>
      <w:r w:rsidR="00607624">
        <w:rPr>
          <w:rFonts w:ascii="Arial" w:hAnsi="Arial" w:cs="Arial"/>
          <w:spacing w:val="2"/>
          <w:sz w:val="18"/>
          <w:szCs w:val="18"/>
        </w:rPr>
        <w:t xml:space="preserve"> </w:t>
      </w:r>
      <w:r>
        <w:rPr>
          <w:rFonts w:ascii="Arial" w:hAnsi="Arial" w:cs="Arial"/>
          <w:spacing w:val="2"/>
          <w:sz w:val="18"/>
          <w:szCs w:val="18"/>
        </w:rPr>
        <w:t xml:space="preserve">focus </w:t>
      </w:r>
      <w:r>
        <w:rPr>
          <w:rFonts w:ascii="Arial" w:hAnsi="Arial" w:cs="Arial"/>
          <w:sz w:val="18"/>
          <w:szCs w:val="18"/>
        </w:rPr>
        <w:t>specifically</w:t>
      </w:r>
      <w:r w:rsidR="00607624">
        <w:rPr>
          <w:rFonts w:ascii="Arial" w:hAnsi="Arial" w:cs="Arial"/>
          <w:sz w:val="18"/>
          <w:szCs w:val="18"/>
        </w:rPr>
        <w:t xml:space="preserve"> </w:t>
      </w:r>
      <w:r>
        <w:rPr>
          <w:rFonts w:ascii="Arial" w:hAnsi="Arial" w:cs="Arial"/>
          <w:sz w:val="18"/>
          <w:szCs w:val="18"/>
        </w:rPr>
        <w:t>on</w:t>
      </w:r>
      <w:r w:rsidR="00607624">
        <w:rPr>
          <w:rFonts w:ascii="Arial" w:hAnsi="Arial" w:cs="Arial"/>
          <w:sz w:val="18"/>
          <w:szCs w:val="18"/>
        </w:rPr>
        <w:t xml:space="preserve"> </w:t>
      </w:r>
      <w:r>
        <w:rPr>
          <w:rFonts w:ascii="Arial" w:hAnsi="Arial" w:cs="Arial"/>
          <w:sz w:val="18"/>
          <w:szCs w:val="18"/>
        </w:rPr>
        <w:t>the proposals regarding</w:t>
      </w:r>
      <w:r w:rsidR="00607624">
        <w:rPr>
          <w:rFonts w:ascii="Arial" w:hAnsi="Arial" w:cs="Arial"/>
          <w:sz w:val="18"/>
          <w:szCs w:val="18"/>
        </w:rPr>
        <w:t xml:space="preserve"> </w:t>
      </w:r>
      <w:r>
        <w:rPr>
          <w:rFonts w:ascii="Arial" w:hAnsi="Arial" w:cs="Arial"/>
          <w:sz w:val="18"/>
          <w:szCs w:val="18"/>
        </w:rPr>
        <w:t xml:space="preserve">health-related </w:t>
      </w:r>
      <w:r>
        <w:rPr>
          <w:rFonts w:ascii="Arial" w:hAnsi="Arial" w:cs="Arial"/>
          <w:spacing w:val="2"/>
          <w:sz w:val="18"/>
          <w:szCs w:val="18"/>
        </w:rPr>
        <w:t>socia</w:t>
      </w:r>
      <w:r w:rsidR="00607624">
        <w:rPr>
          <w:rFonts w:ascii="Arial" w:hAnsi="Arial" w:cs="Arial"/>
          <w:spacing w:val="2"/>
          <w:sz w:val="18"/>
          <w:szCs w:val="18"/>
        </w:rPr>
        <w:t xml:space="preserve">l </w:t>
      </w:r>
      <w:r>
        <w:rPr>
          <w:rFonts w:ascii="Arial" w:hAnsi="Arial" w:cs="Arial"/>
          <w:spacing w:val="2"/>
          <w:sz w:val="18"/>
          <w:szCs w:val="18"/>
        </w:rPr>
        <w:t xml:space="preserve">services not </w:t>
      </w:r>
      <w:r>
        <w:rPr>
          <w:rFonts w:ascii="Arial" w:hAnsi="Arial" w:cs="Arial"/>
          <w:sz w:val="18"/>
          <w:szCs w:val="18"/>
        </w:rPr>
        <w:t xml:space="preserve">traditionally reimbursed by Medicaid. We strongly support Section 5.3.2.3 (on page 42) </w:t>
      </w:r>
      <w:r>
        <w:rPr>
          <w:rFonts w:ascii="Arial" w:hAnsi="Arial" w:cs="Arial"/>
          <w:spacing w:val="2"/>
          <w:sz w:val="18"/>
          <w:szCs w:val="18"/>
        </w:rPr>
        <w:t xml:space="preserve">which </w:t>
      </w:r>
      <w:r>
        <w:rPr>
          <w:rFonts w:ascii="Arial" w:hAnsi="Arial" w:cs="Arial"/>
          <w:sz w:val="18"/>
          <w:szCs w:val="18"/>
        </w:rPr>
        <w:t>proposes</w:t>
      </w:r>
      <w:r>
        <w:rPr>
          <w:rFonts w:ascii="Arial" w:hAnsi="Arial" w:cs="Arial"/>
          <w:spacing w:val="-11"/>
          <w:sz w:val="18"/>
          <w:szCs w:val="18"/>
        </w:rPr>
        <w:t xml:space="preserve"> </w:t>
      </w:r>
      <w:r>
        <w:rPr>
          <w:rFonts w:ascii="Arial" w:hAnsi="Arial" w:cs="Arial"/>
          <w:sz w:val="18"/>
          <w:szCs w:val="18"/>
        </w:rPr>
        <w:t>to</w:t>
      </w:r>
      <w:r>
        <w:rPr>
          <w:rFonts w:ascii="Arial" w:hAnsi="Arial" w:cs="Arial"/>
          <w:spacing w:val="-6"/>
          <w:sz w:val="18"/>
          <w:szCs w:val="18"/>
        </w:rPr>
        <w:t xml:space="preserve"> </w:t>
      </w:r>
      <w:r>
        <w:rPr>
          <w:rFonts w:ascii="Arial" w:hAnsi="Arial" w:cs="Arial"/>
          <w:sz w:val="18"/>
          <w:szCs w:val="18"/>
        </w:rPr>
        <w:t>make</w:t>
      </w:r>
      <w:r>
        <w:rPr>
          <w:rFonts w:ascii="Arial" w:hAnsi="Arial" w:cs="Arial"/>
          <w:spacing w:val="-6"/>
          <w:sz w:val="18"/>
          <w:szCs w:val="18"/>
        </w:rPr>
        <w:t xml:space="preserve"> </w:t>
      </w:r>
      <w:r>
        <w:rPr>
          <w:rFonts w:ascii="Arial" w:hAnsi="Arial" w:cs="Arial"/>
          <w:sz w:val="18"/>
          <w:szCs w:val="18"/>
        </w:rPr>
        <w:t>DSRIP</w:t>
      </w:r>
      <w:r>
        <w:rPr>
          <w:rFonts w:ascii="Arial" w:hAnsi="Arial" w:cs="Arial"/>
          <w:spacing w:val="-20"/>
          <w:sz w:val="18"/>
          <w:szCs w:val="18"/>
        </w:rPr>
        <w:t xml:space="preserve"> </w:t>
      </w:r>
      <w:r>
        <w:rPr>
          <w:rFonts w:ascii="Arial" w:hAnsi="Arial" w:cs="Arial"/>
          <w:sz w:val="18"/>
          <w:szCs w:val="18"/>
        </w:rPr>
        <w:t>funding</w:t>
      </w:r>
      <w:r>
        <w:rPr>
          <w:rFonts w:ascii="Arial" w:hAnsi="Arial" w:cs="Arial"/>
          <w:spacing w:val="-25"/>
          <w:sz w:val="18"/>
          <w:szCs w:val="18"/>
        </w:rPr>
        <w:t xml:space="preserve"> </w:t>
      </w:r>
      <w:r>
        <w:rPr>
          <w:rFonts w:ascii="Arial" w:hAnsi="Arial" w:cs="Arial"/>
          <w:sz w:val="18"/>
          <w:szCs w:val="18"/>
        </w:rPr>
        <w:t>available</w:t>
      </w:r>
      <w:r>
        <w:rPr>
          <w:rFonts w:ascii="Arial" w:hAnsi="Arial" w:cs="Arial"/>
          <w:spacing w:val="-17"/>
          <w:sz w:val="18"/>
          <w:szCs w:val="18"/>
        </w:rPr>
        <w:t xml:space="preserve"> </w:t>
      </w:r>
      <w:r>
        <w:rPr>
          <w:rFonts w:ascii="Arial" w:hAnsi="Arial" w:cs="Arial"/>
          <w:sz w:val="18"/>
          <w:szCs w:val="18"/>
        </w:rPr>
        <w:t>for</w:t>
      </w:r>
      <w:r>
        <w:rPr>
          <w:rFonts w:ascii="Arial" w:hAnsi="Arial" w:cs="Arial"/>
          <w:spacing w:val="-8"/>
          <w:sz w:val="18"/>
          <w:szCs w:val="18"/>
        </w:rPr>
        <w:t xml:space="preserve"> </w:t>
      </w:r>
      <w:r>
        <w:rPr>
          <w:rFonts w:ascii="Arial" w:hAnsi="Arial" w:cs="Arial"/>
          <w:sz w:val="18"/>
          <w:szCs w:val="18"/>
        </w:rPr>
        <w:t>several</w:t>
      </w:r>
      <w:r>
        <w:rPr>
          <w:rFonts w:ascii="Arial" w:hAnsi="Arial" w:cs="Arial"/>
          <w:spacing w:val="-7"/>
          <w:sz w:val="18"/>
          <w:szCs w:val="18"/>
        </w:rPr>
        <w:t xml:space="preserve"> </w:t>
      </w:r>
      <w:r>
        <w:rPr>
          <w:rFonts w:ascii="Arial" w:hAnsi="Arial" w:cs="Arial"/>
          <w:sz w:val="18"/>
          <w:szCs w:val="18"/>
        </w:rPr>
        <w:t>categories</w:t>
      </w:r>
      <w:r>
        <w:rPr>
          <w:rFonts w:ascii="Arial" w:hAnsi="Arial" w:cs="Arial"/>
          <w:spacing w:val="-11"/>
          <w:sz w:val="18"/>
          <w:szCs w:val="18"/>
        </w:rPr>
        <w:t xml:space="preserve"> </w:t>
      </w:r>
      <w:r>
        <w:rPr>
          <w:rFonts w:ascii="Arial" w:hAnsi="Arial" w:cs="Arial"/>
          <w:sz w:val="18"/>
          <w:szCs w:val="18"/>
        </w:rPr>
        <w:t>of</w:t>
      </w:r>
      <w:r>
        <w:rPr>
          <w:rFonts w:ascii="Arial" w:hAnsi="Arial" w:cs="Arial"/>
          <w:spacing w:val="-12"/>
          <w:sz w:val="18"/>
          <w:szCs w:val="18"/>
        </w:rPr>
        <w:t xml:space="preserve"> </w:t>
      </w:r>
      <w:r>
        <w:rPr>
          <w:rFonts w:ascii="Arial" w:hAnsi="Arial" w:cs="Arial"/>
          <w:sz w:val="18"/>
          <w:szCs w:val="18"/>
        </w:rPr>
        <w:t>flexible</w:t>
      </w:r>
      <w:r>
        <w:rPr>
          <w:rFonts w:ascii="Arial" w:hAnsi="Arial" w:cs="Arial"/>
          <w:spacing w:val="-17"/>
          <w:sz w:val="18"/>
          <w:szCs w:val="18"/>
        </w:rPr>
        <w:t xml:space="preserve"> </w:t>
      </w:r>
      <w:r>
        <w:rPr>
          <w:rFonts w:ascii="Arial" w:hAnsi="Arial" w:cs="Arial"/>
          <w:sz w:val="18"/>
          <w:szCs w:val="18"/>
        </w:rPr>
        <w:t>services,</w:t>
      </w:r>
      <w:r>
        <w:rPr>
          <w:rFonts w:ascii="Arial" w:hAnsi="Arial" w:cs="Arial"/>
          <w:spacing w:val="-7"/>
          <w:sz w:val="18"/>
          <w:szCs w:val="18"/>
        </w:rPr>
        <w:t xml:space="preserve"> </w:t>
      </w:r>
      <w:r>
        <w:rPr>
          <w:rFonts w:ascii="Arial" w:hAnsi="Arial" w:cs="Arial"/>
          <w:spacing w:val="-3"/>
          <w:sz w:val="18"/>
          <w:szCs w:val="18"/>
        </w:rPr>
        <w:t>including</w:t>
      </w:r>
      <w:r>
        <w:rPr>
          <w:rFonts w:ascii="Arial" w:hAnsi="Arial" w:cs="Arial"/>
          <w:spacing w:val="-25"/>
          <w:sz w:val="18"/>
          <w:szCs w:val="18"/>
        </w:rPr>
        <w:t xml:space="preserve"> </w:t>
      </w:r>
      <w:r>
        <w:rPr>
          <w:rFonts w:ascii="Arial" w:hAnsi="Arial" w:cs="Arial"/>
          <w:sz w:val="18"/>
          <w:szCs w:val="18"/>
        </w:rPr>
        <w:t xml:space="preserve">housing </w:t>
      </w:r>
      <w:r>
        <w:rPr>
          <w:rFonts w:ascii="Arial" w:hAnsi="Arial" w:cs="Arial"/>
          <w:spacing w:val="2"/>
          <w:sz w:val="18"/>
          <w:szCs w:val="18"/>
        </w:rPr>
        <w:t>stabilization</w:t>
      </w:r>
      <w:r w:rsidR="00607624">
        <w:rPr>
          <w:rFonts w:ascii="Arial" w:hAnsi="Arial" w:cs="Arial"/>
          <w:spacing w:val="2"/>
          <w:sz w:val="18"/>
          <w:szCs w:val="18"/>
        </w:rPr>
        <w:t xml:space="preserve"> </w:t>
      </w:r>
      <w:r>
        <w:rPr>
          <w:rFonts w:ascii="Arial" w:hAnsi="Arial" w:cs="Arial"/>
          <w:spacing w:val="2"/>
          <w:sz w:val="18"/>
          <w:szCs w:val="18"/>
        </w:rPr>
        <w:t xml:space="preserve">and </w:t>
      </w:r>
      <w:r>
        <w:rPr>
          <w:rFonts w:ascii="Arial" w:hAnsi="Arial" w:cs="Arial"/>
          <w:sz w:val="18"/>
          <w:szCs w:val="18"/>
        </w:rPr>
        <w:t>support, search and placement, utility assistance,</w:t>
      </w:r>
      <w:r w:rsidR="00607624">
        <w:rPr>
          <w:rFonts w:ascii="Arial" w:hAnsi="Arial" w:cs="Arial"/>
          <w:sz w:val="18"/>
          <w:szCs w:val="18"/>
        </w:rPr>
        <w:t xml:space="preserve"> </w:t>
      </w:r>
      <w:r>
        <w:rPr>
          <w:rFonts w:ascii="Arial" w:hAnsi="Arial" w:cs="Arial"/>
          <w:sz w:val="18"/>
          <w:szCs w:val="18"/>
        </w:rPr>
        <w:t xml:space="preserve">nutrition </w:t>
      </w:r>
      <w:r>
        <w:rPr>
          <w:rFonts w:ascii="Arial" w:hAnsi="Arial" w:cs="Arial"/>
          <w:spacing w:val="3"/>
          <w:sz w:val="18"/>
          <w:szCs w:val="18"/>
        </w:rPr>
        <w:t>and</w:t>
      </w:r>
      <w:r w:rsidR="00607624">
        <w:rPr>
          <w:rFonts w:ascii="Arial" w:hAnsi="Arial" w:cs="Arial"/>
          <w:spacing w:val="3"/>
          <w:sz w:val="18"/>
          <w:szCs w:val="18"/>
        </w:rPr>
        <w:t xml:space="preserve"> </w:t>
      </w:r>
      <w:r>
        <w:rPr>
          <w:rFonts w:ascii="Arial" w:hAnsi="Arial" w:cs="Arial"/>
          <w:spacing w:val="3"/>
          <w:sz w:val="18"/>
          <w:szCs w:val="18"/>
        </w:rPr>
        <w:t xml:space="preserve">sexual </w:t>
      </w:r>
      <w:r>
        <w:rPr>
          <w:rFonts w:ascii="Arial" w:hAnsi="Arial" w:cs="Arial"/>
          <w:sz w:val="18"/>
          <w:szCs w:val="18"/>
        </w:rPr>
        <w:t xml:space="preserve">assault and </w:t>
      </w:r>
      <w:r>
        <w:rPr>
          <w:rFonts w:ascii="Arial" w:hAnsi="Arial" w:cs="Arial"/>
          <w:spacing w:val="3"/>
          <w:sz w:val="18"/>
          <w:szCs w:val="18"/>
        </w:rPr>
        <w:t>domestic</w:t>
      </w:r>
      <w:r w:rsidR="00607624">
        <w:rPr>
          <w:rFonts w:ascii="Arial" w:hAnsi="Arial" w:cs="Arial"/>
          <w:spacing w:val="3"/>
          <w:sz w:val="18"/>
          <w:szCs w:val="18"/>
        </w:rPr>
        <w:t xml:space="preserve"> </w:t>
      </w:r>
      <w:r>
        <w:rPr>
          <w:rFonts w:ascii="Arial" w:hAnsi="Arial" w:cs="Arial"/>
          <w:spacing w:val="3"/>
          <w:sz w:val="18"/>
          <w:szCs w:val="18"/>
        </w:rPr>
        <w:t xml:space="preserve">violence. </w:t>
      </w:r>
      <w:r>
        <w:rPr>
          <w:rFonts w:ascii="Arial" w:hAnsi="Arial" w:cs="Arial"/>
          <w:sz w:val="18"/>
          <w:szCs w:val="18"/>
        </w:rPr>
        <w:t xml:space="preserve">We believe investments </w:t>
      </w:r>
      <w:r>
        <w:rPr>
          <w:rFonts w:ascii="Arial" w:hAnsi="Arial" w:cs="Arial"/>
          <w:spacing w:val="-7"/>
          <w:sz w:val="18"/>
          <w:szCs w:val="18"/>
        </w:rPr>
        <w:t xml:space="preserve">in </w:t>
      </w:r>
      <w:r>
        <w:rPr>
          <w:rFonts w:ascii="Arial" w:hAnsi="Arial" w:cs="Arial"/>
          <w:sz w:val="18"/>
          <w:szCs w:val="18"/>
        </w:rPr>
        <w:t xml:space="preserve">these types of services can play an important role </w:t>
      </w:r>
      <w:r>
        <w:rPr>
          <w:rFonts w:ascii="Arial" w:hAnsi="Arial" w:cs="Arial"/>
          <w:spacing w:val="-9"/>
          <w:sz w:val="18"/>
          <w:szCs w:val="18"/>
        </w:rPr>
        <w:t xml:space="preserve">in </w:t>
      </w:r>
      <w:r>
        <w:rPr>
          <w:rFonts w:ascii="Arial" w:hAnsi="Arial" w:cs="Arial"/>
          <w:sz w:val="18"/>
          <w:szCs w:val="18"/>
        </w:rPr>
        <w:t>reducing negative health outcomes and that the benefits are likely to increase over</w:t>
      </w:r>
      <w:r>
        <w:rPr>
          <w:rFonts w:ascii="Arial" w:hAnsi="Arial" w:cs="Arial"/>
          <w:spacing w:val="31"/>
          <w:sz w:val="18"/>
          <w:szCs w:val="18"/>
        </w:rPr>
        <w:t xml:space="preserve"> </w:t>
      </w:r>
      <w:r>
        <w:rPr>
          <w:rFonts w:ascii="Arial" w:hAnsi="Arial" w:cs="Arial"/>
          <w:sz w:val="18"/>
          <w:szCs w:val="18"/>
        </w:rPr>
        <w:t>time.</w:t>
      </w:r>
    </w:p>
    <w:p w:rsidR="002C5025" w:rsidRDefault="002C5025">
      <w:pPr>
        <w:pStyle w:val="BodyText"/>
        <w:kinsoku w:val="0"/>
        <w:overflowPunct w:val="0"/>
        <w:spacing w:before="6"/>
        <w:rPr>
          <w:rFonts w:ascii="Arial" w:hAnsi="Arial" w:cs="Arial"/>
          <w:sz w:val="21"/>
          <w:szCs w:val="21"/>
        </w:rPr>
      </w:pPr>
    </w:p>
    <w:p w:rsidR="002C5025" w:rsidRDefault="002C5025" w:rsidP="00B27397">
      <w:pPr>
        <w:pStyle w:val="BodyText"/>
        <w:kinsoku w:val="0"/>
        <w:overflowPunct w:val="0"/>
        <w:spacing w:before="1" w:line="280" w:lineRule="auto"/>
        <w:ind w:left="110" w:right="1398" w:hanging="10"/>
        <w:rPr>
          <w:rFonts w:ascii="Arial" w:hAnsi="Arial" w:cs="Arial"/>
          <w:w w:val="105"/>
          <w:sz w:val="18"/>
          <w:szCs w:val="18"/>
        </w:rPr>
      </w:pPr>
      <w:r>
        <w:rPr>
          <w:rFonts w:ascii="Arial" w:hAnsi="Arial" w:cs="Arial"/>
          <w:w w:val="105"/>
          <w:sz w:val="18"/>
          <w:szCs w:val="18"/>
        </w:rPr>
        <w:t xml:space="preserve">There are a few places where more flexible language might be beneficial. </w:t>
      </w:r>
      <w:r>
        <w:rPr>
          <w:rFonts w:ascii="Arial" w:hAnsi="Arial" w:cs="Arial"/>
          <w:spacing w:val="4"/>
          <w:w w:val="105"/>
          <w:sz w:val="18"/>
          <w:szCs w:val="18"/>
        </w:rPr>
        <w:t>In</w:t>
      </w:r>
      <w:r w:rsidR="00607624">
        <w:rPr>
          <w:rFonts w:ascii="Arial" w:hAnsi="Arial" w:cs="Arial"/>
          <w:spacing w:val="4"/>
          <w:w w:val="105"/>
          <w:sz w:val="18"/>
          <w:szCs w:val="18"/>
        </w:rPr>
        <w:t xml:space="preserve"> </w:t>
      </w:r>
      <w:r>
        <w:rPr>
          <w:rFonts w:ascii="Arial" w:hAnsi="Arial" w:cs="Arial"/>
          <w:spacing w:val="4"/>
          <w:w w:val="105"/>
          <w:sz w:val="18"/>
          <w:szCs w:val="18"/>
        </w:rPr>
        <w:t xml:space="preserve">the </w:t>
      </w:r>
      <w:r>
        <w:rPr>
          <w:rFonts w:ascii="Arial" w:hAnsi="Arial" w:cs="Arial"/>
          <w:w w:val="105"/>
          <w:sz w:val="18"/>
          <w:szCs w:val="18"/>
        </w:rPr>
        <w:t>Goals section (§2.2.2),</w:t>
      </w:r>
      <w:r>
        <w:rPr>
          <w:rFonts w:ascii="Arial" w:hAnsi="Arial" w:cs="Arial"/>
          <w:spacing w:val="-29"/>
          <w:w w:val="105"/>
          <w:sz w:val="18"/>
          <w:szCs w:val="18"/>
        </w:rPr>
        <w:t xml:space="preserve"> </w:t>
      </w:r>
      <w:r>
        <w:rPr>
          <w:rFonts w:ascii="Arial" w:hAnsi="Arial" w:cs="Arial"/>
          <w:w w:val="105"/>
          <w:sz w:val="18"/>
          <w:szCs w:val="18"/>
        </w:rPr>
        <w:t>we</w:t>
      </w:r>
      <w:r>
        <w:rPr>
          <w:rFonts w:ascii="Arial" w:hAnsi="Arial" w:cs="Arial"/>
          <w:spacing w:val="-21"/>
          <w:w w:val="105"/>
          <w:sz w:val="18"/>
          <w:szCs w:val="18"/>
        </w:rPr>
        <w:t xml:space="preserve"> </w:t>
      </w:r>
      <w:r>
        <w:rPr>
          <w:rFonts w:ascii="Arial" w:hAnsi="Arial" w:cs="Arial"/>
          <w:w w:val="105"/>
          <w:sz w:val="18"/>
          <w:szCs w:val="18"/>
        </w:rPr>
        <w:t>urge</w:t>
      </w:r>
      <w:r>
        <w:rPr>
          <w:rFonts w:ascii="Arial" w:hAnsi="Arial" w:cs="Arial"/>
          <w:spacing w:val="-32"/>
          <w:w w:val="105"/>
          <w:sz w:val="18"/>
          <w:szCs w:val="18"/>
        </w:rPr>
        <w:t xml:space="preserve"> </w:t>
      </w:r>
      <w:r>
        <w:rPr>
          <w:rFonts w:ascii="Arial" w:hAnsi="Arial" w:cs="Arial"/>
          <w:w w:val="105"/>
          <w:sz w:val="18"/>
          <w:szCs w:val="18"/>
        </w:rPr>
        <w:t>you</w:t>
      </w:r>
      <w:r>
        <w:rPr>
          <w:rFonts w:ascii="Arial" w:hAnsi="Arial" w:cs="Arial"/>
          <w:spacing w:val="-25"/>
          <w:w w:val="105"/>
          <w:sz w:val="18"/>
          <w:szCs w:val="18"/>
        </w:rPr>
        <w:t xml:space="preserve"> </w:t>
      </w:r>
      <w:r>
        <w:rPr>
          <w:rFonts w:ascii="Arial" w:hAnsi="Arial" w:cs="Arial"/>
          <w:w w:val="105"/>
          <w:sz w:val="18"/>
          <w:szCs w:val="18"/>
        </w:rPr>
        <w:t>to</w:t>
      </w:r>
      <w:r>
        <w:rPr>
          <w:rFonts w:ascii="Arial" w:hAnsi="Arial" w:cs="Arial"/>
          <w:spacing w:val="-24"/>
          <w:w w:val="105"/>
          <w:sz w:val="18"/>
          <w:szCs w:val="18"/>
        </w:rPr>
        <w:t xml:space="preserve"> </w:t>
      </w:r>
      <w:r>
        <w:rPr>
          <w:rFonts w:ascii="Arial" w:hAnsi="Arial" w:cs="Arial"/>
          <w:w w:val="105"/>
          <w:sz w:val="18"/>
          <w:szCs w:val="18"/>
        </w:rPr>
        <w:t>consider</w:t>
      </w:r>
      <w:r>
        <w:rPr>
          <w:rFonts w:ascii="Arial" w:hAnsi="Arial" w:cs="Arial"/>
          <w:spacing w:val="-27"/>
          <w:w w:val="105"/>
          <w:sz w:val="18"/>
          <w:szCs w:val="18"/>
        </w:rPr>
        <w:t xml:space="preserve"> </w:t>
      </w:r>
      <w:r>
        <w:rPr>
          <w:rFonts w:ascii="Arial" w:hAnsi="Arial" w:cs="Arial"/>
          <w:w w:val="105"/>
          <w:sz w:val="18"/>
          <w:szCs w:val="18"/>
        </w:rPr>
        <w:t>specifying</w:t>
      </w:r>
      <w:r>
        <w:rPr>
          <w:rFonts w:ascii="Arial" w:hAnsi="Arial" w:cs="Arial"/>
          <w:spacing w:val="-34"/>
          <w:w w:val="105"/>
          <w:sz w:val="18"/>
          <w:szCs w:val="18"/>
        </w:rPr>
        <w:t xml:space="preserve"> </w:t>
      </w:r>
      <w:r>
        <w:rPr>
          <w:rFonts w:ascii="Arial" w:hAnsi="Arial" w:cs="Arial"/>
          <w:w w:val="105"/>
          <w:sz w:val="18"/>
          <w:szCs w:val="18"/>
        </w:rPr>
        <w:t>activities</w:t>
      </w:r>
      <w:r>
        <w:rPr>
          <w:rFonts w:ascii="Arial" w:hAnsi="Arial" w:cs="Arial"/>
          <w:spacing w:val="-27"/>
          <w:w w:val="105"/>
          <w:sz w:val="18"/>
          <w:szCs w:val="18"/>
        </w:rPr>
        <w:t xml:space="preserve"> </w:t>
      </w:r>
      <w:r>
        <w:rPr>
          <w:rFonts w:ascii="Arial" w:hAnsi="Arial" w:cs="Arial"/>
          <w:w w:val="105"/>
          <w:sz w:val="18"/>
          <w:szCs w:val="18"/>
        </w:rPr>
        <w:t>(housing,</w:t>
      </w:r>
      <w:r w:rsidR="00B27397">
        <w:rPr>
          <w:rFonts w:ascii="Arial" w:hAnsi="Arial" w:cs="Arial"/>
          <w:w w:val="105"/>
          <w:sz w:val="18"/>
          <w:szCs w:val="18"/>
        </w:rPr>
        <w:t xml:space="preserve"> </w:t>
      </w:r>
      <w:r>
        <w:rPr>
          <w:rFonts w:ascii="Arial" w:hAnsi="Arial" w:cs="Arial"/>
          <w:w w:val="105"/>
          <w:sz w:val="18"/>
          <w:szCs w:val="18"/>
        </w:rPr>
        <w:t>nutrition)</w:t>
      </w:r>
      <w:r>
        <w:rPr>
          <w:rFonts w:ascii="Arial" w:hAnsi="Arial" w:cs="Arial"/>
          <w:spacing w:val="-28"/>
          <w:w w:val="105"/>
          <w:sz w:val="18"/>
          <w:szCs w:val="18"/>
        </w:rPr>
        <w:t xml:space="preserve"> </w:t>
      </w:r>
      <w:r>
        <w:rPr>
          <w:rFonts w:ascii="Arial" w:hAnsi="Arial" w:cs="Arial"/>
          <w:w w:val="105"/>
          <w:sz w:val="18"/>
          <w:szCs w:val="18"/>
        </w:rPr>
        <w:t>that</w:t>
      </w:r>
      <w:r>
        <w:rPr>
          <w:rFonts w:ascii="Arial" w:hAnsi="Arial" w:cs="Arial"/>
          <w:spacing w:val="-21"/>
          <w:w w:val="105"/>
          <w:sz w:val="18"/>
          <w:szCs w:val="18"/>
        </w:rPr>
        <w:t xml:space="preserve"> </w:t>
      </w:r>
      <w:r>
        <w:rPr>
          <w:rFonts w:ascii="Arial" w:hAnsi="Arial" w:cs="Arial"/>
          <w:w w:val="105"/>
          <w:sz w:val="18"/>
          <w:szCs w:val="18"/>
        </w:rPr>
        <w:t>might</w:t>
      </w:r>
      <w:r>
        <w:rPr>
          <w:rFonts w:ascii="Arial" w:hAnsi="Arial" w:cs="Arial"/>
          <w:spacing w:val="-26"/>
          <w:w w:val="105"/>
          <w:sz w:val="18"/>
          <w:szCs w:val="18"/>
        </w:rPr>
        <w:t xml:space="preserve"> </w:t>
      </w:r>
      <w:r>
        <w:rPr>
          <w:rFonts w:ascii="Arial" w:hAnsi="Arial" w:cs="Arial"/>
          <w:w w:val="105"/>
          <w:sz w:val="18"/>
          <w:szCs w:val="18"/>
        </w:rPr>
        <w:t>qualify</w:t>
      </w:r>
      <w:r>
        <w:rPr>
          <w:rFonts w:ascii="Arial" w:hAnsi="Arial" w:cs="Arial"/>
          <w:spacing w:val="-21"/>
          <w:w w:val="105"/>
          <w:sz w:val="18"/>
          <w:szCs w:val="18"/>
        </w:rPr>
        <w:t xml:space="preserve"> </w:t>
      </w:r>
      <w:r>
        <w:rPr>
          <w:rFonts w:ascii="Arial" w:hAnsi="Arial" w:cs="Arial"/>
          <w:w w:val="105"/>
          <w:sz w:val="18"/>
          <w:szCs w:val="18"/>
        </w:rPr>
        <w:t>as</w:t>
      </w:r>
      <w:r>
        <w:rPr>
          <w:rFonts w:ascii="Arial" w:hAnsi="Arial" w:cs="Arial"/>
          <w:spacing w:val="20"/>
          <w:w w:val="105"/>
          <w:sz w:val="18"/>
          <w:szCs w:val="18"/>
        </w:rPr>
        <w:t xml:space="preserve"> </w:t>
      </w:r>
      <w:r>
        <w:rPr>
          <w:rFonts w:ascii="Arial" w:hAnsi="Arial" w:cs="Arial"/>
          <w:w w:val="105"/>
          <w:sz w:val="18"/>
          <w:szCs w:val="18"/>
        </w:rPr>
        <w:t xml:space="preserve">health related social services , while </w:t>
      </w:r>
      <w:r>
        <w:rPr>
          <w:rFonts w:ascii="Arial" w:hAnsi="Arial" w:cs="Arial"/>
          <w:spacing w:val="2"/>
          <w:w w:val="105"/>
          <w:sz w:val="18"/>
          <w:szCs w:val="18"/>
        </w:rPr>
        <w:t>clarifying</w:t>
      </w:r>
      <w:r w:rsidR="00B27397">
        <w:rPr>
          <w:rFonts w:ascii="Arial" w:hAnsi="Arial" w:cs="Arial"/>
          <w:spacing w:val="2"/>
          <w:w w:val="105"/>
          <w:sz w:val="18"/>
          <w:szCs w:val="18"/>
        </w:rPr>
        <w:t xml:space="preserve"> </w:t>
      </w:r>
      <w:r>
        <w:rPr>
          <w:rFonts w:ascii="Arial" w:hAnsi="Arial" w:cs="Arial"/>
          <w:spacing w:val="2"/>
          <w:w w:val="105"/>
          <w:sz w:val="18"/>
          <w:szCs w:val="18"/>
        </w:rPr>
        <w:t xml:space="preserve">that </w:t>
      </w:r>
      <w:r>
        <w:rPr>
          <w:rFonts w:ascii="Arial" w:hAnsi="Arial" w:cs="Arial"/>
          <w:w w:val="105"/>
          <w:sz w:val="18"/>
          <w:szCs w:val="18"/>
        </w:rPr>
        <w:t xml:space="preserve">eligible activities are not limited to the examples of flexible services provided </w:t>
      </w:r>
      <w:r>
        <w:rPr>
          <w:rFonts w:ascii="Arial" w:hAnsi="Arial" w:cs="Arial"/>
          <w:spacing w:val="-4"/>
          <w:w w:val="105"/>
          <w:sz w:val="18"/>
          <w:szCs w:val="18"/>
        </w:rPr>
        <w:t xml:space="preserve">in </w:t>
      </w:r>
      <w:r>
        <w:rPr>
          <w:rFonts w:ascii="Arial" w:hAnsi="Arial" w:cs="Arial"/>
          <w:w w:val="105"/>
          <w:sz w:val="18"/>
          <w:szCs w:val="18"/>
        </w:rPr>
        <w:t>§5.3.2.3. In</w:t>
      </w:r>
      <w:r w:rsidR="00B27397">
        <w:rPr>
          <w:rFonts w:ascii="Arial" w:hAnsi="Arial" w:cs="Arial"/>
          <w:w w:val="105"/>
          <w:sz w:val="18"/>
          <w:szCs w:val="18"/>
        </w:rPr>
        <w:t xml:space="preserve"> </w:t>
      </w:r>
      <w:r>
        <w:rPr>
          <w:rFonts w:ascii="Arial" w:hAnsi="Arial" w:cs="Arial"/>
          <w:w w:val="105"/>
          <w:sz w:val="18"/>
          <w:szCs w:val="18"/>
        </w:rPr>
        <w:t>addition, since the evidence on the magnitude of cost savings</w:t>
      </w:r>
      <w:r>
        <w:rPr>
          <w:rFonts w:ascii="Arial" w:hAnsi="Arial" w:cs="Arial"/>
          <w:spacing w:val="-24"/>
          <w:w w:val="105"/>
          <w:sz w:val="18"/>
          <w:szCs w:val="18"/>
        </w:rPr>
        <w:t xml:space="preserve"> </w:t>
      </w:r>
      <w:r>
        <w:rPr>
          <w:rFonts w:ascii="Arial" w:hAnsi="Arial" w:cs="Arial"/>
          <w:w w:val="105"/>
          <w:sz w:val="18"/>
          <w:szCs w:val="18"/>
        </w:rPr>
        <w:t>related</w:t>
      </w:r>
      <w:r>
        <w:rPr>
          <w:rFonts w:ascii="Arial" w:hAnsi="Arial" w:cs="Arial"/>
          <w:spacing w:val="-27"/>
          <w:w w:val="105"/>
          <w:sz w:val="18"/>
          <w:szCs w:val="18"/>
        </w:rPr>
        <w:t xml:space="preserve"> </w:t>
      </w:r>
      <w:r>
        <w:rPr>
          <w:rFonts w:ascii="Arial" w:hAnsi="Arial" w:cs="Arial"/>
          <w:w w:val="105"/>
          <w:sz w:val="18"/>
          <w:szCs w:val="18"/>
        </w:rPr>
        <w:t>to</w:t>
      </w:r>
      <w:r>
        <w:rPr>
          <w:rFonts w:ascii="Arial" w:hAnsi="Arial" w:cs="Arial"/>
          <w:spacing w:val="-23"/>
          <w:w w:val="105"/>
          <w:sz w:val="18"/>
          <w:szCs w:val="18"/>
        </w:rPr>
        <w:t xml:space="preserve"> </w:t>
      </w:r>
      <w:r>
        <w:rPr>
          <w:rFonts w:ascii="Arial" w:hAnsi="Arial" w:cs="Arial"/>
          <w:w w:val="105"/>
          <w:sz w:val="18"/>
          <w:szCs w:val="18"/>
        </w:rPr>
        <w:t>housing</w:t>
      </w:r>
      <w:r>
        <w:rPr>
          <w:rFonts w:ascii="Arial" w:hAnsi="Arial" w:cs="Arial"/>
          <w:spacing w:val="-33"/>
          <w:w w:val="105"/>
          <w:sz w:val="18"/>
          <w:szCs w:val="18"/>
        </w:rPr>
        <w:t xml:space="preserve"> </w:t>
      </w:r>
      <w:r>
        <w:rPr>
          <w:rFonts w:ascii="Arial" w:hAnsi="Arial" w:cs="Arial"/>
          <w:w w:val="105"/>
          <w:sz w:val="18"/>
          <w:szCs w:val="18"/>
        </w:rPr>
        <w:t>stabilization</w:t>
      </w:r>
      <w:r>
        <w:rPr>
          <w:rFonts w:ascii="Arial" w:hAnsi="Arial" w:cs="Arial"/>
          <w:spacing w:val="-25"/>
          <w:w w:val="105"/>
          <w:sz w:val="18"/>
          <w:szCs w:val="18"/>
        </w:rPr>
        <w:t xml:space="preserve"> </w:t>
      </w:r>
      <w:r>
        <w:rPr>
          <w:rFonts w:ascii="Arial" w:hAnsi="Arial" w:cs="Arial"/>
          <w:spacing w:val="-11"/>
          <w:w w:val="105"/>
          <w:sz w:val="18"/>
          <w:szCs w:val="18"/>
        </w:rPr>
        <w:t>is</w:t>
      </w:r>
      <w:r>
        <w:rPr>
          <w:rFonts w:ascii="Arial" w:hAnsi="Arial" w:cs="Arial"/>
          <w:spacing w:val="-30"/>
          <w:w w:val="105"/>
          <w:sz w:val="18"/>
          <w:szCs w:val="18"/>
        </w:rPr>
        <w:t xml:space="preserve"> </w:t>
      </w:r>
      <w:r>
        <w:rPr>
          <w:rFonts w:ascii="Arial" w:hAnsi="Arial" w:cs="Arial"/>
          <w:w w:val="105"/>
          <w:sz w:val="18"/>
          <w:szCs w:val="18"/>
        </w:rPr>
        <w:t>still</w:t>
      </w:r>
      <w:r>
        <w:rPr>
          <w:rFonts w:ascii="Arial" w:hAnsi="Arial" w:cs="Arial"/>
          <w:spacing w:val="-29"/>
          <w:w w:val="105"/>
          <w:sz w:val="18"/>
          <w:szCs w:val="18"/>
        </w:rPr>
        <w:t xml:space="preserve"> </w:t>
      </w:r>
      <w:r>
        <w:rPr>
          <w:rFonts w:ascii="Arial" w:hAnsi="Arial" w:cs="Arial"/>
          <w:w w:val="105"/>
          <w:sz w:val="18"/>
          <w:szCs w:val="18"/>
        </w:rPr>
        <w:t>evolving,</w:t>
      </w:r>
      <w:r w:rsidR="00B27397">
        <w:rPr>
          <w:rFonts w:ascii="Arial" w:hAnsi="Arial" w:cs="Arial"/>
          <w:w w:val="105"/>
          <w:sz w:val="18"/>
          <w:szCs w:val="18"/>
        </w:rPr>
        <w:t xml:space="preserve"> </w:t>
      </w:r>
      <w:r>
        <w:rPr>
          <w:rFonts w:ascii="Arial" w:hAnsi="Arial" w:cs="Arial"/>
          <w:w w:val="105"/>
          <w:sz w:val="18"/>
          <w:szCs w:val="18"/>
        </w:rPr>
        <w:t>we</w:t>
      </w:r>
      <w:r>
        <w:rPr>
          <w:rFonts w:ascii="Arial" w:hAnsi="Arial" w:cs="Arial"/>
          <w:spacing w:val="-25"/>
          <w:w w:val="105"/>
          <w:sz w:val="18"/>
          <w:szCs w:val="18"/>
        </w:rPr>
        <w:t xml:space="preserve"> </w:t>
      </w:r>
      <w:r>
        <w:rPr>
          <w:rFonts w:ascii="Arial" w:hAnsi="Arial" w:cs="Arial"/>
          <w:w w:val="105"/>
          <w:sz w:val="18"/>
          <w:szCs w:val="18"/>
        </w:rPr>
        <w:t>also</w:t>
      </w:r>
      <w:r>
        <w:rPr>
          <w:rFonts w:ascii="Arial" w:hAnsi="Arial" w:cs="Arial"/>
          <w:spacing w:val="-23"/>
          <w:w w:val="105"/>
          <w:sz w:val="18"/>
          <w:szCs w:val="18"/>
        </w:rPr>
        <w:t xml:space="preserve"> </w:t>
      </w:r>
      <w:r>
        <w:rPr>
          <w:rFonts w:ascii="Arial" w:hAnsi="Arial" w:cs="Arial"/>
          <w:w w:val="105"/>
          <w:sz w:val="18"/>
          <w:szCs w:val="18"/>
        </w:rPr>
        <w:t>urge</w:t>
      </w:r>
      <w:r>
        <w:rPr>
          <w:rFonts w:ascii="Arial" w:hAnsi="Arial" w:cs="Arial"/>
          <w:spacing w:val="-33"/>
          <w:w w:val="105"/>
          <w:sz w:val="18"/>
          <w:szCs w:val="18"/>
        </w:rPr>
        <w:t xml:space="preserve"> </w:t>
      </w:r>
      <w:r>
        <w:rPr>
          <w:rFonts w:ascii="Arial" w:hAnsi="Arial" w:cs="Arial"/>
          <w:w w:val="105"/>
          <w:sz w:val="18"/>
          <w:szCs w:val="18"/>
        </w:rPr>
        <w:t>you</w:t>
      </w:r>
      <w:r>
        <w:rPr>
          <w:rFonts w:ascii="Arial" w:hAnsi="Arial" w:cs="Arial"/>
          <w:spacing w:val="-27"/>
          <w:w w:val="105"/>
          <w:sz w:val="18"/>
          <w:szCs w:val="18"/>
        </w:rPr>
        <w:t xml:space="preserve"> </w:t>
      </w:r>
      <w:r>
        <w:rPr>
          <w:rFonts w:ascii="Arial" w:hAnsi="Arial" w:cs="Arial"/>
          <w:w w:val="105"/>
          <w:sz w:val="18"/>
          <w:szCs w:val="18"/>
        </w:rPr>
        <w:t>to</w:t>
      </w:r>
      <w:r>
        <w:rPr>
          <w:rFonts w:ascii="Arial" w:hAnsi="Arial" w:cs="Arial"/>
          <w:spacing w:val="-25"/>
          <w:w w:val="105"/>
          <w:sz w:val="18"/>
          <w:szCs w:val="18"/>
        </w:rPr>
        <w:t xml:space="preserve"> </w:t>
      </w:r>
      <w:r>
        <w:rPr>
          <w:rFonts w:ascii="Arial" w:hAnsi="Arial" w:cs="Arial"/>
          <w:w w:val="105"/>
          <w:sz w:val="18"/>
          <w:szCs w:val="18"/>
        </w:rPr>
        <w:t>add</w:t>
      </w:r>
      <w:r>
        <w:rPr>
          <w:rFonts w:ascii="Arial" w:hAnsi="Arial" w:cs="Arial"/>
          <w:spacing w:val="-25"/>
          <w:w w:val="105"/>
          <w:sz w:val="18"/>
          <w:szCs w:val="18"/>
        </w:rPr>
        <w:t xml:space="preserve"> </w:t>
      </w:r>
      <w:r>
        <w:rPr>
          <w:rFonts w:ascii="Arial" w:hAnsi="Arial" w:cs="Arial"/>
          <w:w w:val="105"/>
          <w:sz w:val="18"/>
          <w:szCs w:val="18"/>
        </w:rPr>
        <w:t>language</w:t>
      </w:r>
      <w:r>
        <w:rPr>
          <w:rFonts w:ascii="Arial" w:hAnsi="Arial" w:cs="Arial"/>
          <w:spacing w:val="-24"/>
          <w:w w:val="105"/>
          <w:sz w:val="18"/>
          <w:szCs w:val="18"/>
        </w:rPr>
        <w:t xml:space="preserve"> </w:t>
      </w:r>
      <w:r>
        <w:rPr>
          <w:rFonts w:ascii="Arial" w:hAnsi="Arial" w:cs="Arial"/>
          <w:w w:val="105"/>
          <w:sz w:val="18"/>
          <w:szCs w:val="18"/>
        </w:rPr>
        <w:t>giving</w:t>
      </w:r>
      <w:r>
        <w:rPr>
          <w:rFonts w:ascii="Arial" w:hAnsi="Arial" w:cs="Arial"/>
          <w:spacing w:val="-33"/>
          <w:w w:val="105"/>
          <w:sz w:val="18"/>
          <w:szCs w:val="18"/>
        </w:rPr>
        <w:t xml:space="preserve"> </w:t>
      </w:r>
      <w:r>
        <w:rPr>
          <w:rFonts w:ascii="Arial" w:hAnsi="Arial" w:cs="Arial"/>
          <w:w w:val="105"/>
          <w:sz w:val="18"/>
          <w:szCs w:val="18"/>
        </w:rPr>
        <w:t xml:space="preserve">the </w:t>
      </w:r>
      <w:r>
        <w:rPr>
          <w:rFonts w:ascii="Arial" w:hAnsi="Arial" w:cs="Arial"/>
          <w:spacing w:val="2"/>
          <w:w w:val="105"/>
          <w:sz w:val="18"/>
          <w:szCs w:val="18"/>
        </w:rPr>
        <w:t>Commonwealth</w:t>
      </w:r>
      <w:r w:rsidR="00B27397">
        <w:rPr>
          <w:rFonts w:ascii="Arial" w:hAnsi="Arial" w:cs="Arial"/>
          <w:spacing w:val="2"/>
          <w:w w:val="105"/>
          <w:sz w:val="18"/>
          <w:szCs w:val="18"/>
        </w:rPr>
        <w:t xml:space="preserve"> </w:t>
      </w:r>
      <w:r>
        <w:rPr>
          <w:rFonts w:ascii="Arial" w:hAnsi="Arial" w:cs="Arial"/>
          <w:spacing w:val="2"/>
          <w:w w:val="105"/>
          <w:sz w:val="18"/>
          <w:szCs w:val="18"/>
        </w:rPr>
        <w:t>more</w:t>
      </w:r>
      <w:r>
        <w:rPr>
          <w:rFonts w:ascii="Arial" w:hAnsi="Arial" w:cs="Arial"/>
          <w:spacing w:val="-44"/>
          <w:w w:val="105"/>
          <w:sz w:val="18"/>
          <w:szCs w:val="18"/>
        </w:rPr>
        <w:t xml:space="preserve"> </w:t>
      </w:r>
      <w:r>
        <w:rPr>
          <w:rFonts w:ascii="Arial" w:hAnsi="Arial" w:cs="Arial"/>
          <w:spacing w:val="3"/>
          <w:w w:val="105"/>
          <w:sz w:val="18"/>
          <w:szCs w:val="18"/>
        </w:rPr>
        <w:t>flexibility</w:t>
      </w:r>
      <w:r w:rsidR="00B27397">
        <w:rPr>
          <w:rFonts w:ascii="Arial" w:hAnsi="Arial" w:cs="Arial"/>
          <w:spacing w:val="3"/>
          <w:w w:val="105"/>
          <w:sz w:val="18"/>
          <w:szCs w:val="18"/>
        </w:rPr>
        <w:t xml:space="preserve"> </w:t>
      </w:r>
      <w:r>
        <w:rPr>
          <w:rFonts w:ascii="Arial" w:hAnsi="Arial" w:cs="Arial"/>
          <w:spacing w:val="3"/>
          <w:w w:val="105"/>
          <w:sz w:val="18"/>
          <w:szCs w:val="18"/>
        </w:rPr>
        <w:t>regarding</w:t>
      </w:r>
      <w:r w:rsidR="00B27397">
        <w:rPr>
          <w:rFonts w:ascii="Arial" w:hAnsi="Arial" w:cs="Arial"/>
          <w:spacing w:val="3"/>
          <w:w w:val="105"/>
          <w:sz w:val="18"/>
          <w:szCs w:val="18"/>
        </w:rPr>
        <w:t xml:space="preserve"> </w:t>
      </w:r>
      <w:r>
        <w:rPr>
          <w:rFonts w:ascii="Arial" w:hAnsi="Arial" w:cs="Arial"/>
          <w:spacing w:val="3"/>
          <w:w w:val="105"/>
          <w:sz w:val="18"/>
          <w:szCs w:val="18"/>
        </w:rPr>
        <w:t>the</w:t>
      </w:r>
      <w:r w:rsidR="00B27397">
        <w:rPr>
          <w:rFonts w:ascii="Arial" w:hAnsi="Arial" w:cs="Arial"/>
          <w:spacing w:val="3"/>
          <w:w w:val="105"/>
          <w:sz w:val="18"/>
          <w:szCs w:val="18"/>
        </w:rPr>
        <w:t xml:space="preserve"> </w:t>
      </w:r>
      <w:r>
        <w:rPr>
          <w:rFonts w:ascii="Arial" w:hAnsi="Arial" w:cs="Arial"/>
          <w:spacing w:val="3"/>
          <w:w w:val="105"/>
          <w:sz w:val="18"/>
          <w:szCs w:val="18"/>
        </w:rPr>
        <w:t>proposed</w:t>
      </w:r>
      <w:r w:rsidR="00B27397">
        <w:rPr>
          <w:rFonts w:ascii="Arial" w:hAnsi="Arial" w:cs="Arial"/>
          <w:spacing w:val="3"/>
          <w:w w:val="105"/>
          <w:sz w:val="18"/>
          <w:szCs w:val="18"/>
        </w:rPr>
        <w:t xml:space="preserve"> </w:t>
      </w:r>
      <w:r>
        <w:rPr>
          <w:rFonts w:ascii="Arial" w:hAnsi="Arial" w:cs="Arial"/>
          <w:spacing w:val="3"/>
          <w:w w:val="105"/>
          <w:sz w:val="18"/>
          <w:szCs w:val="18"/>
        </w:rPr>
        <w:t>funding</w:t>
      </w:r>
      <w:r w:rsidR="00B27397">
        <w:rPr>
          <w:rFonts w:ascii="Arial" w:hAnsi="Arial" w:cs="Arial"/>
          <w:spacing w:val="3"/>
          <w:w w:val="105"/>
          <w:sz w:val="18"/>
          <w:szCs w:val="18"/>
        </w:rPr>
        <w:t xml:space="preserve"> </w:t>
      </w:r>
      <w:r>
        <w:rPr>
          <w:rFonts w:ascii="Arial" w:hAnsi="Arial" w:cs="Arial"/>
          <w:spacing w:val="3"/>
          <w:w w:val="105"/>
          <w:sz w:val="18"/>
          <w:szCs w:val="18"/>
        </w:rPr>
        <w:t>for</w:t>
      </w:r>
      <w:r w:rsidR="00B27397">
        <w:rPr>
          <w:rFonts w:ascii="Arial" w:hAnsi="Arial" w:cs="Arial"/>
          <w:spacing w:val="3"/>
          <w:w w:val="105"/>
          <w:sz w:val="18"/>
          <w:szCs w:val="18"/>
        </w:rPr>
        <w:t xml:space="preserve"> </w:t>
      </w:r>
      <w:r>
        <w:rPr>
          <w:rFonts w:ascii="Arial" w:hAnsi="Arial" w:cs="Arial"/>
          <w:spacing w:val="3"/>
          <w:w w:val="105"/>
          <w:sz w:val="18"/>
          <w:szCs w:val="18"/>
        </w:rPr>
        <w:t>flexible</w:t>
      </w:r>
      <w:r w:rsidR="00B27397">
        <w:rPr>
          <w:rFonts w:ascii="Arial" w:hAnsi="Arial" w:cs="Arial"/>
          <w:spacing w:val="3"/>
          <w:w w:val="105"/>
          <w:sz w:val="18"/>
          <w:szCs w:val="18"/>
        </w:rPr>
        <w:t xml:space="preserve"> </w:t>
      </w:r>
      <w:r>
        <w:rPr>
          <w:rFonts w:ascii="Arial" w:hAnsi="Arial" w:cs="Arial"/>
          <w:spacing w:val="3"/>
          <w:w w:val="105"/>
          <w:sz w:val="18"/>
          <w:szCs w:val="18"/>
        </w:rPr>
        <w:t>services.</w:t>
      </w:r>
      <w:r>
        <w:rPr>
          <w:rFonts w:ascii="Arial" w:hAnsi="Arial" w:cs="Arial"/>
          <w:spacing w:val="-34"/>
          <w:w w:val="105"/>
          <w:sz w:val="18"/>
          <w:szCs w:val="18"/>
        </w:rPr>
        <w:t xml:space="preserve"> </w:t>
      </w:r>
      <w:r>
        <w:rPr>
          <w:rFonts w:ascii="Arial" w:hAnsi="Arial" w:cs="Arial"/>
          <w:w w:val="105"/>
          <w:sz w:val="18"/>
          <w:szCs w:val="18"/>
        </w:rPr>
        <w:t>Specifically,</w:t>
      </w:r>
      <w:r>
        <w:rPr>
          <w:rFonts w:ascii="Arial" w:hAnsi="Arial" w:cs="Arial"/>
          <w:spacing w:val="-41"/>
          <w:w w:val="105"/>
          <w:sz w:val="18"/>
          <w:szCs w:val="18"/>
        </w:rPr>
        <w:t xml:space="preserve"> </w:t>
      </w:r>
      <w:r>
        <w:rPr>
          <w:rFonts w:ascii="Arial" w:hAnsi="Arial" w:cs="Arial"/>
          <w:w w:val="105"/>
          <w:sz w:val="18"/>
          <w:szCs w:val="18"/>
        </w:rPr>
        <w:t>we recommend</w:t>
      </w:r>
      <w:r>
        <w:rPr>
          <w:rFonts w:ascii="Arial" w:hAnsi="Arial" w:cs="Arial"/>
          <w:spacing w:val="-17"/>
          <w:w w:val="105"/>
          <w:sz w:val="18"/>
          <w:szCs w:val="18"/>
        </w:rPr>
        <w:t xml:space="preserve"> </w:t>
      </w:r>
      <w:r>
        <w:rPr>
          <w:rFonts w:ascii="Arial" w:hAnsi="Arial" w:cs="Arial"/>
          <w:spacing w:val="2"/>
          <w:w w:val="105"/>
          <w:sz w:val="18"/>
          <w:szCs w:val="18"/>
        </w:rPr>
        <w:t>requesting</w:t>
      </w:r>
      <w:r>
        <w:rPr>
          <w:rFonts w:ascii="Arial" w:hAnsi="Arial" w:cs="Arial"/>
          <w:spacing w:val="-30"/>
          <w:w w:val="105"/>
          <w:sz w:val="18"/>
          <w:szCs w:val="18"/>
        </w:rPr>
        <w:t xml:space="preserve"> </w:t>
      </w:r>
      <w:r>
        <w:rPr>
          <w:rFonts w:ascii="Arial" w:hAnsi="Arial" w:cs="Arial"/>
          <w:w w:val="105"/>
          <w:sz w:val="18"/>
          <w:szCs w:val="18"/>
        </w:rPr>
        <w:t>latitude</w:t>
      </w:r>
      <w:r>
        <w:rPr>
          <w:rFonts w:ascii="Arial" w:hAnsi="Arial" w:cs="Arial"/>
          <w:spacing w:val="-24"/>
          <w:w w:val="105"/>
          <w:sz w:val="18"/>
          <w:szCs w:val="18"/>
        </w:rPr>
        <w:t xml:space="preserve"> </w:t>
      </w:r>
      <w:r>
        <w:rPr>
          <w:rFonts w:ascii="Arial" w:hAnsi="Arial" w:cs="Arial"/>
          <w:w w:val="105"/>
          <w:sz w:val="18"/>
          <w:szCs w:val="18"/>
        </w:rPr>
        <w:t>regarding</w:t>
      </w:r>
      <w:r>
        <w:rPr>
          <w:rFonts w:ascii="Arial" w:hAnsi="Arial" w:cs="Arial"/>
          <w:spacing w:val="-30"/>
          <w:w w:val="105"/>
          <w:sz w:val="18"/>
          <w:szCs w:val="18"/>
        </w:rPr>
        <w:t xml:space="preserve"> </w:t>
      </w:r>
      <w:r>
        <w:rPr>
          <w:rFonts w:ascii="Arial" w:hAnsi="Arial" w:cs="Arial"/>
          <w:w w:val="105"/>
          <w:sz w:val="18"/>
          <w:szCs w:val="18"/>
        </w:rPr>
        <w:t>both</w:t>
      </w:r>
      <w:r>
        <w:rPr>
          <w:rFonts w:ascii="Arial" w:hAnsi="Arial" w:cs="Arial"/>
          <w:spacing w:val="-30"/>
          <w:w w:val="105"/>
          <w:sz w:val="18"/>
          <w:szCs w:val="18"/>
        </w:rPr>
        <w:t xml:space="preserve"> </w:t>
      </w:r>
      <w:r>
        <w:rPr>
          <w:rFonts w:ascii="Arial" w:hAnsi="Arial" w:cs="Arial"/>
          <w:w w:val="105"/>
          <w:sz w:val="18"/>
          <w:szCs w:val="18"/>
        </w:rPr>
        <w:t>the</w:t>
      </w:r>
      <w:r>
        <w:rPr>
          <w:rFonts w:ascii="Arial" w:hAnsi="Arial" w:cs="Arial"/>
          <w:spacing w:val="-22"/>
          <w:w w:val="105"/>
          <w:sz w:val="18"/>
          <w:szCs w:val="18"/>
        </w:rPr>
        <w:t xml:space="preserve"> </w:t>
      </w:r>
      <w:r>
        <w:rPr>
          <w:rFonts w:ascii="Arial" w:hAnsi="Arial" w:cs="Arial"/>
          <w:w w:val="105"/>
          <w:sz w:val="18"/>
          <w:szCs w:val="18"/>
        </w:rPr>
        <w:t>proposed</w:t>
      </w:r>
      <w:r>
        <w:rPr>
          <w:rFonts w:ascii="Arial" w:hAnsi="Arial" w:cs="Arial"/>
          <w:spacing w:val="-26"/>
          <w:w w:val="105"/>
          <w:sz w:val="18"/>
          <w:szCs w:val="18"/>
        </w:rPr>
        <w:t xml:space="preserve"> </w:t>
      </w:r>
      <w:r>
        <w:rPr>
          <w:rFonts w:ascii="Arial" w:hAnsi="Arial" w:cs="Arial"/>
          <w:w w:val="105"/>
          <w:sz w:val="18"/>
          <w:szCs w:val="18"/>
        </w:rPr>
        <w:t>flat</w:t>
      </w:r>
      <w:r>
        <w:rPr>
          <w:rFonts w:ascii="Arial" w:hAnsi="Arial" w:cs="Arial"/>
          <w:spacing w:val="-19"/>
          <w:w w:val="105"/>
          <w:sz w:val="18"/>
          <w:szCs w:val="18"/>
        </w:rPr>
        <w:t xml:space="preserve"> </w:t>
      </w:r>
      <w:r>
        <w:rPr>
          <w:rFonts w:ascii="Arial" w:hAnsi="Arial" w:cs="Arial"/>
          <w:w w:val="105"/>
          <w:sz w:val="18"/>
          <w:szCs w:val="18"/>
        </w:rPr>
        <w:t>per</w:t>
      </w:r>
      <w:r>
        <w:rPr>
          <w:rFonts w:ascii="Arial" w:hAnsi="Arial" w:cs="Arial"/>
          <w:spacing w:val="-26"/>
          <w:w w:val="105"/>
          <w:sz w:val="18"/>
          <w:szCs w:val="18"/>
        </w:rPr>
        <w:t xml:space="preserve"> </w:t>
      </w:r>
      <w:r>
        <w:rPr>
          <w:rFonts w:ascii="Arial" w:hAnsi="Arial" w:cs="Arial"/>
          <w:w w:val="105"/>
          <w:sz w:val="18"/>
          <w:szCs w:val="18"/>
        </w:rPr>
        <w:t>member</w:t>
      </w:r>
      <w:r>
        <w:rPr>
          <w:rFonts w:ascii="Arial" w:hAnsi="Arial" w:cs="Arial"/>
          <w:spacing w:val="-17"/>
          <w:w w:val="105"/>
          <w:sz w:val="18"/>
          <w:szCs w:val="18"/>
        </w:rPr>
        <w:t xml:space="preserve"> </w:t>
      </w:r>
      <w:r>
        <w:rPr>
          <w:rFonts w:ascii="Arial" w:hAnsi="Arial" w:cs="Arial"/>
          <w:w w:val="105"/>
          <w:sz w:val="18"/>
          <w:szCs w:val="18"/>
        </w:rPr>
        <w:t>per</w:t>
      </w:r>
      <w:r>
        <w:rPr>
          <w:rFonts w:ascii="Arial" w:hAnsi="Arial" w:cs="Arial"/>
          <w:spacing w:val="-26"/>
          <w:w w:val="105"/>
          <w:sz w:val="18"/>
          <w:szCs w:val="18"/>
        </w:rPr>
        <w:t xml:space="preserve"> </w:t>
      </w:r>
      <w:r>
        <w:rPr>
          <w:rFonts w:ascii="Arial" w:hAnsi="Arial" w:cs="Arial"/>
          <w:w w:val="105"/>
          <w:sz w:val="18"/>
          <w:szCs w:val="18"/>
        </w:rPr>
        <w:t>month</w:t>
      </w:r>
      <w:r>
        <w:rPr>
          <w:rFonts w:ascii="Arial" w:hAnsi="Arial" w:cs="Arial"/>
          <w:spacing w:val="-29"/>
          <w:w w:val="105"/>
          <w:sz w:val="18"/>
          <w:szCs w:val="18"/>
        </w:rPr>
        <w:t xml:space="preserve"> </w:t>
      </w:r>
      <w:r>
        <w:rPr>
          <w:rFonts w:ascii="Arial" w:hAnsi="Arial" w:cs="Arial"/>
          <w:w w:val="105"/>
          <w:sz w:val="18"/>
          <w:szCs w:val="18"/>
        </w:rPr>
        <w:t>allocation for</w:t>
      </w:r>
      <w:r>
        <w:rPr>
          <w:rFonts w:ascii="Arial" w:hAnsi="Arial" w:cs="Arial"/>
          <w:spacing w:val="-27"/>
          <w:w w:val="105"/>
          <w:sz w:val="18"/>
          <w:szCs w:val="18"/>
        </w:rPr>
        <w:t xml:space="preserve"> </w:t>
      </w:r>
      <w:r>
        <w:rPr>
          <w:rFonts w:ascii="Arial" w:hAnsi="Arial" w:cs="Arial"/>
          <w:w w:val="105"/>
          <w:sz w:val="18"/>
          <w:szCs w:val="18"/>
        </w:rPr>
        <w:t>flexible</w:t>
      </w:r>
      <w:r>
        <w:rPr>
          <w:rFonts w:ascii="Arial" w:hAnsi="Arial" w:cs="Arial"/>
          <w:spacing w:val="-34"/>
          <w:w w:val="105"/>
          <w:sz w:val="18"/>
          <w:szCs w:val="18"/>
        </w:rPr>
        <w:t xml:space="preserve"> </w:t>
      </w:r>
      <w:r>
        <w:rPr>
          <w:rFonts w:ascii="Arial" w:hAnsi="Arial" w:cs="Arial"/>
          <w:w w:val="105"/>
          <w:sz w:val="18"/>
          <w:szCs w:val="18"/>
        </w:rPr>
        <w:t>services</w:t>
      </w:r>
      <w:r>
        <w:rPr>
          <w:rFonts w:ascii="Arial" w:hAnsi="Arial" w:cs="Arial"/>
          <w:spacing w:val="-25"/>
          <w:w w:val="105"/>
          <w:sz w:val="18"/>
          <w:szCs w:val="18"/>
        </w:rPr>
        <w:t xml:space="preserve"> </w:t>
      </w:r>
      <w:r>
        <w:rPr>
          <w:rFonts w:ascii="Arial" w:hAnsi="Arial" w:cs="Arial"/>
          <w:w w:val="105"/>
          <w:sz w:val="18"/>
          <w:szCs w:val="18"/>
        </w:rPr>
        <w:t>and</w:t>
      </w:r>
      <w:r>
        <w:rPr>
          <w:rFonts w:ascii="Arial" w:hAnsi="Arial" w:cs="Arial"/>
          <w:spacing w:val="-32"/>
          <w:w w:val="105"/>
          <w:sz w:val="18"/>
          <w:szCs w:val="18"/>
        </w:rPr>
        <w:t xml:space="preserve"> </w:t>
      </w:r>
      <w:r>
        <w:rPr>
          <w:rFonts w:ascii="Arial" w:hAnsi="Arial" w:cs="Arial"/>
          <w:w w:val="105"/>
          <w:sz w:val="18"/>
          <w:szCs w:val="18"/>
        </w:rPr>
        <w:t>the</w:t>
      </w:r>
      <w:r>
        <w:rPr>
          <w:rFonts w:ascii="Arial" w:hAnsi="Arial" w:cs="Arial"/>
          <w:spacing w:val="-25"/>
          <w:w w:val="105"/>
          <w:sz w:val="18"/>
          <w:szCs w:val="18"/>
        </w:rPr>
        <w:t xml:space="preserve"> </w:t>
      </w:r>
      <w:r>
        <w:rPr>
          <w:rFonts w:ascii="Arial" w:hAnsi="Arial" w:cs="Arial"/>
          <w:w w:val="105"/>
          <w:sz w:val="18"/>
          <w:szCs w:val="18"/>
        </w:rPr>
        <w:t>proposal</w:t>
      </w:r>
      <w:r>
        <w:rPr>
          <w:rFonts w:ascii="Arial" w:hAnsi="Arial" w:cs="Arial"/>
          <w:spacing w:val="-30"/>
          <w:w w:val="105"/>
          <w:sz w:val="18"/>
          <w:szCs w:val="18"/>
        </w:rPr>
        <w:t xml:space="preserve"> </w:t>
      </w:r>
      <w:r>
        <w:rPr>
          <w:rFonts w:ascii="Arial" w:hAnsi="Arial" w:cs="Arial"/>
          <w:w w:val="105"/>
          <w:sz w:val="18"/>
          <w:szCs w:val="18"/>
        </w:rPr>
        <w:t>to</w:t>
      </w:r>
      <w:r>
        <w:rPr>
          <w:rFonts w:ascii="Arial" w:hAnsi="Arial" w:cs="Arial"/>
          <w:spacing w:val="-30"/>
          <w:w w:val="105"/>
          <w:sz w:val="18"/>
          <w:szCs w:val="18"/>
        </w:rPr>
        <w:t xml:space="preserve"> </w:t>
      </w:r>
      <w:r>
        <w:rPr>
          <w:rFonts w:ascii="Arial" w:hAnsi="Arial" w:cs="Arial"/>
          <w:w w:val="105"/>
          <w:sz w:val="18"/>
          <w:szCs w:val="18"/>
        </w:rPr>
        <w:t>transfer</w:t>
      </w:r>
      <w:r>
        <w:rPr>
          <w:rFonts w:ascii="Arial" w:hAnsi="Arial" w:cs="Arial"/>
          <w:spacing w:val="-23"/>
          <w:w w:val="105"/>
          <w:sz w:val="18"/>
          <w:szCs w:val="18"/>
        </w:rPr>
        <w:t xml:space="preserve"> </w:t>
      </w:r>
      <w:r>
        <w:rPr>
          <w:rFonts w:ascii="Arial" w:hAnsi="Arial" w:cs="Arial"/>
          <w:w w:val="105"/>
          <w:sz w:val="18"/>
          <w:szCs w:val="18"/>
        </w:rPr>
        <w:t>all</w:t>
      </w:r>
      <w:r>
        <w:rPr>
          <w:rFonts w:ascii="Arial" w:hAnsi="Arial" w:cs="Arial"/>
          <w:spacing w:val="-28"/>
          <w:w w:val="105"/>
          <w:sz w:val="18"/>
          <w:szCs w:val="18"/>
        </w:rPr>
        <w:t xml:space="preserve"> </w:t>
      </w:r>
      <w:r>
        <w:rPr>
          <w:rFonts w:ascii="Arial" w:hAnsi="Arial" w:cs="Arial"/>
          <w:w w:val="105"/>
          <w:sz w:val="18"/>
          <w:szCs w:val="18"/>
        </w:rPr>
        <w:t>unused</w:t>
      </w:r>
      <w:r>
        <w:rPr>
          <w:rFonts w:ascii="Arial" w:hAnsi="Arial" w:cs="Arial"/>
          <w:spacing w:val="-32"/>
          <w:w w:val="105"/>
          <w:sz w:val="18"/>
          <w:szCs w:val="18"/>
        </w:rPr>
        <w:t xml:space="preserve"> </w:t>
      </w:r>
      <w:r>
        <w:rPr>
          <w:rFonts w:ascii="Arial" w:hAnsi="Arial" w:cs="Arial"/>
          <w:w w:val="105"/>
          <w:sz w:val="18"/>
          <w:szCs w:val="18"/>
        </w:rPr>
        <w:t>flexible</w:t>
      </w:r>
      <w:r>
        <w:rPr>
          <w:rFonts w:ascii="Arial" w:hAnsi="Arial" w:cs="Arial"/>
          <w:spacing w:val="-32"/>
          <w:w w:val="105"/>
          <w:sz w:val="18"/>
          <w:szCs w:val="18"/>
        </w:rPr>
        <w:t xml:space="preserve"> </w:t>
      </w:r>
      <w:r>
        <w:rPr>
          <w:rFonts w:ascii="Arial" w:hAnsi="Arial" w:cs="Arial"/>
          <w:w w:val="105"/>
          <w:sz w:val="18"/>
          <w:szCs w:val="18"/>
        </w:rPr>
        <w:t>service</w:t>
      </w:r>
      <w:r>
        <w:rPr>
          <w:rFonts w:ascii="Arial" w:hAnsi="Arial" w:cs="Arial"/>
          <w:spacing w:val="-28"/>
          <w:w w:val="105"/>
          <w:sz w:val="18"/>
          <w:szCs w:val="18"/>
        </w:rPr>
        <w:t xml:space="preserve"> </w:t>
      </w:r>
      <w:r>
        <w:rPr>
          <w:rFonts w:ascii="Arial" w:hAnsi="Arial" w:cs="Arial"/>
          <w:w w:val="105"/>
          <w:sz w:val="18"/>
          <w:szCs w:val="18"/>
        </w:rPr>
        <w:t>funds</w:t>
      </w:r>
      <w:r>
        <w:rPr>
          <w:rFonts w:ascii="Arial" w:hAnsi="Arial" w:cs="Arial"/>
          <w:spacing w:val="-25"/>
          <w:w w:val="105"/>
          <w:sz w:val="18"/>
          <w:szCs w:val="18"/>
        </w:rPr>
        <w:t xml:space="preserve"> </w:t>
      </w:r>
      <w:r>
        <w:rPr>
          <w:rFonts w:ascii="Arial" w:hAnsi="Arial" w:cs="Arial"/>
          <w:w w:val="105"/>
          <w:sz w:val="18"/>
          <w:szCs w:val="18"/>
        </w:rPr>
        <w:t>from</w:t>
      </w:r>
      <w:r>
        <w:rPr>
          <w:rFonts w:ascii="Arial" w:hAnsi="Arial" w:cs="Arial"/>
          <w:spacing w:val="-25"/>
          <w:w w:val="105"/>
          <w:sz w:val="18"/>
          <w:szCs w:val="18"/>
        </w:rPr>
        <w:t xml:space="preserve"> </w:t>
      </w:r>
      <w:r>
        <w:rPr>
          <w:rFonts w:ascii="Arial" w:hAnsi="Arial" w:cs="Arial"/>
          <w:w w:val="105"/>
          <w:sz w:val="18"/>
          <w:szCs w:val="18"/>
        </w:rPr>
        <w:t>ACOs</w:t>
      </w:r>
      <w:r>
        <w:rPr>
          <w:rFonts w:ascii="Arial" w:hAnsi="Arial" w:cs="Arial"/>
          <w:spacing w:val="-29"/>
          <w:w w:val="105"/>
          <w:sz w:val="18"/>
          <w:szCs w:val="18"/>
        </w:rPr>
        <w:t xml:space="preserve"> </w:t>
      </w:r>
      <w:r>
        <w:rPr>
          <w:rFonts w:ascii="Arial" w:hAnsi="Arial" w:cs="Arial"/>
          <w:spacing w:val="5"/>
          <w:w w:val="105"/>
          <w:sz w:val="18"/>
          <w:szCs w:val="18"/>
        </w:rPr>
        <w:t>to</w:t>
      </w:r>
      <w:r w:rsidR="00B27397">
        <w:rPr>
          <w:rFonts w:ascii="Arial" w:hAnsi="Arial" w:cs="Arial"/>
          <w:spacing w:val="5"/>
          <w:w w:val="105"/>
          <w:sz w:val="18"/>
          <w:szCs w:val="18"/>
        </w:rPr>
        <w:t xml:space="preserve"> </w:t>
      </w:r>
      <w:r>
        <w:rPr>
          <w:rFonts w:ascii="Arial" w:hAnsi="Arial" w:cs="Arial"/>
          <w:spacing w:val="5"/>
          <w:w w:val="105"/>
          <w:sz w:val="18"/>
          <w:szCs w:val="18"/>
        </w:rPr>
        <w:t xml:space="preserve">the </w:t>
      </w:r>
      <w:r>
        <w:rPr>
          <w:rFonts w:ascii="Arial" w:hAnsi="Arial" w:cs="Arial"/>
          <w:w w:val="105"/>
          <w:sz w:val="18"/>
          <w:szCs w:val="18"/>
        </w:rPr>
        <w:t>statewide</w:t>
      </w:r>
      <w:r>
        <w:rPr>
          <w:rFonts w:ascii="Arial" w:hAnsi="Arial" w:cs="Arial"/>
          <w:spacing w:val="-23"/>
          <w:w w:val="105"/>
          <w:sz w:val="18"/>
          <w:szCs w:val="18"/>
        </w:rPr>
        <w:t xml:space="preserve"> </w:t>
      </w:r>
      <w:r>
        <w:rPr>
          <w:rFonts w:ascii="Arial" w:hAnsi="Arial" w:cs="Arial"/>
          <w:w w:val="105"/>
          <w:sz w:val="18"/>
          <w:szCs w:val="18"/>
        </w:rPr>
        <w:t>fund</w:t>
      </w:r>
      <w:r>
        <w:rPr>
          <w:rFonts w:ascii="Arial" w:hAnsi="Arial" w:cs="Arial"/>
          <w:spacing w:val="-23"/>
          <w:w w:val="105"/>
          <w:sz w:val="18"/>
          <w:szCs w:val="18"/>
        </w:rPr>
        <w:t xml:space="preserve"> </w:t>
      </w:r>
      <w:r>
        <w:rPr>
          <w:rFonts w:ascii="Arial" w:hAnsi="Arial" w:cs="Arial"/>
          <w:w w:val="105"/>
          <w:sz w:val="18"/>
          <w:szCs w:val="18"/>
        </w:rPr>
        <w:t>for</w:t>
      </w:r>
      <w:r>
        <w:rPr>
          <w:rFonts w:ascii="Arial" w:hAnsi="Arial" w:cs="Arial"/>
          <w:spacing w:val="-23"/>
          <w:w w:val="105"/>
          <w:sz w:val="18"/>
          <w:szCs w:val="18"/>
        </w:rPr>
        <w:t xml:space="preserve"> </w:t>
      </w:r>
      <w:r>
        <w:rPr>
          <w:rFonts w:ascii="Arial" w:hAnsi="Arial" w:cs="Arial"/>
          <w:w w:val="105"/>
          <w:sz w:val="18"/>
          <w:szCs w:val="18"/>
        </w:rPr>
        <w:t>technical</w:t>
      </w:r>
      <w:r>
        <w:rPr>
          <w:rFonts w:ascii="Arial" w:hAnsi="Arial" w:cs="Arial"/>
          <w:spacing w:val="-28"/>
          <w:w w:val="105"/>
          <w:sz w:val="18"/>
          <w:szCs w:val="18"/>
        </w:rPr>
        <w:t xml:space="preserve"> </w:t>
      </w:r>
      <w:r>
        <w:rPr>
          <w:rFonts w:ascii="Arial" w:hAnsi="Arial" w:cs="Arial"/>
          <w:w w:val="105"/>
          <w:sz w:val="18"/>
          <w:szCs w:val="18"/>
        </w:rPr>
        <w:t>assistance. We</w:t>
      </w:r>
      <w:r>
        <w:rPr>
          <w:rFonts w:ascii="Arial" w:hAnsi="Arial" w:cs="Arial"/>
          <w:spacing w:val="-25"/>
          <w:w w:val="105"/>
          <w:sz w:val="18"/>
          <w:szCs w:val="18"/>
        </w:rPr>
        <w:t xml:space="preserve"> </w:t>
      </w:r>
      <w:r>
        <w:rPr>
          <w:rFonts w:ascii="Arial" w:hAnsi="Arial" w:cs="Arial"/>
          <w:w w:val="105"/>
          <w:sz w:val="18"/>
          <w:szCs w:val="18"/>
        </w:rPr>
        <w:t>would</w:t>
      </w:r>
      <w:r>
        <w:rPr>
          <w:rFonts w:ascii="Arial" w:hAnsi="Arial" w:cs="Arial"/>
          <w:spacing w:val="-21"/>
          <w:w w:val="105"/>
          <w:sz w:val="18"/>
          <w:szCs w:val="18"/>
        </w:rPr>
        <w:t xml:space="preserve"> </w:t>
      </w:r>
      <w:r>
        <w:rPr>
          <w:rFonts w:ascii="Arial" w:hAnsi="Arial" w:cs="Arial"/>
          <w:w w:val="105"/>
          <w:sz w:val="18"/>
          <w:szCs w:val="18"/>
        </w:rPr>
        <w:t>leaving</w:t>
      </w:r>
      <w:r w:rsidR="00B27397">
        <w:rPr>
          <w:rFonts w:ascii="Arial" w:hAnsi="Arial" w:cs="Arial"/>
          <w:w w:val="105"/>
          <w:sz w:val="18"/>
          <w:szCs w:val="18"/>
        </w:rPr>
        <w:t xml:space="preserve"> </w:t>
      </w:r>
      <w:r>
        <w:rPr>
          <w:rFonts w:ascii="Arial" w:hAnsi="Arial" w:cs="Arial"/>
          <w:w w:val="105"/>
          <w:sz w:val="18"/>
          <w:szCs w:val="18"/>
        </w:rPr>
        <w:t>open</w:t>
      </w:r>
      <w:r>
        <w:rPr>
          <w:rFonts w:ascii="Arial" w:hAnsi="Arial" w:cs="Arial"/>
          <w:spacing w:val="-27"/>
          <w:w w:val="105"/>
          <w:sz w:val="18"/>
          <w:szCs w:val="18"/>
        </w:rPr>
        <w:t xml:space="preserve"> </w:t>
      </w:r>
      <w:r>
        <w:rPr>
          <w:rFonts w:ascii="Arial" w:hAnsi="Arial" w:cs="Arial"/>
          <w:w w:val="105"/>
          <w:sz w:val="18"/>
          <w:szCs w:val="18"/>
        </w:rPr>
        <w:t>the</w:t>
      </w:r>
      <w:r>
        <w:rPr>
          <w:rFonts w:ascii="Arial" w:hAnsi="Arial" w:cs="Arial"/>
          <w:spacing w:val="-21"/>
          <w:w w:val="105"/>
          <w:sz w:val="18"/>
          <w:szCs w:val="18"/>
        </w:rPr>
        <w:t xml:space="preserve"> </w:t>
      </w:r>
      <w:r>
        <w:rPr>
          <w:rFonts w:ascii="Arial" w:hAnsi="Arial" w:cs="Arial"/>
          <w:w w:val="105"/>
          <w:sz w:val="18"/>
          <w:szCs w:val="18"/>
        </w:rPr>
        <w:t>possibility</w:t>
      </w:r>
      <w:r>
        <w:rPr>
          <w:rFonts w:ascii="Arial" w:hAnsi="Arial" w:cs="Arial"/>
          <w:spacing w:val="-29"/>
          <w:w w:val="105"/>
          <w:sz w:val="18"/>
          <w:szCs w:val="18"/>
        </w:rPr>
        <w:t xml:space="preserve"> </w:t>
      </w:r>
      <w:r>
        <w:rPr>
          <w:rFonts w:ascii="Arial" w:hAnsi="Arial" w:cs="Arial"/>
          <w:w w:val="105"/>
          <w:sz w:val="18"/>
          <w:szCs w:val="18"/>
        </w:rPr>
        <w:t>of</w:t>
      </w:r>
      <w:r>
        <w:rPr>
          <w:rFonts w:ascii="Arial" w:hAnsi="Arial" w:cs="Arial"/>
          <w:spacing w:val="-26"/>
          <w:w w:val="105"/>
          <w:sz w:val="18"/>
          <w:szCs w:val="18"/>
        </w:rPr>
        <w:t xml:space="preserve"> </w:t>
      </w:r>
      <w:r>
        <w:rPr>
          <w:rFonts w:ascii="Arial" w:hAnsi="Arial" w:cs="Arial"/>
          <w:w w:val="105"/>
          <w:sz w:val="18"/>
          <w:szCs w:val="18"/>
        </w:rPr>
        <w:t>allowing</w:t>
      </w:r>
      <w:r>
        <w:rPr>
          <w:rFonts w:ascii="Arial" w:hAnsi="Arial" w:cs="Arial"/>
          <w:spacing w:val="-36"/>
          <w:w w:val="105"/>
          <w:sz w:val="18"/>
          <w:szCs w:val="18"/>
        </w:rPr>
        <w:t xml:space="preserve"> </w:t>
      </w:r>
      <w:r w:rsidR="00B27397">
        <w:rPr>
          <w:rFonts w:ascii="Arial" w:hAnsi="Arial" w:cs="Arial"/>
          <w:w w:val="105"/>
          <w:sz w:val="18"/>
          <w:szCs w:val="18"/>
        </w:rPr>
        <w:t xml:space="preserve">that </w:t>
      </w:r>
      <w:r>
        <w:rPr>
          <w:rFonts w:ascii="Arial" w:hAnsi="Arial" w:cs="Arial"/>
          <w:w w:val="105"/>
          <w:sz w:val="18"/>
          <w:szCs w:val="18"/>
        </w:rPr>
        <w:t>funding to roll over at least initially and/or be made available to another ACO for flexible services.</w:t>
      </w:r>
    </w:p>
    <w:p w:rsidR="002C5025" w:rsidRDefault="002C5025">
      <w:pPr>
        <w:pStyle w:val="BodyText"/>
        <w:kinsoku w:val="0"/>
        <w:overflowPunct w:val="0"/>
        <w:spacing w:before="6"/>
        <w:rPr>
          <w:rFonts w:ascii="Arial" w:hAnsi="Arial" w:cs="Arial"/>
          <w:sz w:val="24"/>
          <w:szCs w:val="24"/>
        </w:rPr>
      </w:pPr>
    </w:p>
    <w:p w:rsidR="002C5025" w:rsidRDefault="002C5025">
      <w:pPr>
        <w:pStyle w:val="BodyText"/>
        <w:kinsoku w:val="0"/>
        <w:overflowPunct w:val="0"/>
        <w:spacing w:line="278" w:lineRule="auto"/>
        <w:ind w:left="115" w:right="1409"/>
        <w:rPr>
          <w:rFonts w:ascii="Arial" w:hAnsi="Arial" w:cs="Arial"/>
          <w:sz w:val="18"/>
          <w:szCs w:val="18"/>
        </w:rPr>
      </w:pPr>
      <w:r>
        <w:rPr>
          <w:rFonts w:ascii="Arial" w:hAnsi="Arial" w:cs="Arial"/>
          <w:sz w:val="18"/>
          <w:szCs w:val="18"/>
        </w:rPr>
        <w:t>We applaud the proposal to use global measures of success for the SUD demonstration (page 76) - including changes in housing status, education and employment - and hope these types of outcomes</w:t>
      </w:r>
    </w:p>
    <w:p w:rsidR="002C5025" w:rsidRDefault="002C5025">
      <w:pPr>
        <w:pStyle w:val="BodyText"/>
        <w:kinsoku w:val="0"/>
        <w:overflowPunct w:val="0"/>
        <w:spacing w:line="278" w:lineRule="auto"/>
        <w:ind w:left="115" w:right="1409"/>
        <w:rPr>
          <w:rFonts w:ascii="Arial" w:hAnsi="Arial" w:cs="Arial"/>
          <w:sz w:val="18"/>
          <w:szCs w:val="18"/>
        </w:rPr>
        <w:sectPr w:rsidR="002C5025">
          <w:type w:val="continuous"/>
          <w:pgSz w:w="12240" w:h="15840"/>
          <w:pgMar w:top="720" w:right="380" w:bottom="280" w:left="240" w:header="720" w:footer="720" w:gutter="0"/>
          <w:cols w:num="2" w:space="720" w:equalWidth="0">
            <w:col w:w="1567" w:space="493"/>
            <w:col w:w="9560"/>
          </w:cols>
          <w:noEndnote/>
        </w:sect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9"/>
        <w:rPr>
          <w:rFonts w:ascii="Arial" w:hAnsi="Arial" w:cs="Arial"/>
          <w:sz w:val="20"/>
          <w:szCs w:val="20"/>
        </w:rPr>
      </w:pPr>
    </w:p>
    <w:p w:rsidR="002C5025" w:rsidRDefault="00FB027C">
      <w:pPr>
        <w:pStyle w:val="BodyText"/>
        <w:kinsoku w:val="0"/>
        <w:overflowPunct w:val="0"/>
        <w:spacing w:line="252" w:lineRule="auto"/>
        <w:ind w:left="3808" w:right="1294" w:hanging="3648"/>
        <w:rPr>
          <w:rFonts w:ascii="Arial" w:hAnsi="Arial" w:cs="Arial"/>
          <w:w w:val="110"/>
          <w:sz w:val="19"/>
          <w:szCs w:val="19"/>
        </w:rPr>
      </w:pPr>
      <w:r>
        <w:rPr>
          <w:noProof/>
        </w:rPr>
        <mc:AlternateContent>
          <mc:Choice Requires="wps">
            <w:drawing>
              <wp:anchor distT="0" distB="0" distL="114300" distR="114300" simplePos="0" relativeHeight="251551232" behindDoc="0" locked="0" layoutInCell="0" allowOverlap="1">
                <wp:simplePos x="0" y="0"/>
                <wp:positionH relativeFrom="page">
                  <wp:posOffset>6888480</wp:posOffset>
                </wp:positionH>
                <wp:positionV relativeFrom="paragraph">
                  <wp:posOffset>-246380</wp:posOffset>
                </wp:positionV>
                <wp:extent cx="571500" cy="444500"/>
                <wp:effectExtent l="0" t="0" r="0" b="0"/>
                <wp:wrapNone/>
                <wp:docPr id="778" name="Rectangle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700" w:lineRule="atLeast"/>
                            </w:pPr>
                            <w:r>
                              <w:rPr>
                                <w:noProof/>
                              </w:rPr>
                              <w:drawing>
                                <wp:inline distT="0" distB="0" distL="0" distR="0">
                                  <wp:extent cx="571500" cy="447675"/>
                                  <wp:effectExtent l="0" t="0" r="0" b="952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71500" cy="447675"/>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7" o:spid="_x0000_s1149" style="position:absolute;left:0;text-align:left;margin-left:542.4pt;margin-top:-19.4pt;width:45pt;height:35pt;z-index:251551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" o:allowincell="f" filled="f" stroked="f">
                <v:textbox inset="0,0,0,0">
                  <w:txbxContent>
                    <w:p w:rsidR="007B2B7B" w:rsidRDefault="007B2B7B">
                      <w:pPr>
                        <w:widowControl/>
                        <w:autoSpaceDE/>
                        <w:autoSpaceDN/>
                        <w:adjustRightInd/>
                        <w:spacing w:line="700" w:lineRule="atLeast"/>
                      </w:pPr>
                      <w:r>
                        <w:rPr>
                          <w:noProof/>
                        </w:rPr>
                        <w:drawing>
                          <wp:inline distT="0" distB="0" distL="0" distR="0">
                            <wp:extent cx="571500" cy="447675"/>
                            <wp:effectExtent l="0" t="0" r="0" b="952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71500" cy="447675"/>
                                    </a:xfrm>
                                    <a:prstGeom prst="rect">
                                      <a:avLst/>
                                    </a:prstGeom>
                                    <a:noFill/>
                                    <a:ln>
                                      <a:noFill/>
                                    </a:ln>
                                  </pic:spPr>
                                </pic:pic>
                              </a:graphicData>
                            </a:graphic>
                          </wp:inline>
                        </w:drawing>
                      </w:r>
                    </w:p>
                    <w:p w:rsidR="007B2B7B" w:rsidRDefault="007B2B7B"/>
                  </w:txbxContent>
                </v:textbox>
                <w10:wrap anchorx="page"/>
              </v:rect>
            </w:pict>
          </mc:Fallback>
        </mc:AlternateContent>
      </w:r>
      <w:r w:rsidR="002C5025">
        <w:rPr>
          <w:rFonts w:ascii="Arial" w:hAnsi="Arial" w:cs="Arial"/>
          <w:w w:val="110"/>
          <w:sz w:val="19"/>
          <w:szCs w:val="19"/>
        </w:rPr>
        <w:t xml:space="preserve">18 Tremont Street • Suite 401 • Boston, MA 02108 • Telephone (617) 742-0820 </w:t>
      </w:r>
      <w:r w:rsidR="002C5025">
        <w:rPr>
          <w:rFonts w:ascii="Arial" w:hAnsi="Arial" w:cs="Arial"/>
          <w:w w:val="110"/>
          <w:sz w:val="20"/>
          <w:szCs w:val="20"/>
        </w:rPr>
        <w:t xml:space="preserve">° </w:t>
      </w:r>
      <w:r w:rsidR="002C5025">
        <w:rPr>
          <w:rFonts w:ascii="Arial" w:hAnsi="Arial" w:cs="Arial"/>
          <w:w w:val="110"/>
          <w:sz w:val="19"/>
          <w:szCs w:val="19"/>
        </w:rPr>
        <w:t xml:space="preserve">Fax (617) 742-3953 Website: </w:t>
      </w:r>
      <w:hyperlink r:id="rId179" w:history="1">
        <w:r w:rsidR="002C5025">
          <w:rPr>
            <w:rFonts w:ascii="Arial" w:hAnsi="Arial" w:cs="Arial"/>
            <w:w w:val="110"/>
            <w:sz w:val="19"/>
            <w:szCs w:val="19"/>
          </w:rPr>
          <w:t>www.chapa.org</w:t>
        </w:r>
      </w:hyperlink>
    </w:p>
    <w:p w:rsidR="002C5025" w:rsidRDefault="002C5025">
      <w:pPr>
        <w:pStyle w:val="BodyText"/>
        <w:kinsoku w:val="0"/>
        <w:overflowPunct w:val="0"/>
        <w:spacing w:line="252" w:lineRule="auto"/>
        <w:ind w:left="3808" w:right="1294" w:hanging="3648"/>
        <w:rPr>
          <w:rFonts w:ascii="Arial" w:hAnsi="Arial" w:cs="Arial"/>
          <w:w w:val="110"/>
          <w:sz w:val="19"/>
          <w:szCs w:val="19"/>
        </w:rPr>
        <w:sectPr w:rsidR="002C5025">
          <w:type w:val="continuous"/>
          <w:pgSz w:w="12240" w:h="15840"/>
          <w:pgMar w:top="720" w:right="380" w:bottom="280" w:left="240" w:header="720" w:footer="720" w:gutter="0"/>
          <w:cols w:space="720" w:equalWidth="0">
            <w:col w:w="11620"/>
          </w:cols>
          <w:noEndnote/>
        </w:sect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1"/>
        <w:rPr>
          <w:rFonts w:ascii="Arial" w:hAnsi="Arial" w:cs="Arial"/>
          <w:sz w:val="16"/>
          <w:szCs w:val="16"/>
        </w:rPr>
      </w:pPr>
    </w:p>
    <w:p w:rsidR="002C5025" w:rsidRDefault="002C5025">
      <w:pPr>
        <w:pStyle w:val="BodyText"/>
        <w:kinsoku w:val="0"/>
        <w:overflowPunct w:val="0"/>
        <w:spacing w:before="77" w:line="278" w:lineRule="auto"/>
        <w:ind w:left="764" w:right="151" w:firstLine="2"/>
        <w:rPr>
          <w:rFonts w:ascii="Arial" w:hAnsi="Arial" w:cs="Arial"/>
          <w:sz w:val="18"/>
          <w:szCs w:val="18"/>
        </w:rPr>
      </w:pPr>
      <w:r>
        <w:rPr>
          <w:rFonts w:ascii="Arial" w:hAnsi="Arial" w:cs="Arial"/>
          <w:sz w:val="18"/>
          <w:szCs w:val="18"/>
        </w:rPr>
        <w:t xml:space="preserve">related to social determinants  of health (and </w:t>
      </w:r>
      <w:r>
        <w:rPr>
          <w:rFonts w:ascii="Arial" w:hAnsi="Arial" w:cs="Arial"/>
          <w:spacing w:val="-4"/>
          <w:sz w:val="18"/>
          <w:szCs w:val="18"/>
        </w:rPr>
        <w:t xml:space="preserve">in </w:t>
      </w:r>
      <w:r>
        <w:rPr>
          <w:rFonts w:ascii="Arial" w:hAnsi="Arial" w:cs="Arial"/>
          <w:sz w:val="18"/>
          <w:szCs w:val="18"/>
        </w:rPr>
        <w:t xml:space="preserve">particular housing outcomes) will be tracked under the waiver for all members (both those with access to flexible services and those without). </w:t>
      </w:r>
      <w:r>
        <w:rPr>
          <w:rFonts w:ascii="Arial" w:hAnsi="Arial" w:cs="Arial"/>
          <w:spacing w:val="3"/>
          <w:sz w:val="18"/>
          <w:szCs w:val="18"/>
        </w:rPr>
        <w:t xml:space="preserve">We </w:t>
      </w:r>
      <w:r>
        <w:rPr>
          <w:rFonts w:ascii="Arial" w:hAnsi="Arial" w:cs="Arial"/>
          <w:sz w:val="18"/>
          <w:szCs w:val="18"/>
        </w:rPr>
        <w:t xml:space="preserve">would welcome an opportunity to work with you and community partners on success measures related to the social determinants of </w:t>
      </w:r>
      <w:r>
        <w:rPr>
          <w:rFonts w:ascii="Arial" w:hAnsi="Arial" w:cs="Arial"/>
          <w:spacing w:val="-3"/>
          <w:sz w:val="18"/>
          <w:szCs w:val="18"/>
        </w:rPr>
        <w:t xml:space="preserve">health </w:t>
      </w:r>
      <w:r>
        <w:rPr>
          <w:rFonts w:ascii="Arial" w:hAnsi="Arial" w:cs="Arial"/>
          <w:sz w:val="18"/>
          <w:szCs w:val="18"/>
        </w:rPr>
        <w:t>and on ways to provide effective flexible</w:t>
      </w:r>
      <w:r>
        <w:rPr>
          <w:rFonts w:ascii="Arial" w:hAnsi="Arial" w:cs="Arial"/>
          <w:spacing w:val="29"/>
          <w:sz w:val="18"/>
          <w:szCs w:val="18"/>
        </w:rPr>
        <w:t xml:space="preserve"> </w:t>
      </w:r>
      <w:r>
        <w:rPr>
          <w:rFonts w:ascii="Arial" w:hAnsi="Arial" w:cs="Arial"/>
          <w:sz w:val="18"/>
          <w:szCs w:val="18"/>
        </w:rPr>
        <w:t>services.</w:t>
      </w:r>
    </w:p>
    <w:p w:rsidR="002C5025" w:rsidRDefault="002C5025">
      <w:pPr>
        <w:pStyle w:val="BodyText"/>
        <w:kinsoku w:val="0"/>
        <w:overflowPunct w:val="0"/>
        <w:spacing w:before="2"/>
        <w:rPr>
          <w:rFonts w:ascii="Arial" w:hAnsi="Arial" w:cs="Arial"/>
          <w:sz w:val="17"/>
          <w:szCs w:val="17"/>
        </w:rPr>
      </w:pPr>
    </w:p>
    <w:p w:rsidR="002C5025" w:rsidRDefault="002C5025">
      <w:pPr>
        <w:pStyle w:val="BodyText"/>
        <w:kinsoku w:val="0"/>
        <w:overflowPunct w:val="0"/>
        <w:spacing w:line="168" w:lineRule="exact"/>
        <w:ind w:left="764" w:right="151"/>
        <w:rPr>
          <w:rFonts w:ascii="Arial" w:hAnsi="Arial" w:cs="Arial"/>
          <w:sz w:val="18"/>
          <w:szCs w:val="18"/>
        </w:rPr>
      </w:pPr>
      <w:r>
        <w:rPr>
          <w:rFonts w:ascii="Arial" w:hAnsi="Arial" w:cs="Arial"/>
          <w:sz w:val="18"/>
          <w:szCs w:val="18"/>
        </w:rPr>
        <w:t>Sincerely,</w:t>
      </w:r>
    </w:p>
    <w:p w:rsidR="002C5025" w:rsidRDefault="002C5025">
      <w:pPr>
        <w:pStyle w:val="BodyText"/>
        <w:tabs>
          <w:tab w:val="left" w:pos="2280"/>
          <w:tab w:val="left" w:pos="2724"/>
        </w:tabs>
        <w:kinsoku w:val="0"/>
        <w:overflowPunct w:val="0"/>
        <w:spacing w:line="789" w:lineRule="exact"/>
        <w:ind w:left="852" w:right="151"/>
        <w:rPr>
          <w:rFonts w:ascii="Arial" w:hAnsi="Arial" w:cs="Arial"/>
          <w:i/>
          <w:iCs/>
          <w:w w:val="80"/>
          <w:sz w:val="72"/>
          <w:szCs w:val="72"/>
        </w:rPr>
      </w:pPr>
      <w:r>
        <w:rPr>
          <w:rFonts w:ascii="Times New Roman" w:hAnsi="Times New Roman" w:cs="Times New Roman"/>
          <w:i/>
          <w:iCs/>
          <w:spacing w:val="-6"/>
          <w:w w:val="70"/>
          <w:sz w:val="56"/>
          <w:szCs w:val="56"/>
        </w:rPr>
        <w:t>f3Mfll</w:t>
      </w:r>
      <w:r>
        <w:rPr>
          <w:rFonts w:ascii="Times New Roman" w:hAnsi="Times New Roman" w:cs="Times New Roman"/>
          <w:i/>
          <w:iCs/>
          <w:spacing w:val="-6"/>
          <w:w w:val="70"/>
          <w:sz w:val="56"/>
          <w:szCs w:val="56"/>
        </w:rPr>
        <w:tab/>
      </w:r>
      <w:r>
        <w:rPr>
          <w:rFonts w:ascii="Times New Roman" w:hAnsi="Times New Roman" w:cs="Times New Roman"/>
          <w:i/>
          <w:iCs/>
          <w:w w:val="80"/>
          <w:sz w:val="56"/>
          <w:szCs w:val="56"/>
        </w:rPr>
        <w:t>f</w:t>
      </w:r>
      <w:r>
        <w:rPr>
          <w:rFonts w:ascii="Times New Roman" w:hAnsi="Times New Roman" w:cs="Times New Roman"/>
          <w:i/>
          <w:iCs/>
          <w:w w:val="80"/>
          <w:sz w:val="56"/>
          <w:szCs w:val="56"/>
        </w:rPr>
        <w:tab/>
      </w:r>
      <w:proofErr w:type="spellStart"/>
      <w:r>
        <w:rPr>
          <w:rFonts w:ascii="Arial" w:hAnsi="Arial" w:cs="Arial"/>
          <w:i/>
          <w:iCs/>
          <w:w w:val="80"/>
          <w:sz w:val="72"/>
          <w:szCs w:val="72"/>
        </w:rPr>
        <w:t>cJ</w:t>
      </w:r>
      <w:proofErr w:type="spellEnd"/>
    </w:p>
    <w:p w:rsidR="002C5025" w:rsidRDefault="002C5025">
      <w:pPr>
        <w:pStyle w:val="BodyText"/>
        <w:kinsoku w:val="0"/>
        <w:overflowPunct w:val="0"/>
        <w:spacing w:before="122" w:line="278" w:lineRule="auto"/>
        <w:ind w:left="778" w:right="6125" w:hanging="5"/>
        <w:rPr>
          <w:rFonts w:ascii="Arial" w:hAnsi="Arial" w:cs="Arial"/>
          <w:sz w:val="18"/>
          <w:szCs w:val="18"/>
        </w:rPr>
      </w:pPr>
      <w:r>
        <w:rPr>
          <w:rFonts w:ascii="Arial" w:hAnsi="Arial" w:cs="Arial"/>
          <w:sz w:val="18"/>
          <w:szCs w:val="18"/>
        </w:rPr>
        <w:t>Brenda Clement Executive Director</w:t>
      </w:r>
    </w:p>
    <w:p w:rsidR="002C5025" w:rsidRDefault="002C5025">
      <w:pPr>
        <w:pStyle w:val="BodyText"/>
        <w:kinsoku w:val="0"/>
        <w:overflowPunct w:val="0"/>
        <w:spacing w:before="122" w:line="278" w:lineRule="auto"/>
        <w:ind w:left="778" w:right="6125" w:hanging="5"/>
        <w:rPr>
          <w:rFonts w:ascii="Arial" w:hAnsi="Arial" w:cs="Arial"/>
          <w:sz w:val="18"/>
          <w:szCs w:val="18"/>
        </w:rPr>
        <w:sectPr w:rsidR="002C5025">
          <w:pgSz w:w="12240" w:h="15840"/>
          <w:pgMar w:top="1500" w:right="1560" w:bottom="280" w:left="1720" w:header="720" w:footer="720" w:gutter="0"/>
          <w:cols w:space="720" w:equalWidth="0">
            <w:col w:w="8960"/>
          </w:cols>
          <w:noEndnote/>
        </w:sectPr>
      </w:pPr>
    </w:p>
    <w:p w:rsidR="002C5025" w:rsidRDefault="00FB027C">
      <w:pPr>
        <w:pStyle w:val="BodyText"/>
        <w:kinsoku w:val="0"/>
        <w:overflowPunct w:val="0"/>
        <w:ind w:left="108"/>
        <w:rPr>
          <w:rFonts w:ascii="Arial" w:hAnsi="Arial" w:cs="Arial"/>
          <w:sz w:val="20"/>
          <w:szCs w:val="20"/>
        </w:rPr>
      </w:pPr>
      <w:r>
        <w:rPr>
          <w:rFonts w:ascii="Arial" w:hAnsi="Arial" w:cs="Arial"/>
          <w:noProof/>
          <w:sz w:val="20"/>
          <w:szCs w:val="20"/>
        </w:rPr>
        <w:lastRenderedPageBreak/>
        <w:drawing>
          <wp:inline distT="0" distB="0" distL="0" distR="0">
            <wp:extent cx="5943600" cy="53340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8"/>
        <w:rPr>
          <w:rFonts w:ascii="Arial" w:hAnsi="Arial" w:cs="Arial"/>
          <w:sz w:val="21"/>
          <w:szCs w:val="21"/>
        </w:rPr>
      </w:pPr>
    </w:p>
    <w:p w:rsidR="002C5025" w:rsidRDefault="002C5025">
      <w:pPr>
        <w:pStyle w:val="BodyText"/>
        <w:kinsoku w:val="0"/>
        <w:overflowPunct w:val="0"/>
        <w:spacing w:before="57"/>
        <w:ind w:left="107" w:right="6141"/>
      </w:pPr>
      <w:bookmarkStart w:id="82" w:name="Childrens_HealthWatch_MassHealth_1115_le"/>
      <w:bookmarkEnd w:id="82"/>
      <w:r>
        <w:t>July 15, 2016</w:t>
      </w:r>
    </w:p>
    <w:p w:rsidR="002C5025" w:rsidRDefault="002C5025">
      <w:pPr>
        <w:pStyle w:val="BodyText"/>
        <w:kinsoku w:val="0"/>
        <w:overflowPunct w:val="0"/>
      </w:pPr>
    </w:p>
    <w:p w:rsidR="002C5025" w:rsidRDefault="002C5025">
      <w:pPr>
        <w:pStyle w:val="BodyText"/>
        <w:kinsoku w:val="0"/>
        <w:overflowPunct w:val="0"/>
        <w:ind w:left="107" w:right="6141"/>
      </w:pPr>
      <w:r>
        <w:t>Daniel Tsai</w:t>
      </w:r>
    </w:p>
    <w:p w:rsidR="002C5025" w:rsidRDefault="002C5025">
      <w:pPr>
        <w:pStyle w:val="BodyText"/>
        <w:kinsoku w:val="0"/>
        <w:overflowPunct w:val="0"/>
        <w:spacing w:line="268" w:lineRule="exact"/>
        <w:ind w:left="107" w:right="6141"/>
      </w:pPr>
      <w:r>
        <w:t>Assistant Secretary for MassHealth</w:t>
      </w:r>
    </w:p>
    <w:p w:rsidR="002C5025" w:rsidRDefault="002C5025">
      <w:pPr>
        <w:pStyle w:val="BodyText"/>
        <w:kinsoku w:val="0"/>
        <w:overflowPunct w:val="0"/>
        <w:ind w:left="107" w:right="6141"/>
      </w:pPr>
      <w:r>
        <w:t>Executive Office of Health and Human Services One Ashburton Place, 11th floor</w:t>
      </w:r>
    </w:p>
    <w:p w:rsidR="002C5025" w:rsidRDefault="002C5025">
      <w:pPr>
        <w:pStyle w:val="BodyText"/>
        <w:kinsoku w:val="0"/>
        <w:overflowPunct w:val="0"/>
        <w:spacing w:before="5"/>
        <w:ind w:left="108" w:right="6141"/>
      </w:pPr>
      <w:r>
        <w:t>Boston, MA 02108</w:t>
      </w:r>
    </w:p>
    <w:p w:rsidR="002C5025" w:rsidRDefault="002C5025">
      <w:pPr>
        <w:pStyle w:val="BodyText"/>
        <w:kinsoku w:val="0"/>
        <w:overflowPunct w:val="0"/>
        <w:spacing w:before="5"/>
        <w:rPr>
          <w:sz w:val="21"/>
          <w:szCs w:val="21"/>
        </w:rPr>
      </w:pPr>
    </w:p>
    <w:p w:rsidR="002C5025" w:rsidRDefault="002C5025">
      <w:pPr>
        <w:pStyle w:val="BodyText"/>
        <w:kinsoku w:val="0"/>
        <w:overflowPunct w:val="0"/>
        <w:ind w:left="108" w:right="4253"/>
        <w:rPr>
          <w:color w:val="0000FF"/>
        </w:rPr>
      </w:pPr>
      <w:r>
        <w:t xml:space="preserve">Submitted via email to </w:t>
      </w:r>
      <w:hyperlink r:id="rId181" w:history="1">
        <w:r>
          <w:rPr>
            <w:color w:val="0000FF"/>
            <w:u w:val="single"/>
          </w:rPr>
          <w:t>MassHealth.Innovations@state.ma.us</w:t>
        </w:r>
      </w:hyperlink>
    </w:p>
    <w:p w:rsidR="002C5025" w:rsidRDefault="002C5025">
      <w:pPr>
        <w:pStyle w:val="BodyText"/>
        <w:kinsoku w:val="0"/>
        <w:overflowPunct w:val="0"/>
        <w:spacing w:before="5"/>
        <w:rPr>
          <w:sz w:val="17"/>
          <w:szCs w:val="17"/>
        </w:rPr>
      </w:pPr>
    </w:p>
    <w:p w:rsidR="002C5025" w:rsidRDefault="002C5025">
      <w:pPr>
        <w:pStyle w:val="BodyText"/>
        <w:kinsoku w:val="0"/>
        <w:overflowPunct w:val="0"/>
        <w:spacing w:before="56" w:line="480" w:lineRule="auto"/>
        <w:ind w:left="107" w:right="4253"/>
      </w:pPr>
      <w:r>
        <w:t>Re: Comments on 1115 Medicaid Demonstration Extension Request Dear Assistant Secretary Tsai,</w:t>
      </w:r>
    </w:p>
    <w:p w:rsidR="002C5025" w:rsidRDefault="002C5025">
      <w:pPr>
        <w:pStyle w:val="BodyText"/>
        <w:kinsoku w:val="0"/>
        <w:overflowPunct w:val="0"/>
        <w:ind w:left="106" w:right="110"/>
      </w:pPr>
      <w:r>
        <w:t xml:space="preserve">On behalf of Children’s </w:t>
      </w:r>
      <w:proofErr w:type="spellStart"/>
      <w:r>
        <w:t>HealthWatch</w:t>
      </w:r>
      <w:proofErr w:type="spellEnd"/>
      <w:r>
        <w:t>, please accept these comments on the MassHealth Section 1115 Demonstration</w:t>
      </w:r>
      <w:r>
        <w:rPr>
          <w:spacing w:val="-12"/>
        </w:rPr>
        <w:t xml:space="preserve"> </w:t>
      </w:r>
      <w:r>
        <w:t>Project</w:t>
      </w:r>
      <w:r>
        <w:rPr>
          <w:spacing w:val="-6"/>
        </w:rPr>
        <w:t xml:space="preserve"> </w:t>
      </w:r>
      <w:r>
        <w:t>Amendment</w:t>
      </w:r>
      <w:r>
        <w:rPr>
          <w:spacing w:val="-10"/>
        </w:rPr>
        <w:t xml:space="preserve"> </w:t>
      </w:r>
      <w:r>
        <w:t>and</w:t>
      </w:r>
      <w:r>
        <w:rPr>
          <w:spacing w:val="-10"/>
        </w:rPr>
        <w:t xml:space="preserve"> </w:t>
      </w:r>
      <w:r>
        <w:t>Extension</w:t>
      </w:r>
      <w:r>
        <w:rPr>
          <w:spacing w:val="-12"/>
        </w:rPr>
        <w:t xml:space="preserve"> </w:t>
      </w:r>
      <w:r>
        <w:t>Request.</w:t>
      </w:r>
      <w:r>
        <w:rPr>
          <w:spacing w:val="-10"/>
        </w:rPr>
        <w:t xml:space="preserve"> </w:t>
      </w:r>
      <w:r>
        <w:t>We</w:t>
      </w:r>
      <w:r>
        <w:rPr>
          <w:spacing w:val="-10"/>
        </w:rPr>
        <w:t xml:space="preserve"> </w:t>
      </w:r>
      <w:r>
        <w:t>applaud</w:t>
      </w:r>
      <w:r>
        <w:rPr>
          <w:spacing w:val="-11"/>
        </w:rPr>
        <w:t xml:space="preserve"> </w:t>
      </w:r>
      <w:r>
        <w:t>the</w:t>
      </w:r>
      <w:r>
        <w:rPr>
          <w:spacing w:val="-9"/>
        </w:rPr>
        <w:t xml:space="preserve"> </w:t>
      </w:r>
      <w:r>
        <w:t>Executive</w:t>
      </w:r>
      <w:r>
        <w:rPr>
          <w:spacing w:val="-10"/>
        </w:rPr>
        <w:t xml:space="preserve"> </w:t>
      </w:r>
      <w:r>
        <w:t>Office</w:t>
      </w:r>
      <w:r>
        <w:rPr>
          <w:spacing w:val="-9"/>
        </w:rPr>
        <w:t xml:space="preserve"> </w:t>
      </w:r>
      <w:r>
        <w:t>of</w:t>
      </w:r>
      <w:r>
        <w:rPr>
          <w:spacing w:val="-11"/>
        </w:rPr>
        <w:t xml:space="preserve"> </w:t>
      </w:r>
      <w:r>
        <w:t>Health</w:t>
      </w:r>
      <w:r>
        <w:rPr>
          <w:spacing w:val="-11"/>
        </w:rPr>
        <w:t xml:space="preserve"> </w:t>
      </w:r>
      <w:r>
        <w:t>and</w:t>
      </w:r>
      <w:r>
        <w:rPr>
          <w:spacing w:val="-14"/>
        </w:rPr>
        <w:t xml:space="preserve"> </w:t>
      </w:r>
      <w:r>
        <w:t>Human Services’</w:t>
      </w:r>
      <w:r>
        <w:rPr>
          <w:spacing w:val="-10"/>
        </w:rPr>
        <w:t xml:space="preserve"> </w:t>
      </w:r>
      <w:r>
        <w:t>efforts</w:t>
      </w:r>
      <w:r>
        <w:rPr>
          <w:spacing w:val="-10"/>
        </w:rPr>
        <w:t xml:space="preserve"> </w:t>
      </w:r>
      <w:r>
        <w:t>to</w:t>
      </w:r>
      <w:r>
        <w:rPr>
          <w:spacing w:val="-9"/>
        </w:rPr>
        <w:t xml:space="preserve"> </w:t>
      </w:r>
      <w:r>
        <w:t>allow</w:t>
      </w:r>
      <w:r>
        <w:rPr>
          <w:spacing w:val="-10"/>
        </w:rPr>
        <w:t xml:space="preserve"> </w:t>
      </w:r>
      <w:r>
        <w:t>ACOs</w:t>
      </w:r>
      <w:r>
        <w:rPr>
          <w:spacing w:val="-10"/>
        </w:rPr>
        <w:t xml:space="preserve"> </w:t>
      </w:r>
      <w:r>
        <w:t>to</w:t>
      </w:r>
      <w:r>
        <w:rPr>
          <w:spacing w:val="-7"/>
        </w:rPr>
        <w:t xml:space="preserve"> </w:t>
      </w:r>
      <w:r>
        <w:t>address</w:t>
      </w:r>
      <w:r>
        <w:rPr>
          <w:spacing w:val="-10"/>
        </w:rPr>
        <w:t xml:space="preserve"> </w:t>
      </w:r>
      <w:r>
        <w:t>social</w:t>
      </w:r>
      <w:r>
        <w:rPr>
          <w:spacing w:val="-10"/>
        </w:rPr>
        <w:t xml:space="preserve"> </w:t>
      </w:r>
      <w:r>
        <w:t>determinants</w:t>
      </w:r>
      <w:r>
        <w:rPr>
          <w:spacing w:val="-11"/>
        </w:rPr>
        <w:t xml:space="preserve"> </w:t>
      </w:r>
      <w:r>
        <w:t>of</w:t>
      </w:r>
      <w:r>
        <w:rPr>
          <w:spacing w:val="-8"/>
        </w:rPr>
        <w:t xml:space="preserve"> </w:t>
      </w:r>
      <w:r>
        <w:t>health</w:t>
      </w:r>
      <w:r>
        <w:rPr>
          <w:spacing w:val="-9"/>
        </w:rPr>
        <w:t xml:space="preserve"> </w:t>
      </w:r>
      <w:r>
        <w:t>among</w:t>
      </w:r>
      <w:r>
        <w:rPr>
          <w:spacing w:val="-12"/>
        </w:rPr>
        <w:t xml:space="preserve"> </w:t>
      </w:r>
      <w:r>
        <w:t>MassHealth</w:t>
      </w:r>
      <w:r>
        <w:rPr>
          <w:spacing w:val="-10"/>
        </w:rPr>
        <w:t xml:space="preserve"> </w:t>
      </w:r>
      <w:r>
        <w:t>members.</w:t>
      </w:r>
    </w:p>
    <w:p w:rsidR="002C5025" w:rsidRDefault="002C5025">
      <w:pPr>
        <w:pStyle w:val="BodyText"/>
        <w:kinsoku w:val="0"/>
        <w:overflowPunct w:val="0"/>
      </w:pPr>
    </w:p>
    <w:p w:rsidR="002C5025" w:rsidRDefault="002C5025">
      <w:pPr>
        <w:pStyle w:val="BodyText"/>
        <w:kinsoku w:val="0"/>
        <w:overflowPunct w:val="0"/>
        <w:ind w:left="104" w:right="110" w:firstLine="1"/>
      </w:pPr>
      <w:r>
        <w:t>Children’s</w:t>
      </w:r>
      <w:r>
        <w:rPr>
          <w:spacing w:val="-11"/>
        </w:rPr>
        <w:t xml:space="preserve"> </w:t>
      </w:r>
      <w:proofErr w:type="spellStart"/>
      <w:r>
        <w:t>HealthWatch</w:t>
      </w:r>
      <w:proofErr w:type="spellEnd"/>
      <w:r>
        <w:rPr>
          <w:spacing w:val="-10"/>
        </w:rPr>
        <w:t xml:space="preserve"> </w:t>
      </w:r>
      <w:r>
        <w:t>is</w:t>
      </w:r>
      <w:r>
        <w:rPr>
          <w:spacing w:val="-12"/>
        </w:rPr>
        <w:t xml:space="preserve"> </w:t>
      </w:r>
      <w:r>
        <w:t>a</w:t>
      </w:r>
      <w:r>
        <w:rPr>
          <w:spacing w:val="-11"/>
        </w:rPr>
        <w:t xml:space="preserve"> </w:t>
      </w:r>
      <w:r>
        <w:t>Boston,</w:t>
      </w:r>
      <w:r>
        <w:rPr>
          <w:spacing w:val="-12"/>
        </w:rPr>
        <w:t xml:space="preserve"> </w:t>
      </w:r>
      <w:r>
        <w:t>MA-based</w:t>
      </w:r>
      <w:r>
        <w:rPr>
          <w:spacing w:val="-13"/>
        </w:rPr>
        <w:t xml:space="preserve"> </w:t>
      </w:r>
      <w:r>
        <w:t>nonpartisan</w:t>
      </w:r>
      <w:r>
        <w:rPr>
          <w:spacing w:val="-11"/>
        </w:rPr>
        <w:t xml:space="preserve"> </w:t>
      </w:r>
      <w:r>
        <w:t>network</w:t>
      </w:r>
      <w:r>
        <w:rPr>
          <w:spacing w:val="-11"/>
        </w:rPr>
        <w:t xml:space="preserve"> </w:t>
      </w:r>
      <w:r>
        <w:t>of</w:t>
      </w:r>
      <w:r>
        <w:rPr>
          <w:spacing w:val="-9"/>
        </w:rPr>
        <w:t xml:space="preserve"> </w:t>
      </w:r>
      <w:r>
        <w:t>pediatricians,</w:t>
      </w:r>
      <w:r>
        <w:rPr>
          <w:spacing w:val="-11"/>
        </w:rPr>
        <w:t xml:space="preserve"> </w:t>
      </w:r>
      <w:r>
        <w:t>public</w:t>
      </w:r>
      <w:r>
        <w:rPr>
          <w:spacing w:val="-9"/>
        </w:rPr>
        <w:t xml:space="preserve"> </w:t>
      </w:r>
      <w:r>
        <w:t>health</w:t>
      </w:r>
      <w:r>
        <w:rPr>
          <w:spacing w:val="-11"/>
        </w:rPr>
        <w:t xml:space="preserve"> </w:t>
      </w:r>
      <w:r>
        <w:t>researchers,</w:t>
      </w:r>
      <w:r>
        <w:rPr>
          <w:spacing w:val="-11"/>
        </w:rPr>
        <w:t xml:space="preserve"> </w:t>
      </w:r>
      <w:r>
        <w:t xml:space="preserve">and policy and child health experts committed to </w:t>
      </w:r>
      <w:r>
        <w:rPr>
          <w:spacing w:val="-3"/>
        </w:rPr>
        <w:t xml:space="preserve">improving </w:t>
      </w:r>
      <w:r>
        <w:t xml:space="preserve">children's health in America. Every day, in urban hospitals across the country, and </w:t>
      </w:r>
      <w:r>
        <w:rPr>
          <w:spacing w:val="-3"/>
        </w:rPr>
        <w:t xml:space="preserve">here </w:t>
      </w:r>
      <w:r>
        <w:t xml:space="preserve">in Boston at Boston Medical Center, we collect data on children ages zero to </w:t>
      </w:r>
      <w:r>
        <w:rPr>
          <w:spacing w:val="-3"/>
        </w:rPr>
        <w:t xml:space="preserve">four </w:t>
      </w:r>
      <w:r>
        <w:t xml:space="preserve">many of whom are </w:t>
      </w:r>
      <w:r>
        <w:rPr>
          <w:spacing w:val="-3"/>
        </w:rPr>
        <w:t xml:space="preserve">from </w:t>
      </w:r>
      <w:r>
        <w:t xml:space="preserve">families experiencing economic hardship. We analyze </w:t>
      </w:r>
      <w:r>
        <w:rPr>
          <w:spacing w:val="-3"/>
        </w:rPr>
        <w:t xml:space="preserve">and </w:t>
      </w:r>
      <w:r>
        <w:t>release our findings to academics, legislators, and the public to inform public policies and practices that can give all children equal opportunities</w:t>
      </w:r>
      <w:r>
        <w:rPr>
          <w:spacing w:val="-9"/>
        </w:rPr>
        <w:t xml:space="preserve"> </w:t>
      </w:r>
      <w:r>
        <w:t>for</w:t>
      </w:r>
      <w:r>
        <w:rPr>
          <w:spacing w:val="-9"/>
        </w:rPr>
        <w:t xml:space="preserve"> </w:t>
      </w:r>
      <w:r>
        <w:t>healthy,</w:t>
      </w:r>
      <w:r>
        <w:rPr>
          <w:spacing w:val="-9"/>
        </w:rPr>
        <w:t xml:space="preserve"> </w:t>
      </w:r>
      <w:r>
        <w:t>successful</w:t>
      </w:r>
      <w:r>
        <w:rPr>
          <w:spacing w:val="-7"/>
        </w:rPr>
        <w:t xml:space="preserve"> </w:t>
      </w:r>
      <w:r>
        <w:t>lives.</w:t>
      </w:r>
      <w:r>
        <w:rPr>
          <w:spacing w:val="32"/>
        </w:rPr>
        <w:t xml:space="preserve"> </w:t>
      </w:r>
      <w:r>
        <w:t>In</w:t>
      </w:r>
      <w:r>
        <w:rPr>
          <w:spacing w:val="-10"/>
        </w:rPr>
        <w:t xml:space="preserve"> </w:t>
      </w:r>
      <w:r>
        <w:t>Boston</w:t>
      </w:r>
      <w:r>
        <w:rPr>
          <w:spacing w:val="-12"/>
        </w:rPr>
        <w:t xml:space="preserve"> </w:t>
      </w:r>
      <w:r>
        <w:t>we</w:t>
      </w:r>
      <w:r>
        <w:rPr>
          <w:spacing w:val="-7"/>
        </w:rPr>
        <w:t xml:space="preserve"> </w:t>
      </w:r>
      <w:r>
        <w:t>collect</w:t>
      </w:r>
      <w:r>
        <w:rPr>
          <w:spacing w:val="-7"/>
        </w:rPr>
        <w:t xml:space="preserve"> </w:t>
      </w:r>
      <w:r>
        <w:t>data</w:t>
      </w:r>
      <w:r>
        <w:rPr>
          <w:spacing w:val="-10"/>
        </w:rPr>
        <w:t xml:space="preserve"> </w:t>
      </w:r>
      <w:r>
        <w:t>at</w:t>
      </w:r>
      <w:r>
        <w:rPr>
          <w:spacing w:val="-9"/>
        </w:rPr>
        <w:t xml:space="preserve"> </w:t>
      </w:r>
      <w:r>
        <w:t>Boston</w:t>
      </w:r>
      <w:r>
        <w:rPr>
          <w:spacing w:val="-12"/>
        </w:rPr>
        <w:t xml:space="preserve"> </w:t>
      </w:r>
      <w:r>
        <w:t>Medical</w:t>
      </w:r>
      <w:r>
        <w:rPr>
          <w:spacing w:val="-9"/>
        </w:rPr>
        <w:t xml:space="preserve"> </w:t>
      </w:r>
      <w:r>
        <w:t>Center</w:t>
      </w:r>
    </w:p>
    <w:p w:rsidR="002C5025" w:rsidRDefault="002C5025">
      <w:pPr>
        <w:pStyle w:val="BodyText"/>
        <w:kinsoku w:val="0"/>
        <w:overflowPunct w:val="0"/>
        <w:spacing w:before="2"/>
      </w:pPr>
    </w:p>
    <w:p w:rsidR="002C5025" w:rsidRDefault="002C5025">
      <w:pPr>
        <w:pStyle w:val="BodyText"/>
        <w:kinsoku w:val="0"/>
        <w:overflowPunct w:val="0"/>
        <w:ind w:left="104" w:right="110"/>
      </w:pPr>
      <w:r>
        <w:t>We have included below brief comments on specific aspects of the waiver proposal.</w:t>
      </w:r>
    </w:p>
    <w:p w:rsidR="002C5025" w:rsidRDefault="002C5025">
      <w:pPr>
        <w:pStyle w:val="BodyText"/>
        <w:kinsoku w:val="0"/>
        <w:overflowPunct w:val="0"/>
        <w:spacing w:before="8"/>
        <w:rPr>
          <w:sz w:val="21"/>
          <w:szCs w:val="21"/>
        </w:rPr>
      </w:pPr>
    </w:p>
    <w:p w:rsidR="002C5025" w:rsidRDefault="002C5025">
      <w:pPr>
        <w:pStyle w:val="BodyText"/>
        <w:kinsoku w:val="0"/>
        <w:overflowPunct w:val="0"/>
        <w:ind w:left="107" w:right="6141"/>
        <w:rPr>
          <w:b/>
          <w:bCs/>
        </w:rPr>
      </w:pPr>
      <w:r>
        <w:rPr>
          <w:b/>
          <w:bCs/>
          <w:u w:val="single" w:color="000000"/>
        </w:rPr>
        <w:t>Access to Services and Care Delivery</w:t>
      </w:r>
    </w:p>
    <w:p w:rsidR="002C5025" w:rsidRDefault="002C5025">
      <w:pPr>
        <w:pStyle w:val="BodyText"/>
        <w:kinsoku w:val="0"/>
        <w:overflowPunct w:val="0"/>
        <w:ind w:left="106" w:right="110" w:firstLine="1"/>
      </w:pPr>
      <w:r>
        <w:t xml:space="preserve">We strongly support MassHealth’s goal to </w:t>
      </w:r>
      <w:r>
        <w:rPr>
          <w:spacing w:val="-3"/>
        </w:rPr>
        <w:t xml:space="preserve">promote </w:t>
      </w:r>
      <w:r>
        <w:t>member-driven, integrated, coordinated care that includes physical</w:t>
      </w:r>
      <w:r>
        <w:rPr>
          <w:spacing w:val="-11"/>
        </w:rPr>
        <w:t xml:space="preserve"> </w:t>
      </w:r>
      <w:r>
        <w:t>health,</w:t>
      </w:r>
      <w:r>
        <w:rPr>
          <w:spacing w:val="-12"/>
        </w:rPr>
        <w:t xml:space="preserve"> </w:t>
      </w:r>
      <w:r>
        <w:t>behavioral</w:t>
      </w:r>
      <w:r>
        <w:rPr>
          <w:spacing w:val="-15"/>
        </w:rPr>
        <w:t xml:space="preserve"> </w:t>
      </w:r>
      <w:r>
        <w:t>health</w:t>
      </w:r>
      <w:r>
        <w:rPr>
          <w:spacing w:val="-10"/>
        </w:rPr>
        <w:t xml:space="preserve"> </w:t>
      </w:r>
      <w:r>
        <w:t>(BH),</w:t>
      </w:r>
      <w:r>
        <w:rPr>
          <w:spacing w:val="-13"/>
        </w:rPr>
        <w:t xml:space="preserve"> </w:t>
      </w:r>
      <w:r>
        <w:t>Long-term</w:t>
      </w:r>
      <w:r>
        <w:rPr>
          <w:spacing w:val="-10"/>
        </w:rPr>
        <w:t xml:space="preserve"> </w:t>
      </w:r>
      <w:r>
        <w:t>Services</w:t>
      </w:r>
      <w:r>
        <w:rPr>
          <w:spacing w:val="-13"/>
        </w:rPr>
        <w:t xml:space="preserve"> </w:t>
      </w:r>
      <w:r>
        <w:t>and</w:t>
      </w:r>
      <w:r>
        <w:rPr>
          <w:spacing w:val="-11"/>
        </w:rPr>
        <w:t xml:space="preserve"> </w:t>
      </w:r>
      <w:r>
        <w:t>Supports</w:t>
      </w:r>
      <w:r>
        <w:rPr>
          <w:spacing w:val="-12"/>
        </w:rPr>
        <w:t xml:space="preserve"> </w:t>
      </w:r>
      <w:r>
        <w:t>(LTSS),</w:t>
      </w:r>
      <w:r>
        <w:rPr>
          <w:spacing w:val="-12"/>
        </w:rPr>
        <w:t xml:space="preserve"> </w:t>
      </w:r>
      <w:r>
        <w:t>and</w:t>
      </w:r>
      <w:r>
        <w:rPr>
          <w:spacing w:val="-10"/>
        </w:rPr>
        <w:t xml:space="preserve"> </w:t>
      </w:r>
      <w:r>
        <w:t>health-related</w:t>
      </w:r>
      <w:r>
        <w:rPr>
          <w:spacing w:val="-11"/>
        </w:rPr>
        <w:t xml:space="preserve"> </w:t>
      </w:r>
      <w:r>
        <w:t>social</w:t>
      </w:r>
      <w:r>
        <w:rPr>
          <w:spacing w:val="-11"/>
        </w:rPr>
        <w:t xml:space="preserve"> </w:t>
      </w:r>
      <w:r>
        <w:t xml:space="preserve">services. However, among the vulnerable populations listed </w:t>
      </w:r>
      <w:r>
        <w:rPr>
          <w:spacing w:val="-3"/>
        </w:rPr>
        <w:t xml:space="preserve">(i.e. </w:t>
      </w:r>
      <w:r>
        <w:t xml:space="preserve">people coping with behavioral health, </w:t>
      </w:r>
      <w:r>
        <w:rPr>
          <w:spacing w:val="-3"/>
        </w:rPr>
        <w:t xml:space="preserve">substance use </w:t>
      </w:r>
      <w:r>
        <w:t>disorders,</w:t>
      </w:r>
      <w:r>
        <w:rPr>
          <w:spacing w:val="-9"/>
        </w:rPr>
        <w:t xml:space="preserve"> </w:t>
      </w:r>
      <w:r>
        <w:t>frail</w:t>
      </w:r>
      <w:r>
        <w:rPr>
          <w:spacing w:val="-9"/>
        </w:rPr>
        <w:t xml:space="preserve"> </w:t>
      </w:r>
      <w:r>
        <w:t>seniors,</w:t>
      </w:r>
      <w:r>
        <w:rPr>
          <w:spacing w:val="-8"/>
        </w:rPr>
        <w:t xml:space="preserve"> </w:t>
      </w:r>
      <w:r>
        <w:t>and</w:t>
      </w:r>
      <w:r>
        <w:rPr>
          <w:spacing w:val="-12"/>
        </w:rPr>
        <w:t xml:space="preserve"> </w:t>
      </w:r>
      <w:r>
        <w:t>members</w:t>
      </w:r>
      <w:r>
        <w:rPr>
          <w:spacing w:val="-9"/>
        </w:rPr>
        <w:t xml:space="preserve"> </w:t>
      </w:r>
      <w:r>
        <w:t>with</w:t>
      </w:r>
      <w:r>
        <w:rPr>
          <w:spacing w:val="-8"/>
        </w:rPr>
        <w:t xml:space="preserve"> </w:t>
      </w:r>
      <w:r>
        <w:t>disabilities),</w:t>
      </w:r>
      <w:r>
        <w:rPr>
          <w:spacing w:val="-9"/>
        </w:rPr>
        <w:t xml:space="preserve"> </w:t>
      </w:r>
      <w:r>
        <w:t>we</w:t>
      </w:r>
      <w:r>
        <w:rPr>
          <w:spacing w:val="-9"/>
        </w:rPr>
        <w:t xml:space="preserve"> </w:t>
      </w:r>
      <w:r>
        <w:t>also</w:t>
      </w:r>
      <w:r>
        <w:rPr>
          <w:spacing w:val="-8"/>
        </w:rPr>
        <w:t xml:space="preserve"> </w:t>
      </w:r>
      <w:r>
        <w:t>believe</w:t>
      </w:r>
      <w:r>
        <w:rPr>
          <w:spacing w:val="-9"/>
        </w:rPr>
        <w:t xml:space="preserve"> </w:t>
      </w:r>
      <w:r>
        <w:t>this</w:t>
      </w:r>
      <w:r>
        <w:rPr>
          <w:spacing w:val="-8"/>
        </w:rPr>
        <w:t xml:space="preserve"> </w:t>
      </w:r>
      <w:r>
        <w:t>goal</w:t>
      </w:r>
      <w:r>
        <w:rPr>
          <w:spacing w:val="-10"/>
        </w:rPr>
        <w:t xml:space="preserve"> </w:t>
      </w:r>
      <w:r>
        <w:t>should</w:t>
      </w:r>
      <w:r>
        <w:rPr>
          <w:spacing w:val="-10"/>
        </w:rPr>
        <w:t xml:space="preserve"> </w:t>
      </w:r>
      <w:r>
        <w:t>include</w:t>
      </w:r>
      <w:r>
        <w:rPr>
          <w:spacing w:val="-9"/>
        </w:rPr>
        <w:t xml:space="preserve"> </w:t>
      </w:r>
      <w:r>
        <w:t>very</w:t>
      </w:r>
      <w:r>
        <w:rPr>
          <w:spacing w:val="-11"/>
        </w:rPr>
        <w:t xml:space="preserve"> </w:t>
      </w:r>
      <w:r>
        <w:t>young</w:t>
      </w:r>
      <w:r>
        <w:rPr>
          <w:spacing w:val="-10"/>
        </w:rPr>
        <w:t xml:space="preserve"> </w:t>
      </w:r>
      <w:r>
        <w:t>children under</w:t>
      </w:r>
      <w:r>
        <w:rPr>
          <w:spacing w:val="-8"/>
        </w:rPr>
        <w:t xml:space="preserve"> </w:t>
      </w:r>
      <w:r>
        <w:t>the</w:t>
      </w:r>
      <w:r>
        <w:rPr>
          <w:spacing w:val="-4"/>
        </w:rPr>
        <w:t xml:space="preserve"> </w:t>
      </w:r>
      <w:r>
        <w:t>age</w:t>
      </w:r>
      <w:r>
        <w:rPr>
          <w:spacing w:val="-9"/>
        </w:rPr>
        <w:t xml:space="preserve"> </w:t>
      </w:r>
      <w:r>
        <w:t>of</w:t>
      </w:r>
      <w:r>
        <w:rPr>
          <w:spacing w:val="-10"/>
        </w:rPr>
        <w:t xml:space="preserve"> </w:t>
      </w:r>
      <w:r>
        <w:t>four</w:t>
      </w:r>
      <w:r>
        <w:rPr>
          <w:spacing w:val="-7"/>
        </w:rPr>
        <w:t xml:space="preserve"> </w:t>
      </w:r>
      <w:r>
        <w:t>–</w:t>
      </w:r>
      <w:r>
        <w:rPr>
          <w:spacing w:val="-4"/>
        </w:rPr>
        <w:t xml:space="preserve"> </w:t>
      </w:r>
      <w:r>
        <w:t>a</w:t>
      </w:r>
      <w:r>
        <w:rPr>
          <w:spacing w:val="-10"/>
        </w:rPr>
        <w:t xml:space="preserve"> </w:t>
      </w:r>
      <w:r>
        <w:t>vulnerable</w:t>
      </w:r>
      <w:r>
        <w:rPr>
          <w:spacing w:val="-4"/>
        </w:rPr>
        <w:t xml:space="preserve"> </w:t>
      </w:r>
      <w:r>
        <w:t>and</w:t>
      </w:r>
      <w:r>
        <w:rPr>
          <w:spacing w:val="-10"/>
        </w:rPr>
        <w:t xml:space="preserve"> </w:t>
      </w:r>
      <w:r>
        <w:t>overlooked</w:t>
      </w:r>
      <w:r>
        <w:rPr>
          <w:spacing w:val="-10"/>
        </w:rPr>
        <w:t xml:space="preserve"> </w:t>
      </w:r>
      <w:r>
        <w:t>population.</w:t>
      </w:r>
      <w:r>
        <w:rPr>
          <w:spacing w:val="-8"/>
        </w:rPr>
        <w:t xml:space="preserve"> </w:t>
      </w:r>
      <w:r>
        <w:t>An</w:t>
      </w:r>
      <w:r>
        <w:rPr>
          <w:spacing w:val="-8"/>
        </w:rPr>
        <w:t xml:space="preserve"> </w:t>
      </w:r>
      <w:r>
        <w:t>additional</w:t>
      </w:r>
      <w:r>
        <w:rPr>
          <w:spacing w:val="-7"/>
        </w:rPr>
        <w:t xml:space="preserve"> </w:t>
      </w:r>
      <w:r>
        <w:t>focus</w:t>
      </w:r>
      <w:r>
        <w:rPr>
          <w:spacing w:val="-9"/>
        </w:rPr>
        <w:t xml:space="preserve"> </w:t>
      </w:r>
      <w:r>
        <w:t>on</w:t>
      </w:r>
      <w:r>
        <w:rPr>
          <w:spacing w:val="-8"/>
        </w:rPr>
        <w:t xml:space="preserve"> </w:t>
      </w:r>
      <w:r>
        <w:t>child</w:t>
      </w:r>
      <w:r>
        <w:rPr>
          <w:spacing w:val="-8"/>
        </w:rPr>
        <w:t xml:space="preserve"> </w:t>
      </w:r>
      <w:r>
        <w:t>health</w:t>
      </w:r>
      <w:r>
        <w:rPr>
          <w:spacing w:val="-6"/>
        </w:rPr>
        <w:t xml:space="preserve"> </w:t>
      </w:r>
      <w:r>
        <w:t>will</w:t>
      </w:r>
      <w:r>
        <w:rPr>
          <w:spacing w:val="-10"/>
        </w:rPr>
        <w:t xml:space="preserve"> </w:t>
      </w:r>
      <w:r>
        <w:t>contribute to</w:t>
      </w:r>
      <w:r>
        <w:rPr>
          <w:spacing w:val="-8"/>
        </w:rPr>
        <w:t xml:space="preserve"> </w:t>
      </w:r>
      <w:r>
        <w:t>lowering</w:t>
      </w:r>
      <w:r>
        <w:rPr>
          <w:spacing w:val="-11"/>
        </w:rPr>
        <w:t xml:space="preserve"> </w:t>
      </w:r>
      <w:r>
        <w:t>costs</w:t>
      </w:r>
      <w:r>
        <w:rPr>
          <w:spacing w:val="-9"/>
        </w:rPr>
        <w:t xml:space="preserve"> </w:t>
      </w:r>
      <w:r>
        <w:t>and</w:t>
      </w:r>
      <w:r>
        <w:rPr>
          <w:spacing w:val="-11"/>
        </w:rPr>
        <w:t xml:space="preserve"> </w:t>
      </w:r>
      <w:r>
        <w:t>improving</w:t>
      </w:r>
      <w:r>
        <w:rPr>
          <w:spacing w:val="-11"/>
        </w:rPr>
        <w:t xml:space="preserve"> </w:t>
      </w:r>
      <w:r>
        <w:t>health</w:t>
      </w:r>
      <w:r>
        <w:rPr>
          <w:spacing w:val="-13"/>
        </w:rPr>
        <w:t xml:space="preserve"> </w:t>
      </w:r>
      <w:r>
        <w:t>outcomes.</w:t>
      </w:r>
    </w:p>
    <w:p w:rsidR="002C5025" w:rsidRDefault="002C5025">
      <w:pPr>
        <w:pStyle w:val="BodyText"/>
        <w:kinsoku w:val="0"/>
        <w:overflowPunct w:val="0"/>
        <w:spacing w:before="7"/>
      </w:pPr>
    </w:p>
    <w:p w:rsidR="002C5025" w:rsidRDefault="002C5025">
      <w:pPr>
        <w:pStyle w:val="BodyText"/>
        <w:kinsoku w:val="0"/>
        <w:overflowPunct w:val="0"/>
        <w:spacing w:line="264" w:lineRule="exact"/>
        <w:ind w:left="106" w:right="6141"/>
        <w:rPr>
          <w:b/>
          <w:bCs/>
        </w:rPr>
      </w:pPr>
      <w:r>
        <w:rPr>
          <w:b/>
          <w:bCs/>
        </w:rPr>
        <w:t>Community Partners</w:t>
      </w:r>
    </w:p>
    <w:p w:rsidR="002C5025" w:rsidRDefault="002C5025">
      <w:pPr>
        <w:pStyle w:val="BodyText"/>
        <w:kinsoku w:val="0"/>
        <w:overflowPunct w:val="0"/>
        <w:ind w:left="103" w:right="110" w:firstLine="2"/>
      </w:pPr>
      <w:r>
        <w:t>One of the unique features of MassHealth’s proposal is the strong emphasis on ACOs’ collaboration with community-based</w:t>
      </w:r>
      <w:r>
        <w:rPr>
          <w:spacing w:val="-8"/>
        </w:rPr>
        <w:t xml:space="preserve"> </w:t>
      </w:r>
      <w:r>
        <w:rPr>
          <w:spacing w:val="-3"/>
        </w:rPr>
        <w:t>providers.</w:t>
      </w:r>
      <w:r>
        <w:rPr>
          <w:spacing w:val="-8"/>
        </w:rPr>
        <w:t xml:space="preserve"> </w:t>
      </w:r>
      <w:r>
        <w:t>Most</w:t>
      </w:r>
      <w:r>
        <w:rPr>
          <w:spacing w:val="-9"/>
        </w:rPr>
        <w:t xml:space="preserve"> </w:t>
      </w:r>
      <w:r>
        <w:t>of</w:t>
      </w:r>
      <w:r>
        <w:rPr>
          <w:spacing w:val="-10"/>
        </w:rPr>
        <w:t xml:space="preserve"> </w:t>
      </w:r>
      <w:r>
        <w:t>these</w:t>
      </w:r>
      <w:r>
        <w:rPr>
          <w:spacing w:val="-9"/>
        </w:rPr>
        <w:t xml:space="preserve"> </w:t>
      </w:r>
      <w:r>
        <w:t>organizations</w:t>
      </w:r>
      <w:r>
        <w:rPr>
          <w:spacing w:val="-8"/>
        </w:rPr>
        <w:t xml:space="preserve"> </w:t>
      </w:r>
      <w:r>
        <w:t>already</w:t>
      </w:r>
      <w:r>
        <w:rPr>
          <w:spacing w:val="-7"/>
        </w:rPr>
        <w:t xml:space="preserve"> </w:t>
      </w:r>
      <w:r>
        <w:t>serve</w:t>
      </w:r>
      <w:r>
        <w:rPr>
          <w:spacing w:val="-5"/>
        </w:rPr>
        <w:t xml:space="preserve"> </w:t>
      </w:r>
      <w:r>
        <w:t>a</w:t>
      </w:r>
      <w:r>
        <w:rPr>
          <w:spacing w:val="-8"/>
        </w:rPr>
        <w:t xml:space="preserve"> </w:t>
      </w:r>
      <w:r>
        <w:t>high</w:t>
      </w:r>
      <w:r>
        <w:rPr>
          <w:spacing w:val="-10"/>
        </w:rPr>
        <w:t xml:space="preserve"> </w:t>
      </w:r>
      <w:r>
        <w:t>volume</w:t>
      </w:r>
      <w:r>
        <w:rPr>
          <w:spacing w:val="-9"/>
        </w:rPr>
        <w:t xml:space="preserve"> </w:t>
      </w:r>
      <w:r>
        <w:t>of</w:t>
      </w:r>
      <w:r>
        <w:rPr>
          <w:spacing w:val="-10"/>
        </w:rPr>
        <w:t xml:space="preserve"> </w:t>
      </w:r>
      <w:r>
        <w:t>MassHealth</w:t>
      </w:r>
      <w:r>
        <w:rPr>
          <w:spacing w:val="-10"/>
        </w:rPr>
        <w:t xml:space="preserve"> </w:t>
      </w:r>
      <w:r>
        <w:t>members</w:t>
      </w:r>
      <w:r>
        <w:rPr>
          <w:spacing w:val="-8"/>
        </w:rPr>
        <w:t xml:space="preserve"> </w:t>
      </w:r>
      <w:r>
        <w:t xml:space="preserve">and play a significant role in care coordination and connecting members with non-medical services. We support MassHealth’s proposal to connect ACOs with community-based BH and LTSS providers, who can be certified </w:t>
      </w:r>
      <w:r>
        <w:rPr>
          <w:spacing w:val="-3"/>
        </w:rPr>
        <w:t xml:space="preserve">as </w:t>
      </w:r>
      <w:r>
        <w:t>Community</w:t>
      </w:r>
      <w:r>
        <w:rPr>
          <w:spacing w:val="-12"/>
        </w:rPr>
        <w:t xml:space="preserve"> </w:t>
      </w:r>
      <w:r>
        <w:t>Partners</w:t>
      </w:r>
      <w:r>
        <w:rPr>
          <w:spacing w:val="-13"/>
        </w:rPr>
        <w:t xml:space="preserve"> </w:t>
      </w:r>
      <w:r>
        <w:t>(CPs),</w:t>
      </w:r>
      <w:r>
        <w:rPr>
          <w:spacing w:val="-11"/>
        </w:rPr>
        <w:t xml:space="preserve"> </w:t>
      </w:r>
      <w:r>
        <w:t>including</w:t>
      </w:r>
      <w:r>
        <w:rPr>
          <w:spacing w:val="-10"/>
        </w:rPr>
        <w:t xml:space="preserve"> </w:t>
      </w:r>
      <w:r>
        <w:t>providing</w:t>
      </w:r>
      <w:r>
        <w:rPr>
          <w:spacing w:val="-10"/>
        </w:rPr>
        <w:t xml:space="preserve"> </w:t>
      </w:r>
      <w:r>
        <w:t>direct</w:t>
      </w:r>
      <w:r>
        <w:rPr>
          <w:spacing w:val="-6"/>
        </w:rPr>
        <w:t xml:space="preserve"> </w:t>
      </w:r>
      <w:r>
        <w:t>DSRIP</w:t>
      </w:r>
      <w:r>
        <w:rPr>
          <w:spacing w:val="-10"/>
        </w:rPr>
        <w:t xml:space="preserve"> </w:t>
      </w:r>
      <w:r>
        <w:t>funding</w:t>
      </w:r>
      <w:r>
        <w:rPr>
          <w:spacing w:val="-10"/>
        </w:rPr>
        <w:t xml:space="preserve"> </w:t>
      </w:r>
      <w:r>
        <w:t>to</w:t>
      </w:r>
      <w:r>
        <w:rPr>
          <w:spacing w:val="-8"/>
        </w:rPr>
        <w:t xml:space="preserve"> </w:t>
      </w:r>
      <w:r>
        <w:t>support</w:t>
      </w:r>
      <w:r>
        <w:rPr>
          <w:spacing w:val="-9"/>
        </w:rPr>
        <w:t xml:space="preserve"> </w:t>
      </w:r>
      <w:r>
        <w:t>the</w:t>
      </w:r>
      <w:r>
        <w:rPr>
          <w:spacing w:val="-9"/>
        </w:rPr>
        <w:t xml:space="preserve"> </w:t>
      </w:r>
      <w:r>
        <w:t>capacity-building</w:t>
      </w:r>
      <w:r>
        <w:rPr>
          <w:spacing w:val="-10"/>
        </w:rPr>
        <w:t xml:space="preserve"> </w:t>
      </w:r>
      <w:r>
        <w:t>of</w:t>
      </w:r>
      <w:r>
        <w:rPr>
          <w:spacing w:val="-9"/>
        </w:rPr>
        <w:t xml:space="preserve"> </w:t>
      </w:r>
      <w:r>
        <w:t>CPs.</w:t>
      </w:r>
      <w:r>
        <w:rPr>
          <w:spacing w:val="-10"/>
        </w:rPr>
        <w:t xml:space="preserve"> </w:t>
      </w:r>
      <w:r>
        <w:t>CPs</w:t>
      </w:r>
      <w:r>
        <w:rPr>
          <w:spacing w:val="-11"/>
        </w:rPr>
        <w:t xml:space="preserve"> </w:t>
      </w:r>
      <w:r>
        <w:t xml:space="preserve">can use these resources to build out the required capacity to work with ACOs in supporting the integration of behavioral health, LTSS </w:t>
      </w:r>
      <w:r>
        <w:rPr>
          <w:spacing w:val="-3"/>
        </w:rPr>
        <w:t xml:space="preserve">and </w:t>
      </w:r>
      <w:r>
        <w:t>health-related social services. We request more information about the certification criteria</w:t>
      </w:r>
      <w:r>
        <w:rPr>
          <w:spacing w:val="-11"/>
        </w:rPr>
        <w:t xml:space="preserve"> </w:t>
      </w:r>
      <w:r>
        <w:t>which</w:t>
      </w:r>
      <w:r>
        <w:rPr>
          <w:spacing w:val="-9"/>
        </w:rPr>
        <w:t xml:space="preserve"> </w:t>
      </w:r>
      <w:r>
        <w:t>CPs</w:t>
      </w:r>
      <w:r>
        <w:rPr>
          <w:spacing w:val="-11"/>
        </w:rPr>
        <w:t xml:space="preserve"> </w:t>
      </w:r>
      <w:r>
        <w:t>must</w:t>
      </w:r>
      <w:r>
        <w:rPr>
          <w:spacing w:val="-10"/>
        </w:rPr>
        <w:t xml:space="preserve"> </w:t>
      </w:r>
      <w:r>
        <w:t>meet.</w:t>
      </w:r>
      <w:r>
        <w:rPr>
          <w:spacing w:val="-6"/>
        </w:rPr>
        <w:t xml:space="preserve"> </w:t>
      </w:r>
      <w:r>
        <w:t>We</w:t>
      </w:r>
      <w:r>
        <w:rPr>
          <w:spacing w:val="-10"/>
        </w:rPr>
        <w:t xml:space="preserve"> </w:t>
      </w:r>
      <w:r>
        <w:t>also</w:t>
      </w:r>
      <w:r>
        <w:rPr>
          <w:spacing w:val="-5"/>
        </w:rPr>
        <w:t xml:space="preserve"> </w:t>
      </w:r>
      <w:r>
        <w:t>request</w:t>
      </w:r>
      <w:r>
        <w:rPr>
          <w:spacing w:val="-5"/>
        </w:rPr>
        <w:t xml:space="preserve"> </w:t>
      </w:r>
      <w:r>
        <w:t>that,</w:t>
      </w:r>
      <w:r>
        <w:rPr>
          <w:spacing w:val="-6"/>
        </w:rPr>
        <w:t xml:space="preserve"> </w:t>
      </w:r>
      <w:r>
        <w:t>in</w:t>
      </w:r>
      <w:r>
        <w:rPr>
          <w:spacing w:val="-13"/>
        </w:rPr>
        <w:t xml:space="preserve"> </w:t>
      </w:r>
      <w:r>
        <w:t>addition</w:t>
      </w:r>
      <w:r>
        <w:rPr>
          <w:spacing w:val="-9"/>
        </w:rPr>
        <w:t xml:space="preserve"> </w:t>
      </w:r>
      <w:r>
        <w:t>to</w:t>
      </w:r>
      <w:r>
        <w:rPr>
          <w:spacing w:val="-5"/>
        </w:rPr>
        <w:t xml:space="preserve"> </w:t>
      </w:r>
      <w:r>
        <w:t>community-based</w:t>
      </w:r>
      <w:r>
        <w:rPr>
          <w:spacing w:val="-9"/>
        </w:rPr>
        <w:t xml:space="preserve"> </w:t>
      </w:r>
      <w:r>
        <w:t>BH</w:t>
      </w:r>
      <w:r>
        <w:rPr>
          <w:spacing w:val="-9"/>
        </w:rPr>
        <w:t xml:space="preserve"> </w:t>
      </w:r>
      <w:r>
        <w:t>and</w:t>
      </w:r>
      <w:r>
        <w:rPr>
          <w:spacing w:val="-9"/>
        </w:rPr>
        <w:t xml:space="preserve"> </w:t>
      </w:r>
      <w:r>
        <w:t>LTSS</w:t>
      </w:r>
      <w:r>
        <w:rPr>
          <w:spacing w:val="-7"/>
        </w:rPr>
        <w:t xml:space="preserve"> </w:t>
      </w:r>
      <w:r>
        <w:t>providers,</w:t>
      </w:r>
    </w:p>
    <w:p w:rsidR="002C5025" w:rsidRDefault="002C5025">
      <w:pPr>
        <w:pStyle w:val="BodyText"/>
        <w:kinsoku w:val="0"/>
        <w:overflowPunct w:val="0"/>
        <w:ind w:left="103" w:right="110" w:firstLine="2"/>
        <w:sectPr w:rsidR="002C5025">
          <w:pgSz w:w="12240" w:h="15840"/>
          <w:pgMar w:top="720" w:right="900" w:bottom="280" w:left="900" w:header="720" w:footer="720" w:gutter="0"/>
          <w:cols w:space="720" w:equalWidth="0">
            <w:col w:w="10440"/>
          </w:cols>
          <w:noEndnote/>
        </w:sectPr>
      </w:pPr>
    </w:p>
    <w:p w:rsidR="002C5025" w:rsidRDefault="002C5025">
      <w:pPr>
        <w:pStyle w:val="BodyText"/>
        <w:kinsoku w:val="0"/>
        <w:overflowPunct w:val="0"/>
        <w:spacing w:before="26"/>
        <w:ind w:left="107" w:right="106"/>
      </w:pPr>
      <w:r>
        <w:lastRenderedPageBreak/>
        <w:t>community</w:t>
      </w:r>
      <w:r>
        <w:rPr>
          <w:spacing w:val="-7"/>
        </w:rPr>
        <w:t xml:space="preserve"> </w:t>
      </w:r>
      <w:r>
        <w:t>agencies</w:t>
      </w:r>
      <w:r>
        <w:rPr>
          <w:spacing w:val="-9"/>
        </w:rPr>
        <w:t xml:space="preserve"> </w:t>
      </w:r>
      <w:r>
        <w:t>and</w:t>
      </w:r>
      <w:r>
        <w:rPr>
          <w:spacing w:val="-13"/>
        </w:rPr>
        <w:t xml:space="preserve"> </w:t>
      </w:r>
      <w:r>
        <w:t>service</w:t>
      </w:r>
      <w:r>
        <w:rPr>
          <w:spacing w:val="-8"/>
        </w:rPr>
        <w:t xml:space="preserve"> </w:t>
      </w:r>
      <w:r>
        <w:t>providers</w:t>
      </w:r>
      <w:r>
        <w:rPr>
          <w:spacing w:val="-12"/>
        </w:rPr>
        <w:t xml:space="preserve"> </w:t>
      </w:r>
      <w:r>
        <w:t>that</w:t>
      </w:r>
      <w:r>
        <w:rPr>
          <w:spacing w:val="-9"/>
        </w:rPr>
        <w:t xml:space="preserve"> </w:t>
      </w:r>
      <w:r>
        <w:t>address</w:t>
      </w:r>
      <w:r>
        <w:rPr>
          <w:spacing w:val="-9"/>
        </w:rPr>
        <w:t xml:space="preserve"> </w:t>
      </w:r>
      <w:r>
        <w:t>the</w:t>
      </w:r>
      <w:r>
        <w:rPr>
          <w:spacing w:val="-7"/>
        </w:rPr>
        <w:t xml:space="preserve"> </w:t>
      </w:r>
      <w:r>
        <w:t>Social</w:t>
      </w:r>
      <w:r>
        <w:rPr>
          <w:spacing w:val="-14"/>
        </w:rPr>
        <w:t xml:space="preserve"> </w:t>
      </w:r>
      <w:r>
        <w:t>Determinants</w:t>
      </w:r>
      <w:r>
        <w:rPr>
          <w:spacing w:val="-11"/>
        </w:rPr>
        <w:t xml:space="preserve"> </w:t>
      </w:r>
      <w:r>
        <w:t>of</w:t>
      </w:r>
      <w:r>
        <w:rPr>
          <w:spacing w:val="-8"/>
        </w:rPr>
        <w:t xml:space="preserve"> </w:t>
      </w:r>
      <w:r>
        <w:t>Health</w:t>
      </w:r>
      <w:r>
        <w:rPr>
          <w:spacing w:val="-10"/>
        </w:rPr>
        <w:t xml:space="preserve"> </w:t>
      </w:r>
      <w:r>
        <w:t>(SDOH)</w:t>
      </w:r>
      <w:r>
        <w:rPr>
          <w:spacing w:val="-9"/>
        </w:rPr>
        <w:t xml:space="preserve"> </w:t>
      </w:r>
      <w:r>
        <w:t>can</w:t>
      </w:r>
      <w:r>
        <w:rPr>
          <w:spacing w:val="-8"/>
        </w:rPr>
        <w:t xml:space="preserve"> </w:t>
      </w:r>
      <w:r>
        <w:t>be</w:t>
      </w:r>
      <w:r>
        <w:rPr>
          <w:spacing w:val="-11"/>
        </w:rPr>
        <w:t xml:space="preserve"> </w:t>
      </w:r>
      <w:r>
        <w:t>certified as Community</w:t>
      </w:r>
      <w:r>
        <w:rPr>
          <w:spacing w:val="-25"/>
        </w:rPr>
        <w:t xml:space="preserve"> </w:t>
      </w:r>
      <w:r>
        <w:t>Partners.</w:t>
      </w:r>
    </w:p>
    <w:p w:rsidR="002C5025" w:rsidRDefault="002C5025">
      <w:pPr>
        <w:pStyle w:val="BodyText"/>
        <w:kinsoku w:val="0"/>
        <w:overflowPunct w:val="0"/>
      </w:pPr>
    </w:p>
    <w:p w:rsidR="002C5025" w:rsidRDefault="002C5025">
      <w:pPr>
        <w:pStyle w:val="BodyText"/>
        <w:kinsoku w:val="0"/>
        <w:overflowPunct w:val="0"/>
        <w:ind w:left="107" w:right="106"/>
        <w:rPr>
          <w:b/>
          <w:bCs/>
        </w:rPr>
      </w:pPr>
      <w:bookmarkStart w:id="83" w:name="Children’s_Health"/>
      <w:bookmarkEnd w:id="83"/>
      <w:r>
        <w:rPr>
          <w:b/>
          <w:bCs/>
        </w:rPr>
        <w:t>Children’s Health</w:t>
      </w:r>
    </w:p>
    <w:p w:rsidR="002C5025" w:rsidRDefault="002C5025">
      <w:pPr>
        <w:pStyle w:val="BodyText"/>
        <w:kinsoku w:val="0"/>
        <w:overflowPunct w:val="0"/>
        <w:ind w:left="104" w:right="106" w:firstLine="2"/>
      </w:pPr>
      <w:r>
        <w:t xml:space="preserve">Children (especially infants and toddlers) have specialized needs that are </w:t>
      </w:r>
      <w:r>
        <w:rPr>
          <w:spacing w:val="-2"/>
        </w:rPr>
        <w:t xml:space="preserve">not </w:t>
      </w:r>
      <w:r>
        <w:t xml:space="preserve">adequately addressed in a system built for adults. However, the waiver proposal does </w:t>
      </w:r>
      <w:r>
        <w:rPr>
          <w:spacing w:val="-2"/>
        </w:rPr>
        <w:t xml:space="preserve">not </w:t>
      </w:r>
      <w:r>
        <w:t xml:space="preserve">specify </w:t>
      </w:r>
      <w:r>
        <w:rPr>
          <w:spacing w:val="-2"/>
        </w:rPr>
        <w:t xml:space="preserve">how </w:t>
      </w:r>
      <w:r>
        <w:t xml:space="preserve">the </w:t>
      </w:r>
      <w:r>
        <w:rPr>
          <w:spacing w:val="-3"/>
        </w:rPr>
        <w:t xml:space="preserve">different </w:t>
      </w:r>
      <w:r>
        <w:t xml:space="preserve">ACO models will address </w:t>
      </w:r>
      <w:r>
        <w:rPr>
          <w:spacing w:val="-3"/>
        </w:rPr>
        <w:t xml:space="preserve">the </w:t>
      </w:r>
      <w:r>
        <w:t xml:space="preserve">unique needs of children. </w:t>
      </w:r>
      <w:r>
        <w:rPr>
          <w:spacing w:val="-3"/>
        </w:rPr>
        <w:t xml:space="preserve">ACOs </w:t>
      </w:r>
      <w:r>
        <w:t xml:space="preserve">should emphasize prevention and social service interventions with children </w:t>
      </w:r>
      <w:r>
        <w:rPr>
          <w:spacing w:val="-5"/>
        </w:rPr>
        <w:t xml:space="preserve">and </w:t>
      </w:r>
      <w:r>
        <w:t xml:space="preserve">their families. Unlike most adult care models, the family plays a primary role in managing a child’s care. </w:t>
      </w:r>
      <w:r>
        <w:rPr>
          <w:spacing w:val="-4"/>
        </w:rPr>
        <w:t xml:space="preserve">Family </w:t>
      </w:r>
      <w:r>
        <w:t>experiences</w:t>
      </w:r>
      <w:r>
        <w:rPr>
          <w:spacing w:val="-6"/>
        </w:rPr>
        <w:t xml:space="preserve"> </w:t>
      </w:r>
      <w:r>
        <w:t>can</w:t>
      </w:r>
      <w:r>
        <w:rPr>
          <w:spacing w:val="-9"/>
        </w:rPr>
        <w:t xml:space="preserve"> </w:t>
      </w:r>
      <w:r>
        <w:t>provide</w:t>
      </w:r>
      <w:r>
        <w:rPr>
          <w:spacing w:val="-3"/>
        </w:rPr>
        <w:t xml:space="preserve"> </w:t>
      </w:r>
      <w:r>
        <w:t>a</w:t>
      </w:r>
      <w:r>
        <w:rPr>
          <w:spacing w:val="-13"/>
        </w:rPr>
        <w:t xml:space="preserve"> </w:t>
      </w:r>
      <w:r>
        <w:t>wealth</w:t>
      </w:r>
      <w:r>
        <w:rPr>
          <w:spacing w:val="-9"/>
        </w:rPr>
        <w:t xml:space="preserve"> </w:t>
      </w:r>
      <w:r>
        <w:t>of</w:t>
      </w:r>
      <w:r>
        <w:rPr>
          <w:spacing w:val="-4"/>
        </w:rPr>
        <w:t xml:space="preserve"> </w:t>
      </w:r>
      <w:r>
        <w:t>useful</w:t>
      </w:r>
      <w:r>
        <w:rPr>
          <w:spacing w:val="-7"/>
        </w:rPr>
        <w:t xml:space="preserve"> </w:t>
      </w:r>
      <w:r>
        <w:t>data</w:t>
      </w:r>
      <w:r>
        <w:rPr>
          <w:spacing w:val="-4"/>
        </w:rPr>
        <w:t xml:space="preserve"> </w:t>
      </w:r>
      <w:r>
        <w:t>and</w:t>
      </w:r>
      <w:r>
        <w:rPr>
          <w:spacing w:val="-9"/>
        </w:rPr>
        <w:t xml:space="preserve"> </w:t>
      </w:r>
      <w:r>
        <w:t>information</w:t>
      </w:r>
      <w:r>
        <w:rPr>
          <w:spacing w:val="-7"/>
        </w:rPr>
        <w:t xml:space="preserve"> </w:t>
      </w:r>
      <w:r>
        <w:t>in</w:t>
      </w:r>
      <w:r>
        <w:rPr>
          <w:spacing w:val="-9"/>
        </w:rPr>
        <w:t xml:space="preserve"> </w:t>
      </w:r>
      <w:r>
        <w:t>shaping</w:t>
      </w:r>
      <w:r>
        <w:rPr>
          <w:spacing w:val="-7"/>
        </w:rPr>
        <w:t xml:space="preserve"> </w:t>
      </w:r>
      <w:r>
        <w:t>some</w:t>
      </w:r>
      <w:r>
        <w:rPr>
          <w:spacing w:val="-6"/>
        </w:rPr>
        <w:t xml:space="preserve"> </w:t>
      </w:r>
      <w:r>
        <w:t>of</w:t>
      </w:r>
      <w:r>
        <w:rPr>
          <w:spacing w:val="-9"/>
        </w:rPr>
        <w:t xml:space="preserve"> </w:t>
      </w:r>
      <w:r>
        <w:t>the</w:t>
      </w:r>
      <w:r>
        <w:rPr>
          <w:spacing w:val="-8"/>
        </w:rPr>
        <w:t xml:space="preserve"> </w:t>
      </w:r>
      <w:r>
        <w:t>core</w:t>
      </w:r>
      <w:r>
        <w:rPr>
          <w:spacing w:val="-6"/>
        </w:rPr>
        <w:t xml:space="preserve"> </w:t>
      </w:r>
      <w:r>
        <w:t>elements</w:t>
      </w:r>
      <w:r>
        <w:rPr>
          <w:spacing w:val="-9"/>
        </w:rPr>
        <w:t xml:space="preserve"> </w:t>
      </w:r>
      <w:r>
        <w:t>of</w:t>
      </w:r>
      <w:r>
        <w:rPr>
          <w:spacing w:val="-4"/>
        </w:rPr>
        <w:t xml:space="preserve"> </w:t>
      </w:r>
      <w:r>
        <w:rPr>
          <w:spacing w:val="-3"/>
        </w:rPr>
        <w:t>an</w:t>
      </w:r>
      <w:r>
        <w:rPr>
          <w:spacing w:val="-7"/>
        </w:rPr>
        <w:t xml:space="preserve"> </w:t>
      </w:r>
      <w:r>
        <w:t xml:space="preserve">ACO and achieving its goals. All ACOs that serve children should have the ability to support </w:t>
      </w:r>
      <w:r>
        <w:rPr>
          <w:spacing w:val="-2"/>
        </w:rPr>
        <w:t xml:space="preserve">the </w:t>
      </w:r>
      <w:r>
        <w:t>family – in addition to the</w:t>
      </w:r>
      <w:r>
        <w:rPr>
          <w:spacing w:val="-4"/>
        </w:rPr>
        <w:t xml:space="preserve"> </w:t>
      </w:r>
      <w:r>
        <w:t>child</w:t>
      </w:r>
      <w:r>
        <w:rPr>
          <w:spacing w:val="-6"/>
        </w:rPr>
        <w:t xml:space="preserve"> </w:t>
      </w:r>
      <w:r>
        <w:t>-</w:t>
      </w:r>
      <w:r>
        <w:rPr>
          <w:spacing w:val="-8"/>
        </w:rPr>
        <w:t xml:space="preserve"> </w:t>
      </w:r>
      <w:r>
        <w:t>and</w:t>
      </w:r>
      <w:r>
        <w:rPr>
          <w:spacing w:val="-13"/>
        </w:rPr>
        <w:t xml:space="preserve"> </w:t>
      </w:r>
      <w:r>
        <w:t>make</w:t>
      </w:r>
      <w:r>
        <w:rPr>
          <w:spacing w:val="-7"/>
        </w:rPr>
        <w:t xml:space="preserve"> </w:t>
      </w:r>
      <w:r>
        <w:t>linkages</w:t>
      </w:r>
      <w:r>
        <w:rPr>
          <w:spacing w:val="-10"/>
        </w:rPr>
        <w:t xml:space="preserve"> </w:t>
      </w:r>
      <w:r>
        <w:t>with</w:t>
      </w:r>
      <w:r>
        <w:rPr>
          <w:spacing w:val="-8"/>
        </w:rPr>
        <w:t xml:space="preserve"> </w:t>
      </w:r>
      <w:r>
        <w:t>other</w:t>
      </w:r>
      <w:r>
        <w:rPr>
          <w:spacing w:val="-7"/>
        </w:rPr>
        <w:t xml:space="preserve"> </w:t>
      </w:r>
      <w:r>
        <w:t>state</w:t>
      </w:r>
      <w:r>
        <w:rPr>
          <w:spacing w:val="-9"/>
        </w:rPr>
        <w:t xml:space="preserve"> </w:t>
      </w:r>
      <w:r>
        <w:t>agencies</w:t>
      </w:r>
      <w:r>
        <w:rPr>
          <w:spacing w:val="-5"/>
        </w:rPr>
        <w:t xml:space="preserve"> </w:t>
      </w:r>
      <w:r>
        <w:t>and</w:t>
      </w:r>
      <w:r>
        <w:rPr>
          <w:spacing w:val="-8"/>
        </w:rPr>
        <w:t xml:space="preserve"> </w:t>
      </w:r>
      <w:r>
        <w:t>with</w:t>
      </w:r>
      <w:r>
        <w:rPr>
          <w:spacing w:val="-11"/>
        </w:rPr>
        <w:t xml:space="preserve"> </w:t>
      </w:r>
      <w:r>
        <w:t>key</w:t>
      </w:r>
      <w:r>
        <w:rPr>
          <w:spacing w:val="-7"/>
        </w:rPr>
        <w:t xml:space="preserve"> </w:t>
      </w:r>
      <w:r>
        <w:t>community</w:t>
      </w:r>
      <w:r>
        <w:rPr>
          <w:spacing w:val="-9"/>
        </w:rPr>
        <w:t xml:space="preserve"> </w:t>
      </w:r>
      <w:r>
        <w:t>resources,</w:t>
      </w:r>
      <w:r>
        <w:rPr>
          <w:spacing w:val="-7"/>
        </w:rPr>
        <w:t xml:space="preserve"> </w:t>
      </w:r>
      <w:r>
        <w:t>such</w:t>
      </w:r>
      <w:r>
        <w:rPr>
          <w:spacing w:val="-10"/>
        </w:rPr>
        <w:t xml:space="preserve"> </w:t>
      </w:r>
      <w:r>
        <w:t>as</w:t>
      </w:r>
      <w:r>
        <w:rPr>
          <w:spacing w:val="-7"/>
        </w:rPr>
        <w:t xml:space="preserve"> </w:t>
      </w:r>
      <w:r>
        <w:t>schools,</w:t>
      </w:r>
      <w:r>
        <w:rPr>
          <w:spacing w:val="-10"/>
        </w:rPr>
        <w:t xml:space="preserve"> </w:t>
      </w:r>
      <w:r>
        <w:t>social service agencies, and</w:t>
      </w:r>
      <w:r>
        <w:rPr>
          <w:spacing w:val="-36"/>
        </w:rPr>
        <w:t xml:space="preserve"> </w:t>
      </w:r>
      <w:r>
        <w:t>others.</w:t>
      </w:r>
    </w:p>
    <w:p w:rsidR="002C5025" w:rsidRDefault="002C5025">
      <w:pPr>
        <w:pStyle w:val="BodyText"/>
        <w:kinsoku w:val="0"/>
        <w:overflowPunct w:val="0"/>
        <w:spacing w:before="1"/>
      </w:pPr>
    </w:p>
    <w:p w:rsidR="002C5025" w:rsidRDefault="002C5025">
      <w:pPr>
        <w:pStyle w:val="BodyText"/>
        <w:kinsoku w:val="0"/>
        <w:overflowPunct w:val="0"/>
        <w:ind w:left="107" w:right="106"/>
        <w:rPr>
          <w:b/>
          <w:bCs/>
        </w:rPr>
      </w:pPr>
      <w:r>
        <w:rPr>
          <w:b/>
          <w:bCs/>
          <w:u w:val="single" w:color="000000"/>
        </w:rPr>
        <w:t>Population Health and Prevention</w:t>
      </w:r>
    </w:p>
    <w:p w:rsidR="002C5025" w:rsidRDefault="002C5025">
      <w:pPr>
        <w:pStyle w:val="BodyText"/>
        <w:kinsoku w:val="0"/>
        <w:overflowPunct w:val="0"/>
        <w:spacing w:before="5"/>
        <w:rPr>
          <w:b/>
          <w:bCs/>
          <w:sz w:val="17"/>
          <w:szCs w:val="17"/>
        </w:rPr>
      </w:pPr>
    </w:p>
    <w:p w:rsidR="002C5025" w:rsidRDefault="002C5025">
      <w:pPr>
        <w:pStyle w:val="BodyText"/>
        <w:kinsoku w:val="0"/>
        <w:overflowPunct w:val="0"/>
        <w:spacing w:before="56" w:line="268" w:lineRule="exact"/>
        <w:ind w:left="107" w:right="106"/>
        <w:rPr>
          <w:b/>
          <w:bCs/>
        </w:rPr>
      </w:pPr>
      <w:r>
        <w:rPr>
          <w:b/>
          <w:bCs/>
        </w:rPr>
        <w:t>Social Determinants of Health</w:t>
      </w:r>
    </w:p>
    <w:p w:rsidR="002C5025" w:rsidRDefault="002C5025">
      <w:pPr>
        <w:pStyle w:val="BodyText"/>
        <w:kinsoku w:val="0"/>
        <w:overflowPunct w:val="0"/>
        <w:ind w:left="106" w:right="100"/>
      </w:pPr>
      <w:r>
        <w:t>We are particularly pleased that MassHealth’s proposed restructuring framework seeks to incorporate linkages to social services in an effort to address social determinants of health, including designating a portion of DSRIP funds for “flexible services.” As part of ensuring meaningful ACO collaboration with social service providers, we seek to better</w:t>
      </w:r>
      <w:r w:rsidR="00B27397">
        <w:t xml:space="preserve"> </w:t>
      </w:r>
      <w:r>
        <w:t>understand</w:t>
      </w:r>
      <w:r>
        <w:rPr>
          <w:spacing w:val="-8"/>
        </w:rPr>
        <w:t xml:space="preserve"> </w:t>
      </w:r>
      <w:r>
        <w:t>how</w:t>
      </w:r>
      <w:r>
        <w:rPr>
          <w:spacing w:val="-9"/>
        </w:rPr>
        <w:t xml:space="preserve"> </w:t>
      </w:r>
      <w:r>
        <w:t>DSRIP</w:t>
      </w:r>
      <w:r>
        <w:rPr>
          <w:spacing w:val="-6"/>
        </w:rPr>
        <w:t xml:space="preserve"> </w:t>
      </w:r>
      <w:r>
        <w:t>funds</w:t>
      </w:r>
      <w:r>
        <w:rPr>
          <w:spacing w:val="-10"/>
        </w:rPr>
        <w:t xml:space="preserve"> </w:t>
      </w:r>
      <w:r>
        <w:t>will</w:t>
      </w:r>
      <w:r>
        <w:rPr>
          <w:spacing w:val="-8"/>
        </w:rPr>
        <w:t xml:space="preserve"> </w:t>
      </w:r>
      <w:r>
        <w:t>reach</w:t>
      </w:r>
      <w:r>
        <w:rPr>
          <w:spacing w:val="-10"/>
        </w:rPr>
        <w:t xml:space="preserve"> </w:t>
      </w:r>
      <w:r>
        <w:t>these</w:t>
      </w:r>
      <w:r>
        <w:rPr>
          <w:spacing w:val="-7"/>
        </w:rPr>
        <w:t xml:space="preserve"> </w:t>
      </w:r>
      <w:r>
        <w:t>providers.</w:t>
      </w:r>
      <w:r>
        <w:rPr>
          <w:spacing w:val="-8"/>
        </w:rPr>
        <w:t xml:space="preserve"> </w:t>
      </w:r>
      <w:r>
        <w:t>While</w:t>
      </w:r>
      <w:r>
        <w:rPr>
          <w:spacing w:val="-11"/>
        </w:rPr>
        <w:t xml:space="preserve"> </w:t>
      </w:r>
      <w:r>
        <w:t>DSRIP</w:t>
      </w:r>
      <w:r>
        <w:rPr>
          <w:spacing w:val="-4"/>
        </w:rPr>
        <w:t xml:space="preserve"> </w:t>
      </w:r>
      <w:r>
        <w:rPr>
          <w:spacing w:val="-3"/>
        </w:rPr>
        <w:t>funds</w:t>
      </w:r>
      <w:r>
        <w:rPr>
          <w:spacing w:val="-7"/>
        </w:rPr>
        <w:t xml:space="preserve"> </w:t>
      </w:r>
      <w:r>
        <w:t>will</w:t>
      </w:r>
      <w:r>
        <w:rPr>
          <w:spacing w:val="-8"/>
        </w:rPr>
        <w:t xml:space="preserve"> </w:t>
      </w:r>
      <w:r>
        <w:t>clearly</w:t>
      </w:r>
      <w:r>
        <w:rPr>
          <w:spacing w:val="-9"/>
        </w:rPr>
        <w:t xml:space="preserve"> </w:t>
      </w:r>
      <w:r>
        <w:t>be</w:t>
      </w:r>
      <w:r>
        <w:rPr>
          <w:spacing w:val="-4"/>
        </w:rPr>
        <w:t xml:space="preserve"> </w:t>
      </w:r>
      <w:r>
        <w:t>directed</w:t>
      </w:r>
      <w:r>
        <w:rPr>
          <w:spacing w:val="-10"/>
        </w:rPr>
        <w:t xml:space="preserve"> </w:t>
      </w:r>
      <w:r>
        <w:t>to</w:t>
      </w:r>
      <w:r>
        <w:rPr>
          <w:spacing w:val="-4"/>
        </w:rPr>
        <w:t xml:space="preserve"> </w:t>
      </w:r>
      <w:r>
        <w:t>BH</w:t>
      </w:r>
      <w:r>
        <w:rPr>
          <w:spacing w:val="-6"/>
        </w:rPr>
        <w:t xml:space="preserve"> </w:t>
      </w:r>
      <w:r>
        <w:t>and LTSS CPs for infrastructure and care coordination, it appears that social service providers do not receive direct DSRIP</w:t>
      </w:r>
      <w:r>
        <w:rPr>
          <w:spacing w:val="-11"/>
        </w:rPr>
        <w:t xml:space="preserve"> </w:t>
      </w:r>
      <w:r>
        <w:t>funding</w:t>
      </w:r>
      <w:r>
        <w:rPr>
          <w:spacing w:val="-9"/>
        </w:rPr>
        <w:t xml:space="preserve"> </w:t>
      </w:r>
      <w:r>
        <w:t>as</w:t>
      </w:r>
      <w:r>
        <w:rPr>
          <w:spacing w:val="-10"/>
        </w:rPr>
        <w:t xml:space="preserve"> </w:t>
      </w:r>
      <w:r>
        <w:t>they</w:t>
      </w:r>
      <w:r>
        <w:rPr>
          <w:spacing w:val="-9"/>
        </w:rPr>
        <w:t xml:space="preserve"> </w:t>
      </w:r>
      <w:r>
        <w:t>are</w:t>
      </w:r>
      <w:r>
        <w:rPr>
          <w:spacing w:val="-10"/>
        </w:rPr>
        <w:t xml:space="preserve"> </w:t>
      </w:r>
      <w:r>
        <w:t>not</w:t>
      </w:r>
      <w:r>
        <w:rPr>
          <w:spacing w:val="-11"/>
        </w:rPr>
        <w:t xml:space="preserve"> </w:t>
      </w:r>
      <w:r>
        <w:t>“certified”</w:t>
      </w:r>
      <w:r>
        <w:rPr>
          <w:spacing w:val="-9"/>
        </w:rPr>
        <w:t xml:space="preserve"> </w:t>
      </w:r>
      <w:r>
        <w:t>community</w:t>
      </w:r>
      <w:r>
        <w:rPr>
          <w:spacing w:val="-7"/>
        </w:rPr>
        <w:t xml:space="preserve"> </w:t>
      </w:r>
      <w:r>
        <w:t>partners.</w:t>
      </w:r>
    </w:p>
    <w:p w:rsidR="002C5025" w:rsidRDefault="002C5025">
      <w:pPr>
        <w:pStyle w:val="BodyText"/>
        <w:kinsoku w:val="0"/>
        <w:overflowPunct w:val="0"/>
      </w:pPr>
    </w:p>
    <w:p w:rsidR="002C5025" w:rsidRDefault="002C5025">
      <w:pPr>
        <w:pStyle w:val="BodyText"/>
        <w:kinsoku w:val="0"/>
        <w:overflowPunct w:val="0"/>
        <w:ind w:left="104" w:right="106" w:firstLine="1"/>
      </w:pPr>
      <w:r>
        <w:t xml:space="preserve">In determining the criteria that must be met to pay for such flexible services, we urge MassHealth to take a broad and flexible approach to encourage </w:t>
      </w:r>
      <w:r>
        <w:rPr>
          <w:spacing w:val="-3"/>
        </w:rPr>
        <w:t xml:space="preserve">ACOs </w:t>
      </w:r>
      <w:r>
        <w:t xml:space="preserve">to innovate around </w:t>
      </w:r>
      <w:r>
        <w:rPr>
          <w:spacing w:val="-2"/>
        </w:rPr>
        <w:t xml:space="preserve">how </w:t>
      </w:r>
      <w:r>
        <w:t xml:space="preserve">to use DSRIP </w:t>
      </w:r>
      <w:r>
        <w:rPr>
          <w:spacing w:val="-3"/>
        </w:rPr>
        <w:t xml:space="preserve">funds </w:t>
      </w:r>
      <w:r>
        <w:t>to address social determinants</w:t>
      </w:r>
      <w:r>
        <w:rPr>
          <w:spacing w:val="-10"/>
        </w:rPr>
        <w:t xml:space="preserve"> </w:t>
      </w:r>
      <w:r>
        <w:t>of</w:t>
      </w:r>
      <w:r>
        <w:rPr>
          <w:spacing w:val="-7"/>
        </w:rPr>
        <w:t xml:space="preserve"> </w:t>
      </w:r>
      <w:r>
        <w:t>health.</w:t>
      </w:r>
      <w:r>
        <w:rPr>
          <w:spacing w:val="-11"/>
        </w:rPr>
        <w:t xml:space="preserve"> </w:t>
      </w:r>
      <w:r>
        <w:t>One</w:t>
      </w:r>
      <w:r>
        <w:rPr>
          <w:spacing w:val="-6"/>
        </w:rPr>
        <w:t xml:space="preserve"> </w:t>
      </w:r>
      <w:r>
        <w:t>promising</w:t>
      </w:r>
      <w:r>
        <w:rPr>
          <w:spacing w:val="-9"/>
        </w:rPr>
        <w:t xml:space="preserve"> </w:t>
      </w:r>
      <w:r>
        <w:t>idea</w:t>
      </w:r>
      <w:r>
        <w:rPr>
          <w:spacing w:val="-11"/>
        </w:rPr>
        <w:t xml:space="preserve"> </w:t>
      </w:r>
      <w:r>
        <w:t>to</w:t>
      </w:r>
      <w:r>
        <w:rPr>
          <w:spacing w:val="-9"/>
        </w:rPr>
        <w:t xml:space="preserve"> </w:t>
      </w:r>
      <w:r>
        <w:t>ensure</w:t>
      </w:r>
      <w:r>
        <w:rPr>
          <w:spacing w:val="-12"/>
        </w:rPr>
        <w:t xml:space="preserve"> </w:t>
      </w:r>
      <w:r>
        <w:t>members</w:t>
      </w:r>
      <w:r>
        <w:rPr>
          <w:spacing w:val="-11"/>
        </w:rPr>
        <w:t xml:space="preserve"> </w:t>
      </w:r>
      <w:r>
        <w:t>have</w:t>
      </w:r>
      <w:r>
        <w:rPr>
          <w:spacing w:val="-8"/>
        </w:rPr>
        <w:t xml:space="preserve"> </w:t>
      </w:r>
      <w:r>
        <w:t>the</w:t>
      </w:r>
      <w:r>
        <w:rPr>
          <w:spacing w:val="-10"/>
        </w:rPr>
        <w:t xml:space="preserve"> </w:t>
      </w:r>
      <w:r>
        <w:t>broadest</w:t>
      </w:r>
      <w:r>
        <w:rPr>
          <w:spacing w:val="-6"/>
        </w:rPr>
        <w:t xml:space="preserve"> </w:t>
      </w:r>
      <w:r>
        <w:t>access</w:t>
      </w:r>
      <w:r>
        <w:rPr>
          <w:spacing w:val="-8"/>
        </w:rPr>
        <w:t xml:space="preserve"> </w:t>
      </w:r>
      <w:r>
        <w:t>to</w:t>
      </w:r>
      <w:r>
        <w:rPr>
          <w:spacing w:val="-6"/>
        </w:rPr>
        <w:t xml:space="preserve"> </w:t>
      </w:r>
      <w:r>
        <w:t>social</w:t>
      </w:r>
      <w:r>
        <w:rPr>
          <w:spacing w:val="-11"/>
        </w:rPr>
        <w:t xml:space="preserve"> </w:t>
      </w:r>
      <w:r>
        <w:t>service</w:t>
      </w:r>
      <w:r>
        <w:rPr>
          <w:spacing w:val="-10"/>
        </w:rPr>
        <w:t xml:space="preserve"> </w:t>
      </w:r>
      <w:r>
        <w:t xml:space="preserve">agencies is through a social services “hub.” Such a hub can offer a single point of coordinated access to a wide range of social services which have a documented impact on health outcomes and on reducing the cost of care. A </w:t>
      </w:r>
      <w:r>
        <w:rPr>
          <w:spacing w:val="-4"/>
        </w:rPr>
        <w:t xml:space="preserve">hub </w:t>
      </w:r>
      <w:r>
        <w:t xml:space="preserve">model could work with multiple ACOs to bridge medical and social service </w:t>
      </w:r>
      <w:r>
        <w:rPr>
          <w:spacing w:val="-3"/>
        </w:rPr>
        <w:t xml:space="preserve">systems, </w:t>
      </w:r>
      <w:r>
        <w:t xml:space="preserve">providing culturally and linguistically competent services, engaging multiple social services agencies, and providing access to medically beneficial, evidence-based programs in each geographic region. With </w:t>
      </w:r>
      <w:r>
        <w:rPr>
          <w:spacing w:val="-3"/>
        </w:rPr>
        <w:t xml:space="preserve">any </w:t>
      </w:r>
      <w:r>
        <w:t xml:space="preserve">model, MassHealth should work to promote access to all available services, such as the Supplemental Nutrition </w:t>
      </w:r>
      <w:r>
        <w:rPr>
          <w:spacing w:val="-3"/>
        </w:rPr>
        <w:t xml:space="preserve">Assistance </w:t>
      </w:r>
      <w:r>
        <w:t>Program (SNAP) and housing</w:t>
      </w:r>
      <w:r>
        <w:rPr>
          <w:spacing w:val="-21"/>
        </w:rPr>
        <w:t xml:space="preserve"> </w:t>
      </w:r>
      <w:r>
        <w:t>supports.</w:t>
      </w:r>
    </w:p>
    <w:p w:rsidR="002C5025" w:rsidRDefault="002C5025">
      <w:pPr>
        <w:pStyle w:val="BodyText"/>
        <w:kinsoku w:val="0"/>
        <w:overflowPunct w:val="0"/>
        <w:spacing w:before="8"/>
      </w:pPr>
    </w:p>
    <w:p w:rsidR="002C5025" w:rsidRDefault="002C5025">
      <w:pPr>
        <w:pStyle w:val="BodyText"/>
        <w:kinsoku w:val="0"/>
        <w:overflowPunct w:val="0"/>
        <w:spacing w:line="264" w:lineRule="exact"/>
        <w:ind w:left="107" w:right="106"/>
        <w:rPr>
          <w:b/>
          <w:bCs/>
        </w:rPr>
      </w:pPr>
      <w:r>
        <w:rPr>
          <w:b/>
          <w:bCs/>
        </w:rPr>
        <w:t>Community Health Workers</w:t>
      </w:r>
    </w:p>
    <w:p w:rsidR="002C5025" w:rsidRDefault="002C5025">
      <w:pPr>
        <w:pStyle w:val="BodyText"/>
        <w:kinsoku w:val="0"/>
        <w:overflowPunct w:val="0"/>
        <w:ind w:left="105" w:right="240" w:firstLine="2"/>
      </w:pPr>
      <w:r>
        <w:t xml:space="preserve">ACOs have the opportunity to </w:t>
      </w:r>
      <w:r>
        <w:rPr>
          <w:spacing w:val="-3"/>
        </w:rPr>
        <w:t xml:space="preserve">promote </w:t>
      </w:r>
      <w:r>
        <w:t xml:space="preserve">public and community health by strengthening the role of community health workers (CHWs) in connecting people to care resources and promoting overall health. Including </w:t>
      </w:r>
      <w:r>
        <w:rPr>
          <w:spacing w:val="-3"/>
        </w:rPr>
        <w:t xml:space="preserve">CHWs </w:t>
      </w:r>
      <w:r>
        <w:t>as part of health care teams has been shown to contain costs by reducing high risk patients’ use of urgent and emergency</w:t>
      </w:r>
      <w:r>
        <w:rPr>
          <w:spacing w:val="-11"/>
        </w:rPr>
        <w:t xml:space="preserve"> </w:t>
      </w:r>
      <w:r>
        <w:t>room</w:t>
      </w:r>
      <w:r>
        <w:rPr>
          <w:spacing w:val="-8"/>
        </w:rPr>
        <w:t xml:space="preserve"> </w:t>
      </w:r>
      <w:r>
        <w:t>care</w:t>
      </w:r>
      <w:r>
        <w:rPr>
          <w:spacing w:val="-9"/>
        </w:rPr>
        <w:t xml:space="preserve"> </w:t>
      </w:r>
      <w:r>
        <w:t>and</w:t>
      </w:r>
      <w:r>
        <w:rPr>
          <w:spacing w:val="-12"/>
        </w:rPr>
        <w:t xml:space="preserve"> </w:t>
      </w:r>
      <w:r>
        <w:t>preventing</w:t>
      </w:r>
      <w:r>
        <w:rPr>
          <w:spacing w:val="-10"/>
        </w:rPr>
        <w:t xml:space="preserve"> </w:t>
      </w:r>
      <w:r>
        <w:t>unnecessary</w:t>
      </w:r>
      <w:r>
        <w:rPr>
          <w:spacing w:val="-7"/>
        </w:rPr>
        <w:t xml:space="preserve"> </w:t>
      </w:r>
      <w:r>
        <w:t>hospitalizations.</w:t>
      </w:r>
      <w:r>
        <w:rPr>
          <w:spacing w:val="-8"/>
        </w:rPr>
        <w:t xml:space="preserve"> </w:t>
      </w:r>
      <w:r>
        <w:rPr>
          <w:spacing w:val="-3"/>
        </w:rPr>
        <w:t>CHWs</w:t>
      </w:r>
      <w:r>
        <w:rPr>
          <w:spacing w:val="-12"/>
        </w:rPr>
        <w:t xml:space="preserve"> </w:t>
      </w:r>
      <w:r>
        <w:t>also</w:t>
      </w:r>
      <w:r>
        <w:rPr>
          <w:spacing w:val="-7"/>
        </w:rPr>
        <w:t xml:space="preserve"> </w:t>
      </w:r>
      <w:r>
        <w:t>improve</w:t>
      </w:r>
      <w:r>
        <w:rPr>
          <w:spacing w:val="-9"/>
        </w:rPr>
        <w:t xml:space="preserve"> </w:t>
      </w:r>
      <w:r>
        <w:t>quality</w:t>
      </w:r>
      <w:r>
        <w:rPr>
          <w:spacing w:val="-11"/>
        </w:rPr>
        <w:t xml:space="preserve"> </w:t>
      </w:r>
      <w:r>
        <w:t>of</w:t>
      </w:r>
      <w:r>
        <w:rPr>
          <w:spacing w:val="-9"/>
        </w:rPr>
        <w:t xml:space="preserve"> </w:t>
      </w:r>
      <w:r>
        <w:t>care</w:t>
      </w:r>
      <w:r>
        <w:rPr>
          <w:spacing w:val="-7"/>
        </w:rPr>
        <w:t xml:space="preserve"> </w:t>
      </w:r>
      <w:r>
        <w:t>and</w:t>
      </w:r>
      <w:r>
        <w:rPr>
          <w:spacing w:val="-12"/>
        </w:rPr>
        <w:t xml:space="preserve"> </w:t>
      </w:r>
      <w:r>
        <w:t xml:space="preserve">health outcomes by improving </w:t>
      </w:r>
      <w:r>
        <w:rPr>
          <w:spacing w:val="-3"/>
        </w:rPr>
        <w:t xml:space="preserve">use </w:t>
      </w:r>
      <w:r>
        <w:t xml:space="preserve">of preventive services and offering chronic disease self-management support </w:t>
      </w:r>
      <w:r>
        <w:rPr>
          <w:spacing w:val="-4"/>
        </w:rPr>
        <w:t xml:space="preserve">and </w:t>
      </w:r>
      <w:r>
        <w:t>maternal-child</w:t>
      </w:r>
      <w:r>
        <w:rPr>
          <w:spacing w:val="-14"/>
        </w:rPr>
        <w:t xml:space="preserve"> </w:t>
      </w:r>
      <w:r>
        <w:t>home</w:t>
      </w:r>
      <w:r>
        <w:rPr>
          <w:spacing w:val="-15"/>
        </w:rPr>
        <w:t xml:space="preserve"> </w:t>
      </w:r>
      <w:r>
        <w:t>visiting</w:t>
      </w:r>
      <w:r>
        <w:rPr>
          <w:spacing w:val="-13"/>
        </w:rPr>
        <w:t xml:space="preserve"> </w:t>
      </w:r>
      <w:r>
        <w:t>and</w:t>
      </w:r>
      <w:r>
        <w:rPr>
          <w:spacing w:val="-14"/>
        </w:rPr>
        <w:t xml:space="preserve"> </w:t>
      </w:r>
      <w:r>
        <w:t>perinatal</w:t>
      </w:r>
      <w:r>
        <w:rPr>
          <w:spacing w:val="-14"/>
        </w:rPr>
        <w:t xml:space="preserve"> </w:t>
      </w:r>
      <w:r>
        <w:t>support.</w:t>
      </w:r>
    </w:p>
    <w:p w:rsidR="002C5025" w:rsidRDefault="002C5025">
      <w:pPr>
        <w:pStyle w:val="BodyText"/>
        <w:kinsoku w:val="0"/>
        <w:overflowPunct w:val="0"/>
      </w:pPr>
    </w:p>
    <w:p w:rsidR="002C5025" w:rsidRDefault="002C5025">
      <w:pPr>
        <w:pStyle w:val="BodyText"/>
        <w:kinsoku w:val="0"/>
        <w:overflowPunct w:val="0"/>
        <w:ind w:left="104" w:right="328"/>
        <w:jc w:val="both"/>
      </w:pPr>
      <w:r>
        <w:t>While ACOs will have flexibility in how to structure care teams, including CHWs, we recommend that the role of CHWs be more formally incorporated into the ACO models. MassHealth should require that ACOs demonstrate how they will integrate CHWs into multi-disciplinary teams for high-risk/high need members.</w:t>
      </w:r>
    </w:p>
    <w:p w:rsidR="002C5025" w:rsidRDefault="002C5025">
      <w:pPr>
        <w:pStyle w:val="BodyText"/>
        <w:kinsoku w:val="0"/>
        <w:overflowPunct w:val="0"/>
        <w:spacing w:before="8"/>
        <w:rPr>
          <w:sz w:val="21"/>
          <w:szCs w:val="21"/>
        </w:rPr>
      </w:pPr>
    </w:p>
    <w:p w:rsidR="002C5025" w:rsidRDefault="002C5025">
      <w:pPr>
        <w:pStyle w:val="BodyText"/>
        <w:kinsoku w:val="0"/>
        <w:overflowPunct w:val="0"/>
        <w:ind w:left="107" w:right="106"/>
        <w:rPr>
          <w:b/>
          <w:bCs/>
        </w:rPr>
      </w:pPr>
      <w:bookmarkStart w:id="84" w:name="Direct_spending_for_traditionally_non-re"/>
      <w:bookmarkEnd w:id="84"/>
      <w:r>
        <w:rPr>
          <w:b/>
          <w:bCs/>
        </w:rPr>
        <w:t>Direct spending for traditionally non-reimbursed flexible services to address health-related social needs</w:t>
      </w:r>
    </w:p>
    <w:p w:rsidR="002C5025" w:rsidRDefault="002C5025">
      <w:pPr>
        <w:pStyle w:val="BodyText"/>
        <w:kinsoku w:val="0"/>
        <w:overflowPunct w:val="0"/>
        <w:ind w:left="107" w:right="106" w:hanging="1"/>
      </w:pPr>
      <w:r>
        <w:t>In</w:t>
      </w:r>
      <w:r>
        <w:rPr>
          <w:spacing w:val="-6"/>
        </w:rPr>
        <w:t xml:space="preserve"> </w:t>
      </w:r>
      <w:r>
        <w:t>order</w:t>
      </w:r>
      <w:r>
        <w:rPr>
          <w:spacing w:val="-10"/>
        </w:rPr>
        <w:t xml:space="preserve"> </w:t>
      </w:r>
      <w:r>
        <w:t>to</w:t>
      </w:r>
      <w:r>
        <w:rPr>
          <w:spacing w:val="-8"/>
        </w:rPr>
        <w:t xml:space="preserve"> </w:t>
      </w:r>
      <w:r>
        <w:t>assess</w:t>
      </w:r>
      <w:r>
        <w:rPr>
          <w:spacing w:val="-7"/>
        </w:rPr>
        <w:t xml:space="preserve"> </w:t>
      </w:r>
      <w:r>
        <w:t>the</w:t>
      </w:r>
      <w:r>
        <w:rPr>
          <w:spacing w:val="-7"/>
        </w:rPr>
        <w:t xml:space="preserve"> </w:t>
      </w:r>
      <w:r>
        <w:t>progress</w:t>
      </w:r>
      <w:r>
        <w:rPr>
          <w:spacing w:val="-9"/>
        </w:rPr>
        <w:t xml:space="preserve"> </w:t>
      </w:r>
      <w:r>
        <w:t>of</w:t>
      </w:r>
      <w:r>
        <w:rPr>
          <w:spacing w:val="-7"/>
        </w:rPr>
        <w:t xml:space="preserve"> </w:t>
      </w:r>
      <w:r>
        <w:t>the</w:t>
      </w:r>
      <w:r>
        <w:rPr>
          <w:spacing w:val="-9"/>
        </w:rPr>
        <w:t xml:space="preserve"> </w:t>
      </w:r>
      <w:r>
        <w:t>DSRIP</w:t>
      </w:r>
      <w:r>
        <w:rPr>
          <w:spacing w:val="-5"/>
        </w:rPr>
        <w:t xml:space="preserve"> </w:t>
      </w:r>
      <w:r>
        <w:t>program</w:t>
      </w:r>
      <w:r>
        <w:rPr>
          <w:spacing w:val="-8"/>
        </w:rPr>
        <w:t xml:space="preserve"> </w:t>
      </w:r>
      <w:r>
        <w:t>and</w:t>
      </w:r>
      <w:r>
        <w:rPr>
          <w:spacing w:val="-6"/>
        </w:rPr>
        <w:t xml:space="preserve"> </w:t>
      </w:r>
      <w:r>
        <w:t>ACO</w:t>
      </w:r>
      <w:r>
        <w:rPr>
          <w:spacing w:val="-7"/>
        </w:rPr>
        <w:t xml:space="preserve"> </w:t>
      </w:r>
      <w:r>
        <w:t>models,</w:t>
      </w:r>
      <w:r>
        <w:rPr>
          <w:spacing w:val="-10"/>
        </w:rPr>
        <w:t xml:space="preserve"> </w:t>
      </w:r>
      <w:r>
        <w:t>it</w:t>
      </w:r>
      <w:r>
        <w:rPr>
          <w:spacing w:val="-5"/>
        </w:rPr>
        <w:t xml:space="preserve"> </w:t>
      </w:r>
      <w:r>
        <w:t>is</w:t>
      </w:r>
      <w:r>
        <w:rPr>
          <w:spacing w:val="-12"/>
        </w:rPr>
        <w:t xml:space="preserve"> </w:t>
      </w:r>
      <w:r>
        <w:t>essential</w:t>
      </w:r>
      <w:r>
        <w:rPr>
          <w:spacing w:val="-7"/>
        </w:rPr>
        <w:t xml:space="preserve"> </w:t>
      </w:r>
      <w:r>
        <w:t>to</w:t>
      </w:r>
      <w:r>
        <w:rPr>
          <w:spacing w:val="-6"/>
        </w:rPr>
        <w:t xml:space="preserve"> </w:t>
      </w:r>
      <w:r>
        <w:t>establish</w:t>
      </w:r>
      <w:r>
        <w:rPr>
          <w:spacing w:val="-10"/>
        </w:rPr>
        <w:t xml:space="preserve"> </w:t>
      </w:r>
      <w:r>
        <w:t>specific</w:t>
      </w:r>
      <w:r>
        <w:rPr>
          <w:spacing w:val="-5"/>
        </w:rPr>
        <w:t xml:space="preserve"> </w:t>
      </w:r>
      <w:r>
        <w:t>quality metrics</w:t>
      </w:r>
      <w:r>
        <w:rPr>
          <w:spacing w:val="-11"/>
        </w:rPr>
        <w:t xml:space="preserve"> </w:t>
      </w:r>
      <w:r>
        <w:t>and</w:t>
      </w:r>
      <w:r>
        <w:rPr>
          <w:spacing w:val="-16"/>
        </w:rPr>
        <w:t xml:space="preserve"> </w:t>
      </w:r>
      <w:r>
        <w:t>outcome</w:t>
      </w:r>
      <w:r>
        <w:rPr>
          <w:spacing w:val="-11"/>
        </w:rPr>
        <w:t xml:space="preserve"> </w:t>
      </w:r>
      <w:r>
        <w:t>goals.</w:t>
      </w:r>
      <w:r>
        <w:rPr>
          <w:spacing w:val="-12"/>
        </w:rPr>
        <w:t xml:space="preserve"> </w:t>
      </w:r>
      <w:r>
        <w:t>We</w:t>
      </w:r>
      <w:r>
        <w:rPr>
          <w:spacing w:val="-11"/>
        </w:rPr>
        <w:t xml:space="preserve"> </w:t>
      </w:r>
      <w:r>
        <w:t>support</w:t>
      </w:r>
      <w:r>
        <w:rPr>
          <w:spacing w:val="-13"/>
        </w:rPr>
        <w:t xml:space="preserve"> </w:t>
      </w:r>
      <w:r>
        <w:t>MassHealth’s</w:t>
      </w:r>
      <w:r>
        <w:rPr>
          <w:spacing w:val="-13"/>
        </w:rPr>
        <w:t xml:space="preserve"> </w:t>
      </w:r>
      <w:r>
        <w:t>priority</w:t>
      </w:r>
      <w:r>
        <w:rPr>
          <w:spacing w:val="-9"/>
        </w:rPr>
        <w:t xml:space="preserve"> </w:t>
      </w:r>
      <w:r>
        <w:t>domains</w:t>
      </w:r>
      <w:r>
        <w:rPr>
          <w:spacing w:val="-11"/>
        </w:rPr>
        <w:t xml:space="preserve"> </w:t>
      </w:r>
      <w:r>
        <w:t>for</w:t>
      </w:r>
      <w:r>
        <w:rPr>
          <w:spacing w:val="-11"/>
        </w:rPr>
        <w:t xml:space="preserve"> </w:t>
      </w:r>
      <w:r>
        <w:t>quality</w:t>
      </w:r>
      <w:r>
        <w:rPr>
          <w:spacing w:val="-13"/>
        </w:rPr>
        <w:t xml:space="preserve"> </w:t>
      </w:r>
      <w:r>
        <w:t>measurement:</w:t>
      </w:r>
    </w:p>
    <w:p w:rsidR="002C5025" w:rsidRDefault="002C5025">
      <w:pPr>
        <w:pStyle w:val="BodyText"/>
        <w:kinsoku w:val="0"/>
        <w:overflowPunct w:val="0"/>
        <w:ind w:left="107" w:right="106" w:hanging="1"/>
        <w:sectPr w:rsidR="002C5025">
          <w:pgSz w:w="12240" w:h="15840"/>
          <w:pgMar w:top="1120" w:right="940" w:bottom="280" w:left="900" w:header="720" w:footer="720" w:gutter="0"/>
          <w:cols w:space="720" w:equalWidth="0">
            <w:col w:w="10400"/>
          </w:cols>
          <w:noEndnote/>
        </w:sectPr>
      </w:pPr>
    </w:p>
    <w:p w:rsidR="002C5025" w:rsidRDefault="002C5025">
      <w:pPr>
        <w:pStyle w:val="BodyText"/>
        <w:kinsoku w:val="0"/>
        <w:overflowPunct w:val="0"/>
        <w:spacing w:before="35"/>
        <w:ind w:left="106" w:right="159" w:firstLine="1"/>
      </w:pPr>
      <w:r>
        <w:lastRenderedPageBreak/>
        <w:t xml:space="preserve">We understand that a portion of ACO </w:t>
      </w:r>
      <w:r>
        <w:rPr>
          <w:spacing w:val="-3"/>
        </w:rPr>
        <w:t xml:space="preserve">DSRIP </w:t>
      </w:r>
      <w:r>
        <w:t>funds will be dedicated to spending on flexible services, not currently reimbursed in MassHealth, which address health-related social needs. We support MassHealth’s prioritized categories of flexible services, which include:</w:t>
      </w:r>
    </w:p>
    <w:p w:rsidR="002C5025" w:rsidRDefault="002C5025">
      <w:pPr>
        <w:pStyle w:val="ListParagraph"/>
        <w:numPr>
          <w:ilvl w:val="0"/>
          <w:numId w:val="75"/>
        </w:numPr>
        <w:tabs>
          <w:tab w:val="left" w:pos="267"/>
        </w:tabs>
        <w:kinsoku w:val="0"/>
        <w:overflowPunct w:val="0"/>
        <w:spacing w:before="7" w:line="268" w:lineRule="exact"/>
        <w:ind w:hanging="160"/>
        <w:rPr>
          <w:rFonts w:ascii="Calibri" w:hAnsi="Calibri" w:cs="Calibri"/>
          <w:spacing w:val="-3"/>
          <w:sz w:val="22"/>
          <w:szCs w:val="22"/>
        </w:rPr>
      </w:pPr>
      <w:r>
        <w:rPr>
          <w:rFonts w:ascii="Calibri" w:hAnsi="Calibri" w:cs="Calibri"/>
          <w:sz w:val="22"/>
          <w:szCs w:val="22"/>
        </w:rPr>
        <w:t>Housing</w:t>
      </w:r>
      <w:r>
        <w:rPr>
          <w:rFonts w:ascii="Calibri" w:hAnsi="Calibri" w:cs="Calibri"/>
          <w:spacing w:val="-9"/>
          <w:sz w:val="22"/>
          <w:szCs w:val="22"/>
        </w:rPr>
        <w:t xml:space="preserve"> </w:t>
      </w:r>
      <w:r>
        <w:rPr>
          <w:rFonts w:ascii="Calibri" w:hAnsi="Calibri" w:cs="Calibri"/>
          <w:sz w:val="22"/>
          <w:szCs w:val="22"/>
        </w:rPr>
        <w:t>stabilization</w:t>
      </w:r>
      <w:r>
        <w:rPr>
          <w:rFonts w:ascii="Calibri" w:hAnsi="Calibri" w:cs="Calibri"/>
          <w:spacing w:val="-9"/>
          <w:sz w:val="22"/>
          <w:szCs w:val="22"/>
        </w:rPr>
        <w:t xml:space="preserve"> </w:t>
      </w:r>
      <w:r>
        <w:rPr>
          <w:rFonts w:ascii="Calibri" w:hAnsi="Calibri" w:cs="Calibri"/>
          <w:sz w:val="22"/>
          <w:szCs w:val="22"/>
        </w:rPr>
        <w:t>and</w:t>
      </w:r>
      <w:r>
        <w:rPr>
          <w:rFonts w:ascii="Calibri" w:hAnsi="Calibri" w:cs="Calibri"/>
          <w:spacing w:val="-11"/>
          <w:sz w:val="22"/>
          <w:szCs w:val="22"/>
        </w:rPr>
        <w:t xml:space="preserve"> </w:t>
      </w:r>
      <w:r>
        <w:rPr>
          <w:rFonts w:ascii="Calibri" w:hAnsi="Calibri" w:cs="Calibri"/>
          <w:sz w:val="22"/>
          <w:szCs w:val="22"/>
        </w:rPr>
        <w:t>support,</w:t>
      </w:r>
      <w:r>
        <w:rPr>
          <w:rFonts w:ascii="Calibri" w:hAnsi="Calibri" w:cs="Calibri"/>
          <w:spacing w:val="-7"/>
          <w:sz w:val="22"/>
          <w:szCs w:val="22"/>
        </w:rPr>
        <w:t xml:space="preserve"> </w:t>
      </w:r>
      <w:r>
        <w:rPr>
          <w:rFonts w:ascii="Calibri" w:hAnsi="Calibri" w:cs="Calibri"/>
          <w:sz w:val="22"/>
          <w:szCs w:val="22"/>
        </w:rPr>
        <w:t>search</w:t>
      </w:r>
      <w:r>
        <w:rPr>
          <w:rFonts w:ascii="Calibri" w:hAnsi="Calibri" w:cs="Calibri"/>
          <w:spacing w:val="-9"/>
          <w:sz w:val="22"/>
          <w:szCs w:val="22"/>
        </w:rPr>
        <w:t xml:space="preserve"> </w:t>
      </w:r>
      <w:r>
        <w:rPr>
          <w:rFonts w:ascii="Calibri" w:hAnsi="Calibri" w:cs="Calibri"/>
          <w:sz w:val="22"/>
          <w:szCs w:val="22"/>
        </w:rPr>
        <w:t>and</w:t>
      </w:r>
      <w:r>
        <w:rPr>
          <w:rFonts w:ascii="Calibri" w:hAnsi="Calibri" w:cs="Calibri"/>
          <w:spacing w:val="-9"/>
          <w:sz w:val="22"/>
          <w:szCs w:val="22"/>
        </w:rPr>
        <w:t xml:space="preserve"> </w:t>
      </w:r>
      <w:r>
        <w:rPr>
          <w:rFonts w:ascii="Calibri" w:hAnsi="Calibri" w:cs="Calibri"/>
          <w:spacing w:val="-3"/>
          <w:sz w:val="22"/>
          <w:szCs w:val="22"/>
        </w:rPr>
        <w:t>placement</w:t>
      </w:r>
    </w:p>
    <w:p w:rsidR="002C5025" w:rsidRDefault="002C5025">
      <w:pPr>
        <w:pStyle w:val="ListParagraph"/>
        <w:numPr>
          <w:ilvl w:val="0"/>
          <w:numId w:val="75"/>
        </w:numPr>
        <w:tabs>
          <w:tab w:val="left" w:pos="267"/>
        </w:tabs>
        <w:kinsoku w:val="0"/>
        <w:overflowPunct w:val="0"/>
        <w:spacing w:line="264" w:lineRule="exact"/>
        <w:ind w:hanging="160"/>
        <w:rPr>
          <w:rFonts w:ascii="Calibri" w:hAnsi="Calibri" w:cs="Calibri"/>
          <w:sz w:val="22"/>
          <w:szCs w:val="22"/>
        </w:rPr>
      </w:pPr>
      <w:r>
        <w:rPr>
          <w:rFonts w:ascii="Calibri" w:hAnsi="Calibri" w:cs="Calibri"/>
          <w:sz w:val="22"/>
          <w:szCs w:val="22"/>
        </w:rPr>
        <w:t>Utility</w:t>
      </w:r>
      <w:r>
        <w:rPr>
          <w:rFonts w:ascii="Calibri" w:hAnsi="Calibri" w:cs="Calibri"/>
          <w:spacing w:val="-24"/>
          <w:sz w:val="22"/>
          <w:szCs w:val="22"/>
        </w:rPr>
        <w:t xml:space="preserve"> </w:t>
      </w:r>
      <w:r>
        <w:rPr>
          <w:rFonts w:ascii="Calibri" w:hAnsi="Calibri" w:cs="Calibri"/>
          <w:sz w:val="22"/>
          <w:szCs w:val="22"/>
        </w:rPr>
        <w:t>assistance</w:t>
      </w:r>
    </w:p>
    <w:p w:rsidR="002C5025" w:rsidRDefault="002C5025">
      <w:pPr>
        <w:pStyle w:val="ListParagraph"/>
        <w:numPr>
          <w:ilvl w:val="0"/>
          <w:numId w:val="75"/>
        </w:numPr>
        <w:tabs>
          <w:tab w:val="left" w:pos="267"/>
        </w:tabs>
        <w:kinsoku w:val="0"/>
        <w:overflowPunct w:val="0"/>
        <w:spacing w:line="265" w:lineRule="exact"/>
        <w:rPr>
          <w:rFonts w:ascii="Calibri" w:hAnsi="Calibri" w:cs="Calibri"/>
          <w:spacing w:val="-1"/>
          <w:sz w:val="22"/>
          <w:szCs w:val="22"/>
        </w:rPr>
      </w:pPr>
      <w:r>
        <w:rPr>
          <w:rFonts w:ascii="Calibri" w:hAnsi="Calibri" w:cs="Calibri"/>
          <w:spacing w:val="-1"/>
          <w:sz w:val="22"/>
          <w:szCs w:val="22"/>
        </w:rPr>
        <w:t>Non-medical</w:t>
      </w:r>
      <w:r>
        <w:rPr>
          <w:rFonts w:ascii="Calibri" w:hAnsi="Calibri" w:cs="Calibri"/>
          <w:spacing w:val="-13"/>
          <w:sz w:val="22"/>
          <w:szCs w:val="22"/>
        </w:rPr>
        <w:t xml:space="preserve"> </w:t>
      </w:r>
      <w:r>
        <w:rPr>
          <w:rFonts w:ascii="Calibri" w:hAnsi="Calibri" w:cs="Calibri"/>
          <w:spacing w:val="-1"/>
          <w:sz w:val="22"/>
          <w:szCs w:val="22"/>
        </w:rPr>
        <w:t>transportation</w:t>
      </w:r>
    </w:p>
    <w:p w:rsidR="002C5025" w:rsidRDefault="002C5025">
      <w:pPr>
        <w:pStyle w:val="ListParagraph"/>
        <w:numPr>
          <w:ilvl w:val="0"/>
          <w:numId w:val="75"/>
        </w:numPr>
        <w:tabs>
          <w:tab w:val="left" w:pos="267"/>
        </w:tabs>
        <w:kinsoku w:val="0"/>
        <w:overflowPunct w:val="0"/>
        <w:spacing w:line="268" w:lineRule="exact"/>
        <w:rPr>
          <w:rFonts w:ascii="Calibri" w:hAnsi="Calibri" w:cs="Calibri"/>
          <w:sz w:val="22"/>
          <w:szCs w:val="22"/>
        </w:rPr>
      </w:pPr>
      <w:r>
        <w:rPr>
          <w:rFonts w:ascii="Calibri" w:hAnsi="Calibri" w:cs="Calibri"/>
          <w:sz w:val="22"/>
          <w:szCs w:val="22"/>
        </w:rPr>
        <w:t>Physical activity and</w:t>
      </w:r>
      <w:r>
        <w:rPr>
          <w:rFonts w:ascii="Calibri" w:hAnsi="Calibri" w:cs="Calibri"/>
          <w:spacing w:val="-36"/>
          <w:sz w:val="22"/>
          <w:szCs w:val="22"/>
        </w:rPr>
        <w:t xml:space="preserve"> </w:t>
      </w:r>
      <w:r>
        <w:rPr>
          <w:rFonts w:ascii="Calibri" w:hAnsi="Calibri" w:cs="Calibri"/>
          <w:sz w:val="22"/>
          <w:szCs w:val="22"/>
        </w:rPr>
        <w:t>nutrition</w:t>
      </w:r>
    </w:p>
    <w:p w:rsidR="002C5025" w:rsidRDefault="002C5025">
      <w:pPr>
        <w:pStyle w:val="ListParagraph"/>
        <w:numPr>
          <w:ilvl w:val="0"/>
          <w:numId w:val="75"/>
        </w:numPr>
        <w:tabs>
          <w:tab w:val="left" w:pos="267"/>
        </w:tabs>
        <w:kinsoku w:val="0"/>
        <w:overflowPunct w:val="0"/>
        <w:spacing w:line="268" w:lineRule="exact"/>
        <w:rPr>
          <w:rFonts w:ascii="Calibri" w:hAnsi="Calibri" w:cs="Calibri"/>
          <w:sz w:val="22"/>
          <w:szCs w:val="22"/>
        </w:rPr>
      </w:pPr>
      <w:r>
        <w:rPr>
          <w:rFonts w:ascii="Calibri" w:hAnsi="Calibri" w:cs="Calibri"/>
          <w:sz w:val="22"/>
          <w:szCs w:val="22"/>
        </w:rPr>
        <w:t>Sexual</w:t>
      </w:r>
      <w:r>
        <w:rPr>
          <w:rFonts w:ascii="Calibri" w:hAnsi="Calibri" w:cs="Calibri"/>
          <w:spacing w:val="-11"/>
          <w:sz w:val="22"/>
          <w:szCs w:val="22"/>
        </w:rPr>
        <w:t xml:space="preserve"> </w:t>
      </w:r>
      <w:r>
        <w:rPr>
          <w:rFonts w:ascii="Calibri" w:hAnsi="Calibri" w:cs="Calibri"/>
          <w:sz w:val="22"/>
          <w:szCs w:val="22"/>
        </w:rPr>
        <w:t>assault</w:t>
      </w:r>
      <w:r>
        <w:rPr>
          <w:rFonts w:ascii="Calibri" w:hAnsi="Calibri" w:cs="Calibri"/>
          <w:spacing w:val="-8"/>
          <w:sz w:val="22"/>
          <w:szCs w:val="22"/>
        </w:rPr>
        <w:t xml:space="preserve"> </w:t>
      </w:r>
      <w:r>
        <w:rPr>
          <w:rFonts w:ascii="Calibri" w:hAnsi="Calibri" w:cs="Calibri"/>
          <w:sz w:val="22"/>
          <w:szCs w:val="22"/>
        </w:rPr>
        <w:t>and</w:t>
      </w:r>
      <w:r>
        <w:rPr>
          <w:rFonts w:ascii="Calibri" w:hAnsi="Calibri" w:cs="Calibri"/>
          <w:spacing w:val="-11"/>
          <w:sz w:val="22"/>
          <w:szCs w:val="22"/>
        </w:rPr>
        <w:t xml:space="preserve"> </w:t>
      </w:r>
      <w:r>
        <w:rPr>
          <w:rFonts w:ascii="Calibri" w:hAnsi="Calibri" w:cs="Calibri"/>
          <w:sz w:val="22"/>
          <w:szCs w:val="22"/>
        </w:rPr>
        <w:t>domestic</w:t>
      </w:r>
      <w:r>
        <w:rPr>
          <w:rFonts w:ascii="Calibri" w:hAnsi="Calibri" w:cs="Calibri"/>
          <w:spacing w:val="-10"/>
          <w:sz w:val="22"/>
          <w:szCs w:val="22"/>
        </w:rPr>
        <w:t xml:space="preserve"> </w:t>
      </w:r>
      <w:r>
        <w:rPr>
          <w:rFonts w:ascii="Calibri" w:hAnsi="Calibri" w:cs="Calibri"/>
          <w:sz w:val="22"/>
          <w:szCs w:val="22"/>
        </w:rPr>
        <w:t>violence</w:t>
      </w:r>
      <w:r>
        <w:rPr>
          <w:rFonts w:ascii="Calibri" w:hAnsi="Calibri" w:cs="Calibri"/>
          <w:spacing w:val="-10"/>
          <w:sz w:val="22"/>
          <w:szCs w:val="22"/>
        </w:rPr>
        <w:t xml:space="preserve"> </w:t>
      </w:r>
      <w:r>
        <w:rPr>
          <w:rFonts w:ascii="Calibri" w:hAnsi="Calibri" w:cs="Calibri"/>
          <w:sz w:val="22"/>
          <w:szCs w:val="22"/>
        </w:rPr>
        <w:t>supports</w:t>
      </w:r>
    </w:p>
    <w:p w:rsidR="002C5025" w:rsidRDefault="002C5025">
      <w:pPr>
        <w:pStyle w:val="BodyText"/>
        <w:kinsoku w:val="0"/>
        <w:overflowPunct w:val="0"/>
      </w:pPr>
    </w:p>
    <w:p w:rsidR="002C5025" w:rsidRDefault="002C5025">
      <w:pPr>
        <w:pStyle w:val="BodyText"/>
        <w:kinsoku w:val="0"/>
        <w:overflowPunct w:val="0"/>
        <w:ind w:left="104" w:right="29" w:firstLine="1"/>
      </w:pPr>
      <w:r>
        <w:t xml:space="preserve">Within the category of </w:t>
      </w:r>
      <w:r>
        <w:rPr>
          <w:spacing w:val="-2"/>
        </w:rPr>
        <w:t xml:space="preserve">physical </w:t>
      </w:r>
      <w:r>
        <w:t xml:space="preserve">activity and nutrition, we recommend that a clarifying clause be added to ensure that nutrition services do </w:t>
      </w:r>
      <w:r>
        <w:rPr>
          <w:spacing w:val="-2"/>
        </w:rPr>
        <w:t xml:space="preserve">not </w:t>
      </w:r>
      <w:r>
        <w:rPr>
          <w:spacing w:val="-3"/>
        </w:rPr>
        <w:t xml:space="preserve">just </w:t>
      </w:r>
      <w:r>
        <w:t xml:space="preserve">cover the </w:t>
      </w:r>
      <w:r>
        <w:rPr>
          <w:spacing w:val="-2"/>
        </w:rPr>
        <w:t xml:space="preserve">important </w:t>
      </w:r>
      <w:r>
        <w:t xml:space="preserve">activity of helping educate members about what they should eat for their particular </w:t>
      </w:r>
      <w:r>
        <w:rPr>
          <w:spacing w:val="-3"/>
        </w:rPr>
        <w:t xml:space="preserve">health </w:t>
      </w:r>
      <w:r>
        <w:t xml:space="preserve">status and condition, </w:t>
      </w:r>
      <w:r>
        <w:rPr>
          <w:spacing w:val="-3"/>
        </w:rPr>
        <w:t xml:space="preserve">but </w:t>
      </w:r>
      <w:r>
        <w:t xml:space="preserve">also include ensuring members can access and afford food (i.e. food security). Moreover, we </w:t>
      </w:r>
      <w:r>
        <w:rPr>
          <w:spacing w:val="-2"/>
        </w:rPr>
        <w:t xml:space="preserve">recommend </w:t>
      </w:r>
      <w:r>
        <w:t xml:space="preserve">that within the categories of flexible services, clinical screening for SDOH (i.e. food insecurity, housing insecurity, and </w:t>
      </w:r>
      <w:r>
        <w:rPr>
          <w:spacing w:val="-3"/>
        </w:rPr>
        <w:t xml:space="preserve">energy </w:t>
      </w:r>
      <w:r>
        <w:t xml:space="preserve">insecurity) be included as part of </w:t>
      </w:r>
      <w:r>
        <w:rPr>
          <w:spacing w:val="-2"/>
        </w:rPr>
        <w:t xml:space="preserve">the </w:t>
      </w:r>
      <w:r>
        <w:t>prioritized services (i.e. SNAP/WIC application assistance, housing support, utility assistance).</w:t>
      </w:r>
    </w:p>
    <w:p w:rsidR="002C5025" w:rsidRDefault="002C5025">
      <w:pPr>
        <w:pStyle w:val="BodyText"/>
        <w:kinsoku w:val="0"/>
        <w:overflowPunct w:val="0"/>
        <w:spacing w:before="10"/>
        <w:rPr>
          <w:sz w:val="21"/>
          <w:szCs w:val="21"/>
        </w:rPr>
      </w:pPr>
    </w:p>
    <w:p w:rsidR="002C5025" w:rsidRDefault="002C5025">
      <w:pPr>
        <w:pStyle w:val="BodyText"/>
        <w:kinsoku w:val="0"/>
        <w:overflowPunct w:val="0"/>
        <w:ind w:left="104" w:right="159" w:hanging="1"/>
        <w:rPr>
          <w:color w:val="000000"/>
        </w:rPr>
      </w:pPr>
      <w:r>
        <w:t xml:space="preserve">We appreciate the opportunity to provide feedback on the MassHealth 1115 Medicaid Demonstration Waiver proposal. </w:t>
      </w:r>
      <w:r>
        <w:rPr>
          <w:spacing w:val="-2"/>
        </w:rPr>
        <w:t xml:space="preserve">For </w:t>
      </w:r>
      <w:r>
        <w:t xml:space="preserve">additional information, </w:t>
      </w:r>
      <w:r>
        <w:rPr>
          <w:spacing w:val="-3"/>
        </w:rPr>
        <w:t xml:space="preserve">please </w:t>
      </w:r>
      <w:r>
        <w:t xml:space="preserve">contact Stephanie </w:t>
      </w:r>
      <w:proofErr w:type="spellStart"/>
      <w:r>
        <w:t>Ettinger</w:t>
      </w:r>
      <w:proofErr w:type="spellEnd"/>
      <w:r>
        <w:t xml:space="preserve"> de Cuba, Research and Policy Director for Children’s</w:t>
      </w:r>
      <w:r>
        <w:rPr>
          <w:spacing w:val="-10"/>
        </w:rPr>
        <w:t xml:space="preserve"> </w:t>
      </w:r>
      <w:proofErr w:type="spellStart"/>
      <w:r>
        <w:t>HealthWatch</w:t>
      </w:r>
      <w:proofErr w:type="spellEnd"/>
      <w:r>
        <w:rPr>
          <w:spacing w:val="-9"/>
        </w:rPr>
        <w:t xml:space="preserve"> </w:t>
      </w:r>
      <w:r>
        <w:t>at</w:t>
      </w:r>
      <w:r>
        <w:rPr>
          <w:spacing w:val="-13"/>
        </w:rPr>
        <w:t xml:space="preserve"> </w:t>
      </w:r>
      <w:hyperlink r:id="rId182" w:history="1">
        <w:r>
          <w:rPr>
            <w:color w:val="0000FF"/>
            <w:u w:val="single"/>
          </w:rPr>
          <w:t>sedc@bu.edu</w:t>
        </w:r>
      </w:hyperlink>
      <w:r>
        <w:rPr>
          <w:color w:val="0000FF"/>
          <w:spacing w:val="-10"/>
          <w:u w:val="single"/>
        </w:rPr>
        <w:t xml:space="preserve"> </w:t>
      </w:r>
      <w:r>
        <w:rPr>
          <w:color w:val="000000"/>
        </w:rPr>
        <w:t>or</w:t>
      </w:r>
      <w:r>
        <w:rPr>
          <w:color w:val="000000"/>
          <w:spacing w:val="-11"/>
        </w:rPr>
        <w:t xml:space="preserve"> </w:t>
      </w:r>
      <w:r>
        <w:rPr>
          <w:color w:val="000000"/>
        </w:rPr>
        <w:t>617-638-5850,</w:t>
      </w:r>
      <w:r>
        <w:rPr>
          <w:color w:val="000000"/>
          <w:spacing w:val="-12"/>
        </w:rPr>
        <w:t xml:space="preserve"> </w:t>
      </w:r>
      <w:r>
        <w:rPr>
          <w:color w:val="000000"/>
        </w:rPr>
        <w:t>or</w:t>
      </w:r>
      <w:r>
        <w:rPr>
          <w:color w:val="000000"/>
          <w:spacing w:val="-10"/>
        </w:rPr>
        <w:t xml:space="preserve"> </w:t>
      </w:r>
      <w:r>
        <w:rPr>
          <w:color w:val="000000"/>
        </w:rPr>
        <w:t>Richard</w:t>
      </w:r>
      <w:r>
        <w:rPr>
          <w:color w:val="000000"/>
          <w:spacing w:val="-11"/>
        </w:rPr>
        <w:t xml:space="preserve"> </w:t>
      </w:r>
      <w:proofErr w:type="spellStart"/>
      <w:r>
        <w:rPr>
          <w:color w:val="000000"/>
        </w:rPr>
        <w:t>Sheward</w:t>
      </w:r>
      <w:proofErr w:type="spellEnd"/>
      <w:r>
        <w:rPr>
          <w:color w:val="000000"/>
        </w:rPr>
        <w:t>,</w:t>
      </w:r>
      <w:r>
        <w:rPr>
          <w:color w:val="000000"/>
          <w:spacing w:val="-10"/>
        </w:rPr>
        <w:t xml:space="preserve"> </w:t>
      </w:r>
      <w:r>
        <w:rPr>
          <w:color w:val="000000"/>
        </w:rPr>
        <w:t>Senior</w:t>
      </w:r>
      <w:r>
        <w:rPr>
          <w:color w:val="000000"/>
          <w:spacing w:val="-12"/>
        </w:rPr>
        <w:t xml:space="preserve"> </w:t>
      </w:r>
      <w:r>
        <w:rPr>
          <w:color w:val="000000"/>
        </w:rPr>
        <w:t>Policy</w:t>
      </w:r>
      <w:r>
        <w:rPr>
          <w:color w:val="000000"/>
          <w:spacing w:val="-7"/>
        </w:rPr>
        <w:t xml:space="preserve"> </w:t>
      </w:r>
      <w:r>
        <w:rPr>
          <w:color w:val="000000"/>
        </w:rPr>
        <w:t>Analyst</w:t>
      </w:r>
      <w:r>
        <w:rPr>
          <w:color w:val="000000"/>
          <w:spacing w:val="-7"/>
        </w:rPr>
        <w:t xml:space="preserve"> </w:t>
      </w:r>
      <w:r>
        <w:rPr>
          <w:color w:val="000000"/>
        </w:rPr>
        <w:t>–</w:t>
      </w:r>
      <w:r>
        <w:rPr>
          <w:color w:val="000000"/>
          <w:spacing w:val="-7"/>
        </w:rPr>
        <w:t xml:space="preserve"> </w:t>
      </w:r>
      <w:r>
        <w:rPr>
          <w:color w:val="000000"/>
        </w:rPr>
        <w:t>State</w:t>
      </w:r>
      <w:r>
        <w:rPr>
          <w:color w:val="000000"/>
          <w:spacing w:val="-12"/>
        </w:rPr>
        <w:t xml:space="preserve"> </w:t>
      </w:r>
      <w:r>
        <w:rPr>
          <w:color w:val="000000"/>
        </w:rPr>
        <w:t>Policy at</w:t>
      </w:r>
      <w:r>
        <w:rPr>
          <w:color w:val="000000"/>
          <w:spacing w:val="-20"/>
        </w:rPr>
        <w:t xml:space="preserve"> </w:t>
      </w:r>
      <w:hyperlink r:id="rId183" w:history="1">
        <w:r>
          <w:rPr>
            <w:color w:val="0000FF"/>
            <w:u w:val="single"/>
          </w:rPr>
          <w:t>richard.sheward@gmail.com</w:t>
        </w:r>
      </w:hyperlink>
      <w:r>
        <w:rPr>
          <w:color w:val="0000FF"/>
          <w:spacing w:val="-20"/>
          <w:u w:val="single"/>
        </w:rPr>
        <w:t xml:space="preserve"> </w:t>
      </w:r>
      <w:r>
        <w:rPr>
          <w:color w:val="000000"/>
        </w:rPr>
        <w:t>or</w:t>
      </w:r>
      <w:r>
        <w:rPr>
          <w:color w:val="000000"/>
          <w:spacing w:val="-20"/>
        </w:rPr>
        <w:t xml:space="preserve"> </w:t>
      </w:r>
      <w:r>
        <w:rPr>
          <w:color w:val="000000"/>
        </w:rPr>
        <w:t>518-265-5343.</w:t>
      </w:r>
    </w:p>
    <w:p w:rsidR="002C5025" w:rsidRDefault="002C5025">
      <w:pPr>
        <w:pStyle w:val="BodyText"/>
        <w:kinsoku w:val="0"/>
        <w:overflowPunct w:val="0"/>
        <w:spacing w:before="7"/>
        <w:rPr>
          <w:sz w:val="17"/>
          <w:szCs w:val="17"/>
        </w:rPr>
      </w:pPr>
    </w:p>
    <w:p w:rsidR="002C5025" w:rsidRDefault="002C5025">
      <w:pPr>
        <w:pStyle w:val="BodyText"/>
        <w:kinsoku w:val="0"/>
        <w:overflowPunct w:val="0"/>
        <w:spacing w:before="57"/>
        <w:ind w:left="107" w:right="159"/>
      </w:pPr>
      <w:r>
        <w:t>Thank you for your consideration.</w:t>
      </w:r>
    </w:p>
    <w:p w:rsidR="002C5025" w:rsidRDefault="002C5025">
      <w:pPr>
        <w:pStyle w:val="BodyText"/>
        <w:kinsoku w:val="0"/>
        <w:overflowPunct w:val="0"/>
        <w:rPr>
          <w:sz w:val="21"/>
          <w:szCs w:val="21"/>
        </w:rPr>
      </w:pPr>
    </w:p>
    <w:p w:rsidR="002C5025" w:rsidRDefault="002C5025">
      <w:pPr>
        <w:pStyle w:val="BodyText"/>
        <w:kinsoku w:val="0"/>
        <w:overflowPunct w:val="0"/>
        <w:ind w:left="107" w:right="159"/>
        <w:rPr>
          <w:rFonts w:ascii="Times New Roman" w:hAnsi="Times New Roman" w:cs="Times New Roman"/>
          <w:sz w:val="24"/>
          <w:szCs w:val="24"/>
        </w:rPr>
      </w:pPr>
      <w:r>
        <w:rPr>
          <w:rFonts w:ascii="Times New Roman" w:hAnsi="Times New Roman" w:cs="Times New Roman"/>
          <w:sz w:val="24"/>
          <w:szCs w:val="24"/>
        </w:rPr>
        <w:t>Sincerely,</w:t>
      </w:r>
    </w:p>
    <w:p w:rsidR="002C5025" w:rsidRDefault="00FB027C">
      <w:pPr>
        <w:pStyle w:val="BodyText"/>
        <w:kinsoku w:val="0"/>
        <w:overflowPunct w:val="0"/>
        <w:spacing w:before="1"/>
        <w:rPr>
          <w:rFonts w:ascii="Times New Roman" w:hAnsi="Times New Roman" w:cs="Times New Roman"/>
          <w:sz w:val="21"/>
          <w:szCs w:val="21"/>
        </w:rPr>
      </w:pPr>
      <w:r>
        <w:rPr>
          <w:noProof/>
        </w:rPr>
        <mc:AlternateContent>
          <mc:Choice Requires="wps">
            <w:drawing>
              <wp:anchor distT="0" distB="0" distL="0" distR="0" simplePos="0" relativeHeight="251552256" behindDoc="0" locked="0" layoutInCell="0" allowOverlap="1">
                <wp:simplePos x="0" y="0"/>
                <wp:positionH relativeFrom="page">
                  <wp:posOffset>640080</wp:posOffset>
                </wp:positionH>
                <wp:positionV relativeFrom="paragraph">
                  <wp:posOffset>179070</wp:posOffset>
                </wp:positionV>
                <wp:extent cx="2362200" cy="381000"/>
                <wp:effectExtent l="0" t="0" r="0" b="0"/>
                <wp:wrapTopAndBottom/>
                <wp:docPr id="777" name="Rectangle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600" w:lineRule="atLeast"/>
                            </w:pPr>
                            <w:r>
                              <w:rPr>
                                <w:noProof/>
                              </w:rPr>
                              <w:drawing>
                                <wp:inline distT="0" distB="0" distL="0" distR="0">
                                  <wp:extent cx="2343150" cy="38100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2343150" cy="381000"/>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8" o:spid="_x0000_s1150" style="position:absolute;margin-left:50.4pt;margin-top:14.1pt;width:186pt;height:30pt;z-index:25155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" o:allowincell="f" filled="f" stroked="f">
                <v:textbox inset="0,0,0,0">
                  <w:txbxContent>
                    <w:p w:rsidR="007B2B7B" w:rsidRDefault="007B2B7B">
                      <w:pPr>
                        <w:widowControl/>
                        <w:autoSpaceDE/>
                        <w:autoSpaceDN/>
                        <w:adjustRightInd/>
                        <w:spacing w:line="600" w:lineRule="atLeast"/>
                      </w:pPr>
                      <w:r>
                        <w:rPr>
                          <w:noProof/>
                        </w:rPr>
                        <w:drawing>
                          <wp:inline distT="0" distB="0" distL="0" distR="0">
                            <wp:extent cx="2343150" cy="38100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2343150" cy="381000"/>
                                    </a:xfrm>
                                    <a:prstGeom prst="rect">
                                      <a:avLst/>
                                    </a:prstGeom>
                                    <a:noFill/>
                                    <a:ln>
                                      <a:noFill/>
                                    </a:ln>
                                  </pic:spPr>
                                </pic:pic>
                              </a:graphicData>
                            </a:graphic>
                          </wp:inline>
                        </w:drawing>
                      </w:r>
                    </w:p>
                    <w:p w:rsidR="007B2B7B" w:rsidRDefault="007B2B7B"/>
                  </w:txbxContent>
                </v:textbox>
                <w10:wrap type="topAndBottom" anchorx="page"/>
              </v:rect>
            </w:pict>
          </mc:Fallback>
        </mc:AlternateContent>
      </w:r>
      <w:r>
        <w:rPr>
          <w:noProof/>
        </w:rPr>
        <mc:AlternateContent>
          <mc:Choice Requires="wps">
            <w:drawing>
              <wp:anchor distT="0" distB="0" distL="0" distR="0" simplePos="0" relativeHeight="251553280" behindDoc="0" locked="0" layoutInCell="0" allowOverlap="1">
                <wp:simplePos x="0" y="0"/>
                <wp:positionH relativeFrom="page">
                  <wp:posOffset>4146550</wp:posOffset>
                </wp:positionH>
                <wp:positionV relativeFrom="paragraph">
                  <wp:posOffset>179705</wp:posOffset>
                </wp:positionV>
                <wp:extent cx="1422400" cy="393700"/>
                <wp:effectExtent l="0" t="0" r="0" b="0"/>
                <wp:wrapTopAndBottom/>
                <wp:docPr id="776"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0" cy="393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620" w:lineRule="atLeast"/>
                            </w:pPr>
                            <w:r>
                              <w:rPr>
                                <w:noProof/>
                              </w:rPr>
                              <w:drawing>
                                <wp:inline distT="0" distB="0" distL="0" distR="0">
                                  <wp:extent cx="1438275" cy="390525"/>
                                  <wp:effectExtent l="0" t="0" r="9525" b="952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1438275" cy="390525"/>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9" o:spid="_x0000_s1151" style="position:absolute;margin-left:326.5pt;margin-top:14.15pt;width:112pt;height:31pt;z-index:251553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" o:allowincell="f" filled="f" stroked="f">
                <v:textbox inset="0,0,0,0">
                  <w:txbxContent>
                    <w:p w:rsidR="007B2B7B" w:rsidRDefault="007B2B7B">
                      <w:pPr>
                        <w:widowControl/>
                        <w:autoSpaceDE/>
                        <w:autoSpaceDN/>
                        <w:adjustRightInd/>
                        <w:spacing w:line="620" w:lineRule="atLeast"/>
                      </w:pPr>
                      <w:r>
                        <w:rPr>
                          <w:noProof/>
                        </w:rPr>
                        <w:drawing>
                          <wp:inline distT="0" distB="0" distL="0" distR="0">
                            <wp:extent cx="1438275" cy="390525"/>
                            <wp:effectExtent l="0" t="0" r="9525" b="952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438275" cy="390525"/>
                                    </a:xfrm>
                                    <a:prstGeom prst="rect">
                                      <a:avLst/>
                                    </a:prstGeom>
                                    <a:noFill/>
                                    <a:ln>
                                      <a:noFill/>
                                    </a:ln>
                                  </pic:spPr>
                                </pic:pic>
                              </a:graphicData>
                            </a:graphic>
                          </wp:inline>
                        </w:drawing>
                      </w:r>
                    </w:p>
                    <w:p w:rsidR="007B2B7B" w:rsidRDefault="007B2B7B"/>
                  </w:txbxContent>
                </v:textbox>
                <w10:wrap type="topAndBottom" anchorx="page"/>
              </v:rect>
            </w:pict>
          </mc:Fallback>
        </mc:AlternateContent>
      </w:r>
    </w:p>
    <w:p w:rsidR="002C5025" w:rsidRDefault="002C5025">
      <w:pPr>
        <w:pStyle w:val="BodyText"/>
        <w:kinsoku w:val="0"/>
        <w:overflowPunct w:val="0"/>
        <w:spacing w:before="1"/>
        <w:rPr>
          <w:rFonts w:ascii="Times New Roman" w:hAnsi="Times New Roman" w:cs="Times New Roman"/>
          <w:sz w:val="21"/>
          <w:szCs w:val="21"/>
        </w:rPr>
        <w:sectPr w:rsidR="002C5025">
          <w:pgSz w:w="12240" w:h="15840"/>
          <w:pgMar w:top="1380" w:right="920" w:bottom="280" w:left="900" w:header="720" w:footer="720" w:gutter="0"/>
          <w:cols w:space="720" w:equalWidth="0">
            <w:col w:w="10420"/>
          </w:cols>
          <w:noEndnote/>
        </w:sectPr>
      </w:pPr>
    </w:p>
    <w:p w:rsidR="002C5025" w:rsidRDefault="002C5025">
      <w:pPr>
        <w:pStyle w:val="BodyText"/>
        <w:kinsoku w:val="0"/>
        <w:overflowPunct w:val="0"/>
        <w:spacing w:line="228" w:lineRule="exact"/>
        <w:ind w:left="107" w:right="-3"/>
        <w:rPr>
          <w:b/>
          <w:bCs/>
        </w:rPr>
      </w:pPr>
      <w:bookmarkStart w:id="85" w:name="Deborah_A._Frank,_MD"/>
      <w:bookmarkEnd w:id="85"/>
      <w:r>
        <w:rPr>
          <w:b/>
          <w:bCs/>
        </w:rPr>
        <w:t>Deborah A. Frank, MD</w:t>
      </w:r>
    </w:p>
    <w:p w:rsidR="002C5025" w:rsidRDefault="002C5025">
      <w:pPr>
        <w:pStyle w:val="BodyText"/>
        <w:kinsoku w:val="0"/>
        <w:overflowPunct w:val="0"/>
        <w:ind w:left="108" w:right="-3" w:hanging="1"/>
      </w:pPr>
      <w:r>
        <w:t xml:space="preserve">Principal Investigator and Founder Children’s </w:t>
      </w:r>
      <w:proofErr w:type="spellStart"/>
      <w:r>
        <w:t>HealthWatch</w:t>
      </w:r>
      <w:proofErr w:type="spellEnd"/>
    </w:p>
    <w:p w:rsidR="002C5025" w:rsidRDefault="002C5025">
      <w:pPr>
        <w:pStyle w:val="BodyText"/>
        <w:kinsoku w:val="0"/>
        <w:overflowPunct w:val="0"/>
        <w:ind w:left="107" w:right="-3"/>
      </w:pPr>
      <w:r>
        <w:t>Boston, MA</w:t>
      </w:r>
    </w:p>
    <w:p w:rsidR="002C5025" w:rsidRDefault="00FB027C">
      <w:pPr>
        <w:pStyle w:val="BodyText"/>
        <w:kinsoku w:val="0"/>
        <w:overflowPunct w:val="0"/>
        <w:spacing w:before="2"/>
        <w:rPr>
          <w:sz w:val="19"/>
          <w:szCs w:val="19"/>
        </w:rPr>
      </w:pPr>
      <w:r>
        <w:rPr>
          <w:noProof/>
        </w:rPr>
        <mc:AlternateContent>
          <mc:Choice Requires="wps">
            <w:drawing>
              <wp:anchor distT="0" distB="0" distL="0" distR="0" simplePos="0" relativeHeight="251554304" behindDoc="0" locked="0" layoutInCell="0" allowOverlap="1">
                <wp:simplePos x="0" y="0"/>
                <wp:positionH relativeFrom="page">
                  <wp:posOffset>640080</wp:posOffset>
                </wp:positionH>
                <wp:positionV relativeFrom="paragraph">
                  <wp:posOffset>173355</wp:posOffset>
                </wp:positionV>
                <wp:extent cx="1295400" cy="508000"/>
                <wp:effectExtent l="0" t="0" r="0" b="0"/>
                <wp:wrapTopAndBottom/>
                <wp:docPr id="775" name="Rectangle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50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800" w:lineRule="atLeast"/>
                            </w:pPr>
                            <w:r>
                              <w:rPr>
                                <w:noProof/>
                              </w:rPr>
                              <w:drawing>
                                <wp:inline distT="0" distB="0" distL="0" distR="0">
                                  <wp:extent cx="1304925" cy="514350"/>
                                  <wp:effectExtent l="0" t="0" r="9525"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304925" cy="514350"/>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0" o:spid="_x0000_s1152" style="position:absolute;margin-left:50.4pt;margin-top:13.65pt;width:102pt;height:40pt;z-index:25155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" o:allowincell="f" filled="f" stroked="f">
                <v:textbox inset="0,0,0,0">
                  <w:txbxContent>
                    <w:p w:rsidR="007B2B7B" w:rsidRDefault="007B2B7B">
                      <w:pPr>
                        <w:widowControl/>
                        <w:autoSpaceDE/>
                        <w:autoSpaceDN/>
                        <w:adjustRightInd/>
                        <w:spacing w:line="800" w:lineRule="atLeast"/>
                      </w:pPr>
                      <w:r>
                        <w:rPr>
                          <w:noProof/>
                        </w:rPr>
                        <w:drawing>
                          <wp:inline distT="0" distB="0" distL="0" distR="0">
                            <wp:extent cx="1304925" cy="514350"/>
                            <wp:effectExtent l="0" t="0" r="9525"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304925" cy="514350"/>
                                    </a:xfrm>
                                    <a:prstGeom prst="rect">
                                      <a:avLst/>
                                    </a:prstGeom>
                                    <a:noFill/>
                                    <a:ln>
                                      <a:noFill/>
                                    </a:ln>
                                  </pic:spPr>
                                </pic:pic>
                              </a:graphicData>
                            </a:graphic>
                          </wp:inline>
                        </w:drawing>
                      </w:r>
                    </w:p>
                    <w:p w:rsidR="007B2B7B" w:rsidRDefault="007B2B7B"/>
                  </w:txbxContent>
                </v:textbox>
                <w10:wrap type="topAndBottom" anchorx="page"/>
              </v:rect>
            </w:pict>
          </mc:Fallback>
        </mc:AlternateContent>
      </w:r>
    </w:p>
    <w:p w:rsidR="002C5025" w:rsidRDefault="002C5025">
      <w:pPr>
        <w:pStyle w:val="BodyText"/>
        <w:kinsoku w:val="0"/>
        <w:overflowPunct w:val="0"/>
        <w:spacing w:line="240" w:lineRule="exact"/>
        <w:ind w:left="107" w:right="-3"/>
      </w:pPr>
      <w:r>
        <w:t xml:space="preserve">John Cook, PhD, </w:t>
      </w:r>
      <w:proofErr w:type="spellStart"/>
      <w:r>
        <w:t>MAEd</w:t>
      </w:r>
      <w:proofErr w:type="spellEnd"/>
    </w:p>
    <w:p w:rsidR="002C5025" w:rsidRDefault="002C5025">
      <w:pPr>
        <w:pStyle w:val="BodyText"/>
        <w:kinsoku w:val="0"/>
        <w:overflowPunct w:val="0"/>
        <w:ind w:left="108" w:right="-3" w:hanging="1"/>
      </w:pPr>
      <w:r>
        <w:t>Research</w:t>
      </w:r>
      <w:r>
        <w:rPr>
          <w:spacing w:val="-13"/>
        </w:rPr>
        <w:t xml:space="preserve"> </w:t>
      </w:r>
      <w:r>
        <w:t>Scientist</w:t>
      </w:r>
      <w:r>
        <w:rPr>
          <w:spacing w:val="-12"/>
        </w:rPr>
        <w:t xml:space="preserve"> </w:t>
      </w:r>
      <w:r>
        <w:t>and</w:t>
      </w:r>
      <w:r>
        <w:rPr>
          <w:spacing w:val="-18"/>
        </w:rPr>
        <w:t xml:space="preserve"> </w:t>
      </w:r>
      <w:r>
        <w:t>Principal</w:t>
      </w:r>
      <w:r>
        <w:rPr>
          <w:spacing w:val="-14"/>
        </w:rPr>
        <w:t xml:space="preserve"> </w:t>
      </w:r>
      <w:r>
        <w:t>Investigator Boston,</w:t>
      </w:r>
      <w:r>
        <w:rPr>
          <w:spacing w:val="-9"/>
        </w:rPr>
        <w:t xml:space="preserve"> </w:t>
      </w:r>
      <w:r>
        <w:t>MA</w:t>
      </w:r>
    </w:p>
    <w:p w:rsidR="002C5025" w:rsidRDefault="002C5025">
      <w:pPr>
        <w:pStyle w:val="BodyText"/>
        <w:kinsoku w:val="0"/>
        <w:overflowPunct w:val="0"/>
        <w:spacing w:line="238" w:lineRule="exact"/>
        <w:ind w:left="108" w:right="2240"/>
      </w:pPr>
      <w:r>
        <w:rPr>
          <w:rFonts w:ascii="Times New Roman" w:hAnsi="Times New Roman" w:cs="Times New Roman"/>
          <w:sz w:val="24"/>
          <w:szCs w:val="24"/>
        </w:rPr>
        <w:br w:type="column"/>
      </w:r>
      <w:r>
        <w:t xml:space="preserve">Megan </w:t>
      </w:r>
      <w:proofErr w:type="spellStart"/>
      <w:r>
        <w:t>Sandel</w:t>
      </w:r>
      <w:proofErr w:type="spellEnd"/>
      <w:r>
        <w:t xml:space="preserve"> MD, MPH</w:t>
      </w:r>
    </w:p>
    <w:p w:rsidR="002C5025" w:rsidRDefault="002C5025">
      <w:pPr>
        <w:pStyle w:val="BodyText"/>
        <w:kinsoku w:val="0"/>
        <w:overflowPunct w:val="0"/>
        <w:ind w:left="108" w:right="2240"/>
      </w:pPr>
      <w:r>
        <w:t>Principal Investigator Boston</w:t>
      </w:r>
      <w:r>
        <w:rPr>
          <w:i/>
          <w:iCs/>
        </w:rPr>
        <w:t xml:space="preserve">, </w:t>
      </w:r>
      <w:r>
        <w:t>MA</w:t>
      </w:r>
    </w:p>
    <w:p w:rsidR="002C5025" w:rsidRDefault="00FB027C">
      <w:pPr>
        <w:pStyle w:val="BodyText"/>
        <w:kinsoku w:val="0"/>
        <w:overflowPunct w:val="0"/>
        <w:ind w:left="107"/>
        <w:rPr>
          <w:sz w:val="20"/>
          <w:szCs w:val="20"/>
        </w:rPr>
      </w:pPr>
      <w:r>
        <w:rPr>
          <w:noProof/>
          <w:sz w:val="20"/>
          <w:szCs w:val="20"/>
        </w:rPr>
        <w:drawing>
          <wp:inline distT="0" distB="0" distL="0" distR="0">
            <wp:extent cx="2076450" cy="64770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2076450" cy="647700"/>
                    </a:xfrm>
                    <a:prstGeom prst="rect">
                      <a:avLst/>
                    </a:prstGeom>
                    <a:noFill/>
                    <a:ln>
                      <a:noFill/>
                    </a:ln>
                  </pic:spPr>
                </pic:pic>
              </a:graphicData>
            </a:graphic>
          </wp:inline>
        </w:drawing>
      </w:r>
    </w:p>
    <w:p w:rsidR="002C5025" w:rsidRDefault="002C5025">
      <w:pPr>
        <w:pStyle w:val="BodyText"/>
        <w:kinsoku w:val="0"/>
        <w:overflowPunct w:val="0"/>
        <w:spacing w:before="15"/>
        <w:ind w:left="108" w:right="2240"/>
      </w:pPr>
      <w:r>
        <w:t>Ruth Rose-Jacobs, ScD Principal Investigator Boston, MA</w:t>
      </w:r>
    </w:p>
    <w:p w:rsidR="002C5025" w:rsidRDefault="002C5025" w:rsidP="00B27397">
      <w:pPr>
        <w:pStyle w:val="BodyText"/>
        <w:kinsoku w:val="0"/>
        <w:overflowPunct w:val="0"/>
        <w:spacing w:before="15"/>
        <w:ind w:right="2240"/>
        <w:sectPr w:rsidR="002C5025">
          <w:type w:val="continuous"/>
          <w:pgSz w:w="12240" w:h="15840"/>
          <w:pgMar w:top="720" w:right="920" w:bottom="280" w:left="900" w:header="720" w:footer="720" w:gutter="0"/>
          <w:cols w:num="2" w:space="720" w:equalWidth="0">
            <w:col w:w="4009" w:space="1514"/>
            <w:col w:w="4897"/>
          </w:cols>
          <w:noEndnote/>
        </w:sectPr>
      </w:pPr>
    </w:p>
    <w:p w:rsidR="002C5025" w:rsidRDefault="002C5025" w:rsidP="00B27397">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FB027C" w:rsidP="00B27397">
      <w:pPr>
        <w:pStyle w:val="BodyText"/>
        <w:kinsoku w:val="0"/>
        <w:overflowPunct w:val="0"/>
        <w:spacing w:before="8"/>
        <w:rPr>
          <w:sz w:val="20"/>
          <w:szCs w:val="20"/>
        </w:rPr>
      </w:pPr>
      <w:r>
        <w:rPr>
          <w:noProof/>
        </w:rPr>
        <mc:AlternateContent>
          <mc:Choice Requires="wps">
            <w:drawing>
              <wp:anchor distT="0" distB="0" distL="114300" distR="114300" simplePos="0" relativeHeight="251556352" behindDoc="0" locked="0" layoutInCell="0" allowOverlap="1" wp14:anchorId="3F9CB6AF" wp14:editId="7A1927AB">
                <wp:simplePos x="0" y="0"/>
                <wp:positionH relativeFrom="page">
                  <wp:posOffset>7726680</wp:posOffset>
                </wp:positionH>
                <wp:positionV relativeFrom="page">
                  <wp:posOffset>844550</wp:posOffset>
                </wp:positionV>
                <wp:extent cx="12700" cy="9126855"/>
                <wp:effectExtent l="0" t="0" r="0" b="0"/>
                <wp:wrapNone/>
                <wp:docPr id="773" name="Freeform 2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9126855"/>
                        </a:xfrm>
                        <a:custGeom>
                          <a:avLst/>
                          <a:gdLst>
                            <a:gd name="T0" fmla="*/ 0 w 20"/>
                            <a:gd name="T1" fmla="*/ 14373 h 14373"/>
                            <a:gd name="T2" fmla="*/ 0 w 20"/>
                            <a:gd name="T3" fmla="*/ 0 h 14373"/>
                          </a:gdLst>
                          <a:ahLst/>
                          <a:cxnLst>
                            <a:cxn ang="0">
                              <a:pos x="T0" y="T1"/>
                            </a:cxn>
                            <a:cxn ang="0">
                              <a:pos x="T2" y="T3"/>
                            </a:cxn>
                          </a:cxnLst>
                          <a:rect l="0" t="0" r="r" b="b"/>
                          <a:pathLst>
                            <a:path w="20" h="14373">
                              <a:moveTo>
                                <a:pt x="0" y="14373"/>
                              </a:moveTo>
                              <a:lnTo>
                                <a:pt x="0" y="0"/>
                              </a:lnTo>
                            </a:path>
                          </a:pathLst>
                        </a:custGeom>
                        <a:noFill/>
                        <a:ln w="22796">
                          <a:solidFill>
                            <a:srgbClr val="BFBFC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52" o:spid="_x0000_s1026" style="position:absolute;z-index:251556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08.4pt,785.15pt,608.4pt,66.5pt" coordsize="20,14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" o:allowincell="f" filled="f" strokecolor="#bfbfc3" strokeweight=".63322mm">
                <v:path arrowok="t" o:connecttype="custom" o:connectlocs="0,9126855;0,0" o:connectangles="0,0"/>
                <w10:wrap anchorx="page" anchory="page"/>
              </v:polyline>
            </w:pict>
          </mc:Fallback>
        </mc:AlternateContent>
      </w: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spacing w:before="9"/>
        <w:rPr>
          <w:sz w:val="24"/>
          <w:szCs w:val="24"/>
        </w:rPr>
      </w:pPr>
    </w:p>
    <w:p w:rsidR="002C5025" w:rsidRDefault="00FB027C">
      <w:pPr>
        <w:pStyle w:val="BodyText"/>
        <w:kinsoku w:val="0"/>
        <w:overflowPunct w:val="0"/>
        <w:spacing w:before="67"/>
        <w:ind w:right="2651"/>
        <w:jc w:val="right"/>
        <w:rPr>
          <w:rFonts w:ascii="Times New Roman" w:hAnsi="Times New Roman" w:cs="Times New Roman"/>
          <w:color w:val="EFF249"/>
          <w:w w:val="89"/>
          <w:sz w:val="25"/>
          <w:szCs w:val="25"/>
        </w:rPr>
      </w:pPr>
      <w:r>
        <w:rPr>
          <w:noProof/>
        </w:rPr>
        <mc:AlternateContent>
          <mc:Choice Requires="wps">
            <w:drawing>
              <wp:anchor distT="0" distB="0" distL="114300" distR="114300" simplePos="0" relativeHeight="251557376" behindDoc="1" locked="0" layoutInCell="0" allowOverlap="1">
                <wp:simplePos x="0" y="0"/>
                <wp:positionH relativeFrom="page">
                  <wp:posOffset>3447415</wp:posOffset>
                </wp:positionH>
                <wp:positionV relativeFrom="paragraph">
                  <wp:posOffset>-1272540</wp:posOffset>
                </wp:positionV>
                <wp:extent cx="1228725" cy="1529080"/>
                <wp:effectExtent l="0" t="0" r="0" b="0"/>
                <wp:wrapNone/>
                <wp:docPr id="772"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152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pStyle w:val="BodyText"/>
                              <w:kinsoku w:val="0"/>
                              <w:overflowPunct w:val="0"/>
                              <w:spacing w:before="418" w:line="1058" w:lineRule="exact"/>
                              <w:jc w:val="right"/>
                              <w:rPr>
                                <w:rFonts w:ascii="Times New Roman" w:hAnsi="Times New Roman" w:cs="Times New Roman"/>
                                <w:color w:val="F9F6EF"/>
                                <w:w w:val="60"/>
                                <w:sz w:val="112"/>
                                <w:szCs w:val="112"/>
                              </w:rPr>
                            </w:pPr>
                            <w:r>
                              <w:rPr>
                                <w:rFonts w:ascii="Times New Roman" w:hAnsi="Times New Roman" w:cs="Times New Roman"/>
                                <w:color w:val="F9F6EF"/>
                                <w:w w:val="60"/>
                                <w:sz w:val="112"/>
                                <w:szCs w:val="112"/>
                              </w:rPr>
                              <w:t>..</w:t>
                            </w:r>
                          </w:p>
                          <w:p w:rsidR="007B2B7B" w:rsidRDefault="007B2B7B">
                            <w:pPr>
                              <w:pStyle w:val="BodyText"/>
                              <w:kinsoku w:val="0"/>
                              <w:overflowPunct w:val="0"/>
                              <w:spacing w:line="587" w:lineRule="exact"/>
                              <w:ind w:left="69"/>
                              <w:rPr>
                                <w:rFonts w:ascii="Arial" w:hAnsi="Arial" w:cs="Arial"/>
                                <w:color w:val="F9F6EF"/>
                                <w:w w:val="70"/>
                                <w:sz w:val="71"/>
                                <w:szCs w:val="71"/>
                              </w:rPr>
                            </w:pPr>
                            <w:r>
                              <w:rPr>
                                <w:rFonts w:ascii="Arial" w:hAnsi="Arial" w:cs="Arial"/>
                                <w:color w:val="F9F6EF"/>
                                <w:w w:val="70"/>
                                <w:sz w:val="71"/>
                                <w:szCs w:val="71"/>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3" o:spid="_x0000_s1153" type="#_x0000_t202" style="position:absolute;left:0;text-align:left;margin-left:271.45pt;margin-top:-100.2pt;width:96.75pt;height:120.4pt;z-index:-251759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" o:allowincell="f" filled="f" stroked="f">
                <v:textbox inset="0,0,0,0">
                  <w:txbxContent>
                    <w:p w:rsidR="007B2B7B" w:rsidRDefault="007B2B7B">
                      <w:pPr>
                        <w:pStyle w:val="BodyText"/>
                        <w:kinsoku w:val="0"/>
                        <w:overflowPunct w:val="0"/>
                        <w:spacing w:before="418" w:line="1058" w:lineRule="exact"/>
                        <w:jc w:val="right"/>
                        <w:rPr>
                          <w:rFonts w:ascii="Times New Roman" w:hAnsi="Times New Roman" w:cs="Times New Roman"/>
                          <w:color w:val="F9F6EF"/>
                          <w:w w:val="60"/>
                          <w:sz w:val="112"/>
                          <w:szCs w:val="112"/>
                        </w:rPr>
                      </w:pPr>
                      <w:r>
                        <w:rPr>
                          <w:rFonts w:ascii="Times New Roman" w:hAnsi="Times New Roman" w:cs="Times New Roman"/>
                          <w:color w:val="F9F6EF"/>
                          <w:w w:val="60"/>
                          <w:sz w:val="112"/>
                          <w:szCs w:val="112"/>
                        </w:rPr>
                        <w:t>..</w:t>
                      </w:r>
                    </w:p>
                    <w:p w:rsidR="007B2B7B" w:rsidRDefault="007B2B7B">
                      <w:pPr>
                        <w:pStyle w:val="BodyText"/>
                        <w:kinsoku w:val="0"/>
                        <w:overflowPunct w:val="0"/>
                        <w:spacing w:line="587" w:lineRule="exact"/>
                        <w:ind w:left="69"/>
                        <w:rPr>
                          <w:rFonts w:ascii="Arial" w:hAnsi="Arial" w:cs="Arial"/>
                          <w:color w:val="F9F6EF"/>
                          <w:w w:val="70"/>
                          <w:sz w:val="71"/>
                          <w:szCs w:val="71"/>
                        </w:rPr>
                      </w:pPr>
                      <w:r>
                        <w:rPr>
                          <w:rFonts w:ascii="Arial" w:hAnsi="Arial" w:cs="Arial"/>
                          <w:color w:val="F9F6EF"/>
                          <w:w w:val="70"/>
                          <w:sz w:val="71"/>
                          <w:szCs w:val="71"/>
                        </w:rPr>
                        <w:t>....</w:t>
                      </w:r>
                    </w:p>
                  </w:txbxContent>
                </v:textbox>
                <w10:wrap anchorx="page"/>
              </v:shape>
            </w:pict>
          </mc:Fallback>
        </mc:AlternateContent>
      </w:r>
      <w:r>
        <w:rPr>
          <w:noProof/>
        </w:rPr>
        <mc:AlternateContent>
          <mc:Choice Requires="wps">
            <w:drawing>
              <wp:anchor distT="0" distB="0" distL="114300" distR="114300" simplePos="0" relativeHeight="251558400" behindDoc="0" locked="0" layoutInCell="0" allowOverlap="1">
                <wp:simplePos x="0" y="0"/>
                <wp:positionH relativeFrom="page">
                  <wp:posOffset>3447415</wp:posOffset>
                </wp:positionH>
                <wp:positionV relativeFrom="paragraph">
                  <wp:posOffset>-1272540</wp:posOffset>
                </wp:positionV>
                <wp:extent cx="1210310" cy="1908175"/>
                <wp:effectExtent l="0" t="0" r="0" b="0"/>
                <wp:wrapNone/>
                <wp:docPr id="771"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0310" cy="1908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331"/>
                              <w:gridCol w:w="575"/>
                            </w:tblGrid>
                            <w:tr w:rsidR="007B2B7B">
                              <w:trPr>
                                <w:trHeight w:hRule="exact" w:val="2053"/>
                              </w:trPr>
                              <w:tc>
                                <w:tcPr>
                                  <w:tcW w:w="1906" w:type="dxa"/>
                                  <w:gridSpan w:val="2"/>
                                  <w:tcBorders>
                                    <w:top w:val="nil"/>
                                    <w:left w:val="nil"/>
                                    <w:bottom w:val="nil"/>
                                    <w:right w:val="nil"/>
                                  </w:tcBorders>
                                </w:tcPr>
                                <w:p w:rsidR="007B2B7B" w:rsidRDefault="007B2B7B" w:rsidP="00B27397">
                                  <w:pPr>
                                    <w:pStyle w:val="TableParagraph"/>
                                    <w:kinsoku w:val="0"/>
                                    <w:overflowPunct w:val="0"/>
                                    <w:spacing w:before="225" w:line="1726" w:lineRule="exact"/>
                                    <w:ind w:left="76" w:right="-26"/>
                                    <w:jc w:val="center"/>
                                    <w:rPr>
                                      <w:color w:val="F9F6EF"/>
                                      <w:spacing w:val="-59"/>
                                      <w:w w:val="150"/>
                                      <w:position w:val="-45"/>
                                      <w:sz w:val="114"/>
                                      <w:szCs w:val="114"/>
                                    </w:rPr>
                                  </w:pPr>
                                  <w:r>
                                    <w:rPr>
                                      <w:rFonts w:ascii="Times New Roman" w:hAnsi="Times New Roman" w:cs="Times New Roman"/>
                                      <w:color w:val="F9F6EF"/>
                                      <w:spacing w:val="-59"/>
                                      <w:w w:val="150"/>
                                      <w:sz w:val="144"/>
                                      <w:szCs w:val="144"/>
                                    </w:rPr>
                                    <w:t>,.</w:t>
                                  </w:r>
                                  <w:r>
                                    <w:rPr>
                                      <w:rFonts w:ascii="Times New Roman" w:hAnsi="Times New Roman" w:cs="Times New Roman"/>
                                      <w:color w:val="F9F6EF"/>
                                      <w:spacing w:val="-59"/>
                                      <w:w w:val="150"/>
                                      <w:sz w:val="112"/>
                                      <w:szCs w:val="112"/>
                                    </w:rPr>
                                    <w:t>,</w:t>
                                  </w:r>
                                  <w:r>
                                    <w:rPr>
                                      <w:color w:val="F9F6EF"/>
                                      <w:spacing w:val="-59"/>
                                      <w:w w:val="150"/>
                                      <w:position w:val="-45"/>
                                      <w:sz w:val="114"/>
                                      <w:szCs w:val="114"/>
                                    </w:rPr>
                                    <w:t>-</w:t>
                                  </w:r>
                                </w:p>
                                <w:p w:rsidR="007B2B7B" w:rsidRDefault="007B2B7B">
                                  <w:pPr>
                                    <w:pStyle w:val="TableParagraph"/>
                                    <w:kinsoku w:val="0"/>
                                    <w:overflowPunct w:val="0"/>
                                    <w:spacing w:line="142" w:lineRule="exact"/>
                                    <w:ind w:left="62" w:right="-26"/>
                                    <w:rPr>
                                      <w:rFonts w:ascii="Times New Roman" w:hAnsi="Times New Roman" w:cs="Times New Roman"/>
                                    </w:rPr>
                                  </w:pPr>
                                  <w:r>
                                    <w:rPr>
                                      <w:b/>
                                      <w:bCs/>
                                      <w:color w:val="FBEBD1"/>
                                      <w:w w:val="65"/>
                                      <w:sz w:val="43"/>
                                      <w:szCs w:val="43"/>
                                    </w:rPr>
                                    <w:t>C</w:t>
                                  </w:r>
                                  <w:r>
                                    <w:rPr>
                                      <w:b/>
                                      <w:bCs/>
                                      <w:color w:val="FBEBD1"/>
                                      <w:spacing w:val="-31"/>
                                      <w:w w:val="65"/>
                                      <w:sz w:val="43"/>
                                      <w:szCs w:val="43"/>
                                    </w:rPr>
                                    <w:t xml:space="preserve"> </w:t>
                                  </w:r>
                                  <w:r>
                                    <w:rPr>
                                      <w:b/>
                                      <w:bCs/>
                                      <w:color w:val="FBEBD1"/>
                                      <w:w w:val="65"/>
                                      <w:sz w:val="43"/>
                                      <w:szCs w:val="43"/>
                                    </w:rPr>
                                    <w:t>H</w:t>
                                  </w:r>
                                  <w:r>
                                    <w:rPr>
                                      <w:b/>
                                      <w:bCs/>
                                      <w:color w:val="FBEBD1"/>
                                      <w:spacing w:val="-46"/>
                                      <w:w w:val="65"/>
                                      <w:sz w:val="43"/>
                                      <w:szCs w:val="43"/>
                                    </w:rPr>
                                    <w:t xml:space="preserve"> </w:t>
                                  </w:r>
                                  <w:r>
                                    <w:rPr>
                                      <w:b/>
                                      <w:bCs/>
                                      <w:color w:val="FBEBD1"/>
                                      <w:w w:val="65"/>
                                      <w:sz w:val="43"/>
                                      <w:szCs w:val="43"/>
                                    </w:rPr>
                                    <w:t>IL</w:t>
                                  </w:r>
                                  <w:r>
                                    <w:rPr>
                                      <w:b/>
                                      <w:bCs/>
                                      <w:color w:val="FBEBD1"/>
                                      <w:spacing w:val="-38"/>
                                      <w:w w:val="65"/>
                                      <w:sz w:val="43"/>
                                      <w:szCs w:val="43"/>
                                    </w:rPr>
                                    <w:t xml:space="preserve"> </w:t>
                                  </w:r>
                                  <w:proofErr w:type="spellStart"/>
                                  <w:r>
                                    <w:rPr>
                                      <w:b/>
                                      <w:bCs/>
                                      <w:color w:val="FBEBD1"/>
                                      <w:w w:val="65"/>
                                      <w:sz w:val="43"/>
                                      <w:szCs w:val="43"/>
                                    </w:rPr>
                                    <w:t>Dr</w:t>
                                  </w:r>
                                  <w:proofErr w:type="spellEnd"/>
                                  <w:r>
                                    <w:rPr>
                                      <w:b/>
                                      <w:bCs/>
                                      <w:color w:val="FBEBD1"/>
                                      <w:spacing w:val="-29"/>
                                      <w:w w:val="65"/>
                                      <w:sz w:val="43"/>
                                      <w:szCs w:val="43"/>
                                    </w:rPr>
                                    <w:t xml:space="preserve"> </w:t>
                                  </w:r>
                                  <w:r>
                                    <w:rPr>
                                      <w:b/>
                                      <w:bCs/>
                                      <w:color w:val="FBEBD1"/>
                                      <w:spacing w:val="10"/>
                                      <w:w w:val="65"/>
                                      <w:sz w:val="43"/>
                                      <w:szCs w:val="43"/>
                                    </w:rPr>
                                    <w:t>8N'S</w:t>
                                  </w:r>
                                </w:p>
                              </w:tc>
                            </w:tr>
                            <w:tr w:rsidR="007B2B7B">
                              <w:trPr>
                                <w:trHeight w:hRule="exact" w:val="413"/>
                              </w:trPr>
                              <w:tc>
                                <w:tcPr>
                                  <w:tcW w:w="1906" w:type="dxa"/>
                                  <w:gridSpan w:val="2"/>
                                  <w:tcBorders>
                                    <w:top w:val="nil"/>
                                    <w:left w:val="nil"/>
                                    <w:bottom w:val="nil"/>
                                    <w:right w:val="nil"/>
                                  </w:tcBorders>
                                </w:tcPr>
                                <w:p w:rsidR="007B2B7B" w:rsidRDefault="007B2B7B">
                                  <w:pPr>
                                    <w:pStyle w:val="TableParagraph"/>
                                    <w:kinsoku w:val="0"/>
                                    <w:overflowPunct w:val="0"/>
                                    <w:spacing w:line="393" w:lineRule="exact"/>
                                    <w:ind w:left="55" w:right="-5"/>
                                    <w:rPr>
                                      <w:rFonts w:ascii="Times New Roman" w:hAnsi="Times New Roman" w:cs="Times New Roman"/>
                                    </w:rPr>
                                  </w:pPr>
                                  <w:r>
                                    <w:rPr>
                                      <w:b/>
                                      <w:bCs/>
                                      <w:color w:val="FBEBD1"/>
                                      <w:w w:val="55"/>
                                      <w:sz w:val="42"/>
                                      <w:szCs w:val="42"/>
                                    </w:rPr>
                                    <w:t>M8NT8L H88LTH</w:t>
                                  </w:r>
                                </w:p>
                              </w:tc>
                            </w:tr>
                            <w:tr w:rsidR="007B2B7B">
                              <w:trPr>
                                <w:trHeight w:hRule="exact" w:val="539"/>
                              </w:trPr>
                              <w:tc>
                                <w:tcPr>
                                  <w:tcW w:w="1331" w:type="dxa"/>
                                  <w:tcBorders>
                                    <w:top w:val="nil"/>
                                    <w:left w:val="nil"/>
                                    <w:bottom w:val="nil"/>
                                    <w:right w:val="single" w:sz="26" w:space="0" w:color="E8561A"/>
                                  </w:tcBorders>
                                </w:tcPr>
                                <w:p w:rsidR="007B2B7B" w:rsidRDefault="007B2B7B">
                                  <w:pPr>
                                    <w:pStyle w:val="TableParagraph"/>
                                    <w:tabs>
                                      <w:tab w:val="left" w:pos="1331"/>
                                    </w:tabs>
                                    <w:kinsoku w:val="0"/>
                                    <w:overflowPunct w:val="0"/>
                                    <w:spacing w:line="469" w:lineRule="exact"/>
                                    <w:ind w:left="0" w:right="-34"/>
                                    <w:rPr>
                                      <w:rFonts w:ascii="Times New Roman" w:hAnsi="Times New Roman" w:cs="Times New Roman"/>
                                    </w:rPr>
                                  </w:pPr>
                                  <w:r>
                                    <w:rPr>
                                      <w:b/>
                                      <w:bCs/>
                                      <w:color w:val="FBEBD1"/>
                                      <w:spacing w:val="-35"/>
                                      <w:w w:val="74"/>
                                      <w:sz w:val="43"/>
                                      <w:szCs w:val="43"/>
                                      <w:shd w:val="clear" w:color="auto" w:fill="E46B28"/>
                                    </w:rPr>
                                    <w:t xml:space="preserve"> </w:t>
                                  </w:r>
                                  <w:r>
                                    <w:rPr>
                                      <w:b/>
                                      <w:bCs/>
                                      <w:color w:val="FBEBD1"/>
                                      <w:w w:val="75"/>
                                      <w:sz w:val="43"/>
                                      <w:szCs w:val="43"/>
                                      <w:shd w:val="clear" w:color="auto" w:fill="E46B28"/>
                                    </w:rPr>
                                    <w:t>C</w:t>
                                  </w:r>
                                  <w:r>
                                    <w:rPr>
                                      <w:b/>
                                      <w:bCs/>
                                      <w:color w:val="FBEBD1"/>
                                      <w:spacing w:val="-45"/>
                                      <w:w w:val="75"/>
                                      <w:sz w:val="43"/>
                                      <w:szCs w:val="43"/>
                                      <w:shd w:val="clear" w:color="auto" w:fill="E46B28"/>
                                    </w:rPr>
                                    <w:t xml:space="preserve"> </w:t>
                                  </w:r>
                                  <w:r>
                                    <w:rPr>
                                      <w:b/>
                                      <w:bCs/>
                                      <w:color w:val="FBEBD1"/>
                                      <w:w w:val="75"/>
                                      <w:sz w:val="43"/>
                                      <w:szCs w:val="43"/>
                                      <w:shd w:val="clear" w:color="auto" w:fill="E46B28"/>
                                    </w:rPr>
                                    <w:t>8</w:t>
                                  </w:r>
                                  <w:r>
                                    <w:rPr>
                                      <w:b/>
                                      <w:bCs/>
                                      <w:color w:val="FBEBD1"/>
                                      <w:spacing w:val="-42"/>
                                      <w:w w:val="75"/>
                                      <w:sz w:val="43"/>
                                      <w:szCs w:val="43"/>
                                      <w:shd w:val="clear" w:color="auto" w:fill="E46B28"/>
                                    </w:rPr>
                                    <w:t xml:space="preserve"> </w:t>
                                  </w:r>
                                  <w:r>
                                    <w:rPr>
                                      <w:b/>
                                      <w:bCs/>
                                      <w:color w:val="FBEBD1"/>
                                      <w:spacing w:val="5"/>
                                      <w:w w:val="75"/>
                                      <w:sz w:val="43"/>
                                      <w:szCs w:val="43"/>
                                      <w:shd w:val="clear" w:color="auto" w:fill="E46B28"/>
                                    </w:rPr>
                                    <w:t>MP8</w:t>
                                  </w:r>
                                  <w:r>
                                    <w:rPr>
                                      <w:b/>
                                      <w:bCs/>
                                      <w:color w:val="FBEBD1"/>
                                      <w:spacing w:val="5"/>
                                      <w:sz w:val="43"/>
                                      <w:szCs w:val="43"/>
                                      <w:shd w:val="clear" w:color="auto" w:fill="E46B28"/>
                                    </w:rPr>
                                    <w:tab/>
                                  </w:r>
                                </w:p>
                              </w:tc>
                              <w:tc>
                                <w:tcPr>
                                  <w:tcW w:w="575" w:type="dxa"/>
                                  <w:tcBorders>
                                    <w:top w:val="nil"/>
                                    <w:left w:val="single" w:sz="26" w:space="0" w:color="E8561A"/>
                                    <w:bottom w:val="nil"/>
                                    <w:right w:val="nil"/>
                                  </w:tcBorders>
                                </w:tcPr>
                                <w:p w:rsidR="007B2B7B" w:rsidRDefault="007B2B7B">
                                  <w:pPr>
                                    <w:pStyle w:val="TableParagraph"/>
                                    <w:kinsoku w:val="0"/>
                                    <w:overflowPunct w:val="0"/>
                                    <w:spacing w:line="469" w:lineRule="exact"/>
                                    <w:ind w:left="-32"/>
                                    <w:rPr>
                                      <w:rFonts w:ascii="Times New Roman" w:hAnsi="Times New Roman" w:cs="Times New Roman"/>
                                    </w:rPr>
                                  </w:pPr>
                                  <w:r>
                                    <w:rPr>
                                      <w:b/>
                                      <w:bCs/>
                                      <w:color w:val="F9F6EF"/>
                                      <w:w w:val="55"/>
                                      <w:sz w:val="43"/>
                                      <w:szCs w:val="43"/>
                                      <w:shd w:val="clear" w:color="auto" w:fill="E46B28"/>
                                    </w:rPr>
                                    <w:t>1</w:t>
                                  </w:r>
                                  <w:r>
                                    <w:rPr>
                                      <w:b/>
                                      <w:bCs/>
                                      <w:color w:val="F9F6EF"/>
                                      <w:spacing w:val="-27"/>
                                      <w:w w:val="55"/>
                                      <w:sz w:val="43"/>
                                      <w:szCs w:val="43"/>
                                      <w:shd w:val="clear" w:color="auto" w:fill="E46B28"/>
                                    </w:rPr>
                                    <w:t xml:space="preserve"> </w:t>
                                  </w:r>
                                  <w:r>
                                    <w:rPr>
                                      <w:b/>
                                      <w:bCs/>
                                      <w:color w:val="FBEBD1"/>
                                      <w:w w:val="55"/>
                                      <w:sz w:val="43"/>
                                      <w:szCs w:val="43"/>
                                      <w:shd w:val="clear" w:color="auto" w:fill="E46B28"/>
                                    </w:rPr>
                                    <w:t>G</w:t>
                                  </w:r>
                                  <w:r>
                                    <w:rPr>
                                      <w:b/>
                                      <w:bCs/>
                                      <w:color w:val="FBEBD1"/>
                                      <w:spacing w:val="-37"/>
                                      <w:w w:val="55"/>
                                      <w:sz w:val="43"/>
                                      <w:szCs w:val="43"/>
                                      <w:shd w:val="clear" w:color="auto" w:fill="E46B28"/>
                                    </w:rPr>
                                    <w:t xml:space="preserve"> </w:t>
                                  </w:r>
                                  <w:r>
                                    <w:rPr>
                                      <w:b/>
                                      <w:bCs/>
                                      <w:color w:val="FBEBD1"/>
                                      <w:w w:val="55"/>
                                      <w:sz w:val="43"/>
                                      <w:szCs w:val="43"/>
                                      <w:shd w:val="clear" w:color="auto" w:fill="E46B28"/>
                                    </w:rPr>
                                    <w:t>N</w:t>
                                  </w:r>
                                </w:p>
                              </w:tc>
                            </w:tr>
                          </w:tbl>
                          <w:p w:rsidR="007B2B7B" w:rsidRDefault="007B2B7B">
                            <w:pPr>
                              <w:pStyle w:val="BodyText"/>
                              <w:kinsoku w:val="0"/>
                              <w:overflowPunct w:val="0"/>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4" o:spid="_x0000_s1154" type="#_x0000_t202" style="position:absolute;left:0;text-align:left;margin-left:271.45pt;margin-top:-100.2pt;width:95.3pt;height:150.25pt;z-index:251558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" o:allowincell="f"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1331"/>
                        <w:gridCol w:w="575"/>
                      </w:tblGrid>
                      <w:tr w:rsidR="007B2B7B">
                        <w:trPr>
                          <w:trHeight w:hRule="exact" w:val="2053"/>
                        </w:trPr>
                        <w:tc>
                          <w:tcPr>
                            <w:tcW w:w="1906" w:type="dxa"/>
                            <w:gridSpan w:val="2"/>
                            <w:tcBorders>
                              <w:top w:val="nil"/>
                              <w:left w:val="nil"/>
                              <w:bottom w:val="nil"/>
                              <w:right w:val="nil"/>
                            </w:tcBorders>
                          </w:tcPr>
                          <w:p w:rsidR="007B2B7B" w:rsidRDefault="007B2B7B" w:rsidP="00B27397">
                            <w:pPr>
                              <w:pStyle w:val="TableParagraph"/>
                              <w:kinsoku w:val="0"/>
                              <w:overflowPunct w:val="0"/>
                              <w:spacing w:before="225" w:line="1726" w:lineRule="exact"/>
                              <w:ind w:left="76" w:right="-26"/>
                              <w:jc w:val="center"/>
                              <w:rPr>
                                <w:color w:val="F9F6EF"/>
                                <w:spacing w:val="-59"/>
                                <w:w w:val="150"/>
                                <w:position w:val="-45"/>
                                <w:sz w:val="114"/>
                                <w:szCs w:val="114"/>
                              </w:rPr>
                            </w:pPr>
                            <w:r>
                              <w:rPr>
                                <w:rFonts w:ascii="Times New Roman" w:hAnsi="Times New Roman" w:cs="Times New Roman"/>
                                <w:color w:val="F9F6EF"/>
                                <w:spacing w:val="-59"/>
                                <w:w w:val="150"/>
                                <w:sz w:val="144"/>
                                <w:szCs w:val="144"/>
                              </w:rPr>
                              <w:t>,.</w:t>
                            </w:r>
                            <w:r>
                              <w:rPr>
                                <w:rFonts w:ascii="Times New Roman" w:hAnsi="Times New Roman" w:cs="Times New Roman"/>
                                <w:color w:val="F9F6EF"/>
                                <w:spacing w:val="-59"/>
                                <w:w w:val="150"/>
                                <w:sz w:val="112"/>
                                <w:szCs w:val="112"/>
                              </w:rPr>
                              <w:t>,</w:t>
                            </w:r>
                            <w:r>
                              <w:rPr>
                                <w:color w:val="F9F6EF"/>
                                <w:spacing w:val="-59"/>
                                <w:w w:val="150"/>
                                <w:position w:val="-45"/>
                                <w:sz w:val="114"/>
                                <w:szCs w:val="114"/>
                              </w:rPr>
                              <w:t>-</w:t>
                            </w:r>
                          </w:p>
                          <w:p w:rsidR="007B2B7B" w:rsidRDefault="007B2B7B">
                            <w:pPr>
                              <w:pStyle w:val="TableParagraph"/>
                              <w:kinsoku w:val="0"/>
                              <w:overflowPunct w:val="0"/>
                              <w:spacing w:line="142" w:lineRule="exact"/>
                              <w:ind w:left="62" w:right="-26"/>
                              <w:rPr>
                                <w:rFonts w:ascii="Times New Roman" w:hAnsi="Times New Roman" w:cs="Times New Roman"/>
                              </w:rPr>
                            </w:pPr>
                            <w:r>
                              <w:rPr>
                                <w:b/>
                                <w:bCs/>
                                <w:color w:val="FBEBD1"/>
                                <w:w w:val="65"/>
                                <w:sz w:val="43"/>
                                <w:szCs w:val="43"/>
                              </w:rPr>
                              <w:t>C</w:t>
                            </w:r>
                            <w:r>
                              <w:rPr>
                                <w:b/>
                                <w:bCs/>
                                <w:color w:val="FBEBD1"/>
                                <w:spacing w:val="-31"/>
                                <w:w w:val="65"/>
                                <w:sz w:val="43"/>
                                <w:szCs w:val="43"/>
                              </w:rPr>
                              <w:t xml:space="preserve"> </w:t>
                            </w:r>
                            <w:r>
                              <w:rPr>
                                <w:b/>
                                <w:bCs/>
                                <w:color w:val="FBEBD1"/>
                                <w:w w:val="65"/>
                                <w:sz w:val="43"/>
                                <w:szCs w:val="43"/>
                              </w:rPr>
                              <w:t>H</w:t>
                            </w:r>
                            <w:r>
                              <w:rPr>
                                <w:b/>
                                <w:bCs/>
                                <w:color w:val="FBEBD1"/>
                                <w:spacing w:val="-46"/>
                                <w:w w:val="65"/>
                                <w:sz w:val="43"/>
                                <w:szCs w:val="43"/>
                              </w:rPr>
                              <w:t xml:space="preserve"> </w:t>
                            </w:r>
                            <w:r>
                              <w:rPr>
                                <w:b/>
                                <w:bCs/>
                                <w:color w:val="FBEBD1"/>
                                <w:w w:val="65"/>
                                <w:sz w:val="43"/>
                                <w:szCs w:val="43"/>
                              </w:rPr>
                              <w:t>IL</w:t>
                            </w:r>
                            <w:r>
                              <w:rPr>
                                <w:b/>
                                <w:bCs/>
                                <w:color w:val="FBEBD1"/>
                                <w:spacing w:val="-38"/>
                                <w:w w:val="65"/>
                                <w:sz w:val="43"/>
                                <w:szCs w:val="43"/>
                              </w:rPr>
                              <w:t xml:space="preserve"> </w:t>
                            </w:r>
                            <w:proofErr w:type="spellStart"/>
                            <w:r>
                              <w:rPr>
                                <w:b/>
                                <w:bCs/>
                                <w:color w:val="FBEBD1"/>
                                <w:w w:val="65"/>
                                <w:sz w:val="43"/>
                                <w:szCs w:val="43"/>
                              </w:rPr>
                              <w:t>Dr</w:t>
                            </w:r>
                            <w:proofErr w:type="spellEnd"/>
                            <w:r>
                              <w:rPr>
                                <w:b/>
                                <w:bCs/>
                                <w:color w:val="FBEBD1"/>
                                <w:spacing w:val="-29"/>
                                <w:w w:val="65"/>
                                <w:sz w:val="43"/>
                                <w:szCs w:val="43"/>
                              </w:rPr>
                              <w:t xml:space="preserve"> </w:t>
                            </w:r>
                            <w:r>
                              <w:rPr>
                                <w:b/>
                                <w:bCs/>
                                <w:color w:val="FBEBD1"/>
                                <w:spacing w:val="10"/>
                                <w:w w:val="65"/>
                                <w:sz w:val="43"/>
                                <w:szCs w:val="43"/>
                              </w:rPr>
                              <w:t>8N'S</w:t>
                            </w:r>
                          </w:p>
                        </w:tc>
                      </w:tr>
                      <w:tr w:rsidR="007B2B7B">
                        <w:trPr>
                          <w:trHeight w:hRule="exact" w:val="413"/>
                        </w:trPr>
                        <w:tc>
                          <w:tcPr>
                            <w:tcW w:w="1906" w:type="dxa"/>
                            <w:gridSpan w:val="2"/>
                            <w:tcBorders>
                              <w:top w:val="nil"/>
                              <w:left w:val="nil"/>
                              <w:bottom w:val="nil"/>
                              <w:right w:val="nil"/>
                            </w:tcBorders>
                          </w:tcPr>
                          <w:p w:rsidR="007B2B7B" w:rsidRDefault="007B2B7B">
                            <w:pPr>
                              <w:pStyle w:val="TableParagraph"/>
                              <w:kinsoku w:val="0"/>
                              <w:overflowPunct w:val="0"/>
                              <w:spacing w:line="393" w:lineRule="exact"/>
                              <w:ind w:left="55" w:right="-5"/>
                              <w:rPr>
                                <w:rFonts w:ascii="Times New Roman" w:hAnsi="Times New Roman" w:cs="Times New Roman"/>
                              </w:rPr>
                            </w:pPr>
                            <w:r>
                              <w:rPr>
                                <w:b/>
                                <w:bCs/>
                                <w:color w:val="FBEBD1"/>
                                <w:w w:val="55"/>
                                <w:sz w:val="42"/>
                                <w:szCs w:val="42"/>
                              </w:rPr>
                              <w:t>M8NT8L H88LTH</w:t>
                            </w:r>
                          </w:p>
                        </w:tc>
                      </w:tr>
                      <w:tr w:rsidR="007B2B7B">
                        <w:trPr>
                          <w:trHeight w:hRule="exact" w:val="539"/>
                        </w:trPr>
                        <w:tc>
                          <w:tcPr>
                            <w:tcW w:w="1331" w:type="dxa"/>
                            <w:tcBorders>
                              <w:top w:val="nil"/>
                              <w:left w:val="nil"/>
                              <w:bottom w:val="nil"/>
                              <w:right w:val="single" w:sz="26" w:space="0" w:color="E8561A"/>
                            </w:tcBorders>
                          </w:tcPr>
                          <w:p w:rsidR="007B2B7B" w:rsidRDefault="007B2B7B">
                            <w:pPr>
                              <w:pStyle w:val="TableParagraph"/>
                              <w:tabs>
                                <w:tab w:val="left" w:pos="1331"/>
                              </w:tabs>
                              <w:kinsoku w:val="0"/>
                              <w:overflowPunct w:val="0"/>
                              <w:spacing w:line="469" w:lineRule="exact"/>
                              <w:ind w:left="0" w:right="-34"/>
                              <w:rPr>
                                <w:rFonts w:ascii="Times New Roman" w:hAnsi="Times New Roman" w:cs="Times New Roman"/>
                              </w:rPr>
                            </w:pPr>
                            <w:r>
                              <w:rPr>
                                <w:b/>
                                <w:bCs/>
                                <w:color w:val="FBEBD1"/>
                                <w:spacing w:val="-35"/>
                                <w:w w:val="74"/>
                                <w:sz w:val="43"/>
                                <w:szCs w:val="43"/>
                                <w:shd w:val="clear" w:color="auto" w:fill="E46B28"/>
                              </w:rPr>
                              <w:t xml:space="preserve"> </w:t>
                            </w:r>
                            <w:r>
                              <w:rPr>
                                <w:b/>
                                <w:bCs/>
                                <w:color w:val="FBEBD1"/>
                                <w:w w:val="75"/>
                                <w:sz w:val="43"/>
                                <w:szCs w:val="43"/>
                                <w:shd w:val="clear" w:color="auto" w:fill="E46B28"/>
                              </w:rPr>
                              <w:t>C</w:t>
                            </w:r>
                            <w:r>
                              <w:rPr>
                                <w:b/>
                                <w:bCs/>
                                <w:color w:val="FBEBD1"/>
                                <w:spacing w:val="-45"/>
                                <w:w w:val="75"/>
                                <w:sz w:val="43"/>
                                <w:szCs w:val="43"/>
                                <w:shd w:val="clear" w:color="auto" w:fill="E46B28"/>
                              </w:rPr>
                              <w:t xml:space="preserve"> </w:t>
                            </w:r>
                            <w:r>
                              <w:rPr>
                                <w:b/>
                                <w:bCs/>
                                <w:color w:val="FBEBD1"/>
                                <w:w w:val="75"/>
                                <w:sz w:val="43"/>
                                <w:szCs w:val="43"/>
                                <w:shd w:val="clear" w:color="auto" w:fill="E46B28"/>
                              </w:rPr>
                              <w:t>8</w:t>
                            </w:r>
                            <w:r>
                              <w:rPr>
                                <w:b/>
                                <w:bCs/>
                                <w:color w:val="FBEBD1"/>
                                <w:spacing w:val="-42"/>
                                <w:w w:val="75"/>
                                <w:sz w:val="43"/>
                                <w:szCs w:val="43"/>
                                <w:shd w:val="clear" w:color="auto" w:fill="E46B28"/>
                              </w:rPr>
                              <w:t xml:space="preserve"> </w:t>
                            </w:r>
                            <w:r>
                              <w:rPr>
                                <w:b/>
                                <w:bCs/>
                                <w:color w:val="FBEBD1"/>
                                <w:spacing w:val="5"/>
                                <w:w w:val="75"/>
                                <w:sz w:val="43"/>
                                <w:szCs w:val="43"/>
                                <w:shd w:val="clear" w:color="auto" w:fill="E46B28"/>
                              </w:rPr>
                              <w:t>MP8</w:t>
                            </w:r>
                            <w:r>
                              <w:rPr>
                                <w:b/>
                                <w:bCs/>
                                <w:color w:val="FBEBD1"/>
                                <w:spacing w:val="5"/>
                                <w:sz w:val="43"/>
                                <w:szCs w:val="43"/>
                                <w:shd w:val="clear" w:color="auto" w:fill="E46B28"/>
                              </w:rPr>
                              <w:tab/>
                            </w:r>
                          </w:p>
                        </w:tc>
                        <w:tc>
                          <w:tcPr>
                            <w:tcW w:w="575" w:type="dxa"/>
                            <w:tcBorders>
                              <w:top w:val="nil"/>
                              <w:left w:val="single" w:sz="26" w:space="0" w:color="E8561A"/>
                              <w:bottom w:val="nil"/>
                              <w:right w:val="nil"/>
                            </w:tcBorders>
                          </w:tcPr>
                          <w:p w:rsidR="007B2B7B" w:rsidRDefault="007B2B7B">
                            <w:pPr>
                              <w:pStyle w:val="TableParagraph"/>
                              <w:kinsoku w:val="0"/>
                              <w:overflowPunct w:val="0"/>
                              <w:spacing w:line="469" w:lineRule="exact"/>
                              <w:ind w:left="-32"/>
                              <w:rPr>
                                <w:rFonts w:ascii="Times New Roman" w:hAnsi="Times New Roman" w:cs="Times New Roman"/>
                              </w:rPr>
                            </w:pPr>
                            <w:r>
                              <w:rPr>
                                <w:b/>
                                <w:bCs/>
                                <w:color w:val="F9F6EF"/>
                                <w:w w:val="55"/>
                                <w:sz w:val="43"/>
                                <w:szCs w:val="43"/>
                                <w:shd w:val="clear" w:color="auto" w:fill="E46B28"/>
                              </w:rPr>
                              <w:t>1</w:t>
                            </w:r>
                            <w:r>
                              <w:rPr>
                                <w:b/>
                                <w:bCs/>
                                <w:color w:val="F9F6EF"/>
                                <w:spacing w:val="-27"/>
                                <w:w w:val="55"/>
                                <w:sz w:val="43"/>
                                <w:szCs w:val="43"/>
                                <w:shd w:val="clear" w:color="auto" w:fill="E46B28"/>
                              </w:rPr>
                              <w:t xml:space="preserve"> </w:t>
                            </w:r>
                            <w:r>
                              <w:rPr>
                                <w:b/>
                                <w:bCs/>
                                <w:color w:val="FBEBD1"/>
                                <w:w w:val="55"/>
                                <w:sz w:val="43"/>
                                <w:szCs w:val="43"/>
                                <w:shd w:val="clear" w:color="auto" w:fill="E46B28"/>
                              </w:rPr>
                              <w:t>G</w:t>
                            </w:r>
                            <w:r>
                              <w:rPr>
                                <w:b/>
                                <w:bCs/>
                                <w:color w:val="FBEBD1"/>
                                <w:spacing w:val="-37"/>
                                <w:w w:val="55"/>
                                <w:sz w:val="43"/>
                                <w:szCs w:val="43"/>
                                <w:shd w:val="clear" w:color="auto" w:fill="E46B28"/>
                              </w:rPr>
                              <w:t xml:space="preserve"> </w:t>
                            </w:r>
                            <w:r>
                              <w:rPr>
                                <w:b/>
                                <w:bCs/>
                                <w:color w:val="FBEBD1"/>
                                <w:w w:val="55"/>
                                <w:sz w:val="43"/>
                                <w:szCs w:val="43"/>
                                <w:shd w:val="clear" w:color="auto" w:fill="E46B28"/>
                              </w:rPr>
                              <w:t>N</w:t>
                            </w:r>
                          </w:p>
                        </w:tc>
                      </w:tr>
                    </w:tbl>
                    <w:p w:rsidR="007B2B7B" w:rsidRDefault="007B2B7B">
                      <w:pPr>
                        <w:pStyle w:val="BodyText"/>
                        <w:kinsoku w:val="0"/>
                        <w:overflowPunct w:val="0"/>
                        <w:rPr>
                          <w:rFonts w:ascii="Times New Roman" w:hAnsi="Times New Roman" w:cs="Times New Roman"/>
                          <w:sz w:val="24"/>
                          <w:szCs w:val="24"/>
                        </w:rPr>
                      </w:pPr>
                    </w:p>
                  </w:txbxContent>
                </v:textbox>
                <w10:wrap anchorx="page"/>
              </v:shape>
            </w:pict>
          </mc:Fallback>
        </mc:AlternateContent>
      </w:r>
      <w:bookmarkStart w:id="86" w:name="Children's_Mental_Health_Campaign_1115_W"/>
      <w:bookmarkEnd w:id="86"/>
      <w:r w:rsidR="002C5025">
        <w:rPr>
          <w:rFonts w:ascii="Times New Roman" w:hAnsi="Times New Roman" w:cs="Times New Roman"/>
          <w:color w:val="EFF249"/>
          <w:w w:val="89"/>
          <w:sz w:val="25"/>
          <w:szCs w:val="25"/>
        </w:rPr>
        <w:t>•</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1"/>
        <w:rPr>
          <w:rFonts w:ascii="Times New Roman" w:hAnsi="Times New Roman" w:cs="Times New Roman"/>
          <w:sz w:val="28"/>
          <w:szCs w:val="28"/>
        </w:rPr>
      </w:pPr>
    </w:p>
    <w:p w:rsidR="002C5025" w:rsidRDefault="002C5025">
      <w:pPr>
        <w:pStyle w:val="BodyText"/>
        <w:kinsoku w:val="0"/>
        <w:overflowPunct w:val="0"/>
        <w:spacing w:before="80" w:line="288" w:lineRule="auto"/>
        <w:ind w:left="3574" w:right="1546" w:firstLine="216"/>
        <w:rPr>
          <w:rFonts w:ascii="Arial" w:hAnsi="Arial" w:cs="Arial"/>
          <w:color w:val="BA4D46"/>
          <w:spacing w:val="-5"/>
          <w:w w:val="110"/>
          <w:sz w:val="16"/>
          <w:szCs w:val="16"/>
        </w:rPr>
      </w:pPr>
      <w:r>
        <w:rPr>
          <w:rFonts w:ascii="Arial" w:hAnsi="Arial" w:cs="Arial"/>
          <w:color w:val="BA4D46"/>
          <w:spacing w:val="-11"/>
          <w:w w:val="110"/>
          <w:sz w:val="16"/>
          <w:szCs w:val="16"/>
        </w:rPr>
        <w:t>38</w:t>
      </w:r>
      <w:r>
        <w:rPr>
          <w:rFonts w:ascii="Arial" w:hAnsi="Arial" w:cs="Arial"/>
          <w:color w:val="BC3434"/>
          <w:spacing w:val="-11"/>
          <w:w w:val="110"/>
          <w:sz w:val="16"/>
          <w:szCs w:val="16"/>
        </w:rPr>
        <w:t>1</w:t>
      </w:r>
      <w:r>
        <w:rPr>
          <w:rFonts w:ascii="Arial" w:hAnsi="Arial" w:cs="Arial"/>
          <w:color w:val="BA4D46"/>
          <w:spacing w:val="-11"/>
          <w:w w:val="110"/>
          <w:sz w:val="16"/>
          <w:szCs w:val="16"/>
        </w:rPr>
        <w:t xml:space="preserve">5 </w:t>
      </w:r>
      <w:r>
        <w:rPr>
          <w:rFonts w:ascii="Arial" w:hAnsi="Arial" w:cs="Arial"/>
          <w:color w:val="BC3434"/>
          <w:w w:val="110"/>
          <w:sz w:val="16"/>
          <w:szCs w:val="16"/>
        </w:rPr>
        <w:t>W</w:t>
      </w:r>
      <w:r>
        <w:rPr>
          <w:rFonts w:ascii="Arial" w:hAnsi="Arial" w:cs="Arial"/>
          <w:color w:val="BA4D46"/>
          <w:w w:val="110"/>
          <w:sz w:val="16"/>
          <w:szCs w:val="16"/>
        </w:rPr>
        <w:t>as</w:t>
      </w:r>
      <w:r>
        <w:rPr>
          <w:rFonts w:ascii="Arial" w:hAnsi="Arial" w:cs="Arial"/>
          <w:color w:val="BC3434"/>
          <w:w w:val="110"/>
          <w:sz w:val="16"/>
          <w:szCs w:val="16"/>
        </w:rPr>
        <w:t>hin</w:t>
      </w:r>
      <w:r>
        <w:rPr>
          <w:rFonts w:ascii="Arial" w:hAnsi="Arial" w:cs="Arial"/>
          <w:color w:val="BA4D46"/>
          <w:w w:val="110"/>
          <w:sz w:val="16"/>
          <w:szCs w:val="16"/>
        </w:rPr>
        <w:t>gto</w:t>
      </w:r>
      <w:r>
        <w:rPr>
          <w:rFonts w:ascii="Arial" w:hAnsi="Arial" w:cs="Arial"/>
          <w:color w:val="BC3434"/>
          <w:w w:val="110"/>
          <w:sz w:val="16"/>
          <w:szCs w:val="16"/>
        </w:rPr>
        <w:t xml:space="preserve">n </w:t>
      </w:r>
      <w:r>
        <w:rPr>
          <w:rFonts w:ascii="Arial" w:hAnsi="Arial" w:cs="Arial"/>
          <w:color w:val="BA4D46"/>
          <w:spacing w:val="-5"/>
          <w:w w:val="110"/>
          <w:sz w:val="16"/>
          <w:szCs w:val="16"/>
        </w:rPr>
        <w:t>S</w:t>
      </w:r>
      <w:r>
        <w:rPr>
          <w:rFonts w:ascii="Arial" w:hAnsi="Arial" w:cs="Arial"/>
          <w:color w:val="BC3434"/>
          <w:spacing w:val="-5"/>
          <w:w w:val="110"/>
          <w:sz w:val="16"/>
          <w:szCs w:val="16"/>
        </w:rPr>
        <w:t>tr</w:t>
      </w:r>
      <w:r>
        <w:rPr>
          <w:rFonts w:ascii="Arial" w:hAnsi="Arial" w:cs="Arial"/>
          <w:color w:val="BA4D46"/>
          <w:spacing w:val="-5"/>
          <w:w w:val="110"/>
          <w:sz w:val="16"/>
          <w:szCs w:val="16"/>
        </w:rPr>
        <w:t>ee</w:t>
      </w:r>
      <w:r>
        <w:rPr>
          <w:rFonts w:ascii="Arial" w:hAnsi="Arial" w:cs="Arial"/>
          <w:color w:val="BC3434"/>
          <w:spacing w:val="-5"/>
          <w:w w:val="110"/>
          <w:sz w:val="16"/>
          <w:szCs w:val="16"/>
        </w:rPr>
        <w:t xml:space="preserve">t </w:t>
      </w:r>
      <w:proofErr w:type="spellStart"/>
      <w:r>
        <w:rPr>
          <w:rFonts w:ascii="Arial" w:hAnsi="Arial" w:cs="Arial"/>
          <w:color w:val="BC3434"/>
          <w:spacing w:val="-3"/>
          <w:w w:val="110"/>
          <w:sz w:val="16"/>
          <w:szCs w:val="16"/>
        </w:rPr>
        <w:t>Bo</w:t>
      </w:r>
      <w:r>
        <w:rPr>
          <w:rFonts w:ascii="Arial" w:hAnsi="Arial" w:cs="Arial"/>
          <w:color w:val="BA4D46"/>
          <w:spacing w:val="-3"/>
          <w:w w:val="110"/>
          <w:sz w:val="16"/>
          <w:szCs w:val="16"/>
        </w:rPr>
        <w:t>s</w:t>
      </w:r>
      <w:r>
        <w:rPr>
          <w:rFonts w:ascii="Arial" w:hAnsi="Arial" w:cs="Arial"/>
          <w:color w:val="BC3434"/>
          <w:spacing w:val="-3"/>
          <w:w w:val="110"/>
          <w:sz w:val="16"/>
          <w:szCs w:val="16"/>
        </w:rPr>
        <w:t>ton</w:t>
      </w:r>
      <w:r>
        <w:rPr>
          <w:rFonts w:ascii="Arial" w:hAnsi="Arial" w:cs="Arial"/>
          <w:color w:val="BA4D46"/>
          <w:spacing w:val="-3"/>
          <w:w w:val="110"/>
          <w:sz w:val="16"/>
          <w:szCs w:val="16"/>
        </w:rPr>
        <w:t>,</w:t>
      </w:r>
      <w:r>
        <w:rPr>
          <w:rFonts w:ascii="Arial" w:hAnsi="Arial" w:cs="Arial"/>
          <w:color w:val="BC3434"/>
          <w:spacing w:val="-3"/>
          <w:w w:val="110"/>
          <w:sz w:val="16"/>
          <w:szCs w:val="16"/>
        </w:rPr>
        <w:t>M</w:t>
      </w:r>
      <w:r>
        <w:rPr>
          <w:rFonts w:ascii="Arial" w:hAnsi="Arial" w:cs="Arial"/>
          <w:color w:val="BA4D46"/>
          <w:spacing w:val="-3"/>
          <w:w w:val="110"/>
          <w:sz w:val="16"/>
          <w:szCs w:val="16"/>
        </w:rPr>
        <w:t>A</w:t>
      </w:r>
      <w:proofErr w:type="spellEnd"/>
      <w:r>
        <w:rPr>
          <w:rFonts w:ascii="Arial" w:hAnsi="Arial" w:cs="Arial"/>
          <w:color w:val="BA4D46"/>
          <w:spacing w:val="-3"/>
          <w:w w:val="110"/>
          <w:sz w:val="16"/>
          <w:szCs w:val="16"/>
        </w:rPr>
        <w:t xml:space="preserve"> </w:t>
      </w:r>
      <w:hyperlink r:id="rId191" w:history="1">
        <w:r>
          <w:rPr>
            <w:rFonts w:ascii="Arial" w:hAnsi="Arial" w:cs="Arial"/>
            <w:color w:val="BA4D46"/>
            <w:spacing w:val="-5"/>
            <w:w w:val="110"/>
            <w:sz w:val="16"/>
            <w:szCs w:val="16"/>
          </w:rPr>
          <w:t>www.c</w:t>
        </w:r>
        <w:r>
          <w:rPr>
            <w:rFonts w:ascii="Arial" w:hAnsi="Arial" w:cs="Arial"/>
            <w:color w:val="BC3434"/>
            <w:spacing w:val="-5"/>
            <w:w w:val="110"/>
            <w:sz w:val="16"/>
            <w:szCs w:val="16"/>
          </w:rPr>
          <w:t>hlld</w:t>
        </w:r>
        <w:r>
          <w:rPr>
            <w:rFonts w:ascii="Arial" w:hAnsi="Arial" w:cs="Arial"/>
            <w:color w:val="BA4D46"/>
            <w:spacing w:val="-5"/>
            <w:w w:val="110"/>
            <w:sz w:val="16"/>
            <w:szCs w:val="16"/>
          </w:rPr>
          <w:t>re</w:t>
        </w:r>
        <w:r>
          <w:rPr>
            <w:rFonts w:ascii="Arial" w:hAnsi="Arial" w:cs="Arial"/>
            <w:color w:val="BC3434"/>
            <w:spacing w:val="-5"/>
            <w:w w:val="110"/>
            <w:sz w:val="16"/>
            <w:szCs w:val="16"/>
          </w:rPr>
          <w:t>n</w:t>
        </w:r>
        <w:r>
          <w:rPr>
            <w:rFonts w:ascii="Arial" w:hAnsi="Arial" w:cs="Arial"/>
            <w:color w:val="BA4D46"/>
            <w:spacing w:val="-5"/>
            <w:w w:val="110"/>
            <w:sz w:val="16"/>
            <w:szCs w:val="16"/>
          </w:rPr>
          <w:t>s</w:t>
        </w:r>
        <w:r>
          <w:rPr>
            <w:rFonts w:ascii="Arial" w:hAnsi="Arial" w:cs="Arial"/>
            <w:color w:val="BC3434"/>
            <w:spacing w:val="-5"/>
            <w:w w:val="110"/>
            <w:sz w:val="16"/>
            <w:szCs w:val="16"/>
          </w:rPr>
          <w:t>m</w:t>
        </w:r>
        <w:r>
          <w:rPr>
            <w:rFonts w:ascii="Arial" w:hAnsi="Arial" w:cs="Arial"/>
            <w:color w:val="C86259"/>
            <w:spacing w:val="-5"/>
            <w:w w:val="110"/>
            <w:sz w:val="16"/>
            <w:szCs w:val="16"/>
          </w:rPr>
          <w:t>enta</w:t>
        </w:r>
        <w:r>
          <w:rPr>
            <w:rFonts w:ascii="Arial" w:hAnsi="Arial" w:cs="Arial"/>
            <w:color w:val="BC3434"/>
            <w:spacing w:val="-5"/>
            <w:w w:val="110"/>
            <w:sz w:val="16"/>
            <w:szCs w:val="16"/>
          </w:rPr>
          <w:t>lh</w:t>
        </w:r>
        <w:r>
          <w:rPr>
            <w:rFonts w:ascii="Arial" w:hAnsi="Arial" w:cs="Arial"/>
            <w:color w:val="BA4D46"/>
            <w:spacing w:val="-5"/>
            <w:w w:val="110"/>
            <w:sz w:val="16"/>
            <w:szCs w:val="16"/>
          </w:rPr>
          <w:t>ea</w:t>
        </w:r>
        <w:r>
          <w:rPr>
            <w:rFonts w:ascii="Arial" w:hAnsi="Arial" w:cs="Arial"/>
            <w:color w:val="E60E2F"/>
            <w:spacing w:val="-5"/>
            <w:w w:val="110"/>
            <w:sz w:val="16"/>
            <w:szCs w:val="16"/>
          </w:rPr>
          <w:t>l</w:t>
        </w:r>
        <w:r>
          <w:rPr>
            <w:rFonts w:ascii="Arial" w:hAnsi="Arial" w:cs="Arial"/>
            <w:color w:val="BC3434"/>
            <w:spacing w:val="-5"/>
            <w:w w:val="110"/>
            <w:sz w:val="16"/>
            <w:szCs w:val="16"/>
          </w:rPr>
          <w:t>thc</w:t>
        </w:r>
        <w:r>
          <w:rPr>
            <w:rFonts w:ascii="Arial" w:hAnsi="Arial" w:cs="Arial"/>
            <w:color w:val="BA4D46"/>
            <w:spacing w:val="-5"/>
            <w:w w:val="110"/>
            <w:sz w:val="16"/>
            <w:szCs w:val="16"/>
          </w:rPr>
          <w:t>a</w:t>
        </w:r>
        <w:r>
          <w:rPr>
            <w:rFonts w:ascii="Arial" w:hAnsi="Arial" w:cs="Arial"/>
            <w:color w:val="BC3434"/>
            <w:spacing w:val="-5"/>
            <w:w w:val="110"/>
            <w:sz w:val="16"/>
            <w:szCs w:val="16"/>
          </w:rPr>
          <w:t>mp</w:t>
        </w:r>
        <w:r>
          <w:rPr>
            <w:rFonts w:ascii="Arial" w:hAnsi="Arial" w:cs="Arial"/>
            <w:color w:val="BA4D46"/>
            <w:spacing w:val="-5"/>
            <w:w w:val="110"/>
            <w:sz w:val="16"/>
            <w:szCs w:val="16"/>
          </w:rPr>
          <w:t>a</w:t>
        </w:r>
        <w:r>
          <w:rPr>
            <w:rFonts w:ascii="Arial" w:hAnsi="Arial" w:cs="Arial"/>
            <w:color w:val="CC1A21"/>
            <w:spacing w:val="-5"/>
            <w:w w:val="110"/>
            <w:sz w:val="16"/>
            <w:szCs w:val="16"/>
          </w:rPr>
          <w:t>i</w:t>
        </w:r>
        <w:r>
          <w:rPr>
            <w:rFonts w:ascii="Arial" w:hAnsi="Arial" w:cs="Arial"/>
            <w:color w:val="BA4D46"/>
            <w:spacing w:val="-5"/>
            <w:w w:val="110"/>
            <w:sz w:val="16"/>
            <w:szCs w:val="16"/>
          </w:rPr>
          <w:t>gn</w:t>
        </w:r>
        <w:r>
          <w:rPr>
            <w:rFonts w:ascii="Arial" w:hAnsi="Arial" w:cs="Arial"/>
            <w:color w:val="9A6652"/>
            <w:spacing w:val="-5"/>
            <w:w w:val="110"/>
            <w:sz w:val="16"/>
            <w:szCs w:val="16"/>
          </w:rPr>
          <w:t>.</w:t>
        </w:r>
        <w:r>
          <w:rPr>
            <w:rFonts w:ascii="Arial" w:hAnsi="Arial" w:cs="Arial"/>
            <w:color w:val="BA4D46"/>
            <w:spacing w:val="-5"/>
            <w:w w:val="110"/>
            <w:sz w:val="16"/>
            <w:szCs w:val="16"/>
          </w:rPr>
          <w:t>org</w:t>
        </w:r>
      </w:hyperlink>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9"/>
        <w:rPr>
          <w:rFonts w:ascii="Arial" w:hAnsi="Arial" w:cs="Arial"/>
          <w:sz w:val="17"/>
          <w:szCs w:val="17"/>
        </w:rPr>
      </w:pPr>
    </w:p>
    <w:p w:rsidR="002C5025" w:rsidRDefault="002C5025">
      <w:pPr>
        <w:pStyle w:val="BodyText"/>
        <w:kinsoku w:val="0"/>
        <w:overflowPunct w:val="0"/>
        <w:spacing w:before="76"/>
        <w:ind w:left="120" w:right="1546"/>
        <w:rPr>
          <w:rFonts w:ascii="Arial" w:hAnsi="Arial" w:cs="Arial"/>
          <w:color w:val="353535"/>
          <w:w w:val="115"/>
          <w:sz w:val="19"/>
          <w:szCs w:val="19"/>
        </w:rPr>
      </w:pPr>
      <w:r>
        <w:rPr>
          <w:rFonts w:ascii="Arial" w:hAnsi="Arial" w:cs="Arial"/>
          <w:color w:val="353535"/>
          <w:w w:val="115"/>
          <w:sz w:val="19"/>
          <w:szCs w:val="19"/>
        </w:rPr>
        <w:t>Ju</w:t>
      </w:r>
      <w:r>
        <w:rPr>
          <w:rFonts w:ascii="Arial" w:hAnsi="Arial" w:cs="Arial"/>
          <w:color w:val="0D0D0D"/>
          <w:w w:val="115"/>
          <w:sz w:val="19"/>
          <w:szCs w:val="19"/>
        </w:rPr>
        <w:t>l</w:t>
      </w:r>
      <w:r>
        <w:rPr>
          <w:rFonts w:ascii="Arial" w:hAnsi="Arial" w:cs="Arial"/>
          <w:color w:val="353535"/>
          <w:w w:val="115"/>
          <w:sz w:val="19"/>
          <w:szCs w:val="19"/>
        </w:rPr>
        <w:t xml:space="preserve">y </w:t>
      </w:r>
      <w:r>
        <w:rPr>
          <w:rFonts w:ascii="Arial" w:hAnsi="Arial" w:cs="Arial"/>
          <w:color w:val="212121"/>
          <w:w w:val="115"/>
          <w:sz w:val="19"/>
          <w:szCs w:val="19"/>
        </w:rPr>
        <w:t>15</w:t>
      </w:r>
      <w:r>
        <w:rPr>
          <w:rFonts w:ascii="Arial" w:hAnsi="Arial" w:cs="Arial"/>
          <w:color w:val="4C4C4C"/>
          <w:w w:val="115"/>
          <w:sz w:val="19"/>
          <w:szCs w:val="19"/>
        </w:rPr>
        <w:t>,</w:t>
      </w:r>
      <w:r>
        <w:rPr>
          <w:rFonts w:ascii="Arial" w:hAnsi="Arial" w:cs="Arial"/>
          <w:color w:val="353535"/>
          <w:w w:val="115"/>
          <w:sz w:val="19"/>
          <w:szCs w:val="19"/>
        </w:rPr>
        <w:t>2016</w:t>
      </w:r>
    </w:p>
    <w:p w:rsidR="002C5025" w:rsidRDefault="002C5025">
      <w:pPr>
        <w:pStyle w:val="BodyText"/>
        <w:kinsoku w:val="0"/>
        <w:overflowPunct w:val="0"/>
        <w:rPr>
          <w:rFonts w:ascii="Arial" w:hAnsi="Arial" w:cs="Arial"/>
          <w:sz w:val="18"/>
          <w:szCs w:val="18"/>
        </w:rPr>
      </w:pPr>
    </w:p>
    <w:p w:rsidR="002C5025" w:rsidRDefault="002C5025">
      <w:pPr>
        <w:pStyle w:val="BodyText"/>
        <w:kinsoku w:val="0"/>
        <w:overflowPunct w:val="0"/>
        <w:spacing w:before="114"/>
        <w:ind w:left="142" w:right="1546"/>
        <w:rPr>
          <w:rFonts w:ascii="Arial" w:hAnsi="Arial" w:cs="Arial"/>
          <w:color w:val="0D0D0D"/>
          <w:w w:val="105"/>
          <w:sz w:val="19"/>
          <w:szCs w:val="19"/>
        </w:rPr>
      </w:pPr>
      <w:r>
        <w:rPr>
          <w:rFonts w:ascii="Arial" w:hAnsi="Arial" w:cs="Arial"/>
          <w:color w:val="353535"/>
          <w:w w:val="105"/>
          <w:sz w:val="19"/>
          <w:szCs w:val="19"/>
        </w:rPr>
        <w:t xml:space="preserve">Daniel </w:t>
      </w:r>
      <w:r>
        <w:rPr>
          <w:rFonts w:ascii="Arial" w:hAnsi="Arial" w:cs="Arial"/>
          <w:color w:val="212121"/>
          <w:w w:val="105"/>
          <w:sz w:val="19"/>
          <w:szCs w:val="19"/>
        </w:rPr>
        <w:t>T</w:t>
      </w:r>
      <w:r>
        <w:rPr>
          <w:rFonts w:ascii="Arial" w:hAnsi="Arial" w:cs="Arial"/>
          <w:color w:val="4C4C4C"/>
          <w:w w:val="105"/>
          <w:sz w:val="19"/>
          <w:szCs w:val="19"/>
        </w:rPr>
        <w:t>sa</w:t>
      </w:r>
      <w:r>
        <w:rPr>
          <w:rFonts w:ascii="Arial" w:hAnsi="Arial" w:cs="Arial"/>
          <w:color w:val="0D0D0D"/>
          <w:w w:val="105"/>
          <w:sz w:val="19"/>
          <w:szCs w:val="19"/>
        </w:rPr>
        <w:t>i</w:t>
      </w:r>
    </w:p>
    <w:p w:rsidR="002C5025" w:rsidRDefault="002C5025">
      <w:pPr>
        <w:pStyle w:val="BodyText"/>
        <w:kinsoku w:val="0"/>
        <w:overflowPunct w:val="0"/>
        <w:spacing w:before="45" w:line="297" w:lineRule="auto"/>
        <w:ind w:left="135" w:right="7684" w:hanging="15"/>
        <w:rPr>
          <w:rFonts w:ascii="Arial" w:hAnsi="Arial" w:cs="Arial"/>
          <w:color w:val="212121"/>
          <w:w w:val="105"/>
          <w:sz w:val="19"/>
          <w:szCs w:val="19"/>
        </w:rPr>
      </w:pPr>
      <w:r>
        <w:rPr>
          <w:rFonts w:ascii="Arial" w:hAnsi="Arial" w:cs="Arial"/>
          <w:color w:val="353535"/>
          <w:w w:val="105"/>
          <w:sz w:val="19"/>
          <w:szCs w:val="19"/>
        </w:rPr>
        <w:t xml:space="preserve">Assistant Secretary </w:t>
      </w:r>
      <w:r>
        <w:rPr>
          <w:rFonts w:ascii="Arial" w:hAnsi="Arial" w:cs="Arial"/>
          <w:color w:val="212121"/>
          <w:w w:val="105"/>
          <w:sz w:val="19"/>
          <w:szCs w:val="19"/>
        </w:rPr>
        <w:t xml:space="preserve">for MassHealth Director </w:t>
      </w:r>
      <w:r>
        <w:rPr>
          <w:rFonts w:ascii="Arial" w:hAnsi="Arial" w:cs="Arial"/>
          <w:color w:val="353535"/>
          <w:w w:val="105"/>
          <w:sz w:val="19"/>
          <w:szCs w:val="19"/>
        </w:rPr>
        <w:t xml:space="preserve">of </w:t>
      </w:r>
      <w:r>
        <w:rPr>
          <w:rFonts w:ascii="Arial" w:hAnsi="Arial" w:cs="Arial"/>
          <w:color w:val="212121"/>
          <w:w w:val="105"/>
          <w:sz w:val="19"/>
          <w:szCs w:val="19"/>
        </w:rPr>
        <w:t>Medicaid</w:t>
      </w:r>
    </w:p>
    <w:p w:rsidR="002C5025" w:rsidRDefault="002C5025">
      <w:pPr>
        <w:pStyle w:val="BodyText"/>
        <w:kinsoku w:val="0"/>
        <w:overflowPunct w:val="0"/>
        <w:spacing w:before="6" w:line="290" w:lineRule="auto"/>
        <w:ind w:left="120" w:right="6356" w:firstLine="14"/>
        <w:rPr>
          <w:rFonts w:ascii="Arial" w:hAnsi="Arial" w:cs="Arial"/>
          <w:color w:val="212121"/>
          <w:w w:val="105"/>
          <w:sz w:val="19"/>
          <w:szCs w:val="19"/>
        </w:rPr>
      </w:pPr>
      <w:r>
        <w:rPr>
          <w:rFonts w:ascii="Arial" w:hAnsi="Arial" w:cs="Arial"/>
          <w:color w:val="353535"/>
          <w:w w:val="105"/>
          <w:sz w:val="19"/>
          <w:szCs w:val="19"/>
        </w:rPr>
        <w:t>Execut</w:t>
      </w:r>
      <w:r>
        <w:rPr>
          <w:rFonts w:ascii="Arial" w:hAnsi="Arial" w:cs="Arial"/>
          <w:color w:val="0D0D0D"/>
          <w:w w:val="105"/>
          <w:sz w:val="19"/>
          <w:szCs w:val="19"/>
        </w:rPr>
        <w:t>i</w:t>
      </w:r>
      <w:r>
        <w:rPr>
          <w:rFonts w:ascii="Arial" w:hAnsi="Arial" w:cs="Arial"/>
          <w:color w:val="353535"/>
          <w:w w:val="105"/>
          <w:sz w:val="19"/>
          <w:szCs w:val="19"/>
        </w:rPr>
        <w:t>ve</w:t>
      </w:r>
      <w:r>
        <w:rPr>
          <w:rFonts w:ascii="Arial" w:hAnsi="Arial" w:cs="Arial"/>
          <w:color w:val="353535"/>
          <w:spacing w:val="-22"/>
          <w:w w:val="105"/>
          <w:sz w:val="19"/>
          <w:szCs w:val="19"/>
        </w:rPr>
        <w:t xml:space="preserve"> </w:t>
      </w:r>
      <w:r>
        <w:rPr>
          <w:rFonts w:ascii="Arial" w:hAnsi="Arial" w:cs="Arial"/>
          <w:color w:val="353535"/>
          <w:w w:val="105"/>
          <w:sz w:val="19"/>
          <w:szCs w:val="19"/>
        </w:rPr>
        <w:t>Off</w:t>
      </w:r>
      <w:r>
        <w:rPr>
          <w:rFonts w:ascii="Arial" w:hAnsi="Arial" w:cs="Arial"/>
          <w:color w:val="0D0D0D"/>
          <w:w w:val="105"/>
          <w:sz w:val="19"/>
          <w:szCs w:val="19"/>
        </w:rPr>
        <w:t>i</w:t>
      </w:r>
      <w:r>
        <w:rPr>
          <w:rFonts w:ascii="Arial" w:hAnsi="Arial" w:cs="Arial"/>
          <w:color w:val="353535"/>
          <w:w w:val="105"/>
          <w:sz w:val="19"/>
          <w:szCs w:val="19"/>
        </w:rPr>
        <w:t>ce</w:t>
      </w:r>
      <w:r>
        <w:rPr>
          <w:rFonts w:ascii="Arial" w:hAnsi="Arial" w:cs="Arial"/>
          <w:color w:val="353535"/>
          <w:spacing w:val="-20"/>
          <w:w w:val="105"/>
          <w:sz w:val="19"/>
          <w:szCs w:val="19"/>
        </w:rPr>
        <w:t xml:space="preserve"> </w:t>
      </w:r>
      <w:r>
        <w:rPr>
          <w:rFonts w:ascii="Arial" w:hAnsi="Arial" w:cs="Arial"/>
          <w:color w:val="353535"/>
          <w:w w:val="105"/>
          <w:sz w:val="19"/>
          <w:szCs w:val="19"/>
        </w:rPr>
        <w:t>of</w:t>
      </w:r>
      <w:r>
        <w:rPr>
          <w:rFonts w:ascii="Arial" w:hAnsi="Arial" w:cs="Arial"/>
          <w:color w:val="353535"/>
          <w:spacing w:val="-21"/>
          <w:w w:val="105"/>
          <w:sz w:val="19"/>
          <w:szCs w:val="19"/>
        </w:rPr>
        <w:t xml:space="preserve"> </w:t>
      </w:r>
      <w:r>
        <w:rPr>
          <w:rFonts w:ascii="Arial" w:hAnsi="Arial" w:cs="Arial"/>
          <w:color w:val="0D0D0D"/>
          <w:w w:val="105"/>
          <w:sz w:val="19"/>
          <w:szCs w:val="19"/>
        </w:rPr>
        <w:t>H</w:t>
      </w:r>
      <w:r>
        <w:rPr>
          <w:rFonts w:ascii="Arial" w:hAnsi="Arial" w:cs="Arial"/>
          <w:color w:val="353535"/>
          <w:w w:val="105"/>
          <w:sz w:val="19"/>
          <w:szCs w:val="19"/>
        </w:rPr>
        <w:t>ea</w:t>
      </w:r>
      <w:r>
        <w:rPr>
          <w:rFonts w:ascii="Arial" w:hAnsi="Arial" w:cs="Arial"/>
          <w:color w:val="0D0D0D"/>
          <w:w w:val="105"/>
          <w:sz w:val="19"/>
          <w:szCs w:val="19"/>
        </w:rPr>
        <w:t>lth</w:t>
      </w:r>
      <w:r>
        <w:rPr>
          <w:rFonts w:ascii="Arial" w:hAnsi="Arial" w:cs="Arial"/>
          <w:color w:val="0D0D0D"/>
          <w:spacing w:val="-26"/>
          <w:w w:val="105"/>
          <w:sz w:val="19"/>
          <w:szCs w:val="19"/>
        </w:rPr>
        <w:t xml:space="preserve"> </w:t>
      </w:r>
      <w:r>
        <w:rPr>
          <w:rFonts w:ascii="Arial" w:hAnsi="Arial" w:cs="Arial"/>
          <w:color w:val="353535"/>
          <w:spacing w:val="7"/>
          <w:w w:val="105"/>
          <w:sz w:val="19"/>
          <w:szCs w:val="19"/>
        </w:rPr>
        <w:t>a</w:t>
      </w:r>
      <w:r>
        <w:rPr>
          <w:rFonts w:ascii="Arial" w:hAnsi="Arial" w:cs="Arial"/>
          <w:color w:val="0D0D0D"/>
          <w:spacing w:val="7"/>
          <w:w w:val="105"/>
          <w:sz w:val="19"/>
          <w:szCs w:val="19"/>
        </w:rPr>
        <w:t>nd</w:t>
      </w:r>
      <w:r>
        <w:rPr>
          <w:rFonts w:ascii="Arial" w:hAnsi="Arial" w:cs="Arial"/>
          <w:color w:val="0D0D0D"/>
          <w:spacing w:val="-24"/>
          <w:w w:val="105"/>
          <w:sz w:val="19"/>
          <w:szCs w:val="19"/>
        </w:rPr>
        <w:t xml:space="preserve"> </w:t>
      </w:r>
      <w:r>
        <w:rPr>
          <w:rFonts w:ascii="Arial" w:hAnsi="Arial" w:cs="Arial"/>
          <w:color w:val="212121"/>
          <w:w w:val="105"/>
          <w:sz w:val="19"/>
          <w:szCs w:val="19"/>
        </w:rPr>
        <w:t>Human</w:t>
      </w:r>
      <w:r>
        <w:rPr>
          <w:rFonts w:ascii="Arial" w:hAnsi="Arial" w:cs="Arial"/>
          <w:color w:val="212121"/>
          <w:spacing w:val="-18"/>
          <w:w w:val="105"/>
          <w:sz w:val="19"/>
          <w:szCs w:val="19"/>
        </w:rPr>
        <w:t xml:space="preserve"> </w:t>
      </w:r>
      <w:r>
        <w:rPr>
          <w:rFonts w:ascii="Arial" w:hAnsi="Arial" w:cs="Arial"/>
          <w:color w:val="353535"/>
          <w:w w:val="105"/>
          <w:sz w:val="19"/>
          <w:szCs w:val="19"/>
        </w:rPr>
        <w:t xml:space="preserve">Services </w:t>
      </w:r>
      <w:r>
        <w:rPr>
          <w:rFonts w:ascii="Arial" w:hAnsi="Arial" w:cs="Arial"/>
          <w:color w:val="212121"/>
          <w:w w:val="105"/>
          <w:sz w:val="19"/>
          <w:szCs w:val="19"/>
        </w:rPr>
        <w:t xml:space="preserve">One </w:t>
      </w:r>
      <w:r>
        <w:rPr>
          <w:rFonts w:ascii="Arial" w:hAnsi="Arial" w:cs="Arial"/>
          <w:color w:val="353535"/>
          <w:w w:val="105"/>
          <w:sz w:val="19"/>
          <w:szCs w:val="19"/>
        </w:rPr>
        <w:t xml:space="preserve">Ashburton Place, </w:t>
      </w:r>
      <w:r>
        <w:rPr>
          <w:rFonts w:ascii="Arial" w:hAnsi="Arial" w:cs="Arial"/>
          <w:color w:val="353535"/>
          <w:spacing w:val="-12"/>
          <w:w w:val="105"/>
          <w:sz w:val="19"/>
          <w:szCs w:val="19"/>
        </w:rPr>
        <w:t>11th</w:t>
      </w:r>
      <w:r>
        <w:rPr>
          <w:rFonts w:ascii="Arial" w:hAnsi="Arial" w:cs="Arial"/>
          <w:color w:val="353535"/>
          <w:spacing w:val="-6"/>
          <w:w w:val="105"/>
          <w:sz w:val="19"/>
          <w:szCs w:val="19"/>
        </w:rPr>
        <w:t xml:space="preserve"> </w:t>
      </w:r>
      <w:r>
        <w:rPr>
          <w:rFonts w:ascii="Arial" w:hAnsi="Arial" w:cs="Arial"/>
          <w:color w:val="212121"/>
          <w:w w:val="105"/>
          <w:sz w:val="19"/>
          <w:szCs w:val="19"/>
        </w:rPr>
        <w:t>Floor</w:t>
      </w:r>
    </w:p>
    <w:p w:rsidR="002C5025" w:rsidRDefault="002C5025">
      <w:pPr>
        <w:pStyle w:val="BodyText"/>
        <w:kinsoku w:val="0"/>
        <w:overflowPunct w:val="0"/>
        <w:spacing w:before="5"/>
        <w:ind w:left="135" w:right="1546"/>
        <w:rPr>
          <w:rFonts w:ascii="Arial" w:hAnsi="Arial" w:cs="Arial"/>
          <w:color w:val="212121"/>
          <w:w w:val="105"/>
          <w:sz w:val="19"/>
          <w:szCs w:val="19"/>
        </w:rPr>
      </w:pPr>
      <w:r>
        <w:rPr>
          <w:rFonts w:ascii="Arial" w:hAnsi="Arial" w:cs="Arial"/>
          <w:color w:val="212121"/>
          <w:w w:val="105"/>
          <w:sz w:val="19"/>
          <w:szCs w:val="19"/>
        </w:rPr>
        <w:t>Boston, MA 02108</w:t>
      </w:r>
    </w:p>
    <w:p w:rsidR="002C5025" w:rsidRDefault="002C5025">
      <w:pPr>
        <w:pStyle w:val="BodyText"/>
        <w:kinsoku w:val="0"/>
        <w:overflowPunct w:val="0"/>
        <w:rPr>
          <w:rFonts w:ascii="Arial" w:hAnsi="Arial" w:cs="Arial"/>
          <w:sz w:val="18"/>
          <w:szCs w:val="18"/>
        </w:rPr>
      </w:pPr>
    </w:p>
    <w:p w:rsidR="002C5025" w:rsidRDefault="002C5025">
      <w:pPr>
        <w:pStyle w:val="BodyText"/>
        <w:kinsoku w:val="0"/>
        <w:overflowPunct w:val="0"/>
        <w:spacing w:before="114"/>
        <w:ind w:left="120" w:right="1546"/>
        <w:rPr>
          <w:rFonts w:ascii="Arial" w:hAnsi="Arial" w:cs="Arial"/>
          <w:color w:val="212121"/>
          <w:sz w:val="19"/>
          <w:szCs w:val="19"/>
        </w:rPr>
      </w:pPr>
      <w:r>
        <w:rPr>
          <w:rFonts w:ascii="Arial" w:hAnsi="Arial" w:cs="Arial"/>
          <w:color w:val="212121"/>
          <w:sz w:val="19"/>
          <w:szCs w:val="19"/>
        </w:rPr>
        <w:t>Scott Taberner</w:t>
      </w:r>
    </w:p>
    <w:p w:rsidR="002C5025" w:rsidRDefault="002C5025">
      <w:pPr>
        <w:pStyle w:val="BodyText"/>
        <w:kinsoku w:val="0"/>
        <w:overflowPunct w:val="0"/>
        <w:spacing w:before="45"/>
        <w:ind w:left="120" w:right="1546"/>
        <w:rPr>
          <w:rFonts w:ascii="Arial" w:hAnsi="Arial" w:cs="Arial"/>
          <w:color w:val="4C4C4C"/>
          <w:w w:val="105"/>
          <w:sz w:val="19"/>
          <w:szCs w:val="19"/>
        </w:rPr>
      </w:pPr>
      <w:r>
        <w:rPr>
          <w:rFonts w:ascii="Arial" w:hAnsi="Arial" w:cs="Arial"/>
          <w:color w:val="353535"/>
          <w:w w:val="105"/>
          <w:sz w:val="19"/>
          <w:szCs w:val="19"/>
        </w:rPr>
        <w:t>C</w:t>
      </w:r>
      <w:r>
        <w:rPr>
          <w:rFonts w:ascii="Arial" w:hAnsi="Arial" w:cs="Arial"/>
          <w:color w:val="0D0D0D"/>
          <w:w w:val="105"/>
          <w:sz w:val="19"/>
          <w:szCs w:val="19"/>
        </w:rPr>
        <w:t>hi</w:t>
      </w:r>
      <w:r>
        <w:rPr>
          <w:rFonts w:ascii="Arial" w:hAnsi="Arial" w:cs="Arial"/>
          <w:color w:val="353535"/>
          <w:w w:val="105"/>
          <w:sz w:val="19"/>
          <w:szCs w:val="19"/>
        </w:rPr>
        <w:t xml:space="preserve">ef of </w:t>
      </w:r>
      <w:r>
        <w:rPr>
          <w:rFonts w:ascii="Arial" w:hAnsi="Arial" w:cs="Arial"/>
          <w:color w:val="212121"/>
          <w:w w:val="105"/>
          <w:sz w:val="19"/>
          <w:szCs w:val="19"/>
        </w:rPr>
        <w:t xml:space="preserve">Behavioral </w:t>
      </w:r>
      <w:r>
        <w:rPr>
          <w:rFonts w:ascii="Arial" w:hAnsi="Arial" w:cs="Arial"/>
          <w:color w:val="0D0D0D"/>
          <w:w w:val="105"/>
          <w:sz w:val="19"/>
          <w:szCs w:val="19"/>
        </w:rPr>
        <w:t xml:space="preserve">Health </w:t>
      </w:r>
      <w:r>
        <w:rPr>
          <w:rFonts w:ascii="Arial" w:hAnsi="Arial" w:cs="Arial"/>
          <w:color w:val="212121"/>
          <w:w w:val="105"/>
          <w:sz w:val="19"/>
          <w:szCs w:val="19"/>
        </w:rPr>
        <w:t xml:space="preserve">and </w:t>
      </w:r>
      <w:r>
        <w:rPr>
          <w:rFonts w:ascii="Arial" w:hAnsi="Arial" w:cs="Arial"/>
          <w:color w:val="353535"/>
          <w:w w:val="105"/>
          <w:sz w:val="19"/>
          <w:szCs w:val="19"/>
        </w:rPr>
        <w:t>Support</w:t>
      </w:r>
      <w:r>
        <w:rPr>
          <w:rFonts w:ascii="Arial" w:hAnsi="Arial" w:cs="Arial"/>
          <w:color w:val="0D0D0D"/>
          <w:w w:val="105"/>
          <w:sz w:val="19"/>
          <w:szCs w:val="19"/>
        </w:rPr>
        <w:t>i</w:t>
      </w:r>
      <w:r>
        <w:rPr>
          <w:rFonts w:ascii="Arial" w:hAnsi="Arial" w:cs="Arial"/>
          <w:color w:val="353535"/>
          <w:w w:val="105"/>
          <w:sz w:val="19"/>
          <w:szCs w:val="19"/>
        </w:rPr>
        <w:t xml:space="preserve">ve </w:t>
      </w:r>
      <w:r>
        <w:rPr>
          <w:rFonts w:ascii="Arial" w:hAnsi="Arial" w:cs="Arial"/>
          <w:color w:val="212121"/>
          <w:w w:val="105"/>
          <w:sz w:val="19"/>
          <w:szCs w:val="19"/>
        </w:rPr>
        <w:t>C</w:t>
      </w:r>
      <w:r>
        <w:rPr>
          <w:rFonts w:ascii="Arial" w:hAnsi="Arial" w:cs="Arial"/>
          <w:color w:val="4C4C4C"/>
          <w:w w:val="105"/>
          <w:sz w:val="19"/>
          <w:szCs w:val="19"/>
        </w:rPr>
        <w:t>a</w:t>
      </w:r>
      <w:r>
        <w:rPr>
          <w:rFonts w:ascii="Arial" w:hAnsi="Arial" w:cs="Arial"/>
          <w:color w:val="0D0D0D"/>
          <w:w w:val="105"/>
          <w:sz w:val="19"/>
          <w:szCs w:val="19"/>
        </w:rPr>
        <w:t>r</w:t>
      </w:r>
      <w:r>
        <w:rPr>
          <w:rFonts w:ascii="Arial" w:hAnsi="Arial" w:cs="Arial"/>
          <w:color w:val="4C4C4C"/>
          <w:w w:val="105"/>
          <w:sz w:val="19"/>
          <w:szCs w:val="19"/>
        </w:rPr>
        <w:t>e</w:t>
      </w:r>
    </w:p>
    <w:p w:rsidR="002C5025" w:rsidRDefault="002C5025">
      <w:pPr>
        <w:pStyle w:val="BodyText"/>
        <w:kinsoku w:val="0"/>
        <w:overflowPunct w:val="0"/>
        <w:spacing w:before="55" w:line="290" w:lineRule="auto"/>
        <w:ind w:left="120" w:right="4438"/>
        <w:rPr>
          <w:rFonts w:ascii="Arial" w:hAnsi="Arial" w:cs="Arial"/>
          <w:color w:val="353535"/>
          <w:spacing w:val="-5"/>
          <w:w w:val="105"/>
          <w:sz w:val="19"/>
          <w:szCs w:val="19"/>
        </w:rPr>
      </w:pPr>
      <w:r>
        <w:rPr>
          <w:rFonts w:ascii="Arial" w:hAnsi="Arial" w:cs="Arial"/>
          <w:color w:val="353535"/>
          <w:w w:val="105"/>
          <w:sz w:val="19"/>
          <w:szCs w:val="19"/>
        </w:rPr>
        <w:t>Off</w:t>
      </w:r>
      <w:r>
        <w:rPr>
          <w:rFonts w:ascii="Arial" w:hAnsi="Arial" w:cs="Arial"/>
          <w:color w:val="0D0D0D"/>
          <w:w w:val="105"/>
          <w:sz w:val="19"/>
          <w:szCs w:val="19"/>
        </w:rPr>
        <w:t>i</w:t>
      </w:r>
      <w:r>
        <w:rPr>
          <w:rFonts w:ascii="Arial" w:hAnsi="Arial" w:cs="Arial"/>
          <w:color w:val="4C4C4C"/>
          <w:w w:val="105"/>
          <w:sz w:val="19"/>
          <w:szCs w:val="19"/>
        </w:rPr>
        <w:t>ce</w:t>
      </w:r>
      <w:r>
        <w:rPr>
          <w:rFonts w:ascii="Arial" w:hAnsi="Arial" w:cs="Arial"/>
          <w:color w:val="4C4C4C"/>
          <w:spacing w:val="-21"/>
          <w:w w:val="105"/>
          <w:sz w:val="19"/>
          <w:szCs w:val="19"/>
        </w:rPr>
        <w:t xml:space="preserve"> </w:t>
      </w:r>
      <w:r>
        <w:rPr>
          <w:rFonts w:ascii="Arial" w:hAnsi="Arial" w:cs="Arial"/>
          <w:color w:val="353535"/>
          <w:w w:val="105"/>
          <w:sz w:val="19"/>
          <w:szCs w:val="19"/>
        </w:rPr>
        <w:t>of</w:t>
      </w:r>
      <w:r>
        <w:rPr>
          <w:rFonts w:ascii="Arial" w:hAnsi="Arial" w:cs="Arial"/>
          <w:color w:val="353535"/>
          <w:spacing w:val="-18"/>
          <w:w w:val="105"/>
          <w:sz w:val="19"/>
          <w:szCs w:val="19"/>
        </w:rPr>
        <w:t xml:space="preserve"> </w:t>
      </w:r>
      <w:r>
        <w:rPr>
          <w:rFonts w:ascii="Arial" w:hAnsi="Arial" w:cs="Arial"/>
          <w:color w:val="212121"/>
          <w:w w:val="105"/>
          <w:sz w:val="19"/>
          <w:szCs w:val="19"/>
        </w:rPr>
        <w:t>MassHealth,</w:t>
      </w:r>
      <w:r>
        <w:rPr>
          <w:rFonts w:ascii="Arial" w:hAnsi="Arial" w:cs="Arial"/>
          <w:color w:val="212121"/>
          <w:spacing w:val="-3"/>
          <w:w w:val="105"/>
          <w:sz w:val="19"/>
          <w:szCs w:val="19"/>
        </w:rPr>
        <w:t xml:space="preserve"> </w:t>
      </w:r>
      <w:r>
        <w:rPr>
          <w:rFonts w:ascii="Arial" w:hAnsi="Arial" w:cs="Arial"/>
          <w:color w:val="212121"/>
          <w:w w:val="105"/>
          <w:sz w:val="19"/>
          <w:szCs w:val="19"/>
        </w:rPr>
        <w:t>Executive</w:t>
      </w:r>
      <w:r>
        <w:rPr>
          <w:rFonts w:ascii="Arial" w:hAnsi="Arial" w:cs="Arial"/>
          <w:color w:val="212121"/>
          <w:spacing w:val="-16"/>
          <w:w w:val="105"/>
          <w:sz w:val="19"/>
          <w:szCs w:val="19"/>
        </w:rPr>
        <w:t xml:space="preserve"> </w:t>
      </w:r>
      <w:r>
        <w:rPr>
          <w:rFonts w:ascii="Arial" w:hAnsi="Arial" w:cs="Arial"/>
          <w:color w:val="212121"/>
          <w:w w:val="105"/>
          <w:sz w:val="19"/>
          <w:szCs w:val="19"/>
        </w:rPr>
        <w:t>Office</w:t>
      </w:r>
      <w:r>
        <w:rPr>
          <w:rFonts w:ascii="Arial" w:hAnsi="Arial" w:cs="Arial"/>
          <w:color w:val="212121"/>
          <w:spacing w:val="-12"/>
          <w:w w:val="105"/>
          <w:sz w:val="19"/>
          <w:szCs w:val="19"/>
        </w:rPr>
        <w:t xml:space="preserve"> </w:t>
      </w:r>
      <w:r>
        <w:rPr>
          <w:rFonts w:ascii="Arial" w:hAnsi="Arial" w:cs="Arial"/>
          <w:color w:val="353535"/>
          <w:w w:val="105"/>
          <w:sz w:val="19"/>
          <w:szCs w:val="19"/>
        </w:rPr>
        <w:t>o</w:t>
      </w:r>
      <w:r>
        <w:rPr>
          <w:rFonts w:ascii="Arial" w:hAnsi="Arial" w:cs="Arial"/>
          <w:color w:val="0D0D0D"/>
          <w:w w:val="105"/>
          <w:sz w:val="19"/>
          <w:szCs w:val="19"/>
        </w:rPr>
        <w:t>f</w:t>
      </w:r>
      <w:r>
        <w:rPr>
          <w:rFonts w:ascii="Arial" w:hAnsi="Arial" w:cs="Arial"/>
          <w:color w:val="0D0D0D"/>
          <w:spacing w:val="-12"/>
          <w:w w:val="105"/>
          <w:sz w:val="19"/>
          <w:szCs w:val="19"/>
        </w:rPr>
        <w:t xml:space="preserve"> </w:t>
      </w:r>
      <w:r>
        <w:rPr>
          <w:rFonts w:ascii="Arial" w:hAnsi="Arial" w:cs="Arial"/>
          <w:color w:val="0D0D0D"/>
          <w:spacing w:val="3"/>
          <w:w w:val="105"/>
          <w:sz w:val="19"/>
          <w:szCs w:val="19"/>
        </w:rPr>
        <w:t>H</w:t>
      </w:r>
      <w:r>
        <w:rPr>
          <w:rFonts w:ascii="Arial" w:hAnsi="Arial" w:cs="Arial"/>
          <w:color w:val="353535"/>
          <w:spacing w:val="3"/>
          <w:w w:val="105"/>
          <w:sz w:val="19"/>
          <w:szCs w:val="19"/>
        </w:rPr>
        <w:t>ea</w:t>
      </w:r>
      <w:r>
        <w:rPr>
          <w:rFonts w:ascii="Arial" w:hAnsi="Arial" w:cs="Arial"/>
          <w:color w:val="0D0D0D"/>
          <w:spacing w:val="3"/>
          <w:w w:val="105"/>
          <w:sz w:val="19"/>
          <w:szCs w:val="19"/>
        </w:rPr>
        <w:t>lth</w:t>
      </w:r>
      <w:r>
        <w:rPr>
          <w:rFonts w:ascii="Arial" w:hAnsi="Arial" w:cs="Arial"/>
          <w:color w:val="0D0D0D"/>
          <w:spacing w:val="-25"/>
          <w:w w:val="105"/>
          <w:sz w:val="19"/>
          <w:szCs w:val="19"/>
        </w:rPr>
        <w:t xml:space="preserve"> </w:t>
      </w:r>
      <w:r>
        <w:rPr>
          <w:rFonts w:ascii="Arial" w:hAnsi="Arial" w:cs="Arial"/>
          <w:color w:val="353535"/>
          <w:w w:val="105"/>
          <w:sz w:val="19"/>
          <w:szCs w:val="19"/>
        </w:rPr>
        <w:t>and</w:t>
      </w:r>
      <w:r>
        <w:rPr>
          <w:rFonts w:ascii="Arial" w:hAnsi="Arial" w:cs="Arial"/>
          <w:color w:val="353535"/>
          <w:spacing w:val="-17"/>
          <w:w w:val="105"/>
          <w:sz w:val="19"/>
          <w:szCs w:val="19"/>
        </w:rPr>
        <w:t xml:space="preserve"> </w:t>
      </w:r>
      <w:r>
        <w:rPr>
          <w:rFonts w:ascii="Arial" w:hAnsi="Arial" w:cs="Arial"/>
          <w:color w:val="0D0D0D"/>
          <w:spacing w:val="2"/>
          <w:w w:val="105"/>
          <w:sz w:val="19"/>
          <w:szCs w:val="19"/>
        </w:rPr>
        <w:t>Hum</w:t>
      </w:r>
      <w:r>
        <w:rPr>
          <w:rFonts w:ascii="Arial" w:hAnsi="Arial" w:cs="Arial"/>
          <w:color w:val="353535"/>
          <w:spacing w:val="2"/>
          <w:w w:val="105"/>
          <w:sz w:val="19"/>
          <w:szCs w:val="19"/>
        </w:rPr>
        <w:t>an</w:t>
      </w:r>
      <w:r>
        <w:rPr>
          <w:rFonts w:ascii="Arial" w:hAnsi="Arial" w:cs="Arial"/>
          <w:color w:val="353535"/>
          <w:spacing w:val="-21"/>
          <w:w w:val="105"/>
          <w:sz w:val="19"/>
          <w:szCs w:val="19"/>
        </w:rPr>
        <w:t xml:space="preserve"> </w:t>
      </w:r>
      <w:r>
        <w:rPr>
          <w:rFonts w:ascii="Arial" w:hAnsi="Arial" w:cs="Arial"/>
          <w:color w:val="353535"/>
          <w:spacing w:val="-3"/>
          <w:w w:val="105"/>
          <w:sz w:val="19"/>
          <w:szCs w:val="19"/>
        </w:rPr>
        <w:t>Serv</w:t>
      </w:r>
      <w:r>
        <w:rPr>
          <w:rFonts w:ascii="Arial" w:hAnsi="Arial" w:cs="Arial"/>
          <w:color w:val="0D0D0D"/>
          <w:spacing w:val="-3"/>
          <w:w w:val="105"/>
          <w:sz w:val="19"/>
          <w:szCs w:val="19"/>
        </w:rPr>
        <w:t>i</w:t>
      </w:r>
      <w:r>
        <w:rPr>
          <w:rFonts w:ascii="Arial" w:hAnsi="Arial" w:cs="Arial"/>
          <w:color w:val="353535"/>
          <w:spacing w:val="-3"/>
          <w:w w:val="105"/>
          <w:sz w:val="19"/>
          <w:szCs w:val="19"/>
        </w:rPr>
        <w:t xml:space="preserve">ces </w:t>
      </w:r>
      <w:r>
        <w:rPr>
          <w:rFonts w:ascii="Arial" w:hAnsi="Arial" w:cs="Arial"/>
          <w:color w:val="212121"/>
          <w:w w:val="105"/>
          <w:sz w:val="19"/>
          <w:szCs w:val="19"/>
        </w:rPr>
        <w:t xml:space="preserve">One </w:t>
      </w:r>
      <w:r>
        <w:rPr>
          <w:rFonts w:ascii="Arial" w:hAnsi="Arial" w:cs="Arial"/>
          <w:color w:val="353535"/>
          <w:w w:val="105"/>
          <w:sz w:val="19"/>
          <w:szCs w:val="19"/>
        </w:rPr>
        <w:t>Ashburton P</w:t>
      </w:r>
      <w:r>
        <w:rPr>
          <w:rFonts w:ascii="Arial" w:hAnsi="Arial" w:cs="Arial"/>
          <w:color w:val="0D0D0D"/>
          <w:w w:val="105"/>
          <w:sz w:val="19"/>
          <w:szCs w:val="19"/>
        </w:rPr>
        <w:t>l</w:t>
      </w:r>
      <w:r>
        <w:rPr>
          <w:rFonts w:ascii="Arial" w:hAnsi="Arial" w:cs="Arial"/>
          <w:color w:val="353535"/>
          <w:w w:val="105"/>
          <w:sz w:val="19"/>
          <w:szCs w:val="19"/>
        </w:rPr>
        <w:t xml:space="preserve">ace, </w:t>
      </w:r>
      <w:r>
        <w:rPr>
          <w:rFonts w:ascii="Arial" w:hAnsi="Arial" w:cs="Arial"/>
          <w:color w:val="212121"/>
          <w:spacing w:val="-9"/>
          <w:w w:val="105"/>
          <w:sz w:val="19"/>
          <w:szCs w:val="19"/>
        </w:rPr>
        <w:t>11th</w:t>
      </w:r>
      <w:r>
        <w:rPr>
          <w:rFonts w:ascii="Arial" w:hAnsi="Arial" w:cs="Arial"/>
          <w:color w:val="212121"/>
          <w:spacing w:val="-5"/>
          <w:w w:val="105"/>
          <w:sz w:val="19"/>
          <w:szCs w:val="19"/>
        </w:rPr>
        <w:t xml:space="preserve"> </w:t>
      </w:r>
      <w:r>
        <w:rPr>
          <w:rFonts w:ascii="Arial" w:hAnsi="Arial" w:cs="Arial"/>
          <w:color w:val="353535"/>
          <w:spacing w:val="-5"/>
          <w:w w:val="105"/>
          <w:sz w:val="19"/>
          <w:szCs w:val="19"/>
        </w:rPr>
        <w:t>F</w:t>
      </w:r>
      <w:r>
        <w:rPr>
          <w:rFonts w:ascii="Arial" w:hAnsi="Arial" w:cs="Arial"/>
          <w:color w:val="0D0D0D"/>
          <w:spacing w:val="-5"/>
          <w:w w:val="105"/>
          <w:sz w:val="19"/>
          <w:szCs w:val="19"/>
        </w:rPr>
        <w:t>l</w:t>
      </w:r>
      <w:r>
        <w:rPr>
          <w:rFonts w:ascii="Arial" w:hAnsi="Arial" w:cs="Arial"/>
          <w:color w:val="353535"/>
          <w:spacing w:val="-5"/>
          <w:w w:val="105"/>
          <w:sz w:val="19"/>
          <w:szCs w:val="19"/>
        </w:rPr>
        <w:t>oor</w:t>
      </w:r>
    </w:p>
    <w:p w:rsidR="002C5025" w:rsidRDefault="002C5025">
      <w:pPr>
        <w:pStyle w:val="BodyText"/>
        <w:kinsoku w:val="0"/>
        <w:overflowPunct w:val="0"/>
        <w:spacing w:before="5"/>
        <w:ind w:left="128" w:right="1546"/>
        <w:rPr>
          <w:rFonts w:ascii="Arial" w:hAnsi="Arial" w:cs="Arial"/>
          <w:color w:val="353535"/>
          <w:w w:val="105"/>
          <w:sz w:val="19"/>
          <w:szCs w:val="19"/>
        </w:rPr>
      </w:pPr>
      <w:proofErr w:type="spellStart"/>
      <w:r>
        <w:rPr>
          <w:rFonts w:ascii="Arial" w:hAnsi="Arial" w:cs="Arial"/>
          <w:color w:val="212121"/>
          <w:w w:val="105"/>
          <w:sz w:val="19"/>
          <w:szCs w:val="19"/>
        </w:rPr>
        <w:t>Boston</w:t>
      </w:r>
      <w:r>
        <w:rPr>
          <w:rFonts w:ascii="Arial" w:hAnsi="Arial" w:cs="Arial"/>
          <w:color w:val="4C4C4C"/>
          <w:w w:val="105"/>
          <w:sz w:val="19"/>
          <w:szCs w:val="19"/>
        </w:rPr>
        <w:t>,</w:t>
      </w:r>
      <w:r>
        <w:rPr>
          <w:rFonts w:ascii="Arial" w:hAnsi="Arial" w:cs="Arial"/>
          <w:color w:val="353535"/>
          <w:w w:val="105"/>
          <w:sz w:val="19"/>
          <w:szCs w:val="19"/>
        </w:rPr>
        <w:t>MA</w:t>
      </w:r>
      <w:proofErr w:type="spellEnd"/>
      <w:r>
        <w:rPr>
          <w:rFonts w:ascii="Arial" w:hAnsi="Arial" w:cs="Arial"/>
          <w:color w:val="353535"/>
          <w:w w:val="105"/>
          <w:sz w:val="19"/>
          <w:szCs w:val="19"/>
        </w:rPr>
        <w:t xml:space="preserve"> 02108</w:t>
      </w:r>
    </w:p>
    <w:p w:rsidR="002C5025" w:rsidRDefault="002C5025">
      <w:pPr>
        <w:pStyle w:val="BodyText"/>
        <w:kinsoku w:val="0"/>
        <w:overflowPunct w:val="0"/>
        <w:rPr>
          <w:rFonts w:ascii="Arial" w:hAnsi="Arial" w:cs="Arial"/>
          <w:sz w:val="18"/>
          <w:szCs w:val="18"/>
        </w:rPr>
      </w:pPr>
    </w:p>
    <w:p w:rsidR="002C5025" w:rsidRDefault="002C5025">
      <w:pPr>
        <w:pStyle w:val="BodyText"/>
        <w:kinsoku w:val="0"/>
        <w:overflowPunct w:val="0"/>
        <w:spacing w:before="114"/>
        <w:ind w:left="128" w:right="1546"/>
        <w:rPr>
          <w:rFonts w:ascii="Arial" w:hAnsi="Arial" w:cs="Arial"/>
          <w:color w:val="353535"/>
          <w:sz w:val="19"/>
          <w:szCs w:val="19"/>
        </w:rPr>
      </w:pPr>
      <w:r>
        <w:rPr>
          <w:rFonts w:ascii="Arial" w:hAnsi="Arial" w:cs="Arial"/>
          <w:color w:val="353535"/>
          <w:sz w:val="19"/>
          <w:szCs w:val="19"/>
        </w:rPr>
        <w:t>Dear Assistant Secretary Tsai and Chief Taberner:</w:t>
      </w:r>
    </w:p>
    <w:p w:rsidR="002C5025" w:rsidRDefault="002C5025">
      <w:pPr>
        <w:pStyle w:val="BodyText"/>
        <w:kinsoku w:val="0"/>
        <w:overflowPunct w:val="0"/>
        <w:rPr>
          <w:rFonts w:ascii="Arial" w:hAnsi="Arial" w:cs="Arial"/>
          <w:sz w:val="18"/>
          <w:szCs w:val="18"/>
        </w:rPr>
      </w:pPr>
    </w:p>
    <w:p w:rsidR="002C5025" w:rsidRDefault="002C5025">
      <w:pPr>
        <w:pStyle w:val="BodyText"/>
        <w:kinsoku w:val="0"/>
        <w:overflowPunct w:val="0"/>
        <w:spacing w:before="117" w:line="292" w:lineRule="auto"/>
        <w:ind w:left="113" w:right="1546" w:hanging="8"/>
        <w:rPr>
          <w:rFonts w:ascii="Arial" w:hAnsi="Arial" w:cs="Arial"/>
          <w:color w:val="4C4C4C"/>
          <w:w w:val="110"/>
          <w:sz w:val="19"/>
          <w:szCs w:val="19"/>
        </w:rPr>
      </w:pPr>
      <w:r>
        <w:rPr>
          <w:rFonts w:ascii="Arial" w:hAnsi="Arial" w:cs="Arial"/>
          <w:color w:val="212121"/>
          <w:w w:val="110"/>
          <w:sz w:val="19"/>
          <w:szCs w:val="19"/>
        </w:rPr>
        <w:t>The</w:t>
      </w:r>
      <w:r>
        <w:rPr>
          <w:rFonts w:ascii="Arial" w:hAnsi="Arial" w:cs="Arial"/>
          <w:color w:val="212121"/>
          <w:spacing w:val="-34"/>
          <w:w w:val="110"/>
          <w:sz w:val="19"/>
          <w:szCs w:val="19"/>
        </w:rPr>
        <w:t xml:space="preserve"> </w:t>
      </w:r>
      <w:r>
        <w:rPr>
          <w:rFonts w:ascii="Arial" w:hAnsi="Arial" w:cs="Arial"/>
          <w:color w:val="353535"/>
          <w:w w:val="110"/>
          <w:sz w:val="19"/>
          <w:szCs w:val="19"/>
        </w:rPr>
        <w:t>Children's</w:t>
      </w:r>
      <w:r>
        <w:rPr>
          <w:rFonts w:ascii="Arial" w:hAnsi="Arial" w:cs="Arial"/>
          <w:color w:val="353535"/>
          <w:spacing w:val="-28"/>
          <w:w w:val="110"/>
          <w:sz w:val="19"/>
          <w:szCs w:val="19"/>
        </w:rPr>
        <w:t xml:space="preserve"> </w:t>
      </w:r>
      <w:r>
        <w:rPr>
          <w:rFonts w:ascii="Arial" w:hAnsi="Arial" w:cs="Arial"/>
          <w:color w:val="353535"/>
          <w:spacing w:val="2"/>
          <w:w w:val="110"/>
          <w:sz w:val="19"/>
          <w:szCs w:val="19"/>
        </w:rPr>
        <w:t>Me</w:t>
      </w:r>
      <w:r>
        <w:rPr>
          <w:rFonts w:ascii="Arial" w:hAnsi="Arial" w:cs="Arial"/>
          <w:color w:val="0D0D0D"/>
          <w:spacing w:val="2"/>
          <w:w w:val="110"/>
          <w:sz w:val="19"/>
          <w:szCs w:val="19"/>
        </w:rPr>
        <w:t>n</w:t>
      </w:r>
      <w:r>
        <w:rPr>
          <w:rFonts w:ascii="Arial" w:hAnsi="Arial" w:cs="Arial"/>
          <w:color w:val="353535"/>
          <w:spacing w:val="2"/>
          <w:w w:val="110"/>
          <w:sz w:val="19"/>
          <w:szCs w:val="19"/>
        </w:rPr>
        <w:t>ta</w:t>
      </w:r>
      <w:r>
        <w:rPr>
          <w:rFonts w:ascii="Arial" w:hAnsi="Arial" w:cs="Arial"/>
          <w:color w:val="0D0D0D"/>
          <w:spacing w:val="2"/>
          <w:w w:val="110"/>
          <w:sz w:val="19"/>
          <w:szCs w:val="19"/>
        </w:rPr>
        <w:t>l</w:t>
      </w:r>
      <w:r>
        <w:rPr>
          <w:rFonts w:ascii="Arial" w:hAnsi="Arial" w:cs="Arial"/>
          <w:color w:val="0D0D0D"/>
          <w:spacing w:val="-37"/>
          <w:w w:val="110"/>
          <w:sz w:val="19"/>
          <w:szCs w:val="19"/>
        </w:rPr>
        <w:t xml:space="preserve"> </w:t>
      </w:r>
      <w:r>
        <w:rPr>
          <w:rFonts w:ascii="Arial" w:hAnsi="Arial" w:cs="Arial"/>
          <w:color w:val="212121"/>
          <w:w w:val="110"/>
          <w:sz w:val="19"/>
          <w:szCs w:val="19"/>
        </w:rPr>
        <w:t>Health</w:t>
      </w:r>
      <w:r>
        <w:rPr>
          <w:rFonts w:ascii="Arial" w:hAnsi="Arial" w:cs="Arial"/>
          <w:color w:val="212121"/>
          <w:spacing w:val="-34"/>
          <w:w w:val="110"/>
          <w:sz w:val="19"/>
          <w:szCs w:val="19"/>
        </w:rPr>
        <w:t xml:space="preserve"> </w:t>
      </w:r>
      <w:r>
        <w:rPr>
          <w:rFonts w:ascii="Arial" w:hAnsi="Arial" w:cs="Arial"/>
          <w:color w:val="353535"/>
          <w:w w:val="110"/>
          <w:sz w:val="19"/>
          <w:szCs w:val="19"/>
        </w:rPr>
        <w:t>Campa</w:t>
      </w:r>
      <w:r>
        <w:rPr>
          <w:rFonts w:ascii="Arial" w:hAnsi="Arial" w:cs="Arial"/>
          <w:color w:val="0D0D0D"/>
          <w:w w:val="110"/>
          <w:sz w:val="19"/>
          <w:szCs w:val="19"/>
        </w:rPr>
        <w:t>i</w:t>
      </w:r>
      <w:r>
        <w:rPr>
          <w:rFonts w:ascii="Arial" w:hAnsi="Arial" w:cs="Arial"/>
          <w:color w:val="353535"/>
          <w:w w:val="110"/>
          <w:sz w:val="19"/>
          <w:szCs w:val="19"/>
        </w:rPr>
        <w:t>gn</w:t>
      </w:r>
      <w:r>
        <w:rPr>
          <w:rFonts w:ascii="Arial" w:hAnsi="Arial" w:cs="Arial"/>
          <w:color w:val="353535"/>
          <w:spacing w:val="-43"/>
          <w:w w:val="110"/>
          <w:sz w:val="19"/>
          <w:szCs w:val="19"/>
        </w:rPr>
        <w:t xml:space="preserve"> </w:t>
      </w:r>
      <w:r>
        <w:rPr>
          <w:rFonts w:ascii="Arial" w:hAnsi="Arial" w:cs="Arial"/>
          <w:color w:val="353535"/>
          <w:w w:val="110"/>
          <w:sz w:val="19"/>
          <w:szCs w:val="19"/>
        </w:rPr>
        <w:t>(CMHC)</w:t>
      </w:r>
      <w:r>
        <w:rPr>
          <w:rFonts w:ascii="Arial" w:hAnsi="Arial" w:cs="Arial"/>
          <w:color w:val="353535"/>
          <w:spacing w:val="-33"/>
          <w:w w:val="110"/>
          <w:sz w:val="19"/>
          <w:szCs w:val="19"/>
        </w:rPr>
        <w:t xml:space="preserve"> </w:t>
      </w:r>
      <w:r>
        <w:rPr>
          <w:rFonts w:ascii="Arial" w:hAnsi="Arial" w:cs="Arial"/>
          <w:color w:val="353535"/>
          <w:spacing w:val="3"/>
          <w:w w:val="110"/>
          <w:sz w:val="19"/>
          <w:szCs w:val="19"/>
        </w:rPr>
        <w:t>we</w:t>
      </w:r>
      <w:r>
        <w:rPr>
          <w:rFonts w:ascii="Arial" w:hAnsi="Arial" w:cs="Arial"/>
          <w:color w:val="0D0D0D"/>
          <w:spacing w:val="3"/>
          <w:w w:val="110"/>
          <w:sz w:val="19"/>
          <w:szCs w:val="19"/>
        </w:rPr>
        <w:t>l</w:t>
      </w:r>
      <w:r>
        <w:rPr>
          <w:rFonts w:ascii="Arial" w:hAnsi="Arial" w:cs="Arial"/>
          <w:color w:val="4C4C4C"/>
          <w:spacing w:val="3"/>
          <w:w w:val="110"/>
          <w:sz w:val="19"/>
          <w:szCs w:val="19"/>
        </w:rPr>
        <w:t>co</w:t>
      </w:r>
      <w:r>
        <w:rPr>
          <w:rFonts w:ascii="Arial" w:hAnsi="Arial" w:cs="Arial"/>
          <w:color w:val="212121"/>
          <w:spacing w:val="3"/>
          <w:w w:val="110"/>
          <w:sz w:val="19"/>
          <w:szCs w:val="19"/>
        </w:rPr>
        <w:t>me</w:t>
      </w:r>
      <w:r>
        <w:rPr>
          <w:rFonts w:ascii="Arial" w:hAnsi="Arial" w:cs="Arial"/>
          <w:color w:val="4C4C4C"/>
          <w:spacing w:val="3"/>
          <w:w w:val="110"/>
          <w:sz w:val="19"/>
          <w:szCs w:val="19"/>
        </w:rPr>
        <w:t>s</w:t>
      </w:r>
      <w:r w:rsidR="00B27397">
        <w:rPr>
          <w:rFonts w:ascii="Arial" w:hAnsi="Arial" w:cs="Arial"/>
          <w:color w:val="4C4C4C"/>
          <w:spacing w:val="3"/>
          <w:w w:val="110"/>
          <w:sz w:val="19"/>
          <w:szCs w:val="19"/>
        </w:rPr>
        <w:t xml:space="preserve"> </w:t>
      </w:r>
      <w:r>
        <w:rPr>
          <w:rFonts w:ascii="Arial" w:hAnsi="Arial" w:cs="Arial"/>
          <w:color w:val="353535"/>
          <w:spacing w:val="3"/>
          <w:w w:val="110"/>
          <w:sz w:val="19"/>
          <w:szCs w:val="19"/>
        </w:rPr>
        <w:t>t</w:t>
      </w:r>
      <w:r>
        <w:rPr>
          <w:rFonts w:ascii="Arial" w:hAnsi="Arial" w:cs="Arial"/>
          <w:color w:val="0D0D0D"/>
          <w:spacing w:val="3"/>
          <w:w w:val="110"/>
          <w:sz w:val="19"/>
          <w:szCs w:val="19"/>
        </w:rPr>
        <w:t>h</w:t>
      </w:r>
      <w:r>
        <w:rPr>
          <w:rFonts w:ascii="Arial" w:hAnsi="Arial" w:cs="Arial"/>
          <w:color w:val="353535"/>
          <w:spacing w:val="3"/>
          <w:w w:val="110"/>
          <w:sz w:val="19"/>
          <w:szCs w:val="19"/>
        </w:rPr>
        <w:t>e</w:t>
      </w:r>
      <w:r>
        <w:rPr>
          <w:rFonts w:ascii="Arial" w:hAnsi="Arial" w:cs="Arial"/>
          <w:color w:val="353535"/>
          <w:spacing w:val="-34"/>
          <w:w w:val="110"/>
          <w:sz w:val="19"/>
          <w:szCs w:val="19"/>
        </w:rPr>
        <w:t xml:space="preserve"> </w:t>
      </w:r>
      <w:r>
        <w:rPr>
          <w:rFonts w:ascii="Arial" w:hAnsi="Arial" w:cs="Arial"/>
          <w:color w:val="353535"/>
          <w:w w:val="110"/>
          <w:sz w:val="19"/>
          <w:szCs w:val="19"/>
        </w:rPr>
        <w:t>opportun</w:t>
      </w:r>
      <w:r>
        <w:rPr>
          <w:rFonts w:ascii="Arial" w:hAnsi="Arial" w:cs="Arial"/>
          <w:color w:val="0D0D0D"/>
          <w:w w:val="110"/>
          <w:sz w:val="19"/>
          <w:szCs w:val="19"/>
        </w:rPr>
        <w:t>i</w:t>
      </w:r>
      <w:r>
        <w:rPr>
          <w:rFonts w:ascii="Arial" w:hAnsi="Arial" w:cs="Arial"/>
          <w:color w:val="353535"/>
          <w:w w:val="110"/>
          <w:sz w:val="19"/>
          <w:szCs w:val="19"/>
        </w:rPr>
        <w:t>ty</w:t>
      </w:r>
      <w:r>
        <w:rPr>
          <w:rFonts w:ascii="Arial" w:hAnsi="Arial" w:cs="Arial"/>
          <w:color w:val="353535"/>
          <w:spacing w:val="-42"/>
          <w:w w:val="110"/>
          <w:sz w:val="19"/>
          <w:szCs w:val="19"/>
        </w:rPr>
        <w:t xml:space="preserve"> </w:t>
      </w:r>
      <w:r>
        <w:rPr>
          <w:rFonts w:ascii="Arial" w:hAnsi="Arial" w:cs="Arial"/>
          <w:color w:val="353535"/>
          <w:w w:val="110"/>
          <w:sz w:val="19"/>
          <w:szCs w:val="19"/>
        </w:rPr>
        <w:t>to</w:t>
      </w:r>
      <w:r>
        <w:rPr>
          <w:rFonts w:ascii="Arial" w:hAnsi="Arial" w:cs="Arial"/>
          <w:color w:val="353535"/>
          <w:spacing w:val="-34"/>
          <w:w w:val="110"/>
          <w:sz w:val="19"/>
          <w:szCs w:val="19"/>
        </w:rPr>
        <w:t xml:space="preserve"> </w:t>
      </w:r>
      <w:r>
        <w:rPr>
          <w:rFonts w:ascii="Arial" w:hAnsi="Arial" w:cs="Arial"/>
          <w:color w:val="4C4C4C"/>
          <w:spacing w:val="3"/>
          <w:w w:val="110"/>
          <w:sz w:val="19"/>
          <w:szCs w:val="19"/>
        </w:rPr>
        <w:t>subm</w:t>
      </w:r>
      <w:r>
        <w:rPr>
          <w:rFonts w:ascii="Arial" w:hAnsi="Arial" w:cs="Arial"/>
          <w:color w:val="0D0D0D"/>
          <w:spacing w:val="3"/>
          <w:w w:val="110"/>
          <w:sz w:val="19"/>
          <w:szCs w:val="19"/>
        </w:rPr>
        <w:t>it</w:t>
      </w:r>
      <w:r>
        <w:rPr>
          <w:rFonts w:ascii="Arial" w:hAnsi="Arial" w:cs="Arial"/>
          <w:color w:val="0D0D0D"/>
          <w:spacing w:val="-35"/>
          <w:w w:val="110"/>
          <w:sz w:val="19"/>
          <w:szCs w:val="19"/>
        </w:rPr>
        <w:t xml:space="preserve"> </w:t>
      </w:r>
      <w:r>
        <w:rPr>
          <w:rFonts w:ascii="Arial" w:hAnsi="Arial" w:cs="Arial"/>
          <w:color w:val="353535"/>
          <w:w w:val="110"/>
          <w:sz w:val="19"/>
          <w:szCs w:val="19"/>
        </w:rPr>
        <w:t>comments</w:t>
      </w:r>
      <w:r>
        <w:rPr>
          <w:rFonts w:ascii="Arial" w:hAnsi="Arial" w:cs="Arial"/>
          <w:color w:val="353535"/>
          <w:spacing w:val="-31"/>
          <w:w w:val="110"/>
          <w:sz w:val="19"/>
          <w:szCs w:val="19"/>
        </w:rPr>
        <w:t xml:space="preserve"> </w:t>
      </w:r>
      <w:r>
        <w:rPr>
          <w:rFonts w:ascii="Arial" w:hAnsi="Arial" w:cs="Arial"/>
          <w:color w:val="353535"/>
          <w:spacing w:val="5"/>
          <w:w w:val="110"/>
          <w:sz w:val="19"/>
          <w:szCs w:val="19"/>
        </w:rPr>
        <w:t>on</w:t>
      </w:r>
      <w:r w:rsidR="00B27397">
        <w:rPr>
          <w:rFonts w:ascii="Arial" w:hAnsi="Arial" w:cs="Arial"/>
          <w:color w:val="353535"/>
          <w:spacing w:val="5"/>
          <w:w w:val="110"/>
          <w:sz w:val="19"/>
          <w:szCs w:val="19"/>
        </w:rPr>
        <w:t xml:space="preserve"> </w:t>
      </w:r>
      <w:r>
        <w:rPr>
          <w:rFonts w:ascii="Arial" w:hAnsi="Arial" w:cs="Arial"/>
          <w:color w:val="353535"/>
          <w:spacing w:val="5"/>
          <w:w w:val="110"/>
          <w:sz w:val="19"/>
          <w:szCs w:val="19"/>
        </w:rPr>
        <w:t xml:space="preserve">the </w:t>
      </w:r>
      <w:r>
        <w:rPr>
          <w:rFonts w:ascii="Arial" w:hAnsi="Arial" w:cs="Arial"/>
          <w:color w:val="353535"/>
          <w:spacing w:val="2"/>
          <w:w w:val="110"/>
          <w:sz w:val="19"/>
          <w:szCs w:val="19"/>
        </w:rPr>
        <w:t>MassHea</w:t>
      </w:r>
      <w:r>
        <w:rPr>
          <w:rFonts w:ascii="Arial" w:hAnsi="Arial" w:cs="Arial"/>
          <w:color w:val="0D0D0D"/>
          <w:spacing w:val="2"/>
          <w:w w:val="110"/>
          <w:sz w:val="19"/>
          <w:szCs w:val="19"/>
        </w:rPr>
        <w:t>lt</w:t>
      </w:r>
      <w:r>
        <w:rPr>
          <w:rFonts w:ascii="Arial" w:hAnsi="Arial" w:cs="Arial"/>
          <w:color w:val="353535"/>
          <w:spacing w:val="2"/>
          <w:w w:val="110"/>
          <w:sz w:val="19"/>
          <w:szCs w:val="19"/>
        </w:rPr>
        <w:t>h</w:t>
      </w:r>
      <w:r>
        <w:rPr>
          <w:rFonts w:ascii="Arial" w:hAnsi="Arial" w:cs="Arial"/>
          <w:color w:val="353535"/>
          <w:spacing w:val="-37"/>
          <w:w w:val="110"/>
          <w:sz w:val="19"/>
          <w:szCs w:val="19"/>
        </w:rPr>
        <w:t xml:space="preserve"> </w:t>
      </w:r>
      <w:r>
        <w:rPr>
          <w:rFonts w:ascii="Arial" w:hAnsi="Arial" w:cs="Arial"/>
          <w:color w:val="353535"/>
          <w:w w:val="110"/>
          <w:sz w:val="19"/>
          <w:szCs w:val="19"/>
        </w:rPr>
        <w:t>app</w:t>
      </w:r>
      <w:r>
        <w:rPr>
          <w:rFonts w:ascii="Arial" w:hAnsi="Arial" w:cs="Arial"/>
          <w:color w:val="0D0D0D"/>
          <w:w w:val="110"/>
          <w:sz w:val="19"/>
          <w:szCs w:val="19"/>
        </w:rPr>
        <w:t>li</w:t>
      </w:r>
      <w:r>
        <w:rPr>
          <w:rFonts w:ascii="Arial" w:hAnsi="Arial" w:cs="Arial"/>
          <w:color w:val="353535"/>
          <w:w w:val="110"/>
          <w:sz w:val="19"/>
          <w:szCs w:val="19"/>
        </w:rPr>
        <w:t>ca</w:t>
      </w:r>
      <w:r>
        <w:rPr>
          <w:rFonts w:ascii="Arial" w:hAnsi="Arial" w:cs="Arial"/>
          <w:color w:val="0D0D0D"/>
          <w:w w:val="110"/>
          <w:sz w:val="19"/>
          <w:szCs w:val="19"/>
        </w:rPr>
        <w:t>ti</w:t>
      </w:r>
      <w:r>
        <w:rPr>
          <w:rFonts w:ascii="Arial" w:hAnsi="Arial" w:cs="Arial"/>
          <w:color w:val="353535"/>
          <w:w w:val="110"/>
          <w:sz w:val="19"/>
          <w:szCs w:val="19"/>
        </w:rPr>
        <w:t>on</w:t>
      </w:r>
      <w:r>
        <w:rPr>
          <w:rFonts w:ascii="Arial" w:hAnsi="Arial" w:cs="Arial"/>
          <w:color w:val="353535"/>
          <w:spacing w:val="-35"/>
          <w:w w:val="110"/>
          <w:sz w:val="19"/>
          <w:szCs w:val="19"/>
        </w:rPr>
        <w:t xml:space="preserve"> </w:t>
      </w:r>
      <w:r>
        <w:rPr>
          <w:rFonts w:ascii="Arial" w:hAnsi="Arial" w:cs="Arial"/>
          <w:color w:val="212121"/>
          <w:w w:val="110"/>
          <w:sz w:val="19"/>
          <w:szCs w:val="19"/>
        </w:rPr>
        <w:t>to</w:t>
      </w:r>
      <w:r>
        <w:rPr>
          <w:rFonts w:ascii="Arial" w:hAnsi="Arial" w:cs="Arial"/>
          <w:color w:val="212121"/>
          <w:spacing w:val="-18"/>
          <w:w w:val="110"/>
          <w:sz w:val="19"/>
          <w:szCs w:val="19"/>
        </w:rPr>
        <w:t xml:space="preserve"> </w:t>
      </w:r>
      <w:r>
        <w:rPr>
          <w:rFonts w:ascii="Arial" w:hAnsi="Arial" w:cs="Arial"/>
          <w:color w:val="353535"/>
          <w:w w:val="110"/>
          <w:sz w:val="19"/>
          <w:szCs w:val="19"/>
        </w:rPr>
        <w:t>amend</w:t>
      </w:r>
      <w:r>
        <w:rPr>
          <w:rFonts w:ascii="Arial" w:hAnsi="Arial" w:cs="Arial"/>
          <w:color w:val="353535"/>
          <w:spacing w:val="-23"/>
          <w:w w:val="110"/>
          <w:sz w:val="19"/>
          <w:szCs w:val="19"/>
        </w:rPr>
        <w:t xml:space="preserve"> </w:t>
      </w:r>
      <w:r>
        <w:rPr>
          <w:rFonts w:ascii="Arial" w:hAnsi="Arial" w:cs="Arial"/>
          <w:color w:val="353535"/>
          <w:w w:val="110"/>
          <w:sz w:val="19"/>
          <w:szCs w:val="19"/>
        </w:rPr>
        <w:t>and</w:t>
      </w:r>
      <w:r>
        <w:rPr>
          <w:rFonts w:ascii="Arial" w:hAnsi="Arial" w:cs="Arial"/>
          <w:color w:val="353535"/>
          <w:spacing w:val="-29"/>
          <w:w w:val="110"/>
          <w:sz w:val="19"/>
          <w:szCs w:val="19"/>
        </w:rPr>
        <w:t xml:space="preserve"> </w:t>
      </w:r>
      <w:r>
        <w:rPr>
          <w:rFonts w:ascii="Arial" w:hAnsi="Arial" w:cs="Arial"/>
          <w:color w:val="353535"/>
          <w:w w:val="110"/>
          <w:sz w:val="19"/>
          <w:szCs w:val="19"/>
        </w:rPr>
        <w:t>extend</w:t>
      </w:r>
      <w:r>
        <w:rPr>
          <w:rFonts w:ascii="Arial" w:hAnsi="Arial" w:cs="Arial"/>
          <w:color w:val="353535"/>
          <w:spacing w:val="-27"/>
          <w:w w:val="110"/>
          <w:sz w:val="19"/>
          <w:szCs w:val="19"/>
        </w:rPr>
        <w:t xml:space="preserve"> </w:t>
      </w:r>
      <w:r>
        <w:rPr>
          <w:rFonts w:ascii="Arial" w:hAnsi="Arial" w:cs="Arial"/>
          <w:color w:val="353535"/>
          <w:w w:val="110"/>
          <w:sz w:val="19"/>
          <w:szCs w:val="19"/>
        </w:rPr>
        <w:t>Sect</w:t>
      </w:r>
      <w:r>
        <w:rPr>
          <w:rFonts w:ascii="Arial" w:hAnsi="Arial" w:cs="Arial"/>
          <w:color w:val="0D0D0D"/>
          <w:w w:val="110"/>
          <w:sz w:val="19"/>
          <w:szCs w:val="19"/>
        </w:rPr>
        <w:t>i</w:t>
      </w:r>
      <w:r>
        <w:rPr>
          <w:rFonts w:ascii="Arial" w:hAnsi="Arial" w:cs="Arial"/>
          <w:color w:val="353535"/>
          <w:w w:val="110"/>
          <w:sz w:val="19"/>
          <w:szCs w:val="19"/>
        </w:rPr>
        <w:t>on</w:t>
      </w:r>
      <w:r>
        <w:rPr>
          <w:rFonts w:ascii="Arial" w:hAnsi="Arial" w:cs="Arial"/>
          <w:color w:val="353535"/>
          <w:spacing w:val="-21"/>
          <w:w w:val="110"/>
          <w:sz w:val="19"/>
          <w:szCs w:val="19"/>
        </w:rPr>
        <w:t xml:space="preserve"> </w:t>
      </w:r>
      <w:r>
        <w:rPr>
          <w:rFonts w:ascii="Arial" w:hAnsi="Arial" w:cs="Arial"/>
          <w:color w:val="353535"/>
          <w:spacing w:val="-23"/>
          <w:w w:val="110"/>
          <w:sz w:val="19"/>
          <w:szCs w:val="19"/>
        </w:rPr>
        <w:t xml:space="preserve">1115 </w:t>
      </w:r>
      <w:r>
        <w:rPr>
          <w:rFonts w:ascii="Arial" w:hAnsi="Arial" w:cs="Arial"/>
          <w:color w:val="353535"/>
          <w:w w:val="110"/>
          <w:sz w:val="19"/>
          <w:szCs w:val="19"/>
        </w:rPr>
        <w:t>Demonstration</w:t>
      </w:r>
      <w:r>
        <w:rPr>
          <w:rFonts w:ascii="Arial" w:hAnsi="Arial" w:cs="Arial"/>
          <w:color w:val="353535"/>
          <w:spacing w:val="-19"/>
          <w:w w:val="110"/>
          <w:sz w:val="19"/>
          <w:szCs w:val="19"/>
        </w:rPr>
        <w:t xml:space="preserve"> </w:t>
      </w:r>
      <w:r>
        <w:rPr>
          <w:rFonts w:ascii="Arial" w:hAnsi="Arial" w:cs="Arial"/>
          <w:color w:val="353535"/>
          <w:w w:val="110"/>
          <w:sz w:val="19"/>
          <w:szCs w:val="19"/>
        </w:rPr>
        <w:t>to</w:t>
      </w:r>
      <w:r>
        <w:rPr>
          <w:rFonts w:ascii="Arial" w:hAnsi="Arial" w:cs="Arial"/>
          <w:color w:val="353535"/>
          <w:spacing w:val="-27"/>
          <w:w w:val="110"/>
          <w:sz w:val="19"/>
          <w:szCs w:val="19"/>
        </w:rPr>
        <w:t xml:space="preserve"> </w:t>
      </w:r>
      <w:r>
        <w:rPr>
          <w:rFonts w:ascii="Arial" w:hAnsi="Arial" w:cs="Arial"/>
          <w:color w:val="353535"/>
          <w:w w:val="110"/>
          <w:sz w:val="19"/>
          <w:szCs w:val="19"/>
        </w:rPr>
        <w:t>the</w:t>
      </w:r>
      <w:r>
        <w:rPr>
          <w:rFonts w:ascii="Arial" w:hAnsi="Arial" w:cs="Arial"/>
          <w:color w:val="353535"/>
          <w:spacing w:val="-25"/>
          <w:w w:val="110"/>
          <w:sz w:val="19"/>
          <w:szCs w:val="19"/>
        </w:rPr>
        <w:t xml:space="preserve"> </w:t>
      </w:r>
      <w:r>
        <w:rPr>
          <w:rFonts w:ascii="Arial" w:hAnsi="Arial" w:cs="Arial"/>
          <w:color w:val="353535"/>
          <w:w w:val="110"/>
          <w:sz w:val="19"/>
          <w:szCs w:val="19"/>
        </w:rPr>
        <w:t>Centers</w:t>
      </w:r>
      <w:r>
        <w:rPr>
          <w:rFonts w:ascii="Arial" w:hAnsi="Arial" w:cs="Arial"/>
          <w:color w:val="353535"/>
          <w:spacing w:val="-29"/>
          <w:w w:val="110"/>
          <w:sz w:val="19"/>
          <w:szCs w:val="19"/>
        </w:rPr>
        <w:t xml:space="preserve"> </w:t>
      </w:r>
      <w:r>
        <w:rPr>
          <w:rFonts w:ascii="Arial" w:hAnsi="Arial" w:cs="Arial"/>
          <w:color w:val="353535"/>
          <w:w w:val="110"/>
          <w:sz w:val="19"/>
          <w:szCs w:val="19"/>
        </w:rPr>
        <w:t>for</w:t>
      </w:r>
      <w:r>
        <w:rPr>
          <w:rFonts w:ascii="Arial" w:hAnsi="Arial" w:cs="Arial"/>
          <w:color w:val="353535"/>
          <w:spacing w:val="-17"/>
          <w:w w:val="110"/>
          <w:sz w:val="19"/>
          <w:szCs w:val="19"/>
        </w:rPr>
        <w:t xml:space="preserve"> </w:t>
      </w:r>
      <w:r>
        <w:rPr>
          <w:rFonts w:ascii="Arial" w:hAnsi="Arial" w:cs="Arial"/>
          <w:color w:val="353535"/>
          <w:w w:val="110"/>
          <w:sz w:val="19"/>
          <w:szCs w:val="19"/>
        </w:rPr>
        <w:t>Med</w:t>
      </w:r>
      <w:r>
        <w:rPr>
          <w:rFonts w:ascii="Arial" w:hAnsi="Arial" w:cs="Arial"/>
          <w:color w:val="0D0D0D"/>
          <w:w w:val="110"/>
          <w:sz w:val="19"/>
          <w:szCs w:val="19"/>
        </w:rPr>
        <w:t>i</w:t>
      </w:r>
      <w:r>
        <w:rPr>
          <w:rFonts w:ascii="Arial" w:hAnsi="Arial" w:cs="Arial"/>
          <w:color w:val="353535"/>
          <w:w w:val="110"/>
          <w:sz w:val="19"/>
          <w:szCs w:val="19"/>
        </w:rPr>
        <w:t xml:space="preserve">care </w:t>
      </w:r>
      <w:r>
        <w:rPr>
          <w:rFonts w:ascii="Arial" w:hAnsi="Arial" w:cs="Arial"/>
          <w:color w:val="4C4C4C"/>
          <w:spacing w:val="3"/>
          <w:w w:val="110"/>
          <w:sz w:val="19"/>
          <w:szCs w:val="19"/>
        </w:rPr>
        <w:t>a</w:t>
      </w:r>
      <w:r>
        <w:rPr>
          <w:rFonts w:ascii="Arial" w:hAnsi="Arial" w:cs="Arial"/>
          <w:color w:val="212121"/>
          <w:spacing w:val="3"/>
          <w:w w:val="110"/>
          <w:sz w:val="19"/>
          <w:szCs w:val="19"/>
        </w:rPr>
        <w:t xml:space="preserve">nd </w:t>
      </w:r>
      <w:r>
        <w:rPr>
          <w:rFonts w:ascii="Arial" w:hAnsi="Arial" w:cs="Arial"/>
          <w:color w:val="353535"/>
          <w:spacing w:val="-3"/>
          <w:w w:val="110"/>
          <w:sz w:val="19"/>
          <w:szCs w:val="19"/>
        </w:rPr>
        <w:t>Med</w:t>
      </w:r>
      <w:r>
        <w:rPr>
          <w:rFonts w:ascii="Arial" w:hAnsi="Arial" w:cs="Arial"/>
          <w:color w:val="0D0D0D"/>
          <w:spacing w:val="-3"/>
          <w:w w:val="110"/>
          <w:sz w:val="19"/>
          <w:szCs w:val="19"/>
        </w:rPr>
        <w:t>i</w:t>
      </w:r>
      <w:r>
        <w:rPr>
          <w:rFonts w:ascii="Arial" w:hAnsi="Arial" w:cs="Arial"/>
          <w:color w:val="353535"/>
          <w:spacing w:val="-3"/>
          <w:w w:val="110"/>
          <w:sz w:val="19"/>
          <w:szCs w:val="19"/>
        </w:rPr>
        <w:t>ca</w:t>
      </w:r>
      <w:r>
        <w:rPr>
          <w:rFonts w:ascii="Arial" w:hAnsi="Arial" w:cs="Arial"/>
          <w:color w:val="0D0D0D"/>
          <w:spacing w:val="-3"/>
          <w:w w:val="110"/>
          <w:sz w:val="19"/>
          <w:szCs w:val="19"/>
        </w:rPr>
        <w:t xml:space="preserve">id </w:t>
      </w:r>
      <w:r>
        <w:rPr>
          <w:rFonts w:ascii="Arial" w:hAnsi="Arial" w:cs="Arial"/>
          <w:color w:val="353535"/>
          <w:w w:val="110"/>
          <w:sz w:val="19"/>
          <w:szCs w:val="19"/>
        </w:rPr>
        <w:t>Serv</w:t>
      </w:r>
      <w:r>
        <w:rPr>
          <w:rFonts w:ascii="Arial" w:hAnsi="Arial" w:cs="Arial"/>
          <w:color w:val="0D0D0D"/>
          <w:w w:val="110"/>
          <w:sz w:val="19"/>
          <w:szCs w:val="19"/>
        </w:rPr>
        <w:t>i</w:t>
      </w:r>
      <w:r>
        <w:rPr>
          <w:rFonts w:ascii="Arial" w:hAnsi="Arial" w:cs="Arial"/>
          <w:color w:val="4C4C4C"/>
          <w:w w:val="110"/>
          <w:sz w:val="19"/>
          <w:szCs w:val="19"/>
        </w:rPr>
        <w:t xml:space="preserve">ces </w:t>
      </w:r>
      <w:r>
        <w:rPr>
          <w:rFonts w:ascii="Arial" w:hAnsi="Arial" w:cs="Arial"/>
          <w:color w:val="353535"/>
          <w:w w:val="110"/>
          <w:sz w:val="19"/>
          <w:szCs w:val="19"/>
        </w:rPr>
        <w:t xml:space="preserve">( </w:t>
      </w:r>
      <w:r>
        <w:rPr>
          <w:rFonts w:ascii="Arial" w:hAnsi="Arial" w:cs="Arial"/>
          <w:color w:val="0D0D0D"/>
          <w:w w:val="110"/>
          <w:sz w:val="19"/>
          <w:szCs w:val="19"/>
        </w:rPr>
        <w:t>th</w:t>
      </w:r>
      <w:r>
        <w:rPr>
          <w:rFonts w:ascii="Arial" w:hAnsi="Arial" w:cs="Arial"/>
          <w:color w:val="4C4C4C"/>
          <w:w w:val="110"/>
          <w:sz w:val="19"/>
          <w:szCs w:val="19"/>
        </w:rPr>
        <w:t xml:space="preserve">e </w:t>
      </w:r>
      <w:r>
        <w:rPr>
          <w:rFonts w:ascii="Arial" w:hAnsi="Arial" w:cs="Arial"/>
          <w:color w:val="353535"/>
          <w:spacing w:val="2"/>
          <w:w w:val="110"/>
          <w:sz w:val="19"/>
          <w:szCs w:val="19"/>
        </w:rPr>
        <w:t>proposa</w:t>
      </w:r>
      <w:r>
        <w:rPr>
          <w:rFonts w:ascii="Arial" w:hAnsi="Arial" w:cs="Arial"/>
          <w:color w:val="0D0D0D"/>
          <w:spacing w:val="2"/>
          <w:w w:val="110"/>
          <w:sz w:val="19"/>
          <w:szCs w:val="19"/>
        </w:rPr>
        <w:t xml:space="preserve">l </w:t>
      </w:r>
      <w:r>
        <w:rPr>
          <w:rFonts w:ascii="Arial" w:hAnsi="Arial" w:cs="Arial"/>
          <w:color w:val="353535"/>
          <w:spacing w:val="3"/>
          <w:w w:val="110"/>
          <w:sz w:val="19"/>
          <w:szCs w:val="19"/>
        </w:rPr>
        <w:t>).</w:t>
      </w:r>
      <w:r>
        <w:rPr>
          <w:rFonts w:ascii="Arial" w:hAnsi="Arial" w:cs="Arial"/>
          <w:color w:val="0D0D0D"/>
          <w:spacing w:val="3"/>
          <w:w w:val="110"/>
          <w:sz w:val="19"/>
          <w:szCs w:val="19"/>
        </w:rPr>
        <w:t>Th</w:t>
      </w:r>
      <w:r>
        <w:rPr>
          <w:rFonts w:ascii="Arial" w:hAnsi="Arial" w:cs="Arial"/>
          <w:color w:val="4C4C4C"/>
          <w:spacing w:val="3"/>
          <w:w w:val="110"/>
          <w:sz w:val="19"/>
          <w:szCs w:val="19"/>
        </w:rPr>
        <w:t xml:space="preserve">e </w:t>
      </w:r>
      <w:r>
        <w:rPr>
          <w:rFonts w:ascii="Arial" w:hAnsi="Arial" w:cs="Arial"/>
          <w:color w:val="353535"/>
          <w:w w:val="110"/>
          <w:sz w:val="19"/>
          <w:szCs w:val="19"/>
        </w:rPr>
        <w:t>CM</w:t>
      </w:r>
      <w:r>
        <w:rPr>
          <w:rFonts w:ascii="Arial" w:hAnsi="Arial" w:cs="Arial"/>
          <w:color w:val="0D0D0D"/>
          <w:w w:val="110"/>
          <w:sz w:val="19"/>
          <w:szCs w:val="19"/>
        </w:rPr>
        <w:t>H</w:t>
      </w:r>
      <w:r>
        <w:rPr>
          <w:rFonts w:ascii="Arial" w:hAnsi="Arial" w:cs="Arial"/>
          <w:color w:val="353535"/>
          <w:w w:val="110"/>
          <w:sz w:val="19"/>
          <w:szCs w:val="19"/>
        </w:rPr>
        <w:t xml:space="preserve">C </w:t>
      </w:r>
      <w:r>
        <w:rPr>
          <w:rFonts w:ascii="Arial" w:hAnsi="Arial" w:cs="Arial"/>
          <w:color w:val="0D0D0D"/>
          <w:w w:val="110"/>
          <w:sz w:val="19"/>
          <w:szCs w:val="19"/>
        </w:rPr>
        <w:t>l</w:t>
      </w:r>
      <w:r>
        <w:rPr>
          <w:rFonts w:ascii="Arial" w:hAnsi="Arial" w:cs="Arial"/>
          <w:color w:val="4C4C4C"/>
          <w:w w:val="110"/>
          <w:sz w:val="19"/>
          <w:szCs w:val="19"/>
        </w:rPr>
        <w:t>eade</w:t>
      </w:r>
      <w:r>
        <w:rPr>
          <w:rFonts w:ascii="Arial" w:hAnsi="Arial" w:cs="Arial"/>
          <w:color w:val="212121"/>
          <w:w w:val="110"/>
          <w:sz w:val="19"/>
          <w:szCs w:val="19"/>
        </w:rPr>
        <w:t>r</w:t>
      </w:r>
      <w:r>
        <w:rPr>
          <w:rFonts w:ascii="Arial" w:hAnsi="Arial" w:cs="Arial"/>
          <w:color w:val="4C4C4C"/>
          <w:w w:val="110"/>
          <w:sz w:val="19"/>
          <w:szCs w:val="19"/>
        </w:rPr>
        <w:t>s</w:t>
      </w:r>
      <w:r>
        <w:rPr>
          <w:rFonts w:ascii="Arial" w:hAnsi="Arial" w:cs="Arial"/>
          <w:color w:val="212121"/>
          <w:w w:val="110"/>
          <w:sz w:val="19"/>
          <w:szCs w:val="19"/>
        </w:rPr>
        <w:t xml:space="preserve">hip </w:t>
      </w:r>
      <w:r>
        <w:rPr>
          <w:rFonts w:ascii="Arial" w:hAnsi="Arial" w:cs="Arial"/>
          <w:color w:val="353535"/>
          <w:w w:val="110"/>
          <w:sz w:val="19"/>
          <w:szCs w:val="19"/>
        </w:rPr>
        <w:t>appreciates that the focus of the application</w:t>
      </w:r>
      <w:r>
        <w:rPr>
          <w:rFonts w:ascii="Arial" w:hAnsi="Arial" w:cs="Arial"/>
          <w:color w:val="353535"/>
          <w:spacing w:val="-9"/>
          <w:w w:val="110"/>
          <w:sz w:val="19"/>
          <w:szCs w:val="19"/>
        </w:rPr>
        <w:t xml:space="preserve"> </w:t>
      </w:r>
      <w:r>
        <w:rPr>
          <w:rFonts w:ascii="Arial" w:hAnsi="Arial" w:cs="Arial"/>
          <w:color w:val="0D0D0D"/>
          <w:w w:val="110"/>
          <w:sz w:val="19"/>
          <w:szCs w:val="19"/>
        </w:rPr>
        <w:t>i</w:t>
      </w:r>
      <w:r>
        <w:rPr>
          <w:rFonts w:ascii="Arial" w:hAnsi="Arial" w:cs="Arial"/>
          <w:color w:val="4C4C4C"/>
          <w:w w:val="110"/>
          <w:sz w:val="19"/>
          <w:szCs w:val="19"/>
        </w:rPr>
        <w:t>s</w:t>
      </w:r>
      <w:r w:rsidR="00B27397">
        <w:rPr>
          <w:rFonts w:ascii="Arial" w:hAnsi="Arial" w:cs="Arial"/>
          <w:color w:val="4C4C4C"/>
          <w:w w:val="110"/>
          <w:sz w:val="19"/>
          <w:szCs w:val="19"/>
        </w:rPr>
        <w:t xml:space="preserve"> </w:t>
      </w:r>
      <w:r>
        <w:rPr>
          <w:rFonts w:ascii="Arial" w:hAnsi="Arial" w:cs="Arial"/>
          <w:color w:val="353535"/>
          <w:w w:val="110"/>
          <w:sz w:val="19"/>
          <w:szCs w:val="19"/>
        </w:rPr>
        <w:t>to</w:t>
      </w:r>
      <w:r>
        <w:rPr>
          <w:rFonts w:ascii="Arial" w:hAnsi="Arial" w:cs="Arial"/>
          <w:color w:val="353535"/>
          <w:spacing w:val="-21"/>
          <w:w w:val="110"/>
          <w:sz w:val="19"/>
          <w:szCs w:val="19"/>
        </w:rPr>
        <w:t xml:space="preserve"> </w:t>
      </w:r>
      <w:r>
        <w:rPr>
          <w:rFonts w:ascii="Arial" w:hAnsi="Arial" w:cs="Arial"/>
          <w:color w:val="0D0D0D"/>
          <w:spacing w:val="-3"/>
          <w:w w:val="110"/>
          <w:sz w:val="19"/>
          <w:szCs w:val="19"/>
        </w:rPr>
        <w:t>i</w:t>
      </w:r>
      <w:r>
        <w:rPr>
          <w:rFonts w:ascii="Arial" w:hAnsi="Arial" w:cs="Arial"/>
          <w:color w:val="353535"/>
          <w:spacing w:val="-3"/>
          <w:w w:val="110"/>
          <w:sz w:val="19"/>
          <w:szCs w:val="19"/>
        </w:rPr>
        <w:t>nc</w:t>
      </w:r>
      <w:r>
        <w:rPr>
          <w:rFonts w:ascii="Arial" w:hAnsi="Arial" w:cs="Arial"/>
          <w:color w:val="0D0D0D"/>
          <w:spacing w:val="-3"/>
          <w:w w:val="110"/>
          <w:sz w:val="19"/>
          <w:szCs w:val="19"/>
        </w:rPr>
        <w:t>r</w:t>
      </w:r>
      <w:r>
        <w:rPr>
          <w:rFonts w:ascii="Arial" w:hAnsi="Arial" w:cs="Arial"/>
          <w:color w:val="353535"/>
          <w:spacing w:val="-3"/>
          <w:w w:val="110"/>
          <w:sz w:val="19"/>
          <w:szCs w:val="19"/>
        </w:rPr>
        <w:t>ease</w:t>
      </w:r>
      <w:r>
        <w:rPr>
          <w:rFonts w:ascii="Arial" w:hAnsi="Arial" w:cs="Arial"/>
          <w:color w:val="353535"/>
          <w:spacing w:val="-30"/>
          <w:w w:val="110"/>
          <w:sz w:val="19"/>
          <w:szCs w:val="19"/>
        </w:rPr>
        <w:t xml:space="preserve"> </w:t>
      </w:r>
      <w:r>
        <w:rPr>
          <w:rFonts w:ascii="Arial" w:hAnsi="Arial" w:cs="Arial"/>
          <w:color w:val="353535"/>
          <w:w w:val="110"/>
          <w:sz w:val="19"/>
          <w:szCs w:val="19"/>
        </w:rPr>
        <w:t>care</w:t>
      </w:r>
      <w:r>
        <w:rPr>
          <w:rFonts w:ascii="Arial" w:hAnsi="Arial" w:cs="Arial"/>
          <w:color w:val="353535"/>
          <w:spacing w:val="-21"/>
          <w:w w:val="110"/>
          <w:sz w:val="19"/>
          <w:szCs w:val="19"/>
        </w:rPr>
        <w:t xml:space="preserve"> </w:t>
      </w:r>
      <w:r>
        <w:rPr>
          <w:rFonts w:ascii="Arial" w:hAnsi="Arial" w:cs="Arial"/>
          <w:color w:val="0D0D0D"/>
          <w:spacing w:val="-3"/>
          <w:w w:val="110"/>
          <w:sz w:val="19"/>
          <w:szCs w:val="19"/>
        </w:rPr>
        <w:t>int</w:t>
      </w:r>
      <w:r>
        <w:rPr>
          <w:rFonts w:ascii="Arial" w:hAnsi="Arial" w:cs="Arial"/>
          <w:color w:val="353535"/>
          <w:spacing w:val="-3"/>
          <w:w w:val="110"/>
          <w:sz w:val="19"/>
          <w:szCs w:val="19"/>
        </w:rPr>
        <w:t>egra</w:t>
      </w:r>
      <w:r>
        <w:rPr>
          <w:rFonts w:ascii="Arial" w:hAnsi="Arial" w:cs="Arial"/>
          <w:color w:val="0D0D0D"/>
          <w:spacing w:val="-3"/>
          <w:w w:val="110"/>
          <w:sz w:val="19"/>
          <w:szCs w:val="19"/>
        </w:rPr>
        <w:t>ti</w:t>
      </w:r>
      <w:r>
        <w:rPr>
          <w:rFonts w:ascii="Arial" w:hAnsi="Arial" w:cs="Arial"/>
          <w:color w:val="353535"/>
          <w:spacing w:val="-3"/>
          <w:w w:val="110"/>
          <w:sz w:val="19"/>
          <w:szCs w:val="19"/>
        </w:rPr>
        <w:t>on</w:t>
      </w:r>
      <w:r>
        <w:rPr>
          <w:rFonts w:ascii="Arial" w:hAnsi="Arial" w:cs="Arial"/>
          <w:color w:val="353535"/>
          <w:spacing w:val="-27"/>
          <w:w w:val="110"/>
          <w:sz w:val="19"/>
          <w:szCs w:val="19"/>
        </w:rPr>
        <w:t xml:space="preserve"> </w:t>
      </w:r>
      <w:r>
        <w:rPr>
          <w:rFonts w:ascii="Arial" w:hAnsi="Arial" w:cs="Arial"/>
          <w:color w:val="212121"/>
          <w:spacing w:val="3"/>
          <w:w w:val="110"/>
          <w:sz w:val="19"/>
          <w:szCs w:val="19"/>
        </w:rPr>
        <w:t>in</w:t>
      </w:r>
      <w:r w:rsidR="00B27397">
        <w:rPr>
          <w:rFonts w:ascii="Arial" w:hAnsi="Arial" w:cs="Arial"/>
          <w:color w:val="212121"/>
          <w:spacing w:val="3"/>
          <w:w w:val="110"/>
          <w:sz w:val="19"/>
          <w:szCs w:val="19"/>
        </w:rPr>
        <w:t xml:space="preserve"> </w:t>
      </w:r>
      <w:r>
        <w:rPr>
          <w:rFonts w:ascii="Arial" w:hAnsi="Arial" w:cs="Arial"/>
          <w:color w:val="4C4C4C"/>
          <w:spacing w:val="3"/>
          <w:w w:val="110"/>
          <w:sz w:val="19"/>
          <w:szCs w:val="19"/>
        </w:rPr>
        <w:t>a</w:t>
      </w:r>
      <w:r>
        <w:rPr>
          <w:rFonts w:ascii="Arial" w:hAnsi="Arial" w:cs="Arial"/>
          <w:color w:val="4C4C4C"/>
          <w:spacing w:val="-23"/>
          <w:w w:val="110"/>
          <w:sz w:val="19"/>
          <w:szCs w:val="19"/>
        </w:rPr>
        <w:t xml:space="preserve"> </w:t>
      </w:r>
      <w:r>
        <w:rPr>
          <w:rFonts w:ascii="Arial" w:hAnsi="Arial" w:cs="Arial"/>
          <w:color w:val="212121"/>
          <w:spacing w:val="3"/>
          <w:w w:val="110"/>
          <w:sz w:val="19"/>
          <w:szCs w:val="19"/>
        </w:rPr>
        <w:t>m</w:t>
      </w:r>
      <w:r>
        <w:rPr>
          <w:rFonts w:ascii="Arial" w:hAnsi="Arial" w:cs="Arial"/>
          <w:color w:val="4C4C4C"/>
          <w:spacing w:val="3"/>
          <w:w w:val="110"/>
          <w:sz w:val="19"/>
          <w:szCs w:val="19"/>
        </w:rPr>
        <w:t>ea</w:t>
      </w:r>
      <w:r>
        <w:rPr>
          <w:rFonts w:ascii="Arial" w:hAnsi="Arial" w:cs="Arial"/>
          <w:color w:val="212121"/>
          <w:spacing w:val="3"/>
          <w:w w:val="110"/>
          <w:sz w:val="19"/>
          <w:szCs w:val="19"/>
        </w:rPr>
        <w:t>ningful</w:t>
      </w:r>
      <w:r>
        <w:rPr>
          <w:rFonts w:ascii="Arial" w:hAnsi="Arial" w:cs="Arial"/>
          <w:color w:val="212121"/>
          <w:spacing w:val="-23"/>
          <w:w w:val="110"/>
          <w:sz w:val="19"/>
          <w:szCs w:val="19"/>
        </w:rPr>
        <w:t xml:space="preserve"> </w:t>
      </w:r>
      <w:r>
        <w:rPr>
          <w:rFonts w:ascii="Arial" w:hAnsi="Arial" w:cs="Arial"/>
          <w:color w:val="353535"/>
          <w:w w:val="110"/>
          <w:sz w:val="19"/>
          <w:szCs w:val="19"/>
        </w:rPr>
        <w:t>way</w:t>
      </w:r>
      <w:r>
        <w:rPr>
          <w:rFonts w:ascii="Arial" w:hAnsi="Arial" w:cs="Arial"/>
          <w:color w:val="353535"/>
          <w:spacing w:val="-26"/>
          <w:w w:val="110"/>
          <w:sz w:val="19"/>
          <w:szCs w:val="19"/>
        </w:rPr>
        <w:t xml:space="preserve"> </w:t>
      </w:r>
      <w:r>
        <w:rPr>
          <w:rFonts w:ascii="Arial" w:hAnsi="Arial" w:cs="Arial"/>
          <w:color w:val="353535"/>
          <w:w w:val="110"/>
          <w:sz w:val="19"/>
          <w:szCs w:val="19"/>
        </w:rPr>
        <w:t>for</w:t>
      </w:r>
      <w:r>
        <w:rPr>
          <w:rFonts w:ascii="Arial" w:hAnsi="Arial" w:cs="Arial"/>
          <w:color w:val="353535"/>
          <w:spacing w:val="-15"/>
          <w:w w:val="110"/>
          <w:sz w:val="19"/>
          <w:szCs w:val="19"/>
        </w:rPr>
        <w:t xml:space="preserve"> </w:t>
      </w:r>
      <w:r>
        <w:rPr>
          <w:rFonts w:ascii="Arial" w:hAnsi="Arial" w:cs="Arial"/>
          <w:color w:val="353535"/>
          <w:w w:val="110"/>
          <w:sz w:val="19"/>
          <w:szCs w:val="19"/>
        </w:rPr>
        <w:t>MassHealth</w:t>
      </w:r>
      <w:r>
        <w:rPr>
          <w:rFonts w:ascii="Arial" w:hAnsi="Arial" w:cs="Arial"/>
          <w:color w:val="353535"/>
          <w:spacing w:val="-19"/>
          <w:w w:val="110"/>
          <w:sz w:val="19"/>
          <w:szCs w:val="19"/>
        </w:rPr>
        <w:t xml:space="preserve"> </w:t>
      </w:r>
      <w:r>
        <w:rPr>
          <w:rFonts w:ascii="Arial" w:hAnsi="Arial" w:cs="Arial"/>
          <w:color w:val="353535"/>
          <w:w w:val="110"/>
          <w:sz w:val="19"/>
          <w:szCs w:val="19"/>
        </w:rPr>
        <w:t>members</w:t>
      </w:r>
      <w:r>
        <w:rPr>
          <w:rFonts w:ascii="Arial" w:hAnsi="Arial" w:cs="Arial"/>
          <w:color w:val="353535"/>
          <w:spacing w:val="-23"/>
          <w:w w:val="110"/>
          <w:sz w:val="19"/>
          <w:szCs w:val="19"/>
        </w:rPr>
        <w:t xml:space="preserve"> </w:t>
      </w:r>
      <w:r>
        <w:rPr>
          <w:rFonts w:ascii="Arial" w:hAnsi="Arial" w:cs="Arial"/>
          <w:color w:val="353535"/>
          <w:w w:val="110"/>
          <w:sz w:val="19"/>
          <w:szCs w:val="19"/>
        </w:rPr>
        <w:t>as</w:t>
      </w:r>
      <w:r>
        <w:rPr>
          <w:rFonts w:ascii="Arial" w:hAnsi="Arial" w:cs="Arial"/>
          <w:color w:val="353535"/>
          <w:spacing w:val="-30"/>
          <w:w w:val="110"/>
          <w:sz w:val="19"/>
          <w:szCs w:val="19"/>
        </w:rPr>
        <w:t xml:space="preserve"> </w:t>
      </w:r>
      <w:r>
        <w:rPr>
          <w:rFonts w:ascii="Arial" w:hAnsi="Arial" w:cs="Arial"/>
          <w:color w:val="212121"/>
          <w:w w:val="110"/>
          <w:sz w:val="19"/>
          <w:szCs w:val="19"/>
        </w:rPr>
        <w:t>th</w:t>
      </w:r>
      <w:r>
        <w:rPr>
          <w:rFonts w:ascii="Arial" w:hAnsi="Arial" w:cs="Arial"/>
          <w:color w:val="4C4C4C"/>
          <w:w w:val="110"/>
          <w:sz w:val="19"/>
          <w:szCs w:val="19"/>
        </w:rPr>
        <w:t>eir</w:t>
      </w:r>
    </w:p>
    <w:p w:rsidR="002C5025" w:rsidRDefault="002C5025">
      <w:pPr>
        <w:pStyle w:val="BodyText"/>
        <w:kinsoku w:val="0"/>
        <w:overflowPunct w:val="0"/>
        <w:spacing w:before="1" w:line="297" w:lineRule="auto"/>
        <w:ind w:left="108" w:right="1546" w:firstLine="4"/>
        <w:rPr>
          <w:rFonts w:ascii="Arial" w:hAnsi="Arial" w:cs="Arial"/>
          <w:color w:val="0D0D0D"/>
          <w:spacing w:val="3"/>
          <w:w w:val="105"/>
          <w:sz w:val="19"/>
          <w:szCs w:val="19"/>
        </w:rPr>
      </w:pPr>
      <w:r>
        <w:rPr>
          <w:rFonts w:ascii="Arial" w:hAnsi="Arial" w:cs="Arial"/>
          <w:color w:val="4C4C4C"/>
          <w:spacing w:val="2"/>
          <w:w w:val="105"/>
          <w:sz w:val="19"/>
          <w:szCs w:val="19"/>
        </w:rPr>
        <w:t>cove</w:t>
      </w:r>
      <w:r>
        <w:rPr>
          <w:rFonts w:ascii="Arial" w:hAnsi="Arial" w:cs="Arial"/>
          <w:color w:val="212121"/>
          <w:spacing w:val="2"/>
          <w:w w:val="105"/>
          <w:sz w:val="19"/>
          <w:szCs w:val="19"/>
        </w:rPr>
        <w:t>r</w:t>
      </w:r>
      <w:r>
        <w:rPr>
          <w:rFonts w:ascii="Arial" w:hAnsi="Arial" w:cs="Arial"/>
          <w:color w:val="4C4C4C"/>
          <w:spacing w:val="2"/>
          <w:w w:val="105"/>
          <w:sz w:val="19"/>
          <w:szCs w:val="19"/>
        </w:rPr>
        <w:t>age</w:t>
      </w:r>
      <w:r>
        <w:rPr>
          <w:rFonts w:ascii="Arial" w:hAnsi="Arial" w:cs="Arial"/>
          <w:color w:val="4C4C4C"/>
          <w:spacing w:val="-3"/>
          <w:w w:val="105"/>
          <w:sz w:val="19"/>
          <w:szCs w:val="19"/>
        </w:rPr>
        <w:t xml:space="preserve"> </w:t>
      </w:r>
      <w:r>
        <w:rPr>
          <w:rFonts w:ascii="Arial" w:hAnsi="Arial" w:cs="Arial"/>
          <w:color w:val="212121"/>
          <w:spacing w:val="-10"/>
          <w:w w:val="105"/>
          <w:sz w:val="19"/>
          <w:szCs w:val="19"/>
        </w:rPr>
        <w:t>i</w:t>
      </w:r>
      <w:r>
        <w:rPr>
          <w:rFonts w:ascii="Arial" w:hAnsi="Arial" w:cs="Arial"/>
          <w:color w:val="4C4C4C"/>
          <w:spacing w:val="-10"/>
          <w:w w:val="105"/>
          <w:sz w:val="19"/>
          <w:szCs w:val="19"/>
        </w:rPr>
        <w:t>s</w:t>
      </w:r>
      <w:r>
        <w:rPr>
          <w:rFonts w:ascii="Arial" w:hAnsi="Arial" w:cs="Arial"/>
          <w:color w:val="4C4C4C"/>
          <w:spacing w:val="-3"/>
          <w:w w:val="105"/>
          <w:sz w:val="19"/>
          <w:szCs w:val="19"/>
        </w:rPr>
        <w:t xml:space="preserve"> </w:t>
      </w:r>
      <w:r>
        <w:rPr>
          <w:rFonts w:ascii="Arial" w:hAnsi="Arial" w:cs="Arial"/>
          <w:color w:val="353535"/>
          <w:spacing w:val="-4"/>
          <w:w w:val="105"/>
          <w:sz w:val="19"/>
          <w:szCs w:val="19"/>
        </w:rPr>
        <w:t>trans</w:t>
      </w:r>
      <w:r>
        <w:rPr>
          <w:rFonts w:ascii="Arial" w:hAnsi="Arial" w:cs="Arial"/>
          <w:color w:val="0D0D0D"/>
          <w:spacing w:val="-4"/>
          <w:w w:val="105"/>
          <w:sz w:val="19"/>
          <w:szCs w:val="19"/>
        </w:rPr>
        <w:t>i</w:t>
      </w:r>
      <w:r>
        <w:rPr>
          <w:rFonts w:ascii="Arial" w:hAnsi="Arial" w:cs="Arial"/>
          <w:color w:val="353535"/>
          <w:spacing w:val="-4"/>
          <w:w w:val="105"/>
          <w:sz w:val="19"/>
          <w:szCs w:val="19"/>
        </w:rPr>
        <w:t xml:space="preserve">tioned </w:t>
      </w:r>
      <w:r>
        <w:rPr>
          <w:rFonts w:ascii="Arial" w:hAnsi="Arial" w:cs="Arial"/>
          <w:color w:val="0D0D0D"/>
          <w:w w:val="105"/>
          <w:sz w:val="19"/>
          <w:szCs w:val="19"/>
        </w:rPr>
        <w:t>t</w:t>
      </w:r>
      <w:r>
        <w:rPr>
          <w:rFonts w:ascii="Arial" w:hAnsi="Arial" w:cs="Arial"/>
          <w:color w:val="353535"/>
          <w:w w:val="105"/>
          <w:sz w:val="19"/>
          <w:szCs w:val="19"/>
        </w:rPr>
        <w:t>o</w:t>
      </w:r>
      <w:r>
        <w:rPr>
          <w:rFonts w:ascii="Arial" w:hAnsi="Arial" w:cs="Arial"/>
          <w:color w:val="353535"/>
          <w:spacing w:val="-18"/>
          <w:w w:val="105"/>
          <w:sz w:val="19"/>
          <w:szCs w:val="19"/>
        </w:rPr>
        <w:t xml:space="preserve"> </w:t>
      </w:r>
      <w:r>
        <w:rPr>
          <w:rFonts w:ascii="Arial" w:hAnsi="Arial" w:cs="Arial"/>
          <w:color w:val="353535"/>
          <w:w w:val="105"/>
          <w:sz w:val="19"/>
          <w:szCs w:val="19"/>
        </w:rPr>
        <w:t>Accountab</w:t>
      </w:r>
      <w:r>
        <w:rPr>
          <w:rFonts w:ascii="Arial" w:hAnsi="Arial" w:cs="Arial"/>
          <w:color w:val="0D0D0D"/>
          <w:spacing w:val="-9"/>
          <w:w w:val="105"/>
          <w:sz w:val="19"/>
          <w:szCs w:val="19"/>
        </w:rPr>
        <w:t>l</w:t>
      </w:r>
      <w:r>
        <w:rPr>
          <w:rFonts w:ascii="Arial" w:hAnsi="Arial" w:cs="Arial"/>
          <w:color w:val="353535"/>
          <w:spacing w:val="-9"/>
          <w:w w:val="105"/>
          <w:sz w:val="19"/>
          <w:szCs w:val="19"/>
        </w:rPr>
        <w:t>e</w:t>
      </w:r>
      <w:r>
        <w:rPr>
          <w:rFonts w:ascii="Arial" w:hAnsi="Arial" w:cs="Arial"/>
          <w:color w:val="353535"/>
          <w:spacing w:val="-18"/>
          <w:w w:val="105"/>
          <w:sz w:val="19"/>
          <w:szCs w:val="19"/>
        </w:rPr>
        <w:t xml:space="preserve"> </w:t>
      </w:r>
      <w:r>
        <w:rPr>
          <w:rFonts w:ascii="Arial" w:hAnsi="Arial" w:cs="Arial"/>
          <w:color w:val="353535"/>
          <w:w w:val="105"/>
          <w:sz w:val="19"/>
          <w:szCs w:val="19"/>
        </w:rPr>
        <w:t>Care</w:t>
      </w:r>
      <w:r>
        <w:rPr>
          <w:rFonts w:ascii="Arial" w:hAnsi="Arial" w:cs="Arial"/>
          <w:color w:val="353535"/>
          <w:spacing w:val="-17"/>
          <w:w w:val="105"/>
          <w:sz w:val="19"/>
          <w:szCs w:val="19"/>
        </w:rPr>
        <w:t xml:space="preserve"> </w:t>
      </w:r>
      <w:r>
        <w:rPr>
          <w:rFonts w:ascii="Arial" w:hAnsi="Arial" w:cs="Arial"/>
          <w:color w:val="353535"/>
          <w:spacing w:val="2"/>
          <w:w w:val="105"/>
          <w:sz w:val="19"/>
          <w:szCs w:val="19"/>
        </w:rPr>
        <w:t>Organizations</w:t>
      </w:r>
      <w:r>
        <w:rPr>
          <w:rFonts w:ascii="Arial" w:hAnsi="Arial" w:cs="Arial"/>
          <w:color w:val="353535"/>
          <w:spacing w:val="-2"/>
          <w:w w:val="105"/>
          <w:sz w:val="19"/>
          <w:szCs w:val="19"/>
        </w:rPr>
        <w:t xml:space="preserve"> </w:t>
      </w:r>
      <w:r>
        <w:rPr>
          <w:rFonts w:ascii="Arial" w:hAnsi="Arial" w:cs="Arial"/>
          <w:color w:val="212121"/>
          <w:w w:val="105"/>
          <w:sz w:val="19"/>
          <w:szCs w:val="19"/>
        </w:rPr>
        <w:t>(ACO).</w:t>
      </w:r>
      <w:r>
        <w:rPr>
          <w:rFonts w:ascii="Arial" w:hAnsi="Arial" w:cs="Arial"/>
          <w:color w:val="212121"/>
          <w:spacing w:val="-13"/>
          <w:w w:val="105"/>
          <w:sz w:val="19"/>
          <w:szCs w:val="19"/>
        </w:rPr>
        <w:t xml:space="preserve"> </w:t>
      </w:r>
      <w:r>
        <w:rPr>
          <w:rFonts w:ascii="Arial" w:hAnsi="Arial" w:cs="Arial"/>
          <w:color w:val="353535"/>
          <w:w w:val="105"/>
          <w:sz w:val="19"/>
          <w:szCs w:val="19"/>
        </w:rPr>
        <w:t>We</w:t>
      </w:r>
      <w:r>
        <w:rPr>
          <w:rFonts w:ascii="Arial" w:hAnsi="Arial" w:cs="Arial"/>
          <w:color w:val="353535"/>
          <w:spacing w:val="-3"/>
          <w:w w:val="105"/>
          <w:sz w:val="19"/>
          <w:szCs w:val="19"/>
        </w:rPr>
        <w:t xml:space="preserve"> </w:t>
      </w:r>
      <w:r>
        <w:rPr>
          <w:rFonts w:ascii="Arial" w:hAnsi="Arial" w:cs="Arial"/>
          <w:color w:val="212121"/>
          <w:w w:val="105"/>
          <w:sz w:val="19"/>
          <w:szCs w:val="19"/>
        </w:rPr>
        <w:t>r</w:t>
      </w:r>
      <w:r>
        <w:rPr>
          <w:rFonts w:ascii="Arial" w:hAnsi="Arial" w:cs="Arial"/>
          <w:color w:val="4C4C4C"/>
          <w:w w:val="105"/>
          <w:sz w:val="19"/>
          <w:szCs w:val="19"/>
        </w:rPr>
        <w:t>ema</w:t>
      </w:r>
      <w:r>
        <w:rPr>
          <w:rFonts w:ascii="Arial" w:hAnsi="Arial" w:cs="Arial"/>
          <w:color w:val="0D0D0D"/>
          <w:w w:val="105"/>
          <w:sz w:val="19"/>
          <w:szCs w:val="19"/>
        </w:rPr>
        <w:t>i</w:t>
      </w:r>
      <w:r>
        <w:rPr>
          <w:rFonts w:ascii="Arial" w:hAnsi="Arial" w:cs="Arial"/>
          <w:color w:val="353535"/>
          <w:w w:val="105"/>
          <w:sz w:val="19"/>
          <w:szCs w:val="19"/>
        </w:rPr>
        <w:t>n</w:t>
      </w:r>
      <w:r>
        <w:rPr>
          <w:rFonts w:ascii="Arial" w:hAnsi="Arial" w:cs="Arial"/>
          <w:color w:val="353535"/>
          <w:spacing w:val="-18"/>
          <w:w w:val="105"/>
          <w:sz w:val="19"/>
          <w:szCs w:val="19"/>
        </w:rPr>
        <w:t xml:space="preserve"> </w:t>
      </w:r>
      <w:r>
        <w:rPr>
          <w:rFonts w:ascii="Arial" w:hAnsi="Arial" w:cs="Arial"/>
          <w:color w:val="4C4C4C"/>
          <w:spacing w:val="4"/>
          <w:w w:val="105"/>
          <w:sz w:val="19"/>
          <w:szCs w:val="19"/>
        </w:rPr>
        <w:t>conce</w:t>
      </w:r>
      <w:r>
        <w:rPr>
          <w:rFonts w:ascii="Arial" w:hAnsi="Arial" w:cs="Arial"/>
          <w:color w:val="212121"/>
          <w:spacing w:val="4"/>
          <w:w w:val="105"/>
          <w:sz w:val="19"/>
          <w:szCs w:val="19"/>
        </w:rPr>
        <w:t>rn</w:t>
      </w:r>
      <w:r>
        <w:rPr>
          <w:rFonts w:ascii="Arial" w:hAnsi="Arial" w:cs="Arial"/>
          <w:color w:val="4C4C4C"/>
          <w:spacing w:val="4"/>
          <w:w w:val="105"/>
          <w:sz w:val="19"/>
          <w:szCs w:val="19"/>
        </w:rPr>
        <w:t>e</w:t>
      </w:r>
      <w:r>
        <w:rPr>
          <w:rFonts w:ascii="Arial" w:hAnsi="Arial" w:cs="Arial"/>
          <w:color w:val="212121"/>
          <w:spacing w:val="4"/>
          <w:w w:val="105"/>
          <w:sz w:val="19"/>
          <w:szCs w:val="19"/>
        </w:rPr>
        <w:t>d</w:t>
      </w:r>
      <w:r>
        <w:rPr>
          <w:rFonts w:ascii="Arial" w:hAnsi="Arial" w:cs="Arial"/>
          <w:color w:val="212121"/>
          <w:spacing w:val="-21"/>
          <w:w w:val="105"/>
          <w:sz w:val="19"/>
          <w:szCs w:val="19"/>
        </w:rPr>
        <w:t xml:space="preserve"> </w:t>
      </w:r>
      <w:r>
        <w:rPr>
          <w:rFonts w:ascii="Arial" w:hAnsi="Arial" w:cs="Arial"/>
          <w:color w:val="353535"/>
          <w:w w:val="105"/>
          <w:sz w:val="19"/>
          <w:szCs w:val="19"/>
        </w:rPr>
        <w:t>that</w:t>
      </w:r>
      <w:r>
        <w:rPr>
          <w:rFonts w:ascii="Arial" w:hAnsi="Arial" w:cs="Arial"/>
          <w:color w:val="353535"/>
          <w:spacing w:val="-12"/>
          <w:w w:val="105"/>
          <w:sz w:val="19"/>
          <w:szCs w:val="19"/>
        </w:rPr>
        <w:t xml:space="preserve"> </w:t>
      </w:r>
      <w:r>
        <w:rPr>
          <w:rFonts w:ascii="Arial" w:hAnsi="Arial" w:cs="Arial"/>
          <w:color w:val="353535"/>
          <w:w w:val="105"/>
          <w:sz w:val="19"/>
          <w:szCs w:val="19"/>
        </w:rPr>
        <w:t>t</w:t>
      </w:r>
      <w:r>
        <w:rPr>
          <w:rFonts w:ascii="Arial" w:hAnsi="Arial" w:cs="Arial"/>
          <w:color w:val="0D0D0D"/>
          <w:w w:val="105"/>
          <w:sz w:val="19"/>
          <w:szCs w:val="19"/>
        </w:rPr>
        <w:t>h</w:t>
      </w:r>
      <w:r>
        <w:rPr>
          <w:rFonts w:ascii="Arial" w:hAnsi="Arial" w:cs="Arial"/>
          <w:color w:val="353535"/>
          <w:w w:val="105"/>
          <w:sz w:val="19"/>
          <w:szCs w:val="19"/>
        </w:rPr>
        <w:t>oug</w:t>
      </w:r>
      <w:r>
        <w:rPr>
          <w:rFonts w:ascii="Arial" w:hAnsi="Arial" w:cs="Arial"/>
          <w:color w:val="0D0D0D"/>
          <w:w w:val="105"/>
          <w:sz w:val="19"/>
          <w:szCs w:val="19"/>
        </w:rPr>
        <w:t xml:space="preserve">h </w:t>
      </w:r>
      <w:r>
        <w:rPr>
          <w:rFonts w:ascii="Arial" w:hAnsi="Arial" w:cs="Arial"/>
          <w:color w:val="353535"/>
          <w:w w:val="105"/>
          <w:sz w:val="19"/>
          <w:szCs w:val="19"/>
        </w:rPr>
        <w:t>yo</w:t>
      </w:r>
      <w:r>
        <w:rPr>
          <w:rFonts w:ascii="Arial" w:hAnsi="Arial" w:cs="Arial"/>
          <w:color w:val="0D0D0D"/>
          <w:w w:val="105"/>
          <w:sz w:val="19"/>
          <w:szCs w:val="19"/>
        </w:rPr>
        <w:t>u</w:t>
      </w:r>
      <w:r>
        <w:rPr>
          <w:rFonts w:ascii="Arial" w:hAnsi="Arial" w:cs="Arial"/>
          <w:color w:val="353535"/>
          <w:w w:val="105"/>
          <w:sz w:val="19"/>
          <w:szCs w:val="19"/>
        </w:rPr>
        <w:t xml:space="preserve">th </w:t>
      </w:r>
      <w:r>
        <w:rPr>
          <w:rFonts w:ascii="Arial" w:hAnsi="Arial" w:cs="Arial"/>
          <w:color w:val="4C4C4C"/>
          <w:w w:val="105"/>
          <w:sz w:val="19"/>
          <w:szCs w:val="19"/>
        </w:rPr>
        <w:t>co</w:t>
      </w:r>
      <w:r>
        <w:rPr>
          <w:rFonts w:ascii="Arial" w:hAnsi="Arial" w:cs="Arial"/>
          <w:color w:val="212121"/>
          <w:w w:val="105"/>
          <w:sz w:val="19"/>
          <w:szCs w:val="19"/>
        </w:rPr>
        <w:t xml:space="preserve">mprise </w:t>
      </w:r>
      <w:r>
        <w:rPr>
          <w:rFonts w:ascii="Arial" w:hAnsi="Arial" w:cs="Arial"/>
          <w:color w:val="353535"/>
          <w:spacing w:val="2"/>
          <w:w w:val="105"/>
          <w:sz w:val="19"/>
          <w:szCs w:val="19"/>
        </w:rPr>
        <w:t>a</w:t>
      </w:r>
      <w:r>
        <w:rPr>
          <w:rFonts w:ascii="Arial" w:hAnsi="Arial" w:cs="Arial"/>
          <w:color w:val="0D0D0D"/>
          <w:spacing w:val="2"/>
          <w:w w:val="105"/>
          <w:sz w:val="19"/>
          <w:szCs w:val="19"/>
        </w:rPr>
        <w:t>lm</w:t>
      </w:r>
      <w:r>
        <w:rPr>
          <w:rFonts w:ascii="Arial" w:hAnsi="Arial" w:cs="Arial"/>
          <w:color w:val="353535"/>
          <w:spacing w:val="2"/>
          <w:w w:val="105"/>
          <w:sz w:val="19"/>
          <w:szCs w:val="19"/>
        </w:rPr>
        <w:t xml:space="preserve">ost </w:t>
      </w:r>
      <w:r>
        <w:rPr>
          <w:rFonts w:ascii="Arial" w:hAnsi="Arial" w:cs="Arial"/>
          <w:color w:val="353535"/>
          <w:w w:val="105"/>
          <w:sz w:val="19"/>
          <w:szCs w:val="19"/>
        </w:rPr>
        <w:t xml:space="preserve">40% of </w:t>
      </w:r>
      <w:r>
        <w:rPr>
          <w:rFonts w:ascii="Arial" w:hAnsi="Arial" w:cs="Arial"/>
          <w:color w:val="212121"/>
          <w:w w:val="105"/>
          <w:sz w:val="19"/>
          <w:szCs w:val="19"/>
        </w:rPr>
        <w:t>M</w:t>
      </w:r>
      <w:r>
        <w:rPr>
          <w:rFonts w:ascii="Arial" w:hAnsi="Arial" w:cs="Arial"/>
          <w:color w:val="4C4C4C"/>
          <w:w w:val="105"/>
          <w:sz w:val="19"/>
          <w:szCs w:val="19"/>
        </w:rPr>
        <w:t xml:space="preserve">ass </w:t>
      </w:r>
      <w:r>
        <w:rPr>
          <w:rFonts w:ascii="Arial" w:hAnsi="Arial" w:cs="Arial"/>
          <w:color w:val="212121"/>
          <w:spacing w:val="3"/>
          <w:w w:val="105"/>
          <w:sz w:val="19"/>
          <w:szCs w:val="19"/>
        </w:rPr>
        <w:t>H</w:t>
      </w:r>
      <w:r>
        <w:rPr>
          <w:rFonts w:ascii="Arial" w:hAnsi="Arial" w:cs="Arial"/>
          <w:color w:val="4C4C4C"/>
          <w:spacing w:val="3"/>
          <w:w w:val="105"/>
          <w:sz w:val="19"/>
          <w:szCs w:val="19"/>
        </w:rPr>
        <w:t>ea</w:t>
      </w:r>
      <w:r>
        <w:rPr>
          <w:rFonts w:ascii="Arial" w:hAnsi="Arial" w:cs="Arial"/>
          <w:color w:val="0D0D0D"/>
          <w:spacing w:val="3"/>
          <w:w w:val="105"/>
          <w:sz w:val="19"/>
          <w:szCs w:val="19"/>
        </w:rPr>
        <w:t xml:space="preserve">lth </w:t>
      </w:r>
      <w:r>
        <w:rPr>
          <w:rFonts w:ascii="Arial" w:hAnsi="Arial" w:cs="Arial"/>
          <w:color w:val="353535"/>
          <w:w w:val="105"/>
          <w:sz w:val="19"/>
          <w:szCs w:val="19"/>
        </w:rPr>
        <w:t xml:space="preserve">members, </w:t>
      </w:r>
      <w:r>
        <w:rPr>
          <w:rFonts w:ascii="Arial" w:hAnsi="Arial" w:cs="Arial"/>
          <w:color w:val="212121"/>
          <w:w w:val="105"/>
          <w:sz w:val="19"/>
          <w:szCs w:val="19"/>
        </w:rPr>
        <w:t>th</w:t>
      </w:r>
      <w:r>
        <w:rPr>
          <w:rFonts w:ascii="Arial" w:hAnsi="Arial" w:cs="Arial"/>
          <w:color w:val="4C4C4C"/>
          <w:w w:val="105"/>
          <w:sz w:val="19"/>
          <w:szCs w:val="19"/>
        </w:rPr>
        <w:t xml:space="preserve">e </w:t>
      </w:r>
      <w:r>
        <w:rPr>
          <w:rFonts w:ascii="Arial" w:hAnsi="Arial" w:cs="Arial"/>
          <w:color w:val="212121"/>
          <w:w w:val="105"/>
          <w:sz w:val="19"/>
          <w:szCs w:val="19"/>
        </w:rPr>
        <w:t xml:space="preserve">proposal </w:t>
      </w:r>
      <w:r>
        <w:rPr>
          <w:rFonts w:ascii="Arial" w:hAnsi="Arial" w:cs="Arial"/>
          <w:color w:val="353535"/>
          <w:w w:val="105"/>
          <w:sz w:val="19"/>
          <w:szCs w:val="19"/>
        </w:rPr>
        <w:t xml:space="preserve">does not </w:t>
      </w:r>
      <w:r>
        <w:rPr>
          <w:rFonts w:ascii="Arial" w:hAnsi="Arial" w:cs="Arial"/>
          <w:color w:val="4C4C4C"/>
          <w:w w:val="105"/>
          <w:sz w:val="19"/>
          <w:szCs w:val="19"/>
        </w:rPr>
        <w:t xml:space="preserve">specify </w:t>
      </w:r>
      <w:r>
        <w:rPr>
          <w:rFonts w:ascii="Arial" w:hAnsi="Arial" w:cs="Arial"/>
          <w:color w:val="212121"/>
          <w:w w:val="105"/>
          <w:sz w:val="19"/>
          <w:szCs w:val="19"/>
        </w:rPr>
        <w:t>how th</w:t>
      </w:r>
      <w:r>
        <w:rPr>
          <w:rFonts w:ascii="Arial" w:hAnsi="Arial" w:cs="Arial"/>
          <w:color w:val="4C4C4C"/>
          <w:w w:val="105"/>
          <w:sz w:val="19"/>
          <w:szCs w:val="19"/>
        </w:rPr>
        <w:t xml:space="preserve">e system </w:t>
      </w:r>
      <w:r>
        <w:rPr>
          <w:rFonts w:ascii="Arial" w:hAnsi="Arial" w:cs="Arial"/>
          <w:color w:val="353535"/>
          <w:w w:val="105"/>
          <w:sz w:val="19"/>
          <w:szCs w:val="19"/>
        </w:rPr>
        <w:t>wou</w:t>
      </w:r>
      <w:r>
        <w:rPr>
          <w:rFonts w:ascii="Arial" w:hAnsi="Arial" w:cs="Arial"/>
          <w:color w:val="0D0D0D"/>
          <w:w w:val="105"/>
          <w:sz w:val="19"/>
          <w:szCs w:val="19"/>
        </w:rPr>
        <w:t xml:space="preserve">ld </w:t>
      </w:r>
      <w:r>
        <w:rPr>
          <w:rFonts w:ascii="Arial" w:hAnsi="Arial" w:cs="Arial"/>
          <w:color w:val="353535"/>
          <w:w w:val="105"/>
          <w:sz w:val="19"/>
          <w:szCs w:val="19"/>
        </w:rPr>
        <w:t xml:space="preserve">function </w:t>
      </w:r>
      <w:r>
        <w:rPr>
          <w:rFonts w:ascii="Arial" w:hAnsi="Arial" w:cs="Arial"/>
          <w:color w:val="212121"/>
          <w:w w:val="105"/>
          <w:sz w:val="19"/>
          <w:szCs w:val="19"/>
        </w:rPr>
        <w:t xml:space="preserve">to </w:t>
      </w:r>
      <w:r>
        <w:rPr>
          <w:rFonts w:ascii="Arial" w:hAnsi="Arial" w:cs="Arial"/>
          <w:color w:val="4C4C4C"/>
          <w:w w:val="105"/>
          <w:sz w:val="19"/>
          <w:szCs w:val="19"/>
        </w:rPr>
        <w:t xml:space="preserve">serve </w:t>
      </w:r>
      <w:r>
        <w:rPr>
          <w:rFonts w:ascii="Arial" w:hAnsi="Arial" w:cs="Arial"/>
          <w:color w:val="353535"/>
          <w:w w:val="105"/>
          <w:sz w:val="19"/>
          <w:szCs w:val="19"/>
        </w:rPr>
        <w:t>chi</w:t>
      </w:r>
      <w:r>
        <w:rPr>
          <w:rFonts w:ascii="Arial" w:hAnsi="Arial" w:cs="Arial"/>
          <w:color w:val="0D0D0D"/>
          <w:w w:val="105"/>
          <w:sz w:val="19"/>
          <w:szCs w:val="19"/>
        </w:rPr>
        <w:t>ldr</w:t>
      </w:r>
      <w:r>
        <w:rPr>
          <w:rFonts w:ascii="Arial" w:hAnsi="Arial" w:cs="Arial"/>
          <w:color w:val="353535"/>
          <w:w w:val="105"/>
          <w:sz w:val="19"/>
          <w:szCs w:val="19"/>
        </w:rPr>
        <w:t xml:space="preserve">en </w:t>
      </w:r>
      <w:r>
        <w:rPr>
          <w:rFonts w:ascii="Arial" w:hAnsi="Arial" w:cs="Arial"/>
          <w:color w:val="212121"/>
          <w:w w:val="105"/>
          <w:sz w:val="19"/>
          <w:szCs w:val="19"/>
        </w:rPr>
        <w:t>and</w:t>
      </w:r>
      <w:r>
        <w:rPr>
          <w:rFonts w:ascii="Arial" w:hAnsi="Arial" w:cs="Arial"/>
          <w:color w:val="212121"/>
          <w:spacing w:val="26"/>
          <w:w w:val="105"/>
          <w:sz w:val="19"/>
          <w:szCs w:val="19"/>
        </w:rPr>
        <w:t xml:space="preserve"> </w:t>
      </w:r>
      <w:r>
        <w:rPr>
          <w:rFonts w:ascii="Arial" w:hAnsi="Arial" w:cs="Arial"/>
          <w:color w:val="353535"/>
          <w:spacing w:val="3"/>
          <w:w w:val="105"/>
          <w:sz w:val="19"/>
          <w:szCs w:val="19"/>
        </w:rPr>
        <w:t>ado</w:t>
      </w:r>
      <w:r>
        <w:rPr>
          <w:rFonts w:ascii="Arial" w:hAnsi="Arial" w:cs="Arial"/>
          <w:color w:val="0D0D0D"/>
          <w:spacing w:val="3"/>
          <w:w w:val="105"/>
          <w:sz w:val="19"/>
          <w:szCs w:val="19"/>
        </w:rPr>
        <w:t>l</w:t>
      </w:r>
      <w:r>
        <w:rPr>
          <w:rFonts w:ascii="Arial" w:hAnsi="Arial" w:cs="Arial"/>
          <w:color w:val="353535"/>
          <w:spacing w:val="3"/>
          <w:w w:val="105"/>
          <w:sz w:val="19"/>
          <w:szCs w:val="19"/>
        </w:rPr>
        <w:t>escents</w:t>
      </w:r>
      <w:r>
        <w:rPr>
          <w:rFonts w:ascii="Arial" w:hAnsi="Arial" w:cs="Arial"/>
          <w:color w:val="0D0D0D"/>
          <w:spacing w:val="3"/>
          <w:w w:val="105"/>
          <w:sz w:val="19"/>
          <w:szCs w:val="19"/>
        </w:rPr>
        <w:t>.</w:t>
      </w:r>
    </w:p>
    <w:p w:rsidR="002C5025" w:rsidRDefault="002C5025">
      <w:pPr>
        <w:pStyle w:val="BodyText"/>
        <w:kinsoku w:val="0"/>
        <w:overflowPunct w:val="0"/>
        <w:spacing w:before="10"/>
        <w:rPr>
          <w:rFonts w:ascii="Arial" w:hAnsi="Arial" w:cs="Arial"/>
        </w:rPr>
      </w:pPr>
    </w:p>
    <w:p w:rsidR="002C5025" w:rsidRDefault="002C5025">
      <w:pPr>
        <w:pStyle w:val="BodyText"/>
        <w:kinsoku w:val="0"/>
        <w:overflowPunct w:val="0"/>
        <w:spacing w:line="295" w:lineRule="auto"/>
        <w:ind w:left="113" w:right="1626" w:firstLine="7"/>
        <w:rPr>
          <w:rFonts w:ascii="Arial" w:hAnsi="Arial" w:cs="Arial"/>
          <w:color w:val="353535"/>
          <w:w w:val="105"/>
          <w:sz w:val="19"/>
          <w:szCs w:val="19"/>
        </w:rPr>
      </w:pPr>
      <w:r>
        <w:rPr>
          <w:rFonts w:ascii="Arial" w:hAnsi="Arial" w:cs="Arial"/>
          <w:color w:val="353535"/>
          <w:w w:val="105"/>
          <w:sz w:val="19"/>
          <w:szCs w:val="19"/>
        </w:rPr>
        <w:t xml:space="preserve">MassHealth </w:t>
      </w:r>
      <w:r>
        <w:rPr>
          <w:rFonts w:ascii="Arial" w:hAnsi="Arial" w:cs="Arial"/>
          <w:color w:val="0D0D0D"/>
          <w:w w:val="105"/>
          <w:sz w:val="19"/>
          <w:szCs w:val="19"/>
        </w:rPr>
        <w:t>l</w:t>
      </w:r>
      <w:r>
        <w:rPr>
          <w:rFonts w:ascii="Arial" w:hAnsi="Arial" w:cs="Arial"/>
          <w:color w:val="353535"/>
          <w:w w:val="105"/>
          <w:sz w:val="19"/>
          <w:szCs w:val="19"/>
        </w:rPr>
        <w:t>eadership s</w:t>
      </w:r>
      <w:r>
        <w:rPr>
          <w:rFonts w:ascii="Arial" w:hAnsi="Arial" w:cs="Arial"/>
          <w:color w:val="0D0D0D"/>
          <w:w w:val="105"/>
          <w:sz w:val="19"/>
          <w:szCs w:val="19"/>
        </w:rPr>
        <w:t>i</w:t>
      </w:r>
      <w:r>
        <w:rPr>
          <w:rFonts w:ascii="Arial" w:hAnsi="Arial" w:cs="Arial"/>
          <w:color w:val="353535"/>
          <w:w w:val="105"/>
          <w:sz w:val="19"/>
          <w:szCs w:val="19"/>
        </w:rPr>
        <w:t>gna</w:t>
      </w:r>
      <w:r>
        <w:rPr>
          <w:rFonts w:ascii="Arial" w:hAnsi="Arial" w:cs="Arial"/>
          <w:color w:val="0D0D0D"/>
          <w:w w:val="105"/>
          <w:sz w:val="19"/>
          <w:szCs w:val="19"/>
        </w:rPr>
        <w:t>l</w:t>
      </w:r>
      <w:r>
        <w:rPr>
          <w:rFonts w:ascii="Arial" w:hAnsi="Arial" w:cs="Arial"/>
          <w:color w:val="353535"/>
          <w:w w:val="105"/>
          <w:sz w:val="19"/>
          <w:szCs w:val="19"/>
        </w:rPr>
        <w:t xml:space="preserve">ed </w:t>
      </w:r>
      <w:r>
        <w:rPr>
          <w:rFonts w:ascii="Arial" w:hAnsi="Arial" w:cs="Arial"/>
          <w:color w:val="212121"/>
          <w:w w:val="105"/>
          <w:sz w:val="19"/>
          <w:szCs w:val="19"/>
        </w:rPr>
        <w:t>it</w:t>
      </w:r>
      <w:r>
        <w:rPr>
          <w:rFonts w:ascii="Arial" w:hAnsi="Arial" w:cs="Arial"/>
          <w:color w:val="4C4C4C"/>
          <w:w w:val="105"/>
          <w:sz w:val="19"/>
          <w:szCs w:val="19"/>
        </w:rPr>
        <w:t xml:space="preserve">s </w:t>
      </w:r>
      <w:r>
        <w:rPr>
          <w:rFonts w:ascii="Arial" w:hAnsi="Arial" w:cs="Arial"/>
          <w:color w:val="353535"/>
          <w:w w:val="105"/>
          <w:sz w:val="19"/>
          <w:szCs w:val="19"/>
        </w:rPr>
        <w:t xml:space="preserve">commitment </w:t>
      </w:r>
      <w:r>
        <w:rPr>
          <w:rFonts w:ascii="Arial" w:hAnsi="Arial" w:cs="Arial"/>
          <w:color w:val="212121"/>
          <w:w w:val="105"/>
          <w:sz w:val="19"/>
          <w:szCs w:val="19"/>
        </w:rPr>
        <w:t xml:space="preserve">to </w:t>
      </w:r>
      <w:r>
        <w:rPr>
          <w:rFonts w:ascii="Arial" w:hAnsi="Arial" w:cs="Arial"/>
          <w:color w:val="353535"/>
          <w:w w:val="105"/>
          <w:sz w:val="19"/>
          <w:szCs w:val="19"/>
        </w:rPr>
        <w:t xml:space="preserve">youth </w:t>
      </w:r>
      <w:r>
        <w:rPr>
          <w:rFonts w:ascii="Arial" w:hAnsi="Arial" w:cs="Arial"/>
          <w:color w:val="212121"/>
          <w:w w:val="105"/>
          <w:sz w:val="19"/>
          <w:szCs w:val="19"/>
        </w:rPr>
        <w:t xml:space="preserve">by including </w:t>
      </w:r>
      <w:r>
        <w:rPr>
          <w:rFonts w:ascii="Arial" w:hAnsi="Arial" w:cs="Arial"/>
          <w:color w:val="353535"/>
          <w:spacing w:val="2"/>
          <w:w w:val="105"/>
          <w:sz w:val="19"/>
          <w:szCs w:val="19"/>
        </w:rPr>
        <w:t xml:space="preserve">CMHC </w:t>
      </w:r>
      <w:r>
        <w:rPr>
          <w:rFonts w:ascii="Arial" w:hAnsi="Arial" w:cs="Arial"/>
          <w:color w:val="212121"/>
          <w:w w:val="105"/>
          <w:sz w:val="19"/>
          <w:szCs w:val="19"/>
        </w:rPr>
        <w:t>l</w:t>
      </w:r>
      <w:r>
        <w:rPr>
          <w:rFonts w:ascii="Arial" w:hAnsi="Arial" w:cs="Arial"/>
          <w:color w:val="4C4C4C"/>
          <w:w w:val="105"/>
          <w:sz w:val="19"/>
          <w:szCs w:val="19"/>
        </w:rPr>
        <w:t>eade</w:t>
      </w:r>
      <w:r>
        <w:rPr>
          <w:rFonts w:ascii="Arial" w:hAnsi="Arial" w:cs="Arial"/>
          <w:color w:val="212121"/>
          <w:w w:val="105"/>
          <w:sz w:val="19"/>
          <w:szCs w:val="19"/>
        </w:rPr>
        <w:t>r</w:t>
      </w:r>
      <w:r>
        <w:rPr>
          <w:rFonts w:ascii="Arial" w:hAnsi="Arial" w:cs="Arial"/>
          <w:color w:val="4C4C4C"/>
          <w:w w:val="105"/>
          <w:sz w:val="19"/>
          <w:szCs w:val="19"/>
        </w:rPr>
        <w:t>sh</w:t>
      </w:r>
      <w:r>
        <w:rPr>
          <w:rFonts w:ascii="Arial" w:hAnsi="Arial" w:cs="Arial"/>
          <w:color w:val="0D0D0D"/>
          <w:w w:val="105"/>
          <w:sz w:val="19"/>
          <w:szCs w:val="19"/>
        </w:rPr>
        <w:t>i</w:t>
      </w:r>
      <w:r>
        <w:rPr>
          <w:rFonts w:ascii="Arial" w:hAnsi="Arial" w:cs="Arial"/>
          <w:color w:val="353535"/>
          <w:w w:val="105"/>
          <w:sz w:val="19"/>
          <w:szCs w:val="19"/>
        </w:rPr>
        <w:t xml:space="preserve">p </w:t>
      </w:r>
      <w:r>
        <w:rPr>
          <w:rFonts w:ascii="Arial" w:hAnsi="Arial" w:cs="Arial"/>
          <w:color w:val="4C4C4C"/>
          <w:w w:val="105"/>
          <w:sz w:val="19"/>
          <w:szCs w:val="19"/>
        </w:rPr>
        <w:t xml:space="preserve">and </w:t>
      </w:r>
      <w:r>
        <w:rPr>
          <w:rFonts w:ascii="Arial" w:hAnsi="Arial" w:cs="Arial"/>
          <w:color w:val="353535"/>
          <w:w w:val="105"/>
          <w:sz w:val="19"/>
          <w:szCs w:val="19"/>
        </w:rPr>
        <w:t>many chi</w:t>
      </w:r>
      <w:r>
        <w:rPr>
          <w:rFonts w:ascii="Arial" w:hAnsi="Arial" w:cs="Arial"/>
          <w:color w:val="0D0D0D"/>
          <w:w w:val="105"/>
          <w:sz w:val="19"/>
          <w:szCs w:val="19"/>
        </w:rPr>
        <w:t>l</w:t>
      </w:r>
      <w:r>
        <w:rPr>
          <w:rFonts w:ascii="Arial" w:hAnsi="Arial" w:cs="Arial"/>
          <w:color w:val="353535"/>
          <w:w w:val="105"/>
          <w:sz w:val="19"/>
          <w:szCs w:val="19"/>
        </w:rPr>
        <w:t xml:space="preserve">d </w:t>
      </w:r>
      <w:r>
        <w:rPr>
          <w:rFonts w:ascii="Arial" w:hAnsi="Arial" w:cs="Arial"/>
          <w:color w:val="4C4C4C"/>
          <w:spacing w:val="4"/>
          <w:w w:val="105"/>
          <w:sz w:val="19"/>
          <w:szCs w:val="19"/>
        </w:rPr>
        <w:t>a</w:t>
      </w:r>
      <w:r>
        <w:rPr>
          <w:rFonts w:ascii="Arial" w:hAnsi="Arial" w:cs="Arial"/>
          <w:color w:val="212121"/>
          <w:spacing w:val="4"/>
          <w:w w:val="105"/>
          <w:sz w:val="19"/>
          <w:szCs w:val="19"/>
        </w:rPr>
        <w:t xml:space="preserve">nd </w:t>
      </w:r>
      <w:r>
        <w:rPr>
          <w:rFonts w:ascii="Arial" w:hAnsi="Arial" w:cs="Arial"/>
          <w:color w:val="4C4C4C"/>
          <w:w w:val="105"/>
          <w:sz w:val="19"/>
          <w:szCs w:val="19"/>
        </w:rPr>
        <w:t>ado</w:t>
      </w:r>
      <w:r>
        <w:rPr>
          <w:rFonts w:ascii="Arial" w:hAnsi="Arial" w:cs="Arial"/>
          <w:color w:val="0D0D0D"/>
          <w:w w:val="105"/>
          <w:sz w:val="19"/>
          <w:szCs w:val="19"/>
        </w:rPr>
        <w:t>l</w:t>
      </w:r>
      <w:r>
        <w:rPr>
          <w:rFonts w:ascii="Arial" w:hAnsi="Arial" w:cs="Arial"/>
          <w:color w:val="4C4C4C"/>
          <w:w w:val="105"/>
          <w:sz w:val="19"/>
          <w:szCs w:val="19"/>
        </w:rPr>
        <w:t>escen</w:t>
      </w:r>
      <w:r>
        <w:rPr>
          <w:rFonts w:ascii="Arial" w:hAnsi="Arial" w:cs="Arial"/>
          <w:color w:val="212121"/>
          <w:w w:val="105"/>
          <w:sz w:val="19"/>
          <w:szCs w:val="19"/>
        </w:rPr>
        <w:t xml:space="preserve">t </w:t>
      </w:r>
      <w:r>
        <w:rPr>
          <w:rFonts w:ascii="Arial" w:hAnsi="Arial" w:cs="Arial"/>
          <w:color w:val="353535"/>
          <w:w w:val="105"/>
          <w:sz w:val="19"/>
          <w:szCs w:val="19"/>
        </w:rPr>
        <w:t>service prov</w:t>
      </w:r>
      <w:r>
        <w:rPr>
          <w:rFonts w:ascii="Arial" w:hAnsi="Arial" w:cs="Arial"/>
          <w:color w:val="0D0D0D"/>
          <w:w w:val="105"/>
          <w:sz w:val="19"/>
          <w:szCs w:val="19"/>
        </w:rPr>
        <w:t>i</w:t>
      </w:r>
      <w:r>
        <w:rPr>
          <w:rFonts w:ascii="Arial" w:hAnsi="Arial" w:cs="Arial"/>
          <w:color w:val="353535"/>
          <w:w w:val="105"/>
          <w:sz w:val="19"/>
          <w:szCs w:val="19"/>
        </w:rPr>
        <w:t>de</w:t>
      </w:r>
      <w:r>
        <w:rPr>
          <w:rFonts w:ascii="Arial" w:hAnsi="Arial" w:cs="Arial"/>
          <w:color w:val="0D0D0D"/>
          <w:w w:val="105"/>
          <w:sz w:val="19"/>
          <w:szCs w:val="19"/>
        </w:rPr>
        <w:t>r</w:t>
      </w:r>
      <w:r>
        <w:rPr>
          <w:rFonts w:ascii="Arial" w:hAnsi="Arial" w:cs="Arial"/>
          <w:color w:val="4C4C4C"/>
          <w:w w:val="105"/>
          <w:sz w:val="19"/>
          <w:szCs w:val="19"/>
        </w:rPr>
        <w:t xml:space="preserve">s </w:t>
      </w:r>
      <w:r>
        <w:rPr>
          <w:rFonts w:ascii="Arial" w:hAnsi="Arial" w:cs="Arial"/>
          <w:color w:val="0D0D0D"/>
          <w:spacing w:val="-7"/>
          <w:w w:val="105"/>
          <w:sz w:val="19"/>
          <w:szCs w:val="19"/>
        </w:rPr>
        <w:t>i</w:t>
      </w:r>
      <w:r>
        <w:rPr>
          <w:rFonts w:ascii="Arial" w:hAnsi="Arial" w:cs="Arial"/>
          <w:color w:val="353535"/>
          <w:spacing w:val="-7"/>
          <w:w w:val="105"/>
          <w:sz w:val="19"/>
          <w:szCs w:val="19"/>
        </w:rPr>
        <w:t xml:space="preserve">n </w:t>
      </w:r>
      <w:r>
        <w:rPr>
          <w:rFonts w:ascii="Arial" w:hAnsi="Arial" w:cs="Arial"/>
          <w:color w:val="212121"/>
          <w:w w:val="105"/>
          <w:sz w:val="19"/>
          <w:szCs w:val="19"/>
        </w:rPr>
        <w:t>the r</w:t>
      </w:r>
      <w:r>
        <w:rPr>
          <w:rFonts w:ascii="Arial" w:hAnsi="Arial" w:cs="Arial"/>
          <w:color w:val="4C4C4C"/>
          <w:w w:val="105"/>
          <w:sz w:val="19"/>
          <w:szCs w:val="19"/>
        </w:rPr>
        <w:t>ece</w:t>
      </w:r>
      <w:r>
        <w:rPr>
          <w:rFonts w:ascii="Arial" w:hAnsi="Arial" w:cs="Arial"/>
          <w:color w:val="212121"/>
          <w:w w:val="105"/>
          <w:sz w:val="19"/>
          <w:szCs w:val="19"/>
        </w:rPr>
        <w:t xml:space="preserve">nt </w:t>
      </w:r>
      <w:r>
        <w:rPr>
          <w:rFonts w:ascii="Arial" w:hAnsi="Arial" w:cs="Arial"/>
          <w:color w:val="353535"/>
          <w:w w:val="105"/>
          <w:sz w:val="19"/>
          <w:szCs w:val="19"/>
        </w:rPr>
        <w:t xml:space="preserve">MassHealth ACO </w:t>
      </w:r>
      <w:r>
        <w:rPr>
          <w:rFonts w:ascii="Arial" w:hAnsi="Arial" w:cs="Arial"/>
          <w:color w:val="0D0D0D"/>
          <w:spacing w:val="2"/>
          <w:w w:val="105"/>
          <w:sz w:val="19"/>
          <w:szCs w:val="19"/>
        </w:rPr>
        <w:t>Tr</w:t>
      </w:r>
      <w:r>
        <w:rPr>
          <w:rFonts w:ascii="Arial" w:hAnsi="Arial" w:cs="Arial"/>
          <w:color w:val="353535"/>
          <w:spacing w:val="2"/>
          <w:w w:val="105"/>
          <w:sz w:val="19"/>
          <w:szCs w:val="19"/>
        </w:rPr>
        <w:t xml:space="preserve">ansformation </w:t>
      </w:r>
      <w:r>
        <w:rPr>
          <w:rFonts w:ascii="Arial" w:hAnsi="Arial" w:cs="Arial"/>
          <w:color w:val="353535"/>
          <w:w w:val="105"/>
          <w:sz w:val="19"/>
          <w:szCs w:val="19"/>
        </w:rPr>
        <w:t xml:space="preserve">work groups. </w:t>
      </w:r>
      <w:r>
        <w:rPr>
          <w:rFonts w:ascii="Arial" w:hAnsi="Arial" w:cs="Arial"/>
          <w:color w:val="212121"/>
          <w:w w:val="105"/>
          <w:sz w:val="19"/>
          <w:szCs w:val="19"/>
        </w:rPr>
        <w:t>However</w:t>
      </w:r>
      <w:r>
        <w:rPr>
          <w:rFonts w:ascii="Arial" w:hAnsi="Arial" w:cs="Arial"/>
          <w:color w:val="4C4C4C"/>
          <w:w w:val="105"/>
          <w:sz w:val="19"/>
          <w:szCs w:val="19"/>
        </w:rPr>
        <w:t xml:space="preserve">, </w:t>
      </w:r>
      <w:r>
        <w:rPr>
          <w:rFonts w:ascii="Arial" w:hAnsi="Arial" w:cs="Arial"/>
          <w:color w:val="353535"/>
          <w:w w:val="105"/>
          <w:sz w:val="19"/>
          <w:szCs w:val="19"/>
        </w:rPr>
        <w:t xml:space="preserve">we </w:t>
      </w:r>
      <w:proofErr w:type="spellStart"/>
      <w:r>
        <w:rPr>
          <w:rFonts w:ascii="Arial" w:hAnsi="Arial" w:cs="Arial"/>
          <w:color w:val="353535"/>
          <w:w w:val="105"/>
          <w:sz w:val="19"/>
          <w:szCs w:val="19"/>
        </w:rPr>
        <w:t xml:space="preserve">we </w:t>
      </w:r>
      <w:r>
        <w:rPr>
          <w:rFonts w:ascii="Arial" w:hAnsi="Arial" w:cs="Arial"/>
          <w:color w:val="0D0D0D"/>
          <w:w w:val="105"/>
          <w:sz w:val="19"/>
          <w:szCs w:val="19"/>
        </w:rPr>
        <w:t>r</w:t>
      </w:r>
      <w:r>
        <w:rPr>
          <w:rFonts w:ascii="Arial" w:hAnsi="Arial" w:cs="Arial"/>
          <w:color w:val="4C4C4C"/>
          <w:w w:val="105"/>
          <w:sz w:val="19"/>
          <w:szCs w:val="19"/>
        </w:rPr>
        <w:t>e</w:t>
      </w:r>
      <w:proofErr w:type="spellEnd"/>
      <w:r>
        <w:rPr>
          <w:rFonts w:ascii="Arial" w:hAnsi="Arial" w:cs="Arial"/>
          <w:color w:val="4C4C4C"/>
          <w:w w:val="105"/>
          <w:sz w:val="19"/>
          <w:szCs w:val="19"/>
        </w:rPr>
        <w:t xml:space="preserve"> </w:t>
      </w:r>
      <w:r>
        <w:rPr>
          <w:rFonts w:ascii="Arial" w:hAnsi="Arial" w:cs="Arial"/>
          <w:color w:val="353535"/>
          <w:w w:val="105"/>
          <w:sz w:val="19"/>
          <w:szCs w:val="19"/>
        </w:rPr>
        <w:t xml:space="preserve">disappointed </w:t>
      </w:r>
      <w:r>
        <w:rPr>
          <w:rFonts w:ascii="Arial" w:hAnsi="Arial" w:cs="Arial"/>
          <w:color w:val="212121"/>
          <w:w w:val="105"/>
          <w:sz w:val="19"/>
          <w:szCs w:val="19"/>
        </w:rPr>
        <w:t xml:space="preserve">to </w:t>
      </w:r>
      <w:r>
        <w:rPr>
          <w:rFonts w:ascii="Arial" w:hAnsi="Arial" w:cs="Arial"/>
          <w:color w:val="353535"/>
          <w:w w:val="105"/>
          <w:sz w:val="19"/>
          <w:szCs w:val="19"/>
        </w:rPr>
        <w:t xml:space="preserve">see very </w:t>
      </w:r>
      <w:r>
        <w:rPr>
          <w:rFonts w:ascii="Arial" w:hAnsi="Arial" w:cs="Arial"/>
          <w:color w:val="212121"/>
          <w:w w:val="105"/>
          <w:sz w:val="19"/>
          <w:szCs w:val="19"/>
        </w:rPr>
        <w:t xml:space="preserve">few </w:t>
      </w:r>
      <w:r>
        <w:rPr>
          <w:rFonts w:ascii="Arial" w:hAnsi="Arial" w:cs="Arial"/>
          <w:color w:val="353535"/>
          <w:w w:val="105"/>
          <w:sz w:val="19"/>
          <w:szCs w:val="19"/>
        </w:rPr>
        <w:t xml:space="preserve">of the </w:t>
      </w:r>
      <w:r>
        <w:rPr>
          <w:rFonts w:ascii="Arial" w:hAnsi="Arial" w:cs="Arial"/>
          <w:color w:val="4C4C4C"/>
          <w:w w:val="105"/>
          <w:sz w:val="19"/>
          <w:szCs w:val="19"/>
        </w:rPr>
        <w:t>contr</w:t>
      </w:r>
      <w:r>
        <w:rPr>
          <w:rFonts w:ascii="Arial" w:hAnsi="Arial" w:cs="Arial"/>
          <w:color w:val="0D0D0D"/>
          <w:w w:val="105"/>
          <w:sz w:val="19"/>
          <w:szCs w:val="19"/>
        </w:rPr>
        <w:t>i</w:t>
      </w:r>
      <w:r>
        <w:rPr>
          <w:rFonts w:ascii="Arial" w:hAnsi="Arial" w:cs="Arial"/>
          <w:color w:val="353535"/>
          <w:w w:val="105"/>
          <w:sz w:val="19"/>
          <w:szCs w:val="19"/>
        </w:rPr>
        <w:t xml:space="preserve">butions </w:t>
      </w:r>
      <w:r>
        <w:rPr>
          <w:rFonts w:ascii="Arial" w:hAnsi="Arial" w:cs="Arial"/>
          <w:color w:val="212121"/>
          <w:w w:val="105"/>
          <w:sz w:val="19"/>
          <w:szCs w:val="19"/>
        </w:rPr>
        <w:t xml:space="preserve">made by </w:t>
      </w:r>
      <w:r>
        <w:rPr>
          <w:rFonts w:ascii="Arial" w:hAnsi="Arial" w:cs="Arial"/>
          <w:color w:val="353535"/>
          <w:w w:val="105"/>
          <w:sz w:val="19"/>
          <w:szCs w:val="19"/>
        </w:rPr>
        <w:t xml:space="preserve">child health </w:t>
      </w:r>
      <w:r>
        <w:rPr>
          <w:rFonts w:ascii="Arial" w:hAnsi="Arial" w:cs="Arial"/>
          <w:color w:val="212121"/>
          <w:spacing w:val="-3"/>
          <w:w w:val="105"/>
          <w:sz w:val="19"/>
          <w:szCs w:val="19"/>
        </w:rPr>
        <w:t>l</w:t>
      </w:r>
      <w:r>
        <w:rPr>
          <w:rFonts w:ascii="Arial" w:hAnsi="Arial" w:cs="Arial"/>
          <w:color w:val="4C4C4C"/>
          <w:spacing w:val="-3"/>
          <w:w w:val="105"/>
          <w:sz w:val="19"/>
          <w:szCs w:val="19"/>
        </w:rPr>
        <w:t xml:space="preserve">eaders </w:t>
      </w:r>
      <w:r>
        <w:rPr>
          <w:rFonts w:ascii="Arial" w:hAnsi="Arial" w:cs="Arial"/>
          <w:color w:val="353535"/>
          <w:w w:val="105"/>
          <w:sz w:val="19"/>
          <w:szCs w:val="19"/>
        </w:rPr>
        <w:t xml:space="preserve">included </w:t>
      </w:r>
      <w:r>
        <w:rPr>
          <w:rFonts w:ascii="Arial" w:hAnsi="Arial" w:cs="Arial"/>
          <w:color w:val="353535"/>
          <w:spacing w:val="-3"/>
          <w:w w:val="105"/>
          <w:sz w:val="19"/>
          <w:szCs w:val="19"/>
        </w:rPr>
        <w:t xml:space="preserve">in </w:t>
      </w:r>
      <w:r>
        <w:rPr>
          <w:rFonts w:ascii="Arial" w:hAnsi="Arial" w:cs="Arial"/>
          <w:color w:val="212121"/>
          <w:w w:val="105"/>
          <w:sz w:val="19"/>
          <w:szCs w:val="19"/>
        </w:rPr>
        <w:t xml:space="preserve">the </w:t>
      </w:r>
      <w:r>
        <w:rPr>
          <w:rFonts w:ascii="Arial" w:hAnsi="Arial" w:cs="Arial"/>
          <w:color w:val="353535"/>
          <w:w w:val="105"/>
          <w:sz w:val="19"/>
          <w:szCs w:val="19"/>
        </w:rPr>
        <w:t xml:space="preserve">proposal. </w:t>
      </w:r>
      <w:r>
        <w:rPr>
          <w:rFonts w:ascii="Arial" w:hAnsi="Arial" w:cs="Arial"/>
          <w:color w:val="212121"/>
          <w:spacing w:val="4"/>
          <w:w w:val="105"/>
          <w:sz w:val="19"/>
          <w:szCs w:val="19"/>
        </w:rPr>
        <w:t>Th</w:t>
      </w:r>
      <w:r>
        <w:rPr>
          <w:rFonts w:ascii="Arial" w:hAnsi="Arial" w:cs="Arial"/>
          <w:color w:val="4C4C4C"/>
          <w:spacing w:val="4"/>
          <w:w w:val="105"/>
          <w:sz w:val="19"/>
          <w:szCs w:val="19"/>
        </w:rPr>
        <w:t xml:space="preserve">e </w:t>
      </w:r>
      <w:r>
        <w:rPr>
          <w:rFonts w:ascii="Arial" w:hAnsi="Arial" w:cs="Arial"/>
          <w:color w:val="353535"/>
          <w:spacing w:val="2"/>
          <w:w w:val="105"/>
          <w:sz w:val="19"/>
          <w:szCs w:val="19"/>
        </w:rPr>
        <w:t xml:space="preserve">CMHC </w:t>
      </w:r>
      <w:r>
        <w:rPr>
          <w:rFonts w:ascii="Arial" w:hAnsi="Arial" w:cs="Arial"/>
          <w:color w:val="212121"/>
          <w:spacing w:val="-9"/>
          <w:w w:val="105"/>
          <w:sz w:val="19"/>
          <w:szCs w:val="19"/>
        </w:rPr>
        <w:t xml:space="preserve">is </w:t>
      </w:r>
      <w:r>
        <w:rPr>
          <w:rFonts w:ascii="Arial" w:hAnsi="Arial" w:cs="Arial"/>
          <w:color w:val="353535"/>
          <w:w w:val="105"/>
          <w:sz w:val="19"/>
          <w:szCs w:val="19"/>
        </w:rPr>
        <w:t xml:space="preserve">concerned not </w:t>
      </w:r>
      <w:r>
        <w:rPr>
          <w:rFonts w:ascii="Arial" w:hAnsi="Arial" w:cs="Arial"/>
          <w:color w:val="353535"/>
          <w:spacing w:val="-5"/>
          <w:w w:val="105"/>
          <w:sz w:val="19"/>
          <w:szCs w:val="19"/>
        </w:rPr>
        <w:t>on</w:t>
      </w:r>
      <w:r>
        <w:rPr>
          <w:rFonts w:ascii="Arial" w:hAnsi="Arial" w:cs="Arial"/>
          <w:color w:val="0D0D0D"/>
          <w:spacing w:val="-5"/>
          <w:w w:val="105"/>
          <w:sz w:val="19"/>
          <w:szCs w:val="19"/>
        </w:rPr>
        <w:t>l</w:t>
      </w:r>
      <w:r>
        <w:rPr>
          <w:rFonts w:ascii="Arial" w:hAnsi="Arial" w:cs="Arial"/>
          <w:color w:val="353535"/>
          <w:spacing w:val="-5"/>
          <w:w w:val="105"/>
          <w:sz w:val="19"/>
          <w:szCs w:val="19"/>
        </w:rPr>
        <w:t xml:space="preserve">y </w:t>
      </w:r>
      <w:r>
        <w:rPr>
          <w:rFonts w:ascii="Arial" w:hAnsi="Arial" w:cs="Arial"/>
          <w:color w:val="353535"/>
          <w:w w:val="105"/>
          <w:sz w:val="19"/>
          <w:szCs w:val="19"/>
        </w:rPr>
        <w:t xml:space="preserve">about the </w:t>
      </w:r>
      <w:r>
        <w:rPr>
          <w:rFonts w:ascii="Arial" w:hAnsi="Arial" w:cs="Arial"/>
          <w:color w:val="212121"/>
          <w:w w:val="105"/>
          <w:sz w:val="19"/>
          <w:szCs w:val="19"/>
        </w:rPr>
        <w:t>la</w:t>
      </w:r>
      <w:r>
        <w:rPr>
          <w:rFonts w:ascii="Arial" w:hAnsi="Arial" w:cs="Arial"/>
          <w:color w:val="4C4C4C"/>
          <w:w w:val="105"/>
          <w:sz w:val="19"/>
          <w:szCs w:val="19"/>
        </w:rPr>
        <w:t xml:space="preserve">ck </w:t>
      </w:r>
      <w:r>
        <w:rPr>
          <w:rFonts w:ascii="Arial" w:hAnsi="Arial" w:cs="Arial"/>
          <w:color w:val="353535"/>
          <w:w w:val="105"/>
          <w:sz w:val="19"/>
          <w:szCs w:val="19"/>
        </w:rPr>
        <w:t>of d</w:t>
      </w:r>
      <w:r>
        <w:rPr>
          <w:rFonts w:ascii="Arial" w:hAnsi="Arial" w:cs="Arial"/>
          <w:color w:val="0D0D0D"/>
          <w:w w:val="105"/>
          <w:sz w:val="19"/>
          <w:szCs w:val="19"/>
        </w:rPr>
        <w:t>i</w:t>
      </w:r>
      <w:r>
        <w:rPr>
          <w:rFonts w:ascii="Arial" w:hAnsi="Arial" w:cs="Arial"/>
          <w:color w:val="4C4C4C"/>
          <w:w w:val="105"/>
          <w:sz w:val="19"/>
          <w:szCs w:val="19"/>
        </w:rPr>
        <w:t>rec</w:t>
      </w:r>
      <w:r>
        <w:rPr>
          <w:rFonts w:ascii="Arial" w:hAnsi="Arial" w:cs="Arial"/>
          <w:color w:val="212121"/>
          <w:w w:val="105"/>
          <w:sz w:val="19"/>
          <w:szCs w:val="19"/>
        </w:rPr>
        <w:t xml:space="preserve">t </w:t>
      </w:r>
      <w:r>
        <w:rPr>
          <w:rFonts w:ascii="Arial" w:hAnsi="Arial" w:cs="Arial"/>
          <w:color w:val="353535"/>
          <w:w w:val="105"/>
          <w:sz w:val="19"/>
          <w:szCs w:val="19"/>
        </w:rPr>
        <w:t xml:space="preserve">inclusion </w:t>
      </w:r>
      <w:r>
        <w:rPr>
          <w:rFonts w:ascii="Arial" w:hAnsi="Arial" w:cs="Arial"/>
          <w:color w:val="4C4C4C"/>
          <w:w w:val="105"/>
          <w:sz w:val="19"/>
          <w:szCs w:val="19"/>
        </w:rPr>
        <w:t xml:space="preserve">of </w:t>
      </w:r>
      <w:r>
        <w:rPr>
          <w:rFonts w:ascii="Arial" w:hAnsi="Arial" w:cs="Arial"/>
          <w:color w:val="353535"/>
          <w:w w:val="105"/>
          <w:sz w:val="19"/>
          <w:szCs w:val="19"/>
        </w:rPr>
        <w:t xml:space="preserve">pediatrics </w:t>
      </w:r>
      <w:r>
        <w:rPr>
          <w:rFonts w:ascii="Arial" w:hAnsi="Arial" w:cs="Arial"/>
          <w:color w:val="353535"/>
          <w:spacing w:val="-7"/>
          <w:w w:val="105"/>
          <w:sz w:val="19"/>
          <w:szCs w:val="19"/>
        </w:rPr>
        <w:t xml:space="preserve">in </w:t>
      </w:r>
      <w:r>
        <w:rPr>
          <w:rFonts w:ascii="Arial" w:hAnsi="Arial" w:cs="Arial"/>
          <w:color w:val="353535"/>
          <w:w w:val="105"/>
          <w:sz w:val="19"/>
          <w:szCs w:val="19"/>
        </w:rPr>
        <w:t xml:space="preserve">the  proposal, </w:t>
      </w:r>
      <w:r>
        <w:rPr>
          <w:rFonts w:ascii="Arial" w:hAnsi="Arial" w:cs="Arial"/>
          <w:color w:val="212121"/>
          <w:w w:val="105"/>
          <w:sz w:val="19"/>
          <w:szCs w:val="19"/>
        </w:rPr>
        <w:t xml:space="preserve">but </w:t>
      </w:r>
      <w:r>
        <w:rPr>
          <w:rFonts w:ascii="Arial" w:hAnsi="Arial" w:cs="Arial"/>
          <w:color w:val="353535"/>
          <w:w w:val="105"/>
          <w:sz w:val="19"/>
          <w:szCs w:val="19"/>
        </w:rPr>
        <w:t>a</w:t>
      </w:r>
      <w:r>
        <w:rPr>
          <w:rFonts w:ascii="Arial" w:hAnsi="Arial" w:cs="Arial"/>
          <w:color w:val="0D0D0D"/>
          <w:w w:val="105"/>
          <w:sz w:val="19"/>
          <w:szCs w:val="19"/>
        </w:rPr>
        <w:t>l</w:t>
      </w:r>
      <w:r>
        <w:rPr>
          <w:rFonts w:ascii="Arial" w:hAnsi="Arial" w:cs="Arial"/>
          <w:color w:val="4C4C4C"/>
          <w:w w:val="105"/>
          <w:sz w:val="19"/>
          <w:szCs w:val="19"/>
        </w:rPr>
        <w:t xml:space="preserve">so </w:t>
      </w:r>
      <w:r>
        <w:rPr>
          <w:rFonts w:ascii="Arial" w:hAnsi="Arial" w:cs="Arial"/>
          <w:color w:val="353535"/>
          <w:w w:val="105"/>
          <w:sz w:val="19"/>
          <w:szCs w:val="19"/>
        </w:rPr>
        <w:t>the opportuni</w:t>
      </w:r>
      <w:r>
        <w:rPr>
          <w:rFonts w:ascii="Arial" w:hAnsi="Arial" w:cs="Arial"/>
          <w:color w:val="0D0D0D"/>
          <w:w w:val="105"/>
          <w:sz w:val="19"/>
          <w:szCs w:val="19"/>
        </w:rPr>
        <w:t>t</w:t>
      </w:r>
      <w:r>
        <w:rPr>
          <w:rFonts w:ascii="Arial" w:hAnsi="Arial" w:cs="Arial"/>
          <w:color w:val="353535"/>
          <w:w w:val="105"/>
          <w:sz w:val="19"/>
          <w:szCs w:val="19"/>
        </w:rPr>
        <w:t xml:space="preserve">y cost for youth, </w:t>
      </w:r>
      <w:r>
        <w:rPr>
          <w:rFonts w:ascii="Arial" w:hAnsi="Arial" w:cs="Arial"/>
          <w:color w:val="4C4C4C"/>
          <w:spacing w:val="-4"/>
          <w:w w:val="105"/>
          <w:sz w:val="19"/>
          <w:szCs w:val="19"/>
        </w:rPr>
        <w:t>g</w:t>
      </w:r>
      <w:r>
        <w:rPr>
          <w:rFonts w:ascii="Arial" w:hAnsi="Arial" w:cs="Arial"/>
          <w:color w:val="0D0D0D"/>
          <w:spacing w:val="-4"/>
          <w:w w:val="105"/>
          <w:sz w:val="19"/>
          <w:szCs w:val="19"/>
        </w:rPr>
        <w:t>i</w:t>
      </w:r>
      <w:r>
        <w:rPr>
          <w:rFonts w:ascii="Arial" w:hAnsi="Arial" w:cs="Arial"/>
          <w:color w:val="353535"/>
          <w:spacing w:val="-4"/>
          <w:w w:val="105"/>
          <w:sz w:val="19"/>
          <w:szCs w:val="19"/>
        </w:rPr>
        <w:t xml:space="preserve">ven </w:t>
      </w:r>
      <w:r>
        <w:rPr>
          <w:rFonts w:ascii="Arial" w:hAnsi="Arial" w:cs="Arial"/>
          <w:color w:val="353535"/>
          <w:w w:val="105"/>
          <w:sz w:val="19"/>
          <w:szCs w:val="19"/>
        </w:rPr>
        <w:t xml:space="preserve">the </w:t>
      </w:r>
      <w:r>
        <w:rPr>
          <w:rFonts w:ascii="Arial" w:hAnsi="Arial" w:cs="Arial"/>
          <w:color w:val="4C4C4C"/>
          <w:w w:val="105"/>
          <w:sz w:val="19"/>
          <w:szCs w:val="19"/>
        </w:rPr>
        <w:t xml:space="preserve">scope  </w:t>
      </w:r>
      <w:r>
        <w:rPr>
          <w:rFonts w:ascii="Arial" w:hAnsi="Arial" w:cs="Arial"/>
          <w:color w:val="353535"/>
          <w:w w:val="105"/>
          <w:sz w:val="19"/>
          <w:szCs w:val="19"/>
        </w:rPr>
        <w:t xml:space="preserve">of the proposed undertaking. </w:t>
      </w:r>
      <w:r>
        <w:rPr>
          <w:rFonts w:ascii="Arial" w:hAnsi="Arial" w:cs="Arial"/>
          <w:color w:val="4C4C4C"/>
          <w:spacing w:val="-5"/>
          <w:w w:val="105"/>
          <w:sz w:val="19"/>
          <w:szCs w:val="19"/>
        </w:rPr>
        <w:t>I</w:t>
      </w:r>
      <w:r>
        <w:rPr>
          <w:rFonts w:ascii="Arial" w:hAnsi="Arial" w:cs="Arial"/>
          <w:color w:val="212121"/>
          <w:spacing w:val="-5"/>
          <w:w w:val="105"/>
          <w:sz w:val="19"/>
          <w:szCs w:val="19"/>
        </w:rPr>
        <w:t xml:space="preserve">n </w:t>
      </w:r>
      <w:r>
        <w:rPr>
          <w:rFonts w:ascii="Arial" w:hAnsi="Arial" w:cs="Arial"/>
          <w:color w:val="353535"/>
          <w:w w:val="105"/>
          <w:sz w:val="19"/>
          <w:szCs w:val="19"/>
        </w:rPr>
        <w:t>the</w:t>
      </w:r>
    </w:p>
    <w:p w:rsidR="002C5025" w:rsidRDefault="002C5025">
      <w:pPr>
        <w:pStyle w:val="BodyText"/>
        <w:kinsoku w:val="0"/>
        <w:overflowPunct w:val="0"/>
        <w:spacing w:line="295" w:lineRule="auto"/>
        <w:ind w:left="113" w:right="1546"/>
        <w:rPr>
          <w:rFonts w:ascii="Arial" w:hAnsi="Arial" w:cs="Arial"/>
          <w:color w:val="4C4C4C"/>
          <w:w w:val="105"/>
          <w:sz w:val="19"/>
          <w:szCs w:val="19"/>
        </w:rPr>
      </w:pPr>
      <w:r>
        <w:rPr>
          <w:rFonts w:ascii="Arial" w:hAnsi="Arial" w:cs="Arial"/>
          <w:color w:val="353535"/>
          <w:w w:val="105"/>
          <w:sz w:val="19"/>
          <w:szCs w:val="19"/>
        </w:rPr>
        <w:t>absence</w:t>
      </w:r>
      <w:r>
        <w:rPr>
          <w:rFonts w:ascii="Arial" w:hAnsi="Arial" w:cs="Arial"/>
          <w:color w:val="353535"/>
          <w:spacing w:val="-5"/>
          <w:w w:val="105"/>
          <w:sz w:val="19"/>
          <w:szCs w:val="19"/>
        </w:rPr>
        <w:t xml:space="preserve"> </w:t>
      </w:r>
      <w:r>
        <w:rPr>
          <w:rFonts w:ascii="Arial" w:hAnsi="Arial" w:cs="Arial"/>
          <w:color w:val="353535"/>
          <w:w w:val="105"/>
          <w:sz w:val="19"/>
          <w:szCs w:val="19"/>
        </w:rPr>
        <w:t>of pediat</w:t>
      </w:r>
      <w:r>
        <w:rPr>
          <w:rFonts w:ascii="Arial" w:hAnsi="Arial" w:cs="Arial"/>
          <w:color w:val="0D0D0D"/>
          <w:w w:val="105"/>
          <w:sz w:val="19"/>
          <w:szCs w:val="19"/>
        </w:rPr>
        <w:t>r</w:t>
      </w:r>
      <w:r>
        <w:rPr>
          <w:rFonts w:ascii="Arial" w:hAnsi="Arial" w:cs="Arial"/>
          <w:color w:val="353535"/>
          <w:w w:val="105"/>
          <w:sz w:val="19"/>
          <w:szCs w:val="19"/>
        </w:rPr>
        <w:t>ic-specific</w:t>
      </w:r>
      <w:r>
        <w:rPr>
          <w:rFonts w:ascii="Arial" w:hAnsi="Arial" w:cs="Arial"/>
          <w:color w:val="353535"/>
          <w:spacing w:val="-3"/>
          <w:w w:val="105"/>
          <w:sz w:val="19"/>
          <w:szCs w:val="19"/>
        </w:rPr>
        <w:t xml:space="preserve"> </w:t>
      </w:r>
      <w:r>
        <w:rPr>
          <w:rFonts w:ascii="Arial" w:hAnsi="Arial" w:cs="Arial"/>
          <w:color w:val="4C4C4C"/>
          <w:spacing w:val="2"/>
          <w:w w:val="105"/>
          <w:sz w:val="19"/>
          <w:szCs w:val="19"/>
        </w:rPr>
        <w:t>sys</w:t>
      </w:r>
      <w:r>
        <w:rPr>
          <w:rFonts w:ascii="Arial" w:hAnsi="Arial" w:cs="Arial"/>
          <w:color w:val="212121"/>
          <w:spacing w:val="2"/>
          <w:w w:val="105"/>
          <w:sz w:val="19"/>
          <w:szCs w:val="19"/>
        </w:rPr>
        <w:t>t</w:t>
      </w:r>
      <w:r>
        <w:rPr>
          <w:rFonts w:ascii="Arial" w:hAnsi="Arial" w:cs="Arial"/>
          <w:color w:val="4C4C4C"/>
          <w:spacing w:val="2"/>
          <w:w w:val="105"/>
          <w:sz w:val="19"/>
          <w:szCs w:val="19"/>
        </w:rPr>
        <w:t>em</w:t>
      </w:r>
      <w:r>
        <w:rPr>
          <w:rFonts w:ascii="Arial" w:hAnsi="Arial" w:cs="Arial"/>
          <w:color w:val="4C4C4C"/>
          <w:spacing w:val="3"/>
          <w:w w:val="105"/>
          <w:sz w:val="19"/>
          <w:szCs w:val="19"/>
        </w:rPr>
        <w:t xml:space="preserve"> </w:t>
      </w:r>
      <w:r>
        <w:rPr>
          <w:rFonts w:ascii="Arial" w:hAnsi="Arial" w:cs="Arial"/>
          <w:color w:val="353535"/>
          <w:w w:val="105"/>
          <w:sz w:val="19"/>
          <w:szCs w:val="19"/>
        </w:rPr>
        <w:t>p</w:t>
      </w:r>
      <w:r>
        <w:rPr>
          <w:rFonts w:ascii="Arial" w:hAnsi="Arial" w:cs="Arial"/>
          <w:color w:val="0D0D0D"/>
          <w:w w:val="105"/>
          <w:sz w:val="19"/>
          <w:szCs w:val="19"/>
        </w:rPr>
        <w:t>l</w:t>
      </w:r>
      <w:r>
        <w:rPr>
          <w:rFonts w:ascii="Arial" w:hAnsi="Arial" w:cs="Arial"/>
          <w:color w:val="353535"/>
          <w:w w:val="105"/>
          <w:sz w:val="19"/>
          <w:szCs w:val="19"/>
        </w:rPr>
        <w:t>anning,</w:t>
      </w:r>
      <w:r>
        <w:rPr>
          <w:rFonts w:ascii="Arial" w:hAnsi="Arial" w:cs="Arial"/>
          <w:color w:val="353535"/>
          <w:spacing w:val="-34"/>
          <w:w w:val="105"/>
          <w:sz w:val="19"/>
          <w:szCs w:val="19"/>
        </w:rPr>
        <w:t xml:space="preserve"> </w:t>
      </w:r>
      <w:r>
        <w:rPr>
          <w:rFonts w:ascii="Arial" w:hAnsi="Arial" w:cs="Arial"/>
          <w:color w:val="353535"/>
          <w:w w:val="105"/>
          <w:sz w:val="19"/>
          <w:szCs w:val="19"/>
        </w:rPr>
        <w:t>MassHealth</w:t>
      </w:r>
      <w:r>
        <w:rPr>
          <w:rFonts w:ascii="Arial" w:hAnsi="Arial" w:cs="Arial"/>
          <w:color w:val="353535"/>
          <w:spacing w:val="-15"/>
          <w:w w:val="105"/>
          <w:sz w:val="19"/>
          <w:szCs w:val="19"/>
        </w:rPr>
        <w:t xml:space="preserve"> </w:t>
      </w:r>
      <w:r>
        <w:rPr>
          <w:rFonts w:ascii="Arial" w:hAnsi="Arial" w:cs="Arial"/>
          <w:color w:val="353535"/>
          <w:w w:val="105"/>
          <w:sz w:val="19"/>
          <w:szCs w:val="19"/>
        </w:rPr>
        <w:t>fisca</w:t>
      </w:r>
      <w:r>
        <w:rPr>
          <w:rFonts w:ascii="Arial" w:hAnsi="Arial" w:cs="Arial"/>
          <w:color w:val="0D0D0D"/>
          <w:spacing w:val="4"/>
          <w:w w:val="105"/>
          <w:sz w:val="19"/>
          <w:szCs w:val="19"/>
        </w:rPr>
        <w:t>l</w:t>
      </w:r>
      <w:r w:rsidR="00B27397">
        <w:rPr>
          <w:rFonts w:ascii="Arial" w:hAnsi="Arial" w:cs="Arial"/>
          <w:color w:val="0D0D0D"/>
          <w:spacing w:val="4"/>
          <w:w w:val="105"/>
          <w:sz w:val="19"/>
          <w:szCs w:val="19"/>
        </w:rPr>
        <w:t xml:space="preserve"> </w:t>
      </w:r>
      <w:r>
        <w:rPr>
          <w:rFonts w:ascii="Arial" w:hAnsi="Arial" w:cs="Arial"/>
          <w:color w:val="353535"/>
          <w:spacing w:val="4"/>
          <w:w w:val="105"/>
          <w:sz w:val="19"/>
          <w:szCs w:val="19"/>
        </w:rPr>
        <w:t>and</w:t>
      </w:r>
      <w:r>
        <w:rPr>
          <w:rFonts w:ascii="Arial" w:hAnsi="Arial" w:cs="Arial"/>
          <w:color w:val="353535"/>
          <w:spacing w:val="-3"/>
          <w:w w:val="105"/>
          <w:sz w:val="19"/>
          <w:szCs w:val="19"/>
        </w:rPr>
        <w:t xml:space="preserve"> </w:t>
      </w:r>
      <w:r>
        <w:rPr>
          <w:rFonts w:ascii="Arial" w:hAnsi="Arial" w:cs="Arial"/>
          <w:color w:val="212121"/>
          <w:w w:val="105"/>
          <w:sz w:val="19"/>
          <w:szCs w:val="19"/>
        </w:rPr>
        <w:t>human</w:t>
      </w:r>
      <w:r>
        <w:rPr>
          <w:rFonts w:ascii="Arial" w:hAnsi="Arial" w:cs="Arial"/>
          <w:color w:val="212121"/>
          <w:spacing w:val="-8"/>
          <w:w w:val="105"/>
          <w:sz w:val="19"/>
          <w:szCs w:val="19"/>
        </w:rPr>
        <w:t xml:space="preserve"> </w:t>
      </w:r>
      <w:r>
        <w:rPr>
          <w:rFonts w:ascii="Arial" w:hAnsi="Arial" w:cs="Arial"/>
          <w:color w:val="353535"/>
          <w:w w:val="105"/>
          <w:sz w:val="19"/>
          <w:szCs w:val="19"/>
        </w:rPr>
        <w:t>resources will</w:t>
      </w:r>
      <w:r>
        <w:rPr>
          <w:rFonts w:ascii="Arial" w:hAnsi="Arial" w:cs="Arial"/>
          <w:color w:val="353535"/>
          <w:spacing w:val="-1"/>
          <w:w w:val="105"/>
          <w:sz w:val="19"/>
          <w:szCs w:val="19"/>
        </w:rPr>
        <w:t xml:space="preserve"> </w:t>
      </w:r>
      <w:r>
        <w:rPr>
          <w:rFonts w:ascii="Arial" w:hAnsi="Arial" w:cs="Arial"/>
          <w:color w:val="353535"/>
          <w:w w:val="105"/>
          <w:sz w:val="19"/>
          <w:szCs w:val="19"/>
        </w:rPr>
        <w:t>be</w:t>
      </w:r>
      <w:r>
        <w:rPr>
          <w:rFonts w:ascii="Arial" w:hAnsi="Arial" w:cs="Arial"/>
          <w:color w:val="353535"/>
          <w:spacing w:val="-13"/>
          <w:w w:val="105"/>
          <w:sz w:val="19"/>
          <w:szCs w:val="19"/>
        </w:rPr>
        <w:t xml:space="preserve"> </w:t>
      </w:r>
      <w:r>
        <w:rPr>
          <w:rFonts w:ascii="Arial" w:hAnsi="Arial" w:cs="Arial"/>
          <w:color w:val="4C4C4C"/>
          <w:w w:val="105"/>
          <w:sz w:val="19"/>
          <w:szCs w:val="19"/>
        </w:rPr>
        <w:t>focused</w:t>
      </w:r>
      <w:r>
        <w:rPr>
          <w:rFonts w:ascii="Arial" w:hAnsi="Arial" w:cs="Arial"/>
          <w:color w:val="4C4C4C"/>
          <w:spacing w:val="6"/>
          <w:w w:val="105"/>
          <w:sz w:val="19"/>
          <w:szCs w:val="19"/>
        </w:rPr>
        <w:t xml:space="preserve"> </w:t>
      </w:r>
      <w:r>
        <w:rPr>
          <w:rFonts w:ascii="Arial" w:hAnsi="Arial" w:cs="Arial"/>
          <w:color w:val="4C4C4C"/>
          <w:w w:val="105"/>
          <w:sz w:val="19"/>
          <w:szCs w:val="19"/>
        </w:rPr>
        <w:t xml:space="preserve">on </w:t>
      </w:r>
      <w:r>
        <w:rPr>
          <w:rFonts w:ascii="Arial" w:hAnsi="Arial" w:cs="Arial"/>
          <w:color w:val="353535"/>
          <w:w w:val="105"/>
          <w:sz w:val="19"/>
          <w:szCs w:val="19"/>
        </w:rPr>
        <w:t>deve</w:t>
      </w:r>
      <w:r>
        <w:rPr>
          <w:rFonts w:ascii="Arial" w:hAnsi="Arial" w:cs="Arial"/>
          <w:color w:val="0D0D0D"/>
          <w:w w:val="105"/>
          <w:sz w:val="19"/>
          <w:szCs w:val="19"/>
        </w:rPr>
        <w:t>l</w:t>
      </w:r>
      <w:r>
        <w:rPr>
          <w:rFonts w:ascii="Arial" w:hAnsi="Arial" w:cs="Arial"/>
          <w:color w:val="353535"/>
          <w:w w:val="105"/>
          <w:sz w:val="19"/>
          <w:szCs w:val="19"/>
        </w:rPr>
        <w:t xml:space="preserve">oping </w:t>
      </w:r>
      <w:r>
        <w:rPr>
          <w:rFonts w:ascii="Arial" w:hAnsi="Arial" w:cs="Arial"/>
          <w:color w:val="4C4C4C"/>
          <w:spacing w:val="7"/>
          <w:w w:val="105"/>
          <w:sz w:val="19"/>
          <w:szCs w:val="19"/>
        </w:rPr>
        <w:t>a</w:t>
      </w:r>
      <w:r>
        <w:rPr>
          <w:rFonts w:ascii="Arial" w:hAnsi="Arial" w:cs="Arial"/>
          <w:color w:val="0D0D0D"/>
          <w:spacing w:val="7"/>
          <w:w w:val="105"/>
          <w:sz w:val="19"/>
          <w:szCs w:val="19"/>
        </w:rPr>
        <w:t xml:space="preserve">n </w:t>
      </w:r>
      <w:r>
        <w:rPr>
          <w:rFonts w:ascii="Arial" w:hAnsi="Arial" w:cs="Arial"/>
          <w:color w:val="0D0D0D"/>
          <w:w w:val="105"/>
          <w:sz w:val="19"/>
          <w:szCs w:val="19"/>
        </w:rPr>
        <w:t>in</w:t>
      </w:r>
      <w:r>
        <w:rPr>
          <w:rFonts w:ascii="Arial" w:hAnsi="Arial" w:cs="Arial"/>
          <w:color w:val="353535"/>
          <w:w w:val="105"/>
          <w:sz w:val="19"/>
          <w:szCs w:val="19"/>
        </w:rPr>
        <w:t xml:space="preserve">tegrated </w:t>
      </w:r>
      <w:r>
        <w:rPr>
          <w:rFonts w:ascii="Arial" w:hAnsi="Arial" w:cs="Arial"/>
          <w:color w:val="4C4C4C"/>
          <w:w w:val="105"/>
          <w:sz w:val="19"/>
          <w:szCs w:val="19"/>
        </w:rPr>
        <w:t>ca</w:t>
      </w:r>
      <w:r>
        <w:rPr>
          <w:rFonts w:ascii="Arial" w:hAnsi="Arial" w:cs="Arial"/>
          <w:color w:val="212121"/>
          <w:w w:val="105"/>
          <w:sz w:val="19"/>
          <w:szCs w:val="19"/>
        </w:rPr>
        <w:t>r</w:t>
      </w:r>
      <w:r>
        <w:rPr>
          <w:rFonts w:ascii="Arial" w:hAnsi="Arial" w:cs="Arial"/>
          <w:color w:val="4C4C4C"/>
          <w:w w:val="105"/>
          <w:sz w:val="19"/>
          <w:szCs w:val="19"/>
        </w:rPr>
        <w:t xml:space="preserve">e system </w:t>
      </w:r>
      <w:r>
        <w:rPr>
          <w:rFonts w:ascii="Arial" w:hAnsi="Arial" w:cs="Arial"/>
          <w:color w:val="353535"/>
          <w:w w:val="105"/>
          <w:sz w:val="19"/>
          <w:szCs w:val="19"/>
        </w:rPr>
        <w:t xml:space="preserve">w </w:t>
      </w:r>
      <w:r>
        <w:rPr>
          <w:rFonts w:ascii="Arial" w:hAnsi="Arial" w:cs="Arial"/>
          <w:color w:val="0D0D0D"/>
          <w:w w:val="105"/>
          <w:sz w:val="19"/>
          <w:szCs w:val="19"/>
        </w:rPr>
        <w:t>h</w:t>
      </w:r>
      <w:r>
        <w:rPr>
          <w:rFonts w:ascii="Arial" w:hAnsi="Arial" w:cs="Arial"/>
          <w:color w:val="4C4C4C"/>
          <w:w w:val="105"/>
          <w:sz w:val="19"/>
          <w:szCs w:val="19"/>
        </w:rPr>
        <w:t xml:space="preserve">ose service </w:t>
      </w:r>
      <w:r>
        <w:rPr>
          <w:rFonts w:ascii="Arial" w:hAnsi="Arial" w:cs="Arial"/>
          <w:color w:val="353535"/>
          <w:w w:val="105"/>
          <w:sz w:val="19"/>
          <w:szCs w:val="19"/>
        </w:rPr>
        <w:t>de</w:t>
      </w:r>
      <w:r>
        <w:rPr>
          <w:rFonts w:ascii="Arial" w:hAnsi="Arial" w:cs="Arial"/>
          <w:color w:val="0D0D0D"/>
          <w:w w:val="105"/>
          <w:sz w:val="19"/>
          <w:szCs w:val="19"/>
        </w:rPr>
        <w:t>li</w:t>
      </w:r>
      <w:r>
        <w:rPr>
          <w:rFonts w:ascii="Arial" w:hAnsi="Arial" w:cs="Arial"/>
          <w:color w:val="353535"/>
          <w:w w:val="105"/>
          <w:sz w:val="19"/>
          <w:szCs w:val="19"/>
        </w:rPr>
        <w:t>very  mode</w:t>
      </w:r>
      <w:r>
        <w:rPr>
          <w:rFonts w:ascii="Arial" w:hAnsi="Arial" w:cs="Arial"/>
          <w:color w:val="0D0D0D"/>
          <w:w w:val="105"/>
          <w:sz w:val="19"/>
          <w:szCs w:val="19"/>
        </w:rPr>
        <w:t>l</w:t>
      </w:r>
      <w:r w:rsidR="00B27397">
        <w:rPr>
          <w:rFonts w:ascii="Arial" w:hAnsi="Arial" w:cs="Arial"/>
          <w:color w:val="0D0D0D"/>
          <w:w w:val="105"/>
          <w:sz w:val="19"/>
          <w:szCs w:val="19"/>
        </w:rPr>
        <w:t xml:space="preserve"> </w:t>
      </w:r>
      <w:r>
        <w:rPr>
          <w:rFonts w:ascii="Arial" w:hAnsi="Arial" w:cs="Arial"/>
          <w:color w:val="353535"/>
          <w:w w:val="105"/>
          <w:sz w:val="19"/>
          <w:szCs w:val="19"/>
        </w:rPr>
        <w:t>a</w:t>
      </w:r>
      <w:r>
        <w:rPr>
          <w:rFonts w:ascii="Arial" w:hAnsi="Arial" w:cs="Arial"/>
          <w:color w:val="0D0D0D"/>
          <w:w w:val="105"/>
          <w:sz w:val="19"/>
          <w:szCs w:val="19"/>
        </w:rPr>
        <w:t>l</w:t>
      </w:r>
      <w:r>
        <w:rPr>
          <w:rFonts w:ascii="Arial" w:hAnsi="Arial" w:cs="Arial"/>
          <w:color w:val="4C4C4C"/>
          <w:w w:val="105"/>
          <w:sz w:val="19"/>
          <w:szCs w:val="19"/>
        </w:rPr>
        <w:t xml:space="preserve">igns </w:t>
      </w:r>
      <w:r>
        <w:rPr>
          <w:rFonts w:ascii="Arial" w:hAnsi="Arial" w:cs="Arial"/>
          <w:color w:val="353535"/>
          <w:w w:val="105"/>
          <w:sz w:val="19"/>
          <w:szCs w:val="19"/>
        </w:rPr>
        <w:t>with adu</w:t>
      </w:r>
      <w:r>
        <w:rPr>
          <w:rFonts w:ascii="Arial" w:hAnsi="Arial" w:cs="Arial"/>
          <w:color w:val="0D0D0D"/>
          <w:w w:val="105"/>
          <w:sz w:val="19"/>
          <w:szCs w:val="19"/>
        </w:rPr>
        <w:t>l</w:t>
      </w:r>
      <w:r>
        <w:rPr>
          <w:rFonts w:ascii="Arial" w:hAnsi="Arial" w:cs="Arial"/>
          <w:color w:val="4C4C4C"/>
          <w:w w:val="105"/>
          <w:sz w:val="19"/>
          <w:szCs w:val="19"/>
        </w:rPr>
        <w:t xml:space="preserve">t outcome </w:t>
      </w:r>
      <w:r>
        <w:rPr>
          <w:rFonts w:ascii="Arial" w:hAnsi="Arial" w:cs="Arial"/>
          <w:color w:val="353535"/>
          <w:w w:val="105"/>
          <w:sz w:val="19"/>
          <w:szCs w:val="19"/>
        </w:rPr>
        <w:t xml:space="preserve">measures. </w:t>
      </w:r>
      <w:r>
        <w:rPr>
          <w:rFonts w:ascii="Arial" w:hAnsi="Arial" w:cs="Arial"/>
          <w:color w:val="0D0D0D"/>
          <w:w w:val="105"/>
          <w:sz w:val="19"/>
          <w:szCs w:val="19"/>
        </w:rPr>
        <w:t>I</w:t>
      </w:r>
      <w:r>
        <w:rPr>
          <w:rFonts w:ascii="Arial" w:hAnsi="Arial" w:cs="Arial"/>
          <w:color w:val="353535"/>
          <w:w w:val="105"/>
          <w:sz w:val="19"/>
          <w:szCs w:val="19"/>
        </w:rPr>
        <w:t xml:space="preserve">n </w:t>
      </w:r>
      <w:r>
        <w:rPr>
          <w:rFonts w:ascii="Arial" w:hAnsi="Arial" w:cs="Arial"/>
          <w:color w:val="353535"/>
          <w:spacing w:val="3"/>
          <w:w w:val="105"/>
          <w:sz w:val="19"/>
          <w:szCs w:val="19"/>
        </w:rPr>
        <w:t>o</w:t>
      </w:r>
      <w:r>
        <w:rPr>
          <w:rFonts w:ascii="Arial" w:hAnsi="Arial" w:cs="Arial"/>
          <w:color w:val="0D0D0D"/>
          <w:spacing w:val="3"/>
          <w:w w:val="105"/>
          <w:sz w:val="19"/>
          <w:szCs w:val="19"/>
        </w:rPr>
        <w:t xml:space="preserve">ur </w:t>
      </w:r>
      <w:r>
        <w:rPr>
          <w:rFonts w:ascii="Arial" w:hAnsi="Arial" w:cs="Arial"/>
          <w:color w:val="0D0D0D"/>
          <w:w w:val="105"/>
          <w:sz w:val="19"/>
          <w:szCs w:val="19"/>
        </w:rPr>
        <w:t>l</w:t>
      </w:r>
      <w:r>
        <w:rPr>
          <w:rFonts w:ascii="Arial" w:hAnsi="Arial" w:cs="Arial"/>
          <w:color w:val="353535"/>
          <w:w w:val="105"/>
          <w:sz w:val="19"/>
          <w:szCs w:val="19"/>
        </w:rPr>
        <w:t>ong experie</w:t>
      </w:r>
      <w:r>
        <w:rPr>
          <w:rFonts w:ascii="Arial" w:hAnsi="Arial" w:cs="Arial"/>
          <w:color w:val="0D0D0D"/>
          <w:w w:val="105"/>
          <w:sz w:val="19"/>
          <w:szCs w:val="19"/>
        </w:rPr>
        <w:t>n</w:t>
      </w:r>
      <w:r>
        <w:rPr>
          <w:rFonts w:ascii="Arial" w:hAnsi="Arial" w:cs="Arial"/>
          <w:color w:val="353535"/>
          <w:w w:val="105"/>
          <w:sz w:val="19"/>
          <w:szCs w:val="19"/>
        </w:rPr>
        <w:t>ce with t</w:t>
      </w:r>
      <w:r>
        <w:rPr>
          <w:rFonts w:ascii="Arial" w:hAnsi="Arial" w:cs="Arial"/>
          <w:color w:val="0D0D0D"/>
          <w:w w:val="105"/>
          <w:sz w:val="19"/>
          <w:szCs w:val="19"/>
        </w:rPr>
        <w:t>h</w:t>
      </w:r>
      <w:r>
        <w:rPr>
          <w:rFonts w:ascii="Arial" w:hAnsi="Arial" w:cs="Arial"/>
          <w:color w:val="353535"/>
          <w:w w:val="105"/>
          <w:sz w:val="19"/>
          <w:szCs w:val="19"/>
        </w:rPr>
        <w:t xml:space="preserve">e MassHealth program, we have seen that </w:t>
      </w:r>
      <w:r>
        <w:rPr>
          <w:rFonts w:ascii="Arial" w:hAnsi="Arial" w:cs="Arial"/>
          <w:color w:val="4C4C4C"/>
          <w:w w:val="105"/>
          <w:sz w:val="19"/>
          <w:szCs w:val="19"/>
        </w:rPr>
        <w:t>chi</w:t>
      </w:r>
      <w:r>
        <w:rPr>
          <w:rFonts w:ascii="Arial" w:hAnsi="Arial" w:cs="Arial"/>
          <w:color w:val="0D0D0D"/>
          <w:w w:val="105"/>
          <w:sz w:val="19"/>
          <w:szCs w:val="19"/>
        </w:rPr>
        <w:t>l</w:t>
      </w:r>
      <w:r>
        <w:rPr>
          <w:rFonts w:ascii="Arial" w:hAnsi="Arial" w:cs="Arial"/>
          <w:color w:val="4C4C4C"/>
          <w:w w:val="105"/>
          <w:sz w:val="19"/>
          <w:szCs w:val="19"/>
        </w:rPr>
        <w:t>dre</w:t>
      </w:r>
      <w:r>
        <w:rPr>
          <w:rFonts w:ascii="Arial" w:hAnsi="Arial" w:cs="Arial"/>
          <w:color w:val="212121"/>
          <w:w w:val="105"/>
          <w:sz w:val="19"/>
          <w:szCs w:val="19"/>
        </w:rPr>
        <w:t xml:space="preserve">n </w:t>
      </w:r>
      <w:r>
        <w:rPr>
          <w:rFonts w:ascii="Arial" w:hAnsi="Arial" w:cs="Arial"/>
          <w:color w:val="4C4C4C"/>
          <w:w w:val="105"/>
          <w:sz w:val="19"/>
          <w:szCs w:val="19"/>
        </w:rPr>
        <w:t xml:space="preserve">and </w:t>
      </w:r>
      <w:r>
        <w:rPr>
          <w:rFonts w:ascii="Arial" w:hAnsi="Arial" w:cs="Arial"/>
          <w:color w:val="353535"/>
          <w:w w:val="105"/>
          <w:sz w:val="19"/>
          <w:szCs w:val="19"/>
        </w:rPr>
        <w:t xml:space="preserve">adolescents </w:t>
      </w:r>
      <w:r>
        <w:rPr>
          <w:rFonts w:ascii="Arial" w:hAnsi="Arial" w:cs="Arial"/>
          <w:color w:val="212121"/>
          <w:spacing w:val="-3"/>
          <w:w w:val="105"/>
          <w:sz w:val="19"/>
          <w:szCs w:val="19"/>
        </w:rPr>
        <w:t>ri</w:t>
      </w:r>
      <w:r>
        <w:rPr>
          <w:rFonts w:ascii="Arial" w:hAnsi="Arial" w:cs="Arial"/>
          <w:color w:val="4C4C4C"/>
          <w:spacing w:val="-3"/>
          <w:w w:val="105"/>
          <w:sz w:val="19"/>
          <w:szCs w:val="19"/>
        </w:rPr>
        <w:t xml:space="preserve">sk </w:t>
      </w:r>
      <w:r>
        <w:rPr>
          <w:rFonts w:ascii="Arial" w:hAnsi="Arial" w:cs="Arial"/>
          <w:color w:val="212121"/>
          <w:w w:val="105"/>
          <w:sz w:val="19"/>
          <w:szCs w:val="19"/>
        </w:rPr>
        <w:t xml:space="preserve">being </w:t>
      </w:r>
      <w:r>
        <w:rPr>
          <w:rFonts w:ascii="Arial" w:hAnsi="Arial" w:cs="Arial"/>
          <w:color w:val="0D0D0D"/>
          <w:spacing w:val="-4"/>
          <w:w w:val="105"/>
          <w:sz w:val="19"/>
          <w:szCs w:val="19"/>
        </w:rPr>
        <w:t>l</w:t>
      </w:r>
      <w:r>
        <w:rPr>
          <w:rFonts w:ascii="Arial" w:hAnsi="Arial" w:cs="Arial"/>
          <w:color w:val="353535"/>
          <w:spacing w:val="-4"/>
          <w:w w:val="105"/>
          <w:sz w:val="19"/>
          <w:szCs w:val="19"/>
        </w:rPr>
        <w:t>e</w:t>
      </w:r>
      <w:r>
        <w:rPr>
          <w:rFonts w:ascii="Arial" w:hAnsi="Arial" w:cs="Arial"/>
          <w:color w:val="0D0D0D"/>
          <w:spacing w:val="-4"/>
          <w:w w:val="105"/>
          <w:sz w:val="19"/>
          <w:szCs w:val="19"/>
        </w:rPr>
        <w:t xml:space="preserve">ft </w:t>
      </w:r>
      <w:r>
        <w:rPr>
          <w:rFonts w:ascii="Arial" w:hAnsi="Arial" w:cs="Arial"/>
          <w:color w:val="353535"/>
          <w:w w:val="105"/>
          <w:sz w:val="19"/>
          <w:szCs w:val="19"/>
        </w:rPr>
        <w:t>beh</w:t>
      </w:r>
      <w:r>
        <w:rPr>
          <w:rFonts w:ascii="Arial" w:hAnsi="Arial" w:cs="Arial"/>
          <w:color w:val="0D0D0D"/>
          <w:w w:val="105"/>
          <w:sz w:val="19"/>
          <w:szCs w:val="19"/>
        </w:rPr>
        <w:t>i</w:t>
      </w:r>
      <w:r>
        <w:rPr>
          <w:rFonts w:ascii="Arial" w:hAnsi="Arial" w:cs="Arial"/>
          <w:color w:val="353535"/>
          <w:w w:val="105"/>
          <w:sz w:val="19"/>
          <w:szCs w:val="19"/>
        </w:rPr>
        <w:t xml:space="preserve">nd without dedicated </w:t>
      </w:r>
      <w:r>
        <w:rPr>
          <w:rFonts w:ascii="Arial" w:hAnsi="Arial" w:cs="Arial"/>
          <w:color w:val="212121"/>
          <w:w w:val="105"/>
          <w:sz w:val="19"/>
          <w:szCs w:val="19"/>
        </w:rPr>
        <w:t xml:space="preserve">internal </w:t>
      </w:r>
      <w:r>
        <w:rPr>
          <w:rFonts w:ascii="Arial" w:hAnsi="Arial" w:cs="Arial"/>
          <w:color w:val="353535"/>
          <w:w w:val="105"/>
          <w:sz w:val="19"/>
          <w:szCs w:val="19"/>
        </w:rPr>
        <w:t>reso</w:t>
      </w:r>
      <w:r>
        <w:rPr>
          <w:rFonts w:ascii="Arial" w:hAnsi="Arial" w:cs="Arial"/>
          <w:color w:val="0D0D0D"/>
          <w:w w:val="105"/>
          <w:sz w:val="19"/>
          <w:szCs w:val="19"/>
        </w:rPr>
        <w:t>ur</w:t>
      </w:r>
      <w:r>
        <w:rPr>
          <w:rFonts w:ascii="Arial" w:hAnsi="Arial" w:cs="Arial"/>
          <w:color w:val="353535"/>
          <w:w w:val="105"/>
          <w:sz w:val="19"/>
          <w:szCs w:val="19"/>
        </w:rPr>
        <w:t>ces (personne</w:t>
      </w:r>
      <w:r>
        <w:rPr>
          <w:rFonts w:ascii="Arial" w:hAnsi="Arial" w:cs="Arial"/>
          <w:color w:val="0D0D0D"/>
          <w:w w:val="105"/>
          <w:sz w:val="19"/>
          <w:szCs w:val="19"/>
        </w:rPr>
        <w:t xml:space="preserve">l </w:t>
      </w:r>
      <w:r w:rsidR="00B27397">
        <w:rPr>
          <w:rFonts w:ascii="Arial" w:hAnsi="Arial" w:cs="Arial"/>
          <w:color w:val="4C4C4C"/>
          <w:w w:val="105"/>
          <w:sz w:val="19"/>
          <w:szCs w:val="19"/>
        </w:rPr>
        <w:t>and otherw</w:t>
      </w:r>
      <w:r>
        <w:rPr>
          <w:rFonts w:ascii="Arial" w:hAnsi="Arial" w:cs="Arial"/>
          <w:color w:val="212121"/>
          <w:spacing w:val="-4"/>
          <w:w w:val="105"/>
          <w:sz w:val="19"/>
          <w:szCs w:val="19"/>
        </w:rPr>
        <w:t>i</w:t>
      </w:r>
      <w:r>
        <w:rPr>
          <w:rFonts w:ascii="Arial" w:hAnsi="Arial" w:cs="Arial"/>
          <w:color w:val="4C4C4C"/>
          <w:spacing w:val="-4"/>
          <w:w w:val="105"/>
          <w:sz w:val="19"/>
          <w:szCs w:val="19"/>
        </w:rPr>
        <w:t xml:space="preserve">se) </w:t>
      </w:r>
      <w:r>
        <w:rPr>
          <w:rFonts w:ascii="Arial" w:hAnsi="Arial" w:cs="Arial"/>
          <w:color w:val="4C4C4C"/>
          <w:w w:val="105"/>
          <w:sz w:val="19"/>
          <w:szCs w:val="19"/>
        </w:rPr>
        <w:t xml:space="preserve">to assure </w:t>
      </w:r>
      <w:r>
        <w:rPr>
          <w:rFonts w:ascii="Arial" w:hAnsi="Arial" w:cs="Arial"/>
          <w:color w:val="353535"/>
          <w:w w:val="105"/>
          <w:sz w:val="19"/>
          <w:szCs w:val="19"/>
        </w:rPr>
        <w:t xml:space="preserve">that they </w:t>
      </w:r>
      <w:r>
        <w:rPr>
          <w:rFonts w:ascii="Arial" w:hAnsi="Arial" w:cs="Arial"/>
          <w:color w:val="4C4C4C"/>
          <w:spacing w:val="6"/>
          <w:w w:val="105"/>
          <w:sz w:val="19"/>
          <w:szCs w:val="19"/>
        </w:rPr>
        <w:t>a</w:t>
      </w:r>
      <w:r>
        <w:rPr>
          <w:rFonts w:ascii="Arial" w:hAnsi="Arial" w:cs="Arial"/>
          <w:color w:val="0D0D0D"/>
          <w:spacing w:val="6"/>
          <w:w w:val="105"/>
          <w:sz w:val="19"/>
          <w:szCs w:val="19"/>
        </w:rPr>
        <w:t>r</w:t>
      </w:r>
      <w:r>
        <w:rPr>
          <w:rFonts w:ascii="Arial" w:hAnsi="Arial" w:cs="Arial"/>
          <w:color w:val="4C4C4C"/>
          <w:spacing w:val="6"/>
          <w:w w:val="105"/>
          <w:sz w:val="19"/>
          <w:szCs w:val="19"/>
        </w:rPr>
        <w:t xml:space="preserve">e </w:t>
      </w:r>
      <w:r>
        <w:rPr>
          <w:rFonts w:ascii="Arial" w:hAnsi="Arial" w:cs="Arial"/>
          <w:color w:val="353535"/>
          <w:w w:val="105"/>
          <w:sz w:val="19"/>
          <w:szCs w:val="19"/>
        </w:rPr>
        <w:t>exp</w:t>
      </w:r>
      <w:r>
        <w:rPr>
          <w:rFonts w:ascii="Arial" w:hAnsi="Arial" w:cs="Arial"/>
          <w:color w:val="0D0D0D"/>
          <w:w w:val="105"/>
          <w:sz w:val="19"/>
          <w:szCs w:val="19"/>
        </w:rPr>
        <w:t>l</w:t>
      </w:r>
      <w:r>
        <w:rPr>
          <w:rFonts w:ascii="Arial" w:hAnsi="Arial" w:cs="Arial"/>
          <w:color w:val="353535"/>
          <w:w w:val="105"/>
          <w:sz w:val="19"/>
          <w:szCs w:val="19"/>
        </w:rPr>
        <w:t>icit</w:t>
      </w:r>
      <w:r>
        <w:rPr>
          <w:rFonts w:ascii="Arial" w:hAnsi="Arial" w:cs="Arial"/>
          <w:color w:val="0D0D0D"/>
          <w:w w:val="105"/>
          <w:sz w:val="19"/>
          <w:szCs w:val="19"/>
        </w:rPr>
        <w:t>l</w:t>
      </w:r>
      <w:r>
        <w:rPr>
          <w:rFonts w:ascii="Arial" w:hAnsi="Arial" w:cs="Arial"/>
          <w:color w:val="353535"/>
          <w:w w:val="105"/>
          <w:sz w:val="19"/>
          <w:szCs w:val="19"/>
        </w:rPr>
        <w:t xml:space="preserve">y included </w:t>
      </w:r>
      <w:r>
        <w:rPr>
          <w:rFonts w:ascii="Arial" w:hAnsi="Arial" w:cs="Arial"/>
          <w:color w:val="212121"/>
          <w:spacing w:val="-9"/>
          <w:w w:val="105"/>
          <w:sz w:val="19"/>
          <w:szCs w:val="19"/>
        </w:rPr>
        <w:t xml:space="preserve">in </w:t>
      </w:r>
      <w:r>
        <w:rPr>
          <w:rFonts w:ascii="Arial" w:hAnsi="Arial" w:cs="Arial"/>
          <w:color w:val="353535"/>
          <w:w w:val="105"/>
          <w:sz w:val="19"/>
          <w:szCs w:val="19"/>
        </w:rPr>
        <w:t xml:space="preserve">your </w:t>
      </w:r>
      <w:r>
        <w:rPr>
          <w:rFonts w:ascii="Arial" w:hAnsi="Arial" w:cs="Arial"/>
          <w:color w:val="353535"/>
          <w:spacing w:val="2"/>
          <w:w w:val="105"/>
          <w:sz w:val="19"/>
          <w:szCs w:val="19"/>
        </w:rPr>
        <w:t>p</w:t>
      </w:r>
      <w:r>
        <w:rPr>
          <w:rFonts w:ascii="Arial" w:hAnsi="Arial" w:cs="Arial"/>
          <w:color w:val="0D0D0D"/>
          <w:spacing w:val="2"/>
          <w:w w:val="105"/>
          <w:sz w:val="19"/>
          <w:szCs w:val="19"/>
        </w:rPr>
        <w:t>l</w:t>
      </w:r>
      <w:r>
        <w:rPr>
          <w:rFonts w:ascii="Arial" w:hAnsi="Arial" w:cs="Arial"/>
          <w:color w:val="4C4C4C"/>
          <w:spacing w:val="2"/>
          <w:w w:val="105"/>
          <w:sz w:val="19"/>
          <w:szCs w:val="19"/>
        </w:rPr>
        <w:t>a</w:t>
      </w:r>
      <w:r>
        <w:rPr>
          <w:rFonts w:ascii="Arial" w:hAnsi="Arial" w:cs="Arial"/>
          <w:color w:val="212121"/>
          <w:spacing w:val="2"/>
          <w:w w:val="105"/>
          <w:sz w:val="19"/>
          <w:szCs w:val="19"/>
        </w:rPr>
        <w:t>nnin</w:t>
      </w:r>
      <w:r>
        <w:rPr>
          <w:rFonts w:ascii="Arial" w:hAnsi="Arial" w:cs="Arial"/>
          <w:color w:val="4C4C4C"/>
          <w:spacing w:val="2"/>
          <w:w w:val="105"/>
          <w:sz w:val="19"/>
          <w:szCs w:val="19"/>
        </w:rPr>
        <w:t xml:space="preserve">g </w:t>
      </w:r>
      <w:r>
        <w:rPr>
          <w:rFonts w:ascii="Arial" w:hAnsi="Arial" w:cs="Arial"/>
          <w:color w:val="4C4C4C"/>
          <w:spacing w:val="4"/>
          <w:w w:val="105"/>
          <w:sz w:val="19"/>
          <w:szCs w:val="19"/>
        </w:rPr>
        <w:t>a</w:t>
      </w:r>
      <w:r>
        <w:rPr>
          <w:rFonts w:ascii="Arial" w:hAnsi="Arial" w:cs="Arial"/>
          <w:color w:val="212121"/>
          <w:spacing w:val="4"/>
          <w:w w:val="105"/>
          <w:sz w:val="19"/>
          <w:szCs w:val="19"/>
        </w:rPr>
        <w:t xml:space="preserve">nd </w:t>
      </w:r>
      <w:r>
        <w:rPr>
          <w:rFonts w:ascii="Arial" w:hAnsi="Arial" w:cs="Arial"/>
          <w:color w:val="0D0D0D"/>
          <w:w w:val="105"/>
          <w:sz w:val="19"/>
          <w:szCs w:val="19"/>
        </w:rPr>
        <w:t>impl</w:t>
      </w:r>
      <w:r w:rsidR="00B27397">
        <w:rPr>
          <w:rFonts w:ascii="Arial" w:hAnsi="Arial" w:cs="Arial"/>
          <w:color w:val="353535"/>
          <w:w w:val="105"/>
          <w:sz w:val="19"/>
          <w:szCs w:val="19"/>
        </w:rPr>
        <w:t>ementat</w:t>
      </w:r>
      <w:r>
        <w:rPr>
          <w:rFonts w:ascii="Arial" w:hAnsi="Arial" w:cs="Arial"/>
          <w:color w:val="0D0D0D"/>
          <w:spacing w:val="-6"/>
          <w:w w:val="105"/>
          <w:sz w:val="19"/>
          <w:szCs w:val="19"/>
        </w:rPr>
        <w:t>i</w:t>
      </w:r>
      <w:r>
        <w:rPr>
          <w:rFonts w:ascii="Arial" w:hAnsi="Arial" w:cs="Arial"/>
          <w:color w:val="353535"/>
          <w:spacing w:val="-6"/>
          <w:w w:val="105"/>
          <w:sz w:val="19"/>
          <w:szCs w:val="19"/>
        </w:rPr>
        <w:t>on</w:t>
      </w:r>
      <w:r>
        <w:rPr>
          <w:rFonts w:ascii="Arial" w:hAnsi="Arial" w:cs="Arial"/>
          <w:color w:val="353535"/>
          <w:spacing w:val="-36"/>
          <w:w w:val="105"/>
          <w:sz w:val="19"/>
          <w:szCs w:val="19"/>
        </w:rPr>
        <w:t xml:space="preserve"> </w:t>
      </w:r>
      <w:r>
        <w:rPr>
          <w:rFonts w:ascii="Arial" w:hAnsi="Arial" w:cs="Arial"/>
          <w:color w:val="212121"/>
          <w:w w:val="105"/>
          <w:sz w:val="19"/>
          <w:szCs w:val="19"/>
        </w:rPr>
        <w:t>pro</w:t>
      </w:r>
      <w:r>
        <w:rPr>
          <w:rFonts w:ascii="Arial" w:hAnsi="Arial" w:cs="Arial"/>
          <w:color w:val="4C4C4C"/>
          <w:w w:val="105"/>
          <w:sz w:val="19"/>
          <w:szCs w:val="19"/>
        </w:rPr>
        <w:t>cess.</w:t>
      </w:r>
    </w:p>
    <w:p w:rsidR="002C5025" w:rsidRDefault="002C5025">
      <w:pPr>
        <w:pStyle w:val="BodyText"/>
        <w:kinsoku w:val="0"/>
        <w:overflowPunct w:val="0"/>
        <w:spacing w:line="295" w:lineRule="auto"/>
        <w:ind w:left="113" w:right="1546"/>
        <w:rPr>
          <w:rFonts w:ascii="Arial" w:hAnsi="Arial" w:cs="Arial"/>
          <w:color w:val="4C4C4C"/>
          <w:w w:val="105"/>
          <w:sz w:val="19"/>
          <w:szCs w:val="19"/>
        </w:rPr>
        <w:sectPr w:rsidR="002C5025">
          <w:pgSz w:w="12240" w:h="15840"/>
          <w:pgMar w:top="520" w:right="0" w:bottom="0" w:left="1300" w:header="720" w:footer="720" w:gutter="0"/>
          <w:cols w:space="720" w:equalWidth="0">
            <w:col w:w="10940"/>
          </w:cols>
          <w:noEndnote/>
        </w:sectPr>
      </w:pPr>
    </w:p>
    <w:p w:rsidR="002C5025" w:rsidRDefault="002C5025">
      <w:pPr>
        <w:pStyle w:val="BodyText"/>
        <w:kinsoku w:val="0"/>
        <w:overflowPunct w:val="0"/>
        <w:spacing w:before="90" w:line="295" w:lineRule="auto"/>
        <w:ind w:left="123" w:right="193"/>
        <w:rPr>
          <w:rFonts w:ascii="Arial" w:hAnsi="Arial" w:cs="Arial"/>
          <w:w w:val="105"/>
          <w:sz w:val="19"/>
          <w:szCs w:val="19"/>
        </w:rPr>
      </w:pPr>
      <w:r>
        <w:rPr>
          <w:rFonts w:ascii="Arial" w:hAnsi="Arial" w:cs="Arial"/>
          <w:w w:val="105"/>
          <w:sz w:val="19"/>
          <w:szCs w:val="19"/>
        </w:rPr>
        <w:lastRenderedPageBreak/>
        <w:t xml:space="preserve">As you know, well integrated care for youth is an investment </w:t>
      </w:r>
      <w:r>
        <w:rPr>
          <w:rFonts w:ascii="Arial" w:hAnsi="Arial" w:cs="Arial"/>
          <w:spacing w:val="-3"/>
          <w:w w:val="105"/>
          <w:sz w:val="19"/>
          <w:szCs w:val="19"/>
        </w:rPr>
        <w:t xml:space="preserve">in </w:t>
      </w:r>
      <w:r>
        <w:rPr>
          <w:rFonts w:ascii="Arial" w:hAnsi="Arial" w:cs="Arial"/>
          <w:w w:val="105"/>
          <w:sz w:val="19"/>
          <w:szCs w:val="19"/>
        </w:rPr>
        <w:t xml:space="preserve">the future. The cost savings from providing the prevention and early intervention services that are the mainstay of pediatric care may not be realized immediately, but they pay substantial dividends over a lifetime of improved health. It is notable, for example, that the substance use disorder (SUD) focus of the proposal </w:t>
      </w:r>
      <w:r>
        <w:rPr>
          <w:rFonts w:ascii="Arial" w:hAnsi="Arial" w:cs="Arial"/>
          <w:spacing w:val="-4"/>
          <w:w w:val="105"/>
          <w:sz w:val="19"/>
          <w:szCs w:val="19"/>
        </w:rPr>
        <w:t xml:space="preserve">is </w:t>
      </w:r>
      <w:r>
        <w:rPr>
          <w:rFonts w:ascii="Arial" w:hAnsi="Arial" w:cs="Arial"/>
          <w:w w:val="105"/>
          <w:sz w:val="19"/>
          <w:szCs w:val="19"/>
        </w:rPr>
        <w:t xml:space="preserve">commendable, but the majority of SUD 'horror stories' start with substance use during childhood or adolescence. The treatment options for youth are particularly limited, and MassHealth arguably has a critical role to play   </w:t>
      </w:r>
      <w:r>
        <w:rPr>
          <w:rFonts w:ascii="Arial" w:hAnsi="Arial" w:cs="Arial"/>
          <w:spacing w:val="-3"/>
          <w:w w:val="105"/>
          <w:sz w:val="19"/>
          <w:szCs w:val="19"/>
        </w:rPr>
        <w:t xml:space="preserve">in </w:t>
      </w:r>
      <w:r>
        <w:rPr>
          <w:rFonts w:ascii="Arial" w:hAnsi="Arial" w:cs="Arial"/>
          <w:w w:val="105"/>
          <w:sz w:val="19"/>
          <w:szCs w:val="19"/>
        </w:rPr>
        <w:t xml:space="preserve">improving this state of affairs. We know that the expense of not providing early intervention to </w:t>
      </w:r>
      <w:r>
        <w:rPr>
          <w:rFonts w:ascii="Arial" w:hAnsi="Arial" w:cs="Arial"/>
          <w:spacing w:val="2"/>
          <w:w w:val="105"/>
          <w:sz w:val="19"/>
          <w:szCs w:val="19"/>
        </w:rPr>
        <w:t xml:space="preserve">such </w:t>
      </w:r>
      <w:r>
        <w:rPr>
          <w:rFonts w:ascii="Arial" w:hAnsi="Arial" w:cs="Arial"/>
          <w:w w:val="105"/>
          <w:sz w:val="19"/>
          <w:szCs w:val="19"/>
        </w:rPr>
        <w:t>children or the savings of doing so is actualized over the course of a</w:t>
      </w:r>
      <w:r>
        <w:rPr>
          <w:rFonts w:ascii="Arial" w:hAnsi="Arial" w:cs="Arial"/>
          <w:spacing w:val="-3"/>
          <w:w w:val="105"/>
          <w:sz w:val="19"/>
          <w:szCs w:val="19"/>
        </w:rPr>
        <w:t xml:space="preserve"> </w:t>
      </w:r>
      <w:r>
        <w:rPr>
          <w:rFonts w:ascii="Arial" w:hAnsi="Arial" w:cs="Arial"/>
          <w:w w:val="105"/>
          <w:sz w:val="19"/>
          <w:szCs w:val="19"/>
        </w:rPr>
        <w:t>lifetime.</w:t>
      </w:r>
    </w:p>
    <w:p w:rsidR="002C5025" w:rsidRDefault="002C5025">
      <w:pPr>
        <w:pStyle w:val="BodyText"/>
        <w:kinsoku w:val="0"/>
        <w:overflowPunct w:val="0"/>
        <w:spacing w:before="1"/>
        <w:rPr>
          <w:rFonts w:ascii="Arial" w:hAnsi="Arial" w:cs="Arial"/>
          <w:sz w:val="23"/>
          <w:szCs w:val="23"/>
        </w:rPr>
      </w:pPr>
    </w:p>
    <w:p w:rsidR="002C5025" w:rsidRDefault="002C5025">
      <w:pPr>
        <w:pStyle w:val="BodyText"/>
        <w:kinsoku w:val="0"/>
        <w:overflowPunct w:val="0"/>
        <w:spacing w:line="290" w:lineRule="auto"/>
        <w:ind w:left="123" w:right="220"/>
        <w:rPr>
          <w:rFonts w:ascii="Arial" w:hAnsi="Arial" w:cs="Arial"/>
          <w:w w:val="105"/>
          <w:sz w:val="19"/>
          <w:szCs w:val="19"/>
        </w:rPr>
      </w:pPr>
      <w:r>
        <w:rPr>
          <w:rFonts w:ascii="Arial" w:hAnsi="Arial" w:cs="Arial"/>
          <w:w w:val="105"/>
          <w:sz w:val="19"/>
          <w:szCs w:val="19"/>
        </w:rPr>
        <w:t xml:space="preserve">We look forward to further exploring these issues with you when you join the Children's Behavioral Health Advisory Council on August </w:t>
      </w:r>
      <w:r>
        <w:rPr>
          <w:rFonts w:ascii="Times New Roman" w:hAnsi="Times New Roman" w:cs="Times New Roman"/>
          <w:w w:val="105"/>
          <w:sz w:val="20"/>
          <w:szCs w:val="20"/>
        </w:rPr>
        <w:t xml:space="preserve">1. </w:t>
      </w:r>
      <w:r>
        <w:rPr>
          <w:rFonts w:ascii="Arial" w:hAnsi="Arial" w:cs="Arial"/>
          <w:w w:val="105"/>
          <w:sz w:val="19"/>
          <w:szCs w:val="19"/>
        </w:rPr>
        <w:t>We appreciate your commitment to children with behavioral health needs and their families, and to MassHealth providing integrated and well-coordinated care in order to improve outcomes, lower long-term costs, and better care for the kids of the   Commonwealth.</w:t>
      </w:r>
    </w:p>
    <w:p w:rsidR="002C5025" w:rsidRDefault="002C5025">
      <w:pPr>
        <w:pStyle w:val="BodyText"/>
        <w:kinsoku w:val="0"/>
        <w:overflowPunct w:val="0"/>
        <w:spacing w:before="8"/>
        <w:rPr>
          <w:rFonts w:ascii="Arial" w:hAnsi="Arial" w:cs="Arial"/>
          <w:sz w:val="17"/>
          <w:szCs w:val="17"/>
        </w:rPr>
      </w:pPr>
    </w:p>
    <w:p w:rsidR="002C5025" w:rsidRDefault="002C5025">
      <w:pPr>
        <w:pStyle w:val="BodyText"/>
        <w:kinsoku w:val="0"/>
        <w:overflowPunct w:val="0"/>
        <w:spacing w:before="8"/>
        <w:rPr>
          <w:rFonts w:ascii="Arial" w:hAnsi="Arial" w:cs="Arial"/>
          <w:sz w:val="17"/>
          <w:szCs w:val="17"/>
        </w:rPr>
        <w:sectPr w:rsidR="002C5025">
          <w:pgSz w:w="12240" w:h="15840"/>
          <w:pgMar w:top="1500" w:right="1440" w:bottom="280" w:left="1360" w:header="720" w:footer="720" w:gutter="0"/>
          <w:cols w:space="720" w:equalWidth="0">
            <w:col w:w="9440"/>
          </w:cols>
          <w:noEndnote/>
        </w:sectPr>
      </w:pPr>
    </w:p>
    <w:p w:rsidR="002C5025" w:rsidRDefault="002C5025">
      <w:pPr>
        <w:pStyle w:val="BodyText"/>
        <w:kinsoku w:val="0"/>
        <w:overflowPunct w:val="0"/>
        <w:spacing w:before="76"/>
        <w:ind w:left="115" w:right="-18"/>
        <w:rPr>
          <w:rFonts w:ascii="Arial" w:hAnsi="Arial" w:cs="Arial"/>
          <w:sz w:val="19"/>
          <w:szCs w:val="19"/>
        </w:rPr>
      </w:pPr>
      <w:r>
        <w:rPr>
          <w:rFonts w:ascii="Arial" w:hAnsi="Arial" w:cs="Arial"/>
          <w:sz w:val="19"/>
          <w:szCs w:val="19"/>
        </w:rPr>
        <w:lastRenderedPageBreak/>
        <w:t>Sincerely,</w:t>
      </w:r>
    </w:p>
    <w:p w:rsidR="002C5025" w:rsidRDefault="002C5025">
      <w:pPr>
        <w:pStyle w:val="BodyText"/>
        <w:kinsoku w:val="0"/>
        <w:overflowPunct w:val="0"/>
        <w:spacing w:before="230"/>
        <w:ind w:left="115"/>
        <w:rPr>
          <w:rFonts w:ascii="Arial" w:hAnsi="Arial" w:cs="Arial"/>
          <w:i/>
          <w:iCs/>
          <w:w w:val="110"/>
          <w:sz w:val="64"/>
          <w:szCs w:val="64"/>
        </w:rPr>
      </w:pPr>
      <w:r>
        <w:rPr>
          <w:rFonts w:ascii="Times New Roman" w:hAnsi="Times New Roman" w:cs="Times New Roman"/>
          <w:sz w:val="24"/>
          <w:szCs w:val="24"/>
        </w:rPr>
        <w:br w:type="column"/>
      </w:r>
      <w:r>
        <w:rPr>
          <w:rFonts w:ascii="Arial" w:hAnsi="Arial" w:cs="Arial"/>
          <w:i/>
          <w:iCs/>
          <w:w w:val="110"/>
          <w:sz w:val="64"/>
          <w:szCs w:val="64"/>
        </w:rPr>
        <w:lastRenderedPageBreak/>
        <w:t>j; (iv--</w:t>
      </w:r>
    </w:p>
    <w:p w:rsidR="002C5025" w:rsidRDefault="002C5025">
      <w:pPr>
        <w:pStyle w:val="BodyText"/>
        <w:kinsoku w:val="0"/>
        <w:overflowPunct w:val="0"/>
        <w:spacing w:before="230"/>
        <w:ind w:left="115"/>
        <w:rPr>
          <w:rFonts w:ascii="Arial" w:hAnsi="Arial" w:cs="Arial"/>
          <w:i/>
          <w:iCs/>
          <w:w w:val="110"/>
          <w:sz w:val="64"/>
          <w:szCs w:val="64"/>
        </w:rPr>
        <w:sectPr w:rsidR="002C5025">
          <w:type w:val="continuous"/>
          <w:pgSz w:w="12240" w:h="15840"/>
          <w:pgMar w:top="720" w:right="1440" w:bottom="280" w:left="1360" w:header="720" w:footer="720" w:gutter="0"/>
          <w:cols w:num="2" w:space="720" w:equalWidth="0">
            <w:col w:w="952" w:space="344"/>
            <w:col w:w="8144"/>
          </w:cols>
          <w:noEndnote/>
        </w:sectPr>
      </w:pPr>
    </w:p>
    <w:p w:rsidR="002C5025" w:rsidRDefault="002C5025">
      <w:pPr>
        <w:pStyle w:val="BodyText"/>
        <w:kinsoku w:val="0"/>
        <w:overflowPunct w:val="0"/>
        <w:spacing w:before="4"/>
        <w:rPr>
          <w:rFonts w:ascii="Arial" w:hAnsi="Arial" w:cs="Arial"/>
          <w:i/>
          <w:iCs/>
          <w:sz w:val="9"/>
          <w:szCs w:val="9"/>
        </w:rPr>
      </w:pPr>
    </w:p>
    <w:p w:rsidR="002C5025" w:rsidRDefault="002C5025">
      <w:pPr>
        <w:pStyle w:val="BodyText"/>
        <w:kinsoku w:val="0"/>
        <w:overflowPunct w:val="0"/>
        <w:spacing w:before="75"/>
        <w:ind w:left="115" w:right="197"/>
        <w:rPr>
          <w:rFonts w:ascii="Arial" w:hAnsi="Arial" w:cs="Arial"/>
          <w:sz w:val="19"/>
          <w:szCs w:val="19"/>
        </w:rPr>
      </w:pPr>
      <w:r>
        <w:rPr>
          <w:rFonts w:ascii="Arial" w:hAnsi="Arial" w:cs="Arial"/>
          <w:sz w:val="19"/>
          <w:szCs w:val="19"/>
        </w:rPr>
        <w:t xml:space="preserve">Courtney </w:t>
      </w:r>
      <w:proofErr w:type="spellStart"/>
      <w:r>
        <w:rPr>
          <w:rFonts w:ascii="Arial" w:hAnsi="Arial" w:cs="Arial"/>
          <w:sz w:val="19"/>
          <w:szCs w:val="19"/>
        </w:rPr>
        <w:t>Chelo</w:t>
      </w:r>
      <w:proofErr w:type="spellEnd"/>
    </w:p>
    <w:p w:rsidR="002C5025" w:rsidRDefault="002C5025">
      <w:pPr>
        <w:pStyle w:val="BodyText"/>
        <w:kinsoku w:val="0"/>
        <w:overflowPunct w:val="0"/>
        <w:spacing w:before="52"/>
        <w:ind w:left="115" w:right="197"/>
        <w:rPr>
          <w:rFonts w:ascii="Arial" w:hAnsi="Arial" w:cs="Arial"/>
          <w:w w:val="105"/>
          <w:sz w:val="19"/>
          <w:szCs w:val="19"/>
        </w:rPr>
      </w:pPr>
      <w:r>
        <w:rPr>
          <w:rFonts w:ascii="Arial" w:hAnsi="Arial" w:cs="Arial"/>
          <w:w w:val="105"/>
          <w:sz w:val="19"/>
          <w:szCs w:val="19"/>
        </w:rPr>
        <w:t>Children's Mental Health Campaign Manager</w:t>
      </w:r>
    </w:p>
    <w:p w:rsidR="002C5025" w:rsidRDefault="002C5025">
      <w:pPr>
        <w:pStyle w:val="BodyText"/>
        <w:kinsoku w:val="0"/>
        <w:overflowPunct w:val="0"/>
        <w:spacing w:before="52"/>
        <w:ind w:left="115" w:right="197"/>
        <w:rPr>
          <w:rFonts w:ascii="Arial" w:hAnsi="Arial" w:cs="Arial"/>
          <w:w w:val="105"/>
          <w:sz w:val="19"/>
          <w:szCs w:val="19"/>
        </w:rPr>
        <w:sectPr w:rsidR="002C5025">
          <w:type w:val="continuous"/>
          <w:pgSz w:w="12240" w:h="15840"/>
          <w:pgMar w:top="720" w:right="1440" w:bottom="280" w:left="1360" w:header="720" w:footer="720" w:gutter="0"/>
          <w:cols w:space="720" w:equalWidth="0">
            <w:col w:w="9440"/>
          </w:cols>
          <w:noEndnote/>
        </w:sect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7"/>
        <w:rPr>
          <w:rFonts w:ascii="Arial" w:hAnsi="Arial" w:cs="Arial"/>
          <w:sz w:val="27"/>
          <w:szCs w:val="27"/>
        </w:rPr>
      </w:pPr>
    </w:p>
    <w:p w:rsidR="002C5025" w:rsidRDefault="00FB027C">
      <w:pPr>
        <w:pStyle w:val="BodyText"/>
        <w:kinsoku w:val="0"/>
        <w:overflowPunct w:val="0"/>
        <w:spacing w:before="65"/>
        <w:ind w:left="1080" w:right="1443"/>
        <w:rPr>
          <w:rFonts w:ascii="Cambria" w:hAnsi="Cambria" w:cs="Cambria"/>
          <w:sz w:val="25"/>
          <w:szCs w:val="25"/>
        </w:rPr>
      </w:pPr>
      <w:r>
        <w:rPr>
          <w:noProof/>
        </w:rPr>
        <mc:AlternateContent>
          <mc:Choice Requires="wps">
            <w:drawing>
              <wp:anchor distT="0" distB="0" distL="114300" distR="114300" simplePos="0" relativeHeight="251559424" behindDoc="0" locked="0" layoutInCell="0" allowOverlap="1">
                <wp:simplePos x="0" y="0"/>
                <wp:positionH relativeFrom="page">
                  <wp:posOffset>0</wp:posOffset>
                </wp:positionH>
                <wp:positionV relativeFrom="paragraph">
                  <wp:posOffset>-2099945</wp:posOffset>
                </wp:positionV>
                <wp:extent cx="7772400" cy="1955800"/>
                <wp:effectExtent l="0" t="0" r="0" b="0"/>
                <wp:wrapNone/>
                <wp:docPr id="770"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95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3080" w:lineRule="atLeast"/>
                            </w:pPr>
                            <w:r>
                              <w:rPr>
                                <w:noProof/>
                              </w:rPr>
                              <w:drawing>
                                <wp:inline distT="0" distB="0" distL="0" distR="0">
                                  <wp:extent cx="7772400" cy="1952625"/>
                                  <wp:effectExtent l="0" t="0" r="0" b="952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7772400" cy="1952625"/>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5" o:spid="_x0000_s1155" style="position:absolute;left:0;text-align:left;margin-left:0;margin-top:-165.35pt;width:612pt;height:154pt;z-index:251559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" o:allowincell="f" filled="f" stroked="f">
                <v:textbox inset="0,0,0,0">
                  <w:txbxContent>
                    <w:p w:rsidR="007B2B7B" w:rsidRDefault="007B2B7B">
                      <w:pPr>
                        <w:widowControl/>
                        <w:autoSpaceDE/>
                        <w:autoSpaceDN/>
                        <w:adjustRightInd/>
                        <w:spacing w:line="3080" w:lineRule="atLeast"/>
                      </w:pPr>
                      <w:r>
                        <w:rPr>
                          <w:noProof/>
                        </w:rPr>
                        <w:drawing>
                          <wp:inline distT="0" distB="0" distL="0" distR="0">
                            <wp:extent cx="7772400" cy="1952625"/>
                            <wp:effectExtent l="0" t="0" r="0" b="952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7772400" cy="1952625"/>
                                    </a:xfrm>
                                    <a:prstGeom prst="rect">
                                      <a:avLst/>
                                    </a:prstGeom>
                                    <a:noFill/>
                                    <a:ln>
                                      <a:noFill/>
                                    </a:ln>
                                  </pic:spPr>
                                </pic:pic>
                              </a:graphicData>
                            </a:graphic>
                          </wp:inline>
                        </w:drawing>
                      </w:r>
                    </w:p>
                    <w:p w:rsidR="007B2B7B" w:rsidRDefault="007B2B7B"/>
                  </w:txbxContent>
                </v:textbox>
                <w10:wrap anchorx="page"/>
              </v:rect>
            </w:pict>
          </mc:Fallback>
        </mc:AlternateContent>
      </w:r>
      <w:bookmarkStart w:id="87" w:name="CliniciansUNITED_115_Feedback"/>
      <w:bookmarkEnd w:id="87"/>
      <w:r w:rsidR="002C5025">
        <w:rPr>
          <w:rFonts w:ascii="Cambria" w:hAnsi="Cambria" w:cs="Cambria"/>
          <w:sz w:val="25"/>
          <w:szCs w:val="25"/>
        </w:rPr>
        <w:t>July 17, 2016</w:t>
      </w:r>
    </w:p>
    <w:p w:rsidR="002C5025" w:rsidRDefault="002C5025">
      <w:pPr>
        <w:pStyle w:val="BodyText"/>
        <w:kinsoku w:val="0"/>
        <w:overflowPunct w:val="0"/>
        <w:spacing w:before="1"/>
        <w:rPr>
          <w:rFonts w:ascii="Cambria" w:hAnsi="Cambria" w:cs="Cambria"/>
          <w:sz w:val="25"/>
          <w:szCs w:val="25"/>
        </w:rPr>
      </w:pPr>
    </w:p>
    <w:p w:rsidR="002C5025" w:rsidRDefault="002C5025">
      <w:pPr>
        <w:pStyle w:val="BodyText"/>
        <w:kinsoku w:val="0"/>
        <w:overflowPunct w:val="0"/>
        <w:spacing w:before="1"/>
        <w:ind w:left="1080" w:right="1443"/>
        <w:rPr>
          <w:rFonts w:ascii="Cambria" w:hAnsi="Cambria" w:cs="Cambria"/>
          <w:b/>
          <w:bCs/>
          <w:sz w:val="25"/>
          <w:szCs w:val="25"/>
        </w:rPr>
      </w:pPr>
      <w:r>
        <w:rPr>
          <w:rFonts w:ascii="Cambria" w:hAnsi="Cambria" w:cs="Cambria"/>
          <w:b/>
          <w:bCs/>
          <w:sz w:val="25"/>
          <w:szCs w:val="25"/>
        </w:rPr>
        <w:t xml:space="preserve">Via Electronic Mail to: </w:t>
      </w:r>
      <w:hyperlink r:id="rId194" w:history="1">
        <w:r>
          <w:rPr>
            <w:rFonts w:ascii="Cambria" w:hAnsi="Cambria" w:cs="Cambria"/>
            <w:b/>
            <w:bCs/>
            <w:sz w:val="25"/>
            <w:szCs w:val="25"/>
          </w:rPr>
          <w:t>MassHealth.Innovations@state.ma.us</w:t>
        </w:r>
      </w:hyperlink>
    </w:p>
    <w:p w:rsidR="002C5025" w:rsidRDefault="002C5025">
      <w:pPr>
        <w:pStyle w:val="BodyText"/>
        <w:kinsoku w:val="0"/>
        <w:overflowPunct w:val="0"/>
        <w:spacing w:before="11"/>
        <w:rPr>
          <w:rFonts w:ascii="Cambria" w:hAnsi="Cambria" w:cs="Cambria"/>
          <w:b/>
          <w:bCs/>
          <w:sz w:val="24"/>
          <w:szCs w:val="24"/>
        </w:rPr>
      </w:pPr>
    </w:p>
    <w:p w:rsidR="002C5025" w:rsidRDefault="002C5025">
      <w:pPr>
        <w:pStyle w:val="BodyText"/>
        <w:kinsoku w:val="0"/>
        <w:overflowPunct w:val="0"/>
        <w:ind w:left="1080" w:right="1443"/>
        <w:rPr>
          <w:rFonts w:ascii="Cambria" w:hAnsi="Cambria" w:cs="Cambria"/>
          <w:sz w:val="25"/>
          <w:szCs w:val="25"/>
        </w:rPr>
      </w:pPr>
      <w:proofErr w:type="spellStart"/>
      <w:r>
        <w:rPr>
          <w:rFonts w:ascii="Cambria" w:hAnsi="Cambria" w:cs="Cambria"/>
          <w:sz w:val="25"/>
          <w:szCs w:val="25"/>
        </w:rPr>
        <w:t>CliniciansUNITED</w:t>
      </w:r>
      <w:proofErr w:type="spellEnd"/>
      <w:r>
        <w:rPr>
          <w:rFonts w:ascii="Cambria" w:hAnsi="Cambria" w:cs="Cambria"/>
          <w:sz w:val="25"/>
          <w:szCs w:val="25"/>
        </w:rPr>
        <w:t xml:space="preserve"> (CU) is a multidisciplinary group of independent behavioral health clinicians who are associate members of the Massachusetts Human Service Workers Union, SEIU Local 509. We are grateful for the opportunity to provide comments on MassHealth’s delivery system and payment methodologies reform.</w:t>
      </w:r>
    </w:p>
    <w:p w:rsidR="002C5025" w:rsidRDefault="002C5025">
      <w:pPr>
        <w:pStyle w:val="BodyText"/>
        <w:kinsoku w:val="0"/>
        <w:overflowPunct w:val="0"/>
        <w:spacing w:before="1"/>
        <w:rPr>
          <w:rFonts w:ascii="Cambria" w:hAnsi="Cambria" w:cs="Cambria"/>
          <w:sz w:val="25"/>
          <w:szCs w:val="25"/>
        </w:rPr>
      </w:pPr>
    </w:p>
    <w:p w:rsidR="002C5025" w:rsidRDefault="002C5025">
      <w:pPr>
        <w:pStyle w:val="BodyText"/>
        <w:kinsoku w:val="0"/>
        <w:overflowPunct w:val="0"/>
        <w:spacing w:before="1"/>
        <w:ind w:left="1080" w:right="1270"/>
        <w:rPr>
          <w:rFonts w:ascii="Cambria" w:hAnsi="Cambria" w:cs="Cambria"/>
          <w:color w:val="1C1C1C"/>
          <w:sz w:val="25"/>
          <w:szCs w:val="25"/>
        </w:rPr>
      </w:pPr>
      <w:r>
        <w:rPr>
          <w:rFonts w:ascii="Cambria" w:hAnsi="Cambria" w:cs="Cambria"/>
          <w:color w:val="1C1C1C"/>
          <w:sz w:val="25"/>
          <w:szCs w:val="25"/>
        </w:rPr>
        <w:t>We applaud the focus on behavioral health integration and encourage you to think deeply about sustainable and realistic systems that can provide care at different levels. Independent clinicians provide a cost effective option for care that is appropriate in the outpatient community setting. We are experts in these services and we encourage you to include clinicians in your decision making processes.</w:t>
      </w:r>
    </w:p>
    <w:p w:rsidR="002C5025" w:rsidRDefault="002C5025">
      <w:pPr>
        <w:pStyle w:val="BodyText"/>
        <w:kinsoku w:val="0"/>
        <w:overflowPunct w:val="0"/>
        <w:spacing w:before="11"/>
        <w:rPr>
          <w:rFonts w:ascii="Cambria" w:hAnsi="Cambria" w:cs="Cambria"/>
          <w:sz w:val="24"/>
          <w:szCs w:val="24"/>
        </w:rPr>
      </w:pPr>
    </w:p>
    <w:p w:rsidR="002C5025" w:rsidRDefault="002C5025">
      <w:pPr>
        <w:pStyle w:val="BodyText"/>
        <w:kinsoku w:val="0"/>
        <w:overflowPunct w:val="0"/>
        <w:ind w:left="1080" w:right="1167" w:hanging="1"/>
        <w:rPr>
          <w:rFonts w:ascii="Cambria" w:hAnsi="Cambria" w:cs="Cambria"/>
          <w:color w:val="1C1C1C"/>
          <w:sz w:val="25"/>
          <w:szCs w:val="25"/>
        </w:rPr>
      </w:pPr>
      <w:r>
        <w:rPr>
          <w:rFonts w:ascii="Cambria" w:hAnsi="Cambria" w:cs="Cambria"/>
          <w:color w:val="1C1C1C"/>
          <w:sz w:val="25"/>
          <w:szCs w:val="25"/>
        </w:rPr>
        <w:t>There are many opportunities for MassHealth to re-shape the current system that is frustrating for both providers and patients. Reimbursement rates are notoriously low and many providers cannot afford to sustain their practices while taking MassHealth. With this focus on integration, MassHealth has an incredible opportunity to restructure reimbursement to increase provider participation in MassHealth, and in turn, increase patient access. With payment methodologies that are fair and transparent, MassHealth can create a system that works for clients and providers.</w:t>
      </w:r>
    </w:p>
    <w:p w:rsidR="002C5025" w:rsidRDefault="002C5025">
      <w:pPr>
        <w:pStyle w:val="BodyText"/>
        <w:kinsoku w:val="0"/>
        <w:overflowPunct w:val="0"/>
        <w:spacing w:before="11"/>
        <w:rPr>
          <w:rFonts w:ascii="Cambria" w:hAnsi="Cambria" w:cs="Cambria"/>
          <w:sz w:val="24"/>
          <w:szCs w:val="24"/>
        </w:rPr>
      </w:pPr>
    </w:p>
    <w:p w:rsidR="002C5025" w:rsidRDefault="002C5025">
      <w:pPr>
        <w:pStyle w:val="BodyText"/>
        <w:kinsoku w:val="0"/>
        <w:overflowPunct w:val="0"/>
        <w:ind w:left="1080" w:right="1158"/>
        <w:rPr>
          <w:rFonts w:ascii="Cambria" w:hAnsi="Cambria" w:cs="Cambria"/>
          <w:sz w:val="25"/>
          <w:szCs w:val="25"/>
        </w:rPr>
      </w:pPr>
      <w:r>
        <w:rPr>
          <w:rFonts w:ascii="Cambria" w:hAnsi="Cambria" w:cs="Cambria"/>
          <w:sz w:val="25"/>
          <w:szCs w:val="25"/>
        </w:rPr>
        <w:t>The negotiation and payment process to providers should be transparent and equitable -- and needs to be communicated in those same ways to clinicians. Mental health clinicians working in the community provide critical care and deserve clear and fair payment and negotiation structures. The current carve</w:t>
      </w:r>
      <w:r w:rsidR="00B27397">
        <w:rPr>
          <w:rFonts w:ascii="Cambria" w:hAnsi="Cambria" w:cs="Cambria"/>
          <w:sz w:val="25"/>
          <w:szCs w:val="25"/>
        </w:rPr>
        <w:t xml:space="preserve"> </w:t>
      </w:r>
      <w:r>
        <w:rPr>
          <w:rFonts w:ascii="Cambria" w:hAnsi="Cambria" w:cs="Cambria"/>
          <w:sz w:val="25"/>
          <w:szCs w:val="25"/>
        </w:rPr>
        <w:t>out system is severely lacking in transparency and respect for providers. Changing this ineffective structure could lead to significant improvements to patient access and provider sustainability.</w:t>
      </w:r>
    </w:p>
    <w:p w:rsidR="002C5025" w:rsidRDefault="002C5025">
      <w:pPr>
        <w:pStyle w:val="BodyText"/>
        <w:kinsoku w:val="0"/>
        <w:overflowPunct w:val="0"/>
        <w:spacing w:before="11"/>
        <w:rPr>
          <w:rFonts w:ascii="Cambria" w:hAnsi="Cambria" w:cs="Cambria"/>
          <w:sz w:val="24"/>
          <w:szCs w:val="24"/>
        </w:rPr>
      </w:pPr>
    </w:p>
    <w:p w:rsidR="002C5025" w:rsidRDefault="002C5025">
      <w:pPr>
        <w:pStyle w:val="BodyText"/>
        <w:kinsoku w:val="0"/>
        <w:overflowPunct w:val="0"/>
        <w:ind w:left="1080" w:right="1292"/>
        <w:jc w:val="both"/>
        <w:rPr>
          <w:rFonts w:ascii="Cambria" w:hAnsi="Cambria" w:cs="Cambria"/>
          <w:color w:val="1C1C1C"/>
          <w:sz w:val="25"/>
          <w:szCs w:val="25"/>
        </w:rPr>
      </w:pPr>
      <w:r>
        <w:rPr>
          <w:rFonts w:ascii="Cambria" w:hAnsi="Cambria" w:cs="Cambria"/>
          <w:color w:val="1C1C1C"/>
          <w:sz w:val="25"/>
          <w:szCs w:val="25"/>
        </w:rPr>
        <w:t>In addition to the payment restructuring, we urge MassHealth to truly examine the adequacy of their network. By opening up panels, more clinicians will be able to provide more services to this vulnerable population and increase critical access to outpatient mental health care.</w:t>
      </w:r>
    </w:p>
    <w:p w:rsidR="002C5025" w:rsidRDefault="002C5025">
      <w:pPr>
        <w:pStyle w:val="BodyText"/>
        <w:kinsoku w:val="0"/>
        <w:overflowPunct w:val="0"/>
        <w:ind w:left="1080" w:right="1085"/>
        <w:rPr>
          <w:rFonts w:ascii="Cambria" w:hAnsi="Cambria" w:cs="Cambria"/>
          <w:sz w:val="25"/>
          <w:szCs w:val="25"/>
        </w:rPr>
      </w:pPr>
      <w:proofErr w:type="spellStart"/>
      <w:r>
        <w:rPr>
          <w:rFonts w:ascii="Cambria" w:hAnsi="Cambria" w:cs="Cambria"/>
          <w:sz w:val="25"/>
          <w:szCs w:val="25"/>
        </w:rPr>
        <w:t>CliniciansUNITED</w:t>
      </w:r>
      <w:proofErr w:type="spellEnd"/>
      <w:r>
        <w:rPr>
          <w:rFonts w:ascii="Cambria" w:hAnsi="Cambria" w:cs="Cambria"/>
          <w:sz w:val="25"/>
          <w:szCs w:val="25"/>
        </w:rPr>
        <w:t xml:space="preserve"> recently commissioned the University of Massachusetts Donahue Institute to conduct a study of independent mental health clinicians statewide. The goal was to gain a quantitative sense of the challenges clinicians and their clients face. A particularly alarming finding in the Donahue Institute of UMass survey was that of the 662 clinicians surveyed, 81% had to turn away one or more potential clients in a month. Of those clinicians who had to turn away potential clients, 49% noted that this number increased in the past year. This data</w:t>
      </w:r>
      <w:r>
        <w:rPr>
          <w:rFonts w:ascii="Cambria" w:hAnsi="Cambria" w:cs="Cambria"/>
          <w:spacing w:val="-37"/>
          <w:sz w:val="25"/>
          <w:szCs w:val="25"/>
        </w:rPr>
        <w:t xml:space="preserve"> </w:t>
      </w:r>
      <w:r>
        <w:rPr>
          <w:rFonts w:ascii="Cambria" w:hAnsi="Cambria" w:cs="Cambria"/>
          <w:sz w:val="25"/>
          <w:szCs w:val="25"/>
        </w:rPr>
        <w:t>shows</w:t>
      </w:r>
    </w:p>
    <w:p w:rsidR="002C5025" w:rsidRDefault="00FB027C">
      <w:pPr>
        <w:pStyle w:val="BodyText"/>
        <w:kinsoku w:val="0"/>
        <w:overflowPunct w:val="0"/>
        <w:spacing w:before="11"/>
        <w:rPr>
          <w:rFonts w:ascii="Cambria" w:hAnsi="Cambria" w:cs="Cambria"/>
          <w:sz w:val="21"/>
          <w:szCs w:val="21"/>
        </w:rPr>
      </w:pPr>
      <w:r>
        <w:rPr>
          <w:noProof/>
        </w:rPr>
        <mc:AlternateContent>
          <mc:Choice Requires="wps">
            <w:drawing>
              <wp:anchor distT="0" distB="0" distL="0" distR="0" simplePos="0" relativeHeight="251560448" behindDoc="0" locked="0" layoutInCell="0" allowOverlap="1">
                <wp:simplePos x="0" y="0"/>
                <wp:positionH relativeFrom="page">
                  <wp:posOffset>228600</wp:posOffset>
                </wp:positionH>
                <wp:positionV relativeFrom="paragraph">
                  <wp:posOffset>188595</wp:posOffset>
                </wp:positionV>
                <wp:extent cx="7264400" cy="330200"/>
                <wp:effectExtent l="0" t="0" r="0" b="0"/>
                <wp:wrapTopAndBottom/>
                <wp:docPr id="769" name="Rectangl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6440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520" w:lineRule="atLeast"/>
                            </w:pPr>
                            <w:r>
                              <w:rPr>
                                <w:noProof/>
                              </w:rPr>
                              <w:drawing>
                                <wp:inline distT="0" distB="0" distL="0" distR="0">
                                  <wp:extent cx="7315200" cy="333375"/>
                                  <wp:effectExtent l="0" t="0" r="0" b="952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7315200" cy="333375"/>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6" o:spid="_x0000_s1156" style="position:absolute;margin-left:18pt;margin-top:14.85pt;width:572pt;height:26pt;z-index:25156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" o:allowincell="f" filled="f" stroked="f">
                <v:textbox inset="0,0,0,0">
                  <w:txbxContent>
                    <w:p w:rsidR="007B2B7B" w:rsidRDefault="007B2B7B">
                      <w:pPr>
                        <w:widowControl/>
                        <w:autoSpaceDE/>
                        <w:autoSpaceDN/>
                        <w:adjustRightInd/>
                        <w:spacing w:line="520" w:lineRule="atLeast"/>
                      </w:pPr>
                      <w:r>
                        <w:rPr>
                          <w:noProof/>
                        </w:rPr>
                        <w:drawing>
                          <wp:inline distT="0" distB="0" distL="0" distR="0">
                            <wp:extent cx="7315200" cy="333375"/>
                            <wp:effectExtent l="0" t="0" r="0" b="952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7315200" cy="333375"/>
                                    </a:xfrm>
                                    <a:prstGeom prst="rect">
                                      <a:avLst/>
                                    </a:prstGeom>
                                    <a:noFill/>
                                    <a:ln>
                                      <a:noFill/>
                                    </a:ln>
                                  </pic:spPr>
                                </pic:pic>
                              </a:graphicData>
                            </a:graphic>
                          </wp:inline>
                        </w:drawing>
                      </w:r>
                    </w:p>
                    <w:p w:rsidR="007B2B7B" w:rsidRDefault="007B2B7B"/>
                  </w:txbxContent>
                </v:textbox>
                <w10:wrap type="topAndBottom" anchorx="page"/>
              </v:rect>
            </w:pict>
          </mc:Fallback>
        </mc:AlternateContent>
      </w:r>
    </w:p>
    <w:p w:rsidR="002C5025" w:rsidRDefault="002C5025">
      <w:pPr>
        <w:pStyle w:val="BodyText"/>
        <w:kinsoku w:val="0"/>
        <w:overflowPunct w:val="0"/>
        <w:spacing w:before="11"/>
        <w:rPr>
          <w:rFonts w:ascii="Cambria" w:hAnsi="Cambria" w:cs="Cambria"/>
          <w:sz w:val="21"/>
          <w:szCs w:val="21"/>
        </w:rPr>
        <w:sectPr w:rsidR="002C5025">
          <w:pgSz w:w="12240" w:h="15840"/>
          <w:pgMar w:top="0" w:right="0" w:bottom="0" w:left="0" w:header="720" w:footer="720" w:gutter="0"/>
          <w:cols w:space="720" w:equalWidth="0">
            <w:col w:w="12240"/>
          </w:cols>
          <w:noEndnote/>
        </w:sectPr>
      </w:pP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spacing w:before="1"/>
        <w:rPr>
          <w:rFonts w:ascii="Cambria" w:hAnsi="Cambria" w:cs="Cambria"/>
        </w:rPr>
      </w:pPr>
    </w:p>
    <w:p w:rsidR="002C5025" w:rsidRDefault="00FB027C">
      <w:pPr>
        <w:pStyle w:val="BodyText"/>
        <w:kinsoku w:val="0"/>
        <w:overflowPunct w:val="0"/>
        <w:spacing w:before="65"/>
        <w:ind w:left="1080" w:right="1320"/>
        <w:jc w:val="both"/>
        <w:rPr>
          <w:rFonts w:ascii="Cambria" w:hAnsi="Cambria" w:cs="Cambria"/>
          <w:sz w:val="25"/>
          <w:szCs w:val="25"/>
        </w:rPr>
      </w:pPr>
      <w:r>
        <w:rPr>
          <w:noProof/>
        </w:rPr>
        <mc:AlternateContent>
          <mc:Choice Requires="wps">
            <w:drawing>
              <wp:anchor distT="0" distB="0" distL="114300" distR="114300" simplePos="0" relativeHeight="251561472" behindDoc="0" locked="0" layoutInCell="0" allowOverlap="1">
                <wp:simplePos x="0" y="0"/>
                <wp:positionH relativeFrom="page">
                  <wp:posOffset>0</wp:posOffset>
                </wp:positionH>
                <wp:positionV relativeFrom="paragraph">
                  <wp:posOffset>-2099945</wp:posOffset>
                </wp:positionV>
                <wp:extent cx="7772400" cy="1955800"/>
                <wp:effectExtent l="0" t="0" r="0" b="0"/>
                <wp:wrapNone/>
                <wp:docPr id="768"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95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3080" w:lineRule="atLeast"/>
                            </w:pPr>
                            <w:r>
                              <w:rPr>
                                <w:noProof/>
                              </w:rPr>
                              <w:drawing>
                                <wp:inline distT="0" distB="0" distL="0" distR="0">
                                  <wp:extent cx="7772400" cy="1952625"/>
                                  <wp:effectExtent l="0" t="0" r="0" b="952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7772400" cy="1952625"/>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7" o:spid="_x0000_s1157" style="position:absolute;left:0;text-align:left;margin-left:0;margin-top:-165.35pt;width:612pt;height:154pt;z-index:251561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" o:allowincell="f" filled="f" stroked="f">
                <v:textbox inset="0,0,0,0">
                  <w:txbxContent>
                    <w:p w:rsidR="007B2B7B" w:rsidRDefault="007B2B7B">
                      <w:pPr>
                        <w:widowControl/>
                        <w:autoSpaceDE/>
                        <w:autoSpaceDN/>
                        <w:adjustRightInd/>
                        <w:spacing w:line="3080" w:lineRule="atLeast"/>
                      </w:pPr>
                      <w:r>
                        <w:rPr>
                          <w:noProof/>
                        </w:rPr>
                        <w:drawing>
                          <wp:inline distT="0" distB="0" distL="0" distR="0">
                            <wp:extent cx="7772400" cy="1952625"/>
                            <wp:effectExtent l="0" t="0" r="0" b="952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7772400" cy="1952625"/>
                                    </a:xfrm>
                                    <a:prstGeom prst="rect">
                                      <a:avLst/>
                                    </a:prstGeom>
                                    <a:noFill/>
                                    <a:ln>
                                      <a:noFill/>
                                    </a:ln>
                                  </pic:spPr>
                                </pic:pic>
                              </a:graphicData>
                            </a:graphic>
                          </wp:inline>
                        </w:drawing>
                      </w:r>
                    </w:p>
                    <w:p w:rsidR="007B2B7B" w:rsidRDefault="007B2B7B"/>
                  </w:txbxContent>
                </v:textbox>
                <w10:wrap anchorx="page"/>
              </v:rect>
            </w:pict>
          </mc:Fallback>
        </mc:AlternateContent>
      </w:r>
      <w:r w:rsidR="002C5025">
        <w:rPr>
          <w:rFonts w:ascii="Cambria" w:hAnsi="Cambria" w:cs="Cambria"/>
          <w:sz w:val="25"/>
          <w:szCs w:val="25"/>
        </w:rPr>
        <w:t>that people who are seeking care for mental health issues are not getting it, maybe at all, but definitely not in a timely manner. MassHealth has the opportunity to change that statistic for this vulnerable population.</w:t>
      </w:r>
    </w:p>
    <w:p w:rsidR="002C5025" w:rsidRDefault="002C5025">
      <w:pPr>
        <w:pStyle w:val="BodyText"/>
        <w:kinsoku w:val="0"/>
        <w:overflowPunct w:val="0"/>
        <w:spacing w:before="11"/>
        <w:rPr>
          <w:rFonts w:ascii="Cambria" w:hAnsi="Cambria" w:cs="Cambria"/>
          <w:sz w:val="24"/>
          <w:szCs w:val="24"/>
        </w:rPr>
      </w:pPr>
    </w:p>
    <w:p w:rsidR="002C5025" w:rsidRDefault="002C5025">
      <w:pPr>
        <w:pStyle w:val="BodyText"/>
        <w:kinsoku w:val="0"/>
        <w:overflowPunct w:val="0"/>
        <w:ind w:left="1080" w:right="1231"/>
        <w:rPr>
          <w:rFonts w:ascii="Cambria" w:hAnsi="Cambria" w:cs="Cambria"/>
          <w:sz w:val="25"/>
          <w:szCs w:val="25"/>
        </w:rPr>
      </w:pPr>
      <w:r>
        <w:rPr>
          <w:rFonts w:ascii="Cambria" w:hAnsi="Cambria" w:cs="Cambria"/>
          <w:sz w:val="25"/>
          <w:szCs w:val="25"/>
        </w:rPr>
        <w:t>Additionally, we believe this data also points to the need for opening panels. We strongly encourage MassHealth to continually add therapists to their referral networks -- rather than have a closed network that rarely opens up to new therapists. This would ensure that the MassHealth is committed to mental health clinicians practicing in the community. This would also demonstrate the commitment to addressing the real issue of clients not receiving care because of a lack of therapists who take their insurance, which is the current reality in Massachusetts.</w:t>
      </w:r>
    </w:p>
    <w:p w:rsidR="002C5025" w:rsidRDefault="002C5025">
      <w:pPr>
        <w:pStyle w:val="BodyText"/>
        <w:kinsoku w:val="0"/>
        <w:overflowPunct w:val="0"/>
        <w:spacing w:before="11"/>
        <w:rPr>
          <w:rFonts w:ascii="Cambria" w:hAnsi="Cambria" w:cs="Cambria"/>
          <w:sz w:val="24"/>
          <w:szCs w:val="24"/>
        </w:rPr>
      </w:pPr>
    </w:p>
    <w:p w:rsidR="002C5025" w:rsidRDefault="002C5025">
      <w:pPr>
        <w:pStyle w:val="BodyText"/>
        <w:kinsoku w:val="0"/>
        <w:overflowPunct w:val="0"/>
        <w:ind w:left="1079" w:right="1237"/>
        <w:rPr>
          <w:rFonts w:ascii="Cambria" w:hAnsi="Cambria" w:cs="Cambria"/>
          <w:sz w:val="25"/>
          <w:szCs w:val="25"/>
        </w:rPr>
      </w:pPr>
      <w:r>
        <w:rPr>
          <w:rFonts w:ascii="Cambria" w:hAnsi="Cambria" w:cs="Cambria"/>
          <w:sz w:val="25"/>
          <w:szCs w:val="25"/>
        </w:rPr>
        <w:t>Thank you again for the opportunity to provide feedback. We are looking forward to working with you throughout this process.</w:t>
      </w:r>
    </w:p>
    <w:p w:rsidR="002C5025" w:rsidRDefault="002C5025">
      <w:pPr>
        <w:pStyle w:val="BodyText"/>
        <w:kinsoku w:val="0"/>
        <w:overflowPunct w:val="0"/>
        <w:spacing w:before="11"/>
        <w:rPr>
          <w:rFonts w:ascii="Cambria" w:hAnsi="Cambria" w:cs="Cambria"/>
          <w:sz w:val="24"/>
          <w:szCs w:val="24"/>
        </w:rPr>
      </w:pPr>
    </w:p>
    <w:p w:rsidR="002C5025" w:rsidRDefault="002C5025">
      <w:pPr>
        <w:pStyle w:val="BodyText"/>
        <w:kinsoku w:val="0"/>
        <w:overflowPunct w:val="0"/>
        <w:ind w:left="1079" w:right="9729"/>
        <w:rPr>
          <w:rFonts w:ascii="Cambria" w:hAnsi="Cambria" w:cs="Cambria"/>
          <w:sz w:val="25"/>
          <w:szCs w:val="25"/>
        </w:rPr>
      </w:pPr>
      <w:r>
        <w:rPr>
          <w:rFonts w:ascii="Cambria" w:hAnsi="Cambria" w:cs="Cambria"/>
          <w:sz w:val="25"/>
          <w:szCs w:val="25"/>
        </w:rPr>
        <w:t>Sincerely, Melody Hugo</w:t>
      </w:r>
    </w:p>
    <w:p w:rsidR="002C5025" w:rsidRDefault="002C5025">
      <w:pPr>
        <w:pStyle w:val="BodyText"/>
        <w:kinsoku w:val="0"/>
        <w:overflowPunct w:val="0"/>
        <w:spacing w:before="2"/>
        <w:ind w:left="1079" w:right="1443"/>
        <w:rPr>
          <w:rFonts w:ascii="Cambria" w:hAnsi="Cambria" w:cs="Cambria"/>
          <w:sz w:val="25"/>
          <w:szCs w:val="25"/>
        </w:rPr>
      </w:pPr>
      <w:proofErr w:type="spellStart"/>
      <w:r>
        <w:rPr>
          <w:rFonts w:ascii="Cambria" w:hAnsi="Cambria" w:cs="Cambria"/>
          <w:sz w:val="25"/>
          <w:szCs w:val="25"/>
        </w:rPr>
        <w:t>Clinicians</w:t>
      </w:r>
      <w:r>
        <w:rPr>
          <w:rFonts w:ascii="Cambria" w:hAnsi="Cambria" w:cs="Cambria"/>
          <w:i/>
          <w:iCs/>
          <w:sz w:val="25"/>
          <w:szCs w:val="25"/>
        </w:rPr>
        <w:t>UNITED</w:t>
      </w:r>
      <w:proofErr w:type="spellEnd"/>
      <w:r>
        <w:rPr>
          <w:rFonts w:ascii="Cambria" w:hAnsi="Cambria" w:cs="Cambria"/>
          <w:i/>
          <w:iCs/>
          <w:sz w:val="25"/>
          <w:szCs w:val="25"/>
        </w:rPr>
        <w:t xml:space="preserve"> </w:t>
      </w:r>
      <w:r>
        <w:rPr>
          <w:rFonts w:ascii="Cambria" w:hAnsi="Cambria" w:cs="Cambria"/>
          <w:sz w:val="25"/>
          <w:szCs w:val="25"/>
        </w:rPr>
        <w:t>Director</w:t>
      </w: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rPr>
          <w:rFonts w:ascii="Cambria" w:hAnsi="Cambria" w:cs="Cambria"/>
          <w:sz w:val="20"/>
          <w:szCs w:val="20"/>
        </w:rPr>
      </w:pPr>
    </w:p>
    <w:p w:rsidR="002C5025" w:rsidRDefault="00FB027C">
      <w:pPr>
        <w:pStyle w:val="BodyText"/>
        <w:kinsoku w:val="0"/>
        <w:overflowPunct w:val="0"/>
        <w:spacing w:before="10"/>
        <w:rPr>
          <w:rFonts w:ascii="Cambria" w:hAnsi="Cambria" w:cs="Cambria"/>
          <w:sz w:val="26"/>
          <w:szCs w:val="26"/>
        </w:rPr>
      </w:pPr>
      <w:r>
        <w:rPr>
          <w:noProof/>
        </w:rPr>
        <mc:AlternateContent>
          <mc:Choice Requires="wps">
            <w:drawing>
              <wp:anchor distT="0" distB="0" distL="0" distR="0" simplePos="0" relativeHeight="251562496" behindDoc="0" locked="0" layoutInCell="0" allowOverlap="1">
                <wp:simplePos x="0" y="0"/>
                <wp:positionH relativeFrom="page">
                  <wp:posOffset>228600</wp:posOffset>
                </wp:positionH>
                <wp:positionV relativeFrom="paragraph">
                  <wp:posOffset>224790</wp:posOffset>
                </wp:positionV>
                <wp:extent cx="7264400" cy="330200"/>
                <wp:effectExtent l="0" t="0" r="0" b="0"/>
                <wp:wrapTopAndBottom/>
                <wp:docPr id="767"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6440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520" w:lineRule="atLeast"/>
                            </w:pPr>
                            <w:r>
                              <w:rPr>
                                <w:noProof/>
                              </w:rPr>
                              <w:drawing>
                                <wp:inline distT="0" distB="0" distL="0" distR="0">
                                  <wp:extent cx="7315200" cy="333375"/>
                                  <wp:effectExtent l="0" t="0" r="0" b="952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7315200" cy="333375"/>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8" o:spid="_x0000_s1158" style="position:absolute;margin-left:18pt;margin-top:17.7pt;width:572pt;height:26pt;z-index:25156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" o:allowincell="f" filled="f" stroked="f">
                <v:textbox inset="0,0,0,0">
                  <w:txbxContent>
                    <w:p w:rsidR="007B2B7B" w:rsidRDefault="007B2B7B">
                      <w:pPr>
                        <w:widowControl/>
                        <w:autoSpaceDE/>
                        <w:autoSpaceDN/>
                        <w:adjustRightInd/>
                        <w:spacing w:line="520" w:lineRule="atLeast"/>
                      </w:pPr>
                      <w:r>
                        <w:rPr>
                          <w:noProof/>
                        </w:rPr>
                        <w:drawing>
                          <wp:inline distT="0" distB="0" distL="0" distR="0">
                            <wp:extent cx="7315200" cy="333375"/>
                            <wp:effectExtent l="0" t="0" r="0" b="952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7315200" cy="333375"/>
                                    </a:xfrm>
                                    <a:prstGeom prst="rect">
                                      <a:avLst/>
                                    </a:prstGeom>
                                    <a:noFill/>
                                    <a:ln>
                                      <a:noFill/>
                                    </a:ln>
                                  </pic:spPr>
                                </pic:pic>
                              </a:graphicData>
                            </a:graphic>
                          </wp:inline>
                        </w:drawing>
                      </w:r>
                    </w:p>
                    <w:p w:rsidR="007B2B7B" w:rsidRDefault="007B2B7B"/>
                  </w:txbxContent>
                </v:textbox>
                <w10:wrap type="topAndBottom" anchorx="page"/>
              </v:rect>
            </w:pict>
          </mc:Fallback>
        </mc:AlternateContent>
      </w:r>
    </w:p>
    <w:p w:rsidR="002C5025" w:rsidRDefault="002C5025">
      <w:pPr>
        <w:pStyle w:val="BodyText"/>
        <w:kinsoku w:val="0"/>
        <w:overflowPunct w:val="0"/>
        <w:spacing w:before="10"/>
        <w:rPr>
          <w:rFonts w:ascii="Cambria" w:hAnsi="Cambria" w:cs="Cambria"/>
          <w:sz w:val="26"/>
          <w:szCs w:val="26"/>
        </w:rPr>
        <w:sectPr w:rsidR="002C5025">
          <w:pgSz w:w="12240" w:h="15840"/>
          <w:pgMar w:top="0" w:right="0" w:bottom="0" w:left="0" w:header="720" w:footer="720" w:gutter="0"/>
          <w:cols w:space="720"/>
          <w:noEndnote/>
        </w:sectPr>
      </w:pPr>
    </w:p>
    <w:p w:rsidR="002C5025" w:rsidRDefault="00FB027C">
      <w:pPr>
        <w:pStyle w:val="BodyText"/>
        <w:kinsoku w:val="0"/>
        <w:overflowPunct w:val="0"/>
        <w:ind w:left="120"/>
        <w:rPr>
          <w:rFonts w:ascii="Cambria" w:hAnsi="Cambria" w:cs="Cambria"/>
          <w:sz w:val="20"/>
          <w:szCs w:val="20"/>
        </w:rPr>
      </w:pPr>
      <w:r>
        <w:rPr>
          <w:rFonts w:ascii="Cambria" w:hAnsi="Cambria" w:cs="Cambria"/>
          <w:noProof/>
          <w:sz w:val="20"/>
          <w:szCs w:val="20"/>
        </w:rPr>
        <w:lastRenderedPageBreak/>
        <w:drawing>
          <wp:inline distT="0" distB="0" distL="0" distR="0">
            <wp:extent cx="571500" cy="581025"/>
            <wp:effectExtent l="0" t="0" r="0" b="952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71500" cy="581025"/>
                    </a:xfrm>
                    <a:prstGeom prst="rect">
                      <a:avLst/>
                    </a:prstGeom>
                    <a:noFill/>
                    <a:ln>
                      <a:noFill/>
                    </a:ln>
                  </pic:spPr>
                </pic:pic>
              </a:graphicData>
            </a:graphic>
          </wp:inline>
        </w:drawing>
      </w: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spacing w:before="5"/>
        <w:rPr>
          <w:rFonts w:ascii="Cambria" w:hAnsi="Cambria" w:cs="Cambria"/>
          <w:sz w:val="19"/>
          <w:szCs w:val="19"/>
        </w:rPr>
      </w:pPr>
    </w:p>
    <w:p w:rsidR="002C5025" w:rsidRDefault="002C5025">
      <w:pPr>
        <w:pStyle w:val="BodyText"/>
        <w:kinsoku w:val="0"/>
        <w:overflowPunct w:val="0"/>
        <w:ind w:left="120" w:right="296"/>
      </w:pPr>
      <w:bookmarkStart w:id="88" w:name="CCC's_Comments_on_Draft_1115_Waiver"/>
      <w:bookmarkEnd w:id="88"/>
      <w:r>
        <w:t>July 15, 2016</w:t>
      </w:r>
    </w:p>
    <w:p w:rsidR="002C5025" w:rsidRDefault="002C5025">
      <w:pPr>
        <w:pStyle w:val="BodyText"/>
        <w:kinsoku w:val="0"/>
        <w:overflowPunct w:val="0"/>
      </w:pPr>
    </w:p>
    <w:p w:rsidR="002C5025" w:rsidRDefault="002C5025">
      <w:pPr>
        <w:pStyle w:val="BodyText"/>
        <w:kinsoku w:val="0"/>
        <w:overflowPunct w:val="0"/>
        <w:spacing w:before="8"/>
        <w:rPr>
          <w:sz w:val="29"/>
          <w:szCs w:val="29"/>
        </w:rPr>
      </w:pPr>
    </w:p>
    <w:p w:rsidR="002C5025" w:rsidRDefault="002C5025">
      <w:pPr>
        <w:pStyle w:val="BodyText"/>
        <w:kinsoku w:val="0"/>
        <w:overflowPunct w:val="0"/>
        <w:spacing w:before="1"/>
        <w:ind w:left="120" w:right="296"/>
      </w:pPr>
      <w:r>
        <w:t>Dear Assistant Secretary Tsai:</w:t>
      </w:r>
    </w:p>
    <w:p w:rsidR="002C5025" w:rsidRDefault="002C5025">
      <w:pPr>
        <w:pStyle w:val="BodyText"/>
        <w:kinsoku w:val="0"/>
        <w:overflowPunct w:val="0"/>
        <w:spacing w:before="180" w:line="259" w:lineRule="auto"/>
        <w:ind w:left="119" w:right="97"/>
      </w:pPr>
      <w:r>
        <w:t>Thank you for offering a comment period on the draft 1115 Waiver Proposal to CMS. The work that you, your colleagues and the entire Governor Baker administration has taken with regards to this work is creative, smart, innovative and incredibly focused on the needs of the state's most vulnerable populations. We applaud you for these efforts and we very much look forward to partnering with you to bring this progressive vision to a successful reality.</w:t>
      </w:r>
    </w:p>
    <w:p w:rsidR="002C5025" w:rsidRDefault="002C5025">
      <w:pPr>
        <w:pStyle w:val="BodyText"/>
        <w:kinsoku w:val="0"/>
        <w:overflowPunct w:val="0"/>
        <w:spacing w:before="159" w:line="259" w:lineRule="auto"/>
        <w:ind w:left="118" w:right="296" w:firstLine="1"/>
      </w:pPr>
      <w:r>
        <w:t>The table below contains our feedback. Please do not hesitate to reach out for any clarity you need on any of the below.</w:t>
      </w:r>
    </w:p>
    <w:p w:rsidR="002C5025" w:rsidRDefault="002C5025">
      <w:pPr>
        <w:pStyle w:val="BodyText"/>
        <w:kinsoku w:val="0"/>
        <w:overflowPunct w:val="0"/>
        <w:spacing w:before="159"/>
        <w:ind w:left="118" w:right="296"/>
      </w:pPr>
      <w:r>
        <w:t>Best Regards,</w:t>
      </w:r>
    </w:p>
    <w:p w:rsidR="002C5025" w:rsidRDefault="002C5025">
      <w:pPr>
        <w:pStyle w:val="BodyText"/>
        <w:kinsoku w:val="0"/>
        <w:overflowPunct w:val="0"/>
      </w:pPr>
    </w:p>
    <w:p w:rsidR="002C5025" w:rsidRDefault="002C5025">
      <w:pPr>
        <w:pStyle w:val="BodyText"/>
        <w:kinsoku w:val="0"/>
        <w:overflowPunct w:val="0"/>
        <w:spacing w:before="8"/>
        <w:rPr>
          <w:sz w:val="29"/>
          <w:szCs w:val="29"/>
        </w:rPr>
      </w:pPr>
    </w:p>
    <w:p w:rsidR="002C5025" w:rsidRDefault="002C5025">
      <w:pPr>
        <w:pStyle w:val="BodyText"/>
        <w:kinsoku w:val="0"/>
        <w:overflowPunct w:val="0"/>
        <w:spacing w:before="1" w:line="259" w:lineRule="auto"/>
        <w:ind w:left="119" w:right="7531"/>
      </w:pPr>
      <w:r>
        <w:t>Christina Severin President &amp; CEO</w:t>
      </w:r>
    </w:p>
    <w:p w:rsidR="002C5025" w:rsidRDefault="002C5025">
      <w:pPr>
        <w:pStyle w:val="BodyText"/>
        <w:kinsoku w:val="0"/>
        <w:overflowPunct w:val="0"/>
        <w:spacing w:before="10"/>
        <w:rPr>
          <w:sz w:val="13"/>
          <w:szCs w:val="13"/>
        </w:rPr>
      </w:pPr>
    </w:p>
    <w:tbl>
      <w:tblPr>
        <w:tblW w:w="0" w:type="auto"/>
        <w:tblInd w:w="111" w:type="dxa"/>
        <w:tblLayout w:type="fixed"/>
        <w:tblCellMar>
          <w:left w:w="0" w:type="dxa"/>
          <w:right w:w="0" w:type="dxa"/>
        </w:tblCellMar>
        <w:tblLook w:val="0000" w:firstRow="0" w:lastRow="0" w:firstColumn="0" w:lastColumn="0" w:noHBand="0" w:noVBand="0"/>
      </w:tblPr>
      <w:tblGrid>
        <w:gridCol w:w="3115"/>
        <w:gridCol w:w="3117"/>
        <w:gridCol w:w="3118"/>
      </w:tblGrid>
      <w:tr w:rsidR="002C5025">
        <w:trPr>
          <w:trHeight w:hRule="exact" w:val="547"/>
        </w:trPr>
        <w:tc>
          <w:tcPr>
            <w:tcW w:w="311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ind w:left="333" w:right="325" w:firstLine="482"/>
              <w:rPr>
                <w:rFonts w:ascii="Times New Roman" w:hAnsi="Times New Roman" w:cs="Times New Roman"/>
              </w:rPr>
            </w:pPr>
            <w:r>
              <w:rPr>
                <w:rFonts w:ascii="Calibri" w:hAnsi="Calibri" w:cs="Calibri"/>
                <w:b/>
                <w:bCs/>
                <w:sz w:val="22"/>
                <w:szCs w:val="22"/>
              </w:rPr>
              <w:t>Section  Number Page number (of 92 pages)</w:t>
            </w:r>
          </w:p>
        </w:tc>
        <w:tc>
          <w:tcPr>
            <w:tcW w:w="3117"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68" w:lineRule="exact"/>
              <w:ind w:left="832" w:right="92"/>
              <w:rPr>
                <w:rFonts w:ascii="Times New Roman" w:hAnsi="Times New Roman" w:cs="Times New Roman"/>
              </w:rPr>
            </w:pPr>
            <w:r>
              <w:rPr>
                <w:rFonts w:ascii="Calibri" w:hAnsi="Calibri" w:cs="Calibri"/>
                <w:b/>
                <w:bCs/>
                <w:sz w:val="22"/>
                <w:szCs w:val="22"/>
              </w:rPr>
              <w:t>Waiver Content</w:t>
            </w:r>
          </w:p>
        </w:tc>
        <w:tc>
          <w:tcPr>
            <w:tcW w:w="3118"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68" w:lineRule="exact"/>
              <w:ind w:left="866" w:right="92"/>
              <w:rPr>
                <w:rFonts w:ascii="Times New Roman" w:hAnsi="Times New Roman" w:cs="Times New Roman"/>
              </w:rPr>
            </w:pPr>
            <w:r>
              <w:rPr>
                <w:rFonts w:ascii="Calibri" w:hAnsi="Calibri" w:cs="Calibri"/>
                <w:b/>
                <w:bCs/>
                <w:sz w:val="22"/>
                <w:szCs w:val="22"/>
              </w:rPr>
              <w:t>CCC's feedback</w:t>
            </w:r>
          </w:p>
        </w:tc>
      </w:tr>
      <w:tr w:rsidR="002C5025">
        <w:trPr>
          <w:trHeight w:hRule="exact" w:val="1085"/>
        </w:trPr>
        <w:tc>
          <w:tcPr>
            <w:tcW w:w="311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ind w:left="105" w:right="1153"/>
              <w:rPr>
                <w:rFonts w:ascii="Times New Roman" w:hAnsi="Times New Roman" w:cs="Times New Roman"/>
              </w:rPr>
            </w:pPr>
            <w:r>
              <w:rPr>
                <w:rFonts w:ascii="Calibri" w:hAnsi="Calibri" w:cs="Calibri"/>
                <w:sz w:val="22"/>
                <w:szCs w:val="22"/>
              </w:rPr>
              <w:t>Executive Summary 5</w:t>
            </w:r>
          </w:p>
        </w:tc>
        <w:tc>
          <w:tcPr>
            <w:tcW w:w="3117"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ind w:left="105" w:right="92"/>
              <w:rPr>
                <w:rFonts w:ascii="Times New Roman" w:hAnsi="Times New Roman" w:cs="Times New Roman"/>
              </w:rPr>
            </w:pPr>
            <w:r>
              <w:rPr>
                <w:rFonts w:ascii="Calibri" w:hAnsi="Calibri" w:cs="Calibri"/>
                <w:sz w:val="22"/>
                <w:szCs w:val="22"/>
              </w:rPr>
              <w:t>An MCO must demonstrate competencies and readiness in these areas before it takes on accountability for LTSS</w:t>
            </w:r>
          </w:p>
        </w:tc>
        <w:tc>
          <w:tcPr>
            <w:tcW w:w="3118"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ind w:left="105" w:right="92"/>
              <w:rPr>
                <w:rFonts w:ascii="Times New Roman" w:hAnsi="Times New Roman" w:cs="Times New Roman"/>
              </w:rPr>
            </w:pPr>
            <w:r>
              <w:rPr>
                <w:rFonts w:ascii="Calibri" w:hAnsi="Calibri" w:cs="Calibri"/>
                <w:sz w:val="22"/>
                <w:szCs w:val="22"/>
              </w:rPr>
              <w:t>This option should also become available for high-performing Model B ACOs.</w:t>
            </w:r>
          </w:p>
        </w:tc>
      </w:tr>
      <w:tr w:rsidR="002C5025">
        <w:trPr>
          <w:trHeight w:hRule="exact" w:val="2158"/>
        </w:trPr>
        <w:tc>
          <w:tcPr>
            <w:tcW w:w="311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64" w:lineRule="exact"/>
              <w:ind w:left="105" w:right="325"/>
              <w:rPr>
                <w:rFonts w:ascii="Calibri" w:hAnsi="Calibri" w:cs="Calibri"/>
                <w:sz w:val="22"/>
                <w:szCs w:val="22"/>
              </w:rPr>
            </w:pPr>
            <w:r>
              <w:rPr>
                <w:rFonts w:ascii="Calibri" w:hAnsi="Calibri" w:cs="Calibri"/>
                <w:sz w:val="22"/>
                <w:szCs w:val="22"/>
              </w:rPr>
              <w:t>Section 3</w:t>
            </w:r>
          </w:p>
          <w:p w:rsidR="002C5025" w:rsidRDefault="002C5025">
            <w:pPr>
              <w:pStyle w:val="TableParagraph"/>
              <w:kinsoku w:val="0"/>
              <w:overflowPunct w:val="0"/>
              <w:spacing w:line="265" w:lineRule="exact"/>
              <w:ind w:left="105" w:right="325"/>
              <w:rPr>
                <w:rFonts w:ascii="Times New Roman" w:hAnsi="Times New Roman" w:cs="Times New Roman"/>
              </w:rPr>
            </w:pPr>
            <w:r>
              <w:rPr>
                <w:rFonts w:ascii="Calibri" w:hAnsi="Calibri" w:cs="Calibri"/>
                <w:sz w:val="22"/>
                <w:szCs w:val="22"/>
              </w:rPr>
              <w:t>21</w:t>
            </w:r>
          </w:p>
        </w:tc>
        <w:tc>
          <w:tcPr>
            <w:tcW w:w="3117"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ind w:left="105" w:right="152"/>
              <w:rPr>
                <w:rFonts w:ascii="Times New Roman" w:hAnsi="Times New Roman" w:cs="Times New Roman"/>
              </w:rPr>
            </w:pPr>
            <w:r>
              <w:rPr>
                <w:rFonts w:ascii="Calibri" w:hAnsi="Calibri" w:cs="Calibri"/>
                <w:sz w:val="22"/>
                <w:szCs w:val="22"/>
              </w:rPr>
              <w:t>Additionally, MassHealth will establish an advocate and member advisory group to ensure that members will have an appropriate forum to provide input to support</w:t>
            </w:r>
            <w:r>
              <w:rPr>
                <w:rFonts w:ascii="Calibri" w:hAnsi="Calibri" w:cs="Calibri"/>
                <w:spacing w:val="-23"/>
                <w:sz w:val="22"/>
                <w:szCs w:val="22"/>
              </w:rPr>
              <w:t xml:space="preserve"> </w:t>
            </w:r>
            <w:r>
              <w:rPr>
                <w:rFonts w:ascii="Calibri" w:hAnsi="Calibri" w:cs="Calibri"/>
                <w:spacing w:val="-3"/>
                <w:sz w:val="22"/>
                <w:szCs w:val="22"/>
              </w:rPr>
              <w:t xml:space="preserve">design, </w:t>
            </w:r>
            <w:r>
              <w:rPr>
                <w:rFonts w:ascii="Calibri" w:hAnsi="Calibri" w:cs="Calibri"/>
                <w:sz w:val="22"/>
                <w:szCs w:val="22"/>
              </w:rPr>
              <w:t>implementation planning and roll-out.</w:t>
            </w:r>
          </w:p>
        </w:tc>
        <w:tc>
          <w:tcPr>
            <w:tcW w:w="3118"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ind w:left="105" w:right="92"/>
              <w:rPr>
                <w:rFonts w:ascii="Times New Roman" w:hAnsi="Times New Roman" w:cs="Times New Roman"/>
              </w:rPr>
            </w:pPr>
            <w:r>
              <w:rPr>
                <w:rFonts w:ascii="Calibri" w:hAnsi="Calibri" w:cs="Calibri"/>
                <w:sz w:val="22"/>
                <w:szCs w:val="22"/>
              </w:rPr>
              <w:t>Can the consumer representative on our board participate in this group for board education and development purposes?</w:t>
            </w:r>
          </w:p>
        </w:tc>
      </w:tr>
      <w:tr w:rsidR="002C5025">
        <w:trPr>
          <w:trHeight w:hRule="exact" w:val="2158"/>
        </w:trPr>
        <w:tc>
          <w:tcPr>
            <w:tcW w:w="311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66" w:lineRule="exact"/>
              <w:ind w:left="105" w:right="325"/>
              <w:rPr>
                <w:rFonts w:ascii="Calibri" w:hAnsi="Calibri" w:cs="Calibri"/>
                <w:sz w:val="22"/>
                <w:szCs w:val="22"/>
              </w:rPr>
            </w:pPr>
            <w:r>
              <w:rPr>
                <w:rFonts w:ascii="Calibri" w:hAnsi="Calibri" w:cs="Calibri"/>
                <w:sz w:val="22"/>
                <w:szCs w:val="22"/>
              </w:rPr>
              <w:t>4.1.2</w:t>
            </w:r>
          </w:p>
          <w:p w:rsidR="002C5025" w:rsidRDefault="002C5025">
            <w:pPr>
              <w:pStyle w:val="TableParagraph"/>
              <w:kinsoku w:val="0"/>
              <w:overflowPunct w:val="0"/>
              <w:spacing w:line="266" w:lineRule="exact"/>
              <w:ind w:left="105" w:right="325"/>
              <w:rPr>
                <w:rFonts w:ascii="Times New Roman" w:hAnsi="Times New Roman" w:cs="Times New Roman"/>
              </w:rPr>
            </w:pPr>
            <w:r>
              <w:rPr>
                <w:rFonts w:ascii="Calibri" w:hAnsi="Calibri" w:cs="Calibri"/>
                <w:sz w:val="22"/>
                <w:szCs w:val="22"/>
              </w:rPr>
              <w:t>25</w:t>
            </w:r>
          </w:p>
        </w:tc>
        <w:tc>
          <w:tcPr>
            <w:tcW w:w="3117"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ind w:left="104" w:right="92"/>
              <w:rPr>
                <w:rFonts w:ascii="Times New Roman" w:hAnsi="Times New Roman" w:cs="Times New Roman"/>
              </w:rPr>
            </w:pPr>
            <w:r>
              <w:rPr>
                <w:rFonts w:ascii="Calibri" w:hAnsi="Calibri" w:cs="Calibri"/>
                <w:sz w:val="22"/>
                <w:szCs w:val="22"/>
              </w:rPr>
              <w:t>All eligible members will enroll in a managed care option and select a primary care provider, as they do today. All eligible members will have the right and opportunity to select their health plan and PCP.</w:t>
            </w:r>
          </w:p>
        </w:tc>
        <w:tc>
          <w:tcPr>
            <w:tcW w:w="3118"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ind w:left="105" w:right="166"/>
              <w:rPr>
                <w:rFonts w:ascii="Times New Roman" w:hAnsi="Times New Roman" w:cs="Times New Roman"/>
              </w:rPr>
            </w:pPr>
            <w:r>
              <w:rPr>
                <w:rFonts w:ascii="Calibri" w:hAnsi="Calibri" w:cs="Calibri"/>
                <w:sz w:val="22"/>
                <w:szCs w:val="22"/>
              </w:rPr>
              <w:t>We believe this should read, “All eligible members will have the right and opportunity to select their health plan and/or PCP”, since picking a Model B ACO is picking his/her PCP, but not a “heath plan”.</w:t>
            </w:r>
          </w:p>
        </w:tc>
      </w:tr>
      <w:tr w:rsidR="002C5025">
        <w:trPr>
          <w:trHeight w:hRule="exact" w:val="550"/>
        </w:trPr>
        <w:tc>
          <w:tcPr>
            <w:tcW w:w="311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before="4" w:line="264" w:lineRule="exact"/>
              <w:ind w:left="105" w:right="325"/>
              <w:rPr>
                <w:rFonts w:ascii="Calibri" w:hAnsi="Calibri" w:cs="Calibri"/>
                <w:sz w:val="22"/>
                <w:szCs w:val="22"/>
              </w:rPr>
            </w:pPr>
            <w:r>
              <w:rPr>
                <w:rFonts w:ascii="Calibri" w:hAnsi="Calibri" w:cs="Calibri"/>
                <w:sz w:val="22"/>
                <w:szCs w:val="22"/>
              </w:rPr>
              <w:t>4.1.4.1</w:t>
            </w:r>
          </w:p>
          <w:p w:rsidR="002C5025" w:rsidRDefault="002C5025">
            <w:pPr>
              <w:pStyle w:val="TableParagraph"/>
              <w:kinsoku w:val="0"/>
              <w:overflowPunct w:val="0"/>
              <w:spacing w:line="264" w:lineRule="exact"/>
              <w:ind w:left="105" w:right="325"/>
              <w:rPr>
                <w:rFonts w:ascii="Times New Roman" w:hAnsi="Times New Roman" w:cs="Times New Roman"/>
              </w:rPr>
            </w:pPr>
            <w:r>
              <w:rPr>
                <w:rFonts w:ascii="Calibri" w:hAnsi="Calibri" w:cs="Calibri"/>
                <w:sz w:val="22"/>
                <w:szCs w:val="22"/>
              </w:rPr>
              <w:t>26</w:t>
            </w:r>
          </w:p>
        </w:tc>
        <w:tc>
          <w:tcPr>
            <w:tcW w:w="3117"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ind w:left="105" w:right="92"/>
              <w:rPr>
                <w:rFonts w:ascii="Times New Roman" w:hAnsi="Times New Roman" w:cs="Times New Roman"/>
              </w:rPr>
            </w:pPr>
            <w:r>
              <w:rPr>
                <w:rFonts w:ascii="Calibri" w:hAnsi="Calibri" w:cs="Calibri"/>
                <w:sz w:val="22"/>
                <w:szCs w:val="22"/>
              </w:rPr>
              <w:t>These tools may include options to take on more advanced</w:t>
            </w:r>
          </w:p>
        </w:tc>
        <w:tc>
          <w:tcPr>
            <w:tcW w:w="3118"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ind w:left="105" w:right="166"/>
              <w:rPr>
                <w:rFonts w:ascii="Times New Roman" w:hAnsi="Times New Roman" w:cs="Times New Roman"/>
              </w:rPr>
            </w:pPr>
            <w:r>
              <w:rPr>
                <w:rFonts w:ascii="Calibri" w:hAnsi="Calibri" w:cs="Calibri"/>
                <w:sz w:val="22"/>
                <w:szCs w:val="22"/>
              </w:rPr>
              <w:t>We strongly desire for withholds to be available to</w:t>
            </w:r>
          </w:p>
        </w:tc>
      </w:tr>
    </w:tbl>
    <w:p w:rsidR="002C5025" w:rsidRDefault="002C5025">
      <w:pPr>
        <w:pStyle w:val="BodyText"/>
        <w:kinsoku w:val="0"/>
        <w:overflowPunct w:val="0"/>
        <w:spacing w:before="1"/>
        <w:rPr>
          <w:sz w:val="29"/>
          <w:szCs w:val="29"/>
        </w:rPr>
      </w:pPr>
    </w:p>
    <w:p w:rsidR="002C5025" w:rsidRDefault="002C5025">
      <w:pPr>
        <w:pStyle w:val="BodyText"/>
        <w:kinsoku w:val="0"/>
        <w:overflowPunct w:val="0"/>
        <w:spacing w:before="74"/>
        <w:ind w:left="2515" w:right="296"/>
        <w:rPr>
          <w:rFonts w:ascii="Arial" w:hAnsi="Arial" w:cs="Arial"/>
          <w:color w:val="1B1B1B"/>
          <w:sz w:val="20"/>
          <w:szCs w:val="20"/>
        </w:rPr>
      </w:pPr>
      <w:r>
        <w:rPr>
          <w:rFonts w:ascii="Arial" w:hAnsi="Arial" w:cs="Arial"/>
          <w:color w:val="1B1B1B"/>
          <w:sz w:val="20"/>
          <w:szCs w:val="20"/>
        </w:rPr>
        <w:t>10 Gove St, East Boston, MA 02128 617-852-4709</w:t>
      </w:r>
    </w:p>
    <w:p w:rsidR="002C5025" w:rsidRDefault="002C5025">
      <w:pPr>
        <w:pStyle w:val="BodyText"/>
        <w:kinsoku w:val="0"/>
        <w:overflowPunct w:val="0"/>
        <w:spacing w:before="74"/>
        <w:ind w:left="2515" w:right="296"/>
        <w:rPr>
          <w:rFonts w:ascii="Arial" w:hAnsi="Arial" w:cs="Arial"/>
          <w:color w:val="1B1B1B"/>
          <w:sz w:val="20"/>
          <w:szCs w:val="20"/>
        </w:rPr>
        <w:sectPr w:rsidR="002C5025">
          <w:pgSz w:w="12240" w:h="15840"/>
          <w:pgMar w:top="720" w:right="1340" w:bottom="280" w:left="1320" w:header="720" w:footer="720" w:gutter="0"/>
          <w:cols w:space="720" w:equalWidth="0">
            <w:col w:w="9580"/>
          </w:cols>
          <w:noEndnote/>
        </w:sectPr>
      </w:pPr>
    </w:p>
    <w:p w:rsidR="002C5025" w:rsidRDefault="00FB027C">
      <w:pPr>
        <w:pStyle w:val="BodyText"/>
        <w:kinsoku w:val="0"/>
        <w:overflowPunct w:val="0"/>
        <w:ind w:left="120"/>
        <w:rPr>
          <w:rFonts w:ascii="Arial" w:hAnsi="Arial" w:cs="Arial"/>
          <w:sz w:val="20"/>
          <w:szCs w:val="20"/>
        </w:rPr>
      </w:pPr>
      <w:r>
        <w:rPr>
          <w:rFonts w:ascii="Arial" w:hAnsi="Arial" w:cs="Arial"/>
          <w:noProof/>
          <w:sz w:val="20"/>
          <w:szCs w:val="20"/>
        </w:rPr>
        <w:lastRenderedPageBreak/>
        <w:drawing>
          <wp:inline distT="0" distB="0" distL="0" distR="0">
            <wp:extent cx="571500" cy="581025"/>
            <wp:effectExtent l="0" t="0" r="0" b="952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71500" cy="581025"/>
                    </a:xfrm>
                    <a:prstGeom prst="rect">
                      <a:avLst/>
                    </a:prstGeom>
                    <a:noFill/>
                    <a:ln>
                      <a:noFill/>
                    </a:ln>
                  </pic:spPr>
                </pic:pic>
              </a:graphicData>
            </a:graphic>
          </wp:inline>
        </w:drawing>
      </w:r>
    </w:p>
    <w:p w:rsidR="002C5025" w:rsidRDefault="002C5025">
      <w:pPr>
        <w:pStyle w:val="BodyText"/>
        <w:kinsoku w:val="0"/>
        <w:overflowPunct w:val="0"/>
        <w:spacing w:before="5"/>
        <w:rPr>
          <w:rFonts w:ascii="Arial" w:hAnsi="Arial" w:cs="Arial"/>
        </w:rPr>
      </w:pPr>
    </w:p>
    <w:tbl>
      <w:tblPr>
        <w:tblW w:w="0" w:type="auto"/>
        <w:tblInd w:w="111" w:type="dxa"/>
        <w:tblLayout w:type="fixed"/>
        <w:tblCellMar>
          <w:left w:w="0" w:type="dxa"/>
          <w:right w:w="0" w:type="dxa"/>
        </w:tblCellMar>
        <w:tblLook w:val="0000" w:firstRow="0" w:lastRow="0" w:firstColumn="0" w:lastColumn="0" w:noHBand="0" w:noVBand="0"/>
      </w:tblPr>
      <w:tblGrid>
        <w:gridCol w:w="3115"/>
        <w:gridCol w:w="3117"/>
        <w:gridCol w:w="3118"/>
      </w:tblGrid>
      <w:tr w:rsidR="002C5025">
        <w:trPr>
          <w:trHeight w:hRule="exact" w:val="1889"/>
        </w:trPr>
        <w:tc>
          <w:tcPr>
            <w:tcW w:w="3115" w:type="dxa"/>
            <w:tcBorders>
              <w:top w:val="single" w:sz="4" w:space="0" w:color="000000"/>
              <w:left w:val="single" w:sz="4" w:space="0" w:color="000000"/>
              <w:bottom w:val="single" w:sz="4" w:space="0" w:color="000000"/>
              <w:right w:val="single" w:sz="4" w:space="0" w:color="000000"/>
            </w:tcBorders>
          </w:tcPr>
          <w:p w:rsidR="002C5025" w:rsidRDefault="002C5025"/>
        </w:tc>
        <w:tc>
          <w:tcPr>
            <w:tcW w:w="3117"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ind w:left="104" w:right="166"/>
              <w:rPr>
                <w:rFonts w:ascii="Times New Roman" w:hAnsi="Times New Roman" w:cs="Times New Roman"/>
              </w:rPr>
            </w:pPr>
            <w:r>
              <w:rPr>
                <w:rFonts w:ascii="Calibri" w:hAnsi="Calibri" w:cs="Calibri"/>
                <w:sz w:val="22"/>
                <w:szCs w:val="22"/>
              </w:rPr>
              <w:t xml:space="preserve">payment models, including forms of </w:t>
            </w:r>
            <w:r>
              <w:rPr>
                <w:rFonts w:ascii="Calibri" w:hAnsi="Calibri" w:cs="Calibri"/>
                <w:spacing w:val="-3"/>
                <w:sz w:val="22"/>
                <w:szCs w:val="22"/>
              </w:rPr>
              <w:t xml:space="preserve">prospective payment </w:t>
            </w:r>
            <w:r>
              <w:rPr>
                <w:rFonts w:ascii="Calibri" w:hAnsi="Calibri" w:cs="Calibri"/>
                <w:sz w:val="22"/>
                <w:szCs w:val="22"/>
              </w:rPr>
              <w:t xml:space="preserve">in which providers may elect to have </w:t>
            </w:r>
            <w:r>
              <w:rPr>
                <w:rFonts w:ascii="Calibri" w:hAnsi="Calibri" w:cs="Calibri"/>
                <w:spacing w:val="-3"/>
                <w:sz w:val="22"/>
                <w:szCs w:val="22"/>
              </w:rPr>
              <w:t xml:space="preserve">some </w:t>
            </w:r>
            <w:r>
              <w:rPr>
                <w:rFonts w:ascii="Calibri" w:hAnsi="Calibri" w:cs="Calibri"/>
                <w:sz w:val="22"/>
                <w:szCs w:val="22"/>
              </w:rPr>
              <w:t>of their fee</w:t>
            </w:r>
            <w:r>
              <w:rPr>
                <w:rFonts w:ascii="Calibri" w:hAnsi="Calibri" w:cs="Calibri"/>
                <w:spacing w:val="-20"/>
                <w:sz w:val="22"/>
                <w:szCs w:val="22"/>
              </w:rPr>
              <w:t xml:space="preserve"> </w:t>
            </w:r>
            <w:r>
              <w:rPr>
                <w:rFonts w:ascii="Calibri" w:hAnsi="Calibri" w:cs="Calibri"/>
                <w:sz w:val="22"/>
                <w:szCs w:val="22"/>
              </w:rPr>
              <w:t xml:space="preserve">schedule payments reduced or </w:t>
            </w:r>
            <w:r>
              <w:rPr>
                <w:rFonts w:ascii="Calibri" w:hAnsi="Calibri" w:cs="Calibri"/>
                <w:spacing w:val="-3"/>
                <w:sz w:val="22"/>
                <w:szCs w:val="22"/>
              </w:rPr>
              <w:t xml:space="preserve">withheld, </w:t>
            </w:r>
            <w:r>
              <w:rPr>
                <w:rFonts w:ascii="Calibri" w:hAnsi="Calibri" w:cs="Calibri"/>
                <w:sz w:val="22"/>
                <w:szCs w:val="22"/>
              </w:rPr>
              <w:t>and instead paid directly to the ACO.</w:t>
            </w:r>
          </w:p>
        </w:tc>
        <w:tc>
          <w:tcPr>
            <w:tcW w:w="3118"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ind w:left="105" w:right="92"/>
              <w:rPr>
                <w:rFonts w:ascii="Times New Roman" w:hAnsi="Times New Roman" w:cs="Times New Roman"/>
              </w:rPr>
            </w:pPr>
            <w:r>
              <w:rPr>
                <w:rFonts w:ascii="Calibri" w:hAnsi="Calibri" w:cs="Calibri"/>
                <w:sz w:val="22"/>
                <w:szCs w:val="22"/>
              </w:rPr>
              <w:t>consenting providers upon go- live. This is critical to align incentives and make internal financial architecture work correctly.</w:t>
            </w:r>
          </w:p>
        </w:tc>
      </w:tr>
      <w:tr w:rsidR="002C5025">
        <w:trPr>
          <w:trHeight w:hRule="exact" w:val="6996"/>
        </w:trPr>
        <w:tc>
          <w:tcPr>
            <w:tcW w:w="311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64" w:lineRule="exact"/>
              <w:ind w:left="105" w:right="325"/>
              <w:rPr>
                <w:rFonts w:ascii="Calibri" w:hAnsi="Calibri" w:cs="Calibri"/>
                <w:sz w:val="22"/>
                <w:szCs w:val="22"/>
              </w:rPr>
            </w:pPr>
            <w:r>
              <w:rPr>
                <w:rFonts w:ascii="Calibri" w:hAnsi="Calibri" w:cs="Calibri"/>
                <w:sz w:val="22"/>
                <w:szCs w:val="22"/>
              </w:rPr>
              <w:t>4.1.4.2</w:t>
            </w:r>
          </w:p>
          <w:p w:rsidR="002C5025" w:rsidRDefault="002C5025">
            <w:pPr>
              <w:pStyle w:val="TableParagraph"/>
              <w:kinsoku w:val="0"/>
              <w:overflowPunct w:val="0"/>
              <w:spacing w:line="265" w:lineRule="exact"/>
              <w:ind w:left="105" w:right="325"/>
              <w:rPr>
                <w:rFonts w:ascii="Times New Roman" w:hAnsi="Times New Roman" w:cs="Times New Roman"/>
              </w:rPr>
            </w:pPr>
            <w:r>
              <w:rPr>
                <w:rFonts w:ascii="Calibri" w:hAnsi="Calibri" w:cs="Calibri"/>
                <w:sz w:val="22"/>
                <w:szCs w:val="22"/>
              </w:rPr>
              <w:t>27</w:t>
            </w:r>
          </w:p>
        </w:tc>
        <w:tc>
          <w:tcPr>
            <w:tcW w:w="3117"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ind w:left="104" w:right="152"/>
              <w:rPr>
                <w:rFonts w:ascii="Times New Roman" w:hAnsi="Times New Roman" w:cs="Times New Roman"/>
              </w:rPr>
            </w:pPr>
            <w:r>
              <w:rPr>
                <w:rFonts w:ascii="Calibri" w:hAnsi="Calibri" w:cs="Calibri"/>
                <w:sz w:val="22"/>
                <w:szCs w:val="22"/>
              </w:rPr>
              <w:t>If an ACO designates a referral circle, that MassHealth approves the enrolled member will not need a primary care referral for any services rendered by a provider in that ACO’s referral circle, making it easier for members to receive coordinated care.</w:t>
            </w:r>
          </w:p>
        </w:tc>
        <w:tc>
          <w:tcPr>
            <w:tcW w:w="3118"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ind w:left="105" w:right="104"/>
              <w:rPr>
                <w:rFonts w:ascii="Calibri" w:hAnsi="Calibri" w:cs="Calibri"/>
                <w:sz w:val="22"/>
                <w:szCs w:val="22"/>
              </w:rPr>
            </w:pPr>
            <w:r>
              <w:rPr>
                <w:rFonts w:ascii="Calibri" w:hAnsi="Calibri" w:cs="Calibri"/>
                <w:sz w:val="22"/>
                <w:szCs w:val="22"/>
              </w:rPr>
              <w:t>We do not believe that taking off all referral requirements is a good tool to promote care coordination. Although this might have theoretical merit, in reality, it promotes unnecessary utilization, regardless of the preferred circle. Our PCPs are not in favor of referral circles.</w:t>
            </w:r>
          </w:p>
          <w:p w:rsidR="002C5025" w:rsidRDefault="002C5025">
            <w:pPr>
              <w:pStyle w:val="TableParagraph"/>
              <w:kinsoku w:val="0"/>
              <w:overflowPunct w:val="0"/>
              <w:spacing w:before="1"/>
              <w:ind w:left="104" w:right="141"/>
              <w:rPr>
                <w:rFonts w:ascii="Calibri" w:hAnsi="Calibri" w:cs="Calibri"/>
                <w:sz w:val="22"/>
                <w:szCs w:val="22"/>
              </w:rPr>
            </w:pPr>
            <w:r>
              <w:rPr>
                <w:rFonts w:ascii="Calibri" w:hAnsi="Calibri" w:cs="Calibri"/>
                <w:sz w:val="22"/>
                <w:szCs w:val="22"/>
              </w:rPr>
              <w:t xml:space="preserve">Preferred specialists </w:t>
            </w:r>
            <w:r>
              <w:rPr>
                <w:rFonts w:ascii="Calibri" w:hAnsi="Calibri" w:cs="Calibri"/>
                <w:spacing w:val="-3"/>
                <w:sz w:val="22"/>
                <w:szCs w:val="22"/>
              </w:rPr>
              <w:t xml:space="preserve">should </w:t>
            </w:r>
            <w:r>
              <w:rPr>
                <w:rFonts w:ascii="Calibri" w:hAnsi="Calibri" w:cs="Calibri"/>
                <w:sz w:val="22"/>
                <w:szCs w:val="22"/>
              </w:rPr>
              <w:t>also be concerned that removing a referral requirement will allow unnecessary care to get to them.  You should keep referrals in place for all non- ACO provided services.</w:t>
            </w:r>
          </w:p>
          <w:p w:rsidR="002C5025" w:rsidRDefault="002C5025">
            <w:pPr>
              <w:pStyle w:val="TableParagraph"/>
              <w:kinsoku w:val="0"/>
              <w:overflowPunct w:val="0"/>
              <w:ind w:left="104" w:right="114"/>
              <w:rPr>
                <w:rFonts w:ascii="Times New Roman" w:hAnsi="Times New Roman" w:cs="Times New Roman"/>
              </w:rPr>
            </w:pPr>
            <w:r>
              <w:rPr>
                <w:rFonts w:ascii="Calibri" w:hAnsi="Calibri" w:cs="Calibri"/>
                <w:sz w:val="22"/>
                <w:szCs w:val="22"/>
              </w:rPr>
              <w:t>However, we are very supportive of adding more meaningful administrative requirements for non-preferred providers (</w:t>
            </w:r>
            <w:proofErr w:type="spellStart"/>
            <w:r>
              <w:rPr>
                <w:rFonts w:ascii="Calibri" w:hAnsi="Calibri" w:cs="Calibri"/>
                <w:sz w:val="22"/>
                <w:szCs w:val="22"/>
              </w:rPr>
              <w:t>eg</w:t>
            </w:r>
            <w:proofErr w:type="spellEnd"/>
            <w:r>
              <w:rPr>
                <w:rFonts w:ascii="Calibri" w:hAnsi="Calibri" w:cs="Calibri"/>
                <w:sz w:val="22"/>
                <w:szCs w:val="22"/>
              </w:rPr>
              <w:t>; prior authorization or ACO generated referrals with unique numerical sequencing), and we encourage you to seek approval to do so in this Waiver Request.</w:t>
            </w:r>
          </w:p>
        </w:tc>
      </w:tr>
      <w:tr w:rsidR="002C5025">
        <w:trPr>
          <w:trHeight w:hRule="exact" w:val="2426"/>
        </w:trPr>
        <w:tc>
          <w:tcPr>
            <w:tcW w:w="311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64" w:lineRule="exact"/>
              <w:ind w:left="105" w:right="325"/>
              <w:rPr>
                <w:rFonts w:ascii="Calibri" w:hAnsi="Calibri" w:cs="Calibri"/>
                <w:sz w:val="22"/>
                <w:szCs w:val="22"/>
              </w:rPr>
            </w:pPr>
            <w:r>
              <w:rPr>
                <w:rFonts w:ascii="Calibri" w:hAnsi="Calibri" w:cs="Calibri"/>
                <w:sz w:val="22"/>
                <w:szCs w:val="22"/>
              </w:rPr>
              <w:t>4.1.4.3</w:t>
            </w:r>
          </w:p>
          <w:p w:rsidR="002C5025" w:rsidRDefault="002C5025">
            <w:pPr>
              <w:pStyle w:val="TableParagraph"/>
              <w:kinsoku w:val="0"/>
              <w:overflowPunct w:val="0"/>
              <w:spacing w:line="265" w:lineRule="exact"/>
              <w:ind w:left="105" w:right="325"/>
              <w:rPr>
                <w:rFonts w:ascii="Times New Roman" w:hAnsi="Times New Roman" w:cs="Times New Roman"/>
              </w:rPr>
            </w:pPr>
            <w:r>
              <w:rPr>
                <w:rFonts w:ascii="Calibri" w:hAnsi="Calibri" w:cs="Calibri"/>
                <w:sz w:val="22"/>
                <w:szCs w:val="22"/>
              </w:rPr>
              <w:t>27</w:t>
            </w:r>
          </w:p>
        </w:tc>
        <w:tc>
          <w:tcPr>
            <w:tcW w:w="3117"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ind w:left="105" w:right="92"/>
              <w:rPr>
                <w:rFonts w:ascii="Times New Roman" w:hAnsi="Times New Roman" w:cs="Times New Roman"/>
              </w:rPr>
            </w:pPr>
            <w:r>
              <w:rPr>
                <w:rFonts w:ascii="Calibri" w:hAnsi="Calibri" w:cs="Calibri"/>
                <w:sz w:val="22"/>
                <w:szCs w:val="22"/>
              </w:rPr>
              <w:t>Model B ACOs must have a repayment mechanism – a line of credit, restricted capital reserve, or performance bond – to ensure they can bear the financial responsibilities of the ACO risk model.</w:t>
            </w:r>
          </w:p>
        </w:tc>
        <w:tc>
          <w:tcPr>
            <w:tcW w:w="3118"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ind w:left="105" w:right="160"/>
              <w:rPr>
                <w:rFonts w:ascii="Times New Roman" w:hAnsi="Times New Roman" w:cs="Times New Roman"/>
              </w:rPr>
            </w:pPr>
            <w:r>
              <w:rPr>
                <w:rFonts w:ascii="Calibri" w:hAnsi="Calibri" w:cs="Calibri"/>
                <w:sz w:val="22"/>
                <w:szCs w:val="22"/>
              </w:rPr>
              <w:t xml:space="preserve">MassHealth must be able to implement withholds upon go- live as this can be an internal </w:t>
            </w:r>
            <w:r>
              <w:rPr>
                <w:rFonts w:ascii="Calibri" w:hAnsi="Calibri" w:cs="Calibri"/>
                <w:spacing w:val="-3"/>
                <w:sz w:val="22"/>
                <w:szCs w:val="22"/>
              </w:rPr>
              <w:t xml:space="preserve">strategy </w:t>
            </w:r>
            <w:r>
              <w:rPr>
                <w:rFonts w:ascii="Calibri" w:hAnsi="Calibri" w:cs="Calibri"/>
                <w:sz w:val="22"/>
                <w:szCs w:val="22"/>
              </w:rPr>
              <w:t xml:space="preserve">to create a </w:t>
            </w:r>
            <w:r>
              <w:rPr>
                <w:rFonts w:ascii="Calibri" w:hAnsi="Calibri" w:cs="Calibri"/>
                <w:spacing w:val="-3"/>
                <w:sz w:val="22"/>
                <w:szCs w:val="22"/>
              </w:rPr>
              <w:t xml:space="preserve">reserve </w:t>
            </w:r>
            <w:r>
              <w:rPr>
                <w:rFonts w:ascii="Calibri" w:hAnsi="Calibri" w:cs="Calibri"/>
                <w:sz w:val="22"/>
                <w:szCs w:val="22"/>
              </w:rPr>
              <w:t>fund for funding a portion of repayment obligations (</w:t>
            </w:r>
            <w:proofErr w:type="spellStart"/>
            <w:r>
              <w:rPr>
                <w:rFonts w:ascii="Calibri" w:hAnsi="Calibri" w:cs="Calibri"/>
                <w:sz w:val="22"/>
                <w:szCs w:val="22"/>
              </w:rPr>
              <w:t>ie</w:t>
            </w:r>
            <w:proofErr w:type="spellEnd"/>
            <w:r>
              <w:rPr>
                <w:rFonts w:ascii="Calibri" w:hAnsi="Calibri" w:cs="Calibri"/>
                <w:sz w:val="22"/>
                <w:szCs w:val="22"/>
              </w:rPr>
              <w:t>: an ACO PCP claims withhold). We would like to be able to select the amount from 1% up to</w:t>
            </w:r>
            <w:r>
              <w:rPr>
                <w:rFonts w:ascii="Calibri" w:hAnsi="Calibri" w:cs="Calibri"/>
                <w:spacing w:val="-34"/>
                <w:sz w:val="22"/>
                <w:szCs w:val="22"/>
              </w:rPr>
              <w:t xml:space="preserve"> </w:t>
            </w:r>
            <w:r>
              <w:rPr>
                <w:rFonts w:ascii="Calibri" w:hAnsi="Calibri" w:cs="Calibri"/>
                <w:sz w:val="22"/>
                <w:szCs w:val="22"/>
              </w:rPr>
              <w:t>15%.</w:t>
            </w:r>
          </w:p>
        </w:tc>
      </w:tr>
      <w:tr w:rsidR="002C5025">
        <w:trPr>
          <w:trHeight w:hRule="exact" w:val="1097"/>
        </w:trPr>
        <w:tc>
          <w:tcPr>
            <w:tcW w:w="311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64" w:lineRule="exact"/>
              <w:ind w:left="105" w:right="325"/>
              <w:rPr>
                <w:rFonts w:ascii="Calibri" w:hAnsi="Calibri" w:cs="Calibri"/>
                <w:sz w:val="22"/>
                <w:szCs w:val="22"/>
              </w:rPr>
            </w:pPr>
            <w:r>
              <w:rPr>
                <w:rFonts w:ascii="Calibri" w:hAnsi="Calibri" w:cs="Calibri"/>
                <w:sz w:val="22"/>
                <w:szCs w:val="22"/>
              </w:rPr>
              <w:t>4.1.6</w:t>
            </w:r>
          </w:p>
          <w:p w:rsidR="002C5025" w:rsidRDefault="002C5025">
            <w:pPr>
              <w:pStyle w:val="TableParagraph"/>
              <w:kinsoku w:val="0"/>
              <w:overflowPunct w:val="0"/>
              <w:spacing w:line="265" w:lineRule="exact"/>
              <w:ind w:left="105" w:right="325"/>
              <w:rPr>
                <w:rFonts w:ascii="Times New Roman" w:hAnsi="Times New Roman" w:cs="Times New Roman"/>
              </w:rPr>
            </w:pPr>
            <w:r>
              <w:rPr>
                <w:rFonts w:ascii="Calibri" w:hAnsi="Calibri" w:cs="Calibri"/>
                <w:sz w:val="22"/>
                <w:szCs w:val="22"/>
              </w:rPr>
              <w:t>28</w:t>
            </w:r>
          </w:p>
        </w:tc>
        <w:tc>
          <w:tcPr>
            <w:tcW w:w="3117"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numPr>
                <w:ilvl w:val="0"/>
                <w:numId w:val="74"/>
              </w:numPr>
              <w:tabs>
                <w:tab w:val="left" w:pos="826"/>
              </w:tabs>
              <w:kinsoku w:val="0"/>
              <w:overflowPunct w:val="0"/>
              <w:ind w:right="417"/>
              <w:rPr>
                <w:rFonts w:ascii="Times New Roman" w:hAnsi="Times New Roman" w:cs="Times New Roman"/>
              </w:rPr>
            </w:pPr>
            <w:r>
              <w:rPr>
                <w:rFonts w:ascii="Calibri" w:hAnsi="Calibri" w:cs="Calibri"/>
                <w:sz w:val="22"/>
                <w:szCs w:val="22"/>
              </w:rPr>
              <w:t>Accelerate the readiness work that ACOs are</w:t>
            </w:r>
            <w:r>
              <w:rPr>
                <w:rFonts w:ascii="Calibri" w:hAnsi="Calibri" w:cs="Calibri"/>
                <w:spacing w:val="-21"/>
                <w:sz w:val="22"/>
                <w:szCs w:val="22"/>
              </w:rPr>
              <w:t xml:space="preserve"> </w:t>
            </w:r>
            <w:r>
              <w:rPr>
                <w:rFonts w:ascii="Calibri" w:hAnsi="Calibri" w:cs="Calibri"/>
                <w:sz w:val="22"/>
                <w:szCs w:val="22"/>
              </w:rPr>
              <w:t>performing during this</w:t>
            </w:r>
            <w:r>
              <w:rPr>
                <w:rFonts w:ascii="Calibri" w:hAnsi="Calibri" w:cs="Calibri"/>
                <w:spacing w:val="-21"/>
                <w:sz w:val="22"/>
                <w:szCs w:val="22"/>
              </w:rPr>
              <w:t xml:space="preserve"> </w:t>
            </w:r>
            <w:r>
              <w:rPr>
                <w:rFonts w:ascii="Calibri" w:hAnsi="Calibri" w:cs="Calibri"/>
                <w:sz w:val="22"/>
                <w:szCs w:val="22"/>
              </w:rPr>
              <w:t>period</w:t>
            </w:r>
          </w:p>
        </w:tc>
        <w:tc>
          <w:tcPr>
            <w:tcW w:w="3118"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ind w:left="105" w:right="92"/>
              <w:rPr>
                <w:rFonts w:ascii="Times New Roman" w:hAnsi="Times New Roman" w:cs="Times New Roman"/>
              </w:rPr>
            </w:pPr>
            <w:r>
              <w:rPr>
                <w:rFonts w:ascii="Calibri" w:hAnsi="Calibri" w:cs="Calibri"/>
                <w:sz w:val="22"/>
                <w:szCs w:val="22"/>
              </w:rPr>
              <w:t>We are in full and complete agreement with this statement.</w:t>
            </w:r>
          </w:p>
        </w:tc>
      </w:tr>
    </w:tbl>
    <w:p w:rsidR="002C5025" w:rsidRDefault="002C5025">
      <w:pPr>
        <w:pStyle w:val="BodyText"/>
        <w:kinsoku w:val="0"/>
        <w:overflowPunct w:val="0"/>
        <w:spacing w:before="9"/>
        <w:rPr>
          <w:rFonts w:ascii="Arial" w:hAnsi="Arial" w:cs="Arial"/>
          <w:sz w:val="19"/>
          <w:szCs w:val="19"/>
        </w:rPr>
      </w:pPr>
    </w:p>
    <w:p w:rsidR="002C5025" w:rsidRDefault="002C5025">
      <w:pPr>
        <w:pStyle w:val="BodyText"/>
        <w:kinsoku w:val="0"/>
        <w:overflowPunct w:val="0"/>
        <w:spacing w:before="74"/>
        <w:ind w:left="2515" w:right="296"/>
        <w:rPr>
          <w:rFonts w:ascii="Arial" w:hAnsi="Arial" w:cs="Arial"/>
          <w:color w:val="1B1B1B"/>
          <w:sz w:val="20"/>
          <w:szCs w:val="20"/>
        </w:rPr>
      </w:pPr>
      <w:r>
        <w:rPr>
          <w:rFonts w:ascii="Arial" w:hAnsi="Arial" w:cs="Arial"/>
          <w:color w:val="1B1B1B"/>
          <w:sz w:val="20"/>
          <w:szCs w:val="20"/>
        </w:rPr>
        <w:t>10 Gove St, East Boston, MA 02128 617-852-4709</w:t>
      </w:r>
    </w:p>
    <w:p w:rsidR="002C5025" w:rsidRDefault="002C5025">
      <w:pPr>
        <w:pStyle w:val="BodyText"/>
        <w:kinsoku w:val="0"/>
        <w:overflowPunct w:val="0"/>
        <w:spacing w:before="74"/>
        <w:ind w:left="2515" w:right="296"/>
        <w:rPr>
          <w:rFonts w:ascii="Arial" w:hAnsi="Arial" w:cs="Arial"/>
          <w:color w:val="1B1B1B"/>
          <w:sz w:val="20"/>
          <w:szCs w:val="20"/>
        </w:rPr>
        <w:sectPr w:rsidR="002C5025">
          <w:pgSz w:w="12240" w:h="15840"/>
          <w:pgMar w:top="720" w:right="1340" w:bottom="280" w:left="1320" w:header="720" w:footer="720" w:gutter="0"/>
          <w:cols w:space="720"/>
          <w:noEndnote/>
        </w:sectPr>
      </w:pPr>
    </w:p>
    <w:p w:rsidR="002C5025" w:rsidRDefault="00FB027C">
      <w:pPr>
        <w:pStyle w:val="BodyText"/>
        <w:kinsoku w:val="0"/>
        <w:overflowPunct w:val="0"/>
        <w:ind w:left="120"/>
        <w:rPr>
          <w:rFonts w:ascii="Arial" w:hAnsi="Arial" w:cs="Arial"/>
          <w:sz w:val="20"/>
          <w:szCs w:val="20"/>
        </w:rPr>
      </w:pPr>
      <w:r>
        <w:rPr>
          <w:rFonts w:ascii="Arial" w:hAnsi="Arial" w:cs="Arial"/>
          <w:noProof/>
          <w:sz w:val="20"/>
          <w:szCs w:val="20"/>
        </w:rPr>
        <w:lastRenderedPageBreak/>
        <w:drawing>
          <wp:inline distT="0" distB="0" distL="0" distR="0">
            <wp:extent cx="571500" cy="581025"/>
            <wp:effectExtent l="0" t="0" r="0" b="952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71500" cy="581025"/>
                    </a:xfrm>
                    <a:prstGeom prst="rect">
                      <a:avLst/>
                    </a:prstGeom>
                    <a:noFill/>
                    <a:ln>
                      <a:noFill/>
                    </a:ln>
                  </pic:spPr>
                </pic:pic>
              </a:graphicData>
            </a:graphic>
          </wp:inline>
        </w:drawing>
      </w:r>
    </w:p>
    <w:p w:rsidR="002C5025" w:rsidRDefault="002C5025">
      <w:pPr>
        <w:pStyle w:val="BodyText"/>
        <w:kinsoku w:val="0"/>
        <w:overflowPunct w:val="0"/>
        <w:spacing w:before="5"/>
        <w:rPr>
          <w:rFonts w:ascii="Arial" w:hAnsi="Arial" w:cs="Arial"/>
        </w:rPr>
      </w:pPr>
    </w:p>
    <w:tbl>
      <w:tblPr>
        <w:tblW w:w="0" w:type="auto"/>
        <w:tblInd w:w="111" w:type="dxa"/>
        <w:tblLayout w:type="fixed"/>
        <w:tblCellMar>
          <w:left w:w="0" w:type="dxa"/>
          <w:right w:w="0" w:type="dxa"/>
        </w:tblCellMar>
        <w:tblLook w:val="0000" w:firstRow="0" w:lastRow="0" w:firstColumn="0" w:lastColumn="0" w:noHBand="0" w:noVBand="0"/>
      </w:tblPr>
      <w:tblGrid>
        <w:gridCol w:w="3115"/>
        <w:gridCol w:w="3117"/>
        <w:gridCol w:w="3118"/>
      </w:tblGrid>
      <w:tr w:rsidR="002C5025">
        <w:trPr>
          <w:trHeight w:hRule="exact" w:val="1901"/>
        </w:trPr>
        <w:tc>
          <w:tcPr>
            <w:tcW w:w="311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64" w:lineRule="exact"/>
              <w:ind w:left="105" w:right="325"/>
              <w:rPr>
                <w:rFonts w:ascii="Calibri" w:hAnsi="Calibri" w:cs="Calibri"/>
                <w:sz w:val="22"/>
                <w:szCs w:val="22"/>
              </w:rPr>
            </w:pPr>
            <w:r>
              <w:rPr>
                <w:rFonts w:ascii="Calibri" w:hAnsi="Calibri" w:cs="Calibri"/>
                <w:sz w:val="22"/>
                <w:szCs w:val="22"/>
              </w:rPr>
              <w:t>4.1.6</w:t>
            </w:r>
          </w:p>
          <w:p w:rsidR="002C5025" w:rsidRDefault="002C5025">
            <w:pPr>
              <w:pStyle w:val="TableParagraph"/>
              <w:kinsoku w:val="0"/>
              <w:overflowPunct w:val="0"/>
              <w:spacing w:line="265" w:lineRule="exact"/>
              <w:ind w:left="105" w:right="325"/>
              <w:rPr>
                <w:rFonts w:ascii="Times New Roman" w:hAnsi="Times New Roman" w:cs="Times New Roman"/>
              </w:rPr>
            </w:pPr>
            <w:r>
              <w:rPr>
                <w:rFonts w:ascii="Calibri" w:hAnsi="Calibri" w:cs="Calibri"/>
                <w:sz w:val="22"/>
                <w:szCs w:val="22"/>
              </w:rPr>
              <w:t>28</w:t>
            </w:r>
          </w:p>
        </w:tc>
        <w:tc>
          <w:tcPr>
            <w:tcW w:w="3117"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numPr>
                <w:ilvl w:val="0"/>
                <w:numId w:val="73"/>
              </w:numPr>
              <w:tabs>
                <w:tab w:val="left" w:pos="826"/>
              </w:tabs>
              <w:kinsoku w:val="0"/>
              <w:overflowPunct w:val="0"/>
              <w:ind w:right="313" w:hanging="359"/>
              <w:rPr>
                <w:rFonts w:ascii="Times New Roman" w:hAnsi="Times New Roman" w:cs="Times New Roman"/>
              </w:rPr>
            </w:pPr>
            <w:r>
              <w:rPr>
                <w:rFonts w:ascii="Calibri" w:hAnsi="Calibri" w:cs="Calibri"/>
                <w:sz w:val="22"/>
                <w:szCs w:val="22"/>
              </w:rPr>
              <w:t>Test and refine key systems, operations, and rate-setting functions with a small ACO cohort, to</w:t>
            </w:r>
            <w:r>
              <w:rPr>
                <w:rFonts w:ascii="Calibri" w:hAnsi="Calibri" w:cs="Calibri"/>
                <w:spacing w:val="-12"/>
                <w:sz w:val="22"/>
                <w:szCs w:val="22"/>
              </w:rPr>
              <w:t xml:space="preserve"> </w:t>
            </w:r>
            <w:r>
              <w:rPr>
                <w:rFonts w:ascii="Calibri" w:hAnsi="Calibri" w:cs="Calibri"/>
                <w:spacing w:val="-3"/>
                <w:sz w:val="22"/>
                <w:szCs w:val="22"/>
              </w:rPr>
              <w:t xml:space="preserve">ensure </w:t>
            </w:r>
            <w:r>
              <w:rPr>
                <w:rFonts w:ascii="Calibri" w:hAnsi="Calibri" w:cs="Calibri"/>
                <w:sz w:val="22"/>
                <w:szCs w:val="22"/>
              </w:rPr>
              <w:t xml:space="preserve">readiness for </w:t>
            </w:r>
            <w:r>
              <w:rPr>
                <w:rFonts w:ascii="Calibri" w:hAnsi="Calibri" w:cs="Calibri"/>
                <w:spacing w:val="-2"/>
                <w:sz w:val="22"/>
                <w:szCs w:val="22"/>
              </w:rPr>
              <w:t xml:space="preserve">the </w:t>
            </w:r>
            <w:r>
              <w:rPr>
                <w:rFonts w:ascii="Calibri" w:hAnsi="Calibri" w:cs="Calibri"/>
                <w:sz w:val="22"/>
                <w:szCs w:val="22"/>
              </w:rPr>
              <w:t>full launch in late</w:t>
            </w:r>
            <w:r>
              <w:rPr>
                <w:rFonts w:ascii="Calibri" w:hAnsi="Calibri" w:cs="Calibri"/>
                <w:spacing w:val="-23"/>
                <w:sz w:val="22"/>
                <w:szCs w:val="22"/>
              </w:rPr>
              <w:t xml:space="preserve"> </w:t>
            </w:r>
            <w:r>
              <w:rPr>
                <w:rFonts w:ascii="Calibri" w:hAnsi="Calibri" w:cs="Calibri"/>
                <w:sz w:val="22"/>
                <w:szCs w:val="22"/>
              </w:rPr>
              <w:t>2017</w:t>
            </w:r>
          </w:p>
        </w:tc>
        <w:tc>
          <w:tcPr>
            <w:tcW w:w="3118"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ind w:left="105" w:right="92"/>
              <w:rPr>
                <w:rFonts w:ascii="Times New Roman" w:hAnsi="Times New Roman" w:cs="Times New Roman"/>
              </w:rPr>
            </w:pPr>
            <w:r>
              <w:rPr>
                <w:rFonts w:ascii="Calibri" w:hAnsi="Calibri" w:cs="Calibri"/>
                <w:sz w:val="22"/>
                <w:szCs w:val="22"/>
              </w:rPr>
              <w:t>We are in full and complete agreement with this statement.</w:t>
            </w:r>
          </w:p>
        </w:tc>
      </w:tr>
      <w:tr w:rsidR="002C5025">
        <w:trPr>
          <w:trHeight w:hRule="exact" w:val="1625"/>
        </w:trPr>
        <w:tc>
          <w:tcPr>
            <w:tcW w:w="311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64" w:lineRule="exact"/>
              <w:ind w:left="105" w:right="325"/>
              <w:rPr>
                <w:rFonts w:ascii="Calibri" w:hAnsi="Calibri" w:cs="Calibri"/>
                <w:sz w:val="22"/>
                <w:szCs w:val="22"/>
              </w:rPr>
            </w:pPr>
            <w:r>
              <w:rPr>
                <w:rFonts w:ascii="Calibri" w:hAnsi="Calibri" w:cs="Calibri"/>
                <w:sz w:val="22"/>
                <w:szCs w:val="22"/>
              </w:rPr>
              <w:t>4.1.6.2</w:t>
            </w:r>
          </w:p>
          <w:p w:rsidR="002C5025" w:rsidRDefault="002C5025">
            <w:pPr>
              <w:pStyle w:val="TableParagraph"/>
              <w:kinsoku w:val="0"/>
              <w:overflowPunct w:val="0"/>
              <w:spacing w:line="265" w:lineRule="exact"/>
              <w:ind w:left="105" w:right="325"/>
              <w:rPr>
                <w:rFonts w:ascii="Times New Roman" w:hAnsi="Times New Roman" w:cs="Times New Roman"/>
              </w:rPr>
            </w:pPr>
            <w:r>
              <w:rPr>
                <w:rFonts w:ascii="Calibri" w:hAnsi="Calibri" w:cs="Calibri"/>
                <w:sz w:val="22"/>
                <w:szCs w:val="22"/>
              </w:rPr>
              <w:t>29</w:t>
            </w:r>
          </w:p>
        </w:tc>
        <w:tc>
          <w:tcPr>
            <w:tcW w:w="3117"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ind w:left="105" w:right="85"/>
              <w:rPr>
                <w:rFonts w:ascii="Times New Roman" w:hAnsi="Times New Roman" w:cs="Times New Roman"/>
              </w:rPr>
            </w:pPr>
            <w:r>
              <w:rPr>
                <w:rFonts w:ascii="Calibri" w:hAnsi="Calibri" w:cs="Calibri"/>
                <w:sz w:val="22"/>
                <w:szCs w:val="22"/>
              </w:rPr>
              <w:t>A member in an MCO who is attributed to a Model C ACO will have access to the same network as a member in that MCO who is not attributed to an ACO.</w:t>
            </w:r>
          </w:p>
        </w:tc>
        <w:tc>
          <w:tcPr>
            <w:tcW w:w="3118"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ind w:left="105" w:right="160"/>
              <w:rPr>
                <w:rFonts w:ascii="Times New Roman" w:hAnsi="Times New Roman" w:cs="Times New Roman"/>
              </w:rPr>
            </w:pPr>
            <w:r>
              <w:rPr>
                <w:rFonts w:ascii="Calibri" w:hAnsi="Calibri" w:cs="Calibri"/>
                <w:sz w:val="22"/>
                <w:szCs w:val="22"/>
              </w:rPr>
              <w:t>Does this mean that members in Model C will have access to the MCO’s full network, including Model A networks for that MCO?</w:t>
            </w:r>
          </w:p>
        </w:tc>
      </w:tr>
      <w:tr w:rsidR="002C5025">
        <w:trPr>
          <w:trHeight w:hRule="exact" w:val="3499"/>
        </w:trPr>
        <w:tc>
          <w:tcPr>
            <w:tcW w:w="311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64" w:lineRule="exact"/>
              <w:ind w:left="105" w:right="325"/>
              <w:rPr>
                <w:rFonts w:ascii="Calibri" w:hAnsi="Calibri" w:cs="Calibri"/>
                <w:sz w:val="22"/>
                <w:szCs w:val="22"/>
              </w:rPr>
            </w:pPr>
            <w:r>
              <w:rPr>
                <w:rFonts w:ascii="Calibri" w:hAnsi="Calibri" w:cs="Calibri"/>
                <w:sz w:val="22"/>
                <w:szCs w:val="22"/>
              </w:rPr>
              <w:t>4.1.7</w:t>
            </w:r>
          </w:p>
          <w:p w:rsidR="002C5025" w:rsidRDefault="002C5025">
            <w:pPr>
              <w:pStyle w:val="TableParagraph"/>
              <w:kinsoku w:val="0"/>
              <w:overflowPunct w:val="0"/>
              <w:spacing w:line="265" w:lineRule="exact"/>
              <w:ind w:left="105" w:right="325"/>
              <w:rPr>
                <w:rFonts w:ascii="Times New Roman" w:hAnsi="Times New Roman" w:cs="Times New Roman"/>
              </w:rPr>
            </w:pPr>
            <w:r>
              <w:rPr>
                <w:rFonts w:ascii="Calibri" w:hAnsi="Calibri" w:cs="Calibri"/>
                <w:sz w:val="22"/>
                <w:szCs w:val="22"/>
              </w:rPr>
              <w:t>30</w:t>
            </w:r>
          </w:p>
        </w:tc>
        <w:tc>
          <w:tcPr>
            <w:tcW w:w="3117"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37" w:lineRule="auto"/>
              <w:ind w:left="105" w:right="90"/>
              <w:rPr>
                <w:rFonts w:ascii="Calibri" w:hAnsi="Calibri" w:cs="Calibri"/>
                <w:sz w:val="22"/>
                <w:szCs w:val="22"/>
              </w:rPr>
            </w:pPr>
            <w:r>
              <w:rPr>
                <w:rFonts w:ascii="Calibri" w:hAnsi="Calibri" w:cs="Calibri"/>
                <w:sz w:val="22"/>
                <w:szCs w:val="22"/>
              </w:rPr>
              <w:t>MassHealth’s quality accountability strategy will build on nationally used approaches, including the quality strategies in Medicare’s ACO models.</w:t>
            </w:r>
          </w:p>
          <w:p w:rsidR="002C5025" w:rsidRDefault="002C5025">
            <w:pPr>
              <w:pStyle w:val="TableParagraph"/>
              <w:kinsoku w:val="0"/>
              <w:overflowPunct w:val="0"/>
              <w:ind w:left="105" w:right="152"/>
              <w:rPr>
                <w:rFonts w:ascii="Times New Roman" w:hAnsi="Times New Roman" w:cs="Times New Roman"/>
              </w:rPr>
            </w:pPr>
            <w:r>
              <w:rPr>
                <w:rFonts w:ascii="Calibri" w:hAnsi="Calibri" w:cs="Calibri"/>
                <w:sz w:val="22"/>
                <w:szCs w:val="22"/>
              </w:rPr>
              <w:t>Quality scores will be used to determine ACOs’ ability to receive shared savings and DSRIP payments.</w:t>
            </w:r>
          </w:p>
        </w:tc>
        <w:tc>
          <w:tcPr>
            <w:tcW w:w="3118"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ind w:left="104" w:right="149"/>
              <w:rPr>
                <w:rFonts w:ascii="Times New Roman" w:hAnsi="Times New Roman" w:cs="Times New Roman"/>
              </w:rPr>
            </w:pPr>
            <w:r>
              <w:rPr>
                <w:rFonts w:ascii="Calibri" w:hAnsi="Calibri" w:cs="Calibri"/>
                <w:sz w:val="22"/>
                <w:szCs w:val="22"/>
              </w:rPr>
              <w:t>We understand the methodology for titrating an ACO’s percent share/loss based on quality scores. However, we do not agree that DSRIP payments should also be titrated. Doing so will create a real barrier for underperforming ACO’s to have the financial ability to improve their performance, leading to a downward spiral. We strongly urge you to reconsider this.</w:t>
            </w:r>
          </w:p>
        </w:tc>
      </w:tr>
      <w:tr w:rsidR="002C5025">
        <w:trPr>
          <w:trHeight w:hRule="exact" w:val="5383"/>
        </w:trPr>
        <w:tc>
          <w:tcPr>
            <w:tcW w:w="311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before="4" w:line="264" w:lineRule="exact"/>
              <w:ind w:left="105" w:right="325"/>
              <w:rPr>
                <w:rFonts w:ascii="Calibri" w:hAnsi="Calibri" w:cs="Calibri"/>
                <w:sz w:val="22"/>
                <w:szCs w:val="22"/>
              </w:rPr>
            </w:pPr>
            <w:r>
              <w:rPr>
                <w:rFonts w:ascii="Calibri" w:hAnsi="Calibri" w:cs="Calibri"/>
                <w:sz w:val="22"/>
                <w:szCs w:val="22"/>
              </w:rPr>
              <w:t>4.2.2</w:t>
            </w:r>
          </w:p>
          <w:p w:rsidR="002C5025" w:rsidRDefault="002C5025">
            <w:pPr>
              <w:pStyle w:val="TableParagraph"/>
              <w:kinsoku w:val="0"/>
              <w:overflowPunct w:val="0"/>
              <w:spacing w:line="264" w:lineRule="exact"/>
              <w:ind w:left="105" w:right="325"/>
              <w:rPr>
                <w:rFonts w:ascii="Times New Roman" w:hAnsi="Times New Roman" w:cs="Times New Roman"/>
              </w:rPr>
            </w:pPr>
            <w:r>
              <w:rPr>
                <w:rFonts w:ascii="Calibri" w:hAnsi="Calibri" w:cs="Calibri"/>
                <w:sz w:val="22"/>
                <w:szCs w:val="22"/>
              </w:rPr>
              <w:t>32</w:t>
            </w:r>
          </w:p>
        </w:tc>
        <w:tc>
          <w:tcPr>
            <w:tcW w:w="3117"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ind w:left="105" w:right="104"/>
              <w:rPr>
                <w:rFonts w:ascii="Times New Roman" w:hAnsi="Times New Roman" w:cs="Times New Roman"/>
              </w:rPr>
            </w:pPr>
            <w:r>
              <w:rPr>
                <w:rFonts w:ascii="Calibri" w:hAnsi="Calibri" w:cs="Calibri"/>
                <w:sz w:val="22"/>
                <w:szCs w:val="22"/>
              </w:rPr>
              <w:t>For members with the most significant and complex behavioral health and/or LTSS needs, MassHealth will require ACOs to have formal relationships with organizations known as Behavioral Health Community Partners (BH CPs) and LTSS Community Partners (LTSS CPs), which will be certified by MassHealth.</w:t>
            </w:r>
          </w:p>
        </w:tc>
        <w:tc>
          <w:tcPr>
            <w:tcW w:w="3118"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ind w:left="105" w:right="92"/>
              <w:rPr>
                <w:rFonts w:ascii="Calibri" w:hAnsi="Calibri" w:cs="Calibri"/>
                <w:sz w:val="22"/>
                <w:szCs w:val="22"/>
              </w:rPr>
            </w:pPr>
            <w:r>
              <w:rPr>
                <w:rFonts w:ascii="Calibri" w:hAnsi="Calibri" w:cs="Calibri"/>
                <w:sz w:val="22"/>
                <w:szCs w:val="22"/>
              </w:rPr>
              <w:t>How and when will we know what the statewide network of approved BH and LTSS CP’s is? We’d like to begin partnering and contracting as soon as possible.</w:t>
            </w:r>
          </w:p>
          <w:p w:rsidR="002C5025" w:rsidRDefault="002C5025">
            <w:pPr>
              <w:pStyle w:val="TableParagraph"/>
              <w:kinsoku w:val="0"/>
              <w:overflowPunct w:val="0"/>
              <w:ind w:left="105" w:right="72"/>
              <w:rPr>
                <w:rFonts w:ascii="Calibri" w:hAnsi="Calibri" w:cs="Calibri"/>
                <w:sz w:val="22"/>
                <w:szCs w:val="22"/>
              </w:rPr>
            </w:pPr>
            <w:r>
              <w:rPr>
                <w:rFonts w:ascii="Calibri" w:hAnsi="Calibri" w:cs="Calibri"/>
                <w:sz w:val="22"/>
                <w:szCs w:val="22"/>
              </w:rPr>
              <w:t>Given the strength and depth of many of our members’ behavioral health services, including care integration, we are assuming that many of them will seek and gain CP BH certification.</w:t>
            </w:r>
          </w:p>
          <w:p w:rsidR="002C5025" w:rsidRDefault="002C5025">
            <w:pPr>
              <w:pStyle w:val="TableParagraph"/>
              <w:kinsoku w:val="0"/>
              <w:overflowPunct w:val="0"/>
              <w:ind w:left="104" w:right="114"/>
              <w:rPr>
                <w:rFonts w:ascii="Times New Roman" w:hAnsi="Times New Roman" w:cs="Times New Roman"/>
              </w:rPr>
            </w:pPr>
            <w:r>
              <w:rPr>
                <w:rFonts w:ascii="Calibri" w:hAnsi="Calibri" w:cs="Calibri"/>
                <w:sz w:val="22"/>
                <w:szCs w:val="22"/>
              </w:rPr>
              <w:t>We assume that we need to meet the state’s care, service and quality requirements for BH CP’s, but that as the ACO, we get to architect what this network looks like and who we choose to contract with across</w:t>
            </w:r>
          </w:p>
        </w:tc>
      </w:tr>
    </w:tbl>
    <w:p w:rsidR="002C5025" w:rsidRDefault="002C5025">
      <w:pPr>
        <w:pStyle w:val="BodyText"/>
        <w:kinsoku w:val="0"/>
        <w:overflowPunct w:val="0"/>
        <w:spacing w:before="9"/>
        <w:rPr>
          <w:rFonts w:ascii="Arial" w:hAnsi="Arial" w:cs="Arial"/>
          <w:sz w:val="19"/>
          <w:szCs w:val="19"/>
        </w:rPr>
      </w:pPr>
    </w:p>
    <w:p w:rsidR="002C5025" w:rsidRDefault="002C5025">
      <w:pPr>
        <w:pStyle w:val="BodyText"/>
        <w:kinsoku w:val="0"/>
        <w:overflowPunct w:val="0"/>
        <w:spacing w:before="74"/>
        <w:ind w:left="2515" w:right="296"/>
        <w:rPr>
          <w:rFonts w:ascii="Arial" w:hAnsi="Arial" w:cs="Arial"/>
          <w:color w:val="1B1B1B"/>
          <w:sz w:val="20"/>
          <w:szCs w:val="20"/>
        </w:rPr>
      </w:pPr>
      <w:r>
        <w:rPr>
          <w:rFonts w:ascii="Arial" w:hAnsi="Arial" w:cs="Arial"/>
          <w:color w:val="1B1B1B"/>
          <w:sz w:val="20"/>
          <w:szCs w:val="20"/>
        </w:rPr>
        <w:t>10 Gove St, East Boston, MA 02128 617-852-4709</w:t>
      </w:r>
    </w:p>
    <w:p w:rsidR="002C5025" w:rsidRDefault="002C5025">
      <w:pPr>
        <w:pStyle w:val="BodyText"/>
        <w:kinsoku w:val="0"/>
        <w:overflowPunct w:val="0"/>
        <w:spacing w:before="74"/>
        <w:ind w:left="2515" w:right="296"/>
        <w:rPr>
          <w:rFonts w:ascii="Arial" w:hAnsi="Arial" w:cs="Arial"/>
          <w:color w:val="1B1B1B"/>
          <w:sz w:val="20"/>
          <w:szCs w:val="20"/>
        </w:rPr>
        <w:sectPr w:rsidR="002C5025">
          <w:pgSz w:w="12240" w:h="15840"/>
          <w:pgMar w:top="720" w:right="1340" w:bottom="280" w:left="1320" w:header="720" w:footer="720" w:gutter="0"/>
          <w:cols w:space="720"/>
          <w:noEndnote/>
        </w:sectPr>
      </w:pPr>
    </w:p>
    <w:p w:rsidR="002C5025" w:rsidRDefault="00FB027C">
      <w:pPr>
        <w:pStyle w:val="BodyText"/>
        <w:kinsoku w:val="0"/>
        <w:overflowPunct w:val="0"/>
        <w:ind w:left="120"/>
        <w:rPr>
          <w:rFonts w:ascii="Arial" w:hAnsi="Arial" w:cs="Arial"/>
          <w:sz w:val="20"/>
          <w:szCs w:val="20"/>
        </w:rPr>
      </w:pPr>
      <w:r>
        <w:rPr>
          <w:rFonts w:ascii="Arial" w:hAnsi="Arial" w:cs="Arial"/>
          <w:noProof/>
          <w:sz w:val="20"/>
          <w:szCs w:val="20"/>
        </w:rPr>
        <w:lastRenderedPageBreak/>
        <w:drawing>
          <wp:inline distT="0" distB="0" distL="0" distR="0">
            <wp:extent cx="571500" cy="581025"/>
            <wp:effectExtent l="0" t="0" r="0" b="952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71500" cy="581025"/>
                    </a:xfrm>
                    <a:prstGeom prst="rect">
                      <a:avLst/>
                    </a:prstGeom>
                    <a:noFill/>
                    <a:ln>
                      <a:noFill/>
                    </a:ln>
                  </pic:spPr>
                </pic:pic>
              </a:graphicData>
            </a:graphic>
          </wp:inline>
        </w:drawing>
      </w:r>
    </w:p>
    <w:p w:rsidR="002C5025" w:rsidRDefault="002C5025">
      <w:pPr>
        <w:pStyle w:val="BodyText"/>
        <w:kinsoku w:val="0"/>
        <w:overflowPunct w:val="0"/>
        <w:spacing w:before="5"/>
        <w:rPr>
          <w:rFonts w:ascii="Arial" w:hAnsi="Arial" w:cs="Arial"/>
        </w:rPr>
      </w:pPr>
    </w:p>
    <w:tbl>
      <w:tblPr>
        <w:tblW w:w="0" w:type="auto"/>
        <w:tblInd w:w="111" w:type="dxa"/>
        <w:tblLayout w:type="fixed"/>
        <w:tblCellMar>
          <w:left w:w="0" w:type="dxa"/>
          <w:right w:w="0" w:type="dxa"/>
        </w:tblCellMar>
        <w:tblLook w:val="0000" w:firstRow="0" w:lastRow="0" w:firstColumn="0" w:lastColumn="0" w:noHBand="0" w:noVBand="0"/>
      </w:tblPr>
      <w:tblGrid>
        <w:gridCol w:w="3115"/>
        <w:gridCol w:w="3117"/>
        <w:gridCol w:w="3118"/>
      </w:tblGrid>
      <w:tr w:rsidR="002C5025">
        <w:trPr>
          <w:trHeight w:hRule="exact" w:val="1620"/>
        </w:trPr>
        <w:tc>
          <w:tcPr>
            <w:tcW w:w="3115" w:type="dxa"/>
            <w:tcBorders>
              <w:top w:val="single" w:sz="4" w:space="0" w:color="000000"/>
              <w:left w:val="single" w:sz="4" w:space="0" w:color="000000"/>
              <w:bottom w:val="single" w:sz="4" w:space="0" w:color="000000"/>
              <w:right w:val="single" w:sz="4" w:space="0" w:color="000000"/>
            </w:tcBorders>
          </w:tcPr>
          <w:p w:rsidR="002C5025" w:rsidRDefault="002C5025"/>
        </w:tc>
        <w:tc>
          <w:tcPr>
            <w:tcW w:w="3117" w:type="dxa"/>
            <w:tcBorders>
              <w:top w:val="single" w:sz="4" w:space="0" w:color="000000"/>
              <w:left w:val="single" w:sz="4" w:space="0" w:color="000000"/>
              <w:bottom w:val="single" w:sz="4" w:space="0" w:color="000000"/>
              <w:right w:val="single" w:sz="4" w:space="0" w:color="000000"/>
            </w:tcBorders>
          </w:tcPr>
          <w:p w:rsidR="002C5025" w:rsidRDefault="002C5025"/>
        </w:tc>
        <w:tc>
          <w:tcPr>
            <w:tcW w:w="3118"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ind w:left="105" w:right="92"/>
              <w:rPr>
                <w:rFonts w:ascii="Times New Roman" w:hAnsi="Times New Roman" w:cs="Times New Roman"/>
              </w:rPr>
            </w:pPr>
            <w:r>
              <w:rPr>
                <w:rFonts w:ascii="Calibri" w:hAnsi="Calibri" w:cs="Calibri"/>
                <w:sz w:val="22"/>
                <w:szCs w:val="22"/>
              </w:rPr>
              <w:t>the state. As community-based organizations, in addition to BH services we operate today, we may decide to build upon and expand our own model to meet BH CP requirements.</w:t>
            </w:r>
          </w:p>
        </w:tc>
      </w:tr>
      <w:tr w:rsidR="002C5025">
        <w:trPr>
          <w:trHeight w:hRule="exact" w:val="1894"/>
        </w:trPr>
        <w:tc>
          <w:tcPr>
            <w:tcW w:w="311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64" w:lineRule="exact"/>
              <w:ind w:left="105" w:right="325"/>
              <w:rPr>
                <w:rFonts w:ascii="Calibri" w:hAnsi="Calibri" w:cs="Calibri"/>
                <w:sz w:val="22"/>
                <w:szCs w:val="22"/>
              </w:rPr>
            </w:pPr>
            <w:r>
              <w:rPr>
                <w:rFonts w:ascii="Calibri" w:hAnsi="Calibri" w:cs="Calibri"/>
                <w:sz w:val="22"/>
                <w:szCs w:val="22"/>
              </w:rPr>
              <w:t>4.2.3.3</w:t>
            </w:r>
          </w:p>
          <w:p w:rsidR="002C5025" w:rsidRDefault="002C5025">
            <w:pPr>
              <w:pStyle w:val="TableParagraph"/>
              <w:kinsoku w:val="0"/>
              <w:overflowPunct w:val="0"/>
              <w:spacing w:line="265" w:lineRule="exact"/>
              <w:ind w:left="105" w:right="325"/>
              <w:rPr>
                <w:rFonts w:ascii="Times New Roman" w:hAnsi="Times New Roman" w:cs="Times New Roman"/>
              </w:rPr>
            </w:pPr>
            <w:r>
              <w:rPr>
                <w:rFonts w:ascii="Calibri" w:hAnsi="Calibri" w:cs="Calibri"/>
                <w:sz w:val="22"/>
                <w:szCs w:val="22"/>
              </w:rPr>
              <w:t>35</w:t>
            </w:r>
          </w:p>
        </w:tc>
        <w:tc>
          <w:tcPr>
            <w:tcW w:w="3117"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ind w:left="105" w:right="144"/>
              <w:rPr>
                <w:rFonts w:ascii="Times New Roman" w:hAnsi="Times New Roman" w:cs="Times New Roman"/>
              </w:rPr>
            </w:pPr>
            <w:r>
              <w:rPr>
                <w:rFonts w:ascii="Calibri" w:hAnsi="Calibri" w:cs="Calibri"/>
                <w:sz w:val="22"/>
                <w:szCs w:val="22"/>
              </w:rPr>
              <w:t>The MassHealth certification process will also ensure that BH and LTSS CPs have the staffing, organizational structure and expertise to meet a robust set of requirements to qualify as CPs</w:t>
            </w:r>
          </w:p>
        </w:tc>
        <w:tc>
          <w:tcPr>
            <w:tcW w:w="3118"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ind w:left="104" w:right="92"/>
              <w:rPr>
                <w:rFonts w:ascii="Times New Roman" w:hAnsi="Times New Roman" w:cs="Times New Roman"/>
              </w:rPr>
            </w:pPr>
            <w:r>
              <w:rPr>
                <w:rFonts w:ascii="Calibri" w:hAnsi="Calibri" w:cs="Calibri"/>
                <w:sz w:val="22"/>
                <w:szCs w:val="22"/>
              </w:rPr>
              <w:t>MassHealth should require that ACO’s receive all needed data from CP’s to ensure that our warehouse has a full view of services and care provided. This is very critical.</w:t>
            </w:r>
          </w:p>
        </w:tc>
      </w:tr>
      <w:tr w:rsidR="002C5025">
        <w:trPr>
          <w:trHeight w:hRule="exact" w:val="5650"/>
        </w:trPr>
        <w:tc>
          <w:tcPr>
            <w:tcW w:w="311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64" w:lineRule="exact"/>
              <w:ind w:left="105" w:right="325"/>
              <w:rPr>
                <w:rFonts w:ascii="Calibri" w:hAnsi="Calibri" w:cs="Calibri"/>
                <w:sz w:val="22"/>
                <w:szCs w:val="22"/>
              </w:rPr>
            </w:pPr>
            <w:r>
              <w:rPr>
                <w:rFonts w:ascii="Calibri" w:hAnsi="Calibri" w:cs="Calibri"/>
                <w:sz w:val="22"/>
                <w:szCs w:val="22"/>
              </w:rPr>
              <w:t>5.3.2.3</w:t>
            </w:r>
          </w:p>
          <w:p w:rsidR="002C5025" w:rsidRDefault="002C5025">
            <w:pPr>
              <w:pStyle w:val="TableParagraph"/>
              <w:kinsoku w:val="0"/>
              <w:overflowPunct w:val="0"/>
              <w:spacing w:line="265" w:lineRule="exact"/>
              <w:ind w:left="105" w:right="325"/>
              <w:rPr>
                <w:rFonts w:ascii="Times New Roman" w:hAnsi="Times New Roman" w:cs="Times New Roman"/>
              </w:rPr>
            </w:pPr>
            <w:r>
              <w:rPr>
                <w:rFonts w:ascii="Calibri" w:hAnsi="Calibri" w:cs="Calibri"/>
                <w:sz w:val="22"/>
                <w:szCs w:val="22"/>
              </w:rPr>
              <w:t>43</w:t>
            </w:r>
          </w:p>
        </w:tc>
        <w:tc>
          <w:tcPr>
            <w:tcW w:w="3117"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ind w:left="105" w:right="92"/>
              <w:rPr>
                <w:rFonts w:ascii="Calibri" w:hAnsi="Calibri" w:cs="Calibri"/>
                <w:sz w:val="22"/>
                <w:szCs w:val="22"/>
              </w:rPr>
            </w:pPr>
            <w:r>
              <w:rPr>
                <w:rFonts w:ascii="Calibri" w:hAnsi="Calibri" w:cs="Calibri"/>
                <w:sz w:val="22"/>
                <w:szCs w:val="22"/>
              </w:rPr>
              <w:t>Categories of flexible services include:</w:t>
            </w:r>
          </w:p>
          <w:p w:rsidR="002C5025" w:rsidRDefault="002C5025">
            <w:pPr>
              <w:pStyle w:val="TableParagraph"/>
              <w:numPr>
                <w:ilvl w:val="0"/>
                <w:numId w:val="72"/>
              </w:numPr>
              <w:tabs>
                <w:tab w:val="left" w:pos="826"/>
              </w:tabs>
              <w:kinsoku w:val="0"/>
              <w:overflowPunct w:val="0"/>
              <w:spacing w:line="273" w:lineRule="auto"/>
              <w:ind w:right="134" w:hanging="360"/>
              <w:rPr>
                <w:rFonts w:ascii="Calibri" w:hAnsi="Calibri" w:cs="Calibri"/>
                <w:spacing w:val="-3"/>
                <w:sz w:val="22"/>
                <w:szCs w:val="22"/>
              </w:rPr>
            </w:pPr>
            <w:r>
              <w:rPr>
                <w:rFonts w:ascii="Calibri" w:hAnsi="Calibri" w:cs="Calibri"/>
                <w:sz w:val="22"/>
                <w:szCs w:val="22"/>
              </w:rPr>
              <w:t>Housing stabilization and support, search</w:t>
            </w:r>
            <w:r>
              <w:rPr>
                <w:rFonts w:ascii="Calibri" w:hAnsi="Calibri" w:cs="Calibri"/>
                <w:spacing w:val="-27"/>
                <w:sz w:val="22"/>
                <w:szCs w:val="22"/>
              </w:rPr>
              <w:t xml:space="preserve"> </w:t>
            </w:r>
            <w:r>
              <w:rPr>
                <w:rFonts w:ascii="Calibri" w:hAnsi="Calibri" w:cs="Calibri"/>
                <w:sz w:val="22"/>
                <w:szCs w:val="22"/>
              </w:rPr>
              <w:t xml:space="preserve">and </w:t>
            </w:r>
            <w:r>
              <w:rPr>
                <w:rFonts w:ascii="Calibri" w:hAnsi="Calibri" w:cs="Calibri"/>
                <w:spacing w:val="-3"/>
                <w:sz w:val="22"/>
                <w:szCs w:val="22"/>
              </w:rPr>
              <w:t>placement</w:t>
            </w:r>
          </w:p>
          <w:p w:rsidR="002C5025" w:rsidRDefault="002C5025">
            <w:pPr>
              <w:pStyle w:val="TableParagraph"/>
              <w:numPr>
                <w:ilvl w:val="0"/>
                <w:numId w:val="72"/>
              </w:numPr>
              <w:tabs>
                <w:tab w:val="left" w:pos="826"/>
              </w:tabs>
              <w:kinsoku w:val="0"/>
              <w:overflowPunct w:val="0"/>
              <w:spacing w:before="4"/>
              <w:ind w:hanging="360"/>
              <w:rPr>
                <w:rFonts w:ascii="Calibri" w:hAnsi="Calibri" w:cs="Calibri"/>
                <w:sz w:val="22"/>
                <w:szCs w:val="22"/>
              </w:rPr>
            </w:pPr>
            <w:r>
              <w:rPr>
                <w:rFonts w:ascii="Calibri" w:hAnsi="Calibri" w:cs="Calibri"/>
                <w:sz w:val="22"/>
                <w:szCs w:val="22"/>
              </w:rPr>
              <w:t>Utility</w:t>
            </w:r>
            <w:r>
              <w:rPr>
                <w:rFonts w:ascii="Calibri" w:hAnsi="Calibri" w:cs="Calibri"/>
                <w:spacing w:val="-23"/>
                <w:sz w:val="22"/>
                <w:szCs w:val="22"/>
              </w:rPr>
              <w:t xml:space="preserve"> </w:t>
            </w:r>
            <w:r>
              <w:rPr>
                <w:rFonts w:ascii="Calibri" w:hAnsi="Calibri" w:cs="Calibri"/>
                <w:sz w:val="22"/>
                <w:szCs w:val="22"/>
              </w:rPr>
              <w:t>assistance</w:t>
            </w:r>
          </w:p>
          <w:p w:rsidR="002C5025" w:rsidRDefault="002C5025">
            <w:pPr>
              <w:pStyle w:val="TableParagraph"/>
              <w:numPr>
                <w:ilvl w:val="0"/>
                <w:numId w:val="72"/>
              </w:numPr>
              <w:tabs>
                <w:tab w:val="left" w:pos="826"/>
              </w:tabs>
              <w:kinsoku w:val="0"/>
              <w:overflowPunct w:val="0"/>
              <w:spacing w:before="39" w:line="276" w:lineRule="auto"/>
              <w:ind w:right="988" w:hanging="360"/>
              <w:rPr>
                <w:rFonts w:ascii="Calibri" w:hAnsi="Calibri" w:cs="Calibri"/>
                <w:spacing w:val="-2"/>
                <w:sz w:val="22"/>
                <w:szCs w:val="22"/>
              </w:rPr>
            </w:pPr>
            <w:r>
              <w:rPr>
                <w:rFonts w:ascii="Calibri" w:hAnsi="Calibri" w:cs="Calibri"/>
                <w:sz w:val="22"/>
                <w:szCs w:val="22"/>
              </w:rPr>
              <w:t xml:space="preserve">Non-medical </w:t>
            </w:r>
            <w:r>
              <w:rPr>
                <w:rFonts w:ascii="Calibri" w:hAnsi="Calibri" w:cs="Calibri"/>
                <w:spacing w:val="-2"/>
                <w:sz w:val="22"/>
                <w:szCs w:val="22"/>
              </w:rPr>
              <w:t>transportation</w:t>
            </w:r>
          </w:p>
          <w:p w:rsidR="002C5025" w:rsidRDefault="002C5025">
            <w:pPr>
              <w:pStyle w:val="TableParagraph"/>
              <w:numPr>
                <w:ilvl w:val="0"/>
                <w:numId w:val="72"/>
              </w:numPr>
              <w:tabs>
                <w:tab w:val="left" w:pos="826"/>
              </w:tabs>
              <w:kinsoku w:val="0"/>
              <w:overflowPunct w:val="0"/>
              <w:spacing w:line="273" w:lineRule="auto"/>
              <w:ind w:right="498" w:hanging="360"/>
              <w:rPr>
                <w:rFonts w:ascii="Calibri" w:hAnsi="Calibri" w:cs="Calibri"/>
                <w:sz w:val="22"/>
                <w:szCs w:val="22"/>
              </w:rPr>
            </w:pPr>
            <w:r>
              <w:rPr>
                <w:rFonts w:ascii="Calibri" w:hAnsi="Calibri" w:cs="Calibri"/>
                <w:sz w:val="22"/>
                <w:szCs w:val="22"/>
              </w:rPr>
              <w:t>Physical activity</w:t>
            </w:r>
            <w:r>
              <w:rPr>
                <w:rFonts w:ascii="Calibri" w:hAnsi="Calibri" w:cs="Calibri"/>
                <w:spacing w:val="-22"/>
                <w:sz w:val="22"/>
                <w:szCs w:val="22"/>
              </w:rPr>
              <w:t xml:space="preserve"> </w:t>
            </w:r>
            <w:r>
              <w:rPr>
                <w:rFonts w:ascii="Calibri" w:hAnsi="Calibri" w:cs="Calibri"/>
                <w:sz w:val="22"/>
                <w:szCs w:val="22"/>
              </w:rPr>
              <w:t>and nutrition</w:t>
            </w:r>
          </w:p>
          <w:p w:rsidR="002C5025" w:rsidRDefault="002C5025">
            <w:pPr>
              <w:pStyle w:val="TableParagraph"/>
              <w:numPr>
                <w:ilvl w:val="0"/>
                <w:numId w:val="72"/>
              </w:numPr>
              <w:tabs>
                <w:tab w:val="left" w:pos="827"/>
              </w:tabs>
              <w:kinsoku w:val="0"/>
              <w:overflowPunct w:val="0"/>
              <w:spacing w:line="276" w:lineRule="auto"/>
              <w:ind w:left="826" w:right="635" w:hanging="360"/>
              <w:jc w:val="both"/>
              <w:rPr>
                <w:rFonts w:ascii="Times New Roman" w:hAnsi="Times New Roman" w:cs="Times New Roman"/>
              </w:rPr>
            </w:pPr>
            <w:r>
              <w:rPr>
                <w:rFonts w:ascii="Calibri" w:hAnsi="Calibri" w:cs="Calibri"/>
                <w:sz w:val="22"/>
                <w:szCs w:val="22"/>
              </w:rPr>
              <w:t>Sexual assault and domestic violence supports</w:t>
            </w:r>
          </w:p>
        </w:tc>
        <w:tc>
          <w:tcPr>
            <w:tcW w:w="3118"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ind w:right="119" w:firstLine="2"/>
              <w:rPr>
                <w:rFonts w:ascii="Times New Roman" w:hAnsi="Times New Roman" w:cs="Times New Roman"/>
              </w:rPr>
            </w:pPr>
            <w:r>
              <w:rPr>
                <w:rFonts w:ascii="Calibri" w:hAnsi="Calibri" w:cs="Calibri"/>
                <w:sz w:val="22"/>
                <w:szCs w:val="22"/>
              </w:rPr>
              <w:t>Since it is well known that living in poverty increases morbidity and mortality, these categories of flexible services should be broadened. For example, targeted DSRIP funds should be used for other strategies to address issues of poverty such as strengthening executive function for parents and children, and/or personal financial budgeting skills, goal development and achievement, interpreter services, legal services, etc. Can the categories be broadened and/or can an ACO submit its social health plan, including desired services to spend flexible spending supports on to MassHealth for approval?</w:t>
            </w:r>
          </w:p>
        </w:tc>
      </w:tr>
      <w:tr w:rsidR="002C5025">
        <w:trPr>
          <w:trHeight w:hRule="exact" w:val="2964"/>
        </w:trPr>
        <w:tc>
          <w:tcPr>
            <w:tcW w:w="311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64" w:lineRule="exact"/>
              <w:ind w:left="105" w:right="325"/>
              <w:rPr>
                <w:rFonts w:ascii="Calibri" w:hAnsi="Calibri" w:cs="Calibri"/>
                <w:sz w:val="22"/>
                <w:szCs w:val="22"/>
              </w:rPr>
            </w:pPr>
            <w:r>
              <w:rPr>
                <w:rFonts w:ascii="Calibri" w:hAnsi="Calibri" w:cs="Calibri"/>
                <w:sz w:val="22"/>
                <w:szCs w:val="22"/>
              </w:rPr>
              <w:t>5.5.2</w:t>
            </w:r>
          </w:p>
          <w:p w:rsidR="002C5025" w:rsidRDefault="002C5025">
            <w:pPr>
              <w:pStyle w:val="TableParagraph"/>
              <w:kinsoku w:val="0"/>
              <w:overflowPunct w:val="0"/>
              <w:spacing w:line="265" w:lineRule="exact"/>
              <w:ind w:left="105" w:right="325"/>
              <w:rPr>
                <w:rFonts w:ascii="Times New Roman" w:hAnsi="Times New Roman" w:cs="Times New Roman"/>
              </w:rPr>
            </w:pPr>
            <w:r>
              <w:rPr>
                <w:rFonts w:ascii="Calibri" w:hAnsi="Calibri" w:cs="Calibri"/>
                <w:sz w:val="22"/>
                <w:szCs w:val="22"/>
              </w:rPr>
              <w:t>50</w:t>
            </w:r>
          </w:p>
        </w:tc>
        <w:tc>
          <w:tcPr>
            <w:tcW w:w="3117"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ind w:left="104" w:right="92"/>
              <w:rPr>
                <w:rFonts w:ascii="Times New Roman" w:hAnsi="Times New Roman" w:cs="Times New Roman"/>
              </w:rPr>
            </w:pPr>
            <w:r>
              <w:rPr>
                <w:rFonts w:ascii="Calibri" w:hAnsi="Calibri" w:cs="Calibri"/>
                <w:sz w:val="22"/>
                <w:szCs w:val="22"/>
              </w:rPr>
              <w:t>To this end, Massachusetts will procure vendors to administer technical assistance upon the principles mentioned above, ensuring access to high quality vendors for all ACOs and CPs. Providers will be required to contribute 30 percent of the overall TA costs, which will create an incentive to work diligently with the TA vendor</w:t>
            </w:r>
          </w:p>
        </w:tc>
        <w:tc>
          <w:tcPr>
            <w:tcW w:w="3118"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ind w:left="105" w:right="72"/>
              <w:rPr>
                <w:rFonts w:ascii="Times New Roman" w:hAnsi="Times New Roman" w:cs="Times New Roman"/>
              </w:rPr>
            </w:pPr>
            <w:r>
              <w:rPr>
                <w:rFonts w:ascii="Calibri" w:hAnsi="Calibri" w:cs="Calibri"/>
                <w:sz w:val="22"/>
                <w:szCs w:val="22"/>
              </w:rPr>
              <w:t>This should be voluntary only since ACO’ will be at different levels of readiness and have different needs that may or may not be met by this TA program.</w:t>
            </w:r>
          </w:p>
        </w:tc>
      </w:tr>
    </w:tbl>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3"/>
        <w:rPr>
          <w:rFonts w:ascii="Arial" w:hAnsi="Arial" w:cs="Arial"/>
          <w:sz w:val="24"/>
          <w:szCs w:val="24"/>
        </w:rPr>
      </w:pPr>
    </w:p>
    <w:p w:rsidR="002C5025" w:rsidRDefault="002C5025">
      <w:pPr>
        <w:pStyle w:val="BodyText"/>
        <w:kinsoku w:val="0"/>
        <w:overflowPunct w:val="0"/>
        <w:spacing w:before="74"/>
        <w:ind w:left="2515" w:right="296"/>
        <w:rPr>
          <w:rFonts w:ascii="Arial" w:hAnsi="Arial" w:cs="Arial"/>
          <w:color w:val="1B1B1B"/>
          <w:sz w:val="20"/>
          <w:szCs w:val="20"/>
        </w:rPr>
      </w:pPr>
      <w:r>
        <w:rPr>
          <w:rFonts w:ascii="Arial" w:hAnsi="Arial" w:cs="Arial"/>
          <w:color w:val="1B1B1B"/>
          <w:sz w:val="20"/>
          <w:szCs w:val="20"/>
        </w:rPr>
        <w:t>10 Gove St, East Boston, MA 02128 617-852-4709</w:t>
      </w:r>
    </w:p>
    <w:p w:rsidR="002C5025" w:rsidRDefault="002C5025">
      <w:pPr>
        <w:pStyle w:val="BodyText"/>
        <w:kinsoku w:val="0"/>
        <w:overflowPunct w:val="0"/>
        <w:spacing w:before="74"/>
        <w:ind w:left="2515" w:right="296"/>
        <w:rPr>
          <w:rFonts w:ascii="Arial" w:hAnsi="Arial" w:cs="Arial"/>
          <w:color w:val="1B1B1B"/>
          <w:sz w:val="20"/>
          <w:szCs w:val="20"/>
        </w:rPr>
        <w:sectPr w:rsidR="002C5025">
          <w:pgSz w:w="12240" w:h="15840"/>
          <w:pgMar w:top="720" w:right="1340" w:bottom="280" w:left="1320" w:header="720" w:footer="720" w:gutter="0"/>
          <w:cols w:space="720"/>
          <w:noEndnote/>
        </w:sectPr>
      </w:pPr>
    </w:p>
    <w:p w:rsidR="002C5025" w:rsidRDefault="00FB027C">
      <w:pPr>
        <w:pStyle w:val="BodyText"/>
        <w:kinsoku w:val="0"/>
        <w:overflowPunct w:val="0"/>
        <w:ind w:left="120"/>
        <w:rPr>
          <w:rFonts w:ascii="Arial" w:hAnsi="Arial" w:cs="Arial"/>
          <w:sz w:val="20"/>
          <w:szCs w:val="20"/>
        </w:rPr>
      </w:pPr>
      <w:r>
        <w:rPr>
          <w:rFonts w:ascii="Arial" w:hAnsi="Arial" w:cs="Arial"/>
          <w:noProof/>
          <w:sz w:val="20"/>
          <w:szCs w:val="20"/>
        </w:rPr>
        <w:lastRenderedPageBreak/>
        <w:drawing>
          <wp:inline distT="0" distB="0" distL="0" distR="0">
            <wp:extent cx="571500" cy="581025"/>
            <wp:effectExtent l="0" t="0" r="0" b="952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71500" cy="581025"/>
                    </a:xfrm>
                    <a:prstGeom prst="rect">
                      <a:avLst/>
                    </a:prstGeom>
                    <a:noFill/>
                    <a:ln>
                      <a:noFill/>
                    </a:ln>
                  </pic:spPr>
                </pic:pic>
              </a:graphicData>
            </a:graphic>
          </wp:inline>
        </w:drawing>
      </w:r>
    </w:p>
    <w:p w:rsidR="002C5025" w:rsidRDefault="002C5025">
      <w:pPr>
        <w:pStyle w:val="BodyText"/>
        <w:kinsoku w:val="0"/>
        <w:overflowPunct w:val="0"/>
        <w:spacing w:before="5"/>
        <w:rPr>
          <w:rFonts w:ascii="Arial" w:hAnsi="Arial" w:cs="Arial"/>
        </w:rPr>
      </w:pPr>
    </w:p>
    <w:tbl>
      <w:tblPr>
        <w:tblW w:w="0" w:type="auto"/>
        <w:tblInd w:w="111" w:type="dxa"/>
        <w:tblLayout w:type="fixed"/>
        <w:tblCellMar>
          <w:left w:w="0" w:type="dxa"/>
          <w:right w:w="0" w:type="dxa"/>
        </w:tblCellMar>
        <w:tblLook w:val="0000" w:firstRow="0" w:lastRow="0" w:firstColumn="0" w:lastColumn="0" w:noHBand="0" w:noVBand="0"/>
      </w:tblPr>
      <w:tblGrid>
        <w:gridCol w:w="3115"/>
        <w:gridCol w:w="3117"/>
        <w:gridCol w:w="3118"/>
      </w:tblGrid>
      <w:tr w:rsidR="002C5025">
        <w:trPr>
          <w:trHeight w:hRule="exact" w:val="547"/>
        </w:trPr>
        <w:tc>
          <w:tcPr>
            <w:tcW w:w="3115" w:type="dxa"/>
            <w:tcBorders>
              <w:top w:val="single" w:sz="4" w:space="0" w:color="000000"/>
              <w:left w:val="single" w:sz="4" w:space="0" w:color="000000"/>
              <w:bottom w:val="single" w:sz="4" w:space="0" w:color="000000"/>
              <w:right w:val="single" w:sz="4" w:space="0" w:color="000000"/>
            </w:tcBorders>
          </w:tcPr>
          <w:p w:rsidR="002C5025" w:rsidRDefault="002C5025"/>
        </w:tc>
        <w:tc>
          <w:tcPr>
            <w:tcW w:w="3117"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ind w:left="105" w:right="92"/>
              <w:rPr>
                <w:rFonts w:ascii="Times New Roman" w:hAnsi="Times New Roman" w:cs="Times New Roman"/>
              </w:rPr>
            </w:pPr>
            <w:r>
              <w:rPr>
                <w:rFonts w:ascii="Calibri" w:hAnsi="Calibri" w:cs="Calibri"/>
                <w:sz w:val="22"/>
                <w:szCs w:val="22"/>
              </w:rPr>
              <w:t>and MassHealth to effect change.</w:t>
            </w:r>
          </w:p>
        </w:tc>
        <w:tc>
          <w:tcPr>
            <w:tcW w:w="3118" w:type="dxa"/>
            <w:tcBorders>
              <w:top w:val="single" w:sz="4" w:space="0" w:color="000000"/>
              <w:left w:val="single" w:sz="4" w:space="0" w:color="000000"/>
              <w:bottom w:val="single" w:sz="4" w:space="0" w:color="000000"/>
              <w:right w:val="single" w:sz="4" w:space="0" w:color="000000"/>
            </w:tcBorders>
          </w:tcPr>
          <w:p w:rsidR="002C5025" w:rsidRDefault="002C5025"/>
        </w:tc>
      </w:tr>
      <w:tr w:rsidR="002C5025">
        <w:trPr>
          <w:trHeight w:hRule="exact" w:val="5381"/>
        </w:trPr>
        <w:tc>
          <w:tcPr>
            <w:tcW w:w="311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64" w:lineRule="exact"/>
              <w:ind w:left="105" w:right="325"/>
              <w:rPr>
                <w:rFonts w:ascii="Calibri" w:hAnsi="Calibri" w:cs="Calibri"/>
                <w:sz w:val="22"/>
                <w:szCs w:val="22"/>
              </w:rPr>
            </w:pPr>
            <w:r>
              <w:rPr>
                <w:rFonts w:ascii="Calibri" w:hAnsi="Calibri" w:cs="Calibri"/>
                <w:sz w:val="22"/>
                <w:szCs w:val="22"/>
              </w:rPr>
              <w:t>5.5.2</w:t>
            </w:r>
          </w:p>
          <w:p w:rsidR="002C5025" w:rsidRDefault="002C5025">
            <w:pPr>
              <w:pStyle w:val="TableParagraph"/>
              <w:kinsoku w:val="0"/>
              <w:overflowPunct w:val="0"/>
              <w:spacing w:line="265" w:lineRule="exact"/>
              <w:ind w:left="105" w:right="325"/>
              <w:rPr>
                <w:rFonts w:ascii="Times New Roman" w:hAnsi="Times New Roman" w:cs="Times New Roman"/>
              </w:rPr>
            </w:pPr>
            <w:r>
              <w:rPr>
                <w:rFonts w:ascii="Calibri" w:hAnsi="Calibri" w:cs="Calibri"/>
                <w:sz w:val="22"/>
                <w:szCs w:val="22"/>
              </w:rPr>
              <w:t>50</w:t>
            </w:r>
          </w:p>
        </w:tc>
        <w:tc>
          <w:tcPr>
            <w:tcW w:w="3117"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ind w:left="105" w:right="152"/>
              <w:rPr>
                <w:rFonts w:ascii="Times New Roman" w:hAnsi="Times New Roman" w:cs="Times New Roman"/>
              </w:rPr>
            </w:pPr>
            <w:r>
              <w:rPr>
                <w:rFonts w:ascii="Calibri" w:hAnsi="Calibri" w:cs="Calibri"/>
                <w:sz w:val="22"/>
                <w:szCs w:val="22"/>
              </w:rPr>
              <w:t>Providers may apply for technical assistance in the following categories.</w:t>
            </w:r>
          </w:p>
        </w:tc>
        <w:tc>
          <w:tcPr>
            <w:tcW w:w="3118"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ind w:left="104" w:right="114" w:firstLine="1"/>
              <w:rPr>
                <w:rFonts w:ascii="Calibri" w:hAnsi="Calibri" w:cs="Calibri"/>
                <w:sz w:val="22"/>
                <w:szCs w:val="22"/>
              </w:rPr>
            </w:pPr>
            <w:r>
              <w:rPr>
                <w:rFonts w:ascii="Calibri" w:hAnsi="Calibri" w:cs="Calibri"/>
                <w:sz w:val="22"/>
                <w:szCs w:val="22"/>
              </w:rPr>
              <w:t xml:space="preserve">I think this TA program might be good for Model C ACOs. As a Model B, we don’t need “TA” as much as contracted vendors to get work into production, get it tested, and get it live. If there was an “approved vendor list” that offered discounts it would be great. Based on what vendors get selected, we might participate in a voluntary program. Recommended vendors would include, </w:t>
            </w:r>
            <w:proofErr w:type="spellStart"/>
            <w:r>
              <w:rPr>
                <w:rFonts w:ascii="Calibri" w:hAnsi="Calibri" w:cs="Calibri"/>
                <w:sz w:val="22"/>
                <w:szCs w:val="22"/>
              </w:rPr>
              <w:t>Optum</w:t>
            </w:r>
            <w:proofErr w:type="spellEnd"/>
            <w:r>
              <w:rPr>
                <w:rFonts w:ascii="Calibri" w:hAnsi="Calibri" w:cs="Calibri"/>
                <w:sz w:val="22"/>
                <w:szCs w:val="22"/>
              </w:rPr>
              <w:t xml:space="preserve">, </w:t>
            </w:r>
            <w:proofErr w:type="spellStart"/>
            <w:r>
              <w:rPr>
                <w:rFonts w:ascii="Calibri" w:hAnsi="Calibri" w:cs="Calibri"/>
                <w:sz w:val="22"/>
                <w:szCs w:val="22"/>
              </w:rPr>
              <w:t>Milliman</w:t>
            </w:r>
            <w:proofErr w:type="spellEnd"/>
            <w:r>
              <w:rPr>
                <w:rFonts w:ascii="Calibri" w:hAnsi="Calibri" w:cs="Calibri"/>
                <w:sz w:val="22"/>
                <w:szCs w:val="22"/>
              </w:rPr>
              <w:t>, Arcadia.</w:t>
            </w:r>
          </w:p>
          <w:p w:rsidR="002C5025" w:rsidRDefault="002C5025">
            <w:pPr>
              <w:pStyle w:val="TableParagraph"/>
              <w:kinsoku w:val="0"/>
              <w:overflowPunct w:val="0"/>
              <w:spacing w:before="1"/>
              <w:ind w:left="104" w:right="92"/>
              <w:rPr>
                <w:rFonts w:ascii="Times New Roman" w:hAnsi="Times New Roman" w:cs="Times New Roman"/>
              </w:rPr>
            </w:pPr>
            <w:r>
              <w:rPr>
                <w:rFonts w:ascii="Calibri" w:hAnsi="Calibri" w:cs="Calibri"/>
                <w:sz w:val="22"/>
                <w:szCs w:val="22"/>
              </w:rPr>
              <w:t>We also want to be very careful that a vendor’s participation in this state-run sponsored TA program would in no way impede their ability to be a CCC vendor.</w:t>
            </w:r>
          </w:p>
        </w:tc>
      </w:tr>
      <w:tr w:rsidR="002C5025">
        <w:trPr>
          <w:trHeight w:hRule="exact" w:val="2964"/>
        </w:trPr>
        <w:tc>
          <w:tcPr>
            <w:tcW w:w="3115"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spacing w:line="264" w:lineRule="exact"/>
              <w:ind w:left="105" w:right="325"/>
              <w:rPr>
                <w:rFonts w:ascii="Calibri" w:hAnsi="Calibri" w:cs="Calibri"/>
                <w:sz w:val="22"/>
                <w:szCs w:val="22"/>
              </w:rPr>
            </w:pPr>
            <w:r>
              <w:rPr>
                <w:rFonts w:ascii="Calibri" w:hAnsi="Calibri" w:cs="Calibri"/>
                <w:sz w:val="22"/>
                <w:szCs w:val="22"/>
              </w:rPr>
              <w:t>7.2.8</w:t>
            </w:r>
          </w:p>
          <w:p w:rsidR="002C5025" w:rsidRDefault="002C5025">
            <w:pPr>
              <w:pStyle w:val="TableParagraph"/>
              <w:kinsoku w:val="0"/>
              <w:overflowPunct w:val="0"/>
              <w:spacing w:line="265" w:lineRule="exact"/>
              <w:ind w:left="105" w:right="325"/>
              <w:rPr>
                <w:rFonts w:ascii="Times New Roman" w:hAnsi="Times New Roman" w:cs="Times New Roman"/>
              </w:rPr>
            </w:pPr>
            <w:r>
              <w:rPr>
                <w:rFonts w:ascii="Calibri" w:hAnsi="Calibri" w:cs="Calibri"/>
                <w:sz w:val="22"/>
                <w:szCs w:val="22"/>
              </w:rPr>
              <w:t>75</w:t>
            </w:r>
          </w:p>
        </w:tc>
        <w:tc>
          <w:tcPr>
            <w:tcW w:w="3117"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ind w:left="105" w:right="92"/>
              <w:rPr>
                <w:rFonts w:ascii="Times New Roman" w:hAnsi="Times New Roman" w:cs="Times New Roman"/>
              </w:rPr>
            </w:pPr>
            <w:r>
              <w:rPr>
                <w:rFonts w:ascii="Calibri" w:hAnsi="Calibri" w:cs="Calibri"/>
                <w:sz w:val="22"/>
                <w:szCs w:val="22"/>
              </w:rPr>
              <w:t>ACOs and certified Community Partners will be able to fund these trainings with their allotted DSRIP funds, as described in Sections 5.3 and 5.4, and additional support received through DSRIP statewide investments (i.e. technical assistance and workforce development grant programs, see Section 5.5).</w:t>
            </w:r>
          </w:p>
        </w:tc>
        <w:tc>
          <w:tcPr>
            <w:tcW w:w="3118" w:type="dxa"/>
            <w:tcBorders>
              <w:top w:val="single" w:sz="4" w:space="0" w:color="000000"/>
              <w:left w:val="single" w:sz="4" w:space="0" w:color="000000"/>
              <w:bottom w:val="single" w:sz="4" w:space="0" w:color="000000"/>
              <w:right w:val="single" w:sz="4" w:space="0" w:color="000000"/>
            </w:tcBorders>
          </w:tcPr>
          <w:p w:rsidR="002C5025" w:rsidRDefault="002C5025">
            <w:pPr>
              <w:pStyle w:val="TableParagraph"/>
              <w:kinsoku w:val="0"/>
              <w:overflowPunct w:val="0"/>
              <w:ind w:left="104" w:right="171"/>
              <w:rPr>
                <w:rFonts w:ascii="Times New Roman" w:hAnsi="Times New Roman" w:cs="Times New Roman"/>
              </w:rPr>
            </w:pPr>
            <w:r>
              <w:rPr>
                <w:rFonts w:ascii="Calibri" w:hAnsi="Calibri" w:cs="Calibri"/>
                <w:sz w:val="22"/>
                <w:szCs w:val="22"/>
              </w:rPr>
              <w:t>This seems like something that the state should have funding for and coordinate and execute on a state-wide basis and not ask the ACO’s to do as it will end up to be more expensive and fragmented.</w:t>
            </w:r>
          </w:p>
        </w:tc>
      </w:tr>
    </w:tbl>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7"/>
        <w:rPr>
          <w:rFonts w:ascii="Arial" w:hAnsi="Arial" w:cs="Arial"/>
          <w:sz w:val="25"/>
          <w:szCs w:val="25"/>
        </w:rPr>
      </w:pPr>
    </w:p>
    <w:p w:rsidR="002C5025" w:rsidRDefault="002C5025">
      <w:pPr>
        <w:pStyle w:val="BodyText"/>
        <w:kinsoku w:val="0"/>
        <w:overflowPunct w:val="0"/>
        <w:spacing w:before="74"/>
        <w:ind w:left="2515" w:right="296"/>
        <w:rPr>
          <w:rFonts w:ascii="Arial" w:hAnsi="Arial" w:cs="Arial"/>
          <w:color w:val="1B1B1B"/>
          <w:sz w:val="20"/>
          <w:szCs w:val="20"/>
        </w:rPr>
      </w:pPr>
      <w:r>
        <w:rPr>
          <w:rFonts w:ascii="Arial" w:hAnsi="Arial" w:cs="Arial"/>
          <w:color w:val="1B1B1B"/>
          <w:sz w:val="20"/>
          <w:szCs w:val="20"/>
        </w:rPr>
        <w:t>10 Gove St, East Boston, MA 02128 617-852-4709</w:t>
      </w:r>
    </w:p>
    <w:p w:rsidR="002C5025" w:rsidRDefault="002C5025">
      <w:pPr>
        <w:pStyle w:val="BodyText"/>
        <w:kinsoku w:val="0"/>
        <w:overflowPunct w:val="0"/>
        <w:spacing w:before="74"/>
        <w:ind w:left="2515" w:right="296"/>
        <w:rPr>
          <w:rFonts w:ascii="Arial" w:hAnsi="Arial" w:cs="Arial"/>
          <w:color w:val="1B1B1B"/>
          <w:sz w:val="20"/>
          <w:szCs w:val="20"/>
        </w:rPr>
        <w:sectPr w:rsidR="002C5025">
          <w:pgSz w:w="12240" w:h="15840"/>
          <w:pgMar w:top="720" w:right="1340" w:bottom="280" w:left="1320" w:header="720" w:footer="720" w:gutter="0"/>
          <w:cols w:space="720"/>
          <w:noEndnote/>
        </w:sectPr>
      </w:pPr>
    </w:p>
    <w:p w:rsidR="002C5025" w:rsidRDefault="002C5025">
      <w:pPr>
        <w:pStyle w:val="BodyText"/>
        <w:kinsoku w:val="0"/>
        <w:overflowPunct w:val="0"/>
        <w:spacing w:before="1" w:after="1"/>
        <w:rPr>
          <w:rFonts w:ascii="Arial" w:hAnsi="Arial" w:cs="Arial"/>
          <w:sz w:val="18"/>
          <w:szCs w:val="18"/>
        </w:rPr>
      </w:pPr>
    </w:p>
    <w:p w:rsidR="002C5025" w:rsidRDefault="00FB027C">
      <w:pPr>
        <w:pStyle w:val="BodyText"/>
        <w:tabs>
          <w:tab w:val="left" w:pos="5390"/>
        </w:tabs>
        <w:kinsoku w:val="0"/>
        <w:overflowPunct w:val="0"/>
        <w:ind w:left="120"/>
        <w:rPr>
          <w:rFonts w:ascii="Arial" w:hAnsi="Arial" w:cs="Arial"/>
          <w:sz w:val="20"/>
          <w:szCs w:val="20"/>
        </w:rPr>
      </w:pPr>
      <w:r>
        <w:rPr>
          <w:rFonts w:ascii="Arial" w:hAnsi="Arial" w:cs="Arial"/>
          <w:noProof/>
          <w:position w:val="1"/>
          <w:sz w:val="20"/>
          <w:szCs w:val="20"/>
        </w:rPr>
        <w:drawing>
          <wp:inline distT="0" distB="0" distL="0" distR="0">
            <wp:extent cx="2714625" cy="609600"/>
            <wp:effectExtent l="0" t="0" r="9525"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2714625" cy="609600"/>
                    </a:xfrm>
                    <a:prstGeom prst="rect">
                      <a:avLst/>
                    </a:prstGeom>
                    <a:noFill/>
                    <a:ln>
                      <a:noFill/>
                    </a:ln>
                  </pic:spPr>
                </pic:pic>
              </a:graphicData>
            </a:graphic>
          </wp:inline>
        </w:drawing>
      </w:r>
      <w:r w:rsidR="002C5025">
        <w:rPr>
          <w:rFonts w:ascii="Arial" w:hAnsi="Arial" w:cs="Arial"/>
          <w:position w:val="1"/>
          <w:sz w:val="20"/>
          <w:szCs w:val="20"/>
        </w:rPr>
        <w:t xml:space="preserve"> </w:t>
      </w:r>
      <w:r w:rsidR="002C5025">
        <w:rPr>
          <w:rFonts w:ascii="Arial" w:hAnsi="Arial" w:cs="Arial"/>
          <w:position w:val="1"/>
          <w:sz w:val="20"/>
          <w:szCs w:val="20"/>
        </w:rPr>
        <w:tab/>
      </w:r>
      <w:r>
        <w:rPr>
          <w:rFonts w:ascii="Arial" w:hAnsi="Arial" w:cs="Arial"/>
          <w:noProof/>
          <w:sz w:val="20"/>
          <w:szCs w:val="20"/>
        </w:rPr>
        <w:drawing>
          <wp:inline distT="0" distB="0" distL="0" distR="0">
            <wp:extent cx="2524125" cy="647700"/>
            <wp:effectExtent l="0" t="0" r="9525"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2524125" cy="647700"/>
                    </a:xfrm>
                    <a:prstGeom prst="rect">
                      <a:avLst/>
                    </a:prstGeom>
                    <a:noFill/>
                    <a:ln>
                      <a:noFill/>
                    </a:ln>
                  </pic:spPr>
                </pic:pic>
              </a:graphicData>
            </a:graphic>
          </wp:inline>
        </w:drawing>
      </w: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199"/>
        <w:ind w:left="120" w:right="5427"/>
        <w:rPr>
          <w:rFonts w:ascii="Times New Roman" w:hAnsi="Times New Roman" w:cs="Times New Roman"/>
          <w:sz w:val="24"/>
          <w:szCs w:val="24"/>
        </w:rPr>
      </w:pPr>
      <w:bookmarkStart w:id="89" w:name="Community_Servings_Comment_on_MassHealth"/>
      <w:bookmarkEnd w:id="89"/>
      <w:r>
        <w:rPr>
          <w:rFonts w:ascii="Times New Roman" w:hAnsi="Times New Roman" w:cs="Times New Roman"/>
          <w:sz w:val="24"/>
          <w:szCs w:val="24"/>
        </w:rPr>
        <w:t>The Honorable Marylou Sudders Secretary of Health &amp; Human Services</w:t>
      </w:r>
    </w:p>
    <w:p w:rsidR="002C5025" w:rsidRDefault="002C5025">
      <w:pPr>
        <w:pStyle w:val="BodyText"/>
        <w:kinsoku w:val="0"/>
        <w:overflowPunct w:val="0"/>
        <w:ind w:left="120" w:right="4981"/>
        <w:rPr>
          <w:rFonts w:ascii="Times New Roman" w:hAnsi="Times New Roman" w:cs="Times New Roman"/>
          <w:sz w:val="24"/>
          <w:szCs w:val="24"/>
        </w:rPr>
      </w:pPr>
      <w:r>
        <w:rPr>
          <w:rFonts w:ascii="Times New Roman" w:hAnsi="Times New Roman" w:cs="Times New Roman"/>
          <w:sz w:val="24"/>
          <w:szCs w:val="24"/>
        </w:rPr>
        <w:t>Executive Office of Health &amp; Human Services One Ashburton Place, 11th Floor</w:t>
      </w:r>
    </w:p>
    <w:p w:rsidR="002C5025" w:rsidRDefault="002C5025">
      <w:pPr>
        <w:pStyle w:val="BodyText"/>
        <w:kinsoku w:val="0"/>
        <w:overflowPunct w:val="0"/>
        <w:ind w:left="120"/>
        <w:jc w:val="both"/>
        <w:rPr>
          <w:rFonts w:ascii="Times New Roman" w:hAnsi="Times New Roman" w:cs="Times New Roman"/>
          <w:sz w:val="24"/>
          <w:szCs w:val="24"/>
        </w:rPr>
      </w:pPr>
      <w:r>
        <w:rPr>
          <w:rFonts w:ascii="Times New Roman" w:hAnsi="Times New Roman" w:cs="Times New Roman"/>
          <w:sz w:val="24"/>
          <w:szCs w:val="24"/>
        </w:rPr>
        <w:t>Boston, MA 02108</w:t>
      </w:r>
    </w:p>
    <w:p w:rsidR="002C5025" w:rsidRDefault="002C5025">
      <w:pPr>
        <w:pStyle w:val="BodyText"/>
        <w:kinsoku w:val="0"/>
        <w:overflowPunct w:val="0"/>
        <w:spacing w:before="2" w:line="415" w:lineRule="auto"/>
        <w:ind w:left="120" w:right="2393"/>
        <w:rPr>
          <w:rFonts w:ascii="Times New Roman" w:hAnsi="Times New Roman" w:cs="Times New Roman"/>
          <w:color w:val="000000"/>
          <w:sz w:val="24"/>
          <w:szCs w:val="24"/>
        </w:rPr>
      </w:pPr>
      <w:r>
        <w:rPr>
          <w:rFonts w:ascii="Times New Roman" w:hAnsi="Times New Roman" w:cs="Times New Roman"/>
          <w:sz w:val="24"/>
          <w:szCs w:val="24"/>
        </w:rPr>
        <w:t xml:space="preserve">Submitted via Electronic Mail: </w:t>
      </w:r>
      <w:hyperlink r:id="rId200" w:history="1">
        <w:r>
          <w:rPr>
            <w:rFonts w:ascii="Times New Roman" w:hAnsi="Times New Roman" w:cs="Times New Roman"/>
            <w:color w:val="0000FF"/>
            <w:sz w:val="24"/>
            <w:szCs w:val="24"/>
            <w:u w:val="single"/>
          </w:rPr>
          <w:t>masshealth.innovations@state.ma.gov</w:t>
        </w:r>
      </w:hyperlink>
      <w:r>
        <w:rPr>
          <w:rFonts w:ascii="Times New Roman" w:hAnsi="Times New Roman" w:cs="Times New Roman"/>
          <w:color w:val="0000FF"/>
          <w:sz w:val="24"/>
          <w:szCs w:val="24"/>
          <w:u w:val="single"/>
        </w:rPr>
        <w:t xml:space="preserve"> </w:t>
      </w:r>
      <w:r>
        <w:rPr>
          <w:rFonts w:ascii="Times New Roman" w:hAnsi="Times New Roman" w:cs="Times New Roman"/>
          <w:color w:val="000000"/>
          <w:sz w:val="24"/>
          <w:szCs w:val="24"/>
        </w:rPr>
        <w:t>July 15, 2016</w:t>
      </w:r>
    </w:p>
    <w:p w:rsidR="002C5025" w:rsidRDefault="002C5025">
      <w:pPr>
        <w:pStyle w:val="BodyText"/>
        <w:kinsoku w:val="0"/>
        <w:overflowPunct w:val="0"/>
        <w:spacing w:before="10"/>
        <w:ind w:left="120"/>
        <w:jc w:val="both"/>
        <w:rPr>
          <w:rFonts w:ascii="Times New Roman" w:hAnsi="Times New Roman" w:cs="Times New Roman"/>
          <w:b/>
          <w:bCs/>
          <w:sz w:val="24"/>
          <w:szCs w:val="24"/>
        </w:rPr>
      </w:pPr>
      <w:r>
        <w:rPr>
          <w:rFonts w:ascii="Times New Roman" w:hAnsi="Times New Roman" w:cs="Times New Roman"/>
          <w:b/>
          <w:bCs/>
          <w:sz w:val="24"/>
          <w:szCs w:val="24"/>
        </w:rPr>
        <w:t>RE: Comments on Demonstration Extension Request</w:t>
      </w:r>
    </w:p>
    <w:p w:rsidR="002C5025" w:rsidRDefault="002C5025">
      <w:pPr>
        <w:pStyle w:val="BodyText"/>
        <w:kinsoku w:val="0"/>
        <w:overflowPunct w:val="0"/>
        <w:spacing w:before="194"/>
        <w:ind w:left="120"/>
        <w:jc w:val="both"/>
        <w:rPr>
          <w:rFonts w:ascii="Times New Roman" w:hAnsi="Times New Roman" w:cs="Times New Roman"/>
          <w:sz w:val="24"/>
          <w:szCs w:val="24"/>
        </w:rPr>
      </w:pPr>
      <w:r>
        <w:rPr>
          <w:rFonts w:ascii="Times New Roman" w:hAnsi="Times New Roman" w:cs="Times New Roman"/>
          <w:sz w:val="24"/>
          <w:szCs w:val="24"/>
        </w:rPr>
        <w:t>Dear Secretary Sudders:</w:t>
      </w:r>
    </w:p>
    <w:p w:rsidR="002C5025" w:rsidRDefault="002C5025">
      <w:pPr>
        <w:pStyle w:val="BodyText"/>
        <w:kinsoku w:val="0"/>
        <w:overflowPunct w:val="0"/>
        <w:spacing w:before="199"/>
        <w:ind w:left="120" w:right="120"/>
        <w:jc w:val="both"/>
        <w:rPr>
          <w:rFonts w:ascii="Times New Roman" w:hAnsi="Times New Roman" w:cs="Times New Roman"/>
          <w:sz w:val="24"/>
          <w:szCs w:val="24"/>
        </w:rPr>
      </w:pPr>
      <w:r>
        <w:rPr>
          <w:rFonts w:ascii="Times New Roman" w:hAnsi="Times New Roman" w:cs="Times New Roman"/>
          <w:sz w:val="24"/>
          <w:szCs w:val="24"/>
        </w:rPr>
        <w:t>Thank</w:t>
      </w:r>
      <w:r>
        <w:rPr>
          <w:rFonts w:ascii="Times New Roman" w:hAnsi="Times New Roman" w:cs="Times New Roman"/>
          <w:spacing w:val="1"/>
          <w:sz w:val="24"/>
          <w:szCs w:val="24"/>
        </w:rPr>
        <w:t xml:space="preserve"> </w:t>
      </w:r>
      <w:r>
        <w:rPr>
          <w:rFonts w:ascii="Times New Roman" w:hAnsi="Times New Roman" w:cs="Times New Roman"/>
          <w:sz w:val="24"/>
          <w:szCs w:val="24"/>
        </w:rPr>
        <w:t>you</w:t>
      </w:r>
      <w:r>
        <w:rPr>
          <w:rFonts w:ascii="Times New Roman" w:hAnsi="Times New Roman" w:cs="Times New Roman"/>
          <w:spacing w:val="-4"/>
          <w:sz w:val="24"/>
          <w:szCs w:val="24"/>
        </w:rPr>
        <w:t xml:space="preserve"> </w:t>
      </w:r>
      <w:r>
        <w:rPr>
          <w:rFonts w:ascii="Times New Roman" w:hAnsi="Times New Roman" w:cs="Times New Roman"/>
          <w:sz w:val="24"/>
          <w:szCs w:val="24"/>
        </w:rPr>
        <w:t>for</w:t>
      </w:r>
      <w:r>
        <w:rPr>
          <w:rFonts w:ascii="Times New Roman" w:hAnsi="Times New Roman" w:cs="Times New Roman"/>
          <w:spacing w:val="-2"/>
          <w:sz w:val="24"/>
          <w:szCs w:val="24"/>
        </w:rPr>
        <w:t xml:space="preserve"> </w:t>
      </w:r>
      <w:r>
        <w:rPr>
          <w:rFonts w:ascii="Times New Roman" w:hAnsi="Times New Roman" w:cs="Times New Roman"/>
          <w:sz w:val="24"/>
          <w:szCs w:val="24"/>
        </w:rPr>
        <w:t>the</w:t>
      </w:r>
      <w:r>
        <w:rPr>
          <w:rFonts w:ascii="Times New Roman" w:hAnsi="Times New Roman" w:cs="Times New Roman"/>
          <w:spacing w:val="-4"/>
          <w:sz w:val="24"/>
          <w:szCs w:val="24"/>
        </w:rPr>
        <w:t xml:space="preserve"> </w:t>
      </w:r>
      <w:r>
        <w:rPr>
          <w:rFonts w:ascii="Times New Roman" w:hAnsi="Times New Roman" w:cs="Times New Roman"/>
          <w:sz w:val="24"/>
          <w:szCs w:val="24"/>
        </w:rPr>
        <w:t>opportunity</w:t>
      </w:r>
      <w:r>
        <w:rPr>
          <w:rFonts w:ascii="Times New Roman" w:hAnsi="Times New Roman" w:cs="Times New Roman"/>
          <w:spacing w:val="-9"/>
          <w:sz w:val="24"/>
          <w:szCs w:val="24"/>
        </w:rPr>
        <w:t xml:space="preserve"> </w:t>
      </w:r>
      <w:r>
        <w:rPr>
          <w:rFonts w:ascii="Times New Roman" w:hAnsi="Times New Roman" w:cs="Times New Roman"/>
          <w:sz w:val="24"/>
          <w:szCs w:val="24"/>
        </w:rPr>
        <w:t>to</w:t>
      </w:r>
      <w:r>
        <w:rPr>
          <w:rFonts w:ascii="Times New Roman" w:hAnsi="Times New Roman" w:cs="Times New Roman"/>
          <w:spacing w:val="-3"/>
          <w:sz w:val="24"/>
          <w:szCs w:val="24"/>
        </w:rPr>
        <w:t xml:space="preserve"> </w:t>
      </w:r>
      <w:r>
        <w:rPr>
          <w:rFonts w:ascii="Times New Roman" w:hAnsi="Times New Roman" w:cs="Times New Roman"/>
          <w:sz w:val="24"/>
          <w:szCs w:val="24"/>
        </w:rPr>
        <w:t>submit</w:t>
      </w:r>
      <w:r>
        <w:rPr>
          <w:rFonts w:ascii="Times New Roman" w:hAnsi="Times New Roman" w:cs="Times New Roman"/>
          <w:spacing w:val="-3"/>
          <w:sz w:val="24"/>
          <w:szCs w:val="24"/>
        </w:rPr>
        <w:t xml:space="preserve"> </w:t>
      </w:r>
      <w:r>
        <w:rPr>
          <w:rFonts w:ascii="Times New Roman" w:hAnsi="Times New Roman" w:cs="Times New Roman"/>
          <w:sz w:val="24"/>
          <w:szCs w:val="24"/>
        </w:rPr>
        <w:t>comments</w:t>
      </w:r>
      <w:r>
        <w:rPr>
          <w:rFonts w:ascii="Times New Roman" w:hAnsi="Times New Roman" w:cs="Times New Roman"/>
          <w:spacing w:val="-3"/>
          <w:sz w:val="24"/>
          <w:szCs w:val="24"/>
        </w:rPr>
        <w:t xml:space="preserve"> </w:t>
      </w:r>
      <w:r>
        <w:rPr>
          <w:rFonts w:ascii="Times New Roman" w:hAnsi="Times New Roman" w:cs="Times New Roman"/>
          <w:sz w:val="24"/>
          <w:szCs w:val="24"/>
        </w:rPr>
        <w:t>on</w:t>
      </w:r>
      <w:r>
        <w:rPr>
          <w:rFonts w:ascii="Times New Roman" w:hAnsi="Times New Roman" w:cs="Times New Roman"/>
          <w:spacing w:val="-4"/>
          <w:sz w:val="24"/>
          <w:szCs w:val="24"/>
        </w:rPr>
        <w:t xml:space="preserve"> </w:t>
      </w:r>
      <w:r>
        <w:rPr>
          <w:rFonts w:ascii="Times New Roman" w:hAnsi="Times New Roman" w:cs="Times New Roman"/>
          <w:sz w:val="24"/>
          <w:szCs w:val="24"/>
        </w:rPr>
        <w:t>the</w:t>
      </w:r>
      <w:r>
        <w:rPr>
          <w:rFonts w:ascii="Times New Roman" w:hAnsi="Times New Roman" w:cs="Times New Roman"/>
          <w:spacing w:val="-4"/>
          <w:sz w:val="24"/>
          <w:szCs w:val="24"/>
        </w:rPr>
        <w:t xml:space="preserve"> </w:t>
      </w:r>
      <w:r>
        <w:rPr>
          <w:rFonts w:ascii="Times New Roman" w:hAnsi="Times New Roman" w:cs="Times New Roman"/>
          <w:sz w:val="24"/>
          <w:szCs w:val="24"/>
        </w:rPr>
        <w:t>Executive</w:t>
      </w:r>
      <w:r>
        <w:rPr>
          <w:rFonts w:ascii="Times New Roman" w:hAnsi="Times New Roman" w:cs="Times New Roman"/>
          <w:spacing w:val="-5"/>
          <w:sz w:val="24"/>
          <w:szCs w:val="24"/>
        </w:rPr>
        <w:t xml:space="preserve"> </w:t>
      </w:r>
      <w:r>
        <w:rPr>
          <w:rFonts w:ascii="Times New Roman" w:hAnsi="Times New Roman" w:cs="Times New Roman"/>
          <w:sz w:val="24"/>
          <w:szCs w:val="24"/>
        </w:rPr>
        <w:t>Office</w:t>
      </w:r>
      <w:r>
        <w:rPr>
          <w:rFonts w:ascii="Times New Roman" w:hAnsi="Times New Roman" w:cs="Times New Roman"/>
          <w:spacing w:val="-3"/>
          <w:sz w:val="24"/>
          <w:szCs w:val="24"/>
        </w:rPr>
        <w:t xml:space="preserve"> </w:t>
      </w:r>
      <w:r>
        <w:rPr>
          <w:rFonts w:ascii="Times New Roman" w:hAnsi="Times New Roman" w:cs="Times New Roman"/>
          <w:sz w:val="24"/>
          <w:szCs w:val="24"/>
        </w:rPr>
        <w:t>of</w:t>
      </w:r>
      <w:r>
        <w:rPr>
          <w:rFonts w:ascii="Times New Roman" w:hAnsi="Times New Roman" w:cs="Times New Roman"/>
          <w:spacing w:val="-5"/>
          <w:sz w:val="24"/>
          <w:szCs w:val="24"/>
        </w:rPr>
        <w:t xml:space="preserve"> </w:t>
      </w:r>
      <w:r>
        <w:rPr>
          <w:rFonts w:ascii="Times New Roman" w:hAnsi="Times New Roman" w:cs="Times New Roman"/>
          <w:sz w:val="24"/>
          <w:szCs w:val="24"/>
        </w:rPr>
        <w:t>Health</w:t>
      </w:r>
      <w:r>
        <w:rPr>
          <w:rFonts w:ascii="Times New Roman" w:hAnsi="Times New Roman" w:cs="Times New Roman"/>
          <w:spacing w:val="-4"/>
          <w:sz w:val="24"/>
          <w:szCs w:val="24"/>
        </w:rPr>
        <w:t xml:space="preserve"> </w:t>
      </w:r>
      <w:r>
        <w:rPr>
          <w:rFonts w:ascii="Times New Roman" w:hAnsi="Times New Roman" w:cs="Times New Roman"/>
          <w:sz w:val="24"/>
          <w:szCs w:val="24"/>
        </w:rPr>
        <w:t>and</w:t>
      </w:r>
      <w:r>
        <w:rPr>
          <w:rFonts w:ascii="Times New Roman" w:hAnsi="Times New Roman" w:cs="Times New Roman"/>
          <w:spacing w:val="-4"/>
          <w:sz w:val="24"/>
          <w:szCs w:val="24"/>
        </w:rPr>
        <w:t xml:space="preserve"> </w:t>
      </w:r>
      <w:r>
        <w:rPr>
          <w:rFonts w:ascii="Times New Roman" w:hAnsi="Times New Roman" w:cs="Times New Roman"/>
          <w:sz w:val="24"/>
          <w:szCs w:val="24"/>
        </w:rPr>
        <w:t>Human Services’ (EOHHS) proposed Section 1115 Demonstration Project Amendment and Extension Request (“the Request”) to restructure MassHealth to an Accountable Care Organization (ACO) model.</w:t>
      </w:r>
    </w:p>
    <w:p w:rsidR="002C5025" w:rsidRDefault="002C5025">
      <w:pPr>
        <w:pStyle w:val="BodyText"/>
        <w:kinsoku w:val="0"/>
        <w:overflowPunct w:val="0"/>
        <w:spacing w:before="197"/>
        <w:ind w:left="120" w:right="112"/>
        <w:jc w:val="both"/>
        <w:rPr>
          <w:rFonts w:ascii="Times New Roman" w:hAnsi="Times New Roman" w:cs="Times New Roman"/>
          <w:sz w:val="24"/>
          <w:szCs w:val="24"/>
        </w:rPr>
      </w:pPr>
      <w:r>
        <w:rPr>
          <w:rFonts w:ascii="Times New Roman" w:hAnsi="Times New Roman" w:cs="Times New Roman"/>
          <w:sz w:val="24"/>
          <w:szCs w:val="24"/>
        </w:rPr>
        <w:t>The Center for Health Law &amp; Policy Innovation of Harvard Law School (CHLPI) advocates for legal, regulatory, and policy reforms to improve the health of underserved populations, with a focus on the needs of low-income people living with chronic illnesses. As part of this work, we collaborate</w:t>
      </w:r>
      <w:r>
        <w:rPr>
          <w:rFonts w:ascii="Times New Roman" w:hAnsi="Times New Roman" w:cs="Times New Roman"/>
          <w:spacing w:val="-9"/>
          <w:sz w:val="24"/>
          <w:szCs w:val="24"/>
        </w:rPr>
        <w:t xml:space="preserve"> </w:t>
      </w:r>
      <w:r>
        <w:rPr>
          <w:rFonts w:ascii="Times New Roman" w:hAnsi="Times New Roman" w:cs="Times New Roman"/>
          <w:sz w:val="24"/>
          <w:szCs w:val="24"/>
        </w:rPr>
        <w:t>with</w:t>
      </w:r>
      <w:r>
        <w:rPr>
          <w:rFonts w:ascii="Times New Roman" w:hAnsi="Times New Roman" w:cs="Times New Roman"/>
          <w:spacing w:val="-10"/>
          <w:sz w:val="24"/>
          <w:szCs w:val="24"/>
        </w:rPr>
        <w:t xml:space="preserve"> </w:t>
      </w:r>
      <w:r>
        <w:rPr>
          <w:rFonts w:ascii="Times New Roman" w:hAnsi="Times New Roman" w:cs="Times New Roman"/>
          <w:sz w:val="24"/>
          <w:szCs w:val="24"/>
        </w:rPr>
        <w:t>a</w:t>
      </w:r>
      <w:r>
        <w:rPr>
          <w:rFonts w:ascii="Times New Roman" w:hAnsi="Times New Roman" w:cs="Times New Roman"/>
          <w:spacing w:val="-10"/>
          <w:sz w:val="24"/>
          <w:szCs w:val="24"/>
        </w:rPr>
        <w:t xml:space="preserve"> </w:t>
      </w:r>
      <w:r>
        <w:rPr>
          <w:rFonts w:ascii="Times New Roman" w:hAnsi="Times New Roman" w:cs="Times New Roman"/>
          <w:sz w:val="24"/>
          <w:szCs w:val="24"/>
        </w:rPr>
        <w:t>number</w:t>
      </w:r>
      <w:r>
        <w:rPr>
          <w:rFonts w:ascii="Times New Roman" w:hAnsi="Times New Roman" w:cs="Times New Roman"/>
          <w:spacing w:val="-12"/>
          <w:sz w:val="24"/>
          <w:szCs w:val="24"/>
        </w:rPr>
        <w:t xml:space="preserve"> </w:t>
      </w:r>
      <w:r>
        <w:rPr>
          <w:rFonts w:ascii="Times New Roman" w:hAnsi="Times New Roman" w:cs="Times New Roman"/>
          <w:sz w:val="24"/>
          <w:szCs w:val="24"/>
        </w:rPr>
        <w:t>of</w:t>
      </w:r>
      <w:r>
        <w:rPr>
          <w:rFonts w:ascii="Times New Roman" w:hAnsi="Times New Roman" w:cs="Times New Roman"/>
          <w:spacing w:val="-8"/>
          <w:sz w:val="24"/>
          <w:szCs w:val="24"/>
        </w:rPr>
        <w:t xml:space="preserve"> </w:t>
      </w:r>
      <w:r>
        <w:rPr>
          <w:rFonts w:ascii="Times New Roman" w:hAnsi="Times New Roman" w:cs="Times New Roman"/>
          <w:sz w:val="24"/>
          <w:szCs w:val="24"/>
        </w:rPr>
        <w:t>community</w:t>
      </w:r>
      <w:r>
        <w:rPr>
          <w:rFonts w:ascii="Times New Roman" w:hAnsi="Times New Roman" w:cs="Times New Roman"/>
          <w:spacing w:val="-13"/>
          <w:sz w:val="24"/>
          <w:szCs w:val="24"/>
        </w:rPr>
        <w:t xml:space="preserve"> </w:t>
      </w:r>
      <w:r>
        <w:rPr>
          <w:rFonts w:ascii="Times New Roman" w:hAnsi="Times New Roman" w:cs="Times New Roman"/>
          <w:sz w:val="24"/>
          <w:szCs w:val="24"/>
        </w:rPr>
        <w:t>partners</w:t>
      </w:r>
      <w:r>
        <w:rPr>
          <w:rFonts w:ascii="Times New Roman" w:hAnsi="Times New Roman" w:cs="Times New Roman"/>
          <w:spacing w:val="-9"/>
          <w:sz w:val="24"/>
          <w:szCs w:val="24"/>
        </w:rPr>
        <w:t xml:space="preserve"> </w:t>
      </w:r>
      <w:r>
        <w:rPr>
          <w:rFonts w:ascii="Times New Roman" w:hAnsi="Times New Roman" w:cs="Times New Roman"/>
          <w:sz w:val="24"/>
          <w:szCs w:val="24"/>
        </w:rPr>
        <w:t>working</w:t>
      </w:r>
      <w:r>
        <w:rPr>
          <w:rFonts w:ascii="Times New Roman" w:hAnsi="Times New Roman" w:cs="Times New Roman"/>
          <w:spacing w:val="-11"/>
          <w:sz w:val="24"/>
          <w:szCs w:val="24"/>
        </w:rPr>
        <w:t xml:space="preserve"> </w:t>
      </w:r>
      <w:r>
        <w:rPr>
          <w:rFonts w:ascii="Times New Roman" w:hAnsi="Times New Roman" w:cs="Times New Roman"/>
          <w:sz w:val="24"/>
          <w:szCs w:val="24"/>
        </w:rPr>
        <w:t>to</w:t>
      </w:r>
      <w:r>
        <w:rPr>
          <w:rFonts w:ascii="Times New Roman" w:hAnsi="Times New Roman" w:cs="Times New Roman"/>
          <w:spacing w:val="-11"/>
          <w:sz w:val="24"/>
          <w:szCs w:val="24"/>
        </w:rPr>
        <w:t xml:space="preserve"> </w:t>
      </w:r>
      <w:r>
        <w:rPr>
          <w:rFonts w:ascii="Times New Roman" w:hAnsi="Times New Roman" w:cs="Times New Roman"/>
          <w:sz w:val="24"/>
          <w:szCs w:val="24"/>
        </w:rPr>
        <w:t>address</w:t>
      </w:r>
      <w:r>
        <w:rPr>
          <w:rFonts w:ascii="Times New Roman" w:hAnsi="Times New Roman" w:cs="Times New Roman"/>
          <w:spacing w:val="-10"/>
          <w:sz w:val="24"/>
          <w:szCs w:val="24"/>
        </w:rPr>
        <w:t xml:space="preserve"> </w:t>
      </w:r>
      <w:r>
        <w:rPr>
          <w:rFonts w:ascii="Times New Roman" w:hAnsi="Times New Roman" w:cs="Times New Roman"/>
          <w:sz w:val="24"/>
          <w:szCs w:val="24"/>
        </w:rPr>
        <w:t>social</w:t>
      </w:r>
      <w:r>
        <w:rPr>
          <w:rFonts w:ascii="Times New Roman" w:hAnsi="Times New Roman" w:cs="Times New Roman"/>
          <w:spacing w:val="-9"/>
          <w:sz w:val="24"/>
          <w:szCs w:val="24"/>
        </w:rPr>
        <w:t xml:space="preserve"> </w:t>
      </w:r>
      <w:r>
        <w:rPr>
          <w:rFonts w:ascii="Times New Roman" w:hAnsi="Times New Roman" w:cs="Times New Roman"/>
          <w:sz w:val="24"/>
          <w:szCs w:val="24"/>
        </w:rPr>
        <w:t>determinants</w:t>
      </w:r>
      <w:r>
        <w:rPr>
          <w:rFonts w:ascii="Times New Roman" w:hAnsi="Times New Roman" w:cs="Times New Roman"/>
          <w:spacing w:val="-10"/>
          <w:sz w:val="24"/>
          <w:szCs w:val="24"/>
        </w:rPr>
        <w:t xml:space="preserve"> </w:t>
      </w:r>
      <w:r>
        <w:rPr>
          <w:rFonts w:ascii="Times New Roman" w:hAnsi="Times New Roman" w:cs="Times New Roman"/>
          <w:sz w:val="24"/>
          <w:szCs w:val="24"/>
        </w:rPr>
        <w:t>of</w:t>
      </w:r>
      <w:r>
        <w:rPr>
          <w:rFonts w:ascii="Times New Roman" w:hAnsi="Times New Roman" w:cs="Times New Roman"/>
          <w:spacing w:val="-12"/>
          <w:sz w:val="24"/>
          <w:szCs w:val="24"/>
        </w:rPr>
        <w:t xml:space="preserve"> </w:t>
      </w:r>
      <w:r>
        <w:rPr>
          <w:rFonts w:ascii="Times New Roman" w:hAnsi="Times New Roman" w:cs="Times New Roman"/>
          <w:sz w:val="24"/>
          <w:szCs w:val="24"/>
        </w:rPr>
        <w:t>health by providing services such as medically tailored meals, housing stabilization services, and employment supports. One of the organizations with which we collaborate is Community Servings, a Boston based not-for-profit that prepares and delivers medically tailored meals to home-bound, critically and chronically ill individuals throughout</w:t>
      </w:r>
      <w:r>
        <w:rPr>
          <w:rFonts w:ascii="Times New Roman" w:hAnsi="Times New Roman" w:cs="Times New Roman"/>
          <w:spacing w:val="-8"/>
          <w:sz w:val="24"/>
          <w:szCs w:val="24"/>
        </w:rPr>
        <w:t xml:space="preserve"> </w:t>
      </w:r>
      <w:r>
        <w:rPr>
          <w:rFonts w:ascii="Times New Roman" w:hAnsi="Times New Roman" w:cs="Times New Roman"/>
          <w:sz w:val="24"/>
          <w:szCs w:val="24"/>
        </w:rPr>
        <w:t>Massachusetts.</w:t>
      </w:r>
    </w:p>
    <w:p w:rsidR="002C5025" w:rsidRDefault="002C5025">
      <w:pPr>
        <w:pStyle w:val="BodyText"/>
        <w:kinsoku w:val="0"/>
        <w:overflowPunct w:val="0"/>
        <w:spacing w:before="197"/>
        <w:ind w:left="120" w:right="120"/>
        <w:jc w:val="both"/>
        <w:rPr>
          <w:rFonts w:ascii="Times New Roman" w:hAnsi="Times New Roman" w:cs="Times New Roman"/>
          <w:sz w:val="24"/>
          <w:szCs w:val="24"/>
        </w:rPr>
      </w:pPr>
      <w:r>
        <w:rPr>
          <w:rFonts w:ascii="Times New Roman" w:hAnsi="Times New Roman" w:cs="Times New Roman"/>
          <w:sz w:val="24"/>
          <w:szCs w:val="24"/>
        </w:rPr>
        <w:t>We applaud EOHHS’ commitment to prioritizing social determinants of health as part of the MassHealth ACO model. Addressing social determinants of health, especially access to healthy and medically-appropriate food, is vital to patient-centered care because of the significant impact that social determinants can have on health outcomes.</w:t>
      </w:r>
    </w:p>
    <w:p w:rsidR="002C5025" w:rsidRDefault="002C5025">
      <w:pPr>
        <w:pStyle w:val="BodyText"/>
        <w:kinsoku w:val="0"/>
        <w:overflowPunct w:val="0"/>
        <w:spacing w:before="200" w:line="276" w:lineRule="exact"/>
        <w:ind w:left="120" w:right="116"/>
        <w:jc w:val="both"/>
        <w:rPr>
          <w:rFonts w:ascii="Times New Roman" w:hAnsi="Times New Roman" w:cs="Times New Roman"/>
          <w:sz w:val="24"/>
          <w:szCs w:val="24"/>
        </w:rPr>
      </w:pPr>
      <w:r>
        <w:rPr>
          <w:rFonts w:ascii="Times New Roman" w:hAnsi="Times New Roman" w:cs="Times New Roman"/>
          <w:sz w:val="24"/>
          <w:szCs w:val="24"/>
        </w:rPr>
        <w:t>Food insecurity occurs “whenever the availability of nutritionally adequate and safe foods or the ability</w:t>
      </w:r>
      <w:r>
        <w:rPr>
          <w:rFonts w:ascii="Times New Roman" w:hAnsi="Times New Roman" w:cs="Times New Roman"/>
          <w:spacing w:val="-16"/>
          <w:sz w:val="24"/>
          <w:szCs w:val="24"/>
        </w:rPr>
        <w:t xml:space="preserve"> </w:t>
      </w:r>
      <w:r>
        <w:rPr>
          <w:rFonts w:ascii="Times New Roman" w:hAnsi="Times New Roman" w:cs="Times New Roman"/>
          <w:sz w:val="24"/>
          <w:szCs w:val="24"/>
        </w:rPr>
        <w:t>to</w:t>
      </w:r>
      <w:r>
        <w:rPr>
          <w:rFonts w:ascii="Times New Roman" w:hAnsi="Times New Roman" w:cs="Times New Roman"/>
          <w:spacing w:val="-8"/>
          <w:sz w:val="24"/>
          <w:szCs w:val="24"/>
        </w:rPr>
        <w:t xml:space="preserve"> </w:t>
      </w:r>
      <w:r>
        <w:rPr>
          <w:rFonts w:ascii="Times New Roman" w:hAnsi="Times New Roman" w:cs="Times New Roman"/>
          <w:sz w:val="24"/>
          <w:szCs w:val="24"/>
        </w:rPr>
        <w:t>acquire</w:t>
      </w:r>
      <w:r>
        <w:rPr>
          <w:rFonts w:ascii="Times New Roman" w:hAnsi="Times New Roman" w:cs="Times New Roman"/>
          <w:spacing w:val="-10"/>
          <w:sz w:val="24"/>
          <w:szCs w:val="24"/>
        </w:rPr>
        <w:t xml:space="preserve"> </w:t>
      </w:r>
      <w:r>
        <w:rPr>
          <w:rFonts w:ascii="Times New Roman" w:hAnsi="Times New Roman" w:cs="Times New Roman"/>
          <w:sz w:val="24"/>
          <w:szCs w:val="24"/>
        </w:rPr>
        <w:t>acceptable</w:t>
      </w:r>
      <w:r>
        <w:rPr>
          <w:rFonts w:ascii="Times New Roman" w:hAnsi="Times New Roman" w:cs="Times New Roman"/>
          <w:spacing w:val="-9"/>
          <w:sz w:val="24"/>
          <w:szCs w:val="24"/>
        </w:rPr>
        <w:t xml:space="preserve"> </w:t>
      </w:r>
      <w:r>
        <w:rPr>
          <w:rFonts w:ascii="Times New Roman" w:hAnsi="Times New Roman" w:cs="Times New Roman"/>
          <w:sz w:val="24"/>
          <w:szCs w:val="24"/>
        </w:rPr>
        <w:t>foods</w:t>
      </w:r>
      <w:r>
        <w:rPr>
          <w:rFonts w:ascii="Times New Roman" w:hAnsi="Times New Roman" w:cs="Times New Roman"/>
          <w:spacing w:val="-7"/>
          <w:sz w:val="24"/>
          <w:szCs w:val="24"/>
        </w:rPr>
        <w:t xml:space="preserve"> </w:t>
      </w:r>
      <w:r>
        <w:rPr>
          <w:rFonts w:ascii="Times New Roman" w:hAnsi="Times New Roman" w:cs="Times New Roman"/>
          <w:sz w:val="24"/>
          <w:szCs w:val="24"/>
        </w:rPr>
        <w:t>in</w:t>
      </w:r>
      <w:r>
        <w:rPr>
          <w:rFonts w:ascii="Times New Roman" w:hAnsi="Times New Roman" w:cs="Times New Roman"/>
          <w:spacing w:val="-8"/>
          <w:sz w:val="24"/>
          <w:szCs w:val="24"/>
        </w:rPr>
        <w:t xml:space="preserve"> </w:t>
      </w:r>
      <w:r>
        <w:rPr>
          <w:rFonts w:ascii="Times New Roman" w:hAnsi="Times New Roman" w:cs="Times New Roman"/>
          <w:sz w:val="24"/>
          <w:szCs w:val="24"/>
        </w:rPr>
        <w:t>socially</w:t>
      </w:r>
      <w:r>
        <w:rPr>
          <w:rFonts w:ascii="Times New Roman" w:hAnsi="Times New Roman" w:cs="Times New Roman"/>
          <w:spacing w:val="-16"/>
          <w:sz w:val="24"/>
          <w:szCs w:val="24"/>
        </w:rPr>
        <w:t xml:space="preserve"> </w:t>
      </w:r>
      <w:r>
        <w:rPr>
          <w:rFonts w:ascii="Times New Roman" w:hAnsi="Times New Roman" w:cs="Times New Roman"/>
          <w:sz w:val="24"/>
          <w:szCs w:val="24"/>
        </w:rPr>
        <w:t>acceptable</w:t>
      </w:r>
      <w:r>
        <w:rPr>
          <w:rFonts w:ascii="Times New Roman" w:hAnsi="Times New Roman" w:cs="Times New Roman"/>
          <w:spacing w:val="-10"/>
          <w:sz w:val="24"/>
          <w:szCs w:val="24"/>
        </w:rPr>
        <w:t xml:space="preserve"> </w:t>
      </w:r>
      <w:r>
        <w:rPr>
          <w:rFonts w:ascii="Times New Roman" w:hAnsi="Times New Roman" w:cs="Times New Roman"/>
          <w:sz w:val="24"/>
          <w:szCs w:val="24"/>
        </w:rPr>
        <w:t>ways</w:t>
      </w:r>
      <w:r>
        <w:rPr>
          <w:rFonts w:ascii="Times New Roman" w:hAnsi="Times New Roman" w:cs="Times New Roman"/>
          <w:spacing w:val="-8"/>
          <w:sz w:val="24"/>
          <w:szCs w:val="24"/>
        </w:rPr>
        <w:t xml:space="preserve"> </w:t>
      </w:r>
      <w:r>
        <w:rPr>
          <w:rFonts w:ascii="Times New Roman" w:hAnsi="Times New Roman" w:cs="Times New Roman"/>
          <w:sz w:val="24"/>
          <w:szCs w:val="24"/>
        </w:rPr>
        <w:t>is</w:t>
      </w:r>
      <w:r>
        <w:rPr>
          <w:rFonts w:ascii="Times New Roman" w:hAnsi="Times New Roman" w:cs="Times New Roman"/>
          <w:spacing w:val="-8"/>
          <w:sz w:val="24"/>
          <w:szCs w:val="24"/>
        </w:rPr>
        <w:t xml:space="preserve"> </w:t>
      </w:r>
      <w:r>
        <w:rPr>
          <w:rFonts w:ascii="Times New Roman" w:hAnsi="Times New Roman" w:cs="Times New Roman"/>
          <w:sz w:val="24"/>
          <w:szCs w:val="24"/>
        </w:rPr>
        <w:t>limited</w:t>
      </w:r>
      <w:r>
        <w:rPr>
          <w:rFonts w:ascii="Times New Roman" w:hAnsi="Times New Roman" w:cs="Times New Roman"/>
          <w:spacing w:val="-9"/>
          <w:sz w:val="24"/>
          <w:szCs w:val="24"/>
        </w:rPr>
        <w:t xml:space="preserve"> </w:t>
      </w:r>
      <w:r>
        <w:rPr>
          <w:rFonts w:ascii="Times New Roman" w:hAnsi="Times New Roman" w:cs="Times New Roman"/>
          <w:sz w:val="24"/>
          <w:szCs w:val="24"/>
        </w:rPr>
        <w:t>or</w:t>
      </w:r>
      <w:r>
        <w:rPr>
          <w:rFonts w:ascii="Times New Roman" w:hAnsi="Times New Roman" w:cs="Times New Roman"/>
          <w:spacing w:val="-12"/>
          <w:sz w:val="24"/>
          <w:szCs w:val="24"/>
        </w:rPr>
        <w:t xml:space="preserve"> </w:t>
      </w:r>
      <w:r>
        <w:rPr>
          <w:rFonts w:ascii="Times New Roman" w:hAnsi="Times New Roman" w:cs="Times New Roman"/>
          <w:sz w:val="24"/>
          <w:szCs w:val="24"/>
        </w:rPr>
        <w:t>uncertain.”</w:t>
      </w:r>
      <w:r>
        <w:rPr>
          <w:rFonts w:ascii="Times New Roman" w:hAnsi="Times New Roman" w:cs="Times New Roman"/>
          <w:position w:val="9"/>
          <w:sz w:val="16"/>
          <w:szCs w:val="16"/>
        </w:rPr>
        <w:t>1</w:t>
      </w:r>
      <w:r>
        <w:rPr>
          <w:rFonts w:ascii="Times New Roman" w:hAnsi="Times New Roman" w:cs="Times New Roman"/>
          <w:spacing w:val="15"/>
          <w:position w:val="9"/>
          <w:sz w:val="16"/>
          <w:szCs w:val="16"/>
        </w:rPr>
        <w:t xml:space="preserve"> </w:t>
      </w:r>
      <w:r>
        <w:rPr>
          <w:rFonts w:ascii="Times New Roman" w:hAnsi="Times New Roman" w:cs="Times New Roman"/>
          <w:spacing w:val="-3"/>
          <w:sz w:val="24"/>
          <w:szCs w:val="24"/>
        </w:rPr>
        <w:t>In</w:t>
      </w:r>
      <w:r>
        <w:rPr>
          <w:rFonts w:ascii="Times New Roman" w:hAnsi="Times New Roman" w:cs="Times New Roman"/>
          <w:spacing w:val="-6"/>
          <w:sz w:val="24"/>
          <w:szCs w:val="24"/>
        </w:rPr>
        <w:t xml:space="preserve"> </w:t>
      </w:r>
      <w:r>
        <w:rPr>
          <w:rFonts w:ascii="Times New Roman" w:hAnsi="Times New Roman" w:cs="Times New Roman"/>
          <w:sz w:val="24"/>
          <w:szCs w:val="24"/>
        </w:rPr>
        <w:t>general,</w:t>
      </w:r>
    </w:p>
    <w:p w:rsidR="002C5025" w:rsidRDefault="002C5025">
      <w:pPr>
        <w:pStyle w:val="BodyText"/>
        <w:kinsoku w:val="0"/>
        <w:overflowPunct w:val="0"/>
        <w:rPr>
          <w:rFonts w:ascii="Times New Roman" w:hAnsi="Times New Roman" w:cs="Times New Roman"/>
          <w:sz w:val="20"/>
          <w:szCs w:val="20"/>
        </w:rPr>
      </w:pPr>
    </w:p>
    <w:p w:rsidR="002C5025" w:rsidRDefault="00FB027C">
      <w:pPr>
        <w:pStyle w:val="BodyText"/>
        <w:kinsoku w:val="0"/>
        <w:overflowPunct w:val="0"/>
        <w:spacing w:before="2"/>
        <w:rPr>
          <w:rFonts w:ascii="Times New Roman" w:hAnsi="Times New Roman" w:cs="Times New Roman"/>
          <w:sz w:val="10"/>
          <w:szCs w:val="10"/>
        </w:rPr>
      </w:pPr>
      <w:r>
        <w:rPr>
          <w:noProof/>
        </w:rPr>
        <mc:AlternateContent>
          <mc:Choice Requires="wps">
            <w:drawing>
              <wp:anchor distT="0" distB="0" distL="0" distR="0" simplePos="0" relativeHeight="251563520" behindDoc="0" locked="0" layoutInCell="0" allowOverlap="1">
                <wp:simplePos x="0" y="0"/>
                <wp:positionH relativeFrom="page">
                  <wp:posOffset>914400</wp:posOffset>
                </wp:positionH>
                <wp:positionV relativeFrom="paragraph">
                  <wp:posOffset>103505</wp:posOffset>
                </wp:positionV>
                <wp:extent cx="1829435" cy="12700"/>
                <wp:effectExtent l="0" t="0" r="0" b="0"/>
                <wp:wrapTopAndBottom/>
                <wp:docPr id="766" name="Freeform 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0 w 2881"/>
                            <a:gd name="T3" fmla="*/ 0 h 20"/>
                          </a:gdLst>
                          <a:ahLst/>
                          <a:cxnLst>
                            <a:cxn ang="0">
                              <a:pos x="T0" y="T1"/>
                            </a:cxn>
                            <a:cxn ang="0">
                              <a:pos x="T2" y="T3"/>
                            </a:cxn>
                          </a:cxnLst>
                          <a:rect l="0" t="0" r="r" b="b"/>
                          <a:pathLst>
                            <a:path w="2881" h="20">
                              <a:moveTo>
                                <a:pt x="0" y="0"/>
                              </a:moveTo>
                              <a:lnTo>
                                <a:pt x="288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59" o:spid="_x0000_s1026" style="position:absolute;z-index:25156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8.15pt,3in,8.15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" o:allowincell="f" filled="f" strokeweight=".25397mm">
                <v:path arrowok="t" o:connecttype="custom" o:connectlocs="0,0;1828800,0" o:connectangles="0,0"/>
                <w10:wrap type="topAndBottom" anchorx="page"/>
              </v:polyline>
            </w:pict>
          </mc:Fallback>
        </mc:AlternateContent>
      </w:r>
    </w:p>
    <w:p w:rsidR="002C5025" w:rsidRDefault="002C5025">
      <w:pPr>
        <w:pStyle w:val="BodyText"/>
        <w:kinsoku w:val="0"/>
        <w:overflowPunct w:val="0"/>
        <w:spacing w:before="65"/>
        <w:ind w:left="120"/>
        <w:rPr>
          <w:rFonts w:ascii="Times New Roman" w:hAnsi="Times New Roman" w:cs="Times New Roman"/>
          <w:sz w:val="18"/>
          <w:szCs w:val="18"/>
        </w:rPr>
      </w:pPr>
      <w:r>
        <w:rPr>
          <w:rFonts w:ascii="Times New Roman" w:hAnsi="Times New Roman" w:cs="Times New Roman"/>
          <w:position w:val="6"/>
          <w:sz w:val="12"/>
          <w:szCs w:val="12"/>
        </w:rPr>
        <w:t xml:space="preserve">1 </w:t>
      </w:r>
      <w:r>
        <w:rPr>
          <w:rFonts w:ascii="Times New Roman" w:hAnsi="Times New Roman" w:cs="Times New Roman"/>
          <w:sz w:val="18"/>
          <w:szCs w:val="18"/>
        </w:rPr>
        <w:t xml:space="preserve">David A. </w:t>
      </w:r>
      <w:proofErr w:type="spellStart"/>
      <w:r>
        <w:rPr>
          <w:rFonts w:ascii="Times New Roman" w:hAnsi="Times New Roman" w:cs="Times New Roman"/>
          <w:sz w:val="18"/>
          <w:szCs w:val="18"/>
        </w:rPr>
        <w:t>Himmelgreen</w:t>
      </w:r>
      <w:proofErr w:type="spellEnd"/>
      <w:r>
        <w:rPr>
          <w:rFonts w:ascii="Times New Roman" w:hAnsi="Times New Roman" w:cs="Times New Roman"/>
          <w:sz w:val="18"/>
          <w:szCs w:val="18"/>
        </w:rPr>
        <w:t xml:space="preserve"> et al., </w:t>
      </w:r>
      <w:r>
        <w:rPr>
          <w:rFonts w:ascii="Times New Roman" w:hAnsi="Times New Roman" w:cs="Times New Roman"/>
          <w:i/>
          <w:iCs/>
          <w:sz w:val="18"/>
          <w:szCs w:val="18"/>
        </w:rPr>
        <w:t>A Comparison of the Nutritional Status and Food Security of Drug-Using and Non-Drug-Using Hispanic Women in Hartford</w:t>
      </w:r>
      <w:r>
        <w:rPr>
          <w:rFonts w:ascii="Times New Roman" w:hAnsi="Times New Roman" w:cs="Times New Roman"/>
          <w:sz w:val="18"/>
          <w:szCs w:val="18"/>
        </w:rPr>
        <w:t xml:space="preserve">, </w:t>
      </w:r>
      <w:r>
        <w:rPr>
          <w:rFonts w:ascii="Times New Roman" w:hAnsi="Times New Roman" w:cs="Times New Roman"/>
          <w:i/>
          <w:iCs/>
          <w:sz w:val="18"/>
          <w:szCs w:val="18"/>
        </w:rPr>
        <w:t>Connecticut</w:t>
      </w:r>
      <w:r>
        <w:rPr>
          <w:rFonts w:ascii="Times New Roman" w:hAnsi="Times New Roman" w:cs="Times New Roman"/>
          <w:sz w:val="18"/>
          <w:szCs w:val="18"/>
        </w:rPr>
        <w:t>, 107 A</w:t>
      </w:r>
      <w:r>
        <w:rPr>
          <w:rFonts w:ascii="Times New Roman" w:hAnsi="Times New Roman" w:cs="Times New Roman"/>
          <w:sz w:val="14"/>
          <w:szCs w:val="14"/>
        </w:rPr>
        <w:t>M</w:t>
      </w:r>
      <w:r>
        <w:rPr>
          <w:rFonts w:ascii="Times New Roman" w:hAnsi="Times New Roman" w:cs="Times New Roman"/>
          <w:sz w:val="18"/>
          <w:szCs w:val="18"/>
        </w:rPr>
        <w:t>. J. P</w:t>
      </w:r>
      <w:r>
        <w:rPr>
          <w:rFonts w:ascii="Times New Roman" w:hAnsi="Times New Roman" w:cs="Times New Roman"/>
          <w:sz w:val="14"/>
          <w:szCs w:val="14"/>
        </w:rPr>
        <w:t>HYS</w:t>
      </w:r>
      <w:r>
        <w:rPr>
          <w:rFonts w:ascii="Times New Roman" w:hAnsi="Times New Roman" w:cs="Times New Roman"/>
          <w:sz w:val="18"/>
          <w:szCs w:val="18"/>
        </w:rPr>
        <w:t>. A</w:t>
      </w:r>
      <w:r>
        <w:rPr>
          <w:rFonts w:ascii="Times New Roman" w:hAnsi="Times New Roman" w:cs="Times New Roman"/>
          <w:sz w:val="14"/>
          <w:szCs w:val="14"/>
        </w:rPr>
        <w:t>NTHROP</w:t>
      </w:r>
      <w:r>
        <w:rPr>
          <w:rFonts w:ascii="Times New Roman" w:hAnsi="Times New Roman" w:cs="Times New Roman"/>
          <w:sz w:val="18"/>
          <w:szCs w:val="18"/>
        </w:rPr>
        <w:t>. 353 (1998).</w:t>
      </w:r>
    </w:p>
    <w:p w:rsidR="002C5025" w:rsidRDefault="002C5025">
      <w:pPr>
        <w:pStyle w:val="BodyText"/>
        <w:kinsoku w:val="0"/>
        <w:overflowPunct w:val="0"/>
        <w:ind w:left="2"/>
        <w:jc w:val="center"/>
        <w:rPr>
          <w:rFonts w:ascii="Times New Roman" w:hAnsi="Times New Roman" w:cs="Times New Roman"/>
        </w:rPr>
      </w:pPr>
      <w:r>
        <w:rPr>
          <w:rFonts w:ascii="Times New Roman" w:hAnsi="Times New Roman" w:cs="Times New Roman"/>
        </w:rPr>
        <w:t>1</w:t>
      </w:r>
    </w:p>
    <w:p w:rsidR="002C5025" w:rsidRDefault="002C5025">
      <w:pPr>
        <w:pStyle w:val="BodyText"/>
        <w:kinsoku w:val="0"/>
        <w:overflowPunct w:val="0"/>
        <w:ind w:left="2"/>
        <w:jc w:val="center"/>
        <w:rPr>
          <w:rFonts w:ascii="Times New Roman" w:hAnsi="Times New Roman" w:cs="Times New Roman"/>
        </w:rPr>
        <w:sectPr w:rsidR="002C5025">
          <w:pgSz w:w="12240" w:h="15840"/>
          <w:pgMar w:top="1500" w:right="1320" w:bottom="280" w:left="1320" w:header="720" w:footer="720" w:gutter="0"/>
          <w:cols w:space="720" w:equalWidth="0">
            <w:col w:w="9600"/>
          </w:cols>
          <w:noEndnote/>
        </w:sectPr>
      </w:pPr>
    </w:p>
    <w:p w:rsidR="002C5025" w:rsidRDefault="002C5025">
      <w:pPr>
        <w:pStyle w:val="BodyText"/>
        <w:kinsoku w:val="0"/>
        <w:overflowPunct w:val="0"/>
        <w:spacing w:before="5"/>
        <w:rPr>
          <w:rFonts w:ascii="Times New Roman" w:hAnsi="Times New Roman" w:cs="Times New Roman"/>
          <w:sz w:val="11"/>
          <w:szCs w:val="11"/>
        </w:rPr>
      </w:pPr>
    </w:p>
    <w:p w:rsidR="002C5025" w:rsidRDefault="002C5025">
      <w:pPr>
        <w:pStyle w:val="BodyText"/>
        <w:kinsoku w:val="0"/>
        <w:overflowPunct w:val="0"/>
        <w:spacing w:before="76" w:line="232" w:lineRule="auto"/>
        <w:ind w:left="120" w:right="114"/>
        <w:jc w:val="both"/>
        <w:rPr>
          <w:rFonts w:ascii="Times New Roman" w:hAnsi="Times New Roman" w:cs="Times New Roman"/>
          <w:position w:val="9"/>
          <w:sz w:val="16"/>
          <w:szCs w:val="16"/>
        </w:rPr>
      </w:pPr>
      <w:r>
        <w:rPr>
          <w:rFonts w:ascii="Times New Roman" w:hAnsi="Times New Roman" w:cs="Times New Roman"/>
          <w:sz w:val="24"/>
          <w:szCs w:val="24"/>
        </w:rPr>
        <w:t>food insecurity is linked to “poor child development, increased hospitalizations, anemia, asthma, suicidal ideation, depression and anxiety, diabetes, and chronic disease.”</w:t>
      </w:r>
      <w:r>
        <w:rPr>
          <w:rFonts w:ascii="Times New Roman" w:hAnsi="Times New Roman" w:cs="Times New Roman"/>
          <w:position w:val="9"/>
          <w:sz w:val="16"/>
          <w:szCs w:val="16"/>
        </w:rPr>
        <w:t xml:space="preserve">2 </w:t>
      </w:r>
      <w:r>
        <w:rPr>
          <w:rFonts w:ascii="Times New Roman" w:hAnsi="Times New Roman" w:cs="Times New Roman"/>
          <w:sz w:val="24"/>
          <w:szCs w:val="24"/>
        </w:rPr>
        <w:t>By offering nutritional counseling</w:t>
      </w:r>
      <w:r>
        <w:rPr>
          <w:rFonts w:ascii="Times New Roman" w:hAnsi="Times New Roman" w:cs="Times New Roman"/>
          <w:spacing w:val="-9"/>
          <w:sz w:val="24"/>
          <w:szCs w:val="24"/>
        </w:rPr>
        <w:t xml:space="preserve"> </w:t>
      </w:r>
      <w:r>
        <w:rPr>
          <w:rFonts w:ascii="Times New Roman" w:hAnsi="Times New Roman" w:cs="Times New Roman"/>
          <w:sz w:val="24"/>
          <w:szCs w:val="24"/>
        </w:rPr>
        <w:t>and</w:t>
      </w:r>
      <w:r>
        <w:rPr>
          <w:rFonts w:ascii="Times New Roman" w:hAnsi="Times New Roman" w:cs="Times New Roman"/>
          <w:spacing w:val="-9"/>
          <w:sz w:val="24"/>
          <w:szCs w:val="24"/>
        </w:rPr>
        <w:t xml:space="preserve"> </w:t>
      </w:r>
      <w:r>
        <w:rPr>
          <w:rFonts w:ascii="Times New Roman" w:hAnsi="Times New Roman" w:cs="Times New Roman"/>
          <w:sz w:val="24"/>
          <w:szCs w:val="24"/>
        </w:rPr>
        <w:t>directly</w:t>
      </w:r>
      <w:r>
        <w:rPr>
          <w:rFonts w:ascii="Times New Roman" w:hAnsi="Times New Roman" w:cs="Times New Roman"/>
          <w:spacing w:val="-13"/>
          <w:sz w:val="24"/>
          <w:szCs w:val="24"/>
        </w:rPr>
        <w:t xml:space="preserve"> </w:t>
      </w:r>
      <w:r>
        <w:rPr>
          <w:rFonts w:ascii="Times New Roman" w:hAnsi="Times New Roman" w:cs="Times New Roman"/>
          <w:sz w:val="24"/>
          <w:szCs w:val="24"/>
        </w:rPr>
        <w:t>providing</w:t>
      </w:r>
      <w:r>
        <w:rPr>
          <w:rFonts w:ascii="Times New Roman" w:hAnsi="Times New Roman" w:cs="Times New Roman"/>
          <w:spacing w:val="-9"/>
          <w:sz w:val="24"/>
          <w:szCs w:val="24"/>
        </w:rPr>
        <w:t xml:space="preserve"> </w:t>
      </w:r>
      <w:r>
        <w:rPr>
          <w:rFonts w:ascii="Times New Roman" w:hAnsi="Times New Roman" w:cs="Times New Roman"/>
          <w:sz w:val="24"/>
          <w:szCs w:val="24"/>
        </w:rPr>
        <w:t>healthy,</w:t>
      </w:r>
      <w:r>
        <w:rPr>
          <w:rFonts w:ascii="Times New Roman" w:hAnsi="Times New Roman" w:cs="Times New Roman"/>
          <w:spacing w:val="-9"/>
          <w:sz w:val="24"/>
          <w:szCs w:val="24"/>
        </w:rPr>
        <w:t xml:space="preserve"> </w:t>
      </w:r>
      <w:r>
        <w:rPr>
          <w:rFonts w:ascii="Times New Roman" w:hAnsi="Times New Roman" w:cs="Times New Roman"/>
          <w:sz w:val="24"/>
          <w:szCs w:val="24"/>
        </w:rPr>
        <w:t>medically-appropriate</w:t>
      </w:r>
      <w:r>
        <w:rPr>
          <w:rFonts w:ascii="Times New Roman" w:hAnsi="Times New Roman" w:cs="Times New Roman"/>
          <w:spacing w:val="-7"/>
          <w:sz w:val="24"/>
          <w:szCs w:val="24"/>
        </w:rPr>
        <w:t xml:space="preserve"> </w:t>
      </w:r>
      <w:r>
        <w:rPr>
          <w:rFonts w:ascii="Times New Roman" w:hAnsi="Times New Roman" w:cs="Times New Roman"/>
          <w:sz w:val="24"/>
          <w:szCs w:val="24"/>
        </w:rPr>
        <w:t>food,</w:t>
      </w:r>
      <w:r>
        <w:rPr>
          <w:rFonts w:ascii="Times New Roman" w:hAnsi="Times New Roman" w:cs="Times New Roman"/>
          <w:spacing w:val="-6"/>
          <w:sz w:val="24"/>
          <w:szCs w:val="24"/>
        </w:rPr>
        <w:t xml:space="preserve"> </w:t>
      </w:r>
      <w:r>
        <w:rPr>
          <w:rFonts w:ascii="Times New Roman" w:hAnsi="Times New Roman" w:cs="Times New Roman"/>
          <w:sz w:val="24"/>
          <w:szCs w:val="24"/>
        </w:rPr>
        <w:t>food</w:t>
      </w:r>
      <w:r>
        <w:rPr>
          <w:rFonts w:ascii="Times New Roman" w:hAnsi="Times New Roman" w:cs="Times New Roman"/>
          <w:spacing w:val="-7"/>
          <w:sz w:val="24"/>
          <w:szCs w:val="24"/>
        </w:rPr>
        <w:t xml:space="preserve"> </w:t>
      </w:r>
      <w:r>
        <w:rPr>
          <w:rFonts w:ascii="Times New Roman" w:hAnsi="Times New Roman" w:cs="Times New Roman"/>
          <w:sz w:val="24"/>
          <w:szCs w:val="24"/>
        </w:rPr>
        <w:t>and</w:t>
      </w:r>
      <w:r>
        <w:rPr>
          <w:rFonts w:ascii="Times New Roman" w:hAnsi="Times New Roman" w:cs="Times New Roman"/>
          <w:spacing w:val="-8"/>
          <w:sz w:val="24"/>
          <w:szCs w:val="24"/>
        </w:rPr>
        <w:t xml:space="preserve"> </w:t>
      </w:r>
      <w:r>
        <w:rPr>
          <w:rFonts w:ascii="Times New Roman" w:hAnsi="Times New Roman" w:cs="Times New Roman"/>
          <w:sz w:val="24"/>
          <w:szCs w:val="24"/>
        </w:rPr>
        <w:t>nutrition</w:t>
      </w:r>
      <w:r>
        <w:rPr>
          <w:rFonts w:ascii="Times New Roman" w:hAnsi="Times New Roman" w:cs="Times New Roman"/>
          <w:spacing w:val="-8"/>
          <w:sz w:val="24"/>
          <w:szCs w:val="24"/>
        </w:rPr>
        <w:t xml:space="preserve"> </w:t>
      </w:r>
      <w:r>
        <w:rPr>
          <w:rFonts w:ascii="Times New Roman" w:hAnsi="Times New Roman" w:cs="Times New Roman"/>
          <w:sz w:val="24"/>
          <w:szCs w:val="24"/>
        </w:rPr>
        <w:t>services (FNS) improve these health outcomes. Provision of FNS has been shown to reduce emergency room visits and hospital stays, enhance treatment adherence, and improve disease</w:t>
      </w:r>
      <w:r>
        <w:rPr>
          <w:rFonts w:ascii="Times New Roman" w:hAnsi="Times New Roman" w:cs="Times New Roman"/>
          <w:spacing w:val="-11"/>
          <w:sz w:val="24"/>
          <w:szCs w:val="24"/>
        </w:rPr>
        <w:t xml:space="preserve"> </w:t>
      </w:r>
      <w:r>
        <w:rPr>
          <w:rFonts w:ascii="Times New Roman" w:hAnsi="Times New Roman" w:cs="Times New Roman"/>
          <w:sz w:val="24"/>
          <w:szCs w:val="24"/>
        </w:rPr>
        <w:t>management.</w:t>
      </w:r>
      <w:r>
        <w:rPr>
          <w:rFonts w:ascii="Times New Roman" w:hAnsi="Times New Roman" w:cs="Times New Roman"/>
          <w:position w:val="9"/>
          <w:sz w:val="16"/>
          <w:szCs w:val="16"/>
        </w:rPr>
        <w:t>3</w:t>
      </w:r>
    </w:p>
    <w:p w:rsidR="002C5025" w:rsidRDefault="002C5025">
      <w:pPr>
        <w:pStyle w:val="BodyText"/>
        <w:kinsoku w:val="0"/>
        <w:overflowPunct w:val="0"/>
        <w:spacing w:before="201" w:line="276" w:lineRule="exact"/>
        <w:ind w:left="120" w:right="117"/>
        <w:jc w:val="both"/>
        <w:rPr>
          <w:rFonts w:ascii="Times New Roman" w:hAnsi="Times New Roman" w:cs="Times New Roman"/>
          <w:position w:val="9"/>
          <w:sz w:val="16"/>
          <w:szCs w:val="16"/>
        </w:rPr>
      </w:pPr>
      <w:r>
        <w:rPr>
          <w:rFonts w:ascii="Times New Roman" w:hAnsi="Times New Roman" w:cs="Times New Roman"/>
          <w:sz w:val="24"/>
          <w:szCs w:val="24"/>
        </w:rPr>
        <w:t>Social determinants, such as food insecurity, can also play an important role in efforts to address substance use disorders (SUDs). For example, families with very low food security exhibited 10 times the rate of heroin use in the past 30 days compared to the general population.</w:t>
      </w:r>
      <w:r>
        <w:rPr>
          <w:rFonts w:ascii="Times New Roman" w:hAnsi="Times New Roman" w:cs="Times New Roman"/>
          <w:position w:val="9"/>
          <w:sz w:val="16"/>
          <w:szCs w:val="16"/>
        </w:rPr>
        <w:t xml:space="preserve">4 </w:t>
      </w:r>
      <w:r>
        <w:rPr>
          <w:rFonts w:ascii="Times New Roman" w:hAnsi="Times New Roman" w:cs="Times New Roman"/>
          <w:sz w:val="24"/>
          <w:szCs w:val="24"/>
        </w:rPr>
        <w:t>Further, individuals with SUDs who are food insecure experience “diminished physical and mental health states … including obesity, diabetes, heart disease, hypertension, and depression.”</w:t>
      </w:r>
      <w:r>
        <w:rPr>
          <w:rFonts w:ascii="Times New Roman" w:hAnsi="Times New Roman" w:cs="Times New Roman"/>
          <w:position w:val="9"/>
          <w:sz w:val="16"/>
          <w:szCs w:val="16"/>
        </w:rPr>
        <w:t>5</w:t>
      </w:r>
    </w:p>
    <w:p w:rsidR="002C5025" w:rsidRDefault="002C5025">
      <w:pPr>
        <w:pStyle w:val="BodyText"/>
        <w:kinsoku w:val="0"/>
        <w:overflowPunct w:val="0"/>
        <w:spacing w:before="1"/>
        <w:rPr>
          <w:rFonts w:ascii="Times New Roman" w:hAnsi="Times New Roman" w:cs="Times New Roman"/>
          <w:sz w:val="23"/>
          <w:szCs w:val="23"/>
        </w:rPr>
      </w:pPr>
    </w:p>
    <w:p w:rsidR="002C5025" w:rsidRDefault="002C5025">
      <w:pPr>
        <w:pStyle w:val="BodyText"/>
        <w:kinsoku w:val="0"/>
        <w:overflowPunct w:val="0"/>
        <w:spacing w:line="242" w:lineRule="auto"/>
        <w:ind w:left="120" w:right="114"/>
        <w:jc w:val="both"/>
        <w:rPr>
          <w:rFonts w:ascii="Times New Roman" w:hAnsi="Times New Roman" w:cs="Times New Roman"/>
          <w:sz w:val="24"/>
          <w:szCs w:val="24"/>
        </w:rPr>
      </w:pPr>
      <w:r>
        <w:rPr>
          <w:rFonts w:ascii="Times New Roman" w:hAnsi="Times New Roman" w:cs="Times New Roman"/>
          <w:sz w:val="24"/>
          <w:szCs w:val="24"/>
        </w:rPr>
        <w:t>CHLPI and Community Servings therefore encourage EOHHS to take the following steps to maximize the positive impact of the new ACOs in addressing social determinants of health:</w:t>
      </w:r>
    </w:p>
    <w:p w:rsidR="002C5025" w:rsidRDefault="002C5025">
      <w:pPr>
        <w:pStyle w:val="ListParagraph"/>
        <w:numPr>
          <w:ilvl w:val="0"/>
          <w:numId w:val="71"/>
        </w:numPr>
        <w:tabs>
          <w:tab w:val="left" w:pos="841"/>
        </w:tabs>
        <w:kinsoku w:val="0"/>
        <w:overflowPunct w:val="0"/>
        <w:spacing w:before="199"/>
        <w:rPr>
          <w:b/>
          <w:bCs/>
        </w:rPr>
      </w:pPr>
      <w:r>
        <w:rPr>
          <w:b/>
          <w:bCs/>
        </w:rPr>
        <w:t>Clarify the requirements around ACO flexible spending services</w:t>
      </w:r>
      <w:r>
        <w:rPr>
          <w:b/>
          <w:bCs/>
          <w:spacing w:val="-19"/>
        </w:rPr>
        <w:t xml:space="preserve"> </w:t>
      </w:r>
      <w:r>
        <w:rPr>
          <w:b/>
          <w:bCs/>
        </w:rPr>
        <w:t>(FSS).</w:t>
      </w:r>
    </w:p>
    <w:p w:rsidR="002C5025" w:rsidRDefault="002C5025">
      <w:pPr>
        <w:pStyle w:val="BodyText"/>
        <w:kinsoku w:val="0"/>
        <w:overflowPunct w:val="0"/>
        <w:spacing w:before="6"/>
        <w:rPr>
          <w:rFonts w:ascii="Times New Roman" w:hAnsi="Times New Roman" w:cs="Times New Roman"/>
          <w:b/>
          <w:bCs/>
          <w:sz w:val="23"/>
          <w:szCs w:val="23"/>
        </w:rPr>
      </w:pPr>
    </w:p>
    <w:p w:rsidR="002C5025" w:rsidRDefault="002C5025">
      <w:pPr>
        <w:pStyle w:val="BodyText"/>
        <w:kinsoku w:val="0"/>
        <w:overflowPunct w:val="0"/>
        <w:ind w:left="120" w:right="114"/>
        <w:jc w:val="both"/>
        <w:rPr>
          <w:rFonts w:ascii="Times New Roman" w:hAnsi="Times New Roman" w:cs="Times New Roman"/>
          <w:sz w:val="24"/>
          <w:szCs w:val="24"/>
        </w:rPr>
      </w:pPr>
      <w:r>
        <w:rPr>
          <w:rFonts w:ascii="Times New Roman" w:hAnsi="Times New Roman" w:cs="Times New Roman"/>
          <w:sz w:val="24"/>
          <w:szCs w:val="24"/>
        </w:rPr>
        <w:t>Under</w:t>
      </w:r>
      <w:r>
        <w:rPr>
          <w:rFonts w:ascii="Times New Roman" w:hAnsi="Times New Roman" w:cs="Times New Roman"/>
          <w:spacing w:val="-6"/>
          <w:sz w:val="24"/>
          <w:szCs w:val="24"/>
        </w:rPr>
        <w:t xml:space="preserve"> </w:t>
      </w:r>
      <w:r>
        <w:rPr>
          <w:rFonts w:ascii="Times New Roman" w:hAnsi="Times New Roman" w:cs="Times New Roman"/>
          <w:sz w:val="24"/>
          <w:szCs w:val="24"/>
        </w:rPr>
        <w:t>Section</w:t>
      </w:r>
      <w:r>
        <w:rPr>
          <w:rFonts w:ascii="Times New Roman" w:hAnsi="Times New Roman" w:cs="Times New Roman"/>
          <w:spacing w:val="-5"/>
          <w:sz w:val="24"/>
          <w:szCs w:val="24"/>
        </w:rPr>
        <w:t xml:space="preserve"> </w:t>
      </w:r>
      <w:r>
        <w:rPr>
          <w:rFonts w:ascii="Times New Roman" w:hAnsi="Times New Roman" w:cs="Times New Roman"/>
          <w:sz w:val="24"/>
          <w:szCs w:val="24"/>
        </w:rPr>
        <w:t>4.2.2</w:t>
      </w:r>
      <w:r>
        <w:rPr>
          <w:rFonts w:ascii="Times New Roman" w:hAnsi="Times New Roman" w:cs="Times New Roman"/>
          <w:spacing w:val="-5"/>
          <w:sz w:val="24"/>
          <w:szCs w:val="24"/>
        </w:rPr>
        <w:t xml:space="preserve"> </w:t>
      </w:r>
      <w:r>
        <w:rPr>
          <w:rFonts w:ascii="Times New Roman" w:hAnsi="Times New Roman" w:cs="Times New Roman"/>
          <w:sz w:val="24"/>
          <w:szCs w:val="24"/>
        </w:rPr>
        <w:t>of</w:t>
      </w:r>
      <w:r>
        <w:rPr>
          <w:rFonts w:ascii="Times New Roman" w:hAnsi="Times New Roman" w:cs="Times New Roman"/>
          <w:spacing w:val="-5"/>
          <w:sz w:val="24"/>
          <w:szCs w:val="24"/>
        </w:rPr>
        <w:t xml:space="preserve"> </w:t>
      </w:r>
      <w:r>
        <w:rPr>
          <w:rFonts w:ascii="Times New Roman" w:hAnsi="Times New Roman" w:cs="Times New Roman"/>
          <w:sz w:val="24"/>
          <w:szCs w:val="24"/>
        </w:rPr>
        <w:t>the</w:t>
      </w:r>
      <w:r>
        <w:rPr>
          <w:rFonts w:ascii="Times New Roman" w:hAnsi="Times New Roman" w:cs="Times New Roman"/>
          <w:spacing w:val="-5"/>
          <w:sz w:val="24"/>
          <w:szCs w:val="24"/>
        </w:rPr>
        <w:t xml:space="preserve"> </w:t>
      </w:r>
      <w:r>
        <w:rPr>
          <w:rFonts w:ascii="Times New Roman" w:hAnsi="Times New Roman" w:cs="Times New Roman"/>
          <w:sz w:val="24"/>
          <w:szCs w:val="24"/>
        </w:rPr>
        <w:t>Request,</w:t>
      </w:r>
      <w:r>
        <w:rPr>
          <w:rFonts w:ascii="Times New Roman" w:hAnsi="Times New Roman" w:cs="Times New Roman"/>
          <w:spacing w:val="-5"/>
          <w:sz w:val="24"/>
          <w:szCs w:val="24"/>
        </w:rPr>
        <w:t xml:space="preserve"> </w:t>
      </w:r>
      <w:r>
        <w:rPr>
          <w:rFonts w:ascii="Times New Roman" w:hAnsi="Times New Roman" w:cs="Times New Roman"/>
          <w:sz w:val="24"/>
          <w:szCs w:val="24"/>
        </w:rPr>
        <w:t>EOHHS</w:t>
      </w:r>
      <w:r>
        <w:rPr>
          <w:rFonts w:ascii="Times New Roman" w:hAnsi="Times New Roman" w:cs="Times New Roman"/>
          <w:spacing w:val="-4"/>
          <w:sz w:val="24"/>
          <w:szCs w:val="24"/>
        </w:rPr>
        <w:t xml:space="preserve"> </w:t>
      </w:r>
      <w:r>
        <w:rPr>
          <w:rFonts w:ascii="Times New Roman" w:hAnsi="Times New Roman" w:cs="Times New Roman"/>
          <w:sz w:val="24"/>
          <w:szCs w:val="24"/>
        </w:rPr>
        <w:t>states</w:t>
      </w:r>
      <w:r>
        <w:rPr>
          <w:rFonts w:ascii="Times New Roman" w:hAnsi="Times New Roman" w:cs="Times New Roman"/>
          <w:spacing w:val="-5"/>
          <w:sz w:val="24"/>
          <w:szCs w:val="24"/>
        </w:rPr>
        <w:t xml:space="preserve"> </w:t>
      </w:r>
      <w:r>
        <w:rPr>
          <w:rFonts w:ascii="Times New Roman" w:hAnsi="Times New Roman" w:cs="Times New Roman"/>
          <w:sz w:val="24"/>
          <w:szCs w:val="24"/>
        </w:rPr>
        <w:t>that</w:t>
      </w:r>
      <w:r>
        <w:rPr>
          <w:rFonts w:ascii="Times New Roman" w:hAnsi="Times New Roman" w:cs="Times New Roman"/>
          <w:spacing w:val="-5"/>
          <w:sz w:val="24"/>
          <w:szCs w:val="24"/>
        </w:rPr>
        <w:t xml:space="preserve"> </w:t>
      </w:r>
      <w:r>
        <w:rPr>
          <w:rFonts w:ascii="Times New Roman" w:hAnsi="Times New Roman" w:cs="Times New Roman"/>
          <w:sz w:val="24"/>
          <w:szCs w:val="24"/>
        </w:rPr>
        <w:t>spending</w:t>
      </w:r>
      <w:r>
        <w:rPr>
          <w:rFonts w:ascii="Times New Roman" w:hAnsi="Times New Roman" w:cs="Times New Roman"/>
          <w:spacing w:val="-7"/>
          <w:sz w:val="24"/>
          <w:szCs w:val="24"/>
        </w:rPr>
        <w:t xml:space="preserve"> </w:t>
      </w:r>
      <w:r>
        <w:rPr>
          <w:rFonts w:ascii="Times New Roman" w:hAnsi="Times New Roman" w:cs="Times New Roman"/>
          <w:sz w:val="24"/>
          <w:szCs w:val="24"/>
        </w:rPr>
        <w:t>for</w:t>
      </w:r>
      <w:r>
        <w:rPr>
          <w:rFonts w:ascii="Times New Roman" w:hAnsi="Times New Roman" w:cs="Times New Roman"/>
          <w:spacing w:val="-6"/>
          <w:sz w:val="24"/>
          <w:szCs w:val="24"/>
        </w:rPr>
        <w:t xml:space="preserve"> </w:t>
      </w:r>
      <w:r>
        <w:rPr>
          <w:rFonts w:ascii="Times New Roman" w:hAnsi="Times New Roman" w:cs="Times New Roman"/>
          <w:sz w:val="24"/>
          <w:szCs w:val="24"/>
        </w:rPr>
        <w:t>flexible</w:t>
      </w:r>
      <w:r>
        <w:rPr>
          <w:rFonts w:ascii="Times New Roman" w:hAnsi="Times New Roman" w:cs="Times New Roman"/>
          <w:spacing w:val="-5"/>
          <w:sz w:val="24"/>
          <w:szCs w:val="24"/>
        </w:rPr>
        <w:t xml:space="preserve"> </w:t>
      </w:r>
      <w:r>
        <w:rPr>
          <w:rFonts w:ascii="Times New Roman" w:hAnsi="Times New Roman" w:cs="Times New Roman"/>
          <w:sz w:val="24"/>
          <w:szCs w:val="24"/>
        </w:rPr>
        <w:t>services</w:t>
      </w:r>
      <w:r>
        <w:rPr>
          <w:rFonts w:ascii="Times New Roman" w:hAnsi="Times New Roman" w:cs="Times New Roman"/>
          <w:spacing w:val="-4"/>
          <w:sz w:val="24"/>
          <w:szCs w:val="24"/>
        </w:rPr>
        <w:t xml:space="preserve"> </w:t>
      </w:r>
      <w:r>
        <w:rPr>
          <w:rFonts w:ascii="Times New Roman" w:hAnsi="Times New Roman" w:cs="Times New Roman"/>
          <w:sz w:val="24"/>
          <w:szCs w:val="24"/>
        </w:rPr>
        <w:t>must</w:t>
      </w:r>
      <w:r>
        <w:rPr>
          <w:rFonts w:ascii="Times New Roman" w:hAnsi="Times New Roman" w:cs="Times New Roman"/>
          <w:spacing w:val="-4"/>
          <w:sz w:val="24"/>
          <w:szCs w:val="24"/>
        </w:rPr>
        <w:t xml:space="preserve"> </w:t>
      </w:r>
      <w:r>
        <w:rPr>
          <w:rFonts w:ascii="Times New Roman" w:hAnsi="Times New Roman" w:cs="Times New Roman"/>
          <w:sz w:val="24"/>
          <w:szCs w:val="24"/>
        </w:rPr>
        <w:t>satisfy a number of specific criteria, including a requirement that services are “determined to be cost- effective alternatives to covered benefits and likely to generate savings.” We encourage EOHHS to eliminate or clarify this requirement to avoid unnecessary restrictions on ACOs and social service</w:t>
      </w:r>
      <w:r>
        <w:rPr>
          <w:rFonts w:ascii="Times New Roman" w:hAnsi="Times New Roman" w:cs="Times New Roman"/>
          <w:spacing w:val="-5"/>
          <w:sz w:val="24"/>
          <w:szCs w:val="24"/>
        </w:rPr>
        <w:t xml:space="preserve"> </w:t>
      </w:r>
      <w:r>
        <w:rPr>
          <w:rFonts w:ascii="Times New Roman" w:hAnsi="Times New Roman" w:cs="Times New Roman"/>
          <w:sz w:val="24"/>
          <w:szCs w:val="24"/>
        </w:rPr>
        <w:t>providers.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20" w:right="118"/>
        <w:jc w:val="both"/>
        <w:rPr>
          <w:rFonts w:ascii="Times New Roman" w:hAnsi="Times New Roman" w:cs="Times New Roman"/>
          <w:sz w:val="24"/>
          <w:szCs w:val="24"/>
        </w:rPr>
      </w:pPr>
      <w:r>
        <w:rPr>
          <w:rFonts w:ascii="Times New Roman" w:hAnsi="Times New Roman" w:cs="Times New Roman"/>
          <w:sz w:val="24"/>
          <w:szCs w:val="24"/>
        </w:rPr>
        <w:t>Many of the examples of FSS described in the Request—such as housing stabilization, physical activity, and nutrition—should not be, in most cases, a substitution for other health care services.</w:t>
      </w:r>
    </w:p>
    <w:p w:rsidR="002C5025" w:rsidRDefault="00FB027C">
      <w:pPr>
        <w:pStyle w:val="BodyText"/>
        <w:kinsoku w:val="0"/>
        <w:overflowPunct w:val="0"/>
        <w:spacing w:before="2"/>
        <w:rPr>
          <w:rFonts w:ascii="Times New Roman" w:hAnsi="Times New Roman" w:cs="Times New Roman"/>
          <w:sz w:val="19"/>
          <w:szCs w:val="19"/>
        </w:rPr>
      </w:pPr>
      <w:r>
        <w:rPr>
          <w:noProof/>
        </w:rPr>
        <mc:AlternateContent>
          <mc:Choice Requires="wps">
            <w:drawing>
              <wp:anchor distT="0" distB="0" distL="0" distR="0" simplePos="0" relativeHeight="251564544" behindDoc="0" locked="0" layoutInCell="0" allowOverlap="1">
                <wp:simplePos x="0" y="0"/>
                <wp:positionH relativeFrom="page">
                  <wp:posOffset>914400</wp:posOffset>
                </wp:positionH>
                <wp:positionV relativeFrom="paragraph">
                  <wp:posOffset>169545</wp:posOffset>
                </wp:positionV>
                <wp:extent cx="1829435" cy="12700"/>
                <wp:effectExtent l="0" t="0" r="0" b="0"/>
                <wp:wrapTopAndBottom/>
                <wp:docPr id="765" name="Freeform 2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0 w 2881"/>
                            <a:gd name="T3" fmla="*/ 0 h 20"/>
                          </a:gdLst>
                          <a:ahLst/>
                          <a:cxnLst>
                            <a:cxn ang="0">
                              <a:pos x="T0" y="T1"/>
                            </a:cxn>
                            <a:cxn ang="0">
                              <a:pos x="T2" y="T3"/>
                            </a:cxn>
                          </a:cxnLst>
                          <a:rect l="0" t="0" r="r" b="b"/>
                          <a:pathLst>
                            <a:path w="2881" h="20">
                              <a:moveTo>
                                <a:pt x="0" y="0"/>
                              </a:moveTo>
                              <a:lnTo>
                                <a:pt x="288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60" o:spid="_x0000_s1026" style="position:absolute;z-index:25156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13.35pt,3in,13.35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" o:allowincell="f" filled="f" strokeweight=".72pt">
                <v:path arrowok="t" o:connecttype="custom" o:connectlocs="0,0;1828800,0" o:connectangles="0,0"/>
                <w10:wrap type="topAndBottom" anchorx="page"/>
              </v:polyline>
            </w:pict>
          </mc:Fallback>
        </mc:AlternateContent>
      </w:r>
    </w:p>
    <w:p w:rsidR="002C5025" w:rsidRDefault="002C5025">
      <w:pPr>
        <w:pStyle w:val="BodyText"/>
        <w:kinsoku w:val="0"/>
        <w:overflowPunct w:val="0"/>
        <w:spacing w:before="65"/>
        <w:ind w:left="120" w:right="114"/>
        <w:rPr>
          <w:rFonts w:ascii="Times New Roman" w:hAnsi="Times New Roman" w:cs="Times New Roman"/>
          <w:sz w:val="18"/>
          <w:szCs w:val="18"/>
        </w:rPr>
      </w:pPr>
      <w:r>
        <w:rPr>
          <w:rFonts w:ascii="Times New Roman" w:hAnsi="Times New Roman" w:cs="Times New Roman"/>
          <w:position w:val="6"/>
          <w:sz w:val="12"/>
          <w:szCs w:val="12"/>
        </w:rPr>
        <w:t xml:space="preserve">2 </w:t>
      </w:r>
      <w:r>
        <w:rPr>
          <w:rFonts w:ascii="Times New Roman" w:hAnsi="Times New Roman" w:cs="Times New Roman"/>
          <w:sz w:val="18"/>
          <w:szCs w:val="18"/>
        </w:rPr>
        <w:t xml:space="preserve">Mariana Chilton et al., </w:t>
      </w:r>
      <w:r>
        <w:rPr>
          <w:rFonts w:ascii="Times New Roman" w:hAnsi="Times New Roman" w:cs="Times New Roman"/>
          <w:i/>
          <w:iCs/>
          <w:sz w:val="18"/>
          <w:szCs w:val="18"/>
        </w:rPr>
        <w:t>The Intergenerational Circumstances of Food Insecurity and Adversity</w:t>
      </w:r>
      <w:r>
        <w:rPr>
          <w:rFonts w:ascii="Times New Roman" w:hAnsi="Times New Roman" w:cs="Times New Roman"/>
          <w:sz w:val="18"/>
          <w:szCs w:val="18"/>
        </w:rPr>
        <w:t>, J. H</w:t>
      </w:r>
      <w:r>
        <w:rPr>
          <w:rFonts w:ascii="Times New Roman" w:hAnsi="Times New Roman" w:cs="Times New Roman"/>
          <w:sz w:val="14"/>
          <w:szCs w:val="14"/>
        </w:rPr>
        <w:t xml:space="preserve">UNGER </w:t>
      </w:r>
      <w:r>
        <w:rPr>
          <w:rFonts w:ascii="Times New Roman" w:hAnsi="Times New Roman" w:cs="Times New Roman"/>
          <w:sz w:val="18"/>
          <w:szCs w:val="18"/>
        </w:rPr>
        <w:t>&amp; E</w:t>
      </w:r>
      <w:r>
        <w:rPr>
          <w:rFonts w:ascii="Times New Roman" w:hAnsi="Times New Roman" w:cs="Times New Roman"/>
          <w:sz w:val="14"/>
          <w:szCs w:val="14"/>
        </w:rPr>
        <w:t>NVT</w:t>
      </w:r>
      <w:r>
        <w:rPr>
          <w:rFonts w:ascii="Times New Roman" w:hAnsi="Times New Roman" w:cs="Times New Roman"/>
          <w:sz w:val="18"/>
          <w:szCs w:val="18"/>
        </w:rPr>
        <w:t>’</w:t>
      </w:r>
      <w:r>
        <w:rPr>
          <w:rFonts w:ascii="Times New Roman" w:hAnsi="Times New Roman" w:cs="Times New Roman"/>
          <w:sz w:val="14"/>
          <w:szCs w:val="14"/>
        </w:rPr>
        <w:t xml:space="preserve">L </w:t>
      </w:r>
      <w:r>
        <w:rPr>
          <w:rFonts w:ascii="Times New Roman" w:hAnsi="Times New Roman" w:cs="Times New Roman"/>
          <w:sz w:val="18"/>
          <w:szCs w:val="18"/>
        </w:rPr>
        <w:t>N</w:t>
      </w:r>
      <w:r>
        <w:rPr>
          <w:rFonts w:ascii="Times New Roman" w:hAnsi="Times New Roman" w:cs="Times New Roman"/>
          <w:sz w:val="14"/>
          <w:szCs w:val="14"/>
        </w:rPr>
        <w:t xml:space="preserve">UTRITION </w:t>
      </w:r>
      <w:r>
        <w:rPr>
          <w:rFonts w:ascii="Times New Roman" w:hAnsi="Times New Roman" w:cs="Times New Roman"/>
          <w:sz w:val="18"/>
          <w:szCs w:val="18"/>
        </w:rPr>
        <w:t>1-28 (2016).</w:t>
      </w:r>
    </w:p>
    <w:p w:rsidR="002C5025" w:rsidRDefault="002C5025">
      <w:pPr>
        <w:pStyle w:val="BodyText"/>
        <w:kinsoku w:val="0"/>
        <w:overflowPunct w:val="0"/>
        <w:ind w:left="120" w:right="181"/>
        <w:rPr>
          <w:rFonts w:ascii="Times New Roman" w:hAnsi="Times New Roman" w:cs="Times New Roman"/>
          <w:sz w:val="20"/>
          <w:szCs w:val="20"/>
        </w:rPr>
      </w:pPr>
      <w:r>
        <w:rPr>
          <w:rFonts w:ascii="Times New Roman" w:hAnsi="Times New Roman" w:cs="Times New Roman"/>
          <w:position w:val="7"/>
          <w:sz w:val="13"/>
          <w:szCs w:val="13"/>
        </w:rPr>
        <w:t xml:space="preserve">3 </w:t>
      </w:r>
      <w:r>
        <w:rPr>
          <w:rFonts w:ascii="Times New Roman" w:hAnsi="Times New Roman" w:cs="Times New Roman"/>
          <w:sz w:val="20"/>
          <w:szCs w:val="20"/>
        </w:rPr>
        <w:t xml:space="preserve">See Su Lin Lim et al., Malnutrition and its Impact on Cost of Hospitalization, Length of Stay, Readmission and 3- Year Mortality, 31 Clinical Nutrition 345-350 (2012), available </w:t>
      </w:r>
      <w:proofErr w:type="spellStart"/>
      <w:r>
        <w:rPr>
          <w:rFonts w:ascii="Times New Roman" w:hAnsi="Times New Roman" w:cs="Times New Roman"/>
          <w:sz w:val="20"/>
          <w:szCs w:val="20"/>
        </w:rPr>
        <w:t xml:space="preserve">at </w:t>
      </w:r>
      <w:hyperlink r:id="rId201" w:history="1">
        <w:r>
          <w:rPr>
            <w:rFonts w:ascii="Times New Roman" w:hAnsi="Times New Roman" w:cs="Times New Roman"/>
            <w:sz w:val="20"/>
            <w:szCs w:val="20"/>
          </w:rPr>
          <w:t>http://www.clinicalnutritionjournal.com/article/S0261-5614(11)00199-3/pdf;</w:t>
        </w:r>
      </w:hyperlink>
      <w:r>
        <w:rPr>
          <w:rFonts w:ascii="Times New Roman" w:hAnsi="Times New Roman" w:cs="Times New Roman"/>
          <w:sz w:val="20"/>
          <w:szCs w:val="20"/>
        </w:rPr>
        <w:t xml:space="preserve"> see</w:t>
      </w:r>
      <w:proofErr w:type="spellEnd"/>
      <w:r>
        <w:rPr>
          <w:rFonts w:ascii="Times New Roman" w:hAnsi="Times New Roman" w:cs="Times New Roman"/>
          <w:sz w:val="20"/>
          <w:szCs w:val="20"/>
        </w:rPr>
        <w:t xml:space="preserve"> also Fact Sheet HIV/AIDS, Food &amp; Nutrition </w:t>
      </w:r>
      <w:proofErr w:type="spellStart"/>
      <w:r>
        <w:rPr>
          <w:rFonts w:ascii="Times New Roman" w:hAnsi="Times New Roman" w:cs="Times New Roman"/>
          <w:sz w:val="20"/>
          <w:szCs w:val="20"/>
        </w:rPr>
        <w:t>Services</w:t>
      </w:r>
      <w:proofErr w:type="spellEnd"/>
      <w:r>
        <w:rPr>
          <w:rFonts w:ascii="Times New Roman" w:hAnsi="Times New Roman" w:cs="Times New Roman"/>
          <w:sz w:val="20"/>
          <w:szCs w:val="20"/>
        </w:rPr>
        <w:t xml:space="preserve"> Needs, </w:t>
      </w:r>
      <w:proofErr w:type="spellStart"/>
      <w:r>
        <w:rPr>
          <w:rFonts w:ascii="Times New Roman" w:hAnsi="Times New Roman" w:cs="Times New Roman"/>
          <w:sz w:val="20"/>
          <w:szCs w:val="20"/>
        </w:rPr>
        <w:t>Cmty</w:t>
      </w:r>
      <w:proofErr w:type="spellEnd"/>
      <w:r>
        <w:rPr>
          <w:rFonts w:ascii="Times New Roman" w:hAnsi="Times New Roman" w:cs="Times New Roman"/>
          <w:sz w:val="20"/>
          <w:szCs w:val="20"/>
        </w:rPr>
        <w:t xml:space="preserve">. Health Advisory &amp; Info. Network (Oct. 2011), available at </w:t>
      </w:r>
      <w:hyperlink r:id="rId202" w:history="1">
        <w:r>
          <w:rPr>
            <w:rFonts w:ascii="Times New Roman" w:hAnsi="Times New Roman" w:cs="Times New Roman"/>
            <w:sz w:val="20"/>
            <w:szCs w:val="20"/>
          </w:rPr>
          <w:t>http://www.nyhiv.org/pdfs/chain/CHAIN%202011-</w:t>
        </w:r>
      </w:hyperlink>
      <w:r>
        <w:rPr>
          <w:rFonts w:ascii="Times New Roman" w:hAnsi="Times New Roman" w:cs="Times New Roman"/>
          <w:sz w:val="20"/>
          <w:szCs w:val="20"/>
        </w:rPr>
        <w:t xml:space="preserve"> 5%20Brief%20Report_HIVAIDS,%20Food%20&amp;%20Nutrition%20Service%20Needs%20Factsheet.pdf; see also Fact Sheet #2 Who Needs Food &amp; Nutrition Services and Where Do They Go for Help?, </w:t>
      </w:r>
      <w:proofErr w:type="spellStart"/>
      <w:r>
        <w:rPr>
          <w:rFonts w:ascii="Times New Roman" w:hAnsi="Times New Roman" w:cs="Times New Roman"/>
          <w:sz w:val="20"/>
          <w:szCs w:val="20"/>
        </w:rPr>
        <w:t>Cmty</w:t>
      </w:r>
      <w:proofErr w:type="spellEnd"/>
      <w:r>
        <w:rPr>
          <w:rFonts w:ascii="Times New Roman" w:hAnsi="Times New Roman" w:cs="Times New Roman"/>
          <w:sz w:val="20"/>
          <w:szCs w:val="20"/>
        </w:rPr>
        <w:t xml:space="preserve">. Health Advisory &amp; Info. Network (Aug. 2013), available at </w:t>
      </w:r>
      <w:hyperlink r:id="rId203" w:history="1">
        <w:r>
          <w:rPr>
            <w:rFonts w:ascii="Times New Roman" w:hAnsi="Times New Roman" w:cs="Times New Roman"/>
            <w:sz w:val="20"/>
            <w:szCs w:val="20"/>
          </w:rPr>
          <w:t>http://www.nyhiv.org/pdfs/chain/CHAIN%202013-</w:t>
        </w:r>
      </w:hyperlink>
      <w:r>
        <w:rPr>
          <w:rFonts w:ascii="Times New Roman" w:hAnsi="Times New Roman" w:cs="Times New Roman"/>
          <w:sz w:val="20"/>
          <w:szCs w:val="20"/>
        </w:rPr>
        <w:t xml:space="preserve"> 2%20Brief%20Report_Food%20Insecurity%20Fact%20Sheet_2.pdf; see also Fact Sheet #3 Food &amp; Nutrition Services, HIV Medical Care, and Health Outcomes, </w:t>
      </w:r>
      <w:proofErr w:type="spellStart"/>
      <w:r>
        <w:rPr>
          <w:rFonts w:ascii="Times New Roman" w:hAnsi="Times New Roman" w:cs="Times New Roman"/>
          <w:sz w:val="20"/>
          <w:szCs w:val="20"/>
        </w:rPr>
        <w:t>Cmty</w:t>
      </w:r>
      <w:proofErr w:type="spellEnd"/>
      <w:r>
        <w:rPr>
          <w:rFonts w:ascii="Times New Roman" w:hAnsi="Times New Roman" w:cs="Times New Roman"/>
          <w:sz w:val="20"/>
          <w:szCs w:val="20"/>
        </w:rPr>
        <w:t xml:space="preserve">. Health Advisory &amp; Info. Network, available at </w:t>
      </w:r>
      <w:r>
        <w:rPr>
          <w:rFonts w:ascii="Times New Roman" w:hAnsi="Times New Roman" w:cs="Times New Roman"/>
          <w:w w:val="95"/>
          <w:sz w:val="20"/>
          <w:szCs w:val="20"/>
        </w:rPr>
        <w:t>https://</w:t>
      </w:r>
      <w:hyperlink r:id="rId204" w:history="1">
        <w:r>
          <w:rPr>
            <w:rFonts w:ascii="Times New Roman" w:hAnsi="Times New Roman" w:cs="Times New Roman"/>
            <w:w w:val="95"/>
            <w:sz w:val="20"/>
            <w:szCs w:val="20"/>
          </w:rPr>
          <w:t>www.health.ny.gov/diseases/aids/ending_the_epidemic/docs/key_resources/housing_and_supportive_service</w:t>
        </w:r>
      </w:hyperlink>
      <w:r>
        <w:rPr>
          <w:rFonts w:ascii="Times New Roman" w:hAnsi="Times New Roman" w:cs="Times New Roman"/>
          <w:w w:val="95"/>
          <w:sz w:val="20"/>
          <w:szCs w:val="20"/>
        </w:rPr>
        <w:t xml:space="preserve"> </w:t>
      </w:r>
      <w:r>
        <w:rPr>
          <w:rFonts w:ascii="Times New Roman" w:hAnsi="Times New Roman" w:cs="Times New Roman"/>
          <w:sz w:val="20"/>
          <w:szCs w:val="20"/>
        </w:rPr>
        <w:t>s/chain_factsheet3.pdf  (last visited May 31, 2016).</w:t>
      </w:r>
    </w:p>
    <w:p w:rsidR="002C5025" w:rsidRDefault="002C5025">
      <w:pPr>
        <w:pStyle w:val="BodyText"/>
        <w:kinsoku w:val="0"/>
        <w:overflowPunct w:val="0"/>
        <w:spacing w:before="1" w:line="256" w:lineRule="auto"/>
        <w:ind w:left="120" w:right="326"/>
        <w:rPr>
          <w:rFonts w:ascii="Times New Roman" w:hAnsi="Times New Roman" w:cs="Times New Roman"/>
          <w:sz w:val="20"/>
          <w:szCs w:val="20"/>
        </w:rPr>
      </w:pPr>
      <w:r>
        <w:rPr>
          <w:position w:val="8"/>
          <w:sz w:val="16"/>
          <w:szCs w:val="16"/>
        </w:rPr>
        <w:t xml:space="preserve">4 </w:t>
      </w:r>
      <w:r>
        <w:rPr>
          <w:rFonts w:ascii="Times New Roman" w:hAnsi="Times New Roman" w:cs="Times New Roman"/>
          <w:sz w:val="20"/>
          <w:szCs w:val="20"/>
        </w:rPr>
        <w:t xml:space="preserve">Craig </w:t>
      </w:r>
      <w:proofErr w:type="spellStart"/>
      <w:r>
        <w:rPr>
          <w:rFonts w:ascii="Times New Roman" w:hAnsi="Times New Roman" w:cs="Times New Roman"/>
          <w:sz w:val="20"/>
          <w:szCs w:val="20"/>
        </w:rPr>
        <w:t>Gundersen</w:t>
      </w:r>
      <w:proofErr w:type="spellEnd"/>
      <w:r>
        <w:rPr>
          <w:rFonts w:ascii="Times New Roman" w:hAnsi="Times New Roman" w:cs="Times New Roman"/>
          <w:sz w:val="20"/>
          <w:szCs w:val="20"/>
        </w:rPr>
        <w:t xml:space="preserve"> &amp; James P. </w:t>
      </w:r>
      <w:proofErr w:type="spellStart"/>
      <w:r>
        <w:rPr>
          <w:rFonts w:ascii="Times New Roman" w:hAnsi="Times New Roman" w:cs="Times New Roman"/>
          <w:sz w:val="20"/>
          <w:szCs w:val="20"/>
        </w:rPr>
        <w:t>Ziliak</w:t>
      </w:r>
      <w:proofErr w:type="spellEnd"/>
      <w:r>
        <w:rPr>
          <w:rFonts w:ascii="Times New Roman" w:hAnsi="Times New Roman" w:cs="Times New Roman"/>
          <w:sz w:val="20"/>
          <w:szCs w:val="20"/>
        </w:rPr>
        <w:t>, Childhood Food Insecurity in the U.S.: Trends, Causes, and Policy Options, T</w:t>
      </w:r>
      <w:r>
        <w:rPr>
          <w:rFonts w:ascii="Times New Roman" w:hAnsi="Times New Roman" w:cs="Times New Roman"/>
          <w:sz w:val="16"/>
          <w:szCs w:val="16"/>
        </w:rPr>
        <w:t xml:space="preserve">HE </w:t>
      </w:r>
      <w:r>
        <w:rPr>
          <w:rFonts w:ascii="Times New Roman" w:hAnsi="Times New Roman" w:cs="Times New Roman"/>
          <w:sz w:val="20"/>
          <w:szCs w:val="20"/>
        </w:rPr>
        <w:t>F</w:t>
      </w:r>
      <w:r>
        <w:rPr>
          <w:rFonts w:ascii="Times New Roman" w:hAnsi="Times New Roman" w:cs="Times New Roman"/>
          <w:sz w:val="16"/>
          <w:szCs w:val="16"/>
        </w:rPr>
        <w:t xml:space="preserve">UTURE OF </w:t>
      </w:r>
      <w:r>
        <w:rPr>
          <w:rFonts w:ascii="Times New Roman" w:hAnsi="Times New Roman" w:cs="Times New Roman"/>
          <w:sz w:val="20"/>
          <w:szCs w:val="20"/>
        </w:rPr>
        <w:t>C</w:t>
      </w:r>
      <w:r>
        <w:rPr>
          <w:rFonts w:ascii="Times New Roman" w:hAnsi="Times New Roman" w:cs="Times New Roman"/>
          <w:sz w:val="16"/>
          <w:szCs w:val="16"/>
        </w:rPr>
        <w:t xml:space="preserve">HILDREN </w:t>
      </w:r>
      <w:r>
        <w:rPr>
          <w:rFonts w:ascii="Times New Roman" w:hAnsi="Times New Roman" w:cs="Times New Roman"/>
          <w:sz w:val="20"/>
          <w:szCs w:val="20"/>
        </w:rPr>
        <w:t>6 (2014), available at</w:t>
      </w:r>
    </w:p>
    <w:p w:rsidR="002C5025" w:rsidRDefault="00FD19EE">
      <w:pPr>
        <w:pStyle w:val="BodyText"/>
        <w:kinsoku w:val="0"/>
        <w:overflowPunct w:val="0"/>
        <w:spacing w:line="212" w:lineRule="exact"/>
        <w:ind w:left="120"/>
        <w:rPr>
          <w:rFonts w:ascii="Times New Roman" w:hAnsi="Times New Roman" w:cs="Times New Roman"/>
          <w:sz w:val="20"/>
          <w:szCs w:val="20"/>
        </w:rPr>
      </w:pPr>
      <w:hyperlink r:id="rId205" w:history="1">
        <w:r w:rsidR="002C5025">
          <w:rPr>
            <w:rFonts w:ascii="Times New Roman" w:hAnsi="Times New Roman" w:cs="Times New Roman"/>
            <w:sz w:val="20"/>
            <w:szCs w:val="20"/>
          </w:rPr>
          <w:t>http://futureofchildren.org/futureofchildren/publications/docs/ResearchReport-Fall2014.pdf.</w:t>
        </w:r>
      </w:hyperlink>
    </w:p>
    <w:p w:rsidR="002C5025" w:rsidRDefault="002C5025">
      <w:pPr>
        <w:pStyle w:val="BodyText"/>
        <w:kinsoku w:val="0"/>
        <w:overflowPunct w:val="0"/>
        <w:ind w:left="120" w:right="267"/>
        <w:rPr>
          <w:rFonts w:ascii="Times New Roman" w:hAnsi="Times New Roman" w:cs="Times New Roman"/>
          <w:sz w:val="18"/>
          <w:szCs w:val="18"/>
        </w:rPr>
      </w:pPr>
      <w:r>
        <w:rPr>
          <w:rFonts w:ascii="Times New Roman" w:hAnsi="Times New Roman" w:cs="Times New Roman"/>
          <w:position w:val="6"/>
          <w:sz w:val="12"/>
          <w:szCs w:val="12"/>
        </w:rPr>
        <w:t xml:space="preserve">5 </w:t>
      </w:r>
      <w:r>
        <w:rPr>
          <w:rFonts w:ascii="Times New Roman" w:hAnsi="Times New Roman" w:cs="Times New Roman"/>
          <w:sz w:val="18"/>
          <w:szCs w:val="18"/>
        </w:rPr>
        <w:t xml:space="preserve">Carol Strike et al., </w:t>
      </w:r>
      <w:r>
        <w:rPr>
          <w:rFonts w:ascii="Times New Roman" w:hAnsi="Times New Roman" w:cs="Times New Roman"/>
          <w:i/>
          <w:iCs/>
          <w:sz w:val="18"/>
          <w:szCs w:val="18"/>
        </w:rPr>
        <w:t>Frequent Food Insecurity among Injection Drug Users: Correlates and Concerns</w:t>
      </w:r>
      <w:r>
        <w:rPr>
          <w:rFonts w:ascii="Times New Roman" w:hAnsi="Times New Roman" w:cs="Times New Roman"/>
          <w:sz w:val="18"/>
          <w:szCs w:val="18"/>
        </w:rPr>
        <w:t>, 12 BMC P</w:t>
      </w:r>
      <w:r>
        <w:rPr>
          <w:rFonts w:ascii="Times New Roman" w:hAnsi="Times New Roman" w:cs="Times New Roman"/>
          <w:sz w:val="14"/>
          <w:szCs w:val="14"/>
        </w:rPr>
        <w:t>UB</w:t>
      </w:r>
      <w:r>
        <w:rPr>
          <w:rFonts w:ascii="Times New Roman" w:hAnsi="Times New Roman" w:cs="Times New Roman"/>
          <w:sz w:val="18"/>
          <w:szCs w:val="18"/>
        </w:rPr>
        <w:t>. H</w:t>
      </w:r>
      <w:r>
        <w:rPr>
          <w:rFonts w:ascii="Times New Roman" w:hAnsi="Times New Roman" w:cs="Times New Roman"/>
          <w:sz w:val="14"/>
          <w:szCs w:val="14"/>
        </w:rPr>
        <w:t xml:space="preserve">EALTH </w:t>
      </w:r>
      <w:r>
        <w:rPr>
          <w:rFonts w:ascii="Times New Roman" w:hAnsi="Times New Roman" w:cs="Times New Roman"/>
          <w:sz w:val="18"/>
          <w:szCs w:val="18"/>
        </w:rPr>
        <w:t>2 (2012).</w:t>
      </w:r>
    </w:p>
    <w:p w:rsidR="002C5025" w:rsidRDefault="002C5025">
      <w:pPr>
        <w:pStyle w:val="BodyText"/>
        <w:kinsoku w:val="0"/>
        <w:overflowPunct w:val="0"/>
        <w:ind w:left="2"/>
        <w:jc w:val="center"/>
        <w:rPr>
          <w:rFonts w:ascii="Times New Roman" w:hAnsi="Times New Roman" w:cs="Times New Roman"/>
        </w:rPr>
      </w:pPr>
      <w:r>
        <w:rPr>
          <w:rFonts w:ascii="Times New Roman" w:hAnsi="Times New Roman" w:cs="Times New Roman"/>
        </w:rPr>
        <w:t>2</w:t>
      </w:r>
    </w:p>
    <w:p w:rsidR="002C5025" w:rsidRDefault="002C5025">
      <w:pPr>
        <w:pStyle w:val="BodyText"/>
        <w:kinsoku w:val="0"/>
        <w:overflowPunct w:val="0"/>
        <w:ind w:left="2"/>
        <w:jc w:val="center"/>
        <w:rPr>
          <w:rFonts w:ascii="Times New Roman" w:hAnsi="Times New Roman" w:cs="Times New Roman"/>
        </w:rPr>
        <w:sectPr w:rsidR="002C5025">
          <w:pgSz w:w="12240" w:h="15840"/>
          <w:pgMar w:top="1500" w:right="1320" w:bottom="280" w:left="1320" w:header="720" w:footer="720" w:gutter="0"/>
          <w:cols w:space="720"/>
          <w:noEndnote/>
        </w:sectPr>
      </w:pPr>
    </w:p>
    <w:p w:rsidR="002C5025" w:rsidRDefault="002C5025">
      <w:pPr>
        <w:pStyle w:val="BodyText"/>
        <w:kinsoku w:val="0"/>
        <w:overflowPunct w:val="0"/>
        <w:spacing w:before="5"/>
        <w:rPr>
          <w:rFonts w:ascii="Times New Roman" w:hAnsi="Times New Roman" w:cs="Times New Roman"/>
          <w:sz w:val="11"/>
          <w:szCs w:val="11"/>
        </w:rPr>
      </w:pPr>
    </w:p>
    <w:p w:rsidR="002C5025" w:rsidRDefault="002C5025">
      <w:pPr>
        <w:pStyle w:val="BodyText"/>
        <w:kinsoku w:val="0"/>
        <w:overflowPunct w:val="0"/>
        <w:spacing w:before="69"/>
        <w:ind w:left="100" w:right="116"/>
        <w:jc w:val="both"/>
        <w:rPr>
          <w:rFonts w:ascii="Times New Roman" w:hAnsi="Times New Roman" w:cs="Times New Roman"/>
          <w:sz w:val="24"/>
          <w:szCs w:val="24"/>
        </w:rPr>
      </w:pPr>
      <w:r>
        <w:rPr>
          <w:rFonts w:ascii="Times New Roman" w:hAnsi="Times New Roman" w:cs="Times New Roman"/>
          <w:sz w:val="24"/>
          <w:szCs w:val="24"/>
        </w:rPr>
        <w:t>Instead,</w:t>
      </w:r>
      <w:r>
        <w:rPr>
          <w:rFonts w:ascii="Times New Roman" w:hAnsi="Times New Roman" w:cs="Times New Roman"/>
          <w:spacing w:val="-7"/>
          <w:sz w:val="24"/>
          <w:szCs w:val="24"/>
        </w:rPr>
        <w:t xml:space="preserve"> </w:t>
      </w:r>
      <w:r>
        <w:rPr>
          <w:rFonts w:ascii="Times New Roman" w:hAnsi="Times New Roman" w:cs="Times New Roman"/>
          <w:sz w:val="24"/>
          <w:szCs w:val="24"/>
        </w:rPr>
        <w:t>these</w:t>
      </w:r>
      <w:r>
        <w:rPr>
          <w:rFonts w:ascii="Times New Roman" w:hAnsi="Times New Roman" w:cs="Times New Roman"/>
          <w:spacing w:val="-8"/>
          <w:sz w:val="24"/>
          <w:szCs w:val="24"/>
        </w:rPr>
        <w:t xml:space="preserve"> </w:t>
      </w:r>
      <w:r>
        <w:rPr>
          <w:rFonts w:ascii="Times New Roman" w:hAnsi="Times New Roman" w:cs="Times New Roman"/>
          <w:sz w:val="24"/>
          <w:szCs w:val="24"/>
        </w:rPr>
        <w:t>services</w:t>
      </w:r>
      <w:r>
        <w:rPr>
          <w:rFonts w:ascii="Times New Roman" w:hAnsi="Times New Roman" w:cs="Times New Roman"/>
          <w:spacing w:val="-7"/>
          <w:sz w:val="24"/>
          <w:szCs w:val="24"/>
        </w:rPr>
        <w:t xml:space="preserve"> </w:t>
      </w:r>
      <w:r>
        <w:rPr>
          <w:rFonts w:ascii="Times New Roman" w:hAnsi="Times New Roman" w:cs="Times New Roman"/>
          <w:sz w:val="24"/>
          <w:szCs w:val="24"/>
        </w:rPr>
        <w:t>should</w:t>
      </w:r>
      <w:r>
        <w:rPr>
          <w:rFonts w:ascii="Times New Roman" w:hAnsi="Times New Roman" w:cs="Times New Roman"/>
          <w:spacing w:val="-6"/>
          <w:sz w:val="24"/>
          <w:szCs w:val="24"/>
        </w:rPr>
        <w:t xml:space="preserve"> </w:t>
      </w:r>
      <w:r>
        <w:rPr>
          <w:rFonts w:ascii="Times New Roman" w:hAnsi="Times New Roman" w:cs="Times New Roman"/>
          <w:sz w:val="24"/>
          <w:szCs w:val="24"/>
        </w:rPr>
        <w:t>supplement</w:t>
      </w:r>
      <w:r>
        <w:rPr>
          <w:rFonts w:ascii="Times New Roman" w:hAnsi="Times New Roman" w:cs="Times New Roman"/>
          <w:spacing w:val="-7"/>
          <w:sz w:val="24"/>
          <w:szCs w:val="24"/>
        </w:rPr>
        <w:t xml:space="preserve"> </w:t>
      </w:r>
      <w:r>
        <w:rPr>
          <w:rFonts w:ascii="Times New Roman" w:hAnsi="Times New Roman" w:cs="Times New Roman"/>
          <w:sz w:val="24"/>
          <w:szCs w:val="24"/>
        </w:rPr>
        <w:t>existing</w:t>
      </w:r>
      <w:r>
        <w:rPr>
          <w:rFonts w:ascii="Times New Roman" w:hAnsi="Times New Roman" w:cs="Times New Roman"/>
          <w:spacing w:val="-12"/>
          <w:sz w:val="24"/>
          <w:szCs w:val="24"/>
        </w:rPr>
        <w:t xml:space="preserve"> </w:t>
      </w:r>
      <w:r>
        <w:rPr>
          <w:rFonts w:ascii="Times New Roman" w:hAnsi="Times New Roman" w:cs="Times New Roman"/>
          <w:sz w:val="24"/>
          <w:szCs w:val="24"/>
        </w:rPr>
        <w:t>MassHealth</w:t>
      </w:r>
      <w:r>
        <w:rPr>
          <w:rFonts w:ascii="Times New Roman" w:hAnsi="Times New Roman" w:cs="Times New Roman"/>
          <w:spacing w:val="-7"/>
          <w:sz w:val="24"/>
          <w:szCs w:val="24"/>
        </w:rPr>
        <w:t xml:space="preserve"> </w:t>
      </w:r>
      <w:r>
        <w:rPr>
          <w:rFonts w:ascii="Times New Roman" w:hAnsi="Times New Roman" w:cs="Times New Roman"/>
          <w:sz w:val="24"/>
          <w:szCs w:val="24"/>
        </w:rPr>
        <w:t>benefits</w:t>
      </w:r>
      <w:r>
        <w:rPr>
          <w:rFonts w:ascii="Times New Roman" w:hAnsi="Times New Roman" w:cs="Times New Roman"/>
          <w:spacing w:val="-6"/>
          <w:sz w:val="24"/>
          <w:szCs w:val="24"/>
        </w:rPr>
        <w:t xml:space="preserve"> </w:t>
      </w:r>
      <w:r>
        <w:rPr>
          <w:rFonts w:ascii="Times New Roman" w:hAnsi="Times New Roman" w:cs="Times New Roman"/>
          <w:sz w:val="24"/>
          <w:szCs w:val="24"/>
        </w:rPr>
        <w:t>and</w:t>
      </w:r>
      <w:r>
        <w:rPr>
          <w:rFonts w:ascii="Times New Roman" w:hAnsi="Times New Roman" w:cs="Times New Roman"/>
          <w:spacing w:val="-7"/>
          <w:sz w:val="24"/>
          <w:szCs w:val="24"/>
        </w:rPr>
        <w:t xml:space="preserve"> </w:t>
      </w:r>
      <w:r>
        <w:rPr>
          <w:rFonts w:ascii="Times New Roman" w:hAnsi="Times New Roman" w:cs="Times New Roman"/>
          <w:sz w:val="24"/>
          <w:szCs w:val="24"/>
        </w:rPr>
        <w:t>strengthen</w:t>
      </w:r>
      <w:r>
        <w:rPr>
          <w:rFonts w:ascii="Times New Roman" w:hAnsi="Times New Roman" w:cs="Times New Roman"/>
          <w:spacing w:val="-7"/>
          <w:sz w:val="24"/>
          <w:szCs w:val="24"/>
        </w:rPr>
        <w:t xml:space="preserve"> </w:t>
      </w:r>
      <w:r>
        <w:rPr>
          <w:rFonts w:ascii="Times New Roman" w:hAnsi="Times New Roman" w:cs="Times New Roman"/>
          <w:sz w:val="24"/>
          <w:szCs w:val="24"/>
        </w:rPr>
        <w:t>their</w:t>
      </w:r>
      <w:r>
        <w:rPr>
          <w:rFonts w:ascii="Times New Roman" w:hAnsi="Times New Roman" w:cs="Times New Roman"/>
          <w:spacing w:val="-8"/>
          <w:sz w:val="24"/>
          <w:szCs w:val="24"/>
        </w:rPr>
        <w:t xml:space="preserve"> </w:t>
      </w:r>
      <w:r>
        <w:rPr>
          <w:rFonts w:ascii="Times New Roman" w:hAnsi="Times New Roman" w:cs="Times New Roman"/>
          <w:sz w:val="24"/>
          <w:szCs w:val="24"/>
        </w:rPr>
        <w:t>effect on overall patient health. For example, nutrition services, such as medically tailored home- delivered meals provide an array of benefits—addressing management of blood glucose, increasing the effect of medication that must be taken with food, managing protein levels for kidney disease, maintaining healthy weight, etc.—that help patients manage their health conditions,</w:t>
      </w:r>
      <w:r>
        <w:rPr>
          <w:rFonts w:ascii="Times New Roman" w:hAnsi="Times New Roman" w:cs="Times New Roman"/>
          <w:spacing w:val="-10"/>
          <w:sz w:val="24"/>
          <w:szCs w:val="24"/>
        </w:rPr>
        <w:t xml:space="preserve"> </w:t>
      </w:r>
      <w:r>
        <w:rPr>
          <w:rFonts w:ascii="Times New Roman" w:hAnsi="Times New Roman" w:cs="Times New Roman"/>
          <w:sz w:val="24"/>
          <w:szCs w:val="24"/>
        </w:rPr>
        <w:t>adhere</w:t>
      </w:r>
      <w:r>
        <w:rPr>
          <w:rFonts w:ascii="Times New Roman" w:hAnsi="Times New Roman" w:cs="Times New Roman"/>
          <w:spacing w:val="-13"/>
          <w:sz w:val="24"/>
          <w:szCs w:val="24"/>
        </w:rPr>
        <w:t xml:space="preserve"> </w:t>
      </w:r>
      <w:r>
        <w:rPr>
          <w:rFonts w:ascii="Times New Roman" w:hAnsi="Times New Roman" w:cs="Times New Roman"/>
          <w:sz w:val="24"/>
          <w:szCs w:val="24"/>
        </w:rPr>
        <w:t>to</w:t>
      </w:r>
      <w:r>
        <w:rPr>
          <w:rFonts w:ascii="Times New Roman" w:hAnsi="Times New Roman" w:cs="Times New Roman"/>
          <w:spacing w:val="-11"/>
          <w:sz w:val="24"/>
          <w:szCs w:val="24"/>
        </w:rPr>
        <w:t xml:space="preserve"> </w:t>
      </w:r>
      <w:r>
        <w:rPr>
          <w:rFonts w:ascii="Times New Roman" w:hAnsi="Times New Roman" w:cs="Times New Roman"/>
          <w:sz w:val="24"/>
          <w:szCs w:val="24"/>
        </w:rPr>
        <w:t>treatment</w:t>
      </w:r>
      <w:r>
        <w:rPr>
          <w:rFonts w:ascii="Times New Roman" w:hAnsi="Times New Roman" w:cs="Times New Roman"/>
          <w:spacing w:val="-11"/>
          <w:sz w:val="24"/>
          <w:szCs w:val="24"/>
        </w:rPr>
        <w:t xml:space="preserve"> </w:t>
      </w:r>
      <w:r>
        <w:rPr>
          <w:rFonts w:ascii="Times New Roman" w:hAnsi="Times New Roman" w:cs="Times New Roman"/>
          <w:sz w:val="24"/>
          <w:szCs w:val="24"/>
        </w:rPr>
        <w:t>plans,</w:t>
      </w:r>
      <w:r>
        <w:rPr>
          <w:rFonts w:ascii="Times New Roman" w:hAnsi="Times New Roman" w:cs="Times New Roman"/>
          <w:spacing w:val="-11"/>
          <w:sz w:val="24"/>
          <w:szCs w:val="24"/>
        </w:rPr>
        <w:t xml:space="preserve"> </w:t>
      </w:r>
      <w:r>
        <w:rPr>
          <w:rFonts w:ascii="Times New Roman" w:hAnsi="Times New Roman" w:cs="Times New Roman"/>
          <w:sz w:val="24"/>
          <w:szCs w:val="24"/>
        </w:rPr>
        <w:t>and</w:t>
      </w:r>
      <w:r>
        <w:rPr>
          <w:rFonts w:ascii="Times New Roman" w:hAnsi="Times New Roman" w:cs="Times New Roman"/>
          <w:spacing w:val="-11"/>
          <w:sz w:val="24"/>
          <w:szCs w:val="24"/>
        </w:rPr>
        <w:t xml:space="preserve"> </w:t>
      </w:r>
      <w:r>
        <w:rPr>
          <w:rFonts w:ascii="Times New Roman" w:hAnsi="Times New Roman" w:cs="Times New Roman"/>
          <w:sz w:val="24"/>
          <w:szCs w:val="24"/>
        </w:rPr>
        <w:t>follow</w:t>
      </w:r>
      <w:r>
        <w:rPr>
          <w:rFonts w:ascii="Times New Roman" w:hAnsi="Times New Roman" w:cs="Times New Roman"/>
          <w:spacing w:val="-11"/>
          <w:sz w:val="24"/>
          <w:szCs w:val="24"/>
        </w:rPr>
        <w:t xml:space="preserve"> </w:t>
      </w:r>
      <w:r>
        <w:rPr>
          <w:rFonts w:ascii="Times New Roman" w:hAnsi="Times New Roman" w:cs="Times New Roman"/>
          <w:sz w:val="24"/>
          <w:szCs w:val="24"/>
        </w:rPr>
        <w:t>the</w:t>
      </w:r>
      <w:r>
        <w:rPr>
          <w:rFonts w:ascii="Times New Roman" w:hAnsi="Times New Roman" w:cs="Times New Roman"/>
          <w:spacing w:val="-12"/>
          <w:sz w:val="24"/>
          <w:szCs w:val="24"/>
        </w:rPr>
        <w:t xml:space="preserve"> </w:t>
      </w:r>
      <w:r>
        <w:rPr>
          <w:rFonts w:ascii="Times New Roman" w:hAnsi="Times New Roman" w:cs="Times New Roman"/>
          <w:sz w:val="24"/>
          <w:szCs w:val="24"/>
        </w:rPr>
        <w:t>instructions</w:t>
      </w:r>
      <w:r>
        <w:rPr>
          <w:rFonts w:ascii="Times New Roman" w:hAnsi="Times New Roman" w:cs="Times New Roman"/>
          <w:spacing w:val="-11"/>
          <w:sz w:val="24"/>
          <w:szCs w:val="24"/>
        </w:rPr>
        <w:t xml:space="preserve"> </w:t>
      </w:r>
      <w:r>
        <w:rPr>
          <w:rFonts w:ascii="Times New Roman" w:hAnsi="Times New Roman" w:cs="Times New Roman"/>
          <w:sz w:val="24"/>
          <w:szCs w:val="24"/>
        </w:rPr>
        <w:t>of</w:t>
      </w:r>
      <w:r>
        <w:rPr>
          <w:rFonts w:ascii="Times New Roman" w:hAnsi="Times New Roman" w:cs="Times New Roman"/>
          <w:spacing w:val="-12"/>
          <w:sz w:val="24"/>
          <w:szCs w:val="24"/>
        </w:rPr>
        <w:t xml:space="preserve"> </w:t>
      </w:r>
      <w:r>
        <w:rPr>
          <w:rFonts w:ascii="Times New Roman" w:hAnsi="Times New Roman" w:cs="Times New Roman"/>
          <w:sz w:val="24"/>
          <w:szCs w:val="24"/>
        </w:rPr>
        <w:t>their</w:t>
      </w:r>
      <w:r>
        <w:rPr>
          <w:rFonts w:ascii="Times New Roman" w:hAnsi="Times New Roman" w:cs="Times New Roman"/>
          <w:spacing w:val="-12"/>
          <w:sz w:val="24"/>
          <w:szCs w:val="24"/>
        </w:rPr>
        <w:t xml:space="preserve"> </w:t>
      </w:r>
      <w:r>
        <w:rPr>
          <w:rFonts w:ascii="Times New Roman" w:hAnsi="Times New Roman" w:cs="Times New Roman"/>
          <w:sz w:val="24"/>
          <w:szCs w:val="24"/>
        </w:rPr>
        <w:t>physicians</w:t>
      </w:r>
      <w:r>
        <w:rPr>
          <w:rFonts w:ascii="Times New Roman" w:hAnsi="Times New Roman" w:cs="Times New Roman"/>
          <w:spacing w:val="-11"/>
          <w:sz w:val="24"/>
          <w:szCs w:val="24"/>
        </w:rPr>
        <w:t xml:space="preserve"> </w:t>
      </w:r>
      <w:r>
        <w:rPr>
          <w:rFonts w:ascii="Times New Roman" w:hAnsi="Times New Roman" w:cs="Times New Roman"/>
          <w:sz w:val="24"/>
          <w:szCs w:val="24"/>
        </w:rPr>
        <w:t>and</w:t>
      </w:r>
      <w:r>
        <w:rPr>
          <w:rFonts w:ascii="Times New Roman" w:hAnsi="Times New Roman" w:cs="Times New Roman"/>
          <w:spacing w:val="-11"/>
          <w:sz w:val="24"/>
          <w:szCs w:val="24"/>
        </w:rPr>
        <w:t xml:space="preserve"> </w:t>
      </w:r>
      <w:r>
        <w:rPr>
          <w:rFonts w:ascii="Times New Roman" w:hAnsi="Times New Roman" w:cs="Times New Roman"/>
          <w:sz w:val="24"/>
          <w:szCs w:val="24"/>
        </w:rPr>
        <w:t>providers. Over</w:t>
      </w:r>
      <w:r>
        <w:rPr>
          <w:rFonts w:ascii="Times New Roman" w:hAnsi="Times New Roman" w:cs="Times New Roman"/>
          <w:spacing w:val="-9"/>
          <w:sz w:val="24"/>
          <w:szCs w:val="24"/>
        </w:rPr>
        <w:t xml:space="preserve"> </w:t>
      </w:r>
      <w:r>
        <w:rPr>
          <w:rFonts w:ascii="Times New Roman" w:hAnsi="Times New Roman" w:cs="Times New Roman"/>
          <w:sz w:val="24"/>
          <w:szCs w:val="24"/>
        </w:rPr>
        <w:t>time,</w:t>
      </w:r>
      <w:r>
        <w:rPr>
          <w:rFonts w:ascii="Times New Roman" w:hAnsi="Times New Roman" w:cs="Times New Roman"/>
          <w:spacing w:val="-9"/>
          <w:sz w:val="24"/>
          <w:szCs w:val="24"/>
        </w:rPr>
        <w:t xml:space="preserve"> </w:t>
      </w:r>
      <w:r>
        <w:rPr>
          <w:rFonts w:ascii="Times New Roman" w:hAnsi="Times New Roman" w:cs="Times New Roman"/>
          <w:sz w:val="24"/>
          <w:szCs w:val="24"/>
        </w:rPr>
        <w:t>these</w:t>
      </w:r>
      <w:r>
        <w:rPr>
          <w:rFonts w:ascii="Times New Roman" w:hAnsi="Times New Roman" w:cs="Times New Roman"/>
          <w:spacing w:val="-9"/>
          <w:sz w:val="24"/>
          <w:szCs w:val="24"/>
        </w:rPr>
        <w:t xml:space="preserve"> </w:t>
      </w:r>
      <w:r>
        <w:rPr>
          <w:rFonts w:ascii="Times New Roman" w:hAnsi="Times New Roman" w:cs="Times New Roman"/>
          <w:sz w:val="24"/>
          <w:szCs w:val="24"/>
        </w:rPr>
        <w:t>benefits</w:t>
      </w:r>
      <w:r>
        <w:rPr>
          <w:rFonts w:ascii="Times New Roman" w:hAnsi="Times New Roman" w:cs="Times New Roman"/>
          <w:spacing w:val="-6"/>
          <w:sz w:val="24"/>
          <w:szCs w:val="24"/>
        </w:rPr>
        <w:t xml:space="preserve"> </w:t>
      </w:r>
      <w:r>
        <w:rPr>
          <w:rFonts w:ascii="Times New Roman" w:hAnsi="Times New Roman" w:cs="Times New Roman"/>
          <w:sz w:val="24"/>
          <w:szCs w:val="24"/>
        </w:rPr>
        <w:t>will</w:t>
      </w:r>
      <w:r>
        <w:rPr>
          <w:rFonts w:ascii="Times New Roman" w:hAnsi="Times New Roman" w:cs="Times New Roman"/>
          <w:spacing w:val="-8"/>
          <w:sz w:val="24"/>
          <w:szCs w:val="24"/>
        </w:rPr>
        <w:t xml:space="preserve"> </w:t>
      </w:r>
      <w:r>
        <w:rPr>
          <w:rFonts w:ascii="Times New Roman" w:hAnsi="Times New Roman" w:cs="Times New Roman"/>
          <w:sz w:val="24"/>
          <w:szCs w:val="24"/>
        </w:rPr>
        <w:t>reduce</w:t>
      </w:r>
      <w:r>
        <w:rPr>
          <w:rFonts w:ascii="Times New Roman" w:hAnsi="Times New Roman" w:cs="Times New Roman"/>
          <w:spacing w:val="-6"/>
          <w:sz w:val="24"/>
          <w:szCs w:val="24"/>
        </w:rPr>
        <w:t xml:space="preserve"> </w:t>
      </w:r>
      <w:r>
        <w:rPr>
          <w:rFonts w:ascii="Times New Roman" w:hAnsi="Times New Roman" w:cs="Times New Roman"/>
          <w:sz w:val="24"/>
          <w:szCs w:val="24"/>
        </w:rPr>
        <w:t>avoidable</w:t>
      </w:r>
      <w:r>
        <w:rPr>
          <w:rFonts w:ascii="Times New Roman" w:hAnsi="Times New Roman" w:cs="Times New Roman"/>
          <w:spacing w:val="-7"/>
          <w:sz w:val="24"/>
          <w:szCs w:val="24"/>
        </w:rPr>
        <w:t xml:space="preserve"> </w:t>
      </w:r>
      <w:r>
        <w:rPr>
          <w:rFonts w:ascii="Times New Roman" w:hAnsi="Times New Roman" w:cs="Times New Roman"/>
          <w:sz w:val="24"/>
          <w:szCs w:val="24"/>
        </w:rPr>
        <w:t>hospitalizations</w:t>
      </w:r>
      <w:r>
        <w:rPr>
          <w:rFonts w:ascii="Times New Roman" w:hAnsi="Times New Roman" w:cs="Times New Roman"/>
          <w:spacing w:val="-8"/>
          <w:sz w:val="24"/>
          <w:szCs w:val="24"/>
        </w:rPr>
        <w:t xml:space="preserve"> </w:t>
      </w:r>
      <w:r>
        <w:rPr>
          <w:rFonts w:ascii="Times New Roman" w:hAnsi="Times New Roman" w:cs="Times New Roman"/>
          <w:sz w:val="24"/>
          <w:szCs w:val="24"/>
        </w:rPr>
        <w:t>and</w:t>
      </w:r>
      <w:r>
        <w:rPr>
          <w:rFonts w:ascii="Times New Roman" w:hAnsi="Times New Roman" w:cs="Times New Roman"/>
          <w:spacing w:val="-9"/>
          <w:sz w:val="24"/>
          <w:szCs w:val="24"/>
        </w:rPr>
        <w:t xml:space="preserve"> </w:t>
      </w:r>
      <w:r>
        <w:rPr>
          <w:rFonts w:ascii="Times New Roman" w:hAnsi="Times New Roman" w:cs="Times New Roman"/>
          <w:sz w:val="24"/>
          <w:szCs w:val="24"/>
        </w:rPr>
        <w:t>use</w:t>
      </w:r>
      <w:r>
        <w:rPr>
          <w:rFonts w:ascii="Times New Roman" w:hAnsi="Times New Roman" w:cs="Times New Roman"/>
          <w:spacing w:val="-9"/>
          <w:sz w:val="24"/>
          <w:szCs w:val="24"/>
        </w:rPr>
        <w:t xml:space="preserve"> </w:t>
      </w:r>
      <w:r>
        <w:rPr>
          <w:rFonts w:ascii="Times New Roman" w:hAnsi="Times New Roman" w:cs="Times New Roman"/>
          <w:sz w:val="24"/>
          <w:szCs w:val="24"/>
        </w:rPr>
        <w:t>of</w:t>
      </w:r>
      <w:r>
        <w:rPr>
          <w:rFonts w:ascii="Times New Roman" w:hAnsi="Times New Roman" w:cs="Times New Roman"/>
          <w:spacing w:val="-7"/>
          <w:sz w:val="24"/>
          <w:szCs w:val="24"/>
        </w:rPr>
        <w:t xml:space="preserve"> </w:t>
      </w:r>
      <w:r>
        <w:rPr>
          <w:rFonts w:ascii="Times New Roman" w:hAnsi="Times New Roman" w:cs="Times New Roman"/>
          <w:sz w:val="24"/>
          <w:szCs w:val="24"/>
        </w:rPr>
        <w:t>emergency</w:t>
      </w:r>
      <w:r>
        <w:rPr>
          <w:rFonts w:ascii="Times New Roman" w:hAnsi="Times New Roman" w:cs="Times New Roman"/>
          <w:spacing w:val="-11"/>
          <w:sz w:val="24"/>
          <w:szCs w:val="24"/>
        </w:rPr>
        <w:t xml:space="preserve"> </w:t>
      </w:r>
      <w:r>
        <w:rPr>
          <w:rFonts w:ascii="Times New Roman" w:hAnsi="Times New Roman" w:cs="Times New Roman"/>
          <w:sz w:val="24"/>
          <w:szCs w:val="24"/>
        </w:rPr>
        <w:t>care.</w:t>
      </w:r>
      <w:r>
        <w:rPr>
          <w:rFonts w:ascii="Times New Roman" w:hAnsi="Times New Roman" w:cs="Times New Roman"/>
          <w:spacing w:val="-4"/>
          <w:sz w:val="24"/>
          <w:szCs w:val="24"/>
        </w:rPr>
        <w:t xml:space="preserve"> </w:t>
      </w:r>
      <w:r>
        <w:rPr>
          <w:rFonts w:ascii="Times New Roman" w:hAnsi="Times New Roman" w:cs="Times New Roman"/>
          <w:sz w:val="24"/>
          <w:szCs w:val="24"/>
        </w:rPr>
        <w:t>In</w:t>
      </w:r>
      <w:r>
        <w:rPr>
          <w:rFonts w:ascii="Times New Roman" w:hAnsi="Times New Roman" w:cs="Times New Roman"/>
          <w:spacing w:val="-9"/>
          <w:sz w:val="24"/>
          <w:szCs w:val="24"/>
        </w:rPr>
        <w:t xml:space="preserve"> </w:t>
      </w:r>
      <w:r>
        <w:rPr>
          <w:rFonts w:ascii="Times New Roman" w:hAnsi="Times New Roman" w:cs="Times New Roman"/>
          <w:sz w:val="24"/>
          <w:szCs w:val="24"/>
        </w:rPr>
        <w:t>that respect,</w:t>
      </w:r>
      <w:r>
        <w:rPr>
          <w:rFonts w:ascii="Times New Roman" w:hAnsi="Times New Roman" w:cs="Times New Roman"/>
          <w:spacing w:val="-3"/>
          <w:sz w:val="24"/>
          <w:szCs w:val="24"/>
        </w:rPr>
        <w:t xml:space="preserve"> </w:t>
      </w:r>
      <w:r>
        <w:rPr>
          <w:rFonts w:ascii="Times New Roman" w:hAnsi="Times New Roman" w:cs="Times New Roman"/>
          <w:sz w:val="24"/>
          <w:szCs w:val="24"/>
        </w:rPr>
        <w:t>food</w:t>
      </w:r>
      <w:r>
        <w:rPr>
          <w:rFonts w:ascii="Times New Roman" w:hAnsi="Times New Roman" w:cs="Times New Roman"/>
          <w:spacing w:val="-2"/>
          <w:sz w:val="24"/>
          <w:szCs w:val="24"/>
        </w:rPr>
        <w:t xml:space="preserve"> </w:t>
      </w:r>
      <w:r>
        <w:rPr>
          <w:rFonts w:ascii="Times New Roman" w:hAnsi="Times New Roman" w:cs="Times New Roman"/>
          <w:sz w:val="24"/>
          <w:szCs w:val="24"/>
        </w:rPr>
        <w:t>and</w:t>
      </w:r>
      <w:r>
        <w:rPr>
          <w:rFonts w:ascii="Times New Roman" w:hAnsi="Times New Roman" w:cs="Times New Roman"/>
          <w:spacing w:val="-4"/>
          <w:sz w:val="24"/>
          <w:szCs w:val="24"/>
        </w:rPr>
        <w:t xml:space="preserve"> </w:t>
      </w:r>
      <w:r>
        <w:rPr>
          <w:rFonts w:ascii="Times New Roman" w:hAnsi="Times New Roman" w:cs="Times New Roman"/>
          <w:sz w:val="24"/>
          <w:szCs w:val="24"/>
        </w:rPr>
        <w:t>nutrition</w:t>
      </w:r>
      <w:r>
        <w:rPr>
          <w:rFonts w:ascii="Times New Roman" w:hAnsi="Times New Roman" w:cs="Times New Roman"/>
          <w:spacing w:val="-3"/>
          <w:sz w:val="24"/>
          <w:szCs w:val="24"/>
        </w:rPr>
        <w:t xml:space="preserve"> </w:t>
      </w:r>
      <w:r>
        <w:rPr>
          <w:rFonts w:ascii="Times New Roman" w:hAnsi="Times New Roman" w:cs="Times New Roman"/>
          <w:sz w:val="24"/>
          <w:szCs w:val="24"/>
        </w:rPr>
        <w:t>services</w:t>
      </w:r>
      <w:r>
        <w:rPr>
          <w:rFonts w:ascii="Times New Roman" w:hAnsi="Times New Roman" w:cs="Times New Roman"/>
          <w:spacing w:val="-3"/>
          <w:sz w:val="24"/>
          <w:szCs w:val="24"/>
        </w:rPr>
        <w:t xml:space="preserve"> </w:t>
      </w:r>
      <w:r>
        <w:rPr>
          <w:rFonts w:ascii="Times New Roman" w:hAnsi="Times New Roman" w:cs="Times New Roman"/>
          <w:sz w:val="24"/>
          <w:szCs w:val="24"/>
        </w:rPr>
        <w:t>ultimately</w:t>
      </w:r>
      <w:r>
        <w:rPr>
          <w:rFonts w:ascii="Times New Roman" w:hAnsi="Times New Roman" w:cs="Times New Roman"/>
          <w:spacing w:val="-8"/>
          <w:sz w:val="24"/>
          <w:szCs w:val="24"/>
        </w:rPr>
        <w:t xml:space="preserve"> </w:t>
      </w:r>
      <w:r>
        <w:rPr>
          <w:rFonts w:ascii="Times New Roman" w:hAnsi="Times New Roman" w:cs="Times New Roman"/>
          <w:sz w:val="24"/>
          <w:szCs w:val="24"/>
        </w:rPr>
        <w:t>provide</w:t>
      </w:r>
      <w:r>
        <w:rPr>
          <w:rFonts w:ascii="Times New Roman" w:hAnsi="Times New Roman" w:cs="Times New Roman"/>
          <w:spacing w:val="-4"/>
          <w:sz w:val="24"/>
          <w:szCs w:val="24"/>
        </w:rPr>
        <w:t xml:space="preserve"> </w:t>
      </w:r>
      <w:r>
        <w:rPr>
          <w:rFonts w:ascii="Times New Roman" w:hAnsi="Times New Roman" w:cs="Times New Roman"/>
          <w:sz w:val="24"/>
          <w:szCs w:val="24"/>
        </w:rPr>
        <w:t>an</w:t>
      </w:r>
      <w:r>
        <w:rPr>
          <w:rFonts w:ascii="Times New Roman" w:hAnsi="Times New Roman" w:cs="Times New Roman"/>
          <w:spacing w:val="-4"/>
          <w:sz w:val="24"/>
          <w:szCs w:val="24"/>
        </w:rPr>
        <w:t xml:space="preserve"> </w:t>
      </w:r>
      <w:r>
        <w:rPr>
          <w:rFonts w:ascii="Times New Roman" w:hAnsi="Times New Roman" w:cs="Times New Roman"/>
          <w:sz w:val="24"/>
          <w:szCs w:val="24"/>
        </w:rPr>
        <w:t>inexpensive</w:t>
      </w:r>
      <w:r>
        <w:rPr>
          <w:rFonts w:ascii="Times New Roman" w:hAnsi="Times New Roman" w:cs="Times New Roman"/>
          <w:spacing w:val="-4"/>
          <w:sz w:val="24"/>
          <w:szCs w:val="24"/>
        </w:rPr>
        <w:t xml:space="preserve"> </w:t>
      </w:r>
      <w:r>
        <w:rPr>
          <w:rFonts w:ascii="Times New Roman" w:hAnsi="Times New Roman" w:cs="Times New Roman"/>
          <w:sz w:val="24"/>
          <w:szCs w:val="24"/>
        </w:rPr>
        <w:t>alternative</w:t>
      </w:r>
      <w:r>
        <w:rPr>
          <w:rFonts w:ascii="Times New Roman" w:hAnsi="Times New Roman" w:cs="Times New Roman"/>
          <w:spacing w:val="-5"/>
          <w:sz w:val="24"/>
          <w:szCs w:val="24"/>
        </w:rPr>
        <w:t xml:space="preserve"> </w:t>
      </w:r>
      <w:r>
        <w:rPr>
          <w:rFonts w:ascii="Times New Roman" w:hAnsi="Times New Roman" w:cs="Times New Roman"/>
          <w:sz w:val="24"/>
          <w:szCs w:val="24"/>
        </w:rPr>
        <w:t>to</w:t>
      </w:r>
      <w:r>
        <w:rPr>
          <w:rFonts w:ascii="Times New Roman" w:hAnsi="Times New Roman" w:cs="Times New Roman"/>
          <w:spacing w:val="-3"/>
          <w:sz w:val="24"/>
          <w:szCs w:val="24"/>
        </w:rPr>
        <w:t xml:space="preserve"> </w:t>
      </w:r>
      <w:r>
        <w:rPr>
          <w:rFonts w:ascii="Times New Roman" w:hAnsi="Times New Roman" w:cs="Times New Roman"/>
          <w:sz w:val="24"/>
          <w:szCs w:val="24"/>
        </w:rPr>
        <w:t>the</w:t>
      </w:r>
      <w:r>
        <w:rPr>
          <w:rFonts w:ascii="Times New Roman" w:hAnsi="Times New Roman" w:cs="Times New Roman"/>
          <w:spacing w:val="-4"/>
          <w:sz w:val="24"/>
          <w:szCs w:val="24"/>
        </w:rPr>
        <w:t xml:space="preserve"> </w:t>
      </w:r>
      <w:r>
        <w:rPr>
          <w:rFonts w:ascii="Times New Roman" w:hAnsi="Times New Roman" w:cs="Times New Roman"/>
          <w:sz w:val="24"/>
          <w:szCs w:val="24"/>
        </w:rPr>
        <w:t>utilization of costly health care services. However, the immediate impact of services that address social determinants of health is improved patient engagement and adherence in routine care. EOHHS should therefore either remove or clarify the requirement that FSS be “alternatives to covered benefits” to avoid creating an unnecessary barrier to the provision of key social</w:t>
      </w:r>
      <w:r>
        <w:rPr>
          <w:rFonts w:ascii="Times New Roman" w:hAnsi="Times New Roman" w:cs="Times New Roman"/>
          <w:spacing w:val="-15"/>
          <w:sz w:val="24"/>
          <w:szCs w:val="24"/>
        </w:rPr>
        <w:t xml:space="preserve"> </w:t>
      </w:r>
      <w:r>
        <w:rPr>
          <w:rFonts w:ascii="Times New Roman" w:hAnsi="Times New Roman" w:cs="Times New Roman"/>
          <w:sz w:val="24"/>
          <w:szCs w:val="24"/>
        </w:rPr>
        <w:t>services.</w:t>
      </w:r>
    </w:p>
    <w:p w:rsidR="002C5025" w:rsidRDefault="002C5025">
      <w:pPr>
        <w:pStyle w:val="BodyText"/>
        <w:kinsoku w:val="0"/>
        <w:overflowPunct w:val="0"/>
        <w:spacing w:before="4"/>
        <w:rPr>
          <w:rFonts w:ascii="Times New Roman" w:hAnsi="Times New Roman" w:cs="Times New Roman"/>
          <w:sz w:val="23"/>
          <w:szCs w:val="23"/>
        </w:rPr>
      </w:pPr>
    </w:p>
    <w:p w:rsidR="002C5025" w:rsidRDefault="002C5025">
      <w:pPr>
        <w:pStyle w:val="BodyText"/>
        <w:kinsoku w:val="0"/>
        <w:overflowPunct w:val="0"/>
        <w:spacing w:before="1"/>
        <w:ind w:left="100" w:right="112"/>
        <w:jc w:val="both"/>
        <w:rPr>
          <w:rFonts w:ascii="Times New Roman" w:hAnsi="Times New Roman" w:cs="Times New Roman"/>
          <w:sz w:val="24"/>
          <w:szCs w:val="24"/>
        </w:rPr>
      </w:pPr>
      <w:r>
        <w:rPr>
          <w:rFonts w:ascii="Times New Roman" w:hAnsi="Times New Roman" w:cs="Times New Roman"/>
          <w:sz w:val="24"/>
          <w:szCs w:val="24"/>
        </w:rPr>
        <w:t>We</w:t>
      </w:r>
      <w:r>
        <w:rPr>
          <w:rFonts w:ascii="Times New Roman" w:hAnsi="Times New Roman" w:cs="Times New Roman"/>
          <w:spacing w:val="-5"/>
          <w:sz w:val="24"/>
          <w:szCs w:val="24"/>
        </w:rPr>
        <w:t xml:space="preserve"> </w:t>
      </w:r>
      <w:r>
        <w:rPr>
          <w:rFonts w:ascii="Times New Roman" w:hAnsi="Times New Roman" w:cs="Times New Roman"/>
          <w:sz w:val="24"/>
          <w:szCs w:val="24"/>
        </w:rPr>
        <w:t>also</w:t>
      </w:r>
      <w:r>
        <w:rPr>
          <w:rFonts w:ascii="Times New Roman" w:hAnsi="Times New Roman" w:cs="Times New Roman"/>
          <w:spacing w:val="-3"/>
          <w:sz w:val="24"/>
          <w:szCs w:val="24"/>
        </w:rPr>
        <w:t xml:space="preserve"> </w:t>
      </w:r>
      <w:r>
        <w:rPr>
          <w:rFonts w:ascii="Times New Roman" w:hAnsi="Times New Roman" w:cs="Times New Roman"/>
          <w:sz w:val="24"/>
          <w:szCs w:val="24"/>
        </w:rPr>
        <w:t>recommend</w:t>
      </w:r>
      <w:r>
        <w:rPr>
          <w:rFonts w:ascii="Times New Roman" w:hAnsi="Times New Roman" w:cs="Times New Roman"/>
          <w:spacing w:val="-4"/>
          <w:sz w:val="24"/>
          <w:szCs w:val="24"/>
        </w:rPr>
        <w:t xml:space="preserve"> </w:t>
      </w:r>
      <w:r>
        <w:rPr>
          <w:rFonts w:ascii="Times New Roman" w:hAnsi="Times New Roman" w:cs="Times New Roman"/>
          <w:sz w:val="24"/>
          <w:szCs w:val="24"/>
        </w:rPr>
        <w:t>that</w:t>
      </w:r>
      <w:r>
        <w:rPr>
          <w:rFonts w:ascii="Times New Roman" w:hAnsi="Times New Roman" w:cs="Times New Roman"/>
          <w:spacing w:val="-4"/>
          <w:sz w:val="24"/>
          <w:szCs w:val="24"/>
        </w:rPr>
        <w:t xml:space="preserve"> </w:t>
      </w:r>
      <w:r>
        <w:rPr>
          <w:rFonts w:ascii="Times New Roman" w:hAnsi="Times New Roman" w:cs="Times New Roman"/>
          <w:sz w:val="24"/>
          <w:szCs w:val="24"/>
        </w:rPr>
        <w:t>EOHHS</w:t>
      </w:r>
      <w:r>
        <w:rPr>
          <w:rFonts w:ascii="Times New Roman" w:hAnsi="Times New Roman" w:cs="Times New Roman"/>
          <w:spacing w:val="-2"/>
          <w:sz w:val="24"/>
          <w:szCs w:val="24"/>
        </w:rPr>
        <w:t xml:space="preserve"> </w:t>
      </w:r>
      <w:r>
        <w:rPr>
          <w:rFonts w:ascii="Times New Roman" w:hAnsi="Times New Roman" w:cs="Times New Roman"/>
          <w:sz w:val="24"/>
          <w:szCs w:val="24"/>
        </w:rPr>
        <w:t>eliminate</w:t>
      </w:r>
      <w:r>
        <w:rPr>
          <w:rFonts w:ascii="Times New Roman" w:hAnsi="Times New Roman" w:cs="Times New Roman"/>
          <w:spacing w:val="-4"/>
          <w:sz w:val="24"/>
          <w:szCs w:val="24"/>
        </w:rPr>
        <w:t xml:space="preserve"> </w:t>
      </w:r>
      <w:r>
        <w:rPr>
          <w:rFonts w:ascii="Times New Roman" w:hAnsi="Times New Roman" w:cs="Times New Roman"/>
          <w:sz w:val="24"/>
          <w:szCs w:val="24"/>
        </w:rPr>
        <w:t>or</w:t>
      </w:r>
      <w:r>
        <w:rPr>
          <w:rFonts w:ascii="Times New Roman" w:hAnsi="Times New Roman" w:cs="Times New Roman"/>
          <w:spacing w:val="-4"/>
          <w:sz w:val="24"/>
          <w:szCs w:val="24"/>
        </w:rPr>
        <w:t xml:space="preserve"> </w:t>
      </w:r>
      <w:r>
        <w:rPr>
          <w:rFonts w:ascii="Times New Roman" w:hAnsi="Times New Roman" w:cs="Times New Roman"/>
          <w:sz w:val="24"/>
          <w:szCs w:val="24"/>
        </w:rPr>
        <w:t>clarify</w:t>
      </w:r>
      <w:r>
        <w:rPr>
          <w:rFonts w:ascii="Times New Roman" w:hAnsi="Times New Roman" w:cs="Times New Roman"/>
          <w:spacing w:val="-8"/>
          <w:sz w:val="24"/>
          <w:szCs w:val="24"/>
        </w:rPr>
        <w:t xml:space="preserve"> </w:t>
      </w:r>
      <w:r>
        <w:rPr>
          <w:rFonts w:ascii="Times New Roman" w:hAnsi="Times New Roman" w:cs="Times New Roman"/>
          <w:sz w:val="24"/>
          <w:szCs w:val="24"/>
        </w:rPr>
        <w:t>how</w:t>
      </w:r>
      <w:r>
        <w:rPr>
          <w:rFonts w:ascii="Times New Roman" w:hAnsi="Times New Roman" w:cs="Times New Roman"/>
          <w:spacing w:val="-4"/>
          <w:sz w:val="24"/>
          <w:szCs w:val="24"/>
        </w:rPr>
        <w:t xml:space="preserve"> </w:t>
      </w:r>
      <w:r>
        <w:rPr>
          <w:rFonts w:ascii="Times New Roman" w:hAnsi="Times New Roman" w:cs="Times New Roman"/>
          <w:sz w:val="24"/>
          <w:szCs w:val="24"/>
        </w:rPr>
        <w:t>it</w:t>
      </w:r>
      <w:r>
        <w:rPr>
          <w:rFonts w:ascii="Times New Roman" w:hAnsi="Times New Roman" w:cs="Times New Roman"/>
          <w:spacing w:val="-2"/>
          <w:sz w:val="24"/>
          <w:szCs w:val="24"/>
        </w:rPr>
        <w:t xml:space="preserve"> </w:t>
      </w:r>
      <w:r>
        <w:rPr>
          <w:rFonts w:ascii="Times New Roman" w:hAnsi="Times New Roman" w:cs="Times New Roman"/>
          <w:sz w:val="24"/>
          <w:szCs w:val="24"/>
        </w:rPr>
        <w:t>will</w:t>
      </w:r>
      <w:r>
        <w:rPr>
          <w:rFonts w:ascii="Times New Roman" w:hAnsi="Times New Roman" w:cs="Times New Roman"/>
          <w:spacing w:val="-3"/>
          <w:sz w:val="24"/>
          <w:szCs w:val="24"/>
        </w:rPr>
        <w:t xml:space="preserve"> </w:t>
      </w:r>
      <w:r>
        <w:rPr>
          <w:rFonts w:ascii="Times New Roman" w:hAnsi="Times New Roman" w:cs="Times New Roman"/>
          <w:sz w:val="24"/>
          <w:szCs w:val="24"/>
        </w:rPr>
        <w:t>define</w:t>
      </w:r>
      <w:r>
        <w:rPr>
          <w:rFonts w:ascii="Times New Roman" w:hAnsi="Times New Roman" w:cs="Times New Roman"/>
          <w:spacing w:val="-5"/>
          <w:sz w:val="24"/>
          <w:szCs w:val="24"/>
        </w:rPr>
        <w:t xml:space="preserve"> </w:t>
      </w:r>
      <w:r>
        <w:rPr>
          <w:rFonts w:ascii="Times New Roman" w:hAnsi="Times New Roman" w:cs="Times New Roman"/>
          <w:sz w:val="24"/>
          <w:szCs w:val="24"/>
        </w:rPr>
        <w:t>the</w:t>
      </w:r>
      <w:r>
        <w:rPr>
          <w:rFonts w:ascii="Times New Roman" w:hAnsi="Times New Roman" w:cs="Times New Roman"/>
          <w:spacing w:val="-4"/>
          <w:sz w:val="24"/>
          <w:szCs w:val="24"/>
        </w:rPr>
        <w:t xml:space="preserve"> </w:t>
      </w:r>
      <w:r>
        <w:rPr>
          <w:rFonts w:ascii="Times New Roman" w:hAnsi="Times New Roman" w:cs="Times New Roman"/>
          <w:sz w:val="24"/>
          <w:szCs w:val="24"/>
        </w:rPr>
        <w:t>term</w:t>
      </w:r>
      <w:r>
        <w:rPr>
          <w:rFonts w:ascii="Times New Roman" w:hAnsi="Times New Roman" w:cs="Times New Roman"/>
          <w:spacing w:val="-3"/>
          <w:sz w:val="24"/>
          <w:szCs w:val="24"/>
        </w:rPr>
        <w:t xml:space="preserve"> </w:t>
      </w:r>
      <w:r>
        <w:rPr>
          <w:rFonts w:ascii="Times New Roman" w:hAnsi="Times New Roman" w:cs="Times New Roman"/>
          <w:sz w:val="24"/>
          <w:szCs w:val="24"/>
        </w:rPr>
        <w:t>“cost-effective.” The purpose of funding flexible services is to enable delivery of innovative and promising interventions that meet the needs the ACO’s patient population. In order to make the promise of this funding real with respect to patient outcomes and cost, ACOs should be able to draw from a wide array of possible interventions. In some contexts, “cost-effective” is used to indicate that a study has been published examining the return on investment (ROI) or ratio of cost to quality- adjusted life years gained for the intervention. ACOs could therefore interpret the phrase “determined to be cost-effective” to mean that such studies must exist in order for a particular service</w:t>
      </w:r>
      <w:r>
        <w:rPr>
          <w:rFonts w:ascii="Times New Roman" w:hAnsi="Times New Roman" w:cs="Times New Roman"/>
          <w:spacing w:val="-5"/>
          <w:sz w:val="24"/>
          <w:szCs w:val="24"/>
        </w:rPr>
        <w:t xml:space="preserve"> </w:t>
      </w:r>
      <w:r>
        <w:rPr>
          <w:rFonts w:ascii="Times New Roman" w:hAnsi="Times New Roman" w:cs="Times New Roman"/>
          <w:sz w:val="24"/>
          <w:szCs w:val="24"/>
        </w:rPr>
        <w:t>to</w:t>
      </w:r>
      <w:r>
        <w:rPr>
          <w:rFonts w:ascii="Times New Roman" w:hAnsi="Times New Roman" w:cs="Times New Roman"/>
          <w:spacing w:val="-3"/>
          <w:sz w:val="24"/>
          <w:szCs w:val="24"/>
        </w:rPr>
        <w:t xml:space="preserve"> </w:t>
      </w:r>
      <w:r>
        <w:rPr>
          <w:rFonts w:ascii="Times New Roman" w:hAnsi="Times New Roman" w:cs="Times New Roman"/>
          <w:sz w:val="24"/>
          <w:szCs w:val="24"/>
        </w:rPr>
        <w:t>be</w:t>
      </w:r>
      <w:r>
        <w:rPr>
          <w:rFonts w:ascii="Times New Roman" w:hAnsi="Times New Roman" w:cs="Times New Roman"/>
          <w:spacing w:val="-5"/>
          <w:sz w:val="24"/>
          <w:szCs w:val="24"/>
        </w:rPr>
        <w:t xml:space="preserve"> </w:t>
      </w:r>
      <w:r>
        <w:rPr>
          <w:rFonts w:ascii="Times New Roman" w:hAnsi="Times New Roman" w:cs="Times New Roman"/>
          <w:sz w:val="24"/>
          <w:szCs w:val="24"/>
        </w:rPr>
        <w:t>covered</w:t>
      </w:r>
      <w:r>
        <w:rPr>
          <w:rFonts w:ascii="Times New Roman" w:hAnsi="Times New Roman" w:cs="Times New Roman"/>
          <w:spacing w:val="-4"/>
          <w:sz w:val="24"/>
          <w:szCs w:val="24"/>
        </w:rPr>
        <w:t xml:space="preserve"> </w:t>
      </w:r>
      <w:r>
        <w:rPr>
          <w:rFonts w:ascii="Times New Roman" w:hAnsi="Times New Roman" w:cs="Times New Roman"/>
          <w:sz w:val="24"/>
          <w:szCs w:val="24"/>
        </w:rPr>
        <w:t>under</w:t>
      </w:r>
      <w:r>
        <w:rPr>
          <w:rFonts w:ascii="Times New Roman" w:hAnsi="Times New Roman" w:cs="Times New Roman"/>
          <w:spacing w:val="-5"/>
          <w:sz w:val="24"/>
          <w:szCs w:val="24"/>
        </w:rPr>
        <w:t xml:space="preserve"> </w:t>
      </w:r>
      <w:r>
        <w:rPr>
          <w:rFonts w:ascii="Times New Roman" w:hAnsi="Times New Roman" w:cs="Times New Roman"/>
          <w:sz w:val="24"/>
          <w:szCs w:val="24"/>
        </w:rPr>
        <w:t>FSS.</w:t>
      </w:r>
      <w:r>
        <w:rPr>
          <w:rFonts w:ascii="Times New Roman" w:hAnsi="Times New Roman" w:cs="Times New Roman"/>
          <w:spacing w:val="-4"/>
          <w:sz w:val="24"/>
          <w:szCs w:val="24"/>
        </w:rPr>
        <w:t xml:space="preserve"> </w:t>
      </w:r>
      <w:r>
        <w:rPr>
          <w:rFonts w:ascii="Times New Roman" w:hAnsi="Times New Roman" w:cs="Times New Roman"/>
          <w:sz w:val="24"/>
          <w:szCs w:val="24"/>
        </w:rPr>
        <w:t>For</w:t>
      </w:r>
      <w:r>
        <w:rPr>
          <w:rFonts w:ascii="Times New Roman" w:hAnsi="Times New Roman" w:cs="Times New Roman"/>
          <w:spacing w:val="-5"/>
          <w:sz w:val="24"/>
          <w:szCs w:val="24"/>
        </w:rPr>
        <w:t xml:space="preserve"> </w:t>
      </w:r>
      <w:r>
        <w:rPr>
          <w:rFonts w:ascii="Times New Roman" w:hAnsi="Times New Roman" w:cs="Times New Roman"/>
          <w:sz w:val="24"/>
          <w:szCs w:val="24"/>
        </w:rPr>
        <w:t>many</w:t>
      </w:r>
      <w:r>
        <w:rPr>
          <w:rFonts w:ascii="Times New Roman" w:hAnsi="Times New Roman" w:cs="Times New Roman"/>
          <w:spacing w:val="-11"/>
          <w:sz w:val="24"/>
          <w:szCs w:val="24"/>
        </w:rPr>
        <w:t xml:space="preserve"> </w:t>
      </w:r>
      <w:r>
        <w:rPr>
          <w:rFonts w:ascii="Times New Roman" w:hAnsi="Times New Roman" w:cs="Times New Roman"/>
          <w:sz w:val="24"/>
          <w:szCs w:val="24"/>
        </w:rPr>
        <w:t>key</w:t>
      </w:r>
      <w:r>
        <w:rPr>
          <w:rFonts w:ascii="Times New Roman" w:hAnsi="Times New Roman" w:cs="Times New Roman"/>
          <w:spacing w:val="-11"/>
          <w:sz w:val="24"/>
          <w:szCs w:val="24"/>
        </w:rPr>
        <w:t xml:space="preserve"> </w:t>
      </w:r>
      <w:r>
        <w:rPr>
          <w:rFonts w:ascii="Times New Roman" w:hAnsi="Times New Roman" w:cs="Times New Roman"/>
          <w:sz w:val="24"/>
          <w:szCs w:val="24"/>
        </w:rPr>
        <w:t>social</w:t>
      </w:r>
      <w:r>
        <w:rPr>
          <w:rFonts w:ascii="Times New Roman" w:hAnsi="Times New Roman" w:cs="Times New Roman"/>
          <w:spacing w:val="-4"/>
          <w:sz w:val="24"/>
          <w:szCs w:val="24"/>
        </w:rPr>
        <w:t xml:space="preserve"> </w:t>
      </w:r>
      <w:r>
        <w:rPr>
          <w:rFonts w:ascii="Times New Roman" w:hAnsi="Times New Roman" w:cs="Times New Roman"/>
          <w:sz w:val="24"/>
          <w:szCs w:val="24"/>
        </w:rPr>
        <w:t>service</w:t>
      </w:r>
      <w:r>
        <w:rPr>
          <w:rFonts w:ascii="Times New Roman" w:hAnsi="Times New Roman" w:cs="Times New Roman"/>
          <w:spacing w:val="-5"/>
          <w:sz w:val="24"/>
          <w:szCs w:val="24"/>
        </w:rPr>
        <w:t xml:space="preserve"> </w:t>
      </w:r>
      <w:r>
        <w:rPr>
          <w:rFonts w:ascii="Times New Roman" w:hAnsi="Times New Roman" w:cs="Times New Roman"/>
          <w:sz w:val="24"/>
          <w:szCs w:val="24"/>
        </w:rPr>
        <w:t>interventions,</w:t>
      </w:r>
      <w:r>
        <w:rPr>
          <w:rFonts w:ascii="Times New Roman" w:hAnsi="Times New Roman" w:cs="Times New Roman"/>
          <w:spacing w:val="-4"/>
          <w:sz w:val="24"/>
          <w:szCs w:val="24"/>
        </w:rPr>
        <w:t xml:space="preserve"> </w:t>
      </w:r>
      <w:r>
        <w:rPr>
          <w:rFonts w:ascii="Times New Roman" w:hAnsi="Times New Roman" w:cs="Times New Roman"/>
          <w:sz w:val="24"/>
          <w:szCs w:val="24"/>
        </w:rPr>
        <w:t>this</w:t>
      </w:r>
      <w:r>
        <w:rPr>
          <w:rFonts w:ascii="Times New Roman" w:hAnsi="Times New Roman" w:cs="Times New Roman"/>
          <w:spacing w:val="-3"/>
          <w:sz w:val="24"/>
          <w:szCs w:val="24"/>
        </w:rPr>
        <w:t xml:space="preserve"> </w:t>
      </w:r>
      <w:r>
        <w:rPr>
          <w:rFonts w:ascii="Times New Roman" w:hAnsi="Times New Roman" w:cs="Times New Roman"/>
          <w:sz w:val="24"/>
          <w:szCs w:val="24"/>
        </w:rPr>
        <w:t>level</w:t>
      </w:r>
      <w:r>
        <w:rPr>
          <w:rFonts w:ascii="Times New Roman" w:hAnsi="Times New Roman" w:cs="Times New Roman"/>
          <w:spacing w:val="-3"/>
          <w:sz w:val="24"/>
          <w:szCs w:val="24"/>
        </w:rPr>
        <w:t xml:space="preserve"> </w:t>
      </w:r>
      <w:r>
        <w:rPr>
          <w:rFonts w:ascii="Times New Roman" w:hAnsi="Times New Roman" w:cs="Times New Roman"/>
          <w:sz w:val="24"/>
          <w:szCs w:val="24"/>
        </w:rPr>
        <w:t>of</w:t>
      </w:r>
      <w:r>
        <w:rPr>
          <w:rFonts w:ascii="Times New Roman" w:hAnsi="Times New Roman" w:cs="Times New Roman"/>
          <w:spacing w:val="-5"/>
          <w:sz w:val="24"/>
          <w:szCs w:val="24"/>
        </w:rPr>
        <w:t xml:space="preserve"> </w:t>
      </w:r>
      <w:r>
        <w:rPr>
          <w:rFonts w:ascii="Times New Roman" w:hAnsi="Times New Roman" w:cs="Times New Roman"/>
          <w:sz w:val="24"/>
          <w:szCs w:val="24"/>
        </w:rPr>
        <w:t>data</w:t>
      </w:r>
      <w:r>
        <w:rPr>
          <w:rFonts w:ascii="Times New Roman" w:hAnsi="Times New Roman" w:cs="Times New Roman"/>
          <w:spacing w:val="-4"/>
          <w:sz w:val="24"/>
          <w:szCs w:val="24"/>
        </w:rPr>
        <w:t xml:space="preserve"> </w:t>
      </w:r>
      <w:r>
        <w:rPr>
          <w:rFonts w:ascii="Times New Roman" w:hAnsi="Times New Roman" w:cs="Times New Roman"/>
          <w:sz w:val="24"/>
          <w:szCs w:val="24"/>
        </w:rPr>
        <w:t>may not</w:t>
      </w:r>
      <w:r>
        <w:rPr>
          <w:rFonts w:ascii="Times New Roman" w:hAnsi="Times New Roman" w:cs="Times New Roman"/>
          <w:spacing w:val="-7"/>
          <w:sz w:val="24"/>
          <w:szCs w:val="24"/>
        </w:rPr>
        <w:t xml:space="preserve"> </w:t>
      </w:r>
      <w:r>
        <w:rPr>
          <w:rFonts w:ascii="Times New Roman" w:hAnsi="Times New Roman" w:cs="Times New Roman"/>
          <w:sz w:val="24"/>
          <w:szCs w:val="24"/>
        </w:rPr>
        <w:t>yet</w:t>
      </w:r>
      <w:r>
        <w:rPr>
          <w:rFonts w:ascii="Times New Roman" w:hAnsi="Times New Roman" w:cs="Times New Roman"/>
          <w:spacing w:val="-9"/>
          <w:sz w:val="24"/>
          <w:szCs w:val="24"/>
        </w:rPr>
        <w:t xml:space="preserve"> </w:t>
      </w:r>
      <w:r>
        <w:rPr>
          <w:rFonts w:ascii="Times New Roman" w:hAnsi="Times New Roman" w:cs="Times New Roman"/>
          <w:sz w:val="24"/>
          <w:szCs w:val="24"/>
        </w:rPr>
        <w:t>exist</w:t>
      </w:r>
      <w:r>
        <w:rPr>
          <w:rFonts w:ascii="Times New Roman" w:hAnsi="Times New Roman" w:cs="Times New Roman"/>
          <w:spacing w:val="-8"/>
          <w:sz w:val="24"/>
          <w:szCs w:val="24"/>
        </w:rPr>
        <w:t xml:space="preserve"> </w:t>
      </w:r>
      <w:r>
        <w:rPr>
          <w:rFonts w:ascii="Times New Roman" w:hAnsi="Times New Roman" w:cs="Times New Roman"/>
          <w:sz w:val="24"/>
          <w:szCs w:val="24"/>
        </w:rPr>
        <w:t>despite</w:t>
      </w:r>
      <w:r>
        <w:rPr>
          <w:rFonts w:ascii="Times New Roman" w:hAnsi="Times New Roman" w:cs="Times New Roman"/>
          <w:spacing w:val="-11"/>
          <w:sz w:val="24"/>
          <w:szCs w:val="24"/>
        </w:rPr>
        <w:t xml:space="preserve"> </w:t>
      </w:r>
      <w:r>
        <w:rPr>
          <w:rFonts w:ascii="Times New Roman" w:hAnsi="Times New Roman" w:cs="Times New Roman"/>
          <w:sz w:val="24"/>
          <w:szCs w:val="24"/>
        </w:rPr>
        <w:t>compelling</w:t>
      </w:r>
      <w:r>
        <w:rPr>
          <w:rFonts w:ascii="Times New Roman" w:hAnsi="Times New Roman" w:cs="Times New Roman"/>
          <w:spacing w:val="-12"/>
          <w:sz w:val="24"/>
          <w:szCs w:val="24"/>
        </w:rPr>
        <w:t xml:space="preserve"> </w:t>
      </w:r>
      <w:r>
        <w:rPr>
          <w:rFonts w:ascii="Times New Roman" w:hAnsi="Times New Roman" w:cs="Times New Roman"/>
          <w:sz w:val="24"/>
          <w:szCs w:val="24"/>
        </w:rPr>
        <w:t>evidence</w:t>
      </w:r>
      <w:r>
        <w:rPr>
          <w:rFonts w:ascii="Times New Roman" w:hAnsi="Times New Roman" w:cs="Times New Roman"/>
          <w:spacing w:val="-11"/>
          <w:sz w:val="24"/>
          <w:szCs w:val="24"/>
        </w:rPr>
        <w:t xml:space="preserve"> </w:t>
      </w:r>
      <w:r>
        <w:rPr>
          <w:rFonts w:ascii="Times New Roman" w:hAnsi="Times New Roman" w:cs="Times New Roman"/>
          <w:sz w:val="24"/>
          <w:szCs w:val="24"/>
        </w:rPr>
        <w:t>(e.g.,</w:t>
      </w:r>
      <w:r>
        <w:rPr>
          <w:rFonts w:ascii="Times New Roman" w:hAnsi="Times New Roman" w:cs="Times New Roman"/>
          <w:spacing w:val="-10"/>
          <w:sz w:val="24"/>
          <w:szCs w:val="24"/>
        </w:rPr>
        <w:t xml:space="preserve"> </w:t>
      </w:r>
      <w:r>
        <w:rPr>
          <w:rFonts w:ascii="Times New Roman" w:hAnsi="Times New Roman" w:cs="Times New Roman"/>
          <w:sz w:val="24"/>
          <w:szCs w:val="24"/>
        </w:rPr>
        <w:t>pilot</w:t>
      </w:r>
      <w:r>
        <w:rPr>
          <w:rFonts w:ascii="Times New Roman" w:hAnsi="Times New Roman" w:cs="Times New Roman"/>
          <w:spacing w:val="-9"/>
          <w:sz w:val="24"/>
          <w:szCs w:val="24"/>
        </w:rPr>
        <w:t xml:space="preserve"> </w:t>
      </w:r>
      <w:r>
        <w:rPr>
          <w:rFonts w:ascii="Times New Roman" w:hAnsi="Times New Roman" w:cs="Times New Roman"/>
          <w:sz w:val="24"/>
          <w:szCs w:val="24"/>
        </w:rPr>
        <w:t>studies</w:t>
      </w:r>
      <w:r>
        <w:rPr>
          <w:rFonts w:ascii="Times New Roman" w:hAnsi="Times New Roman" w:cs="Times New Roman"/>
          <w:spacing w:val="-9"/>
          <w:sz w:val="24"/>
          <w:szCs w:val="24"/>
        </w:rPr>
        <w:t xml:space="preserve"> </w:t>
      </w:r>
      <w:r>
        <w:rPr>
          <w:rFonts w:ascii="Times New Roman" w:hAnsi="Times New Roman" w:cs="Times New Roman"/>
          <w:sz w:val="24"/>
          <w:szCs w:val="24"/>
        </w:rPr>
        <w:t>and</w:t>
      </w:r>
      <w:r>
        <w:rPr>
          <w:rFonts w:ascii="Times New Roman" w:hAnsi="Times New Roman" w:cs="Times New Roman"/>
          <w:spacing w:val="-10"/>
          <w:sz w:val="24"/>
          <w:szCs w:val="24"/>
        </w:rPr>
        <w:t xml:space="preserve"> </w:t>
      </w:r>
      <w:r>
        <w:rPr>
          <w:rFonts w:ascii="Times New Roman" w:hAnsi="Times New Roman" w:cs="Times New Roman"/>
          <w:sz w:val="24"/>
          <w:szCs w:val="24"/>
        </w:rPr>
        <w:t>internal</w:t>
      </w:r>
      <w:r>
        <w:rPr>
          <w:rFonts w:ascii="Times New Roman" w:hAnsi="Times New Roman" w:cs="Times New Roman"/>
          <w:spacing w:val="-9"/>
          <w:sz w:val="24"/>
          <w:szCs w:val="24"/>
        </w:rPr>
        <w:t xml:space="preserve"> </w:t>
      </w:r>
      <w:r>
        <w:rPr>
          <w:rFonts w:ascii="Times New Roman" w:hAnsi="Times New Roman" w:cs="Times New Roman"/>
          <w:sz w:val="24"/>
          <w:szCs w:val="24"/>
        </w:rPr>
        <w:t>data)</w:t>
      </w:r>
      <w:r>
        <w:rPr>
          <w:rFonts w:ascii="Times New Roman" w:hAnsi="Times New Roman" w:cs="Times New Roman"/>
          <w:spacing w:val="-8"/>
          <w:sz w:val="24"/>
          <w:szCs w:val="24"/>
        </w:rPr>
        <w:t xml:space="preserve"> </w:t>
      </w:r>
      <w:r>
        <w:rPr>
          <w:rFonts w:ascii="Times New Roman" w:hAnsi="Times New Roman" w:cs="Times New Roman"/>
          <w:sz w:val="24"/>
          <w:szCs w:val="24"/>
        </w:rPr>
        <w:t>that</w:t>
      </w:r>
      <w:r>
        <w:rPr>
          <w:rFonts w:ascii="Times New Roman" w:hAnsi="Times New Roman" w:cs="Times New Roman"/>
          <w:spacing w:val="-9"/>
          <w:sz w:val="24"/>
          <w:szCs w:val="24"/>
        </w:rPr>
        <w:t xml:space="preserve"> </w:t>
      </w:r>
      <w:r>
        <w:rPr>
          <w:rFonts w:ascii="Times New Roman" w:hAnsi="Times New Roman" w:cs="Times New Roman"/>
          <w:sz w:val="24"/>
          <w:szCs w:val="24"/>
        </w:rPr>
        <w:t>the</w:t>
      </w:r>
      <w:r>
        <w:rPr>
          <w:rFonts w:ascii="Times New Roman" w:hAnsi="Times New Roman" w:cs="Times New Roman"/>
          <w:spacing w:val="-10"/>
          <w:sz w:val="24"/>
          <w:szCs w:val="24"/>
        </w:rPr>
        <w:t xml:space="preserve"> </w:t>
      </w:r>
      <w:r>
        <w:rPr>
          <w:rFonts w:ascii="Times New Roman" w:hAnsi="Times New Roman" w:cs="Times New Roman"/>
          <w:sz w:val="24"/>
          <w:szCs w:val="24"/>
        </w:rPr>
        <w:t>intervention is low-cost and high-impact. We therefore urge EOHHS to eliminate or clarify the requirement that</w:t>
      </w:r>
      <w:r>
        <w:rPr>
          <w:rFonts w:ascii="Times New Roman" w:hAnsi="Times New Roman" w:cs="Times New Roman"/>
          <w:spacing w:val="-11"/>
          <w:sz w:val="24"/>
          <w:szCs w:val="24"/>
        </w:rPr>
        <w:t xml:space="preserve"> </w:t>
      </w:r>
      <w:r>
        <w:rPr>
          <w:rFonts w:ascii="Times New Roman" w:hAnsi="Times New Roman" w:cs="Times New Roman"/>
          <w:sz w:val="24"/>
          <w:szCs w:val="24"/>
        </w:rPr>
        <w:t>FSS</w:t>
      </w:r>
      <w:r>
        <w:rPr>
          <w:rFonts w:ascii="Times New Roman" w:hAnsi="Times New Roman" w:cs="Times New Roman"/>
          <w:spacing w:val="-10"/>
          <w:sz w:val="24"/>
          <w:szCs w:val="24"/>
        </w:rPr>
        <w:t xml:space="preserve"> </w:t>
      </w:r>
      <w:r>
        <w:rPr>
          <w:rFonts w:ascii="Times New Roman" w:hAnsi="Times New Roman" w:cs="Times New Roman"/>
          <w:sz w:val="24"/>
          <w:szCs w:val="24"/>
        </w:rPr>
        <w:t>be</w:t>
      </w:r>
      <w:r>
        <w:rPr>
          <w:rFonts w:ascii="Times New Roman" w:hAnsi="Times New Roman" w:cs="Times New Roman"/>
          <w:spacing w:val="-9"/>
          <w:sz w:val="24"/>
          <w:szCs w:val="24"/>
        </w:rPr>
        <w:t xml:space="preserve"> </w:t>
      </w:r>
      <w:r>
        <w:rPr>
          <w:rFonts w:ascii="Times New Roman" w:hAnsi="Times New Roman" w:cs="Times New Roman"/>
          <w:sz w:val="24"/>
          <w:szCs w:val="24"/>
        </w:rPr>
        <w:t>“determined</w:t>
      </w:r>
      <w:r>
        <w:rPr>
          <w:rFonts w:ascii="Times New Roman" w:hAnsi="Times New Roman" w:cs="Times New Roman"/>
          <w:spacing w:val="-11"/>
          <w:sz w:val="24"/>
          <w:szCs w:val="24"/>
        </w:rPr>
        <w:t xml:space="preserve"> </w:t>
      </w:r>
      <w:r>
        <w:rPr>
          <w:rFonts w:ascii="Times New Roman" w:hAnsi="Times New Roman" w:cs="Times New Roman"/>
          <w:sz w:val="24"/>
          <w:szCs w:val="24"/>
        </w:rPr>
        <w:t>to</w:t>
      </w:r>
      <w:r>
        <w:rPr>
          <w:rFonts w:ascii="Times New Roman" w:hAnsi="Times New Roman" w:cs="Times New Roman"/>
          <w:spacing w:val="-11"/>
          <w:sz w:val="24"/>
          <w:szCs w:val="24"/>
        </w:rPr>
        <w:t xml:space="preserve"> </w:t>
      </w:r>
      <w:r>
        <w:rPr>
          <w:rFonts w:ascii="Times New Roman" w:hAnsi="Times New Roman" w:cs="Times New Roman"/>
          <w:sz w:val="24"/>
          <w:szCs w:val="24"/>
        </w:rPr>
        <w:t>be</w:t>
      </w:r>
      <w:r>
        <w:rPr>
          <w:rFonts w:ascii="Times New Roman" w:hAnsi="Times New Roman" w:cs="Times New Roman"/>
          <w:spacing w:val="-9"/>
          <w:sz w:val="24"/>
          <w:szCs w:val="24"/>
        </w:rPr>
        <w:t xml:space="preserve"> </w:t>
      </w:r>
      <w:r>
        <w:rPr>
          <w:rFonts w:ascii="Times New Roman" w:hAnsi="Times New Roman" w:cs="Times New Roman"/>
          <w:sz w:val="24"/>
          <w:szCs w:val="24"/>
        </w:rPr>
        <w:t>cost-effective.”</w:t>
      </w:r>
      <w:r>
        <w:rPr>
          <w:rFonts w:ascii="Times New Roman" w:hAnsi="Times New Roman" w:cs="Times New Roman"/>
          <w:spacing w:val="-7"/>
          <w:sz w:val="24"/>
          <w:szCs w:val="24"/>
        </w:rPr>
        <w:t xml:space="preserve"> </w:t>
      </w:r>
      <w:r>
        <w:rPr>
          <w:rFonts w:ascii="Times New Roman" w:hAnsi="Times New Roman" w:cs="Times New Roman"/>
          <w:sz w:val="24"/>
          <w:szCs w:val="24"/>
        </w:rPr>
        <w:t>In</w:t>
      </w:r>
      <w:r>
        <w:rPr>
          <w:rFonts w:ascii="Times New Roman" w:hAnsi="Times New Roman" w:cs="Times New Roman"/>
          <w:spacing w:val="-11"/>
          <w:sz w:val="24"/>
          <w:szCs w:val="24"/>
        </w:rPr>
        <w:t xml:space="preserve"> </w:t>
      </w:r>
      <w:r>
        <w:rPr>
          <w:rFonts w:ascii="Times New Roman" w:hAnsi="Times New Roman" w:cs="Times New Roman"/>
          <w:sz w:val="24"/>
          <w:szCs w:val="24"/>
        </w:rPr>
        <w:t>the</w:t>
      </w:r>
      <w:r>
        <w:rPr>
          <w:rFonts w:ascii="Times New Roman" w:hAnsi="Times New Roman" w:cs="Times New Roman"/>
          <w:spacing w:val="-12"/>
          <w:sz w:val="24"/>
          <w:szCs w:val="24"/>
        </w:rPr>
        <w:t xml:space="preserve"> </w:t>
      </w:r>
      <w:r>
        <w:rPr>
          <w:rFonts w:ascii="Times New Roman" w:hAnsi="Times New Roman" w:cs="Times New Roman"/>
          <w:sz w:val="24"/>
          <w:szCs w:val="24"/>
        </w:rPr>
        <w:t>event</w:t>
      </w:r>
      <w:r>
        <w:rPr>
          <w:rFonts w:ascii="Times New Roman" w:hAnsi="Times New Roman" w:cs="Times New Roman"/>
          <w:spacing w:val="-11"/>
          <w:sz w:val="24"/>
          <w:szCs w:val="24"/>
        </w:rPr>
        <w:t xml:space="preserve"> </w:t>
      </w:r>
      <w:r>
        <w:rPr>
          <w:rFonts w:ascii="Times New Roman" w:hAnsi="Times New Roman" w:cs="Times New Roman"/>
          <w:sz w:val="24"/>
          <w:szCs w:val="24"/>
        </w:rPr>
        <w:t>that</w:t>
      </w:r>
      <w:r>
        <w:rPr>
          <w:rFonts w:ascii="Times New Roman" w:hAnsi="Times New Roman" w:cs="Times New Roman"/>
          <w:spacing w:val="-11"/>
          <w:sz w:val="24"/>
          <w:szCs w:val="24"/>
        </w:rPr>
        <w:t xml:space="preserve"> </w:t>
      </w:r>
      <w:r>
        <w:rPr>
          <w:rFonts w:ascii="Times New Roman" w:hAnsi="Times New Roman" w:cs="Times New Roman"/>
          <w:sz w:val="24"/>
          <w:szCs w:val="24"/>
        </w:rPr>
        <w:t>EOHHS</w:t>
      </w:r>
      <w:r>
        <w:rPr>
          <w:rFonts w:ascii="Times New Roman" w:hAnsi="Times New Roman" w:cs="Times New Roman"/>
          <w:spacing w:val="-11"/>
          <w:sz w:val="24"/>
          <w:szCs w:val="24"/>
        </w:rPr>
        <w:t xml:space="preserve"> </w:t>
      </w:r>
      <w:r>
        <w:rPr>
          <w:rFonts w:ascii="Times New Roman" w:hAnsi="Times New Roman" w:cs="Times New Roman"/>
          <w:sz w:val="24"/>
          <w:szCs w:val="24"/>
        </w:rPr>
        <w:t>chooses</w:t>
      </w:r>
      <w:r>
        <w:rPr>
          <w:rFonts w:ascii="Times New Roman" w:hAnsi="Times New Roman" w:cs="Times New Roman"/>
          <w:spacing w:val="-11"/>
          <w:sz w:val="24"/>
          <w:szCs w:val="24"/>
        </w:rPr>
        <w:t xml:space="preserve"> </w:t>
      </w:r>
      <w:r>
        <w:rPr>
          <w:rFonts w:ascii="Times New Roman" w:hAnsi="Times New Roman" w:cs="Times New Roman"/>
          <w:sz w:val="24"/>
          <w:szCs w:val="24"/>
        </w:rPr>
        <w:t>to</w:t>
      </w:r>
      <w:r>
        <w:rPr>
          <w:rFonts w:ascii="Times New Roman" w:hAnsi="Times New Roman" w:cs="Times New Roman"/>
          <w:spacing w:val="-11"/>
          <w:sz w:val="24"/>
          <w:szCs w:val="24"/>
        </w:rPr>
        <w:t xml:space="preserve"> </w:t>
      </w:r>
      <w:r>
        <w:rPr>
          <w:rFonts w:ascii="Times New Roman" w:hAnsi="Times New Roman" w:cs="Times New Roman"/>
          <w:sz w:val="24"/>
          <w:szCs w:val="24"/>
        </w:rPr>
        <w:t>clarify</w:t>
      </w:r>
      <w:r>
        <w:rPr>
          <w:rFonts w:ascii="Times New Roman" w:hAnsi="Times New Roman" w:cs="Times New Roman"/>
          <w:spacing w:val="-16"/>
          <w:sz w:val="24"/>
          <w:szCs w:val="24"/>
        </w:rPr>
        <w:t xml:space="preserve"> </w:t>
      </w:r>
      <w:r>
        <w:rPr>
          <w:rFonts w:ascii="Times New Roman" w:hAnsi="Times New Roman" w:cs="Times New Roman"/>
          <w:sz w:val="24"/>
          <w:szCs w:val="24"/>
        </w:rPr>
        <w:t>the</w:t>
      </w:r>
      <w:r>
        <w:rPr>
          <w:rFonts w:ascii="Times New Roman" w:hAnsi="Times New Roman" w:cs="Times New Roman"/>
          <w:spacing w:val="-9"/>
          <w:sz w:val="24"/>
          <w:szCs w:val="24"/>
        </w:rPr>
        <w:t xml:space="preserve"> </w:t>
      </w:r>
      <w:r>
        <w:rPr>
          <w:rFonts w:ascii="Times New Roman" w:hAnsi="Times New Roman" w:cs="Times New Roman"/>
          <w:sz w:val="24"/>
          <w:szCs w:val="24"/>
        </w:rPr>
        <w:t>term “cost-effective,” we support the adoption of a broad definition to avoid limiting ACOs’ ability to provide FSS that address the unique and often overlooked needs of their patient</w:t>
      </w:r>
      <w:r>
        <w:rPr>
          <w:rFonts w:ascii="Times New Roman" w:hAnsi="Times New Roman" w:cs="Times New Roman"/>
          <w:spacing w:val="-12"/>
          <w:sz w:val="24"/>
          <w:szCs w:val="24"/>
        </w:rPr>
        <w:t xml:space="preserve"> </w:t>
      </w:r>
      <w:r>
        <w:rPr>
          <w:rFonts w:ascii="Times New Roman" w:hAnsi="Times New Roman" w:cs="Times New Roman"/>
          <w:sz w:val="24"/>
          <w:szCs w:val="24"/>
        </w:rPr>
        <w:t>populations.</w:t>
      </w:r>
    </w:p>
    <w:p w:rsidR="002C5025" w:rsidRDefault="002C5025">
      <w:pPr>
        <w:pStyle w:val="BodyText"/>
        <w:kinsoku w:val="0"/>
        <w:overflowPunct w:val="0"/>
        <w:spacing w:before="1"/>
        <w:rPr>
          <w:rFonts w:ascii="Times New Roman" w:hAnsi="Times New Roman" w:cs="Times New Roman"/>
          <w:sz w:val="23"/>
          <w:szCs w:val="23"/>
        </w:rPr>
      </w:pPr>
    </w:p>
    <w:p w:rsidR="002C5025" w:rsidRDefault="002C5025">
      <w:pPr>
        <w:pStyle w:val="BodyText"/>
        <w:kinsoku w:val="0"/>
        <w:overflowPunct w:val="0"/>
        <w:spacing w:before="1"/>
        <w:ind w:left="100" w:right="114"/>
        <w:jc w:val="both"/>
        <w:rPr>
          <w:rFonts w:ascii="Times New Roman" w:hAnsi="Times New Roman" w:cs="Times New Roman"/>
          <w:sz w:val="24"/>
          <w:szCs w:val="24"/>
        </w:rPr>
      </w:pPr>
      <w:r>
        <w:rPr>
          <w:rFonts w:ascii="Times New Roman" w:hAnsi="Times New Roman" w:cs="Times New Roman"/>
          <w:sz w:val="24"/>
          <w:szCs w:val="24"/>
        </w:rPr>
        <w:t>Under the same section, the Request requires that FSS “funding is not available from other publicly-funded programs.” We urge EOHHS to provide clarification on how it will assess situations in which flexible spending may appear to be similar to a preexisting public benefit program, but is actually complementary. For example, ACOs could provide fruit and vegetable vouchers and nutritional counseling as low-cost, high-impact interventions for beneficiaries identified as food insecure. In such cases, MassHealth members should not be precluded from receiving these vouchers if they</w:t>
      </w:r>
      <w:r>
        <w:rPr>
          <w:rFonts w:ascii="Times New Roman" w:hAnsi="Times New Roman" w:cs="Times New Roman"/>
          <w:spacing w:val="-43"/>
          <w:sz w:val="24"/>
          <w:szCs w:val="24"/>
        </w:rPr>
        <w:t xml:space="preserve"> </w:t>
      </w:r>
      <w:r>
        <w:rPr>
          <w:rFonts w:ascii="Times New Roman" w:hAnsi="Times New Roman" w:cs="Times New Roman"/>
          <w:sz w:val="24"/>
          <w:szCs w:val="24"/>
        </w:rPr>
        <w:t>also, for example, receive SNAP benefits. To do so would inhibit ACOs from effectively using FSS to improve the care of beneficiaries who participate in</w:t>
      </w:r>
      <w:r>
        <w:rPr>
          <w:rFonts w:ascii="Times New Roman" w:hAnsi="Times New Roman" w:cs="Times New Roman"/>
          <w:spacing w:val="-25"/>
          <w:sz w:val="24"/>
          <w:szCs w:val="24"/>
        </w:rPr>
        <w:t xml:space="preserve"> </w:t>
      </w:r>
      <w:r>
        <w:rPr>
          <w:rFonts w:ascii="Times New Roman" w:hAnsi="Times New Roman" w:cs="Times New Roman"/>
          <w:sz w:val="24"/>
          <w:szCs w:val="24"/>
        </w:rPr>
        <w:t>multiple public</w:t>
      </w:r>
      <w:r>
        <w:rPr>
          <w:rFonts w:ascii="Times New Roman" w:hAnsi="Times New Roman" w:cs="Times New Roman"/>
          <w:spacing w:val="-15"/>
          <w:sz w:val="24"/>
          <w:szCs w:val="24"/>
        </w:rPr>
        <w:t xml:space="preserve"> </w:t>
      </w:r>
      <w:r>
        <w:rPr>
          <w:rFonts w:ascii="Times New Roman" w:hAnsi="Times New Roman" w:cs="Times New Roman"/>
          <w:sz w:val="24"/>
          <w:szCs w:val="24"/>
        </w:rPr>
        <w:t>programs.</w:t>
      </w:r>
      <w:r>
        <w:rPr>
          <w:rFonts w:ascii="Times New Roman" w:hAnsi="Times New Roman" w:cs="Times New Roman"/>
          <w:spacing w:val="-14"/>
          <w:sz w:val="24"/>
          <w:szCs w:val="24"/>
        </w:rPr>
        <w:t xml:space="preserve"> </w:t>
      </w:r>
      <w:r>
        <w:rPr>
          <w:rFonts w:ascii="Times New Roman" w:hAnsi="Times New Roman" w:cs="Times New Roman"/>
          <w:sz w:val="24"/>
          <w:szCs w:val="24"/>
        </w:rPr>
        <w:t>Any</w:t>
      </w:r>
      <w:r>
        <w:rPr>
          <w:rFonts w:ascii="Times New Roman" w:hAnsi="Times New Roman" w:cs="Times New Roman"/>
          <w:spacing w:val="-18"/>
          <w:sz w:val="24"/>
          <w:szCs w:val="24"/>
        </w:rPr>
        <w:t xml:space="preserve"> </w:t>
      </w:r>
      <w:r>
        <w:rPr>
          <w:rFonts w:ascii="Times New Roman" w:hAnsi="Times New Roman" w:cs="Times New Roman"/>
          <w:sz w:val="24"/>
          <w:szCs w:val="24"/>
        </w:rPr>
        <w:t>clarification</w:t>
      </w:r>
      <w:r>
        <w:rPr>
          <w:rFonts w:ascii="Times New Roman" w:hAnsi="Times New Roman" w:cs="Times New Roman"/>
          <w:spacing w:val="-14"/>
          <w:sz w:val="24"/>
          <w:szCs w:val="24"/>
        </w:rPr>
        <w:t xml:space="preserve"> </w:t>
      </w:r>
      <w:r>
        <w:rPr>
          <w:rFonts w:ascii="Times New Roman" w:hAnsi="Times New Roman" w:cs="Times New Roman"/>
          <w:sz w:val="24"/>
          <w:szCs w:val="24"/>
        </w:rPr>
        <w:t>that</w:t>
      </w:r>
      <w:r>
        <w:rPr>
          <w:rFonts w:ascii="Times New Roman" w:hAnsi="Times New Roman" w:cs="Times New Roman"/>
          <w:spacing w:val="-14"/>
          <w:sz w:val="24"/>
          <w:szCs w:val="24"/>
        </w:rPr>
        <w:t xml:space="preserve"> </w:t>
      </w:r>
      <w:r>
        <w:rPr>
          <w:rFonts w:ascii="Times New Roman" w:hAnsi="Times New Roman" w:cs="Times New Roman"/>
          <w:sz w:val="24"/>
          <w:szCs w:val="24"/>
        </w:rPr>
        <w:t>EOHHS</w:t>
      </w:r>
      <w:r>
        <w:rPr>
          <w:rFonts w:ascii="Times New Roman" w:hAnsi="Times New Roman" w:cs="Times New Roman"/>
          <w:spacing w:val="-14"/>
          <w:sz w:val="24"/>
          <w:szCs w:val="24"/>
        </w:rPr>
        <w:t xml:space="preserve"> </w:t>
      </w:r>
      <w:r>
        <w:rPr>
          <w:rFonts w:ascii="Times New Roman" w:hAnsi="Times New Roman" w:cs="Times New Roman"/>
          <w:sz w:val="24"/>
          <w:szCs w:val="24"/>
        </w:rPr>
        <w:t>can</w:t>
      </w:r>
      <w:r>
        <w:rPr>
          <w:rFonts w:ascii="Times New Roman" w:hAnsi="Times New Roman" w:cs="Times New Roman"/>
          <w:spacing w:val="-14"/>
          <w:sz w:val="24"/>
          <w:szCs w:val="24"/>
        </w:rPr>
        <w:t xml:space="preserve"> </w:t>
      </w:r>
      <w:r>
        <w:rPr>
          <w:rFonts w:ascii="Times New Roman" w:hAnsi="Times New Roman" w:cs="Times New Roman"/>
          <w:sz w:val="24"/>
          <w:szCs w:val="24"/>
        </w:rPr>
        <w:t>provide</w:t>
      </w:r>
      <w:r>
        <w:rPr>
          <w:rFonts w:ascii="Times New Roman" w:hAnsi="Times New Roman" w:cs="Times New Roman"/>
          <w:spacing w:val="-16"/>
          <w:sz w:val="24"/>
          <w:szCs w:val="24"/>
        </w:rPr>
        <w:t xml:space="preserve"> </w:t>
      </w:r>
      <w:r>
        <w:rPr>
          <w:rFonts w:ascii="Times New Roman" w:hAnsi="Times New Roman" w:cs="Times New Roman"/>
          <w:sz w:val="24"/>
          <w:szCs w:val="24"/>
        </w:rPr>
        <w:t>on</w:t>
      </w:r>
      <w:r>
        <w:rPr>
          <w:rFonts w:ascii="Times New Roman" w:hAnsi="Times New Roman" w:cs="Times New Roman"/>
          <w:spacing w:val="-14"/>
          <w:sz w:val="24"/>
          <w:szCs w:val="24"/>
        </w:rPr>
        <w:t xml:space="preserve"> </w:t>
      </w:r>
      <w:r>
        <w:rPr>
          <w:rFonts w:ascii="Times New Roman" w:hAnsi="Times New Roman" w:cs="Times New Roman"/>
          <w:sz w:val="24"/>
          <w:szCs w:val="24"/>
        </w:rPr>
        <w:t>how</w:t>
      </w:r>
      <w:r>
        <w:rPr>
          <w:rFonts w:ascii="Times New Roman" w:hAnsi="Times New Roman" w:cs="Times New Roman"/>
          <w:spacing w:val="-15"/>
          <w:sz w:val="24"/>
          <w:szCs w:val="24"/>
        </w:rPr>
        <w:t xml:space="preserve"> </w:t>
      </w:r>
      <w:r>
        <w:rPr>
          <w:rFonts w:ascii="Times New Roman" w:hAnsi="Times New Roman" w:cs="Times New Roman"/>
          <w:sz w:val="24"/>
          <w:szCs w:val="24"/>
        </w:rPr>
        <w:t>it</w:t>
      </w:r>
      <w:r>
        <w:rPr>
          <w:rFonts w:ascii="Times New Roman" w:hAnsi="Times New Roman" w:cs="Times New Roman"/>
          <w:spacing w:val="-11"/>
          <w:sz w:val="24"/>
          <w:szCs w:val="24"/>
        </w:rPr>
        <w:t xml:space="preserve"> </w:t>
      </w:r>
      <w:r>
        <w:rPr>
          <w:rFonts w:ascii="Times New Roman" w:hAnsi="Times New Roman" w:cs="Times New Roman"/>
          <w:sz w:val="24"/>
          <w:szCs w:val="24"/>
        </w:rPr>
        <w:t>will</w:t>
      </w:r>
      <w:r>
        <w:rPr>
          <w:rFonts w:ascii="Times New Roman" w:hAnsi="Times New Roman" w:cs="Times New Roman"/>
          <w:spacing w:val="-14"/>
          <w:sz w:val="24"/>
          <w:szCs w:val="24"/>
        </w:rPr>
        <w:t xml:space="preserve"> </w:t>
      </w:r>
      <w:r>
        <w:rPr>
          <w:rFonts w:ascii="Times New Roman" w:hAnsi="Times New Roman" w:cs="Times New Roman"/>
          <w:sz w:val="24"/>
          <w:szCs w:val="24"/>
        </w:rPr>
        <w:t>assess</w:t>
      </w:r>
      <w:r>
        <w:rPr>
          <w:rFonts w:ascii="Times New Roman" w:hAnsi="Times New Roman" w:cs="Times New Roman"/>
          <w:spacing w:val="-14"/>
          <w:sz w:val="24"/>
          <w:szCs w:val="24"/>
        </w:rPr>
        <w:t xml:space="preserve"> </w:t>
      </w:r>
      <w:r>
        <w:rPr>
          <w:rFonts w:ascii="Times New Roman" w:hAnsi="Times New Roman" w:cs="Times New Roman"/>
          <w:sz w:val="24"/>
          <w:szCs w:val="24"/>
        </w:rPr>
        <w:t>similar</w:t>
      </w:r>
      <w:r>
        <w:rPr>
          <w:rFonts w:ascii="Times New Roman" w:hAnsi="Times New Roman" w:cs="Times New Roman"/>
          <w:spacing w:val="-15"/>
          <w:sz w:val="24"/>
          <w:szCs w:val="24"/>
        </w:rPr>
        <w:t xml:space="preserve"> </w:t>
      </w:r>
      <w:r>
        <w:rPr>
          <w:rFonts w:ascii="Times New Roman" w:hAnsi="Times New Roman" w:cs="Times New Roman"/>
          <w:sz w:val="24"/>
          <w:szCs w:val="24"/>
        </w:rPr>
        <w:t>situations in order to avoid excessive limitation of flexible services would be</w:t>
      </w:r>
      <w:r>
        <w:rPr>
          <w:rFonts w:ascii="Times New Roman" w:hAnsi="Times New Roman" w:cs="Times New Roman"/>
          <w:spacing w:val="-13"/>
          <w:sz w:val="24"/>
          <w:szCs w:val="24"/>
        </w:rPr>
        <w:t xml:space="preserve"> </w:t>
      </w:r>
      <w:r>
        <w:rPr>
          <w:rFonts w:ascii="Times New Roman" w:hAnsi="Times New Roman" w:cs="Times New Roman"/>
          <w:sz w:val="24"/>
          <w:szCs w:val="24"/>
        </w:rPr>
        <w:t>appreciated.</w:t>
      </w:r>
    </w:p>
    <w:p w:rsidR="002C5025" w:rsidRDefault="002C5025">
      <w:pPr>
        <w:pStyle w:val="BodyText"/>
        <w:kinsoku w:val="0"/>
        <w:overflowPunct w:val="0"/>
        <w:spacing w:before="9"/>
        <w:rPr>
          <w:rFonts w:ascii="Times New Roman" w:hAnsi="Times New Roman" w:cs="Times New Roman"/>
          <w:sz w:val="23"/>
          <w:szCs w:val="23"/>
        </w:rPr>
      </w:pPr>
    </w:p>
    <w:p w:rsidR="002C5025" w:rsidRDefault="002C5025">
      <w:pPr>
        <w:pStyle w:val="ListParagraph"/>
        <w:numPr>
          <w:ilvl w:val="0"/>
          <w:numId w:val="71"/>
        </w:numPr>
        <w:tabs>
          <w:tab w:val="left" w:pos="821"/>
        </w:tabs>
        <w:kinsoku w:val="0"/>
        <w:overflowPunct w:val="0"/>
        <w:ind w:left="820"/>
        <w:rPr>
          <w:b/>
          <w:bCs/>
        </w:rPr>
      </w:pPr>
      <w:r>
        <w:rPr>
          <w:b/>
          <w:bCs/>
        </w:rPr>
        <w:t>Provide a framework to govern the use of flexible spending</w:t>
      </w:r>
      <w:r>
        <w:rPr>
          <w:b/>
          <w:bCs/>
          <w:spacing w:val="-7"/>
        </w:rPr>
        <w:t xml:space="preserve"> </w:t>
      </w:r>
      <w:r>
        <w:rPr>
          <w:b/>
          <w:bCs/>
        </w:rPr>
        <w:t>funds.</w:t>
      </w:r>
    </w:p>
    <w:p w:rsidR="002C5025" w:rsidRDefault="002C5025">
      <w:pPr>
        <w:pStyle w:val="BodyText"/>
        <w:kinsoku w:val="0"/>
        <w:overflowPunct w:val="0"/>
        <w:rPr>
          <w:rFonts w:ascii="Times New Roman" w:hAnsi="Times New Roman" w:cs="Times New Roman"/>
          <w:b/>
          <w:bCs/>
          <w:sz w:val="20"/>
          <w:szCs w:val="20"/>
        </w:rPr>
      </w:pPr>
    </w:p>
    <w:p w:rsidR="002C5025" w:rsidRDefault="002C5025">
      <w:pPr>
        <w:pStyle w:val="BodyText"/>
        <w:kinsoku w:val="0"/>
        <w:overflowPunct w:val="0"/>
        <w:spacing w:before="6"/>
        <w:rPr>
          <w:rFonts w:ascii="Times New Roman" w:hAnsi="Times New Roman" w:cs="Times New Roman"/>
          <w:b/>
          <w:bCs/>
          <w:sz w:val="17"/>
          <w:szCs w:val="17"/>
        </w:rPr>
      </w:pPr>
    </w:p>
    <w:p w:rsidR="002C5025" w:rsidRDefault="002C5025">
      <w:pPr>
        <w:pStyle w:val="BodyText"/>
        <w:kinsoku w:val="0"/>
        <w:overflowPunct w:val="0"/>
        <w:ind w:right="17"/>
        <w:jc w:val="center"/>
        <w:rPr>
          <w:rFonts w:ascii="Times New Roman" w:hAnsi="Times New Roman" w:cs="Times New Roman"/>
        </w:rPr>
      </w:pPr>
      <w:r>
        <w:rPr>
          <w:rFonts w:ascii="Times New Roman" w:hAnsi="Times New Roman" w:cs="Times New Roman"/>
        </w:rPr>
        <w:t>3</w:t>
      </w:r>
    </w:p>
    <w:p w:rsidR="002C5025" w:rsidRDefault="002C5025">
      <w:pPr>
        <w:pStyle w:val="BodyText"/>
        <w:kinsoku w:val="0"/>
        <w:overflowPunct w:val="0"/>
        <w:ind w:right="17"/>
        <w:jc w:val="center"/>
        <w:rPr>
          <w:rFonts w:ascii="Times New Roman" w:hAnsi="Times New Roman" w:cs="Times New Roman"/>
        </w:rPr>
        <w:sectPr w:rsidR="002C5025">
          <w:pgSz w:w="12240" w:h="15840"/>
          <w:pgMar w:top="1500" w:right="1320" w:bottom="280" w:left="1340" w:header="720" w:footer="720" w:gutter="0"/>
          <w:cols w:space="720" w:equalWidth="0">
            <w:col w:w="9580"/>
          </w:cols>
          <w:noEndnote/>
        </w:sectPr>
      </w:pPr>
    </w:p>
    <w:p w:rsidR="002C5025" w:rsidRDefault="002C5025">
      <w:pPr>
        <w:pStyle w:val="BodyText"/>
        <w:kinsoku w:val="0"/>
        <w:overflowPunct w:val="0"/>
        <w:spacing w:before="5"/>
        <w:rPr>
          <w:rFonts w:ascii="Times New Roman" w:hAnsi="Times New Roman" w:cs="Times New Roman"/>
          <w:sz w:val="11"/>
          <w:szCs w:val="11"/>
        </w:rPr>
      </w:pPr>
    </w:p>
    <w:p w:rsidR="002C5025" w:rsidRDefault="002C5025">
      <w:pPr>
        <w:pStyle w:val="BodyText"/>
        <w:kinsoku w:val="0"/>
        <w:overflowPunct w:val="0"/>
        <w:spacing w:before="69"/>
        <w:ind w:left="100" w:right="116"/>
        <w:jc w:val="both"/>
        <w:rPr>
          <w:rFonts w:ascii="Times New Roman" w:hAnsi="Times New Roman" w:cs="Times New Roman"/>
          <w:sz w:val="24"/>
          <w:szCs w:val="24"/>
        </w:rPr>
      </w:pPr>
      <w:r>
        <w:rPr>
          <w:rFonts w:ascii="Times New Roman" w:hAnsi="Times New Roman" w:cs="Times New Roman"/>
          <w:sz w:val="24"/>
          <w:szCs w:val="24"/>
        </w:rPr>
        <w:t>In order to maximize the impact of the new ACO model in addressing social determinants of health,</w:t>
      </w:r>
      <w:r>
        <w:rPr>
          <w:rFonts w:ascii="Times New Roman" w:hAnsi="Times New Roman" w:cs="Times New Roman"/>
          <w:spacing w:val="-9"/>
          <w:sz w:val="24"/>
          <w:szCs w:val="24"/>
        </w:rPr>
        <w:t xml:space="preserve"> </w:t>
      </w:r>
      <w:r>
        <w:rPr>
          <w:rFonts w:ascii="Times New Roman" w:hAnsi="Times New Roman" w:cs="Times New Roman"/>
          <w:sz w:val="24"/>
          <w:szCs w:val="24"/>
        </w:rPr>
        <w:t>we</w:t>
      </w:r>
      <w:r>
        <w:rPr>
          <w:rFonts w:ascii="Times New Roman" w:hAnsi="Times New Roman" w:cs="Times New Roman"/>
          <w:spacing w:val="-8"/>
          <w:sz w:val="24"/>
          <w:szCs w:val="24"/>
        </w:rPr>
        <w:t xml:space="preserve"> </w:t>
      </w:r>
      <w:r>
        <w:rPr>
          <w:rFonts w:ascii="Times New Roman" w:hAnsi="Times New Roman" w:cs="Times New Roman"/>
          <w:sz w:val="24"/>
          <w:szCs w:val="24"/>
        </w:rPr>
        <w:t>encourage</w:t>
      </w:r>
      <w:r>
        <w:rPr>
          <w:rFonts w:ascii="Times New Roman" w:hAnsi="Times New Roman" w:cs="Times New Roman"/>
          <w:spacing w:val="-7"/>
          <w:sz w:val="24"/>
          <w:szCs w:val="24"/>
        </w:rPr>
        <w:t xml:space="preserve"> </w:t>
      </w:r>
      <w:r>
        <w:rPr>
          <w:rFonts w:ascii="Times New Roman" w:hAnsi="Times New Roman" w:cs="Times New Roman"/>
          <w:sz w:val="24"/>
          <w:szCs w:val="24"/>
        </w:rPr>
        <w:t>EOHHS</w:t>
      </w:r>
      <w:r>
        <w:rPr>
          <w:rFonts w:ascii="Times New Roman" w:hAnsi="Times New Roman" w:cs="Times New Roman"/>
          <w:spacing w:val="-7"/>
          <w:sz w:val="24"/>
          <w:szCs w:val="24"/>
        </w:rPr>
        <w:t xml:space="preserve"> </w:t>
      </w:r>
      <w:r>
        <w:rPr>
          <w:rFonts w:ascii="Times New Roman" w:hAnsi="Times New Roman" w:cs="Times New Roman"/>
          <w:sz w:val="24"/>
          <w:szCs w:val="24"/>
        </w:rPr>
        <w:t>to</w:t>
      </w:r>
      <w:r>
        <w:rPr>
          <w:rFonts w:ascii="Times New Roman" w:hAnsi="Times New Roman" w:cs="Times New Roman"/>
          <w:spacing w:val="-8"/>
          <w:sz w:val="24"/>
          <w:szCs w:val="24"/>
        </w:rPr>
        <w:t xml:space="preserve"> </w:t>
      </w:r>
      <w:r>
        <w:rPr>
          <w:rFonts w:ascii="Times New Roman" w:hAnsi="Times New Roman" w:cs="Times New Roman"/>
          <w:sz w:val="24"/>
          <w:szCs w:val="24"/>
        </w:rPr>
        <w:t>provide</w:t>
      </w:r>
      <w:r>
        <w:rPr>
          <w:rFonts w:ascii="Times New Roman" w:hAnsi="Times New Roman" w:cs="Times New Roman"/>
          <w:spacing w:val="-7"/>
          <w:sz w:val="24"/>
          <w:szCs w:val="24"/>
        </w:rPr>
        <w:t xml:space="preserve"> </w:t>
      </w:r>
      <w:r>
        <w:rPr>
          <w:rFonts w:ascii="Times New Roman" w:hAnsi="Times New Roman" w:cs="Times New Roman"/>
          <w:sz w:val="24"/>
          <w:szCs w:val="24"/>
        </w:rPr>
        <w:t>a</w:t>
      </w:r>
      <w:r>
        <w:rPr>
          <w:rFonts w:ascii="Times New Roman" w:hAnsi="Times New Roman" w:cs="Times New Roman"/>
          <w:spacing w:val="-10"/>
          <w:sz w:val="24"/>
          <w:szCs w:val="24"/>
        </w:rPr>
        <w:t xml:space="preserve"> </w:t>
      </w:r>
      <w:r>
        <w:rPr>
          <w:rFonts w:ascii="Times New Roman" w:hAnsi="Times New Roman" w:cs="Times New Roman"/>
          <w:sz w:val="24"/>
          <w:szCs w:val="24"/>
        </w:rPr>
        <w:t>framework</w:t>
      </w:r>
      <w:r>
        <w:rPr>
          <w:rFonts w:ascii="Times New Roman" w:hAnsi="Times New Roman" w:cs="Times New Roman"/>
          <w:spacing w:val="-9"/>
          <w:sz w:val="24"/>
          <w:szCs w:val="24"/>
        </w:rPr>
        <w:t xml:space="preserve"> </w:t>
      </w:r>
      <w:r>
        <w:rPr>
          <w:rFonts w:ascii="Times New Roman" w:hAnsi="Times New Roman" w:cs="Times New Roman"/>
          <w:sz w:val="24"/>
          <w:szCs w:val="24"/>
        </w:rPr>
        <w:t>for</w:t>
      </w:r>
      <w:r>
        <w:rPr>
          <w:rFonts w:ascii="Times New Roman" w:hAnsi="Times New Roman" w:cs="Times New Roman"/>
          <w:spacing w:val="-8"/>
          <w:sz w:val="24"/>
          <w:szCs w:val="24"/>
        </w:rPr>
        <w:t xml:space="preserve"> </w:t>
      </w:r>
      <w:r>
        <w:rPr>
          <w:rFonts w:ascii="Times New Roman" w:hAnsi="Times New Roman" w:cs="Times New Roman"/>
          <w:sz w:val="24"/>
          <w:szCs w:val="24"/>
        </w:rPr>
        <w:t>the</w:t>
      </w:r>
      <w:r>
        <w:rPr>
          <w:rFonts w:ascii="Times New Roman" w:hAnsi="Times New Roman" w:cs="Times New Roman"/>
          <w:spacing w:val="-9"/>
          <w:sz w:val="24"/>
          <w:szCs w:val="24"/>
        </w:rPr>
        <w:t xml:space="preserve"> </w:t>
      </w:r>
      <w:r>
        <w:rPr>
          <w:rFonts w:ascii="Times New Roman" w:hAnsi="Times New Roman" w:cs="Times New Roman"/>
          <w:sz w:val="24"/>
          <w:szCs w:val="24"/>
        </w:rPr>
        <w:t>use</w:t>
      </w:r>
      <w:r>
        <w:rPr>
          <w:rFonts w:ascii="Times New Roman" w:hAnsi="Times New Roman" w:cs="Times New Roman"/>
          <w:spacing w:val="-7"/>
          <w:sz w:val="24"/>
          <w:szCs w:val="24"/>
        </w:rPr>
        <w:t xml:space="preserve"> </w:t>
      </w:r>
      <w:r>
        <w:rPr>
          <w:rFonts w:ascii="Times New Roman" w:hAnsi="Times New Roman" w:cs="Times New Roman"/>
          <w:sz w:val="24"/>
          <w:szCs w:val="24"/>
        </w:rPr>
        <w:t>of</w:t>
      </w:r>
      <w:r>
        <w:rPr>
          <w:rFonts w:ascii="Times New Roman" w:hAnsi="Times New Roman" w:cs="Times New Roman"/>
          <w:spacing w:val="-7"/>
          <w:sz w:val="24"/>
          <w:szCs w:val="24"/>
        </w:rPr>
        <w:t xml:space="preserve"> </w:t>
      </w:r>
      <w:r>
        <w:rPr>
          <w:rFonts w:ascii="Times New Roman" w:hAnsi="Times New Roman" w:cs="Times New Roman"/>
          <w:sz w:val="24"/>
          <w:szCs w:val="24"/>
        </w:rPr>
        <w:t>flexible</w:t>
      </w:r>
      <w:r>
        <w:rPr>
          <w:rFonts w:ascii="Times New Roman" w:hAnsi="Times New Roman" w:cs="Times New Roman"/>
          <w:spacing w:val="-10"/>
          <w:sz w:val="24"/>
          <w:szCs w:val="24"/>
        </w:rPr>
        <w:t xml:space="preserve"> </w:t>
      </w:r>
      <w:r>
        <w:rPr>
          <w:rFonts w:ascii="Times New Roman" w:hAnsi="Times New Roman" w:cs="Times New Roman"/>
          <w:sz w:val="24"/>
          <w:szCs w:val="24"/>
        </w:rPr>
        <w:t>spending</w:t>
      </w:r>
      <w:r>
        <w:rPr>
          <w:rFonts w:ascii="Times New Roman" w:hAnsi="Times New Roman" w:cs="Times New Roman"/>
          <w:spacing w:val="-8"/>
          <w:sz w:val="24"/>
          <w:szCs w:val="24"/>
        </w:rPr>
        <w:t xml:space="preserve"> </w:t>
      </w:r>
      <w:r>
        <w:rPr>
          <w:rFonts w:ascii="Times New Roman" w:hAnsi="Times New Roman" w:cs="Times New Roman"/>
          <w:sz w:val="24"/>
          <w:szCs w:val="24"/>
        </w:rPr>
        <w:t>funds.</w:t>
      </w:r>
      <w:r>
        <w:rPr>
          <w:rFonts w:ascii="Times New Roman" w:hAnsi="Times New Roman" w:cs="Times New Roman"/>
          <w:spacing w:val="-9"/>
          <w:sz w:val="24"/>
          <w:szCs w:val="24"/>
        </w:rPr>
        <w:t xml:space="preserve"> </w:t>
      </w:r>
      <w:r>
        <w:rPr>
          <w:rFonts w:ascii="Times New Roman" w:hAnsi="Times New Roman" w:cs="Times New Roman"/>
          <w:sz w:val="24"/>
          <w:szCs w:val="24"/>
        </w:rPr>
        <w:t>Such a</w:t>
      </w:r>
      <w:r>
        <w:rPr>
          <w:rFonts w:ascii="Times New Roman" w:hAnsi="Times New Roman" w:cs="Times New Roman"/>
          <w:spacing w:val="-7"/>
          <w:sz w:val="24"/>
          <w:szCs w:val="24"/>
        </w:rPr>
        <w:t xml:space="preserve"> </w:t>
      </w:r>
      <w:r>
        <w:rPr>
          <w:rFonts w:ascii="Times New Roman" w:hAnsi="Times New Roman" w:cs="Times New Roman"/>
          <w:sz w:val="24"/>
          <w:szCs w:val="24"/>
        </w:rPr>
        <w:t>framework</w:t>
      </w:r>
      <w:r>
        <w:rPr>
          <w:rFonts w:ascii="Times New Roman" w:hAnsi="Times New Roman" w:cs="Times New Roman"/>
          <w:spacing w:val="-6"/>
          <w:sz w:val="24"/>
          <w:szCs w:val="24"/>
        </w:rPr>
        <w:t xml:space="preserve"> </w:t>
      </w:r>
      <w:r>
        <w:rPr>
          <w:rFonts w:ascii="Times New Roman" w:hAnsi="Times New Roman" w:cs="Times New Roman"/>
          <w:sz w:val="24"/>
          <w:szCs w:val="24"/>
        </w:rPr>
        <w:t>would</w:t>
      </w:r>
      <w:r>
        <w:rPr>
          <w:rFonts w:ascii="Times New Roman" w:hAnsi="Times New Roman" w:cs="Times New Roman"/>
          <w:spacing w:val="-6"/>
          <w:sz w:val="24"/>
          <w:szCs w:val="24"/>
        </w:rPr>
        <w:t xml:space="preserve"> </w:t>
      </w:r>
      <w:r>
        <w:rPr>
          <w:rFonts w:ascii="Times New Roman" w:hAnsi="Times New Roman" w:cs="Times New Roman"/>
          <w:sz w:val="24"/>
          <w:szCs w:val="24"/>
        </w:rPr>
        <w:t>both</w:t>
      </w:r>
      <w:r>
        <w:rPr>
          <w:rFonts w:ascii="Times New Roman" w:hAnsi="Times New Roman" w:cs="Times New Roman"/>
          <w:spacing w:val="-6"/>
          <w:sz w:val="24"/>
          <w:szCs w:val="24"/>
        </w:rPr>
        <w:t xml:space="preserve"> </w:t>
      </w:r>
      <w:r>
        <w:rPr>
          <w:rFonts w:ascii="Times New Roman" w:hAnsi="Times New Roman" w:cs="Times New Roman"/>
          <w:sz w:val="24"/>
          <w:szCs w:val="24"/>
        </w:rPr>
        <w:t>ensure</w:t>
      </w:r>
      <w:r>
        <w:rPr>
          <w:rFonts w:ascii="Times New Roman" w:hAnsi="Times New Roman" w:cs="Times New Roman"/>
          <w:spacing w:val="-8"/>
          <w:sz w:val="24"/>
          <w:szCs w:val="24"/>
        </w:rPr>
        <w:t xml:space="preserve"> </w:t>
      </w:r>
      <w:r>
        <w:rPr>
          <w:rFonts w:ascii="Times New Roman" w:hAnsi="Times New Roman" w:cs="Times New Roman"/>
          <w:sz w:val="24"/>
          <w:szCs w:val="24"/>
        </w:rPr>
        <w:t>oversight</w:t>
      </w:r>
      <w:r>
        <w:rPr>
          <w:rFonts w:ascii="Times New Roman" w:hAnsi="Times New Roman" w:cs="Times New Roman"/>
          <w:spacing w:val="-6"/>
          <w:sz w:val="24"/>
          <w:szCs w:val="24"/>
        </w:rPr>
        <w:t xml:space="preserve"> </w:t>
      </w:r>
      <w:r>
        <w:rPr>
          <w:rFonts w:ascii="Times New Roman" w:hAnsi="Times New Roman" w:cs="Times New Roman"/>
          <w:sz w:val="24"/>
          <w:szCs w:val="24"/>
        </w:rPr>
        <w:t>of</w:t>
      </w:r>
      <w:r>
        <w:rPr>
          <w:rFonts w:ascii="Times New Roman" w:hAnsi="Times New Roman" w:cs="Times New Roman"/>
          <w:spacing w:val="-7"/>
          <w:sz w:val="24"/>
          <w:szCs w:val="24"/>
        </w:rPr>
        <w:t xml:space="preserve"> </w:t>
      </w:r>
      <w:r>
        <w:rPr>
          <w:rFonts w:ascii="Times New Roman" w:hAnsi="Times New Roman" w:cs="Times New Roman"/>
          <w:sz w:val="24"/>
          <w:szCs w:val="24"/>
        </w:rPr>
        <w:t>the</w:t>
      </w:r>
      <w:r>
        <w:rPr>
          <w:rFonts w:ascii="Times New Roman" w:hAnsi="Times New Roman" w:cs="Times New Roman"/>
          <w:spacing w:val="-7"/>
          <w:sz w:val="24"/>
          <w:szCs w:val="24"/>
        </w:rPr>
        <w:t xml:space="preserve"> </w:t>
      </w:r>
      <w:r>
        <w:rPr>
          <w:rFonts w:ascii="Times New Roman" w:hAnsi="Times New Roman" w:cs="Times New Roman"/>
          <w:sz w:val="24"/>
          <w:szCs w:val="24"/>
        </w:rPr>
        <w:t>flexible</w:t>
      </w:r>
      <w:r>
        <w:rPr>
          <w:rFonts w:ascii="Times New Roman" w:hAnsi="Times New Roman" w:cs="Times New Roman"/>
          <w:spacing w:val="-7"/>
          <w:sz w:val="24"/>
          <w:szCs w:val="24"/>
        </w:rPr>
        <w:t xml:space="preserve"> </w:t>
      </w:r>
      <w:r>
        <w:rPr>
          <w:rFonts w:ascii="Times New Roman" w:hAnsi="Times New Roman" w:cs="Times New Roman"/>
          <w:sz w:val="24"/>
          <w:szCs w:val="24"/>
        </w:rPr>
        <w:t>spending</w:t>
      </w:r>
      <w:r>
        <w:rPr>
          <w:rFonts w:ascii="Times New Roman" w:hAnsi="Times New Roman" w:cs="Times New Roman"/>
          <w:spacing w:val="-6"/>
          <w:sz w:val="24"/>
          <w:szCs w:val="24"/>
        </w:rPr>
        <w:t xml:space="preserve"> </w:t>
      </w:r>
      <w:r>
        <w:rPr>
          <w:rFonts w:ascii="Times New Roman" w:hAnsi="Times New Roman" w:cs="Times New Roman"/>
          <w:sz w:val="24"/>
          <w:szCs w:val="24"/>
        </w:rPr>
        <w:t>program</w:t>
      </w:r>
      <w:r>
        <w:rPr>
          <w:rFonts w:ascii="Times New Roman" w:hAnsi="Times New Roman" w:cs="Times New Roman"/>
          <w:spacing w:val="-6"/>
          <w:sz w:val="24"/>
          <w:szCs w:val="24"/>
        </w:rPr>
        <w:t xml:space="preserve"> </w:t>
      </w:r>
      <w:r>
        <w:rPr>
          <w:rFonts w:ascii="Times New Roman" w:hAnsi="Times New Roman" w:cs="Times New Roman"/>
          <w:sz w:val="24"/>
          <w:szCs w:val="24"/>
        </w:rPr>
        <w:t>and</w:t>
      </w:r>
      <w:r>
        <w:rPr>
          <w:rFonts w:ascii="Times New Roman" w:hAnsi="Times New Roman" w:cs="Times New Roman"/>
          <w:spacing w:val="-6"/>
          <w:sz w:val="24"/>
          <w:szCs w:val="24"/>
        </w:rPr>
        <w:t xml:space="preserve"> </w:t>
      </w:r>
      <w:r>
        <w:rPr>
          <w:rFonts w:ascii="Times New Roman" w:hAnsi="Times New Roman" w:cs="Times New Roman"/>
          <w:sz w:val="24"/>
          <w:szCs w:val="24"/>
        </w:rPr>
        <w:t>provide</w:t>
      </w:r>
      <w:r>
        <w:rPr>
          <w:rFonts w:ascii="Times New Roman" w:hAnsi="Times New Roman" w:cs="Times New Roman"/>
          <w:spacing w:val="-7"/>
          <w:sz w:val="24"/>
          <w:szCs w:val="24"/>
        </w:rPr>
        <w:t xml:space="preserve"> </w:t>
      </w:r>
      <w:r>
        <w:rPr>
          <w:rFonts w:ascii="Times New Roman" w:hAnsi="Times New Roman" w:cs="Times New Roman"/>
          <w:sz w:val="24"/>
          <w:szCs w:val="24"/>
        </w:rPr>
        <w:t>additional clarity for ACOs by establishing a uniform process. We recommend that the framework address at least the following</w:t>
      </w:r>
      <w:r>
        <w:rPr>
          <w:rFonts w:ascii="Times New Roman" w:hAnsi="Times New Roman" w:cs="Times New Roman"/>
          <w:spacing w:val="-5"/>
          <w:sz w:val="24"/>
          <w:szCs w:val="24"/>
        </w:rPr>
        <w:t xml:space="preserve"> </w:t>
      </w:r>
      <w:r>
        <w:rPr>
          <w:rFonts w:ascii="Times New Roman" w:hAnsi="Times New Roman" w:cs="Times New Roman"/>
          <w:sz w:val="24"/>
          <w:szCs w:val="24"/>
        </w:rPr>
        <w:t>elements: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ListParagraph"/>
        <w:numPr>
          <w:ilvl w:val="0"/>
          <w:numId w:val="14"/>
        </w:numPr>
        <w:tabs>
          <w:tab w:val="left" w:pos="821"/>
        </w:tabs>
        <w:kinsoku w:val="0"/>
        <w:overflowPunct w:val="0"/>
        <w:ind w:hanging="487"/>
        <w:rPr>
          <w:i/>
          <w:iCs/>
        </w:rPr>
      </w:pPr>
      <w:r>
        <w:rPr>
          <w:i/>
          <w:iCs/>
        </w:rPr>
        <w:t>Which parties determine how flexible spending funds will be</w:t>
      </w:r>
      <w:r>
        <w:rPr>
          <w:i/>
          <w:iCs/>
          <w:spacing w:val="-10"/>
        </w:rPr>
        <w:t xml:space="preserve"> </w:t>
      </w:r>
      <w:r>
        <w:rPr>
          <w:i/>
          <w:iCs/>
        </w:rPr>
        <w:t>spent.</w:t>
      </w:r>
    </w:p>
    <w:p w:rsidR="002C5025" w:rsidRDefault="002C5025">
      <w:pPr>
        <w:pStyle w:val="BodyText"/>
        <w:kinsoku w:val="0"/>
        <w:overflowPunct w:val="0"/>
        <w:rPr>
          <w:rFonts w:ascii="Times New Roman" w:hAnsi="Times New Roman" w:cs="Times New Roman"/>
          <w:i/>
          <w:iCs/>
          <w:sz w:val="24"/>
          <w:szCs w:val="24"/>
        </w:rPr>
      </w:pPr>
    </w:p>
    <w:p w:rsidR="002C5025" w:rsidRDefault="002C5025">
      <w:pPr>
        <w:pStyle w:val="BodyText"/>
        <w:kinsoku w:val="0"/>
        <w:overflowPunct w:val="0"/>
        <w:ind w:left="100" w:right="117"/>
        <w:jc w:val="both"/>
        <w:rPr>
          <w:rFonts w:ascii="Times New Roman" w:hAnsi="Times New Roman" w:cs="Times New Roman"/>
          <w:sz w:val="24"/>
          <w:szCs w:val="24"/>
        </w:rPr>
      </w:pPr>
      <w:r>
        <w:rPr>
          <w:rFonts w:ascii="Times New Roman" w:hAnsi="Times New Roman" w:cs="Times New Roman"/>
          <w:sz w:val="24"/>
          <w:szCs w:val="24"/>
        </w:rPr>
        <w:t>Currently, the Request does not provide guidance on who will decide how funds are spent within the FSS programs. As a result, ACOs may defer to their partner social service organizations to make these determinations. Because such organizations are often focused on specific needs or patients,</w:t>
      </w:r>
      <w:r>
        <w:rPr>
          <w:rFonts w:ascii="Times New Roman" w:hAnsi="Times New Roman" w:cs="Times New Roman"/>
          <w:spacing w:val="-6"/>
          <w:sz w:val="24"/>
          <w:szCs w:val="24"/>
        </w:rPr>
        <w:t xml:space="preserve"> </w:t>
      </w:r>
      <w:r>
        <w:rPr>
          <w:rFonts w:ascii="Times New Roman" w:hAnsi="Times New Roman" w:cs="Times New Roman"/>
          <w:sz w:val="24"/>
          <w:szCs w:val="24"/>
        </w:rPr>
        <w:t>such</w:t>
      </w:r>
      <w:r>
        <w:rPr>
          <w:rFonts w:ascii="Times New Roman" w:hAnsi="Times New Roman" w:cs="Times New Roman"/>
          <w:spacing w:val="-6"/>
          <w:sz w:val="24"/>
          <w:szCs w:val="24"/>
        </w:rPr>
        <w:t xml:space="preserve"> </w:t>
      </w:r>
      <w:r>
        <w:rPr>
          <w:rFonts w:ascii="Times New Roman" w:hAnsi="Times New Roman" w:cs="Times New Roman"/>
          <w:sz w:val="24"/>
          <w:szCs w:val="24"/>
        </w:rPr>
        <w:t>a</w:t>
      </w:r>
      <w:r>
        <w:rPr>
          <w:rFonts w:ascii="Times New Roman" w:hAnsi="Times New Roman" w:cs="Times New Roman"/>
          <w:spacing w:val="-7"/>
          <w:sz w:val="24"/>
          <w:szCs w:val="24"/>
        </w:rPr>
        <w:t xml:space="preserve"> </w:t>
      </w:r>
      <w:r>
        <w:rPr>
          <w:rFonts w:ascii="Times New Roman" w:hAnsi="Times New Roman" w:cs="Times New Roman"/>
          <w:sz w:val="24"/>
          <w:szCs w:val="24"/>
        </w:rPr>
        <w:t>strategy</w:t>
      </w:r>
      <w:r>
        <w:rPr>
          <w:rFonts w:ascii="Times New Roman" w:hAnsi="Times New Roman" w:cs="Times New Roman"/>
          <w:spacing w:val="-11"/>
          <w:sz w:val="24"/>
          <w:szCs w:val="24"/>
        </w:rPr>
        <w:t xml:space="preserve"> </w:t>
      </w:r>
      <w:r>
        <w:rPr>
          <w:rFonts w:ascii="Times New Roman" w:hAnsi="Times New Roman" w:cs="Times New Roman"/>
          <w:sz w:val="24"/>
          <w:szCs w:val="24"/>
        </w:rPr>
        <w:t>could</w:t>
      </w:r>
      <w:r>
        <w:rPr>
          <w:rFonts w:ascii="Times New Roman" w:hAnsi="Times New Roman" w:cs="Times New Roman"/>
          <w:spacing w:val="-5"/>
          <w:sz w:val="24"/>
          <w:szCs w:val="24"/>
        </w:rPr>
        <w:t xml:space="preserve"> </w:t>
      </w:r>
      <w:r>
        <w:rPr>
          <w:rFonts w:ascii="Times New Roman" w:hAnsi="Times New Roman" w:cs="Times New Roman"/>
          <w:sz w:val="24"/>
          <w:szCs w:val="24"/>
        </w:rPr>
        <w:t>result</w:t>
      </w:r>
      <w:r>
        <w:rPr>
          <w:rFonts w:ascii="Times New Roman" w:hAnsi="Times New Roman" w:cs="Times New Roman"/>
          <w:spacing w:val="-5"/>
          <w:sz w:val="24"/>
          <w:szCs w:val="24"/>
        </w:rPr>
        <w:t xml:space="preserve"> </w:t>
      </w:r>
      <w:r>
        <w:rPr>
          <w:rFonts w:ascii="Times New Roman" w:hAnsi="Times New Roman" w:cs="Times New Roman"/>
          <w:sz w:val="24"/>
          <w:szCs w:val="24"/>
        </w:rPr>
        <w:t>in</w:t>
      </w:r>
      <w:r>
        <w:rPr>
          <w:rFonts w:ascii="Times New Roman" w:hAnsi="Times New Roman" w:cs="Times New Roman"/>
          <w:spacing w:val="-6"/>
          <w:sz w:val="24"/>
          <w:szCs w:val="24"/>
        </w:rPr>
        <w:t xml:space="preserve"> </w:t>
      </w:r>
      <w:r>
        <w:rPr>
          <w:rFonts w:ascii="Times New Roman" w:hAnsi="Times New Roman" w:cs="Times New Roman"/>
          <w:sz w:val="24"/>
          <w:szCs w:val="24"/>
        </w:rPr>
        <w:t>only</w:t>
      </w:r>
      <w:r>
        <w:rPr>
          <w:rFonts w:ascii="Times New Roman" w:hAnsi="Times New Roman" w:cs="Times New Roman"/>
          <w:spacing w:val="-13"/>
          <w:sz w:val="24"/>
          <w:szCs w:val="24"/>
        </w:rPr>
        <w:t xml:space="preserve"> </w:t>
      </w:r>
      <w:r>
        <w:rPr>
          <w:rFonts w:ascii="Times New Roman" w:hAnsi="Times New Roman" w:cs="Times New Roman"/>
          <w:sz w:val="24"/>
          <w:szCs w:val="24"/>
        </w:rPr>
        <w:t>a</w:t>
      </w:r>
      <w:r>
        <w:rPr>
          <w:rFonts w:ascii="Times New Roman" w:hAnsi="Times New Roman" w:cs="Times New Roman"/>
          <w:spacing w:val="-7"/>
          <w:sz w:val="24"/>
          <w:szCs w:val="24"/>
        </w:rPr>
        <w:t xml:space="preserve"> </w:t>
      </w:r>
      <w:r>
        <w:rPr>
          <w:rFonts w:ascii="Times New Roman" w:hAnsi="Times New Roman" w:cs="Times New Roman"/>
          <w:sz w:val="24"/>
          <w:szCs w:val="24"/>
        </w:rPr>
        <w:t>portion</w:t>
      </w:r>
      <w:r>
        <w:rPr>
          <w:rFonts w:ascii="Times New Roman" w:hAnsi="Times New Roman" w:cs="Times New Roman"/>
          <w:spacing w:val="-6"/>
          <w:sz w:val="24"/>
          <w:szCs w:val="24"/>
        </w:rPr>
        <w:t xml:space="preserve"> </w:t>
      </w:r>
      <w:r>
        <w:rPr>
          <w:rFonts w:ascii="Times New Roman" w:hAnsi="Times New Roman" w:cs="Times New Roman"/>
          <w:sz w:val="24"/>
          <w:szCs w:val="24"/>
        </w:rPr>
        <w:t>of</w:t>
      </w:r>
      <w:r>
        <w:rPr>
          <w:rFonts w:ascii="Times New Roman" w:hAnsi="Times New Roman" w:cs="Times New Roman"/>
          <w:spacing w:val="-7"/>
          <w:sz w:val="24"/>
          <w:szCs w:val="24"/>
        </w:rPr>
        <w:t xml:space="preserve"> </w:t>
      </w:r>
      <w:r>
        <w:rPr>
          <w:rFonts w:ascii="Times New Roman" w:hAnsi="Times New Roman" w:cs="Times New Roman"/>
          <w:sz w:val="24"/>
          <w:szCs w:val="24"/>
        </w:rPr>
        <w:t>the</w:t>
      </w:r>
      <w:r>
        <w:rPr>
          <w:rFonts w:ascii="Times New Roman" w:hAnsi="Times New Roman" w:cs="Times New Roman"/>
          <w:spacing w:val="-7"/>
          <w:sz w:val="24"/>
          <w:szCs w:val="24"/>
        </w:rPr>
        <w:t xml:space="preserve"> </w:t>
      </w:r>
      <w:r>
        <w:rPr>
          <w:rFonts w:ascii="Times New Roman" w:hAnsi="Times New Roman" w:cs="Times New Roman"/>
          <w:sz w:val="24"/>
          <w:szCs w:val="24"/>
        </w:rPr>
        <w:t>ACO’s</w:t>
      </w:r>
      <w:r>
        <w:rPr>
          <w:rFonts w:ascii="Times New Roman" w:hAnsi="Times New Roman" w:cs="Times New Roman"/>
          <w:spacing w:val="-6"/>
          <w:sz w:val="24"/>
          <w:szCs w:val="24"/>
        </w:rPr>
        <w:t xml:space="preserve"> </w:t>
      </w:r>
      <w:r>
        <w:rPr>
          <w:rFonts w:ascii="Times New Roman" w:hAnsi="Times New Roman" w:cs="Times New Roman"/>
          <w:sz w:val="24"/>
          <w:szCs w:val="24"/>
        </w:rPr>
        <w:t>population</w:t>
      </w:r>
      <w:r>
        <w:rPr>
          <w:rFonts w:ascii="Times New Roman" w:hAnsi="Times New Roman" w:cs="Times New Roman"/>
          <w:spacing w:val="-6"/>
          <w:sz w:val="24"/>
          <w:szCs w:val="24"/>
        </w:rPr>
        <w:t xml:space="preserve"> </w:t>
      </w:r>
      <w:r>
        <w:rPr>
          <w:rFonts w:ascii="Times New Roman" w:hAnsi="Times New Roman" w:cs="Times New Roman"/>
          <w:sz w:val="24"/>
          <w:szCs w:val="24"/>
        </w:rPr>
        <w:t>receiving</w:t>
      </w:r>
      <w:r>
        <w:rPr>
          <w:rFonts w:ascii="Times New Roman" w:hAnsi="Times New Roman" w:cs="Times New Roman"/>
          <w:spacing w:val="-9"/>
          <w:sz w:val="24"/>
          <w:szCs w:val="24"/>
        </w:rPr>
        <w:t xml:space="preserve"> </w:t>
      </w:r>
      <w:r>
        <w:rPr>
          <w:rFonts w:ascii="Times New Roman" w:hAnsi="Times New Roman" w:cs="Times New Roman"/>
          <w:sz w:val="24"/>
          <w:szCs w:val="24"/>
        </w:rPr>
        <w:t>access</w:t>
      </w:r>
      <w:r>
        <w:rPr>
          <w:rFonts w:ascii="Times New Roman" w:hAnsi="Times New Roman" w:cs="Times New Roman"/>
          <w:spacing w:val="-6"/>
          <w:sz w:val="24"/>
          <w:szCs w:val="24"/>
        </w:rPr>
        <w:t xml:space="preserve"> </w:t>
      </w:r>
      <w:r>
        <w:rPr>
          <w:rFonts w:ascii="Times New Roman" w:hAnsi="Times New Roman" w:cs="Times New Roman"/>
          <w:sz w:val="24"/>
          <w:szCs w:val="24"/>
        </w:rPr>
        <w:t>to FSS.</w:t>
      </w:r>
      <w:r>
        <w:rPr>
          <w:rFonts w:ascii="Times New Roman" w:hAnsi="Times New Roman" w:cs="Times New Roman"/>
          <w:spacing w:val="-13"/>
          <w:sz w:val="24"/>
          <w:szCs w:val="24"/>
        </w:rPr>
        <w:t xml:space="preserve"> </w:t>
      </w:r>
      <w:r>
        <w:rPr>
          <w:rFonts w:ascii="Times New Roman" w:hAnsi="Times New Roman" w:cs="Times New Roman"/>
          <w:spacing w:val="-3"/>
          <w:sz w:val="24"/>
          <w:szCs w:val="24"/>
        </w:rPr>
        <w:t>In</w:t>
      </w:r>
      <w:r>
        <w:rPr>
          <w:rFonts w:ascii="Times New Roman" w:hAnsi="Times New Roman" w:cs="Times New Roman"/>
          <w:spacing w:val="-16"/>
          <w:sz w:val="24"/>
          <w:szCs w:val="24"/>
        </w:rPr>
        <w:t xml:space="preserve"> </w:t>
      </w:r>
      <w:r>
        <w:rPr>
          <w:rFonts w:ascii="Times New Roman" w:hAnsi="Times New Roman" w:cs="Times New Roman"/>
          <w:sz w:val="24"/>
          <w:szCs w:val="24"/>
        </w:rPr>
        <w:t>contrast,</w:t>
      </w:r>
      <w:r>
        <w:rPr>
          <w:rFonts w:ascii="Times New Roman" w:hAnsi="Times New Roman" w:cs="Times New Roman"/>
          <w:spacing w:val="-15"/>
          <w:sz w:val="24"/>
          <w:szCs w:val="24"/>
        </w:rPr>
        <w:t xml:space="preserve"> </w:t>
      </w:r>
      <w:r>
        <w:rPr>
          <w:rFonts w:ascii="Times New Roman" w:hAnsi="Times New Roman" w:cs="Times New Roman"/>
          <w:sz w:val="24"/>
          <w:szCs w:val="24"/>
        </w:rPr>
        <w:t>the</w:t>
      </w:r>
      <w:r>
        <w:rPr>
          <w:rFonts w:ascii="Times New Roman" w:hAnsi="Times New Roman" w:cs="Times New Roman"/>
          <w:spacing w:val="-16"/>
          <w:sz w:val="24"/>
          <w:szCs w:val="24"/>
        </w:rPr>
        <w:t xml:space="preserve"> </w:t>
      </w:r>
      <w:r>
        <w:rPr>
          <w:rFonts w:ascii="Times New Roman" w:hAnsi="Times New Roman" w:cs="Times New Roman"/>
          <w:sz w:val="24"/>
          <w:szCs w:val="24"/>
        </w:rPr>
        <w:t>ACOs</w:t>
      </w:r>
      <w:r>
        <w:rPr>
          <w:rFonts w:ascii="Times New Roman" w:hAnsi="Times New Roman" w:cs="Times New Roman"/>
          <w:spacing w:val="-16"/>
          <w:sz w:val="24"/>
          <w:szCs w:val="24"/>
        </w:rPr>
        <w:t xml:space="preserve"> </w:t>
      </w:r>
      <w:r>
        <w:rPr>
          <w:rFonts w:ascii="Times New Roman" w:hAnsi="Times New Roman" w:cs="Times New Roman"/>
          <w:sz w:val="24"/>
          <w:szCs w:val="24"/>
        </w:rPr>
        <w:t>themselves</w:t>
      </w:r>
      <w:r>
        <w:rPr>
          <w:rFonts w:ascii="Times New Roman" w:hAnsi="Times New Roman" w:cs="Times New Roman"/>
          <w:spacing w:val="-15"/>
          <w:sz w:val="24"/>
          <w:szCs w:val="24"/>
        </w:rPr>
        <w:t xml:space="preserve"> </w:t>
      </w:r>
      <w:r>
        <w:rPr>
          <w:rFonts w:ascii="Times New Roman" w:hAnsi="Times New Roman" w:cs="Times New Roman"/>
          <w:sz w:val="24"/>
          <w:szCs w:val="24"/>
        </w:rPr>
        <w:t>are</w:t>
      </w:r>
      <w:r>
        <w:rPr>
          <w:rFonts w:ascii="Times New Roman" w:hAnsi="Times New Roman" w:cs="Times New Roman"/>
          <w:spacing w:val="-15"/>
          <w:sz w:val="24"/>
          <w:szCs w:val="24"/>
        </w:rPr>
        <w:t xml:space="preserve"> </w:t>
      </w:r>
      <w:r>
        <w:rPr>
          <w:rFonts w:ascii="Times New Roman" w:hAnsi="Times New Roman" w:cs="Times New Roman"/>
          <w:sz w:val="24"/>
          <w:szCs w:val="24"/>
        </w:rPr>
        <w:t>well-positioned</w:t>
      </w:r>
      <w:r>
        <w:rPr>
          <w:rFonts w:ascii="Times New Roman" w:hAnsi="Times New Roman" w:cs="Times New Roman"/>
          <w:spacing w:val="-16"/>
          <w:sz w:val="24"/>
          <w:szCs w:val="24"/>
        </w:rPr>
        <w:t xml:space="preserve"> </w:t>
      </w:r>
      <w:r>
        <w:rPr>
          <w:rFonts w:ascii="Times New Roman" w:hAnsi="Times New Roman" w:cs="Times New Roman"/>
          <w:sz w:val="24"/>
          <w:szCs w:val="24"/>
        </w:rPr>
        <w:t>to</w:t>
      </w:r>
      <w:r>
        <w:rPr>
          <w:rFonts w:ascii="Times New Roman" w:hAnsi="Times New Roman" w:cs="Times New Roman"/>
          <w:spacing w:val="-15"/>
          <w:sz w:val="24"/>
          <w:szCs w:val="24"/>
        </w:rPr>
        <w:t xml:space="preserve"> </w:t>
      </w:r>
      <w:r>
        <w:rPr>
          <w:rFonts w:ascii="Times New Roman" w:hAnsi="Times New Roman" w:cs="Times New Roman"/>
          <w:sz w:val="24"/>
          <w:szCs w:val="24"/>
        </w:rPr>
        <w:t>assess</w:t>
      </w:r>
      <w:r>
        <w:rPr>
          <w:rFonts w:ascii="Times New Roman" w:hAnsi="Times New Roman" w:cs="Times New Roman"/>
          <w:spacing w:val="-16"/>
          <w:sz w:val="24"/>
          <w:szCs w:val="24"/>
        </w:rPr>
        <w:t xml:space="preserve"> </w:t>
      </w:r>
      <w:r>
        <w:rPr>
          <w:rFonts w:ascii="Times New Roman" w:hAnsi="Times New Roman" w:cs="Times New Roman"/>
          <w:sz w:val="24"/>
          <w:szCs w:val="24"/>
        </w:rPr>
        <w:t>the</w:t>
      </w:r>
      <w:r>
        <w:rPr>
          <w:rFonts w:ascii="Times New Roman" w:hAnsi="Times New Roman" w:cs="Times New Roman"/>
          <w:spacing w:val="-16"/>
          <w:sz w:val="24"/>
          <w:szCs w:val="24"/>
        </w:rPr>
        <w:t xml:space="preserve"> </w:t>
      </w:r>
      <w:r>
        <w:rPr>
          <w:rFonts w:ascii="Times New Roman" w:hAnsi="Times New Roman" w:cs="Times New Roman"/>
          <w:sz w:val="24"/>
          <w:szCs w:val="24"/>
        </w:rPr>
        <w:t>needs</w:t>
      </w:r>
      <w:r>
        <w:rPr>
          <w:rFonts w:ascii="Times New Roman" w:hAnsi="Times New Roman" w:cs="Times New Roman"/>
          <w:spacing w:val="-16"/>
          <w:sz w:val="24"/>
          <w:szCs w:val="24"/>
        </w:rPr>
        <w:t xml:space="preserve"> </w:t>
      </w:r>
      <w:r>
        <w:rPr>
          <w:rFonts w:ascii="Times New Roman" w:hAnsi="Times New Roman" w:cs="Times New Roman"/>
          <w:sz w:val="24"/>
          <w:szCs w:val="24"/>
        </w:rPr>
        <w:t>of</w:t>
      </w:r>
      <w:r>
        <w:rPr>
          <w:rFonts w:ascii="Times New Roman" w:hAnsi="Times New Roman" w:cs="Times New Roman"/>
          <w:spacing w:val="-17"/>
          <w:sz w:val="24"/>
          <w:szCs w:val="24"/>
        </w:rPr>
        <w:t xml:space="preserve"> </w:t>
      </w:r>
      <w:r>
        <w:rPr>
          <w:rFonts w:ascii="Times New Roman" w:hAnsi="Times New Roman" w:cs="Times New Roman"/>
          <w:sz w:val="24"/>
          <w:szCs w:val="24"/>
        </w:rPr>
        <w:t>their</w:t>
      </w:r>
      <w:r>
        <w:rPr>
          <w:rFonts w:ascii="Times New Roman" w:hAnsi="Times New Roman" w:cs="Times New Roman"/>
          <w:spacing w:val="-17"/>
          <w:sz w:val="24"/>
          <w:szCs w:val="24"/>
        </w:rPr>
        <w:t xml:space="preserve"> </w:t>
      </w:r>
      <w:r>
        <w:rPr>
          <w:rFonts w:ascii="Times New Roman" w:hAnsi="Times New Roman" w:cs="Times New Roman"/>
          <w:sz w:val="24"/>
          <w:szCs w:val="24"/>
        </w:rPr>
        <w:t>entire</w:t>
      </w:r>
      <w:r>
        <w:rPr>
          <w:rFonts w:ascii="Times New Roman" w:hAnsi="Times New Roman" w:cs="Times New Roman"/>
          <w:spacing w:val="-18"/>
          <w:sz w:val="24"/>
          <w:szCs w:val="24"/>
        </w:rPr>
        <w:t xml:space="preserve"> </w:t>
      </w:r>
      <w:r>
        <w:rPr>
          <w:rFonts w:ascii="Times New Roman" w:hAnsi="Times New Roman" w:cs="Times New Roman"/>
          <w:sz w:val="24"/>
          <w:szCs w:val="24"/>
        </w:rPr>
        <w:t>patient population</w:t>
      </w:r>
      <w:r>
        <w:rPr>
          <w:rFonts w:ascii="Times New Roman" w:hAnsi="Times New Roman" w:cs="Times New Roman"/>
          <w:spacing w:val="-7"/>
          <w:sz w:val="24"/>
          <w:szCs w:val="24"/>
        </w:rPr>
        <w:t xml:space="preserve"> </w:t>
      </w:r>
      <w:r>
        <w:rPr>
          <w:rFonts w:ascii="Times New Roman" w:hAnsi="Times New Roman" w:cs="Times New Roman"/>
          <w:sz w:val="24"/>
          <w:szCs w:val="24"/>
        </w:rPr>
        <w:t>and</w:t>
      </w:r>
      <w:r>
        <w:rPr>
          <w:rFonts w:ascii="Times New Roman" w:hAnsi="Times New Roman" w:cs="Times New Roman"/>
          <w:spacing w:val="-7"/>
          <w:sz w:val="24"/>
          <w:szCs w:val="24"/>
        </w:rPr>
        <w:t xml:space="preserve"> </w:t>
      </w:r>
      <w:r>
        <w:rPr>
          <w:rFonts w:ascii="Times New Roman" w:hAnsi="Times New Roman" w:cs="Times New Roman"/>
          <w:sz w:val="24"/>
          <w:szCs w:val="24"/>
        </w:rPr>
        <w:t>to</w:t>
      </w:r>
      <w:r>
        <w:rPr>
          <w:rFonts w:ascii="Times New Roman" w:hAnsi="Times New Roman" w:cs="Times New Roman"/>
          <w:spacing w:val="-7"/>
          <w:sz w:val="24"/>
          <w:szCs w:val="24"/>
        </w:rPr>
        <w:t xml:space="preserve"> </w:t>
      </w:r>
      <w:r>
        <w:rPr>
          <w:rFonts w:ascii="Times New Roman" w:hAnsi="Times New Roman" w:cs="Times New Roman"/>
          <w:sz w:val="24"/>
          <w:szCs w:val="24"/>
        </w:rPr>
        <w:t>direct</w:t>
      </w:r>
      <w:r>
        <w:rPr>
          <w:rFonts w:ascii="Times New Roman" w:hAnsi="Times New Roman" w:cs="Times New Roman"/>
          <w:spacing w:val="-7"/>
          <w:sz w:val="24"/>
          <w:szCs w:val="24"/>
        </w:rPr>
        <w:t xml:space="preserve"> </w:t>
      </w:r>
      <w:r>
        <w:rPr>
          <w:rFonts w:ascii="Times New Roman" w:hAnsi="Times New Roman" w:cs="Times New Roman"/>
          <w:sz w:val="24"/>
          <w:szCs w:val="24"/>
        </w:rPr>
        <w:t>the</w:t>
      </w:r>
      <w:r>
        <w:rPr>
          <w:rFonts w:ascii="Times New Roman" w:hAnsi="Times New Roman" w:cs="Times New Roman"/>
          <w:spacing w:val="-8"/>
          <w:sz w:val="24"/>
          <w:szCs w:val="24"/>
        </w:rPr>
        <w:t xml:space="preserve"> </w:t>
      </w:r>
      <w:r>
        <w:rPr>
          <w:rFonts w:ascii="Times New Roman" w:hAnsi="Times New Roman" w:cs="Times New Roman"/>
          <w:sz w:val="24"/>
          <w:szCs w:val="24"/>
        </w:rPr>
        <w:t>funds</w:t>
      </w:r>
      <w:r>
        <w:rPr>
          <w:rFonts w:ascii="Times New Roman" w:hAnsi="Times New Roman" w:cs="Times New Roman"/>
          <w:spacing w:val="-8"/>
          <w:sz w:val="24"/>
          <w:szCs w:val="24"/>
        </w:rPr>
        <w:t xml:space="preserve"> </w:t>
      </w:r>
      <w:r>
        <w:rPr>
          <w:rFonts w:ascii="Times New Roman" w:hAnsi="Times New Roman" w:cs="Times New Roman"/>
          <w:sz w:val="24"/>
          <w:szCs w:val="24"/>
        </w:rPr>
        <w:t>accordingly.</w:t>
      </w:r>
      <w:r>
        <w:rPr>
          <w:rFonts w:ascii="Times New Roman" w:hAnsi="Times New Roman" w:cs="Times New Roman"/>
          <w:spacing w:val="-6"/>
          <w:sz w:val="24"/>
          <w:szCs w:val="24"/>
        </w:rPr>
        <w:t xml:space="preserve"> </w:t>
      </w:r>
      <w:r>
        <w:rPr>
          <w:rFonts w:ascii="Times New Roman" w:hAnsi="Times New Roman" w:cs="Times New Roman"/>
          <w:sz w:val="24"/>
          <w:szCs w:val="24"/>
        </w:rPr>
        <w:t>Therefore,</w:t>
      </w:r>
      <w:r>
        <w:rPr>
          <w:rFonts w:ascii="Times New Roman" w:hAnsi="Times New Roman" w:cs="Times New Roman"/>
          <w:spacing w:val="-7"/>
          <w:sz w:val="24"/>
          <w:szCs w:val="24"/>
        </w:rPr>
        <w:t xml:space="preserve"> </w:t>
      </w:r>
      <w:r>
        <w:rPr>
          <w:rFonts w:ascii="Times New Roman" w:hAnsi="Times New Roman" w:cs="Times New Roman"/>
          <w:sz w:val="24"/>
          <w:szCs w:val="24"/>
        </w:rPr>
        <w:t>we</w:t>
      </w:r>
      <w:r>
        <w:rPr>
          <w:rFonts w:ascii="Times New Roman" w:hAnsi="Times New Roman" w:cs="Times New Roman"/>
          <w:spacing w:val="-9"/>
          <w:sz w:val="24"/>
          <w:szCs w:val="24"/>
        </w:rPr>
        <w:t xml:space="preserve"> </w:t>
      </w:r>
      <w:r>
        <w:rPr>
          <w:rFonts w:ascii="Times New Roman" w:hAnsi="Times New Roman" w:cs="Times New Roman"/>
          <w:sz w:val="24"/>
          <w:szCs w:val="24"/>
        </w:rPr>
        <w:t>recommend</w:t>
      </w:r>
      <w:r>
        <w:rPr>
          <w:rFonts w:ascii="Times New Roman" w:hAnsi="Times New Roman" w:cs="Times New Roman"/>
          <w:spacing w:val="-7"/>
          <w:sz w:val="24"/>
          <w:szCs w:val="24"/>
        </w:rPr>
        <w:t xml:space="preserve"> </w:t>
      </w:r>
      <w:r>
        <w:rPr>
          <w:rFonts w:ascii="Times New Roman" w:hAnsi="Times New Roman" w:cs="Times New Roman"/>
          <w:sz w:val="24"/>
          <w:szCs w:val="24"/>
        </w:rPr>
        <w:t>that</w:t>
      </w:r>
      <w:r>
        <w:rPr>
          <w:rFonts w:ascii="Times New Roman" w:hAnsi="Times New Roman" w:cs="Times New Roman"/>
          <w:spacing w:val="-7"/>
          <w:sz w:val="24"/>
          <w:szCs w:val="24"/>
        </w:rPr>
        <w:t xml:space="preserve"> </w:t>
      </w:r>
      <w:r>
        <w:rPr>
          <w:rFonts w:ascii="Times New Roman" w:hAnsi="Times New Roman" w:cs="Times New Roman"/>
          <w:sz w:val="24"/>
          <w:szCs w:val="24"/>
        </w:rPr>
        <w:t>the</w:t>
      </w:r>
      <w:r>
        <w:rPr>
          <w:rFonts w:ascii="Times New Roman" w:hAnsi="Times New Roman" w:cs="Times New Roman"/>
          <w:spacing w:val="-8"/>
          <w:sz w:val="24"/>
          <w:szCs w:val="24"/>
        </w:rPr>
        <w:t xml:space="preserve"> </w:t>
      </w:r>
      <w:r>
        <w:rPr>
          <w:rFonts w:ascii="Times New Roman" w:hAnsi="Times New Roman" w:cs="Times New Roman"/>
          <w:sz w:val="24"/>
          <w:szCs w:val="24"/>
        </w:rPr>
        <w:t>FSS</w:t>
      </w:r>
      <w:r>
        <w:rPr>
          <w:rFonts w:ascii="Times New Roman" w:hAnsi="Times New Roman" w:cs="Times New Roman"/>
          <w:spacing w:val="-7"/>
          <w:sz w:val="24"/>
          <w:szCs w:val="24"/>
        </w:rPr>
        <w:t xml:space="preserve"> </w:t>
      </w:r>
      <w:r>
        <w:rPr>
          <w:rFonts w:ascii="Times New Roman" w:hAnsi="Times New Roman" w:cs="Times New Roman"/>
          <w:sz w:val="24"/>
          <w:szCs w:val="24"/>
        </w:rPr>
        <w:t>framework require ACOs to be responsible for determining how FSS funds are</w:t>
      </w:r>
      <w:r>
        <w:rPr>
          <w:rFonts w:ascii="Times New Roman" w:hAnsi="Times New Roman" w:cs="Times New Roman"/>
          <w:spacing w:val="-11"/>
          <w:sz w:val="24"/>
          <w:szCs w:val="24"/>
        </w:rPr>
        <w:t xml:space="preserve"> </w:t>
      </w:r>
      <w:r>
        <w:rPr>
          <w:rFonts w:ascii="Times New Roman" w:hAnsi="Times New Roman" w:cs="Times New Roman"/>
          <w:sz w:val="24"/>
          <w:szCs w:val="24"/>
        </w:rPr>
        <w:t>spent.</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ListParagraph"/>
        <w:numPr>
          <w:ilvl w:val="0"/>
          <w:numId w:val="14"/>
        </w:numPr>
        <w:tabs>
          <w:tab w:val="left" w:pos="821"/>
        </w:tabs>
        <w:kinsoku w:val="0"/>
        <w:overflowPunct w:val="0"/>
        <w:ind w:hanging="554"/>
        <w:rPr>
          <w:i/>
          <w:iCs/>
        </w:rPr>
      </w:pPr>
      <w:r>
        <w:rPr>
          <w:i/>
          <w:iCs/>
        </w:rPr>
        <w:t>The process that ACOs must use to determine their members’ social service</w:t>
      </w:r>
      <w:r>
        <w:rPr>
          <w:i/>
          <w:iCs/>
          <w:spacing w:val="-12"/>
        </w:rPr>
        <w:t xml:space="preserve"> </w:t>
      </w:r>
      <w:r>
        <w:rPr>
          <w:i/>
          <w:iCs/>
        </w:rPr>
        <w:t>needs.</w:t>
      </w:r>
    </w:p>
    <w:p w:rsidR="002C5025" w:rsidRDefault="002C5025">
      <w:pPr>
        <w:pStyle w:val="BodyText"/>
        <w:kinsoku w:val="0"/>
        <w:overflowPunct w:val="0"/>
        <w:rPr>
          <w:rFonts w:ascii="Times New Roman" w:hAnsi="Times New Roman" w:cs="Times New Roman"/>
          <w:i/>
          <w:iCs/>
          <w:sz w:val="24"/>
          <w:szCs w:val="24"/>
        </w:rPr>
      </w:pPr>
    </w:p>
    <w:p w:rsidR="002C5025" w:rsidRDefault="002C5025">
      <w:pPr>
        <w:pStyle w:val="BodyText"/>
        <w:kinsoku w:val="0"/>
        <w:overflowPunct w:val="0"/>
        <w:ind w:left="100" w:right="114"/>
        <w:jc w:val="both"/>
        <w:rPr>
          <w:rFonts w:ascii="Times New Roman" w:hAnsi="Times New Roman" w:cs="Times New Roman"/>
          <w:sz w:val="24"/>
          <w:szCs w:val="24"/>
        </w:rPr>
      </w:pPr>
      <w:r>
        <w:rPr>
          <w:rFonts w:ascii="Times New Roman" w:hAnsi="Times New Roman" w:cs="Times New Roman"/>
          <w:sz w:val="24"/>
          <w:szCs w:val="24"/>
        </w:rPr>
        <w:t xml:space="preserve">In order to facilitate appropriate use of flexible spending funds, we also encourage EOHHS to include guidance in the FSS framework regarding how ACOs should determine the social service needs of their members. </w:t>
      </w:r>
      <w:r>
        <w:rPr>
          <w:rFonts w:ascii="Times New Roman" w:hAnsi="Times New Roman" w:cs="Times New Roman"/>
          <w:spacing w:val="-3"/>
          <w:sz w:val="24"/>
          <w:szCs w:val="24"/>
        </w:rPr>
        <w:t xml:space="preserve">In </w:t>
      </w:r>
      <w:r>
        <w:rPr>
          <w:rFonts w:ascii="Times New Roman" w:hAnsi="Times New Roman" w:cs="Times New Roman"/>
          <w:sz w:val="24"/>
          <w:szCs w:val="24"/>
        </w:rPr>
        <w:t>developing this guidance, EOHHS could require ACOs to look to existing data sources and recent patient data to assess community needs. For example, in the first year</w:t>
      </w:r>
      <w:r>
        <w:rPr>
          <w:rFonts w:ascii="Times New Roman" w:hAnsi="Times New Roman" w:cs="Times New Roman"/>
          <w:spacing w:val="-9"/>
          <w:sz w:val="24"/>
          <w:szCs w:val="24"/>
        </w:rPr>
        <w:t xml:space="preserve"> </w:t>
      </w:r>
      <w:r>
        <w:rPr>
          <w:rFonts w:ascii="Times New Roman" w:hAnsi="Times New Roman" w:cs="Times New Roman"/>
          <w:sz w:val="24"/>
          <w:szCs w:val="24"/>
        </w:rPr>
        <w:t>of</w:t>
      </w:r>
      <w:r>
        <w:rPr>
          <w:rFonts w:ascii="Times New Roman" w:hAnsi="Times New Roman" w:cs="Times New Roman"/>
          <w:spacing w:val="-7"/>
          <w:sz w:val="24"/>
          <w:szCs w:val="24"/>
        </w:rPr>
        <w:t xml:space="preserve"> </w:t>
      </w:r>
      <w:r>
        <w:rPr>
          <w:rFonts w:ascii="Times New Roman" w:hAnsi="Times New Roman" w:cs="Times New Roman"/>
          <w:sz w:val="24"/>
          <w:szCs w:val="24"/>
        </w:rPr>
        <w:t>the</w:t>
      </w:r>
      <w:r>
        <w:rPr>
          <w:rFonts w:ascii="Times New Roman" w:hAnsi="Times New Roman" w:cs="Times New Roman"/>
          <w:spacing w:val="-9"/>
          <w:sz w:val="24"/>
          <w:szCs w:val="24"/>
        </w:rPr>
        <w:t xml:space="preserve"> </w:t>
      </w:r>
      <w:r>
        <w:rPr>
          <w:rFonts w:ascii="Times New Roman" w:hAnsi="Times New Roman" w:cs="Times New Roman"/>
          <w:sz w:val="24"/>
          <w:szCs w:val="24"/>
        </w:rPr>
        <w:t>demonstration,</w:t>
      </w:r>
      <w:r>
        <w:rPr>
          <w:rFonts w:ascii="Times New Roman" w:hAnsi="Times New Roman" w:cs="Times New Roman"/>
          <w:spacing w:val="-9"/>
          <w:sz w:val="24"/>
          <w:szCs w:val="24"/>
        </w:rPr>
        <w:t xml:space="preserve"> </w:t>
      </w:r>
      <w:r>
        <w:rPr>
          <w:rFonts w:ascii="Times New Roman" w:hAnsi="Times New Roman" w:cs="Times New Roman"/>
          <w:sz w:val="24"/>
          <w:szCs w:val="24"/>
        </w:rPr>
        <w:t>EOHHS</w:t>
      </w:r>
      <w:r>
        <w:rPr>
          <w:rFonts w:ascii="Times New Roman" w:hAnsi="Times New Roman" w:cs="Times New Roman"/>
          <w:spacing w:val="-8"/>
          <w:sz w:val="24"/>
          <w:szCs w:val="24"/>
        </w:rPr>
        <w:t xml:space="preserve"> </w:t>
      </w:r>
      <w:r>
        <w:rPr>
          <w:rFonts w:ascii="Times New Roman" w:hAnsi="Times New Roman" w:cs="Times New Roman"/>
          <w:sz w:val="24"/>
          <w:szCs w:val="24"/>
        </w:rPr>
        <w:t>could</w:t>
      </w:r>
      <w:r>
        <w:rPr>
          <w:rFonts w:ascii="Times New Roman" w:hAnsi="Times New Roman" w:cs="Times New Roman"/>
          <w:spacing w:val="-6"/>
          <w:sz w:val="24"/>
          <w:szCs w:val="24"/>
        </w:rPr>
        <w:t xml:space="preserve"> </w:t>
      </w:r>
      <w:r>
        <w:rPr>
          <w:rFonts w:ascii="Times New Roman" w:hAnsi="Times New Roman" w:cs="Times New Roman"/>
          <w:sz w:val="24"/>
          <w:szCs w:val="24"/>
        </w:rPr>
        <w:t>require</w:t>
      </w:r>
      <w:r>
        <w:rPr>
          <w:rFonts w:ascii="Times New Roman" w:hAnsi="Times New Roman" w:cs="Times New Roman"/>
          <w:spacing w:val="-7"/>
          <w:sz w:val="24"/>
          <w:szCs w:val="24"/>
        </w:rPr>
        <w:t xml:space="preserve"> </w:t>
      </w:r>
      <w:r>
        <w:rPr>
          <w:rFonts w:ascii="Times New Roman" w:hAnsi="Times New Roman" w:cs="Times New Roman"/>
          <w:sz w:val="24"/>
          <w:szCs w:val="24"/>
        </w:rPr>
        <w:t>ACOs</w:t>
      </w:r>
      <w:r>
        <w:rPr>
          <w:rFonts w:ascii="Times New Roman" w:hAnsi="Times New Roman" w:cs="Times New Roman"/>
          <w:spacing w:val="-8"/>
          <w:sz w:val="24"/>
          <w:szCs w:val="24"/>
        </w:rPr>
        <w:t xml:space="preserve"> </w:t>
      </w:r>
      <w:r>
        <w:rPr>
          <w:rFonts w:ascii="Times New Roman" w:hAnsi="Times New Roman" w:cs="Times New Roman"/>
          <w:sz w:val="24"/>
          <w:szCs w:val="24"/>
        </w:rPr>
        <w:t>to</w:t>
      </w:r>
      <w:r>
        <w:rPr>
          <w:rFonts w:ascii="Times New Roman" w:hAnsi="Times New Roman" w:cs="Times New Roman"/>
          <w:spacing w:val="-8"/>
          <w:sz w:val="24"/>
          <w:szCs w:val="24"/>
        </w:rPr>
        <w:t xml:space="preserve"> </w:t>
      </w:r>
      <w:r>
        <w:rPr>
          <w:rFonts w:ascii="Times New Roman" w:hAnsi="Times New Roman" w:cs="Times New Roman"/>
          <w:sz w:val="24"/>
          <w:szCs w:val="24"/>
        </w:rPr>
        <w:t>base</w:t>
      </w:r>
      <w:r>
        <w:rPr>
          <w:rFonts w:ascii="Times New Roman" w:hAnsi="Times New Roman" w:cs="Times New Roman"/>
          <w:spacing w:val="-9"/>
          <w:sz w:val="24"/>
          <w:szCs w:val="24"/>
        </w:rPr>
        <w:t xml:space="preserve"> </w:t>
      </w:r>
      <w:r>
        <w:rPr>
          <w:rFonts w:ascii="Times New Roman" w:hAnsi="Times New Roman" w:cs="Times New Roman"/>
          <w:sz w:val="24"/>
          <w:szCs w:val="24"/>
        </w:rPr>
        <w:t>their</w:t>
      </w:r>
      <w:r>
        <w:rPr>
          <w:rFonts w:ascii="Times New Roman" w:hAnsi="Times New Roman" w:cs="Times New Roman"/>
          <w:spacing w:val="-9"/>
          <w:sz w:val="24"/>
          <w:szCs w:val="24"/>
        </w:rPr>
        <w:t xml:space="preserve"> </w:t>
      </w:r>
      <w:r>
        <w:rPr>
          <w:rFonts w:ascii="Times New Roman" w:hAnsi="Times New Roman" w:cs="Times New Roman"/>
          <w:sz w:val="24"/>
          <w:szCs w:val="24"/>
        </w:rPr>
        <w:t>needs</w:t>
      </w:r>
      <w:r>
        <w:rPr>
          <w:rFonts w:ascii="Times New Roman" w:hAnsi="Times New Roman" w:cs="Times New Roman"/>
          <w:spacing w:val="-6"/>
          <w:sz w:val="24"/>
          <w:szCs w:val="24"/>
        </w:rPr>
        <w:t xml:space="preserve"> </w:t>
      </w:r>
      <w:r>
        <w:rPr>
          <w:rFonts w:ascii="Times New Roman" w:hAnsi="Times New Roman" w:cs="Times New Roman"/>
          <w:sz w:val="24"/>
          <w:szCs w:val="24"/>
        </w:rPr>
        <w:t>assessment</w:t>
      </w:r>
      <w:r>
        <w:rPr>
          <w:rFonts w:ascii="Times New Roman" w:hAnsi="Times New Roman" w:cs="Times New Roman"/>
          <w:spacing w:val="-9"/>
          <w:sz w:val="24"/>
          <w:szCs w:val="24"/>
        </w:rPr>
        <w:t xml:space="preserve"> </w:t>
      </w:r>
      <w:r>
        <w:rPr>
          <w:rFonts w:ascii="Times New Roman" w:hAnsi="Times New Roman" w:cs="Times New Roman"/>
          <w:sz w:val="24"/>
          <w:szCs w:val="24"/>
        </w:rPr>
        <w:t>on</w:t>
      </w:r>
      <w:r>
        <w:rPr>
          <w:rFonts w:ascii="Times New Roman" w:hAnsi="Times New Roman" w:cs="Times New Roman"/>
          <w:spacing w:val="-8"/>
          <w:sz w:val="24"/>
          <w:szCs w:val="24"/>
        </w:rPr>
        <w:t xml:space="preserve"> </w:t>
      </w:r>
      <w:r>
        <w:rPr>
          <w:rFonts w:ascii="Times New Roman" w:hAnsi="Times New Roman" w:cs="Times New Roman"/>
          <w:sz w:val="24"/>
          <w:szCs w:val="24"/>
        </w:rPr>
        <w:t>existing data sources such as Community Health Needs Assessments performed by non-profit hospitals in their service area and county-level data related to social determinants such as food insecurity and housing. Moving forward, EOHHS could then require ACOs to screen patients for social service needs during health care visits and use that data to drive allocation of FSS</w:t>
      </w:r>
      <w:r>
        <w:rPr>
          <w:rFonts w:ascii="Times New Roman" w:hAnsi="Times New Roman" w:cs="Times New Roman"/>
          <w:spacing w:val="-11"/>
          <w:sz w:val="24"/>
          <w:szCs w:val="24"/>
        </w:rPr>
        <w:t xml:space="preserve"> </w:t>
      </w:r>
      <w:r>
        <w:rPr>
          <w:rFonts w:ascii="Times New Roman" w:hAnsi="Times New Roman" w:cs="Times New Roman"/>
          <w:sz w:val="24"/>
          <w:szCs w:val="24"/>
        </w:rPr>
        <w:t>funds.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00" w:right="118"/>
        <w:jc w:val="both"/>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pacing w:val="-11"/>
          <w:sz w:val="24"/>
          <w:szCs w:val="24"/>
        </w:rPr>
        <w:t xml:space="preserve"> </w:t>
      </w:r>
      <w:r>
        <w:rPr>
          <w:rFonts w:ascii="Times New Roman" w:hAnsi="Times New Roman" w:cs="Times New Roman"/>
          <w:sz w:val="24"/>
          <w:szCs w:val="24"/>
        </w:rPr>
        <w:t>help</w:t>
      </w:r>
      <w:r>
        <w:rPr>
          <w:rFonts w:ascii="Times New Roman" w:hAnsi="Times New Roman" w:cs="Times New Roman"/>
          <w:spacing w:val="-11"/>
          <w:sz w:val="24"/>
          <w:szCs w:val="24"/>
        </w:rPr>
        <w:t xml:space="preserve"> </w:t>
      </w:r>
      <w:r>
        <w:rPr>
          <w:rFonts w:ascii="Times New Roman" w:hAnsi="Times New Roman" w:cs="Times New Roman"/>
          <w:sz w:val="24"/>
          <w:szCs w:val="24"/>
        </w:rPr>
        <w:t>developing</w:t>
      </w:r>
      <w:r>
        <w:rPr>
          <w:rFonts w:ascii="Times New Roman" w:hAnsi="Times New Roman" w:cs="Times New Roman"/>
          <w:spacing w:val="-13"/>
          <w:sz w:val="24"/>
          <w:szCs w:val="24"/>
        </w:rPr>
        <w:t xml:space="preserve"> </w:t>
      </w:r>
      <w:r>
        <w:rPr>
          <w:rFonts w:ascii="Times New Roman" w:hAnsi="Times New Roman" w:cs="Times New Roman"/>
          <w:sz w:val="24"/>
          <w:szCs w:val="24"/>
        </w:rPr>
        <w:t>ACOs</w:t>
      </w:r>
      <w:r>
        <w:rPr>
          <w:rFonts w:ascii="Times New Roman" w:hAnsi="Times New Roman" w:cs="Times New Roman"/>
          <w:spacing w:val="-11"/>
          <w:sz w:val="24"/>
          <w:szCs w:val="24"/>
        </w:rPr>
        <w:t xml:space="preserve"> </w:t>
      </w:r>
      <w:r>
        <w:rPr>
          <w:rFonts w:ascii="Times New Roman" w:hAnsi="Times New Roman" w:cs="Times New Roman"/>
          <w:sz w:val="24"/>
          <w:szCs w:val="24"/>
        </w:rPr>
        <w:t>begin</w:t>
      </w:r>
      <w:r>
        <w:rPr>
          <w:rFonts w:ascii="Times New Roman" w:hAnsi="Times New Roman" w:cs="Times New Roman"/>
          <w:spacing w:val="-11"/>
          <w:sz w:val="24"/>
          <w:szCs w:val="24"/>
        </w:rPr>
        <w:t xml:space="preserve"> </w:t>
      </w:r>
      <w:r>
        <w:rPr>
          <w:rFonts w:ascii="Times New Roman" w:hAnsi="Times New Roman" w:cs="Times New Roman"/>
          <w:sz w:val="24"/>
          <w:szCs w:val="24"/>
        </w:rPr>
        <w:t>to</w:t>
      </w:r>
      <w:r>
        <w:rPr>
          <w:rFonts w:ascii="Times New Roman" w:hAnsi="Times New Roman" w:cs="Times New Roman"/>
          <w:spacing w:val="-11"/>
          <w:sz w:val="24"/>
          <w:szCs w:val="24"/>
        </w:rPr>
        <w:t xml:space="preserve"> </w:t>
      </w:r>
      <w:r>
        <w:rPr>
          <w:rFonts w:ascii="Times New Roman" w:hAnsi="Times New Roman" w:cs="Times New Roman"/>
          <w:sz w:val="24"/>
          <w:szCs w:val="24"/>
        </w:rPr>
        <w:t>plan</w:t>
      </w:r>
      <w:r>
        <w:rPr>
          <w:rFonts w:ascii="Times New Roman" w:hAnsi="Times New Roman" w:cs="Times New Roman"/>
          <w:spacing w:val="-11"/>
          <w:sz w:val="24"/>
          <w:szCs w:val="24"/>
        </w:rPr>
        <w:t xml:space="preserve"> </w:t>
      </w:r>
      <w:r>
        <w:rPr>
          <w:rFonts w:ascii="Times New Roman" w:hAnsi="Times New Roman" w:cs="Times New Roman"/>
          <w:sz w:val="24"/>
          <w:szCs w:val="24"/>
        </w:rPr>
        <w:t>for</w:t>
      </w:r>
      <w:r>
        <w:rPr>
          <w:rFonts w:ascii="Times New Roman" w:hAnsi="Times New Roman" w:cs="Times New Roman"/>
          <w:spacing w:val="-13"/>
          <w:sz w:val="24"/>
          <w:szCs w:val="24"/>
        </w:rPr>
        <w:t xml:space="preserve"> </w:t>
      </w:r>
      <w:r>
        <w:rPr>
          <w:rFonts w:ascii="Times New Roman" w:hAnsi="Times New Roman" w:cs="Times New Roman"/>
          <w:sz w:val="24"/>
          <w:szCs w:val="24"/>
        </w:rPr>
        <w:t>this</w:t>
      </w:r>
      <w:r>
        <w:rPr>
          <w:rFonts w:ascii="Times New Roman" w:hAnsi="Times New Roman" w:cs="Times New Roman"/>
          <w:spacing w:val="-11"/>
          <w:sz w:val="24"/>
          <w:szCs w:val="24"/>
        </w:rPr>
        <w:t xml:space="preserve"> </w:t>
      </w:r>
      <w:r>
        <w:rPr>
          <w:rFonts w:ascii="Times New Roman" w:hAnsi="Times New Roman" w:cs="Times New Roman"/>
          <w:sz w:val="24"/>
          <w:szCs w:val="24"/>
        </w:rPr>
        <w:t>process,</w:t>
      </w:r>
      <w:r>
        <w:rPr>
          <w:rFonts w:ascii="Times New Roman" w:hAnsi="Times New Roman" w:cs="Times New Roman"/>
          <w:spacing w:val="-11"/>
          <w:sz w:val="24"/>
          <w:szCs w:val="24"/>
        </w:rPr>
        <w:t xml:space="preserve"> </w:t>
      </w:r>
      <w:r>
        <w:rPr>
          <w:rFonts w:ascii="Times New Roman" w:hAnsi="Times New Roman" w:cs="Times New Roman"/>
          <w:sz w:val="24"/>
          <w:szCs w:val="24"/>
        </w:rPr>
        <w:t>we</w:t>
      </w:r>
      <w:r>
        <w:rPr>
          <w:rFonts w:ascii="Times New Roman" w:hAnsi="Times New Roman" w:cs="Times New Roman"/>
          <w:spacing w:val="-12"/>
          <w:sz w:val="24"/>
          <w:szCs w:val="24"/>
        </w:rPr>
        <w:t xml:space="preserve"> </w:t>
      </w:r>
      <w:r>
        <w:rPr>
          <w:rFonts w:ascii="Times New Roman" w:hAnsi="Times New Roman" w:cs="Times New Roman"/>
          <w:sz w:val="24"/>
          <w:szCs w:val="24"/>
        </w:rPr>
        <w:t>also</w:t>
      </w:r>
      <w:r>
        <w:rPr>
          <w:rFonts w:ascii="Times New Roman" w:hAnsi="Times New Roman" w:cs="Times New Roman"/>
          <w:spacing w:val="-10"/>
          <w:sz w:val="24"/>
          <w:szCs w:val="24"/>
        </w:rPr>
        <w:t xml:space="preserve"> </w:t>
      </w:r>
      <w:r>
        <w:rPr>
          <w:rFonts w:ascii="Times New Roman" w:hAnsi="Times New Roman" w:cs="Times New Roman"/>
          <w:sz w:val="24"/>
          <w:szCs w:val="24"/>
        </w:rPr>
        <w:t>encourage</w:t>
      </w:r>
      <w:r>
        <w:rPr>
          <w:rFonts w:ascii="Times New Roman" w:hAnsi="Times New Roman" w:cs="Times New Roman"/>
          <w:spacing w:val="-10"/>
          <w:sz w:val="24"/>
          <w:szCs w:val="24"/>
        </w:rPr>
        <w:t xml:space="preserve"> </w:t>
      </w:r>
      <w:r>
        <w:rPr>
          <w:rFonts w:ascii="Times New Roman" w:hAnsi="Times New Roman" w:cs="Times New Roman"/>
          <w:sz w:val="24"/>
          <w:szCs w:val="24"/>
        </w:rPr>
        <w:t>EOHHS</w:t>
      </w:r>
      <w:r>
        <w:rPr>
          <w:rFonts w:ascii="Times New Roman" w:hAnsi="Times New Roman" w:cs="Times New Roman"/>
          <w:spacing w:val="-10"/>
          <w:sz w:val="24"/>
          <w:szCs w:val="24"/>
        </w:rPr>
        <w:t xml:space="preserve"> </w:t>
      </w:r>
      <w:r>
        <w:rPr>
          <w:rFonts w:ascii="Times New Roman" w:hAnsi="Times New Roman" w:cs="Times New Roman"/>
          <w:sz w:val="24"/>
          <w:szCs w:val="24"/>
        </w:rPr>
        <w:t>to</w:t>
      </w:r>
      <w:r>
        <w:rPr>
          <w:rFonts w:ascii="Times New Roman" w:hAnsi="Times New Roman" w:cs="Times New Roman"/>
          <w:spacing w:val="-11"/>
          <w:sz w:val="24"/>
          <w:szCs w:val="24"/>
        </w:rPr>
        <w:t xml:space="preserve"> </w:t>
      </w:r>
      <w:r>
        <w:rPr>
          <w:rFonts w:ascii="Times New Roman" w:hAnsi="Times New Roman" w:cs="Times New Roman"/>
          <w:sz w:val="24"/>
          <w:szCs w:val="24"/>
        </w:rPr>
        <w:t>clarify</w:t>
      </w:r>
      <w:r>
        <w:rPr>
          <w:rFonts w:ascii="Times New Roman" w:hAnsi="Times New Roman" w:cs="Times New Roman"/>
          <w:spacing w:val="-18"/>
          <w:sz w:val="24"/>
          <w:szCs w:val="24"/>
        </w:rPr>
        <w:t xml:space="preserve"> </w:t>
      </w:r>
      <w:r>
        <w:rPr>
          <w:rFonts w:ascii="Times New Roman" w:hAnsi="Times New Roman" w:cs="Times New Roman"/>
          <w:sz w:val="24"/>
          <w:szCs w:val="24"/>
        </w:rPr>
        <w:t>how it</w:t>
      </w:r>
      <w:r>
        <w:rPr>
          <w:rFonts w:ascii="Times New Roman" w:hAnsi="Times New Roman" w:cs="Times New Roman"/>
          <w:spacing w:val="-5"/>
          <w:sz w:val="24"/>
          <w:szCs w:val="24"/>
        </w:rPr>
        <w:t xml:space="preserve"> </w:t>
      </w:r>
      <w:r>
        <w:rPr>
          <w:rFonts w:ascii="Times New Roman" w:hAnsi="Times New Roman" w:cs="Times New Roman"/>
          <w:sz w:val="24"/>
          <w:szCs w:val="24"/>
        </w:rPr>
        <w:t>will</w:t>
      </w:r>
      <w:r>
        <w:rPr>
          <w:rFonts w:ascii="Times New Roman" w:hAnsi="Times New Roman" w:cs="Times New Roman"/>
          <w:spacing w:val="-5"/>
          <w:sz w:val="24"/>
          <w:szCs w:val="24"/>
        </w:rPr>
        <w:t xml:space="preserve"> </w:t>
      </w:r>
      <w:r>
        <w:rPr>
          <w:rFonts w:ascii="Times New Roman" w:hAnsi="Times New Roman" w:cs="Times New Roman"/>
          <w:sz w:val="24"/>
          <w:szCs w:val="24"/>
        </w:rPr>
        <w:t>calculate</w:t>
      </w:r>
      <w:r>
        <w:rPr>
          <w:rFonts w:ascii="Times New Roman" w:hAnsi="Times New Roman" w:cs="Times New Roman"/>
          <w:spacing w:val="-7"/>
          <w:sz w:val="24"/>
          <w:szCs w:val="24"/>
        </w:rPr>
        <w:t xml:space="preserve"> </w:t>
      </w:r>
      <w:r>
        <w:rPr>
          <w:rFonts w:ascii="Times New Roman" w:hAnsi="Times New Roman" w:cs="Times New Roman"/>
          <w:sz w:val="24"/>
          <w:szCs w:val="24"/>
        </w:rPr>
        <w:t>the</w:t>
      </w:r>
      <w:r>
        <w:rPr>
          <w:rFonts w:ascii="Times New Roman" w:hAnsi="Times New Roman" w:cs="Times New Roman"/>
          <w:spacing w:val="-7"/>
          <w:sz w:val="24"/>
          <w:szCs w:val="24"/>
        </w:rPr>
        <w:t xml:space="preserve"> </w:t>
      </w:r>
      <w:r>
        <w:rPr>
          <w:rFonts w:ascii="Times New Roman" w:hAnsi="Times New Roman" w:cs="Times New Roman"/>
          <w:sz w:val="24"/>
          <w:szCs w:val="24"/>
        </w:rPr>
        <w:t>amount</w:t>
      </w:r>
      <w:r>
        <w:rPr>
          <w:rFonts w:ascii="Times New Roman" w:hAnsi="Times New Roman" w:cs="Times New Roman"/>
          <w:spacing w:val="-6"/>
          <w:sz w:val="24"/>
          <w:szCs w:val="24"/>
        </w:rPr>
        <w:t xml:space="preserve"> </w:t>
      </w:r>
      <w:r>
        <w:rPr>
          <w:rFonts w:ascii="Times New Roman" w:hAnsi="Times New Roman" w:cs="Times New Roman"/>
          <w:sz w:val="24"/>
          <w:szCs w:val="24"/>
        </w:rPr>
        <w:t>of</w:t>
      </w:r>
      <w:r>
        <w:rPr>
          <w:rFonts w:ascii="Times New Roman" w:hAnsi="Times New Roman" w:cs="Times New Roman"/>
          <w:spacing w:val="-7"/>
          <w:sz w:val="24"/>
          <w:szCs w:val="24"/>
        </w:rPr>
        <w:t xml:space="preserve"> </w:t>
      </w:r>
      <w:r>
        <w:rPr>
          <w:rFonts w:ascii="Times New Roman" w:hAnsi="Times New Roman" w:cs="Times New Roman"/>
          <w:sz w:val="24"/>
          <w:szCs w:val="24"/>
        </w:rPr>
        <w:t>DSRIP</w:t>
      </w:r>
      <w:r>
        <w:rPr>
          <w:rFonts w:ascii="Times New Roman" w:hAnsi="Times New Roman" w:cs="Times New Roman"/>
          <w:spacing w:val="-6"/>
          <w:sz w:val="24"/>
          <w:szCs w:val="24"/>
        </w:rPr>
        <w:t xml:space="preserve"> </w:t>
      </w:r>
      <w:r>
        <w:rPr>
          <w:rFonts w:ascii="Times New Roman" w:hAnsi="Times New Roman" w:cs="Times New Roman"/>
          <w:sz w:val="24"/>
          <w:szCs w:val="24"/>
        </w:rPr>
        <w:t>funding</w:t>
      </w:r>
      <w:r>
        <w:rPr>
          <w:rFonts w:ascii="Times New Roman" w:hAnsi="Times New Roman" w:cs="Times New Roman"/>
          <w:spacing w:val="-9"/>
          <w:sz w:val="24"/>
          <w:szCs w:val="24"/>
        </w:rPr>
        <w:t xml:space="preserve"> </w:t>
      </w:r>
      <w:r>
        <w:rPr>
          <w:rFonts w:ascii="Times New Roman" w:hAnsi="Times New Roman" w:cs="Times New Roman"/>
          <w:sz w:val="24"/>
          <w:szCs w:val="24"/>
        </w:rPr>
        <w:t>that</w:t>
      </w:r>
      <w:r>
        <w:rPr>
          <w:rFonts w:ascii="Times New Roman" w:hAnsi="Times New Roman" w:cs="Times New Roman"/>
          <w:spacing w:val="-6"/>
          <w:sz w:val="24"/>
          <w:szCs w:val="24"/>
        </w:rPr>
        <w:t xml:space="preserve"> </w:t>
      </w:r>
      <w:r>
        <w:rPr>
          <w:rFonts w:ascii="Times New Roman" w:hAnsi="Times New Roman" w:cs="Times New Roman"/>
          <w:sz w:val="24"/>
          <w:szCs w:val="24"/>
        </w:rPr>
        <w:t>ACOs</w:t>
      </w:r>
      <w:r>
        <w:rPr>
          <w:rFonts w:ascii="Times New Roman" w:hAnsi="Times New Roman" w:cs="Times New Roman"/>
          <w:spacing w:val="-6"/>
          <w:sz w:val="24"/>
          <w:szCs w:val="24"/>
        </w:rPr>
        <w:t xml:space="preserve"> </w:t>
      </w:r>
      <w:r>
        <w:rPr>
          <w:rFonts w:ascii="Times New Roman" w:hAnsi="Times New Roman" w:cs="Times New Roman"/>
          <w:sz w:val="24"/>
          <w:szCs w:val="24"/>
        </w:rPr>
        <w:t>will</w:t>
      </w:r>
      <w:r>
        <w:rPr>
          <w:rFonts w:ascii="Times New Roman" w:hAnsi="Times New Roman" w:cs="Times New Roman"/>
          <w:spacing w:val="-5"/>
          <w:sz w:val="24"/>
          <w:szCs w:val="24"/>
        </w:rPr>
        <w:t xml:space="preserve"> </w:t>
      </w:r>
      <w:r>
        <w:rPr>
          <w:rFonts w:ascii="Times New Roman" w:hAnsi="Times New Roman" w:cs="Times New Roman"/>
          <w:sz w:val="24"/>
          <w:szCs w:val="24"/>
        </w:rPr>
        <w:t>receive</w:t>
      </w:r>
      <w:r>
        <w:rPr>
          <w:rFonts w:ascii="Times New Roman" w:hAnsi="Times New Roman" w:cs="Times New Roman"/>
          <w:spacing w:val="-7"/>
          <w:sz w:val="24"/>
          <w:szCs w:val="24"/>
        </w:rPr>
        <w:t xml:space="preserve"> </w:t>
      </w:r>
      <w:r>
        <w:rPr>
          <w:rFonts w:ascii="Times New Roman" w:hAnsi="Times New Roman" w:cs="Times New Roman"/>
          <w:sz w:val="24"/>
          <w:szCs w:val="24"/>
        </w:rPr>
        <w:t>for</w:t>
      </w:r>
      <w:r>
        <w:rPr>
          <w:rFonts w:ascii="Times New Roman" w:hAnsi="Times New Roman" w:cs="Times New Roman"/>
          <w:spacing w:val="-5"/>
          <w:sz w:val="24"/>
          <w:szCs w:val="24"/>
        </w:rPr>
        <w:t xml:space="preserve"> </w:t>
      </w:r>
      <w:r>
        <w:rPr>
          <w:rFonts w:ascii="Times New Roman" w:hAnsi="Times New Roman" w:cs="Times New Roman"/>
          <w:sz w:val="24"/>
          <w:szCs w:val="24"/>
        </w:rPr>
        <w:t>FSS.</w:t>
      </w:r>
      <w:r>
        <w:rPr>
          <w:rFonts w:ascii="Times New Roman" w:hAnsi="Times New Roman" w:cs="Times New Roman"/>
          <w:spacing w:val="-6"/>
          <w:sz w:val="24"/>
          <w:szCs w:val="24"/>
        </w:rPr>
        <w:t xml:space="preserve"> </w:t>
      </w:r>
      <w:r>
        <w:rPr>
          <w:rFonts w:ascii="Times New Roman" w:hAnsi="Times New Roman" w:cs="Times New Roman"/>
          <w:sz w:val="24"/>
          <w:szCs w:val="24"/>
        </w:rPr>
        <w:t>By</w:t>
      </w:r>
      <w:r>
        <w:rPr>
          <w:rFonts w:ascii="Times New Roman" w:hAnsi="Times New Roman" w:cs="Times New Roman"/>
          <w:spacing w:val="-11"/>
          <w:sz w:val="24"/>
          <w:szCs w:val="24"/>
        </w:rPr>
        <w:t xml:space="preserve"> </w:t>
      </w:r>
      <w:r>
        <w:rPr>
          <w:rFonts w:ascii="Times New Roman" w:hAnsi="Times New Roman" w:cs="Times New Roman"/>
          <w:sz w:val="24"/>
          <w:szCs w:val="24"/>
        </w:rPr>
        <w:t>allowing</w:t>
      </w:r>
      <w:r>
        <w:rPr>
          <w:rFonts w:ascii="Times New Roman" w:hAnsi="Times New Roman" w:cs="Times New Roman"/>
          <w:spacing w:val="-9"/>
          <w:sz w:val="24"/>
          <w:szCs w:val="24"/>
        </w:rPr>
        <w:t xml:space="preserve"> </w:t>
      </w:r>
      <w:r>
        <w:rPr>
          <w:rFonts w:ascii="Times New Roman" w:hAnsi="Times New Roman" w:cs="Times New Roman"/>
          <w:sz w:val="24"/>
          <w:szCs w:val="24"/>
        </w:rPr>
        <w:t>ACOs to better estimate how much funding they will receive for FSS and how that funding will impact their overall budgets, ACOs will be better equipped to begin planning to provide</w:t>
      </w:r>
      <w:r>
        <w:rPr>
          <w:rFonts w:ascii="Times New Roman" w:hAnsi="Times New Roman" w:cs="Times New Roman"/>
          <w:spacing w:val="-16"/>
          <w:sz w:val="24"/>
          <w:szCs w:val="24"/>
        </w:rPr>
        <w:t xml:space="preserve"> </w:t>
      </w:r>
      <w:r>
        <w:rPr>
          <w:rFonts w:ascii="Times New Roman" w:hAnsi="Times New Roman" w:cs="Times New Roman"/>
          <w:sz w:val="24"/>
          <w:szCs w:val="24"/>
        </w:rPr>
        <w:t>FSS.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ListParagraph"/>
        <w:numPr>
          <w:ilvl w:val="0"/>
          <w:numId w:val="14"/>
        </w:numPr>
        <w:tabs>
          <w:tab w:val="left" w:pos="821"/>
        </w:tabs>
        <w:kinsoku w:val="0"/>
        <w:overflowPunct w:val="0"/>
        <w:ind w:hanging="619"/>
        <w:rPr>
          <w:i/>
          <w:iCs/>
        </w:rPr>
      </w:pPr>
      <w:r>
        <w:rPr>
          <w:i/>
          <w:iCs/>
        </w:rPr>
        <w:t>The FSS reporting requirements that ACOs must meet to ensure</w:t>
      </w:r>
      <w:r>
        <w:rPr>
          <w:i/>
          <w:iCs/>
          <w:spacing w:val="-11"/>
        </w:rPr>
        <w:t xml:space="preserve"> </w:t>
      </w:r>
      <w:r>
        <w:rPr>
          <w:i/>
          <w:iCs/>
        </w:rPr>
        <w:t>transparency.</w:t>
      </w:r>
    </w:p>
    <w:p w:rsidR="002C5025" w:rsidRDefault="002C5025">
      <w:pPr>
        <w:pStyle w:val="BodyText"/>
        <w:kinsoku w:val="0"/>
        <w:overflowPunct w:val="0"/>
        <w:rPr>
          <w:rFonts w:ascii="Times New Roman" w:hAnsi="Times New Roman" w:cs="Times New Roman"/>
          <w:i/>
          <w:iCs/>
          <w:sz w:val="24"/>
          <w:szCs w:val="24"/>
        </w:rPr>
      </w:pPr>
    </w:p>
    <w:p w:rsidR="002C5025" w:rsidRDefault="002C5025">
      <w:pPr>
        <w:pStyle w:val="BodyText"/>
        <w:kinsoku w:val="0"/>
        <w:overflowPunct w:val="0"/>
        <w:ind w:left="100" w:right="115"/>
        <w:jc w:val="both"/>
        <w:rPr>
          <w:rFonts w:ascii="Times New Roman" w:hAnsi="Times New Roman" w:cs="Times New Roman"/>
          <w:sz w:val="24"/>
          <w:szCs w:val="24"/>
        </w:rPr>
      </w:pPr>
      <w:r>
        <w:rPr>
          <w:rFonts w:ascii="Times New Roman" w:hAnsi="Times New Roman" w:cs="Times New Roman"/>
          <w:sz w:val="24"/>
          <w:szCs w:val="24"/>
        </w:rPr>
        <w:t>Lastly, it would be beneficial for EOHHS to establish transparency requirements regarding FSS funds. Specifically we recommend that EOHHS require each ACO to produce an annual public report describing how they determined their members’ social services needs and how they are allocated</w:t>
      </w:r>
      <w:r>
        <w:rPr>
          <w:rFonts w:ascii="Times New Roman" w:hAnsi="Times New Roman" w:cs="Times New Roman"/>
          <w:spacing w:val="-2"/>
          <w:sz w:val="24"/>
          <w:szCs w:val="24"/>
        </w:rPr>
        <w:t xml:space="preserve"> </w:t>
      </w:r>
      <w:r>
        <w:rPr>
          <w:rFonts w:ascii="Times New Roman" w:hAnsi="Times New Roman" w:cs="Times New Roman"/>
          <w:sz w:val="24"/>
          <w:szCs w:val="24"/>
        </w:rPr>
        <w:t>FSS</w:t>
      </w:r>
      <w:r>
        <w:rPr>
          <w:rFonts w:ascii="Times New Roman" w:hAnsi="Times New Roman" w:cs="Times New Roman"/>
          <w:spacing w:val="-3"/>
          <w:sz w:val="24"/>
          <w:szCs w:val="24"/>
        </w:rPr>
        <w:t xml:space="preserve"> </w:t>
      </w:r>
      <w:r>
        <w:rPr>
          <w:rFonts w:ascii="Times New Roman" w:hAnsi="Times New Roman" w:cs="Times New Roman"/>
          <w:sz w:val="24"/>
          <w:szCs w:val="24"/>
        </w:rPr>
        <w:t>funds</w:t>
      </w:r>
      <w:r>
        <w:rPr>
          <w:rFonts w:ascii="Times New Roman" w:hAnsi="Times New Roman" w:cs="Times New Roman"/>
          <w:spacing w:val="-4"/>
          <w:sz w:val="24"/>
          <w:szCs w:val="24"/>
        </w:rPr>
        <w:t xml:space="preserve"> </w:t>
      </w:r>
      <w:r>
        <w:rPr>
          <w:rFonts w:ascii="Times New Roman" w:hAnsi="Times New Roman" w:cs="Times New Roman"/>
          <w:sz w:val="24"/>
          <w:szCs w:val="24"/>
        </w:rPr>
        <w:t>to</w:t>
      </w:r>
      <w:r>
        <w:rPr>
          <w:rFonts w:ascii="Times New Roman" w:hAnsi="Times New Roman" w:cs="Times New Roman"/>
          <w:spacing w:val="-3"/>
          <w:sz w:val="24"/>
          <w:szCs w:val="24"/>
        </w:rPr>
        <w:t xml:space="preserve"> </w:t>
      </w:r>
      <w:r>
        <w:rPr>
          <w:rFonts w:ascii="Times New Roman" w:hAnsi="Times New Roman" w:cs="Times New Roman"/>
          <w:sz w:val="24"/>
          <w:szCs w:val="24"/>
        </w:rPr>
        <w:t>meet</w:t>
      </w:r>
      <w:r>
        <w:rPr>
          <w:rFonts w:ascii="Times New Roman" w:hAnsi="Times New Roman" w:cs="Times New Roman"/>
          <w:spacing w:val="-3"/>
          <w:sz w:val="24"/>
          <w:szCs w:val="24"/>
        </w:rPr>
        <w:t xml:space="preserve"> </w:t>
      </w:r>
      <w:r>
        <w:rPr>
          <w:rFonts w:ascii="Times New Roman" w:hAnsi="Times New Roman" w:cs="Times New Roman"/>
          <w:sz w:val="24"/>
          <w:szCs w:val="24"/>
        </w:rPr>
        <w:t>those</w:t>
      </w:r>
      <w:r>
        <w:rPr>
          <w:rFonts w:ascii="Times New Roman" w:hAnsi="Times New Roman" w:cs="Times New Roman"/>
          <w:spacing w:val="-4"/>
          <w:sz w:val="24"/>
          <w:szCs w:val="24"/>
        </w:rPr>
        <w:t xml:space="preserve"> </w:t>
      </w:r>
      <w:r>
        <w:rPr>
          <w:rFonts w:ascii="Times New Roman" w:hAnsi="Times New Roman" w:cs="Times New Roman"/>
          <w:sz w:val="24"/>
          <w:szCs w:val="24"/>
        </w:rPr>
        <w:t>needs.</w:t>
      </w:r>
      <w:r>
        <w:rPr>
          <w:rFonts w:ascii="Times New Roman" w:hAnsi="Times New Roman" w:cs="Times New Roman"/>
          <w:spacing w:val="-1"/>
          <w:sz w:val="24"/>
          <w:szCs w:val="24"/>
        </w:rPr>
        <w:t xml:space="preserve"> </w:t>
      </w:r>
      <w:r>
        <w:rPr>
          <w:rFonts w:ascii="Times New Roman" w:hAnsi="Times New Roman" w:cs="Times New Roman"/>
          <w:sz w:val="24"/>
          <w:szCs w:val="24"/>
        </w:rPr>
        <w:t>By</w:t>
      </w:r>
      <w:r>
        <w:rPr>
          <w:rFonts w:ascii="Times New Roman" w:hAnsi="Times New Roman" w:cs="Times New Roman"/>
          <w:spacing w:val="-6"/>
          <w:sz w:val="24"/>
          <w:szCs w:val="24"/>
        </w:rPr>
        <w:t xml:space="preserve"> </w:t>
      </w:r>
      <w:r>
        <w:rPr>
          <w:rFonts w:ascii="Times New Roman" w:hAnsi="Times New Roman" w:cs="Times New Roman"/>
          <w:sz w:val="24"/>
          <w:szCs w:val="24"/>
        </w:rPr>
        <w:t>doing</w:t>
      </w:r>
      <w:r>
        <w:rPr>
          <w:rFonts w:ascii="Times New Roman" w:hAnsi="Times New Roman" w:cs="Times New Roman"/>
          <w:spacing w:val="-3"/>
          <w:sz w:val="24"/>
          <w:szCs w:val="24"/>
        </w:rPr>
        <w:t xml:space="preserve"> </w:t>
      </w:r>
      <w:r>
        <w:rPr>
          <w:rFonts w:ascii="Times New Roman" w:hAnsi="Times New Roman" w:cs="Times New Roman"/>
          <w:sz w:val="24"/>
          <w:szCs w:val="24"/>
        </w:rPr>
        <w:t>so,</w:t>
      </w:r>
      <w:r>
        <w:rPr>
          <w:rFonts w:ascii="Times New Roman" w:hAnsi="Times New Roman" w:cs="Times New Roman"/>
          <w:spacing w:val="-4"/>
          <w:sz w:val="24"/>
          <w:szCs w:val="24"/>
        </w:rPr>
        <w:t xml:space="preserve"> </w:t>
      </w:r>
      <w:r>
        <w:rPr>
          <w:rFonts w:ascii="Times New Roman" w:hAnsi="Times New Roman" w:cs="Times New Roman"/>
          <w:sz w:val="24"/>
          <w:szCs w:val="24"/>
        </w:rPr>
        <w:t>EOHHS</w:t>
      </w:r>
      <w:r>
        <w:rPr>
          <w:rFonts w:ascii="Times New Roman" w:hAnsi="Times New Roman" w:cs="Times New Roman"/>
          <w:spacing w:val="-1"/>
          <w:sz w:val="24"/>
          <w:szCs w:val="24"/>
        </w:rPr>
        <w:t xml:space="preserve"> </w:t>
      </w:r>
      <w:r>
        <w:rPr>
          <w:rFonts w:ascii="Times New Roman" w:hAnsi="Times New Roman" w:cs="Times New Roman"/>
          <w:sz w:val="24"/>
          <w:szCs w:val="24"/>
        </w:rPr>
        <w:t>can</w:t>
      </w:r>
      <w:r>
        <w:rPr>
          <w:rFonts w:ascii="Times New Roman" w:hAnsi="Times New Roman" w:cs="Times New Roman"/>
          <w:spacing w:val="-2"/>
          <w:sz w:val="24"/>
          <w:szCs w:val="24"/>
        </w:rPr>
        <w:t xml:space="preserve"> </w:t>
      </w:r>
      <w:r>
        <w:rPr>
          <w:rFonts w:ascii="Times New Roman" w:hAnsi="Times New Roman" w:cs="Times New Roman"/>
          <w:sz w:val="24"/>
          <w:szCs w:val="24"/>
        </w:rPr>
        <w:t>create greater</w:t>
      </w:r>
      <w:r>
        <w:rPr>
          <w:rFonts w:ascii="Times New Roman" w:hAnsi="Times New Roman" w:cs="Times New Roman"/>
          <w:spacing w:val="-5"/>
          <w:sz w:val="24"/>
          <w:szCs w:val="24"/>
        </w:rPr>
        <w:t xml:space="preserve"> </w:t>
      </w:r>
      <w:r>
        <w:rPr>
          <w:rFonts w:ascii="Times New Roman" w:hAnsi="Times New Roman" w:cs="Times New Roman"/>
          <w:sz w:val="24"/>
          <w:szCs w:val="24"/>
        </w:rPr>
        <w:t>oversight</w:t>
      </w:r>
      <w:r>
        <w:rPr>
          <w:rFonts w:ascii="Times New Roman" w:hAnsi="Times New Roman" w:cs="Times New Roman"/>
          <w:spacing w:val="-3"/>
          <w:sz w:val="24"/>
          <w:szCs w:val="24"/>
        </w:rPr>
        <w:t xml:space="preserve"> </w:t>
      </w:r>
      <w:r>
        <w:rPr>
          <w:rFonts w:ascii="Times New Roman" w:hAnsi="Times New Roman" w:cs="Times New Roman"/>
          <w:sz w:val="24"/>
          <w:szCs w:val="24"/>
        </w:rPr>
        <w:t>of</w:t>
      </w:r>
      <w:r>
        <w:rPr>
          <w:rFonts w:ascii="Times New Roman" w:hAnsi="Times New Roman" w:cs="Times New Roman"/>
          <w:spacing w:val="-5"/>
          <w:sz w:val="24"/>
          <w:szCs w:val="24"/>
        </w:rPr>
        <w:t xml:space="preserve"> </w:t>
      </w:r>
      <w:r>
        <w:rPr>
          <w:rFonts w:ascii="Times New Roman" w:hAnsi="Times New Roman" w:cs="Times New Roman"/>
          <w:sz w:val="24"/>
          <w:szCs w:val="24"/>
        </w:rPr>
        <w:t>the FSS program and motivate ACOs to carefully tailor FSS funds to member</w:t>
      </w:r>
      <w:r>
        <w:rPr>
          <w:rFonts w:ascii="Times New Roman" w:hAnsi="Times New Roman" w:cs="Times New Roman"/>
          <w:spacing w:val="-14"/>
          <w:sz w:val="24"/>
          <w:szCs w:val="24"/>
        </w:rPr>
        <w:t xml:space="preserve"> </w:t>
      </w:r>
      <w:r>
        <w:rPr>
          <w:rFonts w:ascii="Times New Roman" w:hAnsi="Times New Roman" w:cs="Times New Roman"/>
          <w:sz w:val="24"/>
          <w:szCs w:val="24"/>
        </w:rPr>
        <w:t>needs.</w:t>
      </w:r>
    </w:p>
    <w:p w:rsidR="002C5025" w:rsidRDefault="002C5025">
      <w:pPr>
        <w:pStyle w:val="BodyText"/>
        <w:kinsoku w:val="0"/>
        <w:overflowPunct w:val="0"/>
        <w:spacing w:before="6"/>
        <w:rPr>
          <w:rFonts w:ascii="Times New Roman" w:hAnsi="Times New Roman" w:cs="Times New Roman"/>
          <w:sz w:val="29"/>
          <w:szCs w:val="29"/>
        </w:rPr>
      </w:pPr>
    </w:p>
    <w:p w:rsidR="002C5025" w:rsidRDefault="002C5025">
      <w:pPr>
        <w:pStyle w:val="BodyText"/>
        <w:kinsoku w:val="0"/>
        <w:overflowPunct w:val="0"/>
        <w:spacing w:before="73"/>
        <w:ind w:right="17"/>
        <w:jc w:val="center"/>
        <w:rPr>
          <w:rFonts w:ascii="Times New Roman" w:hAnsi="Times New Roman" w:cs="Times New Roman"/>
        </w:rPr>
      </w:pPr>
      <w:r>
        <w:rPr>
          <w:rFonts w:ascii="Times New Roman" w:hAnsi="Times New Roman" w:cs="Times New Roman"/>
        </w:rPr>
        <w:t>4</w:t>
      </w:r>
    </w:p>
    <w:p w:rsidR="002C5025" w:rsidRDefault="002C5025">
      <w:pPr>
        <w:pStyle w:val="BodyText"/>
        <w:kinsoku w:val="0"/>
        <w:overflowPunct w:val="0"/>
        <w:spacing w:before="73"/>
        <w:ind w:right="17"/>
        <w:jc w:val="center"/>
        <w:rPr>
          <w:rFonts w:ascii="Times New Roman" w:hAnsi="Times New Roman" w:cs="Times New Roman"/>
        </w:rPr>
        <w:sectPr w:rsidR="002C5025">
          <w:pgSz w:w="12240" w:h="15840"/>
          <w:pgMar w:top="1500" w:right="1320" w:bottom="280" w:left="1340" w:header="720" w:footer="720" w:gutter="0"/>
          <w:cols w:space="720"/>
          <w:noEndnote/>
        </w:sectPr>
      </w:pPr>
    </w:p>
    <w:p w:rsidR="002C5025" w:rsidRDefault="002C5025">
      <w:pPr>
        <w:pStyle w:val="BodyText"/>
        <w:kinsoku w:val="0"/>
        <w:overflowPunct w:val="0"/>
        <w:spacing w:before="10"/>
        <w:rPr>
          <w:rFonts w:ascii="Times New Roman" w:hAnsi="Times New Roman" w:cs="Times New Roman"/>
          <w:sz w:val="11"/>
          <w:szCs w:val="11"/>
        </w:rPr>
      </w:pPr>
    </w:p>
    <w:p w:rsidR="002C5025" w:rsidRDefault="002C5025">
      <w:pPr>
        <w:pStyle w:val="ListParagraph"/>
        <w:numPr>
          <w:ilvl w:val="0"/>
          <w:numId w:val="71"/>
        </w:numPr>
        <w:tabs>
          <w:tab w:val="left" w:pos="841"/>
        </w:tabs>
        <w:kinsoku w:val="0"/>
        <w:overflowPunct w:val="0"/>
        <w:spacing w:before="69"/>
        <w:ind w:right="117"/>
        <w:rPr>
          <w:b/>
          <w:bCs/>
        </w:rPr>
      </w:pPr>
      <w:r>
        <w:rPr>
          <w:b/>
          <w:bCs/>
        </w:rPr>
        <w:t>Emphasize the role of food and nutrition services in helping individuals with substance use disorders recover and maintain long-term</w:t>
      </w:r>
      <w:r>
        <w:rPr>
          <w:b/>
          <w:bCs/>
          <w:spacing w:val="-18"/>
        </w:rPr>
        <w:t xml:space="preserve"> </w:t>
      </w:r>
      <w:r>
        <w:rPr>
          <w:b/>
          <w:bCs/>
        </w:rPr>
        <w:t>abstinence.</w:t>
      </w:r>
    </w:p>
    <w:p w:rsidR="002C5025" w:rsidRDefault="002C5025">
      <w:pPr>
        <w:pStyle w:val="BodyText"/>
        <w:kinsoku w:val="0"/>
        <w:overflowPunct w:val="0"/>
        <w:spacing w:before="6"/>
        <w:rPr>
          <w:rFonts w:ascii="Times New Roman" w:hAnsi="Times New Roman" w:cs="Times New Roman"/>
          <w:b/>
          <w:bCs/>
          <w:sz w:val="23"/>
          <w:szCs w:val="23"/>
        </w:rPr>
      </w:pPr>
    </w:p>
    <w:p w:rsidR="002C5025" w:rsidRDefault="002C5025">
      <w:pPr>
        <w:pStyle w:val="BodyText"/>
        <w:kinsoku w:val="0"/>
        <w:overflowPunct w:val="0"/>
        <w:ind w:left="120" w:right="116"/>
        <w:jc w:val="both"/>
        <w:rPr>
          <w:rFonts w:ascii="Times New Roman" w:hAnsi="Times New Roman" w:cs="Times New Roman"/>
          <w:sz w:val="24"/>
          <w:szCs w:val="24"/>
        </w:rPr>
      </w:pPr>
      <w:r>
        <w:rPr>
          <w:rFonts w:ascii="Times New Roman" w:hAnsi="Times New Roman" w:cs="Times New Roman"/>
          <w:sz w:val="24"/>
          <w:szCs w:val="24"/>
        </w:rPr>
        <w:t>In the Request, EOHHS demonstrates a strong commitment to enhancing services for people coping with substance use disorders (SUDs). We applaud EOHHS for its efforts to better address SUDs and ask EOHHS to encourage ACOs to consider including food and nutrition</w:t>
      </w:r>
      <w:r>
        <w:rPr>
          <w:rFonts w:ascii="Times New Roman" w:hAnsi="Times New Roman" w:cs="Times New Roman"/>
          <w:spacing w:val="-16"/>
          <w:sz w:val="24"/>
          <w:szCs w:val="24"/>
        </w:rPr>
        <w:t xml:space="preserve"> </w:t>
      </w:r>
      <w:r>
        <w:rPr>
          <w:rFonts w:ascii="Times New Roman" w:hAnsi="Times New Roman" w:cs="Times New Roman"/>
          <w:sz w:val="24"/>
          <w:szCs w:val="24"/>
        </w:rPr>
        <w:t>interventions as a critical facet of their SUD strategies. Food insecurity among individuals with SUDs leads to poor health outcomes from both individual and public health perspectives (see studies cited below). As a result, food and nutrition services can help these individuals to recover and</w:t>
      </w:r>
      <w:r>
        <w:rPr>
          <w:rFonts w:ascii="Times New Roman" w:hAnsi="Times New Roman" w:cs="Times New Roman"/>
          <w:spacing w:val="-26"/>
          <w:sz w:val="24"/>
          <w:szCs w:val="24"/>
        </w:rPr>
        <w:t xml:space="preserve"> </w:t>
      </w:r>
      <w:r>
        <w:rPr>
          <w:rFonts w:ascii="Times New Roman" w:hAnsi="Times New Roman" w:cs="Times New Roman"/>
          <w:sz w:val="24"/>
          <w:szCs w:val="24"/>
        </w:rPr>
        <w:t>maintain long-term</w:t>
      </w:r>
      <w:r>
        <w:rPr>
          <w:rFonts w:ascii="Times New Roman" w:hAnsi="Times New Roman" w:cs="Times New Roman"/>
          <w:spacing w:val="-6"/>
          <w:sz w:val="24"/>
          <w:szCs w:val="24"/>
        </w:rPr>
        <w:t xml:space="preserve"> </w:t>
      </w:r>
      <w:r>
        <w:rPr>
          <w:rFonts w:ascii="Times New Roman" w:hAnsi="Times New Roman" w:cs="Times New Roman"/>
          <w:sz w:val="24"/>
          <w:szCs w:val="24"/>
        </w:rPr>
        <w:t>abstinence.</w:t>
      </w:r>
    </w:p>
    <w:p w:rsidR="002C5025" w:rsidRDefault="002C5025">
      <w:pPr>
        <w:pStyle w:val="BodyText"/>
        <w:kinsoku w:val="0"/>
        <w:overflowPunct w:val="0"/>
        <w:spacing w:before="9"/>
        <w:rPr>
          <w:rFonts w:ascii="Times New Roman" w:hAnsi="Times New Roman" w:cs="Times New Roman"/>
        </w:rPr>
      </w:pPr>
    </w:p>
    <w:p w:rsidR="002C5025" w:rsidRDefault="002C5025">
      <w:pPr>
        <w:pStyle w:val="BodyText"/>
        <w:kinsoku w:val="0"/>
        <w:overflowPunct w:val="0"/>
        <w:spacing w:line="230" w:lineRule="auto"/>
        <w:ind w:left="120" w:right="114"/>
        <w:jc w:val="both"/>
        <w:rPr>
          <w:rFonts w:ascii="Times New Roman" w:hAnsi="Times New Roman" w:cs="Times New Roman"/>
          <w:position w:val="9"/>
          <w:sz w:val="16"/>
          <w:szCs w:val="16"/>
        </w:rPr>
      </w:pPr>
      <w:r>
        <w:rPr>
          <w:rFonts w:ascii="Times New Roman" w:hAnsi="Times New Roman" w:cs="Times New Roman"/>
          <w:sz w:val="24"/>
          <w:szCs w:val="24"/>
        </w:rPr>
        <w:t>From a nutritional standpoint, individuals with SUDs are more likely to be food insecure.</w:t>
      </w:r>
      <w:r>
        <w:rPr>
          <w:rFonts w:ascii="Times New Roman" w:hAnsi="Times New Roman" w:cs="Times New Roman"/>
          <w:position w:val="9"/>
          <w:sz w:val="16"/>
          <w:szCs w:val="16"/>
        </w:rPr>
        <w:t xml:space="preserve">6 </w:t>
      </w:r>
      <w:r>
        <w:rPr>
          <w:rFonts w:ascii="Times New Roman" w:hAnsi="Times New Roman" w:cs="Times New Roman"/>
          <w:sz w:val="24"/>
          <w:szCs w:val="24"/>
        </w:rPr>
        <w:t>Food insecurity for these individuals tends to become “increasingly severe.”</w:t>
      </w:r>
      <w:r>
        <w:rPr>
          <w:rFonts w:ascii="Times New Roman" w:hAnsi="Times New Roman" w:cs="Times New Roman"/>
          <w:position w:val="9"/>
          <w:sz w:val="16"/>
          <w:szCs w:val="16"/>
        </w:rPr>
        <w:t xml:space="preserve">7 </w:t>
      </w:r>
      <w:r>
        <w:rPr>
          <w:rFonts w:ascii="Times New Roman" w:hAnsi="Times New Roman" w:cs="Times New Roman"/>
          <w:sz w:val="24"/>
          <w:szCs w:val="24"/>
        </w:rPr>
        <w:t>While individuals with SUDs have a greater risk of malnutrition, the risk is greatest for injection drug users.</w:t>
      </w:r>
      <w:r>
        <w:rPr>
          <w:rFonts w:ascii="Times New Roman" w:hAnsi="Times New Roman" w:cs="Times New Roman"/>
          <w:position w:val="9"/>
          <w:sz w:val="16"/>
          <w:szCs w:val="16"/>
        </w:rPr>
        <w:t xml:space="preserve">8 </w:t>
      </w:r>
      <w:r>
        <w:rPr>
          <w:rFonts w:ascii="Times New Roman" w:hAnsi="Times New Roman" w:cs="Times New Roman"/>
          <w:sz w:val="24"/>
          <w:szCs w:val="24"/>
        </w:rPr>
        <w:t>Vitamin deficiencies experienced by people with SUDs as a result of food insecurity can lead to negative emotions such as “apathy, anxiety, irritability, and depression.”</w:t>
      </w:r>
      <w:r>
        <w:rPr>
          <w:rFonts w:ascii="Times New Roman" w:hAnsi="Times New Roman" w:cs="Times New Roman"/>
          <w:position w:val="9"/>
          <w:sz w:val="16"/>
          <w:szCs w:val="16"/>
        </w:rPr>
        <w:t>9</w:t>
      </w:r>
    </w:p>
    <w:p w:rsidR="002C5025" w:rsidRDefault="002C5025">
      <w:pPr>
        <w:pStyle w:val="BodyText"/>
        <w:kinsoku w:val="0"/>
        <w:overflowPunct w:val="0"/>
        <w:spacing w:before="8"/>
        <w:rPr>
          <w:rFonts w:ascii="Times New Roman" w:hAnsi="Times New Roman" w:cs="Times New Roman"/>
          <w:sz w:val="23"/>
          <w:szCs w:val="23"/>
        </w:rPr>
      </w:pPr>
    </w:p>
    <w:p w:rsidR="002C5025" w:rsidRDefault="002C5025">
      <w:pPr>
        <w:pStyle w:val="BodyText"/>
        <w:kinsoku w:val="0"/>
        <w:overflowPunct w:val="0"/>
        <w:spacing w:line="237" w:lineRule="auto"/>
        <w:ind w:left="120" w:right="117"/>
        <w:jc w:val="both"/>
        <w:rPr>
          <w:rFonts w:ascii="Times New Roman" w:hAnsi="Times New Roman" w:cs="Times New Roman"/>
          <w:sz w:val="24"/>
          <w:szCs w:val="24"/>
        </w:rPr>
      </w:pPr>
      <w:r>
        <w:rPr>
          <w:rFonts w:ascii="Times New Roman" w:hAnsi="Times New Roman" w:cs="Times New Roman"/>
          <w:sz w:val="24"/>
          <w:szCs w:val="24"/>
        </w:rPr>
        <w:t>In addition, because individuals with SUDs who are food insecure tend to make riskier choices, food</w:t>
      </w:r>
      <w:r>
        <w:rPr>
          <w:rFonts w:ascii="Times New Roman" w:hAnsi="Times New Roman" w:cs="Times New Roman"/>
          <w:spacing w:val="-6"/>
          <w:sz w:val="24"/>
          <w:szCs w:val="24"/>
        </w:rPr>
        <w:t xml:space="preserve"> </w:t>
      </w:r>
      <w:r>
        <w:rPr>
          <w:rFonts w:ascii="Times New Roman" w:hAnsi="Times New Roman" w:cs="Times New Roman"/>
          <w:sz w:val="24"/>
          <w:szCs w:val="24"/>
        </w:rPr>
        <w:t>insecurity</w:t>
      </w:r>
      <w:r>
        <w:rPr>
          <w:rFonts w:ascii="Times New Roman" w:hAnsi="Times New Roman" w:cs="Times New Roman"/>
          <w:spacing w:val="-8"/>
          <w:sz w:val="24"/>
          <w:szCs w:val="24"/>
        </w:rPr>
        <w:t xml:space="preserve"> </w:t>
      </w:r>
      <w:r>
        <w:rPr>
          <w:rFonts w:ascii="Times New Roman" w:hAnsi="Times New Roman" w:cs="Times New Roman"/>
          <w:sz w:val="24"/>
          <w:szCs w:val="24"/>
        </w:rPr>
        <w:t>also</w:t>
      </w:r>
      <w:r>
        <w:rPr>
          <w:rFonts w:ascii="Times New Roman" w:hAnsi="Times New Roman" w:cs="Times New Roman"/>
          <w:spacing w:val="-5"/>
          <w:sz w:val="24"/>
          <w:szCs w:val="24"/>
        </w:rPr>
        <w:t xml:space="preserve"> </w:t>
      </w:r>
      <w:r>
        <w:rPr>
          <w:rFonts w:ascii="Times New Roman" w:hAnsi="Times New Roman" w:cs="Times New Roman"/>
          <w:sz w:val="24"/>
          <w:szCs w:val="24"/>
        </w:rPr>
        <w:t>impacts</w:t>
      </w:r>
      <w:r>
        <w:rPr>
          <w:rFonts w:ascii="Times New Roman" w:hAnsi="Times New Roman" w:cs="Times New Roman"/>
          <w:spacing w:val="-5"/>
          <w:sz w:val="24"/>
          <w:szCs w:val="24"/>
        </w:rPr>
        <w:t xml:space="preserve"> </w:t>
      </w:r>
      <w:r>
        <w:rPr>
          <w:rFonts w:ascii="Times New Roman" w:hAnsi="Times New Roman" w:cs="Times New Roman"/>
          <w:sz w:val="24"/>
          <w:szCs w:val="24"/>
        </w:rPr>
        <w:t>the</w:t>
      </w:r>
      <w:r>
        <w:rPr>
          <w:rFonts w:ascii="Times New Roman" w:hAnsi="Times New Roman" w:cs="Times New Roman"/>
          <w:spacing w:val="-6"/>
          <w:sz w:val="24"/>
          <w:szCs w:val="24"/>
        </w:rPr>
        <w:t xml:space="preserve"> </w:t>
      </w:r>
      <w:r>
        <w:rPr>
          <w:rFonts w:ascii="Times New Roman" w:hAnsi="Times New Roman" w:cs="Times New Roman"/>
          <w:sz w:val="24"/>
          <w:szCs w:val="24"/>
        </w:rPr>
        <w:t>public</w:t>
      </w:r>
      <w:r>
        <w:rPr>
          <w:rFonts w:ascii="Times New Roman" w:hAnsi="Times New Roman" w:cs="Times New Roman"/>
          <w:spacing w:val="-6"/>
          <w:sz w:val="24"/>
          <w:szCs w:val="24"/>
        </w:rPr>
        <w:t xml:space="preserve"> </w:t>
      </w:r>
      <w:r>
        <w:rPr>
          <w:rFonts w:ascii="Times New Roman" w:hAnsi="Times New Roman" w:cs="Times New Roman"/>
          <w:sz w:val="24"/>
          <w:szCs w:val="24"/>
        </w:rPr>
        <w:t>health.</w:t>
      </w:r>
      <w:r>
        <w:rPr>
          <w:rFonts w:ascii="Times New Roman" w:hAnsi="Times New Roman" w:cs="Times New Roman"/>
          <w:spacing w:val="-5"/>
          <w:sz w:val="24"/>
          <w:szCs w:val="24"/>
        </w:rPr>
        <w:t xml:space="preserve"> </w:t>
      </w:r>
      <w:r>
        <w:rPr>
          <w:rFonts w:ascii="Times New Roman" w:hAnsi="Times New Roman" w:cs="Times New Roman"/>
          <w:sz w:val="24"/>
          <w:szCs w:val="24"/>
        </w:rPr>
        <w:t>Several</w:t>
      </w:r>
      <w:r>
        <w:rPr>
          <w:rFonts w:ascii="Times New Roman" w:hAnsi="Times New Roman" w:cs="Times New Roman"/>
          <w:spacing w:val="-5"/>
          <w:sz w:val="24"/>
          <w:szCs w:val="24"/>
        </w:rPr>
        <w:t xml:space="preserve"> </w:t>
      </w:r>
      <w:r>
        <w:rPr>
          <w:rFonts w:ascii="Times New Roman" w:hAnsi="Times New Roman" w:cs="Times New Roman"/>
          <w:sz w:val="24"/>
          <w:szCs w:val="24"/>
        </w:rPr>
        <w:t>studies</w:t>
      </w:r>
      <w:r>
        <w:rPr>
          <w:rFonts w:ascii="Times New Roman" w:hAnsi="Times New Roman" w:cs="Times New Roman"/>
          <w:spacing w:val="-5"/>
          <w:sz w:val="24"/>
          <w:szCs w:val="24"/>
        </w:rPr>
        <w:t xml:space="preserve"> </w:t>
      </w:r>
      <w:r>
        <w:rPr>
          <w:rFonts w:ascii="Times New Roman" w:hAnsi="Times New Roman" w:cs="Times New Roman"/>
          <w:sz w:val="24"/>
          <w:szCs w:val="24"/>
        </w:rPr>
        <w:t>indicate</w:t>
      </w:r>
      <w:r>
        <w:rPr>
          <w:rFonts w:ascii="Times New Roman" w:hAnsi="Times New Roman" w:cs="Times New Roman"/>
          <w:spacing w:val="-6"/>
          <w:sz w:val="24"/>
          <w:szCs w:val="24"/>
        </w:rPr>
        <w:t xml:space="preserve"> </w:t>
      </w:r>
      <w:r>
        <w:rPr>
          <w:rFonts w:ascii="Times New Roman" w:hAnsi="Times New Roman" w:cs="Times New Roman"/>
          <w:sz w:val="24"/>
          <w:szCs w:val="24"/>
        </w:rPr>
        <w:t>that</w:t>
      </w:r>
      <w:r>
        <w:rPr>
          <w:rFonts w:ascii="Times New Roman" w:hAnsi="Times New Roman" w:cs="Times New Roman"/>
          <w:spacing w:val="-3"/>
          <w:sz w:val="24"/>
          <w:szCs w:val="24"/>
        </w:rPr>
        <w:t xml:space="preserve"> </w:t>
      </w:r>
      <w:r>
        <w:rPr>
          <w:rFonts w:ascii="Times New Roman" w:hAnsi="Times New Roman" w:cs="Times New Roman"/>
          <w:sz w:val="24"/>
          <w:szCs w:val="24"/>
        </w:rPr>
        <w:t>individuals</w:t>
      </w:r>
      <w:r>
        <w:rPr>
          <w:rFonts w:ascii="Times New Roman" w:hAnsi="Times New Roman" w:cs="Times New Roman"/>
          <w:spacing w:val="-5"/>
          <w:sz w:val="24"/>
          <w:szCs w:val="24"/>
        </w:rPr>
        <w:t xml:space="preserve"> </w:t>
      </w:r>
      <w:r>
        <w:rPr>
          <w:rFonts w:ascii="Times New Roman" w:hAnsi="Times New Roman" w:cs="Times New Roman"/>
          <w:sz w:val="24"/>
          <w:szCs w:val="24"/>
        </w:rPr>
        <w:t>with</w:t>
      </w:r>
      <w:r>
        <w:rPr>
          <w:rFonts w:ascii="Times New Roman" w:hAnsi="Times New Roman" w:cs="Times New Roman"/>
          <w:spacing w:val="-5"/>
          <w:sz w:val="24"/>
          <w:szCs w:val="24"/>
        </w:rPr>
        <w:t xml:space="preserve"> </w:t>
      </w:r>
      <w:r>
        <w:rPr>
          <w:rFonts w:ascii="Times New Roman" w:hAnsi="Times New Roman" w:cs="Times New Roman"/>
          <w:sz w:val="24"/>
          <w:szCs w:val="24"/>
        </w:rPr>
        <w:t>SUDs who are food insecure have higher chances of engaging in needle sharing</w:t>
      </w:r>
      <w:r>
        <w:rPr>
          <w:rFonts w:ascii="Times New Roman" w:hAnsi="Times New Roman" w:cs="Times New Roman"/>
          <w:position w:val="9"/>
          <w:sz w:val="16"/>
          <w:szCs w:val="16"/>
        </w:rPr>
        <w:t xml:space="preserve">10 </w:t>
      </w:r>
      <w:r>
        <w:rPr>
          <w:rFonts w:ascii="Times New Roman" w:hAnsi="Times New Roman" w:cs="Times New Roman"/>
          <w:sz w:val="24"/>
          <w:szCs w:val="24"/>
        </w:rPr>
        <w:t>and unprotected</w:t>
      </w:r>
      <w:r>
        <w:rPr>
          <w:rFonts w:ascii="Times New Roman" w:hAnsi="Times New Roman" w:cs="Times New Roman"/>
          <w:spacing w:val="-25"/>
          <w:sz w:val="24"/>
          <w:szCs w:val="24"/>
        </w:rPr>
        <w:t xml:space="preserve"> </w:t>
      </w:r>
      <w:r>
        <w:rPr>
          <w:rFonts w:ascii="Times New Roman" w:hAnsi="Times New Roman" w:cs="Times New Roman"/>
          <w:sz w:val="24"/>
          <w:szCs w:val="24"/>
        </w:rPr>
        <w:t>sex.</w:t>
      </w:r>
      <w:r>
        <w:rPr>
          <w:rFonts w:ascii="Times New Roman" w:hAnsi="Times New Roman" w:cs="Times New Roman"/>
          <w:position w:val="9"/>
          <w:sz w:val="16"/>
          <w:szCs w:val="16"/>
        </w:rPr>
        <w:t xml:space="preserve">11 </w:t>
      </w:r>
      <w:r>
        <w:rPr>
          <w:rFonts w:ascii="Times New Roman" w:hAnsi="Times New Roman" w:cs="Times New Roman"/>
          <w:sz w:val="24"/>
          <w:szCs w:val="24"/>
        </w:rPr>
        <w:t>These activities increase the risk of disease transmission. This increased risk of transmission combined with reduced health status of individuals with SUDs means they are more likely to contract disease and to experience rapid disease progression, health complications, and negative treatment</w:t>
      </w:r>
      <w:r>
        <w:rPr>
          <w:rFonts w:ascii="Times New Roman" w:hAnsi="Times New Roman" w:cs="Times New Roman"/>
          <w:spacing w:val="-6"/>
          <w:sz w:val="24"/>
          <w:szCs w:val="24"/>
        </w:rPr>
        <w:t xml:space="preserve"> </w:t>
      </w:r>
      <w:r>
        <w:rPr>
          <w:rFonts w:ascii="Times New Roman" w:hAnsi="Times New Roman" w:cs="Times New Roman"/>
          <w:sz w:val="24"/>
          <w:szCs w:val="24"/>
        </w:rPr>
        <w:t>outcomes.</w:t>
      </w:r>
      <w:r>
        <w:rPr>
          <w:rFonts w:ascii="Times New Roman" w:hAnsi="Times New Roman" w:cs="Times New Roman"/>
          <w:position w:val="9"/>
          <w:sz w:val="16"/>
          <w:szCs w:val="16"/>
        </w:rPr>
        <w:t>12</w:t>
      </w:r>
      <w:r>
        <w:rPr>
          <w:rFonts w:ascii="Times New Roman" w:hAnsi="Times New Roman" w:cs="Times New Roman"/>
          <w:spacing w:val="15"/>
          <w:position w:val="9"/>
          <w:sz w:val="16"/>
          <w:szCs w:val="16"/>
        </w:rPr>
        <w:t xml:space="preserve"> </w:t>
      </w:r>
      <w:r>
        <w:rPr>
          <w:rFonts w:ascii="Times New Roman" w:hAnsi="Times New Roman" w:cs="Times New Roman"/>
          <w:sz w:val="24"/>
          <w:szCs w:val="24"/>
        </w:rPr>
        <w:t>Given</w:t>
      </w:r>
      <w:r>
        <w:rPr>
          <w:rFonts w:ascii="Times New Roman" w:hAnsi="Times New Roman" w:cs="Times New Roman"/>
          <w:spacing w:val="-6"/>
          <w:sz w:val="24"/>
          <w:szCs w:val="24"/>
        </w:rPr>
        <w:t xml:space="preserve"> </w:t>
      </w:r>
      <w:r>
        <w:rPr>
          <w:rFonts w:ascii="Times New Roman" w:hAnsi="Times New Roman" w:cs="Times New Roman"/>
          <w:sz w:val="24"/>
          <w:szCs w:val="24"/>
        </w:rPr>
        <w:t>the</w:t>
      </w:r>
      <w:r>
        <w:rPr>
          <w:rFonts w:ascii="Times New Roman" w:hAnsi="Times New Roman" w:cs="Times New Roman"/>
          <w:spacing w:val="-7"/>
          <w:sz w:val="24"/>
          <w:szCs w:val="24"/>
        </w:rPr>
        <w:t xml:space="preserve"> </w:t>
      </w:r>
      <w:r>
        <w:rPr>
          <w:rFonts w:ascii="Times New Roman" w:hAnsi="Times New Roman" w:cs="Times New Roman"/>
          <w:sz w:val="24"/>
          <w:szCs w:val="24"/>
        </w:rPr>
        <w:t>relationship</w:t>
      </w:r>
      <w:r>
        <w:rPr>
          <w:rFonts w:ascii="Times New Roman" w:hAnsi="Times New Roman" w:cs="Times New Roman"/>
          <w:spacing w:val="-6"/>
          <w:sz w:val="24"/>
          <w:szCs w:val="24"/>
        </w:rPr>
        <w:t xml:space="preserve"> </w:t>
      </w:r>
      <w:r>
        <w:rPr>
          <w:rFonts w:ascii="Times New Roman" w:hAnsi="Times New Roman" w:cs="Times New Roman"/>
          <w:sz w:val="24"/>
          <w:szCs w:val="24"/>
        </w:rPr>
        <w:t>between</w:t>
      </w:r>
      <w:r>
        <w:rPr>
          <w:rFonts w:ascii="Times New Roman" w:hAnsi="Times New Roman" w:cs="Times New Roman"/>
          <w:spacing w:val="-6"/>
          <w:sz w:val="24"/>
          <w:szCs w:val="24"/>
        </w:rPr>
        <w:t xml:space="preserve"> </w:t>
      </w:r>
      <w:r>
        <w:rPr>
          <w:rFonts w:ascii="Times New Roman" w:hAnsi="Times New Roman" w:cs="Times New Roman"/>
          <w:sz w:val="24"/>
          <w:szCs w:val="24"/>
        </w:rPr>
        <w:t>food</w:t>
      </w:r>
      <w:r>
        <w:rPr>
          <w:rFonts w:ascii="Times New Roman" w:hAnsi="Times New Roman" w:cs="Times New Roman"/>
          <w:spacing w:val="-7"/>
          <w:sz w:val="24"/>
          <w:szCs w:val="24"/>
        </w:rPr>
        <w:t xml:space="preserve"> </w:t>
      </w:r>
      <w:r>
        <w:rPr>
          <w:rFonts w:ascii="Times New Roman" w:hAnsi="Times New Roman" w:cs="Times New Roman"/>
          <w:sz w:val="24"/>
          <w:szCs w:val="24"/>
        </w:rPr>
        <w:t>insecurity</w:t>
      </w:r>
      <w:r>
        <w:rPr>
          <w:rFonts w:ascii="Times New Roman" w:hAnsi="Times New Roman" w:cs="Times New Roman"/>
          <w:spacing w:val="-9"/>
          <w:sz w:val="24"/>
          <w:szCs w:val="24"/>
        </w:rPr>
        <w:t xml:space="preserve"> </w:t>
      </w:r>
      <w:r>
        <w:rPr>
          <w:rFonts w:ascii="Times New Roman" w:hAnsi="Times New Roman" w:cs="Times New Roman"/>
          <w:sz w:val="24"/>
          <w:szCs w:val="24"/>
        </w:rPr>
        <w:t>and</w:t>
      </w:r>
      <w:r>
        <w:rPr>
          <w:rFonts w:ascii="Times New Roman" w:hAnsi="Times New Roman" w:cs="Times New Roman"/>
          <w:spacing w:val="-6"/>
          <w:sz w:val="24"/>
          <w:szCs w:val="24"/>
        </w:rPr>
        <w:t xml:space="preserve"> </w:t>
      </w:r>
      <w:r>
        <w:rPr>
          <w:rFonts w:ascii="Times New Roman" w:hAnsi="Times New Roman" w:cs="Times New Roman"/>
          <w:sz w:val="24"/>
          <w:szCs w:val="24"/>
        </w:rPr>
        <w:t>SUDs,</w:t>
      </w:r>
      <w:r>
        <w:rPr>
          <w:rFonts w:ascii="Times New Roman" w:hAnsi="Times New Roman" w:cs="Times New Roman"/>
          <w:spacing w:val="-6"/>
          <w:sz w:val="24"/>
          <w:szCs w:val="24"/>
        </w:rPr>
        <w:t xml:space="preserve"> </w:t>
      </w:r>
      <w:r>
        <w:rPr>
          <w:rFonts w:ascii="Times New Roman" w:hAnsi="Times New Roman" w:cs="Times New Roman"/>
          <w:sz w:val="24"/>
          <w:szCs w:val="24"/>
        </w:rPr>
        <w:t>FNS</w:t>
      </w:r>
      <w:r>
        <w:rPr>
          <w:rFonts w:ascii="Times New Roman" w:hAnsi="Times New Roman" w:cs="Times New Roman"/>
          <w:spacing w:val="-3"/>
          <w:sz w:val="24"/>
          <w:szCs w:val="24"/>
        </w:rPr>
        <w:t xml:space="preserve"> </w:t>
      </w:r>
      <w:r>
        <w:rPr>
          <w:rFonts w:ascii="Times New Roman" w:hAnsi="Times New Roman" w:cs="Times New Roman"/>
          <w:sz w:val="24"/>
          <w:szCs w:val="24"/>
        </w:rPr>
        <w:t>can</w:t>
      </w:r>
      <w:r>
        <w:rPr>
          <w:rFonts w:ascii="Times New Roman" w:hAnsi="Times New Roman" w:cs="Times New Roman"/>
          <w:spacing w:val="-6"/>
          <w:sz w:val="24"/>
          <w:szCs w:val="24"/>
        </w:rPr>
        <w:t xml:space="preserve"> </w:t>
      </w:r>
      <w:r>
        <w:rPr>
          <w:rFonts w:ascii="Times New Roman" w:hAnsi="Times New Roman" w:cs="Times New Roman"/>
          <w:sz w:val="24"/>
          <w:szCs w:val="24"/>
        </w:rPr>
        <w:t>play</w:t>
      </w:r>
      <w:r>
        <w:rPr>
          <w:rFonts w:ascii="Times New Roman" w:hAnsi="Times New Roman" w:cs="Times New Roman"/>
          <w:spacing w:val="-9"/>
          <w:sz w:val="24"/>
          <w:szCs w:val="24"/>
        </w:rPr>
        <w:t xml:space="preserve"> </w:t>
      </w:r>
      <w:r>
        <w:rPr>
          <w:rFonts w:ascii="Times New Roman" w:hAnsi="Times New Roman" w:cs="Times New Roman"/>
          <w:sz w:val="24"/>
          <w:szCs w:val="24"/>
        </w:rPr>
        <w:t>an important role in addressing the impact of SUDs in the Commonwealth and should therefore be included part of ACO strategies on this</w:t>
      </w:r>
      <w:r>
        <w:rPr>
          <w:rFonts w:ascii="Times New Roman" w:hAnsi="Times New Roman" w:cs="Times New Roman"/>
          <w:spacing w:val="-8"/>
          <w:sz w:val="24"/>
          <w:szCs w:val="24"/>
        </w:rPr>
        <w:t xml:space="preserve"> </w:t>
      </w:r>
      <w:r>
        <w:rPr>
          <w:rFonts w:ascii="Times New Roman" w:hAnsi="Times New Roman" w:cs="Times New Roman"/>
          <w:sz w:val="24"/>
          <w:szCs w:val="24"/>
        </w:rPr>
        <w:t>issue.</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20" w:right="117"/>
        <w:jc w:val="both"/>
        <w:rPr>
          <w:rFonts w:ascii="Times New Roman" w:hAnsi="Times New Roman" w:cs="Times New Roman"/>
          <w:sz w:val="24"/>
          <w:szCs w:val="24"/>
        </w:rPr>
      </w:pPr>
      <w:r>
        <w:rPr>
          <w:rFonts w:ascii="Times New Roman" w:hAnsi="Times New Roman" w:cs="Times New Roman"/>
          <w:sz w:val="24"/>
          <w:szCs w:val="24"/>
        </w:rPr>
        <w:t>In closing, we appreciate EOHHS’s dedication to addressing social determinants of health in its 1115  Demonstration  Amendment  and  Extension  Request.  The  decision  to  address      social</w:t>
      </w:r>
    </w:p>
    <w:p w:rsidR="002C5025" w:rsidRDefault="00FB027C">
      <w:pPr>
        <w:pStyle w:val="BodyText"/>
        <w:kinsoku w:val="0"/>
        <w:overflowPunct w:val="0"/>
        <w:spacing w:before="1"/>
        <w:rPr>
          <w:rFonts w:ascii="Times New Roman" w:hAnsi="Times New Roman" w:cs="Times New Roman"/>
          <w:sz w:val="18"/>
          <w:szCs w:val="18"/>
        </w:rPr>
      </w:pPr>
      <w:r>
        <w:rPr>
          <w:noProof/>
        </w:rPr>
        <mc:AlternateContent>
          <mc:Choice Requires="wps">
            <w:drawing>
              <wp:anchor distT="0" distB="0" distL="0" distR="0" simplePos="0" relativeHeight="251565568" behindDoc="0" locked="0" layoutInCell="0" allowOverlap="1">
                <wp:simplePos x="0" y="0"/>
                <wp:positionH relativeFrom="page">
                  <wp:posOffset>914400</wp:posOffset>
                </wp:positionH>
                <wp:positionV relativeFrom="paragraph">
                  <wp:posOffset>161925</wp:posOffset>
                </wp:positionV>
                <wp:extent cx="1829435" cy="12700"/>
                <wp:effectExtent l="0" t="0" r="0" b="0"/>
                <wp:wrapTopAndBottom/>
                <wp:docPr id="764" name="Freeform 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0 w 2881"/>
                            <a:gd name="T3" fmla="*/ 0 h 20"/>
                          </a:gdLst>
                          <a:ahLst/>
                          <a:cxnLst>
                            <a:cxn ang="0">
                              <a:pos x="T0" y="T1"/>
                            </a:cxn>
                            <a:cxn ang="0">
                              <a:pos x="T2" y="T3"/>
                            </a:cxn>
                          </a:cxnLst>
                          <a:rect l="0" t="0" r="r" b="b"/>
                          <a:pathLst>
                            <a:path w="2881" h="20">
                              <a:moveTo>
                                <a:pt x="0" y="0"/>
                              </a:moveTo>
                              <a:lnTo>
                                <a:pt x="288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61" o:spid="_x0000_s1026" style="position:absolute;z-index:25156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12.75pt,3in,12.75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" o:allowincell="f" filled="f" strokeweight=".72pt">
                <v:path arrowok="t" o:connecttype="custom" o:connectlocs="0,0;1828800,0" o:connectangles="0,0"/>
                <w10:wrap type="topAndBottom" anchorx="page"/>
              </v:polyline>
            </w:pict>
          </mc:Fallback>
        </mc:AlternateContent>
      </w:r>
    </w:p>
    <w:p w:rsidR="002C5025" w:rsidRDefault="002C5025">
      <w:pPr>
        <w:pStyle w:val="BodyText"/>
        <w:kinsoku w:val="0"/>
        <w:overflowPunct w:val="0"/>
        <w:spacing w:before="65"/>
        <w:ind w:left="120" w:right="299"/>
        <w:jc w:val="both"/>
        <w:rPr>
          <w:rFonts w:ascii="Times New Roman" w:hAnsi="Times New Roman" w:cs="Times New Roman"/>
          <w:sz w:val="18"/>
          <w:szCs w:val="18"/>
        </w:rPr>
      </w:pPr>
      <w:r>
        <w:rPr>
          <w:rFonts w:ascii="Times New Roman" w:hAnsi="Times New Roman" w:cs="Times New Roman"/>
          <w:position w:val="6"/>
          <w:sz w:val="12"/>
          <w:szCs w:val="12"/>
        </w:rPr>
        <w:t xml:space="preserve">6 </w:t>
      </w:r>
      <w:r>
        <w:rPr>
          <w:rFonts w:ascii="Times New Roman" w:hAnsi="Times New Roman" w:cs="Times New Roman"/>
          <w:sz w:val="18"/>
          <w:szCs w:val="18"/>
        </w:rPr>
        <w:t xml:space="preserve">David A. </w:t>
      </w:r>
      <w:proofErr w:type="spellStart"/>
      <w:r>
        <w:rPr>
          <w:rFonts w:ascii="Times New Roman" w:hAnsi="Times New Roman" w:cs="Times New Roman"/>
          <w:sz w:val="18"/>
          <w:szCs w:val="18"/>
        </w:rPr>
        <w:t>Himmelgreen</w:t>
      </w:r>
      <w:proofErr w:type="spellEnd"/>
      <w:r>
        <w:rPr>
          <w:rFonts w:ascii="Times New Roman" w:hAnsi="Times New Roman" w:cs="Times New Roman"/>
          <w:sz w:val="18"/>
          <w:szCs w:val="18"/>
        </w:rPr>
        <w:t xml:space="preserve"> et al., </w:t>
      </w:r>
      <w:r>
        <w:rPr>
          <w:rFonts w:ascii="Times New Roman" w:hAnsi="Times New Roman" w:cs="Times New Roman"/>
          <w:i/>
          <w:iCs/>
          <w:sz w:val="18"/>
          <w:szCs w:val="18"/>
        </w:rPr>
        <w:t>A Comparison of the Nutritional Status and Food Security of Drug-Using and Non-Drug-Using Hispanic Women in Hartford, Connecticut</w:t>
      </w:r>
      <w:r>
        <w:rPr>
          <w:rFonts w:ascii="Times New Roman" w:hAnsi="Times New Roman" w:cs="Times New Roman"/>
          <w:sz w:val="18"/>
          <w:szCs w:val="18"/>
        </w:rPr>
        <w:t>, 107 A</w:t>
      </w:r>
      <w:r>
        <w:rPr>
          <w:rFonts w:ascii="Times New Roman" w:hAnsi="Times New Roman" w:cs="Times New Roman"/>
          <w:sz w:val="14"/>
          <w:szCs w:val="14"/>
        </w:rPr>
        <w:t>M</w:t>
      </w:r>
      <w:r>
        <w:rPr>
          <w:rFonts w:ascii="Times New Roman" w:hAnsi="Times New Roman" w:cs="Times New Roman"/>
          <w:sz w:val="18"/>
          <w:szCs w:val="18"/>
        </w:rPr>
        <w:t>. J. P</w:t>
      </w:r>
      <w:r>
        <w:rPr>
          <w:rFonts w:ascii="Times New Roman" w:hAnsi="Times New Roman" w:cs="Times New Roman"/>
          <w:sz w:val="14"/>
          <w:szCs w:val="14"/>
        </w:rPr>
        <w:t>HYS</w:t>
      </w:r>
      <w:r>
        <w:rPr>
          <w:rFonts w:ascii="Times New Roman" w:hAnsi="Times New Roman" w:cs="Times New Roman"/>
          <w:sz w:val="18"/>
          <w:szCs w:val="18"/>
        </w:rPr>
        <w:t>. A</w:t>
      </w:r>
      <w:r>
        <w:rPr>
          <w:rFonts w:ascii="Times New Roman" w:hAnsi="Times New Roman" w:cs="Times New Roman"/>
          <w:sz w:val="14"/>
          <w:szCs w:val="14"/>
        </w:rPr>
        <w:t>NTHROP</w:t>
      </w:r>
      <w:r>
        <w:rPr>
          <w:rFonts w:ascii="Times New Roman" w:hAnsi="Times New Roman" w:cs="Times New Roman"/>
          <w:sz w:val="18"/>
          <w:szCs w:val="18"/>
        </w:rPr>
        <w:t xml:space="preserve">. 351 (1998); </w:t>
      </w:r>
      <w:r>
        <w:rPr>
          <w:rFonts w:ascii="Times New Roman" w:hAnsi="Times New Roman" w:cs="Times New Roman"/>
          <w:i/>
          <w:iCs/>
          <w:sz w:val="18"/>
          <w:szCs w:val="18"/>
        </w:rPr>
        <w:t xml:space="preserve">see also </w:t>
      </w:r>
      <w:r>
        <w:rPr>
          <w:rFonts w:ascii="Times New Roman" w:hAnsi="Times New Roman" w:cs="Times New Roman"/>
          <w:sz w:val="18"/>
          <w:szCs w:val="18"/>
        </w:rPr>
        <w:t xml:space="preserve">Carol Strike et al., </w:t>
      </w:r>
      <w:r>
        <w:rPr>
          <w:rFonts w:ascii="Times New Roman" w:hAnsi="Times New Roman" w:cs="Times New Roman"/>
          <w:i/>
          <w:iCs/>
          <w:sz w:val="18"/>
          <w:szCs w:val="18"/>
        </w:rPr>
        <w:t>Frequent Food Insecurity among Injection Drug Users: Correlates and Concerns</w:t>
      </w:r>
      <w:r>
        <w:rPr>
          <w:rFonts w:ascii="Times New Roman" w:hAnsi="Times New Roman" w:cs="Times New Roman"/>
          <w:sz w:val="18"/>
          <w:szCs w:val="18"/>
        </w:rPr>
        <w:t>, 12 BMC P</w:t>
      </w:r>
      <w:r>
        <w:rPr>
          <w:rFonts w:ascii="Times New Roman" w:hAnsi="Times New Roman" w:cs="Times New Roman"/>
          <w:sz w:val="14"/>
          <w:szCs w:val="14"/>
        </w:rPr>
        <w:t>UB</w:t>
      </w:r>
      <w:r>
        <w:rPr>
          <w:rFonts w:ascii="Times New Roman" w:hAnsi="Times New Roman" w:cs="Times New Roman"/>
          <w:sz w:val="18"/>
          <w:szCs w:val="18"/>
        </w:rPr>
        <w:t>. H</w:t>
      </w:r>
      <w:r>
        <w:rPr>
          <w:rFonts w:ascii="Times New Roman" w:hAnsi="Times New Roman" w:cs="Times New Roman"/>
          <w:sz w:val="14"/>
          <w:szCs w:val="14"/>
        </w:rPr>
        <w:t xml:space="preserve">EALTH </w:t>
      </w:r>
      <w:r>
        <w:rPr>
          <w:rFonts w:ascii="Times New Roman" w:hAnsi="Times New Roman" w:cs="Times New Roman"/>
          <w:sz w:val="18"/>
          <w:szCs w:val="18"/>
        </w:rPr>
        <w:t>6 (2012).</w:t>
      </w:r>
    </w:p>
    <w:p w:rsidR="002C5025" w:rsidRDefault="002C5025">
      <w:pPr>
        <w:pStyle w:val="BodyText"/>
        <w:kinsoku w:val="0"/>
        <w:overflowPunct w:val="0"/>
        <w:spacing w:before="2" w:line="206" w:lineRule="exact"/>
        <w:ind w:left="120" w:right="299"/>
        <w:jc w:val="both"/>
        <w:rPr>
          <w:rFonts w:ascii="Times New Roman" w:hAnsi="Times New Roman" w:cs="Times New Roman"/>
          <w:sz w:val="18"/>
          <w:szCs w:val="18"/>
        </w:rPr>
      </w:pPr>
      <w:r>
        <w:rPr>
          <w:rFonts w:ascii="Times New Roman" w:hAnsi="Times New Roman" w:cs="Times New Roman"/>
          <w:position w:val="6"/>
          <w:sz w:val="12"/>
          <w:szCs w:val="12"/>
        </w:rPr>
        <w:t xml:space="preserve">7 </w:t>
      </w:r>
      <w:r>
        <w:rPr>
          <w:rFonts w:ascii="Times New Roman" w:hAnsi="Times New Roman" w:cs="Times New Roman"/>
          <w:sz w:val="18"/>
          <w:szCs w:val="18"/>
        </w:rPr>
        <w:t xml:space="preserve">David A. </w:t>
      </w:r>
      <w:proofErr w:type="spellStart"/>
      <w:r>
        <w:rPr>
          <w:rFonts w:ascii="Times New Roman" w:hAnsi="Times New Roman" w:cs="Times New Roman"/>
          <w:sz w:val="18"/>
          <w:szCs w:val="18"/>
        </w:rPr>
        <w:t>Himmelgreen</w:t>
      </w:r>
      <w:proofErr w:type="spellEnd"/>
      <w:r>
        <w:rPr>
          <w:rFonts w:ascii="Times New Roman" w:hAnsi="Times New Roman" w:cs="Times New Roman"/>
          <w:sz w:val="18"/>
          <w:szCs w:val="18"/>
        </w:rPr>
        <w:t xml:space="preserve"> et al., </w:t>
      </w:r>
      <w:r>
        <w:rPr>
          <w:rFonts w:ascii="Times New Roman" w:hAnsi="Times New Roman" w:cs="Times New Roman"/>
          <w:i/>
          <w:iCs/>
          <w:sz w:val="18"/>
          <w:szCs w:val="18"/>
        </w:rPr>
        <w:t>A Comparison of the Nutritional Status and Food Security of Drug-Using and Non-Drug-Using Hispanic Women in Hartford, Connecticut</w:t>
      </w:r>
      <w:r>
        <w:rPr>
          <w:rFonts w:ascii="Times New Roman" w:hAnsi="Times New Roman" w:cs="Times New Roman"/>
          <w:sz w:val="18"/>
          <w:szCs w:val="18"/>
        </w:rPr>
        <w:t>, 107 A</w:t>
      </w:r>
      <w:r>
        <w:rPr>
          <w:rFonts w:ascii="Times New Roman" w:hAnsi="Times New Roman" w:cs="Times New Roman"/>
          <w:sz w:val="14"/>
          <w:szCs w:val="14"/>
        </w:rPr>
        <w:t>M</w:t>
      </w:r>
      <w:r>
        <w:rPr>
          <w:rFonts w:ascii="Times New Roman" w:hAnsi="Times New Roman" w:cs="Times New Roman"/>
          <w:sz w:val="18"/>
          <w:szCs w:val="18"/>
        </w:rPr>
        <w:t>. J. P</w:t>
      </w:r>
      <w:r>
        <w:rPr>
          <w:rFonts w:ascii="Times New Roman" w:hAnsi="Times New Roman" w:cs="Times New Roman"/>
          <w:sz w:val="14"/>
          <w:szCs w:val="14"/>
        </w:rPr>
        <w:t>HYS</w:t>
      </w:r>
      <w:r>
        <w:rPr>
          <w:rFonts w:ascii="Times New Roman" w:hAnsi="Times New Roman" w:cs="Times New Roman"/>
          <w:sz w:val="18"/>
          <w:szCs w:val="18"/>
        </w:rPr>
        <w:t>. A</w:t>
      </w:r>
      <w:r>
        <w:rPr>
          <w:rFonts w:ascii="Times New Roman" w:hAnsi="Times New Roman" w:cs="Times New Roman"/>
          <w:sz w:val="14"/>
          <w:szCs w:val="14"/>
        </w:rPr>
        <w:t>NTHROP</w:t>
      </w:r>
      <w:r>
        <w:rPr>
          <w:rFonts w:ascii="Times New Roman" w:hAnsi="Times New Roman" w:cs="Times New Roman"/>
          <w:sz w:val="18"/>
          <w:szCs w:val="18"/>
        </w:rPr>
        <w:t>. 351 (1998).</w:t>
      </w:r>
    </w:p>
    <w:p w:rsidR="002C5025" w:rsidRDefault="002C5025">
      <w:pPr>
        <w:pStyle w:val="BodyText"/>
        <w:kinsoku w:val="0"/>
        <w:overflowPunct w:val="0"/>
        <w:spacing w:line="242" w:lineRule="auto"/>
        <w:ind w:left="120" w:right="299"/>
        <w:jc w:val="both"/>
        <w:rPr>
          <w:rFonts w:ascii="Times New Roman" w:hAnsi="Times New Roman" w:cs="Times New Roman"/>
          <w:sz w:val="18"/>
          <w:szCs w:val="18"/>
        </w:rPr>
      </w:pPr>
      <w:r>
        <w:rPr>
          <w:rFonts w:ascii="Times New Roman" w:hAnsi="Times New Roman" w:cs="Times New Roman"/>
          <w:position w:val="6"/>
          <w:sz w:val="12"/>
          <w:szCs w:val="12"/>
        </w:rPr>
        <w:t xml:space="preserve">8 </w:t>
      </w:r>
      <w:r>
        <w:rPr>
          <w:rFonts w:ascii="Times New Roman" w:hAnsi="Times New Roman" w:cs="Times New Roman"/>
          <w:sz w:val="18"/>
          <w:szCs w:val="18"/>
        </w:rPr>
        <w:t xml:space="preserve">David A. </w:t>
      </w:r>
      <w:proofErr w:type="spellStart"/>
      <w:r>
        <w:rPr>
          <w:rFonts w:ascii="Times New Roman" w:hAnsi="Times New Roman" w:cs="Times New Roman"/>
          <w:sz w:val="18"/>
          <w:szCs w:val="18"/>
        </w:rPr>
        <w:t>Himmelgreen</w:t>
      </w:r>
      <w:proofErr w:type="spellEnd"/>
      <w:r>
        <w:rPr>
          <w:rFonts w:ascii="Times New Roman" w:hAnsi="Times New Roman" w:cs="Times New Roman"/>
          <w:sz w:val="18"/>
          <w:szCs w:val="18"/>
        </w:rPr>
        <w:t xml:space="preserve"> et al., </w:t>
      </w:r>
      <w:r>
        <w:rPr>
          <w:rFonts w:ascii="Times New Roman" w:hAnsi="Times New Roman" w:cs="Times New Roman"/>
          <w:i/>
          <w:iCs/>
          <w:sz w:val="18"/>
          <w:szCs w:val="18"/>
        </w:rPr>
        <w:t>A Comparison of the Nutritional Status and Food Security of Drug-Using and Non-Drug-Using Hispanic Women in Hartford, Connecticut</w:t>
      </w:r>
      <w:r>
        <w:rPr>
          <w:rFonts w:ascii="Times New Roman" w:hAnsi="Times New Roman" w:cs="Times New Roman"/>
          <w:sz w:val="18"/>
          <w:szCs w:val="18"/>
        </w:rPr>
        <w:t>, 107 A</w:t>
      </w:r>
      <w:r>
        <w:rPr>
          <w:rFonts w:ascii="Times New Roman" w:hAnsi="Times New Roman" w:cs="Times New Roman"/>
          <w:sz w:val="14"/>
          <w:szCs w:val="14"/>
        </w:rPr>
        <w:t>M</w:t>
      </w:r>
      <w:r>
        <w:rPr>
          <w:rFonts w:ascii="Times New Roman" w:hAnsi="Times New Roman" w:cs="Times New Roman"/>
          <w:sz w:val="18"/>
          <w:szCs w:val="18"/>
        </w:rPr>
        <w:t>. J. P</w:t>
      </w:r>
      <w:r>
        <w:rPr>
          <w:rFonts w:ascii="Times New Roman" w:hAnsi="Times New Roman" w:cs="Times New Roman"/>
          <w:sz w:val="14"/>
          <w:szCs w:val="14"/>
        </w:rPr>
        <w:t>HYS</w:t>
      </w:r>
      <w:r>
        <w:rPr>
          <w:rFonts w:ascii="Times New Roman" w:hAnsi="Times New Roman" w:cs="Times New Roman"/>
          <w:sz w:val="18"/>
          <w:szCs w:val="18"/>
        </w:rPr>
        <w:t>. A</w:t>
      </w:r>
      <w:r>
        <w:rPr>
          <w:rFonts w:ascii="Times New Roman" w:hAnsi="Times New Roman" w:cs="Times New Roman"/>
          <w:sz w:val="14"/>
          <w:szCs w:val="14"/>
        </w:rPr>
        <w:t>NTHROP</w:t>
      </w:r>
      <w:r>
        <w:rPr>
          <w:rFonts w:ascii="Times New Roman" w:hAnsi="Times New Roman" w:cs="Times New Roman"/>
          <w:sz w:val="18"/>
          <w:szCs w:val="18"/>
        </w:rPr>
        <w:t>. 352 (1998).</w:t>
      </w:r>
    </w:p>
    <w:p w:rsidR="002C5025" w:rsidRDefault="002C5025">
      <w:pPr>
        <w:pStyle w:val="BodyText"/>
        <w:kinsoku w:val="0"/>
        <w:overflowPunct w:val="0"/>
        <w:spacing w:line="206" w:lineRule="exact"/>
        <w:ind w:left="120" w:right="280"/>
        <w:jc w:val="both"/>
        <w:rPr>
          <w:rFonts w:ascii="Times New Roman" w:hAnsi="Times New Roman" w:cs="Times New Roman"/>
          <w:sz w:val="18"/>
          <w:szCs w:val="18"/>
        </w:rPr>
      </w:pPr>
      <w:r>
        <w:rPr>
          <w:rFonts w:ascii="Times New Roman" w:hAnsi="Times New Roman" w:cs="Times New Roman"/>
          <w:position w:val="6"/>
          <w:sz w:val="12"/>
          <w:szCs w:val="12"/>
        </w:rPr>
        <w:t xml:space="preserve">9 </w:t>
      </w:r>
      <w:r>
        <w:rPr>
          <w:rFonts w:ascii="Times New Roman" w:hAnsi="Times New Roman" w:cs="Times New Roman"/>
          <w:sz w:val="18"/>
          <w:szCs w:val="18"/>
        </w:rPr>
        <w:t xml:space="preserve">Carol Strike et al., </w:t>
      </w:r>
      <w:r>
        <w:rPr>
          <w:rFonts w:ascii="Times New Roman" w:hAnsi="Times New Roman" w:cs="Times New Roman"/>
          <w:i/>
          <w:iCs/>
          <w:sz w:val="18"/>
          <w:szCs w:val="18"/>
        </w:rPr>
        <w:t>Frequent Food Insecurity among Injection Drug Users: Correlates and Concerns</w:t>
      </w:r>
      <w:r>
        <w:rPr>
          <w:rFonts w:ascii="Times New Roman" w:hAnsi="Times New Roman" w:cs="Times New Roman"/>
          <w:sz w:val="18"/>
          <w:szCs w:val="18"/>
        </w:rPr>
        <w:t>, 12 BMC P</w:t>
      </w:r>
      <w:r>
        <w:rPr>
          <w:rFonts w:ascii="Times New Roman" w:hAnsi="Times New Roman" w:cs="Times New Roman"/>
          <w:sz w:val="14"/>
          <w:szCs w:val="14"/>
        </w:rPr>
        <w:t>UB</w:t>
      </w:r>
      <w:r>
        <w:rPr>
          <w:rFonts w:ascii="Times New Roman" w:hAnsi="Times New Roman" w:cs="Times New Roman"/>
          <w:sz w:val="18"/>
          <w:szCs w:val="18"/>
        </w:rPr>
        <w:t>. H</w:t>
      </w:r>
      <w:r>
        <w:rPr>
          <w:rFonts w:ascii="Times New Roman" w:hAnsi="Times New Roman" w:cs="Times New Roman"/>
          <w:sz w:val="14"/>
          <w:szCs w:val="14"/>
        </w:rPr>
        <w:t xml:space="preserve">EALTH </w:t>
      </w:r>
      <w:r>
        <w:rPr>
          <w:rFonts w:ascii="Times New Roman" w:hAnsi="Times New Roman" w:cs="Times New Roman"/>
          <w:sz w:val="18"/>
          <w:szCs w:val="18"/>
        </w:rPr>
        <w:t>7 (2012).</w:t>
      </w:r>
    </w:p>
    <w:p w:rsidR="002C5025" w:rsidRDefault="002C5025">
      <w:pPr>
        <w:pStyle w:val="BodyText"/>
        <w:kinsoku w:val="0"/>
        <w:overflowPunct w:val="0"/>
        <w:ind w:left="120" w:right="147"/>
        <w:rPr>
          <w:rFonts w:ascii="Times New Roman" w:hAnsi="Times New Roman" w:cs="Times New Roman"/>
          <w:sz w:val="18"/>
          <w:szCs w:val="18"/>
        </w:rPr>
      </w:pPr>
      <w:r>
        <w:rPr>
          <w:rFonts w:ascii="Times New Roman" w:hAnsi="Times New Roman" w:cs="Times New Roman"/>
          <w:position w:val="6"/>
          <w:sz w:val="12"/>
          <w:szCs w:val="12"/>
        </w:rPr>
        <w:t xml:space="preserve">10 </w:t>
      </w:r>
      <w:r>
        <w:rPr>
          <w:rFonts w:ascii="Times New Roman" w:hAnsi="Times New Roman" w:cs="Times New Roman"/>
          <w:sz w:val="18"/>
          <w:szCs w:val="18"/>
        </w:rPr>
        <w:t xml:space="preserve">Carol Strike et al., </w:t>
      </w:r>
      <w:r>
        <w:rPr>
          <w:rFonts w:ascii="Times New Roman" w:hAnsi="Times New Roman" w:cs="Times New Roman"/>
          <w:i/>
          <w:iCs/>
          <w:sz w:val="18"/>
          <w:szCs w:val="18"/>
        </w:rPr>
        <w:t>Frequent Food Insecurity among Injection Drug Users: Correlates and Concerns</w:t>
      </w:r>
      <w:r>
        <w:rPr>
          <w:rFonts w:ascii="Times New Roman" w:hAnsi="Times New Roman" w:cs="Times New Roman"/>
          <w:sz w:val="18"/>
          <w:szCs w:val="18"/>
        </w:rPr>
        <w:t>, 12 BMC P</w:t>
      </w:r>
      <w:r>
        <w:rPr>
          <w:rFonts w:ascii="Times New Roman" w:hAnsi="Times New Roman" w:cs="Times New Roman"/>
          <w:sz w:val="14"/>
          <w:szCs w:val="14"/>
        </w:rPr>
        <w:t>UB</w:t>
      </w:r>
      <w:r>
        <w:rPr>
          <w:rFonts w:ascii="Times New Roman" w:hAnsi="Times New Roman" w:cs="Times New Roman"/>
          <w:sz w:val="18"/>
          <w:szCs w:val="18"/>
        </w:rPr>
        <w:t>. H</w:t>
      </w:r>
      <w:r>
        <w:rPr>
          <w:rFonts w:ascii="Times New Roman" w:hAnsi="Times New Roman" w:cs="Times New Roman"/>
          <w:sz w:val="14"/>
          <w:szCs w:val="14"/>
        </w:rPr>
        <w:t xml:space="preserve">EALTH </w:t>
      </w:r>
      <w:r>
        <w:rPr>
          <w:rFonts w:ascii="Times New Roman" w:hAnsi="Times New Roman" w:cs="Times New Roman"/>
          <w:sz w:val="18"/>
          <w:szCs w:val="18"/>
        </w:rPr>
        <w:t>1- 9 (2012).</w:t>
      </w:r>
    </w:p>
    <w:p w:rsidR="002C5025" w:rsidRDefault="002C5025">
      <w:pPr>
        <w:pStyle w:val="BodyText"/>
        <w:kinsoku w:val="0"/>
        <w:overflowPunct w:val="0"/>
        <w:spacing w:before="5" w:line="206" w:lineRule="exact"/>
        <w:ind w:left="120" w:right="172"/>
        <w:rPr>
          <w:rFonts w:ascii="Times New Roman" w:hAnsi="Times New Roman" w:cs="Times New Roman"/>
          <w:sz w:val="18"/>
          <w:szCs w:val="18"/>
        </w:rPr>
      </w:pPr>
      <w:r>
        <w:rPr>
          <w:rFonts w:ascii="Times New Roman" w:hAnsi="Times New Roman" w:cs="Times New Roman"/>
          <w:position w:val="6"/>
          <w:sz w:val="12"/>
          <w:szCs w:val="12"/>
        </w:rPr>
        <w:t xml:space="preserve">11 </w:t>
      </w:r>
      <w:r>
        <w:rPr>
          <w:rFonts w:ascii="Times New Roman" w:hAnsi="Times New Roman" w:cs="Times New Roman"/>
          <w:sz w:val="18"/>
          <w:szCs w:val="18"/>
        </w:rPr>
        <w:t xml:space="preserve">Kate Shannon et al., </w:t>
      </w:r>
      <w:r>
        <w:rPr>
          <w:rFonts w:ascii="Times New Roman" w:hAnsi="Times New Roman" w:cs="Times New Roman"/>
          <w:i/>
          <w:iCs/>
          <w:sz w:val="18"/>
          <w:szCs w:val="18"/>
        </w:rPr>
        <w:t>Severe Food Insecurity is Associated with Elevated Unprotected Sex among HIV-Seropositive Injection Drug Users Independent of HAART Use</w:t>
      </w:r>
      <w:r>
        <w:rPr>
          <w:rFonts w:ascii="Times New Roman" w:hAnsi="Times New Roman" w:cs="Times New Roman"/>
          <w:sz w:val="18"/>
          <w:szCs w:val="18"/>
        </w:rPr>
        <w:t>, 25 AIDS 2037-2041 (2011).</w:t>
      </w:r>
    </w:p>
    <w:p w:rsidR="002C5025" w:rsidRDefault="002C5025">
      <w:pPr>
        <w:pStyle w:val="BodyText"/>
        <w:kinsoku w:val="0"/>
        <w:overflowPunct w:val="0"/>
        <w:spacing w:line="206" w:lineRule="exact"/>
        <w:ind w:left="120" w:right="220"/>
        <w:jc w:val="both"/>
        <w:rPr>
          <w:rFonts w:ascii="Times New Roman" w:hAnsi="Times New Roman" w:cs="Times New Roman"/>
          <w:sz w:val="18"/>
          <w:szCs w:val="18"/>
        </w:rPr>
      </w:pPr>
      <w:r>
        <w:rPr>
          <w:rFonts w:ascii="Times New Roman" w:hAnsi="Times New Roman" w:cs="Times New Roman"/>
          <w:position w:val="6"/>
          <w:sz w:val="12"/>
          <w:szCs w:val="12"/>
        </w:rPr>
        <w:t xml:space="preserve">12 </w:t>
      </w:r>
      <w:r>
        <w:rPr>
          <w:rFonts w:ascii="Times New Roman" w:hAnsi="Times New Roman" w:cs="Times New Roman"/>
          <w:sz w:val="18"/>
          <w:szCs w:val="18"/>
        </w:rPr>
        <w:t xml:space="preserve">Carol Strike et al., </w:t>
      </w:r>
      <w:r>
        <w:rPr>
          <w:rFonts w:ascii="Times New Roman" w:hAnsi="Times New Roman" w:cs="Times New Roman"/>
          <w:i/>
          <w:iCs/>
          <w:sz w:val="18"/>
          <w:szCs w:val="18"/>
        </w:rPr>
        <w:t>Frequent Food Insecurity among Injection Drug Users: Correlates and Concerns</w:t>
      </w:r>
      <w:r>
        <w:rPr>
          <w:rFonts w:ascii="Times New Roman" w:hAnsi="Times New Roman" w:cs="Times New Roman"/>
          <w:sz w:val="18"/>
          <w:szCs w:val="18"/>
        </w:rPr>
        <w:t>, 12 BMC P</w:t>
      </w:r>
      <w:r>
        <w:rPr>
          <w:rFonts w:ascii="Times New Roman" w:hAnsi="Times New Roman" w:cs="Times New Roman"/>
          <w:sz w:val="14"/>
          <w:szCs w:val="14"/>
        </w:rPr>
        <w:t>UB</w:t>
      </w:r>
      <w:r>
        <w:rPr>
          <w:rFonts w:ascii="Times New Roman" w:hAnsi="Times New Roman" w:cs="Times New Roman"/>
          <w:sz w:val="18"/>
          <w:szCs w:val="18"/>
        </w:rPr>
        <w:t>. H</w:t>
      </w:r>
      <w:r>
        <w:rPr>
          <w:rFonts w:ascii="Times New Roman" w:hAnsi="Times New Roman" w:cs="Times New Roman"/>
          <w:sz w:val="14"/>
          <w:szCs w:val="14"/>
        </w:rPr>
        <w:t xml:space="preserve">EALTH </w:t>
      </w:r>
      <w:r>
        <w:rPr>
          <w:rFonts w:ascii="Times New Roman" w:hAnsi="Times New Roman" w:cs="Times New Roman"/>
          <w:sz w:val="18"/>
          <w:szCs w:val="18"/>
        </w:rPr>
        <w:t>7 (2012).</w:t>
      </w:r>
    </w:p>
    <w:p w:rsidR="002C5025" w:rsidRDefault="002C5025">
      <w:pPr>
        <w:pStyle w:val="BodyText"/>
        <w:kinsoku w:val="0"/>
        <w:overflowPunct w:val="0"/>
        <w:spacing w:line="251" w:lineRule="exact"/>
        <w:ind w:left="2"/>
        <w:jc w:val="center"/>
        <w:rPr>
          <w:rFonts w:ascii="Times New Roman" w:hAnsi="Times New Roman" w:cs="Times New Roman"/>
        </w:rPr>
      </w:pPr>
      <w:r>
        <w:rPr>
          <w:rFonts w:ascii="Times New Roman" w:hAnsi="Times New Roman" w:cs="Times New Roman"/>
        </w:rPr>
        <w:t>5</w:t>
      </w:r>
    </w:p>
    <w:p w:rsidR="002C5025" w:rsidRDefault="002C5025">
      <w:pPr>
        <w:pStyle w:val="BodyText"/>
        <w:kinsoku w:val="0"/>
        <w:overflowPunct w:val="0"/>
        <w:spacing w:line="251" w:lineRule="exact"/>
        <w:ind w:left="2"/>
        <w:jc w:val="center"/>
        <w:rPr>
          <w:rFonts w:ascii="Times New Roman" w:hAnsi="Times New Roman" w:cs="Times New Roman"/>
        </w:rPr>
        <w:sectPr w:rsidR="002C5025">
          <w:pgSz w:w="12240" w:h="15840"/>
          <w:pgMar w:top="1500" w:right="1320" w:bottom="280" w:left="1320" w:header="720" w:footer="720" w:gutter="0"/>
          <w:cols w:space="720" w:equalWidth="0">
            <w:col w:w="9600"/>
          </w:cols>
          <w:noEndnote/>
        </w:sectPr>
      </w:pPr>
    </w:p>
    <w:p w:rsidR="002C5025" w:rsidRDefault="002C5025">
      <w:pPr>
        <w:pStyle w:val="BodyText"/>
        <w:kinsoku w:val="0"/>
        <w:overflowPunct w:val="0"/>
        <w:spacing w:before="5"/>
        <w:rPr>
          <w:rFonts w:ascii="Times New Roman" w:hAnsi="Times New Roman" w:cs="Times New Roman"/>
          <w:sz w:val="11"/>
          <w:szCs w:val="11"/>
        </w:rPr>
      </w:pPr>
    </w:p>
    <w:p w:rsidR="002C5025" w:rsidRDefault="002C5025">
      <w:pPr>
        <w:pStyle w:val="BodyText"/>
        <w:kinsoku w:val="0"/>
        <w:overflowPunct w:val="0"/>
        <w:spacing w:before="69"/>
        <w:ind w:left="100" w:right="116"/>
        <w:jc w:val="both"/>
        <w:rPr>
          <w:rFonts w:ascii="Times New Roman" w:hAnsi="Times New Roman" w:cs="Times New Roman"/>
          <w:sz w:val="24"/>
          <w:szCs w:val="24"/>
        </w:rPr>
      </w:pPr>
      <w:r>
        <w:rPr>
          <w:rFonts w:ascii="Times New Roman" w:hAnsi="Times New Roman" w:cs="Times New Roman"/>
          <w:sz w:val="24"/>
          <w:szCs w:val="24"/>
        </w:rPr>
        <w:t>determinants in the new MassHealth ACO model will positively impact individuals in the Commonwealth living with chronic illness. We believe that by clarifying flexible spending requirements, providing a uniform framework for the FSS program, and emphasizing FNS as a facet of whole-person treatment for SUDs, EOHHS can maximize this impact.</w:t>
      </w:r>
    </w:p>
    <w:p w:rsidR="002C5025" w:rsidRDefault="002C5025">
      <w:pPr>
        <w:pStyle w:val="BodyText"/>
        <w:kinsoku w:val="0"/>
        <w:overflowPunct w:val="0"/>
        <w:spacing w:before="197"/>
        <w:ind w:left="100" w:right="120"/>
        <w:jc w:val="both"/>
        <w:rPr>
          <w:rFonts w:ascii="Times New Roman" w:hAnsi="Times New Roman" w:cs="Times New Roman"/>
          <w:sz w:val="24"/>
          <w:szCs w:val="24"/>
        </w:rPr>
      </w:pPr>
      <w:r>
        <w:rPr>
          <w:rFonts w:ascii="Times New Roman" w:hAnsi="Times New Roman" w:cs="Times New Roman"/>
          <w:sz w:val="24"/>
          <w:szCs w:val="24"/>
        </w:rPr>
        <w:t>Again, we applaud EOHHS’s efforts to provide whole-person accountable care to MassHealth members, and we would be happy to work with the Office to address any of the comments described above.</w:t>
      </w:r>
    </w:p>
    <w:p w:rsidR="002C5025" w:rsidRDefault="002C5025">
      <w:pPr>
        <w:pStyle w:val="BodyText"/>
        <w:kinsoku w:val="0"/>
        <w:overflowPunct w:val="0"/>
        <w:spacing w:before="199"/>
        <w:ind w:left="100"/>
        <w:jc w:val="both"/>
        <w:rPr>
          <w:rFonts w:ascii="Times New Roman" w:hAnsi="Times New Roman" w:cs="Times New Roman"/>
          <w:sz w:val="24"/>
          <w:szCs w:val="24"/>
        </w:rPr>
      </w:pPr>
      <w:r>
        <w:rPr>
          <w:rFonts w:ascii="Times New Roman" w:hAnsi="Times New Roman" w:cs="Times New Roman"/>
          <w:sz w:val="24"/>
          <w:szCs w:val="24"/>
        </w:rPr>
        <w:t>Sincerely,</w:t>
      </w:r>
    </w:p>
    <w:p w:rsidR="002C5025" w:rsidRDefault="00FB027C">
      <w:pPr>
        <w:pStyle w:val="BodyText"/>
        <w:kinsoku w:val="0"/>
        <w:overflowPunct w:val="0"/>
        <w:spacing w:before="6"/>
        <w:rPr>
          <w:rFonts w:ascii="Times New Roman" w:hAnsi="Times New Roman" w:cs="Times New Roman"/>
          <w:sz w:val="14"/>
          <w:szCs w:val="14"/>
        </w:rPr>
      </w:pPr>
      <w:r>
        <w:rPr>
          <w:noProof/>
        </w:rPr>
        <mc:AlternateContent>
          <mc:Choice Requires="wps">
            <w:drawing>
              <wp:anchor distT="0" distB="0" distL="0" distR="0" simplePos="0" relativeHeight="251566592" behindDoc="0" locked="0" layoutInCell="0" allowOverlap="1">
                <wp:simplePos x="0" y="0"/>
                <wp:positionH relativeFrom="page">
                  <wp:posOffset>914400</wp:posOffset>
                </wp:positionH>
                <wp:positionV relativeFrom="paragraph">
                  <wp:posOffset>131445</wp:posOffset>
                </wp:positionV>
                <wp:extent cx="1549400" cy="482600"/>
                <wp:effectExtent l="0" t="0" r="0" b="0"/>
                <wp:wrapTopAndBottom/>
                <wp:docPr id="763"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9400" cy="482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760" w:lineRule="atLeast"/>
                            </w:pPr>
                            <w:r>
                              <w:rPr>
                                <w:noProof/>
                              </w:rPr>
                              <w:drawing>
                                <wp:inline distT="0" distB="0" distL="0" distR="0">
                                  <wp:extent cx="1571625" cy="476250"/>
                                  <wp:effectExtent l="0" t="0" r="9525"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1571625" cy="476250"/>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2" o:spid="_x0000_s1159" style="position:absolute;margin-left:1in;margin-top:10.35pt;width:122pt;height:38pt;z-index:25156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" o:allowincell="f" filled="f" stroked="f">
                <v:textbox inset="0,0,0,0">
                  <w:txbxContent>
                    <w:p w:rsidR="007B2B7B" w:rsidRDefault="007B2B7B">
                      <w:pPr>
                        <w:widowControl/>
                        <w:autoSpaceDE/>
                        <w:autoSpaceDN/>
                        <w:adjustRightInd/>
                        <w:spacing w:line="760" w:lineRule="atLeast"/>
                      </w:pPr>
                      <w:r>
                        <w:rPr>
                          <w:noProof/>
                        </w:rPr>
                        <w:drawing>
                          <wp:inline distT="0" distB="0" distL="0" distR="0">
                            <wp:extent cx="1571625" cy="476250"/>
                            <wp:effectExtent l="0" t="0" r="9525"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1571625" cy="476250"/>
                                    </a:xfrm>
                                    <a:prstGeom prst="rect">
                                      <a:avLst/>
                                    </a:prstGeom>
                                    <a:noFill/>
                                    <a:ln>
                                      <a:noFill/>
                                    </a:ln>
                                  </pic:spPr>
                                </pic:pic>
                              </a:graphicData>
                            </a:graphic>
                          </wp:inline>
                        </w:drawing>
                      </w:r>
                    </w:p>
                    <w:p w:rsidR="007B2B7B" w:rsidRDefault="007B2B7B"/>
                  </w:txbxContent>
                </v:textbox>
                <w10:wrap type="topAndBottom" anchorx="page"/>
              </v:rect>
            </w:pict>
          </mc:Fallback>
        </mc:AlternateContent>
      </w:r>
      <w:r>
        <w:rPr>
          <w:noProof/>
        </w:rPr>
        <mc:AlternateContent>
          <mc:Choice Requires="wps">
            <w:drawing>
              <wp:anchor distT="0" distB="0" distL="0" distR="0" simplePos="0" relativeHeight="251567616" behindDoc="0" locked="0" layoutInCell="0" allowOverlap="1">
                <wp:simplePos x="0" y="0"/>
                <wp:positionH relativeFrom="page">
                  <wp:posOffset>3779520</wp:posOffset>
                </wp:positionH>
                <wp:positionV relativeFrom="paragraph">
                  <wp:posOffset>236220</wp:posOffset>
                </wp:positionV>
                <wp:extent cx="1854200" cy="381000"/>
                <wp:effectExtent l="0" t="0" r="0" b="0"/>
                <wp:wrapTopAndBottom/>
                <wp:docPr id="762" name="Rectangl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42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600" w:lineRule="atLeast"/>
                            </w:pPr>
                            <w:r>
                              <w:rPr>
                                <w:noProof/>
                              </w:rPr>
                              <w:drawing>
                                <wp:inline distT="0" distB="0" distL="0" distR="0">
                                  <wp:extent cx="1847850" cy="38100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1847850" cy="381000"/>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3" o:spid="_x0000_s1160" style="position:absolute;margin-left:297.6pt;margin-top:18.6pt;width:146pt;height:30pt;z-index:25156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" o:allowincell="f" filled="f" stroked="f">
                <v:textbox inset="0,0,0,0">
                  <w:txbxContent>
                    <w:p w:rsidR="007B2B7B" w:rsidRDefault="007B2B7B">
                      <w:pPr>
                        <w:widowControl/>
                        <w:autoSpaceDE/>
                        <w:autoSpaceDN/>
                        <w:adjustRightInd/>
                        <w:spacing w:line="600" w:lineRule="atLeast"/>
                      </w:pPr>
                      <w:r>
                        <w:rPr>
                          <w:noProof/>
                        </w:rPr>
                        <w:drawing>
                          <wp:inline distT="0" distB="0" distL="0" distR="0">
                            <wp:extent cx="1847850" cy="38100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1847850" cy="381000"/>
                                    </a:xfrm>
                                    <a:prstGeom prst="rect">
                                      <a:avLst/>
                                    </a:prstGeom>
                                    <a:noFill/>
                                    <a:ln>
                                      <a:noFill/>
                                    </a:ln>
                                  </pic:spPr>
                                </pic:pic>
                              </a:graphicData>
                            </a:graphic>
                          </wp:inline>
                        </w:drawing>
                      </w:r>
                    </w:p>
                    <w:p w:rsidR="007B2B7B" w:rsidRDefault="007B2B7B"/>
                  </w:txbxContent>
                </v:textbox>
                <w10:wrap type="topAndBottom" anchorx="page"/>
              </v:rect>
            </w:pict>
          </mc:Fallback>
        </mc:AlternateContent>
      </w:r>
    </w:p>
    <w:p w:rsidR="002C5025" w:rsidRDefault="002C5025">
      <w:pPr>
        <w:pStyle w:val="BodyText"/>
        <w:tabs>
          <w:tab w:val="left" w:pos="5140"/>
        </w:tabs>
        <w:kinsoku w:val="0"/>
        <w:overflowPunct w:val="0"/>
        <w:spacing w:before="166"/>
        <w:ind w:left="100"/>
        <w:jc w:val="both"/>
        <w:rPr>
          <w:rFonts w:ascii="Times New Roman" w:hAnsi="Times New Roman" w:cs="Times New Roman"/>
          <w:sz w:val="24"/>
          <w:szCs w:val="24"/>
        </w:rPr>
      </w:pPr>
      <w:r>
        <w:rPr>
          <w:rFonts w:ascii="Times New Roman" w:hAnsi="Times New Roman" w:cs="Times New Roman"/>
          <w:sz w:val="24"/>
          <w:szCs w:val="24"/>
        </w:rPr>
        <w:t>Robert</w:t>
      </w:r>
      <w:r>
        <w:rPr>
          <w:rFonts w:ascii="Times New Roman" w:hAnsi="Times New Roman" w:cs="Times New Roman"/>
          <w:spacing w:val="-2"/>
          <w:sz w:val="24"/>
          <w:szCs w:val="24"/>
        </w:rPr>
        <w:t xml:space="preserve"> </w:t>
      </w:r>
      <w:r>
        <w:rPr>
          <w:rFonts w:ascii="Times New Roman" w:hAnsi="Times New Roman" w:cs="Times New Roman"/>
          <w:sz w:val="24"/>
          <w:szCs w:val="24"/>
        </w:rPr>
        <w:t>Greenwald</w:t>
      </w:r>
      <w:r>
        <w:rPr>
          <w:rFonts w:ascii="Times New Roman" w:hAnsi="Times New Roman" w:cs="Times New Roman"/>
          <w:sz w:val="24"/>
          <w:szCs w:val="24"/>
        </w:rPr>
        <w:tab/>
        <w:t>David</w:t>
      </w:r>
      <w:r>
        <w:rPr>
          <w:rFonts w:ascii="Times New Roman" w:hAnsi="Times New Roman" w:cs="Times New Roman"/>
          <w:spacing w:val="-5"/>
          <w:sz w:val="24"/>
          <w:szCs w:val="24"/>
        </w:rPr>
        <w:t xml:space="preserve"> </w:t>
      </w:r>
      <w:r>
        <w:rPr>
          <w:rFonts w:ascii="Times New Roman" w:hAnsi="Times New Roman" w:cs="Times New Roman"/>
          <w:sz w:val="24"/>
          <w:szCs w:val="24"/>
        </w:rPr>
        <w:t>Waters</w:t>
      </w:r>
    </w:p>
    <w:p w:rsidR="002C5025" w:rsidRDefault="002C5025">
      <w:pPr>
        <w:pStyle w:val="BodyText"/>
        <w:tabs>
          <w:tab w:val="left" w:pos="5140"/>
        </w:tabs>
        <w:kinsoku w:val="0"/>
        <w:overflowPunct w:val="0"/>
        <w:spacing w:line="242" w:lineRule="auto"/>
        <w:ind w:left="100" w:right="1793"/>
        <w:rPr>
          <w:rFonts w:ascii="Times New Roman" w:hAnsi="Times New Roman" w:cs="Times New Roman"/>
          <w:sz w:val="24"/>
          <w:szCs w:val="24"/>
        </w:rPr>
      </w:pPr>
      <w:r>
        <w:rPr>
          <w:rFonts w:ascii="Times New Roman" w:hAnsi="Times New Roman" w:cs="Times New Roman"/>
          <w:sz w:val="24"/>
          <w:szCs w:val="24"/>
        </w:rPr>
        <w:t>Faculty</w:t>
      </w:r>
      <w:r>
        <w:rPr>
          <w:rFonts w:ascii="Times New Roman" w:hAnsi="Times New Roman" w:cs="Times New Roman"/>
          <w:spacing w:val="-5"/>
          <w:sz w:val="24"/>
          <w:szCs w:val="24"/>
        </w:rPr>
        <w:t xml:space="preserve"> </w:t>
      </w:r>
      <w:r>
        <w:rPr>
          <w:rFonts w:ascii="Times New Roman" w:hAnsi="Times New Roman" w:cs="Times New Roman"/>
          <w:sz w:val="24"/>
          <w:szCs w:val="24"/>
        </w:rPr>
        <w:t>Director,</w:t>
      </w:r>
      <w:r>
        <w:rPr>
          <w:rFonts w:ascii="Times New Roman" w:hAnsi="Times New Roman" w:cs="Times New Roman"/>
          <w:spacing w:val="-1"/>
          <w:sz w:val="24"/>
          <w:szCs w:val="24"/>
        </w:rPr>
        <w:t xml:space="preserve"> </w:t>
      </w:r>
      <w:r>
        <w:rPr>
          <w:rFonts w:ascii="Times New Roman" w:hAnsi="Times New Roman" w:cs="Times New Roman"/>
          <w:sz w:val="24"/>
          <w:szCs w:val="24"/>
        </w:rPr>
        <w:t>CHLPI</w:t>
      </w:r>
      <w:r>
        <w:rPr>
          <w:rFonts w:ascii="Times New Roman" w:hAnsi="Times New Roman" w:cs="Times New Roman"/>
          <w:sz w:val="24"/>
          <w:szCs w:val="24"/>
        </w:rPr>
        <w:tab/>
        <w:t>CEO,</w:t>
      </w:r>
      <w:r>
        <w:rPr>
          <w:rFonts w:ascii="Times New Roman" w:hAnsi="Times New Roman" w:cs="Times New Roman"/>
          <w:spacing w:val="-1"/>
          <w:sz w:val="24"/>
          <w:szCs w:val="24"/>
        </w:rPr>
        <w:t xml:space="preserve"> </w:t>
      </w:r>
      <w:r>
        <w:rPr>
          <w:rFonts w:ascii="Times New Roman" w:hAnsi="Times New Roman" w:cs="Times New Roman"/>
          <w:sz w:val="24"/>
          <w:szCs w:val="24"/>
        </w:rPr>
        <w:t>Community</w:t>
      </w:r>
      <w:r>
        <w:rPr>
          <w:rFonts w:ascii="Times New Roman" w:hAnsi="Times New Roman" w:cs="Times New Roman"/>
          <w:spacing w:val="-9"/>
          <w:sz w:val="24"/>
          <w:szCs w:val="24"/>
        </w:rPr>
        <w:t xml:space="preserve"> </w:t>
      </w:r>
      <w:r>
        <w:rPr>
          <w:rFonts w:ascii="Times New Roman" w:hAnsi="Times New Roman" w:cs="Times New Roman"/>
          <w:sz w:val="24"/>
          <w:szCs w:val="24"/>
        </w:rPr>
        <w:t>Servings</w:t>
      </w:r>
      <w:r>
        <w:rPr>
          <w:rFonts w:ascii="Times New Roman" w:hAnsi="Times New Roman" w:cs="Times New Roman"/>
          <w:w w:val="99"/>
          <w:sz w:val="24"/>
          <w:szCs w:val="24"/>
        </w:rPr>
        <w:t xml:space="preserve"> </w:t>
      </w:r>
      <w:r>
        <w:rPr>
          <w:rFonts w:ascii="Times New Roman" w:hAnsi="Times New Roman" w:cs="Times New Roman"/>
          <w:sz w:val="24"/>
          <w:szCs w:val="24"/>
        </w:rPr>
        <w:t>Clinical Professor of Law, Harvard Law</w:t>
      </w:r>
      <w:r>
        <w:rPr>
          <w:rFonts w:ascii="Times New Roman" w:hAnsi="Times New Roman" w:cs="Times New Roman"/>
          <w:spacing w:val="-9"/>
          <w:sz w:val="24"/>
          <w:szCs w:val="24"/>
        </w:rPr>
        <w:t xml:space="preserve"> </w:t>
      </w:r>
      <w:r>
        <w:rPr>
          <w:rFonts w:ascii="Times New Roman" w:hAnsi="Times New Roman" w:cs="Times New Roman"/>
          <w:sz w:val="24"/>
          <w:szCs w:val="24"/>
        </w:rPr>
        <w:t>School</w:t>
      </w:r>
    </w:p>
    <w:p w:rsidR="002C5025" w:rsidRDefault="002C5025">
      <w:pPr>
        <w:pStyle w:val="BodyText"/>
        <w:kinsoku w:val="0"/>
        <w:overflowPunct w:val="0"/>
        <w:spacing w:before="196"/>
        <w:ind w:left="100"/>
        <w:jc w:val="both"/>
        <w:rPr>
          <w:rFonts w:ascii="Times New Roman" w:hAnsi="Times New Roman" w:cs="Times New Roman"/>
          <w:sz w:val="24"/>
          <w:szCs w:val="24"/>
        </w:rPr>
      </w:pPr>
      <w:r>
        <w:rPr>
          <w:rFonts w:ascii="Times New Roman" w:hAnsi="Times New Roman" w:cs="Times New Roman"/>
          <w:sz w:val="24"/>
          <w:szCs w:val="24"/>
        </w:rPr>
        <w:t>Together with the following:</w:t>
      </w:r>
    </w:p>
    <w:p w:rsidR="002C5025" w:rsidRDefault="002C5025">
      <w:pPr>
        <w:pStyle w:val="BodyText"/>
        <w:kinsoku w:val="0"/>
        <w:overflowPunct w:val="0"/>
        <w:spacing w:before="201" w:line="412" w:lineRule="auto"/>
        <w:ind w:left="100" w:right="3373"/>
        <w:rPr>
          <w:rFonts w:ascii="Times New Roman" w:hAnsi="Times New Roman" w:cs="Times New Roman"/>
          <w:sz w:val="24"/>
          <w:szCs w:val="24"/>
        </w:rPr>
      </w:pPr>
      <w:r>
        <w:rPr>
          <w:rFonts w:ascii="Times New Roman" w:hAnsi="Times New Roman" w:cs="Times New Roman"/>
          <w:sz w:val="24"/>
          <w:szCs w:val="24"/>
        </w:rPr>
        <w:t xml:space="preserve">Action for Boston Community Development, Inc., Boston, MA Children’s </w:t>
      </w:r>
      <w:proofErr w:type="spellStart"/>
      <w:r>
        <w:rPr>
          <w:rFonts w:ascii="Times New Roman" w:hAnsi="Times New Roman" w:cs="Times New Roman"/>
          <w:sz w:val="24"/>
          <w:szCs w:val="24"/>
        </w:rPr>
        <w:t>HealthWatch</w:t>
      </w:r>
      <w:proofErr w:type="spellEnd"/>
      <w:r>
        <w:rPr>
          <w:rFonts w:ascii="Times New Roman" w:hAnsi="Times New Roman" w:cs="Times New Roman"/>
          <w:sz w:val="24"/>
          <w:szCs w:val="24"/>
        </w:rPr>
        <w:t>, Boston, MA</w:t>
      </w:r>
    </w:p>
    <w:p w:rsidR="002C5025" w:rsidRDefault="002C5025">
      <w:pPr>
        <w:pStyle w:val="BodyText"/>
        <w:kinsoku w:val="0"/>
        <w:overflowPunct w:val="0"/>
        <w:spacing w:before="8" w:line="415" w:lineRule="auto"/>
        <w:ind w:left="100" w:right="5438"/>
        <w:rPr>
          <w:rFonts w:ascii="Times New Roman" w:hAnsi="Times New Roman" w:cs="Times New Roman"/>
          <w:sz w:val="24"/>
          <w:szCs w:val="24"/>
        </w:rPr>
      </w:pPr>
      <w:r>
        <w:rPr>
          <w:rFonts w:ascii="Times New Roman" w:hAnsi="Times New Roman" w:cs="Times New Roman"/>
          <w:sz w:val="24"/>
          <w:szCs w:val="24"/>
        </w:rPr>
        <w:t>Fresh Advantage® LLC, Cambridge, MA Health Care for All, Boston, MA</w:t>
      </w:r>
    </w:p>
    <w:p w:rsidR="002C5025" w:rsidRDefault="002C5025">
      <w:pPr>
        <w:pStyle w:val="BodyText"/>
        <w:kinsoku w:val="0"/>
        <w:overflowPunct w:val="0"/>
        <w:spacing w:before="5" w:line="412" w:lineRule="auto"/>
        <w:ind w:left="100" w:right="4173"/>
        <w:rPr>
          <w:rFonts w:ascii="Times New Roman" w:hAnsi="Times New Roman" w:cs="Times New Roman"/>
          <w:sz w:val="24"/>
          <w:szCs w:val="24"/>
        </w:rPr>
      </w:pPr>
      <w:r>
        <w:rPr>
          <w:rFonts w:ascii="Times New Roman" w:hAnsi="Times New Roman" w:cs="Times New Roman"/>
          <w:sz w:val="24"/>
          <w:szCs w:val="24"/>
        </w:rPr>
        <w:t>Health Care Without Harm, Boston, MA Massachusetts Law Reform Institute, Inc., Boston,</w:t>
      </w:r>
      <w:r>
        <w:rPr>
          <w:rFonts w:ascii="Times New Roman" w:hAnsi="Times New Roman" w:cs="Times New Roman"/>
          <w:spacing w:val="-10"/>
          <w:sz w:val="24"/>
          <w:szCs w:val="24"/>
        </w:rPr>
        <w:t xml:space="preserve"> </w:t>
      </w:r>
      <w:r>
        <w:rPr>
          <w:rFonts w:ascii="Times New Roman" w:hAnsi="Times New Roman" w:cs="Times New Roman"/>
          <w:sz w:val="24"/>
          <w:szCs w:val="24"/>
        </w:rPr>
        <w:t>MA The Greater Boston Food Bank, Boston,</w:t>
      </w:r>
      <w:r>
        <w:rPr>
          <w:rFonts w:ascii="Times New Roman" w:hAnsi="Times New Roman" w:cs="Times New Roman"/>
          <w:spacing w:val="-8"/>
          <w:sz w:val="24"/>
          <w:szCs w:val="24"/>
        </w:rPr>
        <w:t xml:space="preserve"> </w:t>
      </w:r>
      <w:r>
        <w:rPr>
          <w:rFonts w:ascii="Times New Roman" w:hAnsi="Times New Roman" w:cs="Times New Roman"/>
          <w:sz w:val="24"/>
          <w:szCs w:val="24"/>
        </w:rPr>
        <w:t>MA</w:t>
      </w:r>
    </w:p>
    <w:p w:rsidR="002C5025" w:rsidRDefault="002C5025">
      <w:pPr>
        <w:pStyle w:val="BodyText"/>
        <w:kinsoku w:val="0"/>
        <w:overflowPunct w:val="0"/>
        <w:spacing w:before="10"/>
        <w:ind w:left="100"/>
        <w:jc w:val="both"/>
        <w:rPr>
          <w:rFonts w:ascii="Times New Roman" w:hAnsi="Times New Roman" w:cs="Times New Roman"/>
          <w:sz w:val="24"/>
          <w:szCs w:val="24"/>
        </w:rPr>
      </w:pPr>
      <w:r>
        <w:rPr>
          <w:rFonts w:ascii="Times New Roman" w:hAnsi="Times New Roman" w:cs="Times New Roman"/>
          <w:sz w:val="24"/>
          <w:szCs w:val="24"/>
        </w:rPr>
        <w:t>The Open Door, Gloucester, MA</w:t>
      </w:r>
    </w:p>
    <w:p w:rsidR="002C5025" w:rsidRDefault="002C5025">
      <w:pPr>
        <w:pStyle w:val="BodyText"/>
        <w:kinsoku w:val="0"/>
        <w:overflowPunct w:val="0"/>
        <w:spacing w:before="199"/>
        <w:ind w:left="100"/>
        <w:jc w:val="both"/>
        <w:rPr>
          <w:rFonts w:ascii="Times New Roman" w:hAnsi="Times New Roman" w:cs="Times New Roman"/>
          <w:sz w:val="24"/>
          <w:szCs w:val="24"/>
        </w:rPr>
      </w:pPr>
      <w:r>
        <w:rPr>
          <w:rFonts w:ascii="Times New Roman" w:hAnsi="Times New Roman" w:cs="Times New Roman"/>
          <w:sz w:val="24"/>
          <w:szCs w:val="24"/>
        </w:rPr>
        <w:t>Worcester County Food Bank, Shrewsbury, MA</w:t>
      </w:r>
    </w:p>
    <w:p w:rsidR="002C5025" w:rsidRDefault="002C5025">
      <w:pPr>
        <w:pStyle w:val="BodyText"/>
        <w:kinsoku w:val="0"/>
        <w:overflowPunct w:val="0"/>
        <w:spacing w:before="197" w:line="242" w:lineRule="auto"/>
        <w:ind w:left="100" w:right="728"/>
        <w:rPr>
          <w:rFonts w:ascii="Times New Roman" w:hAnsi="Times New Roman" w:cs="Times New Roman"/>
          <w:sz w:val="24"/>
          <w:szCs w:val="24"/>
        </w:rPr>
      </w:pPr>
      <w:proofErr w:type="spellStart"/>
      <w:r>
        <w:rPr>
          <w:rFonts w:ascii="Times New Roman" w:hAnsi="Times New Roman" w:cs="Times New Roman"/>
          <w:sz w:val="24"/>
          <w:szCs w:val="24"/>
        </w:rPr>
        <w:t>Avik</w:t>
      </w:r>
      <w:proofErr w:type="spellEnd"/>
      <w:r>
        <w:rPr>
          <w:rFonts w:ascii="Times New Roman" w:hAnsi="Times New Roman" w:cs="Times New Roman"/>
          <w:sz w:val="24"/>
          <w:szCs w:val="24"/>
        </w:rPr>
        <w:t xml:space="preserve"> Chatterjee, MD, MPH, Physician, Boston Health Care for the Homeless Program and Instructor, Harvard Medical School</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10"/>
        <w:rPr>
          <w:rFonts w:ascii="Times New Roman" w:hAnsi="Times New Roman" w:cs="Times New Roman"/>
          <w:sz w:val="29"/>
          <w:szCs w:val="29"/>
        </w:rPr>
      </w:pPr>
    </w:p>
    <w:p w:rsidR="002C5025" w:rsidRDefault="002C5025">
      <w:pPr>
        <w:pStyle w:val="BodyText"/>
        <w:kinsoku w:val="0"/>
        <w:overflowPunct w:val="0"/>
        <w:spacing w:before="73"/>
        <w:ind w:right="17"/>
        <w:jc w:val="center"/>
        <w:rPr>
          <w:rFonts w:ascii="Times New Roman" w:hAnsi="Times New Roman" w:cs="Times New Roman"/>
        </w:rPr>
      </w:pPr>
      <w:r>
        <w:rPr>
          <w:rFonts w:ascii="Times New Roman" w:hAnsi="Times New Roman" w:cs="Times New Roman"/>
        </w:rPr>
        <w:t>6</w:t>
      </w:r>
    </w:p>
    <w:p w:rsidR="002C5025" w:rsidRDefault="002C5025">
      <w:pPr>
        <w:pStyle w:val="BodyText"/>
        <w:kinsoku w:val="0"/>
        <w:overflowPunct w:val="0"/>
        <w:spacing w:before="73"/>
        <w:ind w:right="17"/>
        <w:jc w:val="center"/>
        <w:rPr>
          <w:rFonts w:ascii="Times New Roman" w:hAnsi="Times New Roman" w:cs="Times New Roman"/>
        </w:rPr>
        <w:sectPr w:rsidR="002C5025">
          <w:pgSz w:w="12240" w:h="15840"/>
          <w:pgMar w:top="1500" w:right="1320" w:bottom="280" w:left="1340" w:header="720" w:footer="720" w:gutter="0"/>
          <w:cols w:space="720" w:equalWidth="0">
            <w:col w:w="9580"/>
          </w:cols>
          <w:noEndnote/>
        </w:sectPr>
      </w:pPr>
    </w:p>
    <w:p w:rsidR="002C5025" w:rsidRDefault="002C5025">
      <w:pPr>
        <w:pStyle w:val="BodyText"/>
        <w:kinsoku w:val="0"/>
        <w:overflowPunct w:val="0"/>
        <w:spacing w:before="37" w:line="554" w:lineRule="auto"/>
        <w:ind w:left="119" w:right="5879"/>
      </w:pPr>
      <w:bookmarkStart w:id="90" w:name="Craven_Comments"/>
      <w:bookmarkEnd w:id="90"/>
      <w:r>
        <w:lastRenderedPageBreak/>
        <w:t>Forwarding for waiver public comments Sent from my iPhone</w:t>
      </w:r>
    </w:p>
    <w:p w:rsidR="002C5025" w:rsidRDefault="002C5025">
      <w:pPr>
        <w:pStyle w:val="BodyText"/>
        <w:kinsoku w:val="0"/>
        <w:overflowPunct w:val="0"/>
        <w:spacing w:before="195"/>
        <w:ind w:left="119" w:right="296"/>
      </w:pPr>
      <w:r>
        <w:t>Begin forwarded message:</w:t>
      </w:r>
    </w:p>
    <w:p w:rsidR="002C5025" w:rsidRDefault="002C5025">
      <w:pPr>
        <w:pStyle w:val="BodyText"/>
        <w:kinsoku w:val="0"/>
        <w:overflowPunct w:val="0"/>
        <w:rPr>
          <w:sz w:val="23"/>
          <w:szCs w:val="23"/>
        </w:rPr>
      </w:pPr>
    </w:p>
    <w:p w:rsidR="002C5025" w:rsidRDefault="002C5025">
      <w:pPr>
        <w:pStyle w:val="BodyText"/>
        <w:kinsoku w:val="0"/>
        <w:overflowPunct w:val="0"/>
        <w:ind w:left="119" w:right="296"/>
        <w:rPr>
          <w:color w:val="000000"/>
        </w:rPr>
      </w:pPr>
      <w:bookmarkStart w:id="91" w:name="From:_Gloria_Craven_&lt;30TUgcraven@policys"/>
      <w:bookmarkEnd w:id="91"/>
      <w:r>
        <w:rPr>
          <w:b/>
          <w:bCs/>
        </w:rPr>
        <w:t xml:space="preserve">From: </w:t>
      </w:r>
      <w:r>
        <w:t>Gloria Craven &lt;</w:t>
      </w:r>
      <w:hyperlink r:id="rId210" w:history="1">
        <w:r>
          <w:rPr>
            <w:color w:val="0563C1"/>
            <w:u w:val="single"/>
          </w:rPr>
          <w:t>gcraven@policystrategists.com</w:t>
        </w:r>
      </w:hyperlink>
      <w:r>
        <w:rPr>
          <w:color w:val="000000"/>
        </w:rPr>
        <w:t>&gt;</w:t>
      </w:r>
    </w:p>
    <w:p w:rsidR="002C5025" w:rsidRDefault="002C5025">
      <w:pPr>
        <w:pStyle w:val="BodyText"/>
        <w:kinsoku w:val="0"/>
        <w:overflowPunct w:val="0"/>
        <w:spacing w:before="38"/>
        <w:ind w:left="120" w:right="296"/>
      </w:pPr>
      <w:r>
        <w:rPr>
          <w:b/>
          <w:bCs/>
        </w:rPr>
        <w:t xml:space="preserve">Date: </w:t>
      </w:r>
      <w:r>
        <w:t>June 27, 2016 at 4:50:44 PM EDT</w:t>
      </w:r>
    </w:p>
    <w:p w:rsidR="002C5025" w:rsidRDefault="002C5025">
      <w:pPr>
        <w:pStyle w:val="BodyText"/>
        <w:kinsoku w:val="0"/>
        <w:overflowPunct w:val="0"/>
        <w:spacing w:before="41"/>
        <w:ind w:left="119" w:right="296"/>
        <w:rPr>
          <w:color w:val="000000"/>
        </w:rPr>
      </w:pPr>
      <w:r>
        <w:rPr>
          <w:b/>
          <w:bCs/>
        </w:rPr>
        <w:t xml:space="preserve">To: </w:t>
      </w:r>
      <w:r>
        <w:t>"Cassel Kraft, Amanda (EHS)" &lt;</w:t>
      </w:r>
      <w:hyperlink r:id="rId211" w:history="1">
        <w:r>
          <w:rPr>
            <w:color w:val="0563C1"/>
            <w:u w:val="single"/>
          </w:rPr>
          <w:t>Amanda.CasselKraft@MassMail.State.MA.US</w:t>
        </w:r>
      </w:hyperlink>
      <w:r>
        <w:rPr>
          <w:color w:val="000000"/>
        </w:rPr>
        <w:t>&gt;</w:t>
      </w:r>
    </w:p>
    <w:p w:rsidR="002C5025" w:rsidRDefault="002C5025">
      <w:pPr>
        <w:pStyle w:val="BodyText"/>
        <w:kinsoku w:val="0"/>
        <w:overflowPunct w:val="0"/>
        <w:spacing w:before="41"/>
        <w:ind w:left="120" w:right="296"/>
        <w:rPr>
          <w:color w:val="000000"/>
        </w:rPr>
      </w:pPr>
      <w:r>
        <w:rPr>
          <w:b/>
          <w:bCs/>
        </w:rPr>
        <w:t xml:space="preserve">Cc: </w:t>
      </w:r>
      <w:r>
        <w:t>"Stacey Ober (Stacey Ober)" &lt;</w:t>
      </w:r>
      <w:hyperlink r:id="rId212" w:history="1">
        <w:r>
          <w:rPr>
            <w:color w:val="0563C1"/>
            <w:u w:val="single"/>
          </w:rPr>
          <w:t>sober@policystrategists.com</w:t>
        </w:r>
      </w:hyperlink>
      <w:r>
        <w:rPr>
          <w:color w:val="000000"/>
        </w:rPr>
        <w:t>&gt;</w:t>
      </w:r>
    </w:p>
    <w:p w:rsidR="002C5025" w:rsidRDefault="002C5025">
      <w:pPr>
        <w:pStyle w:val="BodyText"/>
        <w:kinsoku w:val="0"/>
        <w:overflowPunct w:val="0"/>
        <w:spacing w:before="38"/>
        <w:ind w:left="120" w:right="296"/>
        <w:rPr>
          <w:b/>
          <w:bCs/>
        </w:rPr>
      </w:pPr>
      <w:r>
        <w:rPr>
          <w:b/>
          <w:bCs/>
        </w:rPr>
        <w:t>Subject: Cost efficiency estimate</w:t>
      </w:r>
    </w:p>
    <w:p w:rsidR="002C5025" w:rsidRDefault="002C5025">
      <w:pPr>
        <w:pStyle w:val="BodyText"/>
        <w:kinsoku w:val="0"/>
        <w:overflowPunct w:val="0"/>
        <w:spacing w:before="2"/>
        <w:rPr>
          <w:b/>
          <w:bCs/>
          <w:sz w:val="23"/>
          <w:szCs w:val="23"/>
        </w:rPr>
      </w:pPr>
    </w:p>
    <w:p w:rsidR="002C5025" w:rsidRDefault="002C5025">
      <w:pPr>
        <w:pStyle w:val="BodyText"/>
        <w:kinsoku w:val="0"/>
        <w:overflowPunct w:val="0"/>
        <w:ind w:left="120" w:right="296"/>
      </w:pPr>
      <w:r>
        <w:t>Hi Amanda:</w:t>
      </w:r>
    </w:p>
    <w:p w:rsidR="002C5025" w:rsidRDefault="002C5025">
      <w:pPr>
        <w:pStyle w:val="BodyText"/>
        <w:kinsoku w:val="0"/>
        <w:overflowPunct w:val="0"/>
        <w:spacing w:before="5"/>
        <w:rPr>
          <w:sz w:val="19"/>
          <w:szCs w:val="19"/>
        </w:rPr>
      </w:pPr>
    </w:p>
    <w:p w:rsidR="002C5025" w:rsidRDefault="002C5025">
      <w:pPr>
        <w:pStyle w:val="BodyText"/>
        <w:kinsoku w:val="0"/>
        <w:overflowPunct w:val="0"/>
        <w:spacing w:before="1" w:line="278" w:lineRule="auto"/>
        <w:ind w:left="119" w:right="296"/>
      </w:pPr>
      <w:r>
        <w:t>It was great to see you on Friday. It’s clear that you and your team have been very busy. Thanks for all you are doing.</w:t>
      </w:r>
    </w:p>
    <w:p w:rsidR="002C5025" w:rsidRDefault="002C5025">
      <w:pPr>
        <w:pStyle w:val="BodyText"/>
        <w:kinsoku w:val="0"/>
        <w:overflowPunct w:val="0"/>
      </w:pPr>
    </w:p>
    <w:p w:rsidR="002C5025" w:rsidRDefault="002C5025">
      <w:pPr>
        <w:pStyle w:val="BodyText"/>
        <w:kinsoku w:val="0"/>
        <w:overflowPunct w:val="0"/>
      </w:pPr>
    </w:p>
    <w:p w:rsidR="002C5025" w:rsidRDefault="002C5025">
      <w:pPr>
        <w:pStyle w:val="BodyText"/>
        <w:kinsoku w:val="0"/>
        <w:overflowPunct w:val="0"/>
        <w:spacing w:before="166" w:line="276" w:lineRule="auto"/>
        <w:ind w:left="119" w:right="98"/>
      </w:pPr>
      <w:r>
        <w:t xml:space="preserve">Stacey and I were both pleased and intrigued that Governor Baker in the proposed MassHealth 1115 Demonstration waiver states, “Restructuring Massachusetts’ health care delivery system requires a well- equipped health care workforce </w:t>
      </w:r>
      <w:r>
        <w:rPr>
          <w:shd w:val="clear" w:color="auto" w:fill="FFFF00"/>
        </w:rPr>
        <w:t>that practices at the top of its licenses</w:t>
      </w:r>
      <w:r>
        <w:t>.” and supports a student loan repayment program that highlights advanced practice registered nurses. See full waiver proposal p. 48, dated June 15, 2016.</w:t>
      </w:r>
    </w:p>
    <w:p w:rsidR="002C5025" w:rsidRDefault="002C5025">
      <w:pPr>
        <w:pStyle w:val="BodyText"/>
        <w:kinsoku w:val="0"/>
        <w:overflowPunct w:val="0"/>
      </w:pPr>
    </w:p>
    <w:p w:rsidR="002C5025" w:rsidRDefault="002C5025">
      <w:pPr>
        <w:pStyle w:val="BodyText"/>
        <w:kinsoku w:val="0"/>
        <w:overflowPunct w:val="0"/>
      </w:pPr>
    </w:p>
    <w:p w:rsidR="002C5025" w:rsidRDefault="002C5025">
      <w:pPr>
        <w:pStyle w:val="BodyText"/>
        <w:kinsoku w:val="0"/>
        <w:overflowPunct w:val="0"/>
        <w:spacing w:before="169" w:line="276" w:lineRule="auto"/>
        <w:ind w:left="119" w:right="88"/>
        <w:rPr>
          <w:i/>
          <w:iCs/>
        </w:rPr>
      </w:pPr>
      <w:r>
        <w:t xml:space="preserve">Enclosed please have an estimate on cost and opportunity loss of the “physician supervision” requirement on NPs licenses that prevent us for “practicing to the top of our licenses” from only one community health center. This is what we are looking to remove in our bill </w:t>
      </w:r>
      <w:r>
        <w:rPr>
          <w:i/>
          <w:iCs/>
        </w:rPr>
        <w:t>H. 1996/S. 1207 An Act to Remove Restrictions on the Licenses of NPs and CRNAs as Recommended by the Institute of Medicine and the Federal Trade Commission.</w:t>
      </w:r>
    </w:p>
    <w:p w:rsidR="002C5025" w:rsidRDefault="002C5025">
      <w:pPr>
        <w:pStyle w:val="BodyText"/>
        <w:kinsoku w:val="0"/>
        <w:overflowPunct w:val="0"/>
        <w:rPr>
          <w:i/>
          <w:iCs/>
        </w:rPr>
      </w:pPr>
    </w:p>
    <w:p w:rsidR="002C5025" w:rsidRDefault="002C5025">
      <w:pPr>
        <w:pStyle w:val="BodyText"/>
        <w:kinsoku w:val="0"/>
        <w:overflowPunct w:val="0"/>
        <w:rPr>
          <w:i/>
          <w:iCs/>
        </w:rPr>
      </w:pPr>
    </w:p>
    <w:p w:rsidR="002C5025" w:rsidRDefault="002C5025">
      <w:pPr>
        <w:pStyle w:val="BodyText"/>
        <w:kinsoku w:val="0"/>
        <w:overflowPunct w:val="0"/>
        <w:spacing w:before="169" w:line="278" w:lineRule="auto"/>
        <w:ind w:left="119" w:right="300"/>
        <w:jc w:val="both"/>
      </w:pPr>
      <w:r>
        <w:t>My question is simple, does MassHealth have an estimate in relation to efficiencies that its looking for by this statement in the waiver? The example included here is for only one Community Health Center, which of course cares for a predominant number of MassHealth recipients.</w:t>
      </w:r>
    </w:p>
    <w:p w:rsidR="002C5025" w:rsidRDefault="002C5025">
      <w:pPr>
        <w:pStyle w:val="BodyText"/>
        <w:kinsoku w:val="0"/>
        <w:overflowPunct w:val="0"/>
      </w:pPr>
    </w:p>
    <w:p w:rsidR="002C5025" w:rsidRDefault="002C5025">
      <w:pPr>
        <w:pStyle w:val="BodyText"/>
        <w:kinsoku w:val="0"/>
        <w:overflowPunct w:val="0"/>
      </w:pPr>
    </w:p>
    <w:p w:rsidR="002C5025" w:rsidRDefault="002C5025">
      <w:pPr>
        <w:pStyle w:val="BodyText"/>
        <w:kinsoku w:val="0"/>
        <w:overflowPunct w:val="0"/>
        <w:spacing w:before="169" w:line="453" w:lineRule="auto"/>
        <w:ind w:left="119" w:right="3074"/>
      </w:pPr>
      <w:r>
        <w:t>Let us know your thoughts and best estimates of savings to the system. Best,</w:t>
      </w:r>
    </w:p>
    <w:p w:rsidR="002C5025" w:rsidRDefault="002C5025">
      <w:pPr>
        <w:pStyle w:val="BodyText"/>
        <w:kinsoku w:val="0"/>
        <w:overflowPunct w:val="0"/>
        <w:spacing w:before="169" w:line="453" w:lineRule="auto"/>
        <w:ind w:left="119" w:right="3074"/>
        <w:sectPr w:rsidR="002C5025">
          <w:pgSz w:w="12240" w:h="15840"/>
          <w:pgMar w:top="1400" w:right="1340" w:bottom="280" w:left="1320" w:header="720" w:footer="720" w:gutter="0"/>
          <w:cols w:space="720"/>
          <w:noEndnote/>
        </w:sectPr>
      </w:pPr>
    </w:p>
    <w:p w:rsidR="002C5025" w:rsidRDefault="002C5025">
      <w:pPr>
        <w:pStyle w:val="BodyText"/>
        <w:kinsoku w:val="0"/>
        <w:overflowPunct w:val="0"/>
        <w:spacing w:before="39"/>
        <w:ind w:left="160" w:right="6077"/>
      </w:pPr>
      <w:r>
        <w:lastRenderedPageBreak/>
        <w:t>Gloria</w:t>
      </w:r>
    </w:p>
    <w:p w:rsidR="002C5025" w:rsidRDefault="002C5025">
      <w:pPr>
        <w:pStyle w:val="BodyText"/>
        <w:kinsoku w:val="0"/>
        <w:overflowPunct w:val="0"/>
      </w:pPr>
    </w:p>
    <w:p w:rsidR="002C5025" w:rsidRDefault="002C5025">
      <w:pPr>
        <w:pStyle w:val="BodyText"/>
        <w:kinsoku w:val="0"/>
        <w:overflowPunct w:val="0"/>
      </w:pPr>
    </w:p>
    <w:p w:rsidR="002C5025" w:rsidRDefault="002C5025">
      <w:pPr>
        <w:pStyle w:val="BodyText"/>
        <w:kinsoku w:val="0"/>
        <w:overflowPunct w:val="0"/>
      </w:pPr>
    </w:p>
    <w:p w:rsidR="002C5025" w:rsidRDefault="002C5025">
      <w:pPr>
        <w:pStyle w:val="BodyText"/>
        <w:kinsoku w:val="0"/>
        <w:overflowPunct w:val="0"/>
      </w:pPr>
    </w:p>
    <w:p w:rsidR="002C5025" w:rsidRDefault="002C5025">
      <w:pPr>
        <w:pStyle w:val="BodyText"/>
        <w:kinsoku w:val="0"/>
        <w:overflowPunct w:val="0"/>
        <w:spacing w:before="183" w:line="487" w:lineRule="auto"/>
        <w:ind w:left="160" w:right="6077"/>
        <w:rPr>
          <w:rFonts w:ascii="Georgia" w:hAnsi="Georgia" w:cs="Georgia"/>
          <w:i/>
          <w:iCs/>
          <w:sz w:val="20"/>
          <w:szCs w:val="20"/>
        </w:rPr>
      </w:pPr>
      <w:r>
        <w:rPr>
          <w:rFonts w:ascii="Georgia" w:hAnsi="Georgia" w:cs="Georgia"/>
          <w:i/>
          <w:iCs/>
          <w:sz w:val="20"/>
          <w:szCs w:val="20"/>
        </w:rPr>
        <w:t>Craven &amp; Ober Policy Strategists, LLC Cell: 617-680-0330</w:t>
      </w:r>
    </w:p>
    <w:p w:rsidR="002C5025" w:rsidRDefault="00FD19EE">
      <w:pPr>
        <w:pStyle w:val="BodyText"/>
        <w:kinsoku w:val="0"/>
        <w:overflowPunct w:val="0"/>
        <w:ind w:left="160" w:right="6077"/>
        <w:rPr>
          <w:rFonts w:ascii="Arial" w:hAnsi="Arial" w:cs="Arial"/>
          <w:color w:val="0000FF"/>
          <w:sz w:val="20"/>
          <w:szCs w:val="20"/>
        </w:rPr>
      </w:pPr>
      <w:hyperlink r:id="rId213" w:history="1">
        <w:r w:rsidR="002C5025">
          <w:rPr>
            <w:rFonts w:ascii="Arial" w:hAnsi="Arial" w:cs="Arial"/>
            <w:color w:val="0000FF"/>
            <w:sz w:val="20"/>
            <w:szCs w:val="20"/>
            <w:u w:val="single"/>
          </w:rPr>
          <w:t>www.policystrategists.com</w:t>
        </w:r>
      </w:hyperlink>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3"/>
        <w:rPr>
          <w:rFonts w:ascii="Arial" w:hAnsi="Arial" w:cs="Arial"/>
          <w:sz w:val="28"/>
          <w:szCs w:val="28"/>
        </w:rPr>
      </w:pPr>
    </w:p>
    <w:p w:rsidR="002C5025" w:rsidRDefault="002C5025">
      <w:pPr>
        <w:pStyle w:val="BodyText"/>
        <w:kinsoku w:val="0"/>
        <w:overflowPunct w:val="0"/>
        <w:spacing w:before="56"/>
        <w:ind w:left="160" w:right="6077"/>
      </w:pPr>
      <w:r>
        <w:t>13 NPs at NSCH; 6 MDs at NSCH</w:t>
      </w:r>
    </w:p>
    <w:p w:rsidR="002C5025" w:rsidRDefault="002C5025">
      <w:pPr>
        <w:pStyle w:val="BodyText"/>
        <w:kinsoku w:val="0"/>
        <w:overflowPunct w:val="0"/>
        <w:spacing w:before="5"/>
        <w:rPr>
          <w:sz w:val="19"/>
          <w:szCs w:val="19"/>
        </w:rPr>
      </w:pPr>
    </w:p>
    <w:p w:rsidR="002C5025" w:rsidRDefault="002C5025">
      <w:pPr>
        <w:pStyle w:val="BodyText"/>
        <w:kinsoku w:val="0"/>
        <w:overflowPunct w:val="0"/>
        <w:spacing w:before="1" w:line="276" w:lineRule="auto"/>
        <w:ind w:left="160" w:right="479"/>
      </w:pPr>
      <w:r>
        <w:t>Based on each NP meeting for 1 hour quarterly with collaborating MD (4 hours/year). The combined cost to pay salary for both the NP and MD for that hour they are not seeing patients is approximately</w:t>
      </w:r>
    </w:p>
    <w:p w:rsidR="002C5025" w:rsidRDefault="002C5025">
      <w:pPr>
        <w:pStyle w:val="BodyText"/>
        <w:kinsoku w:val="0"/>
        <w:overflowPunct w:val="0"/>
        <w:ind w:left="160" w:right="6077"/>
      </w:pPr>
      <w:r>
        <w:t>$150/hour.</w:t>
      </w:r>
    </w:p>
    <w:p w:rsidR="002C5025" w:rsidRDefault="002C5025">
      <w:pPr>
        <w:pStyle w:val="BodyText"/>
        <w:kinsoku w:val="0"/>
        <w:overflowPunct w:val="0"/>
        <w:spacing w:before="8"/>
        <w:rPr>
          <w:sz w:val="19"/>
          <w:szCs w:val="19"/>
        </w:rPr>
      </w:pPr>
    </w:p>
    <w:p w:rsidR="002C5025" w:rsidRDefault="00FB027C">
      <w:pPr>
        <w:pStyle w:val="BodyText"/>
        <w:kinsoku w:val="0"/>
        <w:overflowPunct w:val="0"/>
        <w:ind w:left="160" w:right="479"/>
        <w:rPr>
          <w:color w:val="000000"/>
        </w:rPr>
      </w:pPr>
      <w:r>
        <w:rPr>
          <w:noProof/>
        </w:rPr>
        <mc:AlternateContent>
          <mc:Choice Requires="wps">
            <w:drawing>
              <wp:anchor distT="0" distB="0" distL="0" distR="0" simplePos="0" relativeHeight="251568640" behindDoc="0" locked="0" layoutInCell="0" allowOverlap="1">
                <wp:simplePos x="0" y="0"/>
                <wp:positionH relativeFrom="page">
                  <wp:posOffset>895985</wp:posOffset>
                </wp:positionH>
                <wp:positionV relativeFrom="paragraph">
                  <wp:posOffset>219710</wp:posOffset>
                </wp:positionV>
                <wp:extent cx="5980430" cy="12700"/>
                <wp:effectExtent l="0" t="0" r="0" b="0"/>
                <wp:wrapTopAndBottom/>
                <wp:docPr id="761" name="Freeform 2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0430" cy="12700"/>
                        </a:xfrm>
                        <a:custGeom>
                          <a:avLst/>
                          <a:gdLst>
                            <a:gd name="T0" fmla="*/ 0 w 9418"/>
                            <a:gd name="T1" fmla="*/ 0 h 20"/>
                            <a:gd name="T2" fmla="*/ 9417 w 9418"/>
                            <a:gd name="T3" fmla="*/ 0 h 20"/>
                          </a:gdLst>
                          <a:ahLst/>
                          <a:cxnLst>
                            <a:cxn ang="0">
                              <a:pos x="T0" y="T1"/>
                            </a:cxn>
                            <a:cxn ang="0">
                              <a:pos x="T2" y="T3"/>
                            </a:cxn>
                          </a:cxnLst>
                          <a:rect l="0" t="0" r="r" b="b"/>
                          <a:pathLst>
                            <a:path w="9418" h="20">
                              <a:moveTo>
                                <a:pt x="0" y="0"/>
                              </a:moveTo>
                              <a:lnTo>
                                <a:pt x="9417" y="0"/>
                              </a:lnTo>
                            </a:path>
                          </a:pathLst>
                        </a:custGeom>
                        <a:noFill/>
                        <a:ln w="182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64" o:spid="_x0000_s1026" style="position:absolute;z-index:25156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0.55pt,17.3pt,541.4pt,17.3pt" coordsize="94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" o:allowincell="f" filled="f" strokeweight=".50797mm">
                <v:path arrowok="t" o:connecttype="custom" o:connectlocs="0,0;5979795,0" o:connectangles="0,0"/>
                <w10:wrap type="topAndBottom" anchorx="page"/>
              </v:polyline>
            </w:pict>
          </mc:Fallback>
        </mc:AlternateContent>
      </w:r>
      <w:r w:rsidR="002C5025">
        <w:t xml:space="preserve">13 meetings  x 4 hours x $150 = </w:t>
      </w:r>
      <w:r w:rsidR="002C5025">
        <w:rPr>
          <w:b/>
          <w:bCs/>
          <w:color w:val="FF0000"/>
        </w:rPr>
        <w:t>$7800</w:t>
      </w:r>
      <w:r w:rsidR="002C5025">
        <w:rPr>
          <w:color w:val="000000"/>
        </w:rPr>
        <w:t>/year spent on MD/NP salary dedicated to “supervision”</w:t>
      </w:r>
    </w:p>
    <w:p w:rsidR="002C5025" w:rsidRDefault="002C5025">
      <w:pPr>
        <w:pStyle w:val="BodyText"/>
        <w:kinsoku w:val="0"/>
        <w:overflowPunct w:val="0"/>
        <w:spacing w:before="1"/>
        <w:rPr>
          <w:sz w:val="9"/>
          <w:szCs w:val="9"/>
        </w:rPr>
      </w:pPr>
    </w:p>
    <w:p w:rsidR="002C5025" w:rsidRDefault="002C5025">
      <w:pPr>
        <w:pStyle w:val="BodyText"/>
        <w:kinsoku w:val="0"/>
        <w:overflowPunct w:val="0"/>
        <w:spacing w:before="56" w:line="278" w:lineRule="auto"/>
        <w:ind w:left="160" w:right="479"/>
      </w:pPr>
      <w:r>
        <w:t>There is also opportunity costs. 13 NPs meet with his/her collaborating MD for 4 hours per year for “supervision” = 52 hours we have 2 providers that could be seeing patients.</w:t>
      </w:r>
    </w:p>
    <w:p w:rsidR="002C5025" w:rsidRDefault="002C5025">
      <w:pPr>
        <w:pStyle w:val="BodyText"/>
        <w:kinsoku w:val="0"/>
        <w:overflowPunct w:val="0"/>
        <w:spacing w:before="195" w:after="19" w:line="278" w:lineRule="auto"/>
        <w:ind w:left="159" w:right="158"/>
        <w:rPr>
          <w:color w:val="000000"/>
        </w:rPr>
      </w:pPr>
      <w:r>
        <w:t xml:space="preserve">52 hours x 2 providers x $140 (reimbursement rate) x 3 patients per hour = </w:t>
      </w:r>
      <w:r>
        <w:rPr>
          <w:b/>
          <w:bCs/>
          <w:color w:val="FF0000"/>
        </w:rPr>
        <w:t>$43,680</w:t>
      </w:r>
      <w:r>
        <w:rPr>
          <w:color w:val="000000"/>
        </w:rPr>
        <w:t>/year loss of revenue b/c NPs are meeting with MDs for “supervision”</w:t>
      </w:r>
    </w:p>
    <w:p w:rsidR="002C5025" w:rsidRDefault="00FB027C">
      <w:pPr>
        <w:pStyle w:val="BodyText"/>
        <w:kinsoku w:val="0"/>
        <w:overflowPunct w:val="0"/>
        <w:spacing w:line="29" w:lineRule="exact"/>
        <w:ind w:left="116"/>
        <w:rPr>
          <w:position w:val="-1"/>
          <w:sz w:val="2"/>
          <w:szCs w:val="2"/>
        </w:rPr>
      </w:pPr>
      <w:r>
        <w:rPr>
          <w:noProof/>
          <w:position w:val="-1"/>
          <w:sz w:val="2"/>
          <w:szCs w:val="2"/>
        </w:rPr>
        <mc:AlternateContent>
          <mc:Choice Requires="wpg">
            <w:drawing>
              <wp:inline distT="0" distB="0" distL="0" distR="0">
                <wp:extent cx="5998845" cy="18415"/>
                <wp:effectExtent l="9525" t="9525" r="1905" b="635"/>
                <wp:docPr id="759"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8845" cy="18415"/>
                          <a:chOff x="0" y="0"/>
                          <a:chExt cx="9447" cy="29"/>
                        </a:xfrm>
                      </wpg:grpSpPr>
                      <wps:wsp>
                        <wps:cNvPr id="760" name="Freeform 266"/>
                        <wps:cNvSpPr>
                          <a:spLocks/>
                        </wps:cNvSpPr>
                        <wps:spPr bwMode="auto">
                          <a:xfrm>
                            <a:off x="14" y="14"/>
                            <a:ext cx="9418" cy="20"/>
                          </a:xfrm>
                          <a:custGeom>
                            <a:avLst/>
                            <a:gdLst>
                              <a:gd name="T0" fmla="*/ 0 w 9418"/>
                              <a:gd name="T1" fmla="*/ 0 h 20"/>
                              <a:gd name="T2" fmla="*/ 9417 w 9418"/>
                              <a:gd name="T3" fmla="*/ 0 h 20"/>
                            </a:gdLst>
                            <a:ahLst/>
                            <a:cxnLst>
                              <a:cxn ang="0">
                                <a:pos x="T0" y="T1"/>
                              </a:cxn>
                              <a:cxn ang="0">
                                <a:pos x="T2" y="T3"/>
                              </a:cxn>
                            </a:cxnLst>
                            <a:rect l="0" t="0" r="r" b="b"/>
                            <a:pathLst>
                              <a:path w="9418" h="20">
                                <a:moveTo>
                                  <a:pt x="0" y="0"/>
                                </a:moveTo>
                                <a:lnTo>
                                  <a:pt x="9417" y="0"/>
                                </a:lnTo>
                              </a:path>
                            </a:pathLst>
                          </a:custGeom>
                          <a:noFill/>
                          <a:ln w="182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65" o:spid="_x0000_s1026" style="width:472.35pt;height:1.45pt;mso-position-horizontal-relative:char;mso-position-vertical-relative:line" coordsize="944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">
                <v:shape id="Freeform 266" o:spid="_x0000_s1027" style="position:absolute;left:14;top:14;width:9418;height:20;visibility:visible;mso-wrap-style:square;v-text-anchor:top" coordsize="941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uXFL0A&#10;AADcAAAADwAAAGRycy9kb3ducmV2LnhtbERPSwrCMBDdC94hjOBOUz+oVKOIIKg7a8Ht0IxtsZmU&#10;Jmr19GYhuHy8/2rTmko8qXGlZQWjYQSCOLO65FxBetkPFiCcR9ZYWSYFb3KwWXc7K4y1ffGZnonP&#10;RQhhF6OCwvs6ltJlBRl0Q1sTB+5mG4M+wCaXusFXCDeVHEfRTBosOTQUWNOuoOyePIyC09mn5Tb5&#10;7D6TPY2PzlzdYXpVqt9rt0sQnlr/F//cB61gPgvzw5lwBOT6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huXFL0AAADcAAAADwAAAAAAAAAAAAAAAACYAgAAZHJzL2Rvd25yZXYu&#10;eG1sUEsFBgAAAAAEAAQA9QAAAIIDAAAAAA==&#10;" path="m,l9417,e" filled="f" strokeweight=".50797mm">
                  <v:path arrowok="t" o:connecttype="custom" o:connectlocs="0,0;9417,0" o:connectangles="0,0"/>
                </v:shape>
                <w10:anchorlock/>
              </v:group>
            </w:pict>
          </mc:Fallback>
        </mc:AlternateContent>
      </w:r>
    </w:p>
    <w:p w:rsidR="002C5025" w:rsidRDefault="002C5025">
      <w:pPr>
        <w:pStyle w:val="BodyText"/>
        <w:kinsoku w:val="0"/>
        <w:overflowPunct w:val="0"/>
        <w:spacing w:before="8"/>
        <w:rPr>
          <w:sz w:val="11"/>
          <w:szCs w:val="11"/>
        </w:rPr>
      </w:pPr>
    </w:p>
    <w:p w:rsidR="002C5025" w:rsidRDefault="002C5025">
      <w:pPr>
        <w:pStyle w:val="BodyText"/>
        <w:kinsoku w:val="0"/>
        <w:overflowPunct w:val="0"/>
        <w:spacing w:before="56"/>
        <w:ind w:left="160" w:right="479"/>
        <w:rPr>
          <w:b/>
          <w:bCs/>
          <w:color w:val="FF0000"/>
        </w:rPr>
      </w:pPr>
      <w:r>
        <w:t xml:space="preserve">Total cost of NP supervision to NSCH annually is $7800 + $43,680 = </w:t>
      </w:r>
      <w:r>
        <w:rPr>
          <w:b/>
          <w:bCs/>
          <w:color w:val="FF0000"/>
        </w:rPr>
        <w:t>$51,480</w:t>
      </w:r>
    </w:p>
    <w:p w:rsidR="002C5025" w:rsidRDefault="002C5025">
      <w:pPr>
        <w:pStyle w:val="BodyText"/>
        <w:kinsoku w:val="0"/>
        <w:overflowPunct w:val="0"/>
        <w:spacing w:before="56"/>
        <w:ind w:left="160" w:right="479"/>
        <w:rPr>
          <w:b/>
          <w:bCs/>
          <w:color w:val="FF0000"/>
        </w:rPr>
        <w:sectPr w:rsidR="002C5025">
          <w:pgSz w:w="12240" w:h="15840"/>
          <w:pgMar w:top="1400" w:right="1280" w:bottom="280" w:left="1280" w:header="720" w:footer="720" w:gutter="0"/>
          <w:cols w:space="720" w:equalWidth="0">
            <w:col w:w="9680"/>
          </w:cols>
          <w:noEndnote/>
        </w:sectPr>
      </w:pPr>
    </w:p>
    <w:p w:rsidR="002C5025" w:rsidRDefault="002C5025">
      <w:pPr>
        <w:pStyle w:val="BodyText"/>
        <w:kinsoku w:val="0"/>
        <w:overflowPunct w:val="0"/>
        <w:spacing w:before="39"/>
        <w:ind w:left="120" w:right="5879"/>
        <w:rPr>
          <w:rFonts w:ascii="Tahoma" w:hAnsi="Tahoma" w:cs="Tahoma"/>
          <w:sz w:val="20"/>
          <w:szCs w:val="20"/>
        </w:rPr>
      </w:pPr>
      <w:bookmarkStart w:id="92" w:name="Craven_comments_Part_2_Cost_efficiency_e"/>
      <w:bookmarkStart w:id="93" w:name="From:_Cassel_Kraft,_Amanda_(EHS)__Sent:_"/>
      <w:bookmarkEnd w:id="92"/>
      <w:bookmarkEnd w:id="93"/>
      <w:r>
        <w:rPr>
          <w:rFonts w:ascii="Tahoma" w:hAnsi="Tahoma" w:cs="Tahoma"/>
          <w:b/>
          <w:bCs/>
          <w:sz w:val="20"/>
          <w:szCs w:val="20"/>
        </w:rPr>
        <w:lastRenderedPageBreak/>
        <w:t xml:space="preserve">From: </w:t>
      </w:r>
      <w:r>
        <w:rPr>
          <w:rFonts w:ascii="Tahoma" w:hAnsi="Tahoma" w:cs="Tahoma"/>
          <w:sz w:val="20"/>
          <w:szCs w:val="20"/>
        </w:rPr>
        <w:t xml:space="preserve">Cassel Kraft, Amanda (EHS) </w:t>
      </w:r>
      <w:r>
        <w:rPr>
          <w:rFonts w:ascii="Tahoma" w:hAnsi="Tahoma" w:cs="Tahoma"/>
          <w:b/>
          <w:bCs/>
          <w:sz w:val="20"/>
          <w:szCs w:val="20"/>
        </w:rPr>
        <w:t xml:space="preserve">Sent: </w:t>
      </w:r>
      <w:r>
        <w:rPr>
          <w:rFonts w:ascii="Tahoma" w:hAnsi="Tahoma" w:cs="Tahoma"/>
          <w:sz w:val="20"/>
          <w:szCs w:val="20"/>
        </w:rPr>
        <w:t xml:space="preserve">Tuesday, June 28, 2016 1:48 PM </w:t>
      </w:r>
      <w:r>
        <w:rPr>
          <w:rFonts w:ascii="Tahoma" w:hAnsi="Tahoma" w:cs="Tahoma"/>
          <w:b/>
          <w:bCs/>
          <w:sz w:val="20"/>
          <w:szCs w:val="20"/>
        </w:rPr>
        <w:t xml:space="preserve">To: </w:t>
      </w:r>
      <w:r>
        <w:rPr>
          <w:rFonts w:ascii="Tahoma" w:hAnsi="Tahoma" w:cs="Tahoma"/>
          <w:sz w:val="20"/>
          <w:szCs w:val="20"/>
        </w:rPr>
        <w:t xml:space="preserve">MassHealth.Innovations (EHS) </w:t>
      </w:r>
      <w:r>
        <w:rPr>
          <w:rFonts w:ascii="Tahoma" w:hAnsi="Tahoma" w:cs="Tahoma"/>
          <w:b/>
          <w:bCs/>
          <w:sz w:val="20"/>
          <w:szCs w:val="20"/>
        </w:rPr>
        <w:t xml:space="preserve">Subject: </w:t>
      </w:r>
      <w:proofErr w:type="spellStart"/>
      <w:r>
        <w:rPr>
          <w:rFonts w:ascii="Tahoma" w:hAnsi="Tahoma" w:cs="Tahoma"/>
          <w:sz w:val="20"/>
          <w:szCs w:val="20"/>
        </w:rPr>
        <w:t>Fwd</w:t>
      </w:r>
      <w:proofErr w:type="spellEnd"/>
      <w:r>
        <w:rPr>
          <w:rFonts w:ascii="Tahoma" w:hAnsi="Tahoma" w:cs="Tahoma"/>
          <w:sz w:val="20"/>
          <w:szCs w:val="20"/>
        </w:rPr>
        <w:t>: Cost efficiency estimate</w:t>
      </w:r>
    </w:p>
    <w:p w:rsidR="002C5025" w:rsidRDefault="002C5025">
      <w:pPr>
        <w:pStyle w:val="BodyText"/>
        <w:kinsoku w:val="0"/>
        <w:overflowPunct w:val="0"/>
        <w:spacing w:before="11"/>
        <w:rPr>
          <w:rFonts w:ascii="Tahoma" w:hAnsi="Tahoma" w:cs="Tahoma"/>
          <w:sz w:val="21"/>
          <w:szCs w:val="21"/>
        </w:rPr>
      </w:pPr>
    </w:p>
    <w:p w:rsidR="002C5025" w:rsidRDefault="002C5025">
      <w:pPr>
        <w:pStyle w:val="BodyText"/>
        <w:kinsoku w:val="0"/>
        <w:overflowPunct w:val="0"/>
        <w:spacing w:line="480" w:lineRule="auto"/>
        <w:ind w:left="119" w:right="5879"/>
      </w:pPr>
      <w:r>
        <w:t>Forwarding for waiver public comments Sent from my iPhone</w:t>
      </w:r>
    </w:p>
    <w:p w:rsidR="002C5025" w:rsidRDefault="002C5025">
      <w:pPr>
        <w:pStyle w:val="BodyText"/>
        <w:kinsoku w:val="0"/>
        <w:overflowPunct w:val="0"/>
        <w:ind w:left="119" w:right="296"/>
      </w:pPr>
      <w:r>
        <w:t>Begin forwarded message:</w:t>
      </w:r>
    </w:p>
    <w:p w:rsidR="002C5025" w:rsidRDefault="002C5025">
      <w:pPr>
        <w:pStyle w:val="BodyText"/>
        <w:kinsoku w:val="0"/>
        <w:overflowPunct w:val="0"/>
        <w:spacing w:before="8"/>
        <w:rPr>
          <w:sz w:val="19"/>
          <w:szCs w:val="19"/>
        </w:rPr>
      </w:pPr>
    </w:p>
    <w:p w:rsidR="002C5025" w:rsidRDefault="002C5025">
      <w:pPr>
        <w:pStyle w:val="BodyText"/>
        <w:kinsoku w:val="0"/>
        <w:overflowPunct w:val="0"/>
        <w:ind w:left="119" w:right="296"/>
        <w:rPr>
          <w:color w:val="000000"/>
        </w:rPr>
      </w:pPr>
      <w:bookmarkStart w:id="94" w:name="From:_Gloria_Craven_&lt;31TUgcraven@policys"/>
      <w:bookmarkEnd w:id="94"/>
      <w:r>
        <w:rPr>
          <w:b/>
          <w:bCs/>
        </w:rPr>
        <w:t xml:space="preserve">From: </w:t>
      </w:r>
      <w:r>
        <w:t>Gloria Craven &lt;</w:t>
      </w:r>
      <w:hyperlink r:id="rId214" w:history="1">
        <w:r>
          <w:rPr>
            <w:color w:val="0563C1"/>
            <w:u w:val="single"/>
          </w:rPr>
          <w:t>gcraven@policystrategists.com</w:t>
        </w:r>
      </w:hyperlink>
      <w:r>
        <w:rPr>
          <w:color w:val="000000"/>
        </w:rPr>
        <w:t>&gt;</w:t>
      </w:r>
    </w:p>
    <w:p w:rsidR="002C5025" w:rsidRDefault="002C5025">
      <w:pPr>
        <w:pStyle w:val="BodyText"/>
        <w:kinsoku w:val="0"/>
        <w:overflowPunct w:val="0"/>
        <w:ind w:left="120" w:right="296"/>
      </w:pPr>
      <w:r>
        <w:rPr>
          <w:b/>
          <w:bCs/>
        </w:rPr>
        <w:t xml:space="preserve">Date: </w:t>
      </w:r>
      <w:r>
        <w:t>June 28, 2016 at 1:44:19 PM EDT</w:t>
      </w:r>
    </w:p>
    <w:p w:rsidR="002C5025" w:rsidRDefault="002C5025">
      <w:pPr>
        <w:pStyle w:val="BodyText"/>
        <w:kinsoku w:val="0"/>
        <w:overflowPunct w:val="0"/>
        <w:spacing w:line="268" w:lineRule="exact"/>
        <w:ind w:left="119" w:right="296"/>
        <w:rPr>
          <w:color w:val="000000"/>
        </w:rPr>
      </w:pPr>
      <w:r>
        <w:rPr>
          <w:b/>
          <w:bCs/>
        </w:rPr>
        <w:t xml:space="preserve">To: </w:t>
      </w:r>
      <w:r>
        <w:t>"Cassel Kraft, Amanda (EHS)" &lt;</w:t>
      </w:r>
      <w:hyperlink r:id="rId215" w:history="1">
        <w:r>
          <w:rPr>
            <w:color w:val="0563C1"/>
            <w:u w:val="single"/>
          </w:rPr>
          <w:t>Amanda.CasselKraft@MassMail.State.MA.US</w:t>
        </w:r>
      </w:hyperlink>
      <w:r>
        <w:rPr>
          <w:color w:val="000000"/>
        </w:rPr>
        <w:t>&gt;</w:t>
      </w:r>
    </w:p>
    <w:p w:rsidR="002C5025" w:rsidRDefault="002C5025">
      <w:pPr>
        <w:pStyle w:val="BodyText"/>
        <w:kinsoku w:val="0"/>
        <w:overflowPunct w:val="0"/>
        <w:spacing w:line="268" w:lineRule="exact"/>
        <w:ind w:left="120" w:right="296"/>
        <w:rPr>
          <w:color w:val="000000"/>
        </w:rPr>
      </w:pPr>
      <w:r>
        <w:rPr>
          <w:b/>
          <w:bCs/>
        </w:rPr>
        <w:t xml:space="preserve">Cc: </w:t>
      </w:r>
      <w:r>
        <w:t>"Stacey Ober (Stacey Ober)" &lt;</w:t>
      </w:r>
      <w:hyperlink r:id="rId216" w:history="1">
        <w:r>
          <w:rPr>
            <w:color w:val="0563C1"/>
            <w:u w:val="single"/>
          </w:rPr>
          <w:t>sober@policystrategists.com</w:t>
        </w:r>
      </w:hyperlink>
      <w:r>
        <w:rPr>
          <w:color w:val="000000"/>
        </w:rPr>
        <w:t>&gt;</w:t>
      </w:r>
    </w:p>
    <w:p w:rsidR="002C5025" w:rsidRDefault="002C5025">
      <w:pPr>
        <w:pStyle w:val="BodyText"/>
        <w:kinsoku w:val="0"/>
        <w:overflowPunct w:val="0"/>
        <w:ind w:left="120" w:right="296"/>
        <w:rPr>
          <w:b/>
          <w:bCs/>
        </w:rPr>
      </w:pPr>
      <w:r>
        <w:rPr>
          <w:b/>
          <w:bCs/>
        </w:rPr>
        <w:t>Subject: RE: Cost efficiency estimate</w:t>
      </w:r>
    </w:p>
    <w:p w:rsidR="002C5025" w:rsidRDefault="002C5025">
      <w:pPr>
        <w:pStyle w:val="BodyText"/>
        <w:kinsoku w:val="0"/>
        <w:overflowPunct w:val="0"/>
        <w:spacing w:before="8"/>
        <w:rPr>
          <w:b/>
          <w:bCs/>
          <w:sz w:val="19"/>
          <w:szCs w:val="19"/>
        </w:rPr>
      </w:pPr>
    </w:p>
    <w:p w:rsidR="002C5025" w:rsidRDefault="002C5025">
      <w:pPr>
        <w:pStyle w:val="BodyText"/>
        <w:kinsoku w:val="0"/>
        <w:overflowPunct w:val="0"/>
        <w:ind w:left="120" w:right="296"/>
        <w:rPr>
          <w:color w:val="1F497D"/>
        </w:rPr>
      </w:pPr>
      <w:r>
        <w:rPr>
          <w:color w:val="1F497D"/>
        </w:rPr>
        <w:t>Hi Amanda:</w:t>
      </w:r>
    </w:p>
    <w:p w:rsidR="002C5025" w:rsidRDefault="002C5025">
      <w:pPr>
        <w:pStyle w:val="BodyText"/>
        <w:kinsoku w:val="0"/>
        <w:overflowPunct w:val="0"/>
        <w:ind w:left="119" w:right="296"/>
        <w:rPr>
          <w:color w:val="1F497D"/>
        </w:rPr>
      </w:pPr>
      <w:r>
        <w:rPr>
          <w:color w:val="1F497D"/>
        </w:rPr>
        <w:t>I don’t know if this is helpful but our colleagues from the AARP Public Policy Institute quote the estimates below:</w:t>
      </w:r>
    </w:p>
    <w:p w:rsidR="002C5025" w:rsidRDefault="002C5025">
      <w:pPr>
        <w:pStyle w:val="BodyText"/>
        <w:kinsoku w:val="0"/>
        <w:overflowPunct w:val="0"/>
        <w:spacing w:before="1"/>
        <w:rPr>
          <w:sz w:val="20"/>
          <w:szCs w:val="20"/>
        </w:rPr>
      </w:pPr>
    </w:p>
    <w:p w:rsidR="002C5025" w:rsidRDefault="002C5025">
      <w:pPr>
        <w:pStyle w:val="BodyText"/>
        <w:kinsoku w:val="0"/>
        <w:overflowPunct w:val="0"/>
        <w:ind w:left="119" w:right="166" w:hanging="1"/>
      </w:pPr>
      <w:r>
        <w:t>According to the Florida Office of Program Policy Analysis and Government Accountability,</w:t>
      </w:r>
      <w:hyperlink w:anchor="bookmark19" w:history="1">
        <w:r>
          <w:rPr>
            <w:position w:val="10"/>
            <w:sz w:val="14"/>
            <w:szCs w:val="14"/>
          </w:rPr>
          <w:t>[</w:t>
        </w:r>
        <w:proofErr w:type="spellStart"/>
        <w:r>
          <w:rPr>
            <w:position w:val="10"/>
            <w:sz w:val="14"/>
            <w:szCs w:val="14"/>
          </w:rPr>
          <w:t>i</w:t>
        </w:r>
        <w:proofErr w:type="spellEnd"/>
        <w:r>
          <w:rPr>
            <w:position w:val="10"/>
            <w:sz w:val="14"/>
            <w:szCs w:val="14"/>
          </w:rPr>
          <w:t>]</w:t>
        </w:r>
      </w:hyperlink>
      <w:r>
        <w:rPr>
          <w:position w:val="10"/>
          <w:sz w:val="14"/>
          <w:szCs w:val="14"/>
        </w:rPr>
        <w:t xml:space="preserve"> </w:t>
      </w:r>
      <w:r>
        <w:t>potential cost savings from expanding scope of practice in primary care could be significant. Annual Medicaid savings are estimated between $7 million to $44 million. Additional savings would result in APRNs could provide primary care to Florida state employees.</w:t>
      </w:r>
    </w:p>
    <w:p w:rsidR="002C5025" w:rsidRDefault="002C5025">
      <w:pPr>
        <w:pStyle w:val="BodyText"/>
        <w:kinsoku w:val="0"/>
        <w:overflowPunct w:val="0"/>
        <w:spacing w:before="192" w:line="268" w:lineRule="exact"/>
        <w:ind w:left="119" w:right="404"/>
      </w:pPr>
      <w:r>
        <w:t>In Texas, noted economist Ray Perryman, calls for removing barriers to APRN care to improve patient care and reduce costs. The Perryman Group’s impact analysis</w:t>
      </w:r>
      <w:hyperlink w:anchor="bookmark20" w:history="1">
        <w:r>
          <w:rPr>
            <w:position w:val="10"/>
            <w:sz w:val="14"/>
            <w:szCs w:val="14"/>
          </w:rPr>
          <w:t>[ii]</w:t>
        </w:r>
      </w:hyperlink>
      <w:r>
        <w:rPr>
          <w:position w:val="10"/>
          <w:sz w:val="14"/>
          <w:szCs w:val="14"/>
        </w:rPr>
        <w:t xml:space="preserve"> </w:t>
      </w:r>
      <w:r>
        <w:t>estimates that legislative changes to remove barriers to APRN practice and care could increase the state’s economic output by $8 billion annually.</w:t>
      </w:r>
    </w:p>
    <w:p w:rsidR="002C5025" w:rsidRDefault="002C5025">
      <w:pPr>
        <w:pStyle w:val="BodyText"/>
        <w:kinsoku w:val="0"/>
        <w:overflowPunct w:val="0"/>
      </w:pPr>
    </w:p>
    <w:p w:rsidR="002C5025" w:rsidRDefault="002C5025">
      <w:pPr>
        <w:pStyle w:val="BodyText"/>
        <w:kinsoku w:val="0"/>
        <w:overflowPunct w:val="0"/>
      </w:pPr>
    </w:p>
    <w:p w:rsidR="002C5025" w:rsidRDefault="002C5025">
      <w:pPr>
        <w:pStyle w:val="BodyText"/>
        <w:kinsoku w:val="0"/>
        <w:overflowPunct w:val="0"/>
        <w:spacing w:before="7"/>
        <w:rPr>
          <w:sz w:val="16"/>
          <w:szCs w:val="16"/>
        </w:rPr>
      </w:pPr>
    </w:p>
    <w:p w:rsidR="002C5025" w:rsidRDefault="002C5025">
      <w:pPr>
        <w:pStyle w:val="BodyText"/>
        <w:kinsoku w:val="0"/>
        <w:overflowPunct w:val="0"/>
        <w:ind w:left="120" w:right="6017"/>
        <w:rPr>
          <w:rFonts w:ascii="Georgia" w:hAnsi="Georgia" w:cs="Georgia"/>
          <w:i/>
          <w:iCs/>
          <w:color w:val="1F497D"/>
          <w:sz w:val="20"/>
          <w:szCs w:val="20"/>
        </w:rPr>
      </w:pPr>
      <w:r>
        <w:rPr>
          <w:rFonts w:ascii="Georgia" w:hAnsi="Georgia" w:cs="Georgia"/>
          <w:i/>
          <w:iCs/>
          <w:color w:val="1F497D"/>
          <w:sz w:val="20"/>
          <w:szCs w:val="20"/>
        </w:rPr>
        <w:t>Craven &amp; Ober Policy Strategists, LLC Cell: 617-680-0330</w:t>
      </w:r>
    </w:p>
    <w:p w:rsidR="002C5025" w:rsidRDefault="00FD19EE">
      <w:pPr>
        <w:pStyle w:val="BodyText"/>
        <w:kinsoku w:val="0"/>
        <w:overflowPunct w:val="0"/>
        <w:spacing w:before="1"/>
        <w:ind w:left="120" w:right="296"/>
        <w:rPr>
          <w:rFonts w:ascii="Arial" w:hAnsi="Arial" w:cs="Arial"/>
          <w:color w:val="0000FF"/>
          <w:sz w:val="20"/>
          <w:szCs w:val="20"/>
        </w:rPr>
      </w:pPr>
      <w:hyperlink r:id="rId217" w:history="1">
        <w:r w:rsidR="002C5025">
          <w:rPr>
            <w:rFonts w:ascii="Arial" w:hAnsi="Arial" w:cs="Arial"/>
            <w:color w:val="0000FF"/>
            <w:sz w:val="20"/>
            <w:szCs w:val="20"/>
            <w:u w:val="single"/>
          </w:rPr>
          <w:t>www.policystrategists.com</w:t>
        </w:r>
      </w:hyperlink>
    </w:p>
    <w:p w:rsidR="002C5025" w:rsidRDefault="002C5025">
      <w:pPr>
        <w:pStyle w:val="BodyText"/>
        <w:kinsoku w:val="0"/>
        <w:overflowPunct w:val="0"/>
        <w:spacing w:before="5"/>
        <w:rPr>
          <w:rFonts w:ascii="Arial" w:hAnsi="Arial" w:cs="Arial"/>
          <w:sz w:val="18"/>
          <w:szCs w:val="18"/>
        </w:rPr>
      </w:pPr>
    </w:p>
    <w:p w:rsidR="002C5025" w:rsidRDefault="002C5025">
      <w:pPr>
        <w:pStyle w:val="BodyText"/>
        <w:kinsoku w:val="0"/>
        <w:overflowPunct w:val="0"/>
        <w:spacing w:before="57" w:line="268" w:lineRule="exact"/>
        <w:ind w:left="120" w:right="296"/>
        <w:rPr>
          <w:color w:val="000000"/>
        </w:rPr>
      </w:pPr>
      <w:bookmarkStart w:id="95" w:name="From:_Gloria_Craven_[31TUmailto:gcraven@"/>
      <w:bookmarkEnd w:id="95"/>
      <w:r>
        <w:rPr>
          <w:b/>
          <w:bCs/>
        </w:rPr>
        <w:t xml:space="preserve">From: </w:t>
      </w:r>
      <w:r>
        <w:t>Gloria Craven [</w:t>
      </w:r>
      <w:hyperlink r:id="rId218" w:history="1">
        <w:r>
          <w:rPr>
            <w:color w:val="0563C1"/>
            <w:u w:val="single"/>
          </w:rPr>
          <w:t>mailto:gcraven@policystrategists.com</w:t>
        </w:r>
      </w:hyperlink>
      <w:r>
        <w:rPr>
          <w:color w:val="000000"/>
        </w:rPr>
        <w:t>]</w:t>
      </w:r>
    </w:p>
    <w:p w:rsidR="002C5025" w:rsidRDefault="002C5025">
      <w:pPr>
        <w:pStyle w:val="BodyText"/>
        <w:kinsoku w:val="0"/>
        <w:overflowPunct w:val="0"/>
        <w:spacing w:line="268" w:lineRule="exact"/>
        <w:ind w:left="120" w:right="296"/>
      </w:pPr>
      <w:r>
        <w:rPr>
          <w:b/>
          <w:bCs/>
        </w:rPr>
        <w:t xml:space="preserve">Sent: </w:t>
      </w:r>
      <w:r>
        <w:t>Monday, June 27, 2016 4:51 PM</w:t>
      </w:r>
    </w:p>
    <w:p w:rsidR="002C5025" w:rsidRDefault="002C5025">
      <w:pPr>
        <w:pStyle w:val="BodyText"/>
        <w:kinsoku w:val="0"/>
        <w:overflowPunct w:val="0"/>
        <w:ind w:left="120" w:right="3492"/>
        <w:rPr>
          <w:color w:val="000000"/>
        </w:rPr>
      </w:pPr>
      <w:r>
        <w:rPr>
          <w:b/>
          <w:bCs/>
        </w:rPr>
        <w:t xml:space="preserve">To: </w:t>
      </w:r>
      <w:proofErr w:type="spellStart"/>
      <w:r>
        <w:t>CasselKraft</w:t>
      </w:r>
      <w:proofErr w:type="spellEnd"/>
      <w:r>
        <w:t>, Amanda (EHS) &lt;</w:t>
      </w:r>
      <w:hyperlink r:id="rId219" w:history="1">
        <w:r>
          <w:rPr>
            <w:color w:val="0563C1"/>
            <w:u w:val="single"/>
          </w:rPr>
          <w:t>amanda.casselkraft@state.ma.us</w:t>
        </w:r>
      </w:hyperlink>
      <w:r>
        <w:rPr>
          <w:color w:val="000000"/>
        </w:rPr>
        <w:t xml:space="preserve">&gt; </w:t>
      </w:r>
      <w:r>
        <w:rPr>
          <w:b/>
          <w:bCs/>
          <w:color w:val="000000"/>
        </w:rPr>
        <w:t xml:space="preserve">Cc: </w:t>
      </w:r>
      <w:r>
        <w:rPr>
          <w:color w:val="000000"/>
        </w:rPr>
        <w:t>Stacey Ober (Stacey Ober) &lt;</w:t>
      </w:r>
      <w:hyperlink r:id="rId220" w:history="1">
        <w:r>
          <w:rPr>
            <w:color w:val="0563C1"/>
            <w:u w:val="single"/>
          </w:rPr>
          <w:t>sober@policystrategists.com</w:t>
        </w:r>
      </w:hyperlink>
      <w:r>
        <w:rPr>
          <w:color w:val="000000"/>
        </w:rPr>
        <w:t xml:space="preserve">&gt; </w:t>
      </w:r>
      <w:r>
        <w:rPr>
          <w:b/>
          <w:bCs/>
          <w:color w:val="000000"/>
        </w:rPr>
        <w:t xml:space="preserve">Subject: </w:t>
      </w:r>
      <w:r>
        <w:rPr>
          <w:color w:val="000000"/>
        </w:rPr>
        <w:t>Cost efficiency estimate</w:t>
      </w:r>
    </w:p>
    <w:p w:rsidR="002C5025" w:rsidRDefault="002C5025">
      <w:pPr>
        <w:pStyle w:val="BodyText"/>
        <w:kinsoku w:val="0"/>
        <w:overflowPunct w:val="0"/>
      </w:pPr>
    </w:p>
    <w:p w:rsidR="002C5025" w:rsidRDefault="002C5025">
      <w:pPr>
        <w:pStyle w:val="BodyText"/>
        <w:kinsoku w:val="0"/>
        <w:overflowPunct w:val="0"/>
        <w:ind w:left="120" w:right="296"/>
      </w:pPr>
      <w:r>
        <w:t>Hi Amanda:</w:t>
      </w:r>
    </w:p>
    <w:p w:rsidR="002C5025" w:rsidRDefault="002C5025">
      <w:pPr>
        <w:pStyle w:val="BodyText"/>
        <w:kinsoku w:val="0"/>
        <w:overflowPunct w:val="0"/>
        <w:ind w:left="119" w:right="296"/>
      </w:pPr>
      <w:r>
        <w:t>It was great to see you on Friday. It’s clear that you and your team have been very busy. Thanks for all you are doing.</w:t>
      </w:r>
    </w:p>
    <w:p w:rsidR="002C5025" w:rsidRDefault="002C5025">
      <w:pPr>
        <w:pStyle w:val="BodyText"/>
        <w:kinsoku w:val="0"/>
        <w:overflowPunct w:val="0"/>
        <w:spacing w:before="9"/>
        <w:rPr>
          <w:sz w:val="21"/>
          <w:szCs w:val="21"/>
        </w:rPr>
      </w:pPr>
    </w:p>
    <w:p w:rsidR="002C5025" w:rsidRDefault="002C5025">
      <w:pPr>
        <w:pStyle w:val="BodyText"/>
        <w:kinsoku w:val="0"/>
        <w:overflowPunct w:val="0"/>
        <w:spacing w:line="266" w:lineRule="exact"/>
        <w:ind w:left="119" w:right="98"/>
      </w:pPr>
      <w:r>
        <w:t>Stacey and I were both pleased and intrigued that Governor Baker in the proposed MassHealth 1115 Demonstration waiver states, “Restructuring Massachusetts’ health care delivery system requires a well-</w:t>
      </w:r>
    </w:p>
    <w:p w:rsidR="002C5025" w:rsidRDefault="002C5025">
      <w:pPr>
        <w:pStyle w:val="BodyText"/>
        <w:kinsoku w:val="0"/>
        <w:overflowPunct w:val="0"/>
        <w:spacing w:line="266" w:lineRule="exact"/>
        <w:ind w:left="119" w:right="98"/>
        <w:sectPr w:rsidR="002C5025">
          <w:pgSz w:w="12240" w:h="15840"/>
          <w:pgMar w:top="1400" w:right="1340" w:bottom="280" w:left="1320" w:header="720" w:footer="720" w:gutter="0"/>
          <w:cols w:space="720" w:equalWidth="0">
            <w:col w:w="9580"/>
          </w:cols>
          <w:noEndnote/>
        </w:sectPr>
      </w:pPr>
    </w:p>
    <w:p w:rsidR="002C5025" w:rsidRDefault="002C5025">
      <w:pPr>
        <w:pStyle w:val="BodyText"/>
        <w:kinsoku w:val="0"/>
        <w:overflowPunct w:val="0"/>
        <w:spacing w:before="37"/>
        <w:ind w:left="120" w:right="188"/>
      </w:pPr>
      <w:r>
        <w:lastRenderedPageBreak/>
        <w:t xml:space="preserve">equipped health care workforce </w:t>
      </w:r>
      <w:r>
        <w:rPr>
          <w:shd w:val="clear" w:color="auto" w:fill="FFFF00"/>
        </w:rPr>
        <w:t>that practices at the top of its licenses</w:t>
      </w:r>
      <w:r>
        <w:t>.” and supports a student loan repayment program that highlights advanced practice registered nurses. See full waiver proposal p. 48, dated June 15, 2016.</w:t>
      </w:r>
    </w:p>
    <w:p w:rsidR="002C5025" w:rsidRDefault="002C5025">
      <w:pPr>
        <w:pStyle w:val="BodyText"/>
        <w:kinsoku w:val="0"/>
        <w:overflowPunct w:val="0"/>
      </w:pPr>
    </w:p>
    <w:p w:rsidR="002C5025" w:rsidRDefault="002C5025">
      <w:pPr>
        <w:pStyle w:val="BodyText"/>
        <w:kinsoku w:val="0"/>
        <w:overflowPunct w:val="0"/>
        <w:ind w:left="119" w:right="88"/>
        <w:rPr>
          <w:i/>
          <w:iCs/>
        </w:rPr>
      </w:pPr>
      <w:r>
        <w:t xml:space="preserve">Enclosed please have an estimate on cost and opportunity loss of the “physician supervision” requirement on NPs licenses that prevent us for “practicing to the top of our licenses” from only one community health center. This is what we are looking to remove in our bill </w:t>
      </w:r>
      <w:r>
        <w:rPr>
          <w:i/>
          <w:iCs/>
        </w:rPr>
        <w:t>H. 1996/S. 1207 An Act to Remove Restrictions on the Licenses of NPs and CRNAs as Recommended by the Institute of Medicine and the Federal Trade Commission.</w:t>
      </w:r>
    </w:p>
    <w:p w:rsidR="002C5025" w:rsidRDefault="002C5025">
      <w:pPr>
        <w:pStyle w:val="BodyText"/>
        <w:kinsoku w:val="0"/>
        <w:overflowPunct w:val="0"/>
        <w:rPr>
          <w:i/>
          <w:iCs/>
        </w:rPr>
      </w:pPr>
    </w:p>
    <w:p w:rsidR="002C5025" w:rsidRDefault="002C5025">
      <w:pPr>
        <w:pStyle w:val="BodyText"/>
        <w:kinsoku w:val="0"/>
        <w:overflowPunct w:val="0"/>
        <w:ind w:left="119" w:right="300"/>
        <w:jc w:val="both"/>
      </w:pPr>
      <w:r>
        <w:t>My question is simple, does MassHealth have an estimate in relation to efficiencies that its looking for by this statement in the waiver? The example included here is for only one Community Health Center, which of course cares for a predominant number of MassHealth recipients.</w:t>
      </w:r>
    </w:p>
    <w:p w:rsidR="002C5025" w:rsidRDefault="002C5025">
      <w:pPr>
        <w:pStyle w:val="BodyText"/>
        <w:kinsoku w:val="0"/>
        <w:overflowPunct w:val="0"/>
        <w:spacing w:before="9"/>
        <w:rPr>
          <w:sz w:val="21"/>
          <w:szCs w:val="21"/>
        </w:rPr>
      </w:pPr>
    </w:p>
    <w:p w:rsidR="002C5025" w:rsidRDefault="002C5025">
      <w:pPr>
        <w:pStyle w:val="BodyText"/>
        <w:kinsoku w:val="0"/>
        <w:overflowPunct w:val="0"/>
        <w:spacing w:line="266" w:lineRule="exact"/>
        <w:ind w:left="119" w:right="3074"/>
      </w:pPr>
      <w:r>
        <w:t>Let us know your thoughts and best estimates of savings to the system. Best,</w:t>
      </w:r>
    </w:p>
    <w:p w:rsidR="002C5025" w:rsidRDefault="002C5025">
      <w:pPr>
        <w:pStyle w:val="BodyText"/>
        <w:kinsoku w:val="0"/>
        <w:overflowPunct w:val="0"/>
        <w:spacing w:before="6"/>
        <w:ind w:left="119" w:right="296"/>
      </w:pPr>
      <w:r>
        <w:t>Gloria</w:t>
      </w:r>
    </w:p>
    <w:p w:rsidR="002C5025" w:rsidRDefault="002C5025">
      <w:pPr>
        <w:pStyle w:val="BodyText"/>
        <w:kinsoku w:val="0"/>
        <w:overflowPunct w:val="0"/>
      </w:pPr>
    </w:p>
    <w:p w:rsidR="002C5025" w:rsidRDefault="002C5025">
      <w:pPr>
        <w:pStyle w:val="BodyText"/>
        <w:kinsoku w:val="0"/>
        <w:overflowPunct w:val="0"/>
        <w:spacing w:before="1"/>
      </w:pPr>
    </w:p>
    <w:p w:rsidR="002C5025" w:rsidRDefault="002C5025">
      <w:pPr>
        <w:pStyle w:val="BodyText"/>
        <w:kinsoku w:val="0"/>
        <w:overflowPunct w:val="0"/>
        <w:ind w:left="120" w:right="6017"/>
        <w:rPr>
          <w:rFonts w:ascii="Georgia" w:hAnsi="Georgia" w:cs="Georgia"/>
          <w:i/>
          <w:iCs/>
          <w:sz w:val="20"/>
          <w:szCs w:val="20"/>
        </w:rPr>
      </w:pPr>
      <w:r>
        <w:rPr>
          <w:rFonts w:ascii="Georgia" w:hAnsi="Georgia" w:cs="Georgia"/>
          <w:i/>
          <w:iCs/>
          <w:sz w:val="20"/>
          <w:szCs w:val="20"/>
        </w:rPr>
        <w:t>Craven &amp; Ober Policy Strategists, LLC Cell: 617-680-0330</w:t>
      </w:r>
    </w:p>
    <w:p w:rsidR="002C5025" w:rsidRDefault="00FD19EE">
      <w:pPr>
        <w:pStyle w:val="BodyText"/>
        <w:kinsoku w:val="0"/>
        <w:overflowPunct w:val="0"/>
        <w:spacing w:line="229" w:lineRule="exact"/>
        <w:ind w:left="120" w:right="296"/>
        <w:rPr>
          <w:rFonts w:ascii="Arial" w:hAnsi="Arial" w:cs="Arial"/>
          <w:color w:val="0000FF"/>
          <w:sz w:val="20"/>
          <w:szCs w:val="20"/>
        </w:rPr>
      </w:pPr>
      <w:hyperlink r:id="rId221" w:history="1">
        <w:r w:rsidR="002C5025">
          <w:rPr>
            <w:rFonts w:ascii="Arial" w:hAnsi="Arial" w:cs="Arial"/>
            <w:color w:val="0000FF"/>
            <w:sz w:val="20"/>
            <w:szCs w:val="20"/>
            <w:u w:val="single"/>
          </w:rPr>
          <w:t>www.policystrategists.com</w:t>
        </w:r>
      </w:hyperlink>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FB027C">
      <w:pPr>
        <w:pStyle w:val="BodyText"/>
        <w:kinsoku w:val="0"/>
        <w:overflowPunct w:val="0"/>
        <w:spacing w:before="4"/>
        <w:rPr>
          <w:rFonts w:ascii="Arial" w:hAnsi="Arial" w:cs="Arial"/>
          <w:sz w:val="26"/>
          <w:szCs w:val="26"/>
        </w:rPr>
      </w:pPr>
      <w:r>
        <w:rPr>
          <w:noProof/>
        </w:rPr>
        <mc:AlternateContent>
          <mc:Choice Requires="wpg">
            <w:drawing>
              <wp:anchor distT="0" distB="0" distL="0" distR="0" simplePos="0" relativeHeight="251569664" behindDoc="0" locked="0" layoutInCell="0" allowOverlap="1">
                <wp:simplePos x="0" y="0"/>
                <wp:positionH relativeFrom="page">
                  <wp:posOffset>909955</wp:posOffset>
                </wp:positionH>
                <wp:positionV relativeFrom="paragraph">
                  <wp:posOffset>217170</wp:posOffset>
                </wp:positionV>
                <wp:extent cx="1970405" cy="12700"/>
                <wp:effectExtent l="0" t="0" r="0" b="0"/>
                <wp:wrapTopAndBottom/>
                <wp:docPr id="747"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0405" cy="12700"/>
                          <a:chOff x="1433" y="342"/>
                          <a:chExt cx="3103" cy="20"/>
                        </a:xfrm>
                      </wpg:grpSpPr>
                      <wps:wsp>
                        <wps:cNvPr id="748" name="Freeform 268"/>
                        <wps:cNvSpPr>
                          <a:spLocks/>
                        </wps:cNvSpPr>
                        <wps:spPr bwMode="auto">
                          <a:xfrm>
                            <a:off x="1440" y="349"/>
                            <a:ext cx="3089" cy="20"/>
                          </a:xfrm>
                          <a:custGeom>
                            <a:avLst/>
                            <a:gdLst>
                              <a:gd name="T0" fmla="*/ 0 w 3089"/>
                              <a:gd name="T1" fmla="*/ 0 h 20"/>
                              <a:gd name="T2" fmla="*/ 3089 w 3089"/>
                              <a:gd name="T3" fmla="*/ 0 h 20"/>
                            </a:gdLst>
                            <a:ahLst/>
                            <a:cxnLst>
                              <a:cxn ang="0">
                                <a:pos x="T0" y="T1"/>
                              </a:cxn>
                              <a:cxn ang="0">
                                <a:pos x="T2" y="T3"/>
                              </a:cxn>
                            </a:cxnLst>
                            <a:rect l="0" t="0" r="r" b="b"/>
                            <a:pathLst>
                              <a:path w="3089" h="20">
                                <a:moveTo>
                                  <a:pt x="0" y="0"/>
                                </a:moveTo>
                                <a:lnTo>
                                  <a:pt x="3089" y="0"/>
                                </a:lnTo>
                              </a:path>
                            </a:pathLst>
                          </a:custGeom>
                          <a:noFill/>
                          <a:ln w="8877">
                            <a:solidFill>
                              <a:srgbClr val="A1A1A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9" name="Freeform 269"/>
                        <wps:cNvSpPr>
                          <a:spLocks/>
                        </wps:cNvSpPr>
                        <wps:spPr bwMode="auto">
                          <a:xfrm>
                            <a:off x="1440" y="345"/>
                            <a:ext cx="20" cy="20"/>
                          </a:xfrm>
                          <a:custGeom>
                            <a:avLst/>
                            <a:gdLst>
                              <a:gd name="T0" fmla="*/ 0 w 20"/>
                              <a:gd name="T1" fmla="*/ 0 h 20"/>
                              <a:gd name="T2" fmla="*/ 4 w 20"/>
                              <a:gd name="T3" fmla="*/ 0 h 20"/>
                            </a:gdLst>
                            <a:ahLst/>
                            <a:cxnLst>
                              <a:cxn ang="0">
                                <a:pos x="T0" y="T1"/>
                              </a:cxn>
                              <a:cxn ang="0">
                                <a:pos x="T2" y="T3"/>
                              </a:cxn>
                            </a:cxnLst>
                            <a:rect l="0" t="0" r="r" b="b"/>
                            <a:pathLst>
                              <a:path w="20" h="20">
                                <a:moveTo>
                                  <a:pt x="0" y="0"/>
                                </a:moveTo>
                                <a:lnTo>
                                  <a:pt x="4" y="0"/>
                                </a:lnTo>
                              </a:path>
                            </a:pathLst>
                          </a:custGeom>
                          <a:noFill/>
                          <a:ln w="3035">
                            <a:solidFill>
                              <a:srgbClr val="A1A1A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0" name="Freeform 270"/>
                        <wps:cNvSpPr>
                          <a:spLocks/>
                        </wps:cNvSpPr>
                        <wps:spPr bwMode="auto">
                          <a:xfrm>
                            <a:off x="1444" y="345"/>
                            <a:ext cx="3080" cy="20"/>
                          </a:xfrm>
                          <a:custGeom>
                            <a:avLst/>
                            <a:gdLst>
                              <a:gd name="T0" fmla="*/ 0 w 3080"/>
                              <a:gd name="T1" fmla="*/ 0 h 20"/>
                              <a:gd name="T2" fmla="*/ 3079 w 3080"/>
                              <a:gd name="T3" fmla="*/ 0 h 20"/>
                            </a:gdLst>
                            <a:ahLst/>
                            <a:cxnLst>
                              <a:cxn ang="0">
                                <a:pos x="T0" y="T1"/>
                              </a:cxn>
                              <a:cxn ang="0">
                                <a:pos x="T2" y="T3"/>
                              </a:cxn>
                            </a:cxnLst>
                            <a:rect l="0" t="0" r="r" b="b"/>
                            <a:pathLst>
                              <a:path w="3080" h="20">
                                <a:moveTo>
                                  <a:pt x="0" y="0"/>
                                </a:moveTo>
                                <a:lnTo>
                                  <a:pt x="3079" y="0"/>
                                </a:lnTo>
                              </a:path>
                            </a:pathLst>
                          </a:custGeom>
                          <a:noFill/>
                          <a:ln w="3035">
                            <a:solidFill>
                              <a:srgbClr val="A1A1A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1" name="Freeform 271"/>
                        <wps:cNvSpPr>
                          <a:spLocks/>
                        </wps:cNvSpPr>
                        <wps:spPr bwMode="auto">
                          <a:xfrm>
                            <a:off x="4524" y="345"/>
                            <a:ext cx="20" cy="20"/>
                          </a:xfrm>
                          <a:custGeom>
                            <a:avLst/>
                            <a:gdLst>
                              <a:gd name="T0" fmla="*/ 0 w 20"/>
                              <a:gd name="T1" fmla="*/ 0 h 20"/>
                              <a:gd name="T2" fmla="*/ 4 w 20"/>
                              <a:gd name="T3" fmla="*/ 0 h 20"/>
                            </a:gdLst>
                            <a:ahLst/>
                            <a:cxnLst>
                              <a:cxn ang="0">
                                <a:pos x="T0" y="T1"/>
                              </a:cxn>
                              <a:cxn ang="0">
                                <a:pos x="T2" y="T3"/>
                              </a:cxn>
                            </a:cxnLst>
                            <a:rect l="0" t="0" r="r" b="b"/>
                            <a:pathLst>
                              <a:path w="20" h="20">
                                <a:moveTo>
                                  <a:pt x="0" y="0"/>
                                </a:moveTo>
                                <a:lnTo>
                                  <a:pt x="4" y="0"/>
                                </a:lnTo>
                              </a:path>
                            </a:pathLst>
                          </a:custGeom>
                          <a:noFill/>
                          <a:ln w="3035">
                            <a:solidFill>
                              <a:srgbClr val="E4E4E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2" name="Freeform 272"/>
                        <wps:cNvSpPr>
                          <a:spLocks/>
                        </wps:cNvSpPr>
                        <wps:spPr bwMode="auto">
                          <a:xfrm>
                            <a:off x="4524" y="345"/>
                            <a:ext cx="20" cy="20"/>
                          </a:xfrm>
                          <a:custGeom>
                            <a:avLst/>
                            <a:gdLst>
                              <a:gd name="T0" fmla="*/ 0 w 20"/>
                              <a:gd name="T1" fmla="*/ 0 h 20"/>
                              <a:gd name="T2" fmla="*/ 4 w 20"/>
                              <a:gd name="T3" fmla="*/ 0 h 20"/>
                            </a:gdLst>
                            <a:ahLst/>
                            <a:cxnLst>
                              <a:cxn ang="0">
                                <a:pos x="T0" y="T1"/>
                              </a:cxn>
                              <a:cxn ang="0">
                                <a:pos x="T2" y="T3"/>
                              </a:cxn>
                            </a:cxnLst>
                            <a:rect l="0" t="0" r="r" b="b"/>
                            <a:pathLst>
                              <a:path w="20" h="20">
                                <a:moveTo>
                                  <a:pt x="0" y="0"/>
                                </a:moveTo>
                                <a:lnTo>
                                  <a:pt x="4" y="0"/>
                                </a:lnTo>
                              </a:path>
                            </a:pathLst>
                          </a:custGeom>
                          <a:noFill/>
                          <a:ln w="3035">
                            <a:solidFill>
                              <a:srgbClr val="A1A1A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3" name="Freeform 273"/>
                        <wps:cNvSpPr>
                          <a:spLocks/>
                        </wps:cNvSpPr>
                        <wps:spPr bwMode="auto">
                          <a:xfrm>
                            <a:off x="1440" y="350"/>
                            <a:ext cx="20" cy="20"/>
                          </a:xfrm>
                          <a:custGeom>
                            <a:avLst/>
                            <a:gdLst>
                              <a:gd name="T0" fmla="*/ 0 w 20"/>
                              <a:gd name="T1" fmla="*/ 0 h 20"/>
                              <a:gd name="T2" fmla="*/ 4 w 20"/>
                              <a:gd name="T3" fmla="*/ 0 h 20"/>
                            </a:gdLst>
                            <a:ahLst/>
                            <a:cxnLst>
                              <a:cxn ang="0">
                                <a:pos x="T0" y="T1"/>
                              </a:cxn>
                              <a:cxn ang="0">
                                <a:pos x="T2" y="T3"/>
                              </a:cxn>
                            </a:cxnLst>
                            <a:rect l="0" t="0" r="r" b="b"/>
                            <a:pathLst>
                              <a:path w="20" h="20">
                                <a:moveTo>
                                  <a:pt x="0" y="0"/>
                                </a:moveTo>
                                <a:lnTo>
                                  <a:pt x="4" y="0"/>
                                </a:lnTo>
                              </a:path>
                            </a:pathLst>
                          </a:custGeom>
                          <a:noFill/>
                          <a:ln w="3048">
                            <a:solidFill>
                              <a:srgbClr val="A1A1A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4" name="Freeform 274"/>
                        <wps:cNvSpPr>
                          <a:spLocks/>
                        </wps:cNvSpPr>
                        <wps:spPr bwMode="auto">
                          <a:xfrm>
                            <a:off x="4524" y="350"/>
                            <a:ext cx="20" cy="20"/>
                          </a:xfrm>
                          <a:custGeom>
                            <a:avLst/>
                            <a:gdLst>
                              <a:gd name="T0" fmla="*/ 0 w 20"/>
                              <a:gd name="T1" fmla="*/ 0 h 20"/>
                              <a:gd name="T2" fmla="*/ 4 w 20"/>
                              <a:gd name="T3" fmla="*/ 0 h 20"/>
                            </a:gdLst>
                            <a:ahLst/>
                            <a:cxnLst>
                              <a:cxn ang="0">
                                <a:pos x="T0" y="T1"/>
                              </a:cxn>
                              <a:cxn ang="0">
                                <a:pos x="T2" y="T3"/>
                              </a:cxn>
                            </a:cxnLst>
                            <a:rect l="0" t="0" r="r" b="b"/>
                            <a:pathLst>
                              <a:path w="20" h="20">
                                <a:moveTo>
                                  <a:pt x="0" y="0"/>
                                </a:moveTo>
                                <a:lnTo>
                                  <a:pt x="4" y="0"/>
                                </a:lnTo>
                              </a:path>
                            </a:pathLst>
                          </a:custGeom>
                          <a:noFill/>
                          <a:ln w="3048">
                            <a:solidFill>
                              <a:srgbClr val="E4E4E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5" name="Freeform 275"/>
                        <wps:cNvSpPr>
                          <a:spLocks/>
                        </wps:cNvSpPr>
                        <wps:spPr bwMode="auto">
                          <a:xfrm>
                            <a:off x="1440" y="354"/>
                            <a:ext cx="20" cy="20"/>
                          </a:xfrm>
                          <a:custGeom>
                            <a:avLst/>
                            <a:gdLst>
                              <a:gd name="T0" fmla="*/ 0 w 20"/>
                              <a:gd name="T1" fmla="*/ 0 h 20"/>
                              <a:gd name="T2" fmla="*/ 4 w 20"/>
                              <a:gd name="T3" fmla="*/ 0 h 20"/>
                            </a:gdLst>
                            <a:ahLst/>
                            <a:cxnLst>
                              <a:cxn ang="0">
                                <a:pos x="T0" y="T1"/>
                              </a:cxn>
                              <a:cxn ang="0">
                                <a:pos x="T2" y="T3"/>
                              </a:cxn>
                            </a:cxnLst>
                            <a:rect l="0" t="0" r="r" b="b"/>
                            <a:pathLst>
                              <a:path w="20" h="20">
                                <a:moveTo>
                                  <a:pt x="0" y="0"/>
                                </a:moveTo>
                                <a:lnTo>
                                  <a:pt x="4" y="0"/>
                                </a:lnTo>
                              </a:path>
                            </a:pathLst>
                          </a:custGeom>
                          <a:noFill/>
                          <a:ln w="3048">
                            <a:solidFill>
                              <a:srgbClr val="A1A1A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6" name="Freeform 276"/>
                        <wps:cNvSpPr>
                          <a:spLocks/>
                        </wps:cNvSpPr>
                        <wps:spPr bwMode="auto">
                          <a:xfrm>
                            <a:off x="1440" y="354"/>
                            <a:ext cx="20" cy="20"/>
                          </a:xfrm>
                          <a:custGeom>
                            <a:avLst/>
                            <a:gdLst>
                              <a:gd name="T0" fmla="*/ 0 w 20"/>
                              <a:gd name="T1" fmla="*/ 0 h 20"/>
                              <a:gd name="T2" fmla="*/ 4 w 20"/>
                              <a:gd name="T3" fmla="*/ 0 h 20"/>
                            </a:gdLst>
                            <a:ahLst/>
                            <a:cxnLst>
                              <a:cxn ang="0">
                                <a:pos x="T0" y="T1"/>
                              </a:cxn>
                              <a:cxn ang="0">
                                <a:pos x="T2" y="T3"/>
                              </a:cxn>
                            </a:cxnLst>
                            <a:rect l="0" t="0" r="r" b="b"/>
                            <a:pathLst>
                              <a:path w="20" h="20">
                                <a:moveTo>
                                  <a:pt x="0" y="0"/>
                                </a:moveTo>
                                <a:lnTo>
                                  <a:pt x="4" y="0"/>
                                </a:lnTo>
                              </a:path>
                            </a:pathLst>
                          </a:custGeom>
                          <a:noFill/>
                          <a:ln w="3048">
                            <a:solidFill>
                              <a:srgbClr val="E4E4E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7" name="Freeform 277"/>
                        <wps:cNvSpPr>
                          <a:spLocks/>
                        </wps:cNvSpPr>
                        <wps:spPr bwMode="auto">
                          <a:xfrm>
                            <a:off x="1444" y="354"/>
                            <a:ext cx="3080" cy="20"/>
                          </a:xfrm>
                          <a:custGeom>
                            <a:avLst/>
                            <a:gdLst>
                              <a:gd name="T0" fmla="*/ 0 w 3080"/>
                              <a:gd name="T1" fmla="*/ 0 h 20"/>
                              <a:gd name="T2" fmla="*/ 3079 w 3080"/>
                              <a:gd name="T3" fmla="*/ 0 h 20"/>
                            </a:gdLst>
                            <a:ahLst/>
                            <a:cxnLst>
                              <a:cxn ang="0">
                                <a:pos x="T0" y="T1"/>
                              </a:cxn>
                              <a:cxn ang="0">
                                <a:pos x="T2" y="T3"/>
                              </a:cxn>
                            </a:cxnLst>
                            <a:rect l="0" t="0" r="r" b="b"/>
                            <a:pathLst>
                              <a:path w="3080" h="20">
                                <a:moveTo>
                                  <a:pt x="0" y="0"/>
                                </a:moveTo>
                                <a:lnTo>
                                  <a:pt x="3079" y="0"/>
                                </a:lnTo>
                              </a:path>
                            </a:pathLst>
                          </a:custGeom>
                          <a:noFill/>
                          <a:ln w="3048">
                            <a:solidFill>
                              <a:srgbClr val="E4E4E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8" name="Freeform 278"/>
                        <wps:cNvSpPr>
                          <a:spLocks/>
                        </wps:cNvSpPr>
                        <wps:spPr bwMode="auto">
                          <a:xfrm>
                            <a:off x="4524" y="354"/>
                            <a:ext cx="20" cy="20"/>
                          </a:xfrm>
                          <a:custGeom>
                            <a:avLst/>
                            <a:gdLst>
                              <a:gd name="T0" fmla="*/ 0 w 20"/>
                              <a:gd name="T1" fmla="*/ 0 h 20"/>
                              <a:gd name="T2" fmla="*/ 4 w 20"/>
                              <a:gd name="T3" fmla="*/ 0 h 20"/>
                            </a:gdLst>
                            <a:ahLst/>
                            <a:cxnLst>
                              <a:cxn ang="0">
                                <a:pos x="T0" y="T1"/>
                              </a:cxn>
                              <a:cxn ang="0">
                                <a:pos x="T2" y="T3"/>
                              </a:cxn>
                            </a:cxnLst>
                            <a:rect l="0" t="0" r="r" b="b"/>
                            <a:pathLst>
                              <a:path w="20" h="20">
                                <a:moveTo>
                                  <a:pt x="0" y="0"/>
                                </a:moveTo>
                                <a:lnTo>
                                  <a:pt x="4" y="0"/>
                                </a:lnTo>
                              </a:path>
                            </a:pathLst>
                          </a:custGeom>
                          <a:noFill/>
                          <a:ln w="3048">
                            <a:solidFill>
                              <a:srgbClr val="E4E4E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7" o:spid="_x0000_s1026" style="position:absolute;margin-left:71.65pt;margin-top:17.1pt;width:155.15pt;height:1pt;z-index:251569664;mso-wrap-distance-left:0;mso-wrap-distance-right:0;mso-position-horizontal-relative:page" coordorigin="1433,342" coordsize="310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" o:allowincell="f">
                <v:shape id="Freeform 268" o:spid="_x0000_s1027" style="position:absolute;left:1440;top:349;width:3089;height:20;visibility:visible;mso-wrap-style:square;v-text-anchor:top" coordsize="308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eHscEA&#10;AADcAAAADwAAAGRycy9kb3ducmV2LnhtbERPy2rCQBTdC/2H4RbcmUml+EgdQxEsEQQxLdLlJXOb&#10;hGbuhMyYxL93FoLLw3lv0tE0oqfO1ZYVvEUxCOLC6ppLBT/f+9kKhPPIGhvLpOBGDtLty2SDibYD&#10;n6nPfSlCCLsEFVTet4mUrqjIoItsSxy4P9sZ9AF2pdQdDiHcNHIexwtpsObQUGFLu4qK//xqFJh+&#10;rf0CD79H/CrqITvx7SJZqenr+PkBwtPon+KHO9MKlu9hbTgTjoDc3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3h7HBAAAA3AAAAA8AAAAAAAAAAAAAAAAAmAIAAGRycy9kb3du&#10;cmV2LnhtbFBLBQYAAAAABAAEAPUAAACGAwAAAAA=&#10;" path="m,l3089,e" filled="f" strokecolor="#a1a1a1" strokeweight=".24658mm">
                  <v:path arrowok="t" o:connecttype="custom" o:connectlocs="0,0;3089,0" o:connectangles="0,0"/>
                </v:shape>
                <v:shape id="Freeform 269" o:spid="_x0000_s1028" style="position:absolute;left:1440;top:345;width:20;height:20;visibility:visible;mso-wrap-style:square;v-text-anchor:top" coordsize="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E6jcUA&#10;AADcAAAADwAAAGRycy9kb3ducmV2LnhtbESPW2sCMRSE3wv+h3CEvtWsF7ysRhFB8EWwVvT1sDnu&#10;Rjcn6ybV1V/fFAp9HGbmG2a2aGwp7lR741hBt5OAIM6cNpwrOHytP8YgfEDWWDomBU/ysJi33maY&#10;avfgT7rvQy4ihH2KCooQqlRKnxVk0XdcRRy9s6sthijrXOoaHxFuS9lLkqG0aDguFFjRqqDsuv+2&#10;Co6vA243J7MzF9bVivrDfHu7KfXebpZTEIGa8B/+a2+0gtFgAr9n4hGQ8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YTqNxQAAANwAAAAPAAAAAAAAAAAAAAAAAJgCAABkcnMv&#10;ZG93bnJldi54bWxQSwUGAAAAAAQABAD1AAAAigMAAAAA&#10;" path="m,l4,e" filled="f" strokecolor="#a1a1a1" strokeweight=".08431mm">
                  <v:path arrowok="t" o:connecttype="custom" o:connectlocs="0,0;4,0" o:connectangles="0,0"/>
                </v:shape>
                <v:shape id="Freeform 270" o:spid="_x0000_s1029" style="position:absolute;left:1444;top:345;width:3080;height:20;visibility:visible;mso-wrap-style:square;v-text-anchor:top" coordsize="308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5sx8IA&#10;AADcAAAADwAAAGRycy9kb3ducmV2LnhtbERPS07DMBDdI3EHa5DYUQdE2zTUrRCCik2L+jnAEA9x&#10;RDwTbNOmt8eLSiyf3n++HHynjhRiK2zgflSAIq7FttwYOOzf7kpQMSFb7ITJwJkiLBfXV3OsrJx4&#10;S8ddalQO4VihAZdSX2kda0ce40h64sx9SfCYMgyNtgFPOdx3+qEoJtpjy7nBYU8vjurv3a838JO2&#10;m/VruQru8WNTxvVMPmUlxtzeDM9PoBIN6V98cb9bA9Nxnp/P5COgF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rmzHwgAAANwAAAAPAAAAAAAAAAAAAAAAAJgCAABkcnMvZG93&#10;bnJldi54bWxQSwUGAAAAAAQABAD1AAAAhwMAAAAA&#10;" path="m,l3079,e" filled="f" strokecolor="#a1a1a1" strokeweight=".08431mm">
                  <v:path arrowok="t" o:connecttype="custom" o:connectlocs="0,0;3079,0" o:connectangles="0,0"/>
                </v:shape>
                <v:shape id="Freeform 271" o:spid="_x0000_s1030" style="position:absolute;left:4524;top:345;width:20;height:20;visibility:visible;mso-wrap-style:square;v-text-anchor:top" coordsize="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PVO8QA&#10;AADcAAAADwAAAGRycy9kb3ducmV2LnhtbESPQWvCQBSE74L/YXlCL6IbCzUSXUUEwUtptcXzI/vc&#10;xGTfxuyq6b/vCoLHYWa+YRarztbiRq0vHSuYjBMQxLnTJRsFvz/b0QyED8gaa8ek4I88rJb93gIz&#10;7e68p9shGBEh7DNUUITQZFL6vCCLfuwa4uidXGsxRNkaqVu8R7it5XuSTKXFkuNCgQ1tCsqrw9Uq&#10;sFNzJD1ML+lpeDlvvtbVt/mslHobdOs5iEBdeIWf7Z1WkH5M4HEmHg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j1TvEAAAA3AAAAA8AAAAAAAAAAAAAAAAAmAIAAGRycy9k&#10;b3ducmV2LnhtbFBLBQYAAAAABAAEAPUAAACJAwAAAAA=&#10;" path="m,l4,e" filled="f" strokecolor="#e4e4e4" strokeweight=".08431mm">
                  <v:path arrowok="t" o:connecttype="custom" o:connectlocs="0,0;4,0" o:connectangles="0,0"/>
                </v:shape>
                <v:shape id="Freeform 272" o:spid="_x0000_s1031" style="position:absolute;left:4524;top:345;width:20;height:20;visibility:visible;mso-wrap-style:square;v-text-anchor:top" coordsize="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w+IcUA&#10;AADcAAAADwAAAGRycy9kb3ducmV2LnhtbESPQWvCQBSE74X+h+UVetNNLbUSXUUCQi6BakWvj+xr&#10;sm32bcxuTeqvdwWhx2FmvmEWq8E24kydN44VvIwTEMSl04YrBfvPzWgGwgdkjY1jUvBHHlbLx4cF&#10;ptr1vKXzLlQiQtinqKAOoU2l9GVNFv3YtcTR+3KdxRBlV0ndYR/htpGTJJlKi4bjQo0tZTWVP7tf&#10;q+Bw2WORH82H+WbdZvQ6rYrTSannp2E9BxFoCP/hezvXCt7fJnA7E4+AX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HD4hxQAAANwAAAAPAAAAAAAAAAAAAAAAAJgCAABkcnMv&#10;ZG93bnJldi54bWxQSwUGAAAAAAQABAD1AAAAigMAAAAA&#10;" path="m,l4,e" filled="f" strokecolor="#a1a1a1" strokeweight=".08431mm">
                  <v:path arrowok="t" o:connecttype="custom" o:connectlocs="0,0;4,0" o:connectangles="0,0"/>
                </v:shape>
                <v:shape id="Freeform 273" o:spid="_x0000_s1032" style="position:absolute;left:1440;top:350;width:20;height:20;visibility:visible;mso-wrap-style:square;v-text-anchor:top" coordsize="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L/p8UA&#10;AADcAAAADwAAAGRycy9kb3ducmV2LnhtbESPQWvCQBCF7wX/wzJCb3VjS6tEV9GCIPRiTQ45Dtkx&#10;ie7OhuyaxH/fLRR6fLx535u33o7WiJ463zhWMJ8lIIhLpxuuFOTZ4WUJwgdkjcYxKXiQh+1m8rTG&#10;VLuBv6k/h0pECPsUFdQhtKmUvqzJop+5ljh6F9dZDFF2ldQdDhFujXxNkg9pseHYUGNLnzWVt/Pd&#10;xjeG3HydTNZfi7zYy3k23IrypNTzdNytQAQaw//xX/qoFSze3+B3TCS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Qv+nxQAAANwAAAAPAAAAAAAAAAAAAAAAAJgCAABkcnMv&#10;ZG93bnJldi54bWxQSwUGAAAAAAQABAD1AAAAigMAAAAA&#10;" path="m,l4,e" filled="f" strokecolor="#a1a1a1" strokeweight=".24pt">
                  <v:path arrowok="t" o:connecttype="custom" o:connectlocs="0,0;4,0" o:connectangles="0,0"/>
                </v:shape>
                <v:shape id="Freeform 274" o:spid="_x0000_s1033" style="position:absolute;left:4524;top:350;width:20;height:20;visibility:visible;mso-wrap-style:square;v-text-anchor:top" coordsize="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arNcQA&#10;AADcAAAADwAAAGRycy9kb3ducmV2LnhtbESPS4vCQBCE7wv+h6GFva0TF1clOorrYxEUfB48Npk2&#10;CWZ6QmZW4793BMFjUVVfUcNxbQpxpcrllhW0WxEI4sTqnFMFx8Piqw/CeWSNhWVScCcH41HjY4ix&#10;tjfe0XXvUxEg7GJUkHlfxlK6JCODrmVL4uCdbWXQB1mlUld4C3BTyO8o6kqDOYeFDEuaZpRc9v9G&#10;AfW4k67+5uwXG/07O93Xc71dK/XZrCcDEJ5q/w6/2kutoPfTgeeZcATk6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mqzXEAAAA3AAAAA8AAAAAAAAAAAAAAAAAmAIAAGRycy9k&#10;b3ducmV2LnhtbFBLBQYAAAAABAAEAPUAAACJAwAAAAA=&#10;" path="m,l4,e" filled="f" strokecolor="#e4e4e4" strokeweight=".24pt">
                  <v:path arrowok="t" o:connecttype="custom" o:connectlocs="0,0;4,0" o:connectangles="0,0"/>
                </v:shape>
                <v:shape id="Freeform 275" o:spid="_x0000_s1034" style="position:absolute;left:1440;top:354;width:20;height:20;visibility:visible;mso-wrap-style:square;v-text-anchor:top" coordsize="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fCSMUA&#10;AADcAAAADwAAAGRycy9kb3ducmV2LnhtbESPQWvCQBCF74X+h2UK3upGwVaiq1RBELxYk0OOQ3ZM&#10;UndnQ3ZN4r93C4UeH2/e9+att6M1oqfON44VzKYJCOLS6YYrBXl2eF+C8AFZo3FMCh7kYbt5fVlj&#10;qt3A39RfQiUihH2KCuoQ2lRKX9Zk0U9dSxy9q+sshii7SuoOhwi3Rs6T5ENabDg21NjSvqbydrnb&#10;+MaQm9PZZP1PkRc7OcuGW1GelZq8jV8rEIHG8H/8lz5qBZ+LBfyOiQSQm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58JIxQAAANwAAAAPAAAAAAAAAAAAAAAAAJgCAABkcnMv&#10;ZG93bnJldi54bWxQSwUGAAAAAAQABAD1AAAAigMAAAAA&#10;" path="m,l4,e" filled="f" strokecolor="#a1a1a1" strokeweight=".24pt">
                  <v:path arrowok="t" o:connecttype="custom" o:connectlocs="0,0;4,0" o:connectangles="0,0"/>
                </v:shape>
                <v:shape id="Freeform 276" o:spid="_x0000_s1035" style="position:absolute;left:1440;top:354;width:20;height:20;visibility:visible;mso-wrap-style:square;v-text-anchor:top" coordsize="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iQ2cQA&#10;AADcAAAADwAAAGRycy9kb3ducmV2LnhtbESPS4vCQBCE78L+h6EXvOlE8UV0lPXJgoLPg8cm0yZh&#10;Mz0hM2r89zvCwh6LqvqKmsxqU4gHVS63rKDTjkAQJ1bnnCq4nNetEQjnkTUWlknBixzMph+NCcba&#10;PvlIj5NPRYCwi1FB5n0ZS+mSjAy6ti2Jg3ezlUEfZJVKXeEzwE0hu1E0kAZzDgsZlrTIKPk53Y0C&#10;GnIv3W5W7Nd7PV9eX7uVPuyUan7WX2MQnmr/H/5rf2sFw/4A3mfCEZ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4kNnEAAAA3AAAAA8AAAAAAAAAAAAAAAAAmAIAAGRycy9k&#10;b3ducmV2LnhtbFBLBQYAAAAABAAEAPUAAACJAwAAAAA=&#10;" path="m,l4,e" filled="f" strokecolor="#e4e4e4" strokeweight=".24pt">
                  <v:path arrowok="t" o:connecttype="custom" o:connectlocs="0,0;4,0" o:connectangles="0,0"/>
                </v:shape>
                <v:shape id="Freeform 277" o:spid="_x0000_s1036" style="position:absolute;left:1444;top:354;width:3080;height:20;visibility:visible;mso-wrap-style:square;v-text-anchor:top" coordsize="308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AvtcYA&#10;AADcAAAADwAAAGRycy9kb3ducmV2LnhtbESPQWvCQBSE70L/w/IK3nRTsdqmrmIEq5ce1JZeH9nX&#10;JG32bdhdY/TXu4LQ4zAz3zCzRWdq0ZLzlWUFT8MEBHFudcWFgs/DevACwgdkjbVlUnAmD4v5Q2+G&#10;qbYn3lG7D4WIEPYpKihDaFIpfV6SQT+0DXH0fqwzGKJ0hdQOTxFuajlKkok0WHFcKLGhVUn53/5o&#10;FHxfVtlvVk1ssx2/Fz5zr5v260Op/mO3fAMRqAv/4Xt7qxVMn6dwOxOPgJ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qAvtcYAAADcAAAADwAAAAAAAAAAAAAAAACYAgAAZHJz&#10;L2Rvd25yZXYueG1sUEsFBgAAAAAEAAQA9QAAAIsDAAAAAA==&#10;" path="m,l3079,e" filled="f" strokecolor="#e4e4e4" strokeweight=".24pt">
                  <v:path arrowok="t" o:connecttype="custom" o:connectlocs="0,0;3079,0" o:connectangles="0,0"/>
                </v:shape>
                <v:shape id="Freeform 278" o:spid="_x0000_s1037" style="position:absolute;left:4524;top:354;width:20;height:20;visibility:visible;mso-wrap-style:square;v-text-anchor:top" coordsize="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uhMMEA&#10;AADcAAAADwAAAGRycy9kb3ducmV2LnhtbERPy4rCMBTdC/MP4Q6403RErVSj+GZAYXwtXF6aa1um&#10;uSlN1Pr3k4Uwy8N5T2aNKcWDaldYVvDVjUAQp1YXnCm4nDedEQjnkTWWlknBixzMph+tCSbaPvlI&#10;j5PPRAhhl6CC3PsqkdKlORl0XVsRB+5ma4M+wDqTusZnCDel7EXRUBosODTkWNEyp/T3dDcKKOZ+&#10;ttuu2W9+9GJ1fe3X+rBXqv3ZzMcgPDX+X/x2f2sF8SCsDWfCEZDT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lroTDBAAAA3AAAAA8AAAAAAAAAAAAAAAAAmAIAAGRycy9kb3du&#10;cmV2LnhtbFBLBQYAAAAABAAEAPUAAACGAwAAAAA=&#10;" path="m,l4,e" filled="f" strokecolor="#e4e4e4" strokeweight=".24pt">
                  <v:path arrowok="t" o:connecttype="custom" o:connectlocs="0,0;4,0" o:connectangles="0,0"/>
                </v:shape>
                <w10:wrap type="topAndBottom" anchorx="page"/>
              </v:group>
            </w:pict>
          </mc:Fallback>
        </mc:AlternateContent>
      </w: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FB027C">
      <w:pPr>
        <w:pStyle w:val="BodyText"/>
        <w:kinsoku w:val="0"/>
        <w:overflowPunct w:val="0"/>
        <w:spacing w:before="2"/>
        <w:rPr>
          <w:rFonts w:ascii="Arial" w:hAnsi="Arial" w:cs="Arial"/>
          <w:sz w:val="23"/>
          <w:szCs w:val="23"/>
        </w:rPr>
      </w:pPr>
      <w:r>
        <w:rPr>
          <w:noProof/>
        </w:rPr>
        <mc:AlternateContent>
          <mc:Choice Requires="wps">
            <w:drawing>
              <wp:anchor distT="0" distB="0" distL="0" distR="0" simplePos="0" relativeHeight="251570688" behindDoc="0" locked="0" layoutInCell="0" allowOverlap="1">
                <wp:simplePos x="0" y="0"/>
                <wp:positionH relativeFrom="page">
                  <wp:posOffset>914400</wp:posOffset>
                </wp:positionH>
                <wp:positionV relativeFrom="paragraph">
                  <wp:posOffset>198120</wp:posOffset>
                </wp:positionV>
                <wp:extent cx="1828800" cy="12700"/>
                <wp:effectExtent l="0" t="0" r="0" b="0"/>
                <wp:wrapTopAndBottom/>
                <wp:docPr id="746" name="Freeform 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w 2880"/>
                            <a:gd name="T1" fmla="*/ 0 h 20"/>
                            <a:gd name="T2" fmla="*/ 2880 w 2880"/>
                            <a:gd name="T3" fmla="*/ 0 h 20"/>
                          </a:gdLst>
                          <a:ahLst/>
                          <a:cxnLst>
                            <a:cxn ang="0">
                              <a:pos x="T0" y="T1"/>
                            </a:cxn>
                            <a:cxn ang="0">
                              <a:pos x="T2" y="T3"/>
                            </a:cxn>
                          </a:cxnLst>
                          <a:rect l="0" t="0" r="r" b="b"/>
                          <a:pathLst>
                            <a:path w="2880" h="20">
                              <a:moveTo>
                                <a:pt x="0" y="0"/>
                              </a:moveTo>
                              <a:lnTo>
                                <a:pt x="288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79" o:spid="_x0000_s1026" style="position:absolute;z-index:251570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15.6pt,3in,15.6pt" coordsize="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" o:allowincell="f" filled="f" strokeweight=".72pt">
                <v:path arrowok="t" o:connecttype="custom" o:connectlocs="0,0;1828800,0" o:connectangles="0,0"/>
                <w10:wrap type="topAndBottom" anchorx="page"/>
              </v:polyline>
            </w:pict>
          </mc:Fallback>
        </mc:AlternateContent>
      </w:r>
    </w:p>
    <w:p w:rsidR="002C5025" w:rsidRDefault="002C5025">
      <w:pPr>
        <w:pStyle w:val="BodyText"/>
        <w:kinsoku w:val="0"/>
        <w:overflowPunct w:val="0"/>
        <w:spacing w:before="42"/>
        <w:ind w:left="120" w:right="243" w:hanging="1"/>
        <w:rPr>
          <w:rFonts w:ascii="Times New Roman" w:hAnsi="Times New Roman" w:cs="Times New Roman"/>
          <w:color w:val="000000"/>
          <w:sz w:val="20"/>
          <w:szCs w:val="20"/>
        </w:rPr>
      </w:pPr>
      <w:bookmarkStart w:id="96" w:name="bookmark19"/>
      <w:bookmarkEnd w:id="96"/>
      <w:r>
        <w:rPr>
          <w:rFonts w:ascii="Times New Roman" w:hAnsi="Times New Roman" w:cs="Times New Roman"/>
          <w:position w:val="9"/>
          <w:sz w:val="13"/>
          <w:szCs w:val="13"/>
        </w:rPr>
        <w:t>[</w:t>
      </w:r>
      <w:proofErr w:type="spellStart"/>
      <w:r>
        <w:rPr>
          <w:rFonts w:ascii="Times New Roman" w:hAnsi="Times New Roman" w:cs="Times New Roman"/>
          <w:position w:val="9"/>
          <w:sz w:val="13"/>
          <w:szCs w:val="13"/>
        </w:rPr>
        <w:t>i</w:t>
      </w:r>
      <w:proofErr w:type="spellEnd"/>
      <w:r>
        <w:rPr>
          <w:rFonts w:ascii="Times New Roman" w:hAnsi="Times New Roman" w:cs="Times New Roman"/>
          <w:position w:val="9"/>
          <w:sz w:val="13"/>
          <w:szCs w:val="13"/>
        </w:rPr>
        <w:t xml:space="preserve">] </w:t>
      </w:r>
      <w:r>
        <w:rPr>
          <w:rFonts w:ascii="Times New Roman" w:hAnsi="Times New Roman" w:cs="Times New Roman"/>
          <w:sz w:val="20"/>
          <w:szCs w:val="20"/>
        </w:rPr>
        <w:t xml:space="preserve">The Florida Legislature Office of Program Policy Analysis and Government Accountability, </w:t>
      </w:r>
      <w:r>
        <w:rPr>
          <w:rFonts w:ascii="Times New Roman" w:hAnsi="Times New Roman" w:cs="Times New Roman"/>
          <w:i/>
          <w:iCs/>
          <w:sz w:val="20"/>
          <w:szCs w:val="20"/>
        </w:rPr>
        <w:t>Expanding Scope of Practice for Advanced Registered Nurse Practitioners, Physicians Assistants, Optometrists, and Dental Hygienists</w:t>
      </w:r>
      <w:r>
        <w:rPr>
          <w:rFonts w:ascii="Times New Roman" w:hAnsi="Times New Roman" w:cs="Times New Roman"/>
          <w:sz w:val="20"/>
          <w:szCs w:val="20"/>
        </w:rPr>
        <w:t xml:space="preserve">. (Tallahassee, FL: The Florida Legislature, 2010). Accessed at </w:t>
      </w:r>
      <w:hyperlink r:id="rId222" w:history="1">
        <w:r>
          <w:rPr>
            <w:rFonts w:ascii="Times New Roman" w:hAnsi="Times New Roman" w:cs="Times New Roman"/>
            <w:color w:val="0563C1"/>
            <w:sz w:val="20"/>
            <w:szCs w:val="20"/>
            <w:u w:val="single"/>
          </w:rPr>
          <w:t>http://www.floridanurse.org/arnpcorner/ARNPDocs/OPPAGAScopeofPracticeMemo.pdf</w:t>
        </w:r>
        <w:r>
          <w:rPr>
            <w:rFonts w:ascii="Times New Roman" w:hAnsi="Times New Roman" w:cs="Times New Roman"/>
            <w:color w:val="000000"/>
            <w:sz w:val="20"/>
            <w:szCs w:val="20"/>
          </w:rPr>
          <w:t>.</w:t>
        </w:r>
      </w:hyperlink>
    </w:p>
    <w:p w:rsidR="002C5025" w:rsidRDefault="002C5025">
      <w:pPr>
        <w:pStyle w:val="BodyText"/>
        <w:kinsoku w:val="0"/>
        <w:overflowPunct w:val="0"/>
        <w:spacing w:before="3" w:line="230" w:lineRule="exact"/>
        <w:ind w:left="120" w:right="97" w:hanging="1"/>
        <w:rPr>
          <w:rFonts w:ascii="Times New Roman" w:hAnsi="Times New Roman" w:cs="Times New Roman"/>
          <w:color w:val="000000"/>
          <w:sz w:val="20"/>
          <w:szCs w:val="20"/>
        </w:rPr>
      </w:pPr>
      <w:bookmarkStart w:id="97" w:name="bookmark20"/>
      <w:bookmarkEnd w:id="97"/>
      <w:r>
        <w:rPr>
          <w:rFonts w:ascii="Times New Roman" w:hAnsi="Times New Roman" w:cs="Times New Roman"/>
          <w:position w:val="9"/>
          <w:sz w:val="13"/>
          <w:szCs w:val="13"/>
        </w:rPr>
        <w:t xml:space="preserve">[ii] </w:t>
      </w:r>
      <w:r>
        <w:rPr>
          <w:rFonts w:ascii="Times New Roman" w:hAnsi="Times New Roman" w:cs="Times New Roman"/>
          <w:sz w:val="20"/>
          <w:szCs w:val="20"/>
        </w:rPr>
        <w:t xml:space="preserve">The Perryman Group, </w:t>
      </w:r>
      <w:r>
        <w:rPr>
          <w:rFonts w:ascii="Times New Roman" w:hAnsi="Times New Roman" w:cs="Times New Roman"/>
          <w:i/>
          <w:iCs/>
          <w:sz w:val="20"/>
          <w:szCs w:val="20"/>
        </w:rPr>
        <w:t xml:space="preserve">The Economic Benefits of More Fully Utilizing Advanced Practice Registered Nurses in the Provision of Health Care in Texas: An Analysis of Local and Statewide Effects on Business Activity. </w:t>
      </w:r>
      <w:r>
        <w:rPr>
          <w:rFonts w:ascii="Times New Roman" w:hAnsi="Times New Roman" w:cs="Times New Roman"/>
          <w:sz w:val="20"/>
          <w:szCs w:val="20"/>
        </w:rPr>
        <w:t xml:space="preserve">(Waco, TX: 2012) Accessed at </w:t>
      </w:r>
      <w:hyperlink r:id="rId223" w:history="1">
        <w:r>
          <w:rPr>
            <w:rFonts w:ascii="Times New Roman" w:hAnsi="Times New Roman" w:cs="Times New Roman"/>
            <w:color w:val="0563C1"/>
            <w:sz w:val="20"/>
            <w:szCs w:val="20"/>
            <w:u w:val="single"/>
          </w:rPr>
          <w:t>http://www.texasnurses.org/associations/8080/files/PerrymanAPRN_UltilizationEconomicImpactReport.pdf</w:t>
        </w:r>
        <w:r>
          <w:rPr>
            <w:rFonts w:ascii="Times New Roman" w:hAnsi="Times New Roman" w:cs="Times New Roman"/>
            <w:color w:val="000000"/>
            <w:sz w:val="20"/>
            <w:szCs w:val="20"/>
          </w:rPr>
          <w:t>.</w:t>
        </w:r>
      </w:hyperlink>
    </w:p>
    <w:p w:rsidR="002C5025" w:rsidRDefault="002C5025">
      <w:pPr>
        <w:pStyle w:val="BodyText"/>
        <w:kinsoku w:val="0"/>
        <w:overflowPunct w:val="0"/>
        <w:spacing w:before="3" w:line="230" w:lineRule="exact"/>
        <w:ind w:left="120" w:right="97" w:hanging="1"/>
        <w:rPr>
          <w:rFonts w:ascii="Times New Roman" w:hAnsi="Times New Roman" w:cs="Times New Roman"/>
          <w:color w:val="000000"/>
          <w:sz w:val="20"/>
          <w:szCs w:val="20"/>
        </w:rPr>
        <w:sectPr w:rsidR="002C5025">
          <w:pgSz w:w="12240" w:h="15840"/>
          <w:pgMar w:top="1400" w:right="1340" w:bottom="280" w:left="1320" w:header="720" w:footer="720" w:gutter="0"/>
          <w:cols w:space="720"/>
          <w:noEndnote/>
        </w:sect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30" w:line="440" w:lineRule="exact"/>
        <w:ind w:left="394" w:right="8743" w:hanging="22"/>
        <w:rPr>
          <w:rFonts w:ascii="Arial" w:hAnsi="Arial" w:cs="Arial"/>
          <w:sz w:val="19"/>
          <w:szCs w:val="19"/>
        </w:rPr>
      </w:pPr>
      <w:bookmarkStart w:id="98" w:name="Three_Critical_Access_Hospitals_-_Athol-"/>
      <w:bookmarkEnd w:id="98"/>
      <w:r>
        <w:rPr>
          <w:rFonts w:ascii="Arial" w:hAnsi="Arial" w:cs="Arial"/>
          <w:sz w:val="19"/>
          <w:szCs w:val="19"/>
        </w:rPr>
        <w:t>July 6, 2016 Daniel Tsai</w:t>
      </w:r>
    </w:p>
    <w:p w:rsidR="002C5025" w:rsidRDefault="002C5025">
      <w:pPr>
        <w:pStyle w:val="BodyText"/>
        <w:kinsoku w:val="0"/>
        <w:overflowPunct w:val="0"/>
        <w:spacing w:line="200" w:lineRule="exact"/>
        <w:ind w:left="387" w:right="1407"/>
        <w:rPr>
          <w:rFonts w:ascii="Arial" w:hAnsi="Arial" w:cs="Arial"/>
          <w:sz w:val="19"/>
          <w:szCs w:val="19"/>
        </w:rPr>
      </w:pPr>
      <w:r>
        <w:rPr>
          <w:rFonts w:ascii="Arial" w:hAnsi="Arial" w:cs="Arial"/>
          <w:sz w:val="19"/>
          <w:szCs w:val="19"/>
        </w:rPr>
        <w:t>Assistant Secretary for MassHealth</w:t>
      </w:r>
    </w:p>
    <w:p w:rsidR="002C5025" w:rsidRDefault="002C5025">
      <w:pPr>
        <w:pStyle w:val="BodyText"/>
        <w:kinsoku w:val="0"/>
        <w:overflowPunct w:val="0"/>
        <w:spacing w:before="33" w:line="276" w:lineRule="auto"/>
        <w:ind w:left="394" w:right="6995"/>
        <w:rPr>
          <w:rFonts w:ascii="Arial" w:hAnsi="Arial" w:cs="Arial"/>
          <w:sz w:val="19"/>
          <w:szCs w:val="19"/>
        </w:rPr>
      </w:pPr>
      <w:r>
        <w:rPr>
          <w:rFonts w:ascii="Arial" w:hAnsi="Arial" w:cs="Arial"/>
          <w:sz w:val="19"/>
          <w:szCs w:val="19"/>
        </w:rPr>
        <w:t>One Ashburton Place, 11'h Floor Boston, MA 02108</w:t>
      </w:r>
    </w:p>
    <w:p w:rsidR="002C5025" w:rsidRDefault="002C5025">
      <w:pPr>
        <w:pStyle w:val="BodyText"/>
        <w:kinsoku w:val="0"/>
        <w:overflowPunct w:val="0"/>
        <w:spacing w:before="2"/>
        <w:rPr>
          <w:rFonts w:ascii="Arial" w:hAnsi="Arial" w:cs="Arial"/>
          <w:sz w:val="20"/>
          <w:szCs w:val="20"/>
        </w:rPr>
      </w:pPr>
    </w:p>
    <w:p w:rsidR="002C5025" w:rsidRDefault="002C5025">
      <w:pPr>
        <w:pStyle w:val="BodyText"/>
        <w:kinsoku w:val="0"/>
        <w:overflowPunct w:val="0"/>
        <w:spacing w:line="544" w:lineRule="auto"/>
        <w:ind w:left="394" w:right="1407" w:firstLine="7"/>
        <w:rPr>
          <w:rFonts w:ascii="Arial" w:hAnsi="Arial" w:cs="Arial"/>
          <w:sz w:val="19"/>
          <w:szCs w:val="19"/>
        </w:rPr>
      </w:pPr>
      <w:r>
        <w:rPr>
          <w:rFonts w:ascii="Arial" w:hAnsi="Arial" w:cs="Arial"/>
          <w:sz w:val="19"/>
          <w:szCs w:val="19"/>
        </w:rPr>
        <w:t>Re: Recognition for Critical Access Hospitals in Final Section 1115 Medicaid Demonstration Waiver Dear Assistant Secretary Tsai,</w:t>
      </w:r>
    </w:p>
    <w:p w:rsidR="002C5025" w:rsidRDefault="002C5025">
      <w:pPr>
        <w:pStyle w:val="BodyText"/>
        <w:kinsoku w:val="0"/>
        <w:overflowPunct w:val="0"/>
        <w:spacing w:before="37" w:line="278" w:lineRule="auto"/>
        <w:ind w:left="387" w:right="1062" w:hanging="8"/>
        <w:rPr>
          <w:rFonts w:ascii="Arial" w:hAnsi="Arial" w:cs="Arial"/>
          <w:sz w:val="19"/>
          <w:szCs w:val="19"/>
        </w:rPr>
      </w:pPr>
      <w:r>
        <w:rPr>
          <w:rFonts w:ascii="Arial" w:hAnsi="Arial" w:cs="Arial"/>
          <w:sz w:val="19"/>
          <w:szCs w:val="19"/>
        </w:rPr>
        <w:t>As leaders of the three Critical Access Hospitals (CAHs) located in Massachusetts, we recognize and commend the Commonwealth in their efforts to restructure MassHealth to move towards a care delivery model that transitions from a volume based to a value based system of care, whereby, our community's health status is improved through integration and care coordination.</w:t>
      </w:r>
    </w:p>
    <w:p w:rsidR="002C5025" w:rsidRDefault="002C5025">
      <w:pPr>
        <w:pStyle w:val="BodyText"/>
        <w:kinsoku w:val="0"/>
        <w:overflowPunct w:val="0"/>
        <w:spacing w:before="1"/>
        <w:rPr>
          <w:rFonts w:ascii="Arial" w:hAnsi="Arial" w:cs="Arial"/>
          <w:sz w:val="19"/>
          <w:szCs w:val="19"/>
        </w:rPr>
      </w:pPr>
    </w:p>
    <w:p w:rsidR="002C5025" w:rsidRDefault="002C5025">
      <w:pPr>
        <w:pStyle w:val="BodyText"/>
        <w:kinsoku w:val="0"/>
        <w:overflowPunct w:val="0"/>
        <w:spacing w:before="1" w:line="280" w:lineRule="auto"/>
        <w:ind w:left="387" w:right="944"/>
        <w:rPr>
          <w:rFonts w:ascii="Arial" w:hAnsi="Arial" w:cs="Arial"/>
          <w:sz w:val="19"/>
          <w:szCs w:val="19"/>
        </w:rPr>
      </w:pPr>
      <w:r>
        <w:rPr>
          <w:rFonts w:ascii="Arial" w:hAnsi="Arial" w:cs="Arial"/>
          <w:sz w:val="19"/>
          <w:szCs w:val="19"/>
        </w:rPr>
        <w:t>Our joint communication is submitted to highlight the import for recognizing the specific needs of our federally and state designated CAH hospitals. Specifically, as Massachusetts moves towards an accountable care organization (ACO) model in place of a fee for service model, we request that there are protections maintained to ensure that our CAHs continue to receive the dedicated funding required within both federal and state law.</w:t>
      </w:r>
    </w:p>
    <w:p w:rsidR="002C5025" w:rsidRDefault="002C5025">
      <w:pPr>
        <w:pStyle w:val="BodyText"/>
        <w:kinsoku w:val="0"/>
        <w:overflowPunct w:val="0"/>
        <w:spacing w:before="4"/>
        <w:rPr>
          <w:rFonts w:ascii="Arial" w:hAnsi="Arial" w:cs="Arial"/>
          <w:sz w:val="19"/>
          <w:szCs w:val="19"/>
        </w:rPr>
      </w:pPr>
    </w:p>
    <w:p w:rsidR="002C5025" w:rsidRDefault="002C5025">
      <w:pPr>
        <w:pStyle w:val="BodyText"/>
        <w:kinsoku w:val="0"/>
        <w:overflowPunct w:val="0"/>
        <w:spacing w:line="280" w:lineRule="auto"/>
        <w:ind w:left="387" w:right="976" w:firstLine="7"/>
        <w:rPr>
          <w:rFonts w:ascii="Arial" w:hAnsi="Arial" w:cs="Arial"/>
          <w:sz w:val="19"/>
          <w:szCs w:val="19"/>
        </w:rPr>
      </w:pPr>
      <w:r>
        <w:rPr>
          <w:rFonts w:ascii="Arial" w:hAnsi="Arial" w:cs="Arial"/>
          <w:sz w:val="19"/>
          <w:szCs w:val="19"/>
        </w:rPr>
        <w:t>As you know, the intention of creating the CAH designation at the federal level was to reduce the financial vulnerability of rural hospitals and improve access to health care by providing essential services to the rural communities we serve. CMS is currently required, by federal statute, to reimburse CAHs at 101% of their allowable costs. In 2012, the Massachusetts legislature included section 253 of Chapter 224 of the Acts of 2012, which requires that MassHealth and the Health Safety Net program reimburse CAHs in Massachusetts at least 101% of allowable cost following the Medicare cost reimbursement methodology.</w:t>
      </w:r>
    </w:p>
    <w:p w:rsidR="002C5025" w:rsidRDefault="002C5025">
      <w:pPr>
        <w:pStyle w:val="BodyText"/>
        <w:kinsoku w:val="0"/>
        <w:overflowPunct w:val="0"/>
        <w:spacing w:before="4"/>
        <w:rPr>
          <w:rFonts w:ascii="Arial" w:hAnsi="Arial" w:cs="Arial"/>
          <w:sz w:val="19"/>
          <w:szCs w:val="19"/>
        </w:rPr>
      </w:pPr>
    </w:p>
    <w:p w:rsidR="002C5025" w:rsidRDefault="002C5025">
      <w:pPr>
        <w:pStyle w:val="BodyText"/>
        <w:kinsoku w:val="0"/>
        <w:overflowPunct w:val="0"/>
        <w:spacing w:line="278" w:lineRule="auto"/>
        <w:ind w:left="394" w:right="1065" w:hanging="8"/>
        <w:rPr>
          <w:rFonts w:ascii="Arial" w:hAnsi="Arial" w:cs="Arial"/>
          <w:sz w:val="19"/>
          <w:szCs w:val="19"/>
        </w:rPr>
      </w:pPr>
      <w:r>
        <w:rPr>
          <w:rFonts w:ascii="Arial" w:hAnsi="Arial" w:cs="Arial"/>
          <w:sz w:val="19"/>
          <w:szCs w:val="19"/>
        </w:rPr>
        <w:t>Therefore, in order for our three CAHs to continue to be protected as intended under the federal and state Jaw, we encourage you to ensure that our hospitals will be exempt from any cost protocol reviews under any one of the proposed ACO or other payment design changes within the 1115 Demonstration Waiver, as our CAHs Medicaid payments are intended to reimburse our hospitals above cost.</w:t>
      </w:r>
    </w:p>
    <w:p w:rsidR="002C5025" w:rsidRDefault="002C5025">
      <w:pPr>
        <w:pStyle w:val="BodyText"/>
        <w:kinsoku w:val="0"/>
        <w:overflowPunct w:val="0"/>
        <w:spacing w:before="6"/>
        <w:rPr>
          <w:rFonts w:ascii="Arial" w:hAnsi="Arial" w:cs="Arial"/>
          <w:sz w:val="19"/>
          <w:szCs w:val="19"/>
        </w:rPr>
      </w:pPr>
    </w:p>
    <w:p w:rsidR="002C5025" w:rsidRDefault="00FB027C">
      <w:pPr>
        <w:pStyle w:val="BodyText"/>
        <w:kinsoku w:val="0"/>
        <w:overflowPunct w:val="0"/>
        <w:spacing w:line="276" w:lineRule="auto"/>
        <w:ind w:left="394" w:right="1483" w:firstLine="14"/>
        <w:rPr>
          <w:rFonts w:ascii="Arial" w:hAnsi="Arial" w:cs="Arial"/>
          <w:sz w:val="19"/>
          <w:szCs w:val="19"/>
        </w:rPr>
      </w:pPr>
      <w:r>
        <w:rPr>
          <w:noProof/>
        </w:rPr>
        <mc:AlternateContent>
          <mc:Choice Requires="wps">
            <w:drawing>
              <wp:anchor distT="0" distB="0" distL="114300" distR="114300" simplePos="0" relativeHeight="251571712" behindDoc="1" locked="0" layoutInCell="0" allowOverlap="1">
                <wp:simplePos x="0" y="0"/>
                <wp:positionH relativeFrom="page">
                  <wp:posOffset>5415915</wp:posOffset>
                </wp:positionH>
                <wp:positionV relativeFrom="paragraph">
                  <wp:posOffset>909955</wp:posOffset>
                </wp:positionV>
                <wp:extent cx="1790700" cy="673100"/>
                <wp:effectExtent l="0" t="0" r="0" b="0"/>
                <wp:wrapNone/>
                <wp:docPr id="745" name="Rectangle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67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1060" w:lineRule="atLeast"/>
                            </w:pPr>
                            <w:r>
                              <w:rPr>
                                <w:noProof/>
                              </w:rPr>
                              <w:drawing>
                                <wp:inline distT="0" distB="0" distL="0" distR="0">
                                  <wp:extent cx="1790700" cy="676275"/>
                                  <wp:effectExtent l="0" t="0" r="0" b="952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1790700" cy="676275"/>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0" o:spid="_x0000_s1161" style="position:absolute;left:0;text-align:left;margin-left:426.45pt;margin-top:71.65pt;width:141pt;height:53pt;z-index:-251744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" o:allowincell="f" filled="f" stroked="f">
                <v:textbox inset="0,0,0,0">
                  <w:txbxContent>
                    <w:p w:rsidR="007B2B7B" w:rsidRDefault="007B2B7B">
                      <w:pPr>
                        <w:widowControl/>
                        <w:autoSpaceDE/>
                        <w:autoSpaceDN/>
                        <w:adjustRightInd/>
                        <w:spacing w:line="1060" w:lineRule="atLeast"/>
                      </w:pPr>
                      <w:r>
                        <w:rPr>
                          <w:noProof/>
                        </w:rPr>
                        <w:drawing>
                          <wp:inline distT="0" distB="0" distL="0" distR="0">
                            <wp:extent cx="1790700" cy="676275"/>
                            <wp:effectExtent l="0" t="0" r="0" b="952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1790700" cy="676275"/>
                                    </a:xfrm>
                                    <a:prstGeom prst="rect">
                                      <a:avLst/>
                                    </a:prstGeom>
                                    <a:noFill/>
                                    <a:ln>
                                      <a:noFill/>
                                    </a:ln>
                                  </pic:spPr>
                                </pic:pic>
                              </a:graphicData>
                            </a:graphic>
                          </wp:inline>
                        </w:drawing>
                      </w:r>
                    </w:p>
                    <w:p w:rsidR="007B2B7B" w:rsidRDefault="007B2B7B"/>
                  </w:txbxContent>
                </v:textbox>
                <w10:wrap anchorx="page"/>
              </v:rect>
            </w:pict>
          </mc:Fallback>
        </mc:AlternateContent>
      </w:r>
      <w:r>
        <w:rPr>
          <w:noProof/>
        </w:rPr>
        <mc:AlternateContent>
          <mc:Choice Requires="wps">
            <w:drawing>
              <wp:anchor distT="0" distB="0" distL="114300" distR="114300" simplePos="0" relativeHeight="251572736" behindDoc="0" locked="0" layoutInCell="0" allowOverlap="1">
                <wp:simplePos x="0" y="0"/>
                <wp:positionH relativeFrom="page">
                  <wp:posOffset>898525</wp:posOffset>
                </wp:positionH>
                <wp:positionV relativeFrom="paragraph">
                  <wp:posOffset>807720</wp:posOffset>
                </wp:positionV>
                <wp:extent cx="1587500" cy="927100"/>
                <wp:effectExtent l="0" t="0" r="0" b="0"/>
                <wp:wrapNone/>
                <wp:docPr id="744" name="Rectangl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0" cy="927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1460" w:lineRule="atLeast"/>
                            </w:pPr>
                            <w:r>
                              <w:rPr>
                                <w:noProof/>
                              </w:rPr>
                              <w:drawing>
                                <wp:inline distT="0" distB="0" distL="0" distR="0">
                                  <wp:extent cx="1590675" cy="933450"/>
                                  <wp:effectExtent l="0" t="0" r="9525"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1590675" cy="933450"/>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1" o:spid="_x0000_s1162" style="position:absolute;left:0;text-align:left;margin-left:70.75pt;margin-top:63.6pt;width:125pt;height:73pt;z-index:251572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" o:allowincell="f" filled="f" stroked="f">
                <v:textbox inset="0,0,0,0">
                  <w:txbxContent>
                    <w:p w:rsidR="007B2B7B" w:rsidRDefault="007B2B7B">
                      <w:pPr>
                        <w:widowControl/>
                        <w:autoSpaceDE/>
                        <w:autoSpaceDN/>
                        <w:adjustRightInd/>
                        <w:spacing w:line="1460" w:lineRule="atLeast"/>
                      </w:pPr>
                      <w:r>
                        <w:rPr>
                          <w:noProof/>
                        </w:rPr>
                        <w:drawing>
                          <wp:inline distT="0" distB="0" distL="0" distR="0">
                            <wp:extent cx="1590675" cy="933450"/>
                            <wp:effectExtent l="0" t="0" r="9525"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1590675" cy="933450"/>
                                    </a:xfrm>
                                    <a:prstGeom prst="rect">
                                      <a:avLst/>
                                    </a:prstGeom>
                                    <a:noFill/>
                                    <a:ln>
                                      <a:noFill/>
                                    </a:ln>
                                  </pic:spPr>
                                </pic:pic>
                              </a:graphicData>
                            </a:graphic>
                          </wp:inline>
                        </w:drawing>
                      </w:r>
                    </w:p>
                    <w:p w:rsidR="007B2B7B" w:rsidRDefault="007B2B7B"/>
                  </w:txbxContent>
                </v:textbox>
                <w10:wrap anchorx="page"/>
              </v:rect>
            </w:pict>
          </mc:Fallback>
        </mc:AlternateContent>
      </w:r>
      <w:r w:rsidR="002C5025">
        <w:rPr>
          <w:rFonts w:ascii="Arial" w:hAnsi="Arial" w:cs="Arial"/>
          <w:sz w:val="19"/>
          <w:szCs w:val="19"/>
        </w:rPr>
        <w:t>In closing, our CAHs may be the smallest acute care hospitals, but our approach to quality, patient safety, patient satisfaction and cost effectiveness, mirrors that of every other hospital in the Commonwealth and our mission is critically important to the rural communities we care for.</w:t>
      </w:r>
    </w:p>
    <w:p w:rsidR="002C5025" w:rsidRDefault="002C5025">
      <w:pPr>
        <w:pStyle w:val="BodyText"/>
        <w:kinsoku w:val="0"/>
        <w:overflowPunct w:val="0"/>
        <w:rPr>
          <w:rFonts w:ascii="Arial" w:hAnsi="Arial" w:cs="Arial"/>
          <w:sz w:val="20"/>
          <w:szCs w:val="20"/>
        </w:rPr>
      </w:pPr>
    </w:p>
    <w:p w:rsidR="002C5025" w:rsidRDefault="00FB027C">
      <w:pPr>
        <w:pStyle w:val="BodyText"/>
        <w:kinsoku w:val="0"/>
        <w:overflowPunct w:val="0"/>
        <w:spacing w:before="1"/>
        <w:rPr>
          <w:rFonts w:ascii="Arial" w:hAnsi="Arial" w:cs="Arial"/>
          <w:sz w:val="24"/>
          <w:szCs w:val="24"/>
        </w:rPr>
      </w:pPr>
      <w:r>
        <w:rPr>
          <w:noProof/>
        </w:rPr>
        <mc:AlternateContent>
          <mc:Choice Requires="wps">
            <w:drawing>
              <wp:anchor distT="0" distB="0" distL="0" distR="0" simplePos="0" relativeHeight="251573760" behindDoc="0" locked="0" layoutInCell="0" allowOverlap="1">
                <wp:simplePos x="0" y="0"/>
                <wp:positionH relativeFrom="page">
                  <wp:posOffset>3184525</wp:posOffset>
                </wp:positionH>
                <wp:positionV relativeFrom="paragraph">
                  <wp:posOffset>201295</wp:posOffset>
                </wp:positionV>
                <wp:extent cx="2006600" cy="406400"/>
                <wp:effectExtent l="0" t="0" r="0" b="0"/>
                <wp:wrapTopAndBottom/>
                <wp:docPr id="743" name="Rectangle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0" cy="40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640" w:lineRule="atLeast"/>
                            </w:pPr>
                            <w:r>
                              <w:rPr>
                                <w:noProof/>
                              </w:rPr>
                              <w:drawing>
                                <wp:inline distT="0" distB="0" distL="0" distR="0">
                                  <wp:extent cx="2009775" cy="400050"/>
                                  <wp:effectExtent l="0" t="0" r="9525"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2009775" cy="400050"/>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2" o:spid="_x0000_s1163" style="position:absolute;margin-left:250.75pt;margin-top:15.85pt;width:158pt;height:32pt;z-index:251573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" o:allowincell="f" filled="f" stroked="f">
                <v:textbox inset="0,0,0,0">
                  <w:txbxContent>
                    <w:p w:rsidR="007B2B7B" w:rsidRDefault="007B2B7B">
                      <w:pPr>
                        <w:widowControl/>
                        <w:autoSpaceDE/>
                        <w:autoSpaceDN/>
                        <w:adjustRightInd/>
                        <w:spacing w:line="640" w:lineRule="atLeast"/>
                      </w:pPr>
                      <w:r>
                        <w:rPr>
                          <w:noProof/>
                        </w:rPr>
                        <w:drawing>
                          <wp:inline distT="0" distB="0" distL="0" distR="0">
                            <wp:extent cx="2009775" cy="400050"/>
                            <wp:effectExtent l="0" t="0" r="9525"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2009775" cy="400050"/>
                                    </a:xfrm>
                                    <a:prstGeom prst="rect">
                                      <a:avLst/>
                                    </a:prstGeom>
                                    <a:noFill/>
                                    <a:ln>
                                      <a:noFill/>
                                    </a:ln>
                                  </pic:spPr>
                                </pic:pic>
                              </a:graphicData>
                            </a:graphic>
                          </wp:inline>
                        </w:drawing>
                      </w:r>
                    </w:p>
                    <w:p w:rsidR="007B2B7B" w:rsidRDefault="007B2B7B"/>
                  </w:txbxContent>
                </v:textbox>
                <w10:wrap type="topAndBottom" anchorx="page"/>
              </v:rect>
            </w:pict>
          </mc:Fallback>
        </mc:AlternateContent>
      </w:r>
    </w:p>
    <w:p w:rsidR="002C5025" w:rsidRDefault="002C5025">
      <w:pPr>
        <w:pStyle w:val="BodyText"/>
        <w:kinsoku w:val="0"/>
        <w:overflowPunct w:val="0"/>
        <w:spacing w:before="14" w:line="278" w:lineRule="auto"/>
        <w:ind w:left="3788" w:right="4111" w:hanging="8"/>
        <w:rPr>
          <w:rFonts w:ascii="Arial" w:hAnsi="Arial" w:cs="Arial"/>
          <w:sz w:val="19"/>
          <w:szCs w:val="19"/>
        </w:rPr>
      </w:pPr>
      <w:r>
        <w:rPr>
          <w:rFonts w:ascii="Arial" w:hAnsi="Arial" w:cs="Arial"/>
          <w:sz w:val="19"/>
          <w:szCs w:val="19"/>
        </w:rPr>
        <w:t>Winfield S. Brown, FACHE President &amp; CEO</w:t>
      </w:r>
    </w:p>
    <w:p w:rsidR="002C5025" w:rsidRDefault="002C5025">
      <w:pPr>
        <w:pStyle w:val="BodyText"/>
        <w:tabs>
          <w:tab w:val="left" w:pos="7227"/>
        </w:tabs>
        <w:kinsoku w:val="0"/>
        <w:overflowPunct w:val="0"/>
        <w:spacing w:line="220" w:lineRule="exact"/>
        <w:ind w:left="3783" w:right="1407"/>
        <w:rPr>
          <w:rFonts w:ascii="Arial" w:hAnsi="Arial" w:cs="Arial"/>
          <w:position w:val="1"/>
          <w:sz w:val="19"/>
          <w:szCs w:val="19"/>
        </w:rPr>
      </w:pPr>
      <w:r>
        <w:rPr>
          <w:rFonts w:ascii="Arial" w:hAnsi="Arial" w:cs="Arial"/>
          <w:sz w:val="19"/>
          <w:szCs w:val="19"/>
        </w:rPr>
        <w:t>Athol</w:t>
      </w:r>
      <w:r>
        <w:rPr>
          <w:rFonts w:ascii="Arial" w:hAnsi="Arial" w:cs="Arial"/>
          <w:spacing w:val="-1"/>
          <w:sz w:val="19"/>
          <w:szCs w:val="19"/>
        </w:rPr>
        <w:t xml:space="preserve"> </w:t>
      </w:r>
      <w:r>
        <w:rPr>
          <w:rFonts w:ascii="Arial" w:hAnsi="Arial" w:cs="Arial"/>
          <w:sz w:val="19"/>
          <w:szCs w:val="19"/>
        </w:rPr>
        <w:t>Hospital</w:t>
      </w:r>
      <w:r>
        <w:rPr>
          <w:rFonts w:ascii="Arial" w:hAnsi="Arial" w:cs="Arial"/>
          <w:sz w:val="19"/>
          <w:szCs w:val="19"/>
        </w:rPr>
        <w:tab/>
      </w:r>
      <w:r>
        <w:rPr>
          <w:rFonts w:ascii="Arial" w:hAnsi="Arial" w:cs="Arial"/>
          <w:position w:val="1"/>
          <w:sz w:val="19"/>
          <w:szCs w:val="19"/>
        </w:rPr>
        <w:t>Fairview</w:t>
      </w:r>
      <w:r>
        <w:rPr>
          <w:rFonts w:ascii="Arial" w:hAnsi="Arial" w:cs="Arial"/>
          <w:spacing w:val="-6"/>
          <w:position w:val="1"/>
          <w:sz w:val="19"/>
          <w:szCs w:val="19"/>
        </w:rPr>
        <w:t xml:space="preserve"> </w:t>
      </w:r>
      <w:r>
        <w:rPr>
          <w:rFonts w:ascii="Arial" w:hAnsi="Arial" w:cs="Arial"/>
          <w:position w:val="1"/>
          <w:sz w:val="19"/>
          <w:szCs w:val="19"/>
        </w:rPr>
        <w:t>Hospital</w:t>
      </w:r>
    </w:p>
    <w:p w:rsidR="002C5025" w:rsidRDefault="002C5025">
      <w:pPr>
        <w:pStyle w:val="BodyText"/>
        <w:tabs>
          <w:tab w:val="left" w:pos="7227"/>
        </w:tabs>
        <w:kinsoku w:val="0"/>
        <w:overflowPunct w:val="0"/>
        <w:spacing w:line="220" w:lineRule="exact"/>
        <w:ind w:left="3783" w:right="1407"/>
        <w:rPr>
          <w:rFonts w:ascii="Arial" w:hAnsi="Arial" w:cs="Arial"/>
          <w:position w:val="1"/>
          <w:sz w:val="19"/>
          <w:szCs w:val="19"/>
        </w:rPr>
        <w:sectPr w:rsidR="002C5025">
          <w:pgSz w:w="12240" w:h="15840"/>
          <w:pgMar w:top="1500" w:right="780" w:bottom="280" w:left="1300" w:header="720" w:footer="720" w:gutter="0"/>
          <w:cols w:space="720" w:equalWidth="0">
            <w:col w:w="10160"/>
          </w:cols>
          <w:noEndnote/>
        </w:sectPr>
      </w:pPr>
    </w:p>
    <w:p w:rsidR="002C5025" w:rsidRDefault="002C5025">
      <w:pPr>
        <w:pStyle w:val="BodyText"/>
        <w:kinsoku w:val="0"/>
        <w:overflowPunct w:val="0"/>
        <w:spacing w:before="41"/>
        <w:ind w:left="868" w:right="162"/>
        <w:rPr>
          <w:rFonts w:ascii="Arial" w:hAnsi="Arial" w:cs="Arial"/>
          <w:b/>
          <w:bCs/>
          <w:i/>
          <w:iCs/>
          <w:color w:val="1F497D"/>
          <w:sz w:val="36"/>
          <w:szCs w:val="36"/>
        </w:rPr>
      </w:pPr>
      <w:bookmarkStart w:id="99" w:name="DAAHR_comment_1_excerpt_submitted_testim"/>
      <w:bookmarkEnd w:id="99"/>
      <w:r>
        <w:rPr>
          <w:rFonts w:ascii="Arial" w:hAnsi="Arial" w:cs="Arial"/>
          <w:b/>
          <w:bCs/>
          <w:i/>
          <w:iCs/>
          <w:color w:val="1F497D"/>
          <w:sz w:val="36"/>
          <w:szCs w:val="36"/>
        </w:rPr>
        <w:lastRenderedPageBreak/>
        <w:t>Disability Advocates Advancing our Healthcare Rights</w:t>
      </w:r>
    </w:p>
    <w:p w:rsidR="002C5025" w:rsidRDefault="002C5025">
      <w:pPr>
        <w:pStyle w:val="BodyText"/>
        <w:kinsoku w:val="0"/>
        <w:overflowPunct w:val="0"/>
        <w:rPr>
          <w:rFonts w:ascii="Arial" w:hAnsi="Arial" w:cs="Arial"/>
          <w:b/>
          <w:bCs/>
          <w:i/>
          <w:iCs/>
          <w:sz w:val="36"/>
          <w:szCs w:val="36"/>
        </w:rPr>
      </w:pPr>
    </w:p>
    <w:p w:rsidR="002C5025" w:rsidRDefault="002C5025">
      <w:pPr>
        <w:pStyle w:val="BodyText"/>
        <w:kinsoku w:val="0"/>
        <w:overflowPunct w:val="0"/>
        <w:spacing w:before="4"/>
        <w:rPr>
          <w:rFonts w:ascii="Arial" w:hAnsi="Arial" w:cs="Arial"/>
          <w:b/>
          <w:bCs/>
          <w:i/>
          <w:iCs/>
          <w:sz w:val="31"/>
          <w:szCs w:val="31"/>
        </w:rPr>
      </w:pPr>
    </w:p>
    <w:p w:rsidR="002C5025" w:rsidRDefault="002C5025">
      <w:pPr>
        <w:pStyle w:val="BodyText"/>
        <w:kinsoku w:val="0"/>
        <w:overflowPunct w:val="0"/>
        <w:spacing w:before="1" w:line="456" w:lineRule="auto"/>
        <w:ind w:left="120" w:right="8930"/>
        <w:rPr>
          <w:rFonts w:ascii="Century Gothic" w:hAnsi="Century Gothic" w:cs="Century Gothic"/>
        </w:rPr>
      </w:pPr>
      <w:r>
        <w:rPr>
          <w:rFonts w:ascii="Century Gothic" w:hAnsi="Century Gothic" w:cs="Century Gothic"/>
        </w:rPr>
        <w:t>December 7, 2015 Daniel Tsai</w:t>
      </w:r>
    </w:p>
    <w:p w:rsidR="002C5025" w:rsidRDefault="002C5025">
      <w:pPr>
        <w:pStyle w:val="BodyText"/>
        <w:kinsoku w:val="0"/>
        <w:overflowPunct w:val="0"/>
        <w:spacing w:before="5" w:line="453" w:lineRule="auto"/>
        <w:ind w:left="120" w:right="5173"/>
        <w:rPr>
          <w:rFonts w:ascii="Century Gothic" w:hAnsi="Century Gothic" w:cs="Century Gothic"/>
        </w:rPr>
      </w:pPr>
      <w:r>
        <w:rPr>
          <w:rFonts w:ascii="Century Gothic" w:hAnsi="Century Gothic" w:cs="Century Gothic"/>
        </w:rPr>
        <w:t>EOHHS Assistant Secretary and Director of MassHealth One Ashburton Place</w:t>
      </w:r>
    </w:p>
    <w:p w:rsidR="002C5025" w:rsidRDefault="002C5025">
      <w:pPr>
        <w:pStyle w:val="BodyText"/>
        <w:kinsoku w:val="0"/>
        <w:overflowPunct w:val="0"/>
        <w:spacing w:before="8"/>
        <w:ind w:left="120" w:right="162"/>
        <w:rPr>
          <w:rFonts w:ascii="Century Gothic" w:hAnsi="Century Gothic" w:cs="Century Gothic"/>
        </w:rPr>
      </w:pPr>
      <w:r>
        <w:rPr>
          <w:rFonts w:ascii="Century Gothic" w:hAnsi="Century Gothic" w:cs="Century Gothic"/>
        </w:rPr>
        <w:t>Boston, MA 02108</w:t>
      </w:r>
    </w:p>
    <w:p w:rsidR="002C5025" w:rsidRDefault="002C5025">
      <w:pPr>
        <w:pStyle w:val="BodyText"/>
        <w:kinsoku w:val="0"/>
        <w:overflowPunct w:val="0"/>
        <w:rPr>
          <w:rFonts w:ascii="Century Gothic" w:hAnsi="Century Gothic" w:cs="Century Gothic"/>
        </w:rPr>
      </w:pPr>
    </w:p>
    <w:p w:rsidR="002C5025" w:rsidRDefault="002C5025">
      <w:pPr>
        <w:pStyle w:val="BodyText"/>
        <w:kinsoku w:val="0"/>
        <w:overflowPunct w:val="0"/>
        <w:rPr>
          <w:rFonts w:ascii="Century Gothic" w:hAnsi="Century Gothic" w:cs="Century Gothic"/>
        </w:rPr>
      </w:pPr>
    </w:p>
    <w:p w:rsidR="002C5025" w:rsidRDefault="002C5025">
      <w:pPr>
        <w:pStyle w:val="BodyText"/>
        <w:kinsoku w:val="0"/>
        <w:overflowPunct w:val="0"/>
        <w:spacing w:before="2"/>
        <w:rPr>
          <w:rFonts w:ascii="Century Gothic" w:hAnsi="Century Gothic" w:cs="Century Gothic"/>
          <w:sz w:val="17"/>
          <w:szCs w:val="17"/>
        </w:rPr>
      </w:pPr>
    </w:p>
    <w:p w:rsidR="002C5025" w:rsidRDefault="002C5025">
      <w:pPr>
        <w:pStyle w:val="BodyText"/>
        <w:kinsoku w:val="0"/>
        <w:overflowPunct w:val="0"/>
        <w:ind w:left="120" w:right="162"/>
        <w:rPr>
          <w:rFonts w:ascii="Century Gothic" w:hAnsi="Century Gothic" w:cs="Century Gothic"/>
        </w:rPr>
      </w:pPr>
      <w:r>
        <w:rPr>
          <w:rFonts w:ascii="Century Gothic" w:hAnsi="Century Gothic" w:cs="Century Gothic"/>
        </w:rPr>
        <w:t>Dear Assistant Secretary Tsai:</w:t>
      </w:r>
    </w:p>
    <w:p w:rsidR="002C5025" w:rsidRDefault="002C5025">
      <w:pPr>
        <w:pStyle w:val="BodyText"/>
        <w:kinsoku w:val="0"/>
        <w:overflowPunct w:val="0"/>
        <w:rPr>
          <w:rFonts w:ascii="Century Gothic" w:hAnsi="Century Gothic" w:cs="Century Gothic"/>
        </w:rPr>
      </w:pPr>
    </w:p>
    <w:p w:rsidR="002C5025" w:rsidRDefault="002C5025">
      <w:pPr>
        <w:pStyle w:val="BodyText"/>
        <w:kinsoku w:val="0"/>
        <w:overflowPunct w:val="0"/>
        <w:rPr>
          <w:rFonts w:ascii="Century Gothic" w:hAnsi="Century Gothic" w:cs="Century Gothic"/>
        </w:rPr>
      </w:pPr>
    </w:p>
    <w:p w:rsidR="002C5025" w:rsidRDefault="002C5025">
      <w:pPr>
        <w:pStyle w:val="BodyText"/>
        <w:kinsoku w:val="0"/>
        <w:overflowPunct w:val="0"/>
        <w:spacing w:before="2"/>
        <w:rPr>
          <w:rFonts w:ascii="Century Gothic" w:hAnsi="Century Gothic" w:cs="Century Gothic"/>
          <w:sz w:val="17"/>
          <w:szCs w:val="17"/>
        </w:rPr>
      </w:pPr>
    </w:p>
    <w:p w:rsidR="002C5025" w:rsidRDefault="002C5025">
      <w:pPr>
        <w:pStyle w:val="BodyText"/>
        <w:kinsoku w:val="0"/>
        <w:overflowPunct w:val="0"/>
        <w:spacing w:line="276" w:lineRule="auto"/>
        <w:ind w:left="119" w:right="104"/>
        <w:rPr>
          <w:rFonts w:ascii="Century Gothic" w:hAnsi="Century Gothic" w:cs="Century Gothic"/>
        </w:rPr>
      </w:pPr>
      <w:r>
        <w:rPr>
          <w:rFonts w:ascii="Century Gothic" w:hAnsi="Century Gothic" w:cs="Century Gothic"/>
        </w:rPr>
        <w:t>Disability Advocates Advancing Our Healthcare Rights (DAAHR) wishes to thank you for your commitment to building a healthcare delivery system that better meets the needs of the poorest residents of Massachusetts, including people with complex physical and behavioral health disabilities, intellectual and developmental disabilities, and a variety of other chronic health conditions. We support the state’s intention to secure performance incentive payments within CMS’s Delivery System Reform Incentive Payment (DSRIP) program under the broad authority of the 1115 Waiver to transform the health care delivery</w:t>
      </w:r>
      <w:r>
        <w:rPr>
          <w:rFonts w:ascii="Century Gothic" w:hAnsi="Century Gothic" w:cs="Century Gothic"/>
          <w:spacing w:val="-14"/>
        </w:rPr>
        <w:t xml:space="preserve"> </w:t>
      </w:r>
      <w:r>
        <w:rPr>
          <w:rFonts w:ascii="Century Gothic" w:hAnsi="Century Gothic" w:cs="Century Gothic"/>
        </w:rPr>
        <w:t>system.</w:t>
      </w:r>
    </w:p>
    <w:p w:rsidR="002C5025" w:rsidRDefault="002C5025">
      <w:pPr>
        <w:pStyle w:val="BodyText"/>
        <w:kinsoku w:val="0"/>
        <w:overflowPunct w:val="0"/>
        <w:rPr>
          <w:rFonts w:ascii="Century Gothic" w:hAnsi="Century Gothic" w:cs="Century Gothic"/>
        </w:rPr>
      </w:pPr>
    </w:p>
    <w:p w:rsidR="002C5025" w:rsidRDefault="002C5025">
      <w:pPr>
        <w:pStyle w:val="BodyText"/>
        <w:kinsoku w:val="0"/>
        <w:overflowPunct w:val="0"/>
        <w:rPr>
          <w:rFonts w:ascii="Century Gothic" w:hAnsi="Century Gothic" w:cs="Century Gothic"/>
        </w:rPr>
      </w:pPr>
    </w:p>
    <w:p w:rsidR="002C5025" w:rsidRDefault="002C5025">
      <w:pPr>
        <w:pStyle w:val="BodyText"/>
        <w:kinsoku w:val="0"/>
        <w:overflowPunct w:val="0"/>
        <w:spacing w:before="171" w:line="276" w:lineRule="auto"/>
        <w:ind w:left="119" w:right="162"/>
        <w:rPr>
          <w:rFonts w:ascii="Century Gothic" w:hAnsi="Century Gothic" w:cs="Century Gothic"/>
        </w:rPr>
      </w:pPr>
      <w:r>
        <w:rPr>
          <w:rFonts w:ascii="Century Gothic" w:hAnsi="Century Gothic" w:cs="Century Gothic"/>
        </w:rPr>
        <w:t>The purpose of this letter is to ask you to consider DAARHR’s recommendations for transforming the system in order to build a sustainable infrastructure, with an emphasis on quality-of-life goals, to best serve MassHealth members with disabilities. We also want to state our appreciation for the many recent steps your office has taken to support innovative healthcare, including continuation of the One Care demonstration and by delaying the inclusion of long-term services and supports (LTSS) and home and community-based services and supports (HCBS) into the ACO program currently under development.</w:t>
      </w:r>
    </w:p>
    <w:p w:rsidR="002C5025" w:rsidRDefault="002C5025">
      <w:pPr>
        <w:pStyle w:val="BodyText"/>
        <w:kinsoku w:val="0"/>
        <w:overflowPunct w:val="0"/>
        <w:rPr>
          <w:rFonts w:ascii="Century Gothic" w:hAnsi="Century Gothic" w:cs="Century Gothic"/>
        </w:rPr>
      </w:pPr>
    </w:p>
    <w:p w:rsidR="002C5025" w:rsidRDefault="002C5025">
      <w:pPr>
        <w:pStyle w:val="BodyText"/>
        <w:kinsoku w:val="0"/>
        <w:overflowPunct w:val="0"/>
        <w:rPr>
          <w:rFonts w:ascii="Century Gothic" w:hAnsi="Century Gothic" w:cs="Century Gothic"/>
        </w:rPr>
      </w:pPr>
    </w:p>
    <w:p w:rsidR="002C5025" w:rsidRDefault="002C5025">
      <w:pPr>
        <w:pStyle w:val="BodyText"/>
        <w:kinsoku w:val="0"/>
        <w:overflowPunct w:val="0"/>
        <w:spacing w:before="171" w:line="276" w:lineRule="auto"/>
        <w:ind w:left="120" w:right="273"/>
        <w:rPr>
          <w:rFonts w:ascii="Century Gothic" w:hAnsi="Century Gothic" w:cs="Century Gothic"/>
        </w:rPr>
      </w:pPr>
      <w:r>
        <w:rPr>
          <w:rFonts w:ascii="Century Gothic" w:hAnsi="Century Gothic" w:cs="Century Gothic"/>
        </w:rPr>
        <w:t>Transformation of the service and care system for MassHealth members with disabilities requires careful design and implementation to prevent perpetuating the status quo, creating new but only marginally improved systems, or worse yet, causing harm to members. Throughout this effort, MassHealth faces a number of challenges, including ones pertaining to politics, policy priorities, and analytics. Addressing the social determinants of health by linking payments to meaningful metrics and outcomes will be essential to the reform effort. MassHealth must raise the bar for clinical care while tackling the issue of over medicalization to ensure that resources are directed to total health and wellness. Within this framework, enrollee choice will be vital.</w:t>
      </w:r>
    </w:p>
    <w:p w:rsidR="002C5025" w:rsidRDefault="002C5025">
      <w:pPr>
        <w:pStyle w:val="BodyText"/>
        <w:kinsoku w:val="0"/>
        <w:overflowPunct w:val="0"/>
        <w:spacing w:before="171" w:line="276" w:lineRule="auto"/>
        <w:ind w:left="120" w:right="273"/>
        <w:rPr>
          <w:rFonts w:ascii="Century Gothic" w:hAnsi="Century Gothic" w:cs="Century Gothic"/>
        </w:rPr>
        <w:sectPr w:rsidR="002C5025">
          <w:pgSz w:w="12240" w:h="15840"/>
          <w:pgMar w:top="1320" w:right="620" w:bottom="280" w:left="600" w:header="720" w:footer="720" w:gutter="0"/>
          <w:cols w:space="720" w:equalWidth="0">
            <w:col w:w="11020"/>
          </w:cols>
          <w:noEndnote/>
        </w:sectPr>
      </w:pPr>
    </w:p>
    <w:p w:rsidR="002C5025" w:rsidRDefault="002C5025">
      <w:pPr>
        <w:pStyle w:val="BodyText"/>
        <w:kinsoku w:val="0"/>
        <w:overflowPunct w:val="0"/>
        <w:spacing w:before="33" w:line="276" w:lineRule="auto"/>
        <w:ind w:left="119" w:right="433"/>
        <w:rPr>
          <w:rFonts w:ascii="Century Gothic" w:hAnsi="Century Gothic" w:cs="Century Gothic"/>
        </w:rPr>
      </w:pPr>
      <w:r>
        <w:rPr>
          <w:rFonts w:ascii="Century Gothic" w:hAnsi="Century Gothic" w:cs="Century Gothic"/>
        </w:rPr>
        <w:lastRenderedPageBreak/>
        <w:t>Large systems may seek control over the flow of resources and extended control over the broader service delivery system, which can seriously dilute person-centered care and jeopardize existing community-based care and services.</w:t>
      </w:r>
    </w:p>
    <w:p w:rsidR="002C5025" w:rsidRDefault="002C5025">
      <w:pPr>
        <w:pStyle w:val="BodyText"/>
        <w:kinsoku w:val="0"/>
        <w:overflowPunct w:val="0"/>
        <w:rPr>
          <w:rFonts w:ascii="Century Gothic" w:hAnsi="Century Gothic" w:cs="Century Gothic"/>
        </w:rPr>
      </w:pPr>
    </w:p>
    <w:p w:rsidR="002C5025" w:rsidRDefault="002C5025">
      <w:pPr>
        <w:pStyle w:val="BodyText"/>
        <w:kinsoku w:val="0"/>
        <w:overflowPunct w:val="0"/>
        <w:rPr>
          <w:rFonts w:ascii="Century Gothic" w:hAnsi="Century Gothic" w:cs="Century Gothic"/>
        </w:rPr>
      </w:pPr>
    </w:p>
    <w:p w:rsidR="002C5025" w:rsidRDefault="002C5025">
      <w:pPr>
        <w:pStyle w:val="BodyText"/>
        <w:kinsoku w:val="0"/>
        <w:overflowPunct w:val="0"/>
        <w:spacing w:before="171" w:line="276" w:lineRule="auto"/>
        <w:ind w:left="119" w:right="392"/>
        <w:rPr>
          <w:rFonts w:ascii="Century Gothic" w:hAnsi="Century Gothic" w:cs="Century Gothic"/>
        </w:rPr>
      </w:pPr>
      <w:r>
        <w:rPr>
          <w:rFonts w:ascii="Century Gothic" w:hAnsi="Century Gothic" w:cs="Century Gothic"/>
        </w:rPr>
        <w:t>Cost and value, of course, must support the vision for improved person-centered care built around total health and wellness. DAAHR asks that MassHealth use DSRIP funds to support a community- based delivery system with a strong infrastructure, investing in information technology (including provider compatibility) and workforce development, including community health workers, peer specialists and other care providers.</w:t>
      </w:r>
    </w:p>
    <w:p w:rsidR="002C5025" w:rsidRDefault="002C5025">
      <w:pPr>
        <w:pStyle w:val="BodyText"/>
        <w:kinsoku w:val="0"/>
        <w:overflowPunct w:val="0"/>
        <w:spacing w:before="5"/>
        <w:rPr>
          <w:rFonts w:ascii="Century Gothic" w:hAnsi="Century Gothic" w:cs="Century Gothic"/>
          <w:sz w:val="16"/>
          <w:szCs w:val="16"/>
        </w:rPr>
      </w:pPr>
    </w:p>
    <w:p w:rsidR="002C5025" w:rsidRDefault="002C5025">
      <w:pPr>
        <w:pStyle w:val="BodyText"/>
        <w:kinsoku w:val="0"/>
        <w:overflowPunct w:val="0"/>
        <w:spacing w:before="1" w:line="276" w:lineRule="auto"/>
        <w:ind w:left="120" w:right="190"/>
        <w:jc w:val="both"/>
        <w:rPr>
          <w:rFonts w:ascii="Century Gothic" w:hAnsi="Century Gothic" w:cs="Century Gothic"/>
        </w:rPr>
      </w:pPr>
      <w:r>
        <w:rPr>
          <w:rFonts w:ascii="Century Gothic" w:hAnsi="Century Gothic" w:cs="Century Gothic"/>
        </w:rPr>
        <w:t>The administration’s efforts to better compensate PCAs exhibits a commitment to community-based services and person-centered LTSS that should be replicated. CBOs must not be put in the position of balancing the books on the backs of their staff.</w:t>
      </w:r>
    </w:p>
    <w:p w:rsidR="002C5025" w:rsidRDefault="002C5025">
      <w:pPr>
        <w:pStyle w:val="BodyText"/>
        <w:kinsoku w:val="0"/>
        <w:overflowPunct w:val="0"/>
        <w:rPr>
          <w:rFonts w:ascii="Century Gothic" w:hAnsi="Century Gothic" w:cs="Century Gothic"/>
        </w:rPr>
      </w:pPr>
    </w:p>
    <w:p w:rsidR="002C5025" w:rsidRDefault="002C5025">
      <w:pPr>
        <w:pStyle w:val="BodyText"/>
        <w:kinsoku w:val="0"/>
        <w:overflowPunct w:val="0"/>
        <w:rPr>
          <w:rFonts w:ascii="Century Gothic" w:hAnsi="Century Gothic" w:cs="Century Gothic"/>
        </w:rPr>
      </w:pPr>
    </w:p>
    <w:p w:rsidR="002C5025" w:rsidRDefault="002C5025">
      <w:pPr>
        <w:pStyle w:val="BodyText"/>
        <w:kinsoku w:val="0"/>
        <w:overflowPunct w:val="0"/>
        <w:spacing w:before="171"/>
        <w:ind w:left="177" w:right="433"/>
        <w:rPr>
          <w:rFonts w:ascii="Century Gothic" w:hAnsi="Century Gothic" w:cs="Century Gothic"/>
        </w:rPr>
      </w:pPr>
      <w:r>
        <w:rPr>
          <w:rFonts w:ascii="Century Gothic" w:hAnsi="Century Gothic" w:cs="Century Gothic"/>
        </w:rPr>
        <w:t>It is critical that this transformation effort include the points below.</w:t>
      </w:r>
    </w:p>
    <w:p w:rsidR="002C5025" w:rsidRDefault="002C5025">
      <w:pPr>
        <w:pStyle w:val="BodyText"/>
        <w:kinsoku w:val="0"/>
        <w:overflowPunct w:val="0"/>
        <w:rPr>
          <w:rFonts w:ascii="Century Gothic" w:hAnsi="Century Gothic" w:cs="Century Gothic"/>
        </w:rPr>
      </w:pPr>
    </w:p>
    <w:p w:rsidR="002C5025" w:rsidRDefault="002C5025">
      <w:pPr>
        <w:pStyle w:val="BodyText"/>
        <w:kinsoku w:val="0"/>
        <w:overflowPunct w:val="0"/>
        <w:rPr>
          <w:rFonts w:ascii="Century Gothic" w:hAnsi="Century Gothic" w:cs="Century Gothic"/>
        </w:rPr>
      </w:pPr>
    </w:p>
    <w:p w:rsidR="002C5025" w:rsidRDefault="002C5025">
      <w:pPr>
        <w:pStyle w:val="BodyText"/>
        <w:kinsoku w:val="0"/>
        <w:overflowPunct w:val="0"/>
        <w:spacing w:before="4"/>
        <w:rPr>
          <w:rFonts w:ascii="Century Gothic" w:hAnsi="Century Gothic" w:cs="Century Gothic"/>
          <w:sz w:val="17"/>
          <w:szCs w:val="17"/>
        </w:rPr>
      </w:pPr>
    </w:p>
    <w:p w:rsidR="002C5025" w:rsidRDefault="002C5025">
      <w:pPr>
        <w:pStyle w:val="BodyText"/>
        <w:kinsoku w:val="0"/>
        <w:overflowPunct w:val="0"/>
        <w:spacing w:line="276" w:lineRule="auto"/>
        <w:ind w:left="120" w:right="630"/>
        <w:rPr>
          <w:rFonts w:ascii="Century Gothic" w:hAnsi="Century Gothic" w:cs="Century Gothic"/>
          <w:b/>
          <w:bCs/>
        </w:rPr>
      </w:pPr>
      <w:r>
        <w:rPr>
          <w:rFonts w:ascii="Century Gothic" w:hAnsi="Century Gothic" w:cs="Century Gothic"/>
          <w:b/>
          <w:bCs/>
        </w:rPr>
        <w:t>DSRIP dollars should be used to support integration of service delivery systems that are central to reducing tertiary care and associated high costs. This includes ensuring that MassHealth:</w:t>
      </w:r>
    </w:p>
    <w:p w:rsidR="002C5025" w:rsidRDefault="002C5025">
      <w:pPr>
        <w:pStyle w:val="BodyText"/>
        <w:kinsoku w:val="0"/>
        <w:overflowPunct w:val="0"/>
        <w:rPr>
          <w:rFonts w:ascii="Century Gothic" w:hAnsi="Century Gothic" w:cs="Century Gothic"/>
          <w:b/>
          <w:bCs/>
        </w:rPr>
      </w:pPr>
    </w:p>
    <w:p w:rsidR="002C5025" w:rsidRDefault="002C5025">
      <w:pPr>
        <w:pStyle w:val="BodyText"/>
        <w:kinsoku w:val="0"/>
        <w:overflowPunct w:val="0"/>
        <w:rPr>
          <w:rFonts w:ascii="Century Gothic" w:hAnsi="Century Gothic" w:cs="Century Gothic"/>
          <w:b/>
          <w:bCs/>
        </w:rPr>
      </w:pPr>
    </w:p>
    <w:p w:rsidR="002C5025" w:rsidRDefault="002C5025">
      <w:pPr>
        <w:pStyle w:val="ListParagraph"/>
        <w:numPr>
          <w:ilvl w:val="0"/>
          <w:numId w:val="13"/>
        </w:numPr>
        <w:tabs>
          <w:tab w:val="left" w:pos="1021"/>
        </w:tabs>
        <w:kinsoku w:val="0"/>
        <w:overflowPunct w:val="0"/>
        <w:spacing w:before="170" w:line="276" w:lineRule="auto"/>
        <w:ind w:right="342"/>
        <w:rPr>
          <w:rFonts w:ascii="Century Gothic" w:hAnsi="Century Gothic" w:cs="Century Gothic"/>
          <w:sz w:val="22"/>
          <w:szCs w:val="22"/>
        </w:rPr>
      </w:pPr>
      <w:r>
        <w:rPr>
          <w:rFonts w:ascii="Century Gothic" w:hAnsi="Century Gothic" w:cs="Century Gothic"/>
          <w:sz w:val="22"/>
          <w:szCs w:val="22"/>
        </w:rPr>
        <w:t>Distribute DSRIP funds to both ACOs and community-based organizations; funds should not have to flow exclusively through</w:t>
      </w:r>
      <w:r>
        <w:rPr>
          <w:rFonts w:ascii="Century Gothic" w:hAnsi="Century Gothic" w:cs="Century Gothic"/>
          <w:spacing w:val="-10"/>
          <w:sz w:val="22"/>
          <w:szCs w:val="22"/>
        </w:rPr>
        <w:t xml:space="preserve"> </w:t>
      </w:r>
      <w:r>
        <w:rPr>
          <w:rFonts w:ascii="Century Gothic" w:hAnsi="Century Gothic" w:cs="Century Gothic"/>
          <w:sz w:val="22"/>
          <w:szCs w:val="22"/>
        </w:rPr>
        <w:t>ACOs.</w:t>
      </w:r>
    </w:p>
    <w:p w:rsidR="002C5025" w:rsidRDefault="002C5025">
      <w:pPr>
        <w:pStyle w:val="BodyText"/>
        <w:kinsoku w:val="0"/>
        <w:overflowPunct w:val="0"/>
        <w:rPr>
          <w:rFonts w:ascii="Century Gothic" w:hAnsi="Century Gothic" w:cs="Century Gothic"/>
        </w:rPr>
      </w:pPr>
    </w:p>
    <w:p w:rsidR="002C5025" w:rsidRDefault="002C5025">
      <w:pPr>
        <w:pStyle w:val="BodyText"/>
        <w:kinsoku w:val="0"/>
        <w:overflowPunct w:val="0"/>
        <w:spacing w:before="8"/>
        <w:rPr>
          <w:rFonts w:ascii="Century Gothic" w:hAnsi="Century Gothic" w:cs="Century Gothic"/>
          <w:sz w:val="19"/>
          <w:szCs w:val="19"/>
        </w:rPr>
      </w:pPr>
    </w:p>
    <w:p w:rsidR="002C5025" w:rsidRDefault="002C5025">
      <w:pPr>
        <w:pStyle w:val="ListParagraph"/>
        <w:numPr>
          <w:ilvl w:val="0"/>
          <w:numId w:val="13"/>
        </w:numPr>
        <w:tabs>
          <w:tab w:val="left" w:pos="1021"/>
        </w:tabs>
        <w:kinsoku w:val="0"/>
        <w:overflowPunct w:val="0"/>
        <w:spacing w:before="1" w:line="276" w:lineRule="auto"/>
        <w:ind w:right="231"/>
        <w:rPr>
          <w:rFonts w:ascii="Century Gothic" w:hAnsi="Century Gothic" w:cs="Century Gothic"/>
          <w:sz w:val="22"/>
          <w:szCs w:val="22"/>
        </w:rPr>
      </w:pPr>
      <w:r>
        <w:rPr>
          <w:rFonts w:ascii="Century Gothic" w:hAnsi="Century Gothic" w:cs="Century Gothic"/>
          <w:sz w:val="22"/>
          <w:szCs w:val="22"/>
        </w:rPr>
        <w:t>Invest DSRIP funds into building provider capacity to comply with the ADA, including guaranteeing that facilities and medical equipment are accessible, with complementary policies and procedures. We can no longer embark on system transformation of healthcare for people with disabilities if the system itself is allowed to be</w:t>
      </w:r>
      <w:r>
        <w:rPr>
          <w:rFonts w:ascii="Century Gothic" w:hAnsi="Century Gothic" w:cs="Century Gothic"/>
          <w:spacing w:val="-27"/>
          <w:sz w:val="22"/>
          <w:szCs w:val="22"/>
        </w:rPr>
        <w:t xml:space="preserve"> </w:t>
      </w:r>
      <w:r>
        <w:rPr>
          <w:rFonts w:ascii="Century Gothic" w:hAnsi="Century Gothic" w:cs="Century Gothic"/>
          <w:sz w:val="22"/>
          <w:szCs w:val="22"/>
        </w:rPr>
        <w:t>inaccessible.</w:t>
      </w:r>
    </w:p>
    <w:p w:rsidR="002C5025" w:rsidRDefault="002C5025">
      <w:pPr>
        <w:pStyle w:val="BodyText"/>
        <w:kinsoku w:val="0"/>
        <w:overflowPunct w:val="0"/>
        <w:spacing w:before="3"/>
        <w:rPr>
          <w:rFonts w:ascii="Century Gothic" w:hAnsi="Century Gothic" w:cs="Century Gothic"/>
          <w:sz w:val="25"/>
          <w:szCs w:val="25"/>
        </w:rPr>
      </w:pPr>
    </w:p>
    <w:p w:rsidR="002C5025" w:rsidRDefault="002C5025">
      <w:pPr>
        <w:pStyle w:val="ListParagraph"/>
        <w:numPr>
          <w:ilvl w:val="0"/>
          <w:numId w:val="13"/>
        </w:numPr>
        <w:tabs>
          <w:tab w:val="left" w:pos="1021"/>
        </w:tabs>
        <w:kinsoku w:val="0"/>
        <w:overflowPunct w:val="0"/>
        <w:spacing w:line="276" w:lineRule="auto"/>
        <w:ind w:right="113"/>
        <w:rPr>
          <w:rFonts w:ascii="Century Gothic" w:hAnsi="Century Gothic" w:cs="Century Gothic"/>
          <w:sz w:val="22"/>
          <w:szCs w:val="22"/>
        </w:rPr>
      </w:pPr>
      <w:r>
        <w:rPr>
          <w:rFonts w:ascii="Century Gothic" w:hAnsi="Century Gothic" w:cs="Century Gothic"/>
          <w:sz w:val="22"/>
          <w:szCs w:val="22"/>
        </w:rPr>
        <w:t>Invest DSRIP funds upfront into non-clinical services “beyond the clinic walls” to reduce negative social determinants of health, food instability, homelessness, housing instability, lack of access to transportation, and</w:t>
      </w:r>
      <w:r>
        <w:rPr>
          <w:rFonts w:ascii="Century Gothic" w:hAnsi="Century Gothic" w:cs="Century Gothic"/>
          <w:spacing w:val="-21"/>
          <w:sz w:val="22"/>
          <w:szCs w:val="22"/>
        </w:rPr>
        <w:t xml:space="preserve"> </w:t>
      </w:r>
      <w:r>
        <w:rPr>
          <w:rFonts w:ascii="Century Gothic" w:hAnsi="Century Gothic" w:cs="Century Gothic"/>
          <w:sz w:val="22"/>
          <w:szCs w:val="22"/>
        </w:rPr>
        <w:t>underemployment.</w:t>
      </w:r>
    </w:p>
    <w:p w:rsidR="002C5025" w:rsidRDefault="002C5025">
      <w:pPr>
        <w:pStyle w:val="BodyText"/>
        <w:kinsoku w:val="0"/>
        <w:overflowPunct w:val="0"/>
        <w:rPr>
          <w:rFonts w:ascii="Century Gothic" w:hAnsi="Century Gothic" w:cs="Century Gothic"/>
        </w:rPr>
      </w:pPr>
    </w:p>
    <w:p w:rsidR="002C5025" w:rsidRDefault="002C5025">
      <w:pPr>
        <w:pStyle w:val="BodyText"/>
        <w:kinsoku w:val="0"/>
        <w:overflowPunct w:val="0"/>
        <w:spacing w:before="8"/>
        <w:rPr>
          <w:rFonts w:ascii="Century Gothic" w:hAnsi="Century Gothic" w:cs="Century Gothic"/>
          <w:sz w:val="19"/>
          <w:szCs w:val="19"/>
        </w:rPr>
      </w:pPr>
    </w:p>
    <w:p w:rsidR="002C5025" w:rsidRDefault="002C5025">
      <w:pPr>
        <w:pStyle w:val="ListParagraph"/>
        <w:numPr>
          <w:ilvl w:val="0"/>
          <w:numId w:val="13"/>
        </w:numPr>
        <w:tabs>
          <w:tab w:val="left" w:pos="1021"/>
        </w:tabs>
        <w:kinsoku w:val="0"/>
        <w:overflowPunct w:val="0"/>
        <w:spacing w:before="1" w:line="276" w:lineRule="auto"/>
        <w:ind w:right="673"/>
        <w:rPr>
          <w:rFonts w:ascii="Century Gothic" w:hAnsi="Century Gothic" w:cs="Century Gothic"/>
          <w:sz w:val="22"/>
          <w:szCs w:val="22"/>
        </w:rPr>
      </w:pPr>
      <w:r>
        <w:rPr>
          <w:rFonts w:ascii="Century Gothic" w:hAnsi="Century Gothic" w:cs="Century Gothic"/>
          <w:sz w:val="22"/>
          <w:szCs w:val="22"/>
        </w:rPr>
        <w:t>Invest DSRIP funds to provide adequate compensation to CBOs, especially their staff, to ensure capacity and competency in service delivery. Value-based purchasing arrangements should reflect this</w:t>
      </w:r>
      <w:r>
        <w:rPr>
          <w:rFonts w:ascii="Century Gothic" w:hAnsi="Century Gothic" w:cs="Century Gothic"/>
          <w:spacing w:val="-18"/>
          <w:sz w:val="22"/>
          <w:szCs w:val="22"/>
        </w:rPr>
        <w:t xml:space="preserve"> </w:t>
      </w:r>
      <w:r>
        <w:rPr>
          <w:rFonts w:ascii="Century Gothic" w:hAnsi="Century Gothic" w:cs="Century Gothic"/>
          <w:sz w:val="22"/>
          <w:szCs w:val="22"/>
        </w:rPr>
        <w:t>commitment.</w:t>
      </w:r>
    </w:p>
    <w:p w:rsidR="002C5025" w:rsidRDefault="002C5025">
      <w:pPr>
        <w:pStyle w:val="BodyText"/>
        <w:kinsoku w:val="0"/>
        <w:overflowPunct w:val="0"/>
        <w:rPr>
          <w:rFonts w:ascii="Century Gothic" w:hAnsi="Century Gothic" w:cs="Century Gothic"/>
        </w:rPr>
      </w:pPr>
    </w:p>
    <w:p w:rsidR="002C5025" w:rsidRDefault="002C5025">
      <w:pPr>
        <w:pStyle w:val="BodyText"/>
        <w:kinsoku w:val="0"/>
        <w:overflowPunct w:val="0"/>
        <w:spacing w:before="8"/>
        <w:rPr>
          <w:rFonts w:ascii="Century Gothic" w:hAnsi="Century Gothic" w:cs="Century Gothic"/>
          <w:sz w:val="19"/>
          <w:szCs w:val="19"/>
        </w:rPr>
      </w:pPr>
    </w:p>
    <w:p w:rsidR="002C5025" w:rsidRDefault="002C5025">
      <w:pPr>
        <w:pStyle w:val="BodyText"/>
        <w:kinsoku w:val="0"/>
        <w:overflowPunct w:val="0"/>
        <w:spacing w:before="1" w:line="276" w:lineRule="auto"/>
        <w:ind w:left="120" w:right="195"/>
        <w:rPr>
          <w:rFonts w:ascii="Century Gothic" w:hAnsi="Century Gothic" w:cs="Century Gothic"/>
          <w:b/>
          <w:bCs/>
        </w:rPr>
      </w:pPr>
      <w:r>
        <w:rPr>
          <w:rFonts w:ascii="Century Gothic" w:hAnsi="Century Gothic" w:cs="Century Gothic"/>
          <w:b/>
          <w:bCs/>
        </w:rPr>
        <w:t>ACO should have the flexibility and Infrastructure to support innovation while also being guided by a defined set of incentives and outcome requirements to protect MassHealth enrollees. It is requested that MassHealth:</w:t>
      </w:r>
    </w:p>
    <w:p w:rsidR="002C5025" w:rsidRDefault="002C5025">
      <w:pPr>
        <w:pStyle w:val="BodyText"/>
        <w:kinsoku w:val="0"/>
        <w:overflowPunct w:val="0"/>
        <w:spacing w:before="1" w:line="276" w:lineRule="auto"/>
        <w:ind w:left="120" w:right="195"/>
        <w:rPr>
          <w:rFonts w:ascii="Century Gothic" w:hAnsi="Century Gothic" w:cs="Century Gothic"/>
          <w:b/>
          <w:bCs/>
        </w:rPr>
        <w:sectPr w:rsidR="002C5025">
          <w:pgSz w:w="12240" w:h="15840"/>
          <w:pgMar w:top="1200" w:right="640" w:bottom="280" w:left="600" w:header="720" w:footer="720" w:gutter="0"/>
          <w:cols w:space="720" w:equalWidth="0">
            <w:col w:w="11000"/>
          </w:cols>
          <w:noEndnote/>
        </w:sectPr>
      </w:pPr>
    </w:p>
    <w:p w:rsidR="002C5025" w:rsidRDefault="002C5025">
      <w:pPr>
        <w:pStyle w:val="ListParagraph"/>
        <w:numPr>
          <w:ilvl w:val="0"/>
          <w:numId w:val="13"/>
        </w:numPr>
        <w:tabs>
          <w:tab w:val="left" w:pos="1000"/>
        </w:tabs>
        <w:kinsoku w:val="0"/>
        <w:overflowPunct w:val="0"/>
        <w:spacing w:before="33" w:line="276" w:lineRule="auto"/>
        <w:ind w:left="1000" w:right="303"/>
        <w:rPr>
          <w:rFonts w:ascii="Century Gothic" w:hAnsi="Century Gothic" w:cs="Century Gothic"/>
          <w:sz w:val="22"/>
          <w:szCs w:val="22"/>
        </w:rPr>
      </w:pPr>
      <w:r>
        <w:rPr>
          <w:rFonts w:ascii="Century Gothic" w:hAnsi="Century Gothic" w:cs="Century Gothic"/>
          <w:sz w:val="22"/>
          <w:szCs w:val="22"/>
        </w:rPr>
        <w:lastRenderedPageBreak/>
        <w:t>Establish requirements that ACOs are led by a diversity of entities and that governance committees include consumers and community-based providers. ACO boards must be comprised of at least 50 percent non-hospital entities. The definition of “risk bearing” should be broad to allow for the most inclusive governance structures within</w:t>
      </w:r>
      <w:r>
        <w:rPr>
          <w:rFonts w:ascii="Century Gothic" w:hAnsi="Century Gothic" w:cs="Century Gothic"/>
          <w:spacing w:val="-26"/>
          <w:sz w:val="22"/>
          <w:szCs w:val="22"/>
        </w:rPr>
        <w:t xml:space="preserve"> </w:t>
      </w:r>
      <w:r>
        <w:rPr>
          <w:rFonts w:ascii="Century Gothic" w:hAnsi="Century Gothic" w:cs="Century Gothic"/>
          <w:sz w:val="22"/>
          <w:szCs w:val="22"/>
        </w:rPr>
        <w:t>ACOs.</w:t>
      </w:r>
    </w:p>
    <w:p w:rsidR="002C5025" w:rsidRDefault="002C5025">
      <w:pPr>
        <w:pStyle w:val="BodyText"/>
        <w:kinsoku w:val="0"/>
        <w:overflowPunct w:val="0"/>
        <w:rPr>
          <w:rFonts w:ascii="Century Gothic" w:hAnsi="Century Gothic" w:cs="Century Gothic"/>
        </w:rPr>
      </w:pPr>
    </w:p>
    <w:p w:rsidR="002C5025" w:rsidRDefault="002C5025">
      <w:pPr>
        <w:pStyle w:val="BodyText"/>
        <w:kinsoku w:val="0"/>
        <w:overflowPunct w:val="0"/>
        <w:spacing w:before="8"/>
        <w:rPr>
          <w:rFonts w:ascii="Century Gothic" w:hAnsi="Century Gothic" w:cs="Century Gothic"/>
          <w:sz w:val="19"/>
          <w:szCs w:val="19"/>
        </w:rPr>
      </w:pPr>
    </w:p>
    <w:p w:rsidR="002C5025" w:rsidRDefault="002C5025">
      <w:pPr>
        <w:pStyle w:val="ListParagraph"/>
        <w:numPr>
          <w:ilvl w:val="0"/>
          <w:numId w:val="13"/>
        </w:numPr>
        <w:tabs>
          <w:tab w:val="left" w:pos="1000"/>
        </w:tabs>
        <w:kinsoku w:val="0"/>
        <w:overflowPunct w:val="0"/>
        <w:spacing w:before="1" w:line="276" w:lineRule="auto"/>
        <w:ind w:left="999" w:right="182"/>
        <w:rPr>
          <w:rFonts w:ascii="Century Gothic" w:hAnsi="Century Gothic" w:cs="Century Gothic"/>
          <w:sz w:val="22"/>
          <w:szCs w:val="22"/>
        </w:rPr>
      </w:pPr>
      <w:r>
        <w:rPr>
          <w:rFonts w:ascii="Century Gothic" w:hAnsi="Century Gothic" w:cs="Century Gothic"/>
          <w:sz w:val="22"/>
          <w:szCs w:val="22"/>
        </w:rPr>
        <w:t>Create a glide path to support the creation of alternatives to medically-driven ACO models; consider investing in behavioral health, disability and other community organizations that address social determinants of health, with a longer-term commitment to bring them to suitable scale and</w:t>
      </w:r>
      <w:r>
        <w:rPr>
          <w:rFonts w:ascii="Century Gothic" w:hAnsi="Century Gothic" w:cs="Century Gothic"/>
          <w:spacing w:val="-7"/>
          <w:sz w:val="22"/>
          <w:szCs w:val="22"/>
        </w:rPr>
        <w:t xml:space="preserve"> </w:t>
      </w:r>
      <w:r>
        <w:rPr>
          <w:rFonts w:ascii="Century Gothic" w:hAnsi="Century Gothic" w:cs="Century Gothic"/>
          <w:sz w:val="22"/>
          <w:szCs w:val="22"/>
        </w:rPr>
        <w:t>expertise.</w:t>
      </w:r>
    </w:p>
    <w:p w:rsidR="002C5025" w:rsidRDefault="002C5025">
      <w:pPr>
        <w:pStyle w:val="BodyText"/>
        <w:kinsoku w:val="0"/>
        <w:overflowPunct w:val="0"/>
        <w:spacing w:before="3"/>
        <w:rPr>
          <w:rFonts w:ascii="Century Gothic" w:hAnsi="Century Gothic" w:cs="Century Gothic"/>
          <w:sz w:val="25"/>
          <w:szCs w:val="25"/>
        </w:rPr>
      </w:pPr>
    </w:p>
    <w:p w:rsidR="002C5025" w:rsidRDefault="002C5025">
      <w:pPr>
        <w:pStyle w:val="ListParagraph"/>
        <w:numPr>
          <w:ilvl w:val="0"/>
          <w:numId w:val="13"/>
        </w:numPr>
        <w:tabs>
          <w:tab w:val="left" w:pos="1000"/>
        </w:tabs>
        <w:kinsoku w:val="0"/>
        <w:overflowPunct w:val="0"/>
        <w:spacing w:line="278" w:lineRule="auto"/>
        <w:ind w:left="1000" w:right="117"/>
        <w:rPr>
          <w:rFonts w:ascii="Century Gothic" w:hAnsi="Century Gothic" w:cs="Century Gothic"/>
          <w:sz w:val="22"/>
          <w:szCs w:val="22"/>
        </w:rPr>
      </w:pPr>
      <w:r>
        <w:rPr>
          <w:rFonts w:ascii="Century Gothic" w:hAnsi="Century Gothic" w:cs="Century Gothic"/>
          <w:sz w:val="22"/>
          <w:szCs w:val="22"/>
        </w:rPr>
        <w:t>Establish a risk-adjustment approach that accounts for social, cultural, and economic factors so</w:t>
      </w:r>
      <w:r>
        <w:rPr>
          <w:rFonts w:ascii="Century Gothic" w:hAnsi="Century Gothic" w:cs="Century Gothic"/>
          <w:spacing w:val="-4"/>
          <w:sz w:val="22"/>
          <w:szCs w:val="22"/>
        </w:rPr>
        <w:t xml:space="preserve"> </w:t>
      </w:r>
      <w:r>
        <w:rPr>
          <w:rFonts w:ascii="Century Gothic" w:hAnsi="Century Gothic" w:cs="Century Gothic"/>
          <w:sz w:val="22"/>
          <w:szCs w:val="22"/>
        </w:rPr>
        <w:t>that:</w:t>
      </w:r>
    </w:p>
    <w:p w:rsidR="002C5025" w:rsidRDefault="002C5025">
      <w:pPr>
        <w:pStyle w:val="BodyText"/>
        <w:kinsoku w:val="0"/>
        <w:overflowPunct w:val="0"/>
        <w:rPr>
          <w:rFonts w:ascii="Century Gothic" w:hAnsi="Century Gothic" w:cs="Century Gothic"/>
          <w:sz w:val="25"/>
          <w:szCs w:val="25"/>
        </w:rPr>
      </w:pPr>
    </w:p>
    <w:p w:rsidR="002C5025" w:rsidRDefault="002C5025">
      <w:pPr>
        <w:pStyle w:val="ListParagraph"/>
        <w:numPr>
          <w:ilvl w:val="1"/>
          <w:numId w:val="13"/>
        </w:numPr>
        <w:tabs>
          <w:tab w:val="left" w:pos="1540"/>
        </w:tabs>
        <w:kinsoku w:val="0"/>
        <w:overflowPunct w:val="0"/>
        <w:spacing w:before="1" w:line="276" w:lineRule="auto"/>
        <w:ind w:right="342" w:hanging="360"/>
        <w:rPr>
          <w:rFonts w:ascii="Century Gothic" w:hAnsi="Century Gothic" w:cs="Century Gothic"/>
          <w:sz w:val="22"/>
          <w:szCs w:val="22"/>
        </w:rPr>
      </w:pPr>
      <w:r>
        <w:rPr>
          <w:rFonts w:ascii="Century Gothic" w:hAnsi="Century Gothic" w:cs="Century Gothic"/>
          <w:sz w:val="22"/>
          <w:szCs w:val="22"/>
        </w:rPr>
        <w:t>Resources are available to provide culturally and linguistically appropriate medical services for people who are poor, are homeless, have difficulties with English, are from ethnic and/or minority populations, and have physical, mental health, intellectual or sensory</w:t>
      </w:r>
      <w:r>
        <w:rPr>
          <w:rFonts w:ascii="Century Gothic" w:hAnsi="Century Gothic" w:cs="Century Gothic"/>
          <w:spacing w:val="-7"/>
          <w:sz w:val="22"/>
          <w:szCs w:val="22"/>
        </w:rPr>
        <w:t xml:space="preserve"> </w:t>
      </w:r>
      <w:r>
        <w:rPr>
          <w:rFonts w:ascii="Century Gothic" w:hAnsi="Century Gothic" w:cs="Century Gothic"/>
          <w:sz w:val="22"/>
          <w:szCs w:val="22"/>
        </w:rPr>
        <w:t>disabilities.</w:t>
      </w:r>
    </w:p>
    <w:p w:rsidR="002C5025" w:rsidRDefault="002C5025">
      <w:pPr>
        <w:pStyle w:val="ListParagraph"/>
        <w:numPr>
          <w:ilvl w:val="1"/>
          <w:numId w:val="13"/>
        </w:numPr>
        <w:tabs>
          <w:tab w:val="left" w:pos="1541"/>
        </w:tabs>
        <w:kinsoku w:val="0"/>
        <w:overflowPunct w:val="0"/>
        <w:spacing w:line="276" w:lineRule="auto"/>
        <w:ind w:left="1540" w:right="384"/>
        <w:rPr>
          <w:rFonts w:ascii="Century Gothic" w:hAnsi="Century Gothic" w:cs="Century Gothic"/>
          <w:sz w:val="22"/>
          <w:szCs w:val="22"/>
        </w:rPr>
      </w:pPr>
      <w:r>
        <w:rPr>
          <w:rFonts w:ascii="Century Gothic" w:hAnsi="Century Gothic" w:cs="Century Gothic"/>
          <w:sz w:val="22"/>
          <w:szCs w:val="22"/>
        </w:rPr>
        <w:t>Resources are available to address social determinants of health, including need for food, fuel assistance, and housing assistance, with maximized opportunity to collaborate with community-based providers such as WIC, immigration organizations, and housing authorities to increase quality of care and support nutrition and housing security.</w:t>
      </w:r>
    </w:p>
    <w:p w:rsidR="002C5025" w:rsidRDefault="002C5025">
      <w:pPr>
        <w:pStyle w:val="BodyText"/>
        <w:kinsoku w:val="0"/>
        <w:overflowPunct w:val="0"/>
        <w:rPr>
          <w:rFonts w:ascii="Century Gothic" w:hAnsi="Century Gothic" w:cs="Century Gothic"/>
        </w:rPr>
      </w:pPr>
    </w:p>
    <w:p w:rsidR="002C5025" w:rsidRDefault="002C5025">
      <w:pPr>
        <w:pStyle w:val="BodyText"/>
        <w:kinsoku w:val="0"/>
        <w:overflowPunct w:val="0"/>
        <w:spacing w:before="8"/>
        <w:rPr>
          <w:rFonts w:ascii="Century Gothic" w:hAnsi="Century Gothic" w:cs="Century Gothic"/>
          <w:sz w:val="19"/>
          <w:szCs w:val="19"/>
        </w:rPr>
      </w:pPr>
    </w:p>
    <w:p w:rsidR="002C5025" w:rsidRDefault="002C5025">
      <w:pPr>
        <w:pStyle w:val="BodyText"/>
        <w:kinsoku w:val="0"/>
        <w:overflowPunct w:val="0"/>
        <w:spacing w:before="1" w:line="276" w:lineRule="auto"/>
        <w:ind w:left="100" w:right="100"/>
        <w:rPr>
          <w:rFonts w:ascii="Century Gothic" w:hAnsi="Century Gothic" w:cs="Century Gothic"/>
          <w:b/>
          <w:bCs/>
        </w:rPr>
      </w:pPr>
      <w:r>
        <w:rPr>
          <w:rFonts w:ascii="Century Gothic" w:hAnsi="Century Gothic" w:cs="Century Gothic"/>
          <w:b/>
          <w:bCs/>
        </w:rPr>
        <w:t>The 1115 waiver must support person-centered care and protect MassHealth beneficiaries from harm. This can be done by ensuring that MassHealth:</w:t>
      </w:r>
    </w:p>
    <w:p w:rsidR="002C5025" w:rsidRDefault="002C5025">
      <w:pPr>
        <w:pStyle w:val="BodyText"/>
        <w:kinsoku w:val="0"/>
        <w:overflowPunct w:val="0"/>
        <w:rPr>
          <w:rFonts w:ascii="Century Gothic" w:hAnsi="Century Gothic" w:cs="Century Gothic"/>
          <w:b/>
          <w:bCs/>
        </w:rPr>
      </w:pPr>
    </w:p>
    <w:p w:rsidR="002C5025" w:rsidRDefault="002C5025">
      <w:pPr>
        <w:pStyle w:val="BodyText"/>
        <w:kinsoku w:val="0"/>
        <w:overflowPunct w:val="0"/>
        <w:rPr>
          <w:rFonts w:ascii="Century Gothic" w:hAnsi="Century Gothic" w:cs="Century Gothic"/>
          <w:b/>
          <w:bCs/>
        </w:rPr>
      </w:pPr>
    </w:p>
    <w:p w:rsidR="002C5025" w:rsidRDefault="002C5025">
      <w:pPr>
        <w:pStyle w:val="ListParagraph"/>
        <w:numPr>
          <w:ilvl w:val="0"/>
          <w:numId w:val="13"/>
        </w:numPr>
        <w:tabs>
          <w:tab w:val="left" w:pos="1001"/>
        </w:tabs>
        <w:kinsoku w:val="0"/>
        <w:overflowPunct w:val="0"/>
        <w:spacing w:before="170" w:line="276" w:lineRule="auto"/>
        <w:ind w:left="1000" w:right="175"/>
        <w:rPr>
          <w:rFonts w:ascii="Century Gothic" w:hAnsi="Century Gothic" w:cs="Century Gothic"/>
          <w:sz w:val="22"/>
          <w:szCs w:val="22"/>
        </w:rPr>
      </w:pPr>
      <w:r>
        <w:rPr>
          <w:rFonts w:ascii="Century Gothic" w:hAnsi="Century Gothic" w:cs="Century Gothic"/>
          <w:sz w:val="22"/>
          <w:szCs w:val="22"/>
        </w:rPr>
        <w:t>Maintain the independence of LTSS for a minimum of the first two years of the initiative, with integration occurring only after a transparent review of the suitability of integration. All ACOs must be required to create a plan for integrating community-based LTSS into their system, with participation from LTSS providers, users of LTSS, and advocates that must be approved by vote of an implementation council established for the initiative (see</w:t>
      </w:r>
      <w:r>
        <w:rPr>
          <w:rFonts w:ascii="Century Gothic" w:hAnsi="Century Gothic" w:cs="Century Gothic"/>
          <w:spacing w:val="-30"/>
          <w:sz w:val="22"/>
          <w:szCs w:val="22"/>
        </w:rPr>
        <w:t xml:space="preserve"> </w:t>
      </w:r>
      <w:r>
        <w:rPr>
          <w:rFonts w:ascii="Century Gothic" w:hAnsi="Century Gothic" w:cs="Century Gothic"/>
          <w:sz w:val="22"/>
          <w:szCs w:val="22"/>
        </w:rPr>
        <w:t>below).</w:t>
      </w:r>
    </w:p>
    <w:p w:rsidR="002C5025" w:rsidRDefault="002C5025">
      <w:pPr>
        <w:pStyle w:val="BodyText"/>
        <w:kinsoku w:val="0"/>
        <w:overflowPunct w:val="0"/>
        <w:spacing w:before="6"/>
        <w:rPr>
          <w:rFonts w:ascii="Century Gothic" w:hAnsi="Century Gothic" w:cs="Century Gothic"/>
          <w:sz w:val="25"/>
          <w:szCs w:val="25"/>
        </w:rPr>
      </w:pPr>
    </w:p>
    <w:p w:rsidR="002C5025" w:rsidRDefault="002C5025">
      <w:pPr>
        <w:pStyle w:val="ListParagraph"/>
        <w:numPr>
          <w:ilvl w:val="0"/>
          <w:numId w:val="13"/>
        </w:numPr>
        <w:tabs>
          <w:tab w:val="left" w:pos="1001"/>
        </w:tabs>
        <w:kinsoku w:val="0"/>
        <w:overflowPunct w:val="0"/>
        <w:spacing w:line="276" w:lineRule="auto"/>
        <w:ind w:left="1000" w:right="172"/>
        <w:rPr>
          <w:rFonts w:ascii="Century Gothic" w:hAnsi="Century Gothic" w:cs="Century Gothic"/>
          <w:sz w:val="22"/>
          <w:szCs w:val="22"/>
        </w:rPr>
      </w:pPr>
      <w:r>
        <w:rPr>
          <w:rFonts w:ascii="Century Gothic" w:hAnsi="Century Gothic" w:cs="Century Gothic"/>
          <w:sz w:val="22"/>
          <w:szCs w:val="22"/>
        </w:rPr>
        <w:t>Keep auto assignments to ACOs or health homes to low numbers, and any successive assignments should be informed by performance data. The salient lesson of One Care is that initiatives for people with complex service and healthcare needs should be allowed to grow to scale, not be forced to do so. Enrollment in an ACO or health home must be intentional on the part of</w:t>
      </w:r>
      <w:r>
        <w:rPr>
          <w:rFonts w:ascii="Century Gothic" w:hAnsi="Century Gothic" w:cs="Century Gothic"/>
          <w:spacing w:val="-8"/>
          <w:sz w:val="22"/>
          <w:szCs w:val="22"/>
        </w:rPr>
        <w:t xml:space="preserve"> </w:t>
      </w:r>
      <w:r>
        <w:rPr>
          <w:rFonts w:ascii="Century Gothic" w:hAnsi="Century Gothic" w:cs="Century Gothic"/>
          <w:sz w:val="22"/>
          <w:szCs w:val="22"/>
        </w:rPr>
        <w:t>members.</w:t>
      </w:r>
    </w:p>
    <w:p w:rsidR="002C5025" w:rsidRDefault="002C5025">
      <w:pPr>
        <w:pStyle w:val="BodyText"/>
        <w:kinsoku w:val="0"/>
        <w:overflowPunct w:val="0"/>
        <w:spacing w:before="6"/>
        <w:rPr>
          <w:rFonts w:ascii="Century Gothic" w:hAnsi="Century Gothic" w:cs="Century Gothic"/>
          <w:sz w:val="20"/>
          <w:szCs w:val="20"/>
        </w:rPr>
      </w:pPr>
    </w:p>
    <w:p w:rsidR="002C5025" w:rsidRDefault="002C5025">
      <w:pPr>
        <w:pStyle w:val="BodyText"/>
        <w:numPr>
          <w:ilvl w:val="0"/>
          <w:numId w:val="70"/>
        </w:numPr>
        <w:tabs>
          <w:tab w:val="left" w:pos="1000"/>
        </w:tabs>
        <w:kinsoku w:val="0"/>
        <w:overflowPunct w:val="0"/>
        <w:spacing w:before="60"/>
        <w:ind w:right="575" w:hanging="359"/>
        <w:jc w:val="center"/>
        <w:rPr>
          <w:rFonts w:ascii="Century Gothic" w:hAnsi="Century Gothic" w:cs="Century Gothic"/>
          <w:b/>
          <w:bCs/>
        </w:rPr>
      </w:pPr>
      <w:r>
        <w:rPr>
          <w:rFonts w:ascii="Century Gothic" w:hAnsi="Century Gothic" w:cs="Century Gothic"/>
          <w:b/>
          <w:bCs/>
          <w:shd w:val="clear" w:color="auto" w:fill="FFFF00"/>
        </w:rPr>
        <w:t>Protect consumer choice by including choice of plans, services, and</w:t>
      </w:r>
      <w:r>
        <w:rPr>
          <w:rFonts w:ascii="Century Gothic" w:hAnsi="Century Gothic" w:cs="Century Gothic"/>
          <w:b/>
          <w:bCs/>
          <w:spacing w:val="-33"/>
          <w:shd w:val="clear" w:color="auto" w:fill="FFFF00"/>
        </w:rPr>
        <w:t xml:space="preserve"> </w:t>
      </w:r>
      <w:r>
        <w:rPr>
          <w:rFonts w:ascii="Century Gothic" w:hAnsi="Century Gothic" w:cs="Century Gothic"/>
          <w:b/>
          <w:bCs/>
          <w:shd w:val="clear" w:color="auto" w:fill="FFFF00"/>
        </w:rPr>
        <w:t>coordination.</w:t>
      </w:r>
    </w:p>
    <w:p w:rsidR="002C5025" w:rsidRDefault="002C5025">
      <w:pPr>
        <w:pStyle w:val="BodyText"/>
        <w:kinsoku w:val="0"/>
        <w:overflowPunct w:val="0"/>
        <w:spacing w:before="42"/>
        <w:ind w:left="982" w:right="1573"/>
        <w:jc w:val="center"/>
        <w:rPr>
          <w:rFonts w:ascii="Century Gothic" w:hAnsi="Century Gothic" w:cs="Century Gothic"/>
          <w:b/>
          <w:bCs/>
        </w:rPr>
      </w:pPr>
      <w:r>
        <w:rPr>
          <w:rFonts w:ascii="Century Gothic" w:hAnsi="Century Gothic" w:cs="Century Gothic"/>
          <w:b/>
          <w:bCs/>
          <w:shd w:val="clear" w:color="auto" w:fill="FFFF00"/>
        </w:rPr>
        <w:t>Consumer choice is vital. This includes but is not limited to consumer access to:</w:t>
      </w:r>
    </w:p>
    <w:p w:rsidR="002C5025" w:rsidRDefault="002C5025">
      <w:pPr>
        <w:pStyle w:val="BodyText"/>
        <w:kinsoku w:val="0"/>
        <w:overflowPunct w:val="0"/>
        <w:spacing w:before="42"/>
        <w:ind w:left="982" w:right="1573"/>
        <w:jc w:val="center"/>
        <w:rPr>
          <w:rFonts w:ascii="Century Gothic" w:hAnsi="Century Gothic" w:cs="Century Gothic"/>
          <w:b/>
          <w:bCs/>
        </w:rPr>
        <w:sectPr w:rsidR="002C5025">
          <w:pgSz w:w="12240" w:h="15840"/>
          <w:pgMar w:top="1200" w:right="620" w:bottom="280" w:left="620" w:header="720" w:footer="720" w:gutter="0"/>
          <w:cols w:space="720"/>
          <w:noEndnote/>
        </w:sectPr>
      </w:pPr>
    </w:p>
    <w:p w:rsidR="002C5025" w:rsidRDefault="002C5025">
      <w:pPr>
        <w:pStyle w:val="ListParagraph"/>
        <w:numPr>
          <w:ilvl w:val="1"/>
          <w:numId w:val="70"/>
        </w:numPr>
        <w:tabs>
          <w:tab w:val="left" w:pos="1541"/>
        </w:tabs>
        <w:kinsoku w:val="0"/>
        <w:overflowPunct w:val="0"/>
        <w:spacing w:before="42" w:line="276" w:lineRule="auto"/>
        <w:ind w:right="876" w:hanging="360"/>
        <w:rPr>
          <w:rFonts w:ascii="Century Gothic" w:hAnsi="Century Gothic" w:cs="Century Gothic"/>
          <w:sz w:val="22"/>
          <w:szCs w:val="22"/>
        </w:rPr>
      </w:pPr>
      <w:r>
        <w:rPr>
          <w:rFonts w:ascii="Century Gothic" w:hAnsi="Century Gothic" w:cs="Century Gothic"/>
          <w:sz w:val="22"/>
          <w:szCs w:val="22"/>
        </w:rPr>
        <w:lastRenderedPageBreak/>
        <w:t>A delivery system that is equitable, population-based, and person-centered with services provided to consumers based on identified need, not</w:t>
      </w:r>
      <w:r>
        <w:rPr>
          <w:rFonts w:ascii="Century Gothic" w:hAnsi="Century Gothic" w:cs="Century Gothic"/>
          <w:spacing w:val="-26"/>
          <w:sz w:val="22"/>
          <w:szCs w:val="22"/>
        </w:rPr>
        <w:t xml:space="preserve"> </w:t>
      </w:r>
      <w:r>
        <w:rPr>
          <w:rFonts w:ascii="Century Gothic" w:hAnsi="Century Gothic" w:cs="Century Gothic"/>
          <w:sz w:val="22"/>
          <w:szCs w:val="22"/>
        </w:rPr>
        <w:t>payer.</w:t>
      </w:r>
    </w:p>
    <w:p w:rsidR="002C5025" w:rsidRDefault="002C5025">
      <w:pPr>
        <w:pStyle w:val="ListParagraph"/>
        <w:numPr>
          <w:ilvl w:val="1"/>
          <w:numId w:val="70"/>
        </w:numPr>
        <w:tabs>
          <w:tab w:val="left" w:pos="1541"/>
        </w:tabs>
        <w:kinsoku w:val="0"/>
        <w:overflowPunct w:val="0"/>
        <w:spacing w:line="276" w:lineRule="auto"/>
        <w:ind w:right="154" w:hanging="360"/>
        <w:rPr>
          <w:rFonts w:ascii="Century Gothic" w:hAnsi="Century Gothic" w:cs="Century Gothic"/>
          <w:sz w:val="22"/>
          <w:szCs w:val="22"/>
        </w:rPr>
      </w:pPr>
      <w:r>
        <w:rPr>
          <w:rFonts w:ascii="Century Gothic" w:hAnsi="Century Gothic" w:cs="Century Gothic"/>
          <w:sz w:val="22"/>
          <w:szCs w:val="22"/>
        </w:rPr>
        <w:t>An “opt out” provision for enrollees of ACOs so they can, at the end of each month, be able to join another ACO or leave the ACO system and receive services through the fee-for-service</w:t>
      </w:r>
      <w:r>
        <w:rPr>
          <w:rFonts w:ascii="Century Gothic" w:hAnsi="Century Gothic" w:cs="Century Gothic"/>
          <w:spacing w:val="-5"/>
          <w:sz w:val="22"/>
          <w:szCs w:val="22"/>
        </w:rPr>
        <w:t xml:space="preserve"> </w:t>
      </w:r>
      <w:r>
        <w:rPr>
          <w:rFonts w:ascii="Century Gothic" w:hAnsi="Century Gothic" w:cs="Century Gothic"/>
          <w:sz w:val="22"/>
          <w:szCs w:val="22"/>
        </w:rPr>
        <w:t>system.</w:t>
      </w:r>
    </w:p>
    <w:p w:rsidR="002C5025" w:rsidRDefault="002C5025">
      <w:pPr>
        <w:pStyle w:val="BodyText"/>
        <w:kinsoku w:val="0"/>
        <w:overflowPunct w:val="0"/>
        <w:spacing w:line="276" w:lineRule="auto"/>
        <w:ind w:left="1540" w:right="313" w:hanging="360"/>
        <w:rPr>
          <w:rFonts w:ascii="Century Gothic" w:hAnsi="Century Gothic" w:cs="Century Gothic"/>
          <w:b/>
          <w:bCs/>
        </w:rPr>
      </w:pPr>
      <w:r>
        <w:rPr>
          <w:rFonts w:ascii="Century Gothic" w:hAnsi="Century Gothic" w:cs="Century Gothic"/>
          <w:b/>
          <w:bCs/>
          <w:shd w:val="clear" w:color="auto" w:fill="FFFF00"/>
        </w:rPr>
        <w:t>c. An independent, conflict-free case manager or service coordinator for all enrollees in ACOs and health homes.</w:t>
      </w:r>
    </w:p>
    <w:p w:rsidR="002C5025" w:rsidRDefault="002C5025">
      <w:pPr>
        <w:pStyle w:val="ListParagraph"/>
        <w:numPr>
          <w:ilvl w:val="0"/>
          <w:numId w:val="69"/>
        </w:numPr>
        <w:tabs>
          <w:tab w:val="left" w:pos="1541"/>
        </w:tabs>
        <w:kinsoku w:val="0"/>
        <w:overflowPunct w:val="0"/>
        <w:spacing w:before="2" w:line="276" w:lineRule="auto"/>
        <w:ind w:right="466" w:hanging="360"/>
        <w:rPr>
          <w:rFonts w:ascii="Century Gothic" w:hAnsi="Century Gothic" w:cs="Century Gothic"/>
          <w:sz w:val="22"/>
          <w:szCs w:val="22"/>
        </w:rPr>
      </w:pPr>
      <w:r>
        <w:rPr>
          <w:rFonts w:ascii="Century Gothic" w:hAnsi="Century Gothic" w:cs="Century Gothic"/>
          <w:sz w:val="22"/>
          <w:szCs w:val="22"/>
        </w:rPr>
        <w:t>A care coordinator function carried out by the person of the consumer’s choosing— and not necessarily a primary care</w:t>
      </w:r>
      <w:r>
        <w:rPr>
          <w:rFonts w:ascii="Century Gothic" w:hAnsi="Century Gothic" w:cs="Century Gothic"/>
          <w:spacing w:val="-16"/>
          <w:sz w:val="22"/>
          <w:szCs w:val="22"/>
        </w:rPr>
        <w:t xml:space="preserve"> </w:t>
      </w:r>
      <w:r>
        <w:rPr>
          <w:rFonts w:ascii="Century Gothic" w:hAnsi="Century Gothic" w:cs="Century Gothic"/>
          <w:sz w:val="22"/>
          <w:szCs w:val="22"/>
        </w:rPr>
        <w:t>doctor.</w:t>
      </w:r>
    </w:p>
    <w:p w:rsidR="002C5025" w:rsidRDefault="002C5025">
      <w:pPr>
        <w:pStyle w:val="ListParagraph"/>
        <w:numPr>
          <w:ilvl w:val="0"/>
          <w:numId w:val="69"/>
        </w:numPr>
        <w:tabs>
          <w:tab w:val="left" w:pos="1541"/>
        </w:tabs>
        <w:kinsoku w:val="0"/>
        <w:overflowPunct w:val="0"/>
        <w:spacing w:line="276" w:lineRule="auto"/>
        <w:ind w:right="182" w:hanging="360"/>
        <w:rPr>
          <w:rFonts w:ascii="Century Gothic" w:hAnsi="Century Gothic" w:cs="Century Gothic"/>
          <w:sz w:val="22"/>
          <w:szCs w:val="22"/>
        </w:rPr>
      </w:pPr>
      <w:r>
        <w:rPr>
          <w:rFonts w:ascii="Century Gothic" w:hAnsi="Century Gothic" w:cs="Century Gothic"/>
          <w:sz w:val="22"/>
          <w:szCs w:val="22"/>
        </w:rPr>
        <w:t>All providers outside the ACO network through single-case agreements to support continuity of care and access to expertise that may not exist within a network, ensuring that the complexity of a person’s needs and/or lack of choice of specialists within a geographic area is not a barrier to care or</w:t>
      </w:r>
      <w:r>
        <w:rPr>
          <w:rFonts w:ascii="Century Gothic" w:hAnsi="Century Gothic" w:cs="Century Gothic"/>
          <w:spacing w:val="-15"/>
          <w:sz w:val="22"/>
          <w:szCs w:val="22"/>
        </w:rPr>
        <w:t xml:space="preserve"> </w:t>
      </w:r>
      <w:r>
        <w:rPr>
          <w:rFonts w:ascii="Century Gothic" w:hAnsi="Century Gothic" w:cs="Century Gothic"/>
          <w:sz w:val="22"/>
          <w:szCs w:val="22"/>
        </w:rPr>
        <w:t>service.</w:t>
      </w:r>
    </w:p>
    <w:p w:rsidR="002C5025" w:rsidRDefault="002C5025">
      <w:pPr>
        <w:pStyle w:val="ListParagraph"/>
        <w:numPr>
          <w:ilvl w:val="0"/>
          <w:numId w:val="69"/>
        </w:numPr>
        <w:tabs>
          <w:tab w:val="left" w:pos="1541"/>
        </w:tabs>
        <w:kinsoku w:val="0"/>
        <w:overflowPunct w:val="0"/>
        <w:spacing w:line="276" w:lineRule="auto"/>
        <w:ind w:right="316" w:hanging="360"/>
        <w:rPr>
          <w:rFonts w:ascii="Century Gothic" w:hAnsi="Century Gothic" w:cs="Century Gothic"/>
          <w:sz w:val="22"/>
          <w:szCs w:val="22"/>
        </w:rPr>
      </w:pPr>
      <w:r>
        <w:rPr>
          <w:rFonts w:ascii="Century Gothic" w:hAnsi="Century Gothic" w:cs="Century Gothic"/>
          <w:sz w:val="22"/>
          <w:szCs w:val="22"/>
        </w:rPr>
        <w:t>In-person comprehensive assessment of enrollee needs within 30 days of enrollment in an ACO at a place of the enrollee’s choosing, with preference given to assessments being done in the enrollee’s</w:t>
      </w:r>
      <w:r>
        <w:rPr>
          <w:rFonts w:ascii="Century Gothic" w:hAnsi="Century Gothic" w:cs="Century Gothic"/>
          <w:spacing w:val="-11"/>
          <w:sz w:val="22"/>
          <w:szCs w:val="22"/>
        </w:rPr>
        <w:t xml:space="preserve"> </w:t>
      </w:r>
      <w:r>
        <w:rPr>
          <w:rFonts w:ascii="Century Gothic" w:hAnsi="Century Gothic" w:cs="Century Gothic"/>
          <w:sz w:val="22"/>
          <w:szCs w:val="22"/>
        </w:rPr>
        <w:t>home.</w:t>
      </w:r>
    </w:p>
    <w:p w:rsidR="002C5025" w:rsidRDefault="002C5025">
      <w:pPr>
        <w:pStyle w:val="ListParagraph"/>
        <w:numPr>
          <w:ilvl w:val="0"/>
          <w:numId w:val="69"/>
        </w:numPr>
        <w:tabs>
          <w:tab w:val="left" w:pos="1541"/>
        </w:tabs>
        <w:kinsoku w:val="0"/>
        <w:overflowPunct w:val="0"/>
        <w:spacing w:line="276" w:lineRule="auto"/>
        <w:ind w:right="380" w:hanging="360"/>
        <w:rPr>
          <w:rFonts w:ascii="Century Gothic" w:hAnsi="Century Gothic" w:cs="Century Gothic"/>
          <w:sz w:val="22"/>
          <w:szCs w:val="22"/>
        </w:rPr>
      </w:pPr>
      <w:r>
        <w:rPr>
          <w:rFonts w:ascii="Century Gothic" w:hAnsi="Century Gothic" w:cs="Century Gothic"/>
          <w:sz w:val="22"/>
          <w:szCs w:val="22"/>
        </w:rPr>
        <w:t>Measurable integration of recovery principles and independent living philosophy into the development and implementation of care</w:t>
      </w:r>
      <w:r>
        <w:rPr>
          <w:rFonts w:ascii="Century Gothic" w:hAnsi="Century Gothic" w:cs="Century Gothic"/>
          <w:spacing w:val="-20"/>
          <w:sz w:val="22"/>
          <w:szCs w:val="22"/>
        </w:rPr>
        <w:t xml:space="preserve"> </w:t>
      </w:r>
      <w:r>
        <w:rPr>
          <w:rFonts w:ascii="Century Gothic" w:hAnsi="Century Gothic" w:cs="Century Gothic"/>
          <w:sz w:val="22"/>
          <w:szCs w:val="22"/>
        </w:rPr>
        <w:t>plans.</w:t>
      </w:r>
    </w:p>
    <w:p w:rsidR="002C5025" w:rsidRDefault="002C5025">
      <w:pPr>
        <w:pStyle w:val="ListParagraph"/>
        <w:numPr>
          <w:ilvl w:val="0"/>
          <w:numId w:val="69"/>
        </w:numPr>
        <w:tabs>
          <w:tab w:val="left" w:pos="1541"/>
        </w:tabs>
        <w:kinsoku w:val="0"/>
        <w:overflowPunct w:val="0"/>
        <w:spacing w:line="276" w:lineRule="auto"/>
        <w:ind w:right="196" w:hanging="360"/>
        <w:rPr>
          <w:rFonts w:ascii="Century Gothic" w:hAnsi="Century Gothic" w:cs="Century Gothic"/>
          <w:sz w:val="22"/>
          <w:szCs w:val="22"/>
        </w:rPr>
      </w:pPr>
      <w:r>
        <w:rPr>
          <w:rFonts w:ascii="Century Gothic" w:hAnsi="Century Gothic" w:cs="Century Gothic"/>
          <w:sz w:val="22"/>
          <w:szCs w:val="22"/>
        </w:rPr>
        <w:t>Control over medical records, including determination of who has access to a consumer’s medical records and the right of the consumer to have access to her or his medical records, including medical</w:t>
      </w:r>
      <w:r>
        <w:rPr>
          <w:rFonts w:ascii="Century Gothic" w:hAnsi="Century Gothic" w:cs="Century Gothic"/>
          <w:spacing w:val="-12"/>
          <w:sz w:val="22"/>
          <w:szCs w:val="22"/>
        </w:rPr>
        <w:t xml:space="preserve"> </w:t>
      </w:r>
      <w:r>
        <w:rPr>
          <w:rFonts w:ascii="Century Gothic" w:hAnsi="Century Gothic" w:cs="Century Gothic"/>
          <w:sz w:val="22"/>
          <w:szCs w:val="22"/>
        </w:rPr>
        <w:t>notes.</w:t>
      </w:r>
    </w:p>
    <w:p w:rsidR="002C5025" w:rsidRDefault="002C5025">
      <w:pPr>
        <w:pStyle w:val="BodyText"/>
        <w:kinsoku w:val="0"/>
        <w:overflowPunct w:val="0"/>
        <w:spacing w:before="3"/>
        <w:rPr>
          <w:rFonts w:ascii="Century Gothic" w:hAnsi="Century Gothic" w:cs="Century Gothic"/>
          <w:sz w:val="25"/>
          <w:szCs w:val="25"/>
        </w:rPr>
      </w:pPr>
    </w:p>
    <w:p w:rsidR="002C5025" w:rsidRDefault="002C5025">
      <w:pPr>
        <w:pStyle w:val="BodyText"/>
        <w:kinsoku w:val="0"/>
        <w:overflowPunct w:val="0"/>
        <w:spacing w:line="278" w:lineRule="auto"/>
        <w:ind w:left="820" w:right="816"/>
        <w:rPr>
          <w:rFonts w:ascii="Century Gothic" w:hAnsi="Century Gothic" w:cs="Century Gothic"/>
        </w:rPr>
      </w:pPr>
      <w:r>
        <w:rPr>
          <w:rFonts w:ascii="Century Gothic" w:hAnsi="Century Gothic" w:cs="Century Gothic"/>
        </w:rPr>
        <w:t>There also must be strict monitoring and enforcement of the requirement that ACOs not discriminate against those who request to join the group.</w:t>
      </w:r>
    </w:p>
    <w:p w:rsidR="002C5025" w:rsidRDefault="002C5025">
      <w:pPr>
        <w:pStyle w:val="BodyText"/>
        <w:kinsoku w:val="0"/>
        <w:overflowPunct w:val="0"/>
        <w:rPr>
          <w:rFonts w:ascii="Century Gothic" w:hAnsi="Century Gothic" w:cs="Century Gothic"/>
          <w:sz w:val="25"/>
          <w:szCs w:val="25"/>
        </w:rPr>
      </w:pPr>
    </w:p>
    <w:p w:rsidR="002C5025" w:rsidRDefault="002C5025">
      <w:pPr>
        <w:pStyle w:val="ListParagraph"/>
        <w:numPr>
          <w:ilvl w:val="0"/>
          <w:numId w:val="68"/>
        </w:numPr>
        <w:tabs>
          <w:tab w:val="left" w:pos="1001"/>
        </w:tabs>
        <w:kinsoku w:val="0"/>
        <w:overflowPunct w:val="0"/>
        <w:spacing w:before="1" w:line="276" w:lineRule="auto"/>
        <w:ind w:right="108"/>
        <w:rPr>
          <w:rFonts w:ascii="Century Gothic" w:hAnsi="Century Gothic" w:cs="Century Gothic"/>
          <w:sz w:val="22"/>
          <w:szCs w:val="22"/>
        </w:rPr>
      </w:pPr>
      <w:r>
        <w:rPr>
          <w:rFonts w:ascii="Century Gothic" w:hAnsi="Century Gothic" w:cs="Century Gothic"/>
          <w:sz w:val="22"/>
          <w:szCs w:val="22"/>
        </w:rPr>
        <w:t>Establish an implementation council or similar MassHealth consumer-majority body. Its role should include guiding the overall growth and implementation of the waiver, including the review of systemic trends in collaboration with MassHealth, CMS, the various plans and providers, and an ombudsman office. The council should have access to and control over its own</w:t>
      </w:r>
      <w:r>
        <w:rPr>
          <w:rFonts w:ascii="Century Gothic" w:hAnsi="Century Gothic" w:cs="Century Gothic"/>
          <w:spacing w:val="-3"/>
          <w:sz w:val="22"/>
          <w:szCs w:val="22"/>
        </w:rPr>
        <w:t xml:space="preserve"> </w:t>
      </w:r>
      <w:r>
        <w:rPr>
          <w:rFonts w:ascii="Century Gothic" w:hAnsi="Century Gothic" w:cs="Century Gothic"/>
          <w:sz w:val="22"/>
          <w:szCs w:val="22"/>
        </w:rPr>
        <w:t>budget.</w:t>
      </w:r>
    </w:p>
    <w:p w:rsidR="002C5025" w:rsidRDefault="002C5025">
      <w:pPr>
        <w:pStyle w:val="BodyText"/>
        <w:kinsoku w:val="0"/>
        <w:overflowPunct w:val="0"/>
        <w:spacing w:before="6"/>
        <w:rPr>
          <w:rFonts w:ascii="Century Gothic" w:hAnsi="Century Gothic" w:cs="Century Gothic"/>
          <w:sz w:val="25"/>
          <w:szCs w:val="25"/>
        </w:rPr>
      </w:pPr>
    </w:p>
    <w:p w:rsidR="002C5025" w:rsidRDefault="002C5025">
      <w:pPr>
        <w:pStyle w:val="ListParagraph"/>
        <w:numPr>
          <w:ilvl w:val="0"/>
          <w:numId w:val="68"/>
        </w:numPr>
        <w:tabs>
          <w:tab w:val="left" w:pos="1001"/>
        </w:tabs>
        <w:kinsoku w:val="0"/>
        <w:overflowPunct w:val="0"/>
        <w:spacing w:line="276" w:lineRule="auto"/>
        <w:ind w:right="242"/>
        <w:rPr>
          <w:rFonts w:ascii="Century Gothic" w:hAnsi="Century Gothic" w:cs="Century Gothic"/>
          <w:sz w:val="22"/>
          <w:szCs w:val="22"/>
        </w:rPr>
      </w:pPr>
      <w:r>
        <w:rPr>
          <w:rFonts w:ascii="Century Gothic" w:hAnsi="Century Gothic" w:cs="Century Gothic"/>
          <w:sz w:val="22"/>
          <w:szCs w:val="22"/>
        </w:rPr>
        <w:t>Establish an independent ombudsman office similar to what exists for One Care to support innovation, protect members on an individual basis, and address systemic concerns as they arise. Other consumer protections, such as rights to appeal services, must be</w:t>
      </w:r>
      <w:r>
        <w:rPr>
          <w:rFonts w:ascii="Century Gothic" w:hAnsi="Century Gothic" w:cs="Century Gothic"/>
          <w:spacing w:val="-32"/>
          <w:sz w:val="22"/>
          <w:szCs w:val="22"/>
        </w:rPr>
        <w:t xml:space="preserve"> </w:t>
      </w:r>
      <w:r>
        <w:rPr>
          <w:rFonts w:ascii="Century Gothic" w:hAnsi="Century Gothic" w:cs="Century Gothic"/>
          <w:sz w:val="22"/>
          <w:szCs w:val="22"/>
        </w:rPr>
        <w:t>established.</w:t>
      </w:r>
    </w:p>
    <w:p w:rsidR="002C5025" w:rsidRDefault="002C5025">
      <w:pPr>
        <w:pStyle w:val="BodyText"/>
        <w:kinsoku w:val="0"/>
        <w:overflowPunct w:val="0"/>
        <w:spacing w:before="6"/>
        <w:rPr>
          <w:rFonts w:ascii="Century Gothic" w:hAnsi="Century Gothic" w:cs="Century Gothic"/>
          <w:sz w:val="25"/>
          <w:szCs w:val="25"/>
        </w:rPr>
      </w:pPr>
    </w:p>
    <w:p w:rsidR="002C5025" w:rsidRDefault="002C5025">
      <w:pPr>
        <w:pStyle w:val="ListParagraph"/>
        <w:numPr>
          <w:ilvl w:val="0"/>
          <w:numId w:val="68"/>
        </w:numPr>
        <w:tabs>
          <w:tab w:val="left" w:pos="1001"/>
        </w:tabs>
        <w:kinsoku w:val="0"/>
        <w:overflowPunct w:val="0"/>
        <w:spacing w:line="276" w:lineRule="auto"/>
        <w:ind w:right="378"/>
        <w:jc w:val="both"/>
        <w:rPr>
          <w:rFonts w:ascii="Century Gothic" w:hAnsi="Century Gothic" w:cs="Century Gothic"/>
          <w:sz w:val="22"/>
          <w:szCs w:val="22"/>
        </w:rPr>
      </w:pPr>
      <w:r>
        <w:rPr>
          <w:rFonts w:ascii="Century Gothic" w:hAnsi="Century Gothic" w:cs="Century Gothic"/>
          <w:sz w:val="22"/>
          <w:szCs w:val="22"/>
        </w:rPr>
        <w:t>Extend enhanced benefits available to One Care enrollees to ACO enrollees. This includes the integration of oral health through provision of full dental benefits for enrollees and zero co-pays for prescriptions and all other</w:t>
      </w:r>
      <w:r>
        <w:rPr>
          <w:rFonts w:ascii="Century Gothic" w:hAnsi="Century Gothic" w:cs="Century Gothic"/>
          <w:spacing w:val="-16"/>
          <w:sz w:val="22"/>
          <w:szCs w:val="22"/>
        </w:rPr>
        <w:t xml:space="preserve"> </w:t>
      </w:r>
      <w:r>
        <w:rPr>
          <w:rFonts w:ascii="Century Gothic" w:hAnsi="Century Gothic" w:cs="Century Gothic"/>
          <w:sz w:val="22"/>
          <w:szCs w:val="22"/>
        </w:rPr>
        <w:t>services.</w:t>
      </w:r>
    </w:p>
    <w:p w:rsidR="002C5025" w:rsidRDefault="002C5025">
      <w:pPr>
        <w:pStyle w:val="BodyText"/>
        <w:kinsoku w:val="0"/>
        <w:overflowPunct w:val="0"/>
        <w:rPr>
          <w:rFonts w:ascii="Century Gothic" w:hAnsi="Century Gothic" w:cs="Century Gothic"/>
        </w:rPr>
      </w:pPr>
    </w:p>
    <w:p w:rsidR="002C5025" w:rsidRDefault="002C5025">
      <w:pPr>
        <w:pStyle w:val="BodyText"/>
        <w:kinsoku w:val="0"/>
        <w:overflowPunct w:val="0"/>
        <w:spacing w:before="8"/>
        <w:rPr>
          <w:rFonts w:ascii="Century Gothic" w:hAnsi="Century Gothic" w:cs="Century Gothic"/>
          <w:sz w:val="19"/>
          <w:szCs w:val="19"/>
        </w:rPr>
      </w:pPr>
    </w:p>
    <w:p w:rsidR="002C5025" w:rsidRDefault="002C5025">
      <w:pPr>
        <w:pStyle w:val="BodyText"/>
        <w:kinsoku w:val="0"/>
        <w:overflowPunct w:val="0"/>
        <w:spacing w:before="1" w:line="276" w:lineRule="auto"/>
        <w:ind w:left="100" w:right="313"/>
        <w:rPr>
          <w:rFonts w:ascii="Century Gothic" w:hAnsi="Century Gothic" w:cs="Century Gothic"/>
          <w:b/>
          <w:bCs/>
        </w:rPr>
      </w:pPr>
      <w:r>
        <w:rPr>
          <w:rFonts w:ascii="Century Gothic" w:hAnsi="Century Gothic" w:cs="Century Gothic"/>
          <w:b/>
          <w:bCs/>
        </w:rPr>
        <w:t>Put in place systems that support innovation in value-based purchasing and creation of transparent quality metrics:</w:t>
      </w:r>
    </w:p>
    <w:p w:rsidR="002C5025" w:rsidRDefault="002C5025">
      <w:pPr>
        <w:pStyle w:val="BodyText"/>
        <w:kinsoku w:val="0"/>
        <w:overflowPunct w:val="0"/>
        <w:rPr>
          <w:rFonts w:ascii="Century Gothic" w:hAnsi="Century Gothic" w:cs="Century Gothic"/>
          <w:b/>
          <w:bCs/>
        </w:rPr>
      </w:pPr>
    </w:p>
    <w:p w:rsidR="002C5025" w:rsidRDefault="002C5025">
      <w:pPr>
        <w:pStyle w:val="BodyText"/>
        <w:kinsoku w:val="0"/>
        <w:overflowPunct w:val="0"/>
        <w:rPr>
          <w:rFonts w:ascii="Century Gothic" w:hAnsi="Century Gothic" w:cs="Century Gothic"/>
          <w:b/>
          <w:bCs/>
        </w:rPr>
      </w:pPr>
    </w:p>
    <w:p w:rsidR="002C5025" w:rsidRDefault="002C5025">
      <w:pPr>
        <w:pStyle w:val="ListParagraph"/>
        <w:numPr>
          <w:ilvl w:val="0"/>
          <w:numId w:val="68"/>
        </w:numPr>
        <w:tabs>
          <w:tab w:val="left" w:pos="1001"/>
        </w:tabs>
        <w:kinsoku w:val="0"/>
        <w:overflowPunct w:val="0"/>
        <w:spacing w:before="170" w:line="278" w:lineRule="auto"/>
        <w:ind w:right="99"/>
        <w:rPr>
          <w:rFonts w:ascii="Century Gothic" w:hAnsi="Century Gothic" w:cs="Century Gothic"/>
          <w:sz w:val="22"/>
          <w:szCs w:val="22"/>
        </w:rPr>
      </w:pPr>
      <w:r>
        <w:rPr>
          <w:rFonts w:ascii="Century Gothic" w:hAnsi="Century Gothic" w:cs="Century Gothic"/>
          <w:sz w:val="22"/>
          <w:szCs w:val="22"/>
        </w:rPr>
        <w:t>Develop outcome measures reflecting consumer values such as independence, self- direction, employment, and integration, documenting rebalancing of spending and use of</w:t>
      </w:r>
      <w:r>
        <w:rPr>
          <w:rFonts w:ascii="Century Gothic" w:hAnsi="Century Gothic" w:cs="Century Gothic"/>
          <w:spacing w:val="-33"/>
          <w:sz w:val="22"/>
          <w:szCs w:val="22"/>
        </w:rPr>
        <w:t xml:space="preserve"> </w:t>
      </w:r>
      <w:r>
        <w:rPr>
          <w:rFonts w:ascii="Century Gothic" w:hAnsi="Century Gothic" w:cs="Century Gothic"/>
          <w:sz w:val="22"/>
          <w:szCs w:val="22"/>
        </w:rPr>
        <w:t>a</w:t>
      </w:r>
    </w:p>
    <w:p w:rsidR="002C5025" w:rsidRDefault="002C5025">
      <w:pPr>
        <w:pStyle w:val="ListParagraph"/>
        <w:numPr>
          <w:ilvl w:val="0"/>
          <w:numId w:val="68"/>
        </w:numPr>
        <w:tabs>
          <w:tab w:val="left" w:pos="1001"/>
        </w:tabs>
        <w:kinsoku w:val="0"/>
        <w:overflowPunct w:val="0"/>
        <w:spacing w:before="170" w:line="278" w:lineRule="auto"/>
        <w:ind w:right="99"/>
        <w:rPr>
          <w:rFonts w:ascii="Century Gothic" w:hAnsi="Century Gothic" w:cs="Century Gothic"/>
          <w:sz w:val="22"/>
          <w:szCs w:val="22"/>
        </w:rPr>
        <w:sectPr w:rsidR="002C5025">
          <w:pgSz w:w="12240" w:h="15840"/>
          <w:pgMar w:top="680" w:right="640" w:bottom="280" w:left="620" w:header="720" w:footer="720" w:gutter="0"/>
          <w:cols w:space="720" w:equalWidth="0">
            <w:col w:w="10980"/>
          </w:cols>
          <w:noEndnote/>
        </w:sectPr>
      </w:pPr>
    </w:p>
    <w:p w:rsidR="002C5025" w:rsidRDefault="002C5025">
      <w:pPr>
        <w:pStyle w:val="BodyText"/>
        <w:kinsoku w:val="0"/>
        <w:overflowPunct w:val="0"/>
        <w:spacing w:before="42" w:line="276" w:lineRule="auto"/>
        <w:ind w:left="1000" w:right="203"/>
        <w:rPr>
          <w:rFonts w:ascii="Century Gothic" w:hAnsi="Century Gothic" w:cs="Century Gothic"/>
        </w:rPr>
      </w:pPr>
      <w:r>
        <w:rPr>
          <w:rFonts w:ascii="Century Gothic" w:hAnsi="Century Gothic" w:cs="Century Gothic"/>
        </w:rPr>
        <w:lastRenderedPageBreak/>
        <w:t>variety of LTSS by consumers. To be effective a value-based purchasing system must include incentives that may not result in direct savings but will lead to overall enrollee wellness.</w:t>
      </w:r>
    </w:p>
    <w:p w:rsidR="002C5025" w:rsidRDefault="002C5025">
      <w:pPr>
        <w:pStyle w:val="BodyText"/>
        <w:kinsoku w:val="0"/>
        <w:overflowPunct w:val="0"/>
        <w:spacing w:before="6"/>
        <w:rPr>
          <w:rFonts w:ascii="Century Gothic" w:hAnsi="Century Gothic" w:cs="Century Gothic"/>
          <w:sz w:val="25"/>
          <w:szCs w:val="25"/>
        </w:rPr>
      </w:pPr>
    </w:p>
    <w:p w:rsidR="002C5025" w:rsidRDefault="002C5025">
      <w:pPr>
        <w:pStyle w:val="ListParagraph"/>
        <w:numPr>
          <w:ilvl w:val="0"/>
          <w:numId w:val="68"/>
        </w:numPr>
        <w:tabs>
          <w:tab w:val="left" w:pos="1001"/>
        </w:tabs>
        <w:kinsoku w:val="0"/>
        <w:overflowPunct w:val="0"/>
        <w:spacing w:line="276" w:lineRule="auto"/>
        <w:ind w:right="100"/>
        <w:rPr>
          <w:rFonts w:ascii="Century Gothic" w:hAnsi="Century Gothic" w:cs="Century Gothic"/>
          <w:sz w:val="22"/>
          <w:szCs w:val="22"/>
        </w:rPr>
      </w:pPr>
      <w:r>
        <w:rPr>
          <w:rFonts w:ascii="Century Gothic" w:hAnsi="Century Gothic" w:cs="Century Gothic"/>
          <w:sz w:val="22"/>
          <w:szCs w:val="22"/>
        </w:rPr>
        <w:t>Create a public-facing dashboard that includes population-specific metrics and a star rating system. The dashboard should include current quality metrics and metrics to be piloted over the course of the five-year waiver. Community involvement in the determination of ACO performance criteria and transparency is fundamental. The dashboard should include objective metrics that assist consumers to make an informed choice when choosing an ACO.</w:t>
      </w:r>
    </w:p>
    <w:p w:rsidR="002C5025" w:rsidRDefault="002C5025">
      <w:pPr>
        <w:pStyle w:val="BodyText"/>
        <w:kinsoku w:val="0"/>
        <w:overflowPunct w:val="0"/>
        <w:rPr>
          <w:rFonts w:ascii="Century Gothic" w:hAnsi="Century Gothic" w:cs="Century Gothic"/>
        </w:rPr>
      </w:pPr>
    </w:p>
    <w:p w:rsidR="002C5025" w:rsidRDefault="002C5025">
      <w:pPr>
        <w:pStyle w:val="BodyText"/>
        <w:kinsoku w:val="0"/>
        <w:overflowPunct w:val="0"/>
        <w:spacing w:before="8"/>
        <w:rPr>
          <w:rFonts w:ascii="Century Gothic" w:hAnsi="Century Gothic" w:cs="Century Gothic"/>
          <w:sz w:val="19"/>
          <w:szCs w:val="19"/>
        </w:rPr>
      </w:pPr>
    </w:p>
    <w:p w:rsidR="002C5025" w:rsidRDefault="002C5025">
      <w:pPr>
        <w:pStyle w:val="BodyText"/>
        <w:kinsoku w:val="0"/>
        <w:overflowPunct w:val="0"/>
        <w:spacing w:before="1" w:line="276" w:lineRule="auto"/>
        <w:ind w:left="100" w:right="484"/>
        <w:rPr>
          <w:rFonts w:ascii="Century Gothic" w:hAnsi="Century Gothic" w:cs="Century Gothic"/>
        </w:rPr>
      </w:pPr>
      <w:r>
        <w:rPr>
          <w:rFonts w:ascii="Century Gothic" w:hAnsi="Century Gothic" w:cs="Century Gothic"/>
        </w:rPr>
        <w:t>We thank you very much for your consideration of our concerns and the exhaustive work that you and your team have undertaken to engage the disability community in health reform.</w:t>
      </w:r>
    </w:p>
    <w:p w:rsidR="002C5025" w:rsidRDefault="002C5025">
      <w:pPr>
        <w:pStyle w:val="BodyText"/>
        <w:kinsoku w:val="0"/>
        <w:overflowPunct w:val="0"/>
        <w:spacing w:before="5"/>
        <w:rPr>
          <w:rFonts w:ascii="Century Gothic" w:hAnsi="Century Gothic" w:cs="Century Gothic"/>
          <w:sz w:val="16"/>
          <w:szCs w:val="16"/>
        </w:rPr>
      </w:pPr>
    </w:p>
    <w:p w:rsidR="002C5025" w:rsidRDefault="002C5025">
      <w:pPr>
        <w:pStyle w:val="BodyText"/>
        <w:kinsoku w:val="0"/>
        <w:overflowPunct w:val="0"/>
        <w:spacing w:before="1"/>
        <w:ind w:left="100" w:right="433"/>
        <w:rPr>
          <w:rFonts w:ascii="Century Gothic" w:hAnsi="Century Gothic" w:cs="Century Gothic"/>
        </w:rPr>
      </w:pPr>
      <w:r>
        <w:rPr>
          <w:rFonts w:ascii="Century Gothic" w:hAnsi="Century Gothic" w:cs="Century Gothic"/>
        </w:rPr>
        <w:t>Sincerely,</w:t>
      </w:r>
    </w:p>
    <w:p w:rsidR="002C5025" w:rsidRDefault="002C5025">
      <w:pPr>
        <w:pStyle w:val="BodyText"/>
        <w:kinsoku w:val="0"/>
        <w:overflowPunct w:val="0"/>
        <w:spacing w:before="6"/>
        <w:rPr>
          <w:rFonts w:ascii="Century Gothic" w:hAnsi="Century Gothic" w:cs="Century Gothic"/>
          <w:sz w:val="19"/>
          <w:szCs w:val="19"/>
        </w:rPr>
      </w:pPr>
    </w:p>
    <w:p w:rsidR="002C5025" w:rsidRDefault="002C5025">
      <w:pPr>
        <w:pStyle w:val="BodyText"/>
        <w:kinsoku w:val="0"/>
        <w:overflowPunct w:val="0"/>
        <w:spacing w:line="453" w:lineRule="auto"/>
        <w:ind w:left="100" w:right="6838" w:hanging="1"/>
        <w:rPr>
          <w:rFonts w:ascii="Century Gothic" w:hAnsi="Century Gothic" w:cs="Century Gothic"/>
        </w:rPr>
      </w:pPr>
      <w:r>
        <w:rPr>
          <w:rFonts w:ascii="Century Gothic" w:hAnsi="Century Gothic" w:cs="Century Gothic"/>
        </w:rPr>
        <w:t xml:space="preserve">Dennis </w:t>
      </w:r>
      <w:proofErr w:type="spellStart"/>
      <w:r>
        <w:rPr>
          <w:rFonts w:ascii="Century Gothic" w:hAnsi="Century Gothic" w:cs="Century Gothic"/>
        </w:rPr>
        <w:t>Heaphy</w:t>
      </w:r>
      <w:proofErr w:type="spellEnd"/>
      <w:r>
        <w:rPr>
          <w:rFonts w:ascii="Century Gothic" w:hAnsi="Century Gothic" w:cs="Century Gothic"/>
        </w:rPr>
        <w:t xml:space="preserve">, DAAHR co-chair, </w:t>
      </w:r>
      <w:r>
        <w:rPr>
          <w:rFonts w:ascii="Century Gothic" w:hAnsi="Century Gothic" w:cs="Century Gothic"/>
          <w:spacing w:val="-2"/>
        </w:rPr>
        <w:t xml:space="preserve">DPC </w:t>
      </w:r>
      <w:r>
        <w:rPr>
          <w:rFonts w:ascii="Century Gothic" w:hAnsi="Century Gothic" w:cs="Century Gothic"/>
        </w:rPr>
        <w:t>Bill Henning, DAAHR co-chair, BCIL Cc: Secretary Marylou</w:t>
      </w:r>
      <w:r>
        <w:rPr>
          <w:rFonts w:ascii="Century Gothic" w:hAnsi="Century Gothic" w:cs="Century Gothic"/>
          <w:spacing w:val="-10"/>
        </w:rPr>
        <w:t xml:space="preserve"> </w:t>
      </w:r>
      <w:r>
        <w:rPr>
          <w:rFonts w:ascii="Century Gothic" w:hAnsi="Century Gothic" w:cs="Century Gothic"/>
        </w:rPr>
        <w:t>Sudders</w:t>
      </w:r>
    </w:p>
    <w:p w:rsidR="002C5025" w:rsidRDefault="002C5025">
      <w:pPr>
        <w:pStyle w:val="BodyText"/>
        <w:kinsoku w:val="0"/>
        <w:overflowPunct w:val="0"/>
        <w:spacing w:line="453" w:lineRule="auto"/>
        <w:ind w:left="100" w:right="6838" w:hanging="1"/>
        <w:rPr>
          <w:rFonts w:ascii="Century Gothic" w:hAnsi="Century Gothic" w:cs="Century Gothic"/>
        </w:rPr>
        <w:sectPr w:rsidR="002C5025">
          <w:pgSz w:w="12240" w:h="15840"/>
          <w:pgMar w:top="680" w:right="620" w:bottom="280" w:left="620" w:header="720" w:footer="720" w:gutter="0"/>
          <w:cols w:space="720" w:equalWidth="0">
            <w:col w:w="11000"/>
          </w:cols>
          <w:noEndnote/>
        </w:sectPr>
      </w:pPr>
    </w:p>
    <w:p w:rsidR="002C5025" w:rsidRDefault="002C5025">
      <w:pPr>
        <w:pStyle w:val="BodyText"/>
        <w:kinsoku w:val="0"/>
        <w:overflowPunct w:val="0"/>
        <w:spacing w:before="39"/>
        <w:ind w:left="120" w:right="296"/>
        <w:rPr>
          <w:rFonts w:ascii="Tahoma" w:hAnsi="Tahoma" w:cs="Tahoma"/>
          <w:sz w:val="20"/>
          <w:szCs w:val="20"/>
        </w:rPr>
      </w:pPr>
      <w:bookmarkStart w:id="100" w:name="DAAHR_Comment_2_email_to_Tsai"/>
      <w:bookmarkStart w:id="101" w:name="From:_Demirsoy,_Ipek_(EHS)__Sent:_Monday"/>
      <w:bookmarkEnd w:id="100"/>
      <w:bookmarkEnd w:id="101"/>
      <w:r>
        <w:rPr>
          <w:rFonts w:ascii="Tahoma" w:hAnsi="Tahoma" w:cs="Tahoma"/>
          <w:b/>
          <w:bCs/>
          <w:sz w:val="20"/>
          <w:szCs w:val="20"/>
        </w:rPr>
        <w:lastRenderedPageBreak/>
        <w:t xml:space="preserve">From: </w:t>
      </w:r>
      <w:r>
        <w:rPr>
          <w:rFonts w:ascii="Tahoma" w:hAnsi="Tahoma" w:cs="Tahoma"/>
          <w:sz w:val="20"/>
          <w:szCs w:val="20"/>
        </w:rPr>
        <w:t>Demirsoy, Ipek (EHS)</w:t>
      </w:r>
    </w:p>
    <w:p w:rsidR="002C5025" w:rsidRDefault="002C5025">
      <w:pPr>
        <w:pStyle w:val="BodyText"/>
        <w:kinsoku w:val="0"/>
        <w:overflowPunct w:val="0"/>
        <w:spacing w:before="1" w:line="241" w:lineRule="exact"/>
        <w:ind w:left="120" w:right="296"/>
        <w:rPr>
          <w:rFonts w:ascii="Tahoma" w:hAnsi="Tahoma" w:cs="Tahoma"/>
          <w:sz w:val="20"/>
          <w:szCs w:val="20"/>
        </w:rPr>
      </w:pPr>
      <w:r>
        <w:rPr>
          <w:rFonts w:ascii="Tahoma" w:hAnsi="Tahoma" w:cs="Tahoma"/>
          <w:b/>
          <w:bCs/>
          <w:sz w:val="20"/>
          <w:szCs w:val="20"/>
        </w:rPr>
        <w:t xml:space="preserve">Sent: </w:t>
      </w:r>
      <w:r>
        <w:rPr>
          <w:rFonts w:ascii="Tahoma" w:hAnsi="Tahoma" w:cs="Tahoma"/>
          <w:sz w:val="20"/>
          <w:szCs w:val="20"/>
        </w:rPr>
        <w:t>Monday, June 13, 2016 2:22 PM</w:t>
      </w:r>
    </w:p>
    <w:p w:rsidR="002C5025" w:rsidRDefault="002C5025">
      <w:pPr>
        <w:pStyle w:val="BodyText"/>
        <w:kinsoku w:val="0"/>
        <w:overflowPunct w:val="0"/>
        <w:spacing w:line="241" w:lineRule="exact"/>
        <w:ind w:left="120" w:right="296"/>
        <w:rPr>
          <w:rFonts w:ascii="Tahoma" w:hAnsi="Tahoma" w:cs="Tahoma"/>
          <w:sz w:val="20"/>
          <w:szCs w:val="20"/>
        </w:rPr>
      </w:pPr>
      <w:r>
        <w:rPr>
          <w:rFonts w:ascii="Tahoma" w:hAnsi="Tahoma" w:cs="Tahoma"/>
          <w:b/>
          <w:bCs/>
          <w:sz w:val="20"/>
          <w:szCs w:val="20"/>
        </w:rPr>
        <w:t xml:space="preserve">To: </w:t>
      </w:r>
      <w:r>
        <w:rPr>
          <w:rFonts w:ascii="Tahoma" w:hAnsi="Tahoma" w:cs="Tahoma"/>
          <w:sz w:val="20"/>
          <w:szCs w:val="20"/>
        </w:rPr>
        <w:t>Sing, Gary (EHS); Powell, Michael (EHS); Buckler, Stephanie (EHS); Bertic-Cohen, Monique (EHS)</w:t>
      </w:r>
    </w:p>
    <w:p w:rsidR="002C5025" w:rsidRDefault="002C5025">
      <w:pPr>
        <w:pStyle w:val="BodyText"/>
        <w:kinsoku w:val="0"/>
        <w:overflowPunct w:val="0"/>
        <w:spacing w:before="1"/>
        <w:ind w:left="120" w:right="296"/>
        <w:rPr>
          <w:rFonts w:ascii="Tahoma" w:hAnsi="Tahoma" w:cs="Tahoma"/>
          <w:sz w:val="20"/>
          <w:szCs w:val="20"/>
        </w:rPr>
      </w:pPr>
      <w:r>
        <w:rPr>
          <w:rFonts w:ascii="Tahoma" w:hAnsi="Tahoma" w:cs="Tahoma"/>
          <w:b/>
          <w:bCs/>
          <w:sz w:val="20"/>
          <w:szCs w:val="20"/>
        </w:rPr>
        <w:t xml:space="preserve">Subject: </w:t>
      </w:r>
      <w:r>
        <w:rPr>
          <w:rFonts w:ascii="Tahoma" w:hAnsi="Tahoma" w:cs="Tahoma"/>
          <w:sz w:val="20"/>
          <w:szCs w:val="20"/>
        </w:rPr>
        <w:t>FW: Comments</w:t>
      </w:r>
    </w:p>
    <w:p w:rsidR="002C5025" w:rsidRDefault="002C5025">
      <w:pPr>
        <w:pStyle w:val="BodyText"/>
        <w:kinsoku w:val="0"/>
        <w:overflowPunct w:val="0"/>
        <w:rPr>
          <w:rFonts w:ascii="Tahoma" w:hAnsi="Tahoma" w:cs="Tahoma"/>
          <w:sz w:val="20"/>
          <w:szCs w:val="20"/>
        </w:rPr>
      </w:pPr>
    </w:p>
    <w:p w:rsidR="002C5025" w:rsidRDefault="002C5025">
      <w:pPr>
        <w:pStyle w:val="BodyText"/>
        <w:kinsoku w:val="0"/>
        <w:overflowPunct w:val="0"/>
        <w:rPr>
          <w:rFonts w:ascii="Tahoma" w:hAnsi="Tahoma" w:cs="Tahoma"/>
          <w:sz w:val="20"/>
          <w:szCs w:val="20"/>
        </w:rPr>
      </w:pPr>
    </w:p>
    <w:p w:rsidR="002C5025" w:rsidRDefault="002C5025">
      <w:pPr>
        <w:pStyle w:val="BodyText"/>
        <w:kinsoku w:val="0"/>
        <w:overflowPunct w:val="0"/>
        <w:spacing w:before="8"/>
        <w:rPr>
          <w:rFonts w:ascii="Tahoma" w:hAnsi="Tahoma" w:cs="Tahoma"/>
          <w:sz w:val="26"/>
          <w:szCs w:val="26"/>
        </w:rPr>
      </w:pPr>
    </w:p>
    <w:p w:rsidR="002C5025" w:rsidRDefault="002C5025">
      <w:pPr>
        <w:pStyle w:val="BodyText"/>
        <w:kinsoku w:val="0"/>
        <w:overflowPunct w:val="0"/>
        <w:ind w:left="120" w:right="296"/>
        <w:rPr>
          <w:rFonts w:ascii="Tahoma" w:hAnsi="Tahoma" w:cs="Tahoma"/>
          <w:color w:val="000000"/>
          <w:sz w:val="20"/>
          <w:szCs w:val="20"/>
        </w:rPr>
      </w:pPr>
      <w:bookmarkStart w:id="102" w:name="From:_Dennis_Heaphy_[30TUmailto:dheaphy@"/>
      <w:bookmarkEnd w:id="102"/>
      <w:r>
        <w:rPr>
          <w:rFonts w:ascii="Tahoma" w:hAnsi="Tahoma" w:cs="Tahoma"/>
          <w:b/>
          <w:bCs/>
          <w:sz w:val="20"/>
          <w:szCs w:val="20"/>
        </w:rPr>
        <w:t xml:space="preserve">From: </w:t>
      </w:r>
      <w:r>
        <w:rPr>
          <w:rFonts w:ascii="Tahoma" w:hAnsi="Tahoma" w:cs="Tahoma"/>
          <w:sz w:val="20"/>
          <w:szCs w:val="20"/>
        </w:rPr>
        <w:t xml:space="preserve">Dennis </w:t>
      </w:r>
      <w:proofErr w:type="spellStart"/>
      <w:r>
        <w:rPr>
          <w:rFonts w:ascii="Tahoma" w:hAnsi="Tahoma" w:cs="Tahoma"/>
          <w:sz w:val="20"/>
          <w:szCs w:val="20"/>
        </w:rPr>
        <w:t>Heaphy</w:t>
      </w:r>
      <w:proofErr w:type="spellEnd"/>
      <w:r>
        <w:rPr>
          <w:rFonts w:ascii="Tahoma" w:hAnsi="Tahoma" w:cs="Tahoma"/>
          <w:sz w:val="20"/>
          <w:szCs w:val="20"/>
        </w:rPr>
        <w:t xml:space="preserve"> [</w:t>
      </w:r>
      <w:hyperlink r:id="rId230" w:history="1">
        <w:r>
          <w:rPr>
            <w:rFonts w:ascii="Tahoma" w:hAnsi="Tahoma" w:cs="Tahoma"/>
            <w:color w:val="0563C1"/>
            <w:sz w:val="20"/>
            <w:szCs w:val="20"/>
            <w:u w:val="single"/>
          </w:rPr>
          <w:t>mailto:dheaphy@dpcma.org</w:t>
        </w:r>
      </w:hyperlink>
      <w:r>
        <w:rPr>
          <w:rFonts w:ascii="Tahoma" w:hAnsi="Tahoma" w:cs="Tahoma"/>
          <w:color w:val="000000"/>
          <w:sz w:val="20"/>
          <w:szCs w:val="20"/>
        </w:rPr>
        <w:t>]</w:t>
      </w:r>
    </w:p>
    <w:p w:rsidR="002C5025" w:rsidRDefault="002C5025">
      <w:pPr>
        <w:pStyle w:val="BodyText"/>
        <w:kinsoku w:val="0"/>
        <w:overflowPunct w:val="0"/>
        <w:spacing w:before="1" w:line="241" w:lineRule="exact"/>
        <w:ind w:left="120" w:right="296"/>
        <w:rPr>
          <w:rFonts w:ascii="Tahoma" w:hAnsi="Tahoma" w:cs="Tahoma"/>
          <w:sz w:val="20"/>
          <w:szCs w:val="20"/>
        </w:rPr>
      </w:pPr>
      <w:r>
        <w:rPr>
          <w:rFonts w:ascii="Tahoma" w:hAnsi="Tahoma" w:cs="Tahoma"/>
          <w:b/>
          <w:bCs/>
          <w:sz w:val="20"/>
          <w:szCs w:val="20"/>
        </w:rPr>
        <w:t xml:space="preserve">Sent: </w:t>
      </w:r>
      <w:r>
        <w:rPr>
          <w:rFonts w:ascii="Tahoma" w:hAnsi="Tahoma" w:cs="Tahoma"/>
          <w:sz w:val="20"/>
          <w:szCs w:val="20"/>
        </w:rPr>
        <w:t>Friday, June 10, 2016 10:33 AM</w:t>
      </w:r>
    </w:p>
    <w:p w:rsidR="002C5025" w:rsidRDefault="002C5025">
      <w:pPr>
        <w:pStyle w:val="BodyText"/>
        <w:kinsoku w:val="0"/>
        <w:overflowPunct w:val="0"/>
        <w:ind w:left="119" w:right="7169"/>
        <w:rPr>
          <w:rFonts w:ascii="Tahoma" w:hAnsi="Tahoma" w:cs="Tahoma"/>
          <w:sz w:val="20"/>
          <w:szCs w:val="20"/>
        </w:rPr>
      </w:pPr>
      <w:r>
        <w:rPr>
          <w:rFonts w:ascii="Tahoma" w:hAnsi="Tahoma" w:cs="Tahoma"/>
          <w:b/>
          <w:bCs/>
          <w:sz w:val="20"/>
          <w:szCs w:val="20"/>
        </w:rPr>
        <w:t xml:space="preserve">To: </w:t>
      </w:r>
      <w:r>
        <w:rPr>
          <w:rFonts w:ascii="Tahoma" w:hAnsi="Tahoma" w:cs="Tahoma"/>
          <w:sz w:val="20"/>
          <w:szCs w:val="20"/>
        </w:rPr>
        <w:t xml:space="preserve">Tsai, Daniel (EHS) </w:t>
      </w:r>
      <w:r>
        <w:rPr>
          <w:rFonts w:ascii="Tahoma" w:hAnsi="Tahoma" w:cs="Tahoma"/>
          <w:b/>
          <w:bCs/>
          <w:sz w:val="20"/>
          <w:szCs w:val="20"/>
        </w:rPr>
        <w:t xml:space="preserve">Cc: </w:t>
      </w:r>
      <w:r>
        <w:rPr>
          <w:rFonts w:ascii="Tahoma" w:hAnsi="Tahoma" w:cs="Tahoma"/>
          <w:sz w:val="20"/>
          <w:szCs w:val="20"/>
        </w:rPr>
        <w:t xml:space="preserve">Demirsoy, Ipek (EHS) </w:t>
      </w:r>
      <w:r>
        <w:rPr>
          <w:rFonts w:ascii="Tahoma" w:hAnsi="Tahoma" w:cs="Tahoma"/>
          <w:b/>
          <w:bCs/>
          <w:sz w:val="20"/>
          <w:szCs w:val="20"/>
        </w:rPr>
        <w:t xml:space="preserve">Subject: </w:t>
      </w:r>
      <w:r>
        <w:rPr>
          <w:rFonts w:ascii="Tahoma" w:hAnsi="Tahoma" w:cs="Tahoma"/>
          <w:sz w:val="20"/>
          <w:szCs w:val="20"/>
        </w:rPr>
        <w:t>RE: Comments</w:t>
      </w:r>
    </w:p>
    <w:p w:rsidR="002C5025" w:rsidRDefault="002C5025">
      <w:pPr>
        <w:pStyle w:val="BodyText"/>
        <w:kinsoku w:val="0"/>
        <w:overflowPunct w:val="0"/>
        <w:spacing w:before="1"/>
        <w:rPr>
          <w:rFonts w:ascii="Tahoma" w:hAnsi="Tahoma" w:cs="Tahoma"/>
        </w:rPr>
      </w:pPr>
    </w:p>
    <w:p w:rsidR="002C5025" w:rsidRDefault="002C5025">
      <w:pPr>
        <w:pStyle w:val="BodyText"/>
        <w:kinsoku w:val="0"/>
        <w:overflowPunct w:val="0"/>
        <w:spacing w:before="1"/>
        <w:ind w:left="120" w:right="296"/>
        <w:rPr>
          <w:color w:val="1F497D"/>
        </w:rPr>
      </w:pPr>
      <w:r>
        <w:rPr>
          <w:color w:val="1F497D"/>
        </w:rPr>
        <w:t>Dan,</w:t>
      </w:r>
    </w:p>
    <w:p w:rsidR="002C5025" w:rsidRDefault="002C5025">
      <w:pPr>
        <w:pStyle w:val="BodyText"/>
        <w:kinsoku w:val="0"/>
        <w:overflowPunct w:val="0"/>
      </w:pPr>
    </w:p>
    <w:p w:rsidR="002C5025" w:rsidRDefault="002C5025">
      <w:pPr>
        <w:pStyle w:val="BodyText"/>
        <w:kinsoku w:val="0"/>
        <w:overflowPunct w:val="0"/>
        <w:ind w:left="120" w:right="109"/>
        <w:rPr>
          <w:color w:val="1F497D"/>
        </w:rPr>
      </w:pPr>
      <w:r>
        <w:rPr>
          <w:color w:val="1F497D"/>
        </w:rPr>
        <w:t>Yes, I know it was too heavy on detail. I think I needed to go to the process in order to convey to you what are probably the most serious pieces missing from the document, and I apologize for the negativity in advance, because I do believe in the potential of ACOs and managed care. Anyway, these are learnings from the One Care</w:t>
      </w:r>
      <w:r>
        <w:rPr>
          <w:color w:val="1F497D"/>
          <w:spacing w:val="-17"/>
        </w:rPr>
        <w:t xml:space="preserve"> </w:t>
      </w:r>
      <w:r>
        <w:rPr>
          <w:color w:val="1F497D"/>
        </w:rPr>
        <w:t>experience:</w:t>
      </w:r>
    </w:p>
    <w:p w:rsidR="002C5025" w:rsidRDefault="002C5025">
      <w:pPr>
        <w:pStyle w:val="BodyText"/>
        <w:kinsoku w:val="0"/>
        <w:overflowPunct w:val="0"/>
      </w:pPr>
    </w:p>
    <w:p w:rsidR="002C5025" w:rsidRDefault="002C5025">
      <w:pPr>
        <w:pStyle w:val="BodyText"/>
        <w:kinsoku w:val="0"/>
        <w:overflowPunct w:val="0"/>
        <w:ind w:left="119" w:right="194"/>
        <w:rPr>
          <w:color w:val="1F497D"/>
        </w:rPr>
      </w:pPr>
      <w:r>
        <w:rPr>
          <w:color w:val="1F497D"/>
        </w:rPr>
        <w:t>Commitment to building the infrastructure of MassHealth-MassHealth staff are pushed from project to project, innovation to innovation, with no staff able to do the job of overseeing program integrity. Yes, there is discussion about DSRIP dollars for MassHealth, but not a high-level overall strategy for how MassHealth will carry out oversight of the entire healthcare reform process. There are good people and MassHealth, people doing this job for years that are innovative and want to both improve healthcare access and outcomes for people of low income as well as be cost-effective, but they do not have the space to do their job, and it seems that the message from up top over the course of a number of administrations has been anti-transparency. Look at the profits being made by SCOs. The public would be outraged if they knew the level of profit being made AND how MassHealth in general ignores these profits even as it focuses on reducing PCA costs.</w:t>
      </w:r>
    </w:p>
    <w:p w:rsidR="002C5025" w:rsidRDefault="002C5025">
      <w:pPr>
        <w:pStyle w:val="BodyText"/>
        <w:kinsoku w:val="0"/>
        <w:overflowPunct w:val="0"/>
      </w:pPr>
    </w:p>
    <w:p w:rsidR="002C5025" w:rsidRDefault="002C5025">
      <w:pPr>
        <w:pStyle w:val="BodyText"/>
        <w:kinsoku w:val="0"/>
        <w:overflowPunct w:val="0"/>
        <w:ind w:left="119" w:right="109"/>
        <w:rPr>
          <w:color w:val="1F497D"/>
        </w:rPr>
      </w:pPr>
      <w:r>
        <w:rPr>
          <w:color w:val="1F497D"/>
        </w:rPr>
        <w:t>Transparency-. MassHealth committed to transparency in One Care, for number reasons, this transparency has not been present, and when present, has only been provided in response to ongoing pressure by stakeholders.. Without initial commitment to a steering committee that includes robust consumer involvement, and the establishment of a baseline dashboard with objective measures that are cross system and look at both ACO performance and provider performance, including a rough Gantt chart that outlines projected benchmarks for different components of establishment of the steering committee and development/implementation of benchmarks to be met by the steering committee, MassHealth and ACOs, it is tough, if not impossible to support the waiver is written..</w:t>
      </w:r>
    </w:p>
    <w:p w:rsidR="002C5025" w:rsidRDefault="002C5025">
      <w:pPr>
        <w:pStyle w:val="BodyText"/>
        <w:kinsoku w:val="0"/>
        <w:overflowPunct w:val="0"/>
      </w:pPr>
    </w:p>
    <w:p w:rsidR="002C5025" w:rsidRDefault="002C5025">
      <w:pPr>
        <w:pStyle w:val="BodyText"/>
        <w:kinsoku w:val="0"/>
        <w:overflowPunct w:val="0"/>
        <w:ind w:left="119" w:right="436"/>
        <w:rPr>
          <w:color w:val="1F497D"/>
        </w:rPr>
      </w:pPr>
      <w:r>
        <w:rPr>
          <w:color w:val="1F497D"/>
        </w:rPr>
        <w:t>Finally, in speaking with a high-level official from a health plan, several things were made clear to me that have direct bearing on the creation of the ACOs:</w:t>
      </w:r>
    </w:p>
    <w:p w:rsidR="002C5025" w:rsidRDefault="002C5025">
      <w:pPr>
        <w:pStyle w:val="ListParagraph"/>
        <w:numPr>
          <w:ilvl w:val="0"/>
          <w:numId w:val="67"/>
        </w:numPr>
        <w:tabs>
          <w:tab w:val="left" w:pos="338"/>
        </w:tabs>
        <w:kinsoku w:val="0"/>
        <w:overflowPunct w:val="0"/>
        <w:ind w:right="113" w:firstLine="0"/>
        <w:rPr>
          <w:rFonts w:ascii="Calibri" w:hAnsi="Calibri" w:cs="Calibri"/>
          <w:color w:val="1F497D"/>
          <w:sz w:val="22"/>
          <w:szCs w:val="22"/>
        </w:rPr>
      </w:pPr>
      <w:r>
        <w:rPr>
          <w:rFonts w:ascii="Calibri" w:hAnsi="Calibri" w:cs="Calibri"/>
          <w:color w:val="1F497D"/>
          <w:sz w:val="22"/>
          <w:szCs w:val="22"/>
        </w:rPr>
        <w:t>Equity</w:t>
      </w:r>
      <w:r>
        <w:rPr>
          <w:rFonts w:ascii="Calibri" w:hAnsi="Calibri" w:cs="Calibri"/>
          <w:color w:val="1F497D"/>
          <w:spacing w:val="-3"/>
          <w:sz w:val="22"/>
          <w:szCs w:val="22"/>
        </w:rPr>
        <w:t xml:space="preserve"> </w:t>
      </w:r>
      <w:r>
        <w:rPr>
          <w:rFonts w:ascii="Calibri" w:hAnsi="Calibri" w:cs="Calibri"/>
          <w:color w:val="1F497D"/>
          <w:sz w:val="22"/>
          <w:szCs w:val="22"/>
        </w:rPr>
        <w:t>in</w:t>
      </w:r>
      <w:r>
        <w:rPr>
          <w:rFonts w:ascii="Calibri" w:hAnsi="Calibri" w:cs="Calibri"/>
          <w:color w:val="1F497D"/>
          <w:spacing w:val="-3"/>
          <w:sz w:val="22"/>
          <w:szCs w:val="22"/>
        </w:rPr>
        <w:t xml:space="preserve"> </w:t>
      </w:r>
      <w:r>
        <w:rPr>
          <w:rFonts w:ascii="Calibri" w:hAnsi="Calibri" w:cs="Calibri"/>
          <w:color w:val="1F497D"/>
          <w:sz w:val="22"/>
          <w:szCs w:val="22"/>
        </w:rPr>
        <w:t>access</w:t>
      </w:r>
      <w:r>
        <w:rPr>
          <w:rFonts w:ascii="Calibri" w:hAnsi="Calibri" w:cs="Calibri"/>
          <w:color w:val="1F497D"/>
          <w:spacing w:val="-2"/>
          <w:sz w:val="22"/>
          <w:szCs w:val="22"/>
        </w:rPr>
        <w:t xml:space="preserve"> </w:t>
      </w:r>
      <w:r>
        <w:rPr>
          <w:rFonts w:ascii="Calibri" w:hAnsi="Calibri" w:cs="Calibri"/>
          <w:color w:val="1F497D"/>
          <w:sz w:val="22"/>
          <w:szCs w:val="22"/>
        </w:rPr>
        <w:t>to</w:t>
      </w:r>
      <w:r>
        <w:rPr>
          <w:rFonts w:ascii="Calibri" w:hAnsi="Calibri" w:cs="Calibri"/>
          <w:color w:val="1F497D"/>
          <w:spacing w:val="-3"/>
          <w:sz w:val="22"/>
          <w:szCs w:val="22"/>
        </w:rPr>
        <w:t xml:space="preserve"> </w:t>
      </w:r>
      <w:r>
        <w:rPr>
          <w:rFonts w:ascii="Calibri" w:hAnsi="Calibri" w:cs="Calibri"/>
          <w:color w:val="1F497D"/>
          <w:sz w:val="22"/>
          <w:szCs w:val="22"/>
        </w:rPr>
        <w:t>services</w:t>
      </w:r>
      <w:r>
        <w:rPr>
          <w:rFonts w:ascii="Calibri" w:hAnsi="Calibri" w:cs="Calibri"/>
          <w:color w:val="1F497D"/>
          <w:spacing w:val="-2"/>
          <w:sz w:val="22"/>
          <w:szCs w:val="22"/>
        </w:rPr>
        <w:t xml:space="preserve"> </w:t>
      </w:r>
      <w:r>
        <w:rPr>
          <w:rFonts w:ascii="Calibri" w:hAnsi="Calibri" w:cs="Calibri"/>
          <w:color w:val="1F497D"/>
          <w:sz w:val="22"/>
          <w:szCs w:val="22"/>
        </w:rPr>
        <w:t>between</w:t>
      </w:r>
      <w:r>
        <w:rPr>
          <w:rFonts w:ascii="Calibri" w:hAnsi="Calibri" w:cs="Calibri"/>
          <w:color w:val="1F497D"/>
          <w:spacing w:val="-3"/>
          <w:sz w:val="22"/>
          <w:szCs w:val="22"/>
        </w:rPr>
        <w:t xml:space="preserve"> </w:t>
      </w:r>
      <w:r>
        <w:rPr>
          <w:rFonts w:ascii="Calibri" w:hAnsi="Calibri" w:cs="Calibri"/>
          <w:color w:val="1F497D"/>
          <w:sz w:val="22"/>
          <w:szCs w:val="22"/>
        </w:rPr>
        <w:t>people</w:t>
      </w:r>
      <w:r>
        <w:rPr>
          <w:rFonts w:ascii="Calibri" w:hAnsi="Calibri" w:cs="Calibri"/>
          <w:color w:val="1F497D"/>
          <w:spacing w:val="-4"/>
          <w:sz w:val="22"/>
          <w:szCs w:val="22"/>
        </w:rPr>
        <w:t xml:space="preserve"> </w:t>
      </w:r>
      <w:r>
        <w:rPr>
          <w:rFonts w:ascii="Calibri" w:hAnsi="Calibri" w:cs="Calibri"/>
          <w:color w:val="1F497D"/>
          <w:sz w:val="22"/>
          <w:szCs w:val="22"/>
        </w:rPr>
        <w:t>on</w:t>
      </w:r>
      <w:r>
        <w:rPr>
          <w:rFonts w:ascii="Calibri" w:hAnsi="Calibri" w:cs="Calibri"/>
          <w:color w:val="1F497D"/>
          <w:spacing w:val="-3"/>
          <w:sz w:val="22"/>
          <w:szCs w:val="22"/>
        </w:rPr>
        <w:t xml:space="preserve"> </w:t>
      </w:r>
      <w:r>
        <w:rPr>
          <w:rFonts w:ascii="Calibri" w:hAnsi="Calibri" w:cs="Calibri"/>
          <w:color w:val="1F497D"/>
          <w:sz w:val="22"/>
          <w:szCs w:val="22"/>
        </w:rPr>
        <w:t>straight</w:t>
      </w:r>
      <w:r>
        <w:rPr>
          <w:rFonts w:ascii="Calibri" w:hAnsi="Calibri" w:cs="Calibri"/>
          <w:color w:val="1F497D"/>
          <w:spacing w:val="-1"/>
          <w:sz w:val="22"/>
          <w:szCs w:val="22"/>
        </w:rPr>
        <w:t xml:space="preserve"> </w:t>
      </w:r>
      <w:r>
        <w:rPr>
          <w:rFonts w:ascii="Calibri" w:hAnsi="Calibri" w:cs="Calibri"/>
          <w:color w:val="1F497D"/>
          <w:sz w:val="22"/>
          <w:szCs w:val="22"/>
        </w:rPr>
        <w:t>Medicaid</w:t>
      </w:r>
      <w:r>
        <w:rPr>
          <w:rFonts w:ascii="Calibri" w:hAnsi="Calibri" w:cs="Calibri"/>
          <w:color w:val="1F497D"/>
          <w:spacing w:val="-5"/>
          <w:sz w:val="22"/>
          <w:szCs w:val="22"/>
        </w:rPr>
        <w:t xml:space="preserve"> </w:t>
      </w:r>
      <w:r>
        <w:rPr>
          <w:rFonts w:ascii="Calibri" w:hAnsi="Calibri" w:cs="Calibri"/>
          <w:color w:val="1F497D"/>
          <w:sz w:val="22"/>
          <w:szCs w:val="22"/>
        </w:rPr>
        <w:t>and</w:t>
      </w:r>
      <w:r>
        <w:rPr>
          <w:rFonts w:ascii="Calibri" w:hAnsi="Calibri" w:cs="Calibri"/>
          <w:color w:val="1F497D"/>
          <w:spacing w:val="-3"/>
          <w:sz w:val="22"/>
          <w:szCs w:val="22"/>
        </w:rPr>
        <w:t xml:space="preserve"> </w:t>
      </w:r>
      <w:r>
        <w:rPr>
          <w:rFonts w:ascii="Calibri" w:hAnsi="Calibri" w:cs="Calibri"/>
          <w:color w:val="1F497D"/>
          <w:sz w:val="22"/>
          <w:szCs w:val="22"/>
        </w:rPr>
        <w:t>dual</w:t>
      </w:r>
      <w:r>
        <w:rPr>
          <w:rFonts w:ascii="Calibri" w:hAnsi="Calibri" w:cs="Calibri"/>
          <w:color w:val="1F497D"/>
          <w:spacing w:val="-2"/>
          <w:sz w:val="22"/>
          <w:szCs w:val="22"/>
        </w:rPr>
        <w:t xml:space="preserve"> </w:t>
      </w:r>
      <w:proofErr w:type="spellStart"/>
      <w:r>
        <w:rPr>
          <w:rFonts w:ascii="Calibri" w:hAnsi="Calibri" w:cs="Calibri"/>
          <w:color w:val="1F497D"/>
          <w:sz w:val="22"/>
          <w:szCs w:val="22"/>
        </w:rPr>
        <w:t>eligibles</w:t>
      </w:r>
      <w:proofErr w:type="spellEnd"/>
      <w:r>
        <w:rPr>
          <w:rFonts w:ascii="Calibri" w:hAnsi="Calibri" w:cs="Calibri"/>
          <w:color w:val="1F497D"/>
          <w:spacing w:val="-2"/>
          <w:sz w:val="22"/>
          <w:szCs w:val="22"/>
        </w:rPr>
        <w:t xml:space="preserve"> </w:t>
      </w:r>
      <w:r>
        <w:rPr>
          <w:rFonts w:ascii="Calibri" w:hAnsi="Calibri" w:cs="Calibri"/>
          <w:color w:val="1F497D"/>
          <w:sz w:val="22"/>
          <w:szCs w:val="22"/>
        </w:rPr>
        <w:t>is</w:t>
      </w:r>
      <w:r>
        <w:rPr>
          <w:rFonts w:ascii="Calibri" w:hAnsi="Calibri" w:cs="Calibri"/>
          <w:color w:val="1F497D"/>
          <w:spacing w:val="-2"/>
          <w:sz w:val="22"/>
          <w:szCs w:val="22"/>
        </w:rPr>
        <w:t xml:space="preserve"> </w:t>
      </w:r>
      <w:r>
        <w:rPr>
          <w:rFonts w:ascii="Calibri" w:hAnsi="Calibri" w:cs="Calibri"/>
          <w:color w:val="1F497D"/>
          <w:sz w:val="22"/>
          <w:szCs w:val="22"/>
        </w:rPr>
        <w:t>not</w:t>
      </w:r>
      <w:r>
        <w:rPr>
          <w:rFonts w:ascii="Calibri" w:hAnsi="Calibri" w:cs="Calibri"/>
          <w:color w:val="1F497D"/>
          <w:spacing w:val="-1"/>
          <w:sz w:val="22"/>
          <w:szCs w:val="22"/>
        </w:rPr>
        <w:t xml:space="preserve"> </w:t>
      </w:r>
      <w:r>
        <w:rPr>
          <w:rFonts w:ascii="Calibri" w:hAnsi="Calibri" w:cs="Calibri"/>
          <w:color w:val="1F497D"/>
          <w:sz w:val="22"/>
          <w:szCs w:val="22"/>
        </w:rPr>
        <w:t>likely</w:t>
      </w:r>
      <w:r>
        <w:rPr>
          <w:rFonts w:ascii="Calibri" w:hAnsi="Calibri" w:cs="Calibri"/>
          <w:color w:val="1F497D"/>
          <w:spacing w:val="-3"/>
          <w:sz w:val="22"/>
          <w:szCs w:val="22"/>
        </w:rPr>
        <w:t xml:space="preserve"> </w:t>
      </w:r>
      <w:r>
        <w:rPr>
          <w:rFonts w:ascii="Calibri" w:hAnsi="Calibri" w:cs="Calibri"/>
          <w:color w:val="1F497D"/>
          <w:sz w:val="22"/>
          <w:szCs w:val="22"/>
        </w:rPr>
        <w:t>to</w:t>
      </w:r>
      <w:r>
        <w:rPr>
          <w:rFonts w:ascii="Calibri" w:hAnsi="Calibri" w:cs="Calibri"/>
          <w:color w:val="1F497D"/>
          <w:spacing w:val="-3"/>
          <w:sz w:val="22"/>
          <w:szCs w:val="22"/>
        </w:rPr>
        <w:t xml:space="preserve"> </w:t>
      </w:r>
      <w:r>
        <w:rPr>
          <w:rFonts w:ascii="Calibri" w:hAnsi="Calibri" w:cs="Calibri"/>
          <w:color w:val="1F497D"/>
          <w:sz w:val="22"/>
          <w:szCs w:val="22"/>
        </w:rPr>
        <w:t>take place in ACOs for a number reasons, too many to detail</w:t>
      </w:r>
      <w:r>
        <w:rPr>
          <w:rFonts w:ascii="Calibri" w:hAnsi="Calibri" w:cs="Calibri"/>
          <w:color w:val="1F497D"/>
          <w:spacing w:val="-20"/>
          <w:sz w:val="22"/>
          <w:szCs w:val="22"/>
        </w:rPr>
        <w:t xml:space="preserve"> </w:t>
      </w:r>
      <w:r>
        <w:rPr>
          <w:rFonts w:ascii="Calibri" w:hAnsi="Calibri" w:cs="Calibri"/>
          <w:color w:val="1F497D"/>
          <w:sz w:val="22"/>
          <w:szCs w:val="22"/>
        </w:rPr>
        <w:t>here.</w:t>
      </w:r>
    </w:p>
    <w:p w:rsidR="002C5025" w:rsidRDefault="002C5025">
      <w:pPr>
        <w:pStyle w:val="ListParagraph"/>
        <w:numPr>
          <w:ilvl w:val="0"/>
          <w:numId w:val="67"/>
        </w:numPr>
        <w:tabs>
          <w:tab w:val="left" w:pos="338"/>
        </w:tabs>
        <w:kinsoku w:val="0"/>
        <w:overflowPunct w:val="0"/>
        <w:ind w:right="442" w:firstLine="0"/>
        <w:rPr>
          <w:rFonts w:ascii="Calibri" w:hAnsi="Calibri" w:cs="Calibri"/>
          <w:color w:val="1F497D"/>
          <w:sz w:val="22"/>
          <w:szCs w:val="22"/>
        </w:rPr>
      </w:pPr>
      <w:r>
        <w:rPr>
          <w:rFonts w:ascii="Calibri" w:hAnsi="Calibri" w:cs="Calibri"/>
          <w:color w:val="1F497D"/>
          <w:sz w:val="22"/>
          <w:szCs w:val="22"/>
        </w:rPr>
        <w:t>gaming the system will be easy. Already in One Care, both CCA and Tufts receive no guidance from MassHealth on bucketing of services under Medicare or Medicaid. It might seem that under the capitated model this might not matter, but it does. A plan can cherry pick which services it will pay Medicare rates and which services it will pay Medicaid rates.. This can result in some providers being squeezed</w:t>
      </w:r>
      <w:r>
        <w:rPr>
          <w:rFonts w:ascii="Calibri" w:hAnsi="Calibri" w:cs="Calibri"/>
          <w:color w:val="1F497D"/>
          <w:spacing w:val="-3"/>
          <w:sz w:val="22"/>
          <w:szCs w:val="22"/>
        </w:rPr>
        <w:t xml:space="preserve"> </w:t>
      </w:r>
      <w:r>
        <w:rPr>
          <w:rFonts w:ascii="Calibri" w:hAnsi="Calibri" w:cs="Calibri"/>
          <w:color w:val="1F497D"/>
          <w:sz w:val="22"/>
          <w:szCs w:val="22"/>
        </w:rPr>
        <w:t>and</w:t>
      </w:r>
      <w:r>
        <w:rPr>
          <w:rFonts w:ascii="Calibri" w:hAnsi="Calibri" w:cs="Calibri"/>
          <w:color w:val="1F497D"/>
          <w:spacing w:val="-3"/>
          <w:sz w:val="22"/>
          <w:szCs w:val="22"/>
        </w:rPr>
        <w:t xml:space="preserve"> </w:t>
      </w:r>
      <w:r>
        <w:rPr>
          <w:rFonts w:ascii="Calibri" w:hAnsi="Calibri" w:cs="Calibri"/>
          <w:color w:val="1F497D"/>
          <w:sz w:val="22"/>
          <w:szCs w:val="22"/>
        </w:rPr>
        <w:t>paid</w:t>
      </w:r>
      <w:r>
        <w:rPr>
          <w:rFonts w:ascii="Calibri" w:hAnsi="Calibri" w:cs="Calibri"/>
          <w:color w:val="1F497D"/>
          <w:spacing w:val="-3"/>
          <w:sz w:val="22"/>
          <w:szCs w:val="22"/>
        </w:rPr>
        <w:t xml:space="preserve"> </w:t>
      </w:r>
      <w:r>
        <w:rPr>
          <w:rFonts w:ascii="Calibri" w:hAnsi="Calibri" w:cs="Calibri"/>
          <w:color w:val="1F497D"/>
          <w:sz w:val="22"/>
          <w:szCs w:val="22"/>
        </w:rPr>
        <w:t>a</w:t>
      </w:r>
      <w:r>
        <w:rPr>
          <w:rFonts w:ascii="Calibri" w:hAnsi="Calibri" w:cs="Calibri"/>
          <w:color w:val="1F497D"/>
          <w:spacing w:val="-2"/>
          <w:sz w:val="22"/>
          <w:szCs w:val="22"/>
        </w:rPr>
        <w:t xml:space="preserve"> </w:t>
      </w:r>
      <w:r>
        <w:rPr>
          <w:rFonts w:ascii="Calibri" w:hAnsi="Calibri" w:cs="Calibri"/>
          <w:color w:val="1F497D"/>
          <w:sz w:val="22"/>
          <w:szCs w:val="22"/>
        </w:rPr>
        <w:t>lower</w:t>
      </w:r>
      <w:r>
        <w:rPr>
          <w:rFonts w:ascii="Calibri" w:hAnsi="Calibri" w:cs="Calibri"/>
          <w:color w:val="1F497D"/>
          <w:spacing w:val="-4"/>
          <w:sz w:val="22"/>
          <w:szCs w:val="22"/>
        </w:rPr>
        <w:t xml:space="preserve"> </w:t>
      </w:r>
      <w:r>
        <w:rPr>
          <w:rFonts w:ascii="Calibri" w:hAnsi="Calibri" w:cs="Calibri"/>
          <w:color w:val="1F497D"/>
          <w:sz w:val="22"/>
          <w:szCs w:val="22"/>
        </w:rPr>
        <w:t>rate,</w:t>
      </w:r>
      <w:r>
        <w:rPr>
          <w:rFonts w:ascii="Calibri" w:hAnsi="Calibri" w:cs="Calibri"/>
          <w:color w:val="1F497D"/>
          <w:spacing w:val="-2"/>
          <w:sz w:val="22"/>
          <w:szCs w:val="22"/>
        </w:rPr>
        <w:t xml:space="preserve"> </w:t>
      </w:r>
      <w:r>
        <w:rPr>
          <w:rFonts w:ascii="Calibri" w:hAnsi="Calibri" w:cs="Calibri"/>
          <w:color w:val="1F497D"/>
          <w:sz w:val="22"/>
          <w:szCs w:val="22"/>
        </w:rPr>
        <w:t>and</w:t>
      </w:r>
      <w:r>
        <w:rPr>
          <w:rFonts w:ascii="Calibri" w:hAnsi="Calibri" w:cs="Calibri"/>
          <w:color w:val="1F497D"/>
          <w:spacing w:val="-5"/>
          <w:sz w:val="22"/>
          <w:szCs w:val="22"/>
        </w:rPr>
        <w:t xml:space="preserve"> </w:t>
      </w:r>
      <w:r>
        <w:rPr>
          <w:rFonts w:ascii="Calibri" w:hAnsi="Calibri" w:cs="Calibri"/>
          <w:color w:val="1F497D"/>
          <w:sz w:val="22"/>
          <w:szCs w:val="22"/>
        </w:rPr>
        <w:t>other</w:t>
      </w:r>
      <w:r>
        <w:rPr>
          <w:rFonts w:ascii="Calibri" w:hAnsi="Calibri" w:cs="Calibri"/>
          <w:color w:val="1F497D"/>
          <w:spacing w:val="-4"/>
          <w:sz w:val="22"/>
          <w:szCs w:val="22"/>
        </w:rPr>
        <w:t xml:space="preserve"> </w:t>
      </w:r>
      <w:r>
        <w:rPr>
          <w:rFonts w:ascii="Calibri" w:hAnsi="Calibri" w:cs="Calibri"/>
          <w:color w:val="1F497D"/>
          <w:sz w:val="22"/>
          <w:szCs w:val="22"/>
        </w:rPr>
        <w:t>providers</w:t>
      </w:r>
      <w:r>
        <w:rPr>
          <w:rFonts w:ascii="Calibri" w:hAnsi="Calibri" w:cs="Calibri"/>
          <w:color w:val="1F497D"/>
          <w:spacing w:val="-4"/>
          <w:sz w:val="22"/>
          <w:szCs w:val="22"/>
        </w:rPr>
        <w:t xml:space="preserve"> </w:t>
      </w:r>
      <w:r>
        <w:rPr>
          <w:rFonts w:ascii="Calibri" w:hAnsi="Calibri" w:cs="Calibri"/>
          <w:color w:val="1F497D"/>
          <w:sz w:val="22"/>
          <w:szCs w:val="22"/>
        </w:rPr>
        <w:t>an</w:t>
      </w:r>
      <w:r>
        <w:rPr>
          <w:rFonts w:ascii="Calibri" w:hAnsi="Calibri" w:cs="Calibri"/>
          <w:color w:val="1F497D"/>
          <w:spacing w:val="-3"/>
          <w:sz w:val="22"/>
          <w:szCs w:val="22"/>
        </w:rPr>
        <w:t xml:space="preserve"> </w:t>
      </w:r>
      <w:r>
        <w:rPr>
          <w:rFonts w:ascii="Calibri" w:hAnsi="Calibri" w:cs="Calibri"/>
          <w:color w:val="1F497D"/>
          <w:sz w:val="22"/>
          <w:szCs w:val="22"/>
        </w:rPr>
        <w:t>inflated</w:t>
      </w:r>
      <w:r>
        <w:rPr>
          <w:rFonts w:ascii="Calibri" w:hAnsi="Calibri" w:cs="Calibri"/>
          <w:color w:val="1F497D"/>
          <w:spacing w:val="-3"/>
          <w:sz w:val="22"/>
          <w:szCs w:val="22"/>
        </w:rPr>
        <w:t xml:space="preserve"> </w:t>
      </w:r>
      <w:r>
        <w:rPr>
          <w:rFonts w:ascii="Calibri" w:hAnsi="Calibri" w:cs="Calibri"/>
          <w:color w:val="1F497D"/>
          <w:sz w:val="22"/>
          <w:szCs w:val="22"/>
        </w:rPr>
        <w:t>rate.</w:t>
      </w:r>
      <w:r>
        <w:rPr>
          <w:rFonts w:ascii="Calibri" w:hAnsi="Calibri" w:cs="Calibri"/>
          <w:color w:val="1F497D"/>
          <w:spacing w:val="-2"/>
          <w:sz w:val="22"/>
          <w:szCs w:val="22"/>
        </w:rPr>
        <w:t xml:space="preserve"> </w:t>
      </w:r>
      <w:r>
        <w:rPr>
          <w:rFonts w:ascii="Calibri" w:hAnsi="Calibri" w:cs="Calibri"/>
          <w:color w:val="1F497D"/>
          <w:sz w:val="22"/>
          <w:szCs w:val="22"/>
        </w:rPr>
        <w:t>It</w:t>
      </w:r>
      <w:r>
        <w:rPr>
          <w:rFonts w:ascii="Calibri" w:hAnsi="Calibri" w:cs="Calibri"/>
          <w:color w:val="1F497D"/>
          <w:spacing w:val="-1"/>
          <w:sz w:val="22"/>
          <w:szCs w:val="22"/>
        </w:rPr>
        <w:t xml:space="preserve"> </w:t>
      </w:r>
      <w:r>
        <w:rPr>
          <w:rFonts w:ascii="Calibri" w:hAnsi="Calibri" w:cs="Calibri"/>
          <w:color w:val="1F497D"/>
          <w:sz w:val="22"/>
          <w:szCs w:val="22"/>
        </w:rPr>
        <w:t>can</w:t>
      </w:r>
      <w:r>
        <w:rPr>
          <w:rFonts w:ascii="Calibri" w:hAnsi="Calibri" w:cs="Calibri"/>
          <w:color w:val="1F497D"/>
          <w:spacing w:val="-3"/>
          <w:sz w:val="22"/>
          <w:szCs w:val="22"/>
        </w:rPr>
        <w:t xml:space="preserve"> </w:t>
      </w:r>
      <w:r>
        <w:rPr>
          <w:rFonts w:ascii="Calibri" w:hAnsi="Calibri" w:cs="Calibri"/>
          <w:color w:val="1F497D"/>
          <w:sz w:val="22"/>
          <w:szCs w:val="22"/>
        </w:rPr>
        <w:t>also</w:t>
      </w:r>
      <w:r>
        <w:rPr>
          <w:rFonts w:ascii="Calibri" w:hAnsi="Calibri" w:cs="Calibri"/>
          <w:color w:val="1F497D"/>
          <w:spacing w:val="-3"/>
          <w:sz w:val="22"/>
          <w:szCs w:val="22"/>
        </w:rPr>
        <w:t xml:space="preserve"> </w:t>
      </w:r>
      <w:r>
        <w:rPr>
          <w:rFonts w:ascii="Calibri" w:hAnsi="Calibri" w:cs="Calibri"/>
          <w:color w:val="1F497D"/>
          <w:sz w:val="22"/>
          <w:szCs w:val="22"/>
        </w:rPr>
        <w:t>lead</w:t>
      </w:r>
      <w:r>
        <w:rPr>
          <w:rFonts w:ascii="Calibri" w:hAnsi="Calibri" w:cs="Calibri"/>
          <w:color w:val="1F497D"/>
          <w:spacing w:val="-3"/>
          <w:sz w:val="22"/>
          <w:szCs w:val="22"/>
        </w:rPr>
        <w:t xml:space="preserve"> </w:t>
      </w:r>
      <w:r>
        <w:rPr>
          <w:rFonts w:ascii="Calibri" w:hAnsi="Calibri" w:cs="Calibri"/>
          <w:color w:val="1F497D"/>
          <w:sz w:val="22"/>
          <w:szCs w:val="22"/>
        </w:rPr>
        <w:t>to</w:t>
      </w:r>
      <w:r>
        <w:rPr>
          <w:rFonts w:ascii="Calibri" w:hAnsi="Calibri" w:cs="Calibri"/>
          <w:color w:val="1F497D"/>
          <w:spacing w:val="-1"/>
          <w:sz w:val="22"/>
          <w:szCs w:val="22"/>
        </w:rPr>
        <w:t xml:space="preserve"> </w:t>
      </w:r>
      <w:r>
        <w:rPr>
          <w:rFonts w:ascii="Calibri" w:hAnsi="Calibri" w:cs="Calibri"/>
          <w:color w:val="1F497D"/>
          <w:sz w:val="22"/>
          <w:szCs w:val="22"/>
        </w:rPr>
        <w:t>profiteering.</w:t>
      </w:r>
    </w:p>
    <w:p w:rsidR="002C5025" w:rsidRDefault="002C5025">
      <w:pPr>
        <w:pStyle w:val="ListParagraph"/>
        <w:numPr>
          <w:ilvl w:val="0"/>
          <w:numId w:val="67"/>
        </w:numPr>
        <w:tabs>
          <w:tab w:val="left" w:pos="338"/>
        </w:tabs>
        <w:kinsoku w:val="0"/>
        <w:overflowPunct w:val="0"/>
        <w:ind w:right="442" w:firstLine="0"/>
        <w:rPr>
          <w:rFonts w:ascii="Calibri" w:hAnsi="Calibri" w:cs="Calibri"/>
          <w:color w:val="1F497D"/>
          <w:sz w:val="22"/>
          <w:szCs w:val="22"/>
        </w:rPr>
        <w:sectPr w:rsidR="002C5025">
          <w:pgSz w:w="12240" w:h="15840"/>
          <w:pgMar w:top="1400" w:right="1340" w:bottom="280" w:left="1320" w:header="720" w:footer="720" w:gutter="0"/>
          <w:cols w:space="720" w:equalWidth="0">
            <w:col w:w="9580"/>
          </w:cols>
          <w:noEndnote/>
        </w:sectPr>
      </w:pPr>
    </w:p>
    <w:p w:rsidR="002C5025" w:rsidRDefault="002C5025">
      <w:pPr>
        <w:pStyle w:val="BodyText"/>
        <w:kinsoku w:val="0"/>
        <w:overflowPunct w:val="0"/>
        <w:spacing w:before="37"/>
        <w:ind w:left="120" w:right="345"/>
        <w:rPr>
          <w:color w:val="1F497D"/>
        </w:rPr>
      </w:pPr>
      <w:r>
        <w:rPr>
          <w:color w:val="1F497D"/>
        </w:rPr>
        <w:lastRenderedPageBreak/>
        <w:t>Without guidance on bucketing, it can also be easy for plans to also claim that the capitation rates are not adequate. I have not seen the numbers, but is also my understanding MassHealth pays a disproportionate percentage services in the state, that it's in the state's best interest to protect itself from a disproportionate percentage of dollars</w:t>
      </w:r>
    </w:p>
    <w:p w:rsidR="002C5025" w:rsidRDefault="002C5025">
      <w:pPr>
        <w:pStyle w:val="ListParagraph"/>
        <w:numPr>
          <w:ilvl w:val="0"/>
          <w:numId w:val="67"/>
        </w:numPr>
        <w:tabs>
          <w:tab w:val="left" w:pos="339"/>
        </w:tabs>
        <w:kinsoku w:val="0"/>
        <w:overflowPunct w:val="0"/>
        <w:ind w:left="120" w:right="100" w:firstLine="0"/>
        <w:rPr>
          <w:rFonts w:ascii="Calibri" w:hAnsi="Calibri" w:cs="Calibri"/>
          <w:color w:val="1F497D"/>
          <w:sz w:val="22"/>
          <w:szCs w:val="22"/>
        </w:rPr>
      </w:pPr>
      <w:r>
        <w:rPr>
          <w:rFonts w:ascii="Calibri" w:hAnsi="Calibri" w:cs="Calibri"/>
          <w:color w:val="1F497D"/>
          <w:sz w:val="22"/>
          <w:szCs w:val="22"/>
        </w:rPr>
        <w:t>Passive enrollment is going to take place at increased speed with no commitment from MassHealth to tying growth to a transparent public facing dashboard that gives potential enrollees information to make informed decisions about whether One Care is right for them in addition to leaving stakeholders in the dark</w:t>
      </w:r>
      <w:r>
        <w:rPr>
          <w:rFonts w:ascii="Calibri" w:hAnsi="Calibri" w:cs="Calibri"/>
          <w:color w:val="1F497D"/>
          <w:spacing w:val="-2"/>
          <w:sz w:val="22"/>
          <w:szCs w:val="22"/>
        </w:rPr>
        <w:t xml:space="preserve"> </w:t>
      </w:r>
      <w:r>
        <w:rPr>
          <w:rFonts w:ascii="Calibri" w:hAnsi="Calibri" w:cs="Calibri"/>
          <w:color w:val="1F497D"/>
          <w:sz w:val="22"/>
          <w:szCs w:val="22"/>
        </w:rPr>
        <w:t>about</w:t>
      </w:r>
      <w:r>
        <w:rPr>
          <w:rFonts w:ascii="Calibri" w:hAnsi="Calibri" w:cs="Calibri"/>
          <w:color w:val="1F497D"/>
          <w:spacing w:val="-5"/>
          <w:sz w:val="22"/>
          <w:szCs w:val="22"/>
        </w:rPr>
        <w:t xml:space="preserve"> </w:t>
      </w:r>
      <w:r>
        <w:rPr>
          <w:rFonts w:ascii="Calibri" w:hAnsi="Calibri" w:cs="Calibri"/>
          <w:color w:val="1F497D"/>
          <w:sz w:val="22"/>
          <w:szCs w:val="22"/>
        </w:rPr>
        <w:t>the</w:t>
      </w:r>
      <w:r>
        <w:rPr>
          <w:rFonts w:ascii="Calibri" w:hAnsi="Calibri" w:cs="Calibri"/>
          <w:color w:val="1F497D"/>
          <w:spacing w:val="-2"/>
          <w:sz w:val="22"/>
          <w:szCs w:val="22"/>
        </w:rPr>
        <w:t xml:space="preserve"> </w:t>
      </w:r>
      <w:r>
        <w:rPr>
          <w:rFonts w:ascii="Calibri" w:hAnsi="Calibri" w:cs="Calibri"/>
          <w:color w:val="1F497D"/>
          <w:sz w:val="22"/>
          <w:szCs w:val="22"/>
        </w:rPr>
        <w:t>actual</w:t>
      </w:r>
      <w:r>
        <w:rPr>
          <w:rFonts w:ascii="Calibri" w:hAnsi="Calibri" w:cs="Calibri"/>
          <w:color w:val="1F497D"/>
          <w:spacing w:val="-3"/>
          <w:sz w:val="22"/>
          <w:szCs w:val="22"/>
        </w:rPr>
        <w:t xml:space="preserve"> </w:t>
      </w:r>
      <w:r>
        <w:rPr>
          <w:rFonts w:ascii="Calibri" w:hAnsi="Calibri" w:cs="Calibri"/>
          <w:color w:val="1F497D"/>
          <w:sz w:val="22"/>
          <w:szCs w:val="22"/>
        </w:rPr>
        <w:t>performance</w:t>
      </w:r>
      <w:r>
        <w:rPr>
          <w:rFonts w:ascii="Calibri" w:hAnsi="Calibri" w:cs="Calibri"/>
          <w:color w:val="1F497D"/>
          <w:spacing w:val="-5"/>
          <w:sz w:val="22"/>
          <w:szCs w:val="22"/>
        </w:rPr>
        <w:t xml:space="preserve"> </w:t>
      </w:r>
      <w:r>
        <w:rPr>
          <w:rFonts w:ascii="Calibri" w:hAnsi="Calibri" w:cs="Calibri"/>
          <w:color w:val="1F497D"/>
          <w:sz w:val="22"/>
          <w:szCs w:val="22"/>
        </w:rPr>
        <w:t>and</w:t>
      </w:r>
      <w:r>
        <w:rPr>
          <w:rFonts w:ascii="Calibri" w:hAnsi="Calibri" w:cs="Calibri"/>
          <w:color w:val="1F497D"/>
          <w:spacing w:val="-4"/>
          <w:sz w:val="22"/>
          <w:szCs w:val="22"/>
        </w:rPr>
        <w:t xml:space="preserve"> </w:t>
      </w:r>
      <w:r>
        <w:rPr>
          <w:rFonts w:ascii="Calibri" w:hAnsi="Calibri" w:cs="Calibri"/>
          <w:color w:val="1F497D"/>
          <w:sz w:val="22"/>
          <w:szCs w:val="22"/>
        </w:rPr>
        <w:t>sustainability</w:t>
      </w:r>
      <w:r>
        <w:rPr>
          <w:rFonts w:ascii="Calibri" w:hAnsi="Calibri" w:cs="Calibri"/>
          <w:color w:val="1F497D"/>
          <w:spacing w:val="-4"/>
          <w:sz w:val="22"/>
          <w:szCs w:val="22"/>
        </w:rPr>
        <w:t xml:space="preserve"> </w:t>
      </w:r>
      <w:r>
        <w:rPr>
          <w:rFonts w:ascii="Calibri" w:hAnsi="Calibri" w:cs="Calibri"/>
          <w:color w:val="1F497D"/>
          <w:sz w:val="22"/>
          <w:szCs w:val="22"/>
        </w:rPr>
        <w:t>of</w:t>
      </w:r>
      <w:r>
        <w:rPr>
          <w:rFonts w:ascii="Calibri" w:hAnsi="Calibri" w:cs="Calibri"/>
          <w:color w:val="1F497D"/>
          <w:spacing w:val="-3"/>
          <w:sz w:val="22"/>
          <w:szCs w:val="22"/>
        </w:rPr>
        <w:t xml:space="preserve"> </w:t>
      </w:r>
      <w:r>
        <w:rPr>
          <w:rFonts w:ascii="Calibri" w:hAnsi="Calibri" w:cs="Calibri"/>
          <w:color w:val="1F497D"/>
          <w:sz w:val="22"/>
          <w:szCs w:val="22"/>
        </w:rPr>
        <w:t>One</w:t>
      </w:r>
      <w:r>
        <w:rPr>
          <w:rFonts w:ascii="Calibri" w:hAnsi="Calibri" w:cs="Calibri"/>
          <w:color w:val="1F497D"/>
          <w:spacing w:val="-2"/>
          <w:sz w:val="22"/>
          <w:szCs w:val="22"/>
        </w:rPr>
        <w:t xml:space="preserve"> </w:t>
      </w:r>
      <w:r>
        <w:rPr>
          <w:rFonts w:ascii="Calibri" w:hAnsi="Calibri" w:cs="Calibri"/>
          <w:color w:val="1F497D"/>
          <w:sz w:val="22"/>
          <w:szCs w:val="22"/>
        </w:rPr>
        <w:t>Care</w:t>
      </w:r>
      <w:r>
        <w:rPr>
          <w:rFonts w:ascii="Calibri" w:hAnsi="Calibri" w:cs="Calibri"/>
          <w:color w:val="1F497D"/>
          <w:spacing w:val="-5"/>
          <w:sz w:val="22"/>
          <w:szCs w:val="22"/>
        </w:rPr>
        <w:t xml:space="preserve"> </w:t>
      </w:r>
      <w:r>
        <w:rPr>
          <w:rFonts w:ascii="Calibri" w:hAnsi="Calibri" w:cs="Calibri"/>
          <w:color w:val="1F497D"/>
          <w:sz w:val="22"/>
          <w:szCs w:val="22"/>
        </w:rPr>
        <w:t>or</w:t>
      </w:r>
      <w:r>
        <w:rPr>
          <w:rFonts w:ascii="Calibri" w:hAnsi="Calibri" w:cs="Calibri"/>
          <w:color w:val="1F497D"/>
          <w:spacing w:val="-3"/>
          <w:sz w:val="22"/>
          <w:szCs w:val="22"/>
        </w:rPr>
        <w:t xml:space="preserve"> </w:t>
      </w:r>
      <w:r>
        <w:rPr>
          <w:rFonts w:ascii="Calibri" w:hAnsi="Calibri" w:cs="Calibri"/>
          <w:color w:val="1F497D"/>
          <w:sz w:val="22"/>
          <w:szCs w:val="22"/>
        </w:rPr>
        <w:t>profiteering</w:t>
      </w:r>
      <w:r>
        <w:rPr>
          <w:rFonts w:ascii="Calibri" w:hAnsi="Calibri" w:cs="Calibri"/>
          <w:color w:val="1F497D"/>
          <w:spacing w:val="-6"/>
          <w:sz w:val="22"/>
          <w:szCs w:val="22"/>
        </w:rPr>
        <w:t xml:space="preserve"> </w:t>
      </w:r>
      <w:r>
        <w:rPr>
          <w:rFonts w:ascii="Calibri" w:hAnsi="Calibri" w:cs="Calibri"/>
          <w:color w:val="1F497D"/>
          <w:sz w:val="22"/>
          <w:szCs w:val="22"/>
        </w:rPr>
        <w:t>by</w:t>
      </w:r>
      <w:r>
        <w:rPr>
          <w:rFonts w:ascii="Calibri" w:hAnsi="Calibri" w:cs="Calibri"/>
          <w:color w:val="1F497D"/>
          <w:spacing w:val="-2"/>
          <w:sz w:val="22"/>
          <w:szCs w:val="22"/>
        </w:rPr>
        <w:t xml:space="preserve"> </w:t>
      </w:r>
      <w:r>
        <w:rPr>
          <w:rFonts w:ascii="Calibri" w:hAnsi="Calibri" w:cs="Calibri"/>
          <w:color w:val="1F497D"/>
          <w:sz w:val="22"/>
          <w:szCs w:val="22"/>
        </w:rPr>
        <w:t>plans.</w:t>
      </w:r>
    </w:p>
    <w:p w:rsidR="002C5025" w:rsidRDefault="002C5025">
      <w:pPr>
        <w:pStyle w:val="BodyText"/>
        <w:kinsoku w:val="0"/>
        <w:overflowPunct w:val="0"/>
      </w:pPr>
    </w:p>
    <w:p w:rsidR="002C5025" w:rsidRDefault="002C5025">
      <w:pPr>
        <w:pStyle w:val="BodyText"/>
        <w:kinsoku w:val="0"/>
        <w:overflowPunct w:val="0"/>
        <w:ind w:left="119" w:right="170"/>
        <w:rPr>
          <w:color w:val="1F497D"/>
        </w:rPr>
      </w:pPr>
      <w:r>
        <w:rPr>
          <w:color w:val="1F497D"/>
        </w:rPr>
        <w:t>And, whether it is true or not,, there is a perception of a number of different stakeholders, representing different constituencies, that the pilot is a handout to Steward and a way of moving the status quo forward, as well as give a leg up to existing ACOs.</w:t>
      </w:r>
    </w:p>
    <w:p w:rsidR="002C5025" w:rsidRDefault="002C5025">
      <w:pPr>
        <w:pStyle w:val="BodyText"/>
        <w:kinsoku w:val="0"/>
        <w:overflowPunct w:val="0"/>
      </w:pPr>
    </w:p>
    <w:p w:rsidR="002C5025" w:rsidRDefault="002C5025">
      <w:pPr>
        <w:pStyle w:val="BodyText"/>
        <w:kinsoku w:val="0"/>
        <w:overflowPunct w:val="0"/>
        <w:ind w:left="119" w:right="299"/>
        <w:rPr>
          <w:color w:val="1F497D"/>
        </w:rPr>
      </w:pPr>
      <w:r>
        <w:rPr>
          <w:color w:val="1F497D"/>
        </w:rPr>
        <w:t>All this said, the best intentions of you and your leadership will not result in change unless EOHHS commits to a strong oversight and stakeholder involved guidance plan what is being built will result in, paraphrasing the word from an executive from one ACO at a workgroup meeting requested, MassHealth should allow existing ACOs to "do what we already know how to do best." That is scary.</w:t>
      </w:r>
    </w:p>
    <w:p w:rsidR="002C5025" w:rsidRDefault="002C5025">
      <w:pPr>
        <w:pStyle w:val="BodyText"/>
        <w:kinsoku w:val="0"/>
        <w:overflowPunct w:val="0"/>
      </w:pPr>
    </w:p>
    <w:p w:rsidR="002C5025" w:rsidRDefault="002C5025">
      <w:pPr>
        <w:pStyle w:val="BodyText"/>
        <w:kinsoku w:val="0"/>
        <w:overflowPunct w:val="0"/>
        <w:ind w:left="120" w:right="147"/>
        <w:rPr>
          <w:color w:val="1F497D"/>
        </w:rPr>
      </w:pPr>
      <w:r>
        <w:rPr>
          <w:color w:val="1F497D"/>
        </w:rPr>
        <w:t>Again I apologize for the tone of this email, but all I think about are the folks I know who are homeless, the teenage moms and their babies that I interact with and so many folks the disability community who have nothing. I know you care about these folks as well, so please don't take this as a judgment of you or others on your team. It just makes me cringe to think of models of care, and the perception of people in Medicaid as "takers," pervasive in states like Kansas, Florida, Kentucky etc. and ruled by corporate interests, grabbing a foothold in Massachusetts beyond what they already have.</w:t>
      </w:r>
    </w:p>
    <w:p w:rsidR="002C5025" w:rsidRDefault="002C5025">
      <w:pPr>
        <w:pStyle w:val="BodyText"/>
        <w:kinsoku w:val="0"/>
        <w:overflowPunct w:val="0"/>
        <w:spacing w:before="45" w:line="538" w:lineRule="exact"/>
        <w:ind w:left="120" w:right="6078"/>
        <w:rPr>
          <w:color w:val="1F497D"/>
        </w:rPr>
      </w:pPr>
      <w:r>
        <w:rPr>
          <w:color w:val="1F497D"/>
        </w:rPr>
        <w:t>Please excuse the errors in this email. Thank you again for your dedication, Dennis</w:t>
      </w:r>
    </w:p>
    <w:p w:rsidR="002C5025" w:rsidRDefault="002C5025">
      <w:pPr>
        <w:pStyle w:val="BodyText"/>
        <w:kinsoku w:val="0"/>
        <w:overflowPunct w:val="0"/>
        <w:spacing w:line="222" w:lineRule="exact"/>
        <w:ind w:left="120" w:right="296"/>
        <w:rPr>
          <w:color w:val="000000"/>
        </w:rPr>
      </w:pPr>
      <w:bookmarkStart w:id="103" w:name="From:_Tsai,_Daniel_(EHS)_[30TUmailto:Dan"/>
      <w:bookmarkEnd w:id="103"/>
      <w:r>
        <w:rPr>
          <w:b/>
          <w:bCs/>
        </w:rPr>
        <w:t xml:space="preserve">From: </w:t>
      </w:r>
      <w:r>
        <w:t>Tsai, Daniel (EHS) [</w:t>
      </w:r>
      <w:hyperlink r:id="rId231" w:history="1">
        <w:r>
          <w:rPr>
            <w:color w:val="0563C1"/>
            <w:u w:val="single"/>
          </w:rPr>
          <w:t>mailto:Daniel.Tsai@MassMail.State.MA.US</w:t>
        </w:r>
      </w:hyperlink>
      <w:r>
        <w:rPr>
          <w:color w:val="000000"/>
        </w:rPr>
        <w:t>]</w:t>
      </w:r>
    </w:p>
    <w:p w:rsidR="002C5025" w:rsidRDefault="002C5025">
      <w:pPr>
        <w:pStyle w:val="BodyText"/>
        <w:kinsoku w:val="0"/>
        <w:overflowPunct w:val="0"/>
        <w:ind w:left="120" w:right="296"/>
      </w:pPr>
      <w:r>
        <w:rPr>
          <w:b/>
          <w:bCs/>
        </w:rPr>
        <w:t xml:space="preserve">Sent: </w:t>
      </w:r>
      <w:r>
        <w:t>Thursday, June 09, 2016 10:32 PM</w:t>
      </w:r>
    </w:p>
    <w:p w:rsidR="002C5025" w:rsidRDefault="002C5025">
      <w:pPr>
        <w:pStyle w:val="BodyText"/>
        <w:kinsoku w:val="0"/>
        <w:overflowPunct w:val="0"/>
        <w:ind w:left="120" w:right="296"/>
        <w:rPr>
          <w:color w:val="000000"/>
        </w:rPr>
      </w:pPr>
      <w:r>
        <w:rPr>
          <w:b/>
          <w:bCs/>
        </w:rPr>
        <w:t xml:space="preserve">To: </w:t>
      </w:r>
      <w:r>
        <w:t xml:space="preserve">Dennis </w:t>
      </w:r>
      <w:proofErr w:type="spellStart"/>
      <w:r>
        <w:t>Heaphy</w:t>
      </w:r>
      <w:proofErr w:type="spellEnd"/>
      <w:r>
        <w:t xml:space="preserve"> &lt;</w:t>
      </w:r>
      <w:hyperlink r:id="rId232" w:history="1">
        <w:r>
          <w:rPr>
            <w:color w:val="0563C1"/>
            <w:u w:val="single"/>
          </w:rPr>
          <w:t>dheaphy@dpcma.org</w:t>
        </w:r>
      </w:hyperlink>
      <w:r>
        <w:rPr>
          <w:color w:val="000000"/>
        </w:rPr>
        <w:t>&gt;</w:t>
      </w:r>
    </w:p>
    <w:p w:rsidR="002C5025" w:rsidRDefault="002C5025">
      <w:pPr>
        <w:pStyle w:val="BodyText"/>
        <w:kinsoku w:val="0"/>
        <w:overflowPunct w:val="0"/>
        <w:ind w:left="120" w:right="296"/>
        <w:rPr>
          <w:color w:val="000000"/>
        </w:rPr>
      </w:pPr>
      <w:r>
        <w:rPr>
          <w:b/>
          <w:bCs/>
        </w:rPr>
        <w:t xml:space="preserve">Cc: </w:t>
      </w:r>
      <w:r>
        <w:t>Demirsoy, Ipek (EHS) &lt;</w:t>
      </w:r>
      <w:hyperlink r:id="rId233" w:history="1">
        <w:r>
          <w:rPr>
            <w:color w:val="0563C1"/>
            <w:u w:val="single"/>
          </w:rPr>
          <w:t>ipek.demirsoy@state.ma.us</w:t>
        </w:r>
      </w:hyperlink>
      <w:r>
        <w:rPr>
          <w:color w:val="000000"/>
        </w:rPr>
        <w:t>&gt;</w:t>
      </w:r>
    </w:p>
    <w:p w:rsidR="002C5025" w:rsidRDefault="002C5025">
      <w:pPr>
        <w:pStyle w:val="BodyText"/>
        <w:kinsoku w:val="0"/>
        <w:overflowPunct w:val="0"/>
        <w:ind w:left="120" w:right="296"/>
      </w:pPr>
      <w:r>
        <w:rPr>
          <w:b/>
          <w:bCs/>
        </w:rPr>
        <w:t xml:space="preserve">Subject: </w:t>
      </w:r>
      <w:r>
        <w:t>RE: Comments</w:t>
      </w:r>
    </w:p>
    <w:p w:rsidR="002C5025" w:rsidRDefault="002C5025">
      <w:pPr>
        <w:pStyle w:val="BodyText"/>
        <w:kinsoku w:val="0"/>
        <w:overflowPunct w:val="0"/>
      </w:pPr>
    </w:p>
    <w:p w:rsidR="002C5025" w:rsidRDefault="002C5025">
      <w:pPr>
        <w:pStyle w:val="BodyText"/>
        <w:kinsoku w:val="0"/>
        <w:overflowPunct w:val="0"/>
        <w:ind w:left="120" w:right="296"/>
        <w:rPr>
          <w:rFonts w:ascii="Tahoma" w:hAnsi="Tahoma" w:cs="Tahoma"/>
          <w:sz w:val="20"/>
          <w:szCs w:val="20"/>
        </w:rPr>
      </w:pPr>
      <w:r>
        <w:rPr>
          <w:rFonts w:ascii="Tahoma" w:hAnsi="Tahoma" w:cs="Tahoma"/>
          <w:sz w:val="20"/>
          <w:szCs w:val="20"/>
        </w:rPr>
        <w:t>Dennis - many thanks for your thoughtful comments and the time you took to prepare them.</w:t>
      </w:r>
    </w:p>
    <w:p w:rsidR="002C5025" w:rsidRDefault="002C5025">
      <w:pPr>
        <w:pStyle w:val="BodyText"/>
        <w:kinsoku w:val="0"/>
        <w:overflowPunct w:val="0"/>
        <w:spacing w:before="11"/>
        <w:rPr>
          <w:rFonts w:ascii="Tahoma" w:hAnsi="Tahoma" w:cs="Tahoma"/>
          <w:sz w:val="19"/>
          <w:szCs w:val="19"/>
        </w:rPr>
      </w:pPr>
    </w:p>
    <w:p w:rsidR="002C5025" w:rsidRDefault="002C5025">
      <w:pPr>
        <w:pStyle w:val="BodyText"/>
        <w:kinsoku w:val="0"/>
        <w:overflowPunct w:val="0"/>
        <w:ind w:left="120" w:right="948"/>
        <w:rPr>
          <w:rFonts w:ascii="Tahoma" w:hAnsi="Tahoma" w:cs="Tahoma"/>
          <w:sz w:val="20"/>
          <w:szCs w:val="20"/>
        </w:rPr>
      </w:pPr>
      <w:r>
        <w:rPr>
          <w:rFonts w:ascii="Tahoma" w:hAnsi="Tahoma" w:cs="Tahoma"/>
          <w:sz w:val="20"/>
          <w:szCs w:val="20"/>
        </w:rPr>
        <w:t>We are reviewing thoroughly. Some of the detailed comments, as you suggest, are indeed more appropriate for contracting vs. a CMS waiver application, but in any case, we look forward to collaborating closely with you and others on the points you raise</w:t>
      </w:r>
    </w:p>
    <w:p w:rsidR="002C5025" w:rsidRDefault="002C5025">
      <w:pPr>
        <w:pStyle w:val="BodyText"/>
        <w:kinsoku w:val="0"/>
        <w:overflowPunct w:val="0"/>
        <w:spacing w:before="11"/>
        <w:rPr>
          <w:rFonts w:ascii="Tahoma" w:hAnsi="Tahoma" w:cs="Tahoma"/>
          <w:sz w:val="19"/>
          <w:szCs w:val="19"/>
        </w:rPr>
      </w:pPr>
    </w:p>
    <w:p w:rsidR="002C5025" w:rsidRDefault="002C5025">
      <w:pPr>
        <w:pStyle w:val="BodyText"/>
        <w:kinsoku w:val="0"/>
        <w:overflowPunct w:val="0"/>
        <w:ind w:left="120" w:right="296"/>
        <w:rPr>
          <w:rFonts w:ascii="Tahoma" w:hAnsi="Tahoma" w:cs="Tahoma"/>
          <w:sz w:val="20"/>
          <w:szCs w:val="20"/>
        </w:rPr>
      </w:pPr>
      <w:r>
        <w:rPr>
          <w:rFonts w:ascii="Tahoma" w:hAnsi="Tahoma" w:cs="Tahoma"/>
          <w:sz w:val="20"/>
          <w:szCs w:val="20"/>
        </w:rPr>
        <w:t>Thanks again</w:t>
      </w:r>
    </w:p>
    <w:p w:rsidR="002C5025" w:rsidRDefault="002C5025">
      <w:pPr>
        <w:pStyle w:val="BodyText"/>
        <w:kinsoku w:val="0"/>
        <w:overflowPunct w:val="0"/>
        <w:rPr>
          <w:rFonts w:ascii="Tahoma" w:hAnsi="Tahoma" w:cs="Tahoma"/>
        </w:rPr>
      </w:pPr>
    </w:p>
    <w:p w:rsidR="002C5025" w:rsidRDefault="002C5025">
      <w:pPr>
        <w:pStyle w:val="BodyText"/>
        <w:kinsoku w:val="0"/>
        <w:overflowPunct w:val="0"/>
        <w:spacing w:before="1"/>
        <w:ind w:left="120" w:right="296"/>
        <w:rPr>
          <w:rFonts w:ascii="Tahoma" w:hAnsi="Tahoma" w:cs="Tahoma"/>
        </w:rPr>
      </w:pPr>
      <w:r>
        <w:rPr>
          <w:rFonts w:ascii="Tahoma" w:hAnsi="Tahoma" w:cs="Tahoma"/>
        </w:rPr>
        <w:t>Daniel Tsai</w:t>
      </w:r>
    </w:p>
    <w:p w:rsidR="002C5025" w:rsidRDefault="002C5025">
      <w:pPr>
        <w:pStyle w:val="BodyText"/>
        <w:kinsoku w:val="0"/>
        <w:overflowPunct w:val="0"/>
        <w:spacing w:before="1"/>
        <w:ind w:left="120" w:right="296"/>
        <w:rPr>
          <w:rFonts w:ascii="Tahoma" w:hAnsi="Tahoma" w:cs="Tahoma"/>
        </w:rPr>
      </w:pPr>
      <w:r>
        <w:rPr>
          <w:rFonts w:ascii="Tahoma" w:hAnsi="Tahoma" w:cs="Tahoma"/>
        </w:rPr>
        <w:t>Assistant Secretary, MassHealth</w:t>
      </w:r>
    </w:p>
    <w:p w:rsidR="002C5025" w:rsidRDefault="002C5025">
      <w:pPr>
        <w:pStyle w:val="BodyText"/>
        <w:kinsoku w:val="0"/>
        <w:overflowPunct w:val="0"/>
        <w:spacing w:before="1"/>
        <w:ind w:left="119" w:right="4880"/>
        <w:rPr>
          <w:rFonts w:ascii="Tahoma" w:hAnsi="Tahoma" w:cs="Tahoma"/>
        </w:rPr>
      </w:pPr>
      <w:r>
        <w:rPr>
          <w:rFonts w:ascii="Tahoma" w:hAnsi="Tahoma" w:cs="Tahoma"/>
        </w:rPr>
        <w:t>Executive Office of Health and Human Services One Ashburton Place</w:t>
      </w:r>
    </w:p>
    <w:p w:rsidR="002C5025" w:rsidRDefault="002C5025">
      <w:pPr>
        <w:pStyle w:val="BodyText"/>
        <w:kinsoku w:val="0"/>
        <w:overflowPunct w:val="0"/>
        <w:spacing w:before="1"/>
        <w:ind w:left="119" w:right="296"/>
        <w:rPr>
          <w:rFonts w:ascii="Tahoma" w:hAnsi="Tahoma" w:cs="Tahoma"/>
        </w:rPr>
      </w:pPr>
      <w:r>
        <w:rPr>
          <w:rFonts w:ascii="Tahoma" w:hAnsi="Tahoma" w:cs="Tahoma"/>
        </w:rPr>
        <w:t>Boston, MA 02108</w:t>
      </w:r>
    </w:p>
    <w:p w:rsidR="002C5025" w:rsidRDefault="002C5025">
      <w:pPr>
        <w:pStyle w:val="BodyText"/>
        <w:kinsoku w:val="0"/>
        <w:overflowPunct w:val="0"/>
        <w:spacing w:before="1"/>
        <w:ind w:left="119" w:right="296"/>
        <w:rPr>
          <w:rFonts w:ascii="Tahoma" w:hAnsi="Tahoma" w:cs="Tahoma"/>
        </w:rPr>
        <w:sectPr w:rsidR="002C5025">
          <w:pgSz w:w="12240" w:h="15840"/>
          <w:pgMar w:top="1400" w:right="1340" w:bottom="280" w:left="1320" w:header="720" w:footer="720" w:gutter="0"/>
          <w:cols w:space="720"/>
          <w:noEndnote/>
        </w:sectPr>
      </w:pPr>
    </w:p>
    <w:p w:rsidR="002C5025" w:rsidRDefault="002C5025">
      <w:pPr>
        <w:pStyle w:val="BodyText"/>
        <w:kinsoku w:val="0"/>
        <w:overflowPunct w:val="0"/>
        <w:spacing w:before="38"/>
        <w:ind w:left="140" w:right="254"/>
        <w:rPr>
          <w:rFonts w:ascii="Tahoma" w:hAnsi="Tahoma" w:cs="Tahoma"/>
        </w:rPr>
      </w:pPr>
      <w:r>
        <w:rPr>
          <w:rFonts w:ascii="Tahoma" w:hAnsi="Tahoma" w:cs="Tahoma"/>
        </w:rPr>
        <w:lastRenderedPageBreak/>
        <w:t>617-573-1770</w:t>
      </w:r>
    </w:p>
    <w:p w:rsidR="002C5025" w:rsidRDefault="00FB027C">
      <w:pPr>
        <w:pStyle w:val="BodyText"/>
        <w:kinsoku w:val="0"/>
        <w:overflowPunct w:val="0"/>
        <w:spacing w:before="9"/>
        <w:rPr>
          <w:rFonts w:ascii="Tahoma" w:hAnsi="Tahoma" w:cs="Tahoma"/>
          <w:sz w:val="28"/>
          <w:szCs w:val="28"/>
        </w:rPr>
      </w:pPr>
      <w:r>
        <w:rPr>
          <w:noProof/>
        </w:rPr>
        <mc:AlternateContent>
          <mc:Choice Requires="wpg">
            <w:drawing>
              <wp:anchor distT="0" distB="0" distL="0" distR="0" simplePos="0" relativeHeight="251574784" behindDoc="0" locked="0" layoutInCell="0" allowOverlap="1">
                <wp:simplePos x="0" y="0"/>
                <wp:positionH relativeFrom="page">
                  <wp:posOffset>899160</wp:posOffset>
                </wp:positionH>
                <wp:positionV relativeFrom="paragraph">
                  <wp:posOffset>245110</wp:posOffset>
                </wp:positionV>
                <wp:extent cx="5972810" cy="29845"/>
                <wp:effectExtent l="0" t="0" r="0" b="0"/>
                <wp:wrapTopAndBottom/>
                <wp:docPr id="731" name="Group 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2810" cy="29845"/>
                          <a:chOff x="1416" y="386"/>
                          <a:chExt cx="9406" cy="47"/>
                        </a:xfrm>
                      </wpg:grpSpPr>
                      <wps:wsp>
                        <wps:cNvPr id="732" name="Freeform 284"/>
                        <wps:cNvSpPr>
                          <a:spLocks/>
                        </wps:cNvSpPr>
                        <wps:spPr bwMode="auto">
                          <a:xfrm>
                            <a:off x="1439" y="409"/>
                            <a:ext cx="9360" cy="20"/>
                          </a:xfrm>
                          <a:custGeom>
                            <a:avLst/>
                            <a:gdLst>
                              <a:gd name="T0" fmla="*/ 0 w 9360"/>
                              <a:gd name="T1" fmla="*/ 0 h 20"/>
                              <a:gd name="T2" fmla="*/ 9360 w 9360"/>
                              <a:gd name="T3" fmla="*/ 0 h 20"/>
                            </a:gdLst>
                            <a:ahLst/>
                            <a:cxnLst>
                              <a:cxn ang="0">
                                <a:pos x="T0" y="T1"/>
                              </a:cxn>
                              <a:cxn ang="0">
                                <a:pos x="T2" y="T3"/>
                              </a:cxn>
                            </a:cxnLst>
                            <a:rect l="0" t="0" r="r" b="b"/>
                            <a:pathLst>
                              <a:path w="9360" h="20">
                                <a:moveTo>
                                  <a:pt x="0" y="0"/>
                                </a:moveTo>
                                <a:lnTo>
                                  <a:pt x="9360" y="0"/>
                                </a:lnTo>
                              </a:path>
                            </a:pathLst>
                          </a:custGeom>
                          <a:noFill/>
                          <a:ln w="29209">
                            <a:solidFill>
                              <a:srgbClr val="A1A1A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3" name="Freeform 285"/>
                        <wps:cNvSpPr>
                          <a:spLocks/>
                        </wps:cNvSpPr>
                        <wps:spPr bwMode="auto">
                          <a:xfrm>
                            <a:off x="1439" y="388"/>
                            <a:ext cx="20" cy="20"/>
                          </a:xfrm>
                          <a:custGeom>
                            <a:avLst/>
                            <a:gdLst>
                              <a:gd name="T0" fmla="*/ 0 w 20"/>
                              <a:gd name="T1" fmla="*/ 0 h 20"/>
                              <a:gd name="T2" fmla="*/ 4 w 20"/>
                              <a:gd name="T3" fmla="*/ 0 h 20"/>
                            </a:gdLst>
                            <a:ahLst/>
                            <a:cxnLst>
                              <a:cxn ang="0">
                                <a:pos x="T0" y="T1"/>
                              </a:cxn>
                              <a:cxn ang="0">
                                <a:pos x="T2" y="T3"/>
                              </a:cxn>
                            </a:cxnLst>
                            <a:rect l="0" t="0" r="r" b="b"/>
                            <a:pathLst>
                              <a:path w="20" h="20">
                                <a:moveTo>
                                  <a:pt x="0" y="0"/>
                                </a:moveTo>
                                <a:lnTo>
                                  <a:pt x="4" y="0"/>
                                </a:lnTo>
                              </a:path>
                            </a:pathLst>
                          </a:custGeom>
                          <a:noFill/>
                          <a:ln w="3048">
                            <a:solidFill>
                              <a:srgbClr val="A1A1A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4" name="Freeform 286"/>
                        <wps:cNvSpPr>
                          <a:spLocks/>
                        </wps:cNvSpPr>
                        <wps:spPr bwMode="auto">
                          <a:xfrm>
                            <a:off x="1444" y="388"/>
                            <a:ext cx="9351" cy="20"/>
                          </a:xfrm>
                          <a:custGeom>
                            <a:avLst/>
                            <a:gdLst>
                              <a:gd name="T0" fmla="*/ 0 w 9351"/>
                              <a:gd name="T1" fmla="*/ 0 h 20"/>
                              <a:gd name="T2" fmla="*/ 9350 w 9351"/>
                              <a:gd name="T3" fmla="*/ 0 h 20"/>
                            </a:gdLst>
                            <a:ahLst/>
                            <a:cxnLst>
                              <a:cxn ang="0">
                                <a:pos x="T0" y="T1"/>
                              </a:cxn>
                              <a:cxn ang="0">
                                <a:pos x="T2" y="T3"/>
                              </a:cxn>
                            </a:cxnLst>
                            <a:rect l="0" t="0" r="r" b="b"/>
                            <a:pathLst>
                              <a:path w="9351" h="20">
                                <a:moveTo>
                                  <a:pt x="0" y="0"/>
                                </a:moveTo>
                                <a:lnTo>
                                  <a:pt x="9350" y="0"/>
                                </a:lnTo>
                              </a:path>
                            </a:pathLst>
                          </a:custGeom>
                          <a:noFill/>
                          <a:ln w="3048">
                            <a:solidFill>
                              <a:srgbClr val="A1A1A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5" name="Freeform 287"/>
                        <wps:cNvSpPr>
                          <a:spLocks/>
                        </wps:cNvSpPr>
                        <wps:spPr bwMode="auto">
                          <a:xfrm>
                            <a:off x="10795" y="388"/>
                            <a:ext cx="20" cy="20"/>
                          </a:xfrm>
                          <a:custGeom>
                            <a:avLst/>
                            <a:gdLst>
                              <a:gd name="T0" fmla="*/ 0 w 20"/>
                              <a:gd name="T1" fmla="*/ 0 h 20"/>
                              <a:gd name="T2" fmla="*/ 4 w 20"/>
                              <a:gd name="T3" fmla="*/ 0 h 20"/>
                            </a:gdLst>
                            <a:ahLst/>
                            <a:cxnLst>
                              <a:cxn ang="0">
                                <a:pos x="T0" y="T1"/>
                              </a:cxn>
                              <a:cxn ang="0">
                                <a:pos x="T2" y="T3"/>
                              </a:cxn>
                            </a:cxnLst>
                            <a:rect l="0" t="0" r="r" b="b"/>
                            <a:pathLst>
                              <a:path w="20" h="20">
                                <a:moveTo>
                                  <a:pt x="0" y="0"/>
                                </a:moveTo>
                                <a:lnTo>
                                  <a:pt x="4" y="0"/>
                                </a:lnTo>
                              </a:path>
                            </a:pathLst>
                          </a:custGeom>
                          <a:noFill/>
                          <a:ln w="3048">
                            <a:solidFill>
                              <a:srgbClr val="E4E4E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6" name="Freeform 288"/>
                        <wps:cNvSpPr>
                          <a:spLocks/>
                        </wps:cNvSpPr>
                        <wps:spPr bwMode="auto">
                          <a:xfrm>
                            <a:off x="10795" y="388"/>
                            <a:ext cx="20" cy="20"/>
                          </a:xfrm>
                          <a:custGeom>
                            <a:avLst/>
                            <a:gdLst>
                              <a:gd name="T0" fmla="*/ 0 w 20"/>
                              <a:gd name="T1" fmla="*/ 0 h 20"/>
                              <a:gd name="T2" fmla="*/ 4 w 20"/>
                              <a:gd name="T3" fmla="*/ 0 h 20"/>
                            </a:gdLst>
                            <a:ahLst/>
                            <a:cxnLst>
                              <a:cxn ang="0">
                                <a:pos x="T0" y="T1"/>
                              </a:cxn>
                              <a:cxn ang="0">
                                <a:pos x="T2" y="T3"/>
                              </a:cxn>
                            </a:cxnLst>
                            <a:rect l="0" t="0" r="r" b="b"/>
                            <a:pathLst>
                              <a:path w="20" h="20">
                                <a:moveTo>
                                  <a:pt x="0" y="0"/>
                                </a:moveTo>
                                <a:lnTo>
                                  <a:pt x="4" y="0"/>
                                </a:lnTo>
                              </a:path>
                            </a:pathLst>
                          </a:custGeom>
                          <a:noFill/>
                          <a:ln w="3048">
                            <a:solidFill>
                              <a:srgbClr val="A1A1A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7" name="Freeform 289"/>
                        <wps:cNvSpPr>
                          <a:spLocks/>
                        </wps:cNvSpPr>
                        <wps:spPr bwMode="auto">
                          <a:xfrm>
                            <a:off x="1439" y="409"/>
                            <a:ext cx="20" cy="20"/>
                          </a:xfrm>
                          <a:custGeom>
                            <a:avLst/>
                            <a:gdLst>
                              <a:gd name="T0" fmla="*/ 0 w 20"/>
                              <a:gd name="T1" fmla="*/ 0 h 20"/>
                              <a:gd name="T2" fmla="*/ 4 w 20"/>
                              <a:gd name="T3" fmla="*/ 0 h 20"/>
                            </a:gdLst>
                            <a:ahLst/>
                            <a:cxnLst>
                              <a:cxn ang="0">
                                <a:pos x="T0" y="T1"/>
                              </a:cxn>
                              <a:cxn ang="0">
                                <a:pos x="T2" y="T3"/>
                              </a:cxn>
                            </a:cxnLst>
                            <a:rect l="0" t="0" r="r" b="b"/>
                            <a:pathLst>
                              <a:path w="20" h="20">
                                <a:moveTo>
                                  <a:pt x="0" y="0"/>
                                </a:moveTo>
                                <a:lnTo>
                                  <a:pt x="4" y="0"/>
                                </a:lnTo>
                              </a:path>
                            </a:pathLst>
                          </a:custGeom>
                          <a:noFill/>
                          <a:ln w="22859">
                            <a:solidFill>
                              <a:srgbClr val="A1A1A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8" name="Freeform 290"/>
                        <wps:cNvSpPr>
                          <a:spLocks/>
                        </wps:cNvSpPr>
                        <wps:spPr bwMode="auto">
                          <a:xfrm>
                            <a:off x="10795" y="409"/>
                            <a:ext cx="20" cy="20"/>
                          </a:xfrm>
                          <a:custGeom>
                            <a:avLst/>
                            <a:gdLst>
                              <a:gd name="T0" fmla="*/ 0 w 20"/>
                              <a:gd name="T1" fmla="*/ 0 h 20"/>
                              <a:gd name="T2" fmla="*/ 4 w 20"/>
                              <a:gd name="T3" fmla="*/ 0 h 20"/>
                            </a:gdLst>
                            <a:ahLst/>
                            <a:cxnLst>
                              <a:cxn ang="0">
                                <a:pos x="T0" y="T1"/>
                              </a:cxn>
                              <a:cxn ang="0">
                                <a:pos x="T2" y="T3"/>
                              </a:cxn>
                            </a:cxnLst>
                            <a:rect l="0" t="0" r="r" b="b"/>
                            <a:pathLst>
                              <a:path w="20" h="20">
                                <a:moveTo>
                                  <a:pt x="0" y="0"/>
                                </a:moveTo>
                                <a:lnTo>
                                  <a:pt x="4" y="0"/>
                                </a:lnTo>
                              </a:path>
                            </a:pathLst>
                          </a:custGeom>
                          <a:noFill/>
                          <a:ln w="22859">
                            <a:solidFill>
                              <a:srgbClr val="E4E4E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9" name="Freeform 291"/>
                        <wps:cNvSpPr>
                          <a:spLocks/>
                        </wps:cNvSpPr>
                        <wps:spPr bwMode="auto">
                          <a:xfrm>
                            <a:off x="1439" y="429"/>
                            <a:ext cx="20" cy="20"/>
                          </a:xfrm>
                          <a:custGeom>
                            <a:avLst/>
                            <a:gdLst>
                              <a:gd name="T0" fmla="*/ 0 w 20"/>
                              <a:gd name="T1" fmla="*/ 0 h 20"/>
                              <a:gd name="T2" fmla="*/ 4 w 20"/>
                              <a:gd name="T3" fmla="*/ 0 h 20"/>
                            </a:gdLst>
                            <a:ahLst/>
                            <a:cxnLst>
                              <a:cxn ang="0">
                                <a:pos x="T0" y="T1"/>
                              </a:cxn>
                              <a:cxn ang="0">
                                <a:pos x="T2" y="T3"/>
                              </a:cxn>
                            </a:cxnLst>
                            <a:rect l="0" t="0" r="r" b="b"/>
                            <a:pathLst>
                              <a:path w="20" h="20">
                                <a:moveTo>
                                  <a:pt x="0" y="0"/>
                                </a:moveTo>
                                <a:lnTo>
                                  <a:pt x="4" y="0"/>
                                </a:lnTo>
                              </a:path>
                            </a:pathLst>
                          </a:custGeom>
                          <a:noFill/>
                          <a:ln w="3048">
                            <a:solidFill>
                              <a:srgbClr val="A1A1A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0" name="Freeform 292"/>
                        <wps:cNvSpPr>
                          <a:spLocks/>
                        </wps:cNvSpPr>
                        <wps:spPr bwMode="auto">
                          <a:xfrm>
                            <a:off x="1439" y="429"/>
                            <a:ext cx="20" cy="20"/>
                          </a:xfrm>
                          <a:custGeom>
                            <a:avLst/>
                            <a:gdLst>
                              <a:gd name="T0" fmla="*/ 0 w 20"/>
                              <a:gd name="T1" fmla="*/ 0 h 20"/>
                              <a:gd name="T2" fmla="*/ 4 w 20"/>
                              <a:gd name="T3" fmla="*/ 0 h 20"/>
                            </a:gdLst>
                            <a:ahLst/>
                            <a:cxnLst>
                              <a:cxn ang="0">
                                <a:pos x="T0" y="T1"/>
                              </a:cxn>
                              <a:cxn ang="0">
                                <a:pos x="T2" y="T3"/>
                              </a:cxn>
                            </a:cxnLst>
                            <a:rect l="0" t="0" r="r" b="b"/>
                            <a:pathLst>
                              <a:path w="20" h="20">
                                <a:moveTo>
                                  <a:pt x="0" y="0"/>
                                </a:moveTo>
                                <a:lnTo>
                                  <a:pt x="4" y="0"/>
                                </a:lnTo>
                              </a:path>
                            </a:pathLst>
                          </a:custGeom>
                          <a:noFill/>
                          <a:ln w="3048">
                            <a:solidFill>
                              <a:srgbClr val="E4E4E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1" name="Freeform 293"/>
                        <wps:cNvSpPr>
                          <a:spLocks/>
                        </wps:cNvSpPr>
                        <wps:spPr bwMode="auto">
                          <a:xfrm>
                            <a:off x="1444" y="429"/>
                            <a:ext cx="9351" cy="20"/>
                          </a:xfrm>
                          <a:custGeom>
                            <a:avLst/>
                            <a:gdLst>
                              <a:gd name="T0" fmla="*/ 0 w 9351"/>
                              <a:gd name="T1" fmla="*/ 0 h 20"/>
                              <a:gd name="T2" fmla="*/ 9350 w 9351"/>
                              <a:gd name="T3" fmla="*/ 0 h 20"/>
                            </a:gdLst>
                            <a:ahLst/>
                            <a:cxnLst>
                              <a:cxn ang="0">
                                <a:pos x="T0" y="T1"/>
                              </a:cxn>
                              <a:cxn ang="0">
                                <a:pos x="T2" y="T3"/>
                              </a:cxn>
                            </a:cxnLst>
                            <a:rect l="0" t="0" r="r" b="b"/>
                            <a:pathLst>
                              <a:path w="9351" h="20">
                                <a:moveTo>
                                  <a:pt x="0" y="0"/>
                                </a:moveTo>
                                <a:lnTo>
                                  <a:pt x="9350" y="0"/>
                                </a:lnTo>
                              </a:path>
                            </a:pathLst>
                          </a:custGeom>
                          <a:noFill/>
                          <a:ln w="3048">
                            <a:solidFill>
                              <a:srgbClr val="E4E4E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2" name="Freeform 294"/>
                        <wps:cNvSpPr>
                          <a:spLocks/>
                        </wps:cNvSpPr>
                        <wps:spPr bwMode="auto">
                          <a:xfrm>
                            <a:off x="10795" y="429"/>
                            <a:ext cx="20" cy="20"/>
                          </a:xfrm>
                          <a:custGeom>
                            <a:avLst/>
                            <a:gdLst>
                              <a:gd name="T0" fmla="*/ 0 w 20"/>
                              <a:gd name="T1" fmla="*/ 0 h 20"/>
                              <a:gd name="T2" fmla="*/ 4 w 20"/>
                              <a:gd name="T3" fmla="*/ 0 h 20"/>
                            </a:gdLst>
                            <a:ahLst/>
                            <a:cxnLst>
                              <a:cxn ang="0">
                                <a:pos x="T0" y="T1"/>
                              </a:cxn>
                              <a:cxn ang="0">
                                <a:pos x="T2" y="T3"/>
                              </a:cxn>
                            </a:cxnLst>
                            <a:rect l="0" t="0" r="r" b="b"/>
                            <a:pathLst>
                              <a:path w="20" h="20">
                                <a:moveTo>
                                  <a:pt x="0" y="0"/>
                                </a:moveTo>
                                <a:lnTo>
                                  <a:pt x="4" y="0"/>
                                </a:lnTo>
                              </a:path>
                            </a:pathLst>
                          </a:custGeom>
                          <a:noFill/>
                          <a:ln w="3048">
                            <a:solidFill>
                              <a:srgbClr val="E4E4E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3" o:spid="_x0000_s1026" style="position:absolute;margin-left:70.8pt;margin-top:19.3pt;width:470.3pt;height:2.35pt;z-index:251574784;mso-wrap-distance-left:0;mso-wrap-distance-right:0;mso-position-horizontal-relative:page" coordorigin="1416,386" coordsize="940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" o:allowincell="f">
                <v:shape id="Freeform 284" o:spid="_x0000_s1027" style="position:absolute;left:1439;top:409;width:9360;height:20;visibility:visible;mso-wrap-style:square;v-text-anchor:top" coordsize="936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uVVcQA&#10;AADcAAAADwAAAGRycy9kb3ducmV2LnhtbESPW2sCMRSE3wX/QziFvhTN1oKX1SgiCJb2wev7YXPc&#10;LN2cLElc13/fFAo+DjPzDbNYdbYWLflQOVbwPsxAEBdOV1wqOJ+2gymIEJE11o5JwYMCrJb93gJz&#10;7e58oPYYS5EgHHJUYGJscilDYchiGLqGOHlX5y3GJH0ptcd7gttajrJsLC1WnBYMNrQxVPwcb1bB&#10;5pMu3+NZeyu+3ra+Ml3pZ5O9Uq8v3XoOIlIXn+H/9k4rmHyM4O9MOg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7lVXEAAAA3AAAAA8AAAAAAAAAAAAAAAAAmAIAAGRycy9k&#10;b3ducmV2LnhtbFBLBQYAAAAABAAEAPUAAACJAwAAAAA=&#10;" path="m,l9360,e" filled="f" strokecolor="#a1a1a1" strokeweight=".81136mm">
                  <v:path arrowok="t" o:connecttype="custom" o:connectlocs="0,0;9360,0" o:connectangles="0,0"/>
                </v:shape>
                <v:shape id="Freeform 285" o:spid="_x0000_s1028" style="position:absolute;left:1439;top:388;width:20;height:20;visibility:visible;mso-wrap-style:square;v-text-anchor:top" coordsize="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0aB8UA&#10;AADcAAAADwAAAGRycy9kb3ducmV2LnhtbESPQWvCQBCF74X+h2UK3upGhVaiq1RBELxYk0OOQ3ZM&#10;UndnQ3ZN4r93C4UeH2/e9+att6M1oqfON44VzKYJCOLS6YYrBXl2eF+C8AFZo3FMCh7kYbt5fVlj&#10;qt3A39RfQiUihH2KCuoQ2lRKX9Zk0U9dSxy9q+sshii7SuoOhwi3Rs6T5ENabDg21NjSvqbydrnb&#10;+MaQm9PZZP1PkRc7OcuGW1GelZq8jV8rEIHG8H/8lz5qBZ+LBfyOiQSQm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nRoHxQAAANwAAAAPAAAAAAAAAAAAAAAAAJgCAABkcnMv&#10;ZG93bnJldi54bWxQSwUGAAAAAAQABAD1AAAAigMAAAAA&#10;" path="m,l4,e" filled="f" strokecolor="#a1a1a1" strokeweight=".24pt">
                  <v:path arrowok="t" o:connecttype="custom" o:connectlocs="0,0;4,0" o:connectangles="0,0"/>
                </v:shape>
                <v:shape id="Freeform 286" o:spid="_x0000_s1029" style="position:absolute;left:1444;top:388;width:9351;height:20;visibility:visible;mso-wrap-style:square;v-text-anchor:top" coordsize="935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BA/MIA&#10;AADcAAAADwAAAGRycy9kb3ducmV2LnhtbESPUWvCQBCE3wv+h2MF3+rFWqpGT9FCofSt6g9Yc2sS&#10;zO2F3Hqm/fW9guDjMDPfMKtN7xoVqQu1ZwOTcQaKuPC25tLA8fDxPAcVBNli45kM/FCAzXrwtMLc&#10;+ht/U9xLqRKEQ44GKpE21zoUFTkMY98SJ+/sO4eSZFdq2+EtwV2jX7LsTTusOS1U2NJ7RcVlf3UG&#10;+kt7Ionx9PtVRLsIvPNX2RkzGvbbJSihXh7he/vTGphNX+H/TDoCe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IED8wgAAANwAAAAPAAAAAAAAAAAAAAAAAJgCAABkcnMvZG93&#10;bnJldi54bWxQSwUGAAAAAAQABAD1AAAAhwMAAAAA&#10;" path="m,l9350,e" filled="f" strokecolor="#a1a1a1" strokeweight=".24pt">
                  <v:path arrowok="t" o:connecttype="custom" o:connectlocs="0,0;9350,0" o:connectangles="0,0"/>
                </v:shape>
                <v:shape id="Freeform 287" o:spid="_x0000_s1030" style="position:absolute;left:10795;top:388;width:20;height:20;visibility:visible;mso-wrap-style:square;v-text-anchor:top" coordsize="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XrDsUA&#10;AADcAAAADwAAAGRycy9kb3ducmV2LnhtbESPT2vCQBTE74LfYXkFb7qptlXSbMRWLUIF/x48PrKv&#10;STD7NmS3Gr+9Wyh4HGbmN0wybU0lLtS40rKC50EEgjizuuRcwfGw7E9AOI+ssbJMCm7kYJp2OwnG&#10;2l55R5e9z0WAsItRQeF9HUvpsoIMuoGtiYP3YxuDPsgml7rBa4CbSg6j6E0aLDksFFjTZ0HZef9r&#10;FNCYX/LvrwX75UZ/zE+39UJv10r1ntrZOwhPrX+E/9srrWA8eoW/M+EIyPQ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tesOxQAAANwAAAAPAAAAAAAAAAAAAAAAAJgCAABkcnMv&#10;ZG93bnJldi54bWxQSwUGAAAAAAQABAD1AAAAigMAAAAA&#10;" path="m,l4,e" filled="f" strokecolor="#e4e4e4" strokeweight=".24pt">
                  <v:path arrowok="t" o:connecttype="custom" o:connectlocs="0,0;4,0" o:connectangles="0,0"/>
                </v:shape>
                <v:shape id="Freeform 288" o:spid="_x0000_s1031" style="position:absolute;left:10795;top:388;width:20;height:20;visibility:visible;mso-wrap-style:square;v-text-anchor:top" coordsize="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5n8UA&#10;AADcAAAADwAAAGRycy9kb3ducmV2LnhtbESPQWvCQBCF7wX/wzJCb3VjC1aiq6ggCF6sySHHITsm&#10;0d3ZkN0m8d93C4UeH2/e9+att6M1oqfON44VzGcJCOLS6YYrBXl2fFuC8AFZo3FMCp7kYbuZvKwx&#10;1W7gL+qvoRIRwj5FBXUIbSqlL2uy6GeuJY7ezXUWQ5RdJXWHQ4RbI9+TZCEtNhwbamzpUFP5uH7b&#10;+MaQm/PFZP29yIu9nGfDoygvSr1Ox90KRKAx/B//pU9awefHAn7HRAL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6rmfxQAAANwAAAAPAAAAAAAAAAAAAAAAAJgCAABkcnMv&#10;ZG93bnJldi54bWxQSwUGAAAAAAQABAD1AAAAigMAAAAA&#10;" path="m,l4,e" filled="f" strokecolor="#a1a1a1" strokeweight=".24pt">
                  <v:path arrowok="t" o:connecttype="custom" o:connectlocs="0,0;4,0" o:connectangles="0,0"/>
                </v:shape>
                <v:shape id="Freeform 289" o:spid="_x0000_s1032" style="position:absolute;left:1439;top:409;width:20;height:20;visibility:visible;mso-wrap-style:square;v-text-anchor:top" coordsize="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8srsQA&#10;AADcAAAADwAAAGRycy9kb3ducmV2LnhtbESPzWrDMBCE74G+g9hCb4lcF5riRjahISSn0iZ5gMXa&#10;2E6klWPJP3n7qlDocZiZb5hVMVkjBup841jB8yIBQVw63XCl4HTczt9A+ICs0TgmBXfyUOQPsxVm&#10;2o38TcMhVCJC2GeooA6hzaT0ZU0W/cK1xNE7u85iiLKrpO5wjHBrZJokr9Jiw3GhxpY+aiqvh94q&#10;+ErTzedlGvrqVHJyo7PZXdgo9fQ4rd9BBJrCf/ivvdcKli9L+D0Tj4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PLK7EAAAA3AAAAA8AAAAAAAAAAAAAAAAAmAIAAGRycy9k&#10;b3ducmV2LnhtbFBLBQYAAAAABAAEAPUAAACJAwAAAAA=&#10;" path="m,l4,e" filled="f" strokecolor="#a1a1a1" strokeweight=".63497mm">
                  <v:path arrowok="t" o:connecttype="custom" o:connectlocs="0,0;4,0" o:connectangles="0,0"/>
                </v:shape>
                <v:shape id="Freeform 290" o:spid="_x0000_s1033" style="position:absolute;left:10795;top:409;width:20;height:20;visibility:visible;mso-wrap-style:square;v-text-anchor:top" coordsize="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4vUr8A&#10;AADcAAAADwAAAGRycy9kb3ducmV2LnhtbERPzY6CMBC+b+I7NGPibS1gXA1SzWpi3KviA0zoCAid&#10;Iu0ivv32YLLHL99/thtNKwbqXW1ZQTyPQBAXVtdcKrjmx881COeRNbaWScGLHOy2k48MU22ffKbh&#10;4ksRQtilqKDyvkuldEVFBt3cdsSBu9neoA+wL6Xu8RnCTSuTKPqSBmsODRV2dKioaC6/RsE9Pg3X&#10;2O2XxeOc096ZpG66RKnZdPzegPA0+n/x2/2jFawWYW04E46A3P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E/i9SvwAAANwAAAAPAAAAAAAAAAAAAAAAAJgCAABkcnMvZG93bnJl&#10;di54bWxQSwUGAAAAAAQABAD1AAAAhAMAAAAA&#10;" path="m,l4,e" filled="f" strokecolor="#e4e4e4" strokeweight=".63497mm">
                  <v:path arrowok="t" o:connecttype="custom" o:connectlocs="0,0;4,0" o:connectangles="0,0"/>
                </v:shape>
                <v:shape id="Freeform 291" o:spid="_x0000_s1034" style="position:absolute;left:1439;top:429;width:20;height:20;visibility:visible;mso-wrap-style:square;v-text-anchor:top" coordsize="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Ut7cUA&#10;AADcAAAADwAAAGRycy9kb3ducmV2LnhtbESPQWvCQBCF7wX/wzJCb3VjC61GV9GCIPRiTQ45Dtkx&#10;ie7OhuyaxH/fLRR6fLx535u33o7WiJ463zhWMJ8lIIhLpxuuFOTZ4WUBwgdkjcYxKXiQh+1m8rTG&#10;VLuBv6k/h0pECPsUFdQhtKmUvqzJop+5ljh6F9dZDFF2ldQdDhFujXxNkndpseHYUGNLnzWVt/Pd&#10;xjeG3HydTNZfi7zYy3k23IrypNTzdNytQAQaw//xX/qoFXy8LeF3TCS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dS3txQAAANwAAAAPAAAAAAAAAAAAAAAAAJgCAABkcnMv&#10;ZG93bnJldi54bWxQSwUGAAAAAAQABAD1AAAAigMAAAAA&#10;" path="m,l4,e" filled="f" strokecolor="#a1a1a1" strokeweight=".24pt">
                  <v:path arrowok="t" o:connecttype="custom" o:connectlocs="0,0;4,0" o:connectangles="0,0"/>
                </v:shape>
                <v:shape id="Freeform 292" o:spid="_x0000_s1035" style="position:absolute;left:1439;top:429;width:20;height:20;visibility:visible;mso-wrap-style:square;v-text-anchor:top" coordsize="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Q768MA&#10;AADcAAAADwAAAGRycy9kb3ducmV2LnhtbERPTWvCQBC9F/oflhG81Y0Saomuoa1JERpoqx48Dtlp&#10;EpqdDdlVk3/vHgoeH+97nQ6mFRfqXWNZwXwWgSAurW64UnA85E8vIJxH1thaJgUjOUg3jw9rTLS9&#10;8g9d9r4SIYRdggpq77tESlfWZNDNbEccuF/bG/QB9pXUPV5DuGnlIoqepcGGQ0ONHb3XVP7tz0YB&#10;LTmuPj8y9vmXftuexiLT34VS08nwugLhafB38b97pxUs4zA/nAlHQG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sQ768MAAADcAAAADwAAAAAAAAAAAAAAAACYAgAAZHJzL2Rv&#10;d25yZXYueG1sUEsFBgAAAAAEAAQA9QAAAIgDAAAAAA==&#10;" path="m,l4,e" filled="f" strokecolor="#e4e4e4" strokeweight=".24pt">
                  <v:path arrowok="t" o:connecttype="custom" o:connectlocs="0,0;4,0" o:connectangles="0,0"/>
                </v:shape>
                <v:shape id="Freeform 293" o:spid="_x0000_s1036" style="position:absolute;left:1444;top:429;width:9351;height:20;visibility:visible;mso-wrap-style:square;v-text-anchor:top" coordsize="935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fdksQA&#10;AADcAAAADwAAAGRycy9kb3ducmV2LnhtbESPS2vCQBSF90L/w3AL3ekkbVGJTqQUCu2uxsf6mrkm&#10;IZk7YWaq0V/fEQSXh/P4OMvVYDpxIucbywrSSQKCuLS64UrBdvM1noPwAVljZ5kUXMjDKn8aLTHT&#10;9sxrOhWhEnGEfYYK6hD6TEpf1mTQT2xPHL2jdQZDlK6S2uE5jptOvibJVBpsOBJq7OmzprIt/kzk&#10;vqXTn2LXd/vL1Rc793tor9op9fI8fCxABBrCI3xvf2sFs/cUbmfiEZD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33ZLEAAAA3AAAAA8AAAAAAAAAAAAAAAAAmAIAAGRycy9k&#10;b3ducmV2LnhtbFBLBQYAAAAABAAEAPUAAACJAwAAAAA=&#10;" path="m,l9350,e" filled="f" strokecolor="#e4e4e4" strokeweight=".24pt">
                  <v:path arrowok="t" o:connecttype="custom" o:connectlocs="0,0;9350,0" o:connectangles="0,0"/>
                </v:shape>
                <v:shape id="Freeform 294" o:spid="_x0000_s1037" style="position:absolute;left:10795;top:429;width:20;height:20;visibility:visible;mso-wrap-style:square;v-text-anchor:top" coordsize="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oAB8UA&#10;AADcAAAADwAAAGRycy9kb3ducmV2LnhtbESPW2vCQBSE3wv+h+UUfKubijQSXcVrKVSw1T708ZA9&#10;JsHs2ZDd5vLvXUHo4zAz3zDzZWdK0VDtCssKXkcRCOLU6oIzBT/n/csUhPPIGkvLpKAnB8vF4GmO&#10;ibYtf1Nz8pkIEHYJKsi9rxIpXZqTQTeyFXHwLrY26IOsM6lrbAPclHIcRW/SYMFhIceKNjml19Of&#10;UUAxT7LP9x37/VGvt7/9Yae/DkoNn7vVDISnzv+HH+0PrSCejOF+Jhw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WgAHxQAAANwAAAAPAAAAAAAAAAAAAAAAAJgCAABkcnMv&#10;ZG93bnJldi54bWxQSwUGAAAAAAQABAD1AAAAigMAAAAA&#10;" path="m,l4,e" filled="f" strokecolor="#e4e4e4" strokeweight=".24pt">
                  <v:path arrowok="t" o:connecttype="custom" o:connectlocs="0,0;4,0" o:connectangles="0,0"/>
                </v:shape>
                <w10:wrap type="topAndBottom" anchorx="page"/>
              </v:group>
            </w:pict>
          </mc:Fallback>
        </mc:AlternateContent>
      </w:r>
    </w:p>
    <w:p w:rsidR="002C5025" w:rsidRDefault="002C5025">
      <w:pPr>
        <w:pStyle w:val="BodyText"/>
        <w:kinsoku w:val="0"/>
        <w:overflowPunct w:val="0"/>
        <w:spacing w:before="23" w:line="241" w:lineRule="exact"/>
        <w:ind w:left="140" w:right="254"/>
        <w:rPr>
          <w:rFonts w:ascii="Tahoma" w:hAnsi="Tahoma" w:cs="Tahoma"/>
          <w:sz w:val="20"/>
          <w:szCs w:val="20"/>
        </w:rPr>
      </w:pPr>
      <w:bookmarkStart w:id="104" w:name="From:_Dennis_Heaphy_[dheaphy@dpcma.org]_"/>
      <w:bookmarkEnd w:id="104"/>
      <w:r>
        <w:rPr>
          <w:rFonts w:ascii="Tahoma" w:hAnsi="Tahoma" w:cs="Tahoma"/>
          <w:b/>
          <w:bCs/>
          <w:sz w:val="20"/>
          <w:szCs w:val="20"/>
        </w:rPr>
        <w:t xml:space="preserve">From: </w:t>
      </w:r>
      <w:r>
        <w:rPr>
          <w:rFonts w:ascii="Tahoma" w:hAnsi="Tahoma" w:cs="Tahoma"/>
          <w:sz w:val="20"/>
          <w:szCs w:val="20"/>
        </w:rPr>
        <w:t xml:space="preserve">Dennis </w:t>
      </w:r>
      <w:proofErr w:type="spellStart"/>
      <w:r>
        <w:rPr>
          <w:rFonts w:ascii="Tahoma" w:hAnsi="Tahoma" w:cs="Tahoma"/>
          <w:sz w:val="20"/>
          <w:szCs w:val="20"/>
        </w:rPr>
        <w:t>Heaphy</w:t>
      </w:r>
      <w:proofErr w:type="spellEnd"/>
      <w:r>
        <w:rPr>
          <w:rFonts w:ascii="Tahoma" w:hAnsi="Tahoma" w:cs="Tahoma"/>
          <w:sz w:val="20"/>
          <w:szCs w:val="20"/>
        </w:rPr>
        <w:t xml:space="preserve"> </w:t>
      </w:r>
      <w:hyperlink r:id="rId234" w:history="1">
        <w:r>
          <w:rPr>
            <w:rFonts w:ascii="Tahoma" w:hAnsi="Tahoma" w:cs="Tahoma"/>
            <w:sz w:val="20"/>
            <w:szCs w:val="20"/>
          </w:rPr>
          <w:t>[dheaphy@dpcma.org</w:t>
        </w:r>
      </w:hyperlink>
      <w:r>
        <w:rPr>
          <w:rFonts w:ascii="Tahoma" w:hAnsi="Tahoma" w:cs="Tahoma"/>
          <w:sz w:val="20"/>
          <w:szCs w:val="20"/>
        </w:rPr>
        <w:t>]</w:t>
      </w:r>
    </w:p>
    <w:p w:rsidR="002C5025" w:rsidRDefault="002C5025">
      <w:pPr>
        <w:pStyle w:val="BodyText"/>
        <w:kinsoku w:val="0"/>
        <w:overflowPunct w:val="0"/>
        <w:spacing w:line="241" w:lineRule="exact"/>
        <w:ind w:left="140" w:right="254"/>
        <w:rPr>
          <w:rFonts w:ascii="Tahoma" w:hAnsi="Tahoma" w:cs="Tahoma"/>
          <w:sz w:val="20"/>
          <w:szCs w:val="20"/>
        </w:rPr>
      </w:pPr>
      <w:r>
        <w:rPr>
          <w:rFonts w:ascii="Tahoma" w:hAnsi="Tahoma" w:cs="Tahoma"/>
          <w:b/>
          <w:bCs/>
          <w:sz w:val="20"/>
          <w:szCs w:val="20"/>
        </w:rPr>
        <w:t xml:space="preserve">Sent: </w:t>
      </w:r>
      <w:r>
        <w:rPr>
          <w:rFonts w:ascii="Tahoma" w:hAnsi="Tahoma" w:cs="Tahoma"/>
          <w:sz w:val="20"/>
          <w:szCs w:val="20"/>
        </w:rPr>
        <w:t>Thursday, June 09, 2016 12:57 PM</w:t>
      </w:r>
    </w:p>
    <w:p w:rsidR="002C5025" w:rsidRDefault="002C5025">
      <w:pPr>
        <w:pStyle w:val="BodyText"/>
        <w:kinsoku w:val="0"/>
        <w:overflowPunct w:val="0"/>
        <w:spacing w:before="1"/>
        <w:ind w:left="140" w:right="254"/>
        <w:rPr>
          <w:rFonts w:ascii="Tahoma" w:hAnsi="Tahoma" w:cs="Tahoma"/>
          <w:sz w:val="20"/>
          <w:szCs w:val="20"/>
        </w:rPr>
      </w:pPr>
      <w:r>
        <w:rPr>
          <w:rFonts w:ascii="Tahoma" w:hAnsi="Tahoma" w:cs="Tahoma"/>
          <w:b/>
          <w:bCs/>
          <w:sz w:val="20"/>
          <w:szCs w:val="20"/>
        </w:rPr>
        <w:t xml:space="preserve">To: </w:t>
      </w:r>
      <w:r>
        <w:rPr>
          <w:rFonts w:ascii="Tahoma" w:hAnsi="Tahoma" w:cs="Tahoma"/>
          <w:sz w:val="20"/>
          <w:szCs w:val="20"/>
        </w:rPr>
        <w:t>Tsai, Daniel (EHS)</w:t>
      </w:r>
    </w:p>
    <w:p w:rsidR="002C5025" w:rsidRDefault="002C5025">
      <w:pPr>
        <w:pStyle w:val="BodyText"/>
        <w:kinsoku w:val="0"/>
        <w:overflowPunct w:val="0"/>
        <w:spacing w:before="1" w:line="241" w:lineRule="exact"/>
        <w:ind w:left="139" w:right="254"/>
        <w:rPr>
          <w:rFonts w:ascii="Tahoma" w:hAnsi="Tahoma" w:cs="Tahoma"/>
          <w:color w:val="0563C1"/>
          <w:sz w:val="20"/>
          <w:szCs w:val="20"/>
        </w:rPr>
      </w:pPr>
      <w:r>
        <w:rPr>
          <w:rFonts w:ascii="Tahoma" w:hAnsi="Tahoma" w:cs="Tahoma"/>
          <w:b/>
          <w:bCs/>
          <w:sz w:val="20"/>
          <w:szCs w:val="20"/>
        </w:rPr>
        <w:t xml:space="preserve">Cc: </w:t>
      </w:r>
      <w:r>
        <w:rPr>
          <w:rFonts w:ascii="Tahoma" w:hAnsi="Tahoma" w:cs="Tahoma"/>
          <w:sz w:val="20"/>
          <w:szCs w:val="20"/>
        </w:rPr>
        <w:t xml:space="preserve">Demirsoy, Ipek (EHS); </w:t>
      </w:r>
      <w:hyperlink r:id="rId235" w:history="1">
        <w:r>
          <w:rPr>
            <w:rFonts w:ascii="Tahoma" w:hAnsi="Tahoma" w:cs="Tahoma"/>
            <w:color w:val="0563C1"/>
            <w:sz w:val="20"/>
            <w:szCs w:val="20"/>
            <w:u w:val="single"/>
          </w:rPr>
          <w:t>dheaphy@dpcma.org</w:t>
        </w:r>
      </w:hyperlink>
    </w:p>
    <w:p w:rsidR="002C5025" w:rsidRDefault="002C5025">
      <w:pPr>
        <w:pStyle w:val="BodyText"/>
        <w:kinsoku w:val="0"/>
        <w:overflowPunct w:val="0"/>
        <w:spacing w:line="241" w:lineRule="exact"/>
        <w:ind w:left="140" w:right="254"/>
        <w:rPr>
          <w:rFonts w:ascii="Tahoma" w:hAnsi="Tahoma" w:cs="Tahoma"/>
          <w:sz w:val="20"/>
          <w:szCs w:val="20"/>
        </w:rPr>
      </w:pPr>
      <w:r>
        <w:rPr>
          <w:rFonts w:ascii="Tahoma" w:hAnsi="Tahoma" w:cs="Tahoma"/>
          <w:b/>
          <w:bCs/>
          <w:sz w:val="20"/>
          <w:szCs w:val="20"/>
        </w:rPr>
        <w:t xml:space="preserve">Subject: </w:t>
      </w:r>
      <w:r>
        <w:rPr>
          <w:rFonts w:ascii="Tahoma" w:hAnsi="Tahoma" w:cs="Tahoma"/>
          <w:sz w:val="20"/>
          <w:szCs w:val="20"/>
        </w:rPr>
        <w:t>Comments</w:t>
      </w:r>
    </w:p>
    <w:p w:rsidR="002C5025" w:rsidRDefault="002C5025">
      <w:pPr>
        <w:pStyle w:val="BodyText"/>
        <w:kinsoku w:val="0"/>
        <w:overflowPunct w:val="0"/>
        <w:spacing w:before="9"/>
        <w:rPr>
          <w:rFonts w:ascii="Tahoma" w:hAnsi="Tahoma" w:cs="Tahoma"/>
          <w:sz w:val="19"/>
          <w:szCs w:val="19"/>
        </w:rPr>
      </w:pPr>
    </w:p>
    <w:p w:rsidR="002C5025" w:rsidRDefault="002C5025">
      <w:pPr>
        <w:pStyle w:val="BodyText"/>
        <w:kinsoku w:val="0"/>
        <w:overflowPunct w:val="0"/>
        <w:ind w:left="140" w:right="254"/>
      </w:pPr>
      <w:r>
        <w:t>Dan,</w:t>
      </w:r>
    </w:p>
    <w:p w:rsidR="002C5025" w:rsidRDefault="002C5025">
      <w:pPr>
        <w:pStyle w:val="BodyText"/>
        <w:kinsoku w:val="0"/>
        <w:overflowPunct w:val="0"/>
        <w:spacing w:before="9"/>
        <w:rPr>
          <w:sz w:val="21"/>
          <w:szCs w:val="21"/>
        </w:rPr>
      </w:pPr>
    </w:p>
    <w:p w:rsidR="002C5025" w:rsidRDefault="002C5025">
      <w:pPr>
        <w:pStyle w:val="BodyText"/>
        <w:kinsoku w:val="0"/>
        <w:overflowPunct w:val="0"/>
        <w:spacing w:line="266" w:lineRule="exact"/>
        <w:ind w:left="140" w:right="254"/>
      </w:pPr>
      <w:r>
        <w:t>Thank you for the opportunity to write comments. I apologize in advance for areas that might be more appropriate contracting rather than the waiver itself.</w:t>
      </w:r>
    </w:p>
    <w:p w:rsidR="002C5025" w:rsidRDefault="002C5025">
      <w:pPr>
        <w:pStyle w:val="BodyText"/>
        <w:kinsoku w:val="0"/>
        <w:overflowPunct w:val="0"/>
        <w:spacing w:before="6"/>
      </w:pPr>
    </w:p>
    <w:p w:rsidR="002C5025" w:rsidRDefault="002C5025">
      <w:pPr>
        <w:pStyle w:val="BodyText"/>
        <w:kinsoku w:val="0"/>
        <w:overflowPunct w:val="0"/>
        <w:ind w:left="139" w:right="254"/>
      </w:pPr>
      <w:r>
        <w:t>The waiver document contains a number of comments. The other document contains specific recommendations……. Be careful what you ask for, you might just get it. And yes I know as I write these words they may come back to me.</w:t>
      </w:r>
    </w:p>
    <w:p w:rsidR="002C5025" w:rsidRDefault="002C5025">
      <w:pPr>
        <w:pStyle w:val="BodyText"/>
        <w:kinsoku w:val="0"/>
        <w:overflowPunct w:val="0"/>
      </w:pPr>
    </w:p>
    <w:p w:rsidR="002C5025" w:rsidRDefault="002C5025">
      <w:pPr>
        <w:pStyle w:val="BodyText"/>
        <w:kinsoku w:val="0"/>
        <w:overflowPunct w:val="0"/>
        <w:spacing w:line="480" w:lineRule="auto"/>
        <w:ind w:left="139" w:right="5959"/>
      </w:pPr>
      <w:r>
        <w:t>Let me know if you have any questions. Thank you again</w:t>
      </w:r>
    </w:p>
    <w:p w:rsidR="002C5025" w:rsidRDefault="002C5025">
      <w:pPr>
        <w:pStyle w:val="BodyText"/>
        <w:kinsoku w:val="0"/>
        <w:overflowPunct w:val="0"/>
        <w:spacing w:line="267" w:lineRule="exact"/>
        <w:ind w:left="139" w:right="254"/>
      </w:pPr>
      <w:r>
        <w:t>Dennis</w:t>
      </w:r>
    </w:p>
    <w:p w:rsidR="002C5025" w:rsidRDefault="002C5025">
      <w:pPr>
        <w:pStyle w:val="BodyText"/>
        <w:kinsoku w:val="0"/>
        <w:overflowPunct w:val="0"/>
        <w:rPr>
          <w:sz w:val="20"/>
          <w:szCs w:val="20"/>
        </w:rPr>
      </w:pPr>
    </w:p>
    <w:p w:rsidR="002C5025" w:rsidRDefault="00FB027C">
      <w:pPr>
        <w:pStyle w:val="BodyText"/>
        <w:kinsoku w:val="0"/>
        <w:overflowPunct w:val="0"/>
        <w:spacing w:before="3"/>
        <w:rPr>
          <w:sz w:val="16"/>
          <w:szCs w:val="16"/>
        </w:rPr>
      </w:pPr>
      <w:r>
        <w:rPr>
          <w:noProof/>
        </w:rPr>
        <mc:AlternateContent>
          <mc:Choice Requires="wps">
            <w:drawing>
              <wp:anchor distT="0" distB="0" distL="0" distR="0" simplePos="0" relativeHeight="251575808" behindDoc="0" locked="0" layoutInCell="0" allowOverlap="1">
                <wp:simplePos x="0" y="0"/>
                <wp:positionH relativeFrom="page">
                  <wp:posOffset>914400</wp:posOffset>
                </wp:positionH>
                <wp:positionV relativeFrom="paragraph">
                  <wp:posOffset>154940</wp:posOffset>
                </wp:positionV>
                <wp:extent cx="5943600" cy="12700"/>
                <wp:effectExtent l="0" t="0" r="0" b="0"/>
                <wp:wrapTopAndBottom/>
                <wp:docPr id="730" name="Freeform 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12700"/>
                        </a:xfrm>
                        <a:custGeom>
                          <a:avLst/>
                          <a:gdLst>
                            <a:gd name="T0" fmla="*/ 0 w 9360"/>
                            <a:gd name="T1" fmla="*/ 0 h 20"/>
                            <a:gd name="T2" fmla="*/ 9360 w 9360"/>
                            <a:gd name="T3" fmla="*/ 0 h 20"/>
                          </a:gdLst>
                          <a:ahLst/>
                          <a:cxnLst>
                            <a:cxn ang="0">
                              <a:pos x="T0" y="T1"/>
                            </a:cxn>
                            <a:cxn ang="0">
                              <a:pos x="T2" y="T3"/>
                            </a:cxn>
                          </a:cxnLst>
                          <a:rect l="0" t="0" r="r" b="b"/>
                          <a:pathLst>
                            <a:path w="9360" h="20">
                              <a:moveTo>
                                <a:pt x="0" y="0"/>
                              </a:moveTo>
                              <a:lnTo>
                                <a:pt x="9360" y="0"/>
                              </a:lnTo>
                            </a:path>
                          </a:pathLst>
                        </a:custGeom>
                        <a:noFill/>
                        <a:ln w="8889">
                          <a:solidFill>
                            <a:srgbClr val="A1A1A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95" o:spid="_x0000_s1026" style="position:absolute;z-index:251575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12.2pt,540pt,12.2pt" coordsize="93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" o:allowincell="f" filled="f" strokecolor="#a1a1a1" strokeweight=".24692mm">
                <v:path arrowok="t" o:connecttype="custom" o:connectlocs="0,0;5943600,0" o:connectangles="0,0"/>
                <w10:wrap type="topAndBottom" anchorx="page"/>
              </v:polyline>
            </w:pict>
          </mc:Fallback>
        </mc:AlternateContent>
      </w:r>
    </w:p>
    <w:p w:rsidR="002C5025" w:rsidRDefault="002C5025">
      <w:pPr>
        <w:pStyle w:val="BodyText"/>
        <w:kinsoku w:val="0"/>
        <w:overflowPunct w:val="0"/>
        <w:spacing w:before="16"/>
        <w:ind w:left="140" w:right="6160"/>
        <w:rPr>
          <w:rFonts w:ascii="Times New Roman" w:hAnsi="Times New Roman" w:cs="Times New Roman"/>
          <w:color w:val="0563C1"/>
          <w:sz w:val="24"/>
          <w:szCs w:val="24"/>
        </w:rPr>
      </w:pPr>
      <w:r>
        <w:rPr>
          <w:rFonts w:ascii="Times New Roman" w:hAnsi="Times New Roman" w:cs="Times New Roman"/>
          <w:sz w:val="24"/>
          <w:szCs w:val="24"/>
        </w:rPr>
        <w:t xml:space="preserve">No virus found in this message. Checked by AVG - </w:t>
      </w:r>
      <w:hyperlink r:id="rId236" w:history="1">
        <w:r>
          <w:rPr>
            <w:rFonts w:ascii="Times New Roman" w:hAnsi="Times New Roman" w:cs="Times New Roman"/>
            <w:color w:val="0563C1"/>
            <w:sz w:val="24"/>
            <w:szCs w:val="24"/>
            <w:u w:val="single"/>
          </w:rPr>
          <w:t>www.avg.com</w:t>
        </w:r>
      </w:hyperlink>
    </w:p>
    <w:p w:rsidR="002C5025" w:rsidRDefault="002C5025">
      <w:pPr>
        <w:pStyle w:val="BodyText"/>
        <w:kinsoku w:val="0"/>
        <w:overflowPunct w:val="0"/>
        <w:ind w:left="140" w:right="254"/>
        <w:rPr>
          <w:rFonts w:ascii="Times New Roman" w:hAnsi="Times New Roman" w:cs="Times New Roman"/>
          <w:sz w:val="24"/>
          <w:szCs w:val="24"/>
        </w:rPr>
      </w:pPr>
      <w:r>
        <w:rPr>
          <w:rFonts w:ascii="Times New Roman" w:hAnsi="Times New Roman" w:cs="Times New Roman"/>
          <w:sz w:val="24"/>
          <w:szCs w:val="24"/>
        </w:rPr>
        <w:t>Version: 2016.0.7639 / Virus Database: 4598/12391 - Release Date: 06/09/16</w:t>
      </w:r>
    </w:p>
    <w:p w:rsidR="002C5025" w:rsidRDefault="002C5025">
      <w:pPr>
        <w:pStyle w:val="BodyText"/>
        <w:kinsoku w:val="0"/>
        <w:overflowPunct w:val="0"/>
        <w:ind w:left="140" w:right="254"/>
        <w:rPr>
          <w:rFonts w:ascii="Times New Roman" w:hAnsi="Times New Roman" w:cs="Times New Roman"/>
          <w:sz w:val="24"/>
          <w:szCs w:val="24"/>
        </w:rPr>
        <w:sectPr w:rsidR="002C5025">
          <w:pgSz w:w="12240" w:h="15840"/>
          <w:pgMar w:top="1400" w:right="1300" w:bottom="280" w:left="1300" w:header="720" w:footer="720" w:gutter="0"/>
          <w:cols w:space="720" w:equalWidth="0">
            <w:col w:w="9640"/>
          </w:cols>
          <w:noEndnote/>
        </w:sectPr>
      </w:pPr>
    </w:p>
    <w:p w:rsidR="002C5025" w:rsidRDefault="002C5025">
      <w:pPr>
        <w:pStyle w:val="BodyText"/>
        <w:kinsoku w:val="0"/>
        <w:overflowPunct w:val="0"/>
        <w:spacing w:before="36"/>
        <w:ind w:left="168" w:right="128"/>
        <w:rPr>
          <w:rFonts w:ascii="Arial" w:hAnsi="Arial" w:cs="Arial"/>
          <w:b/>
          <w:bCs/>
          <w:i/>
          <w:iCs/>
          <w:color w:val="1F497D"/>
          <w:sz w:val="36"/>
          <w:szCs w:val="36"/>
        </w:rPr>
      </w:pPr>
      <w:bookmarkStart w:id="105" w:name="DAAHR_comment_3_on_1115_waiver_and_DSRIP"/>
      <w:bookmarkEnd w:id="105"/>
      <w:r>
        <w:rPr>
          <w:rFonts w:ascii="Arial" w:hAnsi="Arial" w:cs="Arial"/>
          <w:b/>
          <w:bCs/>
          <w:i/>
          <w:iCs/>
          <w:color w:val="1F497D"/>
          <w:sz w:val="36"/>
          <w:szCs w:val="36"/>
        </w:rPr>
        <w:lastRenderedPageBreak/>
        <w:t>Disability Advocates Advancing our Healthcare Rights</w:t>
      </w:r>
    </w:p>
    <w:p w:rsidR="002C5025" w:rsidRDefault="002C5025">
      <w:pPr>
        <w:pStyle w:val="BodyText"/>
        <w:kinsoku w:val="0"/>
        <w:overflowPunct w:val="0"/>
        <w:spacing w:before="6"/>
        <w:rPr>
          <w:rFonts w:ascii="Arial" w:hAnsi="Arial" w:cs="Arial"/>
          <w:b/>
          <w:bCs/>
          <w:i/>
          <w:iCs/>
          <w:sz w:val="47"/>
          <w:szCs w:val="47"/>
        </w:rPr>
      </w:pPr>
    </w:p>
    <w:p w:rsidR="002C5025" w:rsidRDefault="002C5025">
      <w:pPr>
        <w:pStyle w:val="BodyText"/>
        <w:kinsoku w:val="0"/>
        <w:overflowPunct w:val="0"/>
        <w:ind w:left="140" w:right="254"/>
        <w:rPr>
          <w:rFonts w:ascii="Times New Roman" w:hAnsi="Times New Roman" w:cs="Times New Roman"/>
          <w:sz w:val="24"/>
          <w:szCs w:val="24"/>
        </w:rPr>
      </w:pPr>
      <w:r>
        <w:rPr>
          <w:rFonts w:ascii="Times New Roman" w:hAnsi="Times New Roman" w:cs="Times New Roman"/>
          <w:sz w:val="24"/>
          <w:szCs w:val="24"/>
        </w:rPr>
        <w:t>July 15, 2016</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40" w:right="254"/>
        <w:rPr>
          <w:rFonts w:ascii="Times New Roman" w:hAnsi="Times New Roman" w:cs="Times New Roman"/>
          <w:sz w:val="24"/>
          <w:szCs w:val="24"/>
        </w:rPr>
      </w:pPr>
      <w:r>
        <w:rPr>
          <w:rFonts w:ascii="Times New Roman" w:hAnsi="Times New Roman" w:cs="Times New Roman"/>
          <w:sz w:val="24"/>
          <w:szCs w:val="24"/>
        </w:rPr>
        <w:t>Daniel Tsai</w:t>
      </w:r>
    </w:p>
    <w:p w:rsidR="002C5025" w:rsidRDefault="002C5025">
      <w:pPr>
        <w:pStyle w:val="BodyText"/>
        <w:kinsoku w:val="0"/>
        <w:overflowPunct w:val="0"/>
        <w:spacing w:before="3" w:line="276" w:lineRule="exact"/>
        <w:ind w:left="140" w:right="6087"/>
        <w:rPr>
          <w:rFonts w:ascii="Times New Roman" w:hAnsi="Times New Roman" w:cs="Times New Roman"/>
          <w:sz w:val="24"/>
          <w:szCs w:val="24"/>
        </w:rPr>
      </w:pPr>
      <w:r>
        <w:rPr>
          <w:rFonts w:ascii="Times New Roman" w:hAnsi="Times New Roman" w:cs="Times New Roman"/>
          <w:sz w:val="24"/>
          <w:szCs w:val="24"/>
        </w:rPr>
        <w:t>Assistant Secretary for MassHealth One Ashburton Place, 11</w:t>
      </w:r>
      <w:proofErr w:type="spellStart"/>
      <w:r>
        <w:rPr>
          <w:rFonts w:ascii="Times New Roman" w:hAnsi="Times New Roman" w:cs="Times New Roman"/>
          <w:position w:val="11"/>
          <w:sz w:val="16"/>
          <w:szCs w:val="16"/>
        </w:rPr>
        <w:t>th</w:t>
      </w:r>
      <w:proofErr w:type="spellEnd"/>
      <w:r>
        <w:rPr>
          <w:rFonts w:ascii="Times New Roman" w:hAnsi="Times New Roman" w:cs="Times New Roman"/>
          <w:position w:val="11"/>
          <w:sz w:val="16"/>
          <w:szCs w:val="16"/>
        </w:rPr>
        <w:t xml:space="preserve"> </w:t>
      </w:r>
      <w:r>
        <w:rPr>
          <w:rFonts w:ascii="Times New Roman" w:hAnsi="Times New Roman" w:cs="Times New Roman"/>
          <w:sz w:val="24"/>
          <w:szCs w:val="24"/>
        </w:rPr>
        <w:t>Floor Boston, MA 02111</w:t>
      </w:r>
    </w:p>
    <w:p w:rsidR="002C5025" w:rsidRDefault="002C5025">
      <w:pPr>
        <w:pStyle w:val="BodyText"/>
        <w:kinsoku w:val="0"/>
        <w:overflowPunct w:val="0"/>
        <w:spacing w:before="8"/>
        <w:rPr>
          <w:rFonts w:ascii="Times New Roman" w:hAnsi="Times New Roman" w:cs="Times New Roman"/>
          <w:sz w:val="23"/>
          <w:szCs w:val="23"/>
        </w:rPr>
      </w:pPr>
    </w:p>
    <w:p w:rsidR="002C5025" w:rsidRDefault="002C5025">
      <w:pPr>
        <w:pStyle w:val="BodyText"/>
        <w:kinsoku w:val="0"/>
        <w:overflowPunct w:val="0"/>
        <w:ind w:left="140" w:right="254"/>
        <w:rPr>
          <w:rFonts w:ascii="Times New Roman" w:hAnsi="Times New Roman" w:cs="Times New Roman"/>
          <w:color w:val="0000FF"/>
          <w:sz w:val="24"/>
          <w:szCs w:val="24"/>
        </w:rPr>
      </w:pPr>
      <w:r>
        <w:rPr>
          <w:rFonts w:ascii="Times New Roman" w:hAnsi="Times New Roman" w:cs="Times New Roman"/>
          <w:sz w:val="24"/>
          <w:szCs w:val="24"/>
        </w:rPr>
        <w:t xml:space="preserve">Submitted via email to </w:t>
      </w:r>
      <w:hyperlink r:id="rId237" w:history="1">
        <w:r>
          <w:rPr>
            <w:rFonts w:ascii="Times New Roman" w:hAnsi="Times New Roman" w:cs="Times New Roman"/>
            <w:color w:val="0000FF"/>
            <w:sz w:val="24"/>
            <w:szCs w:val="24"/>
            <w:u w:val="single"/>
          </w:rPr>
          <w:t>MassHealth.Innovations@state.ma.us</w:t>
        </w:r>
      </w:hyperlink>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2"/>
        <w:rPr>
          <w:rFonts w:ascii="Times New Roman" w:hAnsi="Times New Roman" w:cs="Times New Roman"/>
        </w:rPr>
      </w:pPr>
    </w:p>
    <w:p w:rsidR="002C5025" w:rsidRDefault="002C5025">
      <w:pPr>
        <w:pStyle w:val="BodyText"/>
        <w:kinsoku w:val="0"/>
        <w:overflowPunct w:val="0"/>
        <w:spacing w:before="69"/>
        <w:ind w:left="140" w:right="128"/>
        <w:rPr>
          <w:rFonts w:ascii="Times New Roman" w:hAnsi="Times New Roman" w:cs="Times New Roman"/>
          <w:sz w:val="24"/>
          <w:szCs w:val="24"/>
        </w:rPr>
      </w:pPr>
      <w:r>
        <w:rPr>
          <w:rFonts w:ascii="Times New Roman" w:hAnsi="Times New Roman" w:cs="Times New Roman"/>
          <w:sz w:val="24"/>
          <w:szCs w:val="24"/>
        </w:rPr>
        <w:t>RE: Comments on MassHealth 1115 Demonstration Project Amendment and Extension Request</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spacing w:before="7"/>
        <w:rPr>
          <w:rFonts w:ascii="Times New Roman" w:hAnsi="Times New Roman" w:cs="Times New Roman"/>
          <w:sz w:val="25"/>
          <w:szCs w:val="25"/>
        </w:rPr>
      </w:pPr>
    </w:p>
    <w:p w:rsidR="002C5025" w:rsidRDefault="002C5025">
      <w:pPr>
        <w:pStyle w:val="BodyText"/>
        <w:kinsoku w:val="0"/>
        <w:overflowPunct w:val="0"/>
        <w:ind w:left="139" w:right="254"/>
        <w:rPr>
          <w:rFonts w:ascii="Times New Roman" w:hAnsi="Times New Roman" w:cs="Times New Roman"/>
          <w:sz w:val="24"/>
          <w:szCs w:val="24"/>
        </w:rPr>
      </w:pPr>
      <w:r>
        <w:rPr>
          <w:rFonts w:ascii="Times New Roman" w:hAnsi="Times New Roman" w:cs="Times New Roman"/>
          <w:sz w:val="24"/>
          <w:szCs w:val="24"/>
        </w:rPr>
        <w:t>Dear Assistant Secretary Tsai:</w:t>
      </w:r>
    </w:p>
    <w:p w:rsidR="002C5025" w:rsidRDefault="002C5025">
      <w:pPr>
        <w:pStyle w:val="BodyText"/>
        <w:kinsoku w:val="0"/>
        <w:overflowPunct w:val="0"/>
        <w:spacing w:before="4"/>
        <w:rPr>
          <w:rFonts w:ascii="Times New Roman" w:hAnsi="Times New Roman" w:cs="Times New Roman"/>
          <w:sz w:val="24"/>
          <w:szCs w:val="24"/>
        </w:rPr>
      </w:pPr>
    </w:p>
    <w:p w:rsidR="002C5025" w:rsidRDefault="002C5025">
      <w:pPr>
        <w:pStyle w:val="BodyText"/>
        <w:kinsoku w:val="0"/>
        <w:overflowPunct w:val="0"/>
        <w:spacing w:before="1"/>
        <w:ind w:left="139" w:right="201"/>
        <w:rPr>
          <w:rFonts w:ascii="Times New Roman" w:hAnsi="Times New Roman" w:cs="Times New Roman"/>
          <w:sz w:val="24"/>
          <w:szCs w:val="24"/>
        </w:rPr>
      </w:pPr>
      <w:r>
        <w:rPr>
          <w:rFonts w:ascii="Times New Roman" w:hAnsi="Times New Roman" w:cs="Times New Roman"/>
          <w:sz w:val="24"/>
          <w:szCs w:val="24"/>
        </w:rPr>
        <w:t>Disability Advocates Advancing our Healthcare Rights (DAAHR), comprised of over twenty disability, elder, healthcare, and legal services organizations, supports MassHealth’s submission of an 1115 Demonstration Project Amendment and Extension Request. We wish to acknowledge the significant effort that has gone into the waiver’s submission, including the regular involvement of stakeholders. DAAHR believes that performance-based funding, supported by a person-centered cross-sector approach, has the potential to improve the quality of life for the 1.8 million MassHealth members through greater focus on both individual goals and public health, use of innovative services, and improved integration of care and services across the medical, behavioral health, and long term services and supports systems.</w:t>
      </w:r>
    </w:p>
    <w:p w:rsidR="002C5025" w:rsidRDefault="002C5025">
      <w:pPr>
        <w:pStyle w:val="BodyText"/>
        <w:kinsoku w:val="0"/>
        <w:overflowPunct w:val="0"/>
        <w:rPr>
          <w:rFonts w:ascii="Times New Roman" w:hAnsi="Times New Roman" w:cs="Times New Roman"/>
          <w:sz w:val="21"/>
          <w:szCs w:val="21"/>
        </w:rPr>
      </w:pPr>
    </w:p>
    <w:p w:rsidR="002C5025" w:rsidRDefault="002C5025">
      <w:pPr>
        <w:pStyle w:val="BodyText"/>
        <w:kinsoku w:val="0"/>
        <w:overflowPunct w:val="0"/>
        <w:spacing w:before="1" w:line="259" w:lineRule="auto"/>
        <w:ind w:left="139" w:right="130"/>
        <w:rPr>
          <w:rFonts w:ascii="Times New Roman" w:hAnsi="Times New Roman" w:cs="Times New Roman"/>
          <w:sz w:val="24"/>
          <w:szCs w:val="24"/>
        </w:rPr>
      </w:pPr>
      <w:r>
        <w:rPr>
          <w:rFonts w:ascii="Times New Roman" w:hAnsi="Times New Roman" w:cs="Times New Roman"/>
          <w:sz w:val="24"/>
          <w:szCs w:val="24"/>
        </w:rPr>
        <w:t>However, we remain concerned about changes in reimbursements and institutional relationships that this broad experiment in improving care and delivery will require. In that regard, we join with Health Care for All and other advocates in their expressed concerns about consumer access, control, communications, and support. There are considerable uncertainties associated with many of the proposed changes and we seek the highest level of oversight, transparency, evaluation, and due process to assure that no harm is done to MassHealth members, particularly those with disabilities, as we launch into this demonstration.</w:t>
      </w:r>
    </w:p>
    <w:p w:rsidR="002C5025" w:rsidRDefault="002C5025">
      <w:pPr>
        <w:pStyle w:val="BodyText"/>
        <w:kinsoku w:val="0"/>
        <w:overflowPunct w:val="0"/>
        <w:spacing w:before="10"/>
        <w:rPr>
          <w:rFonts w:ascii="Times New Roman" w:hAnsi="Times New Roman" w:cs="Times New Roman"/>
          <w:sz w:val="20"/>
          <w:szCs w:val="20"/>
        </w:rPr>
      </w:pPr>
    </w:p>
    <w:p w:rsidR="002C5025" w:rsidRDefault="002C5025">
      <w:pPr>
        <w:pStyle w:val="BodyText"/>
        <w:kinsoku w:val="0"/>
        <w:overflowPunct w:val="0"/>
        <w:spacing w:line="259" w:lineRule="auto"/>
        <w:ind w:left="139" w:right="189"/>
        <w:rPr>
          <w:rFonts w:ascii="Times New Roman" w:hAnsi="Times New Roman" w:cs="Times New Roman"/>
          <w:sz w:val="24"/>
          <w:szCs w:val="24"/>
        </w:rPr>
      </w:pPr>
      <w:r>
        <w:rPr>
          <w:rFonts w:ascii="Times New Roman" w:hAnsi="Times New Roman" w:cs="Times New Roman"/>
          <w:sz w:val="24"/>
          <w:szCs w:val="24"/>
        </w:rPr>
        <w:t>In that respect, we cite the following areas of most concern and welcome engaged and regular dialogue with MassHealth and CMS in clarifying opaque aspects of the 1115 waiver application, as well as active participation in the implementation process. MassHealth needs to set the stage for effective, efficient, responsive and humane ACO development. To attain that outcome, we encourage:</w:t>
      </w:r>
    </w:p>
    <w:p w:rsidR="002C5025" w:rsidRDefault="002C5025">
      <w:pPr>
        <w:pStyle w:val="BodyText"/>
        <w:kinsoku w:val="0"/>
        <w:overflowPunct w:val="0"/>
        <w:spacing w:before="9"/>
        <w:rPr>
          <w:rFonts w:ascii="Times New Roman" w:hAnsi="Times New Roman" w:cs="Times New Roman"/>
          <w:sz w:val="20"/>
          <w:szCs w:val="20"/>
        </w:rPr>
      </w:pPr>
    </w:p>
    <w:p w:rsidR="002C5025" w:rsidRDefault="002C5025">
      <w:pPr>
        <w:pStyle w:val="ListParagraph"/>
        <w:numPr>
          <w:ilvl w:val="1"/>
          <w:numId w:val="67"/>
        </w:numPr>
        <w:tabs>
          <w:tab w:val="left" w:pos="860"/>
        </w:tabs>
        <w:kinsoku w:val="0"/>
        <w:overflowPunct w:val="0"/>
        <w:spacing w:before="1" w:line="256" w:lineRule="auto"/>
        <w:ind w:right="384"/>
      </w:pPr>
      <w:r>
        <w:rPr>
          <w:b/>
          <w:bCs/>
        </w:rPr>
        <w:t xml:space="preserve">Maximum transparency and readily available information </w:t>
      </w:r>
      <w:r>
        <w:t>regarding administrative and care-delivery cost, service utilization and quality outcome across all</w:t>
      </w:r>
      <w:r>
        <w:rPr>
          <w:spacing w:val="-18"/>
        </w:rPr>
        <w:t xml:space="preserve"> </w:t>
      </w:r>
      <w:r>
        <w:t>ACOs,</w:t>
      </w:r>
    </w:p>
    <w:p w:rsidR="002C5025" w:rsidRDefault="002C5025">
      <w:pPr>
        <w:pStyle w:val="BodyText"/>
        <w:kinsoku w:val="0"/>
        <w:overflowPunct w:val="0"/>
        <w:rPr>
          <w:rFonts w:ascii="Times New Roman" w:hAnsi="Times New Roman" w:cs="Times New Roman"/>
          <w:sz w:val="20"/>
          <w:szCs w:val="20"/>
        </w:rPr>
      </w:pPr>
    </w:p>
    <w:p w:rsidR="002C5025" w:rsidRDefault="00FB027C">
      <w:pPr>
        <w:pStyle w:val="BodyText"/>
        <w:kinsoku w:val="0"/>
        <w:overflowPunct w:val="0"/>
        <w:spacing w:before="10"/>
        <w:rPr>
          <w:rFonts w:ascii="Times New Roman" w:hAnsi="Times New Roman" w:cs="Times New Roman"/>
          <w:sz w:val="28"/>
          <w:szCs w:val="28"/>
        </w:rPr>
      </w:pPr>
      <w:r>
        <w:rPr>
          <w:noProof/>
        </w:rPr>
        <mc:AlternateContent>
          <mc:Choice Requires="wps">
            <w:drawing>
              <wp:anchor distT="0" distB="0" distL="0" distR="0" simplePos="0" relativeHeight="251576832" behindDoc="0" locked="0" layoutInCell="0" allowOverlap="1">
                <wp:simplePos x="0" y="0"/>
                <wp:positionH relativeFrom="page">
                  <wp:posOffset>895985</wp:posOffset>
                </wp:positionH>
                <wp:positionV relativeFrom="paragraph">
                  <wp:posOffset>238760</wp:posOffset>
                </wp:positionV>
                <wp:extent cx="5980430" cy="12700"/>
                <wp:effectExtent l="0" t="0" r="0" b="0"/>
                <wp:wrapTopAndBottom/>
                <wp:docPr id="729" name="Freeform 2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0430" cy="12700"/>
                        </a:xfrm>
                        <a:custGeom>
                          <a:avLst/>
                          <a:gdLst>
                            <a:gd name="T0" fmla="*/ 0 w 9418"/>
                            <a:gd name="T1" fmla="*/ 0 h 20"/>
                            <a:gd name="T2" fmla="*/ 9417 w 9418"/>
                            <a:gd name="T3" fmla="*/ 0 h 20"/>
                          </a:gdLst>
                          <a:ahLst/>
                          <a:cxnLst>
                            <a:cxn ang="0">
                              <a:pos x="T0" y="T1"/>
                            </a:cxn>
                            <a:cxn ang="0">
                              <a:pos x="T2" y="T3"/>
                            </a:cxn>
                          </a:cxnLst>
                          <a:rect l="0" t="0" r="r" b="b"/>
                          <a:pathLst>
                            <a:path w="9418" h="20">
                              <a:moveTo>
                                <a:pt x="0" y="0"/>
                              </a:moveTo>
                              <a:lnTo>
                                <a:pt x="9417" y="0"/>
                              </a:lnTo>
                            </a:path>
                          </a:pathLst>
                        </a:custGeom>
                        <a:noFill/>
                        <a:ln w="6108">
                          <a:solidFill>
                            <a:srgbClr val="DADAD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96" o:spid="_x0000_s1026" style="position:absolute;z-index:251576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0.55pt,18.8pt,541.4pt,18.8pt" coordsize="94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" o:allowincell="f" filled="f" strokecolor="#dadada" strokeweight=".16967mm">
                <v:path arrowok="t" o:connecttype="custom" o:connectlocs="0,0;5979795,0" o:connectangles="0,0"/>
                <w10:wrap type="topAndBottom" anchorx="page"/>
              </v:polyline>
            </w:pict>
          </mc:Fallback>
        </mc:AlternateContent>
      </w:r>
    </w:p>
    <w:p w:rsidR="002C5025" w:rsidRDefault="002C5025">
      <w:pPr>
        <w:pStyle w:val="ListParagraph"/>
        <w:numPr>
          <w:ilvl w:val="0"/>
          <w:numId w:val="66"/>
        </w:numPr>
        <w:tabs>
          <w:tab w:val="left" w:pos="304"/>
        </w:tabs>
        <w:kinsoku w:val="0"/>
        <w:overflowPunct w:val="0"/>
        <w:spacing w:line="258" w:lineRule="exact"/>
        <w:ind w:hanging="163"/>
        <w:rPr>
          <w:rFonts w:ascii="Calibri" w:hAnsi="Calibri" w:cs="Calibri"/>
          <w:color w:val="808080"/>
          <w:spacing w:val="9"/>
          <w:sz w:val="22"/>
          <w:szCs w:val="22"/>
        </w:rPr>
      </w:pPr>
      <w:r>
        <w:rPr>
          <w:rFonts w:ascii="Calibri" w:hAnsi="Calibri" w:cs="Calibri"/>
          <w:b/>
          <w:bCs/>
          <w:sz w:val="22"/>
          <w:szCs w:val="22"/>
        </w:rPr>
        <w:t xml:space="preserve">| </w:t>
      </w:r>
      <w:r>
        <w:rPr>
          <w:rFonts w:ascii="Calibri" w:hAnsi="Calibri" w:cs="Calibri"/>
          <w:color w:val="808080"/>
          <w:sz w:val="22"/>
          <w:szCs w:val="22"/>
        </w:rPr>
        <w:t xml:space="preserve">P a </w:t>
      </w:r>
      <w:r>
        <w:rPr>
          <w:rFonts w:ascii="Calibri" w:hAnsi="Calibri" w:cs="Calibri"/>
          <w:color w:val="808080"/>
          <w:spacing w:val="9"/>
          <w:sz w:val="22"/>
          <w:szCs w:val="22"/>
        </w:rPr>
        <w:t>g</w:t>
      </w:r>
      <w:r>
        <w:rPr>
          <w:rFonts w:ascii="Calibri" w:hAnsi="Calibri" w:cs="Calibri"/>
          <w:color w:val="808080"/>
          <w:spacing w:val="21"/>
          <w:sz w:val="22"/>
          <w:szCs w:val="22"/>
        </w:rPr>
        <w:t xml:space="preserve"> </w:t>
      </w:r>
      <w:r>
        <w:rPr>
          <w:rFonts w:ascii="Calibri" w:hAnsi="Calibri" w:cs="Calibri"/>
          <w:color w:val="808080"/>
          <w:sz w:val="22"/>
          <w:szCs w:val="22"/>
        </w:rPr>
        <w:t>e</w:t>
      </w:r>
      <w:r>
        <w:rPr>
          <w:rFonts w:ascii="Calibri" w:hAnsi="Calibri" w:cs="Calibri"/>
          <w:color w:val="808080"/>
          <w:spacing w:val="9"/>
          <w:sz w:val="22"/>
          <w:szCs w:val="22"/>
        </w:rPr>
        <w:t xml:space="preserve"> </w:t>
      </w:r>
    </w:p>
    <w:p w:rsidR="002C5025" w:rsidRDefault="002C5025">
      <w:pPr>
        <w:pStyle w:val="ListParagraph"/>
        <w:numPr>
          <w:ilvl w:val="0"/>
          <w:numId w:val="66"/>
        </w:numPr>
        <w:tabs>
          <w:tab w:val="left" w:pos="304"/>
        </w:tabs>
        <w:kinsoku w:val="0"/>
        <w:overflowPunct w:val="0"/>
        <w:spacing w:line="258" w:lineRule="exact"/>
        <w:ind w:hanging="163"/>
        <w:rPr>
          <w:rFonts w:ascii="Calibri" w:hAnsi="Calibri" w:cs="Calibri"/>
          <w:color w:val="808080"/>
          <w:spacing w:val="9"/>
          <w:sz w:val="22"/>
          <w:szCs w:val="22"/>
        </w:rPr>
        <w:sectPr w:rsidR="002C5025">
          <w:pgSz w:w="12240" w:h="15840"/>
          <w:pgMar w:top="1400" w:right="1300" w:bottom="280" w:left="1300" w:header="720" w:footer="720" w:gutter="0"/>
          <w:cols w:space="720"/>
          <w:noEndnote/>
        </w:sectPr>
      </w:pPr>
    </w:p>
    <w:p w:rsidR="002C5025" w:rsidRDefault="002C5025">
      <w:pPr>
        <w:pStyle w:val="BodyText"/>
        <w:kinsoku w:val="0"/>
        <w:overflowPunct w:val="0"/>
        <w:spacing w:before="54" w:line="259" w:lineRule="auto"/>
        <w:ind w:left="860" w:right="1129"/>
        <w:rPr>
          <w:rFonts w:ascii="Times New Roman" w:hAnsi="Times New Roman" w:cs="Times New Roman"/>
          <w:sz w:val="24"/>
          <w:szCs w:val="24"/>
        </w:rPr>
      </w:pPr>
      <w:r>
        <w:rPr>
          <w:rFonts w:ascii="Times New Roman" w:hAnsi="Times New Roman" w:cs="Times New Roman"/>
          <w:sz w:val="24"/>
          <w:szCs w:val="24"/>
        </w:rPr>
        <w:lastRenderedPageBreak/>
        <w:t>demonstrating the rebalancing of spending and the effectiveness of MassHealth investment more broadly;</w:t>
      </w:r>
    </w:p>
    <w:p w:rsidR="002C5025" w:rsidRDefault="002C5025">
      <w:pPr>
        <w:pStyle w:val="ListParagraph"/>
        <w:numPr>
          <w:ilvl w:val="1"/>
          <w:numId w:val="66"/>
        </w:numPr>
        <w:tabs>
          <w:tab w:val="left" w:pos="860"/>
        </w:tabs>
        <w:kinsoku w:val="0"/>
        <w:overflowPunct w:val="0"/>
        <w:spacing w:line="256" w:lineRule="auto"/>
        <w:ind w:right="823"/>
      </w:pPr>
      <w:r>
        <w:rPr>
          <w:b/>
          <w:bCs/>
        </w:rPr>
        <w:t>Assurance of appropriate and needs-based consumer choice</w:t>
      </w:r>
      <w:r>
        <w:t>, unencumbered by narrow networks, lock-ins, or lack of true conflict-free case management;</w:t>
      </w:r>
      <w:r>
        <w:rPr>
          <w:spacing w:val="-17"/>
        </w:rPr>
        <w:t xml:space="preserve"> </w:t>
      </w:r>
      <w:r>
        <w:t>and</w:t>
      </w:r>
    </w:p>
    <w:p w:rsidR="002C5025" w:rsidRDefault="002C5025">
      <w:pPr>
        <w:pStyle w:val="BodyText"/>
        <w:kinsoku w:val="0"/>
        <w:overflowPunct w:val="0"/>
        <w:spacing w:before="3"/>
        <w:rPr>
          <w:rFonts w:ascii="Times New Roman" w:hAnsi="Times New Roman" w:cs="Times New Roman"/>
          <w:sz w:val="26"/>
          <w:szCs w:val="26"/>
        </w:rPr>
      </w:pPr>
    </w:p>
    <w:p w:rsidR="002C5025" w:rsidRDefault="002C5025">
      <w:pPr>
        <w:pStyle w:val="ListParagraph"/>
        <w:numPr>
          <w:ilvl w:val="1"/>
          <w:numId w:val="66"/>
        </w:numPr>
        <w:tabs>
          <w:tab w:val="left" w:pos="860"/>
        </w:tabs>
        <w:kinsoku w:val="0"/>
        <w:overflowPunct w:val="0"/>
        <w:spacing w:line="259" w:lineRule="auto"/>
        <w:ind w:right="161"/>
      </w:pPr>
      <w:r>
        <w:rPr>
          <w:b/>
          <w:bCs/>
        </w:rPr>
        <w:t xml:space="preserve">Elimination of burdensome and discriminatory co-pays or service limitations. </w:t>
      </w:r>
      <w:r>
        <w:t>The PCCP penalty, punitive co-pays and restrictive prior approval processes have repeatedly been shown to diminish access to needed services and provide little in the way of</w:t>
      </w:r>
      <w:r>
        <w:rPr>
          <w:spacing w:val="-18"/>
        </w:rPr>
        <w:t xml:space="preserve"> </w:t>
      </w:r>
      <w:r>
        <w:t>genuine incentives in service/plan choice for people who are poor, including those with disabilities.</w:t>
      </w:r>
    </w:p>
    <w:p w:rsidR="002C5025" w:rsidRDefault="002C5025">
      <w:pPr>
        <w:pStyle w:val="BodyText"/>
        <w:kinsoku w:val="0"/>
        <w:overflowPunct w:val="0"/>
        <w:spacing w:before="10"/>
        <w:rPr>
          <w:rFonts w:ascii="Times New Roman" w:hAnsi="Times New Roman" w:cs="Times New Roman"/>
          <w:sz w:val="20"/>
          <w:szCs w:val="20"/>
        </w:rPr>
      </w:pPr>
    </w:p>
    <w:p w:rsidR="002C5025" w:rsidRDefault="002C5025">
      <w:pPr>
        <w:pStyle w:val="BodyText"/>
        <w:kinsoku w:val="0"/>
        <w:overflowPunct w:val="0"/>
        <w:spacing w:line="259" w:lineRule="auto"/>
        <w:ind w:left="140" w:right="176"/>
        <w:rPr>
          <w:rFonts w:ascii="Times New Roman" w:hAnsi="Times New Roman" w:cs="Times New Roman"/>
          <w:sz w:val="24"/>
          <w:szCs w:val="24"/>
        </w:rPr>
      </w:pPr>
      <w:r>
        <w:rPr>
          <w:rFonts w:ascii="Times New Roman" w:hAnsi="Times New Roman" w:cs="Times New Roman"/>
          <w:sz w:val="24"/>
          <w:szCs w:val="24"/>
        </w:rPr>
        <w:t>The remainder of our comments provide more specificity on these matters and also includes areas of concern and recommendations that DAAHR believes would improve the initiative; elements that we believe are notably positive; and things for which we need clarification or more information.</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spacing w:before="1"/>
        <w:rPr>
          <w:rFonts w:ascii="Times New Roman" w:hAnsi="Times New Roman" w:cs="Times New Roman"/>
          <w:sz w:val="21"/>
          <w:szCs w:val="21"/>
        </w:rPr>
      </w:pPr>
    </w:p>
    <w:p w:rsidR="002C5025" w:rsidRDefault="002C5025">
      <w:pPr>
        <w:pStyle w:val="BodyText"/>
        <w:kinsoku w:val="0"/>
        <w:overflowPunct w:val="0"/>
        <w:ind w:left="140" w:right="254"/>
        <w:rPr>
          <w:rFonts w:ascii="Times New Roman" w:hAnsi="Times New Roman" w:cs="Times New Roman"/>
          <w:b/>
          <w:bCs/>
          <w:sz w:val="24"/>
          <w:szCs w:val="24"/>
        </w:rPr>
      </w:pPr>
      <w:r>
        <w:rPr>
          <w:rFonts w:ascii="Times New Roman" w:hAnsi="Times New Roman" w:cs="Times New Roman"/>
          <w:b/>
          <w:bCs/>
          <w:sz w:val="24"/>
          <w:szCs w:val="24"/>
          <w:u w:val="thick" w:color="000000"/>
        </w:rPr>
        <w:t>Areas of Concern</w:t>
      </w:r>
    </w:p>
    <w:p w:rsidR="002C5025" w:rsidRDefault="002C5025">
      <w:pPr>
        <w:pStyle w:val="BodyText"/>
        <w:kinsoku w:val="0"/>
        <w:overflowPunct w:val="0"/>
        <w:spacing w:before="5"/>
        <w:rPr>
          <w:rFonts w:ascii="Times New Roman" w:hAnsi="Times New Roman" w:cs="Times New Roman"/>
          <w:b/>
          <w:bCs/>
          <w:sz w:val="14"/>
          <w:szCs w:val="14"/>
        </w:rPr>
      </w:pPr>
    </w:p>
    <w:p w:rsidR="002C5025" w:rsidRDefault="002C5025">
      <w:pPr>
        <w:pStyle w:val="BodyText"/>
        <w:kinsoku w:val="0"/>
        <w:overflowPunct w:val="0"/>
        <w:spacing w:before="69"/>
        <w:ind w:left="140" w:right="282"/>
        <w:rPr>
          <w:rFonts w:ascii="Times New Roman" w:hAnsi="Times New Roman" w:cs="Times New Roman"/>
          <w:sz w:val="24"/>
          <w:szCs w:val="24"/>
        </w:rPr>
      </w:pPr>
      <w:r>
        <w:rPr>
          <w:rFonts w:ascii="Times New Roman" w:hAnsi="Times New Roman" w:cs="Times New Roman"/>
          <w:sz w:val="24"/>
          <w:szCs w:val="24"/>
        </w:rPr>
        <w:t>There are provisions of the state’s 1115 DSRIP application that require clarification and improvement in order to protect MassHealth members from harm, particularly people with complex conditions, to ensure success for the ACO initiative. Such provisions that are cause for concern include the following:</w:t>
      </w:r>
    </w:p>
    <w:p w:rsidR="002C5025" w:rsidRDefault="002C5025">
      <w:pPr>
        <w:pStyle w:val="BodyText"/>
        <w:kinsoku w:val="0"/>
        <w:overflowPunct w:val="0"/>
        <w:rPr>
          <w:rFonts w:ascii="Times New Roman" w:hAnsi="Times New Roman" w:cs="Times New Roman"/>
          <w:sz w:val="21"/>
          <w:szCs w:val="21"/>
        </w:rPr>
      </w:pPr>
    </w:p>
    <w:p w:rsidR="002C5025" w:rsidRDefault="002C5025">
      <w:pPr>
        <w:pStyle w:val="ListParagraph"/>
        <w:numPr>
          <w:ilvl w:val="1"/>
          <w:numId w:val="66"/>
        </w:numPr>
        <w:tabs>
          <w:tab w:val="left" w:pos="860"/>
        </w:tabs>
        <w:kinsoku w:val="0"/>
        <w:overflowPunct w:val="0"/>
        <w:spacing w:line="256" w:lineRule="auto"/>
        <w:ind w:right="363"/>
        <w:rPr>
          <w:rFonts w:ascii="Calibri" w:hAnsi="Calibri" w:cs="Calibri"/>
          <w:position w:val="10"/>
          <w:sz w:val="14"/>
          <w:szCs w:val="14"/>
        </w:rPr>
      </w:pPr>
      <w:r>
        <w:rPr>
          <w:b/>
          <w:bCs/>
        </w:rPr>
        <w:t xml:space="preserve">12-month member lock-in of members into ACOs </w:t>
      </w:r>
      <w:r>
        <w:t>– The lock-in policy is contrary</w:t>
      </w:r>
      <w:r>
        <w:rPr>
          <w:spacing w:val="-28"/>
        </w:rPr>
        <w:t xml:space="preserve"> </w:t>
      </w:r>
      <w:r>
        <w:t>to evidence that supports alternative methods to reduce churn. Current research indicates that extending Medicaid enrollment is the most promising way to reduce the cycle of Medicaid members on and off the</w:t>
      </w:r>
      <w:r>
        <w:rPr>
          <w:spacing w:val="3"/>
        </w:rPr>
        <w:t xml:space="preserve"> </w:t>
      </w:r>
      <w:r>
        <w:t>program.</w:t>
      </w:r>
      <w:hyperlink w:anchor="bookmark21" w:history="1">
        <w:r>
          <w:rPr>
            <w:rFonts w:ascii="Calibri" w:hAnsi="Calibri" w:cs="Calibri"/>
            <w:position w:val="10"/>
            <w:sz w:val="14"/>
            <w:szCs w:val="14"/>
          </w:rPr>
          <w:t>1</w:t>
        </w:r>
      </w:hyperlink>
    </w:p>
    <w:p w:rsidR="002C5025" w:rsidRDefault="002C5025">
      <w:pPr>
        <w:pStyle w:val="BodyText"/>
        <w:kinsoku w:val="0"/>
        <w:overflowPunct w:val="0"/>
        <w:spacing w:before="3"/>
        <w:rPr>
          <w:sz w:val="25"/>
          <w:szCs w:val="25"/>
        </w:rPr>
      </w:pPr>
    </w:p>
    <w:p w:rsidR="002C5025" w:rsidRDefault="002C5025">
      <w:pPr>
        <w:pStyle w:val="ListParagraph"/>
        <w:numPr>
          <w:ilvl w:val="1"/>
          <w:numId w:val="66"/>
        </w:numPr>
        <w:tabs>
          <w:tab w:val="left" w:pos="860"/>
        </w:tabs>
        <w:kinsoku w:val="0"/>
        <w:overflowPunct w:val="0"/>
        <w:spacing w:line="237" w:lineRule="auto"/>
        <w:ind w:right="137"/>
        <w:jc w:val="both"/>
        <w:rPr>
          <w:rFonts w:ascii="Calibri" w:hAnsi="Calibri" w:cs="Calibri"/>
          <w:position w:val="10"/>
          <w:sz w:val="14"/>
          <w:szCs w:val="14"/>
        </w:rPr>
      </w:pPr>
      <w:r>
        <w:rPr>
          <w:b/>
          <w:bCs/>
        </w:rPr>
        <w:t xml:space="preserve">Cost-sharing </w:t>
      </w:r>
      <w:r>
        <w:t xml:space="preserve">– </w:t>
      </w:r>
      <w:r>
        <w:rPr>
          <w:spacing w:val="-3"/>
        </w:rPr>
        <w:t xml:space="preserve">It </w:t>
      </w:r>
      <w:r>
        <w:t>is expensive to be poor.</w:t>
      </w:r>
      <w:hyperlink w:anchor="bookmark22" w:history="1">
        <w:r>
          <w:rPr>
            <w:rFonts w:ascii="Calibri" w:hAnsi="Calibri" w:cs="Calibri"/>
            <w:position w:val="10"/>
            <w:sz w:val="14"/>
            <w:szCs w:val="14"/>
          </w:rPr>
          <w:t>2</w:t>
        </w:r>
      </w:hyperlink>
      <w:r>
        <w:rPr>
          <w:rFonts w:ascii="Calibri" w:hAnsi="Calibri" w:cs="Calibri"/>
          <w:position w:val="10"/>
          <w:sz w:val="14"/>
          <w:szCs w:val="14"/>
        </w:rPr>
        <w:t xml:space="preserve"> </w:t>
      </w:r>
      <w:r>
        <w:t>The punitive copayment system is antithetical to good public health practice that places increased burden on an already strained population that is confronted by rising housing</w:t>
      </w:r>
      <w:hyperlink w:anchor="bookmark23" w:history="1">
        <w:r>
          <w:rPr>
            <w:rFonts w:ascii="Calibri" w:hAnsi="Calibri" w:cs="Calibri"/>
            <w:position w:val="10"/>
            <w:sz w:val="14"/>
            <w:szCs w:val="14"/>
          </w:rPr>
          <w:t>3</w:t>
        </w:r>
      </w:hyperlink>
      <w:r>
        <w:rPr>
          <w:rFonts w:ascii="Calibri" w:hAnsi="Calibri" w:cs="Calibri"/>
          <w:position w:val="10"/>
          <w:sz w:val="14"/>
          <w:szCs w:val="14"/>
        </w:rPr>
        <w:t xml:space="preserve"> </w:t>
      </w:r>
      <w:r>
        <w:t>and food costs.</w:t>
      </w:r>
      <w:hyperlink w:anchor="bookmark24" w:history="1">
        <w:r>
          <w:rPr>
            <w:rFonts w:ascii="Calibri" w:hAnsi="Calibri" w:cs="Calibri"/>
            <w:position w:val="10"/>
            <w:sz w:val="14"/>
            <w:szCs w:val="14"/>
          </w:rPr>
          <w:t>4</w:t>
        </w:r>
      </w:hyperlink>
      <w:r>
        <w:rPr>
          <w:rFonts w:ascii="Calibri" w:hAnsi="Calibri" w:cs="Calibri"/>
          <w:position w:val="10"/>
          <w:sz w:val="14"/>
          <w:szCs w:val="14"/>
        </w:rPr>
        <w:t xml:space="preserve"> </w:t>
      </w:r>
      <w:r>
        <w:t>Use of co-pays results in members delaying, foregoing, or rationing care – leading to more acute, costly problems down  the  line  and  worse  outcomes.</w:t>
      </w:r>
      <w:hyperlink w:anchor="bookmark25" w:history="1">
        <w:r>
          <w:rPr>
            <w:rFonts w:ascii="Calibri" w:hAnsi="Calibri" w:cs="Calibri"/>
            <w:position w:val="10"/>
            <w:sz w:val="14"/>
            <w:szCs w:val="14"/>
          </w:rPr>
          <w:t>5</w:t>
        </w:r>
      </w:hyperlink>
      <w:r>
        <w:rPr>
          <w:rFonts w:ascii="Calibri" w:hAnsi="Calibri" w:cs="Calibri"/>
          <w:position w:val="10"/>
          <w:sz w:val="14"/>
          <w:szCs w:val="14"/>
        </w:rPr>
        <w:t xml:space="preserve">    </w:t>
      </w:r>
      <w:r>
        <w:t xml:space="preserve">This  trend  is  also  true  for  the  middle  </w:t>
      </w:r>
      <w:r>
        <w:rPr>
          <w:spacing w:val="41"/>
        </w:rPr>
        <w:t xml:space="preserve"> </w:t>
      </w:r>
      <w:r>
        <w:t>class.</w:t>
      </w:r>
      <w:hyperlink w:anchor="bookmark26" w:history="1">
        <w:r>
          <w:rPr>
            <w:rFonts w:ascii="Calibri" w:hAnsi="Calibri" w:cs="Calibri"/>
            <w:position w:val="10"/>
            <w:sz w:val="14"/>
            <w:szCs w:val="14"/>
          </w:rPr>
          <w:t>6</w:t>
        </w:r>
      </w:hyperlink>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FB027C">
      <w:pPr>
        <w:pStyle w:val="BodyText"/>
        <w:kinsoku w:val="0"/>
        <w:overflowPunct w:val="0"/>
        <w:rPr>
          <w:sz w:val="11"/>
          <w:szCs w:val="11"/>
        </w:rPr>
      </w:pPr>
      <w:r>
        <w:rPr>
          <w:noProof/>
        </w:rPr>
        <mc:AlternateContent>
          <mc:Choice Requires="wps">
            <w:drawing>
              <wp:anchor distT="0" distB="0" distL="0" distR="0" simplePos="0" relativeHeight="251577856" behindDoc="0" locked="0" layoutInCell="0" allowOverlap="1">
                <wp:simplePos x="0" y="0"/>
                <wp:positionH relativeFrom="page">
                  <wp:posOffset>914400</wp:posOffset>
                </wp:positionH>
                <wp:positionV relativeFrom="paragraph">
                  <wp:posOffset>114300</wp:posOffset>
                </wp:positionV>
                <wp:extent cx="1828800" cy="12700"/>
                <wp:effectExtent l="0" t="0" r="0" b="0"/>
                <wp:wrapTopAndBottom/>
                <wp:docPr id="728" name="Freeform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w 2880"/>
                            <a:gd name="T1" fmla="*/ 0 h 20"/>
                            <a:gd name="T2" fmla="*/ 2880 w 2880"/>
                            <a:gd name="T3" fmla="*/ 0 h 20"/>
                          </a:gdLst>
                          <a:ahLst/>
                          <a:cxnLst>
                            <a:cxn ang="0">
                              <a:pos x="T0" y="T1"/>
                            </a:cxn>
                            <a:cxn ang="0">
                              <a:pos x="T2" y="T3"/>
                            </a:cxn>
                          </a:cxnLst>
                          <a:rect l="0" t="0" r="r" b="b"/>
                          <a:pathLst>
                            <a:path w="2880" h="20">
                              <a:moveTo>
                                <a:pt x="0" y="0"/>
                              </a:moveTo>
                              <a:lnTo>
                                <a:pt x="288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97" o:spid="_x0000_s1026" style="position:absolute;z-index:251577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9pt,3in,9pt" coordsize="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" o:allowincell="f" filled="f" strokeweight=".25397mm">
                <v:path arrowok="t" o:connecttype="custom" o:connectlocs="0,0;1828800,0" o:connectangles="0,0"/>
                <w10:wrap type="topAndBottom" anchorx="page"/>
              </v:polyline>
            </w:pict>
          </mc:Fallback>
        </mc:AlternateContent>
      </w:r>
    </w:p>
    <w:p w:rsidR="002C5025" w:rsidRDefault="002C5025">
      <w:pPr>
        <w:pStyle w:val="BodyText"/>
        <w:kinsoku w:val="0"/>
        <w:overflowPunct w:val="0"/>
        <w:spacing w:before="37"/>
        <w:ind w:left="140" w:right="803"/>
        <w:rPr>
          <w:sz w:val="20"/>
          <w:szCs w:val="20"/>
        </w:rPr>
      </w:pPr>
      <w:bookmarkStart w:id="106" w:name="bookmark21"/>
      <w:bookmarkEnd w:id="106"/>
      <w:r>
        <w:rPr>
          <w:position w:val="10"/>
          <w:sz w:val="13"/>
          <w:szCs w:val="13"/>
        </w:rPr>
        <w:t xml:space="preserve">1 </w:t>
      </w:r>
      <w:hyperlink r:id="rId238" w:history="1">
        <w:r>
          <w:rPr>
            <w:sz w:val="20"/>
            <w:szCs w:val="20"/>
            <w:u w:val="single" w:color="000000"/>
          </w:rPr>
          <w:t>http://www.commonwealthfund.org/publications/in-the-literature/2015/jul/reducing-medicaid-churning</w:t>
        </w:r>
      </w:hyperlink>
      <w:r>
        <w:rPr>
          <w:sz w:val="20"/>
          <w:szCs w:val="20"/>
          <w:u w:val="single" w:color="000000"/>
        </w:rPr>
        <w:t xml:space="preserve"> </w:t>
      </w:r>
      <w:hyperlink r:id="rId239" w:history="1">
        <w:r>
          <w:rPr>
            <w:sz w:val="20"/>
            <w:szCs w:val="20"/>
            <w:u w:val="single" w:color="000000"/>
          </w:rPr>
          <w:t>http://www.ncbi.nlm.nih.gov/pmc/articles/PMC4664196/</w:t>
        </w:r>
      </w:hyperlink>
    </w:p>
    <w:p w:rsidR="002C5025" w:rsidRDefault="002C5025">
      <w:pPr>
        <w:pStyle w:val="BodyText"/>
        <w:kinsoku w:val="0"/>
        <w:overflowPunct w:val="0"/>
        <w:spacing w:line="245" w:lineRule="exact"/>
        <w:ind w:left="140" w:right="254"/>
        <w:rPr>
          <w:w w:val="95"/>
          <w:sz w:val="20"/>
          <w:szCs w:val="20"/>
        </w:rPr>
      </w:pPr>
      <w:bookmarkStart w:id="107" w:name="bookmark22"/>
      <w:bookmarkEnd w:id="107"/>
      <w:r>
        <w:rPr>
          <w:w w:val="95"/>
          <w:position w:val="10"/>
          <w:sz w:val="13"/>
          <w:szCs w:val="13"/>
        </w:rPr>
        <w:t xml:space="preserve">2               </w:t>
      </w:r>
      <w:hyperlink r:id="rId240" w:history="1">
        <w:r>
          <w:rPr>
            <w:w w:val="95"/>
            <w:sz w:val="20"/>
            <w:szCs w:val="20"/>
          </w:rPr>
          <w:t>http://www.economist.com/news/united-states/21663262-why-low-income-americans-often-have-pay-more-</w:t>
        </w:r>
      </w:hyperlink>
    </w:p>
    <w:p w:rsidR="002C5025" w:rsidRDefault="002C5025">
      <w:pPr>
        <w:pStyle w:val="BodyText"/>
        <w:kinsoku w:val="0"/>
        <w:overflowPunct w:val="0"/>
        <w:spacing w:line="227" w:lineRule="exact"/>
        <w:ind w:left="139" w:right="254"/>
        <w:rPr>
          <w:sz w:val="20"/>
          <w:szCs w:val="20"/>
        </w:rPr>
      </w:pPr>
      <w:r>
        <w:rPr>
          <w:sz w:val="20"/>
          <w:szCs w:val="20"/>
        </w:rPr>
        <w:t>its-expensive-be-poor</w:t>
      </w:r>
    </w:p>
    <w:p w:rsidR="002C5025" w:rsidRDefault="002C5025">
      <w:pPr>
        <w:pStyle w:val="BodyText"/>
        <w:kinsoku w:val="0"/>
        <w:overflowPunct w:val="0"/>
        <w:spacing w:line="244" w:lineRule="exact"/>
        <w:ind w:left="140" w:right="254"/>
        <w:rPr>
          <w:w w:val="95"/>
          <w:sz w:val="20"/>
          <w:szCs w:val="20"/>
        </w:rPr>
      </w:pPr>
      <w:bookmarkStart w:id="108" w:name="bookmark23"/>
      <w:bookmarkEnd w:id="108"/>
      <w:r>
        <w:rPr>
          <w:w w:val="95"/>
          <w:position w:val="10"/>
          <w:sz w:val="13"/>
          <w:szCs w:val="13"/>
        </w:rPr>
        <w:t xml:space="preserve">3            </w:t>
      </w:r>
      <w:hyperlink r:id="rId241" w:history="1">
        <w:r>
          <w:rPr>
            <w:w w:val="95"/>
            <w:sz w:val="20"/>
            <w:szCs w:val="20"/>
          </w:rPr>
          <w:t>http://www.governing.com/topics/urban/gov-urban-affordable-housing-families.html</w:t>
        </w:r>
      </w:hyperlink>
    </w:p>
    <w:p w:rsidR="002C5025" w:rsidRDefault="002C5025">
      <w:pPr>
        <w:pStyle w:val="BodyText"/>
        <w:kinsoku w:val="0"/>
        <w:overflowPunct w:val="0"/>
        <w:spacing w:line="245" w:lineRule="exact"/>
        <w:ind w:left="140" w:right="254"/>
        <w:rPr>
          <w:w w:val="95"/>
          <w:sz w:val="20"/>
          <w:szCs w:val="20"/>
        </w:rPr>
      </w:pPr>
      <w:bookmarkStart w:id="109" w:name="bookmark24"/>
      <w:bookmarkEnd w:id="109"/>
      <w:r>
        <w:rPr>
          <w:w w:val="95"/>
          <w:position w:val="10"/>
          <w:sz w:val="13"/>
          <w:szCs w:val="13"/>
        </w:rPr>
        <w:t xml:space="preserve">4        </w:t>
      </w:r>
      <w:hyperlink r:id="rId242" w:history="1">
        <w:r>
          <w:rPr>
            <w:w w:val="95"/>
            <w:sz w:val="20"/>
            <w:szCs w:val="20"/>
          </w:rPr>
          <w:t>http://www.ers.usda.gov/media/921672/aer759.pdf</w:t>
        </w:r>
      </w:hyperlink>
    </w:p>
    <w:p w:rsidR="002C5025" w:rsidRDefault="002C5025">
      <w:pPr>
        <w:pStyle w:val="BodyText"/>
        <w:kinsoku w:val="0"/>
        <w:overflowPunct w:val="0"/>
        <w:spacing w:line="245" w:lineRule="exact"/>
        <w:ind w:left="140" w:right="254"/>
        <w:rPr>
          <w:w w:val="95"/>
          <w:sz w:val="20"/>
          <w:szCs w:val="20"/>
        </w:rPr>
      </w:pPr>
      <w:bookmarkStart w:id="110" w:name="bookmark25"/>
      <w:bookmarkEnd w:id="110"/>
      <w:r>
        <w:rPr>
          <w:w w:val="95"/>
          <w:position w:val="10"/>
          <w:sz w:val="13"/>
          <w:szCs w:val="13"/>
        </w:rPr>
        <w:t xml:space="preserve">5            </w:t>
      </w:r>
      <w:hyperlink r:id="rId243" w:history="1">
        <w:r>
          <w:rPr>
            <w:w w:val="95"/>
            <w:sz w:val="20"/>
            <w:szCs w:val="20"/>
          </w:rPr>
          <w:t>http://www.wsj.com/articles/more-cost-of-health-care-shifts-to-members-1417640559</w:t>
        </w:r>
      </w:hyperlink>
    </w:p>
    <w:p w:rsidR="002C5025" w:rsidRDefault="002C5025">
      <w:pPr>
        <w:pStyle w:val="BodyText"/>
        <w:kinsoku w:val="0"/>
        <w:overflowPunct w:val="0"/>
        <w:spacing w:before="14" w:line="242" w:lineRule="exact"/>
        <w:ind w:left="139" w:right="708"/>
        <w:rPr>
          <w:sz w:val="20"/>
          <w:szCs w:val="20"/>
        </w:rPr>
      </w:pPr>
      <w:bookmarkStart w:id="111" w:name="bookmark26"/>
      <w:bookmarkEnd w:id="111"/>
      <w:r>
        <w:rPr>
          <w:position w:val="10"/>
          <w:sz w:val="13"/>
          <w:szCs w:val="13"/>
        </w:rPr>
        <w:t xml:space="preserve">6 </w:t>
      </w:r>
      <w:hyperlink r:id="rId244" w:history="1">
        <w:r>
          <w:rPr>
            <w:sz w:val="20"/>
            <w:szCs w:val="20"/>
          </w:rPr>
          <w:t>http://www.usatoday.com/story/news/nation/2015/01/01/middle-class-workers-struggle-to-pay-for-care-</w:t>
        </w:r>
      </w:hyperlink>
      <w:r>
        <w:rPr>
          <w:sz w:val="20"/>
          <w:szCs w:val="20"/>
        </w:rPr>
        <w:t xml:space="preserve"> despite-insurance/19841235/</w:t>
      </w:r>
    </w:p>
    <w:p w:rsidR="002C5025" w:rsidRDefault="00FB027C">
      <w:pPr>
        <w:pStyle w:val="BodyText"/>
        <w:kinsoku w:val="0"/>
        <w:overflowPunct w:val="0"/>
        <w:spacing w:before="11"/>
        <w:rPr>
          <w:sz w:val="9"/>
          <w:szCs w:val="9"/>
        </w:rPr>
      </w:pPr>
      <w:r>
        <w:rPr>
          <w:noProof/>
        </w:rPr>
        <mc:AlternateContent>
          <mc:Choice Requires="wps">
            <w:drawing>
              <wp:anchor distT="0" distB="0" distL="0" distR="0" simplePos="0" relativeHeight="251578880" behindDoc="0" locked="0" layoutInCell="0" allowOverlap="1">
                <wp:simplePos x="0" y="0"/>
                <wp:positionH relativeFrom="page">
                  <wp:posOffset>895985</wp:posOffset>
                </wp:positionH>
                <wp:positionV relativeFrom="paragraph">
                  <wp:posOffset>104775</wp:posOffset>
                </wp:positionV>
                <wp:extent cx="5980430" cy="12700"/>
                <wp:effectExtent l="0" t="0" r="0" b="0"/>
                <wp:wrapTopAndBottom/>
                <wp:docPr id="727" name="Freeform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0430" cy="12700"/>
                        </a:xfrm>
                        <a:custGeom>
                          <a:avLst/>
                          <a:gdLst>
                            <a:gd name="T0" fmla="*/ 0 w 9418"/>
                            <a:gd name="T1" fmla="*/ 0 h 20"/>
                            <a:gd name="T2" fmla="*/ 9417 w 9418"/>
                            <a:gd name="T3" fmla="*/ 0 h 20"/>
                          </a:gdLst>
                          <a:ahLst/>
                          <a:cxnLst>
                            <a:cxn ang="0">
                              <a:pos x="T0" y="T1"/>
                            </a:cxn>
                            <a:cxn ang="0">
                              <a:pos x="T2" y="T3"/>
                            </a:cxn>
                          </a:cxnLst>
                          <a:rect l="0" t="0" r="r" b="b"/>
                          <a:pathLst>
                            <a:path w="9418" h="20">
                              <a:moveTo>
                                <a:pt x="0" y="0"/>
                              </a:moveTo>
                              <a:lnTo>
                                <a:pt x="9417" y="0"/>
                              </a:lnTo>
                            </a:path>
                          </a:pathLst>
                        </a:custGeom>
                        <a:noFill/>
                        <a:ln w="6108">
                          <a:solidFill>
                            <a:srgbClr val="DADAD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98" o:spid="_x0000_s1026" style="position:absolute;z-index:251578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0.55pt,8.25pt,541.4pt,8.25pt" coordsize="94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" o:allowincell="f" filled="f" strokecolor="#dadada" strokeweight=".16967mm">
                <v:path arrowok="t" o:connecttype="custom" o:connectlocs="0,0;5979795,0" o:connectangles="0,0"/>
                <w10:wrap type="topAndBottom" anchorx="page"/>
              </v:polyline>
            </w:pict>
          </mc:Fallback>
        </mc:AlternateContent>
      </w:r>
    </w:p>
    <w:p w:rsidR="002C5025" w:rsidRDefault="002C5025">
      <w:pPr>
        <w:pStyle w:val="ListParagraph"/>
        <w:numPr>
          <w:ilvl w:val="0"/>
          <w:numId w:val="66"/>
        </w:numPr>
        <w:tabs>
          <w:tab w:val="left" w:pos="304"/>
        </w:tabs>
        <w:kinsoku w:val="0"/>
        <w:overflowPunct w:val="0"/>
        <w:spacing w:line="258" w:lineRule="exact"/>
        <w:ind w:hanging="163"/>
        <w:rPr>
          <w:rFonts w:ascii="Calibri" w:hAnsi="Calibri" w:cs="Calibri"/>
          <w:color w:val="808080"/>
          <w:spacing w:val="9"/>
          <w:sz w:val="22"/>
          <w:szCs w:val="22"/>
        </w:rPr>
      </w:pPr>
      <w:r>
        <w:rPr>
          <w:rFonts w:ascii="Calibri" w:hAnsi="Calibri" w:cs="Calibri"/>
          <w:b/>
          <w:bCs/>
          <w:sz w:val="22"/>
          <w:szCs w:val="22"/>
        </w:rPr>
        <w:t xml:space="preserve">| </w:t>
      </w:r>
      <w:r>
        <w:rPr>
          <w:rFonts w:ascii="Calibri" w:hAnsi="Calibri" w:cs="Calibri"/>
          <w:color w:val="808080"/>
          <w:sz w:val="22"/>
          <w:szCs w:val="22"/>
        </w:rPr>
        <w:t xml:space="preserve">P a </w:t>
      </w:r>
      <w:r>
        <w:rPr>
          <w:rFonts w:ascii="Calibri" w:hAnsi="Calibri" w:cs="Calibri"/>
          <w:color w:val="808080"/>
          <w:spacing w:val="9"/>
          <w:sz w:val="22"/>
          <w:szCs w:val="22"/>
        </w:rPr>
        <w:t>g</w:t>
      </w:r>
      <w:r>
        <w:rPr>
          <w:rFonts w:ascii="Calibri" w:hAnsi="Calibri" w:cs="Calibri"/>
          <w:color w:val="808080"/>
          <w:spacing w:val="21"/>
          <w:sz w:val="22"/>
          <w:szCs w:val="22"/>
        </w:rPr>
        <w:t xml:space="preserve"> </w:t>
      </w:r>
      <w:r>
        <w:rPr>
          <w:rFonts w:ascii="Calibri" w:hAnsi="Calibri" w:cs="Calibri"/>
          <w:color w:val="808080"/>
          <w:sz w:val="22"/>
          <w:szCs w:val="22"/>
        </w:rPr>
        <w:t>e</w:t>
      </w:r>
      <w:r>
        <w:rPr>
          <w:rFonts w:ascii="Calibri" w:hAnsi="Calibri" w:cs="Calibri"/>
          <w:color w:val="808080"/>
          <w:spacing w:val="9"/>
          <w:sz w:val="22"/>
          <w:szCs w:val="22"/>
        </w:rPr>
        <w:t xml:space="preserve"> </w:t>
      </w:r>
    </w:p>
    <w:p w:rsidR="002C5025" w:rsidRDefault="002C5025">
      <w:pPr>
        <w:pStyle w:val="ListParagraph"/>
        <w:numPr>
          <w:ilvl w:val="0"/>
          <w:numId w:val="66"/>
        </w:numPr>
        <w:tabs>
          <w:tab w:val="left" w:pos="304"/>
        </w:tabs>
        <w:kinsoku w:val="0"/>
        <w:overflowPunct w:val="0"/>
        <w:spacing w:line="258" w:lineRule="exact"/>
        <w:ind w:hanging="163"/>
        <w:rPr>
          <w:rFonts w:ascii="Calibri" w:hAnsi="Calibri" w:cs="Calibri"/>
          <w:color w:val="808080"/>
          <w:spacing w:val="9"/>
          <w:sz w:val="22"/>
          <w:szCs w:val="22"/>
        </w:rPr>
        <w:sectPr w:rsidR="002C5025">
          <w:pgSz w:w="12240" w:h="15840"/>
          <w:pgMar w:top="1380" w:right="1300" w:bottom="280" w:left="1300" w:header="720" w:footer="720" w:gutter="0"/>
          <w:cols w:space="720"/>
          <w:noEndnote/>
        </w:sectPr>
      </w:pPr>
    </w:p>
    <w:p w:rsidR="002C5025" w:rsidRDefault="002C5025">
      <w:pPr>
        <w:pStyle w:val="BodyText"/>
        <w:numPr>
          <w:ilvl w:val="1"/>
          <w:numId w:val="66"/>
        </w:numPr>
        <w:tabs>
          <w:tab w:val="left" w:pos="860"/>
        </w:tabs>
        <w:kinsoku w:val="0"/>
        <w:overflowPunct w:val="0"/>
        <w:spacing w:before="34"/>
        <w:ind w:right="137"/>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Fee for Service (FFS) penalty </w:t>
      </w:r>
      <w:r>
        <w:rPr>
          <w:rFonts w:ascii="Times New Roman" w:hAnsi="Times New Roman" w:cs="Times New Roman"/>
          <w:sz w:val="24"/>
          <w:szCs w:val="24"/>
        </w:rPr>
        <w:t>– Reduction in services to MassHealth beneficiaries  under FFS will potentially harm many members, particularly people with disabilities; these are the same individuals who will “opt out” of joining an ACO for fear of losing a relationship with a Primary Care Provider (PCP). High percentages of members eligible to enroll in One Care opted out of the program, despite the promise of enhanced services, in order to maintain relationships with their PCPs and a fear of reduced LTSS (a fear legitimized by NCD findings).</w:t>
      </w:r>
      <w:hyperlink w:anchor="bookmark27" w:history="1">
        <w:r>
          <w:rPr>
            <w:position w:val="10"/>
            <w:sz w:val="14"/>
            <w:szCs w:val="14"/>
          </w:rPr>
          <w:t>7</w:t>
        </w:r>
      </w:hyperlink>
      <w:r>
        <w:rPr>
          <w:position w:val="10"/>
          <w:sz w:val="14"/>
          <w:szCs w:val="14"/>
        </w:rPr>
        <w:t xml:space="preserve"> </w:t>
      </w:r>
      <w:r>
        <w:rPr>
          <w:rFonts w:ascii="Times New Roman" w:hAnsi="Times New Roman" w:cs="Times New Roman"/>
          <w:sz w:val="24"/>
          <w:szCs w:val="24"/>
        </w:rPr>
        <w:t>Members should not have to choose between seeing their preferred providers and securing coverage for eyeglasses, hearing aids, orthotics, and chiropractic care, as well as full coverage for prescription</w:t>
      </w:r>
      <w:r>
        <w:rPr>
          <w:rFonts w:ascii="Times New Roman" w:hAnsi="Times New Roman" w:cs="Times New Roman"/>
          <w:spacing w:val="-20"/>
          <w:sz w:val="24"/>
          <w:szCs w:val="24"/>
        </w:rPr>
        <w:t xml:space="preserve"> </w:t>
      </w:r>
      <w:r>
        <w:rPr>
          <w:rFonts w:ascii="Times New Roman" w:hAnsi="Times New Roman" w:cs="Times New Roman"/>
          <w:sz w:val="24"/>
          <w:szCs w:val="24"/>
        </w:rPr>
        <w:t>drugs.</w:t>
      </w:r>
    </w:p>
    <w:p w:rsidR="002C5025" w:rsidRDefault="002C5025">
      <w:pPr>
        <w:pStyle w:val="BodyText"/>
        <w:kinsoku w:val="0"/>
        <w:overflowPunct w:val="0"/>
        <w:spacing w:before="2"/>
        <w:rPr>
          <w:rFonts w:ascii="Times New Roman" w:hAnsi="Times New Roman" w:cs="Times New Roman"/>
          <w:sz w:val="24"/>
          <w:szCs w:val="24"/>
        </w:rPr>
      </w:pPr>
    </w:p>
    <w:p w:rsidR="002C5025" w:rsidRDefault="002C5025">
      <w:pPr>
        <w:pStyle w:val="ListParagraph"/>
        <w:numPr>
          <w:ilvl w:val="1"/>
          <w:numId w:val="66"/>
        </w:numPr>
        <w:tabs>
          <w:tab w:val="left" w:pos="860"/>
        </w:tabs>
        <w:kinsoku w:val="0"/>
        <w:overflowPunct w:val="0"/>
        <w:ind w:right="135"/>
        <w:jc w:val="both"/>
      </w:pPr>
      <w:r>
        <w:rPr>
          <w:b/>
          <w:bCs/>
        </w:rPr>
        <w:t xml:space="preserve">Conflict-free case management not established </w:t>
      </w:r>
      <w:r>
        <w:t>– ACOs that operate direct LTSS services should not be permitted to perform functional assessments in determination of LTSS. The magnitude of the task of protecting against conflict of interest within ACOs is daunting and has the potential to continue to silo populations into specific delivery systems by diagnosis or category (i.e. behavioral health or developmentally disabled). There needs to be definitive establishment of conflict-free case</w:t>
      </w:r>
      <w:r>
        <w:rPr>
          <w:spacing w:val="-16"/>
        </w:rPr>
        <w:t xml:space="preserve"> </w:t>
      </w:r>
      <w:r>
        <w:t>management.</w:t>
      </w:r>
    </w:p>
    <w:p w:rsidR="002C5025" w:rsidRDefault="002C5025">
      <w:pPr>
        <w:pStyle w:val="BodyText"/>
        <w:kinsoku w:val="0"/>
        <w:overflowPunct w:val="0"/>
        <w:spacing w:before="2"/>
        <w:rPr>
          <w:rFonts w:ascii="Times New Roman" w:hAnsi="Times New Roman" w:cs="Times New Roman"/>
          <w:sz w:val="24"/>
          <w:szCs w:val="24"/>
        </w:rPr>
      </w:pPr>
    </w:p>
    <w:p w:rsidR="002C5025" w:rsidRDefault="002C5025">
      <w:pPr>
        <w:pStyle w:val="ListParagraph"/>
        <w:numPr>
          <w:ilvl w:val="1"/>
          <w:numId w:val="66"/>
        </w:numPr>
        <w:tabs>
          <w:tab w:val="left" w:pos="860"/>
        </w:tabs>
        <w:kinsoku w:val="0"/>
        <w:overflowPunct w:val="0"/>
        <w:ind w:right="134"/>
        <w:jc w:val="both"/>
      </w:pPr>
      <w:r>
        <w:rPr>
          <w:b/>
          <w:bCs/>
        </w:rPr>
        <w:t xml:space="preserve">Reductions in consumer choice and consumer control </w:t>
      </w:r>
      <w:r>
        <w:t>– DAAHR opposes any policies that impinge on consumer choice or consumer control of LTSS. This includes the implementation of Electronic Visit Verification (EVV), ACO contract requirements to “maintain or increase the level of recoveries from LTSS providers,” or other policies that reduce the ability of care teams to create comprehensive care plans that meet the goals of ACO</w:t>
      </w:r>
      <w:r>
        <w:rPr>
          <w:spacing w:val="-6"/>
        </w:rPr>
        <w:t xml:space="preserve"> </w:t>
      </w:r>
      <w:r>
        <w:t>members.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spacing w:before="3"/>
        <w:rPr>
          <w:rFonts w:ascii="Times New Roman" w:hAnsi="Times New Roman" w:cs="Times New Roman"/>
          <w:sz w:val="21"/>
          <w:szCs w:val="21"/>
        </w:rPr>
      </w:pPr>
    </w:p>
    <w:p w:rsidR="002C5025" w:rsidRDefault="002C5025">
      <w:pPr>
        <w:pStyle w:val="BodyText"/>
        <w:kinsoku w:val="0"/>
        <w:overflowPunct w:val="0"/>
        <w:ind w:left="140" w:right="254"/>
        <w:rPr>
          <w:rFonts w:ascii="Times New Roman" w:hAnsi="Times New Roman" w:cs="Times New Roman"/>
          <w:b/>
          <w:bCs/>
          <w:sz w:val="24"/>
          <w:szCs w:val="24"/>
        </w:rPr>
      </w:pPr>
      <w:r>
        <w:rPr>
          <w:rFonts w:ascii="Times New Roman" w:hAnsi="Times New Roman" w:cs="Times New Roman"/>
          <w:b/>
          <w:bCs/>
          <w:sz w:val="24"/>
          <w:szCs w:val="24"/>
          <w:u w:val="thick" w:color="000000"/>
        </w:rPr>
        <w:t>General Recommendations for the MassHealth 1115 Waiver Application</w:t>
      </w:r>
    </w:p>
    <w:p w:rsidR="002C5025" w:rsidRDefault="002C5025">
      <w:pPr>
        <w:pStyle w:val="BodyText"/>
        <w:kinsoku w:val="0"/>
        <w:overflowPunct w:val="0"/>
        <w:spacing w:before="5"/>
        <w:rPr>
          <w:rFonts w:ascii="Times New Roman" w:hAnsi="Times New Roman" w:cs="Times New Roman"/>
          <w:b/>
          <w:bCs/>
          <w:sz w:val="14"/>
          <w:szCs w:val="14"/>
        </w:rPr>
      </w:pPr>
    </w:p>
    <w:p w:rsidR="002C5025" w:rsidRDefault="002C5025">
      <w:pPr>
        <w:pStyle w:val="BodyText"/>
        <w:kinsoku w:val="0"/>
        <w:overflowPunct w:val="0"/>
        <w:spacing w:before="69"/>
        <w:ind w:left="140" w:right="254"/>
        <w:rPr>
          <w:rFonts w:ascii="Times New Roman" w:hAnsi="Times New Roman" w:cs="Times New Roman"/>
          <w:sz w:val="24"/>
          <w:szCs w:val="24"/>
        </w:rPr>
      </w:pPr>
      <w:r>
        <w:rPr>
          <w:rFonts w:ascii="Times New Roman" w:hAnsi="Times New Roman" w:cs="Times New Roman"/>
          <w:sz w:val="24"/>
          <w:szCs w:val="24"/>
        </w:rPr>
        <w:t>Following are general recommendations for the waiver application.</w:t>
      </w:r>
    </w:p>
    <w:p w:rsidR="002C5025" w:rsidRDefault="002C5025">
      <w:pPr>
        <w:pStyle w:val="BodyText"/>
        <w:kinsoku w:val="0"/>
        <w:overflowPunct w:val="0"/>
        <w:spacing w:before="5"/>
        <w:rPr>
          <w:rFonts w:ascii="Times New Roman" w:hAnsi="Times New Roman" w:cs="Times New Roman"/>
          <w:sz w:val="21"/>
          <w:szCs w:val="21"/>
        </w:rPr>
      </w:pPr>
    </w:p>
    <w:p w:rsidR="002C5025" w:rsidRDefault="002C5025">
      <w:pPr>
        <w:pStyle w:val="ListParagraph"/>
        <w:numPr>
          <w:ilvl w:val="0"/>
          <w:numId w:val="65"/>
        </w:numPr>
        <w:tabs>
          <w:tab w:val="left" w:pos="500"/>
        </w:tabs>
        <w:kinsoku w:val="0"/>
        <w:overflowPunct w:val="0"/>
        <w:spacing w:line="290" w:lineRule="exact"/>
        <w:rPr>
          <w:b/>
          <w:bCs/>
        </w:rPr>
      </w:pPr>
      <w:r>
        <w:rPr>
          <w:b/>
          <w:bCs/>
        </w:rPr>
        <w:t>Healthy People</w:t>
      </w:r>
      <w:r>
        <w:rPr>
          <w:b/>
          <w:bCs/>
          <w:spacing w:val="-9"/>
        </w:rPr>
        <w:t xml:space="preserve"> </w:t>
      </w:r>
      <w:r>
        <w:rPr>
          <w:b/>
          <w:bCs/>
        </w:rPr>
        <w:t>Massachusetts</w:t>
      </w:r>
    </w:p>
    <w:p w:rsidR="002C5025" w:rsidRDefault="002C5025">
      <w:pPr>
        <w:pStyle w:val="ListParagraph"/>
        <w:numPr>
          <w:ilvl w:val="1"/>
          <w:numId w:val="65"/>
        </w:numPr>
        <w:tabs>
          <w:tab w:val="left" w:pos="860"/>
        </w:tabs>
        <w:kinsoku w:val="0"/>
        <w:overflowPunct w:val="0"/>
        <w:spacing w:before="7" w:line="228" w:lineRule="auto"/>
        <w:ind w:right="133"/>
        <w:jc w:val="both"/>
      </w:pPr>
      <w:r>
        <w:t xml:space="preserve">Use the DSRIP funding to improve the overall health of MassHealth members enrolled in ACOs. ACOs should be required to support the state in meeting the goals included in the Public Health Prevention and Wellness Trust Fund, part of Chapter </w:t>
      </w:r>
      <w:r>
        <w:rPr>
          <w:spacing w:val="2"/>
        </w:rPr>
        <w:t>224</w:t>
      </w:r>
      <w:hyperlink w:anchor="bookmark28" w:history="1">
        <w:r>
          <w:rPr>
            <w:spacing w:val="2"/>
            <w:position w:val="11"/>
            <w:sz w:val="16"/>
            <w:szCs w:val="16"/>
          </w:rPr>
          <w:t>8</w:t>
        </w:r>
      </w:hyperlink>
      <w:r>
        <w:rPr>
          <w:spacing w:val="2"/>
        </w:rPr>
        <w:t xml:space="preserve">, </w:t>
      </w:r>
      <w:r>
        <w:t>augmented by population-specific goals for people with behavioral health needs and people with disabilities.</w:t>
      </w:r>
    </w:p>
    <w:p w:rsidR="002C5025" w:rsidRDefault="002C5025">
      <w:pPr>
        <w:pStyle w:val="ListParagraph"/>
        <w:numPr>
          <w:ilvl w:val="1"/>
          <w:numId w:val="65"/>
        </w:numPr>
        <w:tabs>
          <w:tab w:val="left" w:pos="860"/>
        </w:tabs>
        <w:kinsoku w:val="0"/>
        <w:overflowPunct w:val="0"/>
        <w:spacing w:before="6" w:line="276" w:lineRule="exact"/>
        <w:ind w:right="133"/>
        <w:jc w:val="both"/>
      </w:pPr>
      <w:r>
        <w:t>Work with the Office of Health Equity in the Massachusetts Department of Public Health to establish other potential quality metrics that are in keeping with DPH objectives and integrate oral health into primary care based on guidelines set out by oral health advocates. The lack of a glide path towards full integration of oral health into primary care will do nothing to improve the primary cause of increased health care costs and reduced quality of life.</w:t>
      </w:r>
      <w:hyperlink w:anchor="bookmark29" w:history="1">
        <w:r>
          <w:rPr>
            <w:position w:val="11"/>
            <w:sz w:val="16"/>
            <w:szCs w:val="16"/>
          </w:rPr>
          <w:t>9</w:t>
        </w:r>
      </w:hyperlink>
      <w:r>
        <w:rPr>
          <w:position w:val="11"/>
          <w:sz w:val="16"/>
          <w:szCs w:val="16"/>
        </w:rPr>
        <w:t xml:space="preserve"> </w:t>
      </w:r>
      <w:r>
        <w:t>Please see the Oral Health Integration Project’s comments on the waiver for useful</w:t>
      </w:r>
      <w:r>
        <w:rPr>
          <w:spacing w:val="-8"/>
        </w:rPr>
        <w:t xml:space="preserve"> </w:t>
      </w:r>
      <w:r>
        <w:t>improvements.</w:t>
      </w:r>
    </w:p>
    <w:p w:rsidR="002C5025" w:rsidRDefault="002C5025">
      <w:pPr>
        <w:pStyle w:val="BodyText"/>
        <w:kinsoku w:val="0"/>
        <w:overflowPunct w:val="0"/>
        <w:rPr>
          <w:rFonts w:ascii="Times New Roman" w:hAnsi="Times New Roman" w:cs="Times New Roman"/>
          <w:sz w:val="20"/>
          <w:szCs w:val="20"/>
        </w:rPr>
      </w:pPr>
    </w:p>
    <w:p w:rsidR="002C5025" w:rsidRDefault="00FB027C">
      <w:pPr>
        <w:pStyle w:val="BodyText"/>
        <w:kinsoku w:val="0"/>
        <w:overflowPunct w:val="0"/>
        <w:rPr>
          <w:rFonts w:ascii="Times New Roman" w:hAnsi="Times New Roman" w:cs="Times New Roman"/>
          <w:sz w:val="25"/>
          <w:szCs w:val="25"/>
        </w:rPr>
      </w:pPr>
      <w:r>
        <w:rPr>
          <w:noProof/>
        </w:rPr>
        <mc:AlternateContent>
          <mc:Choice Requires="wps">
            <w:drawing>
              <wp:anchor distT="0" distB="0" distL="0" distR="0" simplePos="0" relativeHeight="251579904" behindDoc="0" locked="0" layoutInCell="0" allowOverlap="1">
                <wp:simplePos x="0" y="0"/>
                <wp:positionH relativeFrom="page">
                  <wp:posOffset>914400</wp:posOffset>
                </wp:positionH>
                <wp:positionV relativeFrom="paragraph">
                  <wp:posOffset>212090</wp:posOffset>
                </wp:positionV>
                <wp:extent cx="1828800" cy="12700"/>
                <wp:effectExtent l="0" t="0" r="0" b="0"/>
                <wp:wrapTopAndBottom/>
                <wp:docPr id="726" name="Freeform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w 2880"/>
                            <a:gd name="T1" fmla="*/ 0 h 20"/>
                            <a:gd name="T2" fmla="*/ 2880 w 2880"/>
                            <a:gd name="T3" fmla="*/ 0 h 20"/>
                          </a:gdLst>
                          <a:ahLst/>
                          <a:cxnLst>
                            <a:cxn ang="0">
                              <a:pos x="T0" y="T1"/>
                            </a:cxn>
                            <a:cxn ang="0">
                              <a:pos x="T2" y="T3"/>
                            </a:cxn>
                          </a:cxnLst>
                          <a:rect l="0" t="0" r="r" b="b"/>
                          <a:pathLst>
                            <a:path w="2880" h="20">
                              <a:moveTo>
                                <a:pt x="0" y="0"/>
                              </a:moveTo>
                              <a:lnTo>
                                <a:pt x="288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99" o:spid="_x0000_s1026" style="position:absolute;z-index:251579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16.7pt,3in,16.7pt" coordsize="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" o:allowincell="f" filled="f" strokeweight=".25397mm">
                <v:path arrowok="t" o:connecttype="custom" o:connectlocs="0,0;1828800,0" o:connectangles="0,0"/>
                <w10:wrap type="topAndBottom" anchorx="page"/>
              </v:polyline>
            </w:pict>
          </mc:Fallback>
        </mc:AlternateContent>
      </w:r>
    </w:p>
    <w:p w:rsidR="002C5025" w:rsidRDefault="002C5025">
      <w:pPr>
        <w:pStyle w:val="BodyText"/>
        <w:kinsoku w:val="0"/>
        <w:overflowPunct w:val="0"/>
        <w:spacing w:before="39" w:line="261" w:lineRule="exact"/>
        <w:ind w:left="140" w:right="254"/>
        <w:rPr>
          <w:w w:val="95"/>
          <w:sz w:val="20"/>
          <w:szCs w:val="20"/>
        </w:rPr>
      </w:pPr>
      <w:bookmarkStart w:id="112" w:name="bookmark27"/>
      <w:bookmarkEnd w:id="112"/>
      <w:r>
        <w:rPr>
          <w:w w:val="95"/>
          <w:position w:val="10"/>
          <w:sz w:val="13"/>
          <w:szCs w:val="13"/>
        </w:rPr>
        <w:t xml:space="preserve">7             </w:t>
      </w:r>
      <w:r>
        <w:rPr>
          <w:w w:val="95"/>
          <w:sz w:val="20"/>
          <w:szCs w:val="20"/>
        </w:rPr>
        <w:t>https://</w:t>
      </w:r>
      <w:hyperlink r:id="rId245" w:history="1">
        <w:r>
          <w:rPr>
            <w:w w:val="95"/>
            <w:sz w:val="20"/>
            <w:szCs w:val="20"/>
          </w:rPr>
          <w:t>www.ncd.gov/publications/2016/medicaid-managed-care-community-forums-final-report</w:t>
        </w:r>
      </w:hyperlink>
    </w:p>
    <w:p w:rsidR="002C5025" w:rsidRDefault="002C5025">
      <w:pPr>
        <w:pStyle w:val="BodyText"/>
        <w:kinsoku w:val="0"/>
        <w:overflowPunct w:val="0"/>
        <w:spacing w:line="244" w:lineRule="exact"/>
        <w:ind w:left="140" w:right="254"/>
        <w:rPr>
          <w:w w:val="95"/>
          <w:sz w:val="20"/>
          <w:szCs w:val="20"/>
        </w:rPr>
      </w:pPr>
      <w:bookmarkStart w:id="113" w:name="bookmark28"/>
      <w:bookmarkEnd w:id="113"/>
      <w:r>
        <w:rPr>
          <w:w w:val="95"/>
          <w:position w:val="10"/>
          <w:sz w:val="13"/>
          <w:szCs w:val="13"/>
        </w:rPr>
        <w:t xml:space="preserve">8               </w:t>
      </w:r>
      <w:hyperlink r:id="rId246" w:history="1">
        <w:r>
          <w:rPr>
            <w:w w:val="95"/>
            <w:sz w:val="20"/>
            <w:szCs w:val="20"/>
          </w:rPr>
          <w:t>http://www.mass.gov/eohhs/docs/dph/com-health/prev-wellness-advisory-board/annual-report-2014.pdf</w:t>
        </w:r>
      </w:hyperlink>
    </w:p>
    <w:p w:rsidR="002C5025" w:rsidRDefault="002C5025">
      <w:pPr>
        <w:pStyle w:val="BodyText"/>
        <w:kinsoku w:val="0"/>
        <w:overflowPunct w:val="0"/>
        <w:spacing w:line="260" w:lineRule="exact"/>
        <w:ind w:left="140" w:right="254"/>
        <w:rPr>
          <w:w w:val="95"/>
          <w:sz w:val="20"/>
          <w:szCs w:val="20"/>
        </w:rPr>
      </w:pPr>
      <w:bookmarkStart w:id="114" w:name="bookmark29"/>
      <w:bookmarkEnd w:id="114"/>
      <w:r>
        <w:rPr>
          <w:w w:val="95"/>
          <w:position w:val="10"/>
          <w:sz w:val="13"/>
          <w:szCs w:val="13"/>
        </w:rPr>
        <w:t xml:space="preserve">9               </w:t>
      </w:r>
      <w:hyperlink r:id="rId247" w:history="1">
        <w:r>
          <w:rPr>
            <w:w w:val="95"/>
            <w:sz w:val="20"/>
            <w:szCs w:val="20"/>
          </w:rPr>
          <w:t>http://www.commonwealthfund.org/publications/newsletters/quality-matters/2015/february-march/in-focus</w:t>
        </w:r>
      </w:hyperlink>
    </w:p>
    <w:p w:rsidR="002C5025" w:rsidRDefault="00FB027C">
      <w:pPr>
        <w:pStyle w:val="BodyText"/>
        <w:kinsoku w:val="0"/>
        <w:overflowPunct w:val="0"/>
        <w:spacing w:before="6"/>
        <w:rPr>
          <w:sz w:val="9"/>
          <w:szCs w:val="9"/>
        </w:rPr>
      </w:pPr>
      <w:r>
        <w:rPr>
          <w:noProof/>
        </w:rPr>
        <mc:AlternateContent>
          <mc:Choice Requires="wps">
            <w:drawing>
              <wp:anchor distT="0" distB="0" distL="0" distR="0" simplePos="0" relativeHeight="251580928" behindDoc="0" locked="0" layoutInCell="0" allowOverlap="1">
                <wp:simplePos x="0" y="0"/>
                <wp:positionH relativeFrom="page">
                  <wp:posOffset>895985</wp:posOffset>
                </wp:positionH>
                <wp:positionV relativeFrom="paragraph">
                  <wp:posOffset>100965</wp:posOffset>
                </wp:positionV>
                <wp:extent cx="5980430" cy="12700"/>
                <wp:effectExtent l="0" t="0" r="0" b="0"/>
                <wp:wrapTopAndBottom/>
                <wp:docPr id="725" name="Freeform 3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0430" cy="12700"/>
                        </a:xfrm>
                        <a:custGeom>
                          <a:avLst/>
                          <a:gdLst>
                            <a:gd name="T0" fmla="*/ 0 w 9418"/>
                            <a:gd name="T1" fmla="*/ 0 h 20"/>
                            <a:gd name="T2" fmla="*/ 9417 w 9418"/>
                            <a:gd name="T3" fmla="*/ 0 h 20"/>
                          </a:gdLst>
                          <a:ahLst/>
                          <a:cxnLst>
                            <a:cxn ang="0">
                              <a:pos x="T0" y="T1"/>
                            </a:cxn>
                            <a:cxn ang="0">
                              <a:pos x="T2" y="T3"/>
                            </a:cxn>
                          </a:cxnLst>
                          <a:rect l="0" t="0" r="r" b="b"/>
                          <a:pathLst>
                            <a:path w="9418" h="20">
                              <a:moveTo>
                                <a:pt x="0" y="0"/>
                              </a:moveTo>
                              <a:lnTo>
                                <a:pt x="9417" y="0"/>
                              </a:lnTo>
                            </a:path>
                          </a:pathLst>
                        </a:custGeom>
                        <a:noFill/>
                        <a:ln w="6108">
                          <a:solidFill>
                            <a:srgbClr val="DADAD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00" o:spid="_x0000_s1026" style="position:absolute;z-index:251580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0.55pt,7.95pt,541.4pt,7.95pt" coordsize="94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" o:allowincell="f" filled="f" strokecolor="#dadada" strokeweight=".16967mm">
                <v:path arrowok="t" o:connecttype="custom" o:connectlocs="0,0;5979795,0" o:connectangles="0,0"/>
                <w10:wrap type="topAndBottom" anchorx="page"/>
              </v:polyline>
            </w:pict>
          </mc:Fallback>
        </mc:AlternateContent>
      </w:r>
    </w:p>
    <w:p w:rsidR="002C5025" w:rsidRDefault="002C5025">
      <w:pPr>
        <w:pStyle w:val="ListParagraph"/>
        <w:numPr>
          <w:ilvl w:val="0"/>
          <w:numId w:val="66"/>
        </w:numPr>
        <w:tabs>
          <w:tab w:val="left" w:pos="304"/>
        </w:tabs>
        <w:kinsoku w:val="0"/>
        <w:overflowPunct w:val="0"/>
        <w:spacing w:line="258" w:lineRule="exact"/>
        <w:ind w:hanging="163"/>
        <w:rPr>
          <w:rFonts w:ascii="Calibri" w:hAnsi="Calibri" w:cs="Calibri"/>
          <w:color w:val="808080"/>
          <w:spacing w:val="9"/>
          <w:sz w:val="22"/>
          <w:szCs w:val="22"/>
        </w:rPr>
      </w:pPr>
      <w:r>
        <w:rPr>
          <w:rFonts w:ascii="Calibri" w:hAnsi="Calibri" w:cs="Calibri"/>
          <w:b/>
          <w:bCs/>
          <w:sz w:val="22"/>
          <w:szCs w:val="22"/>
        </w:rPr>
        <w:t xml:space="preserve">| </w:t>
      </w:r>
      <w:r>
        <w:rPr>
          <w:rFonts w:ascii="Calibri" w:hAnsi="Calibri" w:cs="Calibri"/>
          <w:color w:val="808080"/>
          <w:sz w:val="22"/>
          <w:szCs w:val="22"/>
        </w:rPr>
        <w:t xml:space="preserve">P a </w:t>
      </w:r>
      <w:r>
        <w:rPr>
          <w:rFonts w:ascii="Calibri" w:hAnsi="Calibri" w:cs="Calibri"/>
          <w:color w:val="808080"/>
          <w:spacing w:val="9"/>
          <w:sz w:val="22"/>
          <w:szCs w:val="22"/>
        </w:rPr>
        <w:t>g</w:t>
      </w:r>
      <w:r>
        <w:rPr>
          <w:rFonts w:ascii="Calibri" w:hAnsi="Calibri" w:cs="Calibri"/>
          <w:color w:val="808080"/>
          <w:spacing w:val="21"/>
          <w:sz w:val="22"/>
          <w:szCs w:val="22"/>
        </w:rPr>
        <w:t xml:space="preserve"> </w:t>
      </w:r>
      <w:r>
        <w:rPr>
          <w:rFonts w:ascii="Calibri" w:hAnsi="Calibri" w:cs="Calibri"/>
          <w:color w:val="808080"/>
          <w:sz w:val="22"/>
          <w:szCs w:val="22"/>
        </w:rPr>
        <w:t>e</w:t>
      </w:r>
      <w:r>
        <w:rPr>
          <w:rFonts w:ascii="Calibri" w:hAnsi="Calibri" w:cs="Calibri"/>
          <w:color w:val="808080"/>
          <w:spacing w:val="9"/>
          <w:sz w:val="22"/>
          <w:szCs w:val="22"/>
        </w:rPr>
        <w:t xml:space="preserve"> </w:t>
      </w:r>
    </w:p>
    <w:p w:rsidR="002C5025" w:rsidRDefault="002C5025">
      <w:pPr>
        <w:pStyle w:val="ListParagraph"/>
        <w:numPr>
          <w:ilvl w:val="0"/>
          <w:numId w:val="66"/>
        </w:numPr>
        <w:tabs>
          <w:tab w:val="left" w:pos="304"/>
        </w:tabs>
        <w:kinsoku w:val="0"/>
        <w:overflowPunct w:val="0"/>
        <w:spacing w:line="258" w:lineRule="exact"/>
        <w:ind w:hanging="163"/>
        <w:rPr>
          <w:rFonts w:ascii="Calibri" w:hAnsi="Calibri" w:cs="Calibri"/>
          <w:color w:val="808080"/>
          <w:spacing w:val="9"/>
          <w:sz w:val="22"/>
          <w:szCs w:val="22"/>
        </w:rPr>
        <w:sectPr w:rsidR="002C5025">
          <w:pgSz w:w="12240" w:h="15840"/>
          <w:pgMar w:top="1400" w:right="1300" w:bottom="280" w:left="1300" w:header="720" w:footer="720" w:gutter="0"/>
          <w:cols w:space="720"/>
          <w:noEndnote/>
        </w:sectPr>
      </w:pPr>
    </w:p>
    <w:p w:rsidR="002C5025" w:rsidRDefault="002C5025">
      <w:pPr>
        <w:pStyle w:val="BodyText"/>
        <w:numPr>
          <w:ilvl w:val="0"/>
          <w:numId w:val="64"/>
        </w:numPr>
        <w:tabs>
          <w:tab w:val="left" w:pos="860"/>
        </w:tabs>
        <w:kinsoku w:val="0"/>
        <w:overflowPunct w:val="0"/>
        <w:spacing w:before="55" w:line="276" w:lineRule="exact"/>
        <w:ind w:right="137"/>
        <w:jc w:val="both"/>
        <w:rPr>
          <w:rFonts w:ascii="Times New Roman" w:hAnsi="Times New Roman" w:cs="Times New Roman"/>
          <w:sz w:val="24"/>
          <w:szCs w:val="24"/>
        </w:rPr>
      </w:pPr>
      <w:r>
        <w:rPr>
          <w:rFonts w:ascii="Times New Roman" w:hAnsi="Times New Roman" w:cs="Times New Roman"/>
          <w:sz w:val="24"/>
          <w:szCs w:val="24"/>
        </w:rPr>
        <w:lastRenderedPageBreak/>
        <w:t>Provide specific details on all the quality metrics to be included in the evaluation on the use of DSRIP dollars and ACO</w:t>
      </w:r>
      <w:r>
        <w:rPr>
          <w:rFonts w:ascii="Times New Roman" w:hAnsi="Times New Roman" w:cs="Times New Roman"/>
          <w:spacing w:val="-13"/>
          <w:sz w:val="24"/>
          <w:szCs w:val="24"/>
        </w:rPr>
        <w:t xml:space="preserve"> </w:t>
      </w:r>
      <w:r>
        <w:rPr>
          <w:rFonts w:ascii="Times New Roman" w:hAnsi="Times New Roman" w:cs="Times New Roman"/>
          <w:sz w:val="24"/>
          <w:szCs w:val="24"/>
        </w:rPr>
        <w:t>performance.</w:t>
      </w:r>
    </w:p>
    <w:p w:rsidR="002C5025" w:rsidRDefault="002C5025">
      <w:pPr>
        <w:pStyle w:val="ListParagraph"/>
        <w:numPr>
          <w:ilvl w:val="0"/>
          <w:numId w:val="64"/>
        </w:numPr>
        <w:tabs>
          <w:tab w:val="left" w:pos="860"/>
        </w:tabs>
        <w:kinsoku w:val="0"/>
        <w:overflowPunct w:val="0"/>
        <w:spacing w:line="276" w:lineRule="exact"/>
        <w:ind w:right="133"/>
        <w:jc w:val="both"/>
      </w:pPr>
      <w:r>
        <w:t>Establish a public-facing dashboard that contains sufficient information needed by MassHealth members to make informed choices about their healthcare options. More detailed content also can help to evaluate ACOs and the larger DSRIP</w:t>
      </w:r>
      <w:r>
        <w:rPr>
          <w:spacing w:val="-18"/>
        </w:rPr>
        <w:t xml:space="preserve"> </w:t>
      </w:r>
      <w:r>
        <w:t>program.</w:t>
      </w:r>
    </w:p>
    <w:p w:rsidR="002C5025" w:rsidRDefault="002C5025">
      <w:pPr>
        <w:pStyle w:val="ListParagraph"/>
        <w:numPr>
          <w:ilvl w:val="0"/>
          <w:numId w:val="64"/>
        </w:numPr>
        <w:tabs>
          <w:tab w:val="left" w:pos="860"/>
        </w:tabs>
        <w:kinsoku w:val="0"/>
        <w:overflowPunct w:val="0"/>
        <w:spacing w:line="293" w:lineRule="exact"/>
      </w:pPr>
      <w:r>
        <w:t>Establish a stakeholder process that outlines strategies for educating</w:t>
      </w:r>
      <w:r>
        <w:rPr>
          <w:spacing w:val="-21"/>
        </w:rPr>
        <w:t xml:space="preserve"> </w:t>
      </w:r>
      <w:r>
        <w:t>members.</w:t>
      </w:r>
    </w:p>
    <w:p w:rsidR="002C5025" w:rsidRDefault="002C5025">
      <w:pPr>
        <w:pStyle w:val="BodyText"/>
        <w:kinsoku w:val="0"/>
        <w:overflowPunct w:val="0"/>
        <w:spacing w:before="9"/>
        <w:rPr>
          <w:rFonts w:ascii="Times New Roman" w:hAnsi="Times New Roman" w:cs="Times New Roman"/>
        </w:rPr>
      </w:pPr>
    </w:p>
    <w:p w:rsidR="002C5025" w:rsidRDefault="002C5025">
      <w:pPr>
        <w:pStyle w:val="ListParagraph"/>
        <w:numPr>
          <w:ilvl w:val="0"/>
          <w:numId w:val="65"/>
        </w:numPr>
        <w:tabs>
          <w:tab w:val="left" w:pos="500"/>
        </w:tabs>
        <w:kinsoku w:val="0"/>
        <w:overflowPunct w:val="0"/>
        <w:spacing w:line="290" w:lineRule="exact"/>
        <w:rPr>
          <w:b/>
          <w:bCs/>
        </w:rPr>
      </w:pPr>
      <w:r>
        <w:rPr>
          <w:b/>
          <w:bCs/>
        </w:rPr>
        <w:t>Steering Committee to Provide Oversight of</w:t>
      </w:r>
      <w:r>
        <w:rPr>
          <w:b/>
          <w:bCs/>
          <w:spacing w:val="-20"/>
        </w:rPr>
        <w:t xml:space="preserve"> </w:t>
      </w:r>
      <w:r>
        <w:rPr>
          <w:b/>
          <w:bCs/>
        </w:rPr>
        <w:t>Implementation</w:t>
      </w:r>
    </w:p>
    <w:p w:rsidR="002C5025" w:rsidRDefault="002C5025">
      <w:pPr>
        <w:pStyle w:val="ListParagraph"/>
        <w:numPr>
          <w:ilvl w:val="1"/>
          <w:numId w:val="65"/>
        </w:numPr>
        <w:tabs>
          <w:tab w:val="left" w:pos="860"/>
        </w:tabs>
        <w:kinsoku w:val="0"/>
        <w:overflowPunct w:val="0"/>
        <w:spacing w:before="38" w:line="194" w:lineRule="auto"/>
        <w:ind w:right="135"/>
        <w:jc w:val="both"/>
      </w:pPr>
      <w:r>
        <w:t>Establish a Steering Committee along with workgroups to support accountability as the DSRIP waiver is implemented, with an emphasis on transparency.</w:t>
      </w:r>
      <w:hyperlink w:anchor="bookmark30" w:history="1">
        <w:r>
          <w:rPr>
            <w:position w:val="11"/>
            <w:sz w:val="16"/>
            <w:szCs w:val="16"/>
          </w:rPr>
          <w:t>10</w:t>
        </w:r>
      </w:hyperlink>
      <w:r>
        <w:rPr>
          <w:position w:val="11"/>
          <w:sz w:val="16"/>
          <w:szCs w:val="16"/>
        </w:rPr>
        <w:t xml:space="preserve">   </w:t>
      </w:r>
      <w:r>
        <w:rPr>
          <w:spacing w:val="-3"/>
        </w:rPr>
        <w:t xml:space="preserve">It </w:t>
      </w:r>
      <w:r>
        <w:t xml:space="preserve">would be </w:t>
      </w:r>
      <w:r>
        <w:rPr>
          <w:spacing w:val="18"/>
        </w:rPr>
        <w:t xml:space="preserve"> </w:t>
      </w:r>
      <w:r>
        <w:t>charged</w:t>
      </w:r>
    </w:p>
    <w:p w:rsidR="002C5025" w:rsidRDefault="002C5025">
      <w:pPr>
        <w:pStyle w:val="BodyText"/>
        <w:kinsoku w:val="0"/>
        <w:overflowPunct w:val="0"/>
        <w:spacing w:before="13" w:line="276" w:lineRule="exact"/>
        <w:ind w:left="860" w:right="135"/>
        <w:jc w:val="both"/>
        <w:rPr>
          <w:rFonts w:ascii="Times New Roman" w:hAnsi="Times New Roman" w:cs="Times New Roman"/>
          <w:sz w:val="24"/>
          <w:szCs w:val="24"/>
        </w:rPr>
      </w:pPr>
      <w:r>
        <w:rPr>
          <w:rFonts w:ascii="Times New Roman" w:hAnsi="Times New Roman" w:cs="Times New Roman"/>
          <w:sz w:val="24"/>
          <w:szCs w:val="24"/>
        </w:rPr>
        <w:t>with guiding MassHealth in the establishment of mechanisms for providing transparency such as a public-facing dashboard while also monitoring consumer choice, participating  in program evaluations, and reviewing ACO contracting processes. The committee  should include political leaders and policymakers, ACO members and advocates,</w:t>
      </w:r>
      <w:hyperlink w:anchor="bookmark31" w:history="1">
        <w:r>
          <w:rPr>
            <w:rFonts w:ascii="Times New Roman" w:hAnsi="Times New Roman" w:cs="Times New Roman"/>
            <w:position w:val="11"/>
            <w:sz w:val="16"/>
            <w:szCs w:val="16"/>
          </w:rPr>
          <w:t>11</w:t>
        </w:r>
      </w:hyperlink>
      <w:r>
        <w:rPr>
          <w:rFonts w:ascii="Times New Roman" w:hAnsi="Times New Roman" w:cs="Times New Roman"/>
          <w:position w:val="11"/>
          <w:sz w:val="16"/>
          <w:szCs w:val="16"/>
        </w:rPr>
        <w:t xml:space="preserve"> </w:t>
      </w:r>
      <w:r>
        <w:rPr>
          <w:rFonts w:ascii="Times New Roman" w:hAnsi="Times New Roman" w:cs="Times New Roman"/>
          <w:sz w:val="24"/>
          <w:szCs w:val="24"/>
        </w:rPr>
        <w:t>clinicians, community-based organizations, social services agencies, and other parties as identified.</w:t>
      </w:r>
    </w:p>
    <w:p w:rsidR="002C5025" w:rsidRDefault="002C5025">
      <w:pPr>
        <w:pStyle w:val="BodyText"/>
        <w:kinsoku w:val="0"/>
        <w:overflowPunct w:val="0"/>
        <w:spacing w:before="2"/>
        <w:rPr>
          <w:rFonts w:ascii="Times New Roman" w:hAnsi="Times New Roman" w:cs="Times New Roman"/>
          <w:sz w:val="21"/>
          <w:szCs w:val="21"/>
        </w:rPr>
      </w:pPr>
    </w:p>
    <w:p w:rsidR="002C5025" w:rsidRDefault="002C5025">
      <w:pPr>
        <w:pStyle w:val="ListParagraph"/>
        <w:numPr>
          <w:ilvl w:val="0"/>
          <w:numId w:val="65"/>
        </w:numPr>
        <w:tabs>
          <w:tab w:val="left" w:pos="500"/>
        </w:tabs>
        <w:kinsoku w:val="0"/>
        <w:overflowPunct w:val="0"/>
        <w:spacing w:line="290" w:lineRule="exact"/>
        <w:rPr>
          <w:b/>
          <w:bCs/>
        </w:rPr>
      </w:pPr>
      <w:r>
        <w:rPr>
          <w:b/>
          <w:bCs/>
        </w:rPr>
        <w:t>Establish Carrots to Change Member Behavior, Not</w:t>
      </w:r>
      <w:r>
        <w:rPr>
          <w:b/>
          <w:bCs/>
          <w:spacing w:val="-19"/>
        </w:rPr>
        <w:t xml:space="preserve"> </w:t>
      </w:r>
      <w:r>
        <w:rPr>
          <w:b/>
          <w:bCs/>
        </w:rPr>
        <w:t>Sticks</w:t>
      </w:r>
    </w:p>
    <w:p w:rsidR="002C5025" w:rsidRDefault="002C5025">
      <w:pPr>
        <w:pStyle w:val="ListParagraph"/>
        <w:numPr>
          <w:ilvl w:val="1"/>
          <w:numId w:val="65"/>
        </w:numPr>
        <w:tabs>
          <w:tab w:val="left" w:pos="860"/>
        </w:tabs>
        <w:kinsoku w:val="0"/>
        <w:overflowPunct w:val="0"/>
        <w:spacing w:before="11" w:line="223" w:lineRule="auto"/>
        <w:ind w:right="140"/>
        <w:jc w:val="both"/>
      </w:pPr>
      <w:r>
        <w:t>Eliminate sticks such as the 12-month lock-in, reducing services within the FFS system, and instituting a punitive cost-sharing</w:t>
      </w:r>
      <w:r>
        <w:rPr>
          <w:spacing w:val="-15"/>
        </w:rPr>
        <w:t xml:space="preserve"> </w:t>
      </w:r>
      <w:r>
        <w:t>structure.</w:t>
      </w:r>
    </w:p>
    <w:p w:rsidR="002C5025" w:rsidRDefault="002C5025">
      <w:pPr>
        <w:pStyle w:val="ListParagraph"/>
        <w:numPr>
          <w:ilvl w:val="1"/>
          <w:numId w:val="65"/>
        </w:numPr>
        <w:tabs>
          <w:tab w:val="left" w:pos="860"/>
        </w:tabs>
        <w:kinsoku w:val="0"/>
        <w:overflowPunct w:val="0"/>
        <w:spacing w:before="7" w:line="276" w:lineRule="exact"/>
        <w:ind w:right="137"/>
        <w:jc w:val="both"/>
      </w:pPr>
      <w:r>
        <w:t>Increase likelihood of enrollment and stability of membership through broad provider networks and reasonable criteria for single-case agreements to maintain continuity of care or meet individual member needs, particularly those whose conditions are</w:t>
      </w:r>
      <w:r>
        <w:rPr>
          <w:spacing w:val="-15"/>
        </w:rPr>
        <w:t xml:space="preserve"> </w:t>
      </w:r>
      <w:r>
        <w:t>complex.</w:t>
      </w:r>
    </w:p>
    <w:p w:rsidR="002C5025" w:rsidRDefault="002C5025">
      <w:pPr>
        <w:pStyle w:val="ListParagraph"/>
        <w:numPr>
          <w:ilvl w:val="1"/>
          <w:numId w:val="65"/>
        </w:numPr>
        <w:tabs>
          <w:tab w:val="left" w:pos="860"/>
        </w:tabs>
        <w:kinsoku w:val="0"/>
        <w:overflowPunct w:val="0"/>
        <w:spacing w:line="276" w:lineRule="exact"/>
        <w:ind w:right="134"/>
        <w:jc w:val="both"/>
      </w:pPr>
      <w:r>
        <w:t>Establish carrots or rewards for members for enrolling. For instance, build on the success of One Care by providing enhanced services and build in $0 co-pays. ACOs should provide coverage for innovative services and equipment designed to meet  the independent living and recovery goals of the</w:t>
      </w:r>
      <w:r>
        <w:rPr>
          <w:spacing w:val="-10"/>
        </w:rPr>
        <w:t xml:space="preserve"> </w:t>
      </w:r>
      <w:r>
        <w:t>member.</w:t>
      </w:r>
    </w:p>
    <w:p w:rsidR="002C5025" w:rsidRDefault="002C5025">
      <w:pPr>
        <w:pStyle w:val="BodyText"/>
        <w:kinsoku w:val="0"/>
        <w:overflowPunct w:val="0"/>
        <w:spacing w:before="3"/>
        <w:rPr>
          <w:rFonts w:ascii="Times New Roman" w:hAnsi="Times New Roman" w:cs="Times New Roman"/>
          <w:sz w:val="24"/>
          <w:szCs w:val="24"/>
        </w:rPr>
      </w:pPr>
    </w:p>
    <w:p w:rsidR="002C5025" w:rsidRDefault="002C5025">
      <w:pPr>
        <w:pStyle w:val="ListParagraph"/>
        <w:numPr>
          <w:ilvl w:val="0"/>
          <w:numId w:val="65"/>
        </w:numPr>
        <w:tabs>
          <w:tab w:val="left" w:pos="500"/>
        </w:tabs>
        <w:kinsoku w:val="0"/>
        <w:overflowPunct w:val="0"/>
        <w:spacing w:line="290" w:lineRule="exact"/>
        <w:rPr>
          <w:b/>
          <w:bCs/>
        </w:rPr>
      </w:pPr>
      <w:r>
        <w:rPr>
          <w:b/>
          <w:bCs/>
        </w:rPr>
        <w:t>Member Education &amp;</w:t>
      </w:r>
      <w:r>
        <w:rPr>
          <w:b/>
          <w:bCs/>
          <w:spacing w:val="-12"/>
        </w:rPr>
        <w:t xml:space="preserve"> </w:t>
      </w:r>
      <w:r>
        <w:rPr>
          <w:b/>
          <w:bCs/>
        </w:rPr>
        <w:t>Assistance</w:t>
      </w:r>
    </w:p>
    <w:p w:rsidR="002C5025" w:rsidRDefault="002C5025">
      <w:pPr>
        <w:pStyle w:val="ListParagraph"/>
        <w:numPr>
          <w:ilvl w:val="1"/>
          <w:numId w:val="65"/>
        </w:numPr>
        <w:tabs>
          <w:tab w:val="left" w:pos="860"/>
        </w:tabs>
        <w:kinsoku w:val="0"/>
        <w:overflowPunct w:val="0"/>
        <w:spacing w:before="2" w:line="232" w:lineRule="auto"/>
        <w:ind w:right="137"/>
        <w:jc w:val="both"/>
      </w:pPr>
      <w:r>
        <w:t>Increase the responsibilities and leverage of the ombudsman—as compared to One Care— in arbitrating concerns and grievances of ACO members. Also allow for reporting on systemic issues that the office</w:t>
      </w:r>
      <w:r>
        <w:rPr>
          <w:spacing w:val="-12"/>
        </w:rPr>
        <w:t xml:space="preserve"> </w:t>
      </w:r>
      <w:r>
        <w:t>identifies.</w:t>
      </w:r>
    </w:p>
    <w:p w:rsidR="002C5025" w:rsidRDefault="002C5025">
      <w:pPr>
        <w:pStyle w:val="ListParagraph"/>
        <w:numPr>
          <w:ilvl w:val="1"/>
          <w:numId w:val="65"/>
        </w:numPr>
        <w:tabs>
          <w:tab w:val="left" w:pos="860"/>
        </w:tabs>
        <w:kinsoku w:val="0"/>
        <w:overflowPunct w:val="0"/>
        <w:spacing w:before="5" w:line="276" w:lineRule="exact"/>
        <w:ind w:right="138"/>
        <w:jc w:val="both"/>
      </w:pPr>
      <w:r>
        <w:t>Educate members on care planning, care team functions and other aspects of the model, which may not be understood by members. This will be essential when the ACO program begins.</w:t>
      </w:r>
    </w:p>
    <w:p w:rsidR="002C5025" w:rsidRDefault="002C5025">
      <w:pPr>
        <w:pStyle w:val="ListParagraph"/>
        <w:numPr>
          <w:ilvl w:val="1"/>
          <w:numId w:val="65"/>
        </w:numPr>
        <w:tabs>
          <w:tab w:val="left" w:pos="860"/>
        </w:tabs>
        <w:kinsoku w:val="0"/>
        <w:overflowPunct w:val="0"/>
        <w:spacing w:line="276" w:lineRule="exact"/>
        <w:ind w:right="135"/>
        <w:jc w:val="both"/>
      </w:pPr>
      <w:r>
        <w:t>Establish a robust outreach and education program that engages MassHealth members  and community-based organizations that serve members to better understand managed care, establishing trainings throughout the course of the implementation of the waiver period.</w:t>
      </w:r>
    </w:p>
    <w:p w:rsidR="002C5025" w:rsidRDefault="002C5025">
      <w:pPr>
        <w:pStyle w:val="ListParagraph"/>
        <w:numPr>
          <w:ilvl w:val="1"/>
          <w:numId w:val="65"/>
        </w:numPr>
        <w:tabs>
          <w:tab w:val="left" w:pos="860"/>
        </w:tabs>
        <w:kinsoku w:val="0"/>
        <w:overflowPunct w:val="0"/>
        <w:spacing w:line="276" w:lineRule="exact"/>
        <w:ind w:right="137"/>
        <w:jc w:val="both"/>
      </w:pPr>
      <w:r>
        <w:t xml:space="preserve">Require ACOs to partner with CBOs to develop training programs for newly enrolled members into an ACO to increase the understanding of how the model of care within </w:t>
      </w:r>
      <w:r>
        <w:rPr>
          <w:spacing w:val="33"/>
        </w:rPr>
        <w:t xml:space="preserve"> </w:t>
      </w:r>
      <w:r>
        <w:t>the</w:t>
      </w:r>
    </w:p>
    <w:p w:rsidR="002C5025" w:rsidRDefault="002C5025">
      <w:pPr>
        <w:pStyle w:val="BodyText"/>
        <w:kinsoku w:val="0"/>
        <w:overflowPunct w:val="0"/>
        <w:rPr>
          <w:rFonts w:ascii="Times New Roman" w:hAnsi="Times New Roman" w:cs="Times New Roman"/>
          <w:sz w:val="20"/>
          <w:szCs w:val="20"/>
        </w:rPr>
      </w:pPr>
    </w:p>
    <w:p w:rsidR="002C5025" w:rsidRDefault="00FB027C">
      <w:pPr>
        <w:pStyle w:val="BodyText"/>
        <w:kinsoku w:val="0"/>
        <w:overflowPunct w:val="0"/>
        <w:spacing w:before="6"/>
        <w:rPr>
          <w:rFonts w:ascii="Times New Roman" w:hAnsi="Times New Roman" w:cs="Times New Roman"/>
          <w:sz w:val="23"/>
          <w:szCs w:val="23"/>
        </w:rPr>
      </w:pPr>
      <w:r>
        <w:rPr>
          <w:noProof/>
        </w:rPr>
        <mc:AlternateContent>
          <mc:Choice Requires="wps">
            <w:drawing>
              <wp:anchor distT="0" distB="0" distL="0" distR="0" simplePos="0" relativeHeight="251581952" behindDoc="0" locked="0" layoutInCell="0" allowOverlap="1">
                <wp:simplePos x="0" y="0"/>
                <wp:positionH relativeFrom="page">
                  <wp:posOffset>914400</wp:posOffset>
                </wp:positionH>
                <wp:positionV relativeFrom="paragraph">
                  <wp:posOffset>201295</wp:posOffset>
                </wp:positionV>
                <wp:extent cx="1828800" cy="12700"/>
                <wp:effectExtent l="0" t="0" r="0" b="0"/>
                <wp:wrapTopAndBottom/>
                <wp:docPr id="724" name="Freeform 3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w 2880"/>
                            <a:gd name="T1" fmla="*/ 0 h 20"/>
                            <a:gd name="T2" fmla="*/ 2880 w 2880"/>
                            <a:gd name="T3" fmla="*/ 0 h 20"/>
                          </a:gdLst>
                          <a:ahLst/>
                          <a:cxnLst>
                            <a:cxn ang="0">
                              <a:pos x="T0" y="T1"/>
                            </a:cxn>
                            <a:cxn ang="0">
                              <a:pos x="T2" y="T3"/>
                            </a:cxn>
                          </a:cxnLst>
                          <a:rect l="0" t="0" r="r" b="b"/>
                          <a:pathLst>
                            <a:path w="2880" h="20">
                              <a:moveTo>
                                <a:pt x="0" y="0"/>
                              </a:moveTo>
                              <a:lnTo>
                                <a:pt x="288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01" o:spid="_x0000_s1026" style="position:absolute;z-index:251581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15.85pt,3in,15.85pt" coordsize="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" o:allowincell="f" filled="f" strokeweight=".25397mm">
                <v:path arrowok="t" o:connecttype="custom" o:connectlocs="0,0;1828800,0" o:connectangles="0,0"/>
                <w10:wrap type="topAndBottom" anchorx="page"/>
              </v:polyline>
            </w:pict>
          </mc:Fallback>
        </mc:AlternateContent>
      </w:r>
    </w:p>
    <w:p w:rsidR="002C5025" w:rsidRDefault="002C5025">
      <w:pPr>
        <w:pStyle w:val="BodyText"/>
        <w:kinsoku w:val="0"/>
        <w:overflowPunct w:val="0"/>
        <w:spacing w:before="39" w:line="261" w:lineRule="exact"/>
        <w:ind w:left="140" w:right="254"/>
        <w:rPr>
          <w:w w:val="95"/>
          <w:sz w:val="20"/>
          <w:szCs w:val="20"/>
        </w:rPr>
      </w:pPr>
      <w:bookmarkStart w:id="115" w:name="bookmark30"/>
      <w:bookmarkEnd w:id="115"/>
      <w:r>
        <w:rPr>
          <w:w w:val="95"/>
          <w:position w:val="10"/>
          <w:sz w:val="13"/>
          <w:szCs w:val="13"/>
        </w:rPr>
        <w:t xml:space="preserve">10        </w:t>
      </w:r>
      <w:hyperlink r:id="rId248" w:history="1">
        <w:r>
          <w:rPr>
            <w:w w:val="95"/>
            <w:sz w:val="20"/>
            <w:szCs w:val="20"/>
          </w:rPr>
          <w:t>http://www.healthreform.ct.gov/ohri/site/default.asp</w:t>
        </w:r>
      </w:hyperlink>
    </w:p>
    <w:p w:rsidR="002C5025" w:rsidRDefault="002C5025">
      <w:pPr>
        <w:pStyle w:val="BodyText"/>
        <w:kinsoku w:val="0"/>
        <w:overflowPunct w:val="0"/>
        <w:spacing w:line="261" w:lineRule="exact"/>
        <w:ind w:left="140" w:right="254"/>
        <w:rPr>
          <w:sz w:val="20"/>
          <w:szCs w:val="20"/>
        </w:rPr>
      </w:pPr>
      <w:bookmarkStart w:id="116" w:name="bookmark31"/>
      <w:bookmarkEnd w:id="116"/>
      <w:r>
        <w:rPr>
          <w:position w:val="10"/>
          <w:sz w:val="13"/>
          <w:szCs w:val="13"/>
        </w:rPr>
        <w:t xml:space="preserve">11 </w:t>
      </w:r>
      <w:r>
        <w:rPr>
          <w:sz w:val="20"/>
          <w:szCs w:val="20"/>
        </w:rPr>
        <w:t>The ACO members and advocates should represent a majority of the Steering Committee and represent a full</w:t>
      </w:r>
    </w:p>
    <w:p w:rsidR="002C5025" w:rsidRDefault="002C5025">
      <w:pPr>
        <w:pStyle w:val="BodyText"/>
        <w:kinsoku w:val="0"/>
        <w:overflowPunct w:val="0"/>
        <w:ind w:left="139" w:right="382"/>
        <w:rPr>
          <w:sz w:val="20"/>
          <w:szCs w:val="20"/>
        </w:rPr>
      </w:pPr>
      <w:r>
        <w:rPr>
          <w:sz w:val="20"/>
          <w:szCs w:val="20"/>
        </w:rPr>
        <w:t>spectrum of members from the physical disability, mental health disability, intellectual/developmental disability and substance addiction communities.</w:t>
      </w:r>
    </w:p>
    <w:p w:rsidR="002C5025" w:rsidRDefault="00FB027C">
      <w:pPr>
        <w:pStyle w:val="BodyText"/>
        <w:kinsoku w:val="0"/>
        <w:overflowPunct w:val="0"/>
        <w:spacing w:before="5"/>
        <w:rPr>
          <w:sz w:val="9"/>
          <w:szCs w:val="9"/>
        </w:rPr>
      </w:pPr>
      <w:r>
        <w:rPr>
          <w:noProof/>
        </w:rPr>
        <mc:AlternateContent>
          <mc:Choice Requires="wps">
            <w:drawing>
              <wp:anchor distT="0" distB="0" distL="0" distR="0" simplePos="0" relativeHeight="251582976" behindDoc="0" locked="0" layoutInCell="0" allowOverlap="1">
                <wp:simplePos x="0" y="0"/>
                <wp:positionH relativeFrom="page">
                  <wp:posOffset>895985</wp:posOffset>
                </wp:positionH>
                <wp:positionV relativeFrom="paragraph">
                  <wp:posOffset>100965</wp:posOffset>
                </wp:positionV>
                <wp:extent cx="5980430" cy="12700"/>
                <wp:effectExtent l="0" t="0" r="0" b="0"/>
                <wp:wrapTopAndBottom/>
                <wp:docPr id="723" name="Freeform 3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0430" cy="12700"/>
                        </a:xfrm>
                        <a:custGeom>
                          <a:avLst/>
                          <a:gdLst>
                            <a:gd name="T0" fmla="*/ 0 w 9418"/>
                            <a:gd name="T1" fmla="*/ 0 h 20"/>
                            <a:gd name="T2" fmla="*/ 9417 w 9418"/>
                            <a:gd name="T3" fmla="*/ 0 h 20"/>
                          </a:gdLst>
                          <a:ahLst/>
                          <a:cxnLst>
                            <a:cxn ang="0">
                              <a:pos x="T0" y="T1"/>
                            </a:cxn>
                            <a:cxn ang="0">
                              <a:pos x="T2" y="T3"/>
                            </a:cxn>
                          </a:cxnLst>
                          <a:rect l="0" t="0" r="r" b="b"/>
                          <a:pathLst>
                            <a:path w="9418" h="20">
                              <a:moveTo>
                                <a:pt x="0" y="0"/>
                              </a:moveTo>
                              <a:lnTo>
                                <a:pt x="9417" y="0"/>
                              </a:lnTo>
                            </a:path>
                          </a:pathLst>
                        </a:custGeom>
                        <a:noFill/>
                        <a:ln w="6108">
                          <a:solidFill>
                            <a:srgbClr val="DADAD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02" o:spid="_x0000_s1026" style="position:absolute;z-index:251582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0.55pt,7.95pt,541.4pt,7.95pt" coordsize="94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" o:allowincell="f" filled="f" strokecolor="#dadada" strokeweight=".16967mm">
                <v:path arrowok="t" o:connecttype="custom" o:connectlocs="0,0;5979795,0" o:connectangles="0,0"/>
                <w10:wrap type="topAndBottom" anchorx="page"/>
              </v:polyline>
            </w:pict>
          </mc:Fallback>
        </mc:AlternateContent>
      </w:r>
    </w:p>
    <w:p w:rsidR="002C5025" w:rsidRDefault="002C5025">
      <w:pPr>
        <w:pStyle w:val="ListParagraph"/>
        <w:numPr>
          <w:ilvl w:val="0"/>
          <w:numId w:val="66"/>
        </w:numPr>
        <w:tabs>
          <w:tab w:val="left" w:pos="304"/>
        </w:tabs>
        <w:kinsoku w:val="0"/>
        <w:overflowPunct w:val="0"/>
        <w:spacing w:line="258" w:lineRule="exact"/>
        <w:ind w:hanging="163"/>
        <w:rPr>
          <w:rFonts w:ascii="Calibri" w:hAnsi="Calibri" w:cs="Calibri"/>
          <w:color w:val="808080"/>
          <w:spacing w:val="9"/>
          <w:sz w:val="22"/>
          <w:szCs w:val="22"/>
        </w:rPr>
      </w:pPr>
      <w:r>
        <w:rPr>
          <w:rFonts w:ascii="Calibri" w:hAnsi="Calibri" w:cs="Calibri"/>
          <w:b/>
          <w:bCs/>
          <w:sz w:val="22"/>
          <w:szCs w:val="22"/>
        </w:rPr>
        <w:t xml:space="preserve">| </w:t>
      </w:r>
      <w:r>
        <w:rPr>
          <w:rFonts w:ascii="Calibri" w:hAnsi="Calibri" w:cs="Calibri"/>
          <w:color w:val="808080"/>
          <w:sz w:val="22"/>
          <w:szCs w:val="22"/>
        </w:rPr>
        <w:t xml:space="preserve">P a </w:t>
      </w:r>
      <w:r>
        <w:rPr>
          <w:rFonts w:ascii="Calibri" w:hAnsi="Calibri" w:cs="Calibri"/>
          <w:color w:val="808080"/>
          <w:spacing w:val="9"/>
          <w:sz w:val="22"/>
          <w:szCs w:val="22"/>
        </w:rPr>
        <w:t>g</w:t>
      </w:r>
      <w:r>
        <w:rPr>
          <w:rFonts w:ascii="Calibri" w:hAnsi="Calibri" w:cs="Calibri"/>
          <w:color w:val="808080"/>
          <w:spacing w:val="21"/>
          <w:sz w:val="22"/>
          <w:szCs w:val="22"/>
        </w:rPr>
        <w:t xml:space="preserve"> </w:t>
      </w:r>
      <w:r>
        <w:rPr>
          <w:rFonts w:ascii="Calibri" w:hAnsi="Calibri" w:cs="Calibri"/>
          <w:color w:val="808080"/>
          <w:sz w:val="22"/>
          <w:szCs w:val="22"/>
        </w:rPr>
        <w:t>e</w:t>
      </w:r>
      <w:r>
        <w:rPr>
          <w:rFonts w:ascii="Calibri" w:hAnsi="Calibri" w:cs="Calibri"/>
          <w:color w:val="808080"/>
          <w:spacing w:val="9"/>
          <w:sz w:val="22"/>
          <w:szCs w:val="22"/>
        </w:rPr>
        <w:t xml:space="preserve"> </w:t>
      </w:r>
    </w:p>
    <w:p w:rsidR="002C5025" w:rsidRDefault="002C5025">
      <w:pPr>
        <w:pStyle w:val="ListParagraph"/>
        <w:numPr>
          <w:ilvl w:val="0"/>
          <w:numId w:val="66"/>
        </w:numPr>
        <w:tabs>
          <w:tab w:val="left" w:pos="304"/>
        </w:tabs>
        <w:kinsoku w:val="0"/>
        <w:overflowPunct w:val="0"/>
        <w:spacing w:line="258" w:lineRule="exact"/>
        <w:ind w:hanging="163"/>
        <w:rPr>
          <w:rFonts w:ascii="Calibri" w:hAnsi="Calibri" w:cs="Calibri"/>
          <w:color w:val="808080"/>
          <w:spacing w:val="9"/>
          <w:sz w:val="22"/>
          <w:szCs w:val="22"/>
        </w:rPr>
        <w:sectPr w:rsidR="002C5025">
          <w:pgSz w:w="12240" w:h="15840"/>
          <w:pgMar w:top="1380" w:right="1300" w:bottom="280" w:left="1300" w:header="720" w:footer="720" w:gutter="0"/>
          <w:cols w:space="720"/>
          <w:noEndnote/>
        </w:sectPr>
      </w:pPr>
    </w:p>
    <w:p w:rsidR="002C5025" w:rsidRDefault="002C5025">
      <w:pPr>
        <w:pStyle w:val="BodyText"/>
        <w:kinsoku w:val="0"/>
        <w:overflowPunct w:val="0"/>
        <w:spacing w:before="52"/>
        <w:ind w:left="860" w:right="254"/>
        <w:rPr>
          <w:rFonts w:ascii="Times New Roman" w:hAnsi="Times New Roman" w:cs="Times New Roman"/>
          <w:sz w:val="24"/>
          <w:szCs w:val="24"/>
        </w:rPr>
      </w:pPr>
      <w:r>
        <w:rPr>
          <w:rFonts w:ascii="Times New Roman" w:hAnsi="Times New Roman" w:cs="Times New Roman"/>
          <w:sz w:val="24"/>
          <w:szCs w:val="24"/>
        </w:rPr>
        <w:lastRenderedPageBreak/>
        <w:t>ACO functions and support the ability of the member to access navigator or care coordinator services.</w:t>
      </w:r>
    </w:p>
    <w:p w:rsidR="002C5025" w:rsidRDefault="002C5025">
      <w:pPr>
        <w:pStyle w:val="BodyText"/>
        <w:kinsoku w:val="0"/>
        <w:overflowPunct w:val="0"/>
        <w:spacing w:before="4"/>
        <w:rPr>
          <w:rFonts w:ascii="Times New Roman" w:hAnsi="Times New Roman" w:cs="Times New Roman"/>
          <w:sz w:val="24"/>
          <w:szCs w:val="24"/>
        </w:rPr>
      </w:pPr>
    </w:p>
    <w:p w:rsidR="002C5025" w:rsidRDefault="002C5025">
      <w:pPr>
        <w:pStyle w:val="BodyText"/>
        <w:kinsoku w:val="0"/>
        <w:overflowPunct w:val="0"/>
        <w:spacing w:before="1"/>
        <w:ind w:left="140" w:right="946"/>
        <w:rPr>
          <w:rFonts w:ascii="Times New Roman" w:hAnsi="Times New Roman" w:cs="Times New Roman"/>
          <w:b/>
          <w:bCs/>
          <w:sz w:val="24"/>
          <w:szCs w:val="24"/>
        </w:rPr>
      </w:pPr>
      <w:r>
        <w:rPr>
          <w:rFonts w:ascii="Times New Roman" w:hAnsi="Times New Roman" w:cs="Times New Roman"/>
          <w:b/>
          <w:bCs/>
          <w:sz w:val="24"/>
          <w:szCs w:val="24"/>
          <w:u w:val="thick" w:color="000000"/>
        </w:rPr>
        <w:t>Positive Elements of the Application and Detailed Recommendations to Amend and Strengthen the 1115 Waiver Application</w:t>
      </w:r>
    </w:p>
    <w:p w:rsidR="002C5025" w:rsidRDefault="002C5025">
      <w:pPr>
        <w:pStyle w:val="BodyText"/>
        <w:kinsoku w:val="0"/>
        <w:overflowPunct w:val="0"/>
        <w:spacing w:before="5"/>
        <w:rPr>
          <w:rFonts w:ascii="Times New Roman" w:hAnsi="Times New Roman" w:cs="Times New Roman"/>
          <w:b/>
          <w:bCs/>
          <w:sz w:val="14"/>
          <w:szCs w:val="14"/>
        </w:rPr>
      </w:pPr>
    </w:p>
    <w:p w:rsidR="002C5025" w:rsidRDefault="002C5025">
      <w:pPr>
        <w:pStyle w:val="BodyText"/>
        <w:kinsoku w:val="0"/>
        <w:overflowPunct w:val="0"/>
        <w:spacing w:before="69"/>
        <w:ind w:left="140" w:right="188"/>
        <w:rPr>
          <w:rFonts w:ascii="Times New Roman" w:hAnsi="Times New Roman" w:cs="Times New Roman"/>
          <w:sz w:val="24"/>
          <w:szCs w:val="24"/>
        </w:rPr>
      </w:pPr>
      <w:r>
        <w:rPr>
          <w:rFonts w:ascii="Times New Roman" w:hAnsi="Times New Roman" w:cs="Times New Roman"/>
          <w:sz w:val="24"/>
          <w:szCs w:val="24"/>
        </w:rPr>
        <w:t>The following comments address key components of the waiver application, including important positive elements:</w:t>
      </w:r>
    </w:p>
    <w:p w:rsidR="002C5025" w:rsidRDefault="002C5025">
      <w:pPr>
        <w:pStyle w:val="BodyText"/>
        <w:kinsoku w:val="0"/>
        <w:overflowPunct w:val="0"/>
        <w:rPr>
          <w:rFonts w:ascii="Times New Roman" w:hAnsi="Times New Roman" w:cs="Times New Roman"/>
          <w:sz w:val="21"/>
          <w:szCs w:val="21"/>
        </w:rPr>
      </w:pPr>
    </w:p>
    <w:p w:rsidR="002C5025" w:rsidRDefault="002C5025">
      <w:pPr>
        <w:pStyle w:val="ListParagraph"/>
        <w:numPr>
          <w:ilvl w:val="0"/>
          <w:numId w:val="65"/>
        </w:numPr>
        <w:tabs>
          <w:tab w:val="left" w:pos="500"/>
        </w:tabs>
        <w:kinsoku w:val="0"/>
        <w:overflowPunct w:val="0"/>
        <w:ind w:right="175"/>
      </w:pPr>
      <w:r>
        <w:rPr>
          <w:b/>
          <w:bCs/>
        </w:rPr>
        <w:t xml:space="preserve">Recommendation 1. Strengthen the Role of the Community Partners. </w:t>
      </w:r>
      <w:r>
        <w:t>The development of Community Partners (CPs) is a major part of the 1115 Waiver application. DAAHR is very supportive of providing DSRIP funding to support capacity building for CPs, especially so they can work with ACOs on the integration of behavioral health, long-term services and supports and health-related social services. DAAHR is concerned, however, about the lack</w:t>
      </w:r>
      <w:r>
        <w:rPr>
          <w:spacing w:val="-18"/>
        </w:rPr>
        <w:t xml:space="preserve"> </w:t>
      </w:r>
      <w:r>
        <w:t>of detail in this</w:t>
      </w:r>
      <w:r>
        <w:rPr>
          <w:spacing w:val="-4"/>
        </w:rPr>
        <w:t xml:space="preserve"> </w:t>
      </w:r>
      <w:r>
        <w:t>plan.</w:t>
      </w:r>
    </w:p>
    <w:p w:rsidR="002C5025" w:rsidRDefault="002C5025">
      <w:pPr>
        <w:pStyle w:val="ListParagraph"/>
        <w:numPr>
          <w:ilvl w:val="1"/>
          <w:numId w:val="65"/>
        </w:numPr>
        <w:tabs>
          <w:tab w:val="left" w:pos="1220"/>
        </w:tabs>
        <w:kinsoku w:val="0"/>
        <w:overflowPunct w:val="0"/>
        <w:spacing w:before="3" w:line="276" w:lineRule="exact"/>
        <w:ind w:left="1220" w:right="329"/>
      </w:pPr>
      <w:r>
        <w:rPr>
          <w:i/>
          <w:iCs/>
          <w:u w:val="single" w:color="000000"/>
        </w:rPr>
        <w:t>Concern</w:t>
      </w:r>
      <w:r>
        <w:rPr>
          <w:u w:val="single" w:color="000000"/>
        </w:rPr>
        <w:t xml:space="preserve">: </w:t>
      </w:r>
      <w:r>
        <w:t>The 1115 Waiver Application does not set forth clear and concrete</w:t>
      </w:r>
      <w:r>
        <w:rPr>
          <w:spacing w:val="-17"/>
        </w:rPr>
        <w:t xml:space="preserve"> </w:t>
      </w:r>
      <w:r>
        <w:t>criteria for CPs to meet before becoming eligible for funding. Moreover, the application favors ACOs over CPs in terms of the potential to realize gains from risk sharing. ACOs will include significantly large health care systems and hospital systems that will be allowed to benefit from assuming financial risk for the total cost of care for their attributed members. CPs, on the other hand, will not enjoy any upside risk sharing that can be used to build a stronger program</w:t>
      </w:r>
      <w:r>
        <w:rPr>
          <w:spacing w:val="-11"/>
        </w:rPr>
        <w:t xml:space="preserve"> </w:t>
      </w:r>
      <w:r>
        <w:t>model.</w:t>
      </w:r>
    </w:p>
    <w:p w:rsidR="002C5025" w:rsidRDefault="002C5025">
      <w:pPr>
        <w:pStyle w:val="ListParagraph"/>
        <w:numPr>
          <w:ilvl w:val="2"/>
          <w:numId w:val="65"/>
        </w:numPr>
        <w:tabs>
          <w:tab w:val="left" w:pos="1940"/>
        </w:tabs>
        <w:kinsoku w:val="0"/>
        <w:overflowPunct w:val="0"/>
        <w:ind w:right="514"/>
      </w:pPr>
      <w:r>
        <w:rPr>
          <w:u w:val="single" w:color="000000"/>
        </w:rPr>
        <w:t>Solution 1</w:t>
      </w:r>
      <w:r>
        <w:t>: DAAHR requests that MassHealth develop criteria for CPs in conjunction with disability advocates to create a framework for upside</w:t>
      </w:r>
      <w:r>
        <w:rPr>
          <w:spacing w:val="-17"/>
        </w:rPr>
        <w:t xml:space="preserve"> </w:t>
      </w:r>
      <w:r>
        <w:t>risk sharing for CPs, as well as an opportunity for CPs to participate in the governance of the</w:t>
      </w:r>
      <w:r>
        <w:rPr>
          <w:spacing w:val="-7"/>
        </w:rPr>
        <w:t xml:space="preserve"> </w:t>
      </w:r>
      <w:r>
        <w:t>ACO.</w:t>
      </w:r>
    </w:p>
    <w:p w:rsidR="002C5025" w:rsidRDefault="002C5025">
      <w:pPr>
        <w:pStyle w:val="ListParagraph"/>
        <w:numPr>
          <w:ilvl w:val="2"/>
          <w:numId w:val="65"/>
        </w:numPr>
        <w:tabs>
          <w:tab w:val="left" w:pos="1940"/>
        </w:tabs>
        <w:kinsoku w:val="0"/>
        <w:overflowPunct w:val="0"/>
        <w:ind w:right="139"/>
      </w:pPr>
      <w:r>
        <w:rPr>
          <w:u w:val="single" w:color="000000"/>
        </w:rPr>
        <w:t>Solution 2</w:t>
      </w:r>
      <w:r>
        <w:t>: MassHealth should provide prescriptive guidelines to ACOs on</w:t>
      </w:r>
      <w:r>
        <w:rPr>
          <w:spacing w:val="-17"/>
        </w:rPr>
        <w:t xml:space="preserve"> </w:t>
      </w:r>
      <w:r>
        <w:t>the establishment of CPs to prevent ACOs from building CPs off of existing hospital community partnerships rather than establishing relationships with community-based organizations that have historically served the community. This includes ILCs, ASAPs and Recovery Learning Communities</w:t>
      </w:r>
      <w:r>
        <w:rPr>
          <w:spacing w:val="-22"/>
        </w:rPr>
        <w:t xml:space="preserve"> </w:t>
      </w:r>
      <w:r>
        <w:t>(RLCs).</w:t>
      </w:r>
    </w:p>
    <w:p w:rsidR="002C5025" w:rsidRDefault="002C5025">
      <w:pPr>
        <w:pStyle w:val="BodyText"/>
        <w:kinsoku w:val="0"/>
        <w:overflowPunct w:val="0"/>
        <w:spacing w:before="2"/>
        <w:rPr>
          <w:rFonts w:ascii="Times New Roman" w:hAnsi="Times New Roman" w:cs="Times New Roman"/>
          <w:sz w:val="24"/>
          <w:szCs w:val="24"/>
        </w:rPr>
      </w:pPr>
    </w:p>
    <w:p w:rsidR="002C5025" w:rsidRDefault="002C5025">
      <w:pPr>
        <w:pStyle w:val="ListParagraph"/>
        <w:numPr>
          <w:ilvl w:val="0"/>
          <w:numId w:val="65"/>
        </w:numPr>
        <w:tabs>
          <w:tab w:val="left" w:pos="500"/>
        </w:tabs>
        <w:kinsoku w:val="0"/>
        <w:overflowPunct w:val="0"/>
        <w:ind w:right="322"/>
      </w:pPr>
      <w:r>
        <w:rPr>
          <w:b/>
          <w:bCs/>
        </w:rPr>
        <w:t>Recommendation 2. Strengthen the Role of the LTSS Representative</w:t>
      </w:r>
      <w:r>
        <w:t>. The 1115</w:t>
      </w:r>
      <w:r>
        <w:rPr>
          <w:spacing w:val="-25"/>
        </w:rPr>
        <w:t xml:space="preserve"> </w:t>
      </w:r>
      <w:r>
        <w:t>Waiver application establishes an “LTSS Representative” position as part of the ACO structure. DAAHR appreciates the mention of this new position, but – lacking any detail – finds it difficult to understand how this may help</w:t>
      </w:r>
      <w:r>
        <w:rPr>
          <w:spacing w:val="-10"/>
        </w:rPr>
        <w:t xml:space="preserve"> </w:t>
      </w:r>
      <w:r>
        <w:t>consumers.</w:t>
      </w:r>
    </w:p>
    <w:p w:rsidR="002C5025" w:rsidRDefault="002C5025">
      <w:pPr>
        <w:pStyle w:val="BodyText"/>
        <w:numPr>
          <w:ilvl w:val="1"/>
          <w:numId w:val="65"/>
        </w:numPr>
        <w:tabs>
          <w:tab w:val="left" w:pos="1220"/>
        </w:tabs>
        <w:kinsoku w:val="0"/>
        <w:overflowPunct w:val="0"/>
        <w:spacing w:before="3" w:line="276" w:lineRule="exact"/>
        <w:ind w:left="1220" w:right="154"/>
        <w:rPr>
          <w:rFonts w:ascii="Times New Roman" w:hAnsi="Times New Roman" w:cs="Times New Roman"/>
          <w:sz w:val="24"/>
          <w:szCs w:val="24"/>
        </w:rPr>
      </w:pPr>
      <w:r>
        <w:rPr>
          <w:rFonts w:ascii="Times New Roman" w:hAnsi="Times New Roman" w:cs="Times New Roman"/>
          <w:sz w:val="24"/>
          <w:szCs w:val="24"/>
          <w:u w:val="single" w:color="000000"/>
        </w:rPr>
        <w:t>Concern</w:t>
      </w:r>
      <w:r>
        <w:rPr>
          <w:rFonts w:ascii="Times New Roman" w:hAnsi="Times New Roman" w:cs="Times New Roman"/>
          <w:sz w:val="24"/>
          <w:szCs w:val="24"/>
        </w:rPr>
        <w:t>: DAAHR is concerned that the ACO LTSS representative may have a more limited role than either the IL-LTSS Coordinator in the One Care program or the Geriatric Services Supports Coordinator (GSSC) in the Senior Care Options (SCO) program. This would undermine the trust of the disability community and the value</w:t>
      </w:r>
      <w:r>
        <w:rPr>
          <w:rFonts w:ascii="Times New Roman" w:hAnsi="Times New Roman" w:cs="Times New Roman"/>
          <w:spacing w:val="-19"/>
          <w:sz w:val="24"/>
          <w:szCs w:val="24"/>
        </w:rPr>
        <w:t xml:space="preserve"> </w:t>
      </w:r>
      <w:r>
        <w:rPr>
          <w:rFonts w:ascii="Times New Roman" w:hAnsi="Times New Roman" w:cs="Times New Roman"/>
          <w:sz w:val="24"/>
          <w:szCs w:val="24"/>
        </w:rPr>
        <w:t>of the role to the member’s care. IL-LTSS Coordinators and GSSCs are essential to shifting the balance away from the medical model to the independent living and recovery</w:t>
      </w:r>
      <w:r>
        <w:rPr>
          <w:rFonts w:ascii="Times New Roman" w:hAnsi="Times New Roman" w:cs="Times New Roman"/>
          <w:spacing w:val="-5"/>
          <w:sz w:val="24"/>
          <w:szCs w:val="24"/>
        </w:rPr>
        <w:t xml:space="preserve"> </w:t>
      </w:r>
      <w:r>
        <w:rPr>
          <w:rFonts w:ascii="Times New Roman" w:hAnsi="Times New Roman" w:cs="Times New Roman"/>
          <w:sz w:val="24"/>
          <w:szCs w:val="24"/>
        </w:rPr>
        <w:t>models.</w:t>
      </w:r>
    </w:p>
    <w:p w:rsidR="002C5025" w:rsidRDefault="002C5025">
      <w:pPr>
        <w:pStyle w:val="ListParagraph"/>
        <w:numPr>
          <w:ilvl w:val="2"/>
          <w:numId w:val="65"/>
        </w:numPr>
        <w:tabs>
          <w:tab w:val="left" w:pos="1940"/>
        </w:tabs>
        <w:kinsoku w:val="0"/>
        <w:overflowPunct w:val="0"/>
        <w:ind w:right="378"/>
      </w:pPr>
      <w:r>
        <w:rPr>
          <w:u w:val="single" w:color="000000"/>
        </w:rPr>
        <w:t>Solution</w:t>
      </w:r>
      <w:r>
        <w:t>: DAAHR requests that the 1115 Waiver Application require that MassHealth establish an LTSS Coordinator position that has the same status that the GSSC has under the SCO program, engaging in discussion with disability advocates on specific aspects of the</w:t>
      </w:r>
      <w:r>
        <w:rPr>
          <w:spacing w:val="-12"/>
        </w:rPr>
        <w:t xml:space="preserve"> </w:t>
      </w:r>
      <w:r>
        <w:t>position.</w:t>
      </w:r>
    </w:p>
    <w:p w:rsidR="002C5025" w:rsidRDefault="00FB027C">
      <w:pPr>
        <w:pStyle w:val="BodyText"/>
        <w:kinsoku w:val="0"/>
        <w:overflowPunct w:val="0"/>
        <w:spacing w:before="10"/>
        <w:rPr>
          <w:rFonts w:ascii="Times New Roman" w:hAnsi="Times New Roman" w:cs="Times New Roman"/>
          <w:sz w:val="12"/>
          <w:szCs w:val="12"/>
        </w:rPr>
      </w:pPr>
      <w:r>
        <w:rPr>
          <w:noProof/>
        </w:rPr>
        <mc:AlternateContent>
          <mc:Choice Requires="wps">
            <w:drawing>
              <wp:anchor distT="0" distB="0" distL="0" distR="0" simplePos="0" relativeHeight="251584000" behindDoc="0" locked="0" layoutInCell="0" allowOverlap="1">
                <wp:simplePos x="0" y="0"/>
                <wp:positionH relativeFrom="page">
                  <wp:posOffset>895985</wp:posOffset>
                </wp:positionH>
                <wp:positionV relativeFrom="paragraph">
                  <wp:posOffset>121920</wp:posOffset>
                </wp:positionV>
                <wp:extent cx="5980430" cy="12700"/>
                <wp:effectExtent l="0" t="0" r="0" b="0"/>
                <wp:wrapTopAndBottom/>
                <wp:docPr id="722" name="Freeform 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0430" cy="12700"/>
                        </a:xfrm>
                        <a:custGeom>
                          <a:avLst/>
                          <a:gdLst>
                            <a:gd name="T0" fmla="*/ 0 w 9418"/>
                            <a:gd name="T1" fmla="*/ 0 h 20"/>
                            <a:gd name="T2" fmla="*/ 9417 w 9418"/>
                            <a:gd name="T3" fmla="*/ 0 h 20"/>
                          </a:gdLst>
                          <a:ahLst/>
                          <a:cxnLst>
                            <a:cxn ang="0">
                              <a:pos x="T0" y="T1"/>
                            </a:cxn>
                            <a:cxn ang="0">
                              <a:pos x="T2" y="T3"/>
                            </a:cxn>
                          </a:cxnLst>
                          <a:rect l="0" t="0" r="r" b="b"/>
                          <a:pathLst>
                            <a:path w="9418" h="20">
                              <a:moveTo>
                                <a:pt x="0" y="0"/>
                              </a:moveTo>
                              <a:lnTo>
                                <a:pt x="9417" y="0"/>
                              </a:lnTo>
                            </a:path>
                          </a:pathLst>
                        </a:custGeom>
                        <a:noFill/>
                        <a:ln w="6108">
                          <a:solidFill>
                            <a:srgbClr val="DADAD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03" o:spid="_x0000_s1026" style="position:absolute;z-index:251584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0.55pt,9.6pt,541.4pt,9.6pt" coordsize="94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" o:allowincell="f" filled="f" strokecolor="#dadada" strokeweight=".16967mm">
                <v:path arrowok="t" o:connecttype="custom" o:connectlocs="0,0;5979795,0" o:connectangles="0,0"/>
                <w10:wrap type="topAndBottom" anchorx="page"/>
              </v:polyline>
            </w:pict>
          </mc:Fallback>
        </mc:AlternateContent>
      </w:r>
    </w:p>
    <w:p w:rsidR="002C5025" w:rsidRDefault="002C5025">
      <w:pPr>
        <w:pStyle w:val="ListParagraph"/>
        <w:numPr>
          <w:ilvl w:val="0"/>
          <w:numId w:val="66"/>
        </w:numPr>
        <w:tabs>
          <w:tab w:val="left" w:pos="304"/>
        </w:tabs>
        <w:kinsoku w:val="0"/>
        <w:overflowPunct w:val="0"/>
        <w:spacing w:line="258" w:lineRule="exact"/>
        <w:ind w:hanging="163"/>
        <w:rPr>
          <w:rFonts w:ascii="Calibri" w:hAnsi="Calibri" w:cs="Calibri"/>
          <w:color w:val="808080"/>
          <w:spacing w:val="9"/>
          <w:sz w:val="22"/>
          <w:szCs w:val="22"/>
        </w:rPr>
      </w:pPr>
      <w:r>
        <w:rPr>
          <w:rFonts w:ascii="Calibri" w:hAnsi="Calibri" w:cs="Calibri"/>
          <w:b/>
          <w:bCs/>
          <w:sz w:val="22"/>
          <w:szCs w:val="22"/>
        </w:rPr>
        <w:t xml:space="preserve">| </w:t>
      </w:r>
      <w:r>
        <w:rPr>
          <w:rFonts w:ascii="Calibri" w:hAnsi="Calibri" w:cs="Calibri"/>
          <w:color w:val="808080"/>
          <w:sz w:val="22"/>
          <w:szCs w:val="22"/>
        </w:rPr>
        <w:t xml:space="preserve">P a </w:t>
      </w:r>
      <w:r>
        <w:rPr>
          <w:rFonts w:ascii="Calibri" w:hAnsi="Calibri" w:cs="Calibri"/>
          <w:color w:val="808080"/>
          <w:spacing w:val="9"/>
          <w:sz w:val="22"/>
          <w:szCs w:val="22"/>
        </w:rPr>
        <w:t>g</w:t>
      </w:r>
      <w:r>
        <w:rPr>
          <w:rFonts w:ascii="Calibri" w:hAnsi="Calibri" w:cs="Calibri"/>
          <w:color w:val="808080"/>
          <w:spacing w:val="21"/>
          <w:sz w:val="22"/>
          <w:szCs w:val="22"/>
        </w:rPr>
        <w:t xml:space="preserve"> </w:t>
      </w:r>
      <w:r>
        <w:rPr>
          <w:rFonts w:ascii="Calibri" w:hAnsi="Calibri" w:cs="Calibri"/>
          <w:color w:val="808080"/>
          <w:sz w:val="22"/>
          <w:szCs w:val="22"/>
        </w:rPr>
        <w:t>e</w:t>
      </w:r>
      <w:r>
        <w:rPr>
          <w:rFonts w:ascii="Calibri" w:hAnsi="Calibri" w:cs="Calibri"/>
          <w:color w:val="808080"/>
          <w:spacing w:val="9"/>
          <w:sz w:val="22"/>
          <w:szCs w:val="22"/>
        </w:rPr>
        <w:t xml:space="preserve"> </w:t>
      </w:r>
    </w:p>
    <w:p w:rsidR="002C5025" w:rsidRDefault="002C5025">
      <w:pPr>
        <w:pStyle w:val="ListParagraph"/>
        <w:numPr>
          <w:ilvl w:val="0"/>
          <w:numId w:val="66"/>
        </w:numPr>
        <w:tabs>
          <w:tab w:val="left" w:pos="304"/>
        </w:tabs>
        <w:kinsoku w:val="0"/>
        <w:overflowPunct w:val="0"/>
        <w:spacing w:line="258" w:lineRule="exact"/>
        <w:ind w:hanging="163"/>
        <w:rPr>
          <w:rFonts w:ascii="Calibri" w:hAnsi="Calibri" w:cs="Calibri"/>
          <w:color w:val="808080"/>
          <w:spacing w:val="9"/>
          <w:sz w:val="22"/>
          <w:szCs w:val="22"/>
        </w:rPr>
        <w:sectPr w:rsidR="002C5025">
          <w:pgSz w:w="12240" w:h="15840"/>
          <w:pgMar w:top="1380" w:right="1300" w:bottom="280" w:left="1300" w:header="720" w:footer="720" w:gutter="0"/>
          <w:cols w:space="720"/>
          <w:noEndnote/>
        </w:sectPr>
      </w:pPr>
    </w:p>
    <w:p w:rsidR="002C5025" w:rsidRDefault="002C5025">
      <w:pPr>
        <w:pStyle w:val="BodyText"/>
        <w:kinsoku w:val="0"/>
        <w:overflowPunct w:val="0"/>
        <w:rPr>
          <w:sz w:val="20"/>
          <w:szCs w:val="20"/>
        </w:rPr>
      </w:pPr>
    </w:p>
    <w:p w:rsidR="002C5025" w:rsidRDefault="002C5025">
      <w:pPr>
        <w:pStyle w:val="BodyText"/>
        <w:numPr>
          <w:ilvl w:val="0"/>
          <w:numId w:val="65"/>
        </w:numPr>
        <w:tabs>
          <w:tab w:val="left" w:pos="500"/>
        </w:tabs>
        <w:kinsoku w:val="0"/>
        <w:overflowPunct w:val="0"/>
        <w:spacing w:before="205"/>
        <w:ind w:right="329"/>
        <w:rPr>
          <w:rFonts w:ascii="Times New Roman" w:hAnsi="Times New Roman" w:cs="Times New Roman"/>
          <w:sz w:val="24"/>
          <w:szCs w:val="24"/>
        </w:rPr>
      </w:pPr>
      <w:r>
        <w:rPr>
          <w:rFonts w:ascii="Times New Roman" w:hAnsi="Times New Roman" w:cs="Times New Roman"/>
          <w:b/>
          <w:bCs/>
          <w:sz w:val="24"/>
          <w:szCs w:val="24"/>
        </w:rPr>
        <w:t>Recommendation 3. Rebalance Spending</w:t>
      </w:r>
      <w:r>
        <w:rPr>
          <w:rFonts w:ascii="Times New Roman" w:hAnsi="Times New Roman" w:cs="Times New Roman"/>
          <w:sz w:val="24"/>
          <w:szCs w:val="24"/>
        </w:rPr>
        <w:t>. DAAHR is pleased that the waiver language now includes reference to rebalancing spending. This must be at the top of the agenda for ACOs. The 1115 Waiver Application must include a strategy to rebalance spending across the system, including spending to address social determinants of health. There needs to be</w:t>
      </w:r>
      <w:r>
        <w:rPr>
          <w:rFonts w:ascii="Times New Roman" w:hAnsi="Times New Roman" w:cs="Times New Roman"/>
          <w:spacing w:val="-20"/>
          <w:sz w:val="24"/>
          <w:szCs w:val="24"/>
        </w:rPr>
        <w:t xml:space="preserve"> </w:t>
      </w:r>
      <w:r>
        <w:rPr>
          <w:rFonts w:ascii="Times New Roman" w:hAnsi="Times New Roman" w:cs="Times New Roman"/>
          <w:sz w:val="24"/>
          <w:szCs w:val="24"/>
        </w:rPr>
        <w:t xml:space="preserve">a clear commitment to rebalancing spending of LTSS away from institutional settings to the least-restrictive setting of a consumer’s choice. Ongoing in-home care is an essential piece of both </w:t>
      </w:r>
      <w:r>
        <w:rPr>
          <w:rFonts w:ascii="Times New Roman" w:hAnsi="Times New Roman" w:cs="Times New Roman"/>
          <w:i/>
          <w:iCs/>
          <w:sz w:val="24"/>
          <w:szCs w:val="24"/>
        </w:rPr>
        <w:t xml:space="preserve">Olmstead </w:t>
      </w:r>
      <w:r>
        <w:rPr>
          <w:rFonts w:ascii="Times New Roman" w:hAnsi="Times New Roman" w:cs="Times New Roman"/>
          <w:sz w:val="24"/>
          <w:szCs w:val="24"/>
        </w:rPr>
        <w:t>compliance and reducing costs and should be emphasized in the waiver. Rebalancing spending should also look to reducing homelessness and recidivism among members involved within the criminal justice</w:t>
      </w:r>
      <w:r>
        <w:rPr>
          <w:rFonts w:ascii="Times New Roman" w:hAnsi="Times New Roman" w:cs="Times New Roman"/>
          <w:spacing w:val="-14"/>
          <w:sz w:val="24"/>
          <w:szCs w:val="24"/>
        </w:rPr>
        <w:t xml:space="preserve"> </w:t>
      </w:r>
      <w:r>
        <w:rPr>
          <w:rFonts w:ascii="Times New Roman" w:hAnsi="Times New Roman" w:cs="Times New Roman"/>
          <w:sz w:val="24"/>
          <w:szCs w:val="24"/>
        </w:rPr>
        <w:t>system.</w:t>
      </w:r>
    </w:p>
    <w:p w:rsidR="002C5025" w:rsidRDefault="002C5025">
      <w:pPr>
        <w:pStyle w:val="ListParagraph"/>
        <w:numPr>
          <w:ilvl w:val="1"/>
          <w:numId w:val="65"/>
        </w:numPr>
        <w:tabs>
          <w:tab w:val="left" w:pos="1220"/>
        </w:tabs>
        <w:kinsoku w:val="0"/>
        <w:overflowPunct w:val="0"/>
        <w:spacing w:before="3" w:line="276" w:lineRule="exact"/>
        <w:ind w:left="1220" w:right="152"/>
      </w:pPr>
      <w:r>
        <w:rPr>
          <w:u w:val="single" w:color="000000"/>
        </w:rPr>
        <w:t xml:space="preserve">Concern: </w:t>
      </w:r>
      <w:r>
        <w:t xml:space="preserve">MassHealth has not put forward an effective strategy for reducing the number of members residing in SNFs or those who are chronically homeless or at risk of homelessness or involved with the correctional system. Housing First initiatives are a proven tool to reduce health care costs and yet the use of DSRIP funds for the purpose of housing supports seems to be overly limited. The application also lacks any mention of </w:t>
      </w:r>
      <w:proofErr w:type="spellStart"/>
      <w:r>
        <w:t>habilitative</w:t>
      </w:r>
      <w:proofErr w:type="spellEnd"/>
      <w:r>
        <w:t xml:space="preserve"> services, home care, delivered meals, and other cost- effective, independence-supporting services that are, for instance, available in One Care and various HCBS waivers. A lack of such services can negatively impact the health outcomes of ACO</w:t>
      </w:r>
      <w:r>
        <w:rPr>
          <w:spacing w:val="-9"/>
        </w:rPr>
        <w:t xml:space="preserve"> </w:t>
      </w:r>
      <w:r>
        <w:t>members.</w:t>
      </w:r>
    </w:p>
    <w:p w:rsidR="002C5025" w:rsidRDefault="002C5025">
      <w:pPr>
        <w:pStyle w:val="BodyText"/>
        <w:kinsoku w:val="0"/>
        <w:overflowPunct w:val="0"/>
        <w:spacing w:before="8"/>
        <w:rPr>
          <w:rFonts w:ascii="Times New Roman" w:hAnsi="Times New Roman" w:cs="Times New Roman"/>
          <w:sz w:val="23"/>
          <w:szCs w:val="23"/>
        </w:rPr>
      </w:pPr>
    </w:p>
    <w:p w:rsidR="002C5025" w:rsidRDefault="002C5025">
      <w:pPr>
        <w:pStyle w:val="BodyText"/>
        <w:kinsoku w:val="0"/>
        <w:overflowPunct w:val="0"/>
        <w:ind w:left="1220" w:right="182"/>
        <w:rPr>
          <w:rFonts w:ascii="Times New Roman" w:hAnsi="Times New Roman" w:cs="Times New Roman"/>
          <w:sz w:val="24"/>
          <w:szCs w:val="24"/>
        </w:rPr>
      </w:pPr>
      <w:r>
        <w:rPr>
          <w:rFonts w:ascii="Times New Roman" w:hAnsi="Times New Roman" w:cs="Times New Roman"/>
          <w:sz w:val="24"/>
          <w:szCs w:val="24"/>
        </w:rPr>
        <w:t>Also, the waiver proposal does not explicitly describe how risk adjustment will include social determinants or provide guidance on how “flexible” dollars are to be used to support the mitigation of social determinants to reduce costs and improve quality of life. We would suggest that the use of flexible dollars be directed toward a broad range of services and equipment, including innovative services that may not meet the traditional criteria of being “evidence-based,” but that show promise based upon the individual member’s experience or that of the provider’s practice. Finally, concurrent with this application, MassHealth has proposed to significantly restrict the use of overtime of personal care attendants (PCAs) and establish third party assessments for LTSS, matters that in themselves could dramatically alter and destabilize LTSS, at least in the short term, as new systems of service and oversight are implemented. It appears that the proposed Third Party Administrator initiative, including the implementation of Electronic Visit Verifications and ACO contract requirements to “maintain or increase the level of recoveries from LTSS providers” may reduce the ability of care teams to create comprehensive care plans that meet the goals of ACO members.</w:t>
      </w:r>
    </w:p>
    <w:p w:rsidR="002C5025" w:rsidRDefault="002C5025">
      <w:pPr>
        <w:pStyle w:val="ListParagraph"/>
        <w:numPr>
          <w:ilvl w:val="2"/>
          <w:numId w:val="65"/>
        </w:numPr>
        <w:tabs>
          <w:tab w:val="left" w:pos="1940"/>
        </w:tabs>
        <w:kinsoku w:val="0"/>
        <w:overflowPunct w:val="0"/>
        <w:ind w:right="158"/>
      </w:pPr>
      <w:r>
        <w:rPr>
          <w:u w:val="single" w:color="000000"/>
        </w:rPr>
        <w:t>Solution 1</w:t>
      </w:r>
      <w:r>
        <w:t>: ACOs should be required to establish practices that favor community-based care over institutional care to promote rebalancing of spending. ACOs must also be required to implement services akin to those in the Money Follows the Person (MFP) demonstration. This is particularly important as MFP sunsets in Massachusetts and ACOs move into the LTSS arena, with control of LTSS dollars. ACOs should also be held accountable for providing continuity of care for transitions to behavioral health facilities or medical facilities and from behavioral health and medical facilities to the least restrictive setting possible, preferably the member’s</w:t>
      </w:r>
      <w:r>
        <w:rPr>
          <w:spacing w:val="-16"/>
        </w:rPr>
        <w:t xml:space="preserve"> </w:t>
      </w:r>
      <w:r>
        <w:t>home.</w:t>
      </w:r>
    </w:p>
    <w:p w:rsidR="002C5025" w:rsidRDefault="002C5025">
      <w:pPr>
        <w:pStyle w:val="BodyText"/>
        <w:kinsoku w:val="0"/>
        <w:overflowPunct w:val="0"/>
        <w:rPr>
          <w:rFonts w:ascii="Times New Roman" w:hAnsi="Times New Roman" w:cs="Times New Roman"/>
          <w:sz w:val="20"/>
          <w:szCs w:val="20"/>
        </w:rPr>
      </w:pPr>
    </w:p>
    <w:p w:rsidR="002C5025" w:rsidRDefault="00FB027C">
      <w:pPr>
        <w:pStyle w:val="BodyText"/>
        <w:kinsoku w:val="0"/>
        <w:overflowPunct w:val="0"/>
        <w:spacing w:before="3"/>
        <w:rPr>
          <w:rFonts w:ascii="Times New Roman" w:hAnsi="Times New Roman" w:cs="Times New Roman"/>
          <w:sz w:val="15"/>
          <w:szCs w:val="15"/>
        </w:rPr>
      </w:pPr>
      <w:r>
        <w:rPr>
          <w:noProof/>
        </w:rPr>
        <mc:AlternateContent>
          <mc:Choice Requires="wps">
            <w:drawing>
              <wp:anchor distT="0" distB="0" distL="0" distR="0" simplePos="0" relativeHeight="251585024" behindDoc="0" locked="0" layoutInCell="0" allowOverlap="1">
                <wp:simplePos x="0" y="0"/>
                <wp:positionH relativeFrom="page">
                  <wp:posOffset>895985</wp:posOffset>
                </wp:positionH>
                <wp:positionV relativeFrom="paragraph">
                  <wp:posOffset>139065</wp:posOffset>
                </wp:positionV>
                <wp:extent cx="5980430" cy="12700"/>
                <wp:effectExtent l="0" t="0" r="0" b="0"/>
                <wp:wrapTopAndBottom/>
                <wp:docPr id="721" name="Freeform 3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0430" cy="12700"/>
                        </a:xfrm>
                        <a:custGeom>
                          <a:avLst/>
                          <a:gdLst>
                            <a:gd name="T0" fmla="*/ 0 w 9418"/>
                            <a:gd name="T1" fmla="*/ 0 h 20"/>
                            <a:gd name="T2" fmla="*/ 9417 w 9418"/>
                            <a:gd name="T3" fmla="*/ 0 h 20"/>
                          </a:gdLst>
                          <a:ahLst/>
                          <a:cxnLst>
                            <a:cxn ang="0">
                              <a:pos x="T0" y="T1"/>
                            </a:cxn>
                            <a:cxn ang="0">
                              <a:pos x="T2" y="T3"/>
                            </a:cxn>
                          </a:cxnLst>
                          <a:rect l="0" t="0" r="r" b="b"/>
                          <a:pathLst>
                            <a:path w="9418" h="20">
                              <a:moveTo>
                                <a:pt x="0" y="0"/>
                              </a:moveTo>
                              <a:lnTo>
                                <a:pt x="9417" y="0"/>
                              </a:lnTo>
                            </a:path>
                          </a:pathLst>
                        </a:custGeom>
                        <a:noFill/>
                        <a:ln w="6108">
                          <a:solidFill>
                            <a:srgbClr val="DADAD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04" o:spid="_x0000_s1026" style="position:absolute;z-index:251585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0.55pt,10.95pt,541.4pt,10.95pt" coordsize="94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" o:allowincell="f" filled="f" strokecolor="#dadada" strokeweight=".16967mm">
                <v:path arrowok="t" o:connecttype="custom" o:connectlocs="0,0;5979795,0" o:connectangles="0,0"/>
                <w10:wrap type="topAndBottom" anchorx="page"/>
              </v:polyline>
            </w:pict>
          </mc:Fallback>
        </mc:AlternateContent>
      </w:r>
    </w:p>
    <w:p w:rsidR="002C5025" w:rsidRDefault="002C5025">
      <w:pPr>
        <w:pStyle w:val="ListParagraph"/>
        <w:numPr>
          <w:ilvl w:val="0"/>
          <w:numId w:val="66"/>
        </w:numPr>
        <w:tabs>
          <w:tab w:val="left" w:pos="304"/>
        </w:tabs>
        <w:kinsoku w:val="0"/>
        <w:overflowPunct w:val="0"/>
        <w:spacing w:line="258" w:lineRule="exact"/>
        <w:ind w:hanging="163"/>
        <w:rPr>
          <w:rFonts w:ascii="Calibri" w:hAnsi="Calibri" w:cs="Calibri"/>
          <w:color w:val="808080"/>
          <w:spacing w:val="9"/>
          <w:sz w:val="22"/>
          <w:szCs w:val="22"/>
        </w:rPr>
      </w:pPr>
      <w:r>
        <w:rPr>
          <w:rFonts w:ascii="Calibri" w:hAnsi="Calibri" w:cs="Calibri"/>
          <w:b/>
          <w:bCs/>
          <w:sz w:val="22"/>
          <w:szCs w:val="22"/>
        </w:rPr>
        <w:t xml:space="preserve">| </w:t>
      </w:r>
      <w:r>
        <w:rPr>
          <w:rFonts w:ascii="Calibri" w:hAnsi="Calibri" w:cs="Calibri"/>
          <w:color w:val="808080"/>
          <w:sz w:val="22"/>
          <w:szCs w:val="22"/>
        </w:rPr>
        <w:t xml:space="preserve">P a </w:t>
      </w:r>
      <w:r>
        <w:rPr>
          <w:rFonts w:ascii="Calibri" w:hAnsi="Calibri" w:cs="Calibri"/>
          <w:color w:val="808080"/>
          <w:spacing w:val="9"/>
          <w:sz w:val="22"/>
          <w:szCs w:val="22"/>
        </w:rPr>
        <w:t>g</w:t>
      </w:r>
      <w:r>
        <w:rPr>
          <w:rFonts w:ascii="Calibri" w:hAnsi="Calibri" w:cs="Calibri"/>
          <w:color w:val="808080"/>
          <w:spacing w:val="21"/>
          <w:sz w:val="22"/>
          <w:szCs w:val="22"/>
        </w:rPr>
        <w:t xml:space="preserve"> </w:t>
      </w:r>
      <w:r>
        <w:rPr>
          <w:rFonts w:ascii="Calibri" w:hAnsi="Calibri" w:cs="Calibri"/>
          <w:color w:val="808080"/>
          <w:sz w:val="22"/>
          <w:szCs w:val="22"/>
        </w:rPr>
        <w:t>e</w:t>
      </w:r>
      <w:r>
        <w:rPr>
          <w:rFonts w:ascii="Calibri" w:hAnsi="Calibri" w:cs="Calibri"/>
          <w:color w:val="808080"/>
          <w:spacing w:val="9"/>
          <w:sz w:val="22"/>
          <w:szCs w:val="22"/>
        </w:rPr>
        <w:t xml:space="preserve"> </w:t>
      </w:r>
    </w:p>
    <w:p w:rsidR="002C5025" w:rsidRDefault="002C5025">
      <w:pPr>
        <w:pStyle w:val="ListParagraph"/>
        <w:numPr>
          <w:ilvl w:val="0"/>
          <w:numId w:val="66"/>
        </w:numPr>
        <w:tabs>
          <w:tab w:val="left" w:pos="304"/>
        </w:tabs>
        <w:kinsoku w:val="0"/>
        <w:overflowPunct w:val="0"/>
        <w:spacing w:line="258" w:lineRule="exact"/>
        <w:ind w:hanging="163"/>
        <w:rPr>
          <w:rFonts w:ascii="Calibri" w:hAnsi="Calibri" w:cs="Calibri"/>
          <w:color w:val="808080"/>
          <w:spacing w:val="9"/>
          <w:sz w:val="22"/>
          <w:szCs w:val="22"/>
        </w:rPr>
        <w:sectPr w:rsidR="002C5025">
          <w:pgSz w:w="12240" w:h="15840"/>
          <w:pgMar w:top="1500" w:right="1300" w:bottom="280" w:left="1300" w:header="720" w:footer="720" w:gutter="0"/>
          <w:cols w:space="720"/>
          <w:noEndnote/>
        </w:sectPr>
      </w:pPr>
    </w:p>
    <w:p w:rsidR="002C5025" w:rsidRDefault="002C5025">
      <w:pPr>
        <w:pStyle w:val="BodyText"/>
        <w:numPr>
          <w:ilvl w:val="0"/>
          <w:numId w:val="63"/>
        </w:numPr>
        <w:tabs>
          <w:tab w:val="left" w:pos="1940"/>
        </w:tabs>
        <w:kinsoku w:val="0"/>
        <w:overflowPunct w:val="0"/>
        <w:spacing w:before="52"/>
        <w:ind w:right="658"/>
        <w:rPr>
          <w:rFonts w:ascii="Times New Roman" w:hAnsi="Times New Roman" w:cs="Times New Roman"/>
          <w:sz w:val="24"/>
          <w:szCs w:val="24"/>
        </w:rPr>
      </w:pPr>
      <w:r>
        <w:rPr>
          <w:rFonts w:ascii="Times New Roman" w:hAnsi="Times New Roman" w:cs="Times New Roman"/>
          <w:sz w:val="24"/>
          <w:szCs w:val="24"/>
          <w:u w:val="single" w:color="000000"/>
        </w:rPr>
        <w:lastRenderedPageBreak/>
        <w:t>Solution 2</w:t>
      </w:r>
      <w:r>
        <w:rPr>
          <w:rFonts w:ascii="Times New Roman" w:hAnsi="Times New Roman" w:cs="Times New Roman"/>
          <w:sz w:val="24"/>
          <w:szCs w:val="24"/>
        </w:rPr>
        <w:t>: MassHealth should set reporting requirements by ACOs for reductions in the percentage of members residing in institutional settings. These benchmarks should include metrics, including</w:t>
      </w:r>
      <w:r>
        <w:rPr>
          <w:rFonts w:ascii="Times New Roman" w:hAnsi="Times New Roman" w:cs="Times New Roman"/>
          <w:spacing w:val="-15"/>
          <w:sz w:val="24"/>
          <w:szCs w:val="24"/>
        </w:rPr>
        <w:t xml:space="preserve"> </w:t>
      </w:r>
      <w:r>
        <w:rPr>
          <w:rFonts w:ascii="Times New Roman" w:hAnsi="Times New Roman" w:cs="Times New Roman"/>
          <w:sz w:val="24"/>
          <w:szCs w:val="24"/>
        </w:rPr>
        <w:t>these:</w:t>
      </w:r>
    </w:p>
    <w:p w:rsidR="002C5025" w:rsidRDefault="002C5025">
      <w:pPr>
        <w:pStyle w:val="ListParagraph"/>
        <w:numPr>
          <w:ilvl w:val="1"/>
          <w:numId w:val="63"/>
        </w:numPr>
        <w:tabs>
          <w:tab w:val="left" w:pos="2300"/>
        </w:tabs>
        <w:kinsoku w:val="0"/>
        <w:overflowPunct w:val="0"/>
        <w:ind w:right="202"/>
      </w:pPr>
      <w:r>
        <w:t>The number of members transitioned out of Skilled Nursing Facilities into the community, including the type of setting where the member</w:t>
      </w:r>
      <w:r>
        <w:rPr>
          <w:spacing w:val="-19"/>
        </w:rPr>
        <w:t xml:space="preserve"> </w:t>
      </w:r>
      <w:r>
        <w:t>moves;</w:t>
      </w:r>
    </w:p>
    <w:p w:rsidR="002C5025" w:rsidRDefault="002C5025">
      <w:pPr>
        <w:pStyle w:val="ListParagraph"/>
        <w:numPr>
          <w:ilvl w:val="1"/>
          <w:numId w:val="63"/>
        </w:numPr>
        <w:tabs>
          <w:tab w:val="left" w:pos="2300"/>
        </w:tabs>
        <w:kinsoku w:val="0"/>
        <w:overflowPunct w:val="0"/>
        <w:ind w:right="433"/>
      </w:pPr>
      <w:r>
        <w:t>The number of members receiving transitional assistance from CBOs in hospital settings, which will support member choice and reduce the number of people transitioning from hospitals into institutional</w:t>
      </w:r>
      <w:r>
        <w:rPr>
          <w:spacing w:val="-18"/>
        </w:rPr>
        <w:t xml:space="preserve"> </w:t>
      </w:r>
      <w:r>
        <w:t>settings; and</w:t>
      </w:r>
    </w:p>
    <w:p w:rsidR="002C5025" w:rsidRDefault="002C5025">
      <w:pPr>
        <w:pStyle w:val="ListParagraph"/>
        <w:numPr>
          <w:ilvl w:val="1"/>
          <w:numId w:val="63"/>
        </w:numPr>
        <w:tabs>
          <w:tab w:val="left" w:pos="2300"/>
        </w:tabs>
        <w:kinsoku w:val="0"/>
        <w:overflowPunct w:val="0"/>
        <w:ind w:right="253"/>
      </w:pPr>
      <w:r>
        <w:t>Reductions in the number of members transitioning from hospital</w:t>
      </w:r>
      <w:r>
        <w:rPr>
          <w:spacing w:val="-17"/>
        </w:rPr>
        <w:t xml:space="preserve"> </w:t>
      </w:r>
      <w:r>
        <w:t>settings into institutional</w:t>
      </w:r>
      <w:r>
        <w:rPr>
          <w:spacing w:val="-9"/>
        </w:rPr>
        <w:t xml:space="preserve"> </w:t>
      </w:r>
      <w:r>
        <w:t>settings.</w:t>
      </w:r>
    </w:p>
    <w:p w:rsidR="002C5025" w:rsidRDefault="002C5025">
      <w:pPr>
        <w:pStyle w:val="ListParagraph"/>
        <w:numPr>
          <w:ilvl w:val="0"/>
          <w:numId w:val="63"/>
        </w:numPr>
        <w:tabs>
          <w:tab w:val="left" w:pos="1940"/>
        </w:tabs>
        <w:kinsoku w:val="0"/>
        <w:overflowPunct w:val="0"/>
        <w:ind w:right="166"/>
      </w:pPr>
      <w:r>
        <w:rPr>
          <w:u w:val="single" w:color="000000"/>
        </w:rPr>
        <w:t>Solution 3</w:t>
      </w:r>
      <w:r>
        <w:t>: Pursue as feasible a Housing First model. MassHealth should provide guidance to ACOs on low-threshold support services for members who are chronically homeless. This should include prescriptive language requiring ACOs to align provider incentives in a manner that supports these services. In addition to members who are homeless, ACOs should be required to provide data that demonstrates competency in provision of services to members with a history of involvement in the corrections system. MassHealth should also require ACOs to actively seek out opportunities for persons eligible for MassHealth coming out of the corrections system to enroll in their ACO. This is of particular importance to people with behavioral health needs and/or cognitive or physical</w:t>
      </w:r>
      <w:r>
        <w:rPr>
          <w:spacing w:val="-10"/>
        </w:rPr>
        <w:t xml:space="preserve"> </w:t>
      </w:r>
      <w:r>
        <w:t>disabilities.</w:t>
      </w:r>
    </w:p>
    <w:p w:rsidR="002C5025" w:rsidRDefault="002C5025">
      <w:pPr>
        <w:pStyle w:val="ListParagraph"/>
        <w:numPr>
          <w:ilvl w:val="0"/>
          <w:numId w:val="63"/>
        </w:numPr>
        <w:tabs>
          <w:tab w:val="left" w:pos="1940"/>
        </w:tabs>
        <w:kinsoku w:val="0"/>
        <w:overflowPunct w:val="0"/>
        <w:ind w:right="295"/>
      </w:pPr>
      <w:r>
        <w:rPr>
          <w:u w:val="single" w:color="000000"/>
        </w:rPr>
        <w:t>Solution 4</w:t>
      </w:r>
      <w:r>
        <w:t>: MassHealth should use appropriate risk adjustment strategies</w:t>
      </w:r>
      <w:r>
        <w:rPr>
          <w:spacing w:val="-18"/>
        </w:rPr>
        <w:t xml:space="preserve"> </w:t>
      </w:r>
      <w:r>
        <w:t xml:space="preserve">and incentive alignments to support the ability of ACOs to provide </w:t>
      </w:r>
      <w:proofErr w:type="spellStart"/>
      <w:r>
        <w:t>habilitative</w:t>
      </w:r>
      <w:proofErr w:type="spellEnd"/>
      <w:r>
        <w:t xml:space="preserve"> services in the home, home care services, delivered meals, and other cost- effective home care services. This will demonstrate that MassHealth is committed to population health beyond reduction in</w:t>
      </w:r>
      <w:r>
        <w:rPr>
          <w:spacing w:val="-13"/>
        </w:rPr>
        <w:t xml:space="preserve"> </w:t>
      </w:r>
      <w:r>
        <w:t>costs.</w:t>
      </w:r>
    </w:p>
    <w:p w:rsidR="002C5025" w:rsidRDefault="002C5025">
      <w:pPr>
        <w:pStyle w:val="ListParagraph"/>
        <w:numPr>
          <w:ilvl w:val="0"/>
          <w:numId w:val="63"/>
        </w:numPr>
        <w:tabs>
          <w:tab w:val="left" w:pos="1940"/>
        </w:tabs>
        <w:kinsoku w:val="0"/>
        <w:overflowPunct w:val="0"/>
        <w:ind w:right="265"/>
      </w:pPr>
      <w:r>
        <w:rPr>
          <w:u w:val="single" w:color="000000"/>
        </w:rPr>
        <w:t>Solution 5</w:t>
      </w:r>
      <w:r>
        <w:t>: MassHealth should use a use population-appropriate risk adjustment when developing global payments for ACOs to protect consumer access to LTSS and BH services by building in initial funding necessary for an ACO to deliver services in a fiscally sustainable manner. We learned from One Care that the fee-for-service system fails to address significant needs of people with complex needs; there was a dramatic reclassification of people from risk category C1 to C2 and C3 (as high as 25% of members) because of significant need for more services. Global payments should also include risk adjustment that enables ACOs to provide low-threshold support services for members who are chronically homeless to assist them to remain in long-term housing.</w:t>
      </w:r>
    </w:p>
    <w:p w:rsidR="002C5025" w:rsidRDefault="002C5025">
      <w:pPr>
        <w:pStyle w:val="ListParagraph"/>
        <w:numPr>
          <w:ilvl w:val="0"/>
          <w:numId w:val="63"/>
        </w:numPr>
        <w:tabs>
          <w:tab w:val="left" w:pos="1940"/>
        </w:tabs>
        <w:kinsoku w:val="0"/>
        <w:overflowPunct w:val="0"/>
        <w:ind w:right="175"/>
      </w:pPr>
      <w:r>
        <w:rPr>
          <w:u w:val="single" w:color="000000"/>
        </w:rPr>
        <w:t xml:space="preserve">Solution 6: </w:t>
      </w:r>
      <w:r>
        <w:t>MassHealth should establish a population-based risk adjustment approach that includes social, cultural, and economic factors, so that</w:t>
      </w:r>
      <w:r>
        <w:rPr>
          <w:spacing w:val="-15"/>
        </w:rPr>
        <w:t xml:space="preserve"> </w:t>
      </w:r>
      <w:r>
        <w:t>resources are available</w:t>
      </w:r>
      <w:r>
        <w:rPr>
          <w:spacing w:val="-5"/>
        </w:rPr>
        <w:t xml:space="preserve"> </w:t>
      </w:r>
      <w:r>
        <w:t>to:</w:t>
      </w:r>
    </w:p>
    <w:p w:rsidR="002C5025" w:rsidRDefault="002C5025">
      <w:pPr>
        <w:pStyle w:val="ListParagraph"/>
        <w:numPr>
          <w:ilvl w:val="1"/>
          <w:numId w:val="63"/>
        </w:numPr>
        <w:tabs>
          <w:tab w:val="left" w:pos="2300"/>
        </w:tabs>
        <w:kinsoku w:val="0"/>
        <w:overflowPunct w:val="0"/>
        <w:ind w:right="448"/>
      </w:pPr>
      <w:r>
        <w:t>Provide culturally and linguistically appropriate medical services for people who are poor; homeless; have difficulties with English; are</w:t>
      </w:r>
      <w:r>
        <w:rPr>
          <w:spacing w:val="-17"/>
        </w:rPr>
        <w:t xml:space="preserve"> </w:t>
      </w:r>
      <w:r>
        <w:t>from racial/ethnic minority or gender identity/sexual orientation minority populations; and have physical, mental health, intellectual or sensory disabilities;</w:t>
      </w:r>
      <w:r>
        <w:rPr>
          <w:spacing w:val="-4"/>
        </w:rPr>
        <w:t xml:space="preserve"> </w:t>
      </w:r>
      <w:r>
        <w:t>and</w:t>
      </w:r>
    </w:p>
    <w:p w:rsidR="002C5025" w:rsidRDefault="002C5025">
      <w:pPr>
        <w:pStyle w:val="BodyText"/>
        <w:kinsoku w:val="0"/>
        <w:overflowPunct w:val="0"/>
        <w:rPr>
          <w:rFonts w:ascii="Times New Roman" w:hAnsi="Times New Roman" w:cs="Times New Roman"/>
          <w:sz w:val="20"/>
          <w:szCs w:val="20"/>
        </w:rPr>
      </w:pPr>
    </w:p>
    <w:p w:rsidR="002C5025" w:rsidRDefault="00FB027C">
      <w:pPr>
        <w:pStyle w:val="BodyText"/>
        <w:kinsoku w:val="0"/>
        <w:overflowPunct w:val="0"/>
        <w:spacing w:before="7"/>
        <w:rPr>
          <w:rFonts w:ascii="Times New Roman" w:hAnsi="Times New Roman" w:cs="Times New Roman"/>
          <w:sz w:val="13"/>
          <w:szCs w:val="13"/>
        </w:rPr>
      </w:pPr>
      <w:r>
        <w:rPr>
          <w:noProof/>
        </w:rPr>
        <mc:AlternateContent>
          <mc:Choice Requires="wps">
            <w:drawing>
              <wp:anchor distT="0" distB="0" distL="0" distR="0" simplePos="0" relativeHeight="251586048" behindDoc="0" locked="0" layoutInCell="0" allowOverlap="1">
                <wp:simplePos x="0" y="0"/>
                <wp:positionH relativeFrom="page">
                  <wp:posOffset>895985</wp:posOffset>
                </wp:positionH>
                <wp:positionV relativeFrom="paragraph">
                  <wp:posOffset>127000</wp:posOffset>
                </wp:positionV>
                <wp:extent cx="5980430" cy="12700"/>
                <wp:effectExtent l="0" t="0" r="0" b="0"/>
                <wp:wrapTopAndBottom/>
                <wp:docPr id="720" name="Freeform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0430" cy="12700"/>
                        </a:xfrm>
                        <a:custGeom>
                          <a:avLst/>
                          <a:gdLst>
                            <a:gd name="T0" fmla="*/ 0 w 9418"/>
                            <a:gd name="T1" fmla="*/ 0 h 20"/>
                            <a:gd name="T2" fmla="*/ 9417 w 9418"/>
                            <a:gd name="T3" fmla="*/ 0 h 20"/>
                          </a:gdLst>
                          <a:ahLst/>
                          <a:cxnLst>
                            <a:cxn ang="0">
                              <a:pos x="T0" y="T1"/>
                            </a:cxn>
                            <a:cxn ang="0">
                              <a:pos x="T2" y="T3"/>
                            </a:cxn>
                          </a:cxnLst>
                          <a:rect l="0" t="0" r="r" b="b"/>
                          <a:pathLst>
                            <a:path w="9418" h="20">
                              <a:moveTo>
                                <a:pt x="0" y="0"/>
                              </a:moveTo>
                              <a:lnTo>
                                <a:pt x="9417" y="0"/>
                              </a:lnTo>
                            </a:path>
                          </a:pathLst>
                        </a:custGeom>
                        <a:noFill/>
                        <a:ln w="6108">
                          <a:solidFill>
                            <a:srgbClr val="DADAD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05" o:spid="_x0000_s1026" style="position:absolute;z-index:251586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0.55pt,10pt,541.4pt,10pt" coordsize="94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" o:allowincell="f" filled="f" strokecolor="#dadada" strokeweight=".16967mm">
                <v:path arrowok="t" o:connecttype="custom" o:connectlocs="0,0;5979795,0" o:connectangles="0,0"/>
                <w10:wrap type="topAndBottom" anchorx="page"/>
              </v:polyline>
            </w:pict>
          </mc:Fallback>
        </mc:AlternateContent>
      </w:r>
    </w:p>
    <w:p w:rsidR="002C5025" w:rsidRDefault="002C5025">
      <w:pPr>
        <w:pStyle w:val="ListParagraph"/>
        <w:numPr>
          <w:ilvl w:val="0"/>
          <w:numId w:val="66"/>
        </w:numPr>
        <w:tabs>
          <w:tab w:val="left" w:pos="304"/>
        </w:tabs>
        <w:kinsoku w:val="0"/>
        <w:overflowPunct w:val="0"/>
        <w:spacing w:line="258" w:lineRule="exact"/>
        <w:ind w:hanging="163"/>
        <w:rPr>
          <w:rFonts w:ascii="Calibri" w:hAnsi="Calibri" w:cs="Calibri"/>
          <w:color w:val="808080"/>
          <w:spacing w:val="9"/>
          <w:sz w:val="22"/>
          <w:szCs w:val="22"/>
        </w:rPr>
      </w:pPr>
      <w:r>
        <w:rPr>
          <w:rFonts w:ascii="Calibri" w:hAnsi="Calibri" w:cs="Calibri"/>
          <w:b/>
          <w:bCs/>
          <w:sz w:val="22"/>
          <w:szCs w:val="22"/>
        </w:rPr>
        <w:t xml:space="preserve">| </w:t>
      </w:r>
      <w:r>
        <w:rPr>
          <w:rFonts w:ascii="Calibri" w:hAnsi="Calibri" w:cs="Calibri"/>
          <w:color w:val="808080"/>
          <w:sz w:val="22"/>
          <w:szCs w:val="22"/>
        </w:rPr>
        <w:t xml:space="preserve">P a </w:t>
      </w:r>
      <w:r>
        <w:rPr>
          <w:rFonts w:ascii="Calibri" w:hAnsi="Calibri" w:cs="Calibri"/>
          <w:color w:val="808080"/>
          <w:spacing w:val="9"/>
          <w:sz w:val="22"/>
          <w:szCs w:val="22"/>
        </w:rPr>
        <w:t>g</w:t>
      </w:r>
      <w:r>
        <w:rPr>
          <w:rFonts w:ascii="Calibri" w:hAnsi="Calibri" w:cs="Calibri"/>
          <w:color w:val="808080"/>
          <w:spacing w:val="21"/>
          <w:sz w:val="22"/>
          <w:szCs w:val="22"/>
        </w:rPr>
        <w:t xml:space="preserve"> </w:t>
      </w:r>
      <w:r>
        <w:rPr>
          <w:rFonts w:ascii="Calibri" w:hAnsi="Calibri" w:cs="Calibri"/>
          <w:color w:val="808080"/>
          <w:sz w:val="22"/>
          <w:szCs w:val="22"/>
        </w:rPr>
        <w:t>e</w:t>
      </w:r>
      <w:r>
        <w:rPr>
          <w:rFonts w:ascii="Calibri" w:hAnsi="Calibri" w:cs="Calibri"/>
          <w:color w:val="808080"/>
          <w:spacing w:val="9"/>
          <w:sz w:val="22"/>
          <w:szCs w:val="22"/>
        </w:rPr>
        <w:t xml:space="preserve"> </w:t>
      </w:r>
    </w:p>
    <w:p w:rsidR="002C5025" w:rsidRDefault="002C5025">
      <w:pPr>
        <w:pStyle w:val="ListParagraph"/>
        <w:numPr>
          <w:ilvl w:val="0"/>
          <w:numId w:val="66"/>
        </w:numPr>
        <w:tabs>
          <w:tab w:val="left" w:pos="304"/>
        </w:tabs>
        <w:kinsoku w:val="0"/>
        <w:overflowPunct w:val="0"/>
        <w:spacing w:line="258" w:lineRule="exact"/>
        <w:ind w:hanging="163"/>
        <w:rPr>
          <w:rFonts w:ascii="Calibri" w:hAnsi="Calibri" w:cs="Calibri"/>
          <w:color w:val="808080"/>
          <w:spacing w:val="9"/>
          <w:sz w:val="22"/>
          <w:szCs w:val="22"/>
        </w:rPr>
        <w:sectPr w:rsidR="002C5025">
          <w:pgSz w:w="12240" w:h="15840"/>
          <w:pgMar w:top="1380" w:right="1300" w:bottom="280" w:left="1300" w:header="720" w:footer="720" w:gutter="0"/>
          <w:cols w:space="720"/>
          <w:noEndnote/>
        </w:sectPr>
      </w:pPr>
    </w:p>
    <w:p w:rsidR="002C5025" w:rsidRDefault="002C5025">
      <w:pPr>
        <w:pStyle w:val="BodyText"/>
        <w:tabs>
          <w:tab w:val="left" w:pos="2299"/>
        </w:tabs>
        <w:kinsoku w:val="0"/>
        <w:overflowPunct w:val="0"/>
        <w:spacing w:before="54" w:line="276" w:lineRule="auto"/>
        <w:ind w:left="2300" w:right="445" w:hanging="360"/>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rPr>
        <w:tab/>
        <w:t>Address social determinants of health, including the need for</w:t>
      </w:r>
      <w:r>
        <w:rPr>
          <w:rFonts w:ascii="Times New Roman" w:hAnsi="Times New Roman" w:cs="Times New Roman"/>
          <w:spacing w:val="-14"/>
          <w:sz w:val="24"/>
          <w:szCs w:val="24"/>
        </w:rPr>
        <w:t xml:space="preserve"> </w:t>
      </w:r>
      <w:r>
        <w:rPr>
          <w:rFonts w:ascii="Times New Roman" w:hAnsi="Times New Roman" w:cs="Times New Roman"/>
          <w:sz w:val="24"/>
          <w:szCs w:val="24"/>
        </w:rPr>
        <w:t>food,</w:t>
      </w:r>
      <w:r>
        <w:rPr>
          <w:rFonts w:ascii="Times New Roman" w:hAnsi="Times New Roman" w:cs="Times New Roman"/>
          <w:spacing w:val="-1"/>
          <w:sz w:val="24"/>
          <w:szCs w:val="24"/>
        </w:rPr>
        <w:t xml:space="preserve"> </w:t>
      </w:r>
      <w:r>
        <w:rPr>
          <w:rFonts w:ascii="Times New Roman" w:hAnsi="Times New Roman" w:cs="Times New Roman"/>
          <w:sz w:val="24"/>
          <w:szCs w:val="24"/>
        </w:rPr>
        <w:t>fuel assistance, and housing assistance, with maximized opportunity to collaborate with community-based providers such as WIC, immigration organizations, and housing authorities and search agencies to increase quality of care, nutrition, and housing</w:t>
      </w:r>
      <w:r>
        <w:rPr>
          <w:rFonts w:ascii="Times New Roman" w:hAnsi="Times New Roman" w:cs="Times New Roman"/>
          <w:spacing w:val="-11"/>
          <w:sz w:val="24"/>
          <w:szCs w:val="24"/>
        </w:rPr>
        <w:t xml:space="preserve"> </w:t>
      </w:r>
      <w:r>
        <w:rPr>
          <w:rFonts w:ascii="Times New Roman" w:hAnsi="Times New Roman" w:cs="Times New Roman"/>
          <w:sz w:val="24"/>
          <w:szCs w:val="24"/>
        </w:rPr>
        <w:t>security.</w:t>
      </w:r>
    </w:p>
    <w:p w:rsidR="002C5025" w:rsidRDefault="002C5025">
      <w:pPr>
        <w:pStyle w:val="ListParagraph"/>
        <w:numPr>
          <w:ilvl w:val="0"/>
          <w:numId w:val="62"/>
        </w:numPr>
        <w:tabs>
          <w:tab w:val="left" w:pos="1940"/>
        </w:tabs>
        <w:kinsoku w:val="0"/>
        <w:overflowPunct w:val="0"/>
        <w:spacing w:before="1" w:line="276" w:lineRule="auto"/>
        <w:ind w:right="142"/>
      </w:pPr>
      <w:r>
        <w:rPr>
          <w:u w:val="single" w:color="000000"/>
        </w:rPr>
        <w:t>Solution 7</w:t>
      </w:r>
      <w:r>
        <w:t>: The implementation of changes to the PCA program and adoption of new methodologies for LTSS assessments (the TPA initiative), which could lead to reductions in services, should be delayed until the competency of ACOs to deliver PCA and other LTSS services is determined in consultation with consumers and</w:t>
      </w:r>
      <w:r>
        <w:rPr>
          <w:spacing w:val="-8"/>
        </w:rPr>
        <w:t xml:space="preserve"> </w:t>
      </w:r>
      <w:r>
        <w:t>advocates.</w:t>
      </w:r>
    </w:p>
    <w:p w:rsidR="002C5025" w:rsidRDefault="002C5025">
      <w:pPr>
        <w:pStyle w:val="BodyText"/>
        <w:kinsoku w:val="0"/>
        <w:overflowPunct w:val="0"/>
        <w:spacing w:before="9"/>
        <w:rPr>
          <w:rFonts w:ascii="Times New Roman" w:hAnsi="Times New Roman" w:cs="Times New Roman"/>
          <w:sz w:val="27"/>
          <w:szCs w:val="27"/>
        </w:rPr>
      </w:pPr>
    </w:p>
    <w:p w:rsidR="002C5025" w:rsidRDefault="002C5025">
      <w:pPr>
        <w:pStyle w:val="ListParagraph"/>
        <w:numPr>
          <w:ilvl w:val="1"/>
          <w:numId w:val="66"/>
        </w:numPr>
        <w:tabs>
          <w:tab w:val="left" w:pos="860"/>
        </w:tabs>
        <w:kinsoku w:val="0"/>
        <w:overflowPunct w:val="0"/>
        <w:ind w:right="466"/>
      </w:pPr>
      <w:r>
        <w:rPr>
          <w:b/>
          <w:bCs/>
        </w:rPr>
        <w:t>Recommendation 4. Obtain Americans with Disabilities Act (ADA) Compliance</w:t>
      </w:r>
      <w:r>
        <w:t>. DAAHR commends the significant emphasis placed on ADA compliance for ACOs in the waiver proposal. This will be a vital step in addressing disparate care received by people with disabilities. We support continued dialogue with community experts to establish clear, enforceable expectations for ACOs on</w:t>
      </w:r>
      <w:r>
        <w:rPr>
          <w:spacing w:val="-16"/>
        </w:rPr>
        <w:t xml:space="preserve"> </w:t>
      </w:r>
      <w:r>
        <w:t>compliance.</w:t>
      </w:r>
    </w:p>
    <w:p w:rsidR="002C5025" w:rsidRDefault="002C5025">
      <w:pPr>
        <w:pStyle w:val="BodyText"/>
        <w:kinsoku w:val="0"/>
        <w:overflowPunct w:val="0"/>
        <w:spacing w:before="2"/>
        <w:rPr>
          <w:rFonts w:ascii="Times New Roman" w:hAnsi="Times New Roman" w:cs="Times New Roman"/>
          <w:sz w:val="24"/>
          <w:szCs w:val="24"/>
        </w:rPr>
      </w:pPr>
    </w:p>
    <w:p w:rsidR="002C5025" w:rsidRDefault="002C5025">
      <w:pPr>
        <w:pStyle w:val="ListParagraph"/>
        <w:numPr>
          <w:ilvl w:val="1"/>
          <w:numId w:val="66"/>
        </w:numPr>
        <w:tabs>
          <w:tab w:val="left" w:pos="860"/>
        </w:tabs>
        <w:kinsoku w:val="0"/>
        <w:overflowPunct w:val="0"/>
        <w:ind w:right="187"/>
      </w:pPr>
      <w:r>
        <w:rPr>
          <w:b/>
          <w:bCs/>
        </w:rPr>
        <w:t xml:space="preserve">Recommendation 5. Establish an external ombudsman program. </w:t>
      </w:r>
      <w:r>
        <w:t>DAAHR appreciates the recognition by MassHealth of the value of an external ombudsman program. But the waiver provides no clarity about the scope of responsibilities of the external ombudsman program or how it will be funded. We believe the office should take liberally from what has worked well with the One Care ombudsman program, while eliminating restrictions that impede the office from tracking and reporting systemic issues, reporting data in real time, and doing outreach and training of members about their rights and</w:t>
      </w:r>
      <w:r>
        <w:rPr>
          <w:spacing w:val="-7"/>
        </w:rPr>
        <w:t xml:space="preserve"> </w:t>
      </w:r>
      <w:r>
        <w:t>responsibilities.</w:t>
      </w:r>
    </w:p>
    <w:p w:rsidR="002C5025" w:rsidRDefault="002C5025">
      <w:pPr>
        <w:pStyle w:val="BodyText"/>
        <w:kinsoku w:val="0"/>
        <w:overflowPunct w:val="0"/>
        <w:spacing w:before="2"/>
        <w:rPr>
          <w:rFonts w:ascii="Times New Roman" w:hAnsi="Times New Roman" w:cs="Times New Roman"/>
          <w:sz w:val="24"/>
          <w:szCs w:val="24"/>
        </w:rPr>
      </w:pPr>
    </w:p>
    <w:p w:rsidR="002C5025" w:rsidRDefault="002C5025">
      <w:pPr>
        <w:pStyle w:val="ListParagraph"/>
        <w:numPr>
          <w:ilvl w:val="1"/>
          <w:numId w:val="66"/>
        </w:numPr>
        <w:tabs>
          <w:tab w:val="left" w:pos="860"/>
        </w:tabs>
        <w:kinsoku w:val="0"/>
        <w:overflowPunct w:val="0"/>
        <w:ind w:right="139"/>
      </w:pPr>
      <w:r>
        <w:rPr>
          <w:b/>
          <w:bCs/>
        </w:rPr>
        <w:t xml:space="preserve">Recommendation 6. Develop quality metrics and address capacity concerns. </w:t>
      </w:r>
      <w:r>
        <w:t>Based on its experience with One Care, DAAHR is extremely concerned about the apparent absence of a vision to address population health. The application does not establish expectations of Alternative Payment Methods (APMs) to align provider behavior with appropriate outcome metrics in the provision of LTSS, recovery services, and broader BH services. It also lacks any provision of a transparent public-facing dashboard for members to access in order to make informed choices. Quality metrics should include patient- reported outcome measurements that are developed in conjunction with members and their</w:t>
      </w:r>
      <w:r>
        <w:rPr>
          <w:spacing w:val="-5"/>
        </w:rPr>
        <w:t xml:space="preserve"> </w:t>
      </w:r>
      <w:r>
        <w:t>advocates.</w:t>
      </w:r>
    </w:p>
    <w:p w:rsidR="002C5025" w:rsidRDefault="002C5025">
      <w:pPr>
        <w:pStyle w:val="BodyText"/>
        <w:kinsoku w:val="0"/>
        <w:overflowPunct w:val="0"/>
        <w:spacing w:before="3" w:line="276" w:lineRule="exact"/>
        <w:ind w:left="1580" w:right="142" w:hanging="360"/>
        <w:rPr>
          <w:rFonts w:ascii="Times New Roman" w:hAnsi="Times New Roman" w:cs="Times New Roman"/>
          <w:sz w:val="24"/>
          <w:szCs w:val="24"/>
        </w:rPr>
      </w:pPr>
      <w:r>
        <w:rPr>
          <w:rFonts w:ascii="Courier New" w:hAnsi="Courier New" w:cs="Courier New"/>
          <w:sz w:val="24"/>
          <w:szCs w:val="24"/>
        </w:rPr>
        <w:t xml:space="preserve">o </w:t>
      </w:r>
      <w:r>
        <w:rPr>
          <w:rFonts w:ascii="Times New Roman" w:hAnsi="Times New Roman" w:cs="Times New Roman"/>
          <w:sz w:val="24"/>
          <w:szCs w:val="24"/>
          <w:u w:val="single" w:color="000000"/>
        </w:rPr>
        <w:t>Concern</w:t>
      </w:r>
      <w:r>
        <w:rPr>
          <w:rFonts w:ascii="Times New Roman" w:hAnsi="Times New Roman" w:cs="Times New Roman"/>
          <w:sz w:val="24"/>
          <w:szCs w:val="24"/>
        </w:rPr>
        <w:t>: MassHealth capacity to implement the 1115 waiver is not demonstrated in the application. Learning from the experience of One Care, lack of capacity has led to an intense, unsustainable workload for MassHealth staff as well as an inability to deliver basic data to stakeholders in a timely manner. One Care also still lacks any population-based benchmarks beyond reduction in ED visits and hospitalizations.</w:t>
      </w:r>
    </w:p>
    <w:p w:rsidR="002C5025" w:rsidRDefault="002C5025">
      <w:pPr>
        <w:pStyle w:val="BodyText"/>
        <w:kinsoku w:val="0"/>
        <w:overflowPunct w:val="0"/>
        <w:ind w:left="1580" w:right="508"/>
        <w:rPr>
          <w:rFonts w:ascii="Times New Roman" w:hAnsi="Times New Roman" w:cs="Times New Roman"/>
          <w:sz w:val="24"/>
          <w:szCs w:val="24"/>
        </w:rPr>
      </w:pPr>
      <w:r>
        <w:rPr>
          <w:rFonts w:ascii="Times New Roman" w:hAnsi="Times New Roman" w:cs="Times New Roman"/>
          <w:sz w:val="24"/>
          <w:szCs w:val="24"/>
        </w:rPr>
        <w:t>APM incentives not aligned with population-based quality metrics may, particularly in the case of LTSS and BH services, lead to emphasis on medical rather than community-based services. Also problematic is that APMs may be</w:t>
      </w:r>
    </w:p>
    <w:p w:rsidR="002C5025" w:rsidRDefault="002C5025">
      <w:pPr>
        <w:pStyle w:val="BodyText"/>
        <w:kinsoku w:val="0"/>
        <w:overflowPunct w:val="0"/>
        <w:rPr>
          <w:rFonts w:ascii="Times New Roman" w:hAnsi="Times New Roman" w:cs="Times New Roman"/>
          <w:sz w:val="20"/>
          <w:szCs w:val="20"/>
        </w:rPr>
      </w:pPr>
    </w:p>
    <w:p w:rsidR="002C5025" w:rsidRDefault="00FB027C">
      <w:pPr>
        <w:pStyle w:val="BodyText"/>
        <w:kinsoku w:val="0"/>
        <w:overflowPunct w:val="0"/>
        <w:spacing w:before="6"/>
        <w:rPr>
          <w:rFonts w:ascii="Times New Roman" w:hAnsi="Times New Roman" w:cs="Times New Roman"/>
          <w:sz w:val="17"/>
          <w:szCs w:val="17"/>
        </w:rPr>
      </w:pPr>
      <w:r>
        <w:rPr>
          <w:noProof/>
        </w:rPr>
        <mc:AlternateContent>
          <mc:Choice Requires="wps">
            <w:drawing>
              <wp:anchor distT="0" distB="0" distL="0" distR="0" simplePos="0" relativeHeight="251587072" behindDoc="0" locked="0" layoutInCell="0" allowOverlap="1">
                <wp:simplePos x="0" y="0"/>
                <wp:positionH relativeFrom="page">
                  <wp:posOffset>895985</wp:posOffset>
                </wp:positionH>
                <wp:positionV relativeFrom="paragraph">
                  <wp:posOffset>156210</wp:posOffset>
                </wp:positionV>
                <wp:extent cx="5980430" cy="12700"/>
                <wp:effectExtent l="0" t="0" r="0" b="0"/>
                <wp:wrapTopAndBottom/>
                <wp:docPr id="719" name="Freeform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0430" cy="12700"/>
                        </a:xfrm>
                        <a:custGeom>
                          <a:avLst/>
                          <a:gdLst>
                            <a:gd name="T0" fmla="*/ 0 w 9418"/>
                            <a:gd name="T1" fmla="*/ 0 h 20"/>
                            <a:gd name="T2" fmla="*/ 9417 w 9418"/>
                            <a:gd name="T3" fmla="*/ 0 h 20"/>
                          </a:gdLst>
                          <a:ahLst/>
                          <a:cxnLst>
                            <a:cxn ang="0">
                              <a:pos x="T0" y="T1"/>
                            </a:cxn>
                            <a:cxn ang="0">
                              <a:pos x="T2" y="T3"/>
                            </a:cxn>
                          </a:cxnLst>
                          <a:rect l="0" t="0" r="r" b="b"/>
                          <a:pathLst>
                            <a:path w="9418" h="20">
                              <a:moveTo>
                                <a:pt x="0" y="0"/>
                              </a:moveTo>
                              <a:lnTo>
                                <a:pt x="9417" y="0"/>
                              </a:lnTo>
                            </a:path>
                          </a:pathLst>
                        </a:custGeom>
                        <a:noFill/>
                        <a:ln w="6108">
                          <a:solidFill>
                            <a:srgbClr val="DADAD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06" o:spid="_x0000_s1026" style="position:absolute;z-index:251587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0.55pt,12.3pt,541.4pt,12.3pt" coordsize="94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" o:allowincell="f" filled="f" strokecolor="#dadada" strokeweight=".16967mm">
                <v:path arrowok="t" o:connecttype="custom" o:connectlocs="0,0;5979795,0" o:connectangles="0,0"/>
                <w10:wrap type="topAndBottom" anchorx="page"/>
              </v:polyline>
            </w:pict>
          </mc:Fallback>
        </mc:AlternateContent>
      </w:r>
    </w:p>
    <w:p w:rsidR="002C5025" w:rsidRDefault="002C5025">
      <w:pPr>
        <w:pStyle w:val="ListParagraph"/>
        <w:numPr>
          <w:ilvl w:val="0"/>
          <w:numId w:val="66"/>
        </w:numPr>
        <w:tabs>
          <w:tab w:val="left" w:pos="304"/>
        </w:tabs>
        <w:kinsoku w:val="0"/>
        <w:overflowPunct w:val="0"/>
        <w:spacing w:line="258" w:lineRule="exact"/>
        <w:ind w:hanging="163"/>
        <w:rPr>
          <w:rFonts w:ascii="Calibri" w:hAnsi="Calibri" w:cs="Calibri"/>
          <w:color w:val="808080"/>
          <w:spacing w:val="9"/>
          <w:sz w:val="22"/>
          <w:szCs w:val="22"/>
        </w:rPr>
      </w:pPr>
      <w:r>
        <w:rPr>
          <w:rFonts w:ascii="Calibri" w:hAnsi="Calibri" w:cs="Calibri"/>
          <w:b/>
          <w:bCs/>
          <w:sz w:val="22"/>
          <w:szCs w:val="22"/>
        </w:rPr>
        <w:t xml:space="preserve">| </w:t>
      </w:r>
      <w:r>
        <w:rPr>
          <w:rFonts w:ascii="Calibri" w:hAnsi="Calibri" w:cs="Calibri"/>
          <w:color w:val="808080"/>
          <w:sz w:val="22"/>
          <w:szCs w:val="22"/>
        </w:rPr>
        <w:t xml:space="preserve">P a </w:t>
      </w:r>
      <w:r>
        <w:rPr>
          <w:rFonts w:ascii="Calibri" w:hAnsi="Calibri" w:cs="Calibri"/>
          <w:color w:val="808080"/>
          <w:spacing w:val="9"/>
          <w:sz w:val="22"/>
          <w:szCs w:val="22"/>
        </w:rPr>
        <w:t>g</w:t>
      </w:r>
      <w:r>
        <w:rPr>
          <w:rFonts w:ascii="Calibri" w:hAnsi="Calibri" w:cs="Calibri"/>
          <w:color w:val="808080"/>
          <w:spacing w:val="21"/>
          <w:sz w:val="22"/>
          <w:szCs w:val="22"/>
        </w:rPr>
        <w:t xml:space="preserve"> </w:t>
      </w:r>
      <w:r>
        <w:rPr>
          <w:rFonts w:ascii="Calibri" w:hAnsi="Calibri" w:cs="Calibri"/>
          <w:color w:val="808080"/>
          <w:sz w:val="22"/>
          <w:szCs w:val="22"/>
        </w:rPr>
        <w:t>e</w:t>
      </w:r>
      <w:r>
        <w:rPr>
          <w:rFonts w:ascii="Calibri" w:hAnsi="Calibri" w:cs="Calibri"/>
          <w:color w:val="808080"/>
          <w:spacing w:val="9"/>
          <w:sz w:val="22"/>
          <w:szCs w:val="22"/>
        </w:rPr>
        <w:t xml:space="preserve"> </w:t>
      </w:r>
    </w:p>
    <w:p w:rsidR="002C5025" w:rsidRDefault="002C5025">
      <w:pPr>
        <w:pStyle w:val="ListParagraph"/>
        <w:numPr>
          <w:ilvl w:val="0"/>
          <w:numId w:val="66"/>
        </w:numPr>
        <w:tabs>
          <w:tab w:val="left" w:pos="304"/>
        </w:tabs>
        <w:kinsoku w:val="0"/>
        <w:overflowPunct w:val="0"/>
        <w:spacing w:line="258" w:lineRule="exact"/>
        <w:ind w:hanging="163"/>
        <w:rPr>
          <w:rFonts w:ascii="Calibri" w:hAnsi="Calibri" w:cs="Calibri"/>
          <w:color w:val="808080"/>
          <w:spacing w:val="9"/>
          <w:sz w:val="22"/>
          <w:szCs w:val="22"/>
        </w:rPr>
        <w:sectPr w:rsidR="002C5025">
          <w:pgSz w:w="12240" w:h="15840"/>
          <w:pgMar w:top="1380" w:right="1300" w:bottom="280" w:left="1300" w:header="720" w:footer="720" w:gutter="0"/>
          <w:cols w:space="720"/>
          <w:noEndnote/>
        </w:sectPr>
      </w:pPr>
    </w:p>
    <w:p w:rsidR="002C5025" w:rsidRDefault="002C5025">
      <w:pPr>
        <w:pStyle w:val="BodyText"/>
        <w:kinsoku w:val="0"/>
        <w:overflowPunct w:val="0"/>
        <w:spacing w:before="52"/>
        <w:ind w:left="1580" w:right="162"/>
        <w:rPr>
          <w:rFonts w:ascii="Times New Roman" w:hAnsi="Times New Roman" w:cs="Times New Roman"/>
          <w:sz w:val="24"/>
          <w:szCs w:val="24"/>
        </w:rPr>
      </w:pPr>
      <w:r>
        <w:rPr>
          <w:rFonts w:ascii="Times New Roman" w:hAnsi="Times New Roman" w:cs="Times New Roman"/>
          <w:sz w:val="24"/>
          <w:szCs w:val="24"/>
        </w:rPr>
        <w:lastRenderedPageBreak/>
        <w:t>ineffective if they require the provider to take on risk and/or go against fiscal self- interest in order to appropriately serve members.</w:t>
      </w:r>
    </w:p>
    <w:p w:rsidR="002C5025" w:rsidRDefault="002C5025">
      <w:pPr>
        <w:pStyle w:val="ListParagraph"/>
        <w:numPr>
          <w:ilvl w:val="0"/>
          <w:numId w:val="61"/>
        </w:numPr>
        <w:tabs>
          <w:tab w:val="left" w:pos="1940"/>
        </w:tabs>
        <w:kinsoku w:val="0"/>
        <w:overflowPunct w:val="0"/>
        <w:ind w:right="140"/>
      </w:pPr>
      <w:r>
        <w:rPr>
          <w:u w:val="single" w:color="000000"/>
        </w:rPr>
        <w:t xml:space="preserve">Solution 1: </w:t>
      </w:r>
      <w:r>
        <w:t>MassHealth should demonstrate the amount of DSRIP funding</w:t>
      </w:r>
      <w:r>
        <w:rPr>
          <w:spacing w:val="-17"/>
        </w:rPr>
        <w:t xml:space="preserve"> </w:t>
      </w:r>
      <w:r>
        <w:t>that will be used to build capacity to effectively implement the 1115 waiver program in a competent manner. The funding should go to service providers who have traditionally been underfunded or not reimbursed, not to build capacity in large health care organizations that already should have been providing care coordination as part of their</w:t>
      </w:r>
      <w:r>
        <w:rPr>
          <w:spacing w:val="-11"/>
        </w:rPr>
        <w:t xml:space="preserve"> </w:t>
      </w:r>
      <w:r>
        <w:t>charge.</w:t>
      </w:r>
    </w:p>
    <w:p w:rsidR="002C5025" w:rsidRDefault="002C5025">
      <w:pPr>
        <w:pStyle w:val="ListParagraph"/>
        <w:numPr>
          <w:ilvl w:val="0"/>
          <w:numId w:val="61"/>
        </w:numPr>
        <w:tabs>
          <w:tab w:val="left" w:pos="1940"/>
        </w:tabs>
        <w:kinsoku w:val="0"/>
        <w:overflowPunct w:val="0"/>
        <w:ind w:right="139"/>
      </w:pPr>
      <w:r>
        <w:rPr>
          <w:u w:val="single" w:color="000000"/>
        </w:rPr>
        <w:t>Solution 2</w:t>
      </w:r>
      <w:r>
        <w:t>: MassHealth should indicate deliverables for stakeholders to review prior to CMS approval of the 1115 waiver. Deliverables should include expected dates for the establishment of quality workgroups, deadlines for the quality workgroups to deliver information to stakeholders, dates for releasing information on the financial health of the 1115 waiver and financial status of ACOs, and establishment of a platform to build a public facing dashboard and benchmarks to be met to have the dashboard available to</w:t>
      </w:r>
      <w:r>
        <w:rPr>
          <w:spacing w:val="-14"/>
        </w:rPr>
        <w:t xml:space="preserve"> </w:t>
      </w:r>
      <w:r>
        <w:t>members.</w:t>
      </w:r>
    </w:p>
    <w:p w:rsidR="002C5025" w:rsidRDefault="002C5025">
      <w:pPr>
        <w:pStyle w:val="ListParagraph"/>
        <w:numPr>
          <w:ilvl w:val="0"/>
          <w:numId w:val="61"/>
        </w:numPr>
        <w:tabs>
          <w:tab w:val="left" w:pos="1940"/>
        </w:tabs>
        <w:kinsoku w:val="0"/>
        <w:overflowPunct w:val="0"/>
        <w:ind w:right="1213"/>
      </w:pPr>
      <w:r>
        <w:rPr>
          <w:u w:val="single" w:color="000000"/>
        </w:rPr>
        <w:t xml:space="preserve">Solution 3: </w:t>
      </w:r>
      <w:r>
        <w:t>MassHealth should set out, even if initially</w:t>
      </w:r>
      <w:r>
        <w:rPr>
          <w:spacing w:val="-16"/>
        </w:rPr>
        <w:t xml:space="preserve"> </w:t>
      </w:r>
      <w:r>
        <w:t>aspirational, benchmarks to be met by ACOs,</w:t>
      </w:r>
      <w:r>
        <w:rPr>
          <w:spacing w:val="-12"/>
        </w:rPr>
        <w:t xml:space="preserve"> </w:t>
      </w:r>
      <w:r>
        <w:t>including:</w:t>
      </w:r>
    </w:p>
    <w:p w:rsidR="002C5025" w:rsidRDefault="002C5025">
      <w:pPr>
        <w:pStyle w:val="ListParagraph"/>
        <w:numPr>
          <w:ilvl w:val="1"/>
          <w:numId w:val="61"/>
        </w:numPr>
        <w:tabs>
          <w:tab w:val="left" w:pos="2300"/>
        </w:tabs>
        <w:kinsoku w:val="0"/>
        <w:overflowPunct w:val="0"/>
        <w:ind w:right="691"/>
      </w:pPr>
      <w:r>
        <w:t>Meeting benchmarks set out in by the legislature in the Public Health Trust</w:t>
      </w:r>
      <w:r>
        <w:rPr>
          <w:spacing w:val="-5"/>
        </w:rPr>
        <w:t xml:space="preserve"> </w:t>
      </w:r>
      <w:r>
        <w:t>Fund;</w:t>
      </w:r>
    </w:p>
    <w:p w:rsidR="002C5025" w:rsidRDefault="002C5025">
      <w:pPr>
        <w:pStyle w:val="ListParagraph"/>
        <w:numPr>
          <w:ilvl w:val="1"/>
          <w:numId w:val="61"/>
        </w:numPr>
        <w:tabs>
          <w:tab w:val="left" w:pos="2300"/>
        </w:tabs>
        <w:kinsoku w:val="0"/>
        <w:overflowPunct w:val="0"/>
        <w:ind w:right="367"/>
      </w:pPr>
      <w:r>
        <w:t>The number of children, teens, and adults who have visited the dentist</w:t>
      </w:r>
      <w:r>
        <w:rPr>
          <w:spacing w:val="-13"/>
        </w:rPr>
        <w:t xml:space="preserve"> </w:t>
      </w:r>
      <w:r>
        <w:t>in the last year (this is of particular importance to people with disabilities, who have higher incidences of poor oral health than the general population);</w:t>
      </w:r>
    </w:p>
    <w:p w:rsidR="002C5025" w:rsidRDefault="002C5025">
      <w:pPr>
        <w:pStyle w:val="ListParagraph"/>
        <w:numPr>
          <w:ilvl w:val="1"/>
          <w:numId w:val="61"/>
        </w:numPr>
        <w:tabs>
          <w:tab w:val="left" w:pos="2300"/>
        </w:tabs>
        <w:kinsoku w:val="0"/>
        <w:overflowPunct w:val="0"/>
        <w:ind w:right="691"/>
      </w:pPr>
      <w:r>
        <w:t>Number of female members, ages 15-44, who are sexually active</w:t>
      </w:r>
      <w:r>
        <w:rPr>
          <w:spacing w:val="-17"/>
        </w:rPr>
        <w:t xml:space="preserve"> </w:t>
      </w:r>
      <w:r>
        <w:t>and receiving reproductive health services in the past 12 months (CDC standard);</w:t>
      </w:r>
    </w:p>
    <w:p w:rsidR="002C5025" w:rsidRDefault="002C5025">
      <w:pPr>
        <w:pStyle w:val="ListParagraph"/>
        <w:numPr>
          <w:ilvl w:val="1"/>
          <w:numId w:val="61"/>
        </w:numPr>
        <w:tabs>
          <w:tab w:val="left" w:pos="2300"/>
        </w:tabs>
        <w:kinsoku w:val="0"/>
        <w:overflowPunct w:val="0"/>
      </w:pPr>
      <w:r>
        <w:t xml:space="preserve">Knowledge of </w:t>
      </w:r>
      <w:proofErr w:type="spellStart"/>
      <w:r>
        <w:t>serostatus</w:t>
      </w:r>
      <w:proofErr w:type="spellEnd"/>
      <w:r>
        <w:t xml:space="preserve"> by HIV-positive</w:t>
      </w:r>
      <w:r>
        <w:rPr>
          <w:spacing w:val="-13"/>
        </w:rPr>
        <w:t xml:space="preserve"> </w:t>
      </w:r>
      <w:r>
        <w:t>members;</w:t>
      </w:r>
    </w:p>
    <w:p w:rsidR="002C5025" w:rsidRDefault="002C5025">
      <w:pPr>
        <w:pStyle w:val="ListParagraph"/>
        <w:numPr>
          <w:ilvl w:val="1"/>
          <w:numId w:val="61"/>
        </w:numPr>
        <w:tabs>
          <w:tab w:val="left" w:pos="2300"/>
        </w:tabs>
        <w:kinsoku w:val="0"/>
        <w:overflowPunct w:val="0"/>
        <w:ind w:right="227"/>
      </w:pPr>
      <w:r>
        <w:t>The inclusion of LTSS quality outcome measures to determine the competency of ACOs to receive global payments in the delivery of</w:t>
      </w:r>
      <w:r>
        <w:rPr>
          <w:spacing w:val="-20"/>
        </w:rPr>
        <w:t xml:space="preserve"> </w:t>
      </w:r>
      <w:r>
        <w:t>LTSS;</w:t>
      </w:r>
    </w:p>
    <w:p w:rsidR="002C5025" w:rsidRDefault="002C5025">
      <w:pPr>
        <w:pStyle w:val="ListParagraph"/>
        <w:numPr>
          <w:ilvl w:val="1"/>
          <w:numId w:val="61"/>
        </w:numPr>
        <w:tabs>
          <w:tab w:val="left" w:pos="2300"/>
        </w:tabs>
        <w:kinsoku w:val="0"/>
        <w:overflowPunct w:val="0"/>
        <w:ind w:right="586"/>
      </w:pPr>
      <w:r>
        <w:t>Utilization of mental health recovery principles, in particular Certified Peer</w:t>
      </w:r>
      <w:r>
        <w:rPr>
          <w:spacing w:val="-7"/>
        </w:rPr>
        <w:t xml:space="preserve"> </w:t>
      </w:r>
      <w:r>
        <w:t>Specialists;</w:t>
      </w:r>
    </w:p>
    <w:p w:rsidR="002C5025" w:rsidRDefault="002C5025">
      <w:pPr>
        <w:pStyle w:val="ListParagraph"/>
        <w:numPr>
          <w:ilvl w:val="1"/>
          <w:numId w:val="61"/>
        </w:numPr>
        <w:tabs>
          <w:tab w:val="left" w:pos="2300"/>
        </w:tabs>
        <w:kinsoku w:val="0"/>
        <w:overflowPunct w:val="0"/>
      </w:pPr>
      <w:r>
        <w:t>Number of school days missed by</w:t>
      </w:r>
      <w:r>
        <w:rPr>
          <w:spacing w:val="-14"/>
        </w:rPr>
        <w:t xml:space="preserve"> </w:t>
      </w:r>
      <w:r>
        <w:t>children.</w:t>
      </w:r>
    </w:p>
    <w:p w:rsidR="002C5025" w:rsidRDefault="002C5025">
      <w:pPr>
        <w:pStyle w:val="BodyText"/>
        <w:kinsoku w:val="0"/>
        <w:overflowPunct w:val="0"/>
        <w:spacing w:before="2"/>
        <w:rPr>
          <w:rFonts w:ascii="Times New Roman" w:hAnsi="Times New Roman" w:cs="Times New Roman"/>
          <w:sz w:val="24"/>
          <w:szCs w:val="24"/>
        </w:rPr>
      </w:pPr>
    </w:p>
    <w:p w:rsidR="002C5025" w:rsidRDefault="002C5025">
      <w:pPr>
        <w:pStyle w:val="ListParagraph"/>
        <w:numPr>
          <w:ilvl w:val="1"/>
          <w:numId w:val="66"/>
        </w:numPr>
        <w:tabs>
          <w:tab w:val="left" w:pos="860"/>
        </w:tabs>
        <w:kinsoku w:val="0"/>
        <w:overflowPunct w:val="0"/>
        <w:ind w:right="454"/>
      </w:pPr>
      <w:r>
        <w:rPr>
          <w:b/>
          <w:bCs/>
        </w:rPr>
        <w:t xml:space="preserve">Recommendation 7. Financial structure. </w:t>
      </w:r>
      <w:r>
        <w:t>DAAHR is hopeful that the new payment structure for ACOs will support improved quality of care, reduction of inequities in health care access and outcomes by different populations, and overall higher quality of life for MassHealth</w:t>
      </w:r>
      <w:r>
        <w:rPr>
          <w:spacing w:val="-12"/>
        </w:rPr>
        <w:t xml:space="preserve"> </w:t>
      </w:r>
      <w:r>
        <w:t>beneficiaries.</w:t>
      </w:r>
    </w:p>
    <w:p w:rsidR="002C5025" w:rsidRDefault="002C5025">
      <w:pPr>
        <w:pStyle w:val="BodyText"/>
        <w:kinsoku w:val="0"/>
        <w:overflowPunct w:val="0"/>
        <w:spacing w:before="2" w:line="237" w:lineRule="auto"/>
        <w:ind w:left="1220" w:right="128" w:hanging="360"/>
        <w:rPr>
          <w:position w:val="10"/>
          <w:sz w:val="14"/>
          <w:szCs w:val="14"/>
        </w:rPr>
      </w:pPr>
      <w:r>
        <w:rPr>
          <w:rFonts w:ascii="Courier New" w:hAnsi="Courier New" w:cs="Courier New"/>
          <w:sz w:val="24"/>
          <w:szCs w:val="24"/>
        </w:rPr>
        <w:t xml:space="preserve">o </w:t>
      </w:r>
      <w:r>
        <w:rPr>
          <w:rFonts w:ascii="Times New Roman" w:hAnsi="Times New Roman" w:cs="Times New Roman"/>
          <w:sz w:val="24"/>
          <w:szCs w:val="24"/>
          <w:u w:val="single" w:color="000000"/>
        </w:rPr>
        <w:t>Concern</w:t>
      </w:r>
      <w:r>
        <w:rPr>
          <w:rFonts w:ascii="Times New Roman" w:hAnsi="Times New Roman" w:cs="Times New Roman"/>
          <w:sz w:val="24"/>
          <w:szCs w:val="24"/>
        </w:rPr>
        <w:t>: The magnitude of the change taking place in the delivery of health care cannot be overstated. The 1115 waiver application includes provisions on cost- sharing but this is very vague. In essence the waiver calls for hospitals to go against their own best interests by reducing emergency department visits and hospitalizations. The same is also true of medical providers who, rather than being paid for the number of people they see, will be paid for outcomes. As a result, mergers and acquisitions may increase as the industry consolidates around the most profitable product lines.</w:t>
      </w:r>
      <w:hyperlink w:anchor="bookmark32" w:history="1">
        <w:r>
          <w:rPr>
            <w:position w:val="10"/>
            <w:sz w:val="14"/>
            <w:szCs w:val="14"/>
          </w:rPr>
          <w:t>12</w:t>
        </w:r>
      </w:hyperlink>
    </w:p>
    <w:p w:rsidR="002C5025" w:rsidRDefault="00FB027C">
      <w:pPr>
        <w:pStyle w:val="BodyText"/>
        <w:kinsoku w:val="0"/>
        <w:overflowPunct w:val="0"/>
        <w:rPr>
          <w:sz w:val="13"/>
          <w:szCs w:val="13"/>
        </w:rPr>
      </w:pPr>
      <w:r>
        <w:rPr>
          <w:noProof/>
        </w:rPr>
        <mc:AlternateContent>
          <mc:Choice Requires="wps">
            <w:drawing>
              <wp:anchor distT="0" distB="0" distL="0" distR="0" simplePos="0" relativeHeight="251588096" behindDoc="0" locked="0" layoutInCell="0" allowOverlap="1">
                <wp:simplePos x="0" y="0"/>
                <wp:positionH relativeFrom="page">
                  <wp:posOffset>914400</wp:posOffset>
                </wp:positionH>
                <wp:positionV relativeFrom="paragraph">
                  <wp:posOffset>130175</wp:posOffset>
                </wp:positionV>
                <wp:extent cx="1828800" cy="12700"/>
                <wp:effectExtent l="0" t="0" r="0" b="0"/>
                <wp:wrapTopAndBottom/>
                <wp:docPr id="718" name="Freeform 3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w 2880"/>
                            <a:gd name="T1" fmla="*/ 0 h 20"/>
                            <a:gd name="T2" fmla="*/ 2880 w 2880"/>
                            <a:gd name="T3" fmla="*/ 0 h 20"/>
                          </a:gdLst>
                          <a:ahLst/>
                          <a:cxnLst>
                            <a:cxn ang="0">
                              <a:pos x="T0" y="T1"/>
                            </a:cxn>
                            <a:cxn ang="0">
                              <a:pos x="T2" y="T3"/>
                            </a:cxn>
                          </a:cxnLst>
                          <a:rect l="0" t="0" r="r" b="b"/>
                          <a:pathLst>
                            <a:path w="2880" h="20">
                              <a:moveTo>
                                <a:pt x="0" y="0"/>
                              </a:moveTo>
                              <a:lnTo>
                                <a:pt x="288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07" o:spid="_x0000_s1026" style="position:absolute;z-index:251588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10.25pt,3in,10.25pt" coordsize="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" o:allowincell="f" filled="f" strokeweight=".25397mm">
                <v:path arrowok="t" o:connecttype="custom" o:connectlocs="0,0;1828800,0" o:connectangles="0,0"/>
                <w10:wrap type="topAndBottom" anchorx="page"/>
              </v:polyline>
            </w:pict>
          </mc:Fallback>
        </mc:AlternateContent>
      </w:r>
    </w:p>
    <w:p w:rsidR="002C5025" w:rsidRDefault="002C5025">
      <w:pPr>
        <w:pStyle w:val="BodyText"/>
        <w:kinsoku w:val="0"/>
        <w:overflowPunct w:val="0"/>
        <w:spacing w:before="39"/>
        <w:ind w:left="139" w:right="326"/>
        <w:rPr>
          <w:sz w:val="20"/>
          <w:szCs w:val="20"/>
        </w:rPr>
      </w:pPr>
      <w:bookmarkStart w:id="117" w:name="bookmark32"/>
      <w:bookmarkEnd w:id="117"/>
      <w:r>
        <w:rPr>
          <w:position w:val="10"/>
          <w:sz w:val="13"/>
          <w:szCs w:val="13"/>
        </w:rPr>
        <w:t xml:space="preserve">12 </w:t>
      </w:r>
      <w:hyperlink r:id="rId249" w:history="1">
        <w:r>
          <w:rPr>
            <w:sz w:val="20"/>
            <w:szCs w:val="20"/>
          </w:rPr>
          <w:t>http://www.valuewalk.com/2015/10/alternate-payment-models-why-the-healthcare-industry-will-never-look-</w:t>
        </w:r>
      </w:hyperlink>
      <w:r>
        <w:rPr>
          <w:sz w:val="20"/>
          <w:szCs w:val="20"/>
        </w:rPr>
        <w:t xml:space="preserve"> the-same/</w:t>
      </w:r>
    </w:p>
    <w:p w:rsidR="002C5025" w:rsidRDefault="00FB027C">
      <w:pPr>
        <w:pStyle w:val="BodyText"/>
        <w:kinsoku w:val="0"/>
        <w:overflowPunct w:val="0"/>
        <w:spacing w:before="6"/>
        <w:rPr>
          <w:sz w:val="9"/>
          <w:szCs w:val="9"/>
        </w:rPr>
      </w:pPr>
      <w:r>
        <w:rPr>
          <w:noProof/>
        </w:rPr>
        <mc:AlternateContent>
          <mc:Choice Requires="wps">
            <w:drawing>
              <wp:anchor distT="0" distB="0" distL="0" distR="0" simplePos="0" relativeHeight="251589120" behindDoc="0" locked="0" layoutInCell="0" allowOverlap="1">
                <wp:simplePos x="0" y="0"/>
                <wp:positionH relativeFrom="page">
                  <wp:posOffset>895985</wp:posOffset>
                </wp:positionH>
                <wp:positionV relativeFrom="paragraph">
                  <wp:posOffset>100965</wp:posOffset>
                </wp:positionV>
                <wp:extent cx="5980430" cy="12700"/>
                <wp:effectExtent l="0" t="0" r="0" b="0"/>
                <wp:wrapTopAndBottom/>
                <wp:docPr id="717" name="Freeform 3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0430" cy="12700"/>
                        </a:xfrm>
                        <a:custGeom>
                          <a:avLst/>
                          <a:gdLst>
                            <a:gd name="T0" fmla="*/ 0 w 9418"/>
                            <a:gd name="T1" fmla="*/ 0 h 20"/>
                            <a:gd name="T2" fmla="*/ 9417 w 9418"/>
                            <a:gd name="T3" fmla="*/ 0 h 20"/>
                          </a:gdLst>
                          <a:ahLst/>
                          <a:cxnLst>
                            <a:cxn ang="0">
                              <a:pos x="T0" y="T1"/>
                            </a:cxn>
                            <a:cxn ang="0">
                              <a:pos x="T2" y="T3"/>
                            </a:cxn>
                          </a:cxnLst>
                          <a:rect l="0" t="0" r="r" b="b"/>
                          <a:pathLst>
                            <a:path w="9418" h="20">
                              <a:moveTo>
                                <a:pt x="0" y="0"/>
                              </a:moveTo>
                              <a:lnTo>
                                <a:pt x="9417" y="0"/>
                              </a:lnTo>
                            </a:path>
                          </a:pathLst>
                        </a:custGeom>
                        <a:noFill/>
                        <a:ln w="6108">
                          <a:solidFill>
                            <a:srgbClr val="DADAD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08" o:spid="_x0000_s1026" style="position:absolute;z-index:251589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0.55pt,7.95pt,541.4pt,7.95pt" coordsize="94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" o:allowincell="f" filled="f" strokecolor="#dadada" strokeweight=".16967mm">
                <v:path arrowok="t" o:connecttype="custom" o:connectlocs="0,0;5979795,0" o:connectangles="0,0"/>
                <w10:wrap type="topAndBottom" anchorx="page"/>
              </v:polyline>
            </w:pict>
          </mc:Fallback>
        </mc:AlternateContent>
      </w:r>
    </w:p>
    <w:p w:rsidR="002C5025" w:rsidRDefault="002C5025">
      <w:pPr>
        <w:pStyle w:val="ListParagraph"/>
        <w:numPr>
          <w:ilvl w:val="0"/>
          <w:numId w:val="66"/>
        </w:numPr>
        <w:tabs>
          <w:tab w:val="left" w:pos="304"/>
        </w:tabs>
        <w:kinsoku w:val="0"/>
        <w:overflowPunct w:val="0"/>
        <w:spacing w:line="258" w:lineRule="exact"/>
        <w:ind w:hanging="163"/>
        <w:rPr>
          <w:rFonts w:ascii="Calibri" w:hAnsi="Calibri" w:cs="Calibri"/>
          <w:color w:val="808080"/>
          <w:spacing w:val="9"/>
          <w:sz w:val="22"/>
          <w:szCs w:val="22"/>
        </w:rPr>
      </w:pPr>
      <w:r>
        <w:rPr>
          <w:rFonts w:ascii="Calibri" w:hAnsi="Calibri" w:cs="Calibri"/>
          <w:b/>
          <w:bCs/>
          <w:sz w:val="22"/>
          <w:szCs w:val="22"/>
        </w:rPr>
        <w:t xml:space="preserve">| </w:t>
      </w:r>
      <w:r>
        <w:rPr>
          <w:rFonts w:ascii="Calibri" w:hAnsi="Calibri" w:cs="Calibri"/>
          <w:color w:val="808080"/>
          <w:sz w:val="22"/>
          <w:szCs w:val="22"/>
        </w:rPr>
        <w:t xml:space="preserve">P a </w:t>
      </w:r>
      <w:r>
        <w:rPr>
          <w:rFonts w:ascii="Calibri" w:hAnsi="Calibri" w:cs="Calibri"/>
          <w:color w:val="808080"/>
          <w:spacing w:val="9"/>
          <w:sz w:val="22"/>
          <w:szCs w:val="22"/>
        </w:rPr>
        <w:t>g</w:t>
      </w:r>
      <w:r>
        <w:rPr>
          <w:rFonts w:ascii="Calibri" w:hAnsi="Calibri" w:cs="Calibri"/>
          <w:color w:val="808080"/>
          <w:spacing w:val="21"/>
          <w:sz w:val="22"/>
          <w:szCs w:val="22"/>
        </w:rPr>
        <w:t xml:space="preserve"> </w:t>
      </w:r>
      <w:r>
        <w:rPr>
          <w:rFonts w:ascii="Calibri" w:hAnsi="Calibri" w:cs="Calibri"/>
          <w:color w:val="808080"/>
          <w:sz w:val="22"/>
          <w:szCs w:val="22"/>
        </w:rPr>
        <w:t>e</w:t>
      </w:r>
      <w:r>
        <w:rPr>
          <w:rFonts w:ascii="Calibri" w:hAnsi="Calibri" w:cs="Calibri"/>
          <w:color w:val="808080"/>
          <w:spacing w:val="9"/>
          <w:sz w:val="22"/>
          <w:szCs w:val="22"/>
        </w:rPr>
        <w:t xml:space="preserve"> </w:t>
      </w:r>
    </w:p>
    <w:p w:rsidR="002C5025" w:rsidRDefault="002C5025">
      <w:pPr>
        <w:pStyle w:val="ListParagraph"/>
        <w:numPr>
          <w:ilvl w:val="0"/>
          <w:numId w:val="66"/>
        </w:numPr>
        <w:tabs>
          <w:tab w:val="left" w:pos="304"/>
        </w:tabs>
        <w:kinsoku w:val="0"/>
        <w:overflowPunct w:val="0"/>
        <w:spacing w:line="258" w:lineRule="exact"/>
        <w:ind w:hanging="163"/>
        <w:rPr>
          <w:rFonts w:ascii="Calibri" w:hAnsi="Calibri" w:cs="Calibri"/>
          <w:color w:val="808080"/>
          <w:spacing w:val="9"/>
          <w:sz w:val="22"/>
          <w:szCs w:val="22"/>
        </w:rPr>
        <w:sectPr w:rsidR="002C5025">
          <w:pgSz w:w="12240" w:h="15840"/>
          <w:pgMar w:top="1380" w:right="1300" w:bottom="280" w:left="1300" w:header="720" w:footer="720" w:gutter="0"/>
          <w:cols w:space="720"/>
          <w:noEndnote/>
        </w:sectPr>
      </w:pPr>
    </w:p>
    <w:p w:rsidR="002C5025" w:rsidRDefault="002C5025">
      <w:pPr>
        <w:pStyle w:val="BodyText"/>
        <w:kinsoku w:val="0"/>
        <w:overflowPunct w:val="0"/>
        <w:spacing w:before="52"/>
        <w:ind w:left="1220" w:right="403"/>
        <w:rPr>
          <w:rFonts w:ascii="Times New Roman" w:hAnsi="Times New Roman" w:cs="Times New Roman"/>
          <w:sz w:val="24"/>
          <w:szCs w:val="24"/>
        </w:rPr>
      </w:pPr>
      <w:r>
        <w:rPr>
          <w:rFonts w:ascii="Times New Roman" w:hAnsi="Times New Roman" w:cs="Times New Roman"/>
          <w:sz w:val="24"/>
          <w:szCs w:val="24"/>
        </w:rPr>
        <w:lastRenderedPageBreak/>
        <w:t>EOHHS must therefore ensure that the financing of this new ACO program demonstrates that that there are clear and objective ACO and provider incentives in place that align with the health and quality of life goals for MassHealth members.</w:t>
      </w:r>
    </w:p>
    <w:p w:rsidR="002C5025" w:rsidRDefault="002C5025">
      <w:pPr>
        <w:pStyle w:val="ListParagraph"/>
        <w:numPr>
          <w:ilvl w:val="0"/>
          <w:numId w:val="60"/>
        </w:numPr>
        <w:tabs>
          <w:tab w:val="left" w:pos="1852"/>
        </w:tabs>
        <w:kinsoku w:val="0"/>
        <w:overflowPunct w:val="0"/>
        <w:ind w:right="139" w:hanging="271"/>
      </w:pPr>
      <w:r>
        <w:rPr>
          <w:u w:val="single" w:color="000000"/>
        </w:rPr>
        <w:t>Solution 1</w:t>
      </w:r>
      <w:r>
        <w:t>: Contracting requirements must protect consumers from the creation of an oligarchical system of medical and community-based services. MassHealth and CMS together must create disincentives to counter the strong incentives that currently exist for medical providers to preserve their medical infrastructures and offset losses resulting from reduced ED and hospitalizations through mergers with other medical entities and acquisition of community- based providers of behavioral health and LTSS services or bringing services in- house. Contractual requirements should include prescriptive language that prevents ACOs from reducing consumer choice by including in the 1115 waiver a requirement that ACO members must have a minimum of choice of two conflict-free community-based behavioral health and LTSS providers in their geographic area. MassHealth and CMS should further work with stakeholders to establish other protections that preserve consumer choice and access to culturally competent quality</w:t>
      </w:r>
      <w:r>
        <w:rPr>
          <w:spacing w:val="-14"/>
        </w:rPr>
        <w:t xml:space="preserve"> </w:t>
      </w:r>
      <w:r>
        <w:t>care.</w:t>
      </w:r>
    </w:p>
    <w:p w:rsidR="002C5025" w:rsidRDefault="002C5025">
      <w:pPr>
        <w:pStyle w:val="ListParagraph"/>
        <w:numPr>
          <w:ilvl w:val="0"/>
          <w:numId w:val="60"/>
        </w:numPr>
        <w:tabs>
          <w:tab w:val="left" w:pos="1852"/>
        </w:tabs>
        <w:kinsoku w:val="0"/>
        <w:overflowPunct w:val="0"/>
        <w:spacing w:before="3" w:line="276" w:lineRule="exact"/>
        <w:ind w:right="195" w:hanging="271"/>
        <w:rPr>
          <w:position w:val="11"/>
          <w:sz w:val="16"/>
          <w:szCs w:val="16"/>
        </w:rPr>
      </w:pPr>
      <w:r>
        <w:rPr>
          <w:u w:val="single" w:color="000000"/>
        </w:rPr>
        <w:t>Solution 2</w:t>
      </w:r>
      <w:r>
        <w:t>: Financing must include positive incentives for members,</w:t>
      </w:r>
      <w:r>
        <w:rPr>
          <w:spacing w:val="-19"/>
        </w:rPr>
        <w:t xml:space="preserve"> </w:t>
      </w:r>
      <w:r>
        <w:t>including, but not limited to no copayments, and the opportunity to receive enhanced services, including services that impact social determinants of health. Negative incentives may harm Medicaid beneficiaries.</w:t>
      </w:r>
      <w:hyperlink w:anchor="bookmark33" w:history="1">
        <w:r>
          <w:rPr>
            <w:position w:val="11"/>
            <w:sz w:val="16"/>
            <w:szCs w:val="16"/>
          </w:rPr>
          <w:t>13</w:t>
        </w:r>
      </w:hyperlink>
      <w:r>
        <w:rPr>
          <w:position w:val="11"/>
          <w:sz w:val="16"/>
          <w:szCs w:val="16"/>
        </w:rPr>
        <w:t xml:space="preserve"> </w:t>
      </w:r>
      <w:r>
        <w:t>Even states like Idaho have piloted positive incentives to promote behavior change. These incentives include giving Medicaid beneficiaries who consult with a doctor on losing weight or quitting smoking a $100 voucher to be used in the gym or weight- management program. Idaho also offered beneficiaries $10 a month for keeping well-child exams and immunizations up to</w:t>
      </w:r>
      <w:r>
        <w:rPr>
          <w:spacing w:val="3"/>
        </w:rPr>
        <w:t xml:space="preserve"> </w:t>
      </w:r>
      <w:r>
        <w:t>date.</w:t>
      </w:r>
      <w:hyperlink w:anchor="bookmark34" w:history="1">
        <w:r>
          <w:rPr>
            <w:position w:val="11"/>
            <w:sz w:val="16"/>
            <w:szCs w:val="16"/>
          </w:rPr>
          <w:t>14</w:t>
        </w:r>
      </w:hyperlink>
    </w:p>
    <w:p w:rsidR="002C5025" w:rsidRDefault="002C5025">
      <w:pPr>
        <w:pStyle w:val="ListParagraph"/>
        <w:numPr>
          <w:ilvl w:val="0"/>
          <w:numId w:val="60"/>
        </w:numPr>
        <w:tabs>
          <w:tab w:val="left" w:pos="1852"/>
        </w:tabs>
        <w:kinsoku w:val="0"/>
        <w:overflowPunct w:val="0"/>
        <w:ind w:right="159" w:hanging="271"/>
      </w:pPr>
      <w:r>
        <w:rPr>
          <w:u w:val="single" w:color="000000"/>
        </w:rPr>
        <w:t>Solution 3</w:t>
      </w:r>
      <w:r>
        <w:t>: The 1115 waiver should outline how MassHealth will protect the integrity of MassHealth dollars and ensure reinvestment by ACOs into delivery of services to members. This outline should include definitions of how value- based purchasing and use of APMs are to be used by ACOs to reduce costs and increase quality. For example, ACO gains could be capped at 3% net, with income over 3% going back into service delivery to</w:t>
      </w:r>
      <w:r>
        <w:rPr>
          <w:spacing w:val="-14"/>
        </w:rPr>
        <w:t xml:space="preserve"> </w:t>
      </w:r>
      <w:r>
        <w:t>members.</w:t>
      </w:r>
    </w:p>
    <w:p w:rsidR="002C5025" w:rsidRDefault="002C5025">
      <w:pPr>
        <w:pStyle w:val="ListParagraph"/>
        <w:numPr>
          <w:ilvl w:val="0"/>
          <w:numId w:val="60"/>
        </w:numPr>
        <w:tabs>
          <w:tab w:val="left" w:pos="1852"/>
        </w:tabs>
        <w:kinsoku w:val="0"/>
        <w:overflowPunct w:val="0"/>
        <w:ind w:right="523" w:hanging="271"/>
      </w:pPr>
      <w:r>
        <w:rPr>
          <w:u w:val="single" w:color="000000"/>
        </w:rPr>
        <w:t>Solution 4</w:t>
      </w:r>
      <w:r>
        <w:t>: Changes taking place at the health plan level must be</w:t>
      </w:r>
      <w:r>
        <w:rPr>
          <w:spacing w:val="-17"/>
        </w:rPr>
        <w:t xml:space="preserve"> </w:t>
      </w:r>
      <w:r>
        <w:t>monitored over time. Monitoring should address the</w:t>
      </w:r>
      <w:r>
        <w:rPr>
          <w:spacing w:val="-13"/>
        </w:rPr>
        <w:t xml:space="preserve"> </w:t>
      </w:r>
      <w:r>
        <w:t>following:</w:t>
      </w:r>
    </w:p>
    <w:p w:rsidR="002C5025" w:rsidRDefault="002C5025">
      <w:pPr>
        <w:pStyle w:val="ListParagraph"/>
        <w:numPr>
          <w:ilvl w:val="1"/>
          <w:numId w:val="60"/>
        </w:numPr>
        <w:tabs>
          <w:tab w:val="left" w:pos="2300"/>
        </w:tabs>
        <w:kinsoku w:val="0"/>
        <w:overflowPunct w:val="0"/>
        <w:ind w:right="327"/>
      </w:pPr>
      <w:r>
        <w:t>The alignment of incentives (to ensure continued and improved access</w:t>
      </w:r>
      <w:r>
        <w:rPr>
          <w:spacing w:val="-14"/>
        </w:rPr>
        <w:t xml:space="preserve"> </w:t>
      </w:r>
      <w:r>
        <w:t>to care across all</w:t>
      </w:r>
      <w:r>
        <w:rPr>
          <w:spacing w:val="-8"/>
        </w:rPr>
        <w:t xml:space="preserve"> </w:t>
      </w:r>
      <w:r>
        <w:t>services).</w:t>
      </w:r>
    </w:p>
    <w:p w:rsidR="002C5025" w:rsidRDefault="002C5025">
      <w:pPr>
        <w:pStyle w:val="ListParagraph"/>
        <w:numPr>
          <w:ilvl w:val="1"/>
          <w:numId w:val="60"/>
        </w:numPr>
        <w:tabs>
          <w:tab w:val="left" w:pos="2300"/>
        </w:tabs>
        <w:kinsoku w:val="0"/>
        <w:overflowPunct w:val="0"/>
        <w:ind w:right="281"/>
      </w:pPr>
      <w:r>
        <w:t>Protection of LTSS and BH spending, reductions in medical care, and</w:t>
      </w:r>
      <w:r>
        <w:rPr>
          <w:spacing w:val="-17"/>
        </w:rPr>
        <w:t xml:space="preserve"> </w:t>
      </w:r>
      <w:r>
        <w:t>the rebalancing of dollars from SNF and other institutional settings to community</w:t>
      </w:r>
      <w:r>
        <w:rPr>
          <w:spacing w:val="-7"/>
        </w:rPr>
        <w:t xml:space="preserve"> </w:t>
      </w:r>
      <w:r>
        <w:t>services.</w:t>
      </w:r>
    </w:p>
    <w:p w:rsidR="002C5025" w:rsidRDefault="002C5025">
      <w:pPr>
        <w:pStyle w:val="ListParagraph"/>
        <w:numPr>
          <w:ilvl w:val="1"/>
          <w:numId w:val="60"/>
        </w:numPr>
        <w:tabs>
          <w:tab w:val="left" w:pos="2300"/>
        </w:tabs>
        <w:kinsoku w:val="0"/>
        <w:overflowPunct w:val="0"/>
      </w:pPr>
      <w:r>
        <w:t>Adequacy of risk adjustment to accommodate true costs and</w:t>
      </w:r>
      <w:r>
        <w:rPr>
          <w:spacing w:val="-14"/>
        </w:rPr>
        <w:t xml:space="preserve"> </w:t>
      </w:r>
      <w:r>
        <w:t>risk.</w:t>
      </w:r>
    </w:p>
    <w:p w:rsidR="002C5025" w:rsidRDefault="002C5025">
      <w:pPr>
        <w:pStyle w:val="ListParagraph"/>
        <w:numPr>
          <w:ilvl w:val="1"/>
          <w:numId w:val="60"/>
        </w:numPr>
        <w:tabs>
          <w:tab w:val="left" w:pos="2300"/>
        </w:tabs>
        <w:kinsoku w:val="0"/>
        <w:overflowPunct w:val="0"/>
        <w:ind w:right="788"/>
      </w:pPr>
      <w:r>
        <w:t>The need for direct payments for social risk factors to address</w:t>
      </w:r>
      <w:r>
        <w:rPr>
          <w:spacing w:val="-16"/>
        </w:rPr>
        <w:t xml:space="preserve"> </w:t>
      </w:r>
      <w:r>
        <w:t>social determinants of</w:t>
      </w:r>
      <w:r>
        <w:rPr>
          <w:spacing w:val="-5"/>
        </w:rPr>
        <w:t xml:space="preserve"> </w:t>
      </w:r>
      <w:r>
        <w:t>health.</w:t>
      </w:r>
    </w:p>
    <w:p w:rsidR="002C5025" w:rsidRDefault="002C5025">
      <w:pPr>
        <w:pStyle w:val="ListParagraph"/>
        <w:numPr>
          <w:ilvl w:val="1"/>
          <w:numId w:val="60"/>
        </w:numPr>
        <w:tabs>
          <w:tab w:val="left" w:pos="2300"/>
        </w:tabs>
        <w:kinsoku w:val="0"/>
        <w:overflowPunct w:val="0"/>
      </w:pPr>
      <w:r>
        <w:t>Levels of unmet member need that may</w:t>
      </w:r>
      <w:r>
        <w:rPr>
          <w:spacing w:val="-9"/>
        </w:rPr>
        <w:t xml:space="preserve"> </w:t>
      </w:r>
      <w:r>
        <w:t>exist.</w:t>
      </w:r>
    </w:p>
    <w:p w:rsidR="002C5025" w:rsidRDefault="002C5025">
      <w:pPr>
        <w:pStyle w:val="BodyText"/>
        <w:kinsoku w:val="0"/>
        <w:overflowPunct w:val="0"/>
        <w:rPr>
          <w:rFonts w:ascii="Times New Roman" w:hAnsi="Times New Roman" w:cs="Times New Roman"/>
          <w:sz w:val="20"/>
          <w:szCs w:val="20"/>
        </w:rPr>
      </w:pPr>
    </w:p>
    <w:p w:rsidR="002C5025" w:rsidRDefault="00FB027C">
      <w:pPr>
        <w:pStyle w:val="BodyText"/>
        <w:kinsoku w:val="0"/>
        <w:overflowPunct w:val="0"/>
        <w:spacing w:before="7"/>
        <w:rPr>
          <w:rFonts w:ascii="Times New Roman" w:hAnsi="Times New Roman" w:cs="Times New Roman"/>
          <w:sz w:val="19"/>
          <w:szCs w:val="19"/>
        </w:rPr>
      </w:pPr>
      <w:r>
        <w:rPr>
          <w:noProof/>
        </w:rPr>
        <mc:AlternateContent>
          <mc:Choice Requires="wps">
            <w:drawing>
              <wp:anchor distT="0" distB="0" distL="0" distR="0" simplePos="0" relativeHeight="251590144" behindDoc="0" locked="0" layoutInCell="0" allowOverlap="1">
                <wp:simplePos x="0" y="0"/>
                <wp:positionH relativeFrom="page">
                  <wp:posOffset>914400</wp:posOffset>
                </wp:positionH>
                <wp:positionV relativeFrom="paragraph">
                  <wp:posOffset>172720</wp:posOffset>
                </wp:positionV>
                <wp:extent cx="1828800" cy="12700"/>
                <wp:effectExtent l="0" t="0" r="0" b="0"/>
                <wp:wrapTopAndBottom/>
                <wp:docPr id="716" name="Freeform 3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w 2880"/>
                            <a:gd name="T1" fmla="*/ 0 h 20"/>
                            <a:gd name="T2" fmla="*/ 2880 w 2880"/>
                            <a:gd name="T3" fmla="*/ 0 h 20"/>
                          </a:gdLst>
                          <a:ahLst/>
                          <a:cxnLst>
                            <a:cxn ang="0">
                              <a:pos x="T0" y="T1"/>
                            </a:cxn>
                            <a:cxn ang="0">
                              <a:pos x="T2" y="T3"/>
                            </a:cxn>
                          </a:cxnLst>
                          <a:rect l="0" t="0" r="r" b="b"/>
                          <a:pathLst>
                            <a:path w="2880" h="20">
                              <a:moveTo>
                                <a:pt x="0" y="0"/>
                              </a:moveTo>
                              <a:lnTo>
                                <a:pt x="288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09" o:spid="_x0000_s1026" style="position:absolute;z-index:251590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13.6pt,3in,13.6pt" coordsize="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" o:allowincell="f" filled="f" strokeweight=".25397mm">
                <v:path arrowok="t" o:connecttype="custom" o:connectlocs="0,0;1828800,0" o:connectangles="0,0"/>
                <w10:wrap type="topAndBottom" anchorx="page"/>
              </v:polyline>
            </w:pict>
          </mc:Fallback>
        </mc:AlternateContent>
      </w:r>
    </w:p>
    <w:p w:rsidR="002C5025" w:rsidRDefault="002C5025">
      <w:pPr>
        <w:pStyle w:val="BodyText"/>
        <w:kinsoku w:val="0"/>
        <w:overflowPunct w:val="0"/>
        <w:spacing w:before="39" w:line="260" w:lineRule="exact"/>
        <w:ind w:left="140" w:right="254"/>
        <w:rPr>
          <w:sz w:val="20"/>
          <w:szCs w:val="20"/>
        </w:rPr>
      </w:pPr>
      <w:bookmarkStart w:id="118" w:name="bookmark33"/>
      <w:bookmarkEnd w:id="118"/>
      <w:r>
        <w:rPr>
          <w:position w:val="10"/>
          <w:sz w:val="13"/>
          <w:szCs w:val="13"/>
        </w:rPr>
        <w:t xml:space="preserve">13 </w:t>
      </w:r>
      <w:hyperlink r:id="rId250" w:history="1">
        <w:r>
          <w:rPr>
            <w:sz w:val="20"/>
            <w:szCs w:val="20"/>
          </w:rPr>
          <w:t>http://www.chcs.org/media/Healthy-Behavior-Incentives_Opportunities-for-Medicaid_1.pdf</w:t>
        </w:r>
      </w:hyperlink>
    </w:p>
    <w:p w:rsidR="002C5025" w:rsidRDefault="002C5025">
      <w:pPr>
        <w:pStyle w:val="BodyText"/>
        <w:kinsoku w:val="0"/>
        <w:overflowPunct w:val="0"/>
        <w:spacing w:line="260" w:lineRule="exact"/>
        <w:ind w:left="140" w:right="254"/>
        <w:rPr>
          <w:w w:val="95"/>
          <w:sz w:val="20"/>
          <w:szCs w:val="20"/>
        </w:rPr>
      </w:pPr>
      <w:bookmarkStart w:id="119" w:name="bookmark34"/>
      <w:bookmarkEnd w:id="119"/>
      <w:r>
        <w:rPr>
          <w:w w:val="95"/>
          <w:position w:val="10"/>
          <w:sz w:val="13"/>
          <w:szCs w:val="13"/>
        </w:rPr>
        <w:t xml:space="preserve">14             </w:t>
      </w:r>
      <w:hyperlink r:id="rId251" w:history="1">
        <w:r>
          <w:rPr>
            <w:w w:val="95"/>
            <w:sz w:val="20"/>
            <w:szCs w:val="20"/>
          </w:rPr>
          <w:t>http://www.chcs.org/media/Healthy-Behavior-Incentives_Opportunities-for-Medicaid_1.pdf</w:t>
        </w:r>
      </w:hyperlink>
    </w:p>
    <w:p w:rsidR="002C5025" w:rsidRDefault="00FB027C">
      <w:pPr>
        <w:pStyle w:val="BodyText"/>
        <w:kinsoku w:val="0"/>
        <w:overflowPunct w:val="0"/>
        <w:spacing w:before="6"/>
        <w:rPr>
          <w:sz w:val="9"/>
          <w:szCs w:val="9"/>
        </w:rPr>
      </w:pPr>
      <w:r>
        <w:rPr>
          <w:noProof/>
        </w:rPr>
        <mc:AlternateContent>
          <mc:Choice Requires="wps">
            <w:drawing>
              <wp:anchor distT="0" distB="0" distL="0" distR="0" simplePos="0" relativeHeight="251591168" behindDoc="0" locked="0" layoutInCell="0" allowOverlap="1">
                <wp:simplePos x="0" y="0"/>
                <wp:positionH relativeFrom="page">
                  <wp:posOffset>895985</wp:posOffset>
                </wp:positionH>
                <wp:positionV relativeFrom="paragraph">
                  <wp:posOffset>100965</wp:posOffset>
                </wp:positionV>
                <wp:extent cx="5980430" cy="12700"/>
                <wp:effectExtent l="0" t="0" r="0" b="0"/>
                <wp:wrapTopAndBottom/>
                <wp:docPr id="715" name="Freeform 3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0430" cy="12700"/>
                        </a:xfrm>
                        <a:custGeom>
                          <a:avLst/>
                          <a:gdLst>
                            <a:gd name="T0" fmla="*/ 0 w 9418"/>
                            <a:gd name="T1" fmla="*/ 0 h 20"/>
                            <a:gd name="T2" fmla="*/ 9417 w 9418"/>
                            <a:gd name="T3" fmla="*/ 0 h 20"/>
                          </a:gdLst>
                          <a:ahLst/>
                          <a:cxnLst>
                            <a:cxn ang="0">
                              <a:pos x="T0" y="T1"/>
                            </a:cxn>
                            <a:cxn ang="0">
                              <a:pos x="T2" y="T3"/>
                            </a:cxn>
                          </a:cxnLst>
                          <a:rect l="0" t="0" r="r" b="b"/>
                          <a:pathLst>
                            <a:path w="9418" h="20">
                              <a:moveTo>
                                <a:pt x="0" y="0"/>
                              </a:moveTo>
                              <a:lnTo>
                                <a:pt x="9417" y="0"/>
                              </a:lnTo>
                            </a:path>
                          </a:pathLst>
                        </a:custGeom>
                        <a:noFill/>
                        <a:ln w="6108">
                          <a:solidFill>
                            <a:srgbClr val="DADAD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10" o:spid="_x0000_s1026" style="position:absolute;z-index:251591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0.55pt,7.95pt,541.4pt,7.95pt" coordsize="94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" o:allowincell="f" filled="f" strokecolor="#dadada" strokeweight=".16967mm">
                <v:path arrowok="t" o:connecttype="custom" o:connectlocs="0,0;5979795,0" o:connectangles="0,0"/>
                <w10:wrap type="topAndBottom" anchorx="page"/>
              </v:polyline>
            </w:pict>
          </mc:Fallback>
        </mc:AlternateContent>
      </w:r>
    </w:p>
    <w:p w:rsidR="002C5025" w:rsidRDefault="002C5025">
      <w:pPr>
        <w:pStyle w:val="ListParagraph"/>
        <w:numPr>
          <w:ilvl w:val="0"/>
          <w:numId w:val="66"/>
        </w:numPr>
        <w:tabs>
          <w:tab w:val="left" w:pos="414"/>
        </w:tabs>
        <w:kinsoku w:val="0"/>
        <w:overflowPunct w:val="0"/>
        <w:spacing w:line="258" w:lineRule="exact"/>
        <w:ind w:left="413" w:hanging="273"/>
        <w:rPr>
          <w:rFonts w:ascii="Calibri" w:hAnsi="Calibri" w:cs="Calibri"/>
          <w:color w:val="808080"/>
          <w:spacing w:val="9"/>
          <w:sz w:val="22"/>
          <w:szCs w:val="22"/>
        </w:rPr>
      </w:pPr>
      <w:r>
        <w:rPr>
          <w:rFonts w:ascii="Calibri" w:hAnsi="Calibri" w:cs="Calibri"/>
          <w:b/>
          <w:bCs/>
          <w:sz w:val="22"/>
          <w:szCs w:val="22"/>
        </w:rPr>
        <w:t xml:space="preserve">| </w:t>
      </w:r>
      <w:r>
        <w:rPr>
          <w:rFonts w:ascii="Calibri" w:hAnsi="Calibri" w:cs="Calibri"/>
          <w:color w:val="808080"/>
          <w:sz w:val="22"/>
          <w:szCs w:val="22"/>
        </w:rPr>
        <w:t xml:space="preserve">P a </w:t>
      </w:r>
      <w:r>
        <w:rPr>
          <w:rFonts w:ascii="Calibri" w:hAnsi="Calibri" w:cs="Calibri"/>
          <w:color w:val="808080"/>
          <w:spacing w:val="9"/>
          <w:sz w:val="22"/>
          <w:szCs w:val="22"/>
        </w:rPr>
        <w:t>g</w:t>
      </w:r>
      <w:r>
        <w:rPr>
          <w:rFonts w:ascii="Calibri" w:hAnsi="Calibri" w:cs="Calibri"/>
          <w:color w:val="808080"/>
          <w:spacing w:val="21"/>
          <w:sz w:val="22"/>
          <w:szCs w:val="22"/>
        </w:rPr>
        <w:t xml:space="preserve"> </w:t>
      </w:r>
      <w:r>
        <w:rPr>
          <w:rFonts w:ascii="Calibri" w:hAnsi="Calibri" w:cs="Calibri"/>
          <w:color w:val="808080"/>
          <w:sz w:val="22"/>
          <w:szCs w:val="22"/>
        </w:rPr>
        <w:t>e</w:t>
      </w:r>
      <w:r>
        <w:rPr>
          <w:rFonts w:ascii="Calibri" w:hAnsi="Calibri" w:cs="Calibri"/>
          <w:color w:val="808080"/>
          <w:spacing w:val="9"/>
          <w:sz w:val="22"/>
          <w:szCs w:val="22"/>
        </w:rPr>
        <w:t xml:space="preserve"> </w:t>
      </w:r>
    </w:p>
    <w:p w:rsidR="002C5025" w:rsidRDefault="002C5025">
      <w:pPr>
        <w:pStyle w:val="ListParagraph"/>
        <w:numPr>
          <w:ilvl w:val="0"/>
          <w:numId w:val="66"/>
        </w:numPr>
        <w:tabs>
          <w:tab w:val="left" w:pos="414"/>
        </w:tabs>
        <w:kinsoku w:val="0"/>
        <w:overflowPunct w:val="0"/>
        <w:spacing w:line="258" w:lineRule="exact"/>
        <w:ind w:left="413" w:hanging="273"/>
        <w:rPr>
          <w:rFonts w:ascii="Calibri" w:hAnsi="Calibri" w:cs="Calibri"/>
          <w:color w:val="808080"/>
          <w:spacing w:val="9"/>
          <w:sz w:val="22"/>
          <w:szCs w:val="22"/>
        </w:rPr>
        <w:sectPr w:rsidR="002C5025">
          <w:pgSz w:w="12240" w:h="15840"/>
          <w:pgMar w:top="1380" w:right="1300" w:bottom="280" w:left="1300" w:header="720" w:footer="720" w:gutter="0"/>
          <w:cols w:space="720"/>
          <w:noEndnote/>
        </w:sectPr>
      </w:pPr>
    </w:p>
    <w:p w:rsidR="002C5025" w:rsidRDefault="002C5025">
      <w:pPr>
        <w:pStyle w:val="BodyText"/>
        <w:numPr>
          <w:ilvl w:val="0"/>
          <w:numId w:val="59"/>
        </w:numPr>
        <w:tabs>
          <w:tab w:val="left" w:pos="2300"/>
        </w:tabs>
        <w:kinsoku w:val="0"/>
        <w:overflowPunct w:val="0"/>
        <w:spacing w:before="52"/>
        <w:ind w:right="874"/>
        <w:rPr>
          <w:rFonts w:ascii="Times New Roman" w:hAnsi="Times New Roman" w:cs="Times New Roman"/>
          <w:sz w:val="24"/>
          <w:szCs w:val="24"/>
        </w:rPr>
      </w:pPr>
      <w:r>
        <w:rPr>
          <w:rFonts w:ascii="Times New Roman" w:hAnsi="Times New Roman" w:cs="Times New Roman"/>
          <w:sz w:val="24"/>
          <w:szCs w:val="24"/>
        </w:rPr>
        <w:lastRenderedPageBreak/>
        <w:t>The distribution of DSRIP dollars by ACOs to community-based organizations and to innovative, traditionally non-medical</w:t>
      </w:r>
      <w:r>
        <w:rPr>
          <w:rFonts w:ascii="Times New Roman" w:hAnsi="Times New Roman" w:cs="Times New Roman"/>
          <w:spacing w:val="-16"/>
          <w:sz w:val="24"/>
          <w:szCs w:val="24"/>
        </w:rPr>
        <w:t xml:space="preserve"> </w:t>
      </w:r>
      <w:r>
        <w:rPr>
          <w:rFonts w:ascii="Times New Roman" w:hAnsi="Times New Roman" w:cs="Times New Roman"/>
          <w:sz w:val="24"/>
          <w:szCs w:val="24"/>
        </w:rPr>
        <w:t>services.</w:t>
      </w:r>
    </w:p>
    <w:p w:rsidR="002C5025" w:rsidRDefault="002C5025">
      <w:pPr>
        <w:pStyle w:val="ListParagraph"/>
        <w:numPr>
          <w:ilvl w:val="0"/>
          <w:numId w:val="59"/>
        </w:numPr>
        <w:tabs>
          <w:tab w:val="left" w:pos="2300"/>
        </w:tabs>
        <w:kinsoku w:val="0"/>
        <w:overflowPunct w:val="0"/>
      </w:pPr>
      <w:r>
        <w:t>Expenditures by plans on</w:t>
      </w:r>
      <w:r>
        <w:rPr>
          <w:spacing w:val="-8"/>
        </w:rPr>
        <w:t xml:space="preserve"> </w:t>
      </w:r>
      <w:r>
        <w:t>administration.</w:t>
      </w:r>
    </w:p>
    <w:p w:rsidR="002C5025" w:rsidRDefault="002C5025">
      <w:pPr>
        <w:pStyle w:val="ListParagraph"/>
        <w:numPr>
          <w:ilvl w:val="0"/>
          <w:numId w:val="59"/>
        </w:numPr>
        <w:tabs>
          <w:tab w:val="left" w:pos="2300"/>
        </w:tabs>
        <w:kinsoku w:val="0"/>
        <w:overflowPunct w:val="0"/>
        <w:ind w:right="529"/>
      </w:pPr>
      <w:r>
        <w:t>Expectations around performance-based measures, including</w:t>
      </w:r>
      <w:r>
        <w:rPr>
          <w:spacing w:val="-15"/>
        </w:rPr>
        <w:t xml:space="preserve"> </w:t>
      </w:r>
      <w:r>
        <w:t>reduction targets for ED and inpatient</w:t>
      </w:r>
      <w:r>
        <w:rPr>
          <w:spacing w:val="-8"/>
        </w:rPr>
        <w:t xml:space="preserve"> </w:t>
      </w:r>
      <w:r>
        <w:t>admissions.</w:t>
      </w:r>
    </w:p>
    <w:p w:rsidR="002C5025" w:rsidRDefault="002C5025">
      <w:pPr>
        <w:pStyle w:val="ListParagraph"/>
        <w:numPr>
          <w:ilvl w:val="0"/>
          <w:numId w:val="59"/>
        </w:numPr>
        <w:tabs>
          <w:tab w:val="left" w:pos="2300"/>
        </w:tabs>
        <w:kinsoku w:val="0"/>
        <w:overflowPunct w:val="0"/>
      </w:pPr>
      <w:r>
        <w:t>Adoption of One Care privacy principles and best</w:t>
      </w:r>
      <w:r>
        <w:rPr>
          <w:spacing w:val="-16"/>
        </w:rPr>
        <w:t xml:space="preserve"> </w:t>
      </w:r>
      <w:r>
        <w:t>practices.</w:t>
      </w:r>
    </w:p>
    <w:p w:rsidR="002C5025" w:rsidRDefault="002C5025">
      <w:pPr>
        <w:pStyle w:val="ListParagraph"/>
        <w:numPr>
          <w:ilvl w:val="0"/>
          <w:numId w:val="59"/>
        </w:numPr>
        <w:tabs>
          <w:tab w:val="left" w:pos="2300"/>
        </w:tabs>
        <w:kinsoku w:val="0"/>
        <w:overflowPunct w:val="0"/>
        <w:ind w:right="1176"/>
      </w:pPr>
      <w:r>
        <w:t>Establishment of relationships with school systems,</w:t>
      </w:r>
      <w:r>
        <w:rPr>
          <w:spacing w:val="-19"/>
        </w:rPr>
        <w:t xml:space="preserve"> </w:t>
      </w:r>
      <w:r>
        <w:t>correctional institutions, and public housing</w:t>
      </w:r>
      <w:r>
        <w:rPr>
          <w:spacing w:val="-11"/>
        </w:rPr>
        <w:t xml:space="preserve"> </w:t>
      </w:r>
      <w:r>
        <w:t>entities.</w:t>
      </w:r>
    </w:p>
    <w:p w:rsidR="002C5025" w:rsidRDefault="002C5025">
      <w:pPr>
        <w:pStyle w:val="BodyText"/>
        <w:kinsoku w:val="0"/>
        <w:overflowPunct w:val="0"/>
        <w:spacing w:before="10"/>
        <w:rPr>
          <w:rFonts w:ascii="Times New Roman" w:hAnsi="Times New Roman" w:cs="Times New Roman"/>
          <w:sz w:val="20"/>
          <w:szCs w:val="20"/>
        </w:rPr>
      </w:pPr>
    </w:p>
    <w:p w:rsidR="002C5025" w:rsidRDefault="002C5025">
      <w:pPr>
        <w:pStyle w:val="BodyText"/>
        <w:kinsoku w:val="0"/>
        <w:overflowPunct w:val="0"/>
        <w:ind w:left="1580" w:right="68"/>
        <w:rPr>
          <w:rFonts w:ascii="Times New Roman" w:hAnsi="Times New Roman" w:cs="Times New Roman"/>
          <w:sz w:val="24"/>
          <w:szCs w:val="24"/>
        </w:rPr>
      </w:pPr>
      <w:r>
        <w:rPr>
          <w:rFonts w:ascii="Times New Roman" w:hAnsi="Times New Roman" w:cs="Times New Roman"/>
          <w:sz w:val="24"/>
          <w:szCs w:val="24"/>
        </w:rPr>
        <w:t>Reporting requirements and definitions of services should be standardized so as to allow comparison of delivery/outcomes between ACOs, and promote best practices.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spacing w:before="10"/>
        <w:rPr>
          <w:rFonts w:ascii="Times New Roman" w:hAnsi="Times New Roman" w:cs="Times New Roman"/>
          <w:sz w:val="20"/>
          <w:szCs w:val="20"/>
        </w:rPr>
      </w:pPr>
    </w:p>
    <w:p w:rsidR="002C5025" w:rsidRDefault="002C5025">
      <w:pPr>
        <w:pStyle w:val="BodyText"/>
        <w:kinsoku w:val="0"/>
        <w:overflowPunct w:val="0"/>
        <w:ind w:left="139" w:right="683"/>
        <w:rPr>
          <w:rFonts w:ascii="Times New Roman" w:hAnsi="Times New Roman" w:cs="Times New Roman"/>
          <w:sz w:val="24"/>
          <w:szCs w:val="24"/>
        </w:rPr>
      </w:pPr>
      <w:r>
        <w:rPr>
          <w:rFonts w:ascii="Times New Roman" w:hAnsi="Times New Roman" w:cs="Times New Roman"/>
          <w:sz w:val="24"/>
          <w:szCs w:val="24"/>
        </w:rPr>
        <w:t>As members of the DAAHR Executive Committee, we thank you for consideration of these concerns.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39" w:right="254"/>
        <w:rPr>
          <w:rFonts w:ascii="Times New Roman" w:hAnsi="Times New Roman" w:cs="Times New Roman"/>
          <w:sz w:val="24"/>
          <w:szCs w:val="24"/>
        </w:rPr>
      </w:pPr>
      <w:r>
        <w:rPr>
          <w:rFonts w:ascii="Times New Roman" w:hAnsi="Times New Roman" w:cs="Times New Roman"/>
          <w:sz w:val="24"/>
          <w:szCs w:val="24"/>
        </w:rPr>
        <w:t>Sincerely,</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40" w:right="3919"/>
        <w:rPr>
          <w:rFonts w:ascii="Times New Roman" w:hAnsi="Times New Roman" w:cs="Times New Roman"/>
          <w:color w:val="000000"/>
          <w:sz w:val="24"/>
          <w:szCs w:val="24"/>
        </w:rPr>
      </w:pPr>
      <w:r>
        <w:rPr>
          <w:rFonts w:ascii="Times New Roman" w:hAnsi="Times New Roman" w:cs="Times New Roman"/>
          <w:sz w:val="24"/>
          <w:szCs w:val="24"/>
        </w:rPr>
        <w:t xml:space="preserve">Dennis </w:t>
      </w:r>
      <w:proofErr w:type="spellStart"/>
      <w:r>
        <w:rPr>
          <w:rFonts w:ascii="Times New Roman" w:hAnsi="Times New Roman" w:cs="Times New Roman"/>
          <w:sz w:val="24"/>
          <w:szCs w:val="24"/>
        </w:rPr>
        <w:t>Heaphy</w:t>
      </w:r>
      <w:proofErr w:type="spellEnd"/>
      <w:r>
        <w:rPr>
          <w:rFonts w:ascii="Times New Roman" w:hAnsi="Times New Roman" w:cs="Times New Roman"/>
          <w:sz w:val="24"/>
          <w:szCs w:val="24"/>
        </w:rPr>
        <w:t xml:space="preserve">, DAAHR co-chair, </w:t>
      </w:r>
      <w:hyperlink r:id="rId252" w:history="1">
        <w:r>
          <w:rPr>
            <w:rFonts w:ascii="Times New Roman" w:hAnsi="Times New Roman" w:cs="Times New Roman"/>
            <w:color w:val="0000FF"/>
            <w:sz w:val="24"/>
            <w:szCs w:val="24"/>
            <w:u w:val="single"/>
          </w:rPr>
          <w:t>dheaphy@dpcma.org</w:t>
        </w:r>
      </w:hyperlink>
      <w:r>
        <w:rPr>
          <w:rFonts w:ascii="Times New Roman" w:hAnsi="Times New Roman" w:cs="Times New Roman"/>
          <w:color w:val="0000FF"/>
          <w:sz w:val="24"/>
          <w:szCs w:val="24"/>
          <w:u w:val="single"/>
        </w:rPr>
        <w:t xml:space="preserve"> </w:t>
      </w:r>
      <w:r>
        <w:rPr>
          <w:rFonts w:ascii="Times New Roman" w:hAnsi="Times New Roman" w:cs="Times New Roman"/>
          <w:color w:val="000000"/>
          <w:sz w:val="24"/>
          <w:szCs w:val="24"/>
        </w:rPr>
        <w:t xml:space="preserve">Bill Henning, DAAHR co-chair, </w:t>
      </w:r>
      <w:hyperlink r:id="rId253" w:history="1">
        <w:r>
          <w:rPr>
            <w:rFonts w:ascii="Times New Roman" w:hAnsi="Times New Roman" w:cs="Times New Roman"/>
            <w:color w:val="0000FF"/>
            <w:sz w:val="24"/>
            <w:szCs w:val="24"/>
            <w:u w:val="single"/>
          </w:rPr>
          <w:t>bhenning@bostoncil.org</w:t>
        </w:r>
      </w:hyperlink>
      <w:r>
        <w:rPr>
          <w:rFonts w:ascii="Times New Roman" w:hAnsi="Times New Roman" w:cs="Times New Roman"/>
          <w:color w:val="0000FF"/>
          <w:sz w:val="24"/>
          <w:szCs w:val="24"/>
          <w:u w:val="single"/>
        </w:rPr>
        <w:t xml:space="preserve"> </w:t>
      </w:r>
      <w:r>
        <w:rPr>
          <w:rFonts w:ascii="Times New Roman" w:hAnsi="Times New Roman" w:cs="Times New Roman"/>
          <w:color w:val="000000"/>
          <w:sz w:val="24"/>
          <w:szCs w:val="24"/>
        </w:rPr>
        <w:t xml:space="preserve">Deborah </w:t>
      </w:r>
      <w:proofErr w:type="spellStart"/>
      <w:r>
        <w:rPr>
          <w:rFonts w:ascii="Times New Roman" w:hAnsi="Times New Roman" w:cs="Times New Roman"/>
          <w:color w:val="000000"/>
          <w:sz w:val="24"/>
          <w:szCs w:val="24"/>
        </w:rPr>
        <w:t>Delman</w:t>
      </w:r>
      <w:proofErr w:type="spellEnd"/>
      <w:r>
        <w:rPr>
          <w:rFonts w:ascii="Times New Roman" w:hAnsi="Times New Roman" w:cs="Times New Roman"/>
          <w:color w:val="000000"/>
          <w:sz w:val="24"/>
          <w:szCs w:val="24"/>
        </w:rPr>
        <w:t>, The Transformation Center</w:t>
      </w:r>
    </w:p>
    <w:p w:rsidR="002C5025" w:rsidRDefault="002C5025">
      <w:pPr>
        <w:pStyle w:val="BodyText"/>
        <w:kinsoku w:val="0"/>
        <w:overflowPunct w:val="0"/>
        <w:ind w:left="140" w:right="3967"/>
        <w:rPr>
          <w:rFonts w:ascii="Times New Roman" w:hAnsi="Times New Roman" w:cs="Times New Roman"/>
          <w:sz w:val="24"/>
          <w:szCs w:val="24"/>
        </w:rPr>
      </w:pPr>
      <w:r>
        <w:rPr>
          <w:rFonts w:ascii="Times New Roman" w:hAnsi="Times New Roman" w:cs="Times New Roman"/>
          <w:sz w:val="24"/>
          <w:szCs w:val="24"/>
        </w:rPr>
        <w:t xml:space="preserve">Susan </w:t>
      </w:r>
      <w:proofErr w:type="spellStart"/>
      <w:r>
        <w:rPr>
          <w:rFonts w:ascii="Times New Roman" w:hAnsi="Times New Roman" w:cs="Times New Roman"/>
          <w:sz w:val="24"/>
          <w:szCs w:val="24"/>
        </w:rPr>
        <w:t>Fendell</w:t>
      </w:r>
      <w:proofErr w:type="spellEnd"/>
      <w:r>
        <w:rPr>
          <w:rFonts w:ascii="Times New Roman" w:hAnsi="Times New Roman" w:cs="Times New Roman"/>
          <w:sz w:val="24"/>
          <w:szCs w:val="24"/>
        </w:rPr>
        <w:t>, Mental Health Legal Advisors Committee Linda Landry, Disability Law Center</w:t>
      </w:r>
    </w:p>
    <w:p w:rsidR="002C5025" w:rsidRDefault="002C5025">
      <w:pPr>
        <w:pStyle w:val="BodyText"/>
        <w:kinsoku w:val="0"/>
        <w:overflowPunct w:val="0"/>
        <w:ind w:left="140" w:right="4642"/>
        <w:rPr>
          <w:rFonts w:ascii="Times New Roman" w:hAnsi="Times New Roman" w:cs="Times New Roman"/>
          <w:sz w:val="24"/>
          <w:szCs w:val="24"/>
        </w:rPr>
      </w:pPr>
      <w:r>
        <w:rPr>
          <w:rFonts w:ascii="Times New Roman" w:hAnsi="Times New Roman" w:cs="Times New Roman"/>
          <w:sz w:val="24"/>
          <w:szCs w:val="24"/>
        </w:rPr>
        <w:t>Nancy Lorenz, Greater Boston Legal Services Dale Mitchell, Mass Home Care</w:t>
      </w:r>
    </w:p>
    <w:p w:rsidR="002C5025" w:rsidRDefault="002C5025">
      <w:pPr>
        <w:pStyle w:val="BodyText"/>
        <w:kinsoku w:val="0"/>
        <w:overflowPunct w:val="0"/>
        <w:ind w:left="140" w:right="4274"/>
        <w:rPr>
          <w:rFonts w:ascii="Times New Roman" w:hAnsi="Times New Roman" w:cs="Times New Roman"/>
          <w:sz w:val="24"/>
          <w:szCs w:val="24"/>
        </w:rPr>
      </w:pPr>
      <w:proofErr w:type="spellStart"/>
      <w:r>
        <w:rPr>
          <w:rFonts w:ascii="Times New Roman" w:hAnsi="Times New Roman" w:cs="Times New Roman"/>
          <w:sz w:val="24"/>
          <w:szCs w:val="24"/>
        </w:rPr>
        <w:t>Nassira</w:t>
      </w:r>
      <w:proofErr w:type="spellEnd"/>
      <w:r>
        <w:rPr>
          <w:rFonts w:ascii="Times New Roman" w:hAnsi="Times New Roman" w:cs="Times New Roman"/>
          <w:sz w:val="24"/>
          <w:szCs w:val="24"/>
        </w:rPr>
        <w:t xml:space="preserve"> Nicola, Boston Center for Independent Living Vicki </w:t>
      </w:r>
      <w:proofErr w:type="spellStart"/>
      <w:r>
        <w:rPr>
          <w:rFonts w:ascii="Times New Roman" w:hAnsi="Times New Roman" w:cs="Times New Roman"/>
          <w:sz w:val="24"/>
          <w:szCs w:val="24"/>
        </w:rPr>
        <w:t>Pulos</w:t>
      </w:r>
      <w:proofErr w:type="spellEnd"/>
      <w:r>
        <w:rPr>
          <w:rFonts w:ascii="Times New Roman" w:hAnsi="Times New Roman" w:cs="Times New Roman"/>
          <w:sz w:val="24"/>
          <w:szCs w:val="24"/>
        </w:rPr>
        <w:t>, Massachusetts Law Reform Institute</w:t>
      </w:r>
    </w:p>
    <w:p w:rsidR="002C5025" w:rsidRDefault="002C5025">
      <w:pPr>
        <w:pStyle w:val="BodyText"/>
        <w:kinsoku w:val="0"/>
        <w:overflowPunct w:val="0"/>
        <w:ind w:left="140" w:right="2367"/>
        <w:rPr>
          <w:rFonts w:ascii="Times New Roman" w:hAnsi="Times New Roman" w:cs="Times New Roman"/>
          <w:sz w:val="24"/>
          <w:szCs w:val="24"/>
        </w:rPr>
      </w:pPr>
      <w:r>
        <w:rPr>
          <w:rFonts w:ascii="Times New Roman" w:hAnsi="Times New Roman" w:cs="Times New Roman"/>
          <w:sz w:val="24"/>
          <w:szCs w:val="24"/>
        </w:rPr>
        <w:t xml:space="preserve">Roxanne </w:t>
      </w:r>
      <w:proofErr w:type="spellStart"/>
      <w:r>
        <w:rPr>
          <w:rFonts w:ascii="Times New Roman" w:hAnsi="Times New Roman" w:cs="Times New Roman"/>
          <w:sz w:val="24"/>
          <w:szCs w:val="24"/>
        </w:rPr>
        <w:t>Reddington</w:t>
      </w:r>
      <w:proofErr w:type="spellEnd"/>
      <w:r>
        <w:rPr>
          <w:rFonts w:ascii="Times New Roman" w:hAnsi="Times New Roman" w:cs="Times New Roman"/>
          <w:sz w:val="24"/>
          <w:szCs w:val="24"/>
        </w:rPr>
        <w:t>-Wilde, Action for Boston Community Development Brian Rosman, Health Care For All</w:t>
      </w:r>
    </w:p>
    <w:p w:rsidR="002C5025" w:rsidRDefault="002C5025">
      <w:pPr>
        <w:pStyle w:val="BodyText"/>
        <w:kinsoku w:val="0"/>
        <w:overflowPunct w:val="0"/>
        <w:ind w:left="140" w:right="4054"/>
        <w:rPr>
          <w:rFonts w:ascii="Times New Roman" w:hAnsi="Times New Roman" w:cs="Times New Roman"/>
          <w:sz w:val="24"/>
          <w:szCs w:val="24"/>
        </w:rPr>
      </w:pPr>
      <w:r>
        <w:rPr>
          <w:rFonts w:ascii="Times New Roman" w:hAnsi="Times New Roman" w:cs="Times New Roman"/>
          <w:sz w:val="24"/>
          <w:szCs w:val="24"/>
        </w:rPr>
        <w:t xml:space="preserve">June </w:t>
      </w:r>
      <w:proofErr w:type="spellStart"/>
      <w:r>
        <w:rPr>
          <w:rFonts w:ascii="Times New Roman" w:hAnsi="Times New Roman" w:cs="Times New Roman"/>
          <w:sz w:val="24"/>
          <w:szCs w:val="24"/>
        </w:rPr>
        <w:t>Sauvageau</w:t>
      </w:r>
      <w:proofErr w:type="spellEnd"/>
      <w:r>
        <w:rPr>
          <w:rFonts w:ascii="Times New Roman" w:hAnsi="Times New Roman" w:cs="Times New Roman"/>
          <w:sz w:val="24"/>
          <w:szCs w:val="24"/>
        </w:rPr>
        <w:t xml:space="preserve">, Northeast Independent Living Program Paul Spooner, </w:t>
      </w:r>
      <w:proofErr w:type="spellStart"/>
      <w:r>
        <w:rPr>
          <w:rFonts w:ascii="Times New Roman" w:hAnsi="Times New Roman" w:cs="Times New Roman"/>
          <w:sz w:val="24"/>
          <w:szCs w:val="24"/>
        </w:rPr>
        <w:t>MetroWest</w:t>
      </w:r>
      <w:proofErr w:type="spellEnd"/>
      <w:r>
        <w:rPr>
          <w:rFonts w:ascii="Times New Roman" w:hAnsi="Times New Roman" w:cs="Times New Roman"/>
          <w:sz w:val="24"/>
          <w:szCs w:val="24"/>
        </w:rPr>
        <w:t xml:space="preserve"> Center for Independent Liv Jamie </w:t>
      </w:r>
      <w:proofErr w:type="spellStart"/>
      <w:r>
        <w:rPr>
          <w:rFonts w:ascii="Times New Roman" w:hAnsi="Times New Roman" w:cs="Times New Roman"/>
          <w:sz w:val="24"/>
          <w:szCs w:val="24"/>
        </w:rPr>
        <w:t>Wilmuth</w:t>
      </w:r>
      <w:proofErr w:type="spellEnd"/>
      <w:r>
        <w:rPr>
          <w:rFonts w:ascii="Times New Roman" w:hAnsi="Times New Roman" w:cs="Times New Roman"/>
          <w:sz w:val="24"/>
          <w:szCs w:val="24"/>
        </w:rPr>
        <w:t>, 1199SEIU</w:t>
      </w:r>
    </w:p>
    <w:p w:rsidR="002C5025" w:rsidRDefault="002C5025">
      <w:pPr>
        <w:pStyle w:val="BodyText"/>
        <w:kinsoku w:val="0"/>
        <w:overflowPunct w:val="0"/>
        <w:ind w:left="140" w:right="254"/>
        <w:rPr>
          <w:rFonts w:ascii="Times New Roman" w:hAnsi="Times New Roman" w:cs="Times New Roman"/>
          <w:sz w:val="24"/>
          <w:szCs w:val="24"/>
        </w:rPr>
      </w:pPr>
      <w:r>
        <w:rPr>
          <w:rFonts w:ascii="Times New Roman" w:hAnsi="Times New Roman" w:cs="Times New Roman"/>
          <w:sz w:val="24"/>
          <w:szCs w:val="24"/>
        </w:rPr>
        <w:t xml:space="preserve">John </w:t>
      </w:r>
      <w:proofErr w:type="spellStart"/>
      <w:r>
        <w:rPr>
          <w:rFonts w:ascii="Times New Roman" w:hAnsi="Times New Roman" w:cs="Times New Roman"/>
          <w:sz w:val="24"/>
          <w:szCs w:val="24"/>
        </w:rPr>
        <w:t>Winske</w:t>
      </w:r>
      <w:proofErr w:type="spellEnd"/>
      <w:r>
        <w:rPr>
          <w:rFonts w:ascii="Times New Roman" w:hAnsi="Times New Roman" w:cs="Times New Roman"/>
          <w:sz w:val="24"/>
          <w:szCs w:val="24"/>
        </w:rPr>
        <w:t>, Disability Policy Consortium</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FB027C">
      <w:pPr>
        <w:pStyle w:val="BodyText"/>
        <w:kinsoku w:val="0"/>
        <w:overflowPunct w:val="0"/>
        <w:spacing w:before="10"/>
        <w:rPr>
          <w:rFonts w:ascii="Times New Roman" w:hAnsi="Times New Roman" w:cs="Times New Roman"/>
          <w:sz w:val="27"/>
          <w:szCs w:val="27"/>
        </w:rPr>
      </w:pPr>
      <w:r>
        <w:rPr>
          <w:noProof/>
        </w:rPr>
        <mc:AlternateContent>
          <mc:Choice Requires="wps">
            <w:drawing>
              <wp:anchor distT="0" distB="0" distL="0" distR="0" simplePos="0" relativeHeight="251592192" behindDoc="0" locked="0" layoutInCell="0" allowOverlap="1">
                <wp:simplePos x="0" y="0"/>
                <wp:positionH relativeFrom="page">
                  <wp:posOffset>895985</wp:posOffset>
                </wp:positionH>
                <wp:positionV relativeFrom="paragraph">
                  <wp:posOffset>231140</wp:posOffset>
                </wp:positionV>
                <wp:extent cx="5980430" cy="12700"/>
                <wp:effectExtent l="0" t="0" r="0" b="0"/>
                <wp:wrapTopAndBottom/>
                <wp:docPr id="714" name="Freeform 3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0430" cy="12700"/>
                        </a:xfrm>
                        <a:custGeom>
                          <a:avLst/>
                          <a:gdLst>
                            <a:gd name="T0" fmla="*/ 0 w 9418"/>
                            <a:gd name="T1" fmla="*/ 0 h 20"/>
                            <a:gd name="T2" fmla="*/ 9417 w 9418"/>
                            <a:gd name="T3" fmla="*/ 0 h 20"/>
                          </a:gdLst>
                          <a:ahLst/>
                          <a:cxnLst>
                            <a:cxn ang="0">
                              <a:pos x="T0" y="T1"/>
                            </a:cxn>
                            <a:cxn ang="0">
                              <a:pos x="T2" y="T3"/>
                            </a:cxn>
                          </a:cxnLst>
                          <a:rect l="0" t="0" r="r" b="b"/>
                          <a:pathLst>
                            <a:path w="9418" h="20">
                              <a:moveTo>
                                <a:pt x="0" y="0"/>
                              </a:moveTo>
                              <a:lnTo>
                                <a:pt x="9417" y="0"/>
                              </a:lnTo>
                            </a:path>
                          </a:pathLst>
                        </a:custGeom>
                        <a:noFill/>
                        <a:ln w="6108">
                          <a:solidFill>
                            <a:srgbClr val="DADAD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11" o:spid="_x0000_s1026" style="position:absolute;z-index:251592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0.55pt,18.2pt,541.4pt,18.2pt" coordsize="94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" o:allowincell="f" filled="f" strokecolor="#dadada" strokeweight=".16967mm">
                <v:path arrowok="t" o:connecttype="custom" o:connectlocs="0,0;5979795,0" o:connectangles="0,0"/>
                <w10:wrap type="topAndBottom" anchorx="page"/>
              </v:polyline>
            </w:pict>
          </mc:Fallback>
        </mc:AlternateContent>
      </w:r>
    </w:p>
    <w:p w:rsidR="002C5025" w:rsidRDefault="002C5025">
      <w:pPr>
        <w:pStyle w:val="ListParagraph"/>
        <w:numPr>
          <w:ilvl w:val="0"/>
          <w:numId w:val="66"/>
        </w:numPr>
        <w:tabs>
          <w:tab w:val="left" w:pos="414"/>
        </w:tabs>
        <w:kinsoku w:val="0"/>
        <w:overflowPunct w:val="0"/>
        <w:spacing w:line="258" w:lineRule="exact"/>
        <w:ind w:left="413" w:hanging="273"/>
        <w:rPr>
          <w:rFonts w:ascii="Calibri" w:hAnsi="Calibri" w:cs="Calibri"/>
          <w:color w:val="808080"/>
          <w:spacing w:val="9"/>
          <w:sz w:val="22"/>
          <w:szCs w:val="22"/>
        </w:rPr>
      </w:pPr>
      <w:r>
        <w:rPr>
          <w:rFonts w:ascii="Calibri" w:hAnsi="Calibri" w:cs="Calibri"/>
          <w:b/>
          <w:bCs/>
          <w:sz w:val="22"/>
          <w:szCs w:val="22"/>
        </w:rPr>
        <w:t xml:space="preserve">| </w:t>
      </w:r>
      <w:r>
        <w:rPr>
          <w:rFonts w:ascii="Calibri" w:hAnsi="Calibri" w:cs="Calibri"/>
          <w:color w:val="808080"/>
          <w:sz w:val="22"/>
          <w:szCs w:val="22"/>
        </w:rPr>
        <w:t xml:space="preserve">P a </w:t>
      </w:r>
      <w:r>
        <w:rPr>
          <w:rFonts w:ascii="Calibri" w:hAnsi="Calibri" w:cs="Calibri"/>
          <w:color w:val="808080"/>
          <w:spacing w:val="9"/>
          <w:sz w:val="22"/>
          <w:szCs w:val="22"/>
        </w:rPr>
        <w:t>g</w:t>
      </w:r>
      <w:r>
        <w:rPr>
          <w:rFonts w:ascii="Calibri" w:hAnsi="Calibri" w:cs="Calibri"/>
          <w:color w:val="808080"/>
          <w:spacing w:val="21"/>
          <w:sz w:val="22"/>
          <w:szCs w:val="22"/>
        </w:rPr>
        <w:t xml:space="preserve"> </w:t>
      </w:r>
      <w:r>
        <w:rPr>
          <w:rFonts w:ascii="Calibri" w:hAnsi="Calibri" w:cs="Calibri"/>
          <w:color w:val="808080"/>
          <w:sz w:val="22"/>
          <w:szCs w:val="22"/>
        </w:rPr>
        <w:t>e</w:t>
      </w:r>
      <w:r>
        <w:rPr>
          <w:rFonts w:ascii="Calibri" w:hAnsi="Calibri" w:cs="Calibri"/>
          <w:color w:val="808080"/>
          <w:spacing w:val="9"/>
          <w:sz w:val="22"/>
          <w:szCs w:val="22"/>
        </w:rPr>
        <w:t xml:space="preserve"> </w:t>
      </w:r>
    </w:p>
    <w:p w:rsidR="002C5025" w:rsidRDefault="002C5025">
      <w:pPr>
        <w:pStyle w:val="ListParagraph"/>
        <w:numPr>
          <w:ilvl w:val="0"/>
          <w:numId w:val="66"/>
        </w:numPr>
        <w:tabs>
          <w:tab w:val="left" w:pos="414"/>
        </w:tabs>
        <w:kinsoku w:val="0"/>
        <w:overflowPunct w:val="0"/>
        <w:spacing w:line="258" w:lineRule="exact"/>
        <w:ind w:left="413" w:hanging="273"/>
        <w:rPr>
          <w:rFonts w:ascii="Calibri" w:hAnsi="Calibri" w:cs="Calibri"/>
          <w:color w:val="808080"/>
          <w:spacing w:val="9"/>
          <w:sz w:val="22"/>
          <w:szCs w:val="22"/>
        </w:rPr>
        <w:sectPr w:rsidR="002C5025">
          <w:pgSz w:w="12240" w:h="15840"/>
          <w:pgMar w:top="1380" w:right="1300" w:bottom="280" w:left="1300" w:header="720" w:footer="720" w:gutter="0"/>
          <w:cols w:space="720"/>
          <w:noEndnote/>
        </w:sectPr>
      </w:pPr>
    </w:p>
    <w:p w:rsidR="002C5025" w:rsidRDefault="00FB027C">
      <w:pPr>
        <w:pStyle w:val="BodyText"/>
        <w:kinsoku w:val="0"/>
        <w:overflowPunct w:val="0"/>
        <w:ind w:left="181"/>
        <w:rPr>
          <w:sz w:val="20"/>
          <w:szCs w:val="20"/>
        </w:rPr>
      </w:pPr>
      <w:r>
        <w:rPr>
          <w:noProof/>
          <w:sz w:val="20"/>
          <w:szCs w:val="20"/>
        </w:rPr>
        <w:lastRenderedPageBreak/>
        <w:drawing>
          <wp:inline distT="0" distB="0" distL="0" distR="0">
            <wp:extent cx="1600200" cy="34290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1600200" cy="342900"/>
                    </a:xfrm>
                    <a:prstGeom prst="rect">
                      <a:avLst/>
                    </a:prstGeom>
                    <a:noFill/>
                    <a:ln>
                      <a:noFill/>
                    </a:ln>
                  </pic:spPr>
                </pic:pic>
              </a:graphicData>
            </a:graphic>
          </wp:inline>
        </w:drawing>
      </w:r>
    </w:p>
    <w:p w:rsidR="002C5025" w:rsidRDefault="002C5025">
      <w:pPr>
        <w:pStyle w:val="BodyText"/>
        <w:kinsoku w:val="0"/>
        <w:overflowPunct w:val="0"/>
        <w:ind w:left="181"/>
        <w:rPr>
          <w:sz w:val="20"/>
          <w:szCs w:val="20"/>
        </w:rPr>
        <w:sectPr w:rsidR="002C5025">
          <w:pgSz w:w="12240" w:h="15840"/>
          <w:pgMar w:top="1080" w:right="1300" w:bottom="280" w:left="1520" w:header="720" w:footer="720" w:gutter="0"/>
          <w:cols w:space="720" w:equalWidth="0">
            <w:col w:w="9420"/>
          </w:cols>
          <w:noEndnote/>
        </w:sectPr>
      </w:pPr>
    </w:p>
    <w:p w:rsidR="002C5025" w:rsidRDefault="002C5025">
      <w:pPr>
        <w:pStyle w:val="BodyText"/>
        <w:kinsoku w:val="0"/>
        <w:overflowPunct w:val="0"/>
      </w:pPr>
    </w:p>
    <w:p w:rsidR="002C5025" w:rsidRDefault="002C5025">
      <w:pPr>
        <w:pStyle w:val="BodyText"/>
        <w:kinsoku w:val="0"/>
        <w:overflowPunct w:val="0"/>
      </w:pPr>
    </w:p>
    <w:p w:rsidR="002C5025" w:rsidRDefault="002C5025">
      <w:pPr>
        <w:pStyle w:val="BodyText"/>
        <w:kinsoku w:val="0"/>
        <w:overflowPunct w:val="0"/>
        <w:spacing w:before="7"/>
        <w:rPr>
          <w:sz w:val="23"/>
          <w:szCs w:val="23"/>
        </w:rPr>
      </w:pPr>
    </w:p>
    <w:p w:rsidR="002C5025" w:rsidRDefault="002C5025">
      <w:pPr>
        <w:pStyle w:val="BodyText"/>
        <w:kinsoku w:val="0"/>
        <w:overflowPunct w:val="0"/>
        <w:ind w:left="107" w:right="845"/>
        <w:rPr>
          <w:rFonts w:ascii="Times New Roman" w:hAnsi="Times New Roman" w:cs="Times New Roman"/>
        </w:rPr>
      </w:pPr>
      <w:bookmarkStart w:id="120" w:name="Dana-Farber_Comments_on_Waiver_Proposal_"/>
      <w:bookmarkEnd w:id="120"/>
      <w:r>
        <w:rPr>
          <w:rFonts w:ascii="Times New Roman" w:hAnsi="Times New Roman" w:cs="Times New Roman"/>
        </w:rPr>
        <w:t>July 15, 2016</w:t>
      </w: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spacing w:before="10"/>
        <w:rPr>
          <w:rFonts w:ascii="Times New Roman" w:hAnsi="Times New Roman" w:cs="Times New Roman"/>
          <w:sz w:val="21"/>
          <w:szCs w:val="21"/>
        </w:rPr>
      </w:pPr>
    </w:p>
    <w:p w:rsidR="002C5025" w:rsidRDefault="002C5025">
      <w:pPr>
        <w:pStyle w:val="BodyText"/>
        <w:kinsoku w:val="0"/>
        <w:overflowPunct w:val="0"/>
        <w:ind w:left="107" w:right="845"/>
        <w:rPr>
          <w:rFonts w:ascii="Times New Roman" w:hAnsi="Times New Roman" w:cs="Times New Roman"/>
        </w:rPr>
      </w:pPr>
      <w:r>
        <w:rPr>
          <w:rFonts w:ascii="Times New Roman" w:hAnsi="Times New Roman" w:cs="Times New Roman"/>
        </w:rPr>
        <w:t>Daniel Tsai</w:t>
      </w:r>
    </w:p>
    <w:p w:rsidR="002C5025" w:rsidRDefault="002C5025">
      <w:pPr>
        <w:pStyle w:val="BodyText"/>
        <w:kinsoku w:val="0"/>
        <w:overflowPunct w:val="0"/>
        <w:spacing w:before="1"/>
        <w:ind w:left="107" w:right="845"/>
        <w:rPr>
          <w:rFonts w:ascii="Times New Roman" w:hAnsi="Times New Roman" w:cs="Times New Roman"/>
        </w:rPr>
      </w:pPr>
      <w:r>
        <w:rPr>
          <w:rFonts w:ascii="Times New Roman" w:hAnsi="Times New Roman" w:cs="Times New Roman"/>
        </w:rPr>
        <w:t>Assistant Secretary and Medicaid Director Executive Office of Health and Human Services</w:t>
      </w:r>
    </w:p>
    <w:p w:rsidR="002C5025" w:rsidRDefault="002C5025">
      <w:pPr>
        <w:pStyle w:val="BodyText"/>
        <w:kinsoku w:val="0"/>
        <w:overflowPunct w:val="0"/>
        <w:spacing w:before="1" w:line="254" w:lineRule="exact"/>
        <w:ind w:left="107" w:right="-18"/>
        <w:rPr>
          <w:rFonts w:ascii="Times New Roman" w:hAnsi="Times New Roman" w:cs="Times New Roman"/>
        </w:rPr>
      </w:pPr>
      <w:r>
        <w:rPr>
          <w:rFonts w:ascii="Times New Roman" w:hAnsi="Times New Roman" w:cs="Times New Roman"/>
        </w:rPr>
        <w:t>Office of Medicaid, Attn: 1115 Demonstration Comments One Ashburton Place, 11</w:t>
      </w:r>
      <w:proofErr w:type="spellStart"/>
      <w:r>
        <w:rPr>
          <w:rFonts w:ascii="Times New Roman" w:hAnsi="Times New Roman" w:cs="Times New Roman"/>
          <w:position w:val="10"/>
          <w:sz w:val="14"/>
          <w:szCs w:val="14"/>
        </w:rPr>
        <w:t>th</w:t>
      </w:r>
      <w:proofErr w:type="spellEnd"/>
      <w:r>
        <w:rPr>
          <w:rFonts w:ascii="Times New Roman" w:hAnsi="Times New Roman" w:cs="Times New Roman"/>
          <w:position w:val="10"/>
          <w:sz w:val="14"/>
          <w:szCs w:val="14"/>
        </w:rPr>
        <w:t xml:space="preserve"> </w:t>
      </w:r>
      <w:r>
        <w:rPr>
          <w:rFonts w:ascii="Times New Roman" w:hAnsi="Times New Roman" w:cs="Times New Roman"/>
        </w:rPr>
        <w:t>Floor</w:t>
      </w:r>
    </w:p>
    <w:p w:rsidR="002C5025" w:rsidRDefault="002C5025">
      <w:pPr>
        <w:pStyle w:val="BodyText"/>
        <w:kinsoku w:val="0"/>
        <w:overflowPunct w:val="0"/>
        <w:spacing w:line="249" w:lineRule="exact"/>
        <w:ind w:left="107" w:right="845"/>
        <w:rPr>
          <w:rFonts w:ascii="Times New Roman" w:hAnsi="Times New Roman" w:cs="Times New Roman"/>
        </w:rPr>
      </w:pPr>
      <w:r>
        <w:rPr>
          <w:rFonts w:ascii="Times New Roman" w:hAnsi="Times New Roman" w:cs="Times New Roman"/>
        </w:rPr>
        <w:t>Boston, MA 02108</w:t>
      </w: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spacing w:before="9"/>
        <w:rPr>
          <w:rFonts w:ascii="Times New Roman" w:hAnsi="Times New Roman" w:cs="Times New Roman"/>
          <w:sz w:val="21"/>
          <w:szCs w:val="21"/>
        </w:rPr>
      </w:pPr>
    </w:p>
    <w:p w:rsidR="002C5025" w:rsidRDefault="002C5025">
      <w:pPr>
        <w:pStyle w:val="BodyText"/>
        <w:kinsoku w:val="0"/>
        <w:overflowPunct w:val="0"/>
        <w:ind w:left="107" w:right="845"/>
        <w:rPr>
          <w:rFonts w:ascii="Times New Roman" w:hAnsi="Times New Roman" w:cs="Times New Roman"/>
          <w:sz w:val="24"/>
          <w:szCs w:val="24"/>
        </w:rPr>
      </w:pPr>
      <w:r>
        <w:rPr>
          <w:rFonts w:ascii="Times New Roman" w:hAnsi="Times New Roman" w:cs="Times New Roman"/>
          <w:sz w:val="24"/>
          <w:szCs w:val="24"/>
        </w:rPr>
        <w:t>Dear Assistant Secretary Tsai:</w:t>
      </w:r>
    </w:p>
    <w:p w:rsidR="002C5025" w:rsidRDefault="002C5025">
      <w:pPr>
        <w:pStyle w:val="BodyText"/>
        <w:kinsoku w:val="0"/>
        <w:overflowPunct w:val="0"/>
        <w:spacing w:before="5"/>
        <w:ind w:left="107"/>
        <w:rPr>
          <w:rFonts w:ascii="Arial Narrow" w:hAnsi="Arial Narrow" w:cs="Arial Narrow"/>
          <w:color w:val="818181"/>
          <w:sz w:val="18"/>
          <w:szCs w:val="18"/>
        </w:rPr>
      </w:pPr>
      <w:r>
        <w:rPr>
          <w:rFonts w:ascii="Times New Roman" w:hAnsi="Times New Roman" w:cs="Times New Roman"/>
          <w:sz w:val="24"/>
          <w:szCs w:val="24"/>
        </w:rPr>
        <w:br w:type="column"/>
      </w:r>
      <w:r>
        <w:rPr>
          <w:rFonts w:ascii="Arial Narrow" w:hAnsi="Arial Narrow" w:cs="Arial Narrow"/>
          <w:color w:val="818181"/>
          <w:sz w:val="18"/>
          <w:szCs w:val="18"/>
        </w:rPr>
        <w:lastRenderedPageBreak/>
        <w:t>450 Brookline Avenue</w:t>
      </w:r>
    </w:p>
    <w:p w:rsidR="002C5025" w:rsidRDefault="002C5025">
      <w:pPr>
        <w:pStyle w:val="BodyText"/>
        <w:kinsoku w:val="0"/>
        <w:overflowPunct w:val="0"/>
        <w:ind w:left="107"/>
        <w:rPr>
          <w:rFonts w:ascii="Arial Narrow" w:hAnsi="Arial Narrow" w:cs="Arial Narrow"/>
          <w:color w:val="818181"/>
          <w:sz w:val="18"/>
          <w:szCs w:val="18"/>
        </w:rPr>
      </w:pPr>
      <w:r>
        <w:rPr>
          <w:rFonts w:ascii="Arial Narrow" w:hAnsi="Arial Narrow" w:cs="Arial Narrow"/>
          <w:color w:val="818181"/>
          <w:sz w:val="18"/>
          <w:szCs w:val="18"/>
        </w:rPr>
        <w:t>Boston, Massachusetts 02215-5450</w:t>
      </w:r>
    </w:p>
    <w:p w:rsidR="002C5025" w:rsidRDefault="002C5025">
      <w:pPr>
        <w:pStyle w:val="BodyText"/>
        <w:kinsoku w:val="0"/>
        <w:overflowPunct w:val="0"/>
        <w:spacing w:line="206" w:lineRule="exact"/>
        <w:ind w:left="107"/>
        <w:rPr>
          <w:rFonts w:ascii="Arial Narrow" w:hAnsi="Arial Narrow" w:cs="Arial Narrow"/>
          <w:color w:val="818181"/>
          <w:sz w:val="18"/>
          <w:szCs w:val="18"/>
        </w:rPr>
      </w:pPr>
      <w:r>
        <w:rPr>
          <w:rFonts w:ascii="Arial Narrow" w:hAnsi="Arial Narrow" w:cs="Arial Narrow"/>
          <w:color w:val="818181"/>
          <w:sz w:val="18"/>
          <w:szCs w:val="18"/>
        </w:rPr>
        <w:t>617-632-3000</w:t>
      </w:r>
    </w:p>
    <w:p w:rsidR="002C5025" w:rsidRDefault="002C5025">
      <w:pPr>
        <w:pStyle w:val="BodyText"/>
        <w:kinsoku w:val="0"/>
        <w:overflowPunct w:val="0"/>
        <w:ind w:left="107"/>
        <w:rPr>
          <w:rFonts w:ascii="Arial Narrow" w:hAnsi="Arial Narrow" w:cs="Arial Narrow"/>
          <w:color w:val="818181"/>
          <w:sz w:val="18"/>
          <w:szCs w:val="18"/>
        </w:rPr>
      </w:pPr>
      <w:r>
        <w:rPr>
          <w:rFonts w:ascii="Arial Narrow" w:hAnsi="Arial Narrow" w:cs="Arial Narrow"/>
          <w:color w:val="818181"/>
          <w:sz w:val="18"/>
          <w:szCs w:val="18"/>
        </w:rPr>
        <w:t>617-632-5330 TDD</w:t>
      </w:r>
    </w:p>
    <w:p w:rsidR="002C5025" w:rsidRDefault="002C5025">
      <w:pPr>
        <w:pStyle w:val="BodyText"/>
        <w:kinsoku w:val="0"/>
        <w:overflowPunct w:val="0"/>
        <w:ind w:left="107"/>
        <w:rPr>
          <w:rFonts w:ascii="Arial Narrow" w:hAnsi="Arial Narrow" w:cs="Arial Narrow"/>
          <w:color w:val="818181"/>
          <w:sz w:val="18"/>
          <w:szCs w:val="18"/>
        </w:rPr>
        <w:sectPr w:rsidR="002C5025">
          <w:type w:val="continuous"/>
          <w:pgSz w:w="12240" w:h="15840"/>
          <w:pgMar w:top="720" w:right="1300" w:bottom="280" w:left="1520" w:header="720" w:footer="720" w:gutter="0"/>
          <w:cols w:num="2" w:space="720" w:equalWidth="0">
            <w:col w:w="5224" w:space="1633"/>
            <w:col w:w="2563"/>
          </w:cols>
          <w:noEndnote/>
        </w:sectPr>
      </w:pPr>
    </w:p>
    <w:p w:rsidR="002C5025" w:rsidRDefault="002C5025">
      <w:pPr>
        <w:pStyle w:val="BodyText"/>
        <w:kinsoku w:val="0"/>
        <w:overflowPunct w:val="0"/>
        <w:rPr>
          <w:rFonts w:ascii="Arial Narrow" w:hAnsi="Arial Narrow" w:cs="Arial Narrow"/>
          <w:sz w:val="18"/>
          <w:szCs w:val="18"/>
        </w:rPr>
      </w:pPr>
    </w:p>
    <w:p w:rsidR="002C5025" w:rsidRDefault="002C5025">
      <w:pPr>
        <w:pStyle w:val="BodyText"/>
        <w:kinsoku w:val="0"/>
        <w:overflowPunct w:val="0"/>
        <w:spacing w:before="71"/>
        <w:ind w:left="107" w:right="178"/>
        <w:rPr>
          <w:rFonts w:ascii="Times New Roman" w:hAnsi="Times New Roman" w:cs="Times New Roman"/>
          <w:sz w:val="23"/>
          <w:szCs w:val="23"/>
        </w:rPr>
      </w:pPr>
      <w:r>
        <w:rPr>
          <w:rFonts w:ascii="Times New Roman" w:hAnsi="Times New Roman" w:cs="Times New Roman"/>
          <w:sz w:val="23"/>
          <w:szCs w:val="23"/>
        </w:rPr>
        <w:t>On behalf of Dana-Farber Cancer Institute, I am pleased to submit the following comments for your consideration as the Executive Office of Health and Human Services develops its MassHealth Accountable Care Organization (ACO) program and the 1115 Medicaid Waiver proposal to implement the program.</w:t>
      </w:r>
    </w:p>
    <w:p w:rsidR="002C5025" w:rsidRDefault="002C5025">
      <w:pPr>
        <w:pStyle w:val="BodyText"/>
        <w:kinsoku w:val="0"/>
        <w:overflowPunct w:val="0"/>
        <w:spacing w:before="10"/>
        <w:rPr>
          <w:rFonts w:ascii="Times New Roman" w:hAnsi="Times New Roman" w:cs="Times New Roman"/>
        </w:rPr>
      </w:pPr>
    </w:p>
    <w:p w:rsidR="002C5025" w:rsidRDefault="002C5025">
      <w:pPr>
        <w:pStyle w:val="BodyText"/>
        <w:kinsoku w:val="0"/>
        <w:overflowPunct w:val="0"/>
        <w:ind w:left="107" w:right="141"/>
        <w:rPr>
          <w:rFonts w:ascii="Times New Roman" w:hAnsi="Times New Roman" w:cs="Times New Roman"/>
          <w:sz w:val="23"/>
          <w:szCs w:val="23"/>
        </w:rPr>
      </w:pPr>
      <w:r>
        <w:rPr>
          <w:rFonts w:ascii="Times New Roman" w:hAnsi="Times New Roman" w:cs="Times New Roman"/>
          <w:sz w:val="23"/>
          <w:szCs w:val="23"/>
        </w:rPr>
        <w:t>Dana-Farber is committed to ensuring that patients from diverse backgrounds receive equitable cancer care and treatment – and to serving medically underserved populations in our community who may face barriers to obtaining care. Ensuring that MassHealth patients who may be low- income, disabled or otherwise at risk of experiencing health care barriers have access to specialized cancer care is a key part of our mission and work as a comprehensive cancer center. As the MassHealth ACO program seeks to better-coordinate healthcare delivery in a way that is cost- effective, value-based, and patient-centered, we want to ensure that patients enrolled in ACOs are not denied access to high-quality specialty and subspecialty services that are critical to achieving these important program goals.</w:t>
      </w: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ind w:left="107" w:right="5109"/>
        <w:rPr>
          <w:rFonts w:ascii="Times New Roman" w:hAnsi="Times New Roman" w:cs="Times New Roman"/>
        </w:rPr>
      </w:pPr>
      <w:r>
        <w:rPr>
          <w:rFonts w:ascii="Times New Roman" w:hAnsi="Times New Roman" w:cs="Times New Roman"/>
          <w:b/>
          <w:bCs/>
        </w:rPr>
        <w:t>Patient Access to Sub-Specialized Services</w:t>
      </w:r>
      <w:r>
        <w:rPr>
          <w:rFonts w:ascii="Times New Roman" w:hAnsi="Times New Roman" w:cs="Times New Roman"/>
        </w:rPr>
        <w:t>:</w:t>
      </w:r>
    </w:p>
    <w:p w:rsidR="002C5025" w:rsidRDefault="002C5025">
      <w:pPr>
        <w:pStyle w:val="BodyText"/>
        <w:kinsoku w:val="0"/>
        <w:overflowPunct w:val="0"/>
        <w:spacing w:before="9"/>
        <w:rPr>
          <w:rFonts w:ascii="Times New Roman" w:hAnsi="Times New Roman" w:cs="Times New Roman"/>
          <w:sz w:val="21"/>
          <w:szCs w:val="21"/>
        </w:rPr>
      </w:pPr>
    </w:p>
    <w:p w:rsidR="002C5025" w:rsidRDefault="002C5025">
      <w:pPr>
        <w:pStyle w:val="BodyText"/>
        <w:kinsoku w:val="0"/>
        <w:overflowPunct w:val="0"/>
        <w:ind w:left="107" w:right="154" w:hanging="1"/>
        <w:rPr>
          <w:rFonts w:ascii="Times New Roman" w:hAnsi="Times New Roman" w:cs="Times New Roman"/>
        </w:rPr>
      </w:pPr>
      <w:r>
        <w:rPr>
          <w:rFonts w:ascii="Times New Roman" w:hAnsi="Times New Roman" w:cs="Times New Roman"/>
        </w:rPr>
        <w:t>The MassHealth ACO program should be structured to ensure that patients have access to medically necessary and clinically appropriate services, including the sub-specialized services of a comprehensive cancer center, and all necessary oncology-based services provided through the continuum of care.</w:t>
      </w: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ind w:left="107" w:right="141"/>
        <w:rPr>
          <w:rFonts w:ascii="Times New Roman" w:hAnsi="Times New Roman" w:cs="Times New Roman"/>
        </w:rPr>
      </w:pPr>
      <w:r>
        <w:rPr>
          <w:rFonts w:ascii="Times New Roman" w:hAnsi="Times New Roman" w:cs="Times New Roman"/>
        </w:rPr>
        <w:t>Dana-Farber maintains a unique role in the continuum of care in the Commonwealth as the only free- standing NCI-designated comprehensive cancer center in Massachusetts and only one of eleven such centers in the country. This special status, and the importance of including comprehensive cancer center services within the ACO framework, was recognized in the provisions of Chapter 224 authorizing the Health Policy Commission (HPC) to certify ACOs. Among the additional elements to be considered by the HPC in certifying ACOs is ensuring “patient access to health care services across the care continuum, including, but not limited to, access to… the services of a comprehensive cancer center….” (M.G.L. c. 6D, s. 15(c)).</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ind w:left="107" w:right="135"/>
        <w:rPr>
          <w:rFonts w:ascii="Times New Roman" w:hAnsi="Times New Roman" w:cs="Times New Roman"/>
        </w:rPr>
      </w:pPr>
      <w:r>
        <w:rPr>
          <w:rFonts w:ascii="Times New Roman" w:hAnsi="Times New Roman" w:cs="Times New Roman"/>
        </w:rPr>
        <w:t>While it is not reasonable to expect that Dana-Farber be included in every ACO network in the Commonwealth, we believe it is critical, and consistent with the clearly articulated policy of the Commonwealth, to ensure that patients who could benefit from the expertise of our sub-specialized care</w:t>
      </w:r>
    </w:p>
    <w:p w:rsidR="002C5025" w:rsidRDefault="002C5025">
      <w:pPr>
        <w:pStyle w:val="BodyText"/>
        <w:kinsoku w:val="0"/>
        <w:overflowPunct w:val="0"/>
        <w:ind w:left="107" w:right="135"/>
        <w:rPr>
          <w:rFonts w:ascii="Times New Roman" w:hAnsi="Times New Roman" w:cs="Times New Roman"/>
        </w:rPr>
        <w:sectPr w:rsidR="002C5025">
          <w:type w:val="continuous"/>
          <w:pgSz w:w="12240" w:h="15840"/>
          <w:pgMar w:top="720" w:right="1300" w:bottom="280" w:left="1520" w:header="720" w:footer="720" w:gutter="0"/>
          <w:cols w:space="720" w:equalWidth="0">
            <w:col w:w="9420"/>
          </w:cols>
          <w:noEndnote/>
        </w:sectPr>
      </w:pPr>
    </w:p>
    <w:p w:rsidR="002C5025" w:rsidRDefault="002C5025">
      <w:pPr>
        <w:pStyle w:val="BodyText"/>
        <w:kinsoku w:val="0"/>
        <w:overflowPunct w:val="0"/>
        <w:spacing w:before="133"/>
        <w:ind w:left="107" w:right="101"/>
        <w:rPr>
          <w:rFonts w:ascii="Times New Roman" w:hAnsi="Times New Roman" w:cs="Times New Roman"/>
        </w:rPr>
      </w:pPr>
      <w:r>
        <w:rPr>
          <w:rFonts w:ascii="Times New Roman" w:hAnsi="Times New Roman" w:cs="Times New Roman"/>
        </w:rPr>
        <w:lastRenderedPageBreak/>
        <w:t xml:space="preserve">teams, our specialized services such as molecular pathology, and our more than 750 clinical trials should not be denied access. Also with reference to the HPC authority, M.G.L. c. 6D, s. </w:t>
      </w:r>
      <w:r>
        <w:rPr>
          <w:rFonts w:ascii="Times New Roman" w:hAnsi="Times New Roman" w:cs="Times New Roman"/>
          <w:sz w:val="20"/>
          <w:szCs w:val="20"/>
        </w:rPr>
        <w:t xml:space="preserve">15(b) establishes among the standards for ACO certification whether the ACO will assure the provision of “medically necessary services across the care continuum,” and that “any medically necessary service that is not internally available shall be provided to a patient through services outside the ACO.” </w:t>
      </w:r>
      <w:r>
        <w:rPr>
          <w:rFonts w:ascii="Times New Roman" w:hAnsi="Times New Roman" w:cs="Times New Roman"/>
        </w:rPr>
        <w:t>If Dana-Farber is not included in an ACO network, there may be a financial disincentive for a patient to be referred outside of the ACO for a second opinion consultation or treatment. We are concerned that this financial disincentive may result in some patients who require highly specialized cancer care being confined to the ACO network inappropriately, contrary to Commonwealth policy, and therefore compromising patient care and outcomes as a</w:t>
      </w:r>
      <w:r>
        <w:rPr>
          <w:rFonts w:ascii="Times New Roman" w:hAnsi="Times New Roman" w:cs="Times New Roman"/>
          <w:spacing w:val="-2"/>
        </w:rPr>
        <w:t xml:space="preserve"> </w:t>
      </w:r>
      <w:r>
        <w:rPr>
          <w:rFonts w:ascii="Times New Roman" w:hAnsi="Times New Roman" w:cs="Times New Roman"/>
        </w:rPr>
        <w:t>result.</w:t>
      </w: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ind w:left="107" w:right="119"/>
        <w:rPr>
          <w:rFonts w:ascii="Times New Roman" w:hAnsi="Times New Roman" w:cs="Times New Roman"/>
        </w:rPr>
      </w:pPr>
      <w:r>
        <w:rPr>
          <w:rFonts w:ascii="Times New Roman" w:hAnsi="Times New Roman" w:cs="Times New Roman"/>
        </w:rPr>
        <w:t>For example, a key predictor of the quality of outcomes for highly specialized cancer care is the volume of services provided. There are only a few centers in the Commonwealth that perform bone marrow transplants (BMT) and fewer still that perform pediatric BMT. The sufficient volume of these procedures at select tertiary cancer centers has promoted the achievement of significantly better survival outcomes at those higher volume centers compared to both regional and national</w:t>
      </w:r>
      <w:r>
        <w:rPr>
          <w:rFonts w:ascii="Times New Roman" w:hAnsi="Times New Roman" w:cs="Times New Roman"/>
          <w:spacing w:val="-24"/>
        </w:rPr>
        <w:t xml:space="preserve"> </w:t>
      </w:r>
      <w:r>
        <w:rPr>
          <w:rFonts w:ascii="Times New Roman" w:hAnsi="Times New Roman" w:cs="Times New Roman"/>
        </w:rPr>
        <w:t>statistics.</w:t>
      </w:r>
    </w:p>
    <w:p w:rsidR="002C5025" w:rsidRDefault="002C5025">
      <w:pPr>
        <w:pStyle w:val="BodyText"/>
        <w:kinsoku w:val="0"/>
        <w:overflowPunct w:val="0"/>
        <w:spacing w:before="9"/>
        <w:rPr>
          <w:rFonts w:ascii="Times New Roman" w:hAnsi="Times New Roman" w:cs="Times New Roman"/>
          <w:sz w:val="21"/>
          <w:szCs w:val="21"/>
        </w:rPr>
      </w:pPr>
    </w:p>
    <w:p w:rsidR="002C5025" w:rsidRDefault="002C5025">
      <w:pPr>
        <w:pStyle w:val="BodyText"/>
        <w:kinsoku w:val="0"/>
        <w:overflowPunct w:val="0"/>
        <w:ind w:left="106" w:right="219"/>
        <w:rPr>
          <w:rFonts w:ascii="Times New Roman" w:hAnsi="Times New Roman" w:cs="Times New Roman"/>
        </w:rPr>
      </w:pPr>
      <w:r>
        <w:rPr>
          <w:rFonts w:ascii="Times New Roman" w:hAnsi="Times New Roman" w:cs="Times New Roman"/>
        </w:rPr>
        <w:t>To this end, patients requiring such specialized services such as pediatric oncology, care for sarcoma, and treatment for other hematologic malignancies, for example, should have access to the services of a comprehensive cancer center to ensure their needs are met and to optimize quality of life and survival outcomes. In addition, ensuring access also requires that the care provided to patients outside of the ACO is reimbursed adequately at rates consistent with those the principal commercial payers set as appropriate.</w:t>
      </w: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ind w:left="106" w:right="269"/>
        <w:rPr>
          <w:rFonts w:ascii="Times New Roman" w:hAnsi="Times New Roman" w:cs="Times New Roman"/>
        </w:rPr>
      </w:pPr>
      <w:r>
        <w:rPr>
          <w:rFonts w:ascii="Times New Roman" w:hAnsi="Times New Roman" w:cs="Times New Roman"/>
          <w:b/>
          <w:bCs/>
        </w:rPr>
        <w:t>Pathways to Seek Care Outside of the ACO</w:t>
      </w:r>
      <w:r>
        <w:rPr>
          <w:rFonts w:ascii="Times New Roman" w:hAnsi="Times New Roman" w:cs="Times New Roman"/>
        </w:rPr>
        <w:t>:</w:t>
      </w: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ind w:left="106" w:right="163"/>
        <w:rPr>
          <w:rFonts w:ascii="Times New Roman" w:hAnsi="Times New Roman" w:cs="Times New Roman"/>
        </w:rPr>
      </w:pPr>
      <w:r>
        <w:rPr>
          <w:rFonts w:ascii="Times New Roman" w:hAnsi="Times New Roman" w:cs="Times New Roman"/>
        </w:rPr>
        <w:t>The design of the MassHealth ACO program plays an important role in ensuring that patients have access to such services by maintaining pathways for patients to seek care outside of the ACO where clinically appropriate and ensuring that reimbursement for such services is consistent with contracted rates. Because the ACO structure could create a financial disincentive for the ACO to refer a patient to a non-participating provider, ample safeguards should be developed within the ACO program to ensure that patients have appropriate access to care outside of the ACO. This is consistent with the policy embedded in the HPC authorization, and MassHealth should promote a similar public policy.</w:t>
      </w:r>
    </w:p>
    <w:p w:rsidR="002C5025" w:rsidRDefault="002C5025">
      <w:pPr>
        <w:pStyle w:val="BodyText"/>
        <w:kinsoku w:val="0"/>
        <w:overflowPunct w:val="0"/>
        <w:spacing w:before="9"/>
        <w:rPr>
          <w:rFonts w:ascii="Times New Roman" w:hAnsi="Times New Roman" w:cs="Times New Roman"/>
          <w:sz w:val="21"/>
          <w:szCs w:val="21"/>
        </w:rPr>
      </w:pPr>
    </w:p>
    <w:p w:rsidR="002C5025" w:rsidRDefault="002C5025">
      <w:pPr>
        <w:pStyle w:val="BodyText"/>
        <w:kinsoku w:val="0"/>
        <w:overflowPunct w:val="0"/>
        <w:ind w:left="106" w:right="269"/>
        <w:rPr>
          <w:rFonts w:ascii="Times New Roman" w:hAnsi="Times New Roman" w:cs="Times New Roman"/>
        </w:rPr>
      </w:pPr>
      <w:r>
        <w:rPr>
          <w:rFonts w:ascii="Times New Roman" w:hAnsi="Times New Roman" w:cs="Times New Roman"/>
        </w:rPr>
        <w:t>Specifically, we recommend the following:</w:t>
      </w:r>
    </w:p>
    <w:p w:rsidR="002C5025" w:rsidRDefault="002C5025">
      <w:pPr>
        <w:pStyle w:val="BodyText"/>
        <w:kinsoku w:val="0"/>
        <w:overflowPunct w:val="0"/>
        <w:spacing w:before="2"/>
        <w:rPr>
          <w:rFonts w:ascii="Times New Roman" w:hAnsi="Times New Roman" w:cs="Times New Roman"/>
        </w:rPr>
      </w:pPr>
    </w:p>
    <w:p w:rsidR="002C5025" w:rsidRDefault="002C5025">
      <w:pPr>
        <w:pStyle w:val="BodyText"/>
        <w:kinsoku w:val="0"/>
        <w:overflowPunct w:val="0"/>
        <w:ind w:left="107" w:right="269" w:hanging="1"/>
        <w:rPr>
          <w:rFonts w:ascii="Times New Roman" w:hAnsi="Times New Roman" w:cs="Times New Roman"/>
        </w:rPr>
      </w:pPr>
      <w:r>
        <w:rPr>
          <w:rFonts w:ascii="Times New Roman" w:hAnsi="Times New Roman" w:cs="Times New Roman"/>
          <w:u w:val="single" w:color="000000"/>
        </w:rPr>
        <w:t xml:space="preserve">Disclosure: </w:t>
      </w:r>
      <w:r>
        <w:rPr>
          <w:rFonts w:ascii="Times New Roman" w:hAnsi="Times New Roman" w:cs="Times New Roman"/>
        </w:rPr>
        <w:t>MassHealth should require certified ACOs to inform patients that they are included in an ACO and explain what that means from a patient perspective. Patients should be informed of their rights, including their ability to seek approval to receive care outside of the ACO network. Specific information should be provided about how a patient could request a referral outside the ACO.</w:t>
      </w: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ind w:left="107" w:right="348"/>
        <w:rPr>
          <w:rFonts w:ascii="Times New Roman" w:hAnsi="Times New Roman" w:cs="Times New Roman"/>
        </w:rPr>
      </w:pPr>
      <w:r>
        <w:rPr>
          <w:rFonts w:ascii="Times New Roman" w:hAnsi="Times New Roman" w:cs="Times New Roman"/>
          <w:u w:val="single" w:color="000000"/>
        </w:rPr>
        <w:t xml:space="preserve">Tracking Access: </w:t>
      </w:r>
      <w:r>
        <w:rPr>
          <w:rFonts w:ascii="Times New Roman" w:hAnsi="Times New Roman" w:cs="Times New Roman"/>
        </w:rPr>
        <w:t>MassHealth should require that certified ACOs report the volume and result of out- of-ACO requests and/or referrals for treatment and second opinion consultations for select services including oncology.</w:t>
      </w: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ind w:left="107" w:right="143"/>
        <w:rPr>
          <w:rFonts w:ascii="Times New Roman" w:hAnsi="Times New Roman" w:cs="Times New Roman"/>
        </w:rPr>
      </w:pPr>
      <w:r>
        <w:rPr>
          <w:rFonts w:ascii="Times New Roman" w:hAnsi="Times New Roman" w:cs="Times New Roman"/>
          <w:u w:val="single" w:color="000000"/>
        </w:rPr>
        <w:t xml:space="preserve">Reimbursement: </w:t>
      </w:r>
      <w:r>
        <w:rPr>
          <w:rFonts w:ascii="Times New Roman" w:hAnsi="Times New Roman" w:cs="Times New Roman"/>
        </w:rPr>
        <w:t>Specialty care that is provided outside of the MassHealth ACO to optimize patient quality of life and survival should be reimbursed to out-of-ACO providers at rates consistent with those the principal commercial payers set as appropriate.</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18"/>
          <w:szCs w:val="18"/>
        </w:rPr>
      </w:pPr>
    </w:p>
    <w:p w:rsidR="002C5025" w:rsidRDefault="002C5025">
      <w:pPr>
        <w:pStyle w:val="BodyText"/>
        <w:kinsoku w:val="0"/>
        <w:overflowPunct w:val="0"/>
        <w:spacing w:before="75" w:line="242" w:lineRule="auto"/>
        <w:ind w:left="7295" w:right="160" w:firstLine="511"/>
        <w:jc w:val="right"/>
        <w:rPr>
          <w:rFonts w:ascii="Arial Narrow" w:hAnsi="Arial Narrow" w:cs="Arial Narrow"/>
          <w:color w:val="818181"/>
          <w:sz w:val="20"/>
          <w:szCs w:val="20"/>
        </w:rPr>
      </w:pPr>
      <w:r>
        <w:rPr>
          <w:rFonts w:ascii="Arial Narrow" w:hAnsi="Arial Narrow" w:cs="Arial Narrow"/>
          <w:color w:val="818181"/>
          <w:sz w:val="20"/>
          <w:szCs w:val="20"/>
        </w:rPr>
        <w:t>A Teaching Affiliate</w:t>
      </w:r>
      <w:r>
        <w:rPr>
          <w:rFonts w:ascii="Arial Narrow" w:hAnsi="Arial Narrow" w:cs="Arial Narrow"/>
          <w:color w:val="818181"/>
          <w:w w:val="99"/>
          <w:sz w:val="20"/>
          <w:szCs w:val="20"/>
        </w:rPr>
        <w:t xml:space="preserve"> </w:t>
      </w:r>
      <w:r>
        <w:rPr>
          <w:rFonts w:ascii="Arial Narrow" w:hAnsi="Arial Narrow" w:cs="Arial Narrow"/>
          <w:color w:val="818181"/>
          <w:sz w:val="20"/>
          <w:szCs w:val="20"/>
        </w:rPr>
        <w:t>of Harvard Medical School</w:t>
      </w:r>
    </w:p>
    <w:p w:rsidR="002C5025" w:rsidRDefault="002C5025">
      <w:pPr>
        <w:pStyle w:val="BodyText"/>
        <w:kinsoku w:val="0"/>
        <w:overflowPunct w:val="0"/>
        <w:spacing w:before="75" w:line="242" w:lineRule="auto"/>
        <w:ind w:left="7295" w:right="160" w:firstLine="511"/>
        <w:jc w:val="right"/>
        <w:rPr>
          <w:rFonts w:ascii="Arial Narrow" w:hAnsi="Arial Narrow" w:cs="Arial Narrow"/>
          <w:color w:val="818181"/>
          <w:sz w:val="20"/>
          <w:szCs w:val="20"/>
        </w:rPr>
        <w:sectPr w:rsidR="002C5025">
          <w:pgSz w:w="12240" w:h="15840"/>
          <w:pgMar w:top="1500" w:right="1340" w:bottom="280" w:left="1520" w:header="720" w:footer="720" w:gutter="0"/>
          <w:cols w:space="720" w:equalWidth="0">
            <w:col w:w="9380"/>
          </w:cols>
          <w:noEndnote/>
        </w:sectPr>
      </w:pPr>
    </w:p>
    <w:p w:rsidR="002C5025" w:rsidRDefault="002C5025">
      <w:pPr>
        <w:pStyle w:val="BodyText"/>
        <w:kinsoku w:val="0"/>
        <w:overflowPunct w:val="0"/>
        <w:spacing w:before="133"/>
        <w:ind w:left="106" w:right="170"/>
        <w:rPr>
          <w:rFonts w:ascii="Times New Roman" w:hAnsi="Times New Roman" w:cs="Times New Roman"/>
        </w:rPr>
      </w:pPr>
      <w:r>
        <w:rPr>
          <w:rFonts w:ascii="Times New Roman" w:hAnsi="Times New Roman" w:cs="Times New Roman"/>
        </w:rPr>
        <w:lastRenderedPageBreak/>
        <w:t>We recognize the difficulty in developing metrics to evaluate meaningful access to services outside of an ACO, but believe this is of critical importance to ensure that the needs of cancer patients in ACOs are being met. We would be glad to work with MassHealth in examining and developing other metrics or opportunities to evaluate access for cancer patients in ACOs.</w:t>
      </w:r>
    </w:p>
    <w:p w:rsidR="002C5025" w:rsidRDefault="002C5025">
      <w:pPr>
        <w:pStyle w:val="BodyText"/>
        <w:kinsoku w:val="0"/>
        <w:overflowPunct w:val="0"/>
        <w:spacing w:before="1"/>
        <w:rPr>
          <w:rFonts w:ascii="Times New Roman" w:hAnsi="Times New Roman" w:cs="Times New Roman"/>
          <w:sz w:val="23"/>
          <w:szCs w:val="23"/>
        </w:rPr>
      </w:pPr>
    </w:p>
    <w:p w:rsidR="002C5025" w:rsidRDefault="002C5025">
      <w:pPr>
        <w:pStyle w:val="BodyText"/>
        <w:kinsoku w:val="0"/>
        <w:overflowPunct w:val="0"/>
        <w:ind w:left="107" w:right="123"/>
        <w:rPr>
          <w:rFonts w:ascii="Times New Roman" w:hAnsi="Times New Roman" w:cs="Times New Roman"/>
          <w:sz w:val="24"/>
          <w:szCs w:val="24"/>
        </w:rPr>
      </w:pPr>
      <w:r>
        <w:rPr>
          <w:rFonts w:ascii="Times New Roman" w:hAnsi="Times New Roman" w:cs="Times New Roman"/>
          <w:sz w:val="23"/>
          <w:szCs w:val="23"/>
        </w:rPr>
        <w:t xml:space="preserve">We appreciate the opportunity to provide written comments on the proposed MassHealth ACO program design and would be pleased to work with you going forward to evaluate access to highly specialized cancer services within the ACO model. </w:t>
      </w:r>
      <w:r>
        <w:rPr>
          <w:rFonts w:ascii="Times New Roman" w:hAnsi="Times New Roman" w:cs="Times New Roman"/>
          <w:sz w:val="24"/>
          <w:szCs w:val="24"/>
        </w:rPr>
        <w:t>If you have any questions, please do not hesitate to contact me at 617-632-4433.</w:t>
      </w:r>
    </w:p>
    <w:p w:rsidR="002C5025" w:rsidRDefault="00FB027C">
      <w:pPr>
        <w:pStyle w:val="BodyText"/>
        <w:kinsoku w:val="0"/>
        <w:overflowPunct w:val="0"/>
        <w:spacing w:before="95" w:line="794" w:lineRule="exact"/>
        <w:ind w:left="107" w:right="7946"/>
        <w:rPr>
          <w:rFonts w:ascii="Times New Roman" w:hAnsi="Times New Roman" w:cs="Times New Roman"/>
          <w:sz w:val="24"/>
          <w:szCs w:val="24"/>
        </w:rPr>
      </w:pPr>
      <w:r>
        <w:rPr>
          <w:noProof/>
        </w:rPr>
        <mc:AlternateContent>
          <mc:Choice Requires="wps">
            <w:drawing>
              <wp:anchor distT="0" distB="0" distL="114300" distR="114300" simplePos="0" relativeHeight="251593216" behindDoc="1" locked="0" layoutInCell="0" allowOverlap="1">
                <wp:simplePos x="0" y="0"/>
                <wp:positionH relativeFrom="page">
                  <wp:posOffset>1052195</wp:posOffset>
                </wp:positionH>
                <wp:positionV relativeFrom="paragraph">
                  <wp:posOffset>501650</wp:posOffset>
                </wp:positionV>
                <wp:extent cx="1155700" cy="330200"/>
                <wp:effectExtent l="0" t="0" r="0" b="0"/>
                <wp:wrapNone/>
                <wp:docPr id="713" name="Rectangle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520" w:lineRule="atLeast"/>
                            </w:pPr>
                            <w:r>
                              <w:rPr>
                                <w:noProof/>
                              </w:rPr>
                              <w:drawing>
                                <wp:inline distT="0" distB="0" distL="0" distR="0">
                                  <wp:extent cx="1162050" cy="333375"/>
                                  <wp:effectExtent l="0" t="0" r="0" b="952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1162050" cy="333375"/>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2" o:spid="_x0000_s1164" style="position:absolute;left:0;text-align:left;margin-left:82.85pt;margin-top:39.5pt;width:91pt;height:26pt;z-index:-251723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" o:allowincell="f" filled="f" stroked="f">
                <v:textbox inset="0,0,0,0">
                  <w:txbxContent>
                    <w:p w:rsidR="007B2B7B" w:rsidRDefault="007B2B7B">
                      <w:pPr>
                        <w:widowControl/>
                        <w:autoSpaceDE/>
                        <w:autoSpaceDN/>
                        <w:adjustRightInd/>
                        <w:spacing w:line="520" w:lineRule="atLeast"/>
                      </w:pPr>
                      <w:r>
                        <w:rPr>
                          <w:noProof/>
                        </w:rPr>
                        <w:drawing>
                          <wp:inline distT="0" distB="0" distL="0" distR="0">
                            <wp:extent cx="1162050" cy="333375"/>
                            <wp:effectExtent l="0" t="0" r="0" b="952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1162050" cy="333375"/>
                                    </a:xfrm>
                                    <a:prstGeom prst="rect">
                                      <a:avLst/>
                                    </a:prstGeom>
                                    <a:noFill/>
                                    <a:ln>
                                      <a:noFill/>
                                    </a:ln>
                                  </pic:spPr>
                                </pic:pic>
                              </a:graphicData>
                            </a:graphic>
                          </wp:inline>
                        </w:drawing>
                      </w:r>
                    </w:p>
                    <w:p w:rsidR="007B2B7B" w:rsidRDefault="007B2B7B"/>
                  </w:txbxContent>
                </v:textbox>
                <w10:wrap anchorx="page"/>
              </v:rect>
            </w:pict>
          </mc:Fallback>
        </mc:AlternateContent>
      </w:r>
      <w:r w:rsidR="002C5025">
        <w:rPr>
          <w:rFonts w:ascii="Times New Roman" w:hAnsi="Times New Roman" w:cs="Times New Roman"/>
          <w:sz w:val="24"/>
          <w:szCs w:val="24"/>
        </w:rPr>
        <w:t>Sincerely, Anne Levine</w:t>
      </w:r>
    </w:p>
    <w:p w:rsidR="002C5025" w:rsidRDefault="002C5025">
      <w:pPr>
        <w:pStyle w:val="BodyText"/>
        <w:kinsoku w:val="0"/>
        <w:overflowPunct w:val="0"/>
        <w:spacing w:line="169" w:lineRule="exact"/>
        <w:ind w:left="107" w:right="170"/>
        <w:rPr>
          <w:rFonts w:ascii="Times New Roman" w:hAnsi="Times New Roman" w:cs="Times New Roman"/>
          <w:sz w:val="24"/>
          <w:szCs w:val="24"/>
        </w:rPr>
      </w:pPr>
      <w:r>
        <w:rPr>
          <w:rFonts w:ascii="Times New Roman" w:hAnsi="Times New Roman" w:cs="Times New Roman"/>
          <w:sz w:val="24"/>
          <w:szCs w:val="24"/>
        </w:rPr>
        <w:t>Vice President of External Affairs</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1"/>
        <w:rPr>
          <w:rFonts w:ascii="Times New Roman" w:hAnsi="Times New Roman" w:cs="Times New Roman"/>
          <w:sz w:val="24"/>
          <w:szCs w:val="24"/>
        </w:rPr>
      </w:pPr>
    </w:p>
    <w:p w:rsidR="002C5025" w:rsidRDefault="002C5025">
      <w:pPr>
        <w:pStyle w:val="BodyText"/>
        <w:kinsoku w:val="0"/>
        <w:overflowPunct w:val="0"/>
        <w:spacing w:before="75" w:line="242" w:lineRule="auto"/>
        <w:ind w:left="7295" w:right="100" w:firstLine="511"/>
        <w:jc w:val="right"/>
        <w:rPr>
          <w:rFonts w:ascii="Arial Narrow" w:hAnsi="Arial Narrow" w:cs="Arial Narrow"/>
          <w:color w:val="818181"/>
          <w:sz w:val="20"/>
          <w:szCs w:val="20"/>
        </w:rPr>
      </w:pPr>
      <w:r>
        <w:rPr>
          <w:rFonts w:ascii="Arial Narrow" w:hAnsi="Arial Narrow" w:cs="Arial Narrow"/>
          <w:color w:val="818181"/>
          <w:sz w:val="20"/>
          <w:szCs w:val="20"/>
        </w:rPr>
        <w:t>A Teaching Affiliate</w:t>
      </w:r>
      <w:r>
        <w:rPr>
          <w:rFonts w:ascii="Arial Narrow" w:hAnsi="Arial Narrow" w:cs="Arial Narrow"/>
          <w:color w:val="818181"/>
          <w:w w:val="99"/>
          <w:sz w:val="20"/>
          <w:szCs w:val="20"/>
        </w:rPr>
        <w:t xml:space="preserve"> </w:t>
      </w:r>
      <w:r>
        <w:rPr>
          <w:rFonts w:ascii="Arial Narrow" w:hAnsi="Arial Narrow" w:cs="Arial Narrow"/>
          <w:color w:val="818181"/>
          <w:sz w:val="20"/>
          <w:szCs w:val="20"/>
        </w:rPr>
        <w:t>of Harvard Medical School</w:t>
      </w:r>
    </w:p>
    <w:p w:rsidR="002C5025" w:rsidRDefault="002C5025">
      <w:pPr>
        <w:pStyle w:val="BodyText"/>
        <w:kinsoku w:val="0"/>
        <w:overflowPunct w:val="0"/>
        <w:spacing w:before="75" w:line="242" w:lineRule="auto"/>
        <w:ind w:left="7295" w:right="100" w:firstLine="511"/>
        <w:jc w:val="right"/>
        <w:rPr>
          <w:rFonts w:ascii="Arial Narrow" w:hAnsi="Arial Narrow" w:cs="Arial Narrow"/>
          <w:color w:val="818181"/>
          <w:sz w:val="20"/>
          <w:szCs w:val="20"/>
        </w:rPr>
        <w:sectPr w:rsidR="002C5025">
          <w:pgSz w:w="12240" w:h="15840"/>
          <w:pgMar w:top="1500" w:right="1400" w:bottom="280" w:left="1520" w:header="720" w:footer="720" w:gutter="0"/>
          <w:cols w:space="720" w:equalWidth="0">
            <w:col w:w="9320"/>
          </w:cols>
          <w:noEndnote/>
        </w:sectPr>
      </w:pPr>
    </w:p>
    <w:p w:rsidR="002C5025" w:rsidRDefault="00FB027C">
      <w:pPr>
        <w:pStyle w:val="BodyText"/>
        <w:tabs>
          <w:tab w:val="left" w:pos="9369"/>
        </w:tabs>
        <w:kinsoku w:val="0"/>
        <w:overflowPunct w:val="0"/>
        <w:spacing w:before="80" w:line="1243" w:lineRule="exact"/>
        <w:ind w:left="477" w:right="1090"/>
        <w:rPr>
          <w:rFonts w:ascii="Times New Roman" w:hAnsi="Times New Roman" w:cs="Times New Roman"/>
          <w:b/>
          <w:bCs/>
          <w:sz w:val="79"/>
          <w:szCs w:val="79"/>
        </w:rPr>
      </w:pPr>
      <w:r>
        <w:rPr>
          <w:noProof/>
        </w:rPr>
        <w:lastRenderedPageBreak/>
        <mc:AlternateContent>
          <mc:Choice Requires="wps">
            <w:drawing>
              <wp:anchor distT="0" distB="0" distL="114300" distR="114300" simplePos="0" relativeHeight="251594240" behindDoc="1" locked="0" layoutInCell="0" allowOverlap="1">
                <wp:simplePos x="0" y="0"/>
                <wp:positionH relativeFrom="page">
                  <wp:posOffset>6071870</wp:posOffset>
                </wp:positionH>
                <wp:positionV relativeFrom="paragraph">
                  <wp:posOffset>49530</wp:posOffset>
                </wp:positionV>
                <wp:extent cx="350520" cy="571500"/>
                <wp:effectExtent l="0" t="0" r="0" b="0"/>
                <wp:wrapNone/>
                <wp:docPr id="712"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pStyle w:val="BodyText"/>
                              <w:kinsoku w:val="0"/>
                              <w:overflowPunct w:val="0"/>
                              <w:spacing w:line="900" w:lineRule="exact"/>
                              <w:rPr>
                                <w:rFonts w:ascii="Arial" w:hAnsi="Arial" w:cs="Arial"/>
                                <w:w w:val="174"/>
                                <w:sz w:val="90"/>
                                <w:szCs w:val="90"/>
                              </w:rPr>
                            </w:pPr>
                            <w:r>
                              <w:rPr>
                                <w:rFonts w:ascii="Arial" w:hAnsi="Arial" w:cs="Arial"/>
                                <w:w w:val="174"/>
                                <w:sz w:val="90"/>
                                <w:szCs w:val="9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3" o:spid="_x0000_s1165" type="#_x0000_t202" style="position:absolute;left:0;text-align:left;margin-left:478.1pt;margin-top:3.9pt;width:27.6pt;height:45pt;z-index:-251722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" o:allowincell="f" filled="f" stroked="f">
                <v:textbox inset="0,0,0,0">
                  <w:txbxContent>
                    <w:p w:rsidR="007B2B7B" w:rsidRDefault="007B2B7B">
                      <w:pPr>
                        <w:pStyle w:val="BodyText"/>
                        <w:kinsoku w:val="0"/>
                        <w:overflowPunct w:val="0"/>
                        <w:spacing w:line="900" w:lineRule="exact"/>
                        <w:rPr>
                          <w:rFonts w:ascii="Arial" w:hAnsi="Arial" w:cs="Arial"/>
                          <w:w w:val="174"/>
                          <w:sz w:val="90"/>
                          <w:szCs w:val="90"/>
                        </w:rPr>
                      </w:pPr>
                      <w:r>
                        <w:rPr>
                          <w:rFonts w:ascii="Arial" w:hAnsi="Arial" w:cs="Arial"/>
                          <w:w w:val="174"/>
                          <w:sz w:val="90"/>
                          <w:szCs w:val="90"/>
                        </w:rPr>
                        <w:t>•</w:t>
                      </w:r>
                    </w:p>
                  </w:txbxContent>
                </v:textbox>
                <w10:wrap anchorx="page"/>
              </v:shape>
            </w:pict>
          </mc:Fallback>
        </mc:AlternateContent>
      </w:r>
      <w:r>
        <w:rPr>
          <w:rFonts w:ascii="Times New Roman" w:hAnsi="Times New Roman" w:cs="Times New Roman"/>
          <w:noProof/>
          <w:position w:val="-22"/>
          <w:sz w:val="24"/>
          <w:szCs w:val="24"/>
        </w:rPr>
        <w:drawing>
          <wp:inline distT="0" distB="0" distL="0" distR="0">
            <wp:extent cx="3019425" cy="819150"/>
            <wp:effectExtent l="0" t="0" r="9525"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3019425" cy="819150"/>
                    </a:xfrm>
                    <a:prstGeom prst="rect">
                      <a:avLst/>
                    </a:prstGeom>
                    <a:noFill/>
                    <a:ln>
                      <a:noFill/>
                    </a:ln>
                  </pic:spPr>
                </pic:pic>
              </a:graphicData>
            </a:graphic>
          </wp:inline>
        </w:drawing>
      </w:r>
      <w:r w:rsidR="002C5025">
        <w:rPr>
          <w:rFonts w:ascii="Times New Roman" w:hAnsi="Times New Roman" w:cs="Times New Roman"/>
          <w:sz w:val="20"/>
          <w:szCs w:val="20"/>
        </w:rPr>
        <w:t xml:space="preserve">          </w:t>
      </w:r>
      <w:bookmarkStart w:id="121" w:name="Disability_Law_Center_and_Greater_Boston"/>
      <w:bookmarkEnd w:id="121"/>
      <w:r w:rsidR="002C5025">
        <w:rPr>
          <w:rFonts w:ascii="Times New Roman" w:hAnsi="Times New Roman" w:cs="Times New Roman"/>
          <w:b/>
          <w:bCs/>
          <w:w w:val="115"/>
          <w:sz w:val="29"/>
          <w:szCs w:val="29"/>
        </w:rPr>
        <w:t>G</w:t>
      </w:r>
      <w:r w:rsidR="002C5025">
        <w:rPr>
          <w:rFonts w:ascii="Times New Roman" w:hAnsi="Times New Roman" w:cs="Times New Roman"/>
          <w:b/>
          <w:bCs/>
          <w:spacing w:val="-39"/>
          <w:w w:val="115"/>
          <w:sz w:val="29"/>
          <w:szCs w:val="29"/>
        </w:rPr>
        <w:t xml:space="preserve"> </w:t>
      </w:r>
      <w:r w:rsidR="002C5025">
        <w:rPr>
          <w:rFonts w:ascii="Times New Roman" w:hAnsi="Times New Roman" w:cs="Times New Roman"/>
          <w:b/>
          <w:bCs/>
          <w:w w:val="105"/>
          <w:sz w:val="29"/>
          <w:szCs w:val="29"/>
        </w:rPr>
        <w:t>R</w:t>
      </w:r>
      <w:r w:rsidR="002C5025">
        <w:rPr>
          <w:rFonts w:ascii="Times New Roman" w:hAnsi="Times New Roman" w:cs="Times New Roman"/>
          <w:b/>
          <w:bCs/>
          <w:spacing w:val="-37"/>
          <w:w w:val="105"/>
          <w:sz w:val="29"/>
          <w:szCs w:val="29"/>
        </w:rPr>
        <w:t xml:space="preserve"> </w:t>
      </w:r>
      <w:r w:rsidR="002C5025">
        <w:rPr>
          <w:rFonts w:ascii="Times New Roman" w:hAnsi="Times New Roman" w:cs="Times New Roman"/>
          <w:b/>
          <w:bCs/>
          <w:spacing w:val="10"/>
          <w:w w:val="105"/>
          <w:sz w:val="29"/>
          <w:szCs w:val="29"/>
        </w:rPr>
        <w:t>EAT</w:t>
      </w:r>
      <w:r w:rsidR="002C5025">
        <w:rPr>
          <w:rFonts w:ascii="Times New Roman" w:hAnsi="Times New Roman" w:cs="Times New Roman"/>
          <w:b/>
          <w:bCs/>
          <w:spacing w:val="-36"/>
          <w:w w:val="105"/>
          <w:sz w:val="29"/>
          <w:szCs w:val="29"/>
        </w:rPr>
        <w:t xml:space="preserve"> </w:t>
      </w:r>
      <w:r w:rsidR="002C5025">
        <w:rPr>
          <w:rFonts w:ascii="Times New Roman" w:hAnsi="Times New Roman" w:cs="Times New Roman"/>
          <w:b/>
          <w:bCs/>
          <w:w w:val="105"/>
          <w:sz w:val="29"/>
          <w:szCs w:val="29"/>
        </w:rPr>
        <w:t>E</w:t>
      </w:r>
      <w:r w:rsidR="002C5025">
        <w:rPr>
          <w:rFonts w:ascii="Times New Roman" w:hAnsi="Times New Roman" w:cs="Times New Roman"/>
          <w:b/>
          <w:bCs/>
          <w:spacing w:val="-30"/>
          <w:w w:val="105"/>
          <w:sz w:val="29"/>
          <w:szCs w:val="29"/>
        </w:rPr>
        <w:t xml:space="preserve"> </w:t>
      </w:r>
      <w:r w:rsidR="002C5025">
        <w:rPr>
          <w:rFonts w:ascii="Times New Roman" w:hAnsi="Times New Roman" w:cs="Times New Roman"/>
          <w:b/>
          <w:bCs/>
          <w:w w:val="105"/>
          <w:sz w:val="29"/>
          <w:szCs w:val="29"/>
        </w:rPr>
        <w:t>R</w:t>
      </w:r>
      <w:r w:rsidR="002C5025">
        <w:rPr>
          <w:rFonts w:ascii="Times New Roman" w:hAnsi="Times New Roman" w:cs="Times New Roman"/>
          <w:b/>
          <w:bCs/>
          <w:spacing w:val="76"/>
          <w:w w:val="105"/>
          <w:sz w:val="29"/>
          <w:szCs w:val="29"/>
        </w:rPr>
        <w:t xml:space="preserve"> </w:t>
      </w:r>
      <w:r w:rsidR="002C5025">
        <w:rPr>
          <w:rFonts w:ascii="Times New Roman" w:hAnsi="Times New Roman" w:cs="Times New Roman"/>
          <w:b/>
          <w:bCs/>
          <w:w w:val="115"/>
          <w:sz w:val="29"/>
          <w:szCs w:val="29"/>
        </w:rPr>
        <w:t>B</w:t>
      </w:r>
      <w:r w:rsidR="002C5025">
        <w:rPr>
          <w:rFonts w:ascii="Times New Roman" w:hAnsi="Times New Roman" w:cs="Times New Roman"/>
          <w:b/>
          <w:bCs/>
          <w:spacing w:val="-28"/>
          <w:w w:val="115"/>
          <w:sz w:val="29"/>
          <w:szCs w:val="29"/>
        </w:rPr>
        <w:t xml:space="preserve"> </w:t>
      </w:r>
      <w:r w:rsidR="002C5025">
        <w:rPr>
          <w:rFonts w:ascii="Times New Roman" w:hAnsi="Times New Roman" w:cs="Times New Roman"/>
          <w:b/>
          <w:bCs/>
          <w:w w:val="105"/>
          <w:sz w:val="29"/>
          <w:szCs w:val="29"/>
        </w:rPr>
        <w:t>O</w:t>
      </w:r>
      <w:r w:rsidR="002C5025">
        <w:rPr>
          <w:rFonts w:ascii="Times New Roman" w:hAnsi="Times New Roman" w:cs="Times New Roman"/>
          <w:b/>
          <w:bCs/>
          <w:spacing w:val="-14"/>
          <w:w w:val="105"/>
          <w:sz w:val="29"/>
          <w:szCs w:val="29"/>
        </w:rPr>
        <w:t xml:space="preserve"> </w:t>
      </w:r>
      <w:r w:rsidR="002C5025">
        <w:rPr>
          <w:rFonts w:ascii="Times New Roman" w:hAnsi="Times New Roman" w:cs="Times New Roman"/>
          <w:b/>
          <w:bCs/>
          <w:w w:val="105"/>
          <w:sz w:val="29"/>
          <w:szCs w:val="29"/>
        </w:rPr>
        <w:t>S</w:t>
      </w:r>
      <w:r w:rsidR="002C5025">
        <w:rPr>
          <w:rFonts w:ascii="Times New Roman" w:hAnsi="Times New Roman" w:cs="Times New Roman"/>
          <w:b/>
          <w:bCs/>
          <w:spacing w:val="-44"/>
          <w:w w:val="105"/>
          <w:sz w:val="29"/>
          <w:szCs w:val="29"/>
        </w:rPr>
        <w:t xml:space="preserve"> </w:t>
      </w:r>
      <w:r w:rsidR="002C5025">
        <w:rPr>
          <w:rFonts w:ascii="Times New Roman" w:hAnsi="Times New Roman" w:cs="Times New Roman"/>
          <w:b/>
          <w:bCs/>
          <w:w w:val="105"/>
          <w:sz w:val="29"/>
          <w:szCs w:val="29"/>
        </w:rPr>
        <w:t>T</w:t>
      </w:r>
      <w:r w:rsidR="002C5025">
        <w:rPr>
          <w:rFonts w:ascii="Times New Roman" w:hAnsi="Times New Roman" w:cs="Times New Roman"/>
          <w:b/>
          <w:bCs/>
          <w:spacing w:val="-39"/>
          <w:w w:val="105"/>
          <w:sz w:val="29"/>
          <w:szCs w:val="29"/>
        </w:rPr>
        <w:t xml:space="preserve"> </w:t>
      </w:r>
      <w:r w:rsidR="002C5025">
        <w:rPr>
          <w:rFonts w:ascii="Times New Roman" w:hAnsi="Times New Roman" w:cs="Times New Roman"/>
          <w:b/>
          <w:bCs/>
          <w:w w:val="105"/>
          <w:sz w:val="29"/>
          <w:szCs w:val="29"/>
        </w:rPr>
        <w:t>O</w:t>
      </w:r>
      <w:r w:rsidR="002C5025">
        <w:rPr>
          <w:rFonts w:ascii="Times New Roman" w:hAnsi="Times New Roman" w:cs="Times New Roman"/>
          <w:b/>
          <w:bCs/>
          <w:spacing w:val="-39"/>
          <w:w w:val="105"/>
          <w:sz w:val="29"/>
          <w:szCs w:val="29"/>
        </w:rPr>
        <w:t xml:space="preserve"> </w:t>
      </w:r>
      <w:r w:rsidR="002C5025">
        <w:rPr>
          <w:rFonts w:ascii="Times New Roman" w:hAnsi="Times New Roman" w:cs="Times New Roman"/>
          <w:b/>
          <w:bCs/>
          <w:w w:val="105"/>
          <w:sz w:val="29"/>
          <w:szCs w:val="29"/>
        </w:rPr>
        <w:t>N</w:t>
      </w:r>
      <w:r w:rsidR="002C5025">
        <w:rPr>
          <w:rFonts w:ascii="Times New Roman" w:hAnsi="Times New Roman" w:cs="Times New Roman"/>
          <w:b/>
          <w:bCs/>
          <w:w w:val="105"/>
          <w:sz w:val="29"/>
          <w:szCs w:val="29"/>
        </w:rPr>
        <w:tab/>
      </w:r>
      <w:r w:rsidR="002C5025">
        <w:rPr>
          <w:rFonts w:ascii="Times New Roman" w:hAnsi="Times New Roman" w:cs="Times New Roman"/>
          <w:b/>
          <w:bCs/>
          <w:sz w:val="79"/>
          <w:szCs w:val="79"/>
        </w:rPr>
        <w:t>I</w:t>
      </w:r>
    </w:p>
    <w:p w:rsidR="002C5025" w:rsidRDefault="002C5025">
      <w:pPr>
        <w:pStyle w:val="BodyText"/>
        <w:kinsoku w:val="0"/>
        <w:overflowPunct w:val="0"/>
        <w:spacing w:line="281" w:lineRule="exact"/>
        <w:ind w:right="440"/>
        <w:jc w:val="right"/>
        <w:rPr>
          <w:rFonts w:ascii="Times New Roman" w:hAnsi="Times New Roman" w:cs="Times New Roman"/>
          <w:b/>
          <w:bCs/>
          <w:sz w:val="29"/>
          <w:szCs w:val="29"/>
        </w:rPr>
      </w:pPr>
      <w:r>
        <w:rPr>
          <w:rFonts w:ascii="Times New Roman" w:hAnsi="Times New Roman" w:cs="Times New Roman"/>
          <w:b/>
          <w:bCs/>
          <w:sz w:val="29"/>
          <w:szCs w:val="29"/>
        </w:rPr>
        <w:t>LE GA L  SE RV I C E S</w:t>
      </w:r>
    </w:p>
    <w:p w:rsidR="002C5025" w:rsidRDefault="002C5025">
      <w:pPr>
        <w:pStyle w:val="BodyText"/>
        <w:kinsoku w:val="0"/>
        <w:overflowPunct w:val="0"/>
        <w:spacing w:before="3"/>
        <w:ind w:right="494"/>
        <w:jc w:val="right"/>
        <w:rPr>
          <w:rFonts w:ascii="Times New Roman" w:hAnsi="Times New Roman" w:cs="Times New Roman"/>
          <w:i/>
          <w:iCs/>
          <w:w w:val="95"/>
          <w:sz w:val="23"/>
          <w:szCs w:val="23"/>
        </w:rPr>
      </w:pPr>
      <w:r>
        <w:rPr>
          <w:rFonts w:ascii="Times New Roman" w:hAnsi="Times New Roman" w:cs="Times New Roman"/>
          <w:w w:val="95"/>
          <w:sz w:val="23"/>
          <w:szCs w:val="23"/>
        </w:rPr>
        <w:t>.</w:t>
      </w:r>
      <w:r>
        <w:rPr>
          <w:rFonts w:ascii="Times New Roman" w:hAnsi="Times New Roman" w:cs="Times New Roman"/>
          <w:i/>
          <w:iCs/>
          <w:w w:val="95"/>
          <w:sz w:val="23"/>
          <w:szCs w:val="23"/>
        </w:rPr>
        <w:t>..and justice for all</w:t>
      </w:r>
    </w:p>
    <w:p w:rsidR="002C5025" w:rsidRDefault="002C5025">
      <w:pPr>
        <w:pStyle w:val="BodyText"/>
        <w:kinsoku w:val="0"/>
        <w:overflowPunct w:val="0"/>
        <w:spacing w:before="9"/>
        <w:rPr>
          <w:rFonts w:ascii="Times New Roman" w:hAnsi="Times New Roman" w:cs="Times New Roman"/>
          <w:i/>
          <w:iCs/>
          <w:sz w:val="26"/>
          <w:szCs w:val="26"/>
        </w:rPr>
      </w:pPr>
    </w:p>
    <w:p w:rsidR="002C5025" w:rsidRDefault="002C5025">
      <w:pPr>
        <w:pStyle w:val="BodyText"/>
        <w:kinsoku w:val="0"/>
        <w:overflowPunct w:val="0"/>
        <w:spacing w:before="9"/>
        <w:rPr>
          <w:rFonts w:ascii="Times New Roman" w:hAnsi="Times New Roman" w:cs="Times New Roman"/>
          <w:i/>
          <w:iCs/>
          <w:sz w:val="26"/>
          <w:szCs w:val="26"/>
        </w:rPr>
        <w:sectPr w:rsidR="002C5025">
          <w:pgSz w:w="12240" w:h="15840"/>
          <w:pgMar w:top="640" w:right="740" w:bottom="280" w:left="300" w:header="720" w:footer="720" w:gutter="0"/>
          <w:cols w:space="720" w:equalWidth="0">
            <w:col w:w="11200"/>
          </w:cols>
          <w:noEndnote/>
        </w:sectPr>
      </w:pPr>
    </w:p>
    <w:p w:rsidR="002C5025" w:rsidRDefault="002C5025">
      <w:pPr>
        <w:pStyle w:val="BodyText"/>
        <w:kinsoku w:val="0"/>
        <w:overflowPunct w:val="0"/>
        <w:spacing w:before="119"/>
        <w:ind w:left="117" w:right="-17"/>
        <w:rPr>
          <w:rFonts w:ascii="Arial" w:hAnsi="Arial" w:cs="Arial"/>
          <w:w w:val="105"/>
          <w:sz w:val="19"/>
          <w:szCs w:val="19"/>
        </w:rPr>
      </w:pPr>
      <w:r>
        <w:rPr>
          <w:rFonts w:ascii="Arial" w:hAnsi="Arial" w:cs="Arial"/>
          <w:w w:val="105"/>
          <w:sz w:val="19"/>
          <w:szCs w:val="19"/>
        </w:rPr>
        <w:lastRenderedPageBreak/>
        <w:t>11 Beacon St., Suite 925</w:t>
      </w:r>
    </w:p>
    <w:p w:rsidR="002C5025" w:rsidRDefault="002C5025">
      <w:pPr>
        <w:pStyle w:val="BodyText"/>
        <w:kinsoku w:val="0"/>
        <w:overflowPunct w:val="0"/>
        <w:spacing w:before="12" w:line="211" w:lineRule="exact"/>
        <w:ind w:left="117" w:right="-17"/>
        <w:rPr>
          <w:rFonts w:ascii="Arial" w:hAnsi="Arial" w:cs="Arial"/>
          <w:w w:val="105"/>
          <w:sz w:val="19"/>
          <w:szCs w:val="19"/>
        </w:rPr>
      </w:pPr>
      <w:r>
        <w:rPr>
          <w:rFonts w:ascii="Arial" w:hAnsi="Arial" w:cs="Arial"/>
          <w:w w:val="105"/>
          <w:sz w:val="19"/>
          <w:szCs w:val="19"/>
        </w:rPr>
        <w:t>Boston, MA 02108</w:t>
      </w:r>
    </w:p>
    <w:p w:rsidR="002C5025" w:rsidRDefault="002C5025">
      <w:pPr>
        <w:pStyle w:val="BodyText"/>
        <w:kinsoku w:val="0"/>
        <w:overflowPunct w:val="0"/>
        <w:spacing w:line="229" w:lineRule="exact"/>
        <w:ind w:left="110" w:right="-17"/>
        <w:rPr>
          <w:rFonts w:ascii="Arial" w:hAnsi="Arial" w:cs="Arial"/>
          <w:i/>
          <w:iCs/>
          <w:sz w:val="21"/>
          <w:szCs w:val="21"/>
        </w:rPr>
      </w:pPr>
      <w:r>
        <w:rPr>
          <w:rFonts w:ascii="Arial" w:hAnsi="Arial" w:cs="Arial"/>
          <w:sz w:val="19"/>
          <w:szCs w:val="19"/>
        </w:rPr>
        <w:t xml:space="preserve">(617) 723-8455 </w:t>
      </w:r>
      <w:r>
        <w:rPr>
          <w:rFonts w:ascii="Arial" w:hAnsi="Arial" w:cs="Arial"/>
          <w:i/>
          <w:iCs/>
          <w:sz w:val="21"/>
          <w:szCs w:val="21"/>
        </w:rPr>
        <w:t>Voice</w:t>
      </w:r>
    </w:p>
    <w:p w:rsidR="002C5025" w:rsidRDefault="002C5025">
      <w:pPr>
        <w:pStyle w:val="BodyText"/>
        <w:kinsoku w:val="0"/>
        <w:overflowPunct w:val="0"/>
        <w:spacing w:line="230" w:lineRule="exact"/>
        <w:ind w:left="110" w:right="-17"/>
        <w:rPr>
          <w:rFonts w:ascii="Arial" w:hAnsi="Arial" w:cs="Arial"/>
          <w:i/>
          <w:iCs/>
          <w:sz w:val="21"/>
          <w:szCs w:val="21"/>
        </w:rPr>
      </w:pPr>
      <w:r>
        <w:rPr>
          <w:rFonts w:ascii="Arial" w:hAnsi="Arial" w:cs="Arial"/>
          <w:sz w:val="19"/>
          <w:szCs w:val="19"/>
        </w:rPr>
        <w:t xml:space="preserve">(800) 872-9992 </w:t>
      </w:r>
      <w:r>
        <w:rPr>
          <w:rFonts w:ascii="Arial" w:hAnsi="Arial" w:cs="Arial"/>
          <w:i/>
          <w:iCs/>
          <w:sz w:val="21"/>
          <w:szCs w:val="21"/>
        </w:rPr>
        <w:t>Voice</w:t>
      </w:r>
    </w:p>
    <w:p w:rsidR="002C5025" w:rsidRDefault="002C5025">
      <w:pPr>
        <w:pStyle w:val="BodyText"/>
        <w:kinsoku w:val="0"/>
        <w:overflowPunct w:val="0"/>
        <w:spacing w:line="236" w:lineRule="exact"/>
        <w:ind w:left="110" w:right="-17"/>
        <w:rPr>
          <w:rFonts w:ascii="Arial" w:hAnsi="Arial" w:cs="Arial"/>
          <w:i/>
          <w:iCs/>
          <w:sz w:val="21"/>
          <w:szCs w:val="21"/>
        </w:rPr>
      </w:pPr>
      <w:r>
        <w:rPr>
          <w:rFonts w:ascii="Arial" w:hAnsi="Arial" w:cs="Arial"/>
          <w:sz w:val="19"/>
          <w:szCs w:val="19"/>
        </w:rPr>
        <w:t xml:space="preserve">(617) 723-9125 </w:t>
      </w:r>
      <w:r>
        <w:rPr>
          <w:rFonts w:ascii="Arial" w:hAnsi="Arial" w:cs="Arial"/>
          <w:i/>
          <w:iCs/>
          <w:sz w:val="21"/>
          <w:szCs w:val="21"/>
        </w:rPr>
        <w:t>Fax</w:t>
      </w:r>
    </w:p>
    <w:p w:rsidR="002C5025" w:rsidRDefault="00FD19EE">
      <w:pPr>
        <w:pStyle w:val="BodyText"/>
        <w:kinsoku w:val="0"/>
        <w:overflowPunct w:val="0"/>
        <w:spacing w:before="7" w:line="252" w:lineRule="auto"/>
        <w:ind w:left="117" w:right="348"/>
        <w:rPr>
          <w:rFonts w:ascii="Arial" w:hAnsi="Arial" w:cs="Arial"/>
          <w:w w:val="105"/>
          <w:sz w:val="19"/>
          <w:szCs w:val="19"/>
        </w:rPr>
      </w:pPr>
      <w:hyperlink r:id="rId258" w:history="1">
        <w:r w:rsidR="002C5025">
          <w:rPr>
            <w:rFonts w:ascii="Arial" w:hAnsi="Arial" w:cs="Arial"/>
            <w:sz w:val="19"/>
            <w:szCs w:val="19"/>
          </w:rPr>
          <w:t>http://www.dlc-ma.org</w:t>
        </w:r>
      </w:hyperlink>
      <w:r w:rsidR="002C5025">
        <w:rPr>
          <w:rFonts w:ascii="Arial" w:hAnsi="Arial" w:cs="Arial"/>
          <w:sz w:val="19"/>
          <w:szCs w:val="19"/>
        </w:rPr>
        <w:t xml:space="preserve"> </w:t>
      </w:r>
      <w:hyperlink r:id="rId259" w:history="1">
        <w:r w:rsidR="002C5025">
          <w:rPr>
            <w:rFonts w:ascii="Arial" w:hAnsi="Arial" w:cs="Arial"/>
            <w:w w:val="105"/>
            <w:sz w:val="19"/>
            <w:szCs w:val="19"/>
          </w:rPr>
          <w:t>mail@dlc-ma.org</w:t>
        </w:r>
      </w:hyperlink>
    </w:p>
    <w:p w:rsidR="002C5025" w:rsidRDefault="002C5025">
      <w:pPr>
        <w:pStyle w:val="BodyText"/>
        <w:kinsoku w:val="0"/>
        <w:overflowPunct w:val="0"/>
        <w:rPr>
          <w:rFonts w:ascii="Arial" w:hAnsi="Arial" w:cs="Arial"/>
          <w:sz w:val="18"/>
          <w:szCs w:val="18"/>
        </w:rPr>
      </w:pPr>
    </w:p>
    <w:p w:rsidR="002C5025" w:rsidRDefault="002C5025">
      <w:pPr>
        <w:pStyle w:val="BodyText"/>
        <w:kinsoku w:val="0"/>
        <w:overflowPunct w:val="0"/>
        <w:rPr>
          <w:rFonts w:ascii="Arial" w:hAnsi="Arial" w:cs="Arial"/>
          <w:sz w:val="18"/>
          <w:szCs w:val="18"/>
        </w:rPr>
      </w:pPr>
    </w:p>
    <w:p w:rsidR="002C5025" w:rsidRDefault="002C5025">
      <w:pPr>
        <w:pStyle w:val="BodyText"/>
        <w:kinsoku w:val="0"/>
        <w:overflowPunct w:val="0"/>
        <w:rPr>
          <w:rFonts w:ascii="Arial" w:hAnsi="Arial" w:cs="Arial"/>
          <w:sz w:val="18"/>
          <w:szCs w:val="18"/>
        </w:rPr>
      </w:pPr>
    </w:p>
    <w:p w:rsidR="002C5025" w:rsidRDefault="002C5025">
      <w:pPr>
        <w:pStyle w:val="BodyText"/>
        <w:kinsoku w:val="0"/>
        <w:overflowPunct w:val="0"/>
        <w:rPr>
          <w:rFonts w:ascii="Arial" w:hAnsi="Arial" w:cs="Arial"/>
          <w:sz w:val="18"/>
          <w:szCs w:val="18"/>
        </w:rPr>
      </w:pPr>
    </w:p>
    <w:p w:rsidR="002C5025" w:rsidRDefault="002C5025">
      <w:pPr>
        <w:pStyle w:val="BodyText"/>
        <w:kinsoku w:val="0"/>
        <w:overflowPunct w:val="0"/>
        <w:spacing w:before="10"/>
        <w:rPr>
          <w:rFonts w:ascii="Arial" w:hAnsi="Arial" w:cs="Arial"/>
          <w:sz w:val="19"/>
          <w:szCs w:val="19"/>
        </w:rPr>
      </w:pPr>
    </w:p>
    <w:p w:rsidR="002C5025" w:rsidRDefault="002C5025">
      <w:pPr>
        <w:pStyle w:val="BodyText"/>
        <w:kinsoku w:val="0"/>
        <w:overflowPunct w:val="0"/>
        <w:ind w:left="1096" w:right="-17"/>
        <w:rPr>
          <w:rFonts w:ascii="Times New Roman" w:hAnsi="Times New Roman" w:cs="Times New Roman"/>
          <w:sz w:val="24"/>
          <w:szCs w:val="24"/>
        </w:rPr>
      </w:pPr>
      <w:r>
        <w:rPr>
          <w:rFonts w:ascii="Times New Roman" w:hAnsi="Times New Roman" w:cs="Times New Roman"/>
          <w:sz w:val="23"/>
          <w:szCs w:val="23"/>
        </w:rPr>
        <w:t>July 13,</w:t>
      </w:r>
      <w:r>
        <w:rPr>
          <w:rFonts w:ascii="Times New Roman" w:hAnsi="Times New Roman" w:cs="Times New Roman"/>
          <w:spacing w:val="-5"/>
          <w:sz w:val="23"/>
          <w:szCs w:val="23"/>
        </w:rPr>
        <w:t xml:space="preserve"> </w:t>
      </w:r>
      <w:r>
        <w:rPr>
          <w:rFonts w:ascii="Times New Roman" w:hAnsi="Times New Roman" w:cs="Times New Roman"/>
          <w:sz w:val="24"/>
          <w:szCs w:val="24"/>
        </w:rPr>
        <w:t>2016</w:t>
      </w:r>
    </w:p>
    <w:p w:rsidR="002C5025" w:rsidRDefault="002C5025">
      <w:pPr>
        <w:pStyle w:val="BodyText"/>
        <w:kinsoku w:val="0"/>
        <w:overflowPunct w:val="0"/>
        <w:rPr>
          <w:rFonts w:ascii="Times New Roman" w:hAnsi="Times New Roman" w:cs="Times New Roman"/>
          <w:sz w:val="25"/>
          <w:szCs w:val="25"/>
        </w:rPr>
      </w:pPr>
    </w:p>
    <w:p w:rsidR="002C5025" w:rsidRDefault="002C5025">
      <w:pPr>
        <w:pStyle w:val="BodyText"/>
        <w:kinsoku w:val="0"/>
        <w:overflowPunct w:val="0"/>
        <w:spacing w:line="180" w:lineRule="exact"/>
        <w:ind w:left="1089" w:right="-17"/>
        <w:rPr>
          <w:rFonts w:ascii="Times New Roman" w:hAnsi="Times New Roman" w:cs="Times New Roman"/>
          <w:sz w:val="23"/>
          <w:szCs w:val="23"/>
        </w:rPr>
      </w:pPr>
      <w:r>
        <w:rPr>
          <w:rFonts w:ascii="Times New Roman" w:hAnsi="Times New Roman" w:cs="Times New Roman"/>
          <w:sz w:val="23"/>
          <w:szCs w:val="23"/>
        </w:rPr>
        <w:t>Daniel Tsai</w:t>
      </w:r>
    </w:p>
    <w:p w:rsidR="002C5025" w:rsidRDefault="002C5025">
      <w:pPr>
        <w:pStyle w:val="BodyText"/>
        <w:kinsoku w:val="0"/>
        <w:overflowPunct w:val="0"/>
        <w:spacing w:before="112"/>
        <w:ind w:left="117"/>
        <w:jc w:val="both"/>
        <w:rPr>
          <w:rFonts w:ascii="Arial" w:hAnsi="Arial" w:cs="Arial"/>
          <w:sz w:val="19"/>
          <w:szCs w:val="19"/>
        </w:rPr>
      </w:pPr>
      <w:r>
        <w:rPr>
          <w:rFonts w:ascii="Times New Roman" w:hAnsi="Times New Roman" w:cs="Times New Roman"/>
          <w:sz w:val="24"/>
          <w:szCs w:val="24"/>
        </w:rPr>
        <w:br w:type="column"/>
      </w:r>
      <w:r>
        <w:rPr>
          <w:rFonts w:ascii="Arial" w:hAnsi="Arial" w:cs="Arial"/>
          <w:sz w:val="19"/>
          <w:szCs w:val="19"/>
        </w:rPr>
        <w:lastRenderedPageBreak/>
        <w:t>Western Office</w:t>
      </w:r>
    </w:p>
    <w:p w:rsidR="002C5025" w:rsidRDefault="002C5025">
      <w:pPr>
        <w:pStyle w:val="BodyText"/>
        <w:kinsoku w:val="0"/>
        <w:overflowPunct w:val="0"/>
        <w:spacing w:before="4" w:line="244" w:lineRule="auto"/>
        <w:ind w:left="117" w:right="-17" w:hanging="8"/>
        <w:rPr>
          <w:rFonts w:ascii="Arial" w:hAnsi="Arial" w:cs="Arial"/>
          <w:w w:val="105"/>
          <w:sz w:val="19"/>
          <w:szCs w:val="19"/>
        </w:rPr>
      </w:pPr>
      <w:r>
        <w:rPr>
          <w:rFonts w:ascii="Arial" w:hAnsi="Arial" w:cs="Arial"/>
          <w:w w:val="105"/>
          <w:sz w:val="19"/>
          <w:szCs w:val="19"/>
        </w:rPr>
        <w:t>32 Industrial Dr. East Northampton, MA</w:t>
      </w:r>
      <w:r>
        <w:rPr>
          <w:rFonts w:ascii="Arial" w:hAnsi="Arial" w:cs="Arial"/>
          <w:spacing w:val="-28"/>
          <w:w w:val="105"/>
          <w:sz w:val="19"/>
          <w:szCs w:val="19"/>
        </w:rPr>
        <w:t xml:space="preserve"> </w:t>
      </w:r>
      <w:r>
        <w:rPr>
          <w:rFonts w:ascii="Arial" w:hAnsi="Arial" w:cs="Arial"/>
          <w:w w:val="105"/>
          <w:sz w:val="19"/>
          <w:szCs w:val="19"/>
        </w:rPr>
        <w:t>01060</w:t>
      </w:r>
    </w:p>
    <w:p w:rsidR="002C5025" w:rsidRDefault="002C5025">
      <w:pPr>
        <w:pStyle w:val="BodyText"/>
        <w:kinsoku w:val="0"/>
        <w:overflowPunct w:val="0"/>
        <w:spacing w:line="232" w:lineRule="auto"/>
        <w:ind w:left="110" w:right="230"/>
        <w:jc w:val="both"/>
        <w:rPr>
          <w:rFonts w:ascii="Arial" w:hAnsi="Arial" w:cs="Arial"/>
          <w:i/>
          <w:iCs/>
          <w:sz w:val="21"/>
          <w:szCs w:val="21"/>
        </w:rPr>
      </w:pPr>
      <w:r>
        <w:rPr>
          <w:rFonts w:ascii="Arial" w:hAnsi="Arial" w:cs="Arial"/>
          <w:sz w:val="19"/>
          <w:szCs w:val="19"/>
        </w:rPr>
        <w:t xml:space="preserve">(413) 584-6337 </w:t>
      </w:r>
      <w:r>
        <w:rPr>
          <w:rFonts w:ascii="Arial" w:hAnsi="Arial" w:cs="Arial"/>
          <w:i/>
          <w:iCs/>
          <w:sz w:val="21"/>
          <w:szCs w:val="21"/>
        </w:rPr>
        <w:t xml:space="preserve">Voice </w:t>
      </w:r>
      <w:r>
        <w:rPr>
          <w:rFonts w:ascii="Arial" w:hAnsi="Arial" w:cs="Arial"/>
          <w:sz w:val="19"/>
          <w:szCs w:val="19"/>
        </w:rPr>
        <w:t xml:space="preserve">(800) 222-5619 </w:t>
      </w:r>
      <w:r>
        <w:rPr>
          <w:rFonts w:ascii="Arial" w:hAnsi="Arial" w:cs="Arial"/>
          <w:i/>
          <w:iCs/>
          <w:sz w:val="21"/>
          <w:szCs w:val="21"/>
        </w:rPr>
        <w:t xml:space="preserve">Voice </w:t>
      </w:r>
      <w:r>
        <w:rPr>
          <w:rFonts w:ascii="Arial" w:hAnsi="Arial" w:cs="Arial"/>
          <w:sz w:val="19"/>
          <w:szCs w:val="19"/>
        </w:rPr>
        <w:t xml:space="preserve">(413) 584-2976 </w:t>
      </w:r>
      <w:r>
        <w:rPr>
          <w:rFonts w:ascii="Arial" w:hAnsi="Arial" w:cs="Arial"/>
          <w:i/>
          <w:iCs/>
          <w:sz w:val="21"/>
          <w:szCs w:val="21"/>
        </w:rPr>
        <w:t>Fax</w:t>
      </w:r>
    </w:p>
    <w:p w:rsidR="002C5025" w:rsidRDefault="002C5025">
      <w:pPr>
        <w:pStyle w:val="BodyText"/>
        <w:kinsoku w:val="0"/>
        <w:overflowPunct w:val="0"/>
        <w:spacing w:before="76"/>
        <w:ind w:left="68" w:right="110"/>
        <w:jc w:val="center"/>
        <w:rPr>
          <w:rFonts w:ascii="Arial" w:hAnsi="Arial" w:cs="Arial"/>
          <w:w w:val="105"/>
          <w:sz w:val="19"/>
          <w:szCs w:val="19"/>
        </w:rPr>
      </w:pPr>
      <w:r>
        <w:rPr>
          <w:rFonts w:ascii="Times New Roman" w:hAnsi="Times New Roman" w:cs="Times New Roman"/>
          <w:sz w:val="24"/>
          <w:szCs w:val="24"/>
        </w:rPr>
        <w:br w:type="column"/>
      </w:r>
      <w:r>
        <w:rPr>
          <w:rFonts w:ascii="Arial" w:hAnsi="Arial" w:cs="Arial"/>
          <w:w w:val="105"/>
          <w:sz w:val="19"/>
          <w:szCs w:val="19"/>
        </w:rPr>
        <w:lastRenderedPageBreak/>
        <w:t>197 Friend Street</w:t>
      </w:r>
    </w:p>
    <w:p w:rsidR="002C5025" w:rsidRDefault="002C5025">
      <w:pPr>
        <w:pStyle w:val="BodyText"/>
        <w:kinsoku w:val="0"/>
        <w:overflowPunct w:val="0"/>
        <w:spacing w:before="12"/>
        <w:ind w:left="68" w:right="268"/>
        <w:jc w:val="center"/>
        <w:rPr>
          <w:rFonts w:ascii="Arial" w:hAnsi="Arial" w:cs="Arial"/>
          <w:w w:val="105"/>
          <w:sz w:val="19"/>
          <w:szCs w:val="19"/>
        </w:rPr>
      </w:pPr>
      <w:r>
        <w:rPr>
          <w:rFonts w:ascii="Arial" w:hAnsi="Arial" w:cs="Arial"/>
          <w:w w:val="105"/>
          <w:sz w:val="19"/>
          <w:szCs w:val="19"/>
        </w:rPr>
        <w:t>Boston, MA 02114</w:t>
      </w:r>
    </w:p>
    <w:p w:rsidR="002C5025" w:rsidRDefault="002C5025">
      <w:pPr>
        <w:pStyle w:val="BodyText"/>
        <w:kinsoku w:val="0"/>
        <w:overflowPunct w:val="0"/>
        <w:spacing w:before="12"/>
        <w:ind w:left="68" w:right="199"/>
        <w:jc w:val="center"/>
        <w:rPr>
          <w:rFonts w:ascii="Arial" w:hAnsi="Arial" w:cs="Arial"/>
          <w:sz w:val="19"/>
          <w:szCs w:val="19"/>
        </w:rPr>
      </w:pPr>
      <w:r>
        <w:rPr>
          <w:rFonts w:ascii="Arial" w:hAnsi="Arial" w:cs="Arial"/>
          <w:sz w:val="19"/>
          <w:szCs w:val="19"/>
        </w:rPr>
        <w:t>Tel:  617.371.1234</w:t>
      </w:r>
    </w:p>
    <w:p w:rsidR="002C5025" w:rsidRDefault="002C5025">
      <w:pPr>
        <w:pStyle w:val="BodyText"/>
        <w:kinsoku w:val="0"/>
        <w:overflowPunct w:val="0"/>
        <w:spacing w:before="12"/>
        <w:ind w:left="68" w:right="253"/>
        <w:jc w:val="center"/>
        <w:rPr>
          <w:rFonts w:ascii="Arial" w:hAnsi="Arial" w:cs="Arial"/>
          <w:sz w:val="19"/>
          <w:szCs w:val="19"/>
        </w:rPr>
      </w:pPr>
      <w:r>
        <w:rPr>
          <w:rFonts w:ascii="Arial" w:hAnsi="Arial" w:cs="Arial"/>
          <w:sz w:val="19"/>
          <w:szCs w:val="19"/>
        </w:rPr>
        <w:t>Fax: 617.371.1222</w:t>
      </w:r>
    </w:p>
    <w:p w:rsidR="002C5025" w:rsidRDefault="002C5025">
      <w:pPr>
        <w:pStyle w:val="BodyText"/>
        <w:kinsoku w:val="0"/>
        <w:overflowPunct w:val="0"/>
        <w:spacing w:before="12"/>
        <w:ind w:left="68" w:right="191"/>
        <w:jc w:val="center"/>
        <w:rPr>
          <w:rFonts w:ascii="Arial" w:hAnsi="Arial" w:cs="Arial"/>
          <w:sz w:val="19"/>
          <w:szCs w:val="19"/>
        </w:rPr>
      </w:pPr>
      <w:proofErr w:type="spellStart"/>
      <w:r>
        <w:rPr>
          <w:rFonts w:ascii="Arial" w:hAnsi="Arial" w:cs="Arial"/>
          <w:sz w:val="19"/>
          <w:szCs w:val="19"/>
        </w:rPr>
        <w:t>tdd</w:t>
      </w:r>
      <w:proofErr w:type="spellEnd"/>
      <w:r>
        <w:rPr>
          <w:rFonts w:ascii="Arial" w:hAnsi="Arial" w:cs="Arial"/>
          <w:sz w:val="19"/>
          <w:szCs w:val="19"/>
        </w:rPr>
        <w:t>:  617.371.1228</w:t>
      </w:r>
    </w:p>
    <w:p w:rsidR="002C5025" w:rsidRDefault="00FD19EE">
      <w:pPr>
        <w:pStyle w:val="BodyText"/>
        <w:kinsoku w:val="0"/>
        <w:overflowPunct w:val="0"/>
        <w:spacing w:before="12"/>
        <w:ind w:left="68" w:right="265"/>
        <w:jc w:val="center"/>
        <w:rPr>
          <w:rFonts w:ascii="Arial" w:hAnsi="Arial" w:cs="Arial"/>
          <w:w w:val="105"/>
          <w:sz w:val="19"/>
          <w:szCs w:val="19"/>
        </w:rPr>
      </w:pPr>
      <w:hyperlink r:id="rId260" w:history="1">
        <w:r w:rsidR="002C5025">
          <w:rPr>
            <w:rFonts w:ascii="Arial" w:hAnsi="Arial" w:cs="Arial"/>
            <w:w w:val="105"/>
            <w:sz w:val="19"/>
            <w:szCs w:val="19"/>
          </w:rPr>
          <w:t>http://www.gbls.org</w:t>
        </w:r>
      </w:hyperlink>
    </w:p>
    <w:p w:rsidR="002C5025" w:rsidRDefault="002C5025">
      <w:pPr>
        <w:pStyle w:val="BodyText"/>
        <w:kinsoku w:val="0"/>
        <w:overflowPunct w:val="0"/>
        <w:rPr>
          <w:rFonts w:ascii="Arial" w:hAnsi="Arial" w:cs="Arial"/>
          <w:sz w:val="18"/>
          <w:szCs w:val="18"/>
        </w:rPr>
      </w:pPr>
    </w:p>
    <w:p w:rsidR="002C5025" w:rsidRDefault="002C5025">
      <w:pPr>
        <w:pStyle w:val="BodyText"/>
        <w:kinsoku w:val="0"/>
        <w:overflowPunct w:val="0"/>
        <w:rPr>
          <w:rFonts w:ascii="Arial" w:hAnsi="Arial" w:cs="Arial"/>
          <w:sz w:val="18"/>
          <w:szCs w:val="18"/>
        </w:rPr>
      </w:pPr>
    </w:p>
    <w:p w:rsidR="002C5025" w:rsidRDefault="002C5025">
      <w:pPr>
        <w:pStyle w:val="BodyText"/>
        <w:kinsoku w:val="0"/>
        <w:overflowPunct w:val="0"/>
        <w:spacing w:before="11"/>
        <w:rPr>
          <w:rFonts w:ascii="Arial" w:hAnsi="Arial" w:cs="Arial"/>
          <w:sz w:val="24"/>
          <w:szCs w:val="24"/>
        </w:rPr>
      </w:pPr>
    </w:p>
    <w:p w:rsidR="002C5025" w:rsidRDefault="002C5025">
      <w:pPr>
        <w:pStyle w:val="BodyText"/>
        <w:kinsoku w:val="0"/>
        <w:overflowPunct w:val="0"/>
        <w:ind w:left="68" w:right="69"/>
        <w:jc w:val="center"/>
        <w:rPr>
          <w:rFonts w:ascii="Arial" w:hAnsi="Arial" w:cs="Arial"/>
          <w:b/>
          <w:bCs/>
          <w:w w:val="90"/>
          <w:sz w:val="53"/>
          <w:szCs w:val="53"/>
        </w:rPr>
      </w:pPr>
      <w:r>
        <w:rPr>
          <w:rFonts w:ascii="Arial" w:hAnsi="Arial" w:cs="Arial"/>
          <w:b/>
          <w:bCs/>
          <w:w w:val="90"/>
          <w:sz w:val="53"/>
          <w:szCs w:val="53"/>
        </w:rPr>
        <w:t>RECEIVED</w:t>
      </w:r>
    </w:p>
    <w:p w:rsidR="002C5025" w:rsidRDefault="002C5025">
      <w:pPr>
        <w:pStyle w:val="BodyText"/>
        <w:kinsoku w:val="0"/>
        <w:overflowPunct w:val="0"/>
        <w:spacing w:before="99"/>
        <w:ind w:left="68" w:right="195"/>
        <w:jc w:val="center"/>
        <w:rPr>
          <w:rFonts w:ascii="Times New Roman" w:hAnsi="Times New Roman" w:cs="Times New Roman"/>
          <w:w w:val="85"/>
          <w:sz w:val="28"/>
          <w:szCs w:val="28"/>
        </w:rPr>
      </w:pPr>
      <w:r>
        <w:rPr>
          <w:rFonts w:ascii="Times New Roman" w:hAnsi="Times New Roman" w:cs="Times New Roman"/>
          <w:w w:val="85"/>
          <w:sz w:val="28"/>
          <w:szCs w:val="28"/>
        </w:rPr>
        <w:t xml:space="preserve">J UL I </w:t>
      </w:r>
      <w:r>
        <w:rPr>
          <w:rFonts w:ascii="Times New Roman" w:hAnsi="Times New Roman" w:cs="Times New Roman"/>
          <w:b/>
          <w:bCs/>
          <w:w w:val="85"/>
          <w:sz w:val="29"/>
          <w:szCs w:val="29"/>
        </w:rPr>
        <w:t xml:space="preserve">9 </w:t>
      </w:r>
      <w:r>
        <w:rPr>
          <w:rFonts w:ascii="Times New Roman" w:hAnsi="Times New Roman" w:cs="Times New Roman"/>
          <w:w w:val="85"/>
          <w:sz w:val="28"/>
          <w:szCs w:val="28"/>
        </w:rPr>
        <w:t>2016</w:t>
      </w:r>
    </w:p>
    <w:p w:rsidR="002C5025" w:rsidRDefault="002C5025">
      <w:pPr>
        <w:pStyle w:val="BodyText"/>
        <w:kinsoku w:val="0"/>
        <w:overflowPunct w:val="0"/>
        <w:spacing w:before="99"/>
        <w:ind w:left="68" w:right="195"/>
        <w:jc w:val="center"/>
        <w:rPr>
          <w:rFonts w:ascii="Times New Roman" w:hAnsi="Times New Roman" w:cs="Times New Roman"/>
          <w:w w:val="85"/>
          <w:sz w:val="28"/>
          <w:szCs w:val="28"/>
        </w:rPr>
        <w:sectPr w:rsidR="002C5025">
          <w:type w:val="continuous"/>
          <w:pgSz w:w="12240" w:h="15840"/>
          <w:pgMar w:top="720" w:right="740" w:bottom="280" w:left="300" w:header="720" w:footer="720" w:gutter="0"/>
          <w:cols w:num="3" w:space="720" w:equalWidth="0">
            <w:col w:w="2360" w:space="52"/>
            <w:col w:w="2266" w:space="3905"/>
            <w:col w:w="2617"/>
          </w:cols>
          <w:noEndnote/>
        </w:sectPr>
      </w:pPr>
    </w:p>
    <w:p w:rsidR="002C5025" w:rsidRDefault="002C5025">
      <w:pPr>
        <w:pStyle w:val="BodyText"/>
        <w:kinsoku w:val="0"/>
        <w:overflowPunct w:val="0"/>
        <w:spacing w:before="93"/>
        <w:ind w:left="1089"/>
        <w:rPr>
          <w:rFonts w:ascii="Times New Roman" w:hAnsi="Times New Roman" w:cs="Times New Roman"/>
          <w:sz w:val="23"/>
          <w:szCs w:val="23"/>
        </w:rPr>
      </w:pPr>
      <w:r>
        <w:rPr>
          <w:rFonts w:ascii="Times New Roman" w:hAnsi="Times New Roman" w:cs="Times New Roman"/>
          <w:sz w:val="23"/>
          <w:szCs w:val="23"/>
        </w:rPr>
        <w:lastRenderedPageBreak/>
        <w:t>Assistant  Secretary  for MassHealth</w:t>
      </w:r>
    </w:p>
    <w:p w:rsidR="002C5025" w:rsidRDefault="002C5025">
      <w:pPr>
        <w:pStyle w:val="BodyText"/>
        <w:kinsoku w:val="0"/>
        <w:overflowPunct w:val="0"/>
        <w:spacing w:before="9" w:line="247" w:lineRule="auto"/>
        <w:ind w:left="1096" w:hanging="8"/>
        <w:rPr>
          <w:rFonts w:ascii="Times New Roman" w:hAnsi="Times New Roman" w:cs="Times New Roman"/>
          <w:sz w:val="23"/>
          <w:szCs w:val="23"/>
        </w:rPr>
      </w:pPr>
      <w:r>
        <w:rPr>
          <w:rFonts w:ascii="Times New Roman" w:hAnsi="Times New Roman" w:cs="Times New Roman"/>
          <w:sz w:val="23"/>
          <w:szCs w:val="23"/>
        </w:rPr>
        <w:t>Executive Office of Health and Human Services Office of Medicaid</w:t>
      </w:r>
    </w:p>
    <w:p w:rsidR="002C5025" w:rsidRDefault="002C5025">
      <w:pPr>
        <w:pStyle w:val="BodyText"/>
        <w:kinsoku w:val="0"/>
        <w:overflowPunct w:val="0"/>
        <w:ind w:left="1089" w:right="832"/>
        <w:rPr>
          <w:rFonts w:ascii="Times New Roman" w:hAnsi="Times New Roman" w:cs="Times New Roman"/>
          <w:sz w:val="24"/>
          <w:szCs w:val="24"/>
        </w:rPr>
      </w:pPr>
      <w:r>
        <w:rPr>
          <w:rFonts w:ascii="Times New Roman" w:hAnsi="Times New Roman" w:cs="Times New Roman"/>
          <w:sz w:val="23"/>
          <w:szCs w:val="23"/>
        </w:rPr>
        <w:t xml:space="preserve">Attn: </w:t>
      </w:r>
      <w:r>
        <w:rPr>
          <w:rFonts w:ascii="Times New Roman" w:hAnsi="Times New Roman" w:cs="Times New Roman"/>
          <w:sz w:val="24"/>
          <w:szCs w:val="24"/>
        </w:rPr>
        <w:t xml:space="preserve">1115 </w:t>
      </w:r>
      <w:r>
        <w:rPr>
          <w:rFonts w:ascii="Times New Roman" w:hAnsi="Times New Roman" w:cs="Times New Roman"/>
          <w:sz w:val="23"/>
          <w:szCs w:val="23"/>
        </w:rPr>
        <w:t xml:space="preserve">Demonstration Comments One Ashburton Place, </w:t>
      </w:r>
      <w:r>
        <w:rPr>
          <w:rFonts w:ascii="Times New Roman" w:hAnsi="Times New Roman" w:cs="Times New Roman"/>
          <w:sz w:val="24"/>
          <w:szCs w:val="24"/>
        </w:rPr>
        <w:t xml:space="preserve">11th </w:t>
      </w:r>
      <w:r>
        <w:rPr>
          <w:rFonts w:ascii="Times New Roman" w:hAnsi="Times New Roman" w:cs="Times New Roman"/>
          <w:sz w:val="23"/>
          <w:szCs w:val="23"/>
        </w:rPr>
        <w:t xml:space="preserve">Floor Boston, MA </w:t>
      </w:r>
      <w:r>
        <w:rPr>
          <w:rFonts w:ascii="Times New Roman" w:hAnsi="Times New Roman" w:cs="Times New Roman"/>
          <w:sz w:val="24"/>
          <w:szCs w:val="24"/>
        </w:rPr>
        <w:t>02108</w:t>
      </w:r>
    </w:p>
    <w:p w:rsidR="002C5025" w:rsidRDefault="002C5025">
      <w:pPr>
        <w:pStyle w:val="BodyText"/>
        <w:kinsoku w:val="0"/>
        <w:overflowPunct w:val="0"/>
        <w:spacing w:line="388" w:lineRule="exact"/>
        <w:ind w:left="1089"/>
        <w:rPr>
          <w:rFonts w:ascii="Arial" w:hAnsi="Arial" w:cs="Arial"/>
          <w:b/>
          <w:bCs/>
          <w:w w:val="60"/>
          <w:sz w:val="38"/>
          <w:szCs w:val="38"/>
        </w:rPr>
      </w:pPr>
      <w:r>
        <w:rPr>
          <w:rFonts w:ascii="Times New Roman" w:hAnsi="Times New Roman" w:cs="Times New Roman"/>
          <w:sz w:val="24"/>
          <w:szCs w:val="24"/>
        </w:rPr>
        <w:br w:type="column"/>
      </w:r>
      <w:r>
        <w:rPr>
          <w:rFonts w:ascii="Arial" w:hAnsi="Arial" w:cs="Arial"/>
          <w:b/>
          <w:bCs/>
          <w:w w:val="60"/>
          <w:sz w:val="38"/>
          <w:szCs w:val="38"/>
        </w:rPr>
        <w:lastRenderedPageBreak/>
        <w:t>OFF/CEOF  MEDICAID</w:t>
      </w:r>
    </w:p>
    <w:p w:rsidR="002C5025" w:rsidRDefault="002C5025">
      <w:pPr>
        <w:pStyle w:val="BodyText"/>
        <w:kinsoku w:val="0"/>
        <w:overflowPunct w:val="0"/>
        <w:spacing w:line="388" w:lineRule="exact"/>
        <w:ind w:left="1089"/>
        <w:rPr>
          <w:rFonts w:ascii="Arial" w:hAnsi="Arial" w:cs="Arial"/>
          <w:b/>
          <w:bCs/>
          <w:w w:val="60"/>
          <w:sz w:val="38"/>
          <w:szCs w:val="38"/>
        </w:rPr>
        <w:sectPr w:rsidR="002C5025">
          <w:type w:val="continuous"/>
          <w:pgSz w:w="12240" w:h="15840"/>
          <w:pgMar w:top="720" w:right="740" w:bottom="280" w:left="300" w:header="720" w:footer="720" w:gutter="0"/>
          <w:cols w:num="2" w:space="720" w:equalWidth="0">
            <w:col w:w="5678" w:space="1817"/>
            <w:col w:w="3705"/>
          </w:cols>
          <w:noEndnote/>
        </w:sectPr>
      </w:pPr>
    </w:p>
    <w:p w:rsidR="002C5025" w:rsidRDefault="002C5025">
      <w:pPr>
        <w:pStyle w:val="BodyText"/>
        <w:kinsoku w:val="0"/>
        <w:overflowPunct w:val="0"/>
        <w:spacing w:before="3"/>
        <w:rPr>
          <w:rFonts w:ascii="Arial" w:hAnsi="Arial" w:cs="Arial"/>
          <w:b/>
          <w:bCs/>
          <w:sz w:val="18"/>
          <w:szCs w:val="18"/>
        </w:rPr>
      </w:pPr>
    </w:p>
    <w:p w:rsidR="002C5025" w:rsidRDefault="002C5025">
      <w:pPr>
        <w:pStyle w:val="BodyText"/>
        <w:kinsoku w:val="0"/>
        <w:overflowPunct w:val="0"/>
        <w:spacing w:before="70" w:line="364" w:lineRule="auto"/>
        <w:ind w:left="1096" w:right="4110" w:firstLine="705"/>
        <w:rPr>
          <w:rFonts w:ascii="Times New Roman" w:hAnsi="Times New Roman" w:cs="Times New Roman"/>
          <w:sz w:val="23"/>
          <w:szCs w:val="23"/>
        </w:rPr>
      </w:pPr>
      <w:r>
        <w:rPr>
          <w:rFonts w:ascii="Times New Roman" w:hAnsi="Times New Roman" w:cs="Times New Roman"/>
          <w:sz w:val="23"/>
          <w:szCs w:val="23"/>
        </w:rPr>
        <w:t>Re: Comments on Demonstration Extension Request Dear Assistant  Secretary Tsai:</w:t>
      </w:r>
    </w:p>
    <w:p w:rsidR="002C5025" w:rsidRDefault="002C5025">
      <w:pPr>
        <w:pStyle w:val="BodyText"/>
        <w:kinsoku w:val="0"/>
        <w:overflowPunct w:val="0"/>
        <w:spacing w:line="259" w:lineRule="exact"/>
        <w:ind w:left="1096" w:right="1090"/>
        <w:rPr>
          <w:rFonts w:ascii="Times New Roman" w:hAnsi="Times New Roman" w:cs="Times New Roman"/>
          <w:sz w:val="23"/>
          <w:szCs w:val="23"/>
        </w:rPr>
      </w:pPr>
      <w:r>
        <w:rPr>
          <w:rFonts w:ascii="Times New Roman" w:hAnsi="Times New Roman" w:cs="Times New Roman"/>
          <w:sz w:val="23"/>
          <w:szCs w:val="23"/>
        </w:rPr>
        <w:t xml:space="preserve">These comments on the  </w:t>
      </w:r>
      <w:r>
        <w:rPr>
          <w:rFonts w:ascii="Times New Roman" w:hAnsi="Times New Roman" w:cs="Times New Roman"/>
          <w:sz w:val="24"/>
          <w:szCs w:val="24"/>
        </w:rPr>
        <w:t xml:space="preserve">1115 </w:t>
      </w:r>
      <w:r>
        <w:rPr>
          <w:rFonts w:ascii="Times New Roman" w:hAnsi="Times New Roman" w:cs="Times New Roman"/>
          <w:sz w:val="23"/>
          <w:szCs w:val="23"/>
        </w:rPr>
        <w:t>Demonstration  Extension Request  are submitted on behalf  of the</w:t>
      </w:r>
    </w:p>
    <w:p w:rsidR="002C5025" w:rsidRDefault="002C5025">
      <w:pPr>
        <w:pStyle w:val="BodyText"/>
        <w:kinsoku w:val="0"/>
        <w:overflowPunct w:val="0"/>
        <w:spacing w:before="7" w:line="249" w:lineRule="auto"/>
        <w:ind w:left="1096" w:right="1090"/>
        <w:rPr>
          <w:rFonts w:ascii="Times New Roman" w:hAnsi="Times New Roman" w:cs="Times New Roman"/>
          <w:sz w:val="23"/>
          <w:szCs w:val="23"/>
        </w:rPr>
      </w:pPr>
      <w:r>
        <w:rPr>
          <w:rFonts w:ascii="Times New Roman" w:hAnsi="Times New Roman" w:cs="Times New Roman"/>
          <w:sz w:val="23"/>
          <w:szCs w:val="23"/>
        </w:rPr>
        <w:t xml:space="preserve">Boston Center for Independent Living (BCIL), the </w:t>
      </w:r>
      <w:proofErr w:type="spellStart"/>
      <w:r>
        <w:rPr>
          <w:rFonts w:ascii="Times New Roman" w:hAnsi="Times New Roman" w:cs="Times New Roman"/>
          <w:sz w:val="23"/>
          <w:szCs w:val="23"/>
        </w:rPr>
        <w:t>Metrowest</w:t>
      </w:r>
      <w:proofErr w:type="spellEnd"/>
      <w:r>
        <w:rPr>
          <w:rFonts w:ascii="Times New Roman" w:hAnsi="Times New Roman" w:cs="Times New Roman"/>
          <w:sz w:val="23"/>
          <w:szCs w:val="23"/>
        </w:rPr>
        <w:t xml:space="preserve"> Center for Independent Living (MWCIL), the Stavros Center for Independent  Living (Stavros), the Disability Law Center   (DLC) and Greater Boston Legal Services (GBLS). For over a decade we have been working to improve physical  access to health care for people with disabilities  in Massachusetts.   We  strongly endorse the overall direction the. Office of Medicaid  is taking with the Extension  Request, which will greatly enhance the ability of MassHealth members with disabilities to have equal access to high quality care.   Our comments  are focused on the aspects of the   Demonstration Request that deal directly with improving access to care, which we think are key components  of the broad  effort to emphasize </w:t>
      </w:r>
      <w:r>
        <w:rPr>
          <w:rFonts w:ascii="Times New Roman" w:hAnsi="Times New Roman" w:cs="Times New Roman"/>
          <w:spacing w:val="-7"/>
          <w:sz w:val="23"/>
          <w:szCs w:val="23"/>
        </w:rPr>
        <w:t xml:space="preserve">"value  </w:t>
      </w:r>
      <w:r>
        <w:rPr>
          <w:rFonts w:ascii="Times New Roman" w:hAnsi="Times New Roman" w:cs="Times New Roman"/>
          <w:sz w:val="23"/>
          <w:szCs w:val="23"/>
        </w:rPr>
        <w:t>in care delivery" and "provide integrated   and coordinated  care, while  moderating  the cost</w:t>
      </w:r>
      <w:r>
        <w:rPr>
          <w:rFonts w:ascii="Times New Roman" w:hAnsi="Times New Roman" w:cs="Times New Roman"/>
          <w:spacing w:val="13"/>
          <w:sz w:val="23"/>
          <w:szCs w:val="23"/>
        </w:rPr>
        <w:t xml:space="preserve"> </w:t>
      </w:r>
      <w:r>
        <w:rPr>
          <w:rFonts w:ascii="Times New Roman" w:hAnsi="Times New Roman" w:cs="Times New Roman"/>
          <w:sz w:val="23"/>
          <w:szCs w:val="23"/>
        </w:rPr>
        <w:t>trend."</w:t>
      </w:r>
    </w:p>
    <w:p w:rsidR="002C5025" w:rsidRDefault="002C5025">
      <w:pPr>
        <w:pStyle w:val="BodyText"/>
        <w:kinsoku w:val="0"/>
        <w:overflowPunct w:val="0"/>
        <w:spacing w:before="121" w:line="261" w:lineRule="auto"/>
        <w:ind w:left="1096" w:right="1090"/>
        <w:rPr>
          <w:rFonts w:ascii="Times New Roman" w:hAnsi="Times New Roman" w:cs="Times New Roman"/>
          <w:sz w:val="23"/>
          <w:szCs w:val="23"/>
        </w:rPr>
      </w:pPr>
      <w:r>
        <w:rPr>
          <w:rFonts w:ascii="Times New Roman" w:hAnsi="Times New Roman" w:cs="Times New Roman"/>
          <w:sz w:val="23"/>
          <w:szCs w:val="23"/>
        </w:rPr>
        <w:t>We would like to highlight and commend the many specific references to accessibility in the Extension Request:</w:t>
      </w: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spacing w:before="147"/>
        <w:ind w:left="3221" w:right="2938"/>
        <w:jc w:val="center"/>
        <w:rPr>
          <w:rFonts w:ascii="Arial" w:hAnsi="Arial" w:cs="Arial"/>
          <w:w w:val="105"/>
          <w:sz w:val="19"/>
          <w:szCs w:val="19"/>
        </w:rPr>
      </w:pPr>
      <w:r>
        <w:rPr>
          <w:rFonts w:ascii="Arial" w:hAnsi="Arial" w:cs="Arial"/>
          <w:w w:val="105"/>
          <w:sz w:val="19"/>
          <w:szCs w:val="19"/>
        </w:rPr>
        <w:t>The Protection and Advocacy System for Massachusetts</w:t>
      </w:r>
    </w:p>
    <w:p w:rsidR="002C5025" w:rsidRDefault="002C5025">
      <w:pPr>
        <w:pStyle w:val="BodyText"/>
        <w:kinsoku w:val="0"/>
        <w:overflowPunct w:val="0"/>
        <w:spacing w:before="6"/>
        <w:rPr>
          <w:rFonts w:ascii="Arial" w:hAnsi="Arial" w:cs="Arial"/>
          <w:sz w:val="18"/>
          <w:szCs w:val="18"/>
        </w:rPr>
      </w:pPr>
    </w:p>
    <w:p w:rsidR="002C5025" w:rsidRDefault="002C5025">
      <w:pPr>
        <w:pStyle w:val="BodyText"/>
        <w:kinsoku w:val="0"/>
        <w:overflowPunct w:val="0"/>
        <w:spacing w:line="95" w:lineRule="exact"/>
        <w:ind w:left="3034" w:right="2938"/>
        <w:jc w:val="center"/>
        <w:rPr>
          <w:rFonts w:ascii="Arial" w:hAnsi="Arial" w:cs="Arial"/>
          <w:b/>
          <w:bCs/>
          <w:w w:val="85"/>
          <w:sz w:val="9"/>
          <w:szCs w:val="9"/>
        </w:rPr>
      </w:pPr>
      <w:r>
        <w:rPr>
          <w:rFonts w:ascii="Arial" w:hAnsi="Arial" w:cs="Arial"/>
          <w:b/>
          <w:bCs/>
          <w:w w:val="85"/>
          <w:sz w:val="9"/>
          <w:szCs w:val="9"/>
        </w:rPr>
        <w:t>THIS ,O.GE/</w:t>
      </w:r>
      <w:proofErr w:type="spellStart"/>
      <w:r>
        <w:rPr>
          <w:rFonts w:ascii="Arial" w:hAnsi="Arial" w:cs="Arial"/>
          <w:b/>
          <w:bCs/>
          <w:w w:val="85"/>
          <w:sz w:val="9"/>
          <w:szCs w:val="9"/>
        </w:rPr>
        <w:t>lCY</w:t>
      </w:r>
      <w:proofErr w:type="spellEnd"/>
      <w:r>
        <w:rPr>
          <w:rFonts w:ascii="Arial" w:hAnsi="Arial" w:cs="Arial"/>
          <w:b/>
          <w:bCs/>
          <w:w w:val="85"/>
          <w:sz w:val="9"/>
          <w:szCs w:val="9"/>
        </w:rPr>
        <w:t xml:space="preserve">  SIJ?PORUI) BY</w:t>
      </w:r>
    </w:p>
    <w:p w:rsidR="002C5025" w:rsidRDefault="002C5025">
      <w:pPr>
        <w:pStyle w:val="BodyText"/>
        <w:kinsoku w:val="0"/>
        <w:overflowPunct w:val="0"/>
        <w:spacing w:line="371" w:lineRule="exact"/>
        <w:ind w:left="3003" w:right="2938"/>
        <w:jc w:val="center"/>
        <w:rPr>
          <w:rFonts w:ascii="Times New Roman" w:hAnsi="Times New Roman" w:cs="Times New Roman"/>
          <w:b/>
          <w:bCs/>
          <w:i/>
          <w:iCs/>
          <w:sz w:val="33"/>
          <w:szCs w:val="33"/>
        </w:rPr>
      </w:pPr>
      <w:r>
        <w:rPr>
          <w:rFonts w:ascii="Times New Roman" w:hAnsi="Times New Roman" w:cs="Times New Roman"/>
          <w:b/>
          <w:bCs/>
          <w:i/>
          <w:iCs/>
          <w:sz w:val="33"/>
          <w:szCs w:val="33"/>
        </w:rPr>
        <w:t>&lt;,nited0Way</w:t>
      </w:r>
    </w:p>
    <w:p w:rsidR="002C5025" w:rsidRDefault="002C5025">
      <w:pPr>
        <w:pStyle w:val="BodyText"/>
        <w:kinsoku w:val="0"/>
        <w:overflowPunct w:val="0"/>
        <w:spacing w:line="371" w:lineRule="exact"/>
        <w:ind w:left="3003" w:right="2938"/>
        <w:jc w:val="center"/>
        <w:rPr>
          <w:rFonts w:ascii="Times New Roman" w:hAnsi="Times New Roman" w:cs="Times New Roman"/>
          <w:b/>
          <w:bCs/>
          <w:i/>
          <w:iCs/>
          <w:sz w:val="33"/>
          <w:szCs w:val="33"/>
        </w:rPr>
        <w:sectPr w:rsidR="002C5025">
          <w:type w:val="continuous"/>
          <w:pgSz w:w="12240" w:h="15840"/>
          <w:pgMar w:top="720" w:right="740" w:bottom="280" w:left="300" w:header="720" w:footer="720" w:gutter="0"/>
          <w:cols w:space="720" w:equalWidth="0">
            <w:col w:w="11200"/>
          </w:cols>
          <w:noEndnote/>
        </w:sectPr>
      </w:pPr>
    </w:p>
    <w:p w:rsidR="002C5025" w:rsidRDefault="002C5025">
      <w:pPr>
        <w:pStyle w:val="BodyText"/>
        <w:kinsoku w:val="0"/>
        <w:overflowPunct w:val="0"/>
        <w:spacing w:before="38"/>
        <w:ind w:right="39"/>
        <w:jc w:val="center"/>
        <w:rPr>
          <w:rFonts w:ascii="Times New Roman" w:hAnsi="Times New Roman" w:cs="Times New Roman"/>
          <w:w w:val="90"/>
          <w:sz w:val="25"/>
          <w:szCs w:val="25"/>
        </w:rPr>
      </w:pPr>
      <w:r>
        <w:rPr>
          <w:rFonts w:ascii="Times New Roman" w:hAnsi="Times New Roman" w:cs="Times New Roman"/>
          <w:w w:val="90"/>
          <w:sz w:val="25"/>
          <w:szCs w:val="25"/>
        </w:rPr>
        <w:lastRenderedPageBreak/>
        <w:t>2</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ListParagraph"/>
        <w:numPr>
          <w:ilvl w:val="0"/>
          <w:numId w:val="12"/>
        </w:numPr>
        <w:tabs>
          <w:tab w:val="left" w:pos="1527"/>
        </w:tabs>
        <w:kinsoku w:val="0"/>
        <w:overflowPunct w:val="0"/>
        <w:spacing w:before="168" w:line="252" w:lineRule="auto"/>
        <w:ind w:right="510" w:firstLine="15"/>
        <w:jc w:val="both"/>
        <w:rPr>
          <w:sz w:val="23"/>
          <w:szCs w:val="23"/>
        </w:rPr>
      </w:pPr>
      <w:r>
        <w:rPr>
          <w:sz w:val="23"/>
          <w:szCs w:val="23"/>
        </w:rPr>
        <w:t xml:space="preserve">MCOs will be required to demonstrate competencies in the independent living philosophy, Recovery Models, wellness principles, cultural competence, accessibility, and a community-first  approach, consistent  with the One Care model. Pg. </w:t>
      </w:r>
      <w:r>
        <w:rPr>
          <w:spacing w:val="23"/>
          <w:sz w:val="23"/>
          <w:szCs w:val="23"/>
        </w:rPr>
        <w:t xml:space="preserve"> </w:t>
      </w:r>
      <w:r>
        <w:rPr>
          <w:sz w:val="23"/>
          <w:szCs w:val="23"/>
        </w:rPr>
        <w:t>4</w:t>
      </w:r>
    </w:p>
    <w:p w:rsidR="002C5025" w:rsidRDefault="002C5025">
      <w:pPr>
        <w:pStyle w:val="ListParagraph"/>
        <w:numPr>
          <w:ilvl w:val="0"/>
          <w:numId w:val="12"/>
        </w:numPr>
        <w:tabs>
          <w:tab w:val="left" w:pos="1527"/>
        </w:tabs>
        <w:kinsoku w:val="0"/>
        <w:overflowPunct w:val="0"/>
        <w:spacing w:before="75" w:line="254" w:lineRule="auto"/>
        <w:ind w:right="323" w:firstLine="15"/>
        <w:rPr>
          <w:sz w:val="23"/>
          <w:szCs w:val="23"/>
        </w:rPr>
      </w:pPr>
      <w:r>
        <w:rPr>
          <w:sz w:val="23"/>
          <w:szCs w:val="23"/>
        </w:rPr>
        <w:t xml:space="preserve">MCOs will also be required to demonstrate compliance with the new Medicaid Managed Care regulations, and to demonstrate meaningful supports and processes for providers to improve accessibility for members with disabilities, including ensuring full compliance with the Americans  with Disabilities Act (ADA). Pg. </w:t>
      </w:r>
      <w:r>
        <w:rPr>
          <w:spacing w:val="57"/>
          <w:sz w:val="23"/>
          <w:szCs w:val="23"/>
        </w:rPr>
        <w:t xml:space="preserve"> </w:t>
      </w:r>
      <w:r>
        <w:rPr>
          <w:sz w:val="23"/>
          <w:szCs w:val="23"/>
        </w:rPr>
        <w:t>4</w:t>
      </w:r>
    </w:p>
    <w:p w:rsidR="002C5025" w:rsidRDefault="002C5025">
      <w:pPr>
        <w:pStyle w:val="ListParagraph"/>
        <w:numPr>
          <w:ilvl w:val="0"/>
          <w:numId w:val="12"/>
        </w:numPr>
        <w:tabs>
          <w:tab w:val="left" w:pos="1527"/>
        </w:tabs>
        <w:kinsoku w:val="0"/>
        <w:overflowPunct w:val="0"/>
        <w:spacing w:before="73" w:line="252" w:lineRule="auto"/>
        <w:ind w:right="220" w:firstLine="15"/>
        <w:rPr>
          <w:w w:val="103"/>
          <w:sz w:val="23"/>
          <w:szCs w:val="23"/>
        </w:rPr>
      </w:pPr>
      <w:r>
        <w:rPr>
          <w:w w:val="105"/>
          <w:sz w:val="23"/>
          <w:szCs w:val="23"/>
        </w:rPr>
        <w:t>Through this transition to value-based care delivery and payment, MassHealth remains committed to preserving and improving the member experience. The member experience</w:t>
      </w:r>
      <w:r>
        <w:rPr>
          <w:spacing w:val="-10"/>
          <w:w w:val="105"/>
          <w:sz w:val="23"/>
          <w:szCs w:val="23"/>
        </w:rPr>
        <w:t xml:space="preserve"> </w:t>
      </w:r>
      <w:r>
        <w:rPr>
          <w:w w:val="105"/>
          <w:sz w:val="23"/>
          <w:szCs w:val="23"/>
        </w:rPr>
        <w:t>today</w:t>
      </w:r>
      <w:r>
        <w:rPr>
          <w:spacing w:val="-34"/>
          <w:w w:val="105"/>
          <w:sz w:val="23"/>
          <w:szCs w:val="23"/>
        </w:rPr>
        <w:t xml:space="preserve"> </w:t>
      </w:r>
      <w:r>
        <w:rPr>
          <w:w w:val="105"/>
          <w:sz w:val="23"/>
          <w:szCs w:val="23"/>
        </w:rPr>
        <w:t>...</w:t>
      </w:r>
      <w:r>
        <w:rPr>
          <w:spacing w:val="-19"/>
          <w:w w:val="105"/>
          <w:sz w:val="23"/>
          <w:szCs w:val="23"/>
        </w:rPr>
        <w:t xml:space="preserve"> </w:t>
      </w:r>
      <w:r>
        <w:rPr>
          <w:w w:val="105"/>
          <w:sz w:val="23"/>
          <w:szCs w:val="23"/>
        </w:rPr>
        <w:t>including</w:t>
      </w:r>
      <w:r>
        <w:rPr>
          <w:spacing w:val="-35"/>
          <w:w w:val="105"/>
          <w:sz w:val="23"/>
          <w:szCs w:val="23"/>
        </w:rPr>
        <w:t xml:space="preserve"> </w:t>
      </w:r>
      <w:r>
        <w:rPr>
          <w:w w:val="105"/>
          <w:sz w:val="23"/>
          <w:szCs w:val="23"/>
        </w:rPr>
        <w:t>...</w:t>
      </w:r>
      <w:r>
        <w:rPr>
          <w:spacing w:val="-19"/>
          <w:w w:val="105"/>
          <w:sz w:val="23"/>
          <w:szCs w:val="23"/>
        </w:rPr>
        <w:t xml:space="preserve"> </w:t>
      </w:r>
      <w:r>
        <w:rPr>
          <w:w w:val="105"/>
          <w:sz w:val="23"/>
          <w:szCs w:val="23"/>
        </w:rPr>
        <w:t>accommodations</w:t>
      </w:r>
      <w:r>
        <w:rPr>
          <w:spacing w:val="3"/>
          <w:w w:val="105"/>
          <w:sz w:val="23"/>
          <w:szCs w:val="23"/>
        </w:rPr>
        <w:t xml:space="preserve"> </w:t>
      </w:r>
      <w:r>
        <w:rPr>
          <w:w w:val="105"/>
          <w:sz w:val="23"/>
          <w:szCs w:val="23"/>
        </w:rPr>
        <w:t>and</w:t>
      </w:r>
      <w:r>
        <w:rPr>
          <w:spacing w:val="-7"/>
          <w:w w:val="105"/>
          <w:sz w:val="23"/>
          <w:szCs w:val="23"/>
        </w:rPr>
        <w:t xml:space="preserve"> </w:t>
      </w:r>
      <w:r>
        <w:rPr>
          <w:w w:val="105"/>
          <w:sz w:val="23"/>
          <w:szCs w:val="23"/>
        </w:rPr>
        <w:t>competency</w:t>
      </w:r>
      <w:r>
        <w:rPr>
          <w:spacing w:val="-7"/>
          <w:w w:val="105"/>
          <w:sz w:val="23"/>
          <w:szCs w:val="23"/>
        </w:rPr>
        <w:t xml:space="preserve"> </w:t>
      </w:r>
      <w:r>
        <w:rPr>
          <w:w w:val="105"/>
          <w:sz w:val="23"/>
          <w:szCs w:val="23"/>
        </w:rPr>
        <w:t>to</w:t>
      </w:r>
      <w:r>
        <w:rPr>
          <w:spacing w:val="-7"/>
          <w:w w:val="105"/>
          <w:sz w:val="23"/>
          <w:szCs w:val="23"/>
        </w:rPr>
        <w:t xml:space="preserve"> </w:t>
      </w:r>
      <w:r>
        <w:rPr>
          <w:w w:val="105"/>
          <w:sz w:val="23"/>
          <w:szCs w:val="23"/>
        </w:rPr>
        <w:t>support</w:t>
      </w:r>
      <w:r>
        <w:rPr>
          <w:spacing w:val="-10"/>
          <w:w w:val="105"/>
          <w:sz w:val="23"/>
          <w:szCs w:val="23"/>
        </w:rPr>
        <w:t xml:space="preserve"> </w:t>
      </w:r>
      <w:r>
        <w:rPr>
          <w:w w:val="105"/>
          <w:sz w:val="23"/>
          <w:szCs w:val="23"/>
        </w:rPr>
        <w:t xml:space="preserve">individuals </w:t>
      </w:r>
      <w:r>
        <w:rPr>
          <w:sz w:val="23"/>
          <w:szCs w:val="23"/>
        </w:rPr>
        <w:t xml:space="preserve">with </w:t>
      </w:r>
      <w:r>
        <w:rPr>
          <w:w w:val="102"/>
          <w:sz w:val="23"/>
          <w:szCs w:val="23"/>
        </w:rPr>
        <w:t xml:space="preserve">disabilities </w:t>
      </w:r>
      <w:r>
        <w:rPr>
          <w:spacing w:val="2"/>
          <w:w w:val="118"/>
          <w:sz w:val="23"/>
          <w:szCs w:val="23"/>
        </w:rPr>
        <w:t>-varies</w:t>
      </w:r>
      <w:r>
        <w:rPr>
          <w:w w:val="118"/>
          <w:sz w:val="23"/>
          <w:szCs w:val="23"/>
        </w:rPr>
        <w:t xml:space="preserve"> </w:t>
      </w:r>
      <w:r>
        <w:rPr>
          <w:sz w:val="23"/>
          <w:szCs w:val="23"/>
        </w:rPr>
        <w:t xml:space="preserve">across the </w:t>
      </w:r>
      <w:r>
        <w:rPr>
          <w:w w:val="102"/>
          <w:sz w:val="23"/>
          <w:szCs w:val="23"/>
        </w:rPr>
        <w:t xml:space="preserve">state. </w:t>
      </w:r>
      <w:r>
        <w:rPr>
          <w:sz w:val="23"/>
          <w:szCs w:val="23"/>
        </w:rPr>
        <w:t>Pg.</w:t>
      </w:r>
      <w:r>
        <w:rPr>
          <w:spacing w:val="33"/>
          <w:sz w:val="23"/>
          <w:szCs w:val="23"/>
        </w:rPr>
        <w:t xml:space="preserve"> </w:t>
      </w:r>
      <w:r>
        <w:rPr>
          <w:w w:val="103"/>
          <w:sz w:val="23"/>
          <w:szCs w:val="23"/>
        </w:rPr>
        <w:t>4</w:t>
      </w:r>
    </w:p>
    <w:p w:rsidR="002C5025" w:rsidRDefault="002C5025">
      <w:pPr>
        <w:pStyle w:val="ListParagraph"/>
        <w:numPr>
          <w:ilvl w:val="0"/>
          <w:numId w:val="12"/>
        </w:numPr>
        <w:tabs>
          <w:tab w:val="left" w:pos="1527"/>
        </w:tabs>
        <w:kinsoku w:val="0"/>
        <w:overflowPunct w:val="0"/>
        <w:spacing w:before="68" w:line="252" w:lineRule="auto"/>
        <w:ind w:right="237" w:firstLine="15"/>
        <w:rPr>
          <w:sz w:val="23"/>
          <w:szCs w:val="23"/>
        </w:rPr>
      </w:pPr>
      <w:r>
        <w:rPr>
          <w:sz w:val="23"/>
          <w:szCs w:val="23"/>
        </w:rPr>
        <w:t xml:space="preserve">MassHealth  will ensure that members have adequate access and choice in  networks and will continue to require that MCOs and ACOs have provider networks that comply with all applicable managed care rules.   </w:t>
      </w:r>
      <w:r>
        <w:rPr>
          <w:spacing w:val="24"/>
          <w:sz w:val="23"/>
          <w:szCs w:val="23"/>
        </w:rPr>
        <w:t xml:space="preserve"> </w:t>
      </w:r>
      <w:r>
        <w:rPr>
          <w:sz w:val="23"/>
          <w:szCs w:val="23"/>
        </w:rPr>
        <w:t>Pg.5</w:t>
      </w:r>
    </w:p>
    <w:p w:rsidR="002C5025" w:rsidRDefault="002C5025">
      <w:pPr>
        <w:pStyle w:val="ListParagraph"/>
        <w:numPr>
          <w:ilvl w:val="0"/>
          <w:numId w:val="12"/>
        </w:numPr>
        <w:tabs>
          <w:tab w:val="left" w:pos="1527"/>
        </w:tabs>
        <w:kinsoku w:val="0"/>
        <w:overflowPunct w:val="0"/>
        <w:spacing w:before="68" w:line="252" w:lineRule="auto"/>
        <w:ind w:left="820" w:right="283" w:firstLine="0"/>
        <w:rPr>
          <w:sz w:val="23"/>
          <w:szCs w:val="23"/>
        </w:rPr>
      </w:pPr>
      <w:r>
        <w:rPr>
          <w:sz w:val="23"/>
          <w:szCs w:val="23"/>
        </w:rPr>
        <w:t>Delivery System Reform Incentive Program (DSRIP) Investments: To fund a set  of investments to more efficiently scale up statewide infrastructure necessary for reform compared to provider-specific investments (e.g., ... access to medical and diagnostic equipment  for persons  with  disabilities... ). Pg.</w:t>
      </w:r>
      <w:r>
        <w:rPr>
          <w:spacing w:val="-24"/>
          <w:sz w:val="23"/>
          <w:szCs w:val="23"/>
        </w:rPr>
        <w:t xml:space="preserve"> </w:t>
      </w:r>
      <w:r>
        <w:rPr>
          <w:sz w:val="23"/>
          <w:szCs w:val="23"/>
        </w:rPr>
        <w:t>7</w:t>
      </w:r>
    </w:p>
    <w:p w:rsidR="002C5025" w:rsidRDefault="002C5025">
      <w:pPr>
        <w:pStyle w:val="ListParagraph"/>
        <w:numPr>
          <w:ilvl w:val="0"/>
          <w:numId w:val="12"/>
        </w:numPr>
        <w:tabs>
          <w:tab w:val="left" w:pos="1527"/>
        </w:tabs>
        <w:kinsoku w:val="0"/>
        <w:overflowPunct w:val="0"/>
        <w:spacing w:before="75" w:line="252" w:lineRule="auto"/>
        <w:ind w:right="116" w:firstLine="15"/>
        <w:rPr>
          <w:sz w:val="23"/>
          <w:szCs w:val="23"/>
        </w:rPr>
      </w:pPr>
      <w:r>
        <w:rPr>
          <w:sz w:val="23"/>
          <w:szCs w:val="23"/>
        </w:rPr>
        <w:t xml:space="preserve">Massachusetts also recognizes  that providers'  experience and capacity to address  the unique medical needs  and diagnostic challenges presented by individuals with   physical, developmental  and intellectual  disabilities varies widely  across the state.  Pg.  </w:t>
      </w:r>
      <w:r>
        <w:rPr>
          <w:spacing w:val="15"/>
          <w:sz w:val="23"/>
          <w:szCs w:val="23"/>
        </w:rPr>
        <w:t xml:space="preserve"> </w:t>
      </w:r>
      <w:r>
        <w:rPr>
          <w:sz w:val="23"/>
          <w:szCs w:val="23"/>
        </w:rPr>
        <w:t>13</w:t>
      </w:r>
    </w:p>
    <w:p w:rsidR="002C5025" w:rsidRDefault="002C5025">
      <w:pPr>
        <w:pStyle w:val="ListParagraph"/>
        <w:numPr>
          <w:ilvl w:val="0"/>
          <w:numId w:val="12"/>
        </w:numPr>
        <w:tabs>
          <w:tab w:val="left" w:pos="1534"/>
        </w:tabs>
        <w:kinsoku w:val="0"/>
        <w:overflowPunct w:val="0"/>
        <w:spacing w:before="82" w:line="254" w:lineRule="auto"/>
        <w:ind w:left="820" w:right="546" w:firstLine="8"/>
        <w:rPr>
          <w:w w:val="105"/>
          <w:sz w:val="23"/>
          <w:szCs w:val="23"/>
        </w:rPr>
      </w:pPr>
      <w:r>
        <w:rPr>
          <w:w w:val="105"/>
          <w:sz w:val="23"/>
          <w:szCs w:val="23"/>
        </w:rPr>
        <w:t>Goal</w:t>
      </w:r>
      <w:r>
        <w:rPr>
          <w:spacing w:val="-11"/>
          <w:w w:val="105"/>
          <w:sz w:val="23"/>
          <w:szCs w:val="23"/>
        </w:rPr>
        <w:t xml:space="preserve"> </w:t>
      </w:r>
      <w:r>
        <w:rPr>
          <w:w w:val="105"/>
          <w:sz w:val="23"/>
          <w:szCs w:val="23"/>
        </w:rPr>
        <w:t>2:</w:t>
      </w:r>
      <w:r>
        <w:rPr>
          <w:spacing w:val="-14"/>
          <w:w w:val="105"/>
          <w:sz w:val="23"/>
          <w:szCs w:val="23"/>
        </w:rPr>
        <w:t xml:space="preserve"> </w:t>
      </w:r>
      <w:r>
        <w:rPr>
          <w:w w:val="105"/>
          <w:sz w:val="23"/>
          <w:szCs w:val="23"/>
        </w:rPr>
        <w:t>Establishing</w:t>
      </w:r>
      <w:r>
        <w:rPr>
          <w:spacing w:val="-4"/>
          <w:w w:val="105"/>
          <w:sz w:val="23"/>
          <w:szCs w:val="23"/>
        </w:rPr>
        <w:t xml:space="preserve"> </w:t>
      </w:r>
      <w:r>
        <w:rPr>
          <w:w w:val="105"/>
          <w:sz w:val="23"/>
          <w:szCs w:val="23"/>
        </w:rPr>
        <w:t>explicit</w:t>
      </w:r>
      <w:r>
        <w:rPr>
          <w:spacing w:val="-13"/>
          <w:w w:val="105"/>
          <w:sz w:val="23"/>
          <w:szCs w:val="23"/>
        </w:rPr>
        <w:t xml:space="preserve"> </w:t>
      </w:r>
      <w:r>
        <w:rPr>
          <w:w w:val="105"/>
          <w:sz w:val="23"/>
          <w:szCs w:val="23"/>
        </w:rPr>
        <w:t>expectations</w:t>
      </w:r>
      <w:r>
        <w:rPr>
          <w:spacing w:val="-9"/>
          <w:w w:val="105"/>
          <w:sz w:val="23"/>
          <w:szCs w:val="23"/>
        </w:rPr>
        <w:t xml:space="preserve"> </w:t>
      </w:r>
      <w:r>
        <w:rPr>
          <w:w w:val="105"/>
          <w:sz w:val="23"/>
          <w:szCs w:val="23"/>
        </w:rPr>
        <w:t>for</w:t>
      </w:r>
      <w:r>
        <w:rPr>
          <w:spacing w:val="-22"/>
          <w:w w:val="105"/>
          <w:sz w:val="23"/>
          <w:szCs w:val="23"/>
        </w:rPr>
        <w:t xml:space="preserve"> </w:t>
      </w:r>
      <w:r>
        <w:rPr>
          <w:w w:val="105"/>
          <w:sz w:val="23"/>
          <w:szCs w:val="23"/>
        </w:rPr>
        <w:t>the</w:t>
      </w:r>
      <w:r>
        <w:rPr>
          <w:spacing w:val="-18"/>
          <w:w w:val="105"/>
          <w:sz w:val="23"/>
          <w:szCs w:val="23"/>
        </w:rPr>
        <w:t xml:space="preserve"> </w:t>
      </w:r>
      <w:r>
        <w:rPr>
          <w:w w:val="105"/>
          <w:sz w:val="23"/>
          <w:szCs w:val="23"/>
        </w:rPr>
        <w:t>coordination</w:t>
      </w:r>
      <w:r>
        <w:rPr>
          <w:spacing w:val="-6"/>
          <w:w w:val="105"/>
          <w:sz w:val="23"/>
          <w:szCs w:val="23"/>
        </w:rPr>
        <w:t xml:space="preserve"> </w:t>
      </w:r>
      <w:r>
        <w:rPr>
          <w:w w:val="105"/>
          <w:sz w:val="23"/>
          <w:szCs w:val="23"/>
        </w:rPr>
        <w:t>and</w:t>
      </w:r>
      <w:r>
        <w:rPr>
          <w:spacing w:val="-15"/>
          <w:w w:val="105"/>
          <w:sz w:val="23"/>
          <w:szCs w:val="23"/>
        </w:rPr>
        <w:t xml:space="preserve"> </w:t>
      </w:r>
      <w:r>
        <w:rPr>
          <w:w w:val="105"/>
          <w:sz w:val="23"/>
          <w:szCs w:val="23"/>
        </w:rPr>
        <w:t>delivery</w:t>
      </w:r>
      <w:r>
        <w:rPr>
          <w:spacing w:val="-2"/>
          <w:w w:val="105"/>
          <w:sz w:val="23"/>
          <w:szCs w:val="23"/>
        </w:rPr>
        <w:t xml:space="preserve"> </w:t>
      </w:r>
      <w:r>
        <w:rPr>
          <w:w w:val="105"/>
          <w:sz w:val="23"/>
          <w:szCs w:val="23"/>
        </w:rPr>
        <w:t xml:space="preserve">of care </w:t>
      </w:r>
      <w:r>
        <w:rPr>
          <w:spacing w:val="4"/>
          <w:w w:val="105"/>
          <w:sz w:val="23"/>
          <w:szCs w:val="23"/>
        </w:rPr>
        <w:t xml:space="preserve">for... </w:t>
      </w:r>
      <w:r>
        <w:rPr>
          <w:w w:val="105"/>
          <w:sz w:val="23"/>
          <w:szCs w:val="23"/>
        </w:rPr>
        <w:t>members with disabilities. Pg.</w:t>
      </w:r>
      <w:r>
        <w:rPr>
          <w:spacing w:val="-8"/>
          <w:w w:val="105"/>
          <w:sz w:val="23"/>
          <w:szCs w:val="23"/>
        </w:rPr>
        <w:t xml:space="preserve"> </w:t>
      </w:r>
      <w:r>
        <w:rPr>
          <w:w w:val="105"/>
          <w:sz w:val="23"/>
          <w:szCs w:val="23"/>
        </w:rPr>
        <w:t>15</w:t>
      </w:r>
    </w:p>
    <w:p w:rsidR="002C5025" w:rsidRDefault="002C5025">
      <w:pPr>
        <w:pStyle w:val="ListParagraph"/>
        <w:numPr>
          <w:ilvl w:val="0"/>
          <w:numId w:val="12"/>
        </w:numPr>
        <w:tabs>
          <w:tab w:val="left" w:pos="1527"/>
        </w:tabs>
        <w:kinsoku w:val="0"/>
        <w:overflowPunct w:val="0"/>
        <w:spacing w:before="66" w:line="252" w:lineRule="auto"/>
        <w:ind w:right="607" w:firstLine="7"/>
        <w:rPr>
          <w:spacing w:val="4"/>
          <w:sz w:val="23"/>
          <w:szCs w:val="23"/>
        </w:rPr>
      </w:pPr>
      <w:r>
        <w:rPr>
          <w:sz w:val="23"/>
          <w:szCs w:val="23"/>
        </w:rPr>
        <w:t xml:space="preserve">4.1.8 Member Rights and Protections. MassHealth will work closely with its MCOs, ACOs and PCC plan providers to ensure providers offer their patients with disabilities the medical and diagnostic equipment and accommodations necessary to receive medical  care. </w:t>
      </w:r>
      <w:r>
        <w:rPr>
          <w:spacing w:val="38"/>
          <w:sz w:val="23"/>
          <w:szCs w:val="23"/>
        </w:rPr>
        <w:t xml:space="preserve"> </w:t>
      </w:r>
      <w:r>
        <w:rPr>
          <w:spacing w:val="4"/>
          <w:sz w:val="23"/>
          <w:szCs w:val="23"/>
        </w:rPr>
        <w:t>P.29</w:t>
      </w:r>
    </w:p>
    <w:p w:rsidR="002C5025" w:rsidRDefault="002C5025">
      <w:pPr>
        <w:pStyle w:val="BodyText"/>
        <w:kinsoku w:val="0"/>
        <w:overflowPunct w:val="0"/>
        <w:spacing w:before="111" w:line="252" w:lineRule="auto"/>
        <w:ind w:left="100" w:right="295" w:firstLine="7"/>
        <w:rPr>
          <w:rFonts w:ascii="Times New Roman" w:hAnsi="Times New Roman" w:cs="Times New Roman"/>
          <w:sz w:val="23"/>
          <w:szCs w:val="23"/>
        </w:rPr>
      </w:pPr>
      <w:r>
        <w:rPr>
          <w:rFonts w:ascii="Times New Roman" w:hAnsi="Times New Roman" w:cs="Times New Roman"/>
          <w:sz w:val="23"/>
          <w:szCs w:val="23"/>
        </w:rPr>
        <w:t xml:space="preserve">In addition to these strong policy statements, the commitment to improving access for members  with disabilities is built into the contracts with the Accountable Care Organizations and Managed Care Organization through the explicit references  to federal managed  care requirements.  </w:t>
      </w:r>
      <w:r>
        <w:rPr>
          <w:rFonts w:ascii="Times New Roman" w:hAnsi="Times New Roman" w:cs="Times New Roman"/>
          <w:spacing w:val="-6"/>
          <w:sz w:val="23"/>
          <w:szCs w:val="23"/>
        </w:rPr>
        <w:t xml:space="preserve">"Model  </w:t>
      </w:r>
      <w:r>
        <w:rPr>
          <w:rFonts w:ascii="Times New Roman" w:hAnsi="Times New Roman" w:cs="Times New Roman"/>
          <w:sz w:val="23"/>
          <w:szCs w:val="23"/>
        </w:rPr>
        <w:t xml:space="preserve">A ACO/MCOs must be licensed carriers in accordance comply with state law and are subject to federal managed care regulations." Pg. 24 </w:t>
      </w:r>
      <w:r>
        <w:rPr>
          <w:rFonts w:ascii="Times New Roman" w:hAnsi="Times New Roman" w:cs="Times New Roman"/>
          <w:spacing w:val="-7"/>
          <w:sz w:val="23"/>
          <w:szCs w:val="23"/>
        </w:rPr>
        <w:t xml:space="preserve">"Each </w:t>
      </w:r>
      <w:r>
        <w:rPr>
          <w:rFonts w:ascii="Times New Roman" w:hAnsi="Times New Roman" w:cs="Times New Roman"/>
          <w:sz w:val="23"/>
          <w:szCs w:val="23"/>
        </w:rPr>
        <w:t xml:space="preserve">Model A ACO/MCO  will have a defined  · provider network that meets access and adequacy requirements." Pg. 25 </w:t>
      </w:r>
      <w:r>
        <w:rPr>
          <w:rFonts w:ascii="Times New Roman" w:hAnsi="Times New Roman" w:cs="Times New Roman"/>
          <w:spacing w:val="-5"/>
          <w:sz w:val="23"/>
          <w:szCs w:val="23"/>
        </w:rPr>
        <w:t xml:space="preserve">"Members </w:t>
      </w:r>
      <w:r>
        <w:rPr>
          <w:rFonts w:ascii="Times New Roman" w:hAnsi="Times New Roman" w:cs="Times New Roman"/>
          <w:sz w:val="23"/>
          <w:szCs w:val="23"/>
        </w:rPr>
        <w:t xml:space="preserve">in MCOs (including those  in Model C ACOs) will  have access to the MCO's provider  network  (which  must  satisfy all applicable MCO rules and network  adequacy requirements)  subject to their  MCO's network  policies."  Pg.  28 "MCO contracts  will  require  MCOs to assure that their network providers are able to make specific accommodations for MassHealth members with disabilities, including the provision of accessible medical and diagnostic equipment.  DSRIP funding may be  available to support related  enhancements."  Pg. </w:t>
      </w:r>
      <w:r>
        <w:rPr>
          <w:rFonts w:ascii="Times New Roman" w:hAnsi="Times New Roman" w:cs="Times New Roman"/>
          <w:spacing w:val="20"/>
          <w:sz w:val="23"/>
          <w:szCs w:val="23"/>
        </w:rPr>
        <w:t xml:space="preserve"> </w:t>
      </w:r>
      <w:r>
        <w:rPr>
          <w:rFonts w:ascii="Times New Roman" w:hAnsi="Times New Roman" w:cs="Times New Roman"/>
          <w:sz w:val="23"/>
          <w:szCs w:val="23"/>
        </w:rPr>
        <w:t>35</w:t>
      </w:r>
    </w:p>
    <w:p w:rsidR="002C5025" w:rsidRDefault="002C5025">
      <w:pPr>
        <w:pStyle w:val="BodyText"/>
        <w:kinsoku w:val="0"/>
        <w:overflowPunct w:val="0"/>
        <w:spacing w:before="118" w:line="252" w:lineRule="auto"/>
        <w:ind w:left="108" w:right="456"/>
        <w:rPr>
          <w:rFonts w:ascii="Times New Roman" w:hAnsi="Times New Roman" w:cs="Times New Roman"/>
          <w:w w:val="105"/>
          <w:sz w:val="23"/>
          <w:szCs w:val="23"/>
        </w:rPr>
      </w:pPr>
      <w:r>
        <w:rPr>
          <w:rFonts w:ascii="Times New Roman" w:hAnsi="Times New Roman" w:cs="Times New Roman"/>
          <w:w w:val="105"/>
          <w:sz w:val="23"/>
          <w:szCs w:val="23"/>
        </w:rPr>
        <w:t>The references to federal managed care requirements, access, network adequacy, accommodations</w:t>
      </w:r>
      <w:r>
        <w:rPr>
          <w:rFonts w:ascii="Times New Roman" w:hAnsi="Times New Roman" w:cs="Times New Roman"/>
          <w:spacing w:val="-5"/>
          <w:w w:val="105"/>
          <w:sz w:val="23"/>
          <w:szCs w:val="23"/>
        </w:rPr>
        <w:t xml:space="preserve"> </w:t>
      </w:r>
      <w:r>
        <w:rPr>
          <w:rFonts w:ascii="Times New Roman" w:hAnsi="Times New Roman" w:cs="Times New Roman"/>
          <w:w w:val="105"/>
          <w:sz w:val="23"/>
          <w:szCs w:val="23"/>
        </w:rPr>
        <w:t>and</w:t>
      </w:r>
      <w:r>
        <w:rPr>
          <w:rFonts w:ascii="Times New Roman" w:hAnsi="Times New Roman" w:cs="Times New Roman"/>
          <w:spacing w:val="-16"/>
          <w:w w:val="105"/>
          <w:sz w:val="23"/>
          <w:szCs w:val="23"/>
        </w:rPr>
        <w:t xml:space="preserve"> </w:t>
      </w:r>
      <w:r>
        <w:rPr>
          <w:rFonts w:ascii="Times New Roman" w:hAnsi="Times New Roman" w:cs="Times New Roman"/>
          <w:w w:val="105"/>
          <w:sz w:val="23"/>
          <w:szCs w:val="23"/>
        </w:rPr>
        <w:t>accessible</w:t>
      </w:r>
      <w:r>
        <w:rPr>
          <w:rFonts w:ascii="Times New Roman" w:hAnsi="Times New Roman" w:cs="Times New Roman"/>
          <w:spacing w:val="-16"/>
          <w:w w:val="105"/>
          <w:sz w:val="23"/>
          <w:szCs w:val="23"/>
        </w:rPr>
        <w:t xml:space="preserve"> </w:t>
      </w:r>
      <w:r>
        <w:rPr>
          <w:rFonts w:ascii="Times New Roman" w:hAnsi="Times New Roman" w:cs="Times New Roman"/>
          <w:w w:val="105"/>
          <w:sz w:val="23"/>
          <w:szCs w:val="23"/>
        </w:rPr>
        <w:t>medical</w:t>
      </w:r>
      <w:r>
        <w:rPr>
          <w:rFonts w:ascii="Times New Roman" w:hAnsi="Times New Roman" w:cs="Times New Roman"/>
          <w:spacing w:val="-6"/>
          <w:w w:val="105"/>
          <w:sz w:val="23"/>
          <w:szCs w:val="23"/>
        </w:rPr>
        <w:t xml:space="preserve"> </w:t>
      </w:r>
      <w:r>
        <w:rPr>
          <w:rFonts w:ascii="Times New Roman" w:hAnsi="Times New Roman" w:cs="Times New Roman"/>
          <w:w w:val="105"/>
          <w:sz w:val="23"/>
          <w:szCs w:val="23"/>
        </w:rPr>
        <w:t>and</w:t>
      </w:r>
      <w:r>
        <w:rPr>
          <w:rFonts w:ascii="Times New Roman" w:hAnsi="Times New Roman" w:cs="Times New Roman"/>
          <w:spacing w:val="-16"/>
          <w:w w:val="105"/>
          <w:sz w:val="23"/>
          <w:szCs w:val="23"/>
        </w:rPr>
        <w:t xml:space="preserve"> </w:t>
      </w:r>
      <w:r>
        <w:rPr>
          <w:rFonts w:ascii="Times New Roman" w:hAnsi="Times New Roman" w:cs="Times New Roman"/>
          <w:w w:val="105"/>
          <w:sz w:val="23"/>
          <w:szCs w:val="23"/>
        </w:rPr>
        <w:t>diagnostic</w:t>
      </w:r>
      <w:r>
        <w:rPr>
          <w:rFonts w:ascii="Times New Roman" w:hAnsi="Times New Roman" w:cs="Times New Roman"/>
          <w:spacing w:val="-14"/>
          <w:w w:val="105"/>
          <w:sz w:val="23"/>
          <w:szCs w:val="23"/>
        </w:rPr>
        <w:t xml:space="preserve"> </w:t>
      </w:r>
      <w:r>
        <w:rPr>
          <w:rFonts w:ascii="Times New Roman" w:hAnsi="Times New Roman" w:cs="Times New Roman"/>
          <w:w w:val="105"/>
          <w:sz w:val="23"/>
          <w:szCs w:val="23"/>
        </w:rPr>
        <w:t>are</w:t>
      </w:r>
      <w:r>
        <w:rPr>
          <w:rFonts w:ascii="Times New Roman" w:hAnsi="Times New Roman" w:cs="Times New Roman"/>
          <w:spacing w:val="-17"/>
          <w:w w:val="105"/>
          <w:sz w:val="23"/>
          <w:szCs w:val="23"/>
        </w:rPr>
        <w:t xml:space="preserve"> </w:t>
      </w:r>
      <w:r>
        <w:rPr>
          <w:rFonts w:ascii="Times New Roman" w:hAnsi="Times New Roman" w:cs="Times New Roman"/>
          <w:w w:val="105"/>
          <w:sz w:val="23"/>
          <w:szCs w:val="23"/>
        </w:rPr>
        <w:t>significant</w:t>
      </w:r>
      <w:r>
        <w:rPr>
          <w:rFonts w:ascii="Times New Roman" w:hAnsi="Times New Roman" w:cs="Times New Roman"/>
          <w:spacing w:val="-19"/>
          <w:w w:val="105"/>
          <w:sz w:val="23"/>
          <w:szCs w:val="23"/>
        </w:rPr>
        <w:t xml:space="preserve"> </w:t>
      </w:r>
      <w:r>
        <w:rPr>
          <w:rFonts w:ascii="Times New Roman" w:hAnsi="Times New Roman" w:cs="Times New Roman"/>
          <w:w w:val="105"/>
          <w:sz w:val="23"/>
          <w:szCs w:val="23"/>
        </w:rPr>
        <w:t>because</w:t>
      </w:r>
      <w:r>
        <w:rPr>
          <w:rFonts w:ascii="Times New Roman" w:hAnsi="Times New Roman" w:cs="Times New Roman"/>
          <w:spacing w:val="-16"/>
          <w:w w:val="105"/>
          <w:sz w:val="23"/>
          <w:szCs w:val="23"/>
        </w:rPr>
        <w:t xml:space="preserve"> </w:t>
      </w:r>
      <w:r>
        <w:rPr>
          <w:rFonts w:ascii="Times New Roman" w:hAnsi="Times New Roman" w:cs="Times New Roman"/>
          <w:w w:val="105"/>
          <w:sz w:val="23"/>
          <w:szCs w:val="23"/>
        </w:rPr>
        <w:t>they</w:t>
      </w:r>
      <w:r>
        <w:rPr>
          <w:rFonts w:ascii="Times New Roman" w:hAnsi="Times New Roman" w:cs="Times New Roman"/>
          <w:spacing w:val="-18"/>
          <w:w w:val="105"/>
          <w:sz w:val="23"/>
          <w:szCs w:val="23"/>
        </w:rPr>
        <w:t xml:space="preserve"> </w:t>
      </w:r>
      <w:r>
        <w:rPr>
          <w:rFonts w:ascii="Times New Roman" w:hAnsi="Times New Roman" w:cs="Times New Roman"/>
          <w:w w:val="105"/>
          <w:sz w:val="23"/>
          <w:szCs w:val="23"/>
        </w:rPr>
        <w:t>represent what is likely the first-in-the-nation adoption of the significant improvements for Medicaid recipients</w:t>
      </w:r>
      <w:r>
        <w:rPr>
          <w:rFonts w:ascii="Times New Roman" w:hAnsi="Times New Roman" w:cs="Times New Roman"/>
          <w:spacing w:val="-7"/>
          <w:w w:val="105"/>
          <w:sz w:val="23"/>
          <w:szCs w:val="23"/>
        </w:rPr>
        <w:t xml:space="preserve"> </w:t>
      </w:r>
      <w:r>
        <w:rPr>
          <w:rFonts w:ascii="Times New Roman" w:hAnsi="Times New Roman" w:cs="Times New Roman"/>
          <w:w w:val="105"/>
          <w:sz w:val="23"/>
          <w:szCs w:val="23"/>
        </w:rPr>
        <w:t>in</w:t>
      </w:r>
      <w:r>
        <w:rPr>
          <w:rFonts w:ascii="Times New Roman" w:hAnsi="Times New Roman" w:cs="Times New Roman"/>
          <w:spacing w:val="-24"/>
          <w:w w:val="105"/>
          <w:sz w:val="23"/>
          <w:szCs w:val="23"/>
        </w:rPr>
        <w:t xml:space="preserve"> </w:t>
      </w:r>
      <w:r>
        <w:rPr>
          <w:rFonts w:ascii="Times New Roman" w:hAnsi="Times New Roman" w:cs="Times New Roman"/>
          <w:w w:val="105"/>
          <w:sz w:val="23"/>
          <w:szCs w:val="23"/>
        </w:rPr>
        <w:t>the</w:t>
      </w:r>
      <w:r>
        <w:rPr>
          <w:rFonts w:ascii="Times New Roman" w:hAnsi="Times New Roman" w:cs="Times New Roman"/>
          <w:spacing w:val="-19"/>
          <w:w w:val="105"/>
          <w:sz w:val="23"/>
          <w:szCs w:val="23"/>
        </w:rPr>
        <w:t xml:space="preserve"> </w:t>
      </w:r>
      <w:r>
        <w:rPr>
          <w:rFonts w:ascii="Times New Roman" w:hAnsi="Times New Roman" w:cs="Times New Roman"/>
          <w:w w:val="105"/>
          <w:sz w:val="23"/>
          <w:szCs w:val="23"/>
        </w:rPr>
        <w:t>newly</w:t>
      </w:r>
      <w:r>
        <w:rPr>
          <w:rFonts w:ascii="Times New Roman" w:hAnsi="Times New Roman" w:cs="Times New Roman"/>
          <w:spacing w:val="-17"/>
          <w:w w:val="105"/>
          <w:sz w:val="23"/>
          <w:szCs w:val="23"/>
        </w:rPr>
        <w:t xml:space="preserve"> </w:t>
      </w:r>
      <w:r>
        <w:rPr>
          <w:rFonts w:ascii="Times New Roman" w:hAnsi="Times New Roman" w:cs="Times New Roman"/>
          <w:w w:val="105"/>
          <w:sz w:val="23"/>
          <w:szCs w:val="23"/>
        </w:rPr>
        <w:t>promulgated</w:t>
      </w:r>
      <w:r>
        <w:rPr>
          <w:rFonts w:ascii="Times New Roman" w:hAnsi="Times New Roman" w:cs="Times New Roman"/>
          <w:spacing w:val="-2"/>
          <w:w w:val="105"/>
          <w:sz w:val="23"/>
          <w:szCs w:val="23"/>
        </w:rPr>
        <w:t xml:space="preserve"> </w:t>
      </w:r>
      <w:r>
        <w:rPr>
          <w:rFonts w:ascii="Times New Roman" w:hAnsi="Times New Roman" w:cs="Times New Roman"/>
          <w:w w:val="105"/>
          <w:sz w:val="23"/>
          <w:szCs w:val="23"/>
        </w:rPr>
        <w:t>Medicaid</w:t>
      </w:r>
      <w:r>
        <w:rPr>
          <w:rFonts w:ascii="Times New Roman" w:hAnsi="Times New Roman" w:cs="Times New Roman"/>
          <w:spacing w:val="-5"/>
          <w:w w:val="105"/>
          <w:sz w:val="23"/>
          <w:szCs w:val="23"/>
        </w:rPr>
        <w:t xml:space="preserve"> </w:t>
      </w:r>
      <w:r>
        <w:rPr>
          <w:rFonts w:ascii="Times New Roman" w:hAnsi="Times New Roman" w:cs="Times New Roman"/>
          <w:w w:val="105"/>
          <w:sz w:val="23"/>
          <w:szCs w:val="23"/>
        </w:rPr>
        <w:t>Managed</w:t>
      </w:r>
      <w:r>
        <w:rPr>
          <w:rFonts w:ascii="Times New Roman" w:hAnsi="Times New Roman" w:cs="Times New Roman"/>
          <w:spacing w:val="1"/>
          <w:w w:val="105"/>
          <w:sz w:val="23"/>
          <w:szCs w:val="23"/>
        </w:rPr>
        <w:t xml:space="preserve"> </w:t>
      </w:r>
      <w:r>
        <w:rPr>
          <w:rFonts w:ascii="Times New Roman" w:hAnsi="Times New Roman" w:cs="Times New Roman"/>
          <w:w w:val="105"/>
          <w:sz w:val="23"/>
          <w:szCs w:val="23"/>
        </w:rPr>
        <w:t>Care</w:t>
      </w:r>
      <w:r>
        <w:rPr>
          <w:rFonts w:ascii="Times New Roman" w:hAnsi="Times New Roman" w:cs="Times New Roman"/>
          <w:spacing w:val="-22"/>
          <w:w w:val="105"/>
          <w:sz w:val="23"/>
          <w:szCs w:val="23"/>
        </w:rPr>
        <w:t xml:space="preserve"> </w:t>
      </w:r>
      <w:r>
        <w:rPr>
          <w:rFonts w:ascii="Times New Roman" w:hAnsi="Times New Roman" w:cs="Times New Roman"/>
          <w:w w:val="105"/>
          <w:sz w:val="23"/>
          <w:szCs w:val="23"/>
        </w:rPr>
        <w:t>Regulation.</w:t>
      </w:r>
      <w:r>
        <w:rPr>
          <w:rFonts w:ascii="Times New Roman" w:hAnsi="Times New Roman" w:cs="Times New Roman"/>
          <w:spacing w:val="4"/>
          <w:w w:val="105"/>
          <w:sz w:val="23"/>
          <w:szCs w:val="23"/>
        </w:rPr>
        <w:t xml:space="preserve"> </w:t>
      </w:r>
      <w:r>
        <w:rPr>
          <w:rFonts w:ascii="Times New Roman" w:hAnsi="Times New Roman" w:cs="Times New Roman"/>
          <w:w w:val="105"/>
          <w:sz w:val="23"/>
          <w:szCs w:val="23"/>
        </w:rPr>
        <w:t>81</w:t>
      </w:r>
      <w:r>
        <w:rPr>
          <w:rFonts w:ascii="Times New Roman" w:hAnsi="Times New Roman" w:cs="Times New Roman"/>
          <w:spacing w:val="-24"/>
          <w:w w:val="105"/>
          <w:sz w:val="23"/>
          <w:szCs w:val="23"/>
        </w:rPr>
        <w:t xml:space="preserve"> </w:t>
      </w:r>
      <w:r>
        <w:rPr>
          <w:rFonts w:ascii="Times New Roman" w:hAnsi="Times New Roman" w:cs="Times New Roman"/>
          <w:w w:val="105"/>
          <w:sz w:val="23"/>
          <w:szCs w:val="23"/>
        </w:rPr>
        <w:t>Fed.</w:t>
      </w:r>
      <w:r>
        <w:rPr>
          <w:rFonts w:ascii="Times New Roman" w:hAnsi="Times New Roman" w:cs="Times New Roman"/>
          <w:spacing w:val="-14"/>
          <w:w w:val="105"/>
          <w:sz w:val="23"/>
          <w:szCs w:val="23"/>
        </w:rPr>
        <w:t xml:space="preserve"> </w:t>
      </w:r>
      <w:r>
        <w:rPr>
          <w:rFonts w:ascii="Times New Roman" w:hAnsi="Times New Roman" w:cs="Times New Roman"/>
          <w:w w:val="105"/>
          <w:sz w:val="23"/>
          <w:szCs w:val="23"/>
        </w:rPr>
        <w:t>Reg.</w:t>
      </w:r>
      <w:r>
        <w:rPr>
          <w:rFonts w:ascii="Times New Roman" w:hAnsi="Times New Roman" w:cs="Times New Roman"/>
          <w:spacing w:val="-16"/>
          <w:w w:val="105"/>
          <w:sz w:val="23"/>
          <w:szCs w:val="23"/>
        </w:rPr>
        <w:t xml:space="preserve"> </w:t>
      </w:r>
      <w:r>
        <w:rPr>
          <w:rFonts w:ascii="Times New Roman" w:hAnsi="Times New Roman" w:cs="Times New Roman"/>
          <w:w w:val="105"/>
          <w:sz w:val="23"/>
          <w:szCs w:val="23"/>
        </w:rPr>
        <w:t>27498 (May 6,</w:t>
      </w:r>
      <w:r>
        <w:rPr>
          <w:rFonts w:ascii="Times New Roman" w:hAnsi="Times New Roman" w:cs="Times New Roman"/>
          <w:spacing w:val="-41"/>
          <w:w w:val="105"/>
          <w:sz w:val="23"/>
          <w:szCs w:val="23"/>
        </w:rPr>
        <w:t xml:space="preserve"> </w:t>
      </w:r>
      <w:r>
        <w:rPr>
          <w:rFonts w:ascii="Times New Roman" w:hAnsi="Times New Roman" w:cs="Times New Roman"/>
          <w:w w:val="105"/>
          <w:sz w:val="23"/>
          <w:szCs w:val="23"/>
        </w:rPr>
        <w:t>2016)</w:t>
      </w:r>
    </w:p>
    <w:p w:rsidR="002C5025" w:rsidRDefault="002C5025">
      <w:pPr>
        <w:pStyle w:val="BodyText"/>
        <w:kinsoku w:val="0"/>
        <w:overflowPunct w:val="0"/>
        <w:spacing w:before="118" w:line="252" w:lineRule="auto"/>
        <w:ind w:left="108" w:right="456"/>
        <w:rPr>
          <w:rFonts w:ascii="Times New Roman" w:hAnsi="Times New Roman" w:cs="Times New Roman"/>
          <w:w w:val="105"/>
          <w:sz w:val="23"/>
          <w:szCs w:val="23"/>
        </w:rPr>
        <w:sectPr w:rsidR="002C5025">
          <w:pgSz w:w="12240" w:h="15840"/>
          <w:pgMar w:top="600" w:right="1480" w:bottom="280" w:left="1260" w:header="720" w:footer="720" w:gutter="0"/>
          <w:cols w:space="720" w:equalWidth="0">
            <w:col w:w="9500"/>
          </w:cols>
          <w:noEndnote/>
        </w:sectPr>
      </w:pPr>
    </w:p>
    <w:p w:rsidR="002C5025" w:rsidRDefault="002C5025">
      <w:pPr>
        <w:pStyle w:val="BodyText"/>
        <w:kinsoku w:val="0"/>
        <w:overflowPunct w:val="0"/>
        <w:spacing w:before="43"/>
        <w:ind w:left="16"/>
        <w:jc w:val="center"/>
        <w:rPr>
          <w:rFonts w:ascii="Times New Roman" w:hAnsi="Times New Roman" w:cs="Times New Roman"/>
          <w:w w:val="106"/>
          <w:sz w:val="23"/>
          <w:szCs w:val="23"/>
        </w:rPr>
      </w:pPr>
      <w:r>
        <w:rPr>
          <w:rFonts w:ascii="Times New Roman" w:hAnsi="Times New Roman" w:cs="Times New Roman"/>
          <w:w w:val="106"/>
          <w:sz w:val="23"/>
          <w:szCs w:val="23"/>
        </w:rPr>
        <w:lastRenderedPageBreak/>
        <w:t>3</w:t>
      </w: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spacing w:before="195" w:line="252" w:lineRule="auto"/>
        <w:ind w:left="115" w:right="172" w:firstLine="7"/>
        <w:rPr>
          <w:rFonts w:ascii="Times New Roman" w:hAnsi="Times New Roman" w:cs="Times New Roman"/>
          <w:spacing w:val="-6"/>
          <w:sz w:val="23"/>
          <w:szCs w:val="23"/>
        </w:rPr>
      </w:pPr>
      <w:r>
        <w:rPr>
          <w:rFonts w:ascii="Times New Roman" w:hAnsi="Times New Roman" w:cs="Times New Roman"/>
          <w:sz w:val="23"/>
          <w:szCs w:val="23"/>
        </w:rPr>
        <w:t>Several of the proposed uses of Delivery System Reform Incentive Program (DSRIP) funds will greatly enhance  access for members with disabilities. Under the heading  of Support   Development  of Statewide Infrastructure,  the Extension  Request  envisions  use of funds to</w:t>
      </w:r>
      <w:r>
        <w:rPr>
          <w:rFonts w:ascii="Times New Roman" w:hAnsi="Times New Roman" w:cs="Times New Roman"/>
          <w:spacing w:val="43"/>
          <w:sz w:val="23"/>
          <w:szCs w:val="23"/>
        </w:rPr>
        <w:t xml:space="preserve"> </w:t>
      </w:r>
      <w:r>
        <w:rPr>
          <w:rFonts w:ascii="Times New Roman" w:hAnsi="Times New Roman" w:cs="Times New Roman"/>
          <w:spacing w:val="-6"/>
          <w:sz w:val="23"/>
          <w:szCs w:val="23"/>
        </w:rPr>
        <w:t>"scale</w:t>
      </w:r>
    </w:p>
    <w:p w:rsidR="002C5025" w:rsidRDefault="002C5025">
      <w:pPr>
        <w:pStyle w:val="BodyText"/>
        <w:kinsoku w:val="0"/>
        <w:overflowPunct w:val="0"/>
        <w:spacing w:line="247" w:lineRule="auto"/>
        <w:ind w:left="115" w:right="327" w:hanging="8"/>
        <w:rPr>
          <w:rFonts w:ascii="Times New Roman" w:hAnsi="Times New Roman" w:cs="Times New Roman"/>
          <w:sz w:val="23"/>
          <w:szCs w:val="23"/>
        </w:rPr>
      </w:pPr>
      <w:r>
        <w:rPr>
          <w:rFonts w:ascii="Times New Roman" w:hAnsi="Times New Roman" w:cs="Times New Roman"/>
          <w:sz w:val="23"/>
          <w:szCs w:val="23"/>
        </w:rPr>
        <w:t xml:space="preserve">up statewide infrastructure and workforce capacity." Pg. 38. This includes support for the </w:t>
      </w:r>
      <w:r>
        <w:rPr>
          <w:rFonts w:ascii="Times New Roman" w:hAnsi="Times New Roman" w:cs="Times New Roman"/>
          <w:spacing w:val="-10"/>
          <w:sz w:val="23"/>
          <w:szCs w:val="23"/>
        </w:rPr>
        <w:t xml:space="preserve">"use </w:t>
      </w:r>
      <w:r>
        <w:rPr>
          <w:rFonts w:ascii="Times New Roman" w:hAnsi="Times New Roman" w:cs="Times New Roman"/>
          <w:sz w:val="23"/>
          <w:szCs w:val="23"/>
        </w:rPr>
        <w:t xml:space="preserve">of comprehensive  care assessments  in care plans for members with disabilities. Pg. 41.  DSRIP   funds will also be available to support improved  accommodations  for people  with </w:t>
      </w:r>
      <w:r>
        <w:rPr>
          <w:rFonts w:ascii="Times New Roman" w:hAnsi="Times New Roman" w:cs="Times New Roman"/>
          <w:spacing w:val="35"/>
          <w:sz w:val="23"/>
          <w:szCs w:val="23"/>
        </w:rPr>
        <w:t xml:space="preserve"> </w:t>
      </w:r>
      <w:r>
        <w:rPr>
          <w:rFonts w:ascii="Times New Roman" w:hAnsi="Times New Roman" w:cs="Times New Roman"/>
          <w:sz w:val="23"/>
          <w:szCs w:val="23"/>
        </w:rPr>
        <w:t>disabilities:</w:t>
      </w:r>
    </w:p>
    <w:p w:rsidR="002C5025" w:rsidRDefault="002C5025">
      <w:pPr>
        <w:pStyle w:val="BodyText"/>
        <w:kinsoku w:val="0"/>
        <w:overflowPunct w:val="0"/>
        <w:spacing w:before="124" w:line="249" w:lineRule="auto"/>
        <w:ind w:left="108" w:right="179" w:firstLine="7"/>
        <w:rPr>
          <w:rFonts w:ascii="Times New Roman" w:hAnsi="Times New Roman" w:cs="Times New Roman"/>
          <w:w w:val="105"/>
          <w:sz w:val="23"/>
          <w:szCs w:val="23"/>
        </w:rPr>
      </w:pPr>
      <w:r>
        <w:rPr>
          <w:rFonts w:ascii="Times New Roman" w:hAnsi="Times New Roman" w:cs="Times New Roman"/>
          <w:w w:val="105"/>
          <w:sz w:val="23"/>
          <w:szCs w:val="23"/>
        </w:rPr>
        <w:t>MassHealth has hundreds of thousands of members with disabilities who need reasonable accommodations to receive the medical services they need. Massachusetts providers strive to meet such needs, but some providers lack the resources to further enhance accommodations. Examples</w:t>
      </w:r>
      <w:r>
        <w:rPr>
          <w:rFonts w:ascii="Times New Roman" w:hAnsi="Times New Roman" w:cs="Times New Roman"/>
          <w:spacing w:val="-11"/>
          <w:w w:val="105"/>
          <w:sz w:val="23"/>
          <w:szCs w:val="23"/>
        </w:rPr>
        <w:t xml:space="preserve"> </w:t>
      </w:r>
      <w:r>
        <w:rPr>
          <w:rFonts w:ascii="Times New Roman" w:hAnsi="Times New Roman" w:cs="Times New Roman"/>
          <w:w w:val="105"/>
          <w:sz w:val="23"/>
          <w:szCs w:val="23"/>
        </w:rPr>
        <w:t>include</w:t>
      </w:r>
      <w:r>
        <w:rPr>
          <w:rFonts w:ascii="Times New Roman" w:hAnsi="Times New Roman" w:cs="Times New Roman"/>
          <w:spacing w:val="-20"/>
          <w:w w:val="105"/>
          <w:sz w:val="23"/>
          <w:szCs w:val="23"/>
        </w:rPr>
        <w:t xml:space="preserve"> </w:t>
      </w:r>
      <w:r>
        <w:rPr>
          <w:rFonts w:ascii="Times New Roman" w:hAnsi="Times New Roman" w:cs="Times New Roman"/>
          <w:w w:val="105"/>
          <w:sz w:val="23"/>
          <w:szCs w:val="23"/>
        </w:rPr>
        <w:t>physical</w:t>
      </w:r>
      <w:r>
        <w:rPr>
          <w:rFonts w:ascii="Times New Roman" w:hAnsi="Times New Roman" w:cs="Times New Roman"/>
          <w:spacing w:val="-4"/>
          <w:w w:val="105"/>
          <w:sz w:val="23"/>
          <w:szCs w:val="23"/>
        </w:rPr>
        <w:t xml:space="preserve"> </w:t>
      </w:r>
      <w:r>
        <w:rPr>
          <w:rFonts w:ascii="Times New Roman" w:hAnsi="Times New Roman" w:cs="Times New Roman"/>
          <w:w w:val="105"/>
          <w:sz w:val="23"/>
          <w:szCs w:val="23"/>
        </w:rPr>
        <w:t>site</w:t>
      </w:r>
      <w:r>
        <w:rPr>
          <w:rFonts w:ascii="Times New Roman" w:hAnsi="Times New Roman" w:cs="Times New Roman"/>
          <w:spacing w:val="-23"/>
          <w:w w:val="105"/>
          <w:sz w:val="23"/>
          <w:szCs w:val="23"/>
        </w:rPr>
        <w:t xml:space="preserve"> </w:t>
      </w:r>
      <w:r>
        <w:rPr>
          <w:rFonts w:ascii="Times New Roman" w:hAnsi="Times New Roman" w:cs="Times New Roman"/>
          <w:w w:val="105"/>
          <w:sz w:val="23"/>
          <w:szCs w:val="23"/>
        </w:rPr>
        <w:t>access,</w:t>
      </w:r>
      <w:r>
        <w:rPr>
          <w:rFonts w:ascii="Times New Roman" w:hAnsi="Times New Roman" w:cs="Times New Roman"/>
          <w:spacing w:val="-20"/>
          <w:w w:val="105"/>
          <w:sz w:val="23"/>
          <w:szCs w:val="23"/>
        </w:rPr>
        <w:t xml:space="preserve"> </w:t>
      </w:r>
      <w:r>
        <w:rPr>
          <w:rFonts w:ascii="Times New Roman" w:hAnsi="Times New Roman" w:cs="Times New Roman"/>
          <w:w w:val="105"/>
          <w:sz w:val="23"/>
          <w:szCs w:val="23"/>
        </w:rPr>
        <w:t>medical</w:t>
      </w:r>
      <w:r>
        <w:rPr>
          <w:rFonts w:ascii="Times New Roman" w:hAnsi="Times New Roman" w:cs="Times New Roman"/>
          <w:spacing w:val="-11"/>
          <w:w w:val="105"/>
          <w:sz w:val="23"/>
          <w:szCs w:val="23"/>
        </w:rPr>
        <w:t xml:space="preserve"> </w:t>
      </w:r>
      <w:r>
        <w:rPr>
          <w:rFonts w:ascii="Times New Roman" w:hAnsi="Times New Roman" w:cs="Times New Roman"/>
          <w:w w:val="105"/>
          <w:sz w:val="23"/>
          <w:szCs w:val="23"/>
        </w:rPr>
        <w:t>equipment</w:t>
      </w:r>
      <w:r>
        <w:rPr>
          <w:rFonts w:ascii="Times New Roman" w:hAnsi="Times New Roman" w:cs="Times New Roman"/>
          <w:spacing w:val="-16"/>
          <w:w w:val="105"/>
          <w:sz w:val="23"/>
          <w:szCs w:val="23"/>
        </w:rPr>
        <w:t xml:space="preserve"> </w:t>
      </w:r>
      <w:r>
        <w:rPr>
          <w:rFonts w:ascii="Times New Roman" w:hAnsi="Times New Roman" w:cs="Times New Roman"/>
          <w:w w:val="105"/>
          <w:sz w:val="23"/>
          <w:szCs w:val="23"/>
        </w:rPr>
        <w:t>access,</w:t>
      </w:r>
      <w:r>
        <w:rPr>
          <w:rFonts w:ascii="Times New Roman" w:hAnsi="Times New Roman" w:cs="Times New Roman"/>
          <w:spacing w:val="-17"/>
          <w:w w:val="105"/>
          <w:sz w:val="23"/>
          <w:szCs w:val="23"/>
        </w:rPr>
        <w:t xml:space="preserve"> </w:t>
      </w:r>
      <w:r>
        <w:rPr>
          <w:rFonts w:ascii="Times New Roman" w:hAnsi="Times New Roman" w:cs="Times New Roman"/>
          <w:w w:val="105"/>
          <w:sz w:val="23"/>
          <w:szCs w:val="23"/>
        </w:rPr>
        <w:t>communication</w:t>
      </w:r>
      <w:r>
        <w:rPr>
          <w:rFonts w:ascii="Times New Roman" w:hAnsi="Times New Roman" w:cs="Times New Roman"/>
          <w:spacing w:val="-9"/>
          <w:w w:val="105"/>
          <w:sz w:val="23"/>
          <w:szCs w:val="23"/>
        </w:rPr>
        <w:t xml:space="preserve"> </w:t>
      </w:r>
      <w:r>
        <w:rPr>
          <w:rFonts w:ascii="Times New Roman" w:hAnsi="Times New Roman" w:cs="Times New Roman"/>
          <w:w w:val="105"/>
          <w:sz w:val="23"/>
          <w:szCs w:val="23"/>
        </w:rPr>
        <w:t>access</w:t>
      </w:r>
      <w:r>
        <w:rPr>
          <w:rFonts w:ascii="Times New Roman" w:hAnsi="Times New Roman" w:cs="Times New Roman"/>
          <w:spacing w:val="-18"/>
          <w:w w:val="105"/>
          <w:sz w:val="23"/>
          <w:szCs w:val="23"/>
        </w:rPr>
        <w:t xml:space="preserve"> </w:t>
      </w:r>
      <w:r>
        <w:rPr>
          <w:rFonts w:ascii="Times New Roman" w:hAnsi="Times New Roman" w:cs="Times New Roman"/>
          <w:w w:val="105"/>
          <w:sz w:val="23"/>
          <w:szCs w:val="23"/>
        </w:rPr>
        <w:t>as</w:t>
      </w:r>
      <w:r>
        <w:rPr>
          <w:rFonts w:ascii="Times New Roman" w:hAnsi="Times New Roman" w:cs="Times New Roman"/>
          <w:spacing w:val="-20"/>
          <w:w w:val="105"/>
          <w:sz w:val="23"/>
          <w:szCs w:val="23"/>
        </w:rPr>
        <w:t xml:space="preserve"> </w:t>
      </w:r>
      <w:r>
        <w:rPr>
          <w:rFonts w:ascii="Times New Roman" w:hAnsi="Times New Roman" w:cs="Times New Roman"/>
          <w:w w:val="105"/>
          <w:sz w:val="23"/>
          <w:szCs w:val="23"/>
        </w:rPr>
        <w:t>well as</w:t>
      </w:r>
      <w:r>
        <w:rPr>
          <w:rFonts w:ascii="Times New Roman" w:hAnsi="Times New Roman" w:cs="Times New Roman"/>
          <w:spacing w:val="-27"/>
          <w:w w:val="105"/>
          <w:sz w:val="23"/>
          <w:szCs w:val="23"/>
        </w:rPr>
        <w:t xml:space="preserve"> </w:t>
      </w:r>
      <w:r>
        <w:rPr>
          <w:rFonts w:ascii="Times New Roman" w:hAnsi="Times New Roman" w:cs="Times New Roman"/>
          <w:w w:val="105"/>
          <w:sz w:val="23"/>
          <w:szCs w:val="23"/>
        </w:rPr>
        <w:t>programmatic</w:t>
      </w:r>
      <w:r>
        <w:rPr>
          <w:rFonts w:ascii="Times New Roman" w:hAnsi="Times New Roman" w:cs="Times New Roman"/>
          <w:spacing w:val="2"/>
          <w:w w:val="105"/>
          <w:sz w:val="23"/>
          <w:szCs w:val="23"/>
        </w:rPr>
        <w:t xml:space="preserve"> </w:t>
      </w:r>
      <w:r>
        <w:rPr>
          <w:rFonts w:ascii="Times New Roman" w:hAnsi="Times New Roman" w:cs="Times New Roman"/>
          <w:w w:val="105"/>
          <w:sz w:val="23"/>
          <w:szCs w:val="23"/>
        </w:rPr>
        <w:t>access</w:t>
      </w:r>
      <w:r>
        <w:rPr>
          <w:rFonts w:ascii="Times New Roman" w:hAnsi="Times New Roman" w:cs="Times New Roman"/>
          <w:spacing w:val="-22"/>
          <w:w w:val="105"/>
          <w:sz w:val="23"/>
          <w:szCs w:val="23"/>
        </w:rPr>
        <w:t xml:space="preserve"> </w:t>
      </w:r>
      <w:r>
        <w:rPr>
          <w:rFonts w:ascii="Times New Roman" w:hAnsi="Times New Roman" w:cs="Times New Roman"/>
          <w:w w:val="105"/>
          <w:sz w:val="23"/>
          <w:szCs w:val="23"/>
        </w:rPr>
        <w:t>to</w:t>
      </w:r>
      <w:r>
        <w:rPr>
          <w:rFonts w:ascii="Times New Roman" w:hAnsi="Times New Roman" w:cs="Times New Roman"/>
          <w:spacing w:val="-18"/>
          <w:w w:val="105"/>
          <w:sz w:val="23"/>
          <w:szCs w:val="23"/>
        </w:rPr>
        <w:t xml:space="preserve"> </w:t>
      </w:r>
      <w:r>
        <w:rPr>
          <w:rFonts w:ascii="Times New Roman" w:hAnsi="Times New Roman" w:cs="Times New Roman"/>
          <w:w w:val="105"/>
          <w:sz w:val="23"/>
          <w:szCs w:val="23"/>
        </w:rPr>
        <w:t>accommodate</w:t>
      </w:r>
      <w:r>
        <w:rPr>
          <w:rFonts w:ascii="Times New Roman" w:hAnsi="Times New Roman" w:cs="Times New Roman"/>
          <w:spacing w:val="-11"/>
          <w:w w:val="105"/>
          <w:sz w:val="23"/>
          <w:szCs w:val="23"/>
        </w:rPr>
        <w:t xml:space="preserve"> </w:t>
      </w:r>
      <w:r>
        <w:rPr>
          <w:rFonts w:ascii="Times New Roman" w:hAnsi="Times New Roman" w:cs="Times New Roman"/>
          <w:w w:val="105"/>
          <w:sz w:val="23"/>
          <w:szCs w:val="23"/>
        </w:rPr>
        <w:t>physical,</w:t>
      </w:r>
      <w:r>
        <w:rPr>
          <w:rFonts w:ascii="Times New Roman" w:hAnsi="Times New Roman" w:cs="Times New Roman"/>
          <w:spacing w:val="-11"/>
          <w:w w:val="105"/>
          <w:sz w:val="23"/>
          <w:szCs w:val="23"/>
        </w:rPr>
        <w:t xml:space="preserve"> </w:t>
      </w:r>
      <w:r>
        <w:rPr>
          <w:rFonts w:ascii="Times New Roman" w:hAnsi="Times New Roman" w:cs="Times New Roman"/>
          <w:w w:val="105"/>
          <w:sz w:val="23"/>
          <w:szCs w:val="23"/>
        </w:rPr>
        <w:t>cognitive,</w:t>
      </w:r>
      <w:r>
        <w:rPr>
          <w:rFonts w:ascii="Times New Roman" w:hAnsi="Times New Roman" w:cs="Times New Roman"/>
          <w:spacing w:val="-7"/>
          <w:w w:val="105"/>
          <w:sz w:val="23"/>
          <w:szCs w:val="23"/>
        </w:rPr>
        <w:t xml:space="preserve"> </w:t>
      </w:r>
      <w:r>
        <w:rPr>
          <w:rFonts w:ascii="Times New Roman" w:hAnsi="Times New Roman" w:cs="Times New Roman"/>
          <w:w w:val="105"/>
          <w:sz w:val="23"/>
          <w:szCs w:val="23"/>
        </w:rPr>
        <w:t>intellectual,</w:t>
      </w:r>
      <w:r>
        <w:rPr>
          <w:rFonts w:ascii="Times New Roman" w:hAnsi="Times New Roman" w:cs="Times New Roman"/>
          <w:spacing w:val="-13"/>
          <w:w w:val="105"/>
          <w:sz w:val="23"/>
          <w:szCs w:val="23"/>
        </w:rPr>
        <w:t xml:space="preserve"> </w:t>
      </w:r>
      <w:r>
        <w:rPr>
          <w:rFonts w:ascii="Times New Roman" w:hAnsi="Times New Roman" w:cs="Times New Roman"/>
          <w:w w:val="105"/>
          <w:sz w:val="23"/>
          <w:szCs w:val="23"/>
        </w:rPr>
        <w:t>mobility,</w:t>
      </w:r>
      <w:r>
        <w:rPr>
          <w:rFonts w:ascii="Times New Roman" w:hAnsi="Times New Roman" w:cs="Times New Roman"/>
          <w:spacing w:val="-15"/>
          <w:w w:val="105"/>
          <w:sz w:val="23"/>
          <w:szCs w:val="23"/>
        </w:rPr>
        <w:t xml:space="preserve"> </w:t>
      </w:r>
      <w:r>
        <w:rPr>
          <w:rFonts w:ascii="Times New Roman" w:hAnsi="Times New Roman" w:cs="Times New Roman"/>
          <w:w w:val="105"/>
          <w:sz w:val="23"/>
          <w:szCs w:val="23"/>
        </w:rPr>
        <w:t>psychiatric, and/or sensory disabilities. As Massachusetts plans to encourage members to work with their ACOs and PCPs, it is looking to ensure that all members have equal access. To promote this goal,</w:t>
      </w:r>
      <w:r>
        <w:rPr>
          <w:rFonts w:ascii="Times New Roman" w:hAnsi="Times New Roman" w:cs="Times New Roman"/>
          <w:spacing w:val="-14"/>
          <w:w w:val="105"/>
          <w:sz w:val="23"/>
          <w:szCs w:val="23"/>
        </w:rPr>
        <w:t xml:space="preserve"> </w:t>
      </w:r>
      <w:r>
        <w:rPr>
          <w:rFonts w:ascii="Times New Roman" w:hAnsi="Times New Roman" w:cs="Times New Roman"/>
          <w:w w:val="105"/>
          <w:sz w:val="23"/>
          <w:szCs w:val="23"/>
        </w:rPr>
        <w:t>MassHealth</w:t>
      </w:r>
      <w:r>
        <w:rPr>
          <w:rFonts w:ascii="Times New Roman" w:hAnsi="Times New Roman" w:cs="Times New Roman"/>
          <w:spacing w:val="-5"/>
          <w:w w:val="105"/>
          <w:sz w:val="23"/>
          <w:szCs w:val="23"/>
        </w:rPr>
        <w:t xml:space="preserve"> </w:t>
      </w:r>
      <w:r>
        <w:rPr>
          <w:rFonts w:ascii="Times New Roman" w:hAnsi="Times New Roman" w:cs="Times New Roman"/>
          <w:w w:val="105"/>
          <w:sz w:val="23"/>
          <w:szCs w:val="23"/>
        </w:rPr>
        <w:t>requests</w:t>
      </w:r>
      <w:r>
        <w:rPr>
          <w:rFonts w:ascii="Times New Roman" w:hAnsi="Times New Roman" w:cs="Times New Roman"/>
          <w:spacing w:val="-6"/>
          <w:w w:val="105"/>
          <w:sz w:val="23"/>
          <w:szCs w:val="23"/>
        </w:rPr>
        <w:t xml:space="preserve"> </w:t>
      </w:r>
      <w:r>
        <w:rPr>
          <w:rFonts w:ascii="Times New Roman" w:hAnsi="Times New Roman" w:cs="Times New Roman"/>
          <w:w w:val="105"/>
          <w:sz w:val="23"/>
          <w:szCs w:val="23"/>
        </w:rPr>
        <w:t>authorization</w:t>
      </w:r>
      <w:r>
        <w:rPr>
          <w:rFonts w:ascii="Times New Roman" w:hAnsi="Times New Roman" w:cs="Times New Roman"/>
          <w:spacing w:val="-10"/>
          <w:w w:val="105"/>
          <w:sz w:val="23"/>
          <w:szCs w:val="23"/>
        </w:rPr>
        <w:t xml:space="preserve"> </w:t>
      </w:r>
      <w:r>
        <w:rPr>
          <w:rFonts w:ascii="Times New Roman" w:hAnsi="Times New Roman" w:cs="Times New Roman"/>
          <w:w w:val="105"/>
          <w:sz w:val="23"/>
          <w:szCs w:val="23"/>
        </w:rPr>
        <w:t>to</w:t>
      </w:r>
      <w:r>
        <w:rPr>
          <w:rFonts w:ascii="Times New Roman" w:hAnsi="Times New Roman" w:cs="Times New Roman"/>
          <w:spacing w:val="-19"/>
          <w:w w:val="105"/>
          <w:sz w:val="23"/>
          <w:szCs w:val="23"/>
        </w:rPr>
        <w:t xml:space="preserve"> </w:t>
      </w:r>
      <w:r>
        <w:rPr>
          <w:rFonts w:ascii="Times New Roman" w:hAnsi="Times New Roman" w:cs="Times New Roman"/>
          <w:w w:val="105"/>
          <w:sz w:val="23"/>
          <w:szCs w:val="23"/>
        </w:rPr>
        <w:t>use</w:t>
      </w:r>
      <w:r>
        <w:rPr>
          <w:rFonts w:ascii="Times New Roman" w:hAnsi="Times New Roman" w:cs="Times New Roman"/>
          <w:spacing w:val="-14"/>
          <w:w w:val="105"/>
          <w:sz w:val="23"/>
          <w:szCs w:val="23"/>
        </w:rPr>
        <w:t xml:space="preserve"> </w:t>
      </w:r>
      <w:r>
        <w:rPr>
          <w:rFonts w:ascii="Times New Roman" w:hAnsi="Times New Roman" w:cs="Times New Roman"/>
          <w:w w:val="105"/>
          <w:sz w:val="23"/>
          <w:szCs w:val="23"/>
        </w:rPr>
        <w:t>DSRIP</w:t>
      </w:r>
      <w:r>
        <w:rPr>
          <w:rFonts w:ascii="Times New Roman" w:hAnsi="Times New Roman" w:cs="Times New Roman"/>
          <w:spacing w:val="-5"/>
          <w:w w:val="105"/>
          <w:sz w:val="23"/>
          <w:szCs w:val="23"/>
        </w:rPr>
        <w:t xml:space="preserve"> </w:t>
      </w:r>
      <w:r>
        <w:rPr>
          <w:rFonts w:ascii="Times New Roman" w:hAnsi="Times New Roman" w:cs="Times New Roman"/>
          <w:w w:val="105"/>
          <w:sz w:val="23"/>
          <w:szCs w:val="23"/>
        </w:rPr>
        <w:t>funding</w:t>
      </w:r>
      <w:r>
        <w:rPr>
          <w:rFonts w:ascii="Times New Roman" w:hAnsi="Times New Roman" w:cs="Times New Roman"/>
          <w:spacing w:val="-20"/>
          <w:w w:val="105"/>
          <w:sz w:val="23"/>
          <w:szCs w:val="23"/>
        </w:rPr>
        <w:t xml:space="preserve"> </w:t>
      </w:r>
      <w:r>
        <w:rPr>
          <w:rFonts w:ascii="Times New Roman" w:hAnsi="Times New Roman" w:cs="Times New Roman"/>
          <w:w w:val="105"/>
          <w:sz w:val="23"/>
          <w:szCs w:val="23"/>
        </w:rPr>
        <w:t>to</w:t>
      </w:r>
      <w:r>
        <w:rPr>
          <w:rFonts w:ascii="Times New Roman" w:hAnsi="Times New Roman" w:cs="Times New Roman"/>
          <w:spacing w:val="-14"/>
          <w:w w:val="105"/>
          <w:sz w:val="23"/>
          <w:szCs w:val="23"/>
        </w:rPr>
        <w:t xml:space="preserve"> </w:t>
      </w:r>
      <w:r>
        <w:rPr>
          <w:rFonts w:ascii="Times New Roman" w:hAnsi="Times New Roman" w:cs="Times New Roman"/>
          <w:w w:val="105"/>
          <w:sz w:val="23"/>
          <w:szCs w:val="23"/>
        </w:rPr>
        <w:t>assist</w:t>
      </w:r>
      <w:r>
        <w:rPr>
          <w:rFonts w:ascii="Times New Roman" w:hAnsi="Times New Roman" w:cs="Times New Roman"/>
          <w:spacing w:val="-17"/>
          <w:w w:val="105"/>
          <w:sz w:val="23"/>
          <w:szCs w:val="23"/>
        </w:rPr>
        <w:t xml:space="preserve"> </w:t>
      </w:r>
      <w:r>
        <w:rPr>
          <w:rFonts w:ascii="Times New Roman" w:hAnsi="Times New Roman" w:cs="Times New Roman"/>
          <w:w w:val="105"/>
          <w:sz w:val="23"/>
          <w:szCs w:val="23"/>
        </w:rPr>
        <w:t>providers</w:t>
      </w:r>
      <w:r>
        <w:rPr>
          <w:rFonts w:ascii="Times New Roman" w:hAnsi="Times New Roman" w:cs="Times New Roman"/>
          <w:spacing w:val="-3"/>
          <w:w w:val="105"/>
          <w:sz w:val="23"/>
          <w:szCs w:val="23"/>
        </w:rPr>
        <w:t xml:space="preserve"> </w:t>
      </w:r>
      <w:r>
        <w:rPr>
          <w:rFonts w:ascii="Times New Roman" w:hAnsi="Times New Roman" w:cs="Times New Roman"/>
          <w:w w:val="105"/>
          <w:sz w:val="23"/>
          <w:szCs w:val="23"/>
        </w:rPr>
        <w:t>in</w:t>
      </w:r>
      <w:r>
        <w:rPr>
          <w:rFonts w:ascii="Times New Roman" w:hAnsi="Times New Roman" w:cs="Times New Roman"/>
          <w:spacing w:val="-21"/>
          <w:w w:val="105"/>
          <w:sz w:val="23"/>
          <w:szCs w:val="23"/>
        </w:rPr>
        <w:t xml:space="preserve"> </w:t>
      </w:r>
      <w:r>
        <w:rPr>
          <w:rFonts w:ascii="Times New Roman" w:hAnsi="Times New Roman" w:cs="Times New Roman"/>
          <w:w w:val="105"/>
          <w:sz w:val="23"/>
          <w:szCs w:val="23"/>
        </w:rPr>
        <w:t>purchasing necessary</w:t>
      </w:r>
      <w:r>
        <w:rPr>
          <w:rFonts w:ascii="Times New Roman" w:hAnsi="Times New Roman" w:cs="Times New Roman"/>
          <w:spacing w:val="-10"/>
          <w:w w:val="105"/>
          <w:sz w:val="23"/>
          <w:szCs w:val="23"/>
        </w:rPr>
        <w:t xml:space="preserve"> </w:t>
      </w:r>
      <w:r>
        <w:rPr>
          <w:rFonts w:ascii="Times New Roman" w:hAnsi="Times New Roman" w:cs="Times New Roman"/>
          <w:w w:val="105"/>
          <w:sz w:val="23"/>
          <w:szCs w:val="23"/>
        </w:rPr>
        <w:t>items</w:t>
      </w:r>
      <w:r>
        <w:rPr>
          <w:rFonts w:ascii="Times New Roman" w:hAnsi="Times New Roman" w:cs="Times New Roman"/>
          <w:spacing w:val="-12"/>
          <w:w w:val="105"/>
          <w:sz w:val="23"/>
          <w:szCs w:val="23"/>
        </w:rPr>
        <w:t xml:space="preserve"> </w:t>
      </w:r>
      <w:r>
        <w:rPr>
          <w:rFonts w:ascii="Times New Roman" w:hAnsi="Times New Roman" w:cs="Times New Roman"/>
          <w:w w:val="105"/>
          <w:sz w:val="23"/>
          <w:szCs w:val="23"/>
        </w:rPr>
        <w:t>or</w:t>
      </w:r>
      <w:r>
        <w:rPr>
          <w:rFonts w:ascii="Times New Roman" w:hAnsi="Times New Roman" w:cs="Times New Roman"/>
          <w:spacing w:val="-24"/>
          <w:w w:val="105"/>
          <w:sz w:val="23"/>
          <w:szCs w:val="23"/>
        </w:rPr>
        <w:t xml:space="preserve"> </w:t>
      </w:r>
      <w:r>
        <w:rPr>
          <w:rFonts w:ascii="Times New Roman" w:hAnsi="Times New Roman" w:cs="Times New Roman"/>
          <w:w w:val="105"/>
          <w:sz w:val="23"/>
          <w:szCs w:val="23"/>
        </w:rPr>
        <w:t>making</w:t>
      </w:r>
      <w:r>
        <w:rPr>
          <w:rFonts w:ascii="Times New Roman" w:hAnsi="Times New Roman" w:cs="Times New Roman"/>
          <w:spacing w:val="-11"/>
          <w:w w:val="105"/>
          <w:sz w:val="23"/>
          <w:szCs w:val="23"/>
        </w:rPr>
        <w:t xml:space="preserve"> </w:t>
      </w:r>
      <w:r>
        <w:rPr>
          <w:rFonts w:ascii="Times New Roman" w:hAnsi="Times New Roman" w:cs="Times New Roman"/>
          <w:w w:val="105"/>
          <w:sz w:val="23"/>
          <w:szCs w:val="23"/>
        </w:rPr>
        <w:t>adjustments</w:t>
      </w:r>
      <w:r>
        <w:rPr>
          <w:rFonts w:ascii="Times New Roman" w:hAnsi="Times New Roman" w:cs="Times New Roman"/>
          <w:spacing w:val="-16"/>
          <w:w w:val="105"/>
          <w:sz w:val="23"/>
          <w:szCs w:val="23"/>
        </w:rPr>
        <w:t xml:space="preserve"> </w:t>
      </w:r>
      <w:r>
        <w:rPr>
          <w:rFonts w:ascii="Times New Roman" w:hAnsi="Times New Roman" w:cs="Times New Roman"/>
          <w:w w:val="105"/>
          <w:sz w:val="23"/>
          <w:szCs w:val="23"/>
        </w:rPr>
        <w:t>to</w:t>
      </w:r>
      <w:r>
        <w:rPr>
          <w:rFonts w:ascii="Times New Roman" w:hAnsi="Times New Roman" w:cs="Times New Roman"/>
          <w:spacing w:val="-17"/>
          <w:w w:val="105"/>
          <w:sz w:val="23"/>
          <w:szCs w:val="23"/>
        </w:rPr>
        <w:t xml:space="preserve"> </w:t>
      </w:r>
      <w:r>
        <w:rPr>
          <w:rFonts w:ascii="Times New Roman" w:hAnsi="Times New Roman" w:cs="Times New Roman"/>
          <w:w w:val="105"/>
          <w:sz w:val="23"/>
          <w:szCs w:val="23"/>
        </w:rPr>
        <w:t>accommodate</w:t>
      </w:r>
      <w:r>
        <w:rPr>
          <w:rFonts w:ascii="Times New Roman" w:hAnsi="Times New Roman" w:cs="Times New Roman"/>
          <w:spacing w:val="-13"/>
          <w:w w:val="105"/>
          <w:sz w:val="23"/>
          <w:szCs w:val="23"/>
        </w:rPr>
        <w:t xml:space="preserve"> </w:t>
      </w:r>
      <w:r>
        <w:rPr>
          <w:rFonts w:ascii="Times New Roman" w:hAnsi="Times New Roman" w:cs="Times New Roman"/>
          <w:w w:val="105"/>
          <w:sz w:val="23"/>
          <w:szCs w:val="23"/>
        </w:rPr>
        <w:t>persons</w:t>
      </w:r>
      <w:r>
        <w:rPr>
          <w:rFonts w:ascii="Times New Roman" w:hAnsi="Times New Roman" w:cs="Times New Roman"/>
          <w:spacing w:val="-11"/>
          <w:w w:val="105"/>
          <w:sz w:val="23"/>
          <w:szCs w:val="23"/>
        </w:rPr>
        <w:t xml:space="preserve"> </w:t>
      </w:r>
      <w:r>
        <w:rPr>
          <w:rFonts w:ascii="Times New Roman" w:hAnsi="Times New Roman" w:cs="Times New Roman"/>
          <w:w w:val="105"/>
          <w:sz w:val="23"/>
          <w:szCs w:val="23"/>
        </w:rPr>
        <w:t>with</w:t>
      </w:r>
      <w:r>
        <w:rPr>
          <w:rFonts w:ascii="Times New Roman" w:hAnsi="Times New Roman" w:cs="Times New Roman"/>
          <w:spacing w:val="-14"/>
          <w:w w:val="105"/>
          <w:sz w:val="23"/>
          <w:szCs w:val="23"/>
        </w:rPr>
        <w:t xml:space="preserve"> </w:t>
      </w:r>
      <w:r>
        <w:rPr>
          <w:rFonts w:ascii="Times New Roman" w:hAnsi="Times New Roman" w:cs="Times New Roman"/>
          <w:w w:val="105"/>
          <w:sz w:val="23"/>
          <w:szCs w:val="23"/>
        </w:rPr>
        <w:t>disabilities.</w:t>
      </w:r>
      <w:r>
        <w:rPr>
          <w:rFonts w:ascii="Times New Roman" w:hAnsi="Times New Roman" w:cs="Times New Roman"/>
          <w:spacing w:val="-11"/>
          <w:w w:val="105"/>
          <w:sz w:val="23"/>
          <w:szCs w:val="23"/>
        </w:rPr>
        <w:t xml:space="preserve"> </w:t>
      </w:r>
      <w:r>
        <w:rPr>
          <w:rFonts w:ascii="Times New Roman" w:hAnsi="Times New Roman" w:cs="Times New Roman"/>
          <w:w w:val="105"/>
          <w:sz w:val="23"/>
          <w:szCs w:val="23"/>
        </w:rPr>
        <w:t>Pg.</w:t>
      </w:r>
      <w:r>
        <w:rPr>
          <w:rFonts w:ascii="Times New Roman" w:hAnsi="Times New Roman" w:cs="Times New Roman"/>
          <w:spacing w:val="-14"/>
          <w:w w:val="105"/>
          <w:sz w:val="23"/>
          <w:szCs w:val="23"/>
        </w:rPr>
        <w:t xml:space="preserve"> </w:t>
      </w:r>
      <w:r>
        <w:rPr>
          <w:rFonts w:ascii="Times New Roman" w:hAnsi="Times New Roman" w:cs="Times New Roman"/>
          <w:w w:val="105"/>
          <w:sz w:val="23"/>
          <w:szCs w:val="23"/>
        </w:rPr>
        <w:t>51</w:t>
      </w:r>
    </w:p>
    <w:p w:rsidR="002C5025" w:rsidRDefault="002C5025">
      <w:pPr>
        <w:pStyle w:val="BodyText"/>
        <w:kinsoku w:val="0"/>
        <w:overflowPunct w:val="0"/>
        <w:spacing w:before="128" w:line="252" w:lineRule="auto"/>
        <w:ind w:left="108" w:right="327"/>
        <w:rPr>
          <w:rFonts w:ascii="Times New Roman" w:hAnsi="Times New Roman" w:cs="Times New Roman"/>
          <w:sz w:val="23"/>
          <w:szCs w:val="23"/>
        </w:rPr>
      </w:pPr>
      <w:r>
        <w:rPr>
          <w:rFonts w:ascii="Times New Roman" w:hAnsi="Times New Roman" w:cs="Times New Roman"/>
          <w:sz w:val="23"/>
          <w:szCs w:val="23"/>
        </w:rPr>
        <w:t>Full implementation of the plan envisioned by the Extension Request will encourage and require related reforms. Screening procedures for identifying patients with disabilities and assessing their needs for accommodations will be incorporated into routine practice. Electronic Health Records (EHR) will be adapted to incorporate  comprehensive  health needs  assessments, notify providers  of the accommodation needs of patients with  disabilities, track whether  accommodations  have been provided  and provide  a base of information  for quality assessment.   Requirements specifying the type and quantity of accessible medical needed for proper care in all health care settings will be developed. Training programs  for providing patient-centered  care for patients   with disabilities will be expanded.   In many  instances installation  of accessible medical  equipment will trigger the removal  of architectural barriers and changes in policies and   procedures. Taken together the explicit references to meeting the needs of members with  disabilities, the commitment to enhanced managed care networks, the use of comprehensive assessments and the allocation of DSRIP for tangible access improvements will provide a firm foundation for realizing the promise of equal access to high quality care for all MassHealth members.</w:t>
      </w:r>
    </w:p>
    <w:p w:rsidR="002C5025" w:rsidRDefault="002C5025">
      <w:pPr>
        <w:pStyle w:val="BodyText"/>
        <w:kinsoku w:val="0"/>
        <w:overflowPunct w:val="0"/>
        <w:spacing w:before="111" w:line="249" w:lineRule="auto"/>
        <w:ind w:left="108" w:right="327"/>
        <w:rPr>
          <w:rFonts w:ascii="Times New Roman" w:hAnsi="Times New Roman" w:cs="Times New Roman"/>
          <w:sz w:val="23"/>
          <w:szCs w:val="23"/>
        </w:rPr>
      </w:pPr>
      <w:r>
        <w:rPr>
          <w:rFonts w:ascii="Times New Roman" w:hAnsi="Times New Roman" w:cs="Times New Roman"/>
          <w:sz w:val="23"/>
          <w:szCs w:val="23"/>
        </w:rPr>
        <w:t>As has often been noted by advocates, we are in the 26th year of the Americans with Disabilities Act. The time is now for healthcare to be provided in a manner that is fully accessible to people with disabilities, and the steps that are discussed in the waiver application represent major movement in this direction. We look forward to continued collaborative effort to achieve this fundamental goal.</w:t>
      </w:r>
    </w:p>
    <w:p w:rsidR="002C5025" w:rsidRDefault="002C5025">
      <w:pPr>
        <w:pStyle w:val="BodyText"/>
        <w:kinsoku w:val="0"/>
        <w:overflowPunct w:val="0"/>
        <w:spacing w:before="121"/>
        <w:ind w:left="828" w:right="814"/>
        <w:rPr>
          <w:rFonts w:ascii="Times New Roman" w:hAnsi="Times New Roman" w:cs="Times New Roman"/>
          <w:sz w:val="23"/>
          <w:szCs w:val="23"/>
        </w:rPr>
      </w:pPr>
      <w:r>
        <w:rPr>
          <w:rFonts w:ascii="Times New Roman" w:hAnsi="Times New Roman" w:cs="Times New Roman"/>
          <w:sz w:val="23"/>
          <w:szCs w:val="23"/>
        </w:rPr>
        <w:t>Sincerely,</w:t>
      </w:r>
    </w:p>
    <w:p w:rsidR="002C5025" w:rsidRDefault="002C5025">
      <w:pPr>
        <w:pStyle w:val="BodyText"/>
        <w:kinsoku w:val="0"/>
        <w:overflowPunct w:val="0"/>
        <w:spacing w:before="2"/>
        <w:rPr>
          <w:rFonts w:ascii="Times New Roman" w:hAnsi="Times New Roman" w:cs="Times New Roman"/>
          <w:sz w:val="13"/>
          <w:szCs w:val="13"/>
        </w:rPr>
      </w:pPr>
    </w:p>
    <w:p w:rsidR="002C5025" w:rsidRDefault="002C5025">
      <w:pPr>
        <w:pStyle w:val="BodyText"/>
        <w:kinsoku w:val="0"/>
        <w:overflowPunct w:val="0"/>
        <w:spacing w:before="47"/>
        <w:ind w:left="1965" w:right="814"/>
        <w:rPr>
          <w:rFonts w:ascii="Times New Roman" w:hAnsi="Times New Roman" w:cs="Times New Roman"/>
          <w:w w:val="108"/>
          <w:sz w:val="19"/>
          <w:szCs w:val="19"/>
        </w:rPr>
      </w:pPr>
      <w:r>
        <w:rPr>
          <w:rFonts w:ascii="Arial" w:hAnsi="Arial" w:cs="Arial"/>
          <w:i/>
          <w:iCs/>
          <w:w w:val="105"/>
          <w:sz w:val="41"/>
          <w:szCs w:val="41"/>
        </w:rPr>
        <w:t>;!'(L.</w:t>
      </w:r>
      <w:r>
        <w:rPr>
          <w:rFonts w:ascii="Arial" w:hAnsi="Arial" w:cs="Arial"/>
          <w:i/>
          <w:iCs/>
          <w:spacing w:val="-52"/>
          <w:sz w:val="41"/>
          <w:szCs w:val="41"/>
        </w:rPr>
        <w:t xml:space="preserve"> </w:t>
      </w:r>
      <w:proofErr w:type="spellStart"/>
      <w:r>
        <w:rPr>
          <w:rFonts w:ascii="Times New Roman" w:hAnsi="Times New Roman" w:cs="Times New Roman"/>
          <w:b/>
          <w:bCs/>
          <w:i/>
          <w:iCs/>
          <w:w w:val="143"/>
          <w:sz w:val="32"/>
          <w:szCs w:val="32"/>
        </w:rPr>
        <w:t>Q</w:t>
      </w:r>
      <w:r>
        <w:rPr>
          <w:rFonts w:ascii="Times New Roman" w:hAnsi="Times New Roman" w:cs="Times New Roman"/>
          <w:b/>
          <w:bCs/>
          <w:i/>
          <w:iCs/>
          <w:spacing w:val="-29"/>
          <w:w w:val="144"/>
          <w:sz w:val="32"/>
          <w:szCs w:val="32"/>
        </w:rPr>
        <w:t>x</w:t>
      </w:r>
      <w:proofErr w:type="spellEnd"/>
      <w:r>
        <w:rPr>
          <w:rFonts w:ascii="Times New Roman" w:hAnsi="Times New Roman" w:cs="Times New Roman"/>
          <w:b/>
          <w:bCs/>
          <w:i/>
          <w:iCs/>
          <w:spacing w:val="-155"/>
          <w:w w:val="144"/>
          <w:sz w:val="32"/>
          <w:szCs w:val="32"/>
        </w:rPr>
        <w:t>;</w:t>
      </w:r>
      <w:r>
        <w:rPr>
          <w:rFonts w:ascii="Times New Roman" w:hAnsi="Times New Roman" w:cs="Times New Roman"/>
          <w:b/>
          <w:bCs/>
          <w:i/>
          <w:iCs/>
          <w:spacing w:val="-36"/>
          <w:w w:val="54"/>
          <w:sz w:val="32"/>
          <w:szCs w:val="32"/>
        </w:rPr>
        <w:t>_</w:t>
      </w:r>
      <w:r>
        <w:rPr>
          <w:rFonts w:ascii="Times New Roman" w:hAnsi="Times New Roman" w:cs="Times New Roman"/>
          <w:b/>
          <w:bCs/>
          <w:i/>
          <w:iCs/>
          <w:w w:val="111"/>
          <w:sz w:val="32"/>
          <w:szCs w:val="32"/>
        </w:rPr>
        <w:t>L.t-,</w:t>
      </w:r>
      <w:r>
        <w:rPr>
          <w:rFonts w:ascii="Times New Roman" w:hAnsi="Times New Roman" w:cs="Times New Roman"/>
          <w:b/>
          <w:bCs/>
          <w:i/>
          <w:iCs/>
          <w:sz w:val="32"/>
          <w:szCs w:val="32"/>
        </w:rPr>
        <w:t xml:space="preserve"> </w:t>
      </w:r>
      <w:r>
        <w:rPr>
          <w:rFonts w:ascii="Times New Roman" w:hAnsi="Times New Roman" w:cs="Times New Roman"/>
          <w:b/>
          <w:bCs/>
          <w:i/>
          <w:iCs/>
          <w:spacing w:val="-28"/>
          <w:sz w:val="32"/>
          <w:szCs w:val="32"/>
        </w:rPr>
        <w:t xml:space="preserve"> </w:t>
      </w:r>
      <w:r>
        <w:rPr>
          <w:rFonts w:ascii="Times New Roman" w:hAnsi="Times New Roman" w:cs="Times New Roman"/>
          <w:spacing w:val="-22"/>
          <w:w w:val="188"/>
          <w:sz w:val="19"/>
          <w:szCs w:val="19"/>
        </w:rPr>
        <w:t>'</w:t>
      </w:r>
      <w:r>
        <w:rPr>
          <w:rFonts w:ascii="Times New Roman" w:hAnsi="Times New Roman" w:cs="Times New Roman"/>
          <w:spacing w:val="-37"/>
          <w:w w:val="193"/>
          <w:sz w:val="19"/>
          <w:szCs w:val="19"/>
        </w:rPr>
        <w:t>(</w:t>
      </w:r>
      <w:r>
        <w:rPr>
          <w:rFonts w:ascii="Times New Roman" w:hAnsi="Times New Roman" w:cs="Times New Roman"/>
          <w:w w:val="108"/>
          <w:sz w:val="19"/>
          <w:szCs w:val="19"/>
        </w:rPr>
        <w:t>-;)ii)</w:t>
      </w:r>
    </w:p>
    <w:p w:rsidR="002C5025" w:rsidRDefault="002C5025">
      <w:pPr>
        <w:pStyle w:val="BodyText"/>
        <w:tabs>
          <w:tab w:val="left" w:pos="3340"/>
        </w:tabs>
        <w:kinsoku w:val="0"/>
        <w:overflowPunct w:val="0"/>
        <w:spacing w:before="15" w:line="254" w:lineRule="auto"/>
        <w:ind w:left="820" w:right="4804" w:firstLine="7"/>
        <w:rPr>
          <w:rFonts w:ascii="Times New Roman" w:hAnsi="Times New Roman" w:cs="Times New Roman"/>
          <w:sz w:val="23"/>
          <w:szCs w:val="23"/>
        </w:rPr>
      </w:pPr>
      <w:r>
        <w:rPr>
          <w:rFonts w:ascii="Times New Roman" w:hAnsi="Times New Roman" w:cs="Times New Roman"/>
          <w:sz w:val="23"/>
          <w:szCs w:val="23"/>
        </w:rPr>
        <w:t>Christine</w:t>
      </w:r>
      <w:r>
        <w:rPr>
          <w:rFonts w:ascii="Times New Roman" w:hAnsi="Times New Roman" w:cs="Times New Roman"/>
          <w:spacing w:val="3"/>
          <w:sz w:val="23"/>
          <w:szCs w:val="23"/>
        </w:rPr>
        <w:t xml:space="preserve"> </w:t>
      </w:r>
      <w:r>
        <w:rPr>
          <w:rFonts w:ascii="Times New Roman" w:hAnsi="Times New Roman" w:cs="Times New Roman"/>
          <w:sz w:val="23"/>
          <w:szCs w:val="23"/>
        </w:rPr>
        <w:t>M.</w:t>
      </w:r>
      <w:r>
        <w:rPr>
          <w:rFonts w:ascii="Times New Roman" w:hAnsi="Times New Roman" w:cs="Times New Roman"/>
          <w:spacing w:val="3"/>
          <w:sz w:val="23"/>
          <w:szCs w:val="23"/>
        </w:rPr>
        <w:t xml:space="preserve"> </w:t>
      </w:r>
      <w:r>
        <w:rPr>
          <w:rFonts w:ascii="Times New Roman" w:hAnsi="Times New Roman" w:cs="Times New Roman"/>
          <w:w w:val="155"/>
          <w:sz w:val="23"/>
          <w:szCs w:val="23"/>
        </w:rPr>
        <w:t>Griffin,</w:t>
      </w:r>
      <w:r>
        <w:rPr>
          <w:rFonts w:ascii="Times New Roman" w:hAnsi="Times New Roman" w:cs="Times New Roman"/>
          <w:w w:val="155"/>
          <w:sz w:val="23"/>
          <w:szCs w:val="23"/>
        </w:rPr>
        <w:tab/>
      </w:r>
      <w:proofErr w:type="spellStart"/>
      <w:r>
        <w:rPr>
          <w:rFonts w:ascii="Times New Roman" w:hAnsi="Times New Roman" w:cs="Times New Roman"/>
          <w:spacing w:val="-27"/>
          <w:w w:val="155"/>
          <w:sz w:val="23"/>
          <w:szCs w:val="23"/>
        </w:rPr>
        <w:t>JiJe</w:t>
      </w:r>
      <w:proofErr w:type="spellEnd"/>
      <w:r>
        <w:rPr>
          <w:rFonts w:ascii="Times New Roman" w:hAnsi="Times New Roman" w:cs="Times New Roman"/>
          <w:spacing w:val="-32"/>
          <w:w w:val="155"/>
          <w:sz w:val="23"/>
          <w:szCs w:val="23"/>
        </w:rPr>
        <w:t xml:space="preserve"> </w:t>
      </w:r>
      <w:r>
        <w:rPr>
          <w:rFonts w:ascii="Times New Roman" w:hAnsi="Times New Roman" w:cs="Times New Roman"/>
          <w:spacing w:val="-11"/>
          <w:sz w:val="23"/>
          <w:szCs w:val="23"/>
        </w:rPr>
        <w:t xml:space="preserve">Di     </w:t>
      </w:r>
      <w:r>
        <w:rPr>
          <w:rFonts w:ascii="Times New Roman" w:hAnsi="Times New Roman" w:cs="Times New Roman"/>
          <w:spacing w:val="-9"/>
          <w:sz w:val="23"/>
          <w:szCs w:val="23"/>
        </w:rPr>
        <w:t xml:space="preserve"> </w:t>
      </w:r>
      <w:proofErr w:type="spellStart"/>
      <w:r>
        <w:rPr>
          <w:rFonts w:ascii="Times New Roman" w:hAnsi="Times New Roman" w:cs="Times New Roman"/>
          <w:sz w:val="23"/>
          <w:szCs w:val="23"/>
        </w:rPr>
        <w:t>ctor</w:t>
      </w:r>
      <w:proofErr w:type="spellEnd"/>
      <w:r>
        <w:rPr>
          <w:rFonts w:ascii="Times New Roman" w:hAnsi="Times New Roman" w:cs="Times New Roman"/>
          <w:w w:val="104"/>
          <w:sz w:val="23"/>
          <w:szCs w:val="23"/>
        </w:rPr>
        <w:t xml:space="preserve"> </w:t>
      </w:r>
      <w:r>
        <w:rPr>
          <w:rFonts w:ascii="Times New Roman" w:hAnsi="Times New Roman" w:cs="Times New Roman"/>
          <w:sz w:val="23"/>
          <w:szCs w:val="23"/>
        </w:rPr>
        <w:t xml:space="preserve">Stanley </w:t>
      </w:r>
      <w:r>
        <w:rPr>
          <w:rFonts w:ascii="Arial" w:hAnsi="Arial" w:cs="Arial"/>
          <w:b/>
          <w:bCs/>
          <w:sz w:val="23"/>
          <w:szCs w:val="23"/>
        </w:rPr>
        <w:t xml:space="preserve">J. </w:t>
      </w:r>
      <w:proofErr w:type="spellStart"/>
      <w:r>
        <w:rPr>
          <w:rFonts w:ascii="Times New Roman" w:hAnsi="Times New Roman" w:cs="Times New Roman"/>
          <w:sz w:val="23"/>
          <w:szCs w:val="23"/>
        </w:rPr>
        <w:t>Eichner</w:t>
      </w:r>
      <w:proofErr w:type="spellEnd"/>
      <w:r>
        <w:rPr>
          <w:rFonts w:ascii="Times New Roman" w:hAnsi="Times New Roman" w:cs="Times New Roman"/>
          <w:sz w:val="23"/>
          <w:szCs w:val="23"/>
        </w:rPr>
        <w:t>, Litigation Director Linda Landry,  Senior Attorney Disability  Law</w:t>
      </w:r>
      <w:r>
        <w:rPr>
          <w:rFonts w:ascii="Times New Roman" w:hAnsi="Times New Roman" w:cs="Times New Roman"/>
          <w:spacing w:val="5"/>
          <w:sz w:val="23"/>
          <w:szCs w:val="23"/>
        </w:rPr>
        <w:t xml:space="preserve"> </w:t>
      </w:r>
      <w:r>
        <w:rPr>
          <w:rFonts w:ascii="Times New Roman" w:hAnsi="Times New Roman" w:cs="Times New Roman"/>
          <w:sz w:val="23"/>
          <w:szCs w:val="23"/>
        </w:rPr>
        <w:t>Center</w:t>
      </w:r>
    </w:p>
    <w:p w:rsidR="002C5025" w:rsidRDefault="002C5025">
      <w:pPr>
        <w:pStyle w:val="BodyText"/>
        <w:tabs>
          <w:tab w:val="left" w:pos="3340"/>
        </w:tabs>
        <w:kinsoku w:val="0"/>
        <w:overflowPunct w:val="0"/>
        <w:spacing w:before="15" w:line="254" w:lineRule="auto"/>
        <w:ind w:left="820" w:right="4804" w:firstLine="7"/>
        <w:rPr>
          <w:rFonts w:ascii="Times New Roman" w:hAnsi="Times New Roman" w:cs="Times New Roman"/>
          <w:sz w:val="23"/>
          <w:szCs w:val="23"/>
        </w:rPr>
        <w:sectPr w:rsidR="002C5025">
          <w:pgSz w:w="12240" w:h="15840"/>
          <w:pgMar w:top="620" w:right="1500" w:bottom="280" w:left="1260" w:header="720" w:footer="720" w:gutter="0"/>
          <w:cols w:space="720" w:equalWidth="0">
            <w:col w:w="9480"/>
          </w:cols>
          <w:noEndnote/>
        </w:sectPr>
      </w:pPr>
    </w:p>
    <w:p w:rsidR="002C5025" w:rsidRDefault="002C5025">
      <w:pPr>
        <w:pStyle w:val="BodyText"/>
        <w:kinsoku w:val="0"/>
        <w:overflowPunct w:val="0"/>
        <w:spacing w:before="38"/>
        <w:ind w:right="125"/>
        <w:jc w:val="center"/>
        <w:rPr>
          <w:rFonts w:ascii="Times New Roman" w:hAnsi="Times New Roman" w:cs="Times New Roman"/>
          <w:w w:val="94"/>
          <w:sz w:val="25"/>
          <w:szCs w:val="25"/>
        </w:rPr>
      </w:pPr>
      <w:r>
        <w:rPr>
          <w:rFonts w:ascii="Times New Roman" w:hAnsi="Times New Roman" w:cs="Times New Roman"/>
          <w:w w:val="94"/>
          <w:sz w:val="25"/>
          <w:szCs w:val="25"/>
        </w:rPr>
        <w:lastRenderedPageBreak/>
        <w:t>4</w:t>
      </w:r>
    </w:p>
    <w:p w:rsidR="002C5025" w:rsidRDefault="002C5025">
      <w:pPr>
        <w:pStyle w:val="BodyText"/>
        <w:kinsoku w:val="0"/>
        <w:overflowPunct w:val="0"/>
        <w:spacing w:before="145" w:line="607" w:lineRule="exact"/>
        <w:ind w:left="483" w:right="4671"/>
        <w:rPr>
          <w:rFonts w:ascii="Arial" w:hAnsi="Arial" w:cs="Arial"/>
          <w:i/>
          <w:iCs/>
          <w:w w:val="111"/>
          <w:position w:val="-11"/>
          <w:sz w:val="40"/>
          <w:szCs w:val="40"/>
        </w:rPr>
      </w:pPr>
      <w:proofErr w:type="spellStart"/>
      <w:r>
        <w:rPr>
          <w:rFonts w:ascii="Arial" w:hAnsi="Arial" w:cs="Arial"/>
          <w:i/>
          <w:iCs/>
          <w:w w:val="122"/>
          <w:sz w:val="40"/>
          <w:szCs w:val="40"/>
        </w:rPr>
        <w:t>U</w:t>
      </w:r>
      <w:r>
        <w:rPr>
          <w:rFonts w:ascii="Arial" w:hAnsi="Arial" w:cs="Arial"/>
          <w:i/>
          <w:iCs/>
          <w:spacing w:val="-28"/>
          <w:w w:val="122"/>
          <w:sz w:val="40"/>
          <w:szCs w:val="40"/>
        </w:rPr>
        <w:t>A</w:t>
      </w:r>
      <w:r>
        <w:rPr>
          <w:rFonts w:ascii="Times New Roman" w:hAnsi="Times New Roman" w:cs="Times New Roman"/>
          <w:spacing w:val="8"/>
          <w:w w:val="98"/>
          <w:sz w:val="15"/>
          <w:szCs w:val="15"/>
        </w:rPr>
        <w:t>I</w:t>
      </w:r>
      <w:r>
        <w:rPr>
          <w:rFonts w:ascii="Arial" w:hAnsi="Arial" w:cs="Arial"/>
          <w:i/>
          <w:iCs/>
          <w:w w:val="50"/>
          <w:sz w:val="37"/>
          <w:szCs w:val="37"/>
        </w:rPr>
        <w:t>e</w:t>
      </w:r>
      <w:proofErr w:type="spellEnd"/>
      <w:r>
        <w:rPr>
          <w:rFonts w:ascii="Arial" w:hAnsi="Arial" w:cs="Arial"/>
          <w:i/>
          <w:iCs/>
          <w:spacing w:val="19"/>
          <w:w w:val="50"/>
          <w:sz w:val="37"/>
          <w:szCs w:val="37"/>
        </w:rPr>
        <w:t>-</w:t>
      </w:r>
      <w:r>
        <w:rPr>
          <w:rFonts w:ascii="Times New Roman" w:hAnsi="Times New Roman" w:cs="Times New Roman"/>
          <w:w w:val="49"/>
          <w:sz w:val="39"/>
          <w:szCs w:val="39"/>
        </w:rPr>
        <w:t>I</w:t>
      </w:r>
      <w:r>
        <w:rPr>
          <w:rFonts w:ascii="Times New Roman" w:hAnsi="Times New Roman" w:cs="Times New Roman"/>
          <w:spacing w:val="3"/>
          <w:sz w:val="39"/>
          <w:szCs w:val="39"/>
        </w:rPr>
        <w:t xml:space="preserve"> </w:t>
      </w:r>
      <w:r>
        <w:rPr>
          <w:rFonts w:ascii="Times New Roman" w:hAnsi="Times New Roman" w:cs="Times New Roman"/>
          <w:w w:val="80"/>
          <w:sz w:val="48"/>
          <w:szCs w:val="48"/>
        </w:rPr>
        <w:t>S</w:t>
      </w:r>
      <w:r>
        <w:rPr>
          <w:rFonts w:ascii="Times New Roman" w:hAnsi="Times New Roman" w:cs="Times New Roman"/>
          <w:spacing w:val="-22"/>
          <w:w w:val="80"/>
          <w:sz w:val="48"/>
          <w:szCs w:val="48"/>
        </w:rPr>
        <w:t>:</w:t>
      </w:r>
      <w:r>
        <w:rPr>
          <w:rFonts w:ascii="Times New Roman" w:hAnsi="Times New Roman" w:cs="Times New Roman"/>
          <w:w w:val="36"/>
          <w:sz w:val="48"/>
          <w:szCs w:val="48"/>
        </w:rPr>
        <w:t>..</w:t>
      </w:r>
      <w:r>
        <w:rPr>
          <w:rFonts w:ascii="Times New Roman" w:hAnsi="Times New Roman" w:cs="Times New Roman"/>
          <w:spacing w:val="-77"/>
          <w:sz w:val="48"/>
          <w:szCs w:val="48"/>
        </w:rPr>
        <w:t xml:space="preserve"> </w:t>
      </w:r>
      <w:r>
        <w:rPr>
          <w:rFonts w:ascii="Times New Roman" w:hAnsi="Times New Roman" w:cs="Times New Roman"/>
          <w:w w:val="64"/>
          <w:sz w:val="37"/>
          <w:szCs w:val="37"/>
        </w:rPr>
        <w:t>\-\""v\.i"</w:t>
      </w:r>
      <w:r>
        <w:rPr>
          <w:rFonts w:ascii="Times New Roman" w:hAnsi="Times New Roman" w:cs="Times New Roman"/>
          <w:spacing w:val="23"/>
          <w:w w:val="64"/>
          <w:sz w:val="37"/>
          <w:szCs w:val="37"/>
        </w:rPr>
        <w:t>"</w:t>
      </w:r>
      <w:r>
        <w:rPr>
          <w:rFonts w:ascii="Times New Roman" w:hAnsi="Times New Roman" w:cs="Times New Roman"/>
          <w:spacing w:val="27"/>
          <w:w w:val="251"/>
          <w:sz w:val="37"/>
          <w:szCs w:val="37"/>
        </w:rPr>
        <w:t>,</w:t>
      </w:r>
      <w:r>
        <w:rPr>
          <w:rFonts w:ascii="Times New Roman" w:hAnsi="Times New Roman" w:cs="Times New Roman"/>
          <w:spacing w:val="-40"/>
          <w:w w:val="198"/>
          <w:sz w:val="37"/>
          <w:szCs w:val="37"/>
        </w:rPr>
        <w:t>,</w:t>
      </w:r>
      <w:r>
        <w:rPr>
          <w:rFonts w:ascii="Arial" w:hAnsi="Arial" w:cs="Arial"/>
          <w:i/>
          <w:iCs/>
          <w:w w:val="106"/>
          <w:sz w:val="21"/>
          <w:szCs w:val="21"/>
        </w:rPr>
        <w:t>'8f</w:t>
      </w:r>
      <w:r>
        <w:rPr>
          <w:rFonts w:ascii="Arial" w:hAnsi="Arial" w:cs="Arial"/>
          <w:i/>
          <w:iCs/>
          <w:spacing w:val="-21"/>
          <w:w w:val="106"/>
          <w:sz w:val="21"/>
          <w:szCs w:val="21"/>
        </w:rPr>
        <w:t>l</w:t>
      </w:r>
      <w:r>
        <w:rPr>
          <w:rFonts w:ascii="Arial" w:hAnsi="Arial" w:cs="Arial"/>
          <w:i/>
          <w:iCs/>
          <w:w w:val="111"/>
          <w:position w:val="-11"/>
          <w:sz w:val="40"/>
          <w:szCs w:val="40"/>
        </w:rPr>
        <w:t>1</w:t>
      </w:r>
    </w:p>
    <w:p w:rsidR="002C5025" w:rsidRDefault="002C5025">
      <w:pPr>
        <w:pStyle w:val="BodyText"/>
        <w:kinsoku w:val="0"/>
        <w:overflowPunct w:val="0"/>
        <w:spacing w:line="229" w:lineRule="exact"/>
        <w:ind w:left="432" w:right="4671"/>
        <w:rPr>
          <w:rFonts w:ascii="Times New Roman" w:hAnsi="Times New Roman" w:cs="Times New Roman"/>
          <w:sz w:val="23"/>
          <w:szCs w:val="23"/>
        </w:rPr>
      </w:pPr>
      <w:r>
        <w:rPr>
          <w:rFonts w:ascii="Times New Roman" w:hAnsi="Times New Roman" w:cs="Times New Roman"/>
          <w:sz w:val="23"/>
          <w:szCs w:val="23"/>
        </w:rPr>
        <w:t xml:space="preserve">Daniel S. Manning, </w:t>
      </w:r>
      <w:proofErr w:type="spellStart"/>
      <w:r>
        <w:rPr>
          <w:rFonts w:ascii="Times New Roman" w:hAnsi="Times New Roman" w:cs="Times New Roman"/>
          <w:sz w:val="23"/>
          <w:szCs w:val="23"/>
        </w:rPr>
        <w:t>Litigatibn</w:t>
      </w:r>
      <w:proofErr w:type="spellEnd"/>
      <w:r>
        <w:rPr>
          <w:rFonts w:ascii="Times New Roman" w:hAnsi="Times New Roman" w:cs="Times New Roman"/>
          <w:sz w:val="23"/>
          <w:szCs w:val="23"/>
        </w:rPr>
        <w:t xml:space="preserve">  Director</w:t>
      </w:r>
    </w:p>
    <w:p w:rsidR="002C5025" w:rsidRDefault="002C5025">
      <w:pPr>
        <w:pStyle w:val="BodyText"/>
        <w:kinsoku w:val="0"/>
        <w:overflowPunct w:val="0"/>
        <w:spacing w:before="9"/>
        <w:ind w:left="490" w:right="4671" w:hanging="58"/>
        <w:rPr>
          <w:rFonts w:ascii="Times New Roman" w:hAnsi="Times New Roman" w:cs="Times New Roman"/>
          <w:sz w:val="23"/>
          <w:szCs w:val="23"/>
        </w:rPr>
      </w:pPr>
      <w:r>
        <w:rPr>
          <w:rFonts w:ascii="Times New Roman" w:hAnsi="Times New Roman" w:cs="Times New Roman"/>
          <w:sz w:val="23"/>
          <w:szCs w:val="23"/>
        </w:rPr>
        <w:t>Greater Boston  Legal Services</w:t>
      </w:r>
    </w:p>
    <w:p w:rsidR="002C5025" w:rsidRDefault="002C5025">
      <w:pPr>
        <w:pStyle w:val="BodyText"/>
        <w:tabs>
          <w:tab w:val="left" w:pos="1829"/>
          <w:tab w:val="left" w:pos="3010"/>
        </w:tabs>
        <w:kinsoku w:val="0"/>
        <w:overflowPunct w:val="0"/>
        <w:spacing w:before="142" w:line="704" w:lineRule="exact"/>
        <w:ind w:left="490" w:right="4671"/>
        <w:rPr>
          <w:rFonts w:ascii="Times New Roman" w:hAnsi="Times New Roman" w:cs="Times New Roman"/>
          <w:i/>
          <w:iCs/>
          <w:w w:val="135"/>
          <w:sz w:val="26"/>
          <w:szCs w:val="26"/>
        </w:rPr>
      </w:pPr>
      <w:r>
        <w:rPr>
          <w:rFonts w:ascii="Times New Roman" w:hAnsi="Times New Roman" w:cs="Times New Roman"/>
          <w:w w:val="135"/>
          <w:sz w:val="62"/>
          <w:szCs w:val="62"/>
        </w:rPr>
        <w:t>s</w:t>
      </w:r>
      <w:r>
        <w:rPr>
          <w:rFonts w:ascii="Times New Roman" w:hAnsi="Times New Roman" w:cs="Times New Roman"/>
          <w:spacing w:val="-133"/>
          <w:w w:val="135"/>
          <w:sz w:val="62"/>
          <w:szCs w:val="62"/>
        </w:rPr>
        <w:t xml:space="preserve"> </w:t>
      </w:r>
      <w:r>
        <w:rPr>
          <w:rFonts w:ascii="Times New Roman" w:hAnsi="Times New Roman" w:cs="Times New Roman"/>
          <w:w w:val="80"/>
          <w:sz w:val="62"/>
          <w:szCs w:val="62"/>
        </w:rPr>
        <w:t>\\</w:t>
      </w:r>
      <w:r>
        <w:rPr>
          <w:rFonts w:ascii="Times New Roman" w:hAnsi="Times New Roman" w:cs="Times New Roman"/>
          <w:w w:val="80"/>
          <w:sz w:val="62"/>
          <w:szCs w:val="62"/>
        </w:rPr>
        <w:tab/>
      </w:r>
      <w:r>
        <w:rPr>
          <w:rFonts w:ascii="Times New Roman" w:hAnsi="Times New Roman" w:cs="Times New Roman"/>
          <w:w w:val="80"/>
          <w:sz w:val="26"/>
          <w:szCs w:val="26"/>
        </w:rPr>
        <w:t>11\V'&lt;\</w:t>
      </w:r>
      <w:proofErr w:type="spellStart"/>
      <w:r>
        <w:rPr>
          <w:rFonts w:ascii="Times New Roman" w:hAnsi="Times New Roman" w:cs="Times New Roman"/>
          <w:w w:val="80"/>
          <w:sz w:val="26"/>
          <w:szCs w:val="26"/>
        </w:rPr>
        <w:t>Aq</w:t>
      </w:r>
      <w:proofErr w:type="spellEnd"/>
      <w:r>
        <w:rPr>
          <w:rFonts w:ascii="Times New Roman" w:hAnsi="Times New Roman" w:cs="Times New Roman"/>
          <w:spacing w:val="-6"/>
          <w:w w:val="80"/>
          <w:sz w:val="26"/>
          <w:szCs w:val="26"/>
        </w:rPr>
        <w:t xml:space="preserve"> </w:t>
      </w:r>
      <w:r>
        <w:rPr>
          <w:rFonts w:ascii="Times New Roman" w:hAnsi="Times New Roman" w:cs="Times New Roman"/>
          <w:w w:val="135"/>
          <w:sz w:val="26"/>
          <w:szCs w:val="26"/>
        </w:rPr>
        <w:t>(</w:t>
      </w:r>
      <w:r>
        <w:rPr>
          <w:rFonts w:ascii="Times New Roman" w:hAnsi="Times New Roman" w:cs="Times New Roman"/>
          <w:w w:val="135"/>
          <w:sz w:val="26"/>
          <w:szCs w:val="26"/>
        </w:rPr>
        <w:tab/>
      </w:r>
      <w:r>
        <w:rPr>
          <w:rFonts w:ascii="Times New Roman" w:hAnsi="Times New Roman" w:cs="Times New Roman"/>
          <w:i/>
          <w:iCs/>
          <w:w w:val="135"/>
          <w:sz w:val="26"/>
          <w:szCs w:val="26"/>
        </w:rPr>
        <w:t>}</w:t>
      </w:r>
    </w:p>
    <w:p w:rsidR="002C5025" w:rsidRDefault="002C5025">
      <w:pPr>
        <w:pStyle w:val="BodyText"/>
        <w:kinsoku w:val="0"/>
        <w:overflowPunct w:val="0"/>
        <w:spacing w:line="254" w:lineRule="auto"/>
        <w:ind w:left="418" w:right="4671"/>
        <w:rPr>
          <w:rFonts w:ascii="Times New Roman" w:hAnsi="Times New Roman" w:cs="Times New Roman"/>
          <w:sz w:val="23"/>
          <w:szCs w:val="23"/>
        </w:rPr>
      </w:pPr>
      <w:r>
        <w:rPr>
          <w:rFonts w:ascii="Times New Roman" w:hAnsi="Times New Roman" w:cs="Times New Roman"/>
          <w:sz w:val="23"/>
          <w:szCs w:val="23"/>
        </w:rPr>
        <w:t xml:space="preserve">Bill Henning, </w:t>
      </w:r>
      <w:proofErr w:type="spellStart"/>
      <w:r>
        <w:rPr>
          <w:rFonts w:ascii="Times New Roman" w:hAnsi="Times New Roman" w:cs="Times New Roman"/>
          <w:sz w:val="23"/>
          <w:szCs w:val="23"/>
        </w:rPr>
        <w:t>Executi</w:t>
      </w:r>
      <w:proofErr w:type="spellEnd"/>
      <w:r>
        <w:rPr>
          <w:rFonts w:ascii="Times New Roman" w:hAnsi="Times New Roman" w:cs="Times New Roman"/>
          <w:sz w:val="23"/>
          <w:szCs w:val="23"/>
        </w:rPr>
        <w:t>\re Director Boston Center for Independent  Living</w:t>
      </w:r>
    </w:p>
    <w:p w:rsidR="002C5025" w:rsidRDefault="002C5025">
      <w:pPr>
        <w:pStyle w:val="BodyText"/>
        <w:kinsoku w:val="0"/>
        <w:overflowPunct w:val="0"/>
        <w:spacing w:before="9"/>
        <w:rPr>
          <w:rFonts w:ascii="Times New Roman" w:hAnsi="Times New Roman" w:cs="Times New Roman"/>
          <w:sz w:val="21"/>
          <w:szCs w:val="21"/>
        </w:rPr>
      </w:pPr>
    </w:p>
    <w:p w:rsidR="002C5025" w:rsidRDefault="002C5025">
      <w:pPr>
        <w:pStyle w:val="BodyText"/>
        <w:tabs>
          <w:tab w:val="left" w:pos="2556"/>
        </w:tabs>
        <w:kinsoku w:val="0"/>
        <w:overflowPunct w:val="0"/>
        <w:ind w:left="533" w:right="4671"/>
        <w:rPr>
          <w:rFonts w:ascii="Arial" w:hAnsi="Arial" w:cs="Arial"/>
          <w:w w:val="203"/>
          <w:sz w:val="40"/>
          <w:szCs w:val="40"/>
        </w:rPr>
      </w:pPr>
      <w:r>
        <w:rPr>
          <w:rFonts w:ascii="Arial" w:hAnsi="Arial" w:cs="Arial"/>
          <w:b/>
          <w:bCs/>
          <w:w w:val="92"/>
          <w:sz w:val="40"/>
          <w:szCs w:val="40"/>
        </w:rPr>
        <w:t>'</w:t>
      </w:r>
      <w:proofErr w:type="spellStart"/>
      <w:r>
        <w:rPr>
          <w:rFonts w:ascii="Arial" w:hAnsi="Arial" w:cs="Arial"/>
          <w:b/>
          <w:bCs/>
          <w:spacing w:val="-51"/>
          <w:w w:val="92"/>
          <w:sz w:val="40"/>
          <w:szCs w:val="40"/>
        </w:rPr>
        <w:t>v</w:t>
      </w:r>
      <w:r>
        <w:rPr>
          <w:rFonts w:ascii="Arial" w:hAnsi="Arial" w:cs="Arial"/>
          <w:b/>
          <w:bCs/>
          <w:spacing w:val="-81"/>
          <w:w w:val="143"/>
          <w:sz w:val="40"/>
          <w:szCs w:val="40"/>
        </w:rPr>
        <w:t>,</w:t>
      </w:r>
      <w:r>
        <w:rPr>
          <w:rFonts w:ascii="Arial" w:hAnsi="Arial" w:cs="Arial"/>
          <w:b/>
          <w:bCs/>
          <w:spacing w:val="-48"/>
          <w:w w:val="94"/>
          <w:sz w:val="40"/>
          <w:szCs w:val="40"/>
        </w:rPr>
        <w:t>,</w:t>
      </w:r>
      <w:r>
        <w:rPr>
          <w:rFonts w:ascii="Arial" w:hAnsi="Arial" w:cs="Arial"/>
          <w:b/>
          <w:bCs/>
          <w:spacing w:val="-50"/>
          <w:w w:val="54"/>
          <w:sz w:val="40"/>
          <w:szCs w:val="40"/>
        </w:rPr>
        <w:t>M</w:t>
      </w:r>
      <w:proofErr w:type="spellEnd"/>
      <w:r>
        <w:rPr>
          <w:rFonts w:ascii="Arial" w:hAnsi="Arial" w:cs="Arial"/>
          <w:b/>
          <w:bCs/>
          <w:spacing w:val="-118"/>
          <w:w w:val="102"/>
          <w:sz w:val="40"/>
          <w:szCs w:val="40"/>
        </w:rPr>
        <w:t>.</w:t>
      </w:r>
      <w:r>
        <w:rPr>
          <w:rFonts w:ascii="Arial" w:hAnsi="Arial" w:cs="Arial"/>
          <w:b/>
          <w:bCs/>
          <w:w w:val="112"/>
          <w:sz w:val="40"/>
          <w:szCs w:val="40"/>
        </w:rPr>
        <w:t>\</w:t>
      </w:r>
      <w:r>
        <w:rPr>
          <w:rFonts w:ascii="Arial" w:hAnsi="Arial" w:cs="Arial"/>
          <w:b/>
          <w:bCs/>
          <w:sz w:val="40"/>
          <w:szCs w:val="40"/>
        </w:rPr>
        <w:tab/>
      </w:r>
      <w:r>
        <w:rPr>
          <w:rFonts w:ascii="Arial" w:hAnsi="Arial" w:cs="Arial"/>
          <w:w w:val="68"/>
          <w:sz w:val="40"/>
          <w:szCs w:val="40"/>
        </w:rPr>
        <w:t>-.,,</w:t>
      </w:r>
      <w:r>
        <w:rPr>
          <w:rFonts w:ascii="Arial" w:hAnsi="Arial" w:cs="Arial"/>
          <w:spacing w:val="-37"/>
          <w:sz w:val="40"/>
          <w:szCs w:val="40"/>
        </w:rPr>
        <w:t xml:space="preserve"> </w:t>
      </w:r>
      <w:r>
        <w:rPr>
          <w:rFonts w:ascii="Arial" w:hAnsi="Arial" w:cs="Arial"/>
          <w:w w:val="203"/>
          <w:sz w:val="40"/>
          <w:szCs w:val="40"/>
        </w:rPr>
        <w:t>)</w:t>
      </w:r>
    </w:p>
    <w:p w:rsidR="002C5025" w:rsidRDefault="002C5025">
      <w:pPr>
        <w:pStyle w:val="BodyText"/>
        <w:kinsoku w:val="0"/>
        <w:overflowPunct w:val="0"/>
        <w:spacing w:before="111"/>
        <w:ind w:left="411" w:right="4671"/>
        <w:rPr>
          <w:rFonts w:ascii="Times New Roman" w:hAnsi="Times New Roman" w:cs="Times New Roman"/>
          <w:sz w:val="23"/>
          <w:szCs w:val="23"/>
        </w:rPr>
      </w:pPr>
      <w:r>
        <w:rPr>
          <w:rFonts w:ascii="Times New Roman" w:hAnsi="Times New Roman" w:cs="Times New Roman"/>
          <w:sz w:val="23"/>
          <w:szCs w:val="23"/>
        </w:rPr>
        <w:t>Paul  Spooner, Executive Director</w:t>
      </w:r>
    </w:p>
    <w:p w:rsidR="002C5025" w:rsidRDefault="002C5025">
      <w:pPr>
        <w:pStyle w:val="BodyText"/>
        <w:kinsoku w:val="0"/>
        <w:overflowPunct w:val="0"/>
        <w:spacing w:before="16"/>
        <w:ind w:left="411"/>
        <w:rPr>
          <w:rFonts w:ascii="Times New Roman" w:hAnsi="Times New Roman" w:cs="Times New Roman"/>
          <w:sz w:val="23"/>
          <w:szCs w:val="23"/>
        </w:rPr>
      </w:pPr>
      <w:proofErr w:type="spellStart"/>
      <w:r>
        <w:rPr>
          <w:rFonts w:ascii="Times New Roman" w:hAnsi="Times New Roman" w:cs="Times New Roman"/>
          <w:sz w:val="23"/>
          <w:szCs w:val="23"/>
        </w:rPr>
        <w:t>Metrowest</w:t>
      </w:r>
      <w:proofErr w:type="spellEnd"/>
      <w:r>
        <w:rPr>
          <w:rFonts w:ascii="Times New Roman" w:hAnsi="Times New Roman" w:cs="Times New Roman"/>
          <w:sz w:val="23"/>
          <w:szCs w:val="23"/>
        </w:rPr>
        <w:t xml:space="preserve">  Center for Independent Living</w:t>
      </w:r>
    </w:p>
    <w:p w:rsidR="002C5025" w:rsidRDefault="002C5025">
      <w:pPr>
        <w:pStyle w:val="BodyText"/>
        <w:kinsoku w:val="0"/>
        <w:overflowPunct w:val="0"/>
        <w:spacing w:before="4"/>
        <w:rPr>
          <w:rFonts w:ascii="Times New Roman" w:hAnsi="Times New Roman" w:cs="Times New Roman"/>
          <w:sz w:val="23"/>
          <w:szCs w:val="23"/>
        </w:rPr>
      </w:pPr>
    </w:p>
    <w:p w:rsidR="002C5025" w:rsidRDefault="002C5025">
      <w:pPr>
        <w:pStyle w:val="BodyText"/>
        <w:tabs>
          <w:tab w:val="left" w:pos="1541"/>
        </w:tabs>
        <w:kinsoku w:val="0"/>
        <w:overflowPunct w:val="0"/>
        <w:ind w:left="598" w:right="4671"/>
        <w:rPr>
          <w:rFonts w:ascii="Times New Roman" w:hAnsi="Times New Roman" w:cs="Times New Roman"/>
          <w:b/>
          <w:bCs/>
          <w:w w:val="115"/>
          <w:sz w:val="23"/>
          <w:szCs w:val="23"/>
        </w:rPr>
      </w:pPr>
      <w:r>
        <w:rPr>
          <w:rFonts w:ascii="Times New Roman" w:hAnsi="Times New Roman" w:cs="Times New Roman"/>
          <w:b/>
          <w:bCs/>
          <w:w w:val="65"/>
          <w:sz w:val="43"/>
          <w:szCs w:val="43"/>
        </w:rPr>
        <w:t>Jr:...._</w:t>
      </w:r>
      <w:r>
        <w:rPr>
          <w:rFonts w:ascii="Times New Roman" w:hAnsi="Times New Roman" w:cs="Times New Roman"/>
          <w:b/>
          <w:bCs/>
          <w:w w:val="65"/>
          <w:sz w:val="43"/>
          <w:szCs w:val="43"/>
        </w:rPr>
        <w:tab/>
      </w:r>
      <w:r>
        <w:rPr>
          <w:rFonts w:ascii="Times New Roman" w:hAnsi="Times New Roman" w:cs="Times New Roman"/>
          <w:b/>
          <w:bCs/>
          <w:spacing w:val="-4"/>
          <w:w w:val="85"/>
          <w:sz w:val="30"/>
          <w:szCs w:val="30"/>
        </w:rPr>
        <w:t xml:space="preserve">K.Nid·&amp;h.in </w:t>
      </w:r>
      <w:r>
        <w:rPr>
          <w:rFonts w:ascii="Times New Roman" w:hAnsi="Times New Roman" w:cs="Times New Roman"/>
          <w:b/>
          <w:bCs/>
          <w:w w:val="170"/>
          <w:sz w:val="23"/>
          <w:szCs w:val="23"/>
        </w:rPr>
        <w:t>(</w:t>
      </w:r>
      <w:r>
        <w:rPr>
          <w:rFonts w:ascii="Times New Roman" w:hAnsi="Times New Roman" w:cs="Times New Roman"/>
          <w:b/>
          <w:bCs/>
          <w:spacing w:val="-18"/>
          <w:w w:val="170"/>
          <w:sz w:val="23"/>
          <w:szCs w:val="23"/>
        </w:rPr>
        <w:t xml:space="preserve"> </w:t>
      </w:r>
      <w:proofErr w:type="spellStart"/>
      <w:r>
        <w:rPr>
          <w:rFonts w:ascii="Times New Roman" w:hAnsi="Times New Roman" w:cs="Times New Roman"/>
          <w:b/>
          <w:bCs/>
          <w:w w:val="115"/>
          <w:sz w:val="23"/>
          <w:szCs w:val="23"/>
        </w:rPr>
        <w:t>fl</w:t>
      </w:r>
      <w:proofErr w:type="spellEnd"/>
      <w:r>
        <w:rPr>
          <w:rFonts w:ascii="Times New Roman" w:hAnsi="Times New Roman" w:cs="Times New Roman"/>
          <w:b/>
          <w:bCs/>
          <w:w w:val="115"/>
          <w:sz w:val="23"/>
          <w:szCs w:val="23"/>
        </w:rPr>
        <w:t>)</w:t>
      </w:r>
    </w:p>
    <w:p w:rsidR="002C5025" w:rsidRDefault="002C5025">
      <w:pPr>
        <w:pStyle w:val="BodyText"/>
        <w:kinsoku w:val="0"/>
        <w:overflowPunct w:val="0"/>
        <w:spacing w:before="74" w:line="247" w:lineRule="auto"/>
        <w:ind w:left="411" w:right="4671" w:hanging="8"/>
        <w:rPr>
          <w:rFonts w:ascii="Times New Roman" w:hAnsi="Times New Roman" w:cs="Times New Roman"/>
          <w:sz w:val="23"/>
          <w:szCs w:val="23"/>
        </w:rPr>
      </w:pPr>
      <w:r>
        <w:rPr>
          <w:rFonts w:ascii="Times New Roman" w:hAnsi="Times New Roman" w:cs="Times New Roman"/>
          <w:sz w:val="23"/>
          <w:szCs w:val="23"/>
        </w:rPr>
        <w:t>Jim Kruidenier, Executive Director Stavros Center for Independent  Living</w:t>
      </w:r>
    </w:p>
    <w:p w:rsidR="002C5025" w:rsidRDefault="002C5025">
      <w:pPr>
        <w:pStyle w:val="BodyText"/>
        <w:kinsoku w:val="0"/>
        <w:overflowPunct w:val="0"/>
        <w:spacing w:before="74" w:line="247" w:lineRule="auto"/>
        <w:ind w:left="411" w:right="4671" w:hanging="8"/>
        <w:rPr>
          <w:rFonts w:ascii="Times New Roman" w:hAnsi="Times New Roman" w:cs="Times New Roman"/>
          <w:sz w:val="23"/>
          <w:szCs w:val="23"/>
        </w:rPr>
        <w:sectPr w:rsidR="002C5025">
          <w:pgSz w:w="12240" w:h="15840"/>
          <w:pgMar w:top="600" w:right="1720" w:bottom="280" w:left="1720" w:header="720" w:footer="720" w:gutter="0"/>
          <w:cols w:space="720" w:equalWidth="0">
            <w:col w:w="8800"/>
          </w:cols>
          <w:noEndnote/>
        </w:sectPr>
      </w:pPr>
    </w:p>
    <w:p w:rsidR="002C5025" w:rsidRDefault="00FB027C">
      <w:pPr>
        <w:pStyle w:val="BodyText"/>
        <w:kinsoku w:val="0"/>
        <w:overflowPunct w:val="0"/>
        <w:ind w:left="3574"/>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extent cx="2219325" cy="819150"/>
            <wp:effectExtent l="0" t="0" r="9525"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2219325" cy="819150"/>
                    </a:xfrm>
                    <a:prstGeom prst="rect">
                      <a:avLst/>
                    </a:prstGeom>
                    <a:noFill/>
                    <a:ln>
                      <a:noFill/>
                    </a:ln>
                  </pic:spPr>
                </pic:pic>
              </a:graphicData>
            </a:graphic>
          </wp:inline>
        </w:drawing>
      </w:r>
    </w:p>
    <w:p w:rsidR="002C5025" w:rsidRDefault="00FB027C">
      <w:pPr>
        <w:pStyle w:val="BodyText"/>
        <w:kinsoku w:val="0"/>
        <w:overflowPunct w:val="0"/>
        <w:rPr>
          <w:rFonts w:ascii="Times New Roman" w:hAnsi="Times New Roman" w:cs="Times New Roman"/>
          <w:sz w:val="28"/>
          <w:szCs w:val="28"/>
        </w:rPr>
      </w:pPr>
      <w:r>
        <w:rPr>
          <w:noProof/>
        </w:rPr>
        <mc:AlternateContent>
          <mc:Choice Requires="wpg">
            <w:drawing>
              <wp:anchor distT="0" distB="0" distL="0" distR="0" simplePos="0" relativeHeight="251595264" behindDoc="0" locked="0" layoutInCell="0" allowOverlap="1">
                <wp:simplePos x="0" y="0"/>
                <wp:positionH relativeFrom="page">
                  <wp:posOffset>581025</wp:posOffset>
                </wp:positionH>
                <wp:positionV relativeFrom="paragraph">
                  <wp:posOffset>229235</wp:posOffset>
                </wp:positionV>
                <wp:extent cx="6640195" cy="38100"/>
                <wp:effectExtent l="0" t="0" r="0" b="0"/>
                <wp:wrapTopAndBottom/>
                <wp:docPr id="708" name="Group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0195" cy="38100"/>
                          <a:chOff x="915" y="361"/>
                          <a:chExt cx="10457" cy="60"/>
                        </a:xfrm>
                      </wpg:grpSpPr>
                      <wps:wsp>
                        <wps:cNvPr id="709" name="Freeform 315"/>
                        <wps:cNvSpPr>
                          <a:spLocks/>
                        </wps:cNvSpPr>
                        <wps:spPr bwMode="auto">
                          <a:xfrm>
                            <a:off x="931" y="370"/>
                            <a:ext cx="10426" cy="20"/>
                          </a:xfrm>
                          <a:custGeom>
                            <a:avLst/>
                            <a:gdLst>
                              <a:gd name="T0" fmla="*/ 0 w 10426"/>
                              <a:gd name="T1" fmla="*/ 0 h 20"/>
                              <a:gd name="T2" fmla="*/ 10426 w 10426"/>
                              <a:gd name="T3" fmla="*/ 0 h 20"/>
                            </a:gdLst>
                            <a:ahLst/>
                            <a:cxnLst>
                              <a:cxn ang="0">
                                <a:pos x="T0" y="T1"/>
                              </a:cxn>
                              <a:cxn ang="0">
                                <a:pos x="T2" y="T3"/>
                              </a:cxn>
                            </a:cxnLst>
                            <a:rect l="0" t="0" r="r" b="b"/>
                            <a:pathLst>
                              <a:path w="10426" h="20">
                                <a:moveTo>
                                  <a:pt x="0" y="0"/>
                                </a:moveTo>
                                <a:lnTo>
                                  <a:pt x="10426"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0" name="Freeform 316"/>
                        <wps:cNvSpPr>
                          <a:spLocks/>
                        </wps:cNvSpPr>
                        <wps:spPr bwMode="auto">
                          <a:xfrm>
                            <a:off x="931" y="392"/>
                            <a:ext cx="10426" cy="20"/>
                          </a:xfrm>
                          <a:custGeom>
                            <a:avLst/>
                            <a:gdLst>
                              <a:gd name="T0" fmla="*/ 0 w 10426"/>
                              <a:gd name="T1" fmla="*/ 0 h 20"/>
                              <a:gd name="T2" fmla="*/ 10426 w 10426"/>
                              <a:gd name="T3" fmla="*/ 0 h 20"/>
                            </a:gdLst>
                            <a:ahLst/>
                            <a:cxnLst>
                              <a:cxn ang="0">
                                <a:pos x="T0" y="T1"/>
                              </a:cxn>
                              <a:cxn ang="0">
                                <a:pos x="T2" y="T3"/>
                              </a:cxn>
                            </a:cxnLst>
                            <a:rect l="0" t="0" r="r" b="b"/>
                            <a:pathLst>
                              <a:path w="10426" h="20">
                                <a:moveTo>
                                  <a:pt x="0" y="0"/>
                                </a:moveTo>
                                <a:lnTo>
                                  <a:pt x="10426" y="0"/>
                                </a:lnTo>
                              </a:path>
                            </a:pathLst>
                          </a:custGeom>
                          <a:noFill/>
                          <a:ln w="19558">
                            <a:solidFill>
                              <a:srgbClr val="6060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1" name="Freeform 317"/>
                        <wps:cNvSpPr>
                          <a:spLocks/>
                        </wps:cNvSpPr>
                        <wps:spPr bwMode="auto">
                          <a:xfrm>
                            <a:off x="931" y="413"/>
                            <a:ext cx="10426" cy="20"/>
                          </a:xfrm>
                          <a:custGeom>
                            <a:avLst/>
                            <a:gdLst>
                              <a:gd name="T0" fmla="*/ 0 w 10426"/>
                              <a:gd name="T1" fmla="*/ 0 h 20"/>
                              <a:gd name="T2" fmla="*/ 10426 w 10426"/>
                              <a:gd name="T3" fmla="*/ 0 h 20"/>
                            </a:gdLst>
                            <a:ahLst/>
                            <a:cxnLst>
                              <a:cxn ang="0">
                                <a:pos x="T0" y="T1"/>
                              </a:cxn>
                              <a:cxn ang="0">
                                <a:pos x="T2" y="T3"/>
                              </a:cxn>
                            </a:cxnLst>
                            <a:rect l="0" t="0" r="r" b="b"/>
                            <a:pathLst>
                              <a:path w="10426" h="20">
                                <a:moveTo>
                                  <a:pt x="0" y="0"/>
                                </a:moveTo>
                                <a:lnTo>
                                  <a:pt x="10426" y="0"/>
                                </a:lnTo>
                              </a:path>
                            </a:pathLst>
                          </a:custGeom>
                          <a:noFill/>
                          <a:ln w="10414">
                            <a:solidFill>
                              <a:srgbClr val="C1C1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4" o:spid="_x0000_s1026" style="position:absolute;margin-left:45.75pt;margin-top:18.05pt;width:522.85pt;height:3pt;z-index:251595264;mso-wrap-distance-left:0;mso-wrap-distance-right:0;mso-position-horizontal-relative:page" coordorigin="915,361" coordsize="104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" o:allowincell="f">
                <v:shape id="Freeform 315" o:spid="_x0000_s1027" style="position:absolute;left:931;top:370;width:10426;height:20;visibility:visible;mso-wrap-style:square;v-text-anchor:top" coordsize="1042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9SPsUA&#10;AADcAAAADwAAAGRycy9kb3ducmV2LnhtbESPS2sCMRSF94X+h3AL7jTTYn1MjVIEQQQpPha6u0xu&#10;M1MnN8Mkjum/NwWhy8N5fJzZItpadNT6yrGC10EGgrhwumKj4HhY9ScgfEDWWDsmBb/kYTF/fpph&#10;rt2Nd9TtgxFphH2OCsoQmlxKX5Rk0Q9cQ5y8b9daDEm2RuoWb2nc1vIty0bSYsWJUGJDy5KKy/5q&#10;E3fztXk3I1nFww9t43l4OXXmqFTvJX5+gAgUw3/40V5rBeNsCn9n0hG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n1I+xQAAANwAAAAPAAAAAAAAAAAAAAAAAJgCAABkcnMv&#10;ZG93bnJldi54bWxQSwUGAAAAAAQABAD1AAAAigMAAAAA&#10;" path="m,l10426,e" filled="f" strokeweight=".82pt">
                  <v:path arrowok="t" o:connecttype="custom" o:connectlocs="0,0;10426,0" o:connectangles="0,0"/>
                </v:shape>
                <v:shape id="Freeform 316" o:spid="_x0000_s1028" style="position:absolute;left:931;top:392;width:10426;height:20;visibility:visible;mso-wrap-style:square;v-text-anchor:top" coordsize="1042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1uO8IA&#10;AADcAAAADwAAAGRycy9kb3ducmV2LnhtbERPy2rCQBTdC/7DcIXudJJSq0THYIVCqKv6AneXzM0D&#10;M3dCZpqkf+8sCl0eznubjqYRPXWutqwgXkQgiHOray4VXM6f8zUI55E1NpZJwS85SHfTyRYTbQf+&#10;pv7kSxFC2CWooPK+TaR0eUUG3cK2xIErbGfQB9iVUnc4hHDTyNcoepcGaw4NFbZ0qCh/nH6Mgo+L&#10;y4x9W3Kx/iqa4bA/3q+3o1Ivs3G/AeFp9P/iP3emFaziMD+cCUdA7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fW47wgAAANwAAAAPAAAAAAAAAAAAAAAAAJgCAABkcnMvZG93&#10;bnJldi54bWxQSwUGAAAAAAQABAD1AAAAhwMAAAAA&#10;" path="m,l10426,e" filled="f" strokecolor="#606060" strokeweight="1.54pt">
                  <v:path arrowok="t" o:connecttype="custom" o:connectlocs="0,0;10426,0" o:connectangles="0,0"/>
                </v:shape>
                <v:shape id="Freeform 317" o:spid="_x0000_s1029" style="position:absolute;left:931;top:413;width:10426;height:20;visibility:visible;mso-wrap-style:square;v-text-anchor:top" coordsize="1042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W49cMA&#10;AADcAAAADwAAAGRycy9kb3ducmV2LnhtbESPQWvCQBSE70L/w/KE3nQTD9VGV5GCoPSktpDja/a5&#10;iWbfhuxG03/vCoLHYWa+YRar3tbiSq2vHCtIxwkI4sLpio2Cn+NmNAPhA7LG2jEp+CcPq+XbYIGZ&#10;djfe0/UQjIgQ9hkqKENoMil9UZJFP3YNcfROrrUYomyN1C3eItzWcpIkH9JixXGhxIa+Siouh84q&#10;+L50ebHe7rqdMY5+/yg/J5+5Uu/Dfj0HEagPr/CzvdUKpmkKjzPxCM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GW49cMAAADcAAAADwAAAAAAAAAAAAAAAACYAgAAZHJzL2Rv&#10;d25yZXYueG1sUEsFBgAAAAAEAAQA9QAAAIgDAAAAAA==&#10;" path="m,l10426,e" filled="f" strokecolor="#c1c1c1" strokeweight=".82pt">
                  <v:path arrowok="t" o:connecttype="custom" o:connectlocs="0,0;10426,0" o:connectangles="0,0"/>
                </v:shape>
                <w10:wrap type="topAndBottom" anchorx="page"/>
              </v:group>
            </w:pict>
          </mc:Fallback>
        </mc:AlternateContent>
      </w:r>
    </w:p>
    <w:p w:rsidR="002C5025" w:rsidRDefault="002C5025">
      <w:pPr>
        <w:pStyle w:val="BodyText"/>
        <w:kinsoku w:val="0"/>
        <w:overflowPunct w:val="0"/>
        <w:spacing w:after="17" w:line="231" w:lineRule="exact"/>
        <w:ind w:left="445" w:right="610"/>
        <w:jc w:val="center"/>
        <w:rPr>
          <w:rFonts w:ascii="Cambria" w:hAnsi="Cambria" w:cs="Cambria"/>
          <w:b/>
          <w:bCs/>
          <w:w w:val="105"/>
          <w:sz w:val="19"/>
          <w:szCs w:val="19"/>
        </w:rPr>
      </w:pPr>
      <w:bookmarkStart w:id="122" w:name="Doctors_For_America_Waiver_Response.merg"/>
      <w:bookmarkEnd w:id="122"/>
      <w:r>
        <w:rPr>
          <w:rFonts w:ascii="Cambria" w:hAnsi="Cambria" w:cs="Cambria"/>
          <w:b/>
          <w:bCs/>
          <w:w w:val="105"/>
          <w:sz w:val="19"/>
          <w:szCs w:val="19"/>
        </w:rPr>
        <w:t xml:space="preserve">1701 Pennsylvania Ave, NW, Suite 300, Washington, DC 20006 </w:t>
      </w:r>
      <w:r>
        <w:rPr>
          <w:rFonts w:ascii="Symbol" w:hAnsi="Symbol" w:cs="Symbol"/>
          <w:b/>
          <w:bCs/>
          <w:w w:val="105"/>
          <w:sz w:val="19"/>
          <w:szCs w:val="19"/>
        </w:rPr>
        <w:t></w:t>
      </w:r>
      <w:r>
        <w:rPr>
          <w:rFonts w:ascii="Times New Roman" w:hAnsi="Times New Roman" w:cs="Times New Roman"/>
          <w:b/>
          <w:bCs/>
          <w:w w:val="105"/>
          <w:sz w:val="19"/>
          <w:szCs w:val="19"/>
        </w:rPr>
        <w:t xml:space="preserve">  </w:t>
      </w:r>
      <w:r>
        <w:rPr>
          <w:rFonts w:ascii="Cambria" w:hAnsi="Cambria" w:cs="Cambria"/>
          <w:b/>
          <w:bCs/>
          <w:w w:val="105"/>
          <w:sz w:val="19"/>
          <w:szCs w:val="19"/>
        </w:rPr>
        <w:t xml:space="preserve">202.481.7197 </w:t>
      </w:r>
      <w:r>
        <w:rPr>
          <w:rFonts w:ascii="Symbol" w:hAnsi="Symbol" w:cs="Symbol"/>
          <w:b/>
          <w:bCs/>
          <w:w w:val="105"/>
          <w:sz w:val="19"/>
          <w:szCs w:val="19"/>
        </w:rPr>
        <w:t></w:t>
      </w:r>
      <w:r>
        <w:rPr>
          <w:rFonts w:ascii="Times New Roman" w:hAnsi="Times New Roman" w:cs="Times New Roman"/>
          <w:b/>
          <w:bCs/>
          <w:w w:val="105"/>
          <w:sz w:val="19"/>
          <w:szCs w:val="19"/>
        </w:rPr>
        <w:t xml:space="preserve"> </w:t>
      </w:r>
      <w:hyperlink r:id="rId262" w:history="1">
        <w:r>
          <w:rPr>
            <w:rFonts w:ascii="Cambria" w:hAnsi="Cambria" w:cs="Cambria"/>
            <w:b/>
            <w:bCs/>
            <w:w w:val="105"/>
            <w:sz w:val="19"/>
            <w:szCs w:val="19"/>
          </w:rPr>
          <w:t>www.drsforamerica.org</w:t>
        </w:r>
      </w:hyperlink>
    </w:p>
    <w:p w:rsidR="002C5025" w:rsidRDefault="00FB027C">
      <w:pPr>
        <w:pStyle w:val="BodyText"/>
        <w:kinsoku w:val="0"/>
        <w:overflowPunct w:val="0"/>
        <w:spacing w:line="60" w:lineRule="exact"/>
        <w:ind w:left="115"/>
        <w:rPr>
          <w:rFonts w:ascii="Cambria" w:hAnsi="Cambria" w:cs="Cambria"/>
          <w:position w:val="-1"/>
          <w:sz w:val="5"/>
          <w:szCs w:val="5"/>
        </w:rPr>
      </w:pPr>
      <w:r>
        <w:rPr>
          <w:rFonts w:ascii="Cambria" w:hAnsi="Cambria" w:cs="Cambria"/>
          <w:noProof/>
          <w:position w:val="-1"/>
          <w:sz w:val="5"/>
          <w:szCs w:val="5"/>
        </w:rPr>
        <mc:AlternateContent>
          <mc:Choice Requires="wpg">
            <w:drawing>
              <wp:inline distT="0" distB="0" distL="0" distR="0">
                <wp:extent cx="6640195" cy="38100"/>
                <wp:effectExtent l="9525" t="9525" r="8255" b="0"/>
                <wp:docPr id="704" name="Group 3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0195" cy="38100"/>
                          <a:chOff x="0" y="0"/>
                          <a:chExt cx="10457" cy="60"/>
                        </a:xfrm>
                      </wpg:grpSpPr>
                      <wps:wsp>
                        <wps:cNvPr id="705" name="Freeform 319"/>
                        <wps:cNvSpPr>
                          <a:spLocks/>
                        </wps:cNvSpPr>
                        <wps:spPr bwMode="auto">
                          <a:xfrm>
                            <a:off x="15" y="51"/>
                            <a:ext cx="10426" cy="20"/>
                          </a:xfrm>
                          <a:custGeom>
                            <a:avLst/>
                            <a:gdLst>
                              <a:gd name="T0" fmla="*/ 0 w 10426"/>
                              <a:gd name="T1" fmla="*/ 0 h 20"/>
                              <a:gd name="T2" fmla="*/ 10426 w 10426"/>
                              <a:gd name="T3" fmla="*/ 0 h 20"/>
                            </a:gdLst>
                            <a:ahLst/>
                            <a:cxnLst>
                              <a:cxn ang="0">
                                <a:pos x="T0" y="T1"/>
                              </a:cxn>
                              <a:cxn ang="0">
                                <a:pos x="T2" y="T3"/>
                              </a:cxn>
                            </a:cxnLst>
                            <a:rect l="0" t="0" r="r" b="b"/>
                            <a:pathLst>
                              <a:path w="10426" h="20">
                                <a:moveTo>
                                  <a:pt x="0" y="0"/>
                                </a:moveTo>
                                <a:lnTo>
                                  <a:pt x="10426"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6" name="Freeform 320"/>
                        <wps:cNvSpPr>
                          <a:spLocks/>
                        </wps:cNvSpPr>
                        <wps:spPr bwMode="auto">
                          <a:xfrm>
                            <a:off x="15" y="30"/>
                            <a:ext cx="10426" cy="20"/>
                          </a:xfrm>
                          <a:custGeom>
                            <a:avLst/>
                            <a:gdLst>
                              <a:gd name="T0" fmla="*/ 0 w 10426"/>
                              <a:gd name="T1" fmla="*/ 0 h 20"/>
                              <a:gd name="T2" fmla="*/ 10426 w 10426"/>
                              <a:gd name="T3" fmla="*/ 0 h 20"/>
                            </a:gdLst>
                            <a:ahLst/>
                            <a:cxnLst>
                              <a:cxn ang="0">
                                <a:pos x="T0" y="T1"/>
                              </a:cxn>
                              <a:cxn ang="0">
                                <a:pos x="T2" y="T3"/>
                              </a:cxn>
                            </a:cxnLst>
                            <a:rect l="0" t="0" r="r" b="b"/>
                            <a:pathLst>
                              <a:path w="10426" h="20">
                                <a:moveTo>
                                  <a:pt x="0" y="0"/>
                                </a:moveTo>
                                <a:lnTo>
                                  <a:pt x="10426" y="0"/>
                                </a:lnTo>
                              </a:path>
                            </a:pathLst>
                          </a:custGeom>
                          <a:noFill/>
                          <a:ln w="19558">
                            <a:solidFill>
                              <a:srgbClr val="6060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7" name="Freeform 321"/>
                        <wps:cNvSpPr>
                          <a:spLocks/>
                        </wps:cNvSpPr>
                        <wps:spPr bwMode="auto">
                          <a:xfrm>
                            <a:off x="15" y="8"/>
                            <a:ext cx="10426" cy="20"/>
                          </a:xfrm>
                          <a:custGeom>
                            <a:avLst/>
                            <a:gdLst>
                              <a:gd name="T0" fmla="*/ 0 w 10426"/>
                              <a:gd name="T1" fmla="*/ 0 h 20"/>
                              <a:gd name="T2" fmla="*/ 10426 w 10426"/>
                              <a:gd name="T3" fmla="*/ 0 h 20"/>
                            </a:gdLst>
                            <a:ahLst/>
                            <a:cxnLst>
                              <a:cxn ang="0">
                                <a:pos x="T0" y="T1"/>
                              </a:cxn>
                              <a:cxn ang="0">
                                <a:pos x="T2" y="T3"/>
                              </a:cxn>
                            </a:cxnLst>
                            <a:rect l="0" t="0" r="r" b="b"/>
                            <a:pathLst>
                              <a:path w="10426" h="20">
                                <a:moveTo>
                                  <a:pt x="0" y="0"/>
                                </a:moveTo>
                                <a:lnTo>
                                  <a:pt x="10426" y="0"/>
                                </a:lnTo>
                              </a:path>
                            </a:pathLst>
                          </a:custGeom>
                          <a:noFill/>
                          <a:ln w="10414">
                            <a:solidFill>
                              <a:srgbClr val="C1C1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318" o:spid="_x0000_s1026" style="width:522.85pt;height:3pt;mso-position-horizontal-relative:char;mso-position-vertical-relative:line" coordsize="104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">
                <v:shape id="Freeform 319" o:spid="_x0000_s1027" style="position:absolute;left:15;top:51;width:10426;height:20;visibility:visible;mso-wrap-style:square;v-text-anchor:top" coordsize="1042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JYO8QA&#10;AADcAAAADwAAAGRycy9kb3ducmV2LnhtbESPS2sCMRSF94L/IVyhO80oamVqFBEKIhTxsbC7y+Q2&#10;M3VyM0zSMf33jSB0eTiPj7NcR1uLjlpfOVYwHmUgiAunKzYKLuf34QKED8gaa8ek4Jc8rFf93hJz&#10;7e58pO4UjEgj7HNUUIbQ5FL6oiSLfuQa4uR9udZiSLI1Urd4T+O2lpMsm0uLFSdCiQ1tSypupx+b&#10;uPvDfmbmsornb/qIn9PbtTMXpV4GcfMGIlAM/+Fne6cVvGYzeJxJR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SWDvEAAAA3AAAAA8AAAAAAAAAAAAAAAAAmAIAAGRycy9k&#10;b3ducmV2LnhtbFBLBQYAAAAABAAEAPUAAACJAwAAAAA=&#10;" path="m,l10426,e" filled="f" strokeweight=".82pt">
                  <v:path arrowok="t" o:connecttype="custom" o:connectlocs="0,0;10426,0" o:connectangles="0,0"/>
                </v:shape>
                <v:shape id="Freeform 320" o:spid="_x0000_s1028" style="position:absolute;left:15;top:30;width:10426;height:20;visibility:visible;mso-wrap-style:square;v-text-anchor:top" coordsize="1042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HFCcMA&#10;AADcAAAADwAAAGRycy9kb3ducmV2LnhtbESPS4sCMRCE74L/IbTgTTMuvhiNooIgelpXBW/NpOeB&#10;k84wyTrjvzfCwh6LqvqKWq5bU4on1a6wrGA0jEAQJ1YXnCm4/OwHcxDOI2ssLZOCFzlYr7qdJcba&#10;NvxNz7PPRICwi1FB7n0VS+mSnAy6oa2Ig5fa2qAPss6krrEJcFPKryiaSoMFh4UcK9rllDzOv0bB&#10;9uIOxo4nnM6PadnsNqf79XZSqt9rNwsQnlr/H/5rH7SCWTSFz5lwBOTq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HFCcMAAADcAAAADwAAAAAAAAAAAAAAAACYAgAAZHJzL2Rv&#10;d25yZXYueG1sUEsFBgAAAAAEAAQA9QAAAIgDAAAAAA==&#10;" path="m,l10426,e" filled="f" strokecolor="#606060" strokeweight="1.54pt">
                  <v:path arrowok="t" o:connecttype="custom" o:connectlocs="0,0;10426,0" o:connectangles="0,0"/>
                </v:shape>
                <v:shape id="Freeform 321" o:spid="_x0000_s1029" style="position:absolute;left:15;top:8;width:10426;height:20;visibility:visible;mso-wrap-style:square;v-text-anchor:top" coordsize="1042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kTx8QA&#10;AADcAAAADwAAAGRycy9kb3ducmV2LnhtbESPT2sCMRTE7wW/Q3hCbzWpB7WrUUQQlJ78B3t83Tyz&#10;Wzcvyyar22/fCIUeh5n5DbNY9a4Wd2pD5VnD+0iBIC68qdhqOJ+2bzMQISIbrD2Thh8KsFoOXhaY&#10;Gf/gA92P0YoE4ZChhjLGJpMyFCU5DCPfECfv6luHMcnWStPiI8FdLcdKTaTDitNCiQ1tSipux85p&#10;+Lx1ebHe7bu9tZ4uX5R/q49c69dhv56DiNTH//Bfe2c0TNUUnmfSEZ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ZE8fEAAAA3AAAAA8AAAAAAAAAAAAAAAAAmAIAAGRycy9k&#10;b3ducmV2LnhtbFBLBQYAAAAABAAEAPUAAACJAwAAAAA=&#10;" path="m,l10426,e" filled="f" strokecolor="#c1c1c1" strokeweight=".82pt">
                  <v:path arrowok="t" o:connecttype="custom" o:connectlocs="0,0;10426,0" o:connectangles="0,0"/>
                </v:shape>
                <w10:anchorlock/>
              </v:group>
            </w:pict>
          </mc:Fallback>
        </mc:AlternateContent>
      </w:r>
    </w:p>
    <w:p w:rsidR="002C5025" w:rsidRDefault="002C5025">
      <w:pPr>
        <w:pStyle w:val="BodyText"/>
        <w:kinsoku w:val="0"/>
        <w:overflowPunct w:val="0"/>
        <w:spacing w:before="23"/>
        <w:ind w:left="445" w:right="483"/>
        <w:jc w:val="center"/>
        <w:rPr>
          <w:rFonts w:ascii="Cambria" w:hAnsi="Cambria" w:cs="Cambria"/>
          <w:b/>
          <w:bCs/>
          <w:sz w:val="24"/>
          <w:szCs w:val="24"/>
        </w:rPr>
      </w:pPr>
      <w:r>
        <w:rPr>
          <w:rFonts w:ascii="Cambria" w:hAnsi="Cambria" w:cs="Cambria"/>
          <w:b/>
          <w:bCs/>
          <w:sz w:val="24"/>
          <w:szCs w:val="24"/>
        </w:rPr>
        <w:t xml:space="preserve">Massachusetts Chapter </w:t>
      </w:r>
      <w:r>
        <w:rPr>
          <w:rFonts w:ascii="Symbol" w:hAnsi="Symbol" w:cs="Symbol"/>
          <w:b/>
          <w:bCs/>
          <w:sz w:val="24"/>
          <w:szCs w:val="24"/>
        </w:rPr>
        <w:t></w:t>
      </w:r>
      <w:r>
        <w:rPr>
          <w:rFonts w:ascii="Times New Roman" w:hAnsi="Times New Roman" w:cs="Times New Roman"/>
          <w:b/>
          <w:bCs/>
          <w:sz w:val="24"/>
          <w:szCs w:val="24"/>
        </w:rPr>
        <w:t xml:space="preserve"> </w:t>
      </w:r>
      <w:hyperlink r:id="rId263" w:history="1">
        <w:r>
          <w:rPr>
            <w:rFonts w:ascii="Cambria" w:hAnsi="Cambria" w:cs="Cambria"/>
            <w:b/>
            <w:bCs/>
            <w:sz w:val="24"/>
            <w:szCs w:val="24"/>
            <w:u w:val="single" w:color="386EFF"/>
          </w:rPr>
          <w:t>massachusetts@drsforamerica.org</w:t>
        </w:r>
      </w:hyperlink>
    </w:p>
    <w:p w:rsidR="002C5025" w:rsidRDefault="002C5025">
      <w:pPr>
        <w:pStyle w:val="BodyText"/>
        <w:kinsoku w:val="0"/>
        <w:overflowPunct w:val="0"/>
        <w:rPr>
          <w:rFonts w:ascii="Cambria" w:hAnsi="Cambria" w:cs="Cambria"/>
          <w:b/>
          <w:bCs/>
          <w:sz w:val="20"/>
          <w:szCs w:val="20"/>
        </w:rPr>
      </w:pPr>
    </w:p>
    <w:p w:rsidR="002C5025" w:rsidRDefault="002C5025">
      <w:pPr>
        <w:pStyle w:val="BodyText"/>
        <w:kinsoku w:val="0"/>
        <w:overflowPunct w:val="0"/>
        <w:spacing w:before="3"/>
        <w:rPr>
          <w:rFonts w:ascii="Cambria" w:hAnsi="Cambria" w:cs="Cambria"/>
          <w:b/>
          <w:bCs/>
          <w:sz w:val="20"/>
          <w:szCs w:val="20"/>
        </w:rPr>
      </w:pPr>
    </w:p>
    <w:p w:rsidR="002C5025" w:rsidRDefault="002C5025">
      <w:pPr>
        <w:pStyle w:val="BodyText"/>
        <w:kinsoku w:val="0"/>
        <w:overflowPunct w:val="0"/>
        <w:spacing w:before="69"/>
        <w:ind w:left="143" w:right="1992"/>
        <w:rPr>
          <w:rFonts w:ascii="Times New Roman" w:hAnsi="Times New Roman" w:cs="Times New Roman"/>
          <w:sz w:val="24"/>
          <w:szCs w:val="24"/>
        </w:rPr>
      </w:pPr>
      <w:r>
        <w:rPr>
          <w:rFonts w:ascii="Times New Roman" w:hAnsi="Times New Roman" w:cs="Times New Roman"/>
          <w:sz w:val="24"/>
          <w:szCs w:val="24"/>
        </w:rPr>
        <w:t>Daniel Tsai</w:t>
      </w:r>
    </w:p>
    <w:p w:rsidR="002C5025" w:rsidRDefault="002C5025">
      <w:pPr>
        <w:pStyle w:val="BodyText"/>
        <w:kinsoku w:val="0"/>
        <w:overflowPunct w:val="0"/>
        <w:ind w:left="143" w:right="1992"/>
        <w:rPr>
          <w:rFonts w:ascii="Times New Roman" w:hAnsi="Times New Roman" w:cs="Times New Roman"/>
          <w:sz w:val="24"/>
          <w:szCs w:val="24"/>
        </w:rPr>
      </w:pPr>
      <w:r>
        <w:rPr>
          <w:rFonts w:ascii="Times New Roman" w:hAnsi="Times New Roman" w:cs="Times New Roman"/>
          <w:sz w:val="24"/>
          <w:szCs w:val="24"/>
        </w:rPr>
        <w:t>Assistant Secretary for MassHealth</w:t>
      </w:r>
    </w:p>
    <w:p w:rsidR="002C5025" w:rsidRDefault="002C5025">
      <w:pPr>
        <w:pStyle w:val="BodyText"/>
        <w:kinsoku w:val="0"/>
        <w:overflowPunct w:val="0"/>
        <w:spacing w:before="12" w:line="274" w:lineRule="exact"/>
        <w:ind w:left="143" w:right="1992"/>
        <w:rPr>
          <w:rFonts w:ascii="Times New Roman" w:hAnsi="Times New Roman" w:cs="Times New Roman"/>
          <w:sz w:val="24"/>
          <w:szCs w:val="24"/>
        </w:rPr>
      </w:pPr>
      <w:r>
        <w:rPr>
          <w:rFonts w:ascii="Times New Roman" w:hAnsi="Times New Roman" w:cs="Times New Roman"/>
          <w:sz w:val="24"/>
          <w:szCs w:val="24"/>
        </w:rPr>
        <w:t>Executive Office of Health and Human Services One Ashburton Place, 11th floor Boston, MA 02108</w:t>
      </w:r>
    </w:p>
    <w:p w:rsidR="002C5025" w:rsidRDefault="002C5025">
      <w:pPr>
        <w:pStyle w:val="BodyText"/>
        <w:kinsoku w:val="0"/>
        <w:overflowPunct w:val="0"/>
        <w:spacing w:before="10"/>
        <w:rPr>
          <w:rFonts w:ascii="Times New Roman" w:hAnsi="Times New Roman" w:cs="Times New Roman"/>
        </w:rPr>
      </w:pPr>
    </w:p>
    <w:p w:rsidR="002C5025" w:rsidRDefault="002C5025">
      <w:pPr>
        <w:pStyle w:val="BodyText"/>
        <w:kinsoku w:val="0"/>
        <w:overflowPunct w:val="0"/>
        <w:ind w:left="143" w:right="1992"/>
        <w:rPr>
          <w:rFonts w:ascii="Times New Roman" w:hAnsi="Times New Roman" w:cs="Times New Roman"/>
          <w:sz w:val="24"/>
          <w:szCs w:val="24"/>
        </w:rPr>
      </w:pPr>
      <w:r>
        <w:rPr>
          <w:rFonts w:ascii="Times New Roman" w:hAnsi="Times New Roman" w:cs="Times New Roman"/>
          <w:sz w:val="24"/>
          <w:szCs w:val="24"/>
        </w:rPr>
        <w:t>July 17, 2016</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spacing w:before="7"/>
        <w:rPr>
          <w:rFonts w:ascii="Times New Roman" w:hAnsi="Times New Roman" w:cs="Times New Roman"/>
          <w:sz w:val="24"/>
          <w:szCs w:val="24"/>
        </w:rPr>
      </w:pPr>
    </w:p>
    <w:p w:rsidR="002C5025" w:rsidRDefault="002C5025">
      <w:pPr>
        <w:pStyle w:val="BodyText"/>
        <w:kinsoku w:val="0"/>
        <w:overflowPunct w:val="0"/>
        <w:spacing w:line="237" w:lineRule="auto"/>
        <w:ind w:left="143" w:right="545"/>
        <w:rPr>
          <w:rFonts w:ascii="Times New Roman" w:hAnsi="Times New Roman" w:cs="Times New Roman"/>
          <w:sz w:val="24"/>
          <w:szCs w:val="24"/>
        </w:rPr>
      </w:pPr>
      <w:r>
        <w:rPr>
          <w:rFonts w:ascii="Times New Roman" w:hAnsi="Times New Roman" w:cs="Times New Roman"/>
          <w:sz w:val="24"/>
          <w:szCs w:val="24"/>
        </w:rPr>
        <w:t>We thank you for the opportunity to provide comments on the MassHealth Section 1115 Demonstration Project Amendment and Extension Request. As a state chapter representing over 1,500 doctors and providers in Massachusetts who serve MassHealth patients, we welcome the move towards value-based care that aligns with the Triple Aim.</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43" w:right="153"/>
        <w:rPr>
          <w:rFonts w:ascii="Times New Roman" w:hAnsi="Times New Roman" w:cs="Times New Roman"/>
          <w:sz w:val="24"/>
          <w:szCs w:val="24"/>
        </w:rPr>
      </w:pPr>
      <w:r>
        <w:rPr>
          <w:rFonts w:ascii="Times New Roman" w:hAnsi="Times New Roman" w:cs="Times New Roman"/>
          <w:sz w:val="24"/>
          <w:szCs w:val="24"/>
        </w:rPr>
        <w:t>As the physician organization that worked with EOHHS in 2010 to host a town hall meeting of over 200 providers on the topic of payment reform -- as our contribution to early stakeholder support of what became law with Chapter 224 in 2012 -- we are excited to have this opportunity to contribute to this stage of payment reform implementation. Doctors for America has been and remains a committed to system reform to ensure affordable, accessible, and high quality health care.</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43" w:right="485"/>
        <w:rPr>
          <w:rFonts w:ascii="Times New Roman" w:hAnsi="Times New Roman" w:cs="Times New Roman"/>
          <w:sz w:val="24"/>
          <w:szCs w:val="24"/>
        </w:rPr>
      </w:pPr>
      <w:r>
        <w:rPr>
          <w:rFonts w:ascii="Times New Roman" w:hAnsi="Times New Roman" w:cs="Times New Roman"/>
          <w:sz w:val="24"/>
          <w:szCs w:val="24"/>
        </w:rPr>
        <w:t>The vision of patient-centered, whole person care across the care continuum is both admirable and necessary. Successful implementation, however, will involve many challenges. Below are detailed comments on important considerations to promote successful reform. We anticipate many of these positions will align with other public-health minded advocates. In some instances, our positions outlined below are to express support for already articulated recommendations.</w:t>
      </w:r>
    </w:p>
    <w:p w:rsidR="002C5025" w:rsidRDefault="002C5025">
      <w:pPr>
        <w:pStyle w:val="BodyText"/>
        <w:kinsoku w:val="0"/>
        <w:overflowPunct w:val="0"/>
        <w:spacing w:before="4"/>
        <w:rPr>
          <w:rFonts w:ascii="Times New Roman" w:hAnsi="Times New Roman" w:cs="Times New Roman"/>
          <w:sz w:val="24"/>
          <w:szCs w:val="24"/>
        </w:rPr>
      </w:pPr>
    </w:p>
    <w:p w:rsidR="002C5025" w:rsidRDefault="002C5025">
      <w:pPr>
        <w:pStyle w:val="BodyText"/>
        <w:kinsoku w:val="0"/>
        <w:overflowPunct w:val="0"/>
        <w:spacing w:before="1"/>
        <w:ind w:left="143" w:right="1992"/>
        <w:rPr>
          <w:rFonts w:ascii="Times New Roman" w:hAnsi="Times New Roman" w:cs="Times New Roman"/>
          <w:b/>
          <w:bCs/>
          <w:sz w:val="24"/>
          <w:szCs w:val="24"/>
        </w:rPr>
      </w:pPr>
      <w:bookmarkStart w:id="123" w:name="Enhancements/Support_for_Primary_Care"/>
      <w:bookmarkEnd w:id="123"/>
      <w:r>
        <w:rPr>
          <w:rFonts w:ascii="Times New Roman" w:hAnsi="Times New Roman" w:cs="Times New Roman"/>
          <w:b/>
          <w:bCs/>
          <w:sz w:val="24"/>
          <w:szCs w:val="24"/>
        </w:rPr>
        <w:t>Enhancements/Support for Primary Care</w:t>
      </w:r>
    </w:p>
    <w:p w:rsidR="002C5025" w:rsidRDefault="002C5025">
      <w:pPr>
        <w:pStyle w:val="BodyText"/>
        <w:kinsoku w:val="0"/>
        <w:overflowPunct w:val="0"/>
        <w:spacing w:before="7"/>
        <w:rPr>
          <w:rFonts w:ascii="Times New Roman" w:hAnsi="Times New Roman" w:cs="Times New Roman"/>
          <w:b/>
          <w:bCs/>
          <w:sz w:val="30"/>
          <w:szCs w:val="30"/>
        </w:rPr>
      </w:pPr>
    </w:p>
    <w:p w:rsidR="002C5025" w:rsidRDefault="002C5025">
      <w:pPr>
        <w:pStyle w:val="BodyText"/>
        <w:kinsoku w:val="0"/>
        <w:overflowPunct w:val="0"/>
        <w:spacing w:before="1" w:line="278" w:lineRule="auto"/>
        <w:ind w:left="143" w:right="501"/>
        <w:jc w:val="both"/>
        <w:rPr>
          <w:rFonts w:ascii="Times New Roman" w:hAnsi="Times New Roman" w:cs="Times New Roman"/>
          <w:sz w:val="24"/>
          <w:szCs w:val="24"/>
        </w:rPr>
      </w:pPr>
      <w:r>
        <w:rPr>
          <w:rFonts w:ascii="Times New Roman" w:hAnsi="Times New Roman" w:cs="Times New Roman"/>
          <w:sz w:val="24"/>
          <w:szCs w:val="24"/>
        </w:rPr>
        <w:t>We strongly support the described enhancements for primary care. Robust primary care and the medical home are the pivotal points for whole person care across the care continuum. For effective integration of BH and LTSS with medical care, primary care must be the centerpiece of the healthcare system.</w:t>
      </w:r>
    </w:p>
    <w:p w:rsidR="002C5025" w:rsidRDefault="002C5025">
      <w:pPr>
        <w:pStyle w:val="BodyText"/>
        <w:kinsoku w:val="0"/>
        <w:overflowPunct w:val="0"/>
        <w:spacing w:before="4"/>
        <w:rPr>
          <w:rFonts w:ascii="Times New Roman" w:hAnsi="Times New Roman" w:cs="Times New Roman"/>
          <w:sz w:val="21"/>
          <w:szCs w:val="21"/>
        </w:rPr>
      </w:pPr>
    </w:p>
    <w:p w:rsidR="002C5025" w:rsidRDefault="002C5025">
      <w:pPr>
        <w:pStyle w:val="BodyText"/>
        <w:kinsoku w:val="0"/>
        <w:overflowPunct w:val="0"/>
        <w:spacing w:before="69" w:line="276" w:lineRule="auto"/>
        <w:ind w:left="143" w:right="407"/>
        <w:rPr>
          <w:rFonts w:ascii="Times New Roman" w:hAnsi="Times New Roman" w:cs="Times New Roman"/>
          <w:sz w:val="24"/>
          <w:szCs w:val="24"/>
        </w:rPr>
      </w:pPr>
      <w:r>
        <w:rPr>
          <w:rFonts w:ascii="Times New Roman" w:hAnsi="Times New Roman" w:cs="Times New Roman"/>
          <w:sz w:val="24"/>
          <w:szCs w:val="24"/>
        </w:rPr>
        <w:t>We support the very thoughtful grants for community providers to participate in Accountable Care Organization (ACO) related activities to improve care at their clinic and for general workforce development. We appreciate the significant investments in primary care workforce development, through loan repayment and funding to offset the costs of trainees working in FQHCs. These are important mechanisms to increase the number of primary care providers.</w:t>
      </w:r>
    </w:p>
    <w:p w:rsidR="002C5025" w:rsidRDefault="00FB027C">
      <w:pPr>
        <w:pStyle w:val="BodyText"/>
        <w:kinsoku w:val="0"/>
        <w:overflowPunct w:val="0"/>
        <w:spacing w:before="69"/>
        <w:ind w:right="168"/>
        <w:jc w:val="right"/>
        <w:rPr>
          <w:rFonts w:ascii="Times New Roman" w:hAnsi="Times New Roman" w:cs="Times New Roman"/>
          <w:w w:val="99"/>
          <w:sz w:val="19"/>
          <w:szCs w:val="19"/>
        </w:rPr>
      </w:pPr>
      <w:r>
        <w:rPr>
          <w:noProof/>
        </w:rPr>
        <mc:AlternateContent>
          <mc:Choice Requires="wpg">
            <w:drawing>
              <wp:anchor distT="0" distB="0" distL="114300" distR="114300" simplePos="0" relativeHeight="251596288" behindDoc="0" locked="0" layoutInCell="0" allowOverlap="1">
                <wp:simplePos x="0" y="0"/>
                <wp:positionH relativeFrom="page">
                  <wp:posOffset>572135</wp:posOffset>
                </wp:positionH>
                <wp:positionV relativeFrom="paragraph">
                  <wp:posOffset>43180</wp:posOffset>
                </wp:positionV>
                <wp:extent cx="6410960" cy="38100"/>
                <wp:effectExtent l="0" t="0" r="0" b="0"/>
                <wp:wrapNone/>
                <wp:docPr id="700" name="Group 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0960" cy="38100"/>
                          <a:chOff x="901" y="68"/>
                          <a:chExt cx="10096" cy="60"/>
                        </a:xfrm>
                      </wpg:grpSpPr>
                      <wps:wsp>
                        <wps:cNvPr id="701" name="Freeform 323"/>
                        <wps:cNvSpPr>
                          <a:spLocks/>
                        </wps:cNvSpPr>
                        <wps:spPr bwMode="auto">
                          <a:xfrm>
                            <a:off x="917" y="77"/>
                            <a:ext cx="10065" cy="20"/>
                          </a:xfrm>
                          <a:custGeom>
                            <a:avLst/>
                            <a:gdLst>
                              <a:gd name="T0" fmla="*/ 0 w 10065"/>
                              <a:gd name="T1" fmla="*/ 0 h 20"/>
                              <a:gd name="T2" fmla="*/ 10065 w 10065"/>
                              <a:gd name="T3" fmla="*/ 0 h 20"/>
                            </a:gdLst>
                            <a:ahLst/>
                            <a:cxnLst>
                              <a:cxn ang="0">
                                <a:pos x="T0" y="T1"/>
                              </a:cxn>
                              <a:cxn ang="0">
                                <a:pos x="T2" y="T3"/>
                              </a:cxn>
                            </a:cxnLst>
                            <a:rect l="0" t="0" r="r" b="b"/>
                            <a:pathLst>
                              <a:path w="10065" h="20">
                                <a:moveTo>
                                  <a:pt x="0" y="0"/>
                                </a:moveTo>
                                <a:lnTo>
                                  <a:pt x="10065"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2" name="Freeform 324"/>
                        <wps:cNvSpPr>
                          <a:spLocks/>
                        </wps:cNvSpPr>
                        <wps:spPr bwMode="auto">
                          <a:xfrm>
                            <a:off x="917" y="99"/>
                            <a:ext cx="10065" cy="20"/>
                          </a:xfrm>
                          <a:custGeom>
                            <a:avLst/>
                            <a:gdLst>
                              <a:gd name="T0" fmla="*/ 0 w 10065"/>
                              <a:gd name="T1" fmla="*/ 0 h 20"/>
                              <a:gd name="T2" fmla="*/ 10065 w 10065"/>
                              <a:gd name="T3" fmla="*/ 0 h 20"/>
                            </a:gdLst>
                            <a:ahLst/>
                            <a:cxnLst>
                              <a:cxn ang="0">
                                <a:pos x="T0" y="T1"/>
                              </a:cxn>
                              <a:cxn ang="0">
                                <a:pos x="T2" y="T3"/>
                              </a:cxn>
                            </a:cxnLst>
                            <a:rect l="0" t="0" r="r" b="b"/>
                            <a:pathLst>
                              <a:path w="10065" h="20">
                                <a:moveTo>
                                  <a:pt x="0" y="0"/>
                                </a:moveTo>
                                <a:lnTo>
                                  <a:pt x="10065" y="0"/>
                                </a:lnTo>
                              </a:path>
                            </a:pathLst>
                          </a:custGeom>
                          <a:noFill/>
                          <a:ln w="19558">
                            <a:solidFill>
                              <a:srgbClr val="6060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3" name="Freeform 325"/>
                        <wps:cNvSpPr>
                          <a:spLocks/>
                        </wps:cNvSpPr>
                        <wps:spPr bwMode="auto">
                          <a:xfrm>
                            <a:off x="917" y="120"/>
                            <a:ext cx="10065" cy="20"/>
                          </a:xfrm>
                          <a:custGeom>
                            <a:avLst/>
                            <a:gdLst>
                              <a:gd name="T0" fmla="*/ 0 w 10065"/>
                              <a:gd name="T1" fmla="*/ 0 h 20"/>
                              <a:gd name="T2" fmla="*/ 10065 w 10065"/>
                              <a:gd name="T3" fmla="*/ 0 h 20"/>
                            </a:gdLst>
                            <a:ahLst/>
                            <a:cxnLst>
                              <a:cxn ang="0">
                                <a:pos x="T0" y="T1"/>
                              </a:cxn>
                              <a:cxn ang="0">
                                <a:pos x="T2" y="T3"/>
                              </a:cxn>
                            </a:cxnLst>
                            <a:rect l="0" t="0" r="r" b="b"/>
                            <a:pathLst>
                              <a:path w="10065" h="20">
                                <a:moveTo>
                                  <a:pt x="0" y="0"/>
                                </a:moveTo>
                                <a:lnTo>
                                  <a:pt x="10065" y="0"/>
                                </a:lnTo>
                              </a:path>
                            </a:pathLst>
                          </a:custGeom>
                          <a:noFill/>
                          <a:ln w="10414">
                            <a:solidFill>
                              <a:srgbClr val="C1C1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2" o:spid="_x0000_s1026" style="position:absolute;margin-left:45.05pt;margin-top:3.4pt;width:504.8pt;height:3pt;z-index:251596288;mso-position-horizontal-relative:page" coordorigin="901,68" coordsize="1009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" o:allowincell="f">
                <v:shape id="Freeform 323" o:spid="_x0000_s1027" style="position:absolute;left:917;top:77;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iqfsYA&#10;AADcAAAADwAAAGRycy9kb3ducmV2LnhtbESPQWvCQBSE7wX/w/KEXopu9NBKdBVRFMmhEBvw+sg+&#10;k2j27ZJdNfXXdwuFHoeZ+YZZrHrTijt1vrGsYDJOQBCXVjdcKSi+dqMZCB+QNbaWScE3eVgtBy8L&#10;TLV9cE73Y6hEhLBPUUEdgkul9GVNBv3YOuLonW1nMETZVVJ3+Ihw08ppkrxLgw3HhRodbWoqr8eb&#10;UXD4vOTbk3kW7qk358K9Zdk+z5R6HfbrOYhAffgP/7UPWsFHMoHfM/EI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uiqfsYAAADcAAAADwAAAAAAAAAAAAAAAACYAgAAZHJz&#10;L2Rvd25yZXYueG1sUEsFBgAAAAAEAAQA9QAAAIsDAAAAAA==&#10;" path="m,l10065,e" filled="f" strokeweight=".82pt">
                  <v:path arrowok="t" o:connecttype="custom" o:connectlocs="0,0;10065,0" o:connectangles="0,0"/>
                </v:shape>
                <v:shape id="Freeform 324" o:spid="_x0000_s1028" style="position:absolute;left:917;top:99;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WkNMQA&#10;AADcAAAADwAAAGRycy9kb3ducmV2LnhtbESPX0vDQBDE3wt+h2MF35pLilRJew1aqIgvYhTxcclt&#10;/tTcXrhb2/jtPUHwcZiZ3zDbanajOlGIg2cDRZaDIm68Hbgz8PZ6WN6CioJscfRMBr4pQrW7WGyx&#10;tP7ML3SqpVMJwrFEA73IVGodm54cxsxPxMlrfXAoSYZO24DnBHejXuX5WjscOC30ONG+p+az/nIG&#10;PvBg6/V1u5+PQYrn+/ZdHp6cMVeX890GlNAs/+G/9qM1cJOv4PdMOgJ6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VpDTEAAAA3AAAAA8AAAAAAAAAAAAAAAAAmAIAAGRycy9k&#10;b3ducmV2LnhtbFBLBQYAAAAABAAEAPUAAACJAwAAAAA=&#10;" path="m,l10065,e" filled="f" strokecolor="#606060" strokeweight="1.54pt">
                  <v:path arrowok="t" o:connecttype="custom" o:connectlocs="0,0;10065,0" o:connectangles="0,0"/>
                </v:shape>
                <v:shape id="Freeform 325" o:spid="_x0000_s1029" style="position:absolute;left:917;top:120;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iDMMA&#10;AADcAAAADwAAAGRycy9kb3ducmV2LnhtbESPQYvCMBSE78L+h/AWvGmqhbpbjbIURK9VQXp7NM+2&#10;2LyUJqvVX2+EhT0OM/MNs9oMphU36l1jWcFsGoEgLq1uuFJwOm4nXyCcR9bYWiYFD3KwWX+MVphq&#10;e+ecbgdfiQBhl6KC2vsuldKVNRl0U9sRB+9ie4M+yL6Susd7gJtWzqMokQYbDgs1dpTVVF4Pv0ZB&#10;kSfn71335DjOfF4kmamKfK7U+HP4WYLwNPj/8F97rxUsohjeZ8IRkO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iDMMAAADcAAAADwAAAAAAAAAAAAAAAACYAgAAZHJzL2Rv&#10;d25yZXYueG1sUEsFBgAAAAAEAAQA9QAAAIgDAAAAAA==&#10;" path="m,l10065,e" filled="f" strokecolor="#c1c1c1" strokeweight=".82pt">
                  <v:path arrowok="t" o:connecttype="custom" o:connectlocs="0,0;10065,0" o:connectangles="0,0"/>
                </v:shape>
                <w10:wrap anchorx="page"/>
              </v:group>
            </w:pict>
          </mc:Fallback>
        </mc:AlternateContent>
      </w:r>
      <w:r w:rsidR="002C5025">
        <w:rPr>
          <w:rFonts w:ascii="Times New Roman" w:hAnsi="Times New Roman" w:cs="Times New Roman"/>
          <w:w w:val="99"/>
          <w:sz w:val="19"/>
          <w:szCs w:val="19"/>
        </w:rPr>
        <w:t>1</w:t>
      </w:r>
    </w:p>
    <w:p w:rsidR="002C5025" w:rsidRDefault="002C5025">
      <w:pPr>
        <w:pStyle w:val="BodyText"/>
        <w:kinsoku w:val="0"/>
        <w:overflowPunct w:val="0"/>
        <w:spacing w:before="109" w:line="244" w:lineRule="auto"/>
        <w:ind w:left="642" w:right="853" w:hanging="348"/>
        <w:rPr>
          <w:rFonts w:ascii="Cambria" w:hAnsi="Cambria" w:cs="Cambria"/>
          <w:i/>
          <w:iCs/>
          <w:w w:val="105"/>
          <w:sz w:val="19"/>
          <w:szCs w:val="19"/>
        </w:rPr>
      </w:pPr>
      <w:r>
        <w:rPr>
          <w:rFonts w:ascii="Cambria" w:hAnsi="Cambria" w:cs="Cambria"/>
          <w:i/>
          <w:iCs/>
          <w:w w:val="105"/>
          <w:sz w:val="19"/>
          <w:szCs w:val="19"/>
        </w:rPr>
        <w:t>Doctors</w:t>
      </w:r>
      <w:r>
        <w:rPr>
          <w:rFonts w:ascii="Cambria" w:hAnsi="Cambria" w:cs="Cambria"/>
          <w:i/>
          <w:iCs/>
          <w:spacing w:val="-10"/>
          <w:w w:val="105"/>
          <w:sz w:val="19"/>
          <w:szCs w:val="19"/>
        </w:rPr>
        <w:t xml:space="preserve"> </w:t>
      </w:r>
      <w:r>
        <w:rPr>
          <w:rFonts w:ascii="Cambria" w:hAnsi="Cambria" w:cs="Cambria"/>
          <w:i/>
          <w:iCs/>
          <w:w w:val="105"/>
          <w:sz w:val="19"/>
          <w:szCs w:val="19"/>
        </w:rPr>
        <w:t>for</w:t>
      </w:r>
      <w:r>
        <w:rPr>
          <w:rFonts w:ascii="Cambria" w:hAnsi="Cambria" w:cs="Cambria"/>
          <w:i/>
          <w:iCs/>
          <w:spacing w:val="-13"/>
          <w:w w:val="105"/>
          <w:sz w:val="19"/>
          <w:szCs w:val="19"/>
        </w:rPr>
        <w:t xml:space="preserve"> </w:t>
      </w:r>
      <w:r>
        <w:rPr>
          <w:rFonts w:ascii="Cambria" w:hAnsi="Cambria" w:cs="Cambria"/>
          <w:i/>
          <w:iCs/>
          <w:w w:val="105"/>
          <w:sz w:val="19"/>
          <w:szCs w:val="19"/>
        </w:rPr>
        <w:t>America</w:t>
      </w:r>
      <w:r>
        <w:rPr>
          <w:rFonts w:ascii="Cambria" w:hAnsi="Cambria" w:cs="Cambria"/>
          <w:i/>
          <w:iCs/>
          <w:spacing w:val="-12"/>
          <w:w w:val="105"/>
          <w:sz w:val="19"/>
          <w:szCs w:val="19"/>
        </w:rPr>
        <w:t xml:space="preserve"> </w:t>
      </w:r>
      <w:r>
        <w:rPr>
          <w:rFonts w:ascii="Cambria" w:hAnsi="Cambria" w:cs="Cambria"/>
          <w:i/>
          <w:iCs/>
          <w:w w:val="105"/>
          <w:sz w:val="19"/>
          <w:szCs w:val="19"/>
        </w:rPr>
        <w:t>is</w:t>
      </w:r>
      <w:r>
        <w:rPr>
          <w:rFonts w:ascii="Cambria" w:hAnsi="Cambria" w:cs="Cambria"/>
          <w:i/>
          <w:iCs/>
          <w:spacing w:val="-13"/>
          <w:w w:val="105"/>
          <w:sz w:val="19"/>
          <w:szCs w:val="19"/>
        </w:rPr>
        <w:t xml:space="preserve"> </w:t>
      </w:r>
      <w:r>
        <w:rPr>
          <w:rFonts w:ascii="Cambria" w:hAnsi="Cambria" w:cs="Cambria"/>
          <w:i/>
          <w:iCs/>
          <w:w w:val="105"/>
          <w:sz w:val="19"/>
          <w:szCs w:val="19"/>
        </w:rPr>
        <w:t>a</w:t>
      </w:r>
      <w:r>
        <w:rPr>
          <w:rFonts w:ascii="Cambria" w:hAnsi="Cambria" w:cs="Cambria"/>
          <w:i/>
          <w:iCs/>
          <w:spacing w:val="-10"/>
          <w:w w:val="105"/>
          <w:sz w:val="19"/>
          <w:szCs w:val="19"/>
        </w:rPr>
        <w:t xml:space="preserve"> </w:t>
      </w:r>
      <w:r>
        <w:rPr>
          <w:rFonts w:ascii="Cambria" w:hAnsi="Cambria" w:cs="Cambria"/>
          <w:i/>
          <w:iCs/>
          <w:w w:val="105"/>
          <w:sz w:val="19"/>
          <w:szCs w:val="19"/>
        </w:rPr>
        <w:t>501(c)(3)</w:t>
      </w:r>
      <w:r>
        <w:rPr>
          <w:rFonts w:ascii="Cambria" w:hAnsi="Cambria" w:cs="Cambria"/>
          <w:i/>
          <w:iCs/>
          <w:spacing w:val="-13"/>
          <w:w w:val="105"/>
          <w:sz w:val="19"/>
          <w:szCs w:val="19"/>
        </w:rPr>
        <w:t xml:space="preserve"> </w:t>
      </w:r>
      <w:r>
        <w:rPr>
          <w:rFonts w:ascii="Cambria" w:hAnsi="Cambria" w:cs="Cambria"/>
          <w:i/>
          <w:iCs/>
          <w:w w:val="105"/>
          <w:sz w:val="19"/>
          <w:szCs w:val="19"/>
        </w:rPr>
        <w:t>national</w:t>
      </w:r>
      <w:r>
        <w:rPr>
          <w:rFonts w:ascii="Cambria" w:hAnsi="Cambria" w:cs="Cambria"/>
          <w:i/>
          <w:iCs/>
          <w:spacing w:val="-11"/>
          <w:w w:val="105"/>
          <w:sz w:val="19"/>
          <w:szCs w:val="19"/>
        </w:rPr>
        <w:t xml:space="preserve"> </w:t>
      </w:r>
      <w:r>
        <w:rPr>
          <w:rFonts w:ascii="Cambria" w:hAnsi="Cambria" w:cs="Cambria"/>
          <w:i/>
          <w:iCs/>
          <w:w w:val="105"/>
          <w:sz w:val="19"/>
          <w:szCs w:val="19"/>
        </w:rPr>
        <w:t>movement</w:t>
      </w:r>
      <w:r>
        <w:rPr>
          <w:rFonts w:ascii="Cambria" w:hAnsi="Cambria" w:cs="Cambria"/>
          <w:i/>
          <w:iCs/>
          <w:spacing w:val="-10"/>
          <w:w w:val="105"/>
          <w:sz w:val="19"/>
          <w:szCs w:val="19"/>
        </w:rPr>
        <w:t xml:space="preserve"> </w:t>
      </w:r>
      <w:r>
        <w:rPr>
          <w:rFonts w:ascii="Cambria" w:hAnsi="Cambria" w:cs="Cambria"/>
          <w:i/>
          <w:iCs/>
          <w:w w:val="105"/>
          <w:sz w:val="19"/>
          <w:szCs w:val="19"/>
        </w:rPr>
        <w:t>that</w:t>
      </w:r>
      <w:r>
        <w:rPr>
          <w:rFonts w:ascii="Cambria" w:hAnsi="Cambria" w:cs="Cambria"/>
          <w:i/>
          <w:iCs/>
          <w:spacing w:val="-13"/>
          <w:w w:val="105"/>
          <w:sz w:val="19"/>
          <w:szCs w:val="19"/>
        </w:rPr>
        <w:t xml:space="preserve"> </w:t>
      </w:r>
      <w:r>
        <w:rPr>
          <w:rFonts w:ascii="Cambria" w:hAnsi="Cambria" w:cs="Cambria"/>
          <w:i/>
          <w:iCs/>
          <w:w w:val="105"/>
          <w:sz w:val="19"/>
          <w:szCs w:val="19"/>
        </w:rPr>
        <w:t>mobilizes</w:t>
      </w:r>
      <w:r>
        <w:rPr>
          <w:rFonts w:ascii="Cambria" w:hAnsi="Cambria" w:cs="Cambria"/>
          <w:i/>
          <w:iCs/>
          <w:spacing w:val="-10"/>
          <w:w w:val="105"/>
          <w:sz w:val="19"/>
          <w:szCs w:val="19"/>
        </w:rPr>
        <w:t xml:space="preserve"> </w:t>
      </w:r>
      <w:r>
        <w:rPr>
          <w:rFonts w:ascii="Cambria" w:hAnsi="Cambria" w:cs="Cambria"/>
          <w:i/>
          <w:iCs/>
          <w:w w:val="105"/>
          <w:sz w:val="19"/>
          <w:szCs w:val="19"/>
        </w:rPr>
        <w:t>physicians</w:t>
      </w:r>
      <w:r>
        <w:rPr>
          <w:rFonts w:ascii="Cambria" w:hAnsi="Cambria" w:cs="Cambria"/>
          <w:i/>
          <w:iCs/>
          <w:spacing w:val="-13"/>
          <w:w w:val="105"/>
          <w:sz w:val="19"/>
          <w:szCs w:val="19"/>
        </w:rPr>
        <w:t xml:space="preserve"> </w:t>
      </w:r>
      <w:r>
        <w:rPr>
          <w:rFonts w:ascii="Cambria" w:hAnsi="Cambria" w:cs="Cambria"/>
          <w:i/>
          <w:iCs/>
          <w:w w:val="105"/>
          <w:sz w:val="19"/>
          <w:szCs w:val="19"/>
        </w:rPr>
        <w:t>and</w:t>
      </w:r>
      <w:r>
        <w:rPr>
          <w:rFonts w:ascii="Cambria" w:hAnsi="Cambria" w:cs="Cambria"/>
          <w:i/>
          <w:iCs/>
          <w:spacing w:val="-12"/>
          <w:w w:val="105"/>
          <w:sz w:val="19"/>
          <w:szCs w:val="19"/>
        </w:rPr>
        <w:t xml:space="preserve"> </w:t>
      </w:r>
      <w:r>
        <w:rPr>
          <w:rFonts w:ascii="Cambria" w:hAnsi="Cambria" w:cs="Cambria"/>
          <w:i/>
          <w:iCs/>
          <w:w w:val="105"/>
          <w:sz w:val="19"/>
          <w:szCs w:val="19"/>
        </w:rPr>
        <w:t>medical</w:t>
      </w:r>
      <w:r>
        <w:rPr>
          <w:rFonts w:ascii="Cambria" w:hAnsi="Cambria" w:cs="Cambria"/>
          <w:i/>
          <w:iCs/>
          <w:spacing w:val="-14"/>
          <w:w w:val="105"/>
          <w:sz w:val="19"/>
          <w:szCs w:val="19"/>
        </w:rPr>
        <w:t xml:space="preserve"> </w:t>
      </w:r>
      <w:r>
        <w:rPr>
          <w:rFonts w:ascii="Cambria" w:hAnsi="Cambria" w:cs="Cambria"/>
          <w:i/>
          <w:iCs/>
          <w:w w:val="105"/>
          <w:sz w:val="19"/>
          <w:szCs w:val="19"/>
        </w:rPr>
        <w:t>students</w:t>
      </w:r>
      <w:r>
        <w:rPr>
          <w:rFonts w:ascii="Cambria" w:hAnsi="Cambria" w:cs="Cambria"/>
          <w:i/>
          <w:iCs/>
          <w:spacing w:val="-13"/>
          <w:w w:val="105"/>
          <w:sz w:val="19"/>
          <w:szCs w:val="19"/>
        </w:rPr>
        <w:t xml:space="preserve"> </w:t>
      </w:r>
      <w:r>
        <w:rPr>
          <w:rFonts w:ascii="Cambria" w:hAnsi="Cambria" w:cs="Cambria"/>
          <w:i/>
          <w:iCs/>
          <w:w w:val="105"/>
          <w:sz w:val="19"/>
          <w:szCs w:val="19"/>
        </w:rPr>
        <w:t>to</w:t>
      </w:r>
      <w:r>
        <w:rPr>
          <w:rFonts w:ascii="Cambria" w:hAnsi="Cambria" w:cs="Cambria"/>
          <w:i/>
          <w:iCs/>
          <w:spacing w:val="-14"/>
          <w:w w:val="105"/>
          <w:sz w:val="19"/>
          <w:szCs w:val="19"/>
        </w:rPr>
        <w:t xml:space="preserve"> </w:t>
      </w:r>
      <w:r>
        <w:rPr>
          <w:rFonts w:ascii="Cambria" w:hAnsi="Cambria" w:cs="Cambria"/>
          <w:i/>
          <w:iCs/>
          <w:w w:val="105"/>
          <w:sz w:val="19"/>
          <w:szCs w:val="19"/>
        </w:rPr>
        <w:t>put</w:t>
      </w:r>
      <w:r>
        <w:rPr>
          <w:rFonts w:ascii="Cambria" w:hAnsi="Cambria" w:cs="Cambria"/>
          <w:i/>
          <w:iCs/>
          <w:spacing w:val="-13"/>
          <w:w w:val="105"/>
          <w:sz w:val="19"/>
          <w:szCs w:val="19"/>
        </w:rPr>
        <w:t xml:space="preserve"> </w:t>
      </w:r>
      <w:r>
        <w:rPr>
          <w:rFonts w:ascii="Cambria" w:hAnsi="Cambria" w:cs="Cambria"/>
          <w:i/>
          <w:iCs/>
          <w:w w:val="105"/>
          <w:sz w:val="19"/>
          <w:szCs w:val="19"/>
        </w:rPr>
        <w:t>patients over</w:t>
      </w:r>
      <w:r>
        <w:rPr>
          <w:rFonts w:ascii="Cambria" w:hAnsi="Cambria" w:cs="Cambria"/>
          <w:i/>
          <w:iCs/>
          <w:spacing w:val="-10"/>
          <w:w w:val="105"/>
          <w:sz w:val="19"/>
          <w:szCs w:val="19"/>
        </w:rPr>
        <w:t xml:space="preserve"> </w:t>
      </w:r>
      <w:r>
        <w:rPr>
          <w:rFonts w:ascii="Cambria" w:hAnsi="Cambria" w:cs="Cambria"/>
          <w:i/>
          <w:iCs/>
          <w:w w:val="105"/>
          <w:sz w:val="19"/>
          <w:szCs w:val="19"/>
        </w:rPr>
        <w:t>politics</w:t>
      </w:r>
      <w:r>
        <w:rPr>
          <w:rFonts w:ascii="Cambria" w:hAnsi="Cambria" w:cs="Cambria"/>
          <w:i/>
          <w:iCs/>
          <w:spacing w:val="-9"/>
          <w:w w:val="105"/>
          <w:sz w:val="19"/>
          <w:szCs w:val="19"/>
        </w:rPr>
        <w:t xml:space="preserve"> </w:t>
      </w:r>
      <w:r>
        <w:rPr>
          <w:rFonts w:ascii="Cambria" w:hAnsi="Cambria" w:cs="Cambria"/>
          <w:i/>
          <w:iCs/>
          <w:w w:val="105"/>
          <w:sz w:val="19"/>
          <w:szCs w:val="19"/>
        </w:rPr>
        <w:t>on</w:t>
      </w:r>
      <w:r>
        <w:rPr>
          <w:rFonts w:ascii="Cambria" w:hAnsi="Cambria" w:cs="Cambria"/>
          <w:i/>
          <w:iCs/>
          <w:spacing w:val="-11"/>
          <w:w w:val="105"/>
          <w:sz w:val="19"/>
          <w:szCs w:val="19"/>
        </w:rPr>
        <w:t xml:space="preserve"> </w:t>
      </w:r>
      <w:r>
        <w:rPr>
          <w:rFonts w:ascii="Cambria" w:hAnsi="Cambria" w:cs="Cambria"/>
          <w:i/>
          <w:iCs/>
          <w:w w:val="105"/>
          <w:sz w:val="19"/>
          <w:szCs w:val="19"/>
        </w:rPr>
        <w:t>the</w:t>
      </w:r>
      <w:r>
        <w:rPr>
          <w:rFonts w:ascii="Cambria" w:hAnsi="Cambria" w:cs="Cambria"/>
          <w:i/>
          <w:iCs/>
          <w:spacing w:val="-10"/>
          <w:w w:val="105"/>
          <w:sz w:val="19"/>
          <w:szCs w:val="19"/>
        </w:rPr>
        <w:t xml:space="preserve"> </w:t>
      </w:r>
      <w:r>
        <w:rPr>
          <w:rFonts w:ascii="Cambria" w:hAnsi="Cambria" w:cs="Cambria"/>
          <w:i/>
          <w:iCs/>
          <w:w w:val="105"/>
          <w:sz w:val="19"/>
          <w:szCs w:val="19"/>
        </w:rPr>
        <w:t>pressing</w:t>
      </w:r>
      <w:r>
        <w:rPr>
          <w:rFonts w:ascii="Cambria" w:hAnsi="Cambria" w:cs="Cambria"/>
          <w:i/>
          <w:iCs/>
          <w:spacing w:val="-9"/>
          <w:w w:val="105"/>
          <w:sz w:val="19"/>
          <w:szCs w:val="19"/>
        </w:rPr>
        <w:t xml:space="preserve"> </w:t>
      </w:r>
      <w:r>
        <w:rPr>
          <w:rFonts w:ascii="Cambria" w:hAnsi="Cambria" w:cs="Cambria"/>
          <w:i/>
          <w:iCs/>
          <w:w w:val="105"/>
          <w:sz w:val="19"/>
          <w:szCs w:val="19"/>
        </w:rPr>
        <w:t>issues</w:t>
      </w:r>
      <w:r>
        <w:rPr>
          <w:rFonts w:ascii="Cambria" w:hAnsi="Cambria" w:cs="Cambria"/>
          <w:i/>
          <w:iCs/>
          <w:spacing w:val="-9"/>
          <w:w w:val="105"/>
          <w:sz w:val="19"/>
          <w:szCs w:val="19"/>
        </w:rPr>
        <w:t xml:space="preserve"> </w:t>
      </w:r>
      <w:r>
        <w:rPr>
          <w:rFonts w:ascii="Cambria" w:hAnsi="Cambria" w:cs="Cambria"/>
          <w:i/>
          <w:iCs/>
          <w:w w:val="105"/>
          <w:sz w:val="19"/>
          <w:szCs w:val="19"/>
        </w:rPr>
        <w:t>of</w:t>
      </w:r>
      <w:r>
        <w:rPr>
          <w:rFonts w:ascii="Cambria" w:hAnsi="Cambria" w:cs="Cambria"/>
          <w:i/>
          <w:iCs/>
          <w:spacing w:val="-11"/>
          <w:w w:val="105"/>
          <w:sz w:val="19"/>
          <w:szCs w:val="19"/>
        </w:rPr>
        <w:t xml:space="preserve"> </w:t>
      </w:r>
      <w:r>
        <w:rPr>
          <w:rFonts w:ascii="Cambria" w:hAnsi="Cambria" w:cs="Cambria"/>
          <w:i/>
          <w:iCs/>
          <w:w w:val="105"/>
          <w:sz w:val="19"/>
          <w:szCs w:val="19"/>
        </w:rPr>
        <w:t>the</w:t>
      </w:r>
      <w:r>
        <w:rPr>
          <w:rFonts w:ascii="Cambria" w:hAnsi="Cambria" w:cs="Cambria"/>
          <w:i/>
          <w:iCs/>
          <w:spacing w:val="-10"/>
          <w:w w:val="105"/>
          <w:sz w:val="19"/>
          <w:szCs w:val="19"/>
        </w:rPr>
        <w:t xml:space="preserve"> </w:t>
      </w:r>
      <w:r>
        <w:rPr>
          <w:rFonts w:ascii="Cambria" w:hAnsi="Cambria" w:cs="Cambria"/>
          <w:i/>
          <w:iCs/>
          <w:w w:val="105"/>
          <w:sz w:val="19"/>
          <w:szCs w:val="19"/>
        </w:rPr>
        <w:t>day</w:t>
      </w:r>
      <w:r>
        <w:rPr>
          <w:rFonts w:ascii="Cambria" w:hAnsi="Cambria" w:cs="Cambria"/>
          <w:i/>
          <w:iCs/>
          <w:spacing w:val="-10"/>
          <w:w w:val="105"/>
          <w:sz w:val="19"/>
          <w:szCs w:val="19"/>
        </w:rPr>
        <w:t xml:space="preserve"> </w:t>
      </w:r>
      <w:r>
        <w:rPr>
          <w:rFonts w:ascii="Cambria" w:hAnsi="Cambria" w:cs="Cambria"/>
          <w:i/>
          <w:iCs/>
          <w:w w:val="105"/>
          <w:sz w:val="19"/>
          <w:szCs w:val="19"/>
        </w:rPr>
        <w:t>to</w:t>
      </w:r>
      <w:r>
        <w:rPr>
          <w:rFonts w:ascii="Cambria" w:hAnsi="Cambria" w:cs="Cambria"/>
          <w:i/>
          <w:iCs/>
          <w:spacing w:val="-10"/>
          <w:w w:val="105"/>
          <w:sz w:val="19"/>
          <w:szCs w:val="19"/>
        </w:rPr>
        <w:t xml:space="preserve"> </w:t>
      </w:r>
      <w:r>
        <w:rPr>
          <w:rFonts w:ascii="Cambria" w:hAnsi="Cambria" w:cs="Cambria"/>
          <w:i/>
          <w:iCs/>
          <w:w w:val="105"/>
          <w:sz w:val="19"/>
          <w:szCs w:val="19"/>
        </w:rPr>
        <w:t>improve</w:t>
      </w:r>
      <w:r>
        <w:rPr>
          <w:rFonts w:ascii="Cambria" w:hAnsi="Cambria" w:cs="Cambria"/>
          <w:i/>
          <w:iCs/>
          <w:spacing w:val="-10"/>
          <w:w w:val="105"/>
          <w:sz w:val="19"/>
          <w:szCs w:val="19"/>
        </w:rPr>
        <w:t xml:space="preserve"> </w:t>
      </w:r>
      <w:r>
        <w:rPr>
          <w:rFonts w:ascii="Cambria" w:hAnsi="Cambria" w:cs="Cambria"/>
          <w:i/>
          <w:iCs/>
          <w:w w:val="105"/>
          <w:sz w:val="19"/>
          <w:szCs w:val="19"/>
        </w:rPr>
        <w:t>the</w:t>
      </w:r>
      <w:r>
        <w:rPr>
          <w:rFonts w:ascii="Cambria" w:hAnsi="Cambria" w:cs="Cambria"/>
          <w:i/>
          <w:iCs/>
          <w:spacing w:val="-10"/>
          <w:w w:val="105"/>
          <w:sz w:val="19"/>
          <w:szCs w:val="19"/>
        </w:rPr>
        <w:t xml:space="preserve"> </w:t>
      </w:r>
      <w:r>
        <w:rPr>
          <w:rFonts w:ascii="Cambria" w:hAnsi="Cambria" w:cs="Cambria"/>
          <w:i/>
          <w:iCs/>
          <w:w w:val="105"/>
          <w:sz w:val="19"/>
          <w:szCs w:val="19"/>
        </w:rPr>
        <w:t>health</w:t>
      </w:r>
      <w:r>
        <w:rPr>
          <w:rFonts w:ascii="Cambria" w:hAnsi="Cambria" w:cs="Cambria"/>
          <w:i/>
          <w:iCs/>
          <w:spacing w:val="-10"/>
          <w:w w:val="105"/>
          <w:sz w:val="19"/>
          <w:szCs w:val="19"/>
        </w:rPr>
        <w:t xml:space="preserve"> </w:t>
      </w:r>
      <w:r>
        <w:rPr>
          <w:rFonts w:ascii="Cambria" w:hAnsi="Cambria" w:cs="Cambria"/>
          <w:i/>
          <w:iCs/>
          <w:w w:val="105"/>
          <w:sz w:val="19"/>
          <w:szCs w:val="19"/>
        </w:rPr>
        <w:t>of</w:t>
      </w:r>
      <w:r>
        <w:rPr>
          <w:rFonts w:ascii="Cambria" w:hAnsi="Cambria" w:cs="Cambria"/>
          <w:i/>
          <w:iCs/>
          <w:spacing w:val="-11"/>
          <w:w w:val="105"/>
          <w:sz w:val="19"/>
          <w:szCs w:val="19"/>
        </w:rPr>
        <w:t xml:space="preserve"> </w:t>
      </w:r>
      <w:r>
        <w:rPr>
          <w:rFonts w:ascii="Cambria" w:hAnsi="Cambria" w:cs="Cambria"/>
          <w:i/>
          <w:iCs/>
          <w:w w:val="105"/>
          <w:sz w:val="19"/>
          <w:szCs w:val="19"/>
        </w:rPr>
        <w:t>our</w:t>
      </w:r>
      <w:r>
        <w:rPr>
          <w:rFonts w:ascii="Cambria" w:hAnsi="Cambria" w:cs="Cambria"/>
          <w:i/>
          <w:iCs/>
          <w:spacing w:val="-10"/>
          <w:w w:val="105"/>
          <w:sz w:val="19"/>
          <w:szCs w:val="19"/>
        </w:rPr>
        <w:t xml:space="preserve"> </w:t>
      </w:r>
      <w:r>
        <w:rPr>
          <w:rFonts w:ascii="Cambria" w:hAnsi="Cambria" w:cs="Cambria"/>
          <w:i/>
          <w:iCs/>
          <w:w w:val="105"/>
          <w:sz w:val="19"/>
          <w:szCs w:val="19"/>
        </w:rPr>
        <w:t>patients,</w:t>
      </w:r>
      <w:r>
        <w:rPr>
          <w:rFonts w:ascii="Cambria" w:hAnsi="Cambria" w:cs="Cambria"/>
          <w:i/>
          <w:iCs/>
          <w:spacing w:val="-12"/>
          <w:w w:val="105"/>
          <w:sz w:val="19"/>
          <w:szCs w:val="19"/>
        </w:rPr>
        <w:t xml:space="preserve"> </w:t>
      </w:r>
      <w:r>
        <w:rPr>
          <w:rFonts w:ascii="Cambria" w:hAnsi="Cambria" w:cs="Cambria"/>
          <w:i/>
          <w:iCs/>
          <w:w w:val="105"/>
          <w:sz w:val="19"/>
          <w:szCs w:val="19"/>
        </w:rPr>
        <w:t>communities,</w:t>
      </w:r>
      <w:r>
        <w:rPr>
          <w:rFonts w:ascii="Cambria" w:hAnsi="Cambria" w:cs="Cambria"/>
          <w:i/>
          <w:iCs/>
          <w:spacing w:val="-9"/>
          <w:w w:val="105"/>
          <w:sz w:val="19"/>
          <w:szCs w:val="19"/>
        </w:rPr>
        <w:t xml:space="preserve"> </w:t>
      </w:r>
      <w:r>
        <w:rPr>
          <w:rFonts w:ascii="Cambria" w:hAnsi="Cambria" w:cs="Cambria"/>
          <w:i/>
          <w:iCs/>
          <w:w w:val="105"/>
          <w:sz w:val="19"/>
          <w:szCs w:val="19"/>
        </w:rPr>
        <w:t>and</w:t>
      </w:r>
      <w:r>
        <w:rPr>
          <w:rFonts w:ascii="Cambria" w:hAnsi="Cambria" w:cs="Cambria"/>
          <w:i/>
          <w:iCs/>
          <w:spacing w:val="-11"/>
          <w:w w:val="105"/>
          <w:sz w:val="19"/>
          <w:szCs w:val="19"/>
        </w:rPr>
        <w:t xml:space="preserve"> </w:t>
      </w:r>
      <w:r>
        <w:rPr>
          <w:rFonts w:ascii="Cambria" w:hAnsi="Cambria" w:cs="Cambria"/>
          <w:i/>
          <w:iCs/>
          <w:w w:val="105"/>
          <w:sz w:val="19"/>
          <w:szCs w:val="19"/>
        </w:rPr>
        <w:t>nation..</w:t>
      </w:r>
    </w:p>
    <w:p w:rsidR="002C5025" w:rsidRDefault="002C5025">
      <w:pPr>
        <w:pStyle w:val="BodyText"/>
        <w:kinsoku w:val="0"/>
        <w:overflowPunct w:val="0"/>
        <w:spacing w:before="109" w:line="244" w:lineRule="auto"/>
        <w:ind w:left="642" w:right="853" w:hanging="348"/>
        <w:rPr>
          <w:rFonts w:ascii="Cambria" w:hAnsi="Cambria" w:cs="Cambria"/>
          <w:i/>
          <w:iCs/>
          <w:w w:val="105"/>
          <w:sz w:val="19"/>
          <w:szCs w:val="19"/>
        </w:rPr>
        <w:sectPr w:rsidR="002C5025">
          <w:pgSz w:w="12240" w:h="15840"/>
          <w:pgMar w:top="1000" w:right="760" w:bottom="280" w:left="800" w:header="720" w:footer="720" w:gutter="0"/>
          <w:pgBorders w:offsetFrom="page">
            <w:top w:val="single" w:sz="24" w:space="24" w:color="213957"/>
            <w:left w:val="single" w:sz="24" w:space="24" w:color="213957"/>
            <w:bottom w:val="single" w:sz="24" w:space="24" w:color="213957"/>
            <w:right w:val="single" w:sz="24" w:space="24" w:color="213957"/>
          </w:pgBorders>
          <w:cols w:space="720" w:equalWidth="0">
            <w:col w:w="10680"/>
          </w:cols>
          <w:noEndnote/>
        </w:sectPr>
      </w:pPr>
    </w:p>
    <w:p w:rsidR="002C5025" w:rsidRDefault="002C5025">
      <w:pPr>
        <w:pStyle w:val="BodyText"/>
        <w:kinsoku w:val="0"/>
        <w:overflowPunct w:val="0"/>
        <w:spacing w:before="57" w:line="266" w:lineRule="auto"/>
        <w:ind w:left="143" w:right="126"/>
        <w:rPr>
          <w:rFonts w:ascii="Times New Roman" w:hAnsi="Times New Roman" w:cs="Times New Roman"/>
          <w:sz w:val="24"/>
          <w:szCs w:val="24"/>
        </w:rPr>
      </w:pPr>
      <w:r>
        <w:rPr>
          <w:rFonts w:ascii="Times New Roman" w:hAnsi="Times New Roman" w:cs="Times New Roman"/>
          <w:sz w:val="24"/>
          <w:szCs w:val="24"/>
        </w:rPr>
        <w:lastRenderedPageBreak/>
        <w:t>There is also concern for increasing provider “burn out”, especially in primary care.</w:t>
      </w:r>
      <w:r>
        <w:rPr>
          <w:rFonts w:ascii="Times New Roman" w:hAnsi="Times New Roman" w:cs="Times New Roman"/>
          <w:position w:val="11"/>
          <w:sz w:val="16"/>
          <w:szCs w:val="16"/>
        </w:rPr>
        <w:t xml:space="preserve">1 </w:t>
      </w:r>
      <w:r>
        <w:rPr>
          <w:rFonts w:ascii="Times New Roman" w:hAnsi="Times New Roman" w:cs="Times New Roman"/>
          <w:sz w:val="24"/>
          <w:szCs w:val="24"/>
        </w:rPr>
        <w:t>Half of primary care providers report symptoms of “burn out” that is attributed to administrative burden, regulatory demands, increasing demands on primary care without additional support.</w:t>
      </w:r>
      <w:r>
        <w:rPr>
          <w:rFonts w:ascii="Times New Roman" w:hAnsi="Times New Roman" w:cs="Times New Roman"/>
          <w:position w:val="11"/>
          <w:sz w:val="16"/>
          <w:szCs w:val="16"/>
        </w:rPr>
        <w:t xml:space="preserve">2 </w:t>
      </w:r>
      <w:r>
        <w:rPr>
          <w:rFonts w:ascii="Times New Roman" w:hAnsi="Times New Roman" w:cs="Times New Roman"/>
          <w:sz w:val="24"/>
          <w:szCs w:val="24"/>
        </w:rPr>
        <w:t>This provider burn out leads to reduced quality of care to patients and contributes to loss of providers from the work force amid an existing primary care provider shortage.</w:t>
      </w:r>
    </w:p>
    <w:p w:rsidR="002C5025" w:rsidRDefault="002C5025">
      <w:pPr>
        <w:pStyle w:val="BodyText"/>
        <w:kinsoku w:val="0"/>
        <w:overflowPunct w:val="0"/>
        <w:spacing w:before="6"/>
        <w:rPr>
          <w:rFonts w:ascii="Times New Roman" w:hAnsi="Times New Roman" w:cs="Times New Roman"/>
          <w:sz w:val="28"/>
          <w:szCs w:val="28"/>
        </w:rPr>
      </w:pPr>
    </w:p>
    <w:p w:rsidR="002C5025" w:rsidRDefault="002C5025">
      <w:pPr>
        <w:pStyle w:val="BodyText"/>
        <w:kinsoku w:val="0"/>
        <w:overflowPunct w:val="0"/>
        <w:spacing w:line="264" w:lineRule="auto"/>
        <w:ind w:left="143" w:right="186"/>
        <w:rPr>
          <w:rFonts w:ascii="Times New Roman" w:hAnsi="Times New Roman" w:cs="Times New Roman"/>
          <w:sz w:val="24"/>
          <w:szCs w:val="24"/>
        </w:rPr>
      </w:pPr>
      <w:r>
        <w:rPr>
          <w:rFonts w:ascii="Times New Roman" w:hAnsi="Times New Roman" w:cs="Times New Roman"/>
          <w:sz w:val="24"/>
          <w:szCs w:val="24"/>
        </w:rPr>
        <w:t>We recommend ACOs be required to have internal monitoring and reporting to the state for provider turnover and vacancies. Instability of provider workforce within an ACO can disrupt care for patients, lower</w:t>
      </w:r>
      <w:r>
        <w:rPr>
          <w:rFonts w:ascii="Times New Roman" w:hAnsi="Times New Roman" w:cs="Times New Roman"/>
          <w:spacing w:val="-7"/>
          <w:sz w:val="24"/>
          <w:szCs w:val="24"/>
        </w:rPr>
        <w:t xml:space="preserve"> </w:t>
      </w:r>
      <w:r>
        <w:rPr>
          <w:rFonts w:ascii="Times New Roman" w:hAnsi="Times New Roman" w:cs="Times New Roman"/>
          <w:sz w:val="24"/>
          <w:szCs w:val="24"/>
        </w:rPr>
        <w:t>quality</w:t>
      </w:r>
      <w:r>
        <w:rPr>
          <w:rFonts w:ascii="Times New Roman" w:hAnsi="Times New Roman" w:cs="Times New Roman"/>
          <w:spacing w:val="-9"/>
          <w:sz w:val="24"/>
          <w:szCs w:val="24"/>
        </w:rPr>
        <w:t xml:space="preserve"> </w:t>
      </w:r>
      <w:r>
        <w:rPr>
          <w:rFonts w:ascii="Times New Roman" w:hAnsi="Times New Roman" w:cs="Times New Roman"/>
          <w:sz w:val="24"/>
          <w:szCs w:val="24"/>
        </w:rPr>
        <w:t>of</w:t>
      </w:r>
      <w:r>
        <w:rPr>
          <w:rFonts w:ascii="Times New Roman" w:hAnsi="Times New Roman" w:cs="Times New Roman"/>
          <w:spacing w:val="-5"/>
          <w:sz w:val="24"/>
          <w:szCs w:val="24"/>
        </w:rPr>
        <w:t xml:space="preserve"> </w:t>
      </w:r>
      <w:r>
        <w:rPr>
          <w:rFonts w:ascii="Times New Roman" w:hAnsi="Times New Roman" w:cs="Times New Roman"/>
          <w:sz w:val="24"/>
          <w:szCs w:val="24"/>
        </w:rPr>
        <w:t>care</w:t>
      </w:r>
      <w:r>
        <w:rPr>
          <w:rFonts w:ascii="Times New Roman" w:hAnsi="Times New Roman" w:cs="Times New Roman"/>
          <w:spacing w:val="-7"/>
          <w:sz w:val="24"/>
          <w:szCs w:val="24"/>
        </w:rPr>
        <w:t xml:space="preserve"> </w:t>
      </w:r>
      <w:r>
        <w:rPr>
          <w:rFonts w:ascii="Times New Roman" w:hAnsi="Times New Roman" w:cs="Times New Roman"/>
          <w:sz w:val="24"/>
          <w:szCs w:val="24"/>
        </w:rPr>
        <w:t>(e.g.</w:t>
      </w:r>
      <w:r>
        <w:rPr>
          <w:rFonts w:ascii="Times New Roman" w:hAnsi="Times New Roman" w:cs="Times New Roman"/>
          <w:spacing w:val="-6"/>
          <w:sz w:val="24"/>
          <w:szCs w:val="24"/>
        </w:rPr>
        <w:t xml:space="preserve"> </w:t>
      </w:r>
      <w:r>
        <w:rPr>
          <w:rFonts w:ascii="Times New Roman" w:hAnsi="Times New Roman" w:cs="Times New Roman"/>
          <w:sz w:val="24"/>
          <w:szCs w:val="24"/>
        </w:rPr>
        <w:t>worsened</w:t>
      </w:r>
      <w:r>
        <w:rPr>
          <w:rFonts w:ascii="Times New Roman" w:hAnsi="Times New Roman" w:cs="Times New Roman"/>
          <w:spacing w:val="-6"/>
          <w:sz w:val="24"/>
          <w:szCs w:val="24"/>
        </w:rPr>
        <w:t xml:space="preserve"> </w:t>
      </w:r>
      <w:r>
        <w:rPr>
          <w:rFonts w:ascii="Times New Roman" w:hAnsi="Times New Roman" w:cs="Times New Roman"/>
          <w:sz w:val="24"/>
          <w:szCs w:val="24"/>
        </w:rPr>
        <w:t>blood</w:t>
      </w:r>
      <w:r>
        <w:rPr>
          <w:rFonts w:ascii="Times New Roman" w:hAnsi="Times New Roman" w:cs="Times New Roman"/>
          <w:spacing w:val="-6"/>
          <w:sz w:val="24"/>
          <w:szCs w:val="24"/>
        </w:rPr>
        <w:t xml:space="preserve"> </w:t>
      </w:r>
      <w:r>
        <w:rPr>
          <w:rFonts w:ascii="Times New Roman" w:hAnsi="Times New Roman" w:cs="Times New Roman"/>
          <w:sz w:val="24"/>
          <w:szCs w:val="24"/>
        </w:rPr>
        <w:t>pressure</w:t>
      </w:r>
      <w:r>
        <w:rPr>
          <w:rFonts w:ascii="Times New Roman" w:hAnsi="Times New Roman" w:cs="Times New Roman"/>
          <w:spacing w:val="-7"/>
          <w:sz w:val="24"/>
          <w:szCs w:val="24"/>
        </w:rPr>
        <w:t xml:space="preserve"> </w:t>
      </w:r>
      <w:r>
        <w:rPr>
          <w:rFonts w:ascii="Times New Roman" w:hAnsi="Times New Roman" w:cs="Times New Roman"/>
          <w:sz w:val="24"/>
          <w:szCs w:val="24"/>
        </w:rPr>
        <w:t>control</w:t>
      </w:r>
      <w:r>
        <w:rPr>
          <w:rFonts w:ascii="Times New Roman" w:hAnsi="Times New Roman" w:cs="Times New Roman"/>
          <w:spacing w:val="-6"/>
          <w:sz w:val="24"/>
          <w:szCs w:val="24"/>
        </w:rPr>
        <w:t xml:space="preserve"> </w:t>
      </w:r>
      <w:r>
        <w:rPr>
          <w:rFonts w:ascii="Times New Roman" w:hAnsi="Times New Roman" w:cs="Times New Roman"/>
          <w:sz w:val="24"/>
          <w:szCs w:val="24"/>
        </w:rPr>
        <w:t>in</w:t>
      </w:r>
      <w:r>
        <w:rPr>
          <w:rFonts w:ascii="Times New Roman" w:hAnsi="Times New Roman" w:cs="Times New Roman"/>
          <w:spacing w:val="-6"/>
          <w:sz w:val="24"/>
          <w:szCs w:val="24"/>
        </w:rPr>
        <w:t xml:space="preserve"> </w:t>
      </w:r>
      <w:r>
        <w:rPr>
          <w:rFonts w:ascii="Times New Roman" w:hAnsi="Times New Roman" w:cs="Times New Roman"/>
          <w:sz w:val="24"/>
          <w:szCs w:val="24"/>
        </w:rPr>
        <w:t>primary</w:t>
      </w:r>
      <w:r>
        <w:rPr>
          <w:rFonts w:ascii="Times New Roman" w:hAnsi="Times New Roman" w:cs="Times New Roman"/>
          <w:spacing w:val="-9"/>
          <w:sz w:val="24"/>
          <w:szCs w:val="24"/>
        </w:rPr>
        <w:t xml:space="preserve"> </w:t>
      </w:r>
      <w:r>
        <w:rPr>
          <w:rFonts w:ascii="Times New Roman" w:hAnsi="Times New Roman" w:cs="Times New Roman"/>
          <w:sz w:val="24"/>
          <w:szCs w:val="24"/>
        </w:rPr>
        <w:t>care),</w:t>
      </w:r>
      <w:r>
        <w:rPr>
          <w:rFonts w:ascii="Times New Roman" w:hAnsi="Times New Roman" w:cs="Times New Roman"/>
          <w:spacing w:val="-6"/>
          <w:sz w:val="24"/>
          <w:szCs w:val="24"/>
        </w:rPr>
        <w:t xml:space="preserve"> </w:t>
      </w:r>
      <w:r>
        <w:rPr>
          <w:rFonts w:ascii="Times New Roman" w:hAnsi="Times New Roman" w:cs="Times New Roman"/>
          <w:sz w:val="24"/>
          <w:szCs w:val="24"/>
        </w:rPr>
        <w:t>and</w:t>
      </w:r>
      <w:r>
        <w:rPr>
          <w:rFonts w:ascii="Times New Roman" w:hAnsi="Times New Roman" w:cs="Times New Roman"/>
          <w:spacing w:val="-6"/>
          <w:sz w:val="24"/>
          <w:szCs w:val="24"/>
        </w:rPr>
        <w:t xml:space="preserve"> </w:t>
      </w:r>
      <w:r>
        <w:rPr>
          <w:rFonts w:ascii="Times New Roman" w:hAnsi="Times New Roman" w:cs="Times New Roman"/>
          <w:sz w:val="24"/>
          <w:szCs w:val="24"/>
        </w:rPr>
        <w:t>worsen</w:t>
      </w:r>
      <w:r>
        <w:rPr>
          <w:rFonts w:ascii="Times New Roman" w:hAnsi="Times New Roman" w:cs="Times New Roman"/>
          <w:spacing w:val="-6"/>
          <w:sz w:val="24"/>
          <w:szCs w:val="24"/>
        </w:rPr>
        <w:t xml:space="preserve"> </w:t>
      </w:r>
      <w:r>
        <w:rPr>
          <w:rFonts w:ascii="Times New Roman" w:hAnsi="Times New Roman" w:cs="Times New Roman"/>
          <w:sz w:val="24"/>
          <w:szCs w:val="24"/>
        </w:rPr>
        <w:t>patient</w:t>
      </w:r>
      <w:r>
        <w:rPr>
          <w:rFonts w:ascii="Times New Roman" w:hAnsi="Times New Roman" w:cs="Times New Roman"/>
          <w:spacing w:val="-6"/>
          <w:sz w:val="24"/>
          <w:szCs w:val="24"/>
        </w:rPr>
        <w:t xml:space="preserve"> </w:t>
      </w:r>
      <w:r>
        <w:rPr>
          <w:rFonts w:ascii="Times New Roman" w:hAnsi="Times New Roman" w:cs="Times New Roman"/>
          <w:sz w:val="24"/>
          <w:szCs w:val="24"/>
        </w:rPr>
        <w:t>experience of care.</w:t>
      </w:r>
      <w:r>
        <w:rPr>
          <w:rFonts w:ascii="Times New Roman" w:hAnsi="Times New Roman" w:cs="Times New Roman"/>
          <w:position w:val="11"/>
          <w:sz w:val="16"/>
          <w:szCs w:val="16"/>
        </w:rPr>
        <w:t xml:space="preserve">3 </w:t>
      </w:r>
      <w:r>
        <w:rPr>
          <w:rFonts w:ascii="Times New Roman" w:hAnsi="Times New Roman" w:cs="Times New Roman"/>
          <w:sz w:val="24"/>
          <w:szCs w:val="24"/>
        </w:rPr>
        <w:t>MassHealth may consider incentives to reward high rates of primary care provider retention or may</w:t>
      </w:r>
      <w:r>
        <w:rPr>
          <w:rFonts w:ascii="Times New Roman" w:hAnsi="Times New Roman" w:cs="Times New Roman"/>
          <w:spacing w:val="-12"/>
          <w:sz w:val="24"/>
          <w:szCs w:val="24"/>
        </w:rPr>
        <w:t xml:space="preserve"> </w:t>
      </w:r>
      <w:r>
        <w:rPr>
          <w:rFonts w:ascii="Times New Roman" w:hAnsi="Times New Roman" w:cs="Times New Roman"/>
          <w:sz w:val="24"/>
          <w:szCs w:val="24"/>
        </w:rPr>
        <w:t>consider</w:t>
      </w:r>
      <w:r>
        <w:rPr>
          <w:rFonts w:ascii="Times New Roman" w:hAnsi="Times New Roman" w:cs="Times New Roman"/>
          <w:spacing w:val="-8"/>
          <w:sz w:val="24"/>
          <w:szCs w:val="24"/>
        </w:rPr>
        <w:t xml:space="preserve"> </w:t>
      </w:r>
      <w:r>
        <w:rPr>
          <w:rFonts w:ascii="Times New Roman" w:hAnsi="Times New Roman" w:cs="Times New Roman"/>
          <w:sz w:val="24"/>
          <w:szCs w:val="24"/>
        </w:rPr>
        <w:t>contract</w:t>
      </w:r>
      <w:r>
        <w:rPr>
          <w:rFonts w:ascii="Times New Roman" w:hAnsi="Times New Roman" w:cs="Times New Roman"/>
          <w:spacing w:val="-7"/>
          <w:sz w:val="24"/>
          <w:szCs w:val="24"/>
        </w:rPr>
        <w:t xml:space="preserve"> </w:t>
      </w:r>
      <w:r>
        <w:rPr>
          <w:rFonts w:ascii="Times New Roman" w:hAnsi="Times New Roman" w:cs="Times New Roman"/>
          <w:sz w:val="24"/>
          <w:szCs w:val="24"/>
        </w:rPr>
        <w:t>or</w:t>
      </w:r>
      <w:r>
        <w:rPr>
          <w:rFonts w:ascii="Times New Roman" w:hAnsi="Times New Roman" w:cs="Times New Roman"/>
          <w:spacing w:val="-6"/>
          <w:sz w:val="24"/>
          <w:szCs w:val="24"/>
        </w:rPr>
        <w:t xml:space="preserve"> </w:t>
      </w:r>
      <w:r>
        <w:rPr>
          <w:rFonts w:ascii="Times New Roman" w:hAnsi="Times New Roman" w:cs="Times New Roman"/>
          <w:sz w:val="24"/>
          <w:szCs w:val="24"/>
        </w:rPr>
        <w:t>certification</w:t>
      </w:r>
      <w:r>
        <w:rPr>
          <w:rFonts w:ascii="Times New Roman" w:hAnsi="Times New Roman" w:cs="Times New Roman"/>
          <w:spacing w:val="-7"/>
          <w:sz w:val="24"/>
          <w:szCs w:val="24"/>
        </w:rPr>
        <w:t xml:space="preserve"> </w:t>
      </w:r>
      <w:r>
        <w:rPr>
          <w:rFonts w:ascii="Times New Roman" w:hAnsi="Times New Roman" w:cs="Times New Roman"/>
          <w:sz w:val="24"/>
          <w:szCs w:val="24"/>
        </w:rPr>
        <w:t>requirements</w:t>
      </w:r>
      <w:r>
        <w:rPr>
          <w:rFonts w:ascii="Times New Roman" w:hAnsi="Times New Roman" w:cs="Times New Roman"/>
          <w:spacing w:val="-7"/>
          <w:sz w:val="24"/>
          <w:szCs w:val="24"/>
        </w:rPr>
        <w:t xml:space="preserve"> </w:t>
      </w:r>
      <w:r>
        <w:rPr>
          <w:rFonts w:ascii="Times New Roman" w:hAnsi="Times New Roman" w:cs="Times New Roman"/>
          <w:sz w:val="24"/>
          <w:szCs w:val="24"/>
        </w:rPr>
        <w:t>that</w:t>
      </w:r>
      <w:r>
        <w:rPr>
          <w:rFonts w:ascii="Times New Roman" w:hAnsi="Times New Roman" w:cs="Times New Roman"/>
          <w:spacing w:val="-7"/>
          <w:sz w:val="24"/>
          <w:szCs w:val="24"/>
        </w:rPr>
        <w:t xml:space="preserve"> </w:t>
      </w:r>
      <w:r>
        <w:rPr>
          <w:rFonts w:ascii="Times New Roman" w:hAnsi="Times New Roman" w:cs="Times New Roman"/>
          <w:sz w:val="24"/>
          <w:szCs w:val="24"/>
        </w:rPr>
        <w:t>address</w:t>
      </w:r>
      <w:r>
        <w:rPr>
          <w:rFonts w:ascii="Times New Roman" w:hAnsi="Times New Roman" w:cs="Times New Roman"/>
          <w:spacing w:val="-7"/>
          <w:sz w:val="24"/>
          <w:szCs w:val="24"/>
        </w:rPr>
        <w:t xml:space="preserve"> </w:t>
      </w:r>
      <w:r>
        <w:rPr>
          <w:rFonts w:ascii="Times New Roman" w:hAnsi="Times New Roman" w:cs="Times New Roman"/>
          <w:sz w:val="24"/>
          <w:szCs w:val="24"/>
        </w:rPr>
        <w:t>provider</w:t>
      </w:r>
      <w:r>
        <w:rPr>
          <w:rFonts w:ascii="Times New Roman" w:hAnsi="Times New Roman" w:cs="Times New Roman"/>
          <w:spacing w:val="-6"/>
          <w:sz w:val="24"/>
          <w:szCs w:val="24"/>
        </w:rPr>
        <w:t xml:space="preserve"> </w:t>
      </w:r>
      <w:r>
        <w:rPr>
          <w:rFonts w:ascii="Times New Roman" w:hAnsi="Times New Roman" w:cs="Times New Roman"/>
          <w:sz w:val="24"/>
          <w:szCs w:val="24"/>
        </w:rPr>
        <w:t>instability</w:t>
      </w:r>
      <w:r>
        <w:rPr>
          <w:rFonts w:ascii="Times New Roman" w:hAnsi="Times New Roman" w:cs="Times New Roman"/>
          <w:spacing w:val="-14"/>
          <w:sz w:val="24"/>
          <w:szCs w:val="24"/>
        </w:rPr>
        <w:t xml:space="preserve"> </w:t>
      </w:r>
      <w:r>
        <w:rPr>
          <w:rFonts w:ascii="Times New Roman" w:hAnsi="Times New Roman" w:cs="Times New Roman"/>
          <w:sz w:val="24"/>
          <w:szCs w:val="24"/>
        </w:rPr>
        <w:t>within</w:t>
      </w:r>
      <w:r>
        <w:rPr>
          <w:rFonts w:ascii="Times New Roman" w:hAnsi="Times New Roman" w:cs="Times New Roman"/>
          <w:spacing w:val="-7"/>
          <w:sz w:val="24"/>
          <w:szCs w:val="24"/>
        </w:rPr>
        <w:t xml:space="preserve"> </w:t>
      </w:r>
      <w:r>
        <w:rPr>
          <w:rFonts w:ascii="Times New Roman" w:hAnsi="Times New Roman" w:cs="Times New Roman"/>
          <w:sz w:val="24"/>
          <w:szCs w:val="24"/>
        </w:rPr>
        <w:t>an</w:t>
      </w:r>
      <w:r>
        <w:rPr>
          <w:rFonts w:ascii="Times New Roman" w:hAnsi="Times New Roman" w:cs="Times New Roman"/>
          <w:spacing w:val="-7"/>
          <w:sz w:val="24"/>
          <w:szCs w:val="24"/>
        </w:rPr>
        <w:t xml:space="preserve"> </w:t>
      </w:r>
      <w:r>
        <w:rPr>
          <w:rFonts w:ascii="Times New Roman" w:hAnsi="Times New Roman" w:cs="Times New Roman"/>
          <w:sz w:val="24"/>
          <w:szCs w:val="24"/>
        </w:rPr>
        <w:t>ACO.</w:t>
      </w:r>
      <w:r>
        <w:rPr>
          <w:rFonts w:ascii="Times New Roman" w:hAnsi="Times New Roman" w:cs="Times New Roman"/>
          <w:spacing w:val="-5"/>
          <w:sz w:val="24"/>
          <w:szCs w:val="24"/>
        </w:rPr>
        <w:t xml:space="preserve"> </w:t>
      </w:r>
      <w:r>
        <w:rPr>
          <w:rFonts w:ascii="Times New Roman" w:hAnsi="Times New Roman" w:cs="Times New Roman"/>
          <w:sz w:val="24"/>
          <w:szCs w:val="24"/>
        </w:rPr>
        <w:t>Strong, longitudinal primary care provider and patient relationships are known to improve outcomes,</w:t>
      </w:r>
      <w:r>
        <w:rPr>
          <w:rFonts w:ascii="Times New Roman" w:hAnsi="Times New Roman" w:cs="Times New Roman"/>
          <w:position w:val="11"/>
          <w:sz w:val="16"/>
          <w:szCs w:val="16"/>
        </w:rPr>
        <w:t xml:space="preserve">4 </w:t>
      </w:r>
      <w:r>
        <w:rPr>
          <w:rFonts w:ascii="Times New Roman" w:hAnsi="Times New Roman" w:cs="Times New Roman"/>
          <w:sz w:val="24"/>
          <w:szCs w:val="24"/>
        </w:rPr>
        <w:t>and organizations</w:t>
      </w:r>
      <w:r>
        <w:rPr>
          <w:rFonts w:ascii="Times New Roman" w:hAnsi="Times New Roman" w:cs="Times New Roman"/>
          <w:spacing w:val="-7"/>
          <w:sz w:val="24"/>
          <w:szCs w:val="24"/>
        </w:rPr>
        <w:t xml:space="preserve"> </w:t>
      </w:r>
      <w:r>
        <w:rPr>
          <w:rFonts w:ascii="Times New Roman" w:hAnsi="Times New Roman" w:cs="Times New Roman"/>
          <w:sz w:val="24"/>
          <w:szCs w:val="24"/>
        </w:rPr>
        <w:t>that</w:t>
      </w:r>
      <w:r>
        <w:rPr>
          <w:rFonts w:ascii="Times New Roman" w:hAnsi="Times New Roman" w:cs="Times New Roman"/>
          <w:spacing w:val="-7"/>
          <w:sz w:val="24"/>
          <w:szCs w:val="24"/>
        </w:rPr>
        <w:t xml:space="preserve"> </w:t>
      </w:r>
      <w:r>
        <w:rPr>
          <w:rFonts w:ascii="Times New Roman" w:hAnsi="Times New Roman" w:cs="Times New Roman"/>
          <w:sz w:val="24"/>
          <w:szCs w:val="24"/>
        </w:rPr>
        <w:t>support</w:t>
      </w:r>
      <w:r>
        <w:rPr>
          <w:rFonts w:ascii="Times New Roman" w:hAnsi="Times New Roman" w:cs="Times New Roman"/>
          <w:spacing w:val="-7"/>
          <w:sz w:val="24"/>
          <w:szCs w:val="24"/>
        </w:rPr>
        <w:t xml:space="preserve"> </w:t>
      </w:r>
      <w:r>
        <w:rPr>
          <w:rFonts w:ascii="Times New Roman" w:hAnsi="Times New Roman" w:cs="Times New Roman"/>
          <w:sz w:val="24"/>
          <w:szCs w:val="24"/>
        </w:rPr>
        <w:t>their</w:t>
      </w:r>
      <w:r>
        <w:rPr>
          <w:rFonts w:ascii="Times New Roman" w:hAnsi="Times New Roman" w:cs="Times New Roman"/>
          <w:spacing w:val="-8"/>
          <w:sz w:val="24"/>
          <w:szCs w:val="24"/>
        </w:rPr>
        <w:t xml:space="preserve"> </w:t>
      </w:r>
      <w:r>
        <w:rPr>
          <w:rFonts w:ascii="Times New Roman" w:hAnsi="Times New Roman" w:cs="Times New Roman"/>
          <w:sz w:val="24"/>
          <w:szCs w:val="24"/>
        </w:rPr>
        <w:t>caregivers</w:t>
      </w:r>
      <w:r>
        <w:rPr>
          <w:rFonts w:ascii="Times New Roman" w:hAnsi="Times New Roman" w:cs="Times New Roman"/>
          <w:spacing w:val="-7"/>
          <w:sz w:val="24"/>
          <w:szCs w:val="24"/>
        </w:rPr>
        <w:t xml:space="preserve"> </w:t>
      </w:r>
      <w:r>
        <w:rPr>
          <w:rFonts w:ascii="Times New Roman" w:hAnsi="Times New Roman" w:cs="Times New Roman"/>
          <w:sz w:val="24"/>
          <w:szCs w:val="24"/>
        </w:rPr>
        <w:t>and</w:t>
      </w:r>
      <w:r>
        <w:rPr>
          <w:rFonts w:ascii="Times New Roman" w:hAnsi="Times New Roman" w:cs="Times New Roman"/>
          <w:spacing w:val="-5"/>
          <w:sz w:val="24"/>
          <w:szCs w:val="24"/>
        </w:rPr>
        <w:t xml:space="preserve"> </w:t>
      </w:r>
      <w:r>
        <w:rPr>
          <w:rFonts w:ascii="Times New Roman" w:hAnsi="Times New Roman" w:cs="Times New Roman"/>
          <w:sz w:val="24"/>
          <w:szCs w:val="24"/>
        </w:rPr>
        <w:t>keep</w:t>
      </w:r>
      <w:r>
        <w:rPr>
          <w:rFonts w:ascii="Times New Roman" w:hAnsi="Times New Roman" w:cs="Times New Roman"/>
          <w:spacing w:val="-7"/>
          <w:sz w:val="24"/>
          <w:szCs w:val="24"/>
        </w:rPr>
        <w:t xml:space="preserve"> </w:t>
      </w:r>
      <w:r>
        <w:rPr>
          <w:rFonts w:ascii="Times New Roman" w:hAnsi="Times New Roman" w:cs="Times New Roman"/>
          <w:sz w:val="24"/>
          <w:szCs w:val="24"/>
        </w:rPr>
        <w:t>them</w:t>
      </w:r>
      <w:r>
        <w:rPr>
          <w:rFonts w:ascii="Times New Roman" w:hAnsi="Times New Roman" w:cs="Times New Roman"/>
          <w:spacing w:val="-7"/>
          <w:sz w:val="24"/>
          <w:szCs w:val="24"/>
        </w:rPr>
        <w:t xml:space="preserve"> </w:t>
      </w:r>
      <w:r>
        <w:rPr>
          <w:rFonts w:ascii="Times New Roman" w:hAnsi="Times New Roman" w:cs="Times New Roman"/>
          <w:sz w:val="24"/>
          <w:szCs w:val="24"/>
        </w:rPr>
        <w:t>in</w:t>
      </w:r>
      <w:r>
        <w:rPr>
          <w:rFonts w:ascii="Times New Roman" w:hAnsi="Times New Roman" w:cs="Times New Roman"/>
          <w:spacing w:val="-7"/>
          <w:sz w:val="24"/>
          <w:szCs w:val="24"/>
        </w:rPr>
        <w:t xml:space="preserve"> </w:t>
      </w:r>
      <w:r>
        <w:rPr>
          <w:rFonts w:ascii="Times New Roman" w:hAnsi="Times New Roman" w:cs="Times New Roman"/>
          <w:sz w:val="24"/>
          <w:szCs w:val="24"/>
        </w:rPr>
        <w:t>the</w:t>
      </w:r>
      <w:r>
        <w:rPr>
          <w:rFonts w:ascii="Times New Roman" w:hAnsi="Times New Roman" w:cs="Times New Roman"/>
          <w:spacing w:val="-8"/>
          <w:sz w:val="24"/>
          <w:szCs w:val="24"/>
        </w:rPr>
        <w:t xml:space="preserve"> </w:t>
      </w:r>
      <w:r>
        <w:rPr>
          <w:rFonts w:ascii="Times New Roman" w:hAnsi="Times New Roman" w:cs="Times New Roman"/>
          <w:sz w:val="24"/>
          <w:szCs w:val="24"/>
        </w:rPr>
        <w:t>workforce</w:t>
      </w:r>
      <w:r>
        <w:rPr>
          <w:rFonts w:ascii="Times New Roman" w:hAnsi="Times New Roman" w:cs="Times New Roman"/>
          <w:spacing w:val="-8"/>
          <w:sz w:val="24"/>
          <w:szCs w:val="24"/>
        </w:rPr>
        <w:t xml:space="preserve"> </w:t>
      </w:r>
      <w:r>
        <w:rPr>
          <w:rFonts w:ascii="Times New Roman" w:hAnsi="Times New Roman" w:cs="Times New Roman"/>
          <w:sz w:val="24"/>
          <w:szCs w:val="24"/>
        </w:rPr>
        <w:t>should</w:t>
      </w:r>
      <w:r>
        <w:rPr>
          <w:rFonts w:ascii="Times New Roman" w:hAnsi="Times New Roman" w:cs="Times New Roman"/>
          <w:spacing w:val="-7"/>
          <w:sz w:val="24"/>
          <w:szCs w:val="24"/>
        </w:rPr>
        <w:t xml:space="preserve"> </w:t>
      </w:r>
      <w:r>
        <w:rPr>
          <w:rFonts w:ascii="Times New Roman" w:hAnsi="Times New Roman" w:cs="Times New Roman"/>
          <w:sz w:val="24"/>
          <w:szCs w:val="24"/>
        </w:rPr>
        <w:t>be</w:t>
      </w:r>
      <w:r>
        <w:rPr>
          <w:rFonts w:ascii="Times New Roman" w:hAnsi="Times New Roman" w:cs="Times New Roman"/>
          <w:spacing w:val="-8"/>
          <w:sz w:val="24"/>
          <w:szCs w:val="24"/>
        </w:rPr>
        <w:t xml:space="preserve"> </w:t>
      </w:r>
      <w:r>
        <w:rPr>
          <w:rFonts w:ascii="Times New Roman" w:hAnsi="Times New Roman" w:cs="Times New Roman"/>
          <w:sz w:val="24"/>
          <w:szCs w:val="24"/>
        </w:rPr>
        <w:t>rewarded.</w:t>
      </w:r>
    </w:p>
    <w:p w:rsidR="002C5025" w:rsidRDefault="002C5025">
      <w:pPr>
        <w:pStyle w:val="BodyText"/>
        <w:kinsoku w:val="0"/>
        <w:overflowPunct w:val="0"/>
        <w:spacing w:before="2"/>
        <w:rPr>
          <w:rFonts w:ascii="Times New Roman" w:hAnsi="Times New Roman" w:cs="Times New Roman"/>
          <w:sz w:val="29"/>
          <w:szCs w:val="29"/>
        </w:rPr>
      </w:pPr>
    </w:p>
    <w:p w:rsidR="002C5025" w:rsidRDefault="002C5025">
      <w:pPr>
        <w:pStyle w:val="BodyText"/>
        <w:kinsoku w:val="0"/>
        <w:overflowPunct w:val="0"/>
        <w:ind w:left="143" w:right="126"/>
        <w:rPr>
          <w:rFonts w:ascii="Times New Roman" w:hAnsi="Times New Roman" w:cs="Times New Roman"/>
          <w:b/>
          <w:bCs/>
          <w:sz w:val="24"/>
          <w:szCs w:val="24"/>
        </w:rPr>
      </w:pPr>
      <w:bookmarkStart w:id="124" w:name="Quality_and_Outcome_Metrics"/>
      <w:bookmarkEnd w:id="124"/>
      <w:r>
        <w:rPr>
          <w:rFonts w:ascii="Times New Roman" w:hAnsi="Times New Roman" w:cs="Times New Roman"/>
          <w:b/>
          <w:bCs/>
          <w:sz w:val="24"/>
          <w:szCs w:val="24"/>
        </w:rPr>
        <w:t>Quality and Outcome Metrics</w:t>
      </w:r>
    </w:p>
    <w:p w:rsidR="002C5025" w:rsidRDefault="002C5025">
      <w:pPr>
        <w:pStyle w:val="BodyText"/>
        <w:kinsoku w:val="0"/>
        <w:overflowPunct w:val="0"/>
        <w:spacing w:before="7"/>
        <w:rPr>
          <w:rFonts w:ascii="Times New Roman" w:hAnsi="Times New Roman" w:cs="Times New Roman"/>
          <w:b/>
          <w:bCs/>
          <w:sz w:val="30"/>
          <w:szCs w:val="30"/>
        </w:rPr>
      </w:pPr>
    </w:p>
    <w:p w:rsidR="002C5025" w:rsidRDefault="002C5025">
      <w:pPr>
        <w:pStyle w:val="BodyText"/>
        <w:kinsoku w:val="0"/>
        <w:overflowPunct w:val="0"/>
        <w:spacing w:before="1" w:line="273" w:lineRule="auto"/>
        <w:ind w:left="143" w:right="206"/>
        <w:rPr>
          <w:rFonts w:ascii="Times New Roman" w:hAnsi="Times New Roman" w:cs="Times New Roman"/>
          <w:sz w:val="24"/>
          <w:szCs w:val="24"/>
        </w:rPr>
      </w:pPr>
      <w:r>
        <w:rPr>
          <w:rFonts w:ascii="Times New Roman" w:hAnsi="Times New Roman" w:cs="Times New Roman"/>
          <w:sz w:val="24"/>
          <w:szCs w:val="24"/>
        </w:rPr>
        <w:t>As ACOs use quality metrics to hold providers accountable for the quality of care, the final metrics chosen for ACO accountability are of paramount importance and have multiple implications. We agree with the described quality domains but are concerned by the lack of further detail on this critical aspect of ACOs.</w:t>
      </w:r>
    </w:p>
    <w:p w:rsidR="002C5025" w:rsidRDefault="002C5025">
      <w:pPr>
        <w:pStyle w:val="BodyText"/>
        <w:kinsoku w:val="0"/>
        <w:overflowPunct w:val="0"/>
        <w:spacing w:before="6" w:line="276" w:lineRule="auto"/>
        <w:ind w:left="143" w:right="139"/>
        <w:rPr>
          <w:rFonts w:ascii="Times New Roman" w:hAnsi="Times New Roman" w:cs="Times New Roman"/>
          <w:sz w:val="24"/>
          <w:szCs w:val="24"/>
        </w:rPr>
      </w:pPr>
      <w:r>
        <w:rPr>
          <w:rFonts w:ascii="Times New Roman" w:hAnsi="Times New Roman" w:cs="Times New Roman"/>
          <w:sz w:val="24"/>
          <w:szCs w:val="24"/>
        </w:rPr>
        <w:t>Specific measures used to determine quality and payment targets for ACOs must be vetted through a public engagement process that includes practicing clinicians to ensure the metrics used are relevant, feasible, valid, and actionable. One option for this public engagement process could be to utilize the existing multi- stakeholder group like the State Quality Advisory Committee (SQAC).</w:t>
      </w:r>
    </w:p>
    <w:p w:rsidR="002C5025" w:rsidRDefault="002C5025">
      <w:pPr>
        <w:pStyle w:val="BodyText"/>
        <w:kinsoku w:val="0"/>
        <w:overflowPunct w:val="0"/>
        <w:spacing w:before="7"/>
        <w:rPr>
          <w:rFonts w:ascii="Times New Roman" w:hAnsi="Times New Roman" w:cs="Times New Roman"/>
          <w:sz w:val="27"/>
          <w:szCs w:val="27"/>
        </w:rPr>
      </w:pPr>
    </w:p>
    <w:p w:rsidR="002C5025" w:rsidRDefault="002C5025">
      <w:pPr>
        <w:pStyle w:val="BodyText"/>
        <w:kinsoku w:val="0"/>
        <w:overflowPunct w:val="0"/>
        <w:spacing w:line="266" w:lineRule="auto"/>
        <w:ind w:left="143" w:right="126"/>
        <w:rPr>
          <w:rFonts w:ascii="Times New Roman" w:hAnsi="Times New Roman" w:cs="Times New Roman"/>
          <w:sz w:val="24"/>
          <w:szCs w:val="24"/>
        </w:rPr>
      </w:pPr>
      <w:r>
        <w:rPr>
          <w:rFonts w:ascii="Times New Roman" w:hAnsi="Times New Roman" w:cs="Times New Roman"/>
          <w:sz w:val="24"/>
          <w:szCs w:val="24"/>
        </w:rPr>
        <w:t>We encourage ACO quality metrics that align with the framework of the Core Measures Collaborative, as described by Patrick Conway’s Health Affairs Blog to “Reduce, Refine, Relate.” This initiative also has a mechanism to continually evaluate measures, through a multi-stakeholder process, to consider new measures to add and which measures should be retired.</w:t>
      </w:r>
      <w:r>
        <w:rPr>
          <w:rFonts w:ascii="Times New Roman" w:hAnsi="Times New Roman" w:cs="Times New Roman"/>
          <w:position w:val="11"/>
          <w:sz w:val="16"/>
          <w:szCs w:val="16"/>
        </w:rPr>
        <w:t xml:space="preserve">5 </w:t>
      </w:r>
      <w:r>
        <w:rPr>
          <w:rFonts w:ascii="Times New Roman" w:hAnsi="Times New Roman" w:cs="Times New Roman"/>
          <w:sz w:val="24"/>
          <w:szCs w:val="24"/>
        </w:rPr>
        <w:t>This process partners with physician groups and other stakeholders and invites feedback on experience with measures.</w:t>
      </w:r>
    </w:p>
    <w:p w:rsidR="002C5025" w:rsidRDefault="002C5025">
      <w:pPr>
        <w:pStyle w:val="BodyText"/>
        <w:kinsoku w:val="0"/>
        <w:overflowPunct w:val="0"/>
        <w:spacing w:before="8"/>
        <w:rPr>
          <w:rFonts w:ascii="Times New Roman" w:hAnsi="Times New Roman" w:cs="Times New Roman"/>
          <w:sz w:val="28"/>
          <w:szCs w:val="28"/>
        </w:rPr>
      </w:pPr>
    </w:p>
    <w:p w:rsidR="002C5025" w:rsidRDefault="002C5025">
      <w:pPr>
        <w:pStyle w:val="BodyText"/>
        <w:kinsoku w:val="0"/>
        <w:overflowPunct w:val="0"/>
        <w:spacing w:before="1"/>
        <w:ind w:left="143" w:right="126"/>
        <w:rPr>
          <w:rFonts w:ascii="Times New Roman" w:hAnsi="Times New Roman" w:cs="Times New Roman"/>
          <w:sz w:val="24"/>
          <w:szCs w:val="24"/>
        </w:rPr>
      </w:pPr>
      <w:r>
        <w:rPr>
          <w:rFonts w:ascii="Times New Roman" w:hAnsi="Times New Roman" w:cs="Times New Roman"/>
          <w:sz w:val="24"/>
          <w:szCs w:val="24"/>
          <w:u w:val="single" w:color="000000"/>
        </w:rPr>
        <w:t>Risk Adjustment, Feasibility, and Technical Support</w:t>
      </w:r>
    </w:p>
    <w:p w:rsidR="002C5025" w:rsidRDefault="002C5025">
      <w:pPr>
        <w:pStyle w:val="BodyText"/>
        <w:kinsoku w:val="0"/>
        <w:overflowPunct w:val="0"/>
        <w:spacing w:before="1"/>
        <w:rPr>
          <w:rFonts w:ascii="Times New Roman" w:hAnsi="Times New Roman" w:cs="Times New Roman"/>
          <w:sz w:val="25"/>
          <w:szCs w:val="25"/>
        </w:rPr>
      </w:pPr>
    </w:p>
    <w:p w:rsidR="002C5025" w:rsidRDefault="002C5025">
      <w:pPr>
        <w:pStyle w:val="BodyText"/>
        <w:kinsoku w:val="0"/>
        <w:overflowPunct w:val="0"/>
        <w:spacing w:before="69" w:line="273" w:lineRule="auto"/>
        <w:ind w:left="143" w:right="158"/>
        <w:rPr>
          <w:rFonts w:ascii="Times New Roman" w:hAnsi="Times New Roman" w:cs="Times New Roman"/>
          <w:sz w:val="24"/>
          <w:szCs w:val="24"/>
        </w:rPr>
      </w:pPr>
      <w:r>
        <w:rPr>
          <w:rFonts w:ascii="Times New Roman" w:hAnsi="Times New Roman" w:cs="Times New Roman"/>
          <w:sz w:val="24"/>
          <w:szCs w:val="24"/>
        </w:rPr>
        <w:t>We ask for more clarity around whether all of the ACO models will be risk adjusted and for further information about how the risk adjustment will be performed. We believe that risk adjustment is crucial to the success of all institutions participating in the ACOs. In particular public hospitals and FQHCs who care</w:t>
      </w:r>
    </w:p>
    <w:p w:rsidR="002C5025" w:rsidRDefault="00FB027C">
      <w:pPr>
        <w:pStyle w:val="BodyText"/>
        <w:kinsoku w:val="0"/>
        <w:overflowPunct w:val="0"/>
        <w:spacing w:before="7"/>
        <w:rPr>
          <w:rFonts w:ascii="Times New Roman" w:hAnsi="Times New Roman" w:cs="Times New Roman"/>
          <w:sz w:val="12"/>
          <w:szCs w:val="12"/>
        </w:rPr>
      </w:pPr>
      <w:r>
        <w:rPr>
          <w:noProof/>
        </w:rPr>
        <mc:AlternateContent>
          <mc:Choice Requires="wps">
            <w:drawing>
              <wp:anchor distT="0" distB="0" distL="0" distR="0" simplePos="0" relativeHeight="251597312" behindDoc="0" locked="0" layoutInCell="0" allowOverlap="1">
                <wp:simplePos x="0" y="0"/>
                <wp:positionH relativeFrom="page">
                  <wp:posOffset>609600</wp:posOffset>
                </wp:positionH>
                <wp:positionV relativeFrom="paragraph">
                  <wp:posOffset>120650</wp:posOffset>
                </wp:positionV>
                <wp:extent cx="1828800" cy="12700"/>
                <wp:effectExtent l="0" t="0" r="0" b="0"/>
                <wp:wrapTopAndBottom/>
                <wp:docPr id="699" name="Freeform 3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w 2880"/>
                            <a:gd name="T1" fmla="*/ 0 h 20"/>
                            <a:gd name="T2" fmla="*/ 2880 w 2880"/>
                            <a:gd name="T3" fmla="*/ 0 h 20"/>
                          </a:gdLst>
                          <a:ahLst/>
                          <a:cxnLst>
                            <a:cxn ang="0">
                              <a:pos x="T0" y="T1"/>
                            </a:cxn>
                            <a:cxn ang="0">
                              <a:pos x="T2" y="T3"/>
                            </a:cxn>
                          </a:cxnLst>
                          <a:rect l="0" t="0" r="r" b="b"/>
                          <a:pathLst>
                            <a:path w="2880" h="20">
                              <a:moveTo>
                                <a:pt x="0" y="0"/>
                              </a:moveTo>
                              <a:lnTo>
                                <a:pt x="2880"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26" o:spid="_x0000_s1026" style="position:absolute;z-index:251597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48pt,9.5pt,192pt,9.5pt" coordsize="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" o:allowincell="f" filled="f" strokeweight=".20458mm">
                <v:path arrowok="t" o:connecttype="custom" o:connectlocs="0,0;1828800,0" o:connectangles="0,0"/>
                <w10:wrap type="topAndBottom" anchorx="page"/>
              </v:polyline>
            </w:pict>
          </mc:Fallback>
        </mc:AlternateContent>
      </w:r>
    </w:p>
    <w:p w:rsidR="002C5025" w:rsidRDefault="002C5025">
      <w:pPr>
        <w:pStyle w:val="BodyText"/>
        <w:tabs>
          <w:tab w:val="left" w:pos="486"/>
        </w:tabs>
        <w:kinsoku w:val="0"/>
        <w:overflowPunct w:val="0"/>
        <w:spacing w:line="257" w:lineRule="exact"/>
        <w:ind w:left="143" w:right="126"/>
        <w:rPr>
          <w:rFonts w:ascii="Times New Roman" w:hAnsi="Times New Roman" w:cs="Times New Roman"/>
          <w:sz w:val="19"/>
          <w:szCs w:val="19"/>
        </w:rPr>
      </w:pPr>
      <w:r>
        <w:rPr>
          <w:rFonts w:ascii="Times New Roman" w:hAnsi="Times New Roman" w:cs="Times New Roman"/>
          <w:position w:val="10"/>
          <w:sz w:val="14"/>
          <w:szCs w:val="14"/>
        </w:rPr>
        <w:t>1</w:t>
      </w:r>
      <w:r>
        <w:rPr>
          <w:rFonts w:ascii="Times New Roman" w:hAnsi="Times New Roman" w:cs="Times New Roman"/>
          <w:position w:val="10"/>
          <w:sz w:val="14"/>
          <w:szCs w:val="14"/>
        </w:rPr>
        <w:tab/>
      </w:r>
      <w:hyperlink r:id="rId264" w:history="1">
        <w:r>
          <w:rPr>
            <w:rFonts w:ascii="Times New Roman" w:hAnsi="Times New Roman" w:cs="Times New Roman"/>
            <w:sz w:val="19"/>
            <w:szCs w:val="19"/>
          </w:rPr>
          <w:t>http://healthaffairs.org/blog/2016/04/21/make-the-clinician-burnout-epidemic-a-national-priority/</w:t>
        </w:r>
      </w:hyperlink>
    </w:p>
    <w:p w:rsidR="002C5025" w:rsidRDefault="002C5025">
      <w:pPr>
        <w:pStyle w:val="BodyText"/>
        <w:kinsoku w:val="0"/>
        <w:overflowPunct w:val="0"/>
        <w:spacing w:line="253" w:lineRule="exact"/>
        <w:ind w:left="143" w:right="126"/>
        <w:rPr>
          <w:rFonts w:ascii="Times New Roman" w:hAnsi="Times New Roman" w:cs="Times New Roman"/>
          <w:sz w:val="19"/>
          <w:szCs w:val="19"/>
        </w:rPr>
      </w:pPr>
      <w:r>
        <w:rPr>
          <w:rFonts w:ascii="Times New Roman" w:hAnsi="Times New Roman" w:cs="Times New Roman"/>
          <w:position w:val="10"/>
          <w:sz w:val="14"/>
          <w:szCs w:val="14"/>
        </w:rPr>
        <w:t xml:space="preserve">2    </w:t>
      </w:r>
      <w:hyperlink r:id="rId265" w:history="1">
        <w:r>
          <w:rPr>
            <w:rFonts w:ascii="Times New Roman" w:hAnsi="Times New Roman" w:cs="Times New Roman"/>
            <w:sz w:val="19"/>
            <w:szCs w:val="19"/>
          </w:rPr>
          <w:t>http://www.annfammed.org/content/11/3/272.full</w:t>
        </w:r>
      </w:hyperlink>
    </w:p>
    <w:p w:rsidR="002C5025" w:rsidRDefault="002C5025">
      <w:pPr>
        <w:pStyle w:val="BodyText"/>
        <w:kinsoku w:val="0"/>
        <w:overflowPunct w:val="0"/>
        <w:spacing w:line="253" w:lineRule="exact"/>
        <w:ind w:left="143" w:right="126"/>
        <w:rPr>
          <w:rFonts w:ascii="Times New Roman" w:hAnsi="Times New Roman" w:cs="Times New Roman"/>
          <w:sz w:val="19"/>
          <w:szCs w:val="19"/>
        </w:rPr>
      </w:pPr>
      <w:r>
        <w:rPr>
          <w:rFonts w:ascii="Times New Roman" w:hAnsi="Times New Roman" w:cs="Times New Roman"/>
          <w:position w:val="10"/>
          <w:sz w:val="14"/>
          <w:szCs w:val="14"/>
        </w:rPr>
        <w:t xml:space="preserve">3    </w:t>
      </w:r>
      <w:hyperlink r:id="rId266" w:history="1">
        <w:r>
          <w:rPr>
            <w:rFonts w:ascii="Times New Roman" w:hAnsi="Times New Roman" w:cs="Times New Roman"/>
            <w:sz w:val="19"/>
            <w:szCs w:val="19"/>
          </w:rPr>
          <w:t>http://www.ncbi.nlm.nih.gov/pubmed/25985320</w:t>
        </w:r>
      </w:hyperlink>
    </w:p>
    <w:p w:rsidR="002C5025" w:rsidRDefault="002C5025">
      <w:pPr>
        <w:pStyle w:val="BodyText"/>
        <w:tabs>
          <w:tab w:val="left" w:pos="459"/>
        </w:tabs>
        <w:kinsoku w:val="0"/>
        <w:overflowPunct w:val="0"/>
        <w:spacing w:line="257" w:lineRule="exact"/>
        <w:ind w:left="143" w:right="126"/>
        <w:rPr>
          <w:rFonts w:ascii="Times New Roman" w:hAnsi="Times New Roman" w:cs="Times New Roman"/>
          <w:sz w:val="19"/>
          <w:szCs w:val="19"/>
        </w:rPr>
      </w:pPr>
      <w:r>
        <w:rPr>
          <w:rFonts w:ascii="Times New Roman" w:hAnsi="Times New Roman" w:cs="Times New Roman"/>
          <w:position w:val="10"/>
          <w:sz w:val="14"/>
          <w:szCs w:val="14"/>
        </w:rPr>
        <w:t>4</w:t>
      </w:r>
      <w:r>
        <w:rPr>
          <w:rFonts w:ascii="Times New Roman" w:hAnsi="Times New Roman" w:cs="Times New Roman"/>
          <w:position w:val="10"/>
          <w:sz w:val="14"/>
          <w:szCs w:val="14"/>
        </w:rPr>
        <w:tab/>
      </w:r>
      <w:r>
        <w:rPr>
          <w:rFonts w:ascii="Times New Roman" w:hAnsi="Times New Roman" w:cs="Times New Roman"/>
          <w:sz w:val="19"/>
          <w:szCs w:val="19"/>
        </w:rPr>
        <w:t>https://hbr.org/2015/10/strong-patient-provider-relationships-drive-healthier-outcomes</w:t>
      </w:r>
    </w:p>
    <w:p w:rsidR="002C5025" w:rsidRDefault="002C5025">
      <w:pPr>
        <w:pStyle w:val="BodyText"/>
        <w:kinsoku w:val="0"/>
        <w:overflowPunct w:val="0"/>
        <w:spacing w:line="266" w:lineRule="exact"/>
        <w:ind w:left="143" w:right="126"/>
        <w:rPr>
          <w:rFonts w:ascii="Times New Roman" w:hAnsi="Times New Roman" w:cs="Times New Roman"/>
          <w:w w:val="105"/>
          <w:sz w:val="19"/>
          <w:szCs w:val="19"/>
        </w:rPr>
      </w:pPr>
      <w:r>
        <w:rPr>
          <w:rFonts w:ascii="Times New Roman" w:hAnsi="Times New Roman" w:cs="Times New Roman"/>
          <w:w w:val="105"/>
          <w:position w:val="10"/>
          <w:sz w:val="14"/>
          <w:szCs w:val="14"/>
        </w:rPr>
        <w:t>5</w:t>
      </w:r>
      <w:hyperlink r:id="rId267" w:history="1">
        <w:r>
          <w:rPr>
            <w:rFonts w:ascii="Times New Roman" w:hAnsi="Times New Roman" w:cs="Times New Roman"/>
            <w:w w:val="105"/>
            <w:sz w:val="19"/>
            <w:szCs w:val="19"/>
          </w:rPr>
          <w:t>http://healthaffairs.org/blog/2015/06/23/the-core-quality-measures-collaborative-a-rationale-and-framework-for-public-private-</w:t>
        </w:r>
      </w:hyperlink>
    </w:p>
    <w:p w:rsidR="002C5025" w:rsidRDefault="00FB027C">
      <w:pPr>
        <w:pStyle w:val="BodyText"/>
        <w:kinsoku w:val="0"/>
        <w:overflowPunct w:val="0"/>
        <w:spacing w:line="20" w:lineRule="exact"/>
        <w:ind w:left="210"/>
        <w:rPr>
          <w:rFonts w:ascii="Times New Roman" w:hAnsi="Times New Roman" w:cs="Times New Roman"/>
          <w:sz w:val="2"/>
          <w:szCs w:val="2"/>
        </w:rPr>
      </w:pPr>
      <w:r>
        <w:rPr>
          <w:rFonts w:ascii="Times New Roman" w:hAnsi="Times New Roman" w:cs="Times New Roman"/>
          <w:noProof/>
          <w:sz w:val="2"/>
          <w:szCs w:val="2"/>
        </w:rPr>
        <mc:AlternateContent>
          <mc:Choice Requires="wpg">
            <w:drawing>
              <wp:inline distT="0" distB="0" distL="0" distR="0">
                <wp:extent cx="6465570" cy="12700"/>
                <wp:effectExtent l="9525" t="9525" r="1905" b="0"/>
                <wp:docPr id="697" name="Group 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65570" cy="12700"/>
                          <a:chOff x="0" y="0"/>
                          <a:chExt cx="10182" cy="20"/>
                        </a:xfrm>
                      </wpg:grpSpPr>
                      <wps:wsp>
                        <wps:cNvPr id="698" name="Freeform 328"/>
                        <wps:cNvSpPr>
                          <a:spLocks/>
                        </wps:cNvSpPr>
                        <wps:spPr bwMode="auto">
                          <a:xfrm>
                            <a:off x="5" y="5"/>
                            <a:ext cx="10172" cy="20"/>
                          </a:xfrm>
                          <a:custGeom>
                            <a:avLst/>
                            <a:gdLst>
                              <a:gd name="T0" fmla="*/ 0 w 10172"/>
                              <a:gd name="T1" fmla="*/ 0 h 20"/>
                              <a:gd name="T2" fmla="*/ 10171 w 10172"/>
                              <a:gd name="T3" fmla="*/ 0 h 20"/>
                            </a:gdLst>
                            <a:ahLst/>
                            <a:cxnLst>
                              <a:cxn ang="0">
                                <a:pos x="T0" y="T1"/>
                              </a:cxn>
                              <a:cxn ang="0">
                                <a:pos x="T2" y="T3"/>
                              </a:cxn>
                            </a:cxnLst>
                            <a:rect l="0" t="0" r="r" b="b"/>
                            <a:pathLst>
                              <a:path w="10172" h="20">
                                <a:moveTo>
                                  <a:pt x="0" y="0"/>
                                </a:moveTo>
                                <a:lnTo>
                                  <a:pt x="1017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327" o:spid="_x0000_s1026" style="width:509.1pt;height:1pt;mso-position-horizontal-relative:char;mso-position-vertical-relative:line" coordsize="1018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">
                <v:shape id="Freeform 328" o:spid="_x0000_s1027" style="position:absolute;left:5;top:5;width:10172;height:20;visibility:visible;mso-wrap-style:square;v-text-anchor:top" coordsize="1017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QgsAA&#10;AADcAAAADwAAAGRycy9kb3ducmV2LnhtbERPS27CMBDdI3EHa5C6A6csaAkYVIFoy64EDjDEQxxh&#10;j6PYgdDT40WlLp/ef7nunRU3akPtWcHrJANBXHpdc6XgdNyN30GEiKzReiYFDwqwXg0HS8y1v/OB&#10;bkWsRArhkKMCE2OTSxlKQw7DxDfEibv41mFMsK2kbvGewp2V0yybSYc1pwaDDW0MldeicwrcY//l&#10;G/Oz7WyH51/7Rp/21Cn1Muo/FiAi9fFf/Of+1gpm87Q2nUlHQK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lQgsAAAADcAAAADwAAAAAAAAAAAAAAAACYAgAAZHJzL2Rvd25y&#10;ZXYueG1sUEsFBgAAAAAEAAQA9QAAAIUDAAAAAA==&#10;" path="m,l10171,e" filled="f" strokeweight=".48pt">
                  <v:path arrowok="t" o:connecttype="custom" o:connectlocs="0,0;10171,0" o:connectangles="0,0"/>
                </v:shape>
                <w10:anchorlock/>
              </v:group>
            </w:pict>
          </mc:Fallback>
        </mc:AlternateContent>
      </w:r>
    </w:p>
    <w:p w:rsidR="002C5025" w:rsidRDefault="002C5025">
      <w:pPr>
        <w:pStyle w:val="BodyText"/>
        <w:kinsoku w:val="0"/>
        <w:overflowPunct w:val="0"/>
        <w:ind w:left="143" w:right="126"/>
        <w:rPr>
          <w:rFonts w:ascii="Times New Roman" w:hAnsi="Times New Roman" w:cs="Times New Roman"/>
          <w:w w:val="105"/>
          <w:sz w:val="19"/>
          <w:szCs w:val="19"/>
        </w:rPr>
      </w:pPr>
      <w:r>
        <w:rPr>
          <w:rFonts w:ascii="Times New Roman" w:hAnsi="Times New Roman" w:cs="Times New Roman"/>
          <w:w w:val="105"/>
          <w:sz w:val="19"/>
          <w:szCs w:val="19"/>
          <w:u w:val="single" w:color="000000"/>
        </w:rPr>
        <w:t>quality-measure-alignment/</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7"/>
        <w:rPr>
          <w:rFonts w:ascii="Times New Roman" w:hAnsi="Times New Roman" w:cs="Times New Roman"/>
          <w:sz w:val="16"/>
          <w:szCs w:val="16"/>
        </w:rPr>
      </w:pPr>
    </w:p>
    <w:p w:rsidR="002C5025" w:rsidRDefault="00FB027C">
      <w:pPr>
        <w:pStyle w:val="BodyText"/>
        <w:kinsoku w:val="0"/>
        <w:overflowPunct w:val="0"/>
        <w:spacing w:before="75"/>
        <w:ind w:right="108"/>
        <w:jc w:val="right"/>
        <w:rPr>
          <w:rFonts w:ascii="Times New Roman" w:hAnsi="Times New Roman" w:cs="Times New Roman"/>
          <w:w w:val="99"/>
          <w:sz w:val="19"/>
          <w:szCs w:val="19"/>
        </w:rPr>
      </w:pPr>
      <w:r>
        <w:rPr>
          <w:noProof/>
        </w:rPr>
        <mc:AlternateContent>
          <mc:Choice Requires="wpg">
            <w:drawing>
              <wp:anchor distT="0" distB="0" distL="114300" distR="114300" simplePos="0" relativeHeight="251598336" behindDoc="0" locked="0" layoutInCell="0" allowOverlap="1">
                <wp:simplePos x="0" y="0"/>
                <wp:positionH relativeFrom="page">
                  <wp:posOffset>572135</wp:posOffset>
                </wp:positionH>
                <wp:positionV relativeFrom="paragraph">
                  <wp:posOffset>47625</wp:posOffset>
                </wp:positionV>
                <wp:extent cx="6410960" cy="38100"/>
                <wp:effectExtent l="0" t="0" r="0" b="0"/>
                <wp:wrapNone/>
                <wp:docPr id="693"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0960" cy="38100"/>
                          <a:chOff x="901" y="75"/>
                          <a:chExt cx="10096" cy="60"/>
                        </a:xfrm>
                      </wpg:grpSpPr>
                      <wps:wsp>
                        <wps:cNvPr id="694" name="Freeform 330"/>
                        <wps:cNvSpPr>
                          <a:spLocks/>
                        </wps:cNvSpPr>
                        <wps:spPr bwMode="auto">
                          <a:xfrm>
                            <a:off x="917" y="84"/>
                            <a:ext cx="10065" cy="20"/>
                          </a:xfrm>
                          <a:custGeom>
                            <a:avLst/>
                            <a:gdLst>
                              <a:gd name="T0" fmla="*/ 0 w 10065"/>
                              <a:gd name="T1" fmla="*/ 0 h 20"/>
                              <a:gd name="T2" fmla="*/ 10065 w 10065"/>
                              <a:gd name="T3" fmla="*/ 0 h 20"/>
                            </a:gdLst>
                            <a:ahLst/>
                            <a:cxnLst>
                              <a:cxn ang="0">
                                <a:pos x="T0" y="T1"/>
                              </a:cxn>
                              <a:cxn ang="0">
                                <a:pos x="T2" y="T3"/>
                              </a:cxn>
                            </a:cxnLst>
                            <a:rect l="0" t="0" r="r" b="b"/>
                            <a:pathLst>
                              <a:path w="10065" h="20">
                                <a:moveTo>
                                  <a:pt x="0" y="0"/>
                                </a:moveTo>
                                <a:lnTo>
                                  <a:pt x="10065"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5" name="Freeform 331"/>
                        <wps:cNvSpPr>
                          <a:spLocks/>
                        </wps:cNvSpPr>
                        <wps:spPr bwMode="auto">
                          <a:xfrm>
                            <a:off x="917" y="106"/>
                            <a:ext cx="10065" cy="20"/>
                          </a:xfrm>
                          <a:custGeom>
                            <a:avLst/>
                            <a:gdLst>
                              <a:gd name="T0" fmla="*/ 0 w 10065"/>
                              <a:gd name="T1" fmla="*/ 0 h 20"/>
                              <a:gd name="T2" fmla="*/ 10065 w 10065"/>
                              <a:gd name="T3" fmla="*/ 0 h 20"/>
                            </a:gdLst>
                            <a:ahLst/>
                            <a:cxnLst>
                              <a:cxn ang="0">
                                <a:pos x="T0" y="T1"/>
                              </a:cxn>
                              <a:cxn ang="0">
                                <a:pos x="T2" y="T3"/>
                              </a:cxn>
                            </a:cxnLst>
                            <a:rect l="0" t="0" r="r" b="b"/>
                            <a:pathLst>
                              <a:path w="10065" h="20">
                                <a:moveTo>
                                  <a:pt x="0" y="0"/>
                                </a:moveTo>
                                <a:lnTo>
                                  <a:pt x="10065" y="0"/>
                                </a:lnTo>
                              </a:path>
                            </a:pathLst>
                          </a:custGeom>
                          <a:noFill/>
                          <a:ln w="19558">
                            <a:solidFill>
                              <a:srgbClr val="6060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6" name="Freeform 332"/>
                        <wps:cNvSpPr>
                          <a:spLocks/>
                        </wps:cNvSpPr>
                        <wps:spPr bwMode="auto">
                          <a:xfrm>
                            <a:off x="917" y="127"/>
                            <a:ext cx="10065" cy="20"/>
                          </a:xfrm>
                          <a:custGeom>
                            <a:avLst/>
                            <a:gdLst>
                              <a:gd name="T0" fmla="*/ 0 w 10065"/>
                              <a:gd name="T1" fmla="*/ 0 h 20"/>
                              <a:gd name="T2" fmla="*/ 10065 w 10065"/>
                              <a:gd name="T3" fmla="*/ 0 h 20"/>
                            </a:gdLst>
                            <a:ahLst/>
                            <a:cxnLst>
                              <a:cxn ang="0">
                                <a:pos x="T0" y="T1"/>
                              </a:cxn>
                              <a:cxn ang="0">
                                <a:pos x="T2" y="T3"/>
                              </a:cxn>
                            </a:cxnLst>
                            <a:rect l="0" t="0" r="r" b="b"/>
                            <a:pathLst>
                              <a:path w="10065" h="20">
                                <a:moveTo>
                                  <a:pt x="0" y="0"/>
                                </a:moveTo>
                                <a:lnTo>
                                  <a:pt x="10065" y="0"/>
                                </a:lnTo>
                              </a:path>
                            </a:pathLst>
                          </a:custGeom>
                          <a:noFill/>
                          <a:ln w="10414">
                            <a:solidFill>
                              <a:srgbClr val="C1C1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9" o:spid="_x0000_s1026" style="position:absolute;margin-left:45.05pt;margin-top:3.75pt;width:504.8pt;height:3pt;z-index:251598336;mso-position-horizontal-relative:page" coordorigin="901,75" coordsize="1009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" o:allowincell="f">
                <v:shape id="Freeform 330" o:spid="_x0000_s1027" style="position:absolute;left:917;top:84;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ST/MYA&#10;AADcAAAADwAAAGRycy9kb3ducmV2LnhtbESPQWvCQBSE7wX/w/IEL6VuWkRs6ipFqUgOhWig10f2&#10;maTNvl2yq0Z/vSsUPA4z8w0zX/amFSfqfGNZwes4AUFcWt1wpaDYf73MQPiArLG1TAou5GG5GDzN&#10;MdX2zDmddqESEcI+RQV1CC6V0pc1GfRj64ijd7CdwRBlV0nd4TnCTSvfkmQqDTYcF2p0tKqp/Nsd&#10;jYLt92++/jHXwl316lC45yzb5JlSo2H/+QEiUB8e4f/2ViuYvk/gfiYeAbm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HST/MYAAADcAAAADwAAAAAAAAAAAAAAAACYAgAAZHJz&#10;L2Rvd25yZXYueG1sUEsFBgAAAAAEAAQA9QAAAIsDAAAAAA==&#10;" path="m,l10065,e" filled="f" strokeweight=".82pt">
                  <v:path arrowok="t" o:connecttype="custom" o:connectlocs="0,0;10065,0" o:connectangles="0,0"/>
                </v:shape>
                <v:shape id="Freeform 331" o:spid="_x0000_s1028" style="position:absolute;left:917;top:106;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emWsUA&#10;AADcAAAADwAAAGRycy9kb3ducmV2LnhtbESPX0vDQBDE3wW/w7GCb+ZS0dCmvRYtVMQXaZTSxyW3&#10;+aO5vXC3tvHbe4Lg4zAzv2FWm8kN6kQh9p4NzLIcFHHtbc+tgfe33c0cVBRki4NnMvBNETbry4sV&#10;ltafeU+nSlqVIBxLNNCJjKXWse7IYcz8SJy8xgeHkmRotQ14TnA36Ns8L7TDntNChyNtO6o/qy9n&#10;4Ig7WxV3zXb6CDJ7fWwO8vTijLm+mh6WoIQm+Q//tZ+tgWJxD79n0hH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V6ZaxQAAANwAAAAPAAAAAAAAAAAAAAAAAJgCAABkcnMv&#10;ZG93bnJldi54bWxQSwUGAAAAAAQABAD1AAAAigMAAAAA&#10;" path="m,l10065,e" filled="f" strokecolor="#606060" strokeweight="1.54pt">
                  <v:path arrowok="t" o:connecttype="custom" o:connectlocs="0,0;10065,0" o:connectangles="0,0"/>
                </v:shape>
                <v:shape id="Freeform 332" o:spid="_x0000_s1029" style="position:absolute;left:917;top:127;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nbjsMA&#10;AADcAAAADwAAAGRycy9kb3ducmV2LnhtbESPwWrDMBBE74H+g9hCb7HcGETsRgnFUNqrnUDxbbG2&#10;tqm1MpaauP36KhDIcZiZN8zusNhRnGn2g2MNz0kKgrh1ZuBOw+n4tt6C8AHZ4OiYNPySh8P+YbXD&#10;wrgLV3SuQycihH2BGvoQpkJK3/Zk0SduIo7el5sthijnTpoZLxFuR7lJUyUtDhwXepyo7Kn9rn+s&#10;hqZSn/n79MdZVoaqUaXtmmqj9dPj8voCItAS7uFb+8NoULmC65l4BOT+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vnbjsMAAADcAAAADwAAAAAAAAAAAAAAAACYAgAAZHJzL2Rv&#10;d25yZXYueG1sUEsFBgAAAAAEAAQA9QAAAIgDAAAAAA==&#10;" path="m,l10065,e" filled="f" strokecolor="#c1c1c1" strokeweight=".82pt">
                  <v:path arrowok="t" o:connecttype="custom" o:connectlocs="0,0;10065,0" o:connectangles="0,0"/>
                </v:shape>
                <w10:wrap anchorx="page"/>
              </v:group>
            </w:pict>
          </mc:Fallback>
        </mc:AlternateContent>
      </w:r>
      <w:r w:rsidR="002C5025">
        <w:rPr>
          <w:rFonts w:ascii="Times New Roman" w:hAnsi="Times New Roman" w:cs="Times New Roman"/>
          <w:w w:val="99"/>
          <w:sz w:val="19"/>
          <w:szCs w:val="19"/>
        </w:rPr>
        <w:t>2</w:t>
      </w:r>
    </w:p>
    <w:p w:rsidR="002C5025" w:rsidRDefault="002C5025">
      <w:pPr>
        <w:pStyle w:val="BodyText"/>
        <w:kinsoku w:val="0"/>
        <w:overflowPunct w:val="0"/>
        <w:spacing w:before="109" w:line="247" w:lineRule="auto"/>
        <w:ind w:left="642" w:right="773" w:hanging="348"/>
        <w:rPr>
          <w:rFonts w:ascii="Cambria" w:hAnsi="Cambria" w:cs="Cambria"/>
          <w:i/>
          <w:iCs/>
          <w:w w:val="105"/>
          <w:sz w:val="19"/>
          <w:szCs w:val="19"/>
        </w:rPr>
      </w:pPr>
      <w:r>
        <w:rPr>
          <w:rFonts w:ascii="Cambria" w:hAnsi="Cambria" w:cs="Cambria"/>
          <w:i/>
          <w:iCs/>
          <w:w w:val="105"/>
          <w:sz w:val="19"/>
          <w:szCs w:val="19"/>
        </w:rPr>
        <w:t>Doctors</w:t>
      </w:r>
      <w:r>
        <w:rPr>
          <w:rFonts w:ascii="Cambria" w:hAnsi="Cambria" w:cs="Cambria"/>
          <w:i/>
          <w:iCs/>
          <w:spacing w:val="-10"/>
          <w:w w:val="105"/>
          <w:sz w:val="19"/>
          <w:szCs w:val="19"/>
        </w:rPr>
        <w:t xml:space="preserve"> </w:t>
      </w:r>
      <w:r>
        <w:rPr>
          <w:rFonts w:ascii="Cambria" w:hAnsi="Cambria" w:cs="Cambria"/>
          <w:i/>
          <w:iCs/>
          <w:w w:val="105"/>
          <w:sz w:val="19"/>
          <w:szCs w:val="19"/>
        </w:rPr>
        <w:t>for</w:t>
      </w:r>
      <w:r>
        <w:rPr>
          <w:rFonts w:ascii="Cambria" w:hAnsi="Cambria" w:cs="Cambria"/>
          <w:i/>
          <w:iCs/>
          <w:spacing w:val="-13"/>
          <w:w w:val="105"/>
          <w:sz w:val="19"/>
          <w:szCs w:val="19"/>
        </w:rPr>
        <w:t xml:space="preserve"> </w:t>
      </w:r>
      <w:r>
        <w:rPr>
          <w:rFonts w:ascii="Cambria" w:hAnsi="Cambria" w:cs="Cambria"/>
          <w:i/>
          <w:iCs/>
          <w:w w:val="105"/>
          <w:sz w:val="19"/>
          <w:szCs w:val="19"/>
        </w:rPr>
        <w:t>America</w:t>
      </w:r>
      <w:r>
        <w:rPr>
          <w:rFonts w:ascii="Cambria" w:hAnsi="Cambria" w:cs="Cambria"/>
          <w:i/>
          <w:iCs/>
          <w:spacing w:val="-12"/>
          <w:w w:val="105"/>
          <w:sz w:val="19"/>
          <w:szCs w:val="19"/>
        </w:rPr>
        <w:t xml:space="preserve"> </w:t>
      </w:r>
      <w:r>
        <w:rPr>
          <w:rFonts w:ascii="Cambria" w:hAnsi="Cambria" w:cs="Cambria"/>
          <w:i/>
          <w:iCs/>
          <w:w w:val="105"/>
          <w:sz w:val="19"/>
          <w:szCs w:val="19"/>
        </w:rPr>
        <w:t>is</w:t>
      </w:r>
      <w:r>
        <w:rPr>
          <w:rFonts w:ascii="Cambria" w:hAnsi="Cambria" w:cs="Cambria"/>
          <w:i/>
          <w:iCs/>
          <w:spacing w:val="-13"/>
          <w:w w:val="105"/>
          <w:sz w:val="19"/>
          <w:szCs w:val="19"/>
        </w:rPr>
        <w:t xml:space="preserve"> </w:t>
      </w:r>
      <w:r>
        <w:rPr>
          <w:rFonts w:ascii="Cambria" w:hAnsi="Cambria" w:cs="Cambria"/>
          <w:i/>
          <w:iCs/>
          <w:w w:val="105"/>
          <w:sz w:val="19"/>
          <w:szCs w:val="19"/>
        </w:rPr>
        <w:t>a</w:t>
      </w:r>
      <w:r>
        <w:rPr>
          <w:rFonts w:ascii="Cambria" w:hAnsi="Cambria" w:cs="Cambria"/>
          <w:i/>
          <w:iCs/>
          <w:spacing w:val="-10"/>
          <w:w w:val="105"/>
          <w:sz w:val="19"/>
          <w:szCs w:val="19"/>
        </w:rPr>
        <w:t xml:space="preserve"> </w:t>
      </w:r>
      <w:r>
        <w:rPr>
          <w:rFonts w:ascii="Cambria" w:hAnsi="Cambria" w:cs="Cambria"/>
          <w:i/>
          <w:iCs/>
          <w:w w:val="105"/>
          <w:sz w:val="19"/>
          <w:szCs w:val="19"/>
        </w:rPr>
        <w:t>501(c)(3)</w:t>
      </w:r>
      <w:r>
        <w:rPr>
          <w:rFonts w:ascii="Cambria" w:hAnsi="Cambria" w:cs="Cambria"/>
          <w:i/>
          <w:iCs/>
          <w:spacing w:val="-13"/>
          <w:w w:val="105"/>
          <w:sz w:val="19"/>
          <w:szCs w:val="19"/>
        </w:rPr>
        <w:t xml:space="preserve"> </w:t>
      </w:r>
      <w:r>
        <w:rPr>
          <w:rFonts w:ascii="Cambria" w:hAnsi="Cambria" w:cs="Cambria"/>
          <w:i/>
          <w:iCs/>
          <w:w w:val="105"/>
          <w:sz w:val="19"/>
          <w:szCs w:val="19"/>
        </w:rPr>
        <w:t>national</w:t>
      </w:r>
      <w:r>
        <w:rPr>
          <w:rFonts w:ascii="Cambria" w:hAnsi="Cambria" w:cs="Cambria"/>
          <w:i/>
          <w:iCs/>
          <w:spacing w:val="-11"/>
          <w:w w:val="105"/>
          <w:sz w:val="19"/>
          <w:szCs w:val="19"/>
        </w:rPr>
        <w:t xml:space="preserve"> </w:t>
      </w:r>
      <w:r>
        <w:rPr>
          <w:rFonts w:ascii="Cambria" w:hAnsi="Cambria" w:cs="Cambria"/>
          <w:i/>
          <w:iCs/>
          <w:w w:val="105"/>
          <w:sz w:val="19"/>
          <w:szCs w:val="19"/>
        </w:rPr>
        <w:t>movement</w:t>
      </w:r>
      <w:r>
        <w:rPr>
          <w:rFonts w:ascii="Cambria" w:hAnsi="Cambria" w:cs="Cambria"/>
          <w:i/>
          <w:iCs/>
          <w:spacing w:val="-10"/>
          <w:w w:val="105"/>
          <w:sz w:val="19"/>
          <w:szCs w:val="19"/>
        </w:rPr>
        <w:t xml:space="preserve"> </w:t>
      </w:r>
      <w:r>
        <w:rPr>
          <w:rFonts w:ascii="Cambria" w:hAnsi="Cambria" w:cs="Cambria"/>
          <w:i/>
          <w:iCs/>
          <w:w w:val="105"/>
          <w:sz w:val="19"/>
          <w:szCs w:val="19"/>
        </w:rPr>
        <w:t>that</w:t>
      </w:r>
      <w:r>
        <w:rPr>
          <w:rFonts w:ascii="Cambria" w:hAnsi="Cambria" w:cs="Cambria"/>
          <w:i/>
          <w:iCs/>
          <w:spacing w:val="-13"/>
          <w:w w:val="105"/>
          <w:sz w:val="19"/>
          <w:szCs w:val="19"/>
        </w:rPr>
        <w:t xml:space="preserve"> </w:t>
      </w:r>
      <w:r>
        <w:rPr>
          <w:rFonts w:ascii="Cambria" w:hAnsi="Cambria" w:cs="Cambria"/>
          <w:i/>
          <w:iCs/>
          <w:w w:val="105"/>
          <w:sz w:val="19"/>
          <w:szCs w:val="19"/>
        </w:rPr>
        <w:t>mobilizes</w:t>
      </w:r>
      <w:r>
        <w:rPr>
          <w:rFonts w:ascii="Cambria" w:hAnsi="Cambria" w:cs="Cambria"/>
          <w:i/>
          <w:iCs/>
          <w:spacing w:val="-10"/>
          <w:w w:val="105"/>
          <w:sz w:val="19"/>
          <w:szCs w:val="19"/>
        </w:rPr>
        <w:t xml:space="preserve"> </w:t>
      </w:r>
      <w:r>
        <w:rPr>
          <w:rFonts w:ascii="Cambria" w:hAnsi="Cambria" w:cs="Cambria"/>
          <w:i/>
          <w:iCs/>
          <w:w w:val="105"/>
          <w:sz w:val="19"/>
          <w:szCs w:val="19"/>
        </w:rPr>
        <w:t>physicians</w:t>
      </w:r>
      <w:r>
        <w:rPr>
          <w:rFonts w:ascii="Cambria" w:hAnsi="Cambria" w:cs="Cambria"/>
          <w:i/>
          <w:iCs/>
          <w:spacing w:val="-13"/>
          <w:w w:val="105"/>
          <w:sz w:val="19"/>
          <w:szCs w:val="19"/>
        </w:rPr>
        <w:t xml:space="preserve"> </w:t>
      </w:r>
      <w:r>
        <w:rPr>
          <w:rFonts w:ascii="Cambria" w:hAnsi="Cambria" w:cs="Cambria"/>
          <w:i/>
          <w:iCs/>
          <w:w w:val="105"/>
          <w:sz w:val="19"/>
          <w:szCs w:val="19"/>
        </w:rPr>
        <w:t>and</w:t>
      </w:r>
      <w:r>
        <w:rPr>
          <w:rFonts w:ascii="Cambria" w:hAnsi="Cambria" w:cs="Cambria"/>
          <w:i/>
          <w:iCs/>
          <w:spacing w:val="-12"/>
          <w:w w:val="105"/>
          <w:sz w:val="19"/>
          <w:szCs w:val="19"/>
        </w:rPr>
        <w:t xml:space="preserve"> </w:t>
      </w:r>
      <w:r>
        <w:rPr>
          <w:rFonts w:ascii="Cambria" w:hAnsi="Cambria" w:cs="Cambria"/>
          <w:i/>
          <w:iCs/>
          <w:w w:val="105"/>
          <w:sz w:val="19"/>
          <w:szCs w:val="19"/>
        </w:rPr>
        <w:t>medical</w:t>
      </w:r>
      <w:r>
        <w:rPr>
          <w:rFonts w:ascii="Cambria" w:hAnsi="Cambria" w:cs="Cambria"/>
          <w:i/>
          <w:iCs/>
          <w:spacing w:val="-14"/>
          <w:w w:val="105"/>
          <w:sz w:val="19"/>
          <w:szCs w:val="19"/>
        </w:rPr>
        <w:t xml:space="preserve"> </w:t>
      </w:r>
      <w:r>
        <w:rPr>
          <w:rFonts w:ascii="Cambria" w:hAnsi="Cambria" w:cs="Cambria"/>
          <w:i/>
          <w:iCs/>
          <w:w w:val="105"/>
          <w:sz w:val="19"/>
          <w:szCs w:val="19"/>
        </w:rPr>
        <w:t>students</w:t>
      </w:r>
      <w:r>
        <w:rPr>
          <w:rFonts w:ascii="Cambria" w:hAnsi="Cambria" w:cs="Cambria"/>
          <w:i/>
          <w:iCs/>
          <w:spacing w:val="-13"/>
          <w:w w:val="105"/>
          <w:sz w:val="19"/>
          <w:szCs w:val="19"/>
        </w:rPr>
        <w:t xml:space="preserve"> </w:t>
      </w:r>
      <w:r>
        <w:rPr>
          <w:rFonts w:ascii="Cambria" w:hAnsi="Cambria" w:cs="Cambria"/>
          <w:i/>
          <w:iCs/>
          <w:w w:val="105"/>
          <w:sz w:val="19"/>
          <w:szCs w:val="19"/>
        </w:rPr>
        <w:t>to</w:t>
      </w:r>
      <w:r>
        <w:rPr>
          <w:rFonts w:ascii="Cambria" w:hAnsi="Cambria" w:cs="Cambria"/>
          <w:i/>
          <w:iCs/>
          <w:spacing w:val="-14"/>
          <w:w w:val="105"/>
          <w:sz w:val="19"/>
          <w:szCs w:val="19"/>
        </w:rPr>
        <w:t xml:space="preserve"> </w:t>
      </w:r>
      <w:r>
        <w:rPr>
          <w:rFonts w:ascii="Cambria" w:hAnsi="Cambria" w:cs="Cambria"/>
          <w:i/>
          <w:iCs/>
          <w:w w:val="105"/>
          <w:sz w:val="19"/>
          <w:szCs w:val="19"/>
        </w:rPr>
        <w:t>put</w:t>
      </w:r>
      <w:r>
        <w:rPr>
          <w:rFonts w:ascii="Cambria" w:hAnsi="Cambria" w:cs="Cambria"/>
          <w:i/>
          <w:iCs/>
          <w:spacing w:val="-13"/>
          <w:w w:val="105"/>
          <w:sz w:val="19"/>
          <w:szCs w:val="19"/>
        </w:rPr>
        <w:t xml:space="preserve"> </w:t>
      </w:r>
      <w:r>
        <w:rPr>
          <w:rFonts w:ascii="Cambria" w:hAnsi="Cambria" w:cs="Cambria"/>
          <w:i/>
          <w:iCs/>
          <w:w w:val="105"/>
          <w:sz w:val="19"/>
          <w:szCs w:val="19"/>
        </w:rPr>
        <w:t>patients over</w:t>
      </w:r>
      <w:r>
        <w:rPr>
          <w:rFonts w:ascii="Cambria" w:hAnsi="Cambria" w:cs="Cambria"/>
          <w:i/>
          <w:iCs/>
          <w:spacing w:val="-10"/>
          <w:w w:val="105"/>
          <w:sz w:val="19"/>
          <w:szCs w:val="19"/>
        </w:rPr>
        <w:t xml:space="preserve"> </w:t>
      </w:r>
      <w:r>
        <w:rPr>
          <w:rFonts w:ascii="Cambria" w:hAnsi="Cambria" w:cs="Cambria"/>
          <w:i/>
          <w:iCs/>
          <w:w w:val="105"/>
          <w:sz w:val="19"/>
          <w:szCs w:val="19"/>
        </w:rPr>
        <w:t>politics</w:t>
      </w:r>
      <w:r>
        <w:rPr>
          <w:rFonts w:ascii="Cambria" w:hAnsi="Cambria" w:cs="Cambria"/>
          <w:i/>
          <w:iCs/>
          <w:spacing w:val="-9"/>
          <w:w w:val="105"/>
          <w:sz w:val="19"/>
          <w:szCs w:val="19"/>
        </w:rPr>
        <w:t xml:space="preserve"> </w:t>
      </w:r>
      <w:r>
        <w:rPr>
          <w:rFonts w:ascii="Cambria" w:hAnsi="Cambria" w:cs="Cambria"/>
          <w:i/>
          <w:iCs/>
          <w:w w:val="105"/>
          <w:sz w:val="19"/>
          <w:szCs w:val="19"/>
        </w:rPr>
        <w:t>on</w:t>
      </w:r>
      <w:r>
        <w:rPr>
          <w:rFonts w:ascii="Cambria" w:hAnsi="Cambria" w:cs="Cambria"/>
          <w:i/>
          <w:iCs/>
          <w:spacing w:val="-11"/>
          <w:w w:val="105"/>
          <w:sz w:val="19"/>
          <w:szCs w:val="19"/>
        </w:rPr>
        <w:t xml:space="preserve"> </w:t>
      </w:r>
      <w:r>
        <w:rPr>
          <w:rFonts w:ascii="Cambria" w:hAnsi="Cambria" w:cs="Cambria"/>
          <w:i/>
          <w:iCs/>
          <w:w w:val="105"/>
          <w:sz w:val="19"/>
          <w:szCs w:val="19"/>
        </w:rPr>
        <w:t>the</w:t>
      </w:r>
      <w:r>
        <w:rPr>
          <w:rFonts w:ascii="Cambria" w:hAnsi="Cambria" w:cs="Cambria"/>
          <w:i/>
          <w:iCs/>
          <w:spacing w:val="-10"/>
          <w:w w:val="105"/>
          <w:sz w:val="19"/>
          <w:szCs w:val="19"/>
        </w:rPr>
        <w:t xml:space="preserve"> </w:t>
      </w:r>
      <w:r>
        <w:rPr>
          <w:rFonts w:ascii="Cambria" w:hAnsi="Cambria" w:cs="Cambria"/>
          <w:i/>
          <w:iCs/>
          <w:w w:val="105"/>
          <w:sz w:val="19"/>
          <w:szCs w:val="19"/>
        </w:rPr>
        <w:t>pressing</w:t>
      </w:r>
      <w:r>
        <w:rPr>
          <w:rFonts w:ascii="Cambria" w:hAnsi="Cambria" w:cs="Cambria"/>
          <w:i/>
          <w:iCs/>
          <w:spacing w:val="-9"/>
          <w:w w:val="105"/>
          <w:sz w:val="19"/>
          <w:szCs w:val="19"/>
        </w:rPr>
        <w:t xml:space="preserve"> </w:t>
      </w:r>
      <w:r>
        <w:rPr>
          <w:rFonts w:ascii="Cambria" w:hAnsi="Cambria" w:cs="Cambria"/>
          <w:i/>
          <w:iCs/>
          <w:w w:val="105"/>
          <w:sz w:val="19"/>
          <w:szCs w:val="19"/>
        </w:rPr>
        <w:t>issues</w:t>
      </w:r>
      <w:r>
        <w:rPr>
          <w:rFonts w:ascii="Cambria" w:hAnsi="Cambria" w:cs="Cambria"/>
          <w:i/>
          <w:iCs/>
          <w:spacing w:val="-9"/>
          <w:w w:val="105"/>
          <w:sz w:val="19"/>
          <w:szCs w:val="19"/>
        </w:rPr>
        <w:t xml:space="preserve"> </w:t>
      </w:r>
      <w:r>
        <w:rPr>
          <w:rFonts w:ascii="Cambria" w:hAnsi="Cambria" w:cs="Cambria"/>
          <w:i/>
          <w:iCs/>
          <w:w w:val="105"/>
          <w:sz w:val="19"/>
          <w:szCs w:val="19"/>
        </w:rPr>
        <w:t>of</w:t>
      </w:r>
      <w:r>
        <w:rPr>
          <w:rFonts w:ascii="Cambria" w:hAnsi="Cambria" w:cs="Cambria"/>
          <w:i/>
          <w:iCs/>
          <w:spacing w:val="-11"/>
          <w:w w:val="105"/>
          <w:sz w:val="19"/>
          <w:szCs w:val="19"/>
        </w:rPr>
        <w:t xml:space="preserve"> </w:t>
      </w:r>
      <w:r>
        <w:rPr>
          <w:rFonts w:ascii="Cambria" w:hAnsi="Cambria" w:cs="Cambria"/>
          <w:i/>
          <w:iCs/>
          <w:w w:val="105"/>
          <w:sz w:val="19"/>
          <w:szCs w:val="19"/>
        </w:rPr>
        <w:t>the</w:t>
      </w:r>
      <w:r>
        <w:rPr>
          <w:rFonts w:ascii="Cambria" w:hAnsi="Cambria" w:cs="Cambria"/>
          <w:i/>
          <w:iCs/>
          <w:spacing w:val="-10"/>
          <w:w w:val="105"/>
          <w:sz w:val="19"/>
          <w:szCs w:val="19"/>
        </w:rPr>
        <w:t xml:space="preserve"> </w:t>
      </w:r>
      <w:r>
        <w:rPr>
          <w:rFonts w:ascii="Cambria" w:hAnsi="Cambria" w:cs="Cambria"/>
          <w:i/>
          <w:iCs/>
          <w:w w:val="105"/>
          <w:sz w:val="19"/>
          <w:szCs w:val="19"/>
        </w:rPr>
        <w:t>day</w:t>
      </w:r>
      <w:r>
        <w:rPr>
          <w:rFonts w:ascii="Cambria" w:hAnsi="Cambria" w:cs="Cambria"/>
          <w:i/>
          <w:iCs/>
          <w:spacing w:val="-10"/>
          <w:w w:val="105"/>
          <w:sz w:val="19"/>
          <w:szCs w:val="19"/>
        </w:rPr>
        <w:t xml:space="preserve"> </w:t>
      </w:r>
      <w:r>
        <w:rPr>
          <w:rFonts w:ascii="Cambria" w:hAnsi="Cambria" w:cs="Cambria"/>
          <w:i/>
          <w:iCs/>
          <w:w w:val="105"/>
          <w:sz w:val="19"/>
          <w:szCs w:val="19"/>
        </w:rPr>
        <w:t>to</w:t>
      </w:r>
      <w:r>
        <w:rPr>
          <w:rFonts w:ascii="Cambria" w:hAnsi="Cambria" w:cs="Cambria"/>
          <w:i/>
          <w:iCs/>
          <w:spacing w:val="-10"/>
          <w:w w:val="105"/>
          <w:sz w:val="19"/>
          <w:szCs w:val="19"/>
        </w:rPr>
        <w:t xml:space="preserve"> </w:t>
      </w:r>
      <w:r>
        <w:rPr>
          <w:rFonts w:ascii="Cambria" w:hAnsi="Cambria" w:cs="Cambria"/>
          <w:i/>
          <w:iCs/>
          <w:w w:val="105"/>
          <w:sz w:val="19"/>
          <w:szCs w:val="19"/>
        </w:rPr>
        <w:t>improve</w:t>
      </w:r>
      <w:r>
        <w:rPr>
          <w:rFonts w:ascii="Cambria" w:hAnsi="Cambria" w:cs="Cambria"/>
          <w:i/>
          <w:iCs/>
          <w:spacing w:val="-10"/>
          <w:w w:val="105"/>
          <w:sz w:val="19"/>
          <w:szCs w:val="19"/>
        </w:rPr>
        <w:t xml:space="preserve"> </w:t>
      </w:r>
      <w:r>
        <w:rPr>
          <w:rFonts w:ascii="Cambria" w:hAnsi="Cambria" w:cs="Cambria"/>
          <w:i/>
          <w:iCs/>
          <w:w w:val="105"/>
          <w:sz w:val="19"/>
          <w:szCs w:val="19"/>
        </w:rPr>
        <w:t>the</w:t>
      </w:r>
      <w:r>
        <w:rPr>
          <w:rFonts w:ascii="Cambria" w:hAnsi="Cambria" w:cs="Cambria"/>
          <w:i/>
          <w:iCs/>
          <w:spacing w:val="-10"/>
          <w:w w:val="105"/>
          <w:sz w:val="19"/>
          <w:szCs w:val="19"/>
        </w:rPr>
        <w:t xml:space="preserve"> </w:t>
      </w:r>
      <w:r>
        <w:rPr>
          <w:rFonts w:ascii="Cambria" w:hAnsi="Cambria" w:cs="Cambria"/>
          <w:i/>
          <w:iCs/>
          <w:w w:val="105"/>
          <w:sz w:val="19"/>
          <w:szCs w:val="19"/>
        </w:rPr>
        <w:t>health</w:t>
      </w:r>
      <w:r>
        <w:rPr>
          <w:rFonts w:ascii="Cambria" w:hAnsi="Cambria" w:cs="Cambria"/>
          <w:i/>
          <w:iCs/>
          <w:spacing w:val="-10"/>
          <w:w w:val="105"/>
          <w:sz w:val="19"/>
          <w:szCs w:val="19"/>
        </w:rPr>
        <w:t xml:space="preserve"> </w:t>
      </w:r>
      <w:r>
        <w:rPr>
          <w:rFonts w:ascii="Cambria" w:hAnsi="Cambria" w:cs="Cambria"/>
          <w:i/>
          <w:iCs/>
          <w:w w:val="105"/>
          <w:sz w:val="19"/>
          <w:szCs w:val="19"/>
        </w:rPr>
        <w:t>of</w:t>
      </w:r>
      <w:r>
        <w:rPr>
          <w:rFonts w:ascii="Cambria" w:hAnsi="Cambria" w:cs="Cambria"/>
          <w:i/>
          <w:iCs/>
          <w:spacing w:val="-11"/>
          <w:w w:val="105"/>
          <w:sz w:val="19"/>
          <w:szCs w:val="19"/>
        </w:rPr>
        <w:t xml:space="preserve"> </w:t>
      </w:r>
      <w:r>
        <w:rPr>
          <w:rFonts w:ascii="Cambria" w:hAnsi="Cambria" w:cs="Cambria"/>
          <w:i/>
          <w:iCs/>
          <w:w w:val="105"/>
          <w:sz w:val="19"/>
          <w:szCs w:val="19"/>
        </w:rPr>
        <w:t>our</w:t>
      </w:r>
      <w:r>
        <w:rPr>
          <w:rFonts w:ascii="Cambria" w:hAnsi="Cambria" w:cs="Cambria"/>
          <w:i/>
          <w:iCs/>
          <w:spacing w:val="-10"/>
          <w:w w:val="105"/>
          <w:sz w:val="19"/>
          <w:szCs w:val="19"/>
        </w:rPr>
        <w:t xml:space="preserve"> </w:t>
      </w:r>
      <w:r>
        <w:rPr>
          <w:rFonts w:ascii="Cambria" w:hAnsi="Cambria" w:cs="Cambria"/>
          <w:i/>
          <w:iCs/>
          <w:w w:val="105"/>
          <w:sz w:val="19"/>
          <w:szCs w:val="19"/>
        </w:rPr>
        <w:t>patients,</w:t>
      </w:r>
      <w:r>
        <w:rPr>
          <w:rFonts w:ascii="Cambria" w:hAnsi="Cambria" w:cs="Cambria"/>
          <w:i/>
          <w:iCs/>
          <w:spacing w:val="-12"/>
          <w:w w:val="105"/>
          <w:sz w:val="19"/>
          <w:szCs w:val="19"/>
        </w:rPr>
        <w:t xml:space="preserve"> </w:t>
      </w:r>
      <w:r>
        <w:rPr>
          <w:rFonts w:ascii="Cambria" w:hAnsi="Cambria" w:cs="Cambria"/>
          <w:i/>
          <w:iCs/>
          <w:w w:val="105"/>
          <w:sz w:val="19"/>
          <w:szCs w:val="19"/>
        </w:rPr>
        <w:t>communities,</w:t>
      </w:r>
      <w:r>
        <w:rPr>
          <w:rFonts w:ascii="Cambria" w:hAnsi="Cambria" w:cs="Cambria"/>
          <w:i/>
          <w:iCs/>
          <w:spacing w:val="-9"/>
          <w:w w:val="105"/>
          <w:sz w:val="19"/>
          <w:szCs w:val="19"/>
        </w:rPr>
        <w:t xml:space="preserve"> </w:t>
      </w:r>
      <w:r>
        <w:rPr>
          <w:rFonts w:ascii="Cambria" w:hAnsi="Cambria" w:cs="Cambria"/>
          <w:i/>
          <w:iCs/>
          <w:w w:val="105"/>
          <w:sz w:val="19"/>
          <w:szCs w:val="19"/>
        </w:rPr>
        <w:t>and</w:t>
      </w:r>
      <w:r>
        <w:rPr>
          <w:rFonts w:ascii="Cambria" w:hAnsi="Cambria" w:cs="Cambria"/>
          <w:i/>
          <w:iCs/>
          <w:spacing w:val="-11"/>
          <w:w w:val="105"/>
          <w:sz w:val="19"/>
          <w:szCs w:val="19"/>
        </w:rPr>
        <w:t xml:space="preserve"> </w:t>
      </w:r>
      <w:r>
        <w:rPr>
          <w:rFonts w:ascii="Cambria" w:hAnsi="Cambria" w:cs="Cambria"/>
          <w:i/>
          <w:iCs/>
          <w:w w:val="105"/>
          <w:sz w:val="19"/>
          <w:szCs w:val="19"/>
        </w:rPr>
        <w:t>nation..</w:t>
      </w:r>
    </w:p>
    <w:p w:rsidR="002C5025" w:rsidRDefault="002C5025">
      <w:pPr>
        <w:pStyle w:val="BodyText"/>
        <w:kinsoku w:val="0"/>
        <w:overflowPunct w:val="0"/>
        <w:spacing w:before="109" w:line="247" w:lineRule="auto"/>
        <w:ind w:left="642" w:right="773" w:hanging="348"/>
        <w:rPr>
          <w:rFonts w:ascii="Cambria" w:hAnsi="Cambria" w:cs="Cambria"/>
          <w:i/>
          <w:iCs/>
          <w:w w:val="105"/>
          <w:sz w:val="19"/>
          <w:szCs w:val="19"/>
        </w:rPr>
        <w:sectPr w:rsidR="002C5025">
          <w:pgSz w:w="12240" w:h="15840"/>
          <w:pgMar w:top="900" w:right="820" w:bottom="280" w:left="800" w:header="720" w:footer="720" w:gutter="0"/>
          <w:pgBorders w:offsetFrom="page">
            <w:top w:val="single" w:sz="24" w:space="24" w:color="213957"/>
            <w:left w:val="single" w:sz="24" w:space="24" w:color="213957"/>
            <w:bottom w:val="single" w:sz="24" w:space="24" w:color="213957"/>
            <w:right w:val="single" w:sz="24" w:space="24" w:color="213957"/>
          </w:pgBorders>
          <w:cols w:space="720" w:equalWidth="0">
            <w:col w:w="10620"/>
          </w:cols>
          <w:noEndnote/>
        </w:sectPr>
      </w:pPr>
    </w:p>
    <w:p w:rsidR="002C5025" w:rsidRDefault="002C5025">
      <w:pPr>
        <w:pStyle w:val="BodyText"/>
        <w:kinsoku w:val="0"/>
        <w:overflowPunct w:val="0"/>
        <w:spacing w:before="52" w:line="268" w:lineRule="auto"/>
        <w:ind w:left="143" w:right="379"/>
        <w:rPr>
          <w:rFonts w:ascii="Times New Roman" w:hAnsi="Times New Roman" w:cs="Times New Roman"/>
          <w:sz w:val="24"/>
          <w:szCs w:val="24"/>
        </w:rPr>
      </w:pPr>
      <w:r>
        <w:rPr>
          <w:rFonts w:ascii="Times New Roman" w:hAnsi="Times New Roman" w:cs="Times New Roman"/>
          <w:sz w:val="24"/>
          <w:szCs w:val="24"/>
        </w:rPr>
        <w:lastRenderedPageBreak/>
        <w:t>for a high proportion of MassHealth members will be most vulnerable if risk adjustment is not adequate. We are also concerned of the potential for adverse selection if measures that determine payments do not adjust for drivers of cost that are not easily modifiable within the healthcare delivery system. We recommend the methodology described in the National Academies of Health report by the Committee on Accounting for Socioeconomic Status in Medicare Payment Programs.</w:t>
      </w:r>
      <w:r>
        <w:rPr>
          <w:rFonts w:ascii="Times New Roman" w:hAnsi="Times New Roman" w:cs="Times New Roman"/>
          <w:position w:val="11"/>
          <w:sz w:val="16"/>
          <w:szCs w:val="16"/>
        </w:rPr>
        <w:t xml:space="preserve">6 </w:t>
      </w:r>
      <w:r>
        <w:rPr>
          <w:rFonts w:ascii="Times New Roman" w:hAnsi="Times New Roman" w:cs="Times New Roman"/>
          <w:sz w:val="24"/>
          <w:szCs w:val="24"/>
        </w:rPr>
        <w:t>Risk factors to adjust for</w:t>
      </w:r>
    </w:p>
    <w:p w:rsidR="002C5025" w:rsidRDefault="002C5025">
      <w:pPr>
        <w:pStyle w:val="BodyText"/>
        <w:kinsoku w:val="0"/>
        <w:overflowPunct w:val="0"/>
        <w:spacing w:line="273" w:lineRule="auto"/>
        <w:ind w:left="143" w:right="126"/>
        <w:rPr>
          <w:rFonts w:ascii="Times New Roman" w:hAnsi="Times New Roman" w:cs="Times New Roman"/>
          <w:color w:val="212121"/>
          <w:sz w:val="24"/>
          <w:szCs w:val="24"/>
        </w:rPr>
      </w:pPr>
      <w:r>
        <w:rPr>
          <w:rFonts w:ascii="Times New Roman" w:hAnsi="Times New Roman" w:cs="Times New Roman"/>
          <w:sz w:val="24"/>
          <w:szCs w:val="24"/>
        </w:rPr>
        <w:t xml:space="preserve">should </w:t>
      </w:r>
      <w:r>
        <w:rPr>
          <w:rFonts w:ascii="Times New Roman" w:hAnsi="Times New Roman" w:cs="Times New Roman"/>
          <w:color w:val="212121"/>
          <w:sz w:val="24"/>
          <w:szCs w:val="24"/>
        </w:rPr>
        <w:t>include wealth, sexual orientation and gender identity, environmental measures of residential and community context, and access to social supports</w:t>
      </w:r>
    </w:p>
    <w:p w:rsidR="002C5025" w:rsidRDefault="002C5025">
      <w:pPr>
        <w:pStyle w:val="BodyText"/>
        <w:kinsoku w:val="0"/>
        <w:overflowPunct w:val="0"/>
        <w:spacing w:before="3"/>
        <w:rPr>
          <w:rFonts w:ascii="Times New Roman" w:hAnsi="Times New Roman" w:cs="Times New Roman"/>
          <w:sz w:val="28"/>
          <w:szCs w:val="28"/>
        </w:rPr>
      </w:pPr>
    </w:p>
    <w:p w:rsidR="002C5025" w:rsidRDefault="002C5025">
      <w:pPr>
        <w:pStyle w:val="BodyText"/>
        <w:kinsoku w:val="0"/>
        <w:overflowPunct w:val="0"/>
        <w:spacing w:line="276" w:lineRule="auto"/>
        <w:ind w:left="143" w:right="461"/>
        <w:rPr>
          <w:rFonts w:ascii="Times New Roman" w:hAnsi="Times New Roman" w:cs="Times New Roman"/>
          <w:sz w:val="24"/>
          <w:szCs w:val="24"/>
        </w:rPr>
      </w:pPr>
      <w:r>
        <w:rPr>
          <w:rFonts w:ascii="Times New Roman" w:hAnsi="Times New Roman" w:cs="Times New Roman"/>
          <w:sz w:val="24"/>
          <w:szCs w:val="24"/>
        </w:rPr>
        <w:t>Further there should be careful consideration of the feasibility of reporting from data sources, administrative burden of reporting any ACO metrics, and investment in infrastructure and technical assistance for measure reporting. Specifically, small independent clinics find it challenging and time consuming to collect and submit quality metrics and is an opportunity cost. Resources spent on quality reporting are then siphoned off from actual care delivery. Dedicated infrastructure support and technical assistance resources will be required for any new ACO measures.</w:t>
      </w:r>
    </w:p>
    <w:p w:rsidR="002C5025" w:rsidRDefault="002C5025">
      <w:pPr>
        <w:pStyle w:val="BodyText"/>
        <w:kinsoku w:val="0"/>
        <w:overflowPunct w:val="0"/>
        <w:spacing w:before="7"/>
        <w:rPr>
          <w:rFonts w:ascii="Times New Roman" w:hAnsi="Times New Roman" w:cs="Times New Roman"/>
          <w:sz w:val="27"/>
          <w:szCs w:val="27"/>
        </w:rPr>
      </w:pPr>
    </w:p>
    <w:p w:rsidR="002C5025" w:rsidRDefault="002C5025">
      <w:pPr>
        <w:pStyle w:val="BodyText"/>
        <w:kinsoku w:val="0"/>
        <w:overflowPunct w:val="0"/>
        <w:ind w:left="143" w:right="126"/>
        <w:rPr>
          <w:rFonts w:ascii="Times New Roman" w:hAnsi="Times New Roman" w:cs="Times New Roman"/>
          <w:sz w:val="24"/>
          <w:szCs w:val="24"/>
        </w:rPr>
      </w:pPr>
      <w:r>
        <w:rPr>
          <w:rFonts w:ascii="Times New Roman" w:hAnsi="Times New Roman" w:cs="Times New Roman"/>
          <w:sz w:val="24"/>
          <w:szCs w:val="24"/>
          <w:u w:val="single" w:color="000000"/>
        </w:rPr>
        <w:t>Measurement Setting and Accountability</w:t>
      </w:r>
    </w:p>
    <w:p w:rsidR="002C5025" w:rsidRDefault="002C5025">
      <w:pPr>
        <w:pStyle w:val="BodyText"/>
        <w:kinsoku w:val="0"/>
        <w:overflowPunct w:val="0"/>
        <w:spacing w:before="1"/>
        <w:rPr>
          <w:rFonts w:ascii="Times New Roman" w:hAnsi="Times New Roman" w:cs="Times New Roman"/>
          <w:sz w:val="25"/>
          <w:szCs w:val="25"/>
        </w:rPr>
      </w:pPr>
    </w:p>
    <w:p w:rsidR="002C5025" w:rsidRDefault="002C5025">
      <w:pPr>
        <w:pStyle w:val="BodyText"/>
        <w:kinsoku w:val="0"/>
        <w:overflowPunct w:val="0"/>
        <w:spacing w:before="69" w:line="276" w:lineRule="auto"/>
        <w:ind w:left="143" w:right="113"/>
        <w:rPr>
          <w:rFonts w:ascii="Times New Roman" w:hAnsi="Times New Roman" w:cs="Times New Roman"/>
          <w:sz w:val="24"/>
          <w:szCs w:val="24"/>
        </w:rPr>
      </w:pPr>
      <w:r>
        <w:rPr>
          <w:rFonts w:ascii="Times New Roman" w:hAnsi="Times New Roman" w:cs="Times New Roman"/>
          <w:sz w:val="24"/>
          <w:szCs w:val="24"/>
        </w:rPr>
        <w:t>We seek clarification on how measurement and accountability will be determined in the new integrated model of care. We ask this given the knowledge that measure specifications indicate the setting for use and data collection. This is particularly relevant to the integration with LTSS services as the measures for these clinical services have typically been separate from acute or outpatient medical care. We seek to understand how the performance metrics that set incentives, determine payment will create and attribute accountability across various settings, including LTSS. We caution that established measures that are considered valid and reliable in one setting, if used in a novel way or in a new setting, may no longer be valid and reliable.</w:t>
      </w:r>
    </w:p>
    <w:p w:rsidR="002C5025" w:rsidRDefault="002C5025">
      <w:pPr>
        <w:pStyle w:val="BodyText"/>
        <w:kinsoku w:val="0"/>
        <w:overflowPunct w:val="0"/>
        <w:spacing w:line="276" w:lineRule="auto"/>
        <w:ind w:left="143" w:right="141"/>
        <w:rPr>
          <w:rFonts w:ascii="Times New Roman" w:hAnsi="Times New Roman" w:cs="Times New Roman"/>
          <w:sz w:val="24"/>
          <w:szCs w:val="24"/>
        </w:rPr>
      </w:pPr>
      <w:r>
        <w:rPr>
          <w:rFonts w:ascii="Times New Roman" w:hAnsi="Times New Roman" w:cs="Times New Roman"/>
          <w:sz w:val="24"/>
          <w:szCs w:val="24"/>
        </w:rPr>
        <w:t>Therefore, careful consideration of how accountability is measured and attributed across the integrated care model is essential. While we support the use of cross cutting measures, we also recommend measures that promote ownership of results and inform actionable plans for improvement.</w:t>
      </w:r>
    </w:p>
    <w:p w:rsidR="002C5025" w:rsidRDefault="002C5025">
      <w:pPr>
        <w:pStyle w:val="BodyText"/>
        <w:kinsoku w:val="0"/>
        <w:overflowPunct w:val="0"/>
        <w:spacing w:before="7"/>
        <w:rPr>
          <w:rFonts w:ascii="Times New Roman" w:hAnsi="Times New Roman" w:cs="Times New Roman"/>
          <w:sz w:val="27"/>
          <w:szCs w:val="27"/>
        </w:rPr>
      </w:pPr>
    </w:p>
    <w:p w:rsidR="002C5025" w:rsidRDefault="002C5025">
      <w:pPr>
        <w:pStyle w:val="BodyText"/>
        <w:kinsoku w:val="0"/>
        <w:overflowPunct w:val="0"/>
        <w:ind w:left="143" w:right="126"/>
        <w:rPr>
          <w:rFonts w:ascii="Times New Roman" w:hAnsi="Times New Roman" w:cs="Times New Roman"/>
          <w:sz w:val="24"/>
          <w:szCs w:val="24"/>
        </w:rPr>
      </w:pPr>
      <w:r>
        <w:rPr>
          <w:rFonts w:ascii="Times New Roman" w:hAnsi="Times New Roman" w:cs="Times New Roman"/>
          <w:sz w:val="24"/>
          <w:szCs w:val="24"/>
          <w:u w:val="single" w:color="000000"/>
        </w:rPr>
        <w:t>Population Health Measures</w:t>
      </w:r>
    </w:p>
    <w:p w:rsidR="002C5025" w:rsidRDefault="002C5025">
      <w:pPr>
        <w:pStyle w:val="BodyText"/>
        <w:kinsoku w:val="0"/>
        <w:overflowPunct w:val="0"/>
        <w:spacing w:before="5"/>
        <w:rPr>
          <w:rFonts w:ascii="Times New Roman" w:hAnsi="Times New Roman" w:cs="Times New Roman"/>
          <w:sz w:val="25"/>
          <w:szCs w:val="25"/>
        </w:rPr>
      </w:pPr>
    </w:p>
    <w:p w:rsidR="002C5025" w:rsidRDefault="002C5025">
      <w:pPr>
        <w:pStyle w:val="BodyText"/>
        <w:kinsoku w:val="0"/>
        <w:overflowPunct w:val="0"/>
        <w:spacing w:before="70" w:line="276" w:lineRule="auto"/>
        <w:ind w:left="143" w:right="148"/>
        <w:rPr>
          <w:rFonts w:ascii="Times New Roman" w:hAnsi="Times New Roman" w:cs="Times New Roman"/>
          <w:sz w:val="24"/>
          <w:szCs w:val="24"/>
        </w:rPr>
      </w:pPr>
      <w:r>
        <w:rPr>
          <w:rFonts w:ascii="Times New Roman" w:hAnsi="Times New Roman" w:cs="Times New Roman"/>
          <w:sz w:val="24"/>
          <w:szCs w:val="24"/>
        </w:rPr>
        <w:t>We note, while the Triple Aim is oft-cited in healthcare improvement, many existing measure sets have an imbalance between measures mapped to each of the three aims of per capita cost of care, population health, and experience of care. Specifically, we often hear of re-admissions or annual total medical expenditure (TME), which represent short-term outcome measures to identify preventable cost to the system. Payer- driven measure sets, however, contain few outcome measures assessing population health. There is often little overlap between the population health metrics used by the Centers for Disease Control (CDC) or Department of Public Health (DPH) versus those of payers. We encourage greater use of existing datasets from such public agencies and greater collaboration between MassHealth and DPH to better track and improve population health. The metrics for population health are particularly important in pediatrics as</w:t>
      </w:r>
    </w:p>
    <w:p w:rsidR="002C5025" w:rsidRDefault="00FB027C">
      <w:pPr>
        <w:pStyle w:val="BodyText"/>
        <w:kinsoku w:val="0"/>
        <w:overflowPunct w:val="0"/>
        <w:spacing w:before="3"/>
        <w:rPr>
          <w:rFonts w:ascii="Times New Roman" w:hAnsi="Times New Roman" w:cs="Times New Roman"/>
          <w:sz w:val="9"/>
          <w:szCs w:val="9"/>
        </w:rPr>
      </w:pPr>
      <w:r>
        <w:rPr>
          <w:noProof/>
        </w:rPr>
        <mc:AlternateContent>
          <mc:Choice Requires="wps">
            <w:drawing>
              <wp:anchor distT="0" distB="0" distL="0" distR="0" simplePos="0" relativeHeight="251599360" behindDoc="0" locked="0" layoutInCell="0" allowOverlap="1">
                <wp:simplePos x="0" y="0"/>
                <wp:positionH relativeFrom="page">
                  <wp:posOffset>609600</wp:posOffset>
                </wp:positionH>
                <wp:positionV relativeFrom="paragraph">
                  <wp:posOffset>95885</wp:posOffset>
                </wp:positionV>
                <wp:extent cx="1828800" cy="12700"/>
                <wp:effectExtent l="0" t="0" r="0" b="0"/>
                <wp:wrapTopAndBottom/>
                <wp:docPr id="692" name="Freeform 3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w 2880"/>
                            <a:gd name="T1" fmla="*/ 0 h 20"/>
                            <a:gd name="T2" fmla="*/ 2880 w 2880"/>
                            <a:gd name="T3" fmla="*/ 0 h 20"/>
                          </a:gdLst>
                          <a:ahLst/>
                          <a:cxnLst>
                            <a:cxn ang="0">
                              <a:pos x="T0" y="T1"/>
                            </a:cxn>
                            <a:cxn ang="0">
                              <a:pos x="T2" y="T3"/>
                            </a:cxn>
                          </a:cxnLst>
                          <a:rect l="0" t="0" r="r" b="b"/>
                          <a:pathLst>
                            <a:path w="2880" h="20">
                              <a:moveTo>
                                <a:pt x="0" y="0"/>
                              </a:moveTo>
                              <a:lnTo>
                                <a:pt x="2880"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33" o:spid="_x0000_s1026" style="position:absolute;z-index:251599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48pt,7.55pt,192pt,7.55pt" coordsize="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" o:allowincell="f" filled="f" strokeweight=".20458mm">
                <v:path arrowok="t" o:connecttype="custom" o:connectlocs="0,0;1828800,0" o:connectangles="0,0"/>
                <w10:wrap type="topAndBottom" anchorx="page"/>
              </v:polyline>
            </w:pict>
          </mc:Fallback>
        </mc:AlternateContent>
      </w:r>
    </w:p>
    <w:p w:rsidR="002C5025" w:rsidRDefault="002C5025">
      <w:pPr>
        <w:pStyle w:val="BodyText"/>
        <w:tabs>
          <w:tab w:val="left" w:pos="524"/>
        </w:tabs>
        <w:kinsoku w:val="0"/>
        <w:overflowPunct w:val="0"/>
        <w:spacing w:before="2" w:line="259" w:lineRule="auto"/>
        <w:ind w:left="143" w:right="1979"/>
        <w:rPr>
          <w:rFonts w:ascii="Times New Roman" w:hAnsi="Times New Roman" w:cs="Times New Roman"/>
          <w:color w:val="000000"/>
          <w:sz w:val="19"/>
          <w:szCs w:val="19"/>
        </w:rPr>
      </w:pPr>
      <w:r>
        <w:rPr>
          <w:rFonts w:ascii="Times New Roman" w:hAnsi="Times New Roman" w:cs="Times New Roman"/>
          <w:position w:val="11"/>
          <w:sz w:val="16"/>
          <w:szCs w:val="16"/>
        </w:rPr>
        <w:t>6</w:t>
      </w:r>
      <w:r>
        <w:rPr>
          <w:rFonts w:ascii="Times New Roman" w:hAnsi="Times New Roman" w:cs="Times New Roman"/>
          <w:position w:val="11"/>
          <w:sz w:val="16"/>
          <w:szCs w:val="16"/>
        </w:rPr>
        <w:tab/>
      </w:r>
      <w:hyperlink r:id="rId268" w:history="1">
        <w:r>
          <w:rPr>
            <w:rFonts w:ascii="Times New Roman" w:hAnsi="Times New Roman" w:cs="Times New Roman"/>
            <w:color w:val="0000FF"/>
            <w:w w:val="95"/>
            <w:sz w:val="19"/>
            <w:szCs w:val="19"/>
            <w:u w:val="single"/>
          </w:rPr>
          <w:t xml:space="preserve">http://www.nap.edu/catalog/23513/accounting-for-social-risk-factors-in-medicare-payment-criteria-factors </w:t>
        </w:r>
      </w:hyperlink>
      <w:hyperlink r:id="rId269" w:history="1">
        <w:r>
          <w:rPr>
            <w:rFonts w:ascii="Times New Roman" w:hAnsi="Times New Roman" w:cs="Times New Roman"/>
            <w:color w:val="000000"/>
            <w:sz w:val="19"/>
            <w:szCs w:val="19"/>
          </w:rPr>
          <w:t>http://www.nap.edu/catalog/23513/accounting-for-social-risk-factors-in-medicare-payment-criteria-factors</w:t>
        </w:r>
      </w:hyperlink>
    </w:p>
    <w:p w:rsidR="002C5025" w:rsidRDefault="002C5025">
      <w:pPr>
        <w:pStyle w:val="BodyText"/>
        <w:kinsoku w:val="0"/>
        <w:overflowPunct w:val="0"/>
        <w:spacing w:before="9"/>
        <w:rPr>
          <w:rFonts w:ascii="Times New Roman" w:hAnsi="Times New Roman" w:cs="Times New Roman"/>
          <w:sz w:val="12"/>
          <w:szCs w:val="12"/>
        </w:rPr>
      </w:pPr>
    </w:p>
    <w:p w:rsidR="002C5025" w:rsidRDefault="00FB027C">
      <w:pPr>
        <w:pStyle w:val="BodyText"/>
        <w:kinsoku w:val="0"/>
        <w:overflowPunct w:val="0"/>
        <w:spacing w:before="76"/>
        <w:ind w:right="108"/>
        <w:jc w:val="right"/>
        <w:rPr>
          <w:rFonts w:ascii="Times New Roman" w:hAnsi="Times New Roman" w:cs="Times New Roman"/>
          <w:w w:val="99"/>
          <w:sz w:val="19"/>
          <w:szCs w:val="19"/>
        </w:rPr>
      </w:pPr>
      <w:r>
        <w:rPr>
          <w:noProof/>
        </w:rPr>
        <mc:AlternateContent>
          <mc:Choice Requires="wpg">
            <w:drawing>
              <wp:anchor distT="0" distB="0" distL="114300" distR="114300" simplePos="0" relativeHeight="251600384" behindDoc="0" locked="0" layoutInCell="0" allowOverlap="1">
                <wp:simplePos x="0" y="0"/>
                <wp:positionH relativeFrom="page">
                  <wp:posOffset>572135</wp:posOffset>
                </wp:positionH>
                <wp:positionV relativeFrom="paragraph">
                  <wp:posOffset>48260</wp:posOffset>
                </wp:positionV>
                <wp:extent cx="6410960" cy="38100"/>
                <wp:effectExtent l="0" t="0" r="0" b="0"/>
                <wp:wrapNone/>
                <wp:docPr id="688"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0960" cy="38100"/>
                          <a:chOff x="901" y="76"/>
                          <a:chExt cx="10096" cy="60"/>
                        </a:xfrm>
                      </wpg:grpSpPr>
                      <wps:wsp>
                        <wps:cNvPr id="689" name="Freeform 335"/>
                        <wps:cNvSpPr>
                          <a:spLocks/>
                        </wps:cNvSpPr>
                        <wps:spPr bwMode="auto">
                          <a:xfrm>
                            <a:off x="917" y="85"/>
                            <a:ext cx="10065" cy="20"/>
                          </a:xfrm>
                          <a:custGeom>
                            <a:avLst/>
                            <a:gdLst>
                              <a:gd name="T0" fmla="*/ 0 w 10065"/>
                              <a:gd name="T1" fmla="*/ 0 h 20"/>
                              <a:gd name="T2" fmla="*/ 10065 w 10065"/>
                              <a:gd name="T3" fmla="*/ 0 h 20"/>
                            </a:gdLst>
                            <a:ahLst/>
                            <a:cxnLst>
                              <a:cxn ang="0">
                                <a:pos x="T0" y="T1"/>
                              </a:cxn>
                              <a:cxn ang="0">
                                <a:pos x="T2" y="T3"/>
                              </a:cxn>
                            </a:cxnLst>
                            <a:rect l="0" t="0" r="r" b="b"/>
                            <a:pathLst>
                              <a:path w="10065" h="20">
                                <a:moveTo>
                                  <a:pt x="0" y="0"/>
                                </a:moveTo>
                                <a:lnTo>
                                  <a:pt x="10065"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0" name="Freeform 336"/>
                        <wps:cNvSpPr>
                          <a:spLocks/>
                        </wps:cNvSpPr>
                        <wps:spPr bwMode="auto">
                          <a:xfrm>
                            <a:off x="917" y="107"/>
                            <a:ext cx="10065" cy="20"/>
                          </a:xfrm>
                          <a:custGeom>
                            <a:avLst/>
                            <a:gdLst>
                              <a:gd name="T0" fmla="*/ 0 w 10065"/>
                              <a:gd name="T1" fmla="*/ 0 h 20"/>
                              <a:gd name="T2" fmla="*/ 10065 w 10065"/>
                              <a:gd name="T3" fmla="*/ 0 h 20"/>
                            </a:gdLst>
                            <a:ahLst/>
                            <a:cxnLst>
                              <a:cxn ang="0">
                                <a:pos x="T0" y="T1"/>
                              </a:cxn>
                              <a:cxn ang="0">
                                <a:pos x="T2" y="T3"/>
                              </a:cxn>
                            </a:cxnLst>
                            <a:rect l="0" t="0" r="r" b="b"/>
                            <a:pathLst>
                              <a:path w="10065" h="20">
                                <a:moveTo>
                                  <a:pt x="0" y="0"/>
                                </a:moveTo>
                                <a:lnTo>
                                  <a:pt x="10065" y="0"/>
                                </a:lnTo>
                              </a:path>
                            </a:pathLst>
                          </a:custGeom>
                          <a:noFill/>
                          <a:ln w="19558">
                            <a:solidFill>
                              <a:srgbClr val="6060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1" name="Freeform 337"/>
                        <wps:cNvSpPr>
                          <a:spLocks/>
                        </wps:cNvSpPr>
                        <wps:spPr bwMode="auto">
                          <a:xfrm>
                            <a:off x="917" y="128"/>
                            <a:ext cx="10065" cy="20"/>
                          </a:xfrm>
                          <a:custGeom>
                            <a:avLst/>
                            <a:gdLst>
                              <a:gd name="T0" fmla="*/ 0 w 10065"/>
                              <a:gd name="T1" fmla="*/ 0 h 20"/>
                              <a:gd name="T2" fmla="*/ 10065 w 10065"/>
                              <a:gd name="T3" fmla="*/ 0 h 20"/>
                            </a:gdLst>
                            <a:ahLst/>
                            <a:cxnLst>
                              <a:cxn ang="0">
                                <a:pos x="T0" y="T1"/>
                              </a:cxn>
                              <a:cxn ang="0">
                                <a:pos x="T2" y="T3"/>
                              </a:cxn>
                            </a:cxnLst>
                            <a:rect l="0" t="0" r="r" b="b"/>
                            <a:pathLst>
                              <a:path w="10065" h="20">
                                <a:moveTo>
                                  <a:pt x="0" y="0"/>
                                </a:moveTo>
                                <a:lnTo>
                                  <a:pt x="10065" y="0"/>
                                </a:lnTo>
                              </a:path>
                            </a:pathLst>
                          </a:custGeom>
                          <a:noFill/>
                          <a:ln w="10414">
                            <a:solidFill>
                              <a:srgbClr val="C1C1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34" o:spid="_x0000_s1026" style="position:absolute;margin-left:45.05pt;margin-top:3.8pt;width:504.8pt;height:3pt;z-index:251600384;mso-position-horizontal-relative:page" coordorigin="901,76" coordsize="1009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" o:allowincell="f">
                <v:shape id="Freeform 335" o:spid="_x0000_s1027" style="position:absolute;left:917;top:85;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yqv8YA&#10;AADcAAAADwAAAGRycy9kb3ducmV2LnhtbESPQWvCQBSE74L/YXmCF6mb9iCaukqxWCQHIRro9ZF9&#10;Jmmzb5fsqtFf7xYKHoeZ+YZZrnvTigt1vrGs4HWagCAurW64UlActy9zED4ga2wtk4IbeVivhoMl&#10;ptpeOafLIVQiQtinqKAOwaVS+rImg35qHXH0TrYzGKLsKqk7vEa4aeVbksykwYbjQo2ONjWVv4ez&#10;UbDb/+Sf3+ZeuLvenAo3ybKvPFNqPOo/3kEE6sMz/N/eaQWz+QL+zsQjIF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6yqv8YAAADcAAAADwAAAAAAAAAAAAAAAACYAgAAZHJz&#10;L2Rvd25yZXYueG1sUEsFBgAAAAAEAAQA9QAAAIsDAAAAAA==&#10;" path="m,l10065,e" filled="f" strokeweight=".82pt">
                  <v:path arrowok="t" o:connecttype="custom" o:connectlocs="0,0;10065,0" o:connectangles="0,0"/>
                </v:shape>
                <v:shape id="Freeform 336" o:spid="_x0000_s1028" style="position:absolute;left:917;top:107;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AFwsIA&#10;AADcAAAADwAAAGRycy9kb3ducmV2LnhtbERPS2sCMRC+F/ofwhR6q1lLWdrVKK1gKV6kWxGPw2b2&#10;oZvJkkx1/ffmUOjx43vPl6Pr1ZlC7DwbmE4yUMSVtx03BnY/66dXUFGQLfaeycCVIiwX93dzLKy/&#10;8DedS2lUCuFYoIFWZCi0jlVLDuPED8SJq31wKAmGRtuAlxTuev2cZbl22HFqaHGgVUvVqfx1Bg64&#10;tmX+Uq/GY5Dp9qPey+fGGfP4ML7PQAmN8i/+c39ZA/lbmp/OpCOgF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IAXCwgAAANwAAAAPAAAAAAAAAAAAAAAAAJgCAABkcnMvZG93&#10;bnJldi54bWxQSwUGAAAAAAQABAD1AAAAhwMAAAAA&#10;" path="m,l10065,e" filled="f" strokecolor="#606060" strokeweight="1.54pt">
                  <v:path arrowok="t" o:connecttype="custom" o:connectlocs="0,0;10065,0" o:connectangles="0,0"/>
                </v:shape>
                <v:shape id="Freeform 337" o:spid="_x0000_s1029" style="position:absolute;left:917;top:128;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BD+sMA&#10;AADcAAAADwAAAGRycy9kb3ducmV2LnhtbESPQWuDQBSE74H+h+UVektWDUhiXSUIpb2aFoK3h/uq&#10;EvetuFtj++u7hUKOw8x8w+Tlakax0OwGywriXQSCuLV64E7Bx/vL9gDCeWSNo2VS8E0OyuJhk2Om&#10;7Y1rWs6+EwHCLkMFvfdTJqVrezLodnYiDt6nnQ36IOdO6hlvAW5GmURRKg0OHBZ6nKjqqb2ev4yC&#10;pk4vx9fph/f7ytdNWpmuqROlnh7X0zMIT6u/h//bb1pBeozh70w4ArL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RBD+sMAAADcAAAADwAAAAAAAAAAAAAAAACYAgAAZHJzL2Rv&#10;d25yZXYueG1sUEsFBgAAAAAEAAQA9QAAAIgDAAAAAA==&#10;" path="m,l10065,e" filled="f" strokecolor="#c1c1c1" strokeweight=".82pt">
                  <v:path arrowok="t" o:connecttype="custom" o:connectlocs="0,0;10065,0" o:connectangles="0,0"/>
                </v:shape>
                <w10:wrap anchorx="page"/>
              </v:group>
            </w:pict>
          </mc:Fallback>
        </mc:AlternateContent>
      </w:r>
      <w:r w:rsidR="002C5025">
        <w:rPr>
          <w:rFonts w:ascii="Times New Roman" w:hAnsi="Times New Roman" w:cs="Times New Roman"/>
          <w:w w:val="99"/>
          <w:sz w:val="19"/>
          <w:szCs w:val="19"/>
        </w:rPr>
        <w:t>3</w:t>
      </w:r>
    </w:p>
    <w:p w:rsidR="002C5025" w:rsidRDefault="002C5025">
      <w:pPr>
        <w:pStyle w:val="BodyText"/>
        <w:kinsoku w:val="0"/>
        <w:overflowPunct w:val="0"/>
        <w:spacing w:before="109" w:line="244" w:lineRule="auto"/>
        <w:ind w:left="642" w:right="773" w:hanging="348"/>
        <w:rPr>
          <w:rFonts w:ascii="Cambria" w:hAnsi="Cambria" w:cs="Cambria"/>
          <w:i/>
          <w:iCs/>
          <w:w w:val="105"/>
          <w:sz w:val="19"/>
          <w:szCs w:val="19"/>
        </w:rPr>
      </w:pPr>
      <w:r>
        <w:rPr>
          <w:rFonts w:ascii="Cambria" w:hAnsi="Cambria" w:cs="Cambria"/>
          <w:i/>
          <w:iCs/>
          <w:w w:val="105"/>
          <w:sz w:val="19"/>
          <w:szCs w:val="19"/>
        </w:rPr>
        <w:t>Doctors</w:t>
      </w:r>
      <w:r>
        <w:rPr>
          <w:rFonts w:ascii="Cambria" w:hAnsi="Cambria" w:cs="Cambria"/>
          <w:i/>
          <w:iCs/>
          <w:spacing w:val="-10"/>
          <w:w w:val="105"/>
          <w:sz w:val="19"/>
          <w:szCs w:val="19"/>
        </w:rPr>
        <w:t xml:space="preserve"> </w:t>
      </w:r>
      <w:r>
        <w:rPr>
          <w:rFonts w:ascii="Cambria" w:hAnsi="Cambria" w:cs="Cambria"/>
          <w:i/>
          <w:iCs/>
          <w:w w:val="105"/>
          <w:sz w:val="19"/>
          <w:szCs w:val="19"/>
        </w:rPr>
        <w:t>for</w:t>
      </w:r>
      <w:r>
        <w:rPr>
          <w:rFonts w:ascii="Cambria" w:hAnsi="Cambria" w:cs="Cambria"/>
          <w:i/>
          <w:iCs/>
          <w:spacing w:val="-13"/>
          <w:w w:val="105"/>
          <w:sz w:val="19"/>
          <w:szCs w:val="19"/>
        </w:rPr>
        <w:t xml:space="preserve"> </w:t>
      </w:r>
      <w:r>
        <w:rPr>
          <w:rFonts w:ascii="Cambria" w:hAnsi="Cambria" w:cs="Cambria"/>
          <w:i/>
          <w:iCs/>
          <w:w w:val="105"/>
          <w:sz w:val="19"/>
          <w:szCs w:val="19"/>
        </w:rPr>
        <w:t>America</w:t>
      </w:r>
      <w:r>
        <w:rPr>
          <w:rFonts w:ascii="Cambria" w:hAnsi="Cambria" w:cs="Cambria"/>
          <w:i/>
          <w:iCs/>
          <w:spacing w:val="-12"/>
          <w:w w:val="105"/>
          <w:sz w:val="19"/>
          <w:szCs w:val="19"/>
        </w:rPr>
        <w:t xml:space="preserve"> </w:t>
      </w:r>
      <w:r>
        <w:rPr>
          <w:rFonts w:ascii="Cambria" w:hAnsi="Cambria" w:cs="Cambria"/>
          <w:i/>
          <w:iCs/>
          <w:w w:val="105"/>
          <w:sz w:val="19"/>
          <w:szCs w:val="19"/>
        </w:rPr>
        <w:t>is</w:t>
      </w:r>
      <w:r>
        <w:rPr>
          <w:rFonts w:ascii="Cambria" w:hAnsi="Cambria" w:cs="Cambria"/>
          <w:i/>
          <w:iCs/>
          <w:spacing w:val="-13"/>
          <w:w w:val="105"/>
          <w:sz w:val="19"/>
          <w:szCs w:val="19"/>
        </w:rPr>
        <w:t xml:space="preserve"> </w:t>
      </w:r>
      <w:r>
        <w:rPr>
          <w:rFonts w:ascii="Cambria" w:hAnsi="Cambria" w:cs="Cambria"/>
          <w:i/>
          <w:iCs/>
          <w:w w:val="105"/>
          <w:sz w:val="19"/>
          <w:szCs w:val="19"/>
        </w:rPr>
        <w:t>a</w:t>
      </w:r>
      <w:r>
        <w:rPr>
          <w:rFonts w:ascii="Cambria" w:hAnsi="Cambria" w:cs="Cambria"/>
          <w:i/>
          <w:iCs/>
          <w:spacing w:val="-10"/>
          <w:w w:val="105"/>
          <w:sz w:val="19"/>
          <w:szCs w:val="19"/>
        </w:rPr>
        <w:t xml:space="preserve"> </w:t>
      </w:r>
      <w:r>
        <w:rPr>
          <w:rFonts w:ascii="Cambria" w:hAnsi="Cambria" w:cs="Cambria"/>
          <w:i/>
          <w:iCs/>
          <w:w w:val="105"/>
          <w:sz w:val="19"/>
          <w:szCs w:val="19"/>
        </w:rPr>
        <w:t>501(c)(3)</w:t>
      </w:r>
      <w:r>
        <w:rPr>
          <w:rFonts w:ascii="Cambria" w:hAnsi="Cambria" w:cs="Cambria"/>
          <w:i/>
          <w:iCs/>
          <w:spacing w:val="-13"/>
          <w:w w:val="105"/>
          <w:sz w:val="19"/>
          <w:szCs w:val="19"/>
        </w:rPr>
        <w:t xml:space="preserve"> </w:t>
      </w:r>
      <w:r>
        <w:rPr>
          <w:rFonts w:ascii="Cambria" w:hAnsi="Cambria" w:cs="Cambria"/>
          <w:i/>
          <w:iCs/>
          <w:w w:val="105"/>
          <w:sz w:val="19"/>
          <w:szCs w:val="19"/>
        </w:rPr>
        <w:t>national</w:t>
      </w:r>
      <w:r>
        <w:rPr>
          <w:rFonts w:ascii="Cambria" w:hAnsi="Cambria" w:cs="Cambria"/>
          <w:i/>
          <w:iCs/>
          <w:spacing w:val="-11"/>
          <w:w w:val="105"/>
          <w:sz w:val="19"/>
          <w:szCs w:val="19"/>
        </w:rPr>
        <w:t xml:space="preserve"> </w:t>
      </w:r>
      <w:r>
        <w:rPr>
          <w:rFonts w:ascii="Cambria" w:hAnsi="Cambria" w:cs="Cambria"/>
          <w:i/>
          <w:iCs/>
          <w:w w:val="105"/>
          <w:sz w:val="19"/>
          <w:szCs w:val="19"/>
        </w:rPr>
        <w:t>movement</w:t>
      </w:r>
      <w:r>
        <w:rPr>
          <w:rFonts w:ascii="Cambria" w:hAnsi="Cambria" w:cs="Cambria"/>
          <w:i/>
          <w:iCs/>
          <w:spacing w:val="-10"/>
          <w:w w:val="105"/>
          <w:sz w:val="19"/>
          <w:szCs w:val="19"/>
        </w:rPr>
        <w:t xml:space="preserve"> </w:t>
      </w:r>
      <w:r>
        <w:rPr>
          <w:rFonts w:ascii="Cambria" w:hAnsi="Cambria" w:cs="Cambria"/>
          <w:i/>
          <w:iCs/>
          <w:w w:val="105"/>
          <w:sz w:val="19"/>
          <w:szCs w:val="19"/>
        </w:rPr>
        <w:t>that</w:t>
      </w:r>
      <w:r>
        <w:rPr>
          <w:rFonts w:ascii="Cambria" w:hAnsi="Cambria" w:cs="Cambria"/>
          <w:i/>
          <w:iCs/>
          <w:spacing w:val="-13"/>
          <w:w w:val="105"/>
          <w:sz w:val="19"/>
          <w:szCs w:val="19"/>
        </w:rPr>
        <w:t xml:space="preserve"> </w:t>
      </w:r>
      <w:r>
        <w:rPr>
          <w:rFonts w:ascii="Cambria" w:hAnsi="Cambria" w:cs="Cambria"/>
          <w:i/>
          <w:iCs/>
          <w:w w:val="105"/>
          <w:sz w:val="19"/>
          <w:szCs w:val="19"/>
        </w:rPr>
        <w:t>mobilizes</w:t>
      </w:r>
      <w:r>
        <w:rPr>
          <w:rFonts w:ascii="Cambria" w:hAnsi="Cambria" w:cs="Cambria"/>
          <w:i/>
          <w:iCs/>
          <w:spacing w:val="-10"/>
          <w:w w:val="105"/>
          <w:sz w:val="19"/>
          <w:szCs w:val="19"/>
        </w:rPr>
        <w:t xml:space="preserve"> </w:t>
      </w:r>
      <w:r>
        <w:rPr>
          <w:rFonts w:ascii="Cambria" w:hAnsi="Cambria" w:cs="Cambria"/>
          <w:i/>
          <w:iCs/>
          <w:w w:val="105"/>
          <w:sz w:val="19"/>
          <w:szCs w:val="19"/>
        </w:rPr>
        <w:t>physicians</w:t>
      </w:r>
      <w:r>
        <w:rPr>
          <w:rFonts w:ascii="Cambria" w:hAnsi="Cambria" w:cs="Cambria"/>
          <w:i/>
          <w:iCs/>
          <w:spacing w:val="-13"/>
          <w:w w:val="105"/>
          <w:sz w:val="19"/>
          <w:szCs w:val="19"/>
        </w:rPr>
        <w:t xml:space="preserve"> </w:t>
      </w:r>
      <w:r>
        <w:rPr>
          <w:rFonts w:ascii="Cambria" w:hAnsi="Cambria" w:cs="Cambria"/>
          <w:i/>
          <w:iCs/>
          <w:w w:val="105"/>
          <w:sz w:val="19"/>
          <w:szCs w:val="19"/>
        </w:rPr>
        <w:t>and</w:t>
      </w:r>
      <w:r>
        <w:rPr>
          <w:rFonts w:ascii="Cambria" w:hAnsi="Cambria" w:cs="Cambria"/>
          <w:i/>
          <w:iCs/>
          <w:spacing w:val="-12"/>
          <w:w w:val="105"/>
          <w:sz w:val="19"/>
          <w:szCs w:val="19"/>
        </w:rPr>
        <w:t xml:space="preserve"> </w:t>
      </w:r>
      <w:r>
        <w:rPr>
          <w:rFonts w:ascii="Cambria" w:hAnsi="Cambria" w:cs="Cambria"/>
          <w:i/>
          <w:iCs/>
          <w:w w:val="105"/>
          <w:sz w:val="19"/>
          <w:szCs w:val="19"/>
        </w:rPr>
        <w:t>medical</w:t>
      </w:r>
      <w:r>
        <w:rPr>
          <w:rFonts w:ascii="Cambria" w:hAnsi="Cambria" w:cs="Cambria"/>
          <w:i/>
          <w:iCs/>
          <w:spacing w:val="-14"/>
          <w:w w:val="105"/>
          <w:sz w:val="19"/>
          <w:szCs w:val="19"/>
        </w:rPr>
        <w:t xml:space="preserve"> </w:t>
      </w:r>
      <w:r>
        <w:rPr>
          <w:rFonts w:ascii="Cambria" w:hAnsi="Cambria" w:cs="Cambria"/>
          <w:i/>
          <w:iCs/>
          <w:w w:val="105"/>
          <w:sz w:val="19"/>
          <w:szCs w:val="19"/>
        </w:rPr>
        <w:t>students</w:t>
      </w:r>
      <w:r>
        <w:rPr>
          <w:rFonts w:ascii="Cambria" w:hAnsi="Cambria" w:cs="Cambria"/>
          <w:i/>
          <w:iCs/>
          <w:spacing w:val="-13"/>
          <w:w w:val="105"/>
          <w:sz w:val="19"/>
          <w:szCs w:val="19"/>
        </w:rPr>
        <w:t xml:space="preserve"> </w:t>
      </w:r>
      <w:r>
        <w:rPr>
          <w:rFonts w:ascii="Cambria" w:hAnsi="Cambria" w:cs="Cambria"/>
          <w:i/>
          <w:iCs/>
          <w:w w:val="105"/>
          <w:sz w:val="19"/>
          <w:szCs w:val="19"/>
        </w:rPr>
        <w:t>to</w:t>
      </w:r>
      <w:r>
        <w:rPr>
          <w:rFonts w:ascii="Cambria" w:hAnsi="Cambria" w:cs="Cambria"/>
          <w:i/>
          <w:iCs/>
          <w:spacing w:val="-14"/>
          <w:w w:val="105"/>
          <w:sz w:val="19"/>
          <w:szCs w:val="19"/>
        </w:rPr>
        <w:t xml:space="preserve"> </w:t>
      </w:r>
      <w:r>
        <w:rPr>
          <w:rFonts w:ascii="Cambria" w:hAnsi="Cambria" w:cs="Cambria"/>
          <w:i/>
          <w:iCs/>
          <w:w w:val="105"/>
          <w:sz w:val="19"/>
          <w:szCs w:val="19"/>
        </w:rPr>
        <w:t>put</w:t>
      </w:r>
      <w:r>
        <w:rPr>
          <w:rFonts w:ascii="Cambria" w:hAnsi="Cambria" w:cs="Cambria"/>
          <w:i/>
          <w:iCs/>
          <w:spacing w:val="-13"/>
          <w:w w:val="105"/>
          <w:sz w:val="19"/>
          <w:szCs w:val="19"/>
        </w:rPr>
        <w:t xml:space="preserve"> </w:t>
      </w:r>
      <w:r>
        <w:rPr>
          <w:rFonts w:ascii="Cambria" w:hAnsi="Cambria" w:cs="Cambria"/>
          <w:i/>
          <w:iCs/>
          <w:w w:val="105"/>
          <w:sz w:val="19"/>
          <w:szCs w:val="19"/>
        </w:rPr>
        <w:t>patients over</w:t>
      </w:r>
      <w:r>
        <w:rPr>
          <w:rFonts w:ascii="Cambria" w:hAnsi="Cambria" w:cs="Cambria"/>
          <w:i/>
          <w:iCs/>
          <w:spacing w:val="-10"/>
          <w:w w:val="105"/>
          <w:sz w:val="19"/>
          <w:szCs w:val="19"/>
        </w:rPr>
        <w:t xml:space="preserve"> </w:t>
      </w:r>
      <w:r>
        <w:rPr>
          <w:rFonts w:ascii="Cambria" w:hAnsi="Cambria" w:cs="Cambria"/>
          <w:i/>
          <w:iCs/>
          <w:w w:val="105"/>
          <w:sz w:val="19"/>
          <w:szCs w:val="19"/>
        </w:rPr>
        <w:t>politics</w:t>
      </w:r>
      <w:r>
        <w:rPr>
          <w:rFonts w:ascii="Cambria" w:hAnsi="Cambria" w:cs="Cambria"/>
          <w:i/>
          <w:iCs/>
          <w:spacing w:val="-9"/>
          <w:w w:val="105"/>
          <w:sz w:val="19"/>
          <w:szCs w:val="19"/>
        </w:rPr>
        <w:t xml:space="preserve"> </w:t>
      </w:r>
      <w:r>
        <w:rPr>
          <w:rFonts w:ascii="Cambria" w:hAnsi="Cambria" w:cs="Cambria"/>
          <w:i/>
          <w:iCs/>
          <w:w w:val="105"/>
          <w:sz w:val="19"/>
          <w:szCs w:val="19"/>
        </w:rPr>
        <w:t>on</w:t>
      </w:r>
      <w:r>
        <w:rPr>
          <w:rFonts w:ascii="Cambria" w:hAnsi="Cambria" w:cs="Cambria"/>
          <w:i/>
          <w:iCs/>
          <w:spacing w:val="-11"/>
          <w:w w:val="105"/>
          <w:sz w:val="19"/>
          <w:szCs w:val="19"/>
        </w:rPr>
        <w:t xml:space="preserve"> </w:t>
      </w:r>
      <w:r>
        <w:rPr>
          <w:rFonts w:ascii="Cambria" w:hAnsi="Cambria" w:cs="Cambria"/>
          <w:i/>
          <w:iCs/>
          <w:w w:val="105"/>
          <w:sz w:val="19"/>
          <w:szCs w:val="19"/>
        </w:rPr>
        <w:t>the</w:t>
      </w:r>
      <w:r>
        <w:rPr>
          <w:rFonts w:ascii="Cambria" w:hAnsi="Cambria" w:cs="Cambria"/>
          <w:i/>
          <w:iCs/>
          <w:spacing w:val="-10"/>
          <w:w w:val="105"/>
          <w:sz w:val="19"/>
          <w:szCs w:val="19"/>
        </w:rPr>
        <w:t xml:space="preserve"> </w:t>
      </w:r>
      <w:r>
        <w:rPr>
          <w:rFonts w:ascii="Cambria" w:hAnsi="Cambria" w:cs="Cambria"/>
          <w:i/>
          <w:iCs/>
          <w:w w:val="105"/>
          <w:sz w:val="19"/>
          <w:szCs w:val="19"/>
        </w:rPr>
        <w:t>pressing</w:t>
      </w:r>
      <w:r>
        <w:rPr>
          <w:rFonts w:ascii="Cambria" w:hAnsi="Cambria" w:cs="Cambria"/>
          <w:i/>
          <w:iCs/>
          <w:spacing w:val="-9"/>
          <w:w w:val="105"/>
          <w:sz w:val="19"/>
          <w:szCs w:val="19"/>
        </w:rPr>
        <w:t xml:space="preserve"> </w:t>
      </w:r>
      <w:r>
        <w:rPr>
          <w:rFonts w:ascii="Cambria" w:hAnsi="Cambria" w:cs="Cambria"/>
          <w:i/>
          <w:iCs/>
          <w:w w:val="105"/>
          <w:sz w:val="19"/>
          <w:szCs w:val="19"/>
        </w:rPr>
        <w:t>issues</w:t>
      </w:r>
      <w:r>
        <w:rPr>
          <w:rFonts w:ascii="Cambria" w:hAnsi="Cambria" w:cs="Cambria"/>
          <w:i/>
          <w:iCs/>
          <w:spacing w:val="-9"/>
          <w:w w:val="105"/>
          <w:sz w:val="19"/>
          <w:szCs w:val="19"/>
        </w:rPr>
        <w:t xml:space="preserve"> </w:t>
      </w:r>
      <w:r>
        <w:rPr>
          <w:rFonts w:ascii="Cambria" w:hAnsi="Cambria" w:cs="Cambria"/>
          <w:i/>
          <w:iCs/>
          <w:w w:val="105"/>
          <w:sz w:val="19"/>
          <w:szCs w:val="19"/>
        </w:rPr>
        <w:t>of</w:t>
      </w:r>
      <w:r>
        <w:rPr>
          <w:rFonts w:ascii="Cambria" w:hAnsi="Cambria" w:cs="Cambria"/>
          <w:i/>
          <w:iCs/>
          <w:spacing w:val="-11"/>
          <w:w w:val="105"/>
          <w:sz w:val="19"/>
          <w:szCs w:val="19"/>
        </w:rPr>
        <w:t xml:space="preserve"> </w:t>
      </w:r>
      <w:r>
        <w:rPr>
          <w:rFonts w:ascii="Cambria" w:hAnsi="Cambria" w:cs="Cambria"/>
          <w:i/>
          <w:iCs/>
          <w:w w:val="105"/>
          <w:sz w:val="19"/>
          <w:szCs w:val="19"/>
        </w:rPr>
        <w:t>the</w:t>
      </w:r>
      <w:r>
        <w:rPr>
          <w:rFonts w:ascii="Cambria" w:hAnsi="Cambria" w:cs="Cambria"/>
          <w:i/>
          <w:iCs/>
          <w:spacing w:val="-10"/>
          <w:w w:val="105"/>
          <w:sz w:val="19"/>
          <w:szCs w:val="19"/>
        </w:rPr>
        <w:t xml:space="preserve"> </w:t>
      </w:r>
      <w:r>
        <w:rPr>
          <w:rFonts w:ascii="Cambria" w:hAnsi="Cambria" w:cs="Cambria"/>
          <w:i/>
          <w:iCs/>
          <w:w w:val="105"/>
          <w:sz w:val="19"/>
          <w:szCs w:val="19"/>
        </w:rPr>
        <w:t>day</w:t>
      </w:r>
      <w:r>
        <w:rPr>
          <w:rFonts w:ascii="Cambria" w:hAnsi="Cambria" w:cs="Cambria"/>
          <w:i/>
          <w:iCs/>
          <w:spacing w:val="-10"/>
          <w:w w:val="105"/>
          <w:sz w:val="19"/>
          <w:szCs w:val="19"/>
        </w:rPr>
        <w:t xml:space="preserve"> </w:t>
      </w:r>
      <w:r>
        <w:rPr>
          <w:rFonts w:ascii="Cambria" w:hAnsi="Cambria" w:cs="Cambria"/>
          <w:i/>
          <w:iCs/>
          <w:w w:val="105"/>
          <w:sz w:val="19"/>
          <w:szCs w:val="19"/>
        </w:rPr>
        <w:t>to</w:t>
      </w:r>
      <w:r>
        <w:rPr>
          <w:rFonts w:ascii="Cambria" w:hAnsi="Cambria" w:cs="Cambria"/>
          <w:i/>
          <w:iCs/>
          <w:spacing w:val="-10"/>
          <w:w w:val="105"/>
          <w:sz w:val="19"/>
          <w:szCs w:val="19"/>
        </w:rPr>
        <w:t xml:space="preserve"> </w:t>
      </w:r>
      <w:r>
        <w:rPr>
          <w:rFonts w:ascii="Cambria" w:hAnsi="Cambria" w:cs="Cambria"/>
          <w:i/>
          <w:iCs/>
          <w:w w:val="105"/>
          <w:sz w:val="19"/>
          <w:szCs w:val="19"/>
        </w:rPr>
        <w:t>improve</w:t>
      </w:r>
      <w:r>
        <w:rPr>
          <w:rFonts w:ascii="Cambria" w:hAnsi="Cambria" w:cs="Cambria"/>
          <w:i/>
          <w:iCs/>
          <w:spacing w:val="-10"/>
          <w:w w:val="105"/>
          <w:sz w:val="19"/>
          <w:szCs w:val="19"/>
        </w:rPr>
        <w:t xml:space="preserve"> </w:t>
      </w:r>
      <w:r>
        <w:rPr>
          <w:rFonts w:ascii="Cambria" w:hAnsi="Cambria" w:cs="Cambria"/>
          <w:i/>
          <w:iCs/>
          <w:w w:val="105"/>
          <w:sz w:val="19"/>
          <w:szCs w:val="19"/>
        </w:rPr>
        <w:t>the</w:t>
      </w:r>
      <w:r>
        <w:rPr>
          <w:rFonts w:ascii="Cambria" w:hAnsi="Cambria" w:cs="Cambria"/>
          <w:i/>
          <w:iCs/>
          <w:spacing w:val="-10"/>
          <w:w w:val="105"/>
          <w:sz w:val="19"/>
          <w:szCs w:val="19"/>
        </w:rPr>
        <w:t xml:space="preserve"> </w:t>
      </w:r>
      <w:r>
        <w:rPr>
          <w:rFonts w:ascii="Cambria" w:hAnsi="Cambria" w:cs="Cambria"/>
          <w:i/>
          <w:iCs/>
          <w:w w:val="105"/>
          <w:sz w:val="19"/>
          <w:szCs w:val="19"/>
        </w:rPr>
        <w:t>health</w:t>
      </w:r>
      <w:r>
        <w:rPr>
          <w:rFonts w:ascii="Cambria" w:hAnsi="Cambria" w:cs="Cambria"/>
          <w:i/>
          <w:iCs/>
          <w:spacing w:val="-10"/>
          <w:w w:val="105"/>
          <w:sz w:val="19"/>
          <w:szCs w:val="19"/>
        </w:rPr>
        <w:t xml:space="preserve"> </w:t>
      </w:r>
      <w:r>
        <w:rPr>
          <w:rFonts w:ascii="Cambria" w:hAnsi="Cambria" w:cs="Cambria"/>
          <w:i/>
          <w:iCs/>
          <w:w w:val="105"/>
          <w:sz w:val="19"/>
          <w:szCs w:val="19"/>
        </w:rPr>
        <w:t>of</w:t>
      </w:r>
      <w:r>
        <w:rPr>
          <w:rFonts w:ascii="Cambria" w:hAnsi="Cambria" w:cs="Cambria"/>
          <w:i/>
          <w:iCs/>
          <w:spacing w:val="-11"/>
          <w:w w:val="105"/>
          <w:sz w:val="19"/>
          <w:szCs w:val="19"/>
        </w:rPr>
        <w:t xml:space="preserve"> </w:t>
      </w:r>
      <w:r>
        <w:rPr>
          <w:rFonts w:ascii="Cambria" w:hAnsi="Cambria" w:cs="Cambria"/>
          <w:i/>
          <w:iCs/>
          <w:w w:val="105"/>
          <w:sz w:val="19"/>
          <w:szCs w:val="19"/>
        </w:rPr>
        <w:t>our</w:t>
      </w:r>
      <w:r>
        <w:rPr>
          <w:rFonts w:ascii="Cambria" w:hAnsi="Cambria" w:cs="Cambria"/>
          <w:i/>
          <w:iCs/>
          <w:spacing w:val="-10"/>
          <w:w w:val="105"/>
          <w:sz w:val="19"/>
          <w:szCs w:val="19"/>
        </w:rPr>
        <w:t xml:space="preserve"> </w:t>
      </w:r>
      <w:r>
        <w:rPr>
          <w:rFonts w:ascii="Cambria" w:hAnsi="Cambria" w:cs="Cambria"/>
          <w:i/>
          <w:iCs/>
          <w:w w:val="105"/>
          <w:sz w:val="19"/>
          <w:szCs w:val="19"/>
        </w:rPr>
        <w:t>patients,</w:t>
      </w:r>
      <w:r>
        <w:rPr>
          <w:rFonts w:ascii="Cambria" w:hAnsi="Cambria" w:cs="Cambria"/>
          <w:i/>
          <w:iCs/>
          <w:spacing w:val="-12"/>
          <w:w w:val="105"/>
          <w:sz w:val="19"/>
          <w:szCs w:val="19"/>
        </w:rPr>
        <w:t xml:space="preserve"> </w:t>
      </w:r>
      <w:r>
        <w:rPr>
          <w:rFonts w:ascii="Cambria" w:hAnsi="Cambria" w:cs="Cambria"/>
          <w:i/>
          <w:iCs/>
          <w:w w:val="105"/>
          <w:sz w:val="19"/>
          <w:szCs w:val="19"/>
        </w:rPr>
        <w:t>communities,</w:t>
      </w:r>
      <w:r>
        <w:rPr>
          <w:rFonts w:ascii="Cambria" w:hAnsi="Cambria" w:cs="Cambria"/>
          <w:i/>
          <w:iCs/>
          <w:spacing w:val="-9"/>
          <w:w w:val="105"/>
          <w:sz w:val="19"/>
          <w:szCs w:val="19"/>
        </w:rPr>
        <w:t xml:space="preserve"> </w:t>
      </w:r>
      <w:r>
        <w:rPr>
          <w:rFonts w:ascii="Cambria" w:hAnsi="Cambria" w:cs="Cambria"/>
          <w:i/>
          <w:iCs/>
          <w:w w:val="105"/>
          <w:sz w:val="19"/>
          <w:szCs w:val="19"/>
        </w:rPr>
        <w:t>and</w:t>
      </w:r>
      <w:r>
        <w:rPr>
          <w:rFonts w:ascii="Cambria" w:hAnsi="Cambria" w:cs="Cambria"/>
          <w:i/>
          <w:iCs/>
          <w:spacing w:val="-11"/>
          <w:w w:val="105"/>
          <w:sz w:val="19"/>
          <w:szCs w:val="19"/>
        </w:rPr>
        <w:t xml:space="preserve"> </w:t>
      </w:r>
      <w:r>
        <w:rPr>
          <w:rFonts w:ascii="Cambria" w:hAnsi="Cambria" w:cs="Cambria"/>
          <w:i/>
          <w:iCs/>
          <w:w w:val="105"/>
          <w:sz w:val="19"/>
          <w:szCs w:val="19"/>
        </w:rPr>
        <w:t>nation..</w:t>
      </w:r>
    </w:p>
    <w:p w:rsidR="002C5025" w:rsidRDefault="002C5025">
      <w:pPr>
        <w:pStyle w:val="BodyText"/>
        <w:kinsoku w:val="0"/>
        <w:overflowPunct w:val="0"/>
        <w:spacing w:before="109" w:line="244" w:lineRule="auto"/>
        <w:ind w:left="642" w:right="773" w:hanging="348"/>
        <w:rPr>
          <w:rFonts w:ascii="Cambria" w:hAnsi="Cambria" w:cs="Cambria"/>
          <w:i/>
          <w:iCs/>
          <w:w w:val="105"/>
          <w:sz w:val="19"/>
          <w:szCs w:val="19"/>
        </w:rPr>
        <w:sectPr w:rsidR="002C5025">
          <w:pgSz w:w="12240" w:h="15840"/>
          <w:pgMar w:top="940" w:right="820" w:bottom="280" w:left="800" w:header="720" w:footer="720" w:gutter="0"/>
          <w:pgBorders w:offsetFrom="page">
            <w:top w:val="single" w:sz="24" w:space="24" w:color="213957"/>
            <w:left w:val="single" w:sz="24" w:space="24" w:color="213957"/>
            <w:bottom w:val="single" w:sz="24" w:space="24" w:color="213957"/>
            <w:right w:val="single" w:sz="24" w:space="24" w:color="213957"/>
          </w:pgBorders>
          <w:cols w:space="720"/>
          <w:noEndnote/>
        </w:sectPr>
      </w:pPr>
    </w:p>
    <w:p w:rsidR="002C5025" w:rsidRDefault="002C5025">
      <w:pPr>
        <w:pStyle w:val="BodyText"/>
        <w:kinsoku w:val="0"/>
        <w:overflowPunct w:val="0"/>
        <w:spacing w:before="52" w:line="273" w:lineRule="auto"/>
        <w:ind w:left="143" w:right="773"/>
        <w:rPr>
          <w:rFonts w:ascii="Times New Roman" w:hAnsi="Times New Roman" w:cs="Times New Roman"/>
          <w:sz w:val="24"/>
          <w:szCs w:val="24"/>
        </w:rPr>
      </w:pPr>
      <w:r>
        <w:rPr>
          <w:rFonts w:ascii="Times New Roman" w:hAnsi="Times New Roman" w:cs="Times New Roman"/>
          <w:sz w:val="24"/>
          <w:szCs w:val="24"/>
        </w:rPr>
        <w:lastRenderedPageBreak/>
        <w:t>commonly used pediatric measures in payer sets do not measure the health and well-being of healthy children.</w:t>
      </w:r>
    </w:p>
    <w:p w:rsidR="002C5025" w:rsidRDefault="002C5025">
      <w:pPr>
        <w:pStyle w:val="BodyText"/>
        <w:kinsoku w:val="0"/>
        <w:overflowPunct w:val="0"/>
        <w:spacing w:before="9"/>
        <w:rPr>
          <w:rFonts w:ascii="Times New Roman" w:hAnsi="Times New Roman" w:cs="Times New Roman"/>
          <w:sz w:val="27"/>
          <w:szCs w:val="27"/>
        </w:rPr>
      </w:pPr>
    </w:p>
    <w:p w:rsidR="002C5025" w:rsidRDefault="002C5025">
      <w:pPr>
        <w:pStyle w:val="BodyText"/>
        <w:kinsoku w:val="0"/>
        <w:overflowPunct w:val="0"/>
        <w:spacing w:before="1"/>
        <w:ind w:left="143" w:right="126"/>
        <w:rPr>
          <w:rFonts w:ascii="Times New Roman" w:hAnsi="Times New Roman" w:cs="Times New Roman"/>
          <w:sz w:val="24"/>
          <w:szCs w:val="24"/>
        </w:rPr>
      </w:pPr>
      <w:r>
        <w:rPr>
          <w:rFonts w:ascii="Times New Roman" w:hAnsi="Times New Roman" w:cs="Times New Roman"/>
          <w:sz w:val="24"/>
          <w:szCs w:val="24"/>
          <w:u w:val="single"/>
        </w:rPr>
        <w:t>Consumer Experience and Patient Engagement Measures</w:t>
      </w:r>
    </w:p>
    <w:p w:rsidR="002C5025" w:rsidRDefault="002C5025">
      <w:pPr>
        <w:pStyle w:val="BodyText"/>
        <w:kinsoku w:val="0"/>
        <w:overflowPunct w:val="0"/>
        <w:spacing w:before="8"/>
        <w:rPr>
          <w:rFonts w:ascii="Times New Roman" w:hAnsi="Times New Roman" w:cs="Times New Roman"/>
          <w:sz w:val="25"/>
          <w:szCs w:val="25"/>
        </w:rPr>
      </w:pPr>
    </w:p>
    <w:p w:rsidR="002C5025" w:rsidRDefault="002C5025">
      <w:pPr>
        <w:pStyle w:val="BodyText"/>
        <w:kinsoku w:val="0"/>
        <w:overflowPunct w:val="0"/>
        <w:spacing w:before="69" w:line="276" w:lineRule="auto"/>
        <w:ind w:left="143" w:right="200"/>
        <w:rPr>
          <w:rFonts w:ascii="Times New Roman" w:hAnsi="Times New Roman" w:cs="Times New Roman"/>
          <w:sz w:val="24"/>
          <w:szCs w:val="24"/>
        </w:rPr>
      </w:pPr>
      <w:r>
        <w:rPr>
          <w:rFonts w:ascii="Times New Roman" w:hAnsi="Times New Roman" w:cs="Times New Roman"/>
          <w:sz w:val="24"/>
          <w:szCs w:val="24"/>
        </w:rPr>
        <w:t>For patient experience, Consumer Assessment of Healthcare Providers and Systems (CAHPS) surveys are used. The versions evaluating patient experience in hospital and outpatient settings (H-CAHPS and CG- CAHPS, respectively) are most common. Standard CAHPS surveys do not capture outcomes that patients experience in their daily lives, namely those of functional status, mental health, and self-efficacy. As new payment models expand the scope of care to incentivize home-based care and community partnerships, the measurement must follow. In re-aligning measurement, our tools must assess the quality of care across the full care continuum.</w:t>
      </w:r>
    </w:p>
    <w:p w:rsidR="002C5025" w:rsidRDefault="002C5025">
      <w:pPr>
        <w:pStyle w:val="BodyText"/>
        <w:kinsoku w:val="0"/>
        <w:overflowPunct w:val="0"/>
        <w:spacing w:before="3"/>
        <w:rPr>
          <w:rFonts w:ascii="Times New Roman" w:hAnsi="Times New Roman" w:cs="Times New Roman"/>
          <w:sz w:val="28"/>
          <w:szCs w:val="28"/>
        </w:rPr>
      </w:pPr>
    </w:p>
    <w:p w:rsidR="002C5025" w:rsidRDefault="002C5025">
      <w:pPr>
        <w:pStyle w:val="BodyText"/>
        <w:kinsoku w:val="0"/>
        <w:overflowPunct w:val="0"/>
        <w:spacing w:line="264" w:lineRule="auto"/>
        <w:ind w:left="143" w:right="186"/>
        <w:rPr>
          <w:rFonts w:ascii="Times New Roman" w:hAnsi="Times New Roman" w:cs="Times New Roman"/>
          <w:sz w:val="24"/>
          <w:szCs w:val="24"/>
        </w:rPr>
      </w:pPr>
      <w:r>
        <w:rPr>
          <w:rFonts w:ascii="Times New Roman" w:hAnsi="Times New Roman" w:cs="Times New Roman"/>
          <w:sz w:val="24"/>
          <w:szCs w:val="24"/>
        </w:rPr>
        <w:t>Further,</w:t>
      </w:r>
      <w:r>
        <w:rPr>
          <w:rFonts w:ascii="Times New Roman" w:hAnsi="Times New Roman" w:cs="Times New Roman"/>
          <w:spacing w:val="-5"/>
          <w:sz w:val="24"/>
          <w:szCs w:val="24"/>
        </w:rPr>
        <w:t xml:space="preserve"> </w:t>
      </w:r>
      <w:r>
        <w:rPr>
          <w:rFonts w:ascii="Times New Roman" w:hAnsi="Times New Roman" w:cs="Times New Roman"/>
          <w:sz w:val="24"/>
          <w:szCs w:val="24"/>
        </w:rPr>
        <w:t>while</w:t>
      </w:r>
      <w:r>
        <w:rPr>
          <w:rFonts w:ascii="Times New Roman" w:hAnsi="Times New Roman" w:cs="Times New Roman"/>
          <w:spacing w:val="-8"/>
          <w:sz w:val="24"/>
          <w:szCs w:val="24"/>
        </w:rPr>
        <w:t xml:space="preserve"> </w:t>
      </w:r>
      <w:r>
        <w:rPr>
          <w:rFonts w:ascii="Times New Roman" w:hAnsi="Times New Roman" w:cs="Times New Roman"/>
          <w:sz w:val="24"/>
          <w:szCs w:val="24"/>
        </w:rPr>
        <w:t>there</w:t>
      </w:r>
      <w:r>
        <w:rPr>
          <w:rFonts w:ascii="Times New Roman" w:hAnsi="Times New Roman" w:cs="Times New Roman"/>
          <w:spacing w:val="-8"/>
          <w:sz w:val="24"/>
          <w:szCs w:val="24"/>
        </w:rPr>
        <w:t xml:space="preserve"> </w:t>
      </w:r>
      <w:r>
        <w:rPr>
          <w:rFonts w:ascii="Times New Roman" w:hAnsi="Times New Roman" w:cs="Times New Roman"/>
          <w:sz w:val="24"/>
          <w:szCs w:val="24"/>
        </w:rPr>
        <w:t>are</w:t>
      </w:r>
      <w:r>
        <w:rPr>
          <w:rFonts w:ascii="Times New Roman" w:hAnsi="Times New Roman" w:cs="Times New Roman"/>
          <w:spacing w:val="-6"/>
          <w:sz w:val="24"/>
          <w:szCs w:val="24"/>
        </w:rPr>
        <w:t xml:space="preserve"> </w:t>
      </w:r>
      <w:r>
        <w:rPr>
          <w:rFonts w:ascii="Times New Roman" w:hAnsi="Times New Roman" w:cs="Times New Roman"/>
          <w:sz w:val="24"/>
          <w:szCs w:val="24"/>
        </w:rPr>
        <w:t>metrics</w:t>
      </w:r>
      <w:r>
        <w:rPr>
          <w:rFonts w:ascii="Times New Roman" w:hAnsi="Times New Roman" w:cs="Times New Roman"/>
          <w:spacing w:val="-7"/>
          <w:sz w:val="24"/>
          <w:szCs w:val="24"/>
        </w:rPr>
        <w:t xml:space="preserve"> </w:t>
      </w:r>
      <w:r>
        <w:rPr>
          <w:rFonts w:ascii="Times New Roman" w:hAnsi="Times New Roman" w:cs="Times New Roman"/>
          <w:sz w:val="24"/>
          <w:szCs w:val="24"/>
        </w:rPr>
        <w:t>for</w:t>
      </w:r>
      <w:r>
        <w:rPr>
          <w:rFonts w:ascii="Times New Roman" w:hAnsi="Times New Roman" w:cs="Times New Roman"/>
          <w:spacing w:val="-8"/>
          <w:sz w:val="24"/>
          <w:szCs w:val="24"/>
        </w:rPr>
        <w:t xml:space="preserve"> </w:t>
      </w:r>
      <w:r>
        <w:rPr>
          <w:rFonts w:ascii="Times New Roman" w:hAnsi="Times New Roman" w:cs="Times New Roman"/>
          <w:sz w:val="24"/>
          <w:szCs w:val="24"/>
        </w:rPr>
        <w:t>patient</w:t>
      </w:r>
      <w:r>
        <w:rPr>
          <w:rFonts w:ascii="Times New Roman" w:hAnsi="Times New Roman" w:cs="Times New Roman"/>
          <w:spacing w:val="-7"/>
          <w:sz w:val="24"/>
          <w:szCs w:val="24"/>
        </w:rPr>
        <w:t xml:space="preserve"> </w:t>
      </w:r>
      <w:r>
        <w:rPr>
          <w:rFonts w:ascii="Times New Roman" w:hAnsi="Times New Roman" w:cs="Times New Roman"/>
          <w:sz w:val="24"/>
          <w:szCs w:val="24"/>
        </w:rPr>
        <w:t>satisfaction,</w:t>
      </w:r>
      <w:r>
        <w:rPr>
          <w:rFonts w:ascii="Times New Roman" w:hAnsi="Times New Roman" w:cs="Times New Roman"/>
          <w:spacing w:val="-7"/>
          <w:sz w:val="24"/>
          <w:szCs w:val="24"/>
        </w:rPr>
        <w:t xml:space="preserve"> </w:t>
      </w:r>
      <w:r>
        <w:rPr>
          <w:rFonts w:ascii="Times New Roman" w:hAnsi="Times New Roman" w:cs="Times New Roman"/>
          <w:sz w:val="24"/>
          <w:szCs w:val="24"/>
        </w:rPr>
        <w:t>there</w:t>
      </w:r>
      <w:r>
        <w:rPr>
          <w:rFonts w:ascii="Times New Roman" w:hAnsi="Times New Roman" w:cs="Times New Roman"/>
          <w:spacing w:val="-8"/>
          <w:sz w:val="24"/>
          <w:szCs w:val="24"/>
        </w:rPr>
        <w:t xml:space="preserve"> </w:t>
      </w:r>
      <w:r>
        <w:rPr>
          <w:rFonts w:ascii="Times New Roman" w:hAnsi="Times New Roman" w:cs="Times New Roman"/>
          <w:sz w:val="24"/>
          <w:szCs w:val="24"/>
        </w:rPr>
        <w:t>is</w:t>
      </w:r>
      <w:r>
        <w:rPr>
          <w:rFonts w:ascii="Times New Roman" w:hAnsi="Times New Roman" w:cs="Times New Roman"/>
          <w:spacing w:val="-7"/>
          <w:sz w:val="24"/>
          <w:szCs w:val="24"/>
        </w:rPr>
        <w:t xml:space="preserve"> </w:t>
      </w:r>
      <w:r>
        <w:rPr>
          <w:rFonts w:ascii="Times New Roman" w:hAnsi="Times New Roman" w:cs="Times New Roman"/>
          <w:sz w:val="24"/>
          <w:szCs w:val="24"/>
        </w:rPr>
        <w:t>no</w:t>
      </w:r>
      <w:r>
        <w:rPr>
          <w:rFonts w:ascii="Times New Roman" w:hAnsi="Times New Roman" w:cs="Times New Roman"/>
          <w:spacing w:val="-7"/>
          <w:sz w:val="24"/>
          <w:szCs w:val="24"/>
        </w:rPr>
        <w:t xml:space="preserve"> </w:t>
      </w:r>
      <w:r>
        <w:rPr>
          <w:rFonts w:ascii="Times New Roman" w:hAnsi="Times New Roman" w:cs="Times New Roman"/>
          <w:sz w:val="24"/>
          <w:szCs w:val="24"/>
        </w:rPr>
        <w:t>current</w:t>
      </w:r>
      <w:r>
        <w:rPr>
          <w:rFonts w:ascii="Times New Roman" w:hAnsi="Times New Roman" w:cs="Times New Roman"/>
          <w:spacing w:val="-2"/>
          <w:sz w:val="24"/>
          <w:szCs w:val="24"/>
        </w:rPr>
        <w:t xml:space="preserve"> </w:t>
      </w:r>
      <w:r>
        <w:rPr>
          <w:rFonts w:ascii="Times New Roman" w:hAnsi="Times New Roman" w:cs="Times New Roman"/>
          <w:sz w:val="24"/>
          <w:szCs w:val="24"/>
        </w:rPr>
        <w:t>metric</w:t>
      </w:r>
      <w:r>
        <w:rPr>
          <w:rFonts w:ascii="Times New Roman" w:hAnsi="Times New Roman" w:cs="Times New Roman"/>
          <w:spacing w:val="-8"/>
          <w:sz w:val="24"/>
          <w:szCs w:val="24"/>
        </w:rPr>
        <w:t xml:space="preserve"> </w:t>
      </w:r>
      <w:r>
        <w:rPr>
          <w:rFonts w:ascii="Times New Roman" w:hAnsi="Times New Roman" w:cs="Times New Roman"/>
          <w:sz w:val="24"/>
          <w:szCs w:val="24"/>
        </w:rPr>
        <w:t>for</w:t>
      </w:r>
      <w:r>
        <w:rPr>
          <w:rFonts w:ascii="Times New Roman" w:hAnsi="Times New Roman" w:cs="Times New Roman"/>
          <w:spacing w:val="-8"/>
          <w:sz w:val="24"/>
          <w:szCs w:val="24"/>
        </w:rPr>
        <w:t xml:space="preserve"> </w:t>
      </w:r>
      <w:r>
        <w:rPr>
          <w:rFonts w:ascii="Times New Roman" w:hAnsi="Times New Roman" w:cs="Times New Roman"/>
          <w:sz w:val="24"/>
          <w:szCs w:val="24"/>
        </w:rPr>
        <w:t>patient</w:t>
      </w:r>
      <w:r>
        <w:rPr>
          <w:rFonts w:ascii="Times New Roman" w:hAnsi="Times New Roman" w:cs="Times New Roman"/>
          <w:spacing w:val="-7"/>
          <w:sz w:val="24"/>
          <w:szCs w:val="24"/>
        </w:rPr>
        <w:t xml:space="preserve"> </w:t>
      </w:r>
      <w:r>
        <w:rPr>
          <w:rFonts w:ascii="Times New Roman" w:hAnsi="Times New Roman" w:cs="Times New Roman"/>
          <w:sz w:val="24"/>
          <w:szCs w:val="24"/>
        </w:rPr>
        <w:t>engagement.</w:t>
      </w:r>
      <w:r>
        <w:rPr>
          <w:rFonts w:ascii="Times New Roman" w:hAnsi="Times New Roman" w:cs="Times New Roman"/>
          <w:spacing w:val="-7"/>
          <w:sz w:val="24"/>
          <w:szCs w:val="24"/>
        </w:rPr>
        <w:t xml:space="preserve"> </w:t>
      </w:r>
      <w:r>
        <w:rPr>
          <w:rFonts w:ascii="Times New Roman" w:hAnsi="Times New Roman" w:cs="Times New Roman"/>
          <w:sz w:val="24"/>
          <w:szCs w:val="24"/>
        </w:rPr>
        <w:t>A national study found higher patient satisfaction to be linked to higher healthcare expenditures, higher hospital admission rates, and higher mortality.</w:t>
      </w:r>
      <w:r>
        <w:rPr>
          <w:rFonts w:ascii="Times New Roman" w:hAnsi="Times New Roman" w:cs="Times New Roman"/>
          <w:b/>
          <w:bCs/>
          <w:position w:val="11"/>
          <w:sz w:val="16"/>
          <w:szCs w:val="16"/>
        </w:rPr>
        <w:t xml:space="preserve">7 </w:t>
      </w:r>
      <w:r>
        <w:rPr>
          <w:rFonts w:ascii="Times New Roman" w:hAnsi="Times New Roman" w:cs="Times New Roman"/>
          <w:sz w:val="24"/>
          <w:szCs w:val="24"/>
        </w:rPr>
        <w:t>A systematic review of the literature found that unrealistic patient expectations of the benefits and harms of interventions can influence decision-making and may be contributing to increasing intervention uptake and health care costs.</w:t>
      </w:r>
      <w:r>
        <w:rPr>
          <w:rFonts w:ascii="Times New Roman" w:hAnsi="Times New Roman" w:cs="Times New Roman"/>
          <w:position w:val="11"/>
          <w:sz w:val="16"/>
          <w:szCs w:val="16"/>
        </w:rPr>
        <w:t xml:space="preserve">8 </w:t>
      </w:r>
      <w:r>
        <w:rPr>
          <w:rFonts w:ascii="Times New Roman" w:hAnsi="Times New Roman" w:cs="Times New Roman"/>
          <w:sz w:val="24"/>
          <w:szCs w:val="24"/>
        </w:rPr>
        <w:t>Consumer-facing measures should assess</w:t>
      </w:r>
      <w:r>
        <w:rPr>
          <w:rFonts w:ascii="Times New Roman" w:hAnsi="Times New Roman" w:cs="Times New Roman"/>
          <w:spacing w:val="-7"/>
          <w:sz w:val="24"/>
          <w:szCs w:val="24"/>
        </w:rPr>
        <w:t xml:space="preserve"> </w:t>
      </w:r>
      <w:r>
        <w:rPr>
          <w:rFonts w:ascii="Times New Roman" w:hAnsi="Times New Roman" w:cs="Times New Roman"/>
          <w:sz w:val="24"/>
          <w:szCs w:val="24"/>
        </w:rPr>
        <w:t>consumer</w:t>
      </w:r>
      <w:r>
        <w:rPr>
          <w:rFonts w:ascii="Times New Roman" w:hAnsi="Times New Roman" w:cs="Times New Roman"/>
          <w:spacing w:val="-6"/>
          <w:sz w:val="24"/>
          <w:szCs w:val="24"/>
        </w:rPr>
        <w:t xml:space="preserve"> </w:t>
      </w:r>
      <w:r>
        <w:rPr>
          <w:rFonts w:ascii="Times New Roman" w:hAnsi="Times New Roman" w:cs="Times New Roman"/>
          <w:sz w:val="24"/>
          <w:szCs w:val="24"/>
        </w:rPr>
        <w:t>experience</w:t>
      </w:r>
      <w:r>
        <w:rPr>
          <w:rFonts w:ascii="Times New Roman" w:hAnsi="Times New Roman" w:cs="Times New Roman"/>
          <w:spacing w:val="-8"/>
          <w:sz w:val="24"/>
          <w:szCs w:val="24"/>
        </w:rPr>
        <w:t xml:space="preserve"> </w:t>
      </w:r>
      <w:r>
        <w:rPr>
          <w:rFonts w:ascii="Times New Roman" w:hAnsi="Times New Roman" w:cs="Times New Roman"/>
          <w:sz w:val="24"/>
          <w:szCs w:val="24"/>
        </w:rPr>
        <w:t>that</w:t>
      </w:r>
      <w:r>
        <w:rPr>
          <w:rFonts w:ascii="Times New Roman" w:hAnsi="Times New Roman" w:cs="Times New Roman"/>
          <w:spacing w:val="-4"/>
          <w:sz w:val="24"/>
          <w:szCs w:val="24"/>
        </w:rPr>
        <w:t xml:space="preserve"> </w:t>
      </w:r>
      <w:r>
        <w:rPr>
          <w:rFonts w:ascii="Times New Roman" w:hAnsi="Times New Roman" w:cs="Times New Roman"/>
          <w:sz w:val="24"/>
          <w:szCs w:val="24"/>
        </w:rPr>
        <w:t>aligns</w:t>
      </w:r>
      <w:r>
        <w:rPr>
          <w:rFonts w:ascii="Times New Roman" w:hAnsi="Times New Roman" w:cs="Times New Roman"/>
          <w:spacing w:val="-5"/>
          <w:sz w:val="24"/>
          <w:szCs w:val="24"/>
        </w:rPr>
        <w:t xml:space="preserve"> </w:t>
      </w:r>
      <w:r>
        <w:rPr>
          <w:rFonts w:ascii="Times New Roman" w:hAnsi="Times New Roman" w:cs="Times New Roman"/>
          <w:sz w:val="24"/>
          <w:szCs w:val="24"/>
        </w:rPr>
        <w:t>with</w:t>
      </w:r>
      <w:r>
        <w:rPr>
          <w:rFonts w:ascii="Times New Roman" w:hAnsi="Times New Roman" w:cs="Times New Roman"/>
          <w:spacing w:val="-7"/>
          <w:sz w:val="24"/>
          <w:szCs w:val="24"/>
        </w:rPr>
        <w:t xml:space="preserve"> </w:t>
      </w:r>
      <w:r>
        <w:rPr>
          <w:rFonts w:ascii="Times New Roman" w:hAnsi="Times New Roman" w:cs="Times New Roman"/>
          <w:sz w:val="24"/>
          <w:szCs w:val="24"/>
        </w:rPr>
        <w:t>the</w:t>
      </w:r>
      <w:r>
        <w:rPr>
          <w:rFonts w:ascii="Times New Roman" w:hAnsi="Times New Roman" w:cs="Times New Roman"/>
          <w:spacing w:val="-6"/>
          <w:sz w:val="24"/>
          <w:szCs w:val="24"/>
        </w:rPr>
        <w:t xml:space="preserve"> </w:t>
      </w:r>
      <w:r>
        <w:rPr>
          <w:rFonts w:ascii="Times New Roman" w:hAnsi="Times New Roman" w:cs="Times New Roman"/>
          <w:sz w:val="24"/>
          <w:szCs w:val="24"/>
        </w:rPr>
        <w:t>goals</w:t>
      </w:r>
      <w:r>
        <w:rPr>
          <w:rFonts w:ascii="Times New Roman" w:hAnsi="Times New Roman" w:cs="Times New Roman"/>
          <w:spacing w:val="-7"/>
          <w:sz w:val="24"/>
          <w:szCs w:val="24"/>
        </w:rPr>
        <w:t xml:space="preserve"> </w:t>
      </w:r>
      <w:r>
        <w:rPr>
          <w:rFonts w:ascii="Times New Roman" w:hAnsi="Times New Roman" w:cs="Times New Roman"/>
          <w:sz w:val="24"/>
          <w:szCs w:val="24"/>
        </w:rPr>
        <w:t>of</w:t>
      </w:r>
      <w:r>
        <w:rPr>
          <w:rFonts w:ascii="Times New Roman" w:hAnsi="Times New Roman" w:cs="Times New Roman"/>
          <w:spacing w:val="-8"/>
          <w:sz w:val="24"/>
          <w:szCs w:val="24"/>
        </w:rPr>
        <w:t xml:space="preserve"> </w:t>
      </w:r>
      <w:r>
        <w:rPr>
          <w:rFonts w:ascii="Times New Roman" w:hAnsi="Times New Roman" w:cs="Times New Roman"/>
          <w:sz w:val="24"/>
          <w:szCs w:val="24"/>
        </w:rPr>
        <w:t>the</w:t>
      </w:r>
      <w:r>
        <w:rPr>
          <w:rFonts w:ascii="Times New Roman" w:hAnsi="Times New Roman" w:cs="Times New Roman"/>
          <w:spacing w:val="-6"/>
          <w:sz w:val="24"/>
          <w:szCs w:val="24"/>
        </w:rPr>
        <w:t xml:space="preserve"> </w:t>
      </w:r>
      <w:r>
        <w:rPr>
          <w:rFonts w:ascii="Times New Roman" w:hAnsi="Times New Roman" w:cs="Times New Roman"/>
          <w:sz w:val="24"/>
          <w:szCs w:val="24"/>
        </w:rPr>
        <w:t>ACO</w:t>
      </w:r>
      <w:r>
        <w:rPr>
          <w:rFonts w:ascii="Times New Roman" w:hAnsi="Times New Roman" w:cs="Times New Roman"/>
          <w:spacing w:val="-8"/>
          <w:sz w:val="24"/>
          <w:szCs w:val="24"/>
        </w:rPr>
        <w:t xml:space="preserve"> </w:t>
      </w:r>
      <w:r>
        <w:rPr>
          <w:rFonts w:ascii="Times New Roman" w:hAnsi="Times New Roman" w:cs="Times New Roman"/>
          <w:sz w:val="24"/>
          <w:szCs w:val="24"/>
        </w:rPr>
        <w:t>rather</w:t>
      </w:r>
      <w:r>
        <w:rPr>
          <w:rFonts w:ascii="Times New Roman" w:hAnsi="Times New Roman" w:cs="Times New Roman"/>
          <w:spacing w:val="-6"/>
          <w:sz w:val="24"/>
          <w:szCs w:val="24"/>
        </w:rPr>
        <w:t xml:space="preserve"> </w:t>
      </w:r>
      <w:r>
        <w:rPr>
          <w:rFonts w:ascii="Times New Roman" w:hAnsi="Times New Roman" w:cs="Times New Roman"/>
          <w:sz w:val="24"/>
          <w:szCs w:val="24"/>
        </w:rPr>
        <w:t>than</w:t>
      </w:r>
      <w:r>
        <w:rPr>
          <w:rFonts w:ascii="Times New Roman" w:hAnsi="Times New Roman" w:cs="Times New Roman"/>
          <w:spacing w:val="-7"/>
          <w:sz w:val="24"/>
          <w:szCs w:val="24"/>
        </w:rPr>
        <w:t xml:space="preserve"> </w:t>
      </w:r>
      <w:r>
        <w:rPr>
          <w:rFonts w:ascii="Times New Roman" w:hAnsi="Times New Roman" w:cs="Times New Roman"/>
          <w:sz w:val="24"/>
          <w:szCs w:val="24"/>
        </w:rPr>
        <w:t>create</w:t>
      </w:r>
      <w:r>
        <w:rPr>
          <w:rFonts w:ascii="Times New Roman" w:hAnsi="Times New Roman" w:cs="Times New Roman"/>
          <w:spacing w:val="-8"/>
          <w:sz w:val="24"/>
          <w:szCs w:val="24"/>
        </w:rPr>
        <w:t xml:space="preserve"> </w:t>
      </w:r>
      <w:r>
        <w:rPr>
          <w:rFonts w:ascii="Times New Roman" w:hAnsi="Times New Roman" w:cs="Times New Roman"/>
          <w:sz w:val="24"/>
          <w:szCs w:val="24"/>
        </w:rPr>
        <w:t>perverse</w:t>
      </w:r>
      <w:r>
        <w:rPr>
          <w:rFonts w:ascii="Times New Roman" w:hAnsi="Times New Roman" w:cs="Times New Roman"/>
          <w:spacing w:val="-8"/>
          <w:sz w:val="24"/>
          <w:szCs w:val="24"/>
        </w:rPr>
        <w:t xml:space="preserve"> </w:t>
      </w:r>
      <w:r>
        <w:rPr>
          <w:rFonts w:ascii="Times New Roman" w:hAnsi="Times New Roman" w:cs="Times New Roman"/>
          <w:sz w:val="24"/>
          <w:szCs w:val="24"/>
        </w:rPr>
        <w:t>incentives.</w:t>
      </w:r>
      <w:r>
        <w:rPr>
          <w:rFonts w:ascii="Times New Roman" w:hAnsi="Times New Roman" w:cs="Times New Roman"/>
          <w:spacing w:val="-7"/>
          <w:sz w:val="24"/>
          <w:szCs w:val="24"/>
        </w:rPr>
        <w:t xml:space="preserve"> </w:t>
      </w:r>
      <w:r>
        <w:rPr>
          <w:rFonts w:ascii="Times New Roman" w:hAnsi="Times New Roman" w:cs="Times New Roman"/>
          <w:spacing w:val="3"/>
          <w:sz w:val="24"/>
          <w:szCs w:val="24"/>
        </w:rPr>
        <w:t xml:space="preserve">By </w:t>
      </w:r>
      <w:r>
        <w:rPr>
          <w:rFonts w:ascii="Times New Roman" w:hAnsi="Times New Roman" w:cs="Times New Roman"/>
          <w:sz w:val="24"/>
          <w:szCs w:val="24"/>
        </w:rPr>
        <w:t>contrast, higher patient engagement is associated with lower readmission rates, lower medication errors, and</w:t>
      </w:r>
      <w:r>
        <w:rPr>
          <w:rFonts w:ascii="Times New Roman" w:hAnsi="Times New Roman" w:cs="Times New Roman"/>
          <w:spacing w:val="-7"/>
          <w:sz w:val="24"/>
          <w:szCs w:val="24"/>
        </w:rPr>
        <w:t xml:space="preserve"> </w:t>
      </w:r>
      <w:r>
        <w:rPr>
          <w:rFonts w:ascii="Times New Roman" w:hAnsi="Times New Roman" w:cs="Times New Roman"/>
          <w:sz w:val="24"/>
          <w:szCs w:val="24"/>
        </w:rPr>
        <w:t>other</w:t>
      </w:r>
      <w:r>
        <w:rPr>
          <w:rFonts w:ascii="Times New Roman" w:hAnsi="Times New Roman" w:cs="Times New Roman"/>
          <w:spacing w:val="-8"/>
          <w:sz w:val="24"/>
          <w:szCs w:val="24"/>
        </w:rPr>
        <w:t xml:space="preserve"> </w:t>
      </w:r>
      <w:r>
        <w:rPr>
          <w:rFonts w:ascii="Times New Roman" w:hAnsi="Times New Roman" w:cs="Times New Roman"/>
          <w:sz w:val="24"/>
          <w:szCs w:val="24"/>
        </w:rPr>
        <w:t>reduction</w:t>
      </w:r>
      <w:r>
        <w:rPr>
          <w:rFonts w:ascii="Times New Roman" w:hAnsi="Times New Roman" w:cs="Times New Roman"/>
          <w:spacing w:val="-7"/>
          <w:sz w:val="24"/>
          <w:szCs w:val="24"/>
        </w:rPr>
        <w:t xml:space="preserve"> </w:t>
      </w:r>
      <w:r>
        <w:rPr>
          <w:rFonts w:ascii="Times New Roman" w:hAnsi="Times New Roman" w:cs="Times New Roman"/>
          <w:sz w:val="24"/>
          <w:szCs w:val="24"/>
        </w:rPr>
        <w:t>in</w:t>
      </w:r>
      <w:r>
        <w:rPr>
          <w:rFonts w:ascii="Times New Roman" w:hAnsi="Times New Roman" w:cs="Times New Roman"/>
          <w:spacing w:val="-7"/>
          <w:sz w:val="24"/>
          <w:szCs w:val="24"/>
        </w:rPr>
        <w:t xml:space="preserve"> </w:t>
      </w:r>
      <w:r>
        <w:rPr>
          <w:rFonts w:ascii="Times New Roman" w:hAnsi="Times New Roman" w:cs="Times New Roman"/>
          <w:sz w:val="24"/>
          <w:szCs w:val="24"/>
        </w:rPr>
        <w:t>patient</w:t>
      </w:r>
      <w:r>
        <w:rPr>
          <w:rFonts w:ascii="Times New Roman" w:hAnsi="Times New Roman" w:cs="Times New Roman"/>
          <w:spacing w:val="-7"/>
          <w:sz w:val="24"/>
          <w:szCs w:val="24"/>
        </w:rPr>
        <w:t xml:space="preserve"> </w:t>
      </w:r>
      <w:r>
        <w:rPr>
          <w:rFonts w:ascii="Times New Roman" w:hAnsi="Times New Roman" w:cs="Times New Roman"/>
          <w:sz w:val="24"/>
          <w:szCs w:val="24"/>
        </w:rPr>
        <w:t>harm.</w:t>
      </w:r>
      <w:r>
        <w:rPr>
          <w:rFonts w:ascii="Times New Roman" w:hAnsi="Times New Roman" w:cs="Times New Roman"/>
          <w:position w:val="11"/>
          <w:sz w:val="16"/>
          <w:szCs w:val="16"/>
        </w:rPr>
        <w:t>9</w:t>
      </w:r>
      <w:r>
        <w:rPr>
          <w:rFonts w:ascii="Times New Roman" w:hAnsi="Times New Roman" w:cs="Times New Roman"/>
          <w:spacing w:val="16"/>
          <w:position w:val="11"/>
          <w:sz w:val="16"/>
          <w:szCs w:val="16"/>
        </w:rPr>
        <w:t xml:space="preserve"> </w:t>
      </w:r>
      <w:r>
        <w:rPr>
          <w:rFonts w:ascii="Times New Roman" w:hAnsi="Times New Roman" w:cs="Times New Roman"/>
          <w:sz w:val="24"/>
          <w:szCs w:val="24"/>
        </w:rPr>
        <w:t>There</w:t>
      </w:r>
      <w:r>
        <w:rPr>
          <w:rFonts w:ascii="Times New Roman" w:hAnsi="Times New Roman" w:cs="Times New Roman"/>
          <w:spacing w:val="-8"/>
          <w:sz w:val="24"/>
          <w:szCs w:val="24"/>
        </w:rPr>
        <w:t xml:space="preserve"> </w:t>
      </w:r>
      <w:r>
        <w:rPr>
          <w:rFonts w:ascii="Times New Roman" w:hAnsi="Times New Roman" w:cs="Times New Roman"/>
          <w:sz w:val="24"/>
          <w:szCs w:val="24"/>
        </w:rPr>
        <w:t>is</w:t>
      </w:r>
      <w:r>
        <w:rPr>
          <w:rFonts w:ascii="Times New Roman" w:hAnsi="Times New Roman" w:cs="Times New Roman"/>
          <w:spacing w:val="-7"/>
          <w:sz w:val="24"/>
          <w:szCs w:val="24"/>
        </w:rPr>
        <w:t xml:space="preserve"> </w:t>
      </w:r>
      <w:r>
        <w:rPr>
          <w:rFonts w:ascii="Times New Roman" w:hAnsi="Times New Roman" w:cs="Times New Roman"/>
          <w:sz w:val="24"/>
          <w:szCs w:val="24"/>
        </w:rPr>
        <w:t>evidence,</w:t>
      </w:r>
      <w:r>
        <w:rPr>
          <w:rFonts w:ascii="Times New Roman" w:hAnsi="Times New Roman" w:cs="Times New Roman"/>
          <w:spacing w:val="-7"/>
          <w:sz w:val="24"/>
          <w:szCs w:val="24"/>
        </w:rPr>
        <w:t xml:space="preserve"> </w:t>
      </w:r>
      <w:r>
        <w:rPr>
          <w:rFonts w:ascii="Times New Roman" w:hAnsi="Times New Roman" w:cs="Times New Roman"/>
          <w:sz w:val="24"/>
          <w:szCs w:val="24"/>
        </w:rPr>
        <w:t>that</w:t>
      </w:r>
      <w:r>
        <w:rPr>
          <w:rFonts w:ascii="Times New Roman" w:hAnsi="Times New Roman" w:cs="Times New Roman"/>
          <w:spacing w:val="-7"/>
          <w:sz w:val="24"/>
          <w:szCs w:val="24"/>
        </w:rPr>
        <w:t xml:space="preserve"> </w:t>
      </w:r>
      <w:r>
        <w:rPr>
          <w:rFonts w:ascii="Times New Roman" w:hAnsi="Times New Roman" w:cs="Times New Roman"/>
          <w:sz w:val="24"/>
          <w:szCs w:val="24"/>
        </w:rPr>
        <w:t>more</w:t>
      </w:r>
      <w:r>
        <w:rPr>
          <w:rFonts w:ascii="Times New Roman" w:hAnsi="Times New Roman" w:cs="Times New Roman"/>
          <w:spacing w:val="-8"/>
          <w:sz w:val="24"/>
          <w:szCs w:val="24"/>
        </w:rPr>
        <w:t xml:space="preserve"> </w:t>
      </w:r>
      <w:r>
        <w:rPr>
          <w:rFonts w:ascii="Times New Roman" w:hAnsi="Times New Roman" w:cs="Times New Roman"/>
          <w:sz w:val="24"/>
          <w:szCs w:val="24"/>
        </w:rPr>
        <w:t>engaged</w:t>
      </w:r>
      <w:r>
        <w:rPr>
          <w:rFonts w:ascii="Times New Roman" w:hAnsi="Times New Roman" w:cs="Times New Roman"/>
          <w:spacing w:val="-7"/>
          <w:sz w:val="24"/>
          <w:szCs w:val="24"/>
        </w:rPr>
        <w:t xml:space="preserve"> </w:t>
      </w:r>
      <w:r>
        <w:rPr>
          <w:rFonts w:ascii="Times New Roman" w:hAnsi="Times New Roman" w:cs="Times New Roman"/>
          <w:sz w:val="24"/>
          <w:szCs w:val="24"/>
        </w:rPr>
        <w:t>patients</w:t>
      </w:r>
      <w:r>
        <w:rPr>
          <w:rFonts w:ascii="Times New Roman" w:hAnsi="Times New Roman" w:cs="Times New Roman"/>
          <w:spacing w:val="-7"/>
          <w:sz w:val="24"/>
          <w:szCs w:val="24"/>
        </w:rPr>
        <w:t xml:space="preserve"> </w:t>
      </w:r>
      <w:r>
        <w:rPr>
          <w:rFonts w:ascii="Times New Roman" w:hAnsi="Times New Roman" w:cs="Times New Roman"/>
          <w:sz w:val="24"/>
          <w:szCs w:val="24"/>
        </w:rPr>
        <w:t>also</w:t>
      </w:r>
      <w:r>
        <w:rPr>
          <w:rFonts w:ascii="Times New Roman" w:hAnsi="Times New Roman" w:cs="Times New Roman"/>
          <w:spacing w:val="-7"/>
          <w:sz w:val="24"/>
          <w:szCs w:val="24"/>
        </w:rPr>
        <w:t xml:space="preserve"> </w:t>
      </w:r>
      <w:r>
        <w:rPr>
          <w:rFonts w:ascii="Times New Roman" w:hAnsi="Times New Roman" w:cs="Times New Roman"/>
          <w:sz w:val="24"/>
          <w:szCs w:val="24"/>
        </w:rPr>
        <w:t>participate</w:t>
      </w:r>
      <w:r>
        <w:rPr>
          <w:rFonts w:ascii="Times New Roman" w:hAnsi="Times New Roman" w:cs="Times New Roman"/>
          <w:spacing w:val="-8"/>
          <w:sz w:val="24"/>
          <w:szCs w:val="24"/>
        </w:rPr>
        <w:t xml:space="preserve"> </w:t>
      </w:r>
      <w:r>
        <w:rPr>
          <w:rFonts w:ascii="Times New Roman" w:hAnsi="Times New Roman" w:cs="Times New Roman"/>
          <w:sz w:val="24"/>
          <w:szCs w:val="24"/>
        </w:rPr>
        <w:t>in</w:t>
      </w:r>
      <w:r>
        <w:rPr>
          <w:rFonts w:ascii="Times New Roman" w:hAnsi="Times New Roman" w:cs="Times New Roman"/>
          <w:spacing w:val="-5"/>
          <w:sz w:val="24"/>
          <w:szCs w:val="24"/>
        </w:rPr>
        <w:t xml:space="preserve"> </w:t>
      </w:r>
      <w:r>
        <w:rPr>
          <w:rFonts w:ascii="Times New Roman" w:hAnsi="Times New Roman" w:cs="Times New Roman"/>
          <w:sz w:val="24"/>
          <w:szCs w:val="24"/>
        </w:rPr>
        <w:t>better health</w:t>
      </w:r>
      <w:r>
        <w:rPr>
          <w:rFonts w:ascii="Times New Roman" w:hAnsi="Times New Roman" w:cs="Times New Roman"/>
          <w:spacing w:val="-10"/>
          <w:sz w:val="24"/>
          <w:szCs w:val="24"/>
        </w:rPr>
        <w:t xml:space="preserve"> </w:t>
      </w:r>
      <w:r>
        <w:rPr>
          <w:rFonts w:ascii="Times New Roman" w:hAnsi="Times New Roman" w:cs="Times New Roman"/>
          <w:sz w:val="24"/>
          <w:szCs w:val="24"/>
        </w:rPr>
        <w:t>behaviors</w:t>
      </w:r>
      <w:r>
        <w:rPr>
          <w:rFonts w:ascii="Times New Roman" w:hAnsi="Times New Roman" w:cs="Times New Roman"/>
          <w:spacing w:val="-7"/>
          <w:sz w:val="24"/>
          <w:szCs w:val="24"/>
        </w:rPr>
        <w:t xml:space="preserve"> </w:t>
      </w:r>
      <w:r>
        <w:rPr>
          <w:rFonts w:ascii="Times New Roman" w:hAnsi="Times New Roman" w:cs="Times New Roman"/>
          <w:sz w:val="24"/>
          <w:szCs w:val="24"/>
        </w:rPr>
        <w:t>and</w:t>
      </w:r>
      <w:r>
        <w:rPr>
          <w:rFonts w:ascii="Times New Roman" w:hAnsi="Times New Roman" w:cs="Times New Roman"/>
          <w:spacing w:val="-7"/>
          <w:sz w:val="24"/>
          <w:szCs w:val="24"/>
        </w:rPr>
        <w:t xml:space="preserve"> </w:t>
      </w:r>
      <w:r>
        <w:rPr>
          <w:rFonts w:ascii="Times New Roman" w:hAnsi="Times New Roman" w:cs="Times New Roman"/>
          <w:sz w:val="24"/>
          <w:szCs w:val="24"/>
        </w:rPr>
        <w:t>better</w:t>
      </w:r>
      <w:r>
        <w:rPr>
          <w:rFonts w:ascii="Times New Roman" w:hAnsi="Times New Roman" w:cs="Times New Roman"/>
          <w:spacing w:val="-10"/>
          <w:sz w:val="24"/>
          <w:szCs w:val="24"/>
        </w:rPr>
        <w:t xml:space="preserve"> </w:t>
      </w:r>
      <w:r>
        <w:rPr>
          <w:rFonts w:ascii="Times New Roman" w:hAnsi="Times New Roman" w:cs="Times New Roman"/>
          <w:sz w:val="24"/>
          <w:szCs w:val="24"/>
        </w:rPr>
        <w:t>partner</w:t>
      </w:r>
      <w:r>
        <w:rPr>
          <w:rFonts w:ascii="Times New Roman" w:hAnsi="Times New Roman" w:cs="Times New Roman"/>
          <w:spacing w:val="-6"/>
          <w:sz w:val="24"/>
          <w:szCs w:val="24"/>
        </w:rPr>
        <w:t xml:space="preserve"> </w:t>
      </w:r>
      <w:r>
        <w:rPr>
          <w:rFonts w:ascii="Times New Roman" w:hAnsi="Times New Roman" w:cs="Times New Roman"/>
          <w:sz w:val="24"/>
          <w:szCs w:val="24"/>
        </w:rPr>
        <w:t>with</w:t>
      </w:r>
      <w:r>
        <w:rPr>
          <w:rFonts w:ascii="Times New Roman" w:hAnsi="Times New Roman" w:cs="Times New Roman"/>
          <w:spacing w:val="-7"/>
          <w:sz w:val="24"/>
          <w:szCs w:val="24"/>
        </w:rPr>
        <w:t xml:space="preserve"> </w:t>
      </w:r>
      <w:r>
        <w:rPr>
          <w:rFonts w:ascii="Times New Roman" w:hAnsi="Times New Roman" w:cs="Times New Roman"/>
          <w:sz w:val="24"/>
          <w:szCs w:val="24"/>
        </w:rPr>
        <w:t>providers</w:t>
      </w:r>
      <w:r>
        <w:rPr>
          <w:rFonts w:ascii="Times New Roman" w:hAnsi="Times New Roman" w:cs="Times New Roman"/>
          <w:spacing w:val="-7"/>
          <w:sz w:val="24"/>
          <w:szCs w:val="24"/>
        </w:rPr>
        <w:t xml:space="preserve"> </w:t>
      </w:r>
      <w:r>
        <w:rPr>
          <w:rFonts w:ascii="Times New Roman" w:hAnsi="Times New Roman" w:cs="Times New Roman"/>
          <w:sz w:val="24"/>
          <w:szCs w:val="24"/>
        </w:rPr>
        <w:t>to</w:t>
      </w:r>
      <w:r>
        <w:rPr>
          <w:rFonts w:ascii="Times New Roman" w:hAnsi="Times New Roman" w:cs="Times New Roman"/>
          <w:spacing w:val="-7"/>
          <w:sz w:val="24"/>
          <w:szCs w:val="24"/>
        </w:rPr>
        <w:t xml:space="preserve"> </w:t>
      </w:r>
      <w:r>
        <w:rPr>
          <w:rFonts w:ascii="Times New Roman" w:hAnsi="Times New Roman" w:cs="Times New Roman"/>
          <w:sz w:val="24"/>
          <w:szCs w:val="24"/>
        </w:rPr>
        <w:t>improve</w:t>
      </w:r>
      <w:r>
        <w:rPr>
          <w:rFonts w:ascii="Times New Roman" w:hAnsi="Times New Roman" w:cs="Times New Roman"/>
          <w:spacing w:val="-8"/>
          <w:sz w:val="24"/>
          <w:szCs w:val="24"/>
        </w:rPr>
        <w:t xml:space="preserve"> </w:t>
      </w:r>
      <w:r>
        <w:rPr>
          <w:rFonts w:ascii="Times New Roman" w:hAnsi="Times New Roman" w:cs="Times New Roman"/>
          <w:sz w:val="24"/>
          <w:szCs w:val="24"/>
        </w:rPr>
        <w:t>health</w:t>
      </w:r>
      <w:r>
        <w:rPr>
          <w:rFonts w:ascii="Times New Roman" w:hAnsi="Times New Roman" w:cs="Times New Roman"/>
          <w:spacing w:val="-10"/>
          <w:sz w:val="24"/>
          <w:szCs w:val="24"/>
        </w:rPr>
        <w:t xml:space="preserve"> </w:t>
      </w:r>
      <w:r>
        <w:rPr>
          <w:rFonts w:ascii="Times New Roman" w:hAnsi="Times New Roman" w:cs="Times New Roman"/>
          <w:sz w:val="24"/>
          <w:szCs w:val="24"/>
        </w:rPr>
        <w:t>outcomes.</w:t>
      </w:r>
    </w:p>
    <w:p w:rsidR="002C5025" w:rsidRDefault="002C5025">
      <w:pPr>
        <w:pStyle w:val="BodyText"/>
        <w:kinsoku w:val="0"/>
        <w:overflowPunct w:val="0"/>
        <w:spacing w:before="6"/>
        <w:rPr>
          <w:rFonts w:ascii="Times New Roman" w:hAnsi="Times New Roman" w:cs="Times New Roman"/>
          <w:sz w:val="28"/>
          <w:szCs w:val="28"/>
        </w:rPr>
      </w:pPr>
    </w:p>
    <w:p w:rsidR="002C5025" w:rsidRDefault="002C5025">
      <w:pPr>
        <w:pStyle w:val="BodyText"/>
        <w:kinsoku w:val="0"/>
        <w:overflowPunct w:val="0"/>
        <w:ind w:left="143" w:right="126"/>
        <w:rPr>
          <w:rFonts w:ascii="Times New Roman" w:hAnsi="Times New Roman" w:cs="Times New Roman"/>
          <w:sz w:val="24"/>
          <w:szCs w:val="24"/>
        </w:rPr>
      </w:pPr>
      <w:r>
        <w:rPr>
          <w:rFonts w:ascii="Times New Roman" w:hAnsi="Times New Roman" w:cs="Times New Roman"/>
          <w:sz w:val="24"/>
          <w:szCs w:val="24"/>
          <w:u w:val="single"/>
        </w:rPr>
        <w:t>Transparency</w:t>
      </w:r>
    </w:p>
    <w:p w:rsidR="002C5025" w:rsidRDefault="002C5025">
      <w:pPr>
        <w:pStyle w:val="BodyText"/>
        <w:kinsoku w:val="0"/>
        <w:overflowPunct w:val="0"/>
        <w:spacing w:before="1"/>
        <w:rPr>
          <w:rFonts w:ascii="Times New Roman" w:hAnsi="Times New Roman" w:cs="Times New Roman"/>
          <w:sz w:val="25"/>
          <w:szCs w:val="25"/>
        </w:rPr>
      </w:pPr>
    </w:p>
    <w:p w:rsidR="002C5025" w:rsidRDefault="002C5025">
      <w:pPr>
        <w:pStyle w:val="BodyText"/>
        <w:kinsoku w:val="0"/>
        <w:overflowPunct w:val="0"/>
        <w:spacing w:before="69" w:line="276" w:lineRule="auto"/>
        <w:ind w:left="143" w:right="146"/>
        <w:rPr>
          <w:rFonts w:ascii="Times New Roman" w:hAnsi="Times New Roman" w:cs="Times New Roman"/>
          <w:sz w:val="24"/>
          <w:szCs w:val="24"/>
        </w:rPr>
      </w:pPr>
      <w:r>
        <w:rPr>
          <w:rFonts w:ascii="Times New Roman" w:hAnsi="Times New Roman" w:cs="Times New Roman"/>
          <w:sz w:val="24"/>
          <w:szCs w:val="24"/>
        </w:rPr>
        <w:t>While we fully support informed consumer decisions based on data sharing to assess quality of care, we seek further information about the extent to which the metrics will be reported publicly, especially those measures that may be newly developed or not yet tested in a MassHealth population. New measures (or modified measures used in new ways) may be less stable, lack benchmarks, or not be appropriately risk- adjusted. Preliminary data on new measures could serve to misinform rather than support informed consumer choice. Decisions on which data and metrics will be publicly reported should also be made in conjunction with quality experts and consumer representatives. Educational materials on quality measurement should be available to consumers that describe, in lay terms, what measures do or do not measure, limitations, and appropriate uses. Given the low “numeracy” among Americans (see Health Literacy section below), this support for consumer comprehension of quality metrics is critically important.</w:t>
      </w:r>
    </w:p>
    <w:p w:rsidR="002C5025" w:rsidRDefault="002C5025">
      <w:pPr>
        <w:pStyle w:val="BodyText"/>
        <w:kinsoku w:val="0"/>
        <w:overflowPunct w:val="0"/>
        <w:rPr>
          <w:rFonts w:ascii="Times New Roman" w:hAnsi="Times New Roman" w:cs="Times New Roman"/>
          <w:sz w:val="20"/>
          <w:szCs w:val="20"/>
        </w:rPr>
      </w:pPr>
    </w:p>
    <w:p w:rsidR="002C5025" w:rsidRDefault="00FB027C">
      <w:pPr>
        <w:pStyle w:val="BodyText"/>
        <w:kinsoku w:val="0"/>
        <w:overflowPunct w:val="0"/>
        <w:spacing w:before="9"/>
        <w:rPr>
          <w:rFonts w:ascii="Times New Roman" w:hAnsi="Times New Roman" w:cs="Times New Roman"/>
          <w:sz w:val="23"/>
          <w:szCs w:val="23"/>
        </w:rPr>
      </w:pPr>
      <w:r>
        <w:rPr>
          <w:noProof/>
        </w:rPr>
        <mc:AlternateContent>
          <mc:Choice Requires="wps">
            <w:drawing>
              <wp:anchor distT="0" distB="0" distL="0" distR="0" simplePos="0" relativeHeight="251601408" behindDoc="0" locked="0" layoutInCell="0" allowOverlap="1">
                <wp:simplePos x="0" y="0"/>
                <wp:positionH relativeFrom="page">
                  <wp:posOffset>609600</wp:posOffset>
                </wp:positionH>
                <wp:positionV relativeFrom="paragraph">
                  <wp:posOffset>202565</wp:posOffset>
                </wp:positionV>
                <wp:extent cx="1828800" cy="12700"/>
                <wp:effectExtent l="0" t="0" r="0" b="0"/>
                <wp:wrapTopAndBottom/>
                <wp:docPr id="687" name="Freeform 3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w 2880"/>
                            <a:gd name="T1" fmla="*/ 0 h 20"/>
                            <a:gd name="T2" fmla="*/ 2880 w 2880"/>
                            <a:gd name="T3" fmla="*/ 0 h 20"/>
                          </a:gdLst>
                          <a:ahLst/>
                          <a:cxnLst>
                            <a:cxn ang="0">
                              <a:pos x="T0" y="T1"/>
                            </a:cxn>
                            <a:cxn ang="0">
                              <a:pos x="T2" y="T3"/>
                            </a:cxn>
                          </a:cxnLst>
                          <a:rect l="0" t="0" r="r" b="b"/>
                          <a:pathLst>
                            <a:path w="2880" h="20">
                              <a:moveTo>
                                <a:pt x="0" y="0"/>
                              </a:moveTo>
                              <a:lnTo>
                                <a:pt x="2880"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38" o:spid="_x0000_s1026" style="position:absolute;z-index:251601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48pt,15.95pt,192pt,15.95pt" coordsize="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" o:allowincell="f" filled="f" strokeweight=".20458mm">
                <v:path arrowok="t" o:connecttype="custom" o:connectlocs="0,0;1828800,0" o:connectangles="0,0"/>
                <w10:wrap type="topAndBottom" anchorx="page"/>
              </v:polyline>
            </w:pict>
          </mc:Fallback>
        </mc:AlternateContent>
      </w:r>
    </w:p>
    <w:p w:rsidR="002C5025" w:rsidRDefault="002C5025">
      <w:pPr>
        <w:pStyle w:val="BodyText"/>
        <w:kinsoku w:val="0"/>
        <w:overflowPunct w:val="0"/>
        <w:spacing w:before="12" w:line="252" w:lineRule="auto"/>
        <w:ind w:left="143" w:right="126"/>
        <w:rPr>
          <w:rFonts w:ascii="Times New Roman" w:hAnsi="Times New Roman" w:cs="Times New Roman"/>
          <w:w w:val="105"/>
          <w:sz w:val="19"/>
          <w:szCs w:val="19"/>
        </w:rPr>
      </w:pPr>
      <w:r>
        <w:rPr>
          <w:rFonts w:ascii="Times New Roman" w:hAnsi="Times New Roman" w:cs="Times New Roman"/>
          <w:w w:val="105"/>
          <w:position w:val="9"/>
          <w:sz w:val="13"/>
          <w:szCs w:val="13"/>
        </w:rPr>
        <w:t>7</w:t>
      </w:r>
      <w:r>
        <w:rPr>
          <w:rFonts w:ascii="Times New Roman" w:hAnsi="Times New Roman" w:cs="Times New Roman"/>
          <w:spacing w:val="4"/>
          <w:w w:val="105"/>
          <w:position w:val="9"/>
          <w:sz w:val="13"/>
          <w:szCs w:val="13"/>
        </w:rPr>
        <w:t xml:space="preserve"> </w:t>
      </w:r>
      <w:r>
        <w:rPr>
          <w:rFonts w:ascii="Times New Roman" w:hAnsi="Times New Roman" w:cs="Times New Roman"/>
          <w:w w:val="105"/>
          <w:sz w:val="19"/>
          <w:szCs w:val="19"/>
        </w:rPr>
        <w:t>Fenton</w:t>
      </w:r>
      <w:r>
        <w:rPr>
          <w:rFonts w:ascii="Times New Roman" w:hAnsi="Times New Roman" w:cs="Times New Roman"/>
          <w:spacing w:val="-11"/>
          <w:w w:val="105"/>
          <w:sz w:val="19"/>
          <w:szCs w:val="19"/>
        </w:rPr>
        <w:t xml:space="preserve"> </w:t>
      </w:r>
      <w:r>
        <w:rPr>
          <w:rFonts w:ascii="Times New Roman" w:hAnsi="Times New Roman" w:cs="Times New Roman"/>
          <w:w w:val="105"/>
          <w:sz w:val="19"/>
          <w:szCs w:val="19"/>
        </w:rPr>
        <w:t>JJ,</w:t>
      </w:r>
      <w:r>
        <w:rPr>
          <w:rFonts w:ascii="Times New Roman" w:hAnsi="Times New Roman" w:cs="Times New Roman"/>
          <w:spacing w:val="-10"/>
          <w:w w:val="105"/>
          <w:sz w:val="19"/>
          <w:szCs w:val="19"/>
        </w:rPr>
        <w:t xml:space="preserve"> </w:t>
      </w:r>
      <w:proofErr w:type="spellStart"/>
      <w:r>
        <w:rPr>
          <w:rFonts w:ascii="Times New Roman" w:hAnsi="Times New Roman" w:cs="Times New Roman"/>
          <w:w w:val="105"/>
          <w:sz w:val="19"/>
          <w:szCs w:val="19"/>
        </w:rPr>
        <w:t>Jerant</w:t>
      </w:r>
      <w:proofErr w:type="spellEnd"/>
      <w:r>
        <w:rPr>
          <w:rFonts w:ascii="Times New Roman" w:hAnsi="Times New Roman" w:cs="Times New Roman"/>
          <w:spacing w:val="-8"/>
          <w:w w:val="105"/>
          <w:sz w:val="19"/>
          <w:szCs w:val="19"/>
        </w:rPr>
        <w:t xml:space="preserve"> </w:t>
      </w:r>
      <w:r>
        <w:rPr>
          <w:rFonts w:ascii="Times New Roman" w:hAnsi="Times New Roman" w:cs="Times New Roman"/>
          <w:w w:val="105"/>
          <w:sz w:val="19"/>
          <w:szCs w:val="19"/>
        </w:rPr>
        <w:t>AF,</w:t>
      </w:r>
      <w:r>
        <w:rPr>
          <w:rFonts w:ascii="Times New Roman" w:hAnsi="Times New Roman" w:cs="Times New Roman"/>
          <w:spacing w:val="-10"/>
          <w:w w:val="105"/>
          <w:sz w:val="19"/>
          <w:szCs w:val="19"/>
        </w:rPr>
        <w:t xml:space="preserve"> </w:t>
      </w:r>
      <w:proofErr w:type="spellStart"/>
      <w:r>
        <w:rPr>
          <w:rFonts w:ascii="Times New Roman" w:hAnsi="Times New Roman" w:cs="Times New Roman"/>
          <w:w w:val="105"/>
          <w:sz w:val="19"/>
          <w:szCs w:val="19"/>
        </w:rPr>
        <w:t>Bertakis</w:t>
      </w:r>
      <w:proofErr w:type="spellEnd"/>
      <w:r>
        <w:rPr>
          <w:rFonts w:ascii="Times New Roman" w:hAnsi="Times New Roman" w:cs="Times New Roman"/>
          <w:spacing w:val="-11"/>
          <w:w w:val="105"/>
          <w:sz w:val="19"/>
          <w:szCs w:val="19"/>
        </w:rPr>
        <w:t xml:space="preserve"> </w:t>
      </w:r>
      <w:r>
        <w:rPr>
          <w:rFonts w:ascii="Times New Roman" w:hAnsi="Times New Roman" w:cs="Times New Roman"/>
          <w:w w:val="105"/>
          <w:sz w:val="19"/>
          <w:szCs w:val="19"/>
        </w:rPr>
        <w:t>KD,</w:t>
      </w:r>
      <w:r>
        <w:rPr>
          <w:rFonts w:ascii="Times New Roman" w:hAnsi="Times New Roman" w:cs="Times New Roman"/>
          <w:spacing w:val="-10"/>
          <w:w w:val="105"/>
          <w:sz w:val="19"/>
          <w:szCs w:val="19"/>
        </w:rPr>
        <w:t xml:space="preserve"> </w:t>
      </w:r>
      <w:r>
        <w:rPr>
          <w:rFonts w:ascii="Times New Roman" w:hAnsi="Times New Roman" w:cs="Times New Roman"/>
          <w:w w:val="105"/>
          <w:sz w:val="19"/>
          <w:szCs w:val="19"/>
        </w:rPr>
        <w:t>Franks</w:t>
      </w:r>
      <w:r>
        <w:rPr>
          <w:rFonts w:ascii="Times New Roman" w:hAnsi="Times New Roman" w:cs="Times New Roman"/>
          <w:spacing w:val="-11"/>
          <w:w w:val="105"/>
          <w:sz w:val="19"/>
          <w:szCs w:val="19"/>
        </w:rPr>
        <w:t xml:space="preserve"> </w:t>
      </w:r>
      <w:r>
        <w:rPr>
          <w:rFonts w:ascii="Times New Roman" w:hAnsi="Times New Roman" w:cs="Times New Roman"/>
          <w:w w:val="105"/>
          <w:sz w:val="19"/>
          <w:szCs w:val="19"/>
        </w:rPr>
        <w:t>P.</w:t>
      </w:r>
      <w:r>
        <w:rPr>
          <w:rFonts w:ascii="Times New Roman" w:hAnsi="Times New Roman" w:cs="Times New Roman"/>
          <w:spacing w:val="-10"/>
          <w:w w:val="105"/>
          <w:sz w:val="19"/>
          <w:szCs w:val="19"/>
        </w:rPr>
        <w:t xml:space="preserve"> </w:t>
      </w:r>
      <w:r>
        <w:rPr>
          <w:rFonts w:ascii="Times New Roman" w:hAnsi="Times New Roman" w:cs="Times New Roman"/>
          <w:w w:val="105"/>
          <w:sz w:val="19"/>
          <w:szCs w:val="19"/>
        </w:rPr>
        <w:t>The</w:t>
      </w:r>
      <w:r>
        <w:rPr>
          <w:rFonts w:ascii="Times New Roman" w:hAnsi="Times New Roman" w:cs="Times New Roman"/>
          <w:spacing w:val="-10"/>
          <w:w w:val="105"/>
          <w:sz w:val="19"/>
          <w:szCs w:val="19"/>
        </w:rPr>
        <w:t xml:space="preserve"> </w:t>
      </w:r>
      <w:r>
        <w:rPr>
          <w:rFonts w:ascii="Times New Roman" w:hAnsi="Times New Roman" w:cs="Times New Roman"/>
          <w:w w:val="105"/>
          <w:sz w:val="19"/>
          <w:szCs w:val="19"/>
        </w:rPr>
        <w:t>Cost</w:t>
      </w:r>
      <w:r>
        <w:rPr>
          <w:rFonts w:ascii="Times New Roman" w:hAnsi="Times New Roman" w:cs="Times New Roman"/>
          <w:spacing w:val="-11"/>
          <w:w w:val="105"/>
          <w:sz w:val="19"/>
          <w:szCs w:val="19"/>
        </w:rPr>
        <w:t xml:space="preserve"> </w:t>
      </w:r>
      <w:r>
        <w:rPr>
          <w:rFonts w:ascii="Times New Roman" w:hAnsi="Times New Roman" w:cs="Times New Roman"/>
          <w:w w:val="105"/>
          <w:sz w:val="19"/>
          <w:szCs w:val="19"/>
        </w:rPr>
        <w:t>of</w:t>
      </w:r>
      <w:r>
        <w:rPr>
          <w:rFonts w:ascii="Times New Roman" w:hAnsi="Times New Roman" w:cs="Times New Roman"/>
          <w:spacing w:val="-12"/>
          <w:w w:val="105"/>
          <w:sz w:val="19"/>
          <w:szCs w:val="19"/>
        </w:rPr>
        <w:t xml:space="preserve"> </w:t>
      </w:r>
      <w:r>
        <w:rPr>
          <w:rFonts w:ascii="Times New Roman" w:hAnsi="Times New Roman" w:cs="Times New Roman"/>
          <w:w w:val="105"/>
          <w:sz w:val="19"/>
          <w:szCs w:val="19"/>
        </w:rPr>
        <w:t>Satisfaction:</w:t>
      </w:r>
      <w:r>
        <w:rPr>
          <w:rFonts w:ascii="Times New Roman" w:hAnsi="Times New Roman" w:cs="Times New Roman"/>
          <w:spacing w:val="-8"/>
          <w:w w:val="105"/>
          <w:sz w:val="19"/>
          <w:szCs w:val="19"/>
        </w:rPr>
        <w:t xml:space="preserve"> </w:t>
      </w:r>
      <w:r>
        <w:rPr>
          <w:rFonts w:ascii="Times New Roman" w:hAnsi="Times New Roman" w:cs="Times New Roman"/>
          <w:w w:val="105"/>
          <w:sz w:val="19"/>
          <w:szCs w:val="19"/>
        </w:rPr>
        <w:t>A</w:t>
      </w:r>
      <w:r>
        <w:rPr>
          <w:rFonts w:ascii="Times New Roman" w:hAnsi="Times New Roman" w:cs="Times New Roman"/>
          <w:spacing w:val="-9"/>
          <w:w w:val="105"/>
          <w:sz w:val="19"/>
          <w:szCs w:val="19"/>
        </w:rPr>
        <w:t xml:space="preserve"> </w:t>
      </w:r>
      <w:r>
        <w:rPr>
          <w:rFonts w:ascii="Times New Roman" w:hAnsi="Times New Roman" w:cs="Times New Roman"/>
          <w:w w:val="105"/>
          <w:sz w:val="19"/>
          <w:szCs w:val="19"/>
        </w:rPr>
        <w:t>National</w:t>
      </w:r>
      <w:r>
        <w:rPr>
          <w:rFonts w:ascii="Times New Roman" w:hAnsi="Times New Roman" w:cs="Times New Roman"/>
          <w:spacing w:val="-11"/>
          <w:w w:val="105"/>
          <w:sz w:val="19"/>
          <w:szCs w:val="19"/>
        </w:rPr>
        <w:t xml:space="preserve"> </w:t>
      </w:r>
      <w:r>
        <w:rPr>
          <w:rFonts w:ascii="Times New Roman" w:hAnsi="Times New Roman" w:cs="Times New Roman"/>
          <w:w w:val="105"/>
          <w:sz w:val="19"/>
          <w:szCs w:val="19"/>
        </w:rPr>
        <w:t>Study</w:t>
      </w:r>
      <w:r>
        <w:rPr>
          <w:rFonts w:ascii="Times New Roman" w:hAnsi="Times New Roman" w:cs="Times New Roman"/>
          <w:spacing w:val="-11"/>
          <w:w w:val="105"/>
          <w:sz w:val="19"/>
          <w:szCs w:val="19"/>
        </w:rPr>
        <w:t xml:space="preserve"> </w:t>
      </w:r>
      <w:r>
        <w:rPr>
          <w:rFonts w:ascii="Times New Roman" w:hAnsi="Times New Roman" w:cs="Times New Roman"/>
          <w:w w:val="105"/>
          <w:sz w:val="19"/>
          <w:szCs w:val="19"/>
        </w:rPr>
        <w:t>of</w:t>
      </w:r>
      <w:r>
        <w:rPr>
          <w:rFonts w:ascii="Times New Roman" w:hAnsi="Times New Roman" w:cs="Times New Roman"/>
          <w:spacing w:val="-12"/>
          <w:w w:val="105"/>
          <w:sz w:val="19"/>
          <w:szCs w:val="19"/>
        </w:rPr>
        <w:t xml:space="preserve"> </w:t>
      </w:r>
      <w:r>
        <w:rPr>
          <w:rFonts w:ascii="Times New Roman" w:hAnsi="Times New Roman" w:cs="Times New Roman"/>
          <w:w w:val="105"/>
          <w:sz w:val="19"/>
          <w:szCs w:val="19"/>
        </w:rPr>
        <w:t>Patient</w:t>
      </w:r>
      <w:r>
        <w:rPr>
          <w:rFonts w:ascii="Times New Roman" w:hAnsi="Times New Roman" w:cs="Times New Roman"/>
          <w:spacing w:val="-11"/>
          <w:w w:val="105"/>
          <w:sz w:val="19"/>
          <w:szCs w:val="19"/>
        </w:rPr>
        <w:t xml:space="preserve"> </w:t>
      </w:r>
      <w:r>
        <w:rPr>
          <w:rFonts w:ascii="Times New Roman" w:hAnsi="Times New Roman" w:cs="Times New Roman"/>
          <w:w w:val="105"/>
          <w:sz w:val="19"/>
          <w:szCs w:val="19"/>
        </w:rPr>
        <w:t>Satisfaction,</w:t>
      </w:r>
      <w:r>
        <w:rPr>
          <w:rFonts w:ascii="Times New Roman" w:hAnsi="Times New Roman" w:cs="Times New Roman"/>
          <w:spacing w:val="-10"/>
          <w:w w:val="105"/>
          <w:sz w:val="19"/>
          <w:szCs w:val="19"/>
        </w:rPr>
        <w:t xml:space="preserve"> </w:t>
      </w:r>
      <w:r>
        <w:rPr>
          <w:rFonts w:ascii="Times New Roman" w:hAnsi="Times New Roman" w:cs="Times New Roman"/>
          <w:w w:val="105"/>
          <w:sz w:val="19"/>
          <w:szCs w:val="19"/>
        </w:rPr>
        <w:t>Health</w:t>
      </w:r>
      <w:r>
        <w:rPr>
          <w:rFonts w:ascii="Times New Roman" w:hAnsi="Times New Roman" w:cs="Times New Roman"/>
          <w:spacing w:val="-11"/>
          <w:w w:val="105"/>
          <w:sz w:val="19"/>
          <w:szCs w:val="19"/>
        </w:rPr>
        <w:t xml:space="preserve"> </w:t>
      </w:r>
      <w:r>
        <w:rPr>
          <w:rFonts w:ascii="Times New Roman" w:hAnsi="Times New Roman" w:cs="Times New Roman"/>
          <w:w w:val="105"/>
          <w:sz w:val="19"/>
          <w:szCs w:val="19"/>
        </w:rPr>
        <w:t>Care Utilization,</w:t>
      </w:r>
      <w:r>
        <w:rPr>
          <w:rFonts w:ascii="Times New Roman" w:hAnsi="Times New Roman" w:cs="Times New Roman"/>
          <w:spacing w:val="-27"/>
          <w:w w:val="105"/>
          <w:sz w:val="19"/>
          <w:szCs w:val="19"/>
        </w:rPr>
        <w:t xml:space="preserve"> </w:t>
      </w:r>
      <w:r>
        <w:rPr>
          <w:rFonts w:ascii="Times New Roman" w:hAnsi="Times New Roman" w:cs="Times New Roman"/>
          <w:w w:val="105"/>
          <w:sz w:val="19"/>
          <w:szCs w:val="19"/>
        </w:rPr>
        <w:t>Expenditures,</w:t>
      </w:r>
      <w:r>
        <w:rPr>
          <w:rFonts w:ascii="Times New Roman" w:hAnsi="Times New Roman" w:cs="Times New Roman"/>
          <w:spacing w:val="-30"/>
          <w:w w:val="105"/>
          <w:sz w:val="19"/>
          <w:szCs w:val="19"/>
        </w:rPr>
        <w:t xml:space="preserve"> </w:t>
      </w:r>
      <w:r>
        <w:rPr>
          <w:rFonts w:ascii="Times New Roman" w:hAnsi="Times New Roman" w:cs="Times New Roman"/>
          <w:w w:val="105"/>
          <w:sz w:val="19"/>
          <w:szCs w:val="19"/>
        </w:rPr>
        <w:t>and</w:t>
      </w:r>
      <w:r>
        <w:rPr>
          <w:rFonts w:ascii="Times New Roman" w:hAnsi="Times New Roman" w:cs="Times New Roman"/>
          <w:spacing w:val="-28"/>
          <w:w w:val="105"/>
          <w:sz w:val="19"/>
          <w:szCs w:val="19"/>
        </w:rPr>
        <w:t xml:space="preserve"> </w:t>
      </w:r>
      <w:r>
        <w:rPr>
          <w:rFonts w:ascii="Times New Roman" w:hAnsi="Times New Roman" w:cs="Times New Roman"/>
          <w:w w:val="105"/>
          <w:sz w:val="19"/>
          <w:szCs w:val="19"/>
        </w:rPr>
        <w:t>Mortality.</w:t>
      </w:r>
      <w:r>
        <w:rPr>
          <w:rFonts w:ascii="Times New Roman" w:hAnsi="Times New Roman" w:cs="Times New Roman"/>
          <w:spacing w:val="-27"/>
          <w:w w:val="105"/>
          <w:sz w:val="19"/>
          <w:szCs w:val="19"/>
        </w:rPr>
        <w:t xml:space="preserve"> </w:t>
      </w:r>
      <w:r>
        <w:rPr>
          <w:rFonts w:ascii="Times New Roman" w:hAnsi="Times New Roman" w:cs="Times New Roman"/>
          <w:i/>
          <w:iCs/>
          <w:w w:val="105"/>
          <w:sz w:val="19"/>
          <w:szCs w:val="19"/>
        </w:rPr>
        <w:t>Arch</w:t>
      </w:r>
      <w:r>
        <w:rPr>
          <w:rFonts w:ascii="Times New Roman" w:hAnsi="Times New Roman" w:cs="Times New Roman"/>
          <w:i/>
          <w:iCs/>
          <w:spacing w:val="-28"/>
          <w:w w:val="105"/>
          <w:sz w:val="19"/>
          <w:szCs w:val="19"/>
        </w:rPr>
        <w:t xml:space="preserve"> </w:t>
      </w:r>
      <w:r>
        <w:rPr>
          <w:rFonts w:ascii="Times New Roman" w:hAnsi="Times New Roman" w:cs="Times New Roman"/>
          <w:i/>
          <w:iCs/>
          <w:w w:val="105"/>
          <w:sz w:val="19"/>
          <w:szCs w:val="19"/>
        </w:rPr>
        <w:t>Intern</w:t>
      </w:r>
      <w:r>
        <w:rPr>
          <w:rFonts w:ascii="Times New Roman" w:hAnsi="Times New Roman" w:cs="Times New Roman"/>
          <w:i/>
          <w:iCs/>
          <w:spacing w:val="-27"/>
          <w:w w:val="105"/>
          <w:sz w:val="19"/>
          <w:szCs w:val="19"/>
        </w:rPr>
        <w:t xml:space="preserve"> </w:t>
      </w:r>
      <w:r>
        <w:rPr>
          <w:rFonts w:ascii="Times New Roman" w:hAnsi="Times New Roman" w:cs="Times New Roman"/>
          <w:i/>
          <w:iCs/>
          <w:w w:val="105"/>
          <w:sz w:val="19"/>
          <w:szCs w:val="19"/>
        </w:rPr>
        <w:t>Med.</w:t>
      </w:r>
      <w:r>
        <w:rPr>
          <w:rFonts w:ascii="Times New Roman" w:hAnsi="Times New Roman" w:cs="Times New Roman"/>
          <w:i/>
          <w:iCs/>
          <w:spacing w:val="-27"/>
          <w:w w:val="105"/>
          <w:sz w:val="19"/>
          <w:szCs w:val="19"/>
        </w:rPr>
        <w:t xml:space="preserve"> </w:t>
      </w:r>
      <w:r>
        <w:rPr>
          <w:rFonts w:ascii="Times New Roman" w:hAnsi="Times New Roman" w:cs="Times New Roman"/>
          <w:w w:val="105"/>
          <w:sz w:val="19"/>
          <w:szCs w:val="19"/>
        </w:rPr>
        <w:t>2012;172(5):405-411.</w:t>
      </w:r>
      <w:r>
        <w:rPr>
          <w:rFonts w:ascii="Times New Roman" w:hAnsi="Times New Roman" w:cs="Times New Roman"/>
          <w:spacing w:val="-30"/>
          <w:w w:val="105"/>
          <w:sz w:val="19"/>
          <w:szCs w:val="19"/>
        </w:rPr>
        <w:t xml:space="preserve"> </w:t>
      </w:r>
      <w:r>
        <w:rPr>
          <w:rFonts w:ascii="Times New Roman" w:hAnsi="Times New Roman" w:cs="Times New Roman"/>
          <w:w w:val="105"/>
          <w:sz w:val="19"/>
          <w:szCs w:val="19"/>
        </w:rPr>
        <w:t>doi:10.1001/archinternmed.2011.1662.</w:t>
      </w:r>
    </w:p>
    <w:p w:rsidR="002C5025" w:rsidRDefault="002C5025">
      <w:pPr>
        <w:pStyle w:val="BodyText"/>
        <w:kinsoku w:val="0"/>
        <w:overflowPunct w:val="0"/>
        <w:spacing w:before="5" w:line="220" w:lineRule="exact"/>
        <w:ind w:left="143" w:right="126"/>
        <w:rPr>
          <w:rFonts w:ascii="Times New Roman" w:hAnsi="Times New Roman" w:cs="Times New Roman"/>
          <w:w w:val="105"/>
          <w:sz w:val="19"/>
          <w:szCs w:val="19"/>
        </w:rPr>
      </w:pPr>
      <w:r>
        <w:rPr>
          <w:rFonts w:ascii="Times New Roman" w:hAnsi="Times New Roman" w:cs="Times New Roman"/>
          <w:w w:val="105"/>
          <w:position w:val="9"/>
          <w:sz w:val="13"/>
          <w:szCs w:val="13"/>
        </w:rPr>
        <w:t>8</w:t>
      </w:r>
      <w:r>
        <w:rPr>
          <w:rFonts w:ascii="Times New Roman" w:hAnsi="Times New Roman" w:cs="Times New Roman"/>
          <w:spacing w:val="4"/>
          <w:w w:val="105"/>
          <w:position w:val="9"/>
          <w:sz w:val="13"/>
          <w:szCs w:val="13"/>
        </w:rPr>
        <w:t xml:space="preserve"> </w:t>
      </w:r>
      <w:r>
        <w:rPr>
          <w:rFonts w:ascii="Times New Roman" w:hAnsi="Times New Roman" w:cs="Times New Roman"/>
          <w:spacing w:val="2"/>
          <w:w w:val="105"/>
          <w:sz w:val="19"/>
          <w:szCs w:val="19"/>
        </w:rPr>
        <w:t>Hoffmann</w:t>
      </w:r>
      <w:r>
        <w:rPr>
          <w:rFonts w:ascii="Times New Roman" w:hAnsi="Times New Roman" w:cs="Times New Roman"/>
          <w:spacing w:val="-9"/>
          <w:w w:val="105"/>
          <w:sz w:val="19"/>
          <w:szCs w:val="19"/>
        </w:rPr>
        <w:t xml:space="preserve"> </w:t>
      </w:r>
      <w:r>
        <w:rPr>
          <w:rFonts w:ascii="Times New Roman" w:hAnsi="Times New Roman" w:cs="Times New Roman"/>
          <w:w w:val="105"/>
          <w:sz w:val="19"/>
          <w:szCs w:val="19"/>
        </w:rPr>
        <w:t>TC,</w:t>
      </w:r>
      <w:r>
        <w:rPr>
          <w:rFonts w:ascii="Times New Roman" w:hAnsi="Times New Roman" w:cs="Times New Roman"/>
          <w:spacing w:val="-10"/>
          <w:w w:val="105"/>
          <w:sz w:val="19"/>
          <w:szCs w:val="19"/>
        </w:rPr>
        <w:t xml:space="preserve"> </w:t>
      </w:r>
      <w:r>
        <w:rPr>
          <w:rFonts w:ascii="Times New Roman" w:hAnsi="Times New Roman" w:cs="Times New Roman"/>
          <w:w w:val="105"/>
          <w:sz w:val="19"/>
          <w:szCs w:val="19"/>
        </w:rPr>
        <w:t>Del</w:t>
      </w:r>
      <w:r>
        <w:rPr>
          <w:rFonts w:ascii="Times New Roman" w:hAnsi="Times New Roman" w:cs="Times New Roman"/>
          <w:spacing w:val="-11"/>
          <w:w w:val="105"/>
          <w:sz w:val="19"/>
          <w:szCs w:val="19"/>
        </w:rPr>
        <w:t xml:space="preserve"> </w:t>
      </w:r>
      <w:r>
        <w:rPr>
          <w:rFonts w:ascii="Times New Roman" w:hAnsi="Times New Roman" w:cs="Times New Roman"/>
          <w:spacing w:val="2"/>
          <w:w w:val="105"/>
          <w:sz w:val="19"/>
          <w:szCs w:val="19"/>
        </w:rPr>
        <w:t>Mar</w:t>
      </w:r>
      <w:r>
        <w:rPr>
          <w:rFonts w:ascii="Times New Roman" w:hAnsi="Times New Roman" w:cs="Times New Roman"/>
          <w:spacing w:val="-12"/>
          <w:w w:val="105"/>
          <w:sz w:val="19"/>
          <w:szCs w:val="19"/>
        </w:rPr>
        <w:t xml:space="preserve"> </w:t>
      </w:r>
      <w:r>
        <w:rPr>
          <w:rFonts w:ascii="Times New Roman" w:hAnsi="Times New Roman" w:cs="Times New Roman"/>
          <w:w w:val="105"/>
          <w:sz w:val="19"/>
          <w:szCs w:val="19"/>
        </w:rPr>
        <w:t>C.</w:t>
      </w:r>
      <w:r>
        <w:rPr>
          <w:rFonts w:ascii="Times New Roman" w:hAnsi="Times New Roman" w:cs="Times New Roman"/>
          <w:spacing w:val="-10"/>
          <w:w w:val="105"/>
          <w:sz w:val="19"/>
          <w:szCs w:val="19"/>
        </w:rPr>
        <w:t xml:space="preserve"> </w:t>
      </w:r>
      <w:r>
        <w:rPr>
          <w:rFonts w:ascii="Times New Roman" w:hAnsi="Times New Roman" w:cs="Times New Roman"/>
          <w:w w:val="105"/>
          <w:sz w:val="19"/>
          <w:szCs w:val="19"/>
        </w:rPr>
        <w:t>Patients’</w:t>
      </w:r>
      <w:r>
        <w:rPr>
          <w:rFonts w:ascii="Times New Roman" w:hAnsi="Times New Roman" w:cs="Times New Roman"/>
          <w:spacing w:val="-14"/>
          <w:w w:val="105"/>
          <w:sz w:val="19"/>
          <w:szCs w:val="19"/>
        </w:rPr>
        <w:t xml:space="preserve"> </w:t>
      </w:r>
      <w:r>
        <w:rPr>
          <w:rFonts w:ascii="Times New Roman" w:hAnsi="Times New Roman" w:cs="Times New Roman"/>
          <w:w w:val="105"/>
          <w:sz w:val="19"/>
          <w:szCs w:val="19"/>
        </w:rPr>
        <w:t>Expectations</w:t>
      </w:r>
      <w:r>
        <w:rPr>
          <w:rFonts w:ascii="Times New Roman" w:hAnsi="Times New Roman" w:cs="Times New Roman"/>
          <w:spacing w:val="-13"/>
          <w:w w:val="105"/>
          <w:sz w:val="19"/>
          <w:szCs w:val="19"/>
        </w:rPr>
        <w:t xml:space="preserve"> </w:t>
      </w:r>
      <w:r>
        <w:rPr>
          <w:rFonts w:ascii="Times New Roman" w:hAnsi="Times New Roman" w:cs="Times New Roman"/>
          <w:w w:val="105"/>
          <w:sz w:val="19"/>
          <w:szCs w:val="19"/>
        </w:rPr>
        <w:t>of</w:t>
      </w:r>
      <w:r>
        <w:rPr>
          <w:rFonts w:ascii="Times New Roman" w:hAnsi="Times New Roman" w:cs="Times New Roman"/>
          <w:spacing w:val="-14"/>
          <w:w w:val="105"/>
          <w:sz w:val="19"/>
          <w:szCs w:val="19"/>
        </w:rPr>
        <w:t xml:space="preserve"> </w:t>
      </w:r>
      <w:r>
        <w:rPr>
          <w:rFonts w:ascii="Times New Roman" w:hAnsi="Times New Roman" w:cs="Times New Roman"/>
          <w:w w:val="105"/>
          <w:sz w:val="19"/>
          <w:szCs w:val="19"/>
        </w:rPr>
        <w:t>the</w:t>
      </w:r>
      <w:r>
        <w:rPr>
          <w:rFonts w:ascii="Times New Roman" w:hAnsi="Times New Roman" w:cs="Times New Roman"/>
          <w:spacing w:val="-10"/>
          <w:w w:val="105"/>
          <w:sz w:val="19"/>
          <w:szCs w:val="19"/>
        </w:rPr>
        <w:t xml:space="preserve"> </w:t>
      </w:r>
      <w:r>
        <w:rPr>
          <w:rFonts w:ascii="Times New Roman" w:hAnsi="Times New Roman" w:cs="Times New Roman"/>
          <w:w w:val="105"/>
          <w:sz w:val="19"/>
          <w:szCs w:val="19"/>
        </w:rPr>
        <w:t>Benefits</w:t>
      </w:r>
      <w:r>
        <w:rPr>
          <w:rFonts w:ascii="Times New Roman" w:hAnsi="Times New Roman" w:cs="Times New Roman"/>
          <w:spacing w:val="-13"/>
          <w:w w:val="105"/>
          <w:sz w:val="19"/>
          <w:szCs w:val="19"/>
        </w:rPr>
        <w:t xml:space="preserve"> </w:t>
      </w:r>
      <w:r>
        <w:rPr>
          <w:rFonts w:ascii="Times New Roman" w:hAnsi="Times New Roman" w:cs="Times New Roman"/>
          <w:w w:val="105"/>
          <w:sz w:val="19"/>
          <w:szCs w:val="19"/>
        </w:rPr>
        <w:t>and</w:t>
      </w:r>
      <w:r>
        <w:rPr>
          <w:rFonts w:ascii="Times New Roman" w:hAnsi="Times New Roman" w:cs="Times New Roman"/>
          <w:spacing w:val="-9"/>
          <w:w w:val="105"/>
          <w:sz w:val="19"/>
          <w:szCs w:val="19"/>
        </w:rPr>
        <w:t xml:space="preserve"> </w:t>
      </w:r>
      <w:r>
        <w:rPr>
          <w:rFonts w:ascii="Times New Roman" w:hAnsi="Times New Roman" w:cs="Times New Roman"/>
          <w:w w:val="105"/>
          <w:sz w:val="19"/>
          <w:szCs w:val="19"/>
        </w:rPr>
        <w:t>Harms</w:t>
      </w:r>
      <w:r>
        <w:rPr>
          <w:rFonts w:ascii="Times New Roman" w:hAnsi="Times New Roman" w:cs="Times New Roman"/>
          <w:spacing w:val="-13"/>
          <w:w w:val="105"/>
          <w:sz w:val="19"/>
          <w:szCs w:val="19"/>
        </w:rPr>
        <w:t xml:space="preserve"> </w:t>
      </w:r>
      <w:r>
        <w:rPr>
          <w:rFonts w:ascii="Times New Roman" w:hAnsi="Times New Roman" w:cs="Times New Roman"/>
          <w:w w:val="105"/>
          <w:sz w:val="19"/>
          <w:szCs w:val="19"/>
        </w:rPr>
        <w:t>of</w:t>
      </w:r>
      <w:r>
        <w:rPr>
          <w:rFonts w:ascii="Times New Roman" w:hAnsi="Times New Roman" w:cs="Times New Roman"/>
          <w:spacing w:val="-12"/>
          <w:w w:val="105"/>
          <w:sz w:val="19"/>
          <w:szCs w:val="19"/>
        </w:rPr>
        <w:t xml:space="preserve"> </w:t>
      </w:r>
      <w:r>
        <w:rPr>
          <w:rFonts w:ascii="Times New Roman" w:hAnsi="Times New Roman" w:cs="Times New Roman"/>
          <w:w w:val="105"/>
          <w:sz w:val="19"/>
          <w:szCs w:val="19"/>
        </w:rPr>
        <w:t>Treatments,</w:t>
      </w:r>
      <w:r>
        <w:rPr>
          <w:rFonts w:ascii="Times New Roman" w:hAnsi="Times New Roman" w:cs="Times New Roman"/>
          <w:spacing w:val="-13"/>
          <w:w w:val="105"/>
          <w:sz w:val="19"/>
          <w:szCs w:val="19"/>
        </w:rPr>
        <w:t xml:space="preserve"> </w:t>
      </w:r>
      <w:r>
        <w:rPr>
          <w:rFonts w:ascii="Times New Roman" w:hAnsi="Times New Roman" w:cs="Times New Roman"/>
          <w:w w:val="105"/>
          <w:sz w:val="19"/>
          <w:szCs w:val="19"/>
        </w:rPr>
        <w:t>Screening,</w:t>
      </w:r>
      <w:r>
        <w:rPr>
          <w:rFonts w:ascii="Times New Roman" w:hAnsi="Times New Roman" w:cs="Times New Roman"/>
          <w:spacing w:val="-10"/>
          <w:w w:val="105"/>
          <w:sz w:val="19"/>
          <w:szCs w:val="19"/>
        </w:rPr>
        <w:t xml:space="preserve"> </w:t>
      </w:r>
      <w:r>
        <w:rPr>
          <w:rFonts w:ascii="Times New Roman" w:hAnsi="Times New Roman" w:cs="Times New Roman"/>
          <w:w w:val="105"/>
          <w:sz w:val="19"/>
          <w:szCs w:val="19"/>
        </w:rPr>
        <w:t>and</w:t>
      </w:r>
      <w:r>
        <w:rPr>
          <w:rFonts w:ascii="Times New Roman" w:hAnsi="Times New Roman" w:cs="Times New Roman"/>
          <w:spacing w:val="-11"/>
          <w:w w:val="105"/>
          <w:sz w:val="19"/>
          <w:szCs w:val="19"/>
        </w:rPr>
        <w:t xml:space="preserve"> </w:t>
      </w:r>
      <w:r>
        <w:rPr>
          <w:rFonts w:ascii="Times New Roman" w:hAnsi="Times New Roman" w:cs="Times New Roman"/>
          <w:w w:val="105"/>
          <w:sz w:val="19"/>
          <w:szCs w:val="19"/>
        </w:rPr>
        <w:t>Tests:</w:t>
      </w:r>
      <w:r>
        <w:rPr>
          <w:rFonts w:ascii="Times New Roman" w:hAnsi="Times New Roman" w:cs="Times New Roman"/>
          <w:spacing w:val="-11"/>
          <w:w w:val="105"/>
          <w:sz w:val="19"/>
          <w:szCs w:val="19"/>
        </w:rPr>
        <w:t xml:space="preserve"> </w:t>
      </w:r>
      <w:r>
        <w:rPr>
          <w:rFonts w:ascii="Times New Roman" w:hAnsi="Times New Roman" w:cs="Times New Roman"/>
          <w:w w:val="105"/>
          <w:sz w:val="19"/>
          <w:szCs w:val="19"/>
        </w:rPr>
        <w:t>A</w:t>
      </w:r>
      <w:r>
        <w:rPr>
          <w:rFonts w:ascii="Times New Roman" w:hAnsi="Times New Roman" w:cs="Times New Roman"/>
          <w:spacing w:val="-11"/>
          <w:w w:val="105"/>
          <w:sz w:val="19"/>
          <w:szCs w:val="19"/>
        </w:rPr>
        <w:t xml:space="preserve"> </w:t>
      </w:r>
      <w:r>
        <w:rPr>
          <w:rFonts w:ascii="Times New Roman" w:hAnsi="Times New Roman" w:cs="Times New Roman"/>
          <w:w w:val="105"/>
          <w:sz w:val="19"/>
          <w:szCs w:val="19"/>
        </w:rPr>
        <w:t>Systematic Review</w:t>
      </w:r>
      <w:r>
        <w:rPr>
          <w:rFonts w:ascii="Times New Roman" w:hAnsi="Times New Roman" w:cs="Times New Roman"/>
          <w:spacing w:val="-28"/>
          <w:w w:val="105"/>
          <w:sz w:val="19"/>
          <w:szCs w:val="19"/>
        </w:rPr>
        <w:t xml:space="preserve"> </w:t>
      </w:r>
      <w:r>
        <w:rPr>
          <w:rFonts w:ascii="Times New Roman" w:hAnsi="Times New Roman" w:cs="Times New Roman"/>
          <w:w w:val="105"/>
          <w:sz w:val="19"/>
          <w:szCs w:val="19"/>
        </w:rPr>
        <w:t>.</w:t>
      </w:r>
      <w:r>
        <w:rPr>
          <w:rFonts w:ascii="Times New Roman" w:hAnsi="Times New Roman" w:cs="Times New Roman"/>
          <w:spacing w:val="-25"/>
          <w:w w:val="105"/>
          <w:sz w:val="19"/>
          <w:szCs w:val="19"/>
        </w:rPr>
        <w:t xml:space="preserve"> </w:t>
      </w:r>
      <w:r>
        <w:rPr>
          <w:rFonts w:ascii="Times New Roman" w:hAnsi="Times New Roman" w:cs="Times New Roman"/>
          <w:i/>
          <w:iCs/>
          <w:w w:val="105"/>
          <w:sz w:val="19"/>
          <w:szCs w:val="19"/>
        </w:rPr>
        <w:t>JAMA</w:t>
      </w:r>
      <w:r>
        <w:rPr>
          <w:rFonts w:ascii="Times New Roman" w:hAnsi="Times New Roman" w:cs="Times New Roman"/>
          <w:i/>
          <w:iCs/>
          <w:spacing w:val="-24"/>
          <w:w w:val="105"/>
          <w:sz w:val="19"/>
          <w:szCs w:val="19"/>
        </w:rPr>
        <w:t xml:space="preserve"> </w:t>
      </w:r>
      <w:r>
        <w:rPr>
          <w:rFonts w:ascii="Times New Roman" w:hAnsi="Times New Roman" w:cs="Times New Roman"/>
          <w:i/>
          <w:iCs/>
          <w:w w:val="105"/>
          <w:sz w:val="19"/>
          <w:szCs w:val="19"/>
        </w:rPr>
        <w:t>Intern</w:t>
      </w:r>
      <w:r>
        <w:rPr>
          <w:rFonts w:ascii="Times New Roman" w:hAnsi="Times New Roman" w:cs="Times New Roman"/>
          <w:i/>
          <w:iCs/>
          <w:spacing w:val="-26"/>
          <w:w w:val="105"/>
          <w:sz w:val="19"/>
          <w:szCs w:val="19"/>
        </w:rPr>
        <w:t xml:space="preserve"> </w:t>
      </w:r>
      <w:r>
        <w:rPr>
          <w:rFonts w:ascii="Times New Roman" w:hAnsi="Times New Roman" w:cs="Times New Roman"/>
          <w:i/>
          <w:iCs/>
          <w:w w:val="105"/>
          <w:sz w:val="19"/>
          <w:szCs w:val="19"/>
        </w:rPr>
        <w:t>Med.</w:t>
      </w:r>
      <w:r>
        <w:rPr>
          <w:rFonts w:ascii="Times New Roman" w:hAnsi="Times New Roman" w:cs="Times New Roman"/>
          <w:i/>
          <w:iCs/>
          <w:spacing w:val="-25"/>
          <w:w w:val="105"/>
          <w:sz w:val="19"/>
          <w:szCs w:val="19"/>
        </w:rPr>
        <w:t xml:space="preserve"> </w:t>
      </w:r>
      <w:r>
        <w:rPr>
          <w:rFonts w:ascii="Times New Roman" w:hAnsi="Times New Roman" w:cs="Times New Roman"/>
          <w:w w:val="105"/>
          <w:sz w:val="19"/>
          <w:szCs w:val="19"/>
        </w:rPr>
        <w:t>2015;175(2):274-286.</w:t>
      </w:r>
      <w:r>
        <w:rPr>
          <w:rFonts w:ascii="Times New Roman" w:hAnsi="Times New Roman" w:cs="Times New Roman"/>
          <w:spacing w:val="-27"/>
          <w:w w:val="105"/>
          <w:sz w:val="19"/>
          <w:szCs w:val="19"/>
        </w:rPr>
        <w:t xml:space="preserve"> </w:t>
      </w:r>
      <w:r>
        <w:rPr>
          <w:rFonts w:ascii="Times New Roman" w:hAnsi="Times New Roman" w:cs="Times New Roman"/>
          <w:w w:val="105"/>
          <w:sz w:val="19"/>
          <w:szCs w:val="19"/>
        </w:rPr>
        <w:t>doi:10.1001/jamainternmed.2014.6016.</w:t>
      </w:r>
    </w:p>
    <w:p w:rsidR="002C5025" w:rsidRDefault="002C5025">
      <w:pPr>
        <w:pStyle w:val="BodyText"/>
        <w:kinsoku w:val="0"/>
        <w:overflowPunct w:val="0"/>
        <w:spacing w:line="230" w:lineRule="exact"/>
        <w:ind w:left="143" w:right="126"/>
        <w:rPr>
          <w:rFonts w:ascii="Times New Roman" w:hAnsi="Times New Roman" w:cs="Times New Roman"/>
          <w:w w:val="105"/>
          <w:sz w:val="19"/>
          <w:szCs w:val="19"/>
        </w:rPr>
      </w:pPr>
      <w:r>
        <w:rPr>
          <w:rFonts w:ascii="Times New Roman" w:hAnsi="Times New Roman" w:cs="Times New Roman"/>
          <w:w w:val="105"/>
          <w:position w:val="9"/>
          <w:sz w:val="13"/>
          <w:szCs w:val="13"/>
        </w:rPr>
        <w:t>9</w:t>
      </w:r>
      <w:hyperlink r:id="rId270" w:history="1">
        <w:r>
          <w:rPr>
            <w:rFonts w:ascii="Times New Roman" w:hAnsi="Times New Roman" w:cs="Times New Roman"/>
            <w:w w:val="105"/>
            <w:sz w:val="19"/>
            <w:szCs w:val="19"/>
          </w:rPr>
          <w:t>http://www.beckershospitalreview.com/accountable-care-organizations/supporting-aco-success-with-meaningful-patient-</w:t>
        </w:r>
      </w:hyperlink>
    </w:p>
    <w:p w:rsidR="002C5025" w:rsidRDefault="002C5025">
      <w:pPr>
        <w:pStyle w:val="BodyText"/>
        <w:kinsoku w:val="0"/>
        <w:overflowPunct w:val="0"/>
        <w:spacing w:before="16"/>
        <w:ind w:left="143" w:right="126"/>
        <w:rPr>
          <w:rFonts w:ascii="Times New Roman" w:hAnsi="Times New Roman" w:cs="Times New Roman"/>
          <w:w w:val="105"/>
          <w:sz w:val="19"/>
          <w:szCs w:val="19"/>
        </w:rPr>
      </w:pPr>
      <w:r>
        <w:rPr>
          <w:rFonts w:ascii="Times New Roman" w:hAnsi="Times New Roman" w:cs="Times New Roman"/>
          <w:w w:val="105"/>
          <w:sz w:val="19"/>
          <w:szCs w:val="19"/>
        </w:rPr>
        <w:t>engagement.html</w:t>
      </w:r>
    </w:p>
    <w:p w:rsidR="002C5025" w:rsidRDefault="002C5025">
      <w:pPr>
        <w:pStyle w:val="BodyText"/>
        <w:kinsoku w:val="0"/>
        <w:overflowPunct w:val="0"/>
        <w:spacing w:before="3"/>
        <w:rPr>
          <w:rFonts w:ascii="Times New Roman" w:hAnsi="Times New Roman" w:cs="Times New Roman"/>
          <w:sz w:val="14"/>
          <w:szCs w:val="14"/>
        </w:rPr>
      </w:pPr>
    </w:p>
    <w:p w:rsidR="002C5025" w:rsidRDefault="00FB027C">
      <w:pPr>
        <w:pStyle w:val="BodyText"/>
        <w:kinsoku w:val="0"/>
        <w:overflowPunct w:val="0"/>
        <w:spacing w:before="76"/>
        <w:ind w:right="108"/>
        <w:jc w:val="right"/>
        <w:rPr>
          <w:rFonts w:ascii="Times New Roman" w:hAnsi="Times New Roman" w:cs="Times New Roman"/>
          <w:w w:val="99"/>
          <w:sz w:val="19"/>
          <w:szCs w:val="19"/>
        </w:rPr>
      </w:pPr>
      <w:r>
        <w:rPr>
          <w:noProof/>
        </w:rPr>
        <mc:AlternateContent>
          <mc:Choice Requires="wpg">
            <w:drawing>
              <wp:anchor distT="0" distB="0" distL="114300" distR="114300" simplePos="0" relativeHeight="251602432" behindDoc="0" locked="0" layoutInCell="0" allowOverlap="1">
                <wp:simplePos x="0" y="0"/>
                <wp:positionH relativeFrom="page">
                  <wp:posOffset>572135</wp:posOffset>
                </wp:positionH>
                <wp:positionV relativeFrom="paragraph">
                  <wp:posOffset>47625</wp:posOffset>
                </wp:positionV>
                <wp:extent cx="6410960" cy="38100"/>
                <wp:effectExtent l="0" t="0" r="0" b="0"/>
                <wp:wrapNone/>
                <wp:docPr id="683" name="Group 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0960" cy="38100"/>
                          <a:chOff x="901" y="75"/>
                          <a:chExt cx="10096" cy="60"/>
                        </a:xfrm>
                      </wpg:grpSpPr>
                      <wps:wsp>
                        <wps:cNvPr id="684" name="Freeform 340"/>
                        <wps:cNvSpPr>
                          <a:spLocks/>
                        </wps:cNvSpPr>
                        <wps:spPr bwMode="auto">
                          <a:xfrm>
                            <a:off x="917" y="84"/>
                            <a:ext cx="10065" cy="20"/>
                          </a:xfrm>
                          <a:custGeom>
                            <a:avLst/>
                            <a:gdLst>
                              <a:gd name="T0" fmla="*/ 0 w 10065"/>
                              <a:gd name="T1" fmla="*/ 0 h 20"/>
                              <a:gd name="T2" fmla="*/ 10065 w 10065"/>
                              <a:gd name="T3" fmla="*/ 0 h 20"/>
                            </a:gdLst>
                            <a:ahLst/>
                            <a:cxnLst>
                              <a:cxn ang="0">
                                <a:pos x="T0" y="T1"/>
                              </a:cxn>
                              <a:cxn ang="0">
                                <a:pos x="T2" y="T3"/>
                              </a:cxn>
                            </a:cxnLst>
                            <a:rect l="0" t="0" r="r" b="b"/>
                            <a:pathLst>
                              <a:path w="10065" h="20">
                                <a:moveTo>
                                  <a:pt x="0" y="0"/>
                                </a:moveTo>
                                <a:lnTo>
                                  <a:pt x="10065"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5" name="Freeform 341"/>
                        <wps:cNvSpPr>
                          <a:spLocks/>
                        </wps:cNvSpPr>
                        <wps:spPr bwMode="auto">
                          <a:xfrm>
                            <a:off x="917" y="106"/>
                            <a:ext cx="10065" cy="20"/>
                          </a:xfrm>
                          <a:custGeom>
                            <a:avLst/>
                            <a:gdLst>
                              <a:gd name="T0" fmla="*/ 0 w 10065"/>
                              <a:gd name="T1" fmla="*/ 0 h 20"/>
                              <a:gd name="T2" fmla="*/ 10065 w 10065"/>
                              <a:gd name="T3" fmla="*/ 0 h 20"/>
                            </a:gdLst>
                            <a:ahLst/>
                            <a:cxnLst>
                              <a:cxn ang="0">
                                <a:pos x="T0" y="T1"/>
                              </a:cxn>
                              <a:cxn ang="0">
                                <a:pos x="T2" y="T3"/>
                              </a:cxn>
                            </a:cxnLst>
                            <a:rect l="0" t="0" r="r" b="b"/>
                            <a:pathLst>
                              <a:path w="10065" h="20">
                                <a:moveTo>
                                  <a:pt x="0" y="0"/>
                                </a:moveTo>
                                <a:lnTo>
                                  <a:pt x="10065" y="0"/>
                                </a:lnTo>
                              </a:path>
                            </a:pathLst>
                          </a:custGeom>
                          <a:noFill/>
                          <a:ln w="19558">
                            <a:solidFill>
                              <a:srgbClr val="6060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6" name="Freeform 342"/>
                        <wps:cNvSpPr>
                          <a:spLocks/>
                        </wps:cNvSpPr>
                        <wps:spPr bwMode="auto">
                          <a:xfrm>
                            <a:off x="917" y="127"/>
                            <a:ext cx="10065" cy="20"/>
                          </a:xfrm>
                          <a:custGeom>
                            <a:avLst/>
                            <a:gdLst>
                              <a:gd name="T0" fmla="*/ 0 w 10065"/>
                              <a:gd name="T1" fmla="*/ 0 h 20"/>
                              <a:gd name="T2" fmla="*/ 10065 w 10065"/>
                              <a:gd name="T3" fmla="*/ 0 h 20"/>
                            </a:gdLst>
                            <a:ahLst/>
                            <a:cxnLst>
                              <a:cxn ang="0">
                                <a:pos x="T0" y="T1"/>
                              </a:cxn>
                              <a:cxn ang="0">
                                <a:pos x="T2" y="T3"/>
                              </a:cxn>
                            </a:cxnLst>
                            <a:rect l="0" t="0" r="r" b="b"/>
                            <a:pathLst>
                              <a:path w="10065" h="20">
                                <a:moveTo>
                                  <a:pt x="0" y="0"/>
                                </a:moveTo>
                                <a:lnTo>
                                  <a:pt x="10065" y="0"/>
                                </a:lnTo>
                              </a:path>
                            </a:pathLst>
                          </a:custGeom>
                          <a:noFill/>
                          <a:ln w="10414">
                            <a:solidFill>
                              <a:srgbClr val="C1C1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39" o:spid="_x0000_s1026" style="position:absolute;margin-left:45.05pt;margin-top:3.75pt;width:504.8pt;height:3pt;z-index:251602432;mso-position-horizontal-relative:page" coordorigin="901,75" coordsize="1009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" o:allowincell="f">
                <v:shape id="Freeform 340" o:spid="_x0000_s1027" style="position:absolute;left:917;top:84;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0FIcYA&#10;AADcAAAADwAAAGRycy9kb3ducmV2LnhtbESPQWvCQBSE7wX/w/KEXopuWopIdBVRKpJDIRrw+sg+&#10;k2j27ZJdNfXXdwsFj8PMfMPMl71pxY0631hW8D5OQBCXVjdcKSgOX6MpCB+QNbaWScEPeVguBi9z&#10;TLW9c063fahEhLBPUUEdgkul9GVNBv3YOuLonWxnMETZVVJ3eI9w08qPJJlIgw3HhRodrWsqL/ur&#10;UbD7Puebo3kU7qHXp8K9Zdk2z5R6HfarGYhAfXiG/9s7rWAy/YS/M/E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a0FIcYAAADcAAAADwAAAAAAAAAAAAAAAACYAgAAZHJz&#10;L2Rvd25yZXYueG1sUEsFBgAAAAAEAAQA9QAAAIsDAAAAAA==&#10;" path="m,l10065,e" filled="f" strokeweight=".82pt">
                  <v:path arrowok="t" o:connecttype="custom" o:connectlocs="0,0;10065,0" o:connectangles="0,0"/>
                </v:shape>
                <v:shape id="Freeform 341" o:spid="_x0000_s1028" style="position:absolute;left:917;top:106;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4wh8UA&#10;AADcAAAADwAAAGRycy9kb3ducmV2LnhtbESPzUoDQRCE74LvMLTgzcxGzBLWTIIGIuIlZCPisdnp&#10;/dGdnmWmTda3zwQCORZV9RW1WI2uVwcKsfNsYDrJQBFX3nbcGPjcbx7moKIgW+w9k4F/irBa3t4s&#10;sLD+yDs6lNKoBOFYoIFWZCi0jlVLDuPED8TJq31wKEmGRtuAxwR3vX7Mslw77DgttDjQuqXqt/xz&#10;Br5xY8v8qV6PP0Gm29f6S94+nDH3d+PLMyihUa7hS/vdGsjnMzifSUdA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jjCHxQAAANwAAAAPAAAAAAAAAAAAAAAAAJgCAABkcnMv&#10;ZG93bnJldi54bWxQSwUGAAAAAAQABAD1AAAAigMAAAAA&#10;" path="m,l10065,e" filled="f" strokecolor="#606060" strokeweight="1.54pt">
                  <v:path arrowok="t" o:connecttype="custom" o:connectlocs="0,0;10065,0" o:connectangles="0,0"/>
                </v:shape>
                <v:shape id="Freeform 342" o:spid="_x0000_s1029" style="position:absolute;left:917;top:127;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BNU8MA&#10;AADcAAAADwAAAGRycy9kb3ducmV2LnhtbESPwWrDMBBE74X8g9hAb42cGITrRAnFUJqr3ULxbbE2&#10;tqm1MpYSO/36qlDocZiZN8zhtNhB3GjyvWMN200CgrhxpudWw8f761MGwgdkg4Nj0nAnD6fj6uGA&#10;uXEzl3SrQisihH2OGroQxlxK33Rk0W/cSBy9i5sshiinVpoJ5wi3g9wliZIWe44LHY5UdNR8VVer&#10;oS7V5/Pb+M1pWoSyVoVt63Kn9eN6edmDCLSE//Bf+2w0qEzB75l4BOT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BNU8MAAADcAAAADwAAAAAAAAAAAAAAAACYAgAAZHJzL2Rv&#10;d25yZXYueG1sUEsFBgAAAAAEAAQA9QAAAIgDAAAAAA==&#10;" path="m,l10065,e" filled="f" strokecolor="#c1c1c1" strokeweight=".82pt">
                  <v:path arrowok="t" o:connecttype="custom" o:connectlocs="0,0;10065,0" o:connectangles="0,0"/>
                </v:shape>
                <w10:wrap anchorx="page"/>
              </v:group>
            </w:pict>
          </mc:Fallback>
        </mc:AlternateContent>
      </w:r>
      <w:r w:rsidR="002C5025">
        <w:rPr>
          <w:rFonts w:ascii="Times New Roman" w:hAnsi="Times New Roman" w:cs="Times New Roman"/>
          <w:w w:val="99"/>
          <w:sz w:val="19"/>
          <w:szCs w:val="19"/>
        </w:rPr>
        <w:t>4</w:t>
      </w:r>
    </w:p>
    <w:p w:rsidR="002C5025" w:rsidRDefault="002C5025">
      <w:pPr>
        <w:pStyle w:val="BodyText"/>
        <w:kinsoku w:val="0"/>
        <w:overflowPunct w:val="0"/>
        <w:spacing w:before="109" w:line="244" w:lineRule="auto"/>
        <w:ind w:left="642" w:right="773" w:hanging="348"/>
        <w:rPr>
          <w:rFonts w:ascii="Cambria" w:hAnsi="Cambria" w:cs="Cambria"/>
          <w:i/>
          <w:iCs/>
          <w:w w:val="105"/>
          <w:sz w:val="19"/>
          <w:szCs w:val="19"/>
        </w:rPr>
      </w:pPr>
      <w:r>
        <w:rPr>
          <w:rFonts w:ascii="Cambria" w:hAnsi="Cambria" w:cs="Cambria"/>
          <w:i/>
          <w:iCs/>
          <w:w w:val="105"/>
          <w:sz w:val="19"/>
          <w:szCs w:val="19"/>
        </w:rPr>
        <w:t>Doctors</w:t>
      </w:r>
      <w:r>
        <w:rPr>
          <w:rFonts w:ascii="Cambria" w:hAnsi="Cambria" w:cs="Cambria"/>
          <w:i/>
          <w:iCs/>
          <w:spacing w:val="-10"/>
          <w:w w:val="105"/>
          <w:sz w:val="19"/>
          <w:szCs w:val="19"/>
        </w:rPr>
        <w:t xml:space="preserve"> </w:t>
      </w:r>
      <w:r>
        <w:rPr>
          <w:rFonts w:ascii="Cambria" w:hAnsi="Cambria" w:cs="Cambria"/>
          <w:i/>
          <w:iCs/>
          <w:w w:val="105"/>
          <w:sz w:val="19"/>
          <w:szCs w:val="19"/>
        </w:rPr>
        <w:t>for</w:t>
      </w:r>
      <w:r>
        <w:rPr>
          <w:rFonts w:ascii="Cambria" w:hAnsi="Cambria" w:cs="Cambria"/>
          <w:i/>
          <w:iCs/>
          <w:spacing w:val="-13"/>
          <w:w w:val="105"/>
          <w:sz w:val="19"/>
          <w:szCs w:val="19"/>
        </w:rPr>
        <w:t xml:space="preserve"> </w:t>
      </w:r>
      <w:r>
        <w:rPr>
          <w:rFonts w:ascii="Cambria" w:hAnsi="Cambria" w:cs="Cambria"/>
          <w:i/>
          <w:iCs/>
          <w:w w:val="105"/>
          <w:sz w:val="19"/>
          <w:szCs w:val="19"/>
        </w:rPr>
        <w:t>America</w:t>
      </w:r>
      <w:r>
        <w:rPr>
          <w:rFonts w:ascii="Cambria" w:hAnsi="Cambria" w:cs="Cambria"/>
          <w:i/>
          <w:iCs/>
          <w:spacing w:val="-12"/>
          <w:w w:val="105"/>
          <w:sz w:val="19"/>
          <w:szCs w:val="19"/>
        </w:rPr>
        <w:t xml:space="preserve"> </w:t>
      </w:r>
      <w:r>
        <w:rPr>
          <w:rFonts w:ascii="Cambria" w:hAnsi="Cambria" w:cs="Cambria"/>
          <w:i/>
          <w:iCs/>
          <w:w w:val="105"/>
          <w:sz w:val="19"/>
          <w:szCs w:val="19"/>
        </w:rPr>
        <w:t>is</w:t>
      </w:r>
      <w:r>
        <w:rPr>
          <w:rFonts w:ascii="Cambria" w:hAnsi="Cambria" w:cs="Cambria"/>
          <w:i/>
          <w:iCs/>
          <w:spacing w:val="-13"/>
          <w:w w:val="105"/>
          <w:sz w:val="19"/>
          <w:szCs w:val="19"/>
        </w:rPr>
        <w:t xml:space="preserve"> </w:t>
      </w:r>
      <w:r>
        <w:rPr>
          <w:rFonts w:ascii="Cambria" w:hAnsi="Cambria" w:cs="Cambria"/>
          <w:i/>
          <w:iCs/>
          <w:w w:val="105"/>
          <w:sz w:val="19"/>
          <w:szCs w:val="19"/>
        </w:rPr>
        <w:t>a</w:t>
      </w:r>
      <w:r>
        <w:rPr>
          <w:rFonts w:ascii="Cambria" w:hAnsi="Cambria" w:cs="Cambria"/>
          <w:i/>
          <w:iCs/>
          <w:spacing w:val="-10"/>
          <w:w w:val="105"/>
          <w:sz w:val="19"/>
          <w:szCs w:val="19"/>
        </w:rPr>
        <w:t xml:space="preserve"> </w:t>
      </w:r>
      <w:r>
        <w:rPr>
          <w:rFonts w:ascii="Cambria" w:hAnsi="Cambria" w:cs="Cambria"/>
          <w:i/>
          <w:iCs/>
          <w:w w:val="105"/>
          <w:sz w:val="19"/>
          <w:szCs w:val="19"/>
        </w:rPr>
        <w:t>501(c)(3)</w:t>
      </w:r>
      <w:r>
        <w:rPr>
          <w:rFonts w:ascii="Cambria" w:hAnsi="Cambria" w:cs="Cambria"/>
          <w:i/>
          <w:iCs/>
          <w:spacing w:val="-13"/>
          <w:w w:val="105"/>
          <w:sz w:val="19"/>
          <w:szCs w:val="19"/>
        </w:rPr>
        <w:t xml:space="preserve"> </w:t>
      </w:r>
      <w:r>
        <w:rPr>
          <w:rFonts w:ascii="Cambria" w:hAnsi="Cambria" w:cs="Cambria"/>
          <w:i/>
          <w:iCs/>
          <w:w w:val="105"/>
          <w:sz w:val="19"/>
          <w:szCs w:val="19"/>
        </w:rPr>
        <w:t>national</w:t>
      </w:r>
      <w:r>
        <w:rPr>
          <w:rFonts w:ascii="Cambria" w:hAnsi="Cambria" w:cs="Cambria"/>
          <w:i/>
          <w:iCs/>
          <w:spacing w:val="-11"/>
          <w:w w:val="105"/>
          <w:sz w:val="19"/>
          <w:szCs w:val="19"/>
        </w:rPr>
        <w:t xml:space="preserve"> </w:t>
      </w:r>
      <w:r>
        <w:rPr>
          <w:rFonts w:ascii="Cambria" w:hAnsi="Cambria" w:cs="Cambria"/>
          <w:i/>
          <w:iCs/>
          <w:w w:val="105"/>
          <w:sz w:val="19"/>
          <w:szCs w:val="19"/>
        </w:rPr>
        <w:t>movement</w:t>
      </w:r>
      <w:r>
        <w:rPr>
          <w:rFonts w:ascii="Cambria" w:hAnsi="Cambria" w:cs="Cambria"/>
          <w:i/>
          <w:iCs/>
          <w:spacing w:val="-10"/>
          <w:w w:val="105"/>
          <w:sz w:val="19"/>
          <w:szCs w:val="19"/>
        </w:rPr>
        <w:t xml:space="preserve"> </w:t>
      </w:r>
      <w:r>
        <w:rPr>
          <w:rFonts w:ascii="Cambria" w:hAnsi="Cambria" w:cs="Cambria"/>
          <w:i/>
          <w:iCs/>
          <w:w w:val="105"/>
          <w:sz w:val="19"/>
          <w:szCs w:val="19"/>
        </w:rPr>
        <w:t>that</w:t>
      </w:r>
      <w:r>
        <w:rPr>
          <w:rFonts w:ascii="Cambria" w:hAnsi="Cambria" w:cs="Cambria"/>
          <w:i/>
          <w:iCs/>
          <w:spacing w:val="-13"/>
          <w:w w:val="105"/>
          <w:sz w:val="19"/>
          <w:szCs w:val="19"/>
        </w:rPr>
        <w:t xml:space="preserve"> </w:t>
      </w:r>
      <w:r>
        <w:rPr>
          <w:rFonts w:ascii="Cambria" w:hAnsi="Cambria" w:cs="Cambria"/>
          <w:i/>
          <w:iCs/>
          <w:w w:val="105"/>
          <w:sz w:val="19"/>
          <w:szCs w:val="19"/>
        </w:rPr>
        <w:t>mobilizes</w:t>
      </w:r>
      <w:r>
        <w:rPr>
          <w:rFonts w:ascii="Cambria" w:hAnsi="Cambria" w:cs="Cambria"/>
          <w:i/>
          <w:iCs/>
          <w:spacing w:val="-10"/>
          <w:w w:val="105"/>
          <w:sz w:val="19"/>
          <w:szCs w:val="19"/>
        </w:rPr>
        <w:t xml:space="preserve"> </w:t>
      </w:r>
      <w:r>
        <w:rPr>
          <w:rFonts w:ascii="Cambria" w:hAnsi="Cambria" w:cs="Cambria"/>
          <w:i/>
          <w:iCs/>
          <w:w w:val="105"/>
          <w:sz w:val="19"/>
          <w:szCs w:val="19"/>
        </w:rPr>
        <w:t>physicians</w:t>
      </w:r>
      <w:r>
        <w:rPr>
          <w:rFonts w:ascii="Cambria" w:hAnsi="Cambria" w:cs="Cambria"/>
          <w:i/>
          <w:iCs/>
          <w:spacing w:val="-13"/>
          <w:w w:val="105"/>
          <w:sz w:val="19"/>
          <w:szCs w:val="19"/>
        </w:rPr>
        <w:t xml:space="preserve"> </w:t>
      </w:r>
      <w:r>
        <w:rPr>
          <w:rFonts w:ascii="Cambria" w:hAnsi="Cambria" w:cs="Cambria"/>
          <w:i/>
          <w:iCs/>
          <w:w w:val="105"/>
          <w:sz w:val="19"/>
          <w:szCs w:val="19"/>
        </w:rPr>
        <w:t>and</w:t>
      </w:r>
      <w:r>
        <w:rPr>
          <w:rFonts w:ascii="Cambria" w:hAnsi="Cambria" w:cs="Cambria"/>
          <w:i/>
          <w:iCs/>
          <w:spacing w:val="-12"/>
          <w:w w:val="105"/>
          <w:sz w:val="19"/>
          <w:szCs w:val="19"/>
        </w:rPr>
        <w:t xml:space="preserve"> </w:t>
      </w:r>
      <w:r>
        <w:rPr>
          <w:rFonts w:ascii="Cambria" w:hAnsi="Cambria" w:cs="Cambria"/>
          <w:i/>
          <w:iCs/>
          <w:w w:val="105"/>
          <w:sz w:val="19"/>
          <w:szCs w:val="19"/>
        </w:rPr>
        <w:t>medical</w:t>
      </w:r>
      <w:r>
        <w:rPr>
          <w:rFonts w:ascii="Cambria" w:hAnsi="Cambria" w:cs="Cambria"/>
          <w:i/>
          <w:iCs/>
          <w:spacing w:val="-14"/>
          <w:w w:val="105"/>
          <w:sz w:val="19"/>
          <w:szCs w:val="19"/>
        </w:rPr>
        <w:t xml:space="preserve"> </w:t>
      </w:r>
      <w:r>
        <w:rPr>
          <w:rFonts w:ascii="Cambria" w:hAnsi="Cambria" w:cs="Cambria"/>
          <w:i/>
          <w:iCs/>
          <w:w w:val="105"/>
          <w:sz w:val="19"/>
          <w:szCs w:val="19"/>
        </w:rPr>
        <w:t>students</w:t>
      </w:r>
      <w:r>
        <w:rPr>
          <w:rFonts w:ascii="Cambria" w:hAnsi="Cambria" w:cs="Cambria"/>
          <w:i/>
          <w:iCs/>
          <w:spacing w:val="-13"/>
          <w:w w:val="105"/>
          <w:sz w:val="19"/>
          <w:szCs w:val="19"/>
        </w:rPr>
        <w:t xml:space="preserve"> </w:t>
      </w:r>
      <w:r>
        <w:rPr>
          <w:rFonts w:ascii="Cambria" w:hAnsi="Cambria" w:cs="Cambria"/>
          <w:i/>
          <w:iCs/>
          <w:w w:val="105"/>
          <w:sz w:val="19"/>
          <w:szCs w:val="19"/>
        </w:rPr>
        <w:t>to</w:t>
      </w:r>
      <w:r>
        <w:rPr>
          <w:rFonts w:ascii="Cambria" w:hAnsi="Cambria" w:cs="Cambria"/>
          <w:i/>
          <w:iCs/>
          <w:spacing w:val="-14"/>
          <w:w w:val="105"/>
          <w:sz w:val="19"/>
          <w:szCs w:val="19"/>
        </w:rPr>
        <w:t xml:space="preserve"> </w:t>
      </w:r>
      <w:r>
        <w:rPr>
          <w:rFonts w:ascii="Cambria" w:hAnsi="Cambria" w:cs="Cambria"/>
          <w:i/>
          <w:iCs/>
          <w:w w:val="105"/>
          <w:sz w:val="19"/>
          <w:szCs w:val="19"/>
        </w:rPr>
        <w:t>put</w:t>
      </w:r>
      <w:r>
        <w:rPr>
          <w:rFonts w:ascii="Cambria" w:hAnsi="Cambria" w:cs="Cambria"/>
          <w:i/>
          <w:iCs/>
          <w:spacing w:val="-13"/>
          <w:w w:val="105"/>
          <w:sz w:val="19"/>
          <w:szCs w:val="19"/>
        </w:rPr>
        <w:t xml:space="preserve"> </w:t>
      </w:r>
      <w:r>
        <w:rPr>
          <w:rFonts w:ascii="Cambria" w:hAnsi="Cambria" w:cs="Cambria"/>
          <w:i/>
          <w:iCs/>
          <w:w w:val="105"/>
          <w:sz w:val="19"/>
          <w:szCs w:val="19"/>
        </w:rPr>
        <w:t>patients over</w:t>
      </w:r>
      <w:r>
        <w:rPr>
          <w:rFonts w:ascii="Cambria" w:hAnsi="Cambria" w:cs="Cambria"/>
          <w:i/>
          <w:iCs/>
          <w:spacing w:val="-10"/>
          <w:w w:val="105"/>
          <w:sz w:val="19"/>
          <w:szCs w:val="19"/>
        </w:rPr>
        <w:t xml:space="preserve"> </w:t>
      </w:r>
      <w:r>
        <w:rPr>
          <w:rFonts w:ascii="Cambria" w:hAnsi="Cambria" w:cs="Cambria"/>
          <w:i/>
          <w:iCs/>
          <w:w w:val="105"/>
          <w:sz w:val="19"/>
          <w:szCs w:val="19"/>
        </w:rPr>
        <w:t>politics</w:t>
      </w:r>
      <w:r>
        <w:rPr>
          <w:rFonts w:ascii="Cambria" w:hAnsi="Cambria" w:cs="Cambria"/>
          <w:i/>
          <w:iCs/>
          <w:spacing w:val="-9"/>
          <w:w w:val="105"/>
          <w:sz w:val="19"/>
          <w:szCs w:val="19"/>
        </w:rPr>
        <w:t xml:space="preserve"> </w:t>
      </w:r>
      <w:r>
        <w:rPr>
          <w:rFonts w:ascii="Cambria" w:hAnsi="Cambria" w:cs="Cambria"/>
          <w:i/>
          <w:iCs/>
          <w:w w:val="105"/>
          <w:sz w:val="19"/>
          <w:szCs w:val="19"/>
        </w:rPr>
        <w:t>on</w:t>
      </w:r>
      <w:r>
        <w:rPr>
          <w:rFonts w:ascii="Cambria" w:hAnsi="Cambria" w:cs="Cambria"/>
          <w:i/>
          <w:iCs/>
          <w:spacing w:val="-11"/>
          <w:w w:val="105"/>
          <w:sz w:val="19"/>
          <w:szCs w:val="19"/>
        </w:rPr>
        <w:t xml:space="preserve"> </w:t>
      </w:r>
      <w:r>
        <w:rPr>
          <w:rFonts w:ascii="Cambria" w:hAnsi="Cambria" w:cs="Cambria"/>
          <w:i/>
          <w:iCs/>
          <w:w w:val="105"/>
          <w:sz w:val="19"/>
          <w:szCs w:val="19"/>
        </w:rPr>
        <w:t>the</w:t>
      </w:r>
      <w:r>
        <w:rPr>
          <w:rFonts w:ascii="Cambria" w:hAnsi="Cambria" w:cs="Cambria"/>
          <w:i/>
          <w:iCs/>
          <w:spacing w:val="-10"/>
          <w:w w:val="105"/>
          <w:sz w:val="19"/>
          <w:szCs w:val="19"/>
        </w:rPr>
        <w:t xml:space="preserve"> </w:t>
      </w:r>
      <w:r>
        <w:rPr>
          <w:rFonts w:ascii="Cambria" w:hAnsi="Cambria" w:cs="Cambria"/>
          <w:i/>
          <w:iCs/>
          <w:w w:val="105"/>
          <w:sz w:val="19"/>
          <w:szCs w:val="19"/>
        </w:rPr>
        <w:t>pressing</w:t>
      </w:r>
      <w:r>
        <w:rPr>
          <w:rFonts w:ascii="Cambria" w:hAnsi="Cambria" w:cs="Cambria"/>
          <w:i/>
          <w:iCs/>
          <w:spacing w:val="-9"/>
          <w:w w:val="105"/>
          <w:sz w:val="19"/>
          <w:szCs w:val="19"/>
        </w:rPr>
        <w:t xml:space="preserve"> </w:t>
      </w:r>
      <w:r>
        <w:rPr>
          <w:rFonts w:ascii="Cambria" w:hAnsi="Cambria" w:cs="Cambria"/>
          <w:i/>
          <w:iCs/>
          <w:w w:val="105"/>
          <w:sz w:val="19"/>
          <w:szCs w:val="19"/>
        </w:rPr>
        <w:t>issues</w:t>
      </w:r>
      <w:r>
        <w:rPr>
          <w:rFonts w:ascii="Cambria" w:hAnsi="Cambria" w:cs="Cambria"/>
          <w:i/>
          <w:iCs/>
          <w:spacing w:val="-9"/>
          <w:w w:val="105"/>
          <w:sz w:val="19"/>
          <w:szCs w:val="19"/>
        </w:rPr>
        <w:t xml:space="preserve"> </w:t>
      </w:r>
      <w:r>
        <w:rPr>
          <w:rFonts w:ascii="Cambria" w:hAnsi="Cambria" w:cs="Cambria"/>
          <w:i/>
          <w:iCs/>
          <w:w w:val="105"/>
          <w:sz w:val="19"/>
          <w:szCs w:val="19"/>
        </w:rPr>
        <w:t>of</w:t>
      </w:r>
      <w:r>
        <w:rPr>
          <w:rFonts w:ascii="Cambria" w:hAnsi="Cambria" w:cs="Cambria"/>
          <w:i/>
          <w:iCs/>
          <w:spacing w:val="-11"/>
          <w:w w:val="105"/>
          <w:sz w:val="19"/>
          <w:szCs w:val="19"/>
        </w:rPr>
        <w:t xml:space="preserve"> </w:t>
      </w:r>
      <w:r>
        <w:rPr>
          <w:rFonts w:ascii="Cambria" w:hAnsi="Cambria" w:cs="Cambria"/>
          <w:i/>
          <w:iCs/>
          <w:w w:val="105"/>
          <w:sz w:val="19"/>
          <w:szCs w:val="19"/>
        </w:rPr>
        <w:t>the</w:t>
      </w:r>
      <w:r>
        <w:rPr>
          <w:rFonts w:ascii="Cambria" w:hAnsi="Cambria" w:cs="Cambria"/>
          <w:i/>
          <w:iCs/>
          <w:spacing w:val="-10"/>
          <w:w w:val="105"/>
          <w:sz w:val="19"/>
          <w:szCs w:val="19"/>
        </w:rPr>
        <w:t xml:space="preserve"> </w:t>
      </w:r>
      <w:r>
        <w:rPr>
          <w:rFonts w:ascii="Cambria" w:hAnsi="Cambria" w:cs="Cambria"/>
          <w:i/>
          <w:iCs/>
          <w:w w:val="105"/>
          <w:sz w:val="19"/>
          <w:szCs w:val="19"/>
        </w:rPr>
        <w:t>day</w:t>
      </w:r>
      <w:r>
        <w:rPr>
          <w:rFonts w:ascii="Cambria" w:hAnsi="Cambria" w:cs="Cambria"/>
          <w:i/>
          <w:iCs/>
          <w:spacing w:val="-10"/>
          <w:w w:val="105"/>
          <w:sz w:val="19"/>
          <w:szCs w:val="19"/>
        </w:rPr>
        <w:t xml:space="preserve"> </w:t>
      </w:r>
      <w:r>
        <w:rPr>
          <w:rFonts w:ascii="Cambria" w:hAnsi="Cambria" w:cs="Cambria"/>
          <w:i/>
          <w:iCs/>
          <w:w w:val="105"/>
          <w:sz w:val="19"/>
          <w:szCs w:val="19"/>
        </w:rPr>
        <w:t>to</w:t>
      </w:r>
      <w:r>
        <w:rPr>
          <w:rFonts w:ascii="Cambria" w:hAnsi="Cambria" w:cs="Cambria"/>
          <w:i/>
          <w:iCs/>
          <w:spacing w:val="-10"/>
          <w:w w:val="105"/>
          <w:sz w:val="19"/>
          <w:szCs w:val="19"/>
        </w:rPr>
        <w:t xml:space="preserve"> </w:t>
      </w:r>
      <w:r>
        <w:rPr>
          <w:rFonts w:ascii="Cambria" w:hAnsi="Cambria" w:cs="Cambria"/>
          <w:i/>
          <w:iCs/>
          <w:w w:val="105"/>
          <w:sz w:val="19"/>
          <w:szCs w:val="19"/>
        </w:rPr>
        <w:t>improve</w:t>
      </w:r>
      <w:r>
        <w:rPr>
          <w:rFonts w:ascii="Cambria" w:hAnsi="Cambria" w:cs="Cambria"/>
          <w:i/>
          <w:iCs/>
          <w:spacing w:val="-10"/>
          <w:w w:val="105"/>
          <w:sz w:val="19"/>
          <w:szCs w:val="19"/>
        </w:rPr>
        <w:t xml:space="preserve"> </w:t>
      </w:r>
      <w:r>
        <w:rPr>
          <w:rFonts w:ascii="Cambria" w:hAnsi="Cambria" w:cs="Cambria"/>
          <w:i/>
          <w:iCs/>
          <w:w w:val="105"/>
          <w:sz w:val="19"/>
          <w:szCs w:val="19"/>
        </w:rPr>
        <w:t>the</w:t>
      </w:r>
      <w:r>
        <w:rPr>
          <w:rFonts w:ascii="Cambria" w:hAnsi="Cambria" w:cs="Cambria"/>
          <w:i/>
          <w:iCs/>
          <w:spacing w:val="-10"/>
          <w:w w:val="105"/>
          <w:sz w:val="19"/>
          <w:szCs w:val="19"/>
        </w:rPr>
        <w:t xml:space="preserve"> </w:t>
      </w:r>
      <w:r>
        <w:rPr>
          <w:rFonts w:ascii="Cambria" w:hAnsi="Cambria" w:cs="Cambria"/>
          <w:i/>
          <w:iCs/>
          <w:w w:val="105"/>
          <w:sz w:val="19"/>
          <w:szCs w:val="19"/>
        </w:rPr>
        <w:t>health</w:t>
      </w:r>
      <w:r>
        <w:rPr>
          <w:rFonts w:ascii="Cambria" w:hAnsi="Cambria" w:cs="Cambria"/>
          <w:i/>
          <w:iCs/>
          <w:spacing w:val="-10"/>
          <w:w w:val="105"/>
          <w:sz w:val="19"/>
          <w:szCs w:val="19"/>
        </w:rPr>
        <w:t xml:space="preserve"> </w:t>
      </w:r>
      <w:r>
        <w:rPr>
          <w:rFonts w:ascii="Cambria" w:hAnsi="Cambria" w:cs="Cambria"/>
          <w:i/>
          <w:iCs/>
          <w:w w:val="105"/>
          <w:sz w:val="19"/>
          <w:szCs w:val="19"/>
        </w:rPr>
        <w:t>of</w:t>
      </w:r>
      <w:r>
        <w:rPr>
          <w:rFonts w:ascii="Cambria" w:hAnsi="Cambria" w:cs="Cambria"/>
          <w:i/>
          <w:iCs/>
          <w:spacing w:val="-11"/>
          <w:w w:val="105"/>
          <w:sz w:val="19"/>
          <w:szCs w:val="19"/>
        </w:rPr>
        <w:t xml:space="preserve"> </w:t>
      </w:r>
      <w:r>
        <w:rPr>
          <w:rFonts w:ascii="Cambria" w:hAnsi="Cambria" w:cs="Cambria"/>
          <w:i/>
          <w:iCs/>
          <w:w w:val="105"/>
          <w:sz w:val="19"/>
          <w:szCs w:val="19"/>
        </w:rPr>
        <w:t>our</w:t>
      </w:r>
      <w:r>
        <w:rPr>
          <w:rFonts w:ascii="Cambria" w:hAnsi="Cambria" w:cs="Cambria"/>
          <w:i/>
          <w:iCs/>
          <w:spacing w:val="-10"/>
          <w:w w:val="105"/>
          <w:sz w:val="19"/>
          <w:szCs w:val="19"/>
        </w:rPr>
        <w:t xml:space="preserve"> </w:t>
      </w:r>
      <w:r>
        <w:rPr>
          <w:rFonts w:ascii="Cambria" w:hAnsi="Cambria" w:cs="Cambria"/>
          <w:i/>
          <w:iCs/>
          <w:w w:val="105"/>
          <w:sz w:val="19"/>
          <w:szCs w:val="19"/>
        </w:rPr>
        <w:t>patients,</w:t>
      </w:r>
      <w:r>
        <w:rPr>
          <w:rFonts w:ascii="Cambria" w:hAnsi="Cambria" w:cs="Cambria"/>
          <w:i/>
          <w:iCs/>
          <w:spacing w:val="-12"/>
          <w:w w:val="105"/>
          <w:sz w:val="19"/>
          <w:szCs w:val="19"/>
        </w:rPr>
        <w:t xml:space="preserve"> </w:t>
      </w:r>
      <w:r>
        <w:rPr>
          <w:rFonts w:ascii="Cambria" w:hAnsi="Cambria" w:cs="Cambria"/>
          <w:i/>
          <w:iCs/>
          <w:w w:val="105"/>
          <w:sz w:val="19"/>
          <w:szCs w:val="19"/>
        </w:rPr>
        <w:t>communities,</w:t>
      </w:r>
      <w:r>
        <w:rPr>
          <w:rFonts w:ascii="Cambria" w:hAnsi="Cambria" w:cs="Cambria"/>
          <w:i/>
          <w:iCs/>
          <w:spacing w:val="-9"/>
          <w:w w:val="105"/>
          <w:sz w:val="19"/>
          <w:szCs w:val="19"/>
        </w:rPr>
        <w:t xml:space="preserve"> </w:t>
      </w:r>
      <w:r>
        <w:rPr>
          <w:rFonts w:ascii="Cambria" w:hAnsi="Cambria" w:cs="Cambria"/>
          <w:i/>
          <w:iCs/>
          <w:w w:val="105"/>
          <w:sz w:val="19"/>
          <w:szCs w:val="19"/>
        </w:rPr>
        <w:t>and</w:t>
      </w:r>
      <w:r>
        <w:rPr>
          <w:rFonts w:ascii="Cambria" w:hAnsi="Cambria" w:cs="Cambria"/>
          <w:i/>
          <w:iCs/>
          <w:spacing w:val="-11"/>
          <w:w w:val="105"/>
          <w:sz w:val="19"/>
          <w:szCs w:val="19"/>
        </w:rPr>
        <w:t xml:space="preserve"> </w:t>
      </w:r>
      <w:r>
        <w:rPr>
          <w:rFonts w:ascii="Cambria" w:hAnsi="Cambria" w:cs="Cambria"/>
          <w:i/>
          <w:iCs/>
          <w:w w:val="105"/>
          <w:sz w:val="19"/>
          <w:szCs w:val="19"/>
        </w:rPr>
        <w:t>nation..</w:t>
      </w:r>
    </w:p>
    <w:p w:rsidR="002C5025" w:rsidRDefault="002C5025">
      <w:pPr>
        <w:pStyle w:val="BodyText"/>
        <w:kinsoku w:val="0"/>
        <w:overflowPunct w:val="0"/>
        <w:spacing w:before="109" w:line="244" w:lineRule="auto"/>
        <w:ind w:left="642" w:right="773" w:hanging="348"/>
        <w:rPr>
          <w:rFonts w:ascii="Cambria" w:hAnsi="Cambria" w:cs="Cambria"/>
          <w:i/>
          <w:iCs/>
          <w:w w:val="105"/>
          <w:sz w:val="19"/>
          <w:szCs w:val="19"/>
        </w:rPr>
        <w:sectPr w:rsidR="002C5025">
          <w:pgSz w:w="12240" w:h="15840"/>
          <w:pgMar w:top="940" w:right="820" w:bottom="280" w:left="800" w:header="720" w:footer="720" w:gutter="0"/>
          <w:pgBorders w:offsetFrom="page">
            <w:top w:val="single" w:sz="24" w:space="24" w:color="213957"/>
            <w:left w:val="single" w:sz="24" w:space="24" w:color="213957"/>
            <w:bottom w:val="single" w:sz="24" w:space="24" w:color="213957"/>
            <w:right w:val="single" w:sz="24" w:space="24" w:color="213957"/>
          </w:pgBorders>
          <w:cols w:space="720"/>
          <w:noEndnote/>
        </w:sectPr>
      </w:pPr>
    </w:p>
    <w:p w:rsidR="002C5025" w:rsidRDefault="002C5025">
      <w:pPr>
        <w:pStyle w:val="BodyText"/>
        <w:kinsoku w:val="0"/>
        <w:overflowPunct w:val="0"/>
        <w:spacing w:before="57"/>
        <w:ind w:left="143" w:right="126"/>
        <w:rPr>
          <w:rFonts w:ascii="Times New Roman" w:hAnsi="Times New Roman" w:cs="Times New Roman"/>
          <w:b/>
          <w:bCs/>
          <w:sz w:val="24"/>
          <w:szCs w:val="24"/>
        </w:rPr>
      </w:pPr>
      <w:bookmarkStart w:id="125" w:name="Attribution_Methodology_and_Continuity_o"/>
      <w:bookmarkEnd w:id="125"/>
      <w:r>
        <w:rPr>
          <w:rFonts w:ascii="Times New Roman" w:hAnsi="Times New Roman" w:cs="Times New Roman"/>
          <w:b/>
          <w:bCs/>
          <w:sz w:val="24"/>
          <w:szCs w:val="24"/>
        </w:rPr>
        <w:lastRenderedPageBreak/>
        <w:t>Attribution Methodology and Continuity of Coverage</w:t>
      </w:r>
    </w:p>
    <w:p w:rsidR="002C5025" w:rsidRDefault="002C5025">
      <w:pPr>
        <w:pStyle w:val="BodyText"/>
        <w:kinsoku w:val="0"/>
        <w:overflowPunct w:val="0"/>
        <w:spacing w:before="7"/>
        <w:rPr>
          <w:rFonts w:ascii="Times New Roman" w:hAnsi="Times New Roman" w:cs="Times New Roman"/>
          <w:b/>
          <w:bCs/>
          <w:sz w:val="30"/>
          <w:szCs w:val="30"/>
        </w:rPr>
      </w:pPr>
    </w:p>
    <w:p w:rsidR="002C5025" w:rsidRDefault="002C5025">
      <w:pPr>
        <w:pStyle w:val="BodyText"/>
        <w:kinsoku w:val="0"/>
        <w:overflowPunct w:val="0"/>
        <w:spacing w:before="1" w:line="268" w:lineRule="auto"/>
        <w:ind w:left="143" w:right="186"/>
        <w:rPr>
          <w:rFonts w:ascii="Times New Roman" w:hAnsi="Times New Roman" w:cs="Times New Roman"/>
          <w:position w:val="11"/>
          <w:sz w:val="16"/>
          <w:szCs w:val="16"/>
        </w:rPr>
      </w:pPr>
      <w:r>
        <w:rPr>
          <w:rFonts w:ascii="Times New Roman" w:hAnsi="Times New Roman" w:cs="Times New Roman"/>
          <w:sz w:val="24"/>
          <w:szCs w:val="24"/>
        </w:rPr>
        <w:t>A key aspect of accountability is attribution of a patient to a specific primary care provider, medical home, or ACO. This is challenging in a population that has frequent changes in eligibility which leads to “churn”, or several change in insurance status or type within a 12-month period. In the U.S., over 7% of children have discontinuous coverage in the year. Another study found that over 40% of adults have change in eligibility over a 12-month period</w:t>
      </w:r>
      <w:r>
        <w:rPr>
          <w:rFonts w:ascii="Times New Roman" w:hAnsi="Times New Roman" w:cs="Times New Roman"/>
          <w:position w:val="11"/>
          <w:sz w:val="16"/>
          <w:szCs w:val="16"/>
        </w:rPr>
        <w:t>10</w:t>
      </w:r>
    </w:p>
    <w:p w:rsidR="002C5025" w:rsidRDefault="002C5025">
      <w:pPr>
        <w:pStyle w:val="BodyText"/>
        <w:kinsoku w:val="0"/>
        <w:overflowPunct w:val="0"/>
        <w:spacing w:before="8"/>
        <w:rPr>
          <w:rFonts w:ascii="Times New Roman" w:hAnsi="Times New Roman" w:cs="Times New Roman"/>
          <w:sz w:val="27"/>
          <w:szCs w:val="27"/>
        </w:rPr>
      </w:pPr>
    </w:p>
    <w:p w:rsidR="002C5025" w:rsidRDefault="002C5025">
      <w:pPr>
        <w:pStyle w:val="BodyText"/>
        <w:kinsoku w:val="0"/>
        <w:overflowPunct w:val="0"/>
        <w:spacing w:line="268" w:lineRule="auto"/>
        <w:ind w:left="143" w:right="92"/>
        <w:rPr>
          <w:rFonts w:ascii="Times New Roman" w:hAnsi="Times New Roman" w:cs="Times New Roman"/>
          <w:sz w:val="24"/>
          <w:szCs w:val="24"/>
        </w:rPr>
      </w:pPr>
      <w:r>
        <w:rPr>
          <w:rFonts w:ascii="Times New Roman" w:hAnsi="Times New Roman" w:cs="Times New Roman"/>
          <w:sz w:val="24"/>
          <w:szCs w:val="24"/>
        </w:rPr>
        <w:t>Even a 1-2 month disruption in coverage has been shown to lead to delayed or missed care, cause pent up need, and change utilization patterns. In the Medicaid population specifically, such seemingly brief gaps result in missed medication doses, missed care, and increased emergency room visits.</w:t>
      </w:r>
      <w:r>
        <w:rPr>
          <w:rFonts w:ascii="Times New Roman" w:hAnsi="Times New Roman" w:cs="Times New Roman"/>
          <w:position w:val="11"/>
          <w:sz w:val="16"/>
          <w:szCs w:val="16"/>
        </w:rPr>
        <w:t xml:space="preserve">11 </w:t>
      </w:r>
      <w:r>
        <w:rPr>
          <w:rFonts w:ascii="Times New Roman" w:hAnsi="Times New Roman" w:cs="Times New Roman"/>
          <w:sz w:val="24"/>
          <w:szCs w:val="24"/>
        </w:rPr>
        <w:t>A loss of MassHealth coverage for as little as 1 month could have significant impact on preventable utilization like ED visits, hospitalizations, or other performance targets measured by an ACO quality slate for which ACOs are at risk.</w:t>
      </w:r>
    </w:p>
    <w:p w:rsidR="002C5025" w:rsidRDefault="002C5025">
      <w:pPr>
        <w:pStyle w:val="BodyText"/>
        <w:kinsoku w:val="0"/>
        <w:overflowPunct w:val="0"/>
        <w:spacing w:before="6"/>
        <w:rPr>
          <w:rFonts w:ascii="Times New Roman" w:hAnsi="Times New Roman" w:cs="Times New Roman"/>
          <w:sz w:val="28"/>
          <w:szCs w:val="28"/>
        </w:rPr>
      </w:pPr>
    </w:p>
    <w:p w:rsidR="002C5025" w:rsidRDefault="002C5025">
      <w:pPr>
        <w:pStyle w:val="BodyText"/>
        <w:kinsoku w:val="0"/>
        <w:overflowPunct w:val="0"/>
        <w:spacing w:line="276" w:lineRule="auto"/>
        <w:ind w:left="143" w:right="253"/>
        <w:rPr>
          <w:rFonts w:ascii="Times New Roman" w:hAnsi="Times New Roman" w:cs="Times New Roman"/>
          <w:sz w:val="24"/>
          <w:szCs w:val="24"/>
        </w:rPr>
      </w:pPr>
      <w:r>
        <w:rPr>
          <w:rFonts w:ascii="Times New Roman" w:hAnsi="Times New Roman" w:cs="Times New Roman"/>
          <w:sz w:val="24"/>
          <w:szCs w:val="24"/>
        </w:rPr>
        <w:t>Therefore, attribution that does not account for such gaps in coverage and resulting changes in care or health could unduly penalize providers or ACOs. Specifically, when a care relationship is disrupted by insurance status or type change, the resulting outcomes would not be related to the attributed provider’s or ACO’s quality of care but to due to coverage disruption. Any attribution methodology must also include a measure of churn and health care coverage disruption and to adjust for this.</w:t>
      </w:r>
    </w:p>
    <w:p w:rsidR="002C5025" w:rsidRDefault="002C5025">
      <w:pPr>
        <w:pStyle w:val="BodyText"/>
        <w:kinsoku w:val="0"/>
        <w:overflowPunct w:val="0"/>
        <w:spacing w:before="3"/>
        <w:rPr>
          <w:rFonts w:ascii="Times New Roman" w:hAnsi="Times New Roman" w:cs="Times New Roman"/>
          <w:sz w:val="28"/>
          <w:szCs w:val="28"/>
        </w:rPr>
      </w:pPr>
    </w:p>
    <w:p w:rsidR="002C5025" w:rsidRDefault="002C5025">
      <w:pPr>
        <w:pStyle w:val="BodyText"/>
        <w:kinsoku w:val="0"/>
        <w:overflowPunct w:val="0"/>
        <w:spacing w:line="268" w:lineRule="auto"/>
        <w:ind w:left="143" w:right="179"/>
        <w:rPr>
          <w:rFonts w:ascii="Times New Roman" w:hAnsi="Times New Roman" w:cs="Times New Roman"/>
          <w:sz w:val="24"/>
          <w:szCs w:val="24"/>
        </w:rPr>
      </w:pPr>
      <w:r>
        <w:rPr>
          <w:rFonts w:ascii="Times New Roman" w:hAnsi="Times New Roman" w:cs="Times New Roman"/>
          <w:sz w:val="24"/>
          <w:szCs w:val="24"/>
        </w:rPr>
        <w:t>Further, administrative simplicity that reduces churn is required to prevent gaps in coverage. A policy that allows 12-month continuous coverage after proving eligibility would help mitigate causes of discontinuous coverage. Another barrier to continuous coverage is processing times for eligibility determinations and waiting periods between proving eligibility and accessing care. It is critical that MassHealth be committed to reducing barriers to continuous coverage as it is continuous health insurance coverage that is a prerequisite to access to needed care and appropriate care utilization. Data show that patients who experience gaps in health insurance often lack a usual source of care or primary care provider and then are</w:t>
      </w:r>
    </w:p>
    <w:p w:rsidR="002C5025" w:rsidRDefault="002C5025">
      <w:pPr>
        <w:pStyle w:val="BodyText"/>
        <w:kinsoku w:val="0"/>
        <w:overflowPunct w:val="0"/>
        <w:spacing w:line="278" w:lineRule="exact"/>
        <w:ind w:left="143" w:right="126"/>
        <w:rPr>
          <w:rFonts w:ascii="Times New Roman" w:hAnsi="Times New Roman" w:cs="Times New Roman"/>
          <w:position w:val="11"/>
          <w:sz w:val="16"/>
          <w:szCs w:val="16"/>
        </w:rPr>
      </w:pPr>
      <w:r>
        <w:rPr>
          <w:rFonts w:ascii="Times New Roman" w:hAnsi="Times New Roman" w:cs="Times New Roman"/>
          <w:sz w:val="24"/>
          <w:szCs w:val="24"/>
        </w:rPr>
        <w:t>more likely to rely on emergency departments for care.</w:t>
      </w:r>
      <w:r>
        <w:rPr>
          <w:rFonts w:ascii="Times New Roman" w:hAnsi="Times New Roman" w:cs="Times New Roman"/>
          <w:position w:val="11"/>
          <w:sz w:val="16"/>
          <w:szCs w:val="16"/>
        </w:rPr>
        <w:t>12</w:t>
      </w:r>
    </w:p>
    <w:p w:rsidR="002C5025" w:rsidRDefault="002C5025">
      <w:pPr>
        <w:pStyle w:val="BodyText"/>
        <w:kinsoku w:val="0"/>
        <w:overflowPunct w:val="0"/>
        <w:spacing w:before="10"/>
        <w:rPr>
          <w:rFonts w:ascii="Times New Roman" w:hAnsi="Times New Roman" w:cs="Times New Roman"/>
          <w:sz w:val="31"/>
          <w:szCs w:val="31"/>
        </w:rPr>
      </w:pPr>
    </w:p>
    <w:p w:rsidR="002C5025" w:rsidRDefault="002C5025">
      <w:pPr>
        <w:pStyle w:val="BodyText"/>
        <w:kinsoku w:val="0"/>
        <w:overflowPunct w:val="0"/>
        <w:ind w:left="143" w:right="126"/>
        <w:rPr>
          <w:rFonts w:ascii="Times New Roman" w:hAnsi="Times New Roman" w:cs="Times New Roman"/>
          <w:b/>
          <w:bCs/>
          <w:sz w:val="24"/>
          <w:szCs w:val="24"/>
        </w:rPr>
      </w:pPr>
      <w:bookmarkStart w:id="126" w:name="Access_to_Services_and_Care_Delivery"/>
      <w:bookmarkEnd w:id="126"/>
      <w:r>
        <w:rPr>
          <w:rFonts w:ascii="Times New Roman" w:hAnsi="Times New Roman" w:cs="Times New Roman"/>
          <w:b/>
          <w:bCs/>
          <w:sz w:val="24"/>
          <w:szCs w:val="24"/>
        </w:rPr>
        <w:t>Access to Services and Care Delivery</w:t>
      </w:r>
    </w:p>
    <w:p w:rsidR="002C5025" w:rsidRDefault="002C5025">
      <w:pPr>
        <w:pStyle w:val="BodyText"/>
        <w:kinsoku w:val="0"/>
        <w:overflowPunct w:val="0"/>
        <w:spacing w:before="7"/>
        <w:rPr>
          <w:rFonts w:ascii="Times New Roman" w:hAnsi="Times New Roman" w:cs="Times New Roman"/>
          <w:b/>
          <w:bCs/>
          <w:sz w:val="30"/>
          <w:szCs w:val="30"/>
        </w:rPr>
      </w:pPr>
    </w:p>
    <w:p w:rsidR="002C5025" w:rsidRDefault="002C5025">
      <w:pPr>
        <w:pStyle w:val="BodyText"/>
        <w:kinsoku w:val="0"/>
        <w:overflowPunct w:val="0"/>
        <w:spacing w:before="1" w:line="276" w:lineRule="auto"/>
        <w:ind w:left="143" w:right="175"/>
        <w:jc w:val="both"/>
        <w:rPr>
          <w:rFonts w:ascii="Times New Roman" w:hAnsi="Times New Roman" w:cs="Times New Roman"/>
          <w:sz w:val="24"/>
          <w:szCs w:val="24"/>
        </w:rPr>
      </w:pPr>
      <w:r>
        <w:rPr>
          <w:rFonts w:ascii="Times New Roman" w:hAnsi="Times New Roman" w:cs="Times New Roman"/>
          <w:sz w:val="24"/>
          <w:szCs w:val="24"/>
        </w:rPr>
        <w:t>We are enthusiastic about the importance that has been ascribed to addressing social determinants of health with services and programming, which previously was considered outside the purview of medical care. We look forward to having formal collaborations with CPs and LTSS. Details on these constructs in the waiver</w:t>
      </w:r>
    </w:p>
    <w:p w:rsidR="002C5025" w:rsidRDefault="002C5025">
      <w:pPr>
        <w:pStyle w:val="BodyText"/>
        <w:kinsoku w:val="0"/>
        <w:overflowPunct w:val="0"/>
        <w:rPr>
          <w:rFonts w:ascii="Times New Roman" w:hAnsi="Times New Roman" w:cs="Times New Roman"/>
          <w:sz w:val="20"/>
          <w:szCs w:val="20"/>
        </w:rPr>
      </w:pPr>
    </w:p>
    <w:p w:rsidR="002C5025" w:rsidRDefault="00FB027C">
      <w:pPr>
        <w:pStyle w:val="BodyText"/>
        <w:kinsoku w:val="0"/>
        <w:overflowPunct w:val="0"/>
        <w:rPr>
          <w:rFonts w:ascii="Times New Roman" w:hAnsi="Times New Roman" w:cs="Times New Roman"/>
          <w:sz w:val="24"/>
          <w:szCs w:val="24"/>
        </w:rPr>
      </w:pPr>
      <w:r>
        <w:rPr>
          <w:noProof/>
        </w:rPr>
        <mc:AlternateContent>
          <mc:Choice Requires="wps">
            <w:drawing>
              <wp:anchor distT="0" distB="0" distL="0" distR="0" simplePos="0" relativeHeight="251603456" behindDoc="0" locked="0" layoutInCell="0" allowOverlap="1">
                <wp:simplePos x="0" y="0"/>
                <wp:positionH relativeFrom="page">
                  <wp:posOffset>609600</wp:posOffset>
                </wp:positionH>
                <wp:positionV relativeFrom="paragraph">
                  <wp:posOffset>203835</wp:posOffset>
                </wp:positionV>
                <wp:extent cx="1828800" cy="12700"/>
                <wp:effectExtent l="0" t="0" r="0" b="0"/>
                <wp:wrapTopAndBottom/>
                <wp:docPr id="682" name="Freeform 3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w 2880"/>
                            <a:gd name="T1" fmla="*/ 0 h 20"/>
                            <a:gd name="T2" fmla="*/ 2880 w 2880"/>
                            <a:gd name="T3" fmla="*/ 0 h 20"/>
                          </a:gdLst>
                          <a:ahLst/>
                          <a:cxnLst>
                            <a:cxn ang="0">
                              <a:pos x="T0" y="T1"/>
                            </a:cxn>
                            <a:cxn ang="0">
                              <a:pos x="T2" y="T3"/>
                            </a:cxn>
                          </a:cxnLst>
                          <a:rect l="0" t="0" r="r" b="b"/>
                          <a:pathLst>
                            <a:path w="2880" h="20">
                              <a:moveTo>
                                <a:pt x="0" y="0"/>
                              </a:moveTo>
                              <a:lnTo>
                                <a:pt x="2880"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43" o:spid="_x0000_s1026" style="position:absolute;z-index:251603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48pt,16.05pt,192pt,16.05pt" coordsize="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" o:allowincell="f" filled="f" strokeweight=".20458mm">
                <v:path arrowok="t" o:connecttype="custom" o:connectlocs="0,0;1828800,0" o:connectangles="0,0"/>
                <w10:wrap type="topAndBottom" anchorx="page"/>
              </v:polyline>
            </w:pict>
          </mc:Fallback>
        </mc:AlternateContent>
      </w:r>
    </w:p>
    <w:p w:rsidR="002C5025" w:rsidRDefault="002C5025">
      <w:pPr>
        <w:pStyle w:val="BodyText"/>
        <w:kinsoku w:val="0"/>
        <w:overflowPunct w:val="0"/>
        <w:spacing w:line="248" w:lineRule="exact"/>
        <w:ind w:left="143" w:right="126"/>
        <w:rPr>
          <w:rFonts w:ascii="Times New Roman" w:hAnsi="Times New Roman" w:cs="Times New Roman"/>
          <w:sz w:val="19"/>
          <w:szCs w:val="19"/>
        </w:rPr>
      </w:pPr>
      <w:r>
        <w:rPr>
          <w:rFonts w:ascii="Times New Roman" w:hAnsi="Times New Roman" w:cs="Times New Roman"/>
          <w:position w:val="9"/>
          <w:sz w:val="13"/>
          <w:szCs w:val="13"/>
        </w:rPr>
        <w:t xml:space="preserve">10    </w:t>
      </w:r>
      <w:hyperlink r:id="rId271" w:history="1">
        <w:r>
          <w:rPr>
            <w:rFonts w:ascii="Times New Roman" w:hAnsi="Times New Roman" w:cs="Times New Roman"/>
            <w:sz w:val="19"/>
            <w:szCs w:val="19"/>
          </w:rPr>
          <w:t>http://www.ncbi.nlm.nih.gov/pubmed/24622387</w:t>
        </w:r>
      </w:hyperlink>
    </w:p>
    <w:p w:rsidR="002C5025" w:rsidRDefault="002C5025">
      <w:pPr>
        <w:pStyle w:val="BodyText"/>
        <w:kinsoku w:val="0"/>
        <w:overflowPunct w:val="0"/>
        <w:spacing w:line="252" w:lineRule="auto"/>
        <w:ind w:left="143" w:right="379"/>
        <w:rPr>
          <w:rFonts w:ascii="Times New Roman" w:hAnsi="Times New Roman" w:cs="Times New Roman"/>
          <w:w w:val="105"/>
          <w:sz w:val="19"/>
          <w:szCs w:val="19"/>
        </w:rPr>
      </w:pPr>
      <w:r>
        <w:rPr>
          <w:rFonts w:ascii="Times New Roman" w:hAnsi="Times New Roman" w:cs="Times New Roman"/>
          <w:w w:val="105"/>
          <w:position w:val="9"/>
          <w:sz w:val="13"/>
          <w:szCs w:val="13"/>
        </w:rPr>
        <w:t>11</w:t>
      </w:r>
      <w:r>
        <w:rPr>
          <w:rFonts w:ascii="Times New Roman" w:hAnsi="Times New Roman" w:cs="Times New Roman"/>
          <w:spacing w:val="-1"/>
          <w:w w:val="105"/>
          <w:position w:val="9"/>
          <w:sz w:val="13"/>
          <w:szCs w:val="13"/>
        </w:rPr>
        <w:t xml:space="preserve"> </w:t>
      </w:r>
      <w:r>
        <w:rPr>
          <w:rFonts w:ascii="Times New Roman" w:hAnsi="Times New Roman" w:cs="Times New Roman"/>
          <w:w w:val="105"/>
          <w:sz w:val="19"/>
          <w:szCs w:val="19"/>
        </w:rPr>
        <w:t>Banerjee,</w:t>
      </w:r>
      <w:r>
        <w:rPr>
          <w:rFonts w:ascii="Times New Roman" w:hAnsi="Times New Roman" w:cs="Times New Roman"/>
          <w:spacing w:val="-12"/>
          <w:w w:val="105"/>
          <w:sz w:val="19"/>
          <w:szCs w:val="19"/>
        </w:rPr>
        <w:t xml:space="preserve"> </w:t>
      </w:r>
      <w:r>
        <w:rPr>
          <w:rFonts w:ascii="Times New Roman" w:hAnsi="Times New Roman" w:cs="Times New Roman"/>
          <w:w w:val="105"/>
          <w:sz w:val="19"/>
          <w:szCs w:val="19"/>
        </w:rPr>
        <w:t>R.,</w:t>
      </w:r>
      <w:r>
        <w:rPr>
          <w:rFonts w:ascii="Times New Roman" w:hAnsi="Times New Roman" w:cs="Times New Roman"/>
          <w:spacing w:val="-13"/>
          <w:w w:val="105"/>
          <w:sz w:val="19"/>
          <w:szCs w:val="19"/>
        </w:rPr>
        <w:t xml:space="preserve"> </w:t>
      </w:r>
      <w:proofErr w:type="spellStart"/>
      <w:r>
        <w:rPr>
          <w:rFonts w:ascii="Times New Roman" w:hAnsi="Times New Roman" w:cs="Times New Roman"/>
          <w:w w:val="105"/>
          <w:sz w:val="19"/>
          <w:szCs w:val="19"/>
        </w:rPr>
        <w:t>Ziegenfuss</w:t>
      </w:r>
      <w:proofErr w:type="spellEnd"/>
      <w:r>
        <w:rPr>
          <w:rFonts w:ascii="Times New Roman" w:hAnsi="Times New Roman" w:cs="Times New Roman"/>
          <w:w w:val="105"/>
          <w:sz w:val="19"/>
          <w:szCs w:val="19"/>
        </w:rPr>
        <w:t>,</w:t>
      </w:r>
      <w:r>
        <w:rPr>
          <w:rFonts w:ascii="Times New Roman" w:hAnsi="Times New Roman" w:cs="Times New Roman"/>
          <w:spacing w:val="-13"/>
          <w:w w:val="105"/>
          <w:sz w:val="19"/>
          <w:szCs w:val="19"/>
        </w:rPr>
        <w:t xml:space="preserve"> </w:t>
      </w:r>
      <w:r>
        <w:rPr>
          <w:rFonts w:ascii="Times New Roman" w:hAnsi="Times New Roman" w:cs="Times New Roman"/>
          <w:w w:val="105"/>
          <w:sz w:val="19"/>
          <w:szCs w:val="19"/>
        </w:rPr>
        <w:t>J.,</w:t>
      </w:r>
      <w:r>
        <w:rPr>
          <w:rFonts w:ascii="Times New Roman" w:hAnsi="Times New Roman" w:cs="Times New Roman"/>
          <w:spacing w:val="-13"/>
          <w:w w:val="105"/>
          <w:sz w:val="19"/>
          <w:szCs w:val="19"/>
        </w:rPr>
        <w:t xml:space="preserve"> </w:t>
      </w:r>
      <w:r>
        <w:rPr>
          <w:rFonts w:ascii="Times New Roman" w:hAnsi="Times New Roman" w:cs="Times New Roman"/>
          <w:w w:val="105"/>
          <w:sz w:val="19"/>
          <w:szCs w:val="19"/>
        </w:rPr>
        <w:t>Shah,</w:t>
      </w:r>
      <w:r>
        <w:rPr>
          <w:rFonts w:ascii="Times New Roman" w:hAnsi="Times New Roman" w:cs="Times New Roman"/>
          <w:spacing w:val="-12"/>
          <w:w w:val="105"/>
          <w:sz w:val="19"/>
          <w:szCs w:val="19"/>
        </w:rPr>
        <w:t xml:space="preserve"> </w:t>
      </w:r>
      <w:r>
        <w:rPr>
          <w:rFonts w:ascii="Times New Roman" w:hAnsi="Times New Roman" w:cs="Times New Roman"/>
          <w:w w:val="105"/>
          <w:sz w:val="19"/>
          <w:szCs w:val="19"/>
        </w:rPr>
        <w:t>J.</w:t>
      </w:r>
      <w:r>
        <w:rPr>
          <w:rFonts w:ascii="Times New Roman" w:hAnsi="Times New Roman" w:cs="Times New Roman"/>
          <w:spacing w:val="-13"/>
          <w:w w:val="105"/>
          <w:sz w:val="19"/>
          <w:szCs w:val="19"/>
        </w:rPr>
        <w:t xml:space="preserve"> </w:t>
      </w:r>
      <w:r>
        <w:rPr>
          <w:rFonts w:ascii="Times New Roman" w:hAnsi="Times New Roman" w:cs="Times New Roman"/>
          <w:w w:val="105"/>
          <w:sz w:val="19"/>
          <w:szCs w:val="19"/>
        </w:rPr>
        <w:t>“Impact</w:t>
      </w:r>
      <w:r>
        <w:rPr>
          <w:rFonts w:ascii="Times New Roman" w:hAnsi="Times New Roman" w:cs="Times New Roman"/>
          <w:spacing w:val="-12"/>
          <w:w w:val="105"/>
          <w:sz w:val="19"/>
          <w:szCs w:val="19"/>
        </w:rPr>
        <w:t xml:space="preserve"> </w:t>
      </w:r>
      <w:r>
        <w:rPr>
          <w:rFonts w:ascii="Times New Roman" w:hAnsi="Times New Roman" w:cs="Times New Roman"/>
          <w:w w:val="105"/>
          <w:sz w:val="19"/>
          <w:szCs w:val="19"/>
        </w:rPr>
        <w:t>of</w:t>
      </w:r>
      <w:r>
        <w:rPr>
          <w:rFonts w:ascii="Times New Roman" w:hAnsi="Times New Roman" w:cs="Times New Roman"/>
          <w:spacing w:val="-14"/>
          <w:w w:val="105"/>
          <w:sz w:val="19"/>
          <w:szCs w:val="19"/>
        </w:rPr>
        <w:t xml:space="preserve"> </w:t>
      </w:r>
      <w:r>
        <w:rPr>
          <w:rFonts w:ascii="Times New Roman" w:hAnsi="Times New Roman" w:cs="Times New Roman"/>
          <w:w w:val="105"/>
          <w:sz w:val="19"/>
          <w:szCs w:val="19"/>
        </w:rPr>
        <w:t>discontinuity</w:t>
      </w:r>
      <w:r>
        <w:rPr>
          <w:rFonts w:ascii="Times New Roman" w:hAnsi="Times New Roman" w:cs="Times New Roman"/>
          <w:spacing w:val="-12"/>
          <w:w w:val="105"/>
          <w:sz w:val="19"/>
          <w:szCs w:val="19"/>
        </w:rPr>
        <w:t xml:space="preserve"> </w:t>
      </w:r>
      <w:r>
        <w:rPr>
          <w:rFonts w:ascii="Times New Roman" w:hAnsi="Times New Roman" w:cs="Times New Roman"/>
          <w:w w:val="105"/>
          <w:sz w:val="19"/>
          <w:szCs w:val="19"/>
        </w:rPr>
        <w:t>in</w:t>
      </w:r>
      <w:r>
        <w:rPr>
          <w:rFonts w:ascii="Times New Roman" w:hAnsi="Times New Roman" w:cs="Times New Roman"/>
          <w:spacing w:val="-13"/>
          <w:w w:val="105"/>
          <w:sz w:val="19"/>
          <w:szCs w:val="19"/>
        </w:rPr>
        <w:t xml:space="preserve"> </w:t>
      </w:r>
      <w:r>
        <w:rPr>
          <w:rFonts w:ascii="Times New Roman" w:hAnsi="Times New Roman" w:cs="Times New Roman"/>
          <w:w w:val="105"/>
          <w:sz w:val="19"/>
          <w:szCs w:val="19"/>
        </w:rPr>
        <w:t>health</w:t>
      </w:r>
      <w:r>
        <w:rPr>
          <w:rFonts w:ascii="Times New Roman" w:hAnsi="Times New Roman" w:cs="Times New Roman"/>
          <w:spacing w:val="-12"/>
          <w:w w:val="105"/>
          <w:sz w:val="19"/>
          <w:szCs w:val="19"/>
        </w:rPr>
        <w:t xml:space="preserve"> </w:t>
      </w:r>
      <w:r>
        <w:rPr>
          <w:rFonts w:ascii="Times New Roman" w:hAnsi="Times New Roman" w:cs="Times New Roman"/>
          <w:w w:val="105"/>
          <w:sz w:val="19"/>
          <w:szCs w:val="19"/>
        </w:rPr>
        <w:t>insurance</w:t>
      </w:r>
      <w:r>
        <w:rPr>
          <w:rFonts w:ascii="Times New Roman" w:hAnsi="Times New Roman" w:cs="Times New Roman"/>
          <w:spacing w:val="-12"/>
          <w:w w:val="105"/>
          <w:sz w:val="19"/>
          <w:szCs w:val="19"/>
        </w:rPr>
        <w:t xml:space="preserve"> </w:t>
      </w:r>
      <w:r>
        <w:rPr>
          <w:rFonts w:ascii="Times New Roman" w:hAnsi="Times New Roman" w:cs="Times New Roman"/>
          <w:w w:val="105"/>
          <w:sz w:val="19"/>
          <w:szCs w:val="19"/>
        </w:rPr>
        <w:t>on</w:t>
      </w:r>
      <w:r>
        <w:rPr>
          <w:rFonts w:ascii="Times New Roman" w:hAnsi="Times New Roman" w:cs="Times New Roman"/>
          <w:spacing w:val="-10"/>
          <w:w w:val="105"/>
          <w:sz w:val="19"/>
          <w:szCs w:val="19"/>
        </w:rPr>
        <w:t xml:space="preserve"> </w:t>
      </w:r>
      <w:r>
        <w:rPr>
          <w:rFonts w:ascii="Times New Roman" w:hAnsi="Times New Roman" w:cs="Times New Roman"/>
          <w:w w:val="105"/>
          <w:sz w:val="19"/>
          <w:szCs w:val="19"/>
        </w:rPr>
        <w:t>resource</w:t>
      </w:r>
      <w:r>
        <w:rPr>
          <w:rFonts w:ascii="Times New Roman" w:hAnsi="Times New Roman" w:cs="Times New Roman"/>
          <w:spacing w:val="-12"/>
          <w:w w:val="105"/>
          <w:sz w:val="19"/>
          <w:szCs w:val="19"/>
        </w:rPr>
        <w:t xml:space="preserve"> </w:t>
      </w:r>
      <w:r>
        <w:rPr>
          <w:rFonts w:ascii="Times New Roman" w:hAnsi="Times New Roman" w:cs="Times New Roman"/>
          <w:w w:val="105"/>
          <w:sz w:val="19"/>
          <w:szCs w:val="19"/>
        </w:rPr>
        <w:t>utilization.”</w:t>
      </w:r>
      <w:r>
        <w:rPr>
          <w:rFonts w:ascii="Times New Roman" w:hAnsi="Times New Roman" w:cs="Times New Roman"/>
          <w:spacing w:val="-11"/>
          <w:w w:val="105"/>
          <w:sz w:val="19"/>
          <w:szCs w:val="19"/>
        </w:rPr>
        <w:t xml:space="preserve"> </w:t>
      </w:r>
      <w:r>
        <w:rPr>
          <w:rFonts w:ascii="Times New Roman" w:hAnsi="Times New Roman" w:cs="Times New Roman"/>
          <w:spacing w:val="2"/>
          <w:w w:val="105"/>
          <w:sz w:val="19"/>
          <w:szCs w:val="19"/>
        </w:rPr>
        <w:t>BMC</w:t>
      </w:r>
      <w:r>
        <w:rPr>
          <w:rFonts w:ascii="Times New Roman" w:hAnsi="Times New Roman" w:cs="Times New Roman"/>
          <w:spacing w:val="-11"/>
          <w:w w:val="105"/>
          <w:sz w:val="19"/>
          <w:szCs w:val="19"/>
        </w:rPr>
        <w:t xml:space="preserve"> </w:t>
      </w:r>
      <w:r>
        <w:rPr>
          <w:rFonts w:ascii="Times New Roman" w:hAnsi="Times New Roman" w:cs="Times New Roman"/>
          <w:w w:val="105"/>
          <w:sz w:val="19"/>
          <w:szCs w:val="19"/>
        </w:rPr>
        <w:t>Health</w:t>
      </w:r>
      <w:r>
        <w:rPr>
          <w:rFonts w:ascii="Times New Roman" w:hAnsi="Times New Roman" w:cs="Times New Roman"/>
          <w:spacing w:val="-12"/>
          <w:w w:val="105"/>
          <w:sz w:val="19"/>
          <w:szCs w:val="19"/>
        </w:rPr>
        <w:t xml:space="preserve"> </w:t>
      </w:r>
      <w:proofErr w:type="spellStart"/>
      <w:r>
        <w:rPr>
          <w:rFonts w:ascii="Times New Roman" w:hAnsi="Times New Roman" w:cs="Times New Roman"/>
          <w:w w:val="105"/>
          <w:sz w:val="19"/>
          <w:szCs w:val="19"/>
        </w:rPr>
        <w:t>Serv</w:t>
      </w:r>
      <w:proofErr w:type="spellEnd"/>
      <w:r>
        <w:rPr>
          <w:rFonts w:ascii="Times New Roman" w:hAnsi="Times New Roman" w:cs="Times New Roman"/>
          <w:w w:val="105"/>
          <w:sz w:val="19"/>
          <w:szCs w:val="19"/>
        </w:rPr>
        <w:t xml:space="preserve"> Res.</w:t>
      </w:r>
      <w:r>
        <w:rPr>
          <w:rFonts w:ascii="Times New Roman" w:hAnsi="Times New Roman" w:cs="Times New Roman"/>
          <w:spacing w:val="-31"/>
          <w:w w:val="105"/>
          <w:sz w:val="19"/>
          <w:szCs w:val="19"/>
        </w:rPr>
        <w:t xml:space="preserve"> </w:t>
      </w:r>
      <w:r>
        <w:rPr>
          <w:rFonts w:ascii="Times New Roman" w:hAnsi="Times New Roman" w:cs="Times New Roman"/>
          <w:w w:val="105"/>
          <w:sz w:val="19"/>
          <w:szCs w:val="19"/>
        </w:rPr>
        <w:t>2010;</w:t>
      </w:r>
      <w:r>
        <w:rPr>
          <w:rFonts w:ascii="Times New Roman" w:hAnsi="Times New Roman" w:cs="Times New Roman"/>
          <w:spacing w:val="-32"/>
          <w:w w:val="105"/>
          <w:sz w:val="19"/>
          <w:szCs w:val="19"/>
        </w:rPr>
        <w:t xml:space="preserve"> </w:t>
      </w:r>
      <w:r>
        <w:rPr>
          <w:rFonts w:ascii="Times New Roman" w:hAnsi="Times New Roman" w:cs="Times New Roman"/>
          <w:w w:val="105"/>
          <w:sz w:val="19"/>
          <w:szCs w:val="19"/>
        </w:rPr>
        <w:t>10:195.</w:t>
      </w:r>
      <w:r>
        <w:rPr>
          <w:rFonts w:ascii="Times New Roman" w:hAnsi="Times New Roman" w:cs="Times New Roman"/>
          <w:spacing w:val="-31"/>
          <w:w w:val="105"/>
          <w:sz w:val="19"/>
          <w:szCs w:val="19"/>
        </w:rPr>
        <w:t xml:space="preserve"> </w:t>
      </w:r>
      <w:r>
        <w:rPr>
          <w:rFonts w:ascii="Times New Roman" w:hAnsi="Times New Roman" w:cs="Times New Roman"/>
          <w:w w:val="105"/>
          <w:sz w:val="19"/>
          <w:szCs w:val="19"/>
        </w:rPr>
        <w:t>doi:10.1186/1472-6963-10-195.</w:t>
      </w:r>
    </w:p>
    <w:p w:rsidR="002C5025" w:rsidRDefault="002C5025">
      <w:pPr>
        <w:pStyle w:val="BodyText"/>
        <w:kinsoku w:val="0"/>
        <w:overflowPunct w:val="0"/>
        <w:spacing w:before="9"/>
        <w:rPr>
          <w:rFonts w:ascii="Times New Roman" w:hAnsi="Times New Roman" w:cs="Times New Roman"/>
          <w:sz w:val="16"/>
          <w:szCs w:val="16"/>
        </w:rPr>
      </w:pPr>
    </w:p>
    <w:p w:rsidR="002C5025" w:rsidRDefault="002C5025">
      <w:pPr>
        <w:pStyle w:val="BodyText"/>
        <w:kinsoku w:val="0"/>
        <w:overflowPunct w:val="0"/>
        <w:ind w:left="143" w:right="126"/>
        <w:rPr>
          <w:rFonts w:ascii="Times New Roman" w:hAnsi="Times New Roman" w:cs="Times New Roman"/>
          <w:sz w:val="19"/>
          <w:szCs w:val="19"/>
        </w:rPr>
      </w:pPr>
      <w:r>
        <w:rPr>
          <w:rFonts w:ascii="Times New Roman" w:hAnsi="Times New Roman" w:cs="Times New Roman"/>
          <w:position w:val="9"/>
          <w:sz w:val="13"/>
          <w:szCs w:val="13"/>
        </w:rPr>
        <w:t xml:space="preserve">12     </w:t>
      </w:r>
      <w:hyperlink r:id="rId272" w:anchor="t%3Darticle" w:history="1">
        <w:r>
          <w:rPr>
            <w:rFonts w:ascii="Times New Roman" w:hAnsi="Times New Roman" w:cs="Times New Roman"/>
            <w:sz w:val="19"/>
            <w:szCs w:val="19"/>
            <w:u w:val="single"/>
          </w:rPr>
          <w:t>http://www.nejm.org/doi/full/10.1056/NEJMsa043878#t=article</w:t>
        </w:r>
      </w:hyperlink>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3"/>
        <w:rPr>
          <w:rFonts w:ascii="Times New Roman" w:hAnsi="Times New Roman" w:cs="Times New Roman"/>
          <w:sz w:val="21"/>
          <w:szCs w:val="21"/>
        </w:rPr>
      </w:pPr>
    </w:p>
    <w:p w:rsidR="002C5025" w:rsidRDefault="00FB027C">
      <w:pPr>
        <w:pStyle w:val="BodyText"/>
        <w:kinsoku w:val="0"/>
        <w:overflowPunct w:val="0"/>
        <w:ind w:right="108"/>
        <w:jc w:val="right"/>
        <w:rPr>
          <w:rFonts w:ascii="Times New Roman" w:hAnsi="Times New Roman" w:cs="Times New Roman"/>
          <w:w w:val="99"/>
          <w:sz w:val="19"/>
          <w:szCs w:val="19"/>
        </w:rPr>
      </w:pPr>
      <w:r>
        <w:rPr>
          <w:noProof/>
        </w:rPr>
        <mc:AlternateContent>
          <mc:Choice Requires="wpg">
            <w:drawing>
              <wp:anchor distT="0" distB="0" distL="114300" distR="114300" simplePos="0" relativeHeight="251604480" behindDoc="0" locked="0" layoutInCell="0" allowOverlap="1">
                <wp:simplePos x="0" y="0"/>
                <wp:positionH relativeFrom="page">
                  <wp:posOffset>572135</wp:posOffset>
                </wp:positionH>
                <wp:positionV relativeFrom="paragraph">
                  <wp:posOffset>-1905</wp:posOffset>
                </wp:positionV>
                <wp:extent cx="6410960" cy="37465"/>
                <wp:effectExtent l="0" t="0" r="0" b="0"/>
                <wp:wrapNone/>
                <wp:docPr id="678" name="Group 3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0960" cy="37465"/>
                          <a:chOff x="901" y="-3"/>
                          <a:chExt cx="10096" cy="59"/>
                        </a:xfrm>
                      </wpg:grpSpPr>
                      <wps:wsp>
                        <wps:cNvPr id="679" name="Freeform 345"/>
                        <wps:cNvSpPr>
                          <a:spLocks/>
                        </wps:cNvSpPr>
                        <wps:spPr bwMode="auto">
                          <a:xfrm>
                            <a:off x="917" y="5"/>
                            <a:ext cx="10065" cy="20"/>
                          </a:xfrm>
                          <a:custGeom>
                            <a:avLst/>
                            <a:gdLst>
                              <a:gd name="T0" fmla="*/ 0 w 10065"/>
                              <a:gd name="T1" fmla="*/ 0 h 20"/>
                              <a:gd name="T2" fmla="*/ 10065 w 10065"/>
                              <a:gd name="T3" fmla="*/ 0 h 20"/>
                            </a:gdLst>
                            <a:ahLst/>
                            <a:cxnLst>
                              <a:cxn ang="0">
                                <a:pos x="T0" y="T1"/>
                              </a:cxn>
                              <a:cxn ang="0">
                                <a:pos x="T2" y="T3"/>
                              </a:cxn>
                            </a:cxnLst>
                            <a:rect l="0" t="0" r="r" b="b"/>
                            <a:pathLst>
                              <a:path w="10065" h="20">
                                <a:moveTo>
                                  <a:pt x="0" y="0"/>
                                </a:moveTo>
                                <a:lnTo>
                                  <a:pt x="10065"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0" name="Freeform 346"/>
                        <wps:cNvSpPr>
                          <a:spLocks/>
                        </wps:cNvSpPr>
                        <wps:spPr bwMode="auto">
                          <a:xfrm>
                            <a:off x="917" y="27"/>
                            <a:ext cx="10065" cy="20"/>
                          </a:xfrm>
                          <a:custGeom>
                            <a:avLst/>
                            <a:gdLst>
                              <a:gd name="T0" fmla="*/ 0 w 10065"/>
                              <a:gd name="T1" fmla="*/ 0 h 20"/>
                              <a:gd name="T2" fmla="*/ 10065 w 10065"/>
                              <a:gd name="T3" fmla="*/ 0 h 20"/>
                            </a:gdLst>
                            <a:ahLst/>
                            <a:cxnLst>
                              <a:cxn ang="0">
                                <a:pos x="T0" y="T1"/>
                              </a:cxn>
                              <a:cxn ang="0">
                                <a:pos x="T2" y="T3"/>
                              </a:cxn>
                            </a:cxnLst>
                            <a:rect l="0" t="0" r="r" b="b"/>
                            <a:pathLst>
                              <a:path w="10065" h="20">
                                <a:moveTo>
                                  <a:pt x="0" y="0"/>
                                </a:moveTo>
                                <a:lnTo>
                                  <a:pt x="10065" y="0"/>
                                </a:lnTo>
                              </a:path>
                            </a:pathLst>
                          </a:custGeom>
                          <a:noFill/>
                          <a:ln w="19558">
                            <a:solidFill>
                              <a:srgbClr val="6060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1" name="Freeform 347"/>
                        <wps:cNvSpPr>
                          <a:spLocks/>
                        </wps:cNvSpPr>
                        <wps:spPr bwMode="auto">
                          <a:xfrm>
                            <a:off x="917" y="48"/>
                            <a:ext cx="10065" cy="20"/>
                          </a:xfrm>
                          <a:custGeom>
                            <a:avLst/>
                            <a:gdLst>
                              <a:gd name="T0" fmla="*/ 0 w 10065"/>
                              <a:gd name="T1" fmla="*/ 0 h 20"/>
                              <a:gd name="T2" fmla="*/ 10065 w 10065"/>
                              <a:gd name="T3" fmla="*/ 0 h 20"/>
                            </a:gdLst>
                            <a:ahLst/>
                            <a:cxnLst>
                              <a:cxn ang="0">
                                <a:pos x="T0" y="T1"/>
                              </a:cxn>
                              <a:cxn ang="0">
                                <a:pos x="T2" y="T3"/>
                              </a:cxn>
                            </a:cxnLst>
                            <a:rect l="0" t="0" r="r" b="b"/>
                            <a:pathLst>
                              <a:path w="10065" h="20">
                                <a:moveTo>
                                  <a:pt x="0" y="0"/>
                                </a:moveTo>
                                <a:lnTo>
                                  <a:pt x="10065" y="0"/>
                                </a:lnTo>
                              </a:path>
                            </a:pathLst>
                          </a:custGeom>
                          <a:noFill/>
                          <a:ln w="10414">
                            <a:solidFill>
                              <a:srgbClr val="C1C1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4" o:spid="_x0000_s1026" style="position:absolute;margin-left:45.05pt;margin-top:-.15pt;width:504.8pt;height:2.95pt;z-index:251604480;mso-position-horizontal-relative:page" coordorigin="901,-3" coordsize="1009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" o:allowincell="f">
                <v:shape id="Freeform 345" o:spid="_x0000_s1027" style="position:absolute;left:917;top:5;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namMYA&#10;AADcAAAADwAAAGRycy9kb3ducmV2LnhtbESPQWvCQBSE74L/YXmCF6mb9mBt6ipFqUgOhWig10f2&#10;maTNvl2yq0Z/vVsoeBxm5htmsepNK87U+caygudpAoK4tLrhSkFx+Hyag/ABWWNrmRRcycNqORws&#10;MNX2wjmd96ESEcI+RQV1CC6V0pc1GfRT64ijd7SdwRBlV0nd4SXCTStfkmQmDTYcF2p0tK6p/N2f&#10;jILd10+++Ta3wt30+li4SZZt80yp8aj/eAcRqA+P8H97pxXMXt/g70w8AnJ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nnamMYAAADcAAAADwAAAAAAAAAAAAAAAACYAgAAZHJz&#10;L2Rvd25yZXYueG1sUEsFBgAAAAAEAAQA9QAAAIsDAAAAAA==&#10;" path="m,l10065,e" filled="f" strokeweight=".82pt">
                  <v:path arrowok="t" o:connecttype="custom" o:connectlocs="0,0;10065,0" o:connectangles="0,0"/>
                </v:shape>
                <v:shape id="Freeform 346" o:spid="_x0000_s1028" style="position:absolute;left:917;top:27;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TH8EA&#10;AADcAAAADwAAAGRycy9kb3ducmV2LnhtbERPS2sCMRC+F/ofwhS81axFFlmN0gqKeCluS+lx2Mw+&#10;7GayJKNu/31zKHj8+N6rzeh6daUQO88GZtMMFHHlbceNgc+P3fMCVBRki71nMvBLETbrx4cVFtbf&#10;+ETXUhqVQjgWaKAVGQqtY9WSwzj1A3Hiah8cSoKh0TbgLYW7Xr9kWa4ddpwaWhxo21L1U16cgW/c&#10;2TKf19vxHGT2/lZ/yf7ojJk8ja9LUEKj3MX/7oM1kC/S/HQmHQG9/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f5kx/BAAAA3AAAAA8AAAAAAAAAAAAAAAAAmAIAAGRycy9kb3du&#10;cmV2LnhtbFBLBQYAAAAABAAEAPUAAACGAwAAAAA=&#10;" path="m,l10065,e" filled="f" strokecolor="#606060" strokeweight="1.54pt">
                  <v:path arrowok="t" o:connecttype="custom" o:connectlocs="0,0;10065,0" o:connectangles="0,0"/>
                </v:shape>
                <v:shape id="Freeform 347" o:spid="_x0000_s1029" style="position:absolute;left:917;top:48;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nVJ8EA&#10;AADcAAAADwAAAGRycy9kb3ducmV2LnhtbESPQYvCMBSE7wv+h/AEb2uqQtFqFCks67UqSG+P5tkW&#10;m5fSRK3+eiMIHoeZ+YZZbXrTiBt1rrasYDKOQBAXVtdcKjge/n7nIJxH1thYJgUPcrBZD35WmGh7&#10;54xue1+KAGGXoILK+zaR0hUVGXRj2xIH72w7gz7IrpS6w3uAm0ZOoyiWBmsOCxW2lFZUXPZXoyDP&#10;4tPiv33ybJb6LI9TU+bZVKnRsN8uQXjq/Tf8ae+0gng+gfeZcATk+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J1SfBAAAA3AAAAA8AAAAAAAAAAAAAAAAAmAIAAGRycy9kb3du&#10;cmV2LnhtbFBLBQYAAAAABAAEAPUAAACGAwAAAAA=&#10;" path="m,l10065,e" filled="f" strokecolor="#c1c1c1" strokeweight=".82pt">
                  <v:path arrowok="t" o:connecttype="custom" o:connectlocs="0,0;10065,0" o:connectangles="0,0"/>
                </v:shape>
                <w10:wrap anchorx="page"/>
              </v:group>
            </w:pict>
          </mc:Fallback>
        </mc:AlternateContent>
      </w:r>
      <w:r w:rsidR="002C5025">
        <w:rPr>
          <w:rFonts w:ascii="Times New Roman" w:hAnsi="Times New Roman" w:cs="Times New Roman"/>
          <w:w w:val="99"/>
          <w:sz w:val="19"/>
          <w:szCs w:val="19"/>
        </w:rPr>
        <w:t>5</w:t>
      </w:r>
    </w:p>
    <w:p w:rsidR="002C5025" w:rsidRDefault="002C5025">
      <w:pPr>
        <w:pStyle w:val="BodyText"/>
        <w:kinsoku w:val="0"/>
        <w:overflowPunct w:val="0"/>
        <w:spacing w:before="107" w:line="244" w:lineRule="auto"/>
        <w:ind w:left="642" w:right="773" w:hanging="348"/>
        <w:rPr>
          <w:rFonts w:ascii="Cambria" w:hAnsi="Cambria" w:cs="Cambria"/>
          <w:i/>
          <w:iCs/>
          <w:w w:val="105"/>
          <w:sz w:val="19"/>
          <w:szCs w:val="19"/>
        </w:rPr>
      </w:pPr>
      <w:r>
        <w:rPr>
          <w:rFonts w:ascii="Cambria" w:hAnsi="Cambria" w:cs="Cambria"/>
          <w:i/>
          <w:iCs/>
          <w:w w:val="105"/>
          <w:sz w:val="19"/>
          <w:szCs w:val="19"/>
        </w:rPr>
        <w:t>Doctors</w:t>
      </w:r>
      <w:r>
        <w:rPr>
          <w:rFonts w:ascii="Cambria" w:hAnsi="Cambria" w:cs="Cambria"/>
          <w:i/>
          <w:iCs/>
          <w:spacing w:val="-10"/>
          <w:w w:val="105"/>
          <w:sz w:val="19"/>
          <w:szCs w:val="19"/>
        </w:rPr>
        <w:t xml:space="preserve"> </w:t>
      </w:r>
      <w:r>
        <w:rPr>
          <w:rFonts w:ascii="Cambria" w:hAnsi="Cambria" w:cs="Cambria"/>
          <w:i/>
          <w:iCs/>
          <w:w w:val="105"/>
          <w:sz w:val="19"/>
          <w:szCs w:val="19"/>
        </w:rPr>
        <w:t>for</w:t>
      </w:r>
      <w:r>
        <w:rPr>
          <w:rFonts w:ascii="Cambria" w:hAnsi="Cambria" w:cs="Cambria"/>
          <w:i/>
          <w:iCs/>
          <w:spacing w:val="-13"/>
          <w:w w:val="105"/>
          <w:sz w:val="19"/>
          <w:szCs w:val="19"/>
        </w:rPr>
        <w:t xml:space="preserve"> </w:t>
      </w:r>
      <w:r>
        <w:rPr>
          <w:rFonts w:ascii="Cambria" w:hAnsi="Cambria" w:cs="Cambria"/>
          <w:i/>
          <w:iCs/>
          <w:w w:val="105"/>
          <w:sz w:val="19"/>
          <w:szCs w:val="19"/>
        </w:rPr>
        <w:t>America</w:t>
      </w:r>
      <w:r>
        <w:rPr>
          <w:rFonts w:ascii="Cambria" w:hAnsi="Cambria" w:cs="Cambria"/>
          <w:i/>
          <w:iCs/>
          <w:spacing w:val="-12"/>
          <w:w w:val="105"/>
          <w:sz w:val="19"/>
          <w:szCs w:val="19"/>
        </w:rPr>
        <w:t xml:space="preserve"> </w:t>
      </w:r>
      <w:r>
        <w:rPr>
          <w:rFonts w:ascii="Cambria" w:hAnsi="Cambria" w:cs="Cambria"/>
          <w:i/>
          <w:iCs/>
          <w:w w:val="105"/>
          <w:sz w:val="19"/>
          <w:szCs w:val="19"/>
        </w:rPr>
        <w:t>is</w:t>
      </w:r>
      <w:r>
        <w:rPr>
          <w:rFonts w:ascii="Cambria" w:hAnsi="Cambria" w:cs="Cambria"/>
          <w:i/>
          <w:iCs/>
          <w:spacing w:val="-13"/>
          <w:w w:val="105"/>
          <w:sz w:val="19"/>
          <w:szCs w:val="19"/>
        </w:rPr>
        <w:t xml:space="preserve"> </w:t>
      </w:r>
      <w:r>
        <w:rPr>
          <w:rFonts w:ascii="Cambria" w:hAnsi="Cambria" w:cs="Cambria"/>
          <w:i/>
          <w:iCs/>
          <w:w w:val="105"/>
          <w:sz w:val="19"/>
          <w:szCs w:val="19"/>
        </w:rPr>
        <w:t>a</w:t>
      </w:r>
      <w:r>
        <w:rPr>
          <w:rFonts w:ascii="Cambria" w:hAnsi="Cambria" w:cs="Cambria"/>
          <w:i/>
          <w:iCs/>
          <w:spacing w:val="-10"/>
          <w:w w:val="105"/>
          <w:sz w:val="19"/>
          <w:szCs w:val="19"/>
        </w:rPr>
        <w:t xml:space="preserve"> </w:t>
      </w:r>
      <w:r>
        <w:rPr>
          <w:rFonts w:ascii="Cambria" w:hAnsi="Cambria" w:cs="Cambria"/>
          <w:i/>
          <w:iCs/>
          <w:w w:val="105"/>
          <w:sz w:val="19"/>
          <w:szCs w:val="19"/>
        </w:rPr>
        <w:t>501(c)(3)</w:t>
      </w:r>
      <w:r>
        <w:rPr>
          <w:rFonts w:ascii="Cambria" w:hAnsi="Cambria" w:cs="Cambria"/>
          <w:i/>
          <w:iCs/>
          <w:spacing w:val="-13"/>
          <w:w w:val="105"/>
          <w:sz w:val="19"/>
          <w:szCs w:val="19"/>
        </w:rPr>
        <w:t xml:space="preserve"> </w:t>
      </w:r>
      <w:r>
        <w:rPr>
          <w:rFonts w:ascii="Cambria" w:hAnsi="Cambria" w:cs="Cambria"/>
          <w:i/>
          <w:iCs/>
          <w:w w:val="105"/>
          <w:sz w:val="19"/>
          <w:szCs w:val="19"/>
        </w:rPr>
        <w:t>national</w:t>
      </w:r>
      <w:r>
        <w:rPr>
          <w:rFonts w:ascii="Cambria" w:hAnsi="Cambria" w:cs="Cambria"/>
          <w:i/>
          <w:iCs/>
          <w:spacing w:val="-11"/>
          <w:w w:val="105"/>
          <w:sz w:val="19"/>
          <w:szCs w:val="19"/>
        </w:rPr>
        <w:t xml:space="preserve"> </w:t>
      </w:r>
      <w:r>
        <w:rPr>
          <w:rFonts w:ascii="Cambria" w:hAnsi="Cambria" w:cs="Cambria"/>
          <w:i/>
          <w:iCs/>
          <w:w w:val="105"/>
          <w:sz w:val="19"/>
          <w:szCs w:val="19"/>
        </w:rPr>
        <w:t>movement</w:t>
      </w:r>
      <w:r>
        <w:rPr>
          <w:rFonts w:ascii="Cambria" w:hAnsi="Cambria" w:cs="Cambria"/>
          <w:i/>
          <w:iCs/>
          <w:spacing w:val="-10"/>
          <w:w w:val="105"/>
          <w:sz w:val="19"/>
          <w:szCs w:val="19"/>
        </w:rPr>
        <w:t xml:space="preserve"> </w:t>
      </w:r>
      <w:r>
        <w:rPr>
          <w:rFonts w:ascii="Cambria" w:hAnsi="Cambria" w:cs="Cambria"/>
          <w:i/>
          <w:iCs/>
          <w:w w:val="105"/>
          <w:sz w:val="19"/>
          <w:szCs w:val="19"/>
        </w:rPr>
        <w:t>that</w:t>
      </w:r>
      <w:r>
        <w:rPr>
          <w:rFonts w:ascii="Cambria" w:hAnsi="Cambria" w:cs="Cambria"/>
          <w:i/>
          <w:iCs/>
          <w:spacing w:val="-13"/>
          <w:w w:val="105"/>
          <w:sz w:val="19"/>
          <w:szCs w:val="19"/>
        </w:rPr>
        <w:t xml:space="preserve"> </w:t>
      </w:r>
      <w:r>
        <w:rPr>
          <w:rFonts w:ascii="Cambria" w:hAnsi="Cambria" w:cs="Cambria"/>
          <w:i/>
          <w:iCs/>
          <w:w w:val="105"/>
          <w:sz w:val="19"/>
          <w:szCs w:val="19"/>
        </w:rPr>
        <w:t>mobilizes</w:t>
      </w:r>
      <w:r>
        <w:rPr>
          <w:rFonts w:ascii="Cambria" w:hAnsi="Cambria" w:cs="Cambria"/>
          <w:i/>
          <w:iCs/>
          <w:spacing w:val="-10"/>
          <w:w w:val="105"/>
          <w:sz w:val="19"/>
          <w:szCs w:val="19"/>
        </w:rPr>
        <w:t xml:space="preserve"> </w:t>
      </w:r>
      <w:r>
        <w:rPr>
          <w:rFonts w:ascii="Cambria" w:hAnsi="Cambria" w:cs="Cambria"/>
          <w:i/>
          <w:iCs/>
          <w:w w:val="105"/>
          <w:sz w:val="19"/>
          <w:szCs w:val="19"/>
        </w:rPr>
        <w:t>physicians</w:t>
      </w:r>
      <w:r>
        <w:rPr>
          <w:rFonts w:ascii="Cambria" w:hAnsi="Cambria" w:cs="Cambria"/>
          <w:i/>
          <w:iCs/>
          <w:spacing w:val="-13"/>
          <w:w w:val="105"/>
          <w:sz w:val="19"/>
          <w:szCs w:val="19"/>
        </w:rPr>
        <w:t xml:space="preserve"> </w:t>
      </w:r>
      <w:r>
        <w:rPr>
          <w:rFonts w:ascii="Cambria" w:hAnsi="Cambria" w:cs="Cambria"/>
          <w:i/>
          <w:iCs/>
          <w:w w:val="105"/>
          <w:sz w:val="19"/>
          <w:szCs w:val="19"/>
        </w:rPr>
        <w:t>and</w:t>
      </w:r>
      <w:r>
        <w:rPr>
          <w:rFonts w:ascii="Cambria" w:hAnsi="Cambria" w:cs="Cambria"/>
          <w:i/>
          <w:iCs/>
          <w:spacing w:val="-12"/>
          <w:w w:val="105"/>
          <w:sz w:val="19"/>
          <w:szCs w:val="19"/>
        </w:rPr>
        <w:t xml:space="preserve"> </w:t>
      </w:r>
      <w:r>
        <w:rPr>
          <w:rFonts w:ascii="Cambria" w:hAnsi="Cambria" w:cs="Cambria"/>
          <w:i/>
          <w:iCs/>
          <w:w w:val="105"/>
          <w:sz w:val="19"/>
          <w:szCs w:val="19"/>
        </w:rPr>
        <w:t>medical</w:t>
      </w:r>
      <w:r>
        <w:rPr>
          <w:rFonts w:ascii="Cambria" w:hAnsi="Cambria" w:cs="Cambria"/>
          <w:i/>
          <w:iCs/>
          <w:spacing w:val="-14"/>
          <w:w w:val="105"/>
          <w:sz w:val="19"/>
          <w:szCs w:val="19"/>
        </w:rPr>
        <w:t xml:space="preserve"> </w:t>
      </w:r>
      <w:r>
        <w:rPr>
          <w:rFonts w:ascii="Cambria" w:hAnsi="Cambria" w:cs="Cambria"/>
          <w:i/>
          <w:iCs/>
          <w:w w:val="105"/>
          <w:sz w:val="19"/>
          <w:szCs w:val="19"/>
        </w:rPr>
        <w:t>students</w:t>
      </w:r>
      <w:r>
        <w:rPr>
          <w:rFonts w:ascii="Cambria" w:hAnsi="Cambria" w:cs="Cambria"/>
          <w:i/>
          <w:iCs/>
          <w:spacing w:val="-13"/>
          <w:w w:val="105"/>
          <w:sz w:val="19"/>
          <w:szCs w:val="19"/>
        </w:rPr>
        <w:t xml:space="preserve"> </w:t>
      </w:r>
      <w:r>
        <w:rPr>
          <w:rFonts w:ascii="Cambria" w:hAnsi="Cambria" w:cs="Cambria"/>
          <w:i/>
          <w:iCs/>
          <w:w w:val="105"/>
          <w:sz w:val="19"/>
          <w:szCs w:val="19"/>
        </w:rPr>
        <w:t>to</w:t>
      </w:r>
      <w:r>
        <w:rPr>
          <w:rFonts w:ascii="Cambria" w:hAnsi="Cambria" w:cs="Cambria"/>
          <w:i/>
          <w:iCs/>
          <w:spacing w:val="-14"/>
          <w:w w:val="105"/>
          <w:sz w:val="19"/>
          <w:szCs w:val="19"/>
        </w:rPr>
        <w:t xml:space="preserve"> </w:t>
      </w:r>
      <w:r>
        <w:rPr>
          <w:rFonts w:ascii="Cambria" w:hAnsi="Cambria" w:cs="Cambria"/>
          <w:i/>
          <w:iCs/>
          <w:w w:val="105"/>
          <w:sz w:val="19"/>
          <w:szCs w:val="19"/>
        </w:rPr>
        <w:t>put</w:t>
      </w:r>
      <w:r>
        <w:rPr>
          <w:rFonts w:ascii="Cambria" w:hAnsi="Cambria" w:cs="Cambria"/>
          <w:i/>
          <w:iCs/>
          <w:spacing w:val="-13"/>
          <w:w w:val="105"/>
          <w:sz w:val="19"/>
          <w:szCs w:val="19"/>
        </w:rPr>
        <w:t xml:space="preserve"> </w:t>
      </w:r>
      <w:r>
        <w:rPr>
          <w:rFonts w:ascii="Cambria" w:hAnsi="Cambria" w:cs="Cambria"/>
          <w:i/>
          <w:iCs/>
          <w:w w:val="105"/>
          <w:sz w:val="19"/>
          <w:szCs w:val="19"/>
        </w:rPr>
        <w:t>patients over</w:t>
      </w:r>
      <w:r>
        <w:rPr>
          <w:rFonts w:ascii="Cambria" w:hAnsi="Cambria" w:cs="Cambria"/>
          <w:i/>
          <w:iCs/>
          <w:spacing w:val="-10"/>
          <w:w w:val="105"/>
          <w:sz w:val="19"/>
          <w:szCs w:val="19"/>
        </w:rPr>
        <w:t xml:space="preserve"> </w:t>
      </w:r>
      <w:r>
        <w:rPr>
          <w:rFonts w:ascii="Cambria" w:hAnsi="Cambria" w:cs="Cambria"/>
          <w:i/>
          <w:iCs/>
          <w:w w:val="105"/>
          <w:sz w:val="19"/>
          <w:szCs w:val="19"/>
        </w:rPr>
        <w:t>politics</w:t>
      </w:r>
      <w:r>
        <w:rPr>
          <w:rFonts w:ascii="Cambria" w:hAnsi="Cambria" w:cs="Cambria"/>
          <w:i/>
          <w:iCs/>
          <w:spacing w:val="-9"/>
          <w:w w:val="105"/>
          <w:sz w:val="19"/>
          <w:szCs w:val="19"/>
        </w:rPr>
        <w:t xml:space="preserve"> </w:t>
      </w:r>
      <w:r>
        <w:rPr>
          <w:rFonts w:ascii="Cambria" w:hAnsi="Cambria" w:cs="Cambria"/>
          <w:i/>
          <w:iCs/>
          <w:w w:val="105"/>
          <w:sz w:val="19"/>
          <w:szCs w:val="19"/>
        </w:rPr>
        <w:t>on</w:t>
      </w:r>
      <w:r>
        <w:rPr>
          <w:rFonts w:ascii="Cambria" w:hAnsi="Cambria" w:cs="Cambria"/>
          <w:i/>
          <w:iCs/>
          <w:spacing w:val="-11"/>
          <w:w w:val="105"/>
          <w:sz w:val="19"/>
          <w:szCs w:val="19"/>
        </w:rPr>
        <w:t xml:space="preserve"> </w:t>
      </w:r>
      <w:r>
        <w:rPr>
          <w:rFonts w:ascii="Cambria" w:hAnsi="Cambria" w:cs="Cambria"/>
          <w:i/>
          <w:iCs/>
          <w:w w:val="105"/>
          <w:sz w:val="19"/>
          <w:szCs w:val="19"/>
        </w:rPr>
        <w:t>the</w:t>
      </w:r>
      <w:r>
        <w:rPr>
          <w:rFonts w:ascii="Cambria" w:hAnsi="Cambria" w:cs="Cambria"/>
          <w:i/>
          <w:iCs/>
          <w:spacing w:val="-10"/>
          <w:w w:val="105"/>
          <w:sz w:val="19"/>
          <w:szCs w:val="19"/>
        </w:rPr>
        <w:t xml:space="preserve"> </w:t>
      </w:r>
      <w:r>
        <w:rPr>
          <w:rFonts w:ascii="Cambria" w:hAnsi="Cambria" w:cs="Cambria"/>
          <w:i/>
          <w:iCs/>
          <w:w w:val="105"/>
          <w:sz w:val="19"/>
          <w:szCs w:val="19"/>
        </w:rPr>
        <w:t>pressing</w:t>
      </w:r>
      <w:r>
        <w:rPr>
          <w:rFonts w:ascii="Cambria" w:hAnsi="Cambria" w:cs="Cambria"/>
          <w:i/>
          <w:iCs/>
          <w:spacing w:val="-9"/>
          <w:w w:val="105"/>
          <w:sz w:val="19"/>
          <w:szCs w:val="19"/>
        </w:rPr>
        <w:t xml:space="preserve"> </w:t>
      </w:r>
      <w:r>
        <w:rPr>
          <w:rFonts w:ascii="Cambria" w:hAnsi="Cambria" w:cs="Cambria"/>
          <w:i/>
          <w:iCs/>
          <w:w w:val="105"/>
          <w:sz w:val="19"/>
          <w:szCs w:val="19"/>
        </w:rPr>
        <w:t>issues</w:t>
      </w:r>
      <w:r>
        <w:rPr>
          <w:rFonts w:ascii="Cambria" w:hAnsi="Cambria" w:cs="Cambria"/>
          <w:i/>
          <w:iCs/>
          <w:spacing w:val="-9"/>
          <w:w w:val="105"/>
          <w:sz w:val="19"/>
          <w:szCs w:val="19"/>
        </w:rPr>
        <w:t xml:space="preserve"> </w:t>
      </w:r>
      <w:r>
        <w:rPr>
          <w:rFonts w:ascii="Cambria" w:hAnsi="Cambria" w:cs="Cambria"/>
          <w:i/>
          <w:iCs/>
          <w:w w:val="105"/>
          <w:sz w:val="19"/>
          <w:szCs w:val="19"/>
        </w:rPr>
        <w:t>of</w:t>
      </w:r>
      <w:r>
        <w:rPr>
          <w:rFonts w:ascii="Cambria" w:hAnsi="Cambria" w:cs="Cambria"/>
          <w:i/>
          <w:iCs/>
          <w:spacing w:val="-11"/>
          <w:w w:val="105"/>
          <w:sz w:val="19"/>
          <w:szCs w:val="19"/>
        </w:rPr>
        <w:t xml:space="preserve"> </w:t>
      </w:r>
      <w:r>
        <w:rPr>
          <w:rFonts w:ascii="Cambria" w:hAnsi="Cambria" w:cs="Cambria"/>
          <w:i/>
          <w:iCs/>
          <w:w w:val="105"/>
          <w:sz w:val="19"/>
          <w:szCs w:val="19"/>
        </w:rPr>
        <w:t>the</w:t>
      </w:r>
      <w:r>
        <w:rPr>
          <w:rFonts w:ascii="Cambria" w:hAnsi="Cambria" w:cs="Cambria"/>
          <w:i/>
          <w:iCs/>
          <w:spacing w:val="-10"/>
          <w:w w:val="105"/>
          <w:sz w:val="19"/>
          <w:szCs w:val="19"/>
        </w:rPr>
        <w:t xml:space="preserve"> </w:t>
      </w:r>
      <w:r>
        <w:rPr>
          <w:rFonts w:ascii="Cambria" w:hAnsi="Cambria" w:cs="Cambria"/>
          <w:i/>
          <w:iCs/>
          <w:w w:val="105"/>
          <w:sz w:val="19"/>
          <w:szCs w:val="19"/>
        </w:rPr>
        <w:t>day</w:t>
      </w:r>
      <w:r>
        <w:rPr>
          <w:rFonts w:ascii="Cambria" w:hAnsi="Cambria" w:cs="Cambria"/>
          <w:i/>
          <w:iCs/>
          <w:spacing w:val="-10"/>
          <w:w w:val="105"/>
          <w:sz w:val="19"/>
          <w:szCs w:val="19"/>
        </w:rPr>
        <w:t xml:space="preserve"> </w:t>
      </w:r>
      <w:r>
        <w:rPr>
          <w:rFonts w:ascii="Cambria" w:hAnsi="Cambria" w:cs="Cambria"/>
          <w:i/>
          <w:iCs/>
          <w:w w:val="105"/>
          <w:sz w:val="19"/>
          <w:szCs w:val="19"/>
        </w:rPr>
        <w:t>to</w:t>
      </w:r>
      <w:r>
        <w:rPr>
          <w:rFonts w:ascii="Cambria" w:hAnsi="Cambria" w:cs="Cambria"/>
          <w:i/>
          <w:iCs/>
          <w:spacing w:val="-10"/>
          <w:w w:val="105"/>
          <w:sz w:val="19"/>
          <w:szCs w:val="19"/>
        </w:rPr>
        <w:t xml:space="preserve"> </w:t>
      </w:r>
      <w:r>
        <w:rPr>
          <w:rFonts w:ascii="Cambria" w:hAnsi="Cambria" w:cs="Cambria"/>
          <w:i/>
          <w:iCs/>
          <w:w w:val="105"/>
          <w:sz w:val="19"/>
          <w:szCs w:val="19"/>
        </w:rPr>
        <w:t>improve</w:t>
      </w:r>
      <w:r>
        <w:rPr>
          <w:rFonts w:ascii="Cambria" w:hAnsi="Cambria" w:cs="Cambria"/>
          <w:i/>
          <w:iCs/>
          <w:spacing w:val="-10"/>
          <w:w w:val="105"/>
          <w:sz w:val="19"/>
          <w:szCs w:val="19"/>
        </w:rPr>
        <w:t xml:space="preserve"> </w:t>
      </w:r>
      <w:r>
        <w:rPr>
          <w:rFonts w:ascii="Cambria" w:hAnsi="Cambria" w:cs="Cambria"/>
          <w:i/>
          <w:iCs/>
          <w:w w:val="105"/>
          <w:sz w:val="19"/>
          <w:szCs w:val="19"/>
        </w:rPr>
        <w:t>the</w:t>
      </w:r>
      <w:r>
        <w:rPr>
          <w:rFonts w:ascii="Cambria" w:hAnsi="Cambria" w:cs="Cambria"/>
          <w:i/>
          <w:iCs/>
          <w:spacing w:val="-10"/>
          <w:w w:val="105"/>
          <w:sz w:val="19"/>
          <w:szCs w:val="19"/>
        </w:rPr>
        <w:t xml:space="preserve"> </w:t>
      </w:r>
      <w:r>
        <w:rPr>
          <w:rFonts w:ascii="Cambria" w:hAnsi="Cambria" w:cs="Cambria"/>
          <w:i/>
          <w:iCs/>
          <w:w w:val="105"/>
          <w:sz w:val="19"/>
          <w:szCs w:val="19"/>
        </w:rPr>
        <w:t>health</w:t>
      </w:r>
      <w:r>
        <w:rPr>
          <w:rFonts w:ascii="Cambria" w:hAnsi="Cambria" w:cs="Cambria"/>
          <w:i/>
          <w:iCs/>
          <w:spacing w:val="-10"/>
          <w:w w:val="105"/>
          <w:sz w:val="19"/>
          <w:szCs w:val="19"/>
        </w:rPr>
        <w:t xml:space="preserve"> </w:t>
      </w:r>
      <w:r>
        <w:rPr>
          <w:rFonts w:ascii="Cambria" w:hAnsi="Cambria" w:cs="Cambria"/>
          <w:i/>
          <w:iCs/>
          <w:w w:val="105"/>
          <w:sz w:val="19"/>
          <w:szCs w:val="19"/>
        </w:rPr>
        <w:t>of</w:t>
      </w:r>
      <w:r>
        <w:rPr>
          <w:rFonts w:ascii="Cambria" w:hAnsi="Cambria" w:cs="Cambria"/>
          <w:i/>
          <w:iCs/>
          <w:spacing w:val="-11"/>
          <w:w w:val="105"/>
          <w:sz w:val="19"/>
          <w:szCs w:val="19"/>
        </w:rPr>
        <w:t xml:space="preserve"> </w:t>
      </w:r>
      <w:r>
        <w:rPr>
          <w:rFonts w:ascii="Cambria" w:hAnsi="Cambria" w:cs="Cambria"/>
          <w:i/>
          <w:iCs/>
          <w:w w:val="105"/>
          <w:sz w:val="19"/>
          <w:szCs w:val="19"/>
        </w:rPr>
        <w:t>our</w:t>
      </w:r>
      <w:r>
        <w:rPr>
          <w:rFonts w:ascii="Cambria" w:hAnsi="Cambria" w:cs="Cambria"/>
          <w:i/>
          <w:iCs/>
          <w:spacing w:val="-10"/>
          <w:w w:val="105"/>
          <w:sz w:val="19"/>
          <w:szCs w:val="19"/>
        </w:rPr>
        <w:t xml:space="preserve"> </w:t>
      </w:r>
      <w:r>
        <w:rPr>
          <w:rFonts w:ascii="Cambria" w:hAnsi="Cambria" w:cs="Cambria"/>
          <w:i/>
          <w:iCs/>
          <w:w w:val="105"/>
          <w:sz w:val="19"/>
          <w:szCs w:val="19"/>
        </w:rPr>
        <w:t>patients,</w:t>
      </w:r>
      <w:r>
        <w:rPr>
          <w:rFonts w:ascii="Cambria" w:hAnsi="Cambria" w:cs="Cambria"/>
          <w:i/>
          <w:iCs/>
          <w:spacing w:val="-12"/>
          <w:w w:val="105"/>
          <w:sz w:val="19"/>
          <w:szCs w:val="19"/>
        </w:rPr>
        <w:t xml:space="preserve"> </w:t>
      </w:r>
      <w:r>
        <w:rPr>
          <w:rFonts w:ascii="Cambria" w:hAnsi="Cambria" w:cs="Cambria"/>
          <w:i/>
          <w:iCs/>
          <w:w w:val="105"/>
          <w:sz w:val="19"/>
          <w:szCs w:val="19"/>
        </w:rPr>
        <w:t>communities,</w:t>
      </w:r>
      <w:r>
        <w:rPr>
          <w:rFonts w:ascii="Cambria" w:hAnsi="Cambria" w:cs="Cambria"/>
          <w:i/>
          <w:iCs/>
          <w:spacing w:val="-9"/>
          <w:w w:val="105"/>
          <w:sz w:val="19"/>
          <w:szCs w:val="19"/>
        </w:rPr>
        <w:t xml:space="preserve"> </w:t>
      </w:r>
      <w:r>
        <w:rPr>
          <w:rFonts w:ascii="Cambria" w:hAnsi="Cambria" w:cs="Cambria"/>
          <w:i/>
          <w:iCs/>
          <w:w w:val="105"/>
          <w:sz w:val="19"/>
          <w:szCs w:val="19"/>
        </w:rPr>
        <w:t>and</w:t>
      </w:r>
      <w:r>
        <w:rPr>
          <w:rFonts w:ascii="Cambria" w:hAnsi="Cambria" w:cs="Cambria"/>
          <w:i/>
          <w:iCs/>
          <w:spacing w:val="-11"/>
          <w:w w:val="105"/>
          <w:sz w:val="19"/>
          <w:szCs w:val="19"/>
        </w:rPr>
        <w:t xml:space="preserve"> </w:t>
      </w:r>
      <w:r>
        <w:rPr>
          <w:rFonts w:ascii="Cambria" w:hAnsi="Cambria" w:cs="Cambria"/>
          <w:i/>
          <w:iCs/>
          <w:w w:val="105"/>
          <w:sz w:val="19"/>
          <w:szCs w:val="19"/>
        </w:rPr>
        <w:t>nation..</w:t>
      </w:r>
    </w:p>
    <w:p w:rsidR="002C5025" w:rsidRDefault="002C5025">
      <w:pPr>
        <w:pStyle w:val="BodyText"/>
        <w:kinsoku w:val="0"/>
        <w:overflowPunct w:val="0"/>
        <w:spacing w:before="107" w:line="244" w:lineRule="auto"/>
        <w:ind w:left="642" w:right="773" w:hanging="348"/>
        <w:rPr>
          <w:rFonts w:ascii="Cambria" w:hAnsi="Cambria" w:cs="Cambria"/>
          <w:i/>
          <w:iCs/>
          <w:w w:val="105"/>
          <w:sz w:val="19"/>
          <w:szCs w:val="19"/>
        </w:rPr>
        <w:sectPr w:rsidR="002C5025">
          <w:pgSz w:w="12240" w:h="15840"/>
          <w:pgMar w:top="940" w:right="820" w:bottom="280" w:left="800" w:header="720" w:footer="720" w:gutter="0"/>
          <w:pgBorders w:offsetFrom="page">
            <w:top w:val="single" w:sz="24" w:space="24" w:color="213957"/>
            <w:left w:val="single" w:sz="24" w:space="24" w:color="213957"/>
            <w:bottom w:val="single" w:sz="24" w:space="24" w:color="213957"/>
            <w:right w:val="single" w:sz="24" w:space="24" w:color="213957"/>
          </w:pgBorders>
          <w:cols w:space="720"/>
          <w:noEndnote/>
        </w:sectPr>
      </w:pPr>
    </w:p>
    <w:p w:rsidR="002C5025" w:rsidRDefault="002C5025">
      <w:pPr>
        <w:pStyle w:val="BodyText"/>
        <w:kinsoku w:val="0"/>
        <w:overflowPunct w:val="0"/>
        <w:spacing w:before="52" w:line="273" w:lineRule="auto"/>
        <w:ind w:left="143" w:right="920"/>
        <w:rPr>
          <w:rFonts w:ascii="Times New Roman" w:hAnsi="Times New Roman" w:cs="Times New Roman"/>
          <w:sz w:val="24"/>
          <w:szCs w:val="24"/>
        </w:rPr>
      </w:pPr>
      <w:r>
        <w:rPr>
          <w:rFonts w:ascii="Times New Roman" w:hAnsi="Times New Roman" w:cs="Times New Roman"/>
          <w:sz w:val="24"/>
          <w:szCs w:val="24"/>
        </w:rPr>
        <w:lastRenderedPageBreak/>
        <w:t>proposal are limited, however, and their success or failure will be dictated by how they are defined, measured, compensated, and the value they bring to the care of the patient.</w:t>
      </w:r>
    </w:p>
    <w:p w:rsidR="002C5025" w:rsidRDefault="002C5025">
      <w:pPr>
        <w:pStyle w:val="BodyText"/>
        <w:kinsoku w:val="0"/>
        <w:overflowPunct w:val="0"/>
        <w:spacing w:before="6"/>
        <w:ind w:left="143" w:right="126"/>
        <w:rPr>
          <w:rFonts w:ascii="Times New Roman" w:hAnsi="Times New Roman" w:cs="Times New Roman"/>
          <w:sz w:val="24"/>
          <w:szCs w:val="24"/>
        </w:rPr>
      </w:pPr>
      <w:r>
        <w:rPr>
          <w:rFonts w:ascii="Times New Roman" w:hAnsi="Times New Roman" w:cs="Times New Roman"/>
          <w:sz w:val="24"/>
          <w:szCs w:val="24"/>
        </w:rPr>
        <w:t>We seek more information about this part of the waiver proposal, including:</w:t>
      </w:r>
    </w:p>
    <w:p w:rsidR="002C5025" w:rsidRDefault="002C5025">
      <w:pPr>
        <w:pStyle w:val="ListParagraph"/>
        <w:numPr>
          <w:ilvl w:val="0"/>
          <w:numId w:val="11"/>
        </w:numPr>
        <w:tabs>
          <w:tab w:val="left" w:pos="864"/>
        </w:tabs>
        <w:kinsoku w:val="0"/>
        <w:overflowPunct w:val="0"/>
        <w:spacing w:before="41"/>
      </w:pPr>
      <w:r>
        <w:t>How</w:t>
      </w:r>
      <w:r>
        <w:rPr>
          <w:spacing w:val="-8"/>
        </w:rPr>
        <w:t xml:space="preserve"> </w:t>
      </w:r>
      <w:r>
        <w:t>will</w:t>
      </w:r>
      <w:r>
        <w:rPr>
          <w:spacing w:val="-7"/>
        </w:rPr>
        <w:t xml:space="preserve"> </w:t>
      </w:r>
      <w:r>
        <w:t>risk</w:t>
      </w:r>
      <w:r>
        <w:rPr>
          <w:spacing w:val="-7"/>
        </w:rPr>
        <w:t xml:space="preserve"> </w:t>
      </w:r>
      <w:r>
        <w:t>and</w:t>
      </w:r>
      <w:r>
        <w:rPr>
          <w:spacing w:val="-7"/>
        </w:rPr>
        <w:t xml:space="preserve"> </w:t>
      </w:r>
      <w:r>
        <w:t>shared</w:t>
      </w:r>
      <w:r>
        <w:rPr>
          <w:spacing w:val="-5"/>
        </w:rPr>
        <w:t xml:space="preserve"> </w:t>
      </w:r>
      <w:r>
        <w:t>savings</w:t>
      </w:r>
      <w:r>
        <w:rPr>
          <w:spacing w:val="-7"/>
        </w:rPr>
        <w:t xml:space="preserve"> </w:t>
      </w:r>
      <w:r>
        <w:t>be</w:t>
      </w:r>
      <w:r>
        <w:rPr>
          <w:spacing w:val="-8"/>
        </w:rPr>
        <w:t xml:space="preserve"> </w:t>
      </w:r>
      <w:r>
        <w:t>distributed</w:t>
      </w:r>
      <w:r>
        <w:rPr>
          <w:spacing w:val="-7"/>
        </w:rPr>
        <w:t xml:space="preserve"> </w:t>
      </w:r>
      <w:r>
        <w:t>between</w:t>
      </w:r>
      <w:r>
        <w:rPr>
          <w:spacing w:val="-7"/>
        </w:rPr>
        <w:t xml:space="preserve"> </w:t>
      </w:r>
      <w:r>
        <w:t>different</w:t>
      </w:r>
      <w:r>
        <w:rPr>
          <w:spacing w:val="-7"/>
        </w:rPr>
        <w:t xml:space="preserve"> </w:t>
      </w:r>
      <w:r>
        <w:t>provider</w:t>
      </w:r>
      <w:r>
        <w:rPr>
          <w:spacing w:val="-6"/>
        </w:rPr>
        <w:t xml:space="preserve"> </w:t>
      </w:r>
      <w:r>
        <w:t>types?</w:t>
      </w:r>
    </w:p>
    <w:p w:rsidR="002C5025" w:rsidRDefault="002C5025">
      <w:pPr>
        <w:pStyle w:val="ListParagraph"/>
        <w:numPr>
          <w:ilvl w:val="0"/>
          <w:numId w:val="11"/>
        </w:numPr>
        <w:tabs>
          <w:tab w:val="left" w:pos="864"/>
        </w:tabs>
        <w:kinsoku w:val="0"/>
        <w:overflowPunct w:val="0"/>
        <w:spacing w:before="43" w:line="276" w:lineRule="auto"/>
        <w:ind w:right="364"/>
      </w:pPr>
      <w:r>
        <w:t>How</w:t>
      </w:r>
      <w:r>
        <w:rPr>
          <w:spacing w:val="-8"/>
        </w:rPr>
        <w:t xml:space="preserve"> </w:t>
      </w:r>
      <w:r>
        <w:t>will</w:t>
      </w:r>
      <w:r>
        <w:rPr>
          <w:spacing w:val="-7"/>
        </w:rPr>
        <w:t xml:space="preserve"> </w:t>
      </w:r>
      <w:r>
        <w:t>quality</w:t>
      </w:r>
      <w:r>
        <w:rPr>
          <w:spacing w:val="-11"/>
        </w:rPr>
        <w:t xml:space="preserve"> </w:t>
      </w:r>
      <w:r>
        <w:t>and</w:t>
      </w:r>
      <w:r>
        <w:rPr>
          <w:spacing w:val="-7"/>
        </w:rPr>
        <w:t xml:space="preserve"> </w:t>
      </w:r>
      <w:r>
        <w:t>performance</w:t>
      </w:r>
      <w:r>
        <w:rPr>
          <w:spacing w:val="-8"/>
        </w:rPr>
        <w:t xml:space="preserve"> </w:t>
      </w:r>
      <w:r>
        <w:t>metrics,</w:t>
      </w:r>
      <w:r>
        <w:rPr>
          <w:spacing w:val="-7"/>
        </w:rPr>
        <w:t xml:space="preserve"> </w:t>
      </w:r>
      <w:r>
        <w:t>that</w:t>
      </w:r>
      <w:r>
        <w:rPr>
          <w:spacing w:val="-7"/>
        </w:rPr>
        <w:t xml:space="preserve"> </w:t>
      </w:r>
      <w:r>
        <w:t>determine</w:t>
      </w:r>
      <w:r>
        <w:rPr>
          <w:spacing w:val="-8"/>
        </w:rPr>
        <w:t xml:space="preserve"> </w:t>
      </w:r>
      <w:r>
        <w:t>payment,</w:t>
      </w:r>
      <w:r>
        <w:rPr>
          <w:spacing w:val="-7"/>
        </w:rPr>
        <w:t xml:space="preserve"> </w:t>
      </w:r>
      <w:r>
        <w:t>be</w:t>
      </w:r>
      <w:r>
        <w:rPr>
          <w:spacing w:val="-8"/>
        </w:rPr>
        <w:t xml:space="preserve"> </w:t>
      </w:r>
      <w:r>
        <w:t>measured</w:t>
      </w:r>
      <w:r>
        <w:rPr>
          <w:spacing w:val="-7"/>
        </w:rPr>
        <w:t xml:space="preserve"> </w:t>
      </w:r>
      <w:r>
        <w:t>across</w:t>
      </w:r>
      <w:r>
        <w:rPr>
          <w:spacing w:val="-7"/>
        </w:rPr>
        <w:t xml:space="preserve"> </w:t>
      </w:r>
      <w:r>
        <w:t>these</w:t>
      </w:r>
      <w:r>
        <w:rPr>
          <w:spacing w:val="-8"/>
        </w:rPr>
        <w:t xml:space="preserve"> </w:t>
      </w:r>
      <w:r>
        <w:t>new linkages? Will there be quality metrics for each setting of care? Will cross continuum care be measured by comprehensive</w:t>
      </w:r>
      <w:r>
        <w:rPr>
          <w:spacing w:val="-37"/>
        </w:rPr>
        <w:t xml:space="preserve"> </w:t>
      </w:r>
      <w:r>
        <w:t>metrics?</w:t>
      </w:r>
    </w:p>
    <w:p w:rsidR="002C5025" w:rsidRDefault="002C5025">
      <w:pPr>
        <w:pStyle w:val="ListParagraph"/>
        <w:numPr>
          <w:ilvl w:val="0"/>
          <w:numId w:val="11"/>
        </w:numPr>
        <w:tabs>
          <w:tab w:val="left" w:pos="864"/>
        </w:tabs>
        <w:kinsoku w:val="0"/>
        <w:overflowPunct w:val="0"/>
        <w:spacing w:before="1"/>
      </w:pPr>
      <w:r>
        <w:t>How</w:t>
      </w:r>
      <w:r>
        <w:rPr>
          <w:spacing w:val="-8"/>
        </w:rPr>
        <w:t xml:space="preserve"> </w:t>
      </w:r>
      <w:r>
        <w:t>will</w:t>
      </w:r>
      <w:r>
        <w:rPr>
          <w:spacing w:val="-7"/>
        </w:rPr>
        <w:t xml:space="preserve"> </w:t>
      </w:r>
      <w:r>
        <w:t>payment</w:t>
      </w:r>
      <w:r>
        <w:rPr>
          <w:spacing w:val="-7"/>
        </w:rPr>
        <w:t xml:space="preserve"> </w:t>
      </w:r>
      <w:r>
        <w:t>to</w:t>
      </w:r>
      <w:r>
        <w:rPr>
          <w:spacing w:val="-7"/>
        </w:rPr>
        <w:t xml:space="preserve"> </w:t>
      </w:r>
      <w:r>
        <w:t>each</w:t>
      </w:r>
      <w:r>
        <w:rPr>
          <w:spacing w:val="-7"/>
        </w:rPr>
        <w:t xml:space="preserve"> </w:t>
      </w:r>
      <w:r>
        <w:t>provider</w:t>
      </w:r>
      <w:r>
        <w:rPr>
          <w:spacing w:val="-8"/>
        </w:rPr>
        <w:t xml:space="preserve"> </w:t>
      </w:r>
      <w:r>
        <w:t>type</w:t>
      </w:r>
      <w:r>
        <w:rPr>
          <w:spacing w:val="-8"/>
        </w:rPr>
        <w:t xml:space="preserve"> </w:t>
      </w:r>
      <w:r>
        <w:t>be</w:t>
      </w:r>
      <w:r>
        <w:rPr>
          <w:spacing w:val="-8"/>
        </w:rPr>
        <w:t xml:space="preserve"> </w:t>
      </w:r>
      <w:r>
        <w:t>determined?</w:t>
      </w:r>
    </w:p>
    <w:p w:rsidR="002C5025" w:rsidRDefault="002C5025">
      <w:pPr>
        <w:pStyle w:val="ListParagraph"/>
        <w:numPr>
          <w:ilvl w:val="0"/>
          <w:numId w:val="11"/>
        </w:numPr>
        <w:tabs>
          <w:tab w:val="left" w:pos="864"/>
        </w:tabs>
        <w:kinsoku w:val="0"/>
        <w:overflowPunct w:val="0"/>
        <w:spacing w:before="43"/>
      </w:pPr>
      <w:r>
        <w:t>What</w:t>
      </w:r>
      <w:r>
        <w:rPr>
          <w:spacing w:val="-9"/>
        </w:rPr>
        <w:t xml:space="preserve"> </w:t>
      </w:r>
      <w:r>
        <w:t>will</w:t>
      </w:r>
      <w:r>
        <w:rPr>
          <w:spacing w:val="-8"/>
        </w:rPr>
        <w:t xml:space="preserve"> </w:t>
      </w:r>
      <w:r>
        <w:t>these</w:t>
      </w:r>
      <w:r>
        <w:rPr>
          <w:spacing w:val="-8"/>
        </w:rPr>
        <w:t xml:space="preserve"> </w:t>
      </w:r>
      <w:r>
        <w:t>communications/linkages</w:t>
      </w:r>
      <w:r>
        <w:rPr>
          <w:spacing w:val="-8"/>
        </w:rPr>
        <w:t xml:space="preserve"> </w:t>
      </w:r>
      <w:r>
        <w:t>between</w:t>
      </w:r>
      <w:r>
        <w:rPr>
          <w:spacing w:val="-10"/>
        </w:rPr>
        <w:t xml:space="preserve"> </w:t>
      </w:r>
      <w:r>
        <w:t>CPs</w:t>
      </w:r>
      <w:r>
        <w:rPr>
          <w:spacing w:val="-8"/>
        </w:rPr>
        <w:t xml:space="preserve"> </w:t>
      </w:r>
      <w:r>
        <w:t>and</w:t>
      </w:r>
      <w:r>
        <w:rPr>
          <w:spacing w:val="-6"/>
        </w:rPr>
        <w:t xml:space="preserve"> </w:t>
      </w:r>
      <w:r>
        <w:t>LTSS</w:t>
      </w:r>
      <w:r>
        <w:rPr>
          <w:spacing w:val="-7"/>
        </w:rPr>
        <w:t xml:space="preserve"> </w:t>
      </w:r>
      <w:r>
        <w:t>actually</w:t>
      </w:r>
      <w:r>
        <w:rPr>
          <w:spacing w:val="-12"/>
        </w:rPr>
        <w:t xml:space="preserve"> </w:t>
      </w:r>
      <w:r>
        <w:t>look</w:t>
      </w:r>
      <w:r>
        <w:rPr>
          <w:spacing w:val="-8"/>
        </w:rPr>
        <w:t xml:space="preserve"> </w:t>
      </w:r>
      <w:r>
        <w:t>like?</w:t>
      </w:r>
    </w:p>
    <w:p w:rsidR="002C5025" w:rsidRDefault="002C5025">
      <w:pPr>
        <w:pStyle w:val="ListParagraph"/>
        <w:numPr>
          <w:ilvl w:val="0"/>
          <w:numId w:val="11"/>
        </w:numPr>
        <w:tabs>
          <w:tab w:val="left" w:pos="864"/>
        </w:tabs>
        <w:kinsoku w:val="0"/>
        <w:overflowPunct w:val="0"/>
        <w:spacing w:before="41"/>
      </w:pPr>
      <w:r>
        <w:t>How are the collaborations</w:t>
      </w:r>
      <w:r>
        <w:rPr>
          <w:spacing w:val="-39"/>
        </w:rPr>
        <w:t xml:space="preserve"> </w:t>
      </w:r>
      <w:r>
        <w:t>facilitated?</w:t>
      </w:r>
    </w:p>
    <w:p w:rsidR="002C5025" w:rsidRDefault="002C5025">
      <w:pPr>
        <w:pStyle w:val="ListParagraph"/>
        <w:numPr>
          <w:ilvl w:val="0"/>
          <w:numId w:val="11"/>
        </w:numPr>
        <w:tabs>
          <w:tab w:val="left" w:pos="864"/>
        </w:tabs>
        <w:kinsoku w:val="0"/>
        <w:overflowPunct w:val="0"/>
        <w:spacing w:before="41"/>
      </w:pPr>
      <w:r>
        <w:t>Will</w:t>
      </w:r>
      <w:r>
        <w:rPr>
          <w:spacing w:val="-7"/>
        </w:rPr>
        <w:t xml:space="preserve"> </w:t>
      </w:r>
      <w:r>
        <w:t>provider</w:t>
      </w:r>
      <w:r>
        <w:rPr>
          <w:spacing w:val="-8"/>
        </w:rPr>
        <w:t xml:space="preserve"> </w:t>
      </w:r>
      <w:r>
        <w:t>groups</w:t>
      </w:r>
      <w:r>
        <w:rPr>
          <w:spacing w:val="-7"/>
        </w:rPr>
        <w:t xml:space="preserve"> </w:t>
      </w:r>
      <w:r>
        <w:t>have</w:t>
      </w:r>
      <w:r>
        <w:rPr>
          <w:spacing w:val="-8"/>
        </w:rPr>
        <w:t xml:space="preserve"> </w:t>
      </w:r>
      <w:r>
        <w:t>control</w:t>
      </w:r>
      <w:r>
        <w:rPr>
          <w:spacing w:val="-7"/>
        </w:rPr>
        <w:t xml:space="preserve"> </w:t>
      </w:r>
      <w:r>
        <w:t>over</w:t>
      </w:r>
      <w:r>
        <w:rPr>
          <w:spacing w:val="-8"/>
        </w:rPr>
        <w:t xml:space="preserve"> </w:t>
      </w:r>
      <w:r>
        <w:t>which</w:t>
      </w:r>
      <w:r>
        <w:rPr>
          <w:spacing w:val="-2"/>
        </w:rPr>
        <w:t xml:space="preserve"> </w:t>
      </w:r>
      <w:r>
        <w:t>groups</w:t>
      </w:r>
      <w:r>
        <w:rPr>
          <w:spacing w:val="-7"/>
        </w:rPr>
        <w:t xml:space="preserve"> </w:t>
      </w:r>
      <w:r>
        <w:t>they</w:t>
      </w:r>
      <w:r>
        <w:rPr>
          <w:spacing w:val="-10"/>
        </w:rPr>
        <w:t xml:space="preserve"> </w:t>
      </w:r>
      <w:r>
        <w:t>partner</w:t>
      </w:r>
      <w:r>
        <w:rPr>
          <w:spacing w:val="-6"/>
        </w:rPr>
        <w:t xml:space="preserve"> </w:t>
      </w:r>
      <w:r>
        <w:t>with?</w:t>
      </w:r>
    </w:p>
    <w:p w:rsidR="002C5025" w:rsidRDefault="002C5025">
      <w:pPr>
        <w:pStyle w:val="ListParagraph"/>
        <w:numPr>
          <w:ilvl w:val="0"/>
          <w:numId w:val="11"/>
        </w:numPr>
        <w:tabs>
          <w:tab w:val="left" w:pos="864"/>
        </w:tabs>
        <w:kinsoku w:val="0"/>
        <w:overflowPunct w:val="0"/>
        <w:spacing w:before="38" w:line="280" w:lineRule="auto"/>
        <w:ind w:right="1015"/>
      </w:pPr>
      <w:r>
        <w:t>What</w:t>
      </w:r>
      <w:r>
        <w:rPr>
          <w:spacing w:val="-6"/>
        </w:rPr>
        <w:t xml:space="preserve"> </w:t>
      </w:r>
      <w:r>
        <w:t>type</w:t>
      </w:r>
      <w:r>
        <w:rPr>
          <w:spacing w:val="-7"/>
        </w:rPr>
        <w:t xml:space="preserve"> </w:t>
      </w:r>
      <w:r>
        <w:t>of</w:t>
      </w:r>
      <w:r>
        <w:rPr>
          <w:spacing w:val="-7"/>
        </w:rPr>
        <w:t xml:space="preserve"> </w:t>
      </w:r>
      <w:r>
        <w:t>communications</w:t>
      </w:r>
      <w:r>
        <w:rPr>
          <w:spacing w:val="-6"/>
        </w:rPr>
        <w:t xml:space="preserve"> </w:t>
      </w:r>
      <w:r>
        <w:t>will</w:t>
      </w:r>
      <w:r>
        <w:rPr>
          <w:spacing w:val="-6"/>
        </w:rPr>
        <w:t xml:space="preserve"> </w:t>
      </w:r>
      <w:r>
        <w:t>be</w:t>
      </w:r>
      <w:r>
        <w:rPr>
          <w:spacing w:val="-7"/>
        </w:rPr>
        <w:t xml:space="preserve"> </w:t>
      </w:r>
      <w:r>
        <w:t>permitted</w:t>
      </w:r>
      <w:r>
        <w:rPr>
          <w:spacing w:val="-6"/>
        </w:rPr>
        <w:t xml:space="preserve"> </w:t>
      </w:r>
      <w:r>
        <w:t>(keeping</w:t>
      </w:r>
      <w:r>
        <w:rPr>
          <w:spacing w:val="-9"/>
        </w:rPr>
        <w:t xml:space="preserve"> </w:t>
      </w:r>
      <w:r>
        <w:t>in</w:t>
      </w:r>
      <w:r>
        <w:rPr>
          <w:spacing w:val="-6"/>
        </w:rPr>
        <w:t xml:space="preserve"> </w:t>
      </w:r>
      <w:r>
        <w:t>mind</w:t>
      </w:r>
      <w:r>
        <w:rPr>
          <w:spacing w:val="-6"/>
        </w:rPr>
        <w:t xml:space="preserve"> </w:t>
      </w:r>
      <w:r>
        <w:t>that</w:t>
      </w:r>
      <w:r>
        <w:rPr>
          <w:spacing w:val="-3"/>
        </w:rPr>
        <w:t xml:space="preserve"> </w:t>
      </w:r>
      <w:r>
        <w:t>they</w:t>
      </w:r>
      <w:r>
        <w:rPr>
          <w:spacing w:val="-9"/>
        </w:rPr>
        <w:t xml:space="preserve"> </w:t>
      </w:r>
      <w:r>
        <w:t>must</w:t>
      </w:r>
      <w:r>
        <w:rPr>
          <w:spacing w:val="-6"/>
        </w:rPr>
        <w:t xml:space="preserve"> </w:t>
      </w:r>
      <w:r>
        <w:t>be</w:t>
      </w:r>
      <w:r>
        <w:rPr>
          <w:spacing w:val="-7"/>
        </w:rPr>
        <w:t xml:space="preserve"> </w:t>
      </w:r>
      <w:r>
        <w:t>HIPAA compliant, realistic, and</w:t>
      </w:r>
      <w:r>
        <w:rPr>
          <w:spacing w:val="-36"/>
        </w:rPr>
        <w:t xml:space="preserve"> </w:t>
      </w:r>
      <w:r>
        <w:t>feasible)?</w:t>
      </w:r>
    </w:p>
    <w:p w:rsidR="002C5025" w:rsidRDefault="002C5025">
      <w:pPr>
        <w:pStyle w:val="ListParagraph"/>
        <w:numPr>
          <w:ilvl w:val="0"/>
          <w:numId w:val="11"/>
        </w:numPr>
        <w:tabs>
          <w:tab w:val="left" w:pos="864"/>
        </w:tabs>
        <w:kinsoku w:val="0"/>
        <w:overflowPunct w:val="0"/>
      </w:pPr>
      <w:r>
        <w:t>What</w:t>
      </w:r>
      <w:r>
        <w:rPr>
          <w:spacing w:val="-9"/>
        </w:rPr>
        <w:t xml:space="preserve"> </w:t>
      </w:r>
      <w:r>
        <w:t>are</w:t>
      </w:r>
      <w:r>
        <w:rPr>
          <w:spacing w:val="-8"/>
        </w:rPr>
        <w:t xml:space="preserve"> </w:t>
      </w:r>
      <w:r>
        <w:t>the</w:t>
      </w:r>
      <w:r>
        <w:rPr>
          <w:spacing w:val="-11"/>
        </w:rPr>
        <w:t xml:space="preserve"> </w:t>
      </w:r>
      <w:r>
        <w:t>mandates</w:t>
      </w:r>
      <w:r>
        <w:rPr>
          <w:spacing w:val="-7"/>
        </w:rPr>
        <w:t xml:space="preserve"> </w:t>
      </w:r>
      <w:r>
        <w:t>for</w:t>
      </w:r>
      <w:r>
        <w:rPr>
          <w:spacing w:val="-10"/>
        </w:rPr>
        <w:t xml:space="preserve"> </w:t>
      </w:r>
      <w:r>
        <w:t>data-sharing</w:t>
      </w:r>
      <w:r>
        <w:rPr>
          <w:spacing w:val="-10"/>
        </w:rPr>
        <w:t xml:space="preserve"> </w:t>
      </w:r>
      <w:r>
        <w:t>and</w:t>
      </w:r>
      <w:r>
        <w:rPr>
          <w:spacing w:val="-7"/>
        </w:rPr>
        <w:t xml:space="preserve"> </w:t>
      </w:r>
      <w:r>
        <w:t>communications?</w:t>
      </w:r>
    </w:p>
    <w:p w:rsidR="002C5025" w:rsidRDefault="002C5025">
      <w:pPr>
        <w:pStyle w:val="ListParagraph"/>
        <w:numPr>
          <w:ilvl w:val="0"/>
          <w:numId w:val="11"/>
        </w:numPr>
        <w:tabs>
          <w:tab w:val="left" w:pos="864"/>
        </w:tabs>
        <w:kinsoku w:val="0"/>
        <w:overflowPunct w:val="0"/>
        <w:spacing w:before="38"/>
      </w:pPr>
      <w:r>
        <w:t>How</w:t>
      </w:r>
      <w:r>
        <w:rPr>
          <w:spacing w:val="-8"/>
        </w:rPr>
        <w:t xml:space="preserve"> </w:t>
      </w:r>
      <w:r>
        <w:t>will</w:t>
      </w:r>
      <w:r>
        <w:rPr>
          <w:spacing w:val="-7"/>
        </w:rPr>
        <w:t xml:space="preserve"> </w:t>
      </w:r>
      <w:r>
        <w:t>reimbursement</w:t>
      </w:r>
      <w:r>
        <w:rPr>
          <w:spacing w:val="-4"/>
        </w:rPr>
        <w:t xml:space="preserve"> </w:t>
      </w:r>
      <w:r>
        <w:t>and</w:t>
      </w:r>
      <w:r>
        <w:rPr>
          <w:spacing w:val="-7"/>
        </w:rPr>
        <w:t xml:space="preserve"> </w:t>
      </w:r>
      <w:r>
        <w:t>compensation</w:t>
      </w:r>
      <w:r>
        <w:rPr>
          <w:spacing w:val="-7"/>
        </w:rPr>
        <w:t xml:space="preserve"> </w:t>
      </w:r>
      <w:r>
        <w:t>for</w:t>
      </w:r>
      <w:r>
        <w:rPr>
          <w:spacing w:val="-3"/>
        </w:rPr>
        <w:t xml:space="preserve"> </w:t>
      </w:r>
      <w:r>
        <w:t>LTSS</w:t>
      </w:r>
      <w:r>
        <w:rPr>
          <w:spacing w:val="-6"/>
        </w:rPr>
        <w:t xml:space="preserve"> </w:t>
      </w:r>
      <w:r>
        <w:t>and</w:t>
      </w:r>
      <w:r>
        <w:rPr>
          <w:spacing w:val="-7"/>
        </w:rPr>
        <w:t xml:space="preserve"> </w:t>
      </w:r>
      <w:r>
        <w:t>CPs</w:t>
      </w:r>
      <w:r>
        <w:rPr>
          <w:spacing w:val="-7"/>
        </w:rPr>
        <w:t xml:space="preserve"> </w:t>
      </w:r>
      <w:r>
        <w:t>be</w:t>
      </w:r>
      <w:r>
        <w:rPr>
          <w:spacing w:val="-8"/>
        </w:rPr>
        <w:t xml:space="preserve"> </w:t>
      </w:r>
      <w:r>
        <w:t>determined?</w:t>
      </w:r>
    </w:p>
    <w:p w:rsidR="002C5025" w:rsidRDefault="002C5025">
      <w:pPr>
        <w:pStyle w:val="ListParagraph"/>
        <w:numPr>
          <w:ilvl w:val="0"/>
          <w:numId w:val="11"/>
        </w:numPr>
        <w:tabs>
          <w:tab w:val="left" w:pos="864"/>
        </w:tabs>
        <w:kinsoku w:val="0"/>
        <w:overflowPunct w:val="0"/>
        <w:spacing w:before="41"/>
      </w:pPr>
      <w:r>
        <w:t>How</w:t>
      </w:r>
      <w:r>
        <w:rPr>
          <w:spacing w:val="-8"/>
        </w:rPr>
        <w:t xml:space="preserve"> </w:t>
      </w:r>
      <w:r>
        <w:t>will</w:t>
      </w:r>
      <w:r>
        <w:rPr>
          <w:spacing w:val="-7"/>
        </w:rPr>
        <w:t xml:space="preserve"> </w:t>
      </w:r>
      <w:r>
        <w:t>performance</w:t>
      </w:r>
      <w:r>
        <w:rPr>
          <w:spacing w:val="-6"/>
        </w:rPr>
        <w:t xml:space="preserve"> </w:t>
      </w:r>
      <w:r>
        <w:t>for</w:t>
      </w:r>
      <w:r>
        <w:rPr>
          <w:spacing w:val="-6"/>
        </w:rPr>
        <w:t xml:space="preserve"> </w:t>
      </w:r>
      <w:r>
        <w:t>LTSS</w:t>
      </w:r>
      <w:r>
        <w:rPr>
          <w:spacing w:val="-6"/>
        </w:rPr>
        <w:t xml:space="preserve"> </w:t>
      </w:r>
      <w:r>
        <w:t>and</w:t>
      </w:r>
      <w:r>
        <w:rPr>
          <w:spacing w:val="-5"/>
        </w:rPr>
        <w:t xml:space="preserve"> </w:t>
      </w:r>
      <w:r>
        <w:t>CPs</w:t>
      </w:r>
      <w:r>
        <w:rPr>
          <w:spacing w:val="-7"/>
        </w:rPr>
        <w:t xml:space="preserve"> </w:t>
      </w:r>
      <w:r>
        <w:t>be</w:t>
      </w:r>
      <w:r>
        <w:rPr>
          <w:spacing w:val="-8"/>
        </w:rPr>
        <w:t xml:space="preserve"> </w:t>
      </w:r>
      <w:r>
        <w:t>determined?</w:t>
      </w:r>
    </w:p>
    <w:p w:rsidR="002C5025" w:rsidRDefault="002C5025">
      <w:pPr>
        <w:pStyle w:val="BodyText"/>
        <w:kinsoku w:val="0"/>
        <w:overflowPunct w:val="0"/>
        <w:spacing w:before="3"/>
        <w:rPr>
          <w:rFonts w:ascii="Times New Roman" w:hAnsi="Times New Roman" w:cs="Times New Roman"/>
          <w:sz w:val="31"/>
          <w:szCs w:val="31"/>
        </w:rPr>
      </w:pPr>
    </w:p>
    <w:p w:rsidR="002C5025" w:rsidRDefault="002C5025">
      <w:pPr>
        <w:pStyle w:val="BodyText"/>
        <w:kinsoku w:val="0"/>
        <w:overflowPunct w:val="0"/>
        <w:ind w:left="143" w:right="126"/>
        <w:rPr>
          <w:rFonts w:ascii="Times New Roman" w:hAnsi="Times New Roman" w:cs="Times New Roman"/>
          <w:b/>
          <w:bCs/>
          <w:sz w:val="24"/>
          <w:szCs w:val="24"/>
        </w:rPr>
      </w:pPr>
      <w:bookmarkStart w:id="127" w:name="Network_Adequacy"/>
      <w:bookmarkEnd w:id="127"/>
      <w:r>
        <w:rPr>
          <w:rFonts w:ascii="Times New Roman" w:hAnsi="Times New Roman" w:cs="Times New Roman"/>
          <w:b/>
          <w:bCs/>
          <w:sz w:val="24"/>
          <w:szCs w:val="24"/>
        </w:rPr>
        <w:t>Network Adequacy</w:t>
      </w:r>
    </w:p>
    <w:p w:rsidR="002C5025" w:rsidRDefault="002C5025">
      <w:pPr>
        <w:pStyle w:val="BodyText"/>
        <w:kinsoku w:val="0"/>
        <w:overflowPunct w:val="0"/>
        <w:spacing w:before="10"/>
        <w:rPr>
          <w:rFonts w:ascii="Times New Roman" w:hAnsi="Times New Roman" w:cs="Times New Roman"/>
          <w:b/>
          <w:bCs/>
          <w:sz w:val="30"/>
          <w:szCs w:val="30"/>
        </w:rPr>
      </w:pPr>
    </w:p>
    <w:p w:rsidR="002C5025" w:rsidRDefault="002C5025">
      <w:pPr>
        <w:pStyle w:val="BodyText"/>
        <w:kinsoku w:val="0"/>
        <w:overflowPunct w:val="0"/>
        <w:spacing w:line="276" w:lineRule="auto"/>
        <w:ind w:left="143" w:right="114"/>
        <w:rPr>
          <w:rFonts w:ascii="Times New Roman" w:hAnsi="Times New Roman" w:cs="Times New Roman"/>
          <w:sz w:val="24"/>
          <w:szCs w:val="24"/>
        </w:rPr>
      </w:pPr>
      <w:r>
        <w:rPr>
          <w:rFonts w:ascii="Times New Roman" w:hAnsi="Times New Roman" w:cs="Times New Roman"/>
          <w:sz w:val="24"/>
          <w:szCs w:val="24"/>
        </w:rPr>
        <w:t>Ensuring adequate access to care and preserving care relationships are of paramount importance. Especially given provider shortages and disparities in provider density by geography, narrow networks can lead to barriers to care, missed care, and can worsen disparities. Further, effective care occurs within care relationships of trust. Care should be taken to avoid disruption of patient-provider relationships. Narrow networks are more likely to lead to loss of a trusted provider in order to stay in network.</w:t>
      </w:r>
    </w:p>
    <w:p w:rsidR="002C5025" w:rsidRDefault="002C5025">
      <w:pPr>
        <w:pStyle w:val="BodyText"/>
        <w:kinsoku w:val="0"/>
        <w:overflowPunct w:val="0"/>
        <w:spacing w:before="7"/>
        <w:rPr>
          <w:rFonts w:ascii="Times New Roman" w:hAnsi="Times New Roman" w:cs="Times New Roman"/>
          <w:sz w:val="27"/>
          <w:szCs w:val="27"/>
        </w:rPr>
      </w:pPr>
    </w:p>
    <w:p w:rsidR="002C5025" w:rsidRDefault="002C5025">
      <w:pPr>
        <w:pStyle w:val="BodyText"/>
        <w:kinsoku w:val="0"/>
        <w:overflowPunct w:val="0"/>
        <w:spacing w:line="276" w:lineRule="auto"/>
        <w:ind w:left="143" w:right="233"/>
        <w:rPr>
          <w:rFonts w:ascii="Times New Roman" w:hAnsi="Times New Roman" w:cs="Times New Roman"/>
          <w:sz w:val="24"/>
          <w:szCs w:val="24"/>
        </w:rPr>
      </w:pPr>
      <w:r>
        <w:rPr>
          <w:rFonts w:ascii="Times New Roman" w:hAnsi="Times New Roman" w:cs="Times New Roman"/>
          <w:sz w:val="24"/>
          <w:szCs w:val="24"/>
        </w:rPr>
        <w:t>Network adequacy is especially important for service types and vulnerable populations most at risk for disparities. Examples are behavioral health providers and pediatric providers. Specific metrics for network adequacy for each ACO and each provider type within ACOs (e.g. pediatric providers, behavioral health providers) are critical.</w:t>
      </w:r>
    </w:p>
    <w:p w:rsidR="002C5025" w:rsidRDefault="002C5025">
      <w:pPr>
        <w:pStyle w:val="BodyText"/>
        <w:kinsoku w:val="0"/>
        <w:overflowPunct w:val="0"/>
        <w:rPr>
          <w:rFonts w:ascii="Times New Roman" w:hAnsi="Times New Roman" w:cs="Times New Roman"/>
          <w:sz w:val="28"/>
          <w:szCs w:val="28"/>
        </w:rPr>
      </w:pPr>
    </w:p>
    <w:p w:rsidR="002C5025" w:rsidRDefault="002C5025">
      <w:pPr>
        <w:pStyle w:val="BodyText"/>
        <w:kinsoku w:val="0"/>
        <w:overflowPunct w:val="0"/>
        <w:spacing w:line="276" w:lineRule="auto"/>
        <w:ind w:left="143" w:right="153"/>
        <w:rPr>
          <w:rFonts w:ascii="Times New Roman" w:hAnsi="Times New Roman" w:cs="Times New Roman"/>
          <w:sz w:val="24"/>
          <w:szCs w:val="24"/>
        </w:rPr>
      </w:pPr>
      <w:r>
        <w:rPr>
          <w:rFonts w:ascii="Times New Roman" w:hAnsi="Times New Roman" w:cs="Times New Roman"/>
          <w:sz w:val="24"/>
          <w:szCs w:val="24"/>
        </w:rPr>
        <w:t>Further network stability is critical. Member choice of a network happens at the time of selecting coverage. However, many plans renew contracts or change provider networks after a member has enrolled in coverage. This can disrupt existing care relationships despite continuous insurance coverage. It is essential that up-to-date provider directories are maintained.</w:t>
      </w:r>
    </w:p>
    <w:p w:rsidR="002C5025" w:rsidRDefault="002C5025">
      <w:pPr>
        <w:pStyle w:val="BodyText"/>
        <w:kinsoku w:val="0"/>
        <w:overflowPunct w:val="0"/>
        <w:spacing w:before="1"/>
        <w:ind w:left="143" w:right="126"/>
        <w:rPr>
          <w:rFonts w:ascii="Times New Roman" w:hAnsi="Times New Roman" w:cs="Times New Roman"/>
          <w:sz w:val="24"/>
          <w:szCs w:val="24"/>
        </w:rPr>
      </w:pPr>
      <w:r>
        <w:rPr>
          <w:rFonts w:ascii="Times New Roman" w:hAnsi="Times New Roman" w:cs="Times New Roman"/>
          <w:sz w:val="24"/>
          <w:szCs w:val="24"/>
        </w:rPr>
        <w:t>Specific network adequacy metrics should include:</w:t>
      </w:r>
    </w:p>
    <w:p w:rsidR="002C5025" w:rsidRDefault="002C5025">
      <w:pPr>
        <w:pStyle w:val="ListParagraph"/>
        <w:numPr>
          <w:ilvl w:val="0"/>
          <w:numId w:val="11"/>
        </w:numPr>
        <w:tabs>
          <w:tab w:val="left" w:pos="864"/>
        </w:tabs>
        <w:kinsoku w:val="0"/>
        <w:overflowPunct w:val="0"/>
        <w:spacing w:before="43"/>
      </w:pPr>
      <w:r>
        <w:t>Wait</w:t>
      </w:r>
      <w:r>
        <w:rPr>
          <w:spacing w:val="-9"/>
        </w:rPr>
        <w:t xml:space="preserve"> </w:t>
      </w:r>
      <w:r>
        <w:t>times</w:t>
      </w:r>
      <w:r>
        <w:rPr>
          <w:spacing w:val="-9"/>
        </w:rPr>
        <w:t xml:space="preserve"> </w:t>
      </w:r>
      <w:r>
        <w:t>to</w:t>
      </w:r>
      <w:r>
        <w:rPr>
          <w:spacing w:val="-10"/>
        </w:rPr>
        <w:t xml:space="preserve"> </w:t>
      </w:r>
      <w:r>
        <w:t>appointment</w:t>
      </w:r>
      <w:r>
        <w:rPr>
          <w:spacing w:val="-9"/>
        </w:rPr>
        <w:t xml:space="preserve"> </w:t>
      </w:r>
      <w:r>
        <w:t>How</w:t>
      </w:r>
      <w:r>
        <w:rPr>
          <w:spacing w:val="-8"/>
        </w:rPr>
        <w:t xml:space="preserve"> </w:t>
      </w:r>
      <w:r>
        <w:t>are</w:t>
      </w:r>
      <w:r>
        <w:rPr>
          <w:spacing w:val="-8"/>
        </w:rPr>
        <w:t xml:space="preserve"> </w:t>
      </w:r>
      <w:r>
        <w:t>the</w:t>
      </w:r>
      <w:r>
        <w:rPr>
          <w:spacing w:val="-8"/>
        </w:rPr>
        <w:t xml:space="preserve"> </w:t>
      </w:r>
      <w:r>
        <w:t>collaborations</w:t>
      </w:r>
      <w:r>
        <w:rPr>
          <w:spacing w:val="-9"/>
        </w:rPr>
        <w:t xml:space="preserve"> </w:t>
      </w:r>
      <w:r>
        <w:t>facilitated?</w:t>
      </w:r>
    </w:p>
    <w:p w:rsidR="002C5025" w:rsidRDefault="002C5025">
      <w:pPr>
        <w:pStyle w:val="ListParagraph"/>
        <w:numPr>
          <w:ilvl w:val="0"/>
          <w:numId w:val="11"/>
        </w:numPr>
        <w:tabs>
          <w:tab w:val="left" w:pos="864"/>
        </w:tabs>
        <w:kinsoku w:val="0"/>
        <w:overflowPunct w:val="0"/>
        <w:spacing w:before="41"/>
      </w:pPr>
      <w:r>
        <w:t>Distance to</w:t>
      </w:r>
      <w:r>
        <w:rPr>
          <w:spacing w:val="-20"/>
        </w:rPr>
        <w:t xml:space="preserve"> </w:t>
      </w:r>
      <w:r>
        <w:t>provider</w:t>
      </w:r>
    </w:p>
    <w:p w:rsidR="002C5025" w:rsidRDefault="002C5025">
      <w:pPr>
        <w:pStyle w:val="ListParagraph"/>
        <w:numPr>
          <w:ilvl w:val="0"/>
          <w:numId w:val="11"/>
        </w:numPr>
        <w:tabs>
          <w:tab w:val="left" w:pos="864"/>
        </w:tabs>
        <w:kinsoku w:val="0"/>
        <w:overflowPunct w:val="0"/>
        <w:spacing w:before="43"/>
      </w:pPr>
      <w:r>
        <w:t>Travel time to</w:t>
      </w:r>
      <w:r>
        <w:rPr>
          <w:spacing w:val="-27"/>
        </w:rPr>
        <w:t xml:space="preserve"> </w:t>
      </w:r>
      <w:r>
        <w:t>provider</w:t>
      </w:r>
    </w:p>
    <w:p w:rsidR="002C5025" w:rsidRDefault="002C5025">
      <w:pPr>
        <w:pStyle w:val="ListParagraph"/>
        <w:numPr>
          <w:ilvl w:val="0"/>
          <w:numId w:val="11"/>
        </w:numPr>
        <w:tabs>
          <w:tab w:val="left" w:pos="864"/>
        </w:tabs>
        <w:kinsoku w:val="0"/>
        <w:overflowPunct w:val="0"/>
        <w:spacing w:before="43"/>
      </w:pPr>
      <w:r>
        <w:t>Minimum provider/enrollee</w:t>
      </w:r>
      <w:r>
        <w:rPr>
          <w:spacing w:val="-37"/>
        </w:rPr>
        <w:t xml:space="preserve"> </w:t>
      </w:r>
      <w:r>
        <w:t>ratios</w:t>
      </w:r>
    </w:p>
    <w:p w:rsidR="002C5025" w:rsidRDefault="002C5025">
      <w:pPr>
        <w:pStyle w:val="ListParagraph"/>
        <w:numPr>
          <w:ilvl w:val="0"/>
          <w:numId w:val="11"/>
        </w:numPr>
        <w:tabs>
          <w:tab w:val="left" w:pos="864"/>
        </w:tabs>
        <w:kinsoku w:val="0"/>
        <w:overflowPunct w:val="0"/>
        <w:spacing w:before="41"/>
      </w:pPr>
      <w:r>
        <w:t>Percentage</w:t>
      </w:r>
      <w:r>
        <w:rPr>
          <w:spacing w:val="-8"/>
        </w:rPr>
        <w:t xml:space="preserve"> </w:t>
      </w:r>
      <w:r>
        <w:t>enrollees</w:t>
      </w:r>
      <w:r>
        <w:rPr>
          <w:spacing w:val="-7"/>
        </w:rPr>
        <w:t xml:space="preserve"> </w:t>
      </w:r>
      <w:r>
        <w:t>who</w:t>
      </w:r>
      <w:r>
        <w:rPr>
          <w:spacing w:val="-5"/>
        </w:rPr>
        <w:t xml:space="preserve"> </w:t>
      </w:r>
      <w:r>
        <w:t>changed</w:t>
      </w:r>
      <w:r>
        <w:rPr>
          <w:spacing w:val="-7"/>
        </w:rPr>
        <w:t xml:space="preserve"> </w:t>
      </w:r>
      <w:r>
        <w:t>primary</w:t>
      </w:r>
      <w:r>
        <w:rPr>
          <w:spacing w:val="-12"/>
        </w:rPr>
        <w:t xml:space="preserve"> </w:t>
      </w:r>
      <w:r>
        <w:t>care</w:t>
      </w:r>
      <w:r>
        <w:rPr>
          <w:spacing w:val="-8"/>
        </w:rPr>
        <w:t xml:space="preserve"> </w:t>
      </w:r>
      <w:r>
        <w:t>providers</w:t>
      </w:r>
      <w:r>
        <w:rPr>
          <w:spacing w:val="-7"/>
        </w:rPr>
        <w:t xml:space="preserve"> </w:t>
      </w:r>
      <w:r>
        <w:t>in</w:t>
      </w:r>
      <w:r>
        <w:rPr>
          <w:spacing w:val="-7"/>
        </w:rPr>
        <w:t xml:space="preserve"> </w:t>
      </w:r>
      <w:r>
        <w:t>a</w:t>
      </w:r>
      <w:r>
        <w:rPr>
          <w:spacing w:val="-6"/>
        </w:rPr>
        <w:t xml:space="preserve"> </w:t>
      </w:r>
      <w:r>
        <w:t>year</w:t>
      </w:r>
    </w:p>
    <w:p w:rsidR="002C5025" w:rsidRDefault="002C5025">
      <w:pPr>
        <w:pStyle w:val="ListParagraph"/>
        <w:numPr>
          <w:ilvl w:val="0"/>
          <w:numId w:val="11"/>
        </w:numPr>
        <w:tabs>
          <w:tab w:val="left" w:pos="864"/>
        </w:tabs>
        <w:kinsoku w:val="0"/>
        <w:overflowPunct w:val="0"/>
        <w:spacing w:before="41"/>
      </w:pPr>
      <w:r>
        <w:t>Percentage</w:t>
      </w:r>
      <w:r>
        <w:rPr>
          <w:spacing w:val="-8"/>
        </w:rPr>
        <w:t xml:space="preserve"> </w:t>
      </w:r>
      <w:r>
        <w:t>of</w:t>
      </w:r>
      <w:r>
        <w:rPr>
          <w:spacing w:val="-8"/>
        </w:rPr>
        <w:t xml:space="preserve"> </w:t>
      </w:r>
      <w:r>
        <w:t>change</w:t>
      </w:r>
      <w:r>
        <w:rPr>
          <w:spacing w:val="-8"/>
        </w:rPr>
        <w:t xml:space="preserve"> </w:t>
      </w:r>
      <w:r>
        <w:t>to</w:t>
      </w:r>
      <w:r>
        <w:rPr>
          <w:spacing w:val="-5"/>
        </w:rPr>
        <w:t xml:space="preserve"> </w:t>
      </w:r>
      <w:r>
        <w:t>provider</w:t>
      </w:r>
      <w:r>
        <w:rPr>
          <w:spacing w:val="-8"/>
        </w:rPr>
        <w:t xml:space="preserve"> </w:t>
      </w:r>
      <w:r>
        <w:t>network</w:t>
      </w:r>
      <w:r>
        <w:rPr>
          <w:spacing w:val="-5"/>
        </w:rPr>
        <w:t xml:space="preserve"> </w:t>
      </w:r>
      <w:r>
        <w:t>per</w:t>
      </w:r>
      <w:r>
        <w:rPr>
          <w:spacing w:val="-3"/>
        </w:rPr>
        <w:t xml:space="preserve"> </w:t>
      </w:r>
      <w:r>
        <w:t>year</w:t>
      </w:r>
    </w:p>
    <w:p w:rsidR="002C5025" w:rsidRDefault="002C5025">
      <w:pPr>
        <w:pStyle w:val="BodyText"/>
        <w:kinsoku w:val="0"/>
        <w:overflowPunct w:val="0"/>
        <w:spacing w:before="10"/>
        <w:rPr>
          <w:rFonts w:ascii="Times New Roman" w:hAnsi="Times New Roman" w:cs="Times New Roman"/>
          <w:sz w:val="25"/>
          <w:szCs w:val="25"/>
        </w:rPr>
      </w:pPr>
    </w:p>
    <w:p w:rsidR="002C5025" w:rsidRDefault="00FB027C">
      <w:pPr>
        <w:pStyle w:val="BodyText"/>
        <w:kinsoku w:val="0"/>
        <w:overflowPunct w:val="0"/>
        <w:spacing w:before="75"/>
        <w:ind w:right="108"/>
        <w:jc w:val="right"/>
        <w:rPr>
          <w:rFonts w:ascii="Times New Roman" w:hAnsi="Times New Roman" w:cs="Times New Roman"/>
          <w:w w:val="99"/>
          <w:sz w:val="19"/>
          <w:szCs w:val="19"/>
        </w:rPr>
      </w:pPr>
      <w:r>
        <w:rPr>
          <w:noProof/>
        </w:rPr>
        <mc:AlternateContent>
          <mc:Choice Requires="wpg">
            <w:drawing>
              <wp:anchor distT="0" distB="0" distL="114300" distR="114300" simplePos="0" relativeHeight="251605504" behindDoc="0" locked="0" layoutInCell="0" allowOverlap="1">
                <wp:simplePos x="0" y="0"/>
                <wp:positionH relativeFrom="page">
                  <wp:posOffset>572135</wp:posOffset>
                </wp:positionH>
                <wp:positionV relativeFrom="paragraph">
                  <wp:posOffset>48260</wp:posOffset>
                </wp:positionV>
                <wp:extent cx="6410960" cy="38100"/>
                <wp:effectExtent l="0" t="0" r="0" b="0"/>
                <wp:wrapNone/>
                <wp:docPr id="674" name="Group 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0960" cy="38100"/>
                          <a:chOff x="901" y="76"/>
                          <a:chExt cx="10096" cy="60"/>
                        </a:xfrm>
                      </wpg:grpSpPr>
                      <wps:wsp>
                        <wps:cNvPr id="675" name="Freeform 349"/>
                        <wps:cNvSpPr>
                          <a:spLocks/>
                        </wps:cNvSpPr>
                        <wps:spPr bwMode="auto">
                          <a:xfrm>
                            <a:off x="917" y="84"/>
                            <a:ext cx="10065" cy="20"/>
                          </a:xfrm>
                          <a:custGeom>
                            <a:avLst/>
                            <a:gdLst>
                              <a:gd name="T0" fmla="*/ 0 w 10065"/>
                              <a:gd name="T1" fmla="*/ 0 h 20"/>
                              <a:gd name="T2" fmla="*/ 10065 w 10065"/>
                              <a:gd name="T3" fmla="*/ 0 h 20"/>
                            </a:gdLst>
                            <a:ahLst/>
                            <a:cxnLst>
                              <a:cxn ang="0">
                                <a:pos x="T0" y="T1"/>
                              </a:cxn>
                              <a:cxn ang="0">
                                <a:pos x="T2" y="T3"/>
                              </a:cxn>
                            </a:cxnLst>
                            <a:rect l="0" t="0" r="r" b="b"/>
                            <a:pathLst>
                              <a:path w="10065" h="20">
                                <a:moveTo>
                                  <a:pt x="0" y="0"/>
                                </a:moveTo>
                                <a:lnTo>
                                  <a:pt x="10065"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6" name="Freeform 350"/>
                        <wps:cNvSpPr>
                          <a:spLocks/>
                        </wps:cNvSpPr>
                        <wps:spPr bwMode="auto">
                          <a:xfrm>
                            <a:off x="917" y="106"/>
                            <a:ext cx="10065" cy="20"/>
                          </a:xfrm>
                          <a:custGeom>
                            <a:avLst/>
                            <a:gdLst>
                              <a:gd name="T0" fmla="*/ 0 w 10065"/>
                              <a:gd name="T1" fmla="*/ 0 h 20"/>
                              <a:gd name="T2" fmla="*/ 10065 w 10065"/>
                              <a:gd name="T3" fmla="*/ 0 h 20"/>
                            </a:gdLst>
                            <a:ahLst/>
                            <a:cxnLst>
                              <a:cxn ang="0">
                                <a:pos x="T0" y="T1"/>
                              </a:cxn>
                              <a:cxn ang="0">
                                <a:pos x="T2" y="T3"/>
                              </a:cxn>
                            </a:cxnLst>
                            <a:rect l="0" t="0" r="r" b="b"/>
                            <a:pathLst>
                              <a:path w="10065" h="20">
                                <a:moveTo>
                                  <a:pt x="0" y="0"/>
                                </a:moveTo>
                                <a:lnTo>
                                  <a:pt x="10065" y="0"/>
                                </a:lnTo>
                              </a:path>
                            </a:pathLst>
                          </a:custGeom>
                          <a:noFill/>
                          <a:ln w="19558">
                            <a:solidFill>
                              <a:srgbClr val="6060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7" name="Freeform 351"/>
                        <wps:cNvSpPr>
                          <a:spLocks/>
                        </wps:cNvSpPr>
                        <wps:spPr bwMode="auto">
                          <a:xfrm>
                            <a:off x="917" y="127"/>
                            <a:ext cx="10065" cy="20"/>
                          </a:xfrm>
                          <a:custGeom>
                            <a:avLst/>
                            <a:gdLst>
                              <a:gd name="T0" fmla="*/ 0 w 10065"/>
                              <a:gd name="T1" fmla="*/ 0 h 20"/>
                              <a:gd name="T2" fmla="*/ 10065 w 10065"/>
                              <a:gd name="T3" fmla="*/ 0 h 20"/>
                            </a:gdLst>
                            <a:ahLst/>
                            <a:cxnLst>
                              <a:cxn ang="0">
                                <a:pos x="T0" y="T1"/>
                              </a:cxn>
                              <a:cxn ang="0">
                                <a:pos x="T2" y="T3"/>
                              </a:cxn>
                            </a:cxnLst>
                            <a:rect l="0" t="0" r="r" b="b"/>
                            <a:pathLst>
                              <a:path w="10065" h="20">
                                <a:moveTo>
                                  <a:pt x="0" y="0"/>
                                </a:moveTo>
                                <a:lnTo>
                                  <a:pt x="10065" y="0"/>
                                </a:lnTo>
                              </a:path>
                            </a:pathLst>
                          </a:custGeom>
                          <a:noFill/>
                          <a:ln w="10414">
                            <a:solidFill>
                              <a:srgbClr val="C1C1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8" o:spid="_x0000_s1026" style="position:absolute;margin-left:45.05pt;margin-top:3.8pt;width:504.8pt;height:3pt;z-index:251605504;mso-position-horizontal-relative:page" coordorigin="901,76" coordsize="1009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" o:allowincell="f">
                <v:shape id="Freeform 349" o:spid="_x0000_s1027" style="position:absolute;left:917;top:84;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TQncYA&#10;AADcAAAADwAAAGRycy9kb3ducmV2LnhtbESPQWvCQBSE7wX/w/IEL6VuWlBL6ipFqUgOhWig10f2&#10;maTNvl2yq0Z/vSsUPA4z8w0zX/amFSfqfGNZwes4AUFcWt1wpaDYf728g/ABWWNrmRRcyMNyMXia&#10;Y6rtmXM67UIlIoR9igrqEFwqpS9rMujH1hFH72A7gyHKrpK6w3OEm1a+JclUGmw4LtToaFVT+bc7&#10;GgXb7998/WOuhbvq1aFwz1m2yTOlRsP+8wNEoD48wv/trVYwnU3gfiYeAbm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zTQncYAAADcAAAADwAAAAAAAAAAAAAAAACYAgAAZHJz&#10;L2Rvd25yZXYueG1sUEsFBgAAAAAEAAQA9QAAAIsDAAAAAA==&#10;" path="m,l10065,e" filled="f" strokeweight=".82pt">
                  <v:path arrowok="t" o:connecttype="custom" o:connectlocs="0,0;10065,0" o:connectangles="0,0"/>
                </v:shape>
                <v:shape id="Freeform 350" o:spid="_x0000_s1028" style="position:absolute;left:917;top:106;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ne18UA&#10;AADcAAAADwAAAGRycy9kb3ducmV2LnhtbESPzUoDQRCE74LvMLSQm5mNhFXWTIIGEkIuwVXEY7PT&#10;+6M7PctMm2zePiMIORZV9RW1WI2uV0cKsfNsYDbNQBFX3nbcGPh439w/gYqCbLH3TAbOFGG1vL1Z&#10;YGH9id/oWEqjEoRjgQZakaHQOlYtOYxTPxAnr/bBoSQZGm0DnhLc9fohy3LtsOO00OJA65aqn/LX&#10;GfjCjS3zeb0ev4PMDq/1p2z3zpjJ3fjyDEpolGv4v72zBvLHHP7OpCOgl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id7XxQAAANwAAAAPAAAAAAAAAAAAAAAAAJgCAABkcnMv&#10;ZG93bnJldi54bWxQSwUGAAAAAAQABAD1AAAAigMAAAAA&#10;" path="m,l10065,e" filled="f" strokecolor="#606060" strokeweight="1.54pt">
                  <v:path arrowok="t" o:connecttype="custom" o:connectlocs="0,0;10065,0" o:connectangles="0,0"/>
                </v:shape>
                <v:shape id="Freeform 351" o:spid="_x0000_s1029" style="position:absolute;left:917;top:127;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mY78QA&#10;AADcAAAADwAAAGRycy9kb3ducmV2LnhtbESPQWuDQBSE74X+h+UVemvWRjCNySYUobRXTaB4e7gv&#10;KnHfirtVk1/fDQRyHGbmG2a7n00nRhpca1nB+yICQVxZ3XKt4Hj4evsA4Tyyxs4yKbiQg/3u+WmL&#10;qbYT5zQWvhYBwi5FBY33fSqlqxoy6Ba2Jw7eyQ4GfZBDLfWAU4CbTi6jKJEGWw4LDfaUNVSdiz+j&#10;oMyT3/V3f+U4znxeJpmpy3yp1OvL/LkB4Wn2j/C9/aMVJKsV3M6EIyB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5mO/EAAAA3AAAAA8AAAAAAAAAAAAAAAAAmAIAAGRycy9k&#10;b3ducmV2LnhtbFBLBQYAAAAABAAEAPUAAACJAwAAAAA=&#10;" path="m,l10065,e" filled="f" strokecolor="#c1c1c1" strokeweight=".82pt">
                  <v:path arrowok="t" o:connecttype="custom" o:connectlocs="0,0;10065,0" o:connectangles="0,0"/>
                </v:shape>
                <w10:wrap anchorx="page"/>
              </v:group>
            </w:pict>
          </mc:Fallback>
        </mc:AlternateContent>
      </w:r>
      <w:r w:rsidR="002C5025">
        <w:rPr>
          <w:rFonts w:ascii="Times New Roman" w:hAnsi="Times New Roman" w:cs="Times New Roman"/>
          <w:w w:val="99"/>
          <w:sz w:val="19"/>
          <w:szCs w:val="19"/>
        </w:rPr>
        <w:t>6</w:t>
      </w:r>
    </w:p>
    <w:p w:rsidR="002C5025" w:rsidRDefault="002C5025">
      <w:pPr>
        <w:pStyle w:val="BodyText"/>
        <w:kinsoku w:val="0"/>
        <w:overflowPunct w:val="0"/>
        <w:spacing w:before="109" w:line="247" w:lineRule="auto"/>
        <w:ind w:left="642" w:right="773" w:hanging="348"/>
        <w:rPr>
          <w:rFonts w:ascii="Cambria" w:hAnsi="Cambria" w:cs="Cambria"/>
          <w:i/>
          <w:iCs/>
          <w:w w:val="105"/>
          <w:sz w:val="19"/>
          <w:szCs w:val="19"/>
        </w:rPr>
      </w:pPr>
      <w:r>
        <w:rPr>
          <w:rFonts w:ascii="Cambria" w:hAnsi="Cambria" w:cs="Cambria"/>
          <w:i/>
          <w:iCs/>
          <w:w w:val="105"/>
          <w:sz w:val="19"/>
          <w:szCs w:val="19"/>
        </w:rPr>
        <w:t>Doctors</w:t>
      </w:r>
      <w:r>
        <w:rPr>
          <w:rFonts w:ascii="Cambria" w:hAnsi="Cambria" w:cs="Cambria"/>
          <w:i/>
          <w:iCs/>
          <w:spacing w:val="-10"/>
          <w:w w:val="105"/>
          <w:sz w:val="19"/>
          <w:szCs w:val="19"/>
        </w:rPr>
        <w:t xml:space="preserve"> </w:t>
      </w:r>
      <w:r>
        <w:rPr>
          <w:rFonts w:ascii="Cambria" w:hAnsi="Cambria" w:cs="Cambria"/>
          <w:i/>
          <w:iCs/>
          <w:w w:val="105"/>
          <w:sz w:val="19"/>
          <w:szCs w:val="19"/>
        </w:rPr>
        <w:t>for</w:t>
      </w:r>
      <w:r>
        <w:rPr>
          <w:rFonts w:ascii="Cambria" w:hAnsi="Cambria" w:cs="Cambria"/>
          <w:i/>
          <w:iCs/>
          <w:spacing w:val="-13"/>
          <w:w w:val="105"/>
          <w:sz w:val="19"/>
          <w:szCs w:val="19"/>
        </w:rPr>
        <w:t xml:space="preserve"> </w:t>
      </w:r>
      <w:r>
        <w:rPr>
          <w:rFonts w:ascii="Cambria" w:hAnsi="Cambria" w:cs="Cambria"/>
          <w:i/>
          <w:iCs/>
          <w:w w:val="105"/>
          <w:sz w:val="19"/>
          <w:szCs w:val="19"/>
        </w:rPr>
        <w:t>America</w:t>
      </w:r>
      <w:r>
        <w:rPr>
          <w:rFonts w:ascii="Cambria" w:hAnsi="Cambria" w:cs="Cambria"/>
          <w:i/>
          <w:iCs/>
          <w:spacing w:val="-12"/>
          <w:w w:val="105"/>
          <w:sz w:val="19"/>
          <w:szCs w:val="19"/>
        </w:rPr>
        <w:t xml:space="preserve"> </w:t>
      </w:r>
      <w:r>
        <w:rPr>
          <w:rFonts w:ascii="Cambria" w:hAnsi="Cambria" w:cs="Cambria"/>
          <w:i/>
          <w:iCs/>
          <w:w w:val="105"/>
          <w:sz w:val="19"/>
          <w:szCs w:val="19"/>
        </w:rPr>
        <w:t>is</w:t>
      </w:r>
      <w:r>
        <w:rPr>
          <w:rFonts w:ascii="Cambria" w:hAnsi="Cambria" w:cs="Cambria"/>
          <w:i/>
          <w:iCs/>
          <w:spacing w:val="-13"/>
          <w:w w:val="105"/>
          <w:sz w:val="19"/>
          <w:szCs w:val="19"/>
        </w:rPr>
        <w:t xml:space="preserve"> </w:t>
      </w:r>
      <w:r>
        <w:rPr>
          <w:rFonts w:ascii="Cambria" w:hAnsi="Cambria" w:cs="Cambria"/>
          <w:i/>
          <w:iCs/>
          <w:w w:val="105"/>
          <w:sz w:val="19"/>
          <w:szCs w:val="19"/>
        </w:rPr>
        <w:t>a</w:t>
      </w:r>
      <w:r>
        <w:rPr>
          <w:rFonts w:ascii="Cambria" w:hAnsi="Cambria" w:cs="Cambria"/>
          <w:i/>
          <w:iCs/>
          <w:spacing w:val="-10"/>
          <w:w w:val="105"/>
          <w:sz w:val="19"/>
          <w:szCs w:val="19"/>
        </w:rPr>
        <w:t xml:space="preserve"> </w:t>
      </w:r>
      <w:r>
        <w:rPr>
          <w:rFonts w:ascii="Cambria" w:hAnsi="Cambria" w:cs="Cambria"/>
          <w:i/>
          <w:iCs/>
          <w:w w:val="105"/>
          <w:sz w:val="19"/>
          <w:szCs w:val="19"/>
        </w:rPr>
        <w:t>501(c)(3)</w:t>
      </w:r>
      <w:r>
        <w:rPr>
          <w:rFonts w:ascii="Cambria" w:hAnsi="Cambria" w:cs="Cambria"/>
          <w:i/>
          <w:iCs/>
          <w:spacing w:val="-13"/>
          <w:w w:val="105"/>
          <w:sz w:val="19"/>
          <w:szCs w:val="19"/>
        </w:rPr>
        <w:t xml:space="preserve"> </w:t>
      </w:r>
      <w:r>
        <w:rPr>
          <w:rFonts w:ascii="Cambria" w:hAnsi="Cambria" w:cs="Cambria"/>
          <w:i/>
          <w:iCs/>
          <w:w w:val="105"/>
          <w:sz w:val="19"/>
          <w:szCs w:val="19"/>
        </w:rPr>
        <w:t>national</w:t>
      </w:r>
      <w:r>
        <w:rPr>
          <w:rFonts w:ascii="Cambria" w:hAnsi="Cambria" w:cs="Cambria"/>
          <w:i/>
          <w:iCs/>
          <w:spacing w:val="-11"/>
          <w:w w:val="105"/>
          <w:sz w:val="19"/>
          <w:szCs w:val="19"/>
        </w:rPr>
        <w:t xml:space="preserve"> </w:t>
      </w:r>
      <w:r>
        <w:rPr>
          <w:rFonts w:ascii="Cambria" w:hAnsi="Cambria" w:cs="Cambria"/>
          <w:i/>
          <w:iCs/>
          <w:w w:val="105"/>
          <w:sz w:val="19"/>
          <w:szCs w:val="19"/>
        </w:rPr>
        <w:t>movement</w:t>
      </w:r>
      <w:r>
        <w:rPr>
          <w:rFonts w:ascii="Cambria" w:hAnsi="Cambria" w:cs="Cambria"/>
          <w:i/>
          <w:iCs/>
          <w:spacing w:val="-10"/>
          <w:w w:val="105"/>
          <w:sz w:val="19"/>
          <w:szCs w:val="19"/>
        </w:rPr>
        <w:t xml:space="preserve"> </w:t>
      </w:r>
      <w:r>
        <w:rPr>
          <w:rFonts w:ascii="Cambria" w:hAnsi="Cambria" w:cs="Cambria"/>
          <w:i/>
          <w:iCs/>
          <w:w w:val="105"/>
          <w:sz w:val="19"/>
          <w:szCs w:val="19"/>
        </w:rPr>
        <w:t>that</w:t>
      </w:r>
      <w:r>
        <w:rPr>
          <w:rFonts w:ascii="Cambria" w:hAnsi="Cambria" w:cs="Cambria"/>
          <w:i/>
          <w:iCs/>
          <w:spacing w:val="-13"/>
          <w:w w:val="105"/>
          <w:sz w:val="19"/>
          <w:szCs w:val="19"/>
        </w:rPr>
        <w:t xml:space="preserve"> </w:t>
      </w:r>
      <w:r>
        <w:rPr>
          <w:rFonts w:ascii="Cambria" w:hAnsi="Cambria" w:cs="Cambria"/>
          <w:i/>
          <w:iCs/>
          <w:w w:val="105"/>
          <w:sz w:val="19"/>
          <w:szCs w:val="19"/>
        </w:rPr>
        <w:t>mobilizes</w:t>
      </w:r>
      <w:r>
        <w:rPr>
          <w:rFonts w:ascii="Cambria" w:hAnsi="Cambria" w:cs="Cambria"/>
          <w:i/>
          <w:iCs/>
          <w:spacing w:val="-10"/>
          <w:w w:val="105"/>
          <w:sz w:val="19"/>
          <w:szCs w:val="19"/>
        </w:rPr>
        <w:t xml:space="preserve"> </w:t>
      </w:r>
      <w:r>
        <w:rPr>
          <w:rFonts w:ascii="Cambria" w:hAnsi="Cambria" w:cs="Cambria"/>
          <w:i/>
          <w:iCs/>
          <w:w w:val="105"/>
          <w:sz w:val="19"/>
          <w:szCs w:val="19"/>
        </w:rPr>
        <w:t>physicians</w:t>
      </w:r>
      <w:r>
        <w:rPr>
          <w:rFonts w:ascii="Cambria" w:hAnsi="Cambria" w:cs="Cambria"/>
          <w:i/>
          <w:iCs/>
          <w:spacing w:val="-13"/>
          <w:w w:val="105"/>
          <w:sz w:val="19"/>
          <w:szCs w:val="19"/>
        </w:rPr>
        <w:t xml:space="preserve"> </w:t>
      </w:r>
      <w:r>
        <w:rPr>
          <w:rFonts w:ascii="Cambria" w:hAnsi="Cambria" w:cs="Cambria"/>
          <w:i/>
          <w:iCs/>
          <w:w w:val="105"/>
          <w:sz w:val="19"/>
          <w:szCs w:val="19"/>
        </w:rPr>
        <w:t>and</w:t>
      </w:r>
      <w:r>
        <w:rPr>
          <w:rFonts w:ascii="Cambria" w:hAnsi="Cambria" w:cs="Cambria"/>
          <w:i/>
          <w:iCs/>
          <w:spacing w:val="-12"/>
          <w:w w:val="105"/>
          <w:sz w:val="19"/>
          <w:szCs w:val="19"/>
        </w:rPr>
        <w:t xml:space="preserve"> </w:t>
      </w:r>
      <w:r>
        <w:rPr>
          <w:rFonts w:ascii="Cambria" w:hAnsi="Cambria" w:cs="Cambria"/>
          <w:i/>
          <w:iCs/>
          <w:w w:val="105"/>
          <w:sz w:val="19"/>
          <w:szCs w:val="19"/>
        </w:rPr>
        <w:t>medical</w:t>
      </w:r>
      <w:r>
        <w:rPr>
          <w:rFonts w:ascii="Cambria" w:hAnsi="Cambria" w:cs="Cambria"/>
          <w:i/>
          <w:iCs/>
          <w:spacing w:val="-14"/>
          <w:w w:val="105"/>
          <w:sz w:val="19"/>
          <w:szCs w:val="19"/>
        </w:rPr>
        <w:t xml:space="preserve"> </w:t>
      </w:r>
      <w:r>
        <w:rPr>
          <w:rFonts w:ascii="Cambria" w:hAnsi="Cambria" w:cs="Cambria"/>
          <w:i/>
          <w:iCs/>
          <w:w w:val="105"/>
          <w:sz w:val="19"/>
          <w:szCs w:val="19"/>
        </w:rPr>
        <w:t>students</w:t>
      </w:r>
      <w:r>
        <w:rPr>
          <w:rFonts w:ascii="Cambria" w:hAnsi="Cambria" w:cs="Cambria"/>
          <w:i/>
          <w:iCs/>
          <w:spacing w:val="-13"/>
          <w:w w:val="105"/>
          <w:sz w:val="19"/>
          <w:szCs w:val="19"/>
        </w:rPr>
        <w:t xml:space="preserve"> </w:t>
      </w:r>
      <w:r>
        <w:rPr>
          <w:rFonts w:ascii="Cambria" w:hAnsi="Cambria" w:cs="Cambria"/>
          <w:i/>
          <w:iCs/>
          <w:w w:val="105"/>
          <w:sz w:val="19"/>
          <w:szCs w:val="19"/>
        </w:rPr>
        <w:t>to</w:t>
      </w:r>
      <w:r>
        <w:rPr>
          <w:rFonts w:ascii="Cambria" w:hAnsi="Cambria" w:cs="Cambria"/>
          <w:i/>
          <w:iCs/>
          <w:spacing w:val="-14"/>
          <w:w w:val="105"/>
          <w:sz w:val="19"/>
          <w:szCs w:val="19"/>
        </w:rPr>
        <w:t xml:space="preserve"> </w:t>
      </w:r>
      <w:r>
        <w:rPr>
          <w:rFonts w:ascii="Cambria" w:hAnsi="Cambria" w:cs="Cambria"/>
          <w:i/>
          <w:iCs/>
          <w:w w:val="105"/>
          <w:sz w:val="19"/>
          <w:szCs w:val="19"/>
        </w:rPr>
        <w:t>put</w:t>
      </w:r>
      <w:r>
        <w:rPr>
          <w:rFonts w:ascii="Cambria" w:hAnsi="Cambria" w:cs="Cambria"/>
          <w:i/>
          <w:iCs/>
          <w:spacing w:val="-13"/>
          <w:w w:val="105"/>
          <w:sz w:val="19"/>
          <w:szCs w:val="19"/>
        </w:rPr>
        <w:t xml:space="preserve"> </w:t>
      </w:r>
      <w:r>
        <w:rPr>
          <w:rFonts w:ascii="Cambria" w:hAnsi="Cambria" w:cs="Cambria"/>
          <w:i/>
          <w:iCs/>
          <w:w w:val="105"/>
          <w:sz w:val="19"/>
          <w:szCs w:val="19"/>
        </w:rPr>
        <w:t>patients over</w:t>
      </w:r>
      <w:r>
        <w:rPr>
          <w:rFonts w:ascii="Cambria" w:hAnsi="Cambria" w:cs="Cambria"/>
          <w:i/>
          <w:iCs/>
          <w:spacing w:val="-10"/>
          <w:w w:val="105"/>
          <w:sz w:val="19"/>
          <w:szCs w:val="19"/>
        </w:rPr>
        <w:t xml:space="preserve"> </w:t>
      </w:r>
      <w:r>
        <w:rPr>
          <w:rFonts w:ascii="Cambria" w:hAnsi="Cambria" w:cs="Cambria"/>
          <w:i/>
          <w:iCs/>
          <w:w w:val="105"/>
          <w:sz w:val="19"/>
          <w:szCs w:val="19"/>
        </w:rPr>
        <w:t>politics</w:t>
      </w:r>
      <w:r>
        <w:rPr>
          <w:rFonts w:ascii="Cambria" w:hAnsi="Cambria" w:cs="Cambria"/>
          <w:i/>
          <w:iCs/>
          <w:spacing w:val="-9"/>
          <w:w w:val="105"/>
          <w:sz w:val="19"/>
          <w:szCs w:val="19"/>
        </w:rPr>
        <w:t xml:space="preserve"> </w:t>
      </w:r>
      <w:r>
        <w:rPr>
          <w:rFonts w:ascii="Cambria" w:hAnsi="Cambria" w:cs="Cambria"/>
          <w:i/>
          <w:iCs/>
          <w:w w:val="105"/>
          <w:sz w:val="19"/>
          <w:szCs w:val="19"/>
        </w:rPr>
        <w:t>on</w:t>
      </w:r>
      <w:r>
        <w:rPr>
          <w:rFonts w:ascii="Cambria" w:hAnsi="Cambria" w:cs="Cambria"/>
          <w:i/>
          <w:iCs/>
          <w:spacing w:val="-11"/>
          <w:w w:val="105"/>
          <w:sz w:val="19"/>
          <w:szCs w:val="19"/>
        </w:rPr>
        <w:t xml:space="preserve"> </w:t>
      </w:r>
      <w:r>
        <w:rPr>
          <w:rFonts w:ascii="Cambria" w:hAnsi="Cambria" w:cs="Cambria"/>
          <w:i/>
          <w:iCs/>
          <w:w w:val="105"/>
          <w:sz w:val="19"/>
          <w:szCs w:val="19"/>
        </w:rPr>
        <w:t>the</w:t>
      </w:r>
      <w:r>
        <w:rPr>
          <w:rFonts w:ascii="Cambria" w:hAnsi="Cambria" w:cs="Cambria"/>
          <w:i/>
          <w:iCs/>
          <w:spacing w:val="-10"/>
          <w:w w:val="105"/>
          <w:sz w:val="19"/>
          <w:szCs w:val="19"/>
        </w:rPr>
        <w:t xml:space="preserve"> </w:t>
      </w:r>
      <w:r>
        <w:rPr>
          <w:rFonts w:ascii="Cambria" w:hAnsi="Cambria" w:cs="Cambria"/>
          <w:i/>
          <w:iCs/>
          <w:w w:val="105"/>
          <w:sz w:val="19"/>
          <w:szCs w:val="19"/>
        </w:rPr>
        <w:t>pressing</w:t>
      </w:r>
      <w:r>
        <w:rPr>
          <w:rFonts w:ascii="Cambria" w:hAnsi="Cambria" w:cs="Cambria"/>
          <w:i/>
          <w:iCs/>
          <w:spacing w:val="-9"/>
          <w:w w:val="105"/>
          <w:sz w:val="19"/>
          <w:szCs w:val="19"/>
        </w:rPr>
        <w:t xml:space="preserve"> </w:t>
      </w:r>
      <w:r>
        <w:rPr>
          <w:rFonts w:ascii="Cambria" w:hAnsi="Cambria" w:cs="Cambria"/>
          <w:i/>
          <w:iCs/>
          <w:w w:val="105"/>
          <w:sz w:val="19"/>
          <w:szCs w:val="19"/>
        </w:rPr>
        <w:t>issues</w:t>
      </w:r>
      <w:r>
        <w:rPr>
          <w:rFonts w:ascii="Cambria" w:hAnsi="Cambria" w:cs="Cambria"/>
          <w:i/>
          <w:iCs/>
          <w:spacing w:val="-9"/>
          <w:w w:val="105"/>
          <w:sz w:val="19"/>
          <w:szCs w:val="19"/>
        </w:rPr>
        <w:t xml:space="preserve"> </w:t>
      </w:r>
      <w:r>
        <w:rPr>
          <w:rFonts w:ascii="Cambria" w:hAnsi="Cambria" w:cs="Cambria"/>
          <w:i/>
          <w:iCs/>
          <w:w w:val="105"/>
          <w:sz w:val="19"/>
          <w:szCs w:val="19"/>
        </w:rPr>
        <w:t>of</w:t>
      </w:r>
      <w:r>
        <w:rPr>
          <w:rFonts w:ascii="Cambria" w:hAnsi="Cambria" w:cs="Cambria"/>
          <w:i/>
          <w:iCs/>
          <w:spacing w:val="-11"/>
          <w:w w:val="105"/>
          <w:sz w:val="19"/>
          <w:szCs w:val="19"/>
        </w:rPr>
        <w:t xml:space="preserve"> </w:t>
      </w:r>
      <w:r>
        <w:rPr>
          <w:rFonts w:ascii="Cambria" w:hAnsi="Cambria" w:cs="Cambria"/>
          <w:i/>
          <w:iCs/>
          <w:w w:val="105"/>
          <w:sz w:val="19"/>
          <w:szCs w:val="19"/>
        </w:rPr>
        <w:t>the</w:t>
      </w:r>
      <w:r>
        <w:rPr>
          <w:rFonts w:ascii="Cambria" w:hAnsi="Cambria" w:cs="Cambria"/>
          <w:i/>
          <w:iCs/>
          <w:spacing w:val="-10"/>
          <w:w w:val="105"/>
          <w:sz w:val="19"/>
          <w:szCs w:val="19"/>
        </w:rPr>
        <w:t xml:space="preserve"> </w:t>
      </w:r>
      <w:r>
        <w:rPr>
          <w:rFonts w:ascii="Cambria" w:hAnsi="Cambria" w:cs="Cambria"/>
          <w:i/>
          <w:iCs/>
          <w:w w:val="105"/>
          <w:sz w:val="19"/>
          <w:szCs w:val="19"/>
        </w:rPr>
        <w:t>day</w:t>
      </w:r>
      <w:r>
        <w:rPr>
          <w:rFonts w:ascii="Cambria" w:hAnsi="Cambria" w:cs="Cambria"/>
          <w:i/>
          <w:iCs/>
          <w:spacing w:val="-10"/>
          <w:w w:val="105"/>
          <w:sz w:val="19"/>
          <w:szCs w:val="19"/>
        </w:rPr>
        <w:t xml:space="preserve"> </w:t>
      </w:r>
      <w:r>
        <w:rPr>
          <w:rFonts w:ascii="Cambria" w:hAnsi="Cambria" w:cs="Cambria"/>
          <w:i/>
          <w:iCs/>
          <w:w w:val="105"/>
          <w:sz w:val="19"/>
          <w:szCs w:val="19"/>
        </w:rPr>
        <w:t>to</w:t>
      </w:r>
      <w:r>
        <w:rPr>
          <w:rFonts w:ascii="Cambria" w:hAnsi="Cambria" w:cs="Cambria"/>
          <w:i/>
          <w:iCs/>
          <w:spacing w:val="-10"/>
          <w:w w:val="105"/>
          <w:sz w:val="19"/>
          <w:szCs w:val="19"/>
        </w:rPr>
        <w:t xml:space="preserve"> </w:t>
      </w:r>
      <w:r>
        <w:rPr>
          <w:rFonts w:ascii="Cambria" w:hAnsi="Cambria" w:cs="Cambria"/>
          <w:i/>
          <w:iCs/>
          <w:w w:val="105"/>
          <w:sz w:val="19"/>
          <w:szCs w:val="19"/>
        </w:rPr>
        <w:t>improve</w:t>
      </w:r>
      <w:r>
        <w:rPr>
          <w:rFonts w:ascii="Cambria" w:hAnsi="Cambria" w:cs="Cambria"/>
          <w:i/>
          <w:iCs/>
          <w:spacing w:val="-10"/>
          <w:w w:val="105"/>
          <w:sz w:val="19"/>
          <w:szCs w:val="19"/>
        </w:rPr>
        <w:t xml:space="preserve"> </w:t>
      </w:r>
      <w:r>
        <w:rPr>
          <w:rFonts w:ascii="Cambria" w:hAnsi="Cambria" w:cs="Cambria"/>
          <w:i/>
          <w:iCs/>
          <w:w w:val="105"/>
          <w:sz w:val="19"/>
          <w:szCs w:val="19"/>
        </w:rPr>
        <w:t>the</w:t>
      </w:r>
      <w:r>
        <w:rPr>
          <w:rFonts w:ascii="Cambria" w:hAnsi="Cambria" w:cs="Cambria"/>
          <w:i/>
          <w:iCs/>
          <w:spacing w:val="-10"/>
          <w:w w:val="105"/>
          <w:sz w:val="19"/>
          <w:szCs w:val="19"/>
        </w:rPr>
        <w:t xml:space="preserve"> </w:t>
      </w:r>
      <w:r>
        <w:rPr>
          <w:rFonts w:ascii="Cambria" w:hAnsi="Cambria" w:cs="Cambria"/>
          <w:i/>
          <w:iCs/>
          <w:w w:val="105"/>
          <w:sz w:val="19"/>
          <w:szCs w:val="19"/>
        </w:rPr>
        <w:t>health</w:t>
      </w:r>
      <w:r>
        <w:rPr>
          <w:rFonts w:ascii="Cambria" w:hAnsi="Cambria" w:cs="Cambria"/>
          <w:i/>
          <w:iCs/>
          <w:spacing w:val="-10"/>
          <w:w w:val="105"/>
          <w:sz w:val="19"/>
          <w:szCs w:val="19"/>
        </w:rPr>
        <w:t xml:space="preserve"> </w:t>
      </w:r>
      <w:r>
        <w:rPr>
          <w:rFonts w:ascii="Cambria" w:hAnsi="Cambria" w:cs="Cambria"/>
          <w:i/>
          <w:iCs/>
          <w:w w:val="105"/>
          <w:sz w:val="19"/>
          <w:szCs w:val="19"/>
        </w:rPr>
        <w:t>of</w:t>
      </w:r>
      <w:r>
        <w:rPr>
          <w:rFonts w:ascii="Cambria" w:hAnsi="Cambria" w:cs="Cambria"/>
          <w:i/>
          <w:iCs/>
          <w:spacing w:val="-11"/>
          <w:w w:val="105"/>
          <w:sz w:val="19"/>
          <w:szCs w:val="19"/>
        </w:rPr>
        <w:t xml:space="preserve"> </w:t>
      </w:r>
      <w:r>
        <w:rPr>
          <w:rFonts w:ascii="Cambria" w:hAnsi="Cambria" w:cs="Cambria"/>
          <w:i/>
          <w:iCs/>
          <w:w w:val="105"/>
          <w:sz w:val="19"/>
          <w:szCs w:val="19"/>
        </w:rPr>
        <w:t>our</w:t>
      </w:r>
      <w:r>
        <w:rPr>
          <w:rFonts w:ascii="Cambria" w:hAnsi="Cambria" w:cs="Cambria"/>
          <w:i/>
          <w:iCs/>
          <w:spacing w:val="-10"/>
          <w:w w:val="105"/>
          <w:sz w:val="19"/>
          <w:szCs w:val="19"/>
        </w:rPr>
        <w:t xml:space="preserve"> </w:t>
      </w:r>
      <w:r>
        <w:rPr>
          <w:rFonts w:ascii="Cambria" w:hAnsi="Cambria" w:cs="Cambria"/>
          <w:i/>
          <w:iCs/>
          <w:w w:val="105"/>
          <w:sz w:val="19"/>
          <w:szCs w:val="19"/>
        </w:rPr>
        <w:t>patients,</w:t>
      </w:r>
      <w:r>
        <w:rPr>
          <w:rFonts w:ascii="Cambria" w:hAnsi="Cambria" w:cs="Cambria"/>
          <w:i/>
          <w:iCs/>
          <w:spacing w:val="-12"/>
          <w:w w:val="105"/>
          <w:sz w:val="19"/>
          <w:szCs w:val="19"/>
        </w:rPr>
        <w:t xml:space="preserve"> </w:t>
      </w:r>
      <w:r>
        <w:rPr>
          <w:rFonts w:ascii="Cambria" w:hAnsi="Cambria" w:cs="Cambria"/>
          <w:i/>
          <w:iCs/>
          <w:w w:val="105"/>
          <w:sz w:val="19"/>
          <w:szCs w:val="19"/>
        </w:rPr>
        <w:t>communities,</w:t>
      </w:r>
      <w:r>
        <w:rPr>
          <w:rFonts w:ascii="Cambria" w:hAnsi="Cambria" w:cs="Cambria"/>
          <w:i/>
          <w:iCs/>
          <w:spacing w:val="-9"/>
          <w:w w:val="105"/>
          <w:sz w:val="19"/>
          <w:szCs w:val="19"/>
        </w:rPr>
        <w:t xml:space="preserve"> </w:t>
      </w:r>
      <w:r>
        <w:rPr>
          <w:rFonts w:ascii="Cambria" w:hAnsi="Cambria" w:cs="Cambria"/>
          <w:i/>
          <w:iCs/>
          <w:w w:val="105"/>
          <w:sz w:val="19"/>
          <w:szCs w:val="19"/>
        </w:rPr>
        <w:t>and</w:t>
      </w:r>
      <w:r>
        <w:rPr>
          <w:rFonts w:ascii="Cambria" w:hAnsi="Cambria" w:cs="Cambria"/>
          <w:i/>
          <w:iCs/>
          <w:spacing w:val="-11"/>
          <w:w w:val="105"/>
          <w:sz w:val="19"/>
          <w:szCs w:val="19"/>
        </w:rPr>
        <w:t xml:space="preserve"> </w:t>
      </w:r>
      <w:r>
        <w:rPr>
          <w:rFonts w:ascii="Cambria" w:hAnsi="Cambria" w:cs="Cambria"/>
          <w:i/>
          <w:iCs/>
          <w:w w:val="105"/>
          <w:sz w:val="19"/>
          <w:szCs w:val="19"/>
        </w:rPr>
        <w:t>nation..</w:t>
      </w:r>
    </w:p>
    <w:p w:rsidR="002C5025" w:rsidRDefault="002C5025">
      <w:pPr>
        <w:pStyle w:val="BodyText"/>
        <w:kinsoku w:val="0"/>
        <w:overflowPunct w:val="0"/>
        <w:spacing w:before="109" w:line="247" w:lineRule="auto"/>
        <w:ind w:left="642" w:right="773" w:hanging="348"/>
        <w:rPr>
          <w:rFonts w:ascii="Cambria" w:hAnsi="Cambria" w:cs="Cambria"/>
          <w:i/>
          <w:iCs/>
          <w:w w:val="105"/>
          <w:sz w:val="19"/>
          <w:szCs w:val="19"/>
        </w:rPr>
        <w:sectPr w:rsidR="002C5025">
          <w:pgSz w:w="12240" w:h="15840"/>
          <w:pgMar w:top="940" w:right="820" w:bottom="280" w:left="800" w:header="720" w:footer="720" w:gutter="0"/>
          <w:pgBorders w:offsetFrom="page">
            <w:top w:val="single" w:sz="24" w:space="24" w:color="213957"/>
            <w:left w:val="single" w:sz="24" w:space="24" w:color="213957"/>
            <w:bottom w:val="single" w:sz="24" w:space="24" w:color="213957"/>
            <w:right w:val="single" w:sz="24" w:space="24" w:color="213957"/>
          </w:pgBorders>
          <w:cols w:space="720"/>
          <w:noEndnote/>
        </w:sectPr>
      </w:pPr>
    </w:p>
    <w:p w:rsidR="002C5025" w:rsidRDefault="002C5025">
      <w:pPr>
        <w:pStyle w:val="BodyText"/>
        <w:kinsoku w:val="0"/>
        <w:overflowPunct w:val="0"/>
        <w:spacing w:before="52" w:line="276" w:lineRule="auto"/>
        <w:ind w:left="143" w:right="266"/>
        <w:rPr>
          <w:rFonts w:ascii="Times New Roman" w:hAnsi="Times New Roman" w:cs="Times New Roman"/>
          <w:sz w:val="24"/>
          <w:szCs w:val="24"/>
        </w:rPr>
      </w:pPr>
      <w:r>
        <w:rPr>
          <w:rFonts w:ascii="Times New Roman" w:hAnsi="Times New Roman" w:cs="Times New Roman"/>
          <w:sz w:val="24"/>
          <w:szCs w:val="24"/>
        </w:rPr>
        <w:lastRenderedPageBreak/>
        <w:t>These network adequacy metrics, to be collected and reported by ACOs or MCOs, must be made transparent, kept up to date, and be readily available to the public. While we recognize that many of these metrics may already be reported as per MCO contracts, this information is not often easily available to members at the time of choosing a plan. At the time of enrollment in a plan type, a consumer must be empowered with accurate and easy to access information on the provider network of that plan. Also to promote consumer choice and ability to compare plans, these network requirements and metrics should be standard across MCOs and the PCC plan.</w:t>
      </w:r>
    </w:p>
    <w:p w:rsidR="002C5025" w:rsidRDefault="002C5025">
      <w:pPr>
        <w:pStyle w:val="BodyText"/>
        <w:kinsoku w:val="0"/>
        <w:overflowPunct w:val="0"/>
        <w:spacing w:before="9"/>
        <w:rPr>
          <w:rFonts w:ascii="Times New Roman" w:hAnsi="Times New Roman" w:cs="Times New Roman"/>
          <w:sz w:val="27"/>
          <w:szCs w:val="27"/>
        </w:rPr>
      </w:pPr>
    </w:p>
    <w:p w:rsidR="002C5025" w:rsidRDefault="002C5025">
      <w:pPr>
        <w:pStyle w:val="BodyText"/>
        <w:kinsoku w:val="0"/>
        <w:overflowPunct w:val="0"/>
        <w:ind w:left="143" w:right="126"/>
        <w:rPr>
          <w:rFonts w:ascii="Times New Roman" w:hAnsi="Times New Roman" w:cs="Times New Roman"/>
          <w:b/>
          <w:bCs/>
          <w:sz w:val="24"/>
          <w:szCs w:val="24"/>
        </w:rPr>
      </w:pPr>
      <w:bookmarkStart w:id="128" w:name="Member_Experience_and_Network"/>
      <w:bookmarkEnd w:id="128"/>
      <w:r>
        <w:rPr>
          <w:rFonts w:ascii="Times New Roman" w:hAnsi="Times New Roman" w:cs="Times New Roman"/>
          <w:b/>
          <w:bCs/>
          <w:sz w:val="24"/>
          <w:szCs w:val="24"/>
        </w:rPr>
        <w:t>Member Experience and Network</w:t>
      </w:r>
    </w:p>
    <w:p w:rsidR="002C5025" w:rsidRDefault="002C5025">
      <w:pPr>
        <w:pStyle w:val="BodyText"/>
        <w:kinsoku w:val="0"/>
        <w:overflowPunct w:val="0"/>
        <w:spacing w:before="10"/>
        <w:rPr>
          <w:rFonts w:ascii="Times New Roman" w:hAnsi="Times New Roman" w:cs="Times New Roman"/>
          <w:b/>
          <w:bCs/>
          <w:sz w:val="30"/>
          <w:szCs w:val="30"/>
        </w:rPr>
      </w:pPr>
    </w:p>
    <w:p w:rsidR="002C5025" w:rsidRDefault="002C5025">
      <w:pPr>
        <w:pStyle w:val="BodyText"/>
        <w:kinsoku w:val="0"/>
        <w:overflowPunct w:val="0"/>
        <w:spacing w:line="276" w:lineRule="auto"/>
        <w:ind w:left="143" w:right="200"/>
        <w:rPr>
          <w:rFonts w:ascii="Times New Roman" w:hAnsi="Times New Roman" w:cs="Times New Roman"/>
          <w:sz w:val="24"/>
          <w:szCs w:val="24"/>
        </w:rPr>
      </w:pPr>
      <w:r>
        <w:rPr>
          <w:rFonts w:ascii="Times New Roman" w:hAnsi="Times New Roman" w:cs="Times New Roman"/>
          <w:sz w:val="24"/>
          <w:szCs w:val="24"/>
        </w:rPr>
        <w:t>We have concerns about restrictions on members and providers as described in section 4.1.5.2. It describes members would need to access providers based on the network of their attributed Primary Care Providers (PCP). For many patients with complex health needs, their most important care relationship and their functional “medical home” may be with a specialist. This applies, for instance, to those undergoing cancer treatments with oncologists, those with multi-system diseases cared for by rheumatologists, or children with complex medical conditions like genetic syndromes. Especially given the complexity and variation of the ACO models, we have concerns as to whether the implications of ACO choice or PCP choice will be clear to members. A detailed plan for educating members on this and ensuring members are making informed choices is required, especially in light of the lock in period proposed.</w:t>
      </w:r>
    </w:p>
    <w:p w:rsidR="002C5025" w:rsidRDefault="002C5025">
      <w:pPr>
        <w:pStyle w:val="BodyText"/>
        <w:kinsoku w:val="0"/>
        <w:overflowPunct w:val="0"/>
        <w:spacing w:before="7"/>
        <w:rPr>
          <w:rFonts w:ascii="Times New Roman" w:hAnsi="Times New Roman" w:cs="Times New Roman"/>
          <w:sz w:val="27"/>
          <w:szCs w:val="27"/>
        </w:rPr>
      </w:pPr>
    </w:p>
    <w:p w:rsidR="002C5025" w:rsidRDefault="002C5025">
      <w:pPr>
        <w:pStyle w:val="BodyText"/>
        <w:kinsoku w:val="0"/>
        <w:overflowPunct w:val="0"/>
        <w:spacing w:line="266" w:lineRule="auto"/>
        <w:ind w:left="143" w:right="306"/>
        <w:rPr>
          <w:rFonts w:ascii="Times New Roman" w:hAnsi="Times New Roman" w:cs="Times New Roman"/>
          <w:position w:val="11"/>
          <w:sz w:val="16"/>
          <w:szCs w:val="16"/>
        </w:rPr>
      </w:pPr>
      <w:r>
        <w:rPr>
          <w:rFonts w:ascii="Times New Roman" w:hAnsi="Times New Roman" w:cs="Times New Roman"/>
          <w:sz w:val="24"/>
          <w:szCs w:val="24"/>
        </w:rPr>
        <w:t>Going out of network could also have serious financial implications for patients. Current data tell us that nearly 7 in 10 of individuals with unaffordable out-of-network medical bills did not know the health care provider was not in their plan’s network at the time they received care.</w:t>
      </w:r>
      <w:r>
        <w:rPr>
          <w:rFonts w:ascii="Times New Roman" w:hAnsi="Times New Roman" w:cs="Times New Roman"/>
          <w:position w:val="11"/>
          <w:sz w:val="16"/>
          <w:szCs w:val="16"/>
        </w:rPr>
        <w:t>13</w:t>
      </w:r>
      <w:r>
        <w:rPr>
          <w:rFonts w:ascii="Times New Roman" w:hAnsi="Times New Roman" w:cs="Times New Roman"/>
          <w:sz w:val="24"/>
          <w:szCs w:val="24"/>
        </w:rPr>
        <w:t>Further the requirement for PCPs to participate in one ACO may limit their patients’ access to other providers, hospitals, or facilities. This becomes especially critical in non-urban areas or in emergency situations. There are many reports of “balance billing” by hospitals when patients unknowingly receive care from out-of-network providers in emergency situations, from surgeries, or during hospitalizations.</w:t>
      </w:r>
      <w:r>
        <w:rPr>
          <w:rFonts w:ascii="Times New Roman" w:hAnsi="Times New Roman" w:cs="Times New Roman"/>
          <w:position w:val="11"/>
          <w:sz w:val="16"/>
          <w:szCs w:val="16"/>
        </w:rPr>
        <w:t>14</w:t>
      </w:r>
    </w:p>
    <w:p w:rsidR="002C5025" w:rsidRDefault="002C5025">
      <w:pPr>
        <w:pStyle w:val="BodyText"/>
        <w:kinsoku w:val="0"/>
        <w:overflowPunct w:val="0"/>
        <w:spacing w:before="2"/>
        <w:rPr>
          <w:rFonts w:ascii="Times New Roman" w:hAnsi="Times New Roman" w:cs="Times New Roman"/>
          <w:sz w:val="28"/>
          <w:szCs w:val="28"/>
        </w:rPr>
      </w:pPr>
    </w:p>
    <w:p w:rsidR="002C5025" w:rsidRDefault="002C5025">
      <w:pPr>
        <w:pStyle w:val="BodyText"/>
        <w:kinsoku w:val="0"/>
        <w:overflowPunct w:val="0"/>
        <w:ind w:left="143" w:right="126"/>
        <w:rPr>
          <w:rFonts w:ascii="Times New Roman" w:hAnsi="Times New Roman" w:cs="Times New Roman"/>
          <w:b/>
          <w:bCs/>
          <w:sz w:val="24"/>
          <w:szCs w:val="24"/>
        </w:rPr>
      </w:pPr>
      <w:bookmarkStart w:id="129" w:name="Health_Literacy_and_Member_Education_and"/>
      <w:bookmarkEnd w:id="129"/>
      <w:r>
        <w:rPr>
          <w:rFonts w:ascii="Times New Roman" w:hAnsi="Times New Roman" w:cs="Times New Roman"/>
          <w:b/>
          <w:bCs/>
          <w:sz w:val="24"/>
          <w:szCs w:val="24"/>
        </w:rPr>
        <w:t>Health Literacy and Member Education and Assistance</w:t>
      </w:r>
    </w:p>
    <w:p w:rsidR="002C5025" w:rsidRDefault="002C5025">
      <w:pPr>
        <w:pStyle w:val="BodyText"/>
        <w:kinsoku w:val="0"/>
        <w:overflowPunct w:val="0"/>
        <w:spacing w:before="1"/>
        <w:rPr>
          <w:rFonts w:ascii="Times New Roman" w:hAnsi="Times New Roman" w:cs="Times New Roman"/>
          <w:b/>
          <w:bCs/>
          <w:sz w:val="31"/>
          <w:szCs w:val="31"/>
        </w:rPr>
      </w:pPr>
    </w:p>
    <w:p w:rsidR="002C5025" w:rsidRDefault="002C5025">
      <w:pPr>
        <w:pStyle w:val="BodyText"/>
        <w:kinsoku w:val="0"/>
        <w:overflowPunct w:val="0"/>
        <w:spacing w:line="276" w:lineRule="auto"/>
        <w:ind w:left="143" w:right="333"/>
        <w:rPr>
          <w:rFonts w:ascii="Times New Roman" w:hAnsi="Times New Roman" w:cs="Times New Roman"/>
          <w:sz w:val="24"/>
          <w:szCs w:val="24"/>
        </w:rPr>
      </w:pPr>
      <w:r>
        <w:rPr>
          <w:rFonts w:ascii="Times New Roman" w:hAnsi="Times New Roman" w:cs="Times New Roman"/>
          <w:sz w:val="24"/>
          <w:szCs w:val="24"/>
        </w:rPr>
        <w:t>We appreciate that MassHealth will require ACOs and MCOs to make information about their coverage and care options readily accessible and that MassHealth will enhance its own customer service, website, publications, and community collaborations. The proposed ACO initiative will make the system more complicated for members, as acknowledged by MassHealth in the waiver proposal. With the changes, the simple act of choosing one’s primary care setting will bring with it a host of important consequences.</w:t>
      </w:r>
    </w:p>
    <w:p w:rsidR="002C5025" w:rsidRDefault="002C5025">
      <w:pPr>
        <w:pStyle w:val="BodyText"/>
        <w:kinsoku w:val="0"/>
        <w:overflowPunct w:val="0"/>
        <w:spacing w:before="3" w:line="273" w:lineRule="auto"/>
        <w:ind w:left="143" w:right="140"/>
        <w:rPr>
          <w:rFonts w:ascii="Times New Roman" w:hAnsi="Times New Roman" w:cs="Times New Roman"/>
          <w:sz w:val="24"/>
          <w:szCs w:val="24"/>
        </w:rPr>
      </w:pPr>
      <w:r>
        <w:rPr>
          <w:rFonts w:ascii="Times New Roman" w:hAnsi="Times New Roman" w:cs="Times New Roman"/>
          <w:sz w:val="24"/>
          <w:szCs w:val="24"/>
        </w:rPr>
        <w:t>Particularly if the MCO enrollment restrictions are put into place, members will need extensive guidance to determine what plan best meets their needs.</w:t>
      </w:r>
    </w:p>
    <w:p w:rsidR="002C5025" w:rsidRDefault="00FB027C">
      <w:pPr>
        <w:pStyle w:val="BodyText"/>
        <w:kinsoku w:val="0"/>
        <w:overflowPunct w:val="0"/>
        <w:spacing w:before="3"/>
        <w:rPr>
          <w:rFonts w:ascii="Times New Roman" w:hAnsi="Times New Roman" w:cs="Times New Roman"/>
          <w:sz w:val="29"/>
          <w:szCs w:val="29"/>
        </w:rPr>
      </w:pPr>
      <w:r>
        <w:rPr>
          <w:noProof/>
        </w:rPr>
        <mc:AlternateContent>
          <mc:Choice Requires="wps">
            <w:drawing>
              <wp:anchor distT="0" distB="0" distL="0" distR="0" simplePos="0" relativeHeight="251606528" behindDoc="0" locked="0" layoutInCell="0" allowOverlap="1">
                <wp:simplePos x="0" y="0"/>
                <wp:positionH relativeFrom="page">
                  <wp:posOffset>609600</wp:posOffset>
                </wp:positionH>
                <wp:positionV relativeFrom="paragraph">
                  <wp:posOffset>242570</wp:posOffset>
                </wp:positionV>
                <wp:extent cx="1828800" cy="12700"/>
                <wp:effectExtent l="0" t="0" r="0" b="0"/>
                <wp:wrapTopAndBottom/>
                <wp:docPr id="673" name="Freeform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w 2880"/>
                            <a:gd name="T1" fmla="*/ 0 h 20"/>
                            <a:gd name="T2" fmla="*/ 2880 w 2880"/>
                            <a:gd name="T3" fmla="*/ 0 h 20"/>
                          </a:gdLst>
                          <a:ahLst/>
                          <a:cxnLst>
                            <a:cxn ang="0">
                              <a:pos x="T0" y="T1"/>
                            </a:cxn>
                            <a:cxn ang="0">
                              <a:pos x="T2" y="T3"/>
                            </a:cxn>
                          </a:cxnLst>
                          <a:rect l="0" t="0" r="r" b="b"/>
                          <a:pathLst>
                            <a:path w="2880" h="20">
                              <a:moveTo>
                                <a:pt x="0" y="0"/>
                              </a:moveTo>
                              <a:lnTo>
                                <a:pt x="2880"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52" o:spid="_x0000_s1026" style="position:absolute;z-index:251606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48pt,19.1pt,192pt,19.1pt" coordsize="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" o:allowincell="f" filled="f" strokeweight=".20458mm">
                <v:path arrowok="t" o:connecttype="custom" o:connectlocs="0,0;1828800,0" o:connectangles="0,0"/>
                <w10:wrap type="topAndBottom" anchorx="page"/>
              </v:polyline>
            </w:pict>
          </mc:Fallback>
        </mc:AlternateContent>
      </w:r>
    </w:p>
    <w:p w:rsidR="002C5025" w:rsidRDefault="002C5025">
      <w:pPr>
        <w:pStyle w:val="BodyText"/>
        <w:kinsoku w:val="0"/>
        <w:overflowPunct w:val="0"/>
        <w:spacing w:before="12"/>
        <w:ind w:left="143" w:right="126"/>
        <w:rPr>
          <w:rFonts w:ascii="Times New Roman" w:hAnsi="Times New Roman" w:cs="Times New Roman"/>
          <w:sz w:val="19"/>
          <w:szCs w:val="19"/>
        </w:rPr>
      </w:pPr>
      <w:r>
        <w:rPr>
          <w:rFonts w:ascii="Times New Roman" w:hAnsi="Times New Roman" w:cs="Times New Roman"/>
          <w:position w:val="9"/>
          <w:sz w:val="13"/>
          <w:szCs w:val="13"/>
        </w:rPr>
        <w:t xml:space="preserve">13     </w:t>
      </w:r>
      <w:hyperlink r:id="rId273" w:history="1">
        <w:r>
          <w:rPr>
            <w:rFonts w:ascii="Times New Roman" w:hAnsi="Times New Roman" w:cs="Times New Roman"/>
            <w:sz w:val="19"/>
            <w:szCs w:val="19"/>
            <w:u w:val="single"/>
          </w:rPr>
          <w:t>http://kff.org/private-insurance/issue-brief/surprise-medical-bills/</w:t>
        </w:r>
      </w:hyperlink>
    </w:p>
    <w:p w:rsidR="002C5025" w:rsidRDefault="002C5025">
      <w:pPr>
        <w:pStyle w:val="BodyText"/>
        <w:kinsoku w:val="0"/>
        <w:overflowPunct w:val="0"/>
        <w:spacing w:before="1"/>
        <w:rPr>
          <w:rFonts w:ascii="Times New Roman" w:hAnsi="Times New Roman" w:cs="Times New Roman"/>
          <w:sz w:val="18"/>
          <w:szCs w:val="18"/>
        </w:rPr>
      </w:pPr>
    </w:p>
    <w:p w:rsidR="002C5025" w:rsidRDefault="002C5025">
      <w:pPr>
        <w:pStyle w:val="BodyText"/>
        <w:kinsoku w:val="0"/>
        <w:overflowPunct w:val="0"/>
        <w:ind w:left="143" w:right="126"/>
        <w:rPr>
          <w:rFonts w:ascii="Times New Roman" w:hAnsi="Times New Roman" w:cs="Times New Roman"/>
          <w:w w:val="105"/>
          <w:sz w:val="19"/>
          <w:szCs w:val="19"/>
        </w:rPr>
      </w:pPr>
      <w:r>
        <w:rPr>
          <w:rFonts w:ascii="Times New Roman" w:hAnsi="Times New Roman" w:cs="Times New Roman"/>
          <w:w w:val="105"/>
          <w:position w:val="9"/>
          <w:sz w:val="13"/>
          <w:szCs w:val="13"/>
        </w:rPr>
        <w:t>14</w:t>
      </w:r>
      <w:hyperlink r:id="rId274" w:history="1">
        <w:r>
          <w:rPr>
            <w:rFonts w:ascii="Times New Roman" w:hAnsi="Times New Roman" w:cs="Times New Roman"/>
            <w:w w:val="105"/>
            <w:sz w:val="19"/>
            <w:szCs w:val="19"/>
          </w:rPr>
          <w:t>http://www.npr.org/sections/health-shots/2015/12/24/460829936/er-docs-say-rule-change-could-raise-patients-out-of-network-</w:t>
        </w:r>
      </w:hyperlink>
    </w:p>
    <w:p w:rsidR="002C5025" w:rsidRDefault="002C5025">
      <w:pPr>
        <w:pStyle w:val="BodyText"/>
        <w:kinsoku w:val="0"/>
        <w:overflowPunct w:val="0"/>
        <w:spacing w:before="12"/>
        <w:ind w:left="143" w:right="126"/>
        <w:rPr>
          <w:rFonts w:ascii="Times New Roman" w:hAnsi="Times New Roman" w:cs="Times New Roman"/>
          <w:w w:val="105"/>
          <w:sz w:val="19"/>
          <w:szCs w:val="19"/>
        </w:rPr>
      </w:pPr>
      <w:r>
        <w:rPr>
          <w:rFonts w:ascii="Times New Roman" w:hAnsi="Times New Roman" w:cs="Times New Roman"/>
          <w:w w:val="105"/>
          <w:sz w:val="19"/>
          <w:szCs w:val="19"/>
        </w:rPr>
        <w:t>bills</w:t>
      </w:r>
    </w:p>
    <w:p w:rsidR="002C5025" w:rsidRDefault="002C5025">
      <w:pPr>
        <w:pStyle w:val="BodyText"/>
        <w:kinsoku w:val="0"/>
        <w:overflowPunct w:val="0"/>
        <w:spacing w:before="3"/>
        <w:rPr>
          <w:rFonts w:ascii="Times New Roman" w:hAnsi="Times New Roman" w:cs="Times New Roman"/>
          <w:sz w:val="14"/>
          <w:szCs w:val="14"/>
        </w:rPr>
      </w:pPr>
    </w:p>
    <w:p w:rsidR="002C5025" w:rsidRDefault="00FB027C">
      <w:pPr>
        <w:pStyle w:val="BodyText"/>
        <w:kinsoku w:val="0"/>
        <w:overflowPunct w:val="0"/>
        <w:spacing w:before="76"/>
        <w:ind w:right="108"/>
        <w:jc w:val="right"/>
        <w:rPr>
          <w:rFonts w:ascii="Times New Roman" w:hAnsi="Times New Roman" w:cs="Times New Roman"/>
          <w:w w:val="99"/>
          <w:sz w:val="19"/>
          <w:szCs w:val="19"/>
        </w:rPr>
      </w:pPr>
      <w:r>
        <w:rPr>
          <w:noProof/>
        </w:rPr>
        <mc:AlternateContent>
          <mc:Choice Requires="wpg">
            <w:drawing>
              <wp:anchor distT="0" distB="0" distL="114300" distR="114300" simplePos="0" relativeHeight="251607552" behindDoc="0" locked="0" layoutInCell="0" allowOverlap="1">
                <wp:simplePos x="0" y="0"/>
                <wp:positionH relativeFrom="page">
                  <wp:posOffset>572135</wp:posOffset>
                </wp:positionH>
                <wp:positionV relativeFrom="paragraph">
                  <wp:posOffset>48260</wp:posOffset>
                </wp:positionV>
                <wp:extent cx="6410960" cy="38100"/>
                <wp:effectExtent l="0" t="0" r="0" b="0"/>
                <wp:wrapNone/>
                <wp:docPr id="669" name="Group 3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0960" cy="38100"/>
                          <a:chOff x="901" y="76"/>
                          <a:chExt cx="10096" cy="60"/>
                        </a:xfrm>
                      </wpg:grpSpPr>
                      <wps:wsp>
                        <wps:cNvPr id="670" name="Freeform 354"/>
                        <wps:cNvSpPr>
                          <a:spLocks/>
                        </wps:cNvSpPr>
                        <wps:spPr bwMode="auto">
                          <a:xfrm>
                            <a:off x="917" y="85"/>
                            <a:ext cx="10065" cy="20"/>
                          </a:xfrm>
                          <a:custGeom>
                            <a:avLst/>
                            <a:gdLst>
                              <a:gd name="T0" fmla="*/ 0 w 10065"/>
                              <a:gd name="T1" fmla="*/ 0 h 20"/>
                              <a:gd name="T2" fmla="*/ 10065 w 10065"/>
                              <a:gd name="T3" fmla="*/ 0 h 20"/>
                            </a:gdLst>
                            <a:ahLst/>
                            <a:cxnLst>
                              <a:cxn ang="0">
                                <a:pos x="T0" y="T1"/>
                              </a:cxn>
                              <a:cxn ang="0">
                                <a:pos x="T2" y="T3"/>
                              </a:cxn>
                            </a:cxnLst>
                            <a:rect l="0" t="0" r="r" b="b"/>
                            <a:pathLst>
                              <a:path w="10065" h="20">
                                <a:moveTo>
                                  <a:pt x="0" y="0"/>
                                </a:moveTo>
                                <a:lnTo>
                                  <a:pt x="10065"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1" name="Freeform 355"/>
                        <wps:cNvSpPr>
                          <a:spLocks/>
                        </wps:cNvSpPr>
                        <wps:spPr bwMode="auto">
                          <a:xfrm>
                            <a:off x="917" y="107"/>
                            <a:ext cx="10065" cy="20"/>
                          </a:xfrm>
                          <a:custGeom>
                            <a:avLst/>
                            <a:gdLst>
                              <a:gd name="T0" fmla="*/ 0 w 10065"/>
                              <a:gd name="T1" fmla="*/ 0 h 20"/>
                              <a:gd name="T2" fmla="*/ 10065 w 10065"/>
                              <a:gd name="T3" fmla="*/ 0 h 20"/>
                            </a:gdLst>
                            <a:ahLst/>
                            <a:cxnLst>
                              <a:cxn ang="0">
                                <a:pos x="T0" y="T1"/>
                              </a:cxn>
                              <a:cxn ang="0">
                                <a:pos x="T2" y="T3"/>
                              </a:cxn>
                            </a:cxnLst>
                            <a:rect l="0" t="0" r="r" b="b"/>
                            <a:pathLst>
                              <a:path w="10065" h="20">
                                <a:moveTo>
                                  <a:pt x="0" y="0"/>
                                </a:moveTo>
                                <a:lnTo>
                                  <a:pt x="10065" y="0"/>
                                </a:lnTo>
                              </a:path>
                            </a:pathLst>
                          </a:custGeom>
                          <a:noFill/>
                          <a:ln w="19558">
                            <a:solidFill>
                              <a:srgbClr val="6060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2" name="Freeform 356"/>
                        <wps:cNvSpPr>
                          <a:spLocks/>
                        </wps:cNvSpPr>
                        <wps:spPr bwMode="auto">
                          <a:xfrm>
                            <a:off x="917" y="128"/>
                            <a:ext cx="10065" cy="20"/>
                          </a:xfrm>
                          <a:custGeom>
                            <a:avLst/>
                            <a:gdLst>
                              <a:gd name="T0" fmla="*/ 0 w 10065"/>
                              <a:gd name="T1" fmla="*/ 0 h 20"/>
                              <a:gd name="T2" fmla="*/ 10065 w 10065"/>
                              <a:gd name="T3" fmla="*/ 0 h 20"/>
                            </a:gdLst>
                            <a:ahLst/>
                            <a:cxnLst>
                              <a:cxn ang="0">
                                <a:pos x="T0" y="T1"/>
                              </a:cxn>
                              <a:cxn ang="0">
                                <a:pos x="T2" y="T3"/>
                              </a:cxn>
                            </a:cxnLst>
                            <a:rect l="0" t="0" r="r" b="b"/>
                            <a:pathLst>
                              <a:path w="10065" h="20">
                                <a:moveTo>
                                  <a:pt x="0" y="0"/>
                                </a:moveTo>
                                <a:lnTo>
                                  <a:pt x="10065" y="0"/>
                                </a:lnTo>
                              </a:path>
                            </a:pathLst>
                          </a:custGeom>
                          <a:noFill/>
                          <a:ln w="10414">
                            <a:solidFill>
                              <a:srgbClr val="C1C1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3" o:spid="_x0000_s1026" style="position:absolute;margin-left:45.05pt;margin-top:3.8pt;width:504.8pt;height:3pt;z-index:251607552;mso-position-horizontal-relative:page" coordorigin="901,76" coordsize="1009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" o:allowincell="f">
                <v:shape id="Freeform 354" o:spid="_x0000_s1027" style="position:absolute;left:917;top:85;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NzBcMA&#10;AADcAAAADwAAAGRycy9kb3ducmV2LnhtbERPz2vCMBS+D/wfwhN2GZq6g5NqFFEU6WFQLXh9NM+2&#10;2ryEJmrnX78cBjt+fL8Xq9604kGdbywrmIwTEMSl1Q1XCorTbjQD4QOyxtYyKfghD6vl4G2BqbZP&#10;zulxDJWIIexTVFCH4FIpfVmTQT+2jjhyF9sZDBF2ldQdPmO4aeVnkkylwYZjQ42ONjWVt+PdKDh8&#10;X/Pt2bwK99KbS+E+smyfZ0q9D/v1HESgPvyL/9wHrWD6FefHM/EI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0NzBcMAAADcAAAADwAAAAAAAAAAAAAAAACYAgAAZHJzL2Rv&#10;d25yZXYueG1sUEsFBgAAAAAEAAQA9QAAAIgDAAAAAA==&#10;" path="m,l10065,e" filled="f" strokeweight=".82pt">
                  <v:path arrowok="t" o:connecttype="custom" o:connectlocs="0,0;10065,0" o:connectangles="0,0"/>
                </v:shape>
                <v:shape id="Freeform 355" o:spid="_x0000_s1028" style="position:absolute;left:917;top:107;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BGo8QA&#10;AADcAAAADwAAAGRycy9kb3ducmV2LnhtbESPX0vDQBDE34V+h2MF3+wlIrGkvRZbqIgvYirSxyW3&#10;+aO5vXC3tvHbe4LQx2FmfsOsNpMb1IlC7D0byOcZKOLa255bA++H/e0CVBRki4NnMvBDETbr2dUK&#10;S+vP/EanSlqVIBxLNNCJjKXWse7IYZz7kTh5jQ8OJcnQahvwnOBu0HdZVmiHPaeFDkfadVR/Vd/O&#10;wBH3tirum930GSR/3TYf8vTijLm5nh6XoIQmuYT/28/WQPGQw9+ZdAT0+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1gRqPEAAAA3AAAAA8AAAAAAAAAAAAAAAAAmAIAAGRycy9k&#10;b3ducmV2LnhtbFBLBQYAAAAABAAEAPUAAACJAwAAAAA=&#10;" path="m,l10065,e" filled="f" strokecolor="#606060" strokeweight="1.54pt">
                  <v:path arrowok="t" o:connecttype="custom" o:connectlocs="0,0;10065,0" o:connectangles="0,0"/>
                </v:shape>
                <v:shape id="Freeform 356" o:spid="_x0000_s1029" style="position:absolute;left:917;top:128;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47d8MA&#10;AADcAAAADwAAAGRycy9kb3ducmV2LnhtbESPQYvCMBSE78L+h/AW9qapFepuNcpSEL1WBent0Tzb&#10;YvNSmqx2/fVGEDwOM/MNs1wPphVX6l1jWcF0EoEgLq1uuFJwPGzG3yCcR9bYWiYF/+RgvfoYLTHV&#10;9sY5Xfe+EgHCLkUFtfddKqUrazLoJrYjDt7Z9gZ9kH0ldY+3ADetjKMokQYbDgs1dpTVVF72f0ZB&#10;kSenn21359ks83mRZKYq8lipr8/hdwHC0+Df4Vd7pxUk8xieZ8IR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c47d8MAAADcAAAADwAAAAAAAAAAAAAAAACYAgAAZHJzL2Rv&#10;d25yZXYueG1sUEsFBgAAAAAEAAQA9QAAAIgDAAAAAA==&#10;" path="m,l10065,e" filled="f" strokecolor="#c1c1c1" strokeweight=".82pt">
                  <v:path arrowok="t" o:connecttype="custom" o:connectlocs="0,0;10065,0" o:connectangles="0,0"/>
                </v:shape>
                <w10:wrap anchorx="page"/>
              </v:group>
            </w:pict>
          </mc:Fallback>
        </mc:AlternateContent>
      </w:r>
      <w:r w:rsidR="002C5025">
        <w:rPr>
          <w:rFonts w:ascii="Times New Roman" w:hAnsi="Times New Roman" w:cs="Times New Roman"/>
          <w:w w:val="99"/>
          <w:sz w:val="19"/>
          <w:szCs w:val="19"/>
        </w:rPr>
        <w:t>7</w:t>
      </w:r>
    </w:p>
    <w:p w:rsidR="002C5025" w:rsidRDefault="002C5025">
      <w:pPr>
        <w:pStyle w:val="BodyText"/>
        <w:kinsoku w:val="0"/>
        <w:overflowPunct w:val="0"/>
        <w:spacing w:before="109" w:line="247" w:lineRule="auto"/>
        <w:ind w:left="642" w:right="773" w:hanging="348"/>
        <w:rPr>
          <w:rFonts w:ascii="Cambria" w:hAnsi="Cambria" w:cs="Cambria"/>
          <w:i/>
          <w:iCs/>
          <w:w w:val="105"/>
          <w:sz w:val="19"/>
          <w:szCs w:val="19"/>
        </w:rPr>
      </w:pPr>
      <w:r>
        <w:rPr>
          <w:rFonts w:ascii="Cambria" w:hAnsi="Cambria" w:cs="Cambria"/>
          <w:i/>
          <w:iCs/>
          <w:w w:val="105"/>
          <w:sz w:val="19"/>
          <w:szCs w:val="19"/>
        </w:rPr>
        <w:t>Doctors</w:t>
      </w:r>
      <w:r>
        <w:rPr>
          <w:rFonts w:ascii="Cambria" w:hAnsi="Cambria" w:cs="Cambria"/>
          <w:i/>
          <w:iCs/>
          <w:spacing w:val="-10"/>
          <w:w w:val="105"/>
          <w:sz w:val="19"/>
          <w:szCs w:val="19"/>
        </w:rPr>
        <w:t xml:space="preserve"> </w:t>
      </w:r>
      <w:r>
        <w:rPr>
          <w:rFonts w:ascii="Cambria" w:hAnsi="Cambria" w:cs="Cambria"/>
          <w:i/>
          <w:iCs/>
          <w:w w:val="105"/>
          <w:sz w:val="19"/>
          <w:szCs w:val="19"/>
        </w:rPr>
        <w:t>for</w:t>
      </w:r>
      <w:r>
        <w:rPr>
          <w:rFonts w:ascii="Cambria" w:hAnsi="Cambria" w:cs="Cambria"/>
          <w:i/>
          <w:iCs/>
          <w:spacing w:val="-13"/>
          <w:w w:val="105"/>
          <w:sz w:val="19"/>
          <w:szCs w:val="19"/>
        </w:rPr>
        <w:t xml:space="preserve"> </w:t>
      </w:r>
      <w:r>
        <w:rPr>
          <w:rFonts w:ascii="Cambria" w:hAnsi="Cambria" w:cs="Cambria"/>
          <w:i/>
          <w:iCs/>
          <w:w w:val="105"/>
          <w:sz w:val="19"/>
          <w:szCs w:val="19"/>
        </w:rPr>
        <w:t>America</w:t>
      </w:r>
      <w:r>
        <w:rPr>
          <w:rFonts w:ascii="Cambria" w:hAnsi="Cambria" w:cs="Cambria"/>
          <w:i/>
          <w:iCs/>
          <w:spacing w:val="-12"/>
          <w:w w:val="105"/>
          <w:sz w:val="19"/>
          <w:szCs w:val="19"/>
        </w:rPr>
        <w:t xml:space="preserve"> </w:t>
      </w:r>
      <w:r>
        <w:rPr>
          <w:rFonts w:ascii="Cambria" w:hAnsi="Cambria" w:cs="Cambria"/>
          <w:i/>
          <w:iCs/>
          <w:w w:val="105"/>
          <w:sz w:val="19"/>
          <w:szCs w:val="19"/>
        </w:rPr>
        <w:t>is</w:t>
      </w:r>
      <w:r>
        <w:rPr>
          <w:rFonts w:ascii="Cambria" w:hAnsi="Cambria" w:cs="Cambria"/>
          <w:i/>
          <w:iCs/>
          <w:spacing w:val="-13"/>
          <w:w w:val="105"/>
          <w:sz w:val="19"/>
          <w:szCs w:val="19"/>
        </w:rPr>
        <w:t xml:space="preserve"> </w:t>
      </w:r>
      <w:r>
        <w:rPr>
          <w:rFonts w:ascii="Cambria" w:hAnsi="Cambria" w:cs="Cambria"/>
          <w:i/>
          <w:iCs/>
          <w:w w:val="105"/>
          <w:sz w:val="19"/>
          <w:szCs w:val="19"/>
        </w:rPr>
        <w:t>a</w:t>
      </w:r>
      <w:r>
        <w:rPr>
          <w:rFonts w:ascii="Cambria" w:hAnsi="Cambria" w:cs="Cambria"/>
          <w:i/>
          <w:iCs/>
          <w:spacing w:val="-10"/>
          <w:w w:val="105"/>
          <w:sz w:val="19"/>
          <w:szCs w:val="19"/>
        </w:rPr>
        <w:t xml:space="preserve"> </w:t>
      </w:r>
      <w:r>
        <w:rPr>
          <w:rFonts w:ascii="Cambria" w:hAnsi="Cambria" w:cs="Cambria"/>
          <w:i/>
          <w:iCs/>
          <w:w w:val="105"/>
          <w:sz w:val="19"/>
          <w:szCs w:val="19"/>
        </w:rPr>
        <w:t>501(c)(3)</w:t>
      </w:r>
      <w:r>
        <w:rPr>
          <w:rFonts w:ascii="Cambria" w:hAnsi="Cambria" w:cs="Cambria"/>
          <w:i/>
          <w:iCs/>
          <w:spacing w:val="-13"/>
          <w:w w:val="105"/>
          <w:sz w:val="19"/>
          <w:szCs w:val="19"/>
        </w:rPr>
        <w:t xml:space="preserve"> </w:t>
      </w:r>
      <w:r>
        <w:rPr>
          <w:rFonts w:ascii="Cambria" w:hAnsi="Cambria" w:cs="Cambria"/>
          <w:i/>
          <w:iCs/>
          <w:w w:val="105"/>
          <w:sz w:val="19"/>
          <w:szCs w:val="19"/>
        </w:rPr>
        <w:t>national</w:t>
      </w:r>
      <w:r>
        <w:rPr>
          <w:rFonts w:ascii="Cambria" w:hAnsi="Cambria" w:cs="Cambria"/>
          <w:i/>
          <w:iCs/>
          <w:spacing w:val="-11"/>
          <w:w w:val="105"/>
          <w:sz w:val="19"/>
          <w:szCs w:val="19"/>
        </w:rPr>
        <w:t xml:space="preserve"> </w:t>
      </w:r>
      <w:r>
        <w:rPr>
          <w:rFonts w:ascii="Cambria" w:hAnsi="Cambria" w:cs="Cambria"/>
          <w:i/>
          <w:iCs/>
          <w:w w:val="105"/>
          <w:sz w:val="19"/>
          <w:szCs w:val="19"/>
        </w:rPr>
        <w:t>movement</w:t>
      </w:r>
      <w:r>
        <w:rPr>
          <w:rFonts w:ascii="Cambria" w:hAnsi="Cambria" w:cs="Cambria"/>
          <w:i/>
          <w:iCs/>
          <w:spacing w:val="-10"/>
          <w:w w:val="105"/>
          <w:sz w:val="19"/>
          <w:szCs w:val="19"/>
        </w:rPr>
        <w:t xml:space="preserve"> </w:t>
      </w:r>
      <w:r>
        <w:rPr>
          <w:rFonts w:ascii="Cambria" w:hAnsi="Cambria" w:cs="Cambria"/>
          <w:i/>
          <w:iCs/>
          <w:w w:val="105"/>
          <w:sz w:val="19"/>
          <w:szCs w:val="19"/>
        </w:rPr>
        <w:t>that</w:t>
      </w:r>
      <w:r>
        <w:rPr>
          <w:rFonts w:ascii="Cambria" w:hAnsi="Cambria" w:cs="Cambria"/>
          <w:i/>
          <w:iCs/>
          <w:spacing w:val="-13"/>
          <w:w w:val="105"/>
          <w:sz w:val="19"/>
          <w:szCs w:val="19"/>
        </w:rPr>
        <w:t xml:space="preserve"> </w:t>
      </w:r>
      <w:r>
        <w:rPr>
          <w:rFonts w:ascii="Cambria" w:hAnsi="Cambria" w:cs="Cambria"/>
          <w:i/>
          <w:iCs/>
          <w:w w:val="105"/>
          <w:sz w:val="19"/>
          <w:szCs w:val="19"/>
        </w:rPr>
        <w:t>mobilizes</w:t>
      </w:r>
      <w:r>
        <w:rPr>
          <w:rFonts w:ascii="Cambria" w:hAnsi="Cambria" w:cs="Cambria"/>
          <w:i/>
          <w:iCs/>
          <w:spacing w:val="-10"/>
          <w:w w:val="105"/>
          <w:sz w:val="19"/>
          <w:szCs w:val="19"/>
        </w:rPr>
        <w:t xml:space="preserve"> </w:t>
      </w:r>
      <w:r>
        <w:rPr>
          <w:rFonts w:ascii="Cambria" w:hAnsi="Cambria" w:cs="Cambria"/>
          <w:i/>
          <w:iCs/>
          <w:w w:val="105"/>
          <w:sz w:val="19"/>
          <w:szCs w:val="19"/>
        </w:rPr>
        <w:t>physicians</w:t>
      </w:r>
      <w:r>
        <w:rPr>
          <w:rFonts w:ascii="Cambria" w:hAnsi="Cambria" w:cs="Cambria"/>
          <w:i/>
          <w:iCs/>
          <w:spacing w:val="-13"/>
          <w:w w:val="105"/>
          <w:sz w:val="19"/>
          <w:szCs w:val="19"/>
        </w:rPr>
        <w:t xml:space="preserve"> </w:t>
      </w:r>
      <w:r>
        <w:rPr>
          <w:rFonts w:ascii="Cambria" w:hAnsi="Cambria" w:cs="Cambria"/>
          <w:i/>
          <w:iCs/>
          <w:w w:val="105"/>
          <w:sz w:val="19"/>
          <w:szCs w:val="19"/>
        </w:rPr>
        <w:t>and</w:t>
      </w:r>
      <w:r>
        <w:rPr>
          <w:rFonts w:ascii="Cambria" w:hAnsi="Cambria" w:cs="Cambria"/>
          <w:i/>
          <w:iCs/>
          <w:spacing w:val="-12"/>
          <w:w w:val="105"/>
          <w:sz w:val="19"/>
          <w:szCs w:val="19"/>
        </w:rPr>
        <w:t xml:space="preserve"> </w:t>
      </w:r>
      <w:r>
        <w:rPr>
          <w:rFonts w:ascii="Cambria" w:hAnsi="Cambria" w:cs="Cambria"/>
          <w:i/>
          <w:iCs/>
          <w:w w:val="105"/>
          <w:sz w:val="19"/>
          <w:szCs w:val="19"/>
        </w:rPr>
        <w:t>medical</w:t>
      </w:r>
      <w:r>
        <w:rPr>
          <w:rFonts w:ascii="Cambria" w:hAnsi="Cambria" w:cs="Cambria"/>
          <w:i/>
          <w:iCs/>
          <w:spacing w:val="-14"/>
          <w:w w:val="105"/>
          <w:sz w:val="19"/>
          <w:szCs w:val="19"/>
        </w:rPr>
        <w:t xml:space="preserve"> </w:t>
      </w:r>
      <w:r>
        <w:rPr>
          <w:rFonts w:ascii="Cambria" w:hAnsi="Cambria" w:cs="Cambria"/>
          <w:i/>
          <w:iCs/>
          <w:w w:val="105"/>
          <w:sz w:val="19"/>
          <w:szCs w:val="19"/>
        </w:rPr>
        <w:t>students</w:t>
      </w:r>
      <w:r>
        <w:rPr>
          <w:rFonts w:ascii="Cambria" w:hAnsi="Cambria" w:cs="Cambria"/>
          <w:i/>
          <w:iCs/>
          <w:spacing w:val="-13"/>
          <w:w w:val="105"/>
          <w:sz w:val="19"/>
          <w:szCs w:val="19"/>
        </w:rPr>
        <w:t xml:space="preserve"> </w:t>
      </w:r>
      <w:r>
        <w:rPr>
          <w:rFonts w:ascii="Cambria" w:hAnsi="Cambria" w:cs="Cambria"/>
          <w:i/>
          <w:iCs/>
          <w:w w:val="105"/>
          <w:sz w:val="19"/>
          <w:szCs w:val="19"/>
        </w:rPr>
        <w:t>to</w:t>
      </w:r>
      <w:r>
        <w:rPr>
          <w:rFonts w:ascii="Cambria" w:hAnsi="Cambria" w:cs="Cambria"/>
          <w:i/>
          <w:iCs/>
          <w:spacing w:val="-14"/>
          <w:w w:val="105"/>
          <w:sz w:val="19"/>
          <w:szCs w:val="19"/>
        </w:rPr>
        <w:t xml:space="preserve"> </w:t>
      </w:r>
      <w:r>
        <w:rPr>
          <w:rFonts w:ascii="Cambria" w:hAnsi="Cambria" w:cs="Cambria"/>
          <w:i/>
          <w:iCs/>
          <w:w w:val="105"/>
          <w:sz w:val="19"/>
          <w:szCs w:val="19"/>
        </w:rPr>
        <w:t>put</w:t>
      </w:r>
      <w:r>
        <w:rPr>
          <w:rFonts w:ascii="Cambria" w:hAnsi="Cambria" w:cs="Cambria"/>
          <w:i/>
          <w:iCs/>
          <w:spacing w:val="-13"/>
          <w:w w:val="105"/>
          <w:sz w:val="19"/>
          <w:szCs w:val="19"/>
        </w:rPr>
        <w:t xml:space="preserve"> </w:t>
      </w:r>
      <w:r>
        <w:rPr>
          <w:rFonts w:ascii="Cambria" w:hAnsi="Cambria" w:cs="Cambria"/>
          <w:i/>
          <w:iCs/>
          <w:w w:val="105"/>
          <w:sz w:val="19"/>
          <w:szCs w:val="19"/>
        </w:rPr>
        <w:t>patients over</w:t>
      </w:r>
      <w:r>
        <w:rPr>
          <w:rFonts w:ascii="Cambria" w:hAnsi="Cambria" w:cs="Cambria"/>
          <w:i/>
          <w:iCs/>
          <w:spacing w:val="-10"/>
          <w:w w:val="105"/>
          <w:sz w:val="19"/>
          <w:szCs w:val="19"/>
        </w:rPr>
        <w:t xml:space="preserve"> </w:t>
      </w:r>
      <w:r>
        <w:rPr>
          <w:rFonts w:ascii="Cambria" w:hAnsi="Cambria" w:cs="Cambria"/>
          <w:i/>
          <w:iCs/>
          <w:w w:val="105"/>
          <w:sz w:val="19"/>
          <w:szCs w:val="19"/>
        </w:rPr>
        <w:t>politics</w:t>
      </w:r>
      <w:r>
        <w:rPr>
          <w:rFonts w:ascii="Cambria" w:hAnsi="Cambria" w:cs="Cambria"/>
          <w:i/>
          <w:iCs/>
          <w:spacing w:val="-9"/>
          <w:w w:val="105"/>
          <w:sz w:val="19"/>
          <w:szCs w:val="19"/>
        </w:rPr>
        <w:t xml:space="preserve"> </w:t>
      </w:r>
      <w:r>
        <w:rPr>
          <w:rFonts w:ascii="Cambria" w:hAnsi="Cambria" w:cs="Cambria"/>
          <w:i/>
          <w:iCs/>
          <w:w w:val="105"/>
          <w:sz w:val="19"/>
          <w:szCs w:val="19"/>
        </w:rPr>
        <w:t>on</w:t>
      </w:r>
      <w:r>
        <w:rPr>
          <w:rFonts w:ascii="Cambria" w:hAnsi="Cambria" w:cs="Cambria"/>
          <w:i/>
          <w:iCs/>
          <w:spacing w:val="-11"/>
          <w:w w:val="105"/>
          <w:sz w:val="19"/>
          <w:szCs w:val="19"/>
        </w:rPr>
        <w:t xml:space="preserve"> </w:t>
      </w:r>
      <w:r>
        <w:rPr>
          <w:rFonts w:ascii="Cambria" w:hAnsi="Cambria" w:cs="Cambria"/>
          <w:i/>
          <w:iCs/>
          <w:w w:val="105"/>
          <w:sz w:val="19"/>
          <w:szCs w:val="19"/>
        </w:rPr>
        <w:t>the</w:t>
      </w:r>
      <w:r>
        <w:rPr>
          <w:rFonts w:ascii="Cambria" w:hAnsi="Cambria" w:cs="Cambria"/>
          <w:i/>
          <w:iCs/>
          <w:spacing w:val="-10"/>
          <w:w w:val="105"/>
          <w:sz w:val="19"/>
          <w:szCs w:val="19"/>
        </w:rPr>
        <w:t xml:space="preserve"> </w:t>
      </w:r>
      <w:r>
        <w:rPr>
          <w:rFonts w:ascii="Cambria" w:hAnsi="Cambria" w:cs="Cambria"/>
          <w:i/>
          <w:iCs/>
          <w:w w:val="105"/>
          <w:sz w:val="19"/>
          <w:szCs w:val="19"/>
        </w:rPr>
        <w:t>pressing</w:t>
      </w:r>
      <w:r>
        <w:rPr>
          <w:rFonts w:ascii="Cambria" w:hAnsi="Cambria" w:cs="Cambria"/>
          <w:i/>
          <w:iCs/>
          <w:spacing w:val="-9"/>
          <w:w w:val="105"/>
          <w:sz w:val="19"/>
          <w:szCs w:val="19"/>
        </w:rPr>
        <w:t xml:space="preserve"> </w:t>
      </w:r>
      <w:r>
        <w:rPr>
          <w:rFonts w:ascii="Cambria" w:hAnsi="Cambria" w:cs="Cambria"/>
          <w:i/>
          <w:iCs/>
          <w:w w:val="105"/>
          <w:sz w:val="19"/>
          <w:szCs w:val="19"/>
        </w:rPr>
        <w:t>issues</w:t>
      </w:r>
      <w:r>
        <w:rPr>
          <w:rFonts w:ascii="Cambria" w:hAnsi="Cambria" w:cs="Cambria"/>
          <w:i/>
          <w:iCs/>
          <w:spacing w:val="-9"/>
          <w:w w:val="105"/>
          <w:sz w:val="19"/>
          <w:szCs w:val="19"/>
        </w:rPr>
        <w:t xml:space="preserve"> </w:t>
      </w:r>
      <w:r>
        <w:rPr>
          <w:rFonts w:ascii="Cambria" w:hAnsi="Cambria" w:cs="Cambria"/>
          <w:i/>
          <w:iCs/>
          <w:w w:val="105"/>
          <w:sz w:val="19"/>
          <w:szCs w:val="19"/>
        </w:rPr>
        <w:t>of</w:t>
      </w:r>
      <w:r>
        <w:rPr>
          <w:rFonts w:ascii="Cambria" w:hAnsi="Cambria" w:cs="Cambria"/>
          <w:i/>
          <w:iCs/>
          <w:spacing w:val="-11"/>
          <w:w w:val="105"/>
          <w:sz w:val="19"/>
          <w:szCs w:val="19"/>
        </w:rPr>
        <w:t xml:space="preserve"> </w:t>
      </w:r>
      <w:r>
        <w:rPr>
          <w:rFonts w:ascii="Cambria" w:hAnsi="Cambria" w:cs="Cambria"/>
          <w:i/>
          <w:iCs/>
          <w:w w:val="105"/>
          <w:sz w:val="19"/>
          <w:szCs w:val="19"/>
        </w:rPr>
        <w:t>the</w:t>
      </w:r>
      <w:r>
        <w:rPr>
          <w:rFonts w:ascii="Cambria" w:hAnsi="Cambria" w:cs="Cambria"/>
          <w:i/>
          <w:iCs/>
          <w:spacing w:val="-10"/>
          <w:w w:val="105"/>
          <w:sz w:val="19"/>
          <w:szCs w:val="19"/>
        </w:rPr>
        <w:t xml:space="preserve"> </w:t>
      </w:r>
      <w:r>
        <w:rPr>
          <w:rFonts w:ascii="Cambria" w:hAnsi="Cambria" w:cs="Cambria"/>
          <w:i/>
          <w:iCs/>
          <w:w w:val="105"/>
          <w:sz w:val="19"/>
          <w:szCs w:val="19"/>
        </w:rPr>
        <w:t>day</w:t>
      </w:r>
      <w:r>
        <w:rPr>
          <w:rFonts w:ascii="Cambria" w:hAnsi="Cambria" w:cs="Cambria"/>
          <w:i/>
          <w:iCs/>
          <w:spacing w:val="-10"/>
          <w:w w:val="105"/>
          <w:sz w:val="19"/>
          <w:szCs w:val="19"/>
        </w:rPr>
        <w:t xml:space="preserve"> </w:t>
      </w:r>
      <w:r>
        <w:rPr>
          <w:rFonts w:ascii="Cambria" w:hAnsi="Cambria" w:cs="Cambria"/>
          <w:i/>
          <w:iCs/>
          <w:w w:val="105"/>
          <w:sz w:val="19"/>
          <w:szCs w:val="19"/>
        </w:rPr>
        <w:t>to</w:t>
      </w:r>
      <w:r>
        <w:rPr>
          <w:rFonts w:ascii="Cambria" w:hAnsi="Cambria" w:cs="Cambria"/>
          <w:i/>
          <w:iCs/>
          <w:spacing w:val="-10"/>
          <w:w w:val="105"/>
          <w:sz w:val="19"/>
          <w:szCs w:val="19"/>
        </w:rPr>
        <w:t xml:space="preserve"> </w:t>
      </w:r>
      <w:r>
        <w:rPr>
          <w:rFonts w:ascii="Cambria" w:hAnsi="Cambria" w:cs="Cambria"/>
          <w:i/>
          <w:iCs/>
          <w:w w:val="105"/>
          <w:sz w:val="19"/>
          <w:szCs w:val="19"/>
        </w:rPr>
        <w:t>improve</w:t>
      </w:r>
      <w:r>
        <w:rPr>
          <w:rFonts w:ascii="Cambria" w:hAnsi="Cambria" w:cs="Cambria"/>
          <w:i/>
          <w:iCs/>
          <w:spacing w:val="-10"/>
          <w:w w:val="105"/>
          <w:sz w:val="19"/>
          <w:szCs w:val="19"/>
        </w:rPr>
        <w:t xml:space="preserve"> </w:t>
      </w:r>
      <w:r>
        <w:rPr>
          <w:rFonts w:ascii="Cambria" w:hAnsi="Cambria" w:cs="Cambria"/>
          <w:i/>
          <w:iCs/>
          <w:w w:val="105"/>
          <w:sz w:val="19"/>
          <w:szCs w:val="19"/>
        </w:rPr>
        <w:t>the</w:t>
      </w:r>
      <w:r>
        <w:rPr>
          <w:rFonts w:ascii="Cambria" w:hAnsi="Cambria" w:cs="Cambria"/>
          <w:i/>
          <w:iCs/>
          <w:spacing w:val="-10"/>
          <w:w w:val="105"/>
          <w:sz w:val="19"/>
          <w:szCs w:val="19"/>
        </w:rPr>
        <w:t xml:space="preserve"> </w:t>
      </w:r>
      <w:r>
        <w:rPr>
          <w:rFonts w:ascii="Cambria" w:hAnsi="Cambria" w:cs="Cambria"/>
          <w:i/>
          <w:iCs/>
          <w:w w:val="105"/>
          <w:sz w:val="19"/>
          <w:szCs w:val="19"/>
        </w:rPr>
        <w:t>health</w:t>
      </w:r>
      <w:r>
        <w:rPr>
          <w:rFonts w:ascii="Cambria" w:hAnsi="Cambria" w:cs="Cambria"/>
          <w:i/>
          <w:iCs/>
          <w:spacing w:val="-10"/>
          <w:w w:val="105"/>
          <w:sz w:val="19"/>
          <w:szCs w:val="19"/>
        </w:rPr>
        <w:t xml:space="preserve"> </w:t>
      </w:r>
      <w:r>
        <w:rPr>
          <w:rFonts w:ascii="Cambria" w:hAnsi="Cambria" w:cs="Cambria"/>
          <w:i/>
          <w:iCs/>
          <w:w w:val="105"/>
          <w:sz w:val="19"/>
          <w:szCs w:val="19"/>
        </w:rPr>
        <w:t>of</w:t>
      </w:r>
      <w:r>
        <w:rPr>
          <w:rFonts w:ascii="Cambria" w:hAnsi="Cambria" w:cs="Cambria"/>
          <w:i/>
          <w:iCs/>
          <w:spacing w:val="-11"/>
          <w:w w:val="105"/>
          <w:sz w:val="19"/>
          <w:szCs w:val="19"/>
        </w:rPr>
        <w:t xml:space="preserve"> </w:t>
      </w:r>
      <w:r>
        <w:rPr>
          <w:rFonts w:ascii="Cambria" w:hAnsi="Cambria" w:cs="Cambria"/>
          <w:i/>
          <w:iCs/>
          <w:w w:val="105"/>
          <w:sz w:val="19"/>
          <w:szCs w:val="19"/>
        </w:rPr>
        <w:t>our</w:t>
      </w:r>
      <w:r>
        <w:rPr>
          <w:rFonts w:ascii="Cambria" w:hAnsi="Cambria" w:cs="Cambria"/>
          <w:i/>
          <w:iCs/>
          <w:spacing w:val="-10"/>
          <w:w w:val="105"/>
          <w:sz w:val="19"/>
          <w:szCs w:val="19"/>
        </w:rPr>
        <w:t xml:space="preserve"> </w:t>
      </w:r>
      <w:r>
        <w:rPr>
          <w:rFonts w:ascii="Cambria" w:hAnsi="Cambria" w:cs="Cambria"/>
          <w:i/>
          <w:iCs/>
          <w:w w:val="105"/>
          <w:sz w:val="19"/>
          <w:szCs w:val="19"/>
        </w:rPr>
        <w:t>patients,</w:t>
      </w:r>
      <w:r>
        <w:rPr>
          <w:rFonts w:ascii="Cambria" w:hAnsi="Cambria" w:cs="Cambria"/>
          <w:i/>
          <w:iCs/>
          <w:spacing w:val="-12"/>
          <w:w w:val="105"/>
          <w:sz w:val="19"/>
          <w:szCs w:val="19"/>
        </w:rPr>
        <w:t xml:space="preserve"> </w:t>
      </w:r>
      <w:r>
        <w:rPr>
          <w:rFonts w:ascii="Cambria" w:hAnsi="Cambria" w:cs="Cambria"/>
          <w:i/>
          <w:iCs/>
          <w:w w:val="105"/>
          <w:sz w:val="19"/>
          <w:szCs w:val="19"/>
        </w:rPr>
        <w:t>communities,</w:t>
      </w:r>
      <w:r>
        <w:rPr>
          <w:rFonts w:ascii="Cambria" w:hAnsi="Cambria" w:cs="Cambria"/>
          <w:i/>
          <w:iCs/>
          <w:spacing w:val="-9"/>
          <w:w w:val="105"/>
          <w:sz w:val="19"/>
          <w:szCs w:val="19"/>
        </w:rPr>
        <w:t xml:space="preserve"> </w:t>
      </w:r>
      <w:r>
        <w:rPr>
          <w:rFonts w:ascii="Cambria" w:hAnsi="Cambria" w:cs="Cambria"/>
          <w:i/>
          <w:iCs/>
          <w:w w:val="105"/>
          <w:sz w:val="19"/>
          <w:szCs w:val="19"/>
        </w:rPr>
        <w:t>and</w:t>
      </w:r>
      <w:r>
        <w:rPr>
          <w:rFonts w:ascii="Cambria" w:hAnsi="Cambria" w:cs="Cambria"/>
          <w:i/>
          <w:iCs/>
          <w:spacing w:val="-11"/>
          <w:w w:val="105"/>
          <w:sz w:val="19"/>
          <w:szCs w:val="19"/>
        </w:rPr>
        <w:t xml:space="preserve"> </w:t>
      </w:r>
      <w:r>
        <w:rPr>
          <w:rFonts w:ascii="Cambria" w:hAnsi="Cambria" w:cs="Cambria"/>
          <w:i/>
          <w:iCs/>
          <w:w w:val="105"/>
          <w:sz w:val="19"/>
          <w:szCs w:val="19"/>
        </w:rPr>
        <w:t>nation..</w:t>
      </w:r>
    </w:p>
    <w:p w:rsidR="002C5025" w:rsidRDefault="002C5025">
      <w:pPr>
        <w:pStyle w:val="BodyText"/>
        <w:kinsoku w:val="0"/>
        <w:overflowPunct w:val="0"/>
        <w:spacing w:before="109" w:line="247" w:lineRule="auto"/>
        <w:ind w:left="642" w:right="773" w:hanging="348"/>
        <w:rPr>
          <w:rFonts w:ascii="Cambria" w:hAnsi="Cambria" w:cs="Cambria"/>
          <w:i/>
          <w:iCs/>
          <w:w w:val="105"/>
          <w:sz w:val="19"/>
          <w:szCs w:val="19"/>
        </w:rPr>
        <w:sectPr w:rsidR="002C5025">
          <w:pgSz w:w="12240" w:h="15840"/>
          <w:pgMar w:top="940" w:right="820" w:bottom="280" w:left="800" w:header="720" w:footer="720" w:gutter="0"/>
          <w:pgBorders w:offsetFrom="page">
            <w:top w:val="single" w:sz="24" w:space="24" w:color="213957"/>
            <w:left w:val="single" w:sz="24" w:space="24" w:color="213957"/>
            <w:bottom w:val="single" w:sz="24" w:space="24" w:color="213957"/>
            <w:right w:val="single" w:sz="24" w:space="24" w:color="213957"/>
          </w:pgBorders>
          <w:cols w:space="720"/>
          <w:noEndnote/>
        </w:sectPr>
      </w:pPr>
    </w:p>
    <w:p w:rsidR="002C5025" w:rsidRDefault="002C5025">
      <w:pPr>
        <w:pStyle w:val="BodyText"/>
        <w:kinsoku w:val="0"/>
        <w:overflowPunct w:val="0"/>
        <w:spacing w:before="49" w:line="273" w:lineRule="auto"/>
        <w:ind w:left="143" w:right="546"/>
        <w:rPr>
          <w:rFonts w:ascii="Times New Roman" w:hAnsi="Times New Roman" w:cs="Times New Roman"/>
          <w:sz w:val="24"/>
          <w:szCs w:val="24"/>
        </w:rPr>
      </w:pPr>
      <w:r>
        <w:rPr>
          <w:rFonts w:ascii="Times New Roman" w:hAnsi="Times New Roman" w:cs="Times New Roman"/>
          <w:sz w:val="24"/>
          <w:szCs w:val="24"/>
        </w:rPr>
        <w:lastRenderedPageBreak/>
        <w:t>This added complexity is in the context of already low health literacy. Data show that over 30% of Americans have low health literacy or the inability to understand prescription instructions. Over half of Americans have low health “numeracy” or the inability to use numbers in daily life.</w:t>
      </w:r>
    </w:p>
    <w:p w:rsidR="002C5025" w:rsidRDefault="002C5025">
      <w:pPr>
        <w:pStyle w:val="BodyText"/>
        <w:kinsoku w:val="0"/>
        <w:overflowPunct w:val="0"/>
        <w:spacing w:before="3"/>
        <w:rPr>
          <w:rFonts w:ascii="Times New Roman" w:hAnsi="Times New Roman" w:cs="Times New Roman"/>
          <w:sz w:val="28"/>
          <w:szCs w:val="28"/>
        </w:rPr>
      </w:pPr>
    </w:p>
    <w:p w:rsidR="002C5025" w:rsidRDefault="002C5025">
      <w:pPr>
        <w:pStyle w:val="BodyText"/>
        <w:kinsoku w:val="0"/>
        <w:overflowPunct w:val="0"/>
        <w:spacing w:line="266" w:lineRule="auto"/>
        <w:ind w:left="143" w:right="119"/>
        <w:rPr>
          <w:rFonts w:ascii="Times New Roman" w:hAnsi="Times New Roman" w:cs="Times New Roman"/>
          <w:sz w:val="24"/>
          <w:szCs w:val="24"/>
        </w:rPr>
      </w:pPr>
      <w:r>
        <w:rPr>
          <w:rFonts w:ascii="Times New Roman" w:hAnsi="Times New Roman" w:cs="Times New Roman"/>
          <w:sz w:val="24"/>
          <w:szCs w:val="24"/>
        </w:rPr>
        <w:t>U.S. Health and Human Services describes the following on health literacy, “The primary responsibility for improving health literacy lies with public health professionals and the healthcare and public health systems. We must work together to ensure that health information and services can be understood and used by all Americans.”:</w:t>
      </w:r>
      <w:r>
        <w:rPr>
          <w:rFonts w:ascii="Times New Roman" w:hAnsi="Times New Roman" w:cs="Times New Roman"/>
          <w:position w:val="11"/>
          <w:sz w:val="16"/>
          <w:szCs w:val="16"/>
        </w:rPr>
        <w:t xml:space="preserve">15 </w:t>
      </w:r>
      <w:r>
        <w:rPr>
          <w:rFonts w:ascii="Times New Roman" w:hAnsi="Times New Roman" w:cs="Times New Roman"/>
          <w:sz w:val="24"/>
          <w:szCs w:val="24"/>
        </w:rPr>
        <w:t>HHS further describes:</w:t>
      </w:r>
    </w:p>
    <w:p w:rsidR="002C5025" w:rsidRDefault="002C5025">
      <w:pPr>
        <w:pStyle w:val="BodyText"/>
        <w:kinsoku w:val="0"/>
        <w:overflowPunct w:val="0"/>
        <w:spacing w:before="11"/>
        <w:rPr>
          <w:rFonts w:ascii="Times New Roman" w:hAnsi="Times New Roman" w:cs="Times New Roman"/>
          <w:sz w:val="27"/>
          <w:szCs w:val="27"/>
        </w:rPr>
      </w:pPr>
    </w:p>
    <w:p w:rsidR="002C5025" w:rsidRDefault="002C5025">
      <w:pPr>
        <w:pStyle w:val="BodyText"/>
        <w:kinsoku w:val="0"/>
        <w:overflowPunct w:val="0"/>
        <w:ind w:left="143" w:right="126"/>
        <w:rPr>
          <w:rFonts w:ascii="Times New Roman" w:hAnsi="Times New Roman" w:cs="Times New Roman"/>
          <w:sz w:val="24"/>
          <w:szCs w:val="24"/>
        </w:rPr>
      </w:pPr>
      <w:r>
        <w:rPr>
          <w:rFonts w:ascii="Times New Roman" w:hAnsi="Times New Roman" w:cs="Times New Roman"/>
          <w:sz w:val="24"/>
          <w:szCs w:val="24"/>
        </w:rPr>
        <w:t>Health literacy is dependent on individual and systemic factors:</w:t>
      </w:r>
    </w:p>
    <w:p w:rsidR="002C5025" w:rsidRDefault="002C5025">
      <w:pPr>
        <w:pStyle w:val="ListParagraph"/>
        <w:numPr>
          <w:ilvl w:val="0"/>
          <w:numId w:val="58"/>
        </w:numPr>
        <w:tabs>
          <w:tab w:val="left" w:pos="367"/>
        </w:tabs>
        <w:kinsoku w:val="0"/>
        <w:overflowPunct w:val="0"/>
        <w:spacing w:before="40"/>
        <w:ind w:hanging="271"/>
      </w:pPr>
      <w:r>
        <w:t>Communication skills of lay persons and</w:t>
      </w:r>
      <w:r>
        <w:rPr>
          <w:spacing w:val="-41"/>
        </w:rPr>
        <w:t xml:space="preserve"> </w:t>
      </w:r>
      <w:r>
        <w:t>professionals</w:t>
      </w:r>
    </w:p>
    <w:p w:rsidR="002C5025" w:rsidRDefault="002C5025">
      <w:pPr>
        <w:pStyle w:val="ListParagraph"/>
        <w:numPr>
          <w:ilvl w:val="0"/>
          <w:numId w:val="58"/>
        </w:numPr>
        <w:tabs>
          <w:tab w:val="left" w:pos="364"/>
        </w:tabs>
        <w:kinsoku w:val="0"/>
        <w:overflowPunct w:val="0"/>
        <w:spacing w:before="39"/>
        <w:ind w:left="364" w:hanging="221"/>
      </w:pPr>
      <w:r>
        <w:t>Lay and professional knowledge of health</w:t>
      </w:r>
      <w:r>
        <w:rPr>
          <w:spacing w:val="-38"/>
        </w:rPr>
        <w:t xml:space="preserve"> </w:t>
      </w:r>
      <w:r>
        <w:t>topics</w:t>
      </w:r>
    </w:p>
    <w:p w:rsidR="002C5025" w:rsidRDefault="002C5025">
      <w:pPr>
        <w:pStyle w:val="ListParagraph"/>
        <w:numPr>
          <w:ilvl w:val="0"/>
          <w:numId w:val="58"/>
        </w:numPr>
        <w:tabs>
          <w:tab w:val="left" w:pos="364"/>
        </w:tabs>
        <w:kinsoku w:val="0"/>
        <w:overflowPunct w:val="0"/>
        <w:spacing w:before="39"/>
        <w:ind w:left="364" w:hanging="221"/>
      </w:pPr>
      <w:r>
        <w:t>Culture</w:t>
      </w:r>
    </w:p>
    <w:p w:rsidR="002C5025" w:rsidRDefault="002C5025">
      <w:pPr>
        <w:pStyle w:val="ListParagraph"/>
        <w:numPr>
          <w:ilvl w:val="0"/>
          <w:numId w:val="58"/>
        </w:numPr>
        <w:tabs>
          <w:tab w:val="left" w:pos="364"/>
        </w:tabs>
        <w:kinsoku w:val="0"/>
        <w:overflowPunct w:val="0"/>
        <w:spacing w:before="42"/>
        <w:ind w:left="364" w:hanging="221"/>
      </w:pPr>
      <w:r>
        <w:t>Demands</w:t>
      </w:r>
      <w:r>
        <w:rPr>
          <w:spacing w:val="-6"/>
        </w:rPr>
        <w:t xml:space="preserve"> </w:t>
      </w:r>
      <w:r>
        <w:t>of</w:t>
      </w:r>
      <w:r>
        <w:rPr>
          <w:spacing w:val="-7"/>
        </w:rPr>
        <w:t xml:space="preserve"> </w:t>
      </w:r>
      <w:r>
        <w:t>the</w:t>
      </w:r>
      <w:r>
        <w:rPr>
          <w:spacing w:val="-7"/>
        </w:rPr>
        <w:t xml:space="preserve"> </w:t>
      </w:r>
      <w:r>
        <w:t>healthcare</w:t>
      </w:r>
      <w:r>
        <w:rPr>
          <w:spacing w:val="-7"/>
        </w:rPr>
        <w:t xml:space="preserve"> </w:t>
      </w:r>
      <w:r>
        <w:t>and</w:t>
      </w:r>
      <w:r>
        <w:rPr>
          <w:spacing w:val="-6"/>
        </w:rPr>
        <w:t xml:space="preserve"> </w:t>
      </w:r>
      <w:r>
        <w:t>public</w:t>
      </w:r>
      <w:r>
        <w:rPr>
          <w:spacing w:val="-7"/>
        </w:rPr>
        <w:t xml:space="preserve"> </w:t>
      </w:r>
      <w:r>
        <w:t>health</w:t>
      </w:r>
      <w:r>
        <w:rPr>
          <w:spacing w:val="-6"/>
        </w:rPr>
        <w:t xml:space="preserve"> </w:t>
      </w:r>
      <w:r>
        <w:t>systems</w:t>
      </w:r>
    </w:p>
    <w:p w:rsidR="002C5025" w:rsidRDefault="002C5025">
      <w:pPr>
        <w:pStyle w:val="ListParagraph"/>
        <w:numPr>
          <w:ilvl w:val="0"/>
          <w:numId w:val="58"/>
        </w:numPr>
        <w:tabs>
          <w:tab w:val="left" w:pos="364"/>
        </w:tabs>
        <w:kinsoku w:val="0"/>
        <w:overflowPunct w:val="0"/>
        <w:spacing w:before="37"/>
        <w:ind w:left="364" w:hanging="221"/>
      </w:pPr>
      <w:r>
        <w:t>Demands of the</w:t>
      </w:r>
      <w:r>
        <w:rPr>
          <w:spacing w:val="-29"/>
        </w:rPr>
        <w:t xml:space="preserve"> </w:t>
      </w:r>
      <w:r>
        <w:t>situation/context</w:t>
      </w:r>
    </w:p>
    <w:p w:rsidR="002C5025" w:rsidRDefault="002C5025">
      <w:pPr>
        <w:pStyle w:val="BodyText"/>
        <w:kinsoku w:val="0"/>
        <w:overflowPunct w:val="0"/>
        <w:spacing w:before="2"/>
        <w:rPr>
          <w:rFonts w:ascii="Times New Roman" w:hAnsi="Times New Roman" w:cs="Times New Roman"/>
          <w:sz w:val="31"/>
          <w:szCs w:val="31"/>
        </w:rPr>
      </w:pPr>
    </w:p>
    <w:p w:rsidR="002C5025" w:rsidRDefault="002C5025">
      <w:pPr>
        <w:pStyle w:val="BodyText"/>
        <w:kinsoku w:val="0"/>
        <w:overflowPunct w:val="0"/>
        <w:ind w:left="143" w:right="126"/>
        <w:rPr>
          <w:rFonts w:ascii="Times New Roman" w:hAnsi="Times New Roman" w:cs="Times New Roman"/>
          <w:sz w:val="24"/>
          <w:szCs w:val="24"/>
        </w:rPr>
      </w:pPr>
      <w:r>
        <w:rPr>
          <w:rFonts w:ascii="Times New Roman" w:hAnsi="Times New Roman" w:cs="Times New Roman"/>
          <w:sz w:val="24"/>
          <w:szCs w:val="24"/>
        </w:rPr>
        <w:t>Health literacy affects people's ability to:</w:t>
      </w:r>
    </w:p>
    <w:p w:rsidR="002C5025" w:rsidRDefault="002C5025">
      <w:pPr>
        <w:pStyle w:val="ListParagraph"/>
        <w:numPr>
          <w:ilvl w:val="0"/>
          <w:numId w:val="57"/>
        </w:numPr>
        <w:tabs>
          <w:tab w:val="left" w:pos="364"/>
        </w:tabs>
        <w:kinsoku w:val="0"/>
        <w:overflowPunct w:val="0"/>
        <w:spacing w:before="43"/>
      </w:pPr>
      <w:r>
        <w:t>Navigate</w:t>
      </w:r>
      <w:r>
        <w:rPr>
          <w:spacing w:val="-11"/>
        </w:rPr>
        <w:t xml:space="preserve"> </w:t>
      </w:r>
      <w:r>
        <w:t>the</w:t>
      </w:r>
      <w:r>
        <w:rPr>
          <w:spacing w:val="-8"/>
        </w:rPr>
        <w:t xml:space="preserve"> </w:t>
      </w:r>
      <w:r>
        <w:t>healthcare</w:t>
      </w:r>
      <w:r>
        <w:rPr>
          <w:spacing w:val="-8"/>
        </w:rPr>
        <w:t xml:space="preserve"> </w:t>
      </w:r>
      <w:r>
        <w:t>system,</w:t>
      </w:r>
      <w:r>
        <w:rPr>
          <w:spacing w:val="-7"/>
        </w:rPr>
        <w:t xml:space="preserve"> </w:t>
      </w:r>
      <w:r>
        <w:t>including</w:t>
      </w:r>
      <w:r>
        <w:rPr>
          <w:spacing w:val="-10"/>
        </w:rPr>
        <w:t xml:space="preserve"> </w:t>
      </w:r>
      <w:r>
        <w:t>filling</w:t>
      </w:r>
      <w:r>
        <w:rPr>
          <w:spacing w:val="-12"/>
        </w:rPr>
        <w:t xml:space="preserve"> </w:t>
      </w:r>
      <w:r>
        <w:t>out</w:t>
      </w:r>
      <w:r>
        <w:rPr>
          <w:spacing w:val="-7"/>
        </w:rPr>
        <w:t xml:space="preserve"> </w:t>
      </w:r>
      <w:r>
        <w:t>complex</w:t>
      </w:r>
      <w:r>
        <w:rPr>
          <w:spacing w:val="-5"/>
        </w:rPr>
        <w:t xml:space="preserve"> </w:t>
      </w:r>
      <w:r>
        <w:t>forms</w:t>
      </w:r>
      <w:r>
        <w:rPr>
          <w:spacing w:val="-7"/>
        </w:rPr>
        <w:t xml:space="preserve"> </w:t>
      </w:r>
      <w:r>
        <w:t>and</w:t>
      </w:r>
      <w:r>
        <w:rPr>
          <w:spacing w:val="-7"/>
        </w:rPr>
        <w:t xml:space="preserve"> </w:t>
      </w:r>
      <w:r>
        <w:t>locating</w:t>
      </w:r>
      <w:r>
        <w:rPr>
          <w:spacing w:val="-10"/>
        </w:rPr>
        <w:t xml:space="preserve"> </w:t>
      </w:r>
      <w:r>
        <w:t>providers</w:t>
      </w:r>
      <w:r>
        <w:rPr>
          <w:spacing w:val="-9"/>
        </w:rPr>
        <w:t xml:space="preserve"> </w:t>
      </w:r>
      <w:r>
        <w:t>and</w:t>
      </w:r>
      <w:r>
        <w:rPr>
          <w:spacing w:val="-7"/>
        </w:rPr>
        <w:t xml:space="preserve"> </w:t>
      </w:r>
      <w:r>
        <w:t>services</w:t>
      </w:r>
    </w:p>
    <w:p w:rsidR="002C5025" w:rsidRDefault="002C5025">
      <w:pPr>
        <w:pStyle w:val="ListParagraph"/>
        <w:numPr>
          <w:ilvl w:val="0"/>
          <w:numId w:val="57"/>
        </w:numPr>
        <w:tabs>
          <w:tab w:val="left" w:pos="364"/>
        </w:tabs>
        <w:kinsoku w:val="0"/>
        <w:overflowPunct w:val="0"/>
        <w:spacing w:before="41"/>
      </w:pPr>
      <w:r>
        <w:t>Share</w:t>
      </w:r>
      <w:r>
        <w:rPr>
          <w:spacing w:val="-8"/>
        </w:rPr>
        <w:t xml:space="preserve"> </w:t>
      </w:r>
      <w:r>
        <w:t>personal</w:t>
      </w:r>
      <w:r>
        <w:rPr>
          <w:spacing w:val="-7"/>
        </w:rPr>
        <w:t xml:space="preserve"> </w:t>
      </w:r>
      <w:r>
        <w:t>information,</w:t>
      </w:r>
      <w:r>
        <w:rPr>
          <w:spacing w:val="-7"/>
        </w:rPr>
        <w:t xml:space="preserve"> </w:t>
      </w:r>
      <w:r>
        <w:t>such</w:t>
      </w:r>
      <w:r>
        <w:rPr>
          <w:spacing w:val="-7"/>
        </w:rPr>
        <w:t xml:space="preserve"> </w:t>
      </w:r>
      <w:r>
        <w:t>as</w:t>
      </w:r>
      <w:r>
        <w:rPr>
          <w:spacing w:val="-7"/>
        </w:rPr>
        <w:t xml:space="preserve"> </w:t>
      </w:r>
      <w:r>
        <w:t>health</w:t>
      </w:r>
      <w:r>
        <w:rPr>
          <w:spacing w:val="-7"/>
        </w:rPr>
        <w:t xml:space="preserve"> </w:t>
      </w:r>
      <w:r>
        <w:t>history,</w:t>
      </w:r>
      <w:r>
        <w:rPr>
          <w:spacing w:val="-7"/>
        </w:rPr>
        <w:t xml:space="preserve"> </w:t>
      </w:r>
      <w:r>
        <w:t>with</w:t>
      </w:r>
      <w:r>
        <w:rPr>
          <w:spacing w:val="-7"/>
        </w:rPr>
        <w:t xml:space="preserve"> </w:t>
      </w:r>
      <w:r>
        <w:t>providers</w:t>
      </w:r>
    </w:p>
    <w:p w:rsidR="002C5025" w:rsidRDefault="002C5025">
      <w:pPr>
        <w:pStyle w:val="ListParagraph"/>
        <w:numPr>
          <w:ilvl w:val="0"/>
          <w:numId w:val="57"/>
        </w:numPr>
        <w:tabs>
          <w:tab w:val="left" w:pos="364"/>
        </w:tabs>
        <w:kinsoku w:val="0"/>
        <w:overflowPunct w:val="0"/>
        <w:spacing w:before="41"/>
      </w:pPr>
      <w:r>
        <w:t>Engage</w:t>
      </w:r>
      <w:r>
        <w:rPr>
          <w:spacing w:val="-12"/>
        </w:rPr>
        <w:t xml:space="preserve"> </w:t>
      </w:r>
      <w:r>
        <w:t>in</w:t>
      </w:r>
      <w:r>
        <w:rPr>
          <w:spacing w:val="-11"/>
        </w:rPr>
        <w:t xml:space="preserve"> </w:t>
      </w:r>
      <w:r>
        <w:t>self-care</w:t>
      </w:r>
      <w:r>
        <w:rPr>
          <w:spacing w:val="-12"/>
        </w:rPr>
        <w:t xml:space="preserve"> </w:t>
      </w:r>
      <w:r>
        <w:t>and</w:t>
      </w:r>
      <w:r>
        <w:rPr>
          <w:spacing w:val="-11"/>
        </w:rPr>
        <w:t xml:space="preserve"> </w:t>
      </w:r>
      <w:r>
        <w:t>chronic-disease</w:t>
      </w:r>
      <w:r>
        <w:rPr>
          <w:spacing w:val="-12"/>
        </w:rPr>
        <w:t xml:space="preserve"> </w:t>
      </w:r>
      <w:r>
        <w:t>management</w:t>
      </w:r>
    </w:p>
    <w:p w:rsidR="002C5025" w:rsidRDefault="002C5025">
      <w:pPr>
        <w:pStyle w:val="ListParagraph"/>
        <w:numPr>
          <w:ilvl w:val="0"/>
          <w:numId w:val="57"/>
        </w:numPr>
        <w:tabs>
          <w:tab w:val="left" w:pos="364"/>
        </w:tabs>
        <w:kinsoku w:val="0"/>
        <w:overflowPunct w:val="0"/>
        <w:spacing w:before="43"/>
      </w:pPr>
      <w:r>
        <w:t>Understand</w:t>
      </w:r>
      <w:r>
        <w:rPr>
          <w:spacing w:val="-7"/>
        </w:rPr>
        <w:t xml:space="preserve"> </w:t>
      </w:r>
      <w:r>
        <w:t>mathematical</w:t>
      </w:r>
      <w:r>
        <w:rPr>
          <w:spacing w:val="-7"/>
        </w:rPr>
        <w:t xml:space="preserve"> </w:t>
      </w:r>
      <w:r>
        <w:t>concepts</w:t>
      </w:r>
      <w:r>
        <w:rPr>
          <w:spacing w:val="-9"/>
        </w:rPr>
        <w:t xml:space="preserve"> </w:t>
      </w:r>
      <w:r>
        <w:t>such</w:t>
      </w:r>
      <w:r>
        <w:rPr>
          <w:spacing w:val="-7"/>
        </w:rPr>
        <w:t xml:space="preserve"> </w:t>
      </w:r>
      <w:r>
        <w:t>as</w:t>
      </w:r>
      <w:r>
        <w:rPr>
          <w:spacing w:val="-7"/>
        </w:rPr>
        <w:t xml:space="preserve"> </w:t>
      </w:r>
      <w:r>
        <w:t>probability</w:t>
      </w:r>
      <w:r>
        <w:rPr>
          <w:spacing w:val="-12"/>
        </w:rPr>
        <w:t xml:space="preserve"> </w:t>
      </w:r>
      <w:r>
        <w:t>and</w:t>
      </w:r>
      <w:r>
        <w:rPr>
          <w:spacing w:val="-10"/>
        </w:rPr>
        <w:t xml:space="preserve"> </w:t>
      </w:r>
      <w:r>
        <w:t>risk</w:t>
      </w:r>
    </w:p>
    <w:p w:rsidR="002C5025" w:rsidRDefault="002C5025">
      <w:pPr>
        <w:pStyle w:val="BodyText"/>
        <w:kinsoku w:val="0"/>
        <w:overflowPunct w:val="0"/>
        <w:spacing w:before="3"/>
        <w:rPr>
          <w:rFonts w:ascii="Times New Roman" w:hAnsi="Times New Roman" w:cs="Times New Roman"/>
          <w:sz w:val="31"/>
          <w:szCs w:val="31"/>
        </w:rPr>
      </w:pPr>
    </w:p>
    <w:p w:rsidR="002C5025" w:rsidRDefault="002C5025">
      <w:pPr>
        <w:pStyle w:val="BodyText"/>
        <w:kinsoku w:val="0"/>
        <w:overflowPunct w:val="0"/>
        <w:spacing w:line="266" w:lineRule="auto"/>
        <w:ind w:left="143" w:right="366"/>
        <w:rPr>
          <w:rFonts w:ascii="Times New Roman" w:hAnsi="Times New Roman" w:cs="Times New Roman"/>
          <w:sz w:val="24"/>
          <w:szCs w:val="24"/>
        </w:rPr>
      </w:pPr>
      <w:r>
        <w:rPr>
          <w:rFonts w:ascii="Times New Roman" w:hAnsi="Times New Roman" w:cs="Times New Roman"/>
          <w:sz w:val="24"/>
          <w:szCs w:val="24"/>
        </w:rPr>
        <w:t>Populations most likely to experience low health literacy are older adults, racial and ethnic minorities, people with less than a high school degree or GED certificate, people with low income levels, non-native speakers of English, and people with compromised health status.</w:t>
      </w:r>
      <w:r>
        <w:rPr>
          <w:rFonts w:ascii="Times New Roman" w:hAnsi="Times New Roman" w:cs="Times New Roman"/>
          <w:b/>
          <w:bCs/>
          <w:position w:val="11"/>
          <w:sz w:val="16"/>
          <w:szCs w:val="16"/>
        </w:rPr>
        <w:t xml:space="preserve">7 </w:t>
      </w:r>
      <w:r>
        <w:rPr>
          <w:rFonts w:ascii="Times New Roman" w:hAnsi="Times New Roman" w:cs="Times New Roman"/>
          <w:sz w:val="24"/>
          <w:szCs w:val="24"/>
        </w:rPr>
        <w:t>Education, language, culture, access to resources, and age are all factors that affect a person's health literacy skills. These high risk groups are overrepresented in MassHealth.</w:t>
      </w:r>
    </w:p>
    <w:p w:rsidR="002C5025" w:rsidRDefault="002C5025">
      <w:pPr>
        <w:pStyle w:val="BodyText"/>
        <w:kinsoku w:val="0"/>
        <w:overflowPunct w:val="0"/>
        <w:spacing w:before="4"/>
        <w:rPr>
          <w:rFonts w:ascii="Times New Roman" w:hAnsi="Times New Roman" w:cs="Times New Roman"/>
          <w:sz w:val="28"/>
          <w:szCs w:val="28"/>
        </w:rPr>
      </w:pPr>
    </w:p>
    <w:p w:rsidR="002C5025" w:rsidRDefault="002C5025">
      <w:pPr>
        <w:pStyle w:val="BodyText"/>
        <w:kinsoku w:val="0"/>
        <w:overflowPunct w:val="0"/>
        <w:ind w:left="143" w:right="126"/>
        <w:rPr>
          <w:rFonts w:ascii="Times New Roman" w:hAnsi="Times New Roman" w:cs="Times New Roman"/>
          <w:sz w:val="24"/>
          <w:szCs w:val="24"/>
        </w:rPr>
      </w:pPr>
      <w:r>
        <w:rPr>
          <w:rFonts w:ascii="Times New Roman" w:hAnsi="Times New Roman" w:cs="Times New Roman"/>
          <w:sz w:val="24"/>
          <w:szCs w:val="24"/>
        </w:rPr>
        <w:t>We urge MassHealth to:</w:t>
      </w:r>
    </w:p>
    <w:p w:rsidR="002C5025" w:rsidRDefault="002C5025">
      <w:pPr>
        <w:pStyle w:val="ListParagraph"/>
        <w:numPr>
          <w:ilvl w:val="0"/>
          <w:numId w:val="58"/>
        </w:numPr>
        <w:tabs>
          <w:tab w:val="left" w:pos="415"/>
        </w:tabs>
        <w:kinsoku w:val="0"/>
        <w:overflowPunct w:val="0"/>
        <w:spacing w:before="167"/>
        <w:ind w:right="326" w:hanging="262"/>
      </w:pPr>
      <w:r>
        <w:t>Commit to a specific budget and resources for member education and navigation assistance, including implementation</w:t>
      </w:r>
      <w:r>
        <w:rPr>
          <w:spacing w:val="-10"/>
        </w:rPr>
        <w:t xml:space="preserve"> </w:t>
      </w:r>
      <w:r>
        <w:t>of</w:t>
      </w:r>
      <w:r>
        <w:rPr>
          <w:spacing w:val="-8"/>
        </w:rPr>
        <w:t xml:space="preserve"> </w:t>
      </w:r>
      <w:r>
        <w:t>an</w:t>
      </w:r>
      <w:r>
        <w:rPr>
          <w:spacing w:val="-7"/>
        </w:rPr>
        <w:t xml:space="preserve"> </w:t>
      </w:r>
      <w:r>
        <w:t>enhanced</w:t>
      </w:r>
      <w:r>
        <w:rPr>
          <w:spacing w:val="-7"/>
        </w:rPr>
        <w:t xml:space="preserve"> </w:t>
      </w:r>
      <w:r>
        <w:t>community-based</w:t>
      </w:r>
      <w:r>
        <w:rPr>
          <w:spacing w:val="-5"/>
        </w:rPr>
        <w:t xml:space="preserve"> </w:t>
      </w:r>
      <w:r>
        <w:t>public</w:t>
      </w:r>
      <w:r>
        <w:rPr>
          <w:spacing w:val="-8"/>
        </w:rPr>
        <w:t xml:space="preserve"> </w:t>
      </w:r>
      <w:r>
        <w:t>education</w:t>
      </w:r>
      <w:r>
        <w:rPr>
          <w:spacing w:val="-7"/>
        </w:rPr>
        <w:t xml:space="preserve"> </w:t>
      </w:r>
      <w:r>
        <w:t>campaign</w:t>
      </w:r>
      <w:r>
        <w:rPr>
          <w:spacing w:val="-7"/>
        </w:rPr>
        <w:t xml:space="preserve"> </w:t>
      </w:r>
      <w:r>
        <w:t>for</w:t>
      </w:r>
      <w:r>
        <w:rPr>
          <w:spacing w:val="-8"/>
        </w:rPr>
        <w:t xml:space="preserve"> </w:t>
      </w:r>
      <w:r>
        <w:t>members,</w:t>
      </w:r>
      <w:r>
        <w:rPr>
          <w:spacing w:val="-7"/>
        </w:rPr>
        <w:t xml:space="preserve"> </w:t>
      </w:r>
      <w:r>
        <w:t>as</w:t>
      </w:r>
      <w:r>
        <w:rPr>
          <w:spacing w:val="-7"/>
        </w:rPr>
        <w:t xml:space="preserve"> </w:t>
      </w:r>
      <w:r>
        <w:t>well</w:t>
      </w:r>
      <w:r>
        <w:rPr>
          <w:spacing w:val="-7"/>
        </w:rPr>
        <w:t xml:space="preserve"> </w:t>
      </w:r>
      <w:r>
        <w:t>as</w:t>
      </w:r>
      <w:r>
        <w:rPr>
          <w:spacing w:val="-7"/>
        </w:rPr>
        <w:t xml:space="preserve"> </w:t>
      </w:r>
      <w:r>
        <w:t>a major expansion of in-person enrollment assistance. Some best practices for this may be found in the lessons</w:t>
      </w:r>
      <w:r>
        <w:rPr>
          <w:spacing w:val="-10"/>
        </w:rPr>
        <w:t xml:space="preserve"> </w:t>
      </w:r>
      <w:r>
        <w:t>learned</w:t>
      </w:r>
      <w:r>
        <w:rPr>
          <w:spacing w:val="-8"/>
        </w:rPr>
        <w:t xml:space="preserve"> </w:t>
      </w:r>
      <w:r>
        <w:t>from</w:t>
      </w:r>
      <w:r>
        <w:rPr>
          <w:spacing w:val="-10"/>
        </w:rPr>
        <w:t xml:space="preserve"> </w:t>
      </w:r>
      <w:r>
        <w:t>the</w:t>
      </w:r>
      <w:r>
        <w:rPr>
          <w:spacing w:val="-7"/>
        </w:rPr>
        <w:t xml:space="preserve"> </w:t>
      </w:r>
      <w:r>
        <w:t>OneCare</w:t>
      </w:r>
      <w:r>
        <w:rPr>
          <w:spacing w:val="-12"/>
        </w:rPr>
        <w:t xml:space="preserve"> </w:t>
      </w:r>
      <w:r>
        <w:t>program’s</w:t>
      </w:r>
      <w:r>
        <w:rPr>
          <w:spacing w:val="-10"/>
        </w:rPr>
        <w:t xml:space="preserve"> </w:t>
      </w:r>
      <w:r>
        <w:t>implementation.</w:t>
      </w:r>
    </w:p>
    <w:p w:rsidR="002C5025" w:rsidRDefault="002C5025">
      <w:pPr>
        <w:pStyle w:val="ListParagraph"/>
        <w:numPr>
          <w:ilvl w:val="0"/>
          <w:numId w:val="58"/>
        </w:numPr>
        <w:tabs>
          <w:tab w:val="left" w:pos="415"/>
        </w:tabs>
        <w:kinsoku w:val="0"/>
        <w:overflowPunct w:val="0"/>
        <w:spacing w:before="136" w:line="225" w:lineRule="auto"/>
        <w:ind w:right="360" w:hanging="262"/>
        <w:jc w:val="both"/>
      </w:pPr>
      <w:r>
        <w:t>Create an Office of Consumer and Community Engagement that extends navigation assistance beyond insurance enrollment to include ongoing support for effective utilization of services. This may include utilizing</w:t>
      </w:r>
      <w:r>
        <w:rPr>
          <w:spacing w:val="-9"/>
        </w:rPr>
        <w:t xml:space="preserve"> </w:t>
      </w:r>
      <w:r>
        <w:t>the</w:t>
      </w:r>
      <w:r>
        <w:rPr>
          <w:spacing w:val="-7"/>
        </w:rPr>
        <w:t xml:space="preserve"> </w:t>
      </w:r>
      <w:r>
        <w:t>customizable</w:t>
      </w:r>
      <w:r>
        <w:rPr>
          <w:spacing w:val="-7"/>
        </w:rPr>
        <w:t xml:space="preserve"> </w:t>
      </w:r>
      <w:r>
        <w:t>“Coverage</w:t>
      </w:r>
      <w:r>
        <w:rPr>
          <w:spacing w:val="-7"/>
        </w:rPr>
        <w:t xml:space="preserve"> </w:t>
      </w:r>
      <w:r>
        <w:t>to</w:t>
      </w:r>
      <w:r>
        <w:rPr>
          <w:spacing w:val="-6"/>
        </w:rPr>
        <w:t xml:space="preserve"> </w:t>
      </w:r>
      <w:r>
        <w:t>Care”</w:t>
      </w:r>
      <w:r>
        <w:rPr>
          <w:spacing w:val="-5"/>
        </w:rPr>
        <w:t xml:space="preserve"> </w:t>
      </w:r>
      <w:r>
        <w:t>resource</w:t>
      </w:r>
      <w:r>
        <w:rPr>
          <w:spacing w:val="-7"/>
        </w:rPr>
        <w:t xml:space="preserve"> </w:t>
      </w:r>
      <w:r>
        <w:t>by</w:t>
      </w:r>
      <w:r>
        <w:rPr>
          <w:spacing w:val="-11"/>
        </w:rPr>
        <w:t xml:space="preserve"> </w:t>
      </w:r>
      <w:r>
        <w:t>CMS.</w:t>
      </w:r>
      <w:r>
        <w:rPr>
          <w:position w:val="11"/>
          <w:sz w:val="16"/>
          <w:szCs w:val="16"/>
        </w:rPr>
        <w:t>16</w:t>
      </w:r>
      <w:r>
        <w:rPr>
          <w:spacing w:val="15"/>
          <w:position w:val="11"/>
          <w:sz w:val="16"/>
          <w:szCs w:val="16"/>
        </w:rPr>
        <w:t xml:space="preserve"> </w:t>
      </w:r>
      <w:r>
        <w:t>An</w:t>
      </w:r>
      <w:r>
        <w:rPr>
          <w:spacing w:val="-6"/>
        </w:rPr>
        <w:t xml:space="preserve"> </w:t>
      </w:r>
      <w:r>
        <w:t>additional</w:t>
      </w:r>
      <w:r>
        <w:rPr>
          <w:spacing w:val="-6"/>
        </w:rPr>
        <w:t xml:space="preserve"> </w:t>
      </w:r>
      <w:r>
        <w:t>tool</w:t>
      </w:r>
      <w:r>
        <w:rPr>
          <w:spacing w:val="-6"/>
        </w:rPr>
        <w:t xml:space="preserve"> </w:t>
      </w:r>
      <w:r>
        <w:t>is</w:t>
      </w:r>
      <w:r>
        <w:rPr>
          <w:spacing w:val="-6"/>
        </w:rPr>
        <w:t xml:space="preserve"> </w:t>
      </w:r>
      <w:r>
        <w:t>“My</w:t>
      </w:r>
      <w:r>
        <w:rPr>
          <w:spacing w:val="-11"/>
        </w:rPr>
        <w:t xml:space="preserve"> </w:t>
      </w:r>
      <w:r>
        <w:t>Health</w:t>
      </w:r>
    </w:p>
    <w:p w:rsidR="002C5025" w:rsidRDefault="002C5025">
      <w:pPr>
        <w:pStyle w:val="BodyText"/>
        <w:kinsoku w:val="0"/>
        <w:overflowPunct w:val="0"/>
        <w:rPr>
          <w:rFonts w:ascii="Times New Roman" w:hAnsi="Times New Roman" w:cs="Times New Roman"/>
          <w:sz w:val="20"/>
          <w:szCs w:val="20"/>
        </w:rPr>
      </w:pPr>
    </w:p>
    <w:p w:rsidR="002C5025" w:rsidRDefault="00FB027C">
      <w:pPr>
        <w:pStyle w:val="BodyText"/>
        <w:kinsoku w:val="0"/>
        <w:overflowPunct w:val="0"/>
        <w:spacing w:before="3"/>
        <w:rPr>
          <w:rFonts w:ascii="Times New Roman" w:hAnsi="Times New Roman" w:cs="Times New Roman"/>
        </w:rPr>
      </w:pPr>
      <w:r>
        <w:rPr>
          <w:noProof/>
        </w:rPr>
        <mc:AlternateContent>
          <mc:Choice Requires="wps">
            <w:drawing>
              <wp:anchor distT="0" distB="0" distL="0" distR="0" simplePos="0" relativeHeight="251608576" behindDoc="0" locked="0" layoutInCell="0" allowOverlap="1">
                <wp:simplePos x="0" y="0"/>
                <wp:positionH relativeFrom="page">
                  <wp:posOffset>609600</wp:posOffset>
                </wp:positionH>
                <wp:positionV relativeFrom="paragraph">
                  <wp:posOffset>191135</wp:posOffset>
                </wp:positionV>
                <wp:extent cx="1828800" cy="12700"/>
                <wp:effectExtent l="0" t="0" r="0" b="0"/>
                <wp:wrapTopAndBottom/>
                <wp:docPr id="668" name="Freeform 3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w 2880"/>
                            <a:gd name="T1" fmla="*/ 0 h 20"/>
                            <a:gd name="T2" fmla="*/ 2880 w 2880"/>
                            <a:gd name="T3" fmla="*/ 0 h 20"/>
                          </a:gdLst>
                          <a:ahLst/>
                          <a:cxnLst>
                            <a:cxn ang="0">
                              <a:pos x="T0" y="T1"/>
                            </a:cxn>
                            <a:cxn ang="0">
                              <a:pos x="T2" y="T3"/>
                            </a:cxn>
                          </a:cxnLst>
                          <a:rect l="0" t="0" r="r" b="b"/>
                          <a:pathLst>
                            <a:path w="2880" h="20">
                              <a:moveTo>
                                <a:pt x="0" y="0"/>
                              </a:moveTo>
                              <a:lnTo>
                                <a:pt x="2880"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57" o:spid="_x0000_s1026" style="position:absolute;z-index:251608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48pt,15.05pt,192pt,15.05pt" coordsize="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" o:allowincell="f" filled="f" strokeweight=".20458mm">
                <v:path arrowok="t" o:connecttype="custom" o:connectlocs="0,0;1828800,0" o:connectangles="0,0"/>
                <w10:wrap type="topAndBottom" anchorx="page"/>
              </v:polyline>
            </w:pict>
          </mc:Fallback>
        </mc:AlternateContent>
      </w:r>
    </w:p>
    <w:p w:rsidR="002C5025" w:rsidRDefault="002C5025">
      <w:pPr>
        <w:pStyle w:val="BodyText"/>
        <w:tabs>
          <w:tab w:val="left" w:pos="474"/>
        </w:tabs>
        <w:kinsoku w:val="0"/>
        <w:overflowPunct w:val="0"/>
        <w:spacing w:before="11"/>
        <w:ind w:left="143" w:right="126"/>
        <w:rPr>
          <w:rFonts w:ascii="Times New Roman" w:hAnsi="Times New Roman" w:cs="Times New Roman"/>
          <w:sz w:val="19"/>
          <w:szCs w:val="19"/>
        </w:rPr>
      </w:pPr>
      <w:r>
        <w:rPr>
          <w:rFonts w:ascii="Times New Roman" w:hAnsi="Times New Roman" w:cs="Times New Roman"/>
          <w:position w:val="9"/>
          <w:sz w:val="13"/>
          <w:szCs w:val="13"/>
        </w:rPr>
        <w:t>15</w:t>
      </w:r>
      <w:r>
        <w:rPr>
          <w:rFonts w:ascii="Times New Roman" w:hAnsi="Times New Roman" w:cs="Times New Roman"/>
          <w:position w:val="9"/>
          <w:sz w:val="13"/>
          <w:szCs w:val="13"/>
        </w:rPr>
        <w:tab/>
      </w:r>
      <w:hyperlink r:id="rId275" w:history="1">
        <w:r>
          <w:rPr>
            <w:rFonts w:ascii="Times New Roman" w:hAnsi="Times New Roman" w:cs="Times New Roman"/>
            <w:sz w:val="19"/>
            <w:szCs w:val="19"/>
            <w:u w:val="single"/>
          </w:rPr>
          <w:t>http://health.gov/communication/literacy/quickguide/factsbasic.htm</w:t>
        </w:r>
      </w:hyperlink>
    </w:p>
    <w:p w:rsidR="002C5025" w:rsidRDefault="002C5025">
      <w:pPr>
        <w:pStyle w:val="BodyText"/>
        <w:kinsoku w:val="0"/>
        <w:overflowPunct w:val="0"/>
        <w:spacing w:before="3"/>
        <w:rPr>
          <w:rFonts w:ascii="Times New Roman" w:hAnsi="Times New Roman" w:cs="Times New Roman"/>
          <w:sz w:val="18"/>
          <w:szCs w:val="18"/>
        </w:rPr>
      </w:pPr>
    </w:p>
    <w:p w:rsidR="002C5025" w:rsidRDefault="002C5025">
      <w:pPr>
        <w:pStyle w:val="BodyText"/>
        <w:tabs>
          <w:tab w:val="left" w:pos="603"/>
        </w:tabs>
        <w:kinsoku w:val="0"/>
        <w:overflowPunct w:val="0"/>
        <w:ind w:left="143" w:right="126"/>
        <w:rPr>
          <w:rFonts w:ascii="Times New Roman" w:hAnsi="Times New Roman" w:cs="Times New Roman"/>
          <w:sz w:val="19"/>
          <w:szCs w:val="19"/>
        </w:rPr>
      </w:pPr>
      <w:r>
        <w:rPr>
          <w:rFonts w:ascii="Times New Roman" w:hAnsi="Times New Roman" w:cs="Times New Roman"/>
          <w:position w:val="9"/>
          <w:sz w:val="13"/>
          <w:szCs w:val="13"/>
        </w:rPr>
        <w:t>16</w:t>
      </w:r>
      <w:r>
        <w:rPr>
          <w:rFonts w:ascii="Times New Roman" w:hAnsi="Times New Roman" w:cs="Times New Roman"/>
          <w:position w:val="9"/>
          <w:sz w:val="13"/>
          <w:szCs w:val="13"/>
        </w:rPr>
        <w:tab/>
      </w:r>
      <w:r>
        <w:rPr>
          <w:rFonts w:ascii="Times New Roman" w:hAnsi="Times New Roman" w:cs="Times New Roman"/>
          <w:sz w:val="19"/>
          <w:szCs w:val="19"/>
        </w:rPr>
        <w:t>https</w:t>
      </w:r>
      <w:hyperlink r:id="rId276" w:history="1">
        <w:r>
          <w:rPr>
            <w:rFonts w:ascii="Times New Roman" w:hAnsi="Times New Roman" w:cs="Times New Roman"/>
            <w:sz w:val="19"/>
            <w:szCs w:val="19"/>
          </w:rPr>
          <w:t>://www.cms.gov/About-CMS/Agency-Information/OMH/OMH-Coverage2Care.html</w:t>
        </w:r>
      </w:hyperlink>
    </w:p>
    <w:p w:rsidR="002C5025" w:rsidRDefault="002C5025">
      <w:pPr>
        <w:pStyle w:val="BodyText"/>
        <w:kinsoku w:val="0"/>
        <w:overflowPunct w:val="0"/>
        <w:spacing w:before="3"/>
        <w:rPr>
          <w:rFonts w:ascii="Times New Roman" w:hAnsi="Times New Roman" w:cs="Times New Roman"/>
          <w:sz w:val="14"/>
          <w:szCs w:val="14"/>
        </w:rPr>
      </w:pPr>
    </w:p>
    <w:p w:rsidR="002C5025" w:rsidRDefault="00FB027C">
      <w:pPr>
        <w:pStyle w:val="BodyText"/>
        <w:kinsoku w:val="0"/>
        <w:overflowPunct w:val="0"/>
        <w:spacing w:before="76"/>
        <w:ind w:right="108"/>
        <w:jc w:val="right"/>
        <w:rPr>
          <w:rFonts w:ascii="Times New Roman" w:hAnsi="Times New Roman" w:cs="Times New Roman"/>
          <w:w w:val="99"/>
          <w:sz w:val="19"/>
          <w:szCs w:val="19"/>
        </w:rPr>
      </w:pPr>
      <w:r>
        <w:rPr>
          <w:noProof/>
        </w:rPr>
        <mc:AlternateContent>
          <mc:Choice Requires="wpg">
            <w:drawing>
              <wp:anchor distT="0" distB="0" distL="114300" distR="114300" simplePos="0" relativeHeight="251609600" behindDoc="0" locked="0" layoutInCell="0" allowOverlap="1">
                <wp:simplePos x="0" y="0"/>
                <wp:positionH relativeFrom="page">
                  <wp:posOffset>572135</wp:posOffset>
                </wp:positionH>
                <wp:positionV relativeFrom="paragraph">
                  <wp:posOffset>47625</wp:posOffset>
                </wp:positionV>
                <wp:extent cx="6410960" cy="38100"/>
                <wp:effectExtent l="0" t="0" r="0" b="0"/>
                <wp:wrapNone/>
                <wp:docPr id="664"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0960" cy="38100"/>
                          <a:chOff x="901" y="75"/>
                          <a:chExt cx="10096" cy="60"/>
                        </a:xfrm>
                      </wpg:grpSpPr>
                      <wps:wsp>
                        <wps:cNvPr id="665" name="Freeform 359"/>
                        <wps:cNvSpPr>
                          <a:spLocks/>
                        </wps:cNvSpPr>
                        <wps:spPr bwMode="auto">
                          <a:xfrm>
                            <a:off x="917" y="83"/>
                            <a:ext cx="10065" cy="20"/>
                          </a:xfrm>
                          <a:custGeom>
                            <a:avLst/>
                            <a:gdLst>
                              <a:gd name="T0" fmla="*/ 0 w 10065"/>
                              <a:gd name="T1" fmla="*/ 0 h 20"/>
                              <a:gd name="T2" fmla="*/ 10065 w 10065"/>
                              <a:gd name="T3" fmla="*/ 0 h 20"/>
                            </a:gdLst>
                            <a:ahLst/>
                            <a:cxnLst>
                              <a:cxn ang="0">
                                <a:pos x="T0" y="T1"/>
                              </a:cxn>
                              <a:cxn ang="0">
                                <a:pos x="T2" y="T3"/>
                              </a:cxn>
                            </a:cxnLst>
                            <a:rect l="0" t="0" r="r" b="b"/>
                            <a:pathLst>
                              <a:path w="10065" h="20">
                                <a:moveTo>
                                  <a:pt x="0" y="0"/>
                                </a:moveTo>
                                <a:lnTo>
                                  <a:pt x="10065"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6" name="Freeform 360"/>
                        <wps:cNvSpPr>
                          <a:spLocks/>
                        </wps:cNvSpPr>
                        <wps:spPr bwMode="auto">
                          <a:xfrm>
                            <a:off x="917" y="105"/>
                            <a:ext cx="10065" cy="20"/>
                          </a:xfrm>
                          <a:custGeom>
                            <a:avLst/>
                            <a:gdLst>
                              <a:gd name="T0" fmla="*/ 0 w 10065"/>
                              <a:gd name="T1" fmla="*/ 0 h 20"/>
                              <a:gd name="T2" fmla="*/ 10065 w 10065"/>
                              <a:gd name="T3" fmla="*/ 0 h 20"/>
                            </a:gdLst>
                            <a:ahLst/>
                            <a:cxnLst>
                              <a:cxn ang="0">
                                <a:pos x="T0" y="T1"/>
                              </a:cxn>
                              <a:cxn ang="0">
                                <a:pos x="T2" y="T3"/>
                              </a:cxn>
                            </a:cxnLst>
                            <a:rect l="0" t="0" r="r" b="b"/>
                            <a:pathLst>
                              <a:path w="10065" h="20">
                                <a:moveTo>
                                  <a:pt x="0" y="0"/>
                                </a:moveTo>
                                <a:lnTo>
                                  <a:pt x="10065" y="0"/>
                                </a:lnTo>
                              </a:path>
                            </a:pathLst>
                          </a:custGeom>
                          <a:noFill/>
                          <a:ln w="19558">
                            <a:solidFill>
                              <a:srgbClr val="6060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7" name="Freeform 361"/>
                        <wps:cNvSpPr>
                          <a:spLocks/>
                        </wps:cNvSpPr>
                        <wps:spPr bwMode="auto">
                          <a:xfrm>
                            <a:off x="917" y="126"/>
                            <a:ext cx="10065" cy="20"/>
                          </a:xfrm>
                          <a:custGeom>
                            <a:avLst/>
                            <a:gdLst>
                              <a:gd name="T0" fmla="*/ 0 w 10065"/>
                              <a:gd name="T1" fmla="*/ 0 h 20"/>
                              <a:gd name="T2" fmla="*/ 10065 w 10065"/>
                              <a:gd name="T3" fmla="*/ 0 h 20"/>
                            </a:gdLst>
                            <a:ahLst/>
                            <a:cxnLst>
                              <a:cxn ang="0">
                                <a:pos x="T0" y="T1"/>
                              </a:cxn>
                              <a:cxn ang="0">
                                <a:pos x="T2" y="T3"/>
                              </a:cxn>
                            </a:cxnLst>
                            <a:rect l="0" t="0" r="r" b="b"/>
                            <a:pathLst>
                              <a:path w="10065" h="20">
                                <a:moveTo>
                                  <a:pt x="0" y="0"/>
                                </a:moveTo>
                                <a:lnTo>
                                  <a:pt x="10065" y="0"/>
                                </a:lnTo>
                              </a:path>
                            </a:pathLst>
                          </a:custGeom>
                          <a:noFill/>
                          <a:ln w="10414">
                            <a:solidFill>
                              <a:srgbClr val="C1C1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8" o:spid="_x0000_s1026" style="position:absolute;margin-left:45.05pt;margin-top:3.75pt;width:504.8pt;height:3pt;z-index:251609600;mso-position-horizontal-relative:page" coordorigin="901,75" coordsize="1009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" o:allowincell="f">
                <v:shape id="Freeform 359" o:spid="_x0000_s1027" style="position:absolute;left:917;top:83;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1GQMYA&#10;AADcAAAADwAAAGRycy9kb3ducmV2LnhtbESPQWvCQBSE7wX/w/KEXkrdWDBI6iqiKJJDITbg9ZF9&#10;Jmmzb5fsqtFf3y0Uehxm5htmsRpMJ67U+9aygukkAUFcWd1yraD83L3OQfiArLGzTAru5GG1HD0t&#10;MNP2xgVdj6EWEcI+QwVNCC6T0lcNGfQT64ijd7a9wRBlX0vd4y3CTSffkiSVBluOCw062jRUfR8v&#10;RsHh46vYnsyjdA+9OZfuJc/3Ra7U83hYv4MINIT/8F/7oBWk6Qx+z8QjIJ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u1GQMYAAADcAAAADwAAAAAAAAAAAAAAAACYAgAAZHJz&#10;L2Rvd25yZXYueG1sUEsFBgAAAAAEAAQA9QAAAIsDAAAAAA==&#10;" path="m,l10065,e" filled="f" strokeweight=".82pt">
                  <v:path arrowok="t" o:connecttype="custom" o:connectlocs="0,0;10065,0" o:connectangles="0,0"/>
                </v:shape>
                <v:shape id="Freeform 360" o:spid="_x0000_s1028" style="position:absolute;left:917;top:105;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BICsQA&#10;AADcAAAADwAAAGRycy9kb3ducmV2LnhtbESPX0sDMRDE34V+h7AF32yuRYJcmxZbqIgv4ini43LZ&#10;+1MvmyNZ2/PbG0HwcZiZ3zCb3eQHdaaY+sAWlosCFHEdXM+thbfX480dqCTIDofAZOGbEuy2s6sN&#10;li5c+IXOlbQqQziVaKETGUutU92Rx7QII3H2mhA9Spax1S7iJcP9oFdFYbTHnvNChyMdOqo/qy9v&#10;4QOPrjK3zWE6RVk+75t3eXjy1l7Pp/s1KKFJ/sN/7UdnwRgDv2fyEd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QSArEAAAA3AAAAA8AAAAAAAAAAAAAAAAAmAIAAGRycy9k&#10;b3ducmV2LnhtbFBLBQYAAAAABAAEAPUAAACJAwAAAAA=&#10;" path="m,l10065,e" filled="f" strokecolor="#606060" strokeweight="1.54pt">
                  <v:path arrowok="t" o:connecttype="custom" o:connectlocs="0,0;10065,0" o:connectangles="0,0"/>
                </v:shape>
                <v:shape id="Freeform 361" o:spid="_x0000_s1029" style="position:absolute;left:917;top:126;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AOMsMA&#10;AADcAAAADwAAAGRycy9kb3ducmV2LnhtbESPQWvCQBSE7wX/w/IEb3Wjwlajq5SA6DVWkNwe2WcS&#10;zL4N2a1Gf323UOhxmJlvmM1usK24U+8bxxpm0wQEcelMw5WG89f+fQnCB2SDrWPS8CQPu+3obYOp&#10;cQ/O6X4KlYgQ9ilqqEPoUil9WZNFP3UdcfSurrcYouwraXp8RLht5TxJlLTYcFyosaOspvJ2+rYa&#10;ilxdVofuxYtFFvJCZbYq8rnWk/HwuQYRaAj/4b/20WhQ6gN+z8QjI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GAOMsMAAADcAAAADwAAAAAAAAAAAAAAAACYAgAAZHJzL2Rv&#10;d25yZXYueG1sUEsFBgAAAAAEAAQA9QAAAIgDAAAAAA==&#10;" path="m,l10065,e" filled="f" strokecolor="#c1c1c1" strokeweight=".82pt">
                  <v:path arrowok="t" o:connecttype="custom" o:connectlocs="0,0;10065,0" o:connectangles="0,0"/>
                </v:shape>
                <w10:wrap anchorx="page"/>
              </v:group>
            </w:pict>
          </mc:Fallback>
        </mc:AlternateContent>
      </w:r>
      <w:r w:rsidR="002C5025">
        <w:rPr>
          <w:rFonts w:ascii="Times New Roman" w:hAnsi="Times New Roman" w:cs="Times New Roman"/>
          <w:w w:val="99"/>
          <w:sz w:val="19"/>
          <w:szCs w:val="19"/>
        </w:rPr>
        <w:t>8</w:t>
      </w:r>
    </w:p>
    <w:p w:rsidR="002C5025" w:rsidRDefault="002C5025">
      <w:pPr>
        <w:pStyle w:val="BodyText"/>
        <w:kinsoku w:val="0"/>
        <w:overflowPunct w:val="0"/>
        <w:spacing w:before="109" w:line="244" w:lineRule="auto"/>
        <w:ind w:left="642" w:right="773" w:hanging="348"/>
        <w:rPr>
          <w:rFonts w:ascii="Cambria" w:hAnsi="Cambria" w:cs="Cambria"/>
          <w:i/>
          <w:iCs/>
          <w:w w:val="105"/>
          <w:sz w:val="19"/>
          <w:szCs w:val="19"/>
        </w:rPr>
      </w:pPr>
      <w:r>
        <w:rPr>
          <w:rFonts w:ascii="Cambria" w:hAnsi="Cambria" w:cs="Cambria"/>
          <w:i/>
          <w:iCs/>
          <w:w w:val="105"/>
          <w:sz w:val="19"/>
          <w:szCs w:val="19"/>
        </w:rPr>
        <w:t>Doctors</w:t>
      </w:r>
      <w:r>
        <w:rPr>
          <w:rFonts w:ascii="Cambria" w:hAnsi="Cambria" w:cs="Cambria"/>
          <w:i/>
          <w:iCs/>
          <w:spacing w:val="-10"/>
          <w:w w:val="105"/>
          <w:sz w:val="19"/>
          <w:szCs w:val="19"/>
        </w:rPr>
        <w:t xml:space="preserve"> </w:t>
      </w:r>
      <w:r>
        <w:rPr>
          <w:rFonts w:ascii="Cambria" w:hAnsi="Cambria" w:cs="Cambria"/>
          <w:i/>
          <w:iCs/>
          <w:w w:val="105"/>
          <w:sz w:val="19"/>
          <w:szCs w:val="19"/>
        </w:rPr>
        <w:t>for</w:t>
      </w:r>
      <w:r>
        <w:rPr>
          <w:rFonts w:ascii="Cambria" w:hAnsi="Cambria" w:cs="Cambria"/>
          <w:i/>
          <w:iCs/>
          <w:spacing w:val="-13"/>
          <w:w w:val="105"/>
          <w:sz w:val="19"/>
          <w:szCs w:val="19"/>
        </w:rPr>
        <w:t xml:space="preserve"> </w:t>
      </w:r>
      <w:r>
        <w:rPr>
          <w:rFonts w:ascii="Cambria" w:hAnsi="Cambria" w:cs="Cambria"/>
          <w:i/>
          <w:iCs/>
          <w:w w:val="105"/>
          <w:sz w:val="19"/>
          <w:szCs w:val="19"/>
        </w:rPr>
        <w:t>America</w:t>
      </w:r>
      <w:r>
        <w:rPr>
          <w:rFonts w:ascii="Cambria" w:hAnsi="Cambria" w:cs="Cambria"/>
          <w:i/>
          <w:iCs/>
          <w:spacing w:val="-12"/>
          <w:w w:val="105"/>
          <w:sz w:val="19"/>
          <w:szCs w:val="19"/>
        </w:rPr>
        <w:t xml:space="preserve"> </w:t>
      </w:r>
      <w:r>
        <w:rPr>
          <w:rFonts w:ascii="Cambria" w:hAnsi="Cambria" w:cs="Cambria"/>
          <w:i/>
          <w:iCs/>
          <w:w w:val="105"/>
          <w:sz w:val="19"/>
          <w:szCs w:val="19"/>
        </w:rPr>
        <w:t>is</w:t>
      </w:r>
      <w:r>
        <w:rPr>
          <w:rFonts w:ascii="Cambria" w:hAnsi="Cambria" w:cs="Cambria"/>
          <w:i/>
          <w:iCs/>
          <w:spacing w:val="-13"/>
          <w:w w:val="105"/>
          <w:sz w:val="19"/>
          <w:szCs w:val="19"/>
        </w:rPr>
        <w:t xml:space="preserve"> </w:t>
      </w:r>
      <w:r>
        <w:rPr>
          <w:rFonts w:ascii="Cambria" w:hAnsi="Cambria" w:cs="Cambria"/>
          <w:i/>
          <w:iCs/>
          <w:w w:val="105"/>
          <w:sz w:val="19"/>
          <w:szCs w:val="19"/>
        </w:rPr>
        <w:t>a</w:t>
      </w:r>
      <w:r>
        <w:rPr>
          <w:rFonts w:ascii="Cambria" w:hAnsi="Cambria" w:cs="Cambria"/>
          <w:i/>
          <w:iCs/>
          <w:spacing w:val="-10"/>
          <w:w w:val="105"/>
          <w:sz w:val="19"/>
          <w:szCs w:val="19"/>
        </w:rPr>
        <w:t xml:space="preserve"> </w:t>
      </w:r>
      <w:r>
        <w:rPr>
          <w:rFonts w:ascii="Cambria" w:hAnsi="Cambria" w:cs="Cambria"/>
          <w:i/>
          <w:iCs/>
          <w:w w:val="105"/>
          <w:sz w:val="19"/>
          <w:szCs w:val="19"/>
        </w:rPr>
        <w:t>501(c)(3)</w:t>
      </w:r>
      <w:r>
        <w:rPr>
          <w:rFonts w:ascii="Cambria" w:hAnsi="Cambria" w:cs="Cambria"/>
          <w:i/>
          <w:iCs/>
          <w:spacing w:val="-13"/>
          <w:w w:val="105"/>
          <w:sz w:val="19"/>
          <w:szCs w:val="19"/>
        </w:rPr>
        <w:t xml:space="preserve"> </w:t>
      </w:r>
      <w:r>
        <w:rPr>
          <w:rFonts w:ascii="Cambria" w:hAnsi="Cambria" w:cs="Cambria"/>
          <w:i/>
          <w:iCs/>
          <w:w w:val="105"/>
          <w:sz w:val="19"/>
          <w:szCs w:val="19"/>
        </w:rPr>
        <w:t>national</w:t>
      </w:r>
      <w:r>
        <w:rPr>
          <w:rFonts w:ascii="Cambria" w:hAnsi="Cambria" w:cs="Cambria"/>
          <w:i/>
          <w:iCs/>
          <w:spacing w:val="-11"/>
          <w:w w:val="105"/>
          <w:sz w:val="19"/>
          <w:szCs w:val="19"/>
        </w:rPr>
        <w:t xml:space="preserve"> </w:t>
      </w:r>
      <w:r>
        <w:rPr>
          <w:rFonts w:ascii="Cambria" w:hAnsi="Cambria" w:cs="Cambria"/>
          <w:i/>
          <w:iCs/>
          <w:w w:val="105"/>
          <w:sz w:val="19"/>
          <w:szCs w:val="19"/>
        </w:rPr>
        <w:t>movement</w:t>
      </w:r>
      <w:r>
        <w:rPr>
          <w:rFonts w:ascii="Cambria" w:hAnsi="Cambria" w:cs="Cambria"/>
          <w:i/>
          <w:iCs/>
          <w:spacing w:val="-10"/>
          <w:w w:val="105"/>
          <w:sz w:val="19"/>
          <w:szCs w:val="19"/>
        </w:rPr>
        <w:t xml:space="preserve"> </w:t>
      </w:r>
      <w:r>
        <w:rPr>
          <w:rFonts w:ascii="Cambria" w:hAnsi="Cambria" w:cs="Cambria"/>
          <w:i/>
          <w:iCs/>
          <w:w w:val="105"/>
          <w:sz w:val="19"/>
          <w:szCs w:val="19"/>
        </w:rPr>
        <w:t>that</w:t>
      </w:r>
      <w:r>
        <w:rPr>
          <w:rFonts w:ascii="Cambria" w:hAnsi="Cambria" w:cs="Cambria"/>
          <w:i/>
          <w:iCs/>
          <w:spacing w:val="-13"/>
          <w:w w:val="105"/>
          <w:sz w:val="19"/>
          <w:szCs w:val="19"/>
        </w:rPr>
        <w:t xml:space="preserve"> </w:t>
      </w:r>
      <w:r>
        <w:rPr>
          <w:rFonts w:ascii="Cambria" w:hAnsi="Cambria" w:cs="Cambria"/>
          <w:i/>
          <w:iCs/>
          <w:w w:val="105"/>
          <w:sz w:val="19"/>
          <w:szCs w:val="19"/>
        </w:rPr>
        <w:t>mobilizes</w:t>
      </w:r>
      <w:r>
        <w:rPr>
          <w:rFonts w:ascii="Cambria" w:hAnsi="Cambria" w:cs="Cambria"/>
          <w:i/>
          <w:iCs/>
          <w:spacing w:val="-10"/>
          <w:w w:val="105"/>
          <w:sz w:val="19"/>
          <w:szCs w:val="19"/>
        </w:rPr>
        <w:t xml:space="preserve"> </w:t>
      </w:r>
      <w:r>
        <w:rPr>
          <w:rFonts w:ascii="Cambria" w:hAnsi="Cambria" w:cs="Cambria"/>
          <w:i/>
          <w:iCs/>
          <w:w w:val="105"/>
          <w:sz w:val="19"/>
          <w:szCs w:val="19"/>
        </w:rPr>
        <w:t>physicians</w:t>
      </w:r>
      <w:r>
        <w:rPr>
          <w:rFonts w:ascii="Cambria" w:hAnsi="Cambria" w:cs="Cambria"/>
          <w:i/>
          <w:iCs/>
          <w:spacing w:val="-13"/>
          <w:w w:val="105"/>
          <w:sz w:val="19"/>
          <w:szCs w:val="19"/>
        </w:rPr>
        <w:t xml:space="preserve"> </w:t>
      </w:r>
      <w:r>
        <w:rPr>
          <w:rFonts w:ascii="Cambria" w:hAnsi="Cambria" w:cs="Cambria"/>
          <w:i/>
          <w:iCs/>
          <w:w w:val="105"/>
          <w:sz w:val="19"/>
          <w:szCs w:val="19"/>
        </w:rPr>
        <w:t>and</w:t>
      </w:r>
      <w:r>
        <w:rPr>
          <w:rFonts w:ascii="Cambria" w:hAnsi="Cambria" w:cs="Cambria"/>
          <w:i/>
          <w:iCs/>
          <w:spacing w:val="-12"/>
          <w:w w:val="105"/>
          <w:sz w:val="19"/>
          <w:szCs w:val="19"/>
        </w:rPr>
        <w:t xml:space="preserve"> </w:t>
      </w:r>
      <w:r>
        <w:rPr>
          <w:rFonts w:ascii="Cambria" w:hAnsi="Cambria" w:cs="Cambria"/>
          <w:i/>
          <w:iCs/>
          <w:w w:val="105"/>
          <w:sz w:val="19"/>
          <w:szCs w:val="19"/>
        </w:rPr>
        <w:t>medical</w:t>
      </w:r>
      <w:r>
        <w:rPr>
          <w:rFonts w:ascii="Cambria" w:hAnsi="Cambria" w:cs="Cambria"/>
          <w:i/>
          <w:iCs/>
          <w:spacing w:val="-14"/>
          <w:w w:val="105"/>
          <w:sz w:val="19"/>
          <w:szCs w:val="19"/>
        </w:rPr>
        <w:t xml:space="preserve"> </w:t>
      </w:r>
      <w:r>
        <w:rPr>
          <w:rFonts w:ascii="Cambria" w:hAnsi="Cambria" w:cs="Cambria"/>
          <w:i/>
          <w:iCs/>
          <w:w w:val="105"/>
          <w:sz w:val="19"/>
          <w:szCs w:val="19"/>
        </w:rPr>
        <w:t>students</w:t>
      </w:r>
      <w:r>
        <w:rPr>
          <w:rFonts w:ascii="Cambria" w:hAnsi="Cambria" w:cs="Cambria"/>
          <w:i/>
          <w:iCs/>
          <w:spacing w:val="-13"/>
          <w:w w:val="105"/>
          <w:sz w:val="19"/>
          <w:szCs w:val="19"/>
        </w:rPr>
        <w:t xml:space="preserve"> </w:t>
      </w:r>
      <w:r>
        <w:rPr>
          <w:rFonts w:ascii="Cambria" w:hAnsi="Cambria" w:cs="Cambria"/>
          <w:i/>
          <w:iCs/>
          <w:w w:val="105"/>
          <w:sz w:val="19"/>
          <w:szCs w:val="19"/>
        </w:rPr>
        <w:t>to</w:t>
      </w:r>
      <w:r>
        <w:rPr>
          <w:rFonts w:ascii="Cambria" w:hAnsi="Cambria" w:cs="Cambria"/>
          <w:i/>
          <w:iCs/>
          <w:spacing w:val="-14"/>
          <w:w w:val="105"/>
          <w:sz w:val="19"/>
          <w:szCs w:val="19"/>
        </w:rPr>
        <w:t xml:space="preserve"> </w:t>
      </w:r>
      <w:r>
        <w:rPr>
          <w:rFonts w:ascii="Cambria" w:hAnsi="Cambria" w:cs="Cambria"/>
          <w:i/>
          <w:iCs/>
          <w:w w:val="105"/>
          <w:sz w:val="19"/>
          <w:szCs w:val="19"/>
        </w:rPr>
        <w:t>put</w:t>
      </w:r>
      <w:r>
        <w:rPr>
          <w:rFonts w:ascii="Cambria" w:hAnsi="Cambria" w:cs="Cambria"/>
          <w:i/>
          <w:iCs/>
          <w:spacing w:val="-13"/>
          <w:w w:val="105"/>
          <w:sz w:val="19"/>
          <w:szCs w:val="19"/>
        </w:rPr>
        <w:t xml:space="preserve"> </w:t>
      </w:r>
      <w:r>
        <w:rPr>
          <w:rFonts w:ascii="Cambria" w:hAnsi="Cambria" w:cs="Cambria"/>
          <w:i/>
          <w:iCs/>
          <w:w w:val="105"/>
          <w:sz w:val="19"/>
          <w:szCs w:val="19"/>
        </w:rPr>
        <w:t>patients over</w:t>
      </w:r>
      <w:r>
        <w:rPr>
          <w:rFonts w:ascii="Cambria" w:hAnsi="Cambria" w:cs="Cambria"/>
          <w:i/>
          <w:iCs/>
          <w:spacing w:val="-10"/>
          <w:w w:val="105"/>
          <w:sz w:val="19"/>
          <w:szCs w:val="19"/>
        </w:rPr>
        <w:t xml:space="preserve"> </w:t>
      </w:r>
      <w:r>
        <w:rPr>
          <w:rFonts w:ascii="Cambria" w:hAnsi="Cambria" w:cs="Cambria"/>
          <w:i/>
          <w:iCs/>
          <w:w w:val="105"/>
          <w:sz w:val="19"/>
          <w:szCs w:val="19"/>
        </w:rPr>
        <w:t>politics</w:t>
      </w:r>
      <w:r>
        <w:rPr>
          <w:rFonts w:ascii="Cambria" w:hAnsi="Cambria" w:cs="Cambria"/>
          <w:i/>
          <w:iCs/>
          <w:spacing w:val="-9"/>
          <w:w w:val="105"/>
          <w:sz w:val="19"/>
          <w:szCs w:val="19"/>
        </w:rPr>
        <w:t xml:space="preserve"> </w:t>
      </w:r>
      <w:r>
        <w:rPr>
          <w:rFonts w:ascii="Cambria" w:hAnsi="Cambria" w:cs="Cambria"/>
          <w:i/>
          <w:iCs/>
          <w:w w:val="105"/>
          <w:sz w:val="19"/>
          <w:szCs w:val="19"/>
        </w:rPr>
        <w:t>on</w:t>
      </w:r>
      <w:r>
        <w:rPr>
          <w:rFonts w:ascii="Cambria" w:hAnsi="Cambria" w:cs="Cambria"/>
          <w:i/>
          <w:iCs/>
          <w:spacing w:val="-11"/>
          <w:w w:val="105"/>
          <w:sz w:val="19"/>
          <w:szCs w:val="19"/>
        </w:rPr>
        <w:t xml:space="preserve"> </w:t>
      </w:r>
      <w:r>
        <w:rPr>
          <w:rFonts w:ascii="Cambria" w:hAnsi="Cambria" w:cs="Cambria"/>
          <w:i/>
          <w:iCs/>
          <w:w w:val="105"/>
          <w:sz w:val="19"/>
          <w:szCs w:val="19"/>
        </w:rPr>
        <w:t>the</w:t>
      </w:r>
      <w:r>
        <w:rPr>
          <w:rFonts w:ascii="Cambria" w:hAnsi="Cambria" w:cs="Cambria"/>
          <w:i/>
          <w:iCs/>
          <w:spacing w:val="-10"/>
          <w:w w:val="105"/>
          <w:sz w:val="19"/>
          <w:szCs w:val="19"/>
        </w:rPr>
        <w:t xml:space="preserve"> </w:t>
      </w:r>
      <w:r>
        <w:rPr>
          <w:rFonts w:ascii="Cambria" w:hAnsi="Cambria" w:cs="Cambria"/>
          <w:i/>
          <w:iCs/>
          <w:w w:val="105"/>
          <w:sz w:val="19"/>
          <w:szCs w:val="19"/>
        </w:rPr>
        <w:t>pressing</w:t>
      </w:r>
      <w:r>
        <w:rPr>
          <w:rFonts w:ascii="Cambria" w:hAnsi="Cambria" w:cs="Cambria"/>
          <w:i/>
          <w:iCs/>
          <w:spacing w:val="-9"/>
          <w:w w:val="105"/>
          <w:sz w:val="19"/>
          <w:szCs w:val="19"/>
        </w:rPr>
        <w:t xml:space="preserve"> </w:t>
      </w:r>
      <w:r>
        <w:rPr>
          <w:rFonts w:ascii="Cambria" w:hAnsi="Cambria" w:cs="Cambria"/>
          <w:i/>
          <w:iCs/>
          <w:w w:val="105"/>
          <w:sz w:val="19"/>
          <w:szCs w:val="19"/>
        </w:rPr>
        <w:t>issues</w:t>
      </w:r>
      <w:r>
        <w:rPr>
          <w:rFonts w:ascii="Cambria" w:hAnsi="Cambria" w:cs="Cambria"/>
          <w:i/>
          <w:iCs/>
          <w:spacing w:val="-9"/>
          <w:w w:val="105"/>
          <w:sz w:val="19"/>
          <w:szCs w:val="19"/>
        </w:rPr>
        <w:t xml:space="preserve"> </w:t>
      </w:r>
      <w:r>
        <w:rPr>
          <w:rFonts w:ascii="Cambria" w:hAnsi="Cambria" w:cs="Cambria"/>
          <w:i/>
          <w:iCs/>
          <w:w w:val="105"/>
          <w:sz w:val="19"/>
          <w:szCs w:val="19"/>
        </w:rPr>
        <w:t>of</w:t>
      </w:r>
      <w:r>
        <w:rPr>
          <w:rFonts w:ascii="Cambria" w:hAnsi="Cambria" w:cs="Cambria"/>
          <w:i/>
          <w:iCs/>
          <w:spacing w:val="-11"/>
          <w:w w:val="105"/>
          <w:sz w:val="19"/>
          <w:szCs w:val="19"/>
        </w:rPr>
        <w:t xml:space="preserve"> </w:t>
      </w:r>
      <w:r>
        <w:rPr>
          <w:rFonts w:ascii="Cambria" w:hAnsi="Cambria" w:cs="Cambria"/>
          <w:i/>
          <w:iCs/>
          <w:w w:val="105"/>
          <w:sz w:val="19"/>
          <w:szCs w:val="19"/>
        </w:rPr>
        <w:t>the</w:t>
      </w:r>
      <w:r>
        <w:rPr>
          <w:rFonts w:ascii="Cambria" w:hAnsi="Cambria" w:cs="Cambria"/>
          <w:i/>
          <w:iCs/>
          <w:spacing w:val="-10"/>
          <w:w w:val="105"/>
          <w:sz w:val="19"/>
          <w:szCs w:val="19"/>
        </w:rPr>
        <w:t xml:space="preserve"> </w:t>
      </w:r>
      <w:r>
        <w:rPr>
          <w:rFonts w:ascii="Cambria" w:hAnsi="Cambria" w:cs="Cambria"/>
          <w:i/>
          <w:iCs/>
          <w:w w:val="105"/>
          <w:sz w:val="19"/>
          <w:szCs w:val="19"/>
        </w:rPr>
        <w:t>day</w:t>
      </w:r>
      <w:r>
        <w:rPr>
          <w:rFonts w:ascii="Cambria" w:hAnsi="Cambria" w:cs="Cambria"/>
          <w:i/>
          <w:iCs/>
          <w:spacing w:val="-10"/>
          <w:w w:val="105"/>
          <w:sz w:val="19"/>
          <w:szCs w:val="19"/>
        </w:rPr>
        <w:t xml:space="preserve"> </w:t>
      </w:r>
      <w:r>
        <w:rPr>
          <w:rFonts w:ascii="Cambria" w:hAnsi="Cambria" w:cs="Cambria"/>
          <w:i/>
          <w:iCs/>
          <w:w w:val="105"/>
          <w:sz w:val="19"/>
          <w:szCs w:val="19"/>
        </w:rPr>
        <w:t>to</w:t>
      </w:r>
      <w:r>
        <w:rPr>
          <w:rFonts w:ascii="Cambria" w:hAnsi="Cambria" w:cs="Cambria"/>
          <w:i/>
          <w:iCs/>
          <w:spacing w:val="-10"/>
          <w:w w:val="105"/>
          <w:sz w:val="19"/>
          <w:szCs w:val="19"/>
        </w:rPr>
        <w:t xml:space="preserve"> </w:t>
      </w:r>
      <w:r>
        <w:rPr>
          <w:rFonts w:ascii="Cambria" w:hAnsi="Cambria" w:cs="Cambria"/>
          <w:i/>
          <w:iCs/>
          <w:w w:val="105"/>
          <w:sz w:val="19"/>
          <w:szCs w:val="19"/>
        </w:rPr>
        <w:t>improve</w:t>
      </w:r>
      <w:r>
        <w:rPr>
          <w:rFonts w:ascii="Cambria" w:hAnsi="Cambria" w:cs="Cambria"/>
          <w:i/>
          <w:iCs/>
          <w:spacing w:val="-10"/>
          <w:w w:val="105"/>
          <w:sz w:val="19"/>
          <w:szCs w:val="19"/>
        </w:rPr>
        <w:t xml:space="preserve"> </w:t>
      </w:r>
      <w:r>
        <w:rPr>
          <w:rFonts w:ascii="Cambria" w:hAnsi="Cambria" w:cs="Cambria"/>
          <w:i/>
          <w:iCs/>
          <w:w w:val="105"/>
          <w:sz w:val="19"/>
          <w:szCs w:val="19"/>
        </w:rPr>
        <w:t>the</w:t>
      </w:r>
      <w:r>
        <w:rPr>
          <w:rFonts w:ascii="Cambria" w:hAnsi="Cambria" w:cs="Cambria"/>
          <w:i/>
          <w:iCs/>
          <w:spacing w:val="-10"/>
          <w:w w:val="105"/>
          <w:sz w:val="19"/>
          <w:szCs w:val="19"/>
        </w:rPr>
        <w:t xml:space="preserve"> </w:t>
      </w:r>
      <w:r>
        <w:rPr>
          <w:rFonts w:ascii="Cambria" w:hAnsi="Cambria" w:cs="Cambria"/>
          <w:i/>
          <w:iCs/>
          <w:w w:val="105"/>
          <w:sz w:val="19"/>
          <w:szCs w:val="19"/>
        </w:rPr>
        <w:t>health</w:t>
      </w:r>
      <w:r>
        <w:rPr>
          <w:rFonts w:ascii="Cambria" w:hAnsi="Cambria" w:cs="Cambria"/>
          <w:i/>
          <w:iCs/>
          <w:spacing w:val="-10"/>
          <w:w w:val="105"/>
          <w:sz w:val="19"/>
          <w:szCs w:val="19"/>
        </w:rPr>
        <w:t xml:space="preserve"> </w:t>
      </w:r>
      <w:r>
        <w:rPr>
          <w:rFonts w:ascii="Cambria" w:hAnsi="Cambria" w:cs="Cambria"/>
          <w:i/>
          <w:iCs/>
          <w:w w:val="105"/>
          <w:sz w:val="19"/>
          <w:szCs w:val="19"/>
        </w:rPr>
        <w:t>of</w:t>
      </w:r>
      <w:r>
        <w:rPr>
          <w:rFonts w:ascii="Cambria" w:hAnsi="Cambria" w:cs="Cambria"/>
          <w:i/>
          <w:iCs/>
          <w:spacing w:val="-11"/>
          <w:w w:val="105"/>
          <w:sz w:val="19"/>
          <w:szCs w:val="19"/>
        </w:rPr>
        <w:t xml:space="preserve"> </w:t>
      </w:r>
      <w:r>
        <w:rPr>
          <w:rFonts w:ascii="Cambria" w:hAnsi="Cambria" w:cs="Cambria"/>
          <w:i/>
          <w:iCs/>
          <w:w w:val="105"/>
          <w:sz w:val="19"/>
          <w:szCs w:val="19"/>
        </w:rPr>
        <w:t>our</w:t>
      </w:r>
      <w:r>
        <w:rPr>
          <w:rFonts w:ascii="Cambria" w:hAnsi="Cambria" w:cs="Cambria"/>
          <w:i/>
          <w:iCs/>
          <w:spacing w:val="-10"/>
          <w:w w:val="105"/>
          <w:sz w:val="19"/>
          <w:szCs w:val="19"/>
        </w:rPr>
        <w:t xml:space="preserve"> </w:t>
      </w:r>
      <w:r>
        <w:rPr>
          <w:rFonts w:ascii="Cambria" w:hAnsi="Cambria" w:cs="Cambria"/>
          <w:i/>
          <w:iCs/>
          <w:w w:val="105"/>
          <w:sz w:val="19"/>
          <w:szCs w:val="19"/>
        </w:rPr>
        <w:t>patients,</w:t>
      </w:r>
      <w:r>
        <w:rPr>
          <w:rFonts w:ascii="Cambria" w:hAnsi="Cambria" w:cs="Cambria"/>
          <w:i/>
          <w:iCs/>
          <w:spacing w:val="-12"/>
          <w:w w:val="105"/>
          <w:sz w:val="19"/>
          <w:szCs w:val="19"/>
        </w:rPr>
        <w:t xml:space="preserve"> </w:t>
      </w:r>
      <w:r>
        <w:rPr>
          <w:rFonts w:ascii="Cambria" w:hAnsi="Cambria" w:cs="Cambria"/>
          <w:i/>
          <w:iCs/>
          <w:w w:val="105"/>
          <w:sz w:val="19"/>
          <w:szCs w:val="19"/>
        </w:rPr>
        <w:t>communities,</w:t>
      </w:r>
      <w:r>
        <w:rPr>
          <w:rFonts w:ascii="Cambria" w:hAnsi="Cambria" w:cs="Cambria"/>
          <w:i/>
          <w:iCs/>
          <w:spacing w:val="-9"/>
          <w:w w:val="105"/>
          <w:sz w:val="19"/>
          <w:szCs w:val="19"/>
        </w:rPr>
        <w:t xml:space="preserve"> </w:t>
      </w:r>
      <w:r>
        <w:rPr>
          <w:rFonts w:ascii="Cambria" w:hAnsi="Cambria" w:cs="Cambria"/>
          <w:i/>
          <w:iCs/>
          <w:w w:val="105"/>
          <w:sz w:val="19"/>
          <w:szCs w:val="19"/>
        </w:rPr>
        <w:t>and</w:t>
      </w:r>
      <w:r>
        <w:rPr>
          <w:rFonts w:ascii="Cambria" w:hAnsi="Cambria" w:cs="Cambria"/>
          <w:i/>
          <w:iCs/>
          <w:spacing w:val="-11"/>
          <w:w w:val="105"/>
          <w:sz w:val="19"/>
          <w:szCs w:val="19"/>
        </w:rPr>
        <w:t xml:space="preserve"> </w:t>
      </w:r>
      <w:r>
        <w:rPr>
          <w:rFonts w:ascii="Cambria" w:hAnsi="Cambria" w:cs="Cambria"/>
          <w:i/>
          <w:iCs/>
          <w:w w:val="105"/>
          <w:sz w:val="19"/>
          <w:szCs w:val="19"/>
        </w:rPr>
        <w:t>nation..</w:t>
      </w:r>
    </w:p>
    <w:p w:rsidR="002C5025" w:rsidRDefault="002C5025">
      <w:pPr>
        <w:pStyle w:val="BodyText"/>
        <w:kinsoku w:val="0"/>
        <w:overflowPunct w:val="0"/>
        <w:spacing w:before="109" w:line="244" w:lineRule="auto"/>
        <w:ind w:left="642" w:right="773" w:hanging="348"/>
        <w:rPr>
          <w:rFonts w:ascii="Cambria" w:hAnsi="Cambria" w:cs="Cambria"/>
          <w:i/>
          <w:iCs/>
          <w:w w:val="105"/>
          <w:sz w:val="19"/>
          <w:szCs w:val="19"/>
        </w:rPr>
        <w:sectPr w:rsidR="002C5025">
          <w:pgSz w:w="12240" w:h="15840"/>
          <w:pgMar w:top="1260" w:right="820" w:bottom="280" w:left="800" w:header="720" w:footer="720" w:gutter="0"/>
          <w:pgBorders w:offsetFrom="page">
            <w:top w:val="single" w:sz="24" w:space="24" w:color="213957"/>
            <w:left w:val="single" w:sz="24" w:space="24" w:color="213957"/>
            <w:bottom w:val="single" w:sz="24" w:space="24" w:color="213957"/>
            <w:right w:val="single" w:sz="24" w:space="24" w:color="213957"/>
          </w:pgBorders>
          <w:cols w:space="720"/>
          <w:noEndnote/>
        </w:sectPr>
      </w:pPr>
    </w:p>
    <w:p w:rsidR="002C5025" w:rsidRDefault="002C5025">
      <w:pPr>
        <w:pStyle w:val="BodyText"/>
        <w:kinsoku w:val="0"/>
        <w:overflowPunct w:val="0"/>
        <w:spacing w:before="57"/>
        <w:ind w:left="414" w:right="89"/>
        <w:rPr>
          <w:rFonts w:ascii="Times New Roman" w:hAnsi="Times New Roman" w:cs="Times New Roman"/>
          <w:sz w:val="24"/>
          <w:szCs w:val="24"/>
        </w:rPr>
      </w:pPr>
      <w:r>
        <w:rPr>
          <w:rFonts w:ascii="Times New Roman" w:hAnsi="Times New Roman" w:cs="Times New Roman"/>
          <w:sz w:val="24"/>
          <w:szCs w:val="24"/>
        </w:rPr>
        <w:lastRenderedPageBreak/>
        <w:t>Finder” by HHS that enables consumers to search for personalized preventive health recommendations.</w:t>
      </w:r>
      <w:r>
        <w:rPr>
          <w:rFonts w:ascii="Times New Roman" w:hAnsi="Times New Roman" w:cs="Times New Roman"/>
          <w:position w:val="11"/>
          <w:sz w:val="16"/>
          <w:szCs w:val="16"/>
        </w:rPr>
        <w:t xml:space="preserve">17 </w:t>
      </w:r>
      <w:r>
        <w:rPr>
          <w:rFonts w:ascii="Times New Roman" w:hAnsi="Times New Roman" w:cs="Times New Roman"/>
          <w:sz w:val="24"/>
          <w:szCs w:val="24"/>
        </w:rPr>
        <w:t>Tools for appropriate healthcare utilization should be incorporated into the MassHealth website and/or written materials, as appropriate. This would promote seamless transition from health insurance enrollment to access to healthcare services.</w:t>
      </w:r>
    </w:p>
    <w:p w:rsidR="002C5025" w:rsidRDefault="002C5025">
      <w:pPr>
        <w:pStyle w:val="ListParagraph"/>
        <w:numPr>
          <w:ilvl w:val="0"/>
          <w:numId w:val="58"/>
        </w:numPr>
        <w:tabs>
          <w:tab w:val="left" w:pos="415"/>
        </w:tabs>
        <w:kinsoku w:val="0"/>
        <w:overflowPunct w:val="0"/>
        <w:spacing w:before="122" w:line="237" w:lineRule="auto"/>
        <w:ind w:right="679" w:hanging="262"/>
      </w:pPr>
      <w:r>
        <w:t>Provide</w:t>
      </w:r>
      <w:r>
        <w:rPr>
          <w:spacing w:val="-11"/>
        </w:rPr>
        <w:t xml:space="preserve"> </w:t>
      </w:r>
      <w:r>
        <w:t>tailored,</w:t>
      </w:r>
      <w:r>
        <w:rPr>
          <w:spacing w:val="-7"/>
        </w:rPr>
        <w:t xml:space="preserve"> </w:t>
      </w:r>
      <w:r>
        <w:t>personalized,</w:t>
      </w:r>
      <w:r>
        <w:rPr>
          <w:spacing w:val="-10"/>
        </w:rPr>
        <w:t xml:space="preserve"> </w:t>
      </w:r>
      <w:r>
        <w:t>linguistically</w:t>
      </w:r>
      <w:r>
        <w:rPr>
          <w:spacing w:val="-12"/>
        </w:rPr>
        <w:t xml:space="preserve"> </w:t>
      </w:r>
      <w:r>
        <w:t>and</w:t>
      </w:r>
      <w:r>
        <w:rPr>
          <w:spacing w:val="-7"/>
        </w:rPr>
        <w:t xml:space="preserve"> </w:t>
      </w:r>
      <w:r>
        <w:t>culturally</w:t>
      </w:r>
      <w:r>
        <w:rPr>
          <w:spacing w:val="-12"/>
        </w:rPr>
        <w:t xml:space="preserve"> </w:t>
      </w:r>
      <w:r>
        <w:t>competent</w:t>
      </w:r>
      <w:r>
        <w:rPr>
          <w:spacing w:val="-7"/>
        </w:rPr>
        <w:t xml:space="preserve"> </w:t>
      </w:r>
      <w:r>
        <w:t>assistance</w:t>
      </w:r>
      <w:r>
        <w:rPr>
          <w:spacing w:val="-8"/>
        </w:rPr>
        <w:t xml:space="preserve"> </w:t>
      </w:r>
      <w:r>
        <w:t>both</w:t>
      </w:r>
      <w:r>
        <w:rPr>
          <w:spacing w:val="-10"/>
        </w:rPr>
        <w:t xml:space="preserve"> </w:t>
      </w:r>
      <w:r>
        <w:t>pre-</w:t>
      </w:r>
      <w:r>
        <w:rPr>
          <w:spacing w:val="-8"/>
        </w:rPr>
        <w:t xml:space="preserve"> </w:t>
      </w:r>
      <w:r>
        <w:t>and</w:t>
      </w:r>
      <w:r>
        <w:rPr>
          <w:spacing w:val="-10"/>
        </w:rPr>
        <w:t xml:space="preserve"> </w:t>
      </w:r>
      <w:r>
        <w:t>post- enrollment. Members should have access to individual assistance with choosing a plan and understanding</w:t>
      </w:r>
      <w:r>
        <w:rPr>
          <w:spacing w:val="-12"/>
        </w:rPr>
        <w:t xml:space="preserve"> </w:t>
      </w:r>
      <w:r>
        <w:t>the</w:t>
      </w:r>
      <w:r>
        <w:rPr>
          <w:spacing w:val="-8"/>
        </w:rPr>
        <w:t xml:space="preserve"> </w:t>
      </w:r>
      <w:r>
        <w:t>coverage</w:t>
      </w:r>
      <w:r>
        <w:rPr>
          <w:spacing w:val="-8"/>
        </w:rPr>
        <w:t xml:space="preserve"> </w:t>
      </w:r>
      <w:r>
        <w:t>and</w:t>
      </w:r>
      <w:r>
        <w:rPr>
          <w:spacing w:val="-7"/>
        </w:rPr>
        <w:t xml:space="preserve"> </w:t>
      </w:r>
      <w:r>
        <w:t>care</w:t>
      </w:r>
      <w:r>
        <w:rPr>
          <w:spacing w:val="-11"/>
        </w:rPr>
        <w:t xml:space="preserve"> </w:t>
      </w:r>
      <w:r>
        <w:t>options</w:t>
      </w:r>
      <w:r>
        <w:rPr>
          <w:spacing w:val="-9"/>
        </w:rPr>
        <w:t xml:space="preserve"> </w:t>
      </w:r>
      <w:r>
        <w:t>available.</w:t>
      </w:r>
    </w:p>
    <w:p w:rsidR="002C5025" w:rsidRDefault="002C5025">
      <w:pPr>
        <w:pStyle w:val="ListParagraph"/>
        <w:numPr>
          <w:ilvl w:val="0"/>
          <w:numId w:val="58"/>
        </w:numPr>
        <w:tabs>
          <w:tab w:val="left" w:pos="415"/>
        </w:tabs>
        <w:kinsoku w:val="0"/>
        <w:overflowPunct w:val="0"/>
        <w:spacing w:before="134" w:line="225" w:lineRule="auto"/>
        <w:ind w:right="289" w:hanging="262"/>
        <w:jc w:val="both"/>
      </w:pPr>
      <w:r>
        <w:t>Utilize all forms of media to do outreach, including text messaging, as has been shown to be successful for Medicaid and SCHIP enrollment and outreach.</w:t>
      </w:r>
      <w:r>
        <w:rPr>
          <w:position w:val="11"/>
          <w:sz w:val="16"/>
          <w:szCs w:val="16"/>
        </w:rPr>
        <w:t xml:space="preserve">18 </w:t>
      </w:r>
      <w:r>
        <w:t>This may include expanding the member outreach model</w:t>
      </w:r>
      <w:r>
        <w:rPr>
          <w:spacing w:val="-8"/>
        </w:rPr>
        <w:t xml:space="preserve"> </w:t>
      </w:r>
      <w:r>
        <w:t>represented</w:t>
      </w:r>
      <w:r>
        <w:rPr>
          <w:spacing w:val="-6"/>
        </w:rPr>
        <w:t xml:space="preserve"> </w:t>
      </w:r>
      <w:r>
        <w:t>by</w:t>
      </w:r>
      <w:r>
        <w:rPr>
          <w:spacing w:val="-11"/>
        </w:rPr>
        <w:t xml:space="preserve"> </w:t>
      </w:r>
      <w:r>
        <w:t>Text4Baby</w:t>
      </w:r>
      <w:r>
        <w:rPr>
          <w:spacing w:val="-11"/>
        </w:rPr>
        <w:t xml:space="preserve"> </w:t>
      </w:r>
      <w:r>
        <w:t>initiative</w:t>
      </w:r>
      <w:r>
        <w:rPr>
          <w:spacing w:val="-10"/>
        </w:rPr>
        <w:t xml:space="preserve"> </w:t>
      </w:r>
      <w:r>
        <w:t>that</w:t>
      </w:r>
      <w:r>
        <w:rPr>
          <w:spacing w:val="-6"/>
        </w:rPr>
        <w:t xml:space="preserve"> </w:t>
      </w:r>
      <w:r>
        <w:t>already</w:t>
      </w:r>
      <w:r>
        <w:rPr>
          <w:spacing w:val="-11"/>
        </w:rPr>
        <w:t xml:space="preserve"> </w:t>
      </w:r>
      <w:r>
        <w:t>exists</w:t>
      </w:r>
      <w:r>
        <w:rPr>
          <w:spacing w:val="-8"/>
        </w:rPr>
        <w:t xml:space="preserve"> </w:t>
      </w:r>
      <w:r>
        <w:t>in</w:t>
      </w:r>
      <w:r>
        <w:rPr>
          <w:spacing w:val="-6"/>
        </w:rPr>
        <w:t xml:space="preserve"> </w:t>
      </w:r>
      <w:r>
        <w:t>MassHealth.</w:t>
      </w:r>
    </w:p>
    <w:p w:rsidR="002C5025" w:rsidRDefault="002C5025">
      <w:pPr>
        <w:pStyle w:val="ListParagraph"/>
        <w:numPr>
          <w:ilvl w:val="0"/>
          <w:numId w:val="58"/>
        </w:numPr>
        <w:tabs>
          <w:tab w:val="left" w:pos="415"/>
        </w:tabs>
        <w:kinsoku w:val="0"/>
        <w:overflowPunct w:val="0"/>
        <w:spacing w:before="125" w:line="237" w:lineRule="auto"/>
        <w:ind w:right="235" w:hanging="262"/>
        <w:jc w:val="both"/>
      </w:pPr>
      <w:r>
        <w:t>Work with community resources like schools, libraries, faith-based groups, advocacy groups, and other community leaders to disseminate information broadly. There are best practices from enrollment efforts following</w:t>
      </w:r>
      <w:r>
        <w:rPr>
          <w:spacing w:val="-9"/>
        </w:rPr>
        <w:t xml:space="preserve"> </w:t>
      </w:r>
      <w:r>
        <w:t>the</w:t>
      </w:r>
      <w:r>
        <w:rPr>
          <w:spacing w:val="-5"/>
        </w:rPr>
        <w:t xml:space="preserve"> </w:t>
      </w:r>
      <w:r>
        <w:t>2006</w:t>
      </w:r>
      <w:r>
        <w:rPr>
          <w:spacing w:val="-6"/>
        </w:rPr>
        <w:t xml:space="preserve"> </w:t>
      </w:r>
      <w:r>
        <w:t>reform</w:t>
      </w:r>
      <w:r>
        <w:rPr>
          <w:spacing w:val="-6"/>
        </w:rPr>
        <w:t xml:space="preserve"> </w:t>
      </w:r>
      <w:r>
        <w:t>(Chapter</w:t>
      </w:r>
      <w:r>
        <w:rPr>
          <w:spacing w:val="-7"/>
        </w:rPr>
        <w:t xml:space="preserve"> </w:t>
      </w:r>
      <w:r>
        <w:t>58)</w:t>
      </w:r>
      <w:r>
        <w:rPr>
          <w:spacing w:val="-7"/>
        </w:rPr>
        <w:t xml:space="preserve"> </w:t>
      </w:r>
      <w:r>
        <w:t>on</w:t>
      </w:r>
      <w:r>
        <w:rPr>
          <w:spacing w:val="-6"/>
        </w:rPr>
        <w:t xml:space="preserve"> </w:t>
      </w:r>
      <w:r>
        <w:t>successful</w:t>
      </w:r>
      <w:r>
        <w:rPr>
          <w:spacing w:val="-6"/>
        </w:rPr>
        <w:t xml:space="preserve"> </w:t>
      </w:r>
      <w:r>
        <w:t>public</w:t>
      </w:r>
      <w:r>
        <w:rPr>
          <w:spacing w:val="-7"/>
        </w:rPr>
        <w:t xml:space="preserve"> </w:t>
      </w:r>
      <w:r>
        <w:t>outreach</w:t>
      </w:r>
      <w:r>
        <w:rPr>
          <w:spacing w:val="-6"/>
        </w:rPr>
        <w:t xml:space="preserve"> </w:t>
      </w:r>
      <w:r>
        <w:t>in</w:t>
      </w:r>
      <w:r>
        <w:rPr>
          <w:spacing w:val="-6"/>
        </w:rPr>
        <w:t xml:space="preserve"> </w:t>
      </w:r>
      <w:r>
        <w:t>Massachusetts.</w:t>
      </w:r>
    </w:p>
    <w:p w:rsidR="002C5025" w:rsidRDefault="002C5025">
      <w:pPr>
        <w:pStyle w:val="ListParagraph"/>
        <w:numPr>
          <w:ilvl w:val="0"/>
          <w:numId w:val="58"/>
        </w:numPr>
        <w:tabs>
          <w:tab w:val="left" w:pos="415"/>
        </w:tabs>
        <w:kinsoku w:val="0"/>
        <w:overflowPunct w:val="0"/>
        <w:spacing w:before="129" w:line="232" w:lineRule="auto"/>
        <w:ind w:right="475" w:hanging="262"/>
      </w:pPr>
      <w:r>
        <w:t>Have a year-round health literacy campaign and dedicated funding to improve the baseline health literacy of the MassHealth population. We recommend using best practices outlined in the National Action</w:t>
      </w:r>
      <w:r>
        <w:rPr>
          <w:spacing w:val="-10"/>
        </w:rPr>
        <w:t xml:space="preserve"> </w:t>
      </w:r>
      <w:r>
        <w:t>Plan</w:t>
      </w:r>
      <w:r>
        <w:rPr>
          <w:spacing w:val="-7"/>
        </w:rPr>
        <w:t xml:space="preserve"> </w:t>
      </w:r>
      <w:r>
        <w:t>to</w:t>
      </w:r>
      <w:r>
        <w:rPr>
          <w:spacing w:val="-5"/>
        </w:rPr>
        <w:t xml:space="preserve"> </w:t>
      </w:r>
      <w:r>
        <w:t>Improve</w:t>
      </w:r>
      <w:r>
        <w:rPr>
          <w:spacing w:val="-6"/>
        </w:rPr>
        <w:t xml:space="preserve"> </w:t>
      </w:r>
      <w:r>
        <w:t>Health</w:t>
      </w:r>
      <w:r>
        <w:rPr>
          <w:spacing w:val="-7"/>
        </w:rPr>
        <w:t xml:space="preserve"> </w:t>
      </w:r>
      <w:r>
        <w:t>Literacy.</w:t>
      </w:r>
      <w:r>
        <w:rPr>
          <w:position w:val="11"/>
          <w:sz w:val="16"/>
          <w:szCs w:val="16"/>
        </w:rPr>
        <w:t>19</w:t>
      </w:r>
      <w:r>
        <w:rPr>
          <w:spacing w:val="14"/>
          <w:position w:val="11"/>
          <w:sz w:val="16"/>
          <w:szCs w:val="16"/>
        </w:rPr>
        <w:t xml:space="preserve"> </w:t>
      </w:r>
      <w:r>
        <w:t>Especially</w:t>
      </w:r>
      <w:r>
        <w:rPr>
          <w:spacing w:val="-10"/>
        </w:rPr>
        <w:t xml:space="preserve"> </w:t>
      </w:r>
      <w:r>
        <w:t>given</w:t>
      </w:r>
      <w:r>
        <w:rPr>
          <w:spacing w:val="-7"/>
        </w:rPr>
        <w:t xml:space="preserve"> </w:t>
      </w:r>
      <w:r>
        <w:t>increasing</w:t>
      </w:r>
      <w:r>
        <w:rPr>
          <w:spacing w:val="-10"/>
        </w:rPr>
        <w:t xml:space="preserve"> </w:t>
      </w:r>
      <w:r>
        <w:t>complexity</w:t>
      </w:r>
      <w:r>
        <w:rPr>
          <w:spacing w:val="-17"/>
        </w:rPr>
        <w:t xml:space="preserve"> </w:t>
      </w:r>
      <w:r>
        <w:t>and</w:t>
      </w:r>
      <w:r>
        <w:rPr>
          <w:spacing w:val="-7"/>
        </w:rPr>
        <w:t xml:space="preserve"> </w:t>
      </w:r>
      <w:r>
        <w:t>implications</w:t>
      </w:r>
      <w:r>
        <w:rPr>
          <w:spacing w:val="-7"/>
        </w:rPr>
        <w:t xml:space="preserve"> </w:t>
      </w:r>
      <w:r>
        <w:t>of choices in the ACO model, dedicated support for better comprehension is required. MassHealth members must be supported to be fully informed and engaged consumers of healthcare to choose and utilize the right ACO option for their own</w:t>
      </w:r>
      <w:r>
        <w:rPr>
          <w:spacing w:val="-41"/>
        </w:rPr>
        <w:t xml:space="preserve"> </w:t>
      </w:r>
      <w:r>
        <w:t>care.</w:t>
      </w:r>
    </w:p>
    <w:p w:rsidR="002C5025" w:rsidRDefault="002C5025">
      <w:pPr>
        <w:pStyle w:val="ListParagraph"/>
        <w:numPr>
          <w:ilvl w:val="0"/>
          <w:numId w:val="58"/>
        </w:numPr>
        <w:tabs>
          <w:tab w:val="left" w:pos="415"/>
        </w:tabs>
        <w:kinsoku w:val="0"/>
        <w:overflowPunct w:val="0"/>
        <w:spacing w:before="135" w:line="237" w:lineRule="auto"/>
        <w:ind w:right="526" w:hanging="262"/>
      </w:pPr>
      <w:r>
        <w:t>Ensure the ombudsman, or another entity such as the Office of Patient Protection, has a role in arbitrating</w:t>
      </w:r>
      <w:r>
        <w:rPr>
          <w:spacing w:val="-10"/>
        </w:rPr>
        <w:t xml:space="preserve"> </w:t>
      </w:r>
      <w:r>
        <w:t>ACO</w:t>
      </w:r>
      <w:r>
        <w:rPr>
          <w:spacing w:val="-8"/>
        </w:rPr>
        <w:t xml:space="preserve"> </w:t>
      </w:r>
      <w:r>
        <w:t>members’</w:t>
      </w:r>
      <w:r>
        <w:rPr>
          <w:spacing w:val="-8"/>
        </w:rPr>
        <w:t xml:space="preserve"> </w:t>
      </w:r>
      <w:r>
        <w:t>appeals</w:t>
      </w:r>
      <w:r>
        <w:rPr>
          <w:spacing w:val="-7"/>
        </w:rPr>
        <w:t xml:space="preserve"> </w:t>
      </w:r>
      <w:r>
        <w:t>and</w:t>
      </w:r>
      <w:r>
        <w:rPr>
          <w:spacing w:val="-5"/>
        </w:rPr>
        <w:t xml:space="preserve"> </w:t>
      </w:r>
      <w:r>
        <w:t>grievances</w:t>
      </w:r>
      <w:r>
        <w:rPr>
          <w:spacing w:val="-5"/>
        </w:rPr>
        <w:t xml:space="preserve"> </w:t>
      </w:r>
      <w:r>
        <w:t>for</w:t>
      </w:r>
      <w:r>
        <w:rPr>
          <w:spacing w:val="-8"/>
        </w:rPr>
        <w:t xml:space="preserve"> </w:t>
      </w:r>
      <w:r>
        <w:t>coverage</w:t>
      </w:r>
      <w:r>
        <w:rPr>
          <w:spacing w:val="-8"/>
        </w:rPr>
        <w:t xml:space="preserve"> </w:t>
      </w:r>
      <w:r>
        <w:t>as</w:t>
      </w:r>
      <w:r>
        <w:rPr>
          <w:spacing w:val="-7"/>
        </w:rPr>
        <w:t xml:space="preserve"> </w:t>
      </w:r>
      <w:r>
        <w:t>well</w:t>
      </w:r>
      <w:r>
        <w:rPr>
          <w:spacing w:val="-4"/>
        </w:rPr>
        <w:t xml:space="preserve"> </w:t>
      </w:r>
      <w:r>
        <w:t>as</w:t>
      </w:r>
      <w:r>
        <w:rPr>
          <w:spacing w:val="-5"/>
        </w:rPr>
        <w:t xml:space="preserve"> </w:t>
      </w:r>
      <w:r>
        <w:t>ACO-specific</w:t>
      </w:r>
      <w:r>
        <w:rPr>
          <w:spacing w:val="-6"/>
        </w:rPr>
        <w:t xml:space="preserve"> </w:t>
      </w:r>
      <w:r>
        <w:t>treatment</w:t>
      </w:r>
      <w:r>
        <w:rPr>
          <w:spacing w:val="-7"/>
        </w:rPr>
        <w:t xml:space="preserve"> </w:t>
      </w:r>
      <w:r>
        <w:t>or referral</w:t>
      </w:r>
      <w:r>
        <w:rPr>
          <w:spacing w:val="-7"/>
        </w:rPr>
        <w:t xml:space="preserve"> </w:t>
      </w:r>
      <w:r>
        <w:t>decisions,</w:t>
      </w:r>
      <w:r>
        <w:rPr>
          <w:spacing w:val="-7"/>
        </w:rPr>
        <w:t xml:space="preserve"> </w:t>
      </w:r>
      <w:r>
        <w:t>while</w:t>
      </w:r>
      <w:r>
        <w:rPr>
          <w:spacing w:val="-8"/>
        </w:rPr>
        <w:t xml:space="preserve"> </w:t>
      </w:r>
      <w:r>
        <w:t>identifying</w:t>
      </w:r>
      <w:r>
        <w:rPr>
          <w:spacing w:val="-10"/>
        </w:rPr>
        <w:t xml:space="preserve"> </w:t>
      </w:r>
      <w:r>
        <w:t>and</w:t>
      </w:r>
      <w:r>
        <w:rPr>
          <w:spacing w:val="-7"/>
        </w:rPr>
        <w:t xml:space="preserve"> </w:t>
      </w:r>
      <w:r>
        <w:t>addressing</w:t>
      </w:r>
      <w:r>
        <w:rPr>
          <w:spacing w:val="-10"/>
        </w:rPr>
        <w:t xml:space="preserve"> </w:t>
      </w:r>
      <w:r>
        <w:t>systemic</w:t>
      </w:r>
      <w:r>
        <w:rPr>
          <w:spacing w:val="-11"/>
        </w:rPr>
        <w:t xml:space="preserve"> </w:t>
      </w:r>
      <w:r>
        <w:t>issues.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spacing w:before="159"/>
        <w:ind w:left="143" w:right="126"/>
        <w:rPr>
          <w:rFonts w:ascii="Times New Roman" w:hAnsi="Times New Roman" w:cs="Times New Roman"/>
          <w:b/>
          <w:bCs/>
          <w:sz w:val="24"/>
          <w:szCs w:val="24"/>
        </w:rPr>
      </w:pPr>
      <w:r>
        <w:rPr>
          <w:rFonts w:ascii="Times New Roman" w:hAnsi="Times New Roman" w:cs="Times New Roman"/>
          <w:b/>
          <w:bCs/>
          <w:sz w:val="24"/>
          <w:szCs w:val="24"/>
        </w:rPr>
        <w:t>Member Protections</w:t>
      </w:r>
    </w:p>
    <w:p w:rsidR="002C5025" w:rsidRDefault="002C5025">
      <w:pPr>
        <w:pStyle w:val="BodyText"/>
        <w:kinsoku w:val="0"/>
        <w:overflowPunct w:val="0"/>
        <w:spacing w:before="10"/>
        <w:rPr>
          <w:rFonts w:ascii="Times New Roman" w:hAnsi="Times New Roman" w:cs="Times New Roman"/>
          <w:b/>
          <w:bCs/>
          <w:sz w:val="30"/>
          <w:szCs w:val="30"/>
        </w:rPr>
      </w:pPr>
    </w:p>
    <w:p w:rsidR="002C5025" w:rsidRDefault="002C5025">
      <w:pPr>
        <w:pStyle w:val="BodyText"/>
        <w:kinsoku w:val="0"/>
        <w:overflowPunct w:val="0"/>
        <w:spacing w:line="261" w:lineRule="auto"/>
        <w:ind w:left="143" w:right="126"/>
        <w:rPr>
          <w:rFonts w:ascii="Times New Roman" w:hAnsi="Times New Roman" w:cs="Times New Roman"/>
          <w:sz w:val="24"/>
          <w:szCs w:val="24"/>
        </w:rPr>
      </w:pPr>
      <w:r>
        <w:rPr>
          <w:rFonts w:ascii="Times New Roman" w:hAnsi="Times New Roman" w:cs="Times New Roman"/>
          <w:sz w:val="24"/>
          <w:szCs w:val="24"/>
        </w:rPr>
        <w:t>While we support the shared responsibility, we express caution on the issue of cost-sharing in a program that serves low income families. We oppose new cost-sharing that is not evidence-based to add value and instead contributes to delayed or missed care. Data on effectiveness of cost to change consumer behavior are mixed. Data from Oregon and Connecticut Medicaid programs show that higher cost-sharing contributes to Medicaid disenrollment and going uninsured.</w:t>
      </w:r>
      <w:r>
        <w:rPr>
          <w:rFonts w:ascii="Times New Roman" w:hAnsi="Times New Roman" w:cs="Times New Roman"/>
          <w:position w:val="11"/>
          <w:sz w:val="16"/>
          <w:szCs w:val="16"/>
        </w:rPr>
        <w:t xml:space="preserve">20 </w:t>
      </w:r>
      <w:r>
        <w:rPr>
          <w:rFonts w:ascii="Times New Roman" w:hAnsi="Times New Roman" w:cs="Times New Roman"/>
          <w:sz w:val="24"/>
          <w:szCs w:val="24"/>
        </w:rPr>
        <w:t>In Oregon, those who left Medicaid programs due to higher cost sharing had lower primary care utilization and higher emergency room visits.</w:t>
      </w:r>
      <w:r>
        <w:rPr>
          <w:rFonts w:ascii="Times New Roman" w:hAnsi="Times New Roman" w:cs="Times New Roman"/>
          <w:position w:val="11"/>
          <w:sz w:val="16"/>
          <w:szCs w:val="16"/>
        </w:rPr>
        <w:t xml:space="preserve">21 </w:t>
      </w:r>
      <w:r>
        <w:rPr>
          <w:rFonts w:ascii="Times New Roman" w:hAnsi="Times New Roman" w:cs="Times New Roman"/>
          <w:sz w:val="24"/>
          <w:szCs w:val="24"/>
        </w:rPr>
        <w:t>A Kaiser Family Foundation report describes how higher cost sharing results in delayed care and poorer health outcomes.</w:t>
      </w:r>
      <w:r>
        <w:rPr>
          <w:rFonts w:ascii="Times New Roman" w:hAnsi="Times New Roman" w:cs="Times New Roman"/>
          <w:position w:val="11"/>
          <w:sz w:val="16"/>
          <w:szCs w:val="16"/>
        </w:rPr>
        <w:t xml:space="preserve">22 </w:t>
      </w:r>
      <w:r>
        <w:rPr>
          <w:rFonts w:ascii="Times New Roman" w:hAnsi="Times New Roman" w:cs="Times New Roman"/>
          <w:sz w:val="24"/>
          <w:szCs w:val="24"/>
        </w:rPr>
        <w:t>All these consequences then put greater strain on safety net resources and shift costs towards within the system rather than resulting in cost savings or better health outcomes. Given the stated goal of</w:t>
      </w:r>
    </w:p>
    <w:p w:rsidR="002C5025" w:rsidRDefault="002C5025">
      <w:pPr>
        <w:pStyle w:val="BodyText"/>
        <w:kinsoku w:val="0"/>
        <w:overflowPunct w:val="0"/>
        <w:rPr>
          <w:rFonts w:ascii="Times New Roman" w:hAnsi="Times New Roman" w:cs="Times New Roman"/>
          <w:sz w:val="20"/>
          <w:szCs w:val="20"/>
        </w:rPr>
      </w:pPr>
    </w:p>
    <w:p w:rsidR="002C5025" w:rsidRDefault="00FB027C">
      <w:pPr>
        <w:pStyle w:val="BodyText"/>
        <w:kinsoku w:val="0"/>
        <w:overflowPunct w:val="0"/>
        <w:spacing w:before="2"/>
        <w:rPr>
          <w:rFonts w:ascii="Times New Roman" w:hAnsi="Times New Roman" w:cs="Times New Roman"/>
          <w:sz w:val="18"/>
          <w:szCs w:val="18"/>
        </w:rPr>
      </w:pPr>
      <w:r>
        <w:rPr>
          <w:noProof/>
        </w:rPr>
        <mc:AlternateContent>
          <mc:Choice Requires="wps">
            <w:drawing>
              <wp:anchor distT="0" distB="0" distL="0" distR="0" simplePos="0" relativeHeight="251610624" behindDoc="0" locked="0" layoutInCell="0" allowOverlap="1">
                <wp:simplePos x="0" y="0"/>
                <wp:positionH relativeFrom="page">
                  <wp:posOffset>609600</wp:posOffset>
                </wp:positionH>
                <wp:positionV relativeFrom="paragraph">
                  <wp:posOffset>161290</wp:posOffset>
                </wp:positionV>
                <wp:extent cx="1828800" cy="12700"/>
                <wp:effectExtent l="0" t="0" r="0" b="0"/>
                <wp:wrapTopAndBottom/>
                <wp:docPr id="663" name="Freeform 3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w 2880"/>
                            <a:gd name="T1" fmla="*/ 0 h 20"/>
                            <a:gd name="T2" fmla="*/ 2880 w 2880"/>
                            <a:gd name="T3" fmla="*/ 0 h 20"/>
                          </a:gdLst>
                          <a:ahLst/>
                          <a:cxnLst>
                            <a:cxn ang="0">
                              <a:pos x="T0" y="T1"/>
                            </a:cxn>
                            <a:cxn ang="0">
                              <a:pos x="T2" y="T3"/>
                            </a:cxn>
                          </a:cxnLst>
                          <a:rect l="0" t="0" r="r" b="b"/>
                          <a:pathLst>
                            <a:path w="2880" h="20">
                              <a:moveTo>
                                <a:pt x="0" y="0"/>
                              </a:moveTo>
                              <a:lnTo>
                                <a:pt x="2880"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62" o:spid="_x0000_s1026" style="position:absolute;z-index:251610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48pt,12.7pt,192pt,12.7pt" coordsize="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" o:allowincell="f" filled="f" strokeweight=".20458mm">
                <v:path arrowok="t" o:connecttype="custom" o:connectlocs="0,0;1828800,0" o:connectangles="0,0"/>
                <w10:wrap type="topAndBottom" anchorx="page"/>
              </v:polyline>
            </w:pict>
          </mc:Fallback>
        </mc:AlternateContent>
      </w:r>
    </w:p>
    <w:p w:rsidR="002C5025" w:rsidRDefault="002C5025">
      <w:pPr>
        <w:pStyle w:val="BodyText"/>
        <w:kinsoku w:val="0"/>
        <w:overflowPunct w:val="0"/>
        <w:ind w:left="143" w:right="126"/>
        <w:rPr>
          <w:rFonts w:ascii="Times New Roman" w:hAnsi="Times New Roman" w:cs="Times New Roman"/>
          <w:sz w:val="19"/>
          <w:szCs w:val="19"/>
        </w:rPr>
      </w:pPr>
      <w:r>
        <w:rPr>
          <w:rFonts w:ascii="Times New Roman" w:hAnsi="Times New Roman" w:cs="Times New Roman"/>
          <w:position w:val="11"/>
          <w:sz w:val="16"/>
          <w:szCs w:val="16"/>
        </w:rPr>
        <w:t xml:space="preserve">17   </w:t>
      </w:r>
      <w:r>
        <w:rPr>
          <w:rFonts w:ascii="Times New Roman" w:hAnsi="Times New Roman" w:cs="Times New Roman"/>
          <w:sz w:val="19"/>
          <w:szCs w:val="19"/>
        </w:rPr>
        <w:t>https://healthfinder.gov/myhealthfinder/</w:t>
      </w:r>
    </w:p>
    <w:p w:rsidR="002C5025" w:rsidRDefault="002C5025">
      <w:pPr>
        <w:pStyle w:val="BodyText"/>
        <w:tabs>
          <w:tab w:val="left" w:pos="601"/>
        </w:tabs>
        <w:kinsoku w:val="0"/>
        <w:overflowPunct w:val="0"/>
        <w:spacing w:before="9" w:line="249" w:lineRule="auto"/>
        <w:ind w:left="143" w:right="662"/>
        <w:rPr>
          <w:rFonts w:ascii="Times New Roman" w:hAnsi="Times New Roman" w:cs="Times New Roman"/>
          <w:sz w:val="19"/>
          <w:szCs w:val="19"/>
        </w:rPr>
      </w:pPr>
      <w:r>
        <w:rPr>
          <w:rFonts w:ascii="Times New Roman" w:hAnsi="Times New Roman" w:cs="Times New Roman"/>
          <w:position w:val="9"/>
          <w:sz w:val="13"/>
          <w:szCs w:val="13"/>
        </w:rPr>
        <w:t>18</w:t>
      </w:r>
      <w:r>
        <w:rPr>
          <w:rFonts w:ascii="Times New Roman" w:hAnsi="Times New Roman" w:cs="Times New Roman"/>
          <w:position w:val="9"/>
          <w:sz w:val="13"/>
          <w:szCs w:val="13"/>
        </w:rPr>
        <w:tab/>
      </w:r>
      <w:hyperlink r:id="rId277" w:history="1">
        <w:r>
          <w:rPr>
            <w:rFonts w:ascii="Times New Roman" w:hAnsi="Times New Roman" w:cs="Times New Roman"/>
            <w:w w:val="95"/>
            <w:sz w:val="19"/>
            <w:szCs w:val="19"/>
          </w:rPr>
          <w:t>http://kff.org/medicaid/issue-brief/profiles-of-medicaid-outreach-and-enrollment-strategies-using-text-messaging-to-reach-</w:t>
        </w:r>
      </w:hyperlink>
      <w:r>
        <w:rPr>
          <w:rFonts w:ascii="Times New Roman" w:hAnsi="Times New Roman" w:cs="Times New Roman"/>
          <w:w w:val="95"/>
          <w:sz w:val="19"/>
          <w:szCs w:val="19"/>
        </w:rPr>
        <w:t xml:space="preserve"> </w:t>
      </w:r>
      <w:r>
        <w:rPr>
          <w:rFonts w:ascii="Times New Roman" w:hAnsi="Times New Roman" w:cs="Times New Roman"/>
          <w:sz w:val="19"/>
          <w:szCs w:val="19"/>
        </w:rPr>
        <w:t>and-enroll-uninsured-individuals-into-</w:t>
      </w:r>
      <w:proofErr w:type="spellStart"/>
      <w:r>
        <w:rPr>
          <w:rFonts w:ascii="Times New Roman" w:hAnsi="Times New Roman" w:cs="Times New Roman"/>
          <w:sz w:val="19"/>
          <w:szCs w:val="19"/>
        </w:rPr>
        <w:t>medicaid</w:t>
      </w:r>
      <w:proofErr w:type="spellEnd"/>
      <w:r>
        <w:rPr>
          <w:rFonts w:ascii="Times New Roman" w:hAnsi="Times New Roman" w:cs="Times New Roman"/>
          <w:sz w:val="19"/>
          <w:szCs w:val="19"/>
        </w:rPr>
        <w:t>-and-chip/</w:t>
      </w:r>
    </w:p>
    <w:p w:rsidR="002C5025" w:rsidRDefault="002C5025">
      <w:pPr>
        <w:pStyle w:val="BodyText"/>
        <w:tabs>
          <w:tab w:val="left" w:pos="515"/>
        </w:tabs>
        <w:kinsoku w:val="0"/>
        <w:overflowPunct w:val="0"/>
        <w:spacing w:line="206" w:lineRule="exact"/>
        <w:ind w:left="143" w:right="126"/>
        <w:rPr>
          <w:rFonts w:ascii="Times New Roman" w:hAnsi="Times New Roman" w:cs="Times New Roman"/>
          <w:sz w:val="19"/>
          <w:szCs w:val="19"/>
        </w:rPr>
      </w:pPr>
      <w:r>
        <w:rPr>
          <w:rFonts w:ascii="Times New Roman" w:hAnsi="Times New Roman" w:cs="Times New Roman"/>
          <w:position w:val="9"/>
          <w:sz w:val="13"/>
          <w:szCs w:val="13"/>
        </w:rPr>
        <w:t>19</w:t>
      </w:r>
      <w:r>
        <w:rPr>
          <w:rFonts w:ascii="Times New Roman" w:hAnsi="Times New Roman" w:cs="Times New Roman"/>
          <w:position w:val="9"/>
          <w:sz w:val="13"/>
          <w:szCs w:val="13"/>
        </w:rPr>
        <w:tab/>
      </w:r>
      <w:hyperlink r:id="rId278" w:history="1">
        <w:r>
          <w:rPr>
            <w:rFonts w:ascii="Times New Roman" w:hAnsi="Times New Roman" w:cs="Times New Roman"/>
            <w:sz w:val="19"/>
            <w:szCs w:val="19"/>
          </w:rPr>
          <w:t>http://health.gov/communication/hlactionplan/pdf/Health_Literacy_Action_Plan.pdf</w:t>
        </w:r>
      </w:hyperlink>
    </w:p>
    <w:p w:rsidR="002C5025" w:rsidRDefault="002C5025">
      <w:pPr>
        <w:pStyle w:val="BodyText"/>
        <w:tabs>
          <w:tab w:val="left" w:pos="599"/>
        </w:tabs>
        <w:kinsoku w:val="0"/>
        <w:overflowPunct w:val="0"/>
        <w:spacing w:line="252" w:lineRule="auto"/>
        <w:ind w:left="143" w:right="920"/>
        <w:rPr>
          <w:rFonts w:ascii="Times New Roman" w:hAnsi="Times New Roman" w:cs="Times New Roman"/>
          <w:sz w:val="19"/>
          <w:szCs w:val="19"/>
        </w:rPr>
      </w:pPr>
      <w:r>
        <w:rPr>
          <w:rFonts w:ascii="Times New Roman" w:hAnsi="Times New Roman" w:cs="Times New Roman"/>
          <w:position w:val="9"/>
          <w:sz w:val="13"/>
          <w:szCs w:val="13"/>
        </w:rPr>
        <w:t>20</w:t>
      </w:r>
      <w:r>
        <w:rPr>
          <w:rFonts w:ascii="Times New Roman" w:hAnsi="Times New Roman" w:cs="Times New Roman"/>
          <w:position w:val="9"/>
          <w:sz w:val="13"/>
          <w:szCs w:val="13"/>
        </w:rPr>
        <w:tab/>
      </w:r>
      <w:r>
        <w:rPr>
          <w:rFonts w:ascii="Times New Roman" w:hAnsi="Times New Roman" w:cs="Times New Roman"/>
          <w:w w:val="95"/>
          <w:sz w:val="19"/>
          <w:szCs w:val="19"/>
        </w:rPr>
        <w:t>https</w:t>
      </w:r>
      <w:hyperlink r:id="rId279" w:history="1">
        <w:r>
          <w:rPr>
            <w:rFonts w:ascii="Times New Roman" w:hAnsi="Times New Roman" w:cs="Times New Roman"/>
            <w:w w:val="95"/>
            <w:sz w:val="19"/>
            <w:szCs w:val="19"/>
          </w:rPr>
          <w:t>://www.cthealth.org/wp-content/uploads/2011/04/Policy-Brief-2-Proposed-Medicaid-Cost-Sharing-Evaluating-The-</w:t>
        </w:r>
      </w:hyperlink>
      <w:r>
        <w:rPr>
          <w:rFonts w:ascii="Times New Roman" w:hAnsi="Times New Roman" w:cs="Times New Roman"/>
          <w:w w:val="95"/>
          <w:sz w:val="19"/>
          <w:szCs w:val="19"/>
        </w:rPr>
        <w:t xml:space="preserve"> </w:t>
      </w:r>
      <w:r>
        <w:rPr>
          <w:rFonts w:ascii="Times New Roman" w:hAnsi="Times New Roman" w:cs="Times New Roman"/>
          <w:sz w:val="19"/>
          <w:szCs w:val="19"/>
        </w:rPr>
        <w:t>Impact.pdf</w:t>
      </w:r>
    </w:p>
    <w:p w:rsidR="002C5025" w:rsidRDefault="002C5025">
      <w:pPr>
        <w:pStyle w:val="BodyText"/>
        <w:kinsoku w:val="0"/>
        <w:overflowPunct w:val="0"/>
        <w:spacing w:line="200" w:lineRule="exact"/>
        <w:ind w:left="143" w:right="126"/>
        <w:rPr>
          <w:rFonts w:ascii="Times New Roman" w:hAnsi="Times New Roman" w:cs="Times New Roman"/>
          <w:sz w:val="19"/>
          <w:szCs w:val="19"/>
        </w:rPr>
      </w:pPr>
      <w:r>
        <w:rPr>
          <w:rFonts w:ascii="Times New Roman" w:hAnsi="Times New Roman" w:cs="Times New Roman"/>
          <w:position w:val="9"/>
          <w:sz w:val="13"/>
          <w:szCs w:val="13"/>
        </w:rPr>
        <w:t xml:space="preserve">21    </w:t>
      </w:r>
      <w:hyperlink r:id="rId280" w:history="1">
        <w:r>
          <w:rPr>
            <w:rFonts w:ascii="Times New Roman" w:hAnsi="Times New Roman" w:cs="Times New Roman"/>
            <w:sz w:val="19"/>
            <w:szCs w:val="19"/>
            <w:u w:val="single"/>
          </w:rPr>
          <w:t>http://content.healthaffairs.org/content/24/4/1106.full</w:t>
        </w:r>
      </w:hyperlink>
    </w:p>
    <w:p w:rsidR="002C5025" w:rsidRDefault="002C5025">
      <w:pPr>
        <w:pStyle w:val="BodyText"/>
        <w:kinsoku w:val="0"/>
        <w:overflowPunct w:val="0"/>
        <w:spacing w:line="243" w:lineRule="exact"/>
        <w:ind w:left="143" w:right="126"/>
        <w:rPr>
          <w:rFonts w:ascii="Times New Roman" w:hAnsi="Times New Roman" w:cs="Times New Roman"/>
          <w:sz w:val="19"/>
          <w:szCs w:val="19"/>
        </w:rPr>
      </w:pPr>
      <w:r>
        <w:rPr>
          <w:rFonts w:ascii="Times New Roman" w:hAnsi="Times New Roman" w:cs="Times New Roman"/>
          <w:position w:val="9"/>
          <w:sz w:val="13"/>
          <w:szCs w:val="13"/>
        </w:rPr>
        <w:t xml:space="preserve">22     </w:t>
      </w:r>
      <w:r>
        <w:rPr>
          <w:rFonts w:ascii="Times New Roman" w:hAnsi="Times New Roman" w:cs="Times New Roman"/>
          <w:sz w:val="19"/>
          <w:szCs w:val="19"/>
          <w:u w:val="single"/>
        </w:rPr>
        <w:t>https://kaiserhealthnews.files.wordpress.com/2014/07/8417.pdf</w:t>
      </w:r>
    </w:p>
    <w:p w:rsidR="002C5025" w:rsidRDefault="002C5025">
      <w:pPr>
        <w:pStyle w:val="BodyText"/>
        <w:kinsoku w:val="0"/>
        <w:overflowPunct w:val="0"/>
        <w:spacing w:before="6"/>
        <w:rPr>
          <w:rFonts w:ascii="Times New Roman" w:hAnsi="Times New Roman" w:cs="Times New Roman"/>
          <w:sz w:val="14"/>
          <w:szCs w:val="14"/>
        </w:rPr>
      </w:pPr>
    </w:p>
    <w:p w:rsidR="002C5025" w:rsidRDefault="00FB027C">
      <w:pPr>
        <w:pStyle w:val="BodyText"/>
        <w:kinsoku w:val="0"/>
        <w:overflowPunct w:val="0"/>
        <w:spacing w:before="75"/>
        <w:ind w:right="108"/>
        <w:jc w:val="right"/>
        <w:rPr>
          <w:rFonts w:ascii="Times New Roman" w:hAnsi="Times New Roman" w:cs="Times New Roman"/>
          <w:w w:val="99"/>
          <w:sz w:val="19"/>
          <w:szCs w:val="19"/>
        </w:rPr>
      </w:pPr>
      <w:r>
        <w:rPr>
          <w:noProof/>
        </w:rPr>
        <mc:AlternateContent>
          <mc:Choice Requires="wpg">
            <w:drawing>
              <wp:anchor distT="0" distB="0" distL="114300" distR="114300" simplePos="0" relativeHeight="251611648" behindDoc="0" locked="0" layoutInCell="0" allowOverlap="1">
                <wp:simplePos x="0" y="0"/>
                <wp:positionH relativeFrom="page">
                  <wp:posOffset>572135</wp:posOffset>
                </wp:positionH>
                <wp:positionV relativeFrom="paragraph">
                  <wp:posOffset>48260</wp:posOffset>
                </wp:positionV>
                <wp:extent cx="6410960" cy="38100"/>
                <wp:effectExtent l="0" t="0" r="0" b="0"/>
                <wp:wrapNone/>
                <wp:docPr id="659" name="Group 3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0960" cy="38100"/>
                          <a:chOff x="901" y="76"/>
                          <a:chExt cx="10096" cy="60"/>
                        </a:xfrm>
                      </wpg:grpSpPr>
                      <wps:wsp>
                        <wps:cNvPr id="660" name="Freeform 364"/>
                        <wps:cNvSpPr>
                          <a:spLocks/>
                        </wps:cNvSpPr>
                        <wps:spPr bwMode="auto">
                          <a:xfrm>
                            <a:off x="917" y="84"/>
                            <a:ext cx="10065" cy="20"/>
                          </a:xfrm>
                          <a:custGeom>
                            <a:avLst/>
                            <a:gdLst>
                              <a:gd name="T0" fmla="*/ 0 w 10065"/>
                              <a:gd name="T1" fmla="*/ 0 h 20"/>
                              <a:gd name="T2" fmla="*/ 10065 w 10065"/>
                              <a:gd name="T3" fmla="*/ 0 h 20"/>
                            </a:gdLst>
                            <a:ahLst/>
                            <a:cxnLst>
                              <a:cxn ang="0">
                                <a:pos x="T0" y="T1"/>
                              </a:cxn>
                              <a:cxn ang="0">
                                <a:pos x="T2" y="T3"/>
                              </a:cxn>
                            </a:cxnLst>
                            <a:rect l="0" t="0" r="r" b="b"/>
                            <a:pathLst>
                              <a:path w="10065" h="20">
                                <a:moveTo>
                                  <a:pt x="0" y="0"/>
                                </a:moveTo>
                                <a:lnTo>
                                  <a:pt x="10065"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1" name="Freeform 365"/>
                        <wps:cNvSpPr>
                          <a:spLocks/>
                        </wps:cNvSpPr>
                        <wps:spPr bwMode="auto">
                          <a:xfrm>
                            <a:off x="917" y="106"/>
                            <a:ext cx="10065" cy="20"/>
                          </a:xfrm>
                          <a:custGeom>
                            <a:avLst/>
                            <a:gdLst>
                              <a:gd name="T0" fmla="*/ 0 w 10065"/>
                              <a:gd name="T1" fmla="*/ 0 h 20"/>
                              <a:gd name="T2" fmla="*/ 10065 w 10065"/>
                              <a:gd name="T3" fmla="*/ 0 h 20"/>
                            </a:gdLst>
                            <a:ahLst/>
                            <a:cxnLst>
                              <a:cxn ang="0">
                                <a:pos x="T0" y="T1"/>
                              </a:cxn>
                              <a:cxn ang="0">
                                <a:pos x="T2" y="T3"/>
                              </a:cxn>
                            </a:cxnLst>
                            <a:rect l="0" t="0" r="r" b="b"/>
                            <a:pathLst>
                              <a:path w="10065" h="20">
                                <a:moveTo>
                                  <a:pt x="0" y="0"/>
                                </a:moveTo>
                                <a:lnTo>
                                  <a:pt x="10065" y="0"/>
                                </a:lnTo>
                              </a:path>
                            </a:pathLst>
                          </a:custGeom>
                          <a:noFill/>
                          <a:ln w="19558">
                            <a:solidFill>
                              <a:srgbClr val="6060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2" name="Freeform 366"/>
                        <wps:cNvSpPr>
                          <a:spLocks/>
                        </wps:cNvSpPr>
                        <wps:spPr bwMode="auto">
                          <a:xfrm>
                            <a:off x="917" y="127"/>
                            <a:ext cx="10065" cy="20"/>
                          </a:xfrm>
                          <a:custGeom>
                            <a:avLst/>
                            <a:gdLst>
                              <a:gd name="T0" fmla="*/ 0 w 10065"/>
                              <a:gd name="T1" fmla="*/ 0 h 20"/>
                              <a:gd name="T2" fmla="*/ 10065 w 10065"/>
                              <a:gd name="T3" fmla="*/ 0 h 20"/>
                            </a:gdLst>
                            <a:ahLst/>
                            <a:cxnLst>
                              <a:cxn ang="0">
                                <a:pos x="T0" y="T1"/>
                              </a:cxn>
                              <a:cxn ang="0">
                                <a:pos x="T2" y="T3"/>
                              </a:cxn>
                            </a:cxnLst>
                            <a:rect l="0" t="0" r="r" b="b"/>
                            <a:pathLst>
                              <a:path w="10065" h="20">
                                <a:moveTo>
                                  <a:pt x="0" y="0"/>
                                </a:moveTo>
                                <a:lnTo>
                                  <a:pt x="10065" y="0"/>
                                </a:lnTo>
                              </a:path>
                            </a:pathLst>
                          </a:custGeom>
                          <a:noFill/>
                          <a:ln w="10414">
                            <a:solidFill>
                              <a:srgbClr val="C1C1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63" o:spid="_x0000_s1026" style="position:absolute;margin-left:45.05pt;margin-top:3.8pt;width:504.8pt;height:3pt;z-index:251611648;mso-position-horizontal-relative:page" coordorigin="901,76" coordsize="1009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" o:allowincell="f">
                <v:shape id="Freeform 364" o:spid="_x0000_s1027" style="position:absolute;left:917;top:84;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rl2MMA&#10;AADcAAAADwAAAGRycy9kb3ducmV2LnhtbERPz2vCMBS+D/Y/hCd4GTOdhzK6RhHHRHoYVAteH82z&#10;rTYvoYla/evNYbDjx/c7X46mF1cafGdZwccsAUFcW91xo6Da/7x/gvABWWNvmRTcycNy8fqSY6bt&#10;jUu67kIjYgj7DBW0IbhMSl+3ZNDPrCOO3NEOBkOEQyP1gLcYbno5T5JUGuw4NrToaN1Sfd5djILt&#10;76n8PphH5R56fazcW1FsykKp6WRcfYEINIZ/8Z97qxWkaZwfz8Qj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prl2MMAAADcAAAADwAAAAAAAAAAAAAAAACYAgAAZHJzL2Rv&#10;d25yZXYueG1sUEsFBgAAAAAEAAQA9QAAAIgDAAAAAA==&#10;" path="m,l10065,e" filled="f" strokeweight=".82pt">
                  <v:path arrowok="t" o:connecttype="custom" o:connectlocs="0,0;10065,0" o:connectangles="0,0"/>
                </v:shape>
                <v:shape id="Freeform 365" o:spid="_x0000_s1028" style="position:absolute;left:917;top:106;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nQfsQA&#10;AADcAAAADwAAAGRycy9kb3ducmV2LnhtbESPX0vDQBDE3wW/w7GCb/YSkSBpr6UWKuJLMYr4uOQ2&#10;f9rcXrhb2/Tb9wqCj8PM/IZZrCY3qCOF2Hs2kM8yUMS1tz23Br4+tw/PoKIgWxw8k4EzRVgtb28W&#10;WFp/4g86VtKqBOFYooFOZCy1jnVHDuPMj8TJa3xwKEmGVtuApwR3g37MskI77DktdDjSpqP6UP06&#10;Az+4tVXx1GymfZB899J8y+u7M+b+blrPQQlN8h/+a79ZA0WRw/VMOgJ6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50H7EAAAA3AAAAA8AAAAAAAAAAAAAAAAAmAIAAGRycy9k&#10;b3ducmV2LnhtbFBLBQYAAAAABAAEAPUAAACJAwAAAAA=&#10;" path="m,l10065,e" filled="f" strokecolor="#606060" strokeweight="1.54pt">
                  <v:path arrowok="t" o:connecttype="custom" o:connectlocs="0,0;10065,0" o:connectangles="0,0"/>
                </v:shape>
                <v:shape id="Freeform 366" o:spid="_x0000_s1029" style="position:absolute;left:917;top:127;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etqsMA&#10;AADcAAAADwAAAGRycy9kb3ducmV2LnhtbESPQWvCQBSE7wX/w/KE3urGCEuNriIBsdfYguT2yD6T&#10;YPZtyK4a/fVuodDjMDPfMOvtaDtxo8G3jjXMZwkI4sqZlmsNP9/7j08QPiAb7ByThgd52G4mb2vM&#10;jLtzQbdjqEWEsM9QQxNCn0npq4Ys+pnriaN3doPFEOVQSzPgPcJtJ9MkUdJiy3GhwZ7yhqrL8Wo1&#10;lIU6LQ/9kxeLPBSlym1dFqnW79NxtwIRaAz/4b/2l9GgVAq/Z+IRkJ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etqsMAAADcAAAADwAAAAAAAAAAAAAAAACYAgAAZHJzL2Rv&#10;d25yZXYueG1sUEsFBgAAAAAEAAQA9QAAAIgDAAAAAA==&#10;" path="m,l10065,e" filled="f" strokecolor="#c1c1c1" strokeweight=".82pt">
                  <v:path arrowok="t" o:connecttype="custom" o:connectlocs="0,0;10065,0" o:connectangles="0,0"/>
                </v:shape>
                <w10:wrap anchorx="page"/>
              </v:group>
            </w:pict>
          </mc:Fallback>
        </mc:AlternateContent>
      </w:r>
      <w:r w:rsidR="002C5025">
        <w:rPr>
          <w:rFonts w:ascii="Times New Roman" w:hAnsi="Times New Roman" w:cs="Times New Roman"/>
          <w:w w:val="99"/>
          <w:sz w:val="19"/>
          <w:szCs w:val="19"/>
        </w:rPr>
        <w:t>9</w:t>
      </w:r>
    </w:p>
    <w:p w:rsidR="002C5025" w:rsidRDefault="002C5025">
      <w:pPr>
        <w:pStyle w:val="BodyText"/>
        <w:kinsoku w:val="0"/>
        <w:overflowPunct w:val="0"/>
        <w:spacing w:before="109" w:line="244" w:lineRule="auto"/>
        <w:ind w:left="642" w:right="773" w:hanging="348"/>
        <w:rPr>
          <w:rFonts w:ascii="Cambria" w:hAnsi="Cambria" w:cs="Cambria"/>
          <w:i/>
          <w:iCs/>
          <w:w w:val="105"/>
          <w:sz w:val="19"/>
          <w:szCs w:val="19"/>
        </w:rPr>
      </w:pPr>
      <w:r>
        <w:rPr>
          <w:rFonts w:ascii="Cambria" w:hAnsi="Cambria" w:cs="Cambria"/>
          <w:i/>
          <w:iCs/>
          <w:w w:val="105"/>
          <w:sz w:val="19"/>
          <w:szCs w:val="19"/>
        </w:rPr>
        <w:t>Doctors</w:t>
      </w:r>
      <w:r>
        <w:rPr>
          <w:rFonts w:ascii="Cambria" w:hAnsi="Cambria" w:cs="Cambria"/>
          <w:i/>
          <w:iCs/>
          <w:spacing w:val="-10"/>
          <w:w w:val="105"/>
          <w:sz w:val="19"/>
          <w:szCs w:val="19"/>
        </w:rPr>
        <w:t xml:space="preserve"> </w:t>
      </w:r>
      <w:r>
        <w:rPr>
          <w:rFonts w:ascii="Cambria" w:hAnsi="Cambria" w:cs="Cambria"/>
          <w:i/>
          <w:iCs/>
          <w:w w:val="105"/>
          <w:sz w:val="19"/>
          <w:szCs w:val="19"/>
        </w:rPr>
        <w:t>for</w:t>
      </w:r>
      <w:r>
        <w:rPr>
          <w:rFonts w:ascii="Cambria" w:hAnsi="Cambria" w:cs="Cambria"/>
          <w:i/>
          <w:iCs/>
          <w:spacing w:val="-13"/>
          <w:w w:val="105"/>
          <w:sz w:val="19"/>
          <w:szCs w:val="19"/>
        </w:rPr>
        <w:t xml:space="preserve"> </w:t>
      </w:r>
      <w:r>
        <w:rPr>
          <w:rFonts w:ascii="Cambria" w:hAnsi="Cambria" w:cs="Cambria"/>
          <w:i/>
          <w:iCs/>
          <w:w w:val="105"/>
          <w:sz w:val="19"/>
          <w:szCs w:val="19"/>
        </w:rPr>
        <w:t>America</w:t>
      </w:r>
      <w:r>
        <w:rPr>
          <w:rFonts w:ascii="Cambria" w:hAnsi="Cambria" w:cs="Cambria"/>
          <w:i/>
          <w:iCs/>
          <w:spacing w:val="-12"/>
          <w:w w:val="105"/>
          <w:sz w:val="19"/>
          <w:szCs w:val="19"/>
        </w:rPr>
        <w:t xml:space="preserve"> </w:t>
      </w:r>
      <w:r>
        <w:rPr>
          <w:rFonts w:ascii="Cambria" w:hAnsi="Cambria" w:cs="Cambria"/>
          <w:i/>
          <w:iCs/>
          <w:w w:val="105"/>
          <w:sz w:val="19"/>
          <w:szCs w:val="19"/>
        </w:rPr>
        <w:t>is</w:t>
      </w:r>
      <w:r>
        <w:rPr>
          <w:rFonts w:ascii="Cambria" w:hAnsi="Cambria" w:cs="Cambria"/>
          <w:i/>
          <w:iCs/>
          <w:spacing w:val="-13"/>
          <w:w w:val="105"/>
          <w:sz w:val="19"/>
          <w:szCs w:val="19"/>
        </w:rPr>
        <w:t xml:space="preserve"> </w:t>
      </w:r>
      <w:r>
        <w:rPr>
          <w:rFonts w:ascii="Cambria" w:hAnsi="Cambria" w:cs="Cambria"/>
          <w:i/>
          <w:iCs/>
          <w:w w:val="105"/>
          <w:sz w:val="19"/>
          <w:szCs w:val="19"/>
        </w:rPr>
        <w:t>a</w:t>
      </w:r>
      <w:r>
        <w:rPr>
          <w:rFonts w:ascii="Cambria" w:hAnsi="Cambria" w:cs="Cambria"/>
          <w:i/>
          <w:iCs/>
          <w:spacing w:val="-10"/>
          <w:w w:val="105"/>
          <w:sz w:val="19"/>
          <w:szCs w:val="19"/>
        </w:rPr>
        <w:t xml:space="preserve"> </w:t>
      </w:r>
      <w:r>
        <w:rPr>
          <w:rFonts w:ascii="Cambria" w:hAnsi="Cambria" w:cs="Cambria"/>
          <w:i/>
          <w:iCs/>
          <w:w w:val="105"/>
          <w:sz w:val="19"/>
          <w:szCs w:val="19"/>
        </w:rPr>
        <w:t>501(c)(3)</w:t>
      </w:r>
      <w:r>
        <w:rPr>
          <w:rFonts w:ascii="Cambria" w:hAnsi="Cambria" w:cs="Cambria"/>
          <w:i/>
          <w:iCs/>
          <w:spacing w:val="-13"/>
          <w:w w:val="105"/>
          <w:sz w:val="19"/>
          <w:szCs w:val="19"/>
        </w:rPr>
        <w:t xml:space="preserve"> </w:t>
      </w:r>
      <w:r>
        <w:rPr>
          <w:rFonts w:ascii="Cambria" w:hAnsi="Cambria" w:cs="Cambria"/>
          <w:i/>
          <w:iCs/>
          <w:w w:val="105"/>
          <w:sz w:val="19"/>
          <w:szCs w:val="19"/>
        </w:rPr>
        <w:t>national</w:t>
      </w:r>
      <w:r>
        <w:rPr>
          <w:rFonts w:ascii="Cambria" w:hAnsi="Cambria" w:cs="Cambria"/>
          <w:i/>
          <w:iCs/>
          <w:spacing w:val="-11"/>
          <w:w w:val="105"/>
          <w:sz w:val="19"/>
          <w:szCs w:val="19"/>
        </w:rPr>
        <w:t xml:space="preserve"> </w:t>
      </w:r>
      <w:r>
        <w:rPr>
          <w:rFonts w:ascii="Cambria" w:hAnsi="Cambria" w:cs="Cambria"/>
          <w:i/>
          <w:iCs/>
          <w:w w:val="105"/>
          <w:sz w:val="19"/>
          <w:szCs w:val="19"/>
        </w:rPr>
        <w:t>movement</w:t>
      </w:r>
      <w:r>
        <w:rPr>
          <w:rFonts w:ascii="Cambria" w:hAnsi="Cambria" w:cs="Cambria"/>
          <w:i/>
          <w:iCs/>
          <w:spacing w:val="-10"/>
          <w:w w:val="105"/>
          <w:sz w:val="19"/>
          <w:szCs w:val="19"/>
        </w:rPr>
        <w:t xml:space="preserve"> </w:t>
      </w:r>
      <w:r>
        <w:rPr>
          <w:rFonts w:ascii="Cambria" w:hAnsi="Cambria" w:cs="Cambria"/>
          <w:i/>
          <w:iCs/>
          <w:w w:val="105"/>
          <w:sz w:val="19"/>
          <w:szCs w:val="19"/>
        </w:rPr>
        <w:t>that</w:t>
      </w:r>
      <w:r>
        <w:rPr>
          <w:rFonts w:ascii="Cambria" w:hAnsi="Cambria" w:cs="Cambria"/>
          <w:i/>
          <w:iCs/>
          <w:spacing w:val="-13"/>
          <w:w w:val="105"/>
          <w:sz w:val="19"/>
          <w:szCs w:val="19"/>
        </w:rPr>
        <w:t xml:space="preserve"> </w:t>
      </w:r>
      <w:r>
        <w:rPr>
          <w:rFonts w:ascii="Cambria" w:hAnsi="Cambria" w:cs="Cambria"/>
          <w:i/>
          <w:iCs/>
          <w:w w:val="105"/>
          <w:sz w:val="19"/>
          <w:szCs w:val="19"/>
        </w:rPr>
        <w:t>mobilizes</w:t>
      </w:r>
      <w:r>
        <w:rPr>
          <w:rFonts w:ascii="Cambria" w:hAnsi="Cambria" w:cs="Cambria"/>
          <w:i/>
          <w:iCs/>
          <w:spacing w:val="-10"/>
          <w:w w:val="105"/>
          <w:sz w:val="19"/>
          <w:szCs w:val="19"/>
        </w:rPr>
        <w:t xml:space="preserve"> </w:t>
      </w:r>
      <w:r>
        <w:rPr>
          <w:rFonts w:ascii="Cambria" w:hAnsi="Cambria" w:cs="Cambria"/>
          <w:i/>
          <w:iCs/>
          <w:w w:val="105"/>
          <w:sz w:val="19"/>
          <w:szCs w:val="19"/>
        </w:rPr>
        <w:t>physicians</w:t>
      </w:r>
      <w:r>
        <w:rPr>
          <w:rFonts w:ascii="Cambria" w:hAnsi="Cambria" w:cs="Cambria"/>
          <w:i/>
          <w:iCs/>
          <w:spacing w:val="-13"/>
          <w:w w:val="105"/>
          <w:sz w:val="19"/>
          <w:szCs w:val="19"/>
        </w:rPr>
        <w:t xml:space="preserve"> </w:t>
      </w:r>
      <w:r>
        <w:rPr>
          <w:rFonts w:ascii="Cambria" w:hAnsi="Cambria" w:cs="Cambria"/>
          <w:i/>
          <w:iCs/>
          <w:w w:val="105"/>
          <w:sz w:val="19"/>
          <w:szCs w:val="19"/>
        </w:rPr>
        <w:t>and</w:t>
      </w:r>
      <w:r>
        <w:rPr>
          <w:rFonts w:ascii="Cambria" w:hAnsi="Cambria" w:cs="Cambria"/>
          <w:i/>
          <w:iCs/>
          <w:spacing w:val="-12"/>
          <w:w w:val="105"/>
          <w:sz w:val="19"/>
          <w:szCs w:val="19"/>
        </w:rPr>
        <w:t xml:space="preserve"> </w:t>
      </w:r>
      <w:r>
        <w:rPr>
          <w:rFonts w:ascii="Cambria" w:hAnsi="Cambria" w:cs="Cambria"/>
          <w:i/>
          <w:iCs/>
          <w:w w:val="105"/>
          <w:sz w:val="19"/>
          <w:szCs w:val="19"/>
        </w:rPr>
        <w:t>medical</w:t>
      </w:r>
      <w:r>
        <w:rPr>
          <w:rFonts w:ascii="Cambria" w:hAnsi="Cambria" w:cs="Cambria"/>
          <w:i/>
          <w:iCs/>
          <w:spacing w:val="-14"/>
          <w:w w:val="105"/>
          <w:sz w:val="19"/>
          <w:szCs w:val="19"/>
        </w:rPr>
        <w:t xml:space="preserve"> </w:t>
      </w:r>
      <w:r>
        <w:rPr>
          <w:rFonts w:ascii="Cambria" w:hAnsi="Cambria" w:cs="Cambria"/>
          <w:i/>
          <w:iCs/>
          <w:w w:val="105"/>
          <w:sz w:val="19"/>
          <w:szCs w:val="19"/>
        </w:rPr>
        <w:t>students</w:t>
      </w:r>
      <w:r>
        <w:rPr>
          <w:rFonts w:ascii="Cambria" w:hAnsi="Cambria" w:cs="Cambria"/>
          <w:i/>
          <w:iCs/>
          <w:spacing w:val="-13"/>
          <w:w w:val="105"/>
          <w:sz w:val="19"/>
          <w:szCs w:val="19"/>
        </w:rPr>
        <w:t xml:space="preserve"> </w:t>
      </w:r>
      <w:r>
        <w:rPr>
          <w:rFonts w:ascii="Cambria" w:hAnsi="Cambria" w:cs="Cambria"/>
          <w:i/>
          <w:iCs/>
          <w:w w:val="105"/>
          <w:sz w:val="19"/>
          <w:szCs w:val="19"/>
        </w:rPr>
        <w:t>to</w:t>
      </w:r>
      <w:r>
        <w:rPr>
          <w:rFonts w:ascii="Cambria" w:hAnsi="Cambria" w:cs="Cambria"/>
          <w:i/>
          <w:iCs/>
          <w:spacing w:val="-14"/>
          <w:w w:val="105"/>
          <w:sz w:val="19"/>
          <w:szCs w:val="19"/>
        </w:rPr>
        <w:t xml:space="preserve"> </w:t>
      </w:r>
      <w:r>
        <w:rPr>
          <w:rFonts w:ascii="Cambria" w:hAnsi="Cambria" w:cs="Cambria"/>
          <w:i/>
          <w:iCs/>
          <w:w w:val="105"/>
          <w:sz w:val="19"/>
          <w:szCs w:val="19"/>
        </w:rPr>
        <w:t>put</w:t>
      </w:r>
      <w:r>
        <w:rPr>
          <w:rFonts w:ascii="Cambria" w:hAnsi="Cambria" w:cs="Cambria"/>
          <w:i/>
          <w:iCs/>
          <w:spacing w:val="-13"/>
          <w:w w:val="105"/>
          <w:sz w:val="19"/>
          <w:szCs w:val="19"/>
        </w:rPr>
        <w:t xml:space="preserve"> </w:t>
      </w:r>
      <w:r>
        <w:rPr>
          <w:rFonts w:ascii="Cambria" w:hAnsi="Cambria" w:cs="Cambria"/>
          <w:i/>
          <w:iCs/>
          <w:w w:val="105"/>
          <w:sz w:val="19"/>
          <w:szCs w:val="19"/>
        </w:rPr>
        <w:t>patients over</w:t>
      </w:r>
      <w:r>
        <w:rPr>
          <w:rFonts w:ascii="Cambria" w:hAnsi="Cambria" w:cs="Cambria"/>
          <w:i/>
          <w:iCs/>
          <w:spacing w:val="-10"/>
          <w:w w:val="105"/>
          <w:sz w:val="19"/>
          <w:szCs w:val="19"/>
        </w:rPr>
        <w:t xml:space="preserve"> </w:t>
      </w:r>
      <w:r>
        <w:rPr>
          <w:rFonts w:ascii="Cambria" w:hAnsi="Cambria" w:cs="Cambria"/>
          <w:i/>
          <w:iCs/>
          <w:w w:val="105"/>
          <w:sz w:val="19"/>
          <w:szCs w:val="19"/>
        </w:rPr>
        <w:t>politics</w:t>
      </w:r>
      <w:r>
        <w:rPr>
          <w:rFonts w:ascii="Cambria" w:hAnsi="Cambria" w:cs="Cambria"/>
          <w:i/>
          <w:iCs/>
          <w:spacing w:val="-9"/>
          <w:w w:val="105"/>
          <w:sz w:val="19"/>
          <w:szCs w:val="19"/>
        </w:rPr>
        <w:t xml:space="preserve"> </w:t>
      </w:r>
      <w:r>
        <w:rPr>
          <w:rFonts w:ascii="Cambria" w:hAnsi="Cambria" w:cs="Cambria"/>
          <w:i/>
          <w:iCs/>
          <w:w w:val="105"/>
          <w:sz w:val="19"/>
          <w:szCs w:val="19"/>
        </w:rPr>
        <w:t>on</w:t>
      </w:r>
      <w:r>
        <w:rPr>
          <w:rFonts w:ascii="Cambria" w:hAnsi="Cambria" w:cs="Cambria"/>
          <w:i/>
          <w:iCs/>
          <w:spacing w:val="-11"/>
          <w:w w:val="105"/>
          <w:sz w:val="19"/>
          <w:szCs w:val="19"/>
        </w:rPr>
        <w:t xml:space="preserve"> </w:t>
      </w:r>
      <w:r>
        <w:rPr>
          <w:rFonts w:ascii="Cambria" w:hAnsi="Cambria" w:cs="Cambria"/>
          <w:i/>
          <w:iCs/>
          <w:w w:val="105"/>
          <w:sz w:val="19"/>
          <w:szCs w:val="19"/>
        </w:rPr>
        <w:t>the</w:t>
      </w:r>
      <w:r>
        <w:rPr>
          <w:rFonts w:ascii="Cambria" w:hAnsi="Cambria" w:cs="Cambria"/>
          <w:i/>
          <w:iCs/>
          <w:spacing w:val="-10"/>
          <w:w w:val="105"/>
          <w:sz w:val="19"/>
          <w:szCs w:val="19"/>
        </w:rPr>
        <w:t xml:space="preserve"> </w:t>
      </w:r>
      <w:r>
        <w:rPr>
          <w:rFonts w:ascii="Cambria" w:hAnsi="Cambria" w:cs="Cambria"/>
          <w:i/>
          <w:iCs/>
          <w:w w:val="105"/>
          <w:sz w:val="19"/>
          <w:szCs w:val="19"/>
        </w:rPr>
        <w:t>pressing</w:t>
      </w:r>
      <w:r>
        <w:rPr>
          <w:rFonts w:ascii="Cambria" w:hAnsi="Cambria" w:cs="Cambria"/>
          <w:i/>
          <w:iCs/>
          <w:spacing w:val="-9"/>
          <w:w w:val="105"/>
          <w:sz w:val="19"/>
          <w:szCs w:val="19"/>
        </w:rPr>
        <w:t xml:space="preserve"> </w:t>
      </w:r>
      <w:r>
        <w:rPr>
          <w:rFonts w:ascii="Cambria" w:hAnsi="Cambria" w:cs="Cambria"/>
          <w:i/>
          <w:iCs/>
          <w:w w:val="105"/>
          <w:sz w:val="19"/>
          <w:szCs w:val="19"/>
        </w:rPr>
        <w:t>issues</w:t>
      </w:r>
      <w:r>
        <w:rPr>
          <w:rFonts w:ascii="Cambria" w:hAnsi="Cambria" w:cs="Cambria"/>
          <w:i/>
          <w:iCs/>
          <w:spacing w:val="-9"/>
          <w:w w:val="105"/>
          <w:sz w:val="19"/>
          <w:szCs w:val="19"/>
        </w:rPr>
        <w:t xml:space="preserve"> </w:t>
      </w:r>
      <w:r>
        <w:rPr>
          <w:rFonts w:ascii="Cambria" w:hAnsi="Cambria" w:cs="Cambria"/>
          <w:i/>
          <w:iCs/>
          <w:w w:val="105"/>
          <w:sz w:val="19"/>
          <w:szCs w:val="19"/>
        </w:rPr>
        <w:t>of</w:t>
      </w:r>
      <w:r>
        <w:rPr>
          <w:rFonts w:ascii="Cambria" w:hAnsi="Cambria" w:cs="Cambria"/>
          <w:i/>
          <w:iCs/>
          <w:spacing w:val="-11"/>
          <w:w w:val="105"/>
          <w:sz w:val="19"/>
          <w:szCs w:val="19"/>
        </w:rPr>
        <w:t xml:space="preserve"> </w:t>
      </w:r>
      <w:r>
        <w:rPr>
          <w:rFonts w:ascii="Cambria" w:hAnsi="Cambria" w:cs="Cambria"/>
          <w:i/>
          <w:iCs/>
          <w:w w:val="105"/>
          <w:sz w:val="19"/>
          <w:szCs w:val="19"/>
        </w:rPr>
        <w:t>the</w:t>
      </w:r>
      <w:r>
        <w:rPr>
          <w:rFonts w:ascii="Cambria" w:hAnsi="Cambria" w:cs="Cambria"/>
          <w:i/>
          <w:iCs/>
          <w:spacing w:val="-10"/>
          <w:w w:val="105"/>
          <w:sz w:val="19"/>
          <w:szCs w:val="19"/>
        </w:rPr>
        <w:t xml:space="preserve"> </w:t>
      </w:r>
      <w:r>
        <w:rPr>
          <w:rFonts w:ascii="Cambria" w:hAnsi="Cambria" w:cs="Cambria"/>
          <w:i/>
          <w:iCs/>
          <w:w w:val="105"/>
          <w:sz w:val="19"/>
          <w:szCs w:val="19"/>
        </w:rPr>
        <w:t>day</w:t>
      </w:r>
      <w:r>
        <w:rPr>
          <w:rFonts w:ascii="Cambria" w:hAnsi="Cambria" w:cs="Cambria"/>
          <w:i/>
          <w:iCs/>
          <w:spacing w:val="-10"/>
          <w:w w:val="105"/>
          <w:sz w:val="19"/>
          <w:szCs w:val="19"/>
        </w:rPr>
        <w:t xml:space="preserve"> </w:t>
      </w:r>
      <w:r>
        <w:rPr>
          <w:rFonts w:ascii="Cambria" w:hAnsi="Cambria" w:cs="Cambria"/>
          <w:i/>
          <w:iCs/>
          <w:w w:val="105"/>
          <w:sz w:val="19"/>
          <w:szCs w:val="19"/>
        </w:rPr>
        <w:t>to</w:t>
      </w:r>
      <w:r>
        <w:rPr>
          <w:rFonts w:ascii="Cambria" w:hAnsi="Cambria" w:cs="Cambria"/>
          <w:i/>
          <w:iCs/>
          <w:spacing w:val="-10"/>
          <w:w w:val="105"/>
          <w:sz w:val="19"/>
          <w:szCs w:val="19"/>
        </w:rPr>
        <w:t xml:space="preserve"> </w:t>
      </w:r>
      <w:r>
        <w:rPr>
          <w:rFonts w:ascii="Cambria" w:hAnsi="Cambria" w:cs="Cambria"/>
          <w:i/>
          <w:iCs/>
          <w:w w:val="105"/>
          <w:sz w:val="19"/>
          <w:szCs w:val="19"/>
        </w:rPr>
        <w:t>improve</w:t>
      </w:r>
      <w:r>
        <w:rPr>
          <w:rFonts w:ascii="Cambria" w:hAnsi="Cambria" w:cs="Cambria"/>
          <w:i/>
          <w:iCs/>
          <w:spacing w:val="-10"/>
          <w:w w:val="105"/>
          <w:sz w:val="19"/>
          <w:szCs w:val="19"/>
        </w:rPr>
        <w:t xml:space="preserve"> </w:t>
      </w:r>
      <w:r>
        <w:rPr>
          <w:rFonts w:ascii="Cambria" w:hAnsi="Cambria" w:cs="Cambria"/>
          <w:i/>
          <w:iCs/>
          <w:w w:val="105"/>
          <w:sz w:val="19"/>
          <w:szCs w:val="19"/>
        </w:rPr>
        <w:t>the</w:t>
      </w:r>
      <w:r>
        <w:rPr>
          <w:rFonts w:ascii="Cambria" w:hAnsi="Cambria" w:cs="Cambria"/>
          <w:i/>
          <w:iCs/>
          <w:spacing w:val="-10"/>
          <w:w w:val="105"/>
          <w:sz w:val="19"/>
          <w:szCs w:val="19"/>
        </w:rPr>
        <w:t xml:space="preserve"> </w:t>
      </w:r>
      <w:r>
        <w:rPr>
          <w:rFonts w:ascii="Cambria" w:hAnsi="Cambria" w:cs="Cambria"/>
          <w:i/>
          <w:iCs/>
          <w:w w:val="105"/>
          <w:sz w:val="19"/>
          <w:szCs w:val="19"/>
        </w:rPr>
        <w:t>health</w:t>
      </w:r>
      <w:r>
        <w:rPr>
          <w:rFonts w:ascii="Cambria" w:hAnsi="Cambria" w:cs="Cambria"/>
          <w:i/>
          <w:iCs/>
          <w:spacing w:val="-10"/>
          <w:w w:val="105"/>
          <w:sz w:val="19"/>
          <w:szCs w:val="19"/>
        </w:rPr>
        <w:t xml:space="preserve"> </w:t>
      </w:r>
      <w:r>
        <w:rPr>
          <w:rFonts w:ascii="Cambria" w:hAnsi="Cambria" w:cs="Cambria"/>
          <w:i/>
          <w:iCs/>
          <w:w w:val="105"/>
          <w:sz w:val="19"/>
          <w:szCs w:val="19"/>
        </w:rPr>
        <w:t>of</w:t>
      </w:r>
      <w:r>
        <w:rPr>
          <w:rFonts w:ascii="Cambria" w:hAnsi="Cambria" w:cs="Cambria"/>
          <w:i/>
          <w:iCs/>
          <w:spacing w:val="-11"/>
          <w:w w:val="105"/>
          <w:sz w:val="19"/>
          <w:szCs w:val="19"/>
        </w:rPr>
        <w:t xml:space="preserve"> </w:t>
      </w:r>
      <w:r>
        <w:rPr>
          <w:rFonts w:ascii="Cambria" w:hAnsi="Cambria" w:cs="Cambria"/>
          <w:i/>
          <w:iCs/>
          <w:w w:val="105"/>
          <w:sz w:val="19"/>
          <w:szCs w:val="19"/>
        </w:rPr>
        <w:t>our</w:t>
      </w:r>
      <w:r>
        <w:rPr>
          <w:rFonts w:ascii="Cambria" w:hAnsi="Cambria" w:cs="Cambria"/>
          <w:i/>
          <w:iCs/>
          <w:spacing w:val="-10"/>
          <w:w w:val="105"/>
          <w:sz w:val="19"/>
          <w:szCs w:val="19"/>
        </w:rPr>
        <w:t xml:space="preserve"> </w:t>
      </w:r>
      <w:r>
        <w:rPr>
          <w:rFonts w:ascii="Cambria" w:hAnsi="Cambria" w:cs="Cambria"/>
          <w:i/>
          <w:iCs/>
          <w:w w:val="105"/>
          <w:sz w:val="19"/>
          <w:szCs w:val="19"/>
        </w:rPr>
        <w:t>patients,</w:t>
      </w:r>
      <w:r>
        <w:rPr>
          <w:rFonts w:ascii="Cambria" w:hAnsi="Cambria" w:cs="Cambria"/>
          <w:i/>
          <w:iCs/>
          <w:spacing w:val="-12"/>
          <w:w w:val="105"/>
          <w:sz w:val="19"/>
          <w:szCs w:val="19"/>
        </w:rPr>
        <w:t xml:space="preserve"> </w:t>
      </w:r>
      <w:r>
        <w:rPr>
          <w:rFonts w:ascii="Cambria" w:hAnsi="Cambria" w:cs="Cambria"/>
          <w:i/>
          <w:iCs/>
          <w:w w:val="105"/>
          <w:sz w:val="19"/>
          <w:szCs w:val="19"/>
        </w:rPr>
        <w:t>communities,</w:t>
      </w:r>
      <w:r>
        <w:rPr>
          <w:rFonts w:ascii="Cambria" w:hAnsi="Cambria" w:cs="Cambria"/>
          <w:i/>
          <w:iCs/>
          <w:spacing w:val="-9"/>
          <w:w w:val="105"/>
          <w:sz w:val="19"/>
          <w:szCs w:val="19"/>
        </w:rPr>
        <w:t xml:space="preserve"> </w:t>
      </w:r>
      <w:r>
        <w:rPr>
          <w:rFonts w:ascii="Cambria" w:hAnsi="Cambria" w:cs="Cambria"/>
          <w:i/>
          <w:iCs/>
          <w:w w:val="105"/>
          <w:sz w:val="19"/>
          <w:szCs w:val="19"/>
        </w:rPr>
        <w:t>and</w:t>
      </w:r>
      <w:r>
        <w:rPr>
          <w:rFonts w:ascii="Cambria" w:hAnsi="Cambria" w:cs="Cambria"/>
          <w:i/>
          <w:iCs/>
          <w:spacing w:val="-11"/>
          <w:w w:val="105"/>
          <w:sz w:val="19"/>
          <w:szCs w:val="19"/>
        </w:rPr>
        <w:t xml:space="preserve"> </w:t>
      </w:r>
      <w:r>
        <w:rPr>
          <w:rFonts w:ascii="Cambria" w:hAnsi="Cambria" w:cs="Cambria"/>
          <w:i/>
          <w:iCs/>
          <w:w w:val="105"/>
          <w:sz w:val="19"/>
          <w:szCs w:val="19"/>
        </w:rPr>
        <w:t>nation..</w:t>
      </w:r>
    </w:p>
    <w:p w:rsidR="002C5025" w:rsidRDefault="002C5025">
      <w:pPr>
        <w:pStyle w:val="BodyText"/>
        <w:kinsoku w:val="0"/>
        <w:overflowPunct w:val="0"/>
        <w:spacing w:before="109" w:line="244" w:lineRule="auto"/>
        <w:ind w:left="642" w:right="773" w:hanging="348"/>
        <w:rPr>
          <w:rFonts w:ascii="Cambria" w:hAnsi="Cambria" w:cs="Cambria"/>
          <w:i/>
          <w:iCs/>
          <w:w w:val="105"/>
          <w:sz w:val="19"/>
          <w:szCs w:val="19"/>
        </w:rPr>
        <w:sectPr w:rsidR="002C5025">
          <w:pgSz w:w="12240" w:h="15840"/>
          <w:pgMar w:top="900" w:right="820" w:bottom="280" w:left="800" w:header="720" w:footer="720" w:gutter="0"/>
          <w:pgBorders w:offsetFrom="page">
            <w:top w:val="single" w:sz="24" w:space="24" w:color="213957"/>
            <w:left w:val="single" w:sz="24" w:space="24" w:color="213957"/>
            <w:bottom w:val="single" w:sz="24" w:space="24" w:color="213957"/>
            <w:right w:val="single" w:sz="24" w:space="24" w:color="213957"/>
          </w:pgBorders>
          <w:cols w:space="720"/>
          <w:noEndnote/>
        </w:sectPr>
      </w:pPr>
    </w:p>
    <w:p w:rsidR="002C5025" w:rsidRDefault="002C5025">
      <w:pPr>
        <w:pStyle w:val="BodyText"/>
        <w:kinsoku w:val="0"/>
        <w:overflowPunct w:val="0"/>
        <w:spacing w:before="52" w:line="273" w:lineRule="auto"/>
        <w:ind w:left="143" w:right="833"/>
        <w:rPr>
          <w:rFonts w:ascii="Times New Roman" w:hAnsi="Times New Roman" w:cs="Times New Roman"/>
          <w:sz w:val="24"/>
          <w:szCs w:val="24"/>
        </w:rPr>
      </w:pPr>
      <w:r>
        <w:rPr>
          <w:rFonts w:ascii="Times New Roman" w:hAnsi="Times New Roman" w:cs="Times New Roman"/>
          <w:sz w:val="24"/>
          <w:szCs w:val="24"/>
        </w:rPr>
        <w:lastRenderedPageBreak/>
        <w:t>continuing near-universal healthcare coverage in Massachusetts while reducing costs and improving outcomes, careful monitoring of unintended consequences of cost-sharing is needed.</w:t>
      </w:r>
    </w:p>
    <w:p w:rsidR="002C5025" w:rsidRDefault="002C5025">
      <w:pPr>
        <w:pStyle w:val="BodyText"/>
        <w:kinsoku w:val="0"/>
        <w:overflowPunct w:val="0"/>
        <w:spacing w:before="9"/>
        <w:rPr>
          <w:rFonts w:ascii="Times New Roman" w:hAnsi="Times New Roman" w:cs="Times New Roman"/>
          <w:sz w:val="27"/>
          <w:szCs w:val="27"/>
        </w:rPr>
      </w:pPr>
    </w:p>
    <w:p w:rsidR="002C5025" w:rsidRDefault="002C5025">
      <w:pPr>
        <w:pStyle w:val="BodyText"/>
        <w:kinsoku w:val="0"/>
        <w:overflowPunct w:val="0"/>
        <w:spacing w:before="1" w:line="278" w:lineRule="auto"/>
        <w:ind w:left="143" w:right="508"/>
        <w:jc w:val="both"/>
        <w:rPr>
          <w:rFonts w:ascii="Times New Roman" w:hAnsi="Times New Roman" w:cs="Times New Roman"/>
          <w:sz w:val="24"/>
          <w:szCs w:val="24"/>
        </w:rPr>
      </w:pPr>
      <w:r>
        <w:rPr>
          <w:rFonts w:ascii="Times New Roman" w:hAnsi="Times New Roman" w:cs="Times New Roman"/>
          <w:sz w:val="24"/>
          <w:szCs w:val="24"/>
        </w:rPr>
        <w:t>Further, the introduction of copays also puts the onus on providers to collect new fees. This creates new administrative burden for providers and can promote adversarial, non-cooperative interactions between patients and providers at the time of care delivery.</w:t>
      </w:r>
    </w:p>
    <w:p w:rsidR="002C5025" w:rsidRDefault="002C5025">
      <w:pPr>
        <w:pStyle w:val="BodyText"/>
        <w:kinsoku w:val="0"/>
        <w:overflowPunct w:val="0"/>
        <w:spacing w:before="4"/>
        <w:rPr>
          <w:rFonts w:ascii="Times New Roman" w:hAnsi="Times New Roman" w:cs="Times New Roman"/>
          <w:sz w:val="27"/>
          <w:szCs w:val="27"/>
        </w:rPr>
      </w:pPr>
    </w:p>
    <w:p w:rsidR="002C5025" w:rsidRDefault="002C5025">
      <w:pPr>
        <w:pStyle w:val="BodyText"/>
        <w:kinsoku w:val="0"/>
        <w:overflowPunct w:val="0"/>
        <w:spacing w:line="276" w:lineRule="auto"/>
        <w:ind w:left="143" w:right="293"/>
        <w:rPr>
          <w:rFonts w:ascii="Times New Roman" w:hAnsi="Times New Roman" w:cs="Times New Roman"/>
          <w:sz w:val="24"/>
          <w:szCs w:val="24"/>
        </w:rPr>
      </w:pPr>
      <w:r>
        <w:rPr>
          <w:rFonts w:ascii="Times New Roman" w:hAnsi="Times New Roman" w:cs="Times New Roman"/>
          <w:sz w:val="24"/>
          <w:szCs w:val="24"/>
        </w:rPr>
        <w:t>Therefore, consideration should be given to non-monetary ways to redirect consumer behavior. Given the role of poor health literacy as a barrier to appropriate care seeking behaviors, there must be appropriate educational materials to support patients in their care seeking decisions. A better and more proven mechanism to improve value-based health care decisions by consumers/patients is to support better health literacy and patient engagement.</w:t>
      </w:r>
    </w:p>
    <w:p w:rsidR="002C5025" w:rsidRDefault="002C5025">
      <w:pPr>
        <w:pStyle w:val="BodyText"/>
        <w:kinsoku w:val="0"/>
        <w:overflowPunct w:val="0"/>
        <w:rPr>
          <w:rFonts w:ascii="Times New Roman" w:hAnsi="Times New Roman" w:cs="Times New Roman"/>
          <w:sz w:val="28"/>
          <w:szCs w:val="28"/>
        </w:rPr>
      </w:pPr>
    </w:p>
    <w:p w:rsidR="002C5025" w:rsidRDefault="002C5025">
      <w:pPr>
        <w:pStyle w:val="BodyText"/>
        <w:kinsoku w:val="0"/>
        <w:overflowPunct w:val="0"/>
        <w:spacing w:line="276" w:lineRule="auto"/>
        <w:ind w:left="143" w:right="183"/>
        <w:rPr>
          <w:rFonts w:ascii="Times New Roman" w:hAnsi="Times New Roman" w:cs="Times New Roman"/>
          <w:sz w:val="24"/>
          <w:szCs w:val="24"/>
        </w:rPr>
      </w:pPr>
      <w:r>
        <w:rPr>
          <w:rFonts w:ascii="Times New Roman" w:hAnsi="Times New Roman" w:cs="Times New Roman"/>
          <w:sz w:val="24"/>
          <w:szCs w:val="24"/>
        </w:rPr>
        <w:t>We support the redesign of the MassHealth website to ensure greater usability. We encourage testing of new design elements of the website through focus groups or ways to ensure the website design remains consumer-friendly and has high usability. In addition to written content, use of videos may promote better understanding. An example would be an “MassHealth ambassador” showing how to navigate various aspects of the system. Generally, the information that matters most to consumers should be easily available in a way that is intuitive and easy to access.</w:t>
      </w:r>
    </w:p>
    <w:p w:rsidR="002C5025" w:rsidRDefault="002C5025">
      <w:pPr>
        <w:pStyle w:val="BodyText"/>
        <w:kinsoku w:val="0"/>
        <w:overflowPunct w:val="0"/>
        <w:spacing w:before="3"/>
        <w:rPr>
          <w:rFonts w:ascii="Times New Roman" w:hAnsi="Times New Roman" w:cs="Times New Roman"/>
          <w:sz w:val="28"/>
          <w:szCs w:val="28"/>
        </w:rPr>
      </w:pPr>
    </w:p>
    <w:p w:rsidR="002C5025" w:rsidRDefault="002C5025">
      <w:pPr>
        <w:pStyle w:val="BodyText"/>
        <w:kinsoku w:val="0"/>
        <w:overflowPunct w:val="0"/>
        <w:ind w:left="143" w:right="126"/>
        <w:rPr>
          <w:rFonts w:ascii="Times New Roman" w:hAnsi="Times New Roman" w:cs="Times New Roman"/>
          <w:b/>
          <w:bCs/>
          <w:sz w:val="24"/>
          <w:szCs w:val="24"/>
        </w:rPr>
      </w:pPr>
      <w:bookmarkStart w:id="130" w:name="Appeals_and_Grievance"/>
      <w:bookmarkEnd w:id="130"/>
      <w:r>
        <w:rPr>
          <w:rFonts w:ascii="Times New Roman" w:hAnsi="Times New Roman" w:cs="Times New Roman"/>
          <w:b/>
          <w:bCs/>
          <w:sz w:val="24"/>
          <w:szCs w:val="24"/>
        </w:rPr>
        <w:t>Appeals and Grievance</w:t>
      </w:r>
    </w:p>
    <w:p w:rsidR="002C5025" w:rsidRDefault="002C5025">
      <w:pPr>
        <w:pStyle w:val="BodyText"/>
        <w:kinsoku w:val="0"/>
        <w:overflowPunct w:val="0"/>
        <w:spacing w:before="1"/>
        <w:rPr>
          <w:rFonts w:ascii="Times New Roman" w:hAnsi="Times New Roman" w:cs="Times New Roman"/>
          <w:b/>
          <w:bCs/>
          <w:sz w:val="31"/>
          <w:szCs w:val="31"/>
        </w:rPr>
      </w:pPr>
    </w:p>
    <w:p w:rsidR="002C5025" w:rsidRDefault="002C5025">
      <w:pPr>
        <w:pStyle w:val="BodyText"/>
        <w:kinsoku w:val="0"/>
        <w:overflowPunct w:val="0"/>
        <w:spacing w:line="276" w:lineRule="auto"/>
        <w:ind w:left="143" w:right="79"/>
        <w:rPr>
          <w:rFonts w:ascii="Times New Roman" w:hAnsi="Times New Roman" w:cs="Times New Roman"/>
          <w:sz w:val="24"/>
          <w:szCs w:val="24"/>
        </w:rPr>
      </w:pPr>
      <w:r>
        <w:rPr>
          <w:rFonts w:ascii="Times New Roman" w:hAnsi="Times New Roman" w:cs="Times New Roman"/>
          <w:sz w:val="24"/>
          <w:szCs w:val="24"/>
        </w:rPr>
        <w:t>We support MassHealth’s proposal that members in all ACO models will have access to an ACO- specific grievance process, as well as existing appeals and grievance procedures for eligibility and coverage determinations. We also support the inclusion of an external ombudsman resource to help resolve members’ problems or concerns. We request, however, more details on the ACO-specific grievance process</w:t>
      </w:r>
    </w:p>
    <w:p w:rsidR="002C5025" w:rsidRDefault="002C5025">
      <w:pPr>
        <w:pStyle w:val="BodyText"/>
        <w:kinsoku w:val="0"/>
        <w:overflowPunct w:val="0"/>
        <w:spacing w:before="1" w:line="276" w:lineRule="auto"/>
        <w:ind w:left="143" w:right="519"/>
        <w:rPr>
          <w:rFonts w:ascii="Times New Roman" w:hAnsi="Times New Roman" w:cs="Times New Roman"/>
          <w:sz w:val="24"/>
          <w:szCs w:val="24"/>
        </w:rPr>
      </w:pPr>
      <w:r>
        <w:rPr>
          <w:rFonts w:ascii="Times New Roman" w:hAnsi="Times New Roman" w:cs="Times New Roman"/>
          <w:sz w:val="24"/>
          <w:szCs w:val="24"/>
        </w:rPr>
        <w:t>and the scope of responsibilities of the external ombudsman. We encourage MassHealth to consider the One Care ombudsman, with certain improvements and expanded capacity, as a model.</w:t>
      </w:r>
    </w:p>
    <w:p w:rsidR="002C5025" w:rsidRDefault="002C5025">
      <w:pPr>
        <w:pStyle w:val="BodyText"/>
        <w:kinsoku w:val="0"/>
        <w:overflowPunct w:val="0"/>
        <w:rPr>
          <w:rFonts w:ascii="Times New Roman" w:hAnsi="Times New Roman" w:cs="Times New Roman"/>
          <w:sz w:val="28"/>
          <w:szCs w:val="28"/>
        </w:rPr>
      </w:pPr>
    </w:p>
    <w:p w:rsidR="002C5025" w:rsidRDefault="002C5025">
      <w:pPr>
        <w:pStyle w:val="BodyText"/>
        <w:kinsoku w:val="0"/>
        <w:overflowPunct w:val="0"/>
        <w:spacing w:line="273" w:lineRule="auto"/>
        <w:ind w:left="143" w:right="73"/>
        <w:rPr>
          <w:rFonts w:ascii="Times New Roman" w:hAnsi="Times New Roman" w:cs="Times New Roman"/>
          <w:sz w:val="24"/>
          <w:szCs w:val="24"/>
        </w:rPr>
      </w:pPr>
      <w:r>
        <w:rPr>
          <w:rFonts w:ascii="Times New Roman" w:hAnsi="Times New Roman" w:cs="Times New Roman"/>
          <w:sz w:val="24"/>
          <w:szCs w:val="24"/>
        </w:rPr>
        <w:t>Further, to minimize the occurrence of appeals and grievances, robust member education and outreach materials and strategy are needed. The nature of the multiple ACO models and the variation in structure that will result are likely to be confusing to patients and providers alike. Too often, clinicians and providers</w:t>
      </w:r>
    </w:p>
    <w:p w:rsidR="002C5025" w:rsidRDefault="002C5025">
      <w:pPr>
        <w:pStyle w:val="BodyText"/>
        <w:kinsoku w:val="0"/>
        <w:overflowPunct w:val="0"/>
        <w:spacing w:before="3" w:line="276" w:lineRule="auto"/>
        <w:ind w:left="143" w:right="121"/>
        <w:rPr>
          <w:rFonts w:ascii="Times New Roman" w:hAnsi="Times New Roman" w:cs="Times New Roman"/>
          <w:sz w:val="24"/>
          <w:szCs w:val="24"/>
        </w:rPr>
      </w:pPr>
      <w:r>
        <w:rPr>
          <w:rFonts w:ascii="Times New Roman" w:hAnsi="Times New Roman" w:cs="Times New Roman"/>
          <w:sz w:val="24"/>
          <w:szCs w:val="24"/>
        </w:rPr>
        <w:t>are asked to take time from clinical care to help patients navigate the healthcare system, explain benefits, or process paperwork to advocate on behalf of patients.</w:t>
      </w:r>
    </w:p>
    <w:p w:rsidR="002C5025" w:rsidRDefault="002C5025">
      <w:pPr>
        <w:pStyle w:val="BodyText"/>
        <w:kinsoku w:val="0"/>
        <w:overflowPunct w:val="0"/>
        <w:spacing w:before="9"/>
        <w:rPr>
          <w:rFonts w:ascii="Times New Roman" w:hAnsi="Times New Roman" w:cs="Times New Roman"/>
          <w:sz w:val="21"/>
          <w:szCs w:val="21"/>
        </w:rPr>
      </w:pPr>
    </w:p>
    <w:p w:rsidR="002C5025" w:rsidRDefault="002C5025">
      <w:pPr>
        <w:pStyle w:val="BodyText"/>
        <w:kinsoku w:val="0"/>
        <w:overflowPunct w:val="0"/>
        <w:spacing w:before="69" w:line="276" w:lineRule="auto"/>
        <w:ind w:left="143" w:right="313"/>
        <w:rPr>
          <w:rFonts w:ascii="Times New Roman" w:hAnsi="Times New Roman" w:cs="Times New Roman"/>
          <w:sz w:val="24"/>
          <w:szCs w:val="24"/>
        </w:rPr>
      </w:pPr>
      <w:r>
        <w:rPr>
          <w:rFonts w:ascii="Times New Roman" w:hAnsi="Times New Roman" w:cs="Times New Roman"/>
          <w:sz w:val="24"/>
          <w:szCs w:val="24"/>
        </w:rPr>
        <w:t>We do have concerns over the potential for non-collaborative patient-provider relationships given the understandable concern that patients may have about ACO incentive to reduce low value care and utilization. Unless patients/consumers share in the goals of value-based care and understand the standards used, they may perceive providers as rationing needed care as opposed to advising choices based on data, evidence, and standards. Proactive education on value-based care used by ACOs is required. Further measures of and supports for patient engagement would help incentivize the right patient-provider interactions to improve collaboration and positive interfaces with providers and the overall system.</w:t>
      </w:r>
    </w:p>
    <w:p w:rsidR="002C5025" w:rsidRDefault="00FB027C">
      <w:pPr>
        <w:pStyle w:val="BodyText"/>
        <w:kinsoku w:val="0"/>
        <w:overflowPunct w:val="0"/>
        <w:spacing w:before="19"/>
        <w:ind w:right="102"/>
        <w:jc w:val="right"/>
        <w:rPr>
          <w:rFonts w:ascii="Times New Roman" w:hAnsi="Times New Roman" w:cs="Times New Roman"/>
          <w:sz w:val="19"/>
          <w:szCs w:val="19"/>
        </w:rPr>
      </w:pPr>
      <w:r>
        <w:rPr>
          <w:noProof/>
        </w:rPr>
        <mc:AlternateContent>
          <mc:Choice Requires="wpg">
            <w:drawing>
              <wp:anchor distT="0" distB="0" distL="114300" distR="114300" simplePos="0" relativeHeight="251612672" behindDoc="0" locked="0" layoutInCell="0" allowOverlap="1">
                <wp:simplePos x="0" y="0"/>
                <wp:positionH relativeFrom="page">
                  <wp:posOffset>572135</wp:posOffset>
                </wp:positionH>
                <wp:positionV relativeFrom="paragraph">
                  <wp:posOffset>11430</wp:posOffset>
                </wp:positionV>
                <wp:extent cx="6410960" cy="38100"/>
                <wp:effectExtent l="0" t="0" r="0" b="0"/>
                <wp:wrapNone/>
                <wp:docPr id="655" name="Group 3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0960" cy="38100"/>
                          <a:chOff x="901" y="18"/>
                          <a:chExt cx="10096" cy="60"/>
                        </a:xfrm>
                      </wpg:grpSpPr>
                      <wps:wsp>
                        <wps:cNvPr id="656" name="Freeform 368"/>
                        <wps:cNvSpPr>
                          <a:spLocks/>
                        </wps:cNvSpPr>
                        <wps:spPr bwMode="auto">
                          <a:xfrm>
                            <a:off x="917" y="26"/>
                            <a:ext cx="10065" cy="20"/>
                          </a:xfrm>
                          <a:custGeom>
                            <a:avLst/>
                            <a:gdLst>
                              <a:gd name="T0" fmla="*/ 0 w 10065"/>
                              <a:gd name="T1" fmla="*/ 0 h 20"/>
                              <a:gd name="T2" fmla="*/ 10065 w 10065"/>
                              <a:gd name="T3" fmla="*/ 0 h 20"/>
                            </a:gdLst>
                            <a:ahLst/>
                            <a:cxnLst>
                              <a:cxn ang="0">
                                <a:pos x="T0" y="T1"/>
                              </a:cxn>
                              <a:cxn ang="0">
                                <a:pos x="T2" y="T3"/>
                              </a:cxn>
                            </a:cxnLst>
                            <a:rect l="0" t="0" r="r" b="b"/>
                            <a:pathLst>
                              <a:path w="10065" h="20">
                                <a:moveTo>
                                  <a:pt x="0" y="0"/>
                                </a:moveTo>
                                <a:lnTo>
                                  <a:pt x="10065"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7" name="Freeform 369"/>
                        <wps:cNvSpPr>
                          <a:spLocks/>
                        </wps:cNvSpPr>
                        <wps:spPr bwMode="auto">
                          <a:xfrm>
                            <a:off x="917" y="48"/>
                            <a:ext cx="10065" cy="20"/>
                          </a:xfrm>
                          <a:custGeom>
                            <a:avLst/>
                            <a:gdLst>
                              <a:gd name="T0" fmla="*/ 0 w 10065"/>
                              <a:gd name="T1" fmla="*/ 0 h 20"/>
                              <a:gd name="T2" fmla="*/ 10065 w 10065"/>
                              <a:gd name="T3" fmla="*/ 0 h 20"/>
                            </a:gdLst>
                            <a:ahLst/>
                            <a:cxnLst>
                              <a:cxn ang="0">
                                <a:pos x="T0" y="T1"/>
                              </a:cxn>
                              <a:cxn ang="0">
                                <a:pos x="T2" y="T3"/>
                              </a:cxn>
                            </a:cxnLst>
                            <a:rect l="0" t="0" r="r" b="b"/>
                            <a:pathLst>
                              <a:path w="10065" h="20">
                                <a:moveTo>
                                  <a:pt x="0" y="0"/>
                                </a:moveTo>
                                <a:lnTo>
                                  <a:pt x="10065" y="0"/>
                                </a:lnTo>
                              </a:path>
                            </a:pathLst>
                          </a:custGeom>
                          <a:noFill/>
                          <a:ln w="19558">
                            <a:solidFill>
                              <a:srgbClr val="6060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8" name="Freeform 370"/>
                        <wps:cNvSpPr>
                          <a:spLocks/>
                        </wps:cNvSpPr>
                        <wps:spPr bwMode="auto">
                          <a:xfrm>
                            <a:off x="917" y="69"/>
                            <a:ext cx="10065" cy="20"/>
                          </a:xfrm>
                          <a:custGeom>
                            <a:avLst/>
                            <a:gdLst>
                              <a:gd name="T0" fmla="*/ 0 w 10065"/>
                              <a:gd name="T1" fmla="*/ 0 h 20"/>
                              <a:gd name="T2" fmla="*/ 10065 w 10065"/>
                              <a:gd name="T3" fmla="*/ 0 h 20"/>
                            </a:gdLst>
                            <a:ahLst/>
                            <a:cxnLst>
                              <a:cxn ang="0">
                                <a:pos x="T0" y="T1"/>
                              </a:cxn>
                              <a:cxn ang="0">
                                <a:pos x="T2" y="T3"/>
                              </a:cxn>
                            </a:cxnLst>
                            <a:rect l="0" t="0" r="r" b="b"/>
                            <a:pathLst>
                              <a:path w="10065" h="20">
                                <a:moveTo>
                                  <a:pt x="0" y="0"/>
                                </a:moveTo>
                                <a:lnTo>
                                  <a:pt x="10065" y="0"/>
                                </a:lnTo>
                              </a:path>
                            </a:pathLst>
                          </a:custGeom>
                          <a:noFill/>
                          <a:ln w="10414">
                            <a:solidFill>
                              <a:srgbClr val="C1C1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67" o:spid="_x0000_s1026" style="position:absolute;margin-left:45.05pt;margin-top:.9pt;width:504.8pt;height:3pt;z-index:251612672;mso-position-horizontal-relative:page" coordorigin="901,18" coordsize="1009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" o:allowincell="f">
                <v:shape id="Freeform 368" o:spid="_x0000_s1027" style="position:absolute;left:917;top:26;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MSisYA&#10;AADcAAAADwAAAGRycy9kb3ducmV2LnhtbESPQWvCQBSE7wX/w/KEXkrdWDBI6iqiKJJDITbg9ZF9&#10;Jmmzb5fsqtFf3y0Uehxm5htmsRpMJ67U+9aygukkAUFcWd1yraD83L3OQfiArLGzTAru5GG1HD0t&#10;MNP2xgVdj6EWEcI+QwVNCC6T0lcNGfQT64ijd7a9wRBlX0vd4y3CTSffkiSVBluOCw062jRUfR8v&#10;RsHh46vYnsyjdA+9OZfuJc/3Ra7U83hYv4MINIT/8F/7oBWksxR+z8QjIJ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FMSisYAAADcAAAADwAAAAAAAAAAAAAAAACYAgAAZHJz&#10;L2Rvd25yZXYueG1sUEsFBgAAAAAEAAQA9QAAAIsDAAAAAA==&#10;" path="m,l10065,e" filled="f" strokeweight=".82pt">
                  <v:path arrowok="t" o:connecttype="custom" o:connectlocs="0,0;10065,0" o:connectangles="0,0"/>
                </v:shape>
                <v:shape id="Freeform 369" o:spid="_x0000_s1028" style="position:absolute;left:917;top:48;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AnLMUA&#10;AADcAAAADwAAAGRycy9kb3ducmV2LnhtbESPX0vDQBDE3wW/w7GCb+ZS0bSkvRYtVMQXaZTSxyW3&#10;+aO5vXC3tvHbe4Lg4zAzv2FWm8kN6kQh9p4NzLIcFHHtbc+tgfe33c0CVBRki4NnMvBNETbry4sV&#10;ltafeU+nSlqVIBxLNNCJjKXWse7IYcz8SJy8xgeHkmRotQ14TnA36Ns8L7TDntNChyNtO6o/qy9n&#10;4Ig7WxV3zXb6CDJ7fWwO8vTijLm+mh6WoIQm+Q//tZ+tgeJ+Dr9n0hH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cCcsxQAAANwAAAAPAAAAAAAAAAAAAAAAAJgCAABkcnMv&#10;ZG93bnJldi54bWxQSwUGAAAAAAQABAD1AAAAigMAAAAA&#10;" path="m,l10065,e" filled="f" strokecolor="#606060" strokeweight="1.54pt">
                  <v:path arrowok="t" o:connecttype="custom" o:connectlocs="0,0;10065,0" o:connectangles="0,0"/>
                </v:shape>
                <v:shape id="Freeform 370" o:spid="_x0000_s1029" style="position:absolute;left:917;top:69;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NQ/cAA&#10;AADcAAAADwAAAGRycy9kb3ducmV2LnhtbERPTYvCMBC9C/sfwizsTdNVLFpNy1KQ9VpXkN6GZmyL&#10;zaQ0Uau/3hyEPT7e9zYbTSduNLjWsoLvWQSCuLK65VrB8W83XYFwHlljZ5kUPMhBln5Mtphoe+eC&#10;bgdfixDCLkEFjfd9IqWrGjLoZrYnDtzZDgZ9gEMt9YD3EG46OY+iWBpsOTQ02FPeUHU5XI2CsohP&#10;69/+yYtF7osyzk1dFnOlvj7Hnw0IT6P/F7/de60gXoa14Uw4AjJ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5NQ/cAAAADcAAAADwAAAAAAAAAAAAAAAACYAgAAZHJzL2Rvd25y&#10;ZXYueG1sUEsFBgAAAAAEAAQA9QAAAIUDAAAAAA==&#10;" path="m,l10065,e" filled="f" strokecolor="#c1c1c1" strokeweight=".82pt">
                  <v:path arrowok="t" o:connecttype="custom" o:connectlocs="0,0;10065,0" o:connectangles="0,0"/>
                </v:shape>
                <w10:wrap anchorx="page"/>
              </v:group>
            </w:pict>
          </mc:Fallback>
        </mc:AlternateContent>
      </w:r>
      <w:r w:rsidR="002C5025">
        <w:rPr>
          <w:rFonts w:ascii="Times New Roman" w:hAnsi="Times New Roman" w:cs="Times New Roman"/>
          <w:sz w:val="19"/>
          <w:szCs w:val="19"/>
        </w:rPr>
        <w:t>10</w:t>
      </w:r>
    </w:p>
    <w:p w:rsidR="002C5025" w:rsidRDefault="002C5025">
      <w:pPr>
        <w:pStyle w:val="BodyText"/>
        <w:kinsoku w:val="0"/>
        <w:overflowPunct w:val="0"/>
        <w:spacing w:before="109" w:line="244" w:lineRule="auto"/>
        <w:ind w:left="642" w:right="773" w:hanging="348"/>
        <w:rPr>
          <w:rFonts w:ascii="Cambria" w:hAnsi="Cambria" w:cs="Cambria"/>
          <w:i/>
          <w:iCs/>
          <w:w w:val="105"/>
          <w:sz w:val="19"/>
          <w:szCs w:val="19"/>
        </w:rPr>
      </w:pPr>
      <w:r>
        <w:rPr>
          <w:rFonts w:ascii="Cambria" w:hAnsi="Cambria" w:cs="Cambria"/>
          <w:i/>
          <w:iCs/>
          <w:w w:val="105"/>
          <w:sz w:val="19"/>
          <w:szCs w:val="19"/>
        </w:rPr>
        <w:t>Doctors</w:t>
      </w:r>
      <w:r>
        <w:rPr>
          <w:rFonts w:ascii="Cambria" w:hAnsi="Cambria" w:cs="Cambria"/>
          <w:i/>
          <w:iCs/>
          <w:spacing w:val="-10"/>
          <w:w w:val="105"/>
          <w:sz w:val="19"/>
          <w:szCs w:val="19"/>
        </w:rPr>
        <w:t xml:space="preserve"> </w:t>
      </w:r>
      <w:r>
        <w:rPr>
          <w:rFonts w:ascii="Cambria" w:hAnsi="Cambria" w:cs="Cambria"/>
          <w:i/>
          <w:iCs/>
          <w:w w:val="105"/>
          <w:sz w:val="19"/>
          <w:szCs w:val="19"/>
        </w:rPr>
        <w:t>for</w:t>
      </w:r>
      <w:r>
        <w:rPr>
          <w:rFonts w:ascii="Cambria" w:hAnsi="Cambria" w:cs="Cambria"/>
          <w:i/>
          <w:iCs/>
          <w:spacing w:val="-13"/>
          <w:w w:val="105"/>
          <w:sz w:val="19"/>
          <w:szCs w:val="19"/>
        </w:rPr>
        <w:t xml:space="preserve"> </w:t>
      </w:r>
      <w:r>
        <w:rPr>
          <w:rFonts w:ascii="Cambria" w:hAnsi="Cambria" w:cs="Cambria"/>
          <w:i/>
          <w:iCs/>
          <w:w w:val="105"/>
          <w:sz w:val="19"/>
          <w:szCs w:val="19"/>
        </w:rPr>
        <w:t>America</w:t>
      </w:r>
      <w:r>
        <w:rPr>
          <w:rFonts w:ascii="Cambria" w:hAnsi="Cambria" w:cs="Cambria"/>
          <w:i/>
          <w:iCs/>
          <w:spacing w:val="-12"/>
          <w:w w:val="105"/>
          <w:sz w:val="19"/>
          <w:szCs w:val="19"/>
        </w:rPr>
        <w:t xml:space="preserve"> </w:t>
      </w:r>
      <w:r>
        <w:rPr>
          <w:rFonts w:ascii="Cambria" w:hAnsi="Cambria" w:cs="Cambria"/>
          <w:i/>
          <w:iCs/>
          <w:w w:val="105"/>
          <w:sz w:val="19"/>
          <w:szCs w:val="19"/>
        </w:rPr>
        <w:t>is</w:t>
      </w:r>
      <w:r>
        <w:rPr>
          <w:rFonts w:ascii="Cambria" w:hAnsi="Cambria" w:cs="Cambria"/>
          <w:i/>
          <w:iCs/>
          <w:spacing w:val="-13"/>
          <w:w w:val="105"/>
          <w:sz w:val="19"/>
          <w:szCs w:val="19"/>
        </w:rPr>
        <w:t xml:space="preserve"> </w:t>
      </w:r>
      <w:r>
        <w:rPr>
          <w:rFonts w:ascii="Cambria" w:hAnsi="Cambria" w:cs="Cambria"/>
          <w:i/>
          <w:iCs/>
          <w:w w:val="105"/>
          <w:sz w:val="19"/>
          <w:szCs w:val="19"/>
        </w:rPr>
        <w:t>a</w:t>
      </w:r>
      <w:r>
        <w:rPr>
          <w:rFonts w:ascii="Cambria" w:hAnsi="Cambria" w:cs="Cambria"/>
          <w:i/>
          <w:iCs/>
          <w:spacing w:val="-10"/>
          <w:w w:val="105"/>
          <w:sz w:val="19"/>
          <w:szCs w:val="19"/>
        </w:rPr>
        <w:t xml:space="preserve"> </w:t>
      </w:r>
      <w:r>
        <w:rPr>
          <w:rFonts w:ascii="Cambria" w:hAnsi="Cambria" w:cs="Cambria"/>
          <w:i/>
          <w:iCs/>
          <w:w w:val="105"/>
          <w:sz w:val="19"/>
          <w:szCs w:val="19"/>
        </w:rPr>
        <w:t>501(c)(3)</w:t>
      </w:r>
      <w:r>
        <w:rPr>
          <w:rFonts w:ascii="Cambria" w:hAnsi="Cambria" w:cs="Cambria"/>
          <w:i/>
          <w:iCs/>
          <w:spacing w:val="-13"/>
          <w:w w:val="105"/>
          <w:sz w:val="19"/>
          <w:szCs w:val="19"/>
        </w:rPr>
        <w:t xml:space="preserve"> </w:t>
      </w:r>
      <w:r>
        <w:rPr>
          <w:rFonts w:ascii="Cambria" w:hAnsi="Cambria" w:cs="Cambria"/>
          <w:i/>
          <w:iCs/>
          <w:w w:val="105"/>
          <w:sz w:val="19"/>
          <w:szCs w:val="19"/>
        </w:rPr>
        <w:t>national</w:t>
      </w:r>
      <w:r>
        <w:rPr>
          <w:rFonts w:ascii="Cambria" w:hAnsi="Cambria" w:cs="Cambria"/>
          <w:i/>
          <w:iCs/>
          <w:spacing w:val="-11"/>
          <w:w w:val="105"/>
          <w:sz w:val="19"/>
          <w:szCs w:val="19"/>
        </w:rPr>
        <w:t xml:space="preserve"> </w:t>
      </w:r>
      <w:r>
        <w:rPr>
          <w:rFonts w:ascii="Cambria" w:hAnsi="Cambria" w:cs="Cambria"/>
          <w:i/>
          <w:iCs/>
          <w:w w:val="105"/>
          <w:sz w:val="19"/>
          <w:szCs w:val="19"/>
        </w:rPr>
        <w:t>movement</w:t>
      </w:r>
      <w:r>
        <w:rPr>
          <w:rFonts w:ascii="Cambria" w:hAnsi="Cambria" w:cs="Cambria"/>
          <w:i/>
          <w:iCs/>
          <w:spacing w:val="-10"/>
          <w:w w:val="105"/>
          <w:sz w:val="19"/>
          <w:szCs w:val="19"/>
        </w:rPr>
        <w:t xml:space="preserve"> </w:t>
      </w:r>
      <w:r>
        <w:rPr>
          <w:rFonts w:ascii="Cambria" w:hAnsi="Cambria" w:cs="Cambria"/>
          <w:i/>
          <w:iCs/>
          <w:w w:val="105"/>
          <w:sz w:val="19"/>
          <w:szCs w:val="19"/>
        </w:rPr>
        <w:t>that</w:t>
      </w:r>
      <w:r>
        <w:rPr>
          <w:rFonts w:ascii="Cambria" w:hAnsi="Cambria" w:cs="Cambria"/>
          <w:i/>
          <w:iCs/>
          <w:spacing w:val="-13"/>
          <w:w w:val="105"/>
          <w:sz w:val="19"/>
          <w:szCs w:val="19"/>
        </w:rPr>
        <w:t xml:space="preserve"> </w:t>
      </w:r>
      <w:r>
        <w:rPr>
          <w:rFonts w:ascii="Cambria" w:hAnsi="Cambria" w:cs="Cambria"/>
          <w:i/>
          <w:iCs/>
          <w:w w:val="105"/>
          <w:sz w:val="19"/>
          <w:szCs w:val="19"/>
        </w:rPr>
        <w:t>mobilizes</w:t>
      </w:r>
      <w:r>
        <w:rPr>
          <w:rFonts w:ascii="Cambria" w:hAnsi="Cambria" w:cs="Cambria"/>
          <w:i/>
          <w:iCs/>
          <w:spacing w:val="-10"/>
          <w:w w:val="105"/>
          <w:sz w:val="19"/>
          <w:szCs w:val="19"/>
        </w:rPr>
        <w:t xml:space="preserve"> </w:t>
      </w:r>
      <w:r>
        <w:rPr>
          <w:rFonts w:ascii="Cambria" w:hAnsi="Cambria" w:cs="Cambria"/>
          <w:i/>
          <w:iCs/>
          <w:w w:val="105"/>
          <w:sz w:val="19"/>
          <w:szCs w:val="19"/>
        </w:rPr>
        <w:t>physicians</w:t>
      </w:r>
      <w:r>
        <w:rPr>
          <w:rFonts w:ascii="Cambria" w:hAnsi="Cambria" w:cs="Cambria"/>
          <w:i/>
          <w:iCs/>
          <w:spacing w:val="-13"/>
          <w:w w:val="105"/>
          <w:sz w:val="19"/>
          <w:szCs w:val="19"/>
        </w:rPr>
        <w:t xml:space="preserve"> </w:t>
      </w:r>
      <w:r>
        <w:rPr>
          <w:rFonts w:ascii="Cambria" w:hAnsi="Cambria" w:cs="Cambria"/>
          <w:i/>
          <w:iCs/>
          <w:w w:val="105"/>
          <w:sz w:val="19"/>
          <w:szCs w:val="19"/>
        </w:rPr>
        <w:t>and</w:t>
      </w:r>
      <w:r>
        <w:rPr>
          <w:rFonts w:ascii="Cambria" w:hAnsi="Cambria" w:cs="Cambria"/>
          <w:i/>
          <w:iCs/>
          <w:spacing w:val="-12"/>
          <w:w w:val="105"/>
          <w:sz w:val="19"/>
          <w:szCs w:val="19"/>
        </w:rPr>
        <w:t xml:space="preserve"> </w:t>
      </w:r>
      <w:r>
        <w:rPr>
          <w:rFonts w:ascii="Cambria" w:hAnsi="Cambria" w:cs="Cambria"/>
          <w:i/>
          <w:iCs/>
          <w:w w:val="105"/>
          <w:sz w:val="19"/>
          <w:szCs w:val="19"/>
        </w:rPr>
        <w:t>medical</w:t>
      </w:r>
      <w:r>
        <w:rPr>
          <w:rFonts w:ascii="Cambria" w:hAnsi="Cambria" w:cs="Cambria"/>
          <w:i/>
          <w:iCs/>
          <w:spacing w:val="-14"/>
          <w:w w:val="105"/>
          <w:sz w:val="19"/>
          <w:szCs w:val="19"/>
        </w:rPr>
        <w:t xml:space="preserve"> </w:t>
      </w:r>
      <w:r>
        <w:rPr>
          <w:rFonts w:ascii="Cambria" w:hAnsi="Cambria" w:cs="Cambria"/>
          <w:i/>
          <w:iCs/>
          <w:w w:val="105"/>
          <w:sz w:val="19"/>
          <w:szCs w:val="19"/>
        </w:rPr>
        <w:t>students</w:t>
      </w:r>
      <w:r>
        <w:rPr>
          <w:rFonts w:ascii="Cambria" w:hAnsi="Cambria" w:cs="Cambria"/>
          <w:i/>
          <w:iCs/>
          <w:spacing w:val="-13"/>
          <w:w w:val="105"/>
          <w:sz w:val="19"/>
          <w:szCs w:val="19"/>
        </w:rPr>
        <w:t xml:space="preserve"> </w:t>
      </w:r>
      <w:r>
        <w:rPr>
          <w:rFonts w:ascii="Cambria" w:hAnsi="Cambria" w:cs="Cambria"/>
          <w:i/>
          <w:iCs/>
          <w:w w:val="105"/>
          <w:sz w:val="19"/>
          <w:szCs w:val="19"/>
        </w:rPr>
        <w:t>to</w:t>
      </w:r>
      <w:r>
        <w:rPr>
          <w:rFonts w:ascii="Cambria" w:hAnsi="Cambria" w:cs="Cambria"/>
          <w:i/>
          <w:iCs/>
          <w:spacing w:val="-14"/>
          <w:w w:val="105"/>
          <w:sz w:val="19"/>
          <w:szCs w:val="19"/>
        </w:rPr>
        <w:t xml:space="preserve"> </w:t>
      </w:r>
      <w:r>
        <w:rPr>
          <w:rFonts w:ascii="Cambria" w:hAnsi="Cambria" w:cs="Cambria"/>
          <w:i/>
          <w:iCs/>
          <w:w w:val="105"/>
          <w:sz w:val="19"/>
          <w:szCs w:val="19"/>
        </w:rPr>
        <w:t>put</w:t>
      </w:r>
      <w:r>
        <w:rPr>
          <w:rFonts w:ascii="Cambria" w:hAnsi="Cambria" w:cs="Cambria"/>
          <w:i/>
          <w:iCs/>
          <w:spacing w:val="-13"/>
          <w:w w:val="105"/>
          <w:sz w:val="19"/>
          <w:szCs w:val="19"/>
        </w:rPr>
        <w:t xml:space="preserve"> </w:t>
      </w:r>
      <w:r>
        <w:rPr>
          <w:rFonts w:ascii="Cambria" w:hAnsi="Cambria" w:cs="Cambria"/>
          <w:i/>
          <w:iCs/>
          <w:w w:val="105"/>
          <w:sz w:val="19"/>
          <w:szCs w:val="19"/>
        </w:rPr>
        <w:t>patients over</w:t>
      </w:r>
      <w:r>
        <w:rPr>
          <w:rFonts w:ascii="Cambria" w:hAnsi="Cambria" w:cs="Cambria"/>
          <w:i/>
          <w:iCs/>
          <w:spacing w:val="-10"/>
          <w:w w:val="105"/>
          <w:sz w:val="19"/>
          <w:szCs w:val="19"/>
        </w:rPr>
        <w:t xml:space="preserve"> </w:t>
      </w:r>
      <w:r>
        <w:rPr>
          <w:rFonts w:ascii="Cambria" w:hAnsi="Cambria" w:cs="Cambria"/>
          <w:i/>
          <w:iCs/>
          <w:w w:val="105"/>
          <w:sz w:val="19"/>
          <w:szCs w:val="19"/>
        </w:rPr>
        <w:t>politics</w:t>
      </w:r>
      <w:r>
        <w:rPr>
          <w:rFonts w:ascii="Cambria" w:hAnsi="Cambria" w:cs="Cambria"/>
          <w:i/>
          <w:iCs/>
          <w:spacing w:val="-9"/>
          <w:w w:val="105"/>
          <w:sz w:val="19"/>
          <w:szCs w:val="19"/>
        </w:rPr>
        <w:t xml:space="preserve"> </w:t>
      </w:r>
      <w:r>
        <w:rPr>
          <w:rFonts w:ascii="Cambria" w:hAnsi="Cambria" w:cs="Cambria"/>
          <w:i/>
          <w:iCs/>
          <w:w w:val="105"/>
          <w:sz w:val="19"/>
          <w:szCs w:val="19"/>
        </w:rPr>
        <w:t>on</w:t>
      </w:r>
      <w:r>
        <w:rPr>
          <w:rFonts w:ascii="Cambria" w:hAnsi="Cambria" w:cs="Cambria"/>
          <w:i/>
          <w:iCs/>
          <w:spacing w:val="-11"/>
          <w:w w:val="105"/>
          <w:sz w:val="19"/>
          <w:szCs w:val="19"/>
        </w:rPr>
        <w:t xml:space="preserve"> </w:t>
      </w:r>
      <w:r>
        <w:rPr>
          <w:rFonts w:ascii="Cambria" w:hAnsi="Cambria" w:cs="Cambria"/>
          <w:i/>
          <w:iCs/>
          <w:w w:val="105"/>
          <w:sz w:val="19"/>
          <w:szCs w:val="19"/>
        </w:rPr>
        <w:t>the</w:t>
      </w:r>
      <w:r>
        <w:rPr>
          <w:rFonts w:ascii="Cambria" w:hAnsi="Cambria" w:cs="Cambria"/>
          <w:i/>
          <w:iCs/>
          <w:spacing w:val="-10"/>
          <w:w w:val="105"/>
          <w:sz w:val="19"/>
          <w:szCs w:val="19"/>
        </w:rPr>
        <w:t xml:space="preserve"> </w:t>
      </w:r>
      <w:r>
        <w:rPr>
          <w:rFonts w:ascii="Cambria" w:hAnsi="Cambria" w:cs="Cambria"/>
          <w:i/>
          <w:iCs/>
          <w:w w:val="105"/>
          <w:sz w:val="19"/>
          <w:szCs w:val="19"/>
        </w:rPr>
        <w:t>pressing</w:t>
      </w:r>
      <w:r>
        <w:rPr>
          <w:rFonts w:ascii="Cambria" w:hAnsi="Cambria" w:cs="Cambria"/>
          <w:i/>
          <w:iCs/>
          <w:spacing w:val="-9"/>
          <w:w w:val="105"/>
          <w:sz w:val="19"/>
          <w:szCs w:val="19"/>
        </w:rPr>
        <w:t xml:space="preserve"> </w:t>
      </w:r>
      <w:r>
        <w:rPr>
          <w:rFonts w:ascii="Cambria" w:hAnsi="Cambria" w:cs="Cambria"/>
          <w:i/>
          <w:iCs/>
          <w:w w:val="105"/>
          <w:sz w:val="19"/>
          <w:szCs w:val="19"/>
        </w:rPr>
        <w:t>issues</w:t>
      </w:r>
      <w:r>
        <w:rPr>
          <w:rFonts w:ascii="Cambria" w:hAnsi="Cambria" w:cs="Cambria"/>
          <w:i/>
          <w:iCs/>
          <w:spacing w:val="-9"/>
          <w:w w:val="105"/>
          <w:sz w:val="19"/>
          <w:szCs w:val="19"/>
        </w:rPr>
        <w:t xml:space="preserve"> </w:t>
      </w:r>
      <w:r>
        <w:rPr>
          <w:rFonts w:ascii="Cambria" w:hAnsi="Cambria" w:cs="Cambria"/>
          <w:i/>
          <w:iCs/>
          <w:w w:val="105"/>
          <w:sz w:val="19"/>
          <w:szCs w:val="19"/>
        </w:rPr>
        <w:t>of</w:t>
      </w:r>
      <w:r>
        <w:rPr>
          <w:rFonts w:ascii="Cambria" w:hAnsi="Cambria" w:cs="Cambria"/>
          <w:i/>
          <w:iCs/>
          <w:spacing w:val="-11"/>
          <w:w w:val="105"/>
          <w:sz w:val="19"/>
          <w:szCs w:val="19"/>
        </w:rPr>
        <w:t xml:space="preserve"> </w:t>
      </w:r>
      <w:r>
        <w:rPr>
          <w:rFonts w:ascii="Cambria" w:hAnsi="Cambria" w:cs="Cambria"/>
          <w:i/>
          <w:iCs/>
          <w:w w:val="105"/>
          <w:sz w:val="19"/>
          <w:szCs w:val="19"/>
        </w:rPr>
        <w:t>the</w:t>
      </w:r>
      <w:r>
        <w:rPr>
          <w:rFonts w:ascii="Cambria" w:hAnsi="Cambria" w:cs="Cambria"/>
          <w:i/>
          <w:iCs/>
          <w:spacing w:val="-10"/>
          <w:w w:val="105"/>
          <w:sz w:val="19"/>
          <w:szCs w:val="19"/>
        </w:rPr>
        <w:t xml:space="preserve"> </w:t>
      </w:r>
      <w:r>
        <w:rPr>
          <w:rFonts w:ascii="Cambria" w:hAnsi="Cambria" w:cs="Cambria"/>
          <w:i/>
          <w:iCs/>
          <w:w w:val="105"/>
          <w:sz w:val="19"/>
          <w:szCs w:val="19"/>
        </w:rPr>
        <w:t>day</w:t>
      </w:r>
      <w:r>
        <w:rPr>
          <w:rFonts w:ascii="Cambria" w:hAnsi="Cambria" w:cs="Cambria"/>
          <w:i/>
          <w:iCs/>
          <w:spacing w:val="-10"/>
          <w:w w:val="105"/>
          <w:sz w:val="19"/>
          <w:szCs w:val="19"/>
        </w:rPr>
        <w:t xml:space="preserve"> </w:t>
      </w:r>
      <w:r>
        <w:rPr>
          <w:rFonts w:ascii="Cambria" w:hAnsi="Cambria" w:cs="Cambria"/>
          <w:i/>
          <w:iCs/>
          <w:w w:val="105"/>
          <w:sz w:val="19"/>
          <w:szCs w:val="19"/>
        </w:rPr>
        <w:t>to</w:t>
      </w:r>
      <w:r>
        <w:rPr>
          <w:rFonts w:ascii="Cambria" w:hAnsi="Cambria" w:cs="Cambria"/>
          <w:i/>
          <w:iCs/>
          <w:spacing w:val="-10"/>
          <w:w w:val="105"/>
          <w:sz w:val="19"/>
          <w:szCs w:val="19"/>
        </w:rPr>
        <w:t xml:space="preserve"> </w:t>
      </w:r>
      <w:r>
        <w:rPr>
          <w:rFonts w:ascii="Cambria" w:hAnsi="Cambria" w:cs="Cambria"/>
          <w:i/>
          <w:iCs/>
          <w:w w:val="105"/>
          <w:sz w:val="19"/>
          <w:szCs w:val="19"/>
        </w:rPr>
        <w:t>improve</w:t>
      </w:r>
      <w:r>
        <w:rPr>
          <w:rFonts w:ascii="Cambria" w:hAnsi="Cambria" w:cs="Cambria"/>
          <w:i/>
          <w:iCs/>
          <w:spacing w:val="-10"/>
          <w:w w:val="105"/>
          <w:sz w:val="19"/>
          <w:szCs w:val="19"/>
        </w:rPr>
        <w:t xml:space="preserve"> </w:t>
      </w:r>
      <w:r>
        <w:rPr>
          <w:rFonts w:ascii="Cambria" w:hAnsi="Cambria" w:cs="Cambria"/>
          <w:i/>
          <w:iCs/>
          <w:w w:val="105"/>
          <w:sz w:val="19"/>
          <w:szCs w:val="19"/>
        </w:rPr>
        <w:t>the</w:t>
      </w:r>
      <w:r>
        <w:rPr>
          <w:rFonts w:ascii="Cambria" w:hAnsi="Cambria" w:cs="Cambria"/>
          <w:i/>
          <w:iCs/>
          <w:spacing w:val="-10"/>
          <w:w w:val="105"/>
          <w:sz w:val="19"/>
          <w:szCs w:val="19"/>
        </w:rPr>
        <w:t xml:space="preserve"> </w:t>
      </w:r>
      <w:r>
        <w:rPr>
          <w:rFonts w:ascii="Cambria" w:hAnsi="Cambria" w:cs="Cambria"/>
          <w:i/>
          <w:iCs/>
          <w:w w:val="105"/>
          <w:sz w:val="19"/>
          <w:szCs w:val="19"/>
        </w:rPr>
        <w:t>health</w:t>
      </w:r>
      <w:r>
        <w:rPr>
          <w:rFonts w:ascii="Cambria" w:hAnsi="Cambria" w:cs="Cambria"/>
          <w:i/>
          <w:iCs/>
          <w:spacing w:val="-10"/>
          <w:w w:val="105"/>
          <w:sz w:val="19"/>
          <w:szCs w:val="19"/>
        </w:rPr>
        <w:t xml:space="preserve"> </w:t>
      </w:r>
      <w:r>
        <w:rPr>
          <w:rFonts w:ascii="Cambria" w:hAnsi="Cambria" w:cs="Cambria"/>
          <w:i/>
          <w:iCs/>
          <w:w w:val="105"/>
          <w:sz w:val="19"/>
          <w:szCs w:val="19"/>
        </w:rPr>
        <w:t>of</w:t>
      </w:r>
      <w:r>
        <w:rPr>
          <w:rFonts w:ascii="Cambria" w:hAnsi="Cambria" w:cs="Cambria"/>
          <w:i/>
          <w:iCs/>
          <w:spacing w:val="-11"/>
          <w:w w:val="105"/>
          <w:sz w:val="19"/>
          <w:szCs w:val="19"/>
        </w:rPr>
        <w:t xml:space="preserve"> </w:t>
      </w:r>
      <w:r>
        <w:rPr>
          <w:rFonts w:ascii="Cambria" w:hAnsi="Cambria" w:cs="Cambria"/>
          <w:i/>
          <w:iCs/>
          <w:w w:val="105"/>
          <w:sz w:val="19"/>
          <w:szCs w:val="19"/>
        </w:rPr>
        <w:t>our</w:t>
      </w:r>
      <w:r>
        <w:rPr>
          <w:rFonts w:ascii="Cambria" w:hAnsi="Cambria" w:cs="Cambria"/>
          <w:i/>
          <w:iCs/>
          <w:spacing w:val="-10"/>
          <w:w w:val="105"/>
          <w:sz w:val="19"/>
          <w:szCs w:val="19"/>
        </w:rPr>
        <w:t xml:space="preserve"> </w:t>
      </w:r>
      <w:r>
        <w:rPr>
          <w:rFonts w:ascii="Cambria" w:hAnsi="Cambria" w:cs="Cambria"/>
          <w:i/>
          <w:iCs/>
          <w:w w:val="105"/>
          <w:sz w:val="19"/>
          <w:szCs w:val="19"/>
        </w:rPr>
        <w:t>patients,</w:t>
      </w:r>
      <w:r>
        <w:rPr>
          <w:rFonts w:ascii="Cambria" w:hAnsi="Cambria" w:cs="Cambria"/>
          <w:i/>
          <w:iCs/>
          <w:spacing w:val="-12"/>
          <w:w w:val="105"/>
          <w:sz w:val="19"/>
          <w:szCs w:val="19"/>
        </w:rPr>
        <w:t xml:space="preserve"> </w:t>
      </w:r>
      <w:r>
        <w:rPr>
          <w:rFonts w:ascii="Cambria" w:hAnsi="Cambria" w:cs="Cambria"/>
          <w:i/>
          <w:iCs/>
          <w:w w:val="105"/>
          <w:sz w:val="19"/>
          <w:szCs w:val="19"/>
        </w:rPr>
        <w:t>communities,</w:t>
      </w:r>
      <w:r>
        <w:rPr>
          <w:rFonts w:ascii="Cambria" w:hAnsi="Cambria" w:cs="Cambria"/>
          <w:i/>
          <w:iCs/>
          <w:spacing w:val="-9"/>
          <w:w w:val="105"/>
          <w:sz w:val="19"/>
          <w:szCs w:val="19"/>
        </w:rPr>
        <w:t xml:space="preserve"> </w:t>
      </w:r>
      <w:r>
        <w:rPr>
          <w:rFonts w:ascii="Cambria" w:hAnsi="Cambria" w:cs="Cambria"/>
          <w:i/>
          <w:iCs/>
          <w:w w:val="105"/>
          <w:sz w:val="19"/>
          <w:szCs w:val="19"/>
        </w:rPr>
        <w:t>and</w:t>
      </w:r>
      <w:r>
        <w:rPr>
          <w:rFonts w:ascii="Cambria" w:hAnsi="Cambria" w:cs="Cambria"/>
          <w:i/>
          <w:iCs/>
          <w:spacing w:val="-11"/>
          <w:w w:val="105"/>
          <w:sz w:val="19"/>
          <w:szCs w:val="19"/>
        </w:rPr>
        <w:t xml:space="preserve"> </w:t>
      </w:r>
      <w:r>
        <w:rPr>
          <w:rFonts w:ascii="Cambria" w:hAnsi="Cambria" w:cs="Cambria"/>
          <w:i/>
          <w:iCs/>
          <w:w w:val="105"/>
          <w:sz w:val="19"/>
          <w:szCs w:val="19"/>
        </w:rPr>
        <w:t>nation..</w:t>
      </w:r>
    </w:p>
    <w:p w:rsidR="002C5025" w:rsidRDefault="002C5025">
      <w:pPr>
        <w:pStyle w:val="BodyText"/>
        <w:kinsoku w:val="0"/>
        <w:overflowPunct w:val="0"/>
        <w:spacing w:before="109" w:line="244" w:lineRule="auto"/>
        <w:ind w:left="642" w:right="773" w:hanging="348"/>
        <w:rPr>
          <w:rFonts w:ascii="Cambria" w:hAnsi="Cambria" w:cs="Cambria"/>
          <w:i/>
          <w:iCs/>
          <w:w w:val="105"/>
          <w:sz w:val="19"/>
          <w:szCs w:val="19"/>
        </w:rPr>
        <w:sectPr w:rsidR="002C5025">
          <w:pgSz w:w="12240" w:h="15840"/>
          <w:pgMar w:top="940" w:right="820" w:bottom="280" w:left="800" w:header="720" w:footer="720" w:gutter="0"/>
          <w:pgBorders w:offsetFrom="page">
            <w:top w:val="single" w:sz="24" w:space="24" w:color="213957"/>
            <w:left w:val="single" w:sz="24" w:space="24" w:color="213957"/>
            <w:bottom w:val="single" w:sz="24" w:space="24" w:color="213957"/>
            <w:right w:val="single" w:sz="24" w:space="24" w:color="213957"/>
          </w:pgBorders>
          <w:cols w:space="720"/>
          <w:noEndnote/>
        </w:sectPr>
      </w:pPr>
    </w:p>
    <w:p w:rsidR="002C5025" w:rsidRDefault="002C5025">
      <w:pPr>
        <w:pStyle w:val="BodyText"/>
        <w:kinsoku w:val="0"/>
        <w:overflowPunct w:val="0"/>
        <w:spacing w:before="57"/>
        <w:ind w:left="143" w:right="126"/>
        <w:rPr>
          <w:rFonts w:ascii="Times New Roman" w:hAnsi="Times New Roman" w:cs="Times New Roman"/>
          <w:b/>
          <w:bCs/>
          <w:sz w:val="24"/>
          <w:szCs w:val="24"/>
        </w:rPr>
      </w:pPr>
      <w:bookmarkStart w:id="131" w:name="Pediatric_Health"/>
      <w:bookmarkEnd w:id="131"/>
      <w:r>
        <w:rPr>
          <w:rFonts w:ascii="Times New Roman" w:hAnsi="Times New Roman" w:cs="Times New Roman"/>
          <w:b/>
          <w:bCs/>
          <w:sz w:val="24"/>
          <w:szCs w:val="24"/>
        </w:rPr>
        <w:lastRenderedPageBreak/>
        <w:t>Pediatric Health</w:t>
      </w:r>
    </w:p>
    <w:p w:rsidR="002C5025" w:rsidRDefault="002C5025">
      <w:pPr>
        <w:pStyle w:val="BodyText"/>
        <w:kinsoku w:val="0"/>
        <w:overflowPunct w:val="0"/>
        <w:spacing w:before="7"/>
        <w:rPr>
          <w:rFonts w:ascii="Times New Roman" w:hAnsi="Times New Roman" w:cs="Times New Roman"/>
          <w:b/>
          <w:bCs/>
          <w:sz w:val="30"/>
          <w:szCs w:val="30"/>
        </w:rPr>
      </w:pPr>
    </w:p>
    <w:p w:rsidR="002C5025" w:rsidRDefault="002C5025">
      <w:pPr>
        <w:pStyle w:val="BodyText"/>
        <w:kinsoku w:val="0"/>
        <w:overflowPunct w:val="0"/>
        <w:spacing w:before="1" w:line="276" w:lineRule="auto"/>
        <w:ind w:left="143" w:right="186"/>
        <w:rPr>
          <w:rFonts w:ascii="Times New Roman" w:hAnsi="Times New Roman" w:cs="Times New Roman"/>
          <w:sz w:val="24"/>
          <w:szCs w:val="24"/>
        </w:rPr>
      </w:pPr>
      <w:r>
        <w:rPr>
          <w:rFonts w:ascii="Times New Roman" w:hAnsi="Times New Roman" w:cs="Times New Roman"/>
          <w:sz w:val="24"/>
          <w:szCs w:val="24"/>
        </w:rPr>
        <w:t>MassHealth</w:t>
      </w:r>
      <w:r>
        <w:rPr>
          <w:rFonts w:ascii="Times New Roman" w:hAnsi="Times New Roman" w:cs="Times New Roman"/>
          <w:spacing w:val="-7"/>
          <w:sz w:val="24"/>
          <w:szCs w:val="24"/>
        </w:rPr>
        <w:t xml:space="preserve"> </w:t>
      </w:r>
      <w:r>
        <w:rPr>
          <w:rFonts w:ascii="Times New Roman" w:hAnsi="Times New Roman" w:cs="Times New Roman"/>
          <w:sz w:val="24"/>
          <w:szCs w:val="24"/>
        </w:rPr>
        <w:t>is</w:t>
      </w:r>
      <w:r>
        <w:rPr>
          <w:rFonts w:ascii="Times New Roman" w:hAnsi="Times New Roman" w:cs="Times New Roman"/>
          <w:spacing w:val="-7"/>
          <w:sz w:val="24"/>
          <w:szCs w:val="24"/>
        </w:rPr>
        <w:t xml:space="preserve"> </w:t>
      </w:r>
      <w:r>
        <w:rPr>
          <w:rFonts w:ascii="Times New Roman" w:hAnsi="Times New Roman" w:cs="Times New Roman"/>
          <w:sz w:val="24"/>
          <w:szCs w:val="24"/>
        </w:rPr>
        <w:t>the</w:t>
      </w:r>
      <w:r>
        <w:rPr>
          <w:rFonts w:ascii="Times New Roman" w:hAnsi="Times New Roman" w:cs="Times New Roman"/>
          <w:spacing w:val="-6"/>
          <w:sz w:val="24"/>
          <w:szCs w:val="24"/>
        </w:rPr>
        <w:t xml:space="preserve"> </w:t>
      </w:r>
      <w:r>
        <w:rPr>
          <w:rFonts w:ascii="Times New Roman" w:hAnsi="Times New Roman" w:cs="Times New Roman"/>
          <w:sz w:val="24"/>
          <w:szCs w:val="24"/>
        </w:rPr>
        <w:t>payer</w:t>
      </w:r>
      <w:r>
        <w:rPr>
          <w:rFonts w:ascii="Times New Roman" w:hAnsi="Times New Roman" w:cs="Times New Roman"/>
          <w:spacing w:val="-6"/>
          <w:sz w:val="24"/>
          <w:szCs w:val="24"/>
        </w:rPr>
        <w:t xml:space="preserve"> </w:t>
      </w:r>
      <w:r>
        <w:rPr>
          <w:rFonts w:ascii="Times New Roman" w:hAnsi="Times New Roman" w:cs="Times New Roman"/>
          <w:sz w:val="24"/>
          <w:szCs w:val="24"/>
        </w:rPr>
        <w:t>for</w:t>
      </w:r>
      <w:r>
        <w:rPr>
          <w:rFonts w:ascii="Times New Roman" w:hAnsi="Times New Roman" w:cs="Times New Roman"/>
          <w:spacing w:val="-8"/>
          <w:sz w:val="24"/>
          <w:szCs w:val="24"/>
        </w:rPr>
        <w:t xml:space="preserve"> </w:t>
      </w:r>
      <w:r>
        <w:rPr>
          <w:rFonts w:ascii="Times New Roman" w:hAnsi="Times New Roman" w:cs="Times New Roman"/>
          <w:sz w:val="24"/>
          <w:szCs w:val="24"/>
        </w:rPr>
        <w:t>healthcare</w:t>
      </w:r>
      <w:r>
        <w:rPr>
          <w:rFonts w:ascii="Times New Roman" w:hAnsi="Times New Roman" w:cs="Times New Roman"/>
          <w:spacing w:val="-6"/>
          <w:sz w:val="24"/>
          <w:szCs w:val="24"/>
        </w:rPr>
        <w:t xml:space="preserve"> </w:t>
      </w:r>
      <w:r>
        <w:rPr>
          <w:rFonts w:ascii="Times New Roman" w:hAnsi="Times New Roman" w:cs="Times New Roman"/>
          <w:sz w:val="24"/>
          <w:szCs w:val="24"/>
        </w:rPr>
        <w:t>for</w:t>
      </w:r>
      <w:r>
        <w:rPr>
          <w:rFonts w:ascii="Times New Roman" w:hAnsi="Times New Roman" w:cs="Times New Roman"/>
          <w:spacing w:val="-6"/>
          <w:sz w:val="24"/>
          <w:szCs w:val="24"/>
        </w:rPr>
        <w:t xml:space="preserve"> </w:t>
      </w:r>
      <w:r>
        <w:rPr>
          <w:rFonts w:ascii="Times New Roman" w:hAnsi="Times New Roman" w:cs="Times New Roman"/>
          <w:sz w:val="24"/>
          <w:szCs w:val="24"/>
        </w:rPr>
        <w:t>40%</w:t>
      </w:r>
      <w:r>
        <w:rPr>
          <w:rFonts w:ascii="Times New Roman" w:hAnsi="Times New Roman" w:cs="Times New Roman"/>
          <w:spacing w:val="-6"/>
          <w:sz w:val="24"/>
          <w:szCs w:val="24"/>
        </w:rPr>
        <w:t xml:space="preserve"> </w:t>
      </w:r>
      <w:r>
        <w:rPr>
          <w:rFonts w:ascii="Times New Roman" w:hAnsi="Times New Roman" w:cs="Times New Roman"/>
          <w:sz w:val="24"/>
          <w:szCs w:val="24"/>
        </w:rPr>
        <w:t>of</w:t>
      </w:r>
      <w:r>
        <w:rPr>
          <w:rFonts w:ascii="Times New Roman" w:hAnsi="Times New Roman" w:cs="Times New Roman"/>
          <w:spacing w:val="-6"/>
          <w:sz w:val="24"/>
          <w:szCs w:val="24"/>
        </w:rPr>
        <w:t xml:space="preserve"> </w:t>
      </w:r>
      <w:r>
        <w:rPr>
          <w:rFonts w:ascii="Times New Roman" w:hAnsi="Times New Roman" w:cs="Times New Roman"/>
          <w:sz w:val="24"/>
          <w:szCs w:val="24"/>
        </w:rPr>
        <w:t>children</w:t>
      </w:r>
      <w:r>
        <w:rPr>
          <w:rFonts w:ascii="Times New Roman" w:hAnsi="Times New Roman" w:cs="Times New Roman"/>
          <w:spacing w:val="-5"/>
          <w:sz w:val="24"/>
          <w:szCs w:val="24"/>
        </w:rPr>
        <w:t xml:space="preserve"> </w:t>
      </w:r>
      <w:r>
        <w:rPr>
          <w:rFonts w:ascii="Times New Roman" w:hAnsi="Times New Roman" w:cs="Times New Roman"/>
          <w:sz w:val="24"/>
          <w:szCs w:val="24"/>
        </w:rPr>
        <w:t>in</w:t>
      </w:r>
      <w:r>
        <w:rPr>
          <w:rFonts w:ascii="Times New Roman" w:hAnsi="Times New Roman" w:cs="Times New Roman"/>
          <w:spacing w:val="-7"/>
          <w:sz w:val="24"/>
          <w:szCs w:val="24"/>
        </w:rPr>
        <w:t xml:space="preserve"> </w:t>
      </w:r>
      <w:r>
        <w:rPr>
          <w:rFonts w:ascii="Times New Roman" w:hAnsi="Times New Roman" w:cs="Times New Roman"/>
          <w:sz w:val="24"/>
          <w:szCs w:val="24"/>
        </w:rPr>
        <w:t>the</w:t>
      </w:r>
      <w:r>
        <w:rPr>
          <w:rFonts w:ascii="Times New Roman" w:hAnsi="Times New Roman" w:cs="Times New Roman"/>
          <w:spacing w:val="-8"/>
          <w:sz w:val="24"/>
          <w:szCs w:val="24"/>
        </w:rPr>
        <w:t xml:space="preserve"> </w:t>
      </w:r>
      <w:r>
        <w:rPr>
          <w:rFonts w:ascii="Times New Roman" w:hAnsi="Times New Roman" w:cs="Times New Roman"/>
          <w:sz w:val="24"/>
          <w:szCs w:val="24"/>
        </w:rPr>
        <w:t>Commonwealth.</w:t>
      </w:r>
      <w:r>
        <w:rPr>
          <w:rFonts w:ascii="Times New Roman" w:hAnsi="Times New Roman" w:cs="Times New Roman"/>
          <w:spacing w:val="-5"/>
          <w:sz w:val="24"/>
          <w:szCs w:val="24"/>
        </w:rPr>
        <w:t xml:space="preserve"> </w:t>
      </w:r>
      <w:r>
        <w:rPr>
          <w:rFonts w:ascii="Times New Roman" w:hAnsi="Times New Roman" w:cs="Times New Roman"/>
          <w:sz w:val="24"/>
          <w:szCs w:val="24"/>
        </w:rPr>
        <w:t>Despite</w:t>
      </w:r>
      <w:r>
        <w:rPr>
          <w:rFonts w:ascii="Times New Roman" w:hAnsi="Times New Roman" w:cs="Times New Roman"/>
          <w:spacing w:val="-8"/>
          <w:sz w:val="24"/>
          <w:szCs w:val="24"/>
        </w:rPr>
        <w:t xml:space="preserve"> </w:t>
      </w:r>
      <w:r>
        <w:rPr>
          <w:rFonts w:ascii="Times New Roman" w:hAnsi="Times New Roman" w:cs="Times New Roman"/>
          <w:sz w:val="24"/>
          <w:szCs w:val="24"/>
        </w:rPr>
        <w:t>being</w:t>
      </w:r>
      <w:r>
        <w:rPr>
          <w:rFonts w:ascii="Times New Roman" w:hAnsi="Times New Roman" w:cs="Times New Roman"/>
          <w:spacing w:val="-7"/>
          <w:sz w:val="24"/>
          <w:szCs w:val="24"/>
        </w:rPr>
        <w:t xml:space="preserve"> </w:t>
      </w:r>
      <w:r>
        <w:rPr>
          <w:rFonts w:ascii="Times New Roman" w:hAnsi="Times New Roman" w:cs="Times New Roman"/>
          <w:sz w:val="24"/>
          <w:szCs w:val="24"/>
        </w:rPr>
        <w:t>the</w:t>
      </w:r>
      <w:r>
        <w:rPr>
          <w:rFonts w:ascii="Times New Roman" w:hAnsi="Times New Roman" w:cs="Times New Roman"/>
          <w:spacing w:val="-3"/>
          <w:sz w:val="24"/>
          <w:szCs w:val="24"/>
        </w:rPr>
        <w:t xml:space="preserve"> </w:t>
      </w:r>
      <w:r>
        <w:rPr>
          <w:rFonts w:ascii="Times New Roman" w:hAnsi="Times New Roman" w:cs="Times New Roman"/>
          <w:sz w:val="24"/>
          <w:szCs w:val="24"/>
        </w:rPr>
        <w:t>largest demographic in the program, healthy children account for the lowest cost. In an era of value-based care, that matches resources to level of need, there is a potential threat to pediatric health care funding and resources. Specifically if there is only focus on immediate cost drivers and high cost populations, at the expense</w:t>
      </w:r>
      <w:r>
        <w:rPr>
          <w:rFonts w:ascii="Times New Roman" w:hAnsi="Times New Roman" w:cs="Times New Roman"/>
          <w:spacing w:val="-7"/>
          <w:sz w:val="24"/>
          <w:szCs w:val="24"/>
        </w:rPr>
        <w:t xml:space="preserve"> </w:t>
      </w:r>
      <w:r>
        <w:rPr>
          <w:rFonts w:ascii="Times New Roman" w:hAnsi="Times New Roman" w:cs="Times New Roman"/>
          <w:sz w:val="24"/>
          <w:szCs w:val="24"/>
        </w:rPr>
        <w:t>of</w:t>
      </w:r>
      <w:r>
        <w:rPr>
          <w:rFonts w:ascii="Times New Roman" w:hAnsi="Times New Roman" w:cs="Times New Roman"/>
          <w:spacing w:val="-7"/>
          <w:sz w:val="24"/>
          <w:szCs w:val="24"/>
        </w:rPr>
        <w:t xml:space="preserve"> </w:t>
      </w:r>
      <w:r>
        <w:rPr>
          <w:rFonts w:ascii="Times New Roman" w:hAnsi="Times New Roman" w:cs="Times New Roman"/>
          <w:sz w:val="24"/>
          <w:szCs w:val="24"/>
        </w:rPr>
        <w:t>long</w:t>
      </w:r>
      <w:r>
        <w:rPr>
          <w:rFonts w:ascii="Times New Roman" w:hAnsi="Times New Roman" w:cs="Times New Roman"/>
          <w:spacing w:val="-9"/>
          <w:sz w:val="24"/>
          <w:szCs w:val="24"/>
        </w:rPr>
        <w:t xml:space="preserve"> </w:t>
      </w:r>
      <w:r>
        <w:rPr>
          <w:rFonts w:ascii="Times New Roman" w:hAnsi="Times New Roman" w:cs="Times New Roman"/>
          <w:sz w:val="24"/>
          <w:szCs w:val="24"/>
        </w:rPr>
        <w:t>term</w:t>
      </w:r>
      <w:r>
        <w:rPr>
          <w:rFonts w:ascii="Times New Roman" w:hAnsi="Times New Roman" w:cs="Times New Roman"/>
          <w:spacing w:val="-3"/>
          <w:sz w:val="24"/>
          <w:szCs w:val="24"/>
        </w:rPr>
        <w:t xml:space="preserve"> </w:t>
      </w:r>
      <w:r>
        <w:rPr>
          <w:rFonts w:ascii="Times New Roman" w:hAnsi="Times New Roman" w:cs="Times New Roman"/>
          <w:sz w:val="24"/>
          <w:szCs w:val="24"/>
        </w:rPr>
        <w:t>population</w:t>
      </w:r>
      <w:r>
        <w:rPr>
          <w:rFonts w:ascii="Times New Roman" w:hAnsi="Times New Roman" w:cs="Times New Roman"/>
          <w:spacing w:val="-6"/>
          <w:sz w:val="24"/>
          <w:szCs w:val="24"/>
        </w:rPr>
        <w:t xml:space="preserve"> </w:t>
      </w:r>
      <w:r>
        <w:rPr>
          <w:rFonts w:ascii="Times New Roman" w:hAnsi="Times New Roman" w:cs="Times New Roman"/>
          <w:sz w:val="24"/>
          <w:szCs w:val="24"/>
        </w:rPr>
        <w:t>health,</w:t>
      </w:r>
      <w:r>
        <w:rPr>
          <w:rFonts w:ascii="Times New Roman" w:hAnsi="Times New Roman" w:cs="Times New Roman"/>
          <w:spacing w:val="-6"/>
          <w:sz w:val="24"/>
          <w:szCs w:val="24"/>
        </w:rPr>
        <w:t xml:space="preserve"> </w:t>
      </w:r>
      <w:r>
        <w:rPr>
          <w:rFonts w:ascii="Times New Roman" w:hAnsi="Times New Roman" w:cs="Times New Roman"/>
          <w:sz w:val="24"/>
          <w:szCs w:val="24"/>
        </w:rPr>
        <w:t>then</w:t>
      </w:r>
      <w:r>
        <w:rPr>
          <w:rFonts w:ascii="Times New Roman" w:hAnsi="Times New Roman" w:cs="Times New Roman"/>
          <w:spacing w:val="-6"/>
          <w:sz w:val="24"/>
          <w:szCs w:val="24"/>
        </w:rPr>
        <w:t xml:space="preserve"> </w:t>
      </w:r>
      <w:r>
        <w:rPr>
          <w:rFonts w:ascii="Times New Roman" w:hAnsi="Times New Roman" w:cs="Times New Roman"/>
          <w:sz w:val="24"/>
          <w:szCs w:val="24"/>
        </w:rPr>
        <w:t>pediatric</w:t>
      </w:r>
      <w:r>
        <w:rPr>
          <w:rFonts w:ascii="Times New Roman" w:hAnsi="Times New Roman" w:cs="Times New Roman"/>
          <w:spacing w:val="-7"/>
          <w:sz w:val="24"/>
          <w:szCs w:val="24"/>
        </w:rPr>
        <w:t xml:space="preserve"> </w:t>
      </w:r>
      <w:r>
        <w:rPr>
          <w:rFonts w:ascii="Times New Roman" w:hAnsi="Times New Roman" w:cs="Times New Roman"/>
          <w:sz w:val="24"/>
          <w:szCs w:val="24"/>
        </w:rPr>
        <w:t>health</w:t>
      </w:r>
      <w:r>
        <w:rPr>
          <w:rFonts w:ascii="Times New Roman" w:hAnsi="Times New Roman" w:cs="Times New Roman"/>
          <w:spacing w:val="-6"/>
          <w:sz w:val="24"/>
          <w:szCs w:val="24"/>
        </w:rPr>
        <w:t xml:space="preserve"> </w:t>
      </w:r>
      <w:r>
        <w:rPr>
          <w:rFonts w:ascii="Times New Roman" w:hAnsi="Times New Roman" w:cs="Times New Roman"/>
          <w:sz w:val="24"/>
          <w:szCs w:val="24"/>
        </w:rPr>
        <w:t>needs</w:t>
      </w:r>
      <w:r>
        <w:rPr>
          <w:rFonts w:ascii="Times New Roman" w:hAnsi="Times New Roman" w:cs="Times New Roman"/>
          <w:spacing w:val="-6"/>
          <w:sz w:val="24"/>
          <w:szCs w:val="24"/>
        </w:rPr>
        <w:t xml:space="preserve"> </w:t>
      </w:r>
      <w:r>
        <w:rPr>
          <w:rFonts w:ascii="Times New Roman" w:hAnsi="Times New Roman" w:cs="Times New Roman"/>
          <w:sz w:val="24"/>
          <w:szCs w:val="24"/>
        </w:rPr>
        <w:t>may</w:t>
      </w:r>
      <w:r>
        <w:rPr>
          <w:rFonts w:ascii="Times New Roman" w:hAnsi="Times New Roman" w:cs="Times New Roman"/>
          <w:spacing w:val="-11"/>
          <w:sz w:val="24"/>
          <w:szCs w:val="24"/>
        </w:rPr>
        <w:t xml:space="preserve"> </w:t>
      </w:r>
      <w:r>
        <w:rPr>
          <w:rFonts w:ascii="Times New Roman" w:hAnsi="Times New Roman" w:cs="Times New Roman"/>
          <w:sz w:val="24"/>
          <w:szCs w:val="24"/>
        </w:rPr>
        <w:t>be</w:t>
      </w:r>
      <w:r>
        <w:rPr>
          <w:rFonts w:ascii="Times New Roman" w:hAnsi="Times New Roman" w:cs="Times New Roman"/>
          <w:spacing w:val="-5"/>
          <w:sz w:val="24"/>
          <w:szCs w:val="24"/>
        </w:rPr>
        <w:t xml:space="preserve"> </w:t>
      </w:r>
      <w:r>
        <w:rPr>
          <w:rFonts w:ascii="Times New Roman" w:hAnsi="Times New Roman" w:cs="Times New Roman"/>
          <w:sz w:val="24"/>
          <w:szCs w:val="24"/>
        </w:rPr>
        <w:t>disregarded</w:t>
      </w:r>
      <w:r>
        <w:rPr>
          <w:rFonts w:ascii="Times New Roman" w:hAnsi="Times New Roman" w:cs="Times New Roman"/>
          <w:spacing w:val="-6"/>
          <w:sz w:val="24"/>
          <w:szCs w:val="24"/>
        </w:rPr>
        <w:t xml:space="preserve"> </w:t>
      </w:r>
      <w:r>
        <w:rPr>
          <w:rFonts w:ascii="Times New Roman" w:hAnsi="Times New Roman" w:cs="Times New Roman"/>
          <w:sz w:val="24"/>
          <w:szCs w:val="24"/>
        </w:rPr>
        <w:t>or</w:t>
      </w:r>
      <w:r>
        <w:rPr>
          <w:rFonts w:ascii="Times New Roman" w:hAnsi="Times New Roman" w:cs="Times New Roman"/>
          <w:spacing w:val="-7"/>
          <w:sz w:val="24"/>
          <w:szCs w:val="24"/>
        </w:rPr>
        <w:t xml:space="preserve"> </w:t>
      </w:r>
      <w:r>
        <w:rPr>
          <w:rFonts w:ascii="Times New Roman" w:hAnsi="Times New Roman" w:cs="Times New Roman"/>
          <w:sz w:val="24"/>
          <w:szCs w:val="24"/>
        </w:rPr>
        <w:t>underfunded.</w:t>
      </w:r>
    </w:p>
    <w:p w:rsidR="002C5025" w:rsidRDefault="002C5025">
      <w:pPr>
        <w:pStyle w:val="BodyText"/>
        <w:kinsoku w:val="0"/>
        <w:overflowPunct w:val="0"/>
        <w:spacing w:line="276" w:lineRule="auto"/>
        <w:ind w:left="143" w:right="247"/>
        <w:rPr>
          <w:rFonts w:ascii="Times New Roman" w:hAnsi="Times New Roman" w:cs="Times New Roman"/>
          <w:sz w:val="24"/>
          <w:szCs w:val="24"/>
        </w:rPr>
      </w:pPr>
      <w:r>
        <w:rPr>
          <w:rFonts w:ascii="Times New Roman" w:hAnsi="Times New Roman" w:cs="Times New Roman"/>
          <w:sz w:val="24"/>
          <w:szCs w:val="24"/>
        </w:rPr>
        <w:t>Given the stated goal to bend the cost curve in the short term while in producing better outcomes, there is potential of redistribution of resources from pediatric care towards other, more costly populations. As we move towards better care coordination and care management for high cost populations, care must be taken to preserve and improve care for children as well.</w:t>
      </w:r>
    </w:p>
    <w:p w:rsidR="002C5025" w:rsidRDefault="002C5025">
      <w:pPr>
        <w:pStyle w:val="BodyText"/>
        <w:kinsoku w:val="0"/>
        <w:overflowPunct w:val="0"/>
        <w:rPr>
          <w:rFonts w:ascii="Times New Roman" w:hAnsi="Times New Roman" w:cs="Times New Roman"/>
          <w:sz w:val="28"/>
          <w:szCs w:val="28"/>
        </w:rPr>
      </w:pPr>
    </w:p>
    <w:p w:rsidR="002C5025" w:rsidRDefault="002C5025">
      <w:pPr>
        <w:pStyle w:val="BodyText"/>
        <w:kinsoku w:val="0"/>
        <w:overflowPunct w:val="0"/>
        <w:spacing w:line="276" w:lineRule="auto"/>
        <w:ind w:left="143" w:right="146"/>
        <w:rPr>
          <w:rFonts w:ascii="Times New Roman" w:hAnsi="Times New Roman" w:cs="Times New Roman"/>
          <w:sz w:val="24"/>
          <w:szCs w:val="24"/>
        </w:rPr>
      </w:pPr>
      <w:r>
        <w:rPr>
          <w:rFonts w:ascii="Times New Roman" w:hAnsi="Times New Roman" w:cs="Times New Roman"/>
          <w:sz w:val="24"/>
          <w:szCs w:val="24"/>
        </w:rPr>
        <w:t>The indicators of poor health in children may not be captured by usual indicators such as total cost of care or condition-specific re-admissions. Rather, metrics like missed school days or high school completion rates are important proxies for health-related functional status and outcomes. These data may be available from sister agencies such as the Department of Education, Department of Public Health, etc. MassHealth should invest in the infrastructure needed to promote interagency collaboration and data sharing to measure and track whole-child care.</w:t>
      </w:r>
    </w:p>
    <w:p w:rsidR="002C5025" w:rsidRDefault="002C5025">
      <w:pPr>
        <w:pStyle w:val="BodyText"/>
        <w:kinsoku w:val="0"/>
        <w:overflowPunct w:val="0"/>
        <w:spacing w:before="9"/>
        <w:rPr>
          <w:rFonts w:ascii="Times New Roman" w:hAnsi="Times New Roman" w:cs="Times New Roman"/>
          <w:sz w:val="27"/>
          <w:szCs w:val="27"/>
        </w:rPr>
      </w:pPr>
    </w:p>
    <w:p w:rsidR="002C5025" w:rsidRDefault="002C5025">
      <w:pPr>
        <w:pStyle w:val="BodyText"/>
        <w:kinsoku w:val="0"/>
        <w:overflowPunct w:val="0"/>
        <w:spacing w:line="276" w:lineRule="auto"/>
        <w:ind w:left="143" w:right="451"/>
        <w:rPr>
          <w:rFonts w:ascii="Times New Roman" w:hAnsi="Times New Roman" w:cs="Times New Roman"/>
          <w:sz w:val="24"/>
          <w:szCs w:val="24"/>
        </w:rPr>
      </w:pPr>
      <w:r>
        <w:rPr>
          <w:rFonts w:ascii="Times New Roman" w:hAnsi="Times New Roman" w:cs="Times New Roman"/>
          <w:sz w:val="24"/>
          <w:szCs w:val="24"/>
        </w:rPr>
        <w:t>Commonly used pediatric metrics include immunization rates and well child visits. Massachusetts has historically scored high on this. While these are important public health indicators that could be an important be "balance" measures (to ensure there is not a drop in the rates), the already high rates do not allow much room for improvement. This may result in there being less incentive for ACOs to invest in pediatric health. The already suggested metrics on network adequacy should also reported specific to network adequacy for pediatric providers as network adequacy is of particular concern for the pediatric population.</w:t>
      </w:r>
    </w:p>
    <w:p w:rsidR="002C5025" w:rsidRDefault="002C5025">
      <w:pPr>
        <w:pStyle w:val="BodyText"/>
        <w:kinsoku w:val="0"/>
        <w:overflowPunct w:val="0"/>
        <w:spacing w:before="7"/>
        <w:rPr>
          <w:rFonts w:ascii="Times New Roman" w:hAnsi="Times New Roman" w:cs="Times New Roman"/>
          <w:sz w:val="27"/>
          <w:szCs w:val="27"/>
        </w:rPr>
      </w:pPr>
    </w:p>
    <w:p w:rsidR="002C5025" w:rsidRDefault="002C5025">
      <w:pPr>
        <w:pStyle w:val="BodyText"/>
        <w:kinsoku w:val="0"/>
        <w:overflowPunct w:val="0"/>
        <w:spacing w:line="276" w:lineRule="auto"/>
        <w:ind w:left="143" w:right="154"/>
        <w:rPr>
          <w:rFonts w:ascii="Times New Roman" w:hAnsi="Times New Roman" w:cs="Times New Roman"/>
          <w:sz w:val="24"/>
          <w:szCs w:val="24"/>
        </w:rPr>
      </w:pPr>
      <w:r>
        <w:rPr>
          <w:rFonts w:ascii="Times New Roman" w:hAnsi="Times New Roman" w:cs="Times New Roman"/>
          <w:sz w:val="24"/>
          <w:szCs w:val="24"/>
        </w:rPr>
        <w:t>Some potential cuts to pediatric health services may be in more subtle ways such as reduction of specific child-centered and patient-centered resources. Examples are cuts to staff like child life specialists or loss of discretionary funds that were previously used by hospital social workers for meal vouchers or cab vouchers for families with young children.</w:t>
      </w:r>
    </w:p>
    <w:p w:rsidR="002C5025" w:rsidRDefault="002C5025">
      <w:pPr>
        <w:pStyle w:val="BodyText"/>
        <w:kinsoku w:val="0"/>
        <w:overflowPunct w:val="0"/>
        <w:spacing w:before="4"/>
        <w:rPr>
          <w:rFonts w:ascii="Times New Roman" w:hAnsi="Times New Roman" w:cs="Times New Roman"/>
          <w:sz w:val="27"/>
          <w:szCs w:val="27"/>
        </w:rPr>
      </w:pPr>
    </w:p>
    <w:p w:rsidR="002C5025" w:rsidRDefault="002C5025">
      <w:pPr>
        <w:pStyle w:val="BodyText"/>
        <w:kinsoku w:val="0"/>
        <w:overflowPunct w:val="0"/>
        <w:spacing w:before="1" w:line="276" w:lineRule="auto"/>
        <w:ind w:left="143" w:right="286"/>
        <w:rPr>
          <w:rFonts w:ascii="Times New Roman" w:hAnsi="Times New Roman" w:cs="Times New Roman"/>
          <w:sz w:val="24"/>
          <w:szCs w:val="24"/>
        </w:rPr>
      </w:pPr>
      <w:r>
        <w:rPr>
          <w:rFonts w:ascii="Times New Roman" w:hAnsi="Times New Roman" w:cs="Times New Roman"/>
          <w:sz w:val="24"/>
          <w:szCs w:val="24"/>
        </w:rPr>
        <w:t>For children with special health care needs, we recommend utilizing existing expertise within the state for this specialized population whose risks, care needs, and costs are not often captured by measure sets.</w:t>
      </w:r>
    </w:p>
    <w:p w:rsidR="002C5025" w:rsidRDefault="002C5025">
      <w:pPr>
        <w:pStyle w:val="BodyText"/>
        <w:kinsoku w:val="0"/>
        <w:overflowPunct w:val="0"/>
        <w:spacing w:before="1" w:line="259" w:lineRule="auto"/>
        <w:ind w:left="143" w:right="160"/>
        <w:rPr>
          <w:rFonts w:ascii="Times New Roman" w:hAnsi="Times New Roman" w:cs="Times New Roman"/>
          <w:position w:val="11"/>
          <w:sz w:val="16"/>
          <w:szCs w:val="16"/>
        </w:rPr>
      </w:pPr>
      <w:r>
        <w:rPr>
          <w:rFonts w:ascii="Times New Roman" w:hAnsi="Times New Roman" w:cs="Times New Roman"/>
          <w:sz w:val="24"/>
          <w:szCs w:val="24"/>
        </w:rPr>
        <w:t>Specifically, the CMMI-funded “4 C” program at Baystate Medical Center and Boston Medical Center serves as a state-specific model of value-based care for children with special needs that improves outcomes through improved care coordination.</w:t>
      </w:r>
      <w:r>
        <w:rPr>
          <w:rFonts w:ascii="Times New Roman" w:hAnsi="Times New Roman" w:cs="Times New Roman"/>
          <w:position w:val="11"/>
          <w:sz w:val="16"/>
          <w:szCs w:val="16"/>
        </w:rPr>
        <w:t>23</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FB027C">
      <w:pPr>
        <w:pStyle w:val="BodyText"/>
        <w:kinsoku w:val="0"/>
        <w:overflowPunct w:val="0"/>
        <w:spacing w:before="1"/>
        <w:rPr>
          <w:rFonts w:ascii="Times New Roman" w:hAnsi="Times New Roman" w:cs="Times New Roman"/>
          <w:sz w:val="10"/>
          <w:szCs w:val="10"/>
        </w:rPr>
      </w:pPr>
      <w:r>
        <w:rPr>
          <w:noProof/>
        </w:rPr>
        <mc:AlternateContent>
          <mc:Choice Requires="wps">
            <w:drawing>
              <wp:anchor distT="0" distB="0" distL="0" distR="0" simplePos="0" relativeHeight="251613696" behindDoc="0" locked="0" layoutInCell="0" allowOverlap="1">
                <wp:simplePos x="0" y="0"/>
                <wp:positionH relativeFrom="page">
                  <wp:posOffset>609600</wp:posOffset>
                </wp:positionH>
                <wp:positionV relativeFrom="paragraph">
                  <wp:posOffset>102235</wp:posOffset>
                </wp:positionV>
                <wp:extent cx="1828800" cy="12700"/>
                <wp:effectExtent l="0" t="0" r="0" b="0"/>
                <wp:wrapTopAndBottom/>
                <wp:docPr id="654" name="Freeform 3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w 2880"/>
                            <a:gd name="T1" fmla="*/ 0 h 20"/>
                            <a:gd name="T2" fmla="*/ 2880 w 2880"/>
                            <a:gd name="T3" fmla="*/ 0 h 20"/>
                          </a:gdLst>
                          <a:ahLst/>
                          <a:cxnLst>
                            <a:cxn ang="0">
                              <a:pos x="T0" y="T1"/>
                            </a:cxn>
                            <a:cxn ang="0">
                              <a:pos x="T2" y="T3"/>
                            </a:cxn>
                          </a:cxnLst>
                          <a:rect l="0" t="0" r="r" b="b"/>
                          <a:pathLst>
                            <a:path w="2880" h="20">
                              <a:moveTo>
                                <a:pt x="0" y="0"/>
                              </a:moveTo>
                              <a:lnTo>
                                <a:pt x="2880"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71" o:spid="_x0000_s1026" style="position:absolute;z-index:251613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48pt,8.05pt,192pt,8.05pt" coordsize="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" o:allowincell="f" filled="f" strokeweight=".20458mm">
                <v:path arrowok="t" o:connecttype="custom" o:connectlocs="0,0;1828800,0" o:connectangles="0,0"/>
                <w10:wrap type="topAndBottom" anchorx="page"/>
              </v:polyline>
            </w:pict>
          </mc:Fallback>
        </mc:AlternateContent>
      </w:r>
    </w:p>
    <w:p w:rsidR="002C5025" w:rsidRDefault="002C5025">
      <w:pPr>
        <w:pStyle w:val="BodyText"/>
        <w:tabs>
          <w:tab w:val="left" w:pos="519"/>
        </w:tabs>
        <w:kinsoku w:val="0"/>
        <w:overflowPunct w:val="0"/>
        <w:spacing w:before="12"/>
        <w:ind w:left="143" w:right="126"/>
        <w:rPr>
          <w:rFonts w:ascii="Times New Roman" w:hAnsi="Times New Roman" w:cs="Times New Roman"/>
          <w:sz w:val="19"/>
          <w:szCs w:val="19"/>
        </w:rPr>
      </w:pPr>
      <w:r>
        <w:rPr>
          <w:rFonts w:ascii="Times New Roman" w:hAnsi="Times New Roman" w:cs="Times New Roman"/>
          <w:position w:val="9"/>
          <w:sz w:val="13"/>
          <w:szCs w:val="13"/>
        </w:rPr>
        <w:t>23</w:t>
      </w:r>
      <w:r>
        <w:rPr>
          <w:rFonts w:ascii="Times New Roman" w:hAnsi="Times New Roman" w:cs="Times New Roman"/>
          <w:position w:val="9"/>
          <w:sz w:val="13"/>
          <w:szCs w:val="13"/>
        </w:rPr>
        <w:tab/>
      </w:r>
      <w:r>
        <w:rPr>
          <w:rFonts w:ascii="Times New Roman" w:hAnsi="Times New Roman" w:cs="Times New Roman"/>
          <w:sz w:val="19"/>
          <w:szCs w:val="19"/>
          <w:u w:val="single"/>
        </w:rPr>
        <w:t>https:/</w:t>
      </w:r>
      <w:hyperlink r:id="rId281" w:history="1">
        <w:r>
          <w:rPr>
            <w:rFonts w:ascii="Times New Roman" w:hAnsi="Times New Roman" w:cs="Times New Roman"/>
            <w:sz w:val="19"/>
            <w:szCs w:val="19"/>
            <w:u w:val="single"/>
          </w:rPr>
          <w:t>/www.baystatehealth.org/services/pediatrics/family-support-services/4c-program</w:t>
        </w:r>
      </w:hyperlink>
    </w:p>
    <w:p w:rsidR="002C5025" w:rsidRDefault="002C5025">
      <w:pPr>
        <w:pStyle w:val="BodyText"/>
        <w:kinsoku w:val="0"/>
        <w:overflowPunct w:val="0"/>
        <w:spacing w:before="6"/>
        <w:rPr>
          <w:rFonts w:ascii="Times New Roman" w:hAnsi="Times New Roman" w:cs="Times New Roman"/>
          <w:sz w:val="14"/>
          <w:szCs w:val="14"/>
        </w:rPr>
      </w:pPr>
    </w:p>
    <w:p w:rsidR="002C5025" w:rsidRDefault="00FB027C">
      <w:pPr>
        <w:pStyle w:val="BodyText"/>
        <w:kinsoku w:val="0"/>
        <w:overflowPunct w:val="0"/>
        <w:spacing w:before="75"/>
        <w:ind w:right="102"/>
        <w:jc w:val="right"/>
        <w:rPr>
          <w:rFonts w:ascii="Times New Roman" w:hAnsi="Times New Roman" w:cs="Times New Roman"/>
          <w:sz w:val="19"/>
          <w:szCs w:val="19"/>
        </w:rPr>
      </w:pPr>
      <w:r>
        <w:rPr>
          <w:noProof/>
        </w:rPr>
        <mc:AlternateContent>
          <mc:Choice Requires="wpg">
            <w:drawing>
              <wp:anchor distT="0" distB="0" distL="114300" distR="114300" simplePos="0" relativeHeight="251614720" behindDoc="0" locked="0" layoutInCell="0" allowOverlap="1">
                <wp:simplePos x="0" y="0"/>
                <wp:positionH relativeFrom="page">
                  <wp:posOffset>572135</wp:posOffset>
                </wp:positionH>
                <wp:positionV relativeFrom="paragraph">
                  <wp:posOffset>46990</wp:posOffset>
                </wp:positionV>
                <wp:extent cx="6410960" cy="38100"/>
                <wp:effectExtent l="0" t="0" r="0" b="0"/>
                <wp:wrapNone/>
                <wp:docPr id="650" name="Group 3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0960" cy="38100"/>
                          <a:chOff x="901" y="74"/>
                          <a:chExt cx="10096" cy="60"/>
                        </a:xfrm>
                      </wpg:grpSpPr>
                      <wps:wsp>
                        <wps:cNvPr id="651" name="Freeform 373"/>
                        <wps:cNvSpPr>
                          <a:spLocks/>
                        </wps:cNvSpPr>
                        <wps:spPr bwMode="auto">
                          <a:xfrm>
                            <a:off x="917" y="83"/>
                            <a:ext cx="10065" cy="20"/>
                          </a:xfrm>
                          <a:custGeom>
                            <a:avLst/>
                            <a:gdLst>
                              <a:gd name="T0" fmla="*/ 0 w 10065"/>
                              <a:gd name="T1" fmla="*/ 0 h 20"/>
                              <a:gd name="T2" fmla="*/ 10065 w 10065"/>
                              <a:gd name="T3" fmla="*/ 0 h 20"/>
                            </a:gdLst>
                            <a:ahLst/>
                            <a:cxnLst>
                              <a:cxn ang="0">
                                <a:pos x="T0" y="T1"/>
                              </a:cxn>
                              <a:cxn ang="0">
                                <a:pos x="T2" y="T3"/>
                              </a:cxn>
                            </a:cxnLst>
                            <a:rect l="0" t="0" r="r" b="b"/>
                            <a:pathLst>
                              <a:path w="10065" h="20">
                                <a:moveTo>
                                  <a:pt x="0" y="0"/>
                                </a:moveTo>
                                <a:lnTo>
                                  <a:pt x="10065"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2" name="Freeform 374"/>
                        <wps:cNvSpPr>
                          <a:spLocks/>
                        </wps:cNvSpPr>
                        <wps:spPr bwMode="auto">
                          <a:xfrm>
                            <a:off x="917" y="105"/>
                            <a:ext cx="10065" cy="20"/>
                          </a:xfrm>
                          <a:custGeom>
                            <a:avLst/>
                            <a:gdLst>
                              <a:gd name="T0" fmla="*/ 0 w 10065"/>
                              <a:gd name="T1" fmla="*/ 0 h 20"/>
                              <a:gd name="T2" fmla="*/ 10065 w 10065"/>
                              <a:gd name="T3" fmla="*/ 0 h 20"/>
                            </a:gdLst>
                            <a:ahLst/>
                            <a:cxnLst>
                              <a:cxn ang="0">
                                <a:pos x="T0" y="T1"/>
                              </a:cxn>
                              <a:cxn ang="0">
                                <a:pos x="T2" y="T3"/>
                              </a:cxn>
                            </a:cxnLst>
                            <a:rect l="0" t="0" r="r" b="b"/>
                            <a:pathLst>
                              <a:path w="10065" h="20">
                                <a:moveTo>
                                  <a:pt x="0" y="0"/>
                                </a:moveTo>
                                <a:lnTo>
                                  <a:pt x="10065" y="0"/>
                                </a:lnTo>
                              </a:path>
                            </a:pathLst>
                          </a:custGeom>
                          <a:noFill/>
                          <a:ln w="19558">
                            <a:solidFill>
                              <a:srgbClr val="6060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3" name="Freeform 375"/>
                        <wps:cNvSpPr>
                          <a:spLocks/>
                        </wps:cNvSpPr>
                        <wps:spPr bwMode="auto">
                          <a:xfrm>
                            <a:off x="917" y="126"/>
                            <a:ext cx="10065" cy="20"/>
                          </a:xfrm>
                          <a:custGeom>
                            <a:avLst/>
                            <a:gdLst>
                              <a:gd name="T0" fmla="*/ 0 w 10065"/>
                              <a:gd name="T1" fmla="*/ 0 h 20"/>
                              <a:gd name="T2" fmla="*/ 10065 w 10065"/>
                              <a:gd name="T3" fmla="*/ 0 h 20"/>
                            </a:gdLst>
                            <a:ahLst/>
                            <a:cxnLst>
                              <a:cxn ang="0">
                                <a:pos x="T0" y="T1"/>
                              </a:cxn>
                              <a:cxn ang="0">
                                <a:pos x="T2" y="T3"/>
                              </a:cxn>
                            </a:cxnLst>
                            <a:rect l="0" t="0" r="r" b="b"/>
                            <a:pathLst>
                              <a:path w="10065" h="20">
                                <a:moveTo>
                                  <a:pt x="0" y="0"/>
                                </a:moveTo>
                                <a:lnTo>
                                  <a:pt x="10065" y="0"/>
                                </a:lnTo>
                              </a:path>
                            </a:pathLst>
                          </a:custGeom>
                          <a:noFill/>
                          <a:ln w="10414">
                            <a:solidFill>
                              <a:srgbClr val="C1C1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72" o:spid="_x0000_s1026" style="position:absolute;margin-left:45.05pt;margin-top:3.7pt;width:504.8pt;height:3pt;z-index:251614720;mso-position-horizontal-relative:page" coordorigin="901,74" coordsize="1009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" o:allowincell="f">
                <v:shape id="Freeform 373" o:spid="_x0000_s1027" style="position:absolute;left:917;top:83;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qK/sYA&#10;AADcAAAADwAAAGRycy9kb3ducmV2LnhtbESPQWvCQBSE7wX/w/KEXkrdWFBKdJWiWCQHITbQ6yP7&#10;TGKzb5fsVqO/3hUEj8PMfMPMl71pxYk631hWMB4lIIhLqxuuFBQ/m/dPED4ga2wtk4ILeVguBi9z&#10;TLU9c06nfahEhLBPUUEdgkul9GVNBv3IOuLoHWxnMETZVVJ3eI5w08qPJJlKgw3HhRodrWoq//b/&#10;RsF2d8zXv+ZauKteHQr3lmXfeabU67D/moEI1Idn+NHeagXTyRjuZ+IR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7qK/sYAAADcAAAADwAAAAAAAAAAAAAAAACYAgAAZHJz&#10;L2Rvd25yZXYueG1sUEsFBgAAAAAEAAQA9QAAAIsDAAAAAA==&#10;" path="m,l10065,e" filled="f" strokeweight=".82pt">
                  <v:path arrowok="t" o:connecttype="custom" o:connectlocs="0,0;10065,0" o:connectangles="0,0"/>
                </v:shape>
                <v:shape id="Freeform 374" o:spid="_x0000_s1028" style="position:absolute;left:917;top:105;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eEtMUA&#10;AADcAAAADwAAAGRycy9kb3ducmV2LnhtbESPzUoDQRCE74LvMLSQm5lNSBZZMwkaSAi5iKuIx2an&#10;90d3epaZNtm8fUYQPBZV9RW12oyuVycKsfNsYDbNQBFX3nbcGHh/290/gIqCbLH3TAYuFGGzvr1Z&#10;YWH9mV/pVEqjEoRjgQZakaHQOlYtOYxTPxAnr/bBoSQZGm0DnhPc9XqeZbl22HFaaHGgbUvVd/nj&#10;DHzizpb5ot6OX0FmL8/1h+yPzpjJ3fj0CEpolP/wX/tgDeTLOfyeSUdAr6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B4S0xQAAANwAAAAPAAAAAAAAAAAAAAAAAJgCAABkcnMv&#10;ZG93bnJldi54bWxQSwUGAAAAAAQABAD1AAAAigMAAAAA&#10;" path="m,l10065,e" filled="f" strokecolor="#606060" strokeweight="1.54pt">
                  <v:path arrowok="t" o:connecttype="custom" o:connectlocs="0,0;10065,0" o:connectangles="0,0"/>
                </v:shape>
                <v:shape id="Freeform 375" o:spid="_x0000_s1029" style="position:absolute;left:917;top:126;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fCjMMA&#10;AADcAAAADwAAAGRycy9kb3ducmV2LnhtbESPQYvCMBSE74L/ITzBm6ZrsWjXKFIQvdYVpLdH87Yt&#10;27yUJmr115uFhT0OM/MNs9kNphV36l1jWcHHPAJBXFrdcKXg8nWYrUA4j6yxtUwKnuRgtx2PNphq&#10;++Cc7mdfiQBhl6KC2vsuldKVNRl0c9sRB+/b9gZ9kH0ldY+PADetXERRIg02HBZq7Cirqfw534yC&#10;Ik+u62P34jjOfF4kmamKfKHUdDLsP0F4Gvx/+K990gqSZQy/Z8IRkN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fCjMMAAADcAAAADwAAAAAAAAAAAAAAAACYAgAAZHJzL2Rv&#10;d25yZXYueG1sUEsFBgAAAAAEAAQA9QAAAIgDAAAAAA==&#10;" path="m,l10065,e" filled="f" strokecolor="#c1c1c1" strokeweight=".82pt">
                  <v:path arrowok="t" o:connecttype="custom" o:connectlocs="0,0;10065,0" o:connectangles="0,0"/>
                </v:shape>
                <w10:wrap anchorx="page"/>
              </v:group>
            </w:pict>
          </mc:Fallback>
        </mc:AlternateContent>
      </w:r>
      <w:r w:rsidR="002C5025">
        <w:rPr>
          <w:rFonts w:ascii="Times New Roman" w:hAnsi="Times New Roman" w:cs="Times New Roman"/>
          <w:sz w:val="19"/>
          <w:szCs w:val="19"/>
        </w:rPr>
        <w:t>11</w:t>
      </w:r>
    </w:p>
    <w:p w:rsidR="002C5025" w:rsidRDefault="002C5025">
      <w:pPr>
        <w:pStyle w:val="BodyText"/>
        <w:kinsoku w:val="0"/>
        <w:overflowPunct w:val="0"/>
        <w:spacing w:before="109" w:line="244" w:lineRule="auto"/>
        <w:ind w:left="642" w:right="773" w:hanging="348"/>
        <w:rPr>
          <w:rFonts w:ascii="Cambria" w:hAnsi="Cambria" w:cs="Cambria"/>
          <w:i/>
          <w:iCs/>
          <w:w w:val="105"/>
          <w:sz w:val="19"/>
          <w:szCs w:val="19"/>
        </w:rPr>
      </w:pPr>
      <w:r>
        <w:rPr>
          <w:rFonts w:ascii="Cambria" w:hAnsi="Cambria" w:cs="Cambria"/>
          <w:i/>
          <w:iCs/>
          <w:w w:val="105"/>
          <w:sz w:val="19"/>
          <w:szCs w:val="19"/>
        </w:rPr>
        <w:t>Doctors</w:t>
      </w:r>
      <w:r>
        <w:rPr>
          <w:rFonts w:ascii="Cambria" w:hAnsi="Cambria" w:cs="Cambria"/>
          <w:i/>
          <w:iCs/>
          <w:spacing w:val="-10"/>
          <w:w w:val="105"/>
          <w:sz w:val="19"/>
          <w:szCs w:val="19"/>
        </w:rPr>
        <w:t xml:space="preserve"> </w:t>
      </w:r>
      <w:r>
        <w:rPr>
          <w:rFonts w:ascii="Cambria" w:hAnsi="Cambria" w:cs="Cambria"/>
          <w:i/>
          <w:iCs/>
          <w:w w:val="105"/>
          <w:sz w:val="19"/>
          <w:szCs w:val="19"/>
        </w:rPr>
        <w:t>for</w:t>
      </w:r>
      <w:r>
        <w:rPr>
          <w:rFonts w:ascii="Cambria" w:hAnsi="Cambria" w:cs="Cambria"/>
          <w:i/>
          <w:iCs/>
          <w:spacing w:val="-13"/>
          <w:w w:val="105"/>
          <w:sz w:val="19"/>
          <w:szCs w:val="19"/>
        </w:rPr>
        <w:t xml:space="preserve"> </w:t>
      </w:r>
      <w:r>
        <w:rPr>
          <w:rFonts w:ascii="Cambria" w:hAnsi="Cambria" w:cs="Cambria"/>
          <w:i/>
          <w:iCs/>
          <w:w w:val="105"/>
          <w:sz w:val="19"/>
          <w:szCs w:val="19"/>
        </w:rPr>
        <w:t>America</w:t>
      </w:r>
      <w:r>
        <w:rPr>
          <w:rFonts w:ascii="Cambria" w:hAnsi="Cambria" w:cs="Cambria"/>
          <w:i/>
          <w:iCs/>
          <w:spacing w:val="-12"/>
          <w:w w:val="105"/>
          <w:sz w:val="19"/>
          <w:szCs w:val="19"/>
        </w:rPr>
        <w:t xml:space="preserve"> </w:t>
      </w:r>
      <w:r>
        <w:rPr>
          <w:rFonts w:ascii="Cambria" w:hAnsi="Cambria" w:cs="Cambria"/>
          <w:i/>
          <w:iCs/>
          <w:w w:val="105"/>
          <w:sz w:val="19"/>
          <w:szCs w:val="19"/>
        </w:rPr>
        <w:t>is</w:t>
      </w:r>
      <w:r>
        <w:rPr>
          <w:rFonts w:ascii="Cambria" w:hAnsi="Cambria" w:cs="Cambria"/>
          <w:i/>
          <w:iCs/>
          <w:spacing w:val="-13"/>
          <w:w w:val="105"/>
          <w:sz w:val="19"/>
          <w:szCs w:val="19"/>
        </w:rPr>
        <w:t xml:space="preserve"> </w:t>
      </w:r>
      <w:r>
        <w:rPr>
          <w:rFonts w:ascii="Cambria" w:hAnsi="Cambria" w:cs="Cambria"/>
          <w:i/>
          <w:iCs/>
          <w:w w:val="105"/>
          <w:sz w:val="19"/>
          <w:szCs w:val="19"/>
        </w:rPr>
        <w:t>a</w:t>
      </w:r>
      <w:r>
        <w:rPr>
          <w:rFonts w:ascii="Cambria" w:hAnsi="Cambria" w:cs="Cambria"/>
          <w:i/>
          <w:iCs/>
          <w:spacing w:val="-10"/>
          <w:w w:val="105"/>
          <w:sz w:val="19"/>
          <w:szCs w:val="19"/>
        </w:rPr>
        <w:t xml:space="preserve"> </w:t>
      </w:r>
      <w:r>
        <w:rPr>
          <w:rFonts w:ascii="Cambria" w:hAnsi="Cambria" w:cs="Cambria"/>
          <w:i/>
          <w:iCs/>
          <w:w w:val="105"/>
          <w:sz w:val="19"/>
          <w:szCs w:val="19"/>
        </w:rPr>
        <w:t>501(c)(3)</w:t>
      </w:r>
      <w:r>
        <w:rPr>
          <w:rFonts w:ascii="Cambria" w:hAnsi="Cambria" w:cs="Cambria"/>
          <w:i/>
          <w:iCs/>
          <w:spacing w:val="-13"/>
          <w:w w:val="105"/>
          <w:sz w:val="19"/>
          <w:szCs w:val="19"/>
        </w:rPr>
        <w:t xml:space="preserve"> </w:t>
      </w:r>
      <w:r>
        <w:rPr>
          <w:rFonts w:ascii="Cambria" w:hAnsi="Cambria" w:cs="Cambria"/>
          <w:i/>
          <w:iCs/>
          <w:w w:val="105"/>
          <w:sz w:val="19"/>
          <w:szCs w:val="19"/>
        </w:rPr>
        <w:t>national</w:t>
      </w:r>
      <w:r>
        <w:rPr>
          <w:rFonts w:ascii="Cambria" w:hAnsi="Cambria" w:cs="Cambria"/>
          <w:i/>
          <w:iCs/>
          <w:spacing w:val="-11"/>
          <w:w w:val="105"/>
          <w:sz w:val="19"/>
          <w:szCs w:val="19"/>
        </w:rPr>
        <w:t xml:space="preserve"> </w:t>
      </w:r>
      <w:r>
        <w:rPr>
          <w:rFonts w:ascii="Cambria" w:hAnsi="Cambria" w:cs="Cambria"/>
          <w:i/>
          <w:iCs/>
          <w:w w:val="105"/>
          <w:sz w:val="19"/>
          <w:szCs w:val="19"/>
        </w:rPr>
        <w:t>movement</w:t>
      </w:r>
      <w:r>
        <w:rPr>
          <w:rFonts w:ascii="Cambria" w:hAnsi="Cambria" w:cs="Cambria"/>
          <w:i/>
          <w:iCs/>
          <w:spacing w:val="-10"/>
          <w:w w:val="105"/>
          <w:sz w:val="19"/>
          <w:szCs w:val="19"/>
        </w:rPr>
        <w:t xml:space="preserve"> </w:t>
      </w:r>
      <w:r>
        <w:rPr>
          <w:rFonts w:ascii="Cambria" w:hAnsi="Cambria" w:cs="Cambria"/>
          <w:i/>
          <w:iCs/>
          <w:w w:val="105"/>
          <w:sz w:val="19"/>
          <w:szCs w:val="19"/>
        </w:rPr>
        <w:t>that</w:t>
      </w:r>
      <w:r>
        <w:rPr>
          <w:rFonts w:ascii="Cambria" w:hAnsi="Cambria" w:cs="Cambria"/>
          <w:i/>
          <w:iCs/>
          <w:spacing w:val="-13"/>
          <w:w w:val="105"/>
          <w:sz w:val="19"/>
          <w:szCs w:val="19"/>
        </w:rPr>
        <w:t xml:space="preserve"> </w:t>
      </w:r>
      <w:r>
        <w:rPr>
          <w:rFonts w:ascii="Cambria" w:hAnsi="Cambria" w:cs="Cambria"/>
          <w:i/>
          <w:iCs/>
          <w:w w:val="105"/>
          <w:sz w:val="19"/>
          <w:szCs w:val="19"/>
        </w:rPr>
        <w:t>mobilizes</w:t>
      </w:r>
      <w:r>
        <w:rPr>
          <w:rFonts w:ascii="Cambria" w:hAnsi="Cambria" w:cs="Cambria"/>
          <w:i/>
          <w:iCs/>
          <w:spacing w:val="-10"/>
          <w:w w:val="105"/>
          <w:sz w:val="19"/>
          <w:szCs w:val="19"/>
        </w:rPr>
        <w:t xml:space="preserve"> </w:t>
      </w:r>
      <w:r>
        <w:rPr>
          <w:rFonts w:ascii="Cambria" w:hAnsi="Cambria" w:cs="Cambria"/>
          <w:i/>
          <w:iCs/>
          <w:w w:val="105"/>
          <w:sz w:val="19"/>
          <w:szCs w:val="19"/>
        </w:rPr>
        <w:t>physicians</w:t>
      </w:r>
      <w:r>
        <w:rPr>
          <w:rFonts w:ascii="Cambria" w:hAnsi="Cambria" w:cs="Cambria"/>
          <w:i/>
          <w:iCs/>
          <w:spacing w:val="-13"/>
          <w:w w:val="105"/>
          <w:sz w:val="19"/>
          <w:szCs w:val="19"/>
        </w:rPr>
        <w:t xml:space="preserve"> </w:t>
      </w:r>
      <w:r>
        <w:rPr>
          <w:rFonts w:ascii="Cambria" w:hAnsi="Cambria" w:cs="Cambria"/>
          <w:i/>
          <w:iCs/>
          <w:w w:val="105"/>
          <w:sz w:val="19"/>
          <w:szCs w:val="19"/>
        </w:rPr>
        <w:t>and</w:t>
      </w:r>
      <w:r>
        <w:rPr>
          <w:rFonts w:ascii="Cambria" w:hAnsi="Cambria" w:cs="Cambria"/>
          <w:i/>
          <w:iCs/>
          <w:spacing w:val="-12"/>
          <w:w w:val="105"/>
          <w:sz w:val="19"/>
          <w:szCs w:val="19"/>
        </w:rPr>
        <w:t xml:space="preserve"> </w:t>
      </w:r>
      <w:r>
        <w:rPr>
          <w:rFonts w:ascii="Cambria" w:hAnsi="Cambria" w:cs="Cambria"/>
          <w:i/>
          <w:iCs/>
          <w:w w:val="105"/>
          <w:sz w:val="19"/>
          <w:szCs w:val="19"/>
        </w:rPr>
        <w:t>medical</w:t>
      </w:r>
      <w:r>
        <w:rPr>
          <w:rFonts w:ascii="Cambria" w:hAnsi="Cambria" w:cs="Cambria"/>
          <w:i/>
          <w:iCs/>
          <w:spacing w:val="-14"/>
          <w:w w:val="105"/>
          <w:sz w:val="19"/>
          <w:szCs w:val="19"/>
        </w:rPr>
        <w:t xml:space="preserve"> </w:t>
      </w:r>
      <w:r>
        <w:rPr>
          <w:rFonts w:ascii="Cambria" w:hAnsi="Cambria" w:cs="Cambria"/>
          <w:i/>
          <w:iCs/>
          <w:w w:val="105"/>
          <w:sz w:val="19"/>
          <w:szCs w:val="19"/>
        </w:rPr>
        <w:t>students</w:t>
      </w:r>
      <w:r>
        <w:rPr>
          <w:rFonts w:ascii="Cambria" w:hAnsi="Cambria" w:cs="Cambria"/>
          <w:i/>
          <w:iCs/>
          <w:spacing w:val="-13"/>
          <w:w w:val="105"/>
          <w:sz w:val="19"/>
          <w:szCs w:val="19"/>
        </w:rPr>
        <w:t xml:space="preserve"> </w:t>
      </w:r>
      <w:r>
        <w:rPr>
          <w:rFonts w:ascii="Cambria" w:hAnsi="Cambria" w:cs="Cambria"/>
          <w:i/>
          <w:iCs/>
          <w:w w:val="105"/>
          <w:sz w:val="19"/>
          <w:szCs w:val="19"/>
        </w:rPr>
        <w:t>to</w:t>
      </w:r>
      <w:r>
        <w:rPr>
          <w:rFonts w:ascii="Cambria" w:hAnsi="Cambria" w:cs="Cambria"/>
          <w:i/>
          <w:iCs/>
          <w:spacing w:val="-14"/>
          <w:w w:val="105"/>
          <w:sz w:val="19"/>
          <w:szCs w:val="19"/>
        </w:rPr>
        <w:t xml:space="preserve"> </w:t>
      </w:r>
      <w:r>
        <w:rPr>
          <w:rFonts w:ascii="Cambria" w:hAnsi="Cambria" w:cs="Cambria"/>
          <w:i/>
          <w:iCs/>
          <w:w w:val="105"/>
          <w:sz w:val="19"/>
          <w:szCs w:val="19"/>
        </w:rPr>
        <w:t>put</w:t>
      </w:r>
      <w:r>
        <w:rPr>
          <w:rFonts w:ascii="Cambria" w:hAnsi="Cambria" w:cs="Cambria"/>
          <w:i/>
          <w:iCs/>
          <w:spacing w:val="-13"/>
          <w:w w:val="105"/>
          <w:sz w:val="19"/>
          <w:szCs w:val="19"/>
        </w:rPr>
        <w:t xml:space="preserve"> </w:t>
      </w:r>
      <w:r>
        <w:rPr>
          <w:rFonts w:ascii="Cambria" w:hAnsi="Cambria" w:cs="Cambria"/>
          <w:i/>
          <w:iCs/>
          <w:w w:val="105"/>
          <w:sz w:val="19"/>
          <w:szCs w:val="19"/>
        </w:rPr>
        <w:t>patients over</w:t>
      </w:r>
      <w:r>
        <w:rPr>
          <w:rFonts w:ascii="Cambria" w:hAnsi="Cambria" w:cs="Cambria"/>
          <w:i/>
          <w:iCs/>
          <w:spacing w:val="-10"/>
          <w:w w:val="105"/>
          <w:sz w:val="19"/>
          <w:szCs w:val="19"/>
        </w:rPr>
        <w:t xml:space="preserve"> </w:t>
      </w:r>
      <w:r>
        <w:rPr>
          <w:rFonts w:ascii="Cambria" w:hAnsi="Cambria" w:cs="Cambria"/>
          <w:i/>
          <w:iCs/>
          <w:w w:val="105"/>
          <w:sz w:val="19"/>
          <w:szCs w:val="19"/>
        </w:rPr>
        <w:t>politics</w:t>
      </w:r>
      <w:r>
        <w:rPr>
          <w:rFonts w:ascii="Cambria" w:hAnsi="Cambria" w:cs="Cambria"/>
          <w:i/>
          <w:iCs/>
          <w:spacing w:val="-9"/>
          <w:w w:val="105"/>
          <w:sz w:val="19"/>
          <w:szCs w:val="19"/>
        </w:rPr>
        <w:t xml:space="preserve"> </w:t>
      </w:r>
      <w:r>
        <w:rPr>
          <w:rFonts w:ascii="Cambria" w:hAnsi="Cambria" w:cs="Cambria"/>
          <w:i/>
          <w:iCs/>
          <w:w w:val="105"/>
          <w:sz w:val="19"/>
          <w:szCs w:val="19"/>
        </w:rPr>
        <w:t>on</w:t>
      </w:r>
      <w:r>
        <w:rPr>
          <w:rFonts w:ascii="Cambria" w:hAnsi="Cambria" w:cs="Cambria"/>
          <w:i/>
          <w:iCs/>
          <w:spacing w:val="-11"/>
          <w:w w:val="105"/>
          <w:sz w:val="19"/>
          <w:szCs w:val="19"/>
        </w:rPr>
        <w:t xml:space="preserve"> </w:t>
      </w:r>
      <w:r>
        <w:rPr>
          <w:rFonts w:ascii="Cambria" w:hAnsi="Cambria" w:cs="Cambria"/>
          <w:i/>
          <w:iCs/>
          <w:w w:val="105"/>
          <w:sz w:val="19"/>
          <w:szCs w:val="19"/>
        </w:rPr>
        <w:t>the</w:t>
      </w:r>
      <w:r>
        <w:rPr>
          <w:rFonts w:ascii="Cambria" w:hAnsi="Cambria" w:cs="Cambria"/>
          <w:i/>
          <w:iCs/>
          <w:spacing w:val="-10"/>
          <w:w w:val="105"/>
          <w:sz w:val="19"/>
          <w:szCs w:val="19"/>
        </w:rPr>
        <w:t xml:space="preserve"> </w:t>
      </w:r>
      <w:r>
        <w:rPr>
          <w:rFonts w:ascii="Cambria" w:hAnsi="Cambria" w:cs="Cambria"/>
          <w:i/>
          <w:iCs/>
          <w:w w:val="105"/>
          <w:sz w:val="19"/>
          <w:szCs w:val="19"/>
        </w:rPr>
        <w:t>pressing</w:t>
      </w:r>
      <w:r>
        <w:rPr>
          <w:rFonts w:ascii="Cambria" w:hAnsi="Cambria" w:cs="Cambria"/>
          <w:i/>
          <w:iCs/>
          <w:spacing w:val="-9"/>
          <w:w w:val="105"/>
          <w:sz w:val="19"/>
          <w:szCs w:val="19"/>
        </w:rPr>
        <w:t xml:space="preserve"> </w:t>
      </w:r>
      <w:r>
        <w:rPr>
          <w:rFonts w:ascii="Cambria" w:hAnsi="Cambria" w:cs="Cambria"/>
          <w:i/>
          <w:iCs/>
          <w:w w:val="105"/>
          <w:sz w:val="19"/>
          <w:szCs w:val="19"/>
        </w:rPr>
        <w:t>issues</w:t>
      </w:r>
      <w:r>
        <w:rPr>
          <w:rFonts w:ascii="Cambria" w:hAnsi="Cambria" w:cs="Cambria"/>
          <w:i/>
          <w:iCs/>
          <w:spacing w:val="-9"/>
          <w:w w:val="105"/>
          <w:sz w:val="19"/>
          <w:szCs w:val="19"/>
        </w:rPr>
        <w:t xml:space="preserve"> </w:t>
      </w:r>
      <w:r>
        <w:rPr>
          <w:rFonts w:ascii="Cambria" w:hAnsi="Cambria" w:cs="Cambria"/>
          <w:i/>
          <w:iCs/>
          <w:w w:val="105"/>
          <w:sz w:val="19"/>
          <w:szCs w:val="19"/>
        </w:rPr>
        <w:t>of</w:t>
      </w:r>
      <w:r>
        <w:rPr>
          <w:rFonts w:ascii="Cambria" w:hAnsi="Cambria" w:cs="Cambria"/>
          <w:i/>
          <w:iCs/>
          <w:spacing w:val="-11"/>
          <w:w w:val="105"/>
          <w:sz w:val="19"/>
          <w:szCs w:val="19"/>
        </w:rPr>
        <w:t xml:space="preserve"> </w:t>
      </w:r>
      <w:r>
        <w:rPr>
          <w:rFonts w:ascii="Cambria" w:hAnsi="Cambria" w:cs="Cambria"/>
          <w:i/>
          <w:iCs/>
          <w:w w:val="105"/>
          <w:sz w:val="19"/>
          <w:szCs w:val="19"/>
        </w:rPr>
        <w:t>the</w:t>
      </w:r>
      <w:r>
        <w:rPr>
          <w:rFonts w:ascii="Cambria" w:hAnsi="Cambria" w:cs="Cambria"/>
          <w:i/>
          <w:iCs/>
          <w:spacing w:val="-10"/>
          <w:w w:val="105"/>
          <w:sz w:val="19"/>
          <w:szCs w:val="19"/>
        </w:rPr>
        <w:t xml:space="preserve"> </w:t>
      </w:r>
      <w:r>
        <w:rPr>
          <w:rFonts w:ascii="Cambria" w:hAnsi="Cambria" w:cs="Cambria"/>
          <w:i/>
          <w:iCs/>
          <w:w w:val="105"/>
          <w:sz w:val="19"/>
          <w:szCs w:val="19"/>
        </w:rPr>
        <w:t>day</w:t>
      </w:r>
      <w:r>
        <w:rPr>
          <w:rFonts w:ascii="Cambria" w:hAnsi="Cambria" w:cs="Cambria"/>
          <w:i/>
          <w:iCs/>
          <w:spacing w:val="-10"/>
          <w:w w:val="105"/>
          <w:sz w:val="19"/>
          <w:szCs w:val="19"/>
        </w:rPr>
        <w:t xml:space="preserve"> </w:t>
      </w:r>
      <w:r>
        <w:rPr>
          <w:rFonts w:ascii="Cambria" w:hAnsi="Cambria" w:cs="Cambria"/>
          <w:i/>
          <w:iCs/>
          <w:w w:val="105"/>
          <w:sz w:val="19"/>
          <w:szCs w:val="19"/>
        </w:rPr>
        <w:t>to</w:t>
      </w:r>
      <w:r>
        <w:rPr>
          <w:rFonts w:ascii="Cambria" w:hAnsi="Cambria" w:cs="Cambria"/>
          <w:i/>
          <w:iCs/>
          <w:spacing w:val="-10"/>
          <w:w w:val="105"/>
          <w:sz w:val="19"/>
          <w:szCs w:val="19"/>
        </w:rPr>
        <w:t xml:space="preserve"> </w:t>
      </w:r>
      <w:r>
        <w:rPr>
          <w:rFonts w:ascii="Cambria" w:hAnsi="Cambria" w:cs="Cambria"/>
          <w:i/>
          <w:iCs/>
          <w:w w:val="105"/>
          <w:sz w:val="19"/>
          <w:szCs w:val="19"/>
        </w:rPr>
        <w:t>improve</w:t>
      </w:r>
      <w:r>
        <w:rPr>
          <w:rFonts w:ascii="Cambria" w:hAnsi="Cambria" w:cs="Cambria"/>
          <w:i/>
          <w:iCs/>
          <w:spacing w:val="-10"/>
          <w:w w:val="105"/>
          <w:sz w:val="19"/>
          <w:szCs w:val="19"/>
        </w:rPr>
        <w:t xml:space="preserve"> </w:t>
      </w:r>
      <w:r>
        <w:rPr>
          <w:rFonts w:ascii="Cambria" w:hAnsi="Cambria" w:cs="Cambria"/>
          <w:i/>
          <w:iCs/>
          <w:w w:val="105"/>
          <w:sz w:val="19"/>
          <w:szCs w:val="19"/>
        </w:rPr>
        <w:t>the</w:t>
      </w:r>
      <w:r>
        <w:rPr>
          <w:rFonts w:ascii="Cambria" w:hAnsi="Cambria" w:cs="Cambria"/>
          <w:i/>
          <w:iCs/>
          <w:spacing w:val="-10"/>
          <w:w w:val="105"/>
          <w:sz w:val="19"/>
          <w:szCs w:val="19"/>
        </w:rPr>
        <w:t xml:space="preserve"> </w:t>
      </w:r>
      <w:r>
        <w:rPr>
          <w:rFonts w:ascii="Cambria" w:hAnsi="Cambria" w:cs="Cambria"/>
          <w:i/>
          <w:iCs/>
          <w:w w:val="105"/>
          <w:sz w:val="19"/>
          <w:szCs w:val="19"/>
        </w:rPr>
        <w:t>health</w:t>
      </w:r>
      <w:r>
        <w:rPr>
          <w:rFonts w:ascii="Cambria" w:hAnsi="Cambria" w:cs="Cambria"/>
          <w:i/>
          <w:iCs/>
          <w:spacing w:val="-10"/>
          <w:w w:val="105"/>
          <w:sz w:val="19"/>
          <w:szCs w:val="19"/>
        </w:rPr>
        <w:t xml:space="preserve"> </w:t>
      </w:r>
      <w:r>
        <w:rPr>
          <w:rFonts w:ascii="Cambria" w:hAnsi="Cambria" w:cs="Cambria"/>
          <w:i/>
          <w:iCs/>
          <w:w w:val="105"/>
          <w:sz w:val="19"/>
          <w:szCs w:val="19"/>
        </w:rPr>
        <w:t>of</w:t>
      </w:r>
      <w:r>
        <w:rPr>
          <w:rFonts w:ascii="Cambria" w:hAnsi="Cambria" w:cs="Cambria"/>
          <w:i/>
          <w:iCs/>
          <w:spacing w:val="-11"/>
          <w:w w:val="105"/>
          <w:sz w:val="19"/>
          <w:szCs w:val="19"/>
        </w:rPr>
        <w:t xml:space="preserve"> </w:t>
      </w:r>
      <w:r>
        <w:rPr>
          <w:rFonts w:ascii="Cambria" w:hAnsi="Cambria" w:cs="Cambria"/>
          <w:i/>
          <w:iCs/>
          <w:w w:val="105"/>
          <w:sz w:val="19"/>
          <w:szCs w:val="19"/>
        </w:rPr>
        <w:t>our</w:t>
      </w:r>
      <w:r>
        <w:rPr>
          <w:rFonts w:ascii="Cambria" w:hAnsi="Cambria" w:cs="Cambria"/>
          <w:i/>
          <w:iCs/>
          <w:spacing w:val="-10"/>
          <w:w w:val="105"/>
          <w:sz w:val="19"/>
          <w:szCs w:val="19"/>
        </w:rPr>
        <w:t xml:space="preserve"> </w:t>
      </w:r>
      <w:r>
        <w:rPr>
          <w:rFonts w:ascii="Cambria" w:hAnsi="Cambria" w:cs="Cambria"/>
          <w:i/>
          <w:iCs/>
          <w:w w:val="105"/>
          <w:sz w:val="19"/>
          <w:szCs w:val="19"/>
        </w:rPr>
        <w:t>patients,</w:t>
      </w:r>
      <w:r>
        <w:rPr>
          <w:rFonts w:ascii="Cambria" w:hAnsi="Cambria" w:cs="Cambria"/>
          <w:i/>
          <w:iCs/>
          <w:spacing w:val="-12"/>
          <w:w w:val="105"/>
          <w:sz w:val="19"/>
          <w:szCs w:val="19"/>
        </w:rPr>
        <w:t xml:space="preserve"> </w:t>
      </w:r>
      <w:r>
        <w:rPr>
          <w:rFonts w:ascii="Cambria" w:hAnsi="Cambria" w:cs="Cambria"/>
          <w:i/>
          <w:iCs/>
          <w:w w:val="105"/>
          <w:sz w:val="19"/>
          <w:szCs w:val="19"/>
        </w:rPr>
        <w:t>communities,</w:t>
      </w:r>
      <w:r>
        <w:rPr>
          <w:rFonts w:ascii="Cambria" w:hAnsi="Cambria" w:cs="Cambria"/>
          <w:i/>
          <w:iCs/>
          <w:spacing w:val="-9"/>
          <w:w w:val="105"/>
          <w:sz w:val="19"/>
          <w:szCs w:val="19"/>
        </w:rPr>
        <w:t xml:space="preserve"> </w:t>
      </w:r>
      <w:r>
        <w:rPr>
          <w:rFonts w:ascii="Cambria" w:hAnsi="Cambria" w:cs="Cambria"/>
          <w:i/>
          <w:iCs/>
          <w:w w:val="105"/>
          <w:sz w:val="19"/>
          <w:szCs w:val="19"/>
        </w:rPr>
        <w:t>and</w:t>
      </w:r>
      <w:r>
        <w:rPr>
          <w:rFonts w:ascii="Cambria" w:hAnsi="Cambria" w:cs="Cambria"/>
          <w:i/>
          <w:iCs/>
          <w:spacing w:val="-11"/>
          <w:w w:val="105"/>
          <w:sz w:val="19"/>
          <w:szCs w:val="19"/>
        </w:rPr>
        <w:t xml:space="preserve"> </w:t>
      </w:r>
      <w:r>
        <w:rPr>
          <w:rFonts w:ascii="Cambria" w:hAnsi="Cambria" w:cs="Cambria"/>
          <w:i/>
          <w:iCs/>
          <w:w w:val="105"/>
          <w:sz w:val="19"/>
          <w:szCs w:val="19"/>
        </w:rPr>
        <w:t>nation..</w:t>
      </w:r>
    </w:p>
    <w:p w:rsidR="002C5025" w:rsidRDefault="002C5025">
      <w:pPr>
        <w:pStyle w:val="BodyText"/>
        <w:kinsoku w:val="0"/>
        <w:overflowPunct w:val="0"/>
        <w:spacing w:before="109" w:line="244" w:lineRule="auto"/>
        <w:ind w:left="642" w:right="773" w:hanging="348"/>
        <w:rPr>
          <w:rFonts w:ascii="Cambria" w:hAnsi="Cambria" w:cs="Cambria"/>
          <w:i/>
          <w:iCs/>
          <w:w w:val="105"/>
          <w:sz w:val="19"/>
          <w:szCs w:val="19"/>
        </w:rPr>
        <w:sectPr w:rsidR="002C5025">
          <w:pgSz w:w="12240" w:h="15840"/>
          <w:pgMar w:top="940" w:right="820" w:bottom="280" w:left="800" w:header="720" w:footer="720" w:gutter="0"/>
          <w:pgBorders w:offsetFrom="page">
            <w:top w:val="single" w:sz="24" w:space="24" w:color="213957"/>
            <w:left w:val="single" w:sz="24" w:space="24" w:color="213957"/>
            <w:bottom w:val="single" w:sz="24" w:space="24" w:color="213957"/>
            <w:right w:val="single" w:sz="24" w:space="24" w:color="213957"/>
          </w:pgBorders>
          <w:cols w:space="720"/>
          <w:noEndnote/>
        </w:sectPr>
      </w:pPr>
    </w:p>
    <w:p w:rsidR="002C5025" w:rsidRDefault="002C5025">
      <w:pPr>
        <w:pStyle w:val="BodyText"/>
        <w:kinsoku w:val="0"/>
        <w:overflowPunct w:val="0"/>
        <w:spacing w:before="52" w:line="276" w:lineRule="auto"/>
        <w:ind w:left="143" w:right="186"/>
        <w:rPr>
          <w:rFonts w:ascii="Times New Roman" w:hAnsi="Times New Roman" w:cs="Times New Roman"/>
          <w:sz w:val="24"/>
          <w:szCs w:val="24"/>
        </w:rPr>
      </w:pPr>
      <w:r>
        <w:rPr>
          <w:rFonts w:ascii="Times New Roman" w:hAnsi="Times New Roman" w:cs="Times New Roman"/>
          <w:sz w:val="24"/>
          <w:szCs w:val="24"/>
        </w:rPr>
        <w:lastRenderedPageBreak/>
        <w:t>Further, as children are dependent on their parents or guardians, then models of care and coverage should take into account the whole family. ACO models that cause parents and children to be on different plans or seen by different provider systems would put a strain on the family. Care should be taken to ensure ACO models do not create greater fragmentation of care within a single family unit.</w:t>
      </w:r>
    </w:p>
    <w:p w:rsidR="002C5025" w:rsidRDefault="002C5025">
      <w:pPr>
        <w:pStyle w:val="BodyText"/>
        <w:kinsoku w:val="0"/>
        <w:overflowPunct w:val="0"/>
        <w:spacing w:before="5"/>
        <w:rPr>
          <w:rFonts w:ascii="Times New Roman" w:hAnsi="Times New Roman" w:cs="Times New Roman"/>
          <w:sz w:val="28"/>
          <w:szCs w:val="28"/>
        </w:rPr>
      </w:pPr>
    </w:p>
    <w:p w:rsidR="002C5025" w:rsidRDefault="002C5025">
      <w:pPr>
        <w:pStyle w:val="BodyText"/>
        <w:kinsoku w:val="0"/>
        <w:overflowPunct w:val="0"/>
        <w:ind w:left="143" w:right="126"/>
        <w:rPr>
          <w:rFonts w:ascii="Times New Roman" w:hAnsi="Times New Roman" w:cs="Times New Roman"/>
          <w:b/>
          <w:bCs/>
          <w:sz w:val="24"/>
          <w:szCs w:val="24"/>
        </w:rPr>
      </w:pPr>
      <w:bookmarkStart w:id="132" w:name="Oral_Health"/>
      <w:bookmarkEnd w:id="132"/>
      <w:r>
        <w:rPr>
          <w:rFonts w:ascii="Times New Roman" w:hAnsi="Times New Roman" w:cs="Times New Roman"/>
          <w:b/>
          <w:bCs/>
          <w:sz w:val="24"/>
          <w:szCs w:val="24"/>
        </w:rPr>
        <w:t>Oral Health</w:t>
      </w:r>
    </w:p>
    <w:p w:rsidR="002C5025" w:rsidRDefault="002C5025">
      <w:pPr>
        <w:pStyle w:val="BodyText"/>
        <w:kinsoku w:val="0"/>
        <w:overflowPunct w:val="0"/>
        <w:spacing w:before="10"/>
        <w:rPr>
          <w:rFonts w:ascii="Times New Roman" w:hAnsi="Times New Roman" w:cs="Times New Roman"/>
          <w:b/>
          <w:bCs/>
          <w:sz w:val="30"/>
          <w:szCs w:val="30"/>
        </w:rPr>
      </w:pPr>
    </w:p>
    <w:p w:rsidR="002C5025" w:rsidRDefault="002C5025">
      <w:pPr>
        <w:pStyle w:val="BodyText"/>
        <w:kinsoku w:val="0"/>
        <w:overflowPunct w:val="0"/>
        <w:spacing w:line="276" w:lineRule="auto"/>
        <w:ind w:left="143" w:right="127"/>
        <w:rPr>
          <w:rFonts w:ascii="Times New Roman" w:hAnsi="Times New Roman" w:cs="Times New Roman"/>
          <w:sz w:val="24"/>
          <w:szCs w:val="24"/>
        </w:rPr>
      </w:pPr>
      <w:r>
        <w:rPr>
          <w:rFonts w:ascii="Times New Roman" w:hAnsi="Times New Roman" w:cs="Times New Roman"/>
          <w:sz w:val="24"/>
          <w:szCs w:val="24"/>
        </w:rPr>
        <w:t>We are encouraged by MassHealth’s plans to promote the integration of oral health and primary health care through a range of methods (e.g., inclusion of an oral health metrics in the ACO quality measure slate, contractual expectations for ACOs). We urge MassHealth to strengthen oral health integration in its ACO models by more clearly outlining a plan which includes phased-in dental services and targeted investments to help facilitate integration. We also urge MassHealth to shift dental service payment methodologies to incentivize high-value, evidence-based, preventative care. Further attention should be given to addressing number of dental providers participating in the MassHealth program to ensure adequate access.</w:t>
      </w:r>
    </w:p>
    <w:p w:rsidR="002C5025" w:rsidRDefault="002C5025">
      <w:pPr>
        <w:pStyle w:val="BodyText"/>
        <w:kinsoku w:val="0"/>
        <w:overflowPunct w:val="0"/>
        <w:rPr>
          <w:rFonts w:ascii="Times New Roman" w:hAnsi="Times New Roman" w:cs="Times New Roman"/>
          <w:sz w:val="28"/>
          <w:szCs w:val="28"/>
        </w:rPr>
      </w:pPr>
    </w:p>
    <w:p w:rsidR="002C5025" w:rsidRDefault="002C5025">
      <w:pPr>
        <w:pStyle w:val="BodyText"/>
        <w:kinsoku w:val="0"/>
        <w:overflowPunct w:val="0"/>
        <w:ind w:left="143" w:right="126"/>
        <w:rPr>
          <w:rFonts w:ascii="Times New Roman" w:hAnsi="Times New Roman" w:cs="Times New Roman"/>
          <w:b/>
          <w:bCs/>
          <w:sz w:val="24"/>
          <w:szCs w:val="24"/>
        </w:rPr>
      </w:pPr>
      <w:bookmarkStart w:id="133" w:name="Health_Homes"/>
      <w:bookmarkEnd w:id="133"/>
      <w:r>
        <w:rPr>
          <w:rFonts w:ascii="Times New Roman" w:hAnsi="Times New Roman" w:cs="Times New Roman"/>
          <w:b/>
          <w:bCs/>
          <w:sz w:val="24"/>
          <w:szCs w:val="24"/>
        </w:rPr>
        <w:t>Health Homes</w:t>
      </w:r>
    </w:p>
    <w:p w:rsidR="002C5025" w:rsidRDefault="002C5025">
      <w:pPr>
        <w:pStyle w:val="BodyText"/>
        <w:kinsoku w:val="0"/>
        <w:overflowPunct w:val="0"/>
        <w:spacing w:before="7"/>
        <w:rPr>
          <w:rFonts w:ascii="Times New Roman" w:hAnsi="Times New Roman" w:cs="Times New Roman"/>
          <w:b/>
          <w:bCs/>
          <w:sz w:val="30"/>
          <w:szCs w:val="30"/>
        </w:rPr>
      </w:pPr>
    </w:p>
    <w:p w:rsidR="002C5025" w:rsidRDefault="002C5025">
      <w:pPr>
        <w:pStyle w:val="BodyText"/>
        <w:kinsoku w:val="0"/>
        <w:overflowPunct w:val="0"/>
        <w:spacing w:before="1" w:line="273" w:lineRule="auto"/>
        <w:ind w:left="143" w:right="299"/>
        <w:rPr>
          <w:rFonts w:ascii="Times New Roman" w:hAnsi="Times New Roman" w:cs="Times New Roman"/>
          <w:sz w:val="24"/>
          <w:szCs w:val="24"/>
        </w:rPr>
      </w:pPr>
      <w:r>
        <w:rPr>
          <w:rFonts w:ascii="Times New Roman" w:hAnsi="Times New Roman" w:cs="Times New Roman"/>
          <w:sz w:val="24"/>
          <w:szCs w:val="24"/>
        </w:rPr>
        <w:t>We support the use of the Health Home funding opportunity to be applied to behavioral health integration and coordination. We seek greater clarity on the eligibility health home services, specifically which diagnosis codes would qualify for these enhanced services.</w:t>
      </w:r>
    </w:p>
    <w:p w:rsidR="002C5025" w:rsidRDefault="002C5025">
      <w:pPr>
        <w:pStyle w:val="BodyText"/>
        <w:kinsoku w:val="0"/>
        <w:overflowPunct w:val="0"/>
        <w:spacing w:before="10"/>
        <w:rPr>
          <w:rFonts w:ascii="Times New Roman" w:hAnsi="Times New Roman" w:cs="Times New Roman"/>
          <w:sz w:val="28"/>
          <w:szCs w:val="28"/>
        </w:rPr>
      </w:pPr>
    </w:p>
    <w:p w:rsidR="002C5025" w:rsidRDefault="002C5025">
      <w:pPr>
        <w:pStyle w:val="BodyText"/>
        <w:kinsoku w:val="0"/>
        <w:overflowPunct w:val="0"/>
        <w:ind w:left="143" w:right="126"/>
        <w:rPr>
          <w:rFonts w:ascii="Times New Roman" w:hAnsi="Times New Roman" w:cs="Times New Roman"/>
          <w:b/>
          <w:bCs/>
          <w:sz w:val="24"/>
          <w:szCs w:val="24"/>
        </w:rPr>
      </w:pPr>
      <w:bookmarkStart w:id="134" w:name="Behavioral_Health"/>
      <w:bookmarkEnd w:id="134"/>
      <w:r>
        <w:rPr>
          <w:rFonts w:ascii="Times New Roman" w:hAnsi="Times New Roman" w:cs="Times New Roman"/>
          <w:b/>
          <w:bCs/>
          <w:sz w:val="24"/>
          <w:szCs w:val="24"/>
        </w:rPr>
        <w:t>Behavioral Health</w:t>
      </w:r>
    </w:p>
    <w:p w:rsidR="002C5025" w:rsidRDefault="002C5025">
      <w:pPr>
        <w:pStyle w:val="BodyText"/>
        <w:kinsoku w:val="0"/>
        <w:overflowPunct w:val="0"/>
        <w:spacing w:before="5"/>
        <w:rPr>
          <w:rFonts w:ascii="Times New Roman" w:hAnsi="Times New Roman" w:cs="Times New Roman"/>
          <w:b/>
          <w:bCs/>
          <w:sz w:val="30"/>
          <w:szCs w:val="30"/>
        </w:rPr>
      </w:pPr>
    </w:p>
    <w:p w:rsidR="002C5025" w:rsidRDefault="002C5025">
      <w:pPr>
        <w:pStyle w:val="BodyText"/>
        <w:kinsoku w:val="0"/>
        <w:overflowPunct w:val="0"/>
        <w:spacing w:line="276" w:lineRule="auto"/>
        <w:ind w:left="143" w:right="127"/>
        <w:rPr>
          <w:rFonts w:ascii="Times New Roman" w:hAnsi="Times New Roman" w:cs="Times New Roman"/>
          <w:sz w:val="24"/>
          <w:szCs w:val="24"/>
        </w:rPr>
      </w:pPr>
      <w:r>
        <w:rPr>
          <w:rFonts w:ascii="Times New Roman" w:hAnsi="Times New Roman" w:cs="Times New Roman"/>
          <w:sz w:val="24"/>
          <w:szCs w:val="24"/>
        </w:rPr>
        <w:t>We applaud MassHealth’s goal of integrating physical health and behavioral health given the high burden of behavioral health disorders among Medicaid members. For many consumers with a behavioral health diagnosis, their behavioral health clinician is their primary point of contact with the health care system. As such, we are encouraged that the waiver plan establishes a strong role for Behavioral Health CPs to manage care coordination, with a goal of fostering communication between an individual’s primary care provider and the treatment community, while respecting members’ privacy and preferences.</w:t>
      </w:r>
    </w:p>
    <w:p w:rsidR="002C5025" w:rsidRDefault="002C5025">
      <w:pPr>
        <w:pStyle w:val="BodyText"/>
        <w:kinsoku w:val="0"/>
        <w:overflowPunct w:val="0"/>
        <w:spacing w:before="5"/>
        <w:rPr>
          <w:rFonts w:ascii="Times New Roman" w:hAnsi="Times New Roman" w:cs="Times New Roman"/>
          <w:sz w:val="28"/>
          <w:szCs w:val="28"/>
        </w:rPr>
      </w:pPr>
    </w:p>
    <w:p w:rsidR="002C5025" w:rsidRDefault="002C5025">
      <w:pPr>
        <w:pStyle w:val="BodyText"/>
        <w:kinsoku w:val="0"/>
        <w:overflowPunct w:val="0"/>
        <w:spacing w:line="259" w:lineRule="auto"/>
        <w:ind w:left="143" w:right="221"/>
        <w:rPr>
          <w:rFonts w:ascii="Times New Roman" w:hAnsi="Times New Roman" w:cs="Times New Roman"/>
          <w:sz w:val="24"/>
          <w:szCs w:val="24"/>
        </w:rPr>
      </w:pPr>
      <w:r>
        <w:rPr>
          <w:rFonts w:ascii="Times New Roman" w:hAnsi="Times New Roman" w:cs="Times New Roman"/>
          <w:sz w:val="24"/>
          <w:szCs w:val="24"/>
        </w:rPr>
        <w:t>Specifically, we support the prioritization of Integrated Care Delivery for patients with serious mental health problems with a special focus on interdisciplinary care teams. Several systematic reviews have shown that the integrated or collaborative care model is effective in depression management.</w:t>
      </w:r>
      <w:r>
        <w:rPr>
          <w:rFonts w:ascii="Times New Roman" w:hAnsi="Times New Roman" w:cs="Times New Roman"/>
          <w:position w:val="11"/>
          <w:sz w:val="16"/>
          <w:szCs w:val="16"/>
        </w:rPr>
        <w:t xml:space="preserve">24 25 </w:t>
      </w:r>
      <w:r>
        <w:rPr>
          <w:rFonts w:ascii="Times New Roman" w:hAnsi="Times New Roman" w:cs="Times New Roman"/>
          <w:sz w:val="24"/>
          <w:szCs w:val="24"/>
        </w:rPr>
        <w:t>A critical component of collaborative care is a multi-professional approach to care including a primary care provider and at least one other health professional such as a psychiatrist, nurse, or psychologist.</w:t>
      </w:r>
      <w:r>
        <w:rPr>
          <w:rFonts w:ascii="Times New Roman" w:hAnsi="Times New Roman" w:cs="Times New Roman"/>
          <w:position w:val="11"/>
          <w:sz w:val="16"/>
          <w:szCs w:val="16"/>
        </w:rPr>
        <w:t xml:space="preserve">26  </w:t>
      </w:r>
      <w:r>
        <w:rPr>
          <w:rFonts w:ascii="Times New Roman" w:hAnsi="Times New Roman" w:cs="Times New Roman"/>
          <w:sz w:val="24"/>
          <w:szCs w:val="24"/>
        </w:rPr>
        <w:t>A second key</w:t>
      </w:r>
    </w:p>
    <w:p w:rsidR="002C5025" w:rsidRDefault="00FB027C">
      <w:pPr>
        <w:pStyle w:val="BodyText"/>
        <w:kinsoku w:val="0"/>
        <w:overflowPunct w:val="0"/>
        <w:spacing w:before="11"/>
        <w:rPr>
          <w:rFonts w:ascii="Times New Roman" w:hAnsi="Times New Roman" w:cs="Times New Roman"/>
          <w:sz w:val="24"/>
          <w:szCs w:val="24"/>
        </w:rPr>
      </w:pPr>
      <w:r>
        <w:rPr>
          <w:noProof/>
        </w:rPr>
        <mc:AlternateContent>
          <mc:Choice Requires="wps">
            <w:drawing>
              <wp:anchor distT="0" distB="0" distL="0" distR="0" simplePos="0" relativeHeight="251615744" behindDoc="0" locked="0" layoutInCell="0" allowOverlap="1">
                <wp:simplePos x="0" y="0"/>
                <wp:positionH relativeFrom="page">
                  <wp:posOffset>609600</wp:posOffset>
                </wp:positionH>
                <wp:positionV relativeFrom="paragraph">
                  <wp:posOffset>210820</wp:posOffset>
                </wp:positionV>
                <wp:extent cx="1828800" cy="12700"/>
                <wp:effectExtent l="0" t="0" r="0" b="0"/>
                <wp:wrapTopAndBottom/>
                <wp:docPr id="649" name="Freeform 3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w 2880"/>
                            <a:gd name="T1" fmla="*/ 0 h 20"/>
                            <a:gd name="T2" fmla="*/ 2880 w 2880"/>
                            <a:gd name="T3" fmla="*/ 0 h 20"/>
                          </a:gdLst>
                          <a:ahLst/>
                          <a:cxnLst>
                            <a:cxn ang="0">
                              <a:pos x="T0" y="T1"/>
                            </a:cxn>
                            <a:cxn ang="0">
                              <a:pos x="T2" y="T3"/>
                            </a:cxn>
                          </a:cxnLst>
                          <a:rect l="0" t="0" r="r" b="b"/>
                          <a:pathLst>
                            <a:path w="2880" h="20">
                              <a:moveTo>
                                <a:pt x="0" y="0"/>
                              </a:moveTo>
                              <a:lnTo>
                                <a:pt x="2880"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76" o:spid="_x0000_s1026" style="position:absolute;z-index:251615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48pt,16.6pt,192pt,16.6pt" coordsize="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" o:allowincell="f" filled="f" strokeweight=".20458mm">
                <v:path arrowok="t" o:connecttype="custom" o:connectlocs="0,0;1828800,0" o:connectangles="0,0"/>
                <w10:wrap type="topAndBottom" anchorx="page"/>
              </v:polyline>
            </w:pict>
          </mc:Fallback>
        </mc:AlternateContent>
      </w:r>
    </w:p>
    <w:p w:rsidR="002C5025" w:rsidRDefault="002C5025">
      <w:pPr>
        <w:pStyle w:val="BodyText"/>
        <w:kinsoku w:val="0"/>
        <w:overflowPunct w:val="0"/>
        <w:spacing w:before="12" w:line="252" w:lineRule="auto"/>
        <w:ind w:left="143" w:right="126"/>
        <w:rPr>
          <w:rFonts w:ascii="Times New Roman" w:hAnsi="Times New Roman" w:cs="Times New Roman"/>
          <w:w w:val="105"/>
          <w:sz w:val="19"/>
          <w:szCs w:val="19"/>
        </w:rPr>
      </w:pPr>
      <w:r>
        <w:rPr>
          <w:rFonts w:ascii="Times New Roman" w:hAnsi="Times New Roman" w:cs="Times New Roman"/>
          <w:w w:val="105"/>
          <w:position w:val="9"/>
          <w:sz w:val="13"/>
          <w:szCs w:val="13"/>
        </w:rPr>
        <w:t xml:space="preserve">24 </w:t>
      </w:r>
      <w:r>
        <w:rPr>
          <w:rFonts w:ascii="Times New Roman" w:hAnsi="Times New Roman" w:cs="Times New Roman"/>
          <w:spacing w:val="2"/>
          <w:w w:val="105"/>
          <w:sz w:val="19"/>
          <w:szCs w:val="19"/>
        </w:rPr>
        <w:t>Archer</w:t>
      </w:r>
      <w:r>
        <w:rPr>
          <w:rFonts w:ascii="Times New Roman" w:hAnsi="Times New Roman" w:cs="Times New Roman"/>
          <w:spacing w:val="-13"/>
          <w:w w:val="105"/>
          <w:sz w:val="19"/>
          <w:szCs w:val="19"/>
        </w:rPr>
        <w:t xml:space="preserve"> </w:t>
      </w:r>
      <w:r>
        <w:rPr>
          <w:rFonts w:ascii="Times New Roman" w:hAnsi="Times New Roman" w:cs="Times New Roman"/>
          <w:w w:val="105"/>
          <w:sz w:val="19"/>
          <w:szCs w:val="19"/>
        </w:rPr>
        <w:t>J,</w:t>
      </w:r>
      <w:r>
        <w:rPr>
          <w:rFonts w:ascii="Times New Roman" w:hAnsi="Times New Roman" w:cs="Times New Roman"/>
          <w:spacing w:val="-11"/>
          <w:w w:val="105"/>
          <w:sz w:val="19"/>
          <w:szCs w:val="19"/>
        </w:rPr>
        <w:t xml:space="preserve"> </w:t>
      </w:r>
      <w:r>
        <w:rPr>
          <w:rFonts w:ascii="Times New Roman" w:hAnsi="Times New Roman" w:cs="Times New Roman"/>
          <w:spacing w:val="2"/>
          <w:w w:val="105"/>
          <w:sz w:val="19"/>
          <w:szCs w:val="19"/>
        </w:rPr>
        <w:t>Bower</w:t>
      </w:r>
      <w:r>
        <w:rPr>
          <w:rFonts w:ascii="Times New Roman" w:hAnsi="Times New Roman" w:cs="Times New Roman"/>
          <w:spacing w:val="-13"/>
          <w:w w:val="105"/>
          <w:sz w:val="19"/>
          <w:szCs w:val="19"/>
        </w:rPr>
        <w:t xml:space="preserve"> </w:t>
      </w:r>
      <w:r>
        <w:rPr>
          <w:rFonts w:ascii="Times New Roman" w:hAnsi="Times New Roman" w:cs="Times New Roman"/>
          <w:w w:val="105"/>
          <w:sz w:val="19"/>
          <w:szCs w:val="19"/>
        </w:rPr>
        <w:t>P,</w:t>
      </w:r>
      <w:r>
        <w:rPr>
          <w:rFonts w:ascii="Times New Roman" w:hAnsi="Times New Roman" w:cs="Times New Roman"/>
          <w:spacing w:val="-9"/>
          <w:w w:val="105"/>
          <w:sz w:val="19"/>
          <w:szCs w:val="19"/>
        </w:rPr>
        <w:t xml:space="preserve"> </w:t>
      </w:r>
      <w:proofErr w:type="spellStart"/>
      <w:r>
        <w:rPr>
          <w:rFonts w:ascii="Times New Roman" w:hAnsi="Times New Roman" w:cs="Times New Roman"/>
          <w:spacing w:val="2"/>
          <w:w w:val="105"/>
          <w:sz w:val="19"/>
          <w:szCs w:val="19"/>
        </w:rPr>
        <w:t>Gilbody</w:t>
      </w:r>
      <w:proofErr w:type="spellEnd"/>
      <w:r>
        <w:rPr>
          <w:rFonts w:ascii="Times New Roman" w:hAnsi="Times New Roman" w:cs="Times New Roman"/>
          <w:spacing w:val="-10"/>
          <w:w w:val="105"/>
          <w:sz w:val="19"/>
          <w:szCs w:val="19"/>
        </w:rPr>
        <w:t xml:space="preserve"> </w:t>
      </w:r>
      <w:r>
        <w:rPr>
          <w:rFonts w:ascii="Times New Roman" w:hAnsi="Times New Roman" w:cs="Times New Roman"/>
          <w:w w:val="105"/>
          <w:sz w:val="19"/>
          <w:szCs w:val="19"/>
        </w:rPr>
        <w:t>S,</w:t>
      </w:r>
      <w:r>
        <w:rPr>
          <w:rFonts w:ascii="Times New Roman" w:hAnsi="Times New Roman" w:cs="Times New Roman"/>
          <w:spacing w:val="-11"/>
          <w:w w:val="105"/>
          <w:sz w:val="19"/>
          <w:szCs w:val="19"/>
        </w:rPr>
        <w:t xml:space="preserve"> </w:t>
      </w:r>
      <w:r>
        <w:rPr>
          <w:rFonts w:ascii="Times New Roman" w:hAnsi="Times New Roman" w:cs="Times New Roman"/>
          <w:w w:val="105"/>
          <w:sz w:val="19"/>
          <w:szCs w:val="19"/>
        </w:rPr>
        <w:t>Lovell</w:t>
      </w:r>
      <w:r>
        <w:rPr>
          <w:rFonts w:ascii="Times New Roman" w:hAnsi="Times New Roman" w:cs="Times New Roman"/>
          <w:spacing w:val="-10"/>
          <w:w w:val="105"/>
          <w:sz w:val="19"/>
          <w:szCs w:val="19"/>
        </w:rPr>
        <w:t xml:space="preserve"> </w:t>
      </w:r>
      <w:r>
        <w:rPr>
          <w:rFonts w:ascii="Times New Roman" w:hAnsi="Times New Roman" w:cs="Times New Roman"/>
          <w:w w:val="105"/>
          <w:sz w:val="19"/>
          <w:szCs w:val="19"/>
        </w:rPr>
        <w:t>K,</w:t>
      </w:r>
      <w:r>
        <w:rPr>
          <w:rFonts w:ascii="Times New Roman" w:hAnsi="Times New Roman" w:cs="Times New Roman"/>
          <w:spacing w:val="-11"/>
          <w:w w:val="105"/>
          <w:sz w:val="19"/>
          <w:szCs w:val="19"/>
        </w:rPr>
        <w:t xml:space="preserve"> </w:t>
      </w:r>
      <w:r>
        <w:rPr>
          <w:rFonts w:ascii="Times New Roman" w:hAnsi="Times New Roman" w:cs="Times New Roman"/>
          <w:spacing w:val="2"/>
          <w:w w:val="105"/>
          <w:sz w:val="19"/>
          <w:szCs w:val="19"/>
        </w:rPr>
        <w:t>Richards</w:t>
      </w:r>
      <w:r>
        <w:rPr>
          <w:rFonts w:ascii="Times New Roman" w:hAnsi="Times New Roman" w:cs="Times New Roman"/>
          <w:spacing w:val="-10"/>
          <w:w w:val="105"/>
          <w:sz w:val="19"/>
          <w:szCs w:val="19"/>
        </w:rPr>
        <w:t xml:space="preserve"> </w:t>
      </w:r>
      <w:r>
        <w:rPr>
          <w:rFonts w:ascii="Times New Roman" w:hAnsi="Times New Roman" w:cs="Times New Roman"/>
          <w:w w:val="105"/>
          <w:sz w:val="19"/>
          <w:szCs w:val="19"/>
        </w:rPr>
        <w:t>D,</w:t>
      </w:r>
      <w:r>
        <w:rPr>
          <w:rFonts w:ascii="Times New Roman" w:hAnsi="Times New Roman" w:cs="Times New Roman"/>
          <w:spacing w:val="-9"/>
          <w:w w:val="105"/>
          <w:sz w:val="19"/>
          <w:szCs w:val="19"/>
        </w:rPr>
        <w:t xml:space="preserve"> </w:t>
      </w:r>
      <w:proofErr w:type="spellStart"/>
      <w:r>
        <w:rPr>
          <w:rFonts w:ascii="Times New Roman" w:hAnsi="Times New Roman" w:cs="Times New Roman"/>
          <w:w w:val="105"/>
          <w:sz w:val="19"/>
          <w:szCs w:val="19"/>
        </w:rPr>
        <w:t>Gask</w:t>
      </w:r>
      <w:proofErr w:type="spellEnd"/>
      <w:r>
        <w:rPr>
          <w:rFonts w:ascii="Times New Roman" w:hAnsi="Times New Roman" w:cs="Times New Roman"/>
          <w:spacing w:val="-10"/>
          <w:w w:val="105"/>
          <w:sz w:val="19"/>
          <w:szCs w:val="19"/>
        </w:rPr>
        <w:t xml:space="preserve"> </w:t>
      </w:r>
      <w:r>
        <w:rPr>
          <w:rFonts w:ascii="Times New Roman" w:hAnsi="Times New Roman" w:cs="Times New Roman"/>
          <w:w w:val="105"/>
          <w:sz w:val="19"/>
          <w:szCs w:val="19"/>
        </w:rPr>
        <w:t>L,</w:t>
      </w:r>
      <w:r>
        <w:rPr>
          <w:rFonts w:ascii="Times New Roman" w:hAnsi="Times New Roman" w:cs="Times New Roman"/>
          <w:spacing w:val="-11"/>
          <w:w w:val="105"/>
          <w:sz w:val="19"/>
          <w:szCs w:val="19"/>
        </w:rPr>
        <w:t xml:space="preserve"> </w:t>
      </w:r>
      <w:r>
        <w:rPr>
          <w:rFonts w:ascii="Times New Roman" w:hAnsi="Times New Roman" w:cs="Times New Roman"/>
          <w:w w:val="105"/>
          <w:sz w:val="19"/>
          <w:szCs w:val="19"/>
        </w:rPr>
        <w:t>et</w:t>
      </w:r>
      <w:r>
        <w:rPr>
          <w:rFonts w:ascii="Times New Roman" w:hAnsi="Times New Roman" w:cs="Times New Roman"/>
          <w:spacing w:val="-12"/>
          <w:w w:val="105"/>
          <w:sz w:val="19"/>
          <w:szCs w:val="19"/>
        </w:rPr>
        <w:t xml:space="preserve"> </w:t>
      </w:r>
      <w:r>
        <w:rPr>
          <w:rFonts w:ascii="Times New Roman" w:hAnsi="Times New Roman" w:cs="Times New Roman"/>
          <w:w w:val="105"/>
          <w:sz w:val="19"/>
          <w:szCs w:val="19"/>
        </w:rPr>
        <w:t>al.</w:t>
      </w:r>
      <w:r>
        <w:rPr>
          <w:rFonts w:ascii="Times New Roman" w:hAnsi="Times New Roman" w:cs="Times New Roman"/>
          <w:spacing w:val="-11"/>
          <w:w w:val="105"/>
          <w:sz w:val="19"/>
          <w:szCs w:val="19"/>
        </w:rPr>
        <w:t xml:space="preserve"> </w:t>
      </w:r>
      <w:r>
        <w:rPr>
          <w:rFonts w:ascii="Times New Roman" w:hAnsi="Times New Roman" w:cs="Times New Roman"/>
          <w:w w:val="105"/>
          <w:sz w:val="19"/>
          <w:szCs w:val="19"/>
        </w:rPr>
        <w:t>Collaborative</w:t>
      </w:r>
      <w:r>
        <w:rPr>
          <w:rFonts w:ascii="Times New Roman" w:hAnsi="Times New Roman" w:cs="Times New Roman"/>
          <w:spacing w:val="-10"/>
          <w:w w:val="105"/>
          <w:sz w:val="19"/>
          <w:szCs w:val="19"/>
        </w:rPr>
        <w:t xml:space="preserve"> </w:t>
      </w:r>
      <w:r>
        <w:rPr>
          <w:rFonts w:ascii="Times New Roman" w:hAnsi="Times New Roman" w:cs="Times New Roman"/>
          <w:w w:val="105"/>
          <w:sz w:val="19"/>
          <w:szCs w:val="19"/>
        </w:rPr>
        <w:t>care</w:t>
      </w:r>
      <w:r>
        <w:rPr>
          <w:rFonts w:ascii="Times New Roman" w:hAnsi="Times New Roman" w:cs="Times New Roman"/>
          <w:spacing w:val="-11"/>
          <w:w w:val="105"/>
          <w:sz w:val="19"/>
          <w:szCs w:val="19"/>
        </w:rPr>
        <w:t xml:space="preserve"> </w:t>
      </w:r>
      <w:r>
        <w:rPr>
          <w:rFonts w:ascii="Times New Roman" w:hAnsi="Times New Roman" w:cs="Times New Roman"/>
          <w:w w:val="105"/>
          <w:sz w:val="19"/>
          <w:szCs w:val="19"/>
        </w:rPr>
        <w:t>for</w:t>
      </w:r>
      <w:r>
        <w:rPr>
          <w:rFonts w:ascii="Times New Roman" w:hAnsi="Times New Roman" w:cs="Times New Roman"/>
          <w:spacing w:val="-11"/>
          <w:w w:val="105"/>
          <w:sz w:val="19"/>
          <w:szCs w:val="19"/>
        </w:rPr>
        <w:t xml:space="preserve"> </w:t>
      </w:r>
      <w:r>
        <w:rPr>
          <w:rFonts w:ascii="Times New Roman" w:hAnsi="Times New Roman" w:cs="Times New Roman"/>
          <w:w w:val="105"/>
          <w:sz w:val="19"/>
          <w:szCs w:val="19"/>
        </w:rPr>
        <w:t>depression</w:t>
      </w:r>
      <w:r>
        <w:rPr>
          <w:rFonts w:ascii="Times New Roman" w:hAnsi="Times New Roman" w:cs="Times New Roman"/>
          <w:spacing w:val="-12"/>
          <w:w w:val="105"/>
          <w:sz w:val="19"/>
          <w:szCs w:val="19"/>
        </w:rPr>
        <w:t xml:space="preserve"> </w:t>
      </w:r>
      <w:r>
        <w:rPr>
          <w:rFonts w:ascii="Times New Roman" w:hAnsi="Times New Roman" w:cs="Times New Roman"/>
          <w:w w:val="105"/>
          <w:sz w:val="19"/>
          <w:szCs w:val="19"/>
        </w:rPr>
        <w:t>and</w:t>
      </w:r>
      <w:r>
        <w:rPr>
          <w:rFonts w:ascii="Times New Roman" w:hAnsi="Times New Roman" w:cs="Times New Roman"/>
          <w:spacing w:val="-12"/>
          <w:w w:val="105"/>
          <w:sz w:val="19"/>
          <w:szCs w:val="19"/>
        </w:rPr>
        <w:t xml:space="preserve"> </w:t>
      </w:r>
      <w:r>
        <w:rPr>
          <w:rFonts w:ascii="Times New Roman" w:hAnsi="Times New Roman" w:cs="Times New Roman"/>
          <w:w w:val="105"/>
          <w:sz w:val="19"/>
          <w:szCs w:val="19"/>
        </w:rPr>
        <w:t>anxiety</w:t>
      </w:r>
      <w:r>
        <w:rPr>
          <w:rFonts w:ascii="Times New Roman" w:hAnsi="Times New Roman" w:cs="Times New Roman"/>
          <w:spacing w:val="-12"/>
          <w:w w:val="105"/>
          <w:sz w:val="19"/>
          <w:szCs w:val="19"/>
        </w:rPr>
        <w:t xml:space="preserve"> </w:t>
      </w:r>
      <w:r>
        <w:rPr>
          <w:rFonts w:ascii="Times New Roman" w:hAnsi="Times New Roman" w:cs="Times New Roman"/>
          <w:w w:val="105"/>
          <w:sz w:val="19"/>
          <w:szCs w:val="19"/>
        </w:rPr>
        <w:t xml:space="preserve">problems. </w:t>
      </w:r>
      <w:r>
        <w:rPr>
          <w:rFonts w:ascii="Times New Roman" w:hAnsi="Times New Roman" w:cs="Times New Roman"/>
          <w:spacing w:val="2"/>
          <w:w w:val="105"/>
          <w:sz w:val="19"/>
          <w:szCs w:val="19"/>
        </w:rPr>
        <w:t>Cochrane</w:t>
      </w:r>
      <w:r>
        <w:rPr>
          <w:rFonts w:ascii="Times New Roman" w:hAnsi="Times New Roman" w:cs="Times New Roman"/>
          <w:spacing w:val="-24"/>
          <w:w w:val="105"/>
          <w:sz w:val="19"/>
          <w:szCs w:val="19"/>
        </w:rPr>
        <w:t xml:space="preserve"> </w:t>
      </w:r>
      <w:r>
        <w:rPr>
          <w:rFonts w:ascii="Times New Roman" w:hAnsi="Times New Roman" w:cs="Times New Roman"/>
          <w:w w:val="105"/>
          <w:sz w:val="19"/>
          <w:szCs w:val="19"/>
        </w:rPr>
        <w:t>Database</w:t>
      </w:r>
      <w:r>
        <w:rPr>
          <w:rFonts w:ascii="Times New Roman" w:hAnsi="Times New Roman" w:cs="Times New Roman"/>
          <w:spacing w:val="-26"/>
          <w:w w:val="105"/>
          <w:sz w:val="19"/>
          <w:szCs w:val="19"/>
        </w:rPr>
        <w:t xml:space="preserve"> </w:t>
      </w:r>
      <w:proofErr w:type="spellStart"/>
      <w:r>
        <w:rPr>
          <w:rFonts w:ascii="Times New Roman" w:hAnsi="Times New Roman" w:cs="Times New Roman"/>
          <w:w w:val="105"/>
          <w:sz w:val="19"/>
          <w:szCs w:val="19"/>
        </w:rPr>
        <w:t>Syst</w:t>
      </w:r>
      <w:proofErr w:type="spellEnd"/>
      <w:r>
        <w:rPr>
          <w:rFonts w:ascii="Times New Roman" w:hAnsi="Times New Roman" w:cs="Times New Roman"/>
          <w:spacing w:val="-25"/>
          <w:w w:val="105"/>
          <w:sz w:val="19"/>
          <w:szCs w:val="19"/>
        </w:rPr>
        <w:t xml:space="preserve"> </w:t>
      </w:r>
      <w:r>
        <w:rPr>
          <w:rFonts w:ascii="Times New Roman" w:hAnsi="Times New Roman" w:cs="Times New Roman"/>
          <w:w w:val="105"/>
          <w:sz w:val="19"/>
          <w:szCs w:val="19"/>
        </w:rPr>
        <w:t>Rev.</w:t>
      </w:r>
      <w:r>
        <w:rPr>
          <w:rFonts w:ascii="Times New Roman" w:hAnsi="Times New Roman" w:cs="Times New Roman"/>
          <w:spacing w:val="-25"/>
          <w:w w:val="105"/>
          <w:sz w:val="19"/>
          <w:szCs w:val="19"/>
        </w:rPr>
        <w:t xml:space="preserve"> </w:t>
      </w:r>
      <w:r>
        <w:rPr>
          <w:rFonts w:ascii="Times New Roman" w:hAnsi="Times New Roman" w:cs="Times New Roman"/>
          <w:w w:val="105"/>
          <w:sz w:val="19"/>
          <w:szCs w:val="19"/>
        </w:rPr>
        <w:t>2012;10:CD006525.</w:t>
      </w:r>
    </w:p>
    <w:p w:rsidR="002C5025" w:rsidRDefault="002C5025">
      <w:pPr>
        <w:pStyle w:val="BodyText"/>
        <w:kinsoku w:val="0"/>
        <w:overflowPunct w:val="0"/>
        <w:spacing w:line="226" w:lineRule="exact"/>
        <w:ind w:left="143" w:right="186"/>
        <w:rPr>
          <w:rFonts w:ascii="Times New Roman" w:hAnsi="Times New Roman" w:cs="Times New Roman"/>
          <w:w w:val="105"/>
          <w:sz w:val="19"/>
          <w:szCs w:val="19"/>
        </w:rPr>
      </w:pPr>
      <w:r>
        <w:rPr>
          <w:rFonts w:ascii="Times New Roman" w:hAnsi="Times New Roman" w:cs="Times New Roman"/>
          <w:w w:val="105"/>
          <w:position w:val="9"/>
          <w:sz w:val="13"/>
          <w:szCs w:val="13"/>
        </w:rPr>
        <w:t xml:space="preserve">25 </w:t>
      </w:r>
      <w:proofErr w:type="spellStart"/>
      <w:r>
        <w:rPr>
          <w:rFonts w:ascii="Times New Roman" w:hAnsi="Times New Roman" w:cs="Times New Roman"/>
          <w:w w:val="105"/>
          <w:sz w:val="19"/>
          <w:szCs w:val="19"/>
        </w:rPr>
        <w:t>Thota</w:t>
      </w:r>
      <w:proofErr w:type="spellEnd"/>
      <w:r>
        <w:rPr>
          <w:rFonts w:ascii="Times New Roman" w:hAnsi="Times New Roman" w:cs="Times New Roman"/>
          <w:w w:val="105"/>
          <w:sz w:val="19"/>
          <w:szCs w:val="19"/>
        </w:rPr>
        <w:t xml:space="preserve"> AB, </w:t>
      </w:r>
      <w:proofErr w:type="spellStart"/>
      <w:r>
        <w:rPr>
          <w:rFonts w:ascii="Times New Roman" w:hAnsi="Times New Roman" w:cs="Times New Roman"/>
          <w:w w:val="105"/>
          <w:sz w:val="19"/>
          <w:szCs w:val="19"/>
        </w:rPr>
        <w:t>Sipe</w:t>
      </w:r>
      <w:proofErr w:type="spellEnd"/>
      <w:r>
        <w:rPr>
          <w:rFonts w:ascii="Times New Roman" w:hAnsi="Times New Roman" w:cs="Times New Roman"/>
          <w:w w:val="105"/>
          <w:sz w:val="19"/>
          <w:szCs w:val="19"/>
        </w:rPr>
        <w:t xml:space="preserve"> TA, Byard GJ, </w:t>
      </w:r>
      <w:proofErr w:type="spellStart"/>
      <w:r>
        <w:rPr>
          <w:rFonts w:ascii="Times New Roman" w:hAnsi="Times New Roman" w:cs="Times New Roman"/>
          <w:w w:val="105"/>
          <w:sz w:val="19"/>
          <w:szCs w:val="19"/>
        </w:rPr>
        <w:t>Zometa</w:t>
      </w:r>
      <w:proofErr w:type="spellEnd"/>
      <w:r>
        <w:rPr>
          <w:rFonts w:ascii="Times New Roman" w:hAnsi="Times New Roman" w:cs="Times New Roman"/>
          <w:w w:val="105"/>
          <w:sz w:val="19"/>
          <w:szCs w:val="19"/>
        </w:rPr>
        <w:t xml:space="preserve"> CS, Hahn RA, </w:t>
      </w:r>
      <w:r>
        <w:rPr>
          <w:rFonts w:ascii="Times New Roman" w:hAnsi="Times New Roman" w:cs="Times New Roman"/>
          <w:spacing w:val="2"/>
          <w:w w:val="105"/>
          <w:sz w:val="19"/>
          <w:szCs w:val="19"/>
        </w:rPr>
        <w:t>McKnight-</w:t>
      </w:r>
      <w:proofErr w:type="spellStart"/>
      <w:r>
        <w:rPr>
          <w:rFonts w:ascii="Times New Roman" w:hAnsi="Times New Roman" w:cs="Times New Roman"/>
          <w:spacing w:val="2"/>
          <w:w w:val="105"/>
          <w:sz w:val="19"/>
          <w:szCs w:val="19"/>
        </w:rPr>
        <w:t>Eily</w:t>
      </w:r>
      <w:proofErr w:type="spellEnd"/>
      <w:r>
        <w:rPr>
          <w:rFonts w:ascii="Times New Roman" w:hAnsi="Times New Roman" w:cs="Times New Roman"/>
          <w:spacing w:val="2"/>
          <w:w w:val="105"/>
          <w:sz w:val="19"/>
          <w:szCs w:val="19"/>
        </w:rPr>
        <w:t xml:space="preserve"> </w:t>
      </w:r>
      <w:r>
        <w:rPr>
          <w:rFonts w:ascii="Times New Roman" w:hAnsi="Times New Roman" w:cs="Times New Roman"/>
          <w:w w:val="105"/>
          <w:sz w:val="19"/>
          <w:szCs w:val="19"/>
        </w:rPr>
        <w:t xml:space="preserve">LR, et al. Collaborative care to improve the </w:t>
      </w:r>
      <w:r>
        <w:rPr>
          <w:rFonts w:ascii="Times New Roman" w:hAnsi="Times New Roman" w:cs="Times New Roman"/>
          <w:spacing w:val="2"/>
          <w:w w:val="105"/>
          <w:sz w:val="19"/>
          <w:szCs w:val="19"/>
        </w:rPr>
        <w:t>management</w:t>
      </w:r>
      <w:r>
        <w:rPr>
          <w:rFonts w:ascii="Times New Roman" w:hAnsi="Times New Roman" w:cs="Times New Roman"/>
          <w:spacing w:val="-17"/>
          <w:w w:val="105"/>
          <w:sz w:val="19"/>
          <w:szCs w:val="19"/>
        </w:rPr>
        <w:t xml:space="preserve"> </w:t>
      </w:r>
      <w:r>
        <w:rPr>
          <w:rFonts w:ascii="Times New Roman" w:hAnsi="Times New Roman" w:cs="Times New Roman"/>
          <w:w w:val="105"/>
          <w:sz w:val="19"/>
          <w:szCs w:val="19"/>
        </w:rPr>
        <w:t>of</w:t>
      </w:r>
      <w:r>
        <w:rPr>
          <w:rFonts w:ascii="Times New Roman" w:hAnsi="Times New Roman" w:cs="Times New Roman"/>
          <w:spacing w:val="-15"/>
          <w:w w:val="105"/>
          <w:sz w:val="19"/>
          <w:szCs w:val="19"/>
        </w:rPr>
        <w:t xml:space="preserve"> </w:t>
      </w:r>
      <w:r>
        <w:rPr>
          <w:rFonts w:ascii="Times New Roman" w:hAnsi="Times New Roman" w:cs="Times New Roman"/>
          <w:w w:val="105"/>
          <w:sz w:val="19"/>
          <w:szCs w:val="19"/>
        </w:rPr>
        <w:t>depressive</w:t>
      </w:r>
      <w:r>
        <w:rPr>
          <w:rFonts w:ascii="Times New Roman" w:hAnsi="Times New Roman" w:cs="Times New Roman"/>
          <w:spacing w:val="-14"/>
          <w:w w:val="105"/>
          <w:sz w:val="19"/>
          <w:szCs w:val="19"/>
        </w:rPr>
        <w:t xml:space="preserve"> </w:t>
      </w:r>
      <w:r>
        <w:rPr>
          <w:rFonts w:ascii="Times New Roman" w:hAnsi="Times New Roman" w:cs="Times New Roman"/>
          <w:w w:val="105"/>
          <w:sz w:val="19"/>
          <w:szCs w:val="19"/>
        </w:rPr>
        <w:t>disorders:</w:t>
      </w:r>
      <w:r>
        <w:rPr>
          <w:rFonts w:ascii="Times New Roman" w:hAnsi="Times New Roman" w:cs="Times New Roman"/>
          <w:spacing w:val="-17"/>
          <w:w w:val="105"/>
          <w:sz w:val="19"/>
          <w:szCs w:val="19"/>
        </w:rPr>
        <w:t xml:space="preserve"> </w:t>
      </w:r>
      <w:r>
        <w:rPr>
          <w:rFonts w:ascii="Times New Roman" w:hAnsi="Times New Roman" w:cs="Times New Roman"/>
          <w:w w:val="105"/>
          <w:sz w:val="19"/>
          <w:szCs w:val="19"/>
        </w:rPr>
        <w:t>a</w:t>
      </w:r>
      <w:r>
        <w:rPr>
          <w:rFonts w:ascii="Times New Roman" w:hAnsi="Times New Roman" w:cs="Times New Roman"/>
          <w:spacing w:val="-16"/>
          <w:w w:val="105"/>
          <w:sz w:val="19"/>
          <w:szCs w:val="19"/>
        </w:rPr>
        <w:t xml:space="preserve"> </w:t>
      </w:r>
      <w:r>
        <w:rPr>
          <w:rFonts w:ascii="Times New Roman" w:hAnsi="Times New Roman" w:cs="Times New Roman"/>
          <w:w w:val="105"/>
          <w:sz w:val="19"/>
          <w:szCs w:val="19"/>
        </w:rPr>
        <w:t>community</w:t>
      </w:r>
      <w:r>
        <w:rPr>
          <w:rFonts w:ascii="Times New Roman" w:hAnsi="Times New Roman" w:cs="Times New Roman"/>
          <w:spacing w:val="-15"/>
          <w:w w:val="105"/>
          <w:sz w:val="19"/>
          <w:szCs w:val="19"/>
        </w:rPr>
        <w:t xml:space="preserve"> </w:t>
      </w:r>
      <w:r>
        <w:rPr>
          <w:rFonts w:ascii="Times New Roman" w:hAnsi="Times New Roman" w:cs="Times New Roman"/>
          <w:w w:val="105"/>
          <w:sz w:val="19"/>
          <w:szCs w:val="19"/>
        </w:rPr>
        <w:t>guide</w:t>
      </w:r>
      <w:r>
        <w:rPr>
          <w:rFonts w:ascii="Times New Roman" w:hAnsi="Times New Roman" w:cs="Times New Roman"/>
          <w:spacing w:val="-14"/>
          <w:w w:val="105"/>
          <w:sz w:val="19"/>
          <w:szCs w:val="19"/>
        </w:rPr>
        <w:t xml:space="preserve"> </w:t>
      </w:r>
      <w:r>
        <w:rPr>
          <w:rFonts w:ascii="Times New Roman" w:hAnsi="Times New Roman" w:cs="Times New Roman"/>
          <w:w w:val="105"/>
          <w:sz w:val="19"/>
          <w:szCs w:val="19"/>
        </w:rPr>
        <w:t>systematic</w:t>
      </w:r>
      <w:r>
        <w:rPr>
          <w:rFonts w:ascii="Times New Roman" w:hAnsi="Times New Roman" w:cs="Times New Roman"/>
          <w:spacing w:val="-14"/>
          <w:w w:val="105"/>
          <w:sz w:val="19"/>
          <w:szCs w:val="19"/>
        </w:rPr>
        <w:t xml:space="preserve"> </w:t>
      </w:r>
      <w:r>
        <w:rPr>
          <w:rFonts w:ascii="Times New Roman" w:hAnsi="Times New Roman" w:cs="Times New Roman"/>
          <w:w w:val="105"/>
          <w:sz w:val="19"/>
          <w:szCs w:val="19"/>
        </w:rPr>
        <w:t>review</w:t>
      </w:r>
      <w:r>
        <w:rPr>
          <w:rFonts w:ascii="Times New Roman" w:hAnsi="Times New Roman" w:cs="Times New Roman"/>
          <w:spacing w:val="-15"/>
          <w:w w:val="105"/>
          <w:sz w:val="19"/>
          <w:szCs w:val="19"/>
        </w:rPr>
        <w:t xml:space="preserve"> </w:t>
      </w:r>
      <w:r>
        <w:rPr>
          <w:rFonts w:ascii="Times New Roman" w:hAnsi="Times New Roman" w:cs="Times New Roman"/>
          <w:w w:val="105"/>
          <w:sz w:val="19"/>
          <w:szCs w:val="19"/>
        </w:rPr>
        <w:t>and</w:t>
      </w:r>
      <w:r>
        <w:rPr>
          <w:rFonts w:ascii="Times New Roman" w:hAnsi="Times New Roman" w:cs="Times New Roman"/>
          <w:spacing w:val="-17"/>
          <w:w w:val="105"/>
          <w:sz w:val="19"/>
          <w:szCs w:val="19"/>
        </w:rPr>
        <w:t xml:space="preserve"> </w:t>
      </w:r>
      <w:r>
        <w:rPr>
          <w:rFonts w:ascii="Times New Roman" w:hAnsi="Times New Roman" w:cs="Times New Roman"/>
          <w:w w:val="105"/>
          <w:sz w:val="19"/>
          <w:szCs w:val="19"/>
        </w:rPr>
        <w:t>meta-analysis.</w:t>
      </w:r>
      <w:r>
        <w:rPr>
          <w:rFonts w:ascii="Times New Roman" w:hAnsi="Times New Roman" w:cs="Times New Roman"/>
          <w:spacing w:val="-15"/>
          <w:w w:val="105"/>
          <w:sz w:val="19"/>
          <w:szCs w:val="19"/>
        </w:rPr>
        <w:t xml:space="preserve"> </w:t>
      </w:r>
      <w:r>
        <w:rPr>
          <w:rFonts w:ascii="Times New Roman" w:hAnsi="Times New Roman" w:cs="Times New Roman"/>
          <w:w w:val="105"/>
          <w:sz w:val="19"/>
          <w:szCs w:val="19"/>
        </w:rPr>
        <w:t>Am</w:t>
      </w:r>
      <w:r>
        <w:rPr>
          <w:rFonts w:ascii="Times New Roman" w:hAnsi="Times New Roman" w:cs="Times New Roman"/>
          <w:spacing w:val="-15"/>
          <w:w w:val="105"/>
          <w:sz w:val="19"/>
          <w:szCs w:val="19"/>
        </w:rPr>
        <w:t xml:space="preserve"> </w:t>
      </w:r>
      <w:r>
        <w:rPr>
          <w:rFonts w:ascii="Times New Roman" w:hAnsi="Times New Roman" w:cs="Times New Roman"/>
          <w:w w:val="105"/>
          <w:sz w:val="19"/>
          <w:szCs w:val="19"/>
        </w:rPr>
        <w:t>J</w:t>
      </w:r>
      <w:r>
        <w:rPr>
          <w:rFonts w:ascii="Times New Roman" w:hAnsi="Times New Roman" w:cs="Times New Roman"/>
          <w:spacing w:val="-17"/>
          <w:w w:val="105"/>
          <w:sz w:val="19"/>
          <w:szCs w:val="19"/>
        </w:rPr>
        <w:t xml:space="preserve"> </w:t>
      </w:r>
      <w:proofErr w:type="spellStart"/>
      <w:r>
        <w:rPr>
          <w:rFonts w:ascii="Times New Roman" w:hAnsi="Times New Roman" w:cs="Times New Roman"/>
          <w:w w:val="105"/>
          <w:sz w:val="19"/>
          <w:szCs w:val="19"/>
        </w:rPr>
        <w:t>Prev</w:t>
      </w:r>
      <w:proofErr w:type="spellEnd"/>
      <w:r>
        <w:rPr>
          <w:rFonts w:ascii="Times New Roman" w:hAnsi="Times New Roman" w:cs="Times New Roman"/>
          <w:spacing w:val="-13"/>
          <w:w w:val="105"/>
          <w:sz w:val="19"/>
          <w:szCs w:val="19"/>
        </w:rPr>
        <w:t xml:space="preserve"> </w:t>
      </w:r>
      <w:r>
        <w:rPr>
          <w:rFonts w:ascii="Times New Roman" w:hAnsi="Times New Roman" w:cs="Times New Roman"/>
          <w:w w:val="105"/>
          <w:sz w:val="19"/>
          <w:szCs w:val="19"/>
        </w:rPr>
        <w:t>Med.</w:t>
      </w:r>
      <w:r>
        <w:rPr>
          <w:rFonts w:ascii="Times New Roman" w:hAnsi="Times New Roman" w:cs="Times New Roman"/>
          <w:spacing w:val="-16"/>
          <w:w w:val="105"/>
          <w:sz w:val="19"/>
          <w:szCs w:val="19"/>
        </w:rPr>
        <w:t xml:space="preserve"> </w:t>
      </w:r>
      <w:r>
        <w:rPr>
          <w:rFonts w:ascii="Times New Roman" w:hAnsi="Times New Roman" w:cs="Times New Roman"/>
          <w:w w:val="105"/>
          <w:sz w:val="19"/>
          <w:szCs w:val="19"/>
        </w:rPr>
        <w:t>2012;42(5):525-</w:t>
      </w:r>
    </w:p>
    <w:p w:rsidR="002C5025" w:rsidRDefault="002C5025">
      <w:pPr>
        <w:pStyle w:val="BodyText"/>
        <w:kinsoku w:val="0"/>
        <w:overflowPunct w:val="0"/>
        <w:spacing w:before="8" w:line="210" w:lineRule="exact"/>
        <w:ind w:left="143" w:right="126"/>
        <w:rPr>
          <w:rFonts w:ascii="Times New Roman" w:hAnsi="Times New Roman" w:cs="Times New Roman"/>
          <w:w w:val="105"/>
          <w:sz w:val="19"/>
          <w:szCs w:val="19"/>
        </w:rPr>
      </w:pPr>
      <w:r>
        <w:rPr>
          <w:rFonts w:ascii="Times New Roman" w:hAnsi="Times New Roman" w:cs="Times New Roman"/>
          <w:w w:val="105"/>
          <w:sz w:val="19"/>
          <w:szCs w:val="19"/>
        </w:rPr>
        <w:t>38.</w:t>
      </w:r>
    </w:p>
    <w:p w:rsidR="002C5025" w:rsidRDefault="002C5025">
      <w:pPr>
        <w:pStyle w:val="BodyText"/>
        <w:kinsoku w:val="0"/>
        <w:overflowPunct w:val="0"/>
        <w:spacing w:before="20" w:line="228" w:lineRule="exact"/>
        <w:ind w:left="143" w:right="126"/>
        <w:rPr>
          <w:rFonts w:ascii="Times New Roman" w:hAnsi="Times New Roman" w:cs="Times New Roman"/>
          <w:w w:val="105"/>
          <w:sz w:val="19"/>
          <w:szCs w:val="19"/>
        </w:rPr>
      </w:pPr>
      <w:r>
        <w:rPr>
          <w:rFonts w:ascii="Times New Roman" w:hAnsi="Times New Roman" w:cs="Times New Roman"/>
          <w:w w:val="105"/>
          <w:position w:val="9"/>
          <w:sz w:val="13"/>
          <w:szCs w:val="13"/>
        </w:rPr>
        <w:t>26</w:t>
      </w:r>
      <w:r>
        <w:rPr>
          <w:rFonts w:ascii="Times New Roman" w:hAnsi="Times New Roman" w:cs="Times New Roman"/>
          <w:spacing w:val="1"/>
          <w:w w:val="105"/>
          <w:position w:val="9"/>
          <w:sz w:val="13"/>
          <w:szCs w:val="13"/>
        </w:rPr>
        <w:t xml:space="preserve"> </w:t>
      </w:r>
      <w:r>
        <w:rPr>
          <w:rFonts w:ascii="Times New Roman" w:hAnsi="Times New Roman" w:cs="Times New Roman"/>
          <w:w w:val="105"/>
          <w:sz w:val="19"/>
          <w:szCs w:val="19"/>
        </w:rPr>
        <w:t>Gunn</w:t>
      </w:r>
      <w:r>
        <w:rPr>
          <w:rFonts w:ascii="Times New Roman" w:hAnsi="Times New Roman" w:cs="Times New Roman"/>
          <w:spacing w:val="-11"/>
          <w:w w:val="105"/>
          <w:sz w:val="19"/>
          <w:szCs w:val="19"/>
        </w:rPr>
        <w:t xml:space="preserve"> </w:t>
      </w:r>
      <w:r>
        <w:rPr>
          <w:rFonts w:ascii="Times New Roman" w:hAnsi="Times New Roman" w:cs="Times New Roman"/>
          <w:w w:val="105"/>
          <w:sz w:val="19"/>
          <w:szCs w:val="19"/>
        </w:rPr>
        <w:t>J,</w:t>
      </w:r>
      <w:r>
        <w:rPr>
          <w:rFonts w:ascii="Times New Roman" w:hAnsi="Times New Roman" w:cs="Times New Roman"/>
          <w:spacing w:val="-10"/>
          <w:w w:val="105"/>
          <w:sz w:val="19"/>
          <w:szCs w:val="19"/>
        </w:rPr>
        <w:t xml:space="preserve"> </w:t>
      </w:r>
      <w:proofErr w:type="spellStart"/>
      <w:r>
        <w:rPr>
          <w:rFonts w:ascii="Times New Roman" w:hAnsi="Times New Roman" w:cs="Times New Roman"/>
          <w:w w:val="105"/>
          <w:sz w:val="19"/>
          <w:szCs w:val="19"/>
        </w:rPr>
        <w:t>Diggens</w:t>
      </w:r>
      <w:proofErr w:type="spellEnd"/>
      <w:r>
        <w:rPr>
          <w:rFonts w:ascii="Times New Roman" w:hAnsi="Times New Roman" w:cs="Times New Roman"/>
          <w:spacing w:val="-13"/>
          <w:w w:val="105"/>
          <w:sz w:val="19"/>
          <w:szCs w:val="19"/>
        </w:rPr>
        <w:t xml:space="preserve"> </w:t>
      </w:r>
      <w:r>
        <w:rPr>
          <w:rFonts w:ascii="Times New Roman" w:hAnsi="Times New Roman" w:cs="Times New Roman"/>
          <w:w w:val="105"/>
          <w:sz w:val="19"/>
          <w:szCs w:val="19"/>
        </w:rPr>
        <w:t>J,</w:t>
      </w:r>
      <w:r>
        <w:rPr>
          <w:rFonts w:ascii="Times New Roman" w:hAnsi="Times New Roman" w:cs="Times New Roman"/>
          <w:spacing w:val="-10"/>
          <w:w w:val="105"/>
          <w:sz w:val="19"/>
          <w:szCs w:val="19"/>
        </w:rPr>
        <w:t xml:space="preserve"> </w:t>
      </w:r>
      <w:proofErr w:type="spellStart"/>
      <w:r>
        <w:rPr>
          <w:rFonts w:ascii="Times New Roman" w:hAnsi="Times New Roman" w:cs="Times New Roman"/>
          <w:w w:val="105"/>
          <w:sz w:val="19"/>
          <w:szCs w:val="19"/>
        </w:rPr>
        <w:t>Hegarty</w:t>
      </w:r>
      <w:proofErr w:type="spellEnd"/>
      <w:r>
        <w:rPr>
          <w:rFonts w:ascii="Times New Roman" w:hAnsi="Times New Roman" w:cs="Times New Roman"/>
          <w:spacing w:val="-11"/>
          <w:w w:val="105"/>
          <w:sz w:val="19"/>
          <w:szCs w:val="19"/>
        </w:rPr>
        <w:t xml:space="preserve"> </w:t>
      </w:r>
      <w:r>
        <w:rPr>
          <w:rFonts w:ascii="Times New Roman" w:hAnsi="Times New Roman" w:cs="Times New Roman"/>
          <w:w w:val="105"/>
          <w:sz w:val="19"/>
          <w:szCs w:val="19"/>
        </w:rPr>
        <w:t>K,</w:t>
      </w:r>
      <w:r>
        <w:rPr>
          <w:rFonts w:ascii="Times New Roman" w:hAnsi="Times New Roman" w:cs="Times New Roman"/>
          <w:spacing w:val="-13"/>
          <w:w w:val="105"/>
          <w:sz w:val="19"/>
          <w:szCs w:val="19"/>
        </w:rPr>
        <w:t xml:space="preserve"> </w:t>
      </w:r>
      <w:proofErr w:type="spellStart"/>
      <w:r>
        <w:rPr>
          <w:rFonts w:ascii="Times New Roman" w:hAnsi="Times New Roman" w:cs="Times New Roman"/>
          <w:w w:val="105"/>
          <w:sz w:val="19"/>
          <w:szCs w:val="19"/>
        </w:rPr>
        <w:t>Blashki</w:t>
      </w:r>
      <w:proofErr w:type="spellEnd"/>
      <w:r>
        <w:rPr>
          <w:rFonts w:ascii="Times New Roman" w:hAnsi="Times New Roman" w:cs="Times New Roman"/>
          <w:spacing w:val="-11"/>
          <w:w w:val="105"/>
          <w:sz w:val="19"/>
          <w:szCs w:val="19"/>
        </w:rPr>
        <w:t xml:space="preserve"> </w:t>
      </w:r>
      <w:r>
        <w:rPr>
          <w:rFonts w:ascii="Times New Roman" w:hAnsi="Times New Roman" w:cs="Times New Roman"/>
          <w:w w:val="105"/>
          <w:sz w:val="19"/>
          <w:szCs w:val="19"/>
        </w:rPr>
        <w:t>G.</w:t>
      </w:r>
      <w:r>
        <w:rPr>
          <w:rFonts w:ascii="Times New Roman" w:hAnsi="Times New Roman" w:cs="Times New Roman"/>
          <w:spacing w:val="-10"/>
          <w:w w:val="105"/>
          <w:sz w:val="19"/>
          <w:szCs w:val="19"/>
        </w:rPr>
        <w:t xml:space="preserve"> </w:t>
      </w:r>
      <w:r>
        <w:rPr>
          <w:rFonts w:ascii="Times New Roman" w:hAnsi="Times New Roman" w:cs="Times New Roman"/>
          <w:w w:val="105"/>
          <w:sz w:val="19"/>
          <w:szCs w:val="19"/>
        </w:rPr>
        <w:t>A</w:t>
      </w:r>
      <w:r>
        <w:rPr>
          <w:rFonts w:ascii="Times New Roman" w:hAnsi="Times New Roman" w:cs="Times New Roman"/>
          <w:spacing w:val="-11"/>
          <w:w w:val="105"/>
          <w:sz w:val="19"/>
          <w:szCs w:val="19"/>
        </w:rPr>
        <w:t xml:space="preserve"> </w:t>
      </w:r>
      <w:r>
        <w:rPr>
          <w:rFonts w:ascii="Times New Roman" w:hAnsi="Times New Roman" w:cs="Times New Roman"/>
          <w:w w:val="105"/>
          <w:sz w:val="19"/>
          <w:szCs w:val="19"/>
        </w:rPr>
        <w:t>systematic</w:t>
      </w:r>
      <w:r>
        <w:rPr>
          <w:rFonts w:ascii="Times New Roman" w:hAnsi="Times New Roman" w:cs="Times New Roman"/>
          <w:spacing w:val="-12"/>
          <w:w w:val="105"/>
          <w:sz w:val="19"/>
          <w:szCs w:val="19"/>
        </w:rPr>
        <w:t xml:space="preserve"> </w:t>
      </w:r>
      <w:r>
        <w:rPr>
          <w:rFonts w:ascii="Times New Roman" w:hAnsi="Times New Roman" w:cs="Times New Roman"/>
          <w:w w:val="105"/>
          <w:sz w:val="19"/>
          <w:szCs w:val="19"/>
        </w:rPr>
        <w:t>review</w:t>
      </w:r>
      <w:r>
        <w:rPr>
          <w:rFonts w:ascii="Times New Roman" w:hAnsi="Times New Roman" w:cs="Times New Roman"/>
          <w:spacing w:val="-11"/>
          <w:w w:val="105"/>
          <w:sz w:val="19"/>
          <w:szCs w:val="19"/>
        </w:rPr>
        <w:t xml:space="preserve"> </w:t>
      </w:r>
      <w:r>
        <w:rPr>
          <w:rFonts w:ascii="Times New Roman" w:hAnsi="Times New Roman" w:cs="Times New Roman"/>
          <w:w w:val="105"/>
          <w:sz w:val="19"/>
          <w:szCs w:val="19"/>
        </w:rPr>
        <w:t>of</w:t>
      </w:r>
      <w:r>
        <w:rPr>
          <w:rFonts w:ascii="Times New Roman" w:hAnsi="Times New Roman" w:cs="Times New Roman"/>
          <w:spacing w:val="-14"/>
          <w:w w:val="105"/>
          <w:sz w:val="19"/>
          <w:szCs w:val="19"/>
        </w:rPr>
        <w:t xml:space="preserve"> </w:t>
      </w:r>
      <w:r>
        <w:rPr>
          <w:rFonts w:ascii="Times New Roman" w:hAnsi="Times New Roman" w:cs="Times New Roman"/>
          <w:spacing w:val="2"/>
          <w:w w:val="105"/>
          <w:sz w:val="19"/>
          <w:szCs w:val="19"/>
        </w:rPr>
        <w:t>complex</w:t>
      </w:r>
      <w:r>
        <w:rPr>
          <w:rFonts w:ascii="Times New Roman" w:hAnsi="Times New Roman" w:cs="Times New Roman"/>
          <w:spacing w:val="-11"/>
          <w:w w:val="105"/>
          <w:sz w:val="19"/>
          <w:szCs w:val="19"/>
        </w:rPr>
        <w:t xml:space="preserve"> </w:t>
      </w:r>
      <w:r>
        <w:rPr>
          <w:rFonts w:ascii="Times New Roman" w:hAnsi="Times New Roman" w:cs="Times New Roman"/>
          <w:w w:val="105"/>
          <w:sz w:val="19"/>
          <w:szCs w:val="19"/>
        </w:rPr>
        <w:t>system</w:t>
      </w:r>
      <w:r>
        <w:rPr>
          <w:rFonts w:ascii="Times New Roman" w:hAnsi="Times New Roman" w:cs="Times New Roman"/>
          <w:spacing w:val="-10"/>
          <w:w w:val="105"/>
          <w:sz w:val="19"/>
          <w:szCs w:val="19"/>
        </w:rPr>
        <w:t xml:space="preserve"> </w:t>
      </w:r>
      <w:r>
        <w:rPr>
          <w:rFonts w:ascii="Times New Roman" w:hAnsi="Times New Roman" w:cs="Times New Roman"/>
          <w:w w:val="105"/>
          <w:sz w:val="19"/>
          <w:szCs w:val="19"/>
        </w:rPr>
        <w:t>interventions</w:t>
      </w:r>
      <w:r>
        <w:rPr>
          <w:rFonts w:ascii="Times New Roman" w:hAnsi="Times New Roman" w:cs="Times New Roman"/>
          <w:spacing w:val="-11"/>
          <w:w w:val="105"/>
          <w:sz w:val="19"/>
          <w:szCs w:val="19"/>
        </w:rPr>
        <w:t xml:space="preserve"> </w:t>
      </w:r>
      <w:r>
        <w:rPr>
          <w:rFonts w:ascii="Times New Roman" w:hAnsi="Times New Roman" w:cs="Times New Roman"/>
          <w:w w:val="105"/>
          <w:sz w:val="19"/>
          <w:szCs w:val="19"/>
        </w:rPr>
        <w:t>designed</w:t>
      </w:r>
      <w:r>
        <w:rPr>
          <w:rFonts w:ascii="Times New Roman" w:hAnsi="Times New Roman" w:cs="Times New Roman"/>
          <w:spacing w:val="-11"/>
          <w:w w:val="105"/>
          <w:sz w:val="19"/>
          <w:szCs w:val="19"/>
        </w:rPr>
        <w:t xml:space="preserve"> </w:t>
      </w:r>
      <w:r>
        <w:rPr>
          <w:rFonts w:ascii="Times New Roman" w:hAnsi="Times New Roman" w:cs="Times New Roman"/>
          <w:w w:val="105"/>
          <w:sz w:val="19"/>
          <w:szCs w:val="19"/>
        </w:rPr>
        <w:t>to</w:t>
      </w:r>
      <w:r>
        <w:rPr>
          <w:rFonts w:ascii="Times New Roman" w:hAnsi="Times New Roman" w:cs="Times New Roman"/>
          <w:spacing w:val="-11"/>
          <w:w w:val="105"/>
          <w:sz w:val="19"/>
          <w:szCs w:val="19"/>
        </w:rPr>
        <w:t xml:space="preserve"> </w:t>
      </w:r>
      <w:r>
        <w:rPr>
          <w:rFonts w:ascii="Times New Roman" w:hAnsi="Times New Roman" w:cs="Times New Roman"/>
          <w:w w:val="105"/>
          <w:sz w:val="19"/>
          <w:szCs w:val="19"/>
        </w:rPr>
        <w:t>increase</w:t>
      </w:r>
      <w:r>
        <w:rPr>
          <w:rFonts w:ascii="Times New Roman" w:hAnsi="Times New Roman" w:cs="Times New Roman"/>
          <w:spacing w:val="-12"/>
          <w:w w:val="105"/>
          <w:sz w:val="19"/>
          <w:szCs w:val="19"/>
        </w:rPr>
        <w:t xml:space="preserve"> </w:t>
      </w:r>
      <w:r>
        <w:rPr>
          <w:rFonts w:ascii="Times New Roman" w:hAnsi="Times New Roman" w:cs="Times New Roman"/>
          <w:w w:val="105"/>
          <w:sz w:val="19"/>
          <w:szCs w:val="19"/>
        </w:rPr>
        <w:t>recovery from</w:t>
      </w:r>
      <w:r>
        <w:rPr>
          <w:rFonts w:ascii="Times New Roman" w:hAnsi="Times New Roman" w:cs="Times New Roman"/>
          <w:spacing w:val="-13"/>
          <w:w w:val="105"/>
          <w:sz w:val="19"/>
          <w:szCs w:val="19"/>
        </w:rPr>
        <w:t xml:space="preserve"> </w:t>
      </w:r>
      <w:r>
        <w:rPr>
          <w:rFonts w:ascii="Times New Roman" w:hAnsi="Times New Roman" w:cs="Times New Roman"/>
          <w:w w:val="105"/>
          <w:sz w:val="19"/>
          <w:szCs w:val="19"/>
        </w:rPr>
        <w:t>depression</w:t>
      </w:r>
      <w:r>
        <w:rPr>
          <w:rFonts w:ascii="Times New Roman" w:hAnsi="Times New Roman" w:cs="Times New Roman"/>
          <w:spacing w:val="-11"/>
          <w:w w:val="105"/>
          <w:sz w:val="19"/>
          <w:szCs w:val="19"/>
        </w:rPr>
        <w:t xml:space="preserve"> </w:t>
      </w:r>
      <w:r>
        <w:rPr>
          <w:rFonts w:ascii="Times New Roman" w:hAnsi="Times New Roman" w:cs="Times New Roman"/>
          <w:w w:val="105"/>
          <w:sz w:val="19"/>
          <w:szCs w:val="19"/>
        </w:rPr>
        <w:t>in</w:t>
      </w:r>
      <w:r>
        <w:rPr>
          <w:rFonts w:ascii="Times New Roman" w:hAnsi="Times New Roman" w:cs="Times New Roman"/>
          <w:spacing w:val="-11"/>
          <w:w w:val="105"/>
          <w:sz w:val="19"/>
          <w:szCs w:val="19"/>
        </w:rPr>
        <w:t xml:space="preserve"> </w:t>
      </w:r>
      <w:r>
        <w:rPr>
          <w:rFonts w:ascii="Times New Roman" w:hAnsi="Times New Roman" w:cs="Times New Roman"/>
          <w:w w:val="105"/>
          <w:sz w:val="19"/>
          <w:szCs w:val="19"/>
        </w:rPr>
        <w:t>primary</w:t>
      </w:r>
      <w:r>
        <w:rPr>
          <w:rFonts w:ascii="Times New Roman" w:hAnsi="Times New Roman" w:cs="Times New Roman"/>
          <w:spacing w:val="-13"/>
          <w:w w:val="105"/>
          <w:sz w:val="19"/>
          <w:szCs w:val="19"/>
        </w:rPr>
        <w:t xml:space="preserve"> </w:t>
      </w:r>
      <w:r>
        <w:rPr>
          <w:rFonts w:ascii="Times New Roman" w:hAnsi="Times New Roman" w:cs="Times New Roman"/>
          <w:w w:val="105"/>
          <w:sz w:val="19"/>
          <w:szCs w:val="19"/>
        </w:rPr>
        <w:t>care.</w:t>
      </w:r>
      <w:r>
        <w:rPr>
          <w:rFonts w:ascii="Times New Roman" w:hAnsi="Times New Roman" w:cs="Times New Roman"/>
          <w:spacing w:val="-13"/>
          <w:w w:val="105"/>
          <w:sz w:val="19"/>
          <w:szCs w:val="19"/>
        </w:rPr>
        <w:t xml:space="preserve"> </w:t>
      </w:r>
      <w:r>
        <w:rPr>
          <w:rFonts w:ascii="Times New Roman" w:hAnsi="Times New Roman" w:cs="Times New Roman"/>
          <w:w w:val="105"/>
          <w:sz w:val="19"/>
          <w:szCs w:val="19"/>
        </w:rPr>
        <w:t>BMC</w:t>
      </w:r>
      <w:r>
        <w:rPr>
          <w:rFonts w:ascii="Times New Roman" w:hAnsi="Times New Roman" w:cs="Times New Roman"/>
          <w:spacing w:val="-10"/>
          <w:w w:val="105"/>
          <w:sz w:val="19"/>
          <w:szCs w:val="19"/>
        </w:rPr>
        <w:t xml:space="preserve"> </w:t>
      </w:r>
      <w:r>
        <w:rPr>
          <w:rFonts w:ascii="Times New Roman" w:hAnsi="Times New Roman" w:cs="Times New Roman"/>
          <w:w w:val="105"/>
          <w:sz w:val="19"/>
          <w:szCs w:val="19"/>
        </w:rPr>
        <w:t>Health</w:t>
      </w:r>
      <w:r>
        <w:rPr>
          <w:rFonts w:ascii="Times New Roman" w:hAnsi="Times New Roman" w:cs="Times New Roman"/>
          <w:spacing w:val="-13"/>
          <w:w w:val="105"/>
          <w:sz w:val="19"/>
          <w:szCs w:val="19"/>
        </w:rPr>
        <w:t xml:space="preserve"> </w:t>
      </w:r>
      <w:proofErr w:type="spellStart"/>
      <w:r>
        <w:rPr>
          <w:rFonts w:ascii="Times New Roman" w:hAnsi="Times New Roman" w:cs="Times New Roman"/>
          <w:w w:val="105"/>
          <w:sz w:val="19"/>
          <w:szCs w:val="19"/>
        </w:rPr>
        <w:t>Serv</w:t>
      </w:r>
      <w:proofErr w:type="spellEnd"/>
      <w:r>
        <w:rPr>
          <w:rFonts w:ascii="Times New Roman" w:hAnsi="Times New Roman" w:cs="Times New Roman"/>
          <w:spacing w:val="-11"/>
          <w:w w:val="105"/>
          <w:sz w:val="19"/>
          <w:szCs w:val="19"/>
        </w:rPr>
        <w:t xml:space="preserve"> </w:t>
      </w:r>
      <w:r>
        <w:rPr>
          <w:rFonts w:ascii="Times New Roman" w:hAnsi="Times New Roman" w:cs="Times New Roman"/>
          <w:w w:val="105"/>
          <w:sz w:val="19"/>
          <w:szCs w:val="19"/>
        </w:rPr>
        <w:t>Res.</w:t>
      </w:r>
      <w:r>
        <w:rPr>
          <w:rFonts w:ascii="Times New Roman" w:hAnsi="Times New Roman" w:cs="Times New Roman"/>
          <w:spacing w:val="-13"/>
          <w:w w:val="105"/>
          <w:sz w:val="19"/>
          <w:szCs w:val="19"/>
        </w:rPr>
        <w:t xml:space="preserve"> </w:t>
      </w:r>
      <w:r>
        <w:rPr>
          <w:rFonts w:ascii="Times New Roman" w:hAnsi="Times New Roman" w:cs="Times New Roman"/>
          <w:w w:val="105"/>
          <w:sz w:val="19"/>
          <w:szCs w:val="19"/>
        </w:rPr>
        <w:t>2006;6:88.</w:t>
      </w:r>
    </w:p>
    <w:p w:rsidR="002C5025" w:rsidRDefault="002C5025">
      <w:pPr>
        <w:pStyle w:val="BodyText"/>
        <w:kinsoku w:val="0"/>
        <w:overflowPunct w:val="0"/>
        <w:spacing w:before="10"/>
        <w:rPr>
          <w:rFonts w:ascii="Times New Roman" w:hAnsi="Times New Roman" w:cs="Times New Roman"/>
          <w:sz w:val="13"/>
          <w:szCs w:val="13"/>
        </w:rPr>
      </w:pPr>
    </w:p>
    <w:p w:rsidR="002C5025" w:rsidRDefault="00FB027C">
      <w:pPr>
        <w:pStyle w:val="BodyText"/>
        <w:kinsoku w:val="0"/>
        <w:overflowPunct w:val="0"/>
        <w:spacing w:before="76"/>
        <w:ind w:right="102"/>
        <w:jc w:val="right"/>
        <w:rPr>
          <w:rFonts w:ascii="Times New Roman" w:hAnsi="Times New Roman" w:cs="Times New Roman"/>
          <w:sz w:val="19"/>
          <w:szCs w:val="19"/>
        </w:rPr>
      </w:pPr>
      <w:r>
        <w:rPr>
          <w:noProof/>
        </w:rPr>
        <mc:AlternateContent>
          <mc:Choice Requires="wpg">
            <w:drawing>
              <wp:anchor distT="0" distB="0" distL="114300" distR="114300" simplePos="0" relativeHeight="251616768" behindDoc="0" locked="0" layoutInCell="0" allowOverlap="1">
                <wp:simplePos x="0" y="0"/>
                <wp:positionH relativeFrom="page">
                  <wp:posOffset>572135</wp:posOffset>
                </wp:positionH>
                <wp:positionV relativeFrom="paragraph">
                  <wp:posOffset>48260</wp:posOffset>
                </wp:positionV>
                <wp:extent cx="6410960" cy="38100"/>
                <wp:effectExtent l="0" t="0" r="0" b="0"/>
                <wp:wrapNone/>
                <wp:docPr id="645" name="Group 3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0960" cy="38100"/>
                          <a:chOff x="901" y="76"/>
                          <a:chExt cx="10096" cy="60"/>
                        </a:xfrm>
                      </wpg:grpSpPr>
                      <wps:wsp>
                        <wps:cNvPr id="646" name="Freeform 378"/>
                        <wps:cNvSpPr>
                          <a:spLocks/>
                        </wps:cNvSpPr>
                        <wps:spPr bwMode="auto">
                          <a:xfrm>
                            <a:off x="917" y="84"/>
                            <a:ext cx="10065" cy="20"/>
                          </a:xfrm>
                          <a:custGeom>
                            <a:avLst/>
                            <a:gdLst>
                              <a:gd name="T0" fmla="*/ 0 w 10065"/>
                              <a:gd name="T1" fmla="*/ 0 h 20"/>
                              <a:gd name="T2" fmla="*/ 10065 w 10065"/>
                              <a:gd name="T3" fmla="*/ 0 h 20"/>
                            </a:gdLst>
                            <a:ahLst/>
                            <a:cxnLst>
                              <a:cxn ang="0">
                                <a:pos x="T0" y="T1"/>
                              </a:cxn>
                              <a:cxn ang="0">
                                <a:pos x="T2" y="T3"/>
                              </a:cxn>
                            </a:cxnLst>
                            <a:rect l="0" t="0" r="r" b="b"/>
                            <a:pathLst>
                              <a:path w="10065" h="20">
                                <a:moveTo>
                                  <a:pt x="0" y="0"/>
                                </a:moveTo>
                                <a:lnTo>
                                  <a:pt x="10065"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7" name="Freeform 379"/>
                        <wps:cNvSpPr>
                          <a:spLocks/>
                        </wps:cNvSpPr>
                        <wps:spPr bwMode="auto">
                          <a:xfrm>
                            <a:off x="917" y="106"/>
                            <a:ext cx="10065" cy="20"/>
                          </a:xfrm>
                          <a:custGeom>
                            <a:avLst/>
                            <a:gdLst>
                              <a:gd name="T0" fmla="*/ 0 w 10065"/>
                              <a:gd name="T1" fmla="*/ 0 h 20"/>
                              <a:gd name="T2" fmla="*/ 10065 w 10065"/>
                              <a:gd name="T3" fmla="*/ 0 h 20"/>
                            </a:gdLst>
                            <a:ahLst/>
                            <a:cxnLst>
                              <a:cxn ang="0">
                                <a:pos x="T0" y="T1"/>
                              </a:cxn>
                              <a:cxn ang="0">
                                <a:pos x="T2" y="T3"/>
                              </a:cxn>
                            </a:cxnLst>
                            <a:rect l="0" t="0" r="r" b="b"/>
                            <a:pathLst>
                              <a:path w="10065" h="20">
                                <a:moveTo>
                                  <a:pt x="0" y="0"/>
                                </a:moveTo>
                                <a:lnTo>
                                  <a:pt x="10065" y="0"/>
                                </a:lnTo>
                              </a:path>
                            </a:pathLst>
                          </a:custGeom>
                          <a:noFill/>
                          <a:ln w="19558">
                            <a:solidFill>
                              <a:srgbClr val="6060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8" name="Freeform 380"/>
                        <wps:cNvSpPr>
                          <a:spLocks/>
                        </wps:cNvSpPr>
                        <wps:spPr bwMode="auto">
                          <a:xfrm>
                            <a:off x="917" y="127"/>
                            <a:ext cx="10065" cy="20"/>
                          </a:xfrm>
                          <a:custGeom>
                            <a:avLst/>
                            <a:gdLst>
                              <a:gd name="T0" fmla="*/ 0 w 10065"/>
                              <a:gd name="T1" fmla="*/ 0 h 20"/>
                              <a:gd name="T2" fmla="*/ 10065 w 10065"/>
                              <a:gd name="T3" fmla="*/ 0 h 20"/>
                            </a:gdLst>
                            <a:ahLst/>
                            <a:cxnLst>
                              <a:cxn ang="0">
                                <a:pos x="T0" y="T1"/>
                              </a:cxn>
                              <a:cxn ang="0">
                                <a:pos x="T2" y="T3"/>
                              </a:cxn>
                            </a:cxnLst>
                            <a:rect l="0" t="0" r="r" b="b"/>
                            <a:pathLst>
                              <a:path w="10065" h="20">
                                <a:moveTo>
                                  <a:pt x="0" y="0"/>
                                </a:moveTo>
                                <a:lnTo>
                                  <a:pt x="10065" y="0"/>
                                </a:lnTo>
                              </a:path>
                            </a:pathLst>
                          </a:custGeom>
                          <a:noFill/>
                          <a:ln w="10414">
                            <a:solidFill>
                              <a:srgbClr val="C1C1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77" o:spid="_x0000_s1026" style="position:absolute;margin-left:45.05pt;margin-top:3.8pt;width:504.8pt;height:3pt;z-index:251616768;mso-position-horizontal-relative:page" coordorigin="901,76" coordsize="1009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" o:allowincell="f">
                <v:shape id="Freeform 378" o:spid="_x0000_s1027" style="position:absolute;left:917;top:84;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qEV8YA&#10;AADcAAAADwAAAGRycy9kb3ducmV2LnhtbESPQWvCQBSE7wX/w/KEXkrdWCRI6iqiKJJDITbg9ZF9&#10;Jmmzb5fsqtFf3y0Uehxm5htmsRpMJ67U+9aygukkAUFcWd1yraD83L3OQfiArLGzTAru5GG1HD0t&#10;MNP2xgVdj6EWEcI+QwVNCC6T0lcNGfQT64ijd7a9wRBlX0vd4y3CTSffkiSVBluOCw062jRUfR8v&#10;RsHh46vYnsyjdA+9OZfuJc/3Ra7U83hYv4MINIT/8F/7oBWksxR+z8QjIJ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YqEV8YAAADcAAAADwAAAAAAAAAAAAAAAACYAgAAZHJz&#10;L2Rvd25yZXYueG1sUEsFBgAAAAAEAAQA9QAAAIsDAAAAAA==&#10;" path="m,l10065,e" filled="f" strokeweight=".82pt">
                  <v:path arrowok="t" o:connecttype="custom" o:connectlocs="0,0;10065,0" o:connectangles="0,0"/>
                </v:shape>
                <v:shape id="Freeform 379" o:spid="_x0000_s1028" style="position:absolute;left:917;top:106;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mx8cUA&#10;AADcAAAADwAAAGRycy9kb3ducmV2LnhtbESPzUoDQRCE74LvMLSQm5mNhFXWTIIGEkIuwVXEY7PT&#10;+6M7PctMJ9m8fUYQPBZV9RW1WI2uVycKsfNsYDbNQBFX3nbcGPh439w/gYqCbLH3TAYuFGG1vL1Z&#10;YGH9md/oVEqjEoRjgQZakaHQOlYtOYxTPxAnr/bBoSQZGm0DnhPc9fohy3LtsOO00OJA65aqn/Lo&#10;DHzhxpb5vF6P30Fmh9f6U7Z7Z8zkbnx5BiU0yn/4r72zBvL5I/yeSUdAL6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qbHxxQAAANwAAAAPAAAAAAAAAAAAAAAAAJgCAABkcnMv&#10;ZG93bnJldi54bWxQSwUGAAAAAAQABAD1AAAAigMAAAAA&#10;" path="m,l10065,e" filled="f" strokecolor="#606060" strokeweight="1.54pt">
                  <v:path arrowok="t" o:connecttype="custom" o:connectlocs="0,0;10065,0" o:connectangles="0,0"/>
                </v:shape>
                <v:shape id="Freeform 380" o:spid="_x0000_s1029" style="position:absolute;left:917;top:127;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rGIMAA&#10;AADcAAAADwAAAGRycy9kb3ducmV2LnhtbERPTYvCMBC9C/sfwizsTdNVKVpNy1KQ9VpXkN6GZmyL&#10;zaQ0Uau/3hyEPT7e9zYbTSduNLjWsoLvWQSCuLK65VrB8W83XYFwHlljZ5kUPMhBln5Mtphoe+eC&#10;bgdfixDCLkEFjfd9IqWrGjLoZrYnDtzZDgZ9gEMt9YD3EG46OY+iWBpsOTQ02FPeUHU5XI2CsohP&#10;69/+yYtF7osyzk1dFnOlvj7Hnw0IT6P/F7/de60gXoa14Uw4AjJ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krGIMAAAADcAAAADwAAAAAAAAAAAAAAAACYAgAAZHJzL2Rvd25y&#10;ZXYueG1sUEsFBgAAAAAEAAQA9QAAAIUDAAAAAA==&#10;" path="m,l10065,e" filled="f" strokecolor="#c1c1c1" strokeweight=".82pt">
                  <v:path arrowok="t" o:connecttype="custom" o:connectlocs="0,0;10065,0" o:connectangles="0,0"/>
                </v:shape>
                <w10:wrap anchorx="page"/>
              </v:group>
            </w:pict>
          </mc:Fallback>
        </mc:AlternateContent>
      </w:r>
      <w:r w:rsidR="002C5025">
        <w:rPr>
          <w:rFonts w:ascii="Times New Roman" w:hAnsi="Times New Roman" w:cs="Times New Roman"/>
          <w:sz w:val="19"/>
          <w:szCs w:val="19"/>
        </w:rPr>
        <w:t>12</w:t>
      </w:r>
    </w:p>
    <w:p w:rsidR="002C5025" w:rsidRDefault="002C5025">
      <w:pPr>
        <w:pStyle w:val="BodyText"/>
        <w:kinsoku w:val="0"/>
        <w:overflowPunct w:val="0"/>
        <w:spacing w:before="109" w:line="244" w:lineRule="auto"/>
        <w:ind w:left="642" w:right="773" w:hanging="348"/>
        <w:rPr>
          <w:rFonts w:ascii="Cambria" w:hAnsi="Cambria" w:cs="Cambria"/>
          <w:i/>
          <w:iCs/>
          <w:w w:val="105"/>
          <w:sz w:val="19"/>
          <w:szCs w:val="19"/>
        </w:rPr>
      </w:pPr>
      <w:r>
        <w:rPr>
          <w:rFonts w:ascii="Cambria" w:hAnsi="Cambria" w:cs="Cambria"/>
          <w:i/>
          <w:iCs/>
          <w:w w:val="105"/>
          <w:sz w:val="19"/>
          <w:szCs w:val="19"/>
        </w:rPr>
        <w:t>Doctors</w:t>
      </w:r>
      <w:r>
        <w:rPr>
          <w:rFonts w:ascii="Cambria" w:hAnsi="Cambria" w:cs="Cambria"/>
          <w:i/>
          <w:iCs/>
          <w:spacing w:val="-10"/>
          <w:w w:val="105"/>
          <w:sz w:val="19"/>
          <w:szCs w:val="19"/>
        </w:rPr>
        <w:t xml:space="preserve"> </w:t>
      </w:r>
      <w:r>
        <w:rPr>
          <w:rFonts w:ascii="Cambria" w:hAnsi="Cambria" w:cs="Cambria"/>
          <w:i/>
          <w:iCs/>
          <w:w w:val="105"/>
          <w:sz w:val="19"/>
          <w:szCs w:val="19"/>
        </w:rPr>
        <w:t>for</w:t>
      </w:r>
      <w:r>
        <w:rPr>
          <w:rFonts w:ascii="Cambria" w:hAnsi="Cambria" w:cs="Cambria"/>
          <w:i/>
          <w:iCs/>
          <w:spacing w:val="-13"/>
          <w:w w:val="105"/>
          <w:sz w:val="19"/>
          <w:szCs w:val="19"/>
        </w:rPr>
        <w:t xml:space="preserve"> </w:t>
      </w:r>
      <w:r>
        <w:rPr>
          <w:rFonts w:ascii="Cambria" w:hAnsi="Cambria" w:cs="Cambria"/>
          <w:i/>
          <w:iCs/>
          <w:w w:val="105"/>
          <w:sz w:val="19"/>
          <w:szCs w:val="19"/>
        </w:rPr>
        <w:t>America</w:t>
      </w:r>
      <w:r>
        <w:rPr>
          <w:rFonts w:ascii="Cambria" w:hAnsi="Cambria" w:cs="Cambria"/>
          <w:i/>
          <w:iCs/>
          <w:spacing w:val="-12"/>
          <w:w w:val="105"/>
          <w:sz w:val="19"/>
          <w:szCs w:val="19"/>
        </w:rPr>
        <w:t xml:space="preserve"> </w:t>
      </w:r>
      <w:r>
        <w:rPr>
          <w:rFonts w:ascii="Cambria" w:hAnsi="Cambria" w:cs="Cambria"/>
          <w:i/>
          <w:iCs/>
          <w:w w:val="105"/>
          <w:sz w:val="19"/>
          <w:szCs w:val="19"/>
        </w:rPr>
        <w:t>is</w:t>
      </w:r>
      <w:r>
        <w:rPr>
          <w:rFonts w:ascii="Cambria" w:hAnsi="Cambria" w:cs="Cambria"/>
          <w:i/>
          <w:iCs/>
          <w:spacing w:val="-13"/>
          <w:w w:val="105"/>
          <w:sz w:val="19"/>
          <w:szCs w:val="19"/>
        </w:rPr>
        <w:t xml:space="preserve"> </w:t>
      </w:r>
      <w:r>
        <w:rPr>
          <w:rFonts w:ascii="Cambria" w:hAnsi="Cambria" w:cs="Cambria"/>
          <w:i/>
          <w:iCs/>
          <w:w w:val="105"/>
          <w:sz w:val="19"/>
          <w:szCs w:val="19"/>
        </w:rPr>
        <w:t>a</w:t>
      </w:r>
      <w:r>
        <w:rPr>
          <w:rFonts w:ascii="Cambria" w:hAnsi="Cambria" w:cs="Cambria"/>
          <w:i/>
          <w:iCs/>
          <w:spacing w:val="-10"/>
          <w:w w:val="105"/>
          <w:sz w:val="19"/>
          <w:szCs w:val="19"/>
        </w:rPr>
        <w:t xml:space="preserve"> </w:t>
      </w:r>
      <w:r>
        <w:rPr>
          <w:rFonts w:ascii="Cambria" w:hAnsi="Cambria" w:cs="Cambria"/>
          <w:i/>
          <w:iCs/>
          <w:w w:val="105"/>
          <w:sz w:val="19"/>
          <w:szCs w:val="19"/>
        </w:rPr>
        <w:t>501(c)(3)</w:t>
      </w:r>
      <w:r>
        <w:rPr>
          <w:rFonts w:ascii="Cambria" w:hAnsi="Cambria" w:cs="Cambria"/>
          <w:i/>
          <w:iCs/>
          <w:spacing w:val="-13"/>
          <w:w w:val="105"/>
          <w:sz w:val="19"/>
          <w:szCs w:val="19"/>
        </w:rPr>
        <w:t xml:space="preserve"> </w:t>
      </w:r>
      <w:r>
        <w:rPr>
          <w:rFonts w:ascii="Cambria" w:hAnsi="Cambria" w:cs="Cambria"/>
          <w:i/>
          <w:iCs/>
          <w:w w:val="105"/>
          <w:sz w:val="19"/>
          <w:szCs w:val="19"/>
        </w:rPr>
        <w:t>national</w:t>
      </w:r>
      <w:r>
        <w:rPr>
          <w:rFonts w:ascii="Cambria" w:hAnsi="Cambria" w:cs="Cambria"/>
          <w:i/>
          <w:iCs/>
          <w:spacing w:val="-11"/>
          <w:w w:val="105"/>
          <w:sz w:val="19"/>
          <w:szCs w:val="19"/>
        </w:rPr>
        <w:t xml:space="preserve"> </w:t>
      </w:r>
      <w:r>
        <w:rPr>
          <w:rFonts w:ascii="Cambria" w:hAnsi="Cambria" w:cs="Cambria"/>
          <w:i/>
          <w:iCs/>
          <w:w w:val="105"/>
          <w:sz w:val="19"/>
          <w:szCs w:val="19"/>
        </w:rPr>
        <w:t>movement</w:t>
      </w:r>
      <w:r>
        <w:rPr>
          <w:rFonts w:ascii="Cambria" w:hAnsi="Cambria" w:cs="Cambria"/>
          <w:i/>
          <w:iCs/>
          <w:spacing w:val="-10"/>
          <w:w w:val="105"/>
          <w:sz w:val="19"/>
          <w:szCs w:val="19"/>
        </w:rPr>
        <w:t xml:space="preserve"> </w:t>
      </w:r>
      <w:r>
        <w:rPr>
          <w:rFonts w:ascii="Cambria" w:hAnsi="Cambria" w:cs="Cambria"/>
          <w:i/>
          <w:iCs/>
          <w:w w:val="105"/>
          <w:sz w:val="19"/>
          <w:szCs w:val="19"/>
        </w:rPr>
        <w:t>that</w:t>
      </w:r>
      <w:r>
        <w:rPr>
          <w:rFonts w:ascii="Cambria" w:hAnsi="Cambria" w:cs="Cambria"/>
          <w:i/>
          <w:iCs/>
          <w:spacing w:val="-13"/>
          <w:w w:val="105"/>
          <w:sz w:val="19"/>
          <w:szCs w:val="19"/>
        </w:rPr>
        <w:t xml:space="preserve"> </w:t>
      </w:r>
      <w:r>
        <w:rPr>
          <w:rFonts w:ascii="Cambria" w:hAnsi="Cambria" w:cs="Cambria"/>
          <w:i/>
          <w:iCs/>
          <w:w w:val="105"/>
          <w:sz w:val="19"/>
          <w:szCs w:val="19"/>
        </w:rPr>
        <w:t>mobilizes</w:t>
      </w:r>
      <w:r>
        <w:rPr>
          <w:rFonts w:ascii="Cambria" w:hAnsi="Cambria" w:cs="Cambria"/>
          <w:i/>
          <w:iCs/>
          <w:spacing w:val="-10"/>
          <w:w w:val="105"/>
          <w:sz w:val="19"/>
          <w:szCs w:val="19"/>
        </w:rPr>
        <w:t xml:space="preserve"> </w:t>
      </w:r>
      <w:r>
        <w:rPr>
          <w:rFonts w:ascii="Cambria" w:hAnsi="Cambria" w:cs="Cambria"/>
          <w:i/>
          <w:iCs/>
          <w:w w:val="105"/>
          <w:sz w:val="19"/>
          <w:szCs w:val="19"/>
        </w:rPr>
        <w:t>physicians</w:t>
      </w:r>
      <w:r>
        <w:rPr>
          <w:rFonts w:ascii="Cambria" w:hAnsi="Cambria" w:cs="Cambria"/>
          <w:i/>
          <w:iCs/>
          <w:spacing w:val="-13"/>
          <w:w w:val="105"/>
          <w:sz w:val="19"/>
          <w:szCs w:val="19"/>
        </w:rPr>
        <w:t xml:space="preserve"> </w:t>
      </w:r>
      <w:r>
        <w:rPr>
          <w:rFonts w:ascii="Cambria" w:hAnsi="Cambria" w:cs="Cambria"/>
          <w:i/>
          <w:iCs/>
          <w:w w:val="105"/>
          <w:sz w:val="19"/>
          <w:szCs w:val="19"/>
        </w:rPr>
        <w:t>and</w:t>
      </w:r>
      <w:r>
        <w:rPr>
          <w:rFonts w:ascii="Cambria" w:hAnsi="Cambria" w:cs="Cambria"/>
          <w:i/>
          <w:iCs/>
          <w:spacing w:val="-12"/>
          <w:w w:val="105"/>
          <w:sz w:val="19"/>
          <w:szCs w:val="19"/>
        </w:rPr>
        <w:t xml:space="preserve"> </w:t>
      </w:r>
      <w:r>
        <w:rPr>
          <w:rFonts w:ascii="Cambria" w:hAnsi="Cambria" w:cs="Cambria"/>
          <w:i/>
          <w:iCs/>
          <w:w w:val="105"/>
          <w:sz w:val="19"/>
          <w:szCs w:val="19"/>
        </w:rPr>
        <w:t>medical</w:t>
      </w:r>
      <w:r>
        <w:rPr>
          <w:rFonts w:ascii="Cambria" w:hAnsi="Cambria" w:cs="Cambria"/>
          <w:i/>
          <w:iCs/>
          <w:spacing w:val="-14"/>
          <w:w w:val="105"/>
          <w:sz w:val="19"/>
          <w:szCs w:val="19"/>
        </w:rPr>
        <w:t xml:space="preserve"> </w:t>
      </w:r>
      <w:r>
        <w:rPr>
          <w:rFonts w:ascii="Cambria" w:hAnsi="Cambria" w:cs="Cambria"/>
          <w:i/>
          <w:iCs/>
          <w:w w:val="105"/>
          <w:sz w:val="19"/>
          <w:szCs w:val="19"/>
        </w:rPr>
        <w:t>students</w:t>
      </w:r>
      <w:r>
        <w:rPr>
          <w:rFonts w:ascii="Cambria" w:hAnsi="Cambria" w:cs="Cambria"/>
          <w:i/>
          <w:iCs/>
          <w:spacing w:val="-13"/>
          <w:w w:val="105"/>
          <w:sz w:val="19"/>
          <w:szCs w:val="19"/>
        </w:rPr>
        <w:t xml:space="preserve"> </w:t>
      </w:r>
      <w:r>
        <w:rPr>
          <w:rFonts w:ascii="Cambria" w:hAnsi="Cambria" w:cs="Cambria"/>
          <w:i/>
          <w:iCs/>
          <w:w w:val="105"/>
          <w:sz w:val="19"/>
          <w:szCs w:val="19"/>
        </w:rPr>
        <w:t>to</w:t>
      </w:r>
      <w:r>
        <w:rPr>
          <w:rFonts w:ascii="Cambria" w:hAnsi="Cambria" w:cs="Cambria"/>
          <w:i/>
          <w:iCs/>
          <w:spacing w:val="-14"/>
          <w:w w:val="105"/>
          <w:sz w:val="19"/>
          <w:szCs w:val="19"/>
        </w:rPr>
        <w:t xml:space="preserve"> </w:t>
      </w:r>
      <w:r>
        <w:rPr>
          <w:rFonts w:ascii="Cambria" w:hAnsi="Cambria" w:cs="Cambria"/>
          <w:i/>
          <w:iCs/>
          <w:w w:val="105"/>
          <w:sz w:val="19"/>
          <w:szCs w:val="19"/>
        </w:rPr>
        <w:t>put</w:t>
      </w:r>
      <w:r>
        <w:rPr>
          <w:rFonts w:ascii="Cambria" w:hAnsi="Cambria" w:cs="Cambria"/>
          <w:i/>
          <w:iCs/>
          <w:spacing w:val="-13"/>
          <w:w w:val="105"/>
          <w:sz w:val="19"/>
          <w:szCs w:val="19"/>
        </w:rPr>
        <w:t xml:space="preserve"> </w:t>
      </w:r>
      <w:r>
        <w:rPr>
          <w:rFonts w:ascii="Cambria" w:hAnsi="Cambria" w:cs="Cambria"/>
          <w:i/>
          <w:iCs/>
          <w:w w:val="105"/>
          <w:sz w:val="19"/>
          <w:szCs w:val="19"/>
        </w:rPr>
        <w:t>patients over</w:t>
      </w:r>
      <w:r>
        <w:rPr>
          <w:rFonts w:ascii="Cambria" w:hAnsi="Cambria" w:cs="Cambria"/>
          <w:i/>
          <w:iCs/>
          <w:spacing w:val="-10"/>
          <w:w w:val="105"/>
          <w:sz w:val="19"/>
          <w:szCs w:val="19"/>
        </w:rPr>
        <w:t xml:space="preserve"> </w:t>
      </w:r>
      <w:r>
        <w:rPr>
          <w:rFonts w:ascii="Cambria" w:hAnsi="Cambria" w:cs="Cambria"/>
          <w:i/>
          <w:iCs/>
          <w:w w:val="105"/>
          <w:sz w:val="19"/>
          <w:szCs w:val="19"/>
        </w:rPr>
        <w:t>politics</w:t>
      </w:r>
      <w:r>
        <w:rPr>
          <w:rFonts w:ascii="Cambria" w:hAnsi="Cambria" w:cs="Cambria"/>
          <w:i/>
          <w:iCs/>
          <w:spacing w:val="-9"/>
          <w:w w:val="105"/>
          <w:sz w:val="19"/>
          <w:szCs w:val="19"/>
        </w:rPr>
        <w:t xml:space="preserve"> </w:t>
      </w:r>
      <w:r>
        <w:rPr>
          <w:rFonts w:ascii="Cambria" w:hAnsi="Cambria" w:cs="Cambria"/>
          <w:i/>
          <w:iCs/>
          <w:w w:val="105"/>
          <w:sz w:val="19"/>
          <w:szCs w:val="19"/>
        </w:rPr>
        <w:t>on</w:t>
      </w:r>
      <w:r>
        <w:rPr>
          <w:rFonts w:ascii="Cambria" w:hAnsi="Cambria" w:cs="Cambria"/>
          <w:i/>
          <w:iCs/>
          <w:spacing w:val="-11"/>
          <w:w w:val="105"/>
          <w:sz w:val="19"/>
          <w:szCs w:val="19"/>
        </w:rPr>
        <w:t xml:space="preserve"> </w:t>
      </w:r>
      <w:r>
        <w:rPr>
          <w:rFonts w:ascii="Cambria" w:hAnsi="Cambria" w:cs="Cambria"/>
          <w:i/>
          <w:iCs/>
          <w:w w:val="105"/>
          <w:sz w:val="19"/>
          <w:szCs w:val="19"/>
        </w:rPr>
        <w:t>the</w:t>
      </w:r>
      <w:r>
        <w:rPr>
          <w:rFonts w:ascii="Cambria" w:hAnsi="Cambria" w:cs="Cambria"/>
          <w:i/>
          <w:iCs/>
          <w:spacing w:val="-10"/>
          <w:w w:val="105"/>
          <w:sz w:val="19"/>
          <w:szCs w:val="19"/>
        </w:rPr>
        <w:t xml:space="preserve"> </w:t>
      </w:r>
      <w:r>
        <w:rPr>
          <w:rFonts w:ascii="Cambria" w:hAnsi="Cambria" w:cs="Cambria"/>
          <w:i/>
          <w:iCs/>
          <w:w w:val="105"/>
          <w:sz w:val="19"/>
          <w:szCs w:val="19"/>
        </w:rPr>
        <w:t>pressing</w:t>
      </w:r>
      <w:r>
        <w:rPr>
          <w:rFonts w:ascii="Cambria" w:hAnsi="Cambria" w:cs="Cambria"/>
          <w:i/>
          <w:iCs/>
          <w:spacing w:val="-9"/>
          <w:w w:val="105"/>
          <w:sz w:val="19"/>
          <w:szCs w:val="19"/>
        </w:rPr>
        <w:t xml:space="preserve"> </w:t>
      </w:r>
      <w:r>
        <w:rPr>
          <w:rFonts w:ascii="Cambria" w:hAnsi="Cambria" w:cs="Cambria"/>
          <w:i/>
          <w:iCs/>
          <w:w w:val="105"/>
          <w:sz w:val="19"/>
          <w:szCs w:val="19"/>
        </w:rPr>
        <w:t>issues</w:t>
      </w:r>
      <w:r>
        <w:rPr>
          <w:rFonts w:ascii="Cambria" w:hAnsi="Cambria" w:cs="Cambria"/>
          <w:i/>
          <w:iCs/>
          <w:spacing w:val="-9"/>
          <w:w w:val="105"/>
          <w:sz w:val="19"/>
          <w:szCs w:val="19"/>
        </w:rPr>
        <w:t xml:space="preserve"> </w:t>
      </w:r>
      <w:r>
        <w:rPr>
          <w:rFonts w:ascii="Cambria" w:hAnsi="Cambria" w:cs="Cambria"/>
          <w:i/>
          <w:iCs/>
          <w:w w:val="105"/>
          <w:sz w:val="19"/>
          <w:szCs w:val="19"/>
        </w:rPr>
        <w:t>of</w:t>
      </w:r>
      <w:r>
        <w:rPr>
          <w:rFonts w:ascii="Cambria" w:hAnsi="Cambria" w:cs="Cambria"/>
          <w:i/>
          <w:iCs/>
          <w:spacing w:val="-11"/>
          <w:w w:val="105"/>
          <w:sz w:val="19"/>
          <w:szCs w:val="19"/>
        </w:rPr>
        <w:t xml:space="preserve"> </w:t>
      </w:r>
      <w:r>
        <w:rPr>
          <w:rFonts w:ascii="Cambria" w:hAnsi="Cambria" w:cs="Cambria"/>
          <w:i/>
          <w:iCs/>
          <w:w w:val="105"/>
          <w:sz w:val="19"/>
          <w:szCs w:val="19"/>
        </w:rPr>
        <w:t>the</w:t>
      </w:r>
      <w:r>
        <w:rPr>
          <w:rFonts w:ascii="Cambria" w:hAnsi="Cambria" w:cs="Cambria"/>
          <w:i/>
          <w:iCs/>
          <w:spacing w:val="-10"/>
          <w:w w:val="105"/>
          <w:sz w:val="19"/>
          <w:szCs w:val="19"/>
        </w:rPr>
        <w:t xml:space="preserve"> </w:t>
      </w:r>
      <w:r>
        <w:rPr>
          <w:rFonts w:ascii="Cambria" w:hAnsi="Cambria" w:cs="Cambria"/>
          <w:i/>
          <w:iCs/>
          <w:w w:val="105"/>
          <w:sz w:val="19"/>
          <w:szCs w:val="19"/>
        </w:rPr>
        <w:t>day</w:t>
      </w:r>
      <w:r>
        <w:rPr>
          <w:rFonts w:ascii="Cambria" w:hAnsi="Cambria" w:cs="Cambria"/>
          <w:i/>
          <w:iCs/>
          <w:spacing w:val="-10"/>
          <w:w w:val="105"/>
          <w:sz w:val="19"/>
          <w:szCs w:val="19"/>
        </w:rPr>
        <w:t xml:space="preserve"> </w:t>
      </w:r>
      <w:r>
        <w:rPr>
          <w:rFonts w:ascii="Cambria" w:hAnsi="Cambria" w:cs="Cambria"/>
          <w:i/>
          <w:iCs/>
          <w:w w:val="105"/>
          <w:sz w:val="19"/>
          <w:szCs w:val="19"/>
        </w:rPr>
        <w:t>to</w:t>
      </w:r>
      <w:r>
        <w:rPr>
          <w:rFonts w:ascii="Cambria" w:hAnsi="Cambria" w:cs="Cambria"/>
          <w:i/>
          <w:iCs/>
          <w:spacing w:val="-10"/>
          <w:w w:val="105"/>
          <w:sz w:val="19"/>
          <w:szCs w:val="19"/>
        </w:rPr>
        <w:t xml:space="preserve"> </w:t>
      </w:r>
      <w:r>
        <w:rPr>
          <w:rFonts w:ascii="Cambria" w:hAnsi="Cambria" w:cs="Cambria"/>
          <w:i/>
          <w:iCs/>
          <w:w w:val="105"/>
          <w:sz w:val="19"/>
          <w:szCs w:val="19"/>
        </w:rPr>
        <w:t>improve</w:t>
      </w:r>
      <w:r>
        <w:rPr>
          <w:rFonts w:ascii="Cambria" w:hAnsi="Cambria" w:cs="Cambria"/>
          <w:i/>
          <w:iCs/>
          <w:spacing w:val="-10"/>
          <w:w w:val="105"/>
          <w:sz w:val="19"/>
          <w:szCs w:val="19"/>
        </w:rPr>
        <w:t xml:space="preserve"> </w:t>
      </w:r>
      <w:r>
        <w:rPr>
          <w:rFonts w:ascii="Cambria" w:hAnsi="Cambria" w:cs="Cambria"/>
          <w:i/>
          <w:iCs/>
          <w:w w:val="105"/>
          <w:sz w:val="19"/>
          <w:szCs w:val="19"/>
        </w:rPr>
        <w:t>the</w:t>
      </w:r>
      <w:r>
        <w:rPr>
          <w:rFonts w:ascii="Cambria" w:hAnsi="Cambria" w:cs="Cambria"/>
          <w:i/>
          <w:iCs/>
          <w:spacing w:val="-10"/>
          <w:w w:val="105"/>
          <w:sz w:val="19"/>
          <w:szCs w:val="19"/>
        </w:rPr>
        <w:t xml:space="preserve"> </w:t>
      </w:r>
      <w:r>
        <w:rPr>
          <w:rFonts w:ascii="Cambria" w:hAnsi="Cambria" w:cs="Cambria"/>
          <w:i/>
          <w:iCs/>
          <w:w w:val="105"/>
          <w:sz w:val="19"/>
          <w:szCs w:val="19"/>
        </w:rPr>
        <w:t>health</w:t>
      </w:r>
      <w:r>
        <w:rPr>
          <w:rFonts w:ascii="Cambria" w:hAnsi="Cambria" w:cs="Cambria"/>
          <w:i/>
          <w:iCs/>
          <w:spacing w:val="-10"/>
          <w:w w:val="105"/>
          <w:sz w:val="19"/>
          <w:szCs w:val="19"/>
        </w:rPr>
        <w:t xml:space="preserve"> </w:t>
      </w:r>
      <w:r>
        <w:rPr>
          <w:rFonts w:ascii="Cambria" w:hAnsi="Cambria" w:cs="Cambria"/>
          <w:i/>
          <w:iCs/>
          <w:w w:val="105"/>
          <w:sz w:val="19"/>
          <w:szCs w:val="19"/>
        </w:rPr>
        <w:t>of</w:t>
      </w:r>
      <w:r>
        <w:rPr>
          <w:rFonts w:ascii="Cambria" w:hAnsi="Cambria" w:cs="Cambria"/>
          <w:i/>
          <w:iCs/>
          <w:spacing w:val="-11"/>
          <w:w w:val="105"/>
          <w:sz w:val="19"/>
          <w:szCs w:val="19"/>
        </w:rPr>
        <w:t xml:space="preserve"> </w:t>
      </w:r>
      <w:r>
        <w:rPr>
          <w:rFonts w:ascii="Cambria" w:hAnsi="Cambria" w:cs="Cambria"/>
          <w:i/>
          <w:iCs/>
          <w:w w:val="105"/>
          <w:sz w:val="19"/>
          <w:szCs w:val="19"/>
        </w:rPr>
        <w:t>our</w:t>
      </w:r>
      <w:r>
        <w:rPr>
          <w:rFonts w:ascii="Cambria" w:hAnsi="Cambria" w:cs="Cambria"/>
          <w:i/>
          <w:iCs/>
          <w:spacing w:val="-10"/>
          <w:w w:val="105"/>
          <w:sz w:val="19"/>
          <w:szCs w:val="19"/>
        </w:rPr>
        <w:t xml:space="preserve"> </w:t>
      </w:r>
      <w:r>
        <w:rPr>
          <w:rFonts w:ascii="Cambria" w:hAnsi="Cambria" w:cs="Cambria"/>
          <w:i/>
          <w:iCs/>
          <w:w w:val="105"/>
          <w:sz w:val="19"/>
          <w:szCs w:val="19"/>
        </w:rPr>
        <w:t>patients,</w:t>
      </w:r>
      <w:r>
        <w:rPr>
          <w:rFonts w:ascii="Cambria" w:hAnsi="Cambria" w:cs="Cambria"/>
          <w:i/>
          <w:iCs/>
          <w:spacing w:val="-12"/>
          <w:w w:val="105"/>
          <w:sz w:val="19"/>
          <w:szCs w:val="19"/>
        </w:rPr>
        <w:t xml:space="preserve"> </w:t>
      </w:r>
      <w:r>
        <w:rPr>
          <w:rFonts w:ascii="Cambria" w:hAnsi="Cambria" w:cs="Cambria"/>
          <w:i/>
          <w:iCs/>
          <w:w w:val="105"/>
          <w:sz w:val="19"/>
          <w:szCs w:val="19"/>
        </w:rPr>
        <w:t>communities,</w:t>
      </w:r>
      <w:r>
        <w:rPr>
          <w:rFonts w:ascii="Cambria" w:hAnsi="Cambria" w:cs="Cambria"/>
          <w:i/>
          <w:iCs/>
          <w:spacing w:val="-9"/>
          <w:w w:val="105"/>
          <w:sz w:val="19"/>
          <w:szCs w:val="19"/>
        </w:rPr>
        <w:t xml:space="preserve"> </w:t>
      </w:r>
      <w:r>
        <w:rPr>
          <w:rFonts w:ascii="Cambria" w:hAnsi="Cambria" w:cs="Cambria"/>
          <w:i/>
          <w:iCs/>
          <w:w w:val="105"/>
          <w:sz w:val="19"/>
          <w:szCs w:val="19"/>
        </w:rPr>
        <w:t>and</w:t>
      </w:r>
      <w:r>
        <w:rPr>
          <w:rFonts w:ascii="Cambria" w:hAnsi="Cambria" w:cs="Cambria"/>
          <w:i/>
          <w:iCs/>
          <w:spacing w:val="-11"/>
          <w:w w:val="105"/>
          <w:sz w:val="19"/>
          <w:szCs w:val="19"/>
        </w:rPr>
        <w:t xml:space="preserve"> </w:t>
      </w:r>
      <w:r>
        <w:rPr>
          <w:rFonts w:ascii="Cambria" w:hAnsi="Cambria" w:cs="Cambria"/>
          <w:i/>
          <w:iCs/>
          <w:w w:val="105"/>
          <w:sz w:val="19"/>
          <w:szCs w:val="19"/>
        </w:rPr>
        <w:t>nation..</w:t>
      </w:r>
    </w:p>
    <w:p w:rsidR="002C5025" w:rsidRDefault="002C5025">
      <w:pPr>
        <w:pStyle w:val="BodyText"/>
        <w:kinsoku w:val="0"/>
        <w:overflowPunct w:val="0"/>
        <w:spacing w:before="109" w:line="244" w:lineRule="auto"/>
        <w:ind w:left="642" w:right="773" w:hanging="348"/>
        <w:rPr>
          <w:rFonts w:ascii="Cambria" w:hAnsi="Cambria" w:cs="Cambria"/>
          <w:i/>
          <w:iCs/>
          <w:w w:val="105"/>
          <w:sz w:val="19"/>
          <w:szCs w:val="19"/>
        </w:rPr>
        <w:sectPr w:rsidR="002C5025">
          <w:pgSz w:w="12240" w:h="15840"/>
          <w:pgMar w:top="940" w:right="820" w:bottom="280" w:left="800" w:header="720" w:footer="720" w:gutter="0"/>
          <w:pgBorders w:offsetFrom="page">
            <w:top w:val="single" w:sz="24" w:space="24" w:color="213957"/>
            <w:left w:val="single" w:sz="24" w:space="24" w:color="213957"/>
            <w:bottom w:val="single" w:sz="24" w:space="24" w:color="213957"/>
            <w:right w:val="single" w:sz="24" w:space="24" w:color="213957"/>
          </w:pgBorders>
          <w:cols w:space="720"/>
          <w:noEndnote/>
        </w:sectPr>
      </w:pPr>
    </w:p>
    <w:p w:rsidR="002C5025" w:rsidRDefault="002C5025">
      <w:pPr>
        <w:pStyle w:val="BodyText"/>
        <w:kinsoku w:val="0"/>
        <w:overflowPunct w:val="0"/>
        <w:spacing w:before="52" w:line="273" w:lineRule="auto"/>
        <w:ind w:left="143" w:right="414"/>
        <w:rPr>
          <w:rFonts w:ascii="Times New Roman" w:hAnsi="Times New Roman" w:cs="Times New Roman"/>
          <w:sz w:val="24"/>
          <w:szCs w:val="24"/>
        </w:rPr>
      </w:pPr>
      <w:r>
        <w:rPr>
          <w:rFonts w:ascii="Times New Roman" w:hAnsi="Times New Roman" w:cs="Times New Roman"/>
          <w:sz w:val="24"/>
          <w:szCs w:val="24"/>
        </w:rPr>
        <w:lastRenderedPageBreak/>
        <w:t>component of collaborative care is structured and evidence based management plans for depression treatment. Ensuring that care teams are properly resourced to provide additional staff as well as evidence based guideline treatments will be important.</w:t>
      </w:r>
    </w:p>
    <w:p w:rsidR="002C5025" w:rsidRDefault="002C5025">
      <w:pPr>
        <w:pStyle w:val="BodyText"/>
        <w:kinsoku w:val="0"/>
        <w:overflowPunct w:val="0"/>
        <w:spacing w:before="3"/>
        <w:rPr>
          <w:rFonts w:ascii="Times New Roman" w:hAnsi="Times New Roman" w:cs="Times New Roman"/>
          <w:sz w:val="28"/>
          <w:szCs w:val="28"/>
        </w:rPr>
      </w:pPr>
    </w:p>
    <w:p w:rsidR="002C5025" w:rsidRDefault="002C5025">
      <w:pPr>
        <w:pStyle w:val="BodyText"/>
        <w:kinsoku w:val="0"/>
        <w:overflowPunct w:val="0"/>
        <w:spacing w:line="276" w:lineRule="auto"/>
        <w:ind w:left="143" w:right="734"/>
        <w:rPr>
          <w:rFonts w:ascii="Times New Roman" w:hAnsi="Times New Roman" w:cs="Times New Roman"/>
          <w:sz w:val="24"/>
          <w:szCs w:val="24"/>
        </w:rPr>
      </w:pPr>
      <w:r>
        <w:rPr>
          <w:rFonts w:ascii="Times New Roman" w:hAnsi="Times New Roman" w:cs="Times New Roman"/>
          <w:sz w:val="24"/>
          <w:szCs w:val="24"/>
        </w:rPr>
        <w:t>We seek more information on section 4.2.3.1 on the methodology used to identify members who may benefit from CP services. We recommend this risk assessment strategy be based on expert advice and evidence-based best practices. Especially in a high need BH population, often, claims data-based algorithms to identify risk may not be accurate.</w:t>
      </w:r>
    </w:p>
    <w:p w:rsidR="002C5025" w:rsidRDefault="002C5025">
      <w:pPr>
        <w:pStyle w:val="BodyText"/>
        <w:kinsoku w:val="0"/>
        <w:overflowPunct w:val="0"/>
        <w:rPr>
          <w:rFonts w:ascii="Times New Roman" w:hAnsi="Times New Roman" w:cs="Times New Roman"/>
          <w:sz w:val="28"/>
          <w:szCs w:val="28"/>
        </w:rPr>
      </w:pPr>
    </w:p>
    <w:p w:rsidR="002C5025" w:rsidRDefault="002C5025">
      <w:pPr>
        <w:pStyle w:val="BodyText"/>
        <w:kinsoku w:val="0"/>
        <w:overflowPunct w:val="0"/>
        <w:spacing w:line="276" w:lineRule="auto"/>
        <w:ind w:left="143" w:right="253"/>
        <w:rPr>
          <w:rFonts w:ascii="Times New Roman" w:hAnsi="Times New Roman" w:cs="Times New Roman"/>
          <w:sz w:val="24"/>
          <w:szCs w:val="24"/>
        </w:rPr>
      </w:pPr>
      <w:r>
        <w:rPr>
          <w:rFonts w:ascii="Times New Roman" w:hAnsi="Times New Roman" w:cs="Times New Roman"/>
          <w:sz w:val="24"/>
          <w:szCs w:val="24"/>
        </w:rPr>
        <w:t>We ask for clarification in Sections 4.2.3 and 4.2.3.3 regarding BH CPs. Requiring that “BH CPs must either be a Community Service Agency for the Children’s Behavioral Health Initiative or have agreements with local CSAs for serving children.”. We support an approach that ensures adequate access to pediatric BH services. However, given the already limited access to BH services, especially in certain geographic areas, we caution an approach that may exclude critical programs that focus on adult care only. We recommend that, in developing the contracting requirements for BH CPs, behavioral health experts are consulted to ensure adequate breadth, scope, and availability of services in all regions of the state.</w:t>
      </w:r>
    </w:p>
    <w:p w:rsidR="002C5025" w:rsidRDefault="002C5025">
      <w:pPr>
        <w:pStyle w:val="BodyText"/>
        <w:kinsoku w:val="0"/>
        <w:overflowPunct w:val="0"/>
        <w:spacing w:before="9"/>
        <w:rPr>
          <w:rFonts w:ascii="Times New Roman" w:hAnsi="Times New Roman" w:cs="Times New Roman"/>
          <w:sz w:val="27"/>
          <w:szCs w:val="27"/>
        </w:rPr>
      </w:pPr>
    </w:p>
    <w:p w:rsidR="002C5025" w:rsidRDefault="002C5025">
      <w:pPr>
        <w:pStyle w:val="BodyText"/>
        <w:kinsoku w:val="0"/>
        <w:overflowPunct w:val="0"/>
        <w:spacing w:line="276" w:lineRule="auto"/>
        <w:ind w:left="143" w:right="166"/>
        <w:rPr>
          <w:rFonts w:ascii="Times New Roman" w:hAnsi="Times New Roman" w:cs="Times New Roman"/>
          <w:sz w:val="24"/>
          <w:szCs w:val="24"/>
        </w:rPr>
      </w:pPr>
      <w:r>
        <w:rPr>
          <w:rFonts w:ascii="Times New Roman" w:hAnsi="Times New Roman" w:cs="Times New Roman"/>
          <w:sz w:val="24"/>
          <w:szCs w:val="24"/>
        </w:rPr>
        <w:t>We are encouraged by MassHealth’s strong proposal to provide enhanced substance use disorders (SUD) services, including expansion of residential care and recovery supports. We also support MassHealth’s exploration of preventive models such as Screening, Brief Intervention and Referral to Treatment (SBIRT), and encourage MassHealth to implement these models as part of its strategy to address SUD. Productive collaboration between DPH and MassHealth will bring in more federal resources to address an overwhelming need for SUD treatment services, particularly for residents struggling with opioid addiction. We also support MassHealth’s undertaking to address Emergency Department boarding and enhance diversionary levels of care to meet the needs of members within the least restrictive, most appropriate settings.</w:t>
      </w:r>
    </w:p>
    <w:p w:rsidR="002C5025" w:rsidRDefault="002C5025">
      <w:pPr>
        <w:pStyle w:val="BodyText"/>
        <w:kinsoku w:val="0"/>
        <w:overflowPunct w:val="0"/>
        <w:spacing w:before="9"/>
        <w:rPr>
          <w:rFonts w:ascii="Times New Roman" w:hAnsi="Times New Roman" w:cs="Times New Roman"/>
          <w:sz w:val="27"/>
          <w:szCs w:val="27"/>
        </w:rPr>
      </w:pPr>
    </w:p>
    <w:p w:rsidR="002C5025" w:rsidRDefault="002C5025">
      <w:pPr>
        <w:pStyle w:val="BodyText"/>
        <w:kinsoku w:val="0"/>
        <w:overflowPunct w:val="0"/>
        <w:ind w:left="143" w:right="414"/>
        <w:rPr>
          <w:rFonts w:ascii="Times New Roman" w:hAnsi="Times New Roman" w:cs="Times New Roman"/>
          <w:b/>
          <w:bCs/>
          <w:sz w:val="24"/>
          <w:szCs w:val="24"/>
        </w:rPr>
      </w:pPr>
      <w:r>
        <w:rPr>
          <w:rFonts w:ascii="Times New Roman" w:hAnsi="Times New Roman" w:cs="Times New Roman"/>
          <w:b/>
          <w:bCs/>
          <w:sz w:val="24"/>
          <w:szCs w:val="24"/>
        </w:rPr>
        <w:t>Long-Term Services and Supports</w:t>
      </w:r>
    </w:p>
    <w:p w:rsidR="002C5025" w:rsidRDefault="002C5025">
      <w:pPr>
        <w:pStyle w:val="BodyText"/>
        <w:kinsoku w:val="0"/>
        <w:overflowPunct w:val="0"/>
        <w:spacing w:before="1"/>
        <w:rPr>
          <w:rFonts w:ascii="Times New Roman" w:hAnsi="Times New Roman" w:cs="Times New Roman"/>
          <w:b/>
          <w:bCs/>
          <w:sz w:val="31"/>
          <w:szCs w:val="31"/>
        </w:rPr>
      </w:pPr>
    </w:p>
    <w:p w:rsidR="002C5025" w:rsidRDefault="002C5025">
      <w:pPr>
        <w:pStyle w:val="BodyText"/>
        <w:kinsoku w:val="0"/>
        <w:overflowPunct w:val="0"/>
        <w:spacing w:line="276" w:lineRule="auto"/>
        <w:ind w:left="143" w:right="113"/>
        <w:rPr>
          <w:rFonts w:ascii="Times New Roman" w:hAnsi="Times New Roman" w:cs="Times New Roman"/>
          <w:sz w:val="24"/>
          <w:szCs w:val="24"/>
        </w:rPr>
      </w:pPr>
      <w:r>
        <w:rPr>
          <w:rFonts w:ascii="Times New Roman" w:hAnsi="Times New Roman" w:cs="Times New Roman"/>
          <w:sz w:val="24"/>
          <w:szCs w:val="24"/>
        </w:rPr>
        <w:t>We support MassHealth’s plan to phase in integration of LTSS into ACOs, and the utilization of LTSS CPs to offer care coordination and LTSS services. MassHealth should ensure that ACOs rely on community- based providers’ expertise in serving people with disabilities and not “over-medicalize” the LTSS needs of members, while relying on evidence-based best practices. It is important to ensure that changes made to LTSS services, payment, and coordination are based on an evaluation of the current gaps in the system to address those unmet needs and are designed to ensure optimal functioning for patients. Given this is a novel level of integration, active, continued, and meaningful engagement with stakeholders is essential for design, implementation, and evaluation of LTSS services as described in the waiver proposal.</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FB027C">
      <w:pPr>
        <w:pStyle w:val="BodyText"/>
        <w:kinsoku w:val="0"/>
        <w:overflowPunct w:val="0"/>
        <w:rPr>
          <w:rFonts w:ascii="Times New Roman" w:hAnsi="Times New Roman" w:cs="Times New Roman"/>
          <w:sz w:val="29"/>
          <w:szCs w:val="29"/>
        </w:rPr>
      </w:pPr>
      <w:r>
        <w:rPr>
          <w:noProof/>
        </w:rPr>
        <mc:AlternateContent>
          <mc:Choice Requires="wps">
            <w:drawing>
              <wp:anchor distT="0" distB="0" distL="0" distR="0" simplePos="0" relativeHeight="251617792" behindDoc="0" locked="0" layoutInCell="0" allowOverlap="1">
                <wp:simplePos x="0" y="0"/>
                <wp:positionH relativeFrom="page">
                  <wp:posOffset>609600</wp:posOffset>
                </wp:positionH>
                <wp:positionV relativeFrom="paragraph">
                  <wp:posOffset>240665</wp:posOffset>
                </wp:positionV>
                <wp:extent cx="6583680" cy="12700"/>
                <wp:effectExtent l="0" t="0" r="0" b="0"/>
                <wp:wrapTopAndBottom/>
                <wp:docPr id="644" name="Freeform 3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83680" cy="12700"/>
                        </a:xfrm>
                        <a:custGeom>
                          <a:avLst/>
                          <a:gdLst>
                            <a:gd name="T0" fmla="*/ 0 w 10368"/>
                            <a:gd name="T1" fmla="*/ 0 h 20"/>
                            <a:gd name="T2" fmla="*/ 10368 w 10368"/>
                            <a:gd name="T3" fmla="*/ 0 h 20"/>
                          </a:gdLst>
                          <a:ahLst/>
                          <a:cxnLst>
                            <a:cxn ang="0">
                              <a:pos x="T0" y="T1"/>
                            </a:cxn>
                            <a:cxn ang="0">
                              <a:pos x="T2" y="T3"/>
                            </a:cxn>
                          </a:cxnLst>
                          <a:rect l="0" t="0" r="r" b="b"/>
                          <a:pathLst>
                            <a:path w="10368" h="20">
                              <a:moveTo>
                                <a:pt x="0" y="0"/>
                              </a:moveTo>
                              <a:lnTo>
                                <a:pt x="10368"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81" o:spid="_x0000_s1026" style="position:absolute;z-index:251617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48pt,18.95pt,566.4pt,18.95pt" coordsize="1036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" o:allowincell="f" filled="f" strokeweight=".20458mm">
                <v:path arrowok="t" o:connecttype="custom" o:connectlocs="0,0;6583680,0" o:connectangles="0,0"/>
                <w10:wrap type="topAndBottom" anchorx="page"/>
              </v:polyline>
            </w:pict>
          </mc:Fallback>
        </mc:AlternateConten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3"/>
        <w:rPr>
          <w:rFonts w:ascii="Times New Roman" w:hAnsi="Times New Roman" w:cs="Times New Roman"/>
          <w:sz w:val="18"/>
          <w:szCs w:val="18"/>
        </w:rPr>
      </w:pPr>
    </w:p>
    <w:p w:rsidR="002C5025" w:rsidRDefault="00FB027C">
      <w:pPr>
        <w:pStyle w:val="BodyText"/>
        <w:kinsoku w:val="0"/>
        <w:overflowPunct w:val="0"/>
        <w:spacing w:before="75"/>
        <w:ind w:right="127"/>
        <w:jc w:val="right"/>
        <w:rPr>
          <w:rFonts w:ascii="Times New Roman" w:hAnsi="Times New Roman" w:cs="Times New Roman"/>
          <w:sz w:val="19"/>
          <w:szCs w:val="19"/>
        </w:rPr>
      </w:pPr>
      <w:r>
        <w:rPr>
          <w:noProof/>
        </w:rPr>
        <mc:AlternateContent>
          <mc:Choice Requires="wpg">
            <w:drawing>
              <wp:anchor distT="0" distB="0" distL="114300" distR="114300" simplePos="0" relativeHeight="251618816" behindDoc="0" locked="0" layoutInCell="0" allowOverlap="1">
                <wp:simplePos x="0" y="0"/>
                <wp:positionH relativeFrom="page">
                  <wp:posOffset>572135</wp:posOffset>
                </wp:positionH>
                <wp:positionV relativeFrom="paragraph">
                  <wp:posOffset>42545</wp:posOffset>
                </wp:positionV>
                <wp:extent cx="6410960" cy="38100"/>
                <wp:effectExtent l="0" t="0" r="0" b="0"/>
                <wp:wrapNone/>
                <wp:docPr id="640" name="Group 3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0960" cy="38100"/>
                          <a:chOff x="901" y="67"/>
                          <a:chExt cx="10096" cy="60"/>
                        </a:xfrm>
                      </wpg:grpSpPr>
                      <wps:wsp>
                        <wps:cNvPr id="643" name="Freeform 383"/>
                        <wps:cNvSpPr>
                          <a:spLocks/>
                        </wps:cNvSpPr>
                        <wps:spPr bwMode="auto">
                          <a:xfrm>
                            <a:off x="917" y="75"/>
                            <a:ext cx="10065" cy="20"/>
                          </a:xfrm>
                          <a:custGeom>
                            <a:avLst/>
                            <a:gdLst>
                              <a:gd name="T0" fmla="*/ 0 w 10065"/>
                              <a:gd name="T1" fmla="*/ 0 h 20"/>
                              <a:gd name="T2" fmla="*/ 10065 w 10065"/>
                              <a:gd name="T3" fmla="*/ 0 h 20"/>
                            </a:gdLst>
                            <a:ahLst/>
                            <a:cxnLst>
                              <a:cxn ang="0">
                                <a:pos x="T0" y="T1"/>
                              </a:cxn>
                              <a:cxn ang="0">
                                <a:pos x="T2" y="T3"/>
                              </a:cxn>
                            </a:cxnLst>
                            <a:rect l="0" t="0" r="r" b="b"/>
                            <a:pathLst>
                              <a:path w="10065" h="20">
                                <a:moveTo>
                                  <a:pt x="0" y="0"/>
                                </a:moveTo>
                                <a:lnTo>
                                  <a:pt x="10065"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6" name="Freeform 384"/>
                        <wps:cNvSpPr>
                          <a:spLocks/>
                        </wps:cNvSpPr>
                        <wps:spPr bwMode="auto">
                          <a:xfrm>
                            <a:off x="917" y="97"/>
                            <a:ext cx="10065" cy="20"/>
                          </a:xfrm>
                          <a:custGeom>
                            <a:avLst/>
                            <a:gdLst>
                              <a:gd name="T0" fmla="*/ 0 w 10065"/>
                              <a:gd name="T1" fmla="*/ 0 h 20"/>
                              <a:gd name="T2" fmla="*/ 10065 w 10065"/>
                              <a:gd name="T3" fmla="*/ 0 h 20"/>
                            </a:gdLst>
                            <a:ahLst/>
                            <a:cxnLst>
                              <a:cxn ang="0">
                                <a:pos x="T0" y="T1"/>
                              </a:cxn>
                              <a:cxn ang="0">
                                <a:pos x="T2" y="T3"/>
                              </a:cxn>
                            </a:cxnLst>
                            <a:rect l="0" t="0" r="r" b="b"/>
                            <a:pathLst>
                              <a:path w="10065" h="20">
                                <a:moveTo>
                                  <a:pt x="0" y="0"/>
                                </a:moveTo>
                                <a:lnTo>
                                  <a:pt x="10065" y="0"/>
                                </a:lnTo>
                              </a:path>
                            </a:pathLst>
                          </a:custGeom>
                          <a:noFill/>
                          <a:ln w="19558">
                            <a:solidFill>
                              <a:srgbClr val="6060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7" name="Freeform 385"/>
                        <wps:cNvSpPr>
                          <a:spLocks/>
                        </wps:cNvSpPr>
                        <wps:spPr bwMode="auto">
                          <a:xfrm>
                            <a:off x="917" y="118"/>
                            <a:ext cx="10065" cy="20"/>
                          </a:xfrm>
                          <a:custGeom>
                            <a:avLst/>
                            <a:gdLst>
                              <a:gd name="T0" fmla="*/ 0 w 10065"/>
                              <a:gd name="T1" fmla="*/ 0 h 20"/>
                              <a:gd name="T2" fmla="*/ 10065 w 10065"/>
                              <a:gd name="T3" fmla="*/ 0 h 20"/>
                            </a:gdLst>
                            <a:ahLst/>
                            <a:cxnLst>
                              <a:cxn ang="0">
                                <a:pos x="T0" y="T1"/>
                              </a:cxn>
                              <a:cxn ang="0">
                                <a:pos x="T2" y="T3"/>
                              </a:cxn>
                            </a:cxnLst>
                            <a:rect l="0" t="0" r="r" b="b"/>
                            <a:pathLst>
                              <a:path w="10065" h="20">
                                <a:moveTo>
                                  <a:pt x="0" y="0"/>
                                </a:moveTo>
                                <a:lnTo>
                                  <a:pt x="10065" y="0"/>
                                </a:lnTo>
                              </a:path>
                            </a:pathLst>
                          </a:custGeom>
                          <a:noFill/>
                          <a:ln w="10414">
                            <a:solidFill>
                              <a:srgbClr val="C1C1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82" o:spid="_x0000_s1026" style="position:absolute;margin-left:45.05pt;margin-top:3.35pt;width:504.8pt;height:3pt;z-index:251618816;mso-position-horizontal-relative:page" coordorigin="901,67" coordsize="1009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" o:allowincell="f">
                <v:shape id="Freeform 383" o:spid="_x0000_s1027" style="position:absolute;left:917;top:75;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McI8YA&#10;AADcAAAADwAAAGRycy9kb3ducmV2LnhtbESPQWvCQBSE7wX/w/KEXkrdWERKdJWiWCQHITbQ6yP7&#10;TGKzb5fsVqO/3hUEj8PMfMPMl71pxYk631hWMB4lIIhLqxuuFBQ/m/dPED4ga2wtk4ILeVguBi9z&#10;TLU9c06nfahEhLBPUUEdgkul9GVNBv3IOuLoHWxnMETZVVJ3eI5w08qPJJlKgw3HhRodrWoq//b/&#10;RsF2d8zXv+ZauKteHQr3lmXfeabU67D/moEI1Idn+NHeagXTyRjuZ+IR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mMcI8YAAADcAAAADwAAAAAAAAAAAAAAAACYAgAAZHJz&#10;L2Rvd25yZXYueG1sUEsFBgAAAAAEAAQA9QAAAIsDAAAAAA==&#10;" path="m,l10065,e" filled="f" strokeweight=".82pt">
                  <v:path arrowok="t" o:connecttype="custom" o:connectlocs="0,0;10065,0" o:connectangles="0,0"/>
                </v:shape>
                <v:shape id="Freeform 384" o:spid="_x0000_s1028" style="position:absolute;left:917;top:97;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4SacUA&#10;AADcAAAADwAAAGRycy9kb3ducmV2LnhtbESPzWoCQRCE74G8w9CB3OKsIkvYOEoiGEIu4iohx2an&#10;9yfZ6VlmOrq+vSMIORZV9RW1WI2uV0cKsfNsYDrJQBFX3nbcGDjsN0/PoKIgW+w9k4EzRVgt7+8W&#10;WFh/4h0dS2lUgnAs0EArMhRax6olh3HiB+Lk1T44lCRDo23AU4K7Xs+yLNcOO04LLQ60bqn6Lf+c&#10;gW/c2DKf1+vxJ8h0+1Z/yfunM+bxYXx9ASU0yn/41v6wBvL5DK5n0hHQy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3hJpxQAAANwAAAAPAAAAAAAAAAAAAAAAAJgCAABkcnMv&#10;ZG93bnJldi54bWxQSwUGAAAAAAQABAD1AAAAigMAAAAA&#10;" path="m,l10065,e" filled="f" strokecolor="#606060" strokeweight="1.54pt">
                  <v:path arrowok="t" o:connecttype="custom" o:connectlocs="0,0;10065,0" o:connectangles="0,0"/>
                </v:shape>
                <v:shape id="Freeform 385" o:spid="_x0000_s1029" style="position:absolute;left:917;top:118;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5UUcMA&#10;AADcAAAADwAAAGRycy9kb3ducmV2LnhtbESPQYvCMBSE74L/ITzBm6ZrpWjXKFIQvdYVpLdH87Yt&#10;27yUJmr115uFhT0OM/MNs9kNphV36l1jWcHHPAJBXFrdcKXg8nWYrUA4j6yxtUwKnuRgtx2PNphq&#10;++Cc7mdfiQBhl6KC2vsuldKVNRl0c9sRB+/b9gZ9kH0ldY+PADetXERRIg02HBZq7Cirqfw534yC&#10;Ik+u62P34jjOfF4kmamKfKHUdDLsP0F4Gvx/+K990gqSZQy/Z8IRkN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O5UUcMAAADcAAAADwAAAAAAAAAAAAAAAACYAgAAZHJzL2Rv&#10;d25yZXYueG1sUEsFBgAAAAAEAAQA9QAAAIgDAAAAAA==&#10;" path="m,l10065,e" filled="f" strokecolor="#c1c1c1" strokeweight=".82pt">
                  <v:path arrowok="t" o:connecttype="custom" o:connectlocs="0,0;10065,0" o:connectangles="0,0"/>
                </v:shape>
                <w10:wrap anchorx="page"/>
              </v:group>
            </w:pict>
          </mc:Fallback>
        </mc:AlternateContent>
      </w:r>
      <w:r w:rsidR="002C5025">
        <w:rPr>
          <w:rFonts w:ascii="Times New Roman" w:hAnsi="Times New Roman" w:cs="Times New Roman"/>
          <w:sz w:val="19"/>
          <w:szCs w:val="19"/>
        </w:rPr>
        <w:t>13</w:t>
      </w:r>
    </w:p>
    <w:p w:rsidR="002C5025" w:rsidRDefault="002C5025">
      <w:pPr>
        <w:pStyle w:val="BodyText"/>
        <w:kinsoku w:val="0"/>
        <w:overflowPunct w:val="0"/>
        <w:spacing w:before="102" w:line="247" w:lineRule="auto"/>
        <w:ind w:left="644" w:right="734" w:hanging="348"/>
        <w:rPr>
          <w:rFonts w:ascii="Cambria" w:hAnsi="Cambria" w:cs="Cambria"/>
          <w:i/>
          <w:iCs/>
          <w:w w:val="105"/>
          <w:sz w:val="19"/>
          <w:szCs w:val="19"/>
        </w:rPr>
      </w:pPr>
      <w:r>
        <w:rPr>
          <w:rFonts w:ascii="Cambria" w:hAnsi="Cambria" w:cs="Cambria"/>
          <w:i/>
          <w:iCs/>
          <w:w w:val="105"/>
          <w:sz w:val="19"/>
          <w:szCs w:val="19"/>
        </w:rPr>
        <w:t>Doctors</w:t>
      </w:r>
      <w:r>
        <w:rPr>
          <w:rFonts w:ascii="Cambria" w:hAnsi="Cambria" w:cs="Cambria"/>
          <w:i/>
          <w:iCs/>
          <w:spacing w:val="-10"/>
          <w:w w:val="105"/>
          <w:sz w:val="19"/>
          <w:szCs w:val="19"/>
        </w:rPr>
        <w:t xml:space="preserve"> </w:t>
      </w:r>
      <w:r>
        <w:rPr>
          <w:rFonts w:ascii="Cambria" w:hAnsi="Cambria" w:cs="Cambria"/>
          <w:i/>
          <w:iCs/>
          <w:w w:val="105"/>
          <w:sz w:val="19"/>
          <w:szCs w:val="19"/>
        </w:rPr>
        <w:t>for</w:t>
      </w:r>
      <w:r>
        <w:rPr>
          <w:rFonts w:ascii="Cambria" w:hAnsi="Cambria" w:cs="Cambria"/>
          <w:i/>
          <w:iCs/>
          <w:spacing w:val="-13"/>
          <w:w w:val="105"/>
          <w:sz w:val="19"/>
          <w:szCs w:val="19"/>
        </w:rPr>
        <w:t xml:space="preserve"> </w:t>
      </w:r>
      <w:r>
        <w:rPr>
          <w:rFonts w:ascii="Cambria" w:hAnsi="Cambria" w:cs="Cambria"/>
          <w:i/>
          <w:iCs/>
          <w:w w:val="105"/>
          <w:sz w:val="19"/>
          <w:szCs w:val="19"/>
        </w:rPr>
        <w:t>America</w:t>
      </w:r>
      <w:r>
        <w:rPr>
          <w:rFonts w:ascii="Cambria" w:hAnsi="Cambria" w:cs="Cambria"/>
          <w:i/>
          <w:iCs/>
          <w:spacing w:val="-12"/>
          <w:w w:val="105"/>
          <w:sz w:val="19"/>
          <w:szCs w:val="19"/>
        </w:rPr>
        <w:t xml:space="preserve"> </w:t>
      </w:r>
      <w:r>
        <w:rPr>
          <w:rFonts w:ascii="Cambria" w:hAnsi="Cambria" w:cs="Cambria"/>
          <w:i/>
          <w:iCs/>
          <w:w w:val="105"/>
          <w:sz w:val="19"/>
          <w:szCs w:val="19"/>
        </w:rPr>
        <w:t>is</w:t>
      </w:r>
      <w:r>
        <w:rPr>
          <w:rFonts w:ascii="Cambria" w:hAnsi="Cambria" w:cs="Cambria"/>
          <w:i/>
          <w:iCs/>
          <w:spacing w:val="-13"/>
          <w:w w:val="105"/>
          <w:sz w:val="19"/>
          <w:szCs w:val="19"/>
        </w:rPr>
        <w:t xml:space="preserve"> </w:t>
      </w:r>
      <w:r>
        <w:rPr>
          <w:rFonts w:ascii="Cambria" w:hAnsi="Cambria" w:cs="Cambria"/>
          <w:i/>
          <w:iCs/>
          <w:w w:val="105"/>
          <w:sz w:val="19"/>
          <w:szCs w:val="19"/>
        </w:rPr>
        <w:t>a</w:t>
      </w:r>
      <w:r>
        <w:rPr>
          <w:rFonts w:ascii="Cambria" w:hAnsi="Cambria" w:cs="Cambria"/>
          <w:i/>
          <w:iCs/>
          <w:spacing w:val="-10"/>
          <w:w w:val="105"/>
          <w:sz w:val="19"/>
          <w:szCs w:val="19"/>
        </w:rPr>
        <w:t xml:space="preserve"> </w:t>
      </w:r>
      <w:r>
        <w:rPr>
          <w:rFonts w:ascii="Cambria" w:hAnsi="Cambria" w:cs="Cambria"/>
          <w:i/>
          <w:iCs/>
          <w:w w:val="105"/>
          <w:sz w:val="19"/>
          <w:szCs w:val="19"/>
        </w:rPr>
        <w:t>501(c)(3)</w:t>
      </w:r>
      <w:r>
        <w:rPr>
          <w:rFonts w:ascii="Cambria" w:hAnsi="Cambria" w:cs="Cambria"/>
          <w:i/>
          <w:iCs/>
          <w:spacing w:val="-13"/>
          <w:w w:val="105"/>
          <w:sz w:val="19"/>
          <w:szCs w:val="19"/>
        </w:rPr>
        <w:t xml:space="preserve"> </w:t>
      </w:r>
      <w:r>
        <w:rPr>
          <w:rFonts w:ascii="Cambria" w:hAnsi="Cambria" w:cs="Cambria"/>
          <w:i/>
          <w:iCs/>
          <w:w w:val="105"/>
          <w:sz w:val="19"/>
          <w:szCs w:val="19"/>
        </w:rPr>
        <w:t>national</w:t>
      </w:r>
      <w:r>
        <w:rPr>
          <w:rFonts w:ascii="Cambria" w:hAnsi="Cambria" w:cs="Cambria"/>
          <w:i/>
          <w:iCs/>
          <w:spacing w:val="-11"/>
          <w:w w:val="105"/>
          <w:sz w:val="19"/>
          <w:szCs w:val="19"/>
        </w:rPr>
        <w:t xml:space="preserve"> </w:t>
      </w:r>
      <w:r>
        <w:rPr>
          <w:rFonts w:ascii="Cambria" w:hAnsi="Cambria" w:cs="Cambria"/>
          <w:i/>
          <w:iCs/>
          <w:w w:val="105"/>
          <w:sz w:val="19"/>
          <w:szCs w:val="19"/>
        </w:rPr>
        <w:t>movement</w:t>
      </w:r>
      <w:r>
        <w:rPr>
          <w:rFonts w:ascii="Cambria" w:hAnsi="Cambria" w:cs="Cambria"/>
          <w:i/>
          <w:iCs/>
          <w:spacing w:val="-10"/>
          <w:w w:val="105"/>
          <w:sz w:val="19"/>
          <w:szCs w:val="19"/>
        </w:rPr>
        <w:t xml:space="preserve"> </w:t>
      </w:r>
      <w:r>
        <w:rPr>
          <w:rFonts w:ascii="Cambria" w:hAnsi="Cambria" w:cs="Cambria"/>
          <w:i/>
          <w:iCs/>
          <w:w w:val="105"/>
          <w:sz w:val="19"/>
          <w:szCs w:val="19"/>
        </w:rPr>
        <w:t>that</w:t>
      </w:r>
      <w:r>
        <w:rPr>
          <w:rFonts w:ascii="Cambria" w:hAnsi="Cambria" w:cs="Cambria"/>
          <w:i/>
          <w:iCs/>
          <w:spacing w:val="-13"/>
          <w:w w:val="105"/>
          <w:sz w:val="19"/>
          <w:szCs w:val="19"/>
        </w:rPr>
        <w:t xml:space="preserve"> </w:t>
      </w:r>
      <w:r>
        <w:rPr>
          <w:rFonts w:ascii="Cambria" w:hAnsi="Cambria" w:cs="Cambria"/>
          <w:i/>
          <w:iCs/>
          <w:w w:val="105"/>
          <w:sz w:val="19"/>
          <w:szCs w:val="19"/>
        </w:rPr>
        <w:t>mobilizes</w:t>
      </w:r>
      <w:r>
        <w:rPr>
          <w:rFonts w:ascii="Cambria" w:hAnsi="Cambria" w:cs="Cambria"/>
          <w:i/>
          <w:iCs/>
          <w:spacing w:val="-10"/>
          <w:w w:val="105"/>
          <w:sz w:val="19"/>
          <w:szCs w:val="19"/>
        </w:rPr>
        <w:t xml:space="preserve"> </w:t>
      </w:r>
      <w:r>
        <w:rPr>
          <w:rFonts w:ascii="Cambria" w:hAnsi="Cambria" w:cs="Cambria"/>
          <w:i/>
          <w:iCs/>
          <w:w w:val="105"/>
          <w:sz w:val="19"/>
          <w:szCs w:val="19"/>
        </w:rPr>
        <w:t>physicians</w:t>
      </w:r>
      <w:r>
        <w:rPr>
          <w:rFonts w:ascii="Cambria" w:hAnsi="Cambria" w:cs="Cambria"/>
          <w:i/>
          <w:iCs/>
          <w:spacing w:val="-13"/>
          <w:w w:val="105"/>
          <w:sz w:val="19"/>
          <w:szCs w:val="19"/>
        </w:rPr>
        <w:t xml:space="preserve"> </w:t>
      </w:r>
      <w:r>
        <w:rPr>
          <w:rFonts w:ascii="Cambria" w:hAnsi="Cambria" w:cs="Cambria"/>
          <w:i/>
          <w:iCs/>
          <w:w w:val="105"/>
          <w:sz w:val="19"/>
          <w:szCs w:val="19"/>
        </w:rPr>
        <w:t>and</w:t>
      </w:r>
      <w:r>
        <w:rPr>
          <w:rFonts w:ascii="Cambria" w:hAnsi="Cambria" w:cs="Cambria"/>
          <w:i/>
          <w:iCs/>
          <w:spacing w:val="-12"/>
          <w:w w:val="105"/>
          <w:sz w:val="19"/>
          <w:szCs w:val="19"/>
        </w:rPr>
        <w:t xml:space="preserve"> </w:t>
      </w:r>
      <w:r>
        <w:rPr>
          <w:rFonts w:ascii="Cambria" w:hAnsi="Cambria" w:cs="Cambria"/>
          <w:i/>
          <w:iCs/>
          <w:w w:val="105"/>
          <w:sz w:val="19"/>
          <w:szCs w:val="19"/>
        </w:rPr>
        <w:t>medical</w:t>
      </w:r>
      <w:r>
        <w:rPr>
          <w:rFonts w:ascii="Cambria" w:hAnsi="Cambria" w:cs="Cambria"/>
          <w:i/>
          <w:iCs/>
          <w:spacing w:val="-14"/>
          <w:w w:val="105"/>
          <w:sz w:val="19"/>
          <w:szCs w:val="19"/>
        </w:rPr>
        <w:t xml:space="preserve"> </w:t>
      </w:r>
      <w:r>
        <w:rPr>
          <w:rFonts w:ascii="Cambria" w:hAnsi="Cambria" w:cs="Cambria"/>
          <w:i/>
          <w:iCs/>
          <w:w w:val="105"/>
          <w:sz w:val="19"/>
          <w:szCs w:val="19"/>
        </w:rPr>
        <w:t>students</w:t>
      </w:r>
      <w:r>
        <w:rPr>
          <w:rFonts w:ascii="Cambria" w:hAnsi="Cambria" w:cs="Cambria"/>
          <w:i/>
          <w:iCs/>
          <w:spacing w:val="-13"/>
          <w:w w:val="105"/>
          <w:sz w:val="19"/>
          <w:szCs w:val="19"/>
        </w:rPr>
        <w:t xml:space="preserve"> </w:t>
      </w:r>
      <w:r>
        <w:rPr>
          <w:rFonts w:ascii="Cambria" w:hAnsi="Cambria" w:cs="Cambria"/>
          <w:i/>
          <w:iCs/>
          <w:w w:val="105"/>
          <w:sz w:val="19"/>
          <w:szCs w:val="19"/>
        </w:rPr>
        <w:t>to</w:t>
      </w:r>
      <w:r>
        <w:rPr>
          <w:rFonts w:ascii="Cambria" w:hAnsi="Cambria" w:cs="Cambria"/>
          <w:i/>
          <w:iCs/>
          <w:spacing w:val="-14"/>
          <w:w w:val="105"/>
          <w:sz w:val="19"/>
          <w:szCs w:val="19"/>
        </w:rPr>
        <w:t xml:space="preserve"> </w:t>
      </w:r>
      <w:r>
        <w:rPr>
          <w:rFonts w:ascii="Cambria" w:hAnsi="Cambria" w:cs="Cambria"/>
          <w:i/>
          <w:iCs/>
          <w:w w:val="105"/>
          <w:sz w:val="19"/>
          <w:szCs w:val="19"/>
        </w:rPr>
        <w:t>put</w:t>
      </w:r>
      <w:r>
        <w:rPr>
          <w:rFonts w:ascii="Cambria" w:hAnsi="Cambria" w:cs="Cambria"/>
          <w:i/>
          <w:iCs/>
          <w:spacing w:val="-13"/>
          <w:w w:val="105"/>
          <w:sz w:val="19"/>
          <w:szCs w:val="19"/>
        </w:rPr>
        <w:t xml:space="preserve"> </w:t>
      </w:r>
      <w:r>
        <w:rPr>
          <w:rFonts w:ascii="Cambria" w:hAnsi="Cambria" w:cs="Cambria"/>
          <w:i/>
          <w:iCs/>
          <w:w w:val="105"/>
          <w:sz w:val="19"/>
          <w:szCs w:val="19"/>
        </w:rPr>
        <w:t>patients over</w:t>
      </w:r>
      <w:r>
        <w:rPr>
          <w:rFonts w:ascii="Cambria" w:hAnsi="Cambria" w:cs="Cambria"/>
          <w:i/>
          <w:iCs/>
          <w:spacing w:val="-10"/>
          <w:w w:val="105"/>
          <w:sz w:val="19"/>
          <w:szCs w:val="19"/>
        </w:rPr>
        <w:t xml:space="preserve"> </w:t>
      </w:r>
      <w:r>
        <w:rPr>
          <w:rFonts w:ascii="Cambria" w:hAnsi="Cambria" w:cs="Cambria"/>
          <w:i/>
          <w:iCs/>
          <w:w w:val="105"/>
          <w:sz w:val="19"/>
          <w:szCs w:val="19"/>
        </w:rPr>
        <w:t>politics</w:t>
      </w:r>
      <w:r>
        <w:rPr>
          <w:rFonts w:ascii="Cambria" w:hAnsi="Cambria" w:cs="Cambria"/>
          <w:i/>
          <w:iCs/>
          <w:spacing w:val="-9"/>
          <w:w w:val="105"/>
          <w:sz w:val="19"/>
          <w:szCs w:val="19"/>
        </w:rPr>
        <w:t xml:space="preserve"> </w:t>
      </w:r>
      <w:r>
        <w:rPr>
          <w:rFonts w:ascii="Cambria" w:hAnsi="Cambria" w:cs="Cambria"/>
          <w:i/>
          <w:iCs/>
          <w:w w:val="105"/>
          <w:sz w:val="19"/>
          <w:szCs w:val="19"/>
        </w:rPr>
        <w:t>on</w:t>
      </w:r>
      <w:r>
        <w:rPr>
          <w:rFonts w:ascii="Cambria" w:hAnsi="Cambria" w:cs="Cambria"/>
          <w:i/>
          <w:iCs/>
          <w:spacing w:val="-11"/>
          <w:w w:val="105"/>
          <w:sz w:val="19"/>
          <w:szCs w:val="19"/>
        </w:rPr>
        <w:t xml:space="preserve"> </w:t>
      </w:r>
      <w:r>
        <w:rPr>
          <w:rFonts w:ascii="Cambria" w:hAnsi="Cambria" w:cs="Cambria"/>
          <w:i/>
          <w:iCs/>
          <w:w w:val="105"/>
          <w:sz w:val="19"/>
          <w:szCs w:val="19"/>
        </w:rPr>
        <w:t>the</w:t>
      </w:r>
      <w:r>
        <w:rPr>
          <w:rFonts w:ascii="Cambria" w:hAnsi="Cambria" w:cs="Cambria"/>
          <w:i/>
          <w:iCs/>
          <w:spacing w:val="-10"/>
          <w:w w:val="105"/>
          <w:sz w:val="19"/>
          <w:szCs w:val="19"/>
        </w:rPr>
        <w:t xml:space="preserve"> </w:t>
      </w:r>
      <w:r>
        <w:rPr>
          <w:rFonts w:ascii="Cambria" w:hAnsi="Cambria" w:cs="Cambria"/>
          <w:i/>
          <w:iCs/>
          <w:w w:val="105"/>
          <w:sz w:val="19"/>
          <w:szCs w:val="19"/>
        </w:rPr>
        <w:t>pressing</w:t>
      </w:r>
      <w:r>
        <w:rPr>
          <w:rFonts w:ascii="Cambria" w:hAnsi="Cambria" w:cs="Cambria"/>
          <w:i/>
          <w:iCs/>
          <w:spacing w:val="-9"/>
          <w:w w:val="105"/>
          <w:sz w:val="19"/>
          <w:szCs w:val="19"/>
        </w:rPr>
        <w:t xml:space="preserve"> </w:t>
      </w:r>
      <w:r>
        <w:rPr>
          <w:rFonts w:ascii="Cambria" w:hAnsi="Cambria" w:cs="Cambria"/>
          <w:i/>
          <w:iCs/>
          <w:w w:val="105"/>
          <w:sz w:val="19"/>
          <w:szCs w:val="19"/>
        </w:rPr>
        <w:t>issues</w:t>
      </w:r>
      <w:r>
        <w:rPr>
          <w:rFonts w:ascii="Cambria" w:hAnsi="Cambria" w:cs="Cambria"/>
          <w:i/>
          <w:iCs/>
          <w:spacing w:val="-9"/>
          <w:w w:val="105"/>
          <w:sz w:val="19"/>
          <w:szCs w:val="19"/>
        </w:rPr>
        <w:t xml:space="preserve"> </w:t>
      </w:r>
      <w:r>
        <w:rPr>
          <w:rFonts w:ascii="Cambria" w:hAnsi="Cambria" w:cs="Cambria"/>
          <w:i/>
          <w:iCs/>
          <w:w w:val="105"/>
          <w:sz w:val="19"/>
          <w:szCs w:val="19"/>
        </w:rPr>
        <w:t>of</w:t>
      </w:r>
      <w:r>
        <w:rPr>
          <w:rFonts w:ascii="Cambria" w:hAnsi="Cambria" w:cs="Cambria"/>
          <w:i/>
          <w:iCs/>
          <w:spacing w:val="-11"/>
          <w:w w:val="105"/>
          <w:sz w:val="19"/>
          <w:szCs w:val="19"/>
        </w:rPr>
        <w:t xml:space="preserve"> </w:t>
      </w:r>
      <w:r>
        <w:rPr>
          <w:rFonts w:ascii="Cambria" w:hAnsi="Cambria" w:cs="Cambria"/>
          <w:i/>
          <w:iCs/>
          <w:w w:val="105"/>
          <w:sz w:val="19"/>
          <w:szCs w:val="19"/>
        </w:rPr>
        <w:t>the</w:t>
      </w:r>
      <w:r>
        <w:rPr>
          <w:rFonts w:ascii="Cambria" w:hAnsi="Cambria" w:cs="Cambria"/>
          <w:i/>
          <w:iCs/>
          <w:spacing w:val="-10"/>
          <w:w w:val="105"/>
          <w:sz w:val="19"/>
          <w:szCs w:val="19"/>
        </w:rPr>
        <w:t xml:space="preserve"> </w:t>
      </w:r>
      <w:r>
        <w:rPr>
          <w:rFonts w:ascii="Cambria" w:hAnsi="Cambria" w:cs="Cambria"/>
          <w:i/>
          <w:iCs/>
          <w:w w:val="105"/>
          <w:sz w:val="19"/>
          <w:szCs w:val="19"/>
        </w:rPr>
        <w:t>day</w:t>
      </w:r>
      <w:r>
        <w:rPr>
          <w:rFonts w:ascii="Cambria" w:hAnsi="Cambria" w:cs="Cambria"/>
          <w:i/>
          <w:iCs/>
          <w:spacing w:val="-10"/>
          <w:w w:val="105"/>
          <w:sz w:val="19"/>
          <w:szCs w:val="19"/>
        </w:rPr>
        <w:t xml:space="preserve"> </w:t>
      </w:r>
      <w:r>
        <w:rPr>
          <w:rFonts w:ascii="Cambria" w:hAnsi="Cambria" w:cs="Cambria"/>
          <w:i/>
          <w:iCs/>
          <w:w w:val="105"/>
          <w:sz w:val="19"/>
          <w:szCs w:val="19"/>
        </w:rPr>
        <w:t>to</w:t>
      </w:r>
      <w:r>
        <w:rPr>
          <w:rFonts w:ascii="Cambria" w:hAnsi="Cambria" w:cs="Cambria"/>
          <w:i/>
          <w:iCs/>
          <w:spacing w:val="-10"/>
          <w:w w:val="105"/>
          <w:sz w:val="19"/>
          <w:szCs w:val="19"/>
        </w:rPr>
        <w:t xml:space="preserve"> </w:t>
      </w:r>
      <w:r>
        <w:rPr>
          <w:rFonts w:ascii="Cambria" w:hAnsi="Cambria" w:cs="Cambria"/>
          <w:i/>
          <w:iCs/>
          <w:w w:val="105"/>
          <w:sz w:val="19"/>
          <w:szCs w:val="19"/>
        </w:rPr>
        <w:t>improve</w:t>
      </w:r>
      <w:r>
        <w:rPr>
          <w:rFonts w:ascii="Cambria" w:hAnsi="Cambria" w:cs="Cambria"/>
          <w:i/>
          <w:iCs/>
          <w:spacing w:val="-10"/>
          <w:w w:val="105"/>
          <w:sz w:val="19"/>
          <w:szCs w:val="19"/>
        </w:rPr>
        <w:t xml:space="preserve"> </w:t>
      </w:r>
      <w:r>
        <w:rPr>
          <w:rFonts w:ascii="Cambria" w:hAnsi="Cambria" w:cs="Cambria"/>
          <w:i/>
          <w:iCs/>
          <w:w w:val="105"/>
          <w:sz w:val="19"/>
          <w:szCs w:val="19"/>
        </w:rPr>
        <w:t>the</w:t>
      </w:r>
      <w:r>
        <w:rPr>
          <w:rFonts w:ascii="Cambria" w:hAnsi="Cambria" w:cs="Cambria"/>
          <w:i/>
          <w:iCs/>
          <w:spacing w:val="-10"/>
          <w:w w:val="105"/>
          <w:sz w:val="19"/>
          <w:szCs w:val="19"/>
        </w:rPr>
        <w:t xml:space="preserve"> </w:t>
      </w:r>
      <w:r>
        <w:rPr>
          <w:rFonts w:ascii="Cambria" w:hAnsi="Cambria" w:cs="Cambria"/>
          <w:i/>
          <w:iCs/>
          <w:w w:val="105"/>
          <w:sz w:val="19"/>
          <w:szCs w:val="19"/>
        </w:rPr>
        <w:t>health</w:t>
      </w:r>
      <w:r>
        <w:rPr>
          <w:rFonts w:ascii="Cambria" w:hAnsi="Cambria" w:cs="Cambria"/>
          <w:i/>
          <w:iCs/>
          <w:spacing w:val="-10"/>
          <w:w w:val="105"/>
          <w:sz w:val="19"/>
          <w:szCs w:val="19"/>
        </w:rPr>
        <w:t xml:space="preserve"> </w:t>
      </w:r>
      <w:r>
        <w:rPr>
          <w:rFonts w:ascii="Cambria" w:hAnsi="Cambria" w:cs="Cambria"/>
          <w:i/>
          <w:iCs/>
          <w:w w:val="105"/>
          <w:sz w:val="19"/>
          <w:szCs w:val="19"/>
        </w:rPr>
        <w:t>of</w:t>
      </w:r>
      <w:r>
        <w:rPr>
          <w:rFonts w:ascii="Cambria" w:hAnsi="Cambria" w:cs="Cambria"/>
          <w:i/>
          <w:iCs/>
          <w:spacing w:val="-11"/>
          <w:w w:val="105"/>
          <w:sz w:val="19"/>
          <w:szCs w:val="19"/>
        </w:rPr>
        <w:t xml:space="preserve"> </w:t>
      </w:r>
      <w:r>
        <w:rPr>
          <w:rFonts w:ascii="Cambria" w:hAnsi="Cambria" w:cs="Cambria"/>
          <w:i/>
          <w:iCs/>
          <w:w w:val="105"/>
          <w:sz w:val="19"/>
          <w:szCs w:val="19"/>
        </w:rPr>
        <w:t>our</w:t>
      </w:r>
      <w:r>
        <w:rPr>
          <w:rFonts w:ascii="Cambria" w:hAnsi="Cambria" w:cs="Cambria"/>
          <w:i/>
          <w:iCs/>
          <w:spacing w:val="-9"/>
          <w:w w:val="105"/>
          <w:sz w:val="19"/>
          <w:szCs w:val="19"/>
        </w:rPr>
        <w:t xml:space="preserve"> </w:t>
      </w:r>
      <w:r>
        <w:rPr>
          <w:rFonts w:ascii="Cambria" w:hAnsi="Cambria" w:cs="Cambria"/>
          <w:i/>
          <w:iCs/>
          <w:w w:val="105"/>
          <w:sz w:val="19"/>
          <w:szCs w:val="19"/>
        </w:rPr>
        <w:t>patients,</w:t>
      </w:r>
      <w:r>
        <w:rPr>
          <w:rFonts w:ascii="Cambria" w:hAnsi="Cambria" w:cs="Cambria"/>
          <w:i/>
          <w:iCs/>
          <w:spacing w:val="-12"/>
          <w:w w:val="105"/>
          <w:sz w:val="19"/>
          <w:szCs w:val="19"/>
        </w:rPr>
        <w:t xml:space="preserve"> </w:t>
      </w:r>
      <w:r>
        <w:rPr>
          <w:rFonts w:ascii="Cambria" w:hAnsi="Cambria" w:cs="Cambria"/>
          <w:i/>
          <w:iCs/>
          <w:w w:val="105"/>
          <w:sz w:val="19"/>
          <w:szCs w:val="19"/>
        </w:rPr>
        <w:t>communities,</w:t>
      </w:r>
      <w:r>
        <w:rPr>
          <w:rFonts w:ascii="Cambria" w:hAnsi="Cambria" w:cs="Cambria"/>
          <w:i/>
          <w:iCs/>
          <w:spacing w:val="-9"/>
          <w:w w:val="105"/>
          <w:sz w:val="19"/>
          <w:szCs w:val="19"/>
        </w:rPr>
        <w:t xml:space="preserve"> </w:t>
      </w:r>
      <w:r>
        <w:rPr>
          <w:rFonts w:ascii="Cambria" w:hAnsi="Cambria" w:cs="Cambria"/>
          <w:i/>
          <w:iCs/>
          <w:w w:val="105"/>
          <w:sz w:val="19"/>
          <w:szCs w:val="19"/>
        </w:rPr>
        <w:t>and</w:t>
      </w:r>
      <w:r>
        <w:rPr>
          <w:rFonts w:ascii="Cambria" w:hAnsi="Cambria" w:cs="Cambria"/>
          <w:i/>
          <w:iCs/>
          <w:spacing w:val="-11"/>
          <w:w w:val="105"/>
          <w:sz w:val="19"/>
          <w:szCs w:val="19"/>
        </w:rPr>
        <w:t xml:space="preserve"> </w:t>
      </w:r>
      <w:r>
        <w:rPr>
          <w:rFonts w:ascii="Cambria" w:hAnsi="Cambria" w:cs="Cambria"/>
          <w:i/>
          <w:iCs/>
          <w:w w:val="105"/>
          <w:sz w:val="19"/>
          <w:szCs w:val="19"/>
        </w:rPr>
        <w:t>nation..</w:t>
      </w:r>
    </w:p>
    <w:p w:rsidR="002C5025" w:rsidRDefault="002C5025">
      <w:pPr>
        <w:pStyle w:val="BodyText"/>
        <w:kinsoku w:val="0"/>
        <w:overflowPunct w:val="0"/>
        <w:spacing w:before="102" w:line="247" w:lineRule="auto"/>
        <w:ind w:left="644" w:right="734" w:hanging="348"/>
        <w:rPr>
          <w:rFonts w:ascii="Cambria" w:hAnsi="Cambria" w:cs="Cambria"/>
          <w:i/>
          <w:iCs/>
          <w:w w:val="105"/>
          <w:sz w:val="19"/>
          <w:szCs w:val="19"/>
        </w:rPr>
        <w:sectPr w:rsidR="002C5025">
          <w:pgSz w:w="12240" w:h="15840"/>
          <w:pgMar w:top="940" w:right="800" w:bottom="280" w:left="800" w:header="720" w:footer="720" w:gutter="0"/>
          <w:pgBorders w:offsetFrom="page">
            <w:top w:val="single" w:sz="24" w:space="24" w:color="213957"/>
            <w:left w:val="single" w:sz="24" w:space="24" w:color="213957"/>
            <w:bottom w:val="single" w:sz="24" w:space="24" w:color="213957"/>
            <w:right w:val="single" w:sz="24" w:space="24" w:color="213957"/>
          </w:pgBorders>
          <w:cols w:space="720" w:equalWidth="0">
            <w:col w:w="10640"/>
          </w:cols>
          <w:noEndnote/>
        </w:sectPr>
      </w:pPr>
    </w:p>
    <w:p w:rsidR="002C5025" w:rsidRDefault="002C5025">
      <w:pPr>
        <w:pStyle w:val="BodyText"/>
        <w:kinsoku w:val="0"/>
        <w:overflowPunct w:val="0"/>
        <w:spacing w:before="57"/>
        <w:ind w:left="143" w:right="126"/>
        <w:rPr>
          <w:rFonts w:ascii="Times New Roman" w:hAnsi="Times New Roman" w:cs="Times New Roman"/>
          <w:b/>
          <w:bCs/>
          <w:sz w:val="24"/>
          <w:szCs w:val="24"/>
        </w:rPr>
      </w:pPr>
      <w:r>
        <w:rPr>
          <w:rFonts w:ascii="Times New Roman" w:hAnsi="Times New Roman" w:cs="Times New Roman"/>
          <w:b/>
          <w:bCs/>
          <w:sz w:val="24"/>
          <w:szCs w:val="24"/>
        </w:rPr>
        <w:lastRenderedPageBreak/>
        <w:t>Population Health and Prevention</w:t>
      </w:r>
    </w:p>
    <w:p w:rsidR="002C5025" w:rsidRDefault="002C5025">
      <w:pPr>
        <w:pStyle w:val="BodyText"/>
        <w:kinsoku w:val="0"/>
        <w:overflowPunct w:val="0"/>
        <w:spacing w:before="5"/>
        <w:rPr>
          <w:rFonts w:ascii="Times New Roman" w:hAnsi="Times New Roman" w:cs="Times New Roman"/>
          <w:b/>
          <w:bCs/>
          <w:sz w:val="30"/>
          <w:szCs w:val="30"/>
        </w:rPr>
      </w:pPr>
    </w:p>
    <w:p w:rsidR="002C5025" w:rsidRDefault="002C5025">
      <w:pPr>
        <w:pStyle w:val="BodyText"/>
        <w:kinsoku w:val="0"/>
        <w:overflowPunct w:val="0"/>
        <w:ind w:left="143" w:right="126"/>
        <w:rPr>
          <w:rFonts w:ascii="Times New Roman" w:hAnsi="Times New Roman" w:cs="Times New Roman"/>
          <w:sz w:val="24"/>
          <w:szCs w:val="24"/>
        </w:rPr>
      </w:pPr>
      <w:r>
        <w:rPr>
          <w:rFonts w:ascii="Times New Roman" w:hAnsi="Times New Roman" w:cs="Times New Roman"/>
          <w:sz w:val="24"/>
          <w:szCs w:val="24"/>
          <w:u w:val="single"/>
        </w:rPr>
        <w:t>Social Determinants of Health</w:t>
      </w:r>
    </w:p>
    <w:p w:rsidR="002C5025" w:rsidRDefault="002C5025">
      <w:pPr>
        <w:pStyle w:val="BodyText"/>
        <w:kinsoku w:val="0"/>
        <w:overflowPunct w:val="0"/>
        <w:spacing w:before="5"/>
        <w:rPr>
          <w:rFonts w:ascii="Times New Roman" w:hAnsi="Times New Roman" w:cs="Times New Roman"/>
          <w:sz w:val="25"/>
          <w:szCs w:val="25"/>
        </w:rPr>
      </w:pPr>
    </w:p>
    <w:p w:rsidR="002C5025" w:rsidRDefault="002C5025">
      <w:pPr>
        <w:pStyle w:val="BodyText"/>
        <w:kinsoku w:val="0"/>
        <w:overflowPunct w:val="0"/>
        <w:spacing w:before="70" w:line="276" w:lineRule="auto"/>
        <w:ind w:left="143" w:right="252"/>
        <w:rPr>
          <w:rFonts w:ascii="Times New Roman" w:hAnsi="Times New Roman" w:cs="Times New Roman"/>
          <w:sz w:val="24"/>
          <w:szCs w:val="24"/>
        </w:rPr>
      </w:pPr>
      <w:r>
        <w:rPr>
          <w:rFonts w:ascii="Times New Roman" w:hAnsi="Times New Roman" w:cs="Times New Roman"/>
          <w:sz w:val="24"/>
          <w:szCs w:val="24"/>
        </w:rPr>
        <w:t>We strongly support that the proposed restructuring framework incorporates linkages to social services in an effort to address social determinants of health, including designating a portion of DSRIP funds for “flexible services.” As part of ensuring meaningful ACO collaboration with social services providers, we seek to better understand how DSRIP funds will reach these providers. While DSRIP funds will clearly be directed to BH and LTSS CPs for infrastructure and care coordination, it appears that social service providers do not receive direct DSRIP funding as they are not “certified” community partners.</w:t>
      </w:r>
    </w:p>
    <w:p w:rsidR="002C5025" w:rsidRDefault="002C5025">
      <w:pPr>
        <w:pStyle w:val="BodyText"/>
        <w:kinsoku w:val="0"/>
        <w:overflowPunct w:val="0"/>
        <w:spacing w:before="9"/>
        <w:rPr>
          <w:rFonts w:ascii="Times New Roman" w:hAnsi="Times New Roman" w:cs="Times New Roman"/>
          <w:sz w:val="27"/>
          <w:szCs w:val="27"/>
        </w:rPr>
      </w:pPr>
    </w:p>
    <w:p w:rsidR="002C5025" w:rsidRDefault="002C5025">
      <w:pPr>
        <w:pStyle w:val="BodyText"/>
        <w:kinsoku w:val="0"/>
        <w:overflowPunct w:val="0"/>
        <w:spacing w:line="276" w:lineRule="auto"/>
        <w:ind w:left="143" w:right="99"/>
        <w:rPr>
          <w:rFonts w:ascii="Times New Roman" w:hAnsi="Times New Roman" w:cs="Times New Roman"/>
          <w:sz w:val="24"/>
          <w:szCs w:val="24"/>
        </w:rPr>
      </w:pPr>
      <w:r>
        <w:rPr>
          <w:rFonts w:ascii="Times New Roman" w:hAnsi="Times New Roman" w:cs="Times New Roman"/>
          <w:sz w:val="24"/>
          <w:szCs w:val="24"/>
        </w:rPr>
        <w:t>In determining the criteria that must be met to pay for such flexible services, we urge MassHealth to innovate around how to use DSRIP funds to address social determinants of health. We support the suggestion by Health Care For All of a social services “hub.” Such a hub can offer a single point of coordinated access to a wide range of social services which have a documented impact on health outcomes and on reducing the cost of care. A hub model could work with multiple ACOs to bridge medical and social service systems, providing culturally and linguistically competent services, engaging multiple social services agencies, and providing access to medically beneficial, evidence-based programs in each geographic region. With any model, MassHealth should work to promote access to all available services, such as the Supplemental Nutrition Assistance Program (SNAP) and housing supports.</w:t>
      </w:r>
    </w:p>
    <w:p w:rsidR="002C5025" w:rsidRDefault="002C5025">
      <w:pPr>
        <w:pStyle w:val="BodyText"/>
        <w:kinsoku w:val="0"/>
        <w:overflowPunct w:val="0"/>
        <w:rPr>
          <w:rFonts w:ascii="Times New Roman" w:hAnsi="Times New Roman" w:cs="Times New Roman"/>
          <w:sz w:val="28"/>
          <w:szCs w:val="28"/>
        </w:rPr>
      </w:pPr>
    </w:p>
    <w:p w:rsidR="002C5025" w:rsidRDefault="002C5025">
      <w:pPr>
        <w:pStyle w:val="BodyText"/>
        <w:kinsoku w:val="0"/>
        <w:overflowPunct w:val="0"/>
        <w:ind w:left="143" w:right="126"/>
        <w:rPr>
          <w:rFonts w:ascii="Times New Roman" w:hAnsi="Times New Roman" w:cs="Times New Roman"/>
          <w:sz w:val="24"/>
          <w:szCs w:val="24"/>
        </w:rPr>
      </w:pPr>
      <w:r>
        <w:rPr>
          <w:rFonts w:ascii="Times New Roman" w:hAnsi="Times New Roman" w:cs="Times New Roman"/>
          <w:sz w:val="24"/>
          <w:szCs w:val="24"/>
          <w:u w:val="single"/>
        </w:rPr>
        <w:t>Community Health Workers</w:t>
      </w:r>
    </w:p>
    <w:p w:rsidR="002C5025" w:rsidRDefault="002C5025">
      <w:pPr>
        <w:pStyle w:val="BodyText"/>
        <w:kinsoku w:val="0"/>
        <w:overflowPunct w:val="0"/>
        <w:spacing w:before="1"/>
        <w:rPr>
          <w:rFonts w:ascii="Times New Roman" w:hAnsi="Times New Roman" w:cs="Times New Roman"/>
          <w:sz w:val="25"/>
          <w:szCs w:val="25"/>
        </w:rPr>
      </w:pPr>
    </w:p>
    <w:p w:rsidR="002C5025" w:rsidRDefault="002C5025">
      <w:pPr>
        <w:pStyle w:val="BodyText"/>
        <w:kinsoku w:val="0"/>
        <w:overflowPunct w:val="0"/>
        <w:spacing w:before="69" w:line="271" w:lineRule="auto"/>
        <w:ind w:left="143" w:right="193"/>
        <w:rPr>
          <w:rFonts w:ascii="Times New Roman" w:hAnsi="Times New Roman" w:cs="Times New Roman"/>
          <w:sz w:val="24"/>
          <w:szCs w:val="24"/>
        </w:rPr>
      </w:pPr>
      <w:r>
        <w:rPr>
          <w:rFonts w:ascii="Times New Roman" w:hAnsi="Times New Roman" w:cs="Times New Roman"/>
          <w:sz w:val="24"/>
          <w:szCs w:val="24"/>
        </w:rPr>
        <w:t>We also strongly support strengthening the role of community health workers (CHWs) in connecting people to care resources and promoting overall health. Including CHWs as part of health care teams has been shown to contain costs by reducing high risk. CHWs also improve access to primary care, improve quality of care, and improve health outcomes by improving use of preventive services and offering chronic disease self-management support. They offer family-centered care through maternal-child home visiting and perinatal support. In particular, Massachusetts has been recognized in a leader in utilizing CHWs for health insurance enrollment and community outreach.</w:t>
      </w:r>
      <w:r>
        <w:rPr>
          <w:rFonts w:ascii="Times New Roman" w:hAnsi="Times New Roman" w:cs="Times New Roman"/>
          <w:position w:val="11"/>
          <w:sz w:val="16"/>
          <w:szCs w:val="16"/>
        </w:rPr>
        <w:t xml:space="preserve">27 </w:t>
      </w:r>
      <w:r>
        <w:rPr>
          <w:rFonts w:ascii="Times New Roman" w:hAnsi="Times New Roman" w:cs="Times New Roman"/>
          <w:sz w:val="24"/>
          <w:szCs w:val="24"/>
        </w:rPr>
        <w:t>CHWs have a particular role to play in improving LTSS services in the home and community and for senior care.</w:t>
      </w:r>
    </w:p>
    <w:p w:rsidR="002C5025" w:rsidRDefault="002C5025">
      <w:pPr>
        <w:pStyle w:val="BodyText"/>
        <w:kinsoku w:val="0"/>
        <w:overflowPunct w:val="0"/>
        <w:spacing w:before="3"/>
        <w:rPr>
          <w:rFonts w:ascii="Times New Roman" w:hAnsi="Times New Roman" w:cs="Times New Roman"/>
          <w:sz w:val="28"/>
          <w:szCs w:val="28"/>
        </w:rPr>
      </w:pPr>
    </w:p>
    <w:p w:rsidR="002C5025" w:rsidRDefault="002C5025">
      <w:pPr>
        <w:pStyle w:val="BodyText"/>
        <w:kinsoku w:val="0"/>
        <w:overflowPunct w:val="0"/>
        <w:spacing w:line="276" w:lineRule="auto"/>
        <w:ind w:left="143" w:right="151"/>
        <w:rPr>
          <w:rFonts w:ascii="Times New Roman" w:hAnsi="Times New Roman" w:cs="Times New Roman"/>
          <w:sz w:val="24"/>
          <w:szCs w:val="24"/>
        </w:rPr>
      </w:pPr>
      <w:r>
        <w:rPr>
          <w:rFonts w:ascii="Times New Roman" w:hAnsi="Times New Roman" w:cs="Times New Roman"/>
          <w:sz w:val="24"/>
          <w:szCs w:val="24"/>
        </w:rPr>
        <w:t>While ACOs will have flexibility in how to structure care teams, including CHWs, we recommend that the role of CHWs be more formally incorporated into the ACO models. We recommend MassHealth utilize the experience of DPH for effective deployment of community health workers within ACOs. In particular the community-based programs funded by the Prevention and Wellness Trust Fund that utilize CHWs should be tapped for best practices for effectiveness. All CHW in ACO models should be required to be certified by DPH to ensure quality and standard practice. Additional best practices may be found from Medicaid models in Minnesota and CMMI-funded initiatives. An additional local resource is NEHI or Network for</w:t>
      </w:r>
    </w:p>
    <w:p w:rsidR="002C5025" w:rsidRDefault="00FB027C">
      <w:pPr>
        <w:pStyle w:val="BodyText"/>
        <w:kinsoku w:val="0"/>
        <w:overflowPunct w:val="0"/>
        <w:spacing w:before="1"/>
        <w:rPr>
          <w:rFonts w:ascii="Times New Roman" w:hAnsi="Times New Roman" w:cs="Times New Roman"/>
          <w:sz w:val="29"/>
          <w:szCs w:val="29"/>
        </w:rPr>
      </w:pPr>
      <w:r>
        <w:rPr>
          <w:noProof/>
        </w:rPr>
        <mc:AlternateContent>
          <mc:Choice Requires="wps">
            <w:drawing>
              <wp:anchor distT="0" distB="0" distL="0" distR="0" simplePos="0" relativeHeight="251619840" behindDoc="0" locked="0" layoutInCell="0" allowOverlap="1">
                <wp:simplePos x="0" y="0"/>
                <wp:positionH relativeFrom="page">
                  <wp:posOffset>609600</wp:posOffset>
                </wp:positionH>
                <wp:positionV relativeFrom="paragraph">
                  <wp:posOffset>240665</wp:posOffset>
                </wp:positionV>
                <wp:extent cx="1828800" cy="12700"/>
                <wp:effectExtent l="0" t="0" r="0" b="0"/>
                <wp:wrapTopAndBottom/>
                <wp:docPr id="639" name="Freeform 3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w 2880"/>
                            <a:gd name="T1" fmla="*/ 0 h 20"/>
                            <a:gd name="T2" fmla="*/ 2880 w 2880"/>
                            <a:gd name="T3" fmla="*/ 0 h 20"/>
                          </a:gdLst>
                          <a:ahLst/>
                          <a:cxnLst>
                            <a:cxn ang="0">
                              <a:pos x="T0" y="T1"/>
                            </a:cxn>
                            <a:cxn ang="0">
                              <a:pos x="T2" y="T3"/>
                            </a:cxn>
                          </a:cxnLst>
                          <a:rect l="0" t="0" r="r" b="b"/>
                          <a:pathLst>
                            <a:path w="2880" h="20">
                              <a:moveTo>
                                <a:pt x="0" y="0"/>
                              </a:moveTo>
                              <a:lnTo>
                                <a:pt x="2880"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86" o:spid="_x0000_s1026" style="position:absolute;z-index:251619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48pt,18.95pt,192pt,18.95pt" coordsize="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" o:allowincell="f" filled="f" strokeweight=".20458mm">
                <v:path arrowok="t" o:connecttype="custom" o:connectlocs="0,0;1828800,0" o:connectangles="0,0"/>
                <w10:wrap type="topAndBottom" anchorx="page"/>
              </v:polyline>
            </w:pict>
          </mc:Fallback>
        </mc:AlternateContent>
      </w:r>
    </w:p>
    <w:p w:rsidR="002C5025" w:rsidRDefault="002C5025">
      <w:pPr>
        <w:pStyle w:val="BodyText"/>
        <w:kinsoku w:val="0"/>
        <w:overflowPunct w:val="0"/>
        <w:spacing w:before="2"/>
        <w:ind w:left="143" w:right="126"/>
        <w:rPr>
          <w:rFonts w:ascii="Times New Roman" w:hAnsi="Times New Roman" w:cs="Times New Roman"/>
          <w:sz w:val="19"/>
          <w:szCs w:val="19"/>
        </w:rPr>
      </w:pPr>
      <w:r>
        <w:rPr>
          <w:rFonts w:ascii="Times New Roman" w:hAnsi="Times New Roman" w:cs="Times New Roman"/>
          <w:position w:val="11"/>
          <w:sz w:val="16"/>
          <w:szCs w:val="16"/>
        </w:rPr>
        <w:t xml:space="preserve">27    </w:t>
      </w:r>
      <w:hyperlink r:id="rId282" w:history="1">
        <w:r>
          <w:rPr>
            <w:rFonts w:ascii="Times New Roman" w:hAnsi="Times New Roman" w:cs="Times New Roman"/>
            <w:sz w:val="19"/>
            <w:szCs w:val="19"/>
            <w:u w:val="single"/>
          </w:rPr>
          <w:t>http://content.healthaffairs.org/content/29/7/1338.full</w:t>
        </w:r>
      </w:hyperlink>
    </w:p>
    <w:p w:rsidR="002C5025" w:rsidRDefault="002C5025">
      <w:pPr>
        <w:pStyle w:val="BodyText"/>
        <w:kinsoku w:val="0"/>
        <w:overflowPunct w:val="0"/>
        <w:spacing w:before="4"/>
        <w:rPr>
          <w:rFonts w:ascii="Times New Roman" w:hAnsi="Times New Roman" w:cs="Times New Roman"/>
          <w:sz w:val="16"/>
          <w:szCs w:val="16"/>
        </w:rPr>
      </w:pPr>
    </w:p>
    <w:p w:rsidR="002C5025" w:rsidRDefault="00FB027C">
      <w:pPr>
        <w:pStyle w:val="BodyText"/>
        <w:kinsoku w:val="0"/>
        <w:overflowPunct w:val="0"/>
        <w:spacing w:before="76"/>
        <w:ind w:right="109"/>
        <w:jc w:val="right"/>
        <w:rPr>
          <w:rFonts w:ascii="Times New Roman" w:hAnsi="Times New Roman" w:cs="Times New Roman"/>
          <w:sz w:val="19"/>
          <w:szCs w:val="19"/>
        </w:rPr>
      </w:pPr>
      <w:r>
        <w:rPr>
          <w:noProof/>
        </w:rPr>
        <mc:AlternateContent>
          <mc:Choice Requires="wpg">
            <w:drawing>
              <wp:anchor distT="0" distB="0" distL="114300" distR="114300" simplePos="0" relativeHeight="251620864" behindDoc="0" locked="0" layoutInCell="0" allowOverlap="1">
                <wp:simplePos x="0" y="0"/>
                <wp:positionH relativeFrom="page">
                  <wp:posOffset>572135</wp:posOffset>
                </wp:positionH>
                <wp:positionV relativeFrom="paragraph">
                  <wp:posOffset>40640</wp:posOffset>
                </wp:positionV>
                <wp:extent cx="6410960" cy="38100"/>
                <wp:effectExtent l="0" t="0" r="0" b="0"/>
                <wp:wrapNone/>
                <wp:docPr id="635" name="Group 3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0960" cy="38100"/>
                          <a:chOff x="901" y="64"/>
                          <a:chExt cx="10096" cy="60"/>
                        </a:xfrm>
                      </wpg:grpSpPr>
                      <wps:wsp>
                        <wps:cNvPr id="636" name="Freeform 388"/>
                        <wps:cNvSpPr>
                          <a:spLocks/>
                        </wps:cNvSpPr>
                        <wps:spPr bwMode="auto">
                          <a:xfrm>
                            <a:off x="917" y="72"/>
                            <a:ext cx="10065" cy="20"/>
                          </a:xfrm>
                          <a:custGeom>
                            <a:avLst/>
                            <a:gdLst>
                              <a:gd name="T0" fmla="*/ 0 w 10065"/>
                              <a:gd name="T1" fmla="*/ 0 h 20"/>
                              <a:gd name="T2" fmla="*/ 10065 w 10065"/>
                              <a:gd name="T3" fmla="*/ 0 h 20"/>
                            </a:gdLst>
                            <a:ahLst/>
                            <a:cxnLst>
                              <a:cxn ang="0">
                                <a:pos x="T0" y="T1"/>
                              </a:cxn>
                              <a:cxn ang="0">
                                <a:pos x="T2" y="T3"/>
                              </a:cxn>
                            </a:cxnLst>
                            <a:rect l="0" t="0" r="r" b="b"/>
                            <a:pathLst>
                              <a:path w="10065" h="20">
                                <a:moveTo>
                                  <a:pt x="0" y="0"/>
                                </a:moveTo>
                                <a:lnTo>
                                  <a:pt x="10065"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7" name="Freeform 389"/>
                        <wps:cNvSpPr>
                          <a:spLocks/>
                        </wps:cNvSpPr>
                        <wps:spPr bwMode="auto">
                          <a:xfrm>
                            <a:off x="917" y="93"/>
                            <a:ext cx="10065" cy="20"/>
                          </a:xfrm>
                          <a:custGeom>
                            <a:avLst/>
                            <a:gdLst>
                              <a:gd name="T0" fmla="*/ 0 w 10065"/>
                              <a:gd name="T1" fmla="*/ 0 h 20"/>
                              <a:gd name="T2" fmla="*/ 10065 w 10065"/>
                              <a:gd name="T3" fmla="*/ 0 h 20"/>
                            </a:gdLst>
                            <a:ahLst/>
                            <a:cxnLst>
                              <a:cxn ang="0">
                                <a:pos x="T0" y="T1"/>
                              </a:cxn>
                              <a:cxn ang="0">
                                <a:pos x="T2" y="T3"/>
                              </a:cxn>
                            </a:cxnLst>
                            <a:rect l="0" t="0" r="r" b="b"/>
                            <a:pathLst>
                              <a:path w="10065" h="20">
                                <a:moveTo>
                                  <a:pt x="0" y="0"/>
                                </a:moveTo>
                                <a:lnTo>
                                  <a:pt x="10065" y="0"/>
                                </a:lnTo>
                              </a:path>
                            </a:pathLst>
                          </a:custGeom>
                          <a:noFill/>
                          <a:ln w="19558">
                            <a:solidFill>
                              <a:srgbClr val="6060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8" name="Freeform 390"/>
                        <wps:cNvSpPr>
                          <a:spLocks/>
                        </wps:cNvSpPr>
                        <wps:spPr bwMode="auto">
                          <a:xfrm>
                            <a:off x="917" y="115"/>
                            <a:ext cx="10065" cy="20"/>
                          </a:xfrm>
                          <a:custGeom>
                            <a:avLst/>
                            <a:gdLst>
                              <a:gd name="T0" fmla="*/ 0 w 10065"/>
                              <a:gd name="T1" fmla="*/ 0 h 20"/>
                              <a:gd name="T2" fmla="*/ 10065 w 10065"/>
                              <a:gd name="T3" fmla="*/ 0 h 20"/>
                            </a:gdLst>
                            <a:ahLst/>
                            <a:cxnLst>
                              <a:cxn ang="0">
                                <a:pos x="T0" y="T1"/>
                              </a:cxn>
                              <a:cxn ang="0">
                                <a:pos x="T2" y="T3"/>
                              </a:cxn>
                            </a:cxnLst>
                            <a:rect l="0" t="0" r="r" b="b"/>
                            <a:pathLst>
                              <a:path w="10065" h="20">
                                <a:moveTo>
                                  <a:pt x="0" y="0"/>
                                </a:moveTo>
                                <a:lnTo>
                                  <a:pt x="10065" y="0"/>
                                </a:lnTo>
                              </a:path>
                            </a:pathLst>
                          </a:custGeom>
                          <a:noFill/>
                          <a:ln w="10414">
                            <a:solidFill>
                              <a:srgbClr val="C1C1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87" o:spid="_x0000_s1026" style="position:absolute;margin-left:45.05pt;margin-top:3.2pt;width:504.8pt;height:3pt;z-index:251620864;mso-position-horizontal-relative:page" coordorigin="901,64" coordsize="1009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" o:allowincell="f">
                <v:shape id="Freeform 388" o:spid="_x0000_s1027" style="position:absolute;left:917;top:72;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z3KsYA&#10;AADcAAAADwAAAGRycy9kb3ducmV2LnhtbESPQWvCQBSE7wX/w/KEXkrdWCFI6iqiKJJDITbg9ZF9&#10;Jmmzb5fsqtFf3y0Uehxm5htmsRpMJ67U+9aygukkAUFcWd1yraD83L3OQfiArLGzTAru5GG1HD0t&#10;MNP2xgVdj6EWEcI+QwVNCC6T0lcNGfQT64ijd7a9wRBlX0vd4y3CTSffkiSVBluOCw062jRUfR8v&#10;RsHh46vYnsyjdA+9OZfuJc/3Ra7U83hYv4MINIT/8F/7oBWksxR+z8QjIJ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Yz3KsYAAADcAAAADwAAAAAAAAAAAAAAAACYAgAAZHJz&#10;L2Rvd25yZXYueG1sUEsFBgAAAAAEAAQA9QAAAIsDAAAAAA==&#10;" path="m,l10065,e" filled="f" strokeweight=".82pt">
                  <v:path arrowok="t" o:connecttype="custom" o:connectlocs="0,0;10065,0" o:connectangles="0,0"/>
                </v:shape>
                <v:shape id="Freeform 389" o:spid="_x0000_s1028" style="position:absolute;left:917;top:93;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CjMUA&#10;AADcAAAADwAAAGRycy9kb3ducmV2LnhtbESPX0vDQBDE3wW/w7GCb+ZSlbSkvRYtVMQXaZTSxyW3&#10;+aO5vXC3tvHbe4Lg4zAzv2FWm8kN6kQh9p4NzLIcFHHtbc+tgfe33c0CVBRki4NnMvBNETbry4sV&#10;ltafeU+nSlqVIBxLNNCJjKXWse7IYcz8SJy8xgeHkmRotQ14TnA36Ns8L7TDntNChyNtO6o/qy9n&#10;4Ig7WxX3zXb6CDJ7fWwO8vTijLm+mh6WoIQm+Q//tZ+tgeJuDr9n0hH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r8KMxQAAANwAAAAPAAAAAAAAAAAAAAAAAJgCAABkcnMv&#10;ZG93bnJldi54bWxQSwUGAAAAAAQABAD1AAAAigMAAAAA&#10;" path="m,l10065,e" filled="f" strokecolor="#606060" strokeweight="1.54pt">
                  <v:path arrowok="t" o:connecttype="custom" o:connectlocs="0,0;10065,0" o:connectangles="0,0"/>
                </v:shape>
                <v:shape id="Freeform 390" o:spid="_x0000_s1029" style="position:absolute;left:917;top:115;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y1Xb8A&#10;AADcAAAADwAAAGRycy9kb3ducmV2LnhtbERPTYvCMBC9L/gfwgjeNNVC0WoUKSzrtSpIb0MztsVm&#10;Upqo1V9vDsIeH+97sxtMKx7Uu8aygvksAkFcWt1wpeB8+p0uQTiPrLG1TApe5GC3Hf1sMNX2yTk9&#10;jr4SIYRdigpq77tUSlfWZNDNbEccuKvtDfoA+0rqHp8h3LRyEUWJNNhwaKixo6ym8na8GwVFnlxW&#10;f92b4zjzeZFkpiryhVKT8bBfg/A0+H/x133QCpI4rA1nwhGQ2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STLVdvwAAANwAAAAPAAAAAAAAAAAAAAAAAJgCAABkcnMvZG93bnJl&#10;di54bWxQSwUGAAAAAAQABAD1AAAAhAMAAAAA&#10;" path="m,l10065,e" filled="f" strokecolor="#c1c1c1" strokeweight=".82pt">
                  <v:path arrowok="t" o:connecttype="custom" o:connectlocs="0,0;10065,0" o:connectangles="0,0"/>
                </v:shape>
                <w10:wrap anchorx="page"/>
              </v:group>
            </w:pict>
          </mc:Fallback>
        </mc:AlternateContent>
      </w:r>
      <w:r w:rsidR="002C5025">
        <w:rPr>
          <w:rFonts w:ascii="Times New Roman" w:hAnsi="Times New Roman" w:cs="Times New Roman"/>
          <w:sz w:val="19"/>
          <w:szCs w:val="19"/>
        </w:rPr>
        <w:t>14</w:t>
      </w:r>
    </w:p>
    <w:p w:rsidR="002C5025" w:rsidRDefault="002C5025">
      <w:pPr>
        <w:pStyle w:val="BodyText"/>
        <w:kinsoku w:val="0"/>
        <w:overflowPunct w:val="0"/>
        <w:spacing w:before="102" w:line="247" w:lineRule="auto"/>
        <w:ind w:left="644" w:right="773" w:hanging="348"/>
        <w:rPr>
          <w:rFonts w:ascii="Cambria" w:hAnsi="Cambria" w:cs="Cambria"/>
          <w:i/>
          <w:iCs/>
          <w:w w:val="105"/>
          <w:sz w:val="19"/>
          <w:szCs w:val="19"/>
        </w:rPr>
      </w:pPr>
      <w:r>
        <w:rPr>
          <w:rFonts w:ascii="Cambria" w:hAnsi="Cambria" w:cs="Cambria"/>
          <w:i/>
          <w:iCs/>
          <w:w w:val="105"/>
          <w:sz w:val="19"/>
          <w:szCs w:val="19"/>
        </w:rPr>
        <w:t>Doctors</w:t>
      </w:r>
      <w:r>
        <w:rPr>
          <w:rFonts w:ascii="Cambria" w:hAnsi="Cambria" w:cs="Cambria"/>
          <w:i/>
          <w:iCs/>
          <w:spacing w:val="-10"/>
          <w:w w:val="105"/>
          <w:sz w:val="19"/>
          <w:szCs w:val="19"/>
        </w:rPr>
        <w:t xml:space="preserve"> </w:t>
      </w:r>
      <w:r>
        <w:rPr>
          <w:rFonts w:ascii="Cambria" w:hAnsi="Cambria" w:cs="Cambria"/>
          <w:i/>
          <w:iCs/>
          <w:w w:val="105"/>
          <w:sz w:val="19"/>
          <w:szCs w:val="19"/>
        </w:rPr>
        <w:t>for</w:t>
      </w:r>
      <w:r>
        <w:rPr>
          <w:rFonts w:ascii="Cambria" w:hAnsi="Cambria" w:cs="Cambria"/>
          <w:i/>
          <w:iCs/>
          <w:spacing w:val="-13"/>
          <w:w w:val="105"/>
          <w:sz w:val="19"/>
          <w:szCs w:val="19"/>
        </w:rPr>
        <w:t xml:space="preserve"> </w:t>
      </w:r>
      <w:r>
        <w:rPr>
          <w:rFonts w:ascii="Cambria" w:hAnsi="Cambria" w:cs="Cambria"/>
          <w:i/>
          <w:iCs/>
          <w:w w:val="105"/>
          <w:sz w:val="19"/>
          <w:szCs w:val="19"/>
        </w:rPr>
        <w:t>America</w:t>
      </w:r>
      <w:r>
        <w:rPr>
          <w:rFonts w:ascii="Cambria" w:hAnsi="Cambria" w:cs="Cambria"/>
          <w:i/>
          <w:iCs/>
          <w:spacing w:val="-12"/>
          <w:w w:val="105"/>
          <w:sz w:val="19"/>
          <w:szCs w:val="19"/>
        </w:rPr>
        <w:t xml:space="preserve"> </w:t>
      </w:r>
      <w:r>
        <w:rPr>
          <w:rFonts w:ascii="Cambria" w:hAnsi="Cambria" w:cs="Cambria"/>
          <w:i/>
          <w:iCs/>
          <w:w w:val="105"/>
          <w:sz w:val="19"/>
          <w:szCs w:val="19"/>
        </w:rPr>
        <w:t>is</w:t>
      </w:r>
      <w:r>
        <w:rPr>
          <w:rFonts w:ascii="Cambria" w:hAnsi="Cambria" w:cs="Cambria"/>
          <w:i/>
          <w:iCs/>
          <w:spacing w:val="-13"/>
          <w:w w:val="105"/>
          <w:sz w:val="19"/>
          <w:szCs w:val="19"/>
        </w:rPr>
        <w:t xml:space="preserve"> </w:t>
      </w:r>
      <w:r>
        <w:rPr>
          <w:rFonts w:ascii="Cambria" w:hAnsi="Cambria" w:cs="Cambria"/>
          <w:i/>
          <w:iCs/>
          <w:w w:val="105"/>
          <w:sz w:val="19"/>
          <w:szCs w:val="19"/>
        </w:rPr>
        <w:t>a</w:t>
      </w:r>
      <w:r>
        <w:rPr>
          <w:rFonts w:ascii="Cambria" w:hAnsi="Cambria" w:cs="Cambria"/>
          <w:i/>
          <w:iCs/>
          <w:spacing w:val="-10"/>
          <w:w w:val="105"/>
          <w:sz w:val="19"/>
          <w:szCs w:val="19"/>
        </w:rPr>
        <w:t xml:space="preserve"> </w:t>
      </w:r>
      <w:r>
        <w:rPr>
          <w:rFonts w:ascii="Cambria" w:hAnsi="Cambria" w:cs="Cambria"/>
          <w:i/>
          <w:iCs/>
          <w:w w:val="105"/>
          <w:sz w:val="19"/>
          <w:szCs w:val="19"/>
        </w:rPr>
        <w:t>501(c)(3)</w:t>
      </w:r>
      <w:r>
        <w:rPr>
          <w:rFonts w:ascii="Cambria" w:hAnsi="Cambria" w:cs="Cambria"/>
          <w:i/>
          <w:iCs/>
          <w:spacing w:val="-13"/>
          <w:w w:val="105"/>
          <w:sz w:val="19"/>
          <w:szCs w:val="19"/>
        </w:rPr>
        <w:t xml:space="preserve"> </w:t>
      </w:r>
      <w:r>
        <w:rPr>
          <w:rFonts w:ascii="Cambria" w:hAnsi="Cambria" w:cs="Cambria"/>
          <w:i/>
          <w:iCs/>
          <w:w w:val="105"/>
          <w:sz w:val="19"/>
          <w:szCs w:val="19"/>
        </w:rPr>
        <w:t>national</w:t>
      </w:r>
      <w:r>
        <w:rPr>
          <w:rFonts w:ascii="Cambria" w:hAnsi="Cambria" w:cs="Cambria"/>
          <w:i/>
          <w:iCs/>
          <w:spacing w:val="-11"/>
          <w:w w:val="105"/>
          <w:sz w:val="19"/>
          <w:szCs w:val="19"/>
        </w:rPr>
        <w:t xml:space="preserve"> </w:t>
      </w:r>
      <w:r>
        <w:rPr>
          <w:rFonts w:ascii="Cambria" w:hAnsi="Cambria" w:cs="Cambria"/>
          <w:i/>
          <w:iCs/>
          <w:w w:val="105"/>
          <w:sz w:val="19"/>
          <w:szCs w:val="19"/>
        </w:rPr>
        <w:t>movement</w:t>
      </w:r>
      <w:r>
        <w:rPr>
          <w:rFonts w:ascii="Cambria" w:hAnsi="Cambria" w:cs="Cambria"/>
          <w:i/>
          <w:iCs/>
          <w:spacing w:val="-10"/>
          <w:w w:val="105"/>
          <w:sz w:val="19"/>
          <w:szCs w:val="19"/>
        </w:rPr>
        <w:t xml:space="preserve"> </w:t>
      </w:r>
      <w:r>
        <w:rPr>
          <w:rFonts w:ascii="Cambria" w:hAnsi="Cambria" w:cs="Cambria"/>
          <w:i/>
          <w:iCs/>
          <w:w w:val="105"/>
          <w:sz w:val="19"/>
          <w:szCs w:val="19"/>
        </w:rPr>
        <w:t>that</w:t>
      </w:r>
      <w:r>
        <w:rPr>
          <w:rFonts w:ascii="Cambria" w:hAnsi="Cambria" w:cs="Cambria"/>
          <w:i/>
          <w:iCs/>
          <w:spacing w:val="-13"/>
          <w:w w:val="105"/>
          <w:sz w:val="19"/>
          <w:szCs w:val="19"/>
        </w:rPr>
        <w:t xml:space="preserve"> </w:t>
      </w:r>
      <w:r>
        <w:rPr>
          <w:rFonts w:ascii="Cambria" w:hAnsi="Cambria" w:cs="Cambria"/>
          <w:i/>
          <w:iCs/>
          <w:w w:val="105"/>
          <w:sz w:val="19"/>
          <w:szCs w:val="19"/>
        </w:rPr>
        <w:t>mobilizes</w:t>
      </w:r>
      <w:r>
        <w:rPr>
          <w:rFonts w:ascii="Cambria" w:hAnsi="Cambria" w:cs="Cambria"/>
          <w:i/>
          <w:iCs/>
          <w:spacing w:val="-10"/>
          <w:w w:val="105"/>
          <w:sz w:val="19"/>
          <w:szCs w:val="19"/>
        </w:rPr>
        <w:t xml:space="preserve"> </w:t>
      </w:r>
      <w:r>
        <w:rPr>
          <w:rFonts w:ascii="Cambria" w:hAnsi="Cambria" w:cs="Cambria"/>
          <w:i/>
          <w:iCs/>
          <w:w w:val="105"/>
          <w:sz w:val="19"/>
          <w:szCs w:val="19"/>
        </w:rPr>
        <w:t>physicians</w:t>
      </w:r>
      <w:r>
        <w:rPr>
          <w:rFonts w:ascii="Cambria" w:hAnsi="Cambria" w:cs="Cambria"/>
          <w:i/>
          <w:iCs/>
          <w:spacing w:val="-13"/>
          <w:w w:val="105"/>
          <w:sz w:val="19"/>
          <w:szCs w:val="19"/>
        </w:rPr>
        <w:t xml:space="preserve"> </w:t>
      </w:r>
      <w:r>
        <w:rPr>
          <w:rFonts w:ascii="Cambria" w:hAnsi="Cambria" w:cs="Cambria"/>
          <w:i/>
          <w:iCs/>
          <w:w w:val="105"/>
          <w:sz w:val="19"/>
          <w:szCs w:val="19"/>
        </w:rPr>
        <w:t>and</w:t>
      </w:r>
      <w:r>
        <w:rPr>
          <w:rFonts w:ascii="Cambria" w:hAnsi="Cambria" w:cs="Cambria"/>
          <w:i/>
          <w:iCs/>
          <w:spacing w:val="-12"/>
          <w:w w:val="105"/>
          <w:sz w:val="19"/>
          <w:szCs w:val="19"/>
        </w:rPr>
        <w:t xml:space="preserve"> </w:t>
      </w:r>
      <w:r>
        <w:rPr>
          <w:rFonts w:ascii="Cambria" w:hAnsi="Cambria" w:cs="Cambria"/>
          <w:i/>
          <w:iCs/>
          <w:w w:val="105"/>
          <w:sz w:val="19"/>
          <w:szCs w:val="19"/>
        </w:rPr>
        <w:t>medical</w:t>
      </w:r>
      <w:r>
        <w:rPr>
          <w:rFonts w:ascii="Cambria" w:hAnsi="Cambria" w:cs="Cambria"/>
          <w:i/>
          <w:iCs/>
          <w:spacing w:val="-14"/>
          <w:w w:val="105"/>
          <w:sz w:val="19"/>
          <w:szCs w:val="19"/>
        </w:rPr>
        <w:t xml:space="preserve"> </w:t>
      </w:r>
      <w:r>
        <w:rPr>
          <w:rFonts w:ascii="Cambria" w:hAnsi="Cambria" w:cs="Cambria"/>
          <w:i/>
          <w:iCs/>
          <w:w w:val="105"/>
          <w:sz w:val="19"/>
          <w:szCs w:val="19"/>
        </w:rPr>
        <w:t>students</w:t>
      </w:r>
      <w:r>
        <w:rPr>
          <w:rFonts w:ascii="Cambria" w:hAnsi="Cambria" w:cs="Cambria"/>
          <w:i/>
          <w:iCs/>
          <w:spacing w:val="-13"/>
          <w:w w:val="105"/>
          <w:sz w:val="19"/>
          <w:szCs w:val="19"/>
        </w:rPr>
        <w:t xml:space="preserve"> </w:t>
      </w:r>
      <w:r>
        <w:rPr>
          <w:rFonts w:ascii="Cambria" w:hAnsi="Cambria" w:cs="Cambria"/>
          <w:i/>
          <w:iCs/>
          <w:w w:val="105"/>
          <w:sz w:val="19"/>
          <w:szCs w:val="19"/>
        </w:rPr>
        <w:t>to</w:t>
      </w:r>
      <w:r>
        <w:rPr>
          <w:rFonts w:ascii="Cambria" w:hAnsi="Cambria" w:cs="Cambria"/>
          <w:i/>
          <w:iCs/>
          <w:spacing w:val="-14"/>
          <w:w w:val="105"/>
          <w:sz w:val="19"/>
          <w:szCs w:val="19"/>
        </w:rPr>
        <w:t xml:space="preserve"> </w:t>
      </w:r>
      <w:r>
        <w:rPr>
          <w:rFonts w:ascii="Cambria" w:hAnsi="Cambria" w:cs="Cambria"/>
          <w:i/>
          <w:iCs/>
          <w:w w:val="105"/>
          <w:sz w:val="19"/>
          <w:szCs w:val="19"/>
        </w:rPr>
        <w:t>put</w:t>
      </w:r>
      <w:r>
        <w:rPr>
          <w:rFonts w:ascii="Cambria" w:hAnsi="Cambria" w:cs="Cambria"/>
          <w:i/>
          <w:iCs/>
          <w:spacing w:val="-13"/>
          <w:w w:val="105"/>
          <w:sz w:val="19"/>
          <w:szCs w:val="19"/>
        </w:rPr>
        <w:t xml:space="preserve"> </w:t>
      </w:r>
      <w:r>
        <w:rPr>
          <w:rFonts w:ascii="Cambria" w:hAnsi="Cambria" w:cs="Cambria"/>
          <w:i/>
          <w:iCs/>
          <w:w w:val="105"/>
          <w:sz w:val="19"/>
          <w:szCs w:val="19"/>
        </w:rPr>
        <w:t>patients over</w:t>
      </w:r>
      <w:r>
        <w:rPr>
          <w:rFonts w:ascii="Cambria" w:hAnsi="Cambria" w:cs="Cambria"/>
          <w:i/>
          <w:iCs/>
          <w:spacing w:val="-10"/>
          <w:w w:val="105"/>
          <w:sz w:val="19"/>
          <w:szCs w:val="19"/>
        </w:rPr>
        <w:t xml:space="preserve"> </w:t>
      </w:r>
      <w:r>
        <w:rPr>
          <w:rFonts w:ascii="Cambria" w:hAnsi="Cambria" w:cs="Cambria"/>
          <w:i/>
          <w:iCs/>
          <w:w w:val="105"/>
          <w:sz w:val="19"/>
          <w:szCs w:val="19"/>
        </w:rPr>
        <w:t>politics</w:t>
      </w:r>
      <w:r>
        <w:rPr>
          <w:rFonts w:ascii="Cambria" w:hAnsi="Cambria" w:cs="Cambria"/>
          <w:i/>
          <w:iCs/>
          <w:spacing w:val="-9"/>
          <w:w w:val="105"/>
          <w:sz w:val="19"/>
          <w:szCs w:val="19"/>
        </w:rPr>
        <w:t xml:space="preserve"> </w:t>
      </w:r>
      <w:r>
        <w:rPr>
          <w:rFonts w:ascii="Cambria" w:hAnsi="Cambria" w:cs="Cambria"/>
          <w:i/>
          <w:iCs/>
          <w:w w:val="105"/>
          <w:sz w:val="19"/>
          <w:szCs w:val="19"/>
        </w:rPr>
        <w:t>on</w:t>
      </w:r>
      <w:r>
        <w:rPr>
          <w:rFonts w:ascii="Cambria" w:hAnsi="Cambria" w:cs="Cambria"/>
          <w:i/>
          <w:iCs/>
          <w:spacing w:val="-11"/>
          <w:w w:val="105"/>
          <w:sz w:val="19"/>
          <w:szCs w:val="19"/>
        </w:rPr>
        <w:t xml:space="preserve"> </w:t>
      </w:r>
      <w:r>
        <w:rPr>
          <w:rFonts w:ascii="Cambria" w:hAnsi="Cambria" w:cs="Cambria"/>
          <w:i/>
          <w:iCs/>
          <w:w w:val="105"/>
          <w:sz w:val="19"/>
          <w:szCs w:val="19"/>
        </w:rPr>
        <w:t>the</w:t>
      </w:r>
      <w:r>
        <w:rPr>
          <w:rFonts w:ascii="Cambria" w:hAnsi="Cambria" w:cs="Cambria"/>
          <w:i/>
          <w:iCs/>
          <w:spacing w:val="-10"/>
          <w:w w:val="105"/>
          <w:sz w:val="19"/>
          <w:szCs w:val="19"/>
        </w:rPr>
        <w:t xml:space="preserve"> </w:t>
      </w:r>
      <w:r>
        <w:rPr>
          <w:rFonts w:ascii="Cambria" w:hAnsi="Cambria" w:cs="Cambria"/>
          <w:i/>
          <w:iCs/>
          <w:w w:val="105"/>
          <w:sz w:val="19"/>
          <w:szCs w:val="19"/>
        </w:rPr>
        <w:t>pressing</w:t>
      </w:r>
      <w:r>
        <w:rPr>
          <w:rFonts w:ascii="Cambria" w:hAnsi="Cambria" w:cs="Cambria"/>
          <w:i/>
          <w:iCs/>
          <w:spacing w:val="-9"/>
          <w:w w:val="105"/>
          <w:sz w:val="19"/>
          <w:szCs w:val="19"/>
        </w:rPr>
        <w:t xml:space="preserve"> </w:t>
      </w:r>
      <w:r>
        <w:rPr>
          <w:rFonts w:ascii="Cambria" w:hAnsi="Cambria" w:cs="Cambria"/>
          <w:i/>
          <w:iCs/>
          <w:w w:val="105"/>
          <w:sz w:val="19"/>
          <w:szCs w:val="19"/>
        </w:rPr>
        <w:t>issues</w:t>
      </w:r>
      <w:r>
        <w:rPr>
          <w:rFonts w:ascii="Cambria" w:hAnsi="Cambria" w:cs="Cambria"/>
          <w:i/>
          <w:iCs/>
          <w:spacing w:val="-9"/>
          <w:w w:val="105"/>
          <w:sz w:val="19"/>
          <w:szCs w:val="19"/>
        </w:rPr>
        <w:t xml:space="preserve"> </w:t>
      </w:r>
      <w:r>
        <w:rPr>
          <w:rFonts w:ascii="Cambria" w:hAnsi="Cambria" w:cs="Cambria"/>
          <w:i/>
          <w:iCs/>
          <w:w w:val="105"/>
          <w:sz w:val="19"/>
          <w:szCs w:val="19"/>
        </w:rPr>
        <w:t>of</w:t>
      </w:r>
      <w:r>
        <w:rPr>
          <w:rFonts w:ascii="Cambria" w:hAnsi="Cambria" w:cs="Cambria"/>
          <w:i/>
          <w:iCs/>
          <w:spacing w:val="-11"/>
          <w:w w:val="105"/>
          <w:sz w:val="19"/>
          <w:szCs w:val="19"/>
        </w:rPr>
        <w:t xml:space="preserve"> </w:t>
      </w:r>
      <w:r>
        <w:rPr>
          <w:rFonts w:ascii="Cambria" w:hAnsi="Cambria" w:cs="Cambria"/>
          <w:i/>
          <w:iCs/>
          <w:w w:val="105"/>
          <w:sz w:val="19"/>
          <w:szCs w:val="19"/>
        </w:rPr>
        <w:t>the</w:t>
      </w:r>
      <w:r>
        <w:rPr>
          <w:rFonts w:ascii="Cambria" w:hAnsi="Cambria" w:cs="Cambria"/>
          <w:i/>
          <w:iCs/>
          <w:spacing w:val="-10"/>
          <w:w w:val="105"/>
          <w:sz w:val="19"/>
          <w:szCs w:val="19"/>
        </w:rPr>
        <w:t xml:space="preserve"> </w:t>
      </w:r>
      <w:r>
        <w:rPr>
          <w:rFonts w:ascii="Cambria" w:hAnsi="Cambria" w:cs="Cambria"/>
          <w:i/>
          <w:iCs/>
          <w:w w:val="105"/>
          <w:sz w:val="19"/>
          <w:szCs w:val="19"/>
        </w:rPr>
        <w:t>day</w:t>
      </w:r>
      <w:r>
        <w:rPr>
          <w:rFonts w:ascii="Cambria" w:hAnsi="Cambria" w:cs="Cambria"/>
          <w:i/>
          <w:iCs/>
          <w:spacing w:val="-10"/>
          <w:w w:val="105"/>
          <w:sz w:val="19"/>
          <w:szCs w:val="19"/>
        </w:rPr>
        <w:t xml:space="preserve"> </w:t>
      </w:r>
      <w:r>
        <w:rPr>
          <w:rFonts w:ascii="Cambria" w:hAnsi="Cambria" w:cs="Cambria"/>
          <w:i/>
          <w:iCs/>
          <w:w w:val="105"/>
          <w:sz w:val="19"/>
          <w:szCs w:val="19"/>
        </w:rPr>
        <w:t>to</w:t>
      </w:r>
      <w:r>
        <w:rPr>
          <w:rFonts w:ascii="Cambria" w:hAnsi="Cambria" w:cs="Cambria"/>
          <w:i/>
          <w:iCs/>
          <w:spacing w:val="-10"/>
          <w:w w:val="105"/>
          <w:sz w:val="19"/>
          <w:szCs w:val="19"/>
        </w:rPr>
        <w:t xml:space="preserve"> </w:t>
      </w:r>
      <w:r>
        <w:rPr>
          <w:rFonts w:ascii="Cambria" w:hAnsi="Cambria" w:cs="Cambria"/>
          <w:i/>
          <w:iCs/>
          <w:w w:val="105"/>
          <w:sz w:val="19"/>
          <w:szCs w:val="19"/>
        </w:rPr>
        <w:t>improve</w:t>
      </w:r>
      <w:r>
        <w:rPr>
          <w:rFonts w:ascii="Cambria" w:hAnsi="Cambria" w:cs="Cambria"/>
          <w:i/>
          <w:iCs/>
          <w:spacing w:val="-10"/>
          <w:w w:val="105"/>
          <w:sz w:val="19"/>
          <w:szCs w:val="19"/>
        </w:rPr>
        <w:t xml:space="preserve"> </w:t>
      </w:r>
      <w:r>
        <w:rPr>
          <w:rFonts w:ascii="Cambria" w:hAnsi="Cambria" w:cs="Cambria"/>
          <w:i/>
          <w:iCs/>
          <w:w w:val="105"/>
          <w:sz w:val="19"/>
          <w:szCs w:val="19"/>
        </w:rPr>
        <w:t>the</w:t>
      </w:r>
      <w:r>
        <w:rPr>
          <w:rFonts w:ascii="Cambria" w:hAnsi="Cambria" w:cs="Cambria"/>
          <w:i/>
          <w:iCs/>
          <w:spacing w:val="-10"/>
          <w:w w:val="105"/>
          <w:sz w:val="19"/>
          <w:szCs w:val="19"/>
        </w:rPr>
        <w:t xml:space="preserve"> </w:t>
      </w:r>
      <w:r>
        <w:rPr>
          <w:rFonts w:ascii="Cambria" w:hAnsi="Cambria" w:cs="Cambria"/>
          <w:i/>
          <w:iCs/>
          <w:w w:val="105"/>
          <w:sz w:val="19"/>
          <w:szCs w:val="19"/>
        </w:rPr>
        <w:t>health</w:t>
      </w:r>
      <w:r>
        <w:rPr>
          <w:rFonts w:ascii="Cambria" w:hAnsi="Cambria" w:cs="Cambria"/>
          <w:i/>
          <w:iCs/>
          <w:spacing w:val="-10"/>
          <w:w w:val="105"/>
          <w:sz w:val="19"/>
          <w:szCs w:val="19"/>
        </w:rPr>
        <w:t xml:space="preserve"> </w:t>
      </w:r>
      <w:r>
        <w:rPr>
          <w:rFonts w:ascii="Cambria" w:hAnsi="Cambria" w:cs="Cambria"/>
          <w:i/>
          <w:iCs/>
          <w:w w:val="105"/>
          <w:sz w:val="19"/>
          <w:szCs w:val="19"/>
        </w:rPr>
        <w:t>of</w:t>
      </w:r>
      <w:r>
        <w:rPr>
          <w:rFonts w:ascii="Cambria" w:hAnsi="Cambria" w:cs="Cambria"/>
          <w:i/>
          <w:iCs/>
          <w:spacing w:val="-11"/>
          <w:w w:val="105"/>
          <w:sz w:val="19"/>
          <w:szCs w:val="19"/>
        </w:rPr>
        <w:t xml:space="preserve"> </w:t>
      </w:r>
      <w:r>
        <w:rPr>
          <w:rFonts w:ascii="Cambria" w:hAnsi="Cambria" w:cs="Cambria"/>
          <w:i/>
          <w:iCs/>
          <w:w w:val="105"/>
          <w:sz w:val="19"/>
          <w:szCs w:val="19"/>
        </w:rPr>
        <w:t>our</w:t>
      </w:r>
      <w:r>
        <w:rPr>
          <w:rFonts w:ascii="Cambria" w:hAnsi="Cambria" w:cs="Cambria"/>
          <w:i/>
          <w:iCs/>
          <w:spacing w:val="-9"/>
          <w:w w:val="105"/>
          <w:sz w:val="19"/>
          <w:szCs w:val="19"/>
        </w:rPr>
        <w:t xml:space="preserve"> </w:t>
      </w:r>
      <w:r>
        <w:rPr>
          <w:rFonts w:ascii="Cambria" w:hAnsi="Cambria" w:cs="Cambria"/>
          <w:i/>
          <w:iCs/>
          <w:w w:val="105"/>
          <w:sz w:val="19"/>
          <w:szCs w:val="19"/>
        </w:rPr>
        <w:t>patients,</w:t>
      </w:r>
      <w:r>
        <w:rPr>
          <w:rFonts w:ascii="Cambria" w:hAnsi="Cambria" w:cs="Cambria"/>
          <w:i/>
          <w:iCs/>
          <w:spacing w:val="-12"/>
          <w:w w:val="105"/>
          <w:sz w:val="19"/>
          <w:szCs w:val="19"/>
        </w:rPr>
        <w:t xml:space="preserve"> </w:t>
      </w:r>
      <w:r>
        <w:rPr>
          <w:rFonts w:ascii="Cambria" w:hAnsi="Cambria" w:cs="Cambria"/>
          <w:i/>
          <w:iCs/>
          <w:w w:val="105"/>
          <w:sz w:val="19"/>
          <w:szCs w:val="19"/>
        </w:rPr>
        <w:t>communities,</w:t>
      </w:r>
      <w:r>
        <w:rPr>
          <w:rFonts w:ascii="Cambria" w:hAnsi="Cambria" w:cs="Cambria"/>
          <w:i/>
          <w:iCs/>
          <w:spacing w:val="-9"/>
          <w:w w:val="105"/>
          <w:sz w:val="19"/>
          <w:szCs w:val="19"/>
        </w:rPr>
        <w:t xml:space="preserve"> </w:t>
      </w:r>
      <w:r>
        <w:rPr>
          <w:rFonts w:ascii="Cambria" w:hAnsi="Cambria" w:cs="Cambria"/>
          <w:i/>
          <w:iCs/>
          <w:w w:val="105"/>
          <w:sz w:val="19"/>
          <w:szCs w:val="19"/>
        </w:rPr>
        <w:t>and</w:t>
      </w:r>
      <w:r>
        <w:rPr>
          <w:rFonts w:ascii="Cambria" w:hAnsi="Cambria" w:cs="Cambria"/>
          <w:i/>
          <w:iCs/>
          <w:spacing w:val="-11"/>
          <w:w w:val="105"/>
          <w:sz w:val="19"/>
          <w:szCs w:val="19"/>
        </w:rPr>
        <w:t xml:space="preserve"> </w:t>
      </w:r>
      <w:r>
        <w:rPr>
          <w:rFonts w:ascii="Cambria" w:hAnsi="Cambria" w:cs="Cambria"/>
          <w:i/>
          <w:iCs/>
          <w:w w:val="105"/>
          <w:sz w:val="19"/>
          <w:szCs w:val="19"/>
        </w:rPr>
        <w:t>nation..</w:t>
      </w:r>
    </w:p>
    <w:p w:rsidR="002C5025" w:rsidRDefault="002C5025">
      <w:pPr>
        <w:pStyle w:val="BodyText"/>
        <w:kinsoku w:val="0"/>
        <w:overflowPunct w:val="0"/>
        <w:spacing w:before="102" w:line="247" w:lineRule="auto"/>
        <w:ind w:left="644" w:right="773" w:hanging="348"/>
        <w:rPr>
          <w:rFonts w:ascii="Cambria" w:hAnsi="Cambria" w:cs="Cambria"/>
          <w:i/>
          <w:iCs/>
          <w:w w:val="105"/>
          <w:sz w:val="19"/>
          <w:szCs w:val="19"/>
        </w:rPr>
        <w:sectPr w:rsidR="002C5025">
          <w:pgSz w:w="12240" w:h="15840"/>
          <w:pgMar w:top="940" w:right="820" w:bottom="280" w:left="800" w:header="720" w:footer="720" w:gutter="0"/>
          <w:pgBorders w:offsetFrom="page">
            <w:top w:val="single" w:sz="24" w:space="24" w:color="213957"/>
            <w:left w:val="single" w:sz="24" w:space="24" w:color="213957"/>
            <w:bottom w:val="single" w:sz="24" w:space="24" w:color="213957"/>
            <w:right w:val="single" w:sz="24" w:space="24" w:color="213957"/>
          </w:pgBorders>
          <w:cols w:space="720" w:equalWidth="0">
            <w:col w:w="10620"/>
          </w:cols>
          <w:noEndnote/>
        </w:sectPr>
      </w:pPr>
    </w:p>
    <w:p w:rsidR="002C5025" w:rsidRDefault="002C5025">
      <w:pPr>
        <w:pStyle w:val="BodyText"/>
        <w:kinsoku w:val="0"/>
        <w:overflowPunct w:val="0"/>
        <w:spacing w:before="52" w:line="242" w:lineRule="auto"/>
        <w:ind w:left="143" w:right="353"/>
        <w:rPr>
          <w:rFonts w:ascii="Times New Roman" w:hAnsi="Times New Roman" w:cs="Times New Roman"/>
          <w:position w:val="11"/>
          <w:sz w:val="16"/>
          <w:szCs w:val="16"/>
        </w:rPr>
      </w:pPr>
      <w:r>
        <w:rPr>
          <w:rFonts w:ascii="Times New Roman" w:hAnsi="Times New Roman" w:cs="Times New Roman"/>
          <w:sz w:val="24"/>
          <w:szCs w:val="24"/>
        </w:rPr>
        <w:lastRenderedPageBreak/>
        <w:t>Excellence in Healthcare Innovation that published an issue brief describing successful implementation of CWH.</w:t>
      </w:r>
      <w:r>
        <w:rPr>
          <w:rFonts w:ascii="Times New Roman" w:hAnsi="Times New Roman" w:cs="Times New Roman"/>
          <w:position w:val="11"/>
          <w:sz w:val="16"/>
          <w:szCs w:val="16"/>
        </w:rPr>
        <w:t>28</w:t>
      </w:r>
    </w:p>
    <w:p w:rsidR="002C5025" w:rsidRDefault="002C5025">
      <w:pPr>
        <w:pStyle w:val="BodyText"/>
        <w:kinsoku w:val="0"/>
        <w:overflowPunct w:val="0"/>
        <w:rPr>
          <w:rFonts w:ascii="Times New Roman" w:hAnsi="Times New Roman" w:cs="Times New Roman"/>
          <w:sz w:val="31"/>
          <w:szCs w:val="31"/>
        </w:rPr>
      </w:pPr>
    </w:p>
    <w:p w:rsidR="002C5025" w:rsidRDefault="002C5025">
      <w:pPr>
        <w:pStyle w:val="BodyText"/>
        <w:kinsoku w:val="0"/>
        <w:overflowPunct w:val="0"/>
        <w:ind w:left="143" w:right="353"/>
        <w:rPr>
          <w:rFonts w:ascii="Times New Roman" w:hAnsi="Times New Roman" w:cs="Times New Roman"/>
          <w:b/>
          <w:bCs/>
          <w:sz w:val="24"/>
          <w:szCs w:val="24"/>
        </w:rPr>
      </w:pPr>
      <w:bookmarkStart w:id="135" w:name="Transparency,_Oversight,_and_Member_Enga"/>
      <w:bookmarkEnd w:id="135"/>
      <w:r>
        <w:rPr>
          <w:rFonts w:ascii="Times New Roman" w:hAnsi="Times New Roman" w:cs="Times New Roman"/>
          <w:b/>
          <w:bCs/>
          <w:sz w:val="24"/>
          <w:szCs w:val="24"/>
        </w:rPr>
        <w:t>Transparency, Oversight, and Member Engagement</w:t>
      </w:r>
    </w:p>
    <w:p w:rsidR="002C5025" w:rsidRDefault="002C5025">
      <w:pPr>
        <w:pStyle w:val="BodyText"/>
        <w:kinsoku w:val="0"/>
        <w:overflowPunct w:val="0"/>
        <w:spacing w:before="1"/>
        <w:rPr>
          <w:rFonts w:ascii="Times New Roman" w:hAnsi="Times New Roman" w:cs="Times New Roman"/>
          <w:b/>
          <w:bCs/>
          <w:sz w:val="31"/>
          <w:szCs w:val="31"/>
        </w:rPr>
      </w:pPr>
    </w:p>
    <w:p w:rsidR="002C5025" w:rsidRDefault="002C5025">
      <w:pPr>
        <w:pStyle w:val="BodyText"/>
        <w:kinsoku w:val="0"/>
        <w:overflowPunct w:val="0"/>
        <w:spacing w:line="276" w:lineRule="auto"/>
        <w:ind w:left="143" w:right="331"/>
        <w:rPr>
          <w:rFonts w:ascii="Times New Roman" w:hAnsi="Times New Roman" w:cs="Times New Roman"/>
          <w:sz w:val="24"/>
          <w:szCs w:val="24"/>
        </w:rPr>
      </w:pPr>
      <w:r>
        <w:rPr>
          <w:rFonts w:ascii="Times New Roman" w:hAnsi="Times New Roman" w:cs="Times New Roman"/>
          <w:sz w:val="24"/>
          <w:szCs w:val="24"/>
        </w:rPr>
        <w:t>We are pleased that the proposal calls for ACOs to include members in their governance boards and requires ACOs to establish Patient and Family Advisory Councils (PFACs). In order to ensure meaningful engagement, members should be formally integrated as advisors in the design and governance of ACO policies and procedures. In addition, the ACO-level PFACs must coordinate closely with the already established hospital-level PFACs.</w:t>
      </w:r>
    </w:p>
    <w:p w:rsidR="002C5025" w:rsidRDefault="002C5025">
      <w:pPr>
        <w:pStyle w:val="BodyText"/>
        <w:kinsoku w:val="0"/>
        <w:overflowPunct w:val="0"/>
        <w:spacing w:before="3"/>
        <w:rPr>
          <w:rFonts w:ascii="Times New Roman" w:hAnsi="Times New Roman" w:cs="Times New Roman"/>
          <w:sz w:val="28"/>
          <w:szCs w:val="28"/>
        </w:rPr>
      </w:pPr>
    </w:p>
    <w:p w:rsidR="002C5025" w:rsidRDefault="002C5025">
      <w:pPr>
        <w:pStyle w:val="BodyText"/>
        <w:kinsoku w:val="0"/>
        <w:overflowPunct w:val="0"/>
        <w:ind w:left="143" w:right="353"/>
        <w:rPr>
          <w:rFonts w:ascii="Times New Roman" w:hAnsi="Times New Roman" w:cs="Times New Roman"/>
          <w:b/>
          <w:bCs/>
          <w:sz w:val="24"/>
          <w:szCs w:val="24"/>
        </w:rPr>
      </w:pPr>
      <w:bookmarkStart w:id="136" w:name="Administrative_Burden"/>
      <w:bookmarkEnd w:id="136"/>
      <w:r>
        <w:rPr>
          <w:rFonts w:ascii="Times New Roman" w:hAnsi="Times New Roman" w:cs="Times New Roman"/>
          <w:b/>
          <w:bCs/>
          <w:sz w:val="24"/>
          <w:szCs w:val="24"/>
        </w:rPr>
        <w:t>Administrative Burden</w:t>
      </w:r>
    </w:p>
    <w:p w:rsidR="002C5025" w:rsidRDefault="002C5025">
      <w:pPr>
        <w:pStyle w:val="BodyText"/>
        <w:kinsoku w:val="0"/>
        <w:overflowPunct w:val="0"/>
        <w:spacing w:before="1"/>
        <w:rPr>
          <w:rFonts w:ascii="Times New Roman" w:hAnsi="Times New Roman" w:cs="Times New Roman"/>
          <w:b/>
          <w:bCs/>
          <w:sz w:val="25"/>
          <w:szCs w:val="25"/>
        </w:rPr>
      </w:pPr>
    </w:p>
    <w:p w:rsidR="002C5025" w:rsidRDefault="00FB027C">
      <w:pPr>
        <w:pStyle w:val="BodyText"/>
        <w:tabs>
          <w:tab w:val="left" w:pos="10094"/>
          <w:tab w:val="left" w:pos="10200"/>
        </w:tabs>
        <w:kinsoku w:val="0"/>
        <w:overflowPunct w:val="0"/>
        <w:spacing w:before="69" w:line="276" w:lineRule="auto"/>
        <w:ind w:left="145" w:right="353"/>
        <w:rPr>
          <w:rFonts w:ascii="Times New Roman" w:hAnsi="Times New Roman" w:cs="Times New Roman"/>
          <w:sz w:val="24"/>
          <w:szCs w:val="24"/>
        </w:rPr>
      </w:pPr>
      <w:r>
        <w:rPr>
          <w:noProof/>
        </w:rPr>
        <mc:AlternateContent>
          <mc:Choice Requires="wpg">
            <w:drawing>
              <wp:anchor distT="0" distB="0" distL="114300" distR="114300" simplePos="0" relativeHeight="251621888" behindDoc="1" locked="0" layoutInCell="0" allowOverlap="1">
                <wp:simplePos x="0" y="0"/>
                <wp:positionH relativeFrom="page">
                  <wp:posOffset>596900</wp:posOffset>
                </wp:positionH>
                <wp:positionV relativeFrom="paragraph">
                  <wp:posOffset>1661160</wp:posOffset>
                </wp:positionV>
                <wp:extent cx="2662555" cy="172720"/>
                <wp:effectExtent l="0" t="0" r="0" b="0"/>
                <wp:wrapNone/>
                <wp:docPr id="631" name="Group 3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2555" cy="172720"/>
                          <a:chOff x="940" y="2616"/>
                          <a:chExt cx="4193" cy="272"/>
                        </a:xfrm>
                      </wpg:grpSpPr>
                      <wps:wsp>
                        <wps:cNvPr id="632" name="Freeform 392"/>
                        <wps:cNvSpPr>
                          <a:spLocks/>
                        </wps:cNvSpPr>
                        <wps:spPr bwMode="auto">
                          <a:xfrm>
                            <a:off x="945" y="2616"/>
                            <a:ext cx="20" cy="267"/>
                          </a:xfrm>
                          <a:custGeom>
                            <a:avLst/>
                            <a:gdLst>
                              <a:gd name="T0" fmla="*/ 0 w 20"/>
                              <a:gd name="T1" fmla="*/ 266 h 267"/>
                              <a:gd name="T2" fmla="*/ 0 w 20"/>
                              <a:gd name="T3" fmla="*/ 266 h 267"/>
                              <a:gd name="T4" fmla="*/ 0 w 20"/>
                              <a:gd name="T5" fmla="*/ 0 h 267"/>
                              <a:gd name="T6" fmla="*/ 0 w 20"/>
                              <a:gd name="T7" fmla="*/ 0 h 267"/>
                              <a:gd name="T8" fmla="*/ 0 w 20"/>
                              <a:gd name="T9" fmla="*/ 266 h 267"/>
                            </a:gdLst>
                            <a:ahLst/>
                            <a:cxnLst>
                              <a:cxn ang="0">
                                <a:pos x="T0" y="T1"/>
                              </a:cxn>
                              <a:cxn ang="0">
                                <a:pos x="T2" y="T3"/>
                              </a:cxn>
                              <a:cxn ang="0">
                                <a:pos x="T4" y="T5"/>
                              </a:cxn>
                              <a:cxn ang="0">
                                <a:pos x="T6" y="T7"/>
                              </a:cxn>
                              <a:cxn ang="0">
                                <a:pos x="T8" y="T9"/>
                              </a:cxn>
                            </a:cxnLst>
                            <a:rect l="0" t="0" r="r" b="b"/>
                            <a:pathLst>
                              <a:path w="20" h="267">
                                <a:moveTo>
                                  <a:pt x="0" y="266"/>
                                </a:moveTo>
                                <a:lnTo>
                                  <a:pt x="0" y="266"/>
                                </a:lnTo>
                                <a:lnTo>
                                  <a:pt x="0" y="0"/>
                                </a:lnTo>
                                <a:lnTo>
                                  <a:pt x="0" y="0"/>
                                </a:lnTo>
                                <a:lnTo>
                                  <a:pt x="0" y="266"/>
                                </a:lnTo>
                                <a:close/>
                              </a:path>
                            </a:pathLst>
                          </a:custGeom>
                          <a:solidFill>
                            <a:srgbClr val="FDFD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3" name="Freeform 393"/>
                        <wps:cNvSpPr>
                          <a:spLocks/>
                        </wps:cNvSpPr>
                        <wps:spPr bwMode="auto">
                          <a:xfrm>
                            <a:off x="945" y="2616"/>
                            <a:ext cx="4186" cy="264"/>
                          </a:xfrm>
                          <a:custGeom>
                            <a:avLst/>
                            <a:gdLst>
                              <a:gd name="T0" fmla="*/ 0 w 4186"/>
                              <a:gd name="T1" fmla="*/ 263 h 264"/>
                              <a:gd name="T2" fmla="*/ 4185 w 4186"/>
                              <a:gd name="T3" fmla="*/ 263 h 264"/>
                              <a:gd name="T4" fmla="*/ 4185 w 4186"/>
                              <a:gd name="T5" fmla="*/ 0 h 264"/>
                              <a:gd name="T6" fmla="*/ 0 w 4186"/>
                              <a:gd name="T7" fmla="*/ 0 h 264"/>
                              <a:gd name="T8" fmla="*/ 0 w 4186"/>
                              <a:gd name="T9" fmla="*/ 263 h 264"/>
                            </a:gdLst>
                            <a:ahLst/>
                            <a:cxnLst>
                              <a:cxn ang="0">
                                <a:pos x="T0" y="T1"/>
                              </a:cxn>
                              <a:cxn ang="0">
                                <a:pos x="T2" y="T3"/>
                              </a:cxn>
                              <a:cxn ang="0">
                                <a:pos x="T4" y="T5"/>
                              </a:cxn>
                              <a:cxn ang="0">
                                <a:pos x="T6" y="T7"/>
                              </a:cxn>
                              <a:cxn ang="0">
                                <a:pos x="T8" y="T9"/>
                              </a:cxn>
                            </a:cxnLst>
                            <a:rect l="0" t="0" r="r" b="b"/>
                            <a:pathLst>
                              <a:path w="4186" h="264">
                                <a:moveTo>
                                  <a:pt x="0" y="263"/>
                                </a:moveTo>
                                <a:lnTo>
                                  <a:pt x="4185" y="263"/>
                                </a:lnTo>
                                <a:lnTo>
                                  <a:pt x="4185" y="0"/>
                                </a:lnTo>
                                <a:lnTo>
                                  <a:pt x="0" y="0"/>
                                </a:lnTo>
                                <a:lnTo>
                                  <a:pt x="0" y="263"/>
                                </a:lnTo>
                                <a:close/>
                              </a:path>
                            </a:pathLst>
                          </a:custGeom>
                          <a:solidFill>
                            <a:srgbClr val="FDFD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4" name="Freeform 394"/>
                        <wps:cNvSpPr>
                          <a:spLocks/>
                        </wps:cNvSpPr>
                        <wps:spPr bwMode="auto">
                          <a:xfrm>
                            <a:off x="943" y="2885"/>
                            <a:ext cx="4188" cy="20"/>
                          </a:xfrm>
                          <a:custGeom>
                            <a:avLst/>
                            <a:gdLst>
                              <a:gd name="T0" fmla="*/ 0 w 4188"/>
                              <a:gd name="T1" fmla="*/ 0 h 20"/>
                              <a:gd name="T2" fmla="*/ 4188 w 4188"/>
                              <a:gd name="T3" fmla="*/ 0 h 20"/>
                            </a:gdLst>
                            <a:ahLst/>
                            <a:cxnLst>
                              <a:cxn ang="0">
                                <a:pos x="T0" y="T1"/>
                              </a:cxn>
                              <a:cxn ang="0">
                                <a:pos x="T2" y="T3"/>
                              </a:cxn>
                            </a:cxnLst>
                            <a:rect l="0" t="0" r="r" b="b"/>
                            <a:pathLst>
                              <a:path w="4188" h="20">
                                <a:moveTo>
                                  <a:pt x="0" y="0"/>
                                </a:moveTo>
                                <a:lnTo>
                                  <a:pt x="418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91" o:spid="_x0000_s1026" style="position:absolute;margin-left:47pt;margin-top:130.8pt;width:209.65pt;height:13.6pt;z-index:-251694592;mso-position-horizontal-relative:page" coordorigin="940,2616" coordsize="4193,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" o:allowincell="f">
                <v:shape id="Freeform 392" o:spid="_x0000_s1027" style="position:absolute;left:945;top:2616;width:20;height:267;visibility:visible;mso-wrap-style:square;v-text-anchor:top" coordsize="20,2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aZqMUA&#10;AADcAAAADwAAAGRycy9kb3ducmV2LnhtbESPT4vCMBTE7wt+h/AEL4um60JXqlFEFBSE9d/B46N5&#10;NsXmpTRZW7/9RljY4zAzv2Fmi85W4kGNLx0r+BglIIhzp0suFFzOm+EEhA/IGivHpOBJHhbz3tsM&#10;M+1aPtLjFAoRIewzVGBCqDMpfW7Ioh+5mjh6N9dYDFE2hdQNthFuKzlOklRaLDkuGKxpZSi/n36s&#10;Am3q9eG6P1TLdP3dHr+et114l0oN+t1yCiJQF/7Df+2tVpB+juF1Jh4BO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9pmoxQAAANwAAAAPAAAAAAAAAAAAAAAAAJgCAABkcnMv&#10;ZG93bnJldi54bWxQSwUGAAAAAAQABAD1AAAAigMAAAAA&#10;" path="m,266r,l,,,,,266xe" fillcolor="#fdfdff" stroked="f">
                  <v:path arrowok="t" o:connecttype="custom" o:connectlocs="0,266;0,266;0,0;0,0;0,266" o:connectangles="0,0,0,0,0"/>
                </v:shape>
                <v:shape id="Freeform 393" o:spid="_x0000_s1028" style="position:absolute;left:945;top:2616;width:4186;height:264;visibility:visible;mso-wrap-style:square;v-text-anchor:top" coordsize="4186,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DOIMQA&#10;AADcAAAADwAAAGRycy9kb3ducmV2LnhtbESPT4vCMBTE78J+h/CEvWnqH6RUo4iwoCdZXQ97eyTP&#10;tti8lCa1XT/9RhA8DjPzG2a16W0l7tT40rGCyTgBQaydKTlX8HP+GqUgfEA2WDkmBX/kYbP+GKww&#10;M67jb7qfQi4ihH2GCooQ6kxKrwuy6MeuJo7e1TUWQ5RNLk2DXYTbSk6TZCEtlhwXCqxpV5C+nVob&#10;KW3Lv/vLQU6OenebX87po9Neqc9hv12CCNSHd/jV3hsFi9kMnmfiEZ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wziDEAAAA3AAAAA8AAAAAAAAAAAAAAAAAmAIAAGRycy9k&#10;b3ducmV2LnhtbFBLBQYAAAAABAAEAPUAAACJAwAAAAA=&#10;" path="m,263r4185,l4185,,,,,263xe" fillcolor="#fdfdff" stroked="f">
                  <v:path arrowok="t" o:connecttype="custom" o:connectlocs="0,263;4185,263;4185,0;0,0;0,263" o:connectangles="0,0,0,0,0"/>
                </v:shape>
                <v:shape id="Freeform 394" o:spid="_x0000_s1029" style="position:absolute;left:943;top:2885;width:4188;height:20;visibility:visible;mso-wrap-style:square;v-text-anchor:top" coordsize="418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0J1cMA&#10;AADcAAAADwAAAGRycy9kb3ducmV2LnhtbESP0WoCMRRE34X+Q7iFvmm2toisRimlohQUXP2Ay+a6&#10;WdzchE3U1a83guDjMDNnmOm8s404Uxtqxwo+BxkI4tLpmisF+92iPwYRIrLGxjEpuFKA+eytN8Vc&#10;uwtv6VzESiQIhxwVmBh9LmUoDVkMA+eJk3dwrcWYZFtJ3eIlwW0jh1k2khZrTgsGPf0aKo/FySq4&#10;/XWLSq9qv/Hb/+WtcOv10kSlPt67nwmISF18hZ/tlVYw+vqGx5l0BOTs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20J1cMAAADcAAAADwAAAAAAAAAAAAAAAACYAgAAZHJzL2Rv&#10;d25yZXYueG1sUEsFBgAAAAAEAAQA9QAAAIgDAAAAAA==&#10;" path="m,l4188,e" filled="f" strokeweight=".24pt">
                  <v:path arrowok="t" o:connecttype="custom" o:connectlocs="0,0;4188,0" o:connectangles="0,0"/>
                </v:shape>
                <w10:wrap anchorx="page"/>
              </v:group>
            </w:pict>
          </mc:Fallback>
        </mc:AlternateContent>
      </w:r>
      <w:r>
        <w:rPr>
          <w:noProof/>
        </w:rPr>
        <mc:AlternateContent>
          <mc:Choice Requires="wps">
            <w:drawing>
              <wp:anchor distT="0" distB="0" distL="114300" distR="114300" simplePos="0" relativeHeight="251622912" behindDoc="1" locked="0" layoutInCell="0" allowOverlap="1">
                <wp:simplePos x="0" y="0"/>
                <wp:positionH relativeFrom="page">
                  <wp:posOffset>600075</wp:posOffset>
                </wp:positionH>
                <wp:positionV relativeFrom="paragraph">
                  <wp:posOffset>650875</wp:posOffset>
                </wp:positionV>
                <wp:extent cx="6327775" cy="177165"/>
                <wp:effectExtent l="0" t="0" r="0" b="0"/>
                <wp:wrapNone/>
                <wp:docPr id="630" name="Freeform 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7775" cy="177165"/>
                        </a:xfrm>
                        <a:custGeom>
                          <a:avLst/>
                          <a:gdLst>
                            <a:gd name="T0" fmla="*/ 0 w 9965"/>
                            <a:gd name="T1" fmla="*/ 0 h 279"/>
                            <a:gd name="T2" fmla="*/ 9965 w 9965"/>
                            <a:gd name="T3" fmla="*/ 0 h 279"/>
                            <a:gd name="T4" fmla="*/ 9965 w 9965"/>
                            <a:gd name="T5" fmla="*/ 278 h 279"/>
                            <a:gd name="T6" fmla="*/ 0 w 9965"/>
                            <a:gd name="T7" fmla="*/ 278 h 279"/>
                            <a:gd name="T8" fmla="*/ 0 w 9965"/>
                            <a:gd name="T9" fmla="*/ 0 h 279"/>
                          </a:gdLst>
                          <a:ahLst/>
                          <a:cxnLst>
                            <a:cxn ang="0">
                              <a:pos x="T0" y="T1"/>
                            </a:cxn>
                            <a:cxn ang="0">
                              <a:pos x="T2" y="T3"/>
                            </a:cxn>
                            <a:cxn ang="0">
                              <a:pos x="T4" y="T5"/>
                            </a:cxn>
                            <a:cxn ang="0">
                              <a:pos x="T6" y="T7"/>
                            </a:cxn>
                            <a:cxn ang="0">
                              <a:pos x="T8" y="T9"/>
                            </a:cxn>
                          </a:cxnLst>
                          <a:rect l="0" t="0" r="r" b="b"/>
                          <a:pathLst>
                            <a:path w="9965" h="279">
                              <a:moveTo>
                                <a:pt x="0" y="0"/>
                              </a:moveTo>
                              <a:lnTo>
                                <a:pt x="9965" y="0"/>
                              </a:lnTo>
                              <a:lnTo>
                                <a:pt x="9965" y="278"/>
                              </a:lnTo>
                              <a:lnTo>
                                <a:pt x="0" y="278"/>
                              </a:lnTo>
                              <a:lnTo>
                                <a:pt x="0" y="0"/>
                              </a:lnTo>
                              <a:close/>
                            </a:path>
                          </a:pathLst>
                        </a:custGeom>
                        <a:solidFill>
                          <a:srgbClr val="FDFD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95" o:spid="_x0000_s1026" style="position:absolute;margin-left:47.25pt;margin-top:51.25pt;width:498.25pt;height:13.95pt;z-index:-251693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965,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" o:allowincell="f" path="m,l9965,r,278l,278,,xe" fillcolor="#fdfdff" stroked="f">
                <v:path arrowok="t" o:connecttype="custom" o:connectlocs="0,0;6327775,0;6327775,176530;0,176530;0,0" o:connectangles="0,0,0,0,0"/>
                <w10:wrap anchorx="page"/>
              </v:shape>
            </w:pict>
          </mc:Fallback>
        </mc:AlternateContent>
      </w:r>
      <w:r w:rsidR="002C5025">
        <w:rPr>
          <w:rFonts w:ascii="Times New Roman" w:hAnsi="Times New Roman" w:cs="Times New Roman"/>
          <w:sz w:val="24"/>
          <w:szCs w:val="24"/>
          <w:shd w:val="clear" w:color="auto" w:fill="FDFDFF"/>
        </w:rPr>
        <w:t>As</w:t>
      </w:r>
      <w:r w:rsidR="002C5025">
        <w:rPr>
          <w:rFonts w:ascii="Times New Roman" w:hAnsi="Times New Roman" w:cs="Times New Roman"/>
          <w:spacing w:val="-7"/>
          <w:sz w:val="24"/>
          <w:szCs w:val="24"/>
          <w:shd w:val="clear" w:color="auto" w:fill="FDFDFF"/>
        </w:rPr>
        <w:t xml:space="preserve"> </w:t>
      </w:r>
      <w:r w:rsidR="002C5025">
        <w:rPr>
          <w:rFonts w:ascii="Times New Roman" w:hAnsi="Times New Roman" w:cs="Times New Roman"/>
          <w:sz w:val="24"/>
          <w:szCs w:val="24"/>
          <w:shd w:val="clear" w:color="auto" w:fill="FDFDFF"/>
        </w:rPr>
        <w:t>the</w:t>
      </w:r>
      <w:r w:rsidR="002C5025">
        <w:rPr>
          <w:rFonts w:ascii="Times New Roman" w:hAnsi="Times New Roman" w:cs="Times New Roman"/>
          <w:spacing w:val="-8"/>
          <w:sz w:val="24"/>
          <w:szCs w:val="24"/>
          <w:shd w:val="clear" w:color="auto" w:fill="FDFDFF"/>
        </w:rPr>
        <w:t xml:space="preserve"> </w:t>
      </w:r>
      <w:r w:rsidR="002C5025">
        <w:rPr>
          <w:rFonts w:ascii="Times New Roman" w:hAnsi="Times New Roman" w:cs="Times New Roman"/>
          <w:sz w:val="24"/>
          <w:szCs w:val="24"/>
          <w:shd w:val="clear" w:color="auto" w:fill="FDFDFF"/>
        </w:rPr>
        <w:t>Commonwealth</w:t>
      </w:r>
      <w:r w:rsidR="002C5025">
        <w:rPr>
          <w:rFonts w:ascii="Times New Roman" w:hAnsi="Times New Roman" w:cs="Times New Roman"/>
          <w:spacing w:val="-7"/>
          <w:sz w:val="24"/>
          <w:szCs w:val="24"/>
          <w:shd w:val="clear" w:color="auto" w:fill="FDFDFF"/>
        </w:rPr>
        <w:t xml:space="preserve"> </w:t>
      </w:r>
      <w:r w:rsidR="002C5025">
        <w:rPr>
          <w:rFonts w:ascii="Times New Roman" w:hAnsi="Times New Roman" w:cs="Times New Roman"/>
          <w:sz w:val="24"/>
          <w:szCs w:val="24"/>
          <w:shd w:val="clear" w:color="auto" w:fill="FDFDFF"/>
        </w:rPr>
        <w:t>moves</w:t>
      </w:r>
      <w:r w:rsidR="002C5025">
        <w:rPr>
          <w:rFonts w:ascii="Times New Roman" w:hAnsi="Times New Roman" w:cs="Times New Roman"/>
          <w:spacing w:val="-7"/>
          <w:sz w:val="24"/>
          <w:szCs w:val="24"/>
          <w:shd w:val="clear" w:color="auto" w:fill="FDFDFF"/>
        </w:rPr>
        <w:t xml:space="preserve"> </w:t>
      </w:r>
      <w:r w:rsidR="002C5025">
        <w:rPr>
          <w:rFonts w:ascii="Times New Roman" w:hAnsi="Times New Roman" w:cs="Times New Roman"/>
          <w:sz w:val="24"/>
          <w:szCs w:val="24"/>
          <w:shd w:val="clear" w:color="auto" w:fill="FDFDFF"/>
        </w:rPr>
        <w:t>towards</w:t>
      </w:r>
      <w:r w:rsidR="002C5025">
        <w:rPr>
          <w:rFonts w:ascii="Times New Roman" w:hAnsi="Times New Roman" w:cs="Times New Roman"/>
          <w:spacing w:val="-5"/>
          <w:sz w:val="24"/>
          <w:szCs w:val="24"/>
          <w:shd w:val="clear" w:color="auto" w:fill="FDFDFF"/>
        </w:rPr>
        <w:t xml:space="preserve"> </w:t>
      </w:r>
      <w:r w:rsidR="002C5025">
        <w:rPr>
          <w:rFonts w:ascii="Times New Roman" w:hAnsi="Times New Roman" w:cs="Times New Roman"/>
          <w:sz w:val="24"/>
          <w:szCs w:val="24"/>
          <w:shd w:val="clear" w:color="auto" w:fill="FDFDFF"/>
        </w:rPr>
        <w:t>“value-based</w:t>
      </w:r>
      <w:r w:rsidR="002C5025">
        <w:rPr>
          <w:rFonts w:ascii="Times New Roman" w:hAnsi="Times New Roman" w:cs="Times New Roman"/>
          <w:spacing w:val="-7"/>
          <w:sz w:val="24"/>
          <w:szCs w:val="24"/>
          <w:shd w:val="clear" w:color="auto" w:fill="FDFDFF"/>
        </w:rPr>
        <w:t xml:space="preserve"> </w:t>
      </w:r>
      <w:r w:rsidR="002C5025">
        <w:rPr>
          <w:rFonts w:ascii="Times New Roman" w:hAnsi="Times New Roman" w:cs="Times New Roman"/>
          <w:sz w:val="24"/>
          <w:szCs w:val="24"/>
          <w:shd w:val="clear" w:color="auto" w:fill="FDFDFF"/>
        </w:rPr>
        <w:t>payment”,</w:t>
      </w:r>
      <w:r w:rsidR="002C5025">
        <w:rPr>
          <w:rFonts w:ascii="Times New Roman" w:hAnsi="Times New Roman" w:cs="Times New Roman"/>
          <w:spacing w:val="-7"/>
          <w:sz w:val="24"/>
          <w:szCs w:val="24"/>
          <w:shd w:val="clear" w:color="auto" w:fill="FDFDFF"/>
        </w:rPr>
        <w:t xml:space="preserve"> </w:t>
      </w:r>
      <w:r w:rsidR="002C5025">
        <w:rPr>
          <w:rFonts w:ascii="Times New Roman" w:hAnsi="Times New Roman" w:cs="Times New Roman"/>
          <w:sz w:val="24"/>
          <w:szCs w:val="24"/>
          <w:shd w:val="clear" w:color="auto" w:fill="FDFDFF"/>
        </w:rPr>
        <w:t>the</w:t>
      </w:r>
      <w:r w:rsidR="002C5025">
        <w:rPr>
          <w:rFonts w:ascii="Times New Roman" w:hAnsi="Times New Roman" w:cs="Times New Roman"/>
          <w:spacing w:val="-6"/>
          <w:sz w:val="24"/>
          <w:szCs w:val="24"/>
          <w:shd w:val="clear" w:color="auto" w:fill="FDFDFF"/>
        </w:rPr>
        <w:t xml:space="preserve"> </w:t>
      </w:r>
      <w:r w:rsidR="002C5025">
        <w:rPr>
          <w:rFonts w:ascii="Times New Roman" w:hAnsi="Times New Roman" w:cs="Times New Roman"/>
          <w:sz w:val="24"/>
          <w:szCs w:val="24"/>
          <w:shd w:val="clear" w:color="auto" w:fill="FDFDFF"/>
        </w:rPr>
        <w:t>goal</w:t>
      </w:r>
      <w:r w:rsidR="002C5025">
        <w:rPr>
          <w:rFonts w:ascii="Times New Roman" w:hAnsi="Times New Roman" w:cs="Times New Roman"/>
          <w:spacing w:val="-7"/>
          <w:sz w:val="24"/>
          <w:szCs w:val="24"/>
          <w:shd w:val="clear" w:color="auto" w:fill="FDFDFF"/>
        </w:rPr>
        <w:t xml:space="preserve"> </w:t>
      </w:r>
      <w:r w:rsidR="002C5025">
        <w:rPr>
          <w:rFonts w:ascii="Times New Roman" w:hAnsi="Times New Roman" w:cs="Times New Roman"/>
          <w:sz w:val="24"/>
          <w:szCs w:val="24"/>
          <w:shd w:val="clear" w:color="auto" w:fill="FDFDFF"/>
        </w:rPr>
        <w:t>is</w:t>
      </w:r>
      <w:r w:rsidR="002C5025">
        <w:rPr>
          <w:rFonts w:ascii="Times New Roman" w:hAnsi="Times New Roman" w:cs="Times New Roman"/>
          <w:spacing w:val="-7"/>
          <w:sz w:val="24"/>
          <w:szCs w:val="24"/>
          <w:shd w:val="clear" w:color="auto" w:fill="FDFDFF"/>
        </w:rPr>
        <w:t xml:space="preserve"> </w:t>
      </w:r>
      <w:r w:rsidR="002C5025">
        <w:rPr>
          <w:rFonts w:ascii="Times New Roman" w:hAnsi="Times New Roman" w:cs="Times New Roman"/>
          <w:sz w:val="24"/>
          <w:szCs w:val="24"/>
          <w:shd w:val="clear" w:color="auto" w:fill="FDFDFF"/>
        </w:rPr>
        <w:t>to</w:t>
      </w:r>
      <w:r w:rsidR="002C5025">
        <w:rPr>
          <w:rFonts w:ascii="Times New Roman" w:hAnsi="Times New Roman" w:cs="Times New Roman"/>
          <w:spacing w:val="-7"/>
          <w:sz w:val="24"/>
          <w:szCs w:val="24"/>
          <w:shd w:val="clear" w:color="auto" w:fill="FDFDFF"/>
        </w:rPr>
        <w:t xml:space="preserve"> </w:t>
      </w:r>
      <w:r w:rsidR="002C5025">
        <w:rPr>
          <w:rFonts w:ascii="Times New Roman" w:hAnsi="Times New Roman" w:cs="Times New Roman"/>
          <w:sz w:val="24"/>
          <w:szCs w:val="24"/>
          <w:shd w:val="clear" w:color="auto" w:fill="FDFDFF"/>
        </w:rPr>
        <w:t>reduce</w:t>
      </w:r>
      <w:r w:rsidR="002C5025">
        <w:rPr>
          <w:rFonts w:ascii="Times New Roman" w:hAnsi="Times New Roman" w:cs="Times New Roman"/>
          <w:spacing w:val="-6"/>
          <w:sz w:val="24"/>
          <w:szCs w:val="24"/>
          <w:shd w:val="clear" w:color="auto" w:fill="FDFDFF"/>
        </w:rPr>
        <w:t xml:space="preserve"> </w:t>
      </w:r>
      <w:r w:rsidR="002C5025">
        <w:rPr>
          <w:rFonts w:ascii="Times New Roman" w:hAnsi="Times New Roman" w:cs="Times New Roman"/>
          <w:sz w:val="24"/>
          <w:szCs w:val="24"/>
          <w:shd w:val="clear" w:color="auto" w:fill="FDFDFF"/>
        </w:rPr>
        <w:t>waste</w:t>
      </w:r>
      <w:r w:rsidR="002C5025">
        <w:rPr>
          <w:rFonts w:ascii="Times New Roman" w:hAnsi="Times New Roman" w:cs="Times New Roman"/>
          <w:spacing w:val="-6"/>
          <w:sz w:val="24"/>
          <w:szCs w:val="24"/>
          <w:shd w:val="clear" w:color="auto" w:fill="FDFDFF"/>
        </w:rPr>
        <w:t xml:space="preserve"> </w:t>
      </w:r>
      <w:r w:rsidR="002C5025">
        <w:rPr>
          <w:rFonts w:ascii="Times New Roman" w:hAnsi="Times New Roman" w:cs="Times New Roman"/>
          <w:sz w:val="24"/>
          <w:szCs w:val="24"/>
          <w:shd w:val="clear" w:color="auto" w:fill="FDFDFF"/>
        </w:rPr>
        <w:t>and</w:t>
      </w:r>
      <w:r w:rsidR="002C5025">
        <w:rPr>
          <w:rFonts w:ascii="Times New Roman" w:hAnsi="Times New Roman" w:cs="Times New Roman"/>
          <w:spacing w:val="-7"/>
          <w:sz w:val="24"/>
          <w:szCs w:val="24"/>
          <w:shd w:val="clear" w:color="auto" w:fill="FDFDFF"/>
        </w:rPr>
        <w:t xml:space="preserve"> </w:t>
      </w:r>
      <w:r w:rsidR="002C5025">
        <w:rPr>
          <w:rFonts w:ascii="Times New Roman" w:hAnsi="Times New Roman" w:cs="Times New Roman"/>
          <w:sz w:val="24"/>
          <w:szCs w:val="24"/>
          <w:shd w:val="clear" w:color="auto" w:fill="FDFDFF"/>
        </w:rPr>
        <w:t>improve</w:t>
      </w:r>
      <w:r w:rsidR="002C5025">
        <w:rPr>
          <w:rFonts w:ascii="Times New Roman" w:hAnsi="Times New Roman" w:cs="Times New Roman"/>
          <w:sz w:val="24"/>
          <w:szCs w:val="24"/>
          <w:shd w:val="clear" w:color="auto" w:fill="FDFDFF"/>
        </w:rPr>
        <w:tab/>
      </w:r>
      <w:r w:rsidR="002C5025">
        <w:rPr>
          <w:rFonts w:ascii="Times New Roman" w:hAnsi="Times New Roman" w:cs="Times New Roman"/>
          <w:sz w:val="24"/>
          <w:szCs w:val="24"/>
        </w:rPr>
        <w:t xml:space="preserve"> </w:t>
      </w:r>
      <w:r w:rsidR="002C5025">
        <w:rPr>
          <w:rFonts w:ascii="Times New Roman" w:hAnsi="Times New Roman" w:cs="Times New Roman"/>
          <w:sz w:val="24"/>
          <w:szCs w:val="24"/>
          <w:shd w:val="clear" w:color="auto" w:fill="FDFDFF"/>
        </w:rPr>
        <w:t>health</w:t>
      </w:r>
      <w:r w:rsidR="002C5025">
        <w:rPr>
          <w:rFonts w:ascii="Times New Roman" w:hAnsi="Times New Roman" w:cs="Times New Roman"/>
          <w:spacing w:val="-7"/>
          <w:sz w:val="24"/>
          <w:szCs w:val="24"/>
          <w:shd w:val="clear" w:color="auto" w:fill="FDFDFF"/>
        </w:rPr>
        <w:t xml:space="preserve"> </w:t>
      </w:r>
      <w:r w:rsidR="002C5025">
        <w:rPr>
          <w:rFonts w:ascii="Times New Roman" w:hAnsi="Times New Roman" w:cs="Times New Roman"/>
          <w:sz w:val="24"/>
          <w:szCs w:val="24"/>
          <w:shd w:val="clear" w:color="auto" w:fill="FDFDFF"/>
        </w:rPr>
        <w:t>outcomes</w:t>
      </w:r>
      <w:r w:rsidR="002C5025">
        <w:rPr>
          <w:rFonts w:ascii="Times New Roman" w:hAnsi="Times New Roman" w:cs="Times New Roman"/>
          <w:spacing w:val="-7"/>
          <w:sz w:val="24"/>
          <w:szCs w:val="24"/>
          <w:shd w:val="clear" w:color="auto" w:fill="FDFDFF"/>
        </w:rPr>
        <w:t xml:space="preserve"> </w:t>
      </w:r>
      <w:r w:rsidR="002C5025">
        <w:rPr>
          <w:rFonts w:ascii="Times New Roman" w:hAnsi="Times New Roman" w:cs="Times New Roman"/>
          <w:sz w:val="24"/>
          <w:szCs w:val="24"/>
          <w:shd w:val="clear" w:color="auto" w:fill="FDFDFF"/>
        </w:rPr>
        <w:t>for</w:t>
      </w:r>
      <w:r w:rsidR="002C5025">
        <w:rPr>
          <w:rFonts w:ascii="Times New Roman" w:hAnsi="Times New Roman" w:cs="Times New Roman"/>
          <w:spacing w:val="-8"/>
          <w:sz w:val="24"/>
          <w:szCs w:val="24"/>
          <w:shd w:val="clear" w:color="auto" w:fill="FDFDFF"/>
        </w:rPr>
        <w:t xml:space="preserve"> </w:t>
      </w:r>
      <w:r w:rsidR="002C5025">
        <w:rPr>
          <w:rFonts w:ascii="Times New Roman" w:hAnsi="Times New Roman" w:cs="Times New Roman"/>
          <w:sz w:val="24"/>
          <w:szCs w:val="24"/>
          <w:shd w:val="clear" w:color="auto" w:fill="FDFDFF"/>
        </w:rPr>
        <w:t>both</w:t>
      </w:r>
      <w:r w:rsidR="002C5025">
        <w:rPr>
          <w:rFonts w:ascii="Times New Roman" w:hAnsi="Times New Roman" w:cs="Times New Roman"/>
          <w:spacing w:val="-5"/>
          <w:sz w:val="24"/>
          <w:szCs w:val="24"/>
          <w:shd w:val="clear" w:color="auto" w:fill="FDFDFF"/>
        </w:rPr>
        <w:t xml:space="preserve"> </w:t>
      </w:r>
      <w:r w:rsidR="002C5025">
        <w:rPr>
          <w:rFonts w:ascii="Times New Roman" w:hAnsi="Times New Roman" w:cs="Times New Roman"/>
          <w:sz w:val="24"/>
          <w:szCs w:val="24"/>
          <w:shd w:val="clear" w:color="auto" w:fill="FDFDFF"/>
        </w:rPr>
        <w:t>the</w:t>
      </w:r>
      <w:r w:rsidR="002C5025">
        <w:rPr>
          <w:rFonts w:ascii="Times New Roman" w:hAnsi="Times New Roman" w:cs="Times New Roman"/>
          <w:spacing w:val="-8"/>
          <w:sz w:val="24"/>
          <w:szCs w:val="24"/>
          <w:shd w:val="clear" w:color="auto" w:fill="FDFDFF"/>
        </w:rPr>
        <w:t xml:space="preserve"> </w:t>
      </w:r>
      <w:r w:rsidR="002C5025">
        <w:rPr>
          <w:rFonts w:ascii="Times New Roman" w:hAnsi="Times New Roman" w:cs="Times New Roman"/>
          <w:sz w:val="24"/>
          <w:szCs w:val="24"/>
          <w:shd w:val="clear" w:color="auto" w:fill="FDFDFF"/>
        </w:rPr>
        <w:t>sickest</w:t>
      </w:r>
      <w:r w:rsidR="002C5025">
        <w:rPr>
          <w:rFonts w:ascii="Times New Roman" w:hAnsi="Times New Roman" w:cs="Times New Roman"/>
          <w:spacing w:val="-7"/>
          <w:sz w:val="24"/>
          <w:szCs w:val="24"/>
          <w:shd w:val="clear" w:color="auto" w:fill="FDFDFF"/>
        </w:rPr>
        <w:t xml:space="preserve"> </w:t>
      </w:r>
      <w:r w:rsidR="002C5025">
        <w:rPr>
          <w:rFonts w:ascii="Times New Roman" w:hAnsi="Times New Roman" w:cs="Times New Roman"/>
          <w:sz w:val="24"/>
          <w:szCs w:val="24"/>
          <w:shd w:val="clear" w:color="auto" w:fill="FDFDFF"/>
        </w:rPr>
        <w:t>patients</w:t>
      </w:r>
      <w:r w:rsidR="002C5025">
        <w:rPr>
          <w:rFonts w:ascii="Times New Roman" w:hAnsi="Times New Roman" w:cs="Times New Roman"/>
          <w:spacing w:val="-7"/>
          <w:sz w:val="24"/>
          <w:szCs w:val="24"/>
          <w:shd w:val="clear" w:color="auto" w:fill="FDFDFF"/>
        </w:rPr>
        <w:t xml:space="preserve"> </w:t>
      </w:r>
      <w:r w:rsidR="002C5025">
        <w:rPr>
          <w:rFonts w:ascii="Times New Roman" w:hAnsi="Times New Roman" w:cs="Times New Roman"/>
          <w:sz w:val="24"/>
          <w:szCs w:val="24"/>
          <w:shd w:val="clear" w:color="auto" w:fill="FDFDFF"/>
        </w:rPr>
        <w:t>as</w:t>
      </w:r>
      <w:r w:rsidR="002C5025">
        <w:rPr>
          <w:rFonts w:ascii="Times New Roman" w:hAnsi="Times New Roman" w:cs="Times New Roman"/>
          <w:spacing w:val="-5"/>
          <w:sz w:val="24"/>
          <w:szCs w:val="24"/>
          <w:shd w:val="clear" w:color="auto" w:fill="FDFDFF"/>
        </w:rPr>
        <w:t xml:space="preserve"> </w:t>
      </w:r>
      <w:r w:rsidR="002C5025">
        <w:rPr>
          <w:rFonts w:ascii="Times New Roman" w:hAnsi="Times New Roman" w:cs="Times New Roman"/>
          <w:sz w:val="24"/>
          <w:szCs w:val="24"/>
          <w:shd w:val="clear" w:color="auto" w:fill="FDFDFF"/>
        </w:rPr>
        <w:t>well</w:t>
      </w:r>
      <w:r w:rsidR="002C5025">
        <w:rPr>
          <w:rFonts w:ascii="Times New Roman" w:hAnsi="Times New Roman" w:cs="Times New Roman"/>
          <w:spacing w:val="-7"/>
          <w:sz w:val="24"/>
          <w:szCs w:val="24"/>
          <w:shd w:val="clear" w:color="auto" w:fill="FDFDFF"/>
        </w:rPr>
        <w:t xml:space="preserve"> </w:t>
      </w:r>
      <w:r w:rsidR="002C5025">
        <w:rPr>
          <w:rFonts w:ascii="Times New Roman" w:hAnsi="Times New Roman" w:cs="Times New Roman"/>
          <w:sz w:val="24"/>
          <w:szCs w:val="24"/>
          <w:shd w:val="clear" w:color="auto" w:fill="FDFDFF"/>
        </w:rPr>
        <w:t>as</w:t>
      </w:r>
      <w:r w:rsidR="002C5025">
        <w:rPr>
          <w:rFonts w:ascii="Times New Roman" w:hAnsi="Times New Roman" w:cs="Times New Roman"/>
          <w:spacing w:val="-7"/>
          <w:sz w:val="24"/>
          <w:szCs w:val="24"/>
          <w:shd w:val="clear" w:color="auto" w:fill="FDFDFF"/>
        </w:rPr>
        <w:t xml:space="preserve"> </w:t>
      </w:r>
      <w:r w:rsidR="002C5025">
        <w:rPr>
          <w:rFonts w:ascii="Times New Roman" w:hAnsi="Times New Roman" w:cs="Times New Roman"/>
          <w:sz w:val="24"/>
          <w:szCs w:val="24"/>
          <w:shd w:val="clear" w:color="auto" w:fill="FDFDFF"/>
        </w:rPr>
        <w:t>maintain</w:t>
      </w:r>
      <w:r w:rsidR="002C5025">
        <w:rPr>
          <w:rFonts w:ascii="Times New Roman" w:hAnsi="Times New Roman" w:cs="Times New Roman"/>
          <w:spacing w:val="-7"/>
          <w:sz w:val="24"/>
          <w:szCs w:val="24"/>
          <w:shd w:val="clear" w:color="auto" w:fill="FDFDFF"/>
        </w:rPr>
        <w:t xml:space="preserve"> </w:t>
      </w:r>
      <w:r w:rsidR="002C5025">
        <w:rPr>
          <w:rFonts w:ascii="Times New Roman" w:hAnsi="Times New Roman" w:cs="Times New Roman"/>
          <w:sz w:val="24"/>
          <w:szCs w:val="24"/>
          <w:shd w:val="clear" w:color="auto" w:fill="FDFDFF"/>
        </w:rPr>
        <w:t>wellness</w:t>
      </w:r>
      <w:r w:rsidR="002C5025">
        <w:rPr>
          <w:rFonts w:ascii="Times New Roman" w:hAnsi="Times New Roman" w:cs="Times New Roman"/>
          <w:spacing w:val="-7"/>
          <w:sz w:val="24"/>
          <w:szCs w:val="24"/>
          <w:shd w:val="clear" w:color="auto" w:fill="FDFDFF"/>
        </w:rPr>
        <w:t xml:space="preserve"> </w:t>
      </w:r>
      <w:r w:rsidR="002C5025">
        <w:rPr>
          <w:rFonts w:ascii="Times New Roman" w:hAnsi="Times New Roman" w:cs="Times New Roman"/>
          <w:sz w:val="24"/>
          <w:szCs w:val="24"/>
          <w:shd w:val="clear" w:color="auto" w:fill="FDFDFF"/>
        </w:rPr>
        <w:t>in</w:t>
      </w:r>
      <w:r w:rsidR="002C5025">
        <w:rPr>
          <w:rFonts w:ascii="Times New Roman" w:hAnsi="Times New Roman" w:cs="Times New Roman"/>
          <w:spacing w:val="-5"/>
          <w:sz w:val="24"/>
          <w:szCs w:val="24"/>
          <w:shd w:val="clear" w:color="auto" w:fill="FDFDFF"/>
        </w:rPr>
        <w:t xml:space="preserve"> </w:t>
      </w:r>
      <w:r w:rsidR="002C5025">
        <w:rPr>
          <w:rFonts w:ascii="Times New Roman" w:hAnsi="Times New Roman" w:cs="Times New Roman"/>
          <w:sz w:val="24"/>
          <w:szCs w:val="24"/>
          <w:shd w:val="clear" w:color="auto" w:fill="FDFDFF"/>
        </w:rPr>
        <w:t>the</w:t>
      </w:r>
      <w:r w:rsidR="002C5025">
        <w:rPr>
          <w:rFonts w:ascii="Times New Roman" w:hAnsi="Times New Roman" w:cs="Times New Roman"/>
          <w:spacing w:val="-6"/>
          <w:sz w:val="24"/>
          <w:szCs w:val="24"/>
          <w:shd w:val="clear" w:color="auto" w:fill="FDFDFF"/>
        </w:rPr>
        <w:t xml:space="preserve"> </w:t>
      </w:r>
      <w:r w:rsidR="002C5025">
        <w:rPr>
          <w:rFonts w:ascii="Times New Roman" w:hAnsi="Times New Roman" w:cs="Times New Roman"/>
          <w:sz w:val="24"/>
          <w:szCs w:val="24"/>
          <w:shd w:val="clear" w:color="auto" w:fill="FDFDFF"/>
        </w:rPr>
        <w:t>general</w:t>
      </w:r>
      <w:r w:rsidR="002C5025">
        <w:rPr>
          <w:rFonts w:ascii="Times New Roman" w:hAnsi="Times New Roman" w:cs="Times New Roman"/>
          <w:spacing w:val="-7"/>
          <w:sz w:val="24"/>
          <w:szCs w:val="24"/>
          <w:shd w:val="clear" w:color="auto" w:fill="FDFDFF"/>
        </w:rPr>
        <w:t xml:space="preserve"> </w:t>
      </w:r>
      <w:r w:rsidR="002C5025">
        <w:rPr>
          <w:rFonts w:ascii="Times New Roman" w:hAnsi="Times New Roman" w:cs="Times New Roman"/>
          <w:sz w:val="24"/>
          <w:szCs w:val="24"/>
          <w:shd w:val="clear" w:color="auto" w:fill="FDFDFF"/>
        </w:rPr>
        <w:t>population.</w:t>
      </w:r>
      <w:r w:rsidR="002C5025">
        <w:rPr>
          <w:rFonts w:ascii="Times New Roman" w:hAnsi="Times New Roman" w:cs="Times New Roman"/>
          <w:spacing w:val="-5"/>
          <w:sz w:val="24"/>
          <w:szCs w:val="24"/>
          <w:shd w:val="clear" w:color="auto" w:fill="FDFDFF"/>
        </w:rPr>
        <w:t xml:space="preserve"> </w:t>
      </w:r>
      <w:r w:rsidR="002C5025">
        <w:rPr>
          <w:rFonts w:ascii="Times New Roman" w:hAnsi="Times New Roman" w:cs="Times New Roman"/>
          <w:sz w:val="24"/>
          <w:szCs w:val="24"/>
          <w:shd w:val="clear" w:color="auto" w:fill="FDFDFF"/>
        </w:rPr>
        <w:t>One</w:t>
      </w:r>
      <w:r w:rsidR="002C5025">
        <w:rPr>
          <w:rFonts w:ascii="Times New Roman" w:hAnsi="Times New Roman" w:cs="Times New Roman"/>
          <w:sz w:val="24"/>
          <w:szCs w:val="24"/>
          <w:shd w:val="clear" w:color="auto" w:fill="FDFDFF"/>
        </w:rPr>
        <w:tab/>
      </w:r>
      <w:r w:rsidR="002C5025">
        <w:rPr>
          <w:rFonts w:ascii="Times New Roman" w:hAnsi="Times New Roman" w:cs="Times New Roman"/>
          <w:w w:val="113"/>
          <w:sz w:val="24"/>
          <w:szCs w:val="24"/>
          <w:shd w:val="clear" w:color="auto" w:fill="FDFDFF"/>
        </w:rPr>
        <w:t xml:space="preserve"> </w:t>
      </w:r>
      <w:r w:rsidR="002C5025">
        <w:rPr>
          <w:rFonts w:ascii="Times New Roman" w:hAnsi="Times New Roman" w:cs="Times New Roman"/>
          <w:sz w:val="24"/>
          <w:szCs w:val="24"/>
        </w:rPr>
        <w:t xml:space="preserve"> </w:t>
      </w:r>
      <w:r w:rsidR="002C5025">
        <w:rPr>
          <w:rFonts w:ascii="Times New Roman" w:hAnsi="Times New Roman" w:cs="Times New Roman"/>
          <w:sz w:val="24"/>
          <w:szCs w:val="24"/>
          <w:shd w:val="clear" w:color="auto" w:fill="FDFDFF"/>
        </w:rPr>
        <w:t>aspect</w:t>
      </w:r>
      <w:r w:rsidR="002C5025">
        <w:rPr>
          <w:rFonts w:ascii="Times New Roman" w:hAnsi="Times New Roman" w:cs="Times New Roman"/>
          <w:spacing w:val="-6"/>
          <w:sz w:val="24"/>
          <w:szCs w:val="24"/>
          <w:shd w:val="clear" w:color="auto" w:fill="FDFDFF"/>
        </w:rPr>
        <w:t xml:space="preserve"> </w:t>
      </w:r>
      <w:r w:rsidR="002C5025">
        <w:rPr>
          <w:rFonts w:ascii="Times New Roman" w:hAnsi="Times New Roman" w:cs="Times New Roman"/>
          <w:sz w:val="24"/>
          <w:szCs w:val="24"/>
          <w:shd w:val="clear" w:color="auto" w:fill="FDFDFF"/>
        </w:rPr>
        <w:t>of</w:t>
      </w:r>
      <w:r w:rsidR="002C5025">
        <w:rPr>
          <w:rFonts w:ascii="Times New Roman" w:hAnsi="Times New Roman" w:cs="Times New Roman"/>
          <w:spacing w:val="-7"/>
          <w:sz w:val="24"/>
          <w:szCs w:val="24"/>
          <w:shd w:val="clear" w:color="auto" w:fill="FDFDFF"/>
        </w:rPr>
        <w:t xml:space="preserve"> </w:t>
      </w:r>
      <w:r w:rsidR="002C5025">
        <w:rPr>
          <w:rFonts w:ascii="Times New Roman" w:hAnsi="Times New Roman" w:cs="Times New Roman"/>
          <w:sz w:val="24"/>
          <w:szCs w:val="24"/>
          <w:shd w:val="clear" w:color="auto" w:fill="FDFDFF"/>
        </w:rPr>
        <w:t>value-based</w:t>
      </w:r>
      <w:r w:rsidR="002C5025">
        <w:rPr>
          <w:rFonts w:ascii="Times New Roman" w:hAnsi="Times New Roman" w:cs="Times New Roman"/>
          <w:spacing w:val="-5"/>
          <w:sz w:val="24"/>
          <w:szCs w:val="24"/>
          <w:shd w:val="clear" w:color="auto" w:fill="FDFDFF"/>
        </w:rPr>
        <w:t xml:space="preserve"> </w:t>
      </w:r>
      <w:r w:rsidR="002C5025">
        <w:rPr>
          <w:rFonts w:ascii="Times New Roman" w:hAnsi="Times New Roman" w:cs="Times New Roman"/>
          <w:sz w:val="24"/>
          <w:szCs w:val="24"/>
          <w:shd w:val="clear" w:color="auto" w:fill="FDFDFF"/>
        </w:rPr>
        <w:t>payment</w:t>
      </w:r>
      <w:r w:rsidR="002C5025">
        <w:rPr>
          <w:rFonts w:ascii="Times New Roman" w:hAnsi="Times New Roman" w:cs="Times New Roman"/>
          <w:spacing w:val="-6"/>
          <w:sz w:val="24"/>
          <w:szCs w:val="24"/>
          <w:shd w:val="clear" w:color="auto" w:fill="FDFDFF"/>
        </w:rPr>
        <w:t xml:space="preserve"> </w:t>
      </w:r>
      <w:r w:rsidR="002C5025">
        <w:rPr>
          <w:rFonts w:ascii="Times New Roman" w:hAnsi="Times New Roman" w:cs="Times New Roman"/>
          <w:sz w:val="24"/>
          <w:szCs w:val="24"/>
          <w:shd w:val="clear" w:color="auto" w:fill="FDFDFF"/>
        </w:rPr>
        <w:t>is</w:t>
      </w:r>
      <w:r w:rsidR="002C5025">
        <w:rPr>
          <w:rFonts w:ascii="Times New Roman" w:hAnsi="Times New Roman" w:cs="Times New Roman"/>
          <w:spacing w:val="-6"/>
          <w:sz w:val="24"/>
          <w:szCs w:val="24"/>
          <w:shd w:val="clear" w:color="auto" w:fill="FDFDFF"/>
        </w:rPr>
        <w:t xml:space="preserve"> </w:t>
      </w:r>
      <w:r w:rsidR="002C5025">
        <w:rPr>
          <w:rFonts w:ascii="Times New Roman" w:hAnsi="Times New Roman" w:cs="Times New Roman"/>
          <w:sz w:val="24"/>
          <w:szCs w:val="24"/>
          <w:shd w:val="clear" w:color="auto" w:fill="FDFDFF"/>
        </w:rPr>
        <w:t>that</w:t>
      </w:r>
      <w:r w:rsidR="002C5025">
        <w:rPr>
          <w:rFonts w:ascii="Times New Roman" w:hAnsi="Times New Roman" w:cs="Times New Roman"/>
          <w:spacing w:val="-6"/>
          <w:sz w:val="24"/>
          <w:szCs w:val="24"/>
          <w:shd w:val="clear" w:color="auto" w:fill="FDFDFF"/>
        </w:rPr>
        <w:t xml:space="preserve"> </w:t>
      </w:r>
      <w:r w:rsidR="002C5025">
        <w:rPr>
          <w:rFonts w:ascii="Times New Roman" w:hAnsi="Times New Roman" w:cs="Times New Roman"/>
          <w:sz w:val="24"/>
          <w:szCs w:val="24"/>
          <w:shd w:val="clear" w:color="auto" w:fill="FDFDFF"/>
        </w:rPr>
        <w:t>rather</w:t>
      </w:r>
      <w:r w:rsidR="002C5025">
        <w:rPr>
          <w:rFonts w:ascii="Times New Roman" w:hAnsi="Times New Roman" w:cs="Times New Roman"/>
          <w:spacing w:val="-7"/>
          <w:sz w:val="24"/>
          <w:szCs w:val="24"/>
          <w:shd w:val="clear" w:color="auto" w:fill="FDFDFF"/>
        </w:rPr>
        <w:t xml:space="preserve"> </w:t>
      </w:r>
      <w:r w:rsidR="002C5025">
        <w:rPr>
          <w:rFonts w:ascii="Times New Roman" w:hAnsi="Times New Roman" w:cs="Times New Roman"/>
          <w:sz w:val="24"/>
          <w:szCs w:val="24"/>
          <w:shd w:val="clear" w:color="auto" w:fill="FDFDFF"/>
        </w:rPr>
        <w:t>than</w:t>
      </w:r>
      <w:r w:rsidR="002C5025">
        <w:rPr>
          <w:rFonts w:ascii="Times New Roman" w:hAnsi="Times New Roman" w:cs="Times New Roman"/>
          <w:spacing w:val="-2"/>
          <w:sz w:val="24"/>
          <w:szCs w:val="24"/>
          <w:shd w:val="clear" w:color="auto" w:fill="FDFDFF"/>
        </w:rPr>
        <w:t xml:space="preserve"> </w:t>
      </w:r>
      <w:r w:rsidR="002C5025">
        <w:rPr>
          <w:rFonts w:ascii="Times New Roman" w:hAnsi="Times New Roman" w:cs="Times New Roman"/>
          <w:sz w:val="24"/>
          <w:szCs w:val="24"/>
          <w:shd w:val="clear" w:color="auto" w:fill="FDFDFF"/>
        </w:rPr>
        <w:t>paying</w:t>
      </w:r>
      <w:r w:rsidR="002C5025">
        <w:rPr>
          <w:rFonts w:ascii="Times New Roman" w:hAnsi="Times New Roman" w:cs="Times New Roman"/>
          <w:spacing w:val="-6"/>
          <w:sz w:val="24"/>
          <w:szCs w:val="24"/>
          <w:shd w:val="clear" w:color="auto" w:fill="FDFDFF"/>
        </w:rPr>
        <w:t xml:space="preserve"> </w:t>
      </w:r>
      <w:r w:rsidR="002C5025">
        <w:rPr>
          <w:rFonts w:ascii="Times New Roman" w:hAnsi="Times New Roman" w:cs="Times New Roman"/>
          <w:sz w:val="24"/>
          <w:szCs w:val="24"/>
          <w:shd w:val="clear" w:color="auto" w:fill="FDFDFF"/>
        </w:rPr>
        <w:t>per</w:t>
      </w:r>
      <w:r w:rsidR="002C5025">
        <w:rPr>
          <w:rFonts w:ascii="Times New Roman" w:hAnsi="Times New Roman" w:cs="Times New Roman"/>
          <w:spacing w:val="-5"/>
          <w:sz w:val="24"/>
          <w:szCs w:val="24"/>
          <w:shd w:val="clear" w:color="auto" w:fill="FDFDFF"/>
        </w:rPr>
        <w:t xml:space="preserve"> </w:t>
      </w:r>
      <w:r w:rsidR="002C5025">
        <w:rPr>
          <w:rFonts w:ascii="Times New Roman" w:hAnsi="Times New Roman" w:cs="Times New Roman"/>
          <w:sz w:val="24"/>
          <w:szCs w:val="24"/>
          <w:shd w:val="clear" w:color="auto" w:fill="FDFDFF"/>
        </w:rPr>
        <w:t>service</w:t>
      </w:r>
      <w:r w:rsidR="002C5025">
        <w:rPr>
          <w:rFonts w:ascii="Times New Roman" w:hAnsi="Times New Roman" w:cs="Times New Roman"/>
          <w:spacing w:val="-7"/>
          <w:sz w:val="24"/>
          <w:szCs w:val="24"/>
          <w:shd w:val="clear" w:color="auto" w:fill="FDFDFF"/>
        </w:rPr>
        <w:t xml:space="preserve"> </w:t>
      </w:r>
      <w:r w:rsidR="002C5025">
        <w:rPr>
          <w:rFonts w:ascii="Times New Roman" w:hAnsi="Times New Roman" w:cs="Times New Roman"/>
          <w:sz w:val="24"/>
          <w:szCs w:val="24"/>
          <w:shd w:val="clear" w:color="auto" w:fill="FDFDFF"/>
        </w:rPr>
        <w:t>–</w:t>
      </w:r>
      <w:r w:rsidR="002C5025">
        <w:rPr>
          <w:rFonts w:ascii="Times New Roman" w:hAnsi="Times New Roman" w:cs="Times New Roman"/>
          <w:spacing w:val="-5"/>
          <w:sz w:val="24"/>
          <w:szCs w:val="24"/>
          <w:shd w:val="clear" w:color="auto" w:fill="FDFDFF"/>
        </w:rPr>
        <w:t xml:space="preserve"> </w:t>
      </w:r>
      <w:r w:rsidR="002C5025">
        <w:rPr>
          <w:rFonts w:ascii="Times New Roman" w:hAnsi="Times New Roman" w:cs="Times New Roman"/>
          <w:sz w:val="24"/>
          <w:szCs w:val="24"/>
          <w:shd w:val="clear" w:color="auto" w:fill="FDFDFF"/>
        </w:rPr>
        <w:t>where</w:t>
      </w:r>
      <w:r w:rsidR="002C5025">
        <w:rPr>
          <w:rFonts w:ascii="Times New Roman" w:hAnsi="Times New Roman" w:cs="Times New Roman"/>
          <w:spacing w:val="-7"/>
          <w:sz w:val="24"/>
          <w:szCs w:val="24"/>
          <w:shd w:val="clear" w:color="auto" w:fill="FDFDFF"/>
        </w:rPr>
        <w:t xml:space="preserve"> </w:t>
      </w:r>
      <w:r w:rsidR="002C5025">
        <w:rPr>
          <w:rFonts w:ascii="Times New Roman" w:hAnsi="Times New Roman" w:cs="Times New Roman"/>
          <w:sz w:val="24"/>
          <w:szCs w:val="24"/>
          <w:shd w:val="clear" w:color="auto" w:fill="FDFDFF"/>
        </w:rPr>
        <w:t>then</w:t>
      </w:r>
      <w:r w:rsidR="002C5025">
        <w:rPr>
          <w:rFonts w:ascii="Times New Roman" w:hAnsi="Times New Roman" w:cs="Times New Roman"/>
          <w:spacing w:val="-5"/>
          <w:sz w:val="24"/>
          <w:szCs w:val="24"/>
          <w:shd w:val="clear" w:color="auto" w:fill="FDFDFF"/>
        </w:rPr>
        <w:t xml:space="preserve"> </w:t>
      </w:r>
      <w:r w:rsidR="002C5025">
        <w:rPr>
          <w:rFonts w:ascii="Times New Roman" w:hAnsi="Times New Roman" w:cs="Times New Roman"/>
          <w:sz w:val="24"/>
          <w:szCs w:val="24"/>
          <w:shd w:val="clear" w:color="auto" w:fill="FDFDFF"/>
        </w:rPr>
        <w:t>the</w:t>
      </w:r>
      <w:r w:rsidR="002C5025">
        <w:rPr>
          <w:rFonts w:ascii="Times New Roman" w:hAnsi="Times New Roman" w:cs="Times New Roman"/>
          <w:spacing w:val="-5"/>
          <w:sz w:val="24"/>
          <w:szCs w:val="24"/>
          <w:shd w:val="clear" w:color="auto" w:fill="FDFDFF"/>
        </w:rPr>
        <w:t xml:space="preserve"> </w:t>
      </w:r>
      <w:r w:rsidR="002C5025">
        <w:rPr>
          <w:rFonts w:ascii="Times New Roman" w:hAnsi="Times New Roman" w:cs="Times New Roman"/>
          <w:sz w:val="24"/>
          <w:szCs w:val="24"/>
          <w:shd w:val="clear" w:color="auto" w:fill="FDFDFF"/>
        </w:rPr>
        <w:t>gate-keeping</w:t>
      </w:r>
      <w:r w:rsidR="002C5025">
        <w:rPr>
          <w:rFonts w:ascii="Times New Roman" w:hAnsi="Times New Roman" w:cs="Times New Roman"/>
          <w:spacing w:val="-6"/>
          <w:sz w:val="24"/>
          <w:szCs w:val="24"/>
          <w:shd w:val="clear" w:color="auto" w:fill="FDFDFF"/>
        </w:rPr>
        <w:t xml:space="preserve"> </w:t>
      </w:r>
      <w:r w:rsidR="002C5025">
        <w:rPr>
          <w:rFonts w:ascii="Times New Roman" w:hAnsi="Times New Roman" w:cs="Times New Roman"/>
          <w:sz w:val="24"/>
          <w:szCs w:val="24"/>
          <w:shd w:val="clear" w:color="auto" w:fill="FDFDFF"/>
        </w:rPr>
        <w:t>of</w:t>
      </w:r>
      <w:r w:rsidR="002C5025">
        <w:rPr>
          <w:rFonts w:ascii="Times New Roman" w:hAnsi="Times New Roman" w:cs="Times New Roman"/>
          <w:spacing w:val="-7"/>
          <w:sz w:val="24"/>
          <w:szCs w:val="24"/>
          <w:shd w:val="clear" w:color="auto" w:fill="FDFDFF"/>
        </w:rPr>
        <w:t xml:space="preserve"> </w:t>
      </w:r>
      <w:r w:rsidR="002C5025">
        <w:rPr>
          <w:rFonts w:ascii="Times New Roman" w:hAnsi="Times New Roman" w:cs="Times New Roman"/>
          <w:sz w:val="24"/>
          <w:szCs w:val="24"/>
          <w:shd w:val="clear" w:color="auto" w:fill="FDFDFF"/>
        </w:rPr>
        <w:t>cos</w:t>
      </w:r>
      <w:r w:rsidR="002C5025">
        <w:rPr>
          <w:rFonts w:ascii="Times New Roman" w:hAnsi="Times New Roman" w:cs="Times New Roman"/>
          <w:w w:val="111"/>
          <w:sz w:val="24"/>
          <w:szCs w:val="24"/>
          <w:shd w:val="clear" w:color="auto" w:fill="FDFDFF"/>
        </w:rPr>
        <w:t xml:space="preserve"> </w:t>
      </w:r>
      <w:r w:rsidR="002C5025">
        <w:rPr>
          <w:rFonts w:ascii="Times New Roman" w:hAnsi="Times New Roman" w:cs="Times New Roman"/>
          <w:sz w:val="24"/>
          <w:szCs w:val="24"/>
        </w:rPr>
        <w:t xml:space="preserve"> and quality on the payer side -- the responsibility for appropriate and cost-effective care is shifted to the </w:t>
      </w:r>
      <w:r w:rsidR="002C5025">
        <w:rPr>
          <w:rFonts w:ascii="Times New Roman" w:hAnsi="Times New Roman" w:cs="Times New Roman"/>
          <w:sz w:val="24"/>
          <w:szCs w:val="24"/>
          <w:shd w:val="clear" w:color="auto" w:fill="FDFDFF"/>
        </w:rPr>
        <w:t xml:space="preserve">provider side where “outcomes” based on quality metrics are used to determine payment. Current status </w:t>
      </w:r>
      <w:proofErr w:type="spellStart"/>
      <w:r w:rsidR="002C5025">
        <w:rPr>
          <w:rFonts w:ascii="Times New Roman" w:hAnsi="Times New Roman" w:cs="Times New Roman"/>
          <w:sz w:val="24"/>
          <w:szCs w:val="24"/>
          <w:shd w:val="clear" w:color="auto" w:fill="FDFDFF"/>
        </w:rPr>
        <w:t>o</w:t>
      </w:r>
      <w:proofErr w:type="spellEnd"/>
      <w:r w:rsidR="002C5025">
        <w:rPr>
          <w:rFonts w:ascii="Times New Roman" w:hAnsi="Times New Roman" w:cs="Times New Roman"/>
          <w:sz w:val="24"/>
          <w:szCs w:val="24"/>
          <w:shd w:val="clear" w:color="auto" w:fill="FDFDFF"/>
        </w:rPr>
        <w:t xml:space="preserve"> administrative</w:t>
      </w:r>
      <w:r w:rsidR="002C5025">
        <w:rPr>
          <w:rFonts w:ascii="Times New Roman" w:hAnsi="Times New Roman" w:cs="Times New Roman"/>
          <w:spacing w:val="-7"/>
          <w:sz w:val="24"/>
          <w:szCs w:val="24"/>
          <w:shd w:val="clear" w:color="auto" w:fill="FDFDFF"/>
        </w:rPr>
        <w:t xml:space="preserve"> </w:t>
      </w:r>
      <w:r w:rsidR="002C5025">
        <w:rPr>
          <w:rFonts w:ascii="Times New Roman" w:hAnsi="Times New Roman" w:cs="Times New Roman"/>
          <w:sz w:val="24"/>
          <w:szCs w:val="24"/>
          <w:shd w:val="clear" w:color="auto" w:fill="FDFDFF"/>
        </w:rPr>
        <w:t>burden</w:t>
      </w:r>
      <w:r w:rsidR="002C5025">
        <w:rPr>
          <w:rFonts w:ascii="Times New Roman" w:hAnsi="Times New Roman" w:cs="Times New Roman"/>
          <w:spacing w:val="-6"/>
          <w:sz w:val="24"/>
          <w:szCs w:val="24"/>
          <w:shd w:val="clear" w:color="auto" w:fill="FDFDFF"/>
        </w:rPr>
        <w:t xml:space="preserve"> </w:t>
      </w:r>
      <w:r w:rsidR="002C5025">
        <w:rPr>
          <w:rFonts w:ascii="Times New Roman" w:hAnsi="Times New Roman" w:cs="Times New Roman"/>
          <w:sz w:val="24"/>
          <w:szCs w:val="24"/>
          <w:shd w:val="clear" w:color="auto" w:fill="FDFDFF"/>
        </w:rPr>
        <w:t>is</w:t>
      </w:r>
      <w:r w:rsidR="002C5025">
        <w:rPr>
          <w:rFonts w:ascii="Times New Roman" w:hAnsi="Times New Roman" w:cs="Times New Roman"/>
          <w:spacing w:val="-4"/>
          <w:sz w:val="24"/>
          <w:szCs w:val="24"/>
          <w:shd w:val="clear" w:color="auto" w:fill="FDFDFF"/>
        </w:rPr>
        <w:t xml:space="preserve"> </w:t>
      </w:r>
      <w:r w:rsidR="002C5025">
        <w:rPr>
          <w:rFonts w:ascii="Times New Roman" w:hAnsi="Times New Roman" w:cs="Times New Roman"/>
          <w:sz w:val="24"/>
          <w:szCs w:val="24"/>
          <w:shd w:val="clear" w:color="auto" w:fill="FDFDFF"/>
        </w:rPr>
        <w:t>contributing</w:t>
      </w:r>
      <w:r w:rsidR="002C5025">
        <w:rPr>
          <w:rFonts w:ascii="Times New Roman" w:hAnsi="Times New Roman" w:cs="Times New Roman"/>
          <w:spacing w:val="-9"/>
          <w:sz w:val="24"/>
          <w:szCs w:val="24"/>
          <w:shd w:val="clear" w:color="auto" w:fill="FDFDFF"/>
        </w:rPr>
        <w:t xml:space="preserve"> </w:t>
      </w:r>
      <w:r w:rsidR="002C5025">
        <w:rPr>
          <w:rFonts w:ascii="Times New Roman" w:hAnsi="Times New Roman" w:cs="Times New Roman"/>
          <w:sz w:val="24"/>
          <w:szCs w:val="24"/>
          <w:shd w:val="clear" w:color="auto" w:fill="FDFDFF"/>
        </w:rPr>
        <w:t>to</w:t>
      </w:r>
      <w:r w:rsidR="002C5025">
        <w:rPr>
          <w:rFonts w:ascii="Times New Roman" w:hAnsi="Times New Roman" w:cs="Times New Roman"/>
          <w:spacing w:val="-6"/>
          <w:sz w:val="24"/>
          <w:szCs w:val="24"/>
          <w:shd w:val="clear" w:color="auto" w:fill="FDFDFF"/>
        </w:rPr>
        <w:t xml:space="preserve"> </w:t>
      </w:r>
      <w:r w:rsidR="002C5025">
        <w:rPr>
          <w:rFonts w:ascii="Times New Roman" w:hAnsi="Times New Roman" w:cs="Times New Roman"/>
          <w:sz w:val="24"/>
          <w:szCs w:val="24"/>
          <w:shd w:val="clear" w:color="auto" w:fill="FDFDFF"/>
        </w:rPr>
        <w:t>waste</w:t>
      </w:r>
      <w:r w:rsidR="002C5025">
        <w:rPr>
          <w:rFonts w:ascii="Times New Roman" w:hAnsi="Times New Roman" w:cs="Times New Roman"/>
          <w:spacing w:val="-7"/>
          <w:sz w:val="24"/>
          <w:szCs w:val="24"/>
          <w:shd w:val="clear" w:color="auto" w:fill="FDFDFF"/>
        </w:rPr>
        <w:t xml:space="preserve"> </w:t>
      </w:r>
      <w:r w:rsidR="002C5025">
        <w:rPr>
          <w:rFonts w:ascii="Times New Roman" w:hAnsi="Times New Roman" w:cs="Times New Roman"/>
          <w:sz w:val="24"/>
          <w:szCs w:val="24"/>
          <w:shd w:val="clear" w:color="auto" w:fill="FDFDFF"/>
        </w:rPr>
        <w:t>of</w:t>
      </w:r>
      <w:r w:rsidR="002C5025">
        <w:rPr>
          <w:rFonts w:ascii="Times New Roman" w:hAnsi="Times New Roman" w:cs="Times New Roman"/>
          <w:spacing w:val="-5"/>
          <w:sz w:val="24"/>
          <w:szCs w:val="24"/>
          <w:shd w:val="clear" w:color="auto" w:fill="FDFDFF"/>
        </w:rPr>
        <w:t xml:space="preserve"> </w:t>
      </w:r>
      <w:r w:rsidR="002C5025">
        <w:rPr>
          <w:rFonts w:ascii="Times New Roman" w:hAnsi="Times New Roman" w:cs="Times New Roman"/>
          <w:sz w:val="24"/>
          <w:szCs w:val="24"/>
          <w:shd w:val="clear" w:color="auto" w:fill="FDFDFF"/>
        </w:rPr>
        <w:t>resources,</w:t>
      </w:r>
      <w:r w:rsidR="002C5025">
        <w:rPr>
          <w:rFonts w:ascii="Times New Roman" w:hAnsi="Times New Roman" w:cs="Times New Roman"/>
          <w:spacing w:val="-6"/>
          <w:sz w:val="24"/>
          <w:szCs w:val="24"/>
          <w:shd w:val="clear" w:color="auto" w:fill="FDFDFF"/>
        </w:rPr>
        <w:t xml:space="preserve"> </w:t>
      </w:r>
      <w:r w:rsidR="002C5025">
        <w:rPr>
          <w:rFonts w:ascii="Times New Roman" w:hAnsi="Times New Roman" w:cs="Times New Roman"/>
          <w:sz w:val="24"/>
          <w:szCs w:val="24"/>
          <w:shd w:val="clear" w:color="auto" w:fill="FDFDFF"/>
        </w:rPr>
        <w:t>barriers</w:t>
      </w:r>
      <w:r w:rsidR="002C5025">
        <w:rPr>
          <w:rFonts w:ascii="Times New Roman" w:hAnsi="Times New Roman" w:cs="Times New Roman"/>
          <w:spacing w:val="-6"/>
          <w:sz w:val="24"/>
          <w:szCs w:val="24"/>
          <w:shd w:val="clear" w:color="auto" w:fill="FDFDFF"/>
        </w:rPr>
        <w:t xml:space="preserve"> </w:t>
      </w:r>
      <w:r w:rsidR="002C5025">
        <w:rPr>
          <w:rFonts w:ascii="Times New Roman" w:hAnsi="Times New Roman" w:cs="Times New Roman"/>
          <w:sz w:val="24"/>
          <w:szCs w:val="24"/>
          <w:shd w:val="clear" w:color="auto" w:fill="FDFDFF"/>
        </w:rPr>
        <w:t>to</w:t>
      </w:r>
      <w:r w:rsidR="002C5025">
        <w:rPr>
          <w:rFonts w:ascii="Times New Roman" w:hAnsi="Times New Roman" w:cs="Times New Roman"/>
          <w:spacing w:val="-6"/>
          <w:sz w:val="24"/>
          <w:szCs w:val="24"/>
          <w:shd w:val="clear" w:color="auto" w:fill="FDFDFF"/>
        </w:rPr>
        <w:t xml:space="preserve"> </w:t>
      </w:r>
      <w:r w:rsidR="002C5025">
        <w:rPr>
          <w:rFonts w:ascii="Times New Roman" w:hAnsi="Times New Roman" w:cs="Times New Roman"/>
          <w:sz w:val="24"/>
          <w:szCs w:val="24"/>
          <w:shd w:val="clear" w:color="auto" w:fill="FDFDFF"/>
        </w:rPr>
        <w:t>care</w:t>
      </w:r>
      <w:r w:rsidR="002C5025">
        <w:rPr>
          <w:rFonts w:ascii="Times New Roman" w:hAnsi="Times New Roman" w:cs="Times New Roman"/>
          <w:spacing w:val="-7"/>
          <w:sz w:val="24"/>
          <w:szCs w:val="24"/>
          <w:shd w:val="clear" w:color="auto" w:fill="FDFDFF"/>
        </w:rPr>
        <w:t xml:space="preserve"> </w:t>
      </w:r>
      <w:r w:rsidR="002C5025">
        <w:rPr>
          <w:rFonts w:ascii="Times New Roman" w:hAnsi="Times New Roman" w:cs="Times New Roman"/>
          <w:sz w:val="24"/>
          <w:szCs w:val="24"/>
          <w:shd w:val="clear" w:color="auto" w:fill="FDFDFF"/>
        </w:rPr>
        <w:t>access,</w:t>
      </w:r>
      <w:r w:rsidR="002C5025">
        <w:rPr>
          <w:rFonts w:ascii="Times New Roman" w:hAnsi="Times New Roman" w:cs="Times New Roman"/>
          <w:spacing w:val="-6"/>
          <w:sz w:val="24"/>
          <w:szCs w:val="24"/>
          <w:shd w:val="clear" w:color="auto" w:fill="FDFDFF"/>
        </w:rPr>
        <w:t xml:space="preserve"> </w:t>
      </w:r>
      <w:r w:rsidR="002C5025">
        <w:rPr>
          <w:rFonts w:ascii="Times New Roman" w:hAnsi="Times New Roman" w:cs="Times New Roman"/>
          <w:sz w:val="24"/>
          <w:szCs w:val="24"/>
          <w:shd w:val="clear" w:color="auto" w:fill="FDFDFF"/>
        </w:rPr>
        <w:t>and</w:t>
      </w:r>
      <w:r w:rsidR="002C5025">
        <w:rPr>
          <w:rFonts w:ascii="Times New Roman" w:hAnsi="Times New Roman" w:cs="Times New Roman"/>
          <w:spacing w:val="-6"/>
          <w:sz w:val="24"/>
          <w:szCs w:val="24"/>
          <w:shd w:val="clear" w:color="auto" w:fill="FDFDFF"/>
        </w:rPr>
        <w:t xml:space="preserve"> </w:t>
      </w:r>
      <w:r w:rsidR="002C5025">
        <w:rPr>
          <w:rFonts w:ascii="Times New Roman" w:hAnsi="Times New Roman" w:cs="Times New Roman"/>
          <w:sz w:val="24"/>
          <w:szCs w:val="24"/>
          <w:shd w:val="clear" w:color="auto" w:fill="FDFDFF"/>
        </w:rPr>
        <w:t>ineffective</w:t>
      </w:r>
      <w:r w:rsidR="002C5025">
        <w:rPr>
          <w:rFonts w:ascii="Times New Roman" w:hAnsi="Times New Roman" w:cs="Times New Roman"/>
          <w:spacing w:val="-7"/>
          <w:sz w:val="24"/>
          <w:szCs w:val="24"/>
          <w:shd w:val="clear" w:color="auto" w:fill="FDFDFF"/>
        </w:rPr>
        <w:t xml:space="preserve"> </w:t>
      </w:r>
      <w:r w:rsidR="002C5025">
        <w:rPr>
          <w:rFonts w:ascii="Times New Roman" w:hAnsi="Times New Roman" w:cs="Times New Roman"/>
          <w:sz w:val="24"/>
          <w:szCs w:val="24"/>
          <w:shd w:val="clear" w:color="auto" w:fill="FDFDFF"/>
        </w:rPr>
        <w:t>use</w:t>
      </w:r>
      <w:r w:rsidR="002C5025">
        <w:rPr>
          <w:rFonts w:ascii="Times New Roman" w:hAnsi="Times New Roman" w:cs="Times New Roman"/>
          <w:spacing w:val="-7"/>
          <w:sz w:val="24"/>
          <w:szCs w:val="24"/>
          <w:shd w:val="clear" w:color="auto" w:fill="FDFDFF"/>
        </w:rPr>
        <w:t xml:space="preserve"> </w:t>
      </w:r>
      <w:r w:rsidR="002C5025">
        <w:rPr>
          <w:rFonts w:ascii="Times New Roman" w:hAnsi="Times New Roman" w:cs="Times New Roman"/>
          <w:sz w:val="24"/>
          <w:szCs w:val="24"/>
          <w:shd w:val="clear" w:color="auto" w:fill="FDFDFF"/>
        </w:rPr>
        <w:t>of</w:t>
      </w:r>
      <w:r w:rsidR="002C5025">
        <w:rPr>
          <w:rFonts w:ascii="Times New Roman" w:hAnsi="Times New Roman" w:cs="Times New Roman"/>
          <w:sz w:val="24"/>
          <w:szCs w:val="24"/>
          <w:shd w:val="clear" w:color="auto" w:fill="FDFDFF"/>
        </w:rPr>
        <w:tab/>
        <w:t xml:space="preserve"> provider</w:t>
      </w:r>
      <w:r w:rsidR="002C5025">
        <w:rPr>
          <w:rFonts w:ascii="Times New Roman" w:hAnsi="Times New Roman" w:cs="Times New Roman"/>
          <w:spacing w:val="-9"/>
          <w:sz w:val="24"/>
          <w:szCs w:val="24"/>
          <w:shd w:val="clear" w:color="auto" w:fill="FDFDFF"/>
        </w:rPr>
        <w:t xml:space="preserve"> </w:t>
      </w:r>
      <w:r w:rsidR="002C5025">
        <w:rPr>
          <w:rFonts w:ascii="Times New Roman" w:hAnsi="Times New Roman" w:cs="Times New Roman"/>
          <w:sz w:val="24"/>
          <w:szCs w:val="24"/>
          <w:shd w:val="clear" w:color="auto" w:fill="FDFDFF"/>
        </w:rPr>
        <w:t>time</w:t>
      </w:r>
      <w:r w:rsidR="002C5025">
        <w:rPr>
          <w:rFonts w:ascii="Times New Roman" w:hAnsi="Times New Roman" w:cs="Times New Roman"/>
          <w:spacing w:val="-7"/>
          <w:sz w:val="24"/>
          <w:szCs w:val="24"/>
          <w:shd w:val="clear" w:color="auto" w:fill="FDFDFF"/>
        </w:rPr>
        <w:t xml:space="preserve"> </w:t>
      </w:r>
      <w:r w:rsidR="002C5025">
        <w:rPr>
          <w:rFonts w:ascii="Times New Roman" w:hAnsi="Times New Roman" w:cs="Times New Roman"/>
          <w:sz w:val="24"/>
          <w:szCs w:val="24"/>
          <w:shd w:val="clear" w:color="auto" w:fill="FDFDFF"/>
        </w:rPr>
        <w:t>that</w:t>
      </w:r>
      <w:r w:rsidR="002C5025">
        <w:rPr>
          <w:rFonts w:ascii="Times New Roman" w:hAnsi="Times New Roman" w:cs="Times New Roman"/>
          <w:spacing w:val="-6"/>
          <w:sz w:val="24"/>
          <w:szCs w:val="24"/>
          <w:shd w:val="clear" w:color="auto" w:fill="FDFDFF"/>
        </w:rPr>
        <w:t xml:space="preserve"> </w:t>
      </w:r>
      <w:r w:rsidR="002C5025">
        <w:rPr>
          <w:rFonts w:ascii="Times New Roman" w:hAnsi="Times New Roman" w:cs="Times New Roman"/>
          <w:sz w:val="24"/>
          <w:szCs w:val="24"/>
          <w:shd w:val="clear" w:color="auto" w:fill="FDFDFF"/>
        </w:rPr>
        <w:t>contributes</w:t>
      </w:r>
      <w:r w:rsidR="002C5025">
        <w:rPr>
          <w:rFonts w:ascii="Times New Roman" w:hAnsi="Times New Roman" w:cs="Times New Roman"/>
          <w:spacing w:val="-6"/>
          <w:sz w:val="24"/>
          <w:szCs w:val="24"/>
          <w:shd w:val="clear" w:color="auto" w:fill="FDFDFF"/>
        </w:rPr>
        <w:t xml:space="preserve"> </w:t>
      </w:r>
      <w:r w:rsidR="002C5025">
        <w:rPr>
          <w:rFonts w:ascii="Times New Roman" w:hAnsi="Times New Roman" w:cs="Times New Roman"/>
          <w:sz w:val="24"/>
          <w:szCs w:val="24"/>
          <w:shd w:val="clear" w:color="auto" w:fill="FDFDFF"/>
        </w:rPr>
        <w:t>to</w:t>
      </w:r>
      <w:r w:rsidR="002C5025">
        <w:rPr>
          <w:rFonts w:ascii="Times New Roman" w:hAnsi="Times New Roman" w:cs="Times New Roman"/>
          <w:spacing w:val="-6"/>
          <w:sz w:val="24"/>
          <w:szCs w:val="24"/>
          <w:shd w:val="clear" w:color="auto" w:fill="FDFDFF"/>
        </w:rPr>
        <w:t xml:space="preserve"> </w:t>
      </w:r>
      <w:r w:rsidR="002C5025">
        <w:rPr>
          <w:rFonts w:ascii="Times New Roman" w:hAnsi="Times New Roman" w:cs="Times New Roman"/>
          <w:sz w:val="24"/>
          <w:szCs w:val="24"/>
          <w:shd w:val="clear" w:color="auto" w:fill="FDFDFF"/>
        </w:rPr>
        <w:t>provider</w:t>
      </w:r>
      <w:r w:rsidR="002C5025">
        <w:rPr>
          <w:rFonts w:ascii="Times New Roman" w:hAnsi="Times New Roman" w:cs="Times New Roman"/>
          <w:spacing w:val="-7"/>
          <w:sz w:val="24"/>
          <w:szCs w:val="24"/>
          <w:shd w:val="clear" w:color="auto" w:fill="FDFDFF"/>
        </w:rPr>
        <w:t xml:space="preserve"> </w:t>
      </w:r>
      <w:r w:rsidR="002C5025">
        <w:rPr>
          <w:rFonts w:ascii="Times New Roman" w:hAnsi="Times New Roman" w:cs="Times New Roman"/>
          <w:sz w:val="24"/>
          <w:szCs w:val="24"/>
          <w:shd w:val="clear" w:color="auto" w:fill="FDFDFF"/>
        </w:rPr>
        <w:t>burn</w:t>
      </w:r>
      <w:r w:rsidR="002C5025">
        <w:rPr>
          <w:rFonts w:ascii="Times New Roman" w:hAnsi="Times New Roman" w:cs="Times New Roman"/>
          <w:spacing w:val="-6"/>
          <w:sz w:val="24"/>
          <w:szCs w:val="24"/>
          <w:shd w:val="clear" w:color="auto" w:fill="FDFDFF"/>
        </w:rPr>
        <w:t xml:space="preserve"> </w:t>
      </w:r>
      <w:r w:rsidR="002C5025">
        <w:rPr>
          <w:rFonts w:ascii="Times New Roman" w:hAnsi="Times New Roman" w:cs="Times New Roman"/>
          <w:sz w:val="24"/>
          <w:szCs w:val="24"/>
          <w:shd w:val="clear" w:color="auto" w:fill="FDFDFF"/>
        </w:rPr>
        <w:t>out.</w:t>
      </w:r>
    </w:p>
    <w:p w:rsidR="002C5025" w:rsidRDefault="002C5025">
      <w:pPr>
        <w:pStyle w:val="BodyText"/>
        <w:kinsoku w:val="0"/>
        <w:overflowPunct w:val="0"/>
        <w:spacing w:before="11"/>
        <w:rPr>
          <w:rFonts w:ascii="Times New Roman" w:hAnsi="Times New Roman" w:cs="Times New Roman"/>
          <w:sz w:val="28"/>
          <w:szCs w:val="28"/>
        </w:rPr>
      </w:pPr>
    </w:p>
    <w:tbl>
      <w:tblPr>
        <w:tblW w:w="0" w:type="auto"/>
        <w:tblInd w:w="146" w:type="dxa"/>
        <w:tblLayout w:type="fixed"/>
        <w:tblCellMar>
          <w:left w:w="0" w:type="dxa"/>
          <w:right w:w="0" w:type="dxa"/>
        </w:tblCellMar>
        <w:tblLook w:val="0000" w:firstRow="0" w:lastRow="0" w:firstColumn="0" w:lastColumn="0" w:noHBand="0" w:noVBand="0"/>
      </w:tblPr>
      <w:tblGrid>
        <w:gridCol w:w="10450"/>
      </w:tblGrid>
      <w:tr w:rsidR="002C5025">
        <w:trPr>
          <w:trHeight w:hRule="exact" w:val="300"/>
        </w:trPr>
        <w:tc>
          <w:tcPr>
            <w:tcW w:w="10450" w:type="dxa"/>
            <w:tcBorders>
              <w:top w:val="nil"/>
              <w:left w:val="nil"/>
              <w:bottom w:val="nil"/>
              <w:right w:val="nil"/>
            </w:tcBorders>
          </w:tcPr>
          <w:p w:rsidR="002C5025" w:rsidRDefault="002C5025">
            <w:pPr>
              <w:pStyle w:val="TableParagraph"/>
              <w:kinsoku w:val="0"/>
              <w:overflowPunct w:val="0"/>
              <w:spacing w:line="261" w:lineRule="exact"/>
              <w:ind w:left="0"/>
              <w:rPr>
                <w:rFonts w:ascii="Times New Roman" w:hAnsi="Times New Roman" w:cs="Times New Roman"/>
              </w:rPr>
            </w:pPr>
            <w:r>
              <w:rPr>
                <w:rFonts w:ascii="Times New Roman" w:hAnsi="Times New Roman" w:cs="Times New Roman"/>
              </w:rPr>
              <w:t>Cost to the system of administrative burden</w:t>
            </w:r>
          </w:p>
        </w:tc>
      </w:tr>
      <w:tr w:rsidR="002C5025">
        <w:trPr>
          <w:trHeight w:hRule="exact" w:val="312"/>
        </w:trPr>
        <w:tc>
          <w:tcPr>
            <w:tcW w:w="10450" w:type="dxa"/>
            <w:tcBorders>
              <w:top w:val="nil"/>
              <w:left w:val="nil"/>
              <w:bottom w:val="nil"/>
              <w:right w:val="nil"/>
            </w:tcBorders>
          </w:tcPr>
          <w:p w:rsidR="002C5025" w:rsidRDefault="002C5025">
            <w:pPr>
              <w:pStyle w:val="TableParagraph"/>
              <w:numPr>
                <w:ilvl w:val="0"/>
                <w:numId w:val="56"/>
              </w:numPr>
              <w:tabs>
                <w:tab w:val="left" w:pos="144"/>
              </w:tabs>
              <w:kinsoku w:val="0"/>
              <w:overflowPunct w:val="0"/>
              <w:spacing w:before="30"/>
              <w:rPr>
                <w:rFonts w:ascii="Times New Roman" w:hAnsi="Times New Roman" w:cs="Times New Roman"/>
              </w:rPr>
            </w:pPr>
            <w:r>
              <w:rPr>
                <w:rFonts w:ascii="Times New Roman" w:hAnsi="Times New Roman" w:cs="Times New Roman"/>
                <w:shd w:val="clear" w:color="auto" w:fill="FDFDFF"/>
              </w:rPr>
              <w:t>Administrative</w:t>
            </w:r>
            <w:r>
              <w:rPr>
                <w:rFonts w:ascii="Times New Roman" w:hAnsi="Times New Roman" w:cs="Times New Roman"/>
                <w:spacing w:val="-8"/>
                <w:shd w:val="clear" w:color="auto" w:fill="FDFDFF"/>
              </w:rPr>
              <w:t xml:space="preserve"> </w:t>
            </w:r>
            <w:r>
              <w:rPr>
                <w:rFonts w:ascii="Times New Roman" w:hAnsi="Times New Roman" w:cs="Times New Roman"/>
                <w:shd w:val="clear" w:color="auto" w:fill="FDFDFF"/>
              </w:rPr>
              <w:t>costs</w:t>
            </w:r>
            <w:r>
              <w:rPr>
                <w:rFonts w:ascii="Times New Roman" w:hAnsi="Times New Roman" w:cs="Times New Roman"/>
                <w:spacing w:val="-5"/>
                <w:shd w:val="clear" w:color="auto" w:fill="FDFDFF"/>
              </w:rPr>
              <w:t xml:space="preserve"> </w:t>
            </w:r>
            <w:r>
              <w:rPr>
                <w:rFonts w:ascii="Times New Roman" w:hAnsi="Times New Roman" w:cs="Times New Roman"/>
                <w:shd w:val="clear" w:color="auto" w:fill="FDFDFF"/>
              </w:rPr>
              <w:t>in</w:t>
            </w:r>
            <w:r>
              <w:rPr>
                <w:rFonts w:ascii="Times New Roman" w:hAnsi="Times New Roman" w:cs="Times New Roman"/>
                <w:spacing w:val="-7"/>
                <w:shd w:val="clear" w:color="auto" w:fill="FDFDFF"/>
              </w:rPr>
              <w:t xml:space="preserve"> </w:t>
            </w:r>
            <w:r>
              <w:rPr>
                <w:rFonts w:ascii="Times New Roman" w:hAnsi="Times New Roman" w:cs="Times New Roman"/>
                <w:shd w:val="clear" w:color="auto" w:fill="FDFDFF"/>
              </w:rPr>
              <w:t>the</w:t>
            </w:r>
            <w:r>
              <w:rPr>
                <w:rFonts w:ascii="Times New Roman" w:hAnsi="Times New Roman" w:cs="Times New Roman"/>
                <w:spacing w:val="-6"/>
                <w:shd w:val="clear" w:color="auto" w:fill="FDFDFF"/>
              </w:rPr>
              <w:t xml:space="preserve"> </w:t>
            </w:r>
            <w:r>
              <w:rPr>
                <w:rFonts w:ascii="Times New Roman" w:hAnsi="Times New Roman" w:cs="Times New Roman"/>
                <w:shd w:val="clear" w:color="auto" w:fill="FDFDFF"/>
              </w:rPr>
              <w:t>United</w:t>
            </w:r>
            <w:r>
              <w:rPr>
                <w:rFonts w:ascii="Times New Roman" w:hAnsi="Times New Roman" w:cs="Times New Roman"/>
                <w:spacing w:val="-7"/>
                <w:shd w:val="clear" w:color="auto" w:fill="FDFDFF"/>
              </w:rPr>
              <w:t xml:space="preserve"> </w:t>
            </w:r>
            <w:r>
              <w:rPr>
                <w:rFonts w:ascii="Times New Roman" w:hAnsi="Times New Roman" w:cs="Times New Roman"/>
                <w:shd w:val="clear" w:color="auto" w:fill="FDFDFF"/>
              </w:rPr>
              <w:t>States</w:t>
            </w:r>
            <w:r>
              <w:rPr>
                <w:rFonts w:ascii="Times New Roman" w:hAnsi="Times New Roman" w:cs="Times New Roman"/>
                <w:spacing w:val="-5"/>
                <w:shd w:val="clear" w:color="auto" w:fill="FDFDFF"/>
              </w:rPr>
              <w:t xml:space="preserve"> </w:t>
            </w:r>
            <w:r>
              <w:rPr>
                <w:rFonts w:ascii="Times New Roman" w:hAnsi="Times New Roman" w:cs="Times New Roman"/>
                <w:shd w:val="clear" w:color="auto" w:fill="FDFDFF"/>
              </w:rPr>
              <w:t>consumed</w:t>
            </w:r>
            <w:r>
              <w:rPr>
                <w:rFonts w:ascii="Times New Roman" w:hAnsi="Times New Roman" w:cs="Times New Roman"/>
                <w:spacing w:val="-5"/>
                <w:shd w:val="clear" w:color="auto" w:fill="FDFDFF"/>
              </w:rPr>
              <w:t xml:space="preserve"> </w:t>
            </w:r>
            <w:r>
              <w:rPr>
                <w:rFonts w:ascii="Times New Roman" w:hAnsi="Times New Roman" w:cs="Times New Roman"/>
                <w:shd w:val="clear" w:color="auto" w:fill="FDFDFF"/>
              </w:rPr>
              <w:t>an</w:t>
            </w:r>
            <w:r>
              <w:rPr>
                <w:rFonts w:ascii="Times New Roman" w:hAnsi="Times New Roman" w:cs="Times New Roman"/>
                <w:spacing w:val="-7"/>
                <w:shd w:val="clear" w:color="auto" w:fill="FDFDFF"/>
              </w:rPr>
              <w:t xml:space="preserve"> </w:t>
            </w:r>
            <w:r>
              <w:rPr>
                <w:rFonts w:ascii="Times New Roman" w:hAnsi="Times New Roman" w:cs="Times New Roman"/>
                <w:shd w:val="clear" w:color="auto" w:fill="FDFDFF"/>
              </w:rPr>
              <w:t>estimated</w:t>
            </w:r>
            <w:r>
              <w:rPr>
                <w:rFonts w:ascii="Times New Roman" w:hAnsi="Times New Roman" w:cs="Times New Roman"/>
                <w:spacing w:val="-5"/>
                <w:shd w:val="clear" w:color="auto" w:fill="FDFDFF"/>
              </w:rPr>
              <w:t xml:space="preserve"> </w:t>
            </w:r>
            <w:r>
              <w:rPr>
                <w:rFonts w:ascii="Times New Roman" w:hAnsi="Times New Roman" w:cs="Times New Roman"/>
                <w:shd w:val="clear" w:color="auto" w:fill="FDFDFF"/>
              </w:rPr>
              <w:t>$156</w:t>
            </w:r>
            <w:r>
              <w:rPr>
                <w:rFonts w:ascii="Times New Roman" w:hAnsi="Times New Roman" w:cs="Times New Roman"/>
                <w:spacing w:val="-7"/>
                <w:shd w:val="clear" w:color="auto" w:fill="FDFDFF"/>
              </w:rPr>
              <w:t xml:space="preserve"> </w:t>
            </w:r>
            <w:r>
              <w:rPr>
                <w:rFonts w:ascii="Times New Roman" w:hAnsi="Times New Roman" w:cs="Times New Roman"/>
                <w:shd w:val="clear" w:color="auto" w:fill="FDFDFF"/>
              </w:rPr>
              <w:t>billion</w:t>
            </w:r>
            <w:r>
              <w:rPr>
                <w:rFonts w:ascii="Times New Roman" w:hAnsi="Times New Roman" w:cs="Times New Roman"/>
                <w:spacing w:val="-5"/>
                <w:shd w:val="clear" w:color="auto" w:fill="FDFDFF"/>
              </w:rPr>
              <w:t xml:space="preserve"> </w:t>
            </w:r>
            <w:r>
              <w:rPr>
                <w:rFonts w:ascii="Times New Roman" w:hAnsi="Times New Roman" w:cs="Times New Roman"/>
                <w:shd w:val="clear" w:color="auto" w:fill="FDFDFF"/>
              </w:rPr>
              <w:t>in</w:t>
            </w:r>
            <w:r>
              <w:rPr>
                <w:rFonts w:ascii="Times New Roman" w:hAnsi="Times New Roman" w:cs="Times New Roman"/>
                <w:spacing w:val="-7"/>
                <w:shd w:val="clear" w:color="auto" w:fill="FDFDFF"/>
              </w:rPr>
              <w:t xml:space="preserve"> </w:t>
            </w:r>
            <w:r>
              <w:rPr>
                <w:rFonts w:ascii="Times New Roman" w:hAnsi="Times New Roman" w:cs="Times New Roman"/>
                <w:shd w:val="clear" w:color="auto" w:fill="FDFDFF"/>
              </w:rPr>
              <w:t>2007,</w:t>
            </w:r>
            <w:r>
              <w:rPr>
                <w:rFonts w:ascii="Times New Roman" w:hAnsi="Times New Roman" w:cs="Times New Roman"/>
                <w:spacing w:val="-5"/>
                <w:shd w:val="clear" w:color="auto" w:fill="FDFDFF"/>
              </w:rPr>
              <w:t xml:space="preserve"> </w:t>
            </w:r>
            <w:r>
              <w:rPr>
                <w:rFonts w:ascii="Times New Roman" w:hAnsi="Times New Roman" w:cs="Times New Roman"/>
                <w:shd w:val="clear" w:color="auto" w:fill="FDFDFF"/>
              </w:rPr>
              <w:t>with</w:t>
            </w:r>
            <w:r>
              <w:rPr>
                <w:rFonts w:ascii="Times New Roman" w:hAnsi="Times New Roman" w:cs="Times New Roman"/>
                <w:spacing w:val="-5"/>
                <w:shd w:val="clear" w:color="auto" w:fill="FDFDFF"/>
              </w:rPr>
              <w:t xml:space="preserve"> </w:t>
            </w:r>
            <w:r>
              <w:rPr>
                <w:rFonts w:ascii="Times New Roman" w:hAnsi="Times New Roman" w:cs="Times New Roman"/>
                <w:shd w:val="clear" w:color="auto" w:fill="FDFDFF"/>
              </w:rPr>
              <w:t>projections</w:t>
            </w:r>
            <w:r>
              <w:rPr>
                <w:rFonts w:ascii="Times New Roman" w:hAnsi="Times New Roman" w:cs="Times New Roman"/>
                <w:spacing w:val="-7"/>
                <w:shd w:val="clear" w:color="auto" w:fill="FDFDFF"/>
              </w:rPr>
              <w:t xml:space="preserve"> </w:t>
            </w:r>
            <w:r>
              <w:rPr>
                <w:rFonts w:ascii="Times New Roman" w:hAnsi="Times New Roman" w:cs="Times New Roman"/>
                <w:shd w:val="clear" w:color="auto" w:fill="FDFDFF"/>
              </w:rPr>
              <w:t>to</w:t>
            </w:r>
          </w:p>
        </w:tc>
      </w:tr>
      <w:tr w:rsidR="002C5025">
        <w:trPr>
          <w:trHeight w:hRule="exact" w:val="330"/>
        </w:trPr>
        <w:tc>
          <w:tcPr>
            <w:tcW w:w="10450" w:type="dxa"/>
            <w:tcBorders>
              <w:top w:val="nil"/>
              <w:left w:val="nil"/>
              <w:bottom w:val="nil"/>
              <w:right w:val="nil"/>
            </w:tcBorders>
          </w:tcPr>
          <w:p w:rsidR="002C5025" w:rsidRDefault="002C5025">
            <w:pPr>
              <w:pStyle w:val="TableParagraph"/>
              <w:kinsoku w:val="0"/>
              <w:overflowPunct w:val="0"/>
              <w:spacing w:line="309" w:lineRule="exact"/>
              <w:ind w:left="0"/>
              <w:rPr>
                <w:rFonts w:ascii="Times New Roman" w:hAnsi="Times New Roman" w:cs="Times New Roman"/>
              </w:rPr>
            </w:pPr>
            <w:r>
              <w:rPr>
                <w:rFonts w:ascii="Times New Roman" w:hAnsi="Times New Roman" w:cs="Times New Roman"/>
              </w:rPr>
              <w:t>reach $315 billion by 2018</w:t>
            </w:r>
            <w:r>
              <w:rPr>
                <w:rFonts w:ascii="Times New Roman" w:hAnsi="Times New Roman" w:cs="Times New Roman"/>
                <w:position w:val="11"/>
                <w:sz w:val="16"/>
                <w:szCs w:val="16"/>
              </w:rPr>
              <w:t>29</w:t>
            </w:r>
          </w:p>
        </w:tc>
      </w:tr>
      <w:tr w:rsidR="002C5025">
        <w:trPr>
          <w:trHeight w:hRule="exact" w:val="355"/>
        </w:trPr>
        <w:tc>
          <w:tcPr>
            <w:tcW w:w="10450" w:type="dxa"/>
            <w:tcBorders>
              <w:top w:val="nil"/>
              <w:left w:val="nil"/>
              <w:bottom w:val="nil"/>
              <w:right w:val="nil"/>
            </w:tcBorders>
            <w:shd w:val="clear" w:color="auto" w:fill="FDFDFF"/>
          </w:tcPr>
          <w:p w:rsidR="002C5025" w:rsidRDefault="002C5025">
            <w:pPr>
              <w:pStyle w:val="TableParagraph"/>
              <w:numPr>
                <w:ilvl w:val="0"/>
                <w:numId w:val="55"/>
              </w:numPr>
              <w:tabs>
                <w:tab w:val="left" w:pos="144"/>
              </w:tabs>
              <w:kinsoku w:val="0"/>
              <w:overflowPunct w:val="0"/>
              <w:spacing w:before="6"/>
              <w:rPr>
                <w:rFonts w:ascii="Times New Roman" w:hAnsi="Times New Roman" w:cs="Times New Roman"/>
              </w:rPr>
            </w:pPr>
            <w:r>
              <w:rPr>
                <w:rFonts w:ascii="Times New Roman" w:hAnsi="Times New Roman" w:cs="Times New Roman"/>
              </w:rPr>
              <w:t>A</w:t>
            </w:r>
            <w:r>
              <w:rPr>
                <w:rFonts w:ascii="Times New Roman" w:hAnsi="Times New Roman" w:cs="Times New Roman"/>
                <w:spacing w:val="-7"/>
              </w:rPr>
              <w:t xml:space="preserve"> </w:t>
            </w:r>
            <w:r>
              <w:rPr>
                <w:rFonts w:ascii="Times New Roman" w:hAnsi="Times New Roman" w:cs="Times New Roman"/>
              </w:rPr>
              <w:t>study</w:t>
            </w:r>
            <w:r>
              <w:rPr>
                <w:rFonts w:ascii="Times New Roman" w:hAnsi="Times New Roman" w:cs="Times New Roman"/>
                <w:spacing w:val="-9"/>
              </w:rPr>
              <w:t xml:space="preserve"> </w:t>
            </w:r>
            <w:r>
              <w:rPr>
                <w:rFonts w:ascii="Times New Roman" w:hAnsi="Times New Roman" w:cs="Times New Roman"/>
              </w:rPr>
              <w:t>in</w:t>
            </w:r>
            <w:r>
              <w:rPr>
                <w:rFonts w:ascii="Times New Roman" w:hAnsi="Times New Roman" w:cs="Times New Roman"/>
                <w:spacing w:val="-6"/>
              </w:rPr>
              <w:t xml:space="preserve"> </w:t>
            </w:r>
            <w:r>
              <w:rPr>
                <w:rFonts w:ascii="Times New Roman" w:hAnsi="Times New Roman" w:cs="Times New Roman"/>
              </w:rPr>
              <w:t>2013</w:t>
            </w:r>
            <w:r>
              <w:rPr>
                <w:rFonts w:ascii="Times New Roman" w:hAnsi="Times New Roman" w:cs="Times New Roman"/>
                <w:spacing w:val="-4"/>
              </w:rPr>
              <w:t xml:space="preserve"> </w:t>
            </w:r>
            <w:r>
              <w:rPr>
                <w:rFonts w:ascii="Times New Roman" w:hAnsi="Times New Roman" w:cs="Times New Roman"/>
              </w:rPr>
              <w:t>showed</w:t>
            </w:r>
            <w:r>
              <w:rPr>
                <w:rFonts w:ascii="Times New Roman" w:hAnsi="Times New Roman" w:cs="Times New Roman"/>
                <w:spacing w:val="-4"/>
              </w:rPr>
              <w:t xml:space="preserve"> </w:t>
            </w:r>
            <w:r>
              <w:rPr>
                <w:rFonts w:ascii="Times New Roman" w:hAnsi="Times New Roman" w:cs="Times New Roman"/>
              </w:rPr>
              <w:t>that</w:t>
            </w:r>
            <w:r>
              <w:rPr>
                <w:rFonts w:ascii="Times New Roman" w:hAnsi="Times New Roman" w:cs="Times New Roman"/>
                <w:spacing w:val="-3"/>
              </w:rPr>
              <w:t xml:space="preserve"> </w:t>
            </w:r>
            <w:r>
              <w:rPr>
                <w:rFonts w:ascii="Times New Roman" w:hAnsi="Times New Roman" w:cs="Times New Roman"/>
              </w:rPr>
              <w:t>administrative</w:t>
            </w:r>
            <w:r>
              <w:rPr>
                <w:rFonts w:ascii="Times New Roman" w:hAnsi="Times New Roman" w:cs="Times New Roman"/>
                <w:spacing w:val="-7"/>
              </w:rPr>
              <w:t xml:space="preserve"> </w:t>
            </w:r>
            <w:r>
              <w:rPr>
                <w:rFonts w:ascii="Times New Roman" w:hAnsi="Times New Roman" w:cs="Times New Roman"/>
              </w:rPr>
              <w:t>burden</w:t>
            </w:r>
            <w:r>
              <w:rPr>
                <w:rFonts w:ascii="Times New Roman" w:hAnsi="Times New Roman" w:cs="Times New Roman"/>
                <w:spacing w:val="-1"/>
              </w:rPr>
              <w:t xml:space="preserve"> </w:t>
            </w:r>
            <w:r>
              <w:rPr>
                <w:rFonts w:ascii="Times New Roman" w:hAnsi="Times New Roman" w:cs="Times New Roman"/>
              </w:rPr>
              <w:t>accounts</w:t>
            </w:r>
            <w:r>
              <w:rPr>
                <w:rFonts w:ascii="Times New Roman" w:hAnsi="Times New Roman" w:cs="Times New Roman"/>
                <w:spacing w:val="-6"/>
              </w:rPr>
              <w:t xml:space="preserve"> </w:t>
            </w:r>
            <w:r>
              <w:rPr>
                <w:rFonts w:ascii="Times New Roman" w:hAnsi="Times New Roman" w:cs="Times New Roman"/>
              </w:rPr>
              <w:t>for</w:t>
            </w:r>
            <w:r>
              <w:rPr>
                <w:rFonts w:ascii="Times New Roman" w:hAnsi="Times New Roman" w:cs="Times New Roman"/>
                <w:spacing w:val="-5"/>
              </w:rPr>
              <w:t xml:space="preserve"> </w:t>
            </w:r>
            <w:r>
              <w:rPr>
                <w:rFonts w:ascii="Times New Roman" w:hAnsi="Times New Roman" w:cs="Times New Roman"/>
              </w:rPr>
              <w:t>25.3%</w:t>
            </w:r>
            <w:r>
              <w:rPr>
                <w:rFonts w:ascii="Times New Roman" w:hAnsi="Times New Roman" w:cs="Times New Roman"/>
                <w:spacing w:val="-7"/>
              </w:rPr>
              <w:t xml:space="preserve"> </w:t>
            </w:r>
            <w:r>
              <w:rPr>
                <w:rFonts w:ascii="Times New Roman" w:hAnsi="Times New Roman" w:cs="Times New Roman"/>
              </w:rPr>
              <w:t>of</w:t>
            </w:r>
            <w:r>
              <w:rPr>
                <w:rFonts w:ascii="Times New Roman" w:hAnsi="Times New Roman" w:cs="Times New Roman"/>
                <w:spacing w:val="-5"/>
              </w:rPr>
              <w:t xml:space="preserve"> </w:t>
            </w:r>
            <w:r>
              <w:rPr>
                <w:rFonts w:ascii="Times New Roman" w:hAnsi="Times New Roman" w:cs="Times New Roman"/>
              </w:rPr>
              <w:t>U.S.</w:t>
            </w:r>
            <w:r>
              <w:rPr>
                <w:rFonts w:ascii="Times New Roman" w:hAnsi="Times New Roman" w:cs="Times New Roman"/>
                <w:spacing w:val="-6"/>
              </w:rPr>
              <w:t xml:space="preserve"> </w:t>
            </w:r>
            <w:r>
              <w:rPr>
                <w:rFonts w:ascii="Times New Roman" w:hAnsi="Times New Roman" w:cs="Times New Roman"/>
              </w:rPr>
              <w:t>hospitals</w:t>
            </w:r>
            <w:r>
              <w:rPr>
                <w:rFonts w:ascii="Times New Roman" w:hAnsi="Times New Roman" w:cs="Times New Roman"/>
                <w:spacing w:val="-4"/>
              </w:rPr>
              <w:t xml:space="preserve"> </w:t>
            </w:r>
            <w:r>
              <w:rPr>
                <w:rFonts w:ascii="Times New Roman" w:hAnsi="Times New Roman" w:cs="Times New Roman"/>
              </w:rPr>
              <w:t>expenditure</w:t>
            </w:r>
            <w:r>
              <w:rPr>
                <w:rFonts w:ascii="Times New Roman" w:hAnsi="Times New Roman" w:cs="Times New Roman"/>
                <w:position w:val="11"/>
                <w:sz w:val="16"/>
                <w:szCs w:val="16"/>
              </w:rPr>
              <w:t>30</w:t>
            </w:r>
          </w:p>
        </w:tc>
      </w:tr>
    </w:tbl>
    <w:p w:rsidR="002C5025" w:rsidRDefault="00FB027C">
      <w:pPr>
        <w:pStyle w:val="ListParagraph"/>
        <w:numPr>
          <w:ilvl w:val="0"/>
          <w:numId w:val="54"/>
        </w:numPr>
        <w:tabs>
          <w:tab w:val="left" w:pos="292"/>
        </w:tabs>
        <w:kinsoku w:val="0"/>
        <w:overflowPunct w:val="0"/>
        <w:spacing w:before="25" w:line="244" w:lineRule="auto"/>
        <w:ind w:right="363" w:firstLine="0"/>
        <w:rPr>
          <w:position w:val="11"/>
          <w:sz w:val="16"/>
          <w:szCs w:val="16"/>
        </w:rPr>
      </w:pPr>
      <w:r>
        <w:rPr>
          <w:noProof/>
        </w:rPr>
        <mc:AlternateContent>
          <mc:Choice Requires="wpg">
            <w:drawing>
              <wp:anchor distT="0" distB="0" distL="114300" distR="114300" simplePos="0" relativeHeight="251623936" behindDoc="1" locked="0" layoutInCell="0" allowOverlap="1">
                <wp:simplePos x="0" y="0"/>
                <wp:positionH relativeFrom="page">
                  <wp:posOffset>600075</wp:posOffset>
                </wp:positionH>
                <wp:positionV relativeFrom="paragraph">
                  <wp:posOffset>-434340</wp:posOffset>
                </wp:positionV>
                <wp:extent cx="6343015" cy="414655"/>
                <wp:effectExtent l="0" t="0" r="0" b="0"/>
                <wp:wrapNone/>
                <wp:docPr id="625" name="Group 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3015" cy="414655"/>
                          <a:chOff x="945" y="-684"/>
                          <a:chExt cx="9989" cy="653"/>
                        </a:xfrm>
                      </wpg:grpSpPr>
                      <wps:wsp>
                        <wps:cNvPr id="626" name="Freeform 397"/>
                        <wps:cNvSpPr>
                          <a:spLocks/>
                        </wps:cNvSpPr>
                        <wps:spPr bwMode="auto">
                          <a:xfrm>
                            <a:off x="945" y="-367"/>
                            <a:ext cx="2746" cy="58"/>
                          </a:xfrm>
                          <a:custGeom>
                            <a:avLst/>
                            <a:gdLst>
                              <a:gd name="T0" fmla="*/ 0 w 2746"/>
                              <a:gd name="T1" fmla="*/ 57 h 58"/>
                              <a:gd name="T2" fmla="*/ 2745 w 2746"/>
                              <a:gd name="T3" fmla="*/ 57 h 58"/>
                              <a:gd name="T4" fmla="*/ 2745 w 2746"/>
                              <a:gd name="T5" fmla="*/ 0 h 58"/>
                              <a:gd name="T6" fmla="*/ 0 w 2746"/>
                              <a:gd name="T7" fmla="*/ 0 h 58"/>
                              <a:gd name="T8" fmla="*/ 0 w 2746"/>
                              <a:gd name="T9" fmla="*/ 57 h 58"/>
                            </a:gdLst>
                            <a:ahLst/>
                            <a:cxnLst>
                              <a:cxn ang="0">
                                <a:pos x="T0" y="T1"/>
                              </a:cxn>
                              <a:cxn ang="0">
                                <a:pos x="T2" y="T3"/>
                              </a:cxn>
                              <a:cxn ang="0">
                                <a:pos x="T4" y="T5"/>
                              </a:cxn>
                              <a:cxn ang="0">
                                <a:pos x="T6" y="T7"/>
                              </a:cxn>
                              <a:cxn ang="0">
                                <a:pos x="T8" y="T9"/>
                              </a:cxn>
                            </a:cxnLst>
                            <a:rect l="0" t="0" r="r" b="b"/>
                            <a:pathLst>
                              <a:path w="2746" h="58">
                                <a:moveTo>
                                  <a:pt x="0" y="57"/>
                                </a:moveTo>
                                <a:lnTo>
                                  <a:pt x="2745" y="57"/>
                                </a:lnTo>
                                <a:lnTo>
                                  <a:pt x="2745" y="0"/>
                                </a:lnTo>
                                <a:lnTo>
                                  <a:pt x="0" y="0"/>
                                </a:lnTo>
                                <a:lnTo>
                                  <a:pt x="0" y="57"/>
                                </a:lnTo>
                                <a:close/>
                              </a:path>
                            </a:pathLst>
                          </a:custGeom>
                          <a:solidFill>
                            <a:srgbClr val="FDFD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7" name="Freeform 398"/>
                        <wps:cNvSpPr>
                          <a:spLocks/>
                        </wps:cNvSpPr>
                        <wps:spPr bwMode="auto">
                          <a:xfrm>
                            <a:off x="945" y="-684"/>
                            <a:ext cx="2746" cy="317"/>
                          </a:xfrm>
                          <a:custGeom>
                            <a:avLst/>
                            <a:gdLst>
                              <a:gd name="T0" fmla="*/ 0 w 2746"/>
                              <a:gd name="T1" fmla="*/ 316 h 317"/>
                              <a:gd name="T2" fmla="*/ 2745 w 2746"/>
                              <a:gd name="T3" fmla="*/ 316 h 317"/>
                              <a:gd name="T4" fmla="*/ 2745 w 2746"/>
                              <a:gd name="T5" fmla="*/ 0 h 317"/>
                              <a:gd name="T6" fmla="*/ 0 w 2746"/>
                              <a:gd name="T7" fmla="*/ 0 h 317"/>
                              <a:gd name="T8" fmla="*/ 0 w 2746"/>
                              <a:gd name="T9" fmla="*/ 316 h 317"/>
                            </a:gdLst>
                            <a:ahLst/>
                            <a:cxnLst>
                              <a:cxn ang="0">
                                <a:pos x="T0" y="T1"/>
                              </a:cxn>
                              <a:cxn ang="0">
                                <a:pos x="T2" y="T3"/>
                              </a:cxn>
                              <a:cxn ang="0">
                                <a:pos x="T4" y="T5"/>
                              </a:cxn>
                              <a:cxn ang="0">
                                <a:pos x="T6" y="T7"/>
                              </a:cxn>
                              <a:cxn ang="0">
                                <a:pos x="T8" y="T9"/>
                              </a:cxn>
                            </a:cxnLst>
                            <a:rect l="0" t="0" r="r" b="b"/>
                            <a:pathLst>
                              <a:path w="2746" h="317">
                                <a:moveTo>
                                  <a:pt x="0" y="316"/>
                                </a:moveTo>
                                <a:lnTo>
                                  <a:pt x="2745" y="316"/>
                                </a:lnTo>
                                <a:lnTo>
                                  <a:pt x="2745" y="0"/>
                                </a:lnTo>
                                <a:lnTo>
                                  <a:pt x="0" y="0"/>
                                </a:lnTo>
                                <a:lnTo>
                                  <a:pt x="0" y="316"/>
                                </a:lnTo>
                                <a:close/>
                              </a:path>
                            </a:pathLst>
                          </a:custGeom>
                          <a:solidFill>
                            <a:srgbClr val="FDFD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8" name="Freeform 399"/>
                        <wps:cNvSpPr>
                          <a:spLocks/>
                        </wps:cNvSpPr>
                        <wps:spPr bwMode="auto">
                          <a:xfrm>
                            <a:off x="945" y="-310"/>
                            <a:ext cx="20" cy="279"/>
                          </a:xfrm>
                          <a:custGeom>
                            <a:avLst/>
                            <a:gdLst>
                              <a:gd name="T0" fmla="*/ 0 w 20"/>
                              <a:gd name="T1" fmla="*/ 278 h 279"/>
                              <a:gd name="T2" fmla="*/ 0 w 20"/>
                              <a:gd name="T3" fmla="*/ 278 h 279"/>
                              <a:gd name="T4" fmla="*/ 0 w 20"/>
                              <a:gd name="T5" fmla="*/ 0 h 279"/>
                              <a:gd name="T6" fmla="*/ 0 w 20"/>
                              <a:gd name="T7" fmla="*/ 0 h 279"/>
                              <a:gd name="T8" fmla="*/ 0 w 20"/>
                              <a:gd name="T9" fmla="*/ 278 h 279"/>
                            </a:gdLst>
                            <a:ahLst/>
                            <a:cxnLst>
                              <a:cxn ang="0">
                                <a:pos x="T0" y="T1"/>
                              </a:cxn>
                              <a:cxn ang="0">
                                <a:pos x="T2" y="T3"/>
                              </a:cxn>
                              <a:cxn ang="0">
                                <a:pos x="T4" y="T5"/>
                              </a:cxn>
                              <a:cxn ang="0">
                                <a:pos x="T6" y="T7"/>
                              </a:cxn>
                              <a:cxn ang="0">
                                <a:pos x="T8" y="T9"/>
                              </a:cxn>
                            </a:cxnLst>
                            <a:rect l="0" t="0" r="r" b="b"/>
                            <a:pathLst>
                              <a:path w="20" h="279">
                                <a:moveTo>
                                  <a:pt x="0" y="278"/>
                                </a:moveTo>
                                <a:lnTo>
                                  <a:pt x="0" y="278"/>
                                </a:lnTo>
                                <a:lnTo>
                                  <a:pt x="0" y="0"/>
                                </a:lnTo>
                                <a:lnTo>
                                  <a:pt x="0" y="0"/>
                                </a:lnTo>
                                <a:lnTo>
                                  <a:pt x="0" y="278"/>
                                </a:lnTo>
                                <a:close/>
                              </a:path>
                            </a:pathLst>
                          </a:custGeom>
                          <a:solidFill>
                            <a:srgbClr val="FDFD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9" name="Freeform 400"/>
                        <wps:cNvSpPr>
                          <a:spLocks/>
                        </wps:cNvSpPr>
                        <wps:spPr bwMode="auto">
                          <a:xfrm>
                            <a:off x="945" y="-310"/>
                            <a:ext cx="9989" cy="279"/>
                          </a:xfrm>
                          <a:custGeom>
                            <a:avLst/>
                            <a:gdLst>
                              <a:gd name="T0" fmla="*/ 0 w 9989"/>
                              <a:gd name="T1" fmla="*/ 278 h 279"/>
                              <a:gd name="T2" fmla="*/ 9988 w 9989"/>
                              <a:gd name="T3" fmla="*/ 278 h 279"/>
                              <a:gd name="T4" fmla="*/ 9988 w 9989"/>
                              <a:gd name="T5" fmla="*/ 0 h 279"/>
                              <a:gd name="T6" fmla="*/ 0 w 9989"/>
                              <a:gd name="T7" fmla="*/ 0 h 279"/>
                              <a:gd name="T8" fmla="*/ 0 w 9989"/>
                              <a:gd name="T9" fmla="*/ 278 h 279"/>
                            </a:gdLst>
                            <a:ahLst/>
                            <a:cxnLst>
                              <a:cxn ang="0">
                                <a:pos x="T0" y="T1"/>
                              </a:cxn>
                              <a:cxn ang="0">
                                <a:pos x="T2" y="T3"/>
                              </a:cxn>
                              <a:cxn ang="0">
                                <a:pos x="T4" y="T5"/>
                              </a:cxn>
                              <a:cxn ang="0">
                                <a:pos x="T6" y="T7"/>
                              </a:cxn>
                              <a:cxn ang="0">
                                <a:pos x="T8" y="T9"/>
                              </a:cxn>
                            </a:cxnLst>
                            <a:rect l="0" t="0" r="r" b="b"/>
                            <a:pathLst>
                              <a:path w="9989" h="279">
                                <a:moveTo>
                                  <a:pt x="0" y="278"/>
                                </a:moveTo>
                                <a:lnTo>
                                  <a:pt x="9988" y="278"/>
                                </a:lnTo>
                                <a:lnTo>
                                  <a:pt x="9988" y="0"/>
                                </a:lnTo>
                                <a:lnTo>
                                  <a:pt x="0" y="0"/>
                                </a:lnTo>
                                <a:lnTo>
                                  <a:pt x="0" y="278"/>
                                </a:lnTo>
                                <a:close/>
                              </a:path>
                            </a:pathLst>
                          </a:custGeom>
                          <a:solidFill>
                            <a:srgbClr val="FDFD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96" o:spid="_x0000_s1026" style="position:absolute;margin-left:47.25pt;margin-top:-34.2pt;width:499.45pt;height:32.65pt;z-index:-251692544;mso-position-horizontal-relative:page" coordorigin="945,-684" coordsize="9989,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" o:allowincell="f">
                <v:shape id="Freeform 397" o:spid="_x0000_s1027" style="position:absolute;left:945;top:-367;width:2746;height:58;visibility:visible;mso-wrap-style:square;v-text-anchor:top" coordsize="274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8C+cMA&#10;AADcAAAADwAAAGRycy9kb3ducmV2LnhtbESPT4vCMBTE78J+h/AWvGmqh+p2jaIFQdiTf9jz2+bZ&#10;RpuX0kSt++mNIHgcZuY3zGzR2VpcqfXGsYLRMAFBXDhtuFRw2K8HUxA+IGusHZOCO3lYzD96M8y0&#10;u/GWrrtQighhn6GCKoQmk9IXFVn0Q9cQR+/oWoshyraUusVbhNtajpMklRYNx4UKG8orKs67i1Xw&#10;tyoNmZ+T/Le5OX6tV2bym+dK9T+75TeIQF14h1/tjVaQjlN4nolH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x8C+cMAAADcAAAADwAAAAAAAAAAAAAAAACYAgAAZHJzL2Rv&#10;d25yZXYueG1sUEsFBgAAAAAEAAQA9QAAAIgDAAAAAA==&#10;" path="m,57r2745,l2745,,,,,57xe" fillcolor="#fdfdff" stroked="f">
                  <v:path arrowok="t" o:connecttype="custom" o:connectlocs="0,57;2745,57;2745,0;0,0;0,57" o:connectangles="0,0,0,0,0"/>
                </v:shape>
                <v:shape id="Freeform 398" o:spid="_x0000_s1028" style="position:absolute;left:945;top:-684;width:2746;height:317;visibility:visible;mso-wrap-style:square;v-text-anchor:top" coordsize="2746,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9sZMIA&#10;AADcAAAADwAAAGRycy9kb3ducmV2LnhtbESPT4vCMBTE7wv7HcIT9ram/l2pRlmEVa9WV6+P5tkW&#10;m5faxFq/vREEj8PM/IaZLVpTioZqV1hW0OtGIIhTqwvOFOx3f98TEM4jaywtk4I7OVjMPz9mGGt7&#10;4y01ic9EgLCLUUHufRVL6dKcDLqurYiDd7K1QR9knUld4y3ATSn7UTSWBgsOCzlWtMwpPSdXo+DQ&#10;/I+i5HgeJBvmAZnLYWjXK6W+Ou3vFISn1r/Dr/ZGKxj3f+B5JhwBO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z2xkwgAAANwAAAAPAAAAAAAAAAAAAAAAAJgCAABkcnMvZG93&#10;bnJldi54bWxQSwUGAAAAAAQABAD1AAAAhwMAAAAA&#10;" path="m,316r2745,l2745,,,,,316xe" fillcolor="#fdfdff" stroked="f">
                  <v:path arrowok="t" o:connecttype="custom" o:connectlocs="0,316;2745,316;2745,0;0,0;0,316" o:connectangles="0,0,0,0,0"/>
                </v:shape>
                <v:shape id="Freeform 399" o:spid="_x0000_s1029" style="position:absolute;left:945;top:-310;width:20;height:279;visibility:visible;mso-wrap-style:square;v-text-anchor:top" coordsize="20,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U10r0A&#10;AADcAAAADwAAAGRycy9kb3ducmV2LnhtbERPzYrCMBC+L/gOYQRva6oHWapRRBCWvYi6DzA2Y1Ns&#10;JqWJNb69cxA8fnz/q032rRqoj01gA7NpAYq4Crbh2sD/ef/9AyomZIttYDLwpAib9ehrhaUNDz7S&#10;cEq1khCOJRpwKXWl1rFy5DFOQ0cs3DX0HpPAvta2x4eE+1bPi2KhPTYsDQ472jmqbqe7N7AYmjrn&#10;YfZ3iPtU6Yu/uR0VxkzGebsElSinj/jt/rXim8taOSNHQK9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pJU10r0AAADcAAAADwAAAAAAAAAAAAAAAACYAgAAZHJzL2Rvd25yZXYu&#10;eG1sUEsFBgAAAAAEAAQA9QAAAIIDAAAAAA==&#10;" path="m,278r,l,,,,,278xe" fillcolor="#fdfdff" stroked="f">
                  <v:path arrowok="t" o:connecttype="custom" o:connectlocs="0,278;0,278;0,0;0,0;0,278" o:connectangles="0,0,0,0,0"/>
                </v:shape>
                <v:shape id="Freeform 400" o:spid="_x0000_s1030" style="position:absolute;left:945;top:-310;width:9989;height:279;visibility:visible;mso-wrap-style:square;v-text-anchor:top" coordsize="9989,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MmScMA&#10;AADcAAAADwAAAGRycy9kb3ducmV2LnhtbESP3YrCMBSE7wXfIRzBG9FUF8RWo4igLKwg/jzAoTm2&#10;xeakJFHbt98sLHg5zMw3zGrTmlq8yPnKsoLpJAFBnFtdcaHgdt2PFyB8QNZYWyYFHXnYrPu9FWba&#10;vvlMr0soRISwz1BBGUKTSenzkgz6iW2Io3e3zmCI0hVSO3xHuKnlLEnm0mDFcaHEhnYl5Y/L0yjI&#10;R52rTmbr0q69H3zx83VKj6zUcNBulyACteET/m9/awXzWQp/Z+IR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AMmScMAAADcAAAADwAAAAAAAAAAAAAAAACYAgAAZHJzL2Rv&#10;d25yZXYueG1sUEsFBgAAAAAEAAQA9QAAAIgDAAAAAA==&#10;" path="m,278r9988,l9988,,,,,278xe" fillcolor="#fdfdff" stroked="f">
                  <v:path arrowok="t" o:connecttype="custom" o:connectlocs="0,278;9988,278;9988,0;0,0;0,278" o:connectangles="0,0,0,0,0"/>
                </v:shape>
                <w10:wrap anchorx="page"/>
              </v:group>
            </w:pict>
          </mc:Fallback>
        </mc:AlternateContent>
      </w:r>
      <w:r>
        <w:rPr>
          <w:noProof/>
        </w:rPr>
        <mc:AlternateContent>
          <mc:Choice Requires="wps">
            <w:drawing>
              <wp:anchor distT="0" distB="0" distL="114300" distR="114300" simplePos="0" relativeHeight="251624960" behindDoc="1" locked="0" layoutInCell="0" allowOverlap="1">
                <wp:simplePos x="0" y="0"/>
                <wp:positionH relativeFrom="page">
                  <wp:posOffset>600075</wp:posOffset>
                </wp:positionH>
                <wp:positionV relativeFrom="paragraph">
                  <wp:posOffset>220980</wp:posOffset>
                </wp:positionV>
                <wp:extent cx="3572510" cy="176530"/>
                <wp:effectExtent l="0" t="0" r="0" b="0"/>
                <wp:wrapNone/>
                <wp:docPr id="624" name="Freeform 4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72510" cy="176530"/>
                        </a:xfrm>
                        <a:custGeom>
                          <a:avLst/>
                          <a:gdLst>
                            <a:gd name="T0" fmla="*/ 0 w 5626"/>
                            <a:gd name="T1" fmla="*/ 0 h 278"/>
                            <a:gd name="T2" fmla="*/ 5626 w 5626"/>
                            <a:gd name="T3" fmla="*/ 0 h 278"/>
                            <a:gd name="T4" fmla="*/ 5626 w 5626"/>
                            <a:gd name="T5" fmla="*/ 277 h 278"/>
                            <a:gd name="T6" fmla="*/ 0 w 5626"/>
                            <a:gd name="T7" fmla="*/ 277 h 278"/>
                            <a:gd name="T8" fmla="*/ 0 w 5626"/>
                            <a:gd name="T9" fmla="*/ 0 h 278"/>
                          </a:gdLst>
                          <a:ahLst/>
                          <a:cxnLst>
                            <a:cxn ang="0">
                              <a:pos x="T0" y="T1"/>
                            </a:cxn>
                            <a:cxn ang="0">
                              <a:pos x="T2" y="T3"/>
                            </a:cxn>
                            <a:cxn ang="0">
                              <a:pos x="T4" y="T5"/>
                            </a:cxn>
                            <a:cxn ang="0">
                              <a:pos x="T6" y="T7"/>
                            </a:cxn>
                            <a:cxn ang="0">
                              <a:pos x="T8" y="T9"/>
                            </a:cxn>
                          </a:cxnLst>
                          <a:rect l="0" t="0" r="r" b="b"/>
                          <a:pathLst>
                            <a:path w="5626" h="278">
                              <a:moveTo>
                                <a:pt x="0" y="0"/>
                              </a:moveTo>
                              <a:lnTo>
                                <a:pt x="5626" y="0"/>
                              </a:lnTo>
                              <a:lnTo>
                                <a:pt x="5626" y="277"/>
                              </a:lnTo>
                              <a:lnTo>
                                <a:pt x="0" y="277"/>
                              </a:lnTo>
                              <a:lnTo>
                                <a:pt x="0" y="0"/>
                              </a:lnTo>
                              <a:close/>
                            </a:path>
                          </a:pathLst>
                        </a:custGeom>
                        <a:solidFill>
                          <a:srgbClr val="FDFD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01" o:spid="_x0000_s1026" style="position:absolute;margin-left:47.25pt;margin-top:17.4pt;width:281.3pt;height:13.9pt;z-index:-251691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626,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" o:allowincell="f" path="m,l5626,r,277l,277,,xe" fillcolor="#fdfdff" stroked="f">
                <v:path arrowok="t" o:connecttype="custom" o:connectlocs="0,0;3572510,0;3572510,175895;0,175895;0,0" o:connectangles="0,0,0,0,0"/>
                <w10:wrap anchorx="page"/>
              </v:shape>
            </w:pict>
          </mc:Fallback>
        </mc:AlternateContent>
      </w:r>
      <w:r w:rsidR="002C5025">
        <w:rPr>
          <w:shd w:val="clear" w:color="auto" w:fill="FDFDFF"/>
        </w:rPr>
        <w:t>The</w:t>
      </w:r>
      <w:r w:rsidR="002C5025">
        <w:rPr>
          <w:spacing w:val="-8"/>
          <w:shd w:val="clear" w:color="auto" w:fill="FDFDFF"/>
        </w:rPr>
        <w:t xml:space="preserve"> </w:t>
      </w:r>
      <w:r w:rsidR="002C5025">
        <w:rPr>
          <w:shd w:val="clear" w:color="auto" w:fill="FDFDFF"/>
        </w:rPr>
        <w:t>United</w:t>
      </w:r>
      <w:r w:rsidR="002C5025">
        <w:rPr>
          <w:spacing w:val="-7"/>
          <w:shd w:val="clear" w:color="auto" w:fill="FDFDFF"/>
        </w:rPr>
        <w:t xml:space="preserve"> </w:t>
      </w:r>
      <w:r w:rsidR="002C5025">
        <w:rPr>
          <w:shd w:val="clear" w:color="auto" w:fill="FDFDFF"/>
        </w:rPr>
        <w:t>States</w:t>
      </w:r>
      <w:r w:rsidR="002C5025">
        <w:rPr>
          <w:spacing w:val="-7"/>
          <w:shd w:val="clear" w:color="auto" w:fill="FDFDFF"/>
        </w:rPr>
        <w:t xml:space="preserve"> </w:t>
      </w:r>
      <w:r w:rsidR="002C5025">
        <w:rPr>
          <w:shd w:val="clear" w:color="auto" w:fill="FDFDFF"/>
        </w:rPr>
        <w:t>spends</w:t>
      </w:r>
      <w:r w:rsidR="002C5025">
        <w:rPr>
          <w:spacing w:val="-5"/>
          <w:shd w:val="clear" w:color="auto" w:fill="FDFDFF"/>
        </w:rPr>
        <w:t xml:space="preserve"> </w:t>
      </w:r>
      <w:r w:rsidR="002C5025">
        <w:rPr>
          <w:shd w:val="clear" w:color="auto" w:fill="FDFDFF"/>
        </w:rPr>
        <w:t>30-70%</w:t>
      </w:r>
      <w:r w:rsidR="002C5025">
        <w:rPr>
          <w:spacing w:val="-8"/>
          <w:shd w:val="clear" w:color="auto" w:fill="FDFDFF"/>
        </w:rPr>
        <w:t xml:space="preserve"> </w:t>
      </w:r>
      <w:r w:rsidR="002C5025">
        <w:rPr>
          <w:shd w:val="clear" w:color="auto" w:fill="FDFDFF"/>
        </w:rPr>
        <w:t>more</w:t>
      </w:r>
      <w:r w:rsidR="002C5025">
        <w:rPr>
          <w:spacing w:val="-8"/>
          <w:shd w:val="clear" w:color="auto" w:fill="FDFDFF"/>
        </w:rPr>
        <w:t xml:space="preserve"> </w:t>
      </w:r>
      <w:r w:rsidR="002C5025">
        <w:rPr>
          <w:shd w:val="clear" w:color="auto" w:fill="FDFDFF"/>
        </w:rPr>
        <w:t>on</w:t>
      </w:r>
      <w:r w:rsidR="002C5025">
        <w:rPr>
          <w:spacing w:val="-5"/>
          <w:shd w:val="clear" w:color="auto" w:fill="FDFDFF"/>
        </w:rPr>
        <w:t xml:space="preserve"> </w:t>
      </w:r>
      <w:r w:rsidR="002C5025">
        <w:rPr>
          <w:shd w:val="clear" w:color="auto" w:fill="FDFDFF"/>
        </w:rPr>
        <w:t>administrative</w:t>
      </w:r>
      <w:r w:rsidR="002C5025">
        <w:rPr>
          <w:spacing w:val="-8"/>
          <w:shd w:val="clear" w:color="auto" w:fill="FDFDFF"/>
        </w:rPr>
        <w:t xml:space="preserve"> </w:t>
      </w:r>
      <w:r w:rsidR="002C5025">
        <w:rPr>
          <w:shd w:val="clear" w:color="auto" w:fill="FDFDFF"/>
        </w:rPr>
        <w:t>costs</w:t>
      </w:r>
      <w:r w:rsidR="002C5025">
        <w:rPr>
          <w:spacing w:val="-7"/>
          <w:shd w:val="clear" w:color="auto" w:fill="FDFDFF"/>
        </w:rPr>
        <w:t xml:space="preserve"> </w:t>
      </w:r>
      <w:r w:rsidR="002C5025">
        <w:rPr>
          <w:shd w:val="clear" w:color="auto" w:fill="FDFDFF"/>
        </w:rPr>
        <w:t>compared</w:t>
      </w:r>
      <w:r w:rsidR="002C5025">
        <w:rPr>
          <w:spacing w:val="-7"/>
          <w:shd w:val="clear" w:color="auto" w:fill="FDFDFF"/>
        </w:rPr>
        <w:t xml:space="preserve"> </w:t>
      </w:r>
      <w:r w:rsidR="002C5025">
        <w:rPr>
          <w:shd w:val="clear" w:color="auto" w:fill="FDFDFF"/>
        </w:rPr>
        <w:t>to</w:t>
      </w:r>
      <w:r w:rsidR="002C5025">
        <w:rPr>
          <w:spacing w:val="-7"/>
          <w:shd w:val="clear" w:color="auto" w:fill="FDFDFF"/>
        </w:rPr>
        <w:t xml:space="preserve"> </w:t>
      </w:r>
      <w:r w:rsidR="002C5025">
        <w:rPr>
          <w:shd w:val="clear" w:color="auto" w:fill="FDFDFF"/>
        </w:rPr>
        <w:t>similar</w:t>
      </w:r>
      <w:r w:rsidR="002C5025">
        <w:rPr>
          <w:spacing w:val="-8"/>
          <w:shd w:val="clear" w:color="auto" w:fill="FDFDFF"/>
        </w:rPr>
        <w:t xml:space="preserve"> </w:t>
      </w:r>
      <w:r w:rsidR="002C5025">
        <w:rPr>
          <w:shd w:val="clear" w:color="auto" w:fill="FDFDFF"/>
        </w:rPr>
        <w:t>developed</w:t>
      </w:r>
      <w:r w:rsidR="002C5025">
        <w:rPr>
          <w:spacing w:val="-7"/>
          <w:shd w:val="clear" w:color="auto" w:fill="FDFDFF"/>
        </w:rPr>
        <w:t xml:space="preserve"> </w:t>
      </w:r>
      <w:r w:rsidR="002C5025">
        <w:rPr>
          <w:shd w:val="clear" w:color="auto" w:fill="FDFDFF"/>
        </w:rPr>
        <w:t xml:space="preserve">countries. </w:t>
      </w:r>
      <w:r w:rsidR="002C5025">
        <w:t>This</w:t>
      </w:r>
      <w:r w:rsidR="002C5025">
        <w:rPr>
          <w:spacing w:val="-12"/>
        </w:rPr>
        <w:t xml:space="preserve"> </w:t>
      </w:r>
      <w:r w:rsidR="002C5025">
        <w:t>included</w:t>
      </w:r>
      <w:r w:rsidR="002C5025">
        <w:rPr>
          <w:spacing w:val="-12"/>
        </w:rPr>
        <w:t xml:space="preserve"> </w:t>
      </w:r>
      <w:r w:rsidR="002C5025">
        <w:t>publicly</w:t>
      </w:r>
      <w:r w:rsidR="002C5025">
        <w:rPr>
          <w:spacing w:val="-14"/>
        </w:rPr>
        <w:t xml:space="preserve"> </w:t>
      </w:r>
      <w:r w:rsidR="002C5025">
        <w:t>administered</w:t>
      </w:r>
      <w:r w:rsidR="002C5025">
        <w:rPr>
          <w:spacing w:val="-12"/>
        </w:rPr>
        <w:t xml:space="preserve"> </w:t>
      </w:r>
      <w:r w:rsidR="002C5025">
        <w:t>insurance</w:t>
      </w:r>
      <w:r w:rsidR="002C5025">
        <w:rPr>
          <w:spacing w:val="-13"/>
        </w:rPr>
        <w:t xml:space="preserve"> </w:t>
      </w:r>
      <w:r w:rsidR="002C5025">
        <w:t>programs.</w:t>
      </w:r>
      <w:r w:rsidR="002C5025">
        <w:rPr>
          <w:position w:val="11"/>
          <w:sz w:val="16"/>
          <w:szCs w:val="16"/>
        </w:rPr>
        <w:t>31</w:t>
      </w:r>
    </w:p>
    <w:p w:rsidR="002C5025" w:rsidRDefault="002C5025">
      <w:pPr>
        <w:pStyle w:val="BodyText"/>
        <w:kinsoku w:val="0"/>
        <w:overflowPunct w:val="0"/>
        <w:rPr>
          <w:rFonts w:ascii="Times New Roman" w:hAnsi="Times New Roman" w:cs="Times New Roman"/>
          <w:sz w:val="20"/>
          <w:szCs w:val="20"/>
        </w:rPr>
      </w:pPr>
    </w:p>
    <w:p w:rsidR="002C5025" w:rsidRDefault="00FB027C">
      <w:pPr>
        <w:pStyle w:val="BodyText"/>
        <w:kinsoku w:val="0"/>
        <w:overflowPunct w:val="0"/>
        <w:spacing w:before="5"/>
        <w:rPr>
          <w:rFonts w:ascii="Times New Roman" w:hAnsi="Times New Roman" w:cs="Times New Roman"/>
          <w:sz w:val="11"/>
          <w:szCs w:val="11"/>
        </w:rPr>
      </w:pPr>
      <w:r>
        <w:rPr>
          <w:noProof/>
        </w:rPr>
        <mc:AlternateContent>
          <mc:Choice Requires="wpg">
            <w:drawing>
              <wp:anchor distT="0" distB="0" distL="0" distR="0" simplePos="0" relativeHeight="251625984" behindDoc="0" locked="0" layoutInCell="0" allowOverlap="1">
                <wp:simplePos x="0" y="0"/>
                <wp:positionH relativeFrom="page">
                  <wp:posOffset>607060</wp:posOffset>
                </wp:positionH>
                <wp:positionV relativeFrom="paragraph">
                  <wp:posOffset>108585</wp:posOffset>
                </wp:positionV>
                <wp:extent cx="2598420" cy="190500"/>
                <wp:effectExtent l="0" t="0" r="0" b="0"/>
                <wp:wrapTopAndBottom/>
                <wp:docPr id="620" name="Group 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8420" cy="190500"/>
                          <a:chOff x="956" y="171"/>
                          <a:chExt cx="4092" cy="300"/>
                        </a:xfrm>
                      </wpg:grpSpPr>
                      <wps:wsp>
                        <wps:cNvPr id="621" name="Freeform 403"/>
                        <wps:cNvSpPr>
                          <a:spLocks/>
                        </wps:cNvSpPr>
                        <wps:spPr bwMode="auto">
                          <a:xfrm>
                            <a:off x="960" y="171"/>
                            <a:ext cx="4085" cy="278"/>
                          </a:xfrm>
                          <a:custGeom>
                            <a:avLst/>
                            <a:gdLst>
                              <a:gd name="T0" fmla="*/ 0 w 4085"/>
                              <a:gd name="T1" fmla="*/ 0 h 278"/>
                              <a:gd name="T2" fmla="*/ 4085 w 4085"/>
                              <a:gd name="T3" fmla="*/ 0 h 278"/>
                              <a:gd name="T4" fmla="*/ 4085 w 4085"/>
                              <a:gd name="T5" fmla="*/ 277 h 278"/>
                              <a:gd name="T6" fmla="*/ 0 w 4085"/>
                              <a:gd name="T7" fmla="*/ 277 h 278"/>
                              <a:gd name="T8" fmla="*/ 0 w 4085"/>
                              <a:gd name="T9" fmla="*/ 0 h 278"/>
                            </a:gdLst>
                            <a:ahLst/>
                            <a:cxnLst>
                              <a:cxn ang="0">
                                <a:pos x="T0" y="T1"/>
                              </a:cxn>
                              <a:cxn ang="0">
                                <a:pos x="T2" y="T3"/>
                              </a:cxn>
                              <a:cxn ang="0">
                                <a:pos x="T4" y="T5"/>
                              </a:cxn>
                              <a:cxn ang="0">
                                <a:pos x="T6" y="T7"/>
                              </a:cxn>
                              <a:cxn ang="0">
                                <a:pos x="T8" y="T9"/>
                              </a:cxn>
                            </a:cxnLst>
                            <a:rect l="0" t="0" r="r" b="b"/>
                            <a:pathLst>
                              <a:path w="4085" h="278">
                                <a:moveTo>
                                  <a:pt x="0" y="0"/>
                                </a:moveTo>
                                <a:lnTo>
                                  <a:pt x="4085" y="0"/>
                                </a:lnTo>
                                <a:lnTo>
                                  <a:pt x="4085" y="277"/>
                                </a:lnTo>
                                <a:lnTo>
                                  <a:pt x="0" y="277"/>
                                </a:lnTo>
                                <a:lnTo>
                                  <a:pt x="0" y="0"/>
                                </a:lnTo>
                                <a:close/>
                              </a:path>
                            </a:pathLst>
                          </a:custGeom>
                          <a:solidFill>
                            <a:srgbClr val="FDFD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2" name="Freeform 404"/>
                        <wps:cNvSpPr>
                          <a:spLocks/>
                        </wps:cNvSpPr>
                        <wps:spPr bwMode="auto">
                          <a:xfrm>
                            <a:off x="960" y="433"/>
                            <a:ext cx="4085" cy="20"/>
                          </a:xfrm>
                          <a:custGeom>
                            <a:avLst/>
                            <a:gdLst>
                              <a:gd name="T0" fmla="*/ 0 w 4085"/>
                              <a:gd name="T1" fmla="*/ 0 h 20"/>
                              <a:gd name="T2" fmla="*/ 4085 w 4085"/>
                              <a:gd name="T3" fmla="*/ 0 h 20"/>
                            </a:gdLst>
                            <a:ahLst/>
                            <a:cxnLst>
                              <a:cxn ang="0">
                                <a:pos x="T0" y="T1"/>
                              </a:cxn>
                              <a:cxn ang="0">
                                <a:pos x="T2" y="T3"/>
                              </a:cxn>
                            </a:cxnLst>
                            <a:rect l="0" t="0" r="r" b="b"/>
                            <a:pathLst>
                              <a:path w="4085" h="20">
                                <a:moveTo>
                                  <a:pt x="0" y="0"/>
                                </a:moveTo>
                                <a:lnTo>
                                  <a:pt x="4085" y="0"/>
                                </a:lnTo>
                              </a:path>
                            </a:pathLst>
                          </a:custGeom>
                          <a:noFill/>
                          <a:ln w="43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3" name="Text Box 405"/>
                        <wps:cNvSpPr txBox="1">
                          <a:spLocks noChangeArrowheads="1"/>
                        </wps:cNvSpPr>
                        <wps:spPr bwMode="auto">
                          <a:xfrm>
                            <a:off x="960" y="171"/>
                            <a:ext cx="4085"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pStyle w:val="BodyText"/>
                                <w:kinsoku w:val="0"/>
                                <w:overflowPunct w:val="0"/>
                                <w:spacing w:line="262" w:lineRule="exact"/>
                                <w:rPr>
                                  <w:rFonts w:ascii="Times New Roman" w:hAnsi="Times New Roman" w:cs="Times New Roman"/>
                                  <w:sz w:val="24"/>
                                  <w:szCs w:val="24"/>
                                </w:rPr>
                              </w:pPr>
                              <w:r>
                                <w:rPr>
                                  <w:rFonts w:ascii="Times New Roman" w:hAnsi="Times New Roman" w:cs="Times New Roman"/>
                                  <w:sz w:val="24"/>
                                  <w:szCs w:val="24"/>
                                </w:rPr>
                                <w:t>Cost to Providers of administrative</w:t>
                              </w:r>
                              <w:r>
                                <w:rPr>
                                  <w:rFonts w:ascii="Times New Roman" w:hAnsi="Times New Roman" w:cs="Times New Roman"/>
                                  <w:spacing w:val="-38"/>
                                  <w:sz w:val="24"/>
                                  <w:szCs w:val="24"/>
                                </w:rPr>
                                <w:t xml:space="preserve"> </w:t>
                              </w:r>
                              <w:r>
                                <w:rPr>
                                  <w:rFonts w:ascii="Times New Roman" w:hAnsi="Times New Roman" w:cs="Times New Roman"/>
                                  <w:sz w:val="24"/>
                                  <w:szCs w:val="24"/>
                                </w:rPr>
                                <w:t>burden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02" o:spid="_x0000_s1166" style="position:absolute;margin-left:47.8pt;margin-top:8.55pt;width:204.6pt;height:15pt;z-index:251625984;mso-wrap-distance-left:0;mso-wrap-distance-right:0;mso-position-horizontal-relative:page;mso-position-vertical-relative:text" coordorigin="956,171" coordsize="4092,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" o:allowincell="f">
                <v:shape id="Freeform 403" o:spid="_x0000_s1167" style="position:absolute;left:960;top:171;width:4085;height:278;visibility:visible;mso-wrap-style:square;v-text-anchor:top" coordsize="4085,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qW1cQA&#10;AADcAAAADwAAAGRycy9kb3ducmV2LnhtbESPQWuDQBSE74X8h+UFeqtrPIhY15AGAj0VahNIbg/3&#10;VU3dt+Ju1fbXdwuBHIeZ+YYptovpxUSj6ywr2EQxCOLa6o4bBcePw1MGwnlkjb1lUvBDDrbl6qHA&#10;XNuZ32mqfCMChF2OClrvh1xKV7dk0EV2IA7epx0N+iDHRuoR5wA3vUziOJUGOw4LLQ60b6n+qr6N&#10;ggTlS5Wlv+crZpTt3nR9ul6cUo/rZfcMwtPi7+Fb+1UrSJMN/J8JR0CW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qltXEAAAA3AAAAA8AAAAAAAAAAAAAAAAAmAIAAGRycy9k&#10;b3ducmV2LnhtbFBLBQYAAAAABAAEAPUAAACJAwAAAAA=&#10;" path="m,l4085,r,277l,277,,xe" fillcolor="#fdfdff" stroked="f">
                  <v:path arrowok="t" o:connecttype="custom" o:connectlocs="0,0;4085,0;4085,277;0,277;0,0" o:connectangles="0,0,0,0,0"/>
                </v:shape>
                <v:shape id="Freeform 404" o:spid="_x0000_s1168" style="position:absolute;left:960;top:433;width:4085;height:20;visibility:visible;mso-wrap-style:square;v-text-anchor:top" coordsize="408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Ro7sUA&#10;AADcAAAADwAAAGRycy9kb3ducmV2LnhtbESPQWvCQBSE70L/w/IKXkQ3RpA2ukppUMSTWhW8PbLP&#10;JJh9G7KrRn99tyD0OMx8M8x03ppK3KhxpWUFw0EEgjizuuRcwf5n0f8A4TyyxsoyKXiQg/nsrTPF&#10;RNs7b+m287kIJewSVFB4XydSuqwgg25ga+LgnW1j0AfZ5FI3eA/lppJxFI2lwZLDQoE1fReUXXZX&#10;o2CcntN0dDoeynUvfVbRXm/08lOp7nv7NQHhqfX/4Re90oGLY/g7E46An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NGjuxQAAANwAAAAPAAAAAAAAAAAAAAAAAJgCAABkcnMv&#10;ZG93bnJldi54bWxQSwUGAAAAAAQABAD1AAAAigMAAAAA&#10;" path="m,l4085,e" filled="f" strokeweight=".34pt">
                  <v:path arrowok="t" o:connecttype="custom" o:connectlocs="0,0;4085,0" o:connectangles="0,0"/>
                </v:shape>
                <v:shape id="Text Box 405" o:spid="_x0000_s1169" type="#_x0000_t202" style="position:absolute;left:960;top:171;width:4085;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NencUA&#10;AADcAAAADwAAAGRycy9kb3ducmV2LnhtbESPQWvCQBSE7wX/w/KE3upGC6FGVxFpQSgUYzx4fGaf&#10;yWL2bcyumv77rlDwOMzMN8x82dtG3KjzxrGC8SgBQVw6bbhSsC++3j5A+ICssXFMCn7Jw3IxeJlj&#10;pt2dc7rtQiUihH2GCuoQ2kxKX9Zk0Y9cSxy9k+sshii7SuoO7xFuGzlJklRaNBwXamxpXVN53l2t&#10;gtWB809z+Tlu81NuimKa8Hd6Vup12K9mIAL14Rn+b2+0gnTy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E16dxQAAANwAAAAPAAAAAAAAAAAAAAAAAJgCAABkcnMv&#10;ZG93bnJldi54bWxQSwUGAAAAAAQABAD1AAAAigMAAAAA&#10;" filled="f" stroked="f">
                  <v:textbox inset="0,0,0,0">
                    <w:txbxContent>
                      <w:p w:rsidR="007B2B7B" w:rsidRDefault="007B2B7B">
                        <w:pPr>
                          <w:pStyle w:val="BodyText"/>
                          <w:kinsoku w:val="0"/>
                          <w:overflowPunct w:val="0"/>
                          <w:spacing w:line="262" w:lineRule="exact"/>
                          <w:rPr>
                            <w:rFonts w:ascii="Times New Roman" w:hAnsi="Times New Roman" w:cs="Times New Roman"/>
                            <w:sz w:val="24"/>
                            <w:szCs w:val="24"/>
                          </w:rPr>
                        </w:pPr>
                        <w:r>
                          <w:rPr>
                            <w:rFonts w:ascii="Times New Roman" w:hAnsi="Times New Roman" w:cs="Times New Roman"/>
                            <w:sz w:val="24"/>
                            <w:szCs w:val="24"/>
                          </w:rPr>
                          <w:t>Cost to Providers of administrative</w:t>
                        </w:r>
                        <w:r>
                          <w:rPr>
                            <w:rFonts w:ascii="Times New Roman" w:hAnsi="Times New Roman" w:cs="Times New Roman"/>
                            <w:spacing w:val="-38"/>
                            <w:sz w:val="24"/>
                            <w:szCs w:val="24"/>
                          </w:rPr>
                          <w:t xml:space="preserve"> </w:t>
                        </w:r>
                        <w:r>
                          <w:rPr>
                            <w:rFonts w:ascii="Times New Roman" w:hAnsi="Times New Roman" w:cs="Times New Roman"/>
                            <w:sz w:val="24"/>
                            <w:szCs w:val="24"/>
                          </w:rPr>
                          <w:t>burden</w:t>
                        </w:r>
                      </w:p>
                    </w:txbxContent>
                  </v:textbox>
                </v:shape>
                <w10:wrap type="topAndBottom" anchorx="page"/>
              </v:group>
            </w:pict>
          </mc:Fallback>
        </mc:AlternateContent>
      </w:r>
    </w:p>
    <w:p w:rsidR="002C5025" w:rsidRDefault="002C5025">
      <w:pPr>
        <w:pStyle w:val="ListParagraph"/>
        <w:numPr>
          <w:ilvl w:val="0"/>
          <w:numId w:val="54"/>
        </w:numPr>
        <w:tabs>
          <w:tab w:val="left" w:pos="307"/>
        </w:tabs>
        <w:kinsoku w:val="0"/>
        <w:overflowPunct w:val="0"/>
        <w:spacing w:before="5" w:line="276" w:lineRule="auto"/>
        <w:ind w:left="160" w:right="774" w:firstLine="0"/>
      </w:pPr>
      <w:r>
        <w:rPr>
          <w:shd w:val="clear" w:color="auto" w:fill="FDFDFF"/>
        </w:rPr>
        <w:t>In</w:t>
      </w:r>
      <w:r>
        <w:rPr>
          <w:spacing w:val="-5"/>
          <w:shd w:val="clear" w:color="auto" w:fill="FDFDFF"/>
        </w:rPr>
        <w:t xml:space="preserve"> </w:t>
      </w:r>
      <w:r>
        <w:rPr>
          <w:shd w:val="clear" w:color="auto" w:fill="FDFDFF"/>
        </w:rPr>
        <w:t>the</w:t>
      </w:r>
      <w:r>
        <w:rPr>
          <w:spacing w:val="-8"/>
          <w:shd w:val="clear" w:color="auto" w:fill="FDFDFF"/>
        </w:rPr>
        <w:t xml:space="preserve"> </w:t>
      </w:r>
      <w:r>
        <w:rPr>
          <w:shd w:val="clear" w:color="auto" w:fill="FDFDFF"/>
        </w:rPr>
        <w:t>United</w:t>
      </w:r>
      <w:r>
        <w:rPr>
          <w:spacing w:val="-5"/>
          <w:shd w:val="clear" w:color="auto" w:fill="FDFDFF"/>
        </w:rPr>
        <w:t xml:space="preserve"> </w:t>
      </w:r>
      <w:r>
        <w:rPr>
          <w:shd w:val="clear" w:color="auto" w:fill="FDFDFF"/>
        </w:rPr>
        <w:t>States,</w:t>
      </w:r>
      <w:r>
        <w:rPr>
          <w:spacing w:val="-5"/>
          <w:shd w:val="clear" w:color="auto" w:fill="FDFDFF"/>
        </w:rPr>
        <w:t xml:space="preserve"> </w:t>
      </w:r>
      <w:r>
        <w:rPr>
          <w:shd w:val="clear" w:color="auto" w:fill="FDFDFF"/>
        </w:rPr>
        <w:t>administrative</w:t>
      </w:r>
      <w:r>
        <w:rPr>
          <w:spacing w:val="-8"/>
          <w:shd w:val="clear" w:color="auto" w:fill="FDFDFF"/>
        </w:rPr>
        <w:t xml:space="preserve"> </w:t>
      </w:r>
      <w:r>
        <w:rPr>
          <w:shd w:val="clear" w:color="auto" w:fill="FDFDFF"/>
        </w:rPr>
        <w:t>tasks</w:t>
      </w:r>
      <w:r>
        <w:rPr>
          <w:spacing w:val="-7"/>
          <w:shd w:val="clear" w:color="auto" w:fill="FDFDFF"/>
        </w:rPr>
        <w:t xml:space="preserve"> </w:t>
      </w:r>
      <w:r>
        <w:rPr>
          <w:shd w:val="clear" w:color="auto" w:fill="FDFDFF"/>
        </w:rPr>
        <w:t>consumed</w:t>
      </w:r>
      <w:r>
        <w:rPr>
          <w:spacing w:val="-5"/>
          <w:shd w:val="clear" w:color="auto" w:fill="FDFDFF"/>
        </w:rPr>
        <w:t xml:space="preserve"> </w:t>
      </w:r>
      <w:r>
        <w:rPr>
          <w:shd w:val="clear" w:color="auto" w:fill="FDFDFF"/>
        </w:rPr>
        <w:t>13.5</w:t>
      </w:r>
      <w:r>
        <w:rPr>
          <w:spacing w:val="-7"/>
          <w:shd w:val="clear" w:color="auto" w:fill="FDFDFF"/>
        </w:rPr>
        <w:t xml:space="preserve"> </w:t>
      </w:r>
      <w:r>
        <w:rPr>
          <w:shd w:val="clear" w:color="auto" w:fill="FDFDFF"/>
        </w:rPr>
        <w:t>percent</w:t>
      </w:r>
      <w:r>
        <w:rPr>
          <w:spacing w:val="-7"/>
          <w:shd w:val="clear" w:color="auto" w:fill="FDFDFF"/>
        </w:rPr>
        <w:t xml:space="preserve"> </w:t>
      </w:r>
      <w:r>
        <w:rPr>
          <w:shd w:val="clear" w:color="auto" w:fill="FDFDFF"/>
        </w:rPr>
        <w:t>of</w:t>
      </w:r>
      <w:r>
        <w:rPr>
          <w:spacing w:val="-6"/>
          <w:shd w:val="clear" w:color="auto" w:fill="FDFDFF"/>
        </w:rPr>
        <w:t xml:space="preserve"> </w:t>
      </w:r>
      <w:r>
        <w:rPr>
          <w:shd w:val="clear" w:color="auto" w:fill="FDFDFF"/>
        </w:rPr>
        <w:t>physicians'</w:t>
      </w:r>
      <w:r>
        <w:rPr>
          <w:spacing w:val="-7"/>
          <w:shd w:val="clear" w:color="auto" w:fill="FDFDFF"/>
        </w:rPr>
        <w:t xml:space="preserve"> </w:t>
      </w:r>
      <w:r>
        <w:rPr>
          <w:shd w:val="clear" w:color="auto" w:fill="FDFDFF"/>
        </w:rPr>
        <w:t>time,</w:t>
      </w:r>
      <w:r>
        <w:rPr>
          <w:spacing w:val="-7"/>
          <w:shd w:val="clear" w:color="auto" w:fill="FDFDFF"/>
        </w:rPr>
        <w:t xml:space="preserve"> </w:t>
      </w:r>
      <w:r>
        <w:rPr>
          <w:shd w:val="clear" w:color="auto" w:fill="FDFDFF"/>
        </w:rPr>
        <w:t>valued</w:t>
      </w:r>
      <w:r>
        <w:rPr>
          <w:spacing w:val="-5"/>
          <w:shd w:val="clear" w:color="auto" w:fill="FDFDFF"/>
        </w:rPr>
        <w:t xml:space="preserve"> </w:t>
      </w:r>
      <w:r>
        <w:rPr>
          <w:shd w:val="clear" w:color="auto" w:fill="FDFDFF"/>
        </w:rPr>
        <w:t>at</w:t>
      </w:r>
      <w:r>
        <w:rPr>
          <w:spacing w:val="-4"/>
          <w:shd w:val="clear" w:color="auto" w:fill="FDFDFF"/>
        </w:rPr>
        <w:t xml:space="preserve"> </w:t>
      </w:r>
      <w:r>
        <w:rPr>
          <w:shd w:val="clear" w:color="auto" w:fill="FDFDFF"/>
        </w:rPr>
        <w:t xml:space="preserve">$15.5 </w:t>
      </w:r>
      <w:r>
        <w:t>billion.</w:t>
      </w:r>
    </w:p>
    <w:p w:rsidR="002C5025" w:rsidRDefault="00FB027C">
      <w:pPr>
        <w:pStyle w:val="ListParagraph"/>
        <w:numPr>
          <w:ilvl w:val="0"/>
          <w:numId w:val="54"/>
        </w:numPr>
        <w:tabs>
          <w:tab w:val="left" w:pos="307"/>
        </w:tabs>
        <w:kinsoku w:val="0"/>
        <w:overflowPunct w:val="0"/>
        <w:spacing w:before="22"/>
        <w:ind w:left="306" w:hanging="146"/>
      </w:pPr>
      <w:r>
        <w:rPr>
          <w:noProof/>
        </w:rPr>
        <mc:AlternateContent>
          <mc:Choice Requires="wpg">
            <w:drawing>
              <wp:anchor distT="0" distB="0" distL="114300" distR="114300" simplePos="0" relativeHeight="251627008" behindDoc="1" locked="0" layoutInCell="0" allowOverlap="1">
                <wp:simplePos x="0" y="0"/>
                <wp:positionH relativeFrom="page">
                  <wp:posOffset>609600</wp:posOffset>
                </wp:positionH>
                <wp:positionV relativeFrom="paragraph">
                  <wp:posOffset>-196215</wp:posOffset>
                </wp:positionV>
                <wp:extent cx="6535420" cy="590550"/>
                <wp:effectExtent l="0" t="0" r="0" b="0"/>
                <wp:wrapNone/>
                <wp:docPr id="615" name="Group 4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35420" cy="590550"/>
                          <a:chOff x="960" y="-309"/>
                          <a:chExt cx="10292" cy="930"/>
                        </a:xfrm>
                      </wpg:grpSpPr>
                      <wps:wsp>
                        <wps:cNvPr id="616" name="Freeform 407"/>
                        <wps:cNvSpPr>
                          <a:spLocks/>
                        </wps:cNvSpPr>
                        <wps:spPr bwMode="auto">
                          <a:xfrm>
                            <a:off x="960" y="-309"/>
                            <a:ext cx="687" cy="278"/>
                          </a:xfrm>
                          <a:custGeom>
                            <a:avLst/>
                            <a:gdLst>
                              <a:gd name="T0" fmla="*/ 0 w 687"/>
                              <a:gd name="T1" fmla="*/ 0 h 278"/>
                              <a:gd name="T2" fmla="*/ 686 w 687"/>
                              <a:gd name="T3" fmla="*/ 0 h 278"/>
                              <a:gd name="T4" fmla="*/ 686 w 687"/>
                              <a:gd name="T5" fmla="*/ 278 h 278"/>
                              <a:gd name="T6" fmla="*/ 0 w 687"/>
                              <a:gd name="T7" fmla="*/ 278 h 278"/>
                              <a:gd name="T8" fmla="*/ 0 w 687"/>
                              <a:gd name="T9" fmla="*/ 0 h 278"/>
                            </a:gdLst>
                            <a:ahLst/>
                            <a:cxnLst>
                              <a:cxn ang="0">
                                <a:pos x="T0" y="T1"/>
                              </a:cxn>
                              <a:cxn ang="0">
                                <a:pos x="T2" y="T3"/>
                              </a:cxn>
                              <a:cxn ang="0">
                                <a:pos x="T4" y="T5"/>
                              </a:cxn>
                              <a:cxn ang="0">
                                <a:pos x="T6" y="T7"/>
                              </a:cxn>
                              <a:cxn ang="0">
                                <a:pos x="T8" y="T9"/>
                              </a:cxn>
                            </a:cxnLst>
                            <a:rect l="0" t="0" r="r" b="b"/>
                            <a:pathLst>
                              <a:path w="687" h="278">
                                <a:moveTo>
                                  <a:pt x="0" y="0"/>
                                </a:moveTo>
                                <a:lnTo>
                                  <a:pt x="686" y="0"/>
                                </a:lnTo>
                                <a:lnTo>
                                  <a:pt x="686" y="278"/>
                                </a:lnTo>
                                <a:lnTo>
                                  <a:pt x="0" y="278"/>
                                </a:lnTo>
                                <a:lnTo>
                                  <a:pt x="0" y="0"/>
                                </a:lnTo>
                                <a:close/>
                              </a:path>
                            </a:pathLst>
                          </a:custGeom>
                          <a:solidFill>
                            <a:srgbClr val="FDFD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7" name="Freeform 408"/>
                        <wps:cNvSpPr>
                          <a:spLocks/>
                        </wps:cNvSpPr>
                        <wps:spPr bwMode="auto">
                          <a:xfrm>
                            <a:off x="960" y="26"/>
                            <a:ext cx="9845" cy="278"/>
                          </a:xfrm>
                          <a:custGeom>
                            <a:avLst/>
                            <a:gdLst>
                              <a:gd name="T0" fmla="*/ 0 w 9845"/>
                              <a:gd name="T1" fmla="*/ 0 h 278"/>
                              <a:gd name="T2" fmla="*/ 9845 w 9845"/>
                              <a:gd name="T3" fmla="*/ 0 h 278"/>
                              <a:gd name="T4" fmla="*/ 9845 w 9845"/>
                              <a:gd name="T5" fmla="*/ 277 h 278"/>
                              <a:gd name="T6" fmla="*/ 0 w 9845"/>
                              <a:gd name="T7" fmla="*/ 277 h 278"/>
                              <a:gd name="T8" fmla="*/ 0 w 9845"/>
                              <a:gd name="T9" fmla="*/ 0 h 278"/>
                            </a:gdLst>
                            <a:ahLst/>
                            <a:cxnLst>
                              <a:cxn ang="0">
                                <a:pos x="T0" y="T1"/>
                              </a:cxn>
                              <a:cxn ang="0">
                                <a:pos x="T2" y="T3"/>
                              </a:cxn>
                              <a:cxn ang="0">
                                <a:pos x="T4" y="T5"/>
                              </a:cxn>
                              <a:cxn ang="0">
                                <a:pos x="T6" y="T7"/>
                              </a:cxn>
                              <a:cxn ang="0">
                                <a:pos x="T8" y="T9"/>
                              </a:cxn>
                            </a:cxnLst>
                            <a:rect l="0" t="0" r="r" b="b"/>
                            <a:pathLst>
                              <a:path w="9845" h="278">
                                <a:moveTo>
                                  <a:pt x="0" y="0"/>
                                </a:moveTo>
                                <a:lnTo>
                                  <a:pt x="9845" y="0"/>
                                </a:lnTo>
                                <a:lnTo>
                                  <a:pt x="9845" y="277"/>
                                </a:lnTo>
                                <a:lnTo>
                                  <a:pt x="0" y="277"/>
                                </a:lnTo>
                                <a:lnTo>
                                  <a:pt x="0" y="0"/>
                                </a:lnTo>
                                <a:close/>
                              </a:path>
                            </a:pathLst>
                          </a:custGeom>
                          <a:solidFill>
                            <a:srgbClr val="FDFD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8" name="Freeform 409"/>
                        <wps:cNvSpPr>
                          <a:spLocks/>
                        </wps:cNvSpPr>
                        <wps:spPr bwMode="auto">
                          <a:xfrm>
                            <a:off x="960" y="342"/>
                            <a:ext cx="10292" cy="279"/>
                          </a:xfrm>
                          <a:custGeom>
                            <a:avLst/>
                            <a:gdLst>
                              <a:gd name="T0" fmla="*/ 0 w 10292"/>
                              <a:gd name="T1" fmla="*/ 0 h 279"/>
                              <a:gd name="T2" fmla="*/ 10292 w 10292"/>
                              <a:gd name="T3" fmla="*/ 0 h 279"/>
                              <a:gd name="T4" fmla="*/ 10292 w 10292"/>
                              <a:gd name="T5" fmla="*/ 278 h 279"/>
                              <a:gd name="T6" fmla="*/ 0 w 10292"/>
                              <a:gd name="T7" fmla="*/ 278 h 279"/>
                              <a:gd name="T8" fmla="*/ 0 w 10292"/>
                              <a:gd name="T9" fmla="*/ 0 h 279"/>
                            </a:gdLst>
                            <a:ahLst/>
                            <a:cxnLst>
                              <a:cxn ang="0">
                                <a:pos x="T0" y="T1"/>
                              </a:cxn>
                              <a:cxn ang="0">
                                <a:pos x="T2" y="T3"/>
                              </a:cxn>
                              <a:cxn ang="0">
                                <a:pos x="T4" y="T5"/>
                              </a:cxn>
                              <a:cxn ang="0">
                                <a:pos x="T6" y="T7"/>
                              </a:cxn>
                              <a:cxn ang="0">
                                <a:pos x="T8" y="T9"/>
                              </a:cxn>
                            </a:cxnLst>
                            <a:rect l="0" t="0" r="r" b="b"/>
                            <a:pathLst>
                              <a:path w="10292" h="279">
                                <a:moveTo>
                                  <a:pt x="0" y="0"/>
                                </a:moveTo>
                                <a:lnTo>
                                  <a:pt x="10292" y="0"/>
                                </a:lnTo>
                                <a:lnTo>
                                  <a:pt x="10292" y="278"/>
                                </a:lnTo>
                                <a:lnTo>
                                  <a:pt x="0" y="278"/>
                                </a:lnTo>
                                <a:lnTo>
                                  <a:pt x="0" y="0"/>
                                </a:lnTo>
                                <a:close/>
                              </a:path>
                            </a:pathLst>
                          </a:custGeom>
                          <a:solidFill>
                            <a:srgbClr val="FDFD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9" name="Text Box 410"/>
                        <wps:cNvSpPr txBox="1">
                          <a:spLocks noChangeArrowheads="1"/>
                        </wps:cNvSpPr>
                        <wps:spPr bwMode="auto">
                          <a:xfrm>
                            <a:off x="960" y="324"/>
                            <a:ext cx="10292" cy="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pStyle w:val="BodyText"/>
                                <w:kinsoku w:val="0"/>
                                <w:overflowPunct w:val="0"/>
                                <w:spacing w:before="15"/>
                                <w:rPr>
                                  <w:rFonts w:ascii="Times New Roman" w:hAnsi="Times New Roman" w:cs="Times New Roman"/>
                                  <w:sz w:val="24"/>
                                  <w:szCs w:val="24"/>
                                </w:rPr>
                              </w:pPr>
                              <w:r>
                                <w:rPr>
                                  <w:rFonts w:ascii="Times New Roman" w:hAnsi="Times New Roman" w:cs="Times New Roman"/>
                                  <w:sz w:val="24"/>
                                  <w:szCs w:val="24"/>
                                </w:rPr>
                                <w:t>working</w:t>
                              </w:r>
                              <w:r>
                                <w:rPr>
                                  <w:rFonts w:ascii="Times New Roman" w:hAnsi="Times New Roman" w:cs="Times New Roman"/>
                                  <w:spacing w:val="-9"/>
                                  <w:sz w:val="24"/>
                                  <w:szCs w:val="24"/>
                                </w:rPr>
                                <w:t xml:space="preserve"> </w:t>
                              </w:r>
                              <w:r>
                                <w:rPr>
                                  <w:rFonts w:ascii="Times New Roman" w:hAnsi="Times New Roman" w:cs="Times New Roman"/>
                                  <w:sz w:val="24"/>
                                  <w:szCs w:val="24"/>
                                </w:rPr>
                                <w:t>hours)</w:t>
                              </w:r>
                              <w:r>
                                <w:rPr>
                                  <w:rFonts w:ascii="Times New Roman" w:hAnsi="Times New Roman" w:cs="Times New Roman"/>
                                  <w:spacing w:val="-8"/>
                                  <w:sz w:val="24"/>
                                  <w:szCs w:val="24"/>
                                </w:rPr>
                                <w:t xml:space="preserve"> </w:t>
                              </w:r>
                              <w:r>
                                <w:rPr>
                                  <w:rFonts w:ascii="Times New Roman" w:hAnsi="Times New Roman" w:cs="Times New Roman"/>
                                  <w:sz w:val="24"/>
                                  <w:szCs w:val="24"/>
                                </w:rPr>
                                <w:t>on</w:t>
                              </w:r>
                              <w:r>
                                <w:rPr>
                                  <w:rFonts w:ascii="Times New Roman" w:hAnsi="Times New Roman" w:cs="Times New Roman"/>
                                  <w:spacing w:val="-7"/>
                                  <w:sz w:val="24"/>
                                  <w:szCs w:val="24"/>
                                </w:rPr>
                                <w:t xml:space="preserve"> </w:t>
                              </w:r>
                              <w:r>
                                <w:rPr>
                                  <w:rFonts w:ascii="Times New Roman" w:hAnsi="Times New Roman" w:cs="Times New Roman"/>
                                  <w:sz w:val="24"/>
                                  <w:szCs w:val="24"/>
                                </w:rPr>
                                <w:t>administration.</w:t>
                              </w:r>
                              <w:r>
                                <w:rPr>
                                  <w:rFonts w:ascii="Times New Roman" w:hAnsi="Times New Roman" w:cs="Times New Roman"/>
                                  <w:spacing w:val="-7"/>
                                  <w:sz w:val="24"/>
                                  <w:szCs w:val="24"/>
                                </w:rPr>
                                <w:t xml:space="preserve"> </w:t>
                              </w:r>
                              <w:r>
                                <w:rPr>
                                  <w:rFonts w:ascii="Times New Roman" w:hAnsi="Times New Roman" w:cs="Times New Roman"/>
                                  <w:sz w:val="24"/>
                                  <w:szCs w:val="24"/>
                                </w:rPr>
                                <w:t>Psychiatrists</w:t>
                              </w:r>
                              <w:r>
                                <w:rPr>
                                  <w:rFonts w:ascii="Times New Roman" w:hAnsi="Times New Roman" w:cs="Times New Roman"/>
                                  <w:spacing w:val="-7"/>
                                  <w:sz w:val="24"/>
                                  <w:szCs w:val="24"/>
                                </w:rPr>
                                <w:t xml:space="preserve"> </w:t>
                              </w:r>
                              <w:r>
                                <w:rPr>
                                  <w:rFonts w:ascii="Times New Roman" w:hAnsi="Times New Roman" w:cs="Times New Roman"/>
                                  <w:sz w:val="24"/>
                                  <w:szCs w:val="24"/>
                                </w:rPr>
                                <w:t>spent</w:t>
                              </w:r>
                              <w:r>
                                <w:rPr>
                                  <w:rFonts w:ascii="Times New Roman" w:hAnsi="Times New Roman" w:cs="Times New Roman"/>
                                  <w:spacing w:val="-7"/>
                                  <w:sz w:val="24"/>
                                  <w:szCs w:val="24"/>
                                </w:rPr>
                                <w:t xml:space="preserve"> </w:t>
                              </w:r>
                              <w:r>
                                <w:rPr>
                                  <w:rFonts w:ascii="Times New Roman" w:hAnsi="Times New Roman" w:cs="Times New Roman"/>
                                  <w:sz w:val="24"/>
                                  <w:szCs w:val="24"/>
                                </w:rPr>
                                <w:t>the</w:t>
                              </w:r>
                              <w:r>
                                <w:rPr>
                                  <w:rFonts w:ascii="Times New Roman" w:hAnsi="Times New Roman" w:cs="Times New Roman"/>
                                  <w:spacing w:val="-8"/>
                                  <w:sz w:val="24"/>
                                  <w:szCs w:val="24"/>
                                </w:rPr>
                                <w:t xml:space="preserve"> </w:t>
                              </w:r>
                              <w:r>
                                <w:rPr>
                                  <w:rFonts w:ascii="Times New Roman" w:hAnsi="Times New Roman" w:cs="Times New Roman"/>
                                  <w:sz w:val="24"/>
                                  <w:szCs w:val="24"/>
                                </w:rPr>
                                <w:t>highest</w:t>
                              </w:r>
                              <w:r>
                                <w:rPr>
                                  <w:rFonts w:ascii="Times New Roman" w:hAnsi="Times New Roman" w:cs="Times New Roman"/>
                                  <w:spacing w:val="-7"/>
                                  <w:sz w:val="24"/>
                                  <w:szCs w:val="24"/>
                                </w:rPr>
                                <w:t xml:space="preserve"> </w:t>
                              </w:r>
                              <w:r>
                                <w:rPr>
                                  <w:rFonts w:ascii="Times New Roman" w:hAnsi="Times New Roman" w:cs="Times New Roman"/>
                                  <w:sz w:val="24"/>
                                  <w:szCs w:val="24"/>
                                </w:rPr>
                                <w:t>proportion</w:t>
                              </w:r>
                              <w:r>
                                <w:rPr>
                                  <w:rFonts w:ascii="Times New Roman" w:hAnsi="Times New Roman" w:cs="Times New Roman"/>
                                  <w:spacing w:val="-7"/>
                                  <w:sz w:val="24"/>
                                  <w:szCs w:val="24"/>
                                </w:rPr>
                                <w:t xml:space="preserve"> </w:t>
                              </w:r>
                              <w:r>
                                <w:rPr>
                                  <w:rFonts w:ascii="Times New Roman" w:hAnsi="Times New Roman" w:cs="Times New Roman"/>
                                  <w:sz w:val="24"/>
                                  <w:szCs w:val="24"/>
                                </w:rPr>
                                <w:t>of</w:t>
                              </w:r>
                              <w:r>
                                <w:rPr>
                                  <w:rFonts w:ascii="Times New Roman" w:hAnsi="Times New Roman" w:cs="Times New Roman"/>
                                  <w:spacing w:val="-8"/>
                                  <w:sz w:val="24"/>
                                  <w:szCs w:val="24"/>
                                </w:rPr>
                                <w:t xml:space="preserve"> </w:t>
                              </w:r>
                              <w:r>
                                <w:rPr>
                                  <w:rFonts w:ascii="Times New Roman" w:hAnsi="Times New Roman" w:cs="Times New Roman"/>
                                  <w:sz w:val="24"/>
                                  <w:szCs w:val="24"/>
                                </w:rPr>
                                <w:t>their</w:t>
                              </w:r>
                              <w:r>
                                <w:rPr>
                                  <w:rFonts w:ascii="Times New Roman" w:hAnsi="Times New Roman" w:cs="Times New Roman"/>
                                  <w:spacing w:val="-8"/>
                                  <w:sz w:val="24"/>
                                  <w:szCs w:val="24"/>
                                </w:rPr>
                                <w:t xml:space="preserve"> </w:t>
                              </w:r>
                              <w:r>
                                <w:rPr>
                                  <w:rFonts w:ascii="Times New Roman" w:hAnsi="Times New Roman" w:cs="Times New Roman"/>
                                  <w:sz w:val="24"/>
                                  <w:szCs w:val="24"/>
                                </w:rPr>
                                <w:t>time</w:t>
                              </w:r>
                              <w:r>
                                <w:rPr>
                                  <w:rFonts w:ascii="Times New Roman" w:hAnsi="Times New Roman" w:cs="Times New Roman"/>
                                  <w:spacing w:val="-8"/>
                                  <w:sz w:val="24"/>
                                  <w:szCs w:val="24"/>
                                </w:rPr>
                                <w:t xml:space="preserve"> </w:t>
                              </w:r>
                              <w:r>
                                <w:rPr>
                                  <w:rFonts w:ascii="Times New Roman" w:hAnsi="Times New Roman" w:cs="Times New Roman"/>
                                  <w:sz w:val="24"/>
                                  <w:szCs w:val="24"/>
                                </w:rPr>
                                <w:t>on</w:t>
                              </w:r>
                              <w:r>
                                <w:rPr>
                                  <w:rFonts w:ascii="Times New Roman" w:hAnsi="Times New Roman" w:cs="Times New Roman"/>
                                  <w:spacing w:val="-7"/>
                                  <w:sz w:val="24"/>
                                  <w:szCs w:val="24"/>
                                </w:rPr>
                                <w:t xml:space="preserve"> </w:t>
                              </w:r>
                              <w:r>
                                <w:rPr>
                                  <w:rFonts w:ascii="Times New Roman" w:hAnsi="Times New Roman" w:cs="Times New Roman"/>
                                  <w:sz w:val="24"/>
                                  <w:szCs w:val="24"/>
                                </w:rPr>
                                <w:t>administration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06" o:spid="_x0000_s1170" style="position:absolute;left:0;text-align:left;margin-left:48pt;margin-top:-15.45pt;width:514.6pt;height:46.5pt;z-index:-251689472;mso-position-horizontal-relative:page;mso-position-vertical-relative:text" coordorigin="960,-309" coordsize="10292,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" o:allowincell="f">
                <v:shape id="Freeform 407" o:spid="_x0000_s1171" style="position:absolute;left:960;top:-309;width:687;height:278;visibility:visible;mso-wrap-style:square;v-text-anchor:top" coordsize="687,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TmXMQA&#10;AADcAAAADwAAAGRycy9kb3ducmV2LnhtbESPQWvCQBSE7wX/w/KE3upGha1NXUUFQfBkFPH4mn1N&#10;gtm3Mbtq+u9dQehxmJlvmOm8s7W4UesrxxqGgwQEce5MxYWGw379MQHhA7LB2jFp+CMP81nvbYqp&#10;cXfe0S0LhYgQ9ilqKENoUil9XpJFP3ANcfR+XWsxRNkW0rR4j3Bby1GSKGmx4rhQYkOrkvJzdrWR&#10;kq2K3ZdSx9HPcuw32eXz2p22Wr/3u8U3iEBd+A+/2hujQQ0VPM/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U5lzEAAAA3AAAAA8AAAAAAAAAAAAAAAAAmAIAAGRycy9k&#10;b3ducmV2LnhtbFBLBQYAAAAABAAEAPUAAACJAwAAAAA=&#10;" path="m,l686,r,278l,278,,xe" fillcolor="#fdfdff" stroked="f">
                  <v:path arrowok="t" o:connecttype="custom" o:connectlocs="0,0;686,0;686,278;0,278;0,0" o:connectangles="0,0,0,0,0"/>
                </v:shape>
                <v:shape id="Freeform 408" o:spid="_x0000_s1172" style="position:absolute;left:960;top:26;width:9845;height:278;visibility:visible;mso-wrap-style:square;v-text-anchor:top" coordsize="9845,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4gWMUA&#10;AADcAAAADwAAAGRycy9kb3ducmV2LnhtbESP0WrCQBRE3wv+w3IFX0rdaCE2qZsgQqS+VJv2Ay7Z&#10;2yQ0ezdkVxP/3i0U+jjMzBlmm0+mE1caXGtZwWoZgSCurG65VvD1WTy9gHAeWWNnmRTcyEGezR62&#10;mGo78gddS1+LAGGXooLG+z6V0lUNGXRL2xMH79sOBn2QQy31gGOAm06uoyiWBlsOCw32tG+o+ikv&#10;RsEhqs/29Fgmxf75WCRJT0k8viu1mE+7VxCeJv8f/mu/aQXxagO/Z8IRk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niBYxQAAANwAAAAPAAAAAAAAAAAAAAAAAJgCAABkcnMv&#10;ZG93bnJldi54bWxQSwUGAAAAAAQABAD1AAAAigMAAAAA&#10;" path="m,l9845,r,277l,277,,xe" fillcolor="#fdfdff" stroked="f">
                  <v:path arrowok="t" o:connecttype="custom" o:connectlocs="0,0;9845,0;9845,277;0,277;0,0" o:connectangles="0,0,0,0,0"/>
                </v:shape>
                <v:shape id="Freeform 409" o:spid="_x0000_s1173" style="position:absolute;left:960;top:342;width:10292;height:279;visibility:visible;mso-wrap-style:square;v-text-anchor:top" coordsize="10292,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HMzMEA&#10;AADcAAAADwAAAGRycy9kb3ducmV2LnhtbERPO2/CMBDeK/EfrEPqVhxoFaGAQUBFxcLAY2A8xUcS&#10;yJ2j2A3pv68HJMZP33u+7LlWHbW+cmJgPEpAkeTOVlIYOJ+2H1NQPqBYrJ2QgT/ysFwM3uaYWfeQ&#10;A3XHUKgYIj5DA2UITaa1z0ti9CPXkETu6lrGEGFbaNviI4ZzrSdJkmrGSmJDiQ1tSsrvx1828L22&#10;vL999me5JRfupl+c7rY/xrwP+9UMVKA+vMRP984aSMdxbTwTj4B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BzMzBAAAA3AAAAA8AAAAAAAAAAAAAAAAAmAIAAGRycy9kb3du&#10;cmV2LnhtbFBLBQYAAAAABAAEAPUAAACGAwAAAAA=&#10;" path="m,l10292,r,278l,278,,xe" fillcolor="#fdfdff" stroked="f">
                  <v:path arrowok="t" o:connecttype="custom" o:connectlocs="0,0;10292,0;10292,278;0,278;0,0" o:connectangles="0,0,0,0,0"/>
                </v:shape>
                <v:shape id="Text Box 410" o:spid="_x0000_s1174" type="#_x0000_t202" style="position:absolute;left:960;top:324;width:10292;height:2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ejysQA&#10;AADcAAAADwAAAGRycy9kb3ducmV2LnhtbESPQWvCQBSE7wX/w/KE3upGD6FGVxFREAqlMR48PrPP&#10;ZDH7NmZXTf99tyB4HGbmG2a+7G0j7tR541jBeJSAIC6dNlwpOBTbj08QPiBrbByTgl/ysFwM3uaY&#10;affgnO77UIkIYZ+hgjqENpPSlzVZ9CPXEkfv7DqLIcqukrrDR4TbRk6SJJUWDceFGlta11Re9jer&#10;YHXkfGOu36ef/Jybopgm/JVelHof9qsZiEB9eIWf7Z1WkI6n8H8mHg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Xo8rEAAAA3AAAAA8AAAAAAAAAAAAAAAAAmAIAAGRycy9k&#10;b3ducmV2LnhtbFBLBQYAAAAABAAEAPUAAACJAwAAAAA=&#10;" filled="f" stroked="f">
                  <v:textbox inset="0,0,0,0">
                    <w:txbxContent>
                      <w:p w:rsidR="007B2B7B" w:rsidRDefault="007B2B7B">
                        <w:pPr>
                          <w:pStyle w:val="BodyText"/>
                          <w:kinsoku w:val="0"/>
                          <w:overflowPunct w:val="0"/>
                          <w:spacing w:before="15"/>
                          <w:rPr>
                            <w:rFonts w:ascii="Times New Roman" w:hAnsi="Times New Roman" w:cs="Times New Roman"/>
                            <w:sz w:val="24"/>
                            <w:szCs w:val="24"/>
                          </w:rPr>
                        </w:pPr>
                        <w:r>
                          <w:rPr>
                            <w:rFonts w:ascii="Times New Roman" w:hAnsi="Times New Roman" w:cs="Times New Roman"/>
                            <w:sz w:val="24"/>
                            <w:szCs w:val="24"/>
                          </w:rPr>
                          <w:t>working</w:t>
                        </w:r>
                        <w:r>
                          <w:rPr>
                            <w:rFonts w:ascii="Times New Roman" w:hAnsi="Times New Roman" w:cs="Times New Roman"/>
                            <w:spacing w:val="-9"/>
                            <w:sz w:val="24"/>
                            <w:szCs w:val="24"/>
                          </w:rPr>
                          <w:t xml:space="preserve"> </w:t>
                        </w:r>
                        <w:r>
                          <w:rPr>
                            <w:rFonts w:ascii="Times New Roman" w:hAnsi="Times New Roman" w:cs="Times New Roman"/>
                            <w:sz w:val="24"/>
                            <w:szCs w:val="24"/>
                          </w:rPr>
                          <w:t>hours)</w:t>
                        </w:r>
                        <w:r>
                          <w:rPr>
                            <w:rFonts w:ascii="Times New Roman" w:hAnsi="Times New Roman" w:cs="Times New Roman"/>
                            <w:spacing w:val="-8"/>
                            <w:sz w:val="24"/>
                            <w:szCs w:val="24"/>
                          </w:rPr>
                          <w:t xml:space="preserve"> </w:t>
                        </w:r>
                        <w:r>
                          <w:rPr>
                            <w:rFonts w:ascii="Times New Roman" w:hAnsi="Times New Roman" w:cs="Times New Roman"/>
                            <w:sz w:val="24"/>
                            <w:szCs w:val="24"/>
                          </w:rPr>
                          <w:t>on</w:t>
                        </w:r>
                        <w:r>
                          <w:rPr>
                            <w:rFonts w:ascii="Times New Roman" w:hAnsi="Times New Roman" w:cs="Times New Roman"/>
                            <w:spacing w:val="-7"/>
                            <w:sz w:val="24"/>
                            <w:szCs w:val="24"/>
                          </w:rPr>
                          <w:t xml:space="preserve"> </w:t>
                        </w:r>
                        <w:r>
                          <w:rPr>
                            <w:rFonts w:ascii="Times New Roman" w:hAnsi="Times New Roman" w:cs="Times New Roman"/>
                            <w:sz w:val="24"/>
                            <w:szCs w:val="24"/>
                          </w:rPr>
                          <w:t>administration.</w:t>
                        </w:r>
                        <w:r>
                          <w:rPr>
                            <w:rFonts w:ascii="Times New Roman" w:hAnsi="Times New Roman" w:cs="Times New Roman"/>
                            <w:spacing w:val="-7"/>
                            <w:sz w:val="24"/>
                            <w:szCs w:val="24"/>
                          </w:rPr>
                          <w:t xml:space="preserve"> </w:t>
                        </w:r>
                        <w:r>
                          <w:rPr>
                            <w:rFonts w:ascii="Times New Roman" w:hAnsi="Times New Roman" w:cs="Times New Roman"/>
                            <w:sz w:val="24"/>
                            <w:szCs w:val="24"/>
                          </w:rPr>
                          <w:t>Psychiatrists</w:t>
                        </w:r>
                        <w:r>
                          <w:rPr>
                            <w:rFonts w:ascii="Times New Roman" w:hAnsi="Times New Roman" w:cs="Times New Roman"/>
                            <w:spacing w:val="-7"/>
                            <w:sz w:val="24"/>
                            <w:szCs w:val="24"/>
                          </w:rPr>
                          <w:t xml:space="preserve"> </w:t>
                        </w:r>
                        <w:r>
                          <w:rPr>
                            <w:rFonts w:ascii="Times New Roman" w:hAnsi="Times New Roman" w:cs="Times New Roman"/>
                            <w:sz w:val="24"/>
                            <w:szCs w:val="24"/>
                          </w:rPr>
                          <w:t>spent</w:t>
                        </w:r>
                        <w:r>
                          <w:rPr>
                            <w:rFonts w:ascii="Times New Roman" w:hAnsi="Times New Roman" w:cs="Times New Roman"/>
                            <w:spacing w:val="-7"/>
                            <w:sz w:val="24"/>
                            <w:szCs w:val="24"/>
                          </w:rPr>
                          <w:t xml:space="preserve"> </w:t>
                        </w:r>
                        <w:r>
                          <w:rPr>
                            <w:rFonts w:ascii="Times New Roman" w:hAnsi="Times New Roman" w:cs="Times New Roman"/>
                            <w:sz w:val="24"/>
                            <w:szCs w:val="24"/>
                          </w:rPr>
                          <w:t>the</w:t>
                        </w:r>
                        <w:r>
                          <w:rPr>
                            <w:rFonts w:ascii="Times New Roman" w:hAnsi="Times New Roman" w:cs="Times New Roman"/>
                            <w:spacing w:val="-8"/>
                            <w:sz w:val="24"/>
                            <w:szCs w:val="24"/>
                          </w:rPr>
                          <w:t xml:space="preserve"> </w:t>
                        </w:r>
                        <w:r>
                          <w:rPr>
                            <w:rFonts w:ascii="Times New Roman" w:hAnsi="Times New Roman" w:cs="Times New Roman"/>
                            <w:sz w:val="24"/>
                            <w:szCs w:val="24"/>
                          </w:rPr>
                          <w:t>highest</w:t>
                        </w:r>
                        <w:r>
                          <w:rPr>
                            <w:rFonts w:ascii="Times New Roman" w:hAnsi="Times New Roman" w:cs="Times New Roman"/>
                            <w:spacing w:val="-7"/>
                            <w:sz w:val="24"/>
                            <w:szCs w:val="24"/>
                          </w:rPr>
                          <w:t xml:space="preserve"> </w:t>
                        </w:r>
                        <w:r>
                          <w:rPr>
                            <w:rFonts w:ascii="Times New Roman" w:hAnsi="Times New Roman" w:cs="Times New Roman"/>
                            <w:sz w:val="24"/>
                            <w:szCs w:val="24"/>
                          </w:rPr>
                          <w:t>proportion</w:t>
                        </w:r>
                        <w:r>
                          <w:rPr>
                            <w:rFonts w:ascii="Times New Roman" w:hAnsi="Times New Roman" w:cs="Times New Roman"/>
                            <w:spacing w:val="-7"/>
                            <w:sz w:val="24"/>
                            <w:szCs w:val="24"/>
                          </w:rPr>
                          <w:t xml:space="preserve"> </w:t>
                        </w:r>
                        <w:r>
                          <w:rPr>
                            <w:rFonts w:ascii="Times New Roman" w:hAnsi="Times New Roman" w:cs="Times New Roman"/>
                            <w:sz w:val="24"/>
                            <w:szCs w:val="24"/>
                          </w:rPr>
                          <w:t>of</w:t>
                        </w:r>
                        <w:r>
                          <w:rPr>
                            <w:rFonts w:ascii="Times New Roman" w:hAnsi="Times New Roman" w:cs="Times New Roman"/>
                            <w:spacing w:val="-8"/>
                            <w:sz w:val="24"/>
                            <w:szCs w:val="24"/>
                          </w:rPr>
                          <w:t xml:space="preserve"> </w:t>
                        </w:r>
                        <w:r>
                          <w:rPr>
                            <w:rFonts w:ascii="Times New Roman" w:hAnsi="Times New Roman" w:cs="Times New Roman"/>
                            <w:sz w:val="24"/>
                            <w:szCs w:val="24"/>
                          </w:rPr>
                          <w:t>their</w:t>
                        </w:r>
                        <w:r>
                          <w:rPr>
                            <w:rFonts w:ascii="Times New Roman" w:hAnsi="Times New Roman" w:cs="Times New Roman"/>
                            <w:spacing w:val="-8"/>
                            <w:sz w:val="24"/>
                            <w:szCs w:val="24"/>
                          </w:rPr>
                          <w:t xml:space="preserve"> </w:t>
                        </w:r>
                        <w:r>
                          <w:rPr>
                            <w:rFonts w:ascii="Times New Roman" w:hAnsi="Times New Roman" w:cs="Times New Roman"/>
                            <w:sz w:val="24"/>
                            <w:szCs w:val="24"/>
                          </w:rPr>
                          <w:t>time</w:t>
                        </w:r>
                        <w:r>
                          <w:rPr>
                            <w:rFonts w:ascii="Times New Roman" w:hAnsi="Times New Roman" w:cs="Times New Roman"/>
                            <w:spacing w:val="-8"/>
                            <w:sz w:val="24"/>
                            <w:szCs w:val="24"/>
                          </w:rPr>
                          <w:t xml:space="preserve"> </w:t>
                        </w:r>
                        <w:r>
                          <w:rPr>
                            <w:rFonts w:ascii="Times New Roman" w:hAnsi="Times New Roman" w:cs="Times New Roman"/>
                            <w:sz w:val="24"/>
                            <w:szCs w:val="24"/>
                          </w:rPr>
                          <w:t>on</w:t>
                        </w:r>
                        <w:r>
                          <w:rPr>
                            <w:rFonts w:ascii="Times New Roman" w:hAnsi="Times New Roman" w:cs="Times New Roman"/>
                            <w:spacing w:val="-7"/>
                            <w:sz w:val="24"/>
                            <w:szCs w:val="24"/>
                          </w:rPr>
                          <w:t xml:space="preserve"> </w:t>
                        </w:r>
                        <w:r>
                          <w:rPr>
                            <w:rFonts w:ascii="Times New Roman" w:hAnsi="Times New Roman" w:cs="Times New Roman"/>
                            <w:sz w:val="24"/>
                            <w:szCs w:val="24"/>
                          </w:rPr>
                          <w:t>administration</w:t>
                        </w:r>
                      </w:p>
                    </w:txbxContent>
                  </v:textbox>
                </v:shape>
                <w10:wrap anchorx="page"/>
              </v:group>
            </w:pict>
          </mc:Fallback>
        </mc:AlternateContent>
      </w:r>
      <w:r w:rsidR="002C5025">
        <w:t>A</w:t>
      </w:r>
      <w:r w:rsidR="002C5025">
        <w:rPr>
          <w:spacing w:val="-4"/>
        </w:rPr>
        <w:t xml:space="preserve"> </w:t>
      </w:r>
      <w:r w:rsidR="002C5025">
        <w:t>2014</w:t>
      </w:r>
      <w:r w:rsidR="002C5025">
        <w:rPr>
          <w:spacing w:val="-4"/>
        </w:rPr>
        <w:t xml:space="preserve"> </w:t>
      </w:r>
      <w:r w:rsidR="002C5025">
        <w:t>survey</w:t>
      </w:r>
      <w:r w:rsidR="002C5025">
        <w:rPr>
          <w:spacing w:val="-9"/>
        </w:rPr>
        <w:t xml:space="preserve"> </w:t>
      </w:r>
      <w:r w:rsidR="002C5025">
        <w:t>of</w:t>
      </w:r>
      <w:r w:rsidR="002C5025">
        <w:rPr>
          <w:spacing w:val="-5"/>
        </w:rPr>
        <w:t xml:space="preserve"> </w:t>
      </w:r>
      <w:r w:rsidR="002C5025">
        <w:t>over</w:t>
      </w:r>
      <w:r w:rsidR="002C5025">
        <w:rPr>
          <w:spacing w:val="-5"/>
        </w:rPr>
        <w:t xml:space="preserve"> </w:t>
      </w:r>
      <w:r w:rsidR="002C5025">
        <w:t>4000</w:t>
      </w:r>
      <w:r w:rsidR="002C5025">
        <w:rPr>
          <w:spacing w:val="-4"/>
        </w:rPr>
        <w:t xml:space="preserve"> </w:t>
      </w:r>
      <w:r w:rsidR="002C5025">
        <w:t>physicians</w:t>
      </w:r>
      <w:r w:rsidR="002C5025">
        <w:rPr>
          <w:spacing w:val="-1"/>
        </w:rPr>
        <w:t xml:space="preserve"> </w:t>
      </w:r>
      <w:r w:rsidR="002C5025">
        <w:t>found</w:t>
      </w:r>
      <w:r w:rsidR="002C5025">
        <w:rPr>
          <w:spacing w:val="-4"/>
        </w:rPr>
        <w:t xml:space="preserve"> </w:t>
      </w:r>
      <w:r w:rsidR="002C5025">
        <w:t>the</w:t>
      </w:r>
      <w:r w:rsidR="002C5025">
        <w:rPr>
          <w:spacing w:val="-2"/>
        </w:rPr>
        <w:t xml:space="preserve"> </w:t>
      </w:r>
      <w:r w:rsidR="002C5025">
        <w:t>average</w:t>
      </w:r>
      <w:r w:rsidR="002C5025">
        <w:rPr>
          <w:spacing w:val="-2"/>
        </w:rPr>
        <w:t xml:space="preserve"> </w:t>
      </w:r>
      <w:r w:rsidR="002C5025">
        <w:t>doctor</w:t>
      </w:r>
      <w:r w:rsidR="002C5025">
        <w:rPr>
          <w:spacing w:val="-5"/>
        </w:rPr>
        <w:t xml:space="preserve"> </w:t>
      </w:r>
      <w:r w:rsidR="002C5025">
        <w:t>spent</w:t>
      </w:r>
      <w:r w:rsidR="002C5025">
        <w:rPr>
          <w:spacing w:val="-3"/>
        </w:rPr>
        <w:t xml:space="preserve"> </w:t>
      </w:r>
      <w:r w:rsidR="002C5025">
        <w:t>8.7</w:t>
      </w:r>
      <w:r w:rsidR="002C5025">
        <w:rPr>
          <w:spacing w:val="-4"/>
        </w:rPr>
        <w:t xml:space="preserve"> </w:t>
      </w:r>
      <w:r w:rsidR="002C5025">
        <w:t>hours</w:t>
      </w:r>
      <w:r w:rsidR="002C5025">
        <w:rPr>
          <w:spacing w:val="-4"/>
        </w:rPr>
        <w:t xml:space="preserve"> </w:t>
      </w:r>
      <w:r w:rsidR="002C5025">
        <w:t>per</w:t>
      </w:r>
      <w:r w:rsidR="002C5025">
        <w:rPr>
          <w:spacing w:val="-5"/>
        </w:rPr>
        <w:t xml:space="preserve"> </w:t>
      </w:r>
      <w:r w:rsidR="002C5025">
        <w:t>week</w:t>
      </w:r>
      <w:r w:rsidR="002C5025">
        <w:rPr>
          <w:spacing w:val="-1"/>
        </w:rPr>
        <w:t xml:space="preserve"> </w:t>
      </w:r>
      <w:r w:rsidR="002C5025">
        <w:t>(16.6%</w:t>
      </w:r>
      <w:r w:rsidR="002C5025">
        <w:rPr>
          <w:spacing w:val="-5"/>
        </w:rPr>
        <w:t xml:space="preserve"> </w:t>
      </w:r>
      <w:r w:rsidR="002C5025">
        <w:t>of</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FB027C">
      <w:pPr>
        <w:pStyle w:val="BodyText"/>
        <w:kinsoku w:val="0"/>
        <w:overflowPunct w:val="0"/>
        <w:spacing w:before="2"/>
        <w:rPr>
          <w:rFonts w:ascii="Times New Roman" w:hAnsi="Times New Roman" w:cs="Times New Roman"/>
          <w:sz w:val="18"/>
          <w:szCs w:val="18"/>
        </w:rPr>
      </w:pPr>
      <w:r>
        <w:rPr>
          <w:noProof/>
        </w:rPr>
        <mc:AlternateContent>
          <mc:Choice Requires="wps">
            <w:drawing>
              <wp:anchor distT="0" distB="0" distL="0" distR="0" simplePos="0" relativeHeight="251628032" behindDoc="0" locked="0" layoutInCell="0" allowOverlap="1">
                <wp:simplePos x="0" y="0"/>
                <wp:positionH relativeFrom="page">
                  <wp:posOffset>609600</wp:posOffset>
                </wp:positionH>
                <wp:positionV relativeFrom="paragraph">
                  <wp:posOffset>161290</wp:posOffset>
                </wp:positionV>
                <wp:extent cx="1828800" cy="12700"/>
                <wp:effectExtent l="0" t="0" r="0" b="0"/>
                <wp:wrapTopAndBottom/>
                <wp:docPr id="614" name="Freeform 4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w 2880"/>
                            <a:gd name="T1" fmla="*/ 0 h 20"/>
                            <a:gd name="T2" fmla="*/ 2880 w 2880"/>
                            <a:gd name="T3" fmla="*/ 0 h 20"/>
                          </a:gdLst>
                          <a:ahLst/>
                          <a:cxnLst>
                            <a:cxn ang="0">
                              <a:pos x="T0" y="T1"/>
                            </a:cxn>
                            <a:cxn ang="0">
                              <a:pos x="T2" y="T3"/>
                            </a:cxn>
                          </a:cxnLst>
                          <a:rect l="0" t="0" r="r" b="b"/>
                          <a:pathLst>
                            <a:path w="2880" h="20">
                              <a:moveTo>
                                <a:pt x="0" y="0"/>
                              </a:moveTo>
                              <a:lnTo>
                                <a:pt x="2880"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11" o:spid="_x0000_s1026" style="position:absolute;z-index:251628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48pt,12.7pt,192pt,12.7pt" coordsize="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" o:allowincell="f" filled="f" strokeweight=".20458mm">
                <v:path arrowok="t" o:connecttype="custom" o:connectlocs="0,0;1828800,0" o:connectangles="0,0"/>
                <w10:wrap type="topAndBottom" anchorx="page"/>
              </v:polyline>
            </w:pict>
          </mc:Fallback>
        </mc:AlternateContent>
      </w:r>
    </w:p>
    <w:p w:rsidR="002C5025" w:rsidRDefault="002C5025">
      <w:pPr>
        <w:pStyle w:val="BodyText"/>
        <w:tabs>
          <w:tab w:val="left" w:pos="536"/>
        </w:tabs>
        <w:kinsoku w:val="0"/>
        <w:overflowPunct w:val="0"/>
        <w:spacing w:line="245" w:lineRule="exact"/>
        <w:ind w:left="143" w:right="353"/>
        <w:rPr>
          <w:rFonts w:ascii="Times New Roman" w:hAnsi="Times New Roman" w:cs="Times New Roman"/>
          <w:sz w:val="19"/>
          <w:szCs w:val="19"/>
        </w:rPr>
      </w:pPr>
      <w:r>
        <w:rPr>
          <w:rFonts w:ascii="Times New Roman" w:hAnsi="Times New Roman" w:cs="Times New Roman"/>
          <w:position w:val="9"/>
          <w:sz w:val="13"/>
          <w:szCs w:val="13"/>
        </w:rPr>
        <w:t>28</w:t>
      </w:r>
      <w:r>
        <w:rPr>
          <w:rFonts w:ascii="Times New Roman" w:hAnsi="Times New Roman" w:cs="Times New Roman"/>
          <w:position w:val="9"/>
          <w:sz w:val="13"/>
          <w:szCs w:val="13"/>
        </w:rPr>
        <w:tab/>
      </w:r>
      <w:hyperlink r:id="rId283" w:history="1">
        <w:r>
          <w:rPr>
            <w:rFonts w:ascii="Times New Roman" w:hAnsi="Times New Roman" w:cs="Times New Roman"/>
            <w:sz w:val="19"/>
            <w:szCs w:val="19"/>
          </w:rPr>
          <w:t>http://www.nehi.net/writable/publication_files/file/jhf-nehi_chw_issue_brief_web_ready_.pdf</w:t>
        </w:r>
      </w:hyperlink>
    </w:p>
    <w:p w:rsidR="002C5025" w:rsidRDefault="002C5025">
      <w:pPr>
        <w:pStyle w:val="BodyText"/>
        <w:kinsoku w:val="0"/>
        <w:overflowPunct w:val="0"/>
        <w:spacing w:line="252" w:lineRule="auto"/>
        <w:ind w:left="143" w:right="353"/>
        <w:rPr>
          <w:rFonts w:ascii="Times New Roman" w:hAnsi="Times New Roman" w:cs="Times New Roman"/>
          <w:color w:val="1F1F1F"/>
          <w:w w:val="105"/>
          <w:sz w:val="19"/>
          <w:szCs w:val="19"/>
        </w:rPr>
      </w:pPr>
      <w:r>
        <w:rPr>
          <w:rFonts w:ascii="Times New Roman" w:hAnsi="Times New Roman" w:cs="Times New Roman"/>
          <w:w w:val="105"/>
          <w:position w:val="9"/>
          <w:sz w:val="13"/>
          <w:szCs w:val="13"/>
        </w:rPr>
        <w:t>29</w:t>
      </w:r>
      <w:r>
        <w:rPr>
          <w:rFonts w:ascii="Times New Roman" w:hAnsi="Times New Roman" w:cs="Times New Roman"/>
          <w:spacing w:val="5"/>
          <w:w w:val="105"/>
          <w:position w:val="9"/>
          <w:sz w:val="13"/>
          <w:szCs w:val="13"/>
        </w:rPr>
        <w:t xml:space="preserve"> </w:t>
      </w:r>
      <w:r>
        <w:rPr>
          <w:rFonts w:ascii="Times New Roman" w:hAnsi="Times New Roman" w:cs="Times New Roman"/>
          <w:color w:val="1F1F1F"/>
          <w:w w:val="105"/>
          <w:sz w:val="19"/>
          <w:szCs w:val="19"/>
        </w:rPr>
        <w:t>Collins</w:t>
      </w:r>
      <w:r>
        <w:rPr>
          <w:rFonts w:ascii="Times New Roman" w:hAnsi="Times New Roman" w:cs="Times New Roman"/>
          <w:color w:val="1F1F1F"/>
          <w:spacing w:val="-10"/>
          <w:w w:val="105"/>
          <w:sz w:val="19"/>
          <w:szCs w:val="19"/>
        </w:rPr>
        <w:t xml:space="preserve"> </w:t>
      </w:r>
      <w:r>
        <w:rPr>
          <w:rFonts w:ascii="Times New Roman" w:hAnsi="Times New Roman" w:cs="Times New Roman"/>
          <w:color w:val="1F1F1F"/>
          <w:w w:val="105"/>
          <w:sz w:val="19"/>
          <w:szCs w:val="19"/>
        </w:rPr>
        <w:t>SR,</w:t>
      </w:r>
      <w:r>
        <w:rPr>
          <w:rFonts w:ascii="Times New Roman" w:hAnsi="Times New Roman" w:cs="Times New Roman"/>
          <w:color w:val="1F1F1F"/>
          <w:spacing w:val="-7"/>
          <w:w w:val="105"/>
          <w:sz w:val="19"/>
          <w:szCs w:val="19"/>
        </w:rPr>
        <w:t xml:space="preserve"> </w:t>
      </w:r>
      <w:proofErr w:type="spellStart"/>
      <w:r>
        <w:rPr>
          <w:rFonts w:ascii="Times New Roman" w:hAnsi="Times New Roman" w:cs="Times New Roman"/>
          <w:color w:val="1F1F1F"/>
          <w:w w:val="105"/>
          <w:sz w:val="19"/>
          <w:szCs w:val="19"/>
        </w:rPr>
        <w:t>Nuzum</w:t>
      </w:r>
      <w:proofErr w:type="spellEnd"/>
      <w:r>
        <w:rPr>
          <w:rFonts w:ascii="Times New Roman" w:hAnsi="Times New Roman" w:cs="Times New Roman"/>
          <w:color w:val="1F1F1F"/>
          <w:spacing w:val="-6"/>
          <w:w w:val="105"/>
          <w:sz w:val="19"/>
          <w:szCs w:val="19"/>
        </w:rPr>
        <w:t xml:space="preserve"> </w:t>
      </w:r>
      <w:r>
        <w:rPr>
          <w:rFonts w:ascii="Times New Roman" w:hAnsi="Times New Roman" w:cs="Times New Roman"/>
          <w:color w:val="1F1F1F"/>
          <w:w w:val="105"/>
          <w:sz w:val="19"/>
          <w:szCs w:val="19"/>
        </w:rPr>
        <w:t>R,</w:t>
      </w:r>
      <w:r>
        <w:rPr>
          <w:rFonts w:ascii="Times New Roman" w:hAnsi="Times New Roman" w:cs="Times New Roman"/>
          <w:color w:val="1F1F1F"/>
          <w:spacing w:val="-7"/>
          <w:w w:val="105"/>
          <w:sz w:val="19"/>
          <w:szCs w:val="19"/>
        </w:rPr>
        <w:t xml:space="preserve"> </w:t>
      </w:r>
      <w:proofErr w:type="spellStart"/>
      <w:r>
        <w:rPr>
          <w:rFonts w:ascii="Times New Roman" w:hAnsi="Times New Roman" w:cs="Times New Roman"/>
          <w:color w:val="1F1F1F"/>
          <w:w w:val="105"/>
          <w:sz w:val="19"/>
          <w:szCs w:val="19"/>
        </w:rPr>
        <w:t>Rustgi</w:t>
      </w:r>
      <w:proofErr w:type="spellEnd"/>
      <w:r>
        <w:rPr>
          <w:rFonts w:ascii="Times New Roman" w:hAnsi="Times New Roman" w:cs="Times New Roman"/>
          <w:color w:val="1F1F1F"/>
          <w:spacing w:val="-7"/>
          <w:w w:val="105"/>
          <w:sz w:val="19"/>
          <w:szCs w:val="19"/>
        </w:rPr>
        <w:t xml:space="preserve"> </w:t>
      </w:r>
      <w:r>
        <w:rPr>
          <w:rFonts w:ascii="Times New Roman" w:hAnsi="Times New Roman" w:cs="Times New Roman"/>
          <w:color w:val="1F1F1F"/>
          <w:w w:val="105"/>
          <w:sz w:val="19"/>
          <w:szCs w:val="19"/>
        </w:rPr>
        <w:t>SD,</w:t>
      </w:r>
      <w:r>
        <w:rPr>
          <w:rFonts w:ascii="Times New Roman" w:hAnsi="Times New Roman" w:cs="Times New Roman"/>
          <w:color w:val="1F1F1F"/>
          <w:spacing w:val="-7"/>
          <w:w w:val="105"/>
          <w:sz w:val="19"/>
          <w:szCs w:val="19"/>
        </w:rPr>
        <w:t xml:space="preserve"> </w:t>
      </w:r>
      <w:r>
        <w:rPr>
          <w:rFonts w:ascii="Times New Roman" w:hAnsi="Times New Roman" w:cs="Times New Roman"/>
          <w:color w:val="1F1F1F"/>
          <w:w w:val="105"/>
          <w:sz w:val="19"/>
          <w:szCs w:val="19"/>
        </w:rPr>
        <w:t>Mika</w:t>
      </w:r>
      <w:r>
        <w:rPr>
          <w:rFonts w:ascii="Times New Roman" w:hAnsi="Times New Roman" w:cs="Times New Roman"/>
          <w:color w:val="1F1F1F"/>
          <w:spacing w:val="-9"/>
          <w:w w:val="105"/>
          <w:sz w:val="19"/>
          <w:szCs w:val="19"/>
        </w:rPr>
        <w:t xml:space="preserve"> </w:t>
      </w:r>
      <w:r>
        <w:rPr>
          <w:rFonts w:ascii="Times New Roman" w:hAnsi="Times New Roman" w:cs="Times New Roman"/>
          <w:color w:val="1F1F1F"/>
          <w:w w:val="105"/>
          <w:sz w:val="19"/>
          <w:szCs w:val="19"/>
        </w:rPr>
        <w:t>S,</w:t>
      </w:r>
      <w:r>
        <w:rPr>
          <w:rFonts w:ascii="Times New Roman" w:hAnsi="Times New Roman" w:cs="Times New Roman"/>
          <w:color w:val="1F1F1F"/>
          <w:spacing w:val="-9"/>
          <w:w w:val="105"/>
          <w:sz w:val="19"/>
          <w:szCs w:val="19"/>
        </w:rPr>
        <w:t xml:space="preserve"> </w:t>
      </w:r>
      <w:r>
        <w:rPr>
          <w:rFonts w:ascii="Times New Roman" w:hAnsi="Times New Roman" w:cs="Times New Roman"/>
          <w:color w:val="1F1F1F"/>
          <w:w w:val="105"/>
          <w:sz w:val="19"/>
          <w:szCs w:val="19"/>
        </w:rPr>
        <w:t>Schoen</w:t>
      </w:r>
      <w:r>
        <w:rPr>
          <w:rFonts w:ascii="Times New Roman" w:hAnsi="Times New Roman" w:cs="Times New Roman"/>
          <w:color w:val="1F1F1F"/>
          <w:spacing w:val="-8"/>
          <w:w w:val="105"/>
          <w:sz w:val="19"/>
          <w:szCs w:val="19"/>
        </w:rPr>
        <w:t xml:space="preserve"> </w:t>
      </w:r>
      <w:r>
        <w:rPr>
          <w:rFonts w:ascii="Times New Roman" w:hAnsi="Times New Roman" w:cs="Times New Roman"/>
          <w:color w:val="1F1F1F"/>
          <w:w w:val="105"/>
          <w:sz w:val="19"/>
          <w:szCs w:val="19"/>
        </w:rPr>
        <w:t>C,</w:t>
      </w:r>
      <w:r>
        <w:rPr>
          <w:rFonts w:ascii="Times New Roman" w:hAnsi="Times New Roman" w:cs="Times New Roman"/>
          <w:color w:val="1F1F1F"/>
          <w:spacing w:val="-7"/>
          <w:w w:val="105"/>
          <w:sz w:val="19"/>
          <w:szCs w:val="19"/>
        </w:rPr>
        <w:t xml:space="preserve"> </w:t>
      </w:r>
      <w:r>
        <w:rPr>
          <w:rFonts w:ascii="Times New Roman" w:hAnsi="Times New Roman" w:cs="Times New Roman"/>
          <w:color w:val="1F1F1F"/>
          <w:w w:val="105"/>
          <w:sz w:val="19"/>
          <w:szCs w:val="19"/>
        </w:rPr>
        <w:t>Davis</w:t>
      </w:r>
      <w:r>
        <w:rPr>
          <w:rFonts w:ascii="Times New Roman" w:hAnsi="Times New Roman" w:cs="Times New Roman"/>
          <w:color w:val="1F1F1F"/>
          <w:spacing w:val="-8"/>
          <w:w w:val="105"/>
          <w:sz w:val="19"/>
          <w:szCs w:val="19"/>
        </w:rPr>
        <w:t xml:space="preserve"> </w:t>
      </w:r>
      <w:r>
        <w:rPr>
          <w:rFonts w:ascii="Times New Roman" w:hAnsi="Times New Roman" w:cs="Times New Roman"/>
          <w:color w:val="1F1F1F"/>
          <w:w w:val="105"/>
          <w:sz w:val="19"/>
          <w:szCs w:val="19"/>
        </w:rPr>
        <w:t>K.</w:t>
      </w:r>
      <w:r>
        <w:rPr>
          <w:rFonts w:ascii="Times New Roman" w:hAnsi="Times New Roman" w:cs="Times New Roman"/>
          <w:color w:val="1F1F1F"/>
          <w:spacing w:val="-7"/>
          <w:w w:val="105"/>
          <w:sz w:val="19"/>
          <w:szCs w:val="19"/>
        </w:rPr>
        <w:t xml:space="preserve"> </w:t>
      </w:r>
      <w:r>
        <w:rPr>
          <w:rFonts w:ascii="Times New Roman" w:hAnsi="Times New Roman" w:cs="Times New Roman"/>
          <w:color w:val="1F1F1F"/>
          <w:w w:val="105"/>
          <w:sz w:val="19"/>
          <w:szCs w:val="19"/>
        </w:rPr>
        <w:t>How</w:t>
      </w:r>
      <w:r>
        <w:rPr>
          <w:rFonts w:ascii="Times New Roman" w:hAnsi="Times New Roman" w:cs="Times New Roman"/>
          <w:color w:val="1F1F1F"/>
          <w:spacing w:val="-6"/>
          <w:w w:val="105"/>
          <w:sz w:val="19"/>
          <w:szCs w:val="19"/>
        </w:rPr>
        <w:t xml:space="preserve"> </w:t>
      </w:r>
      <w:r>
        <w:rPr>
          <w:rFonts w:ascii="Times New Roman" w:hAnsi="Times New Roman" w:cs="Times New Roman"/>
          <w:color w:val="1F1F1F"/>
          <w:w w:val="105"/>
          <w:sz w:val="19"/>
          <w:szCs w:val="19"/>
        </w:rPr>
        <w:t>health</w:t>
      </w:r>
      <w:r>
        <w:rPr>
          <w:rFonts w:ascii="Times New Roman" w:hAnsi="Times New Roman" w:cs="Times New Roman"/>
          <w:color w:val="1F1F1F"/>
          <w:spacing w:val="-10"/>
          <w:w w:val="105"/>
          <w:sz w:val="19"/>
          <w:szCs w:val="19"/>
        </w:rPr>
        <w:t xml:space="preserve"> </w:t>
      </w:r>
      <w:r>
        <w:rPr>
          <w:rFonts w:ascii="Times New Roman" w:hAnsi="Times New Roman" w:cs="Times New Roman"/>
          <w:color w:val="1F1F1F"/>
          <w:w w:val="105"/>
          <w:sz w:val="19"/>
          <w:szCs w:val="19"/>
        </w:rPr>
        <w:t>care</w:t>
      </w:r>
      <w:r>
        <w:rPr>
          <w:rFonts w:ascii="Times New Roman" w:hAnsi="Times New Roman" w:cs="Times New Roman"/>
          <w:color w:val="1F1F1F"/>
          <w:spacing w:val="-9"/>
          <w:w w:val="105"/>
          <w:sz w:val="19"/>
          <w:szCs w:val="19"/>
        </w:rPr>
        <w:t xml:space="preserve"> </w:t>
      </w:r>
      <w:r>
        <w:rPr>
          <w:rFonts w:ascii="Times New Roman" w:hAnsi="Times New Roman" w:cs="Times New Roman"/>
          <w:color w:val="1F1F1F"/>
          <w:w w:val="105"/>
          <w:sz w:val="19"/>
          <w:szCs w:val="19"/>
        </w:rPr>
        <w:t>reform</w:t>
      </w:r>
      <w:r>
        <w:rPr>
          <w:rFonts w:ascii="Times New Roman" w:hAnsi="Times New Roman" w:cs="Times New Roman"/>
          <w:color w:val="1F1F1F"/>
          <w:spacing w:val="-7"/>
          <w:w w:val="105"/>
          <w:sz w:val="19"/>
          <w:szCs w:val="19"/>
        </w:rPr>
        <w:t xml:space="preserve"> </w:t>
      </w:r>
      <w:r>
        <w:rPr>
          <w:rFonts w:ascii="Times New Roman" w:hAnsi="Times New Roman" w:cs="Times New Roman"/>
          <w:color w:val="1F1F1F"/>
          <w:w w:val="105"/>
          <w:sz w:val="19"/>
          <w:szCs w:val="19"/>
        </w:rPr>
        <w:t>can</w:t>
      </w:r>
      <w:r>
        <w:rPr>
          <w:rFonts w:ascii="Times New Roman" w:hAnsi="Times New Roman" w:cs="Times New Roman"/>
          <w:color w:val="1F1F1F"/>
          <w:spacing w:val="-10"/>
          <w:w w:val="105"/>
          <w:sz w:val="19"/>
          <w:szCs w:val="19"/>
        </w:rPr>
        <w:t xml:space="preserve"> </w:t>
      </w:r>
      <w:r>
        <w:rPr>
          <w:rFonts w:ascii="Times New Roman" w:hAnsi="Times New Roman" w:cs="Times New Roman"/>
          <w:color w:val="1F1F1F"/>
          <w:w w:val="105"/>
          <w:sz w:val="19"/>
          <w:szCs w:val="19"/>
        </w:rPr>
        <w:t>lower</w:t>
      </w:r>
      <w:r>
        <w:rPr>
          <w:rFonts w:ascii="Times New Roman" w:hAnsi="Times New Roman" w:cs="Times New Roman"/>
          <w:color w:val="1F1F1F"/>
          <w:spacing w:val="-11"/>
          <w:w w:val="105"/>
          <w:sz w:val="19"/>
          <w:szCs w:val="19"/>
        </w:rPr>
        <w:t xml:space="preserve"> </w:t>
      </w:r>
      <w:r>
        <w:rPr>
          <w:rFonts w:ascii="Times New Roman" w:hAnsi="Times New Roman" w:cs="Times New Roman"/>
          <w:color w:val="1F1F1F"/>
          <w:w w:val="105"/>
          <w:sz w:val="19"/>
          <w:szCs w:val="19"/>
        </w:rPr>
        <w:t>the</w:t>
      </w:r>
      <w:r>
        <w:rPr>
          <w:rFonts w:ascii="Times New Roman" w:hAnsi="Times New Roman" w:cs="Times New Roman"/>
          <w:color w:val="1F1F1F"/>
          <w:spacing w:val="-9"/>
          <w:w w:val="105"/>
          <w:sz w:val="19"/>
          <w:szCs w:val="19"/>
        </w:rPr>
        <w:t xml:space="preserve"> </w:t>
      </w:r>
      <w:r>
        <w:rPr>
          <w:rFonts w:ascii="Times New Roman" w:hAnsi="Times New Roman" w:cs="Times New Roman"/>
          <w:color w:val="1F1F1F"/>
          <w:w w:val="105"/>
          <w:sz w:val="19"/>
          <w:szCs w:val="19"/>
        </w:rPr>
        <w:t>costs</w:t>
      </w:r>
      <w:r>
        <w:rPr>
          <w:rFonts w:ascii="Times New Roman" w:hAnsi="Times New Roman" w:cs="Times New Roman"/>
          <w:color w:val="1F1F1F"/>
          <w:spacing w:val="-8"/>
          <w:w w:val="105"/>
          <w:sz w:val="19"/>
          <w:szCs w:val="19"/>
        </w:rPr>
        <w:t xml:space="preserve"> </w:t>
      </w:r>
      <w:r>
        <w:rPr>
          <w:rFonts w:ascii="Times New Roman" w:hAnsi="Times New Roman" w:cs="Times New Roman"/>
          <w:color w:val="1F1F1F"/>
          <w:w w:val="105"/>
          <w:sz w:val="19"/>
          <w:szCs w:val="19"/>
        </w:rPr>
        <w:t>of</w:t>
      </w:r>
      <w:r>
        <w:rPr>
          <w:rFonts w:ascii="Times New Roman" w:hAnsi="Times New Roman" w:cs="Times New Roman"/>
          <w:color w:val="1F1F1F"/>
          <w:spacing w:val="-11"/>
          <w:w w:val="105"/>
          <w:sz w:val="19"/>
          <w:szCs w:val="19"/>
        </w:rPr>
        <w:t xml:space="preserve"> </w:t>
      </w:r>
      <w:r>
        <w:rPr>
          <w:rFonts w:ascii="Times New Roman" w:hAnsi="Times New Roman" w:cs="Times New Roman"/>
          <w:color w:val="1F1F1F"/>
          <w:w w:val="105"/>
          <w:sz w:val="19"/>
          <w:szCs w:val="19"/>
        </w:rPr>
        <w:t>insurance administration.</w:t>
      </w:r>
      <w:r>
        <w:rPr>
          <w:rFonts w:ascii="Times New Roman" w:hAnsi="Times New Roman" w:cs="Times New Roman"/>
          <w:color w:val="1F1F1F"/>
          <w:spacing w:val="-24"/>
          <w:w w:val="105"/>
          <w:sz w:val="19"/>
          <w:szCs w:val="19"/>
        </w:rPr>
        <w:t xml:space="preserve"> </w:t>
      </w:r>
      <w:r>
        <w:rPr>
          <w:rFonts w:ascii="Times New Roman" w:hAnsi="Times New Roman" w:cs="Times New Roman"/>
          <w:color w:val="1F1F1F"/>
          <w:w w:val="105"/>
          <w:sz w:val="19"/>
          <w:szCs w:val="19"/>
        </w:rPr>
        <w:t>Issue</w:t>
      </w:r>
      <w:r>
        <w:rPr>
          <w:rFonts w:ascii="Times New Roman" w:hAnsi="Times New Roman" w:cs="Times New Roman"/>
          <w:color w:val="1F1F1F"/>
          <w:spacing w:val="-24"/>
          <w:w w:val="105"/>
          <w:sz w:val="19"/>
          <w:szCs w:val="19"/>
        </w:rPr>
        <w:t xml:space="preserve"> </w:t>
      </w:r>
      <w:r>
        <w:rPr>
          <w:rFonts w:ascii="Times New Roman" w:hAnsi="Times New Roman" w:cs="Times New Roman"/>
          <w:color w:val="1F1F1F"/>
          <w:w w:val="105"/>
          <w:sz w:val="19"/>
          <w:szCs w:val="19"/>
        </w:rPr>
        <w:t>Brief</w:t>
      </w:r>
      <w:r>
        <w:rPr>
          <w:rFonts w:ascii="Times New Roman" w:hAnsi="Times New Roman" w:cs="Times New Roman"/>
          <w:color w:val="1F1F1F"/>
          <w:spacing w:val="-24"/>
          <w:w w:val="105"/>
          <w:sz w:val="19"/>
          <w:szCs w:val="19"/>
        </w:rPr>
        <w:t xml:space="preserve"> </w:t>
      </w:r>
      <w:r>
        <w:rPr>
          <w:rFonts w:ascii="Times New Roman" w:hAnsi="Times New Roman" w:cs="Times New Roman"/>
          <w:color w:val="1F1F1F"/>
          <w:spacing w:val="2"/>
          <w:w w:val="105"/>
          <w:sz w:val="19"/>
          <w:szCs w:val="19"/>
        </w:rPr>
        <w:t>(</w:t>
      </w:r>
      <w:proofErr w:type="spellStart"/>
      <w:r>
        <w:rPr>
          <w:rFonts w:ascii="Times New Roman" w:hAnsi="Times New Roman" w:cs="Times New Roman"/>
          <w:color w:val="1F1F1F"/>
          <w:spacing w:val="2"/>
          <w:w w:val="105"/>
          <w:sz w:val="19"/>
          <w:szCs w:val="19"/>
        </w:rPr>
        <w:t>Commonw</w:t>
      </w:r>
      <w:proofErr w:type="spellEnd"/>
      <w:r>
        <w:rPr>
          <w:rFonts w:ascii="Times New Roman" w:hAnsi="Times New Roman" w:cs="Times New Roman"/>
          <w:color w:val="1F1F1F"/>
          <w:spacing w:val="-23"/>
          <w:w w:val="105"/>
          <w:sz w:val="19"/>
          <w:szCs w:val="19"/>
        </w:rPr>
        <w:t xml:space="preserve"> </w:t>
      </w:r>
      <w:r>
        <w:rPr>
          <w:rFonts w:ascii="Times New Roman" w:hAnsi="Times New Roman" w:cs="Times New Roman"/>
          <w:color w:val="1F1F1F"/>
          <w:w w:val="105"/>
          <w:sz w:val="19"/>
          <w:szCs w:val="19"/>
        </w:rPr>
        <w:t>Fund)</w:t>
      </w:r>
      <w:r>
        <w:rPr>
          <w:rFonts w:ascii="Times New Roman" w:hAnsi="Times New Roman" w:cs="Times New Roman"/>
          <w:color w:val="1F1F1F"/>
          <w:spacing w:val="-24"/>
          <w:w w:val="105"/>
          <w:sz w:val="19"/>
          <w:szCs w:val="19"/>
        </w:rPr>
        <w:t xml:space="preserve"> </w:t>
      </w:r>
      <w:r>
        <w:rPr>
          <w:rFonts w:ascii="Times New Roman" w:hAnsi="Times New Roman" w:cs="Times New Roman"/>
          <w:color w:val="1F1F1F"/>
          <w:w w:val="105"/>
          <w:sz w:val="19"/>
          <w:szCs w:val="19"/>
        </w:rPr>
        <w:t>2009;61:1–19.</w:t>
      </w:r>
    </w:p>
    <w:p w:rsidR="002C5025" w:rsidRDefault="002C5025">
      <w:pPr>
        <w:pStyle w:val="BodyText"/>
        <w:kinsoku w:val="0"/>
        <w:overflowPunct w:val="0"/>
        <w:spacing w:line="220" w:lineRule="exact"/>
        <w:ind w:left="143" w:right="353"/>
        <w:rPr>
          <w:rFonts w:ascii="Times New Roman" w:hAnsi="Times New Roman" w:cs="Times New Roman"/>
          <w:color w:val="131313"/>
          <w:w w:val="105"/>
          <w:sz w:val="19"/>
          <w:szCs w:val="19"/>
        </w:rPr>
      </w:pPr>
      <w:r>
        <w:rPr>
          <w:rFonts w:ascii="Times New Roman" w:hAnsi="Times New Roman" w:cs="Times New Roman"/>
          <w:w w:val="105"/>
          <w:position w:val="9"/>
          <w:sz w:val="13"/>
          <w:szCs w:val="13"/>
        </w:rPr>
        <w:t xml:space="preserve">30 </w:t>
      </w:r>
      <w:r>
        <w:rPr>
          <w:rFonts w:ascii="Times New Roman" w:hAnsi="Times New Roman" w:cs="Times New Roman"/>
          <w:color w:val="060606"/>
          <w:w w:val="105"/>
          <w:sz w:val="19"/>
          <w:szCs w:val="19"/>
        </w:rPr>
        <w:t xml:space="preserve">A Comparison Of Hospital Administrative Costs In Eight Nations: US Costs Exceed All Others By Far. </w:t>
      </w:r>
      <w:r>
        <w:rPr>
          <w:rFonts w:ascii="Times New Roman" w:hAnsi="Times New Roman" w:cs="Times New Roman"/>
          <w:color w:val="131313"/>
          <w:w w:val="105"/>
          <w:sz w:val="19"/>
          <w:szCs w:val="19"/>
        </w:rPr>
        <w:t>David U.</w:t>
      </w:r>
    </w:p>
    <w:p w:rsidR="002C5025" w:rsidRDefault="002C5025">
      <w:pPr>
        <w:pStyle w:val="BodyText"/>
        <w:kinsoku w:val="0"/>
        <w:overflowPunct w:val="0"/>
        <w:spacing w:before="9" w:line="252" w:lineRule="auto"/>
        <w:ind w:left="143" w:right="353"/>
        <w:rPr>
          <w:rFonts w:ascii="Times New Roman" w:hAnsi="Times New Roman" w:cs="Times New Roman"/>
          <w:color w:val="131313"/>
          <w:spacing w:val="2"/>
          <w:w w:val="105"/>
          <w:sz w:val="19"/>
          <w:szCs w:val="19"/>
        </w:rPr>
      </w:pPr>
      <w:proofErr w:type="spellStart"/>
      <w:r>
        <w:rPr>
          <w:rFonts w:ascii="Times New Roman" w:hAnsi="Times New Roman" w:cs="Times New Roman"/>
          <w:color w:val="131313"/>
          <w:w w:val="105"/>
          <w:sz w:val="19"/>
          <w:szCs w:val="19"/>
        </w:rPr>
        <w:t>Himmelstein</w:t>
      </w:r>
      <w:proofErr w:type="spellEnd"/>
      <w:r>
        <w:rPr>
          <w:rFonts w:ascii="Times New Roman" w:hAnsi="Times New Roman" w:cs="Times New Roman"/>
          <w:color w:val="131313"/>
          <w:w w:val="105"/>
          <w:sz w:val="19"/>
          <w:szCs w:val="19"/>
        </w:rPr>
        <w:t>,</w:t>
      </w:r>
      <w:r>
        <w:rPr>
          <w:rFonts w:ascii="Times New Roman" w:hAnsi="Times New Roman" w:cs="Times New Roman"/>
          <w:color w:val="131313"/>
          <w:spacing w:val="-17"/>
          <w:w w:val="105"/>
          <w:sz w:val="19"/>
          <w:szCs w:val="19"/>
        </w:rPr>
        <w:t xml:space="preserve"> </w:t>
      </w:r>
      <w:proofErr w:type="spellStart"/>
      <w:r>
        <w:rPr>
          <w:rFonts w:ascii="Times New Roman" w:hAnsi="Times New Roman" w:cs="Times New Roman"/>
          <w:color w:val="131313"/>
          <w:w w:val="105"/>
          <w:sz w:val="19"/>
          <w:szCs w:val="19"/>
        </w:rPr>
        <w:t>Miraya</w:t>
      </w:r>
      <w:proofErr w:type="spellEnd"/>
      <w:r>
        <w:rPr>
          <w:rFonts w:ascii="Times New Roman" w:hAnsi="Times New Roman" w:cs="Times New Roman"/>
          <w:color w:val="131313"/>
          <w:spacing w:val="-17"/>
          <w:w w:val="105"/>
          <w:sz w:val="19"/>
          <w:szCs w:val="19"/>
        </w:rPr>
        <w:t xml:space="preserve"> </w:t>
      </w:r>
      <w:r>
        <w:rPr>
          <w:rFonts w:ascii="Times New Roman" w:hAnsi="Times New Roman" w:cs="Times New Roman"/>
          <w:color w:val="131313"/>
          <w:w w:val="105"/>
          <w:sz w:val="19"/>
          <w:szCs w:val="19"/>
        </w:rPr>
        <w:t>Jun,</w:t>
      </w:r>
      <w:r>
        <w:rPr>
          <w:rFonts w:ascii="Times New Roman" w:hAnsi="Times New Roman" w:cs="Times New Roman"/>
          <w:color w:val="131313"/>
          <w:spacing w:val="-17"/>
          <w:w w:val="105"/>
          <w:sz w:val="19"/>
          <w:szCs w:val="19"/>
        </w:rPr>
        <w:t xml:space="preserve"> </w:t>
      </w:r>
      <w:proofErr w:type="spellStart"/>
      <w:r>
        <w:rPr>
          <w:rFonts w:ascii="Times New Roman" w:hAnsi="Times New Roman" w:cs="Times New Roman"/>
          <w:color w:val="131313"/>
          <w:w w:val="105"/>
          <w:sz w:val="19"/>
          <w:szCs w:val="19"/>
        </w:rPr>
        <w:t>Reinhard</w:t>
      </w:r>
      <w:proofErr w:type="spellEnd"/>
      <w:r>
        <w:rPr>
          <w:rFonts w:ascii="Times New Roman" w:hAnsi="Times New Roman" w:cs="Times New Roman"/>
          <w:color w:val="131313"/>
          <w:spacing w:val="-16"/>
          <w:w w:val="105"/>
          <w:sz w:val="19"/>
          <w:szCs w:val="19"/>
        </w:rPr>
        <w:t xml:space="preserve"> </w:t>
      </w:r>
      <w:proofErr w:type="spellStart"/>
      <w:r>
        <w:rPr>
          <w:rFonts w:ascii="Times New Roman" w:hAnsi="Times New Roman" w:cs="Times New Roman"/>
          <w:color w:val="131313"/>
          <w:w w:val="105"/>
          <w:sz w:val="19"/>
          <w:szCs w:val="19"/>
        </w:rPr>
        <w:t>Busse</w:t>
      </w:r>
      <w:proofErr w:type="spellEnd"/>
      <w:r>
        <w:rPr>
          <w:rFonts w:ascii="Times New Roman" w:hAnsi="Times New Roman" w:cs="Times New Roman"/>
          <w:color w:val="131313"/>
          <w:w w:val="105"/>
          <w:sz w:val="19"/>
          <w:szCs w:val="19"/>
        </w:rPr>
        <w:t>,</w:t>
      </w:r>
      <w:r>
        <w:rPr>
          <w:rFonts w:ascii="Times New Roman" w:hAnsi="Times New Roman" w:cs="Times New Roman"/>
          <w:color w:val="131313"/>
          <w:spacing w:val="-17"/>
          <w:w w:val="105"/>
          <w:sz w:val="19"/>
          <w:szCs w:val="19"/>
        </w:rPr>
        <w:t xml:space="preserve"> </w:t>
      </w:r>
      <w:proofErr w:type="spellStart"/>
      <w:r>
        <w:rPr>
          <w:rFonts w:ascii="Times New Roman" w:hAnsi="Times New Roman" w:cs="Times New Roman"/>
          <w:color w:val="131313"/>
          <w:w w:val="105"/>
          <w:sz w:val="19"/>
          <w:szCs w:val="19"/>
        </w:rPr>
        <w:t>Karine</w:t>
      </w:r>
      <w:proofErr w:type="spellEnd"/>
      <w:r>
        <w:rPr>
          <w:rFonts w:ascii="Times New Roman" w:hAnsi="Times New Roman" w:cs="Times New Roman"/>
          <w:color w:val="131313"/>
          <w:spacing w:val="-17"/>
          <w:w w:val="105"/>
          <w:sz w:val="19"/>
          <w:szCs w:val="19"/>
        </w:rPr>
        <w:t xml:space="preserve"> </w:t>
      </w:r>
      <w:proofErr w:type="spellStart"/>
      <w:r>
        <w:rPr>
          <w:rFonts w:ascii="Times New Roman" w:hAnsi="Times New Roman" w:cs="Times New Roman"/>
          <w:color w:val="131313"/>
          <w:w w:val="105"/>
          <w:sz w:val="19"/>
          <w:szCs w:val="19"/>
        </w:rPr>
        <w:t>Chevreul</w:t>
      </w:r>
      <w:proofErr w:type="spellEnd"/>
      <w:r>
        <w:rPr>
          <w:rFonts w:ascii="Times New Roman" w:hAnsi="Times New Roman" w:cs="Times New Roman"/>
          <w:color w:val="131313"/>
          <w:w w:val="105"/>
          <w:sz w:val="19"/>
          <w:szCs w:val="19"/>
        </w:rPr>
        <w:t>,</w:t>
      </w:r>
      <w:r>
        <w:rPr>
          <w:rFonts w:ascii="Times New Roman" w:hAnsi="Times New Roman" w:cs="Times New Roman"/>
          <w:color w:val="131313"/>
          <w:spacing w:val="-15"/>
          <w:w w:val="105"/>
          <w:sz w:val="19"/>
          <w:szCs w:val="19"/>
        </w:rPr>
        <w:t xml:space="preserve"> </w:t>
      </w:r>
      <w:r>
        <w:rPr>
          <w:rFonts w:ascii="Times New Roman" w:hAnsi="Times New Roman" w:cs="Times New Roman"/>
          <w:color w:val="131313"/>
          <w:w w:val="105"/>
          <w:sz w:val="19"/>
          <w:szCs w:val="19"/>
        </w:rPr>
        <w:t>Alexander</w:t>
      </w:r>
      <w:r>
        <w:rPr>
          <w:rFonts w:ascii="Times New Roman" w:hAnsi="Times New Roman" w:cs="Times New Roman"/>
          <w:color w:val="131313"/>
          <w:spacing w:val="-16"/>
          <w:w w:val="105"/>
          <w:sz w:val="19"/>
          <w:szCs w:val="19"/>
        </w:rPr>
        <w:t xml:space="preserve"> </w:t>
      </w:r>
      <w:proofErr w:type="spellStart"/>
      <w:r>
        <w:rPr>
          <w:rFonts w:ascii="Times New Roman" w:hAnsi="Times New Roman" w:cs="Times New Roman"/>
          <w:color w:val="131313"/>
          <w:w w:val="105"/>
          <w:sz w:val="19"/>
          <w:szCs w:val="19"/>
        </w:rPr>
        <w:t>Geissler</w:t>
      </w:r>
      <w:proofErr w:type="spellEnd"/>
      <w:r>
        <w:rPr>
          <w:rFonts w:ascii="Times New Roman" w:hAnsi="Times New Roman" w:cs="Times New Roman"/>
          <w:color w:val="131313"/>
          <w:w w:val="105"/>
          <w:sz w:val="19"/>
          <w:szCs w:val="19"/>
        </w:rPr>
        <w:t>,</w:t>
      </w:r>
      <w:r>
        <w:rPr>
          <w:rFonts w:ascii="Times New Roman" w:hAnsi="Times New Roman" w:cs="Times New Roman"/>
          <w:color w:val="131313"/>
          <w:spacing w:val="-17"/>
          <w:w w:val="105"/>
          <w:sz w:val="19"/>
          <w:szCs w:val="19"/>
        </w:rPr>
        <w:t xml:space="preserve"> </w:t>
      </w:r>
      <w:r>
        <w:rPr>
          <w:rFonts w:ascii="Times New Roman" w:hAnsi="Times New Roman" w:cs="Times New Roman"/>
          <w:color w:val="131313"/>
          <w:w w:val="105"/>
          <w:sz w:val="19"/>
          <w:szCs w:val="19"/>
        </w:rPr>
        <w:t>Patrick</w:t>
      </w:r>
      <w:r>
        <w:rPr>
          <w:rFonts w:ascii="Times New Roman" w:hAnsi="Times New Roman" w:cs="Times New Roman"/>
          <w:color w:val="131313"/>
          <w:spacing w:val="-18"/>
          <w:w w:val="105"/>
          <w:sz w:val="19"/>
          <w:szCs w:val="19"/>
        </w:rPr>
        <w:t xml:space="preserve"> </w:t>
      </w:r>
      <w:proofErr w:type="spellStart"/>
      <w:r>
        <w:rPr>
          <w:rFonts w:ascii="Times New Roman" w:hAnsi="Times New Roman" w:cs="Times New Roman"/>
          <w:color w:val="131313"/>
          <w:w w:val="105"/>
          <w:sz w:val="19"/>
          <w:szCs w:val="19"/>
        </w:rPr>
        <w:t>Jeurissen</w:t>
      </w:r>
      <w:proofErr w:type="spellEnd"/>
      <w:r>
        <w:rPr>
          <w:rFonts w:ascii="Times New Roman" w:hAnsi="Times New Roman" w:cs="Times New Roman"/>
          <w:color w:val="131313"/>
          <w:w w:val="105"/>
          <w:sz w:val="19"/>
          <w:szCs w:val="19"/>
        </w:rPr>
        <w:t>,</w:t>
      </w:r>
      <w:r>
        <w:rPr>
          <w:rFonts w:ascii="Times New Roman" w:hAnsi="Times New Roman" w:cs="Times New Roman"/>
          <w:color w:val="131313"/>
          <w:spacing w:val="-17"/>
          <w:w w:val="105"/>
          <w:sz w:val="19"/>
          <w:szCs w:val="19"/>
        </w:rPr>
        <w:t xml:space="preserve"> </w:t>
      </w:r>
      <w:r>
        <w:rPr>
          <w:rFonts w:ascii="Times New Roman" w:hAnsi="Times New Roman" w:cs="Times New Roman"/>
          <w:color w:val="131313"/>
          <w:w w:val="105"/>
          <w:sz w:val="19"/>
          <w:szCs w:val="19"/>
        </w:rPr>
        <w:t>Sarah</w:t>
      </w:r>
      <w:r>
        <w:rPr>
          <w:rFonts w:ascii="Times New Roman" w:hAnsi="Times New Roman" w:cs="Times New Roman"/>
          <w:color w:val="131313"/>
          <w:spacing w:val="-16"/>
          <w:w w:val="105"/>
          <w:sz w:val="19"/>
          <w:szCs w:val="19"/>
        </w:rPr>
        <w:t xml:space="preserve"> </w:t>
      </w:r>
      <w:r>
        <w:rPr>
          <w:rFonts w:ascii="Times New Roman" w:hAnsi="Times New Roman" w:cs="Times New Roman"/>
          <w:color w:val="131313"/>
          <w:spacing w:val="2"/>
          <w:w w:val="105"/>
          <w:sz w:val="19"/>
          <w:szCs w:val="19"/>
        </w:rPr>
        <w:t>Thomson,</w:t>
      </w:r>
      <w:r>
        <w:rPr>
          <w:rFonts w:ascii="Times New Roman" w:hAnsi="Times New Roman" w:cs="Times New Roman"/>
          <w:color w:val="131313"/>
          <w:spacing w:val="-16"/>
          <w:w w:val="105"/>
          <w:sz w:val="19"/>
          <w:szCs w:val="19"/>
        </w:rPr>
        <w:t xml:space="preserve"> </w:t>
      </w:r>
      <w:r>
        <w:rPr>
          <w:rFonts w:ascii="Times New Roman" w:hAnsi="Times New Roman" w:cs="Times New Roman"/>
          <w:color w:val="131313"/>
          <w:w w:val="105"/>
          <w:sz w:val="19"/>
          <w:szCs w:val="19"/>
        </w:rPr>
        <w:t>Marie- Amelie</w:t>
      </w:r>
      <w:r>
        <w:rPr>
          <w:rFonts w:ascii="Times New Roman" w:hAnsi="Times New Roman" w:cs="Times New Roman"/>
          <w:color w:val="131313"/>
          <w:spacing w:val="-20"/>
          <w:w w:val="105"/>
          <w:sz w:val="19"/>
          <w:szCs w:val="19"/>
        </w:rPr>
        <w:t xml:space="preserve"> </w:t>
      </w:r>
      <w:proofErr w:type="spellStart"/>
      <w:r>
        <w:rPr>
          <w:rFonts w:ascii="Times New Roman" w:hAnsi="Times New Roman" w:cs="Times New Roman"/>
          <w:color w:val="131313"/>
          <w:w w:val="105"/>
          <w:sz w:val="19"/>
          <w:szCs w:val="19"/>
        </w:rPr>
        <w:t>Vinet</w:t>
      </w:r>
      <w:proofErr w:type="spellEnd"/>
      <w:r>
        <w:rPr>
          <w:rFonts w:ascii="Times New Roman" w:hAnsi="Times New Roman" w:cs="Times New Roman"/>
          <w:color w:val="131313"/>
          <w:w w:val="105"/>
          <w:sz w:val="19"/>
          <w:szCs w:val="19"/>
        </w:rPr>
        <w:t>,</w:t>
      </w:r>
      <w:r>
        <w:rPr>
          <w:rFonts w:ascii="Times New Roman" w:hAnsi="Times New Roman" w:cs="Times New Roman"/>
          <w:color w:val="131313"/>
          <w:spacing w:val="-20"/>
          <w:w w:val="105"/>
          <w:sz w:val="19"/>
          <w:szCs w:val="19"/>
        </w:rPr>
        <w:t xml:space="preserve"> </w:t>
      </w:r>
      <w:r>
        <w:rPr>
          <w:rFonts w:ascii="Times New Roman" w:hAnsi="Times New Roman" w:cs="Times New Roman"/>
          <w:color w:val="131313"/>
          <w:w w:val="105"/>
          <w:sz w:val="19"/>
          <w:szCs w:val="19"/>
        </w:rPr>
        <w:t>and</w:t>
      </w:r>
      <w:r>
        <w:rPr>
          <w:rFonts w:ascii="Times New Roman" w:hAnsi="Times New Roman" w:cs="Times New Roman"/>
          <w:color w:val="131313"/>
          <w:spacing w:val="-21"/>
          <w:w w:val="105"/>
          <w:sz w:val="19"/>
          <w:szCs w:val="19"/>
        </w:rPr>
        <w:t xml:space="preserve"> </w:t>
      </w:r>
      <w:proofErr w:type="spellStart"/>
      <w:r>
        <w:rPr>
          <w:rFonts w:ascii="Times New Roman" w:hAnsi="Times New Roman" w:cs="Times New Roman"/>
          <w:color w:val="131313"/>
          <w:w w:val="105"/>
          <w:sz w:val="19"/>
          <w:szCs w:val="19"/>
        </w:rPr>
        <w:t>Steffie</w:t>
      </w:r>
      <w:proofErr w:type="spellEnd"/>
      <w:r>
        <w:rPr>
          <w:rFonts w:ascii="Times New Roman" w:hAnsi="Times New Roman" w:cs="Times New Roman"/>
          <w:color w:val="131313"/>
          <w:spacing w:val="-20"/>
          <w:w w:val="105"/>
          <w:sz w:val="19"/>
          <w:szCs w:val="19"/>
        </w:rPr>
        <w:t xml:space="preserve"> </w:t>
      </w:r>
      <w:proofErr w:type="spellStart"/>
      <w:r>
        <w:rPr>
          <w:rFonts w:ascii="Times New Roman" w:hAnsi="Times New Roman" w:cs="Times New Roman"/>
          <w:color w:val="131313"/>
          <w:spacing w:val="2"/>
          <w:w w:val="105"/>
          <w:sz w:val="19"/>
          <w:szCs w:val="19"/>
        </w:rPr>
        <w:t>Woolhandler</w:t>
      </w:r>
      <w:proofErr w:type="spellEnd"/>
      <w:r>
        <w:rPr>
          <w:rFonts w:ascii="Times New Roman" w:hAnsi="Times New Roman" w:cs="Times New Roman"/>
          <w:color w:val="131313"/>
          <w:spacing w:val="-21"/>
          <w:w w:val="105"/>
          <w:sz w:val="19"/>
          <w:szCs w:val="19"/>
        </w:rPr>
        <w:t xml:space="preserve"> </w:t>
      </w:r>
      <w:r>
        <w:rPr>
          <w:rFonts w:ascii="Times New Roman" w:hAnsi="Times New Roman" w:cs="Times New Roman"/>
          <w:color w:val="131313"/>
          <w:w w:val="105"/>
          <w:sz w:val="19"/>
          <w:szCs w:val="19"/>
        </w:rPr>
        <w:t>Health</w:t>
      </w:r>
      <w:r>
        <w:rPr>
          <w:rFonts w:ascii="Times New Roman" w:hAnsi="Times New Roman" w:cs="Times New Roman"/>
          <w:color w:val="131313"/>
          <w:spacing w:val="-18"/>
          <w:w w:val="105"/>
          <w:sz w:val="19"/>
          <w:szCs w:val="19"/>
        </w:rPr>
        <w:t xml:space="preserve"> </w:t>
      </w:r>
      <w:proofErr w:type="spellStart"/>
      <w:r>
        <w:rPr>
          <w:rFonts w:ascii="Times New Roman" w:hAnsi="Times New Roman" w:cs="Times New Roman"/>
          <w:color w:val="131313"/>
          <w:w w:val="105"/>
          <w:sz w:val="19"/>
          <w:szCs w:val="19"/>
        </w:rPr>
        <w:t>Aff</w:t>
      </w:r>
      <w:proofErr w:type="spellEnd"/>
      <w:r>
        <w:rPr>
          <w:rFonts w:ascii="Times New Roman" w:hAnsi="Times New Roman" w:cs="Times New Roman"/>
          <w:color w:val="131313"/>
          <w:spacing w:val="-19"/>
          <w:w w:val="105"/>
          <w:sz w:val="19"/>
          <w:szCs w:val="19"/>
        </w:rPr>
        <w:t xml:space="preserve"> </w:t>
      </w:r>
      <w:r>
        <w:rPr>
          <w:rFonts w:ascii="Times New Roman" w:hAnsi="Times New Roman" w:cs="Times New Roman"/>
          <w:color w:val="131313"/>
          <w:spacing w:val="2"/>
          <w:w w:val="105"/>
          <w:sz w:val="19"/>
          <w:szCs w:val="19"/>
        </w:rPr>
        <w:t>September</w:t>
      </w:r>
      <w:r>
        <w:rPr>
          <w:rFonts w:ascii="Times New Roman" w:hAnsi="Times New Roman" w:cs="Times New Roman"/>
          <w:color w:val="131313"/>
          <w:spacing w:val="-19"/>
          <w:w w:val="105"/>
          <w:sz w:val="19"/>
          <w:szCs w:val="19"/>
        </w:rPr>
        <w:t xml:space="preserve"> </w:t>
      </w:r>
      <w:r>
        <w:rPr>
          <w:rFonts w:ascii="Times New Roman" w:hAnsi="Times New Roman" w:cs="Times New Roman"/>
          <w:color w:val="131313"/>
          <w:w w:val="105"/>
          <w:sz w:val="19"/>
          <w:szCs w:val="19"/>
        </w:rPr>
        <w:t>2014</w:t>
      </w:r>
      <w:r>
        <w:rPr>
          <w:rFonts w:ascii="Times New Roman" w:hAnsi="Times New Roman" w:cs="Times New Roman"/>
          <w:color w:val="131313"/>
          <w:spacing w:val="-18"/>
          <w:w w:val="105"/>
          <w:sz w:val="19"/>
          <w:szCs w:val="19"/>
        </w:rPr>
        <w:t xml:space="preserve"> </w:t>
      </w:r>
      <w:r>
        <w:rPr>
          <w:rFonts w:ascii="Times New Roman" w:hAnsi="Times New Roman" w:cs="Times New Roman"/>
          <w:color w:val="131313"/>
          <w:spacing w:val="2"/>
          <w:w w:val="105"/>
          <w:sz w:val="19"/>
          <w:szCs w:val="19"/>
        </w:rPr>
        <w:t>33:91586-1594</w:t>
      </w:r>
    </w:p>
    <w:p w:rsidR="002C5025" w:rsidRDefault="002C5025">
      <w:pPr>
        <w:pStyle w:val="BodyText"/>
        <w:kinsoku w:val="0"/>
        <w:overflowPunct w:val="0"/>
        <w:spacing w:line="220" w:lineRule="exact"/>
        <w:ind w:left="143" w:right="353"/>
        <w:rPr>
          <w:rFonts w:ascii="Times New Roman" w:hAnsi="Times New Roman" w:cs="Times New Roman"/>
          <w:w w:val="105"/>
          <w:sz w:val="19"/>
          <w:szCs w:val="19"/>
        </w:rPr>
      </w:pPr>
      <w:r>
        <w:rPr>
          <w:rFonts w:ascii="Times New Roman" w:hAnsi="Times New Roman" w:cs="Times New Roman"/>
          <w:w w:val="105"/>
          <w:position w:val="9"/>
          <w:sz w:val="13"/>
          <w:szCs w:val="13"/>
        </w:rPr>
        <w:t xml:space="preserve">31 </w:t>
      </w:r>
      <w:proofErr w:type="spellStart"/>
      <w:r>
        <w:rPr>
          <w:rFonts w:ascii="Times New Roman" w:hAnsi="Times New Roman" w:cs="Times New Roman"/>
          <w:w w:val="105"/>
          <w:sz w:val="19"/>
          <w:szCs w:val="19"/>
        </w:rPr>
        <w:t>Wikler</w:t>
      </w:r>
      <w:proofErr w:type="spellEnd"/>
      <w:r>
        <w:rPr>
          <w:rFonts w:ascii="Times New Roman" w:hAnsi="Times New Roman" w:cs="Times New Roman"/>
          <w:w w:val="105"/>
          <w:sz w:val="19"/>
          <w:szCs w:val="19"/>
        </w:rPr>
        <w:t>, Elizabeth, Peter Bausch, and David M. Cutler. 2012. "Paper Cuts: Reducing Health Care Administrative Costs."</w:t>
      </w:r>
    </w:p>
    <w:p w:rsidR="002C5025" w:rsidRDefault="002C5025">
      <w:pPr>
        <w:pStyle w:val="BodyText"/>
        <w:kinsoku w:val="0"/>
        <w:overflowPunct w:val="0"/>
        <w:spacing w:before="12"/>
        <w:ind w:left="143" w:right="353"/>
        <w:rPr>
          <w:rFonts w:ascii="Times New Roman" w:hAnsi="Times New Roman" w:cs="Times New Roman"/>
          <w:w w:val="105"/>
          <w:sz w:val="19"/>
          <w:szCs w:val="19"/>
        </w:rPr>
      </w:pPr>
      <w:r>
        <w:rPr>
          <w:rFonts w:ascii="Times New Roman" w:hAnsi="Times New Roman" w:cs="Times New Roman"/>
          <w:w w:val="105"/>
          <w:sz w:val="19"/>
          <w:szCs w:val="19"/>
        </w:rPr>
        <w:t>Washington, DC: Center for American Progress.</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1"/>
        <w:rPr>
          <w:rFonts w:ascii="Times New Roman" w:hAnsi="Times New Roman" w:cs="Times New Roman"/>
          <w:sz w:val="21"/>
          <w:szCs w:val="21"/>
        </w:rPr>
      </w:pPr>
    </w:p>
    <w:p w:rsidR="002C5025" w:rsidRDefault="00FB027C">
      <w:pPr>
        <w:pStyle w:val="BodyText"/>
        <w:kinsoku w:val="0"/>
        <w:overflowPunct w:val="0"/>
        <w:ind w:right="189"/>
        <w:jc w:val="right"/>
        <w:rPr>
          <w:rFonts w:ascii="Times New Roman" w:hAnsi="Times New Roman" w:cs="Times New Roman"/>
          <w:sz w:val="19"/>
          <w:szCs w:val="19"/>
        </w:rPr>
      </w:pPr>
      <w:r>
        <w:rPr>
          <w:noProof/>
        </w:rPr>
        <mc:AlternateContent>
          <mc:Choice Requires="wpg">
            <w:drawing>
              <wp:anchor distT="0" distB="0" distL="114300" distR="114300" simplePos="0" relativeHeight="251629056" behindDoc="0" locked="0" layoutInCell="0" allowOverlap="1">
                <wp:simplePos x="0" y="0"/>
                <wp:positionH relativeFrom="page">
                  <wp:posOffset>572135</wp:posOffset>
                </wp:positionH>
                <wp:positionV relativeFrom="paragraph">
                  <wp:posOffset>-2540</wp:posOffset>
                </wp:positionV>
                <wp:extent cx="6410960" cy="38100"/>
                <wp:effectExtent l="0" t="0" r="0" b="0"/>
                <wp:wrapNone/>
                <wp:docPr id="610" name="Group 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0960" cy="38100"/>
                          <a:chOff x="901" y="-4"/>
                          <a:chExt cx="10096" cy="60"/>
                        </a:xfrm>
                      </wpg:grpSpPr>
                      <wps:wsp>
                        <wps:cNvPr id="611" name="Freeform 413"/>
                        <wps:cNvSpPr>
                          <a:spLocks/>
                        </wps:cNvSpPr>
                        <wps:spPr bwMode="auto">
                          <a:xfrm>
                            <a:off x="917" y="3"/>
                            <a:ext cx="10065" cy="20"/>
                          </a:xfrm>
                          <a:custGeom>
                            <a:avLst/>
                            <a:gdLst>
                              <a:gd name="T0" fmla="*/ 0 w 10065"/>
                              <a:gd name="T1" fmla="*/ 0 h 20"/>
                              <a:gd name="T2" fmla="*/ 10065 w 10065"/>
                              <a:gd name="T3" fmla="*/ 0 h 20"/>
                            </a:gdLst>
                            <a:ahLst/>
                            <a:cxnLst>
                              <a:cxn ang="0">
                                <a:pos x="T0" y="T1"/>
                              </a:cxn>
                              <a:cxn ang="0">
                                <a:pos x="T2" y="T3"/>
                              </a:cxn>
                            </a:cxnLst>
                            <a:rect l="0" t="0" r="r" b="b"/>
                            <a:pathLst>
                              <a:path w="10065" h="20">
                                <a:moveTo>
                                  <a:pt x="0" y="0"/>
                                </a:moveTo>
                                <a:lnTo>
                                  <a:pt x="10065"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2" name="Freeform 414"/>
                        <wps:cNvSpPr>
                          <a:spLocks/>
                        </wps:cNvSpPr>
                        <wps:spPr bwMode="auto">
                          <a:xfrm>
                            <a:off x="917" y="25"/>
                            <a:ext cx="10065" cy="20"/>
                          </a:xfrm>
                          <a:custGeom>
                            <a:avLst/>
                            <a:gdLst>
                              <a:gd name="T0" fmla="*/ 0 w 10065"/>
                              <a:gd name="T1" fmla="*/ 0 h 20"/>
                              <a:gd name="T2" fmla="*/ 10065 w 10065"/>
                              <a:gd name="T3" fmla="*/ 0 h 20"/>
                            </a:gdLst>
                            <a:ahLst/>
                            <a:cxnLst>
                              <a:cxn ang="0">
                                <a:pos x="T0" y="T1"/>
                              </a:cxn>
                              <a:cxn ang="0">
                                <a:pos x="T2" y="T3"/>
                              </a:cxn>
                            </a:cxnLst>
                            <a:rect l="0" t="0" r="r" b="b"/>
                            <a:pathLst>
                              <a:path w="10065" h="20">
                                <a:moveTo>
                                  <a:pt x="0" y="0"/>
                                </a:moveTo>
                                <a:lnTo>
                                  <a:pt x="10065" y="0"/>
                                </a:lnTo>
                              </a:path>
                            </a:pathLst>
                          </a:custGeom>
                          <a:noFill/>
                          <a:ln w="19558">
                            <a:solidFill>
                              <a:srgbClr val="6060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3" name="Freeform 415"/>
                        <wps:cNvSpPr>
                          <a:spLocks/>
                        </wps:cNvSpPr>
                        <wps:spPr bwMode="auto">
                          <a:xfrm>
                            <a:off x="917" y="47"/>
                            <a:ext cx="10065" cy="20"/>
                          </a:xfrm>
                          <a:custGeom>
                            <a:avLst/>
                            <a:gdLst>
                              <a:gd name="T0" fmla="*/ 0 w 10065"/>
                              <a:gd name="T1" fmla="*/ 0 h 20"/>
                              <a:gd name="T2" fmla="*/ 10065 w 10065"/>
                              <a:gd name="T3" fmla="*/ 0 h 20"/>
                            </a:gdLst>
                            <a:ahLst/>
                            <a:cxnLst>
                              <a:cxn ang="0">
                                <a:pos x="T0" y="T1"/>
                              </a:cxn>
                              <a:cxn ang="0">
                                <a:pos x="T2" y="T3"/>
                              </a:cxn>
                            </a:cxnLst>
                            <a:rect l="0" t="0" r="r" b="b"/>
                            <a:pathLst>
                              <a:path w="10065" h="20">
                                <a:moveTo>
                                  <a:pt x="0" y="0"/>
                                </a:moveTo>
                                <a:lnTo>
                                  <a:pt x="10065" y="0"/>
                                </a:lnTo>
                              </a:path>
                            </a:pathLst>
                          </a:custGeom>
                          <a:noFill/>
                          <a:ln w="10414">
                            <a:solidFill>
                              <a:srgbClr val="C1C1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2" o:spid="_x0000_s1026" style="position:absolute;margin-left:45.05pt;margin-top:-.2pt;width:504.8pt;height:3pt;z-index:251629056;mso-position-horizontal-relative:page" coordorigin="901,-4" coordsize="1009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" o:allowincell="f">
                <v:shape id="Freeform 413" o:spid="_x0000_s1027" style="position:absolute;left:917;top:3;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AzPsUA&#10;AADcAAAADwAAAGRycy9kb3ducmV2LnhtbESPQWvCQBSE74L/YXlCL1I36UEkdRVRLJJDIRrw+sg+&#10;k7TZt0t21dRf3y0UPA4z8w2zXA+mEzfqfWtZQTpLQBBXVrdcKyhP+9cFCB+QNXaWScEPeVivxqMl&#10;ZtreuaDbMdQiQthnqKAJwWVS+qohg35mHXH0LrY3GKLsa6l7vEe46eRbksylwZbjQoOOtg1V38er&#10;UXD4/Cp2Z/Mo3UNvL6Wb5vlHkSv1Mhk27yACDeEZ/m8ftIJ5msLfmXg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0DM+xQAAANwAAAAPAAAAAAAAAAAAAAAAAJgCAABkcnMv&#10;ZG93bnJldi54bWxQSwUGAAAAAAQABAD1AAAAigMAAAAA&#10;" path="m,l10065,e" filled="f" strokeweight=".82pt">
                  <v:path arrowok="t" o:connecttype="custom" o:connectlocs="0,0;10065,0" o:connectangles="0,0"/>
                </v:shape>
                <v:shape id="Freeform 414" o:spid="_x0000_s1028" style="position:absolute;left:917;top:25;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09dMQA&#10;AADcAAAADwAAAGRycy9kb3ducmV2LnhtbESPX0vDQBDE3wW/w7GCb/aSIkFir0ULLeKLmJbi45Lb&#10;/Glze+Fu28Zv7wmCj8PM/IZZrCY3qAuF2Hs2kM8yUMS1tz23Bva7zcMTqCjIFgfPZOCbIqyWtzcL&#10;LK2/8iddKmlVgnAs0UAnMpZax7ojh3HmR+LkNT44lCRDq23Aa4K7Qc+zrNAOe04LHY607qg+VWdn&#10;4As3tioem/V0DJJ/vDYH2b47Y+7vppdnUEKT/If/2m/WQJHP4fdMOgJ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tPXTEAAAA3AAAAA8AAAAAAAAAAAAAAAAAmAIAAGRycy9k&#10;b3ducmV2LnhtbFBLBQYAAAAABAAEAPUAAACJAwAAAAA=&#10;" path="m,l10065,e" filled="f" strokecolor="#606060" strokeweight="1.54pt">
                  <v:path arrowok="t" o:connecttype="custom" o:connectlocs="0,0;10065,0" o:connectangles="0,0"/>
                </v:shape>
                <v:shape id="Freeform 415" o:spid="_x0000_s1029" style="position:absolute;left:917;top:47;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17TMIA&#10;AADcAAAADwAAAGRycy9kb3ducmV2LnhtbESPQYvCMBSE7wv+h/AEb2uqhbJWo0hB9FoVpLdH82yL&#10;zUtpolZ/vVlY2OMwM98wq81gWvGg3jWWFcymEQji0uqGKwXn0+77B4TzyBpby6TgRQ4269HXClNt&#10;n5zT4+grESDsUlRQe9+lUrqyJoNuajvi4F1tb9AH2VdS9/gMcNPKeRQl0mDDYaHGjrKaytvxbhQU&#10;eXJZ7Ls3x3Hm8yLJTFXkc6Um42G7BOFp8P/hv/ZBK0hmMfyeCUdAr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XXtMwgAAANwAAAAPAAAAAAAAAAAAAAAAAJgCAABkcnMvZG93&#10;bnJldi54bWxQSwUGAAAAAAQABAD1AAAAhwMAAAAA&#10;" path="m,l10065,e" filled="f" strokecolor="#c1c1c1" strokeweight=".82pt">
                  <v:path arrowok="t" o:connecttype="custom" o:connectlocs="0,0;10065,0" o:connectangles="0,0"/>
                </v:shape>
                <w10:wrap anchorx="page"/>
              </v:group>
            </w:pict>
          </mc:Fallback>
        </mc:AlternateContent>
      </w:r>
      <w:r w:rsidR="002C5025">
        <w:rPr>
          <w:rFonts w:ascii="Times New Roman" w:hAnsi="Times New Roman" w:cs="Times New Roman"/>
          <w:sz w:val="19"/>
          <w:szCs w:val="19"/>
        </w:rPr>
        <w:t>15</w:t>
      </w:r>
    </w:p>
    <w:p w:rsidR="002C5025" w:rsidRDefault="002C5025">
      <w:pPr>
        <w:pStyle w:val="BodyText"/>
        <w:kinsoku w:val="0"/>
        <w:overflowPunct w:val="0"/>
        <w:spacing w:before="102" w:line="247" w:lineRule="auto"/>
        <w:ind w:left="644" w:right="572" w:hanging="348"/>
        <w:rPr>
          <w:rFonts w:ascii="Cambria" w:hAnsi="Cambria" w:cs="Cambria"/>
          <w:i/>
          <w:iCs/>
          <w:w w:val="105"/>
          <w:sz w:val="19"/>
          <w:szCs w:val="19"/>
        </w:rPr>
      </w:pPr>
      <w:r>
        <w:rPr>
          <w:rFonts w:ascii="Cambria" w:hAnsi="Cambria" w:cs="Cambria"/>
          <w:i/>
          <w:iCs/>
          <w:w w:val="105"/>
          <w:sz w:val="19"/>
          <w:szCs w:val="19"/>
        </w:rPr>
        <w:t>Doctors</w:t>
      </w:r>
      <w:r>
        <w:rPr>
          <w:rFonts w:ascii="Cambria" w:hAnsi="Cambria" w:cs="Cambria"/>
          <w:i/>
          <w:iCs/>
          <w:spacing w:val="-10"/>
          <w:w w:val="105"/>
          <w:sz w:val="19"/>
          <w:szCs w:val="19"/>
        </w:rPr>
        <w:t xml:space="preserve"> </w:t>
      </w:r>
      <w:r>
        <w:rPr>
          <w:rFonts w:ascii="Cambria" w:hAnsi="Cambria" w:cs="Cambria"/>
          <w:i/>
          <w:iCs/>
          <w:w w:val="105"/>
          <w:sz w:val="19"/>
          <w:szCs w:val="19"/>
        </w:rPr>
        <w:t>for</w:t>
      </w:r>
      <w:r>
        <w:rPr>
          <w:rFonts w:ascii="Cambria" w:hAnsi="Cambria" w:cs="Cambria"/>
          <w:i/>
          <w:iCs/>
          <w:spacing w:val="-13"/>
          <w:w w:val="105"/>
          <w:sz w:val="19"/>
          <w:szCs w:val="19"/>
        </w:rPr>
        <w:t xml:space="preserve"> </w:t>
      </w:r>
      <w:r>
        <w:rPr>
          <w:rFonts w:ascii="Cambria" w:hAnsi="Cambria" w:cs="Cambria"/>
          <w:i/>
          <w:iCs/>
          <w:w w:val="105"/>
          <w:sz w:val="19"/>
          <w:szCs w:val="19"/>
        </w:rPr>
        <w:t>America</w:t>
      </w:r>
      <w:r>
        <w:rPr>
          <w:rFonts w:ascii="Cambria" w:hAnsi="Cambria" w:cs="Cambria"/>
          <w:i/>
          <w:iCs/>
          <w:spacing w:val="-12"/>
          <w:w w:val="105"/>
          <w:sz w:val="19"/>
          <w:szCs w:val="19"/>
        </w:rPr>
        <w:t xml:space="preserve"> </w:t>
      </w:r>
      <w:r>
        <w:rPr>
          <w:rFonts w:ascii="Cambria" w:hAnsi="Cambria" w:cs="Cambria"/>
          <w:i/>
          <w:iCs/>
          <w:w w:val="105"/>
          <w:sz w:val="19"/>
          <w:szCs w:val="19"/>
        </w:rPr>
        <w:t>is</w:t>
      </w:r>
      <w:r>
        <w:rPr>
          <w:rFonts w:ascii="Cambria" w:hAnsi="Cambria" w:cs="Cambria"/>
          <w:i/>
          <w:iCs/>
          <w:spacing w:val="-13"/>
          <w:w w:val="105"/>
          <w:sz w:val="19"/>
          <w:szCs w:val="19"/>
        </w:rPr>
        <w:t xml:space="preserve"> </w:t>
      </w:r>
      <w:r>
        <w:rPr>
          <w:rFonts w:ascii="Cambria" w:hAnsi="Cambria" w:cs="Cambria"/>
          <w:i/>
          <w:iCs/>
          <w:w w:val="105"/>
          <w:sz w:val="19"/>
          <w:szCs w:val="19"/>
        </w:rPr>
        <w:t>a</w:t>
      </w:r>
      <w:r>
        <w:rPr>
          <w:rFonts w:ascii="Cambria" w:hAnsi="Cambria" w:cs="Cambria"/>
          <w:i/>
          <w:iCs/>
          <w:spacing w:val="-10"/>
          <w:w w:val="105"/>
          <w:sz w:val="19"/>
          <w:szCs w:val="19"/>
        </w:rPr>
        <w:t xml:space="preserve"> </w:t>
      </w:r>
      <w:r>
        <w:rPr>
          <w:rFonts w:ascii="Cambria" w:hAnsi="Cambria" w:cs="Cambria"/>
          <w:i/>
          <w:iCs/>
          <w:w w:val="105"/>
          <w:sz w:val="19"/>
          <w:szCs w:val="19"/>
        </w:rPr>
        <w:t>501(c)(3)</w:t>
      </w:r>
      <w:r>
        <w:rPr>
          <w:rFonts w:ascii="Cambria" w:hAnsi="Cambria" w:cs="Cambria"/>
          <w:i/>
          <w:iCs/>
          <w:spacing w:val="-13"/>
          <w:w w:val="105"/>
          <w:sz w:val="19"/>
          <w:szCs w:val="19"/>
        </w:rPr>
        <w:t xml:space="preserve"> </w:t>
      </w:r>
      <w:r>
        <w:rPr>
          <w:rFonts w:ascii="Cambria" w:hAnsi="Cambria" w:cs="Cambria"/>
          <w:i/>
          <w:iCs/>
          <w:w w:val="105"/>
          <w:sz w:val="19"/>
          <w:szCs w:val="19"/>
        </w:rPr>
        <w:t>national</w:t>
      </w:r>
      <w:r>
        <w:rPr>
          <w:rFonts w:ascii="Cambria" w:hAnsi="Cambria" w:cs="Cambria"/>
          <w:i/>
          <w:iCs/>
          <w:spacing w:val="-11"/>
          <w:w w:val="105"/>
          <w:sz w:val="19"/>
          <w:szCs w:val="19"/>
        </w:rPr>
        <w:t xml:space="preserve"> </w:t>
      </w:r>
      <w:r>
        <w:rPr>
          <w:rFonts w:ascii="Cambria" w:hAnsi="Cambria" w:cs="Cambria"/>
          <w:i/>
          <w:iCs/>
          <w:w w:val="105"/>
          <w:sz w:val="19"/>
          <w:szCs w:val="19"/>
        </w:rPr>
        <w:t>movement</w:t>
      </w:r>
      <w:r>
        <w:rPr>
          <w:rFonts w:ascii="Cambria" w:hAnsi="Cambria" w:cs="Cambria"/>
          <w:i/>
          <w:iCs/>
          <w:spacing w:val="-10"/>
          <w:w w:val="105"/>
          <w:sz w:val="19"/>
          <w:szCs w:val="19"/>
        </w:rPr>
        <w:t xml:space="preserve"> </w:t>
      </w:r>
      <w:r>
        <w:rPr>
          <w:rFonts w:ascii="Cambria" w:hAnsi="Cambria" w:cs="Cambria"/>
          <w:i/>
          <w:iCs/>
          <w:w w:val="105"/>
          <w:sz w:val="19"/>
          <w:szCs w:val="19"/>
        </w:rPr>
        <w:t>that</w:t>
      </w:r>
      <w:r>
        <w:rPr>
          <w:rFonts w:ascii="Cambria" w:hAnsi="Cambria" w:cs="Cambria"/>
          <w:i/>
          <w:iCs/>
          <w:spacing w:val="-13"/>
          <w:w w:val="105"/>
          <w:sz w:val="19"/>
          <w:szCs w:val="19"/>
        </w:rPr>
        <w:t xml:space="preserve"> </w:t>
      </w:r>
      <w:r>
        <w:rPr>
          <w:rFonts w:ascii="Cambria" w:hAnsi="Cambria" w:cs="Cambria"/>
          <w:i/>
          <w:iCs/>
          <w:w w:val="105"/>
          <w:sz w:val="19"/>
          <w:szCs w:val="19"/>
        </w:rPr>
        <w:t>mobilizes</w:t>
      </w:r>
      <w:r>
        <w:rPr>
          <w:rFonts w:ascii="Cambria" w:hAnsi="Cambria" w:cs="Cambria"/>
          <w:i/>
          <w:iCs/>
          <w:spacing w:val="-10"/>
          <w:w w:val="105"/>
          <w:sz w:val="19"/>
          <w:szCs w:val="19"/>
        </w:rPr>
        <w:t xml:space="preserve"> </w:t>
      </w:r>
      <w:r>
        <w:rPr>
          <w:rFonts w:ascii="Cambria" w:hAnsi="Cambria" w:cs="Cambria"/>
          <w:i/>
          <w:iCs/>
          <w:w w:val="105"/>
          <w:sz w:val="19"/>
          <w:szCs w:val="19"/>
        </w:rPr>
        <w:t>physicians</w:t>
      </w:r>
      <w:r>
        <w:rPr>
          <w:rFonts w:ascii="Cambria" w:hAnsi="Cambria" w:cs="Cambria"/>
          <w:i/>
          <w:iCs/>
          <w:spacing w:val="-13"/>
          <w:w w:val="105"/>
          <w:sz w:val="19"/>
          <w:szCs w:val="19"/>
        </w:rPr>
        <w:t xml:space="preserve"> </w:t>
      </w:r>
      <w:r>
        <w:rPr>
          <w:rFonts w:ascii="Cambria" w:hAnsi="Cambria" w:cs="Cambria"/>
          <w:i/>
          <w:iCs/>
          <w:w w:val="105"/>
          <w:sz w:val="19"/>
          <w:szCs w:val="19"/>
        </w:rPr>
        <w:t>and</w:t>
      </w:r>
      <w:r>
        <w:rPr>
          <w:rFonts w:ascii="Cambria" w:hAnsi="Cambria" w:cs="Cambria"/>
          <w:i/>
          <w:iCs/>
          <w:spacing w:val="-12"/>
          <w:w w:val="105"/>
          <w:sz w:val="19"/>
          <w:szCs w:val="19"/>
        </w:rPr>
        <w:t xml:space="preserve"> </w:t>
      </w:r>
      <w:r>
        <w:rPr>
          <w:rFonts w:ascii="Cambria" w:hAnsi="Cambria" w:cs="Cambria"/>
          <w:i/>
          <w:iCs/>
          <w:w w:val="105"/>
          <w:sz w:val="19"/>
          <w:szCs w:val="19"/>
        </w:rPr>
        <w:t>medical</w:t>
      </w:r>
      <w:r>
        <w:rPr>
          <w:rFonts w:ascii="Cambria" w:hAnsi="Cambria" w:cs="Cambria"/>
          <w:i/>
          <w:iCs/>
          <w:spacing w:val="-14"/>
          <w:w w:val="105"/>
          <w:sz w:val="19"/>
          <w:szCs w:val="19"/>
        </w:rPr>
        <w:t xml:space="preserve"> </w:t>
      </w:r>
      <w:r>
        <w:rPr>
          <w:rFonts w:ascii="Cambria" w:hAnsi="Cambria" w:cs="Cambria"/>
          <w:i/>
          <w:iCs/>
          <w:w w:val="105"/>
          <w:sz w:val="19"/>
          <w:szCs w:val="19"/>
        </w:rPr>
        <w:t>students</w:t>
      </w:r>
      <w:r>
        <w:rPr>
          <w:rFonts w:ascii="Cambria" w:hAnsi="Cambria" w:cs="Cambria"/>
          <w:i/>
          <w:iCs/>
          <w:spacing w:val="-13"/>
          <w:w w:val="105"/>
          <w:sz w:val="19"/>
          <w:szCs w:val="19"/>
        </w:rPr>
        <w:t xml:space="preserve"> </w:t>
      </w:r>
      <w:r>
        <w:rPr>
          <w:rFonts w:ascii="Cambria" w:hAnsi="Cambria" w:cs="Cambria"/>
          <w:i/>
          <w:iCs/>
          <w:w w:val="105"/>
          <w:sz w:val="19"/>
          <w:szCs w:val="19"/>
        </w:rPr>
        <w:t>to</w:t>
      </w:r>
      <w:r>
        <w:rPr>
          <w:rFonts w:ascii="Cambria" w:hAnsi="Cambria" w:cs="Cambria"/>
          <w:i/>
          <w:iCs/>
          <w:spacing w:val="-14"/>
          <w:w w:val="105"/>
          <w:sz w:val="19"/>
          <w:szCs w:val="19"/>
        </w:rPr>
        <w:t xml:space="preserve"> </w:t>
      </w:r>
      <w:r>
        <w:rPr>
          <w:rFonts w:ascii="Cambria" w:hAnsi="Cambria" w:cs="Cambria"/>
          <w:i/>
          <w:iCs/>
          <w:w w:val="105"/>
          <w:sz w:val="19"/>
          <w:szCs w:val="19"/>
        </w:rPr>
        <w:t>put</w:t>
      </w:r>
      <w:r>
        <w:rPr>
          <w:rFonts w:ascii="Cambria" w:hAnsi="Cambria" w:cs="Cambria"/>
          <w:i/>
          <w:iCs/>
          <w:spacing w:val="-13"/>
          <w:w w:val="105"/>
          <w:sz w:val="19"/>
          <w:szCs w:val="19"/>
        </w:rPr>
        <w:t xml:space="preserve"> </w:t>
      </w:r>
      <w:r>
        <w:rPr>
          <w:rFonts w:ascii="Cambria" w:hAnsi="Cambria" w:cs="Cambria"/>
          <w:i/>
          <w:iCs/>
          <w:w w:val="105"/>
          <w:sz w:val="19"/>
          <w:szCs w:val="19"/>
        </w:rPr>
        <w:t>patients over</w:t>
      </w:r>
      <w:r>
        <w:rPr>
          <w:rFonts w:ascii="Cambria" w:hAnsi="Cambria" w:cs="Cambria"/>
          <w:i/>
          <w:iCs/>
          <w:spacing w:val="-10"/>
          <w:w w:val="105"/>
          <w:sz w:val="19"/>
          <w:szCs w:val="19"/>
        </w:rPr>
        <w:t xml:space="preserve"> </w:t>
      </w:r>
      <w:r>
        <w:rPr>
          <w:rFonts w:ascii="Cambria" w:hAnsi="Cambria" w:cs="Cambria"/>
          <w:i/>
          <w:iCs/>
          <w:w w:val="105"/>
          <w:sz w:val="19"/>
          <w:szCs w:val="19"/>
        </w:rPr>
        <w:t>politics</w:t>
      </w:r>
      <w:r>
        <w:rPr>
          <w:rFonts w:ascii="Cambria" w:hAnsi="Cambria" w:cs="Cambria"/>
          <w:i/>
          <w:iCs/>
          <w:spacing w:val="-9"/>
          <w:w w:val="105"/>
          <w:sz w:val="19"/>
          <w:szCs w:val="19"/>
        </w:rPr>
        <w:t xml:space="preserve"> </w:t>
      </w:r>
      <w:r>
        <w:rPr>
          <w:rFonts w:ascii="Cambria" w:hAnsi="Cambria" w:cs="Cambria"/>
          <w:i/>
          <w:iCs/>
          <w:w w:val="105"/>
          <w:sz w:val="19"/>
          <w:szCs w:val="19"/>
        </w:rPr>
        <w:t>on</w:t>
      </w:r>
      <w:r>
        <w:rPr>
          <w:rFonts w:ascii="Cambria" w:hAnsi="Cambria" w:cs="Cambria"/>
          <w:i/>
          <w:iCs/>
          <w:spacing w:val="-11"/>
          <w:w w:val="105"/>
          <w:sz w:val="19"/>
          <w:szCs w:val="19"/>
        </w:rPr>
        <w:t xml:space="preserve"> </w:t>
      </w:r>
      <w:r>
        <w:rPr>
          <w:rFonts w:ascii="Cambria" w:hAnsi="Cambria" w:cs="Cambria"/>
          <w:i/>
          <w:iCs/>
          <w:w w:val="105"/>
          <w:sz w:val="19"/>
          <w:szCs w:val="19"/>
        </w:rPr>
        <w:t>the</w:t>
      </w:r>
      <w:r>
        <w:rPr>
          <w:rFonts w:ascii="Cambria" w:hAnsi="Cambria" w:cs="Cambria"/>
          <w:i/>
          <w:iCs/>
          <w:spacing w:val="-10"/>
          <w:w w:val="105"/>
          <w:sz w:val="19"/>
          <w:szCs w:val="19"/>
        </w:rPr>
        <w:t xml:space="preserve"> </w:t>
      </w:r>
      <w:r>
        <w:rPr>
          <w:rFonts w:ascii="Cambria" w:hAnsi="Cambria" w:cs="Cambria"/>
          <w:i/>
          <w:iCs/>
          <w:w w:val="105"/>
          <w:sz w:val="19"/>
          <w:szCs w:val="19"/>
        </w:rPr>
        <w:t>pressing</w:t>
      </w:r>
      <w:r>
        <w:rPr>
          <w:rFonts w:ascii="Cambria" w:hAnsi="Cambria" w:cs="Cambria"/>
          <w:i/>
          <w:iCs/>
          <w:spacing w:val="-9"/>
          <w:w w:val="105"/>
          <w:sz w:val="19"/>
          <w:szCs w:val="19"/>
        </w:rPr>
        <w:t xml:space="preserve"> </w:t>
      </w:r>
      <w:r>
        <w:rPr>
          <w:rFonts w:ascii="Cambria" w:hAnsi="Cambria" w:cs="Cambria"/>
          <w:i/>
          <w:iCs/>
          <w:w w:val="105"/>
          <w:sz w:val="19"/>
          <w:szCs w:val="19"/>
        </w:rPr>
        <w:t>issues</w:t>
      </w:r>
      <w:r>
        <w:rPr>
          <w:rFonts w:ascii="Cambria" w:hAnsi="Cambria" w:cs="Cambria"/>
          <w:i/>
          <w:iCs/>
          <w:spacing w:val="-9"/>
          <w:w w:val="105"/>
          <w:sz w:val="19"/>
          <w:szCs w:val="19"/>
        </w:rPr>
        <w:t xml:space="preserve"> </w:t>
      </w:r>
      <w:r>
        <w:rPr>
          <w:rFonts w:ascii="Cambria" w:hAnsi="Cambria" w:cs="Cambria"/>
          <w:i/>
          <w:iCs/>
          <w:w w:val="105"/>
          <w:sz w:val="19"/>
          <w:szCs w:val="19"/>
        </w:rPr>
        <w:t>of</w:t>
      </w:r>
      <w:r>
        <w:rPr>
          <w:rFonts w:ascii="Cambria" w:hAnsi="Cambria" w:cs="Cambria"/>
          <w:i/>
          <w:iCs/>
          <w:spacing w:val="-11"/>
          <w:w w:val="105"/>
          <w:sz w:val="19"/>
          <w:szCs w:val="19"/>
        </w:rPr>
        <w:t xml:space="preserve"> </w:t>
      </w:r>
      <w:r>
        <w:rPr>
          <w:rFonts w:ascii="Cambria" w:hAnsi="Cambria" w:cs="Cambria"/>
          <w:i/>
          <w:iCs/>
          <w:w w:val="105"/>
          <w:sz w:val="19"/>
          <w:szCs w:val="19"/>
        </w:rPr>
        <w:t>the</w:t>
      </w:r>
      <w:r>
        <w:rPr>
          <w:rFonts w:ascii="Cambria" w:hAnsi="Cambria" w:cs="Cambria"/>
          <w:i/>
          <w:iCs/>
          <w:spacing w:val="-10"/>
          <w:w w:val="105"/>
          <w:sz w:val="19"/>
          <w:szCs w:val="19"/>
        </w:rPr>
        <w:t xml:space="preserve"> </w:t>
      </w:r>
      <w:r>
        <w:rPr>
          <w:rFonts w:ascii="Cambria" w:hAnsi="Cambria" w:cs="Cambria"/>
          <w:i/>
          <w:iCs/>
          <w:w w:val="105"/>
          <w:sz w:val="19"/>
          <w:szCs w:val="19"/>
        </w:rPr>
        <w:t>day</w:t>
      </w:r>
      <w:r>
        <w:rPr>
          <w:rFonts w:ascii="Cambria" w:hAnsi="Cambria" w:cs="Cambria"/>
          <w:i/>
          <w:iCs/>
          <w:spacing w:val="-10"/>
          <w:w w:val="105"/>
          <w:sz w:val="19"/>
          <w:szCs w:val="19"/>
        </w:rPr>
        <w:t xml:space="preserve"> </w:t>
      </w:r>
      <w:r>
        <w:rPr>
          <w:rFonts w:ascii="Cambria" w:hAnsi="Cambria" w:cs="Cambria"/>
          <w:i/>
          <w:iCs/>
          <w:w w:val="105"/>
          <w:sz w:val="19"/>
          <w:szCs w:val="19"/>
        </w:rPr>
        <w:t>to</w:t>
      </w:r>
      <w:r>
        <w:rPr>
          <w:rFonts w:ascii="Cambria" w:hAnsi="Cambria" w:cs="Cambria"/>
          <w:i/>
          <w:iCs/>
          <w:spacing w:val="-10"/>
          <w:w w:val="105"/>
          <w:sz w:val="19"/>
          <w:szCs w:val="19"/>
        </w:rPr>
        <w:t xml:space="preserve"> </w:t>
      </w:r>
      <w:r>
        <w:rPr>
          <w:rFonts w:ascii="Cambria" w:hAnsi="Cambria" w:cs="Cambria"/>
          <w:i/>
          <w:iCs/>
          <w:w w:val="105"/>
          <w:sz w:val="19"/>
          <w:szCs w:val="19"/>
        </w:rPr>
        <w:t>improve</w:t>
      </w:r>
      <w:r>
        <w:rPr>
          <w:rFonts w:ascii="Cambria" w:hAnsi="Cambria" w:cs="Cambria"/>
          <w:i/>
          <w:iCs/>
          <w:spacing w:val="-10"/>
          <w:w w:val="105"/>
          <w:sz w:val="19"/>
          <w:szCs w:val="19"/>
        </w:rPr>
        <w:t xml:space="preserve"> </w:t>
      </w:r>
      <w:r>
        <w:rPr>
          <w:rFonts w:ascii="Cambria" w:hAnsi="Cambria" w:cs="Cambria"/>
          <w:i/>
          <w:iCs/>
          <w:w w:val="105"/>
          <w:sz w:val="19"/>
          <w:szCs w:val="19"/>
        </w:rPr>
        <w:t>the</w:t>
      </w:r>
      <w:r>
        <w:rPr>
          <w:rFonts w:ascii="Cambria" w:hAnsi="Cambria" w:cs="Cambria"/>
          <w:i/>
          <w:iCs/>
          <w:spacing w:val="-10"/>
          <w:w w:val="105"/>
          <w:sz w:val="19"/>
          <w:szCs w:val="19"/>
        </w:rPr>
        <w:t xml:space="preserve"> </w:t>
      </w:r>
      <w:r>
        <w:rPr>
          <w:rFonts w:ascii="Cambria" w:hAnsi="Cambria" w:cs="Cambria"/>
          <w:i/>
          <w:iCs/>
          <w:w w:val="105"/>
          <w:sz w:val="19"/>
          <w:szCs w:val="19"/>
        </w:rPr>
        <w:t>health</w:t>
      </w:r>
      <w:r>
        <w:rPr>
          <w:rFonts w:ascii="Cambria" w:hAnsi="Cambria" w:cs="Cambria"/>
          <w:i/>
          <w:iCs/>
          <w:spacing w:val="-10"/>
          <w:w w:val="105"/>
          <w:sz w:val="19"/>
          <w:szCs w:val="19"/>
        </w:rPr>
        <w:t xml:space="preserve"> </w:t>
      </w:r>
      <w:r>
        <w:rPr>
          <w:rFonts w:ascii="Cambria" w:hAnsi="Cambria" w:cs="Cambria"/>
          <w:i/>
          <w:iCs/>
          <w:w w:val="105"/>
          <w:sz w:val="19"/>
          <w:szCs w:val="19"/>
        </w:rPr>
        <w:t>of</w:t>
      </w:r>
      <w:r>
        <w:rPr>
          <w:rFonts w:ascii="Cambria" w:hAnsi="Cambria" w:cs="Cambria"/>
          <w:i/>
          <w:iCs/>
          <w:spacing w:val="-11"/>
          <w:w w:val="105"/>
          <w:sz w:val="19"/>
          <w:szCs w:val="19"/>
        </w:rPr>
        <w:t xml:space="preserve"> </w:t>
      </w:r>
      <w:r>
        <w:rPr>
          <w:rFonts w:ascii="Cambria" w:hAnsi="Cambria" w:cs="Cambria"/>
          <w:i/>
          <w:iCs/>
          <w:w w:val="105"/>
          <w:sz w:val="19"/>
          <w:szCs w:val="19"/>
        </w:rPr>
        <w:t>our</w:t>
      </w:r>
      <w:r>
        <w:rPr>
          <w:rFonts w:ascii="Cambria" w:hAnsi="Cambria" w:cs="Cambria"/>
          <w:i/>
          <w:iCs/>
          <w:spacing w:val="-9"/>
          <w:w w:val="105"/>
          <w:sz w:val="19"/>
          <w:szCs w:val="19"/>
        </w:rPr>
        <w:t xml:space="preserve"> </w:t>
      </w:r>
      <w:r>
        <w:rPr>
          <w:rFonts w:ascii="Cambria" w:hAnsi="Cambria" w:cs="Cambria"/>
          <w:i/>
          <w:iCs/>
          <w:w w:val="105"/>
          <w:sz w:val="19"/>
          <w:szCs w:val="19"/>
        </w:rPr>
        <w:t>patients,</w:t>
      </w:r>
      <w:r>
        <w:rPr>
          <w:rFonts w:ascii="Cambria" w:hAnsi="Cambria" w:cs="Cambria"/>
          <w:i/>
          <w:iCs/>
          <w:spacing w:val="-12"/>
          <w:w w:val="105"/>
          <w:sz w:val="19"/>
          <w:szCs w:val="19"/>
        </w:rPr>
        <w:t xml:space="preserve"> </w:t>
      </w:r>
      <w:r>
        <w:rPr>
          <w:rFonts w:ascii="Cambria" w:hAnsi="Cambria" w:cs="Cambria"/>
          <w:i/>
          <w:iCs/>
          <w:w w:val="105"/>
          <w:sz w:val="19"/>
          <w:szCs w:val="19"/>
        </w:rPr>
        <w:t>communities,</w:t>
      </w:r>
      <w:r>
        <w:rPr>
          <w:rFonts w:ascii="Cambria" w:hAnsi="Cambria" w:cs="Cambria"/>
          <w:i/>
          <w:iCs/>
          <w:spacing w:val="-9"/>
          <w:w w:val="105"/>
          <w:sz w:val="19"/>
          <w:szCs w:val="19"/>
        </w:rPr>
        <w:t xml:space="preserve"> </w:t>
      </w:r>
      <w:r>
        <w:rPr>
          <w:rFonts w:ascii="Cambria" w:hAnsi="Cambria" w:cs="Cambria"/>
          <w:i/>
          <w:iCs/>
          <w:w w:val="105"/>
          <w:sz w:val="19"/>
          <w:szCs w:val="19"/>
        </w:rPr>
        <w:t>and</w:t>
      </w:r>
      <w:r>
        <w:rPr>
          <w:rFonts w:ascii="Cambria" w:hAnsi="Cambria" w:cs="Cambria"/>
          <w:i/>
          <w:iCs/>
          <w:spacing w:val="-11"/>
          <w:w w:val="105"/>
          <w:sz w:val="19"/>
          <w:szCs w:val="19"/>
        </w:rPr>
        <w:t xml:space="preserve"> </w:t>
      </w:r>
      <w:r>
        <w:rPr>
          <w:rFonts w:ascii="Cambria" w:hAnsi="Cambria" w:cs="Cambria"/>
          <w:i/>
          <w:iCs/>
          <w:w w:val="105"/>
          <w:sz w:val="19"/>
          <w:szCs w:val="19"/>
        </w:rPr>
        <w:t>nation..</w:t>
      </w:r>
    </w:p>
    <w:p w:rsidR="002C5025" w:rsidRDefault="002C5025">
      <w:pPr>
        <w:pStyle w:val="BodyText"/>
        <w:kinsoku w:val="0"/>
        <w:overflowPunct w:val="0"/>
        <w:spacing w:before="102" w:line="247" w:lineRule="auto"/>
        <w:ind w:left="644" w:right="572" w:hanging="348"/>
        <w:rPr>
          <w:rFonts w:ascii="Cambria" w:hAnsi="Cambria" w:cs="Cambria"/>
          <w:i/>
          <w:iCs/>
          <w:w w:val="105"/>
          <w:sz w:val="19"/>
          <w:szCs w:val="19"/>
        </w:rPr>
        <w:sectPr w:rsidR="002C5025">
          <w:pgSz w:w="12240" w:h="15840"/>
          <w:pgMar w:top="940" w:right="740" w:bottom="280" w:left="800" w:header="720" w:footer="720" w:gutter="0"/>
          <w:pgBorders w:offsetFrom="page">
            <w:top w:val="single" w:sz="24" w:space="24" w:color="213957"/>
            <w:left w:val="single" w:sz="24" w:space="24" w:color="213957"/>
            <w:bottom w:val="single" w:sz="24" w:space="24" w:color="213957"/>
            <w:right w:val="single" w:sz="24" w:space="24" w:color="213957"/>
          </w:pgBorders>
          <w:cols w:space="720" w:equalWidth="0">
            <w:col w:w="10700"/>
          </w:cols>
          <w:noEndnote/>
        </w:sectPr>
      </w:pPr>
    </w:p>
    <w:p w:rsidR="002C5025" w:rsidRDefault="00FB027C">
      <w:pPr>
        <w:pStyle w:val="BodyText"/>
        <w:tabs>
          <w:tab w:val="left" w:pos="10147"/>
        </w:tabs>
        <w:kinsoku w:val="0"/>
        <w:overflowPunct w:val="0"/>
        <w:spacing w:before="50" w:line="259" w:lineRule="auto"/>
        <w:ind w:left="145" w:right="260"/>
        <w:rPr>
          <w:rFonts w:ascii="Times New Roman" w:hAnsi="Times New Roman" w:cs="Times New Roman"/>
          <w:sz w:val="24"/>
          <w:szCs w:val="24"/>
        </w:rPr>
      </w:pPr>
      <w:r>
        <w:rPr>
          <w:noProof/>
        </w:rPr>
        <w:lastRenderedPageBreak/>
        <mc:AlternateContent>
          <mc:Choice Requires="wpg">
            <w:drawing>
              <wp:anchor distT="0" distB="0" distL="114300" distR="114300" simplePos="0" relativeHeight="251630080" behindDoc="1" locked="0" layoutInCell="0" allowOverlap="1">
                <wp:simplePos x="0" y="0"/>
                <wp:positionH relativeFrom="page">
                  <wp:posOffset>596900</wp:posOffset>
                </wp:positionH>
                <wp:positionV relativeFrom="paragraph">
                  <wp:posOffset>869950</wp:posOffset>
                </wp:positionV>
                <wp:extent cx="3096895" cy="173990"/>
                <wp:effectExtent l="0" t="0" r="0" b="0"/>
                <wp:wrapNone/>
                <wp:docPr id="606" name="Group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6895" cy="173990"/>
                          <a:chOff x="940" y="1370"/>
                          <a:chExt cx="4877" cy="274"/>
                        </a:xfrm>
                      </wpg:grpSpPr>
                      <wps:wsp>
                        <wps:cNvPr id="607" name="Freeform 417"/>
                        <wps:cNvSpPr>
                          <a:spLocks/>
                        </wps:cNvSpPr>
                        <wps:spPr bwMode="auto">
                          <a:xfrm>
                            <a:off x="945" y="1634"/>
                            <a:ext cx="4872" cy="20"/>
                          </a:xfrm>
                          <a:custGeom>
                            <a:avLst/>
                            <a:gdLst>
                              <a:gd name="T0" fmla="*/ 0 w 4872"/>
                              <a:gd name="T1" fmla="*/ 4 h 20"/>
                              <a:gd name="T2" fmla="*/ 4872 w 4872"/>
                              <a:gd name="T3" fmla="*/ 4 h 20"/>
                              <a:gd name="T4" fmla="*/ 4872 w 4872"/>
                              <a:gd name="T5" fmla="*/ 0 h 20"/>
                              <a:gd name="T6" fmla="*/ 0 w 4872"/>
                              <a:gd name="T7" fmla="*/ 0 h 20"/>
                              <a:gd name="T8" fmla="*/ 0 w 4872"/>
                              <a:gd name="T9" fmla="*/ 4 h 20"/>
                            </a:gdLst>
                            <a:ahLst/>
                            <a:cxnLst>
                              <a:cxn ang="0">
                                <a:pos x="T0" y="T1"/>
                              </a:cxn>
                              <a:cxn ang="0">
                                <a:pos x="T2" y="T3"/>
                              </a:cxn>
                              <a:cxn ang="0">
                                <a:pos x="T4" y="T5"/>
                              </a:cxn>
                              <a:cxn ang="0">
                                <a:pos x="T6" y="T7"/>
                              </a:cxn>
                              <a:cxn ang="0">
                                <a:pos x="T8" y="T9"/>
                              </a:cxn>
                            </a:cxnLst>
                            <a:rect l="0" t="0" r="r" b="b"/>
                            <a:pathLst>
                              <a:path w="4872" h="20">
                                <a:moveTo>
                                  <a:pt x="0" y="4"/>
                                </a:moveTo>
                                <a:lnTo>
                                  <a:pt x="4872" y="4"/>
                                </a:lnTo>
                                <a:lnTo>
                                  <a:pt x="4872" y="0"/>
                                </a:lnTo>
                                <a:lnTo>
                                  <a:pt x="0" y="0"/>
                                </a:lnTo>
                                <a:lnTo>
                                  <a:pt x="0" y="4"/>
                                </a:lnTo>
                                <a:close/>
                              </a:path>
                            </a:pathLst>
                          </a:custGeom>
                          <a:solidFill>
                            <a:srgbClr val="FDFD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8" name="Freeform 418"/>
                        <wps:cNvSpPr>
                          <a:spLocks/>
                        </wps:cNvSpPr>
                        <wps:spPr bwMode="auto">
                          <a:xfrm>
                            <a:off x="945" y="1370"/>
                            <a:ext cx="4872" cy="264"/>
                          </a:xfrm>
                          <a:custGeom>
                            <a:avLst/>
                            <a:gdLst>
                              <a:gd name="T0" fmla="*/ 0 w 4872"/>
                              <a:gd name="T1" fmla="*/ 264 h 264"/>
                              <a:gd name="T2" fmla="*/ 4872 w 4872"/>
                              <a:gd name="T3" fmla="*/ 264 h 264"/>
                              <a:gd name="T4" fmla="*/ 4872 w 4872"/>
                              <a:gd name="T5" fmla="*/ 0 h 264"/>
                              <a:gd name="T6" fmla="*/ 0 w 4872"/>
                              <a:gd name="T7" fmla="*/ 0 h 264"/>
                              <a:gd name="T8" fmla="*/ 0 w 4872"/>
                              <a:gd name="T9" fmla="*/ 264 h 264"/>
                            </a:gdLst>
                            <a:ahLst/>
                            <a:cxnLst>
                              <a:cxn ang="0">
                                <a:pos x="T0" y="T1"/>
                              </a:cxn>
                              <a:cxn ang="0">
                                <a:pos x="T2" y="T3"/>
                              </a:cxn>
                              <a:cxn ang="0">
                                <a:pos x="T4" y="T5"/>
                              </a:cxn>
                              <a:cxn ang="0">
                                <a:pos x="T6" y="T7"/>
                              </a:cxn>
                              <a:cxn ang="0">
                                <a:pos x="T8" y="T9"/>
                              </a:cxn>
                            </a:cxnLst>
                            <a:rect l="0" t="0" r="r" b="b"/>
                            <a:pathLst>
                              <a:path w="4872" h="264">
                                <a:moveTo>
                                  <a:pt x="0" y="264"/>
                                </a:moveTo>
                                <a:lnTo>
                                  <a:pt x="4872" y="264"/>
                                </a:lnTo>
                                <a:lnTo>
                                  <a:pt x="4872" y="0"/>
                                </a:lnTo>
                                <a:lnTo>
                                  <a:pt x="0" y="0"/>
                                </a:lnTo>
                                <a:lnTo>
                                  <a:pt x="0" y="264"/>
                                </a:lnTo>
                                <a:close/>
                              </a:path>
                            </a:pathLst>
                          </a:custGeom>
                          <a:solidFill>
                            <a:srgbClr val="FDFD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9" name="Freeform 419"/>
                        <wps:cNvSpPr>
                          <a:spLocks/>
                        </wps:cNvSpPr>
                        <wps:spPr bwMode="auto">
                          <a:xfrm>
                            <a:off x="943" y="1642"/>
                            <a:ext cx="4872" cy="20"/>
                          </a:xfrm>
                          <a:custGeom>
                            <a:avLst/>
                            <a:gdLst>
                              <a:gd name="T0" fmla="*/ 0 w 4872"/>
                              <a:gd name="T1" fmla="*/ 0 h 20"/>
                              <a:gd name="T2" fmla="*/ 4872 w 4872"/>
                              <a:gd name="T3" fmla="*/ 0 h 20"/>
                            </a:gdLst>
                            <a:ahLst/>
                            <a:cxnLst>
                              <a:cxn ang="0">
                                <a:pos x="T0" y="T1"/>
                              </a:cxn>
                              <a:cxn ang="0">
                                <a:pos x="T2" y="T3"/>
                              </a:cxn>
                            </a:cxnLst>
                            <a:rect l="0" t="0" r="r" b="b"/>
                            <a:pathLst>
                              <a:path w="4872" h="20">
                                <a:moveTo>
                                  <a:pt x="0" y="0"/>
                                </a:moveTo>
                                <a:lnTo>
                                  <a:pt x="4872"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6" o:spid="_x0000_s1026" style="position:absolute;margin-left:47pt;margin-top:68.5pt;width:243.85pt;height:13.7pt;z-index:-251686400;mso-position-horizontal-relative:page" coordorigin="940,1370" coordsize="4877,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" o:allowincell="f">
                <v:shape id="Freeform 417" o:spid="_x0000_s1027" style="position:absolute;left:945;top:1634;width:4872;height:20;visibility:visible;mso-wrap-style:square;v-text-anchor:top" coordsize="487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C6rcYA&#10;AADcAAAADwAAAGRycy9kb3ducmV2LnhtbESPQWvCQBSE74L/YXlCL1I3zSGxaTYiQkFKL1VBentk&#10;X5PU7NuQXXXbX98tCB6HmfmGKVfB9OJCo+ssK3haJCCIa6s7bhQc9q+PSxDOI2vsLZOCH3KwqqaT&#10;Egttr/xBl51vRISwK1BB6/1QSOnqlgy6hR2Io/dlR4M+yrGResRrhJtepkmSSYMdx4UWB9q0VJ92&#10;Z6NgXr8v82BOx8/f8Pz9ltpUZrlR6mEW1i8gPAV/D9/aW60gS3L4PxOPgK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aC6rcYAAADcAAAADwAAAAAAAAAAAAAAAACYAgAAZHJz&#10;L2Rvd25yZXYueG1sUEsFBgAAAAAEAAQA9QAAAIsDAAAAAA==&#10;" path="m,4r4872,l4872,,,,,4xe" fillcolor="#fdfdff" stroked="f">
                  <v:path arrowok="t" o:connecttype="custom" o:connectlocs="0,4;4872,4;4872,0;0,0;0,4" o:connectangles="0,0,0,0,0"/>
                </v:shape>
                <v:shape id="Freeform 418" o:spid="_x0000_s1028" style="position:absolute;left:945;top:1370;width:4872;height:264;visibility:visible;mso-wrap-style:square;v-text-anchor:top" coordsize="4872,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PSpMAA&#10;AADcAAAADwAAAGRycy9kb3ducmV2LnhtbERPy2oCMRTdF/yHcAV3NWMRqaNR1CpIF/W9v07uPHBy&#10;MyRRx79vFoUuD+c9nbemFg9yvrKsYNBPQBBnVldcKDifNu+fIHxA1lhbJgUv8jCfdd6mmGr75AM9&#10;jqEQMYR9igrKEJpUSp+VZND3bUMcudw6gyFCV0jt8BnDTS0/kmQkDVYcG0psaFVSdjvejYKvQy6/&#10;7TI77e/XH7e+2N2wHudK9brtYgIiUBv+xX/urVYwSuLaeCYeATn7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jPSpMAAAADcAAAADwAAAAAAAAAAAAAAAACYAgAAZHJzL2Rvd25y&#10;ZXYueG1sUEsFBgAAAAAEAAQA9QAAAIUDAAAAAA==&#10;" path="m,264r4872,l4872,,,,,264xe" fillcolor="#fdfdff" stroked="f">
                  <v:path arrowok="t" o:connecttype="custom" o:connectlocs="0,264;4872,264;4872,0;0,0;0,264" o:connectangles="0,0,0,0,0"/>
                </v:shape>
                <v:shape id="Freeform 419" o:spid="_x0000_s1029" style="position:absolute;left:943;top:1642;width:4872;height:20;visibility:visible;mso-wrap-style:square;v-text-anchor:top" coordsize="487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sDIcIA&#10;AADcAAAADwAAAGRycy9kb3ducmV2LnhtbESPzWrDMBCE74G+g9hCb43cFEzjRgmmpNCrnZTS22Jt&#10;bBNpZSQ1tt++CgRyHObnYza7yRpxIR96xwpelhkI4sbpnlsFx8Pn8xuIEJE1GsekYKYAu+3DYoOF&#10;diNXdKljK9IIhwIVdDEOhZSh6chiWLqBOHkn5y3GJH0rtccxjVsjV1mWS4s9J0KHA3101JzrP5u4&#10;pS+NifOI33VeVdXvz7zevyr19DiV7yAiTfEevrW/tII8W8P1TDoCcvs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WwMhwgAAANwAAAAPAAAAAAAAAAAAAAAAAJgCAABkcnMvZG93&#10;bnJldi54bWxQSwUGAAAAAAQABAD1AAAAhwMAAAAA&#10;" path="m,l4872,e" filled="f" strokeweight=".24pt">
                  <v:path arrowok="t" o:connecttype="custom" o:connectlocs="0,0;4872,0" o:connectangles="0,0"/>
                </v:shape>
                <w10:wrap anchorx="page"/>
              </v:group>
            </w:pict>
          </mc:Fallback>
        </mc:AlternateContent>
      </w:r>
      <w:r>
        <w:rPr>
          <w:noProof/>
        </w:rPr>
        <mc:AlternateContent>
          <mc:Choice Requires="wps">
            <w:drawing>
              <wp:anchor distT="0" distB="0" distL="114300" distR="114300" simplePos="0" relativeHeight="251631104" behindDoc="1" locked="0" layoutInCell="0" allowOverlap="1">
                <wp:simplePos x="0" y="0"/>
                <wp:positionH relativeFrom="page">
                  <wp:posOffset>600075</wp:posOffset>
                </wp:positionH>
                <wp:positionV relativeFrom="paragraph">
                  <wp:posOffset>438785</wp:posOffset>
                </wp:positionV>
                <wp:extent cx="1520825" cy="176530"/>
                <wp:effectExtent l="0" t="0" r="0" b="0"/>
                <wp:wrapNone/>
                <wp:docPr id="605" name="Freeform 4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0825" cy="176530"/>
                        </a:xfrm>
                        <a:custGeom>
                          <a:avLst/>
                          <a:gdLst>
                            <a:gd name="T0" fmla="*/ 0 w 2395"/>
                            <a:gd name="T1" fmla="*/ 0 h 278"/>
                            <a:gd name="T2" fmla="*/ 2395 w 2395"/>
                            <a:gd name="T3" fmla="*/ 0 h 278"/>
                            <a:gd name="T4" fmla="*/ 2395 w 2395"/>
                            <a:gd name="T5" fmla="*/ 277 h 278"/>
                            <a:gd name="T6" fmla="*/ 0 w 2395"/>
                            <a:gd name="T7" fmla="*/ 277 h 278"/>
                            <a:gd name="T8" fmla="*/ 0 w 2395"/>
                            <a:gd name="T9" fmla="*/ 0 h 278"/>
                          </a:gdLst>
                          <a:ahLst/>
                          <a:cxnLst>
                            <a:cxn ang="0">
                              <a:pos x="T0" y="T1"/>
                            </a:cxn>
                            <a:cxn ang="0">
                              <a:pos x="T2" y="T3"/>
                            </a:cxn>
                            <a:cxn ang="0">
                              <a:pos x="T4" y="T5"/>
                            </a:cxn>
                            <a:cxn ang="0">
                              <a:pos x="T6" y="T7"/>
                            </a:cxn>
                            <a:cxn ang="0">
                              <a:pos x="T8" y="T9"/>
                            </a:cxn>
                          </a:cxnLst>
                          <a:rect l="0" t="0" r="r" b="b"/>
                          <a:pathLst>
                            <a:path w="2395" h="278">
                              <a:moveTo>
                                <a:pt x="0" y="0"/>
                              </a:moveTo>
                              <a:lnTo>
                                <a:pt x="2395" y="0"/>
                              </a:lnTo>
                              <a:lnTo>
                                <a:pt x="2395" y="277"/>
                              </a:lnTo>
                              <a:lnTo>
                                <a:pt x="0" y="277"/>
                              </a:lnTo>
                              <a:lnTo>
                                <a:pt x="0" y="0"/>
                              </a:lnTo>
                              <a:close/>
                            </a:path>
                          </a:pathLst>
                        </a:custGeom>
                        <a:solidFill>
                          <a:srgbClr val="FDFD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20" o:spid="_x0000_s1026" style="position:absolute;margin-left:47.25pt;margin-top:34.55pt;width:119.75pt;height:13.9pt;z-index:-251685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395,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" o:allowincell="f" path="m,l2395,r,277l,277,,xe" fillcolor="#fdfdff" stroked="f">
                <v:path arrowok="t" o:connecttype="custom" o:connectlocs="0,0;1520825,0;1520825,175895;0,175895;0,0" o:connectangles="0,0,0,0,0"/>
                <w10:wrap anchorx="page"/>
              </v:shape>
            </w:pict>
          </mc:Fallback>
        </mc:AlternateContent>
      </w:r>
      <w:r w:rsidR="002C5025">
        <w:rPr>
          <w:rFonts w:ascii="Times New Roman" w:hAnsi="Times New Roman" w:cs="Times New Roman"/>
          <w:sz w:val="24"/>
          <w:szCs w:val="24"/>
          <w:shd w:val="clear" w:color="auto" w:fill="FDFDFF"/>
        </w:rPr>
        <w:t>(20.3%),</w:t>
      </w:r>
      <w:r w:rsidR="002C5025">
        <w:rPr>
          <w:rFonts w:ascii="Times New Roman" w:hAnsi="Times New Roman" w:cs="Times New Roman"/>
          <w:spacing w:val="-7"/>
          <w:sz w:val="24"/>
          <w:szCs w:val="24"/>
          <w:shd w:val="clear" w:color="auto" w:fill="FDFDFF"/>
        </w:rPr>
        <w:t xml:space="preserve"> </w:t>
      </w:r>
      <w:r w:rsidR="002C5025">
        <w:rPr>
          <w:rFonts w:ascii="Times New Roman" w:hAnsi="Times New Roman" w:cs="Times New Roman"/>
          <w:sz w:val="24"/>
          <w:szCs w:val="24"/>
          <w:shd w:val="clear" w:color="auto" w:fill="FDFDFF"/>
        </w:rPr>
        <w:t>followed</w:t>
      </w:r>
      <w:r w:rsidR="002C5025">
        <w:rPr>
          <w:rFonts w:ascii="Times New Roman" w:hAnsi="Times New Roman" w:cs="Times New Roman"/>
          <w:spacing w:val="-5"/>
          <w:sz w:val="24"/>
          <w:szCs w:val="24"/>
          <w:shd w:val="clear" w:color="auto" w:fill="FDFDFF"/>
        </w:rPr>
        <w:t xml:space="preserve"> </w:t>
      </w:r>
      <w:r w:rsidR="002C5025">
        <w:rPr>
          <w:rFonts w:ascii="Times New Roman" w:hAnsi="Times New Roman" w:cs="Times New Roman"/>
          <w:sz w:val="24"/>
          <w:szCs w:val="24"/>
          <w:shd w:val="clear" w:color="auto" w:fill="FDFDFF"/>
        </w:rPr>
        <w:t>by</w:t>
      </w:r>
      <w:r w:rsidR="002C5025">
        <w:rPr>
          <w:rFonts w:ascii="Times New Roman" w:hAnsi="Times New Roman" w:cs="Times New Roman"/>
          <w:spacing w:val="-12"/>
          <w:sz w:val="24"/>
          <w:szCs w:val="24"/>
          <w:shd w:val="clear" w:color="auto" w:fill="FDFDFF"/>
        </w:rPr>
        <w:t xml:space="preserve"> </w:t>
      </w:r>
      <w:r w:rsidR="002C5025">
        <w:rPr>
          <w:rFonts w:ascii="Times New Roman" w:hAnsi="Times New Roman" w:cs="Times New Roman"/>
          <w:sz w:val="24"/>
          <w:szCs w:val="24"/>
          <w:shd w:val="clear" w:color="auto" w:fill="FDFDFF"/>
        </w:rPr>
        <w:t>internists</w:t>
      </w:r>
      <w:r w:rsidR="002C5025">
        <w:rPr>
          <w:rFonts w:ascii="Times New Roman" w:hAnsi="Times New Roman" w:cs="Times New Roman"/>
          <w:spacing w:val="-7"/>
          <w:sz w:val="24"/>
          <w:szCs w:val="24"/>
          <w:shd w:val="clear" w:color="auto" w:fill="FDFDFF"/>
        </w:rPr>
        <w:t xml:space="preserve"> </w:t>
      </w:r>
      <w:r w:rsidR="002C5025">
        <w:rPr>
          <w:rFonts w:ascii="Times New Roman" w:hAnsi="Times New Roman" w:cs="Times New Roman"/>
          <w:sz w:val="24"/>
          <w:szCs w:val="24"/>
          <w:shd w:val="clear" w:color="auto" w:fill="FDFDFF"/>
        </w:rPr>
        <w:t>(17.3%)</w:t>
      </w:r>
      <w:r w:rsidR="002C5025">
        <w:rPr>
          <w:rFonts w:ascii="Times New Roman" w:hAnsi="Times New Roman" w:cs="Times New Roman"/>
          <w:spacing w:val="-6"/>
          <w:sz w:val="24"/>
          <w:szCs w:val="24"/>
          <w:shd w:val="clear" w:color="auto" w:fill="FDFDFF"/>
        </w:rPr>
        <w:t xml:space="preserve"> </w:t>
      </w:r>
      <w:r w:rsidR="002C5025">
        <w:rPr>
          <w:rFonts w:ascii="Times New Roman" w:hAnsi="Times New Roman" w:cs="Times New Roman"/>
          <w:sz w:val="24"/>
          <w:szCs w:val="24"/>
          <w:shd w:val="clear" w:color="auto" w:fill="FDFDFF"/>
        </w:rPr>
        <w:t>and</w:t>
      </w:r>
      <w:r w:rsidR="002C5025">
        <w:rPr>
          <w:rFonts w:ascii="Times New Roman" w:hAnsi="Times New Roman" w:cs="Times New Roman"/>
          <w:spacing w:val="-7"/>
          <w:sz w:val="24"/>
          <w:szCs w:val="24"/>
          <w:shd w:val="clear" w:color="auto" w:fill="FDFDFF"/>
        </w:rPr>
        <w:t xml:space="preserve"> </w:t>
      </w:r>
      <w:r w:rsidR="002C5025">
        <w:rPr>
          <w:rFonts w:ascii="Times New Roman" w:hAnsi="Times New Roman" w:cs="Times New Roman"/>
          <w:sz w:val="24"/>
          <w:szCs w:val="24"/>
          <w:shd w:val="clear" w:color="auto" w:fill="FDFDFF"/>
        </w:rPr>
        <w:t>family/general</w:t>
      </w:r>
      <w:r w:rsidR="002C5025">
        <w:rPr>
          <w:rFonts w:ascii="Times New Roman" w:hAnsi="Times New Roman" w:cs="Times New Roman"/>
          <w:spacing w:val="-7"/>
          <w:sz w:val="24"/>
          <w:szCs w:val="24"/>
          <w:shd w:val="clear" w:color="auto" w:fill="FDFDFF"/>
        </w:rPr>
        <w:t xml:space="preserve"> </w:t>
      </w:r>
      <w:r w:rsidR="002C5025">
        <w:rPr>
          <w:rFonts w:ascii="Times New Roman" w:hAnsi="Times New Roman" w:cs="Times New Roman"/>
          <w:sz w:val="24"/>
          <w:szCs w:val="24"/>
          <w:shd w:val="clear" w:color="auto" w:fill="FDFDFF"/>
        </w:rPr>
        <w:t>practitioners</w:t>
      </w:r>
      <w:r w:rsidR="002C5025">
        <w:rPr>
          <w:rFonts w:ascii="Times New Roman" w:hAnsi="Times New Roman" w:cs="Times New Roman"/>
          <w:spacing w:val="-5"/>
          <w:sz w:val="24"/>
          <w:szCs w:val="24"/>
          <w:shd w:val="clear" w:color="auto" w:fill="FDFDFF"/>
        </w:rPr>
        <w:t xml:space="preserve"> </w:t>
      </w:r>
      <w:r w:rsidR="002C5025">
        <w:rPr>
          <w:rFonts w:ascii="Times New Roman" w:hAnsi="Times New Roman" w:cs="Times New Roman"/>
          <w:sz w:val="24"/>
          <w:szCs w:val="24"/>
          <w:shd w:val="clear" w:color="auto" w:fill="FDFDFF"/>
        </w:rPr>
        <w:t>(17.3%).</w:t>
      </w:r>
      <w:r w:rsidR="002C5025">
        <w:rPr>
          <w:rFonts w:ascii="Times New Roman" w:hAnsi="Times New Roman" w:cs="Times New Roman"/>
          <w:spacing w:val="-7"/>
          <w:sz w:val="24"/>
          <w:szCs w:val="24"/>
          <w:shd w:val="clear" w:color="auto" w:fill="FDFDFF"/>
        </w:rPr>
        <w:t xml:space="preserve"> </w:t>
      </w:r>
      <w:r w:rsidR="002C5025">
        <w:rPr>
          <w:rFonts w:ascii="Times New Roman" w:hAnsi="Times New Roman" w:cs="Times New Roman"/>
          <w:sz w:val="24"/>
          <w:szCs w:val="24"/>
          <w:shd w:val="clear" w:color="auto" w:fill="FDFDFF"/>
        </w:rPr>
        <w:t>Those</w:t>
      </w:r>
      <w:r w:rsidR="002C5025">
        <w:rPr>
          <w:rFonts w:ascii="Times New Roman" w:hAnsi="Times New Roman" w:cs="Times New Roman"/>
          <w:spacing w:val="-8"/>
          <w:sz w:val="24"/>
          <w:szCs w:val="24"/>
          <w:shd w:val="clear" w:color="auto" w:fill="FDFDFF"/>
        </w:rPr>
        <w:t xml:space="preserve"> </w:t>
      </w:r>
      <w:r w:rsidR="002C5025">
        <w:rPr>
          <w:rFonts w:ascii="Times New Roman" w:hAnsi="Times New Roman" w:cs="Times New Roman"/>
          <w:sz w:val="24"/>
          <w:szCs w:val="24"/>
          <w:shd w:val="clear" w:color="auto" w:fill="FDFDFF"/>
        </w:rPr>
        <w:t>in</w:t>
      </w:r>
      <w:r w:rsidR="002C5025">
        <w:rPr>
          <w:rFonts w:ascii="Times New Roman" w:hAnsi="Times New Roman" w:cs="Times New Roman"/>
          <w:spacing w:val="-7"/>
          <w:sz w:val="24"/>
          <w:szCs w:val="24"/>
          <w:shd w:val="clear" w:color="auto" w:fill="FDFDFF"/>
        </w:rPr>
        <w:t xml:space="preserve"> </w:t>
      </w:r>
      <w:r w:rsidR="002C5025">
        <w:rPr>
          <w:rFonts w:ascii="Times New Roman" w:hAnsi="Times New Roman" w:cs="Times New Roman"/>
          <w:sz w:val="24"/>
          <w:szCs w:val="24"/>
          <w:shd w:val="clear" w:color="auto" w:fill="FDFDFF"/>
        </w:rPr>
        <w:t>large</w:t>
      </w:r>
      <w:r w:rsidR="002C5025">
        <w:rPr>
          <w:rFonts w:ascii="Times New Roman" w:hAnsi="Times New Roman" w:cs="Times New Roman"/>
          <w:spacing w:val="-6"/>
          <w:sz w:val="24"/>
          <w:szCs w:val="24"/>
          <w:shd w:val="clear" w:color="auto" w:fill="FDFDFF"/>
        </w:rPr>
        <w:t xml:space="preserve"> </w:t>
      </w:r>
      <w:r w:rsidR="002C5025">
        <w:rPr>
          <w:rFonts w:ascii="Times New Roman" w:hAnsi="Times New Roman" w:cs="Times New Roman"/>
          <w:sz w:val="24"/>
          <w:szCs w:val="24"/>
          <w:shd w:val="clear" w:color="auto" w:fill="FDFDFF"/>
        </w:rPr>
        <w:t>practices, those</w:t>
      </w:r>
      <w:r w:rsidR="002C5025">
        <w:rPr>
          <w:rFonts w:ascii="Times New Roman" w:hAnsi="Times New Roman" w:cs="Times New Roman"/>
          <w:spacing w:val="-7"/>
          <w:sz w:val="24"/>
          <w:szCs w:val="24"/>
          <w:shd w:val="clear" w:color="auto" w:fill="FDFDFF"/>
        </w:rPr>
        <w:t xml:space="preserve"> </w:t>
      </w:r>
      <w:r w:rsidR="002C5025">
        <w:rPr>
          <w:rFonts w:ascii="Times New Roman" w:hAnsi="Times New Roman" w:cs="Times New Roman"/>
          <w:sz w:val="24"/>
          <w:szCs w:val="24"/>
          <w:shd w:val="clear" w:color="auto" w:fill="FDFDFF"/>
        </w:rPr>
        <w:t>in</w:t>
      </w:r>
      <w:r w:rsidR="002C5025">
        <w:rPr>
          <w:rFonts w:ascii="Times New Roman" w:hAnsi="Times New Roman" w:cs="Times New Roman"/>
          <w:spacing w:val="-6"/>
          <w:sz w:val="24"/>
          <w:szCs w:val="24"/>
          <w:shd w:val="clear" w:color="auto" w:fill="FDFDFF"/>
        </w:rPr>
        <w:t xml:space="preserve"> </w:t>
      </w:r>
      <w:r w:rsidR="002C5025">
        <w:rPr>
          <w:rFonts w:ascii="Times New Roman" w:hAnsi="Times New Roman" w:cs="Times New Roman"/>
          <w:sz w:val="24"/>
          <w:szCs w:val="24"/>
          <w:shd w:val="clear" w:color="auto" w:fill="FDFDFF"/>
        </w:rPr>
        <w:t>practices</w:t>
      </w:r>
      <w:r w:rsidR="002C5025">
        <w:rPr>
          <w:rFonts w:ascii="Times New Roman" w:hAnsi="Times New Roman" w:cs="Times New Roman"/>
          <w:spacing w:val="-6"/>
          <w:sz w:val="24"/>
          <w:szCs w:val="24"/>
          <w:shd w:val="clear" w:color="auto" w:fill="FDFDFF"/>
        </w:rPr>
        <w:t xml:space="preserve"> </w:t>
      </w:r>
      <w:r w:rsidR="002C5025">
        <w:rPr>
          <w:rFonts w:ascii="Times New Roman" w:hAnsi="Times New Roman" w:cs="Times New Roman"/>
          <w:sz w:val="24"/>
          <w:szCs w:val="24"/>
          <w:shd w:val="clear" w:color="auto" w:fill="FDFDFF"/>
        </w:rPr>
        <w:t>owned</w:t>
      </w:r>
      <w:r w:rsidR="002C5025">
        <w:rPr>
          <w:rFonts w:ascii="Times New Roman" w:hAnsi="Times New Roman" w:cs="Times New Roman"/>
          <w:spacing w:val="-4"/>
          <w:sz w:val="24"/>
          <w:szCs w:val="24"/>
          <w:shd w:val="clear" w:color="auto" w:fill="FDFDFF"/>
        </w:rPr>
        <w:t xml:space="preserve"> </w:t>
      </w:r>
      <w:r w:rsidR="002C5025">
        <w:rPr>
          <w:rFonts w:ascii="Times New Roman" w:hAnsi="Times New Roman" w:cs="Times New Roman"/>
          <w:sz w:val="24"/>
          <w:szCs w:val="24"/>
          <w:shd w:val="clear" w:color="auto" w:fill="FDFDFF"/>
        </w:rPr>
        <w:t>by</w:t>
      </w:r>
      <w:r w:rsidR="002C5025">
        <w:rPr>
          <w:rFonts w:ascii="Times New Roman" w:hAnsi="Times New Roman" w:cs="Times New Roman"/>
          <w:spacing w:val="-9"/>
          <w:sz w:val="24"/>
          <w:szCs w:val="24"/>
          <w:shd w:val="clear" w:color="auto" w:fill="FDFDFF"/>
        </w:rPr>
        <w:t xml:space="preserve"> </w:t>
      </w:r>
      <w:r w:rsidR="002C5025">
        <w:rPr>
          <w:rFonts w:ascii="Times New Roman" w:hAnsi="Times New Roman" w:cs="Times New Roman"/>
          <w:sz w:val="24"/>
          <w:szCs w:val="24"/>
          <w:shd w:val="clear" w:color="auto" w:fill="FDFDFF"/>
        </w:rPr>
        <w:t>a</w:t>
      </w:r>
      <w:r w:rsidR="002C5025">
        <w:rPr>
          <w:rFonts w:ascii="Times New Roman" w:hAnsi="Times New Roman" w:cs="Times New Roman"/>
          <w:spacing w:val="-7"/>
          <w:sz w:val="24"/>
          <w:szCs w:val="24"/>
          <w:shd w:val="clear" w:color="auto" w:fill="FDFDFF"/>
        </w:rPr>
        <w:t xml:space="preserve"> </w:t>
      </w:r>
      <w:r w:rsidR="002C5025">
        <w:rPr>
          <w:rFonts w:ascii="Times New Roman" w:hAnsi="Times New Roman" w:cs="Times New Roman"/>
          <w:sz w:val="24"/>
          <w:szCs w:val="24"/>
          <w:shd w:val="clear" w:color="auto" w:fill="FDFDFF"/>
        </w:rPr>
        <w:t>hospital,</w:t>
      </w:r>
      <w:r w:rsidR="002C5025">
        <w:rPr>
          <w:rFonts w:ascii="Times New Roman" w:hAnsi="Times New Roman" w:cs="Times New Roman"/>
          <w:spacing w:val="-4"/>
          <w:sz w:val="24"/>
          <w:szCs w:val="24"/>
          <w:shd w:val="clear" w:color="auto" w:fill="FDFDFF"/>
        </w:rPr>
        <w:t xml:space="preserve"> </w:t>
      </w:r>
      <w:r w:rsidR="002C5025">
        <w:rPr>
          <w:rFonts w:ascii="Times New Roman" w:hAnsi="Times New Roman" w:cs="Times New Roman"/>
          <w:sz w:val="24"/>
          <w:szCs w:val="24"/>
          <w:shd w:val="clear" w:color="auto" w:fill="FDFDFF"/>
        </w:rPr>
        <w:t>and</w:t>
      </w:r>
      <w:r w:rsidR="002C5025">
        <w:rPr>
          <w:rFonts w:ascii="Times New Roman" w:hAnsi="Times New Roman" w:cs="Times New Roman"/>
          <w:spacing w:val="-6"/>
          <w:sz w:val="24"/>
          <w:szCs w:val="24"/>
          <w:shd w:val="clear" w:color="auto" w:fill="FDFDFF"/>
        </w:rPr>
        <w:t xml:space="preserve"> </w:t>
      </w:r>
      <w:r w:rsidR="002C5025">
        <w:rPr>
          <w:rFonts w:ascii="Times New Roman" w:hAnsi="Times New Roman" w:cs="Times New Roman"/>
          <w:sz w:val="24"/>
          <w:szCs w:val="24"/>
          <w:shd w:val="clear" w:color="auto" w:fill="FDFDFF"/>
        </w:rPr>
        <w:t>those</w:t>
      </w:r>
      <w:r w:rsidR="002C5025">
        <w:rPr>
          <w:rFonts w:ascii="Times New Roman" w:hAnsi="Times New Roman" w:cs="Times New Roman"/>
          <w:spacing w:val="-2"/>
          <w:sz w:val="24"/>
          <w:szCs w:val="24"/>
          <w:shd w:val="clear" w:color="auto" w:fill="FDFDFF"/>
        </w:rPr>
        <w:t xml:space="preserve"> </w:t>
      </w:r>
      <w:r w:rsidR="002C5025">
        <w:rPr>
          <w:rFonts w:ascii="Times New Roman" w:hAnsi="Times New Roman" w:cs="Times New Roman"/>
          <w:sz w:val="24"/>
          <w:szCs w:val="24"/>
          <w:shd w:val="clear" w:color="auto" w:fill="FDFDFF"/>
        </w:rPr>
        <w:t>with</w:t>
      </w:r>
      <w:r w:rsidR="002C5025">
        <w:rPr>
          <w:rFonts w:ascii="Times New Roman" w:hAnsi="Times New Roman" w:cs="Times New Roman"/>
          <w:spacing w:val="-6"/>
          <w:sz w:val="24"/>
          <w:szCs w:val="24"/>
          <w:shd w:val="clear" w:color="auto" w:fill="FDFDFF"/>
        </w:rPr>
        <w:t xml:space="preserve"> </w:t>
      </w:r>
      <w:r w:rsidR="002C5025">
        <w:rPr>
          <w:rFonts w:ascii="Times New Roman" w:hAnsi="Times New Roman" w:cs="Times New Roman"/>
          <w:sz w:val="24"/>
          <w:szCs w:val="24"/>
          <w:shd w:val="clear" w:color="auto" w:fill="FDFDFF"/>
        </w:rPr>
        <w:t>financial</w:t>
      </w:r>
      <w:r w:rsidR="002C5025">
        <w:rPr>
          <w:rFonts w:ascii="Times New Roman" w:hAnsi="Times New Roman" w:cs="Times New Roman"/>
          <w:spacing w:val="-6"/>
          <w:sz w:val="24"/>
          <w:szCs w:val="24"/>
          <w:shd w:val="clear" w:color="auto" w:fill="FDFDFF"/>
        </w:rPr>
        <w:t xml:space="preserve"> </w:t>
      </w:r>
      <w:r w:rsidR="002C5025">
        <w:rPr>
          <w:rFonts w:ascii="Times New Roman" w:hAnsi="Times New Roman" w:cs="Times New Roman"/>
          <w:sz w:val="24"/>
          <w:szCs w:val="24"/>
          <w:shd w:val="clear" w:color="auto" w:fill="FDFDFF"/>
        </w:rPr>
        <w:t>incentives</w:t>
      </w:r>
      <w:r w:rsidR="002C5025">
        <w:rPr>
          <w:rFonts w:ascii="Times New Roman" w:hAnsi="Times New Roman" w:cs="Times New Roman"/>
          <w:spacing w:val="-4"/>
          <w:sz w:val="24"/>
          <w:szCs w:val="24"/>
          <w:shd w:val="clear" w:color="auto" w:fill="FDFDFF"/>
        </w:rPr>
        <w:t xml:space="preserve"> </w:t>
      </w:r>
      <w:r w:rsidR="002C5025">
        <w:rPr>
          <w:rFonts w:ascii="Times New Roman" w:hAnsi="Times New Roman" w:cs="Times New Roman"/>
          <w:sz w:val="24"/>
          <w:szCs w:val="24"/>
          <w:shd w:val="clear" w:color="auto" w:fill="FDFDFF"/>
        </w:rPr>
        <w:t>to</w:t>
      </w:r>
      <w:r w:rsidR="002C5025">
        <w:rPr>
          <w:rFonts w:ascii="Times New Roman" w:hAnsi="Times New Roman" w:cs="Times New Roman"/>
          <w:spacing w:val="-4"/>
          <w:sz w:val="24"/>
          <w:szCs w:val="24"/>
          <w:shd w:val="clear" w:color="auto" w:fill="FDFDFF"/>
        </w:rPr>
        <w:t xml:space="preserve"> </w:t>
      </w:r>
      <w:r w:rsidR="002C5025">
        <w:rPr>
          <w:rFonts w:ascii="Times New Roman" w:hAnsi="Times New Roman" w:cs="Times New Roman"/>
          <w:sz w:val="24"/>
          <w:szCs w:val="24"/>
          <w:shd w:val="clear" w:color="auto" w:fill="FDFDFF"/>
        </w:rPr>
        <w:t>reduce</w:t>
      </w:r>
      <w:r w:rsidR="002C5025">
        <w:rPr>
          <w:rFonts w:ascii="Times New Roman" w:hAnsi="Times New Roman" w:cs="Times New Roman"/>
          <w:spacing w:val="-7"/>
          <w:sz w:val="24"/>
          <w:szCs w:val="24"/>
          <w:shd w:val="clear" w:color="auto" w:fill="FDFDFF"/>
        </w:rPr>
        <w:t xml:space="preserve"> </w:t>
      </w:r>
      <w:r w:rsidR="002C5025">
        <w:rPr>
          <w:rFonts w:ascii="Times New Roman" w:hAnsi="Times New Roman" w:cs="Times New Roman"/>
          <w:sz w:val="24"/>
          <w:szCs w:val="24"/>
          <w:shd w:val="clear" w:color="auto" w:fill="FDFDFF"/>
        </w:rPr>
        <w:t>services</w:t>
      </w:r>
      <w:r w:rsidR="002C5025">
        <w:rPr>
          <w:rFonts w:ascii="Times New Roman" w:hAnsi="Times New Roman" w:cs="Times New Roman"/>
          <w:spacing w:val="-6"/>
          <w:sz w:val="24"/>
          <w:szCs w:val="24"/>
          <w:shd w:val="clear" w:color="auto" w:fill="FDFDFF"/>
        </w:rPr>
        <w:t xml:space="preserve"> </w:t>
      </w:r>
      <w:r w:rsidR="002C5025">
        <w:rPr>
          <w:rFonts w:ascii="Times New Roman" w:hAnsi="Times New Roman" w:cs="Times New Roman"/>
          <w:sz w:val="24"/>
          <w:szCs w:val="24"/>
          <w:shd w:val="clear" w:color="auto" w:fill="FDFDFF"/>
        </w:rPr>
        <w:t>spent</w:t>
      </w:r>
      <w:r w:rsidR="002C5025">
        <w:rPr>
          <w:rFonts w:ascii="Times New Roman" w:hAnsi="Times New Roman" w:cs="Times New Roman"/>
          <w:spacing w:val="-3"/>
          <w:sz w:val="24"/>
          <w:szCs w:val="24"/>
          <w:shd w:val="clear" w:color="auto" w:fill="FDFDFF"/>
        </w:rPr>
        <w:t xml:space="preserve"> </w:t>
      </w:r>
      <w:r w:rsidR="002C5025">
        <w:rPr>
          <w:rFonts w:ascii="Times New Roman" w:hAnsi="Times New Roman" w:cs="Times New Roman"/>
          <w:sz w:val="24"/>
          <w:szCs w:val="24"/>
          <w:shd w:val="clear" w:color="auto" w:fill="FDFDFF"/>
        </w:rPr>
        <w:t>more</w:t>
      </w:r>
      <w:r w:rsidR="002C5025">
        <w:rPr>
          <w:rFonts w:ascii="Times New Roman" w:hAnsi="Times New Roman" w:cs="Times New Roman"/>
          <w:sz w:val="24"/>
          <w:szCs w:val="24"/>
          <w:shd w:val="clear" w:color="auto" w:fill="FDFDFF"/>
        </w:rPr>
        <w:tab/>
        <w:t xml:space="preserve"> time on</w:t>
      </w:r>
      <w:r w:rsidR="002C5025">
        <w:rPr>
          <w:rFonts w:ascii="Times New Roman" w:hAnsi="Times New Roman" w:cs="Times New Roman"/>
          <w:spacing w:val="-23"/>
          <w:sz w:val="24"/>
          <w:szCs w:val="24"/>
          <w:shd w:val="clear" w:color="auto" w:fill="FDFDFF"/>
        </w:rPr>
        <w:t xml:space="preserve"> </w:t>
      </w:r>
      <w:r w:rsidR="002C5025">
        <w:rPr>
          <w:rFonts w:ascii="Times New Roman" w:hAnsi="Times New Roman" w:cs="Times New Roman"/>
          <w:sz w:val="24"/>
          <w:szCs w:val="24"/>
          <w:shd w:val="clear" w:color="auto" w:fill="FDFDFF"/>
        </w:rPr>
        <w:t>administration.</w:t>
      </w:r>
      <w:r w:rsidR="002C5025">
        <w:rPr>
          <w:rFonts w:ascii="Times New Roman" w:hAnsi="Times New Roman" w:cs="Times New Roman"/>
          <w:position w:val="11"/>
          <w:sz w:val="16"/>
          <w:szCs w:val="16"/>
          <w:shd w:val="clear" w:color="auto" w:fill="FDFDFF"/>
        </w:rPr>
        <w:t>32</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7"/>
        <w:rPr>
          <w:rFonts w:ascii="Times New Roman" w:hAnsi="Times New Roman" w:cs="Times New Roman"/>
          <w:sz w:val="13"/>
          <w:szCs w:val="13"/>
        </w:rPr>
      </w:pPr>
    </w:p>
    <w:tbl>
      <w:tblPr>
        <w:tblW w:w="0" w:type="auto"/>
        <w:tblInd w:w="146" w:type="dxa"/>
        <w:tblLayout w:type="fixed"/>
        <w:tblCellMar>
          <w:left w:w="0" w:type="dxa"/>
          <w:right w:w="0" w:type="dxa"/>
        </w:tblCellMar>
        <w:tblLook w:val="0000" w:firstRow="0" w:lastRow="0" w:firstColumn="0" w:lastColumn="0" w:noHBand="0" w:noVBand="0"/>
      </w:tblPr>
      <w:tblGrid>
        <w:gridCol w:w="10257"/>
      </w:tblGrid>
      <w:tr w:rsidR="002C5025">
        <w:trPr>
          <w:trHeight w:hRule="exact" w:val="336"/>
        </w:trPr>
        <w:tc>
          <w:tcPr>
            <w:tcW w:w="10257" w:type="dxa"/>
            <w:tcBorders>
              <w:top w:val="nil"/>
              <w:left w:val="nil"/>
              <w:bottom w:val="nil"/>
              <w:right w:val="nil"/>
            </w:tcBorders>
          </w:tcPr>
          <w:p w:rsidR="002C5025" w:rsidRDefault="002C5025">
            <w:pPr>
              <w:pStyle w:val="TableParagraph"/>
              <w:kinsoku w:val="0"/>
              <w:overflowPunct w:val="0"/>
              <w:spacing w:line="261" w:lineRule="exact"/>
              <w:ind w:left="0" w:right="-19"/>
              <w:rPr>
                <w:rFonts w:ascii="Times New Roman" w:hAnsi="Times New Roman" w:cs="Times New Roman"/>
              </w:rPr>
            </w:pPr>
            <w:r>
              <w:rPr>
                <w:rFonts w:ascii="Times New Roman" w:hAnsi="Times New Roman" w:cs="Times New Roman"/>
              </w:rPr>
              <w:t>Barrier to care access due to administrative burden</w:t>
            </w:r>
          </w:p>
        </w:tc>
      </w:tr>
      <w:tr w:rsidR="002C5025">
        <w:trPr>
          <w:trHeight w:hRule="exact" w:val="280"/>
        </w:trPr>
        <w:tc>
          <w:tcPr>
            <w:tcW w:w="10257" w:type="dxa"/>
            <w:tcBorders>
              <w:top w:val="nil"/>
              <w:left w:val="nil"/>
              <w:bottom w:val="nil"/>
              <w:right w:val="nil"/>
            </w:tcBorders>
            <w:shd w:val="clear" w:color="auto" w:fill="FDFDFF"/>
          </w:tcPr>
          <w:p w:rsidR="002C5025" w:rsidRDefault="002C5025">
            <w:pPr>
              <w:pStyle w:val="TableParagraph"/>
              <w:numPr>
                <w:ilvl w:val="0"/>
                <w:numId w:val="53"/>
              </w:numPr>
              <w:tabs>
                <w:tab w:val="left" w:pos="144"/>
              </w:tabs>
              <w:kinsoku w:val="0"/>
              <w:overflowPunct w:val="0"/>
              <w:spacing w:line="270" w:lineRule="exact"/>
              <w:rPr>
                <w:rFonts w:ascii="Times New Roman" w:hAnsi="Times New Roman" w:cs="Times New Roman"/>
              </w:rPr>
            </w:pPr>
            <w:r>
              <w:rPr>
                <w:rFonts w:ascii="Times New Roman" w:hAnsi="Times New Roman" w:cs="Times New Roman"/>
              </w:rPr>
              <w:t>Medicaid</w:t>
            </w:r>
            <w:r>
              <w:rPr>
                <w:rFonts w:ascii="Times New Roman" w:hAnsi="Times New Roman" w:cs="Times New Roman"/>
                <w:spacing w:val="-7"/>
              </w:rPr>
              <w:t xml:space="preserve"> </w:t>
            </w:r>
            <w:r>
              <w:rPr>
                <w:rFonts w:ascii="Times New Roman" w:hAnsi="Times New Roman" w:cs="Times New Roman"/>
              </w:rPr>
              <w:t>administrative</w:t>
            </w:r>
            <w:r>
              <w:rPr>
                <w:rFonts w:ascii="Times New Roman" w:hAnsi="Times New Roman" w:cs="Times New Roman"/>
                <w:spacing w:val="-6"/>
              </w:rPr>
              <w:t xml:space="preserve"> </w:t>
            </w:r>
            <w:r>
              <w:rPr>
                <w:rFonts w:ascii="Times New Roman" w:hAnsi="Times New Roman" w:cs="Times New Roman"/>
              </w:rPr>
              <w:t>burden</w:t>
            </w:r>
            <w:r>
              <w:rPr>
                <w:rFonts w:ascii="Times New Roman" w:hAnsi="Times New Roman" w:cs="Times New Roman"/>
                <w:spacing w:val="-7"/>
              </w:rPr>
              <w:t xml:space="preserve"> </w:t>
            </w:r>
            <w:r>
              <w:rPr>
                <w:rFonts w:ascii="Times New Roman" w:hAnsi="Times New Roman" w:cs="Times New Roman"/>
              </w:rPr>
              <w:t>is</w:t>
            </w:r>
            <w:r>
              <w:rPr>
                <w:rFonts w:ascii="Times New Roman" w:hAnsi="Times New Roman" w:cs="Times New Roman"/>
                <w:spacing w:val="-7"/>
              </w:rPr>
              <w:t xml:space="preserve"> </w:t>
            </w:r>
            <w:r>
              <w:rPr>
                <w:rFonts w:ascii="Times New Roman" w:hAnsi="Times New Roman" w:cs="Times New Roman"/>
              </w:rPr>
              <w:t>described</w:t>
            </w:r>
            <w:r>
              <w:rPr>
                <w:rFonts w:ascii="Times New Roman" w:hAnsi="Times New Roman" w:cs="Times New Roman"/>
                <w:spacing w:val="-5"/>
              </w:rPr>
              <w:t xml:space="preserve"> </w:t>
            </w:r>
            <w:r>
              <w:rPr>
                <w:rFonts w:ascii="Times New Roman" w:hAnsi="Times New Roman" w:cs="Times New Roman"/>
              </w:rPr>
              <w:t>as</w:t>
            </w:r>
            <w:r>
              <w:rPr>
                <w:rFonts w:ascii="Times New Roman" w:hAnsi="Times New Roman" w:cs="Times New Roman"/>
                <w:spacing w:val="-7"/>
              </w:rPr>
              <w:t xml:space="preserve"> </w:t>
            </w:r>
            <w:r>
              <w:rPr>
                <w:rFonts w:ascii="Times New Roman" w:hAnsi="Times New Roman" w:cs="Times New Roman"/>
              </w:rPr>
              <w:t>a</w:t>
            </w:r>
            <w:r>
              <w:rPr>
                <w:rFonts w:ascii="Times New Roman" w:hAnsi="Times New Roman" w:cs="Times New Roman"/>
                <w:spacing w:val="-6"/>
              </w:rPr>
              <w:t xml:space="preserve"> </w:t>
            </w:r>
            <w:r>
              <w:rPr>
                <w:rFonts w:ascii="Times New Roman" w:hAnsi="Times New Roman" w:cs="Times New Roman"/>
              </w:rPr>
              <w:t>barrier</w:t>
            </w:r>
            <w:r>
              <w:rPr>
                <w:rFonts w:ascii="Times New Roman" w:hAnsi="Times New Roman" w:cs="Times New Roman"/>
                <w:spacing w:val="-6"/>
              </w:rPr>
              <w:t xml:space="preserve"> </w:t>
            </w:r>
            <w:r>
              <w:rPr>
                <w:rFonts w:ascii="Times New Roman" w:hAnsi="Times New Roman" w:cs="Times New Roman"/>
              </w:rPr>
              <w:t>to</w:t>
            </w:r>
            <w:r>
              <w:rPr>
                <w:rFonts w:ascii="Times New Roman" w:hAnsi="Times New Roman" w:cs="Times New Roman"/>
                <w:spacing w:val="-7"/>
              </w:rPr>
              <w:t xml:space="preserve"> </w:t>
            </w:r>
            <w:r>
              <w:rPr>
                <w:rFonts w:ascii="Times New Roman" w:hAnsi="Times New Roman" w:cs="Times New Roman"/>
              </w:rPr>
              <w:t>access</w:t>
            </w:r>
            <w:r>
              <w:rPr>
                <w:rFonts w:ascii="Times New Roman" w:hAnsi="Times New Roman" w:cs="Times New Roman"/>
                <w:spacing w:val="-5"/>
              </w:rPr>
              <w:t xml:space="preserve"> </w:t>
            </w:r>
            <w:r>
              <w:rPr>
                <w:rFonts w:ascii="Times New Roman" w:hAnsi="Times New Roman" w:cs="Times New Roman"/>
              </w:rPr>
              <w:t>for</w:t>
            </w:r>
            <w:r>
              <w:rPr>
                <w:rFonts w:ascii="Times New Roman" w:hAnsi="Times New Roman" w:cs="Times New Roman"/>
                <w:spacing w:val="-8"/>
              </w:rPr>
              <w:t xml:space="preserve"> </w:t>
            </w:r>
            <w:r>
              <w:rPr>
                <w:rFonts w:ascii="Times New Roman" w:hAnsi="Times New Roman" w:cs="Times New Roman"/>
              </w:rPr>
              <w:t>Medicaid</w:t>
            </w:r>
            <w:r>
              <w:rPr>
                <w:rFonts w:ascii="Times New Roman" w:hAnsi="Times New Roman" w:cs="Times New Roman"/>
                <w:spacing w:val="-7"/>
              </w:rPr>
              <w:t xml:space="preserve"> </w:t>
            </w:r>
            <w:r>
              <w:rPr>
                <w:rFonts w:ascii="Times New Roman" w:hAnsi="Times New Roman" w:cs="Times New Roman"/>
              </w:rPr>
              <w:t>patients.</w:t>
            </w:r>
            <w:r>
              <w:rPr>
                <w:rFonts w:ascii="Times New Roman" w:hAnsi="Times New Roman" w:cs="Times New Roman"/>
                <w:spacing w:val="-7"/>
              </w:rPr>
              <w:t xml:space="preserve"> </w:t>
            </w:r>
            <w:r>
              <w:rPr>
                <w:rFonts w:ascii="Times New Roman" w:hAnsi="Times New Roman" w:cs="Times New Roman"/>
              </w:rPr>
              <w:t>A</w:t>
            </w:r>
            <w:r>
              <w:rPr>
                <w:rFonts w:ascii="Times New Roman" w:hAnsi="Times New Roman" w:cs="Times New Roman"/>
                <w:spacing w:val="-8"/>
              </w:rPr>
              <w:t xml:space="preserve"> </w:t>
            </w:r>
            <w:r>
              <w:rPr>
                <w:rFonts w:ascii="Times New Roman" w:hAnsi="Times New Roman" w:cs="Times New Roman"/>
              </w:rPr>
              <w:t>number</w:t>
            </w:r>
            <w:r>
              <w:rPr>
                <w:rFonts w:ascii="Times New Roman" w:hAnsi="Times New Roman" w:cs="Times New Roman"/>
                <w:spacing w:val="-8"/>
              </w:rPr>
              <w:t xml:space="preserve"> </w:t>
            </w:r>
            <w:r>
              <w:rPr>
                <w:rFonts w:ascii="Times New Roman" w:hAnsi="Times New Roman" w:cs="Times New Roman"/>
              </w:rPr>
              <w:t>of</w:t>
            </w:r>
          </w:p>
        </w:tc>
      </w:tr>
      <w:tr w:rsidR="002C5025">
        <w:trPr>
          <w:trHeight w:hRule="exact" w:val="315"/>
        </w:trPr>
        <w:tc>
          <w:tcPr>
            <w:tcW w:w="10257" w:type="dxa"/>
            <w:tcBorders>
              <w:top w:val="nil"/>
              <w:left w:val="nil"/>
              <w:bottom w:val="nil"/>
              <w:right w:val="nil"/>
            </w:tcBorders>
            <w:shd w:val="clear" w:color="auto" w:fill="FDFDFF"/>
          </w:tcPr>
          <w:p w:rsidR="002C5025" w:rsidRDefault="002C5025">
            <w:pPr>
              <w:pStyle w:val="TableParagraph"/>
              <w:kinsoku w:val="0"/>
              <w:overflowPunct w:val="0"/>
              <w:spacing w:line="307" w:lineRule="exact"/>
              <w:ind w:left="0" w:right="-19"/>
              <w:rPr>
                <w:rFonts w:ascii="Times New Roman" w:hAnsi="Times New Roman" w:cs="Times New Roman"/>
              </w:rPr>
            </w:pPr>
            <w:r>
              <w:rPr>
                <w:rFonts w:ascii="Times New Roman" w:hAnsi="Times New Roman" w:cs="Times New Roman"/>
              </w:rPr>
              <w:t>primary care doctors and specialists do not take public insurance due to the “hassle” factor of paperwork.</w:t>
            </w:r>
            <w:r>
              <w:rPr>
                <w:rFonts w:ascii="Times New Roman" w:hAnsi="Times New Roman" w:cs="Times New Roman"/>
                <w:position w:val="11"/>
                <w:sz w:val="16"/>
                <w:szCs w:val="16"/>
              </w:rPr>
              <w:t>33</w:t>
            </w:r>
          </w:p>
        </w:tc>
      </w:tr>
    </w:tbl>
    <w:p w:rsidR="002C5025" w:rsidRDefault="002C5025">
      <w:pPr>
        <w:pStyle w:val="BodyText"/>
        <w:kinsoku w:val="0"/>
        <w:overflowPunct w:val="0"/>
        <w:spacing w:before="5"/>
        <w:rPr>
          <w:rFonts w:ascii="Times New Roman" w:hAnsi="Times New Roman" w:cs="Times New Roman"/>
          <w:sz w:val="26"/>
          <w:szCs w:val="26"/>
        </w:rPr>
      </w:pPr>
    </w:p>
    <w:p w:rsidR="002C5025" w:rsidRDefault="002C5025">
      <w:pPr>
        <w:pStyle w:val="BodyText"/>
        <w:kinsoku w:val="0"/>
        <w:overflowPunct w:val="0"/>
        <w:spacing w:before="69" w:line="276" w:lineRule="auto"/>
        <w:ind w:left="143" w:right="132"/>
        <w:rPr>
          <w:rFonts w:ascii="Times New Roman" w:hAnsi="Times New Roman" w:cs="Times New Roman"/>
          <w:sz w:val="24"/>
          <w:szCs w:val="24"/>
        </w:rPr>
      </w:pPr>
      <w:r>
        <w:rPr>
          <w:rFonts w:ascii="Times New Roman" w:hAnsi="Times New Roman" w:cs="Times New Roman"/>
          <w:sz w:val="24"/>
          <w:szCs w:val="24"/>
        </w:rPr>
        <w:t>Given the above data, we recommend careful consideration of new tasks added to the workload of primary care providers and to physicians. Addressing this issue of administrative burden may also improve provider participation rates in Medicaid, especially in fields like behavioral health where there is a concerning provider shortage.</w:t>
      </w:r>
    </w:p>
    <w:p w:rsidR="002C5025" w:rsidRDefault="002C5025">
      <w:pPr>
        <w:pStyle w:val="BodyText"/>
        <w:kinsoku w:val="0"/>
        <w:overflowPunct w:val="0"/>
        <w:rPr>
          <w:rFonts w:ascii="Times New Roman" w:hAnsi="Times New Roman" w:cs="Times New Roman"/>
          <w:sz w:val="28"/>
          <w:szCs w:val="28"/>
        </w:rPr>
      </w:pPr>
    </w:p>
    <w:p w:rsidR="002C5025" w:rsidRDefault="002C5025">
      <w:pPr>
        <w:pStyle w:val="BodyText"/>
        <w:kinsoku w:val="0"/>
        <w:overflowPunct w:val="0"/>
        <w:spacing w:line="276" w:lineRule="auto"/>
        <w:ind w:left="143" w:right="179"/>
        <w:rPr>
          <w:rFonts w:ascii="Times New Roman" w:hAnsi="Times New Roman" w:cs="Times New Roman"/>
          <w:sz w:val="24"/>
          <w:szCs w:val="24"/>
        </w:rPr>
      </w:pPr>
      <w:r>
        <w:rPr>
          <w:rFonts w:ascii="Times New Roman" w:hAnsi="Times New Roman" w:cs="Times New Roman"/>
          <w:sz w:val="24"/>
          <w:szCs w:val="24"/>
        </w:rPr>
        <w:t>With</w:t>
      </w:r>
      <w:r>
        <w:rPr>
          <w:rFonts w:ascii="Times New Roman" w:hAnsi="Times New Roman" w:cs="Times New Roman"/>
          <w:spacing w:val="-6"/>
          <w:sz w:val="24"/>
          <w:szCs w:val="24"/>
        </w:rPr>
        <w:t xml:space="preserve"> </w:t>
      </w:r>
      <w:r>
        <w:rPr>
          <w:rFonts w:ascii="Times New Roman" w:hAnsi="Times New Roman" w:cs="Times New Roman"/>
          <w:sz w:val="24"/>
          <w:szCs w:val="24"/>
        </w:rPr>
        <w:t>more</w:t>
      </w:r>
      <w:r>
        <w:rPr>
          <w:rFonts w:ascii="Times New Roman" w:hAnsi="Times New Roman" w:cs="Times New Roman"/>
          <w:spacing w:val="-7"/>
          <w:sz w:val="24"/>
          <w:szCs w:val="24"/>
        </w:rPr>
        <w:t xml:space="preserve"> </w:t>
      </w:r>
      <w:r>
        <w:rPr>
          <w:rFonts w:ascii="Times New Roman" w:hAnsi="Times New Roman" w:cs="Times New Roman"/>
          <w:sz w:val="24"/>
          <w:szCs w:val="24"/>
        </w:rPr>
        <w:t>emphasis</w:t>
      </w:r>
      <w:r>
        <w:rPr>
          <w:rFonts w:ascii="Times New Roman" w:hAnsi="Times New Roman" w:cs="Times New Roman"/>
          <w:spacing w:val="-4"/>
          <w:sz w:val="24"/>
          <w:szCs w:val="24"/>
        </w:rPr>
        <w:t xml:space="preserve"> </w:t>
      </w:r>
      <w:r>
        <w:rPr>
          <w:rFonts w:ascii="Times New Roman" w:hAnsi="Times New Roman" w:cs="Times New Roman"/>
          <w:sz w:val="24"/>
          <w:szCs w:val="24"/>
        </w:rPr>
        <w:t>on</w:t>
      </w:r>
      <w:r>
        <w:rPr>
          <w:rFonts w:ascii="Times New Roman" w:hAnsi="Times New Roman" w:cs="Times New Roman"/>
          <w:spacing w:val="-6"/>
          <w:sz w:val="24"/>
          <w:szCs w:val="24"/>
        </w:rPr>
        <w:t xml:space="preserve"> </w:t>
      </w:r>
      <w:r>
        <w:rPr>
          <w:rFonts w:ascii="Times New Roman" w:hAnsi="Times New Roman" w:cs="Times New Roman"/>
          <w:sz w:val="24"/>
          <w:szCs w:val="24"/>
        </w:rPr>
        <w:t>practicing</w:t>
      </w:r>
      <w:r>
        <w:rPr>
          <w:rFonts w:ascii="Times New Roman" w:hAnsi="Times New Roman" w:cs="Times New Roman"/>
          <w:spacing w:val="-6"/>
          <w:sz w:val="24"/>
          <w:szCs w:val="24"/>
        </w:rPr>
        <w:t xml:space="preserve"> </w:t>
      </w:r>
      <w:r>
        <w:rPr>
          <w:rFonts w:ascii="Times New Roman" w:hAnsi="Times New Roman" w:cs="Times New Roman"/>
          <w:sz w:val="24"/>
          <w:szCs w:val="24"/>
        </w:rPr>
        <w:t>to</w:t>
      </w:r>
      <w:r>
        <w:rPr>
          <w:rFonts w:ascii="Times New Roman" w:hAnsi="Times New Roman" w:cs="Times New Roman"/>
          <w:spacing w:val="-6"/>
          <w:sz w:val="24"/>
          <w:szCs w:val="24"/>
        </w:rPr>
        <w:t xml:space="preserve"> </w:t>
      </w:r>
      <w:r>
        <w:rPr>
          <w:rFonts w:ascii="Times New Roman" w:hAnsi="Times New Roman" w:cs="Times New Roman"/>
          <w:sz w:val="24"/>
          <w:szCs w:val="24"/>
        </w:rPr>
        <w:t>top</w:t>
      </w:r>
      <w:r>
        <w:rPr>
          <w:rFonts w:ascii="Times New Roman" w:hAnsi="Times New Roman" w:cs="Times New Roman"/>
          <w:spacing w:val="-4"/>
          <w:sz w:val="24"/>
          <w:szCs w:val="24"/>
        </w:rPr>
        <w:t xml:space="preserve"> </w:t>
      </w:r>
      <w:r>
        <w:rPr>
          <w:rFonts w:ascii="Times New Roman" w:hAnsi="Times New Roman" w:cs="Times New Roman"/>
          <w:sz w:val="24"/>
          <w:szCs w:val="24"/>
        </w:rPr>
        <w:t>of</w:t>
      </w:r>
      <w:r>
        <w:rPr>
          <w:rFonts w:ascii="Times New Roman" w:hAnsi="Times New Roman" w:cs="Times New Roman"/>
          <w:spacing w:val="-7"/>
          <w:sz w:val="24"/>
          <w:szCs w:val="24"/>
        </w:rPr>
        <w:t xml:space="preserve"> </w:t>
      </w:r>
      <w:r>
        <w:rPr>
          <w:rFonts w:ascii="Times New Roman" w:hAnsi="Times New Roman" w:cs="Times New Roman"/>
          <w:sz w:val="24"/>
          <w:szCs w:val="24"/>
        </w:rPr>
        <w:t>license</w:t>
      </w:r>
      <w:r>
        <w:rPr>
          <w:rFonts w:ascii="Times New Roman" w:hAnsi="Times New Roman" w:cs="Times New Roman"/>
          <w:spacing w:val="-2"/>
          <w:sz w:val="24"/>
          <w:szCs w:val="24"/>
        </w:rPr>
        <w:t xml:space="preserve"> </w:t>
      </w:r>
      <w:r>
        <w:rPr>
          <w:rFonts w:ascii="Times New Roman" w:hAnsi="Times New Roman" w:cs="Times New Roman"/>
          <w:sz w:val="24"/>
          <w:szCs w:val="24"/>
        </w:rPr>
        <w:t>many</w:t>
      </w:r>
      <w:r>
        <w:rPr>
          <w:rFonts w:ascii="Times New Roman" w:hAnsi="Times New Roman" w:cs="Times New Roman"/>
          <w:spacing w:val="-9"/>
          <w:sz w:val="24"/>
          <w:szCs w:val="24"/>
        </w:rPr>
        <w:t xml:space="preserve"> </w:t>
      </w:r>
      <w:r>
        <w:rPr>
          <w:rFonts w:ascii="Times New Roman" w:hAnsi="Times New Roman" w:cs="Times New Roman"/>
          <w:sz w:val="24"/>
          <w:szCs w:val="24"/>
        </w:rPr>
        <w:t>administrative</w:t>
      </w:r>
      <w:r>
        <w:rPr>
          <w:rFonts w:ascii="Times New Roman" w:hAnsi="Times New Roman" w:cs="Times New Roman"/>
          <w:spacing w:val="-5"/>
          <w:sz w:val="24"/>
          <w:szCs w:val="24"/>
        </w:rPr>
        <w:t xml:space="preserve"> </w:t>
      </w:r>
      <w:r>
        <w:rPr>
          <w:rFonts w:ascii="Times New Roman" w:hAnsi="Times New Roman" w:cs="Times New Roman"/>
          <w:sz w:val="24"/>
          <w:szCs w:val="24"/>
        </w:rPr>
        <w:t>tasks</w:t>
      </w:r>
      <w:r>
        <w:rPr>
          <w:rFonts w:ascii="Times New Roman" w:hAnsi="Times New Roman" w:cs="Times New Roman"/>
          <w:spacing w:val="-6"/>
          <w:sz w:val="24"/>
          <w:szCs w:val="24"/>
        </w:rPr>
        <w:t xml:space="preserve"> </w:t>
      </w:r>
      <w:r>
        <w:rPr>
          <w:rFonts w:ascii="Times New Roman" w:hAnsi="Times New Roman" w:cs="Times New Roman"/>
          <w:sz w:val="24"/>
          <w:szCs w:val="24"/>
        </w:rPr>
        <w:t>can</w:t>
      </w:r>
      <w:r>
        <w:rPr>
          <w:rFonts w:ascii="Times New Roman" w:hAnsi="Times New Roman" w:cs="Times New Roman"/>
          <w:spacing w:val="-4"/>
          <w:sz w:val="24"/>
          <w:szCs w:val="24"/>
        </w:rPr>
        <w:t xml:space="preserve"> </w:t>
      </w:r>
      <w:r>
        <w:rPr>
          <w:rFonts w:ascii="Times New Roman" w:hAnsi="Times New Roman" w:cs="Times New Roman"/>
          <w:sz w:val="24"/>
          <w:szCs w:val="24"/>
        </w:rPr>
        <w:t>be</w:t>
      </w:r>
      <w:r>
        <w:rPr>
          <w:rFonts w:ascii="Times New Roman" w:hAnsi="Times New Roman" w:cs="Times New Roman"/>
          <w:spacing w:val="-5"/>
          <w:sz w:val="24"/>
          <w:szCs w:val="24"/>
        </w:rPr>
        <w:t xml:space="preserve"> </w:t>
      </w:r>
      <w:r>
        <w:rPr>
          <w:rFonts w:ascii="Times New Roman" w:hAnsi="Times New Roman" w:cs="Times New Roman"/>
          <w:sz w:val="24"/>
          <w:szCs w:val="24"/>
        </w:rPr>
        <w:t>done</w:t>
      </w:r>
      <w:r>
        <w:rPr>
          <w:rFonts w:ascii="Times New Roman" w:hAnsi="Times New Roman" w:cs="Times New Roman"/>
          <w:spacing w:val="-5"/>
          <w:sz w:val="24"/>
          <w:szCs w:val="24"/>
        </w:rPr>
        <w:t xml:space="preserve"> </w:t>
      </w:r>
      <w:r>
        <w:rPr>
          <w:rFonts w:ascii="Times New Roman" w:hAnsi="Times New Roman" w:cs="Times New Roman"/>
          <w:sz w:val="24"/>
          <w:szCs w:val="24"/>
        </w:rPr>
        <w:t>by</w:t>
      </w:r>
      <w:r>
        <w:rPr>
          <w:rFonts w:ascii="Times New Roman" w:hAnsi="Times New Roman" w:cs="Times New Roman"/>
          <w:spacing w:val="-11"/>
          <w:sz w:val="24"/>
          <w:szCs w:val="24"/>
        </w:rPr>
        <w:t xml:space="preserve"> </w:t>
      </w:r>
      <w:r>
        <w:rPr>
          <w:rFonts w:ascii="Times New Roman" w:hAnsi="Times New Roman" w:cs="Times New Roman"/>
          <w:sz w:val="24"/>
          <w:szCs w:val="24"/>
        </w:rPr>
        <w:t>other</w:t>
      </w:r>
      <w:r>
        <w:rPr>
          <w:rFonts w:ascii="Times New Roman" w:hAnsi="Times New Roman" w:cs="Times New Roman"/>
          <w:spacing w:val="-5"/>
          <w:sz w:val="24"/>
          <w:szCs w:val="24"/>
        </w:rPr>
        <w:t xml:space="preserve"> </w:t>
      </w:r>
      <w:r>
        <w:rPr>
          <w:rFonts w:ascii="Times New Roman" w:hAnsi="Times New Roman" w:cs="Times New Roman"/>
          <w:sz w:val="24"/>
          <w:szCs w:val="24"/>
        </w:rPr>
        <w:t>types</w:t>
      </w:r>
      <w:r>
        <w:rPr>
          <w:rFonts w:ascii="Times New Roman" w:hAnsi="Times New Roman" w:cs="Times New Roman"/>
          <w:spacing w:val="-4"/>
          <w:sz w:val="24"/>
          <w:szCs w:val="24"/>
        </w:rPr>
        <w:t xml:space="preserve"> </w:t>
      </w:r>
      <w:r>
        <w:rPr>
          <w:rFonts w:ascii="Times New Roman" w:hAnsi="Times New Roman" w:cs="Times New Roman"/>
          <w:sz w:val="24"/>
          <w:szCs w:val="24"/>
        </w:rPr>
        <w:t>of providers</w:t>
      </w:r>
      <w:r>
        <w:rPr>
          <w:rFonts w:ascii="Times New Roman" w:hAnsi="Times New Roman" w:cs="Times New Roman"/>
          <w:spacing w:val="-6"/>
          <w:sz w:val="24"/>
          <w:szCs w:val="24"/>
        </w:rPr>
        <w:t xml:space="preserve"> </w:t>
      </w:r>
      <w:r>
        <w:rPr>
          <w:rFonts w:ascii="Times New Roman" w:hAnsi="Times New Roman" w:cs="Times New Roman"/>
          <w:sz w:val="24"/>
          <w:szCs w:val="24"/>
        </w:rPr>
        <w:t>or</w:t>
      </w:r>
      <w:r>
        <w:rPr>
          <w:rFonts w:ascii="Times New Roman" w:hAnsi="Times New Roman" w:cs="Times New Roman"/>
          <w:spacing w:val="-7"/>
          <w:sz w:val="24"/>
          <w:szCs w:val="24"/>
        </w:rPr>
        <w:t xml:space="preserve"> </w:t>
      </w:r>
      <w:r>
        <w:rPr>
          <w:rFonts w:ascii="Times New Roman" w:hAnsi="Times New Roman" w:cs="Times New Roman"/>
          <w:sz w:val="24"/>
          <w:szCs w:val="24"/>
        </w:rPr>
        <w:t>employees</w:t>
      </w:r>
      <w:r>
        <w:rPr>
          <w:rFonts w:ascii="Times New Roman" w:hAnsi="Times New Roman" w:cs="Times New Roman"/>
          <w:spacing w:val="-6"/>
          <w:sz w:val="24"/>
          <w:szCs w:val="24"/>
        </w:rPr>
        <w:t xml:space="preserve"> </w:t>
      </w:r>
      <w:r>
        <w:rPr>
          <w:rFonts w:ascii="Times New Roman" w:hAnsi="Times New Roman" w:cs="Times New Roman"/>
          <w:sz w:val="24"/>
          <w:szCs w:val="24"/>
        </w:rPr>
        <w:t>of</w:t>
      </w:r>
      <w:r>
        <w:rPr>
          <w:rFonts w:ascii="Times New Roman" w:hAnsi="Times New Roman" w:cs="Times New Roman"/>
          <w:spacing w:val="-7"/>
          <w:sz w:val="24"/>
          <w:szCs w:val="24"/>
        </w:rPr>
        <w:t xml:space="preserve"> </w:t>
      </w:r>
      <w:r>
        <w:rPr>
          <w:rFonts w:ascii="Times New Roman" w:hAnsi="Times New Roman" w:cs="Times New Roman"/>
          <w:sz w:val="24"/>
          <w:szCs w:val="24"/>
        </w:rPr>
        <w:t>an</w:t>
      </w:r>
      <w:r>
        <w:rPr>
          <w:rFonts w:ascii="Times New Roman" w:hAnsi="Times New Roman" w:cs="Times New Roman"/>
          <w:spacing w:val="-6"/>
          <w:sz w:val="24"/>
          <w:szCs w:val="24"/>
        </w:rPr>
        <w:t xml:space="preserve"> </w:t>
      </w:r>
      <w:r>
        <w:rPr>
          <w:rFonts w:ascii="Times New Roman" w:hAnsi="Times New Roman" w:cs="Times New Roman"/>
          <w:sz w:val="24"/>
          <w:szCs w:val="24"/>
        </w:rPr>
        <w:t>ACO.</w:t>
      </w:r>
      <w:r>
        <w:rPr>
          <w:rFonts w:ascii="Times New Roman" w:hAnsi="Times New Roman" w:cs="Times New Roman"/>
          <w:spacing w:val="-6"/>
          <w:sz w:val="24"/>
          <w:szCs w:val="24"/>
        </w:rPr>
        <w:t xml:space="preserve"> </w:t>
      </w:r>
      <w:r>
        <w:rPr>
          <w:rFonts w:ascii="Times New Roman" w:hAnsi="Times New Roman" w:cs="Times New Roman"/>
          <w:sz w:val="24"/>
          <w:szCs w:val="24"/>
        </w:rPr>
        <w:t>Some</w:t>
      </w:r>
      <w:r>
        <w:rPr>
          <w:rFonts w:ascii="Times New Roman" w:hAnsi="Times New Roman" w:cs="Times New Roman"/>
          <w:spacing w:val="-7"/>
          <w:sz w:val="24"/>
          <w:szCs w:val="24"/>
        </w:rPr>
        <w:t xml:space="preserve"> </w:t>
      </w:r>
      <w:r>
        <w:rPr>
          <w:rFonts w:ascii="Times New Roman" w:hAnsi="Times New Roman" w:cs="Times New Roman"/>
          <w:sz w:val="24"/>
          <w:szCs w:val="24"/>
        </w:rPr>
        <w:t>utilization</w:t>
      </w:r>
      <w:r>
        <w:rPr>
          <w:rFonts w:ascii="Times New Roman" w:hAnsi="Times New Roman" w:cs="Times New Roman"/>
          <w:spacing w:val="-6"/>
          <w:sz w:val="24"/>
          <w:szCs w:val="24"/>
        </w:rPr>
        <w:t xml:space="preserve"> </w:t>
      </w:r>
      <w:r>
        <w:rPr>
          <w:rFonts w:ascii="Times New Roman" w:hAnsi="Times New Roman" w:cs="Times New Roman"/>
          <w:sz w:val="24"/>
          <w:szCs w:val="24"/>
        </w:rPr>
        <w:t>management</w:t>
      </w:r>
      <w:r>
        <w:rPr>
          <w:rFonts w:ascii="Times New Roman" w:hAnsi="Times New Roman" w:cs="Times New Roman"/>
          <w:spacing w:val="-3"/>
          <w:sz w:val="24"/>
          <w:szCs w:val="24"/>
        </w:rPr>
        <w:t xml:space="preserve"> </w:t>
      </w:r>
      <w:r>
        <w:rPr>
          <w:rFonts w:ascii="Times New Roman" w:hAnsi="Times New Roman" w:cs="Times New Roman"/>
          <w:sz w:val="24"/>
          <w:szCs w:val="24"/>
        </w:rPr>
        <w:t>activities</w:t>
      </w:r>
      <w:r>
        <w:rPr>
          <w:rFonts w:ascii="Times New Roman" w:hAnsi="Times New Roman" w:cs="Times New Roman"/>
          <w:spacing w:val="-6"/>
          <w:sz w:val="24"/>
          <w:szCs w:val="24"/>
        </w:rPr>
        <w:t xml:space="preserve"> </w:t>
      </w:r>
      <w:r>
        <w:rPr>
          <w:rFonts w:ascii="Times New Roman" w:hAnsi="Times New Roman" w:cs="Times New Roman"/>
          <w:sz w:val="24"/>
          <w:szCs w:val="24"/>
        </w:rPr>
        <w:t>may</w:t>
      </w:r>
      <w:r>
        <w:rPr>
          <w:rFonts w:ascii="Times New Roman" w:hAnsi="Times New Roman" w:cs="Times New Roman"/>
          <w:spacing w:val="-13"/>
          <w:sz w:val="24"/>
          <w:szCs w:val="24"/>
        </w:rPr>
        <w:t xml:space="preserve"> </w:t>
      </w:r>
      <w:r>
        <w:rPr>
          <w:rFonts w:ascii="Times New Roman" w:hAnsi="Times New Roman" w:cs="Times New Roman"/>
          <w:sz w:val="24"/>
          <w:szCs w:val="24"/>
        </w:rPr>
        <w:t>be</w:t>
      </w:r>
      <w:r>
        <w:rPr>
          <w:rFonts w:ascii="Times New Roman" w:hAnsi="Times New Roman" w:cs="Times New Roman"/>
          <w:spacing w:val="-7"/>
          <w:sz w:val="24"/>
          <w:szCs w:val="24"/>
        </w:rPr>
        <w:t xml:space="preserve"> </w:t>
      </w:r>
      <w:r>
        <w:rPr>
          <w:rFonts w:ascii="Times New Roman" w:hAnsi="Times New Roman" w:cs="Times New Roman"/>
          <w:sz w:val="24"/>
          <w:szCs w:val="24"/>
        </w:rPr>
        <w:t>addressed</w:t>
      </w:r>
      <w:r>
        <w:rPr>
          <w:rFonts w:ascii="Times New Roman" w:hAnsi="Times New Roman" w:cs="Times New Roman"/>
          <w:spacing w:val="-6"/>
          <w:sz w:val="24"/>
          <w:szCs w:val="24"/>
        </w:rPr>
        <w:t xml:space="preserve"> </w:t>
      </w:r>
      <w:r>
        <w:rPr>
          <w:rFonts w:ascii="Times New Roman" w:hAnsi="Times New Roman" w:cs="Times New Roman"/>
          <w:sz w:val="24"/>
          <w:szCs w:val="24"/>
        </w:rPr>
        <w:t>by</w:t>
      </w:r>
      <w:r>
        <w:rPr>
          <w:rFonts w:ascii="Times New Roman" w:hAnsi="Times New Roman" w:cs="Times New Roman"/>
          <w:spacing w:val="-11"/>
          <w:sz w:val="24"/>
          <w:szCs w:val="24"/>
        </w:rPr>
        <w:t xml:space="preserve"> </w:t>
      </w:r>
      <w:r>
        <w:rPr>
          <w:rFonts w:ascii="Times New Roman" w:hAnsi="Times New Roman" w:cs="Times New Roman"/>
          <w:sz w:val="24"/>
          <w:szCs w:val="24"/>
        </w:rPr>
        <w:t>the</w:t>
      </w:r>
      <w:r>
        <w:rPr>
          <w:rFonts w:ascii="Times New Roman" w:hAnsi="Times New Roman" w:cs="Times New Roman"/>
          <w:spacing w:val="-5"/>
          <w:sz w:val="24"/>
          <w:szCs w:val="24"/>
        </w:rPr>
        <w:t xml:space="preserve"> </w:t>
      </w:r>
      <w:r>
        <w:rPr>
          <w:rFonts w:ascii="Times New Roman" w:hAnsi="Times New Roman" w:cs="Times New Roman"/>
          <w:sz w:val="24"/>
          <w:szCs w:val="24"/>
        </w:rPr>
        <w:t>value- based nature of reform which changes the incentive from volume to value. As administrative burden may be</w:t>
      </w:r>
      <w:r>
        <w:rPr>
          <w:rFonts w:ascii="Times New Roman" w:hAnsi="Times New Roman" w:cs="Times New Roman"/>
          <w:spacing w:val="-7"/>
          <w:sz w:val="24"/>
          <w:szCs w:val="24"/>
        </w:rPr>
        <w:t xml:space="preserve"> </w:t>
      </w:r>
      <w:r>
        <w:rPr>
          <w:rFonts w:ascii="Times New Roman" w:hAnsi="Times New Roman" w:cs="Times New Roman"/>
          <w:sz w:val="24"/>
          <w:szCs w:val="24"/>
        </w:rPr>
        <w:t>reduced,</w:t>
      </w:r>
      <w:r>
        <w:rPr>
          <w:rFonts w:ascii="Times New Roman" w:hAnsi="Times New Roman" w:cs="Times New Roman"/>
          <w:spacing w:val="-4"/>
          <w:sz w:val="24"/>
          <w:szCs w:val="24"/>
        </w:rPr>
        <w:t xml:space="preserve"> </w:t>
      </w:r>
      <w:r>
        <w:rPr>
          <w:rFonts w:ascii="Times New Roman" w:hAnsi="Times New Roman" w:cs="Times New Roman"/>
          <w:sz w:val="24"/>
          <w:szCs w:val="24"/>
        </w:rPr>
        <w:t>the</w:t>
      </w:r>
      <w:r>
        <w:rPr>
          <w:rFonts w:ascii="Times New Roman" w:hAnsi="Times New Roman" w:cs="Times New Roman"/>
          <w:spacing w:val="-5"/>
          <w:sz w:val="24"/>
          <w:szCs w:val="24"/>
        </w:rPr>
        <w:t xml:space="preserve"> </w:t>
      </w:r>
      <w:r>
        <w:rPr>
          <w:rFonts w:ascii="Times New Roman" w:hAnsi="Times New Roman" w:cs="Times New Roman"/>
          <w:sz w:val="24"/>
          <w:szCs w:val="24"/>
        </w:rPr>
        <w:t>goal</w:t>
      </w:r>
      <w:r>
        <w:rPr>
          <w:rFonts w:ascii="Times New Roman" w:hAnsi="Times New Roman" w:cs="Times New Roman"/>
          <w:spacing w:val="-6"/>
          <w:sz w:val="24"/>
          <w:szCs w:val="24"/>
        </w:rPr>
        <w:t xml:space="preserve"> </w:t>
      </w:r>
      <w:r>
        <w:rPr>
          <w:rFonts w:ascii="Times New Roman" w:hAnsi="Times New Roman" w:cs="Times New Roman"/>
          <w:sz w:val="24"/>
          <w:szCs w:val="24"/>
        </w:rPr>
        <w:t>should</w:t>
      </w:r>
      <w:r>
        <w:rPr>
          <w:rFonts w:ascii="Times New Roman" w:hAnsi="Times New Roman" w:cs="Times New Roman"/>
          <w:spacing w:val="-4"/>
          <w:sz w:val="24"/>
          <w:szCs w:val="24"/>
        </w:rPr>
        <w:t xml:space="preserve"> </w:t>
      </w:r>
      <w:r>
        <w:rPr>
          <w:rFonts w:ascii="Times New Roman" w:hAnsi="Times New Roman" w:cs="Times New Roman"/>
          <w:sz w:val="24"/>
          <w:szCs w:val="24"/>
        </w:rPr>
        <w:t>be</w:t>
      </w:r>
      <w:r>
        <w:rPr>
          <w:rFonts w:ascii="Times New Roman" w:hAnsi="Times New Roman" w:cs="Times New Roman"/>
          <w:spacing w:val="-7"/>
          <w:sz w:val="24"/>
          <w:szCs w:val="24"/>
        </w:rPr>
        <w:t xml:space="preserve"> </w:t>
      </w:r>
      <w:r>
        <w:rPr>
          <w:rFonts w:ascii="Times New Roman" w:hAnsi="Times New Roman" w:cs="Times New Roman"/>
          <w:sz w:val="24"/>
          <w:szCs w:val="24"/>
        </w:rPr>
        <w:t>to</w:t>
      </w:r>
      <w:r>
        <w:rPr>
          <w:rFonts w:ascii="Times New Roman" w:hAnsi="Times New Roman" w:cs="Times New Roman"/>
          <w:spacing w:val="-6"/>
          <w:sz w:val="24"/>
          <w:szCs w:val="24"/>
        </w:rPr>
        <w:t xml:space="preserve"> </w:t>
      </w:r>
      <w:r>
        <w:rPr>
          <w:rFonts w:ascii="Times New Roman" w:hAnsi="Times New Roman" w:cs="Times New Roman"/>
          <w:sz w:val="24"/>
          <w:szCs w:val="24"/>
        </w:rPr>
        <w:t>return</w:t>
      </w:r>
      <w:r>
        <w:rPr>
          <w:rFonts w:ascii="Times New Roman" w:hAnsi="Times New Roman" w:cs="Times New Roman"/>
          <w:spacing w:val="-4"/>
          <w:sz w:val="24"/>
          <w:szCs w:val="24"/>
        </w:rPr>
        <w:t xml:space="preserve"> </w:t>
      </w:r>
      <w:r>
        <w:rPr>
          <w:rFonts w:ascii="Times New Roman" w:hAnsi="Times New Roman" w:cs="Times New Roman"/>
          <w:sz w:val="24"/>
          <w:szCs w:val="24"/>
        </w:rPr>
        <w:t>that</w:t>
      </w:r>
      <w:r>
        <w:rPr>
          <w:rFonts w:ascii="Times New Roman" w:hAnsi="Times New Roman" w:cs="Times New Roman"/>
          <w:spacing w:val="-6"/>
          <w:sz w:val="24"/>
          <w:szCs w:val="24"/>
        </w:rPr>
        <w:t xml:space="preserve"> </w:t>
      </w:r>
      <w:r>
        <w:rPr>
          <w:rFonts w:ascii="Times New Roman" w:hAnsi="Times New Roman" w:cs="Times New Roman"/>
          <w:sz w:val="24"/>
          <w:szCs w:val="24"/>
        </w:rPr>
        <w:t>time</w:t>
      </w:r>
      <w:r>
        <w:rPr>
          <w:rFonts w:ascii="Times New Roman" w:hAnsi="Times New Roman" w:cs="Times New Roman"/>
          <w:spacing w:val="-5"/>
          <w:sz w:val="24"/>
          <w:szCs w:val="24"/>
        </w:rPr>
        <w:t xml:space="preserve"> </w:t>
      </w:r>
      <w:r>
        <w:rPr>
          <w:rFonts w:ascii="Times New Roman" w:hAnsi="Times New Roman" w:cs="Times New Roman"/>
          <w:sz w:val="24"/>
          <w:szCs w:val="24"/>
        </w:rPr>
        <w:t>to</w:t>
      </w:r>
      <w:r>
        <w:rPr>
          <w:rFonts w:ascii="Times New Roman" w:hAnsi="Times New Roman" w:cs="Times New Roman"/>
          <w:spacing w:val="-6"/>
          <w:sz w:val="24"/>
          <w:szCs w:val="24"/>
        </w:rPr>
        <w:t xml:space="preserve"> </w:t>
      </w:r>
      <w:r>
        <w:rPr>
          <w:rFonts w:ascii="Times New Roman" w:hAnsi="Times New Roman" w:cs="Times New Roman"/>
          <w:sz w:val="24"/>
          <w:szCs w:val="24"/>
        </w:rPr>
        <w:t>providers</w:t>
      </w:r>
      <w:r>
        <w:rPr>
          <w:rFonts w:ascii="Times New Roman" w:hAnsi="Times New Roman" w:cs="Times New Roman"/>
          <w:spacing w:val="-4"/>
          <w:sz w:val="24"/>
          <w:szCs w:val="24"/>
        </w:rPr>
        <w:t xml:space="preserve"> </w:t>
      </w:r>
      <w:r>
        <w:rPr>
          <w:rFonts w:ascii="Times New Roman" w:hAnsi="Times New Roman" w:cs="Times New Roman"/>
          <w:sz w:val="24"/>
          <w:szCs w:val="24"/>
        </w:rPr>
        <w:t>to</w:t>
      </w:r>
      <w:r>
        <w:rPr>
          <w:rFonts w:ascii="Times New Roman" w:hAnsi="Times New Roman" w:cs="Times New Roman"/>
          <w:spacing w:val="-6"/>
          <w:sz w:val="24"/>
          <w:szCs w:val="24"/>
        </w:rPr>
        <w:t xml:space="preserve"> </w:t>
      </w:r>
      <w:r>
        <w:rPr>
          <w:rFonts w:ascii="Times New Roman" w:hAnsi="Times New Roman" w:cs="Times New Roman"/>
          <w:sz w:val="24"/>
          <w:szCs w:val="24"/>
        </w:rPr>
        <w:t>apply</w:t>
      </w:r>
      <w:r>
        <w:rPr>
          <w:rFonts w:ascii="Times New Roman" w:hAnsi="Times New Roman" w:cs="Times New Roman"/>
          <w:spacing w:val="-11"/>
          <w:sz w:val="24"/>
          <w:szCs w:val="24"/>
        </w:rPr>
        <w:t xml:space="preserve"> </w:t>
      </w:r>
      <w:r>
        <w:rPr>
          <w:rFonts w:ascii="Times New Roman" w:hAnsi="Times New Roman" w:cs="Times New Roman"/>
          <w:sz w:val="24"/>
          <w:szCs w:val="24"/>
        </w:rPr>
        <w:t>to</w:t>
      </w:r>
      <w:r>
        <w:rPr>
          <w:rFonts w:ascii="Times New Roman" w:hAnsi="Times New Roman" w:cs="Times New Roman"/>
          <w:spacing w:val="-4"/>
          <w:sz w:val="24"/>
          <w:szCs w:val="24"/>
        </w:rPr>
        <w:t xml:space="preserve"> </w:t>
      </w:r>
      <w:r>
        <w:rPr>
          <w:rFonts w:ascii="Times New Roman" w:hAnsi="Times New Roman" w:cs="Times New Roman"/>
          <w:sz w:val="24"/>
          <w:szCs w:val="24"/>
        </w:rPr>
        <w:t>patient</w:t>
      </w:r>
      <w:r>
        <w:rPr>
          <w:rFonts w:ascii="Times New Roman" w:hAnsi="Times New Roman" w:cs="Times New Roman"/>
          <w:spacing w:val="-6"/>
          <w:sz w:val="24"/>
          <w:szCs w:val="24"/>
        </w:rPr>
        <w:t xml:space="preserve"> </w:t>
      </w:r>
      <w:r>
        <w:rPr>
          <w:rFonts w:ascii="Times New Roman" w:hAnsi="Times New Roman" w:cs="Times New Roman"/>
          <w:sz w:val="24"/>
          <w:szCs w:val="24"/>
        </w:rPr>
        <w:t>care.</w:t>
      </w:r>
    </w:p>
    <w:p w:rsidR="002C5025" w:rsidRDefault="002C5025">
      <w:pPr>
        <w:pStyle w:val="BodyText"/>
        <w:kinsoku w:val="0"/>
        <w:overflowPunct w:val="0"/>
        <w:spacing w:before="9"/>
        <w:rPr>
          <w:rFonts w:ascii="Times New Roman" w:hAnsi="Times New Roman" w:cs="Times New Roman"/>
          <w:sz w:val="27"/>
          <w:szCs w:val="27"/>
        </w:rPr>
      </w:pPr>
    </w:p>
    <w:p w:rsidR="002C5025" w:rsidRDefault="002C5025">
      <w:pPr>
        <w:pStyle w:val="BodyText"/>
        <w:kinsoku w:val="0"/>
        <w:overflowPunct w:val="0"/>
        <w:ind w:left="143" w:right="126"/>
        <w:rPr>
          <w:rFonts w:ascii="Times New Roman" w:hAnsi="Times New Roman" w:cs="Times New Roman"/>
          <w:b/>
          <w:bCs/>
          <w:sz w:val="24"/>
          <w:szCs w:val="24"/>
        </w:rPr>
      </w:pPr>
      <w:bookmarkStart w:id="137" w:name="Addressing_Barriers_to_Care_Coordination"/>
      <w:bookmarkEnd w:id="137"/>
      <w:r>
        <w:rPr>
          <w:rFonts w:ascii="Times New Roman" w:hAnsi="Times New Roman" w:cs="Times New Roman"/>
          <w:b/>
          <w:bCs/>
          <w:sz w:val="24"/>
          <w:szCs w:val="24"/>
        </w:rPr>
        <w:t>Addressing Barriers to Care Coordination and Data Sharing</w:t>
      </w:r>
    </w:p>
    <w:p w:rsidR="002C5025" w:rsidRDefault="002C5025">
      <w:pPr>
        <w:pStyle w:val="BodyText"/>
        <w:kinsoku w:val="0"/>
        <w:overflowPunct w:val="0"/>
        <w:spacing w:before="10"/>
        <w:rPr>
          <w:rFonts w:ascii="Times New Roman" w:hAnsi="Times New Roman" w:cs="Times New Roman"/>
          <w:b/>
          <w:bCs/>
          <w:sz w:val="30"/>
          <w:szCs w:val="30"/>
        </w:rPr>
      </w:pPr>
    </w:p>
    <w:p w:rsidR="002C5025" w:rsidRDefault="002C5025">
      <w:pPr>
        <w:pStyle w:val="BodyText"/>
        <w:kinsoku w:val="0"/>
        <w:overflowPunct w:val="0"/>
        <w:spacing w:line="271" w:lineRule="auto"/>
        <w:ind w:left="143" w:right="93"/>
        <w:rPr>
          <w:rFonts w:ascii="Times New Roman" w:hAnsi="Times New Roman" w:cs="Times New Roman"/>
          <w:sz w:val="24"/>
          <w:szCs w:val="24"/>
        </w:rPr>
      </w:pPr>
      <w:r>
        <w:rPr>
          <w:rFonts w:ascii="Times New Roman" w:hAnsi="Times New Roman" w:cs="Times New Roman"/>
          <w:sz w:val="24"/>
          <w:szCs w:val="24"/>
        </w:rPr>
        <w:t>Integrated and coordinated care is the gold standard for whole person care. However, the healthcare system, Electronic Health Records (EHRs), legal parameters, and other factors often pose barriers to successful coordination, sharing of data, and true whole person care. Past attempts at integrating care have led to mandates on providers to share health information while legal or privacy obligations prevent sharing of that same protected health information. While there are some genuine legal barriers, more often, there are misconceptions and overly conservative interpretations of HIPPA by hospital administrators and legal advisors.</w:t>
      </w:r>
      <w:r>
        <w:rPr>
          <w:rFonts w:ascii="Times New Roman" w:hAnsi="Times New Roman" w:cs="Times New Roman"/>
          <w:position w:val="11"/>
          <w:sz w:val="16"/>
          <w:szCs w:val="16"/>
        </w:rPr>
        <w:t xml:space="preserve">34 </w:t>
      </w:r>
      <w:r>
        <w:rPr>
          <w:rFonts w:ascii="Times New Roman" w:hAnsi="Times New Roman" w:cs="Times New Roman"/>
          <w:sz w:val="24"/>
          <w:szCs w:val="24"/>
        </w:rPr>
        <w:t>Dedicated discussion with health care administrators is necessary to clarify the allowance within HIPPA to share information for the sake of patient care. For the scope of reform envisioned by MassHealth, it is essential to ensure misinterpretation of HIPPA does not result in unnecessary barriers to care coordination.</w:t>
      </w:r>
    </w:p>
    <w:p w:rsidR="002C5025" w:rsidRDefault="002C5025">
      <w:pPr>
        <w:pStyle w:val="BodyText"/>
        <w:kinsoku w:val="0"/>
        <w:overflowPunct w:val="0"/>
        <w:spacing w:before="6" w:line="276" w:lineRule="auto"/>
        <w:ind w:left="143" w:right="200"/>
        <w:rPr>
          <w:rFonts w:ascii="Times New Roman" w:hAnsi="Times New Roman" w:cs="Times New Roman"/>
          <w:sz w:val="24"/>
          <w:szCs w:val="24"/>
        </w:rPr>
      </w:pPr>
      <w:r>
        <w:rPr>
          <w:rFonts w:ascii="Times New Roman" w:hAnsi="Times New Roman" w:cs="Times New Roman"/>
          <w:sz w:val="24"/>
          <w:szCs w:val="24"/>
        </w:rPr>
        <w:t>The barriers to information sharing is of particular concern in the area of behavioral health as privacy laws often prevent sharing of the very BH and substance abuse data that would assess risk, help identify patient needs, or allow care coordination. For those ACOs that utilize a contracted behavioral health carve out, the operational and legal requirements to allow sharing of behavioral health information between medical and behavioral health providers would need to be clearly defined. Further EHR penetration among BH providers is low, limiting the ability to integrate BH providers with medical providers whose clinical</w:t>
      </w:r>
    </w:p>
    <w:p w:rsidR="002C5025" w:rsidRDefault="00FB027C">
      <w:pPr>
        <w:pStyle w:val="BodyText"/>
        <w:kinsoku w:val="0"/>
        <w:overflowPunct w:val="0"/>
        <w:spacing w:before="2"/>
        <w:rPr>
          <w:rFonts w:ascii="Times New Roman" w:hAnsi="Times New Roman" w:cs="Times New Roman"/>
          <w:sz w:val="9"/>
          <w:szCs w:val="9"/>
        </w:rPr>
      </w:pPr>
      <w:r>
        <w:rPr>
          <w:noProof/>
        </w:rPr>
        <mc:AlternateContent>
          <mc:Choice Requires="wps">
            <w:drawing>
              <wp:anchor distT="0" distB="0" distL="0" distR="0" simplePos="0" relativeHeight="251632128" behindDoc="0" locked="0" layoutInCell="0" allowOverlap="1">
                <wp:simplePos x="0" y="0"/>
                <wp:positionH relativeFrom="page">
                  <wp:posOffset>609600</wp:posOffset>
                </wp:positionH>
                <wp:positionV relativeFrom="paragraph">
                  <wp:posOffset>95885</wp:posOffset>
                </wp:positionV>
                <wp:extent cx="1828800" cy="12700"/>
                <wp:effectExtent l="0" t="0" r="0" b="0"/>
                <wp:wrapTopAndBottom/>
                <wp:docPr id="604" name="Freeform 4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w 2880"/>
                            <a:gd name="T1" fmla="*/ 0 h 20"/>
                            <a:gd name="T2" fmla="*/ 2880 w 2880"/>
                            <a:gd name="T3" fmla="*/ 0 h 20"/>
                          </a:gdLst>
                          <a:ahLst/>
                          <a:cxnLst>
                            <a:cxn ang="0">
                              <a:pos x="T0" y="T1"/>
                            </a:cxn>
                            <a:cxn ang="0">
                              <a:pos x="T2" y="T3"/>
                            </a:cxn>
                          </a:cxnLst>
                          <a:rect l="0" t="0" r="r" b="b"/>
                          <a:pathLst>
                            <a:path w="2880" h="20">
                              <a:moveTo>
                                <a:pt x="0" y="0"/>
                              </a:moveTo>
                              <a:lnTo>
                                <a:pt x="2880"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21" o:spid="_x0000_s1026" style="position:absolute;z-index:251632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48pt,7.55pt,192pt,7.55pt" coordsize="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" o:allowincell="f" filled="f" strokeweight=".20458mm">
                <v:path arrowok="t" o:connecttype="custom" o:connectlocs="0,0;1828800,0" o:connectangles="0,0"/>
                <w10:wrap type="topAndBottom" anchorx="page"/>
              </v:polyline>
            </w:pict>
          </mc:Fallback>
        </mc:AlternateContent>
      </w:r>
    </w:p>
    <w:p w:rsidR="002C5025" w:rsidRDefault="002C5025">
      <w:pPr>
        <w:pStyle w:val="BodyText"/>
        <w:tabs>
          <w:tab w:val="left" w:pos="500"/>
        </w:tabs>
        <w:kinsoku w:val="0"/>
        <w:overflowPunct w:val="0"/>
        <w:spacing w:line="249" w:lineRule="exact"/>
        <w:ind w:left="143" w:right="126"/>
        <w:rPr>
          <w:rFonts w:ascii="Times New Roman" w:hAnsi="Times New Roman" w:cs="Times New Roman"/>
          <w:sz w:val="19"/>
          <w:szCs w:val="19"/>
        </w:rPr>
      </w:pPr>
      <w:r>
        <w:rPr>
          <w:rFonts w:ascii="Times New Roman" w:hAnsi="Times New Roman" w:cs="Times New Roman"/>
          <w:position w:val="9"/>
          <w:sz w:val="13"/>
          <w:szCs w:val="13"/>
        </w:rPr>
        <w:t>32</w:t>
      </w:r>
      <w:r>
        <w:rPr>
          <w:rFonts w:ascii="Times New Roman" w:hAnsi="Times New Roman" w:cs="Times New Roman"/>
          <w:position w:val="9"/>
          <w:sz w:val="13"/>
          <w:szCs w:val="13"/>
        </w:rPr>
        <w:tab/>
      </w:r>
      <w:hyperlink r:id="rId284" w:history="1">
        <w:r>
          <w:rPr>
            <w:rFonts w:ascii="Times New Roman" w:hAnsi="Times New Roman" w:cs="Times New Roman"/>
            <w:sz w:val="19"/>
            <w:szCs w:val="19"/>
          </w:rPr>
          <w:t>http://org.salsalabs.com/o/307/images/Physician%20admin%20time_IJHS.pdf</w:t>
        </w:r>
      </w:hyperlink>
    </w:p>
    <w:p w:rsidR="002C5025" w:rsidRDefault="002C5025">
      <w:pPr>
        <w:pStyle w:val="BodyText"/>
        <w:kinsoku w:val="0"/>
        <w:overflowPunct w:val="0"/>
        <w:spacing w:line="249" w:lineRule="auto"/>
        <w:ind w:left="143" w:right="126"/>
        <w:rPr>
          <w:rFonts w:ascii="Times New Roman" w:hAnsi="Times New Roman" w:cs="Times New Roman"/>
          <w:spacing w:val="2"/>
          <w:w w:val="105"/>
          <w:sz w:val="19"/>
          <w:szCs w:val="19"/>
        </w:rPr>
      </w:pPr>
      <w:r>
        <w:rPr>
          <w:rFonts w:ascii="Times New Roman" w:hAnsi="Times New Roman" w:cs="Times New Roman"/>
          <w:w w:val="105"/>
          <w:position w:val="9"/>
          <w:sz w:val="13"/>
          <w:szCs w:val="13"/>
        </w:rPr>
        <w:t>33</w:t>
      </w:r>
      <w:r>
        <w:rPr>
          <w:rFonts w:ascii="Times New Roman" w:hAnsi="Times New Roman" w:cs="Times New Roman"/>
          <w:spacing w:val="-3"/>
          <w:w w:val="105"/>
          <w:position w:val="9"/>
          <w:sz w:val="13"/>
          <w:szCs w:val="13"/>
        </w:rPr>
        <w:t xml:space="preserve"> </w:t>
      </w:r>
      <w:r>
        <w:rPr>
          <w:rFonts w:ascii="Times New Roman" w:hAnsi="Times New Roman" w:cs="Times New Roman"/>
          <w:w w:val="105"/>
          <w:sz w:val="19"/>
          <w:szCs w:val="19"/>
        </w:rPr>
        <w:t>P.</w:t>
      </w:r>
      <w:r>
        <w:rPr>
          <w:rFonts w:ascii="Times New Roman" w:hAnsi="Times New Roman" w:cs="Times New Roman"/>
          <w:spacing w:val="-17"/>
          <w:w w:val="105"/>
          <w:sz w:val="19"/>
          <w:szCs w:val="19"/>
        </w:rPr>
        <w:t xml:space="preserve"> </w:t>
      </w:r>
      <w:r>
        <w:rPr>
          <w:rFonts w:ascii="Times New Roman" w:hAnsi="Times New Roman" w:cs="Times New Roman"/>
          <w:w w:val="105"/>
          <w:sz w:val="19"/>
          <w:szCs w:val="19"/>
        </w:rPr>
        <w:t>J.</w:t>
      </w:r>
      <w:r>
        <w:rPr>
          <w:rFonts w:ascii="Times New Roman" w:hAnsi="Times New Roman" w:cs="Times New Roman"/>
          <w:spacing w:val="-17"/>
          <w:w w:val="105"/>
          <w:sz w:val="19"/>
          <w:szCs w:val="19"/>
        </w:rPr>
        <w:t xml:space="preserve"> </w:t>
      </w:r>
      <w:r>
        <w:rPr>
          <w:rFonts w:ascii="Times New Roman" w:hAnsi="Times New Roman" w:cs="Times New Roman"/>
          <w:w w:val="105"/>
          <w:sz w:val="19"/>
          <w:szCs w:val="19"/>
        </w:rPr>
        <w:t>Cunningham</w:t>
      </w:r>
      <w:r>
        <w:rPr>
          <w:rFonts w:ascii="Times New Roman" w:hAnsi="Times New Roman" w:cs="Times New Roman"/>
          <w:spacing w:val="-14"/>
          <w:w w:val="105"/>
          <w:sz w:val="19"/>
          <w:szCs w:val="19"/>
        </w:rPr>
        <w:t xml:space="preserve"> </w:t>
      </w:r>
      <w:r>
        <w:rPr>
          <w:rFonts w:ascii="Times New Roman" w:hAnsi="Times New Roman" w:cs="Times New Roman"/>
          <w:w w:val="105"/>
          <w:sz w:val="19"/>
          <w:szCs w:val="19"/>
        </w:rPr>
        <w:t>and</w:t>
      </w:r>
      <w:r>
        <w:rPr>
          <w:rFonts w:ascii="Times New Roman" w:hAnsi="Times New Roman" w:cs="Times New Roman"/>
          <w:spacing w:val="-13"/>
          <w:w w:val="105"/>
          <w:sz w:val="19"/>
          <w:szCs w:val="19"/>
        </w:rPr>
        <w:t xml:space="preserve"> </w:t>
      </w:r>
      <w:r>
        <w:rPr>
          <w:rFonts w:ascii="Times New Roman" w:hAnsi="Times New Roman" w:cs="Times New Roman"/>
          <w:w w:val="105"/>
          <w:sz w:val="19"/>
          <w:szCs w:val="19"/>
        </w:rPr>
        <w:t>A.</w:t>
      </w:r>
      <w:r>
        <w:rPr>
          <w:rFonts w:ascii="Times New Roman" w:hAnsi="Times New Roman" w:cs="Times New Roman"/>
          <w:spacing w:val="-15"/>
          <w:w w:val="105"/>
          <w:sz w:val="19"/>
          <w:szCs w:val="19"/>
        </w:rPr>
        <w:t xml:space="preserve"> </w:t>
      </w:r>
      <w:r>
        <w:rPr>
          <w:rFonts w:ascii="Times New Roman" w:hAnsi="Times New Roman" w:cs="Times New Roman"/>
          <w:w w:val="105"/>
          <w:sz w:val="19"/>
          <w:szCs w:val="19"/>
        </w:rPr>
        <w:t>S.</w:t>
      </w:r>
      <w:r>
        <w:rPr>
          <w:rFonts w:ascii="Times New Roman" w:hAnsi="Times New Roman" w:cs="Times New Roman"/>
          <w:spacing w:val="-15"/>
          <w:w w:val="105"/>
          <w:sz w:val="19"/>
          <w:szCs w:val="19"/>
        </w:rPr>
        <w:t xml:space="preserve"> </w:t>
      </w:r>
      <w:r>
        <w:rPr>
          <w:rFonts w:ascii="Times New Roman" w:hAnsi="Times New Roman" w:cs="Times New Roman"/>
          <w:w w:val="105"/>
          <w:sz w:val="19"/>
          <w:szCs w:val="19"/>
        </w:rPr>
        <w:t>O’Malley,</w:t>
      </w:r>
      <w:r>
        <w:rPr>
          <w:rFonts w:ascii="Times New Roman" w:hAnsi="Times New Roman" w:cs="Times New Roman"/>
          <w:spacing w:val="-17"/>
          <w:w w:val="105"/>
          <w:sz w:val="19"/>
          <w:szCs w:val="19"/>
        </w:rPr>
        <w:t xml:space="preserve"> </w:t>
      </w:r>
      <w:r>
        <w:rPr>
          <w:rFonts w:ascii="Times New Roman" w:hAnsi="Times New Roman" w:cs="Times New Roman"/>
          <w:spacing w:val="2"/>
          <w:w w:val="105"/>
          <w:sz w:val="19"/>
          <w:szCs w:val="19"/>
        </w:rPr>
        <w:t>“Do</w:t>
      </w:r>
      <w:r>
        <w:rPr>
          <w:rFonts w:ascii="Times New Roman" w:hAnsi="Times New Roman" w:cs="Times New Roman"/>
          <w:spacing w:val="-13"/>
          <w:w w:val="105"/>
          <w:sz w:val="19"/>
          <w:szCs w:val="19"/>
        </w:rPr>
        <w:t xml:space="preserve"> </w:t>
      </w:r>
      <w:r>
        <w:rPr>
          <w:rFonts w:ascii="Times New Roman" w:hAnsi="Times New Roman" w:cs="Times New Roman"/>
          <w:spacing w:val="2"/>
          <w:w w:val="105"/>
          <w:sz w:val="19"/>
          <w:szCs w:val="19"/>
        </w:rPr>
        <w:t>Reimbursement</w:t>
      </w:r>
      <w:r>
        <w:rPr>
          <w:rFonts w:ascii="Times New Roman" w:hAnsi="Times New Roman" w:cs="Times New Roman"/>
          <w:spacing w:val="-13"/>
          <w:w w:val="105"/>
          <w:sz w:val="19"/>
          <w:szCs w:val="19"/>
        </w:rPr>
        <w:t xml:space="preserve"> </w:t>
      </w:r>
      <w:r>
        <w:rPr>
          <w:rFonts w:ascii="Times New Roman" w:hAnsi="Times New Roman" w:cs="Times New Roman"/>
          <w:w w:val="105"/>
          <w:sz w:val="19"/>
          <w:szCs w:val="19"/>
        </w:rPr>
        <w:t>Delays</w:t>
      </w:r>
      <w:r>
        <w:rPr>
          <w:rFonts w:ascii="Times New Roman" w:hAnsi="Times New Roman" w:cs="Times New Roman"/>
          <w:spacing w:val="-13"/>
          <w:w w:val="105"/>
          <w:sz w:val="19"/>
          <w:szCs w:val="19"/>
        </w:rPr>
        <w:t xml:space="preserve"> </w:t>
      </w:r>
      <w:r>
        <w:rPr>
          <w:rFonts w:ascii="Times New Roman" w:hAnsi="Times New Roman" w:cs="Times New Roman"/>
          <w:w w:val="105"/>
          <w:sz w:val="19"/>
          <w:szCs w:val="19"/>
        </w:rPr>
        <w:t>Discourage</w:t>
      </w:r>
      <w:r>
        <w:rPr>
          <w:rFonts w:ascii="Times New Roman" w:hAnsi="Times New Roman" w:cs="Times New Roman"/>
          <w:spacing w:val="-14"/>
          <w:w w:val="105"/>
          <w:sz w:val="19"/>
          <w:szCs w:val="19"/>
        </w:rPr>
        <w:t xml:space="preserve"> </w:t>
      </w:r>
      <w:r>
        <w:rPr>
          <w:rFonts w:ascii="Times New Roman" w:hAnsi="Times New Roman" w:cs="Times New Roman"/>
          <w:w w:val="105"/>
          <w:sz w:val="19"/>
          <w:szCs w:val="19"/>
        </w:rPr>
        <w:t>Medicaid</w:t>
      </w:r>
      <w:r>
        <w:rPr>
          <w:rFonts w:ascii="Times New Roman" w:hAnsi="Times New Roman" w:cs="Times New Roman"/>
          <w:spacing w:val="-15"/>
          <w:w w:val="105"/>
          <w:sz w:val="19"/>
          <w:szCs w:val="19"/>
        </w:rPr>
        <w:t xml:space="preserve"> </w:t>
      </w:r>
      <w:r>
        <w:rPr>
          <w:rFonts w:ascii="Times New Roman" w:hAnsi="Times New Roman" w:cs="Times New Roman"/>
          <w:w w:val="105"/>
          <w:sz w:val="19"/>
          <w:szCs w:val="19"/>
        </w:rPr>
        <w:t>Participation</w:t>
      </w:r>
      <w:r>
        <w:rPr>
          <w:rFonts w:ascii="Times New Roman" w:hAnsi="Times New Roman" w:cs="Times New Roman"/>
          <w:spacing w:val="-16"/>
          <w:w w:val="105"/>
          <w:sz w:val="19"/>
          <w:szCs w:val="19"/>
        </w:rPr>
        <w:t xml:space="preserve"> </w:t>
      </w:r>
      <w:r>
        <w:rPr>
          <w:rFonts w:ascii="Times New Roman" w:hAnsi="Times New Roman" w:cs="Times New Roman"/>
          <w:w w:val="105"/>
          <w:sz w:val="19"/>
          <w:szCs w:val="19"/>
        </w:rPr>
        <w:t>by</w:t>
      </w:r>
      <w:r>
        <w:rPr>
          <w:rFonts w:ascii="Times New Roman" w:hAnsi="Times New Roman" w:cs="Times New Roman"/>
          <w:spacing w:val="-15"/>
          <w:w w:val="105"/>
          <w:sz w:val="19"/>
          <w:szCs w:val="19"/>
        </w:rPr>
        <w:t xml:space="preserve"> </w:t>
      </w:r>
      <w:r>
        <w:rPr>
          <w:rFonts w:ascii="Times New Roman" w:hAnsi="Times New Roman" w:cs="Times New Roman"/>
          <w:w w:val="105"/>
          <w:sz w:val="19"/>
          <w:szCs w:val="19"/>
        </w:rPr>
        <w:t>Physicians?”</w:t>
      </w:r>
      <w:r>
        <w:rPr>
          <w:rFonts w:ascii="Times New Roman" w:hAnsi="Times New Roman" w:cs="Times New Roman"/>
          <w:spacing w:val="-17"/>
          <w:w w:val="105"/>
          <w:sz w:val="19"/>
          <w:szCs w:val="19"/>
        </w:rPr>
        <w:t xml:space="preserve"> </w:t>
      </w:r>
      <w:r>
        <w:rPr>
          <w:rFonts w:ascii="Times New Roman" w:hAnsi="Times New Roman" w:cs="Times New Roman"/>
          <w:i/>
          <w:iCs/>
          <w:w w:val="105"/>
          <w:sz w:val="19"/>
          <w:szCs w:val="19"/>
        </w:rPr>
        <w:t>Health Affairs,</w:t>
      </w:r>
      <w:r>
        <w:rPr>
          <w:rFonts w:ascii="Times New Roman" w:hAnsi="Times New Roman" w:cs="Times New Roman"/>
          <w:i/>
          <w:iCs/>
          <w:spacing w:val="-22"/>
          <w:w w:val="105"/>
          <w:sz w:val="19"/>
          <w:szCs w:val="19"/>
        </w:rPr>
        <w:t xml:space="preserve"> </w:t>
      </w:r>
      <w:r>
        <w:rPr>
          <w:rFonts w:ascii="Times New Roman" w:hAnsi="Times New Roman" w:cs="Times New Roman"/>
          <w:w w:val="105"/>
          <w:sz w:val="19"/>
          <w:szCs w:val="19"/>
        </w:rPr>
        <w:t>Jan./Feb.</w:t>
      </w:r>
      <w:r>
        <w:rPr>
          <w:rFonts w:ascii="Times New Roman" w:hAnsi="Times New Roman" w:cs="Times New Roman"/>
          <w:spacing w:val="-20"/>
          <w:w w:val="105"/>
          <w:sz w:val="19"/>
          <w:szCs w:val="19"/>
        </w:rPr>
        <w:t xml:space="preserve"> </w:t>
      </w:r>
      <w:r>
        <w:rPr>
          <w:rFonts w:ascii="Times New Roman" w:hAnsi="Times New Roman" w:cs="Times New Roman"/>
          <w:w w:val="105"/>
          <w:sz w:val="19"/>
          <w:szCs w:val="19"/>
        </w:rPr>
        <w:t>2009</w:t>
      </w:r>
      <w:r>
        <w:rPr>
          <w:rFonts w:ascii="Times New Roman" w:hAnsi="Times New Roman" w:cs="Times New Roman"/>
          <w:spacing w:val="-21"/>
          <w:w w:val="105"/>
          <w:sz w:val="19"/>
          <w:szCs w:val="19"/>
        </w:rPr>
        <w:t xml:space="preserve"> </w:t>
      </w:r>
      <w:r>
        <w:rPr>
          <w:rFonts w:ascii="Times New Roman" w:hAnsi="Times New Roman" w:cs="Times New Roman"/>
          <w:w w:val="105"/>
          <w:sz w:val="19"/>
          <w:szCs w:val="19"/>
        </w:rPr>
        <w:t>28(1):</w:t>
      </w:r>
      <w:r>
        <w:rPr>
          <w:rFonts w:ascii="Times New Roman" w:hAnsi="Times New Roman" w:cs="Times New Roman"/>
          <w:spacing w:val="-21"/>
          <w:w w:val="105"/>
          <w:sz w:val="19"/>
          <w:szCs w:val="19"/>
        </w:rPr>
        <w:t xml:space="preserve"> </w:t>
      </w:r>
      <w:r>
        <w:rPr>
          <w:rFonts w:ascii="Times New Roman" w:hAnsi="Times New Roman" w:cs="Times New Roman"/>
          <w:spacing w:val="2"/>
          <w:w w:val="105"/>
          <w:sz w:val="19"/>
          <w:szCs w:val="19"/>
        </w:rPr>
        <w:t>w17–w28.</w:t>
      </w:r>
    </w:p>
    <w:p w:rsidR="002C5025" w:rsidRDefault="002C5025">
      <w:pPr>
        <w:pStyle w:val="BodyText"/>
        <w:kinsoku w:val="0"/>
        <w:overflowPunct w:val="0"/>
        <w:spacing w:after="18" w:line="220" w:lineRule="exact"/>
        <w:ind w:left="143" w:right="126"/>
        <w:rPr>
          <w:rFonts w:ascii="Times New Roman" w:hAnsi="Times New Roman" w:cs="Times New Roman"/>
          <w:w w:val="105"/>
          <w:sz w:val="19"/>
          <w:szCs w:val="19"/>
        </w:rPr>
      </w:pPr>
      <w:r>
        <w:rPr>
          <w:rFonts w:ascii="Times New Roman" w:hAnsi="Times New Roman" w:cs="Times New Roman"/>
          <w:w w:val="105"/>
          <w:position w:val="9"/>
          <w:sz w:val="13"/>
          <w:szCs w:val="13"/>
        </w:rPr>
        <w:t>34</w:t>
      </w:r>
      <w:r>
        <w:rPr>
          <w:rFonts w:ascii="Times New Roman" w:hAnsi="Times New Roman" w:cs="Times New Roman"/>
          <w:w w:val="105"/>
          <w:sz w:val="19"/>
          <w:szCs w:val="19"/>
        </w:rPr>
        <w:t>https</w:t>
      </w:r>
      <w:hyperlink r:id="rId285" w:history="1">
        <w:r>
          <w:rPr>
            <w:rFonts w:ascii="Times New Roman" w:hAnsi="Times New Roman" w:cs="Times New Roman"/>
            <w:w w:val="105"/>
            <w:sz w:val="19"/>
            <w:szCs w:val="19"/>
          </w:rPr>
          <w:t>://www.aap.org/en-us/advocacy-and-policy/aap-health-initiatives/Mental-Health/Pages/HIPAA-Privacy-Rule-and-</w:t>
        </w:r>
      </w:hyperlink>
    </w:p>
    <w:p w:rsidR="002C5025" w:rsidRDefault="00FB027C">
      <w:pPr>
        <w:pStyle w:val="BodyText"/>
        <w:kinsoku w:val="0"/>
        <w:overflowPunct w:val="0"/>
        <w:spacing w:line="20" w:lineRule="exact"/>
        <w:ind w:left="285"/>
        <w:rPr>
          <w:rFonts w:ascii="Times New Roman" w:hAnsi="Times New Roman" w:cs="Times New Roman"/>
          <w:sz w:val="2"/>
          <w:szCs w:val="2"/>
        </w:rPr>
      </w:pPr>
      <w:r>
        <w:rPr>
          <w:rFonts w:ascii="Times New Roman" w:hAnsi="Times New Roman" w:cs="Times New Roman"/>
          <w:noProof/>
          <w:sz w:val="2"/>
          <w:szCs w:val="2"/>
        </w:rPr>
        <mc:AlternateContent>
          <mc:Choice Requires="wpg">
            <w:drawing>
              <wp:inline distT="0" distB="0" distL="0" distR="0">
                <wp:extent cx="6069965" cy="12700"/>
                <wp:effectExtent l="9525" t="9525" r="6985" b="0"/>
                <wp:docPr id="602" name="Group 4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9965" cy="12700"/>
                          <a:chOff x="0" y="0"/>
                          <a:chExt cx="9559" cy="20"/>
                        </a:xfrm>
                      </wpg:grpSpPr>
                      <wps:wsp>
                        <wps:cNvPr id="603" name="Freeform 423"/>
                        <wps:cNvSpPr>
                          <a:spLocks/>
                        </wps:cNvSpPr>
                        <wps:spPr bwMode="auto">
                          <a:xfrm>
                            <a:off x="3" y="3"/>
                            <a:ext cx="9552" cy="20"/>
                          </a:xfrm>
                          <a:custGeom>
                            <a:avLst/>
                            <a:gdLst>
                              <a:gd name="T0" fmla="*/ 0 w 9552"/>
                              <a:gd name="T1" fmla="*/ 0 h 20"/>
                              <a:gd name="T2" fmla="*/ 9552 w 9552"/>
                              <a:gd name="T3" fmla="*/ 0 h 20"/>
                            </a:gdLst>
                            <a:ahLst/>
                            <a:cxnLst>
                              <a:cxn ang="0">
                                <a:pos x="T0" y="T1"/>
                              </a:cxn>
                              <a:cxn ang="0">
                                <a:pos x="T2" y="T3"/>
                              </a:cxn>
                            </a:cxnLst>
                            <a:rect l="0" t="0" r="r" b="b"/>
                            <a:pathLst>
                              <a:path w="9552" h="20">
                                <a:moveTo>
                                  <a:pt x="0" y="0"/>
                                </a:moveTo>
                                <a:lnTo>
                                  <a:pt x="9552" y="0"/>
                                </a:lnTo>
                              </a:path>
                            </a:pathLst>
                          </a:custGeom>
                          <a:noFill/>
                          <a:ln w="43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422" o:spid="_x0000_s1026" style="width:477.95pt;height:1pt;mso-position-horizontal-relative:char;mso-position-vertical-relative:line" coordsize="955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">
                <v:shape id="Freeform 423" o:spid="_x0000_s1027" style="position:absolute;left:3;top:3;width:9552;height:20;visibility:visible;mso-wrap-style:square;v-text-anchor:top" coordsize="955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Z/ZMQA&#10;AADcAAAADwAAAGRycy9kb3ducmV2LnhtbESPQWvCQBSE7wX/w/IEb3UTA9amriIBpRcPjV68vWaf&#10;SWj2bdhdY/z3XaHQ4zAz3zDr7Wg6MZDzrWUF6TwBQVxZ3XKt4Hzav65A+ICssbNMCh7kYbuZvKwx&#10;1/bOXzSUoRYRwj5HBU0IfS6lrxoy6Oe2J47e1TqDIUpXS+3wHuGmk4skWUqDLceFBnsqGqp+yptR&#10;UBy/y6F4z8zhmqZ4OWdvD1c6pWbTcfcBItAY/sN/7U+tYJlk8DwTj4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Gf2TEAAAA3AAAAA8AAAAAAAAAAAAAAAAAmAIAAGRycy9k&#10;b3ducmV2LnhtbFBLBQYAAAAABAAEAPUAAACJAwAAAAA=&#10;" path="m,l9552,e" filled="f" strokeweight=".34pt">
                  <v:path arrowok="t" o:connecttype="custom" o:connectlocs="0,0;9552,0" o:connectangles="0,0"/>
                </v:shape>
                <w10:anchorlock/>
              </v:group>
            </w:pict>
          </mc:Fallback>
        </mc:AlternateContent>
      </w:r>
    </w:p>
    <w:p w:rsidR="002C5025" w:rsidRDefault="002C5025">
      <w:pPr>
        <w:pStyle w:val="BodyText"/>
        <w:kinsoku w:val="0"/>
        <w:overflowPunct w:val="0"/>
        <w:spacing w:line="252" w:lineRule="auto"/>
        <w:ind w:left="143" w:right="126"/>
        <w:rPr>
          <w:rFonts w:ascii="Times New Roman" w:hAnsi="Times New Roman" w:cs="Times New Roman"/>
          <w:w w:val="95"/>
          <w:sz w:val="19"/>
          <w:szCs w:val="19"/>
        </w:rPr>
      </w:pPr>
      <w:r>
        <w:rPr>
          <w:rFonts w:ascii="Times New Roman" w:hAnsi="Times New Roman" w:cs="Times New Roman"/>
          <w:w w:val="95"/>
          <w:sz w:val="19"/>
          <w:szCs w:val="19"/>
          <w:u w:val="single" w:color="000000"/>
        </w:rPr>
        <w:t xml:space="preserve">Provider-to-Provider-Communication.aspx?nfstatus=401&amp;nftoken=00000000-0000-0000-0000- </w:t>
      </w:r>
      <w:r>
        <w:rPr>
          <w:rFonts w:ascii="Times New Roman" w:hAnsi="Times New Roman" w:cs="Times New Roman"/>
          <w:sz w:val="19"/>
          <w:szCs w:val="19"/>
          <w:u w:val="single" w:color="000000"/>
        </w:rPr>
        <w:t>000000000000&amp;nfstatusdescription=ERROR:+</w:t>
      </w:r>
      <w:proofErr w:type="spellStart"/>
      <w:r>
        <w:rPr>
          <w:rFonts w:ascii="Times New Roman" w:hAnsi="Times New Roman" w:cs="Times New Roman"/>
          <w:sz w:val="19"/>
          <w:szCs w:val="19"/>
          <w:u w:val="single" w:color="000000"/>
        </w:rPr>
        <w:t>No+local+token</w:t>
      </w:r>
      <w:proofErr w:type="spellEnd"/>
    </w:p>
    <w:p w:rsidR="002C5025" w:rsidRDefault="002C5025">
      <w:pPr>
        <w:pStyle w:val="BodyText"/>
        <w:kinsoku w:val="0"/>
        <w:overflowPunct w:val="0"/>
        <w:spacing w:before="11"/>
        <w:rPr>
          <w:rFonts w:ascii="Times New Roman" w:hAnsi="Times New Roman" w:cs="Times New Roman"/>
          <w:sz w:val="12"/>
          <w:szCs w:val="12"/>
        </w:rPr>
      </w:pPr>
    </w:p>
    <w:p w:rsidR="002C5025" w:rsidRDefault="00FB027C">
      <w:pPr>
        <w:pStyle w:val="BodyText"/>
        <w:kinsoku w:val="0"/>
        <w:overflowPunct w:val="0"/>
        <w:spacing w:before="75"/>
        <w:ind w:right="109"/>
        <w:jc w:val="right"/>
        <w:rPr>
          <w:rFonts w:ascii="Times New Roman" w:hAnsi="Times New Roman" w:cs="Times New Roman"/>
          <w:sz w:val="19"/>
          <w:szCs w:val="19"/>
        </w:rPr>
      </w:pPr>
      <w:r>
        <w:rPr>
          <w:noProof/>
        </w:rPr>
        <mc:AlternateContent>
          <mc:Choice Requires="wpg">
            <w:drawing>
              <wp:anchor distT="0" distB="0" distL="114300" distR="114300" simplePos="0" relativeHeight="251633152" behindDoc="0" locked="0" layoutInCell="0" allowOverlap="1">
                <wp:simplePos x="0" y="0"/>
                <wp:positionH relativeFrom="page">
                  <wp:posOffset>572135</wp:posOffset>
                </wp:positionH>
                <wp:positionV relativeFrom="paragraph">
                  <wp:posOffset>52705</wp:posOffset>
                </wp:positionV>
                <wp:extent cx="6410960" cy="38735"/>
                <wp:effectExtent l="0" t="0" r="0" b="0"/>
                <wp:wrapNone/>
                <wp:docPr id="598" name="Group 4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0960" cy="38735"/>
                          <a:chOff x="901" y="83"/>
                          <a:chExt cx="10096" cy="61"/>
                        </a:xfrm>
                      </wpg:grpSpPr>
                      <wps:wsp>
                        <wps:cNvPr id="599" name="Freeform 425"/>
                        <wps:cNvSpPr>
                          <a:spLocks/>
                        </wps:cNvSpPr>
                        <wps:spPr bwMode="auto">
                          <a:xfrm>
                            <a:off x="917" y="91"/>
                            <a:ext cx="10065" cy="20"/>
                          </a:xfrm>
                          <a:custGeom>
                            <a:avLst/>
                            <a:gdLst>
                              <a:gd name="T0" fmla="*/ 0 w 10065"/>
                              <a:gd name="T1" fmla="*/ 0 h 20"/>
                              <a:gd name="T2" fmla="*/ 10065 w 10065"/>
                              <a:gd name="T3" fmla="*/ 0 h 20"/>
                            </a:gdLst>
                            <a:ahLst/>
                            <a:cxnLst>
                              <a:cxn ang="0">
                                <a:pos x="T0" y="T1"/>
                              </a:cxn>
                              <a:cxn ang="0">
                                <a:pos x="T2" y="T3"/>
                              </a:cxn>
                            </a:cxnLst>
                            <a:rect l="0" t="0" r="r" b="b"/>
                            <a:pathLst>
                              <a:path w="10065" h="20">
                                <a:moveTo>
                                  <a:pt x="0" y="0"/>
                                </a:moveTo>
                                <a:lnTo>
                                  <a:pt x="10065"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0" name="Freeform 426"/>
                        <wps:cNvSpPr>
                          <a:spLocks/>
                        </wps:cNvSpPr>
                        <wps:spPr bwMode="auto">
                          <a:xfrm>
                            <a:off x="917" y="113"/>
                            <a:ext cx="10065" cy="20"/>
                          </a:xfrm>
                          <a:custGeom>
                            <a:avLst/>
                            <a:gdLst>
                              <a:gd name="T0" fmla="*/ 0 w 10065"/>
                              <a:gd name="T1" fmla="*/ 0 h 20"/>
                              <a:gd name="T2" fmla="*/ 10065 w 10065"/>
                              <a:gd name="T3" fmla="*/ 0 h 20"/>
                            </a:gdLst>
                            <a:ahLst/>
                            <a:cxnLst>
                              <a:cxn ang="0">
                                <a:pos x="T0" y="T1"/>
                              </a:cxn>
                              <a:cxn ang="0">
                                <a:pos x="T2" y="T3"/>
                              </a:cxn>
                            </a:cxnLst>
                            <a:rect l="0" t="0" r="r" b="b"/>
                            <a:pathLst>
                              <a:path w="10065" h="20">
                                <a:moveTo>
                                  <a:pt x="0" y="0"/>
                                </a:moveTo>
                                <a:lnTo>
                                  <a:pt x="10065" y="0"/>
                                </a:lnTo>
                              </a:path>
                            </a:pathLst>
                          </a:custGeom>
                          <a:noFill/>
                          <a:ln w="19558">
                            <a:solidFill>
                              <a:srgbClr val="6060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1" name="Freeform 427"/>
                        <wps:cNvSpPr>
                          <a:spLocks/>
                        </wps:cNvSpPr>
                        <wps:spPr bwMode="auto">
                          <a:xfrm>
                            <a:off x="917" y="135"/>
                            <a:ext cx="10065" cy="20"/>
                          </a:xfrm>
                          <a:custGeom>
                            <a:avLst/>
                            <a:gdLst>
                              <a:gd name="T0" fmla="*/ 0 w 10065"/>
                              <a:gd name="T1" fmla="*/ 0 h 20"/>
                              <a:gd name="T2" fmla="*/ 10065 w 10065"/>
                              <a:gd name="T3" fmla="*/ 0 h 20"/>
                            </a:gdLst>
                            <a:ahLst/>
                            <a:cxnLst>
                              <a:cxn ang="0">
                                <a:pos x="T0" y="T1"/>
                              </a:cxn>
                              <a:cxn ang="0">
                                <a:pos x="T2" y="T3"/>
                              </a:cxn>
                            </a:cxnLst>
                            <a:rect l="0" t="0" r="r" b="b"/>
                            <a:pathLst>
                              <a:path w="10065" h="20">
                                <a:moveTo>
                                  <a:pt x="0" y="0"/>
                                </a:moveTo>
                                <a:lnTo>
                                  <a:pt x="10065" y="0"/>
                                </a:lnTo>
                              </a:path>
                            </a:pathLst>
                          </a:custGeom>
                          <a:noFill/>
                          <a:ln w="10414">
                            <a:solidFill>
                              <a:srgbClr val="C1C1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4" o:spid="_x0000_s1026" style="position:absolute;margin-left:45.05pt;margin-top:4.15pt;width:504.8pt;height:3.05pt;z-index:251633152;mso-position-horizontal-relative:page" coordorigin="901,83" coordsize="1009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" o:allowincell="f">
                <v:shape id="Freeform 425" o:spid="_x0000_s1027" style="position:absolute;left:917;top:91;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BdHsYA&#10;AADcAAAADwAAAGRycy9kb3ducmV2LnhtbESPQWvCQBSE7wX/w/KEXkrdWGjR1FVEsUgOQjTQ6yP7&#10;TFKzb5fsqqm/visUPA4z8w0zW/SmFRfqfGNZwXiUgCAurW64UlAcNq8TED4ga2wtk4Jf8rCYD55m&#10;mGp75Zwu+1CJCGGfooI6BJdK6cuaDPqRdcTRO9rOYIiyq6Tu8BrhppVvSfIhDTYcF2p0tKqpPO3P&#10;RsF295Ovv82tcDe9OhbuJcu+8kyp52G//AQRqA+P8H97qxW8T6dwPxOP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BdHsYAAADcAAAADwAAAAAAAAAAAAAAAACYAgAAZHJz&#10;L2Rvd25yZXYueG1sUEsFBgAAAAAEAAQA9QAAAIsDAAAAAA==&#10;" path="m,l10065,e" filled="f" strokeweight=".82pt">
                  <v:path arrowok="t" o:connecttype="custom" o:connectlocs="0,0;10065,0" o:connectangles="0,0"/>
                </v:shape>
                <v:shape id="Freeform 426" o:spid="_x0000_s1028" style="position:absolute;left:917;top:113;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qQRcEA&#10;AADcAAAADwAAAGRycy9kb3ducmV2LnhtbERPS2sCMRC+F/ofwhR6q1lLWWQ1SitYSi/SVcTjsJl9&#10;6GayJFPd/ntzKHj8+N6L1eh6daEQO88GppMMFHHlbceNgf1u8zIDFQXZYu+ZDPxRhNXy8WGBhfVX&#10;/qFLKY1KIRwLNNCKDIXWsWrJYZz4gThxtQ8OJcHQaBvwmsJdr1+zLNcOO04NLQ60bqk6l7/OwBE3&#10;tszf6vV4CjLdftQH+fx2xjw/je9zUEKj3MX/7i9rIM/S/HQmHQG9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qkEXBAAAA3AAAAA8AAAAAAAAAAAAAAAAAmAIAAGRycy9kb3du&#10;cmV2LnhtbFBLBQYAAAAABAAEAPUAAACGAwAAAAA=&#10;" path="m,l10065,e" filled="f" strokecolor="#606060" strokeweight="1.54pt">
                  <v:path arrowok="t" o:connecttype="custom" o:connectlocs="0,0;10065,0" o:connectangles="0,0"/>
                </v:shape>
                <v:shape id="Freeform 427" o:spid="_x0000_s1029" style="position:absolute;left:917;top:135;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rWfcMA&#10;AADcAAAADwAAAGRycy9kb3ducmV2LnhtbESPQWuDQBSE74X+h+UVeqtrEpDWuAlBKOnVJFC8PdwX&#10;lbhvxd2qya/PBgI9DjPzDZNtZ9OJkQbXWlawiGIQxJXVLdcKTsfvj08QziNr7CyTgis52G5eXzJM&#10;tZ24oPHgaxEg7FJU0Hjfp1K6qiGDLrI9cfDOdjDogxxqqQecAtx0chnHiTTYclhosKe8oepy+DMK&#10;yiL5/dr3N16tcl+USW7qslgq9f4279YgPM3+P/xs/2gFSbyAx5lwBOTm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RrWfcMAAADcAAAADwAAAAAAAAAAAAAAAACYAgAAZHJzL2Rv&#10;d25yZXYueG1sUEsFBgAAAAAEAAQA9QAAAIgDAAAAAA==&#10;" path="m,l10065,e" filled="f" strokecolor="#c1c1c1" strokeweight=".82pt">
                  <v:path arrowok="t" o:connecttype="custom" o:connectlocs="0,0;10065,0" o:connectangles="0,0"/>
                </v:shape>
                <w10:wrap anchorx="page"/>
              </v:group>
            </w:pict>
          </mc:Fallback>
        </mc:AlternateContent>
      </w:r>
      <w:r w:rsidR="002C5025">
        <w:rPr>
          <w:rFonts w:ascii="Times New Roman" w:hAnsi="Times New Roman" w:cs="Times New Roman"/>
          <w:sz w:val="19"/>
          <w:szCs w:val="19"/>
        </w:rPr>
        <w:t>16</w:t>
      </w:r>
    </w:p>
    <w:p w:rsidR="002C5025" w:rsidRDefault="002C5025">
      <w:pPr>
        <w:pStyle w:val="BodyText"/>
        <w:kinsoku w:val="0"/>
        <w:overflowPunct w:val="0"/>
        <w:spacing w:before="102" w:line="247" w:lineRule="auto"/>
        <w:ind w:left="644" w:right="773" w:hanging="348"/>
        <w:rPr>
          <w:rFonts w:ascii="Cambria" w:hAnsi="Cambria" w:cs="Cambria"/>
          <w:i/>
          <w:iCs/>
          <w:w w:val="105"/>
          <w:sz w:val="19"/>
          <w:szCs w:val="19"/>
        </w:rPr>
      </w:pPr>
      <w:r>
        <w:rPr>
          <w:rFonts w:ascii="Cambria" w:hAnsi="Cambria" w:cs="Cambria"/>
          <w:i/>
          <w:iCs/>
          <w:w w:val="105"/>
          <w:sz w:val="19"/>
          <w:szCs w:val="19"/>
        </w:rPr>
        <w:t>Doctors</w:t>
      </w:r>
      <w:r>
        <w:rPr>
          <w:rFonts w:ascii="Cambria" w:hAnsi="Cambria" w:cs="Cambria"/>
          <w:i/>
          <w:iCs/>
          <w:spacing w:val="-10"/>
          <w:w w:val="105"/>
          <w:sz w:val="19"/>
          <w:szCs w:val="19"/>
        </w:rPr>
        <w:t xml:space="preserve"> </w:t>
      </w:r>
      <w:r>
        <w:rPr>
          <w:rFonts w:ascii="Cambria" w:hAnsi="Cambria" w:cs="Cambria"/>
          <w:i/>
          <w:iCs/>
          <w:w w:val="105"/>
          <w:sz w:val="19"/>
          <w:szCs w:val="19"/>
        </w:rPr>
        <w:t>for</w:t>
      </w:r>
      <w:r>
        <w:rPr>
          <w:rFonts w:ascii="Cambria" w:hAnsi="Cambria" w:cs="Cambria"/>
          <w:i/>
          <w:iCs/>
          <w:spacing w:val="-13"/>
          <w:w w:val="105"/>
          <w:sz w:val="19"/>
          <w:szCs w:val="19"/>
        </w:rPr>
        <w:t xml:space="preserve"> </w:t>
      </w:r>
      <w:r>
        <w:rPr>
          <w:rFonts w:ascii="Cambria" w:hAnsi="Cambria" w:cs="Cambria"/>
          <w:i/>
          <w:iCs/>
          <w:w w:val="105"/>
          <w:sz w:val="19"/>
          <w:szCs w:val="19"/>
        </w:rPr>
        <w:t>America</w:t>
      </w:r>
      <w:r>
        <w:rPr>
          <w:rFonts w:ascii="Cambria" w:hAnsi="Cambria" w:cs="Cambria"/>
          <w:i/>
          <w:iCs/>
          <w:spacing w:val="-12"/>
          <w:w w:val="105"/>
          <w:sz w:val="19"/>
          <w:szCs w:val="19"/>
        </w:rPr>
        <w:t xml:space="preserve"> </w:t>
      </w:r>
      <w:r>
        <w:rPr>
          <w:rFonts w:ascii="Cambria" w:hAnsi="Cambria" w:cs="Cambria"/>
          <w:i/>
          <w:iCs/>
          <w:w w:val="105"/>
          <w:sz w:val="19"/>
          <w:szCs w:val="19"/>
        </w:rPr>
        <w:t>is</w:t>
      </w:r>
      <w:r>
        <w:rPr>
          <w:rFonts w:ascii="Cambria" w:hAnsi="Cambria" w:cs="Cambria"/>
          <w:i/>
          <w:iCs/>
          <w:spacing w:val="-13"/>
          <w:w w:val="105"/>
          <w:sz w:val="19"/>
          <w:szCs w:val="19"/>
        </w:rPr>
        <w:t xml:space="preserve"> </w:t>
      </w:r>
      <w:r>
        <w:rPr>
          <w:rFonts w:ascii="Cambria" w:hAnsi="Cambria" w:cs="Cambria"/>
          <w:i/>
          <w:iCs/>
          <w:w w:val="105"/>
          <w:sz w:val="19"/>
          <w:szCs w:val="19"/>
        </w:rPr>
        <w:t>a</w:t>
      </w:r>
      <w:r>
        <w:rPr>
          <w:rFonts w:ascii="Cambria" w:hAnsi="Cambria" w:cs="Cambria"/>
          <w:i/>
          <w:iCs/>
          <w:spacing w:val="-10"/>
          <w:w w:val="105"/>
          <w:sz w:val="19"/>
          <w:szCs w:val="19"/>
        </w:rPr>
        <w:t xml:space="preserve"> </w:t>
      </w:r>
      <w:r>
        <w:rPr>
          <w:rFonts w:ascii="Cambria" w:hAnsi="Cambria" w:cs="Cambria"/>
          <w:i/>
          <w:iCs/>
          <w:w w:val="105"/>
          <w:sz w:val="19"/>
          <w:szCs w:val="19"/>
        </w:rPr>
        <w:t>501(c)(3)</w:t>
      </w:r>
      <w:r>
        <w:rPr>
          <w:rFonts w:ascii="Cambria" w:hAnsi="Cambria" w:cs="Cambria"/>
          <w:i/>
          <w:iCs/>
          <w:spacing w:val="-13"/>
          <w:w w:val="105"/>
          <w:sz w:val="19"/>
          <w:szCs w:val="19"/>
        </w:rPr>
        <w:t xml:space="preserve"> </w:t>
      </w:r>
      <w:r>
        <w:rPr>
          <w:rFonts w:ascii="Cambria" w:hAnsi="Cambria" w:cs="Cambria"/>
          <w:i/>
          <w:iCs/>
          <w:w w:val="105"/>
          <w:sz w:val="19"/>
          <w:szCs w:val="19"/>
        </w:rPr>
        <w:t>national</w:t>
      </w:r>
      <w:r>
        <w:rPr>
          <w:rFonts w:ascii="Cambria" w:hAnsi="Cambria" w:cs="Cambria"/>
          <w:i/>
          <w:iCs/>
          <w:spacing w:val="-11"/>
          <w:w w:val="105"/>
          <w:sz w:val="19"/>
          <w:szCs w:val="19"/>
        </w:rPr>
        <w:t xml:space="preserve"> </w:t>
      </w:r>
      <w:r>
        <w:rPr>
          <w:rFonts w:ascii="Cambria" w:hAnsi="Cambria" w:cs="Cambria"/>
          <w:i/>
          <w:iCs/>
          <w:w w:val="105"/>
          <w:sz w:val="19"/>
          <w:szCs w:val="19"/>
        </w:rPr>
        <w:t>movement</w:t>
      </w:r>
      <w:r>
        <w:rPr>
          <w:rFonts w:ascii="Cambria" w:hAnsi="Cambria" w:cs="Cambria"/>
          <w:i/>
          <w:iCs/>
          <w:spacing w:val="-10"/>
          <w:w w:val="105"/>
          <w:sz w:val="19"/>
          <w:szCs w:val="19"/>
        </w:rPr>
        <w:t xml:space="preserve"> </w:t>
      </w:r>
      <w:r>
        <w:rPr>
          <w:rFonts w:ascii="Cambria" w:hAnsi="Cambria" w:cs="Cambria"/>
          <w:i/>
          <w:iCs/>
          <w:w w:val="105"/>
          <w:sz w:val="19"/>
          <w:szCs w:val="19"/>
        </w:rPr>
        <w:t>that</w:t>
      </w:r>
      <w:r>
        <w:rPr>
          <w:rFonts w:ascii="Cambria" w:hAnsi="Cambria" w:cs="Cambria"/>
          <w:i/>
          <w:iCs/>
          <w:spacing w:val="-13"/>
          <w:w w:val="105"/>
          <w:sz w:val="19"/>
          <w:szCs w:val="19"/>
        </w:rPr>
        <w:t xml:space="preserve"> </w:t>
      </w:r>
      <w:r>
        <w:rPr>
          <w:rFonts w:ascii="Cambria" w:hAnsi="Cambria" w:cs="Cambria"/>
          <w:i/>
          <w:iCs/>
          <w:w w:val="105"/>
          <w:sz w:val="19"/>
          <w:szCs w:val="19"/>
        </w:rPr>
        <w:t>mobilizes</w:t>
      </w:r>
      <w:r>
        <w:rPr>
          <w:rFonts w:ascii="Cambria" w:hAnsi="Cambria" w:cs="Cambria"/>
          <w:i/>
          <w:iCs/>
          <w:spacing w:val="-10"/>
          <w:w w:val="105"/>
          <w:sz w:val="19"/>
          <w:szCs w:val="19"/>
        </w:rPr>
        <w:t xml:space="preserve"> </w:t>
      </w:r>
      <w:r>
        <w:rPr>
          <w:rFonts w:ascii="Cambria" w:hAnsi="Cambria" w:cs="Cambria"/>
          <w:i/>
          <w:iCs/>
          <w:w w:val="105"/>
          <w:sz w:val="19"/>
          <w:szCs w:val="19"/>
        </w:rPr>
        <w:t>physicians</w:t>
      </w:r>
      <w:r>
        <w:rPr>
          <w:rFonts w:ascii="Cambria" w:hAnsi="Cambria" w:cs="Cambria"/>
          <w:i/>
          <w:iCs/>
          <w:spacing w:val="-13"/>
          <w:w w:val="105"/>
          <w:sz w:val="19"/>
          <w:szCs w:val="19"/>
        </w:rPr>
        <w:t xml:space="preserve"> </w:t>
      </w:r>
      <w:r>
        <w:rPr>
          <w:rFonts w:ascii="Cambria" w:hAnsi="Cambria" w:cs="Cambria"/>
          <w:i/>
          <w:iCs/>
          <w:w w:val="105"/>
          <w:sz w:val="19"/>
          <w:szCs w:val="19"/>
        </w:rPr>
        <w:t>and</w:t>
      </w:r>
      <w:r>
        <w:rPr>
          <w:rFonts w:ascii="Cambria" w:hAnsi="Cambria" w:cs="Cambria"/>
          <w:i/>
          <w:iCs/>
          <w:spacing w:val="-12"/>
          <w:w w:val="105"/>
          <w:sz w:val="19"/>
          <w:szCs w:val="19"/>
        </w:rPr>
        <w:t xml:space="preserve"> </w:t>
      </w:r>
      <w:r>
        <w:rPr>
          <w:rFonts w:ascii="Cambria" w:hAnsi="Cambria" w:cs="Cambria"/>
          <w:i/>
          <w:iCs/>
          <w:w w:val="105"/>
          <w:sz w:val="19"/>
          <w:szCs w:val="19"/>
        </w:rPr>
        <w:t>medical</w:t>
      </w:r>
      <w:r>
        <w:rPr>
          <w:rFonts w:ascii="Cambria" w:hAnsi="Cambria" w:cs="Cambria"/>
          <w:i/>
          <w:iCs/>
          <w:spacing w:val="-14"/>
          <w:w w:val="105"/>
          <w:sz w:val="19"/>
          <w:szCs w:val="19"/>
        </w:rPr>
        <w:t xml:space="preserve"> </w:t>
      </w:r>
      <w:r>
        <w:rPr>
          <w:rFonts w:ascii="Cambria" w:hAnsi="Cambria" w:cs="Cambria"/>
          <w:i/>
          <w:iCs/>
          <w:w w:val="105"/>
          <w:sz w:val="19"/>
          <w:szCs w:val="19"/>
        </w:rPr>
        <w:t>students</w:t>
      </w:r>
      <w:r>
        <w:rPr>
          <w:rFonts w:ascii="Cambria" w:hAnsi="Cambria" w:cs="Cambria"/>
          <w:i/>
          <w:iCs/>
          <w:spacing w:val="-13"/>
          <w:w w:val="105"/>
          <w:sz w:val="19"/>
          <w:szCs w:val="19"/>
        </w:rPr>
        <w:t xml:space="preserve"> </w:t>
      </w:r>
      <w:r>
        <w:rPr>
          <w:rFonts w:ascii="Cambria" w:hAnsi="Cambria" w:cs="Cambria"/>
          <w:i/>
          <w:iCs/>
          <w:w w:val="105"/>
          <w:sz w:val="19"/>
          <w:szCs w:val="19"/>
        </w:rPr>
        <w:t>to</w:t>
      </w:r>
      <w:r>
        <w:rPr>
          <w:rFonts w:ascii="Cambria" w:hAnsi="Cambria" w:cs="Cambria"/>
          <w:i/>
          <w:iCs/>
          <w:spacing w:val="-14"/>
          <w:w w:val="105"/>
          <w:sz w:val="19"/>
          <w:szCs w:val="19"/>
        </w:rPr>
        <w:t xml:space="preserve"> </w:t>
      </w:r>
      <w:r>
        <w:rPr>
          <w:rFonts w:ascii="Cambria" w:hAnsi="Cambria" w:cs="Cambria"/>
          <w:i/>
          <w:iCs/>
          <w:w w:val="105"/>
          <w:sz w:val="19"/>
          <w:szCs w:val="19"/>
        </w:rPr>
        <w:t>put</w:t>
      </w:r>
      <w:r>
        <w:rPr>
          <w:rFonts w:ascii="Cambria" w:hAnsi="Cambria" w:cs="Cambria"/>
          <w:i/>
          <w:iCs/>
          <w:spacing w:val="-13"/>
          <w:w w:val="105"/>
          <w:sz w:val="19"/>
          <w:szCs w:val="19"/>
        </w:rPr>
        <w:t xml:space="preserve"> </w:t>
      </w:r>
      <w:r>
        <w:rPr>
          <w:rFonts w:ascii="Cambria" w:hAnsi="Cambria" w:cs="Cambria"/>
          <w:i/>
          <w:iCs/>
          <w:w w:val="105"/>
          <w:sz w:val="19"/>
          <w:szCs w:val="19"/>
        </w:rPr>
        <w:t>patients over</w:t>
      </w:r>
      <w:r>
        <w:rPr>
          <w:rFonts w:ascii="Cambria" w:hAnsi="Cambria" w:cs="Cambria"/>
          <w:i/>
          <w:iCs/>
          <w:spacing w:val="-10"/>
          <w:w w:val="105"/>
          <w:sz w:val="19"/>
          <w:szCs w:val="19"/>
        </w:rPr>
        <w:t xml:space="preserve"> </w:t>
      </w:r>
      <w:r>
        <w:rPr>
          <w:rFonts w:ascii="Cambria" w:hAnsi="Cambria" w:cs="Cambria"/>
          <w:i/>
          <w:iCs/>
          <w:w w:val="105"/>
          <w:sz w:val="19"/>
          <w:szCs w:val="19"/>
        </w:rPr>
        <w:t>politics</w:t>
      </w:r>
      <w:r>
        <w:rPr>
          <w:rFonts w:ascii="Cambria" w:hAnsi="Cambria" w:cs="Cambria"/>
          <w:i/>
          <w:iCs/>
          <w:spacing w:val="-9"/>
          <w:w w:val="105"/>
          <w:sz w:val="19"/>
          <w:szCs w:val="19"/>
        </w:rPr>
        <w:t xml:space="preserve"> </w:t>
      </w:r>
      <w:r>
        <w:rPr>
          <w:rFonts w:ascii="Cambria" w:hAnsi="Cambria" w:cs="Cambria"/>
          <w:i/>
          <w:iCs/>
          <w:w w:val="105"/>
          <w:sz w:val="19"/>
          <w:szCs w:val="19"/>
        </w:rPr>
        <w:t>on</w:t>
      </w:r>
      <w:r>
        <w:rPr>
          <w:rFonts w:ascii="Cambria" w:hAnsi="Cambria" w:cs="Cambria"/>
          <w:i/>
          <w:iCs/>
          <w:spacing w:val="-11"/>
          <w:w w:val="105"/>
          <w:sz w:val="19"/>
          <w:szCs w:val="19"/>
        </w:rPr>
        <w:t xml:space="preserve"> </w:t>
      </w:r>
      <w:r>
        <w:rPr>
          <w:rFonts w:ascii="Cambria" w:hAnsi="Cambria" w:cs="Cambria"/>
          <w:i/>
          <w:iCs/>
          <w:w w:val="105"/>
          <w:sz w:val="19"/>
          <w:szCs w:val="19"/>
        </w:rPr>
        <w:t>the</w:t>
      </w:r>
      <w:r>
        <w:rPr>
          <w:rFonts w:ascii="Cambria" w:hAnsi="Cambria" w:cs="Cambria"/>
          <w:i/>
          <w:iCs/>
          <w:spacing w:val="-10"/>
          <w:w w:val="105"/>
          <w:sz w:val="19"/>
          <w:szCs w:val="19"/>
        </w:rPr>
        <w:t xml:space="preserve"> </w:t>
      </w:r>
      <w:r>
        <w:rPr>
          <w:rFonts w:ascii="Cambria" w:hAnsi="Cambria" w:cs="Cambria"/>
          <w:i/>
          <w:iCs/>
          <w:w w:val="105"/>
          <w:sz w:val="19"/>
          <w:szCs w:val="19"/>
        </w:rPr>
        <w:t>pressing</w:t>
      </w:r>
      <w:r>
        <w:rPr>
          <w:rFonts w:ascii="Cambria" w:hAnsi="Cambria" w:cs="Cambria"/>
          <w:i/>
          <w:iCs/>
          <w:spacing w:val="-9"/>
          <w:w w:val="105"/>
          <w:sz w:val="19"/>
          <w:szCs w:val="19"/>
        </w:rPr>
        <w:t xml:space="preserve"> </w:t>
      </w:r>
      <w:r>
        <w:rPr>
          <w:rFonts w:ascii="Cambria" w:hAnsi="Cambria" w:cs="Cambria"/>
          <w:i/>
          <w:iCs/>
          <w:w w:val="105"/>
          <w:sz w:val="19"/>
          <w:szCs w:val="19"/>
        </w:rPr>
        <w:t>issues</w:t>
      </w:r>
      <w:r>
        <w:rPr>
          <w:rFonts w:ascii="Cambria" w:hAnsi="Cambria" w:cs="Cambria"/>
          <w:i/>
          <w:iCs/>
          <w:spacing w:val="-9"/>
          <w:w w:val="105"/>
          <w:sz w:val="19"/>
          <w:szCs w:val="19"/>
        </w:rPr>
        <w:t xml:space="preserve"> </w:t>
      </w:r>
      <w:r>
        <w:rPr>
          <w:rFonts w:ascii="Cambria" w:hAnsi="Cambria" w:cs="Cambria"/>
          <w:i/>
          <w:iCs/>
          <w:w w:val="105"/>
          <w:sz w:val="19"/>
          <w:szCs w:val="19"/>
        </w:rPr>
        <w:t>of</w:t>
      </w:r>
      <w:r>
        <w:rPr>
          <w:rFonts w:ascii="Cambria" w:hAnsi="Cambria" w:cs="Cambria"/>
          <w:i/>
          <w:iCs/>
          <w:spacing w:val="-11"/>
          <w:w w:val="105"/>
          <w:sz w:val="19"/>
          <w:szCs w:val="19"/>
        </w:rPr>
        <w:t xml:space="preserve"> </w:t>
      </w:r>
      <w:r>
        <w:rPr>
          <w:rFonts w:ascii="Cambria" w:hAnsi="Cambria" w:cs="Cambria"/>
          <w:i/>
          <w:iCs/>
          <w:w w:val="105"/>
          <w:sz w:val="19"/>
          <w:szCs w:val="19"/>
        </w:rPr>
        <w:t>the</w:t>
      </w:r>
      <w:r>
        <w:rPr>
          <w:rFonts w:ascii="Cambria" w:hAnsi="Cambria" w:cs="Cambria"/>
          <w:i/>
          <w:iCs/>
          <w:spacing w:val="-10"/>
          <w:w w:val="105"/>
          <w:sz w:val="19"/>
          <w:szCs w:val="19"/>
        </w:rPr>
        <w:t xml:space="preserve"> </w:t>
      </w:r>
      <w:r>
        <w:rPr>
          <w:rFonts w:ascii="Cambria" w:hAnsi="Cambria" w:cs="Cambria"/>
          <w:i/>
          <w:iCs/>
          <w:w w:val="105"/>
          <w:sz w:val="19"/>
          <w:szCs w:val="19"/>
        </w:rPr>
        <w:t>day</w:t>
      </w:r>
      <w:r>
        <w:rPr>
          <w:rFonts w:ascii="Cambria" w:hAnsi="Cambria" w:cs="Cambria"/>
          <w:i/>
          <w:iCs/>
          <w:spacing w:val="-10"/>
          <w:w w:val="105"/>
          <w:sz w:val="19"/>
          <w:szCs w:val="19"/>
        </w:rPr>
        <w:t xml:space="preserve"> </w:t>
      </w:r>
      <w:r>
        <w:rPr>
          <w:rFonts w:ascii="Cambria" w:hAnsi="Cambria" w:cs="Cambria"/>
          <w:i/>
          <w:iCs/>
          <w:w w:val="105"/>
          <w:sz w:val="19"/>
          <w:szCs w:val="19"/>
        </w:rPr>
        <w:t>to</w:t>
      </w:r>
      <w:r>
        <w:rPr>
          <w:rFonts w:ascii="Cambria" w:hAnsi="Cambria" w:cs="Cambria"/>
          <w:i/>
          <w:iCs/>
          <w:spacing w:val="-10"/>
          <w:w w:val="105"/>
          <w:sz w:val="19"/>
          <w:szCs w:val="19"/>
        </w:rPr>
        <w:t xml:space="preserve"> </w:t>
      </w:r>
      <w:r>
        <w:rPr>
          <w:rFonts w:ascii="Cambria" w:hAnsi="Cambria" w:cs="Cambria"/>
          <w:i/>
          <w:iCs/>
          <w:w w:val="105"/>
          <w:sz w:val="19"/>
          <w:szCs w:val="19"/>
        </w:rPr>
        <w:t>improve</w:t>
      </w:r>
      <w:r>
        <w:rPr>
          <w:rFonts w:ascii="Cambria" w:hAnsi="Cambria" w:cs="Cambria"/>
          <w:i/>
          <w:iCs/>
          <w:spacing w:val="-10"/>
          <w:w w:val="105"/>
          <w:sz w:val="19"/>
          <w:szCs w:val="19"/>
        </w:rPr>
        <w:t xml:space="preserve"> </w:t>
      </w:r>
      <w:r>
        <w:rPr>
          <w:rFonts w:ascii="Cambria" w:hAnsi="Cambria" w:cs="Cambria"/>
          <w:i/>
          <w:iCs/>
          <w:w w:val="105"/>
          <w:sz w:val="19"/>
          <w:szCs w:val="19"/>
        </w:rPr>
        <w:t>the</w:t>
      </w:r>
      <w:r>
        <w:rPr>
          <w:rFonts w:ascii="Cambria" w:hAnsi="Cambria" w:cs="Cambria"/>
          <w:i/>
          <w:iCs/>
          <w:spacing w:val="-10"/>
          <w:w w:val="105"/>
          <w:sz w:val="19"/>
          <w:szCs w:val="19"/>
        </w:rPr>
        <w:t xml:space="preserve"> </w:t>
      </w:r>
      <w:r>
        <w:rPr>
          <w:rFonts w:ascii="Cambria" w:hAnsi="Cambria" w:cs="Cambria"/>
          <w:i/>
          <w:iCs/>
          <w:w w:val="105"/>
          <w:sz w:val="19"/>
          <w:szCs w:val="19"/>
        </w:rPr>
        <w:t>health</w:t>
      </w:r>
      <w:r>
        <w:rPr>
          <w:rFonts w:ascii="Cambria" w:hAnsi="Cambria" w:cs="Cambria"/>
          <w:i/>
          <w:iCs/>
          <w:spacing w:val="-10"/>
          <w:w w:val="105"/>
          <w:sz w:val="19"/>
          <w:szCs w:val="19"/>
        </w:rPr>
        <w:t xml:space="preserve"> </w:t>
      </w:r>
      <w:r>
        <w:rPr>
          <w:rFonts w:ascii="Cambria" w:hAnsi="Cambria" w:cs="Cambria"/>
          <w:i/>
          <w:iCs/>
          <w:w w:val="105"/>
          <w:sz w:val="19"/>
          <w:szCs w:val="19"/>
        </w:rPr>
        <w:t>of</w:t>
      </w:r>
      <w:r>
        <w:rPr>
          <w:rFonts w:ascii="Cambria" w:hAnsi="Cambria" w:cs="Cambria"/>
          <w:i/>
          <w:iCs/>
          <w:spacing w:val="-11"/>
          <w:w w:val="105"/>
          <w:sz w:val="19"/>
          <w:szCs w:val="19"/>
        </w:rPr>
        <w:t xml:space="preserve"> </w:t>
      </w:r>
      <w:r>
        <w:rPr>
          <w:rFonts w:ascii="Cambria" w:hAnsi="Cambria" w:cs="Cambria"/>
          <w:i/>
          <w:iCs/>
          <w:w w:val="105"/>
          <w:sz w:val="19"/>
          <w:szCs w:val="19"/>
        </w:rPr>
        <w:t>our</w:t>
      </w:r>
      <w:r>
        <w:rPr>
          <w:rFonts w:ascii="Cambria" w:hAnsi="Cambria" w:cs="Cambria"/>
          <w:i/>
          <w:iCs/>
          <w:spacing w:val="-9"/>
          <w:w w:val="105"/>
          <w:sz w:val="19"/>
          <w:szCs w:val="19"/>
        </w:rPr>
        <w:t xml:space="preserve"> </w:t>
      </w:r>
      <w:r>
        <w:rPr>
          <w:rFonts w:ascii="Cambria" w:hAnsi="Cambria" w:cs="Cambria"/>
          <w:i/>
          <w:iCs/>
          <w:w w:val="105"/>
          <w:sz w:val="19"/>
          <w:szCs w:val="19"/>
        </w:rPr>
        <w:t>patients,</w:t>
      </w:r>
      <w:r>
        <w:rPr>
          <w:rFonts w:ascii="Cambria" w:hAnsi="Cambria" w:cs="Cambria"/>
          <w:i/>
          <w:iCs/>
          <w:spacing w:val="-12"/>
          <w:w w:val="105"/>
          <w:sz w:val="19"/>
          <w:szCs w:val="19"/>
        </w:rPr>
        <w:t xml:space="preserve"> </w:t>
      </w:r>
      <w:r>
        <w:rPr>
          <w:rFonts w:ascii="Cambria" w:hAnsi="Cambria" w:cs="Cambria"/>
          <w:i/>
          <w:iCs/>
          <w:w w:val="105"/>
          <w:sz w:val="19"/>
          <w:szCs w:val="19"/>
        </w:rPr>
        <w:t>communities,</w:t>
      </w:r>
      <w:r>
        <w:rPr>
          <w:rFonts w:ascii="Cambria" w:hAnsi="Cambria" w:cs="Cambria"/>
          <w:i/>
          <w:iCs/>
          <w:spacing w:val="-9"/>
          <w:w w:val="105"/>
          <w:sz w:val="19"/>
          <w:szCs w:val="19"/>
        </w:rPr>
        <w:t xml:space="preserve"> </w:t>
      </w:r>
      <w:r>
        <w:rPr>
          <w:rFonts w:ascii="Cambria" w:hAnsi="Cambria" w:cs="Cambria"/>
          <w:i/>
          <w:iCs/>
          <w:w w:val="105"/>
          <w:sz w:val="19"/>
          <w:szCs w:val="19"/>
        </w:rPr>
        <w:t>and</w:t>
      </w:r>
      <w:r>
        <w:rPr>
          <w:rFonts w:ascii="Cambria" w:hAnsi="Cambria" w:cs="Cambria"/>
          <w:i/>
          <w:iCs/>
          <w:spacing w:val="-11"/>
          <w:w w:val="105"/>
          <w:sz w:val="19"/>
          <w:szCs w:val="19"/>
        </w:rPr>
        <w:t xml:space="preserve"> </w:t>
      </w:r>
      <w:r>
        <w:rPr>
          <w:rFonts w:ascii="Cambria" w:hAnsi="Cambria" w:cs="Cambria"/>
          <w:i/>
          <w:iCs/>
          <w:w w:val="105"/>
          <w:sz w:val="19"/>
          <w:szCs w:val="19"/>
        </w:rPr>
        <w:t>nation..</w:t>
      </w:r>
    </w:p>
    <w:p w:rsidR="002C5025" w:rsidRDefault="002C5025">
      <w:pPr>
        <w:pStyle w:val="BodyText"/>
        <w:kinsoku w:val="0"/>
        <w:overflowPunct w:val="0"/>
        <w:spacing w:before="102" w:line="247" w:lineRule="auto"/>
        <w:ind w:left="644" w:right="773" w:hanging="348"/>
        <w:rPr>
          <w:rFonts w:ascii="Cambria" w:hAnsi="Cambria" w:cs="Cambria"/>
          <w:i/>
          <w:iCs/>
          <w:w w:val="105"/>
          <w:sz w:val="19"/>
          <w:szCs w:val="19"/>
        </w:rPr>
        <w:sectPr w:rsidR="002C5025">
          <w:pgSz w:w="12240" w:h="15840"/>
          <w:pgMar w:top="940" w:right="820" w:bottom="280" w:left="800" w:header="720" w:footer="720" w:gutter="0"/>
          <w:pgBorders w:offsetFrom="page">
            <w:top w:val="single" w:sz="24" w:space="24" w:color="213957"/>
            <w:left w:val="single" w:sz="24" w:space="24" w:color="213957"/>
            <w:bottom w:val="single" w:sz="24" w:space="24" w:color="213957"/>
            <w:right w:val="single" w:sz="24" w:space="24" w:color="213957"/>
          </w:pgBorders>
          <w:cols w:space="720" w:equalWidth="0">
            <w:col w:w="10620"/>
          </w:cols>
          <w:noEndnote/>
        </w:sectPr>
      </w:pPr>
    </w:p>
    <w:p w:rsidR="002C5025" w:rsidRDefault="002C5025">
      <w:pPr>
        <w:pStyle w:val="BodyText"/>
        <w:kinsoku w:val="0"/>
        <w:overflowPunct w:val="0"/>
        <w:spacing w:before="52" w:line="276" w:lineRule="auto"/>
        <w:ind w:left="143" w:right="239"/>
        <w:rPr>
          <w:rFonts w:ascii="Times New Roman" w:hAnsi="Times New Roman" w:cs="Times New Roman"/>
          <w:sz w:val="24"/>
          <w:szCs w:val="24"/>
        </w:rPr>
      </w:pPr>
      <w:r>
        <w:rPr>
          <w:rFonts w:ascii="Times New Roman" w:hAnsi="Times New Roman" w:cs="Times New Roman"/>
          <w:sz w:val="24"/>
          <w:szCs w:val="24"/>
        </w:rPr>
        <w:lastRenderedPageBreak/>
        <w:t>operations rely on EHRs. Especially in the case of reporting BH quality metrics at an ACO level, lack of EHR integration may be challenging. In order for BH integration to be successful, it is necessary to ensure primary care providers receive the BH information they need to support and participate in true BH integration. Many of the EHR incentives, such as “meaningful use” did not include BH providers and for EHR uptake similar incentives or support will likely be required.</w:t>
      </w:r>
    </w:p>
    <w:p w:rsidR="002C5025" w:rsidRDefault="002C5025">
      <w:pPr>
        <w:pStyle w:val="BodyText"/>
        <w:kinsoku w:val="0"/>
        <w:overflowPunct w:val="0"/>
        <w:spacing w:before="7"/>
        <w:rPr>
          <w:rFonts w:ascii="Times New Roman" w:hAnsi="Times New Roman" w:cs="Times New Roman"/>
          <w:sz w:val="27"/>
          <w:szCs w:val="27"/>
        </w:rPr>
      </w:pPr>
    </w:p>
    <w:p w:rsidR="002C5025" w:rsidRDefault="002C5025">
      <w:pPr>
        <w:pStyle w:val="BodyText"/>
        <w:kinsoku w:val="0"/>
        <w:overflowPunct w:val="0"/>
        <w:spacing w:line="271" w:lineRule="auto"/>
        <w:ind w:left="143" w:right="106"/>
        <w:rPr>
          <w:rFonts w:ascii="Times New Roman" w:hAnsi="Times New Roman" w:cs="Times New Roman"/>
          <w:sz w:val="24"/>
          <w:szCs w:val="24"/>
        </w:rPr>
      </w:pPr>
      <w:r>
        <w:rPr>
          <w:rFonts w:ascii="Times New Roman" w:hAnsi="Times New Roman" w:cs="Times New Roman"/>
          <w:sz w:val="24"/>
          <w:szCs w:val="24"/>
        </w:rPr>
        <w:t>Another area of concern for data sharing is the coordination with schools for pediatric patients. Good coordination with school is essential for whole child care. It is critical to ensure that adequate health information exchange occurs between the school, families, and providers on a child’s health care needs. However, currently, the ability to share information between schools and medical professionals can be limited by the need to respect HIPPA. For instance, sending information via non-secure fax to a school may lead to a potential violation of privacy. Current interpretation of HIPPA allows a fax to be sent from a provider to a school when “Both the disclosing and receiving entity have in place "reasonable and appropriate administrative, technical, and physical safeguards"</w:t>
      </w:r>
      <w:r>
        <w:rPr>
          <w:rFonts w:ascii="Times New Roman" w:hAnsi="Times New Roman" w:cs="Times New Roman"/>
          <w:position w:val="11"/>
          <w:sz w:val="16"/>
          <w:szCs w:val="16"/>
        </w:rPr>
        <w:t xml:space="preserve">35 </w:t>
      </w:r>
      <w:r>
        <w:rPr>
          <w:rFonts w:ascii="Times New Roman" w:hAnsi="Times New Roman" w:cs="Times New Roman"/>
          <w:sz w:val="24"/>
          <w:szCs w:val="24"/>
        </w:rPr>
        <w:t>to protect the privacy of the PHI that is disclosed.“ However, the ability to assess the existence of such safeguards may be difficult for the sending provider. Addressing these current barriers to needed care coordination for pediatric care may require partnership with the Department of Education.</w:t>
      </w:r>
    </w:p>
    <w:p w:rsidR="002C5025" w:rsidRDefault="002C5025">
      <w:pPr>
        <w:pStyle w:val="BodyText"/>
        <w:kinsoku w:val="0"/>
        <w:overflowPunct w:val="0"/>
        <w:spacing w:before="3"/>
        <w:rPr>
          <w:rFonts w:ascii="Times New Roman" w:hAnsi="Times New Roman" w:cs="Times New Roman"/>
          <w:sz w:val="28"/>
          <w:szCs w:val="28"/>
        </w:rPr>
      </w:pPr>
    </w:p>
    <w:p w:rsidR="002C5025" w:rsidRDefault="002C5025">
      <w:pPr>
        <w:pStyle w:val="BodyText"/>
        <w:kinsoku w:val="0"/>
        <w:overflowPunct w:val="0"/>
        <w:ind w:left="143" w:right="126"/>
        <w:rPr>
          <w:rFonts w:ascii="Times New Roman" w:hAnsi="Times New Roman" w:cs="Times New Roman"/>
          <w:b/>
          <w:bCs/>
          <w:sz w:val="24"/>
          <w:szCs w:val="24"/>
        </w:rPr>
      </w:pPr>
      <w:bookmarkStart w:id="138" w:name="Patient_Safety"/>
      <w:bookmarkEnd w:id="138"/>
      <w:r>
        <w:rPr>
          <w:rFonts w:ascii="Times New Roman" w:hAnsi="Times New Roman" w:cs="Times New Roman"/>
          <w:b/>
          <w:bCs/>
          <w:sz w:val="24"/>
          <w:szCs w:val="24"/>
        </w:rPr>
        <w:t>Patient Safety</w:t>
      </w:r>
    </w:p>
    <w:p w:rsidR="002C5025" w:rsidRDefault="002C5025">
      <w:pPr>
        <w:pStyle w:val="BodyText"/>
        <w:kinsoku w:val="0"/>
        <w:overflowPunct w:val="0"/>
        <w:spacing w:before="7"/>
        <w:rPr>
          <w:rFonts w:ascii="Times New Roman" w:hAnsi="Times New Roman" w:cs="Times New Roman"/>
          <w:b/>
          <w:bCs/>
          <w:sz w:val="30"/>
          <w:szCs w:val="30"/>
        </w:rPr>
      </w:pPr>
    </w:p>
    <w:p w:rsidR="002C5025" w:rsidRDefault="002C5025">
      <w:pPr>
        <w:pStyle w:val="BodyText"/>
        <w:kinsoku w:val="0"/>
        <w:overflowPunct w:val="0"/>
        <w:spacing w:before="1" w:line="259" w:lineRule="auto"/>
        <w:ind w:left="143" w:right="180"/>
        <w:rPr>
          <w:rFonts w:ascii="Times New Roman" w:hAnsi="Times New Roman" w:cs="Times New Roman"/>
          <w:sz w:val="24"/>
          <w:szCs w:val="24"/>
        </w:rPr>
      </w:pPr>
      <w:r>
        <w:rPr>
          <w:rFonts w:ascii="Times New Roman" w:hAnsi="Times New Roman" w:cs="Times New Roman"/>
          <w:sz w:val="24"/>
          <w:szCs w:val="24"/>
        </w:rPr>
        <w:t>As we move forward to much needed reform for better integration and care coordination, it is essential that initiatives that currently support patient safety do not get abandoned or sidelined. A recent study from Johns Hopkins published in the British Medical Journal that hospital errors count as a 3</w:t>
      </w:r>
      <w:proofErr w:type="spellStart"/>
      <w:r>
        <w:rPr>
          <w:rFonts w:ascii="Times New Roman" w:hAnsi="Times New Roman" w:cs="Times New Roman"/>
          <w:position w:val="11"/>
          <w:sz w:val="16"/>
          <w:szCs w:val="16"/>
        </w:rPr>
        <w:t>rd</w:t>
      </w:r>
      <w:proofErr w:type="spellEnd"/>
      <w:r>
        <w:rPr>
          <w:rFonts w:ascii="Times New Roman" w:hAnsi="Times New Roman" w:cs="Times New Roman"/>
          <w:position w:val="11"/>
          <w:sz w:val="16"/>
          <w:szCs w:val="16"/>
        </w:rPr>
        <w:t xml:space="preserve"> </w:t>
      </w:r>
      <w:r>
        <w:rPr>
          <w:rFonts w:ascii="Times New Roman" w:hAnsi="Times New Roman" w:cs="Times New Roman"/>
          <w:sz w:val="24"/>
          <w:szCs w:val="24"/>
        </w:rPr>
        <w:t>leading cause of death in the U.S.</w:t>
      </w:r>
      <w:r>
        <w:rPr>
          <w:rFonts w:ascii="Times New Roman" w:hAnsi="Times New Roman" w:cs="Times New Roman"/>
          <w:position w:val="11"/>
          <w:sz w:val="16"/>
          <w:szCs w:val="16"/>
        </w:rPr>
        <w:t xml:space="preserve">36 </w:t>
      </w:r>
      <w:r>
        <w:rPr>
          <w:rFonts w:ascii="Times New Roman" w:hAnsi="Times New Roman" w:cs="Times New Roman"/>
          <w:sz w:val="24"/>
          <w:szCs w:val="24"/>
        </w:rPr>
        <w:t>Continued emphasis on preventable harm is essential to ensuring a safe, high quality system that promotes good outcomes.</w:t>
      </w:r>
    </w:p>
    <w:p w:rsidR="002C5025" w:rsidRDefault="002C5025">
      <w:pPr>
        <w:pStyle w:val="BodyText"/>
        <w:kinsoku w:val="0"/>
        <w:overflowPunct w:val="0"/>
        <w:spacing w:before="5"/>
        <w:rPr>
          <w:rFonts w:ascii="Times New Roman" w:hAnsi="Times New Roman" w:cs="Times New Roman"/>
          <w:sz w:val="29"/>
          <w:szCs w:val="29"/>
        </w:rPr>
      </w:pPr>
    </w:p>
    <w:p w:rsidR="002C5025" w:rsidRDefault="002C5025">
      <w:pPr>
        <w:pStyle w:val="BodyText"/>
        <w:kinsoku w:val="0"/>
        <w:overflowPunct w:val="0"/>
        <w:spacing w:line="264" w:lineRule="auto"/>
        <w:ind w:left="143" w:right="225"/>
        <w:rPr>
          <w:rFonts w:ascii="Times New Roman" w:hAnsi="Times New Roman" w:cs="Times New Roman"/>
          <w:sz w:val="24"/>
          <w:szCs w:val="24"/>
        </w:rPr>
      </w:pPr>
      <w:r>
        <w:rPr>
          <w:rFonts w:ascii="Times New Roman" w:hAnsi="Times New Roman" w:cs="Times New Roman"/>
          <w:sz w:val="24"/>
          <w:szCs w:val="24"/>
        </w:rPr>
        <w:t>Any innovation introduces new risks. One illustrative example is that of Health Information Technology (HIT). This innovation that address certain safety issues has been shown to create new patient safety concerns and patient harm.</w:t>
      </w:r>
      <w:r>
        <w:rPr>
          <w:rFonts w:ascii="Times New Roman" w:hAnsi="Times New Roman" w:cs="Times New Roman"/>
          <w:position w:val="11"/>
          <w:sz w:val="16"/>
          <w:szCs w:val="16"/>
        </w:rPr>
        <w:t xml:space="preserve">37 </w:t>
      </w:r>
      <w:r>
        <w:rPr>
          <w:rFonts w:ascii="Times New Roman" w:hAnsi="Times New Roman" w:cs="Times New Roman"/>
          <w:sz w:val="24"/>
          <w:szCs w:val="24"/>
        </w:rPr>
        <w:t>For that reason, the National Quality Forum (NQF) launched an initiative to measure and address HIT safety</w:t>
      </w:r>
      <w:r>
        <w:rPr>
          <w:rFonts w:ascii="Times New Roman" w:hAnsi="Times New Roman" w:cs="Times New Roman"/>
          <w:position w:val="11"/>
          <w:sz w:val="16"/>
          <w:szCs w:val="16"/>
        </w:rPr>
        <w:t xml:space="preserve">38 </w:t>
      </w:r>
      <w:r>
        <w:rPr>
          <w:rFonts w:ascii="Times New Roman" w:hAnsi="Times New Roman" w:cs="Times New Roman"/>
          <w:sz w:val="24"/>
          <w:szCs w:val="24"/>
        </w:rPr>
        <w:t>and HHS published the Health Information Technology Patient Safety and Surveillance Plan.</w:t>
      </w:r>
      <w:r>
        <w:rPr>
          <w:rFonts w:ascii="Times New Roman" w:hAnsi="Times New Roman" w:cs="Times New Roman"/>
          <w:position w:val="11"/>
          <w:sz w:val="16"/>
          <w:szCs w:val="16"/>
        </w:rPr>
        <w:t xml:space="preserve">39 </w:t>
      </w:r>
      <w:r>
        <w:rPr>
          <w:rFonts w:ascii="Times New Roman" w:hAnsi="Times New Roman" w:cs="Times New Roman"/>
          <w:sz w:val="24"/>
          <w:szCs w:val="24"/>
        </w:rPr>
        <w:t>Any infrastructure supports or incentives for EHRs should utilize the most current guidance and best practices from HIT patient safety experts and federal agencies. HIT vendors should also be required to ensure their products meet such safety standards. All stakeholders who are reimbursed for services and products in healthcare delivery should be held accountable for quality and safety according to evidence-based standards.</w:t>
      </w:r>
    </w:p>
    <w:p w:rsidR="002C5025" w:rsidRDefault="002C5025">
      <w:pPr>
        <w:pStyle w:val="BodyText"/>
        <w:kinsoku w:val="0"/>
        <w:overflowPunct w:val="0"/>
        <w:rPr>
          <w:rFonts w:ascii="Times New Roman" w:hAnsi="Times New Roman" w:cs="Times New Roman"/>
          <w:sz w:val="20"/>
          <w:szCs w:val="20"/>
        </w:rPr>
      </w:pPr>
    </w:p>
    <w:p w:rsidR="002C5025" w:rsidRDefault="00FB027C">
      <w:pPr>
        <w:pStyle w:val="BodyText"/>
        <w:kinsoku w:val="0"/>
        <w:overflowPunct w:val="0"/>
        <w:spacing w:before="2"/>
        <w:rPr>
          <w:rFonts w:ascii="Times New Roman" w:hAnsi="Times New Roman" w:cs="Times New Roman"/>
          <w:sz w:val="13"/>
          <w:szCs w:val="13"/>
        </w:rPr>
      </w:pPr>
      <w:r>
        <w:rPr>
          <w:noProof/>
        </w:rPr>
        <mc:AlternateContent>
          <mc:Choice Requires="wps">
            <w:drawing>
              <wp:anchor distT="0" distB="0" distL="0" distR="0" simplePos="0" relativeHeight="251634176" behindDoc="0" locked="0" layoutInCell="0" allowOverlap="1">
                <wp:simplePos x="0" y="0"/>
                <wp:positionH relativeFrom="page">
                  <wp:posOffset>609600</wp:posOffset>
                </wp:positionH>
                <wp:positionV relativeFrom="paragraph">
                  <wp:posOffset>125095</wp:posOffset>
                </wp:positionV>
                <wp:extent cx="1828800" cy="12700"/>
                <wp:effectExtent l="0" t="0" r="0" b="0"/>
                <wp:wrapTopAndBottom/>
                <wp:docPr id="597" name="Freeform 4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w 2880"/>
                            <a:gd name="T1" fmla="*/ 0 h 20"/>
                            <a:gd name="T2" fmla="*/ 2880 w 2880"/>
                            <a:gd name="T3" fmla="*/ 0 h 20"/>
                          </a:gdLst>
                          <a:ahLst/>
                          <a:cxnLst>
                            <a:cxn ang="0">
                              <a:pos x="T0" y="T1"/>
                            </a:cxn>
                            <a:cxn ang="0">
                              <a:pos x="T2" y="T3"/>
                            </a:cxn>
                          </a:cxnLst>
                          <a:rect l="0" t="0" r="r" b="b"/>
                          <a:pathLst>
                            <a:path w="2880" h="20">
                              <a:moveTo>
                                <a:pt x="0" y="0"/>
                              </a:moveTo>
                              <a:lnTo>
                                <a:pt x="2880"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28" o:spid="_x0000_s1026" style="position:absolute;z-index:251634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48pt,9.85pt,192pt,9.85pt" coordsize="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" o:allowincell="f" filled="f" strokeweight=".20458mm">
                <v:path arrowok="t" o:connecttype="custom" o:connectlocs="0,0;1828800,0" o:connectangles="0,0"/>
                <w10:wrap type="topAndBottom" anchorx="page"/>
              </v:polyline>
            </w:pict>
          </mc:Fallback>
        </mc:AlternateContent>
      </w:r>
    </w:p>
    <w:p w:rsidR="002C5025" w:rsidRDefault="002C5025">
      <w:pPr>
        <w:pStyle w:val="BodyText"/>
        <w:kinsoku w:val="0"/>
        <w:overflowPunct w:val="0"/>
        <w:spacing w:before="11" w:after="19"/>
        <w:ind w:left="143" w:right="126"/>
        <w:rPr>
          <w:rFonts w:ascii="Times New Roman" w:hAnsi="Times New Roman" w:cs="Times New Roman"/>
          <w:w w:val="105"/>
          <w:sz w:val="19"/>
          <w:szCs w:val="19"/>
        </w:rPr>
      </w:pPr>
      <w:r>
        <w:rPr>
          <w:rFonts w:ascii="Times New Roman" w:hAnsi="Times New Roman" w:cs="Times New Roman"/>
          <w:w w:val="105"/>
          <w:position w:val="9"/>
          <w:sz w:val="13"/>
          <w:szCs w:val="13"/>
        </w:rPr>
        <w:t>35</w:t>
      </w:r>
      <w:hyperlink r:id="rId286" w:history="1">
        <w:r>
          <w:rPr>
            <w:rFonts w:ascii="Times New Roman" w:hAnsi="Times New Roman" w:cs="Times New Roman"/>
            <w:w w:val="105"/>
            <w:sz w:val="19"/>
            <w:szCs w:val="19"/>
          </w:rPr>
          <w:t>http://www.mass.gov/eohhs/gov/laws-regs/privacy-security/school-health/hipaa-and-school-health-frequently-asked-</w:t>
        </w:r>
      </w:hyperlink>
    </w:p>
    <w:p w:rsidR="002C5025" w:rsidRDefault="00FB027C">
      <w:pPr>
        <w:pStyle w:val="BodyText"/>
        <w:kinsoku w:val="0"/>
        <w:overflowPunct w:val="0"/>
        <w:spacing w:line="20" w:lineRule="exact"/>
        <w:ind w:left="285"/>
        <w:rPr>
          <w:rFonts w:ascii="Times New Roman" w:hAnsi="Times New Roman" w:cs="Times New Roman"/>
          <w:sz w:val="2"/>
          <w:szCs w:val="2"/>
        </w:rPr>
      </w:pPr>
      <w:r>
        <w:rPr>
          <w:rFonts w:ascii="Times New Roman" w:hAnsi="Times New Roman" w:cs="Times New Roman"/>
          <w:noProof/>
          <w:sz w:val="2"/>
          <w:szCs w:val="2"/>
        </w:rPr>
        <mc:AlternateContent>
          <mc:Choice Requires="wpg">
            <w:drawing>
              <wp:inline distT="0" distB="0" distL="0" distR="0">
                <wp:extent cx="5951220" cy="12700"/>
                <wp:effectExtent l="9525" t="9525" r="11430" b="0"/>
                <wp:docPr id="595" name="Group 4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12700"/>
                          <a:chOff x="0" y="0"/>
                          <a:chExt cx="9372" cy="20"/>
                        </a:xfrm>
                      </wpg:grpSpPr>
                      <wps:wsp>
                        <wps:cNvPr id="596" name="Freeform 430"/>
                        <wps:cNvSpPr>
                          <a:spLocks/>
                        </wps:cNvSpPr>
                        <wps:spPr bwMode="auto">
                          <a:xfrm>
                            <a:off x="3" y="3"/>
                            <a:ext cx="9365" cy="20"/>
                          </a:xfrm>
                          <a:custGeom>
                            <a:avLst/>
                            <a:gdLst>
                              <a:gd name="T0" fmla="*/ 0 w 9365"/>
                              <a:gd name="T1" fmla="*/ 0 h 20"/>
                              <a:gd name="T2" fmla="*/ 9365 w 9365"/>
                              <a:gd name="T3" fmla="*/ 0 h 20"/>
                            </a:gdLst>
                            <a:ahLst/>
                            <a:cxnLst>
                              <a:cxn ang="0">
                                <a:pos x="T0" y="T1"/>
                              </a:cxn>
                              <a:cxn ang="0">
                                <a:pos x="T2" y="T3"/>
                              </a:cxn>
                            </a:cxnLst>
                            <a:rect l="0" t="0" r="r" b="b"/>
                            <a:pathLst>
                              <a:path w="9365" h="20">
                                <a:moveTo>
                                  <a:pt x="0" y="0"/>
                                </a:moveTo>
                                <a:lnTo>
                                  <a:pt x="9365" y="0"/>
                                </a:lnTo>
                              </a:path>
                            </a:pathLst>
                          </a:custGeom>
                          <a:noFill/>
                          <a:ln w="43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429" o:spid="_x0000_s1026" style="width:468.6pt;height:1pt;mso-position-horizontal-relative:char;mso-position-vertical-relative:line" coordsize="93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">
                <v:shape id="Freeform 430" o:spid="_x0000_s1027" style="position:absolute;left:3;top:3;width:9365;height:20;visibility:visible;mso-wrap-style:square;v-text-anchor:top" coordsize="93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bwq8MA&#10;AADcAAAADwAAAGRycy9kb3ducmV2LnhtbESPS2vCQBSF9wX/w3CF7upEQdHUUcQHdVfUYLeXzG0m&#10;NHMnZMYY/fUdQXB5OI+PM192thItNb50rGA4SEAQ506XXCjITruPKQgfkDVWjknBjTwsF723Oaba&#10;XflA7TEUIo6wT1GBCaFOpfS5IYt+4Gri6P26xmKIsimkbvAax20lR0kykRZLjgSDNa0N5X/Hi42Q&#10;Ylb79v79szbZtvra37Pb5pwp9d7vVp8gAnXhFX6291rBeDaBx5l4BO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zbwq8MAAADcAAAADwAAAAAAAAAAAAAAAACYAgAAZHJzL2Rv&#10;d25yZXYueG1sUEsFBgAAAAAEAAQA9QAAAIgDAAAAAA==&#10;" path="m,l9365,e" filled="f" strokeweight=".34pt">
                  <v:path arrowok="t" o:connecttype="custom" o:connectlocs="0,0;9365,0" o:connectangles="0,0"/>
                </v:shape>
                <w10:anchorlock/>
              </v:group>
            </w:pict>
          </mc:Fallback>
        </mc:AlternateContent>
      </w:r>
    </w:p>
    <w:p w:rsidR="002C5025" w:rsidRDefault="002C5025">
      <w:pPr>
        <w:pStyle w:val="BodyText"/>
        <w:kinsoku w:val="0"/>
        <w:overflowPunct w:val="0"/>
        <w:spacing w:line="179" w:lineRule="exact"/>
        <w:ind w:left="143" w:right="126"/>
        <w:rPr>
          <w:rFonts w:ascii="Times New Roman" w:hAnsi="Times New Roman" w:cs="Times New Roman"/>
          <w:w w:val="105"/>
          <w:sz w:val="19"/>
          <w:szCs w:val="19"/>
        </w:rPr>
      </w:pPr>
      <w:proofErr w:type="spellStart"/>
      <w:r>
        <w:rPr>
          <w:rFonts w:ascii="Times New Roman" w:hAnsi="Times New Roman" w:cs="Times New Roman"/>
          <w:w w:val="105"/>
          <w:sz w:val="19"/>
          <w:szCs w:val="19"/>
          <w:u w:val="single" w:color="000000"/>
        </w:rPr>
        <w:t>questions.html#coveredEntity</w:t>
      </w:r>
      <w:proofErr w:type="spellEnd"/>
    </w:p>
    <w:p w:rsidR="002C5025" w:rsidRDefault="002C5025">
      <w:pPr>
        <w:pStyle w:val="BodyText"/>
        <w:tabs>
          <w:tab w:val="left" w:pos="493"/>
        </w:tabs>
        <w:kinsoku w:val="0"/>
        <w:overflowPunct w:val="0"/>
        <w:spacing w:line="220" w:lineRule="exact"/>
        <w:ind w:left="143" w:right="126"/>
        <w:rPr>
          <w:rFonts w:ascii="Times New Roman" w:hAnsi="Times New Roman" w:cs="Times New Roman"/>
          <w:sz w:val="19"/>
          <w:szCs w:val="19"/>
        </w:rPr>
      </w:pPr>
      <w:r>
        <w:rPr>
          <w:rFonts w:ascii="Times New Roman" w:hAnsi="Times New Roman" w:cs="Times New Roman"/>
          <w:position w:val="9"/>
          <w:sz w:val="13"/>
          <w:szCs w:val="13"/>
        </w:rPr>
        <w:t>36</w:t>
      </w:r>
      <w:r>
        <w:rPr>
          <w:rFonts w:ascii="Times New Roman" w:hAnsi="Times New Roman" w:cs="Times New Roman"/>
          <w:position w:val="9"/>
          <w:sz w:val="13"/>
          <w:szCs w:val="13"/>
        </w:rPr>
        <w:tab/>
      </w:r>
      <w:hyperlink r:id="rId287" w:history="1">
        <w:r>
          <w:rPr>
            <w:rFonts w:ascii="Times New Roman" w:hAnsi="Times New Roman" w:cs="Times New Roman"/>
            <w:sz w:val="19"/>
            <w:szCs w:val="19"/>
          </w:rPr>
          <w:t>http://hub.jhu.edu/2016/05/03/medical-errors-third-leading-cause-of-death/</w:t>
        </w:r>
      </w:hyperlink>
    </w:p>
    <w:p w:rsidR="002C5025" w:rsidRDefault="00FD19EE">
      <w:pPr>
        <w:pStyle w:val="ListParagraph"/>
        <w:numPr>
          <w:ilvl w:val="0"/>
          <w:numId w:val="52"/>
        </w:numPr>
        <w:tabs>
          <w:tab w:val="left" w:pos="364"/>
        </w:tabs>
        <w:kinsoku w:val="0"/>
        <w:overflowPunct w:val="0"/>
        <w:spacing w:line="269" w:lineRule="exact"/>
        <w:rPr>
          <w:w w:val="105"/>
          <w:sz w:val="19"/>
          <w:szCs w:val="19"/>
        </w:rPr>
      </w:pPr>
      <w:hyperlink r:id="rId288" w:history="1">
        <w:r w:rsidR="002C5025">
          <w:rPr>
            <w:w w:val="105"/>
            <w:sz w:val="19"/>
            <w:szCs w:val="19"/>
          </w:rPr>
          <w:t>http://www.jointcommission.org/assets/1/18/SEA_54.pdf</w:t>
        </w:r>
      </w:hyperlink>
    </w:p>
    <w:p w:rsidR="002C5025" w:rsidRDefault="00FD19EE">
      <w:pPr>
        <w:pStyle w:val="ListParagraph"/>
        <w:numPr>
          <w:ilvl w:val="0"/>
          <w:numId w:val="52"/>
        </w:numPr>
        <w:tabs>
          <w:tab w:val="left" w:pos="364"/>
        </w:tabs>
        <w:kinsoku w:val="0"/>
        <w:overflowPunct w:val="0"/>
        <w:spacing w:line="278" w:lineRule="exact"/>
        <w:rPr>
          <w:w w:val="105"/>
          <w:sz w:val="19"/>
          <w:szCs w:val="19"/>
        </w:rPr>
      </w:pPr>
      <w:hyperlink r:id="rId289" w:history="1">
        <w:r w:rsidR="002C5025">
          <w:rPr>
            <w:w w:val="105"/>
            <w:sz w:val="19"/>
            <w:szCs w:val="19"/>
          </w:rPr>
          <w:t>http://www.qualityforum.org/ProjectDescription.aspx?projectID=77689</w:t>
        </w:r>
      </w:hyperlink>
    </w:p>
    <w:p w:rsidR="002C5025" w:rsidRDefault="002C5025">
      <w:pPr>
        <w:pStyle w:val="ListParagraph"/>
        <w:numPr>
          <w:ilvl w:val="0"/>
          <w:numId w:val="52"/>
        </w:numPr>
        <w:tabs>
          <w:tab w:val="left" w:pos="364"/>
        </w:tabs>
        <w:kinsoku w:val="0"/>
        <w:overflowPunct w:val="0"/>
        <w:spacing w:line="292" w:lineRule="exact"/>
        <w:rPr>
          <w:w w:val="105"/>
          <w:sz w:val="19"/>
          <w:szCs w:val="19"/>
        </w:rPr>
      </w:pPr>
      <w:r>
        <w:rPr>
          <w:w w:val="105"/>
          <w:sz w:val="19"/>
          <w:szCs w:val="19"/>
        </w:rPr>
        <w:t>https</w:t>
      </w:r>
      <w:hyperlink r:id="rId290" w:history="1">
        <w:r>
          <w:rPr>
            <w:w w:val="105"/>
            <w:sz w:val="19"/>
            <w:szCs w:val="19"/>
          </w:rPr>
          <w:t>://www.healthit.gov/sites/default/files/safety_plan_master.pdf</w:t>
        </w:r>
      </w:hyperlink>
    </w:p>
    <w:p w:rsidR="002C5025" w:rsidRDefault="002C5025">
      <w:pPr>
        <w:pStyle w:val="BodyText"/>
        <w:kinsoku w:val="0"/>
        <w:overflowPunct w:val="0"/>
        <w:spacing w:before="4"/>
        <w:rPr>
          <w:rFonts w:ascii="Times New Roman" w:hAnsi="Times New Roman" w:cs="Times New Roman"/>
          <w:sz w:val="16"/>
          <w:szCs w:val="16"/>
        </w:rPr>
      </w:pPr>
    </w:p>
    <w:p w:rsidR="002C5025" w:rsidRDefault="00FB027C">
      <w:pPr>
        <w:pStyle w:val="BodyText"/>
        <w:kinsoku w:val="0"/>
        <w:overflowPunct w:val="0"/>
        <w:spacing w:before="76"/>
        <w:ind w:right="102"/>
        <w:jc w:val="right"/>
        <w:rPr>
          <w:rFonts w:ascii="Times New Roman" w:hAnsi="Times New Roman" w:cs="Times New Roman"/>
          <w:sz w:val="19"/>
          <w:szCs w:val="19"/>
        </w:rPr>
      </w:pPr>
      <w:r>
        <w:rPr>
          <w:noProof/>
        </w:rPr>
        <mc:AlternateContent>
          <mc:Choice Requires="wpg">
            <w:drawing>
              <wp:anchor distT="0" distB="0" distL="114300" distR="114300" simplePos="0" relativeHeight="251635200" behindDoc="0" locked="0" layoutInCell="0" allowOverlap="1">
                <wp:simplePos x="0" y="0"/>
                <wp:positionH relativeFrom="page">
                  <wp:posOffset>572135</wp:posOffset>
                </wp:positionH>
                <wp:positionV relativeFrom="paragraph">
                  <wp:posOffset>47625</wp:posOffset>
                </wp:positionV>
                <wp:extent cx="6410960" cy="38100"/>
                <wp:effectExtent l="0" t="0" r="0" b="0"/>
                <wp:wrapNone/>
                <wp:docPr id="591" name="Group 4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0960" cy="38100"/>
                          <a:chOff x="901" y="75"/>
                          <a:chExt cx="10096" cy="60"/>
                        </a:xfrm>
                      </wpg:grpSpPr>
                      <wps:wsp>
                        <wps:cNvPr id="592" name="Freeform 432"/>
                        <wps:cNvSpPr>
                          <a:spLocks/>
                        </wps:cNvSpPr>
                        <wps:spPr bwMode="auto">
                          <a:xfrm>
                            <a:off x="917" y="84"/>
                            <a:ext cx="10065" cy="20"/>
                          </a:xfrm>
                          <a:custGeom>
                            <a:avLst/>
                            <a:gdLst>
                              <a:gd name="T0" fmla="*/ 0 w 10065"/>
                              <a:gd name="T1" fmla="*/ 0 h 20"/>
                              <a:gd name="T2" fmla="*/ 10065 w 10065"/>
                              <a:gd name="T3" fmla="*/ 0 h 20"/>
                            </a:gdLst>
                            <a:ahLst/>
                            <a:cxnLst>
                              <a:cxn ang="0">
                                <a:pos x="T0" y="T1"/>
                              </a:cxn>
                              <a:cxn ang="0">
                                <a:pos x="T2" y="T3"/>
                              </a:cxn>
                            </a:cxnLst>
                            <a:rect l="0" t="0" r="r" b="b"/>
                            <a:pathLst>
                              <a:path w="10065" h="20">
                                <a:moveTo>
                                  <a:pt x="0" y="0"/>
                                </a:moveTo>
                                <a:lnTo>
                                  <a:pt x="10065"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3" name="Freeform 433"/>
                        <wps:cNvSpPr>
                          <a:spLocks/>
                        </wps:cNvSpPr>
                        <wps:spPr bwMode="auto">
                          <a:xfrm>
                            <a:off x="917" y="106"/>
                            <a:ext cx="10065" cy="20"/>
                          </a:xfrm>
                          <a:custGeom>
                            <a:avLst/>
                            <a:gdLst>
                              <a:gd name="T0" fmla="*/ 0 w 10065"/>
                              <a:gd name="T1" fmla="*/ 0 h 20"/>
                              <a:gd name="T2" fmla="*/ 10065 w 10065"/>
                              <a:gd name="T3" fmla="*/ 0 h 20"/>
                            </a:gdLst>
                            <a:ahLst/>
                            <a:cxnLst>
                              <a:cxn ang="0">
                                <a:pos x="T0" y="T1"/>
                              </a:cxn>
                              <a:cxn ang="0">
                                <a:pos x="T2" y="T3"/>
                              </a:cxn>
                            </a:cxnLst>
                            <a:rect l="0" t="0" r="r" b="b"/>
                            <a:pathLst>
                              <a:path w="10065" h="20">
                                <a:moveTo>
                                  <a:pt x="0" y="0"/>
                                </a:moveTo>
                                <a:lnTo>
                                  <a:pt x="10065" y="0"/>
                                </a:lnTo>
                              </a:path>
                            </a:pathLst>
                          </a:custGeom>
                          <a:noFill/>
                          <a:ln w="19558">
                            <a:solidFill>
                              <a:srgbClr val="6060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4" name="Freeform 434"/>
                        <wps:cNvSpPr>
                          <a:spLocks/>
                        </wps:cNvSpPr>
                        <wps:spPr bwMode="auto">
                          <a:xfrm>
                            <a:off x="917" y="127"/>
                            <a:ext cx="10065" cy="20"/>
                          </a:xfrm>
                          <a:custGeom>
                            <a:avLst/>
                            <a:gdLst>
                              <a:gd name="T0" fmla="*/ 0 w 10065"/>
                              <a:gd name="T1" fmla="*/ 0 h 20"/>
                              <a:gd name="T2" fmla="*/ 10065 w 10065"/>
                              <a:gd name="T3" fmla="*/ 0 h 20"/>
                            </a:gdLst>
                            <a:ahLst/>
                            <a:cxnLst>
                              <a:cxn ang="0">
                                <a:pos x="T0" y="T1"/>
                              </a:cxn>
                              <a:cxn ang="0">
                                <a:pos x="T2" y="T3"/>
                              </a:cxn>
                            </a:cxnLst>
                            <a:rect l="0" t="0" r="r" b="b"/>
                            <a:pathLst>
                              <a:path w="10065" h="20">
                                <a:moveTo>
                                  <a:pt x="0" y="0"/>
                                </a:moveTo>
                                <a:lnTo>
                                  <a:pt x="10065" y="0"/>
                                </a:lnTo>
                              </a:path>
                            </a:pathLst>
                          </a:custGeom>
                          <a:noFill/>
                          <a:ln w="10414">
                            <a:solidFill>
                              <a:srgbClr val="C1C1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31" o:spid="_x0000_s1026" style="position:absolute;margin-left:45.05pt;margin-top:3.75pt;width:504.8pt;height:3pt;z-index:251635200;mso-position-horizontal-relative:page" coordorigin="901,75" coordsize="1009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" o:allowincell="f">
                <v:shape id="Freeform 432" o:spid="_x0000_s1027" style="position:absolute;left:917;top:84;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Pb8YA&#10;AADcAAAADwAAAGRycy9kb3ducmV2LnhtbESPQWvCQBSE7wX/w/KEXkrdVFDa1FWK0iI5CEkDvT6y&#10;zyRt9u2SXTX117uC4HGYmW+YxWownThS71vLCl4mCQjiyuqWawXl9+fzKwgfkDV2lknBP3lYLUcP&#10;C0y1PXFOxyLUIkLYp6igCcGlUvqqIYN+Yh1x9Pa2Nxii7GupezxFuOnkNEnm0mDLcaFBR+uGqr/i&#10;YBRsd7/55secS3fW633pnrLsK8+UehwPH+8gAg3hHr61t1rB7G0K1zPxCMjl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TPb8YAAADcAAAADwAAAAAAAAAAAAAAAACYAgAAZHJz&#10;L2Rvd25yZXYueG1sUEsFBgAAAAAEAAQA9QAAAIsDAAAAAA==&#10;" path="m,l10065,e" filled="f" strokeweight=".82pt">
                  <v:path arrowok="t" o:connecttype="custom" o:connectlocs="0,0;10065,0" o:connectangles="0,0"/>
                </v:shape>
                <v:shape id="Freeform 433" o:spid="_x0000_s1028" style="position:absolute;left:917;top:106;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f6ycUA&#10;AADcAAAADwAAAGRycy9kb3ducmV2LnhtbESPzUoDQRCE74G8w9CB3JLZGA26ZhI0EBEvIauIx2an&#10;90d3epaZNlnf3hGEHIuq+opabwfXqROF2Ho2sJhnoIhLb1uuDby97me3oKIgW+w8k4EfirDdjEdr&#10;zK0/85FOhdQqQTjmaKAR6XOtY9mQwzj3PXHyKh8cSpKh1jbgOcFdp6+ybKUdtpwWGuxp11D5VXw7&#10;Ax+4t8XqutoNn0EWh8fqXZ5enDHTyfBwD0pokEv4v/1sDdzcLeHvTDoCe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1/rJxQAAANwAAAAPAAAAAAAAAAAAAAAAAJgCAABkcnMv&#10;ZG93bnJldi54bWxQSwUGAAAAAAQABAD1AAAAigMAAAAA&#10;" path="m,l10065,e" filled="f" strokecolor="#606060" strokeweight="1.54pt">
                  <v:path arrowok="t" o:connecttype="custom" o:connectlocs="0,0;10065,0" o:connectangles="0,0"/>
                </v:shape>
                <v:shape id="Freeform 434" o:spid="_x0000_s1029" style="position:absolute;left:917;top:127;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KBHsMA&#10;AADcAAAADwAAAGRycy9kb3ducmV2LnhtbESPT4vCMBTE7wt+h/AEb2vqny1ajSIF0WtVkN4ezbMt&#10;Ni+liVr3028WFvY4zMxvmPW2N414Uudqywom4wgEcWF1zaWCy3n/uQDhPLLGxjIpeJOD7WbwscZE&#10;2xdn9Dz5UgQIuwQVVN63iZSuqMigG9uWOHg32xn0QXal1B2+Atw0chpFsTRYc1iosKW0ouJ+ehgF&#10;eRZfl4f2m2ez1Gd5nJoyz6ZKjYb9bgXCU+//w3/to1bwtZzD75lwBO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kKBHsMAAADcAAAADwAAAAAAAAAAAAAAAACYAgAAZHJzL2Rv&#10;d25yZXYueG1sUEsFBgAAAAAEAAQA9QAAAIgDAAAAAA==&#10;" path="m,l10065,e" filled="f" strokecolor="#c1c1c1" strokeweight=".82pt">
                  <v:path arrowok="t" o:connecttype="custom" o:connectlocs="0,0;10065,0" o:connectangles="0,0"/>
                </v:shape>
                <w10:wrap anchorx="page"/>
              </v:group>
            </w:pict>
          </mc:Fallback>
        </mc:AlternateContent>
      </w:r>
      <w:r w:rsidR="002C5025">
        <w:rPr>
          <w:rFonts w:ascii="Times New Roman" w:hAnsi="Times New Roman" w:cs="Times New Roman"/>
          <w:sz w:val="19"/>
          <w:szCs w:val="19"/>
        </w:rPr>
        <w:t>17</w:t>
      </w:r>
    </w:p>
    <w:p w:rsidR="002C5025" w:rsidRDefault="002C5025">
      <w:pPr>
        <w:pStyle w:val="BodyText"/>
        <w:kinsoku w:val="0"/>
        <w:overflowPunct w:val="0"/>
        <w:spacing w:before="124" w:line="247" w:lineRule="auto"/>
        <w:ind w:left="644" w:right="773" w:hanging="348"/>
        <w:rPr>
          <w:rFonts w:ascii="Cambria" w:hAnsi="Cambria" w:cs="Cambria"/>
          <w:i/>
          <w:iCs/>
          <w:w w:val="105"/>
          <w:sz w:val="19"/>
          <w:szCs w:val="19"/>
        </w:rPr>
      </w:pPr>
      <w:r>
        <w:rPr>
          <w:rFonts w:ascii="Cambria" w:hAnsi="Cambria" w:cs="Cambria"/>
          <w:i/>
          <w:iCs/>
          <w:w w:val="105"/>
          <w:sz w:val="19"/>
          <w:szCs w:val="19"/>
        </w:rPr>
        <w:t>Doctors</w:t>
      </w:r>
      <w:r>
        <w:rPr>
          <w:rFonts w:ascii="Cambria" w:hAnsi="Cambria" w:cs="Cambria"/>
          <w:i/>
          <w:iCs/>
          <w:spacing w:val="-10"/>
          <w:w w:val="105"/>
          <w:sz w:val="19"/>
          <w:szCs w:val="19"/>
        </w:rPr>
        <w:t xml:space="preserve"> </w:t>
      </w:r>
      <w:r>
        <w:rPr>
          <w:rFonts w:ascii="Cambria" w:hAnsi="Cambria" w:cs="Cambria"/>
          <w:i/>
          <w:iCs/>
          <w:w w:val="105"/>
          <w:sz w:val="19"/>
          <w:szCs w:val="19"/>
        </w:rPr>
        <w:t>for</w:t>
      </w:r>
      <w:r>
        <w:rPr>
          <w:rFonts w:ascii="Cambria" w:hAnsi="Cambria" w:cs="Cambria"/>
          <w:i/>
          <w:iCs/>
          <w:spacing w:val="-13"/>
          <w:w w:val="105"/>
          <w:sz w:val="19"/>
          <w:szCs w:val="19"/>
        </w:rPr>
        <w:t xml:space="preserve"> </w:t>
      </w:r>
      <w:r>
        <w:rPr>
          <w:rFonts w:ascii="Cambria" w:hAnsi="Cambria" w:cs="Cambria"/>
          <w:i/>
          <w:iCs/>
          <w:w w:val="105"/>
          <w:sz w:val="19"/>
          <w:szCs w:val="19"/>
        </w:rPr>
        <w:t>America</w:t>
      </w:r>
      <w:r>
        <w:rPr>
          <w:rFonts w:ascii="Cambria" w:hAnsi="Cambria" w:cs="Cambria"/>
          <w:i/>
          <w:iCs/>
          <w:spacing w:val="-12"/>
          <w:w w:val="105"/>
          <w:sz w:val="19"/>
          <w:szCs w:val="19"/>
        </w:rPr>
        <w:t xml:space="preserve"> </w:t>
      </w:r>
      <w:r>
        <w:rPr>
          <w:rFonts w:ascii="Cambria" w:hAnsi="Cambria" w:cs="Cambria"/>
          <w:i/>
          <w:iCs/>
          <w:w w:val="105"/>
          <w:sz w:val="19"/>
          <w:szCs w:val="19"/>
        </w:rPr>
        <w:t>is</w:t>
      </w:r>
      <w:r>
        <w:rPr>
          <w:rFonts w:ascii="Cambria" w:hAnsi="Cambria" w:cs="Cambria"/>
          <w:i/>
          <w:iCs/>
          <w:spacing w:val="-13"/>
          <w:w w:val="105"/>
          <w:sz w:val="19"/>
          <w:szCs w:val="19"/>
        </w:rPr>
        <w:t xml:space="preserve"> </w:t>
      </w:r>
      <w:r>
        <w:rPr>
          <w:rFonts w:ascii="Cambria" w:hAnsi="Cambria" w:cs="Cambria"/>
          <w:i/>
          <w:iCs/>
          <w:w w:val="105"/>
          <w:sz w:val="19"/>
          <w:szCs w:val="19"/>
        </w:rPr>
        <w:t>a</w:t>
      </w:r>
      <w:r>
        <w:rPr>
          <w:rFonts w:ascii="Cambria" w:hAnsi="Cambria" w:cs="Cambria"/>
          <w:i/>
          <w:iCs/>
          <w:spacing w:val="-10"/>
          <w:w w:val="105"/>
          <w:sz w:val="19"/>
          <w:szCs w:val="19"/>
        </w:rPr>
        <w:t xml:space="preserve"> </w:t>
      </w:r>
      <w:r>
        <w:rPr>
          <w:rFonts w:ascii="Cambria" w:hAnsi="Cambria" w:cs="Cambria"/>
          <w:i/>
          <w:iCs/>
          <w:w w:val="105"/>
          <w:sz w:val="19"/>
          <w:szCs w:val="19"/>
        </w:rPr>
        <w:t>501(c)(3)</w:t>
      </w:r>
      <w:r>
        <w:rPr>
          <w:rFonts w:ascii="Cambria" w:hAnsi="Cambria" w:cs="Cambria"/>
          <w:i/>
          <w:iCs/>
          <w:spacing w:val="-13"/>
          <w:w w:val="105"/>
          <w:sz w:val="19"/>
          <w:szCs w:val="19"/>
        </w:rPr>
        <w:t xml:space="preserve"> </w:t>
      </w:r>
      <w:r>
        <w:rPr>
          <w:rFonts w:ascii="Cambria" w:hAnsi="Cambria" w:cs="Cambria"/>
          <w:i/>
          <w:iCs/>
          <w:w w:val="105"/>
          <w:sz w:val="19"/>
          <w:szCs w:val="19"/>
        </w:rPr>
        <w:t>national</w:t>
      </w:r>
      <w:r>
        <w:rPr>
          <w:rFonts w:ascii="Cambria" w:hAnsi="Cambria" w:cs="Cambria"/>
          <w:i/>
          <w:iCs/>
          <w:spacing w:val="-11"/>
          <w:w w:val="105"/>
          <w:sz w:val="19"/>
          <w:szCs w:val="19"/>
        </w:rPr>
        <w:t xml:space="preserve"> </w:t>
      </w:r>
      <w:r>
        <w:rPr>
          <w:rFonts w:ascii="Cambria" w:hAnsi="Cambria" w:cs="Cambria"/>
          <w:i/>
          <w:iCs/>
          <w:w w:val="105"/>
          <w:sz w:val="19"/>
          <w:szCs w:val="19"/>
        </w:rPr>
        <w:t>movement</w:t>
      </w:r>
      <w:r>
        <w:rPr>
          <w:rFonts w:ascii="Cambria" w:hAnsi="Cambria" w:cs="Cambria"/>
          <w:i/>
          <w:iCs/>
          <w:spacing w:val="-10"/>
          <w:w w:val="105"/>
          <w:sz w:val="19"/>
          <w:szCs w:val="19"/>
        </w:rPr>
        <w:t xml:space="preserve"> </w:t>
      </w:r>
      <w:r>
        <w:rPr>
          <w:rFonts w:ascii="Cambria" w:hAnsi="Cambria" w:cs="Cambria"/>
          <w:i/>
          <w:iCs/>
          <w:w w:val="105"/>
          <w:sz w:val="19"/>
          <w:szCs w:val="19"/>
        </w:rPr>
        <w:t>that</w:t>
      </w:r>
      <w:r>
        <w:rPr>
          <w:rFonts w:ascii="Cambria" w:hAnsi="Cambria" w:cs="Cambria"/>
          <w:i/>
          <w:iCs/>
          <w:spacing w:val="-13"/>
          <w:w w:val="105"/>
          <w:sz w:val="19"/>
          <w:szCs w:val="19"/>
        </w:rPr>
        <w:t xml:space="preserve"> </w:t>
      </w:r>
      <w:r>
        <w:rPr>
          <w:rFonts w:ascii="Cambria" w:hAnsi="Cambria" w:cs="Cambria"/>
          <w:i/>
          <w:iCs/>
          <w:w w:val="105"/>
          <w:sz w:val="19"/>
          <w:szCs w:val="19"/>
        </w:rPr>
        <w:t>mobilizes</w:t>
      </w:r>
      <w:r>
        <w:rPr>
          <w:rFonts w:ascii="Cambria" w:hAnsi="Cambria" w:cs="Cambria"/>
          <w:i/>
          <w:iCs/>
          <w:spacing w:val="-10"/>
          <w:w w:val="105"/>
          <w:sz w:val="19"/>
          <w:szCs w:val="19"/>
        </w:rPr>
        <w:t xml:space="preserve"> </w:t>
      </w:r>
      <w:r>
        <w:rPr>
          <w:rFonts w:ascii="Cambria" w:hAnsi="Cambria" w:cs="Cambria"/>
          <w:i/>
          <w:iCs/>
          <w:w w:val="105"/>
          <w:sz w:val="19"/>
          <w:szCs w:val="19"/>
        </w:rPr>
        <w:t>physicians</w:t>
      </w:r>
      <w:r>
        <w:rPr>
          <w:rFonts w:ascii="Cambria" w:hAnsi="Cambria" w:cs="Cambria"/>
          <w:i/>
          <w:iCs/>
          <w:spacing w:val="-13"/>
          <w:w w:val="105"/>
          <w:sz w:val="19"/>
          <w:szCs w:val="19"/>
        </w:rPr>
        <w:t xml:space="preserve"> </w:t>
      </w:r>
      <w:r>
        <w:rPr>
          <w:rFonts w:ascii="Cambria" w:hAnsi="Cambria" w:cs="Cambria"/>
          <w:i/>
          <w:iCs/>
          <w:w w:val="105"/>
          <w:sz w:val="19"/>
          <w:szCs w:val="19"/>
        </w:rPr>
        <w:t>and</w:t>
      </w:r>
      <w:r>
        <w:rPr>
          <w:rFonts w:ascii="Cambria" w:hAnsi="Cambria" w:cs="Cambria"/>
          <w:i/>
          <w:iCs/>
          <w:spacing w:val="-12"/>
          <w:w w:val="105"/>
          <w:sz w:val="19"/>
          <w:szCs w:val="19"/>
        </w:rPr>
        <w:t xml:space="preserve"> </w:t>
      </w:r>
      <w:r>
        <w:rPr>
          <w:rFonts w:ascii="Cambria" w:hAnsi="Cambria" w:cs="Cambria"/>
          <w:i/>
          <w:iCs/>
          <w:w w:val="105"/>
          <w:sz w:val="19"/>
          <w:szCs w:val="19"/>
        </w:rPr>
        <w:t>medical</w:t>
      </w:r>
      <w:r>
        <w:rPr>
          <w:rFonts w:ascii="Cambria" w:hAnsi="Cambria" w:cs="Cambria"/>
          <w:i/>
          <w:iCs/>
          <w:spacing w:val="-14"/>
          <w:w w:val="105"/>
          <w:sz w:val="19"/>
          <w:szCs w:val="19"/>
        </w:rPr>
        <w:t xml:space="preserve"> </w:t>
      </w:r>
      <w:r>
        <w:rPr>
          <w:rFonts w:ascii="Cambria" w:hAnsi="Cambria" w:cs="Cambria"/>
          <w:i/>
          <w:iCs/>
          <w:w w:val="105"/>
          <w:sz w:val="19"/>
          <w:szCs w:val="19"/>
        </w:rPr>
        <w:t>students</w:t>
      </w:r>
      <w:r>
        <w:rPr>
          <w:rFonts w:ascii="Cambria" w:hAnsi="Cambria" w:cs="Cambria"/>
          <w:i/>
          <w:iCs/>
          <w:spacing w:val="-13"/>
          <w:w w:val="105"/>
          <w:sz w:val="19"/>
          <w:szCs w:val="19"/>
        </w:rPr>
        <w:t xml:space="preserve"> </w:t>
      </w:r>
      <w:r>
        <w:rPr>
          <w:rFonts w:ascii="Cambria" w:hAnsi="Cambria" w:cs="Cambria"/>
          <w:i/>
          <w:iCs/>
          <w:w w:val="105"/>
          <w:sz w:val="19"/>
          <w:szCs w:val="19"/>
        </w:rPr>
        <w:t>to</w:t>
      </w:r>
      <w:r>
        <w:rPr>
          <w:rFonts w:ascii="Cambria" w:hAnsi="Cambria" w:cs="Cambria"/>
          <w:i/>
          <w:iCs/>
          <w:spacing w:val="-14"/>
          <w:w w:val="105"/>
          <w:sz w:val="19"/>
          <w:szCs w:val="19"/>
        </w:rPr>
        <w:t xml:space="preserve"> </w:t>
      </w:r>
      <w:r>
        <w:rPr>
          <w:rFonts w:ascii="Cambria" w:hAnsi="Cambria" w:cs="Cambria"/>
          <w:i/>
          <w:iCs/>
          <w:w w:val="105"/>
          <w:sz w:val="19"/>
          <w:szCs w:val="19"/>
        </w:rPr>
        <w:t>put</w:t>
      </w:r>
      <w:r>
        <w:rPr>
          <w:rFonts w:ascii="Cambria" w:hAnsi="Cambria" w:cs="Cambria"/>
          <w:i/>
          <w:iCs/>
          <w:spacing w:val="-13"/>
          <w:w w:val="105"/>
          <w:sz w:val="19"/>
          <w:szCs w:val="19"/>
        </w:rPr>
        <w:t xml:space="preserve"> </w:t>
      </w:r>
      <w:r>
        <w:rPr>
          <w:rFonts w:ascii="Cambria" w:hAnsi="Cambria" w:cs="Cambria"/>
          <w:i/>
          <w:iCs/>
          <w:w w:val="105"/>
          <w:sz w:val="19"/>
          <w:szCs w:val="19"/>
        </w:rPr>
        <w:t>patients over</w:t>
      </w:r>
      <w:r>
        <w:rPr>
          <w:rFonts w:ascii="Cambria" w:hAnsi="Cambria" w:cs="Cambria"/>
          <w:i/>
          <w:iCs/>
          <w:spacing w:val="-10"/>
          <w:w w:val="105"/>
          <w:sz w:val="19"/>
          <w:szCs w:val="19"/>
        </w:rPr>
        <w:t xml:space="preserve"> </w:t>
      </w:r>
      <w:r>
        <w:rPr>
          <w:rFonts w:ascii="Cambria" w:hAnsi="Cambria" w:cs="Cambria"/>
          <w:i/>
          <w:iCs/>
          <w:w w:val="105"/>
          <w:sz w:val="19"/>
          <w:szCs w:val="19"/>
        </w:rPr>
        <w:t>politics</w:t>
      </w:r>
      <w:r>
        <w:rPr>
          <w:rFonts w:ascii="Cambria" w:hAnsi="Cambria" w:cs="Cambria"/>
          <w:i/>
          <w:iCs/>
          <w:spacing w:val="-9"/>
          <w:w w:val="105"/>
          <w:sz w:val="19"/>
          <w:szCs w:val="19"/>
        </w:rPr>
        <w:t xml:space="preserve"> </w:t>
      </w:r>
      <w:r>
        <w:rPr>
          <w:rFonts w:ascii="Cambria" w:hAnsi="Cambria" w:cs="Cambria"/>
          <w:i/>
          <w:iCs/>
          <w:w w:val="105"/>
          <w:sz w:val="19"/>
          <w:szCs w:val="19"/>
        </w:rPr>
        <w:t>on</w:t>
      </w:r>
      <w:r>
        <w:rPr>
          <w:rFonts w:ascii="Cambria" w:hAnsi="Cambria" w:cs="Cambria"/>
          <w:i/>
          <w:iCs/>
          <w:spacing w:val="-11"/>
          <w:w w:val="105"/>
          <w:sz w:val="19"/>
          <w:szCs w:val="19"/>
        </w:rPr>
        <w:t xml:space="preserve"> </w:t>
      </w:r>
      <w:r>
        <w:rPr>
          <w:rFonts w:ascii="Cambria" w:hAnsi="Cambria" w:cs="Cambria"/>
          <w:i/>
          <w:iCs/>
          <w:w w:val="105"/>
          <w:sz w:val="19"/>
          <w:szCs w:val="19"/>
        </w:rPr>
        <w:t>the</w:t>
      </w:r>
      <w:r>
        <w:rPr>
          <w:rFonts w:ascii="Cambria" w:hAnsi="Cambria" w:cs="Cambria"/>
          <w:i/>
          <w:iCs/>
          <w:spacing w:val="-10"/>
          <w:w w:val="105"/>
          <w:sz w:val="19"/>
          <w:szCs w:val="19"/>
        </w:rPr>
        <w:t xml:space="preserve"> </w:t>
      </w:r>
      <w:r>
        <w:rPr>
          <w:rFonts w:ascii="Cambria" w:hAnsi="Cambria" w:cs="Cambria"/>
          <w:i/>
          <w:iCs/>
          <w:w w:val="105"/>
          <w:sz w:val="19"/>
          <w:szCs w:val="19"/>
        </w:rPr>
        <w:t>pressing</w:t>
      </w:r>
      <w:r>
        <w:rPr>
          <w:rFonts w:ascii="Cambria" w:hAnsi="Cambria" w:cs="Cambria"/>
          <w:i/>
          <w:iCs/>
          <w:spacing w:val="-9"/>
          <w:w w:val="105"/>
          <w:sz w:val="19"/>
          <w:szCs w:val="19"/>
        </w:rPr>
        <w:t xml:space="preserve"> </w:t>
      </w:r>
      <w:r>
        <w:rPr>
          <w:rFonts w:ascii="Cambria" w:hAnsi="Cambria" w:cs="Cambria"/>
          <w:i/>
          <w:iCs/>
          <w:w w:val="105"/>
          <w:sz w:val="19"/>
          <w:szCs w:val="19"/>
        </w:rPr>
        <w:t>issues</w:t>
      </w:r>
      <w:r>
        <w:rPr>
          <w:rFonts w:ascii="Cambria" w:hAnsi="Cambria" w:cs="Cambria"/>
          <w:i/>
          <w:iCs/>
          <w:spacing w:val="-9"/>
          <w:w w:val="105"/>
          <w:sz w:val="19"/>
          <w:szCs w:val="19"/>
        </w:rPr>
        <w:t xml:space="preserve"> </w:t>
      </w:r>
      <w:r>
        <w:rPr>
          <w:rFonts w:ascii="Cambria" w:hAnsi="Cambria" w:cs="Cambria"/>
          <w:i/>
          <w:iCs/>
          <w:w w:val="105"/>
          <w:sz w:val="19"/>
          <w:szCs w:val="19"/>
        </w:rPr>
        <w:t>of</w:t>
      </w:r>
      <w:r>
        <w:rPr>
          <w:rFonts w:ascii="Cambria" w:hAnsi="Cambria" w:cs="Cambria"/>
          <w:i/>
          <w:iCs/>
          <w:spacing w:val="-11"/>
          <w:w w:val="105"/>
          <w:sz w:val="19"/>
          <w:szCs w:val="19"/>
        </w:rPr>
        <w:t xml:space="preserve"> </w:t>
      </w:r>
      <w:r>
        <w:rPr>
          <w:rFonts w:ascii="Cambria" w:hAnsi="Cambria" w:cs="Cambria"/>
          <w:i/>
          <w:iCs/>
          <w:w w:val="105"/>
          <w:sz w:val="19"/>
          <w:szCs w:val="19"/>
        </w:rPr>
        <w:t>the</w:t>
      </w:r>
      <w:r>
        <w:rPr>
          <w:rFonts w:ascii="Cambria" w:hAnsi="Cambria" w:cs="Cambria"/>
          <w:i/>
          <w:iCs/>
          <w:spacing w:val="-10"/>
          <w:w w:val="105"/>
          <w:sz w:val="19"/>
          <w:szCs w:val="19"/>
        </w:rPr>
        <w:t xml:space="preserve"> </w:t>
      </w:r>
      <w:r>
        <w:rPr>
          <w:rFonts w:ascii="Cambria" w:hAnsi="Cambria" w:cs="Cambria"/>
          <w:i/>
          <w:iCs/>
          <w:w w:val="105"/>
          <w:sz w:val="19"/>
          <w:szCs w:val="19"/>
        </w:rPr>
        <w:t>day</w:t>
      </w:r>
      <w:r>
        <w:rPr>
          <w:rFonts w:ascii="Cambria" w:hAnsi="Cambria" w:cs="Cambria"/>
          <w:i/>
          <w:iCs/>
          <w:spacing w:val="-10"/>
          <w:w w:val="105"/>
          <w:sz w:val="19"/>
          <w:szCs w:val="19"/>
        </w:rPr>
        <w:t xml:space="preserve"> </w:t>
      </w:r>
      <w:r>
        <w:rPr>
          <w:rFonts w:ascii="Cambria" w:hAnsi="Cambria" w:cs="Cambria"/>
          <w:i/>
          <w:iCs/>
          <w:w w:val="105"/>
          <w:sz w:val="19"/>
          <w:szCs w:val="19"/>
        </w:rPr>
        <w:t>to</w:t>
      </w:r>
      <w:r>
        <w:rPr>
          <w:rFonts w:ascii="Cambria" w:hAnsi="Cambria" w:cs="Cambria"/>
          <w:i/>
          <w:iCs/>
          <w:spacing w:val="-10"/>
          <w:w w:val="105"/>
          <w:sz w:val="19"/>
          <w:szCs w:val="19"/>
        </w:rPr>
        <w:t xml:space="preserve"> </w:t>
      </w:r>
      <w:r>
        <w:rPr>
          <w:rFonts w:ascii="Cambria" w:hAnsi="Cambria" w:cs="Cambria"/>
          <w:i/>
          <w:iCs/>
          <w:w w:val="105"/>
          <w:sz w:val="19"/>
          <w:szCs w:val="19"/>
        </w:rPr>
        <w:t>improve</w:t>
      </w:r>
      <w:r>
        <w:rPr>
          <w:rFonts w:ascii="Cambria" w:hAnsi="Cambria" w:cs="Cambria"/>
          <w:i/>
          <w:iCs/>
          <w:spacing w:val="-10"/>
          <w:w w:val="105"/>
          <w:sz w:val="19"/>
          <w:szCs w:val="19"/>
        </w:rPr>
        <w:t xml:space="preserve"> </w:t>
      </w:r>
      <w:r>
        <w:rPr>
          <w:rFonts w:ascii="Cambria" w:hAnsi="Cambria" w:cs="Cambria"/>
          <w:i/>
          <w:iCs/>
          <w:w w:val="105"/>
          <w:sz w:val="19"/>
          <w:szCs w:val="19"/>
        </w:rPr>
        <w:t>the</w:t>
      </w:r>
      <w:r>
        <w:rPr>
          <w:rFonts w:ascii="Cambria" w:hAnsi="Cambria" w:cs="Cambria"/>
          <w:i/>
          <w:iCs/>
          <w:spacing w:val="-10"/>
          <w:w w:val="105"/>
          <w:sz w:val="19"/>
          <w:szCs w:val="19"/>
        </w:rPr>
        <w:t xml:space="preserve"> </w:t>
      </w:r>
      <w:r>
        <w:rPr>
          <w:rFonts w:ascii="Cambria" w:hAnsi="Cambria" w:cs="Cambria"/>
          <w:i/>
          <w:iCs/>
          <w:w w:val="105"/>
          <w:sz w:val="19"/>
          <w:szCs w:val="19"/>
        </w:rPr>
        <w:t>health</w:t>
      </w:r>
      <w:r>
        <w:rPr>
          <w:rFonts w:ascii="Cambria" w:hAnsi="Cambria" w:cs="Cambria"/>
          <w:i/>
          <w:iCs/>
          <w:spacing w:val="-10"/>
          <w:w w:val="105"/>
          <w:sz w:val="19"/>
          <w:szCs w:val="19"/>
        </w:rPr>
        <w:t xml:space="preserve"> </w:t>
      </w:r>
      <w:r>
        <w:rPr>
          <w:rFonts w:ascii="Cambria" w:hAnsi="Cambria" w:cs="Cambria"/>
          <w:i/>
          <w:iCs/>
          <w:w w:val="105"/>
          <w:sz w:val="19"/>
          <w:szCs w:val="19"/>
        </w:rPr>
        <w:t>of</w:t>
      </w:r>
      <w:r>
        <w:rPr>
          <w:rFonts w:ascii="Cambria" w:hAnsi="Cambria" w:cs="Cambria"/>
          <w:i/>
          <w:iCs/>
          <w:spacing w:val="-11"/>
          <w:w w:val="105"/>
          <w:sz w:val="19"/>
          <w:szCs w:val="19"/>
        </w:rPr>
        <w:t xml:space="preserve"> </w:t>
      </w:r>
      <w:r>
        <w:rPr>
          <w:rFonts w:ascii="Cambria" w:hAnsi="Cambria" w:cs="Cambria"/>
          <w:i/>
          <w:iCs/>
          <w:w w:val="105"/>
          <w:sz w:val="19"/>
          <w:szCs w:val="19"/>
        </w:rPr>
        <w:t>our</w:t>
      </w:r>
      <w:r>
        <w:rPr>
          <w:rFonts w:ascii="Cambria" w:hAnsi="Cambria" w:cs="Cambria"/>
          <w:i/>
          <w:iCs/>
          <w:spacing w:val="-9"/>
          <w:w w:val="105"/>
          <w:sz w:val="19"/>
          <w:szCs w:val="19"/>
        </w:rPr>
        <w:t xml:space="preserve"> </w:t>
      </w:r>
      <w:r>
        <w:rPr>
          <w:rFonts w:ascii="Cambria" w:hAnsi="Cambria" w:cs="Cambria"/>
          <w:i/>
          <w:iCs/>
          <w:w w:val="105"/>
          <w:sz w:val="19"/>
          <w:szCs w:val="19"/>
        </w:rPr>
        <w:t>patients,</w:t>
      </w:r>
      <w:r>
        <w:rPr>
          <w:rFonts w:ascii="Cambria" w:hAnsi="Cambria" w:cs="Cambria"/>
          <w:i/>
          <w:iCs/>
          <w:spacing w:val="-12"/>
          <w:w w:val="105"/>
          <w:sz w:val="19"/>
          <w:szCs w:val="19"/>
        </w:rPr>
        <w:t xml:space="preserve"> </w:t>
      </w:r>
      <w:r>
        <w:rPr>
          <w:rFonts w:ascii="Cambria" w:hAnsi="Cambria" w:cs="Cambria"/>
          <w:i/>
          <w:iCs/>
          <w:w w:val="105"/>
          <w:sz w:val="19"/>
          <w:szCs w:val="19"/>
        </w:rPr>
        <w:t>communities,</w:t>
      </w:r>
      <w:r>
        <w:rPr>
          <w:rFonts w:ascii="Cambria" w:hAnsi="Cambria" w:cs="Cambria"/>
          <w:i/>
          <w:iCs/>
          <w:spacing w:val="-9"/>
          <w:w w:val="105"/>
          <w:sz w:val="19"/>
          <w:szCs w:val="19"/>
        </w:rPr>
        <w:t xml:space="preserve"> </w:t>
      </w:r>
      <w:r>
        <w:rPr>
          <w:rFonts w:ascii="Cambria" w:hAnsi="Cambria" w:cs="Cambria"/>
          <w:i/>
          <w:iCs/>
          <w:w w:val="105"/>
          <w:sz w:val="19"/>
          <w:szCs w:val="19"/>
        </w:rPr>
        <w:t>and</w:t>
      </w:r>
      <w:r>
        <w:rPr>
          <w:rFonts w:ascii="Cambria" w:hAnsi="Cambria" w:cs="Cambria"/>
          <w:i/>
          <w:iCs/>
          <w:spacing w:val="-11"/>
          <w:w w:val="105"/>
          <w:sz w:val="19"/>
          <w:szCs w:val="19"/>
        </w:rPr>
        <w:t xml:space="preserve"> </w:t>
      </w:r>
      <w:r>
        <w:rPr>
          <w:rFonts w:ascii="Cambria" w:hAnsi="Cambria" w:cs="Cambria"/>
          <w:i/>
          <w:iCs/>
          <w:w w:val="105"/>
          <w:sz w:val="19"/>
          <w:szCs w:val="19"/>
        </w:rPr>
        <w:t>nation..</w:t>
      </w:r>
    </w:p>
    <w:p w:rsidR="002C5025" w:rsidRDefault="002C5025">
      <w:pPr>
        <w:pStyle w:val="BodyText"/>
        <w:kinsoku w:val="0"/>
        <w:overflowPunct w:val="0"/>
        <w:spacing w:before="124" w:line="247" w:lineRule="auto"/>
        <w:ind w:left="644" w:right="773" w:hanging="348"/>
        <w:rPr>
          <w:rFonts w:ascii="Cambria" w:hAnsi="Cambria" w:cs="Cambria"/>
          <w:i/>
          <w:iCs/>
          <w:w w:val="105"/>
          <w:sz w:val="19"/>
          <w:szCs w:val="19"/>
        </w:rPr>
        <w:sectPr w:rsidR="002C5025">
          <w:pgSz w:w="12240" w:h="15840"/>
          <w:pgMar w:top="940" w:right="820" w:bottom="280" w:left="800" w:header="720" w:footer="720" w:gutter="0"/>
          <w:pgBorders w:offsetFrom="page">
            <w:top w:val="single" w:sz="24" w:space="24" w:color="213957"/>
            <w:left w:val="single" w:sz="24" w:space="24" w:color="213957"/>
            <w:bottom w:val="single" w:sz="24" w:space="24" w:color="213957"/>
            <w:right w:val="single" w:sz="24" w:space="24" w:color="213957"/>
          </w:pgBorders>
          <w:cols w:space="720"/>
          <w:noEndnote/>
        </w:sectPr>
      </w:pPr>
    </w:p>
    <w:p w:rsidR="002C5025" w:rsidRDefault="002C5025">
      <w:pPr>
        <w:pStyle w:val="BodyText"/>
        <w:kinsoku w:val="0"/>
        <w:overflowPunct w:val="0"/>
        <w:spacing w:before="57"/>
        <w:ind w:left="143" w:right="126"/>
        <w:rPr>
          <w:rFonts w:ascii="Times New Roman" w:hAnsi="Times New Roman" w:cs="Times New Roman"/>
          <w:b/>
          <w:bCs/>
          <w:sz w:val="24"/>
          <w:szCs w:val="24"/>
        </w:rPr>
      </w:pPr>
      <w:bookmarkStart w:id="139" w:name="Applying_Lessons_Learned_from_Past_MassH"/>
      <w:bookmarkEnd w:id="139"/>
      <w:r>
        <w:rPr>
          <w:rFonts w:ascii="Times New Roman" w:hAnsi="Times New Roman" w:cs="Times New Roman"/>
          <w:b/>
          <w:bCs/>
          <w:sz w:val="24"/>
          <w:szCs w:val="24"/>
        </w:rPr>
        <w:lastRenderedPageBreak/>
        <w:t>Applying Lessons Learned from Past MassHealth Initiatives</w:t>
      </w:r>
    </w:p>
    <w:p w:rsidR="002C5025" w:rsidRDefault="002C5025">
      <w:pPr>
        <w:pStyle w:val="BodyText"/>
        <w:kinsoku w:val="0"/>
        <w:overflowPunct w:val="0"/>
        <w:spacing w:before="7"/>
        <w:rPr>
          <w:rFonts w:ascii="Times New Roman" w:hAnsi="Times New Roman" w:cs="Times New Roman"/>
          <w:b/>
          <w:bCs/>
          <w:sz w:val="30"/>
          <w:szCs w:val="30"/>
        </w:rPr>
      </w:pPr>
    </w:p>
    <w:p w:rsidR="002C5025" w:rsidRDefault="002C5025">
      <w:pPr>
        <w:pStyle w:val="BodyText"/>
        <w:kinsoku w:val="0"/>
        <w:overflowPunct w:val="0"/>
        <w:spacing w:before="1" w:line="276" w:lineRule="auto"/>
        <w:ind w:left="143" w:right="240"/>
        <w:rPr>
          <w:rFonts w:ascii="Times New Roman" w:hAnsi="Times New Roman" w:cs="Times New Roman"/>
          <w:sz w:val="24"/>
          <w:szCs w:val="24"/>
        </w:rPr>
      </w:pPr>
      <w:r>
        <w:rPr>
          <w:rFonts w:ascii="Times New Roman" w:hAnsi="Times New Roman" w:cs="Times New Roman"/>
          <w:sz w:val="24"/>
          <w:szCs w:val="24"/>
        </w:rPr>
        <w:t>In taking the lead with system transformation, Massachusetts has been a “test case” for many types of reform initiatives on medical home transformation, behavioral health integration, community-based supports, and other types of reform. There is a wealth of experience that clinic directors, front line providers, community-based organizations, patients have that may offer an important different perspective and understanding of operational issues than system-level administrators. A mechanism should be established to leverage this existing experience and knowledge to identify and mitigate barriers to transformation and promote greater efficiency. This may allow better understanding of barriers to transformation that may require infrastructure investments, technical assistance, member education, or changes in funding structure.</w:t>
      </w:r>
    </w:p>
    <w:p w:rsidR="002C5025" w:rsidRDefault="002C5025">
      <w:pPr>
        <w:pStyle w:val="BodyText"/>
        <w:kinsoku w:val="0"/>
        <w:overflowPunct w:val="0"/>
        <w:spacing w:before="5"/>
        <w:rPr>
          <w:rFonts w:ascii="Times New Roman" w:hAnsi="Times New Roman" w:cs="Times New Roman"/>
          <w:sz w:val="28"/>
          <w:szCs w:val="28"/>
        </w:rPr>
      </w:pPr>
    </w:p>
    <w:p w:rsidR="002C5025" w:rsidRDefault="002C5025">
      <w:pPr>
        <w:pStyle w:val="BodyText"/>
        <w:kinsoku w:val="0"/>
        <w:overflowPunct w:val="0"/>
        <w:ind w:left="143" w:right="126"/>
        <w:rPr>
          <w:rFonts w:ascii="Times New Roman" w:hAnsi="Times New Roman" w:cs="Times New Roman"/>
          <w:b/>
          <w:bCs/>
          <w:sz w:val="24"/>
          <w:szCs w:val="24"/>
        </w:rPr>
      </w:pPr>
      <w:bookmarkStart w:id="140" w:name="Identifying_and_Disseminating_Best_Pract"/>
      <w:bookmarkEnd w:id="140"/>
      <w:r>
        <w:rPr>
          <w:rFonts w:ascii="Times New Roman" w:hAnsi="Times New Roman" w:cs="Times New Roman"/>
          <w:b/>
          <w:bCs/>
          <w:sz w:val="24"/>
          <w:szCs w:val="24"/>
        </w:rPr>
        <w:t>Identifying and Disseminating Best Practices</w:t>
      </w:r>
    </w:p>
    <w:p w:rsidR="002C5025" w:rsidRDefault="002C5025">
      <w:pPr>
        <w:pStyle w:val="BodyText"/>
        <w:kinsoku w:val="0"/>
        <w:overflowPunct w:val="0"/>
        <w:spacing w:before="10"/>
        <w:rPr>
          <w:rFonts w:ascii="Times New Roman" w:hAnsi="Times New Roman" w:cs="Times New Roman"/>
          <w:b/>
          <w:bCs/>
          <w:sz w:val="30"/>
          <w:szCs w:val="30"/>
        </w:rPr>
      </w:pPr>
    </w:p>
    <w:p w:rsidR="002C5025" w:rsidRDefault="002C5025">
      <w:pPr>
        <w:pStyle w:val="BodyText"/>
        <w:kinsoku w:val="0"/>
        <w:overflowPunct w:val="0"/>
        <w:spacing w:line="268" w:lineRule="auto"/>
        <w:ind w:left="143" w:right="163"/>
        <w:rPr>
          <w:rFonts w:ascii="Times New Roman" w:hAnsi="Times New Roman" w:cs="Times New Roman"/>
          <w:sz w:val="24"/>
          <w:szCs w:val="24"/>
        </w:rPr>
      </w:pPr>
      <w:r>
        <w:rPr>
          <w:rFonts w:ascii="Times New Roman" w:hAnsi="Times New Roman" w:cs="Times New Roman"/>
          <w:sz w:val="24"/>
          <w:szCs w:val="24"/>
        </w:rPr>
        <w:t>Successful</w:t>
      </w:r>
      <w:r>
        <w:rPr>
          <w:rFonts w:ascii="Times New Roman" w:hAnsi="Times New Roman" w:cs="Times New Roman"/>
          <w:spacing w:val="-7"/>
          <w:sz w:val="24"/>
          <w:szCs w:val="24"/>
        </w:rPr>
        <w:t xml:space="preserve"> </w:t>
      </w:r>
      <w:r>
        <w:rPr>
          <w:rFonts w:ascii="Times New Roman" w:hAnsi="Times New Roman" w:cs="Times New Roman"/>
          <w:sz w:val="24"/>
          <w:szCs w:val="24"/>
        </w:rPr>
        <w:t>transformation</w:t>
      </w:r>
      <w:r>
        <w:rPr>
          <w:rFonts w:ascii="Times New Roman" w:hAnsi="Times New Roman" w:cs="Times New Roman"/>
          <w:spacing w:val="-7"/>
          <w:sz w:val="24"/>
          <w:szCs w:val="24"/>
        </w:rPr>
        <w:t xml:space="preserve"> </w:t>
      </w:r>
      <w:r>
        <w:rPr>
          <w:rFonts w:ascii="Times New Roman" w:hAnsi="Times New Roman" w:cs="Times New Roman"/>
          <w:sz w:val="24"/>
          <w:szCs w:val="24"/>
        </w:rPr>
        <w:t>requires</w:t>
      </w:r>
      <w:r>
        <w:rPr>
          <w:rFonts w:ascii="Times New Roman" w:hAnsi="Times New Roman" w:cs="Times New Roman"/>
          <w:spacing w:val="-5"/>
          <w:sz w:val="24"/>
          <w:szCs w:val="24"/>
        </w:rPr>
        <w:t xml:space="preserve"> </w:t>
      </w:r>
      <w:r>
        <w:rPr>
          <w:rFonts w:ascii="Times New Roman" w:hAnsi="Times New Roman" w:cs="Times New Roman"/>
          <w:sz w:val="24"/>
          <w:szCs w:val="24"/>
        </w:rPr>
        <w:t>rapid</w:t>
      </w:r>
      <w:r>
        <w:rPr>
          <w:rFonts w:ascii="Times New Roman" w:hAnsi="Times New Roman" w:cs="Times New Roman"/>
          <w:spacing w:val="-7"/>
          <w:sz w:val="24"/>
          <w:szCs w:val="24"/>
        </w:rPr>
        <w:t xml:space="preserve"> </w:t>
      </w:r>
      <w:r>
        <w:rPr>
          <w:rFonts w:ascii="Times New Roman" w:hAnsi="Times New Roman" w:cs="Times New Roman"/>
          <w:sz w:val="24"/>
          <w:szCs w:val="24"/>
        </w:rPr>
        <w:t>cycle</w:t>
      </w:r>
      <w:r>
        <w:rPr>
          <w:rFonts w:ascii="Times New Roman" w:hAnsi="Times New Roman" w:cs="Times New Roman"/>
          <w:spacing w:val="-8"/>
          <w:sz w:val="24"/>
          <w:szCs w:val="24"/>
        </w:rPr>
        <w:t xml:space="preserve"> </w:t>
      </w:r>
      <w:r>
        <w:rPr>
          <w:rFonts w:ascii="Times New Roman" w:hAnsi="Times New Roman" w:cs="Times New Roman"/>
          <w:sz w:val="24"/>
          <w:szCs w:val="24"/>
        </w:rPr>
        <w:t>change</w:t>
      </w:r>
      <w:r>
        <w:rPr>
          <w:rFonts w:ascii="Times New Roman" w:hAnsi="Times New Roman" w:cs="Times New Roman"/>
          <w:spacing w:val="-6"/>
          <w:sz w:val="24"/>
          <w:szCs w:val="24"/>
        </w:rPr>
        <w:t xml:space="preserve"> </w:t>
      </w:r>
      <w:r>
        <w:rPr>
          <w:rFonts w:ascii="Times New Roman" w:hAnsi="Times New Roman" w:cs="Times New Roman"/>
          <w:sz w:val="24"/>
          <w:szCs w:val="24"/>
        </w:rPr>
        <w:t>and</w:t>
      </w:r>
      <w:r>
        <w:rPr>
          <w:rFonts w:ascii="Times New Roman" w:hAnsi="Times New Roman" w:cs="Times New Roman"/>
          <w:spacing w:val="-7"/>
          <w:sz w:val="24"/>
          <w:szCs w:val="24"/>
        </w:rPr>
        <w:t xml:space="preserve"> </w:t>
      </w:r>
      <w:r>
        <w:rPr>
          <w:rFonts w:ascii="Times New Roman" w:hAnsi="Times New Roman" w:cs="Times New Roman"/>
          <w:sz w:val="24"/>
          <w:szCs w:val="24"/>
        </w:rPr>
        <w:t>creativity</w:t>
      </w:r>
      <w:r>
        <w:rPr>
          <w:rFonts w:ascii="Times New Roman" w:hAnsi="Times New Roman" w:cs="Times New Roman"/>
          <w:spacing w:val="-12"/>
          <w:sz w:val="24"/>
          <w:szCs w:val="24"/>
        </w:rPr>
        <w:t xml:space="preserve"> </w:t>
      </w:r>
      <w:r>
        <w:rPr>
          <w:rFonts w:ascii="Times New Roman" w:hAnsi="Times New Roman" w:cs="Times New Roman"/>
          <w:sz w:val="24"/>
          <w:szCs w:val="24"/>
        </w:rPr>
        <w:t>that</w:t>
      </w:r>
      <w:r>
        <w:rPr>
          <w:rFonts w:ascii="Times New Roman" w:hAnsi="Times New Roman" w:cs="Times New Roman"/>
          <w:spacing w:val="-7"/>
          <w:sz w:val="24"/>
          <w:szCs w:val="24"/>
        </w:rPr>
        <w:t xml:space="preserve"> </w:t>
      </w:r>
      <w:r>
        <w:rPr>
          <w:rFonts w:ascii="Times New Roman" w:hAnsi="Times New Roman" w:cs="Times New Roman"/>
          <w:sz w:val="24"/>
          <w:szCs w:val="24"/>
        </w:rPr>
        <w:t>can</w:t>
      </w:r>
      <w:r>
        <w:rPr>
          <w:rFonts w:ascii="Times New Roman" w:hAnsi="Times New Roman" w:cs="Times New Roman"/>
          <w:spacing w:val="-7"/>
          <w:sz w:val="24"/>
          <w:szCs w:val="24"/>
        </w:rPr>
        <w:t xml:space="preserve"> </w:t>
      </w:r>
      <w:r>
        <w:rPr>
          <w:rFonts w:ascii="Times New Roman" w:hAnsi="Times New Roman" w:cs="Times New Roman"/>
          <w:sz w:val="24"/>
          <w:szCs w:val="24"/>
        </w:rPr>
        <w:t>be</w:t>
      </w:r>
      <w:r>
        <w:rPr>
          <w:rFonts w:ascii="Times New Roman" w:hAnsi="Times New Roman" w:cs="Times New Roman"/>
          <w:spacing w:val="-8"/>
          <w:sz w:val="24"/>
          <w:szCs w:val="24"/>
        </w:rPr>
        <w:t xml:space="preserve"> </w:t>
      </w:r>
      <w:r>
        <w:rPr>
          <w:rFonts w:ascii="Times New Roman" w:hAnsi="Times New Roman" w:cs="Times New Roman"/>
          <w:sz w:val="24"/>
          <w:szCs w:val="24"/>
        </w:rPr>
        <w:t>difficult</w:t>
      </w:r>
      <w:r>
        <w:rPr>
          <w:rFonts w:ascii="Times New Roman" w:hAnsi="Times New Roman" w:cs="Times New Roman"/>
          <w:spacing w:val="-7"/>
          <w:sz w:val="24"/>
          <w:szCs w:val="24"/>
        </w:rPr>
        <w:t xml:space="preserve"> </w:t>
      </w:r>
      <w:r>
        <w:rPr>
          <w:rFonts w:ascii="Times New Roman" w:hAnsi="Times New Roman" w:cs="Times New Roman"/>
          <w:sz w:val="24"/>
          <w:szCs w:val="24"/>
        </w:rPr>
        <w:t>in</w:t>
      </w:r>
      <w:r>
        <w:rPr>
          <w:rFonts w:ascii="Times New Roman" w:hAnsi="Times New Roman" w:cs="Times New Roman"/>
          <w:spacing w:val="-7"/>
          <w:sz w:val="24"/>
          <w:szCs w:val="24"/>
        </w:rPr>
        <w:t xml:space="preserve"> </w:t>
      </w:r>
      <w:r>
        <w:rPr>
          <w:rFonts w:ascii="Times New Roman" w:hAnsi="Times New Roman" w:cs="Times New Roman"/>
          <w:sz w:val="24"/>
          <w:szCs w:val="24"/>
        </w:rPr>
        <w:t>large</w:t>
      </w:r>
      <w:r>
        <w:rPr>
          <w:rFonts w:ascii="Times New Roman" w:hAnsi="Times New Roman" w:cs="Times New Roman"/>
          <w:spacing w:val="-6"/>
          <w:sz w:val="24"/>
          <w:szCs w:val="24"/>
        </w:rPr>
        <w:t xml:space="preserve"> </w:t>
      </w:r>
      <w:r>
        <w:rPr>
          <w:rFonts w:ascii="Times New Roman" w:hAnsi="Times New Roman" w:cs="Times New Roman"/>
          <w:sz w:val="24"/>
          <w:szCs w:val="24"/>
        </w:rPr>
        <w:t>systems</w:t>
      </w:r>
      <w:r>
        <w:rPr>
          <w:rFonts w:ascii="Times New Roman" w:hAnsi="Times New Roman" w:cs="Times New Roman"/>
          <w:spacing w:val="-7"/>
          <w:sz w:val="24"/>
          <w:szCs w:val="24"/>
        </w:rPr>
        <w:t xml:space="preserve"> </w:t>
      </w:r>
      <w:r>
        <w:rPr>
          <w:rFonts w:ascii="Times New Roman" w:hAnsi="Times New Roman" w:cs="Times New Roman"/>
          <w:sz w:val="24"/>
          <w:szCs w:val="24"/>
        </w:rPr>
        <w:t>or when there are multiple barriers. This has also been faced by the Veterans Affairs system for their improvement efforts. In response to this, the VA launched a “Diffusion of Excellence” initiative and created the “Innovators Network” to empower employees to contribute to improvement.</w:t>
      </w:r>
      <w:r>
        <w:rPr>
          <w:rFonts w:ascii="Times New Roman" w:hAnsi="Times New Roman" w:cs="Times New Roman"/>
          <w:position w:val="11"/>
          <w:sz w:val="16"/>
          <w:szCs w:val="16"/>
        </w:rPr>
        <w:t xml:space="preserve">40 </w:t>
      </w:r>
      <w:r>
        <w:rPr>
          <w:rFonts w:ascii="Times New Roman" w:hAnsi="Times New Roman" w:cs="Times New Roman"/>
          <w:sz w:val="24"/>
          <w:szCs w:val="24"/>
        </w:rPr>
        <w:t>Another component is the governance model that brings together decision makers from different parts of the VA system</w:t>
      </w:r>
      <w:r>
        <w:rPr>
          <w:rFonts w:ascii="Times New Roman" w:hAnsi="Times New Roman" w:cs="Times New Roman"/>
          <w:spacing w:val="-6"/>
          <w:sz w:val="24"/>
          <w:szCs w:val="24"/>
        </w:rPr>
        <w:t xml:space="preserve"> </w:t>
      </w:r>
      <w:r>
        <w:rPr>
          <w:rFonts w:ascii="Times New Roman" w:hAnsi="Times New Roman" w:cs="Times New Roman"/>
          <w:sz w:val="24"/>
          <w:szCs w:val="24"/>
        </w:rPr>
        <w:t>to</w:t>
      </w:r>
      <w:r>
        <w:rPr>
          <w:rFonts w:ascii="Times New Roman" w:hAnsi="Times New Roman" w:cs="Times New Roman"/>
          <w:spacing w:val="-6"/>
          <w:sz w:val="24"/>
          <w:szCs w:val="24"/>
        </w:rPr>
        <w:t xml:space="preserve"> </w:t>
      </w:r>
      <w:r>
        <w:rPr>
          <w:rFonts w:ascii="Times New Roman" w:hAnsi="Times New Roman" w:cs="Times New Roman"/>
          <w:sz w:val="24"/>
          <w:szCs w:val="24"/>
        </w:rPr>
        <w:t>reduce</w:t>
      </w:r>
      <w:r>
        <w:rPr>
          <w:rFonts w:ascii="Times New Roman" w:hAnsi="Times New Roman" w:cs="Times New Roman"/>
          <w:spacing w:val="-5"/>
          <w:sz w:val="24"/>
          <w:szCs w:val="24"/>
        </w:rPr>
        <w:t xml:space="preserve"> </w:t>
      </w:r>
      <w:r>
        <w:rPr>
          <w:rFonts w:ascii="Times New Roman" w:hAnsi="Times New Roman" w:cs="Times New Roman"/>
          <w:sz w:val="24"/>
          <w:szCs w:val="24"/>
        </w:rPr>
        <w:t>silos.</w:t>
      </w:r>
      <w:r>
        <w:rPr>
          <w:rFonts w:ascii="Times New Roman" w:hAnsi="Times New Roman" w:cs="Times New Roman"/>
          <w:spacing w:val="-6"/>
          <w:sz w:val="24"/>
          <w:szCs w:val="24"/>
        </w:rPr>
        <w:t xml:space="preserve"> </w:t>
      </w:r>
      <w:r>
        <w:rPr>
          <w:rFonts w:ascii="Times New Roman" w:hAnsi="Times New Roman" w:cs="Times New Roman"/>
          <w:sz w:val="24"/>
          <w:szCs w:val="24"/>
        </w:rPr>
        <w:t>Further,</w:t>
      </w:r>
      <w:r>
        <w:rPr>
          <w:rFonts w:ascii="Times New Roman" w:hAnsi="Times New Roman" w:cs="Times New Roman"/>
          <w:spacing w:val="-6"/>
          <w:sz w:val="24"/>
          <w:szCs w:val="24"/>
        </w:rPr>
        <w:t xml:space="preserve"> </w:t>
      </w:r>
      <w:r>
        <w:rPr>
          <w:rFonts w:ascii="Times New Roman" w:hAnsi="Times New Roman" w:cs="Times New Roman"/>
          <w:sz w:val="24"/>
          <w:szCs w:val="24"/>
        </w:rPr>
        <w:t>the</w:t>
      </w:r>
      <w:r>
        <w:rPr>
          <w:rFonts w:ascii="Times New Roman" w:hAnsi="Times New Roman" w:cs="Times New Roman"/>
          <w:spacing w:val="-5"/>
          <w:sz w:val="24"/>
          <w:szCs w:val="24"/>
        </w:rPr>
        <w:t xml:space="preserve"> </w:t>
      </w:r>
      <w:r>
        <w:rPr>
          <w:rFonts w:ascii="Times New Roman" w:hAnsi="Times New Roman" w:cs="Times New Roman"/>
          <w:sz w:val="24"/>
          <w:szCs w:val="24"/>
        </w:rPr>
        <w:t>VA</w:t>
      </w:r>
      <w:r>
        <w:rPr>
          <w:rFonts w:ascii="Times New Roman" w:hAnsi="Times New Roman" w:cs="Times New Roman"/>
          <w:spacing w:val="-7"/>
          <w:sz w:val="24"/>
          <w:szCs w:val="24"/>
        </w:rPr>
        <w:t xml:space="preserve"> </w:t>
      </w:r>
      <w:r>
        <w:rPr>
          <w:rFonts w:ascii="Times New Roman" w:hAnsi="Times New Roman" w:cs="Times New Roman"/>
          <w:sz w:val="24"/>
          <w:szCs w:val="24"/>
        </w:rPr>
        <w:t>has</w:t>
      </w:r>
      <w:r>
        <w:rPr>
          <w:rFonts w:ascii="Times New Roman" w:hAnsi="Times New Roman" w:cs="Times New Roman"/>
          <w:spacing w:val="-6"/>
          <w:sz w:val="24"/>
          <w:szCs w:val="24"/>
        </w:rPr>
        <w:t xml:space="preserve"> </w:t>
      </w:r>
      <w:r>
        <w:rPr>
          <w:rFonts w:ascii="Times New Roman" w:hAnsi="Times New Roman" w:cs="Times New Roman"/>
          <w:sz w:val="24"/>
          <w:szCs w:val="24"/>
        </w:rPr>
        <w:t>created</w:t>
      </w:r>
      <w:r>
        <w:rPr>
          <w:rFonts w:ascii="Times New Roman" w:hAnsi="Times New Roman" w:cs="Times New Roman"/>
          <w:spacing w:val="-6"/>
          <w:sz w:val="24"/>
          <w:szCs w:val="24"/>
        </w:rPr>
        <w:t xml:space="preserve"> </w:t>
      </w:r>
      <w:r>
        <w:rPr>
          <w:rFonts w:ascii="Times New Roman" w:hAnsi="Times New Roman" w:cs="Times New Roman"/>
          <w:sz w:val="24"/>
          <w:szCs w:val="24"/>
        </w:rPr>
        <w:t>a</w:t>
      </w:r>
      <w:r>
        <w:rPr>
          <w:rFonts w:ascii="Times New Roman" w:hAnsi="Times New Roman" w:cs="Times New Roman"/>
          <w:spacing w:val="-7"/>
          <w:sz w:val="24"/>
          <w:szCs w:val="24"/>
        </w:rPr>
        <w:t xml:space="preserve"> </w:t>
      </w:r>
      <w:r>
        <w:rPr>
          <w:rFonts w:ascii="Times New Roman" w:hAnsi="Times New Roman" w:cs="Times New Roman"/>
          <w:sz w:val="24"/>
          <w:szCs w:val="24"/>
        </w:rPr>
        <w:t>“shark</w:t>
      </w:r>
      <w:r>
        <w:rPr>
          <w:rFonts w:ascii="Times New Roman" w:hAnsi="Times New Roman" w:cs="Times New Roman"/>
          <w:spacing w:val="-6"/>
          <w:sz w:val="24"/>
          <w:szCs w:val="24"/>
        </w:rPr>
        <w:t xml:space="preserve"> </w:t>
      </w:r>
      <w:r>
        <w:rPr>
          <w:rFonts w:ascii="Times New Roman" w:hAnsi="Times New Roman" w:cs="Times New Roman"/>
          <w:sz w:val="24"/>
          <w:szCs w:val="24"/>
        </w:rPr>
        <w:t>tank”</w:t>
      </w:r>
      <w:r>
        <w:rPr>
          <w:rFonts w:ascii="Times New Roman" w:hAnsi="Times New Roman" w:cs="Times New Roman"/>
          <w:spacing w:val="-7"/>
          <w:sz w:val="24"/>
          <w:szCs w:val="24"/>
        </w:rPr>
        <w:t xml:space="preserve"> </w:t>
      </w:r>
      <w:r>
        <w:rPr>
          <w:rFonts w:ascii="Times New Roman" w:hAnsi="Times New Roman" w:cs="Times New Roman"/>
          <w:sz w:val="24"/>
          <w:szCs w:val="24"/>
        </w:rPr>
        <w:t>type</w:t>
      </w:r>
      <w:r>
        <w:rPr>
          <w:rFonts w:ascii="Times New Roman" w:hAnsi="Times New Roman" w:cs="Times New Roman"/>
          <w:spacing w:val="-5"/>
          <w:sz w:val="24"/>
          <w:szCs w:val="24"/>
        </w:rPr>
        <w:t xml:space="preserve"> </w:t>
      </w:r>
      <w:r>
        <w:rPr>
          <w:rFonts w:ascii="Times New Roman" w:hAnsi="Times New Roman" w:cs="Times New Roman"/>
          <w:sz w:val="24"/>
          <w:szCs w:val="24"/>
        </w:rPr>
        <w:t>of</w:t>
      </w:r>
      <w:r>
        <w:rPr>
          <w:rFonts w:ascii="Times New Roman" w:hAnsi="Times New Roman" w:cs="Times New Roman"/>
          <w:spacing w:val="-5"/>
          <w:sz w:val="24"/>
          <w:szCs w:val="24"/>
        </w:rPr>
        <w:t xml:space="preserve"> </w:t>
      </w:r>
      <w:r>
        <w:rPr>
          <w:rFonts w:ascii="Times New Roman" w:hAnsi="Times New Roman" w:cs="Times New Roman"/>
          <w:sz w:val="24"/>
          <w:szCs w:val="24"/>
        </w:rPr>
        <w:t>competition</w:t>
      </w:r>
      <w:r>
        <w:rPr>
          <w:rFonts w:ascii="Times New Roman" w:hAnsi="Times New Roman" w:cs="Times New Roman"/>
          <w:spacing w:val="-6"/>
          <w:sz w:val="24"/>
          <w:szCs w:val="24"/>
        </w:rPr>
        <w:t xml:space="preserve"> </w:t>
      </w:r>
      <w:r>
        <w:rPr>
          <w:rFonts w:ascii="Times New Roman" w:hAnsi="Times New Roman" w:cs="Times New Roman"/>
          <w:sz w:val="24"/>
          <w:szCs w:val="24"/>
        </w:rPr>
        <w:t>to</w:t>
      </w:r>
      <w:r>
        <w:rPr>
          <w:rFonts w:ascii="Times New Roman" w:hAnsi="Times New Roman" w:cs="Times New Roman"/>
          <w:spacing w:val="-6"/>
          <w:sz w:val="24"/>
          <w:szCs w:val="24"/>
        </w:rPr>
        <w:t xml:space="preserve"> </w:t>
      </w:r>
      <w:r>
        <w:rPr>
          <w:rFonts w:ascii="Times New Roman" w:hAnsi="Times New Roman" w:cs="Times New Roman"/>
          <w:sz w:val="24"/>
          <w:szCs w:val="24"/>
        </w:rPr>
        <w:t>have</w:t>
      </w:r>
      <w:r>
        <w:rPr>
          <w:rFonts w:ascii="Times New Roman" w:hAnsi="Times New Roman" w:cs="Times New Roman"/>
          <w:spacing w:val="-7"/>
          <w:sz w:val="24"/>
          <w:szCs w:val="24"/>
        </w:rPr>
        <w:t xml:space="preserve"> </w:t>
      </w:r>
      <w:r>
        <w:rPr>
          <w:rFonts w:ascii="Times New Roman" w:hAnsi="Times New Roman" w:cs="Times New Roman"/>
          <w:sz w:val="24"/>
          <w:szCs w:val="24"/>
        </w:rPr>
        <w:t>improvement ideas tested and vetted for support and dissemination.</w:t>
      </w:r>
      <w:r>
        <w:rPr>
          <w:rFonts w:ascii="Times New Roman" w:hAnsi="Times New Roman" w:cs="Times New Roman"/>
          <w:position w:val="11"/>
          <w:sz w:val="16"/>
          <w:szCs w:val="16"/>
        </w:rPr>
        <w:t xml:space="preserve">41 </w:t>
      </w:r>
      <w:r>
        <w:rPr>
          <w:rFonts w:ascii="Times New Roman" w:hAnsi="Times New Roman" w:cs="Times New Roman"/>
          <w:sz w:val="24"/>
          <w:szCs w:val="24"/>
        </w:rPr>
        <w:t>Such a model could be considered by MassHealth to</w:t>
      </w:r>
      <w:r>
        <w:rPr>
          <w:rFonts w:ascii="Times New Roman" w:hAnsi="Times New Roman" w:cs="Times New Roman"/>
          <w:spacing w:val="-7"/>
          <w:sz w:val="24"/>
          <w:szCs w:val="24"/>
        </w:rPr>
        <w:t xml:space="preserve"> </w:t>
      </w:r>
      <w:r>
        <w:rPr>
          <w:rFonts w:ascii="Times New Roman" w:hAnsi="Times New Roman" w:cs="Times New Roman"/>
          <w:sz w:val="24"/>
          <w:szCs w:val="24"/>
        </w:rPr>
        <w:t>promote</w:t>
      </w:r>
      <w:r>
        <w:rPr>
          <w:rFonts w:ascii="Times New Roman" w:hAnsi="Times New Roman" w:cs="Times New Roman"/>
          <w:spacing w:val="-8"/>
          <w:sz w:val="24"/>
          <w:szCs w:val="24"/>
        </w:rPr>
        <w:t xml:space="preserve"> </w:t>
      </w:r>
      <w:r>
        <w:rPr>
          <w:rFonts w:ascii="Times New Roman" w:hAnsi="Times New Roman" w:cs="Times New Roman"/>
          <w:sz w:val="24"/>
          <w:szCs w:val="24"/>
        </w:rPr>
        <w:t>healthy</w:t>
      </w:r>
      <w:r>
        <w:rPr>
          <w:rFonts w:ascii="Times New Roman" w:hAnsi="Times New Roman" w:cs="Times New Roman"/>
          <w:spacing w:val="-10"/>
          <w:sz w:val="24"/>
          <w:szCs w:val="24"/>
        </w:rPr>
        <w:t xml:space="preserve"> </w:t>
      </w:r>
      <w:r>
        <w:rPr>
          <w:rFonts w:ascii="Times New Roman" w:hAnsi="Times New Roman" w:cs="Times New Roman"/>
          <w:sz w:val="24"/>
          <w:szCs w:val="24"/>
        </w:rPr>
        <w:t>competition</w:t>
      </w:r>
      <w:r>
        <w:rPr>
          <w:rFonts w:ascii="Times New Roman" w:hAnsi="Times New Roman" w:cs="Times New Roman"/>
          <w:spacing w:val="-7"/>
          <w:sz w:val="24"/>
          <w:szCs w:val="24"/>
        </w:rPr>
        <w:t xml:space="preserve"> </w:t>
      </w:r>
      <w:r>
        <w:rPr>
          <w:rFonts w:ascii="Times New Roman" w:hAnsi="Times New Roman" w:cs="Times New Roman"/>
          <w:sz w:val="24"/>
          <w:szCs w:val="24"/>
        </w:rPr>
        <w:t>between</w:t>
      </w:r>
      <w:r>
        <w:rPr>
          <w:rFonts w:ascii="Times New Roman" w:hAnsi="Times New Roman" w:cs="Times New Roman"/>
          <w:spacing w:val="-5"/>
          <w:sz w:val="24"/>
          <w:szCs w:val="24"/>
        </w:rPr>
        <w:t xml:space="preserve"> </w:t>
      </w:r>
      <w:r>
        <w:rPr>
          <w:rFonts w:ascii="Times New Roman" w:hAnsi="Times New Roman" w:cs="Times New Roman"/>
          <w:sz w:val="24"/>
          <w:szCs w:val="24"/>
        </w:rPr>
        <w:t>ACOs</w:t>
      </w:r>
      <w:r>
        <w:rPr>
          <w:rFonts w:ascii="Times New Roman" w:hAnsi="Times New Roman" w:cs="Times New Roman"/>
          <w:spacing w:val="-5"/>
          <w:sz w:val="24"/>
          <w:szCs w:val="24"/>
        </w:rPr>
        <w:t xml:space="preserve"> </w:t>
      </w:r>
      <w:r>
        <w:rPr>
          <w:rFonts w:ascii="Times New Roman" w:hAnsi="Times New Roman" w:cs="Times New Roman"/>
          <w:sz w:val="24"/>
          <w:szCs w:val="24"/>
        </w:rPr>
        <w:t>with</w:t>
      </w:r>
      <w:r>
        <w:rPr>
          <w:rFonts w:ascii="Times New Roman" w:hAnsi="Times New Roman" w:cs="Times New Roman"/>
          <w:spacing w:val="-7"/>
          <w:sz w:val="24"/>
          <w:szCs w:val="24"/>
        </w:rPr>
        <w:t xml:space="preserve"> </w:t>
      </w:r>
      <w:r>
        <w:rPr>
          <w:rFonts w:ascii="Times New Roman" w:hAnsi="Times New Roman" w:cs="Times New Roman"/>
          <w:sz w:val="24"/>
          <w:szCs w:val="24"/>
        </w:rPr>
        <w:t>shared</w:t>
      </w:r>
      <w:r>
        <w:rPr>
          <w:rFonts w:ascii="Times New Roman" w:hAnsi="Times New Roman" w:cs="Times New Roman"/>
          <w:spacing w:val="-7"/>
          <w:sz w:val="24"/>
          <w:szCs w:val="24"/>
        </w:rPr>
        <w:t xml:space="preserve"> </w:t>
      </w:r>
      <w:r>
        <w:rPr>
          <w:rFonts w:ascii="Times New Roman" w:hAnsi="Times New Roman" w:cs="Times New Roman"/>
          <w:sz w:val="24"/>
          <w:szCs w:val="24"/>
        </w:rPr>
        <w:t>learning.</w:t>
      </w:r>
      <w:r>
        <w:rPr>
          <w:rFonts w:ascii="Times New Roman" w:hAnsi="Times New Roman" w:cs="Times New Roman"/>
          <w:spacing w:val="-2"/>
          <w:sz w:val="24"/>
          <w:szCs w:val="24"/>
        </w:rPr>
        <w:t xml:space="preserve"> </w:t>
      </w:r>
      <w:r>
        <w:rPr>
          <w:rFonts w:ascii="Times New Roman" w:hAnsi="Times New Roman" w:cs="Times New Roman"/>
          <w:sz w:val="24"/>
          <w:szCs w:val="24"/>
        </w:rPr>
        <w:t>In</w:t>
      </w:r>
      <w:r>
        <w:rPr>
          <w:rFonts w:ascii="Times New Roman" w:hAnsi="Times New Roman" w:cs="Times New Roman"/>
          <w:spacing w:val="-5"/>
          <w:sz w:val="24"/>
          <w:szCs w:val="24"/>
        </w:rPr>
        <w:t xml:space="preserve"> </w:t>
      </w:r>
      <w:r>
        <w:rPr>
          <w:rFonts w:ascii="Times New Roman" w:hAnsi="Times New Roman" w:cs="Times New Roman"/>
          <w:sz w:val="24"/>
          <w:szCs w:val="24"/>
        </w:rPr>
        <w:t>particular,</w:t>
      </w:r>
      <w:r>
        <w:rPr>
          <w:rFonts w:ascii="Times New Roman" w:hAnsi="Times New Roman" w:cs="Times New Roman"/>
          <w:spacing w:val="-7"/>
          <w:sz w:val="24"/>
          <w:szCs w:val="24"/>
        </w:rPr>
        <w:t xml:space="preserve"> </w:t>
      </w:r>
      <w:r>
        <w:rPr>
          <w:rFonts w:ascii="Times New Roman" w:hAnsi="Times New Roman" w:cs="Times New Roman"/>
          <w:sz w:val="24"/>
          <w:szCs w:val="24"/>
        </w:rPr>
        <w:t>this</w:t>
      </w:r>
      <w:r>
        <w:rPr>
          <w:rFonts w:ascii="Times New Roman" w:hAnsi="Times New Roman" w:cs="Times New Roman"/>
          <w:spacing w:val="-5"/>
          <w:sz w:val="24"/>
          <w:szCs w:val="24"/>
        </w:rPr>
        <w:t xml:space="preserve"> </w:t>
      </w:r>
      <w:r>
        <w:rPr>
          <w:rFonts w:ascii="Times New Roman" w:hAnsi="Times New Roman" w:cs="Times New Roman"/>
          <w:sz w:val="24"/>
          <w:szCs w:val="24"/>
        </w:rPr>
        <w:t>kind</w:t>
      </w:r>
      <w:r>
        <w:rPr>
          <w:rFonts w:ascii="Times New Roman" w:hAnsi="Times New Roman" w:cs="Times New Roman"/>
          <w:spacing w:val="-7"/>
          <w:sz w:val="24"/>
          <w:szCs w:val="24"/>
        </w:rPr>
        <w:t xml:space="preserve"> </w:t>
      </w:r>
      <w:r>
        <w:rPr>
          <w:rFonts w:ascii="Times New Roman" w:hAnsi="Times New Roman" w:cs="Times New Roman"/>
          <w:sz w:val="24"/>
          <w:szCs w:val="24"/>
        </w:rPr>
        <w:t>of</w:t>
      </w:r>
      <w:r>
        <w:rPr>
          <w:rFonts w:ascii="Times New Roman" w:hAnsi="Times New Roman" w:cs="Times New Roman"/>
          <w:spacing w:val="-8"/>
          <w:sz w:val="24"/>
          <w:szCs w:val="24"/>
        </w:rPr>
        <w:t xml:space="preserve"> </w:t>
      </w:r>
      <w:r>
        <w:rPr>
          <w:rFonts w:ascii="Times New Roman" w:hAnsi="Times New Roman" w:cs="Times New Roman"/>
          <w:sz w:val="24"/>
          <w:szCs w:val="24"/>
        </w:rPr>
        <w:t>“diffusion</w:t>
      </w:r>
      <w:r>
        <w:rPr>
          <w:rFonts w:ascii="Times New Roman" w:hAnsi="Times New Roman" w:cs="Times New Roman"/>
          <w:spacing w:val="-5"/>
          <w:sz w:val="24"/>
          <w:szCs w:val="24"/>
        </w:rPr>
        <w:t xml:space="preserve"> </w:t>
      </w:r>
      <w:r>
        <w:rPr>
          <w:rFonts w:ascii="Times New Roman" w:hAnsi="Times New Roman" w:cs="Times New Roman"/>
          <w:sz w:val="24"/>
          <w:szCs w:val="24"/>
        </w:rPr>
        <w:t>of excellence” model from the VA system may work for sharing best practices for flexible funding for social determinants of</w:t>
      </w:r>
      <w:r>
        <w:rPr>
          <w:rFonts w:ascii="Times New Roman" w:hAnsi="Times New Roman" w:cs="Times New Roman"/>
          <w:spacing w:val="-22"/>
          <w:sz w:val="24"/>
          <w:szCs w:val="24"/>
        </w:rPr>
        <w:t xml:space="preserve"> </w:t>
      </w:r>
      <w:r>
        <w:rPr>
          <w:rFonts w:ascii="Times New Roman" w:hAnsi="Times New Roman" w:cs="Times New Roman"/>
          <w:sz w:val="24"/>
          <w:szCs w:val="24"/>
        </w:rPr>
        <w:t>health.</w:t>
      </w:r>
    </w:p>
    <w:p w:rsidR="002C5025" w:rsidRDefault="002C5025">
      <w:pPr>
        <w:pStyle w:val="BodyText"/>
        <w:kinsoku w:val="0"/>
        <w:overflowPunct w:val="0"/>
        <w:spacing w:before="8"/>
        <w:rPr>
          <w:rFonts w:ascii="Times New Roman" w:hAnsi="Times New Roman" w:cs="Times New Roman"/>
          <w:sz w:val="28"/>
          <w:szCs w:val="28"/>
        </w:rPr>
      </w:pPr>
    </w:p>
    <w:p w:rsidR="002C5025" w:rsidRDefault="002C5025">
      <w:pPr>
        <w:pStyle w:val="BodyText"/>
        <w:kinsoku w:val="0"/>
        <w:overflowPunct w:val="0"/>
        <w:ind w:left="143" w:right="126"/>
        <w:rPr>
          <w:rFonts w:ascii="Times New Roman" w:hAnsi="Times New Roman" w:cs="Times New Roman"/>
          <w:b/>
          <w:bCs/>
          <w:sz w:val="24"/>
          <w:szCs w:val="24"/>
        </w:rPr>
      </w:pPr>
      <w:bookmarkStart w:id="141" w:name="Ongoing_Stakeholder_Engagement:_Oversigh"/>
      <w:bookmarkEnd w:id="141"/>
      <w:r>
        <w:rPr>
          <w:rFonts w:ascii="Times New Roman" w:hAnsi="Times New Roman" w:cs="Times New Roman"/>
          <w:b/>
          <w:bCs/>
          <w:sz w:val="24"/>
          <w:szCs w:val="24"/>
        </w:rPr>
        <w:t>Ongoing Stakeholder Engagement: Oversight Steering Committee</w:t>
      </w:r>
    </w:p>
    <w:p w:rsidR="002C5025" w:rsidRDefault="002C5025">
      <w:pPr>
        <w:pStyle w:val="BodyText"/>
        <w:kinsoku w:val="0"/>
        <w:overflowPunct w:val="0"/>
        <w:spacing w:before="7"/>
        <w:rPr>
          <w:rFonts w:ascii="Times New Roman" w:hAnsi="Times New Roman" w:cs="Times New Roman"/>
          <w:b/>
          <w:bCs/>
          <w:sz w:val="30"/>
          <w:szCs w:val="30"/>
        </w:rPr>
      </w:pPr>
    </w:p>
    <w:p w:rsidR="002C5025" w:rsidRDefault="002C5025">
      <w:pPr>
        <w:pStyle w:val="BodyText"/>
        <w:kinsoku w:val="0"/>
        <w:overflowPunct w:val="0"/>
        <w:spacing w:before="1" w:line="276" w:lineRule="auto"/>
        <w:ind w:left="143" w:right="253"/>
        <w:rPr>
          <w:rFonts w:ascii="Times New Roman" w:hAnsi="Times New Roman" w:cs="Times New Roman"/>
          <w:sz w:val="24"/>
          <w:szCs w:val="24"/>
        </w:rPr>
      </w:pPr>
      <w:r>
        <w:rPr>
          <w:rFonts w:ascii="Times New Roman" w:hAnsi="Times New Roman" w:cs="Times New Roman"/>
          <w:sz w:val="24"/>
          <w:szCs w:val="24"/>
        </w:rPr>
        <w:t>During detailed program development and implementation stages there should be stakeholder engagement to ensure the new system is fair and functions well for all stakeholders. Specifically there should be engagement with the end users such as front line clinicians and patients.</w:t>
      </w:r>
    </w:p>
    <w:p w:rsidR="002C5025" w:rsidRDefault="002C5025">
      <w:pPr>
        <w:pStyle w:val="BodyText"/>
        <w:kinsoku w:val="0"/>
        <w:overflowPunct w:val="0"/>
        <w:spacing w:before="7"/>
        <w:rPr>
          <w:rFonts w:ascii="Times New Roman" w:hAnsi="Times New Roman" w:cs="Times New Roman"/>
          <w:sz w:val="27"/>
          <w:szCs w:val="27"/>
        </w:rPr>
      </w:pPr>
    </w:p>
    <w:p w:rsidR="002C5025" w:rsidRDefault="002C5025">
      <w:pPr>
        <w:pStyle w:val="BodyText"/>
        <w:kinsoku w:val="0"/>
        <w:overflowPunct w:val="0"/>
        <w:spacing w:line="276" w:lineRule="auto"/>
        <w:ind w:left="143" w:right="99"/>
        <w:rPr>
          <w:rFonts w:ascii="Times New Roman" w:hAnsi="Times New Roman" w:cs="Times New Roman"/>
          <w:sz w:val="24"/>
          <w:szCs w:val="24"/>
        </w:rPr>
      </w:pPr>
      <w:r>
        <w:rPr>
          <w:rFonts w:ascii="Times New Roman" w:hAnsi="Times New Roman" w:cs="Times New Roman"/>
          <w:sz w:val="24"/>
          <w:szCs w:val="24"/>
        </w:rPr>
        <w:t>As evidenced by the experience of both Primary Care Payment Reform (PCPR) and OneCare, at the time of rollout and implementation, there were unexpected challenges for both providers and members. Often, solutions or workarounds can require alterations in significant aspects of outreach, care delivery, payment, or types supports. One solution to ensure transparency and inclusion for end-to-end implementation is to establish and oversight Steering Committee modeled after the Implementation Council for the One Care program.</w:t>
      </w:r>
    </w:p>
    <w:p w:rsidR="002C5025" w:rsidRDefault="002C5025">
      <w:pPr>
        <w:pStyle w:val="BodyText"/>
        <w:kinsoku w:val="0"/>
        <w:overflowPunct w:val="0"/>
        <w:rPr>
          <w:rFonts w:ascii="Times New Roman" w:hAnsi="Times New Roman" w:cs="Times New Roman"/>
          <w:sz w:val="20"/>
          <w:szCs w:val="20"/>
        </w:rPr>
      </w:pPr>
    </w:p>
    <w:p w:rsidR="002C5025" w:rsidRDefault="00FB027C">
      <w:pPr>
        <w:pStyle w:val="BodyText"/>
        <w:kinsoku w:val="0"/>
        <w:overflowPunct w:val="0"/>
        <w:spacing w:before="10"/>
        <w:rPr>
          <w:rFonts w:ascii="Times New Roman" w:hAnsi="Times New Roman" w:cs="Times New Roman"/>
          <w:sz w:val="26"/>
          <w:szCs w:val="26"/>
        </w:rPr>
      </w:pPr>
      <w:r>
        <w:rPr>
          <w:noProof/>
        </w:rPr>
        <mc:AlternateContent>
          <mc:Choice Requires="wps">
            <w:drawing>
              <wp:anchor distT="0" distB="0" distL="0" distR="0" simplePos="0" relativeHeight="251636224" behindDoc="0" locked="0" layoutInCell="0" allowOverlap="1">
                <wp:simplePos x="0" y="0"/>
                <wp:positionH relativeFrom="page">
                  <wp:posOffset>609600</wp:posOffset>
                </wp:positionH>
                <wp:positionV relativeFrom="paragraph">
                  <wp:posOffset>224790</wp:posOffset>
                </wp:positionV>
                <wp:extent cx="1828800" cy="12700"/>
                <wp:effectExtent l="0" t="0" r="0" b="0"/>
                <wp:wrapTopAndBottom/>
                <wp:docPr id="590" name="Freeform 4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w 2880"/>
                            <a:gd name="T1" fmla="*/ 0 h 20"/>
                            <a:gd name="T2" fmla="*/ 2880 w 2880"/>
                            <a:gd name="T3" fmla="*/ 0 h 20"/>
                          </a:gdLst>
                          <a:ahLst/>
                          <a:cxnLst>
                            <a:cxn ang="0">
                              <a:pos x="T0" y="T1"/>
                            </a:cxn>
                            <a:cxn ang="0">
                              <a:pos x="T2" y="T3"/>
                            </a:cxn>
                          </a:cxnLst>
                          <a:rect l="0" t="0" r="r" b="b"/>
                          <a:pathLst>
                            <a:path w="2880" h="20">
                              <a:moveTo>
                                <a:pt x="0" y="0"/>
                              </a:moveTo>
                              <a:lnTo>
                                <a:pt x="2880"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35" o:spid="_x0000_s1026" style="position:absolute;z-index:251636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48pt,17.7pt,192pt,17.7pt" coordsize="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" o:allowincell="f" filled="f" strokeweight=".20458mm">
                <v:path arrowok="t" o:connecttype="custom" o:connectlocs="0,0;1828800,0" o:connectangles="0,0"/>
                <w10:wrap type="topAndBottom" anchorx="page"/>
              </v:polyline>
            </w:pict>
          </mc:Fallback>
        </mc:AlternateContent>
      </w:r>
    </w:p>
    <w:p w:rsidR="002C5025" w:rsidRDefault="002C5025">
      <w:pPr>
        <w:pStyle w:val="BodyText"/>
        <w:kinsoku w:val="0"/>
        <w:overflowPunct w:val="0"/>
        <w:spacing w:line="245" w:lineRule="exact"/>
        <w:ind w:left="143" w:right="126"/>
        <w:rPr>
          <w:rFonts w:ascii="Times New Roman" w:hAnsi="Times New Roman" w:cs="Times New Roman"/>
          <w:sz w:val="19"/>
          <w:szCs w:val="19"/>
        </w:rPr>
      </w:pPr>
      <w:r>
        <w:rPr>
          <w:rFonts w:ascii="Times New Roman" w:hAnsi="Times New Roman" w:cs="Times New Roman"/>
          <w:position w:val="9"/>
          <w:sz w:val="13"/>
          <w:szCs w:val="13"/>
        </w:rPr>
        <w:t xml:space="preserve">40    </w:t>
      </w:r>
      <w:hyperlink r:id="rId291" w:history="1">
        <w:r>
          <w:rPr>
            <w:rFonts w:ascii="Times New Roman" w:hAnsi="Times New Roman" w:cs="Times New Roman"/>
            <w:sz w:val="19"/>
            <w:szCs w:val="19"/>
          </w:rPr>
          <w:t>http://www.innovation.va.gov/innovatorsnetwork/</w:t>
        </w:r>
      </w:hyperlink>
    </w:p>
    <w:p w:rsidR="002C5025" w:rsidRDefault="002C5025">
      <w:pPr>
        <w:pStyle w:val="BodyText"/>
        <w:tabs>
          <w:tab w:val="left" w:pos="488"/>
        </w:tabs>
        <w:kinsoku w:val="0"/>
        <w:overflowPunct w:val="0"/>
        <w:spacing w:line="247" w:lineRule="exact"/>
        <w:ind w:left="143" w:right="126"/>
        <w:rPr>
          <w:rFonts w:ascii="Times New Roman" w:hAnsi="Times New Roman" w:cs="Times New Roman"/>
          <w:sz w:val="19"/>
          <w:szCs w:val="19"/>
        </w:rPr>
      </w:pPr>
      <w:r>
        <w:rPr>
          <w:rFonts w:ascii="Times New Roman" w:hAnsi="Times New Roman" w:cs="Times New Roman"/>
          <w:position w:val="9"/>
          <w:sz w:val="13"/>
          <w:szCs w:val="13"/>
        </w:rPr>
        <w:t>41</w:t>
      </w:r>
      <w:r>
        <w:rPr>
          <w:rFonts w:ascii="Times New Roman" w:hAnsi="Times New Roman" w:cs="Times New Roman"/>
          <w:position w:val="9"/>
          <w:sz w:val="13"/>
          <w:szCs w:val="13"/>
        </w:rPr>
        <w:tab/>
      </w:r>
      <w:hyperlink r:id="rId292" w:history="1">
        <w:r>
          <w:rPr>
            <w:rFonts w:ascii="Times New Roman" w:hAnsi="Times New Roman" w:cs="Times New Roman"/>
            <w:sz w:val="19"/>
            <w:szCs w:val="19"/>
            <w:u w:val="single" w:color="000000"/>
          </w:rPr>
          <w:t>http://www.blogs.va.gov/VAntage/28017/san-francisco-vamc-shark-tank/</w:t>
        </w:r>
      </w:hyperlink>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7"/>
        <w:rPr>
          <w:rFonts w:ascii="Times New Roman" w:hAnsi="Times New Roman" w:cs="Times New Roman"/>
          <w:sz w:val="16"/>
          <w:szCs w:val="16"/>
        </w:rPr>
      </w:pPr>
    </w:p>
    <w:p w:rsidR="002C5025" w:rsidRDefault="00FB027C">
      <w:pPr>
        <w:pStyle w:val="BodyText"/>
        <w:kinsoku w:val="0"/>
        <w:overflowPunct w:val="0"/>
        <w:spacing w:before="75"/>
        <w:ind w:right="102"/>
        <w:jc w:val="right"/>
        <w:rPr>
          <w:rFonts w:ascii="Times New Roman" w:hAnsi="Times New Roman" w:cs="Times New Roman"/>
          <w:sz w:val="19"/>
          <w:szCs w:val="19"/>
        </w:rPr>
      </w:pPr>
      <w:r>
        <w:rPr>
          <w:noProof/>
        </w:rPr>
        <mc:AlternateContent>
          <mc:Choice Requires="wpg">
            <w:drawing>
              <wp:anchor distT="0" distB="0" distL="114300" distR="114300" simplePos="0" relativeHeight="251637248" behindDoc="0" locked="0" layoutInCell="0" allowOverlap="1">
                <wp:simplePos x="0" y="0"/>
                <wp:positionH relativeFrom="page">
                  <wp:posOffset>572135</wp:posOffset>
                </wp:positionH>
                <wp:positionV relativeFrom="paragraph">
                  <wp:posOffset>47625</wp:posOffset>
                </wp:positionV>
                <wp:extent cx="6410960" cy="38100"/>
                <wp:effectExtent l="0" t="0" r="0" b="0"/>
                <wp:wrapNone/>
                <wp:docPr id="586" name="Group 4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0960" cy="38100"/>
                          <a:chOff x="901" y="75"/>
                          <a:chExt cx="10096" cy="60"/>
                        </a:xfrm>
                      </wpg:grpSpPr>
                      <wps:wsp>
                        <wps:cNvPr id="587" name="Freeform 437"/>
                        <wps:cNvSpPr>
                          <a:spLocks/>
                        </wps:cNvSpPr>
                        <wps:spPr bwMode="auto">
                          <a:xfrm>
                            <a:off x="917" y="83"/>
                            <a:ext cx="10065" cy="20"/>
                          </a:xfrm>
                          <a:custGeom>
                            <a:avLst/>
                            <a:gdLst>
                              <a:gd name="T0" fmla="*/ 0 w 10065"/>
                              <a:gd name="T1" fmla="*/ 0 h 20"/>
                              <a:gd name="T2" fmla="*/ 10065 w 10065"/>
                              <a:gd name="T3" fmla="*/ 0 h 20"/>
                            </a:gdLst>
                            <a:ahLst/>
                            <a:cxnLst>
                              <a:cxn ang="0">
                                <a:pos x="T0" y="T1"/>
                              </a:cxn>
                              <a:cxn ang="0">
                                <a:pos x="T2" y="T3"/>
                              </a:cxn>
                            </a:cxnLst>
                            <a:rect l="0" t="0" r="r" b="b"/>
                            <a:pathLst>
                              <a:path w="10065" h="20">
                                <a:moveTo>
                                  <a:pt x="0" y="0"/>
                                </a:moveTo>
                                <a:lnTo>
                                  <a:pt x="10065"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8" name="Freeform 438"/>
                        <wps:cNvSpPr>
                          <a:spLocks/>
                        </wps:cNvSpPr>
                        <wps:spPr bwMode="auto">
                          <a:xfrm>
                            <a:off x="917" y="105"/>
                            <a:ext cx="10065" cy="20"/>
                          </a:xfrm>
                          <a:custGeom>
                            <a:avLst/>
                            <a:gdLst>
                              <a:gd name="T0" fmla="*/ 0 w 10065"/>
                              <a:gd name="T1" fmla="*/ 0 h 20"/>
                              <a:gd name="T2" fmla="*/ 10065 w 10065"/>
                              <a:gd name="T3" fmla="*/ 0 h 20"/>
                            </a:gdLst>
                            <a:ahLst/>
                            <a:cxnLst>
                              <a:cxn ang="0">
                                <a:pos x="T0" y="T1"/>
                              </a:cxn>
                              <a:cxn ang="0">
                                <a:pos x="T2" y="T3"/>
                              </a:cxn>
                            </a:cxnLst>
                            <a:rect l="0" t="0" r="r" b="b"/>
                            <a:pathLst>
                              <a:path w="10065" h="20">
                                <a:moveTo>
                                  <a:pt x="0" y="0"/>
                                </a:moveTo>
                                <a:lnTo>
                                  <a:pt x="10065" y="0"/>
                                </a:lnTo>
                              </a:path>
                            </a:pathLst>
                          </a:custGeom>
                          <a:noFill/>
                          <a:ln w="19558">
                            <a:solidFill>
                              <a:srgbClr val="6060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9" name="Freeform 439"/>
                        <wps:cNvSpPr>
                          <a:spLocks/>
                        </wps:cNvSpPr>
                        <wps:spPr bwMode="auto">
                          <a:xfrm>
                            <a:off x="917" y="126"/>
                            <a:ext cx="10065" cy="20"/>
                          </a:xfrm>
                          <a:custGeom>
                            <a:avLst/>
                            <a:gdLst>
                              <a:gd name="T0" fmla="*/ 0 w 10065"/>
                              <a:gd name="T1" fmla="*/ 0 h 20"/>
                              <a:gd name="T2" fmla="*/ 10065 w 10065"/>
                              <a:gd name="T3" fmla="*/ 0 h 20"/>
                            </a:gdLst>
                            <a:ahLst/>
                            <a:cxnLst>
                              <a:cxn ang="0">
                                <a:pos x="T0" y="T1"/>
                              </a:cxn>
                              <a:cxn ang="0">
                                <a:pos x="T2" y="T3"/>
                              </a:cxn>
                            </a:cxnLst>
                            <a:rect l="0" t="0" r="r" b="b"/>
                            <a:pathLst>
                              <a:path w="10065" h="20">
                                <a:moveTo>
                                  <a:pt x="0" y="0"/>
                                </a:moveTo>
                                <a:lnTo>
                                  <a:pt x="10065" y="0"/>
                                </a:lnTo>
                              </a:path>
                            </a:pathLst>
                          </a:custGeom>
                          <a:noFill/>
                          <a:ln w="10414">
                            <a:solidFill>
                              <a:srgbClr val="C1C1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36" o:spid="_x0000_s1026" style="position:absolute;margin-left:45.05pt;margin-top:3.75pt;width:504.8pt;height:3pt;z-index:251637248;mso-position-horizontal-relative:page" coordorigin="901,75" coordsize="1009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" o:allowincell="f">
                <v:shape id="Freeform 437" o:spid="_x0000_s1027" style="position:absolute;left:917;top:83;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r6KsYA&#10;AADcAAAADwAAAGRycy9kb3ducmV2LnhtbESPQWvCQBSE7wX/w/KEXkrdWGiV1FVEsUgOQjTQ6yP7&#10;TFKzb5fsqqm/visUPA4z8w0zW/SmFRfqfGNZwXiUgCAurW64UlAcNq9TED4ga2wtk4Jf8rCYD55m&#10;mGp75Zwu+1CJCGGfooI6BJdK6cuaDPqRdcTRO9rOYIiyq6Tu8BrhppVvSfIhDTYcF2p0tKqpPO3P&#10;RsF295Ovv82tcDe9OhbuJcu+8kyp52G//AQRqA+P8H97qxW8TydwPxOP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lr6KsYAAADcAAAADwAAAAAAAAAAAAAAAACYAgAAZHJz&#10;L2Rvd25yZXYueG1sUEsFBgAAAAAEAAQA9QAAAIsDAAAAAA==&#10;" path="m,l10065,e" filled="f" strokeweight=".82pt">
                  <v:path arrowok="t" o:connecttype="custom" o:connectlocs="0,0;10065,0" o:connectangles="0,0"/>
                </v:shape>
                <v:shape id="Freeform 438" o:spid="_x0000_s1028" style="position:absolute;left:917;top:105;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r+ZcEA&#10;AADcAAAADwAAAGRycy9kb3ducmV2LnhtbERPS2sCMRC+F/wPYQq91azSiqxGqYKl9CJdS/E4bGYf&#10;upksyajbf98chB4/vvdyPbhOXSnE1rOByTgDRVx623Jt4Puwe56DioJssfNMBn4pwno1elhibv2N&#10;v+haSK1SCMccDTQifa51LBtyGMe+J05c5YNDSTDU2ga8pXDX6WmWzbTDllNDgz1tGyrPxcUZOOLO&#10;FrOXajucgkz2m+pH3j+dMU+Pw9sClNAg/+K7+8MaeJ2ntelMOgJ6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Kq/mXBAAAA3AAAAA8AAAAAAAAAAAAAAAAAmAIAAGRycy9kb3du&#10;cmV2LnhtbFBLBQYAAAAABAAEAPUAAACGAwAAAAA=&#10;" path="m,l10065,e" filled="f" strokecolor="#606060" strokeweight="1.54pt">
                  <v:path arrowok="t" o:connecttype="custom" o:connectlocs="0,0;10065,0" o:connectangles="0,0"/>
                </v:shape>
                <v:shape id="Freeform 439" o:spid="_x0000_s1029" style="position:absolute;left:917;top:126;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q4XcQA&#10;AADcAAAADwAAAGRycy9kb3ducmV2LnhtbESPQWuDQBSE74X8h+UFcmvWRiqJySYUIaRXbaF4e7gv&#10;KnXfirtV01/fDQR6HGbmG+Zwmk0nRhpca1nByzoCQVxZ3XKt4PPj/LwF4Tyyxs4yKbiRg9Nx8XTA&#10;VNuJcxoLX4sAYZeigsb7PpXSVQ0ZdGvbEwfvageDPsihlnrAKcBNJzdRlEiDLYeFBnvKGqq+ix+j&#10;oMyTr92l/+U4znxeJpmpy3yj1Go5v+1BeJr9f/jRftcKXrc7uJ8JR0A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auF3EAAAA3AAAAA8AAAAAAAAAAAAAAAAAmAIAAGRycy9k&#10;b3ducmV2LnhtbFBLBQYAAAAABAAEAPUAAACJAwAAAAA=&#10;" path="m,l10065,e" filled="f" strokecolor="#c1c1c1" strokeweight=".82pt">
                  <v:path arrowok="t" o:connecttype="custom" o:connectlocs="0,0;10065,0" o:connectangles="0,0"/>
                </v:shape>
                <w10:wrap anchorx="page"/>
              </v:group>
            </w:pict>
          </mc:Fallback>
        </mc:AlternateContent>
      </w:r>
      <w:r w:rsidR="002C5025">
        <w:rPr>
          <w:rFonts w:ascii="Times New Roman" w:hAnsi="Times New Roman" w:cs="Times New Roman"/>
          <w:sz w:val="19"/>
          <w:szCs w:val="19"/>
        </w:rPr>
        <w:t>18</w:t>
      </w:r>
    </w:p>
    <w:p w:rsidR="002C5025" w:rsidRDefault="002C5025">
      <w:pPr>
        <w:pStyle w:val="BodyText"/>
        <w:kinsoku w:val="0"/>
        <w:overflowPunct w:val="0"/>
        <w:spacing w:before="109" w:line="244" w:lineRule="auto"/>
        <w:ind w:left="642" w:right="773" w:hanging="348"/>
        <w:rPr>
          <w:rFonts w:ascii="Cambria" w:hAnsi="Cambria" w:cs="Cambria"/>
          <w:i/>
          <w:iCs/>
          <w:w w:val="105"/>
          <w:sz w:val="19"/>
          <w:szCs w:val="19"/>
        </w:rPr>
      </w:pPr>
      <w:r>
        <w:rPr>
          <w:rFonts w:ascii="Cambria" w:hAnsi="Cambria" w:cs="Cambria"/>
          <w:i/>
          <w:iCs/>
          <w:w w:val="105"/>
          <w:sz w:val="19"/>
          <w:szCs w:val="19"/>
        </w:rPr>
        <w:t>Doctors</w:t>
      </w:r>
      <w:r>
        <w:rPr>
          <w:rFonts w:ascii="Cambria" w:hAnsi="Cambria" w:cs="Cambria"/>
          <w:i/>
          <w:iCs/>
          <w:spacing w:val="-10"/>
          <w:w w:val="105"/>
          <w:sz w:val="19"/>
          <w:szCs w:val="19"/>
        </w:rPr>
        <w:t xml:space="preserve"> </w:t>
      </w:r>
      <w:r>
        <w:rPr>
          <w:rFonts w:ascii="Cambria" w:hAnsi="Cambria" w:cs="Cambria"/>
          <w:i/>
          <w:iCs/>
          <w:w w:val="105"/>
          <w:sz w:val="19"/>
          <w:szCs w:val="19"/>
        </w:rPr>
        <w:t>for</w:t>
      </w:r>
      <w:r>
        <w:rPr>
          <w:rFonts w:ascii="Cambria" w:hAnsi="Cambria" w:cs="Cambria"/>
          <w:i/>
          <w:iCs/>
          <w:spacing w:val="-13"/>
          <w:w w:val="105"/>
          <w:sz w:val="19"/>
          <w:szCs w:val="19"/>
        </w:rPr>
        <w:t xml:space="preserve"> </w:t>
      </w:r>
      <w:r>
        <w:rPr>
          <w:rFonts w:ascii="Cambria" w:hAnsi="Cambria" w:cs="Cambria"/>
          <w:i/>
          <w:iCs/>
          <w:w w:val="105"/>
          <w:sz w:val="19"/>
          <w:szCs w:val="19"/>
        </w:rPr>
        <w:t>America</w:t>
      </w:r>
      <w:r>
        <w:rPr>
          <w:rFonts w:ascii="Cambria" w:hAnsi="Cambria" w:cs="Cambria"/>
          <w:i/>
          <w:iCs/>
          <w:spacing w:val="-12"/>
          <w:w w:val="105"/>
          <w:sz w:val="19"/>
          <w:szCs w:val="19"/>
        </w:rPr>
        <w:t xml:space="preserve"> </w:t>
      </w:r>
      <w:r>
        <w:rPr>
          <w:rFonts w:ascii="Cambria" w:hAnsi="Cambria" w:cs="Cambria"/>
          <w:i/>
          <w:iCs/>
          <w:w w:val="105"/>
          <w:sz w:val="19"/>
          <w:szCs w:val="19"/>
        </w:rPr>
        <w:t>is</w:t>
      </w:r>
      <w:r>
        <w:rPr>
          <w:rFonts w:ascii="Cambria" w:hAnsi="Cambria" w:cs="Cambria"/>
          <w:i/>
          <w:iCs/>
          <w:spacing w:val="-13"/>
          <w:w w:val="105"/>
          <w:sz w:val="19"/>
          <w:szCs w:val="19"/>
        </w:rPr>
        <w:t xml:space="preserve"> </w:t>
      </w:r>
      <w:r>
        <w:rPr>
          <w:rFonts w:ascii="Cambria" w:hAnsi="Cambria" w:cs="Cambria"/>
          <w:i/>
          <w:iCs/>
          <w:w w:val="105"/>
          <w:sz w:val="19"/>
          <w:szCs w:val="19"/>
        </w:rPr>
        <w:t>a</w:t>
      </w:r>
      <w:r>
        <w:rPr>
          <w:rFonts w:ascii="Cambria" w:hAnsi="Cambria" w:cs="Cambria"/>
          <w:i/>
          <w:iCs/>
          <w:spacing w:val="-10"/>
          <w:w w:val="105"/>
          <w:sz w:val="19"/>
          <w:szCs w:val="19"/>
        </w:rPr>
        <w:t xml:space="preserve"> </w:t>
      </w:r>
      <w:r>
        <w:rPr>
          <w:rFonts w:ascii="Cambria" w:hAnsi="Cambria" w:cs="Cambria"/>
          <w:i/>
          <w:iCs/>
          <w:w w:val="105"/>
          <w:sz w:val="19"/>
          <w:szCs w:val="19"/>
        </w:rPr>
        <w:t>501(c)(3)</w:t>
      </w:r>
      <w:r>
        <w:rPr>
          <w:rFonts w:ascii="Cambria" w:hAnsi="Cambria" w:cs="Cambria"/>
          <w:i/>
          <w:iCs/>
          <w:spacing w:val="-13"/>
          <w:w w:val="105"/>
          <w:sz w:val="19"/>
          <w:szCs w:val="19"/>
        </w:rPr>
        <w:t xml:space="preserve"> </w:t>
      </w:r>
      <w:r>
        <w:rPr>
          <w:rFonts w:ascii="Cambria" w:hAnsi="Cambria" w:cs="Cambria"/>
          <w:i/>
          <w:iCs/>
          <w:w w:val="105"/>
          <w:sz w:val="19"/>
          <w:szCs w:val="19"/>
        </w:rPr>
        <w:t>national</w:t>
      </w:r>
      <w:r>
        <w:rPr>
          <w:rFonts w:ascii="Cambria" w:hAnsi="Cambria" w:cs="Cambria"/>
          <w:i/>
          <w:iCs/>
          <w:spacing w:val="-11"/>
          <w:w w:val="105"/>
          <w:sz w:val="19"/>
          <w:szCs w:val="19"/>
        </w:rPr>
        <w:t xml:space="preserve"> </w:t>
      </w:r>
      <w:r>
        <w:rPr>
          <w:rFonts w:ascii="Cambria" w:hAnsi="Cambria" w:cs="Cambria"/>
          <w:i/>
          <w:iCs/>
          <w:w w:val="105"/>
          <w:sz w:val="19"/>
          <w:szCs w:val="19"/>
        </w:rPr>
        <w:t>movement</w:t>
      </w:r>
      <w:r>
        <w:rPr>
          <w:rFonts w:ascii="Cambria" w:hAnsi="Cambria" w:cs="Cambria"/>
          <w:i/>
          <w:iCs/>
          <w:spacing w:val="-10"/>
          <w:w w:val="105"/>
          <w:sz w:val="19"/>
          <w:szCs w:val="19"/>
        </w:rPr>
        <w:t xml:space="preserve"> </w:t>
      </w:r>
      <w:r>
        <w:rPr>
          <w:rFonts w:ascii="Cambria" w:hAnsi="Cambria" w:cs="Cambria"/>
          <w:i/>
          <w:iCs/>
          <w:w w:val="105"/>
          <w:sz w:val="19"/>
          <w:szCs w:val="19"/>
        </w:rPr>
        <w:t>that</w:t>
      </w:r>
      <w:r>
        <w:rPr>
          <w:rFonts w:ascii="Cambria" w:hAnsi="Cambria" w:cs="Cambria"/>
          <w:i/>
          <w:iCs/>
          <w:spacing w:val="-13"/>
          <w:w w:val="105"/>
          <w:sz w:val="19"/>
          <w:szCs w:val="19"/>
        </w:rPr>
        <w:t xml:space="preserve"> </w:t>
      </w:r>
      <w:r>
        <w:rPr>
          <w:rFonts w:ascii="Cambria" w:hAnsi="Cambria" w:cs="Cambria"/>
          <w:i/>
          <w:iCs/>
          <w:w w:val="105"/>
          <w:sz w:val="19"/>
          <w:szCs w:val="19"/>
        </w:rPr>
        <w:t>mobilizes</w:t>
      </w:r>
      <w:r>
        <w:rPr>
          <w:rFonts w:ascii="Cambria" w:hAnsi="Cambria" w:cs="Cambria"/>
          <w:i/>
          <w:iCs/>
          <w:spacing w:val="-10"/>
          <w:w w:val="105"/>
          <w:sz w:val="19"/>
          <w:szCs w:val="19"/>
        </w:rPr>
        <w:t xml:space="preserve"> </w:t>
      </w:r>
      <w:r>
        <w:rPr>
          <w:rFonts w:ascii="Cambria" w:hAnsi="Cambria" w:cs="Cambria"/>
          <w:i/>
          <w:iCs/>
          <w:w w:val="105"/>
          <w:sz w:val="19"/>
          <w:szCs w:val="19"/>
        </w:rPr>
        <w:t>physicians</w:t>
      </w:r>
      <w:r>
        <w:rPr>
          <w:rFonts w:ascii="Cambria" w:hAnsi="Cambria" w:cs="Cambria"/>
          <w:i/>
          <w:iCs/>
          <w:spacing w:val="-13"/>
          <w:w w:val="105"/>
          <w:sz w:val="19"/>
          <w:szCs w:val="19"/>
        </w:rPr>
        <w:t xml:space="preserve"> </w:t>
      </w:r>
      <w:r>
        <w:rPr>
          <w:rFonts w:ascii="Cambria" w:hAnsi="Cambria" w:cs="Cambria"/>
          <w:i/>
          <w:iCs/>
          <w:w w:val="105"/>
          <w:sz w:val="19"/>
          <w:szCs w:val="19"/>
        </w:rPr>
        <w:t>and</w:t>
      </w:r>
      <w:r>
        <w:rPr>
          <w:rFonts w:ascii="Cambria" w:hAnsi="Cambria" w:cs="Cambria"/>
          <w:i/>
          <w:iCs/>
          <w:spacing w:val="-12"/>
          <w:w w:val="105"/>
          <w:sz w:val="19"/>
          <w:szCs w:val="19"/>
        </w:rPr>
        <w:t xml:space="preserve"> </w:t>
      </w:r>
      <w:r>
        <w:rPr>
          <w:rFonts w:ascii="Cambria" w:hAnsi="Cambria" w:cs="Cambria"/>
          <w:i/>
          <w:iCs/>
          <w:w w:val="105"/>
          <w:sz w:val="19"/>
          <w:szCs w:val="19"/>
        </w:rPr>
        <w:t>medical</w:t>
      </w:r>
      <w:r>
        <w:rPr>
          <w:rFonts w:ascii="Cambria" w:hAnsi="Cambria" w:cs="Cambria"/>
          <w:i/>
          <w:iCs/>
          <w:spacing w:val="-14"/>
          <w:w w:val="105"/>
          <w:sz w:val="19"/>
          <w:szCs w:val="19"/>
        </w:rPr>
        <w:t xml:space="preserve"> </w:t>
      </w:r>
      <w:r>
        <w:rPr>
          <w:rFonts w:ascii="Cambria" w:hAnsi="Cambria" w:cs="Cambria"/>
          <w:i/>
          <w:iCs/>
          <w:w w:val="105"/>
          <w:sz w:val="19"/>
          <w:szCs w:val="19"/>
        </w:rPr>
        <w:t>students</w:t>
      </w:r>
      <w:r>
        <w:rPr>
          <w:rFonts w:ascii="Cambria" w:hAnsi="Cambria" w:cs="Cambria"/>
          <w:i/>
          <w:iCs/>
          <w:spacing w:val="-13"/>
          <w:w w:val="105"/>
          <w:sz w:val="19"/>
          <w:szCs w:val="19"/>
        </w:rPr>
        <w:t xml:space="preserve"> </w:t>
      </w:r>
      <w:r>
        <w:rPr>
          <w:rFonts w:ascii="Cambria" w:hAnsi="Cambria" w:cs="Cambria"/>
          <w:i/>
          <w:iCs/>
          <w:w w:val="105"/>
          <w:sz w:val="19"/>
          <w:szCs w:val="19"/>
        </w:rPr>
        <w:t>to</w:t>
      </w:r>
      <w:r>
        <w:rPr>
          <w:rFonts w:ascii="Cambria" w:hAnsi="Cambria" w:cs="Cambria"/>
          <w:i/>
          <w:iCs/>
          <w:spacing w:val="-14"/>
          <w:w w:val="105"/>
          <w:sz w:val="19"/>
          <w:szCs w:val="19"/>
        </w:rPr>
        <w:t xml:space="preserve"> </w:t>
      </w:r>
      <w:r>
        <w:rPr>
          <w:rFonts w:ascii="Cambria" w:hAnsi="Cambria" w:cs="Cambria"/>
          <w:i/>
          <w:iCs/>
          <w:w w:val="105"/>
          <w:sz w:val="19"/>
          <w:szCs w:val="19"/>
        </w:rPr>
        <w:t>put</w:t>
      </w:r>
      <w:r>
        <w:rPr>
          <w:rFonts w:ascii="Cambria" w:hAnsi="Cambria" w:cs="Cambria"/>
          <w:i/>
          <w:iCs/>
          <w:spacing w:val="-13"/>
          <w:w w:val="105"/>
          <w:sz w:val="19"/>
          <w:szCs w:val="19"/>
        </w:rPr>
        <w:t xml:space="preserve"> </w:t>
      </w:r>
      <w:r>
        <w:rPr>
          <w:rFonts w:ascii="Cambria" w:hAnsi="Cambria" w:cs="Cambria"/>
          <w:i/>
          <w:iCs/>
          <w:w w:val="105"/>
          <w:sz w:val="19"/>
          <w:szCs w:val="19"/>
        </w:rPr>
        <w:t>patients over</w:t>
      </w:r>
      <w:r>
        <w:rPr>
          <w:rFonts w:ascii="Cambria" w:hAnsi="Cambria" w:cs="Cambria"/>
          <w:i/>
          <w:iCs/>
          <w:spacing w:val="-10"/>
          <w:w w:val="105"/>
          <w:sz w:val="19"/>
          <w:szCs w:val="19"/>
        </w:rPr>
        <w:t xml:space="preserve"> </w:t>
      </w:r>
      <w:r>
        <w:rPr>
          <w:rFonts w:ascii="Cambria" w:hAnsi="Cambria" w:cs="Cambria"/>
          <w:i/>
          <w:iCs/>
          <w:w w:val="105"/>
          <w:sz w:val="19"/>
          <w:szCs w:val="19"/>
        </w:rPr>
        <w:t>politics</w:t>
      </w:r>
      <w:r>
        <w:rPr>
          <w:rFonts w:ascii="Cambria" w:hAnsi="Cambria" w:cs="Cambria"/>
          <w:i/>
          <w:iCs/>
          <w:spacing w:val="-9"/>
          <w:w w:val="105"/>
          <w:sz w:val="19"/>
          <w:szCs w:val="19"/>
        </w:rPr>
        <w:t xml:space="preserve"> </w:t>
      </w:r>
      <w:r>
        <w:rPr>
          <w:rFonts w:ascii="Cambria" w:hAnsi="Cambria" w:cs="Cambria"/>
          <w:i/>
          <w:iCs/>
          <w:w w:val="105"/>
          <w:sz w:val="19"/>
          <w:szCs w:val="19"/>
        </w:rPr>
        <w:t>on</w:t>
      </w:r>
      <w:r>
        <w:rPr>
          <w:rFonts w:ascii="Cambria" w:hAnsi="Cambria" w:cs="Cambria"/>
          <w:i/>
          <w:iCs/>
          <w:spacing w:val="-11"/>
          <w:w w:val="105"/>
          <w:sz w:val="19"/>
          <w:szCs w:val="19"/>
        </w:rPr>
        <w:t xml:space="preserve"> </w:t>
      </w:r>
      <w:r>
        <w:rPr>
          <w:rFonts w:ascii="Cambria" w:hAnsi="Cambria" w:cs="Cambria"/>
          <w:i/>
          <w:iCs/>
          <w:w w:val="105"/>
          <w:sz w:val="19"/>
          <w:szCs w:val="19"/>
        </w:rPr>
        <w:t>the</w:t>
      </w:r>
      <w:r>
        <w:rPr>
          <w:rFonts w:ascii="Cambria" w:hAnsi="Cambria" w:cs="Cambria"/>
          <w:i/>
          <w:iCs/>
          <w:spacing w:val="-10"/>
          <w:w w:val="105"/>
          <w:sz w:val="19"/>
          <w:szCs w:val="19"/>
        </w:rPr>
        <w:t xml:space="preserve"> </w:t>
      </w:r>
      <w:r>
        <w:rPr>
          <w:rFonts w:ascii="Cambria" w:hAnsi="Cambria" w:cs="Cambria"/>
          <w:i/>
          <w:iCs/>
          <w:w w:val="105"/>
          <w:sz w:val="19"/>
          <w:szCs w:val="19"/>
        </w:rPr>
        <w:t>pressing</w:t>
      </w:r>
      <w:r>
        <w:rPr>
          <w:rFonts w:ascii="Cambria" w:hAnsi="Cambria" w:cs="Cambria"/>
          <w:i/>
          <w:iCs/>
          <w:spacing w:val="-9"/>
          <w:w w:val="105"/>
          <w:sz w:val="19"/>
          <w:szCs w:val="19"/>
        </w:rPr>
        <w:t xml:space="preserve"> </w:t>
      </w:r>
      <w:r>
        <w:rPr>
          <w:rFonts w:ascii="Cambria" w:hAnsi="Cambria" w:cs="Cambria"/>
          <w:i/>
          <w:iCs/>
          <w:w w:val="105"/>
          <w:sz w:val="19"/>
          <w:szCs w:val="19"/>
        </w:rPr>
        <w:t>issues</w:t>
      </w:r>
      <w:r>
        <w:rPr>
          <w:rFonts w:ascii="Cambria" w:hAnsi="Cambria" w:cs="Cambria"/>
          <w:i/>
          <w:iCs/>
          <w:spacing w:val="-9"/>
          <w:w w:val="105"/>
          <w:sz w:val="19"/>
          <w:szCs w:val="19"/>
        </w:rPr>
        <w:t xml:space="preserve"> </w:t>
      </w:r>
      <w:r>
        <w:rPr>
          <w:rFonts w:ascii="Cambria" w:hAnsi="Cambria" w:cs="Cambria"/>
          <w:i/>
          <w:iCs/>
          <w:w w:val="105"/>
          <w:sz w:val="19"/>
          <w:szCs w:val="19"/>
        </w:rPr>
        <w:t>of</w:t>
      </w:r>
      <w:r>
        <w:rPr>
          <w:rFonts w:ascii="Cambria" w:hAnsi="Cambria" w:cs="Cambria"/>
          <w:i/>
          <w:iCs/>
          <w:spacing w:val="-11"/>
          <w:w w:val="105"/>
          <w:sz w:val="19"/>
          <w:szCs w:val="19"/>
        </w:rPr>
        <w:t xml:space="preserve"> </w:t>
      </w:r>
      <w:r>
        <w:rPr>
          <w:rFonts w:ascii="Cambria" w:hAnsi="Cambria" w:cs="Cambria"/>
          <w:i/>
          <w:iCs/>
          <w:w w:val="105"/>
          <w:sz w:val="19"/>
          <w:szCs w:val="19"/>
        </w:rPr>
        <w:t>the</w:t>
      </w:r>
      <w:r>
        <w:rPr>
          <w:rFonts w:ascii="Cambria" w:hAnsi="Cambria" w:cs="Cambria"/>
          <w:i/>
          <w:iCs/>
          <w:spacing w:val="-10"/>
          <w:w w:val="105"/>
          <w:sz w:val="19"/>
          <w:szCs w:val="19"/>
        </w:rPr>
        <w:t xml:space="preserve"> </w:t>
      </w:r>
      <w:r>
        <w:rPr>
          <w:rFonts w:ascii="Cambria" w:hAnsi="Cambria" w:cs="Cambria"/>
          <w:i/>
          <w:iCs/>
          <w:w w:val="105"/>
          <w:sz w:val="19"/>
          <w:szCs w:val="19"/>
        </w:rPr>
        <w:t>day</w:t>
      </w:r>
      <w:r>
        <w:rPr>
          <w:rFonts w:ascii="Cambria" w:hAnsi="Cambria" w:cs="Cambria"/>
          <w:i/>
          <w:iCs/>
          <w:spacing w:val="-10"/>
          <w:w w:val="105"/>
          <w:sz w:val="19"/>
          <w:szCs w:val="19"/>
        </w:rPr>
        <w:t xml:space="preserve"> </w:t>
      </w:r>
      <w:r>
        <w:rPr>
          <w:rFonts w:ascii="Cambria" w:hAnsi="Cambria" w:cs="Cambria"/>
          <w:i/>
          <w:iCs/>
          <w:w w:val="105"/>
          <w:sz w:val="19"/>
          <w:szCs w:val="19"/>
        </w:rPr>
        <w:t>to</w:t>
      </w:r>
      <w:r>
        <w:rPr>
          <w:rFonts w:ascii="Cambria" w:hAnsi="Cambria" w:cs="Cambria"/>
          <w:i/>
          <w:iCs/>
          <w:spacing w:val="-10"/>
          <w:w w:val="105"/>
          <w:sz w:val="19"/>
          <w:szCs w:val="19"/>
        </w:rPr>
        <w:t xml:space="preserve"> </w:t>
      </w:r>
      <w:r>
        <w:rPr>
          <w:rFonts w:ascii="Cambria" w:hAnsi="Cambria" w:cs="Cambria"/>
          <w:i/>
          <w:iCs/>
          <w:w w:val="105"/>
          <w:sz w:val="19"/>
          <w:szCs w:val="19"/>
        </w:rPr>
        <w:t>improve</w:t>
      </w:r>
      <w:r>
        <w:rPr>
          <w:rFonts w:ascii="Cambria" w:hAnsi="Cambria" w:cs="Cambria"/>
          <w:i/>
          <w:iCs/>
          <w:spacing w:val="-10"/>
          <w:w w:val="105"/>
          <w:sz w:val="19"/>
          <w:szCs w:val="19"/>
        </w:rPr>
        <w:t xml:space="preserve"> </w:t>
      </w:r>
      <w:r>
        <w:rPr>
          <w:rFonts w:ascii="Cambria" w:hAnsi="Cambria" w:cs="Cambria"/>
          <w:i/>
          <w:iCs/>
          <w:w w:val="105"/>
          <w:sz w:val="19"/>
          <w:szCs w:val="19"/>
        </w:rPr>
        <w:t>the</w:t>
      </w:r>
      <w:r>
        <w:rPr>
          <w:rFonts w:ascii="Cambria" w:hAnsi="Cambria" w:cs="Cambria"/>
          <w:i/>
          <w:iCs/>
          <w:spacing w:val="-10"/>
          <w:w w:val="105"/>
          <w:sz w:val="19"/>
          <w:szCs w:val="19"/>
        </w:rPr>
        <w:t xml:space="preserve"> </w:t>
      </w:r>
      <w:r>
        <w:rPr>
          <w:rFonts w:ascii="Cambria" w:hAnsi="Cambria" w:cs="Cambria"/>
          <w:i/>
          <w:iCs/>
          <w:w w:val="105"/>
          <w:sz w:val="19"/>
          <w:szCs w:val="19"/>
        </w:rPr>
        <w:t>health</w:t>
      </w:r>
      <w:r>
        <w:rPr>
          <w:rFonts w:ascii="Cambria" w:hAnsi="Cambria" w:cs="Cambria"/>
          <w:i/>
          <w:iCs/>
          <w:spacing w:val="-10"/>
          <w:w w:val="105"/>
          <w:sz w:val="19"/>
          <w:szCs w:val="19"/>
        </w:rPr>
        <w:t xml:space="preserve"> </w:t>
      </w:r>
      <w:r>
        <w:rPr>
          <w:rFonts w:ascii="Cambria" w:hAnsi="Cambria" w:cs="Cambria"/>
          <w:i/>
          <w:iCs/>
          <w:w w:val="105"/>
          <w:sz w:val="19"/>
          <w:szCs w:val="19"/>
        </w:rPr>
        <w:t>of</w:t>
      </w:r>
      <w:r>
        <w:rPr>
          <w:rFonts w:ascii="Cambria" w:hAnsi="Cambria" w:cs="Cambria"/>
          <w:i/>
          <w:iCs/>
          <w:spacing w:val="-11"/>
          <w:w w:val="105"/>
          <w:sz w:val="19"/>
          <w:szCs w:val="19"/>
        </w:rPr>
        <w:t xml:space="preserve"> </w:t>
      </w:r>
      <w:r>
        <w:rPr>
          <w:rFonts w:ascii="Cambria" w:hAnsi="Cambria" w:cs="Cambria"/>
          <w:i/>
          <w:iCs/>
          <w:w w:val="105"/>
          <w:sz w:val="19"/>
          <w:szCs w:val="19"/>
        </w:rPr>
        <w:t>our</w:t>
      </w:r>
      <w:r>
        <w:rPr>
          <w:rFonts w:ascii="Cambria" w:hAnsi="Cambria" w:cs="Cambria"/>
          <w:i/>
          <w:iCs/>
          <w:spacing w:val="-10"/>
          <w:w w:val="105"/>
          <w:sz w:val="19"/>
          <w:szCs w:val="19"/>
        </w:rPr>
        <w:t xml:space="preserve"> </w:t>
      </w:r>
      <w:r>
        <w:rPr>
          <w:rFonts w:ascii="Cambria" w:hAnsi="Cambria" w:cs="Cambria"/>
          <w:i/>
          <w:iCs/>
          <w:w w:val="105"/>
          <w:sz w:val="19"/>
          <w:szCs w:val="19"/>
        </w:rPr>
        <w:t>patients,</w:t>
      </w:r>
      <w:r>
        <w:rPr>
          <w:rFonts w:ascii="Cambria" w:hAnsi="Cambria" w:cs="Cambria"/>
          <w:i/>
          <w:iCs/>
          <w:spacing w:val="-12"/>
          <w:w w:val="105"/>
          <w:sz w:val="19"/>
          <w:szCs w:val="19"/>
        </w:rPr>
        <w:t xml:space="preserve"> </w:t>
      </w:r>
      <w:r>
        <w:rPr>
          <w:rFonts w:ascii="Cambria" w:hAnsi="Cambria" w:cs="Cambria"/>
          <w:i/>
          <w:iCs/>
          <w:w w:val="105"/>
          <w:sz w:val="19"/>
          <w:szCs w:val="19"/>
        </w:rPr>
        <w:t>communities,</w:t>
      </w:r>
      <w:r>
        <w:rPr>
          <w:rFonts w:ascii="Cambria" w:hAnsi="Cambria" w:cs="Cambria"/>
          <w:i/>
          <w:iCs/>
          <w:spacing w:val="-9"/>
          <w:w w:val="105"/>
          <w:sz w:val="19"/>
          <w:szCs w:val="19"/>
        </w:rPr>
        <w:t xml:space="preserve"> </w:t>
      </w:r>
      <w:r>
        <w:rPr>
          <w:rFonts w:ascii="Cambria" w:hAnsi="Cambria" w:cs="Cambria"/>
          <w:i/>
          <w:iCs/>
          <w:w w:val="105"/>
          <w:sz w:val="19"/>
          <w:szCs w:val="19"/>
        </w:rPr>
        <w:t>and</w:t>
      </w:r>
      <w:r>
        <w:rPr>
          <w:rFonts w:ascii="Cambria" w:hAnsi="Cambria" w:cs="Cambria"/>
          <w:i/>
          <w:iCs/>
          <w:spacing w:val="-11"/>
          <w:w w:val="105"/>
          <w:sz w:val="19"/>
          <w:szCs w:val="19"/>
        </w:rPr>
        <w:t xml:space="preserve"> </w:t>
      </w:r>
      <w:r>
        <w:rPr>
          <w:rFonts w:ascii="Cambria" w:hAnsi="Cambria" w:cs="Cambria"/>
          <w:i/>
          <w:iCs/>
          <w:w w:val="105"/>
          <w:sz w:val="19"/>
          <w:szCs w:val="19"/>
        </w:rPr>
        <w:t>nation..</w:t>
      </w:r>
    </w:p>
    <w:p w:rsidR="002C5025" w:rsidRDefault="002C5025">
      <w:pPr>
        <w:pStyle w:val="BodyText"/>
        <w:kinsoku w:val="0"/>
        <w:overflowPunct w:val="0"/>
        <w:spacing w:before="109" w:line="244" w:lineRule="auto"/>
        <w:ind w:left="642" w:right="773" w:hanging="348"/>
        <w:rPr>
          <w:rFonts w:ascii="Cambria" w:hAnsi="Cambria" w:cs="Cambria"/>
          <w:i/>
          <w:iCs/>
          <w:w w:val="105"/>
          <w:sz w:val="19"/>
          <w:szCs w:val="19"/>
        </w:rPr>
        <w:sectPr w:rsidR="002C5025">
          <w:pgSz w:w="12240" w:h="15840"/>
          <w:pgMar w:top="940" w:right="820" w:bottom="280" w:left="800" w:header="720" w:footer="720" w:gutter="0"/>
          <w:pgBorders w:offsetFrom="page">
            <w:top w:val="single" w:sz="24" w:space="24" w:color="213957"/>
            <w:left w:val="single" w:sz="24" w:space="24" w:color="213957"/>
            <w:bottom w:val="single" w:sz="24" w:space="24" w:color="213957"/>
            <w:right w:val="single" w:sz="24" w:space="24" w:color="213957"/>
          </w:pgBorders>
          <w:cols w:space="720"/>
          <w:noEndnote/>
        </w:sectPr>
      </w:pPr>
    </w:p>
    <w:p w:rsidR="002C5025" w:rsidRDefault="002C5025">
      <w:pPr>
        <w:pStyle w:val="BodyText"/>
        <w:kinsoku w:val="0"/>
        <w:overflowPunct w:val="0"/>
        <w:spacing w:before="52" w:line="276" w:lineRule="auto"/>
        <w:ind w:left="143" w:right="170"/>
        <w:rPr>
          <w:rFonts w:ascii="Times New Roman" w:hAnsi="Times New Roman" w:cs="Times New Roman"/>
          <w:sz w:val="24"/>
          <w:szCs w:val="24"/>
        </w:rPr>
      </w:pPr>
      <w:r>
        <w:rPr>
          <w:rFonts w:ascii="Times New Roman" w:hAnsi="Times New Roman" w:cs="Times New Roman"/>
          <w:sz w:val="24"/>
          <w:szCs w:val="24"/>
        </w:rPr>
        <w:lastRenderedPageBreak/>
        <w:t>The Steering Committee should have significant authority and be required to approve any significant changes from the approved 1115 waiver. The oversight Steering Committee should have both clinical and non-clinical</w:t>
      </w:r>
      <w:r>
        <w:rPr>
          <w:rFonts w:ascii="Times New Roman" w:hAnsi="Times New Roman" w:cs="Times New Roman"/>
          <w:spacing w:val="-8"/>
          <w:sz w:val="24"/>
          <w:szCs w:val="24"/>
        </w:rPr>
        <w:t xml:space="preserve"> </w:t>
      </w:r>
      <w:r>
        <w:rPr>
          <w:rFonts w:ascii="Times New Roman" w:hAnsi="Times New Roman" w:cs="Times New Roman"/>
          <w:sz w:val="24"/>
          <w:szCs w:val="24"/>
        </w:rPr>
        <w:t>members,</w:t>
      </w:r>
      <w:r>
        <w:rPr>
          <w:rFonts w:ascii="Times New Roman" w:hAnsi="Times New Roman" w:cs="Times New Roman"/>
          <w:spacing w:val="-8"/>
          <w:sz w:val="24"/>
          <w:szCs w:val="24"/>
        </w:rPr>
        <w:t xml:space="preserve"> </w:t>
      </w:r>
      <w:r>
        <w:rPr>
          <w:rFonts w:ascii="Times New Roman" w:hAnsi="Times New Roman" w:cs="Times New Roman"/>
          <w:sz w:val="24"/>
          <w:szCs w:val="24"/>
        </w:rPr>
        <w:t>key</w:t>
      </w:r>
      <w:r>
        <w:rPr>
          <w:rFonts w:ascii="Times New Roman" w:hAnsi="Times New Roman" w:cs="Times New Roman"/>
          <w:spacing w:val="-11"/>
          <w:sz w:val="24"/>
          <w:szCs w:val="24"/>
        </w:rPr>
        <w:t xml:space="preserve"> </w:t>
      </w:r>
      <w:r>
        <w:rPr>
          <w:rFonts w:ascii="Times New Roman" w:hAnsi="Times New Roman" w:cs="Times New Roman"/>
          <w:sz w:val="24"/>
          <w:szCs w:val="24"/>
        </w:rPr>
        <w:t>state</w:t>
      </w:r>
      <w:r>
        <w:rPr>
          <w:rFonts w:ascii="Times New Roman" w:hAnsi="Times New Roman" w:cs="Times New Roman"/>
          <w:spacing w:val="-9"/>
          <w:sz w:val="24"/>
          <w:szCs w:val="24"/>
        </w:rPr>
        <w:t xml:space="preserve"> </w:t>
      </w:r>
      <w:r>
        <w:rPr>
          <w:rFonts w:ascii="Times New Roman" w:hAnsi="Times New Roman" w:cs="Times New Roman"/>
          <w:sz w:val="24"/>
          <w:szCs w:val="24"/>
        </w:rPr>
        <w:t>legislators,</w:t>
      </w:r>
      <w:r>
        <w:rPr>
          <w:rFonts w:ascii="Times New Roman" w:hAnsi="Times New Roman" w:cs="Times New Roman"/>
          <w:spacing w:val="-8"/>
          <w:sz w:val="24"/>
          <w:szCs w:val="24"/>
        </w:rPr>
        <w:t xml:space="preserve"> </w:t>
      </w:r>
      <w:r>
        <w:rPr>
          <w:rFonts w:ascii="Times New Roman" w:hAnsi="Times New Roman" w:cs="Times New Roman"/>
          <w:sz w:val="24"/>
          <w:szCs w:val="24"/>
        </w:rPr>
        <w:t>sister</w:t>
      </w:r>
      <w:r>
        <w:rPr>
          <w:rFonts w:ascii="Times New Roman" w:hAnsi="Times New Roman" w:cs="Times New Roman"/>
          <w:spacing w:val="-7"/>
          <w:sz w:val="24"/>
          <w:szCs w:val="24"/>
        </w:rPr>
        <w:t xml:space="preserve"> </w:t>
      </w:r>
      <w:r>
        <w:rPr>
          <w:rFonts w:ascii="Times New Roman" w:hAnsi="Times New Roman" w:cs="Times New Roman"/>
          <w:sz w:val="24"/>
          <w:szCs w:val="24"/>
        </w:rPr>
        <w:t>agencies</w:t>
      </w:r>
      <w:r>
        <w:rPr>
          <w:rFonts w:ascii="Times New Roman" w:hAnsi="Times New Roman" w:cs="Times New Roman"/>
          <w:spacing w:val="-8"/>
          <w:sz w:val="24"/>
          <w:szCs w:val="24"/>
        </w:rPr>
        <w:t xml:space="preserve"> </w:t>
      </w:r>
      <w:r>
        <w:rPr>
          <w:rFonts w:ascii="Times New Roman" w:hAnsi="Times New Roman" w:cs="Times New Roman"/>
          <w:sz w:val="24"/>
          <w:szCs w:val="24"/>
        </w:rPr>
        <w:t>(e.g.</w:t>
      </w:r>
      <w:r>
        <w:rPr>
          <w:rFonts w:ascii="Times New Roman" w:hAnsi="Times New Roman" w:cs="Times New Roman"/>
          <w:spacing w:val="-6"/>
          <w:sz w:val="24"/>
          <w:szCs w:val="24"/>
        </w:rPr>
        <w:t xml:space="preserve"> </w:t>
      </w:r>
      <w:r>
        <w:rPr>
          <w:rFonts w:ascii="Times New Roman" w:hAnsi="Times New Roman" w:cs="Times New Roman"/>
          <w:sz w:val="24"/>
          <w:szCs w:val="24"/>
        </w:rPr>
        <w:t>DPH,</w:t>
      </w:r>
      <w:r>
        <w:rPr>
          <w:rFonts w:ascii="Times New Roman" w:hAnsi="Times New Roman" w:cs="Times New Roman"/>
          <w:spacing w:val="-8"/>
          <w:sz w:val="24"/>
          <w:szCs w:val="24"/>
        </w:rPr>
        <w:t xml:space="preserve"> </w:t>
      </w:r>
      <w:r>
        <w:rPr>
          <w:rFonts w:ascii="Times New Roman" w:hAnsi="Times New Roman" w:cs="Times New Roman"/>
          <w:sz w:val="24"/>
          <w:szCs w:val="24"/>
        </w:rPr>
        <w:t>Education,</w:t>
      </w:r>
      <w:r>
        <w:rPr>
          <w:rFonts w:ascii="Times New Roman" w:hAnsi="Times New Roman" w:cs="Times New Roman"/>
          <w:spacing w:val="-8"/>
          <w:sz w:val="24"/>
          <w:szCs w:val="24"/>
        </w:rPr>
        <w:t xml:space="preserve"> </w:t>
      </w:r>
      <w:r>
        <w:rPr>
          <w:rFonts w:ascii="Times New Roman" w:hAnsi="Times New Roman" w:cs="Times New Roman"/>
          <w:sz w:val="24"/>
          <w:szCs w:val="24"/>
        </w:rPr>
        <w:t>Transportation),</w:t>
      </w:r>
      <w:r>
        <w:rPr>
          <w:rFonts w:ascii="Times New Roman" w:hAnsi="Times New Roman" w:cs="Times New Roman"/>
          <w:spacing w:val="-8"/>
          <w:sz w:val="24"/>
          <w:szCs w:val="24"/>
        </w:rPr>
        <w:t xml:space="preserve"> </w:t>
      </w:r>
      <w:r>
        <w:rPr>
          <w:rFonts w:ascii="Times New Roman" w:hAnsi="Times New Roman" w:cs="Times New Roman"/>
          <w:sz w:val="24"/>
          <w:szCs w:val="24"/>
        </w:rPr>
        <w:t>and</w:t>
      </w:r>
      <w:r>
        <w:rPr>
          <w:rFonts w:ascii="Times New Roman" w:hAnsi="Times New Roman" w:cs="Times New Roman"/>
          <w:spacing w:val="-6"/>
          <w:sz w:val="24"/>
          <w:szCs w:val="24"/>
        </w:rPr>
        <w:t xml:space="preserve"> </w:t>
      </w:r>
      <w:r>
        <w:rPr>
          <w:rFonts w:ascii="Times New Roman" w:hAnsi="Times New Roman" w:cs="Times New Roman"/>
          <w:sz w:val="24"/>
          <w:szCs w:val="24"/>
        </w:rPr>
        <w:t>other policymakers. The Committee should serve as a public forum to provide accountability to make sure the demonstration is meeting its goals, identify areas for improvement, help to troubleshoot unexpected challenges. The minutes of these meetings should be available on the public record. In addition, experience of reform can be monitored through ongoing key informant interviews, focus groups, and informal feedback</w:t>
      </w:r>
      <w:r>
        <w:rPr>
          <w:rFonts w:ascii="Times New Roman" w:hAnsi="Times New Roman" w:cs="Times New Roman"/>
          <w:spacing w:val="-7"/>
          <w:sz w:val="24"/>
          <w:szCs w:val="24"/>
        </w:rPr>
        <w:t xml:space="preserve"> </w:t>
      </w:r>
      <w:r>
        <w:rPr>
          <w:rFonts w:ascii="Times New Roman" w:hAnsi="Times New Roman" w:cs="Times New Roman"/>
          <w:sz w:val="24"/>
          <w:szCs w:val="24"/>
        </w:rPr>
        <w:t>mechanisms</w:t>
      </w:r>
      <w:r>
        <w:rPr>
          <w:rFonts w:ascii="Times New Roman" w:hAnsi="Times New Roman" w:cs="Times New Roman"/>
          <w:spacing w:val="-7"/>
          <w:sz w:val="24"/>
          <w:szCs w:val="24"/>
        </w:rPr>
        <w:t xml:space="preserve"> </w:t>
      </w:r>
      <w:r>
        <w:rPr>
          <w:rFonts w:ascii="Times New Roman" w:hAnsi="Times New Roman" w:cs="Times New Roman"/>
          <w:sz w:val="24"/>
          <w:szCs w:val="24"/>
        </w:rPr>
        <w:t>from</w:t>
      </w:r>
      <w:r>
        <w:rPr>
          <w:rFonts w:ascii="Times New Roman" w:hAnsi="Times New Roman" w:cs="Times New Roman"/>
          <w:spacing w:val="-7"/>
          <w:sz w:val="24"/>
          <w:szCs w:val="24"/>
        </w:rPr>
        <w:t xml:space="preserve"> </w:t>
      </w:r>
      <w:r>
        <w:rPr>
          <w:rFonts w:ascii="Times New Roman" w:hAnsi="Times New Roman" w:cs="Times New Roman"/>
          <w:sz w:val="24"/>
          <w:szCs w:val="24"/>
        </w:rPr>
        <w:t>the</w:t>
      </w:r>
      <w:r>
        <w:rPr>
          <w:rFonts w:ascii="Times New Roman" w:hAnsi="Times New Roman" w:cs="Times New Roman"/>
          <w:spacing w:val="-8"/>
          <w:sz w:val="24"/>
          <w:szCs w:val="24"/>
        </w:rPr>
        <w:t xml:space="preserve"> </w:t>
      </w:r>
      <w:r>
        <w:rPr>
          <w:rFonts w:ascii="Times New Roman" w:hAnsi="Times New Roman" w:cs="Times New Roman"/>
          <w:sz w:val="24"/>
          <w:szCs w:val="24"/>
        </w:rPr>
        <w:t>front</w:t>
      </w:r>
      <w:r>
        <w:rPr>
          <w:rFonts w:ascii="Times New Roman" w:hAnsi="Times New Roman" w:cs="Times New Roman"/>
          <w:spacing w:val="-7"/>
          <w:sz w:val="24"/>
          <w:szCs w:val="24"/>
        </w:rPr>
        <w:t xml:space="preserve"> </w:t>
      </w:r>
      <w:r>
        <w:rPr>
          <w:rFonts w:ascii="Times New Roman" w:hAnsi="Times New Roman" w:cs="Times New Roman"/>
          <w:sz w:val="24"/>
          <w:szCs w:val="24"/>
        </w:rPr>
        <w:t>lines</w:t>
      </w:r>
      <w:r>
        <w:rPr>
          <w:rFonts w:ascii="Times New Roman" w:hAnsi="Times New Roman" w:cs="Times New Roman"/>
          <w:spacing w:val="-7"/>
          <w:sz w:val="24"/>
          <w:szCs w:val="24"/>
        </w:rPr>
        <w:t xml:space="preserve"> </w:t>
      </w:r>
      <w:r>
        <w:rPr>
          <w:rFonts w:ascii="Times New Roman" w:hAnsi="Times New Roman" w:cs="Times New Roman"/>
          <w:sz w:val="24"/>
          <w:szCs w:val="24"/>
        </w:rPr>
        <w:t>of</w:t>
      </w:r>
      <w:r>
        <w:rPr>
          <w:rFonts w:ascii="Times New Roman" w:hAnsi="Times New Roman" w:cs="Times New Roman"/>
          <w:spacing w:val="-8"/>
          <w:sz w:val="24"/>
          <w:szCs w:val="24"/>
        </w:rPr>
        <w:t xml:space="preserve"> </w:t>
      </w:r>
      <w:r>
        <w:rPr>
          <w:rFonts w:ascii="Times New Roman" w:hAnsi="Times New Roman" w:cs="Times New Roman"/>
          <w:sz w:val="24"/>
          <w:szCs w:val="24"/>
        </w:rPr>
        <w:t>care.</w:t>
      </w:r>
    </w:p>
    <w:p w:rsidR="002C5025" w:rsidRDefault="002C5025">
      <w:pPr>
        <w:pStyle w:val="BodyText"/>
        <w:kinsoku w:val="0"/>
        <w:overflowPunct w:val="0"/>
        <w:spacing w:before="7"/>
        <w:rPr>
          <w:rFonts w:ascii="Times New Roman" w:hAnsi="Times New Roman" w:cs="Times New Roman"/>
          <w:sz w:val="27"/>
          <w:szCs w:val="27"/>
        </w:rPr>
      </w:pPr>
    </w:p>
    <w:p w:rsidR="002C5025" w:rsidRDefault="002C5025">
      <w:pPr>
        <w:pStyle w:val="BodyText"/>
        <w:kinsoku w:val="0"/>
        <w:overflowPunct w:val="0"/>
        <w:spacing w:line="276" w:lineRule="auto"/>
        <w:ind w:left="143" w:right="351"/>
        <w:rPr>
          <w:rFonts w:ascii="Times New Roman" w:hAnsi="Times New Roman" w:cs="Times New Roman"/>
          <w:sz w:val="24"/>
          <w:szCs w:val="24"/>
        </w:rPr>
      </w:pPr>
      <w:r>
        <w:rPr>
          <w:rFonts w:ascii="Times New Roman" w:hAnsi="Times New Roman" w:cs="Times New Roman"/>
          <w:sz w:val="24"/>
          <w:szCs w:val="24"/>
        </w:rPr>
        <w:t xml:space="preserve">Thank you again for this opportunity to comment on the proposed 1115 waiver submission to redesign MassHealth. Please contact Dr. Audrey </w:t>
      </w:r>
      <w:proofErr w:type="spellStart"/>
      <w:r>
        <w:rPr>
          <w:rFonts w:ascii="Times New Roman" w:hAnsi="Times New Roman" w:cs="Times New Roman"/>
          <w:sz w:val="24"/>
          <w:szCs w:val="24"/>
        </w:rPr>
        <w:t>Provenzano</w:t>
      </w:r>
      <w:proofErr w:type="spellEnd"/>
      <w:r>
        <w:rPr>
          <w:rFonts w:ascii="Times New Roman" w:hAnsi="Times New Roman" w:cs="Times New Roman"/>
          <w:sz w:val="24"/>
          <w:szCs w:val="24"/>
        </w:rPr>
        <w:t xml:space="preserve"> or Dr. Amy Baughman at </w:t>
      </w:r>
      <w:hyperlink r:id="rId293" w:history="1">
        <w:r>
          <w:rPr>
            <w:rFonts w:ascii="Times New Roman" w:hAnsi="Times New Roman" w:cs="Times New Roman"/>
            <w:sz w:val="24"/>
            <w:szCs w:val="24"/>
            <w:u w:val="single" w:color="000000"/>
          </w:rPr>
          <w:t xml:space="preserve">massachusetts@drsforamerica.org </w:t>
        </w:r>
      </w:hyperlink>
      <w:r>
        <w:rPr>
          <w:rFonts w:ascii="Times New Roman" w:hAnsi="Times New Roman" w:cs="Times New Roman"/>
          <w:sz w:val="24"/>
          <w:szCs w:val="24"/>
        </w:rPr>
        <w:t>with questions or comments. We look forward to continuing to inform and assist your efforts as you move forward with implementation.</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spacing w:before="8"/>
        <w:rPr>
          <w:rFonts w:ascii="Times New Roman" w:hAnsi="Times New Roman" w:cs="Times New Roman"/>
          <w:sz w:val="20"/>
          <w:szCs w:val="20"/>
        </w:rPr>
      </w:pPr>
    </w:p>
    <w:p w:rsidR="002C5025" w:rsidRDefault="002C5025">
      <w:pPr>
        <w:pStyle w:val="BodyText"/>
        <w:kinsoku w:val="0"/>
        <w:overflowPunct w:val="0"/>
        <w:ind w:left="143" w:right="126"/>
        <w:rPr>
          <w:rFonts w:ascii="Times New Roman" w:hAnsi="Times New Roman" w:cs="Times New Roman"/>
          <w:sz w:val="24"/>
          <w:szCs w:val="24"/>
        </w:rPr>
      </w:pPr>
      <w:r>
        <w:rPr>
          <w:rFonts w:ascii="Times New Roman" w:hAnsi="Times New Roman" w:cs="Times New Roman"/>
          <w:sz w:val="24"/>
          <w:szCs w:val="24"/>
        </w:rPr>
        <w:t>Sincerely,</w:t>
      </w:r>
    </w:p>
    <w:p w:rsidR="002C5025" w:rsidRDefault="002C5025">
      <w:pPr>
        <w:pStyle w:val="BodyText"/>
        <w:kinsoku w:val="0"/>
        <w:overflowPunct w:val="0"/>
        <w:spacing w:before="17" w:line="274" w:lineRule="exact"/>
        <w:ind w:left="143" w:right="6884"/>
        <w:rPr>
          <w:rFonts w:ascii="Times New Roman" w:hAnsi="Times New Roman" w:cs="Times New Roman"/>
          <w:sz w:val="24"/>
          <w:szCs w:val="24"/>
        </w:rPr>
      </w:pPr>
      <w:r>
        <w:rPr>
          <w:rFonts w:ascii="Times New Roman" w:hAnsi="Times New Roman" w:cs="Times New Roman"/>
          <w:sz w:val="24"/>
          <w:szCs w:val="24"/>
        </w:rPr>
        <w:t xml:space="preserve">Audrey </w:t>
      </w:r>
      <w:proofErr w:type="spellStart"/>
      <w:r>
        <w:rPr>
          <w:rFonts w:ascii="Times New Roman" w:hAnsi="Times New Roman" w:cs="Times New Roman"/>
          <w:sz w:val="24"/>
          <w:szCs w:val="24"/>
        </w:rPr>
        <w:t>Provenzano</w:t>
      </w:r>
      <w:proofErr w:type="spellEnd"/>
      <w:r>
        <w:rPr>
          <w:rFonts w:ascii="Times New Roman" w:hAnsi="Times New Roman" w:cs="Times New Roman"/>
          <w:sz w:val="24"/>
          <w:szCs w:val="24"/>
        </w:rPr>
        <w:t xml:space="preserve">, MD MPH </w:t>
      </w:r>
      <w:proofErr w:type="spellStart"/>
      <w:r>
        <w:rPr>
          <w:rFonts w:ascii="Times New Roman" w:hAnsi="Times New Roman" w:cs="Times New Roman"/>
          <w:sz w:val="24"/>
          <w:szCs w:val="24"/>
        </w:rPr>
        <w:t>Sonali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Saluja</w:t>
      </w:r>
      <w:proofErr w:type="spellEnd"/>
      <w:r>
        <w:rPr>
          <w:rFonts w:ascii="Times New Roman" w:hAnsi="Times New Roman" w:cs="Times New Roman"/>
          <w:sz w:val="24"/>
          <w:szCs w:val="24"/>
        </w:rPr>
        <w:t>, MD MPH</w:t>
      </w:r>
    </w:p>
    <w:p w:rsidR="002C5025" w:rsidRDefault="002C5025">
      <w:pPr>
        <w:pStyle w:val="BodyText"/>
        <w:kinsoku w:val="0"/>
        <w:overflowPunct w:val="0"/>
        <w:spacing w:line="268" w:lineRule="exact"/>
        <w:ind w:left="143" w:right="126"/>
        <w:rPr>
          <w:rFonts w:ascii="Times New Roman" w:hAnsi="Times New Roman" w:cs="Times New Roman"/>
          <w:sz w:val="24"/>
          <w:szCs w:val="24"/>
        </w:rPr>
      </w:pPr>
      <w:r>
        <w:rPr>
          <w:rFonts w:ascii="Times New Roman" w:hAnsi="Times New Roman" w:cs="Times New Roman"/>
          <w:sz w:val="24"/>
          <w:szCs w:val="24"/>
        </w:rPr>
        <w:t>Amy Baughman, MD MPH</w:t>
      </w:r>
    </w:p>
    <w:p w:rsidR="002C5025" w:rsidRDefault="002C5025">
      <w:pPr>
        <w:pStyle w:val="BodyText"/>
        <w:kinsoku w:val="0"/>
        <w:overflowPunct w:val="0"/>
        <w:spacing w:line="274" w:lineRule="exact"/>
        <w:ind w:left="143" w:right="126"/>
        <w:rPr>
          <w:rFonts w:ascii="Times New Roman" w:hAnsi="Times New Roman" w:cs="Times New Roman"/>
          <w:sz w:val="24"/>
          <w:szCs w:val="24"/>
        </w:rPr>
      </w:pPr>
      <w:r>
        <w:rPr>
          <w:rFonts w:ascii="Times New Roman" w:hAnsi="Times New Roman" w:cs="Times New Roman"/>
          <w:sz w:val="24"/>
          <w:szCs w:val="24"/>
        </w:rPr>
        <w:t>Massachusetts Chapter Health Reform Leadership Team</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1"/>
        <w:rPr>
          <w:rFonts w:ascii="Times New Roman" w:hAnsi="Times New Roman" w:cs="Times New Roman"/>
          <w:sz w:val="17"/>
          <w:szCs w:val="17"/>
        </w:rPr>
      </w:pPr>
    </w:p>
    <w:p w:rsidR="002C5025" w:rsidRDefault="00FB027C">
      <w:pPr>
        <w:pStyle w:val="BodyText"/>
        <w:kinsoku w:val="0"/>
        <w:overflowPunct w:val="0"/>
        <w:ind w:right="102"/>
        <w:jc w:val="right"/>
        <w:rPr>
          <w:rFonts w:ascii="Times New Roman" w:hAnsi="Times New Roman" w:cs="Times New Roman"/>
          <w:sz w:val="19"/>
          <w:szCs w:val="19"/>
        </w:rPr>
      </w:pPr>
      <w:r>
        <w:rPr>
          <w:noProof/>
        </w:rPr>
        <mc:AlternateContent>
          <mc:Choice Requires="wpg">
            <w:drawing>
              <wp:anchor distT="0" distB="0" distL="114300" distR="114300" simplePos="0" relativeHeight="251638272" behindDoc="0" locked="0" layoutInCell="0" allowOverlap="1">
                <wp:simplePos x="0" y="0"/>
                <wp:positionH relativeFrom="page">
                  <wp:posOffset>572135</wp:posOffset>
                </wp:positionH>
                <wp:positionV relativeFrom="paragraph">
                  <wp:posOffset>-635</wp:posOffset>
                </wp:positionV>
                <wp:extent cx="6410960" cy="37465"/>
                <wp:effectExtent l="0" t="0" r="0" b="0"/>
                <wp:wrapNone/>
                <wp:docPr id="582" name="Group 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0960" cy="37465"/>
                          <a:chOff x="901" y="-1"/>
                          <a:chExt cx="10096" cy="59"/>
                        </a:xfrm>
                      </wpg:grpSpPr>
                      <wps:wsp>
                        <wps:cNvPr id="583" name="Freeform 441"/>
                        <wps:cNvSpPr>
                          <a:spLocks/>
                        </wps:cNvSpPr>
                        <wps:spPr bwMode="auto">
                          <a:xfrm>
                            <a:off x="917" y="6"/>
                            <a:ext cx="10065" cy="20"/>
                          </a:xfrm>
                          <a:custGeom>
                            <a:avLst/>
                            <a:gdLst>
                              <a:gd name="T0" fmla="*/ 0 w 10065"/>
                              <a:gd name="T1" fmla="*/ 0 h 20"/>
                              <a:gd name="T2" fmla="*/ 10065 w 10065"/>
                              <a:gd name="T3" fmla="*/ 0 h 20"/>
                            </a:gdLst>
                            <a:ahLst/>
                            <a:cxnLst>
                              <a:cxn ang="0">
                                <a:pos x="T0" y="T1"/>
                              </a:cxn>
                              <a:cxn ang="0">
                                <a:pos x="T2" y="T3"/>
                              </a:cxn>
                            </a:cxnLst>
                            <a:rect l="0" t="0" r="r" b="b"/>
                            <a:pathLst>
                              <a:path w="10065" h="20">
                                <a:moveTo>
                                  <a:pt x="0" y="0"/>
                                </a:moveTo>
                                <a:lnTo>
                                  <a:pt x="10065"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4" name="Freeform 442"/>
                        <wps:cNvSpPr>
                          <a:spLocks/>
                        </wps:cNvSpPr>
                        <wps:spPr bwMode="auto">
                          <a:xfrm>
                            <a:off x="917" y="28"/>
                            <a:ext cx="10065" cy="20"/>
                          </a:xfrm>
                          <a:custGeom>
                            <a:avLst/>
                            <a:gdLst>
                              <a:gd name="T0" fmla="*/ 0 w 10065"/>
                              <a:gd name="T1" fmla="*/ 0 h 20"/>
                              <a:gd name="T2" fmla="*/ 10065 w 10065"/>
                              <a:gd name="T3" fmla="*/ 0 h 20"/>
                            </a:gdLst>
                            <a:ahLst/>
                            <a:cxnLst>
                              <a:cxn ang="0">
                                <a:pos x="T0" y="T1"/>
                              </a:cxn>
                              <a:cxn ang="0">
                                <a:pos x="T2" y="T3"/>
                              </a:cxn>
                            </a:cxnLst>
                            <a:rect l="0" t="0" r="r" b="b"/>
                            <a:pathLst>
                              <a:path w="10065" h="20">
                                <a:moveTo>
                                  <a:pt x="0" y="0"/>
                                </a:moveTo>
                                <a:lnTo>
                                  <a:pt x="10065" y="0"/>
                                </a:lnTo>
                              </a:path>
                            </a:pathLst>
                          </a:custGeom>
                          <a:noFill/>
                          <a:ln w="19558">
                            <a:solidFill>
                              <a:srgbClr val="6060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5" name="Freeform 443"/>
                        <wps:cNvSpPr>
                          <a:spLocks/>
                        </wps:cNvSpPr>
                        <wps:spPr bwMode="auto">
                          <a:xfrm>
                            <a:off x="917" y="49"/>
                            <a:ext cx="10065" cy="20"/>
                          </a:xfrm>
                          <a:custGeom>
                            <a:avLst/>
                            <a:gdLst>
                              <a:gd name="T0" fmla="*/ 0 w 10065"/>
                              <a:gd name="T1" fmla="*/ 0 h 20"/>
                              <a:gd name="T2" fmla="*/ 10065 w 10065"/>
                              <a:gd name="T3" fmla="*/ 0 h 20"/>
                            </a:gdLst>
                            <a:ahLst/>
                            <a:cxnLst>
                              <a:cxn ang="0">
                                <a:pos x="T0" y="T1"/>
                              </a:cxn>
                              <a:cxn ang="0">
                                <a:pos x="T2" y="T3"/>
                              </a:cxn>
                            </a:cxnLst>
                            <a:rect l="0" t="0" r="r" b="b"/>
                            <a:pathLst>
                              <a:path w="10065" h="20">
                                <a:moveTo>
                                  <a:pt x="0" y="0"/>
                                </a:moveTo>
                                <a:lnTo>
                                  <a:pt x="10065" y="0"/>
                                </a:lnTo>
                              </a:path>
                            </a:pathLst>
                          </a:custGeom>
                          <a:noFill/>
                          <a:ln w="10414">
                            <a:solidFill>
                              <a:srgbClr val="C1C1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40" o:spid="_x0000_s1026" style="position:absolute;margin-left:45.05pt;margin-top:-.05pt;width:504.8pt;height:2.95pt;z-index:251638272;mso-position-horizontal-relative:page" coordorigin="901,-1" coordsize="1009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" o:allowincell="f">
                <v:shape id="Freeform 441" o:spid="_x0000_s1027" style="position:absolute;left:917;top:6;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H8KcYA&#10;AADcAAAADwAAAGRycy9kb3ducmV2LnhtbESPQWvCQBSE7wX/w/KEXkrd2FKR1FVEsUgOQjTQ6yP7&#10;TFKzb5fsqqm/visUPA4z8w0zW/SmFRfqfGNZwXiUgCAurW64UlAcNq9TED4ga2wtk4Jf8rCYD55m&#10;mGp75Zwu+1CJCGGfooI6BJdK6cuaDPqRdcTRO9rOYIiyq6Tu8BrhppVvSTKRBhuOCzU6WtVUnvZn&#10;o2C7+8nX3+ZWuJteHQv3kmVfeabU87BffoII1IdH+L+91Qo+pu9wPxOP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WH8KcYAAADcAAAADwAAAAAAAAAAAAAAAACYAgAAZHJz&#10;L2Rvd25yZXYueG1sUEsFBgAAAAAEAAQA9QAAAIsDAAAAAA==&#10;" path="m,l10065,e" filled="f" strokeweight=".82pt">
                  <v:path arrowok="t" o:connecttype="custom" o:connectlocs="0,0;10065,0" o:connectangles="0,0"/>
                </v:shape>
                <v:shape id="Freeform 442" o:spid="_x0000_s1028" style="position:absolute;left:917;top:28;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0YMUA&#10;AADcAAAADwAAAGRycy9kb3ducmV2LnhtbESPzWoCQRCE70LeYehAbjprUJGNoySCIXiRbELIsdnp&#10;/Ul2epaZjq5v7wgBj0VVfUWtNoPr1JFCbD0bmE4yUMSlty3XBj4/duMlqCjIFjvPZOBMETbru9EK&#10;c+tP/E7HQmqVIBxzNNCI9LnWsWzIYZz4njh5lQ8OJclQaxvwlOCu049ZttAOW04LDfa0baj8Lf6c&#10;gW/c2WIxq7bDT5Dp4aX6kte9M+bhfnh+AiU0yC38336zBubLGVzPpCOg1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5/RgxQAAANwAAAAPAAAAAAAAAAAAAAAAAJgCAABkcnMv&#10;ZG93bnJldi54bWxQSwUGAAAAAAQABAD1AAAAigMAAAAA&#10;" path="m,l10065,e" filled="f" strokecolor="#606060" strokeweight="1.54pt">
                  <v:path arrowok="t" o:connecttype="custom" o:connectlocs="0,0;10065,0" o:connectangles="0,0"/>
                </v:shape>
                <v:shape id="Freeform 443" o:spid="_x0000_s1029" style="position:absolute;left:917;top:49;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eyWMQA&#10;AADcAAAADwAAAGRycy9kb3ducmV2LnhtbESPQWuDQBSE74X8h+UFcqtrEpTUuglBKOlVUyjeHu6r&#10;St234m4Tk1/fLRRyHGbmGyY/zGYQF5pcb1nBOopBEDdW99wq+Di/Pe9AOI+scbBMCm7k4LBfPOWY&#10;aXvlki6Vb0WAsMtQQef9mEnpmo4MusiOxMH7spNBH+TUSj3hNcDNIDdxnEqDPYeFDkcqOmq+qx+j&#10;oC7Tz5fTeOfttvBlnRamrcuNUqvlfHwF4Wn2j/B/+10rSHYJ/J0JR0D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XsljEAAAA3AAAAA8AAAAAAAAAAAAAAAAAmAIAAGRycy9k&#10;b3ducmV2LnhtbFBLBQYAAAAABAAEAPUAAACJAwAAAAA=&#10;" path="m,l10065,e" filled="f" strokecolor="#c1c1c1" strokeweight=".82pt">
                  <v:path arrowok="t" o:connecttype="custom" o:connectlocs="0,0;10065,0" o:connectangles="0,0"/>
                </v:shape>
                <w10:wrap anchorx="page"/>
              </v:group>
            </w:pict>
          </mc:Fallback>
        </mc:AlternateContent>
      </w:r>
      <w:r w:rsidR="002C5025">
        <w:rPr>
          <w:rFonts w:ascii="Times New Roman" w:hAnsi="Times New Roman" w:cs="Times New Roman"/>
          <w:sz w:val="19"/>
          <w:szCs w:val="19"/>
        </w:rPr>
        <w:t>19</w:t>
      </w:r>
    </w:p>
    <w:p w:rsidR="002C5025" w:rsidRDefault="002C5025">
      <w:pPr>
        <w:pStyle w:val="BodyText"/>
        <w:kinsoku w:val="0"/>
        <w:overflowPunct w:val="0"/>
        <w:spacing w:before="107" w:line="244" w:lineRule="auto"/>
        <w:ind w:left="642" w:right="773" w:hanging="348"/>
        <w:rPr>
          <w:rFonts w:ascii="Cambria" w:hAnsi="Cambria" w:cs="Cambria"/>
          <w:i/>
          <w:iCs/>
          <w:w w:val="105"/>
          <w:sz w:val="19"/>
          <w:szCs w:val="19"/>
        </w:rPr>
      </w:pPr>
      <w:r>
        <w:rPr>
          <w:rFonts w:ascii="Cambria" w:hAnsi="Cambria" w:cs="Cambria"/>
          <w:i/>
          <w:iCs/>
          <w:w w:val="105"/>
          <w:sz w:val="19"/>
          <w:szCs w:val="19"/>
        </w:rPr>
        <w:t>Doctors</w:t>
      </w:r>
      <w:r>
        <w:rPr>
          <w:rFonts w:ascii="Cambria" w:hAnsi="Cambria" w:cs="Cambria"/>
          <w:i/>
          <w:iCs/>
          <w:spacing w:val="-10"/>
          <w:w w:val="105"/>
          <w:sz w:val="19"/>
          <w:szCs w:val="19"/>
        </w:rPr>
        <w:t xml:space="preserve"> </w:t>
      </w:r>
      <w:r>
        <w:rPr>
          <w:rFonts w:ascii="Cambria" w:hAnsi="Cambria" w:cs="Cambria"/>
          <w:i/>
          <w:iCs/>
          <w:w w:val="105"/>
          <w:sz w:val="19"/>
          <w:szCs w:val="19"/>
        </w:rPr>
        <w:t>for</w:t>
      </w:r>
      <w:r>
        <w:rPr>
          <w:rFonts w:ascii="Cambria" w:hAnsi="Cambria" w:cs="Cambria"/>
          <w:i/>
          <w:iCs/>
          <w:spacing w:val="-13"/>
          <w:w w:val="105"/>
          <w:sz w:val="19"/>
          <w:szCs w:val="19"/>
        </w:rPr>
        <w:t xml:space="preserve"> </w:t>
      </w:r>
      <w:r>
        <w:rPr>
          <w:rFonts w:ascii="Cambria" w:hAnsi="Cambria" w:cs="Cambria"/>
          <w:i/>
          <w:iCs/>
          <w:w w:val="105"/>
          <w:sz w:val="19"/>
          <w:szCs w:val="19"/>
        </w:rPr>
        <w:t>America</w:t>
      </w:r>
      <w:r>
        <w:rPr>
          <w:rFonts w:ascii="Cambria" w:hAnsi="Cambria" w:cs="Cambria"/>
          <w:i/>
          <w:iCs/>
          <w:spacing w:val="-12"/>
          <w:w w:val="105"/>
          <w:sz w:val="19"/>
          <w:szCs w:val="19"/>
        </w:rPr>
        <w:t xml:space="preserve"> </w:t>
      </w:r>
      <w:r>
        <w:rPr>
          <w:rFonts w:ascii="Cambria" w:hAnsi="Cambria" w:cs="Cambria"/>
          <w:i/>
          <w:iCs/>
          <w:w w:val="105"/>
          <w:sz w:val="19"/>
          <w:szCs w:val="19"/>
        </w:rPr>
        <w:t>is</w:t>
      </w:r>
      <w:r>
        <w:rPr>
          <w:rFonts w:ascii="Cambria" w:hAnsi="Cambria" w:cs="Cambria"/>
          <w:i/>
          <w:iCs/>
          <w:spacing w:val="-13"/>
          <w:w w:val="105"/>
          <w:sz w:val="19"/>
          <w:szCs w:val="19"/>
        </w:rPr>
        <w:t xml:space="preserve"> </w:t>
      </w:r>
      <w:r>
        <w:rPr>
          <w:rFonts w:ascii="Cambria" w:hAnsi="Cambria" w:cs="Cambria"/>
          <w:i/>
          <w:iCs/>
          <w:w w:val="105"/>
          <w:sz w:val="19"/>
          <w:szCs w:val="19"/>
        </w:rPr>
        <w:t>a</w:t>
      </w:r>
      <w:r>
        <w:rPr>
          <w:rFonts w:ascii="Cambria" w:hAnsi="Cambria" w:cs="Cambria"/>
          <w:i/>
          <w:iCs/>
          <w:spacing w:val="-10"/>
          <w:w w:val="105"/>
          <w:sz w:val="19"/>
          <w:szCs w:val="19"/>
        </w:rPr>
        <w:t xml:space="preserve"> </w:t>
      </w:r>
      <w:r>
        <w:rPr>
          <w:rFonts w:ascii="Cambria" w:hAnsi="Cambria" w:cs="Cambria"/>
          <w:i/>
          <w:iCs/>
          <w:w w:val="105"/>
          <w:sz w:val="19"/>
          <w:szCs w:val="19"/>
        </w:rPr>
        <w:t>501(c)(3)</w:t>
      </w:r>
      <w:r>
        <w:rPr>
          <w:rFonts w:ascii="Cambria" w:hAnsi="Cambria" w:cs="Cambria"/>
          <w:i/>
          <w:iCs/>
          <w:spacing w:val="-13"/>
          <w:w w:val="105"/>
          <w:sz w:val="19"/>
          <w:szCs w:val="19"/>
        </w:rPr>
        <w:t xml:space="preserve"> </w:t>
      </w:r>
      <w:r>
        <w:rPr>
          <w:rFonts w:ascii="Cambria" w:hAnsi="Cambria" w:cs="Cambria"/>
          <w:i/>
          <w:iCs/>
          <w:w w:val="105"/>
          <w:sz w:val="19"/>
          <w:szCs w:val="19"/>
        </w:rPr>
        <w:t>national</w:t>
      </w:r>
      <w:r>
        <w:rPr>
          <w:rFonts w:ascii="Cambria" w:hAnsi="Cambria" w:cs="Cambria"/>
          <w:i/>
          <w:iCs/>
          <w:spacing w:val="-11"/>
          <w:w w:val="105"/>
          <w:sz w:val="19"/>
          <w:szCs w:val="19"/>
        </w:rPr>
        <w:t xml:space="preserve"> </w:t>
      </w:r>
      <w:r>
        <w:rPr>
          <w:rFonts w:ascii="Cambria" w:hAnsi="Cambria" w:cs="Cambria"/>
          <w:i/>
          <w:iCs/>
          <w:w w:val="105"/>
          <w:sz w:val="19"/>
          <w:szCs w:val="19"/>
        </w:rPr>
        <w:t>movement</w:t>
      </w:r>
      <w:r>
        <w:rPr>
          <w:rFonts w:ascii="Cambria" w:hAnsi="Cambria" w:cs="Cambria"/>
          <w:i/>
          <w:iCs/>
          <w:spacing w:val="-10"/>
          <w:w w:val="105"/>
          <w:sz w:val="19"/>
          <w:szCs w:val="19"/>
        </w:rPr>
        <w:t xml:space="preserve"> </w:t>
      </w:r>
      <w:r>
        <w:rPr>
          <w:rFonts w:ascii="Cambria" w:hAnsi="Cambria" w:cs="Cambria"/>
          <w:i/>
          <w:iCs/>
          <w:w w:val="105"/>
          <w:sz w:val="19"/>
          <w:szCs w:val="19"/>
        </w:rPr>
        <w:t>that</w:t>
      </w:r>
      <w:r>
        <w:rPr>
          <w:rFonts w:ascii="Cambria" w:hAnsi="Cambria" w:cs="Cambria"/>
          <w:i/>
          <w:iCs/>
          <w:spacing w:val="-13"/>
          <w:w w:val="105"/>
          <w:sz w:val="19"/>
          <w:szCs w:val="19"/>
        </w:rPr>
        <w:t xml:space="preserve"> </w:t>
      </w:r>
      <w:r>
        <w:rPr>
          <w:rFonts w:ascii="Cambria" w:hAnsi="Cambria" w:cs="Cambria"/>
          <w:i/>
          <w:iCs/>
          <w:w w:val="105"/>
          <w:sz w:val="19"/>
          <w:szCs w:val="19"/>
        </w:rPr>
        <w:t>mobilizes</w:t>
      </w:r>
      <w:r>
        <w:rPr>
          <w:rFonts w:ascii="Cambria" w:hAnsi="Cambria" w:cs="Cambria"/>
          <w:i/>
          <w:iCs/>
          <w:spacing w:val="-10"/>
          <w:w w:val="105"/>
          <w:sz w:val="19"/>
          <w:szCs w:val="19"/>
        </w:rPr>
        <w:t xml:space="preserve"> </w:t>
      </w:r>
      <w:r>
        <w:rPr>
          <w:rFonts w:ascii="Cambria" w:hAnsi="Cambria" w:cs="Cambria"/>
          <w:i/>
          <w:iCs/>
          <w:w w:val="105"/>
          <w:sz w:val="19"/>
          <w:szCs w:val="19"/>
        </w:rPr>
        <w:t>physicians</w:t>
      </w:r>
      <w:r>
        <w:rPr>
          <w:rFonts w:ascii="Cambria" w:hAnsi="Cambria" w:cs="Cambria"/>
          <w:i/>
          <w:iCs/>
          <w:spacing w:val="-13"/>
          <w:w w:val="105"/>
          <w:sz w:val="19"/>
          <w:szCs w:val="19"/>
        </w:rPr>
        <w:t xml:space="preserve"> </w:t>
      </w:r>
      <w:r>
        <w:rPr>
          <w:rFonts w:ascii="Cambria" w:hAnsi="Cambria" w:cs="Cambria"/>
          <w:i/>
          <w:iCs/>
          <w:w w:val="105"/>
          <w:sz w:val="19"/>
          <w:szCs w:val="19"/>
        </w:rPr>
        <w:t>and</w:t>
      </w:r>
      <w:r>
        <w:rPr>
          <w:rFonts w:ascii="Cambria" w:hAnsi="Cambria" w:cs="Cambria"/>
          <w:i/>
          <w:iCs/>
          <w:spacing w:val="-12"/>
          <w:w w:val="105"/>
          <w:sz w:val="19"/>
          <w:szCs w:val="19"/>
        </w:rPr>
        <w:t xml:space="preserve"> </w:t>
      </w:r>
      <w:r>
        <w:rPr>
          <w:rFonts w:ascii="Cambria" w:hAnsi="Cambria" w:cs="Cambria"/>
          <w:i/>
          <w:iCs/>
          <w:w w:val="105"/>
          <w:sz w:val="19"/>
          <w:szCs w:val="19"/>
        </w:rPr>
        <w:t>medical</w:t>
      </w:r>
      <w:r>
        <w:rPr>
          <w:rFonts w:ascii="Cambria" w:hAnsi="Cambria" w:cs="Cambria"/>
          <w:i/>
          <w:iCs/>
          <w:spacing w:val="-14"/>
          <w:w w:val="105"/>
          <w:sz w:val="19"/>
          <w:szCs w:val="19"/>
        </w:rPr>
        <w:t xml:space="preserve"> </w:t>
      </w:r>
      <w:r>
        <w:rPr>
          <w:rFonts w:ascii="Cambria" w:hAnsi="Cambria" w:cs="Cambria"/>
          <w:i/>
          <w:iCs/>
          <w:w w:val="105"/>
          <w:sz w:val="19"/>
          <w:szCs w:val="19"/>
        </w:rPr>
        <w:t>students</w:t>
      </w:r>
      <w:r>
        <w:rPr>
          <w:rFonts w:ascii="Cambria" w:hAnsi="Cambria" w:cs="Cambria"/>
          <w:i/>
          <w:iCs/>
          <w:spacing w:val="-13"/>
          <w:w w:val="105"/>
          <w:sz w:val="19"/>
          <w:szCs w:val="19"/>
        </w:rPr>
        <w:t xml:space="preserve"> </w:t>
      </w:r>
      <w:r>
        <w:rPr>
          <w:rFonts w:ascii="Cambria" w:hAnsi="Cambria" w:cs="Cambria"/>
          <w:i/>
          <w:iCs/>
          <w:w w:val="105"/>
          <w:sz w:val="19"/>
          <w:szCs w:val="19"/>
        </w:rPr>
        <w:t>to</w:t>
      </w:r>
      <w:r>
        <w:rPr>
          <w:rFonts w:ascii="Cambria" w:hAnsi="Cambria" w:cs="Cambria"/>
          <w:i/>
          <w:iCs/>
          <w:spacing w:val="-14"/>
          <w:w w:val="105"/>
          <w:sz w:val="19"/>
          <w:szCs w:val="19"/>
        </w:rPr>
        <w:t xml:space="preserve"> </w:t>
      </w:r>
      <w:r>
        <w:rPr>
          <w:rFonts w:ascii="Cambria" w:hAnsi="Cambria" w:cs="Cambria"/>
          <w:i/>
          <w:iCs/>
          <w:w w:val="105"/>
          <w:sz w:val="19"/>
          <w:szCs w:val="19"/>
        </w:rPr>
        <w:t>put</w:t>
      </w:r>
      <w:r>
        <w:rPr>
          <w:rFonts w:ascii="Cambria" w:hAnsi="Cambria" w:cs="Cambria"/>
          <w:i/>
          <w:iCs/>
          <w:spacing w:val="-13"/>
          <w:w w:val="105"/>
          <w:sz w:val="19"/>
          <w:szCs w:val="19"/>
        </w:rPr>
        <w:t xml:space="preserve"> </w:t>
      </w:r>
      <w:r>
        <w:rPr>
          <w:rFonts w:ascii="Cambria" w:hAnsi="Cambria" w:cs="Cambria"/>
          <w:i/>
          <w:iCs/>
          <w:w w:val="105"/>
          <w:sz w:val="19"/>
          <w:szCs w:val="19"/>
        </w:rPr>
        <w:t>patients over</w:t>
      </w:r>
      <w:r>
        <w:rPr>
          <w:rFonts w:ascii="Cambria" w:hAnsi="Cambria" w:cs="Cambria"/>
          <w:i/>
          <w:iCs/>
          <w:spacing w:val="-10"/>
          <w:w w:val="105"/>
          <w:sz w:val="19"/>
          <w:szCs w:val="19"/>
        </w:rPr>
        <w:t xml:space="preserve"> </w:t>
      </w:r>
      <w:r>
        <w:rPr>
          <w:rFonts w:ascii="Cambria" w:hAnsi="Cambria" w:cs="Cambria"/>
          <w:i/>
          <w:iCs/>
          <w:w w:val="105"/>
          <w:sz w:val="19"/>
          <w:szCs w:val="19"/>
        </w:rPr>
        <w:t>politics</w:t>
      </w:r>
      <w:r>
        <w:rPr>
          <w:rFonts w:ascii="Cambria" w:hAnsi="Cambria" w:cs="Cambria"/>
          <w:i/>
          <w:iCs/>
          <w:spacing w:val="-9"/>
          <w:w w:val="105"/>
          <w:sz w:val="19"/>
          <w:szCs w:val="19"/>
        </w:rPr>
        <w:t xml:space="preserve"> </w:t>
      </w:r>
      <w:r>
        <w:rPr>
          <w:rFonts w:ascii="Cambria" w:hAnsi="Cambria" w:cs="Cambria"/>
          <w:i/>
          <w:iCs/>
          <w:w w:val="105"/>
          <w:sz w:val="19"/>
          <w:szCs w:val="19"/>
        </w:rPr>
        <w:t>on</w:t>
      </w:r>
      <w:r>
        <w:rPr>
          <w:rFonts w:ascii="Cambria" w:hAnsi="Cambria" w:cs="Cambria"/>
          <w:i/>
          <w:iCs/>
          <w:spacing w:val="-11"/>
          <w:w w:val="105"/>
          <w:sz w:val="19"/>
          <w:szCs w:val="19"/>
        </w:rPr>
        <w:t xml:space="preserve"> </w:t>
      </w:r>
      <w:r>
        <w:rPr>
          <w:rFonts w:ascii="Cambria" w:hAnsi="Cambria" w:cs="Cambria"/>
          <w:i/>
          <w:iCs/>
          <w:w w:val="105"/>
          <w:sz w:val="19"/>
          <w:szCs w:val="19"/>
        </w:rPr>
        <w:t>the</w:t>
      </w:r>
      <w:r>
        <w:rPr>
          <w:rFonts w:ascii="Cambria" w:hAnsi="Cambria" w:cs="Cambria"/>
          <w:i/>
          <w:iCs/>
          <w:spacing w:val="-10"/>
          <w:w w:val="105"/>
          <w:sz w:val="19"/>
          <w:szCs w:val="19"/>
        </w:rPr>
        <w:t xml:space="preserve"> </w:t>
      </w:r>
      <w:r>
        <w:rPr>
          <w:rFonts w:ascii="Cambria" w:hAnsi="Cambria" w:cs="Cambria"/>
          <w:i/>
          <w:iCs/>
          <w:w w:val="105"/>
          <w:sz w:val="19"/>
          <w:szCs w:val="19"/>
        </w:rPr>
        <w:t>pressing</w:t>
      </w:r>
      <w:r>
        <w:rPr>
          <w:rFonts w:ascii="Cambria" w:hAnsi="Cambria" w:cs="Cambria"/>
          <w:i/>
          <w:iCs/>
          <w:spacing w:val="-9"/>
          <w:w w:val="105"/>
          <w:sz w:val="19"/>
          <w:szCs w:val="19"/>
        </w:rPr>
        <w:t xml:space="preserve"> </w:t>
      </w:r>
      <w:r>
        <w:rPr>
          <w:rFonts w:ascii="Cambria" w:hAnsi="Cambria" w:cs="Cambria"/>
          <w:i/>
          <w:iCs/>
          <w:w w:val="105"/>
          <w:sz w:val="19"/>
          <w:szCs w:val="19"/>
        </w:rPr>
        <w:t>issues</w:t>
      </w:r>
      <w:r>
        <w:rPr>
          <w:rFonts w:ascii="Cambria" w:hAnsi="Cambria" w:cs="Cambria"/>
          <w:i/>
          <w:iCs/>
          <w:spacing w:val="-9"/>
          <w:w w:val="105"/>
          <w:sz w:val="19"/>
          <w:szCs w:val="19"/>
        </w:rPr>
        <w:t xml:space="preserve"> </w:t>
      </w:r>
      <w:r>
        <w:rPr>
          <w:rFonts w:ascii="Cambria" w:hAnsi="Cambria" w:cs="Cambria"/>
          <w:i/>
          <w:iCs/>
          <w:w w:val="105"/>
          <w:sz w:val="19"/>
          <w:szCs w:val="19"/>
        </w:rPr>
        <w:t>of</w:t>
      </w:r>
      <w:r>
        <w:rPr>
          <w:rFonts w:ascii="Cambria" w:hAnsi="Cambria" w:cs="Cambria"/>
          <w:i/>
          <w:iCs/>
          <w:spacing w:val="-11"/>
          <w:w w:val="105"/>
          <w:sz w:val="19"/>
          <w:szCs w:val="19"/>
        </w:rPr>
        <w:t xml:space="preserve"> </w:t>
      </w:r>
      <w:r>
        <w:rPr>
          <w:rFonts w:ascii="Cambria" w:hAnsi="Cambria" w:cs="Cambria"/>
          <w:i/>
          <w:iCs/>
          <w:w w:val="105"/>
          <w:sz w:val="19"/>
          <w:szCs w:val="19"/>
        </w:rPr>
        <w:t>the</w:t>
      </w:r>
      <w:r>
        <w:rPr>
          <w:rFonts w:ascii="Cambria" w:hAnsi="Cambria" w:cs="Cambria"/>
          <w:i/>
          <w:iCs/>
          <w:spacing w:val="-10"/>
          <w:w w:val="105"/>
          <w:sz w:val="19"/>
          <w:szCs w:val="19"/>
        </w:rPr>
        <w:t xml:space="preserve"> </w:t>
      </w:r>
      <w:r>
        <w:rPr>
          <w:rFonts w:ascii="Cambria" w:hAnsi="Cambria" w:cs="Cambria"/>
          <w:i/>
          <w:iCs/>
          <w:w w:val="105"/>
          <w:sz w:val="19"/>
          <w:szCs w:val="19"/>
        </w:rPr>
        <w:t>day</w:t>
      </w:r>
      <w:r>
        <w:rPr>
          <w:rFonts w:ascii="Cambria" w:hAnsi="Cambria" w:cs="Cambria"/>
          <w:i/>
          <w:iCs/>
          <w:spacing w:val="-10"/>
          <w:w w:val="105"/>
          <w:sz w:val="19"/>
          <w:szCs w:val="19"/>
        </w:rPr>
        <w:t xml:space="preserve"> </w:t>
      </w:r>
      <w:r>
        <w:rPr>
          <w:rFonts w:ascii="Cambria" w:hAnsi="Cambria" w:cs="Cambria"/>
          <w:i/>
          <w:iCs/>
          <w:w w:val="105"/>
          <w:sz w:val="19"/>
          <w:szCs w:val="19"/>
        </w:rPr>
        <w:t>to</w:t>
      </w:r>
      <w:r>
        <w:rPr>
          <w:rFonts w:ascii="Cambria" w:hAnsi="Cambria" w:cs="Cambria"/>
          <w:i/>
          <w:iCs/>
          <w:spacing w:val="-10"/>
          <w:w w:val="105"/>
          <w:sz w:val="19"/>
          <w:szCs w:val="19"/>
        </w:rPr>
        <w:t xml:space="preserve"> </w:t>
      </w:r>
      <w:r>
        <w:rPr>
          <w:rFonts w:ascii="Cambria" w:hAnsi="Cambria" w:cs="Cambria"/>
          <w:i/>
          <w:iCs/>
          <w:w w:val="105"/>
          <w:sz w:val="19"/>
          <w:szCs w:val="19"/>
        </w:rPr>
        <w:t>improve</w:t>
      </w:r>
      <w:r>
        <w:rPr>
          <w:rFonts w:ascii="Cambria" w:hAnsi="Cambria" w:cs="Cambria"/>
          <w:i/>
          <w:iCs/>
          <w:spacing w:val="-10"/>
          <w:w w:val="105"/>
          <w:sz w:val="19"/>
          <w:szCs w:val="19"/>
        </w:rPr>
        <w:t xml:space="preserve"> </w:t>
      </w:r>
      <w:r>
        <w:rPr>
          <w:rFonts w:ascii="Cambria" w:hAnsi="Cambria" w:cs="Cambria"/>
          <w:i/>
          <w:iCs/>
          <w:w w:val="105"/>
          <w:sz w:val="19"/>
          <w:szCs w:val="19"/>
        </w:rPr>
        <w:t>the</w:t>
      </w:r>
      <w:r>
        <w:rPr>
          <w:rFonts w:ascii="Cambria" w:hAnsi="Cambria" w:cs="Cambria"/>
          <w:i/>
          <w:iCs/>
          <w:spacing w:val="-10"/>
          <w:w w:val="105"/>
          <w:sz w:val="19"/>
          <w:szCs w:val="19"/>
        </w:rPr>
        <w:t xml:space="preserve"> </w:t>
      </w:r>
      <w:r>
        <w:rPr>
          <w:rFonts w:ascii="Cambria" w:hAnsi="Cambria" w:cs="Cambria"/>
          <w:i/>
          <w:iCs/>
          <w:w w:val="105"/>
          <w:sz w:val="19"/>
          <w:szCs w:val="19"/>
        </w:rPr>
        <w:t>health</w:t>
      </w:r>
      <w:r>
        <w:rPr>
          <w:rFonts w:ascii="Cambria" w:hAnsi="Cambria" w:cs="Cambria"/>
          <w:i/>
          <w:iCs/>
          <w:spacing w:val="-10"/>
          <w:w w:val="105"/>
          <w:sz w:val="19"/>
          <w:szCs w:val="19"/>
        </w:rPr>
        <w:t xml:space="preserve"> </w:t>
      </w:r>
      <w:r>
        <w:rPr>
          <w:rFonts w:ascii="Cambria" w:hAnsi="Cambria" w:cs="Cambria"/>
          <w:i/>
          <w:iCs/>
          <w:w w:val="105"/>
          <w:sz w:val="19"/>
          <w:szCs w:val="19"/>
        </w:rPr>
        <w:t>of</w:t>
      </w:r>
      <w:r>
        <w:rPr>
          <w:rFonts w:ascii="Cambria" w:hAnsi="Cambria" w:cs="Cambria"/>
          <w:i/>
          <w:iCs/>
          <w:spacing w:val="-11"/>
          <w:w w:val="105"/>
          <w:sz w:val="19"/>
          <w:szCs w:val="19"/>
        </w:rPr>
        <w:t xml:space="preserve"> </w:t>
      </w:r>
      <w:r>
        <w:rPr>
          <w:rFonts w:ascii="Cambria" w:hAnsi="Cambria" w:cs="Cambria"/>
          <w:i/>
          <w:iCs/>
          <w:w w:val="105"/>
          <w:sz w:val="19"/>
          <w:szCs w:val="19"/>
        </w:rPr>
        <w:t>our</w:t>
      </w:r>
      <w:r>
        <w:rPr>
          <w:rFonts w:ascii="Cambria" w:hAnsi="Cambria" w:cs="Cambria"/>
          <w:i/>
          <w:iCs/>
          <w:spacing w:val="-10"/>
          <w:w w:val="105"/>
          <w:sz w:val="19"/>
          <w:szCs w:val="19"/>
        </w:rPr>
        <w:t xml:space="preserve"> </w:t>
      </w:r>
      <w:r>
        <w:rPr>
          <w:rFonts w:ascii="Cambria" w:hAnsi="Cambria" w:cs="Cambria"/>
          <w:i/>
          <w:iCs/>
          <w:w w:val="105"/>
          <w:sz w:val="19"/>
          <w:szCs w:val="19"/>
        </w:rPr>
        <w:t>patients,</w:t>
      </w:r>
      <w:r>
        <w:rPr>
          <w:rFonts w:ascii="Cambria" w:hAnsi="Cambria" w:cs="Cambria"/>
          <w:i/>
          <w:iCs/>
          <w:spacing w:val="-12"/>
          <w:w w:val="105"/>
          <w:sz w:val="19"/>
          <w:szCs w:val="19"/>
        </w:rPr>
        <w:t xml:space="preserve"> </w:t>
      </w:r>
      <w:r>
        <w:rPr>
          <w:rFonts w:ascii="Cambria" w:hAnsi="Cambria" w:cs="Cambria"/>
          <w:i/>
          <w:iCs/>
          <w:w w:val="105"/>
          <w:sz w:val="19"/>
          <w:szCs w:val="19"/>
        </w:rPr>
        <w:t>communities,</w:t>
      </w:r>
      <w:r>
        <w:rPr>
          <w:rFonts w:ascii="Cambria" w:hAnsi="Cambria" w:cs="Cambria"/>
          <w:i/>
          <w:iCs/>
          <w:spacing w:val="-9"/>
          <w:w w:val="105"/>
          <w:sz w:val="19"/>
          <w:szCs w:val="19"/>
        </w:rPr>
        <w:t xml:space="preserve"> </w:t>
      </w:r>
      <w:r>
        <w:rPr>
          <w:rFonts w:ascii="Cambria" w:hAnsi="Cambria" w:cs="Cambria"/>
          <w:i/>
          <w:iCs/>
          <w:w w:val="105"/>
          <w:sz w:val="19"/>
          <w:szCs w:val="19"/>
        </w:rPr>
        <w:t>and</w:t>
      </w:r>
      <w:r>
        <w:rPr>
          <w:rFonts w:ascii="Cambria" w:hAnsi="Cambria" w:cs="Cambria"/>
          <w:i/>
          <w:iCs/>
          <w:spacing w:val="-11"/>
          <w:w w:val="105"/>
          <w:sz w:val="19"/>
          <w:szCs w:val="19"/>
        </w:rPr>
        <w:t xml:space="preserve"> </w:t>
      </w:r>
      <w:r>
        <w:rPr>
          <w:rFonts w:ascii="Cambria" w:hAnsi="Cambria" w:cs="Cambria"/>
          <w:i/>
          <w:iCs/>
          <w:w w:val="105"/>
          <w:sz w:val="19"/>
          <w:szCs w:val="19"/>
        </w:rPr>
        <w:t>nation..</w:t>
      </w:r>
    </w:p>
    <w:p w:rsidR="002C5025" w:rsidRDefault="002C5025">
      <w:pPr>
        <w:pStyle w:val="BodyText"/>
        <w:kinsoku w:val="0"/>
        <w:overflowPunct w:val="0"/>
        <w:spacing w:before="107" w:line="244" w:lineRule="auto"/>
        <w:ind w:left="642" w:right="773" w:hanging="348"/>
        <w:rPr>
          <w:rFonts w:ascii="Cambria" w:hAnsi="Cambria" w:cs="Cambria"/>
          <w:i/>
          <w:iCs/>
          <w:w w:val="105"/>
          <w:sz w:val="19"/>
          <w:szCs w:val="19"/>
        </w:rPr>
        <w:sectPr w:rsidR="002C5025">
          <w:pgSz w:w="12240" w:h="15840"/>
          <w:pgMar w:top="940" w:right="820" w:bottom="280" w:left="800" w:header="720" w:footer="720" w:gutter="0"/>
          <w:pgBorders w:offsetFrom="page">
            <w:top w:val="single" w:sz="24" w:space="24" w:color="213957"/>
            <w:left w:val="single" w:sz="24" w:space="24" w:color="213957"/>
            <w:bottom w:val="single" w:sz="24" w:space="24" w:color="213957"/>
            <w:right w:val="single" w:sz="24" w:space="24" w:color="213957"/>
          </w:pgBorders>
          <w:cols w:space="720"/>
          <w:noEndnote/>
        </w:sectPr>
      </w:pPr>
    </w:p>
    <w:p w:rsidR="002C5025" w:rsidRDefault="002C5025">
      <w:pPr>
        <w:pStyle w:val="BodyText"/>
        <w:kinsoku w:val="0"/>
        <w:overflowPunct w:val="0"/>
        <w:rPr>
          <w:rFonts w:ascii="Cambria" w:hAnsi="Cambria" w:cs="Cambria"/>
          <w:i/>
          <w:iCs/>
          <w:sz w:val="20"/>
          <w:szCs w:val="20"/>
        </w:rPr>
      </w:pPr>
    </w:p>
    <w:p w:rsidR="002C5025" w:rsidRDefault="002C5025">
      <w:pPr>
        <w:pStyle w:val="BodyText"/>
        <w:kinsoku w:val="0"/>
        <w:overflowPunct w:val="0"/>
        <w:rPr>
          <w:rFonts w:ascii="Cambria" w:hAnsi="Cambria" w:cs="Cambria"/>
          <w:i/>
          <w:iCs/>
          <w:sz w:val="20"/>
          <w:szCs w:val="20"/>
        </w:rPr>
      </w:pPr>
    </w:p>
    <w:p w:rsidR="002C5025" w:rsidRDefault="002C5025">
      <w:pPr>
        <w:pStyle w:val="BodyText"/>
        <w:kinsoku w:val="0"/>
        <w:overflowPunct w:val="0"/>
        <w:spacing w:before="6"/>
        <w:rPr>
          <w:rFonts w:ascii="Cambria" w:hAnsi="Cambria" w:cs="Cambria"/>
          <w:i/>
          <w:iCs/>
          <w:sz w:val="26"/>
          <w:szCs w:val="26"/>
        </w:rPr>
      </w:pPr>
    </w:p>
    <w:p w:rsidR="002C5025" w:rsidRDefault="002C5025">
      <w:pPr>
        <w:pStyle w:val="BodyText"/>
        <w:kinsoku w:val="0"/>
        <w:overflowPunct w:val="0"/>
        <w:spacing w:before="6"/>
        <w:rPr>
          <w:rFonts w:ascii="Cambria" w:hAnsi="Cambria" w:cs="Cambria"/>
          <w:i/>
          <w:iCs/>
          <w:sz w:val="26"/>
          <w:szCs w:val="26"/>
        </w:rPr>
        <w:sectPr w:rsidR="002C5025">
          <w:pgSz w:w="12240" w:h="15840"/>
          <w:pgMar w:top="160" w:right="0" w:bottom="0" w:left="120" w:header="720" w:footer="720" w:gutter="0"/>
          <w:cols w:space="720" w:equalWidth="0">
            <w:col w:w="12120"/>
          </w:cols>
          <w:noEndnote/>
        </w:sectPr>
      </w:pPr>
    </w:p>
    <w:p w:rsidR="002C5025" w:rsidRDefault="00FB027C">
      <w:pPr>
        <w:pStyle w:val="BodyText"/>
        <w:kinsoku w:val="0"/>
        <w:overflowPunct w:val="0"/>
        <w:spacing w:before="87" w:line="216" w:lineRule="auto"/>
        <w:ind w:left="5380"/>
        <w:rPr>
          <w:rFonts w:ascii="Times New Roman" w:hAnsi="Times New Roman" w:cs="Times New Roman"/>
          <w:w w:val="105"/>
          <w:sz w:val="40"/>
          <w:szCs w:val="40"/>
        </w:rPr>
      </w:pPr>
      <w:r>
        <w:rPr>
          <w:noProof/>
        </w:rPr>
        <w:lastRenderedPageBreak/>
        <mc:AlternateContent>
          <mc:Choice Requires="wps">
            <w:drawing>
              <wp:anchor distT="0" distB="0" distL="114300" distR="114300" simplePos="0" relativeHeight="251639296" behindDoc="1" locked="0" layoutInCell="0" allowOverlap="1">
                <wp:simplePos x="0" y="0"/>
                <wp:positionH relativeFrom="page">
                  <wp:posOffset>2541905</wp:posOffset>
                </wp:positionH>
                <wp:positionV relativeFrom="paragraph">
                  <wp:posOffset>-249555</wp:posOffset>
                </wp:positionV>
                <wp:extent cx="1079500" cy="1282700"/>
                <wp:effectExtent l="0" t="0" r="0" b="0"/>
                <wp:wrapNone/>
                <wp:docPr id="581" name="Rectangle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0" cy="128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2020" w:lineRule="atLeast"/>
                            </w:pPr>
                            <w:r>
                              <w:rPr>
                                <w:noProof/>
                              </w:rPr>
                              <w:drawing>
                                <wp:inline distT="0" distB="0" distL="0" distR="0">
                                  <wp:extent cx="1076325" cy="1276350"/>
                                  <wp:effectExtent l="0" t="0" r="9525"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1076325" cy="1276350"/>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4" o:spid="_x0000_s1175" style="position:absolute;left:0;text-align:left;margin-left:200.15pt;margin-top:-19.65pt;width:85pt;height:101pt;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" o:allowincell="f" filled="f" stroked="f">
                <v:textbox inset="0,0,0,0">
                  <w:txbxContent>
                    <w:p w:rsidR="007B2B7B" w:rsidRDefault="007B2B7B">
                      <w:pPr>
                        <w:widowControl/>
                        <w:autoSpaceDE/>
                        <w:autoSpaceDN/>
                        <w:adjustRightInd/>
                        <w:spacing w:line="2020" w:lineRule="atLeast"/>
                      </w:pPr>
                      <w:r>
                        <w:rPr>
                          <w:noProof/>
                        </w:rPr>
                        <w:drawing>
                          <wp:inline distT="0" distB="0" distL="0" distR="0">
                            <wp:extent cx="1076325" cy="1276350"/>
                            <wp:effectExtent l="0" t="0" r="9525"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1076325" cy="1276350"/>
                                    </a:xfrm>
                                    <a:prstGeom prst="rect">
                                      <a:avLst/>
                                    </a:prstGeom>
                                    <a:noFill/>
                                    <a:ln>
                                      <a:noFill/>
                                    </a:ln>
                                  </pic:spPr>
                                </pic:pic>
                              </a:graphicData>
                            </a:graphic>
                          </wp:inline>
                        </w:drawing>
                      </w:r>
                    </w:p>
                    <w:p w:rsidR="007B2B7B" w:rsidRDefault="007B2B7B"/>
                  </w:txbxContent>
                </v:textbox>
                <w10:wrap anchorx="page"/>
              </v:rect>
            </w:pict>
          </mc:Fallback>
        </mc:AlternateContent>
      </w:r>
      <w:r>
        <w:rPr>
          <w:noProof/>
        </w:rPr>
        <mc:AlternateContent>
          <mc:Choice Requires="wps">
            <w:drawing>
              <wp:anchor distT="0" distB="0" distL="114300" distR="114300" simplePos="0" relativeHeight="251640320" behindDoc="1" locked="0" layoutInCell="0" allowOverlap="1">
                <wp:simplePos x="0" y="0"/>
                <wp:positionH relativeFrom="page">
                  <wp:posOffset>3424555</wp:posOffset>
                </wp:positionH>
                <wp:positionV relativeFrom="paragraph">
                  <wp:posOffset>753110</wp:posOffset>
                </wp:positionV>
                <wp:extent cx="43815" cy="234950"/>
                <wp:effectExtent l="0" t="0" r="0" b="0"/>
                <wp:wrapNone/>
                <wp:docPr id="580" name="Text Box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 cy="234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pStyle w:val="BodyText"/>
                              <w:kinsoku w:val="0"/>
                              <w:overflowPunct w:val="0"/>
                              <w:spacing w:line="370" w:lineRule="exact"/>
                              <w:rPr>
                                <w:rFonts w:ascii="Times New Roman" w:hAnsi="Times New Roman" w:cs="Times New Roman"/>
                                <w:w w:val="55"/>
                                <w:sz w:val="37"/>
                                <w:szCs w:val="37"/>
                              </w:rPr>
                            </w:pPr>
                            <w:r>
                              <w:rPr>
                                <w:rFonts w:ascii="Times New Roman" w:hAnsi="Times New Roman" w:cs="Times New Roman"/>
                                <w:w w:val="55"/>
                                <w:sz w:val="37"/>
                                <w:szCs w:val="37"/>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5" o:spid="_x0000_s1176" type="#_x0000_t202" style="position:absolute;left:0;text-align:left;margin-left:269.65pt;margin-top:59.3pt;width:3.45pt;height:18.5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" o:allowincell="f" filled="f" stroked="f">
                <v:textbox inset="0,0,0,0">
                  <w:txbxContent>
                    <w:p w:rsidR="007B2B7B" w:rsidRDefault="007B2B7B">
                      <w:pPr>
                        <w:pStyle w:val="BodyText"/>
                        <w:kinsoku w:val="0"/>
                        <w:overflowPunct w:val="0"/>
                        <w:spacing w:line="370" w:lineRule="exact"/>
                        <w:rPr>
                          <w:rFonts w:ascii="Times New Roman" w:hAnsi="Times New Roman" w:cs="Times New Roman"/>
                          <w:w w:val="55"/>
                          <w:sz w:val="37"/>
                          <w:szCs w:val="37"/>
                        </w:rPr>
                      </w:pPr>
                      <w:r>
                        <w:rPr>
                          <w:rFonts w:ascii="Times New Roman" w:hAnsi="Times New Roman" w:cs="Times New Roman"/>
                          <w:w w:val="55"/>
                          <w:sz w:val="37"/>
                          <w:szCs w:val="37"/>
                        </w:rPr>
                        <w:t>·</w:t>
                      </w:r>
                    </w:p>
                  </w:txbxContent>
                </v:textbox>
                <w10:wrap anchorx="page"/>
              </v:shape>
            </w:pict>
          </mc:Fallback>
        </mc:AlternateContent>
      </w:r>
      <w:bookmarkStart w:id="142" w:name="EBNHC_1115_Demonstration_Comments_7.14.2"/>
      <w:bookmarkEnd w:id="142"/>
      <w:r w:rsidR="002C5025">
        <w:rPr>
          <w:rFonts w:ascii="Times New Roman" w:hAnsi="Times New Roman" w:cs="Times New Roman"/>
          <w:w w:val="105"/>
          <w:sz w:val="40"/>
          <w:szCs w:val="40"/>
        </w:rPr>
        <w:t xml:space="preserve">East Boston </w:t>
      </w:r>
      <w:r w:rsidR="002C5025">
        <w:rPr>
          <w:rFonts w:ascii="Times New Roman" w:hAnsi="Times New Roman" w:cs="Times New Roman"/>
          <w:sz w:val="40"/>
          <w:szCs w:val="40"/>
        </w:rPr>
        <w:t xml:space="preserve">Neighborhood </w:t>
      </w:r>
      <w:r w:rsidR="002C5025">
        <w:rPr>
          <w:rFonts w:ascii="Times New Roman" w:hAnsi="Times New Roman" w:cs="Times New Roman"/>
          <w:w w:val="105"/>
          <w:sz w:val="40"/>
          <w:szCs w:val="40"/>
        </w:rPr>
        <w:t>Health Center</w:t>
      </w:r>
    </w:p>
    <w:p w:rsidR="002C5025" w:rsidRDefault="002C5025">
      <w:pPr>
        <w:pStyle w:val="BodyText"/>
        <w:kinsoku w:val="0"/>
        <w:overflowPunct w:val="0"/>
        <w:spacing w:line="271" w:lineRule="exact"/>
        <w:ind w:right="2154"/>
        <w:jc w:val="right"/>
        <w:rPr>
          <w:rFonts w:ascii="Times New Roman" w:hAnsi="Times New Roman" w:cs="Times New Roman"/>
          <w:w w:val="60"/>
          <w:sz w:val="37"/>
          <w:szCs w:val="37"/>
        </w:rPr>
      </w:pPr>
      <w:bookmarkStart w:id="143" w:name=";lW"/>
      <w:bookmarkEnd w:id="143"/>
      <w:r>
        <w:rPr>
          <w:rFonts w:ascii="Times New Roman" w:hAnsi="Times New Roman" w:cs="Times New Roman"/>
          <w:w w:val="60"/>
          <w:sz w:val="37"/>
          <w:szCs w:val="37"/>
        </w:rPr>
        <w:t>;</w:t>
      </w:r>
      <w:proofErr w:type="spellStart"/>
      <w:r>
        <w:rPr>
          <w:rFonts w:ascii="Times New Roman" w:hAnsi="Times New Roman" w:cs="Times New Roman"/>
          <w:w w:val="60"/>
          <w:sz w:val="37"/>
          <w:szCs w:val="37"/>
        </w:rPr>
        <w:t>lW</w:t>
      </w:r>
      <w:proofErr w:type="spellEnd"/>
    </w:p>
    <w:p w:rsidR="002C5025" w:rsidRDefault="002C5025">
      <w:pPr>
        <w:pStyle w:val="BodyText"/>
        <w:kinsoku w:val="0"/>
        <w:overflowPunct w:val="0"/>
        <w:rPr>
          <w:rFonts w:ascii="Times New Roman" w:hAnsi="Times New Roman" w:cs="Times New Roman"/>
        </w:rPr>
      </w:pPr>
      <w:r>
        <w:rPr>
          <w:rFonts w:ascii="Times New Roman" w:hAnsi="Times New Roman" w:cs="Times New Roman"/>
          <w:sz w:val="24"/>
          <w:szCs w:val="24"/>
        </w:rPr>
        <w:br w:type="column"/>
      </w: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spacing w:before="1"/>
        <w:rPr>
          <w:rFonts w:ascii="Times New Roman" w:hAnsi="Times New Roman" w:cs="Times New Roman"/>
          <w:sz w:val="32"/>
          <w:szCs w:val="32"/>
        </w:rPr>
      </w:pPr>
    </w:p>
    <w:p w:rsidR="002C5025" w:rsidRDefault="002C5025">
      <w:pPr>
        <w:pStyle w:val="BodyText"/>
        <w:kinsoku w:val="0"/>
        <w:overflowPunct w:val="0"/>
        <w:ind w:left="666"/>
        <w:rPr>
          <w:rFonts w:ascii="Times New Roman" w:hAnsi="Times New Roman" w:cs="Times New Roman"/>
          <w:w w:val="105"/>
        </w:rPr>
      </w:pPr>
      <w:r>
        <w:rPr>
          <w:rFonts w:ascii="Times New Roman" w:hAnsi="Times New Roman" w:cs="Times New Roman"/>
          <w:w w:val="105"/>
          <w:sz w:val="23"/>
          <w:szCs w:val="23"/>
        </w:rPr>
        <w:t xml:space="preserve">July </w:t>
      </w:r>
      <w:r>
        <w:rPr>
          <w:rFonts w:ascii="Times New Roman" w:hAnsi="Times New Roman" w:cs="Times New Roman"/>
          <w:w w:val="105"/>
        </w:rPr>
        <w:t>15, 2016</w:t>
      </w:r>
    </w:p>
    <w:p w:rsidR="002C5025" w:rsidRDefault="002C5025">
      <w:pPr>
        <w:pStyle w:val="BodyText"/>
        <w:kinsoku w:val="0"/>
        <w:overflowPunct w:val="0"/>
        <w:ind w:left="666"/>
        <w:rPr>
          <w:rFonts w:ascii="Times New Roman" w:hAnsi="Times New Roman" w:cs="Times New Roman"/>
          <w:w w:val="105"/>
        </w:rPr>
        <w:sectPr w:rsidR="002C5025">
          <w:type w:val="continuous"/>
          <w:pgSz w:w="12240" w:h="15840"/>
          <w:pgMar w:top="720" w:right="0" w:bottom="280" w:left="120" w:header="720" w:footer="720" w:gutter="0"/>
          <w:cols w:num="2" w:space="720" w:equalWidth="0">
            <w:col w:w="7806" w:space="40"/>
            <w:col w:w="4274"/>
          </w:cols>
          <w:noEndnote/>
        </w:sectPr>
      </w:pPr>
    </w:p>
    <w:p w:rsidR="002C5025" w:rsidRDefault="00FB027C">
      <w:pPr>
        <w:pStyle w:val="BodyText"/>
        <w:kinsoku w:val="0"/>
        <w:overflowPunct w:val="0"/>
        <w:rPr>
          <w:rFonts w:ascii="Times New Roman" w:hAnsi="Times New Roman" w:cs="Times New Roman"/>
          <w:sz w:val="20"/>
          <w:szCs w:val="20"/>
        </w:rPr>
      </w:pPr>
      <w:r>
        <w:rPr>
          <w:noProof/>
        </w:rPr>
        <w:lastRenderedPageBreak/>
        <mc:AlternateContent>
          <mc:Choice Requires="wps">
            <w:drawing>
              <wp:anchor distT="0" distB="0" distL="114300" distR="114300" simplePos="0" relativeHeight="251641344" behindDoc="0" locked="0" layoutInCell="0" allowOverlap="1">
                <wp:simplePos x="0" y="0"/>
                <wp:positionH relativeFrom="page">
                  <wp:posOffset>7730490</wp:posOffset>
                </wp:positionH>
                <wp:positionV relativeFrom="page">
                  <wp:posOffset>109220</wp:posOffset>
                </wp:positionV>
                <wp:extent cx="12700" cy="9948545"/>
                <wp:effectExtent l="0" t="0" r="0" b="0"/>
                <wp:wrapNone/>
                <wp:docPr id="579" name="Freeform 4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9948545"/>
                        </a:xfrm>
                        <a:custGeom>
                          <a:avLst/>
                          <a:gdLst>
                            <a:gd name="T0" fmla="*/ 0 w 20"/>
                            <a:gd name="T1" fmla="*/ 15667 h 15667"/>
                            <a:gd name="T2" fmla="*/ 0 w 20"/>
                            <a:gd name="T3" fmla="*/ 0 h 15667"/>
                          </a:gdLst>
                          <a:ahLst/>
                          <a:cxnLst>
                            <a:cxn ang="0">
                              <a:pos x="T0" y="T1"/>
                            </a:cxn>
                            <a:cxn ang="0">
                              <a:pos x="T2" y="T3"/>
                            </a:cxn>
                          </a:cxnLst>
                          <a:rect l="0" t="0" r="r" b="b"/>
                          <a:pathLst>
                            <a:path w="20" h="15667">
                              <a:moveTo>
                                <a:pt x="0" y="15667"/>
                              </a:moveTo>
                              <a:lnTo>
                                <a:pt x="0"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46" o:spid="_x0000_s1026" style="position:absolute;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08.7pt,791.95pt,608.7pt,8.6pt" coordsize="20,15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" o:allowincell="f" filled="f" strokeweight=".36pt">
                <v:path arrowok="t" o:connecttype="custom" o:connectlocs="0,9948545;0,0" o:connectangles="0,0"/>
                <w10:wrap anchorx="page" anchory="page"/>
              </v:polyline>
            </w:pict>
          </mc:Fallback>
        </mc:AlternateConten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5"/>
        <w:rPr>
          <w:rFonts w:ascii="Times New Roman" w:hAnsi="Times New Roman" w:cs="Times New Roman"/>
          <w:sz w:val="26"/>
          <w:szCs w:val="26"/>
        </w:rPr>
      </w:pPr>
    </w:p>
    <w:p w:rsidR="002C5025" w:rsidRDefault="002C5025">
      <w:pPr>
        <w:pStyle w:val="BodyText"/>
        <w:kinsoku w:val="0"/>
        <w:overflowPunct w:val="0"/>
        <w:spacing w:before="71"/>
        <w:ind w:left="1312" w:right="6991"/>
        <w:rPr>
          <w:rFonts w:ascii="Times New Roman" w:hAnsi="Times New Roman" w:cs="Times New Roman"/>
          <w:sz w:val="23"/>
          <w:szCs w:val="23"/>
        </w:rPr>
      </w:pPr>
      <w:r>
        <w:rPr>
          <w:rFonts w:ascii="Times New Roman" w:hAnsi="Times New Roman" w:cs="Times New Roman"/>
          <w:sz w:val="23"/>
          <w:szCs w:val="23"/>
        </w:rPr>
        <w:t>EOHHS Office of Medicaid</w:t>
      </w:r>
    </w:p>
    <w:p w:rsidR="002C5025" w:rsidRDefault="002C5025">
      <w:pPr>
        <w:pStyle w:val="BodyText"/>
        <w:kinsoku w:val="0"/>
        <w:overflowPunct w:val="0"/>
        <w:spacing w:before="9" w:line="244" w:lineRule="auto"/>
        <w:ind w:left="1327" w:right="6991" w:hanging="8"/>
        <w:rPr>
          <w:rFonts w:ascii="Times New Roman" w:hAnsi="Times New Roman" w:cs="Times New Roman"/>
          <w:sz w:val="23"/>
          <w:szCs w:val="23"/>
        </w:rPr>
      </w:pPr>
      <w:r>
        <w:rPr>
          <w:rFonts w:ascii="Times New Roman" w:hAnsi="Times New Roman" w:cs="Times New Roman"/>
          <w:sz w:val="23"/>
          <w:szCs w:val="23"/>
        </w:rPr>
        <w:t xml:space="preserve">Attn: </w:t>
      </w:r>
      <w:r>
        <w:rPr>
          <w:rFonts w:ascii="Times New Roman" w:hAnsi="Times New Roman" w:cs="Times New Roman"/>
        </w:rPr>
        <w:t xml:space="preserve">1115 </w:t>
      </w:r>
      <w:r>
        <w:rPr>
          <w:rFonts w:ascii="Times New Roman" w:hAnsi="Times New Roman" w:cs="Times New Roman"/>
          <w:sz w:val="23"/>
          <w:szCs w:val="23"/>
        </w:rPr>
        <w:t>Demonstration Comments One Ashburton Place</w:t>
      </w:r>
    </w:p>
    <w:p w:rsidR="002C5025" w:rsidRDefault="002C5025">
      <w:pPr>
        <w:pStyle w:val="BodyText"/>
        <w:kinsoku w:val="0"/>
        <w:overflowPunct w:val="0"/>
        <w:spacing w:line="252" w:lineRule="exact"/>
        <w:ind w:left="1341" w:right="6991"/>
        <w:rPr>
          <w:rFonts w:ascii="Times New Roman" w:hAnsi="Times New Roman" w:cs="Times New Roman"/>
          <w:w w:val="95"/>
          <w:sz w:val="23"/>
          <w:szCs w:val="23"/>
        </w:rPr>
      </w:pPr>
      <w:r>
        <w:rPr>
          <w:rFonts w:ascii="Times New Roman" w:hAnsi="Times New Roman" w:cs="Times New Roman"/>
          <w:w w:val="95"/>
        </w:rPr>
        <w:t xml:space="preserve">11th </w:t>
      </w:r>
      <w:r>
        <w:rPr>
          <w:rFonts w:ascii="Times New Roman" w:hAnsi="Times New Roman" w:cs="Times New Roman"/>
          <w:w w:val="95"/>
          <w:sz w:val="23"/>
          <w:szCs w:val="23"/>
        </w:rPr>
        <w:t>Floor</w:t>
      </w:r>
    </w:p>
    <w:p w:rsidR="002C5025" w:rsidRDefault="002C5025">
      <w:pPr>
        <w:pStyle w:val="BodyText"/>
        <w:kinsoku w:val="0"/>
        <w:overflowPunct w:val="0"/>
        <w:spacing w:before="28"/>
        <w:ind w:left="1320" w:right="6991"/>
        <w:rPr>
          <w:rFonts w:ascii="Times New Roman" w:hAnsi="Times New Roman" w:cs="Times New Roman"/>
        </w:rPr>
      </w:pPr>
      <w:r>
        <w:rPr>
          <w:rFonts w:ascii="Times New Roman" w:hAnsi="Times New Roman" w:cs="Times New Roman"/>
          <w:sz w:val="23"/>
          <w:szCs w:val="23"/>
        </w:rPr>
        <w:t xml:space="preserve">Boston, MA   </w:t>
      </w:r>
      <w:r>
        <w:rPr>
          <w:rFonts w:ascii="Times New Roman" w:hAnsi="Times New Roman" w:cs="Times New Roman"/>
        </w:rPr>
        <w:t>02108</w:t>
      </w:r>
    </w:p>
    <w:p w:rsidR="002C5025" w:rsidRDefault="002C5025">
      <w:pPr>
        <w:pStyle w:val="BodyText"/>
        <w:kinsoku w:val="0"/>
        <w:overflowPunct w:val="0"/>
        <w:spacing w:before="6"/>
        <w:rPr>
          <w:rFonts w:ascii="Times New Roman" w:hAnsi="Times New Roman" w:cs="Times New Roman"/>
          <w:sz w:val="24"/>
          <w:szCs w:val="24"/>
        </w:rPr>
      </w:pPr>
    </w:p>
    <w:p w:rsidR="002C5025" w:rsidRDefault="002C5025">
      <w:pPr>
        <w:pStyle w:val="BodyText"/>
        <w:kinsoku w:val="0"/>
        <w:overflowPunct w:val="0"/>
        <w:ind w:left="1320" w:right="6991"/>
        <w:rPr>
          <w:rFonts w:ascii="Times New Roman" w:hAnsi="Times New Roman" w:cs="Times New Roman"/>
          <w:sz w:val="23"/>
          <w:szCs w:val="23"/>
        </w:rPr>
      </w:pPr>
      <w:r>
        <w:rPr>
          <w:rFonts w:ascii="Times New Roman" w:hAnsi="Times New Roman" w:cs="Times New Roman"/>
          <w:sz w:val="23"/>
          <w:szCs w:val="23"/>
        </w:rPr>
        <w:t>To Whom It May Concern:</w:t>
      </w:r>
    </w:p>
    <w:p w:rsidR="002C5025" w:rsidRDefault="002C5025">
      <w:pPr>
        <w:pStyle w:val="BodyText"/>
        <w:kinsoku w:val="0"/>
        <w:overflowPunct w:val="0"/>
        <w:spacing w:before="9"/>
        <w:rPr>
          <w:rFonts w:ascii="Times New Roman" w:hAnsi="Times New Roman" w:cs="Times New Roman"/>
          <w:sz w:val="24"/>
          <w:szCs w:val="24"/>
        </w:rPr>
      </w:pPr>
    </w:p>
    <w:p w:rsidR="002C5025" w:rsidRDefault="002C5025">
      <w:pPr>
        <w:pStyle w:val="BodyText"/>
        <w:kinsoku w:val="0"/>
        <w:overflowPunct w:val="0"/>
        <w:spacing w:line="249" w:lineRule="auto"/>
        <w:ind w:left="1327" w:right="1768"/>
        <w:rPr>
          <w:rFonts w:ascii="Times New Roman" w:hAnsi="Times New Roman" w:cs="Times New Roman"/>
          <w:sz w:val="23"/>
          <w:szCs w:val="23"/>
        </w:rPr>
      </w:pPr>
      <w:r>
        <w:rPr>
          <w:rFonts w:ascii="Times New Roman" w:hAnsi="Times New Roman" w:cs="Times New Roman"/>
          <w:sz w:val="23"/>
          <w:szCs w:val="23"/>
        </w:rPr>
        <w:t xml:space="preserve">The East Boston Neighborhood Health Center (as used further in this letter, "EBNHC" or </w:t>
      </w:r>
      <w:r>
        <w:rPr>
          <w:rFonts w:ascii="Times New Roman" w:hAnsi="Times New Roman" w:cs="Times New Roman"/>
          <w:spacing w:val="-8"/>
          <w:sz w:val="23"/>
          <w:szCs w:val="23"/>
        </w:rPr>
        <w:t xml:space="preserve">"the </w:t>
      </w:r>
      <w:r>
        <w:rPr>
          <w:rFonts w:ascii="Times New Roman" w:hAnsi="Times New Roman" w:cs="Times New Roman"/>
          <w:sz w:val="23"/>
          <w:szCs w:val="23"/>
        </w:rPr>
        <w:t xml:space="preserve">Health Center") is pleased to submit comments to the Executive Office of Health and Human Services on the Office's proposal to renew the Commonwealth's existing Medicaid waiver under section </w:t>
      </w:r>
      <w:r>
        <w:rPr>
          <w:rFonts w:ascii="Times New Roman" w:hAnsi="Times New Roman" w:cs="Times New Roman"/>
        </w:rPr>
        <w:t xml:space="preserve">1115 </w:t>
      </w:r>
      <w:r>
        <w:rPr>
          <w:rFonts w:ascii="Times New Roman" w:hAnsi="Times New Roman" w:cs="Times New Roman"/>
          <w:sz w:val="23"/>
          <w:szCs w:val="23"/>
        </w:rPr>
        <w:t>of the Social Security Act. We appreciate that the Office has solicited comments  from the public on this important initiative and thank you for giving us an opportunity to  comment.</w:t>
      </w:r>
    </w:p>
    <w:p w:rsidR="002C5025" w:rsidRDefault="002C5025">
      <w:pPr>
        <w:pStyle w:val="BodyText"/>
        <w:kinsoku w:val="0"/>
        <w:overflowPunct w:val="0"/>
        <w:spacing w:before="5"/>
        <w:rPr>
          <w:rFonts w:ascii="Times New Roman" w:hAnsi="Times New Roman" w:cs="Times New Roman"/>
          <w:sz w:val="23"/>
          <w:szCs w:val="23"/>
        </w:rPr>
      </w:pPr>
    </w:p>
    <w:p w:rsidR="002C5025" w:rsidRDefault="002C5025">
      <w:pPr>
        <w:pStyle w:val="BodyText"/>
        <w:kinsoku w:val="0"/>
        <w:overflowPunct w:val="0"/>
        <w:spacing w:line="247" w:lineRule="auto"/>
        <w:ind w:left="1334" w:right="2083"/>
        <w:jc w:val="both"/>
        <w:rPr>
          <w:rFonts w:ascii="Times New Roman" w:hAnsi="Times New Roman" w:cs="Times New Roman"/>
          <w:sz w:val="23"/>
          <w:szCs w:val="23"/>
        </w:rPr>
      </w:pPr>
      <w:r>
        <w:rPr>
          <w:rFonts w:ascii="Times New Roman" w:hAnsi="Times New Roman" w:cs="Times New Roman"/>
          <w:sz w:val="23"/>
          <w:szCs w:val="23"/>
        </w:rPr>
        <w:t xml:space="preserve">Our comments relate generally to section 6 of the Proposed Waiver: "Safety Net Care Pool Restructuring." As we understand the proposal, the Commonwealth proposes to create five streams of funding to re-design the Safety Net Care Pool (as used further in this letter, "the Pool").  These </w:t>
      </w:r>
      <w:proofErr w:type="spellStart"/>
      <w:r>
        <w:rPr>
          <w:rFonts w:ascii="Times New Roman" w:hAnsi="Times New Roman" w:cs="Times New Roman"/>
          <w:sz w:val="23"/>
          <w:szCs w:val="23"/>
        </w:rPr>
        <w:t>streijllls</w:t>
      </w:r>
      <w:proofErr w:type="spellEnd"/>
      <w:r>
        <w:rPr>
          <w:rFonts w:ascii="Times New Roman" w:hAnsi="Times New Roman" w:cs="Times New Roman"/>
          <w:sz w:val="23"/>
          <w:szCs w:val="23"/>
        </w:rPr>
        <w:t xml:space="preserve"> of funding are:</w:t>
      </w:r>
    </w:p>
    <w:p w:rsidR="002C5025" w:rsidRDefault="002C5025">
      <w:pPr>
        <w:pStyle w:val="BodyText"/>
        <w:kinsoku w:val="0"/>
        <w:overflowPunct w:val="0"/>
        <w:spacing w:before="8"/>
        <w:rPr>
          <w:rFonts w:ascii="Times New Roman" w:hAnsi="Times New Roman" w:cs="Times New Roman"/>
          <w:sz w:val="24"/>
          <w:szCs w:val="24"/>
        </w:rPr>
      </w:pPr>
    </w:p>
    <w:p w:rsidR="002C5025" w:rsidRDefault="002C5025">
      <w:pPr>
        <w:pStyle w:val="ListParagraph"/>
        <w:numPr>
          <w:ilvl w:val="0"/>
          <w:numId w:val="51"/>
        </w:numPr>
        <w:tabs>
          <w:tab w:val="left" w:pos="2048"/>
        </w:tabs>
        <w:kinsoku w:val="0"/>
        <w:overflowPunct w:val="0"/>
        <w:spacing w:line="247" w:lineRule="auto"/>
        <w:ind w:right="4791" w:firstLine="0"/>
        <w:rPr>
          <w:sz w:val="23"/>
          <w:szCs w:val="23"/>
        </w:rPr>
      </w:pPr>
      <w:r>
        <w:rPr>
          <w:sz w:val="23"/>
          <w:szCs w:val="23"/>
        </w:rPr>
        <w:t>Delivery  System Reform  Incentive Program  (DSRIP); o</w:t>
      </w:r>
      <w:r>
        <w:rPr>
          <w:sz w:val="23"/>
          <w:szCs w:val="23"/>
        </w:rPr>
        <w:tab/>
        <w:t xml:space="preserve">Public Hospital Transformation and </w:t>
      </w:r>
      <w:r>
        <w:rPr>
          <w:spacing w:val="10"/>
          <w:sz w:val="23"/>
          <w:szCs w:val="23"/>
        </w:rPr>
        <w:t xml:space="preserve"> </w:t>
      </w:r>
      <w:r>
        <w:rPr>
          <w:sz w:val="23"/>
          <w:szCs w:val="23"/>
        </w:rPr>
        <w:t>Incentive</w:t>
      </w:r>
      <w:r>
        <w:rPr>
          <w:spacing w:val="19"/>
          <w:sz w:val="23"/>
          <w:szCs w:val="23"/>
        </w:rPr>
        <w:t xml:space="preserve"> </w:t>
      </w:r>
      <w:r>
        <w:rPr>
          <w:sz w:val="23"/>
          <w:szCs w:val="23"/>
        </w:rPr>
        <w:t>Initiative; o</w:t>
      </w:r>
      <w:r>
        <w:rPr>
          <w:sz w:val="23"/>
          <w:szCs w:val="23"/>
        </w:rPr>
        <w:tab/>
        <w:t>Disproportionate  Share Hospital allotment</w:t>
      </w:r>
      <w:r>
        <w:rPr>
          <w:spacing w:val="26"/>
          <w:sz w:val="23"/>
          <w:szCs w:val="23"/>
        </w:rPr>
        <w:t xml:space="preserve"> </w:t>
      </w:r>
      <w:r>
        <w:rPr>
          <w:sz w:val="23"/>
          <w:szCs w:val="23"/>
        </w:rPr>
        <w:t>pool;</w:t>
      </w:r>
    </w:p>
    <w:p w:rsidR="002C5025" w:rsidRDefault="002C5025">
      <w:pPr>
        <w:pStyle w:val="ListParagraph"/>
        <w:numPr>
          <w:ilvl w:val="0"/>
          <w:numId w:val="51"/>
        </w:numPr>
        <w:tabs>
          <w:tab w:val="left" w:pos="2048"/>
        </w:tabs>
        <w:kinsoku w:val="0"/>
        <w:overflowPunct w:val="0"/>
        <w:spacing w:before="11"/>
        <w:ind w:left="2047"/>
        <w:rPr>
          <w:sz w:val="23"/>
          <w:szCs w:val="23"/>
        </w:rPr>
      </w:pPr>
      <w:r>
        <w:rPr>
          <w:sz w:val="23"/>
          <w:szCs w:val="23"/>
        </w:rPr>
        <w:t>Uncompensated  Care Pool;</w:t>
      </w:r>
      <w:r>
        <w:rPr>
          <w:spacing w:val="-1"/>
          <w:sz w:val="23"/>
          <w:szCs w:val="23"/>
        </w:rPr>
        <w:t xml:space="preserve"> </w:t>
      </w:r>
      <w:r>
        <w:rPr>
          <w:sz w:val="23"/>
          <w:szCs w:val="23"/>
        </w:rPr>
        <w:t>and</w:t>
      </w:r>
    </w:p>
    <w:p w:rsidR="002C5025" w:rsidRDefault="002C5025">
      <w:pPr>
        <w:pStyle w:val="ListParagraph"/>
        <w:numPr>
          <w:ilvl w:val="0"/>
          <w:numId w:val="51"/>
        </w:numPr>
        <w:tabs>
          <w:tab w:val="left" w:pos="2062"/>
        </w:tabs>
        <w:kinsoku w:val="0"/>
        <w:overflowPunct w:val="0"/>
        <w:spacing w:before="6"/>
        <w:ind w:left="2061" w:hanging="360"/>
        <w:rPr>
          <w:sz w:val="23"/>
          <w:szCs w:val="23"/>
        </w:rPr>
      </w:pPr>
      <w:r>
        <w:rPr>
          <w:sz w:val="23"/>
          <w:szCs w:val="23"/>
        </w:rPr>
        <w:t>Connector Care Affordability</w:t>
      </w:r>
      <w:r>
        <w:rPr>
          <w:spacing w:val="43"/>
          <w:sz w:val="23"/>
          <w:szCs w:val="23"/>
        </w:rPr>
        <w:t xml:space="preserve"> </w:t>
      </w:r>
      <w:r>
        <w:rPr>
          <w:sz w:val="23"/>
          <w:szCs w:val="23"/>
        </w:rPr>
        <w:t>Wrap.</w:t>
      </w:r>
    </w:p>
    <w:p w:rsidR="002C5025" w:rsidRDefault="002C5025">
      <w:pPr>
        <w:pStyle w:val="BodyText"/>
        <w:kinsoku w:val="0"/>
        <w:overflowPunct w:val="0"/>
        <w:spacing w:before="9"/>
        <w:rPr>
          <w:rFonts w:ascii="Times New Roman" w:hAnsi="Times New Roman" w:cs="Times New Roman"/>
          <w:sz w:val="24"/>
          <w:szCs w:val="24"/>
        </w:rPr>
      </w:pPr>
    </w:p>
    <w:p w:rsidR="002C5025" w:rsidRDefault="002C5025">
      <w:pPr>
        <w:pStyle w:val="BodyText"/>
        <w:kinsoku w:val="0"/>
        <w:overflowPunct w:val="0"/>
        <w:spacing w:line="249" w:lineRule="auto"/>
        <w:ind w:left="1341" w:right="1768"/>
        <w:rPr>
          <w:rFonts w:ascii="Times New Roman" w:hAnsi="Times New Roman" w:cs="Times New Roman"/>
          <w:sz w:val="23"/>
          <w:szCs w:val="23"/>
        </w:rPr>
      </w:pPr>
      <w:r>
        <w:rPr>
          <w:rFonts w:ascii="Times New Roman" w:hAnsi="Times New Roman" w:cs="Times New Roman"/>
          <w:sz w:val="23"/>
          <w:szCs w:val="23"/>
        </w:rPr>
        <w:t xml:space="preserve">As part of the proposed restructuring, the Commonwealth has proposed to discontinue the Delivery System Transformation Initiatives (DSTI) program that was approved in December, </w:t>
      </w:r>
      <w:r>
        <w:rPr>
          <w:rFonts w:ascii="Times New Roman" w:hAnsi="Times New Roman" w:cs="Times New Roman"/>
        </w:rPr>
        <w:t xml:space="preserve">2011 </w:t>
      </w:r>
      <w:r>
        <w:rPr>
          <w:rFonts w:ascii="Times New Roman" w:hAnsi="Times New Roman" w:cs="Times New Roman"/>
          <w:sz w:val="23"/>
          <w:szCs w:val="23"/>
        </w:rPr>
        <w:t>to provide incentive payments to seven hospitals to undertake delivery system reform activities. As the Commonwealth notes, these payments were necessary to provide "ongoing operational support because of their high public payer and low commercial payer mix." Demonstration Project Amendment  and Extension Request (hereafter,  "Extension Request")  at</w:t>
      </w:r>
    </w:p>
    <w:p w:rsidR="002C5025" w:rsidRDefault="002C5025">
      <w:pPr>
        <w:pStyle w:val="BodyText"/>
        <w:kinsoku w:val="0"/>
        <w:overflowPunct w:val="0"/>
        <w:spacing w:line="249" w:lineRule="auto"/>
        <w:ind w:left="1342" w:right="1768" w:firstLine="14"/>
        <w:rPr>
          <w:rFonts w:ascii="Times New Roman" w:hAnsi="Times New Roman" w:cs="Times New Roman"/>
          <w:sz w:val="23"/>
          <w:szCs w:val="23"/>
        </w:rPr>
      </w:pPr>
      <w:r>
        <w:rPr>
          <w:rFonts w:ascii="Times New Roman" w:hAnsi="Times New Roman" w:cs="Times New Roman"/>
          <w:sz w:val="23"/>
          <w:szCs w:val="23"/>
        </w:rPr>
        <w:t xml:space="preserve">54. Under the proposed pool redesign, DSTI payments would be re-purposed into uses related to delivery system reform  (which would be made through the new DSRIP program)  and uses   related to support for ongoing </w:t>
      </w:r>
      <w:r>
        <w:rPr>
          <w:rFonts w:ascii="Times New Roman" w:hAnsi="Times New Roman" w:cs="Times New Roman"/>
          <w:spacing w:val="12"/>
          <w:sz w:val="23"/>
          <w:szCs w:val="23"/>
        </w:rPr>
        <w:t xml:space="preserve"> </w:t>
      </w:r>
      <w:r>
        <w:rPr>
          <w:rFonts w:ascii="Times New Roman" w:hAnsi="Times New Roman" w:cs="Times New Roman"/>
          <w:sz w:val="23"/>
          <w:szCs w:val="23"/>
        </w:rPr>
        <w:t>operations.</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FB027C">
      <w:pPr>
        <w:pStyle w:val="BodyText"/>
        <w:kinsoku w:val="0"/>
        <w:overflowPunct w:val="0"/>
        <w:spacing w:before="5"/>
        <w:rPr>
          <w:rFonts w:ascii="Times New Roman" w:hAnsi="Times New Roman" w:cs="Times New Roman"/>
          <w:sz w:val="26"/>
          <w:szCs w:val="26"/>
        </w:rPr>
      </w:pPr>
      <w:r>
        <w:rPr>
          <w:noProof/>
        </w:rPr>
        <mc:AlternateContent>
          <mc:Choice Requires="wps">
            <w:drawing>
              <wp:anchor distT="0" distB="0" distL="0" distR="0" simplePos="0" relativeHeight="251642368" behindDoc="0" locked="0" layoutInCell="0" allowOverlap="1">
                <wp:simplePos x="0" y="0"/>
                <wp:positionH relativeFrom="page">
                  <wp:posOffset>146050</wp:posOffset>
                </wp:positionH>
                <wp:positionV relativeFrom="paragraph">
                  <wp:posOffset>218440</wp:posOffset>
                </wp:positionV>
                <wp:extent cx="7239000" cy="495300"/>
                <wp:effectExtent l="0" t="0" r="0" b="0"/>
                <wp:wrapTopAndBottom/>
                <wp:docPr id="578" name="Rectangle 4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780" w:lineRule="atLeast"/>
                            </w:pPr>
                            <w:r>
                              <w:rPr>
                                <w:noProof/>
                              </w:rPr>
                              <w:drawing>
                                <wp:inline distT="0" distB="0" distL="0" distR="0">
                                  <wp:extent cx="7239000" cy="504825"/>
                                  <wp:effectExtent l="0" t="0" r="0" b="952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7239000" cy="504825"/>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7" o:spid="_x0000_s1177" style="position:absolute;margin-left:11.5pt;margin-top:17.2pt;width:570pt;height:39pt;z-index:251642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" o:allowincell="f" filled="f" stroked="f">
                <v:textbox inset="0,0,0,0">
                  <w:txbxContent>
                    <w:p w:rsidR="007B2B7B" w:rsidRDefault="007B2B7B">
                      <w:pPr>
                        <w:widowControl/>
                        <w:autoSpaceDE/>
                        <w:autoSpaceDN/>
                        <w:adjustRightInd/>
                        <w:spacing w:line="780" w:lineRule="atLeast"/>
                      </w:pPr>
                      <w:r>
                        <w:rPr>
                          <w:noProof/>
                        </w:rPr>
                        <w:drawing>
                          <wp:inline distT="0" distB="0" distL="0" distR="0">
                            <wp:extent cx="7239000" cy="504825"/>
                            <wp:effectExtent l="0" t="0" r="0" b="952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7239000" cy="504825"/>
                                    </a:xfrm>
                                    <a:prstGeom prst="rect">
                                      <a:avLst/>
                                    </a:prstGeom>
                                    <a:noFill/>
                                    <a:ln>
                                      <a:noFill/>
                                    </a:ln>
                                  </pic:spPr>
                                </pic:pic>
                              </a:graphicData>
                            </a:graphic>
                          </wp:inline>
                        </w:drawing>
                      </w:r>
                    </w:p>
                    <w:p w:rsidR="007B2B7B" w:rsidRDefault="007B2B7B"/>
                  </w:txbxContent>
                </v:textbox>
                <w10:wrap type="topAndBottom" anchorx="page"/>
              </v:rect>
            </w:pict>
          </mc:Fallback>
        </mc:AlternateContent>
      </w:r>
    </w:p>
    <w:p w:rsidR="002C5025" w:rsidRDefault="002C5025">
      <w:pPr>
        <w:pStyle w:val="BodyText"/>
        <w:kinsoku w:val="0"/>
        <w:overflowPunct w:val="0"/>
        <w:spacing w:before="5"/>
        <w:rPr>
          <w:rFonts w:ascii="Times New Roman" w:hAnsi="Times New Roman" w:cs="Times New Roman"/>
          <w:sz w:val="26"/>
          <w:szCs w:val="26"/>
        </w:rPr>
        <w:sectPr w:rsidR="002C5025">
          <w:type w:val="continuous"/>
          <w:pgSz w:w="12240" w:h="15840"/>
          <w:pgMar w:top="720" w:right="0" w:bottom="280" w:left="120" w:header="720" w:footer="720" w:gutter="0"/>
          <w:cols w:space="720" w:equalWidth="0">
            <w:col w:w="12120"/>
          </w:cols>
          <w:noEndnote/>
        </w:sectPr>
      </w:pPr>
    </w:p>
    <w:p w:rsidR="002C5025" w:rsidRDefault="00FB027C">
      <w:pPr>
        <w:pStyle w:val="BodyText"/>
        <w:kinsoku w:val="0"/>
        <w:overflowPunct w:val="0"/>
        <w:rPr>
          <w:rFonts w:ascii="Times New Roman" w:hAnsi="Times New Roman" w:cs="Times New Roman"/>
          <w:sz w:val="20"/>
          <w:szCs w:val="20"/>
        </w:rPr>
      </w:pPr>
      <w:r>
        <w:rPr>
          <w:noProof/>
        </w:rPr>
        <w:lastRenderedPageBreak/>
        <mc:AlternateContent>
          <mc:Choice Requires="wpg">
            <w:drawing>
              <wp:anchor distT="0" distB="0" distL="114300" distR="114300" simplePos="0" relativeHeight="251643392" behindDoc="0" locked="0" layoutInCell="0" allowOverlap="1">
                <wp:simplePos x="0" y="0"/>
                <wp:positionH relativeFrom="page">
                  <wp:posOffset>7733030</wp:posOffset>
                </wp:positionH>
                <wp:positionV relativeFrom="page">
                  <wp:posOffset>106680</wp:posOffset>
                </wp:positionV>
                <wp:extent cx="21590" cy="9944735"/>
                <wp:effectExtent l="0" t="0" r="0" b="0"/>
                <wp:wrapNone/>
                <wp:docPr id="575" name="Group 4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90" cy="9944735"/>
                          <a:chOff x="12178" y="168"/>
                          <a:chExt cx="34" cy="15661"/>
                        </a:xfrm>
                      </wpg:grpSpPr>
                      <wps:wsp>
                        <wps:cNvPr id="576" name="Freeform 449"/>
                        <wps:cNvSpPr>
                          <a:spLocks/>
                        </wps:cNvSpPr>
                        <wps:spPr bwMode="auto">
                          <a:xfrm>
                            <a:off x="12182" y="172"/>
                            <a:ext cx="20" cy="14601"/>
                          </a:xfrm>
                          <a:custGeom>
                            <a:avLst/>
                            <a:gdLst>
                              <a:gd name="T0" fmla="*/ 0 w 20"/>
                              <a:gd name="T1" fmla="*/ 14601 h 14601"/>
                              <a:gd name="T2" fmla="*/ 0 w 20"/>
                              <a:gd name="T3" fmla="*/ 0 h 14601"/>
                            </a:gdLst>
                            <a:ahLst/>
                            <a:cxnLst>
                              <a:cxn ang="0">
                                <a:pos x="T0" y="T1"/>
                              </a:cxn>
                              <a:cxn ang="0">
                                <a:pos x="T2" y="T3"/>
                              </a:cxn>
                            </a:cxnLst>
                            <a:rect l="0" t="0" r="r" b="b"/>
                            <a:pathLst>
                              <a:path w="20" h="14601">
                                <a:moveTo>
                                  <a:pt x="0" y="14601"/>
                                </a:moveTo>
                                <a:lnTo>
                                  <a:pt x="0"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7" name="Freeform 450"/>
                        <wps:cNvSpPr>
                          <a:spLocks/>
                        </wps:cNvSpPr>
                        <wps:spPr bwMode="auto">
                          <a:xfrm>
                            <a:off x="12208" y="14803"/>
                            <a:ext cx="20" cy="1023"/>
                          </a:xfrm>
                          <a:custGeom>
                            <a:avLst/>
                            <a:gdLst>
                              <a:gd name="T0" fmla="*/ 0 w 20"/>
                              <a:gd name="T1" fmla="*/ 1023 h 1023"/>
                              <a:gd name="T2" fmla="*/ 0 w 20"/>
                              <a:gd name="T3" fmla="*/ 0 h 1023"/>
                            </a:gdLst>
                            <a:ahLst/>
                            <a:cxnLst>
                              <a:cxn ang="0">
                                <a:pos x="T0" y="T1"/>
                              </a:cxn>
                              <a:cxn ang="0">
                                <a:pos x="T2" y="T3"/>
                              </a:cxn>
                            </a:cxnLst>
                            <a:rect l="0" t="0" r="r" b="b"/>
                            <a:pathLst>
                              <a:path w="20" h="1023">
                                <a:moveTo>
                                  <a:pt x="0" y="1023"/>
                                </a:moveTo>
                                <a:lnTo>
                                  <a:pt x="0"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48" o:spid="_x0000_s1026" style="position:absolute;margin-left:608.9pt;margin-top:8.4pt;width:1.7pt;height:783.05pt;z-index:251643392;mso-position-horizontal-relative:page;mso-position-vertical-relative:page" coordorigin="12178,168" coordsize="34,15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" o:allowincell="f">
                <v:shape id="Freeform 449" o:spid="_x0000_s1027" style="position:absolute;left:12182;top:172;width:20;height:14601;visibility:visible;mso-wrap-style:square;v-text-anchor:top" coordsize="20,146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NLMQA&#10;AADcAAAADwAAAGRycy9kb3ducmV2LnhtbESPQWvCQBSE74L/YXmCN90o1NrUVUQQBL0YK70+sq9J&#10;NPs27m6T+O+7hUKPw8x8w6w2valFS85XlhXMpgkI4tzqigsFH5f9ZAnCB2SNtWVS8CQPm/VwsMJU&#10;247P1GahEBHCPkUFZQhNKqXPSzLop7Yhjt6XdQZDlK6Q2mEX4aaW8yRZSIMVx4USG9qVlN+zb6Pg&#10;OD8dzl33Fq6fl4dvb0lWuF2m1HjUb99BBOrDf/ivfdAKXl4X8HsmHg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PjSzEAAAA3AAAAA8AAAAAAAAAAAAAAAAAmAIAAGRycy9k&#10;b3ducmV2LnhtbFBLBQYAAAAABAAEAPUAAACJAwAAAAA=&#10;" path="m,14601l,e" filled="f" strokeweight=".36pt">
                  <v:path arrowok="t" o:connecttype="custom" o:connectlocs="0,14601;0,0" o:connectangles="0,0"/>
                </v:shape>
                <v:shape id="Freeform 450" o:spid="_x0000_s1028" style="position:absolute;left:12208;top:14803;width:20;height:1023;visibility:visible;mso-wrap-style:square;v-text-anchor:top" coordsize="20,10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DR/cQA&#10;AADcAAAADwAAAGRycy9kb3ducmV2LnhtbESPQWsCMRSE74X+h/AKXqRmFdSyNYoIolgE3bb0+tg8&#10;d0M3L8smavz3piD0OMzMN8xsEW0jLtR541jBcJCBIC6dNlwp+Ppcv76B8AFZY+OYFNzIw2L+/DTD&#10;XLsrH+lShEokCPscFdQhtLmUvqzJoh+4ljh5J9dZDEl2ldQdXhPcNnKUZRNp0XBaqLGlVU3lb3G2&#10;CkwM33G/6e9OdC7HVpvNofj4Uar3EpfvIALF8B9+tLdawXg6hb8z6QjI+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w0f3EAAAA3AAAAA8AAAAAAAAAAAAAAAAAmAIAAGRycy9k&#10;b3ducmV2LnhtbFBLBQYAAAAABAAEAPUAAACJAwAAAAA=&#10;" path="m,1023l,e" filled="f" strokeweight=".36pt">
                  <v:path arrowok="t" o:connecttype="custom" o:connectlocs="0,1023;0,0" o:connectangles="0,0"/>
                </v:shape>
                <w10:wrap anchorx="page" anchory="page"/>
              </v:group>
            </w:pict>
          </mc:Fallback>
        </mc:AlternateConten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FB027C">
      <w:pPr>
        <w:pStyle w:val="BodyText"/>
        <w:kinsoku w:val="0"/>
        <w:overflowPunct w:val="0"/>
        <w:spacing w:before="201" w:line="218" w:lineRule="auto"/>
        <w:ind w:left="5200" w:right="4334" w:firstLine="156"/>
        <w:rPr>
          <w:rFonts w:ascii="Times New Roman" w:hAnsi="Times New Roman" w:cs="Times New Roman"/>
          <w:w w:val="105"/>
          <w:sz w:val="39"/>
          <w:szCs w:val="39"/>
        </w:rPr>
      </w:pPr>
      <w:r>
        <w:rPr>
          <w:noProof/>
        </w:rPr>
        <mc:AlternateContent>
          <mc:Choice Requires="wps">
            <w:drawing>
              <wp:anchor distT="0" distB="0" distL="114300" distR="114300" simplePos="0" relativeHeight="251644416" behindDoc="1" locked="0" layoutInCell="0" allowOverlap="1">
                <wp:simplePos x="0" y="0"/>
                <wp:positionH relativeFrom="page">
                  <wp:posOffset>2560320</wp:posOffset>
                </wp:positionH>
                <wp:positionV relativeFrom="paragraph">
                  <wp:posOffset>-173990</wp:posOffset>
                </wp:positionV>
                <wp:extent cx="1079500" cy="1282700"/>
                <wp:effectExtent l="0" t="0" r="0" b="0"/>
                <wp:wrapNone/>
                <wp:docPr id="574" name="Rectangle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0" cy="128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2020" w:lineRule="atLeast"/>
                            </w:pPr>
                            <w:r>
                              <w:rPr>
                                <w:noProof/>
                              </w:rPr>
                              <w:drawing>
                                <wp:inline distT="0" distB="0" distL="0" distR="0">
                                  <wp:extent cx="1076325" cy="1276350"/>
                                  <wp:effectExtent l="0" t="0" r="9525"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1076325" cy="1276350"/>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1" o:spid="_x0000_s1178" style="position:absolute;left:0;text-align:left;margin-left:201.6pt;margin-top:-13.7pt;width:85pt;height:101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" o:allowincell="f" filled="f" stroked="f">
                <v:textbox inset="0,0,0,0">
                  <w:txbxContent>
                    <w:p w:rsidR="007B2B7B" w:rsidRDefault="007B2B7B">
                      <w:pPr>
                        <w:widowControl/>
                        <w:autoSpaceDE/>
                        <w:autoSpaceDN/>
                        <w:adjustRightInd/>
                        <w:spacing w:line="2020" w:lineRule="atLeast"/>
                      </w:pPr>
                      <w:r>
                        <w:rPr>
                          <w:noProof/>
                        </w:rPr>
                        <w:drawing>
                          <wp:inline distT="0" distB="0" distL="0" distR="0">
                            <wp:extent cx="1076325" cy="1276350"/>
                            <wp:effectExtent l="0" t="0" r="9525"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1076325" cy="1276350"/>
                                    </a:xfrm>
                                    <a:prstGeom prst="rect">
                                      <a:avLst/>
                                    </a:prstGeom>
                                    <a:noFill/>
                                    <a:ln>
                                      <a:noFill/>
                                    </a:ln>
                                  </pic:spPr>
                                </pic:pic>
                              </a:graphicData>
                            </a:graphic>
                          </wp:inline>
                        </w:drawing>
                      </w:r>
                    </w:p>
                    <w:p w:rsidR="007B2B7B" w:rsidRDefault="007B2B7B"/>
                  </w:txbxContent>
                </v:textbox>
                <w10:wrap anchorx="page"/>
              </v:rect>
            </w:pict>
          </mc:Fallback>
        </mc:AlternateContent>
      </w:r>
      <w:r w:rsidR="002C5025">
        <w:rPr>
          <w:rFonts w:ascii="Times New Roman" w:hAnsi="Times New Roman" w:cs="Times New Roman"/>
          <w:w w:val="105"/>
          <w:sz w:val="39"/>
          <w:szCs w:val="39"/>
        </w:rPr>
        <w:t>East Boston Neighborhood 1-Iealth Center</w:t>
      </w:r>
    </w:p>
    <w:p w:rsidR="002C5025" w:rsidRDefault="002C5025">
      <w:pPr>
        <w:pStyle w:val="BodyText"/>
        <w:kinsoku w:val="0"/>
        <w:overflowPunct w:val="0"/>
        <w:spacing w:line="267" w:lineRule="exact"/>
        <w:ind w:left="4638" w:right="5840"/>
        <w:jc w:val="center"/>
        <w:rPr>
          <w:rFonts w:ascii="Times New Roman" w:hAnsi="Times New Roman" w:cs="Times New Roman"/>
          <w:w w:val="90"/>
          <w:position w:val="8"/>
          <w:sz w:val="18"/>
          <w:szCs w:val="18"/>
        </w:rPr>
      </w:pPr>
      <w:r>
        <w:rPr>
          <w:rFonts w:ascii="Arial" w:hAnsi="Arial" w:cs="Arial"/>
          <w:w w:val="90"/>
          <w:sz w:val="32"/>
          <w:szCs w:val="32"/>
        </w:rPr>
        <w:t>ifr8:0</w:t>
      </w:r>
      <w:r>
        <w:rPr>
          <w:rFonts w:ascii="Times New Roman" w:hAnsi="Times New Roman" w:cs="Times New Roman"/>
          <w:w w:val="90"/>
          <w:position w:val="8"/>
          <w:sz w:val="18"/>
          <w:szCs w:val="18"/>
        </w:rPr>
        <w:t>1</w:t>
      </w:r>
    </w:p>
    <w:p w:rsidR="002C5025" w:rsidRDefault="002C5025">
      <w:pPr>
        <w:pStyle w:val="BodyText"/>
        <w:kinsoku w:val="0"/>
        <w:overflowPunct w:val="0"/>
        <w:spacing w:before="5"/>
        <w:rPr>
          <w:rFonts w:ascii="Times New Roman" w:hAnsi="Times New Roman" w:cs="Times New Roman"/>
          <w:sz w:val="33"/>
          <w:szCs w:val="33"/>
        </w:rPr>
      </w:pPr>
    </w:p>
    <w:p w:rsidR="002C5025" w:rsidRDefault="002C5025">
      <w:pPr>
        <w:pStyle w:val="BodyText"/>
        <w:kinsoku w:val="0"/>
        <w:overflowPunct w:val="0"/>
        <w:spacing w:line="249" w:lineRule="auto"/>
        <w:ind w:left="1296" w:right="1627"/>
        <w:rPr>
          <w:rFonts w:ascii="Times New Roman" w:hAnsi="Times New Roman" w:cs="Times New Roman"/>
          <w:sz w:val="23"/>
          <w:szCs w:val="23"/>
        </w:rPr>
      </w:pPr>
      <w:r>
        <w:rPr>
          <w:rFonts w:ascii="Times New Roman" w:hAnsi="Times New Roman" w:cs="Times New Roman"/>
          <w:sz w:val="23"/>
          <w:szCs w:val="23"/>
        </w:rPr>
        <w:t xml:space="preserve">This new set of safety net payments targeted toward support for ongoing operations will be </w:t>
      </w:r>
      <w:r>
        <w:rPr>
          <w:rFonts w:ascii="Times New Roman" w:hAnsi="Times New Roman" w:cs="Times New Roman"/>
          <w:spacing w:val="-3"/>
          <w:sz w:val="23"/>
          <w:szCs w:val="23"/>
        </w:rPr>
        <w:t xml:space="preserve">"available </w:t>
      </w:r>
      <w:r>
        <w:rPr>
          <w:rFonts w:ascii="Times New Roman" w:hAnsi="Times New Roman" w:cs="Times New Roman"/>
          <w:sz w:val="23"/>
          <w:szCs w:val="23"/>
        </w:rPr>
        <w:t xml:space="preserve">to a </w:t>
      </w:r>
      <w:r>
        <w:rPr>
          <w:rFonts w:ascii="Times New Roman" w:hAnsi="Times New Roman" w:cs="Times New Roman"/>
          <w:sz w:val="23"/>
          <w:szCs w:val="23"/>
          <w:u w:val="single" w:color="000000"/>
        </w:rPr>
        <w:t xml:space="preserve">broader set of providers </w:t>
      </w:r>
      <w:r>
        <w:rPr>
          <w:rFonts w:ascii="Times New Roman" w:hAnsi="Times New Roman" w:cs="Times New Roman"/>
          <w:sz w:val="23"/>
          <w:szCs w:val="23"/>
        </w:rPr>
        <w:t xml:space="preserve">that serve a high proportion of MassHealth and uninsured patients."  Extension Request at 57.  EBNHC agrees with this statement entirely and applauds     the </w:t>
      </w:r>
      <w:r>
        <w:rPr>
          <w:rFonts w:ascii="Times New Roman" w:hAnsi="Times New Roman" w:cs="Times New Roman"/>
          <w:spacing w:val="2"/>
          <w:sz w:val="23"/>
          <w:szCs w:val="23"/>
        </w:rPr>
        <w:t xml:space="preserve">Commonwealth </w:t>
      </w:r>
      <w:r>
        <w:rPr>
          <w:rFonts w:ascii="Times New Roman" w:hAnsi="Times New Roman" w:cs="Times New Roman"/>
          <w:sz w:val="23"/>
          <w:szCs w:val="23"/>
        </w:rPr>
        <w:t xml:space="preserve">for recognizing that the current DSTI payments were focused on a narrower universe than was necessary to support the delivery system re-design that is fundamental to the waiver renewal. However, we are concerned that the </w:t>
      </w:r>
      <w:r>
        <w:rPr>
          <w:rFonts w:ascii="Times New Roman" w:hAnsi="Times New Roman" w:cs="Times New Roman"/>
          <w:spacing w:val="2"/>
          <w:sz w:val="23"/>
          <w:szCs w:val="23"/>
        </w:rPr>
        <w:t xml:space="preserve">Commonwealth's </w:t>
      </w:r>
      <w:r>
        <w:rPr>
          <w:rFonts w:ascii="Times New Roman" w:hAnsi="Times New Roman" w:cs="Times New Roman"/>
          <w:sz w:val="23"/>
          <w:szCs w:val="23"/>
        </w:rPr>
        <w:t>proposal remains "hospital-centric"  in the sense that, while payments  are made to a broader  class of providers, each of those providers are</w:t>
      </w:r>
      <w:r>
        <w:rPr>
          <w:rFonts w:ascii="Times New Roman" w:hAnsi="Times New Roman" w:cs="Times New Roman"/>
          <w:spacing w:val="32"/>
          <w:sz w:val="23"/>
          <w:szCs w:val="23"/>
        </w:rPr>
        <w:t xml:space="preserve"> </w:t>
      </w:r>
      <w:r>
        <w:rPr>
          <w:rFonts w:ascii="Times New Roman" w:hAnsi="Times New Roman" w:cs="Times New Roman"/>
          <w:sz w:val="23"/>
          <w:szCs w:val="23"/>
        </w:rPr>
        <w:t>hospitals.</w:t>
      </w:r>
    </w:p>
    <w:p w:rsidR="002C5025" w:rsidRDefault="002C5025">
      <w:pPr>
        <w:pStyle w:val="BodyText"/>
        <w:kinsoku w:val="0"/>
        <w:overflowPunct w:val="0"/>
        <w:spacing w:before="8"/>
        <w:rPr>
          <w:rFonts w:ascii="Times New Roman" w:hAnsi="Times New Roman" w:cs="Times New Roman"/>
          <w:sz w:val="23"/>
          <w:szCs w:val="23"/>
        </w:rPr>
      </w:pPr>
    </w:p>
    <w:p w:rsidR="002C5025" w:rsidRDefault="002C5025">
      <w:pPr>
        <w:pStyle w:val="BodyText"/>
        <w:kinsoku w:val="0"/>
        <w:overflowPunct w:val="0"/>
        <w:spacing w:line="254" w:lineRule="auto"/>
        <w:ind w:left="1317" w:right="1627" w:hanging="10"/>
        <w:rPr>
          <w:rFonts w:ascii="Times New Roman" w:hAnsi="Times New Roman" w:cs="Times New Roman"/>
          <w:sz w:val="23"/>
          <w:szCs w:val="23"/>
        </w:rPr>
      </w:pPr>
      <w:r>
        <w:rPr>
          <w:rFonts w:ascii="Times New Roman" w:hAnsi="Times New Roman" w:cs="Times New Roman"/>
          <w:sz w:val="23"/>
          <w:szCs w:val="23"/>
        </w:rPr>
        <w:t>In our view, hospital-based and affiliated community health centers will pay a crucial role in the system re-design that the Commonwealth is envisioning.   This is so for several  reasons:</w:t>
      </w:r>
    </w:p>
    <w:p w:rsidR="002C5025" w:rsidRDefault="002C5025">
      <w:pPr>
        <w:pStyle w:val="BodyText"/>
        <w:kinsoku w:val="0"/>
        <w:overflowPunct w:val="0"/>
        <w:spacing w:before="9"/>
        <w:rPr>
          <w:rFonts w:ascii="Times New Roman" w:hAnsi="Times New Roman" w:cs="Times New Roman"/>
        </w:rPr>
      </w:pPr>
    </w:p>
    <w:p w:rsidR="002C5025" w:rsidRDefault="002C5025">
      <w:pPr>
        <w:pStyle w:val="ListParagraph"/>
        <w:numPr>
          <w:ilvl w:val="0"/>
          <w:numId w:val="50"/>
        </w:numPr>
        <w:tabs>
          <w:tab w:val="left" w:pos="2031"/>
        </w:tabs>
        <w:kinsoku w:val="0"/>
        <w:overflowPunct w:val="0"/>
        <w:spacing w:line="247" w:lineRule="auto"/>
        <w:ind w:right="1578"/>
        <w:rPr>
          <w:sz w:val="23"/>
          <w:szCs w:val="23"/>
        </w:rPr>
      </w:pPr>
      <w:r>
        <w:rPr>
          <w:sz w:val="23"/>
          <w:szCs w:val="23"/>
        </w:rPr>
        <w:t xml:space="preserve">The mission of health centers is to focus on primary care. Health centers help to ensure a healthier population that will not require more complex medical  </w:t>
      </w:r>
      <w:r>
        <w:rPr>
          <w:spacing w:val="3"/>
          <w:sz w:val="23"/>
          <w:szCs w:val="23"/>
        </w:rPr>
        <w:t xml:space="preserve"> </w:t>
      </w:r>
      <w:r>
        <w:rPr>
          <w:sz w:val="23"/>
          <w:szCs w:val="23"/>
        </w:rPr>
        <w:t>care.</w:t>
      </w:r>
    </w:p>
    <w:p w:rsidR="002C5025" w:rsidRDefault="002C5025">
      <w:pPr>
        <w:pStyle w:val="ListParagraph"/>
        <w:numPr>
          <w:ilvl w:val="0"/>
          <w:numId w:val="50"/>
        </w:numPr>
        <w:tabs>
          <w:tab w:val="left" w:pos="2031"/>
        </w:tabs>
        <w:kinsoku w:val="0"/>
        <w:overflowPunct w:val="0"/>
        <w:spacing w:before="1" w:line="247" w:lineRule="auto"/>
        <w:ind w:left="2044" w:right="1877" w:hanging="360"/>
        <w:rPr>
          <w:sz w:val="23"/>
          <w:szCs w:val="23"/>
        </w:rPr>
      </w:pPr>
      <w:r>
        <w:rPr>
          <w:sz w:val="23"/>
          <w:szCs w:val="23"/>
        </w:rPr>
        <w:t>Health centers can operate more cost effectively, because they rely on the provision of care through mid-level</w:t>
      </w:r>
      <w:r>
        <w:rPr>
          <w:spacing w:val="24"/>
          <w:sz w:val="23"/>
          <w:szCs w:val="23"/>
        </w:rPr>
        <w:t xml:space="preserve"> </w:t>
      </w:r>
      <w:r>
        <w:rPr>
          <w:sz w:val="23"/>
          <w:szCs w:val="23"/>
        </w:rPr>
        <w:t>practitioners.</w:t>
      </w:r>
    </w:p>
    <w:p w:rsidR="002C5025" w:rsidRDefault="002C5025">
      <w:pPr>
        <w:pStyle w:val="ListParagraph"/>
        <w:numPr>
          <w:ilvl w:val="0"/>
          <w:numId w:val="50"/>
        </w:numPr>
        <w:tabs>
          <w:tab w:val="left" w:pos="2038"/>
        </w:tabs>
        <w:kinsoku w:val="0"/>
        <w:overflowPunct w:val="0"/>
        <w:spacing w:before="3" w:line="249" w:lineRule="auto"/>
        <w:ind w:left="2037" w:right="1652" w:hanging="345"/>
        <w:rPr>
          <w:sz w:val="23"/>
          <w:szCs w:val="23"/>
        </w:rPr>
      </w:pPr>
      <w:r>
        <w:rPr>
          <w:sz w:val="23"/>
          <w:szCs w:val="23"/>
        </w:rPr>
        <w:t xml:space="preserve">The Commonwealth notes that one of the goals of the waiver extension is to "improve integration among physical health, behavioral health, long-term services and supports,  and health-related  social services."  Extension Request at 2.  Community health centers  are already familiar with the importance of this integration. Indeed, EBNHC is already affiliated with North Suffolk Mental Health Association and that collaboration will grow deeper in the year ahead as the two organizations negotiate a possible  </w:t>
      </w:r>
      <w:r>
        <w:rPr>
          <w:spacing w:val="6"/>
          <w:sz w:val="23"/>
          <w:szCs w:val="23"/>
        </w:rPr>
        <w:t xml:space="preserve"> </w:t>
      </w:r>
      <w:r>
        <w:rPr>
          <w:sz w:val="23"/>
          <w:szCs w:val="23"/>
        </w:rPr>
        <w:t>merger.</w:t>
      </w:r>
    </w:p>
    <w:p w:rsidR="002C5025" w:rsidRDefault="002C5025">
      <w:pPr>
        <w:pStyle w:val="ListParagraph"/>
        <w:numPr>
          <w:ilvl w:val="0"/>
          <w:numId w:val="50"/>
        </w:numPr>
        <w:tabs>
          <w:tab w:val="left" w:pos="2045"/>
        </w:tabs>
        <w:kinsoku w:val="0"/>
        <w:overflowPunct w:val="0"/>
        <w:spacing w:line="249" w:lineRule="auto"/>
        <w:ind w:left="2051" w:right="1550" w:hanging="352"/>
        <w:rPr>
          <w:sz w:val="23"/>
          <w:szCs w:val="23"/>
        </w:rPr>
      </w:pPr>
      <w:r>
        <w:rPr>
          <w:sz w:val="23"/>
          <w:szCs w:val="23"/>
        </w:rPr>
        <w:t xml:space="preserve">Health centers serve a much higher proportion of MassHealth and uninsured patients than many hospitals. In the case of EBNHC, for example, fully 85% of our revenue is derived from Medicaid, dual-eligible Medicare/Medicaid programs, and the safety net care pool. We therefore are clearly described by the recipients of the prior DSTI program: </w:t>
      </w:r>
      <w:r>
        <w:rPr>
          <w:spacing w:val="-7"/>
          <w:sz w:val="23"/>
          <w:szCs w:val="23"/>
        </w:rPr>
        <w:t>"high</w:t>
      </w:r>
      <w:r>
        <w:rPr>
          <w:spacing w:val="43"/>
          <w:sz w:val="23"/>
          <w:szCs w:val="23"/>
        </w:rPr>
        <w:t xml:space="preserve"> </w:t>
      </w:r>
      <w:r>
        <w:rPr>
          <w:sz w:val="23"/>
          <w:szCs w:val="23"/>
        </w:rPr>
        <w:t xml:space="preserve">public payer and low commercial payer </w:t>
      </w:r>
      <w:r>
        <w:rPr>
          <w:spacing w:val="32"/>
          <w:sz w:val="23"/>
          <w:szCs w:val="23"/>
        </w:rPr>
        <w:t xml:space="preserve"> </w:t>
      </w:r>
      <w:r>
        <w:rPr>
          <w:sz w:val="23"/>
          <w:szCs w:val="23"/>
        </w:rPr>
        <w:t>mix."</w:t>
      </w:r>
    </w:p>
    <w:p w:rsidR="002C5025" w:rsidRDefault="002C5025">
      <w:pPr>
        <w:pStyle w:val="BodyText"/>
        <w:kinsoku w:val="0"/>
        <w:overflowPunct w:val="0"/>
        <w:spacing w:before="10"/>
        <w:rPr>
          <w:rFonts w:ascii="Times New Roman" w:hAnsi="Times New Roman" w:cs="Times New Roman"/>
          <w:sz w:val="23"/>
          <w:szCs w:val="23"/>
        </w:rPr>
      </w:pPr>
    </w:p>
    <w:p w:rsidR="002C5025" w:rsidRDefault="002C5025">
      <w:pPr>
        <w:pStyle w:val="BodyText"/>
        <w:kinsoku w:val="0"/>
        <w:overflowPunct w:val="0"/>
        <w:spacing w:line="274" w:lineRule="exact"/>
        <w:ind w:left="1339" w:right="1521"/>
        <w:rPr>
          <w:rFonts w:ascii="Times New Roman" w:hAnsi="Times New Roman" w:cs="Times New Roman"/>
          <w:sz w:val="23"/>
          <w:szCs w:val="23"/>
        </w:rPr>
      </w:pPr>
      <w:r>
        <w:rPr>
          <w:rFonts w:ascii="Times New Roman" w:hAnsi="Times New Roman" w:cs="Times New Roman"/>
          <w:sz w:val="23"/>
          <w:szCs w:val="23"/>
        </w:rPr>
        <w:t xml:space="preserve">Accordingly, we would request that the Commonwealth revise its proposal to target a portion of these new safety net payments directly to EBNHC. </w:t>
      </w:r>
      <w:r>
        <w:rPr>
          <w:rFonts w:ascii="Times New Roman" w:hAnsi="Times New Roman" w:cs="Times New Roman"/>
          <w:position w:val="11"/>
          <w:sz w:val="17"/>
          <w:szCs w:val="17"/>
        </w:rPr>
        <w:t xml:space="preserve">1 </w:t>
      </w:r>
      <w:r>
        <w:rPr>
          <w:rFonts w:ascii="Times New Roman" w:hAnsi="Times New Roman" w:cs="Times New Roman"/>
          <w:sz w:val="23"/>
          <w:szCs w:val="23"/>
        </w:rPr>
        <w:t>We recognize that this would be a deviation from the DSTI program that the new payments will replace.   However,  such a modification to  the</w:t>
      </w:r>
    </w:p>
    <w:p w:rsidR="002C5025" w:rsidRDefault="002C5025">
      <w:pPr>
        <w:pStyle w:val="BodyText"/>
        <w:kinsoku w:val="0"/>
        <w:overflowPunct w:val="0"/>
        <w:spacing w:before="4" w:line="244" w:lineRule="auto"/>
        <w:ind w:left="1353" w:right="1627" w:hanging="10"/>
        <w:rPr>
          <w:rFonts w:ascii="Times New Roman" w:hAnsi="Times New Roman" w:cs="Times New Roman"/>
          <w:sz w:val="23"/>
          <w:szCs w:val="23"/>
        </w:rPr>
      </w:pPr>
      <w:r>
        <w:rPr>
          <w:rFonts w:ascii="Times New Roman" w:hAnsi="Times New Roman" w:cs="Times New Roman"/>
          <w:sz w:val="23"/>
          <w:szCs w:val="23"/>
        </w:rPr>
        <w:t>proposal would be fully consonant with the Commonwealth's goals. EBNHC fully supports the concept of accountable care organizations and believes that it can play an integral role   in</w:t>
      </w:r>
    </w:p>
    <w:p w:rsidR="002C5025" w:rsidRDefault="00FB027C">
      <w:pPr>
        <w:pStyle w:val="BodyText"/>
        <w:kinsoku w:val="0"/>
        <w:overflowPunct w:val="0"/>
        <w:spacing w:before="9"/>
        <w:rPr>
          <w:rFonts w:ascii="Times New Roman" w:hAnsi="Times New Roman" w:cs="Times New Roman"/>
          <w:sz w:val="18"/>
          <w:szCs w:val="18"/>
        </w:rPr>
      </w:pPr>
      <w:r>
        <w:rPr>
          <w:noProof/>
        </w:rPr>
        <mc:AlternateContent>
          <mc:Choice Requires="wps">
            <w:drawing>
              <wp:anchor distT="0" distB="0" distL="0" distR="0" simplePos="0" relativeHeight="251645440" behindDoc="0" locked="0" layoutInCell="0" allowOverlap="1">
                <wp:simplePos x="0" y="0"/>
                <wp:positionH relativeFrom="page">
                  <wp:posOffset>978535</wp:posOffset>
                </wp:positionH>
                <wp:positionV relativeFrom="paragraph">
                  <wp:posOffset>167005</wp:posOffset>
                </wp:positionV>
                <wp:extent cx="1815465" cy="12700"/>
                <wp:effectExtent l="0" t="0" r="0" b="0"/>
                <wp:wrapTopAndBottom/>
                <wp:docPr id="573" name="Freeform 4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15465" cy="12700"/>
                        </a:xfrm>
                        <a:custGeom>
                          <a:avLst/>
                          <a:gdLst>
                            <a:gd name="T0" fmla="*/ 0 w 2859"/>
                            <a:gd name="T1" fmla="*/ 0 h 20"/>
                            <a:gd name="T2" fmla="*/ 2859 w 2859"/>
                            <a:gd name="T3" fmla="*/ 0 h 20"/>
                          </a:gdLst>
                          <a:ahLst/>
                          <a:cxnLst>
                            <a:cxn ang="0">
                              <a:pos x="T0" y="T1"/>
                            </a:cxn>
                            <a:cxn ang="0">
                              <a:pos x="T2" y="T3"/>
                            </a:cxn>
                          </a:cxnLst>
                          <a:rect l="0" t="0" r="r" b="b"/>
                          <a:pathLst>
                            <a:path w="2859" h="20">
                              <a:moveTo>
                                <a:pt x="0" y="0"/>
                              </a:moveTo>
                              <a:lnTo>
                                <a:pt x="2859"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52" o:spid="_x0000_s1026" style="position:absolute;z-index:251645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7.05pt,13.15pt,220pt,13.15pt" coordsize="285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" o:allowincell="f" filled="f" strokeweight=".72pt">
                <v:path arrowok="t" o:connecttype="custom" o:connectlocs="0,0;1815465,0" o:connectangles="0,0"/>
                <w10:wrap type="topAndBottom" anchorx="page"/>
              </v:polyline>
            </w:pict>
          </mc:Fallback>
        </mc:AlternateConten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spacing w:line="244" w:lineRule="auto"/>
        <w:ind w:left="1353" w:right="1521" w:firstLine="14"/>
        <w:rPr>
          <w:rFonts w:ascii="Times New Roman" w:hAnsi="Times New Roman" w:cs="Times New Roman"/>
          <w:w w:val="105"/>
          <w:sz w:val="19"/>
          <w:szCs w:val="19"/>
        </w:rPr>
      </w:pPr>
      <w:r>
        <w:rPr>
          <w:rFonts w:ascii="Times New Roman" w:hAnsi="Times New Roman" w:cs="Times New Roman"/>
          <w:w w:val="105"/>
          <w:position w:val="8"/>
          <w:sz w:val="12"/>
          <w:szCs w:val="12"/>
        </w:rPr>
        <w:t xml:space="preserve">1 </w:t>
      </w:r>
      <w:r>
        <w:rPr>
          <w:rFonts w:ascii="Times New Roman" w:hAnsi="Times New Roman" w:cs="Times New Roman"/>
          <w:w w:val="105"/>
          <w:sz w:val="19"/>
          <w:szCs w:val="19"/>
        </w:rPr>
        <w:t>We recognize that these safety net payments are likely treated as disproportionate share hospital (DSH) payments under</w:t>
      </w:r>
      <w:r>
        <w:rPr>
          <w:rFonts w:ascii="Times New Roman" w:hAnsi="Times New Roman" w:cs="Times New Roman"/>
          <w:spacing w:val="4"/>
          <w:w w:val="105"/>
          <w:sz w:val="19"/>
          <w:szCs w:val="19"/>
        </w:rPr>
        <w:t xml:space="preserve"> </w:t>
      </w:r>
      <w:r>
        <w:rPr>
          <w:rFonts w:ascii="Times New Roman" w:hAnsi="Times New Roman" w:cs="Times New Roman"/>
          <w:w w:val="105"/>
          <w:sz w:val="19"/>
          <w:szCs w:val="19"/>
        </w:rPr>
        <w:t>§</w:t>
      </w:r>
      <w:r>
        <w:rPr>
          <w:rFonts w:ascii="Times New Roman" w:hAnsi="Times New Roman" w:cs="Times New Roman"/>
          <w:spacing w:val="-10"/>
          <w:w w:val="105"/>
          <w:sz w:val="19"/>
          <w:szCs w:val="19"/>
        </w:rPr>
        <w:t xml:space="preserve"> </w:t>
      </w:r>
      <w:r>
        <w:rPr>
          <w:rFonts w:ascii="Times New Roman" w:hAnsi="Times New Roman" w:cs="Times New Roman"/>
          <w:w w:val="105"/>
          <w:sz w:val="19"/>
          <w:szCs w:val="19"/>
        </w:rPr>
        <w:t>1923</w:t>
      </w:r>
      <w:r>
        <w:rPr>
          <w:rFonts w:ascii="Times New Roman" w:hAnsi="Times New Roman" w:cs="Times New Roman"/>
          <w:spacing w:val="-21"/>
          <w:w w:val="105"/>
          <w:sz w:val="19"/>
          <w:szCs w:val="19"/>
        </w:rPr>
        <w:t xml:space="preserve"> </w:t>
      </w:r>
      <w:r>
        <w:rPr>
          <w:rFonts w:ascii="Times New Roman" w:hAnsi="Times New Roman" w:cs="Times New Roman"/>
          <w:w w:val="105"/>
          <w:sz w:val="19"/>
          <w:szCs w:val="19"/>
        </w:rPr>
        <w:t>of</w:t>
      </w:r>
      <w:r>
        <w:rPr>
          <w:rFonts w:ascii="Times New Roman" w:hAnsi="Times New Roman" w:cs="Times New Roman"/>
          <w:spacing w:val="-22"/>
          <w:w w:val="105"/>
          <w:sz w:val="19"/>
          <w:szCs w:val="19"/>
        </w:rPr>
        <w:t xml:space="preserve"> </w:t>
      </w:r>
      <w:r>
        <w:rPr>
          <w:rFonts w:ascii="Times New Roman" w:hAnsi="Times New Roman" w:cs="Times New Roman"/>
          <w:w w:val="105"/>
          <w:sz w:val="19"/>
          <w:szCs w:val="19"/>
        </w:rPr>
        <w:t>the</w:t>
      </w:r>
      <w:r>
        <w:rPr>
          <w:rFonts w:ascii="Times New Roman" w:hAnsi="Times New Roman" w:cs="Times New Roman"/>
          <w:spacing w:val="-5"/>
          <w:w w:val="105"/>
          <w:sz w:val="19"/>
          <w:szCs w:val="19"/>
        </w:rPr>
        <w:t xml:space="preserve"> </w:t>
      </w:r>
      <w:r>
        <w:rPr>
          <w:rFonts w:ascii="Times New Roman" w:hAnsi="Times New Roman" w:cs="Times New Roman"/>
          <w:w w:val="105"/>
          <w:sz w:val="19"/>
          <w:szCs w:val="19"/>
        </w:rPr>
        <w:t>Social</w:t>
      </w:r>
      <w:r>
        <w:rPr>
          <w:rFonts w:ascii="Times New Roman" w:hAnsi="Times New Roman" w:cs="Times New Roman"/>
          <w:spacing w:val="-8"/>
          <w:w w:val="105"/>
          <w:sz w:val="19"/>
          <w:szCs w:val="19"/>
        </w:rPr>
        <w:t xml:space="preserve"> </w:t>
      </w:r>
      <w:r>
        <w:rPr>
          <w:rFonts w:ascii="Times New Roman" w:hAnsi="Times New Roman" w:cs="Times New Roman"/>
          <w:w w:val="105"/>
          <w:sz w:val="19"/>
          <w:szCs w:val="19"/>
        </w:rPr>
        <w:t>Security</w:t>
      </w:r>
      <w:r>
        <w:rPr>
          <w:rFonts w:ascii="Times New Roman" w:hAnsi="Times New Roman" w:cs="Times New Roman"/>
          <w:spacing w:val="-6"/>
          <w:w w:val="105"/>
          <w:sz w:val="19"/>
          <w:szCs w:val="19"/>
        </w:rPr>
        <w:t xml:space="preserve"> </w:t>
      </w:r>
      <w:r>
        <w:rPr>
          <w:rFonts w:ascii="Times New Roman" w:hAnsi="Times New Roman" w:cs="Times New Roman"/>
          <w:w w:val="105"/>
          <w:sz w:val="19"/>
          <w:szCs w:val="19"/>
        </w:rPr>
        <w:t>Act</w:t>
      </w:r>
      <w:r>
        <w:rPr>
          <w:rFonts w:ascii="Times New Roman" w:hAnsi="Times New Roman" w:cs="Times New Roman"/>
          <w:spacing w:val="-7"/>
          <w:w w:val="105"/>
          <w:sz w:val="19"/>
          <w:szCs w:val="19"/>
        </w:rPr>
        <w:t xml:space="preserve"> </w:t>
      </w:r>
      <w:r>
        <w:rPr>
          <w:rFonts w:ascii="Times New Roman" w:hAnsi="Times New Roman" w:cs="Times New Roman"/>
          <w:w w:val="105"/>
          <w:sz w:val="19"/>
          <w:szCs w:val="19"/>
        </w:rPr>
        <w:t>which</w:t>
      </w:r>
      <w:r>
        <w:rPr>
          <w:rFonts w:ascii="Times New Roman" w:hAnsi="Times New Roman" w:cs="Times New Roman"/>
          <w:spacing w:val="-2"/>
          <w:w w:val="105"/>
          <w:sz w:val="19"/>
          <w:szCs w:val="19"/>
        </w:rPr>
        <w:t xml:space="preserve"> </w:t>
      </w:r>
      <w:r>
        <w:rPr>
          <w:rFonts w:ascii="Times New Roman" w:hAnsi="Times New Roman" w:cs="Times New Roman"/>
          <w:w w:val="105"/>
          <w:sz w:val="19"/>
          <w:szCs w:val="19"/>
        </w:rPr>
        <w:t>are</w:t>
      </w:r>
      <w:r>
        <w:rPr>
          <w:rFonts w:ascii="Times New Roman" w:hAnsi="Times New Roman" w:cs="Times New Roman"/>
          <w:spacing w:val="-20"/>
          <w:w w:val="105"/>
          <w:sz w:val="19"/>
          <w:szCs w:val="19"/>
        </w:rPr>
        <w:t xml:space="preserve"> </w:t>
      </w:r>
      <w:r>
        <w:rPr>
          <w:rFonts w:ascii="Times New Roman" w:hAnsi="Times New Roman" w:cs="Times New Roman"/>
          <w:w w:val="105"/>
          <w:sz w:val="19"/>
          <w:szCs w:val="19"/>
        </w:rPr>
        <w:t>targeted</w:t>
      </w:r>
      <w:r>
        <w:rPr>
          <w:rFonts w:ascii="Times New Roman" w:hAnsi="Times New Roman" w:cs="Times New Roman"/>
          <w:spacing w:val="-1"/>
          <w:w w:val="105"/>
          <w:sz w:val="19"/>
          <w:szCs w:val="19"/>
        </w:rPr>
        <w:t xml:space="preserve"> </w:t>
      </w:r>
      <w:r>
        <w:rPr>
          <w:rFonts w:ascii="Times New Roman" w:hAnsi="Times New Roman" w:cs="Times New Roman"/>
          <w:w w:val="105"/>
          <w:sz w:val="19"/>
          <w:szCs w:val="19"/>
        </w:rPr>
        <w:t>at</w:t>
      </w:r>
      <w:r>
        <w:rPr>
          <w:rFonts w:ascii="Times New Roman" w:hAnsi="Times New Roman" w:cs="Times New Roman"/>
          <w:spacing w:val="-17"/>
          <w:w w:val="105"/>
          <w:sz w:val="19"/>
          <w:szCs w:val="19"/>
        </w:rPr>
        <w:t xml:space="preserve"> </w:t>
      </w:r>
      <w:r>
        <w:rPr>
          <w:rFonts w:ascii="Times New Roman" w:hAnsi="Times New Roman" w:cs="Times New Roman"/>
          <w:w w:val="105"/>
          <w:sz w:val="19"/>
          <w:szCs w:val="19"/>
        </w:rPr>
        <w:t>hospitals</w:t>
      </w:r>
      <w:r>
        <w:rPr>
          <w:rFonts w:ascii="Times New Roman" w:hAnsi="Times New Roman" w:cs="Times New Roman"/>
          <w:spacing w:val="-1"/>
          <w:w w:val="105"/>
          <w:sz w:val="19"/>
          <w:szCs w:val="19"/>
        </w:rPr>
        <w:t xml:space="preserve"> </w:t>
      </w:r>
      <w:r>
        <w:rPr>
          <w:rFonts w:ascii="Times New Roman" w:hAnsi="Times New Roman" w:cs="Times New Roman"/>
          <w:w w:val="105"/>
          <w:sz w:val="19"/>
          <w:szCs w:val="19"/>
        </w:rPr>
        <w:t>and</w:t>
      </w:r>
      <w:r>
        <w:rPr>
          <w:rFonts w:ascii="Times New Roman" w:hAnsi="Times New Roman" w:cs="Times New Roman"/>
          <w:spacing w:val="-10"/>
          <w:w w:val="105"/>
          <w:sz w:val="19"/>
          <w:szCs w:val="19"/>
        </w:rPr>
        <w:t xml:space="preserve"> </w:t>
      </w:r>
      <w:r>
        <w:rPr>
          <w:rFonts w:ascii="Times New Roman" w:hAnsi="Times New Roman" w:cs="Times New Roman"/>
          <w:w w:val="105"/>
          <w:sz w:val="19"/>
          <w:szCs w:val="19"/>
        </w:rPr>
        <w:t>are</w:t>
      </w:r>
      <w:r>
        <w:rPr>
          <w:rFonts w:ascii="Times New Roman" w:hAnsi="Times New Roman" w:cs="Times New Roman"/>
          <w:spacing w:val="-14"/>
          <w:w w:val="105"/>
          <w:sz w:val="19"/>
          <w:szCs w:val="19"/>
        </w:rPr>
        <w:t xml:space="preserve"> </w:t>
      </w:r>
      <w:r>
        <w:rPr>
          <w:rFonts w:ascii="Times New Roman" w:hAnsi="Times New Roman" w:cs="Times New Roman"/>
          <w:w w:val="105"/>
          <w:sz w:val="19"/>
          <w:szCs w:val="19"/>
        </w:rPr>
        <w:t>subject</w:t>
      </w:r>
      <w:r>
        <w:rPr>
          <w:rFonts w:ascii="Times New Roman" w:hAnsi="Times New Roman" w:cs="Times New Roman"/>
          <w:spacing w:val="-17"/>
          <w:w w:val="105"/>
          <w:sz w:val="19"/>
          <w:szCs w:val="19"/>
        </w:rPr>
        <w:t xml:space="preserve"> </w:t>
      </w:r>
      <w:r>
        <w:rPr>
          <w:rFonts w:ascii="Times New Roman" w:hAnsi="Times New Roman" w:cs="Times New Roman"/>
          <w:w w:val="105"/>
          <w:sz w:val="19"/>
          <w:szCs w:val="19"/>
        </w:rPr>
        <w:t>to</w:t>
      </w:r>
      <w:r>
        <w:rPr>
          <w:rFonts w:ascii="Times New Roman" w:hAnsi="Times New Roman" w:cs="Times New Roman"/>
          <w:spacing w:val="-19"/>
          <w:w w:val="105"/>
          <w:sz w:val="19"/>
          <w:szCs w:val="19"/>
        </w:rPr>
        <w:t xml:space="preserve"> </w:t>
      </w:r>
      <w:r>
        <w:rPr>
          <w:rFonts w:ascii="Times New Roman" w:hAnsi="Times New Roman" w:cs="Times New Roman"/>
          <w:w w:val="105"/>
          <w:sz w:val="19"/>
          <w:szCs w:val="19"/>
        </w:rPr>
        <w:t>the</w:t>
      </w:r>
      <w:r>
        <w:rPr>
          <w:rFonts w:ascii="Times New Roman" w:hAnsi="Times New Roman" w:cs="Times New Roman"/>
          <w:spacing w:val="-5"/>
          <w:w w:val="105"/>
          <w:sz w:val="19"/>
          <w:szCs w:val="19"/>
        </w:rPr>
        <w:t xml:space="preserve"> </w:t>
      </w:r>
      <w:r>
        <w:rPr>
          <w:rFonts w:ascii="Times New Roman" w:hAnsi="Times New Roman" w:cs="Times New Roman"/>
          <w:w w:val="105"/>
          <w:sz w:val="19"/>
          <w:szCs w:val="19"/>
        </w:rPr>
        <w:t>statewide</w:t>
      </w:r>
      <w:r>
        <w:rPr>
          <w:rFonts w:ascii="Times New Roman" w:hAnsi="Times New Roman" w:cs="Times New Roman"/>
          <w:spacing w:val="-9"/>
          <w:w w:val="105"/>
          <w:sz w:val="19"/>
          <w:szCs w:val="19"/>
        </w:rPr>
        <w:t xml:space="preserve"> </w:t>
      </w:r>
      <w:r>
        <w:rPr>
          <w:rFonts w:ascii="Times New Roman" w:hAnsi="Times New Roman" w:cs="Times New Roman"/>
          <w:w w:val="105"/>
          <w:sz w:val="19"/>
          <w:szCs w:val="19"/>
        </w:rPr>
        <w:t>cap</w:t>
      </w:r>
      <w:r>
        <w:rPr>
          <w:rFonts w:ascii="Times New Roman" w:hAnsi="Times New Roman" w:cs="Times New Roman"/>
          <w:spacing w:val="-6"/>
          <w:w w:val="105"/>
          <w:sz w:val="19"/>
          <w:szCs w:val="19"/>
        </w:rPr>
        <w:t xml:space="preserve"> </w:t>
      </w:r>
      <w:r>
        <w:rPr>
          <w:rFonts w:ascii="Times New Roman" w:hAnsi="Times New Roman" w:cs="Times New Roman"/>
          <w:w w:val="105"/>
          <w:sz w:val="19"/>
          <w:szCs w:val="19"/>
        </w:rPr>
        <w:t>set</w:t>
      </w:r>
      <w:r>
        <w:rPr>
          <w:rFonts w:ascii="Times New Roman" w:hAnsi="Times New Roman" w:cs="Times New Roman"/>
          <w:spacing w:val="-15"/>
          <w:w w:val="105"/>
          <w:sz w:val="19"/>
          <w:szCs w:val="19"/>
        </w:rPr>
        <w:t xml:space="preserve"> </w:t>
      </w:r>
      <w:r>
        <w:rPr>
          <w:rFonts w:ascii="Times New Roman" w:hAnsi="Times New Roman" w:cs="Times New Roman"/>
          <w:w w:val="105"/>
          <w:sz w:val="20"/>
          <w:szCs w:val="20"/>
        </w:rPr>
        <w:t xml:space="preserve">forth </w:t>
      </w:r>
      <w:r>
        <w:rPr>
          <w:rFonts w:ascii="Times New Roman" w:hAnsi="Times New Roman" w:cs="Times New Roman"/>
          <w:w w:val="105"/>
          <w:sz w:val="19"/>
          <w:szCs w:val="19"/>
        </w:rPr>
        <w:t>in</w:t>
      </w:r>
      <w:r>
        <w:rPr>
          <w:rFonts w:ascii="Times New Roman" w:hAnsi="Times New Roman" w:cs="Times New Roman"/>
          <w:spacing w:val="-1"/>
          <w:w w:val="105"/>
          <w:sz w:val="19"/>
          <w:szCs w:val="19"/>
        </w:rPr>
        <w:t xml:space="preserve"> </w:t>
      </w:r>
      <w:r>
        <w:rPr>
          <w:rFonts w:ascii="Times New Roman" w:hAnsi="Times New Roman" w:cs="Times New Roman"/>
          <w:w w:val="105"/>
          <w:sz w:val="20"/>
          <w:szCs w:val="20"/>
        </w:rPr>
        <w:t>§</w:t>
      </w:r>
      <w:r>
        <w:rPr>
          <w:rFonts w:ascii="Times New Roman" w:hAnsi="Times New Roman" w:cs="Times New Roman"/>
          <w:spacing w:val="-12"/>
          <w:w w:val="105"/>
          <w:sz w:val="20"/>
          <w:szCs w:val="20"/>
        </w:rPr>
        <w:t xml:space="preserve"> </w:t>
      </w:r>
      <w:r>
        <w:rPr>
          <w:rFonts w:ascii="Times New Roman" w:hAnsi="Times New Roman" w:cs="Times New Roman"/>
          <w:w w:val="105"/>
          <w:sz w:val="19"/>
          <w:szCs w:val="19"/>
        </w:rPr>
        <w:t>1923(!)(2).</w:t>
      </w:r>
      <w:r>
        <w:rPr>
          <w:rFonts w:ascii="Times New Roman" w:hAnsi="Times New Roman" w:cs="Times New Roman"/>
          <w:spacing w:val="15"/>
          <w:w w:val="105"/>
          <w:sz w:val="19"/>
          <w:szCs w:val="19"/>
        </w:rPr>
        <w:t xml:space="preserve"> </w:t>
      </w:r>
      <w:r>
        <w:rPr>
          <w:rFonts w:ascii="Times New Roman" w:hAnsi="Times New Roman" w:cs="Times New Roman"/>
          <w:w w:val="105"/>
          <w:sz w:val="19"/>
          <w:szCs w:val="19"/>
        </w:rPr>
        <w:t>Because</w:t>
      </w:r>
      <w:r>
        <w:rPr>
          <w:rFonts w:ascii="Times New Roman" w:hAnsi="Times New Roman" w:cs="Times New Roman"/>
          <w:spacing w:val="-4"/>
          <w:w w:val="105"/>
          <w:sz w:val="19"/>
          <w:szCs w:val="19"/>
        </w:rPr>
        <w:t xml:space="preserve"> </w:t>
      </w:r>
      <w:r>
        <w:rPr>
          <w:rFonts w:ascii="Times New Roman" w:hAnsi="Times New Roman" w:cs="Times New Roman"/>
          <w:spacing w:val="-3"/>
          <w:w w:val="105"/>
          <w:sz w:val="19"/>
          <w:szCs w:val="19"/>
        </w:rPr>
        <w:t>EBNIIC</w:t>
      </w:r>
      <w:r>
        <w:rPr>
          <w:rFonts w:ascii="Times New Roman" w:hAnsi="Times New Roman" w:cs="Times New Roman"/>
          <w:spacing w:val="-15"/>
          <w:w w:val="105"/>
          <w:sz w:val="19"/>
          <w:szCs w:val="19"/>
        </w:rPr>
        <w:t xml:space="preserve"> </w:t>
      </w:r>
      <w:r>
        <w:rPr>
          <w:rFonts w:ascii="Times New Roman" w:hAnsi="Times New Roman" w:cs="Times New Roman"/>
          <w:w w:val="105"/>
          <w:sz w:val="19"/>
          <w:szCs w:val="19"/>
        </w:rPr>
        <w:t>sites</w:t>
      </w:r>
      <w:r>
        <w:rPr>
          <w:rFonts w:ascii="Times New Roman" w:hAnsi="Times New Roman" w:cs="Times New Roman"/>
          <w:spacing w:val="-12"/>
          <w:w w:val="105"/>
          <w:sz w:val="19"/>
          <w:szCs w:val="19"/>
        </w:rPr>
        <w:t xml:space="preserve"> </w:t>
      </w:r>
      <w:r>
        <w:rPr>
          <w:rFonts w:ascii="Times New Roman" w:hAnsi="Times New Roman" w:cs="Times New Roman"/>
          <w:w w:val="105"/>
          <w:sz w:val="19"/>
          <w:szCs w:val="19"/>
        </w:rPr>
        <w:t>are</w:t>
      </w:r>
      <w:r>
        <w:rPr>
          <w:rFonts w:ascii="Times New Roman" w:hAnsi="Times New Roman" w:cs="Times New Roman"/>
          <w:spacing w:val="-19"/>
          <w:w w:val="105"/>
          <w:sz w:val="19"/>
          <w:szCs w:val="19"/>
        </w:rPr>
        <w:t xml:space="preserve"> </w:t>
      </w:r>
      <w:r>
        <w:rPr>
          <w:rFonts w:ascii="Times New Roman" w:hAnsi="Times New Roman" w:cs="Times New Roman"/>
          <w:w w:val="105"/>
          <w:sz w:val="19"/>
          <w:szCs w:val="19"/>
        </w:rPr>
        <w:t>provider-based</w:t>
      </w:r>
      <w:r>
        <w:rPr>
          <w:rFonts w:ascii="Times New Roman" w:hAnsi="Times New Roman" w:cs="Times New Roman"/>
          <w:spacing w:val="3"/>
          <w:w w:val="105"/>
          <w:sz w:val="19"/>
          <w:szCs w:val="19"/>
        </w:rPr>
        <w:t xml:space="preserve"> </w:t>
      </w:r>
      <w:r>
        <w:rPr>
          <w:rFonts w:ascii="Times New Roman" w:hAnsi="Times New Roman" w:cs="Times New Roman"/>
          <w:w w:val="105"/>
          <w:sz w:val="19"/>
          <w:szCs w:val="19"/>
        </w:rPr>
        <w:t>under</w:t>
      </w:r>
      <w:r>
        <w:rPr>
          <w:rFonts w:ascii="Times New Roman" w:hAnsi="Times New Roman" w:cs="Times New Roman"/>
          <w:spacing w:val="-8"/>
          <w:w w:val="105"/>
          <w:sz w:val="19"/>
          <w:szCs w:val="19"/>
        </w:rPr>
        <w:t xml:space="preserve"> </w:t>
      </w:r>
      <w:r>
        <w:rPr>
          <w:rFonts w:ascii="Times New Roman" w:hAnsi="Times New Roman" w:cs="Times New Roman"/>
          <w:w w:val="105"/>
          <w:sz w:val="19"/>
          <w:szCs w:val="19"/>
        </w:rPr>
        <w:t>42</w:t>
      </w:r>
      <w:r>
        <w:rPr>
          <w:rFonts w:ascii="Times New Roman" w:hAnsi="Times New Roman" w:cs="Times New Roman"/>
          <w:spacing w:val="-12"/>
          <w:w w:val="105"/>
          <w:sz w:val="19"/>
          <w:szCs w:val="19"/>
        </w:rPr>
        <w:t xml:space="preserve"> </w:t>
      </w:r>
      <w:r>
        <w:rPr>
          <w:rFonts w:ascii="Times New Roman" w:hAnsi="Times New Roman" w:cs="Times New Roman"/>
          <w:w w:val="105"/>
          <w:sz w:val="19"/>
          <w:szCs w:val="19"/>
        </w:rPr>
        <w:t>C.F.R.</w:t>
      </w:r>
      <w:r>
        <w:rPr>
          <w:rFonts w:ascii="Times New Roman" w:hAnsi="Times New Roman" w:cs="Times New Roman"/>
          <w:spacing w:val="-5"/>
          <w:w w:val="105"/>
          <w:sz w:val="19"/>
          <w:szCs w:val="19"/>
        </w:rPr>
        <w:t xml:space="preserve"> </w:t>
      </w:r>
      <w:r>
        <w:rPr>
          <w:rFonts w:ascii="Times New Roman" w:hAnsi="Times New Roman" w:cs="Times New Roman"/>
          <w:w w:val="105"/>
          <w:sz w:val="20"/>
          <w:szCs w:val="20"/>
        </w:rPr>
        <w:t>§</w:t>
      </w:r>
      <w:r>
        <w:rPr>
          <w:rFonts w:ascii="Times New Roman" w:hAnsi="Times New Roman" w:cs="Times New Roman"/>
          <w:spacing w:val="-29"/>
          <w:w w:val="105"/>
          <w:sz w:val="20"/>
          <w:szCs w:val="20"/>
        </w:rPr>
        <w:t xml:space="preserve"> </w:t>
      </w:r>
      <w:r>
        <w:rPr>
          <w:rFonts w:ascii="Times New Roman" w:hAnsi="Times New Roman" w:cs="Times New Roman"/>
          <w:spacing w:val="3"/>
          <w:w w:val="105"/>
          <w:sz w:val="19"/>
          <w:szCs w:val="19"/>
        </w:rPr>
        <w:t>413.65,</w:t>
      </w:r>
      <w:r>
        <w:rPr>
          <w:rFonts w:ascii="Times New Roman" w:hAnsi="Times New Roman" w:cs="Times New Roman"/>
          <w:spacing w:val="-15"/>
          <w:w w:val="105"/>
          <w:sz w:val="19"/>
          <w:szCs w:val="19"/>
        </w:rPr>
        <w:t xml:space="preserve"> </w:t>
      </w:r>
      <w:r>
        <w:rPr>
          <w:rFonts w:ascii="Times New Roman" w:hAnsi="Times New Roman" w:cs="Times New Roman"/>
          <w:w w:val="105"/>
          <w:sz w:val="19"/>
          <w:szCs w:val="19"/>
        </w:rPr>
        <w:t>we</w:t>
      </w:r>
      <w:r>
        <w:rPr>
          <w:rFonts w:ascii="Times New Roman" w:hAnsi="Times New Roman" w:cs="Times New Roman"/>
          <w:spacing w:val="-19"/>
          <w:w w:val="105"/>
          <w:sz w:val="19"/>
          <w:szCs w:val="19"/>
        </w:rPr>
        <w:t xml:space="preserve"> </w:t>
      </w:r>
      <w:r>
        <w:rPr>
          <w:rFonts w:ascii="Times New Roman" w:hAnsi="Times New Roman" w:cs="Times New Roman"/>
          <w:w w:val="105"/>
          <w:sz w:val="19"/>
          <w:szCs w:val="19"/>
        </w:rPr>
        <w:t>believe</w:t>
      </w:r>
      <w:r>
        <w:rPr>
          <w:rFonts w:ascii="Times New Roman" w:hAnsi="Times New Roman" w:cs="Times New Roman"/>
          <w:spacing w:val="-4"/>
          <w:w w:val="105"/>
          <w:sz w:val="19"/>
          <w:szCs w:val="19"/>
        </w:rPr>
        <w:t xml:space="preserve"> </w:t>
      </w:r>
      <w:r>
        <w:rPr>
          <w:rFonts w:ascii="Times New Roman" w:hAnsi="Times New Roman" w:cs="Times New Roman"/>
          <w:w w:val="105"/>
          <w:sz w:val="19"/>
          <w:szCs w:val="19"/>
        </w:rPr>
        <w:t>that</w:t>
      </w:r>
      <w:r>
        <w:rPr>
          <w:rFonts w:ascii="Times New Roman" w:hAnsi="Times New Roman" w:cs="Times New Roman"/>
          <w:spacing w:val="-16"/>
          <w:w w:val="105"/>
          <w:sz w:val="19"/>
          <w:szCs w:val="19"/>
        </w:rPr>
        <w:t xml:space="preserve"> </w:t>
      </w:r>
      <w:r>
        <w:rPr>
          <w:rFonts w:ascii="Times New Roman" w:hAnsi="Times New Roman" w:cs="Times New Roman"/>
          <w:w w:val="105"/>
          <w:sz w:val="19"/>
          <w:szCs w:val="19"/>
        </w:rPr>
        <w:t>these</w:t>
      </w:r>
      <w:r>
        <w:rPr>
          <w:rFonts w:ascii="Times New Roman" w:hAnsi="Times New Roman" w:cs="Times New Roman"/>
          <w:spacing w:val="-8"/>
          <w:w w:val="105"/>
          <w:sz w:val="19"/>
          <w:szCs w:val="19"/>
        </w:rPr>
        <w:t xml:space="preserve"> </w:t>
      </w:r>
      <w:r>
        <w:rPr>
          <w:rFonts w:ascii="Times New Roman" w:hAnsi="Times New Roman" w:cs="Times New Roman"/>
          <w:w w:val="105"/>
          <w:sz w:val="19"/>
          <w:szCs w:val="19"/>
        </w:rPr>
        <w:t>payments could</w:t>
      </w:r>
      <w:r>
        <w:rPr>
          <w:rFonts w:ascii="Times New Roman" w:hAnsi="Times New Roman" w:cs="Times New Roman"/>
          <w:spacing w:val="-14"/>
          <w:w w:val="105"/>
          <w:sz w:val="19"/>
          <w:szCs w:val="19"/>
        </w:rPr>
        <w:t xml:space="preserve"> </w:t>
      </w:r>
      <w:r>
        <w:rPr>
          <w:rFonts w:ascii="Times New Roman" w:hAnsi="Times New Roman" w:cs="Times New Roman"/>
          <w:w w:val="105"/>
          <w:sz w:val="19"/>
          <w:szCs w:val="19"/>
        </w:rPr>
        <w:t>flow</w:t>
      </w:r>
      <w:r>
        <w:rPr>
          <w:rFonts w:ascii="Times New Roman" w:hAnsi="Times New Roman" w:cs="Times New Roman"/>
          <w:spacing w:val="-19"/>
          <w:w w:val="105"/>
          <w:sz w:val="19"/>
          <w:szCs w:val="19"/>
        </w:rPr>
        <w:t xml:space="preserve"> </w:t>
      </w:r>
      <w:r>
        <w:rPr>
          <w:rFonts w:ascii="Times New Roman" w:hAnsi="Times New Roman" w:cs="Times New Roman"/>
          <w:w w:val="105"/>
          <w:sz w:val="19"/>
          <w:szCs w:val="19"/>
        </w:rPr>
        <w:t>through</w:t>
      </w:r>
      <w:r>
        <w:rPr>
          <w:rFonts w:ascii="Times New Roman" w:hAnsi="Times New Roman" w:cs="Times New Roman"/>
          <w:spacing w:val="-14"/>
          <w:w w:val="105"/>
          <w:sz w:val="19"/>
          <w:szCs w:val="19"/>
        </w:rPr>
        <w:t xml:space="preserve"> </w:t>
      </w:r>
      <w:r>
        <w:rPr>
          <w:rFonts w:ascii="Times New Roman" w:hAnsi="Times New Roman" w:cs="Times New Roman"/>
          <w:w w:val="105"/>
          <w:sz w:val="19"/>
          <w:szCs w:val="19"/>
        </w:rPr>
        <w:t>Boston</w:t>
      </w:r>
      <w:r>
        <w:rPr>
          <w:rFonts w:ascii="Times New Roman" w:hAnsi="Times New Roman" w:cs="Times New Roman"/>
          <w:spacing w:val="-14"/>
          <w:w w:val="105"/>
          <w:sz w:val="19"/>
          <w:szCs w:val="19"/>
        </w:rPr>
        <w:t xml:space="preserve"> </w:t>
      </w:r>
      <w:r>
        <w:rPr>
          <w:rFonts w:ascii="Times New Roman" w:hAnsi="Times New Roman" w:cs="Times New Roman"/>
          <w:w w:val="105"/>
          <w:sz w:val="19"/>
          <w:szCs w:val="19"/>
        </w:rPr>
        <w:t>Medical</w:t>
      </w:r>
      <w:r>
        <w:rPr>
          <w:rFonts w:ascii="Times New Roman" w:hAnsi="Times New Roman" w:cs="Times New Roman"/>
          <w:spacing w:val="-12"/>
          <w:w w:val="105"/>
          <w:sz w:val="19"/>
          <w:szCs w:val="19"/>
        </w:rPr>
        <w:t xml:space="preserve"> </w:t>
      </w:r>
      <w:r>
        <w:rPr>
          <w:rFonts w:ascii="Times New Roman" w:hAnsi="Times New Roman" w:cs="Times New Roman"/>
          <w:w w:val="105"/>
          <w:sz w:val="19"/>
          <w:szCs w:val="19"/>
        </w:rPr>
        <w:t>Center</w:t>
      </w:r>
      <w:r>
        <w:rPr>
          <w:rFonts w:ascii="Times New Roman" w:hAnsi="Times New Roman" w:cs="Times New Roman"/>
          <w:spacing w:val="-17"/>
          <w:w w:val="105"/>
          <w:sz w:val="19"/>
          <w:szCs w:val="19"/>
        </w:rPr>
        <w:t xml:space="preserve"> </w:t>
      </w:r>
      <w:r>
        <w:rPr>
          <w:rFonts w:ascii="Times New Roman" w:hAnsi="Times New Roman" w:cs="Times New Roman"/>
          <w:w w:val="105"/>
          <w:sz w:val="19"/>
          <w:szCs w:val="19"/>
        </w:rPr>
        <w:t>and</w:t>
      </w:r>
      <w:r>
        <w:rPr>
          <w:rFonts w:ascii="Times New Roman" w:hAnsi="Times New Roman" w:cs="Times New Roman"/>
          <w:spacing w:val="-17"/>
          <w:w w:val="105"/>
          <w:sz w:val="19"/>
          <w:szCs w:val="19"/>
        </w:rPr>
        <w:t xml:space="preserve"> </w:t>
      </w:r>
      <w:r>
        <w:rPr>
          <w:rFonts w:ascii="Times New Roman" w:hAnsi="Times New Roman" w:cs="Times New Roman"/>
          <w:w w:val="105"/>
          <w:sz w:val="19"/>
          <w:szCs w:val="19"/>
        </w:rPr>
        <w:t>appropriately</w:t>
      </w:r>
      <w:r>
        <w:rPr>
          <w:rFonts w:ascii="Times New Roman" w:hAnsi="Times New Roman" w:cs="Times New Roman"/>
          <w:spacing w:val="-10"/>
          <w:w w:val="105"/>
          <w:sz w:val="19"/>
          <w:szCs w:val="19"/>
        </w:rPr>
        <w:t xml:space="preserve"> </w:t>
      </w:r>
      <w:r>
        <w:rPr>
          <w:rFonts w:ascii="Times New Roman" w:hAnsi="Times New Roman" w:cs="Times New Roman"/>
          <w:w w:val="105"/>
          <w:sz w:val="19"/>
          <w:szCs w:val="19"/>
        </w:rPr>
        <w:t>be</w:t>
      </w:r>
      <w:r>
        <w:rPr>
          <w:rFonts w:ascii="Times New Roman" w:hAnsi="Times New Roman" w:cs="Times New Roman"/>
          <w:spacing w:val="-24"/>
          <w:w w:val="105"/>
          <w:sz w:val="19"/>
          <w:szCs w:val="19"/>
        </w:rPr>
        <w:t xml:space="preserve"> </w:t>
      </w:r>
      <w:r>
        <w:rPr>
          <w:rFonts w:ascii="Times New Roman" w:hAnsi="Times New Roman" w:cs="Times New Roman"/>
          <w:w w:val="105"/>
          <w:sz w:val="19"/>
          <w:szCs w:val="19"/>
        </w:rPr>
        <w:t>treated</w:t>
      </w:r>
      <w:r>
        <w:rPr>
          <w:rFonts w:ascii="Times New Roman" w:hAnsi="Times New Roman" w:cs="Times New Roman"/>
          <w:spacing w:val="-12"/>
          <w:w w:val="105"/>
          <w:sz w:val="19"/>
          <w:szCs w:val="19"/>
        </w:rPr>
        <w:t xml:space="preserve"> </w:t>
      </w:r>
      <w:r>
        <w:rPr>
          <w:rFonts w:ascii="Times New Roman" w:hAnsi="Times New Roman" w:cs="Times New Roman"/>
          <w:w w:val="105"/>
          <w:sz w:val="19"/>
          <w:szCs w:val="19"/>
        </w:rPr>
        <w:t>as</w:t>
      </w:r>
      <w:r>
        <w:rPr>
          <w:rFonts w:ascii="Times New Roman" w:hAnsi="Times New Roman" w:cs="Times New Roman"/>
          <w:spacing w:val="-21"/>
          <w:w w:val="105"/>
          <w:sz w:val="19"/>
          <w:szCs w:val="19"/>
        </w:rPr>
        <w:t xml:space="preserve"> </w:t>
      </w:r>
      <w:r>
        <w:rPr>
          <w:rFonts w:ascii="Times New Roman" w:hAnsi="Times New Roman" w:cs="Times New Roman"/>
          <w:w w:val="105"/>
          <w:sz w:val="19"/>
          <w:szCs w:val="19"/>
        </w:rPr>
        <w:t>DSH</w:t>
      </w:r>
      <w:r>
        <w:rPr>
          <w:rFonts w:ascii="Times New Roman" w:hAnsi="Times New Roman" w:cs="Times New Roman"/>
          <w:spacing w:val="-19"/>
          <w:w w:val="105"/>
          <w:sz w:val="19"/>
          <w:szCs w:val="19"/>
        </w:rPr>
        <w:t xml:space="preserve"> </w:t>
      </w:r>
      <w:r>
        <w:rPr>
          <w:rFonts w:ascii="Times New Roman" w:hAnsi="Times New Roman" w:cs="Times New Roman"/>
          <w:w w:val="105"/>
          <w:sz w:val="19"/>
          <w:szCs w:val="19"/>
        </w:rPr>
        <w:t>payments.</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4"/>
        <w:rPr>
          <w:rFonts w:ascii="Times New Roman" w:hAnsi="Times New Roman" w:cs="Times New Roman"/>
          <w:sz w:val="17"/>
          <w:szCs w:val="17"/>
        </w:rPr>
      </w:pPr>
    </w:p>
    <w:p w:rsidR="002C5025" w:rsidRDefault="002C5025">
      <w:pPr>
        <w:pStyle w:val="BodyText"/>
        <w:kinsoku w:val="0"/>
        <w:overflowPunct w:val="0"/>
        <w:ind w:left="5048" w:right="5111"/>
        <w:jc w:val="center"/>
        <w:rPr>
          <w:rFonts w:ascii="Times New Roman" w:hAnsi="Times New Roman" w:cs="Times New Roman"/>
          <w:w w:val="105"/>
          <w:sz w:val="23"/>
          <w:szCs w:val="23"/>
        </w:rPr>
      </w:pPr>
      <w:r>
        <w:rPr>
          <w:rFonts w:ascii="Times New Roman" w:hAnsi="Times New Roman" w:cs="Times New Roman"/>
          <w:w w:val="105"/>
          <w:sz w:val="23"/>
          <w:szCs w:val="23"/>
        </w:rPr>
        <w:t>- 2 -</w:t>
      </w:r>
    </w:p>
    <w:p w:rsidR="002C5025" w:rsidRDefault="002C5025">
      <w:pPr>
        <w:pStyle w:val="BodyText"/>
        <w:kinsoku w:val="0"/>
        <w:overflowPunct w:val="0"/>
        <w:rPr>
          <w:rFonts w:ascii="Times New Roman" w:hAnsi="Times New Roman" w:cs="Times New Roman"/>
          <w:sz w:val="20"/>
          <w:szCs w:val="20"/>
        </w:rPr>
      </w:pPr>
    </w:p>
    <w:p w:rsidR="002C5025" w:rsidRDefault="00FB027C">
      <w:pPr>
        <w:pStyle w:val="BodyText"/>
        <w:kinsoku w:val="0"/>
        <w:overflowPunct w:val="0"/>
        <w:spacing w:before="6"/>
        <w:rPr>
          <w:rFonts w:ascii="Times New Roman" w:hAnsi="Times New Roman" w:cs="Times New Roman"/>
          <w:sz w:val="11"/>
          <w:szCs w:val="11"/>
        </w:rPr>
      </w:pPr>
      <w:r>
        <w:rPr>
          <w:noProof/>
        </w:rPr>
        <mc:AlternateContent>
          <mc:Choice Requires="wps">
            <w:drawing>
              <wp:anchor distT="0" distB="0" distL="0" distR="0" simplePos="0" relativeHeight="251646464" behindDoc="0" locked="0" layoutInCell="0" allowOverlap="1">
                <wp:simplePos x="0" y="0"/>
                <wp:positionH relativeFrom="page">
                  <wp:posOffset>182880</wp:posOffset>
                </wp:positionH>
                <wp:positionV relativeFrom="paragraph">
                  <wp:posOffset>109220</wp:posOffset>
                </wp:positionV>
                <wp:extent cx="7378700" cy="495300"/>
                <wp:effectExtent l="0" t="0" r="0" b="0"/>
                <wp:wrapTopAndBottom/>
                <wp:docPr id="572" name="Rectangle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7870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780" w:lineRule="atLeast"/>
                            </w:pPr>
                            <w:r>
                              <w:rPr>
                                <w:noProof/>
                              </w:rPr>
                              <w:drawing>
                                <wp:inline distT="0" distB="0" distL="0" distR="0">
                                  <wp:extent cx="7391400" cy="495300"/>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7391400" cy="495300"/>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3" o:spid="_x0000_s1179" style="position:absolute;margin-left:14.4pt;margin-top:8.6pt;width:581pt;height:39pt;z-index:251646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" o:allowincell="f" filled="f" stroked="f">
                <v:textbox inset="0,0,0,0">
                  <w:txbxContent>
                    <w:p w:rsidR="007B2B7B" w:rsidRDefault="007B2B7B">
                      <w:pPr>
                        <w:widowControl/>
                        <w:autoSpaceDE/>
                        <w:autoSpaceDN/>
                        <w:adjustRightInd/>
                        <w:spacing w:line="780" w:lineRule="atLeast"/>
                      </w:pPr>
                      <w:r>
                        <w:rPr>
                          <w:noProof/>
                        </w:rPr>
                        <w:drawing>
                          <wp:inline distT="0" distB="0" distL="0" distR="0">
                            <wp:extent cx="7391400" cy="495300"/>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7391400" cy="495300"/>
                                    </a:xfrm>
                                    <a:prstGeom prst="rect">
                                      <a:avLst/>
                                    </a:prstGeom>
                                    <a:noFill/>
                                    <a:ln>
                                      <a:noFill/>
                                    </a:ln>
                                  </pic:spPr>
                                </pic:pic>
                              </a:graphicData>
                            </a:graphic>
                          </wp:inline>
                        </w:drawing>
                      </w:r>
                    </w:p>
                    <w:p w:rsidR="007B2B7B" w:rsidRDefault="007B2B7B"/>
                  </w:txbxContent>
                </v:textbox>
                <w10:wrap type="topAndBottom" anchorx="page"/>
              </v:rect>
            </w:pict>
          </mc:Fallback>
        </mc:AlternateContent>
      </w:r>
    </w:p>
    <w:p w:rsidR="002C5025" w:rsidRDefault="002C5025">
      <w:pPr>
        <w:pStyle w:val="BodyText"/>
        <w:kinsoku w:val="0"/>
        <w:overflowPunct w:val="0"/>
        <w:spacing w:before="6"/>
        <w:rPr>
          <w:rFonts w:ascii="Times New Roman" w:hAnsi="Times New Roman" w:cs="Times New Roman"/>
          <w:sz w:val="11"/>
          <w:szCs w:val="11"/>
        </w:rPr>
        <w:sectPr w:rsidR="002C5025">
          <w:pgSz w:w="12240" w:h="15840"/>
          <w:pgMar w:top="160" w:right="0" w:bottom="0" w:left="180" w:header="720" w:footer="720" w:gutter="0"/>
          <w:cols w:space="720" w:equalWidth="0">
            <w:col w:w="12060"/>
          </w:cols>
          <w:noEndnote/>
        </w:sectPr>
      </w:pPr>
    </w:p>
    <w:p w:rsidR="002C5025" w:rsidRDefault="00FB027C">
      <w:pPr>
        <w:pStyle w:val="BodyText"/>
        <w:kinsoku w:val="0"/>
        <w:overflowPunct w:val="0"/>
        <w:spacing w:before="7" w:after="1"/>
        <w:rPr>
          <w:rFonts w:ascii="Times New Roman" w:hAnsi="Times New Roman" w:cs="Times New Roman"/>
          <w:sz w:val="28"/>
          <w:szCs w:val="28"/>
        </w:rPr>
      </w:pPr>
      <w:r>
        <w:rPr>
          <w:noProof/>
        </w:rPr>
        <w:lastRenderedPageBreak/>
        <mc:AlternateContent>
          <mc:Choice Requires="wps">
            <w:drawing>
              <wp:anchor distT="0" distB="0" distL="114300" distR="114300" simplePos="0" relativeHeight="251647488" behindDoc="0" locked="0" layoutInCell="0" allowOverlap="1">
                <wp:simplePos x="0" y="0"/>
                <wp:positionH relativeFrom="page">
                  <wp:posOffset>7708265</wp:posOffset>
                </wp:positionH>
                <wp:positionV relativeFrom="page">
                  <wp:posOffset>109220</wp:posOffset>
                </wp:positionV>
                <wp:extent cx="12700" cy="9685020"/>
                <wp:effectExtent l="0" t="0" r="0" b="0"/>
                <wp:wrapNone/>
                <wp:docPr id="571" name="Freeform 4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9685020"/>
                        </a:xfrm>
                        <a:custGeom>
                          <a:avLst/>
                          <a:gdLst>
                            <a:gd name="T0" fmla="*/ 0 w 20"/>
                            <a:gd name="T1" fmla="*/ 15252 h 15252"/>
                            <a:gd name="T2" fmla="*/ 0 w 20"/>
                            <a:gd name="T3" fmla="*/ 0 h 15252"/>
                          </a:gdLst>
                          <a:ahLst/>
                          <a:cxnLst>
                            <a:cxn ang="0">
                              <a:pos x="T0" y="T1"/>
                            </a:cxn>
                            <a:cxn ang="0">
                              <a:pos x="T2" y="T3"/>
                            </a:cxn>
                          </a:cxnLst>
                          <a:rect l="0" t="0" r="r" b="b"/>
                          <a:pathLst>
                            <a:path w="20" h="15252">
                              <a:moveTo>
                                <a:pt x="0" y="15252"/>
                              </a:moveTo>
                              <a:lnTo>
                                <a:pt x="0" y="0"/>
                              </a:lnTo>
                            </a:path>
                          </a:pathLst>
                        </a:custGeom>
                        <a:noFill/>
                        <a:ln w="45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54" o:spid="_x0000_s1026" style="position:absolute;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06.95pt,771.2pt,606.95pt,8.6pt" coordsize="20,15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" o:allowincell="f" filled="f" strokeweight=".1259mm">
                <v:path arrowok="t" o:connecttype="custom" o:connectlocs="0,9685020;0,0" o:connectangles="0,0"/>
                <w10:wrap anchorx="page" anchory="page"/>
              </v:polyline>
            </w:pict>
          </mc:Fallback>
        </mc:AlternateContent>
      </w:r>
    </w:p>
    <w:p w:rsidR="002C5025" w:rsidRDefault="00FB027C">
      <w:pPr>
        <w:pStyle w:val="BodyText"/>
        <w:kinsoku w:val="0"/>
        <w:overflowPunct w:val="0"/>
        <w:ind w:left="3734"/>
        <w:rPr>
          <w:rFonts w:ascii="Times New Roman" w:hAnsi="Times New Roman" w:cs="Times New Roman"/>
          <w:sz w:val="20"/>
          <w:szCs w:val="20"/>
        </w:rPr>
      </w:pPr>
      <w:r>
        <w:rPr>
          <w:rFonts w:ascii="Times New Roman" w:hAnsi="Times New Roman" w:cs="Times New Roman"/>
          <w:noProof/>
          <w:sz w:val="20"/>
          <w:szCs w:val="20"/>
        </w:rPr>
        <w:drawing>
          <wp:inline distT="0" distB="0" distL="0" distR="0">
            <wp:extent cx="2619375" cy="1409700"/>
            <wp:effectExtent l="0" t="0" r="9525"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2619375" cy="1409700"/>
                    </a:xfrm>
                    <a:prstGeom prst="rect">
                      <a:avLst/>
                    </a:prstGeom>
                    <a:noFill/>
                    <a:ln>
                      <a:noFill/>
                    </a:ln>
                  </pic:spPr>
                </pic:pic>
              </a:graphicData>
            </a:graphic>
          </wp:inline>
        </w:drawing>
      </w:r>
    </w:p>
    <w:p w:rsidR="002C5025" w:rsidRDefault="002C5025">
      <w:pPr>
        <w:pStyle w:val="BodyText"/>
        <w:kinsoku w:val="0"/>
        <w:overflowPunct w:val="0"/>
        <w:spacing w:before="123" w:line="247" w:lineRule="auto"/>
        <w:ind w:left="1252" w:right="1973" w:hanging="8"/>
        <w:rPr>
          <w:rFonts w:ascii="Times New Roman" w:hAnsi="Times New Roman" w:cs="Times New Roman"/>
          <w:sz w:val="23"/>
          <w:szCs w:val="23"/>
        </w:rPr>
      </w:pPr>
      <w:r>
        <w:rPr>
          <w:rFonts w:ascii="Times New Roman" w:hAnsi="Times New Roman" w:cs="Times New Roman"/>
          <w:sz w:val="23"/>
          <w:szCs w:val="23"/>
        </w:rPr>
        <w:t>Medicaid ACO development. It can help to achieve greater collaboration of patients' physical and mental health needs.</w:t>
      </w:r>
    </w:p>
    <w:p w:rsidR="002C5025" w:rsidRDefault="002C5025">
      <w:pPr>
        <w:pStyle w:val="BodyText"/>
        <w:kinsoku w:val="0"/>
        <w:overflowPunct w:val="0"/>
        <w:rPr>
          <w:rFonts w:ascii="Times New Roman" w:hAnsi="Times New Roman" w:cs="Times New Roman"/>
          <w:sz w:val="23"/>
          <w:szCs w:val="23"/>
        </w:rPr>
      </w:pPr>
    </w:p>
    <w:p w:rsidR="002C5025" w:rsidRDefault="002C5025">
      <w:pPr>
        <w:pStyle w:val="BodyText"/>
        <w:kinsoku w:val="0"/>
        <w:overflowPunct w:val="0"/>
        <w:spacing w:before="1"/>
        <w:ind w:left="1252" w:right="1973"/>
        <w:rPr>
          <w:rFonts w:ascii="Times New Roman" w:hAnsi="Times New Roman" w:cs="Times New Roman"/>
          <w:sz w:val="23"/>
          <w:szCs w:val="23"/>
        </w:rPr>
      </w:pPr>
      <w:r>
        <w:rPr>
          <w:rFonts w:ascii="Times New Roman" w:hAnsi="Times New Roman" w:cs="Times New Roman"/>
          <w:sz w:val="23"/>
          <w:szCs w:val="23"/>
        </w:rPr>
        <w:t>We are requesting an allocation of $12 million per year under our request, less than 2% of  the</w:t>
      </w:r>
    </w:p>
    <w:p w:rsidR="002C5025" w:rsidRDefault="002C5025">
      <w:pPr>
        <w:pStyle w:val="BodyText"/>
        <w:kinsoku w:val="0"/>
        <w:overflowPunct w:val="0"/>
        <w:spacing w:before="14" w:line="247" w:lineRule="auto"/>
        <w:ind w:left="1252" w:right="1973" w:firstLine="7"/>
        <w:rPr>
          <w:rFonts w:ascii="Times New Roman" w:hAnsi="Times New Roman" w:cs="Times New Roman"/>
          <w:sz w:val="23"/>
          <w:szCs w:val="23"/>
        </w:rPr>
      </w:pPr>
      <w:r>
        <w:rPr>
          <w:rFonts w:ascii="Times New Roman" w:hAnsi="Times New Roman" w:cs="Times New Roman"/>
          <w:sz w:val="23"/>
          <w:szCs w:val="23"/>
        </w:rPr>
        <w:t xml:space="preserve">$675 million average annual amount that the Commonwealth has allocated for this revenue stream. By way of comparison, and including funds made available under the prior DSTI program, Carney Hospital (which is roughly 60% the size of EBNHC in terms of annual revenue) received $7.7 million </w:t>
      </w:r>
      <w:proofErr w:type="spellStart"/>
      <w:r>
        <w:rPr>
          <w:rFonts w:ascii="Arial" w:hAnsi="Arial" w:cs="Arial"/>
        </w:rPr>
        <w:t>iu</w:t>
      </w:r>
      <w:r>
        <w:rPr>
          <w:rFonts w:ascii="Times New Roman" w:hAnsi="Times New Roman" w:cs="Times New Roman"/>
          <w:sz w:val="23"/>
          <w:szCs w:val="23"/>
        </w:rPr>
        <w:t>special</w:t>
      </w:r>
      <w:proofErr w:type="spellEnd"/>
      <w:r>
        <w:rPr>
          <w:rFonts w:ascii="Times New Roman" w:hAnsi="Times New Roman" w:cs="Times New Roman"/>
          <w:sz w:val="23"/>
          <w:szCs w:val="23"/>
        </w:rPr>
        <w:t xml:space="preserve"> supplemental payments. Applying that ratio to EBNHC revenue equals roughly $12 million, which is the basis for our  request.</w:t>
      </w:r>
    </w:p>
    <w:p w:rsidR="002C5025" w:rsidRDefault="002C5025">
      <w:pPr>
        <w:pStyle w:val="BodyText"/>
        <w:kinsoku w:val="0"/>
        <w:overflowPunct w:val="0"/>
        <w:spacing w:before="3"/>
        <w:rPr>
          <w:rFonts w:ascii="Times New Roman" w:hAnsi="Times New Roman" w:cs="Times New Roman"/>
          <w:sz w:val="24"/>
          <w:szCs w:val="24"/>
        </w:rPr>
      </w:pPr>
    </w:p>
    <w:p w:rsidR="002C5025" w:rsidRDefault="002C5025">
      <w:pPr>
        <w:pStyle w:val="BodyText"/>
        <w:kinsoku w:val="0"/>
        <w:overflowPunct w:val="0"/>
        <w:spacing w:before="1" w:line="247" w:lineRule="auto"/>
        <w:ind w:left="1260" w:right="1856"/>
        <w:rPr>
          <w:rFonts w:ascii="Times New Roman" w:hAnsi="Times New Roman" w:cs="Times New Roman"/>
          <w:sz w:val="23"/>
          <w:szCs w:val="23"/>
        </w:rPr>
      </w:pPr>
      <w:proofErr w:type="spellStart"/>
      <w:r>
        <w:rPr>
          <w:rFonts w:ascii="Arial" w:hAnsi="Arial" w:cs="Arial"/>
        </w:rPr>
        <w:t>In</w:t>
      </w:r>
      <w:r>
        <w:rPr>
          <w:rFonts w:ascii="Times New Roman" w:hAnsi="Times New Roman" w:cs="Times New Roman"/>
          <w:sz w:val="23"/>
          <w:szCs w:val="23"/>
        </w:rPr>
        <w:t>conclusion</w:t>
      </w:r>
      <w:proofErr w:type="spellEnd"/>
      <w:r>
        <w:rPr>
          <w:rFonts w:ascii="Times New Roman" w:hAnsi="Times New Roman" w:cs="Times New Roman"/>
          <w:sz w:val="23"/>
          <w:szCs w:val="23"/>
        </w:rPr>
        <w:t xml:space="preserve">, EBNHC is anxious to work with the Commonwealth and to be a part of the  revised waiver initiative. We believe, however, that a dedicated revenue stream to EBNHC will help to ensure the success of the Commonwealth's initiative for the reasons set forth </w:t>
      </w:r>
      <w:proofErr w:type="spellStart"/>
      <w:r>
        <w:rPr>
          <w:rFonts w:ascii="Arial" w:hAnsi="Arial" w:cs="Arial"/>
        </w:rPr>
        <w:t>iu</w:t>
      </w:r>
      <w:r>
        <w:rPr>
          <w:rFonts w:ascii="Times New Roman" w:hAnsi="Times New Roman" w:cs="Times New Roman"/>
          <w:sz w:val="23"/>
          <w:szCs w:val="23"/>
        </w:rPr>
        <w:t>our</w:t>
      </w:r>
      <w:proofErr w:type="spellEnd"/>
      <w:r>
        <w:rPr>
          <w:rFonts w:ascii="Times New Roman" w:hAnsi="Times New Roman" w:cs="Times New Roman"/>
          <w:sz w:val="23"/>
          <w:szCs w:val="23"/>
        </w:rPr>
        <w:t xml:space="preserve"> comment. We would sincerely appreciate your support for our request as you finalize your submission to CMS and would be pleased to answer any questions about our</w:t>
      </w:r>
      <w:r>
        <w:rPr>
          <w:rFonts w:ascii="Times New Roman" w:hAnsi="Times New Roman" w:cs="Times New Roman"/>
          <w:spacing w:val="43"/>
          <w:sz w:val="23"/>
          <w:szCs w:val="23"/>
        </w:rPr>
        <w:t xml:space="preserve"> </w:t>
      </w:r>
      <w:r>
        <w:rPr>
          <w:rFonts w:ascii="Times New Roman" w:hAnsi="Times New Roman" w:cs="Times New Roman"/>
          <w:sz w:val="23"/>
          <w:szCs w:val="23"/>
        </w:rPr>
        <w:t>proposal.</w:t>
      </w:r>
    </w:p>
    <w:p w:rsidR="002C5025" w:rsidRDefault="002C5025">
      <w:pPr>
        <w:pStyle w:val="BodyText"/>
        <w:kinsoku w:val="0"/>
        <w:overflowPunct w:val="0"/>
        <w:spacing w:before="5"/>
        <w:rPr>
          <w:rFonts w:ascii="Times New Roman" w:hAnsi="Times New Roman" w:cs="Times New Roman"/>
        </w:rPr>
      </w:pPr>
    </w:p>
    <w:p w:rsidR="002C5025" w:rsidRDefault="002C5025">
      <w:pPr>
        <w:pStyle w:val="BodyText"/>
        <w:kinsoku w:val="0"/>
        <w:overflowPunct w:val="0"/>
        <w:ind w:left="1281" w:right="1973"/>
        <w:rPr>
          <w:rFonts w:ascii="Times New Roman" w:hAnsi="Times New Roman" w:cs="Times New Roman"/>
          <w:sz w:val="23"/>
          <w:szCs w:val="23"/>
        </w:rPr>
      </w:pPr>
      <w:r>
        <w:rPr>
          <w:rFonts w:ascii="Times New Roman" w:hAnsi="Times New Roman" w:cs="Times New Roman"/>
          <w:sz w:val="23"/>
          <w:szCs w:val="23"/>
        </w:rPr>
        <w:t>Sincerely,</w:t>
      </w:r>
    </w:p>
    <w:p w:rsidR="002C5025" w:rsidRDefault="002C5025">
      <w:pPr>
        <w:pStyle w:val="BodyText"/>
        <w:kinsoku w:val="0"/>
        <w:overflowPunct w:val="0"/>
        <w:spacing w:before="10"/>
        <w:rPr>
          <w:rFonts w:ascii="Times New Roman" w:hAnsi="Times New Roman" w:cs="Times New Roman"/>
          <w:sz w:val="28"/>
          <w:szCs w:val="28"/>
        </w:rPr>
      </w:pPr>
    </w:p>
    <w:p w:rsidR="002C5025" w:rsidRDefault="00FB027C">
      <w:pPr>
        <w:pStyle w:val="BodyText"/>
        <w:tabs>
          <w:tab w:val="left" w:pos="2582"/>
        </w:tabs>
        <w:kinsoku w:val="0"/>
        <w:overflowPunct w:val="0"/>
        <w:ind w:left="1574" w:right="1973"/>
        <w:rPr>
          <w:rFonts w:ascii="Times New Roman" w:hAnsi="Times New Roman" w:cs="Times New Roman"/>
          <w:i/>
          <w:iCs/>
          <w:w w:val="155"/>
          <w:sz w:val="28"/>
          <w:szCs w:val="28"/>
        </w:rPr>
      </w:pPr>
      <w:r>
        <w:rPr>
          <w:noProof/>
        </w:rPr>
        <mc:AlternateContent>
          <mc:Choice Requires="wps">
            <w:drawing>
              <wp:anchor distT="0" distB="0" distL="114300" distR="114300" simplePos="0" relativeHeight="251648512" behindDoc="1" locked="0" layoutInCell="0" allowOverlap="1">
                <wp:simplePos x="0" y="0"/>
                <wp:positionH relativeFrom="page">
                  <wp:posOffset>1720850</wp:posOffset>
                </wp:positionH>
                <wp:positionV relativeFrom="paragraph">
                  <wp:posOffset>5715</wp:posOffset>
                </wp:positionV>
                <wp:extent cx="957580" cy="12700"/>
                <wp:effectExtent l="0" t="0" r="0" b="0"/>
                <wp:wrapNone/>
                <wp:docPr id="570" name="Freeform 4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7580" cy="12700"/>
                        </a:xfrm>
                        <a:custGeom>
                          <a:avLst/>
                          <a:gdLst>
                            <a:gd name="T0" fmla="*/ 0 w 1508"/>
                            <a:gd name="T1" fmla="*/ 0 h 20"/>
                            <a:gd name="T2" fmla="*/ 1508 w 1508"/>
                            <a:gd name="T3" fmla="*/ 0 h 20"/>
                          </a:gdLst>
                          <a:ahLst/>
                          <a:cxnLst>
                            <a:cxn ang="0">
                              <a:pos x="T0" y="T1"/>
                            </a:cxn>
                            <a:cxn ang="0">
                              <a:pos x="T2" y="T3"/>
                            </a:cxn>
                          </a:cxnLst>
                          <a:rect l="0" t="0" r="r" b="b"/>
                          <a:pathLst>
                            <a:path w="1508" h="20">
                              <a:moveTo>
                                <a:pt x="0" y="0"/>
                              </a:moveTo>
                              <a:lnTo>
                                <a:pt x="1508" y="0"/>
                              </a:lnTo>
                            </a:path>
                          </a:pathLst>
                        </a:custGeom>
                        <a:noFill/>
                        <a:ln w="4540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55" o:spid="_x0000_s1026" style="position:absolute;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35.5pt,.45pt,210.9pt,.45pt" coordsize="15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" o:allowincell="f" filled="f" strokeweight="1.2612mm">
                <v:path arrowok="t" o:connecttype="custom" o:connectlocs="0,0;957580,0" o:connectangles="0,0"/>
                <w10:wrap anchorx="page"/>
              </v:polyline>
            </w:pict>
          </mc:Fallback>
        </mc:AlternateContent>
      </w:r>
      <w:r w:rsidR="002C5025">
        <w:rPr>
          <w:rFonts w:ascii="Times New Roman" w:hAnsi="Times New Roman" w:cs="Times New Roman"/>
          <w:i/>
          <w:iCs/>
          <w:w w:val="95"/>
          <w:sz w:val="28"/>
          <w:szCs w:val="28"/>
        </w:rPr>
        <w:t>,</w:t>
      </w:r>
      <w:r w:rsidR="002C5025">
        <w:rPr>
          <w:rFonts w:ascii="Times New Roman" w:hAnsi="Times New Roman" w:cs="Times New Roman"/>
          <w:i/>
          <w:iCs/>
          <w:w w:val="95"/>
          <w:sz w:val="28"/>
          <w:szCs w:val="28"/>
        </w:rPr>
        <w:tab/>
      </w:r>
      <w:r w:rsidR="002C5025">
        <w:rPr>
          <w:rFonts w:ascii="Times New Roman" w:hAnsi="Times New Roman" w:cs="Times New Roman"/>
          <w:i/>
          <w:iCs/>
          <w:w w:val="220"/>
          <w:sz w:val="28"/>
          <w:szCs w:val="28"/>
        </w:rPr>
        <w:t>-</w:t>
      </w:r>
      <w:r w:rsidR="002C5025">
        <w:rPr>
          <w:rFonts w:ascii="Times New Roman" w:hAnsi="Times New Roman" w:cs="Times New Roman"/>
          <w:i/>
          <w:iCs/>
          <w:spacing w:val="-60"/>
          <w:w w:val="220"/>
          <w:sz w:val="28"/>
          <w:szCs w:val="28"/>
        </w:rPr>
        <w:t xml:space="preserve"> </w:t>
      </w:r>
      <w:r w:rsidR="002C5025">
        <w:rPr>
          <w:rFonts w:ascii="Times New Roman" w:hAnsi="Times New Roman" w:cs="Times New Roman"/>
          <w:i/>
          <w:iCs/>
          <w:w w:val="155"/>
          <w:sz w:val="28"/>
          <w:szCs w:val="28"/>
        </w:rPr>
        <w:t>)</w:t>
      </w:r>
    </w:p>
    <w:p w:rsidR="002C5025" w:rsidRDefault="002C5025">
      <w:pPr>
        <w:pStyle w:val="BodyText"/>
        <w:kinsoku w:val="0"/>
        <w:overflowPunct w:val="0"/>
        <w:spacing w:before="155"/>
        <w:ind w:left="1281" w:right="1973"/>
        <w:rPr>
          <w:rFonts w:ascii="Times New Roman" w:hAnsi="Times New Roman" w:cs="Times New Roman"/>
          <w:sz w:val="23"/>
          <w:szCs w:val="23"/>
        </w:rPr>
      </w:pPr>
      <w:proofErr w:type="spellStart"/>
      <w:r>
        <w:rPr>
          <w:rFonts w:ascii="Times New Roman" w:hAnsi="Times New Roman" w:cs="Times New Roman"/>
          <w:sz w:val="23"/>
          <w:szCs w:val="23"/>
        </w:rPr>
        <w:t>Emani</w:t>
      </w:r>
      <w:proofErr w:type="spellEnd"/>
      <w:r>
        <w:rPr>
          <w:rFonts w:ascii="Times New Roman" w:hAnsi="Times New Roman" w:cs="Times New Roman"/>
          <w:sz w:val="23"/>
          <w:szCs w:val="23"/>
        </w:rPr>
        <w:t xml:space="preserve"> </w:t>
      </w:r>
      <w:r>
        <w:rPr>
          <w:rFonts w:ascii="Times New Roman" w:hAnsi="Times New Roman" w:cs="Times New Roman"/>
          <w:sz w:val="26"/>
          <w:szCs w:val="26"/>
        </w:rPr>
        <w:t xml:space="preserve">J. </w:t>
      </w:r>
      <w:proofErr w:type="spellStart"/>
      <w:r>
        <w:rPr>
          <w:rFonts w:ascii="Times New Roman" w:hAnsi="Times New Roman" w:cs="Times New Roman"/>
          <w:sz w:val="23"/>
          <w:szCs w:val="23"/>
        </w:rPr>
        <w:t>DeAraujo</w:t>
      </w:r>
      <w:proofErr w:type="spellEnd"/>
      <w:r>
        <w:rPr>
          <w:rFonts w:ascii="Times New Roman" w:hAnsi="Times New Roman" w:cs="Times New Roman"/>
          <w:sz w:val="23"/>
          <w:szCs w:val="23"/>
        </w:rPr>
        <w:t>, Esq.</w:t>
      </w:r>
    </w:p>
    <w:p w:rsidR="002C5025" w:rsidRDefault="002C5025">
      <w:pPr>
        <w:pStyle w:val="BodyText"/>
        <w:kinsoku w:val="0"/>
        <w:overflowPunct w:val="0"/>
        <w:ind w:left="1291" w:right="1973"/>
        <w:rPr>
          <w:rFonts w:ascii="Times New Roman" w:hAnsi="Times New Roman" w:cs="Times New Roman"/>
          <w:w w:val="105"/>
          <w:sz w:val="23"/>
          <w:szCs w:val="23"/>
        </w:rPr>
      </w:pPr>
      <w:r>
        <w:rPr>
          <w:rFonts w:ascii="Times New Roman" w:hAnsi="Times New Roman" w:cs="Times New Roman"/>
          <w:w w:val="105"/>
          <w:sz w:val="23"/>
          <w:szCs w:val="23"/>
        </w:rPr>
        <w:t xml:space="preserve">Vice President </w:t>
      </w:r>
      <w:r>
        <w:rPr>
          <w:rFonts w:ascii="Arial" w:hAnsi="Arial" w:cs="Arial"/>
          <w:w w:val="105"/>
        </w:rPr>
        <w:t xml:space="preserve">&amp; </w:t>
      </w:r>
      <w:r>
        <w:rPr>
          <w:rFonts w:ascii="Times New Roman" w:hAnsi="Times New Roman" w:cs="Times New Roman"/>
          <w:w w:val="105"/>
          <w:sz w:val="23"/>
          <w:szCs w:val="23"/>
        </w:rPr>
        <w:t>General Counsel</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4"/>
        <w:rPr>
          <w:rFonts w:ascii="Times New Roman" w:hAnsi="Times New Roman" w:cs="Times New Roman"/>
          <w:sz w:val="16"/>
          <w:szCs w:val="16"/>
        </w:rPr>
      </w:pPr>
    </w:p>
    <w:p w:rsidR="002C5025" w:rsidRDefault="002C5025">
      <w:pPr>
        <w:pStyle w:val="BodyText"/>
        <w:kinsoku w:val="0"/>
        <w:overflowPunct w:val="0"/>
        <w:spacing w:before="70"/>
        <w:ind w:left="5717" w:right="5840"/>
        <w:jc w:val="center"/>
        <w:rPr>
          <w:rFonts w:ascii="Times New Roman" w:hAnsi="Times New Roman" w:cs="Times New Roman"/>
          <w:w w:val="105"/>
          <w:sz w:val="23"/>
          <w:szCs w:val="23"/>
        </w:rPr>
      </w:pPr>
      <w:r>
        <w:rPr>
          <w:rFonts w:ascii="Times New Roman" w:hAnsi="Times New Roman" w:cs="Times New Roman"/>
          <w:w w:val="105"/>
          <w:sz w:val="23"/>
          <w:szCs w:val="23"/>
        </w:rPr>
        <w:t>- 3 -</w:t>
      </w:r>
    </w:p>
    <w:p w:rsidR="002C5025" w:rsidRDefault="00FB027C">
      <w:pPr>
        <w:pStyle w:val="BodyText"/>
        <w:kinsoku w:val="0"/>
        <w:overflowPunct w:val="0"/>
        <w:spacing w:before="5"/>
        <w:rPr>
          <w:rFonts w:ascii="Times New Roman" w:hAnsi="Times New Roman" w:cs="Times New Roman"/>
          <w:sz w:val="21"/>
          <w:szCs w:val="21"/>
        </w:rPr>
      </w:pPr>
      <w:r>
        <w:rPr>
          <w:noProof/>
        </w:rPr>
        <mc:AlternateContent>
          <mc:Choice Requires="wps">
            <w:drawing>
              <wp:anchor distT="0" distB="0" distL="0" distR="0" simplePos="0" relativeHeight="251649536" behindDoc="0" locked="0" layoutInCell="0" allowOverlap="1">
                <wp:simplePos x="0" y="0"/>
                <wp:positionH relativeFrom="page">
                  <wp:posOffset>219710</wp:posOffset>
                </wp:positionH>
                <wp:positionV relativeFrom="paragraph">
                  <wp:posOffset>181610</wp:posOffset>
                </wp:positionV>
                <wp:extent cx="7162800" cy="520700"/>
                <wp:effectExtent l="0" t="0" r="0" b="0"/>
                <wp:wrapTopAndBottom/>
                <wp:docPr id="569" name="Rectangle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62800" cy="520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820" w:lineRule="atLeast"/>
                            </w:pPr>
                            <w:r>
                              <w:rPr>
                                <w:noProof/>
                              </w:rPr>
                              <w:drawing>
                                <wp:inline distT="0" distB="0" distL="0" distR="0">
                                  <wp:extent cx="7162800" cy="523875"/>
                                  <wp:effectExtent l="0" t="0" r="0" b="952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7162800" cy="523875"/>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6" o:spid="_x0000_s1180" style="position:absolute;margin-left:17.3pt;margin-top:14.3pt;width:564pt;height:41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" o:allowincell="f" filled="f" stroked="f">
                <v:textbox inset="0,0,0,0">
                  <w:txbxContent>
                    <w:p w:rsidR="007B2B7B" w:rsidRDefault="007B2B7B">
                      <w:pPr>
                        <w:widowControl/>
                        <w:autoSpaceDE/>
                        <w:autoSpaceDN/>
                        <w:adjustRightInd/>
                        <w:spacing w:line="820" w:lineRule="atLeast"/>
                      </w:pPr>
                      <w:r>
                        <w:rPr>
                          <w:noProof/>
                        </w:rPr>
                        <w:drawing>
                          <wp:inline distT="0" distB="0" distL="0" distR="0">
                            <wp:extent cx="7162800" cy="523875"/>
                            <wp:effectExtent l="0" t="0" r="0" b="952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7162800" cy="523875"/>
                                    </a:xfrm>
                                    <a:prstGeom prst="rect">
                                      <a:avLst/>
                                    </a:prstGeom>
                                    <a:noFill/>
                                    <a:ln>
                                      <a:noFill/>
                                    </a:ln>
                                  </pic:spPr>
                                </pic:pic>
                              </a:graphicData>
                            </a:graphic>
                          </wp:inline>
                        </w:drawing>
                      </w:r>
                    </w:p>
                    <w:p w:rsidR="007B2B7B" w:rsidRDefault="007B2B7B"/>
                  </w:txbxContent>
                </v:textbox>
                <w10:wrap type="topAndBottom" anchorx="page"/>
              </v:rect>
            </w:pict>
          </mc:Fallback>
        </mc:AlternateContent>
      </w:r>
    </w:p>
    <w:p w:rsidR="002C5025" w:rsidRDefault="002C5025">
      <w:pPr>
        <w:pStyle w:val="BodyText"/>
        <w:kinsoku w:val="0"/>
        <w:overflowPunct w:val="0"/>
        <w:spacing w:before="5"/>
        <w:rPr>
          <w:rFonts w:ascii="Times New Roman" w:hAnsi="Times New Roman" w:cs="Times New Roman"/>
          <w:sz w:val="21"/>
          <w:szCs w:val="21"/>
        </w:rPr>
        <w:sectPr w:rsidR="002C5025">
          <w:pgSz w:w="12240" w:h="15840"/>
          <w:pgMar w:top="160" w:right="0" w:bottom="0" w:left="240" w:header="720" w:footer="720" w:gutter="0"/>
          <w:cols w:space="720" w:equalWidth="0">
            <w:col w:w="12000"/>
          </w:cols>
          <w:noEndnote/>
        </w:sect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9"/>
        <w:rPr>
          <w:rFonts w:ascii="Times New Roman" w:hAnsi="Times New Roman" w:cs="Times New Roman"/>
          <w:sz w:val="29"/>
          <w:szCs w:val="29"/>
        </w:rPr>
      </w:pPr>
    </w:p>
    <w:p w:rsidR="002C5025" w:rsidRDefault="00FB027C">
      <w:pPr>
        <w:pStyle w:val="BodyText"/>
        <w:kinsoku w:val="0"/>
        <w:overflowPunct w:val="0"/>
        <w:spacing w:before="57"/>
        <w:ind w:right="446"/>
        <w:jc w:val="right"/>
      </w:pPr>
      <w:r>
        <w:rPr>
          <w:noProof/>
        </w:rPr>
        <mc:AlternateContent>
          <mc:Choice Requires="wps">
            <w:drawing>
              <wp:anchor distT="0" distB="0" distL="114300" distR="114300" simplePos="0" relativeHeight="251650560" behindDoc="0" locked="0" layoutInCell="0" allowOverlap="1">
                <wp:simplePos x="0" y="0"/>
                <wp:positionH relativeFrom="page">
                  <wp:posOffset>914400</wp:posOffset>
                </wp:positionH>
                <wp:positionV relativeFrom="paragraph">
                  <wp:posOffset>-1677670</wp:posOffset>
                </wp:positionV>
                <wp:extent cx="1308100" cy="1841500"/>
                <wp:effectExtent l="0" t="0" r="0" b="0"/>
                <wp:wrapNone/>
                <wp:docPr id="568" name="Rectangle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0" cy="184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2900" w:lineRule="atLeast"/>
                            </w:pPr>
                            <w:r>
                              <w:rPr>
                                <w:noProof/>
                              </w:rPr>
                              <w:drawing>
                                <wp:inline distT="0" distB="0" distL="0" distR="0">
                                  <wp:extent cx="1323975" cy="1866900"/>
                                  <wp:effectExtent l="0" t="0" r="9525"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1323975" cy="1866900"/>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7" o:spid="_x0000_s1181" style="position:absolute;left:0;text-align:left;margin-left:1in;margin-top:-132.1pt;width:103pt;height:145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" o:allowincell="f" filled="f" stroked="f">
                <v:textbox inset="0,0,0,0">
                  <w:txbxContent>
                    <w:p w:rsidR="007B2B7B" w:rsidRDefault="007B2B7B">
                      <w:pPr>
                        <w:widowControl/>
                        <w:autoSpaceDE/>
                        <w:autoSpaceDN/>
                        <w:adjustRightInd/>
                        <w:spacing w:line="2900" w:lineRule="atLeast"/>
                      </w:pPr>
                      <w:r>
                        <w:rPr>
                          <w:noProof/>
                        </w:rPr>
                        <w:drawing>
                          <wp:inline distT="0" distB="0" distL="0" distR="0">
                            <wp:extent cx="1323975" cy="1866900"/>
                            <wp:effectExtent l="0" t="0" r="9525"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1323975" cy="1866900"/>
                                    </a:xfrm>
                                    <a:prstGeom prst="rect">
                                      <a:avLst/>
                                    </a:prstGeom>
                                    <a:noFill/>
                                    <a:ln>
                                      <a:noFill/>
                                    </a:ln>
                                  </pic:spPr>
                                </pic:pic>
                              </a:graphicData>
                            </a:graphic>
                          </wp:inline>
                        </w:drawing>
                      </w:r>
                    </w:p>
                    <w:p w:rsidR="007B2B7B" w:rsidRDefault="007B2B7B"/>
                  </w:txbxContent>
                </v:textbox>
                <w10:wrap anchorx="page"/>
              </v:rect>
            </w:pict>
          </mc:Fallback>
        </mc:AlternateContent>
      </w:r>
      <w:bookmarkStart w:id="144" w:name="EthosMassHealthACOComments"/>
      <w:bookmarkEnd w:id="144"/>
      <w:r w:rsidR="002C5025">
        <w:t>July 8, 2016</w:t>
      </w: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spacing w:before="9"/>
        <w:rPr>
          <w:sz w:val="16"/>
          <w:szCs w:val="16"/>
        </w:rPr>
      </w:pPr>
    </w:p>
    <w:p w:rsidR="002C5025" w:rsidRDefault="002C5025">
      <w:pPr>
        <w:pStyle w:val="BodyText"/>
        <w:kinsoku w:val="0"/>
        <w:overflowPunct w:val="0"/>
        <w:spacing w:before="56" w:line="453" w:lineRule="auto"/>
        <w:ind w:left="3964" w:right="779" w:hanging="3108"/>
        <w:rPr>
          <w:b/>
          <w:bCs/>
        </w:rPr>
      </w:pPr>
      <w:r>
        <w:rPr>
          <w:b/>
          <w:bCs/>
        </w:rPr>
        <w:t>Comments on MassHealth Section 1115 Demonstration Project and Extension Request Prepared by Ethos</w:t>
      </w:r>
    </w:p>
    <w:p w:rsidR="002C5025" w:rsidRDefault="002C5025">
      <w:pPr>
        <w:pStyle w:val="BodyText"/>
        <w:kinsoku w:val="0"/>
        <w:overflowPunct w:val="0"/>
        <w:rPr>
          <w:b/>
          <w:bCs/>
        </w:rPr>
      </w:pPr>
    </w:p>
    <w:p w:rsidR="002C5025" w:rsidRDefault="002C5025">
      <w:pPr>
        <w:pStyle w:val="BodyText"/>
        <w:kinsoku w:val="0"/>
        <w:overflowPunct w:val="0"/>
        <w:spacing w:before="6"/>
        <w:rPr>
          <w:b/>
          <w:bCs/>
          <w:sz w:val="19"/>
          <w:szCs w:val="19"/>
        </w:rPr>
      </w:pPr>
    </w:p>
    <w:p w:rsidR="002C5025" w:rsidRDefault="002C5025">
      <w:pPr>
        <w:pStyle w:val="BodyText"/>
        <w:kinsoku w:val="0"/>
        <w:overflowPunct w:val="0"/>
        <w:spacing w:before="1" w:line="276" w:lineRule="auto"/>
        <w:ind w:left="119" w:right="94"/>
      </w:pPr>
      <w:r>
        <w:t>Ethos is an independent, community-based not-for-profit organization based in southwest Boston. In operation for 43 years, its mission is to promote the independence and well-being of the elderly and disabled through the delivery of high quality and affordable long term support services. It is a state- designated Aging Services Access Point and a city-designated Elder Nutrition Project. It currently assists over 3,000 elderly and younger disabled consumers who seek to stay at home and in their communities for as long as possible.</w:t>
      </w:r>
    </w:p>
    <w:p w:rsidR="002C5025" w:rsidRDefault="002C5025">
      <w:pPr>
        <w:pStyle w:val="BodyText"/>
        <w:kinsoku w:val="0"/>
        <w:overflowPunct w:val="0"/>
        <w:spacing w:before="197" w:line="276" w:lineRule="auto"/>
        <w:ind w:left="119" w:right="384"/>
      </w:pPr>
      <w:r>
        <w:t>Ethos wishes to go on record as formally endorsing the comments submitted by Mass Home Care. In particular, Ethos wishes to stress two recommendations made by Mass Home Care on June 24, 2016:</w:t>
      </w:r>
    </w:p>
    <w:p w:rsidR="002C5025" w:rsidRDefault="002C5025">
      <w:pPr>
        <w:pStyle w:val="ListParagraph"/>
        <w:numPr>
          <w:ilvl w:val="1"/>
          <w:numId w:val="52"/>
        </w:numPr>
        <w:tabs>
          <w:tab w:val="left" w:pos="891"/>
          <w:tab w:val="left" w:pos="6827"/>
        </w:tabs>
        <w:kinsoku w:val="0"/>
        <w:overflowPunct w:val="0"/>
        <w:spacing w:before="197" w:line="276" w:lineRule="auto"/>
        <w:ind w:right="98" w:hanging="360"/>
        <w:rPr>
          <w:rFonts w:ascii="Calibri" w:hAnsi="Calibri" w:cs="Calibri"/>
          <w:sz w:val="22"/>
          <w:szCs w:val="22"/>
        </w:rPr>
      </w:pPr>
      <w:r>
        <w:rPr>
          <w:rFonts w:ascii="Calibri" w:hAnsi="Calibri" w:cs="Calibri"/>
          <w:sz w:val="22"/>
          <w:szCs w:val="22"/>
        </w:rPr>
        <w:t>Conflict-free care coordination for LTSS should</w:t>
      </w:r>
      <w:r>
        <w:rPr>
          <w:rFonts w:ascii="Calibri" w:hAnsi="Calibri" w:cs="Calibri"/>
          <w:spacing w:val="-19"/>
          <w:sz w:val="22"/>
          <w:szCs w:val="22"/>
        </w:rPr>
        <w:t xml:space="preserve"> </w:t>
      </w:r>
      <w:r>
        <w:rPr>
          <w:rFonts w:ascii="Calibri" w:hAnsi="Calibri" w:cs="Calibri"/>
          <w:sz w:val="22"/>
          <w:szCs w:val="22"/>
        </w:rPr>
        <w:t>be</w:t>
      </w:r>
      <w:r>
        <w:rPr>
          <w:rFonts w:ascii="Calibri" w:hAnsi="Calibri" w:cs="Calibri"/>
          <w:spacing w:val="-2"/>
          <w:sz w:val="22"/>
          <w:szCs w:val="22"/>
        </w:rPr>
        <w:t xml:space="preserve"> </w:t>
      </w:r>
      <w:r>
        <w:rPr>
          <w:rFonts w:ascii="Calibri" w:hAnsi="Calibri" w:cs="Calibri"/>
          <w:sz w:val="22"/>
          <w:szCs w:val="22"/>
        </w:rPr>
        <w:t>strengthened.</w:t>
      </w:r>
      <w:r>
        <w:rPr>
          <w:rFonts w:ascii="Calibri" w:hAnsi="Calibri" w:cs="Calibri"/>
          <w:sz w:val="22"/>
          <w:szCs w:val="22"/>
        </w:rPr>
        <w:tab/>
        <w:t>It should not be</w:t>
      </w:r>
      <w:r>
        <w:rPr>
          <w:rFonts w:ascii="Calibri" w:hAnsi="Calibri" w:cs="Calibri"/>
          <w:spacing w:val="-8"/>
          <w:sz w:val="22"/>
          <w:szCs w:val="22"/>
        </w:rPr>
        <w:t xml:space="preserve"> </w:t>
      </w:r>
      <w:r>
        <w:rPr>
          <w:rFonts w:ascii="Calibri" w:hAnsi="Calibri" w:cs="Calibri"/>
          <w:sz w:val="22"/>
          <w:szCs w:val="22"/>
        </w:rPr>
        <w:t>limited</w:t>
      </w:r>
      <w:r>
        <w:rPr>
          <w:rFonts w:ascii="Calibri" w:hAnsi="Calibri" w:cs="Calibri"/>
          <w:spacing w:val="-3"/>
          <w:sz w:val="22"/>
          <w:szCs w:val="22"/>
        </w:rPr>
        <w:t xml:space="preserve"> </w:t>
      </w:r>
      <w:r>
        <w:rPr>
          <w:rFonts w:ascii="Calibri" w:hAnsi="Calibri" w:cs="Calibri"/>
          <w:sz w:val="22"/>
          <w:szCs w:val="22"/>
        </w:rPr>
        <w:t>to LTSS assessments but should extend to on-going care coordination. This is the role that Aging Service Access Points have played in the state Home Care program for 40 years. Entities that provide direct LTSS should be limited in the number of self-referrals they are able to make when assessing enrollee LTSS needs.  This is an important protection against</w:t>
      </w:r>
      <w:r>
        <w:rPr>
          <w:rFonts w:ascii="Calibri" w:hAnsi="Calibri" w:cs="Calibri"/>
          <w:spacing w:val="13"/>
          <w:sz w:val="22"/>
          <w:szCs w:val="22"/>
        </w:rPr>
        <w:t xml:space="preserve"> </w:t>
      </w:r>
      <w:r>
        <w:rPr>
          <w:rFonts w:ascii="Calibri" w:hAnsi="Calibri" w:cs="Calibri"/>
          <w:sz w:val="22"/>
          <w:szCs w:val="22"/>
        </w:rPr>
        <w:t>self-dealing.</w:t>
      </w:r>
    </w:p>
    <w:p w:rsidR="002C5025" w:rsidRDefault="002C5025">
      <w:pPr>
        <w:pStyle w:val="BodyText"/>
        <w:kinsoku w:val="0"/>
        <w:overflowPunct w:val="0"/>
        <w:spacing w:before="5"/>
        <w:rPr>
          <w:sz w:val="25"/>
          <w:szCs w:val="25"/>
        </w:rPr>
      </w:pPr>
    </w:p>
    <w:p w:rsidR="002C5025" w:rsidRDefault="002C5025">
      <w:pPr>
        <w:pStyle w:val="ListParagraph"/>
        <w:numPr>
          <w:ilvl w:val="1"/>
          <w:numId w:val="52"/>
        </w:numPr>
        <w:tabs>
          <w:tab w:val="left" w:pos="891"/>
        </w:tabs>
        <w:kinsoku w:val="0"/>
        <w:overflowPunct w:val="0"/>
        <w:spacing w:line="276" w:lineRule="auto"/>
        <w:ind w:right="227" w:hanging="360"/>
        <w:rPr>
          <w:rFonts w:ascii="Calibri" w:hAnsi="Calibri" w:cs="Calibri"/>
          <w:sz w:val="22"/>
          <w:szCs w:val="22"/>
        </w:rPr>
      </w:pPr>
      <w:r>
        <w:rPr>
          <w:rFonts w:ascii="Calibri" w:hAnsi="Calibri" w:cs="Calibri"/>
          <w:sz w:val="22"/>
          <w:szCs w:val="22"/>
        </w:rPr>
        <w:t>Enrollment counseling should be performed by SHINE counselors. The network that currently counsels consumers on Medicare and One Care enrollments should be utilized to counsel enrollees on Medicaid ACOs. The proposed replication of this function within MassHealth’s existing customer service system would be duplicative and wasteful. Consumers would be better served by experienced and trained SHINE counselors, many of whom are</w:t>
      </w:r>
      <w:r>
        <w:rPr>
          <w:rFonts w:ascii="Calibri" w:hAnsi="Calibri" w:cs="Calibri"/>
          <w:spacing w:val="-35"/>
          <w:sz w:val="22"/>
          <w:szCs w:val="22"/>
        </w:rPr>
        <w:t xml:space="preserve"> </w:t>
      </w:r>
      <w:r>
        <w:rPr>
          <w:rFonts w:ascii="Calibri" w:hAnsi="Calibri" w:cs="Calibri"/>
          <w:sz w:val="22"/>
          <w:szCs w:val="22"/>
        </w:rPr>
        <w:t>volunteers.</w:t>
      </w:r>
    </w:p>
    <w:p w:rsidR="002C5025" w:rsidRDefault="002C5025">
      <w:pPr>
        <w:pStyle w:val="ListParagraph"/>
        <w:numPr>
          <w:ilvl w:val="1"/>
          <w:numId w:val="52"/>
        </w:numPr>
        <w:tabs>
          <w:tab w:val="left" w:pos="891"/>
        </w:tabs>
        <w:kinsoku w:val="0"/>
        <w:overflowPunct w:val="0"/>
        <w:spacing w:line="276" w:lineRule="auto"/>
        <w:ind w:right="227" w:hanging="360"/>
        <w:rPr>
          <w:rFonts w:ascii="Calibri" w:hAnsi="Calibri" w:cs="Calibri"/>
          <w:sz w:val="22"/>
          <w:szCs w:val="22"/>
        </w:rPr>
        <w:sectPr w:rsidR="002C5025">
          <w:pgSz w:w="12240" w:h="15840"/>
          <w:pgMar w:top="1440" w:right="1380" w:bottom="280" w:left="1320" w:header="720" w:footer="720" w:gutter="0"/>
          <w:cols w:space="720" w:equalWidth="0">
            <w:col w:w="9540"/>
          </w:cols>
          <w:noEndnote/>
        </w:sectPr>
      </w:pPr>
    </w:p>
    <w:p w:rsidR="002C5025" w:rsidRDefault="00FB027C">
      <w:pPr>
        <w:pStyle w:val="BodyText"/>
        <w:kinsoku w:val="0"/>
        <w:overflowPunct w:val="0"/>
        <w:ind w:left="2897"/>
        <w:rPr>
          <w:sz w:val="20"/>
          <w:szCs w:val="20"/>
        </w:rPr>
      </w:pPr>
      <w:r>
        <w:rPr>
          <w:noProof/>
          <w:sz w:val="20"/>
          <w:szCs w:val="20"/>
        </w:rPr>
        <w:lastRenderedPageBreak/>
        <w:drawing>
          <wp:inline distT="0" distB="0" distL="0" distR="0">
            <wp:extent cx="2362200" cy="447675"/>
            <wp:effectExtent l="0" t="0" r="0" b="9525"/>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2362200" cy="447675"/>
                    </a:xfrm>
                    <a:prstGeom prst="rect">
                      <a:avLst/>
                    </a:prstGeom>
                    <a:noFill/>
                    <a:ln>
                      <a:noFill/>
                    </a:ln>
                  </pic:spPr>
                </pic:pic>
              </a:graphicData>
            </a:graphic>
          </wp:inline>
        </w:drawing>
      </w: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spacing w:before="3"/>
        <w:rPr>
          <w:sz w:val="24"/>
          <w:szCs w:val="24"/>
        </w:rPr>
      </w:pPr>
    </w:p>
    <w:p w:rsidR="002C5025" w:rsidRDefault="002C5025">
      <w:pPr>
        <w:pStyle w:val="BodyText"/>
        <w:kinsoku w:val="0"/>
        <w:overflowPunct w:val="0"/>
        <w:spacing w:before="57"/>
        <w:ind w:left="120" w:right="814"/>
        <w:rPr>
          <w:rFonts w:ascii="Constantia" w:hAnsi="Constantia" w:cs="Constantia"/>
        </w:rPr>
      </w:pPr>
      <w:bookmarkStart w:id="145" w:name="Fresenius_MassHealth_1115_Waiver_COmment"/>
      <w:bookmarkEnd w:id="145"/>
      <w:r>
        <w:rPr>
          <w:rFonts w:ascii="Constantia" w:hAnsi="Constantia" w:cs="Constantia"/>
        </w:rPr>
        <w:t>July 17, 2016</w:t>
      </w:r>
    </w:p>
    <w:p w:rsidR="002C5025" w:rsidRDefault="002C5025">
      <w:pPr>
        <w:pStyle w:val="BodyText"/>
        <w:kinsoku w:val="0"/>
        <w:overflowPunct w:val="0"/>
        <w:rPr>
          <w:rFonts w:ascii="Constantia" w:hAnsi="Constantia" w:cs="Constantia"/>
          <w:sz w:val="20"/>
          <w:szCs w:val="20"/>
        </w:rPr>
      </w:pPr>
    </w:p>
    <w:p w:rsidR="002C5025" w:rsidRDefault="002C5025">
      <w:pPr>
        <w:pStyle w:val="BodyText"/>
        <w:kinsoku w:val="0"/>
        <w:overflowPunct w:val="0"/>
        <w:rPr>
          <w:rFonts w:ascii="Constantia" w:hAnsi="Constantia" w:cs="Constantia"/>
          <w:sz w:val="20"/>
          <w:szCs w:val="20"/>
        </w:rPr>
      </w:pPr>
    </w:p>
    <w:p w:rsidR="002C5025" w:rsidRDefault="002C5025">
      <w:pPr>
        <w:pStyle w:val="BodyText"/>
        <w:kinsoku w:val="0"/>
        <w:overflowPunct w:val="0"/>
        <w:spacing w:before="56"/>
        <w:ind w:left="120" w:right="814"/>
        <w:rPr>
          <w:rFonts w:ascii="Constantia" w:hAnsi="Constantia" w:cs="Constantia"/>
        </w:rPr>
      </w:pPr>
      <w:r>
        <w:rPr>
          <w:rFonts w:ascii="Constantia" w:hAnsi="Constantia" w:cs="Constantia"/>
        </w:rPr>
        <w:t xml:space="preserve">Secretary </w:t>
      </w:r>
      <w:proofErr w:type="spellStart"/>
      <w:r>
        <w:rPr>
          <w:rFonts w:ascii="Constantia" w:hAnsi="Constantia" w:cs="Constantia"/>
        </w:rPr>
        <w:t>MaryLou</w:t>
      </w:r>
      <w:proofErr w:type="spellEnd"/>
      <w:r>
        <w:rPr>
          <w:rFonts w:ascii="Constantia" w:hAnsi="Constantia" w:cs="Constantia"/>
        </w:rPr>
        <w:t xml:space="preserve"> Sudders</w:t>
      </w:r>
    </w:p>
    <w:p w:rsidR="002C5025" w:rsidRDefault="002C5025">
      <w:pPr>
        <w:pStyle w:val="BodyText"/>
        <w:kinsoku w:val="0"/>
        <w:overflowPunct w:val="0"/>
        <w:spacing w:before="2" w:line="242" w:lineRule="auto"/>
        <w:ind w:left="119" w:right="4822"/>
        <w:rPr>
          <w:rFonts w:ascii="Constantia" w:hAnsi="Constantia" w:cs="Constantia"/>
        </w:rPr>
      </w:pPr>
      <w:r>
        <w:rPr>
          <w:rFonts w:ascii="Constantia" w:hAnsi="Constantia" w:cs="Constantia"/>
        </w:rPr>
        <w:t>Executive Office of Health and Human Services Assistant Secretary Tsai, Office of Medicaid One Ashburton Place, 11th Floor</w:t>
      </w:r>
    </w:p>
    <w:p w:rsidR="002C5025" w:rsidRDefault="002C5025">
      <w:pPr>
        <w:pStyle w:val="BodyText"/>
        <w:kinsoku w:val="0"/>
        <w:overflowPunct w:val="0"/>
        <w:ind w:left="119" w:right="814"/>
        <w:rPr>
          <w:rFonts w:ascii="Constantia" w:hAnsi="Constantia" w:cs="Constantia"/>
        </w:rPr>
      </w:pPr>
      <w:r>
        <w:rPr>
          <w:rFonts w:ascii="Constantia" w:hAnsi="Constantia" w:cs="Constantia"/>
        </w:rPr>
        <w:t>Boston, MA 02108</w:t>
      </w:r>
    </w:p>
    <w:p w:rsidR="002C5025" w:rsidRDefault="002C5025">
      <w:pPr>
        <w:pStyle w:val="BodyText"/>
        <w:kinsoku w:val="0"/>
        <w:overflowPunct w:val="0"/>
        <w:rPr>
          <w:rFonts w:ascii="Constantia" w:hAnsi="Constantia" w:cs="Constantia"/>
        </w:rPr>
      </w:pPr>
    </w:p>
    <w:p w:rsidR="002C5025" w:rsidRDefault="002C5025">
      <w:pPr>
        <w:pStyle w:val="BodyText"/>
        <w:kinsoku w:val="0"/>
        <w:overflowPunct w:val="0"/>
        <w:spacing w:before="7"/>
        <w:rPr>
          <w:rFonts w:ascii="Constantia" w:hAnsi="Constantia" w:cs="Constantia"/>
        </w:rPr>
      </w:pPr>
    </w:p>
    <w:p w:rsidR="002C5025" w:rsidRDefault="002C5025">
      <w:pPr>
        <w:pStyle w:val="BodyText"/>
        <w:kinsoku w:val="0"/>
        <w:overflowPunct w:val="0"/>
        <w:ind w:left="840" w:right="814"/>
        <w:rPr>
          <w:rFonts w:ascii="Constantia" w:hAnsi="Constantia" w:cs="Constantia"/>
          <w:b/>
          <w:bCs/>
        </w:rPr>
      </w:pPr>
      <w:r>
        <w:rPr>
          <w:rFonts w:ascii="Constantia" w:hAnsi="Constantia" w:cs="Constantia"/>
          <w:b/>
          <w:bCs/>
        </w:rPr>
        <w:t>RE: 1115 Waiver Proposal</w:t>
      </w:r>
    </w:p>
    <w:p w:rsidR="002C5025" w:rsidRDefault="002C5025">
      <w:pPr>
        <w:pStyle w:val="BodyText"/>
        <w:kinsoku w:val="0"/>
        <w:overflowPunct w:val="0"/>
        <w:spacing w:before="5"/>
        <w:rPr>
          <w:rFonts w:ascii="Constantia" w:hAnsi="Constantia" w:cs="Constantia"/>
          <w:b/>
          <w:bCs/>
        </w:rPr>
      </w:pPr>
    </w:p>
    <w:p w:rsidR="002C5025" w:rsidRDefault="002C5025">
      <w:pPr>
        <w:pStyle w:val="BodyText"/>
        <w:kinsoku w:val="0"/>
        <w:overflowPunct w:val="0"/>
        <w:ind w:left="119" w:right="814"/>
        <w:rPr>
          <w:rFonts w:ascii="Constantia" w:hAnsi="Constantia" w:cs="Constantia"/>
        </w:rPr>
      </w:pPr>
      <w:r>
        <w:rPr>
          <w:rFonts w:ascii="Constantia" w:hAnsi="Constantia" w:cs="Constantia"/>
        </w:rPr>
        <w:t>Dear Secretary Sudders and Assistant Secretary Tsai:</w:t>
      </w:r>
    </w:p>
    <w:p w:rsidR="002C5025" w:rsidRDefault="002C5025">
      <w:pPr>
        <w:pStyle w:val="BodyText"/>
        <w:kinsoku w:val="0"/>
        <w:overflowPunct w:val="0"/>
        <w:spacing w:before="5"/>
        <w:rPr>
          <w:rFonts w:ascii="Constantia" w:hAnsi="Constantia" w:cs="Constantia"/>
        </w:rPr>
      </w:pPr>
    </w:p>
    <w:p w:rsidR="002C5025" w:rsidRDefault="002C5025">
      <w:pPr>
        <w:pStyle w:val="BodyText"/>
        <w:kinsoku w:val="0"/>
        <w:overflowPunct w:val="0"/>
        <w:spacing w:line="242" w:lineRule="auto"/>
        <w:ind w:left="119" w:right="285" w:firstLine="386"/>
        <w:rPr>
          <w:rFonts w:ascii="Constantia" w:hAnsi="Constantia" w:cs="Constantia"/>
        </w:rPr>
      </w:pPr>
      <w:r>
        <w:rPr>
          <w:rFonts w:ascii="Constantia" w:hAnsi="Constantia" w:cs="Constantia"/>
        </w:rPr>
        <w:t>Thank you for the opportunity to comment on the MassHealth draft 1115 waiver to the Centers for Medicare and Medicaid Services (“CMS”). Headquartered in Waltham, Massachusetts, Fresenius Medical Care North America (Fresenius) is the largest provider in the</w:t>
      </w:r>
    </w:p>
    <w:p w:rsidR="002C5025" w:rsidRDefault="002C5025">
      <w:pPr>
        <w:pStyle w:val="ListParagraph"/>
        <w:numPr>
          <w:ilvl w:val="1"/>
          <w:numId w:val="49"/>
        </w:numPr>
        <w:tabs>
          <w:tab w:val="left" w:pos="567"/>
        </w:tabs>
        <w:kinsoku w:val="0"/>
        <w:overflowPunct w:val="0"/>
        <w:spacing w:line="242" w:lineRule="auto"/>
        <w:ind w:right="103" w:firstLine="0"/>
        <w:rPr>
          <w:rFonts w:ascii="Constantia" w:hAnsi="Constantia" w:cs="Constantia"/>
          <w:sz w:val="22"/>
          <w:szCs w:val="22"/>
        </w:rPr>
      </w:pPr>
      <w:r>
        <w:rPr>
          <w:rFonts w:ascii="Constantia" w:hAnsi="Constantia" w:cs="Constantia"/>
          <w:sz w:val="22"/>
          <w:szCs w:val="22"/>
        </w:rPr>
        <w:t>of products and services for patients undergoing renal dialysis due to end stage renal disease (“ESRD”). Operating approximately 2,200 outpatient dialysis clinics, Fresenius provides dialysis services to an estimated 180,000 individuals with kidney failure in North America, including 2,700 patients at 33 clinics in Massachusetts, and treating approximately 45% of the Commonwealth’s residents with ESRD requiring renal</w:t>
      </w:r>
      <w:r>
        <w:rPr>
          <w:rFonts w:ascii="Constantia" w:hAnsi="Constantia" w:cs="Constantia"/>
          <w:spacing w:val="-17"/>
          <w:sz w:val="22"/>
          <w:szCs w:val="22"/>
        </w:rPr>
        <w:t xml:space="preserve"> </w:t>
      </w:r>
      <w:r>
        <w:rPr>
          <w:rFonts w:ascii="Constantia" w:hAnsi="Constantia" w:cs="Constantia"/>
          <w:sz w:val="22"/>
          <w:szCs w:val="22"/>
        </w:rPr>
        <w:t>dialysis,</w:t>
      </w:r>
    </w:p>
    <w:p w:rsidR="002C5025" w:rsidRDefault="002C5025">
      <w:pPr>
        <w:pStyle w:val="BodyText"/>
        <w:kinsoku w:val="0"/>
        <w:overflowPunct w:val="0"/>
        <w:spacing w:before="2"/>
        <w:rPr>
          <w:rFonts w:ascii="Constantia" w:hAnsi="Constantia" w:cs="Constantia"/>
        </w:rPr>
      </w:pPr>
    </w:p>
    <w:p w:rsidR="002C5025" w:rsidRDefault="002C5025">
      <w:pPr>
        <w:pStyle w:val="BodyText"/>
        <w:kinsoku w:val="0"/>
        <w:overflowPunct w:val="0"/>
        <w:spacing w:line="242" w:lineRule="auto"/>
        <w:ind w:left="119" w:right="160" w:firstLine="386"/>
        <w:rPr>
          <w:rFonts w:ascii="Constantia" w:hAnsi="Constantia" w:cs="Constantia"/>
        </w:rPr>
      </w:pPr>
      <w:r>
        <w:rPr>
          <w:rFonts w:ascii="Constantia" w:hAnsi="Constantia" w:cs="Constantia"/>
        </w:rPr>
        <w:t xml:space="preserve">Over the past three years Fresenius has met on several occasions with MassHealth and members of the Health Policy Commission (“HPC”) to discuss the development of a renal- specific ACO in Massachusetts that could provide all currently covered medical benefits to the ESRD population under an integrated, capitated model. Although the MassHealth draft 1115 Waiver refers generally to ACO model development in Massachusetts, it does not include a specific request for the authority to include </w:t>
      </w:r>
      <w:r>
        <w:rPr>
          <w:rFonts w:ascii="Constantia" w:hAnsi="Constantia" w:cs="Constantia"/>
          <w:b/>
          <w:bCs/>
          <w:i/>
          <w:iCs/>
        </w:rPr>
        <w:t xml:space="preserve">both </w:t>
      </w:r>
      <w:r>
        <w:rPr>
          <w:rFonts w:ascii="Constantia" w:hAnsi="Constantia" w:cs="Constantia"/>
        </w:rPr>
        <w:t>Medicare and Medicaid beneficiaries in a capitated alternative payment for a disease specific chronic condition, such as ESRD. The payer mix for ESRD is approximately 80% Medicare, 40% duals and 7 % Medicaid primary. The inclusion of Medicare beneficiaries in an alternative payment model for ESRD beneficiaries is essential, as these small patient number / high cost patients makes a Renal ACO different from other population-based ACOs.</w:t>
      </w:r>
    </w:p>
    <w:p w:rsidR="002C5025" w:rsidRDefault="002C5025">
      <w:pPr>
        <w:pStyle w:val="BodyText"/>
        <w:kinsoku w:val="0"/>
        <w:overflowPunct w:val="0"/>
        <w:spacing w:before="2"/>
        <w:rPr>
          <w:rFonts w:ascii="Constantia" w:hAnsi="Constantia" w:cs="Constantia"/>
        </w:rPr>
      </w:pPr>
    </w:p>
    <w:p w:rsidR="002C5025" w:rsidRDefault="002C5025">
      <w:pPr>
        <w:pStyle w:val="BodyText"/>
        <w:kinsoku w:val="0"/>
        <w:overflowPunct w:val="0"/>
        <w:spacing w:line="242" w:lineRule="auto"/>
        <w:ind w:left="119" w:right="122" w:firstLine="386"/>
        <w:rPr>
          <w:rFonts w:ascii="Constantia" w:hAnsi="Constantia" w:cs="Constantia"/>
        </w:rPr>
      </w:pPr>
      <w:r>
        <w:rPr>
          <w:rFonts w:ascii="Constantia" w:hAnsi="Constantia" w:cs="Constantia"/>
        </w:rPr>
        <w:t xml:space="preserve">Due to the high reliance on government payers, in order for a Renal ACO to be feasible in terms of patient numbers </w:t>
      </w:r>
      <w:r>
        <w:rPr>
          <w:rFonts w:ascii="Constantia" w:hAnsi="Constantia" w:cs="Constantia"/>
          <w:b/>
          <w:bCs/>
          <w:i/>
          <w:iCs/>
        </w:rPr>
        <w:t xml:space="preserve">Medicare beneficiaries must be permitted to enroll in a state-run model under Chapter 224. </w:t>
      </w:r>
      <w:r>
        <w:rPr>
          <w:rFonts w:ascii="Constantia" w:hAnsi="Constantia" w:cs="Constantia"/>
        </w:rPr>
        <w:t xml:space="preserve">The Centers for Medicare and Medicaid Innovation (“CMMI”) has developed an ESRD ACO model that is currently under Demonstration, however, the design and limitations of this model results in few dialysis provider participants, and none in Massachusetts. Additionally, the CMMI ACO model for ESRD permits enrollment of Medicare beneficiaries only, </w:t>
      </w:r>
      <w:r>
        <w:rPr>
          <w:rFonts w:ascii="Constantia" w:hAnsi="Constantia" w:cs="Constantia"/>
          <w:b/>
          <w:bCs/>
          <w:i/>
          <w:iCs/>
        </w:rPr>
        <w:t>excluding Medicaid</w:t>
      </w:r>
      <w:r>
        <w:rPr>
          <w:rFonts w:ascii="Constantia" w:hAnsi="Constantia" w:cs="Constantia"/>
          <w:b/>
          <w:bCs/>
          <w:i/>
          <w:iCs/>
          <w:spacing w:val="-3"/>
        </w:rPr>
        <w:t xml:space="preserve"> </w:t>
      </w:r>
      <w:r>
        <w:rPr>
          <w:rFonts w:ascii="Constantia" w:hAnsi="Constantia" w:cs="Constantia"/>
          <w:b/>
          <w:bCs/>
          <w:i/>
          <w:iCs/>
        </w:rPr>
        <w:t>beneficiaries</w:t>
      </w:r>
      <w:r>
        <w:rPr>
          <w:rFonts w:ascii="Constantia" w:hAnsi="Constantia" w:cs="Constantia"/>
        </w:rPr>
        <w:t>.</w:t>
      </w:r>
    </w:p>
    <w:p w:rsidR="002C5025" w:rsidRDefault="002C5025">
      <w:pPr>
        <w:pStyle w:val="BodyText"/>
        <w:kinsoku w:val="0"/>
        <w:overflowPunct w:val="0"/>
        <w:rPr>
          <w:rFonts w:ascii="Constantia" w:hAnsi="Constantia" w:cs="Constantia"/>
          <w:sz w:val="20"/>
          <w:szCs w:val="20"/>
        </w:rPr>
      </w:pPr>
    </w:p>
    <w:p w:rsidR="002C5025" w:rsidRDefault="002C5025">
      <w:pPr>
        <w:pStyle w:val="BodyText"/>
        <w:kinsoku w:val="0"/>
        <w:overflowPunct w:val="0"/>
        <w:rPr>
          <w:rFonts w:ascii="Constantia" w:hAnsi="Constantia" w:cs="Constantia"/>
          <w:sz w:val="20"/>
          <w:szCs w:val="20"/>
        </w:rPr>
      </w:pPr>
    </w:p>
    <w:p w:rsidR="002C5025" w:rsidRDefault="002C5025">
      <w:pPr>
        <w:pStyle w:val="BodyText"/>
        <w:kinsoku w:val="0"/>
        <w:overflowPunct w:val="0"/>
        <w:spacing w:before="10"/>
        <w:rPr>
          <w:rFonts w:ascii="Constantia" w:hAnsi="Constantia" w:cs="Constantia"/>
          <w:sz w:val="18"/>
          <w:szCs w:val="18"/>
        </w:rPr>
      </w:pPr>
    </w:p>
    <w:p w:rsidR="002C5025" w:rsidRDefault="002C5025">
      <w:pPr>
        <w:pStyle w:val="BodyText"/>
        <w:kinsoku w:val="0"/>
        <w:overflowPunct w:val="0"/>
        <w:ind w:left="595" w:right="568"/>
        <w:jc w:val="center"/>
        <w:rPr>
          <w:rFonts w:ascii="Arial" w:hAnsi="Arial" w:cs="Arial"/>
          <w:b/>
          <w:bCs/>
          <w:color w:val="000099"/>
          <w:sz w:val="24"/>
          <w:szCs w:val="24"/>
        </w:rPr>
      </w:pPr>
      <w:r>
        <w:rPr>
          <w:rFonts w:ascii="Arial" w:hAnsi="Arial" w:cs="Arial"/>
          <w:b/>
          <w:bCs/>
          <w:color w:val="000099"/>
          <w:sz w:val="24"/>
          <w:szCs w:val="24"/>
          <w:u w:val="thick"/>
        </w:rPr>
        <w:t>______________________________________________________________</w:t>
      </w:r>
    </w:p>
    <w:p w:rsidR="002C5025" w:rsidRDefault="002C5025">
      <w:pPr>
        <w:pStyle w:val="BodyText"/>
        <w:kinsoku w:val="0"/>
        <w:overflowPunct w:val="0"/>
        <w:spacing w:before="8"/>
        <w:ind w:left="595" w:right="564"/>
        <w:jc w:val="center"/>
        <w:rPr>
          <w:rFonts w:ascii="Arial" w:hAnsi="Arial" w:cs="Arial"/>
          <w:b/>
          <w:bCs/>
          <w:color w:val="000099"/>
          <w:sz w:val="19"/>
          <w:szCs w:val="19"/>
        </w:rPr>
      </w:pPr>
      <w:r>
        <w:rPr>
          <w:rFonts w:ascii="Arial" w:hAnsi="Arial" w:cs="Arial"/>
          <w:b/>
          <w:bCs/>
          <w:color w:val="000099"/>
          <w:sz w:val="19"/>
          <w:szCs w:val="19"/>
        </w:rPr>
        <w:t>920 Winter Street, Waltham, MA  02451-1457   Direct (781) 699-2424   Fax (781) 699-9709</w:t>
      </w:r>
    </w:p>
    <w:p w:rsidR="002C5025" w:rsidRDefault="002C5025">
      <w:pPr>
        <w:pStyle w:val="BodyText"/>
        <w:kinsoku w:val="0"/>
        <w:overflowPunct w:val="0"/>
        <w:spacing w:before="8"/>
        <w:ind w:left="595" w:right="564"/>
        <w:jc w:val="center"/>
        <w:rPr>
          <w:rFonts w:ascii="Arial" w:hAnsi="Arial" w:cs="Arial"/>
          <w:b/>
          <w:bCs/>
          <w:color w:val="000099"/>
          <w:sz w:val="19"/>
          <w:szCs w:val="19"/>
        </w:rPr>
        <w:sectPr w:rsidR="002C5025">
          <w:pgSz w:w="12240" w:h="15840"/>
          <w:pgMar w:top="720" w:right="1440" w:bottom="280" w:left="1320" w:header="720" w:footer="720" w:gutter="0"/>
          <w:cols w:space="720" w:equalWidth="0">
            <w:col w:w="9480"/>
          </w:cols>
          <w:noEndnote/>
        </w:sectPr>
      </w:pPr>
    </w:p>
    <w:p w:rsidR="002C5025" w:rsidRDefault="002C5025">
      <w:pPr>
        <w:pStyle w:val="BodyText"/>
        <w:kinsoku w:val="0"/>
        <w:overflowPunct w:val="0"/>
        <w:spacing w:before="3"/>
        <w:rPr>
          <w:rFonts w:ascii="Arial" w:hAnsi="Arial" w:cs="Arial"/>
          <w:b/>
          <w:bCs/>
          <w:sz w:val="21"/>
          <w:szCs w:val="21"/>
        </w:rPr>
      </w:pPr>
    </w:p>
    <w:p w:rsidR="002C5025" w:rsidRDefault="002C5025">
      <w:pPr>
        <w:pStyle w:val="BodyText"/>
        <w:kinsoku w:val="0"/>
        <w:overflowPunct w:val="0"/>
        <w:spacing w:before="57" w:line="242" w:lineRule="auto"/>
        <w:ind w:left="120" w:right="103" w:firstLine="386"/>
        <w:rPr>
          <w:rFonts w:ascii="Constantia" w:hAnsi="Constantia" w:cs="Constantia"/>
        </w:rPr>
      </w:pPr>
      <w:r>
        <w:rPr>
          <w:rFonts w:ascii="Constantia" w:hAnsi="Constantia" w:cs="Constantia"/>
        </w:rPr>
        <w:t>Renal failure is a costly condition. The HPC’s Cost Trend Report found that five percent of patients account for nearly half of all spending among the Medicare and commercial populations in Massachusetts, and that significant savings can be captured by focusing on a subset of the population with identifiable and predictable characteristics. Renal failure is identified in this report as a high cost and persistently high cost medical condition. The Commonwealth’s Center for Health Information and Analysis (“CHIA”) has documented that the Chronic Kidney Disease (“CKD’) and ESRD populations as persistently costly. The total average annual cost of care for Medicare beneficiaries with ESRD on dialysis is approximately $75,000, approximately 10 times the cost of a Medicare beneficiary without ESRD. Nationwide, although ESRD beneficiaries comprise approximately 1 percent of the Medicare population, they account for nearly 8 percent of Medicare spending. The majority of individuals diagnosed with ESRD have common comorbid conditions such as diabetes and hypertension, and many also suffer from congestive heart failure, cardiovascular disease, hereditary hemolytic or sickle cell anemia and other common conditions</w:t>
      </w:r>
    </w:p>
    <w:p w:rsidR="002C5025" w:rsidRDefault="002C5025">
      <w:pPr>
        <w:pStyle w:val="BodyText"/>
        <w:kinsoku w:val="0"/>
        <w:overflowPunct w:val="0"/>
        <w:spacing w:before="2"/>
        <w:rPr>
          <w:rFonts w:ascii="Constantia" w:hAnsi="Constantia" w:cs="Constantia"/>
        </w:rPr>
      </w:pPr>
    </w:p>
    <w:p w:rsidR="002C5025" w:rsidRDefault="002C5025">
      <w:pPr>
        <w:pStyle w:val="BodyText"/>
        <w:kinsoku w:val="0"/>
        <w:overflowPunct w:val="0"/>
        <w:spacing w:line="242" w:lineRule="auto"/>
        <w:ind w:left="119" w:right="470" w:firstLine="386"/>
        <w:rPr>
          <w:rFonts w:ascii="Constantia" w:hAnsi="Constantia" w:cs="Constantia"/>
        </w:rPr>
      </w:pPr>
      <w:r>
        <w:rPr>
          <w:rFonts w:ascii="Constantia" w:hAnsi="Constantia" w:cs="Constantia"/>
        </w:rPr>
        <w:t>Due to the high cost of care for dialysis patients and their highly specialized needs, ESRD beneficiaries are likely to be considered the high-cost outliers by general, broad population- based ACO programs. Although general ACOs have an obligation to furnish renal dialysis services under the ACO requirements of Chapter 224, such ACOs do not have the specialized resources or experience to coordinate the bulk of renal-related medical care to this group of patients in the way that a Renal ACO would be designed to deliver. Given the complex and costly nature of this patient population, some ACOs may, in fact, wish to exclude ESRD beneficiaries from their risk-bearing models.</w:t>
      </w:r>
    </w:p>
    <w:p w:rsidR="002C5025" w:rsidRDefault="002C5025">
      <w:pPr>
        <w:pStyle w:val="BodyText"/>
        <w:kinsoku w:val="0"/>
        <w:overflowPunct w:val="0"/>
        <w:spacing w:before="2"/>
        <w:rPr>
          <w:rFonts w:ascii="Constantia" w:hAnsi="Constantia" w:cs="Constantia"/>
        </w:rPr>
      </w:pPr>
    </w:p>
    <w:p w:rsidR="002C5025" w:rsidRDefault="002C5025">
      <w:pPr>
        <w:pStyle w:val="BodyText"/>
        <w:kinsoku w:val="0"/>
        <w:overflowPunct w:val="0"/>
        <w:spacing w:line="242" w:lineRule="auto"/>
        <w:ind w:left="119" w:right="132" w:firstLine="386"/>
        <w:rPr>
          <w:rFonts w:ascii="Constantia" w:hAnsi="Constantia" w:cs="Constantia"/>
        </w:rPr>
      </w:pPr>
      <w:r>
        <w:rPr>
          <w:rFonts w:ascii="Constantia" w:hAnsi="Constantia" w:cs="Constantia"/>
        </w:rPr>
        <w:t>In addition to the multiple responsibilities with which the HPC is charged, Section 7(f) of SECTION 15 of The Act requires the commission to coordinate multiple public expenditures, any funding available through the Medicare program and any funding expended under the MassHealth section 1115 demonstration waiver.</w:t>
      </w:r>
    </w:p>
    <w:p w:rsidR="002C5025" w:rsidRDefault="002C5025">
      <w:pPr>
        <w:pStyle w:val="BodyText"/>
        <w:kinsoku w:val="0"/>
        <w:overflowPunct w:val="0"/>
        <w:spacing w:before="2"/>
        <w:rPr>
          <w:rFonts w:ascii="Constantia" w:hAnsi="Constantia" w:cs="Constantia"/>
        </w:rPr>
      </w:pPr>
    </w:p>
    <w:p w:rsidR="002C5025" w:rsidRDefault="002C5025">
      <w:pPr>
        <w:pStyle w:val="BodyText"/>
        <w:kinsoku w:val="0"/>
        <w:overflowPunct w:val="0"/>
        <w:spacing w:line="242" w:lineRule="auto"/>
        <w:ind w:left="931" w:right="681"/>
        <w:rPr>
          <w:rFonts w:ascii="Constantia" w:hAnsi="Constantia" w:cs="Constantia"/>
        </w:rPr>
      </w:pPr>
      <w:r>
        <w:rPr>
          <w:rFonts w:ascii="Constantia" w:hAnsi="Constantia" w:cs="Constantia"/>
        </w:rPr>
        <w:t>“(f) To the maximum extent feasible, the commission shall seek to coordinate expenditures from the Healthcare Payment Reform Fund with other public expenditures from the Prevention and Wellness Trust Fund, the E-Health Institute Fund, the Massachusetts Health Information Exchange Fund, the Distressed Hospital Trust Fund, the Health Care Workforce Transformation Trust Fund, the executive office of health and human services, any funding available through the Medicare program and the CMS Innovation Center, established under the federal Patient Protection and Affordable Care Act and any funding expended under the Delivery System Transformation Initiative Master Plan and hospital- specific plans approved in the MassHealth section 1115 demonstration</w:t>
      </w:r>
      <w:r>
        <w:rPr>
          <w:rFonts w:ascii="Constantia" w:hAnsi="Constantia" w:cs="Constantia"/>
          <w:spacing w:val="-33"/>
        </w:rPr>
        <w:t xml:space="preserve"> </w:t>
      </w:r>
      <w:r>
        <w:rPr>
          <w:rFonts w:ascii="Constantia" w:hAnsi="Constantia" w:cs="Constantia"/>
        </w:rPr>
        <w:t>waiver.”</w:t>
      </w:r>
    </w:p>
    <w:p w:rsidR="002C5025" w:rsidRDefault="002C5025">
      <w:pPr>
        <w:pStyle w:val="BodyText"/>
        <w:kinsoku w:val="0"/>
        <w:overflowPunct w:val="0"/>
        <w:spacing w:before="2"/>
        <w:rPr>
          <w:rFonts w:ascii="Constantia" w:hAnsi="Constantia" w:cs="Constantia"/>
        </w:rPr>
      </w:pPr>
    </w:p>
    <w:p w:rsidR="002C5025" w:rsidRDefault="002C5025">
      <w:pPr>
        <w:pStyle w:val="BodyText"/>
        <w:kinsoku w:val="0"/>
        <w:overflowPunct w:val="0"/>
        <w:spacing w:line="242" w:lineRule="auto"/>
        <w:ind w:left="119" w:right="114" w:firstLine="386"/>
        <w:rPr>
          <w:rFonts w:ascii="Constantia" w:hAnsi="Constantia" w:cs="Constantia"/>
        </w:rPr>
      </w:pPr>
      <w:r>
        <w:rPr>
          <w:rFonts w:ascii="Constantia" w:hAnsi="Constantia" w:cs="Constantia"/>
        </w:rPr>
        <w:t>Additionally, the Legislature recognized that the ability to drive transformational health care delivery system change is dependent upon organizing alternative payment models across multiple payer sources.  Therefore, the Legislature set out in SECTION 280, subsection (b):</w:t>
      </w:r>
    </w:p>
    <w:p w:rsidR="002C5025" w:rsidRDefault="002C5025">
      <w:pPr>
        <w:pStyle w:val="BodyText"/>
        <w:kinsoku w:val="0"/>
        <w:overflowPunct w:val="0"/>
        <w:rPr>
          <w:rFonts w:ascii="Constantia" w:hAnsi="Constantia" w:cs="Constantia"/>
          <w:sz w:val="20"/>
          <w:szCs w:val="20"/>
        </w:rPr>
      </w:pPr>
    </w:p>
    <w:p w:rsidR="002C5025" w:rsidRDefault="002C5025">
      <w:pPr>
        <w:pStyle w:val="BodyText"/>
        <w:kinsoku w:val="0"/>
        <w:overflowPunct w:val="0"/>
        <w:rPr>
          <w:rFonts w:ascii="Constantia" w:hAnsi="Constantia" w:cs="Constantia"/>
          <w:sz w:val="20"/>
          <w:szCs w:val="20"/>
        </w:rPr>
      </w:pPr>
    </w:p>
    <w:p w:rsidR="002C5025" w:rsidRDefault="002C5025">
      <w:pPr>
        <w:pStyle w:val="BodyText"/>
        <w:kinsoku w:val="0"/>
        <w:overflowPunct w:val="0"/>
        <w:spacing w:before="194"/>
        <w:ind w:left="595" w:right="567"/>
        <w:jc w:val="center"/>
        <w:rPr>
          <w:rFonts w:ascii="Arial" w:hAnsi="Arial" w:cs="Arial"/>
          <w:b/>
          <w:bCs/>
          <w:color w:val="000099"/>
          <w:sz w:val="24"/>
          <w:szCs w:val="24"/>
        </w:rPr>
      </w:pPr>
      <w:r>
        <w:rPr>
          <w:rFonts w:ascii="Arial" w:hAnsi="Arial" w:cs="Arial"/>
          <w:b/>
          <w:bCs/>
          <w:color w:val="000099"/>
          <w:sz w:val="24"/>
          <w:szCs w:val="24"/>
          <w:u w:val="thick"/>
        </w:rPr>
        <w:t>______________________________________________________________</w:t>
      </w:r>
    </w:p>
    <w:p w:rsidR="002C5025" w:rsidRDefault="002C5025">
      <w:pPr>
        <w:pStyle w:val="BodyText"/>
        <w:kinsoku w:val="0"/>
        <w:overflowPunct w:val="0"/>
        <w:spacing w:before="8"/>
        <w:ind w:left="595" w:right="564"/>
        <w:jc w:val="center"/>
        <w:rPr>
          <w:rFonts w:ascii="Arial" w:hAnsi="Arial" w:cs="Arial"/>
          <w:b/>
          <w:bCs/>
          <w:color w:val="000099"/>
          <w:sz w:val="19"/>
          <w:szCs w:val="19"/>
        </w:rPr>
      </w:pPr>
      <w:r>
        <w:rPr>
          <w:rFonts w:ascii="Arial" w:hAnsi="Arial" w:cs="Arial"/>
          <w:b/>
          <w:bCs/>
          <w:color w:val="000099"/>
          <w:sz w:val="19"/>
          <w:szCs w:val="19"/>
        </w:rPr>
        <w:t>920 Winter Street, Waltham, MA  02451-1457   Direct (781) 699-2424   Fax (781) 699-9709</w:t>
      </w:r>
    </w:p>
    <w:p w:rsidR="002C5025" w:rsidRDefault="002C5025">
      <w:pPr>
        <w:pStyle w:val="BodyText"/>
        <w:kinsoku w:val="0"/>
        <w:overflowPunct w:val="0"/>
        <w:spacing w:before="8"/>
        <w:ind w:left="595" w:right="564"/>
        <w:jc w:val="center"/>
        <w:rPr>
          <w:rFonts w:ascii="Arial" w:hAnsi="Arial" w:cs="Arial"/>
          <w:b/>
          <w:bCs/>
          <w:color w:val="000099"/>
          <w:sz w:val="19"/>
          <w:szCs w:val="19"/>
        </w:rPr>
        <w:sectPr w:rsidR="002C5025">
          <w:pgSz w:w="12240" w:h="15840"/>
          <w:pgMar w:top="1500" w:right="1440" w:bottom="280" w:left="1320" w:header="720" w:footer="720" w:gutter="0"/>
          <w:cols w:space="720"/>
          <w:noEndnote/>
        </w:sectPr>
      </w:pPr>
    </w:p>
    <w:p w:rsidR="002C5025" w:rsidRDefault="002C5025">
      <w:pPr>
        <w:pStyle w:val="BodyText"/>
        <w:kinsoku w:val="0"/>
        <w:overflowPunct w:val="0"/>
        <w:spacing w:before="3"/>
        <w:rPr>
          <w:rFonts w:ascii="Arial" w:hAnsi="Arial" w:cs="Arial"/>
          <w:b/>
          <w:bCs/>
          <w:sz w:val="21"/>
          <w:szCs w:val="21"/>
        </w:rPr>
      </w:pPr>
    </w:p>
    <w:p w:rsidR="002C5025" w:rsidRDefault="002C5025">
      <w:pPr>
        <w:pStyle w:val="BodyText"/>
        <w:kinsoku w:val="0"/>
        <w:overflowPunct w:val="0"/>
        <w:spacing w:before="57" w:line="242" w:lineRule="auto"/>
        <w:ind w:left="999" w:right="1174"/>
        <w:rPr>
          <w:rFonts w:ascii="Constantia" w:hAnsi="Constantia" w:cs="Constantia"/>
        </w:rPr>
      </w:pPr>
      <w:r>
        <w:rPr>
          <w:rFonts w:ascii="Constantia" w:hAnsi="Constantia" w:cs="Constantia"/>
        </w:rPr>
        <w:t>“The executive office of health and human services shall seek a federal waiver of statutory provisions necessary to permit Medicare to participate in such alternative payment methodologies. Upon obtaining federal approval for Medicare participation, such participation shall be commenced and continued and the executive office shall seek extensions or additional approvals, as necessary.”</w:t>
      </w:r>
    </w:p>
    <w:p w:rsidR="002C5025" w:rsidRDefault="002C5025">
      <w:pPr>
        <w:pStyle w:val="BodyText"/>
        <w:kinsoku w:val="0"/>
        <w:overflowPunct w:val="0"/>
        <w:spacing w:before="2"/>
        <w:rPr>
          <w:rFonts w:ascii="Constantia" w:hAnsi="Constantia" w:cs="Constantia"/>
        </w:rPr>
      </w:pPr>
    </w:p>
    <w:p w:rsidR="002C5025" w:rsidRDefault="002C5025">
      <w:pPr>
        <w:pStyle w:val="BodyText"/>
        <w:kinsoku w:val="0"/>
        <w:overflowPunct w:val="0"/>
        <w:spacing w:line="242" w:lineRule="auto"/>
        <w:ind w:left="100" w:right="112" w:firstLine="386"/>
        <w:rPr>
          <w:rFonts w:ascii="Constantia" w:hAnsi="Constantia" w:cs="Constantia"/>
        </w:rPr>
      </w:pPr>
      <w:r>
        <w:rPr>
          <w:rFonts w:ascii="Constantia" w:hAnsi="Constantia" w:cs="Constantia"/>
        </w:rPr>
        <w:t>Implementing improved care delivery models for ESRD patients now will lay the critical groundwork for decreasing costs and improving outcomes for this costly, medically complex and rapidly growing patient population. As an increasing number of people are diagnosed with diabetes mellitus, hypertension and CKD, there will be a corresponding increase in the incidence of individuals diagnosed with ESRD. As a result, the need to address outcomes and costs for this unique population will only become more acute over time. Failure to include in alternative payment models 80% of Massachusetts residents with ESRD who have Medicare as their primary payer may result in little meaningful change in the ways that care is delivered to this small, complex costly patient population in Massachusetts. We urge you to revise the 1115 Waiver to ensure that CMS will permit Medicare beneficiaries with ESRD to participate in alternative payment models developed in accordance with the requirements under Chapter 224.</w:t>
      </w:r>
    </w:p>
    <w:p w:rsidR="002C5025" w:rsidRDefault="002C5025">
      <w:pPr>
        <w:pStyle w:val="BodyText"/>
        <w:kinsoku w:val="0"/>
        <w:overflowPunct w:val="0"/>
        <w:rPr>
          <w:rFonts w:ascii="Constantia" w:hAnsi="Constantia" w:cs="Constantia"/>
        </w:rPr>
      </w:pPr>
    </w:p>
    <w:p w:rsidR="002C5025" w:rsidRDefault="002C5025">
      <w:pPr>
        <w:pStyle w:val="BodyText"/>
        <w:kinsoku w:val="0"/>
        <w:overflowPunct w:val="0"/>
        <w:spacing w:before="5"/>
        <w:rPr>
          <w:rFonts w:ascii="Constantia" w:hAnsi="Constantia" w:cs="Constantia"/>
        </w:rPr>
      </w:pPr>
    </w:p>
    <w:p w:rsidR="002C5025" w:rsidRDefault="002C5025">
      <w:pPr>
        <w:pStyle w:val="BodyText"/>
        <w:kinsoku w:val="0"/>
        <w:overflowPunct w:val="0"/>
        <w:ind w:left="100" w:right="225"/>
        <w:rPr>
          <w:rFonts w:ascii="Constantia" w:hAnsi="Constantia" w:cs="Constantia"/>
        </w:rPr>
      </w:pPr>
      <w:r>
        <w:rPr>
          <w:rFonts w:ascii="Constantia" w:hAnsi="Constantia" w:cs="Constantia"/>
        </w:rPr>
        <w:t>Thank you for your consideration.</w:t>
      </w:r>
    </w:p>
    <w:p w:rsidR="002C5025" w:rsidRDefault="002C5025">
      <w:pPr>
        <w:pStyle w:val="BodyText"/>
        <w:kinsoku w:val="0"/>
        <w:overflowPunct w:val="0"/>
        <w:rPr>
          <w:rFonts w:ascii="Constantia" w:hAnsi="Constantia" w:cs="Constantia"/>
        </w:rPr>
      </w:pPr>
    </w:p>
    <w:p w:rsidR="002C5025" w:rsidRDefault="002C5025">
      <w:pPr>
        <w:pStyle w:val="BodyText"/>
        <w:kinsoku w:val="0"/>
        <w:overflowPunct w:val="0"/>
        <w:spacing w:before="7"/>
        <w:rPr>
          <w:rFonts w:ascii="Constantia" w:hAnsi="Constantia" w:cs="Constantia"/>
        </w:rPr>
      </w:pPr>
    </w:p>
    <w:p w:rsidR="002C5025" w:rsidRDefault="002C5025">
      <w:pPr>
        <w:pStyle w:val="BodyText"/>
        <w:kinsoku w:val="0"/>
        <w:overflowPunct w:val="0"/>
        <w:ind w:left="100" w:right="225"/>
        <w:rPr>
          <w:rFonts w:ascii="Constantia" w:hAnsi="Constantia" w:cs="Constantia"/>
        </w:rPr>
      </w:pPr>
      <w:r>
        <w:rPr>
          <w:rFonts w:ascii="Constantia" w:hAnsi="Constantia" w:cs="Constantia"/>
        </w:rPr>
        <w:t>Sincerely,</w:t>
      </w:r>
    </w:p>
    <w:p w:rsidR="002C5025" w:rsidRDefault="00FB027C">
      <w:pPr>
        <w:pStyle w:val="BodyText"/>
        <w:kinsoku w:val="0"/>
        <w:overflowPunct w:val="0"/>
        <w:spacing w:before="3"/>
        <w:rPr>
          <w:rFonts w:ascii="Constantia" w:hAnsi="Constantia" w:cs="Constantia"/>
          <w:sz w:val="19"/>
          <w:szCs w:val="19"/>
        </w:rPr>
      </w:pPr>
      <w:r>
        <w:rPr>
          <w:noProof/>
        </w:rPr>
        <mc:AlternateContent>
          <mc:Choice Requires="wps">
            <w:drawing>
              <wp:anchor distT="0" distB="0" distL="0" distR="0" simplePos="0" relativeHeight="251651584" behindDoc="0" locked="0" layoutInCell="0" allowOverlap="1">
                <wp:simplePos x="0" y="0"/>
                <wp:positionH relativeFrom="page">
                  <wp:posOffset>915035</wp:posOffset>
                </wp:positionH>
                <wp:positionV relativeFrom="paragraph">
                  <wp:posOffset>174625</wp:posOffset>
                </wp:positionV>
                <wp:extent cx="2984500" cy="1016000"/>
                <wp:effectExtent l="0" t="0" r="0" b="0"/>
                <wp:wrapTopAndBottom/>
                <wp:docPr id="567" name="Rectangle 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4500" cy="1016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1600" w:lineRule="atLeast"/>
                            </w:pPr>
                            <w:r>
                              <w:rPr>
                                <w:noProof/>
                              </w:rPr>
                              <w:drawing>
                                <wp:inline distT="0" distB="0" distL="0" distR="0">
                                  <wp:extent cx="2990850" cy="1009650"/>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2990850" cy="1009650"/>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8" o:spid="_x0000_s1182" style="position:absolute;margin-left:72.05pt;margin-top:13.75pt;width:235pt;height:80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" o:allowincell="f" filled="f" stroked="f">
                <v:textbox inset="0,0,0,0">
                  <w:txbxContent>
                    <w:p w:rsidR="007B2B7B" w:rsidRDefault="007B2B7B">
                      <w:pPr>
                        <w:widowControl/>
                        <w:autoSpaceDE/>
                        <w:autoSpaceDN/>
                        <w:adjustRightInd/>
                        <w:spacing w:line="1600" w:lineRule="atLeast"/>
                      </w:pPr>
                      <w:r>
                        <w:rPr>
                          <w:noProof/>
                        </w:rPr>
                        <w:drawing>
                          <wp:inline distT="0" distB="0" distL="0" distR="0">
                            <wp:extent cx="2990850" cy="1009650"/>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2990850" cy="1009650"/>
                                    </a:xfrm>
                                    <a:prstGeom prst="rect">
                                      <a:avLst/>
                                    </a:prstGeom>
                                    <a:noFill/>
                                    <a:ln>
                                      <a:noFill/>
                                    </a:ln>
                                  </pic:spPr>
                                </pic:pic>
                              </a:graphicData>
                            </a:graphic>
                          </wp:inline>
                        </w:drawing>
                      </w:r>
                    </w:p>
                    <w:p w:rsidR="007B2B7B" w:rsidRDefault="007B2B7B"/>
                  </w:txbxContent>
                </v:textbox>
                <w10:wrap type="topAndBottom" anchorx="page"/>
              </v:rect>
            </w:pict>
          </mc:Fallback>
        </mc:AlternateContent>
      </w:r>
    </w:p>
    <w:p w:rsidR="002C5025" w:rsidRDefault="002C5025">
      <w:pPr>
        <w:pStyle w:val="BodyText"/>
        <w:kinsoku w:val="0"/>
        <w:overflowPunct w:val="0"/>
        <w:ind w:left="100" w:right="225"/>
        <w:rPr>
          <w:rFonts w:ascii="Constantia" w:hAnsi="Constantia" w:cs="Constantia"/>
        </w:rPr>
      </w:pPr>
      <w:r>
        <w:rPr>
          <w:rFonts w:ascii="Constantia" w:hAnsi="Constantia" w:cs="Constantia"/>
        </w:rPr>
        <w:t>Cathleen O’Keefe, RN, JD</w:t>
      </w:r>
    </w:p>
    <w:p w:rsidR="002C5025" w:rsidRDefault="002C5025">
      <w:pPr>
        <w:pStyle w:val="BodyText"/>
        <w:kinsoku w:val="0"/>
        <w:overflowPunct w:val="0"/>
        <w:spacing w:before="2" w:line="242" w:lineRule="auto"/>
        <w:ind w:left="100" w:right="5641"/>
        <w:rPr>
          <w:rFonts w:ascii="Constantia" w:hAnsi="Constantia" w:cs="Constantia"/>
        </w:rPr>
      </w:pPr>
      <w:r>
        <w:rPr>
          <w:rFonts w:ascii="Constantia" w:hAnsi="Constantia" w:cs="Constantia"/>
        </w:rPr>
        <w:t>Vice President, Government Affairs Fresenius Medical Care North America</w:t>
      </w:r>
    </w:p>
    <w:p w:rsidR="002C5025" w:rsidRDefault="002C5025">
      <w:pPr>
        <w:pStyle w:val="BodyText"/>
        <w:kinsoku w:val="0"/>
        <w:overflowPunct w:val="0"/>
        <w:spacing w:before="2"/>
        <w:rPr>
          <w:rFonts w:ascii="Constantia" w:hAnsi="Constantia" w:cs="Constantia"/>
        </w:rPr>
      </w:pPr>
    </w:p>
    <w:p w:rsidR="002C5025" w:rsidRDefault="002C5025">
      <w:pPr>
        <w:pStyle w:val="BodyText"/>
        <w:tabs>
          <w:tab w:val="left" w:pos="819"/>
        </w:tabs>
        <w:kinsoku w:val="0"/>
        <w:overflowPunct w:val="0"/>
        <w:spacing w:line="242" w:lineRule="auto"/>
        <w:ind w:left="820" w:right="1268" w:hanging="721"/>
        <w:rPr>
          <w:rFonts w:ascii="Constantia" w:hAnsi="Constantia" w:cs="Constantia"/>
        </w:rPr>
      </w:pPr>
      <w:r>
        <w:rPr>
          <w:rFonts w:ascii="Constantia" w:hAnsi="Constantia" w:cs="Constantia"/>
        </w:rPr>
        <w:t>cc:</w:t>
      </w:r>
      <w:r>
        <w:rPr>
          <w:rFonts w:ascii="Constantia" w:hAnsi="Constantia" w:cs="Constantia"/>
        </w:rPr>
        <w:tab/>
        <w:t>Commissioner David Cutler, Chairman Cost Trends and</w:t>
      </w:r>
      <w:r>
        <w:rPr>
          <w:rFonts w:ascii="Constantia" w:hAnsi="Constantia" w:cs="Constantia"/>
          <w:spacing w:val="-12"/>
        </w:rPr>
        <w:t xml:space="preserve"> </w:t>
      </w:r>
      <w:r>
        <w:rPr>
          <w:rFonts w:ascii="Constantia" w:hAnsi="Constantia" w:cs="Constantia"/>
        </w:rPr>
        <w:t>Market</w:t>
      </w:r>
      <w:r>
        <w:rPr>
          <w:rFonts w:ascii="Constantia" w:hAnsi="Constantia" w:cs="Constantia"/>
          <w:spacing w:val="-4"/>
        </w:rPr>
        <w:t xml:space="preserve"> </w:t>
      </w:r>
      <w:r>
        <w:rPr>
          <w:rFonts w:ascii="Constantia" w:hAnsi="Constantia" w:cs="Constantia"/>
        </w:rPr>
        <w:t>Performance</w:t>
      </w:r>
      <w:r>
        <w:rPr>
          <w:rFonts w:ascii="Constantia" w:hAnsi="Constantia" w:cs="Constantia"/>
          <w:spacing w:val="-2"/>
        </w:rPr>
        <w:t xml:space="preserve"> </w:t>
      </w:r>
      <w:r>
        <w:rPr>
          <w:rFonts w:ascii="Constantia" w:hAnsi="Constantia" w:cs="Constantia"/>
        </w:rPr>
        <w:t>Committee, Health Policy</w:t>
      </w:r>
      <w:r>
        <w:rPr>
          <w:rFonts w:ascii="Constantia" w:hAnsi="Constantia" w:cs="Constantia"/>
          <w:spacing w:val="-6"/>
        </w:rPr>
        <w:t xml:space="preserve"> </w:t>
      </w:r>
      <w:r>
        <w:rPr>
          <w:rFonts w:ascii="Constantia" w:hAnsi="Constantia" w:cs="Constantia"/>
        </w:rPr>
        <w:t>Commission</w:t>
      </w:r>
    </w:p>
    <w:p w:rsidR="002C5025" w:rsidRDefault="002C5025">
      <w:pPr>
        <w:pStyle w:val="BodyText"/>
        <w:kinsoku w:val="0"/>
        <w:overflowPunct w:val="0"/>
        <w:spacing w:before="2"/>
        <w:rPr>
          <w:rFonts w:ascii="Constantia" w:hAnsi="Constantia" w:cs="Constantia"/>
        </w:rPr>
      </w:pPr>
    </w:p>
    <w:p w:rsidR="002C5025" w:rsidRDefault="002C5025">
      <w:pPr>
        <w:pStyle w:val="BodyText"/>
        <w:kinsoku w:val="0"/>
        <w:overflowPunct w:val="0"/>
        <w:ind w:left="820" w:right="225"/>
        <w:rPr>
          <w:rFonts w:ascii="Constantia" w:hAnsi="Constantia" w:cs="Constantia"/>
        </w:rPr>
      </w:pPr>
      <w:r>
        <w:rPr>
          <w:rFonts w:ascii="Constantia" w:hAnsi="Constantia" w:cs="Constantia"/>
        </w:rPr>
        <w:t>David Seltz, Executive Director, Health Policy Commission</w:t>
      </w:r>
    </w:p>
    <w:p w:rsidR="002C5025" w:rsidRDefault="002C5025">
      <w:pPr>
        <w:pStyle w:val="BodyText"/>
        <w:kinsoku w:val="0"/>
        <w:overflowPunct w:val="0"/>
        <w:rPr>
          <w:rFonts w:ascii="Constantia" w:hAnsi="Constantia" w:cs="Constantia"/>
          <w:sz w:val="20"/>
          <w:szCs w:val="20"/>
        </w:rPr>
      </w:pPr>
    </w:p>
    <w:p w:rsidR="002C5025" w:rsidRDefault="002C5025">
      <w:pPr>
        <w:pStyle w:val="BodyText"/>
        <w:kinsoku w:val="0"/>
        <w:overflowPunct w:val="0"/>
        <w:rPr>
          <w:rFonts w:ascii="Constantia" w:hAnsi="Constantia" w:cs="Constantia"/>
          <w:sz w:val="20"/>
          <w:szCs w:val="20"/>
        </w:rPr>
      </w:pPr>
    </w:p>
    <w:p w:rsidR="002C5025" w:rsidRDefault="002C5025">
      <w:pPr>
        <w:pStyle w:val="BodyText"/>
        <w:kinsoku w:val="0"/>
        <w:overflowPunct w:val="0"/>
        <w:rPr>
          <w:rFonts w:ascii="Constantia" w:hAnsi="Constantia" w:cs="Constantia"/>
          <w:sz w:val="20"/>
          <w:szCs w:val="20"/>
        </w:rPr>
      </w:pPr>
    </w:p>
    <w:p w:rsidR="002C5025" w:rsidRDefault="002C5025">
      <w:pPr>
        <w:pStyle w:val="BodyText"/>
        <w:kinsoku w:val="0"/>
        <w:overflowPunct w:val="0"/>
        <w:rPr>
          <w:rFonts w:ascii="Constantia" w:hAnsi="Constantia" w:cs="Constantia"/>
          <w:sz w:val="20"/>
          <w:szCs w:val="20"/>
        </w:rPr>
      </w:pPr>
    </w:p>
    <w:p w:rsidR="002C5025" w:rsidRDefault="002C5025">
      <w:pPr>
        <w:pStyle w:val="BodyText"/>
        <w:kinsoku w:val="0"/>
        <w:overflowPunct w:val="0"/>
        <w:rPr>
          <w:rFonts w:ascii="Constantia" w:hAnsi="Constantia" w:cs="Constantia"/>
          <w:sz w:val="20"/>
          <w:szCs w:val="20"/>
        </w:rPr>
      </w:pPr>
    </w:p>
    <w:p w:rsidR="002C5025" w:rsidRDefault="002C5025">
      <w:pPr>
        <w:pStyle w:val="BodyText"/>
        <w:kinsoku w:val="0"/>
        <w:overflowPunct w:val="0"/>
        <w:rPr>
          <w:rFonts w:ascii="Constantia" w:hAnsi="Constantia" w:cs="Constantia"/>
          <w:sz w:val="20"/>
          <w:szCs w:val="20"/>
        </w:rPr>
      </w:pPr>
    </w:p>
    <w:p w:rsidR="002C5025" w:rsidRDefault="002C5025">
      <w:pPr>
        <w:pStyle w:val="BodyText"/>
        <w:kinsoku w:val="0"/>
        <w:overflowPunct w:val="0"/>
        <w:spacing w:before="6"/>
        <w:rPr>
          <w:rFonts w:ascii="Constantia" w:hAnsi="Constantia" w:cs="Constantia"/>
          <w:sz w:val="21"/>
          <w:szCs w:val="21"/>
        </w:rPr>
      </w:pPr>
    </w:p>
    <w:p w:rsidR="002C5025" w:rsidRDefault="002C5025">
      <w:pPr>
        <w:pStyle w:val="BodyText"/>
        <w:kinsoku w:val="0"/>
        <w:overflowPunct w:val="0"/>
        <w:spacing w:before="70"/>
        <w:ind w:left="576" w:right="568"/>
        <w:jc w:val="center"/>
        <w:rPr>
          <w:rFonts w:ascii="Arial" w:hAnsi="Arial" w:cs="Arial"/>
          <w:b/>
          <w:bCs/>
          <w:color w:val="000099"/>
          <w:sz w:val="24"/>
          <w:szCs w:val="24"/>
        </w:rPr>
      </w:pPr>
      <w:r>
        <w:rPr>
          <w:rFonts w:ascii="Arial" w:hAnsi="Arial" w:cs="Arial"/>
          <w:b/>
          <w:bCs/>
          <w:color w:val="000099"/>
          <w:sz w:val="24"/>
          <w:szCs w:val="24"/>
          <w:u w:val="thick"/>
        </w:rPr>
        <w:t>______________________________________________________________</w:t>
      </w:r>
    </w:p>
    <w:p w:rsidR="002C5025" w:rsidRDefault="002C5025">
      <w:pPr>
        <w:pStyle w:val="BodyText"/>
        <w:kinsoku w:val="0"/>
        <w:overflowPunct w:val="0"/>
        <w:spacing w:before="8"/>
        <w:ind w:left="576" w:right="565"/>
        <w:jc w:val="center"/>
        <w:rPr>
          <w:rFonts w:ascii="Arial" w:hAnsi="Arial" w:cs="Arial"/>
          <w:b/>
          <w:bCs/>
          <w:color w:val="000099"/>
          <w:sz w:val="19"/>
          <w:szCs w:val="19"/>
        </w:rPr>
      </w:pPr>
      <w:r>
        <w:rPr>
          <w:rFonts w:ascii="Arial" w:hAnsi="Arial" w:cs="Arial"/>
          <w:b/>
          <w:bCs/>
          <w:color w:val="000099"/>
          <w:sz w:val="19"/>
          <w:szCs w:val="19"/>
        </w:rPr>
        <w:t>920 Winter Street, Waltham, MA  02451-1457   Direct (781) 699-2424   Fax (781) 699-9709</w:t>
      </w:r>
    </w:p>
    <w:p w:rsidR="002C5025" w:rsidRDefault="002C5025">
      <w:pPr>
        <w:pStyle w:val="BodyText"/>
        <w:kinsoku w:val="0"/>
        <w:overflowPunct w:val="0"/>
        <w:spacing w:before="8"/>
        <w:ind w:left="576" w:right="565"/>
        <w:jc w:val="center"/>
        <w:rPr>
          <w:rFonts w:ascii="Arial" w:hAnsi="Arial" w:cs="Arial"/>
          <w:b/>
          <w:bCs/>
          <w:color w:val="000099"/>
          <w:sz w:val="19"/>
          <w:szCs w:val="19"/>
        </w:rPr>
        <w:sectPr w:rsidR="002C5025">
          <w:pgSz w:w="12240" w:h="15840"/>
          <w:pgMar w:top="1500" w:right="1440" w:bottom="280" w:left="1340" w:header="720" w:footer="720" w:gutter="0"/>
          <w:cols w:space="720" w:equalWidth="0">
            <w:col w:w="9460"/>
          </w:cols>
          <w:noEndnote/>
        </w:sectPr>
      </w:pPr>
    </w:p>
    <w:p w:rsidR="002C5025" w:rsidRDefault="00FB027C">
      <w:pPr>
        <w:pStyle w:val="BodyText"/>
        <w:kinsoku w:val="0"/>
        <w:overflowPunct w:val="0"/>
        <w:ind w:left="115"/>
        <w:rPr>
          <w:rFonts w:ascii="Arial" w:hAnsi="Arial" w:cs="Arial"/>
          <w:sz w:val="20"/>
          <w:szCs w:val="20"/>
        </w:rPr>
      </w:pPr>
      <w:r>
        <w:rPr>
          <w:rFonts w:ascii="Arial" w:hAnsi="Arial" w:cs="Arial"/>
          <w:noProof/>
          <w:sz w:val="20"/>
          <w:szCs w:val="20"/>
        </w:rPr>
        <w:lastRenderedPageBreak/>
        <w:drawing>
          <wp:inline distT="0" distB="0" distL="0" distR="0">
            <wp:extent cx="7400925" cy="1381125"/>
            <wp:effectExtent l="0" t="0" r="9525" b="9525"/>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7400925" cy="1381125"/>
                    </a:xfrm>
                    <a:prstGeom prst="rect">
                      <a:avLst/>
                    </a:prstGeom>
                    <a:noFill/>
                    <a:ln>
                      <a:noFill/>
                    </a:ln>
                  </pic:spPr>
                </pic:pic>
              </a:graphicData>
            </a:graphic>
          </wp:inline>
        </w:drawing>
      </w:r>
    </w:p>
    <w:p w:rsidR="002C5025" w:rsidRDefault="002C5025">
      <w:pPr>
        <w:pStyle w:val="BodyText"/>
        <w:kinsoku w:val="0"/>
        <w:overflowPunct w:val="0"/>
        <w:spacing w:before="92"/>
        <w:ind w:left="1360" w:right="6097"/>
        <w:rPr>
          <w:rFonts w:ascii="Garamond" w:hAnsi="Garamond" w:cs="Garamond"/>
        </w:rPr>
      </w:pPr>
      <w:bookmarkStart w:id="146" w:name="HCFA_Comments_-_MassHealth_1115_Waiver_R"/>
      <w:bookmarkEnd w:id="146"/>
      <w:r>
        <w:rPr>
          <w:rFonts w:ascii="Garamond" w:hAnsi="Garamond" w:cs="Garamond"/>
        </w:rPr>
        <w:t>July 15, 2016</w:t>
      </w:r>
    </w:p>
    <w:p w:rsidR="002C5025" w:rsidRDefault="002C5025">
      <w:pPr>
        <w:pStyle w:val="BodyText"/>
        <w:kinsoku w:val="0"/>
        <w:overflowPunct w:val="0"/>
        <w:spacing w:before="9"/>
        <w:rPr>
          <w:rFonts w:ascii="Garamond" w:hAnsi="Garamond" w:cs="Garamond"/>
        </w:rPr>
      </w:pPr>
    </w:p>
    <w:p w:rsidR="002C5025" w:rsidRDefault="002C5025">
      <w:pPr>
        <w:pStyle w:val="BodyText"/>
        <w:kinsoku w:val="0"/>
        <w:overflowPunct w:val="0"/>
        <w:spacing w:line="244" w:lineRule="exact"/>
        <w:ind w:left="1360" w:right="6097"/>
        <w:rPr>
          <w:rFonts w:ascii="Garamond" w:hAnsi="Garamond" w:cs="Garamond"/>
        </w:rPr>
      </w:pPr>
      <w:r>
        <w:rPr>
          <w:rFonts w:ascii="Garamond" w:hAnsi="Garamond" w:cs="Garamond"/>
        </w:rPr>
        <w:t>Daniel Tsai</w:t>
      </w:r>
    </w:p>
    <w:p w:rsidR="002C5025" w:rsidRDefault="002C5025">
      <w:pPr>
        <w:pStyle w:val="BodyText"/>
        <w:kinsoku w:val="0"/>
        <w:overflowPunct w:val="0"/>
        <w:spacing w:line="244" w:lineRule="exact"/>
        <w:ind w:left="1360" w:right="6097"/>
        <w:rPr>
          <w:rFonts w:ascii="Garamond" w:hAnsi="Garamond" w:cs="Garamond"/>
        </w:rPr>
      </w:pPr>
      <w:r>
        <w:rPr>
          <w:rFonts w:ascii="Garamond" w:hAnsi="Garamond" w:cs="Garamond"/>
        </w:rPr>
        <w:t>Assistant Secretary for MassHealth</w:t>
      </w:r>
    </w:p>
    <w:p w:rsidR="002C5025" w:rsidRDefault="002C5025">
      <w:pPr>
        <w:pStyle w:val="BodyText"/>
        <w:kinsoku w:val="0"/>
        <w:overflowPunct w:val="0"/>
        <w:spacing w:line="242" w:lineRule="auto"/>
        <w:ind w:left="1360" w:right="6097"/>
        <w:rPr>
          <w:rFonts w:ascii="Garamond" w:hAnsi="Garamond" w:cs="Garamond"/>
        </w:rPr>
      </w:pPr>
      <w:r>
        <w:rPr>
          <w:rFonts w:ascii="Garamond" w:hAnsi="Garamond" w:cs="Garamond"/>
        </w:rPr>
        <w:t>Executive Office of Health and Human Services One Ashburton Place, 11</w:t>
      </w:r>
      <w:proofErr w:type="spellStart"/>
      <w:r>
        <w:rPr>
          <w:rFonts w:ascii="Garamond" w:hAnsi="Garamond" w:cs="Garamond"/>
          <w:position w:val="5"/>
          <w:sz w:val="14"/>
          <w:szCs w:val="14"/>
        </w:rPr>
        <w:t>th</w:t>
      </w:r>
      <w:proofErr w:type="spellEnd"/>
      <w:r>
        <w:rPr>
          <w:rFonts w:ascii="Garamond" w:hAnsi="Garamond" w:cs="Garamond"/>
          <w:position w:val="5"/>
          <w:sz w:val="14"/>
          <w:szCs w:val="14"/>
        </w:rPr>
        <w:t xml:space="preserve"> </w:t>
      </w:r>
      <w:r>
        <w:rPr>
          <w:rFonts w:ascii="Garamond" w:hAnsi="Garamond" w:cs="Garamond"/>
        </w:rPr>
        <w:t>Floor</w:t>
      </w:r>
    </w:p>
    <w:p w:rsidR="002C5025" w:rsidRDefault="002C5025">
      <w:pPr>
        <w:pStyle w:val="BodyText"/>
        <w:kinsoku w:val="0"/>
        <w:overflowPunct w:val="0"/>
        <w:spacing w:before="4"/>
        <w:ind w:left="1359" w:right="6097"/>
        <w:rPr>
          <w:rFonts w:ascii="Garamond" w:hAnsi="Garamond" w:cs="Garamond"/>
        </w:rPr>
      </w:pPr>
      <w:r>
        <w:rPr>
          <w:rFonts w:ascii="Garamond" w:hAnsi="Garamond" w:cs="Garamond"/>
        </w:rPr>
        <w:t>Boston, MA 02108</w:t>
      </w:r>
    </w:p>
    <w:p w:rsidR="002C5025" w:rsidRDefault="002C5025">
      <w:pPr>
        <w:pStyle w:val="BodyText"/>
        <w:kinsoku w:val="0"/>
        <w:overflowPunct w:val="0"/>
        <w:spacing w:before="3"/>
        <w:rPr>
          <w:rFonts w:ascii="Garamond" w:hAnsi="Garamond" w:cs="Garamond"/>
          <w:sz w:val="21"/>
          <w:szCs w:val="21"/>
        </w:rPr>
      </w:pPr>
    </w:p>
    <w:p w:rsidR="002C5025" w:rsidRDefault="002C5025">
      <w:pPr>
        <w:pStyle w:val="BodyText"/>
        <w:kinsoku w:val="0"/>
        <w:overflowPunct w:val="0"/>
        <w:spacing w:line="480" w:lineRule="auto"/>
        <w:ind w:left="1359" w:right="2256"/>
        <w:rPr>
          <w:rFonts w:ascii="Garamond" w:hAnsi="Garamond" w:cs="Garamond"/>
          <w:color w:val="000000"/>
        </w:rPr>
      </w:pPr>
      <w:r>
        <w:rPr>
          <w:rFonts w:ascii="Garamond" w:hAnsi="Garamond" w:cs="Garamond"/>
        </w:rPr>
        <w:t xml:space="preserve">RE: </w:t>
      </w:r>
      <w:r>
        <w:rPr>
          <w:rFonts w:ascii="Garamond" w:hAnsi="Garamond" w:cs="Garamond"/>
          <w:color w:val="1B1B1B"/>
        </w:rPr>
        <w:t xml:space="preserve">Comments on MassHealth 1115 Demonstration Project Amendment and Extension Request </w:t>
      </w:r>
      <w:r>
        <w:rPr>
          <w:rFonts w:ascii="Garamond" w:hAnsi="Garamond" w:cs="Garamond"/>
          <w:color w:val="000000"/>
        </w:rPr>
        <w:t>Dear Assistant Secretary Tsai,</w:t>
      </w:r>
    </w:p>
    <w:p w:rsidR="002C5025" w:rsidRDefault="002C5025">
      <w:pPr>
        <w:pStyle w:val="BodyText"/>
        <w:kinsoku w:val="0"/>
        <w:overflowPunct w:val="0"/>
        <w:spacing w:before="2"/>
        <w:ind w:left="1356" w:right="1274" w:firstLine="3"/>
        <w:rPr>
          <w:rFonts w:ascii="Garamond" w:hAnsi="Garamond" w:cs="Garamond"/>
        </w:rPr>
      </w:pPr>
      <w:r>
        <w:rPr>
          <w:rFonts w:ascii="Garamond" w:hAnsi="Garamond" w:cs="Garamond"/>
        </w:rPr>
        <w:t xml:space="preserve">On behalf of Health Care For All (HCFA), thank you for the opportunity to </w:t>
      </w:r>
      <w:r>
        <w:rPr>
          <w:rFonts w:ascii="Garamond" w:hAnsi="Garamond" w:cs="Garamond"/>
          <w:spacing w:val="-3"/>
        </w:rPr>
        <w:t xml:space="preserve">comment </w:t>
      </w:r>
      <w:r>
        <w:rPr>
          <w:rFonts w:ascii="Garamond" w:hAnsi="Garamond" w:cs="Garamond"/>
        </w:rPr>
        <w:t>on the MassHealth Section</w:t>
      </w:r>
      <w:r>
        <w:rPr>
          <w:rFonts w:ascii="Garamond" w:hAnsi="Garamond" w:cs="Garamond"/>
          <w:spacing w:val="-12"/>
        </w:rPr>
        <w:t xml:space="preserve"> </w:t>
      </w:r>
      <w:r>
        <w:rPr>
          <w:rFonts w:ascii="Garamond" w:hAnsi="Garamond" w:cs="Garamond"/>
        </w:rPr>
        <w:t>1115</w:t>
      </w:r>
      <w:r>
        <w:rPr>
          <w:rFonts w:ascii="Garamond" w:hAnsi="Garamond" w:cs="Garamond"/>
          <w:spacing w:val="-12"/>
        </w:rPr>
        <w:t xml:space="preserve"> </w:t>
      </w:r>
      <w:r>
        <w:rPr>
          <w:rFonts w:ascii="Garamond" w:hAnsi="Garamond" w:cs="Garamond"/>
        </w:rPr>
        <w:t>Demonstration</w:t>
      </w:r>
      <w:r>
        <w:rPr>
          <w:rFonts w:ascii="Garamond" w:hAnsi="Garamond" w:cs="Garamond"/>
          <w:spacing w:val="-14"/>
        </w:rPr>
        <w:t xml:space="preserve"> </w:t>
      </w:r>
      <w:r>
        <w:rPr>
          <w:rFonts w:ascii="Garamond" w:hAnsi="Garamond" w:cs="Garamond"/>
        </w:rPr>
        <w:t>Project</w:t>
      </w:r>
      <w:r>
        <w:rPr>
          <w:rFonts w:ascii="Garamond" w:hAnsi="Garamond" w:cs="Garamond"/>
          <w:spacing w:val="-10"/>
        </w:rPr>
        <w:t xml:space="preserve"> </w:t>
      </w:r>
      <w:r>
        <w:rPr>
          <w:rFonts w:ascii="Garamond" w:hAnsi="Garamond" w:cs="Garamond"/>
        </w:rPr>
        <w:t>Amendment</w:t>
      </w:r>
      <w:r>
        <w:rPr>
          <w:rFonts w:ascii="Garamond" w:hAnsi="Garamond" w:cs="Garamond"/>
          <w:spacing w:val="-10"/>
        </w:rPr>
        <w:t xml:space="preserve"> </w:t>
      </w:r>
      <w:r>
        <w:rPr>
          <w:rFonts w:ascii="Garamond" w:hAnsi="Garamond" w:cs="Garamond"/>
        </w:rPr>
        <w:t>and</w:t>
      </w:r>
      <w:r>
        <w:rPr>
          <w:rFonts w:ascii="Garamond" w:hAnsi="Garamond" w:cs="Garamond"/>
          <w:spacing w:val="-14"/>
        </w:rPr>
        <w:t xml:space="preserve"> </w:t>
      </w:r>
      <w:r>
        <w:rPr>
          <w:rFonts w:ascii="Garamond" w:hAnsi="Garamond" w:cs="Garamond"/>
        </w:rPr>
        <w:t>Extension</w:t>
      </w:r>
      <w:r>
        <w:rPr>
          <w:rFonts w:ascii="Garamond" w:hAnsi="Garamond" w:cs="Garamond"/>
          <w:spacing w:val="-14"/>
        </w:rPr>
        <w:t xml:space="preserve"> </w:t>
      </w:r>
      <w:r>
        <w:rPr>
          <w:rFonts w:ascii="Garamond" w:hAnsi="Garamond" w:cs="Garamond"/>
        </w:rPr>
        <w:t>Request</w:t>
      </w:r>
      <w:r>
        <w:rPr>
          <w:rFonts w:ascii="Garamond" w:hAnsi="Garamond" w:cs="Garamond"/>
          <w:spacing w:val="-12"/>
        </w:rPr>
        <w:t xml:space="preserve"> </w:t>
      </w:r>
      <w:r>
        <w:rPr>
          <w:rFonts w:ascii="Garamond" w:hAnsi="Garamond" w:cs="Garamond"/>
        </w:rPr>
        <w:t>(“Waiver</w:t>
      </w:r>
      <w:r>
        <w:rPr>
          <w:rFonts w:ascii="Garamond" w:hAnsi="Garamond" w:cs="Garamond"/>
          <w:spacing w:val="-13"/>
        </w:rPr>
        <w:t xml:space="preserve"> </w:t>
      </w:r>
      <w:r>
        <w:rPr>
          <w:rFonts w:ascii="Garamond" w:hAnsi="Garamond" w:cs="Garamond"/>
        </w:rPr>
        <w:t>Request”).</w:t>
      </w:r>
      <w:r>
        <w:rPr>
          <w:rFonts w:ascii="Garamond" w:hAnsi="Garamond" w:cs="Garamond"/>
          <w:spacing w:val="-16"/>
        </w:rPr>
        <w:t xml:space="preserve"> </w:t>
      </w:r>
      <w:r>
        <w:rPr>
          <w:rFonts w:ascii="Garamond" w:hAnsi="Garamond" w:cs="Garamond"/>
        </w:rPr>
        <w:t>Through</w:t>
      </w:r>
      <w:r>
        <w:rPr>
          <w:rFonts w:ascii="Garamond" w:hAnsi="Garamond" w:cs="Garamond"/>
          <w:spacing w:val="-12"/>
        </w:rPr>
        <w:t xml:space="preserve"> </w:t>
      </w:r>
      <w:r>
        <w:rPr>
          <w:rFonts w:ascii="Garamond" w:hAnsi="Garamond" w:cs="Garamond"/>
        </w:rPr>
        <w:t xml:space="preserve">this Waiver Request, MassHealth has an </w:t>
      </w:r>
      <w:r>
        <w:rPr>
          <w:rFonts w:ascii="Garamond" w:hAnsi="Garamond" w:cs="Garamond"/>
          <w:spacing w:val="-3"/>
        </w:rPr>
        <w:t xml:space="preserve">opportunity </w:t>
      </w:r>
      <w:r>
        <w:rPr>
          <w:rFonts w:ascii="Garamond" w:hAnsi="Garamond" w:cs="Garamond"/>
        </w:rPr>
        <w:t xml:space="preserve">to </w:t>
      </w:r>
      <w:r>
        <w:rPr>
          <w:rFonts w:ascii="Garamond" w:hAnsi="Garamond" w:cs="Garamond"/>
          <w:spacing w:val="-3"/>
        </w:rPr>
        <w:t xml:space="preserve">promote </w:t>
      </w:r>
      <w:r>
        <w:rPr>
          <w:rFonts w:ascii="Garamond" w:hAnsi="Garamond" w:cs="Garamond"/>
        </w:rPr>
        <w:t xml:space="preserve">approaches to payment reform that fundamentally transform the way care is delivered through accountable care organizations (ACOs). </w:t>
      </w:r>
      <w:r>
        <w:rPr>
          <w:rFonts w:ascii="Garamond" w:hAnsi="Garamond" w:cs="Garamond"/>
          <w:spacing w:val="-3"/>
        </w:rPr>
        <w:t xml:space="preserve">ACOs </w:t>
      </w:r>
      <w:r>
        <w:rPr>
          <w:rFonts w:ascii="Garamond" w:hAnsi="Garamond" w:cs="Garamond"/>
        </w:rPr>
        <w:t xml:space="preserve">should deliver high quality, high value care that treats the individual as a whole </w:t>
      </w:r>
      <w:r>
        <w:rPr>
          <w:rFonts w:ascii="Garamond" w:hAnsi="Garamond" w:cs="Garamond"/>
          <w:spacing w:val="-3"/>
        </w:rPr>
        <w:t xml:space="preserve">person </w:t>
      </w:r>
      <w:r>
        <w:rPr>
          <w:rFonts w:ascii="Garamond" w:hAnsi="Garamond" w:cs="Garamond"/>
        </w:rPr>
        <w:t xml:space="preserve">and ensures coordination of care, improved communication, member support and empowerment, and ready access to health care providers, services and community-based </w:t>
      </w:r>
      <w:r>
        <w:rPr>
          <w:rFonts w:ascii="Garamond" w:hAnsi="Garamond" w:cs="Garamond"/>
          <w:spacing w:val="-3"/>
        </w:rPr>
        <w:t xml:space="preserve">resources </w:t>
      </w:r>
      <w:r>
        <w:rPr>
          <w:rFonts w:ascii="Garamond" w:hAnsi="Garamond" w:cs="Garamond"/>
        </w:rPr>
        <w:t xml:space="preserve">and supports. In our view, success of this effort will be measured by the extent to which member experience, quality of care </w:t>
      </w:r>
      <w:r>
        <w:rPr>
          <w:rFonts w:ascii="Garamond" w:hAnsi="Garamond" w:cs="Garamond"/>
          <w:spacing w:val="-3"/>
        </w:rPr>
        <w:t xml:space="preserve">and </w:t>
      </w:r>
      <w:r>
        <w:rPr>
          <w:rFonts w:ascii="Garamond" w:hAnsi="Garamond" w:cs="Garamond"/>
        </w:rPr>
        <w:t xml:space="preserve">health outcomes are improved. We offer the following </w:t>
      </w:r>
      <w:r>
        <w:rPr>
          <w:rFonts w:ascii="Garamond" w:hAnsi="Garamond" w:cs="Garamond"/>
          <w:spacing w:val="-3"/>
        </w:rPr>
        <w:t xml:space="preserve">comments </w:t>
      </w:r>
      <w:r>
        <w:rPr>
          <w:rFonts w:ascii="Garamond" w:hAnsi="Garamond" w:cs="Garamond"/>
        </w:rPr>
        <w:t>and recommendations in response to the Waiver Request released</w:t>
      </w:r>
      <w:r>
        <w:rPr>
          <w:rFonts w:ascii="Garamond" w:hAnsi="Garamond" w:cs="Garamond"/>
          <w:spacing w:val="-8"/>
        </w:rPr>
        <w:t xml:space="preserve"> </w:t>
      </w:r>
      <w:r>
        <w:rPr>
          <w:rFonts w:ascii="Garamond" w:hAnsi="Garamond" w:cs="Garamond"/>
        </w:rPr>
        <w:t>for</w:t>
      </w:r>
      <w:r>
        <w:rPr>
          <w:rFonts w:ascii="Garamond" w:hAnsi="Garamond" w:cs="Garamond"/>
          <w:spacing w:val="-7"/>
        </w:rPr>
        <w:t xml:space="preserve"> </w:t>
      </w:r>
      <w:r>
        <w:rPr>
          <w:rFonts w:ascii="Garamond" w:hAnsi="Garamond" w:cs="Garamond"/>
        </w:rPr>
        <w:t>public</w:t>
      </w:r>
      <w:r>
        <w:rPr>
          <w:rFonts w:ascii="Garamond" w:hAnsi="Garamond" w:cs="Garamond"/>
          <w:spacing w:val="-8"/>
        </w:rPr>
        <w:t xml:space="preserve"> </w:t>
      </w:r>
      <w:r>
        <w:rPr>
          <w:rFonts w:ascii="Garamond" w:hAnsi="Garamond" w:cs="Garamond"/>
        </w:rPr>
        <w:t>comment</w:t>
      </w:r>
      <w:r>
        <w:rPr>
          <w:rFonts w:ascii="Garamond" w:hAnsi="Garamond" w:cs="Garamond"/>
          <w:spacing w:val="-10"/>
        </w:rPr>
        <w:t xml:space="preserve"> </w:t>
      </w:r>
      <w:r>
        <w:rPr>
          <w:rFonts w:ascii="Garamond" w:hAnsi="Garamond" w:cs="Garamond"/>
        </w:rPr>
        <w:t>on</w:t>
      </w:r>
      <w:r>
        <w:rPr>
          <w:rFonts w:ascii="Garamond" w:hAnsi="Garamond" w:cs="Garamond"/>
          <w:spacing w:val="-8"/>
        </w:rPr>
        <w:t xml:space="preserve"> </w:t>
      </w:r>
      <w:r>
        <w:rPr>
          <w:rFonts w:ascii="Garamond" w:hAnsi="Garamond" w:cs="Garamond"/>
        </w:rPr>
        <w:t>June</w:t>
      </w:r>
      <w:r>
        <w:rPr>
          <w:rFonts w:ascii="Garamond" w:hAnsi="Garamond" w:cs="Garamond"/>
          <w:spacing w:val="-8"/>
        </w:rPr>
        <w:t xml:space="preserve"> </w:t>
      </w:r>
      <w:r>
        <w:rPr>
          <w:rFonts w:ascii="Garamond" w:hAnsi="Garamond" w:cs="Garamond"/>
        </w:rPr>
        <w:t>15,</w:t>
      </w:r>
      <w:r>
        <w:rPr>
          <w:rFonts w:ascii="Garamond" w:hAnsi="Garamond" w:cs="Garamond"/>
          <w:spacing w:val="-6"/>
        </w:rPr>
        <w:t xml:space="preserve"> </w:t>
      </w:r>
      <w:r>
        <w:rPr>
          <w:rFonts w:ascii="Garamond" w:hAnsi="Garamond" w:cs="Garamond"/>
        </w:rPr>
        <w:t>2016.</w:t>
      </w:r>
    </w:p>
    <w:p w:rsidR="002C5025" w:rsidRDefault="002C5025">
      <w:pPr>
        <w:pStyle w:val="BodyText"/>
        <w:kinsoku w:val="0"/>
        <w:overflowPunct w:val="0"/>
        <w:spacing w:before="7"/>
        <w:rPr>
          <w:rFonts w:ascii="Garamond" w:hAnsi="Garamond" w:cs="Garamond"/>
          <w:sz w:val="17"/>
          <w:szCs w:val="17"/>
        </w:rPr>
      </w:pPr>
    </w:p>
    <w:p w:rsidR="002C5025" w:rsidRDefault="002C5025">
      <w:pPr>
        <w:pStyle w:val="BodyText"/>
        <w:kinsoku w:val="0"/>
        <w:overflowPunct w:val="0"/>
        <w:ind w:left="1357" w:right="1274" w:firstLine="2"/>
        <w:rPr>
          <w:rFonts w:ascii="Garamond" w:hAnsi="Garamond" w:cs="Garamond"/>
        </w:rPr>
      </w:pPr>
      <w:r>
        <w:rPr>
          <w:rFonts w:ascii="Garamond" w:hAnsi="Garamond" w:cs="Garamond"/>
        </w:rPr>
        <w:t>While the Waiver Request outlines a framework for changes to MassHealth’s payment system and its delivery of care, implementation will be the true test for the success of the proposed redesign. The Waiver Request is just the start of a much longer implementation process, which will require close monitoring and input by members, stakeholders, and affected communities. We urge MassHealth to continue the open, collaborative process as implementation proceeds.</w:t>
      </w:r>
    </w:p>
    <w:p w:rsidR="002C5025" w:rsidRDefault="002C5025">
      <w:pPr>
        <w:pStyle w:val="BodyText"/>
        <w:kinsoku w:val="0"/>
        <w:overflowPunct w:val="0"/>
        <w:spacing w:before="3"/>
        <w:rPr>
          <w:rFonts w:ascii="Garamond" w:hAnsi="Garamond" w:cs="Garamond"/>
          <w:sz w:val="18"/>
          <w:szCs w:val="18"/>
        </w:rPr>
      </w:pPr>
    </w:p>
    <w:p w:rsidR="002C5025" w:rsidRDefault="002C5025">
      <w:pPr>
        <w:pStyle w:val="BodyText"/>
        <w:kinsoku w:val="0"/>
        <w:overflowPunct w:val="0"/>
        <w:spacing w:line="244" w:lineRule="exact"/>
        <w:ind w:left="1360" w:right="6097"/>
        <w:rPr>
          <w:rFonts w:ascii="Garamond" w:hAnsi="Garamond" w:cs="Garamond"/>
          <w:b/>
          <w:bCs/>
        </w:rPr>
      </w:pPr>
      <w:bookmarkStart w:id="147" w:name="Member_Protections"/>
      <w:bookmarkEnd w:id="147"/>
      <w:r>
        <w:rPr>
          <w:rFonts w:ascii="Garamond" w:hAnsi="Garamond" w:cs="Garamond"/>
          <w:b/>
          <w:bCs/>
          <w:u w:val="single"/>
        </w:rPr>
        <w:t>Member Protections</w:t>
      </w:r>
    </w:p>
    <w:p w:rsidR="002C5025" w:rsidRDefault="002C5025">
      <w:pPr>
        <w:pStyle w:val="BodyText"/>
        <w:kinsoku w:val="0"/>
        <w:overflowPunct w:val="0"/>
        <w:ind w:left="1358" w:right="1360" w:firstLine="1"/>
        <w:rPr>
          <w:rFonts w:ascii="Garamond" w:hAnsi="Garamond" w:cs="Garamond"/>
        </w:rPr>
      </w:pPr>
      <w:r>
        <w:rPr>
          <w:rFonts w:ascii="Garamond" w:hAnsi="Garamond" w:cs="Garamond"/>
        </w:rPr>
        <w:t xml:space="preserve">ACOs must be built upon a strong foundation of robust consumer protections that ensure MassHealth member rights are safeguarded and access to care is not impeded. As new models of care and payment </w:t>
      </w:r>
      <w:r>
        <w:rPr>
          <w:rFonts w:ascii="Garamond" w:hAnsi="Garamond" w:cs="Garamond"/>
          <w:spacing w:val="-2"/>
        </w:rPr>
        <w:t xml:space="preserve">are </w:t>
      </w:r>
      <w:r>
        <w:rPr>
          <w:rFonts w:ascii="Garamond" w:hAnsi="Garamond" w:cs="Garamond"/>
        </w:rPr>
        <w:t xml:space="preserve">developed and providers take on increased risk, reward, and responsibility, it is important that MassHealth ensures that the evolution </w:t>
      </w:r>
      <w:r>
        <w:rPr>
          <w:rFonts w:ascii="Garamond" w:hAnsi="Garamond" w:cs="Garamond"/>
          <w:spacing w:val="-3"/>
        </w:rPr>
        <w:t xml:space="preserve">and </w:t>
      </w:r>
      <w:r>
        <w:rPr>
          <w:rFonts w:ascii="Garamond" w:hAnsi="Garamond" w:cs="Garamond"/>
        </w:rPr>
        <w:t xml:space="preserve">application </w:t>
      </w:r>
      <w:r>
        <w:rPr>
          <w:rFonts w:ascii="Garamond" w:hAnsi="Garamond" w:cs="Garamond"/>
          <w:spacing w:val="-3"/>
        </w:rPr>
        <w:t xml:space="preserve">of </w:t>
      </w:r>
      <w:r>
        <w:rPr>
          <w:rFonts w:ascii="Garamond" w:hAnsi="Garamond" w:cs="Garamond"/>
        </w:rPr>
        <w:t>consumer protections keep pace. MassHealth should prioritize the</w:t>
      </w:r>
      <w:r>
        <w:rPr>
          <w:rFonts w:ascii="Garamond" w:hAnsi="Garamond" w:cs="Garamond"/>
          <w:spacing w:val="-7"/>
        </w:rPr>
        <w:t xml:space="preserve"> </w:t>
      </w:r>
      <w:r>
        <w:rPr>
          <w:rFonts w:ascii="Garamond" w:hAnsi="Garamond" w:cs="Garamond"/>
        </w:rPr>
        <w:t>inclusion</w:t>
      </w:r>
      <w:r>
        <w:rPr>
          <w:rFonts w:ascii="Garamond" w:hAnsi="Garamond" w:cs="Garamond"/>
          <w:spacing w:val="-6"/>
        </w:rPr>
        <w:t xml:space="preserve"> </w:t>
      </w:r>
      <w:r>
        <w:rPr>
          <w:rFonts w:ascii="Garamond" w:hAnsi="Garamond" w:cs="Garamond"/>
        </w:rPr>
        <w:t>of</w:t>
      </w:r>
      <w:r>
        <w:rPr>
          <w:rFonts w:ascii="Garamond" w:hAnsi="Garamond" w:cs="Garamond"/>
          <w:spacing w:val="-8"/>
        </w:rPr>
        <w:t xml:space="preserve"> </w:t>
      </w:r>
      <w:r>
        <w:rPr>
          <w:rFonts w:ascii="Garamond" w:hAnsi="Garamond" w:cs="Garamond"/>
        </w:rPr>
        <w:t>a</w:t>
      </w:r>
      <w:r>
        <w:rPr>
          <w:rFonts w:ascii="Garamond" w:hAnsi="Garamond" w:cs="Garamond"/>
          <w:spacing w:val="-7"/>
        </w:rPr>
        <w:t xml:space="preserve"> </w:t>
      </w:r>
      <w:r>
        <w:rPr>
          <w:rFonts w:ascii="Garamond" w:hAnsi="Garamond" w:cs="Garamond"/>
        </w:rPr>
        <w:t>broad</w:t>
      </w:r>
      <w:r>
        <w:rPr>
          <w:rFonts w:ascii="Garamond" w:hAnsi="Garamond" w:cs="Garamond"/>
          <w:spacing w:val="-6"/>
        </w:rPr>
        <w:t xml:space="preserve"> </w:t>
      </w:r>
      <w:r>
        <w:rPr>
          <w:rFonts w:ascii="Garamond" w:hAnsi="Garamond" w:cs="Garamond"/>
        </w:rPr>
        <w:t>array</w:t>
      </w:r>
      <w:r>
        <w:rPr>
          <w:rFonts w:ascii="Garamond" w:hAnsi="Garamond" w:cs="Garamond"/>
          <w:spacing w:val="-7"/>
        </w:rPr>
        <w:t xml:space="preserve"> </w:t>
      </w:r>
      <w:r>
        <w:rPr>
          <w:rFonts w:ascii="Garamond" w:hAnsi="Garamond" w:cs="Garamond"/>
        </w:rPr>
        <w:t>of</w:t>
      </w:r>
      <w:r>
        <w:rPr>
          <w:rFonts w:ascii="Garamond" w:hAnsi="Garamond" w:cs="Garamond"/>
          <w:spacing w:val="-6"/>
        </w:rPr>
        <w:t xml:space="preserve"> </w:t>
      </w:r>
      <w:r>
        <w:rPr>
          <w:rFonts w:ascii="Garamond" w:hAnsi="Garamond" w:cs="Garamond"/>
        </w:rPr>
        <w:t>consumer</w:t>
      </w:r>
      <w:r>
        <w:rPr>
          <w:rFonts w:ascii="Garamond" w:hAnsi="Garamond" w:cs="Garamond"/>
          <w:spacing w:val="-6"/>
        </w:rPr>
        <w:t xml:space="preserve"> </w:t>
      </w:r>
      <w:r>
        <w:rPr>
          <w:rFonts w:ascii="Garamond" w:hAnsi="Garamond" w:cs="Garamond"/>
        </w:rPr>
        <w:t>protections</w:t>
      </w:r>
      <w:r>
        <w:rPr>
          <w:rFonts w:ascii="Garamond" w:hAnsi="Garamond" w:cs="Garamond"/>
          <w:spacing w:val="-5"/>
        </w:rPr>
        <w:t xml:space="preserve"> </w:t>
      </w:r>
      <w:r>
        <w:rPr>
          <w:rFonts w:ascii="Garamond" w:hAnsi="Garamond" w:cs="Garamond"/>
        </w:rPr>
        <w:t>as</w:t>
      </w:r>
      <w:r>
        <w:rPr>
          <w:rFonts w:ascii="Garamond" w:hAnsi="Garamond" w:cs="Garamond"/>
          <w:spacing w:val="-10"/>
        </w:rPr>
        <w:t xml:space="preserve"> </w:t>
      </w:r>
      <w:r>
        <w:rPr>
          <w:rFonts w:ascii="Garamond" w:hAnsi="Garamond" w:cs="Garamond"/>
        </w:rPr>
        <w:t>outlined</w:t>
      </w:r>
      <w:r>
        <w:rPr>
          <w:rFonts w:ascii="Garamond" w:hAnsi="Garamond" w:cs="Garamond"/>
          <w:spacing w:val="-9"/>
        </w:rPr>
        <w:t xml:space="preserve"> </w:t>
      </w:r>
      <w:r>
        <w:rPr>
          <w:rFonts w:ascii="Garamond" w:hAnsi="Garamond" w:cs="Garamond"/>
        </w:rPr>
        <w:t>in</w:t>
      </w:r>
      <w:r>
        <w:rPr>
          <w:rFonts w:ascii="Garamond" w:hAnsi="Garamond" w:cs="Garamond"/>
          <w:spacing w:val="-9"/>
        </w:rPr>
        <w:t xml:space="preserve"> </w:t>
      </w:r>
      <w:r>
        <w:rPr>
          <w:rFonts w:ascii="Garamond" w:hAnsi="Garamond" w:cs="Garamond"/>
        </w:rPr>
        <w:t>this</w:t>
      </w:r>
      <w:r>
        <w:rPr>
          <w:rFonts w:ascii="Garamond" w:hAnsi="Garamond" w:cs="Garamond"/>
          <w:spacing w:val="-10"/>
        </w:rPr>
        <w:t xml:space="preserve"> </w:t>
      </w:r>
      <w:r>
        <w:rPr>
          <w:rFonts w:ascii="Garamond" w:hAnsi="Garamond" w:cs="Garamond"/>
        </w:rPr>
        <w:t>section,</w:t>
      </w:r>
      <w:r>
        <w:rPr>
          <w:rFonts w:ascii="Garamond" w:hAnsi="Garamond" w:cs="Garamond"/>
          <w:spacing w:val="-7"/>
        </w:rPr>
        <w:t xml:space="preserve"> </w:t>
      </w:r>
      <w:r>
        <w:rPr>
          <w:rFonts w:ascii="Garamond" w:hAnsi="Garamond" w:cs="Garamond"/>
        </w:rPr>
        <w:t>as</w:t>
      </w:r>
      <w:r>
        <w:rPr>
          <w:rFonts w:ascii="Garamond" w:hAnsi="Garamond" w:cs="Garamond"/>
          <w:spacing w:val="-8"/>
        </w:rPr>
        <w:t xml:space="preserve"> </w:t>
      </w:r>
      <w:r>
        <w:rPr>
          <w:rFonts w:ascii="Garamond" w:hAnsi="Garamond" w:cs="Garamond"/>
        </w:rPr>
        <w:t>well</w:t>
      </w:r>
      <w:r>
        <w:rPr>
          <w:rFonts w:ascii="Garamond" w:hAnsi="Garamond" w:cs="Garamond"/>
          <w:spacing w:val="-9"/>
        </w:rPr>
        <w:t xml:space="preserve"> </w:t>
      </w:r>
      <w:r>
        <w:rPr>
          <w:rFonts w:ascii="Garamond" w:hAnsi="Garamond" w:cs="Garamond"/>
        </w:rPr>
        <w:t>as</w:t>
      </w:r>
      <w:r>
        <w:rPr>
          <w:rFonts w:ascii="Garamond" w:hAnsi="Garamond" w:cs="Garamond"/>
          <w:spacing w:val="-5"/>
        </w:rPr>
        <w:t xml:space="preserve"> </w:t>
      </w:r>
      <w:r>
        <w:rPr>
          <w:rFonts w:ascii="Garamond" w:hAnsi="Garamond" w:cs="Garamond"/>
        </w:rPr>
        <w:t>areas</w:t>
      </w:r>
      <w:r>
        <w:rPr>
          <w:rFonts w:ascii="Garamond" w:hAnsi="Garamond" w:cs="Garamond"/>
          <w:spacing w:val="-5"/>
        </w:rPr>
        <w:t xml:space="preserve"> </w:t>
      </w:r>
      <w:r>
        <w:rPr>
          <w:rFonts w:ascii="Garamond" w:hAnsi="Garamond" w:cs="Garamond"/>
        </w:rPr>
        <w:t>discussed</w:t>
      </w:r>
      <w:r>
        <w:rPr>
          <w:rFonts w:ascii="Garamond" w:hAnsi="Garamond" w:cs="Garamond"/>
          <w:spacing w:val="-6"/>
        </w:rPr>
        <w:t xml:space="preserve"> </w:t>
      </w:r>
      <w:r>
        <w:rPr>
          <w:rFonts w:ascii="Garamond" w:hAnsi="Garamond" w:cs="Garamond"/>
          <w:spacing w:val="-3"/>
        </w:rPr>
        <w:t xml:space="preserve">in </w:t>
      </w:r>
      <w:r>
        <w:rPr>
          <w:rFonts w:ascii="Garamond" w:hAnsi="Garamond" w:cs="Garamond"/>
        </w:rPr>
        <w:t xml:space="preserve">other sections such as heightened quality reporting requirements, consumer-friendly </w:t>
      </w:r>
      <w:r>
        <w:rPr>
          <w:rFonts w:ascii="Garamond" w:hAnsi="Garamond" w:cs="Garamond"/>
          <w:spacing w:val="-3"/>
        </w:rPr>
        <w:t xml:space="preserve">notice </w:t>
      </w:r>
      <w:r>
        <w:rPr>
          <w:rFonts w:ascii="Garamond" w:hAnsi="Garamond" w:cs="Garamond"/>
        </w:rPr>
        <w:t xml:space="preserve">and transparency requirements, emphasis on member outreach </w:t>
      </w:r>
      <w:r>
        <w:rPr>
          <w:rFonts w:ascii="Garamond" w:hAnsi="Garamond" w:cs="Garamond"/>
          <w:spacing w:val="-3"/>
        </w:rPr>
        <w:t xml:space="preserve">and </w:t>
      </w:r>
      <w:r>
        <w:rPr>
          <w:rFonts w:ascii="Garamond" w:hAnsi="Garamond" w:cs="Garamond"/>
        </w:rPr>
        <w:t>education, payment design features, and adequate protections</w:t>
      </w:r>
      <w:r>
        <w:rPr>
          <w:rFonts w:ascii="Garamond" w:hAnsi="Garamond" w:cs="Garamond"/>
          <w:spacing w:val="-9"/>
        </w:rPr>
        <w:t xml:space="preserve"> </w:t>
      </w:r>
      <w:r>
        <w:rPr>
          <w:rFonts w:ascii="Garamond" w:hAnsi="Garamond" w:cs="Garamond"/>
          <w:spacing w:val="-3"/>
        </w:rPr>
        <w:t>concerning</w:t>
      </w:r>
      <w:r>
        <w:rPr>
          <w:rFonts w:ascii="Garamond" w:hAnsi="Garamond" w:cs="Garamond"/>
          <w:spacing w:val="-12"/>
        </w:rPr>
        <w:t xml:space="preserve"> </w:t>
      </w:r>
      <w:r>
        <w:rPr>
          <w:rFonts w:ascii="Garamond" w:hAnsi="Garamond" w:cs="Garamond"/>
        </w:rPr>
        <w:t>enrollment,</w:t>
      </w:r>
      <w:r>
        <w:rPr>
          <w:rFonts w:ascii="Garamond" w:hAnsi="Garamond" w:cs="Garamond"/>
          <w:spacing w:val="-11"/>
        </w:rPr>
        <w:t xml:space="preserve"> </w:t>
      </w:r>
      <w:r>
        <w:rPr>
          <w:rFonts w:ascii="Garamond" w:hAnsi="Garamond" w:cs="Garamond"/>
        </w:rPr>
        <w:t>attribution,</w:t>
      </w:r>
      <w:r>
        <w:rPr>
          <w:rFonts w:ascii="Garamond" w:hAnsi="Garamond" w:cs="Garamond"/>
          <w:spacing w:val="-12"/>
        </w:rPr>
        <w:t xml:space="preserve"> </w:t>
      </w:r>
      <w:r>
        <w:rPr>
          <w:rFonts w:ascii="Garamond" w:hAnsi="Garamond" w:cs="Garamond"/>
        </w:rPr>
        <w:t>and</w:t>
      </w:r>
      <w:r>
        <w:rPr>
          <w:rFonts w:ascii="Garamond" w:hAnsi="Garamond" w:cs="Garamond"/>
          <w:spacing w:val="-10"/>
        </w:rPr>
        <w:t xml:space="preserve"> </w:t>
      </w:r>
      <w:r>
        <w:rPr>
          <w:rFonts w:ascii="Garamond" w:hAnsi="Garamond" w:cs="Garamond"/>
        </w:rPr>
        <w:t>data</w:t>
      </w:r>
      <w:r>
        <w:rPr>
          <w:rFonts w:ascii="Garamond" w:hAnsi="Garamond" w:cs="Garamond"/>
          <w:spacing w:val="-15"/>
        </w:rPr>
        <w:t xml:space="preserve"> </w:t>
      </w:r>
      <w:r>
        <w:rPr>
          <w:rFonts w:ascii="Garamond" w:hAnsi="Garamond" w:cs="Garamond"/>
        </w:rPr>
        <w:t>sharing.</w:t>
      </w:r>
    </w:p>
    <w:p w:rsidR="002C5025" w:rsidRDefault="002C5025">
      <w:pPr>
        <w:pStyle w:val="BodyText"/>
        <w:kinsoku w:val="0"/>
        <w:overflowPunct w:val="0"/>
        <w:spacing w:before="2"/>
        <w:rPr>
          <w:rFonts w:ascii="Garamond" w:hAnsi="Garamond" w:cs="Garamond"/>
          <w:sz w:val="21"/>
          <w:szCs w:val="21"/>
        </w:rPr>
      </w:pPr>
    </w:p>
    <w:p w:rsidR="002C5025" w:rsidRDefault="002C5025">
      <w:pPr>
        <w:pStyle w:val="BodyText"/>
        <w:kinsoku w:val="0"/>
        <w:overflowPunct w:val="0"/>
        <w:spacing w:line="264" w:lineRule="exact"/>
        <w:ind w:left="1360" w:right="6097"/>
        <w:rPr>
          <w:rFonts w:ascii="Garamond" w:hAnsi="Garamond" w:cs="Garamond"/>
          <w:b/>
          <w:bCs/>
          <w:i/>
          <w:iCs/>
          <w:w w:val="90"/>
          <w:sz w:val="24"/>
          <w:szCs w:val="24"/>
        </w:rPr>
      </w:pPr>
      <w:bookmarkStart w:id="148" w:name="Appeals_and_grievances"/>
      <w:bookmarkEnd w:id="148"/>
      <w:r>
        <w:rPr>
          <w:rFonts w:ascii="Garamond" w:hAnsi="Garamond" w:cs="Garamond"/>
          <w:b/>
          <w:bCs/>
          <w:i/>
          <w:iCs/>
          <w:w w:val="90"/>
          <w:sz w:val="24"/>
          <w:szCs w:val="24"/>
        </w:rPr>
        <w:t>Appeals and grievances</w:t>
      </w:r>
    </w:p>
    <w:p w:rsidR="002C5025" w:rsidRDefault="002C5025">
      <w:pPr>
        <w:pStyle w:val="BodyText"/>
        <w:kinsoku w:val="0"/>
        <w:overflowPunct w:val="0"/>
        <w:ind w:left="1358" w:right="1408" w:firstLine="1"/>
        <w:rPr>
          <w:rFonts w:ascii="Garamond" w:hAnsi="Garamond" w:cs="Garamond"/>
        </w:rPr>
      </w:pPr>
      <w:r>
        <w:rPr>
          <w:rFonts w:ascii="Garamond" w:hAnsi="Garamond" w:cs="Garamond"/>
        </w:rPr>
        <w:t xml:space="preserve">Increased levels of risk for </w:t>
      </w:r>
      <w:r>
        <w:rPr>
          <w:rFonts w:ascii="Garamond" w:hAnsi="Garamond" w:cs="Garamond"/>
          <w:spacing w:val="-3"/>
        </w:rPr>
        <w:t xml:space="preserve">financial </w:t>
      </w:r>
      <w:r>
        <w:rPr>
          <w:rFonts w:ascii="Garamond" w:hAnsi="Garamond" w:cs="Garamond"/>
        </w:rPr>
        <w:t xml:space="preserve">losses coupled with greater influence </w:t>
      </w:r>
      <w:r>
        <w:rPr>
          <w:rFonts w:ascii="Garamond" w:hAnsi="Garamond" w:cs="Garamond"/>
          <w:spacing w:val="-3"/>
        </w:rPr>
        <w:t xml:space="preserve">over </w:t>
      </w:r>
      <w:r>
        <w:rPr>
          <w:rFonts w:ascii="Garamond" w:hAnsi="Garamond" w:cs="Garamond"/>
        </w:rPr>
        <w:t xml:space="preserve">utilization management shifts the balance of incentives for providers, increasing the potential for ACOs to stint on care. Because </w:t>
      </w:r>
      <w:r>
        <w:rPr>
          <w:rFonts w:ascii="Garamond" w:hAnsi="Garamond" w:cs="Garamond"/>
          <w:spacing w:val="-4"/>
        </w:rPr>
        <w:t xml:space="preserve">an </w:t>
      </w:r>
      <w:r>
        <w:rPr>
          <w:rFonts w:ascii="Garamond" w:hAnsi="Garamond" w:cs="Garamond"/>
        </w:rPr>
        <w:t xml:space="preserve">individual’s treating provider may have a direct financial relationship with the ACO, grievance and appeals processes should be robust, easily accessible, and designed to </w:t>
      </w:r>
      <w:r>
        <w:rPr>
          <w:rFonts w:ascii="Garamond" w:hAnsi="Garamond" w:cs="Garamond"/>
          <w:spacing w:val="-3"/>
        </w:rPr>
        <w:t xml:space="preserve">address </w:t>
      </w:r>
      <w:r>
        <w:rPr>
          <w:rFonts w:ascii="Garamond" w:hAnsi="Garamond" w:cs="Garamond"/>
        </w:rPr>
        <w:t>this unique context.</w:t>
      </w:r>
    </w:p>
    <w:p w:rsidR="002C5025" w:rsidRDefault="002C5025">
      <w:pPr>
        <w:pStyle w:val="BodyText"/>
        <w:kinsoku w:val="0"/>
        <w:overflowPunct w:val="0"/>
        <w:spacing w:before="10"/>
        <w:rPr>
          <w:rFonts w:ascii="Garamond" w:hAnsi="Garamond" w:cs="Garamond"/>
          <w:sz w:val="21"/>
          <w:szCs w:val="21"/>
        </w:rPr>
      </w:pPr>
    </w:p>
    <w:p w:rsidR="002C5025" w:rsidRDefault="002C5025">
      <w:pPr>
        <w:pStyle w:val="BodyText"/>
        <w:kinsoku w:val="0"/>
        <w:overflowPunct w:val="0"/>
        <w:ind w:left="1359" w:right="1305"/>
        <w:rPr>
          <w:rFonts w:ascii="Garamond" w:hAnsi="Garamond" w:cs="Garamond"/>
        </w:rPr>
      </w:pPr>
      <w:r>
        <w:rPr>
          <w:rFonts w:ascii="Garamond" w:hAnsi="Garamond" w:cs="Garamond"/>
        </w:rPr>
        <w:t xml:space="preserve">We support the </w:t>
      </w:r>
      <w:r>
        <w:rPr>
          <w:rFonts w:ascii="Garamond" w:hAnsi="Garamond" w:cs="Garamond"/>
          <w:spacing w:val="-2"/>
        </w:rPr>
        <w:t xml:space="preserve">Waiver </w:t>
      </w:r>
      <w:r>
        <w:rPr>
          <w:rFonts w:ascii="Garamond" w:hAnsi="Garamond" w:cs="Garamond"/>
        </w:rPr>
        <w:t xml:space="preserve">Request’s specification that MassHealth </w:t>
      </w:r>
      <w:r>
        <w:rPr>
          <w:rFonts w:ascii="Garamond" w:hAnsi="Garamond" w:cs="Garamond"/>
          <w:spacing w:val="-3"/>
        </w:rPr>
        <w:t xml:space="preserve">members </w:t>
      </w:r>
      <w:r>
        <w:rPr>
          <w:rFonts w:ascii="Garamond" w:hAnsi="Garamond" w:cs="Garamond"/>
        </w:rPr>
        <w:t xml:space="preserve">will continue to have access to all existing grievance and </w:t>
      </w:r>
      <w:r>
        <w:rPr>
          <w:rFonts w:ascii="Garamond" w:hAnsi="Garamond" w:cs="Garamond"/>
          <w:spacing w:val="-3"/>
        </w:rPr>
        <w:t xml:space="preserve">appeals processes </w:t>
      </w:r>
      <w:r>
        <w:rPr>
          <w:rFonts w:ascii="Garamond" w:hAnsi="Garamond" w:cs="Garamond"/>
        </w:rPr>
        <w:t xml:space="preserve">currently available, and that fixed </w:t>
      </w:r>
      <w:r>
        <w:rPr>
          <w:rFonts w:ascii="Garamond" w:hAnsi="Garamond" w:cs="Garamond"/>
          <w:spacing w:val="-3"/>
        </w:rPr>
        <w:t xml:space="preserve">enrollment </w:t>
      </w:r>
      <w:r>
        <w:rPr>
          <w:rFonts w:ascii="Garamond" w:hAnsi="Garamond" w:cs="Garamond"/>
        </w:rPr>
        <w:t xml:space="preserve">period determinations, if implemented, will be </w:t>
      </w:r>
      <w:r>
        <w:rPr>
          <w:rFonts w:ascii="Garamond" w:hAnsi="Garamond" w:cs="Garamond"/>
          <w:spacing w:val="-4"/>
        </w:rPr>
        <w:t xml:space="preserve">appealable </w:t>
      </w:r>
      <w:r>
        <w:rPr>
          <w:rFonts w:ascii="Garamond" w:hAnsi="Garamond" w:cs="Garamond"/>
        </w:rPr>
        <w:t>upon implementation (4-5, 29). With the development of new complicated</w:t>
      </w:r>
    </w:p>
    <w:p w:rsidR="002C5025" w:rsidRDefault="002C5025">
      <w:pPr>
        <w:pStyle w:val="BodyText"/>
        <w:kinsoku w:val="0"/>
        <w:overflowPunct w:val="0"/>
        <w:spacing w:before="2"/>
        <w:rPr>
          <w:rFonts w:ascii="Garamond" w:hAnsi="Garamond" w:cs="Garamond"/>
          <w:sz w:val="18"/>
          <w:szCs w:val="18"/>
        </w:rPr>
      </w:pPr>
    </w:p>
    <w:p w:rsidR="002C5025" w:rsidRDefault="002C5025">
      <w:pPr>
        <w:pStyle w:val="BodyText"/>
        <w:kinsoku w:val="0"/>
        <w:overflowPunct w:val="0"/>
        <w:spacing w:before="81"/>
        <w:ind w:left="142"/>
        <w:jc w:val="center"/>
        <w:rPr>
          <w:rFonts w:ascii="Garamond" w:hAnsi="Garamond" w:cs="Garamond"/>
          <w:w w:val="99"/>
          <w:sz w:val="20"/>
          <w:szCs w:val="20"/>
        </w:rPr>
      </w:pPr>
      <w:r>
        <w:rPr>
          <w:rFonts w:ascii="Garamond" w:hAnsi="Garamond" w:cs="Garamond"/>
          <w:w w:val="99"/>
          <w:sz w:val="20"/>
          <w:szCs w:val="20"/>
        </w:rPr>
        <w:t>1</w:t>
      </w:r>
    </w:p>
    <w:p w:rsidR="002C5025" w:rsidRDefault="002C5025">
      <w:pPr>
        <w:pStyle w:val="BodyText"/>
        <w:kinsoku w:val="0"/>
        <w:overflowPunct w:val="0"/>
        <w:spacing w:before="81"/>
        <w:ind w:left="142"/>
        <w:jc w:val="center"/>
        <w:rPr>
          <w:rFonts w:ascii="Garamond" w:hAnsi="Garamond" w:cs="Garamond"/>
          <w:w w:val="99"/>
          <w:sz w:val="20"/>
          <w:szCs w:val="20"/>
        </w:rPr>
        <w:sectPr w:rsidR="002C5025">
          <w:pgSz w:w="12240" w:h="15840"/>
          <w:pgMar w:top="280" w:right="220" w:bottom="280" w:left="80" w:header="720" w:footer="720" w:gutter="0"/>
          <w:cols w:space="720" w:equalWidth="0">
            <w:col w:w="11940"/>
          </w:cols>
          <w:noEndnote/>
        </w:sectPr>
      </w:pPr>
    </w:p>
    <w:p w:rsidR="002C5025" w:rsidRDefault="002C5025">
      <w:pPr>
        <w:pStyle w:val="BodyText"/>
        <w:kinsoku w:val="0"/>
        <w:overflowPunct w:val="0"/>
        <w:spacing w:before="60"/>
        <w:ind w:left="119" w:right="96"/>
        <w:rPr>
          <w:rFonts w:ascii="Garamond" w:hAnsi="Garamond" w:cs="Garamond"/>
        </w:rPr>
      </w:pPr>
      <w:r>
        <w:rPr>
          <w:rFonts w:ascii="Garamond" w:hAnsi="Garamond" w:cs="Garamond"/>
        </w:rPr>
        <w:lastRenderedPageBreak/>
        <w:t>ACO models and proposed enrollment lock-ins, it will be particularly critical for members to have timely access to appeals</w:t>
      </w:r>
      <w:r>
        <w:rPr>
          <w:rFonts w:ascii="Garamond" w:hAnsi="Garamond" w:cs="Garamond"/>
          <w:spacing w:val="-3"/>
        </w:rPr>
        <w:t xml:space="preserve"> and </w:t>
      </w:r>
      <w:r>
        <w:rPr>
          <w:rFonts w:ascii="Garamond" w:hAnsi="Garamond" w:cs="Garamond"/>
        </w:rPr>
        <w:t xml:space="preserve">grievance procedures to ensure </w:t>
      </w:r>
      <w:r>
        <w:rPr>
          <w:rFonts w:ascii="Garamond" w:hAnsi="Garamond" w:cs="Garamond"/>
          <w:spacing w:val="-3"/>
        </w:rPr>
        <w:t xml:space="preserve">that </w:t>
      </w:r>
      <w:r>
        <w:rPr>
          <w:rFonts w:ascii="Garamond" w:hAnsi="Garamond" w:cs="Garamond"/>
        </w:rPr>
        <w:t xml:space="preserve">members get the care they need </w:t>
      </w:r>
      <w:r>
        <w:rPr>
          <w:rFonts w:ascii="Garamond" w:hAnsi="Garamond" w:cs="Garamond"/>
          <w:spacing w:val="-3"/>
        </w:rPr>
        <w:t xml:space="preserve">and </w:t>
      </w:r>
      <w:r>
        <w:rPr>
          <w:rFonts w:ascii="Garamond" w:hAnsi="Garamond" w:cs="Garamond"/>
        </w:rPr>
        <w:t xml:space="preserve">that </w:t>
      </w:r>
      <w:r>
        <w:rPr>
          <w:rFonts w:ascii="Garamond" w:hAnsi="Garamond" w:cs="Garamond"/>
          <w:spacing w:val="-3"/>
        </w:rPr>
        <w:t xml:space="preserve">ongoing </w:t>
      </w:r>
      <w:r>
        <w:rPr>
          <w:rFonts w:ascii="Garamond" w:hAnsi="Garamond" w:cs="Garamond"/>
        </w:rPr>
        <w:t>care is not interrupted.</w:t>
      </w:r>
    </w:p>
    <w:p w:rsidR="002C5025" w:rsidRDefault="002C5025">
      <w:pPr>
        <w:pStyle w:val="BodyText"/>
        <w:kinsoku w:val="0"/>
        <w:overflowPunct w:val="0"/>
        <w:spacing w:before="1"/>
        <w:rPr>
          <w:rFonts w:ascii="Garamond" w:hAnsi="Garamond" w:cs="Garamond"/>
        </w:rPr>
      </w:pPr>
    </w:p>
    <w:p w:rsidR="002C5025" w:rsidRDefault="002C5025">
      <w:pPr>
        <w:pStyle w:val="BodyText"/>
        <w:kinsoku w:val="0"/>
        <w:overflowPunct w:val="0"/>
        <w:spacing w:before="1"/>
        <w:ind w:left="118" w:right="172"/>
        <w:rPr>
          <w:rFonts w:ascii="Garamond" w:hAnsi="Garamond" w:cs="Garamond"/>
        </w:rPr>
      </w:pPr>
      <w:r>
        <w:rPr>
          <w:rFonts w:ascii="Garamond" w:hAnsi="Garamond" w:cs="Garamond"/>
        </w:rPr>
        <w:t xml:space="preserve">We also strongly support that the Waiver Request states that members in ACO models will have access to ACO-specific grievance processes (4-5). However, we </w:t>
      </w:r>
      <w:r>
        <w:rPr>
          <w:rFonts w:ascii="Garamond" w:hAnsi="Garamond" w:cs="Garamond"/>
          <w:spacing w:val="-3"/>
        </w:rPr>
        <w:t xml:space="preserve">seek </w:t>
      </w:r>
      <w:r>
        <w:rPr>
          <w:rFonts w:ascii="Garamond" w:hAnsi="Garamond" w:cs="Garamond"/>
        </w:rPr>
        <w:t xml:space="preserve">additional information, as the reference to ACO- specific grievance </w:t>
      </w:r>
      <w:r>
        <w:rPr>
          <w:rFonts w:ascii="Garamond" w:hAnsi="Garamond" w:cs="Garamond"/>
          <w:spacing w:val="-3"/>
        </w:rPr>
        <w:t xml:space="preserve">processes </w:t>
      </w:r>
      <w:r>
        <w:rPr>
          <w:rFonts w:ascii="Garamond" w:hAnsi="Garamond" w:cs="Garamond"/>
        </w:rPr>
        <w:t xml:space="preserve">only appears in the Executive Summary and is not </w:t>
      </w:r>
      <w:r>
        <w:rPr>
          <w:rFonts w:ascii="Garamond" w:hAnsi="Garamond" w:cs="Garamond"/>
          <w:spacing w:val="-4"/>
        </w:rPr>
        <w:t xml:space="preserve">included </w:t>
      </w:r>
      <w:r>
        <w:rPr>
          <w:rFonts w:ascii="Garamond" w:hAnsi="Garamond" w:cs="Garamond"/>
        </w:rPr>
        <w:t>in section 4.1.8 on “Member Rights and Protections.”</w:t>
      </w:r>
    </w:p>
    <w:p w:rsidR="002C5025" w:rsidRDefault="002C5025">
      <w:pPr>
        <w:pStyle w:val="BodyText"/>
        <w:kinsoku w:val="0"/>
        <w:overflowPunct w:val="0"/>
        <w:spacing w:before="10"/>
        <w:rPr>
          <w:rFonts w:ascii="Garamond" w:hAnsi="Garamond" w:cs="Garamond"/>
          <w:sz w:val="21"/>
          <w:szCs w:val="21"/>
        </w:rPr>
      </w:pPr>
    </w:p>
    <w:p w:rsidR="002C5025" w:rsidRDefault="002C5025">
      <w:pPr>
        <w:pStyle w:val="BodyText"/>
        <w:kinsoku w:val="0"/>
        <w:overflowPunct w:val="0"/>
        <w:ind w:left="118" w:right="101" w:firstLine="1"/>
        <w:rPr>
          <w:rFonts w:ascii="Garamond" w:hAnsi="Garamond" w:cs="Garamond"/>
        </w:rPr>
      </w:pPr>
      <w:r>
        <w:rPr>
          <w:rFonts w:ascii="Garamond" w:hAnsi="Garamond" w:cs="Garamond"/>
        </w:rPr>
        <w:t xml:space="preserve">Under M.G.L. c. 176O, § 24, the Office of Patient Protection (OPP) must </w:t>
      </w:r>
      <w:r>
        <w:rPr>
          <w:rFonts w:ascii="Garamond" w:hAnsi="Garamond" w:cs="Garamond"/>
          <w:spacing w:val="-3"/>
        </w:rPr>
        <w:t xml:space="preserve">promulgate </w:t>
      </w:r>
      <w:r>
        <w:rPr>
          <w:rFonts w:ascii="Garamond" w:hAnsi="Garamond" w:cs="Garamond"/>
        </w:rPr>
        <w:t xml:space="preserve">regulations necessary for risk bearing provider organizations (RBPOs) to implement internal appeals and </w:t>
      </w:r>
      <w:r>
        <w:rPr>
          <w:rFonts w:ascii="Garamond" w:hAnsi="Garamond" w:cs="Garamond"/>
          <w:spacing w:val="-3"/>
        </w:rPr>
        <w:t xml:space="preserve">grievance </w:t>
      </w:r>
      <w:r>
        <w:rPr>
          <w:rFonts w:ascii="Garamond" w:hAnsi="Garamond" w:cs="Garamond"/>
        </w:rPr>
        <w:t xml:space="preserve">processes. In addition, OPP must establish an external review process for </w:t>
      </w:r>
      <w:r>
        <w:rPr>
          <w:rFonts w:ascii="Garamond" w:hAnsi="Garamond" w:cs="Garamond"/>
          <w:spacing w:val="-3"/>
        </w:rPr>
        <w:t xml:space="preserve">patients </w:t>
      </w:r>
      <w:r>
        <w:rPr>
          <w:rFonts w:ascii="Garamond" w:hAnsi="Garamond" w:cs="Garamond"/>
        </w:rPr>
        <w:t xml:space="preserve">of RBPOs. These provisions were included under </w:t>
      </w:r>
      <w:r>
        <w:rPr>
          <w:rFonts w:ascii="Garamond" w:hAnsi="Garamond" w:cs="Garamond"/>
          <w:spacing w:val="-3"/>
        </w:rPr>
        <w:t xml:space="preserve">Chapter </w:t>
      </w:r>
      <w:r>
        <w:rPr>
          <w:rFonts w:ascii="Garamond" w:hAnsi="Garamond" w:cs="Garamond"/>
        </w:rPr>
        <w:t xml:space="preserve">224 of the Acts of 2012 to directly protect against the </w:t>
      </w:r>
      <w:r>
        <w:rPr>
          <w:rFonts w:ascii="Garamond" w:hAnsi="Garamond" w:cs="Garamond"/>
          <w:spacing w:val="-3"/>
        </w:rPr>
        <w:t xml:space="preserve">potential </w:t>
      </w:r>
      <w:r>
        <w:rPr>
          <w:rFonts w:ascii="Garamond" w:hAnsi="Garamond" w:cs="Garamond"/>
        </w:rPr>
        <w:t xml:space="preserve">for </w:t>
      </w:r>
      <w:r>
        <w:rPr>
          <w:rFonts w:ascii="Garamond" w:hAnsi="Garamond" w:cs="Garamond"/>
          <w:spacing w:val="-3"/>
        </w:rPr>
        <w:t xml:space="preserve">providers </w:t>
      </w:r>
      <w:r>
        <w:rPr>
          <w:rFonts w:ascii="Garamond" w:hAnsi="Garamond" w:cs="Garamond"/>
        </w:rPr>
        <w:t xml:space="preserve">to stint on necessary care as they are taking on more financial risk, </w:t>
      </w:r>
      <w:r>
        <w:rPr>
          <w:rFonts w:ascii="Garamond" w:hAnsi="Garamond" w:cs="Garamond"/>
          <w:spacing w:val="-3"/>
        </w:rPr>
        <w:t xml:space="preserve">and </w:t>
      </w:r>
      <w:r>
        <w:rPr>
          <w:rFonts w:ascii="Garamond" w:hAnsi="Garamond" w:cs="Garamond"/>
        </w:rPr>
        <w:t xml:space="preserve">to allow consumers to formally voice concerns that may arise in the ACO context, such as denials or restrictions on referrals to </w:t>
      </w:r>
      <w:r>
        <w:rPr>
          <w:rFonts w:ascii="Garamond" w:hAnsi="Garamond" w:cs="Garamond"/>
          <w:spacing w:val="-3"/>
        </w:rPr>
        <w:t xml:space="preserve">providers not </w:t>
      </w:r>
      <w:r>
        <w:rPr>
          <w:rFonts w:ascii="Garamond" w:hAnsi="Garamond" w:cs="Garamond"/>
        </w:rPr>
        <w:t xml:space="preserve">affiliated with the </w:t>
      </w:r>
      <w:r>
        <w:rPr>
          <w:rFonts w:ascii="Garamond" w:hAnsi="Garamond" w:cs="Garamond"/>
          <w:spacing w:val="-3"/>
        </w:rPr>
        <w:t xml:space="preserve">ACO; </w:t>
      </w:r>
      <w:r>
        <w:rPr>
          <w:rFonts w:ascii="Garamond" w:hAnsi="Garamond" w:cs="Garamond"/>
        </w:rPr>
        <w:t xml:space="preserve">denials or restrictions on the type or intensity </w:t>
      </w:r>
      <w:r>
        <w:rPr>
          <w:rFonts w:ascii="Garamond" w:hAnsi="Garamond" w:cs="Garamond"/>
          <w:spacing w:val="-3"/>
        </w:rPr>
        <w:t xml:space="preserve">of </w:t>
      </w:r>
      <w:r>
        <w:rPr>
          <w:rFonts w:ascii="Garamond" w:hAnsi="Garamond" w:cs="Garamond"/>
        </w:rPr>
        <w:t xml:space="preserve">treatments or services; patient choices and preferences not reflected in the treatment plan; or insufficient, inadequate or omitted testing </w:t>
      </w:r>
      <w:r>
        <w:rPr>
          <w:rFonts w:ascii="Garamond" w:hAnsi="Garamond" w:cs="Garamond"/>
          <w:spacing w:val="-3"/>
        </w:rPr>
        <w:t xml:space="preserve">or </w:t>
      </w:r>
      <w:r>
        <w:rPr>
          <w:rFonts w:ascii="Garamond" w:hAnsi="Garamond" w:cs="Garamond"/>
        </w:rPr>
        <w:t xml:space="preserve">assessments. </w:t>
      </w:r>
      <w:r>
        <w:rPr>
          <w:rFonts w:ascii="Garamond" w:hAnsi="Garamond" w:cs="Garamond"/>
          <w:spacing w:val="-3"/>
        </w:rPr>
        <w:t xml:space="preserve">Providers who </w:t>
      </w:r>
      <w:r>
        <w:rPr>
          <w:rFonts w:ascii="Garamond" w:hAnsi="Garamond" w:cs="Garamond"/>
        </w:rPr>
        <w:t xml:space="preserve">stand to share in </w:t>
      </w:r>
      <w:r>
        <w:rPr>
          <w:rFonts w:ascii="Garamond" w:hAnsi="Garamond" w:cs="Garamond"/>
          <w:spacing w:val="-2"/>
        </w:rPr>
        <w:t xml:space="preserve">ACO </w:t>
      </w:r>
      <w:r>
        <w:rPr>
          <w:rFonts w:ascii="Garamond" w:hAnsi="Garamond" w:cs="Garamond"/>
        </w:rPr>
        <w:t xml:space="preserve">savings should be required to provide members with a description of all possible treatment options </w:t>
      </w:r>
      <w:r>
        <w:rPr>
          <w:rFonts w:ascii="Garamond" w:hAnsi="Garamond" w:cs="Garamond"/>
          <w:spacing w:val="-3"/>
        </w:rPr>
        <w:t xml:space="preserve">and </w:t>
      </w:r>
      <w:r>
        <w:rPr>
          <w:rFonts w:ascii="Garamond" w:hAnsi="Garamond" w:cs="Garamond"/>
        </w:rPr>
        <w:t xml:space="preserve">the provider’s basis for deciding on the recommended treatment. Members </w:t>
      </w:r>
      <w:r>
        <w:rPr>
          <w:rFonts w:ascii="Garamond" w:hAnsi="Garamond" w:cs="Garamond"/>
          <w:spacing w:val="-3"/>
        </w:rPr>
        <w:t xml:space="preserve">who </w:t>
      </w:r>
      <w:r>
        <w:rPr>
          <w:rFonts w:ascii="Garamond" w:hAnsi="Garamond" w:cs="Garamond"/>
          <w:spacing w:val="-2"/>
        </w:rPr>
        <w:t xml:space="preserve">are </w:t>
      </w:r>
      <w:r>
        <w:rPr>
          <w:rFonts w:ascii="Garamond" w:hAnsi="Garamond" w:cs="Garamond"/>
        </w:rPr>
        <w:t xml:space="preserve">concerned about a provider’s decision should have access to a process to seek a second </w:t>
      </w:r>
      <w:r>
        <w:rPr>
          <w:rFonts w:ascii="Garamond" w:hAnsi="Garamond" w:cs="Garamond"/>
          <w:spacing w:val="-3"/>
        </w:rPr>
        <w:t xml:space="preserve">opinion, </w:t>
      </w:r>
      <w:r>
        <w:rPr>
          <w:rFonts w:ascii="Garamond" w:hAnsi="Garamond" w:cs="Garamond"/>
        </w:rPr>
        <w:t>outside of the ACO network, that does not incur additional cost sharing.</w:t>
      </w:r>
    </w:p>
    <w:p w:rsidR="002C5025" w:rsidRDefault="002C5025">
      <w:pPr>
        <w:pStyle w:val="BodyText"/>
        <w:kinsoku w:val="0"/>
        <w:overflowPunct w:val="0"/>
        <w:spacing w:before="9"/>
        <w:rPr>
          <w:rFonts w:ascii="Garamond" w:hAnsi="Garamond" w:cs="Garamond"/>
          <w:sz w:val="21"/>
          <w:szCs w:val="21"/>
        </w:rPr>
      </w:pPr>
    </w:p>
    <w:p w:rsidR="002C5025" w:rsidRDefault="002C5025">
      <w:pPr>
        <w:pStyle w:val="BodyText"/>
        <w:kinsoku w:val="0"/>
        <w:overflowPunct w:val="0"/>
        <w:ind w:left="119" w:right="42"/>
        <w:rPr>
          <w:rFonts w:ascii="Garamond" w:hAnsi="Garamond" w:cs="Garamond"/>
        </w:rPr>
      </w:pPr>
      <w:r>
        <w:rPr>
          <w:rFonts w:ascii="Garamond" w:hAnsi="Garamond" w:cs="Garamond"/>
        </w:rPr>
        <w:t xml:space="preserve">The Waiver Request states that all MassHealth </w:t>
      </w:r>
      <w:r>
        <w:rPr>
          <w:rFonts w:ascii="Garamond" w:hAnsi="Garamond" w:cs="Garamond"/>
          <w:spacing w:val="-3"/>
        </w:rPr>
        <w:t xml:space="preserve">ACOs, </w:t>
      </w:r>
      <w:r>
        <w:rPr>
          <w:rFonts w:ascii="Garamond" w:hAnsi="Garamond" w:cs="Garamond"/>
        </w:rPr>
        <w:t xml:space="preserve">with the exception of those in the pilot, must meet the Massachusetts Health Policy Commission’s (HPC) ACO certification requirements. These requirements include as a prerequisite to certification that an ACO “is in compliance with the HPC’s Office of Patient Protection guidance regarding an appeals process to review and </w:t>
      </w:r>
      <w:r>
        <w:rPr>
          <w:rFonts w:ascii="Garamond" w:hAnsi="Garamond" w:cs="Garamond"/>
          <w:spacing w:val="-3"/>
        </w:rPr>
        <w:t xml:space="preserve">address </w:t>
      </w:r>
      <w:r>
        <w:rPr>
          <w:rFonts w:ascii="Garamond" w:hAnsi="Garamond" w:cs="Garamond"/>
        </w:rPr>
        <w:t xml:space="preserve">patient complaints and </w:t>
      </w:r>
      <w:r>
        <w:rPr>
          <w:rFonts w:ascii="Garamond" w:hAnsi="Garamond" w:cs="Garamond"/>
          <w:spacing w:val="-3"/>
        </w:rPr>
        <w:t xml:space="preserve">provide </w:t>
      </w:r>
      <w:r>
        <w:rPr>
          <w:rFonts w:ascii="Garamond" w:hAnsi="Garamond" w:cs="Garamond"/>
        </w:rPr>
        <w:t>notice to patients.”</w:t>
      </w:r>
      <w:r>
        <w:rPr>
          <w:rFonts w:ascii="Garamond" w:hAnsi="Garamond" w:cs="Garamond"/>
          <w:position w:val="5"/>
          <w:sz w:val="14"/>
          <w:szCs w:val="14"/>
        </w:rPr>
        <w:t xml:space="preserve">1 </w:t>
      </w:r>
      <w:r>
        <w:rPr>
          <w:rFonts w:ascii="Garamond" w:hAnsi="Garamond" w:cs="Garamond"/>
        </w:rPr>
        <w:t xml:space="preserve">The </w:t>
      </w:r>
      <w:r>
        <w:rPr>
          <w:rFonts w:ascii="Garamond" w:hAnsi="Garamond" w:cs="Garamond"/>
          <w:spacing w:val="-3"/>
        </w:rPr>
        <w:t xml:space="preserve">OPP </w:t>
      </w:r>
      <w:r>
        <w:rPr>
          <w:rFonts w:ascii="Garamond" w:hAnsi="Garamond" w:cs="Garamond"/>
        </w:rPr>
        <w:t xml:space="preserve">approved Interim </w:t>
      </w:r>
      <w:r>
        <w:rPr>
          <w:rFonts w:ascii="Garamond" w:hAnsi="Garamond" w:cs="Garamond"/>
          <w:spacing w:val="-3"/>
        </w:rPr>
        <w:t xml:space="preserve">Guidance </w:t>
      </w:r>
      <w:r>
        <w:rPr>
          <w:rFonts w:ascii="Garamond" w:hAnsi="Garamond" w:cs="Garamond"/>
        </w:rPr>
        <w:t xml:space="preserve">on establishing appeals processes for patients of RBPOs on May 6, 2016, including a sample </w:t>
      </w:r>
      <w:r>
        <w:rPr>
          <w:rFonts w:ascii="Garamond" w:hAnsi="Garamond" w:cs="Garamond"/>
          <w:spacing w:val="-3"/>
        </w:rPr>
        <w:t>notice.</w:t>
      </w:r>
      <w:r>
        <w:rPr>
          <w:rFonts w:ascii="Garamond" w:hAnsi="Garamond" w:cs="Garamond"/>
          <w:spacing w:val="-3"/>
          <w:position w:val="5"/>
          <w:sz w:val="14"/>
          <w:szCs w:val="14"/>
        </w:rPr>
        <w:t xml:space="preserve">2,3 </w:t>
      </w:r>
      <w:r>
        <w:rPr>
          <w:rFonts w:ascii="Garamond" w:hAnsi="Garamond" w:cs="Garamond"/>
        </w:rPr>
        <w:t xml:space="preserve">We strongly urge MassHealth to specify in the </w:t>
      </w:r>
      <w:r>
        <w:rPr>
          <w:rFonts w:ascii="Garamond" w:hAnsi="Garamond" w:cs="Garamond"/>
          <w:spacing w:val="-2"/>
        </w:rPr>
        <w:t xml:space="preserve">Waiver </w:t>
      </w:r>
      <w:r>
        <w:rPr>
          <w:rFonts w:ascii="Garamond" w:hAnsi="Garamond" w:cs="Garamond"/>
        </w:rPr>
        <w:t xml:space="preserve">Request that all ACO </w:t>
      </w:r>
      <w:r>
        <w:rPr>
          <w:rFonts w:ascii="Garamond" w:hAnsi="Garamond" w:cs="Garamond"/>
          <w:spacing w:val="-3"/>
        </w:rPr>
        <w:t xml:space="preserve">models </w:t>
      </w:r>
      <w:r>
        <w:rPr>
          <w:rFonts w:ascii="Garamond" w:hAnsi="Garamond" w:cs="Garamond"/>
        </w:rPr>
        <w:t>comply with this Interim Guidance and subsequent final regulations for internal</w:t>
      </w:r>
    </w:p>
    <w:p w:rsidR="002C5025" w:rsidRDefault="002C5025">
      <w:pPr>
        <w:pStyle w:val="BodyText"/>
        <w:kinsoku w:val="0"/>
        <w:overflowPunct w:val="0"/>
        <w:ind w:left="117" w:right="295" w:firstLine="1"/>
        <w:rPr>
          <w:rFonts w:ascii="Garamond" w:hAnsi="Garamond" w:cs="Garamond"/>
        </w:rPr>
      </w:pPr>
      <w:r>
        <w:rPr>
          <w:rFonts w:ascii="Garamond" w:hAnsi="Garamond" w:cs="Garamond"/>
        </w:rPr>
        <w:t>and external appeals once promulgated. Alternatively, at a minimum, MassHealth should establish an equivalent, parallel process for all ACO models and provide details of how that process will function to ensure the same level of consumer protections as the procedures established through OPP. In addition, ACOs</w:t>
      </w:r>
      <w:r>
        <w:rPr>
          <w:rFonts w:ascii="Garamond" w:hAnsi="Garamond" w:cs="Garamond"/>
          <w:spacing w:val="-8"/>
        </w:rPr>
        <w:t xml:space="preserve"> </w:t>
      </w:r>
      <w:r>
        <w:rPr>
          <w:rFonts w:ascii="Garamond" w:hAnsi="Garamond" w:cs="Garamond"/>
        </w:rPr>
        <w:t>should</w:t>
      </w:r>
      <w:r>
        <w:rPr>
          <w:rFonts w:ascii="Garamond" w:hAnsi="Garamond" w:cs="Garamond"/>
          <w:spacing w:val="-6"/>
        </w:rPr>
        <w:t xml:space="preserve"> </w:t>
      </w:r>
      <w:r>
        <w:rPr>
          <w:rFonts w:ascii="Garamond" w:hAnsi="Garamond" w:cs="Garamond"/>
        </w:rPr>
        <w:t>be</w:t>
      </w:r>
      <w:r>
        <w:rPr>
          <w:rFonts w:ascii="Garamond" w:hAnsi="Garamond" w:cs="Garamond"/>
          <w:spacing w:val="-11"/>
        </w:rPr>
        <w:t xml:space="preserve"> </w:t>
      </w:r>
      <w:r>
        <w:rPr>
          <w:rFonts w:ascii="Garamond" w:hAnsi="Garamond" w:cs="Garamond"/>
        </w:rPr>
        <w:t>required</w:t>
      </w:r>
      <w:r>
        <w:rPr>
          <w:rFonts w:ascii="Garamond" w:hAnsi="Garamond" w:cs="Garamond"/>
          <w:spacing w:val="-10"/>
        </w:rPr>
        <w:t xml:space="preserve"> </w:t>
      </w:r>
      <w:r>
        <w:rPr>
          <w:rFonts w:ascii="Garamond" w:hAnsi="Garamond" w:cs="Garamond"/>
        </w:rPr>
        <w:t>to</w:t>
      </w:r>
      <w:r>
        <w:rPr>
          <w:rFonts w:ascii="Garamond" w:hAnsi="Garamond" w:cs="Garamond"/>
          <w:spacing w:val="-12"/>
        </w:rPr>
        <w:t xml:space="preserve"> </w:t>
      </w:r>
      <w:r>
        <w:rPr>
          <w:rFonts w:ascii="Garamond" w:hAnsi="Garamond" w:cs="Garamond"/>
        </w:rPr>
        <w:t>report</w:t>
      </w:r>
      <w:r>
        <w:rPr>
          <w:rFonts w:ascii="Garamond" w:hAnsi="Garamond" w:cs="Garamond"/>
          <w:spacing w:val="-8"/>
        </w:rPr>
        <w:t xml:space="preserve"> </w:t>
      </w:r>
      <w:r>
        <w:rPr>
          <w:rFonts w:ascii="Garamond" w:hAnsi="Garamond" w:cs="Garamond"/>
        </w:rPr>
        <w:t>the</w:t>
      </w:r>
      <w:r>
        <w:rPr>
          <w:rFonts w:ascii="Garamond" w:hAnsi="Garamond" w:cs="Garamond"/>
          <w:spacing w:val="-9"/>
        </w:rPr>
        <w:t xml:space="preserve"> </w:t>
      </w:r>
      <w:r>
        <w:rPr>
          <w:rFonts w:ascii="Garamond" w:hAnsi="Garamond" w:cs="Garamond"/>
        </w:rPr>
        <w:t>number</w:t>
      </w:r>
      <w:r>
        <w:rPr>
          <w:rFonts w:ascii="Garamond" w:hAnsi="Garamond" w:cs="Garamond"/>
          <w:spacing w:val="-6"/>
        </w:rPr>
        <w:t xml:space="preserve"> </w:t>
      </w:r>
      <w:r>
        <w:rPr>
          <w:rFonts w:ascii="Garamond" w:hAnsi="Garamond" w:cs="Garamond"/>
        </w:rPr>
        <w:t>and</w:t>
      </w:r>
      <w:r>
        <w:rPr>
          <w:rFonts w:ascii="Garamond" w:hAnsi="Garamond" w:cs="Garamond"/>
          <w:spacing w:val="-10"/>
        </w:rPr>
        <w:t xml:space="preserve"> </w:t>
      </w:r>
      <w:r>
        <w:rPr>
          <w:rFonts w:ascii="Garamond" w:hAnsi="Garamond" w:cs="Garamond"/>
        </w:rPr>
        <w:t>types</w:t>
      </w:r>
      <w:r>
        <w:rPr>
          <w:rFonts w:ascii="Garamond" w:hAnsi="Garamond" w:cs="Garamond"/>
          <w:spacing w:val="-8"/>
        </w:rPr>
        <w:t xml:space="preserve"> </w:t>
      </w:r>
      <w:r>
        <w:rPr>
          <w:rFonts w:ascii="Garamond" w:hAnsi="Garamond" w:cs="Garamond"/>
        </w:rPr>
        <w:t>of</w:t>
      </w:r>
      <w:r>
        <w:rPr>
          <w:rFonts w:ascii="Garamond" w:hAnsi="Garamond" w:cs="Garamond"/>
          <w:spacing w:val="-8"/>
        </w:rPr>
        <w:t xml:space="preserve"> </w:t>
      </w:r>
      <w:r>
        <w:rPr>
          <w:rFonts w:ascii="Garamond" w:hAnsi="Garamond" w:cs="Garamond"/>
        </w:rPr>
        <w:t>internal</w:t>
      </w:r>
      <w:r>
        <w:rPr>
          <w:rFonts w:ascii="Garamond" w:hAnsi="Garamond" w:cs="Garamond"/>
          <w:spacing w:val="-9"/>
        </w:rPr>
        <w:t xml:space="preserve"> </w:t>
      </w:r>
      <w:r>
        <w:rPr>
          <w:rFonts w:ascii="Garamond" w:hAnsi="Garamond" w:cs="Garamond"/>
        </w:rPr>
        <w:t>and</w:t>
      </w:r>
      <w:r>
        <w:rPr>
          <w:rFonts w:ascii="Garamond" w:hAnsi="Garamond" w:cs="Garamond"/>
          <w:spacing w:val="-6"/>
        </w:rPr>
        <w:t xml:space="preserve"> </w:t>
      </w:r>
      <w:r>
        <w:rPr>
          <w:rFonts w:ascii="Garamond" w:hAnsi="Garamond" w:cs="Garamond"/>
        </w:rPr>
        <w:t>external</w:t>
      </w:r>
      <w:r>
        <w:rPr>
          <w:rFonts w:ascii="Garamond" w:hAnsi="Garamond" w:cs="Garamond"/>
          <w:spacing w:val="-9"/>
        </w:rPr>
        <w:t xml:space="preserve"> </w:t>
      </w:r>
      <w:r>
        <w:rPr>
          <w:rFonts w:ascii="Garamond" w:hAnsi="Garamond" w:cs="Garamond"/>
        </w:rPr>
        <w:t>grievances</w:t>
      </w:r>
      <w:r>
        <w:rPr>
          <w:rFonts w:ascii="Garamond" w:hAnsi="Garamond" w:cs="Garamond"/>
          <w:spacing w:val="-5"/>
        </w:rPr>
        <w:t xml:space="preserve"> </w:t>
      </w:r>
      <w:r>
        <w:rPr>
          <w:rFonts w:ascii="Garamond" w:hAnsi="Garamond" w:cs="Garamond"/>
        </w:rPr>
        <w:t>and</w:t>
      </w:r>
      <w:r>
        <w:rPr>
          <w:rFonts w:ascii="Garamond" w:hAnsi="Garamond" w:cs="Garamond"/>
          <w:spacing w:val="-6"/>
        </w:rPr>
        <w:t xml:space="preserve"> </w:t>
      </w:r>
      <w:r>
        <w:rPr>
          <w:rFonts w:ascii="Garamond" w:hAnsi="Garamond" w:cs="Garamond"/>
        </w:rPr>
        <w:t>appeals</w:t>
      </w:r>
      <w:r>
        <w:rPr>
          <w:rFonts w:ascii="Garamond" w:hAnsi="Garamond" w:cs="Garamond"/>
          <w:spacing w:val="-5"/>
        </w:rPr>
        <w:t xml:space="preserve"> </w:t>
      </w:r>
      <w:r>
        <w:rPr>
          <w:rFonts w:ascii="Garamond" w:hAnsi="Garamond" w:cs="Garamond"/>
        </w:rPr>
        <w:t xml:space="preserve">to the external </w:t>
      </w:r>
      <w:r>
        <w:rPr>
          <w:rFonts w:ascii="Garamond" w:hAnsi="Garamond" w:cs="Garamond"/>
          <w:spacing w:val="-3"/>
        </w:rPr>
        <w:t xml:space="preserve">ombudsperson </w:t>
      </w:r>
      <w:r>
        <w:rPr>
          <w:rFonts w:ascii="Garamond" w:hAnsi="Garamond" w:cs="Garamond"/>
        </w:rPr>
        <w:t xml:space="preserve">and to MassHealth in order to identify systemic issues, including patterns </w:t>
      </w:r>
      <w:r>
        <w:rPr>
          <w:rFonts w:ascii="Garamond" w:hAnsi="Garamond" w:cs="Garamond"/>
          <w:spacing w:val="-3"/>
        </w:rPr>
        <w:t xml:space="preserve">of </w:t>
      </w:r>
      <w:r>
        <w:rPr>
          <w:rFonts w:ascii="Garamond" w:hAnsi="Garamond" w:cs="Garamond"/>
        </w:rPr>
        <w:t>underservice</w:t>
      </w:r>
      <w:r>
        <w:rPr>
          <w:rFonts w:ascii="Garamond" w:hAnsi="Garamond" w:cs="Garamond"/>
          <w:spacing w:val="-23"/>
        </w:rPr>
        <w:t xml:space="preserve"> </w:t>
      </w:r>
      <w:r>
        <w:rPr>
          <w:rFonts w:ascii="Garamond" w:hAnsi="Garamond" w:cs="Garamond"/>
        </w:rPr>
        <w:t>or</w:t>
      </w:r>
      <w:r>
        <w:rPr>
          <w:rFonts w:ascii="Garamond" w:hAnsi="Garamond" w:cs="Garamond"/>
          <w:spacing w:val="-23"/>
        </w:rPr>
        <w:t xml:space="preserve"> </w:t>
      </w:r>
      <w:r>
        <w:rPr>
          <w:rFonts w:ascii="Garamond" w:hAnsi="Garamond" w:cs="Garamond"/>
        </w:rPr>
        <w:t>underutilization.</w:t>
      </w:r>
    </w:p>
    <w:p w:rsidR="002C5025" w:rsidRDefault="002C5025">
      <w:pPr>
        <w:pStyle w:val="BodyText"/>
        <w:kinsoku w:val="0"/>
        <w:overflowPunct w:val="0"/>
        <w:spacing w:before="4"/>
        <w:rPr>
          <w:rFonts w:ascii="Garamond" w:hAnsi="Garamond" w:cs="Garamond"/>
          <w:sz w:val="21"/>
          <w:szCs w:val="21"/>
        </w:rPr>
      </w:pPr>
    </w:p>
    <w:p w:rsidR="002C5025" w:rsidRDefault="002C5025">
      <w:pPr>
        <w:pStyle w:val="BodyText"/>
        <w:kinsoku w:val="0"/>
        <w:overflowPunct w:val="0"/>
        <w:spacing w:line="264" w:lineRule="exact"/>
        <w:ind w:left="120" w:right="443"/>
        <w:rPr>
          <w:rFonts w:ascii="Garamond" w:hAnsi="Garamond" w:cs="Garamond"/>
          <w:b/>
          <w:bCs/>
          <w:i/>
          <w:iCs/>
          <w:w w:val="90"/>
          <w:sz w:val="24"/>
          <w:szCs w:val="24"/>
        </w:rPr>
      </w:pPr>
      <w:bookmarkStart w:id="149" w:name="Monitoring_underutilization"/>
      <w:bookmarkEnd w:id="149"/>
      <w:r>
        <w:rPr>
          <w:rFonts w:ascii="Garamond" w:hAnsi="Garamond" w:cs="Garamond"/>
          <w:b/>
          <w:bCs/>
          <w:i/>
          <w:iCs/>
          <w:w w:val="90"/>
          <w:sz w:val="24"/>
          <w:szCs w:val="24"/>
        </w:rPr>
        <w:t>Monitoring underutilization</w:t>
      </w:r>
    </w:p>
    <w:p w:rsidR="002C5025" w:rsidRDefault="002C5025">
      <w:pPr>
        <w:pStyle w:val="BodyText"/>
        <w:kinsoku w:val="0"/>
        <w:overflowPunct w:val="0"/>
        <w:ind w:left="118" w:right="146" w:firstLine="1"/>
        <w:rPr>
          <w:rFonts w:ascii="Garamond" w:hAnsi="Garamond" w:cs="Garamond"/>
        </w:rPr>
      </w:pPr>
      <w:r>
        <w:rPr>
          <w:rFonts w:ascii="Garamond" w:hAnsi="Garamond" w:cs="Garamond"/>
        </w:rPr>
        <w:t xml:space="preserve">Another way to safeguard against potential incentives to deny or limit care, especially for members with </w:t>
      </w:r>
      <w:r>
        <w:rPr>
          <w:rFonts w:ascii="Garamond" w:hAnsi="Garamond" w:cs="Garamond"/>
          <w:spacing w:val="-3"/>
        </w:rPr>
        <w:t xml:space="preserve">high </w:t>
      </w:r>
      <w:r>
        <w:rPr>
          <w:rFonts w:ascii="Garamond" w:hAnsi="Garamond" w:cs="Garamond"/>
        </w:rPr>
        <w:t xml:space="preserve">risk factors or multiple health conditions, </w:t>
      </w:r>
      <w:r>
        <w:rPr>
          <w:rFonts w:ascii="Garamond" w:hAnsi="Garamond" w:cs="Garamond"/>
          <w:spacing w:val="-3"/>
        </w:rPr>
        <w:t xml:space="preserve">is </w:t>
      </w:r>
      <w:r>
        <w:rPr>
          <w:rFonts w:ascii="Garamond" w:hAnsi="Garamond" w:cs="Garamond"/>
        </w:rPr>
        <w:t xml:space="preserve">to track and monitor under-service and underutilization through both concurrent </w:t>
      </w:r>
      <w:r>
        <w:rPr>
          <w:rFonts w:ascii="Garamond" w:hAnsi="Garamond" w:cs="Garamond"/>
          <w:spacing w:val="-3"/>
        </w:rPr>
        <w:t xml:space="preserve">and </w:t>
      </w:r>
      <w:r>
        <w:rPr>
          <w:rFonts w:ascii="Garamond" w:hAnsi="Garamond" w:cs="Garamond"/>
        </w:rPr>
        <w:t xml:space="preserve">retrospective methodologies. Under-service refers to the systematic or repeated failure of a provider to offer medically necessary services in </w:t>
      </w:r>
      <w:r>
        <w:rPr>
          <w:rFonts w:ascii="Garamond" w:hAnsi="Garamond" w:cs="Garamond"/>
          <w:spacing w:val="-3"/>
        </w:rPr>
        <w:t xml:space="preserve">order </w:t>
      </w:r>
      <w:r>
        <w:rPr>
          <w:rFonts w:ascii="Garamond" w:hAnsi="Garamond" w:cs="Garamond"/>
        </w:rPr>
        <w:t xml:space="preserve">to maximize savings or </w:t>
      </w:r>
      <w:r>
        <w:rPr>
          <w:rFonts w:ascii="Garamond" w:hAnsi="Garamond" w:cs="Garamond"/>
          <w:spacing w:val="-3"/>
        </w:rPr>
        <w:t xml:space="preserve">avoid </w:t>
      </w:r>
      <w:r>
        <w:rPr>
          <w:rFonts w:ascii="Garamond" w:hAnsi="Garamond" w:cs="Garamond"/>
        </w:rPr>
        <w:t>financial losses associated with value-based payment arrangements.</w:t>
      </w:r>
      <w:r>
        <w:rPr>
          <w:rFonts w:ascii="Garamond" w:hAnsi="Garamond" w:cs="Garamond"/>
          <w:position w:val="5"/>
          <w:sz w:val="14"/>
          <w:szCs w:val="14"/>
        </w:rPr>
        <w:t xml:space="preserve">4 </w:t>
      </w:r>
      <w:r>
        <w:rPr>
          <w:rFonts w:ascii="Garamond" w:hAnsi="Garamond" w:cs="Garamond"/>
        </w:rPr>
        <w:t xml:space="preserve">Safeguards against underservice should be incorporated at a number of different levels, including </w:t>
      </w:r>
      <w:r>
        <w:rPr>
          <w:rFonts w:ascii="Garamond" w:hAnsi="Garamond" w:cs="Garamond"/>
          <w:spacing w:val="-3"/>
        </w:rPr>
        <w:t xml:space="preserve">payment </w:t>
      </w:r>
      <w:r>
        <w:rPr>
          <w:rFonts w:ascii="Garamond" w:hAnsi="Garamond" w:cs="Garamond"/>
        </w:rPr>
        <w:t xml:space="preserve">design features that impact </w:t>
      </w:r>
      <w:proofErr w:type="spellStart"/>
      <w:r>
        <w:rPr>
          <w:rFonts w:ascii="Garamond" w:hAnsi="Garamond" w:cs="Garamond"/>
        </w:rPr>
        <w:t>an</w:t>
      </w:r>
      <w:proofErr w:type="spellEnd"/>
      <w:r>
        <w:rPr>
          <w:rFonts w:ascii="Garamond" w:hAnsi="Garamond" w:cs="Garamond"/>
        </w:rPr>
        <w:t xml:space="preserve"> ACO’s or a provider’s</w:t>
      </w:r>
    </w:p>
    <w:p w:rsidR="002C5025" w:rsidRDefault="002C5025">
      <w:pPr>
        <w:pStyle w:val="BodyText"/>
        <w:kinsoku w:val="0"/>
        <w:overflowPunct w:val="0"/>
        <w:rPr>
          <w:rFonts w:ascii="Garamond" w:hAnsi="Garamond" w:cs="Garamond"/>
          <w:sz w:val="20"/>
          <w:szCs w:val="20"/>
        </w:rPr>
      </w:pPr>
    </w:p>
    <w:p w:rsidR="002C5025" w:rsidRDefault="002C5025">
      <w:pPr>
        <w:pStyle w:val="BodyText"/>
        <w:kinsoku w:val="0"/>
        <w:overflowPunct w:val="0"/>
        <w:rPr>
          <w:rFonts w:ascii="Garamond" w:hAnsi="Garamond" w:cs="Garamond"/>
          <w:sz w:val="20"/>
          <w:szCs w:val="20"/>
        </w:rPr>
      </w:pPr>
    </w:p>
    <w:p w:rsidR="002C5025" w:rsidRDefault="00FB027C">
      <w:pPr>
        <w:pStyle w:val="BodyText"/>
        <w:kinsoku w:val="0"/>
        <w:overflowPunct w:val="0"/>
        <w:spacing w:before="5"/>
        <w:rPr>
          <w:rFonts w:ascii="Garamond" w:hAnsi="Garamond" w:cs="Garamond"/>
          <w:sz w:val="13"/>
          <w:szCs w:val="13"/>
        </w:rPr>
      </w:pPr>
      <w:r>
        <w:rPr>
          <w:noProof/>
        </w:rPr>
        <mc:AlternateContent>
          <mc:Choice Requires="wps">
            <w:drawing>
              <wp:anchor distT="0" distB="0" distL="0" distR="0" simplePos="0" relativeHeight="251652608" behindDoc="0" locked="0" layoutInCell="0" allowOverlap="1">
                <wp:simplePos x="0" y="0"/>
                <wp:positionH relativeFrom="page">
                  <wp:posOffset>923925</wp:posOffset>
                </wp:positionH>
                <wp:positionV relativeFrom="paragraph">
                  <wp:posOffset>126365</wp:posOffset>
                </wp:positionV>
                <wp:extent cx="1829435" cy="12700"/>
                <wp:effectExtent l="0" t="0" r="0" b="0"/>
                <wp:wrapTopAndBottom/>
                <wp:docPr id="566" name="Freeform 4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1 w 2881"/>
                            <a:gd name="T3" fmla="*/ 0 h 20"/>
                          </a:gdLst>
                          <a:ahLst/>
                          <a:cxnLst>
                            <a:cxn ang="0">
                              <a:pos x="T0" y="T1"/>
                            </a:cxn>
                            <a:cxn ang="0">
                              <a:pos x="T2" y="T3"/>
                            </a:cxn>
                          </a:cxnLst>
                          <a:rect l="0" t="0" r="r" b="b"/>
                          <a:pathLst>
                            <a:path w="2881" h="20">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59" o:spid="_x0000_s1026" style="position:absolute;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2.75pt,9.95pt,216.8pt,9.95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" o:allowincell="f" filled="f" strokeweight=".82pt">
                <v:path arrowok="t" o:connecttype="custom" o:connectlocs="0,0;1829435,0" o:connectangles="0,0"/>
                <w10:wrap type="topAndBottom" anchorx="page"/>
              </v:polyline>
            </w:pict>
          </mc:Fallback>
        </mc:AlternateContent>
      </w:r>
    </w:p>
    <w:p w:rsidR="002C5025" w:rsidRDefault="002C5025">
      <w:pPr>
        <w:pStyle w:val="BodyText"/>
        <w:tabs>
          <w:tab w:val="left" w:pos="515"/>
        </w:tabs>
        <w:kinsoku w:val="0"/>
        <w:overflowPunct w:val="0"/>
        <w:spacing w:before="71"/>
        <w:ind w:left="120" w:right="2111"/>
        <w:rPr>
          <w:rFonts w:ascii="Garamond" w:hAnsi="Garamond" w:cs="Garamond"/>
          <w:color w:val="0000FF"/>
          <w:spacing w:val="-1"/>
          <w:w w:val="95"/>
          <w:sz w:val="20"/>
          <w:szCs w:val="20"/>
        </w:rPr>
      </w:pPr>
      <w:r>
        <w:rPr>
          <w:rFonts w:ascii="Garamond" w:hAnsi="Garamond" w:cs="Garamond"/>
          <w:position w:val="5"/>
          <w:sz w:val="13"/>
          <w:szCs w:val="13"/>
        </w:rPr>
        <w:t>1</w:t>
      </w:r>
      <w:r>
        <w:rPr>
          <w:rFonts w:ascii="Garamond" w:hAnsi="Garamond" w:cs="Garamond"/>
          <w:position w:val="5"/>
          <w:sz w:val="13"/>
          <w:szCs w:val="13"/>
        </w:rPr>
        <w:tab/>
      </w:r>
      <w:hyperlink r:id="rId311" w:history="1">
        <w:r>
          <w:rPr>
            <w:rFonts w:ascii="Garamond" w:hAnsi="Garamond" w:cs="Garamond"/>
            <w:color w:val="0000FF"/>
            <w:spacing w:val="-1"/>
            <w:w w:val="95"/>
            <w:sz w:val="20"/>
            <w:szCs w:val="20"/>
            <w:u w:val="single"/>
          </w:rPr>
          <w:t>http://www.mass.gov/anf/budget-taxes-and-procurement/oversight-agencies/health-policy-</w:t>
        </w:r>
      </w:hyperlink>
      <w:r>
        <w:rPr>
          <w:rFonts w:ascii="Garamond" w:hAnsi="Garamond" w:cs="Garamond"/>
          <w:color w:val="0000FF"/>
          <w:spacing w:val="-1"/>
          <w:w w:val="95"/>
          <w:sz w:val="20"/>
          <w:szCs w:val="20"/>
          <w:u w:val="single"/>
        </w:rPr>
        <w:t xml:space="preserve"> </w:t>
      </w:r>
      <w:hyperlink r:id="rId312" w:history="1">
        <w:r>
          <w:rPr>
            <w:rFonts w:ascii="Garamond" w:hAnsi="Garamond" w:cs="Garamond"/>
            <w:color w:val="0000FF"/>
            <w:sz w:val="20"/>
            <w:szCs w:val="20"/>
            <w:u w:val="single"/>
          </w:rPr>
          <w:t>commission/certification-programs/aco-certification-final-criteria-and-requirements.pdf</w:t>
        </w:r>
        <w:r>
          <w:rPr>
            <w:rFonts w:ascii="Garamond" w:hAnsi="Garamond" w:cs="Garamond"/>
            <w:color w:val="000000"/>
            <w:sz w:val="20"/>
            <w:szCs w:val="20"/>
            <w:u w:val="single"/>
          </w:rPr>
          <w:t>.</w:t>
        </w:r>
      </w:hyperlink>
    </w:p>
    <w:p w:rsidR="002C5025" w:rsidRDefault="002C5025">
      <w:pPr>
        <w:pStyle w:val="BodyText"/>
        <w:tabs>
          <w:tab w:val="left" w:pos="515"/>
        </w:tabs>
        <w:kinsoku w:val="0"/>
        <w:overflowPunct w:val="0"/>
        <w:ind w:left="120" w:right="2111"/>
        <w:rPr>
          <w:rFonts w:ascii="Garamond" w:hAnsi="Garamond" w:cs="Garamond"/>
          <w:color w:val="0000FF"/>
          <w:spacing w:val="-1"/>
          <w:w w:val="95"/>
          <w:sz w:val="20"/>
          <w:szCs w:val="20"/>
        </w:rPr>
      </w:pPr>
      <w:r>
        <w:rPr>
          <w:rFonts w:ascii="Garamond" w:hAnsi="Garamond" w:cs="Garamond"/>
          <w:position w:val="5"/>
          <w:sz w:val="13"/>
          <w:szCs w:val="13"/>
        </w:rPr>
        <w:t>2</w:t>
      </w:r>
      <w:r>
        <w:rPr>
          <w:rFonts w:ascii="Garamond" w:hAnsi="Garamond" w:cs="Garamond"/>
          <w:position w:val="5"/>
          <w:sz w:val="13"/>
          <w:szCs w:val="13"/>
        </w:rPr>
        <w:tab/>
      </w:r>
      <w:hyperlink r:id="rId313" w:history="1">
        <w:r>
          <w:rPr>
            <w:rFonts w:ascii="Garamond" w:hAnsi="Garamond" w:cs="Garamond"/>
            <w:color w:val="0000FF"/>
            <w:spacing w:val="-1"/>
            <w:w w:val="95"/>
            <w:sz w:val="20"/>
            <w:szCs w:val="20"/>
            <w:u w:val="single"/>
          </w:rPr>
          <w:t>http://www.mass.gov/anf/budget-taxes-and-procurement/oversight-agencies/health-policy-</w:t>
        </w:r>
      </w:hyperlink>
      <w:r>
        <w:rPr>
          <w:rFonts w:ascii="Garamond" w:hAnsi="Garamond" w:cs="Garamond"/>
          <w:color w:val="0000FF"/>
          <w:spacing w:val="-1"/>
          <w:w w:val="95"/>
          <w:sz w:val="20"/>
          <w:szCs w:val="20"/>
          <w:u w:val="single"/>
        </w:rPr>
        <w:t xml:space="preserve"> </w:t>
      </w:r>
      <w:hyperlink r:id="rId314" w:history="1">
        <w:r>
          <w:rPr>
            <w:rFonts w:ascii="Garamond" w:hAnsi="Garamond" w:cs="Garamond"/>
            <w:color w:val="0000FF"/>
            <w:sz w:val="20"/>
            <w:szCs w:val="20"/>
            <w:u w:val="single"/>
          </w:rPr>
          <w:t>commission/regulations/20160506-bulletin-rbpo-appeals-final.pdf</w:t>
        </w:r>
        <w:r>
          <w:rPr>
            <w:rFonts w:ascii="Garamond" w:hAnsi="Garamond" w:cs="Garamond"/>
            <w:color w:val="000000"/>
            <w:sz w:val="20"/>
            <w:szCs w:val="20"/>
            <w:u w:val="single"/>
          </w:rPr>
          <w:t>.</w:t>
        </w:r>
      </w:hyperlink>
    </w:p>
    <w:p w:rsidR="002C5025" w:rsidRDefault="002C5025">
      <w:pPr>
        <w:pStyle w:val="BodyText"/>
        <w:tabs>
          <w:tab w:val="left" w:pos="515"/>
        </w:tabs>
        <w:kinsoku w:val="0"/>
        <w:overflowPunct w:val="0"/>
        <w:ind w:left="120" w:right="2111"/>
        <w:rPr>
          <w:rFonts w:ascii="Garamond" w:hAnsi="Garamond" w:cs="Garamond"/>
          <w:color w:val="0000FF"/>
          <w:spacing w:val="-1"/>
          <w:w w:val="95"/>
          <w:sz w:val="20"/>
          <w:szCs w:val="20"/>
        </w:rPr>
      </w:pPr>
      <w:r>
        <w:rPr>
          <w:rFonts w:ascii="Garamond" w:hAnsi="Garamond" w:cs="Garamond"/>
          <w:position w:val="5"/>
          <w:sz w:val="13"/>
          <w:szCs w:val="13"/>
        </w:rPr>
        <w:t>3</w:t>
      </w:r>
      <w:r>
        <w:rPr>
          <w:rFonts w:ascii="Garamond" w:hAnsi="Garamond" w:cs="Garamond"/>
          <w:position w:val="5"/>
          <w:sz w:val="13"/>
          <w:szCs w:val="13"/>
        </w:rPr>
        <w:tab/>
      </w:r>
      <w:hyperlink r:id="rId315" w:history="1">
        <w:r>
          <w:rPr>
            <w:rFonts w:ascii="Garamond" w:hAnsi="Garamond" w:cs="Garamond"/>
            <w:color w:val="0000FF"/>
            <w:spacing w:val="-1"/>
            <w:w w:val="95"/>
            <w:sz w:val="20"/>
            <w:szCs w:val="20"/>
            <w:u w:val="single"/>
          </w:rPr>
          <w:t>http://www.mass.gov/anf/budget-taxes-and-procurement/oversight-agencies/health-policy-</w:t>
        </w:r>
      </w:hyperlink>
      <w:r>
        <w:rPr>
          <w:rFonts w:ascii="Garamond" w:hAnsi="Garamond" w:cs="Garamond"/>
          <w:color w:val="0000FF"/>
          <w:spacing w:val="-1"/>
          <w:w w:val="95"/>
          <w:sz w:val="20"/>
          <w:szCs w:val="20"/>
          <w:u w:val="single"/>
        </w:rPr>
        <w:t xml:space="preserve"> </w:t>
      </w:r>
      <w:hyperlink r:id="rId316" w:history="1">
        <w:r>
          <w:rPr>
            <w:rFonts w:ascii="Garamond" w:hAnsi="Garamond" w:cs="Garamond"/>
            <w:color w:val="0000FF"/>
            <w:sz w:val="20"/>
            <w:szCs w:val="20"/>
            <w:u w:val="single"/>
          </w:rPr>
          <w:t>commission/regulations/20160506-sample-notice-rbpo-appeals-final.pdf</w:t>
        </w:r>
        <w:r>
          <w:rPr>
            <w:rFonts w:ascii="Garamond" w:hAnsi="Garamond" w:cs="Garamond"/>
            <w:color w:val="000000"/>
            <w:sz w:val="20"/>
            <w:szCs w:val="20"/>
            <w:u w:val="single"/>
          </w:rPr>
          <w:t>.</w:t>
        </w:r>
      </w:hyperlink>
    </w:p>
    <w:p w:rsidR="002C5025" w:rsidRDefault="002C5025">
      <w:pPr>
        <w:pStyle w:val="BodyText"/>
        <w:kinsoku w:val="0"/>
        <w:overflowPunct w:val="0"/>
        <w:spacing w:before="7"/>
        <w:ind w:left="120" w:right="443"/>
        <w:rPr>
          <w:rFonts w:ascii="Garamond" w:hAnsi="Garamond" w:cs="Garamond"/>
          <w:sz w:val="20"/>
          <w:szCs w:val="20"/>
        </w:rPr>
      </w:pPr>
      <w:r>
        <w:rPr>
          <w:rFonts w:ascii="Garamond" w:hAnsi="Garamond" w:cs="Garamond"/>
          <w:position w:val="5"/>
          <w:sz w:val="13"/>
          <w:szCs w:val="13"/>
        </w:rPr>
        <w:t xml:space="preserve">4 </w:t>
      </w:r>
      <w:r>
        <w:rPr>
          <w:rFonts w:ascii="Garamond" w:hAnsi="Garamond" w:cs="Garamond"/>
          <w:sz w:val="20"/>
          <w:szCs w:val="20"/>
        </w:rPr>
        <w:t>Id. at 2.</w:t>
      </w:r>
    </w:p>
    <w:p w:rsidR="002C5025" w:rsidRDefault="002C5025">
      <w:pPr>
        <w:pStyle w:val="BodyText"/>
        <w:kinsoku w:val="0"/>
        <w:overflowPunct w:val="0"/>
        <w:spacing w:before="9"/>
        <w:rPr>
          <w:rFonts w:ascii="Garamond" w:hAnsi="Garamond" w:cs="Garamond"/>
          <w:sz w:val="10"/>
          <w:szCs w:val="10"/>
        </w:rPr>
      </w:pPr>
    </w:p>
    <w:p w:rsidR="002C5025" w:rsidRDefault="002C5025">
      <w:pPr>
        <w:pStyle w:val="BodyText"/>
        <w:kinsoku w:val="0"/>
        <w:overflowPunct w:val="0"/>
        <w:spacing w:before="80"/>
        <w:ind w:left="102"/>
        <w:jc w:val="center"/>
        <w:rPr>
          <w:rFonts w:ascii="Garamond" w:hAnsi="Garamond" w:cs="Garamond"/>
          <w:w w:val="99"/>
          <w:sz w:val="20"/>
          <w:szCs w:val="20"/>
        </w:rPr>
      </w:pPr>
      <w:r>
        <w:rPr>
          <w:rFonts w:ascii="Garamond" w:hAnsi="Garamond" w:cs="Garamond"/>
          <w:w w:val="99"/>
          <w:sz w:val="20"/>
          <w:szCs w:val="20"/>
        </w:rPr>
        <w:t>2</w:t>
      </w:r>
    </w:p>
    <w:p w:rsidR="002C5025" w:rsidRDefault="002C5025">
      <w:pPr>
        <w:pStyle w:val="BodyText"/>
        <w:kinsoku w:val="0"/>
        <w:overflowPunct w:val="0"/>
        <w:spacing w:before="80"/>
        <w:ind w:left="102"/>
        <w:jc w:val="center"/>
        <w:rPr>
          <w:rFonts w:ascii="Garamond" w:hAnsi="Garamond" w:cs="Garamond"/>
          <w:w w:val="99"/>
          <w:sz w:val="20"/>
          <w:szCs w:val="20"/>
        </w:rPr>
        <w:sectPr w:rsidR="002C5025">
          <w:pgSz w:w="12240" w:h="15840"/>
          <w:pgMar w:top="1380" w:right="1420" w:bottom="280" w:left="1320" w:header="720" w:footer="720" w:gutter="0"/>
          <w:cols w:space="720" w:equalWidth="0">
            <w:col w:w="9500"/>
          </w:cols>
          <w:noEndnote/>
        </w:sectPr>
      </w:pPr>
    </w:p>
    <w:p w:rsidR="002C5025" w:rsidRDefault="002C5025">
      <w:pPr>
        <w:pStyle w:val="BodyText"/>
        <w:kinsoku w:val="0"/>
        <w:overflowPunct w:val="0"/>
        <w:spacing w:before="60"/>
        <w:ind w:left="120" w:right="619"/>
        <w:rPr>
          <w:rFonts w:ascii="Garamond" w:hAnsi="Garamond" w:cs="Garamond"/>
        </w:rPr>
      </w:pPr>
      <w:r>
        <w:rPr>
          <w:rFonts w:ascii="Garamond" w:hAnsi="Garamond" w:cs="Garamond"/>
        </w:rPr>
        <w:lastRenderedPageBreak/>
        <w:t xml:space="preserve">behavior </w:t>
      </w:r>
      <w:r>
        <w:rPr>
          <w:rFonts w:ascii="Garamond" w:hAnsi="Garamond" w:cs="Garamond"/>
          <w:spacing w:val="-3"/>
        </w:rPr>
        <w:t xml:space="preserve">and </w:t>
      </w:r>
      <w:r>
        <w:rPr>
          <w:rFonts w:ascii="Garamond" w:hAnsi="Garamond" w:cs="Garamond"/>
        </w:rPr>
        <w:t>additional safeguards layered on top of a program’s internal incentive structure to further minimize the risks of under-service and member selection.</w:t>
      </w:r>
    </w:p>
    <w:p w:rsidR="002C5025" w:rsidRDefault="002C5025">
      <w:pPr>
        <w:pStyle w:val="BodyText"/>
        <w:kinsoku w:val="0"/>
        <w:overflowPunct w:val="0"/>
        <w:spacing w:before="9"/>
        <w:rPr>
          <w:rFonts w:ascii="Garamond" w:hAnsi="Garamond" w:cs="Garamond"/>
          <w:sz w:val="17"/>
          <w:szCs w:val="17"/>
        </w:rPr>
      </w:pPr>
    </w:p>
    <w:p w:rsidR="002C5025" w:rsidRDefault="002C5025">
      <w:pPr>
        <w:pStyle w:val="BodyText"/>
        <w:kinsoku w:val="0"/>
        <w:overflowPunct w:val="0"/>
        <w:spacing w:before="1"/>
        <w:ind w:left="119" w:right="357"/>
        <w:rPr>
          <w:rFonts w:ascii="Garamond" w:hAnsi="Garamond" w:cs="Garamond"/>
          <w:spacing w:val="-3"/>
        </w:rPr>
      </w:pPr>
      <w:r>
        <w:rPr>
          <w:rFonts w:ascii="Garamond" w:hAnsi="Garamond" w:cs="Garamond"/>
        </w:rPr>
        <w:t xml:space="preserve">ACOs should be required to establish internal monitoring mechanisms as </w:t>
      </w:r>
      <w:r>
        <w:rPr>
          <w:rFonts w:ascii="Garamond" w:hAnsi="Garamond" w:cs="Garamond"/>
          <w:spacing w:val="-3"/>
        </w:rPr>
        <w:t xml:space="preserve">part </w:t>
      </w:r>
      <w:r>
        <w:rPr>
          <w:rFonts w:ascii="Garamond" w:hAnsi="Garamond" w:cs="Garamond"/>
        </w:rPr>
        <w:t xml:space="preserve">of agreements with participating provider </w:t>
      </w:r>
      <w:r>
        <w:rPr>
          <w:rFonts w:ascii="Garamond" w:hAnsi="Garamond" w:cs="Garamond"/>
          <w:spacing w:val="-3"/>
        </w:rPr>
        <w:t xml:space="preserve">groups </w:t>
      </w:r>
      <w:r>
        <w:rPr>
          <w:rFonts w:ascii="Garamond" w:hAnsi="Garamond" w:cs="Garamond"/>
        </w:rPr>
        <w:t xml:space="preserve">and individual providers, </w:t>
      </w:r>
      <w:r>
        <w:rPr>
          <w:rFonts w:ascii="Garamond" w:hAnsi="Garamond" w:cs="Garamond"/>
          <w:spacing w:val="-3"/>
        </w:rPr>
        <w:t xml:space="preserve">and/or </w:t>
      </w:r>
      <w:r>
        <w:rPr>
          <w:rFonts w:ascii="Garamond" w:hAnsi="Garamond" w:cs="Garamond"/>
        </w:rPr>
        <w:t xml:space="preserve">via ACO contracts with MassHealth. Specifically, ACOs should establish performance standards, monitor for inappropriate practices including under-service and member selection, hold </w:t>
      </w:r>
      <w:r>
        <w:rPr>
          <w:rFonts w:ascii="Garamond" w:hAnsi="Garamond" w:cs="Garamond"/>
          <w:spacing w:val="-3"/>
        </w:rPr>
        <w:t xml:space="preserve">providers </w:t>
      </w:r>
      <w:r>
        <w:rPr>
          <w:rFonts w:ascii="Garamond" w:hAnsi="Garamond" w:cs="Garamond"/>
        </w:rPr>
        <w:t xml:space="preserve">accountable, and report publically on the information gathered through internal </w:t>
      </w:r>
      <w:r>
        <w:rPr>
          <w:rFonts w:ascii="Garamond" w:hAnsi="Garamond" w:cs="Garamond"/>
          <w:spacing w:val="-3"/>
        </w:rPr>
        <w:t>monitoring.</w:t>
      </w:r>
    </w:p>
    <w:p w:rsidR="002C5025" w:rsidRDefault="002C5025">
      <w:pPr>
        <w:pStyle w:val="BodyText"/>
        <w:kinsoku w:val="0"/>
        <w:overflowPunct w:val="0"/>
        <w:spacing w:before="9"/>
        <w:rPr>
          <w:rFonts w:ascii="Garamond" w:hAnsi="Garamond" w:cs="Garamond"/>
          <w:sz w:val="17"/>
          <w:szCs w:val="17"/>
        </w:rPr>
      </w:pPr>
    </w:p>
    <w:p w:rsidR="002C5025" w:rsidRDefault="002C5025">
      <w:pPr>
        <w:pStyle w:val="BodyText"/>
        <w:kinsoku w:val="0"/>
        <w:overflowPunct w:val="0"/>
        <w:spacing w:before="1"/>
        <w:ind w:left="118" w:right="107" w:firstLine="1"/>
        <w:rPr>
          <w:rFonts w:ascii="Garamond" w:hAnsi="Garamond" w:cs="Garamond"/>
        </w:rPr>
      </w:pPr>
      <w:r>
        <w:rPr>
          <w:rFonts w:ascii="Garamond" w:hAnsi="Garamond" w:cs="Garamond"/>
        </w:rPr>
        <w:t xml:space="preserve">A second layer of safeguards should include MassHealth’s retrospective monitoring </w:t>
      </w:r>
      <w:r>
        <w:rPr>
          <w:rFonts w:ascii="Garamond" w:hAnsi="Garamond" w:cs="Garamond"/>
          <w:spacing w:val="-3"/>
        </w:rPr>
        <w:t xml:space="preserve">and </w:t>
      </w:r>
      <w:r>
        <w:rPr>
          <w:rFonts w:ascii="Garamond" w:hAnsi="Garamond" w:cs="Garamond"/>
        </w:rPr>
        <w:t xml:space="preserve">analysis of </w:t>
      </w:r>
      <w:r>
        <w:rPr>
          <w:rFonts w:ascii="Garamond" w:hAnsi="Garamond" w:cs="Garamond"/>
          <w:spacing w:val="-2"/>
        </w:rPr>
        <w:t xml:space="preserve">claims </w:t>
      </w:r>
      <w:r>
        <w:rPr>
          <w:rFonts w:ascii="Garamond" w:hAnsi="Garamond" w:cs="Garamond"/>
        </w:rPr>
        <w:t xml:space="preserve">data on an annual basis. As the payer, MassHealth can </w:t>
      </w:r>
      <w:r>
        <w:rPr>
          <w:rFonts w:ascii="Garamond" w:hAnsi="Garamond" w:cs="Garamond"/>
          <w:spacing w:val="-3"/>
        </w:rPr>
        <w:t xml:space="preserve">play </w:t>
      </w:r>
      <w:r>
        <w:rPr>
          <w:rFonts w:ascii="Garamond" w:hAnsi="Garamond" w:cs="Garamond"/>
        </w:rPr>
        <w:t xml:space="preserve">a central role in monitoring for under-service and member selection as it </w:t>
      </w:r>
      <w:r>
        <w:rPr>
          <w:rFonts w:ascii="Garamond" w:hAnsi="Garamond" w:cs="Garamond"/>
          <w:spacing w:val="-3"/>
        </w:rPr>
        <w:t xml:space="preserve">would </w:t>
      </w:r>
      <w:r>
        <w:rPr>
          <w:rFonts w:ascii="Garamond" w:hAnsi="Garamond" w:cs="Garamond"/>
        </w:rPr>
        <w:t xml:space="preserve">monitor for over-service, fraud and abuse. </w:t>
      </w:r>
      <w:r>
        <w:rPr>
          <w:rFonts w:ascii="Garamond" w:hAnsi="Garamond" w:cs="Garamond"/>
          <w:spacing w:val="-3"/>
        </w:rPr>
        <w:t xml:space="preserve">Changes </w:t>
      </w:r>
      <w:r>
        <w:rPr>
          <w:rFonts w:ascii="Garamond" w:hAnsi="Garamond" w:cs="Garamond"/>
        </w:rPr>
        <w:t xml:space="preserve">in utilization could serve to identify stinting on care </w:t>
      </w:r>
      <w:r>
        <w:rPr>
          <w:rFonts w:ascii="Garamond" w:hAnsi="Garamond" w:cs="Garamond"/>
          <w:spacing w:val="-3"/>
        </w:rPr>
        <w:t xml:space="preserve">and </w:t>
      </w:r>
      <w:r>
        <w:rPr>
          <w:rFonts w:ascii="Garamond" w:hAnsi="Garamond" w:cs="Garamond"/>
        </w:rPr>
        <w:t xml:space="preserve">variations in the risk profile of an ACO over time could suggest avoidance </w:t>
      </w:r>
      <w:r>
        <w:rPr>
          <w:rFonts w:ascii="Garamond" w:hAnsi="Garamond" w:cs="Garamond"/>
          <w:spacing w:val="-5"/>
        </w:rPr>
        <w:t xml:space="preserve">of </w:t>
      </w:r>
      <w:r>
        <w:rPr>
          <w:rFonts w:ascii="Garamond" w:hAnsi="Garamond" w:cs="Garamond"/>
        </w:rPr>
        <w:t xml:space="preserve">high-risk members. At a minimum, MassHealth should monitor under-service by assessing utilization, total cost of care, cost of care by service type, </w:t>
      </w:r>
      <w:r>
        <w:rPr>
          <w:rFonts w:ascii="Garamond" w:hAnsi="Garamond" w:cs="Garamond"/>
          <w:spacing w:val="-3"/>
        </w:rPr>
        <w:t xml:space="preserve">and </w:t>
      </w:r>
      <w:r>
        <w:rPr>
          <w:rFonts w:ascii="Garamond" w:hAnsi="Garamond" w:cs="Garamond"/>
        </w:rPr>
        <w:t xml:space="preserve">health </w:t>
      </w:r>
      <w:r>
        <w:rPr>
          <w:rFonts w:ascii="Garamond" w:hAnsi="Garamond" w:cs="Garamond"/>
          <w:spacing w:val="-3"/>
        </w:rPr>
        <w:t xml:space="preserve">outcomes </w:t>
      </w:r>
      <w:r>
        <w:rPr>
          <w:rFonts w:ascii="Garamond" w:hAnsi="Garamond" w:cs="Garamond"/>
        </w:rPr>
        <w:t xml:space="preserve">over time to identify patterns of variation. In addition, MassHealth should identify populations that may be at particular risk (i.e. characterized by specific clinical conditions and/or socioeconomic factors), </w:t>
      </w:r>
      <w:r>
        <w:rPr>
          <w:rFonts w:ascii="Garamond" w:hAnsi="Garamond" w:cs="Garamond"/>
          <w:spacing w:val="-3"/>
        </w:rPr>
        <w:t xml:space="preserve">and </w:t>
      </w:r>
      <w:r>
        <w:rPr>
          <w:rFonts w:ascii="Garamond" w:hAnsi="Garamond" w:cs="Garamond"/>
        </w:rPr>
        <w:t xml:space="preserve">conduct population-specific analyses. When </w:t>
      </w:r>
      <w:r>
        <w:rPr>
          <w:rFonts w:ascii="Garamond" w:hAnsi="Garamond" w:cs="Garamond"/>
          <w:spacing w:val="-3"/>
        </w:rPr>
        <w:t xml:space="preserve">potential </w:t>
      </w:r>
      <w:r>
        <w:rPr>
          <w:rFonts w:ascii="Garamond" w:hAnsi="Garamond" w:cs="Garamond"/>
        </w:rPr>
        <w:t xml:space="preserve">under-service is flagged via monitoring </w:t>
      </w:r>
      <w:r>
        <w:rPr>
          <w:rFonts w:ascii="Garamond" w:hAnsi="Garamond" w:cs="Garamond"/>
          <w:spacing w:val="-2"/>
        </w:rPr>
        <w:t xml:space="preserve">claims </w:t>
      </w:r>
      <w:r>
        <w:rPr>
          <w:rFonts w:ascii="Garamond" w:hAnsi="Garamond" w:cs="Garamond"/>
        </w:rPr>
        <w:t xml:space="preserve">data, additional follow-up should be performed to </w:t>
      </w:r>
      <w:r>
        <w:rPr>
          <w:rFonts w:ascii="Garamond" w:hAnsi="Garamond" w:cs="Garamond"/>
          <w:spacing w:val="-3"/>
        </w:rPr>
        <w:t xml:space="preserve">assess the </w:t>
      </w:r>
      <w:r>
        <w:rPr>
          <w:rFonts w:ascii="Garamond" w:hAnsi="Garamond" w:cs="Garamond"/>
        </w:rPr>
        <w:t>root cause of the variation, to evaluate whether repeated or systematic under-service and/or member selection is likely to have occurred.</w:t>
      </w:r>
    </w:p>
    <w:p w:rsidR="002C5025" w:rsidRDefault="002C5025">
      <w:pPr>
        <w:pStyle w:val="BodyText"/>
        <w:kinsoku w:val="0"/>
        <w:overflowPunct w:val="0"/>
        <w:spacing w:before="9"/>
        <w:rPr>
          <w:rFonts w:ascii="Garamond" w:hAnsi="Garamond" w:cs="Garamond"/>
          <w:sz w:val="21"/>
          <w:szCs w:val="21"/>
        </w:rPr>
      </w:pPr>
    </w:p>
    <w:p w:rsidR="002C5025" w:rsidRDefault="002C5025">
      <w:pPr>
        <w:pStyle w:val="BodyText"/>
        <w:kinsoku w:val="0"/>
        <w:overflowPunct w:val="0"/>
        <w:spacing w:before="1"/>
        <w:ind w:left="118" w:right="55" w:firstLine="1"/>
        <w:rPr>
          <w:rFonts w:ascii="Garamond" w:hAnsi="Garamond" w:cs="Garamond"/>
          <w:spacing w:val="-3"/>
        </w:rPr>
      </w:pPr>
      <w:r>
        <w:rPr>
          <w:rFonts w:ascii="Garamond" w:hAnsi="Garamond" w:cs="Garamond"/>
        </w:rPr>
        <w:t xml:space="preserve">Additional methods of identifying problems related to underutilization include soliciting member feedback through survey-generated measures, including patient reported outcome measures, </w:t>
      </w:r>
      <w:r>
        <w:rPr>
          <w:rFonts w:ascii="Garamond" w:hAnsi="Garamond" w:cs="Garamond"/>
          <w:spacing w:val="-3"/>
        </w:rPr>
        <w:t xml:space="preserve">and </w:t>
      </w:r>
      <w:r>
        <w:rPr>
          <w:rFonts w:ascii="Garamond" w:hAnsi="Garamond" w:cs="Garamond"/>
        </w:rPr>
        <w:t xml:space="preserve">capturing member feedback through member advocacy services such as the ombudsperson resource, both of which are discussed in greater detail in other sections of these comments. MassHealth should </w:t>
      </w:r>
      <w:r>
        <w:rPr>
          <w:rFonts w:ascii="Garamond" w:hAnsi="Garamond" w:cs="Garamond"/>
          <w:spacing w:val="-3"/>
        </w:rPr>
        <w:t xml:space="preserve">also </w:t>
      </w:r>
      <w:r>
        <w:rPr>
          <w:rFonts w:ascii="Garamond" w:hAnsi="Garamond" w:cs="Garamond"/>
        </w:rPr>
        <w:t xml:space="preserve">survey members </w:t>
      </w:r>
      <w:r>
        <w:rPr>
          <w:rFonts w:ascii="Garamond" w:hAnsi="Garamond" w:cs="Garamond"/>
          <w:spacing w:val="-3"/>
        </w:rPr>
        <w:t xml:space="preserve">who </w:t>
      </w:r>
      <w:r>
        <w:rPr>
          <w:rFonts w:ascii="Garamond" w:hAnsi="Garamond" w:cs="Garamond"/>
        </w:rPr>
        <w:t xml:space="preserve">disenroll from </w:t>
      </w:r>
      <w:r>
        <w:rPr>
          <w:rFonts w:ascii="Garamond" w:hAnsi="Garamond" w:cs="Garamond"/>
          <w:spacing w:val="-3"/>
        </w:rPr>
        <w:t xml:space="preserve">ACOs </w:t>
      </w:r>
      <w:r>
        <w:rPr>
          <w:rFonts w:ascii="Garamond" w:hAnsi="Garamond" w:cs="Garamond"/>
        </w:rPr>
        <w:t xml:space="preserve">to </w:t>
      </w:r>
      <w:r>
        <w:rPr>
          <w:rFonts w:ascii="Garamond" w:hAnsi="Garamond" w:cs="Garamond"/>
          <w:spacing w:val="-4"/>
        </w:rPr>
        <w:t xml:space="preserve">uncover </w:t>
      </w:r>
      <w:r>
        <w:rPr>
          <w:rFonts w:ascii="Garamond" w:hAnsi="Garamond" w:cs="Garamond"/>
        </w:rPr>
        <w:t xml:space="preserve">any systemic issues </w:t>
      </w:r>
      <w:r>
        <w:rPr>
          <w:rFonts w:ascii="Garamond" w:hAnsi="Garamond" w:cs="Garamond"/>
          <w:spacing w:val="-3"/>
        </w:rPr>
        <w:t xml:space="preserve">with </w:t>
      </w:r>
      <w:r>
        <w:rPr>
          <w:rFonts w:ascii="Garamond" w:hAnsi="Garamond" w:cs="Garamond"/>
        </w:rPr>
        <w:t xml:space="preserve">an ACO or its </w:t>
      </w:r>
      <w:r>
        <w:rPr>
          <w:rFonts w:ascii="Garamond" w:hAnsi="Garamond" w:cs="Garamond"/>
          <w:spacing w:val="-3"/>
        </w:rPr>
        <w:t>care.</w:t>
      </w:r>
    </w:p>
    <w:p w:rsidR="002C5025" w:rsidRDefault="002C5025">
      <w:pPr>
        <w:pStyle w:val="BodyText"/>
        <w:kinsoku w:val="0"/>
        <w:overflowPunct w:val="0"/>
        <w:spacing w:before="6"/>
        <w:rPr>
          <w:rFonts w:ascii="Garamond" w:hAnsi="Garamond" w:cs="Garamond"/>
        </w:rPr>
      </w:pPr>
    </w:p>
    <w:p w:rsidR="002C5025" w:rsidRDefault="002C5025">
      <w:pPr>
        <w:pStyle w:val="BodyText"/>
        <w:kinsoku w:val="0"/>
        <w:overflowPunct w:val="0"/>
        <w:spacing w:line="244" w:lineRule="exact"/>
        <w:ind w:left="120" w:right="814"/>
        <w:rPr>
          <w:rFonts w:ascii="Garamond" w:hAnsi="Garamond" w:cs="Garamond"/>
          <w:b/>
          <w:bCs/>
        </w:rPr>
      </w:pPr>
      <w:bookmarkStart w:id="150" w:name="Member_Engagement"/>
      <w:bookmarkEnd w:id="150"/>
      <w:r>
        <w:rPr>
          <w:rFonts w:ascii="Garamond" w:hAnsi="Garamond" w:cs="Garamond"/>
          <w:b/>
          <w:bCs/>
          <w:u w:val="single"/>
        </w:rPr>
        <w:t>Member Engagement</w:t>
      </w:r>
    </w:p>
    <w:p w:rsidR="002C5025" w:rsidRDefault="002C5025">
      <w:pPr>
        <w:pStyle w:val="BodyText"/>
        <w:kinsoku w:val="0"/>
        <w:overflowPunct w:val="0"/>
        <w:ind w:left="119" w:right="25"/>
        <w:rPr>
          <w:rFonts w:ascii="Garamond" w:hAnsi="Garamond" w:cs="Garamond"/>
        </w:rPr>
      </w:pPr>
      <w:r>
        <w:rPr>
          <w:rFonts w:ascii="Garamond" w:hAnsi="Garamond" w:cs="Garamond"/>
        </w:rPr>
        <w:t xml:space="preserve">Ensuring that delivery of care meets the </w:t>
      </w:r>
      <w:r>
        <w:rPr>
          <w:rFonts w:ascii="Garamond" w:hAnsi="Garamond" w:cs="Garamond"/>
          <w:spacing w:val="-3"/>
        </w:rPr>
        <w:t xml:space="preserve">needs </w:t>
      </w:r>
      <w:r>
        <w:rPr>
          <w:rFonts w:ascii="Garamond" w:hAnsi="Garamond" w:cs="Garamond"/>
        </w:rPr>
        <w:t xml:space="preserve">of members and their families requires meaningful </w:t>
      </w:r>
      <w:r>
        <w:rPr>
          <w:rFonts w:ascii="Garamond" w:hAnsi="Garamond" w:cs="Garamond"/>
          <w:spacing w:val="-2"/>
        </w:rPr>
        <w:t xml:space="preserve">engagement </w:t>
      </w:r>
      <w:r>
        <w:rPr>
          <w:rFonts w:ascii="Garamond" w:hAnsi="Garamond" w:cs="Garamond"/>
        </w:rPr>
        <w:t xml:space="preserve">of members and families at both the individual </w:t>
      </w:r>
      <w:r>
        <w:rPr>
          <w:rFonts w:ascii="Garamond" w:hAnsi="Garamond" w:cs="Garamond"/>
          <w:spacing w:val="-3"/>
        </w:rPr>
        <w:t xml:space="preserve">and </w:t>
      </w:r>
      <w:r>
        <w:rPr>
          <w:rFonts w:ascii="Garamond" w:hAnsi="Garamond" w:cs="Garamond"/>
        </w:rPr>
        <w:t>governance levels.</w:t>
      </w:r>
      <w:r>
        <w:rPr>
          <w:rFonts w:ascii="Garamond" w:hAnsi="Garamond" w:cs="Garamond"/>
          <w:position w:val="5"/>
          <w:sz w:val="14"/>
          <w:szCs w:val="14"/>
        </w:rPr>
        <w:t xml:space="preserve">5 </w:t>
      </w:r>
      <w:r>
        <w:rPr>
          <w:rFonts w:ascii="Garamond" w:hAnsi="Garamond" w:cs="Garamond"/>
        </w:rPr>
        <w:t xml:space="preserve">This </w:t>
      </w:r>
      <w:r>
        <w:rPr>
          <w:rFonts w:ascii="Garamond" w:hAnsi="Garamond" w:cs="Garamond"/>
          <w:spacing w:val="-3"/>
        </w:rPr>
        <w:t xml:space="preserve">entails </w:t>
      </w:r>
      <w:r>
        <w:rPr>
          <w:rFonts w:ascii="Garamond" w:hAnsi="Garamond" w:cs="Garamond"/>
        </w:rPr>
        <w:t xml:space="preserve">formally </w:t>
      </w:r>
      <w:r>
        <w:rPr>
          <w:rFonts w:ascii="Garamond" w:hAnsi="Garamond" w:cs="Garamond"/>
          <w:spacing w:val="-3"/>
        </w:rPr>
        <w:t xml:space="preserve">integrating </w:t>
      </w:r>
      <w:r>
        <w:rPr>
          <w:rFonts w:ascii="Garamond" w:hAnsi="Garamond" w:cs="Garamond"/>
        </w:rPr>
        <w:t xml:space="preserve">members as advisors in the design and governance of policies and procedures, as </w:t>
      </w:r>
      <w:r>
        <w:rPr>
          <w:rFonts w:ascii="Garamond" w:hAnsi="Garamond" w:cs="Garamond"/>
          <w:spacing w:val="-3"/>
        </w:rPr>
        <w:t xml:space="preserve">well </w:t>
      </w:r>
      <w:r>
        <w:rPr>
          <w:rFonts w:ascii="Garamond" w:hAnsi="Garamond" w:cs="Garamond"/>
        </w:rPr>
        <w:t xml:space="preserve">as ensuring that members (and/or their family member(s) </w:t>
      </w:r>
      <w:r>
        <w:rPr>
          <w:rFonts w:ascii="Garamond" w:hAnsi="Garamond" w:cs="Garamond"/>
          <w:spacing w:val="-3"/>
        </w:rPr>
        <w:t xml:space="preserve">or </w:t>
      </w:r>
      <w:r>
        <w:rPr>
          <w:rFonts w:ascii="Garamond" w:hAnsi="Garamond" w:cs="Garamond"/>
        </w:rPr>
        <w:t xml:space="preserve">caregivers) understand their own role in the care process </w:t>
      </w:r>
      <w:r>
        <w:rPr>
          <w:rFonts w:ascii="Garamond" w:hAnsi="Garamond" w:cs="Garamond"/>
          <w:spacing w:val="-3"/>
        </w:rPr>
        <w:t xml:space="preserve">and </w:t>
      </w:r>
      <w:r>
        <w:rPr>
          <w:rFonts w:ascii="Garamond" w:hAnsi="Garamond" w:cs="Garamond"/>
        </w:rPr>
        <w:t>are confident in taking on that role.</w:t>
      </w:r>
    </w:p>
    <w:p w:rsidR="002C5025" w:rsidRDefault="002C5025">
      <w:pPr>
        <w:pStyle w:val="BodyText"/>
        <w:kinsoku w:val="0"/>
        <w:overflowPunct w:val="0"/>
        <w:spacing w:before="2"/>
        <w:rPr>
          <w:rFonts w:ascii="Garamond" w:hAnsi="Garamond" w:cs="Garamond"/>
          <w:sz w:val="21"/>
          <w:szCs w:val="21"/>
        </w:rPr>
      </w:pPr>
    </w:p>
    <w:p w:rsidR="002C5025" w:rsidRDefault="002C5025">
      <w:pPr>
        <w:pStyle w:val="BodyText"/>
        <w:kinsoku w:val="0"/>
        <w:overflowPunct w:val="0"/>
        <w:spacing w:before="1" w:line="264" w:lineRule="exact"/>
        <w:ind w:left="120" w:right="814"/>
        <w:rPr>
          <w:rFonts w:ascii="Garamond" w:hAnsi="Garamond" w:cs="Garamond"/>
          <w:b/>
          <w:bCs/>
          <w:i/>
          <w:iCs/>
          <w:w w:val="90"/>
          <w:sz w:val="24"/>
          <w:szCs w:val="24"/>
        </w:rPr>
      </w:pPr>
      <w:bookmarkStart w:id="151" w:name="Member_representation_in_ACO_governance_"/>
      <w:bookmarkEnd w:id="151"/>
      <w:proofErr w:type="spellStart"/>
      <w:r>
        <w:rPr>
          <w:rFonts w:ascii="Garamond" w:hAnsi="Garamond" w:cs="Garamond"/>
          <w:b/>
          <w:bCs/>
          <w:i/>
          <w:iCs/>
          <w:w w:val="90"/>
          <w:sz w:val="24"/>
          <w:szCs w:val="24"/>
        </w:rPr>
        <w:t>Memberrepresentation</w:t>
      </w:r>
      <w:proofErr w:type="spellEnd"/>
      <w:r>
        <w:rPr>
          <w:rFonts w:ascii="Garamond" w:hAnsi="Garamond" w:cs="Garamond"/>
          <w:b/>
          <w:bCs/>
          <w:i/>
          <w:iCs/>
          <w:w w:val="90"/>
          <w:sz w:val="24"/>
          <w:szCs w:val="24"/>
        </w:rPr>
        <w:t xml:space="preserve"> in ACO g </w:t>
      </w:r>
      <w:proofErr w:type="spellStart"/>
      <w:r>
        <w:rPr>
          <w:rFonts w:ascii="Garamond" w:hAnsi="Garamond" w:cs="Garamond"/>
          <w:b/>
          <w:bCs/>
          <w:i/>
          <w:iCs/>
          <w:w w:val="90"/>
          <w:sz w:val="24"/>
          <w:szCs w:val="24"/>
        </w:rPr>
        <w:t>overnance</w:t>
      </w:r>
      <w:proofErr w:type="spellEnd"/>
      <w:r>
        <w:rPr>
          <w:rFonts w:ascii="Garamond" w:hAnsi="Garamond" w:cs="Garamond"/>
          <w:b/>
          <w:bCs/>
          <w:i/>
          <w:iCs/>
          <w:w w:val="90"/>
          <w:sz w:val="24"/>
          <w:szCs w:val="24"/>
        </w:rPr>
        <w:t xml:space="preserve"> bodies and PFACs</w:t>
      </w:r>
    </w:p>
    <w:p w:rsidR="002C5025" w:rsidRDefault="002C5025">
      <w:pPr>
        <w:pStyle w:val="BodyText"/>
        <w:kinsoku w:val="0"/>
        <w:overflowPunct w:val="0"/>
        <w:ind w:left="118" w:right="304" w:firstLine="1"/>
        <w:rPr>
          <w:rFonts w:ascii="Garamond" w:hAnsi="Garamond" w:cs="Garamond"/>
          <w:position w:val="5"/>
          <w:sz w:val="14"/>
          <w:szCs w:val="14"/>
        </w:rPr>
      </w:pPr>
      <w:r>
        <w:rPr>
          <w:rFonts w:ascii="Garamond" w:hAnsi="Garamond" w:cs="Garamond"/>
        </w:rPr>
        <w:t xml:space="preserve">Individual patients and consumers are the heart of the health care system, </w:t>
      </w:r>
      <w:r>
        <w:rPr>
          <w:rFonts w:ascii="Garamond" w:hAnsi="Garamond" w:cs="Garamond"/>
          <w:spacing w:val="-3"/>
        </w:rPr>
        <w:t xml:space="preserve">and </w:t>
      </w:r>
      <w:r>
        <w:rPr>
          <w:rFonts w:ascii="Garamond" w:hAnsi="Garamond" w:cs="Garamond"/>
        </w:rPr>
        <w:t xml:space="preserve">must be valued members of ACO design and </w:t>
      </w:r>
      <w:r>
        <w:rPr>
          <w:rFonts w:ascii="Garamond" w:hAnsi="Garamond" w:cs="Garamond"/>
          <w:spacing w:val="-3"/>
        </w:rPr>
        <w:t xml:space="preserve">governance </w:t>
      </w:r>
      <w:r>
        <w:rPr>
          <w:rFonts w:ascii="Garamond" w:hAnsi="Garamond" w:cs="Garamond"/>
        </w:rPr>
        <w:t xml:space="preserve">teams. Patient and family-centered care means bringing the perspectives </w:t>
      </w:r>
      <w:r>
        <w:rPr>
          <w:rFonts w:ascii="Garamond" w:hAnsi="Garamond" w:cs="Garamond"/>
          <w:spacing w:val="-5"/>
        </w:rPr>
        <w:t xml:space="preserve">of </w:t>
      </w:r>
      <w:r>
        <w:rPr>
          <w:rFonts w:ascii="Garamond" w:hAnsi="Garamond" w:cs="Garamond"/>
        </w:rPr>
        <w:t xml:space="preserve">members and families directly into the </w:t>
      </w:r>
      <w:r>
        <w:rPr>
          <w:rFonts w:ascii="Garamond" w:hAnsi="Garamond" w:cs="Garamond"/>
          <w:spacing w:val="-3"/>
        </w:rPr>
        <w:t xml:space="preserve">planning, </w:t>
      </w:r>
      <w:r>
        <w:rPr>
          <w:rFonts w:ascii="Garamond" w:hAnsi="Garamond" w:cs="Garamond"/>
        </w:rPr>
        <w:t xml:space="preserve">delivery, and evaluation of health care, and thereby improving its quality and safety. When consumers and families, providers, </w:t>
      </w:r>
      <w:r>
        <w:rPr>
          <w:rFonts w:ascii="Garamond" w:hAnsi="Garamond" w:cs="Garamond"/>
          <w:spacing w:val="-3"/>
        </w:rPr>
        <w:t xml:space="preserve">and </w:t>
      </w:r>
      <w:r>
        <w:rPr>
          <w:rFonts w:ascii="Garamond" w:hAnsi="Garamond" w:cs="Garamond"/>
        </w:rPr>
        <w:t xml:space="preserve">health care administrators work in partnership, the quality and safety of health care rises, </w:t>
      </w:r>
      <w:r>
        <w:rPr>
          <w:rFonts w:ascii="Garamond" w:hAnsi="Garamond" w:cs="Garamond"/>
          <w:spacing w:val="-3"/>
        </w:rPr>
        <w:t xml:space="preserve">costs </w:t>
      </w:r>
      <w:r>
        <w:rPr>
          <w:rFonts w:ascii="Garamond" w:hAnsi="Garamond" w:cs="Garamond"/>
        </w:rPr>
        <w:t>decrease, and provider and consumer satisfaction increase.</w:t>
      </w:r>
      <w:r>
        <w:rPr>
          <w:rFonts w:ascii="Garamond" w:hAnsi="Garamond" w:cs="Garamond"/>
          <w:position w:val="5"/>
          <w:sz w:val="14"/>
          <w:szCs w:val="14"/>
        </w:rPr>
        <w:t>6</w:t>
      </w:r>
    </w:p>
    <w:p w:rsidR="002C5025" w:rsidRDefault="00FB027C">
      <w:pPr>
        <w:pStyle w:val="BodyText"/>
        <w:kinsoku w:val="0"/>
        <w:overflowPunct w:val="0"/>
        <w:spacing w:before="7"/>
        <w:rPr>
          <w:rFonts w:ascii="Garamond" w:hAnsi="Garamond" w:cs="Garamond"/>
          <w:sz w:val="25"/>
          <w:szCs w:val="25"/>
        </w:rPr>
      </w:pPr>
      <w:r>
        <w:rPr>
          <w:noProof/>
        </w:rPr>
        <mc:AlternateContent>
          <mc:Choice Requires="wps">
            <w:drawing>
              <wp:anchor distT="0" distB="0" distL="0" distR="0" simplePos="0" relativeHeight="251653632" behindDoc="0" locked="0" layoutInCell="0" allowOverlap="1">
                <wp:simplePos x="0" y="0"/>
                <wp:positionH relativeFrom="page">
                  <wp:posOffset>923925</wp:posOffset>
                </wp:positionH>
                <wp:positionV relativeFrom="paragraph">
                  <wp:posOffset>213360</wp:posOffset>
                </wp:positionV>
                <wp:extent cx="1829435" cy="12700"/>
                <wp:effectExtent l="0" t="0" r="0" b="0"/>
                <wp:wrapTopAndBottom/>
                <wp:docPr id="565" name="Freeform 4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1 w 2881"/>
                            <a:gd name="T3" fmla="*/ 0 h 20"/>
                          </a:gdLst>
                          <a:ahLst/>
                          <a:cxnLst>
                            <a:cxn ang="0">
                              <a:pos x="T0" y="T1"/>
                            </a:cxn>
                            <a:cxn ang="0">
                              <a:pos x="T2" y="T3"/>
                            </a:cxn>
                          </a:cxnLst>
                          <a:rect l="0" t="0" r="r" b="b"/>
                          <a:pathLst>
                            <a:path w="2881" h="20">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60" o:spid="_x0000_s1026" style="position:absolute;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2.75pt,16.8pt,216.8pt,16.8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" o:allowincell="f" filled="f" strokeweight=".82pt">
                <v:path arrowok="t" o:connecttype="custom" o:connectlocs="0,0;1829435,0" o:connectangles="0,0"/>
                <w10:wrap type="topAndBottom" anchorx="page"/>
              </v:polyline>
            </w:pict>
          </mc:Fallback>
        </mc:AlternateContent>
      </w:r>
    </w:p>
    <w:p w:rsidR="002C5025" w:rsidRDefault="002C5025">
      <w:pPr>
        <w:pStyle w:val="BodyText"/>
        <w:kinsoku w:val="0"/>
        <w:overflowPunct w:val="0"/>
        <w:spacing w:before="72"/>
        <w:ind w:left="120" w:right="321"/>
        <w:rPr>
          <w:rFonts w:ascii="Garamond" w:hAnsi="Garamond" w:cs="Garamond"/>
          <w:color w:val="000000"/>
          <w:sz w:val="20"/>
          <w:szCs w:val="20"/>
        </w:rPr>
      </w:pPr>
      <w:r>
        <w:rPr>
          <w:rFonts w:ascii="Garamond" w:hAnsi="Garamond" w:cs="Garamond"/>
          <w:position w:val="5"/>
          <w:sz w:val="13"/>
          <w:szCs w:val="13"/>
        </w:rPr>
        <w:t xml:space="preserve">5 </w:t>
      </w:r>
      <w:r>
        <w:rPr>
          <w:rFonts w:ascii="Garamond" w:hAnsi="Garamond" w:cs="Garamond"/>
          <w:sz w:val="20"/>
          <w:szCs w:val="20"/>
        </w:rPr>
        <w:t xml:space="preserve">For a thorough definition of meaningful engagement and what it entails, please refer to the framework described in Carman, K.L., </w:t>
      </w:r>
      <w:proofErr w:type="spellStart"/>
      <w:r>
        <w:rPr>
          <w:rFonts w:ascii="Garamond" w:hAnsi="Garamond" w:cs="Garamond"/>
          <w:sz w:val="20"/>
          <w:szCs w:val="20"/>
        </w:rPr>
        <w:t>Dardess</w:t>
      </w:r>
      <w:proofErr w:type="spellEnd"/>
      <w:r>
        <w:rPr>
          <w:rFonts w:ascii="Garamond" w:hAnsi="Garamond" w:cs="Garamond"/>
          <w:sz w:val="20"/>
          <w:szCs w:val="20"/>
        </w:rPr>
        <w:t xml:space="preserve">, P., Maurer, M., </w:t>
      </w:r>
      <w:proofErr w:type="spellStart"/>
      <w:r>
        <w:rPr>
          <w:rFonts w:ascii="Garamond" w:hAnsi="Garamond" w:cs="Garamond"/>
          <w:sz w:val="20"/>
          <w:szCs w:val="20"/>
        </w:rPr>
        <w:t>Sofaer</w:t>
      </w:r>
      <w:proofErr w:type="spellEnd"/>
      <w:r>
        <w:rPr>
          <w:rFonts w:ascii="Garamond" w:hAnsi="Garamond" w:cs="Garamond"/>
          <w:sz w:val="20"/>
          <w:szCs w:val="20"/>
        </w:rPr>
        <w:t>, S., Adams, K., Bechtel, C., Sweeney, J. (2013). Patient and Family Engagement:</w:t>
      </w:r>
      <w:r>
        <w:rPr>
          <w:rFonts w:ascii="Garamond" w:hAnsi="Garamond" w:cs="Garamond"/>
          <w:spacing w:val="-14"/>
          <w:sz w:val="20"/>
          <w:szCs w:val="20"/>
        </w:rPr>
        <w:t xml:space="preserve"> </w:t>
      </w:r>
      <w:r>
        <w:rPr>
          <w:rFonts w:ascii="Garamond" w:hAnsi="Garamond" w:cs="Garamond"/>
          <w:sz w:val="20"/>
          <w:szCs w:val="20"/>
        </w:rPr>
        <w:t>A</w:t>
      </w:r>
      <w:r>
        <w:rPr>
          <w:rFonts w:ascii="Garamond" w:hAnsi="Garamond" w:cs="Garamond"/>
          <w:spacing w:val="-14"/>
          <w:sz w:val="20"/>
          <w:szCs w:val="20"/>
        </w:rPr>
        <w:t xml:space="preserve"> </w:t>
      </w:r>
      <w:r>
        <w:rPr>
          <w:rFonts w:ascii="Garamond" w:hAnsi="Garamond" w:cs="Garamond"/>
          <w:sz w:val="20"/>
          <w:szCs w:val="20"/>
        </w:rPr>
        <w:t>Framework</w:t>
      </w:r>
      <w:r>
        <w:rPr>
          <w:rFonts w:ascii="Garamond" w:hAnsi="Garamond" w:cs="Garamond"/>
          <w:spacing w:val="-13"/>
          <w:sz w:val="20"/>
          <w:szCs w:val="20"/>
        </w:rPr>
        <w:t xml:space="preserve"> </w:t>
      </w:r>
      <w:r>
        <w:rPr>
          <w:rFonts w:ascii="Garamond" w:hAnsi="Garamond" w:cs="Garamond"/>
          <w:sz w:val="20"/>
          <w:szCs w:val="20"/>
        </w:rPr>
        <w:t>for</w:t>
      </w:r>
      <w:r>
        <w:rPr>
          <w:rFonts w:ascii="Garamond" w:hAnsi="Garamond" w:cs="Garamond"/>
          <w:spacing w:val="-11"/>
          <w:sz w:val="20"/>
          <w:szCs w:val="20"/>
        </w:rPr>
        <w:t xml:space="preserve"> </w:t>
      </w:r>
      <w:r>
        <w:rPr>
          <w:rFonts w:ascii="Garamond" w:hAnsi="Garamond" w:cs="Garamond"/>
          <w:sz w:val="20"/>
          <w:szCs w:val="20"/>
        </w:rPr>
        <w:t>Understanding</w:t>
      </w:r>
      <w:r>
        <w:rPr>
          <w:rFonts w:ascii="Garamond" w:hAnsi="Garamond" w:cs="Garamond"/>
          <w:spacing w:val="-14"/>
          <w:sz w:val="20"/>
          <w:szCs w:val="20"/>
        </w:rPr>
        <w:t xml:space="preserve"> </w:t>
      </w:r>
      <w:r>
        <w:rPr>
          <w:rFonts w:ascii="Garamond" w:hAnsi="Garamond" w:cs="Garamond"/>
          <w:sz w:val="20"/>
          <w:szCs w:val="20"/>
        </w:rPr>
        <w:t>the</w:t>
      </w:r>
      <w:r>
        <w:rPr>
          <w:rFonts w:ascii="Garamond" w:hAnsi="Garamond" w:cs="Garamond"/>
          <w:spacing w:val="-11"/>
          <w:sz w:val="20"/>
          <w:szCs w:val="20"/>
        </w:rPr>
        <w:t xml:space="preserve"> </w:t>
      </w:r>
      <w:r>
        <w:rPr>
          <w:rFonts w:ascii="Garamond" w:hAnsi="Garamond" w:cs="Garamond"/>
          <w:sz w:val="20"/>
          <w:szCs w:val="20"/>
        </w:rPr>
        <w:t>Elements</w:t>
      </w:r>
      <w:r>
        <w:rPr>
          <w:rFonts w:ascii="Garamond" w:hAnsi="Garamond" w:cs="Garamond"/>
          <w:spacing w:val="-16"/>
          <w:sz w:val="20"/>
          <w:szCs w:val="20"/>
        </w:rPr>
        <w:t xml:space="preserve"> </w:t>
      </w:r>
      <w:r>
        <w:rPr>
          <w:rFonts w:ascii="Garamond" w:hAnsi="Garamond" w:cs="Garamond"/>
          <w:sz w:val="20"/>
          <w:szCs w:val="20"/>
        </w:rPr>
        <w:t>and</w:t>
      </w:r>
      <w:r>
        <w:rPr>
          <w:rFonts w:ascii="Garamond" w:hAnsi="Garamond" w:cs="Garamond"/>
          <w:spacing w:val="-11"/>
          <w:sz w:val="20"/>
          <w:szCs w:val="20"/>
        </w:rPr>
        <w:t xml:space="preserve"> </w:t>
      </w:r>
      <w:r>
        <w:rPr>
          <w:rFonts w:ascii="Garamond" w:hAnsi="Garamond" w:cs="Garamond"/>
          <w:sz w:val="20"/>
          <w:szCs w:val="20"/>
        </w:rPr>
        <w:t>Developing</w:t>
      </w:r>
      <w:r>
        <w:rPr>
          <w:rFonts w:ascii="Garamond" w:hAnsi="Garamond" w:cs="Garamond"/>
          <w:spacing w:val="-14"/>
          <w:sz w:val="20"/>
          <w:szCs w:val="20"/>
        </w:rPr>
        <w:t xml:space="preserve"> </w:t>
      </w:r>
      <w:r>
        <w:rPr>
          <w:rFonts w:ascii="Garamond" w:hAnsi="Garamond" w:cs="Garamond"/>
          <w:sz w:val="20"/>
          <w:szCs w:val="20"/>
        </w:rPr>
        <w:t>Interventions</w:t>
      </w:r>
      <w:r>
        <w:rPr>
          <w:rFonts w:ascii="Garamond" w:hAnsi="Garamond" w:cs="Garamond"/>
          <w:spacing w:val="-14"/>
          <w:sz w:val="20"/>
          <w:szCs w:val="20"/>
        </w:rPr>
        <w:t xml:space="preserve"> </w:t>
      </w:r>
      <w:r>
        <w:rPr>
          <w:rFonts w:ascii="Garamond" w:hAnsi="Garamond" w:cs="Garamond"/>
          <w:sz w:val="20"/>
          <w:szCs w:val="20"/>
        </w:rPr>
        <w:t>and</w:t>
      </w:r>
      <w:r>
        <w:rPr>
          <w:rFonts w:ascii="Garamond" w:hAnsi="Garamond" w:cs="Garamond"/>
          <w:spacing w:val="-14"/>
          <w:sz w:val="20"/>
          <w:szCs w:val="20"/>
        </w:rPr>
        <w:t xml:space="preserve"> </w:t>
      </w:r>
      <w:r>
        <w:rPr>
          <w:rFonts w:ascii="Garamond" w:hAnsi="Garamond" w:cs="Garamond"/>
          <w:sz w:val="20"/>
          <w:szCs w:val="20"/>
        </w:rPr>
        <w:t>Policies.</w:t>
      </w:r>
      <w:r>
        <w:rPr>
          <w:rFonts w:ascii="Garamond" w:hAnsi="Garamond" w:cs="Garamond"/>
          <w:spacing w:val="-7"/>
          <w:sz w:val="20"/>
          <w:szCs w:val="20"/>
        </w:rPr>
        <w:t xml:space="preserve"> </w:t>
      </w:r>
      <w:r>
        <w:rPr>
          <w:rFonts w:ascii="Garamond" w:hAnsi="Garamond" w:cs="Garamond"/>
          <w:i/>
          <w:iCs/>
          <w:sz w:val="20"/>
          <w:szCs w:val="20"/>
        </w:rPr>
        <w:t>Health</w:t>
      </w:r>
      <w:r>
        <w:rPr>
          <w:rFonts w:ascii="Garamond" w:hAnsi="Garamond" w:cs="Garamond"/>
          <w:i/>
          <w:iCs/>
          <w:spacing w:val="-12"/>
          <w:sz w:val="20"/>
          <w:szCs w:val="20"/>
        </w:rPr>
        <w:t xml:space="preserve"> </w:t>
      </w:r>
      <w:r>
        <w:rPr>
          <w:rFonts w:ascii="Garamond" w:hAnsi="Garamond" w:cs="Garamond"/>
          <w:i/>
          <w:iCs/>
          <w:sz w:val="20"/>
          <w:szCs w:val="20"/>
        </w:rPr>
        <w:t xml:space="preserve">Affairs </w:t>
      </w:r>
      <w:r>
        <w:rPr>
          <w:rFonts w:ascii="Garamond" w:hAnsi="Garamond" w:cs="Garamond"/>
          <w:sz w:val="20"/>
          <w:szCs w:val="20"/>
        </w:rPr>
        <w:t>32(2):</w:t>
      </w:r>
      <w:r>
        <w:rPr>
          <w:rFonts w:ascii="Garamond" w:hAnsi="Garamond" w:cs="Garamond"/>
          <w:spacing w:val="-14"/>
          <w:sz w:val="20"/>
          <w:szCs w:val="20"/>
        </w:rPr>
        <w:t xml:space="preserve"> </w:t>
      </w:r>
      <w:r>
        <w:rPr>
          <w:rFonts w:ascii="Garamond" w:hAnsi="Garamond" w:cs="Garamond"/>
          <w:sz w:val="20"/>
          <w:szCs w:val="20"/>
        </w:rPr>
        <w:t>223-231.;</w:t>
      </w:r>
      <w:r>
        <w:rPr>
          <w:rFonts w:ascii="Garamond" w:hAnsi="Garamond" w:cs="Garamond"/>
          <w:spacing w:val="-12"/>
          <w:sz w:val="20"/>
          <w:szCs w:val="20"/>
        </w:rPr>
        <w:t xml:space="preserve"> </w:t>
      </w:r>
      <w:r>
        <w:rPr>
          <w:rFonts w:ascii="Garamond" w:hAnsi="Garamond" w:cs="Garamond"/>
          <w:i/>
          <w:iCs/>
          <w:sz w:val="20"/>
          <w:szCs w:val="20"/>
        </w:rPr>
        <w:t>See</w:t>
      </w:r>
      <w:r>
        <w:rPr>
          <w:rFonts w:ascii="Garamond" w:hAnsi="Garamond" w:cs="Garamond"/>
          <w:i/>
          <w:iCs/>
          <w:spacing w:val="-12"/>
          <w:sz w:val="20"/>
          <w:szCs w:val="20"/>
        </w:rPr>
        <w:t xml:space="preserve"> </w:t>
      </w:r>
      <w:r>
        <w:rPr>
          <w:rFonts w:ascii="Garamond" w:hAnsi="Garamond" w:cs="Garamond"/>
          <w:i/>
          <w:iCs/>
          <w:sz w:val="20"/>
          <w:szCs w:val="20"/>
        </w:rPr>
        <w:t>also</w:t>
      </w:r>
      <w:r>
        <w:rPr>
          <w:rFonts w:ascii="Garamond" w:hAnsi="Garamond" w:cs="Garamond"/>
          <w:i/>
          <w:iCs/>
          <w:spacing w:val="-12"/>
          <w:sz w:val="20"/>
          <w:szCs w:val="20"/>
        </w:rPr>
        <w:t xml:space="preserve"> </w:t>
      </w:r>
      <w:proofErr w:type="spellStart"/>
      <w:r>
        <w:rPr>
          <w:rFonts w:ascii="Garamond" w:hAnsi="Garamond" w:cs="Garamond"/>
          <w:sz w:val="20"/>
          <w:szCs w:val="20"/>
        </w:rPr>
        <w:t>Millenson</w:t>
      </w:r>
      <w:proofErr w:type="spellEnd"/>
      <w:r>
        <w:rPr>
          <w:rFonts w:ascii="Garamond" w:hAnsi="Garamond" w:cs="Garamond"/>
          <w:sz w:val="20"/>
          <w:szCs w:val="20"/>
        </w:rPr>
        <w:t>,</w:t>
      </w:r>
      <w:r>
        <w:rPr>
          <w:rFonts w:ascii="Garamond" w:hAnsi="Garamond" w:cs="Garamond"/>
          <w:spacing w:val="-7"/>
          <w:sz w:val="20"/>
          <w:szCs w:val="20"/>
        </w:rPr>
        <w:t xml:space="preserve"> </w:t>
      </w:r>
      <w:r>
        <w:rPr>
          <w:rFonts w:ascii="Garamond" w:hAnsi="Garamond" w:cs="Garamond"/>
          <w:sz w:val="20"/>
          <w:szCs w:val="20"/>
        </w:rPr>
        <w:t>M.L.</w:t>
      </w:r>
      <w:r>
        <w:rPr>
          <w:rFonts w:ascii="Garamond" w:hAnsi="Garamond" w:cs="Garamond"/>
          <w:spacing w:val="-12"/>
          <w:sz w:val="20"/>
          <w:szCs w:val="20"/>
        </w:rPr>
        <w:t xml:space="preserve"> </w:t>
      </w:r>
      <w:r>
        <w:rPr>
          <w:rFonts w:ascii="Garamond" w:hAnsi="Garamond" w:cs="Garamond"/>
          <w:sz w:val="20"/>
          <w:szCs w:val="20"/>
        </w:rPr>
        <w:t>(2015)</w:t>
      </w:r>
      <w:r>
        <w:rPr>
          <w:rFonts w:ascii="Garamond" w:hAnsi="Garamond" w:cs="Garamond"/>
          <w:spacing w:val="-9"/>
          <w:sz w:val="20"/>
          <w:szCs w:val="20"/>
        </w:rPr>
        <w:t xml:space="preserve"> </w:t>
      </w:r>
      <w:r>
        <w:rPr>
          <w:rFonts w:ascii="Garamond" w:hAnsi="Garamond" w:cs="Garamond"/>
          <w:sz w:val="20"/>
          <w:szCs w:val="20"/>
        </w:rPr>
        <w:t>Building</w:t>
      </w:r>
      <w:r>
        <w:rPr>
          <w:rFonts w:ascii="Garamond" w:hAnsi="Garamond" w:cs="Garamond"/>
          <w:spacing w:val="-12"/>
          <w:sz w:val="20"/>
          <w:szCs w:val="20"/>
        </w:rPr>
        <w:t xml:space="preserve"> </w:t>
      </w:r>
      <w:r>
        <w:rPr>
          <w:rFonts w:ascii="Garamond" w:hAnsi="Garamond" w:cs="Garamond"/>
          <w:sz w:val="20"/>
          <w:szCs w:val="20"/>
        </w:rPr>
        <w:t>Patient-Centeredness</w:t>
      </w:r>
      <w:r>
        <w:rPr>
          <w:rFonts w:ascii="Garamond" w:hAnsi="Garamond" w:cs="Garamond"/>
          <w:spacing w:val="-12"/>
          <w:sz w:val="20"/>
          <w:szCs w:val="20"/>
        </w:rPr>
        <w:t xml:space="preserve"> </w:t>
      </w:r>
      <w:r>
        <w:rPr>
          <w:rFonts w:ascii="Garamond" w:hAnsi="Garamond" w:cs="Garamond"/>
          <w:sz w:val="20"/>
          <w:szCs w:val="20"/>
        </w:rPr>
        <w:t>in</w:t>
      </w:r>
      <w:r>
        <w:rPr>
          <w:rFonts w:ascii="Garamond" w:hAnsi="Garamond" w:cs="Garamond"/>
          <w:spacing w:val="-10"/>
          <w:sz w:val="20"/>
          <w:szCs w:val="20"/>
        </w:rPr>
        <w:t xml:space="preserve"> </w:t>
      </w:r>
      <w:r>
        <w:rPr>
          <w:rFonts w:ascii="Garamond" w:hAnsi="Garamond" w:cs="Garamond"/>
          <w:sz w:val="20"/>
          <w:szCs w:val="20"/>
        </w:rPr>
        <w:t>the</w:t>
      </w:r>
      <w:r>
        <w:rPr>
          <w:rFonts w:ascii="Garamond" w:hAnsi="Garamond" w:cs="Garamond"/>
          <w:spacing w:val="-8"/>
          <w:sz w:val="20"/>
          <w:szCs w:val="20"/>
        </w:rPr>
        <w:t xml:space="preserve"> </w:t>
      </w:r>
      <w:r>
        <w:rPr>
          <w:rFonts w:ascii="Garamond" w:hAnsi="Garamond" w:cs="Garamond"/>
          <w:sz w:val="20"/>
          <w:szCs w:val="20"/>
        </w:rPr>
        <w:t>Real</w:t>
      </w:r>
      <w:r>
        <w:rPr>
          <w:rFonts w:ascii="Garamond" w:hAnsi="Garamond" w:cs="Garamond"/>
          <w:spacing w:val="-11"/>
          <w:sz w:val="20"/>
          <w:szCs w:val="20"/>
        </w:rPr>
        <w:t xml:space="preserve"> </w:t>
      </w:r>
      <w:r>
        <w:rPr>
          <w:rFonts w:ascii="Garamond" w:hAnsi="Garamond" w:cs="Garamond"/>
          <w:sz w:val="20"/>
          <w:szCs w:val="20"/>
        </w:rPr>
        <w:t>World:</w:t>
      </w:r>
      <w:r>
        <w:rPr>
          <w:rFonts w:ascii="Garamond" w:hAnsi="Garamond" w:cs="Garamond"/>
          <w:spacing w:val="-12"/>
          <w:sz w:val="20"/>
          <w:szCs w:val="20"/>
        </w:rPr>
        <w:t xml:space="preserve"> </w:t>
      </w:r>
      <w:r>
        <w:rPr>
          <w:rFonts w:ascii="Garamond" w:hAnsi="Garamond" w:cs="Garamond"/>
          <w:sz w:val="20"/>
          <w:szCs w:val="20"/>
        </w:rPr>
        <w:t>The</w:t>
      </w:r>
      <w:r>
        <w:rPr>
          <w:rFonts w:ascii="Garamond" w:hAnsi="Garamond" w:cs="Garamond"/>
          <w:spacing w:val="-8"/>
          <w:sz w:val="20"/>
          <w:szCs w:val="20"/>
        </w:rPr>
        <w:t xml:space="preserve"> </w:t>
      </w:r>
      <w:r>
        <w:rPr>
          <w:rFonts w:ascii="Garamond" w:hAnsi="Garamond" w:cs="Garamond"/>
          <w:sz w:val="20"/>
          <w:szCs w:val="20"/>
        </w:rPr>
        <w:t>Engaged</w:t>
      </w:r>
      <w:r>
        <w:rPr>
          <w:rFonts w:ascii="Garamond" w:hAnsi="Garamond" w:cs="Garamond"/>
          <w:spacing w:val="-8"/>
          <w:sz w:val="20"/>
          <w:szCs w:val="20"/>
        </w:rPr>
        <w:t xml:space="preserve"> </w:t>
      </w:r>
      <w:r>
        <w:rPr>
          <w:rFonts w:ascii="Garamond" w:hAnsi="Garamond" w:cs="Garamond"/>
          <w:sz w:val="20"/>
          <w:szCs w:val="20"/>
        </w:rPr>
        <w:t xml:space="preserve">Patient and the Accountable Care Organization. Health Quality Advisors, available at: </w:t>
      </w:r>
      <w:hyperlink r:id="rId317" w:history="1">
        <w:r>
          <w:rPr>
            <w:rFonts w:ascii="Garamond" w:hAnsi="Garamond" w:cs="Garamond"/>
            <w:color w:val="0000FF"/>
            <w:spacing w:val="-1"/>
            <w:w w:val="95"/>
            <w:sz w:val="20"/>
            <w:szCs w:val="20"/>
            <w:u w:val="single"/>
          </w:rPr>
          <w:t>http://www.nationalpartnership.org/research-library/health-care/building-patient-centeredness-in-the-real-world.pdf</w:t>
        </w:r>
        <w:r>
          <w:rPr>
            <w:rFonts w:ascii="Garamond" w:hAnsi="Garamond" w:cs="Garamond"/>
            <w:color w:val="000000"/>
            <w:spacing w:val="-1"/>
            <w:w w:val="95"/>
            <w:sz w:val="20"/>
            <w:szCs w:val="20"/>
          </w:rPr>
          <w:t>;</w:t>
        </w:r>
      </w:hyperlink>
      <w:r>
        <w:rPr>
          <w:rFonts w:ascii="Garamond" w:hAnsi="Garamond" w:cs="Garamond"/>
          <w:color w:val="000000"/>
          <w:spacing w:val="-1"/>
          <w:w w:val="95"/>
          <w:sz w:val="20"/>
          <w:szCs w:val="20"/>
        </w:rPr>
        <w:t xml:space="preserve"> </w:t>
      </w:r>
      <w:r>
        <w:rPr>
          <w:rFonts w:ascii="Garamond" w:hAnsi="Garamond" w:cs="Garamond"/>
          <w:color w:val="000000"/>
          <w:sz w:val="20"/>
          <w:szCs w:val="20"/>
        </w:rPr>
        <w:t xml:space="preserve">HCFA can also provide the following: HCFA’s Principles to Achieve Meaningful Patient and Family Engagement in Care and Multidimensional Framework for Patient and Family Engagement in Health and Health Care: A Model </w:t>
      </w:r>
      <w:r>
        <w:rPr>
          <w:rFonts w:ascii="Garamond" w:hAnsi="Garamond" w:cs="Garamond"/>
          <w:color w:val="000000"/>
          <w:spacing w:val="-3"/>
          <w:sz w:val="20"/>
          <w:szCs w:val="20"/>
        </w:rPr>
        <w:t xml:space="preserve">for </w:t>
      </w:r>
      <w:r>
        <w:rPr>
          <w:rFonts w:ascii="Garamond" w:hAnsi="Garamond" w:cs="Garamond"/>
          <w:color w:val="000000"/>
          <w:sz w:val="20"/>
          <w:szCs w:val="20"/>
        </w:rPr>
        <w:t>Massachusetts</w:t>
      </w:r>
      <w:r>
        <w:rPr>
          <w:rFonts w:ascii="Garamond" w:hAnsi="Garamond" w:cs="Garamond"/>
          <w:color w:val="000000"/>
          <w:spacing w:val="-39"/>
          <w:sz w:val="20"/>
          <w:szCs w:val="20"/>
        </w:rPr>
        <w:t xml:space="preserve"> </w:t>
      </w:r>
      <w:r>
        <w:rPr>
          <w:rFonts w:ascii="Garamond" w:hAnsi="Garamond" w:cs="Garamond"/>
          <w:color w:val="000000"/>
          <w:sz w:val="20"/>
          <w:szCs w:val="20"/>
        </w:rPr>
        <w:t>(2015).</w:t>
      </w:r>
    </w:p>
    <w:p w:rsidR="002C5025" w:rsidRDefault="002C5025">
      <w:pPr>
        <w:pStyle w:val="BodyText"/>
        <w:kinsoku w:val="0"/>
        <w:overflowPunct w:val="0"/>
        <w:ind w:left="120" w:right="160"/>
        <w:rPr>
          <w:rFonts w:ascii="Garamond" w:hAnsi="Garamond" w:cs="Garamond"/>
          <w:sz w:val="20"/>
          <w:szCs w:val="20"/>
        </w:rPr>
      </w:pPr>
      <w:r>
        <w:rPr>
          <w:rFonts w:ascii="Garamond" w:hAnsi="Garamond" w:cs="Garamond"/>
          <w:position w:val="5"/>
          <w:sz w:val="13"/>
          <w:szCs w:val="13"/>
        </w:rPr>
        <w:t>6</w:t>
      </w:r>
      <w:r>
        <w:rPr>
          <w:rFonts w:ascii="Garamond" w:hAnsi="Garamond" w:cs="Garamond"/>
          <w:spacing w:val="6"/>
          <w:position w:val="5"/>
          <w:sz w:val="13"/>
          <w:szCs w:val="13"/>
        </w:rPr>
        <w:t xml:space="preserve"> </w:t>
      </w:r>
      <w:r>
        <w:rPr>
          <w:rFonts w:ascii="Garamond" w:hAnsi="Garamond" w:cs="Garamond"/>
          <w:sz w:val="20"/>
          <w:szCs w:val="20"/>
        </w:rPr>
        <w:t>Institute</w:t>
      </w:r>
      <w:r>
        <w:rPr>
          <w:rFonts w:ascii="Garamond" w:hAnsi="Garamond" w:cs="Garamond"/>
          <w:spacing w:val="-11"/>
          <w:sz w:val="20"/>
          <w:szCs w:val="20"/>
        </w:rPr>
        <w:t xml:space="preserve"> </w:t>
      </w:r>
      <w:r>
        <w:rPr>
          <w:rFonts w:ascii="Garamond" w:hAnsi="Garamond" w:cs="Garamond"/>
          <w:sz w:val="20"/>
          <w:szCs w:val="20"/>
        </w:rPr>
        <w:t>for</w:t>
      </w:r>
      <w:r>
        <w:rPr>
          <w:rFonts w:ascii="Garamond" w:hAnsi="Garamond" w:cs="Garamond"/>
          <w:spacing w:val="-10"/>
          <w:sz w:val="20"/>
          <w:szCs w:val="20"/>
        </w:rPr>
        <w:t xml:space="preserve"> </w:t>
      </w:r>
      <w:r>
        <w:rPr>
          <w:rFonts w:ascii="Garamond" w:hAnsi="Garamond" w:cs="Garamond"/>
          <w:sz w:val="20"/>
          <w:szCs w:val="20"/>
        </w:rPr>
        <w:t>Patient-</w:t>
      </w:r>
      <w:r>
        <w:rPr>
          <w:rFonts w:ascii="Garamond" w:hAnsi="Garamond" w:cs="Garamond"/>
          <w:spacing w:val="-11"/>
          <w:sz w:val="20"/>
          <w:szCs w:val="20"/>
        </w:rPr>
        <w:t xml:space="preserve"> </w:t>
      </w:r>
      <w:r>
        <w:rPr>
          <w:rFonts w:ascii="Garamond" w:hAnsi="Garamond" w:cs="Garamond"/>
          <w:sz w:val="20"/>
          <w:szCs w:val="20"/>
        </w:rPr>
        <w:t>and</w:t>
      </w:r>
      <w:r>
        <w:rPr>
          <w:rFonts w:ascii="Garamond" w:hAnsi="Garamond" w:cs="Garamond"/>
          <w:spacing w:val="-10"/>
          <w:sz w:val="20"/>
          <w:szCs w:val="20"/>
        </w:rPr>
        <w:t xml:space="preserve"> </w:t>
      </w:r>
      <w:r>
        <w:rPr>
          <w:rFonts w:ascii="Garamond" w:hAnsi="Garamond" w:cs="Garamond"/>
          <w:sz w:val="20"/>
          <w:szCs w:val="20"/>
        </w:rPr>
        <w:t>Family-Centered</w:t>
      </w:r>
      <w:r>
        <w:rPr>
          <w:rFonts w:ascii="Garamond" w:hAnsi="Garamond" w:cs="Garamond"/>
          <w:spacing w:val="-10"/>
          <w:sz w:val="20"/>
          <w:szCs w:val="20"/>
        </w:rPr>
        <w:t xml:space="preserve"> </w:t>
      </w:r>
      <w:r>
        <w:rPr>
          <w:rFonts w:ascii="Garamond" w:hAnsi="Garamond" w:cs="Garamond"/>
          <w:sz w:val="20"/>
          <w:szCs w:val="20"/>
        </w:rPr>
        <w:t>Care.</w:t>
      </w:r>
      <w:r>
        <w:rPr>
          <w:rFonts w:ascii="Garamond" w:hAnsi="Garamond" w:cs="Garamond"/>
          <w:spacing w:val="-13"/>
          <w:sz w:val="20"/>
          <w:szCs w:val="20"/>
        </w:rPr>
        <w:t xml:space="preserve"> </w:t>
      </w:r>
      <w:r>
        <w:rPr>
          <w:rFonts w:ascii="Garamond" w:hAnsi="Garamond" w:cs="Garamond"/>
          <w:sz w:val="20"/>
          <w:szCs w:val="20"/>
        </w:rPr>
        <w:t>(2014).</w:t>
      </w:r>
      <w:r>
        <w:rPr>
          <w:rFonts w:ascii="Garamond" w:hAnsi="Garamond" w:cs="Garamond"/>
          <w:spacing w:val="-11"/>
          <w:sz w:val="20"/>
          <w:szCs w:val="20"/>
        </w:rPr>
        <w:t xml:space="preserve"> </w:t>
      </w:r>
      <w:r>
        <w:rPr>
          <w:rFonts w:ascii="Garamond" w:hAnsi="Garamond" w:cs="Garamond"/>
          <w:i/>
          <w:iCs/>
          <w:sz w:val="20"/>
          <w:szCs w:val="20"/>
        </w:rPr>
        <w:t>Advancing</w:t>
      </w:r>
      <w:r>
        <w:rPr>
          <w:rFonts w:ascii="Garamond" w:hAnsi="Garamond" w:cs="Garamond"/>
          <w:i/>
          <w:iCs/>
          <w:spacing w:val="-12"/>
          <w:sz w:val="20"/>
          <w:szCs w:val="20"/>
        </w:rPr>
        <w:t xml:space="preserve"> </w:t>
      </w:r>
      <w:r>
        <w:rPr>
          <w:rFonts w:ascii="Garamond" w:hAnsi="Garamond" w:cs="Garamond"/>
          <w:i/>
          <w:iCs/>
          <w:sz w:val="20"/>
          <w:szCs w:val="20"/>
        </w:rPr>
        <w:t>the</w:t>
      </w:r>
      <w:r>
        <w:rPr>
          <w:rFonts w:ascii="Garamond" w:hAnsi="Garamond" w:cs="Garamond"/>
          <w:i/>
          <w:iCs/>
          <w:spacing w:val="-13"/>
          <w:sz w:val="20"/>
          <w:szCs w:val="20"/>
        </w:rPr>
        <w:t xml:space="preserve"> </w:t>
      </w:r>
      <w:r>
        <w:rPr>
          <w:rFonts w:ascii="Garamond" w:hAnsi="Garamond" w:cs="Garamond"/>
          <w:i/>
          <w:iCs/>
          <w:sz w:val="20"/>
          <w:szCs w:val="20"/>
        </w:rPr>
        <w:t>Practice</w:t>
      </w:r>
      <w:r>
        <w:rPr>
          <w:rFonts w:ascii="Garamond" w:hAnsi="Garamond" w:cs="Garamond"/>
          <w:i/>
          <w:iCs/>
          <w:spacing w:val="-13"/>
          <w:sz w:val="20"/>
          <w:szCs w:val="20"/>
        </w:rPr>
        <w:t xml:space="preserve"> </w:t>
      </w:r>
      <w:r>
        <w:rPr>
          <w:rFonts w:ascii="Garamond" w:hAnsi="Garamond" w:cs="Garamond"/>
          <w:i/>
          <w:iCs/>
          <w:sz w:val="20"/>
          <w:szCs w:val="20"/>
        </w:rPr>
        <w:t>of</w:t>
      </w:r>
      <w:r>
        <w:rPr>
          <w:rFonts w:ascii="Garamond" w:hAnsi="Garamond" w:cs="Garamond"/>
          <w:i/>
          <w:iCs/>
          <w:spacing w:val="-13"/>
          <w:sz w:val="20"/>
          <w:szCs w:val="20"/>
        </w:rPr>
        <w:t xml:space="preserve"> </w:t>
      </w:r>
      <w:r>
        <w:rPr>
          <w:rFonts w:ascii="Garamond" w:hAnsi="Garamond" w:cs="Garamond"/>
          <w:i/>
          <w:iCs/>
          <w:sz w:val="20"/>
          <w:szCs w:val="20"/>
        </w:rPr>
        <w:t>Patient-</w:t>
      </w:r>
      <w:r>
        <w:rPr>
          <w:rFonts w:ascii="Garamond" w:hAnsi="Garamond" w:cs="Garamond"/>
          <w:i/>
          <w:iCs/>
          <w:spacing w:val="-10"/>
          <w:sz w:val="20"/>
          <w:szCs w:val="20"/>
        </w:rPr>
        <w:t xml:space="preserve"> </w:t>
      </w:r>
      <w:r>
        <w:rPr>
          <w:rFonts w:ascii="Garamond" w:hAnsi="Garamond" w:cs="Garamond"/>
          <w:i/>
          <w:iCs/>
          <w:sz w:val="20"/>
          <w:szCs w:val="20"/>
        </w:rPr>
        <w:t>And</w:t>
      </w:r>
      <w:r>
        <w:rPr>
          <w:rFonts w:ascii="Garamond" w:hAnsi="Garamond" w:cs="Garamond"/>
          <w:i/>
          <w:iCs/>
          <w:spacing w:val="-10"/>
          <w:sz w:val="20"/>
          <w:szCs w:val="20"/>
        </w:rPr>
        <w:t xml:space="preserve"> </w:t>
      </w:r>
      <w:r>
        <w:rPr>
          <w:rFonts w:ascii="Garamond" w:hAnsi="Garamond" w:cs="Garamond"/>
          <w:i/>
          <w:iCs/>
          <w:sz w:val="20"/>
          <w:szCs w:val="20"/>
        </w:rPr>
        <w:t>Family-Centered</w:t>
      </w:r>
      <w:r>
        <w:rPr>
          <w:rFonts w:ascii="Garamond" w:hAnsi="Garamond" w:cs="Garamond"/>
          <w:i/>
          <w:iCs/>
          <w:spacing w:val="-10"/>
          <w:sz w:val="20"/>
          <w:szCs w:val="20"/>
        </w:rPr>
        <w:t xml:space="preserve"> </w:t>
      </w:r>
      <w:r>
        <w:rPr>
          <w:rFonts w:ascii="Garamond" w:hAnsi="Garamond" w:cs="Garamond"/>
          <w:i/>
          <w:iCs/>
          <w:sz w:val="20"/>
          <w:szCs w:val="20"/>
        </w:rPr>
        <w:t>Care:</w:t>
      </w:r>
      <w:r>
        <w:rPr>
          <w:rFonts w:ascii="Garamond" w:hAnsi="Garamond" w:cs="Garamond"/>
          <w:i/>
          <w:iCs/>
          <w:spacing w:val="-11"/>
          <w:sz w:val="20"/>
          <w:szCs w:val="20"/>
        </w:rPr>
        <w:t xml:space="preserve"> </w:t>
      </w:r>
      <w:r>
        <w:rPr>
          <w:rFonts w:ascii="Garamond" w:hAnsi="Garamond" w:cs="Garamond"/>
          <w:i/>
          <w:iCs/>
          <w:sz w:val="20"/>
          <w:szCs w:val="20"/>
        </w:rPr>
        <w:t>How</w:t>
      </w:r>
      <w:r>
        <w:rPr>
          <w:rFonts w:ascii="Garamond" w:hAnsi="Garamond" w:cs="Garamond"/>
          <w:i/>
          <w:iCs/>
          <w:spacing w:val="-12"/>
          <w:sz w:val="20"/>
          <w:szCs w:val="20"/>
        </w:rPr>
        <w:t xml:space="preserve"> </w:t>
      </w:r>
      <w:r>
        <w:rPr>
          <w:rFonts w:ascii="Garamond" w:hAnsi="Garamond" w:cs="Garamond"/>
          <w:i/>
          <w:iCs/>
          <w:sz w:val="20"/>
          <w:szCs w:val="20"/>
        </w:rPr>
        <w:t>To Get</w:t>
      </w:r>
      <w:r>
        <w:rPr>
          <w:rFonts w:ascii="Garamond" w:hAnsi="Garamond" w:cs="Garamond"/>
          <w:i/>
          <w:iCs/>
          <w:spacing w:val="-18"/>
          <w:sz w:val="20"/>
          <w:szCs w:val="20"/>
        </w:rPr>
        <w:t xml:space="preserve"> </w:t>
      </w:r>
      <w:r>
        <w:rPr>
          <w:rFonts w:ascii="Garamond" w:hAnsi="Garamond" w:cs="Garamond"/>
          <w:i/>
          <w:iCs/>
          <w:sz w:val="20"/>
          <w:szCs w:val="20"/>
        </w:rPr>
        <w:t>Started</w:t>
      </w:r>
      <w:r>
        <w:rPr>
          <w:rFonts w:ascii="Garamond" w:hAnsi="Garamond" w:cs="Garamond"/>
          <w:sz w:val="20"/>
          <w:szCs w:val="20"/>
        </w:rPr>
        <w:t>.</w:t>
      </w:r>
      <w:r>
        <w:rPr>
          <w:rFonts w:ascii="Garamond" w:hAnsi="Garamond" w:cs="Garamond"/>
          <w:spacing w:val="-17"/>
          <w:sz w:val="20"/>
          <w:szCs w:val="20"/>
        </w:rPr>
        <w:t xml:space="preserve"> </w:t>
      </w:r>
      <w:r>
        <w:rPr>
          <w:rFonts w:ascii="Garamond" w:hAnsi="Garamond" w:cs="Garamond"/>
          <w:sz w:val="20"/>
          <w:szCs w:val="20"/>
        </w:rPr>
        <w:t>Bethesda,</w:t>
      </w:r>
      <w:r>
        <w:rPr>
          <w:rFonts w:ascii="Garamond" w:hAnsi="Garamond" w:cs="Garamond"/>
          <w:spacing w:val="-17"/>
          <w:sz w:val="20"/>
          <w:szCs w:val="20"/>
        </w:rPr>
        <w:t xml:space="preserve"> </w:t>
      </w:r>
      <w:r>
        <w:rPr>
          <w:rFonts w:ascii="Garamond" w:hAnsi="Garamond" w:cs="Garamond"/>
          <w:sz w:val="20"/>
          <w:szCs w:val="20"/>
        </w:rPr>
        <w:t>MD.</w:t>
      </w:r>
    </w:p>
    <w:p w:rsidR="002C5025" w:rsidRDefault="002C5025">
      <w:pPr>
        <w:pStyle w:val="BodyText"/>
        <w:kinsoku w:val="0"/>
        <w:overflowPunct w:val="0"/>
        <w:spacing w:before="5"/>
        <w:rPr>
          <w:rFonts w:ascii="Garamond" w:hAnsi="Garamond" w:cs="Garamond"/>
          <w:sz w:val="11"/>
          <w:szCs w:val="11"/>
        </w:rPr>
      </w:pPr>
    </w:p>
    <w:p w:rsidR="002C5025" w:rsidRDefault="002C5025">
      <w:pPr>
        <w:pStyle w:val="BodyText"/>
        <w:kinsoku w:val="0"/>
        <w:overflowPunct w:val="0"/>
        <w:spacing w:before="80"/>
        <w:ind w:left="122"/>
        <w:jc w:val="center"/>
        <w:rPr>
          <w:rFonts w:ascii="Garamond" w:hAnsi="Garamond" w:cs="Garamond"/>
          <w:w w:val="99"/>
          <w:sz w:val="20"/>
          <w:szCs w:val="20"/>
        </w:rPr>
      </w:pPr>
      <w:r>
        <w:rPr>
          <w:rFonts w:ascii="Garamond" w:hAnsi="Garamond" w:cs="Garamond"/>
          <w:w w:val="99"/>
          <w:sz w:val="20"/>
          <w:szCs w:val="20"/>
        </w:rPr>
        <w:t>3</w:t>
      </w:r>
    </w:p>
    <w:p w:rsidR="002C5025" w:rsidRDefault="002C5025">
      <w:pPr>
        <w:pStyle w:val="BodyText"/>
        <w:kinsoku w:val="0"/>
        <w:overflowPunct w:val="0"/>
        <w:spacing w:before="80"/>
        <w:ind w:left="122"/>
        <w:jc w:val="center"/>
        <w:rPr>
          <w:rFonts w:ascii="Garamond" w:hAnsi="Garamond" w:cs="Garamond"/>
          <w:w w:val="99"/>
          <w:sz w:val="20"/>
          <w:szCs w:val="20"/>
        </w:rPr>
        <w:sectPr w:rsidR="002C5025">
          <w:pgSz w:w="12240" w:h="15840"/>
          <w:pgMar w:top="1380" w:right="1440" w:bottom="280" w:left="1320" w:header="720" w:footer="720" w:gutter="0"/>
          <w:cols w:space="720" w:equalWidth="0">
            <w:col w:w="9480"/>
          </w:cols>
          <w:noEndnote/>
        </w:sectPr>
      </w:pPr>
    </w:p>
    <w:p w:rsidR="002C5025" w:rsidRDefault="002C5025">
      <w:pPr>
        <w:pStyle w:val="BodyText"/>
        <w:kinsoku w:val="0"/>
        <w:overflowPunct w:val="0"/>
        <w:spacing w:before="6"/>
        <w:rPr>
          <w:rFonts w:ascii="Garamond" w:hAnsi="Garamond" w:cs="Garamond"/>
          <w:sz w:val="9"/>
          <w:szCs w:val="9"/>
        </w:rPr>
      </w:pPr>
    </w:p>
    <w:p w:rsidR="002C5025" w:rsidRDefault="002C5025">
      <w:pPr>
        <w:pStyle w:val="BodyText"/>
        <w:kinsoku w:val="0"/>
        <w:overflowPunct w:val="0"/>
        <w:spacing w:before="80"/>
        <w:ind w:left="118" w:right="96" w:firstLine="1"/>
        <w:rPr>
          <w:rFonts w:ascii="Garamond" w:hAnsi="Garamond" w:cs="Garamond"/>
        </w:rPr>
      </w:pPr>
      <w:r>
        <w:rPr>
          <w:rFonts w:ascii="Garamond" w:hAnsi="Garamond" w:cs="Garamond"/>
        </w:rPr>
        <w:t xml:space="preserve">We applaud MassHealth for including in the Waiver Request a requirement that all </w:t>
      </w:r>
      <w:r>
        <w:rPr>
          <w:rFonts w:ascii="Garamond" w:hAnsi="Garamond" w:cs="Garamond"/>
          <w:spacing w:val="-3"/>
        </w:rPr>
        <w:t xml:space="preserve">ACOs </w:t>
      </w:r>
      <w:r>
        <w:rPr>
          <w:rFonts w:ascii="Garamond" w:hAnsi="Garamond" w:cs="Garamond"/>
        </w:rPr>
        <w:t>include patient/consumer</w:t>
      </w:r>
      <w:r>
        <w:rPr>
          <w:rFonts w:ascii="Garamond" w:hAnsi="Garamond" w:cs="Garamond"/>
          <w:spacing w:val="-12"/>
        </w:rPr>
        <w:t xml:space="preserve"> </w:t>
      </w:r>
      <w:r>
        <w:rPr>
          <w:rFonts w:ascii="Garamond" w:hAnsi="Garamond" w:cs="Garamond"/>
        </w:rPr>
        <w:t>representation</w:t>
      </w:r>
      <w:r>
        <w:rPr>
          <w:rFonts w:ascii="Garamond" w:hAnsi="Garamond" w:cs="Garamond"/>
          <w:spacing w:val="-9"/>
        </w:rPr>
        <w:t xml:space="preserve"> </w:t>
      </w:r>
      <w:r>
        <w:rPr>
          <w:rFonts w:ascii="Garamond" w:hAnsi="Garamond" w:cs="Garamond"/>
        </w:rPr>
        <w:t>in</w:t>
      </w:r>
      <w:r>
        <w:rPr>
          <w:rFonts w:ascii="Garamond" w:hAnsi="Garamond" w:cs="Garamond"/>
          <w:spacing w:val="-12"/>
        </w:rPr>
        <w:t xml:space="preserve"> </w:t>
      </w:r>
      <w:r>
        <w:rPr>
          <w:rFonts w:ascii="Garamond" w:hAnsi="Garamond" w:cs="Garamond"/>
        </w:rPr>
        <w:t>their</w:t>
      </w:r>
      <w:r>
        <w:rPr>
          <w:rFonts w:ascii="Garamond" w:hAnsi="Garamond" w:cs="Garamond"/>
          <w:spacing w:val="-8"/>
        </w:rPr>
        <w:t xml:space="preserve"> </w:t>
      </w:r>
      <w:r>
        <w:rPr>
          <w:rFonts w:ascii="Garamond" w:hAnsi="Garamond" w:cs="Garamond"/>
        </w:rPr>
        <w:t>governance</w:t>
      </w:r>
      <w:r>
        <w:rPr>
          <w:rFonts w:ascii="Garamond" w:hAnsi="Garamond" w:cs="Garamond"/>
          <w:spacing w:val="-14"/>
        </w:rPr>
        <w:t xml:space="preserve"> </w:t>
      </w:r>
      <w:r>
        <w:rPr>
          <w:rFonts w:ascii="Garamond" w:hAnsi="Garamond" w:cs="Garamond"/>
        </w:rPr>
        <w:t>structure</w:t>
      </w:r>
      <w:r>
        <w:rPr>
          <w:rFonts w:ascii="Garamond" w:hAnsi="Garamond" w:cs="Garamond"/>
          <w:spacing w:val="-10"/>
        </w:rPr>
        <w:t xml:space="preserve"> </w:t>
      </w:r>
      <w:r>
        <w:rPr>
          <w:rFonts w:ascii="Garamond" w:hAnsi="Garamond" w:cs="Garamond"/>
        </w:rPr>
        <w:t>and</w:t>
      </w:r>
      <w:r>
        <w:rPr>
          <w:rFonts w:ascii="Garamond" w:hAnsi="Garamond" w:cs="Garamond"/>
          <w:spacing w:val="-9"/>
        </w:rPr>
        <w:t xml:space="preserve"> </w:t>
      </w:r>
      <w:r>
        <w:rPr>
          <w:rFonts w:ascii="Garamond" w:hAnsi="Garamond" w:cs="Garamond"/>
        </w:rPr>
        <w:t>establish</w:t>
      </w:r>
      <w:r>
        <w:rPr>
          <w:rFonts w:ascii="Garamond" w:hAnsi="Garamond" w:cs="Garamond"/>
          <w:spacing w:val="-9"/>
        </w:rPr>
        <w:t xml:space="preserve"> </w:t>
      </w:r>
      <w:r>
        <w:rPr>
          <w:rFonts w:ascii="Garamond" w:hAnsi="Garamond" w:cs="Garamond"/>
        </w:rPr>
        <w:t>a</w:t>
      </w:r>
      <w:r>
        <w:rPr>
          <w:rFonts w:ascii="Garamond" w:hAnsi="Garamond" w:cs="Garamond"/>
          <w:spacing w:val="-17"/>
        </w:rPr>
        <w:t xml:space="preserve"> </w:t>
      </w:r>
      <w:r>
        <w:rPr>
          <w:rFonts w:ascii="Garamond" w:hAnsi="Garamond" w:cs="Garamond"/>
        </w:rPr>
        <w:t>Patient</w:t>
      </w:r>
      <w:r>
        <w:rPr>
          <w:rFonts w:ascii="Garamond" w:hAnsi="Garamond" w:cs="Garamond"/>
          <w:spacing w:val="-11"/>
        </w:rPr>
        <w:t xml:space="preserve"> </w:t>
      </w:r>
      <w:r>
        <w:rPr>
          <w:rFonts w:ascii="Garamond" w:hAnsi="Garamond" w:cs="Garamond"/>
        </w:rPr>
        <w:t>and</w:t>
      </w:r>
      <w:r>
        <w:rPr>
          <w:rFonts w:ascii="Garamond" w:hAnsi="Garamond" w:cs="Garamond"/>
          <w:spacing w:val="-12"/>
        </w:rPr>
        <w:t xml:space="preserve"> </w:t>
      </w:r>
      <w:r>
        <w:rPr>
          <w:rFonts w:ascii="Garamond" w:hAnsi="Garamond" w:cs="Garamond"/>
        </w:rPr>
        <w:t>Family</w:t>
      </w:r>
      <w:r>
        <w:rPr>
          <w:rFonts w:ascii="Garamond" w:hAnsi="Garamond" w:cs="Garamond"/>
          <w:spacing w:val="-12"/>
        </w:rPr>
        <w:t xml:space="preserve"> </w:t>
      </w:r>
      <w:r>
        <w:rPr>
          <w:rFonts w:ascii="Garamond" w:hAnsi="Garamond" w:cs="Garamond"/>
        </w:rPr>
        <w:t xml:space="preserve">Advisory Committee (PFAC) as part of the HPC’s certification requirements (23). We urge MassHealth to ensure meaningful </w:t>
      </w:r>
      <w:r>
        <w:rPr>
          <w:rFonts w:ascii="Garamond" w:hAnsi="Garamond" w:cs="Garamond"/>
          <w:spacing w:val="-3"/>
        </w:rPr>
        <w:t xml:space="preserve">involvement </w:t>
      </w:r>
      <w:r>
        <w:rPr>
          <w:rFonts w:ascii="Garamond" w:hAnsi="Garamond" w:cs="Garamond"/>
        </w:rPr>
        <w:t xml:space="preserve">of members and consumer advocates in governing </w:t>
      </w:r>
      <w:r>
        <w:rPr>
          <w:rFonts w:ascii="Garamond" w:hAnsi="Garamond" w:cs="Garamond"/>
          <w:spacing w:val="-3"/>
        </w:rPr>
        <w:t xml:space="preserve">bodies and </w:t>
      </w:r>
      <w:r>
        <w:rPr>
          <w:rFonts w:ascii="Garamond" w:hAnsi="Garamond" w:cs="Garamond"/>
        </w:rPr>
        <w:t>PFACs in the following</w:t>
      </w:r>
      <w:r>
        <w:rPr>
          <w:rFonts w:ascii="Garamond" w:hAnsi="Garamond" w:cs="Garamond"/>
          <w:spacing w:val="-19"/>
        </w:rPr>
        <w:t xml:space="preserve"> </w:t>
      </w:r>
      <w:r>
        <w:rPr>
          <w:rFonts w:ascii="Garamond" w:hAnsi="Garamond" w:cs="Garamond"/>
        </w:rPr>
        <w:t>ways:</w:t>
      </w:r>
    </w:p>
    <w:p w:rsidR="002C5025" w:rsidRDefault="002C5025">
      <w:pPr>
        <w:pStyle w:val="BodyText"/>
        <w:kinsoku w:val="0"/>
        <w:overflowPunct w:val="0"/>
        <w:spacing w:before="7"/>
        <w:rPr>
          <w:rFonts w:ascii="Garamond" w:hAnsi="Garamond" w:cs="Garamond"/>
          <w:sz w:val="21"/>
          <w:szCs w:val="21"/>
        </w:rPr>
      </w:pPr>
    </w:p>
    <w:p w:rsidR="002C5025" w:rsidRDefault="002C5025">
      <w:pPr>
        <w:pStyle w:val="ListParagraph"/>
        <w:numPr>
          <w:ilvl w:val="2"/>
          <w:numId w:val="49"/>
        </w:numPr>
        <w:tabs>
          <w:tab w:val="left" w:pos="841"/>
        </w:tabs>
        <w:kinsoku w:val="0"/>
        <w:overflowPunct w:val="0"/>
        <w:ind w:right="98" w:hanging="358"/>
        <w:rPr>
          <w:rFonts w:ascii="Garamond" w:hAnsi="Garamond" w:cs="Garamond"/>
          <w:spacing w:val="-3"/>
          <w:sz w:val="22"/>
          <w:szCs w:val="22"/>
        </w:rPr>
      </w:pPr>
      <w:r>
        <w:rPr>
          <w:rFonts w:ascii="Garamond" w:hAnsi="Garamond" w:cs="Garamond"/>
          <w:sz w:val="22"/>
          <w:szCs w:val="22"/>
          <w:u w:val="single"/>
        </w:rPr>
        <w:t>Sufficient</w:t>
      </w:r>
      <w:r>
        <w:rPr>
          <w:rFonts w:ascii="Garamond" w:hAnsi="Garamond" w:cs="Garamond"/>
          <w:spacing w:val="-7"/>
          <w:sz w:val="22"/>
          <w:szCs w:val="22"/>
          <w:u w:val="single"/>
        </w:rPr>
        <w:t xml:space="preserve"> </w:t>
      </w:r>
      <w:r>
        <w:rPr>
          <w:rFonts w:ascii="Garamond" w:hAnsi="Garamond" w:cs="Garamond"/>
          <w:sz w:val="22"/>
          <w:szCs w:val="22"/>
          <w:u w:val="single"/>
        </w:rPr>
        <w:t>and</w:t>
      </w:r>
      <w:r>
        <w:rPr>
          <w:rFonts w:ascii="Garamond" w:hAnsi="Garamond" w:cs="Garamond"/>
          <w:spacing w:val="-5"/>
          <w:sz w:val="22"/>
          <w:szCs w:val="22"/>
          <w:u w:val="single"/>
        </w:rPr>
        <w:t xml:space="preserve"> </w:t>
      </w:r>
      <w:r>
        <w:rPr>
          <w:rFonts w:ascii="Garamond" w:hAnsi="Garamond" w:cs="Garamond"/>
          <w:sz w:val="22"/>
          <w:szCs w:val="22"/>
          <w:u w:val="single"/>
        </w:rPr>
        <w:t>appropriate</w:t>
      </w:r>
      <w:r>
        <w:rPr>
          <w:rFonts w:ascii="Garamond" w:hAnsi="Garamond" w:cs="Garamond"/>
          <w:spacing w:val="-6"/>
          <w:sz w:val="22"/>
          <w:szCs w:val="22"/>
          <w:u w:val="single"/>
        </w:rPr>
        <w:t xml:space="preserve"> </w:t>
      </w:r>
      <w:r>
        <w:rPr>
          <w:rFonts w:ascii="Garamond" w:hAnsi="Garamond" w:cs="Garamond"/>
          <w:spacing w:val="-3"/>
          <w:sz w:val="22"/>
          <w:szCs w:val="22"/>
          <w:u w:val="single"/>
        </w:rPr>
        <w:t>representation</w:t>
      </w:r>
      <w:r>
        <w:rPr>
          <w:rFonts w:ascii="Garamond" w:hAnsi="Garamond" w:cs="Garamond"/>
          <w:spacing w:val="-8"/>
          <w:sz w:val="22"/>
          <w:szCs w:val="22"/>
          <w:u w:val="single"/>
        </w:rPr>
        <w:t xml:space="preserve"> </w:t>
      </w:r>
      <w:r>
        <w:rPr>
          <w:rFonts w:ascii="Garamond" w:hAnsi="Garamond" w:cs="Garamond"/>
          <w:sz w:val="22"/>
          <w:szCs w:val="22"/>
          <w:u w:val="single"/>
        </w:rPr>
        <w:t>on</w:t>
      </w:r>
      <w:r>
        <w:rPr>
          <w:rFonts w:ascii="Garamond" w:hAnsi="Garamond" w:cs="Garamond"/>
          <w:spacing w:val="-8"/>
          <w:sz w:val="22"/>
          <w:szCs w:val="22"/>
          <w:u w:val="single"/>
        </w:rPr>
        <w:t xml:space="preserve"> </w:t>
      </w:r>
      <w:r>
        <w:rPr>
          <w:rFonts w:ascii="Garamond" w:hAnsi="Garamond" w:cs="Garamond"/>
          <w:sz w:val="22"/>
          <w:szCs w:val="22"/>
          <w:u w:val="single"/>
        </w:rPr>
        <w:t>the</w:t>
      </w:r>
      <w:r>
        <w:rPr>
          <w:rFonts w:ascii="Garamond" w:hAnsi="Garamond" w:cs="Garamond"/>
          <w:spacing w:val="-9"/>
          <w:sz w:val="22"/>
          <w:szCs w:val="22"/>
          <w:u w:val="single"/>
        </w:rPr>
        <w:t xml:space="preserve"> </w:t>
      </w:r>
      <w:r>
        <w:rPr>
          <w:rFonts w:ascii="Garamond" w:hAnsi="Garamond" w:cs="Garamond"/>
          <w:sz w:val="22"/>
          <w:szCs w:val="22"/>
          <w:u w:val="single"/>
        </w:rPr>
        <w:t>ACO’s</w:t>
      </w:r>
      <w:r>
        <w:rPr>
          <w:rFonts w:ascii="Garamond" w:hAnsi="Garamond" w:cs="Garamond"/>
          <w:spacing w:val="-9"/>
          <w:sz w:val="22"/>
          <w:szCs w:val="22"/>
          <w:u w:val="single"/>
        </w:rPr>
        <w:t xml:space="preserve"> </w:t>
      </w:r>
      <w:r>
        <w:rPr>
          <w:rFonts w:ascii="Garamond" w:hAnsi="Garamond" w:cs="Garamond"/>
          <w:sz w:val="22"/>
          <w:szCs w:val="22"/>
          <w:u w:val="single"/>
        </w:rPr>
        <w:t>Governance</w:t>
      </w:r>
      <w:r>
        <w:rPr>
          <w:rFonts w:ascii="Garamond" w:hAnsi="Garamond" w:cs="Garamond"/>
          <w:spacing w:val="-8"/>
          <w:sz w:val="22"/>
          <w:szCs w:val="22"/>
          <w:u w:val="single"/>
        </w:rPr>
        <w:t xml:space="preserve"> </w:t>
      </w:r>
      <w:r>
        <w:rPr>
          <w:rFonts w:ascii="Garamond" w:hAnsi="Garamond" w:cs="Garamond"/>
          <w:sz w:val="22"/>
          <w:szCs w:val="22"/>
          <w:u w:val="single"/>
        </w:rPr>
        <w:t>Board</w:t>
      </w:r>
      <w:r>
        <w:rPr>
          <w:rFonts w:ascii="Garamond" w:hAnsi="Garamond" w:cs="Garamond"/>
          <w:sz w:val="22"/>
          <w:szCs w:val="22"/>
        </w:rPr>
        <w:t>.</w:t>
      </w:r>
      <w:r>
        <w:rPr>
          <w:rFonts w:ascii="Garamond" w:hAnsi="Garamond" w:cs="Garamond"/>
          <w:spacing w:val="-6"/>
          <w:sz w:val="22"/>
          <w:szCs w:val="22"/>
        </w:rPr>
        <w:t xml:space="preserve"> </w:t>
      </w:r>
      <w:r>
        <w:rPr>
          <w:rFonts w:ascii="Garamond" w:hAnsi="Garamond" w:cs="Garamond"/>
          <w:sz w:val="22"/>
          <w:szCs w:val="22"/>
        </w:rPr>
        <w:t>We</w:t>
      </w:r>
      <w:r>
        <w:rPr>
          <w:rFonts w:ascii="Garamond" w:hAnsi="Garamond" w:cs="Garamond"/>
          <w:spacing w:val="-8"/>
          <w:sz w:val="22"/>
          <w:szCs w:val="22"/>
        </w:rPr>
        <w:t xml:space="preserve"> </w:t>
      </w:r>
      <w:r>
        <w:rPr>
          <w:rFonts w:ascii="Garamond" w:hAnsi="Garamond" w:cs="Garamond"/>
          <w:sz w:val="22"/>
          <w:szCs w:val="22"/>
        </w:rPr>
        <w:t>recommend</w:t>
      </w:r>
      <w:r>
        <w:rPr>
          <w:rFonts w:ascii="Garamond" w:hAnsi="Garamond" w:cs="Garamond"/>
          <w:spacing w:val="-5"/>
          <w:sz w:val="22"/>
          <w:szCs w:val="22"/>
        </w:rPr>
        <w:t xml:space="preserve"> </w:t>
      </w:r>
      <w:r>
        <w:rPr>
          <w:rFonts w:ascii="Garamond" w:hAnsi="Garamond" w:cs="Garamond"/>
          <w:spacing w:val="-3"/>
          <w:sz w:val="22"/>
          <w:szCs w:val="22"/>
        </w:rPr>
        <w:t xml:space="preserve">building </w:t>
      </w:r>
      <w:r>
        <w:rPr>
          <w:rFonts w:ascii="Garamond" w:hAnsi="Garamond" w:cs="Garamond"/>
          <w:sz w:val="22"/>
          <w:szCs w:val="22"/>
        </w:rPr>
        <w:t xml:space="preserve">on the HPC’s requirement to have at least one </w:t>
      </w:r>
      <w:r>
        <w:rPr>
          <w:rFonts w:ascii="Garamond" w:hAnsi="Garamond" w:cs="Garamond"/>
          <w:spacing w:val="-3"/>
          <w:sz w:val="22"/>
          <w:szCs w:val="22"/>
        </w:rPr>
        <w:t xml:space="preserve">patient </w:t>
      </w:r>
      <w:r>
        <w:rPr>
          <w:rFonts w:ascii="Garamond" w:hAnsi="Garamond" w:cs="Garamond"/>
          <w:sz w:val="22"/>
          <w:szCs w:val="22"/>
        </w:rPr>
        <w:t xml:space="preserve">or consumer advocate in the </w:t>
      </w:r>
      <w:r>
        <w:rPr>
          <w:rFonts w:ascii="Garamond" w:hAnsi="Garamond" w:cs="Garamond"/>
          <w:spacing w:val="-4"/>
          <w:sz w:val="22"/>
          <w:szCs w:val="22"/>
        </w:rPr>
        <w:t xml:space="preserve">governance </w:t>
      </w:r>
      <w:r>
        <w:rPr>
          <w:rFonts w:ascii="Garamond" w:hAnsi="Garamond" w:cs="Garamond"/>
          <w:sz w:val="22"/>
          <w:szCs w:val="22"/>
        </w:rPr>
        <w:t xml:space="preserve">structure to requiring at least two members, family caregivers, and/or consumer </w:t>
      </w:r>
      <w:r>
        <w:rPr>
          <w:rFonts w:ascii="Garamond" w:hAnsi="Garamond" w:cs="Garamond"/>
          <w:spacing w:val="-3"/>
          <w:sz w:val="22"/>
          <w:szCs w:val="22"/>
        </w:rPr>
        <w:t xml:space="preserve">advocate </w:t>
      </w:r>
      <w:r>
        <w:rPr>
          <w:rFonts w:ascii="Garamond" w:hAnsi="Garamond" w:cs="Garamond"/>
          <w:sz w:val="22"/>
          <w:szCs w:val="22"/>
        </w:rPr>
        <w:t xml:space="preserve">representatives on an </w:t>
      </w:r>
      <w:r>
        <w:rPr>
          <w:rFonts w:ascii="Garamond" w:hAnsi="Garamond" w:cs="Garamond"/>
          <w:spacing w:val="-3"/>
          <w:sz w:val="22"/>
          <w:szCs w:val="22"/>
        </w:rPr>
        <w:t xml:space="preserve">ACO’s </w:t>
      </w:r>
      <w:r>
        <w:rPr>
          <w:rFonts w:ascii="Garamond" w:hAnsi="Garamond" w:cs="Garamond"/>
          <w:sz w:val="22"/>
          <w:szCs w:val="22"/>
        </w:rPr>
        <w:t xml:space="preserve">governance board, </w:t>
      </w:r>
      <w:r>
        <w:rPr>
          <w:rFonts w:ascii="Garamond" w:hAnsi="Garamond" w:cs="Garamond"/>
          <w:spacing w:val="-3"/>
          <w:sz w:val="22"/>
          <w:szCs w:val="22"/>
        </w:rPr>
        <w:t xml:space="preserve">who </w:t>
      </w:r>
      <w:r>
        <w:rPr>
          <w:rFonts w:ascii="Garamond" w:hAnsi="Garamond" w:cs="Garamond"/>
          <w:sz w:val="22"/>
          <w:szCs w:val="22"/>
        </w:rPr>
        <w:t xml:space="preserve">do not have financial interest in the ACO. Having multiple </w:t>
      </w:r>
      <w:r>
        <w:rPr>
          <w:rFonts w:ascii="Garamond" w:hAnsi="Garamond" w:cs="Garamond"/>
          <w:spacing w:val="-3"/>
          <w:sz w:val="22"/>
          <w:szCs w:val="22"/>
        </w:rPr>
        <w:t xml:space="preserve">consumer </w:t>
      </w:r>
      <w:r>
        <w:rPr>
          <w:rFonts w:ascii="Garamond" w:hAnsi="Garamond" w:cs="Garamond"/>
          <w:sz w:val="22"/>
          <w:szCs w:val="22"/>
        </w:rPr>
        <w:t xml:space="preserve">advocates and member representatives on a governance </w:t>
      </w:r>
      <w:r>
        <w:rPr>
          <w:rFonts w:ascii="Garamond" w:hAnsi="Garamond" w:cs="Garamond"/>
          <w:spacing w:val="-3"/>
          <w:sz w:val="22"/>
          <w:szCs w:val="22"/>
        </w:rPr>
        <w:t xml:space="preserve">board </w:t>
      </w:r>
      <w:r>
        <w:rPr>
          <w:rFonts w:ascii="Garamond" w:hAnsi="Garamond" w:cs="Garamond"/>
          <w:sz w:val="22"/>
          <w:szCs w:val="22"/>
        </w:rPr>
        <w:t xml:space="preserve">will ensure more sufficient representation of the ACO’s member population and avoid isolating the representative. ACO governing </w:t>
      </w:r>
      <w:r>
        <w:rPr>
          <w:rFonts w:ascii="Garamond" w:hAnsi="Garamond" w:cs="Garamond"/>
          <w:spacing w:val="-3"/>
          <w:sz w:val="22"/>
          <w:szCs w:val="22"/>
        </w:rPr>
        <w:t xml:space="preserve">boards </w:t>
      </w:r>
      <w:r>
        <w:rPr>
          <w:rFonts w:ascii="Garamond" w:hAnsi="Garamond" w:cs="Garamond"/>
          <w:sz w:val="22"/>
          <w:szCs w:val="22"/>
        </w:rPr>
        <w:t xml:space="preserve">should also include representatives from community-based organizations, including </w:t>
      </w:r>
      <w:r>
        <w:rPr>
          <w:rFonts w:ascii="Garamond" w:hAnsi="Garamond" w:cs="Garamond"/>
          <w:spacing w:val="-3"/>
          <w:sz w:val="22"/>
          <w:szCs w:val="22"/>
        </w:rPr>
        <w:t xml:space="preserve">those </w:t>
      </w:r>
      <w:r>
        <w:rPr>
          <w:rFonts w:ascii="Garamond" w:hAnsi="Garamond" w:cs="Garamond"/>
          <w:sz w:val="22"/>
          <w:szCs w:val="22"/>
        </w:rPr>
        <w:t xml:space="preserve">concerned with </w:t>
      </w:r>
      <w:r>
        <w:rPr>
          <w:rFonts w:ascii="Garamond" w:hAnsi="Garamond" w:cs="Garamond"/>
          <w:spacing w:val="-3"/>
          <w:sz w:val="22"/>
          <w:szCs w:val="22"/>
        </w:rPr>
        <w:t xml:space="preserve">public </w:t>
      </w:r>
      <w:r>
        <w:rPr>
          <w:rFonts w:ascii="Garamond" w:hAnsi="Garamond" w:cs="Garamond"/>
          <w:sz w:val="22"/>
          <w:szCs w:val="22"/>
        </w:rPr>
        <w:t xml:space="preserve">health. In addition, </w:t>
      </w:r>
      <w:r>
        <w:rPr>
          <w:rFonts w:ascii="Garamond" w:hAnsi="Garamond" w:cs="Garamond"/>
          <w:spacing w:val="-3"/>
          <w:sz w:val="22"/>
          <w:szCs w:val="22"/>
        </w:rPr>
        <w:t xml:space="preserve">ACOs should </w:t>
      </w:r>
      <w:r>
        <w:rPr>
          <w:rFonts w:ascii="Garamond" w:hAnsi="Garamond" w:cs="Garamond"/>
          <w:sz w:val="22"/>
          <w:szCs w:val="22"/>
        </w:rPr>
        <w:t>ensure consumer</w:t>
      </w:r>
      <w:r>
        <w:rPr>
          <w:rFonts w:ascii="Garamond" w:hAnsi="Garamond" w:cs="Garamond"/>
          <w:spacing w:val="-9"/>
          <w:sz w:val="22"/>
          <w:szCs w:val="22"/>
        </w:rPr>
        <w:t xml:space="preserve"> </w:t>
      </w:r>
      <w:r>
        <w:rPr>
          <w:rFonts w:ascii="Garamond" w:hAnsi="Garamond" w:cs="Garamond"/>
          <w:sz w:val="22"/>
          <w:szCs w:val="22"/>
        </w:rPr>
        <w:t>advocate</w:t>
      </w:r>
      <w:r>
        <w:rPr>
          <w:rFonts w:ascii="Garamond" w:hAnsi="Garamond" w:cs="Garamond"/>
          <w:spacing w:val="-10"/>
          <w:sz w:val="22"/>
          <w:szCs w:val="22"/>
        </w:rPr>
        <w:t xml:space="preserve"> </w:t>
      </w:r>
      <w:r>
        <w:rPr>
          <w:rFonts w:ascii="Garamond" w:hAnsi="Garamond" w:cs="Garamond"/>
          <w:sz w:val="22"/>
          <w:szCs w:val="22"/>
        </w:rPr>
        <w:t>and</w:t>
      </w:r>
      <w:r>
        <w:rPr>
          <w:rFonts w:ascii="Garamond" w:hAnsi="Garamond" w:cs="Garamond"/>
          <w:spacing w:val="-8"/>
          <w:sz w:val="22"/>
          <w:szCs w:val="22"/>
        </w:rPr>
        <w:t xml:space="preserve"> </w:t>
      </w:r>
      <w:r>
        <w:rPr>
          <w:rFonts w:ascii="Garamond" w:hAnsi="Garamond" w:cs="Garamond"/>
          <w:sz w:val="22"/>
          <w:szCs w:val="22"/>
        </w:rPr>
        <w:t>member</w:t>
      </w:r>
      <w:r>
        <w:rPr>
          <w:rFonts w:ascii="Garamond" w:hAnsi="Garamond" w:cs="Garamond"/>
          <w:spacing w:val="-9"/>
          <w:sz w:val="22"/>
          <w:szCs w:val="22"/>
        </w:rPr>
        <w:t xml:space="preserve"> </w:t>
      </w:r>
      <w:r>
        <w:rPr>
          <w:rFonts w:ascii="Garamond" w:hAnsi="Garamond" w:cs="Garamond"/>
          <w:sz w:val="22"/>
          <w:szCs w:val="22"/>
        </w:rPr>
        <w:t>representation</w:t>
      </w:r>
      <w:r>
        <w:rPr>
          <w:rFonts w:ascii="Garamond" w:hAnsi="Garamond" w:cs="Garamond"/>
          <w:spacing w:val="-10"/>
          <w:sz w:val="22"/>
          <w:szCs w:val="22"/>
        </w:rPr>
        <w:t xml:space="preserve"> </w:t>
      </w:r>
      <w:r>
        <w:rPr>
          <w:rFonts w:ascii="Garamond" w:hAnsi="Garamond" w:cs="Garamond"/>
          <w:sz w:val="22"/>
          <w:szCs w:val="22"/>
        </w:rPr>
        <w:t>on</w:t>
      </w:r>
      <w:r>
        <w:rPr>
          <w:rFonts w:ascii="Garamond" w:hAnsi="Garamond" w:cs="Garamond"/>
          <w:spacing w:val="-12"/>
          <w:sz w:val="22"/>
          <w:szCs w:val="22"/>
        </w:rPr>
        <w:t xml:space="preserve"> </w:t>
      </w:r>
      <w:r>
        <w:rPr>
          <w:rFonts w:ascii="Garamond" w:hAnsi="Garamond" w:cs="Garamond"/>
          <w:sz w:val="22"/>
          <w:szCs w:val="22"/>
        </w:rPr>
        <w:t>the</w:t>
      </w:r>
      <w:r>
        <w:rPr>
          <w:rFonts w:ascii="Garamond" w:hAnsi="Garamond" w:cs="Garamond"/>
          <w:spacing w:val="-11"/>
          <w:sz w:val="22"/>
          <w:szCs w:val="22"/>
        </w:rPr>
        <w:t xml:space="preserve"> </w:t>
      </w:r>
      <w:r>
        <w:rPr>
          <w:rFonts w:ascii="Garamond" w:hAnsi="Garamond" w:cs="Garamond"/>
          <w:sz w:val="22"/>
          <w:szCs w:val="22"/>
        </w:rPr>
        <w:t>governance</w:t>
      </w:r>
      <w:r>
        <w:rPr>
          <w:rFonts w:ascii="Garamond" w:hAnsi="Garamond" w:cs="Garamond"/>
          <w:spacing w:val="-10"/>
          <w:sz w:val="22"/>
          <w:szCs w:val="22"/>
        </w:rPr>
        <w:t xml:space="preserve"> </w:t>
      </w:r>
      <w:r>
        <w:rPr>
          <w:rFonts w:ascii="Garamond" w:hAnsi="Garamond" w:cs="Garamond"/>
          <w:sz w:val="22"/>
          <w:szCs w:val="22"/>
        </w:rPr>
        <w:t>board</w:t>
      </w:r>
      <w:r>
        <w:rPr>
          <w:rFonts w:ascii="Garamond" w:hAnsi="Garamond" w:cs="Garamond"/>
          <w:spacing w:val="-12"/>
          <w:sz w:val="22"/>
          <w:szCs w:val="22"/>
        </w:rPr>
        <w:t xml:space="preserve"> </w:t>
      </w:r>
      <w:r>
        <w:rPr>
          <w:rFonts w:ascii="Garamond" w:hAnsi="Garamond" w:cs="Garamond"/>
          <w:sz w:val="22"/>
          <w:szCs w:val="22"/>
        </w:rPr>
        <w:t>reflects</w:t>
      </w:r>
      <w:r>
        <w:rPr>
          <w:rFonts w:ascii="Garamond" w:hAnsi="Garamond" w:cs="Garamond"/>
          <w:spacing w:val="-9"/>
          <w:sz w:val="22"/>
          <w:szCs w:val="22"/>
        </w:rPr>
        <w:t xml:space="preserve"> </w:t>
      </w:r>
      <w:r>
        <w:rPr>
          <w:rFonts w:ascii="Garamond" w:hAnsi="Garamond" w:cs="Garamond"/>
          <w:sz w:val="22"/>
          <w:szCs w:val="22"/>
        </w:rPr>
        <w:t>the</w:t>
      </w:r>
      <w:r>
        <w:rPr>
          <w:rFonts w:ascii="Garamond" w:hAnsi="Garamond" w:cs="Garamond"/>
          <w:spacing w:val="-10"/>
          <w:sz w:val="22"/>
          <w:szCs w:val="22"/>
        </w:rPr>
        <w:t xml:space="preserve"> </w:t>
      </w:r>
      <w:r>
        <w:rPr>
          <w:rFonts w:ascii="Garamond" w:hAnsi="Garamond" w:cs="Garamond"/>
          <w:sz w:val="22"/>
          <w:szCs w:val="22"/>
        </w:rPr>
        <w:t>diverse</w:t>
      </w:r>
      <w:r>
        <w:rPr>
          <w:rFonts w:ascii="Garamond" w:hAnsi="Garamond" w:cs="Garamond"/>
          <w:spacing w:val="-10"/>
          <w:sz w:val="22"/>
          <w:szCs w:val="22"/>
        </w:rPr>
        <w:t xml:space="preserve"> </w:t>
      </w:r>
      <w:r>
        <w:rPr>
          <w:rFonts w:ascii="Garamond" w:hAnsi="Garamond" w:cs="Garamond"/>
          <w:sz w:val="22"/>
          <w:szCs w:val="22"/>
        </w:rPr>
        <w:t>member population it</w:t>
      </w:r>
      <w:r>
        <w:rPr>
          <w:rFonts w:ascii="Garamond" w:hAnsi="Garamond" w:cs="Garamond"/>
          <w:spacing w:val="-12"/>
          <w:sz w:val="22"/>
          <w:szCs w:val="22"/>
        </w:rPr>
        <w:t xml:space="preserve"> </w:t>
      </w:r>
      <w:r>
        <w:rPr>
          <w:rFonts w:ascii="Garamond" w:hAnsi="Garamond" w:cs="Garamond"/>
          <w:spacing w:val="-3"/>
          <w:sz w:val="22"/>
          <w:szCs w:val="22"/>
        </w:rPr>
        <w:t>serves.</w:t>
      </w:r>
    </w:p>
    <w:p w:rsidR="002C5025" w:rsidRDefault="002C5025">
      <w:pPr>
        <w:pStyle w:val="BodyText"/>
        <w:kinsoku w:val="0"/>
        <w:overflowPunct w:val="0"/>
        <w:spacing w:before="7"/>
        <w:rPr>
          <w:rFonts w:ascii="Garamond" w:hAnsi="Garamond" w:cs="Garamond"/>
          <w:sz w:val="21"/>
          <w:szCs w:val="21"/>
        </w:rPr>
      </w:pPr>
    </w:p>
    <w:p w:rsidR="002C5025" w:rsidRDefault="002C5025">
      <w:pPr>
        <w:pStyle w:val="ListParagraph"/>
        <w:numPr>
          <w:ilvl w:val="2"/>
          <w:numId w:val="49"/>
        </w:numPr>
        <w:tabs>
          <w:tab w:val="left" w:pos="841"/>
        </w:tabs>
        <w:kinsoku w:val="0"/>
        <w:overflowPunct w:val="0"/>
        <w:ind w:left="839" w:right="199" w:hanging="359"/>
        <w:rPr>
          <w:rFonts w:ascii="Garamond" w:hAnsi="Garamond" w:cs="Garamond"/>
          <w:sz w:val="22"/>
          <w:szCs w:val="22"/>
        </w:rPr>
      </w:pPr>
      <w:r>
        <w:rPr>
          <w:rFonts w:ascii="Garamond" w:hAnsi="Garamond" w:cs="Garamond"/>
          <w:sz w:val="22"/>
          <w:szCs w:val="22"/>
          <w:u w:val="single"/>
        </w:rPr>
        <w:t>Representatives</w:t>
      </w:r>
      <w:r>
        <w:rPr>
          <w:rFonts w:ascii="Garamond" w:hAnsi="Garamond" w:cs="Garamond"/>
          <w:spacing w:val="-10"/>
          <w:sz w:val="22"/>
          <w:szCs w:val="22"/>
          <w:u w:val="single"/>
        </w:rPr>
        <w:t xml:space="preserve"> </w:t>
      </w:r>
      <w:r>
        <w:rPr>
          <w:rFonts w:ascii="Garamond" w:hAnsi="Garamond" w:cs="Garamond"/>
          <w:spacing w:val="-2"/>
          <w:sz w:val="22"/>
          <w:szCs w:val="22"/>
          <w:u w:val="single"/>
        </w:rPr>
        <w:t>are</w:t>
      </w:r>
      <w:r>
        <w:rPr>
          <w:rFonts w:ascii="Garamond" w:hAnsi="Garamond" w:cs="Garamond"/>
          <w:spacing w:val="-13"/>
          <w:sz w:val="22"/>
          <w:szCs w:val="22"/>
          <w:u w:val="single"/>
        </w:rPr>
        <w:t xml:space="preserve"> </w:t>
      </w:r>
      <w:r>
        <w:rPr>
          <w:rFonts w:ascii="Garamond" w:hAnsi="Garamond" w:cs="Garamond"/>
          <w:sz w:val="22"/>
          <w:szCs w:val="22"/>
          <w:u w:val="single"/>
        </w:rPr>
        <w:t>meaningfully</w:t>
      </w:r>
      <w:r>
        <w:rPr>
          <w:rFonts w:ascii="Garamond" w:hAnsi="Garamond" w:cs="Garamond"/>
          <w:spacing w:val="-13"/>
          <w:sz w:val="22"/>
          <w:szCs w:val="22"/>
          <w:u w:val="single"/>
        </w:rPr>
        <w:t xml:space="preserve"> </w:t>
      </w:r>
      <w:r>
        <w:rPr>
          <w:rFonts w:ascii="Garamond" w:hAnsi="Garamond" w:cs="Garamond"/>
          <w:sz w:val="22"/>
          <w:szCs w:val="22"/>
          <w:u w:val="single"/>
        </w:rPr>
        <w:t>engaged</w:t>
      </w:r>
      <w:r>
        <w:rPr>
          <w:rFonts w:ascii="Garamond" w:hAnsi="Garamond" w:cs="Garamond"/>
          <w:spacing w:val="-10"/>
          <w:sz w:val="22"/>
          <w:szCs w:val="22"/>
          <w:u w:val="single"/>
        </w:rPr>
        <w:t xml:space="preserve"> </w:t>
      </w:r>
      <w:r>
        <w:rPr>
          <w:rFonts w:ascii="Garamond" w:hAnsi="Garamond" w:cs="Garamond"/>
          <w:sz w:val="22"/>
          <w:szCs w:val="22"/>
          <w:u w:val="single"/>
        </w:rPr>
        <w:t>in</w:t>
      </w:r>
      <w:r>
        <w:rPr>
          <w:rFonts w:ascii="Garamond" w:hAnsi="Garamond" w:cs="Garamond"/>
          <w:spacing w:val="-13"/>
          <w:sz w:val="22"/>
          <w:szCs w:val="22"/>
          <w:u w:val="single"/>
        </w:rPr>
        <w:t xml:space="preserve"> </w:t>
      </w:r>
      <w:r>
        <w:rPr>
          <w:rFonts w:ascii="Garamond" w:hAnsi="Garamond" w:cs="Garamond"/>
          <w:sz w:val="22"/>
          <w:szCs w:val="22"/>
          <w:u w:val="single"/>
        </w:rPr>
        <w:t>decision-making</w:t>
      </w:r>
      <w:r>
        <w:rPr>
          <w:rFonts w:ascii="Garamond" w:hAnsi="Garamond" w:cs="Garamond"/>
          <w:sz w:val="22"/>
          <w:szCs w:val="22"/>
        </w:rPr>
        <w:t>.</w:t>
      </w:r>
      <w:r>
        <w:rPr>
          <w:rFonts w:ascii="Garamond" w:hAnsi="Garamond" w:cs="Garamond"/>
          <w:spacing w:val="-11"/>
          <w:sz w:val="22"/>
          <w:szCs w:val="22"/>
        </w:rPr>
        <w:t xml:space="preserve"> </w:t>
      </w:r>
      <w:r>
        <w:rPr>
          <w:rFonts w:ascii="Garamond" w:hAnsi="Garamond" w:cs="Garamond"/>
          <w:sz w:val="22"/>
          <w:szCs w:val="22"/>
        </w:rPr>
        <w:t>All</w:t>
      </w:r>
      <w:r>
        <w:rPr>
          <w:rFonts w:ascii="Garamond" w:hAnsi="Garamond" w:cs="Garamond"/>
          <w:spacing w:val="-13"/>
          <w:sz w:val="22"/>
          <w:szCs w:val="22"/>
        </w:rPr>
        <w:t xml:space="preserve"> </w:t>
      </w:r>
      <w:r>
        <w:rPr>
          <w:rFonts w:ascii="Garamond" w:hAnsi="Garamond" w:cs="Garamond"/>
          <w:sz w:val="22"/>
          <w:szCs w:val="22"/>
        </w:rPr>
        <w:t>representatives</w:t>
      </w:r>
      <w:r>
        <w:rPr>
          <w:rFonts w:ascii="Garamond" w:hAnsi="Garamond" w:cs="Garamond"/>
          <w:spacing w:val="-10"/>
          <w:sz w:val="22"/>
          <w:szCs w:val="22"/>
        </w:rPr>
        <w:t xml:space="preserve"> </w:t>
      </w:r>
      <w:r>
        <w:rPr>
          <w:rFonts w:ascii="Garamond" w:hAnsi="Garamond" w:cs="Garamond"/>
          <w:sz w:val="22"/>
          <w:szCs w:val="22"/>
        </w:rPr>
        <w:t>on</w:t>
      </w:r>
      <w:r>
        <w:rPr>
          <w:rFonts w:ascii="Garamond" w:hAnsi="Garamond" w:cs="Garamond"/>
          <w:spacing w:val="-10"/>
          <w:sz w:val="22"/>
          <w:szCs w:val="22"/>
        </w:rPr>
        <w:t xml:space="preserve"> </w:t>
      </w:r>
      <w:r>
        <w:rPr>
          <w:rFonts w:ascii="Garamond" w:hAnsi="Garamond" w:cs="Garamond"/>
          <w:sz w:val="22"/>
          <w:szCs w:val="22"/>
        </w:rPr>
        <w:t>the</w:t>
      </w:r>
      <w:r>
        <w:rPr>
          <w:rFonts w:ascii="Garamond" w:hAnsi="Garamond" w:cs="Garamond"/>
          <w:spacing w:val="-13"/>
          <w:sz w:val="22"/>
          <w:szCs w:val="22"/>
        </w:rPr>
        <w:t xml:space="preserve"> </w:t>
      </w:r>
      <w:r>
        <w:rPr>
          <w:rFonts w:ascii="Garamond" w:hAnsi="Garamond" w:cs="Garamond"/>
          <w:sz w:val="22"/>
          <w:szCs w:val="22"/>
        </w:rPr>
        <w:t>governance entity</w:t>
      </w:r>
      <w:r>
        <w:rPr>
          <w:rFonts w:ascii="Garamond" w:hAnsi="Garamond" w:cs="Garamond"/>
          <w:spacing w:val="-8"/>
          <w:sz w:val="22"/>
          <w:szCs w:val="22"/>
        </w:rPr>
        <w:t xml:space="preserve"> </w:t>
      </w:r>
      <w:r>
        <w:rPr>
          <w:rFonts w:ascii="Garamond" w:hAnsi="Garamond" w:cs="Garamond"/>
          <w:sz w:val="22"/>
          <w:szCs w:val="22"/>
        </w:rPr>
        <w:t>(including</w:t>
      </w:r>
      <w:r>
        <w:rPr>
          <w:rFonts w:ascii="Garamond" w:hAnsi="Garamond" w:cs="Garamond"/>
          <w:spacing w:val="-8"/>
          <w:sz w:val="22"/>
          <w:szCs w:val="22"/>
        </w:rPr>
        <w:t xml:space="preserve"> </w:t>
      </w:r>
      <w:r>
        <w:rPr>
          <w:rFonts w:ascii="Garamond" w:hAnsi="Garamond" w:cs="Garamond"/>
          <w:spacing w:val="-3"/>
          <w:sz w:val="22"/>
          <w:szCs w:val="22"/>
        </w:rPr>
        <w:t>consumer</w:t>
      </w:r>
      <w:r>
        <w:rPr>
          <w:rFonts w:ascii="Garamond" w:hAnsi="Garamond" w:cs="Garamond"/>
          <w:spacing w:val="-7"/>
          <w:sz w:val="22"/>
          <w:szCs w:val="22"/>
        </w:rPr>
        <w:t xml:space="preserve"> </w:t>
      </w:r>
      <w:r>
        <w:rPr>
          <w:rFonts w:ascii="Garamond" w:hAnsi="Garamond" w:cs="Garamond"/>
          <w:sz w:val="22"/>
          <w:szCs w:val="22"/>
        </w:rPr>
        <w:t>advocate</w:t>
      </w:r>
      <w:r>
        <w:rPr>
          <w:rFonts w:ascii="Garamond" w:hAnsi="Garamond" w:cs="Garamond"/>
          <w:spacing w:val="-8"/>
          <w:sz w:val="22"/>
          <w:szCs w:val="22"/>
        </w:rPr>
        <w:t xml:space="preserve"> </w:t>
      </w:r>
      <w:r>
        <w:rPr>
          <w:rFonts w:ascii="Garamond" w:hAnsi="Garamond" w:cs="Garamond"/>
          <w:sz w:val="22"/>
          <w:szCs w:val="22"/>
        </w:rPr>
        <w:t>and</w:t>
      </w:r>
      <w:r>
        <w:rPr>
          <w:rFonts w:ascii="Garamond" w:hAnsi="Garamond" w:cs="Garamond"/>
          <w:spacing w:val="-7"/>
          <w:sz w:val="22"/>
          <w:szCs w:val="22"/>
        </w:rPr>
        <w:t xml:space="preserve"> </w:t>
      </w:r>
      <w:r>
        <w:rPr>
          <w:rFonts w:ascii="Garamond" w:hAnsi="Garamond" w:cs="Garamond"/>
          <w:sz w:val="22"/>
          <w:szCs w:val="22"/>
        </w:rPr>
        <w:t>member</w:t>
      </w:r>
      <w:r>
        <w:rPr>
          <w:rFonts w:ascii="Garamond" w:hAnsi="Garamond" w:cs="Garamond"/>
          <w:spacing w:val="-9"/>
          <w:sz w:val="22"/>
          <w:szCs w:val="22"/>
        </w:rPr>
        <w:t xml:space="preserve"> </w:t>
      </w:r>
      <w:r>
        <w:rPr>
          <w:rFonts w:ascii="Garamond" w:hAnsi="Garamond" w:cs="Garamond"/>
          <w:sz w:val="22"/>
          <w:szCs w:val="22"/>
        </w:rPr>
        <w:t>representatives)</w:t>
      </w:r>
      <w:r>
        <w:rPr>
          <w:rFonts w:ascii="Garamond" w:hAnsi="Garamond" w:cs="Garamond"/>
          <w:spacing w:val="-5"/>
          <w:sz w:val="22"/>
          <w:szCs w:val="22"/>
        </w:rPr>
        <w:t xml:space="preserve"> </w:t>
      </w:r>
      <w:r>
        <w:rPr>
          <w:rFonts w:ascii="Garamond" w:hAnsi="Garamond" w:cs="Garamond"/>
          <w:sz w:val="22"/>
          <w:szCs w:val="22"/>
        </w:rPr>
        <w:t>must</w:t>
      </w:r>
      <w:r>
        <w:rPr>
          <w:rFonts w:ascii="Garamond" w:hAnsi="Garamond" w:cs="Garamond"/>
          <w:spacing w:val="-7"/>
          <w:sz w:val="22"/>
          <w:szCs w:val="22"/>
        </w:rPr>
        <w:t xml:space="preserve"> </w:t>
      </w:r>
      <w:r>
        <w:rPr>
          <w:rFonts w:ascii="Garamond" w:hAnsi="Garamond" w:cs="Garamond"/>
          <w:sz w:val="22"/>
          <w:szCs w:val="22"/>
        </w:rPr>
        <w:t>have</w:t>
      </w:r>
      <w:r>
        <w:rPr>
          <w:rFonts w:ascii="Garamond" w:hAnsi="Garamond" w:cs="Garamond"/>
          <w:spacing w:val="-8"/>
          <w:sz w:val="22"/>
          <w:szCs w:val="22"/>
        </w:rPr>
        <w:t xml:space="preserve"> </w:t>
      </w:r>
      <w:r>
        <w:rPr>
          <w:rFonts w:ascii="Garamond" w:hAnsi="Garamond" w:cs="Garamond"/>
          <w:sz w:val="22"/>
          <w:szCs w:val="22"/>
        </w:rPr>
        <w:t>an</w:t>
      </w:r>
      <w:r>
        <w:rPr>
          <w:rFonts w:ascii="Garamond" w:hAnsi="Garamond" w:cs="Garamond"/>
          <w:spacing w:val="-7"/>
          <w:sz w:val="22"/>
          <w:szCs w:val="22"/>
        </w:rPr>
        <w:t xml:space="preserve"> </w:t>
      </w:r>
      <w:r>
        <w:rPr>
          <w:rFonts w:ascii="Garamond" w:hAnsi="Garamond" w:cs="Garamond"/>
          <w:sz w:val="22"/>
          <w:szCs w:val="22"/>
        </w:rPr>
        <w:t>equal</w:t>
      </w:r>
      <w:r>
        <w:rPr>
          <w:rFonts w:ascii="Garamond" w:hAnsi="Garamond" w:cs="Garamond"/>
          <w:spacing w:val="-8"/>
          <w:sz w:val="22"/>
          <w:szCs w:val="22"/>
        </w:rPr>
        <w:t xml:space="preserve"> </w:t>
      </w:r>
      <w:r>
        <w:rPr>
          <w:rFonts w:ascii="Garamond" w:hAnsi="Garamond" w:cs="Garamond"/>
          <w:sz w:val="22"/>
          <w:szCs w:val="22"/>
        </w:rPr>
        <w:t>seat</w:t>
      </w:r>
      <w:r>
        <w:rPr>
          <w:rFonts w:ascii="Garamond" w:hAnsi="Garamond" w:cs="Garamond"/>
          <w:spacing w:val="-5"/>
          <w:sz w:val="22"/>
          <w:szCs w:val="22"/>
        </w:rPr>
        <w:t xml:space="preserve"> </w:t>
      </w:r>
      <w:r>
        <w:rPr>
          <w:rFonts w:ascii="Garamond" w:hAnsi="Garamond" w:cs="Garamond"/>
          <w:spacing w:val="-3"/>
          <w:sz w:val="22"/>
          <w:szCs w:val="22"/>
        </w:rPr>
        <w:t>and</w:t>
      </w:r>
      <w:r>
        <w:rPr>
          <w:rFonts w:ascii="Garamond" w:hAnsi="Garamond" w:cs="Garamond"/>
          <w:spacing w:val="-8"/>
          <w:sz w:val="22"/>
          <w:szCs w:val="22"/>
        </w:rPr>
        <w:t xml:space="preserve"> </w:t>
      </w:r>
      <w:r>
        <w:rPr>
          <w:rFonts w:ascii="Garamond" w:hAnsi="Garamond" w:cs="Garamond"/>
          <w:sz w:val="22"/>
          <w:szCs w:val="22"/>
        </w:rPr>
        <w:t>say</w:t>
      </w:r>
      <w:r>
        <w:rPr>
          <w:rFonts w:ascii="Garamond" w:hAnsi="Garamond" w:cs="Garamond"/>
          <w:spacing w:val="-8"/>
          <w:sz w:val="22"/>
          <w:szCs w:val="22"/>
        </w:rPr>
        <w:t xml:space="preserve"> </w:t>
      </w:r>
      <w:r>
        <w:rPr>
          <w:rFonts w:ascii="Garamond" w:hAnsi="Garamond" w:cs="Garamond"/>
          <w:sz w:val="22"/>
          <w:szCs w:val="22"/>
        </w:rPr>
        <w:t xml:space="preserve">at the table and an opportunity to share their perspectives </w:t>
      </w:r>
      <w:r>
        <w:rPr>
          <w:rFonts w:ascii="Garamond" w:hAnsi="Garamond" w:cs="Garamond"/>
          <w:spacing w:val="-3"/>
          <w:sz w:val="22"/>
          <w:szCs w:val="22"/>
        </w:rPr>
        <w:t xml:space="preserve">and </w:t>
      </w:r>
      <w:r>
        <w:rPr>
          <w:rFonts w:ascii="Garamond" w:hAnsi="Garamond" w:cs="Garamond"/>
          <w:sz w:val="22"/>
          <w:szCs w:val="22"/>
        </w:rPr>
        <w:t>influence decisions as they are being made.</w:t>
      </w:r>
    </w:p>
    <w:p w:rsidR="002C5025" w:rsidRDefault="002C5025">
      <w:pPr>
        <w:pStyle w:val="ListParagraph"/>
        <w:numPr>
          <w:ilvl w:val="2"/>
          <w:numId w:val="49"/>
        </w:numPr>
        <w:tabs>
          <w:tab w:val="left" w:pos="841"/>
        </w:tabs>
        <w:kinsoku w:val="0"/>
        <w:overflowPunct w:val="0"/>
        <w:ind w:left="840" w:right="459" w:hanging="360"/>
        <w:rPr>
          <w:rFonts w:ascii="Garamond" w:hAnsi="Garamond" w:cs="Garamond"/>
          <w:spacing w:val="-3"/>
          <w:sz w:val="22"/>
          <w:szCs w:val="22"/>
        </w:rPr>
      </w:pPr>
      <w:r>
        <w:rPr>
          <w:rFonts w:ascii="Garamond" w:hAnsi="Garamond" w:cs="Garamond"/>
          <w:sz w:val="22"/>
          <w:szCs w:val="22"/>
          <w:u w:val="single"/>
        </w:rPr>
        <w:t>Patient</w:t>
      </w:r>
      <w:r>
        <w:rPr>
          <w:rFonts w:ascii="Garamond" w:hAnsi="Garamond" w:cs="Garamond"/>
          <w:spacing w:val="-9"/>
          <w:sz w:val="22"/>
          <w:szCs w:val="22"/>
          <w:u w:val="single"/>
        </w:rPr>
        <w:t xml:space="preserve"> </w:t>
      </w:r>
      <w:r>
        <w:rPr>
          <w:rFonts w:ascii="Garamond" w:hAnsi="Garamond" w:cs="Garamond"/>
          <w:sz w:val="22"/>
          <w:szCs w:val="22"/>
          <w:u w:val="single"/>
        </w:rPr>
        <w:t>and</w:t>
      </w:r>
      <w:r>
        <w:rPr>
          <w:rFonts w:ascii="Garamond" w:hAnsi="Garamond" w:cs="Garamond"/>
          <w:spacing w:val="-13"/>
          <w:sz w:val="22"/>
          <w:szCs w:val="22"/>
          <w:u w:val="single"/>
        </w:rPr>
        <w:t xml:space="preserve"> </w:t>
      </w:r>
      <w:r>
        <w:rPr>
          <w:rFonts w:ascii="Garamond" w:hAnsi="Garamond" w:cs="Garamond"/>
          <w:sz w:val="22"/>
          <w:szCs w:val="22"/>
          <w:u w:val="single"/>
        </w:rPr>
        <w:t>Family</w:t>
      </w:r>
      <w:r>
        <w:rPr>
          <w:rFonts w:ascii="Garamond" w:hAnsi="Garamond" w:cs="Garamond"/>
          <w:spacing w:val="-12"/>
          <w:sz w:val="22"/>
          <w:szCs w:val="22"/>
          <w:u w:val="single"/>
        </w:rPr>
        <w:t xml:space="preserve"> </w:t>
      </w:r>
      <w:r>
        <w:rPr>
          <w:rFonts w:ascii="Garamond" w:hAnsi="Garamond" w:cs="Garamond"/>
          <w:sz w:val="22"/>
          <w:szCs w:val="22"/>
          <w:u w:val="single"/>
        </w:rPr>
        <w:t>Advisory</w:t>
      </w:r>
      <w:r>
        <w:rPr>
          <w:rFonts w:ascii="Garamond" w:hAnsi="Garamond" w:cs="Garamond"/>
          <w:spacing w:val="-16"/>
          <w:sz w:val="22"/>
          <w:szCs w:val="22"/>
          <w:u w:val="single"/>
        </w:rPr>
        <w:t xml:space="preserve"> </w:t>
      </w:r>
      <w:r>
        <w:rPr>
          <w:rFonts w:ascii="Garamond" w:hAnsi="Garamond" w:cs="Garamond"/>
          <w:sz w:val="22"/>
          <w:szCs w:val="22"/>
          <w:u w:val="single"/>
        </w:rPr>
        <w:t>Councils</w:t>
      </w:r>
      <w:r>
        <w:rPr>
          <w:rFonts w:ascii="Garamond" w:hAnsi="Garamond" w:cs="Garamond"/>
          <w:spacing w:val="-8"/>
          <w:sz w:val="22"/>
          <w:szCs w:val="22"/>
          <w:u w:val="single"/>
        </w:rPr>
        <w:t xml:space="preserve"> </w:t>
      </w:r>
      <w:r>
        <w:rPr>
          <w:rFonts w:ascii="Garamond" w:hAnsi="Garamond" w:cs="Garamond"/>
          <w:sz w:val="22"/>
          <w:szCs w:val="22"/>
          <w:u w:val="single"/>
        </w:rPr>
        <w:t>establish</w:t>
      </w:r>
      <w:r>
        <w:rPr>
          <w:rFonts w:ascii="Garamond" w:hAnsi="Garamond" w:cs="Garamond"/>
          <w:spacing w:val="-13"/>
          <w:sz w:val="22"/>
          <w:szCs w:val="22"/>
          <w:u w:val="single"/>
        </w:rPr>
        <w:t xml:space="preserve"> </w:t>
      </w:r>
      <w:r>
        <w:rPr>
          <w:rFonts w:ascii="Garamond" w:hAnsi="Garamond" w:cs="Garamond"/>
          <w:sz w:val="22"/>
          <w:szCs w:val="22"/>
          <w:u w:val="single"/>
        </w:rPr>
        <w:t>formal</w:t>
      </w:r>
      <w:r>
        <w:rPr>
          <w:rFonts w:ascii="Garamond" w:hAnsi="Garamond" w:cs="Garamond"/>
          <w:spacing w:val="-12"/>
          <w:sz w:val="22"/>
          <w:szCs w:val="22"/>
          <w:u w:val="single"/>
        </w:rPr>
        <w:t xml:space="preserve"> </w:t>
      </w:r>
      <w:r>
        <w:rPr>
          <w:rFonts w:ascii="Garamond" w:hAnsi="Garamond" w:cs="Garamond"/>
          <w:sz w:val="22"/>
          <w:szCs w:val="22"/>
          <w:u w:val="single"/>
        </w:rPr>
        <w:t>procedures</w:t>
      </w:r>
      <w:r>
        <w:rPr>
          <w:rFonts w:ascii="Garamond" w:hAnsi="Garamond" w:cs="Garamond"/>
          <w:spacing w:val="-8"/>
          <w:sz w:val="22"/>
          <w:szCs w:val="22"/>
          <w:u w:val="single"/>
        </w:rPr>
        <w:t xml:space="preserve"> </w:t>
      </w:r>
      <w:r>
        <w:rPr>
          <w:rFonts w:ascii="Garamond" w:hAnsi="Garamond" w:cs="Garamond"/>
          <w:sz w:val="22"/>
          <w:szCs w:val="22"/>
          <w:u w:val="single"/>
        </w:rPr>
        <w:t>and</w:t>
      </w:r>
      <w:r>
        <w:rPr>
          <w:rFonts w:ascii="Garamond" w:hAnsi="Garamond" w:cs="Garamond"/>
          <w:spacing w:val="-12"/>
          <w:sz w:val="22"/>
          <w:szCs w:val="22"/>
          <w:u w:val="single"/>
        </w:rPr>
        <w:t xml:space="preserve"> </w:t>
      </w:r>
      <w:r>
        <w:rPr>
          <w:rFonts w:ascii="Garamond" w:hAnsi="Garamond" w:cs="Garamond"/>
          <w:sz w:val="22"/>
          <w:szCs w:val="22"/>
          <w:u w:val="single"/>
        </w:rPr>
        <w:t>address</w:t>
      </w:r>
      <w:r>
        <w:rPr>
          <w:rFonts w:ascii="Garamond" w:hAnsi="Garamond" w:cs="Garamond"/>
          <w:spacing w:val="-8"/>
          <w:sz w:val="22"/>
          <w:szCs w:val="22"/>
          <w:u w:val="single"/>
        </w:rPr>
        <w:t xml:space="preserve"> </w:t>
      </w:r>
      <w:r>
        <w:rPr>
          <w:rFonts w:ascii="Garamond" w:hAnsi="Garamond" w:cs="Garamond"/>
          <w:sz w:val="22"/>
          <w:szCs w:val="22"/>
          <w:u w:val="single"/>
        </w:rPr>
        <w:t>substantive</w:t>
      </w:r>
      <w:r>
        <w:rPr>
          <w:rFonts w:ascii="Garamond" w:hAnsi="Garamond" w:cs="Garamond"/>
          <w:spacing w:val="-14"/>
          <w:sz w:val="22"/>
          <w:szCs w:val="22"/>
          <w:u w:val="single"/>
        </w:rPr>
        <w:t xml:space="preserve"> </w:t>
      </w:r>
      <w:r>
        <w:rPr>
          <w:rFonts w:ascii="Garamond" w:hAnsi="Garamond" w:cs="Garamond"/>
          <w:sz w:val="22"/>
          <w:szCs w:val="22"/>
          <w:u w:val="single"/>
        </w:rPr>
        <w:t>issues</w:t>
      </w:r>
      <w:r>
        <w:rPr>
          <w:rFonts w:ascii="Garamond" w:hAnsi="Garamond" w:cs="Garamond"/>
          <w:sz w:val="22"/>
          <w:szCs w:val="22"/>
        </w:rPr>
        <w:t xml:space="preserve">. PFACs should address </w:t>
      </w:r>
      <w:r>
        <w:rPr>
          <w:rFonts w:ascii="Garamond" w:hAnsi="Garamond" w:cs="Garamond"/>
          <w:spacing w:val="-3"/>
          <w:sz w:val="22"/>
          <w:szCs w:val="22"/>
        </w:rPr>
        <w:t xml:space="preserve">issues </w:t>
      </w:r>
      <w:r>
        <w:rPr>
          <w:rFonts w:ascii="Garamond" w:hAnsi="Garamond" w:cs="Garamond"/>
          <w:sz w:val="22"/>
          <w:szCs w:val="22"/>
        </w:rPr>
        <w:t xml:space="preserve">related to the </w:t>
      </w:r>
      <w:r>
        <w:rPr>
          <w:rFonts w:ascii="Garamond" w:hAnsi="Garamond" w:cs="Garamond"/>
          <w:spacing w:val="-3"/>
          <w:sz w:val="22"/>
          <w:szCs w:val="22"/>
        </w:rPr>
        <w:t xml:space="preserve">ACO’s </w:t>
      </w:r>
      <w:r>
        <w:rPr>
          <w:rFonts w:ascii="Garamond" w:hAnsi="Garamond" w:cs="Garamond"/>
          <w:sz w:val="22"/>
          <w:szCs w:val="22"/>
        </w:rPr>
        <w:t xml:space="preserve">quality, member experience, and </w:t>
      </w:r>
      <w:r>
        <w:rPr>
          <w:rFonts w:ascii="Garamond" w:hAnsi="Garamond" w:cs="Garamond"/>
          <w:spacing w:val="-3"/>
          <w:sz w:val="22"/>
          <w:szCs w:val="22"/>
        </w:rPr>
        <w:t xml:space="preserve">affordability </w:t>
      </w:r>
      <w:r>
        <w:rPr>
          <w:rFonts w:ascii="Garamond" w:hAnsi="Garamond" w:cs="Garamond"/>
          <w:sz w:val="22"/>
          <w:szCs w:val="22"/>
        </w:rPr>
        <w:t>goals</w:t>
      </w:r>
      <w:r>
        <w:rPr>
          <w:rFonts w:ascii="Garamond" w:hAnsi="Garamond" w:cs="Garamond"/>
          <w:spacing w:val="-9"/>
          <w:sz w:val="22"/>
          <w:szCs w:val="22"/>
        </w:rPr>
        <w:t xml:space="preserve"> </w:t>
      </w:r>
      <w:r>
        <w:rPr>
          <w:rFonts w:ascii="Garamond" w:hAnsi="Garamond" w:cs="Garamond"/>
          <w:sz w:val="22"/>
          <w:szCs w:val="22"/>
        </w:rPr>
        <w:t>from</w:t>
      </w:r>
      <w:r>
        <w:rPr>
          <w:rFonts w:ascii="Garamond" w:hAnsi="Garamond" w:cs="Garamond"/>
          <w:spacing w:val="-13"/>
          <w:sz w:val="22"/>
          <w:szCs w:val="22"/>
        </w:rPr>
        <w:t xml:space="preserve"> </w:t>
      </w:r>
      <w:r>
        <w:rPr>
          <w:rFonts w:ascii="Garamond" w:hAnsi="Garamond" w:cs="Garamond"/>
          <w:sz w:val="22"/>
          <w:szCs w:val="22"/>
        </w:rPr>
        <w:t>the</w:t>
      </w:r>
      <w:r>
        <w:rPr>
          <w:rFonts w:ascii="Garamond" w:hAnsi="Garamond" w:cs="Garamond"/>
          <w:spacing w:val="-13"/>
          <w:sz w:val="22"/>
          <w:szCs w:val="22"/>
        </w:rPr>
        <w:t xml:space="preserve"> </w:t>
      </w:r>
      <w:r>
        <w:rPr>
          <w:rFonts w:ascii="Garamond" w:hAnsi="Garamond" w:cs="Garamond"/>
          <w:sz w:val="22"/>
          <w:szCs w:val="22"/>
        </w:rPr>
        <w:t>member</w:t>
      </w:r>
      <w:r>
        <w:rPr>
          <w:rFonts w:ascii="Garamond" w:hAnsi="Garamond" w:cs="Garamond"/>
          <w:spacing w:val="-12"/>
          <w:sz w:val="22"/>
          <w:szCs w:val="22"/>
        </w:rPr>
        <w:t xml:space="preserve"> </w:t>
      </w:r>
      <w:r>
        <w:rPr>
          <w:rFonts w:ascii="Garamond" w:hAnsi="Garamond" w:cs="Garamond"/>
          <w:sz w:val="22"/>
          <w:szCs w:val="22"/>
        </w:rPr>
        <w:t>perspective,</w:t>
      </w:r>
      <w:r>
        <w:rPr>
          <w:rFonts w:ascii="Garamond" w:hAnsi="Garamond" w:cs="Garamond"/>
          <w:spacing w:val="-13"/>
          <w:sz w:val="22"/>
          <w:szCs w:val="22"/>
        </w:rPr>
        <w:t xml:space="preserve"> </w:t>
      </w:r>
      <w:r>
        <w:rPr>
          <w:rFonts w:ascii="Garamond" w:hAnsi="Garamond" w:cs="Garamond"/>
          <w:sz w:val="22"/>
          <w:szCs w:val="22"/>
        </w:rPr>
        <w:t>including</w:t>
      </w:r>
      <w:r>
        <w:rPr>
          <w:rFonts w:ascii="Garamond" w:hAnsi="Garamond" w:cs="Garamond"/>
          <w:spacing w:val="-11"/>
          <w:sz w:val="22"/>
          <w:szCs w:val="22"/>
        </w:rPr>
        <w:t xml:space="preserve"> </w:t>
      </w:r>
      <w:r>
        <w:rPr>
          <w:rFonts w:ascii="Garamond" w:hAnsi="Garamond" w:cs="Garamond"/>
          <w:sz w:val="22"/>
          <w:szCs w:val="22"/>
        </w:rPr>
        <w:t>continuous</w:t>
      </w:r>
      <w:r>
        <w:rPr>
          <w:rFonts w:ascii="Garamond" w:hAnsi="Garamond" w:cs="Garamond"/>
          <w:spacing w:val="-9"/>
          <w:sz w:val="22"/>
          <w:szCs w:val="22"/>
        </w:rPr>
        <w:t xml:space="preserve"> </w:t>
      </w:r>
      <w:r>
        <w:rPr>
          <w:rFonts w:ascii="Garamond" w:hAnsi="Garamond" w:cs="Garamond"/>
          <w:sz w:val="22"/>
          <w:szCs w:val="22"/>
        </w:rPr>
        <w:t>quality</w:t>
      </w:r>
      <w:r>
        <w:rPr>
          <w:rFonts w:ascii="Garamond" w:hAnsi="Garamond" w:cs="Garamond"/>
          <w:spacing w:val="-13"/>
          <w:sz w:val="22"/>
          <w:szCs w:val="22"/>
        </w:rPr>
        <w:t xml:space="preserve"> </w:t>
      </w:r>
      <w:r>
        <w:rPr>
          <w:rFonts w:ascii="Garamond" w:hAnsi="Garamond" w:cs="Garamond"/>
          <w:sz w:val="22"/>
          <w:szCs w:val="22"/>
        </w:rPr>
        <w:t>improvement.</w:t>
      </w:r>
      <w:r>
        <w:rPr>
          <w:rFonts w:ascii="Garamond" w:hAnsi="Garamond" w:cs="Garamond"/>
          <w:spacing w:val="-13"/>
          <w:sz w:val="22"/>
          <w:szCs w:val="22"/>
        </w:rPr>
        <w:t xml:space="preserve"> </w:t>
      </w:r>
      <w:r>
        <w:rPr>
          <w:rFonts w:ascii="Garamond" w:hAnsi="Garamond" w:cs="Garamond"/>
          <w:sz w:val="22"/>
          <w:szCs w:val="22"/>
        </w:rPr>
        <w:t>Councils</w:t>
      </w:r>
      <w:r>
        <w:rPr>
          <w:rFonts w:ascii="Garamond" w:hAnsi="Garamond" w:cs="Garamond"/>
          <w:spacing w:val="-9"/>
          <w:sz w:val="22"/>
          <w:szCs w:val="22"/>
        </w:rPr>
        <w:t xml:space="preserve"> </w:t>
      </w:r>
      <w:r>
        <w:rPr>
          <w:rFonts w:ascii="Garamond" w:hAnsi="Garamond" w:cs="Garamond"/>
          <w:spacing w:val="-3"/>
          <w:sz w:val="22"/>
          <w:szCs w:val="22"/>
        </w:rPr>
        <w:t>should:</w:t>
      </w:r>
    </w:p>
    <w:p w:rsidR="002C5025" w:rsidRDefault="002C5025">
      <w:pPr>
        <w:pStyle w:val="ListParagraph"/>
        <w:numPr>
          <w:ilvl w:val="3"/>
          <w:numId w:val="49"/>
        </w:numPr>
        <w:tabs>
          <w:tab w:val="left" w:pos="1561"/>
        </w:tabs>
        <w:kinsoku w:val="0"/>
        <w:overflowPunct w:val="0"/>
        <w:spacing w:before="7" w:line="230" w:lineRule="auto"/>
        <w:ind w:right="352" w:hanging="359"/>
        <w:rPr>
          <w:rFonts w:ascii="Garamond" w:hAnsi="Garamond" w:cs="Garamond"/>
          <w:sz w:val="22"/>
          <w:szCs w:val="22"/>
        </w:rPr>
      </w:pPr>
      <w:r>
        <w:rPr>
          <w:rFonts w:ascii="Garamond" w:hAnsi="Garamond" w:cs="Garamond"/>
          <w:sz w:val="22"/>
          <w:szCs w:val="22"/>
        </w:rPr>
        <w:t>Have</w:t>
      </w:r>
      <w:r>
        <w:rPr>
          <w:rFonts w:ascii="Garamond" w:hAnsi="Garamond" w:cs="Garamond"/>
          <w:spacing w:val="-8"/>
          <w:sz w:val="22"/>
          <w:szCs w:val="22"/>
        </w:rPr>
        <w:t xml:space="preserve"> </w:t>
      </w:r>
      <w:r>
        <w:rPr>
          <w:rFonts w:ascii="Garamond" w:hAnsi="Garamond" w:cs="Garamond"/>
          <w:sz w:val="22"/>
          <w:szCs w:val="22"/>
        </w:rPr>
        <w:t>membership</w:t>
      </w:r>
      <w:r>
        <w:rPr>
          <w:rFonts w:ascii="Garamond" w:hAnsi="Garamond" w:cs="Garamond"/>
          <w:spacing w:val="-8"/>
          <w:sz w:val="22"/>
          <w:szCs w:val="22"/>
        </w:rPr>
        <w:t xml:space="preserve"> </w:t>
      </w:r>
      <w:r>
        <w:rPr>
          <w:rFonts w:ascii="Garamond" w:hAnsi="Garamond" w:cs="Garamond"/>
          <w:sz w:val="22"/>
          <w:szCs w:val="22"/>
        </w:rPr>
        <w:t>that</w:t>
      </w:r>
      <w:r>
        <w:rPr>
          <w:rFonts w:ascii="Garamond" w:hAnsi="Garamond" w:cs="Garamond"/>
          <w:spacing w:val="-7"/>
          <w:sz w:val="22"/>
          <w:szCs w:val="22"/>
        </w:rPr>
        <w:t xml:space="preserve"> </w:t>
      </w:r>
      <w:r>
        <w:rPr>
          <w:rFonts w:ascii="Garamond" w:hAnsi="Garamond" w:cs="Garamond"/>
          <w:sz w:val="22"/>
          <w:szCs w:val="22"/>
        </w:rPr>
        <w:t>currently</w:t>
      </w:r>
      <w:r>
        <w:rPr>
          <w:rFonts w:ascii="Garamond" w:hAnsi="Garamond" w:cs="Garamond"/>
          <w:spacing w:val="-9"/>
          <w:sz w:val="22"/>
          <w:szCs w:val="22"/>
        </w:rPr>
        <w:t xml:space="preserve"> </w:t>
      </w:r>
      <w:r>
        <w:rPr>
          <w:rFonts w:ascii="Garamond" w:hAnsi="Garamond" w:cs="Garamond"/>
          <w:sz w:val="22"/>
          <w:szCs w:val="22"/>
        </w:rPr>
        <w:t>receives</w:t>
      </w:r>
      <w:r>
        <w:rPr>
          <w:rFonts w:ascii="Garamond" w:hAnsi="Garamond" w:cs="Garamond"/>
          <w:spacing w:val="-4"/>
          <w:sz w:val="22"/>
          <w:szCs w:val="22"/>
        </w:rPr>
        <w:t xml:space="preserve"> </w:t>
      </w:r>
      <w:r>
        <w:rPr>
          <w:rFonts w:ascii="Garamond" w:hAnsi="Garamond" w:cs="Garamond"/>
          <w:sz w:val="22"/>
          <w:szCs w:val="22"/>
        </w:rPr>
        <w:t>care</w:t>
      </w:r>
      <w:r>
        <w:rPr>
          <w:rFonts w:ascii="Garamond" w:hAnsi="Garamond" w:cs="Garamond"/>
          <w:spacing w:val="-6"/>
          <w:sz w:val="22"/>
          <w:szCs w:val="22"/>
        </w:rPr>
        <w:t xml:space="preserve"> </w:t>
      </w:r>
      <w:r>
        <w:rPr>
          <w:rFonts w:ascii="Garamond" w:hAnsi="Garamond" w:cs="Garamond"/>
          <w:sz w:val="22"/>
          <w:szCs w:val="22"/>
        </w:rPr>
        <w:t>at</w:t>
      </w:r>
      <w:r>
        <w:rPr>
          <w:rFonts w:ascii="Garamond" w:hAnsi="Garamond" w:cs="Garamond"/>
          <w:spacing w:val="-5"/>
          <w:sz w:val="22"/>
          <w:szCs w:val="22"/>
        </w:rPr>
        <w:t xml:space="preserve"> </w:t>
      </w:r>
      <w:r>
        <w:rPr>
          <w:rFonts w:ascii="Garamond" w:hAnsi="Garamond" w:cs="Garamond"/>
          <w:sz w:val="22"/>
          <w:szCs w:val="22"/>
        </w:rPr>
        <w:t>the</w:t>
      </w:r>
      <w:r>
        <w:rPr>
          <w:rFonts w:ascii="Garamond" w:hAnsi="Garamond" w:cs="Garamond"/>
          <w:spacing w:val="-8"/>
          <w:sz w:val="22"/>
          <w:szCs w:val="22"/>
        </w:rPr>
        <w:t xml:space="preserve"> </w:t>
      </w:r>
      <w:r>
        <w:rPr>
          <w:rFonts w:ascii="Garamond" w:hAnsi="Garamond" w:cs="Garamond"/>
          <w:spacing w:val="-3"/>
          <w:sz w:val="22"/>
          <w:szCs w:val="22"/>
        </w:rPr>
        <w:t>ACO.</w:t>
      </w:r>
      <w:r>
        <w:rPr>
          <w:rFonts w:ascii="Garamond" w:hAnsi="Garamond" w:cs="Garamond"/>
          <w:spacing w:val="-8"/>
          <w:sz w:val="22"/>
          <w:szCs w:val="22"/>
        </w:rPr>
        <w:t xml:space="preserve"> </w:t>
      </w:r>
      <w:r>
        <w:rPr>
          <w:rFonts w:ascii="Garamond" w:hAnsi="Garamond" w:cs="Garamond"/>
          <w:sz w:val="22"/>
          <w:szCs w:val="22"/>
        </w:rPr>
        <w:t>Membership</w:t>
      </w:r>
      <w:r>
        <w:rPr>
          <w:rFonts w:ascii="Garamond" w:hAnsi="Garamond" w:cs="Garamond"/>
          <w:spacing w:val="-10"/>
          <w:sz w:val="22"/>
          <w:szCs w:val="22"/>
        </w:rPr>
        <w:t xml:space="preserve"> </w:t>
      </w:r>
      <w:r>
        <w:rPr>
          <w:rFonts w:ascii="Garamond" w:hAnsi="Garamond" w:cs="Garamond"/>
          <w:sz w:val="22"/>
          <w:szCs w:val="22"/>
        </w:rPr>
        <w:t>should</w:t>
      </w:r>
      <w:r>
        <w:rPr>
          <w:rFonts w:ascii="Garamond" w:hAnsi="Garamond" w:cs="Garamond"/>
          <w:spacing w:val="-8"/>
          <w:sz w:val="22"/>
          <w:szCs w:val="22"/>
        </w:rPr>
        <w:t xml:space="preserve"> </w:t>
      </w:r>
      <w:r>
        <w:rPr>
          <w:rFonts w:ascii="Garamond" w:hAnsi="Garamond" w:cs="Garamond"/>
          <w:spacing w:val="-3"/>
          <w:sz w:val="22"/>
          <w:szCs w:val="22"/>
        </w:rPr>
        <w:t>reflect</w:t>
      </w:r>
      <w:r>
        <w:rPr>
          <w:rFonts w:ascii="Garamond" w:hAnsi="Garamond" w:cs="Garamond"/>
          <w:spacing w:val="-7"/>
          <w:sz w:val="22"/>
          <w:szCs w:val="22"/>
        </w:rPr>
        <w:t xml:space="preserve"> </w:t>
      </w:r>
      <w:r>
        <w:rPr>
          <w:rFonts w:ascii="Garamond" w:hAnsi="Garamond" w:cs="Garamond"/>
          <w:sz w:val="22"/>
          <w:szCs w:val="22"/>
        </w:rPr>
        <w:t xml:space="preserve">the populations/community served by ACO (including age, race, ethnicity </w:t>
      </w:r>
      <w:r>
        <w:rPr>
          <w:rFonts w:ascii="Garamond" w:hAnsi="Garamond" w:cs="Garamond"/>
          <w:spacing w:val="-3"/>
          <w:sz w:val="22"/>
          <w:szCs w:val="22"/>
        </w:rPr>
        <w:t xml:space="preserve">and </w:t>
      </w:r>
      <w:r>
        <w:rPr>
          <w:rFonts w:ascii="Garamond" w:hAnsi="Garamond" w:cs="Garamond"/>
          <w:sz w:val="22"/>
          <w:szCs w:val="22"/>
        </w:rPr>
        <w:t>language preference).</w:t>
      </w:r>
    </w:p>
    <w:p w:rsidR="002C5025" w:rsidRDefault="002C5025">
      <w:pPr>
        <w:pStyle w:val="ListParagraph"/>
        <w:numPr>
          <w:ilvl w:val="3"/>
          <w:numId w:val="49"/>
        </w:numPr>
        <w:tabs>
          <w:tab w:val="left" w:pos="1561"/>
        </w:tabs>
        <w:kinsoku w:val="0"/>
        <w:overflowPunct w:val="0"/>
        <w:spacing w:before="2" w:line="240" w:lineRule="exact"/>
        <w:ind w:right="442" w:hanging="359"/>
        <w:rPr>
          <w:rFonts w:ascii="Garamond" w:hAnsi="Garamond" w:cs="Garamond"/>
          <w:sz w:val="22"/>
          <w:szCs w:val="22"/>
        </w:rPr>
      </w:pPr>
      <w:r>
        <w:rPr>
          <w:rFonts w:ascii="Garamond" w:hAnsi="Garamond" w:cs="Garamond"/>
          <w:sz w:val="22"/>
          <w:szCs w:val="22"/>
        </w:rPr>
        <w:t>Hold</w:t>
      </w:r>
      <w:r>
        <w:rPr>
          <w:rFonts w:ascii="Garamond" w:hAnsi="Garamond" w:cs="Garamond"/>
          <w:spacing w:val="-10"/>
          <w:sz w:val="22"/>
          <w:szCs w:val="22"/>
        </w:rPr>
        <w:t xml:space="preserve"> </w:t>
      </w:r>
      <w:r>
        <w:rPr>
          <w:rFonts w:ascii="Garamond" w:hAnsi="Garamond" w:cs="Garamond"/>
          <w:sz w:val="22"/>
          <w:szCs w:val="22"/>
        </w:rPr>
        <w:t>meetings</w:t>
      </w:r>
      <w:r>
        <w:rPr>
          <w:rFonts w:ascii="Garamond" w:hAnsi="Garamond" w:cs="Garamond"/>
          <w:spacing w:val="-6"/>
          <w:sz w:val="22"/>
          <w:szCs w:val="22"/>
        </w:rPr>
        <w:t xml:space="preserve"> </w:t>
      </w:r>
      <w:r>
        <w:rPr>
          <w:rFonts w:ascii="Garamond" w:hAnsi="Garamond" w:cs="Garamond"/>
          <w:sz w:val="22"/>
          <w:szCs w:val="22"/>
        </w:rPr>
        <w:t>at</w:t>
      </w:r>
      <w:r>
        <w:rPr>
          <w:rFonts w:ascii="Garamond" w:hAnsi="Garamond" w:cs="Garamond"/>
          <w:spacing w:val="-9"/>
          <w:sz w:val="22"/>
          <w:szCs w:val="22"/>
        </w:rPr>
        <w:t xml:space="preserve"> </w:t>
      </w:r>
      <w:r>
        <w:rPr>
          <w:rFonts w:ascii="Garamond" w:hAnsi="Garamond" w:cs="Garamond"/>
          <w:sz w:val="22"/>
          <w:szCs w:val="22"/>
        </w:rPr>
        <w:t>least</w:t>
      </w:r>
      <w:r>
        <w:rPr>
          <w:rFonts w:ascii="Garamond" w:hAnsi="Garamond" w:cs="Garamond"/>
          <w:spacing w:val="-9"/>
          <w:sz w:val="22"/>
          <w:szCs w:val="22"/>
        </w:rPr>
        <w:t xml:space="preserve"> </w:t>
      </w:r>
      <w:r>
        <w:rPr>
          <w:rFonts w:ascii="Garamond" w:hAnsi="Garamond" w:cs="Garamond"/>
          <w:sz w:val="22"/>
          <w:szCs w:val="22"/>
        </w:rPr>
        <w:t>quarterly,</w:t>
      </w:r>
      <w:r>
        <w:rPr>
          <w:rFonts w:ascii="Garamond" w:hAnsi="Garamond" w:cs="Garamond"/>
          <w:spacing w:val="-8"/>
          <w:sz w:val="22"/>
          <w:szCs w:val="22"/>
        </w:rPr>
        <w:t xml:space="preserve"> </w:t>
      </w:r>
      <w:r>
        <w:rPr>
          <w:rFonts w:ascii="Garamond" w:hAnsi="Garamond" w:cs="Garamond"/>
          <w:sz w:val="22"/>
          <w:szCs w:val="22"/>
        </w:rPr>
        <w:t>with</w:t>
      </w:r>
      <w:r>
        <w:rPr>
          <w:rFonts w:ascii="Garamond" w:hAnsi="Garamond" w:cs="Garamond"/>
          <w:spacing w:val="-7"/>
          <w:sz w:val="22"/>
          <w:szCs w:val="22"/>
        </w:rPr>
        <w:t xml:space="preserve"> </w:t>
      </w:r>
      <w:r>
        <w:rPr>
          <w:rFonts w:ascii="Garamond" w:hAnsi="Garamond" w:cs="Garamond"/>
          <w:sz w:val="22"/>
          <w:szCs w:val="22"/>
        </w:rPr>
        <w:t>agendas</w:t>
      </w:r>
      <w:r>
        <w:rPr>
          <w:rFonts w:ascii="Garamond" w:hAnsi="Garamond" w:cs="Garamond"/>
          <w:spacing w:val="-8"/>
          <w:sz w:val="22"/>
          <w:szCs w:val="22"/>
        </w:rPr>
        <w:t xml:space="preserve"> </w:t>
      </w:r>
      <w:r>
        <w:rPr>
          <w:rFonts w:ascii="Garamond" w:hAnsi="Garamond" w:cs="Garamond"/>
          <w:sz w:val="22"/>
          <w:szCs w:val="22"/>
        </w:rPr>
        <w:t>developed</w:t>
      </w:r>
      <w:r>
        <w:rPr>
          <w:rFonts w:ascii="Garamond" w:hAnsi="Garamond" w:cs="Garamond"/>
          <w:spacing w:val="-12"/>
          <w:sz w:val="22"/>
          <w:szCs w:val="22"/>
        </w:rPr>
        <w:t xml:space="preserve"> </w:t>
      </w:r>
      <w:r>
        <w:rPr>
          <w:rFonts w:ascii="Garamond" w:hAnsi="Garamond" w:cs="Garamond"/>
          <w:sz w:val="22"/>
          <w:szCs w:val="22"/>
        </w:rPr>
        <w:t>in</w:t>
      </w:r>
      <w:r>
        <w:rPr>
          <w:rFonts w:ascii="Garamond" w:hAnsi="Garamond" w:cs="Garamond"/>
          <w:spacing w:val="-7"/>
          <w:sz w:val="22"/>
          <w:szCs w:val="22"/>
        </w:rPr>
        <w:t xml:space="preserve"> </w:t>
      </w:r>
      <w:r>
        <w:rPr>
          <w:rFonts w:ascii="Garamond" w:hAnsi="Garamond" w:cs="Garamond"/>
          <w:sz w:val="22"/>
          <w:szCs w:val="22"/>
        </w:rPr>
        <w:t>collaboration</w:t>
      </w:r>
      <w:r>
        <w:rPr>
          <w:rFonts w:ascii="Garamond" w:hAnsi="Garamond" w:cs="Garamond"/>
          <w:spacing w:val="-9"/>
          <w:sz w:val="22"/>
          <w:szCs w:val="22"/>
        </w:rPr>
        <w:t xml:space="preserve"> </w:t>
      </w:r>
      <w:r>
        <w:rPr>
          <w:rFonts w:ascii="Garamond" w:hAnsi="Garamond" w:cs="Garamond"/>
          <w:sz w:val="22"/>
          <w:szCs w:val="22"/>
        </w:rPr>
        <w:t>with</w:t>
      </w:r>
      <w:r>
        <w:rPr>
          <w:rFonts w:ascii="Garamond" w:hAnsi="Garamond" w:cs="Garamond"/>
          <w:spacing w:val="-9"/>
          <w:sz w:val="22"/>
          <w:szCs w:val="22"/>
        </w:rPr>
        <w:t xml:space="preserve"> </w:t>
      </w:r>
      <w:r>
        <w:rPr>
          <w:rFonts w:ascii="Garamond" w:hAnsi="Garamond" w:cs="Garamond"/>
          <w:sz w:val="22"/>
          <w:szCs w:val="22"/>
        </w:rPr>
        <w:t>the</w:t>
      </w:r>
      <w:r>
        <w:rPr>
          <w:rFonts w:ascii="Garamond" w:hAnsi="Garamond" w:cs="Garamond"/>
          <w:spacing w:val="-8"/>
          <w:sz w:val="22"/>
          <w:szCs w:val="22"/>
        </w:rPr>
        <w:t xml:space="preserve"> </w:t>
      </w:r>
      <w:r>
        <w:rPr>
          <w:rFonts w:ascii="Garamond" w:hAnsi="Garamond" w:cs="Garamond"/>
          <w:spacing w:val="-3"/>
          <w:sz w:val="22"/>
          <w:szCs w:val="22"/>
        </w:rPr>
        <w:t xml:space="preserve">group, </w:t>
      </w:r>
      <w:r>
        <w:rPr>
          <w:rFonts w:ascii="Garamond" w:hAnsi="Garamond" w:cs="Garamond"/>
          <w:sz w:val="22"/>
          <w:szCs w:val="22"/>
        </w:rPr>
        <w:t>and</w:t>
      </w:r>
      <w:r>
        <w:rPr>
          <w:rFonts w:ascii="Garamond" w:hAnsi="Garamond" w:cs="Garamond"/>
          <w:spacing w:val="-9"/>
          <w:sz w:val="22"/>
          <w:szCs w:val="22"/>
        </w:rPr>
        <w:t xml:space="preserve"> </w:t>
      </w:r>
      <w:r>
        <w:rPr>
          <w:rFonts w:ascii="Garamond" w:hAnsi="Garamond" w:cs="Garamond"/>
          <w:sz w:val="22"/>
          <w:szCs w:val="22"/>
        </w:rPr>
        <w:t>distributed</w:t>
      </w:r>
      <w:r>
        <w:rPr>
          <w:rFonts w:ascii="Garamond" w:hAnsi="Garamond" w:cs="Garamond"/>
          <w:spacing w:val="-6"/>
          <w:sz w:val="22"/>
          <w:szCs w:val="22"/>
        </w:rPr>
        <w:t xml:space="preserve"> </w:t>
      </w:r>
      <w:r>
        <w:rPr>
          <w:rFonts w:ascii="Garamond" w:hAnsi="Garamond" w:cs="Garamond"/>
          <w:sz w:val="22"/>
          <w:szCs w:val="22"/>
        </w:rPr>
        <w:t>in</w:t>
      </w:r>
      <w:r>
        <w:rPr>
          <w:rFonts w:ascii="Garamond" w:hAnsi="Garamond" w:cs="Garamond"/>
          <w:spacing w:val="-9"/>
          <w:sz w:val="22"/>
          <w:szCs w:val="22"/>
        </w:rPr>
        <w:t xml:space="preserve"> </w:t>
      </w:r>
      <w:r>
        <w:rPr>
          <w:rFonts w:ascii="Garamond" w:hAnsi="Garamond" w:cs="Garamond"/>
          <w:sz w:val="22"/>
          <w:szCs w:val="22"/>
        </w:rPr>
        <w:t>advance</w:t>
      </w:r>
      <w:r>
        <w:rPr>
          <w:rFonts w:ascii="Garamond" w:hAnsi="Garamond" w:cs="Garamond"/>
          <w:spacing w:val="-9"/>
          <w:sz w:val="22"/>
          <w:szCs w:val="22"/>
        </w:rPr>
        <w:t xml:space="preserve"> </w:t>
      </w:r>
      <w:r>
        <w:rPr>
          <w:rFonts w:ascii="Garamond" w:hAnsi="Garamond" w:cs="Garamond"/>
          <w:sz w:val="22"/>
          <w:szCs w:val="22"/>
        </w:rPr>
        <w:t>of</w:t>
      </w:r>
      <w:r>
        <w:rPr>
          <w:rFonts w:ascii="Garamond" w:hAnsi="Garamond" w:cs="Garamond"/>
          <w:spacing w:val="-10"/>
          <w:sz w:val="22"/>
          <w:szCs w:val="22"/>
        </w:rPr>
        <w:t xml:space="preserve"> </w:t>
      </w:r>
      <w:r>
        <w:rPr>
          <w:rFonts w:ascii="Garamond" w:hAnsi="Garamond" w:cs="Garamond"/>
          <w:sz w:val="22"/>
          <w:szCs w:val="22"/>
        </w:rPr>
        <w:t>the</w:t>
      </w:r>
      <w:r>
        <w:rPr>
          <w:rFonts w:ascii="Garamond" w:hAnsi="Garamond" w:cs="Garamond"/>
          <w:spacing w:val="-10"/>
          <w:sz w:val="22"/>
          <w:szCs w:val="22"/>
        </w:rPr>
        <w:t xml:space="preserve"> </w:t>
      </w:r>
      <w:r>
        <w:rPr>
          <w:rFonts w:ascii="Garamond" w:hAnsi="Garamond" w:cs="Garamond"/>
          <w:sz w:val="22"/>
          <w:szCs w:val="22"/>
        </w:rPr>
        <w:t>meeting.</w:t>
      </w:r>
    </w:p>
    <w:p w:rsidR="002C5025" w:rsidRDefault="002C5025">
      <w:pPr>
        <w:pStyle w:val="ListParagraph"/>
        <w:numPr>
          <w:ilvl w:val="3"/>
          <w:numId w:val="49"/>
        </w:numPr>
        <w:tabs>
          <w:tab w:val="left" w:pos="1560"/>
        </w:tabs>
        <w:kinsoku w:val="0"/>
        <w:overflowPunct w:val="0"/>
        <w:spacing w:before="21" w:line="245" w:lineRule="exact"/>
        <w:ind w:hanging="360"/>
        <w:rPr>
          <w:rFonts w:ascii="Garamond" w:hAnsi="Garamond" w:cs="Garamond"/>
          <w:sz w:val="22"/>
          <w:szCs w:val="22"/>
        </w:rPr>
      </w:pPr>
      <w:r>
        <w:rPr>
          <w:rFonts w:ascii="Garamond" w:hAnsi="Garamond" w:cs="Garamond"/>
          <w:sz w:val="22"/>
          <w:szCs w:val="22"/>
        </w:rPr>
        <w:t>Regularly</w:t>
      </w:r>
      <w:r>
        <w:rPr>
          <w:rFonts w:ascii="Garamond" w:hAnsi="Garamond" w:cs="Garamond"/>
          <w:spacing w:val="-15"/>
          <w:sz w:val="22"/>
          <w:szCs w:val="22"/>
        </w:rPr>
        <w:t xml:space="preserve"> </w:t>
      </w:r>
      <w:r>
        <w:rPr>
          <w:rFonts w:ascii="Garamond" w:hAnsi="Garamond" w:cs="Garamond"/>
          <w:sz w:val="22"/>
          <w:szCs w:val="22"/>
        </w:rPr>
        <w:t>share</w:t>
      </w:r>
      <w:r>
        <w:rPr>
          <w:rFonts w:ascii="Garamond" w:hAnsi="Garamond" w:cs="Garamond"/>
          <w:spacing w:val="-13"/>
          <w:sz w:val="22"/>
          <w:szCs w:val="22"/>
        </w:rPr>
        <w:t xml:space="preserve"> </w:t>
      </w:r>
      <w:r>
        <w:rPr>
          <w:rFonts w:ascii="Garamond" w:hAnsi="Garamond" w:cs="Garamond"/>
          <w:sz w:val="22"/>
          <w:szCs w:val="22"/>
        </w:rPr>
        <w:t>member</w:t>
      </w:r>
      <w:r>
        <w:rPr>
          <w:rFonts w:ascii="Garamond" w:hAnsi="Garamond" w:cs="Garamond"/>
          <w:spacing w:val="-13"/>
          <w:sz w:val="22"/>
          <w:szCs w:val="22"/>
        </w:rPr>
        <w:t xml:space="preserve"> </w:t>
      </w:r>
      <w:r>
        <w:rPr>
          <w:rFonts w:ascii="Garamond" w:hAnsi="Garamond" w:cs="Garamond"/>
          <w:sz w:val="22"/>
          <w:szCs w:val="22"/>
        </w:rPr>
        <w:t>satisfaction/complaints</w:t>
      </w:r>
      <w:r>
        <w:rPr>
          <w:rFonts w:ascii="Garamond" w:hAnsi="Garamond" w:cs="Garamond"/>
          <w:spacing w:val="-7"/>
          <w:sz w:val="22"/>
          <w:szCs w:val="22"/>
        </w:rPr>
        <w:t xml:space="preserve"> </w:t>
      </w:r>
      <w:r>
        <w:rPr>
          <w:rFonts w:ascii="Garamond" w:hAnsi="Garamond" w:cs="Garamond"/>
          <w:sz w:val="22"/>
          <w:szCs w:val="22"/>
        </w:rPr>
        <w:t>and</w:t>
      </w:r>
      <w:r>
        <w:rPr>
          <w:rFonts w:ascii="Garamond" w:hAnsi="Garamond" w:cs="Garamond"/>
          <w:spacing w:val="-12"/>
          <w:sz w:val="22"/>
          <w:szCs w:val="22"/>
        </w:rPr>
        <w:t xml:space="preserve"> </w:t>
      </w:r>
      <w:r>
        <w:rPr>
          <w:rFonts w:ascii="Garamond" w:hAnsi="Garamond" w:cs="Garamond"/>
          <w:spacing w:val="-3"/>
          <w:sz w:val="22"/>
          <w:szCs w:val="22"/>
        </w:rPr>
        <w:t>other</w:t>
      </w:r>
      <w:r>
        <w:rPr>
          <w:rFonts w:ascii="Garamond" w:hAnsi="Garamond" w:cs="Garamond"/>
          <w:spacing w:val="-11"/>
          <w:sz w:val="22"/>
          <w:szCs w:val="22"/>
        </w:rPr>
        <w:t xml:space="preserve"> </w:t>
      </w:r>
      <w:r>
        <w:rPr>
          <w:rFonts w:ascii="Garamond" w:hAnsi="Garamond" w:cs="Garamond"/>
          <w:sz w:val="22"/>
          <w:szCs w:val="22"/>
        </w:rPr>
        <w:t>relevant</w:t>
      </w:r>
      <w:r>
        <w:rPr>
          <w:rFonts w:ascii="Garamond" w:hAnsi="Garamond" w:cs="Garamond"/>
          <w:spacing w:val="-10"/>
          <w:sz w:val="22"/>
          <w:szCs w:val="22"/>
        </w:rPr>
        <w:t xml:space="preserve"> </w:t>
      </w:r>
      <w:r>
        <w:rPr>
          <w:rFonts w:ascii="Garamond" w:hAnsi="Garamond" w:cs="Garamond"/>
          <w:sz w:val="22"/>
          <w:szCs w:val="22"/>
        </w:rPr>
        <w:t>data.</w:t>
      </w:r>
    </w:p>
    <w:p w:rsidR="002C5025" w:rsidRDefault="002C5025">
      <w:pPr>
        <w:pStyle w:val="ListParagraph"/>
        <w:numPr>
          <w:ilvl w:val="3"/>
          <w:numId w:val="49"/>
        </w:numPr>
        <w:tabs>
          <w:tab w:val="left" w:pos="1560"/>
        </w:tabs>
        <w:kinsoku w:val="0"/>
        <w:overflowPunct w:val="0"/>
        <w:spacing w:line="232" w:lineRule="auto"/>
        <w:ind w:right="701" w:hanging="360"/>
        <w:rPr>
          <w:rFonts w:ascii="Garamond" w:hAnsi="Garamond" w:cs="Garamond"/>
          <w:sz w:val="22"/>
          <w:szCs w:val="22"/>
        </w:rPr>
      </w:pPr>
      <w:r>
        <w:rPr>
          <w:rFonts w:ascii="Garamond" w:hAnsi="Garamond" w:cs="Garamond"/>
          <w:sz w:val="22"/>
          <w:szCs w:val="22"/>
        </w:rPr>
        <w:t>Have</w:t>
      </w:r>
      <w:r>
        <w:rPr>
          <w:rFonts w:ascii="Garamond" w:hAnsi="Garamond" w:cs="Garamond"/>
          <w:spacing w:val="-7"/>
          <w:sz w:val="22"/>
          <w:szCs w:val="22"/>
        </w:rPr>
        <w:t xml:space="preserve"> </w:t>
      </w:r>
      <w:r>
        <w:rPr>
          <w:rFonts w:ascii="Garamond" w:hAnsi="Garamond" w:cs="Garamond"/>
          <w:sz w:val="22"/>
          <w:szCs w:val="22"/>
        </w:rPr>
        <w:t>a</w:t>
      </w:r>
      <w:r>
        <w:rPr>
          <w:rFonts w:ascii="Garamond" w:hAnsi="Garamond" w:cs="Garamond"/>
          <w:spacing w:val="-9"/>
          <w:sz w:val="22"/>
          <w:szCs w:val="22"/>
        </w:rPr>
        <w:t xml:space="preserve"> </w:t>
      </w:r>
      <w:r>
        <w:rPr>
          <w:rFonts w:ascii="Garamond" w:hAnsi="Garamond" w:cs="Garamond"/>
          <w:sz w:val="22"/>
          <w:szCs w:val="22"/>
        </w:rPr>
        <w:t>documented</w:t>
      </w:r>
      <w:r>
        <w:rPr>
          <w:rFonts w:ascii="Garamond" w:hAnsi="Garamond" w:cs="Garamond"/>
          <w:spacing w:val="-9"/>
          <w:sz w:val="22"/>
          <w:szCs w:val="22"/>
        </w:rPr>
        <w:t xml:space="preserve"> </w:t>
      </w:r>
      <w:r>
        <w:rPr>
          <w:rFonts w:ascii="Garamond" w:hAnsi="Garamond" w:cs="Garamond"/>
          <w:sz w:val="22"/>
          <w:szCs w:val="22"/>
        </w:rPr>
        <w:t>“feedback</w:t>
      </w:r>
      <w:r>
        <w:rPr>
          <w:rFonts w:ascii="Garamond" w:hAnsi="Garamond" w:cs="Garamond"/>
          <w:spacing w:val="-7"/>
          <w:sz w:val="22"/>
          <w:szCs w:val="22"/>
        </w:rPr>
        <w:t xml:space="preserve"> </w:t>
      </w:r>
      <w:r>
        <w:rPr>
          <w:rFonts w:ascii="Garamond" w:hAnsi="Garamond" w:cs="Garamond"/>
          <w:sz w:val="22"/>
          <w:szCs w:val="22"/>
        </w:rPr>
        <w:t>loop”</w:t>
      </w:r>
      <w:r>
        <w:rPr>
          <w:rFonts w:ascii="Garamond" w:hAnsi="Garamond" w:cs="Garamond"/>
          <w:spacing w:val="-7"/>
          <w:sz w:val="22"/>
          <w:szCs w:val="22"/>
        </w:rPr>
        <w:t xml:space="preserve"> </w:t>
      </w:r>
      <w:r>
        <w:rPr>
          <w:rFonts w:ascii="Garamond" w:hAnsi="Garamond" w:cs="Garamond"/>
          <w:sz w:val="22"/>
          <w:szCs w:val="22"/>
        </w:rPr>
        <w:t>in</w:t>
      </w:r>
      <w:r>
        <w:rPr>
          <w:rFonts w:ascii="Garamond" w:hAnsi="Garamond" w:cs="Garamond"/>
          <w:spacing w:val="-6"/>
          <w:sz w:val="22"/>
          <w:szCs w:val="22"/>
        </w:rPr>
        <w:t xml:space="preserve"> </w:t>
      </w:r>
      <w:r>
        <w:rPr>
          <w:rFonts w:ascii="Garamond" w:hAnsi="Garamond" w:cs="Garamond"/>
          <w:sz w:val="22"/>
          <w:szCs w:val="22"/>
        </w:rPr>
        <w:t>which</w:t>
      </w:r>
      <w:r>
        <w:rPr>
          <w:rFonts w:ascii="Garamond" w:hAnsi="Garamond" w:cs="Garamond"/>
          <w:spacing w:val="-10"/>
          <w:sz w:val="22"/>
          <w:szCs w:val="22"/>
        </w:rPr>
        <w:t xml:space="preserve"> </w:t>
      </w:r>
      <w:r>
        <w:rPr>
          <w:rFonts w:ascii="Garamond" w:hAnsi="Garamond" w:cs="Garamond"/>
          <w:sz w:val="22"/>
          <w:szCs w:val="22"/>
        </w:rPr>
        <w:t>recommendations</w:t>
      </w:r>
      <w:r>
        <w:rPr>
          <w:rFonts w:ascii="Garamond" w:hAnsi="Garamond" w:cs="Garamond"/>
          <w:spacing w:val="-5"/>
          <w:sz w:val="22"/>
          <w:szCs w:val="22"/>
        </w:rPr>
        <w:t xml:space="preserve"> </w:t>
      </w:r>
      <w:r>
        <w:rPr>
          <w:rFonts w:ascii="Garamond" w:hAnsi="Garamond" w:cs="Garamond"/>
          <w:spacing w:val="-2"/>
          <w:sz w:val="22"/>
          <w:szCs w:val="22"/>
        </w:rPr>
        <w:t>are</w:t>
      </w:r>
      <w:r>
        <w:rPr>
          <w:rFonts w:ascii="Garamond" w:hAnsi="Garamond" w:cs="Garamond"/>
          <w:spacing w:val="-7"/>
          <w:sz w:val="22"/>
          <w:szCs w:val="22"/>
        </w:rPr>
        <w:t xml:space="preserve"> </w:t>
      </w:r>
      <w:r>
        <w:rPr>
          <w:rFonts w:ascii="Garamond" w:hAnsi="Garamond" w:cs="Garamond"/>
          <w:sz w:val="22"/>
          <w:szCs w:val="22"/>
        </w:rPr>
        <w:t>carried</w:t>
      </w:r>
      <w:r>
        <w:rPr>
          <w:rFonts w:ascii="Garamond" w:hAnsi="Garamond" w:cs="Garamond"/>
          <w:spacing w:val="-9"/>
          <w:sz w:val="22"/>
          <w:szCs w:val="22"/>
        </w:rPr>
        <w:t xml:space="preserve"> </w:t>
      </w:r>
      <w:r>
        <w:rPr>
          <w:rFonts w:ascii="Garamond" w:hAnsi="Garamond" w:cs="Garamond"/>
          <w:sz w:val="22"/>
          <w:szCs w:val="22"/>
        </w:rPr>
        <w:t>up</w:t>
      </w:r>
      <w:r>
        <w:rPr>
          <w:rFonts w:ascii="Garamond" w:hAnsi="Garamond" w:cs="Garamond"/>
          <w:spacing w:val="-10"/>
          <w:sz w:val="22"/>
          <w:szCs w:val="22"/>
        </w:rPr>
        <w:t xml:space="preserve"> </w:t>
      </w:r>
      <w:r>
        <w:rPr>
          <w:rFonts w:ascii="Garamond" w:hAnsi="Garamond" w:cs="Garamond"/>
          <w:sz w:val="22"/>
          <w:szCs w:val="22"/>
        </w:rPr>
        <w:t>to</w:t>
      </w:r>
      <w:r>
        <w:rPr>
          <w:rFonts w:ascii="Garamond" w:hAnsi="Garamond" w:cs="Garamond"/>
          <w:spacing w:val="-6"/>
          <w:sz w:val="22"/>
          <w:szCs w:val="22"/>
        </w:rPr>
        <w:t xml:space="preserve"> </w:t>
      </w:r>
      <w:r>
        <w:rPr>
          <w:rFonts w:ascii="Garamond" w:hAnsi="Garamond" w:cs="Garamond"/>
          <w:spacing w:val="-4"/>
          <w:sz w:val="22"/>
          <w:szCs w:val="22"/>
        </w:rPr>
        <w:t xml:space="preserve">the </w:t>
      </w:r>
      <w:r>
        <w:rPr>
          <w:rFonts w:ascii="Garamond" w:hAnsi="Garamond" w:cs="Garamond"/>
          <w:sz w:val="22"/>
          <w:szCs w:val="22"/>
        </w:rPr>
        <w:t xml:space="preserve">leadership </w:t>
      </w:r>
      <w:r>
        <w:rPr>
          <w:rFonts w:ascii="Garamond" w:hAnsi="Garamond" w:cs="Garamond"/>
          <w:spacing w:val="-3"/>
          <w:sz w:val="22"/>
          <w:szCs w:val="22"/>
        </w:rPr>
        <w:t xml:space="preserve">of </w:t>
      </w:r>
      <w:r>
        <w:rPr>
          <w:rFonts w:ascii="Garamond" w:hAnsi="Garamond" w:cs="Garamond"/>
          <w:sz w:val="22"/>
          <w:szCs w:val="22"/>
        </w:rPr>
        <w:t xml:space="preserve">the </w:t>
      </w:r>
      <w:r>
        <w:rPr>
          <w:rFonts w:ascii="Garamond" w:hAnsi="Garamond" w:cs="Garamond"/>
          <w:spacing w:val="-3"/>
          <w:sz w:val="22"/>
          <w:szCs w:val="22"/>
        </w:rPr>
        <w:t xml:space="preserve">ACO. </w:t>
      </w:r>
      <w:r>
        <w:rPr>
          <w:rFonts w:ascii="Garamond" w:hAnsi="Garamond" w:cs="Garamond"/>
          <w:sz w:val="22"/>
          <w:szCs w:val="22"/>
        </w:rPr>
        <w:t>Appropriate follow-up should be then demonstrated to the governance</w:t>
      </w:r>
      <w:r>
        <w:rPr>
          <w:rFonts w:ascii="Garamond" w:hAnsi="Garamond" w:cs="Garamond"/>
          <w:spacing w:val="-11"/>
          <w:sz w:val="22"/>
          <w:szCs w:val="22"/>
        </w:rPr>
        <w:t xml:space="preserve"> </w:t>
      </w:r>
      <w:r>
        <w:rPr>
          <w:rFonts w:ascii="Garamond" w:hAnsi="Garamond" w:cs="Garamond"/>
          <w:sz w:val="22"/>
          <w:szCs w:val="22"/>
        </w:rPr>
        <w:t>entity</w:t>
      </w:r>
      <w:r>
        <w:rPr>
          <w:rFonts w:ascii="Garamond" w:hAnsi="Garamond" w:cs="Garamond"/>
          <w:spacing w:val="-10"/>
          <w:sz w:val="22"/>
          <w:szCs w:val="22"/>
        </w:rPr>
        <w:t xml:space="preserve"> </w:t>
      </w:r>
      <w:r>
        <w:rPr>
          <w:rFonts w:ascii="Garamond" w:hAnsi="Garamond" w:cs="Garamond"/>
          <w:sz w:val="22"/>
          <w:szCs w:val="22"/>
        </w:rPr>
        <w:t>to</w:t>
      </w:r>
      <w:r>
        <w:rPr>
          <w:rFonts w:ascii="Garamond" w:hAnsi="Garamond" w:cs="Garamond"/>
          <w:spacing w:val="-11"/>
          <w:sz w:val="22"/>
          <w:szCs w:val="22"/>
        </w:rPr>
        <w:t xml:space="preserve"> </w:t>
      </w:r>
      <w:r>
        <w:rPr>
          <w:rFonts w:ascii="Garamond" w:hAnsi="Garamond" w:cs="Garamond"/>
          <w:spacing w:val="-3"/>
          <w:sz w:val="22"/>
          <w:szCs w:val="22"/>
        </w:rPr>
        <w:t>ensure</w:t>
      </w:r>
      <w:r>
        <w:rPr>
          <w:rFonts w:ascii="Garamond" w:hAnsi="Garamond" w:cs="Garamond"/>
          <w:spacing w:val="-14"/>
          <w:sz w:val="22"/>
          <w:szCs w:val="22"/>
        </w:rPr>
        <w:t xml:space="preserve"> </w:t>
      </w:r>
      <w:r>
        <w:rPr>
          <w:rFonts w:ascii="Garamond" w:hAnsi="Garamond" w:cs="Garamond"/>
          <w:sz w:val="22"/>
          <w:szCs w:val="22"/>
        </w:rPr>
        <w:t>accountability.</w:t>
      </w:r>
    </w:p>
    <w:p w:rsidR="002C5025" w:rsidRDefault="002C5025">
      <w:pPr>
        <w:pStyle w:val="ListParagraph"/>
        <w:numPr>
          <w:ilvl w:val="3"/>
          <w:numId w:val="49"/>
        </w:numPr>
        <w:tabs>
          <w:tab w:val="left" w:pos="1560"/>
        </w:tabs>
        <w:kinsoku w:val="0"/>
        <w:overflowPunct w:val="0"/>
        <w:spacing w:before="9" w:line="230" w:lineRule="auto"/>
        <w:ind w:right="99"/>
        <w:rPr>
          <w:rFonts w:ascii="Garamond" w:hAnsi="Garamond" w:cs="Garamond"/>
          <w:sz w:val="22"/>
          <w:szCs w:val="22"/>
        </w:rPr>
      </w:pPr>
      <w:r>
        <w:rPr>
          <w:rFonts w:ascii="Garamond" w:hAnsi="Garamond" w:cs="Garamond"/>
          <w:sz w:val="22"/>
          <w:szCs w:val="22"/>
        </w:rPr>
        <w:t>Develop</w:t>
      </w:r>
      <w:r>
        <w:rPr>
          <w:rFonts w:ascii="Garamond" w:hAnsi="Garamond" w:cs="Garamond"/>
          <w:spacing w:val="-10"/>
          <w:sz w:val="22"/>
          <w:szCs w:val="22"/>
        </w:rPr>
        <w:t xml:space="preserve"> </w:t>
      </w:r>
      <w:r>
        <w:rPr>
          <w:rFonts w:ascii="Garamond" w:hAnsi="Garamond" w:cs="Garamond"/>
          <w:sz w:val="22"/>
          <w:szCs w:val="22"/>
        </w:rPr>
        <w:t>and</w:t>
      </w:r>
      <w:r>
        <w:rPr>
          <w:rFonts w:ascii="Garamond" w:hAnsi="Garamond" w:cs="Garamond"/>
          <w:spacing w:val="-8"/>
          <w:sz w:val="22"/>
          <w:szCs w:val="22"/>
        </w:rPr>
        <w:t xml:space="preserve"> </w:t>
      </w:r>
      <w:r>
        <w:rPr>
          <w:rFonts w:ascii="Garamond" w:hAnsi="Garamond" w:cs="Garamond"/>
          <w:sz w:val="22"/>
          <w:szCs w:val="22"/>
        </w:rPr>
        <w:t>implement</w:t>
      </w:r>
      <w:r>
        <w:rPr>
          <w:rFonts w:ascii="Garamond" w:hAnsi="Garamond" w:cs="Garamond"/>
          <w:spacing w:val="-10"/>
          <w:sz w:val="22"/>
          <w:szCs w:val="22"/>
        </w:rPr>
        <w:t xml:space="preserve"> </w:t>
      </w:r>
      <w:r>
        <w:rPr>
          <w:rFonts w:ascii="Garamond" w:hAnsi="Garamond" w:cs="Garamond"/>
          <w:sz w:val="22"/>
          <w:szCs w:val="22"/>
        </w:rPr>
        <w:t>written</w:t>
      </w:r>
      <w:r>
        <w:rPr>
          <w:rFonts w:ascii="Garamond" w:hAnsi="Garamond" w:cs="Garamond"/>
          <w:spacing w:val="-8"/>
          <w:sz w:val="22"/>
          <w:szCs w:val="22"/>
        </w:rPr>
        <w:t xml:space="preserve"> </w:t>
      </w:r>
      <w:r>
        <w:rPr>
          <w:rFonts w:ascii="Garamond" w:hAnsi="Garamond" w:cs="Garamond"/>
          <w:sz w:val="22"/>
          <w:szCs w:val="22"/>
        </w:rPr>
        <w:t>policies</w:t>
      </w:r>
      <w:r>
        <w:rPr>
          <w:rFonts w:ascii="Garamond" w:hAnsi="Garamond" w:cs="Garamond"/>
          <w:spacing w:val="-7"/>
          <w:sz w:val="22"/>
          <w:szCs w:val="22"/>
        </w:rPr>
        <w:t xml:space="preserve"> </w:t>
      </w:r>
      <w:r>
        <w:rPr>
          <w:rFonts w:ascii="Garamond" w:hAnsi="Garamond" w:cs="Garamond"/>
          <w:sz w:val="22"/>
          <w:szCs w:val="22"/>
        </w:rPr>
        <w:t>and</w:t>
      </w:r>
      <w:r>
        <w:rPr>
          <w:rFonts w:ascii="Garamond" w:hAnsi="Garamond" w:cs="Garamond"/>
          <w:spacing w:val="-10"/>
          <w:sz w:val="22"/>
          <w:szCs w:val="22"/>
        </w:rPr>
        <w:t xml:space="preserve"> </w:t>
      </w:r>
      <w:r>
        <w:rPr>
          <w:rFonts w:ascii="Garamond" w:hAnsi="Garamond" w:cs="Garamond"/>
          <w:sz w:val="22"/>
          <w:szCs w:val="22"/>
        </w:rPr>
        <w:t>procedures</w:t>
      </w:r>
      <w:r>
        <w:rPr>
          <w:rFonts w:ascii="Garamond" w:hAnsi="Garamond" w:cs="Garamond"/>
          <w:spacing w:val="-10"/>
          <w:sz w:val="22"/>
          <w:szCs w:val="22"/>
        </w:rPr>
        <w:t xml:space="preserve"> </w:t>
      </w:r>
      <w:r>
        <w:rPr>
          <w:rFonts w:ascii="Garamond" w:hAnsi="Garamond" w:cs="Garamond"/>
          <w:sz w:val="22"/>
          <w:szCs w:val="22"/>
        </w:rPr>
        <w:t>that</w:t>
      </w:r>
      <w:r>
        <w:rPr>
          <w:rFonts w:ascii="Garamond" w:hAnsi="Garamond" w:cs="Garamond"/>
          <w:spacing w:val="-8"/>
          <w:sz w:val="22"/>
          <w:szCs w:val="22"/>
        </w:rPr>
        <w:t xml:space="preserve"> </w:t>
      </w:r>
      <w:r>
        <w:rPr>
          <w:rFonts w:ascii="Garamond" w:hAnsi="Garamond" w:cs="Garamond"/>
          <w:sz w:val="22"/>
          <w:szCs w:val="22"/>
        </w:rPr>
        <w:t>include,</w:t>
      </w:r>
      <w:r>
        <w:rPr>
          <w:rFonts w:ascii="Garamond" w:hAnsi="Garamond" w:cs="Garamond"/>
          <w:spacing w:val="-10"/>
          <w:sz w:val="22"/>
          <w:szCs w:val="22"/>
        </w:rPr>
        <w:t xml:space="preserve"> </w:t>
      </w:r>
      <w:r>
        <w:rPr>
          <w:rFonts w:ascii="Garamond" w:hAnsi="Garamond" w:cs="Garamond"/>
          <w:sz w:val="22"/>
          <w:szCs w:val="22"/>
        </w:rPr>
        <w:t>at</w:t>
      </w:r>
      <w:r>
        <w:rPr>
          <w:rFonts w:ascii="Garamond" w:hAnsi="Garamond" w:cs="Garamond"/>
          <w:spacing w:val="-8"/>
          <w:sz w:val="22"/>
          <w:szCs w:val="22"/>
        </w:rPr>
        <w:t xml:space="preserve"> </w:t>
      </w:r>
      <w:r>
        <w:rPr>
          <w:rFonts w:ascii="Garamond" w:hAnsi="Garamond" w:cs="Garamond"/>
          <w:sz w:val="22"/>
          <w:szCs w:val="22"/>
        </w:rPr>
        <w:t>a</w:t>
      </w:r>
      <w:r>
        <w:rPr>
          <w:rFonts w:ascii="Garamond" w:hAnsi="Garamond" w:cs="Garamond"/>
          <w:spacing w:val="-11"/>
          <w:sz w:val="22"/>
          <w:szCs w:val="22"/>
        </w:rPr>
        <w:t xml:space="preserve"> </w:t>
      </w:r>
      <w:r>
        <w:rPr>
          <w:rFonts w:ascii="Garamond" w:hAnsi="Garamond" w:cs="Garamond"/>
          <w:sz w:val="22"/>
          <w:szCs w:val="22"/>
        </w:rPr>
        <w:t>minimum,</w:t>
      </w:r>
      <w:r>
        <w:rPr>
          <w:rFonts w:ascii="Garamond" w:hAnsi="Garamond" w:cs="Garamond"/>
          <w:spacing w:val="-10"/>
          <w:sz w:val="22"/>
          <w:szCs w:val="22"/>
        </w:rPr>
        <w:t xml:space="preserve"> </w:t>
      </w:r>
      <w:r>
        <w:rPr>
          <w:rFonts w:ascii="Garamond" w:hAnsi="Garamond" w:cs="Garamond"/>
          <w:sz w:val="22"/>
          <w:szCs w:val="22"/>
        </w:rPr>
        <w:t xml:space="preserve">purpose and goals, membership eligibility, officers, </w:t>
      </w:r>
      <w:r>
        <w:rPr>
          <w:rFonts w:ascii="Garamond" w:hAnsi="Garamond" w:cs="Garamond"/>
          <w:spacing w:val="-3"/>
          <w:sz w:val="22"/>
          <w:szCs w:val="22"/>
        </w:rPr>
        <w:t xml:space="preserve">orientation and </w:t>
      </w:r>
      <w:r>
        <w:rPr>
          <w:rFonts w:ascii="Garamond" w:hAnsi="Garamond" w:cs="Garamond"/>
          <w:sz w:val="22"/>
          <w:szCs w:val="22"/>
        </w:rPr>
        <w:t xml:space="preserve">continuing education, and roles and responsibilities </w:t>
      </w:r>
      <w:r>
        <w:rPr>
          <w:rFonts w:ascii="Garamond" w:hAnsi="Garamond" w:cs="Garamond"/>
          <w:spacing w:val="-3"/>
          <w:sz w:val="22"/>
          <w:szCs w:val="22"/>
        </w:rPr>
        <w:t>of</w:t>
      </w:r>
      <w:r>
        <w:rPr>
          <w:rFonts w:ascii="Garamond" w:hAnsi="Garamond" w:cs="Garamond"/>
          <w:spacing w:val="-34"/>
          <w:sz w:val="22"/>
          <w:szCs w:val="22"/>
        </w:rPr>
        <w:t xml:space="preserve"> </w:t>
      </w:r>
      <w:r>
        <w:rPr>
          <w:rFonts w:ascii="Garamond" w:hAnsi="Garamond" w:cs="Garamond"/>
          <w:sz w:val="22"/>
          <w:szCs w:val="22"/>
        </w:rPr>
        <w:t>members.</w:t>
      </w:r>
    </w:p>
    <w:p w:rsidR="002C5025" w:rsidRDefault="002C5025">
      <w:pPr>
        <w:pStyle w:val="ListParagraph"/>
        <w:numPr>
          <w:ilvl w:val="3"/>
          <w:numId w:val="49"/>
        </w:numPr>
        <w:tabs>
          <w:tab w:val="left" w:pos="1560"/>
        </w:tabs>
        <w:kinsoku w:val="0"/>
        <w:overflowPunct w:val="0"/>
        <w:spacing w:before="2" w:line="240" w:lineRule="exact"/>
        <w:ind w:left="1558" w:right="100" w:hanging="360"/>
        <w:rPr>
          <w:rFonts w:ascii="Garamond" w:hAnsi="Garamond" w:cs="Garamond"/>
          <w:sz w:val="22"/>
          <w:szCs w:val="22"/>
        </w:rPr>
      </w:pPr>
      <w:r>
        <w:rPr>
          <w:rFonts w:ascii="Garamond" w:hAnsi="Garamond" w:cs="Garamond"/>
          <w:sz w:val="22"/>
          <w:szCs w:val="22"/>
        </w:rPr>
        <w:t>Have</w:t>
      </w:r>
      <w:r>
        <w:rPr>
          <w:rFonts w:ascii="Garamond" w:hAnsi="Garamond" w:cs="Garamond"/>
          <w:spacing w:val="-6"/>
          <w:sz w:val="22"/>
          <w:szCs w:val="22"/>
        </w:rPr>
        <w:t xml:space="preserve"> </w:t>
      </w:r>
      <w:r>
        <w:rPr>
          <w:rFonts w:ascii="Garamond" w:hAnsi="Garamond" w:cs="Garamond"/>
          <w:sz w:val="22"/>
          <w:szCs w:val="22"/>
        </w:rPr>
        <w:t>a</w:t>
      </w:r>
      <w:r>
        <w:rPr>
          <w:rFonts w:ascii="Garamond" w:hAnsi="Garamond" w:cs="Garamond"/>
          <w:spacing w:val="-9"/>
          <w:sz w:val="22"/>
          <w:szCs w:val="22"/>
        </w:rPr>
        <w:t xml:space="preserve"> </w:t>
      </w:r>
      <w:r>
        <w:rPr>
          <w:rFonts w:ascii="Garamond" w:hAnsi="Garamond" w:cs="Garamond"/>
          <w:sz w:val="22"/>
          <w:szCs w:val="22"/>
        </w:rPr>
        <w:t>named</w:t>
      </w:r>
      <w:r>
        <w:rPr>
          <w:rFonts w:ascii="Garamond" w:hAnsi="Garamond" w:cs="Garamond"/>
          <w:spacing w:val="-8"/>
          <w:sz w:val="22"/>
          <w:szCs w:val="22"/>
        </w:rPr>
        <w:t xml:space="preserve"> </w:t>
      </w:r>
      <w:r>
        <w:rPr>
          <w:rFonts w:ascii="Garamond" w:hAnsi="Garamond" w:cs="Garamond"/>
          <w:sz w:val="22"/>
          <w:szCs w:val="22"/>
        </w:rPr>
        <w:t>staff</w:t>
      </w:r>
      <w:r>
        <w:rPr>
          <w:rFonts w:ascii="Garamond" w:hAnsi="Garamond" w:cs="Garamond"/>
          <w:spacing w:val="-7"/>
          <w:sz w:val="22"/>
          <w:szCs w:val="22"/>
        </w:rPr>
        <w:t xml:space="preserve"> </w:t>
      </w:r>
      <w:r>
        <w:rPr>
          <w:rFonts w:ascii="Garamond" w:hAnsi="Garamond" w:cs="Garamond"/>
          <w:sz w:val="22"/>
          <w:szCs w:val="22"/>
        </w:rPr>
        <w:t>member</w:t>
      </w:r>
      <w:r>
        <w:rPr>
          <w:rFonts w:ascii="Garamond" w:hAnsi="Garamond" w:cs="Garamond"/>
          <w:spacing w:val="-9"/>
          <w:sz w:val="22"/>
          <w:szCs w:val="22"/>
        </w:rPr>
        <w:t xml:space="preserve"> </w:t>
      </w:r>
      <w:r>
        <w:rPr>
          <w:rFonts w:ascii="Garamond" w:hAnsi="Garamond" w:cs="Garamond"/>
          <w:sz w:val="22"/>
          <w:szCs w:val="22"/>
        </w:rPr>
        <w:t>responsible</w:t>
      </w:r>
      <w:r>
        <w:rPr>
          <w:rFonts w:ascii="Garamond" w:hAnsi="Garamond" w:cs="Garamond"/>
          <w:spacing w:val="-11"/>
          <w:sz w:val="22"/>
          <w:szCs w:val="22"/>
        </w:rPr>
        <w:t xml:space="preserve"> </w:t>
      </w:r>
      <w:r>
        <w:rPr>
          <w:rFonts w:ascii="Garamond" w:hAnsi="Garamond" w:cs="Garamond"/>
          <w:sz w:val="22"/>
          <w:szCs w:val="22"/>
        </w:rPr>
        <w:t>for</w:t>
      </w:r>
      <w:r>
        <w:rPr>
          <w:rFonts w:ascii="Garamond" w:hAnsi="Garamond" w:cs="Garamond"/>
          <w:spacing w:val="-9"/>
          <w:sz w:val="22"/>
          <w:szCs w:val="22"/>
        </w:rPr>
        <w:t xml:space="preserve"> </w:t>
      </w:r>
      <w:r>
        <w:rPr>
          <w:rFonts w:ascii="Garamond" w:hAnsi="Garamond" w:cs="Garamond"/>
          <w:sz w:val="22"/>
          <w:szCs w:val="22"/>
        </w:rPr>
        <w:t>managing</w:t>
      </w:r>
      <w:r>
        <w:rPr>
          <w:rFonts w:ascii="Garamond" w:hAnsi="Garamond" w:cs="Garamond"/>
          <w:spacing w:val="-11"/>
          <w:sz w:val="22"/>
          <w:szCs w:val="22"/>
        </w:rPr>
        <w:t xml:space="preserve"> </w:t>
      </w:r>
      <w:r>
        <w:rPr>
          <w:rFonts w:ascii="Garamond" w:hAnsi="Garamond" w:cs="Garamond"/>
          <w:sz w:val="22"/>
          <w:szCs w:val="22"/>
        </w:rPr>
        <w:t>the</w:t>
      </w:r>
      <w:r>
        <w:rPr>
          <w:rFonts w:ascii="Garamond" w:hAnsi="Garamond" w:cs="Garamond"/>
          <w:spacing w:val="-8"/>
          <w:sz w:val="22"/>
          <w:szCs w:val="22"/>
        </w:rPr>
        <w:t xml:space="preserve"> </w:t>
      </w:r>
      <w:r>
        <w:rPr>
          <w:rFonts w:ascii="Garamond" w:hAnsi="Garamond" w:cs="Garamond"/>
          <w:sz w:val="22"/>
          <w:szCs w:val="22"/>
        </w:rPr>
        <w:t>work</w:t>
      </w:r>
      <w:r>
        <w:rPr>
          <w:rFonts w:ascii="Garamond" w:hAnsi="Garamond" w:cs="Garamond"/>
          <w:spacing w:val="-6"/>
          <w:sz w:val="22"/>
          <w:szCs w:val="22"/>
        </w:rPr>
        <w:t xml:space="preserve"> </w:t>
      </w:r>
      <w:r>
        <w:rPr>
          <w:rFonts w:ascii="Garamond" w:hAnsi="Garamond" w:cs="Garamond"/>
          <w:sz w:val="22"/>
          <w:szCs w:val="22"/>
        </w:rPr>
        <w:t>of</w:t>
      </w:r>
      <w:r>
        <w:rPr>
          <w:rFonts w:ascii="Garamond" w:hAnsi="Garamond" w:cs="Garamond"/>
          <w:spacing w:val="-9"/>
          <w:sz w:val="22"/>
          <w:szCs w:val="22"/>
        </w:rPr>
        <w:t xml:space="preserve"> </w:t>
      </w:r>
      <w:r>
        <w:rPr>
          <w:rFonts w:ascii="Garamond" w:hAnsi="Garamond" w:cs="Garamond"/>
          <w:sz w:val="22"/>
          <w:szCs w:val="22"/>
        </w:rPr>
        <w:t>the</w:t>
      </w:r>
      <w:r>
        <w:rPr>
          <w:rFonts w:ascii="Garamond" w:hAnsi="Garamond" w:cs="Garamond"/>
          <w:spacing w:val="-9"/>
          <w:sz w:val="22"/>
          <w:szCs w:val="22"/>
        </w:rPr>
        <w:t xml:space="preserve"> </w:t>
      </w:r>
      <w:r>
        <w:rPr>
          <w:rFonts w:ascii="Garamond" w:hAnsi="Garamond" w:cs="Garamond"/>
          <w:sz w:val="22"/>
          <w:szCs w:val="22"/>
        </w:rPr>
        <w:t>PFAC</w:t>
      </w:r>
      <w:r>
        <w:rPr>
          <w:rFonts w:ascii="Garamond" w:hAnsi="Garamond" w:cs="Garamond"/>
          <w:spacing w:val="-9"/>
          <w:sz w:val="22"/>
          <w:szCs w:val="22"/>
        </w:rPr>
        <w:t xml:space="preserve"> </w:t>
      </w:r>
      <w:r>
        <w:rPr>
          <w:rFonts w:ascii="Garamond" w:hAnsi="Garamond" w:cs="Garamond"/>
          <w:sz w:val="22"/>
          <w:szCs w:val="22"/>
        </w:rPr>
        <w:t>and</w:t>
      </w:r>
      <w:r>
        <w:rPr>
          <w:rFonts w:ascii="Garamond" w:hAnsi="Garamond" w:cs="Garamond"/>
          <w:spacing w:val="-8"/>
          <w:sz w:val="22"/>
          <w:szCs w:val="22"/>
        </w:rPr>
        <w:t xml:space="preserve"> </w:t>
      </w:r>
      <w:r>
        <w:rPr>
          <w:rFonts w:ascii="Garamond" w:hAnsi="Garamond" w:cs="Garamond"/>
          <w:sz w:val="22"/>
          <w:szCs w:val="22"/>
        </w:rPr>
        <w:t xml:space="preserve">integrating the work of the PFAC in </w:t>
      </w:r>
      <w:r>
        <w:rPr>
          <w:rFonts w:ascii="Garamond" w:hAnsi="Garamond" w:cs="Garamond"/>
          <w:spacing w:val="-3"/>
          <w:sz w:val="22"/>
          <w:szCs w:val="22"/>
        </w:rPr>
        <w:t xml:space="preserve">other </w:t>
      </w:r>
      <w:r>
        <w:rPr>
          <w:rFonts w:ascii="Garamond" w:hAnsi="Garamond" w:cs="Garamond"/>
          <w:sz w:val="22"/>
          <w:szCs w:val="22"/>
        </w:rPr>
        <w:t>ACO</w:t>
      </w:r>
      <w:r>
        <w:rPr>
          <w:rFonts w:ascii="Garamond" w:hAnsi="Garamond" w:cs="Garamond"/>
          <w:spacing w:val="-36"/>
          <w:sz w:val="22"/>
          <w:szCs w:val="22"/>
        </w:rPr>
        <w:t xml:space="preserve"> </w:t>
      </w:r>
      <w:r>
        <w:rPr>
          <w:rFonts w:ascii="Garamond" w:hAnsi="Garamond" w:cs="Garamond"/>
          <w:sz w:val="22"/>
          <w:szCs w:val="22"/>
        </w:rPr>
        <w:t>committees.</w:t>
      </w:r>
    </w:p>
    <w:p w:rsidR="002C5025" w:rsidRDefault="002C5025">
      <w:pPr>
        <w:pStyle w:val="ListParagraph"/>
        <w:numPr>
          <w:ilvl w:val="3"/>
          <w:numId w:val="49"/>
        </w:numPr>
        <w:tabs>
          <w:tab w:val="left" w:pos="1559"/>
        </w:tabs>
        <w:kinsoku w:val="0"/>
        <w:overflowPunct w:val="0"/>
        <w:spacing w:before="11" w:line="238" w:lineRule="exact"/>
        <w:ind w:left="1558" w:right="217" w:hanging="360"/>
        <w:rPr>
          <w:rFonts w:ascii="Garamond" w:hAnsi="Garamond" w:cs="Garamond"/>
          <w:sz w:val="22"/>
          <w:szCs w:val="22"/>
        </w:rPr>
      </w:pPr>
      <w:r>
        <w:rPr>
          <w:rFonts w:ascii="Garamond" w:hAnsi="Garamond" w:cs="Garamond"/>
          <w:sz w:val="22"/>
          <w:szCs w:val="22"/>
        </w:rPr>
        <w:t>Write</w:t>
      </w:r>
      <w:r>
        <w:rPr>
          <w:rFonts w:ascii="Garamond" w:hAnsi="Garamond" w:cs="Garamond"/>
          <w:spacing w:val="-10"/>
          <w:sz w:val="22"/>
          <w:szCs w:val="22"/>
        </w:rPr>
        <w:t xml:space="preserve"> </w:t>
      </w:r>
      <w:r>
        <w:rPr>
          <w:rFonts w:ascii="Garamond" w:hAnsi="Garamond" w:cs="Garamond"/>
          <w:sz w:val="22"/>
          <w:szCs w:val="22"/>
        </w:rPr>
        <w:t>an</w:t>
      </w:r>
      <w:r>
        <w:rPr>
          <w:rFonts w:ascii="Garamond" w:hAnsi="Garamond" w:cs="Garamond"/>
          <w:spacing w:val="-9"/>
          <w:sz w:val="22"/>
          <w:szCs w:val="22"/>
        </w:rPr>
        <w:t xml:space="preserve"> </w:t>
      </w:r>
      <w:r>
        <w:rPr>
          <w:rFonts w:ascii="Garamond" w:hAnsi="Garamond" w:cs="Garamond"/>
          <w:sz w:val="22"/>
          <w:szCs w:val="22"/>
        </w:rPr>
        <w:t>annual</w:t>
      </w:r>
      <w:r>
        <w:rPr>
          <w:rFonts w:ascii="Garamond" w:hAnsi="Garamond" w:cs="Garamond"/>
          <w:spacing w:val="-9"/>
          <w:sz w:val="22"/>
          <w:szCs w:val="22"/>
        </w:rPr>
        <w:t xml:space="preserve"> </w:t>
      </w:r>
      <w:r>
        <w:rPr>
          <w:rFonts w:ascii="Garamond" w:hAnsi="Garamond" w:cs="Garamond"/>
          <w:sz w:val="22"/>
          <w:szCs w:val="22"/>
        </w:rPr>
        <w:t>report</w:t>
      </w:r>
      <w:r>
        <w:rPr>
          <w:rFonts w:ascii="Garamond" w:hAnsi="Garamond" w:cs="Garamond"/>
          <w:spacing w:val="-6"/>
          <w:sz w:val="22"/>
          <w:szCs w:val="22"/>
        </w:rPr>
        <w:t xml:space="preserve"> </w:t>
      </w:r>
      <w:r>
        <w:rPr>
          <w:rFonts w:ascii="Garamond" w:hAnsi="Garamond" w:cs="Garamond"/>
          <w:sz w:val="22"/>
          <w:szCs w:val="22"/>
        </w:rPr>
        <w:t>that</w:t>
      </w:r>
      <w:r>
        <w:rPr>
          <w:rFonts w:ascii="Garamond" w:hAnsi="Garamond" w:cs="Garamond"/>
          <w:spacing w:val="-8"/>
          <w:sz w:val="22"/>
          <w:szCs w:val="22"/>
        </w:rPr>
        <w:t xml:space="preserve"> </w:t>
      </w:r>
      <w:r>
        <w:rPr>
          <w:rFonts w:ascii="Garamond" w:hAnsi="Garamond" w:cs="Garamond"/>
          <w:sz w:val="22"/>
          <w:szCs w:val="22"/>
        </w:rPr>
        <w:t>includes</w:t>
      </w:r>
      <w:r>
        <w:rPr>
          <w:rFonts w:ascii="Garamond" w:hAnsi="Garamond" w:cs="Garamond"/>
          <w:spacing w:val="-5"/>
          <w:sz w:val="22"/>
          <w:szCs w:val="22"/>
        </w:rPr>
        <w:t xml:space="preserve"> </w:t>
      </w:r>
      <w:r>
        <w:rPr>
          <w:rFonts w:ascii="Garamond" w:hAnsi="Garamond" w:cs="Garamond"/>
          <w:sz w:val="22"/>
          <w:szCs w:val="22"/>
        </w:rPr>
        <w:t>financial</w:t>
      </w:r>
      <w:r>
        <w:rPr>
          <w:rFonts w:ascii="Garamond" w:hAnsi="Garamond" w:cs="Garamond"/>
          <w:spacing w:val="-7"/>
          <w:sz w:val="22"/>
          <w:szCs w:val="22"/>
        </w:rPr>
        <w:t xml:space="preserve"> </w:t>
      </w:r>
      <w:r>
        <w:rPr>
          <w:rFonts w:ascii="Garamond" w:hAnsi="Garamond" w:cs="Garamond"/>
          <w:spacing w:val="-3"/>
          <w:sz w:val="22"/>
          <w:szCs w:val="22"/>
        </w:rPr>
        <w:t>performance</w:t>
      </w:r>
      <w:r>
        <w:rPr>
          <w:rFonts w:ascii="Garamond" w:hAnsi="Garamond" w:cs="Garamond"/>
          <w:spacing w:val="-9"/>
          <w:sz w:val="22"/>
          <w:szCs w:val="22"/>
        </w:rPr>
        <w:t xml:space="preserve"> </w:t>
      </w:r>
      <w:r>
        <w:rPr>
          <w:rFonts w:ascii="Garamond" w:hAnsi="Garamond" w:cs="Garamond"/>
          <w:sz w:val="22"/>
          <w:szCs w:val="22"/>
        </w:rPr>
        <w:t>information</w:t>
      </w:r>
      <w:r>
        <w:rPr>
          <w:rFonts w:ascii="Garamond" w:hAnsi="Garamond" w:cs="Garamond"/>
          <w:spacing w:val="-9"/>
          <w:sz w:val="22"/>
          <w:szCs w:val="22"/>
        </w:rPr>
        <w:t xml:space="preserve"> </w:t>
      </w:r>
      <w:r>
        <w:rPr>
          <w:rFonts w:ascii="Garamond" w:hAnsi="Garamond" w:cs="Garamond"/>
          <w:sz w:val="22"/>
          <w:szCs w:val="22"/>
        </w:rPr>
        <w:t>and</w:t>
      </w:r>
      <w:r>
        <w:rPr>
          <w:rFonts w:ascii="Garamond" w:hAnsi="Garamond" w:cs="Garamond"/>
          <w:spacing w:val="-11"/>
          <w:sz w:val="22"/>
          <w:szCs w:val="22"/>
        </w:rPr>
        <w:t xml:space="preserve"> </w:t>
      </w:r>
      <w:r>
        <w:rPr>
          <w:rFonts w:ascii="Garamond" w:hAnsi="Garamond" w:cs="Garamond"/>
          <w:sz w:val="22"/>
          <w:szCs w:val="22"/>
        </w:rPr>
        <w:t>summarizes</w:t>
      </w:r>
      <w:r>
        <w:rPr>
          <w:rFonts w:ascii="Garamond" w:hAnsi="Garamond" w:cs="Garamond"/>
          <w:spacing w:val="-5"/>
          <w:sz w:val="22"/>
          <w:szCs w:val="22"/>
        </w:rPr>
        <w:t xml:space="preserve"> </w:t>
      </w:r>
      <w:r>
        <w:rPr>
          <w:rFonts w:ascii="Garamond" w:hAnsi="Garamond" w:cs="Garamond"/>
          <w:sz w:val="22"/>
          <w:szCs w:val="22"/>
        </w:rPr>
        <w:t>the work</w:t>
      </w:r>
      <w:r>
        <w:rPr>
          <w:rFonts w:ascii="Garamond" w:hAnsi="Garamond" w:cs="Garamond"/>
          <w:spacing w:val="-9"/>
          <w:sz w:val="22"/>
          <w:szCs w:val="22"/>
        </w:rPr>
        <w:t xml:space="preserve"> </w:t>
      </w:r>
      <w:r>
        <w:rPr>
          <w:rFonts w:ascii="Garamond" w:hAnsi="Garamond" w:cs="Garamond"/>
          <w:sz w:val="22"/>
          <w:szCs w:val="22"/>
        </w:rPr>
        <w:t>of</w:t>
      </w:r>
      <w:r>
        <w:rPr>
          <w:rFonts w:ascii="Garamond" w:hAnsi="Garamond" w:cs="Garamond"/>
          <w:spacing w:val="-8"/>
          <w:sz w:val="22"/>
          <w:szCs w:val="22"/>
        </w:rPr>
        <w:t xml:space="preserve"> </w:t>
      </w:r>
      <w:r>
        <w:rPr>
          <w:rFonts w:ascii="Garamond" w:hAnsi="Garamond" w:cs="Garamond"/>
          <w:sz w:val="22"/>
          <w:szCs w:val="22"/>
        </w:rPr>
        <w:t>the</w:t>
      </w:r>
      <w:r>
        <w:rPr>
          <w:rFonts w:ascii="Garamond" w:hAnsi="Garamond" w:cs="Garamond"/>
          <w:spacing w:val="-11"/>
          <w:sz w:val="22"/>
          <w:szCs w:val="22"/>
        </w:rPr>
        <w:t xml:space="preserve"> </w:t>
      </w:r>
      <w:r>
        <w:rPr>
          <w:rFonts w:ascii="Garamond" w:hAnsi="Garamond" w:cs="Garamond"/>
          <w:sz w:val="22"/>
          <w:szCs w:val="22"/>
        </w:rPr>
        <w:t>PFAC</w:t>
      </w:r>
      <w:r>
        <w:rPr>
          <w:rFonts w:ascii="Garamond" w:hAnsi="Garamond" w:cs="Garamond"/>
          <w:spacing w:val="-10"/>
          <w:sz w:val="22"/>
          <w:szCs w:val="22"/>
        </w:rPr>
        <w:t xml:space="preserve"> </w:t>
      </w:r>
      <w:r>
        <w:rPr>
          <w:rFonts w:ascii="Garamond" w:hAnsi="Garamond" w:cs="Garamond"/>
          <w:sz w:val="22"/>
          <w:szCs w:val="22"/>
        </w:rPr>
        <w:t>which</w:t>
      </w:r>
      <w:r>
        <w:rPr>
          <w:rFonts w:ascii="Garamond" w:hAnsi="Garamond" w:cs="Garamond"/>
          <w:spacing w:val="-6"/>
          <w:sz w:val="22"/>
          <w:szCs w:val="22"/>
        </w:rPr>
        <w:t xml:space="preserve"> </w:t>
      </w:r>
      <w:r>
        <w:rPr>
          <w:rFonts w:ascii="Garamond" w:hAnsi="Garamond" w:cs="Garamond"/>
          <w:sz w:val="22"/>
          <w:szCs w:val="22"/>
        </w:rPr>
        <w:t>is</w:t>
      </w:r>
      <w:r>
        <w:rPr>
          <w:rFonts w:ascii="Garamond" w:hAnsi="Garamond" w:cs="Garamond"/>
          <w:spacing w:val="-10"/>
          <w:sz w:val="22"/>
          <w:szCs w:val="22"/>
        </w:rPr>
        <w:t xml:space="preserve"> </w:t>
      </w:r>
      <w:r>
        <w:rPr>
          <w:rFonts w:ascii="Garamond" w:hAnsi="Garamond" w:cs="Garamond"/>
          <w:sz w:val="22"/>
          <w:szCs w:val="22"/>
        </w:rPr>
        <w:t>provided</w:t>
      </w:r>
      <w:r>
        <w:rPr>
          <w:rFonts w:ascii="Garamond" w:hAnsi="Garamond" w:cs="Garamond"/>
          <w:spacing w:val="-9"/>
          <w:sz w:val="22"/>
          <w:szCs w:val="22"/>
        </w:rPr>
        <w:t xml:space="preserve"> </w:t>
      </w:r>
      <w:r>
        <w:rPr>
          <w:rFonts w:ascii="Garamond" w:hAnsi="Garamond" w:cs="Garamond"/>
          <w:sz w:val="22"/>
          <w:szCs w:val="22"/>
        </w:rPr>
        <w:t>to</w:t>
      </w:r>
      <w:r>
        <w:rPr>
          <w:rFonts w:ascii="Garamond" w:hAnsi="Garamond" w:cs="Garamond"/>
          <w:spacing w:val="-9"/>
          <w:sz w:val="22"/>
          <w:szCs w:val="22"/>
        </w:rPr>
        <w:t xml:space="preserve"> </w:t>
      </w:r>
      <w:r>
        <w:rPr>
          <w:rFonts w:ascii="Garamond" w:hAnsi="Garamond" w:cs="Garamond"/>
          <w:sz w:val="22"/>
          <w:szCs w:val="22"/>
        </w:rPr>
        <w:t>MassHealth</w:t>
      </w:r>
      <w:r>
        <w:rPr>
          <w:rFonts w:ascii="Garamond" w:hAnsi="Garamond" w:cs="Garamond"/>
          <w:spacing w:val="-6"/>
          <w:sz w:val="22"/>
          <w:szCs w:val="22"/>
        </w:rPr>
        <w:t xml:space="preserve"> </w:t>
      </w:r>
      <w:r>
        <w:rPr>
          <w:rFonts w:ascii="Garamond" w:hAnsi="Garamond" w:cs="Garamond"/>
          <w:sz w:val="22"/>
          <w:szCs w:val="22"/>
        </w:rPr>
        <w:t>and</w:t>
      </w:r>
      <w:r>
        <w:rPr>
          <w:rFonts w:ascii="Garamond" w:hAnsi="Garamond" w:cs="Garamond"/>
          <w:spacing w:val="-11"/>
          <w:sz w:val="22"/>
          <w:szCs w:val="22"/>
        </w:rPr>
        <w:t xml:space="preserve"> </w:t>
      </w:r>
      <w:r>
        <w:rPr>
          <w:rFonts w:ascii="Garamond" w:hAnsi="Garamond" w:cs="Garamond"/>
          <w:sz w:val="22"/>
          <w:szCs w:val="22"/>
        </w:rPr>
        <w:t>made</w:t>
      </w:r>
      <w:r>
        <w:rPr>
          <w:rFonts w:ascii="Garamond" w:hAnsi="Garamond" w:cs="Garamond"/>
          <w:spacing w:val="-9"/>
          <w:sz w:val="22"/>
          <w:szCs w:val="22"/>
        </w:rPr>
        <w:t xml:space="preserve"> </w:t>
      </w:r>
      <w:r>
        <w:rPr>
          <w:rFonts w:ascii="Garamond" w:hAnsi="Garamond" w:cs="Garamond"/>
          <w:sz w:val="22"/>
          <w:szCs w:val="22"/>
        </w:rPr>
        <w:t>publicly</w:t>
      </w:r>
      <w:r>
        <w:rPr>
          <w:rFonts w:ascii="Garamond" w:hAnsi="Garamond" w:cs="Garamond"/>
          <w:spacing w:val="-7"/>
          <w:sz w:val="22"/>
          <w:szCs w:val="22"/>
        </w:rPr>
        <w:t xml:space="preserve"> </w:t>
      </w:r>
      <w:r>
        <w:rPr>
          <w:rFonts w:ascii="Garamond" w:hAnsi="Garamond" w:cs="Garamond"/>
          <w:sz w:val="22"/>
          <w:szCs w:val="22"/>
        </w:rPr>
        <w:t>available.</w:t>
      </w:r>
    </w:p>
    <w:p w:rsidR="002C5025" w:rsidRDefault="002C5025">
      <w:pPr>
        <w:pStyle w:val="ListParagraph"/>
        <w:numPr>
          <w:ilvl w:val="3"/>
          <w:numId w:val="49"/>
        </w:numPr>
        <w:tabs>
          <w:tab w:val="left" w:pos="1559"/>
        </w:tabs>
        <w:kinsoku w:val="0"/>
        <w:overflowPunct w:val="0"/>
        <w:spacing w:before="15" w:line="232" w:lineRule="auto"/>
        <w:ind w:left="1557" w:right="174" w:hanging="359"/>
        <w:rPr>
          <w:rFonts w:ascii="Garamond" w:hAnsi="Garamond" w:cs="Garamond"/>
          <w:sz w:val="22"/>
          <w:szCs w:val="22"/>
        </w:rPr>
      </w:pPr>
      <w:r>
        <w:rPr>
          <w:rFonts w:ascii="Garamond" w:hAnsi="Garamond" w:cs="Garamond"/>
          <w:sz w:val="22"/>
          <w:szCs w:val="22"/>
        </w:rPr>
        <w:t>Develop</w:t>
      </w:r>
      <w:r>
        <w:rPr>
          <w:rFonts w:ascii="Garamond" w:hAnsi="Garamond" w:cs="Garamond"/>
          <w:spacing w:val="-9"/>
          <w:sz w:val="22"/>
          <w:szCs w:val="22"/>
        </w:rPr>
        <w:t xml:space="preserve"> </w:t>
      </w:r>
      <w:r>
        <w:rPr>
          <w:rFonts w:ascii="Garamond" w:hAnsi="Garamond" w:cs="Garamond"/>
          <w:sz w:val="22"/>
          <w:szCs w:val="22"/>
        </w:rPr>
        <w:t>and</w:t>
      </w:r>
      <w:r>
        <w:rPr>
          <w:rFonts w:ascii="Garamond" w:hAnsi="Garamond" w:cs="Garamond"/>
          <w:spacing w:val="-7"/>
          <w:sz w:val="22"/>
          <w:szCs w:val="22"/>
        </w:rPr>
        <w:t xml:space="preserve"> </w:t>
      </w:r>
      <w:r>
        <w:rPr>
          <w:rFonts w:ascii="Garamond" w:hAnsi="Garamond" w:cs="Garamond"/>
          <w:sz w:val="22"/>
          <w:szCs w:val="22"/>
        </w:rPr>
        <w:t>implement</w:t>
      </w:r>
      <w:r>
        <w:rPr>
          <w:rFonts w:ascii="Garamond" w:hAnsi="Garamond" w:cs="Garamond"/>
          <w:spacing w:val="-7"/>
          <w:sz w:val="22"/>
          <w:szCs w:val="22"/>
        </w:rPr>
        <w:t xml:space="preserve"> </w:t>
      </w:r>
      <w:r>
        <w:rPr>
          <w:rFonts w:ascii="Garamond" w:hAnsi="Garamond" w:cs="Garamond"/>
          <w:sz w:val="22"/>
          <w:szCs w:val="22"/>
        </w:rPr>
        <w:t>a</w:t>
      </w:r>
      <w:r>
        <w:rPr>
          <w:rFonts w:ascii="Garamond" w:hAnsi="Garamond" w:cs="Garamond"/>
          <w:spacing w:val="-10"/>
          <w:sz w:val="22"/>
          <w:szCs w:val="22"/>
        </w:rPr>
        <w:t xml:space="preserve"> </w:t>
      </w:r>
      <w:r>
        <w:rPr>
          <w:rFonts w:ascii="Garamond" w:hAnsi="Garamond" w:cs="Garamond"/>
          <w:spacing w:val="-3"/>
          <w:sz w:val="22"/>
          <w:szCs w:val="22"/>
        </w:rPr>
        <w:t>plan</w:t>
      </w:r>
      <w:r>
        <w:rPr>
          <w:rFonts w:ascii="Garamond" w:hAnsi="Garamond" w:cs="Garamond"/>
          <w:spacing w:val="-9"/>
          <w:sz w:val="22"/>
          <w:szCs w:val="22"/>
        </w:rPr>
        <w:t xml:space="preserve"> </w:t>
      </w:r>
      <w:r>
        <w:rPr>
          <w:rFonts w:ascii="Garamond" w:hAnsi="Garamond" w:cs="Garamond"/>
          <w:sz w:val="22"/>
          <w:szCs w:val="22"/>
        </w:rPr>
        <w:t>to</w:t>
      </w:r>
      <w:r>
        <w:rPr>
          <w:rFonts w:ascii="Garamond" w:hAnsi="Garamond" w:cs="Garamond"/>
          <w:spacing w:val="-7"/>
          <w:sz w:val="22"/>
          <w:szCs w:val="22"/>
        </w:rPr>
        <w:t xml:space="preserve"> </w:t>
      </w:r>
      <w:r>
        <w:rPr>
          <w:rFonts w:ascii="Garamond" w:hAnsi="Garamond" w:cs="Garamond"/>
          <w:sz w:val="22"/>
          <w:szCs w:val="22"/>
        </w:rPr>
        <w:t>regularly</w:t>
      </w:r>
      <w:r>
        <w:rPr>
          <w:rFonts w:ascii="Garamond" w:hAnsi="Garamond" w:cs="Garamond"/>
          <w:spacing w:val="-9"/>
          <w:sz w:val="22"/>
          <w:szCs w:val="22"/>
        </w:rPr>
        <w:t xml:space="preserve"> </w:t>
      </w:r>
      <w:r>
        <w:rPr>
          <w:rFonts w:ascii="Garamond" w:hAnsi="Garamond" w:cs="Garamond"/>
          <w:sz w:val="22"/>
          <w:szCs w:val="22"/>
        </w:rPr>
        <w:t>communicate</w:t>
      </w:r>
      <w:r>
        <w:rPr>
          <w:rFonts w:ascii="Garamond" w:hAnsi="Garamond" w:cs="Garamond"/>
          <w:spacing w:val="-12"/>
          <w:sz w:val="22"/>
          <w:szCs w:val="22"/>
        </w:rPr>
        <w:t xml:space="preserve"> </w:t>
      </w:r>
      <w:r>
        <w:rPr>
          <w:rFonts w:ascii="Garamond" w:hAnsi="Garamond" w:cs="Garamond"/>
          <w:sz w:val="22"/>
          <w:szCs w:val="22"/>
        </w:rPr>
        <w:t>with</w:t>
      </w:r>
      <w:r>
        <w:rPr>
          <w:rFonts w:ascii="Garamond" w:hAnsi="Garamond" w:cs="Garamond"/>
          <w:spacing w:val="-9"/>
          <w:sz w:val="22"/>
          <w:szCs w:val="22"/>
        </w:rPr>
        <w:t xml:space="preserve"> </w:t>
      </w:r>
      <w:r>
        <w:rPr>
          <w:rFonts w:ascii="Garamond" w:hAnsi="Garamond" w:cs="Garamond"/>
          <w:sz w:val="22"/>
          <w:szCs w:val="22"/>
        </w:rPr>
        <w:t>members,</w:t>
      </w:r>
      <w:r>
        <w:rPr>
          <w:rFonts w:ascii="Garamond" w:hAnsi="Garamond" w:cs="Garamond"/>
          <w:spacing w:val="-9"/>
          <w:sz w:val="22"/>
          <w:szCs w:val="22"/>
        </w:rPr>
        <w:t xml:space="preserve"> </w:t>
      </w:r>
      <w:r>
        <w:rPr>
          <w:rFonts w:ascii="Garamond" w:hAnsi="Garamond" w:cs="Garamond"/>
          <w:sz w:val="22"/>
          <w:szCs w:val="22"/>
        </w:rPr>
        <w:t>including</w:t>
      </w:r>
      <w:r>
        <w:rPr>
          <w:rFonts w:ascii="Garamond" w:hAnsi="Garamond" w:cs="Garamond"/>
          <w:spacing w:val="-8"/>
          <w:sz w:val="22"/>
          <w:szCs w:val="22"/>
        </w:rPr>
        <w:t xml:space="preserve"> </w:t>
      </w:r>
      <w:r>
        <w:rPr>
          <w:rFonts w:ascii="Garamond" w:hAnsi="Garamond" w:cs="Garamond"/>
          <w:sz w:val="22"/>
          <w:szCs w:val="22"/>
        </w:rPr>
        <w:t>a</w:t>
      </w:r>
      <w:r>
        <w:rPr>
          <w:rFonts w:ascii="Garamond" w:hAnsi="Garamond" w:cs="Garamond"/>
          <w:spacing w:val="-12"/>
          <w:sz w:val="22"/>
          <w:szCs w:val="22"/>
        </w:rPr>
        <w:t xml:space="preserve"> </w:t>
      </w:r>
      <w:r>
        <w:rPr>
          <w:rFonts w:ascii="Garamond" w:hAnsi="Garamond" w:cs="Garamond"/>
          <w:sz w:val="22"/>
          <w:szCs w:val="22"/>
        </w:rPr>
        <w:t>process to receive direct input and recommendations from members and communicate back with members</w:t>
      </w:r>
      <w:r>
        <w:rPr>
          <w:rFonts w:ascii="Garamond" w:hAnsi="Garamond" w:cs="Garamond"/>
          <w:spacing w:val="-12"/>
          <w:sz w:val="22"/>
          <w:szCs w:val="22"/>
        </w:rPr>
        <w:t xml:space="preserve"> </w:t>
      </w:r>
      <w:r>
        <w:rPr>
          <w:rFonts w:ascii="Garamond" w:hAnsi="Garamond" w:cs="Garamond"/>
          <w:sz w:val="22"/>
          <w:szCs w:val="22"/>
        </w:rPr>
        <w:t>regarding</w:t>
      </w:r>
      <w:r>
        <w:rPr>
          <w:rFonts w:ascii="Garamond" w:hAnsi="Garamond" w:cs="Garamond"/>
          <w:spacing w:val="-11"/>
          <w:sz w:val="22"/>
          <w:szCs w:val="22"/>
        </w:rPr>
        <w:t xml:space="preserve"> </w:t>
      </w:r>
      <w:r>
        <w:rPr>
          <w:rFonts w:ascii="Garamond" w:hAnsi="Garamond" w:cs="Garamond"/>
          <w:sz w:val="22"/>
          <w:szCs w:val="22"/>
        </w:rPr>
        <w:t>any</w:t>
      </w:r>
      <w:r>
        <w:rPr>
          <w:rFonts w:ascii="Garamond" w:hAnsi="Garamond" w:cs="Garamond"/>
          <w:spacing w:val="-14"/>
          <w:sz w:val="22"/>
          <w:szCs w:val="22"/>
        </w:rPr>
        <w:t xml:space="preserve"> </w:t>
      </w:r>
      <w:r>
        <w:rPr>
          <w:rFonts w:ascii="Garamond" w:hAnsi="Garamond" w:cs="Garamond"/>
          <w:sz w:val="22"/>
          <w:szCs w:val="22"/>
        </w:rPr>
        <w:t>responses</w:t>
      </w:r>
      <w:r>
        <w:rPr>
          <w:rFonts w:ascii="Garamond" w:hAnsi="Garamond" w:cs="Garamond"/>
          <w:spacing w:val="-10"/>
          <w:sz w:val="22"/>
          <w:szCs w:val="22"/>
        </w:rPr>
        <w:t xml:space="preserve"> </w:t>
      </w:r>
      <w:r>
        <w:rPr>
          <w:rFonts w:ascii="Garamond" w:hAnsi="Garamond" w:cs="Garamond"/>
          <w:sz w:val="22"/>
          <w:szCs w:val="22"/>
        </w:rPr>
        <w:t>or</w:t>
      </w:r>
      <w:r>
        <w:rPr>
          <w:rFonts w:ascii="Garamond" w:hAnsi="Garamond" w:cs="Garamond"/>
          <w:spacing w:val="-9"/>
          <w:sz w:val="22"/>
          <w:szCs w:val="22"/>
        </w:rPr>
        <w:t xml:space="preserve"> </w:t>
      </w:r>
      <w:r>
        <w:rPr>
          <w:rFonts w:ascii="Garamond" w:hAnsi="Garamond" w:cs="Garamond"/>
          <w:sz w:val="22"/>
          <w:szCs w:val="22"/>
        </w:rPr>
        <w:t>actions</w:t>
      </w:r>
      <w:r>
        <w:rPr>
          <w:rFonts w:ascii="Garamond" w:hAnsi="Garamond" w:cs="Garamond"/>
          <w:spacing w:val="-10"/>
          <w:sz w:val="22"/>
          <w:szCs w:val="22"/>
        </w:rPr>
        <w:t xml:space="preserve"> </w:t>
      </w:r>
      <w:r>
        <w:rPr>
          <w:rFonts w:ascii="Garamond" w:hAnsi="Garamond" w:cs="Garamond"/>
          <w:sz w:val="22"/>
          <w:szCs w:val="22"/>
        </w:rPr>
        <w:t>taken.</w:t>
      </w:r>
    </w:p>
    <w:p w:rsidR="002C5025" w:rsidRDefault="002C5025">
      <w:pPr>
        <w:pStyle w:val="ListParagraph"/>
        <w:numPr>
          <w:ilvl w:val="3"/>
          <w:numId w:val="49"/>
        </w:numPr>
        <w:tabs>
          <w:tab w:val="left" w:pos="1558"/>
        </w:tabs>
        <w:kinsoku w:val="0"/>
        <w:overflowPunct w:val="0"/>
        <w:spacing w:before="13" w:line="248" w:lineRule="exact"/>
        <w:ind w:left="1557" w:hanging="360"/>
        <w:rPr>
          <w:rFonts w:ascii="Garamond" w:hAnsi="Garamond" w:cs="Garamond"/>
          <w:sz w:val="22"/>
          <w:szCs w:val="22"/>
        </w:rPr>
      </w:pPr>
      <w:r>
        <w:rPr>
          <w:rFonts w:ascii="Garamond" w:hAnsi="Garamond" w:cs="Garamond"/>
          <w:sz w:val="22"/>
          <w:szCs w:val="22"/>
        </w:rPr>
        <w:t>Coordinate</w:t>
      </w:r>
      <w:r>
        <w:rPr>
          <w:rFonts w:ascii="Garamond" w:hAnsi="Garamond" w:cs="Garamond"/>
          <w:spacing w:val="-10"/>
          <w:sz w:val="22"/>
          <w:szCs w:val="22"/>
        </w:rPr>
        <w:t xml:space="preserve"> </w:t>
      </w:r>
      <w:r>
        <w:rPr>
          <w:rFonts w:ascii="Garamond" w:hAnsi="Garamond" w:cs="Garamond"/>
          <w:sz w:val="22"/>
          <w:szCs w:val="22"/>
        </w:rPr>
        <w:t>closely</w:t>
      </w:r>
      <w:r>
        <w:rPr>
          <w:rFonts w:ascii="Garamond" w:hAnsi="Garamond" w:cs="Garamond"/>
          <w:spacing w:val="-8"/>
          <w:sz w:val="22"/>
          <w:szCs w:val="22"/>
        </w:rPr>
        <w:t xml:space="preserve"> </w:t>
      </w:r>
      <w:r>
        <w:rPr>
          <w:rFonts w:ascii="Garamond" w:hAnsi="Garamond" w:cs="Garamond"/>
          <w:sz w:val="22"/>
          <w:szCs w:val="22"/>
        </w:rPr>
        <w:t>with</w:t>
      </w:r>
      <w:r>
        <w:rPr>
          <w:rFonts w:ascii="Garamond" w:hAnsi="Garamond" w:cs="Garamond"/>
          <w:spacing w:val="-7"/>
          <w:sz w:val="22"/>
          <w:szCs w:val="22"/>
        </w:rPr>
        <w:t xml:space="preserve"> </w:t>
      </w:r>
      <w:r>
        <w:rPr>
          <w:rFonts w:ascii="Garamond" w:hAnsi="Garamond" w:cs="Garamond"/>
          <w:sz w:val="22"/>
          <w:szCs w:val="22"/>
        </w:rPr>
        <w:t>the</w:t>
      </w:r>
      <w:r>
        <w:rPr>
          <w:rFonts w:ascii="Garamond" w:hAnsi="Garamond" w:cs="Garamond"/>
          <w:spacing w:val="-12"/>
          <w:sz w:val="22"/>
          <w:szCs w:val="22"/>
        </w:rPr>
        <w:t xml:space="preserve"> </w:t>
      </w:r>
      <w:r>
        <w:rPr>
          <w:rFonts w:ascii="Garamond" w:hAnsi="Garamond" w:cs="Garamond"/>
          <w:sz w:val="22"/>
          <w:szCs w:val="22"/>
        </w:rPr>
        <w:t>already</w:t>
      </w:r>
      <w:r>
        <w:rPr>
          <w:rFonts w:ascii="Garamond" w:hAnsi="Garamond" w:cs="Garamond"/>
          <w:spacing w:val="-10"/>
          <w:sz w:val="22"/>
          <w:szCs w:val="22"/>
        </w:rPr>
        <w:t xml:space="preserve"> </w:t>
      </w:r>
      <w:r>
        <w:rPr>
          <w:rFonts w:ascii="Garamond" w:hAnsi="Garamond" w:cs="Garamond"/>
          <w:sz w:val="22"/>
          <w:szCs w:val="22"/>
        </w:rPr>
        <w:t>established</w:t>
      </w:r>
      <w:r>
        <w:rPr>
          <w:rFonts w:ascii="Garamond" w:hAnsi="Garamond" w:cs="Garamond"/>
          <w:spacing w:val="-10"/>
          <w:sz w:val="22"/>
          <w:szCs w:val="22"/>
        </w:rPr>
        <w:t xml:space="preserve"> </w:t>
      </w:r>
      <w:r>
        <w:rPr>
          <w:rFonts w:ascii="Garamond" w:hAnsi="Garamond" w:cs="Garamond"/>
          <w:spacing w:val="-3"/>
          <w:sz w:val="22"/>
          <w:szCs w:val="22"/>
        </w:rPr>
        <w:t>hospital-level</w:t>
      </w:r>
      <w:r>
        <w:rPr>
          <w:rFonts w:ascii="Garamond" w:hAnsi="Garamond" w:cs="Garamond"/>
          <w:spacing w:val="-10"/>
          <w:sz w:val="22"/>
          <w:szCs w:val="22"/>
        </w:rPr>
        <w:t xml:space="preserve"> </w:t>
      </w:r>
      <w:r>
        <w:rPr>
          <w:rFonts w:ascii="Garamond" w:hAnsi="Garamond" w:cs="Garamond"/>
          <w:sz w:val="22"/>
          <w:szCs w:val="22"/>
        </w:rPr>
        <w:t>PFACs.</w:t>
      </w:r>
    </w:p>
    <w:p w:rsidR="002C5025" w:rsidRDefault="002C5025">
      <w:pPr>
        <w:pStyle w:val="ListParagraph"/>
        <w:numPr>
          <w:ilvl w:val="2"/>
          <w:numId w:val="49"/>
        </w:numPr>
        <w:tabs>
          <w:tab w:val="left" w:pos="838"/>
        </w:tabs>
        <w:kinsoku w:val="0"/>
        <w:overflowPunct w:val="0"/>
        <w:ind w:left="839" w:right="416" w:hanging="362"/>
        <w:rPr>
          <w:rFonts w:ascii="Garamond" w:hAnsi="Garamond" w:cs="Garamond"/>
          <w:sz w:val="22"/>
          <w:szCs w:val="22"/>
        </w:rPr>
      </w:pPr>
      <w:r>
        <w:rPr>
          <w:rFonts w:ascii="Garamond" w:hAnsi="Garamond" w:cs="Garamond"/>
          <w:sz w:val="22"/>
          <w:szCs w:val="22"/>
          <w:u w:val="single"/>
        </w:rPr>
        <w:t xml:space="preserve">All representatives receive orientation and onboarding support to facilitate their successful participation, </w:t>
      </w:r>
      <w:r>
        <w:rPr>
          <w:rFonts w:ascii="Garamond" w:hAnsi="Garamond" w:cs="Garamond"/>
          <w:spacing w:val="-3"/>
          <w:sz w:val="22"/>
          <w:szCs w:val="22"/>
          <w:u w:val="single"/>
        </w:rPr>
        <w:t xml:space="preserve">as </w:t>
      </w:r>
      <w:r>
        <w:rPr>
          <w:rFonts w:ascii="Garamond" w:hAnsi="Garamond" w:cs="Garamond"/>
          <w:sz w:val="22"/>
          <w:szCs w:val="22"/>
          <w:u w:val="single"/>
        </w:rPr>
        <w:t>well as ongoing opportunities to connect with peers in other ACOs. Successful partnerships</w:t>
      </w:r>
      <w:r>
        <w:rPr>
          <w:rFonts w:ascii="Garamond" w:hAnsi="Garamond" w:cs="Garamond"/>
          <w:spacing w:val="-4"/>
          <w:sz w:val="22"/>
          <w:szCs w:val="22"/>
          <w:u w:val="single"/>
        </w:rPr>
        <w:t xml:space="preserve"> </w:t>
      </w:r>
      <w:r>
        <w:rPr>
          <w:rFonts w:ascii="Garamond" w:hAnsi="Garamond" w:cs="Garamond"/>
          <w:sz w:val="22"/>
          <w:szCs w:val="22"/>
          <w:u w:val="single"/>
        </w:rPr>
        <w:t>with</w:t>
      </w:r>
      <w:r>
        <w:rPr>
          <w:rFonts w:ascii="Garamond" w:hAnsi="Garamond" w:cs="Garamond"/>
          <w:spacing w:val="-7"/>
          <w:sz w:val="22"/>
          <w:szCs w:val="22"/>
          <w:u w:val="single"/>
        </w:rPr>
        <w:t xml:space="preserve"> </w:t>
      </w:r>
      <w:r>
        <w:rPr>
          <w:rFonts w:ascii="Garamond" w:hAnsi="Garamond" w:cs="Garamond"/>
          <w:spacing w:val="-3"/>
          <w:sz w:val="22"/>
          <w:szCs w:val="22"/>
          <w:u w:val="single"/>
        </w:rPr>
        <w:t>consumer</w:t>
      </w:r>
      <w:r>
        <w:rPr>
          <w:rFonts w:ascii="Garamond" w:hAnsi="Garamond" w:cs="Garamond"/>
          <w:spacing w:val="-9"/>
          <w:sz w:val="22"/>
          <w:szCs w:val="22"/>
          <w:u w:val="single"/>
        </w:rPr>
        <w:t xml:space="preserve"> </w:t>
      </w:r>
      <w:r>
        <w:rPr>
          <w:rFonts w:ascii="Garamond" w:hAnsi="Garamond" w:cs="Garamond"/>
          <w:sz w:val="22"/>
          <w:szCs w:val="22"/>
          <w:u w:val="single"/>
        </w:rPr>
        <w:t>advocate</w:t>
      </w:r>
      <w:r>
        <w:rPr>
          <w:rFonts w:ascii="Garamond" w:hAnsi="Garamond" w:cs="Garamond"/>
          <w:spacing w:val="-8"/>
          <w:sz w:val="22"/>
          <w:szCs w:val="22"/>
          <w:u w:val="single"/>
        </w:rPr>
        <w:t xml:space="preserve"> </w:t>
      </w:r>
      <w:r>
        <w:rPr>
          <w:rFonts w:ascii="Garamond" w:hAnsi="Garamond" w:cs="Garamond"/>
          <w:sz w:val="22"/>
          <w:szCs w:val="22"/>
          <w:u w:val="single"/>
        </w:rPr>
        <w:t>and</w:t>
      </w:r>
      <w:r>
        <w:rPr>
          <w:rFonts w:ascii="Garamond" w:hAnsi="Garamond" w:cs="Garamond"/>
          <w:spacing w:val="-8"/>
          <w:sz w:val="22"/>
          <w:szCs w:val="22"/>
          <w:u w:val="single"/>
        </w:rPr>
        <w:t xml:space="preserve"> </w:t>
      </w:r>
      <w:r>
        <w:rPr>
          <w:rFonts w:ascii="Garamond" w:hAnsi="Garamond" w:cs="Garamond"/>
          <w:sz w:val="22"/>
          <w:szCs w:val="22"/>
          <w:u w:val="single"/>
        </w:rPr>
        <w:t>member</w:t>
      </w:r>
      <w:r>
        <w:rPr>
          <w:rFonts w:ascii="Garamond" w:hAnsi="Garamond" w:cs="Garamond"/>
          <w:spacing w:val="-7"/>
          <w:sz w:val="22"/>
          <w:szCs w:val="22"/>
          <w:u w:val="single"/>
        </w:rPr>
        <w:t xml:space="preserve"> </w:t>
      </w:r>
      <w:r>
        <w:rPr>
          <w:rFonts w:ascii="Garamond" w:hAnsi="Garamond" w:cs="Garamond"/>
          <w:sz w:val="22"/>
          <w:szCs w:val="22"/>
          <w:u w:val="single"/>
        </w:rPr>
        <w:t>representatives</w:t>
      </w:r>
      <w:r>
        <w:rPr>
          <w:rFonts w:ascii="Garamond" w:hAnsi="Garamond" w:cs="Garamond"/>
          <w:spacing w:val="-4"/>
          <w:sz w:val="22"/>
          <w:szCs w:val="22"/>
          <w:u w:val="single"/>
        </w:rPr>
        <w:t xml:space="preserve"> </w:t>
      </w:r>
      <w:r>
        <w:rPr>
          <w:rFonts w:ascii="Garamond" w:hAnsi="Garamond" w:cs="Garamond"/>
          <w:sz w:val="22"/>
          <w:szCs w:val="22"/>
          <w:u w:val="single"/>
        </w:rPr>
        <w:t>on</w:t>
      </w:r>
      <w:r>
        <w:rPr>
          <w:rFonts w:ascii="Garamond" w:hAnsi="Garamond" w:cs="Garamond"/>
          <w:spacing w:val="-8"/>
          <w:sz w:val="22"/>
          <w:szCs w:val="22"/>
          <w:u w:val="single"/>
        </w:rPr>
        <w:t xml:space="preserve"> </w:t>
      </w:r>
      <w:r>
        <w:rPr>
          <w:rFonts w:ascii="Garamond" w:hAnsi="Garamond" w:cs="Garamond"/>
          <w:sz w:val="22"/>
          <w:szCs w:val="22"/>
          <w:u w:val="single"/>
        </w:rPr>
        <w:t>ACO</w:t>
      </w:r>
      <w:r>
        <w:rPr>
          <w:rFonts w:ascii="Garamond" w:hAnsi="Garamond" w:cs="Garamond"/>
          <w:spacing w:val="-5"/>
          <w:sz w:val="22"/>
          <w:szCs w:val="22"/>
          <w:u w:val="single"/>
        </w:rPr>
        <w:t xml:space="preserve"> </w:t>
      </w:r>
      <w:r>
        <w:rPr>
          <w:rFonts w:ascii="Garamond" w:hAnsi="Garamond" w:cs="Garamond"/>
          <w:spacing w:val="-3"/>
          <w:sz w:val="22"/>
          <w:szCs w:val="22"/>
          <w:u w:val="single"/>
        </w:rPr>
        <w:t>governing</w:t>
      </w:r>
      <w:r>
        <w:rPr>
          <w:rFonts w:ascii="Garamond" w:hAnsi="Garamond" w:cs="Garamond"/>
          <w:spacing w:val="-8"/>
          <w:sz w:val="22"/>
          <w:szCs w:val="22"/>
          <w:u w:val="single"/>
        </w:rPr>
        <w:t xml:space="preserve"> </w:t>
      </w:r>
      <w:r>
        <w:rPr>
          <w:rFonts w:ascii="Garamond" w:hAnsi="Garamond" w:cs="Garamond"/>
          <w:sz w:val="22"/>
          <w:szCs w:val="22"/>
          <w:u w:val="single"/>
        </w:rPr>
        <w:t>boards</w:t>
      </w:r>
      <w:r>
        <w:rPr>
          <w:rFonts w:ascii="Garamond" w:hAnsi="Garamond" w:cs="Garamond"/>
          <w:spacing w:val="-4"/>
          <w:sz w:val="22"/>
          <w:szCs w:val="22"/>
          <w:u w:val="single"/>
        </w:rPr>
        <w:t xml:space="preserve"> </w:t>
      </w:r>
      <w:r>
        <w:rPr>
          <w:rFonts w:ascii="Garamond" w:hAnsi="Garamond" w:cs="Garamond"/>
          <w:spacing w:val="-3"/>
          <w:sz w:val="22"/>
          <w:szCs w:val="22"/>
          <w:u w:val="single"/>
        </w:rPr>
        <w:t xml:space="preserve">and </w:t>
      </w:r>
      <w:r>
        <w:rPr>
          <w:rFonts w:ascii="Garamond" w:hAnsi="Garamond" w:cs="Garamond"/>
          <w:sz w:val="22"/>
          <w:szCs w:val="22"/>
          <w:u w:val="single"/>
        </w:rPr>
        <w:t xml:space="preserve">PFACs require a greater level of support from the </w:t>
      </w:r>
      <w:r>
        <w:rPr>
          <w:rFonts w:ascii="Garamond" w:hAnsi="Garamond" w:cs="Garamond"/>
          <w:spacing w:val="-3"/>
          <w:sz w:val="22"/>
          <w:szCs w:val="22"/>
          <w:u w:val="single"/>
        </w:rPr>
        <w:t xml:space="preserve">ACO, </w:t>
      </w:r>
      <w:r>
        <w:rPr>
          <w:rFonts w:ascii="Garamond" w:hAnsi="Garamond" w:cs="Garamond"/>
          <w:sz w:val="22"/>
          <w:szCs w:val="22"/>
          <w:u w:val="single"/>
        </w:rPr>
        <w:t xml:space="preserve">including providing </w:t>
      </w:r>
      <w:r>
        <w:rPr>
          <w:rFonts w:ascii="Garamond" w:hAnsi="Garamond" w:cs="Garamond"/>
          <w:spacing w:val="-3"/>
          <w:sz w:val="22"/>
          <w:szCs w:val="22"/>
          <w:u w:val="single"/>
        </w:rPr>
        <w:t xml:space="preserve">orientation </w:t>
      </w:r>
      <w:r>
        <w:rPr>
          <w:rFonts w:ascii="Garamond" w:hAnsi="Garamond" w:cs="Garamond"/>
          <w:sz w:val="22"/>
          <w:szCs w:val="22"/>
          <w:u w:val="single"/>
        </w:rPr>
        <w:t xml:space="preserve">and onboarding support. ACOs should describe in their </w:t>
      </w:r>
      <w:r>
        <w:rPr>
          <w:rFonts w:ascii="Garamond" w:hAnsi="Garamond" w:cs="Garamond"/>
          <w:spacing w:val="-4"/>
          <w:sz w:val="22"/>
          <w:szCs w:val="22"/>
          <w:u w:val="single"/>
        </w:rPr>
        <w:t xml:space="preserve">governance </w:t>
      </w:r>
      <w:r>
        <w:rPr>
          <w:rFonts w:ascii="Garamond" w:hAnsi="Garamond" w:cs="Garamond"/>
          <w:sz w:val="22"/>
          <w:szCs w:val="22"/>
          <w:u w:val="single"/>
        </w:rPr>
        <w:t>board and PFAC applications an orientation</w:t>
      </w:r>
      <w:r>
        <w:rPr>
          <w:rFonts w:ascii="Garamond" w:hAnsi="Garamond" w:cs="Garamond"/>
          <w:spacing w:val="-12"/>
          <w:sz w:val="22"/>
          <w:szCs w:val="22"/>
          <w:u w:val="single"/>
        </w:rPr>
        <w:t xml:space="preserve"> </w:t>
      </w:r>
      <w:r>
        <w:rPr>
          <w:rFonts w:ascii="Garamond" w:hAnsi="Garamond" w:cs="Garamond"/>
          <w:sz w:val="22"/>
          <w:szCs w:val="22"/>
          <w:u w:val="single"/>
        </w:rPr>
        <w:t>and</w:t>
      </w:r>
      <w:r>
        <w:rPr>
          <w:rFonts w:ascii="Garamond" w:hAnsi="Garamond" w:cs="Garamond"/>
          <w:spacing w:val="-12"/>
          <w:sz w:val="22"/>
          <w:szCs w:val="22"/>
          <w:u w:val="single"/>
        </w:rPr>
        <w:t xml:space="preserve"> </w:t>
      </w:r>
      <w:r>
        <w:rPr>
          <w:rFonts w:ascii="Garamond" w:hAnsi="Garamond" w:cs="Garamond"/>
          <w:sz w:val="22"/>
          <w:szCs w:val="22"/>
          <w:u w:val="single"/>
        </w:rPr>
        <w:t>onboarding</w:t>
      </w:r>
      <w:r>
        <w:rPr>
          <w:rFonts w:ascii="Garamond" w:hAnsi="Garamond" w:cs="Garamond"/>
          <w:spacing w:val="-15"/>
          <w:sz w:val="22"/>
          <w:szCs w:val="22"/>
          <w:u w:val="single"/>
        </w:rPr>
        <w:t xml:space="preserve"> </w:t>
      </w:r>
      <w:r>
        <w:rPr>
          <w:rFonts w:ascii="Garamond" w:hAnsi="Garamond" w:cs="Garamond"/>
          <w:sz w:val="22"/>
          <w:szCs w:val="22"/>
          <w:u w:val="single"/>
        </w:rPr>
        <w:t>process</w:t>
      </w:r>
      <w:r>
        <w:rPr>
          <w:rFonts w:ascii="Garamond" w:hAnsi="Garamond" w:cs="Garamond"/>
          <w:spacing w:val="-9"/>
          <w:sz w:val="22"/>
          <w:szCs w:val="22"/>
          <w:u w:val="single"/>
        </w:rPr>
        <w:t xml:space="preserve"> </w:t>
      </w:r>
      <w:r>
        <w:rPr>
          <w:rFonts w:ascii="Garamond" w:hAnsi="Garamond" w:cs="Garamond"/>
          <w:sz w:val="22"/>
          <w:szCs w:val="22"/>
          <w:u w:val="single"/>
        </w:rPr>
        <w:t>for</w:t>
      </w:r>
      <w:r>
        <w:rPr>
          <w:rFonts w:ascii="Garamond" w:hAnsi="Garamond" w:cs="Garamond"/>
          <w:spacing w:val="-10"/>
          <w:sz w:val="22"/>
          <w:szCs w:val="22"/>
          <w:u w:val="single"/>
        </w:rPr>
        <w:t xml:space="preserve"> </w:t>
      </w:r>
      <w:r>
        <w:rPr>
          <w:rFonts w:ascii="Garamond" w:hAnsi="Garamond" w:cs="Garamond"/>
          <w:sz w:val="22"/>
          <w:szCs w:val="22"/>
          <w:u w:val="single"/>
        </w:rPr>
        <w:t>consumer</w:t>
      </w:r>
      <w:r>
        <w:rPr>
          <w:rFonts w:ascii="Garamond" w:hAnsi="Garamond" w:cs="Garamond"/>
          <w:spacing w:val="-9"/>
          <w:sz w:val="22"/>
          <w:szCs w:val="22"/>
          <w:u w:val="single"/>
        </w:rPr>
        <w:t xml:space="preserve"> </w:t>
      </w:r>
      <w:r>
        <w:rPr>
          <w:rFonts w:ascii="Garamond" w:hAnsi="Garamond" w:cs="Garamond"/>
          <w:sz w:val="22"/>
          <w:szCs w:val="22"/>
          <w:u w:val="single"/>
        </w:rPr>
        <w:t>advocate</w:t>
      </w:r>
      <w:r>
        <w:rPr>
          <w:rFonts w:ascii="Garamond" w:hAnsi="Garamond" w:cs="Garamond"/>
          <w:spacing w:val="-10"/>
          <w:sz w:val="22"/>
          <w:szCs w:val="22"/>
          <w:u w:val="single"/>
        </w:rPr>
        <w:t xml:space="preserve"> </w:t>
      </w:r>
      <w:r>
        <w:rPr>
          <w:rFonts w:ascii="Garamond" w:hAnsi="Garamond" w:cs="Garamond"/>
          <w:spacing w:val="-3"/>
          <w:sz w:val="22"/>
          <w:szCs w:val="22"/>
          <w:u w:val="single"/>
        </w:rPr>
        <w:t>and</w:t>
      </w:r>
      <w:r>
        <w:rPr>
          <w:rFonts w:ascii="Garamond" w:hAnsi="Garamond" w:cs="Garamond"/>
          <w:spacing w:val="-10"/>
          <w:sz w:val="22"/>
          <w:szCs w:val="22"/>
          <w:u w:val="single"/>
        </w:rPr>
        <w:t xml:space="preserve"> </w:t>
      </w:r>
      <w:r>
        <w:rPr>
          <w:rFonts w:ascii="Garamond" w:hAnsi="Garamond" w:cs="Garamond"/>
          <w:sz w:val="22"/>
          <w:szCs w:val="22"/>
          <w:u w:val="single"/>
        </w:rPr>
        <w:t>member</w:t>
      </w:r>
      <w:r>
        <w:rPr>
          <w:rFonts w:ascii="Garamond" w:hAnsi="Garamond" w:cs="Garamond"/>
          <w:spacing w:val="-13"/>
          <w:sz w:val="22"/>
          <w:szCs w:val="22"/>
          <w:u w:val="single"/>
        </w:rPr>
        <w:t xml:space="preserve"> </w:t>
      </w:r>
      <w:r>
        <w:rPr>
          <w:rFonts w:ascii="Garamond" w:hAnsi="Garamond" w:cs="Garamond"/>
          <w:sz w:val="22"/>
          <w:szCs w:val="22"/>
          <w:u w:val="single"/>
        </w:rPr>
        <w:t>representatives.</w:t>
      </w:r>
      <w:r>
        <w:rPr>
          <w:rFonts w:ascii="Garamond" w:hAnsi="Garamond" w:cs="Garamond"/>
          <w:spacing w:val="-10"/>
          <w:sz w:val="22"/>
          <w:szCs w:val="22"/>
          <w:u w:val="single"/>
        </w:rPr>
        <w:t xml:space="preserve"> </w:t>
      </w:r>
      <w:r>
        <w:rPr>
          <w:rFonts w:ascii="Garamond" w:hAnsi="Garamond" w:cs="Garamond"/>
          <w:sz w:val="22"/>
          <w:szCs w:val="22"/>
          <w:u w:val="single"/>
        </w:rPr>
        <w:t>We</w:t>
      </w:r>
    </w:p>
    <w:p w:rsidR="002C5025" w:rsidRDefault="002C5025">
      <w:pPr>
        <w:pStyle w:val="BodyText"/>
        <w:kinsoku w:val="0"/>
        <w:overflowPunct w:val="0"/>
        <w:rPr>
          <w:rFonts w:ascii="Garamond" w:hAnsi="Garamond" w:cs="Garamond"/>
          <w:sz w:val="20"/>
          <w:szCs w:val="20"/>
        </w:rPr>
      </w:pPr>
    </w:p>
    <w:p w:rsidR="002C5025" w:rsidRDefault="002C5025">
      <w:pPr>
        <w:pStyle w:val="BodyText"/>
        <w:kinsoku w:val="0"/>
        <w:overflowPunct w:val="0"/>
        <w:rPr>
          <w:rFonts w:ascii="Garamond" w:hAnsi="Garamond" w:cs="Garamond"/>
          <w:sz w:val="17"/>
          <w:szCs w:val="17"/>
        </w:rPr>
      </w:pPr>
    </w:p>
    <w:p w:rsidR="002C5025" w:rsidRDefault="002C5025">
      <w:pPr>
        <w:pStyle w:val="BodyText"/>
        <w:kinsoku w:val="0"/>
        <w:overflowPunct w:val="0"/>
        <w:spacing w:before="80"/>
        <w:ind w:left="102"/>
        <w:jc w:val="center"/>
        <w:rPr>
          <w:rFonts w:ascii="Garamond" w:hAnsi="Garamond" w:cs="Garamond"/>
          <w:w w:val="99"/>
          <w:sz w:val="20"/>
          <w:szCs w:val="20"/>
        </w:rPr>
      </w:pPr>
      <w:r>
        <w:rPr>
          <w:rFonts w:ascii="Garamond" w:hAnsi="Garamond" w:cs="Garamond"/>
          <w:w w:val="99"/>
          <w:sz w:val="20"/>
          <w:szCs w:val="20"/>
        </w:rPr>
        <w:t>4</w:t>
      </w:r>
    </w:p>
    <w:p w:rsidR="002C5025" w:rsidRDefault="002C5025">
      <w:pPr>
        <w:pStyle w:val="BodyText"/>
        <w:kinsoku w:val="0"/>
        <w:overflowPunct w:val="0"/>
        <w:spacing w:before="80"/>
        <w:ind w:left="102"/>
        <w:jc w:val="center"/>
        <w:rPr>
          <w:rFonts w:ascii="Garamond" w:hAnsi="Garamond" w:cs="Garamond"/>
          <w:w w:val="99"/>
          <w:sz w:val="20"/>
          <w:szCs w:val="20"/>
        </w:rPr>
        <w:sectPr w:rsidR="002C5025">
          <w:pgSz w:w="12240" w:h="15840"/>
          <w:pgMar w:top="1500" w:right="1420" w:bottom="280" w:left="1320" w:header="720" w:footer="720" w:gutter="0"/>
          <w:cols w:space="720" w:equalWidth="0">
            <w:col w:w="9500"/>
          </w:cols>
          <w:noEndnote/>
        </w:sectPr>
      </w:pPr>
    </w:p>
    <w:p w:rsidR="002C5025" w:rsidRDefault="002C5025">
      <w:pPr>
        <w:pStyle w:val="BodyText"/>
        <w:kinsoku w:val="0"/>
        <w:overflowPunct w:val="0"/>
        <w:spacing w:before="60"/>
        <w:ind w:left="839" w:right="85"/>
        <w:rPr>
          <w:rFonts w:ascii="Garamond" w:hAnsi="Garamond" w:cs="Garamond"/>
          <w:spacing w:val="-3"/>
        </w:rPr>
      </w:pPr>
      <w:r>
        <w:rPr>
          <w:rFonts w:ascii="Garamond" w:hAnsi="Garamond" w:cs="Garamond"/>
        </w:rPr>
        <w:lastRenderedPageBreak/>
        <w:t xml:space="preserve">encourage MassHealth to offer guidance and assistance to ACOs with respect to developing onboarding and orientation processes. MassHealth should also facilitate an </w:t>
      </w:r>
      <w:r>
        <w:rPr>
          <w:rFonts w:ascii="Garamond" w:hAnsi="Garamond" w:cs="Garamond"/>
          <w:spacing w:val="-3"/>
        </w:rPr>
        <w:t xml:space="preserve">ongoing </w:t>
      </w:r>
      <w:r>
        <w:rPr>
          <w:rFonts w:ascii="Garamond" w:hAnsi="Garamond" w:cs="Garamond"/>
        </w:rPr>
        <w:t xml:space="preserve">process to allow all consumer representatives on these </w:t>
      </w:r>
      <w:r>
        <w:rPr>
          <w:rFonts w:ascii="Garamond" w:hAnsi="Garamond" w:cs="Garamond"/>
          <w:spacing w:val="-3"/>
        </w:rPr>
        <w:t xml:space="preserve">boards </w:t>
      </w:r>
      <w:r>
        <w:rPr>
          <w:rFonts w:ascii="Garamond" w:hAnsi="Garamond" w:cs="Garamond"/>
        </w:rPr>
        <w:t xml:space="preserve">to learn </w:t>
      </w:r>
      <w:r>
        <w:rPr>
          <w:rFonts w:ascii="Garamond" w:hAnsi="Garamond" w:cs="Garamond"/>
          <w:spacing w:val="-3"/>
        </w:rPr>
        <w:t xml:space="preserve">from </w:t>
      </w:r>
      <w:r>
        <w:rPr>
          <w:rFonts w:ascii="Garamond" w:hAnsi="Garamond" w:cs="Garamond"/>
        </w:rPr>
        <w:t xml:space="preserve">each other, share best practices, </w:t>
      </w:r>
      <w:r>
        <w:rPr>
          <w:rFonts w:ascii="Garamond" w:hAnsi="Garamond" w:cs="Garamond"/>
          <w:spacing w:val="-3"/>
        </w:rPr>
        <w:t xml:space="preserve">and </w:t>
      </w:r>
      <w:r>
        <w:rPr>
          <w:rFonts w:ascii="Garamond" w:hAnsi="Garamond" w:cs="Garamond"/>
        </w:rPr>
        <w:t xml:space="preserve">interact with experts on issues related to </w:t>
      </w:r>
      <w:r>
        <w:rPr>
          <w:rFonts w:ascii="Garamond" w:hAnsi="Garamond" w:cs="Garamond"/>
          <w:spacing w:val="-3"/>
        </w:rPr>
        <w:t>ACOs.</w:t>
      </w:r>
    </w:p>
    <w:p w:rsidR="002C5025" w:rsidRDefault="002C5025">
      <w:pPr>
        <w:pStyle w:val="BodyText"/>
        <w:kinsoku w:val="0"/>
        <w:overflowPunct w:val="0"/>
        <w:spacing w:before="1"/>
        <w:rPr>
          <w:rFonts w:ascii="Garamond" w:hAnsi="Garamond" w:cs="Garamond"/>
        </w:rPr>
      </w:pPr>
    </w:p>
    <w:p w:rsidR="002C5025" w:rsidRDefault="002C5025">
      <w:pPr>
        <w:pStyle w:val="BodyText"/>
        <w:kinsoku w:val="0"/>
        <w:overflowPunct w:val="0"/>
        <w:spacing w:before="1"/>
        <w:ind w:left="118" w:right="85"/>
        <w:rPr>
          <w:rFonts w:ascii="Garamond" w:hAnsi="Garamond" w:cs="Garamond"/>
        </w:rPr>
      </w:pPr>
      <w:r>
        <w:rPr>
          <w:rFonts w:ascii="Garamond" w:hAnsi="Garamond" w:cs="Garamond"/>
        </w:rPr>
        <w:t xml:space="preserve">Finally, it is important for </w:t>
      </w:r>
      <w:r>
        <w:rPr>
          <w:rFonts w:ascii="Garamond" w:hAnsi="Garamond" w:cs="Garamond"/>
          <w:spacing w:val="-4"/>
        </w:rPr>
        <w:t xml:space="preserve">ACOs </w:t>
      </w:r>
      <w:r>
        <w:rPr>
          <w:rFonts w:ascii="Garamond" w:hAnsi="Garamond" w:cs="Garamond"/>
        </w:rPr>
        <w:t xml:space="preserve">to monitor and continuously </w:t>
      </w:r>
      <w:r>
        <w:rPr>
          <w:rFonts w:ascii="Garamond" w:hAnsi="Garamond" w:cs="Garamond"/>
          <w:spacing w:val="-3"/>
        </w:rPr>
        <w:t xml:space="preserve">assess </w:t>
      </w:r>
      <w:r>
        <w:rPr>
          <w:rFonts w:ascii="Garamond" w:hAnsi="Garamond" w:cs="Garamond"/>
        </w:rPr>
        <w:t xml:space="preserve">the degree to </w:t>
      </w:r>
      <w:r>
        <w:rPr>
          <w:rFonts w:ascii="Garamond" w:hAnsi="Garamond" w:cs="Garamond"/>
          <w:spacing w:val="-4"/>
        </w:rPr>
        <w:t xml:space="preserve">which </w:t>
      </w:r>
      <w:r>
        <w:rPr>
          <w:rFonts w:ascii="Garamond" w:hAnsi="Garamond" w:cs="Garamond"/>
        </w:rPr>
        <w:t xml:space="preserve">consumer advocate and member representatives are meaningfully engaged in governance structures and whether changes the ACO makes are actually improving member care experiences and outcomes. This information must be </w:t>
      </w:r>
      <w:r>
        <w:rPr>
          <w:rFonts w:ascii="Garamond" w:hAnsi="Garamond" w:cs="Garamond"/>
          <w:spacing w:val="-3"/>
        </w:rPr>
        <w:t xml:space="preserve">part </w:t>
      </w:r>
      <w:r>
        <w:rPr>
          <w:rFonts w:ascii="Garamond" w:hAnsi="Garamond" w:cs="Garamond"/>
        </w:rPr>
        <w:t xml:space="preserve">of MassHealth’s evaluation of ACOs. We encourage MassHealth to work with </w:t>
      </w:r>
      <w:r>
        <w:rPr>
          <w:rFonts w:ascii="Garamond" w:hAnsi="Garamond" w:cs="Garamond"/>
          <w:spacing w:val="-3"/>
        </w:rPr>
        <w:t xml:space="preserve">ACOs </w:t>
      </w:r>
      <w:r>
        <w:rPr>
          <w:rFonts w:ascii="Garamond" w:hAnsi="Garamond" w:cs="Garamond"/>
        </w:rPr>
        <w:t>and consumers to determine the most appropriate ways to track and share this information.</w:t>
      </w:r>
    </w:p>
    <w:p w:rsidR="002C5025" w:rsidRDefault="002C5025">
      <w:pPr>
        <w:pStyle w:val="BodyText"/>
        <w:kinsoku w:val="0"/>
        <w:overflowPunct w:val="0"/>
        <w:rPr>
          <w:rFonts w:ascii="Garamond" w:hAnsi="Garamond" w:cs="Garamond"/>
          <w:sz w:val="21"/>
          <w:szCs w:val="21"/>
        </w:rPr>
      </w:pPr>
    </w:p>
    <w:p w:rsidR="002C5025" w:rsidRDefault="002C5025">
      <w:pPr>
        <w:pStyle w:val="BodyText"/>
        <w:kinsoku w:val="0"/>
        <w:overflowPunct w:val="0"/>
        <w:spacing w:line="265" w:lineRule="exact"/>
        <w:ind w:left="120" w:right="225"/>
        <w:rPr>
          <w:rFonts w:ascii="Garamond" w:hAnsi="Garamond" w:cs="Garamond"/>
          <w:b/>
          <w:bCs/>
          <w:i/>
          <w:iCs/>
          <w:w w:val="90"/>
          <w:sz w:val="24"/>
          <w:szCs w:val="24"/>
        </w:rPr>
      </w:pPr>
      <w:bookmarkStart w:id="152" w:name="Member_engagement_in_monitoring_and_over"/>
      <w:bookmarkEnd w:id="152"/>
      <w:r>
        <w:rPr>
          <w:rFonts w:ascii="Garamond" w:hAnsi="Garamond" w:cs="Garamond"/>
          <w:b/>
          <w:bCs/>
          <w:i/>
          <w:iCs/>
          <w:w w:val="90"/>
          <w:sz w:val="24"/>
          <w:szCs w:val="24"/>
        </w:rPr>
        <w:t>Member engagement in monitoring and oversight</w:t>
      </w:r>
    </w:p>
    <w:p w:rsidR="002C5025" w:rsidRDefault="002C5025">
      <w:pPr>
        <w:pStyle w:val="BodyText"/>
        <w:kinsoku w:val="0"/>
        <w:overflowPunct w:val="0"/>
        <w:ind w:left="117" w:right="28" w:firstLine="2"/>
        <w:rPr>
          <w:rFonts w:ascii="Garamond" w:hAnsi="Garamond" w:cs="Garamond"/>
        </w:rPr>
      </w:pPr>
      <w:r>
        <w:rPr>
          <w:rFonts w:ascii="Garamond" w:hAnsi="Garamond" w:cs="Garamond"/>
        </w:rPr>
        <w:t xml:space="preserve">Continuous member engagement will be critically important throughout the design, implementation and evaluation processes of the ACO program. We support MassHealth’s determination to continue to seek </w:t>
      </w:r>
      <w:r>
        <w:rPr>
          <w:rFonts w:ascii="Garamond" w:hAnsi="Garamond" w:cs="Garamond"/>
          <w:spacing w:val="-3"/>
        </w:rPr>
        <w:t xml:space="preserve">input </w:t>
      </w:r>
      <w:r>
        <w:rPr>
          <w:rFonts w:ascii="Garamond" w:hAnsi="Garamond" w:cs="Garamond"/>
        </w:rPr>
        <w:t xml:space="preserve">from technical advisory groups on key topics, such as certification criteria for Community Partners, quality and member experience measures, </w:t>
      </w:r>
      <w:r>
        <w:rPr>
          <w:rFonts w:ascii="Garamond" w:hAnsi="Garamond" w:cs="Garamond"/>
          <w:spacing w:val="-3"/>
        </w:rPr>
        <w:t xml:space="preserve">and other </w:t>
      </w:r>
      <w:r>
        <w:rPr>
          <w:rFonts w:ascii="Garamond" w:hAnsi="Garamond" w:cs="Garamond"/>
        </w:rPr>
        <w:t xml:space="preserve">ACO model details (20). We also support MassHealth’s </w:t>
      </w:r>
      <w:r>
        <w:rPr>
          <w:rFonts w:ascii="Garamond" w:hAnsi="Garamond" w:cs="Garamond"/>
          <w:spacing w:val="-3"/>
        </w:rPr>
        <w:t xml:space="preserve">plans </w:t>
      </w:r>
      <w:r>
        <w:rPr>
          <w:rFonts w:ascii="Garamond" w:hAnsi="Garamond" w:cs="Garamond"/>
        </w:rPr>
        <w:t xml:space="preserve">to establish an advocate and member advisory group to ensure that members have an appropriate forum to provide input to support design, implementation planning and roll-out (20). We recommend that MassHealth establish this advisory group as a formal Steering Committee modeled after the One Care Implementation Council. The Steering Committee should have </w:t>
      </w:r>
      <w:r>
        <w:rPr>
          <w:rFonts w:ascii="Garamond" w:hAnsi="Garamond" w:cs="Garamond"/>
          <w:spacing w:val="-3"/>
        </w:rPr>
        <w:t xml:space="preserve">significant </w:t>
      </w:r>
      <w:r>
        <w:rPr>
          <w:rFonts w:ascii="Garamond" w:hAnsi="Garamond" w:cs="Garamond"/>
        </w:rPr>
        <w:t xml:space="preserve">authority, and include MassHealth members, community-based organizations, and social services agencies, as well as key state legislators and </w:t>
      </w:r>
      <w:r>
        <w:rPr>
          <w:rFonts w:ascii="Garamond" w:hAnsi="Garamond" w:cs="Garamond"/>
          <w:spacing w:val="-3"/>
        </w:rPr>
        <w:t xml:space="preserve">other </w:t>
      </w:r>
      <w:r>
        <w:rPr>
          <w:rFonts w:ascii="Garamond" w:hAnsi="Garamond" w:cs="Garamond"/>
        </w:rPr>
        <w:t>policymakers. In addition to the functions outlined by MassHealth, the Committee should serve as a public forum to provide accountability to make sure the ACO program is meeting its goals, and to identify areas</w:t>
      </w:r>
      <w:r>
        <w:rPr>
          <w:rFonts w:ascii="Garamond" w:hAnsi="Garamond" w:cs="Garamond"/>
          <w:spacing w:val="-4"/>
        </w:rPr>
        <w:t xml:space="preserve"> for </w:t>
      </w:r>
      <w:r>
        <w:rPr>
          <w:rFonts w:ascii="Garamond" w:hAnsi="Garamond" w:cs="Garamond"/>
        </w:rPr>
        <w:t>improvement.</w:t>
      </w:r>
    </w:p>
    <w:p w:rsidR="002C5025" w:rsidRDefault="002C5025">
      <w:pPr>
        <w:pStyle w:val="BodyText"/>
        <w:kinsoku w:val="0"/>
        <w:overflowPunct w:val="0"/>
        <w:spacing w:before="9"/>
        <w:rPr>
          <w:rFonts w:ascii="Garamond" w:hAnsi="Garamond" w:cs="Garamond"/>
          <w:sz w:val="21"/>
          <w:szCs w:val="21"/>
        </w:rPr>
      </w:pPr>
    </w:p>
    <w:p w:rsidR="002C5025" w:rsidRDefault="002C5025">
      <w:pPr>
        <w:pStyle w:val="BodyText"/>
        <w:kinsoku w:val="0"/>
        <w:overflowPunct w:val="0"/>
        <w:ind w:left="119" w:right="102"/>
        <w:rPr>
          <w:rFonts w:ascii="Garamond" w:hAnsi="Garamond" w:cs="Garamond"/>
        </w:rPr>
      </w:pPr>
      <w:r>
        <w:rPr>
          <w:rFonts w:ascii="Garamond" w:hAnsi="Garamond" w:cs="Garamond"/>
        </w:rPr>
        <w:t xml:space="preserve">MassHealth </w:t>
      </w:r>
      <w:r>
        <w:rPr>
          <w:rFonts w:ascii="Garamond" w:hAnsi="Garamond" w:cs="Garamond"/>
          <w:spacing w:val="-3"/>
        </w:rPr>
        <w:t xml:space="preserve">and </w:t>
      </w:r>
      <w:r>
        <w:rPr>
          <w:rFonts w:ascii="Garamond" w:hAnsi="Garamond" w:cs="Garamond"/>
        </w:rPr>
        <w:t xml:space="preserve">the ACO Steering Committee should continuously monitor </w:t>
      </w:r>
      <w:r>
        <w:rPr>
          <w:rFonts w:ascii="Garamond" w:hAnsi="Garamond" w:cs="Garamond"/>
          <w:spacing w:val="-3"/>
        </w:rPr>
        <w:t xml:space="preserve">and </w:t>
      </w:r>
      <w:r>
        <w:rPr>
          <w:rFonts w:ascii="Garamond" w:hAnsi="Garamond" w:cs="Garamond"/>
        </w:rPr>
        <w:t>evaluate the program’s implementation</w:t>
      </w:r>
      <w:r>
        <w:rPr>
          <w:rFonts w:ascii="Garamond" w:hAnsi="Garamond" w:cs="Garamond"/>
          <w:spacing w:val="-13"/>
        </w:rPr>
        <w:t xml:space="preserve"> </w:t>
      </w:r>
      <w:r>
        <w:rPr>
          <w:rFonts w:ascii="Garamond" w:hAnsi="Garamond" w:cs="Garamond"/>
        </w:rPr>
        <w:t>through</w:t>
      </w:r>
      <w:r>
        <w:rPr>
          <w:rFonts w:ascii="Garamond" w:hAnsi="Garamond" w:cs="Garamond"/>
          <w:spacing w:val="-9"/>
        </w:rPr>
        <w:t xml:space="preserve"> </w:t>
      </w:r>
      <w:r>
        <w:rPr>
          <w:rFonts w:ascii="Garamond" w:hAnsi="Garamond" w:cs="Garamond"/>
        </w:rPr>
        <w:t>development</w:t>
      </w:r>
      <w:r>
        <w:rPr>
          <w:rFonts w:ascii="Garamond" w:hAnsi="Garamond" w:cs="Garamond"/>
          <w:spacing w:val="-10"/>
        </w:rPr>
        <w:t xml:space="preserve"> </w:t>
      </w:r>
      <w:r>
        <w:rPr>
          <w:rFonts w:ascii="Garamond" w:hAnsi="Garamond" w:cs="Garamond"/>
        </w:rPr>
        <w:t>and</w:t>
      </w:r>
      <w:r>
        <w:rPr>
          <w:rFonts w:ascii="Garamond" w:hAnsi="Garamond" w:cs="Garamond"/>
          <w:spacing w:val="-9"/>
        </w:rPr>
        <w:t xml:space="preserve"> </w:t>
      </w:r>
      <w:r>
        <w:rPr>
          <w:rFonts w:ascii="Garamond" w:hAnsi="Garamond" w:cs="Garamond"/>
        </w:rPr>
        <w:t>dissemination</w:t>
      </w:r>
      <w:r>
        <w:rPr>
          <w:rFonts w:ascii="Garamond" w:hAnsi="Garamond" w:cs="Garamond"/>
          <w:spacing w:val="-15"/>
        </w:rPr>
        <w:t xml:space="preserve"> </w:t>
      </w:r>
      <w:r>
        <w:rPr>
          <w:rFonts w:ascii="Garamond" w:hAnsi="Garamond" w:cs="Garamond"/>
        </w:rPr>
        <w:t>of</w:t>
      </w:r>
      <w:r>
        <w:rPr>
          <w:rFonts w:ascii="Garamond" w:hAnsi="Garamond" w:cs="Garamond"/>
          <w:spacing w:val="-9"/>
        </w:rPr>
        <w:t xml:space="preserve"> </w:t>
      </w:r>
      <w:r>
        <w:rPr>
          <w:rFonts w:ascii="Garamond" w:hAnsi="Garamond" w:cs="Garamond"/>
        </w:rPr>
        <w:t>a</w:t>
      </w:r>
      <w:r>
        <w:rPr>
          <w:rFonts w:ascii="Garamond" w:hAnsi="Garamond" w:cs="Garamond"/>
          <w:spacing w:val="-12"/>
        </w:rPr>
        <w:t xml:space="preserve"> </w:t>
      </w:r>
      <w:r>
        <w:rPr>
          <w:rFonts w:ascii="Garamond" w:hAnsi="Garamond" w:cs="Garamond"/>
        </w:rPr>
        <w:t>public</w:t>
      </w:r>
      <w:r>
        <w:rPr>
          <w:rFonts w:ascii="Garamond" w:hAnsi="Garamond" w:cs="Garamond"/>
          <w:spacing w:val="-11"/>
        </w:rPr>
        <w:t xml:space="preserve"> </w:t>
      </w:r>
      <w:r>
        <w:rPr>
          <w:rFonts w:ascii="Garamond" w:hAnsi="Garamond" w:cs="Garamond"/>
        </w:rPr>
        <w:t>dashboard.</w:t>
      </w:r>
      <w:r>
        <w:rPr>
          <w:rFonts w:ascii="Garamond" w:hAnsi="Garamond" w:cs="Garamond"/>
          <w:spacing w:val="-11"/>
        </w:rPr>
        <w:t xml:space="preserve"> </w:t>
      </w:r>
      <w:r>
        <w:rPr>
          <w:rFonts w:ascii="Garamond" w:hAnsi="Garamond" w:cs="Garamond"/>
        </w:rPr>
        <w:t>This</w:t>
      </w:r>
      <w:r>
        <w:rPr>
          <w:rFonts w:ascii="Garamond" w:hAnsi="Garamond" w:cs="Garamond"/>
          <w:spacing w:val="-10"/>
        </w:rPr>
        <w:t xml:space="preserve"> </w:t>
      </w:r>
      <w:r>
        <w:rPr>
          <w:rFonts w:ascii="Garamond" w:hAnsi="Garamond" w:cs="Garamond"/>
        </w:rPr>
        <w:t>will</w:t>
      </w:r>
      <w:r>
        <w:rPr>
          <w:rFonts w:ascii="Garamond" w:hAnsi="Garamond" w:cs="Garamond"/>
          <w:spacing w:val="-9"/>
        </w:rPr>
        <w:t xml:space="preserve"> </w:t>
      </w:r>
      <w:r>
        <w:rPr>
          <w:rFonts w:ascii="Garamond" w:hAnsi="Garamond" w:cs="Garamond"/>
        </w:rPr>
        <w:t>also</w:t>
      </w:r>
      <w:r>
        <w:rPr>
          <w:rFonts w:ascii="Garamond" w:hAnsi="Garamond" w:cs="Garamond"/>
          <w:spacing w:val="-10"/>
        </w:rPr>
        <w:t xml:space="preserve"> </w:t>
      </w:r>
      <w:r>
        <w:rPr>
          <w:rFonts w:ascii="Garamond" w:hAnsi="Garamond" w:cs="Garamond"/>
        </w:rPr>
        <w:t>require</w:t>
      </w:r>
      <w:r>
        <w:rPr>
          <w:rFonts w:ascii="Garamond" w:hAnsi="Garamond" w:cs="Garamond"/>
          <w:spacing w:val="-11"/>
        </w:rPr>
        <w:t xml:space="preserve"> </w:t>
      </w:r>
      <w:r>
        <w:rPr>
          <w:rFonts w:ascii="Garamond" w:hAnsi="Garamond" w:cs="Garamond"/>
        </w:rPr>
        <w:t xml:space="preserve">publicly setting system-wide, measurable goals for what we hope to accomplish by moving care to </w:t>
      </w:r>
      <w:r>
        <w:rPr>
          <w:rFonts w:ascii="Garamond" w:hAnsi="Garamond" w:cs="Garamond"/>
          <w:spacing w:val="-3"/>
        </w:rPr>
        <w:t xml:space="preserve">ACOs, </w:t>
      </w:r>
      <w:r>
        <w:rPr>
          <w:rFonts w:ascii="Garamond" w:hAnsi="Garamond" w:cs="Garamond"/>
        </w:rPr>
        <w:t xml:space="preserve">such </w:t>
      </w:r>
      <w:r>
        <w:rPr>
          <w:rFonts w:ascii="Garamond" w:hAnsi="Garamond" w:cs="Garamond"/>
          <w:spacing w:val="-6"/>
        </w:rPr>
        <w:t xml:space="preserve">as </w:t>
      </w:r>
      <w:r>
        <w:rPr>
          <w:rFonts w:ascii="Garamond" w:hAnsi="Garamond" w:cs="Garamond"/>
        </w:rPr>
        <w:t xml:space="preserve">reduced hospitalizations, reduced institutionalization, </w:t>
      </w:r>
      <w:r>
        <w:rPr>
          <w:rFonts w:ascii="Garamond" w:hAnsi="Garamond" w:cs="Garamond"/>
          <w:spacing w:val="-3"/>
        </w:rPr>
        <w:t xml:space="preserve">improved </w:t>
      </w:r>
      <w:r>
        <w:rPr>
          <w:rFonts w:ascii="Garamond" w:hAnsi="Garamond" w:cs="Garamond"/>
        </w:rPr>
        <w:t xml:space="preserve">quality </w:t>
      </w:r>
      <w:r>
        <w:rPr>
          <w:rFonts w:ascii="Garamond" w:hAnsi="Garamond" w:cs="Garamond"/>
          <w:spacing w:val="-3"/>
        </w:rPr>
        <w:t xml:space="preserve">of </w:t>
      </w:r>
      <w:r>
        <w:rPr>
          <w:rFonts w:ascii="Garamond" w:hAnsi="Garamond" w:cs="Garamond"/>
        </w:rPr>
        <w:t xml:space="preserve">life, </w:t>
      </w:r>
      <w:r>
        <w:rPr>
          <w:rFonts w:ascii="Garamond" w:hAnsi="Garamond" w:cs="Garamond"/>
          <w:spacing w:val="-3"/>
        </w:rPr>
        <w:t xml:space="preserve">improved </w:t>
      </w:r>
      <w:r>
        <w:rPr>
          <w:rFonts w:ascii="Garamond" w:hAnsi="Garamond" w:cs="Garamond"/>
        </w:rPr>
        <w:t>health outcomes, and</w:t>
      </w:r>
      <w:r>
        <w:rPr>
          <w:rFonts w:ascii="Garamond" w:hAnsi="Garamond" w:cs="Garamond"/>
          <w:spacing w:val="-12"/>
        </w:rPr>
        <w:t xml:space="preserve"> </w:t>
      </w:r>
      <w:r>
        <w:rPr>
          <w:rFonts w:ascii="Garamond" w:hAnsi="Garamond" w:cs="Garamond"/>
        </w:rPr>
        <w:t>reduction</w:t>
      </w:r>
      <w:r>
        <w:rPr>
          <w:rFonts w:ascii="Garamond" w:hAnsi="Garamond" w:cs="Garamond"/>
          <w:spacing w:val="-12"/>
        </w:rPr>
        <w:t xml:space="preserve"> </w:t>
      </w:r>
      <w:r>
        <w:rPr>
          <w:rFonts w:ascii="Garamond" w:hAnsi="Garamond" w:cs="Garamond"/>
        </w:rPr>
        <w:t>of</w:t>
      </w:r>
      <w:r>
        <w:rPr>
          <w:rFonts w:ascii="Garamond" w:hAnsi="Garamond" w:cs="Garamond"/>
          <w:spacing w:val="-11"/>
        </w:rPr>
        <w:t xml:space="preserve"> </w:t>
      </w:r>
      <w:r>
        <w:rPr>
          <w:rFonts w:ascii="Garamond" w:hAnsi="Garamond" w:cs="Garamond"/>
        </w:rPr>
        <w:t>health</w:t>
      </w:r>
      <w:r>
        <w:rPr>
          <w:rFonts w:ascii="Garamond" w:hAnsi="Garamond" w:cs="Garamond"/>
          <w:spacing w:val="-11"/>
        </w:rPr>
        <w:t xml:space="preserve"> </w:t>
      </w:r>
      <w:r>
        <w:rPr>
          <w:rFonts w:ascii="Garamond" w:hAnsi="Garamond" w:cs="Garamond"/>
        </w:rPr>
        <w:t>disparities.</w:t>
      </w:r>
    </w:p>
    <w:p w:rsidR="002C5025" w:rsidRDefault="002C5025">
      <w:pPr>
        <w:pStyle w:val="BodyText"/>
        <w:kinsoku w:val="0"/>
        <w:overflowPunct w:val="0"/>
        <w:rPr>
          <w:rFonts w:ascii="Garamond" w:hAnsi="Garamond" w:cs="Garamond"/>
          <w:sz w:val="21"/>
          <w:szCs w:val="21"/>
        </w:rPr>
      </w:pPr>
    </w:p>
    <w:p w:rsidR="002C5025" w:rsidRDefault="002C5025">
      <w:pPr>
        <w:pStyle w:val="BodyText"/>
        <w:kinsoku w:val="0"/>
        <w:overflowPunct w:val="0"/>
        <w:spacing w:line="264" w:lineRule="exact"/>
        <w:ind w:left="120" w:right="225"/>
        <w:rPr>
          <w:rFonts w:ascii="Garamond" w:hAnsi="Garamond" w:cs="Garamond"/>
          <w:b/>
          <w:bCs/>
          <w:i/>
          <w:iCs/>
          <w:w w:val="95"/>
          <w:sz w:val="24"/>
          <w:szCs w:val="24"/>
        </w:rPr>
      </w:pPr>
      <w:bookmarkStart w:id="153" w:name="Member_engagement_in_care"/>
      <w:bookmarkEnd w:id="153"/>
      <w:r>
        <w:rPr>
          <w:rFonts w:ascii="Garamond" w:hAnsi="Garamond" w:cs="Garamond"/>
          <w:b/>
          <w:bCs/>
          <w:i/>
          <w:iCs/>
          <w:w w:val="95"/>
          <w:sz w:val="24"/>
          <w:szCs w:val="24"/>
        </w:rPr>
        <w:t>Member</w:t>
      </w:r>
      <w:r w:rsidR="00CF30C1">
        <w:rPr>
          <w:rFonts w:ascii="Garamond" w:hAnsi="Garamond" w:cs="Garamond"/>
          <w:b/>
          <w:bCs/>
          <w:i/>
          <w:iCs/>
          <w:w w:val="95"/>
          <w:sz w:val="24"/>
          <w:szCs w:val="24"/>
        </w:rPr>
        <w:t xml:space="preserve"> </w:t>
      </w:r>
      <w:r>
        <w:rPr>
          <w:rFonts w:ascii="Garamond" w:hAnsi="Garamond" w:cs="Garamond"/>
          <w:b/>
          <w:bCs/>
          <w:i/>
          <w:iCs/>
          <w:w w:val="95"/>
          <w:sz w:val="24"/>
          <w:szCs w:val="24"/>
        </w:rPr>
        <w:t>engagement</w:t>
      </w:r>
      <w:r w:rsidR="00CF30C1">
        <w:rPr>
          <w:rFonts w:ascii="Garamond" w:hAnsi="Garamond" w:cs="Garamond"/>
          <w:b/>
          <w:bCs/>
          <w:i/>
          <w:iCs/>
          <w:w w:val="95"/>
          <w:sz w:val="24"/>
          <w:szCs w:val="24"/>
        </w:rPr>
        <w:t xml:space="preserve"> </w:t>
      </w:r>
      <w:r>
        <w:rPr>
          <w:rFonts w:ascii="Garamond" w:hAnsi="Garamond" w:cs="Garamond"/>
          <w:b/>
          <w:bCs/>
          <w:i/>
          <w:iCs/>
          <w:w w:val="95"/>
          <w:sz w:val="24"/>
          <w:szCs w:val="24"/>
        </w:rPr>
        <w:t>in</w:t>
      </w:r>
      <w:r w:rsidR="00CF30C1">
        <w:rPr>
          <w:rFonts w:ascii="Garamond" w:hAnsi="Garamond" w:cs="Garamond"/>
          <w:b/>
          <w:bCs/>
          <w:i/>
          <w:iCs/>
          <w:w w:val="95"/>
          <w:sz w:val="24"/>
          <w:szCs w:val="24"/>
        </w:rPr>
        <w:t xml:space="preserve"> </w:t>
      </w:r>
      <w:r>
        <w:rPr>
          <w:rFonts w:ascii="Garamond" w:hAnsi="Garamond" w:cs="Garamond"/>
          <w:b/>
          <w:bCs/>
          <w:i/>
          <w:iCs/>
          <w:w w:val="95"/>
          <w:sz w:val="24"/>
          <w:szCs w:val="24"/>
        </w:rPr>
        <w:t>care</w:t>
      </w:r>
    </w:p>
    <w:p w:rsidR="002C5025" w:rsidRDefault="002C5025">
      <w:pPr>
        <w:pStyle w:val="BodyText"/>
        <w:kinsoku w:val="0"/>
        <w:overflowPunct w:val="0"/>
        <w:ind w:left="119" w:right="152"/>
        <w:rPr>
          <w:rFonts w:ascii="Garamond" w:hAnsi="Garamond" w:cs="Garamond"/>
          <w:position w:val="5"/>
          <w:sz w:val="14"/>
          <w:szCs w:val="14"/>
        </w:rPr>
      </w:pPr>
      <w:r>
        <w:rPr>
          <w:rFonts w:ascii="Garamond" w:hAnsi="Garamond" w:cs="Garamond"/>
        </w:rPr>
        <w:t>Numerous</w:t>
      </w:r>
      <w:r>
        <w:rPr>
          <w:rFonts w:ascii="Garamond" w:hAnsi="Garamond" w:cs="Garamond"/>
          <w:spacing w:val="-11"/>
        </w:rPr>
        <w:t xml:space="preserve"> </w:t>
      </w:r>
      <w:r>
        <w:rPr>
          <w:rFonts w:ascii="Garamond" w:hAnsi="Garamond" w:cs="Garamond"/>
        </w:rPr>
        <w:t>studies</w:t>
      </w:r>
      <w:r>
        <w:rPr>
          <w:rFonts w:ascii="Garamond" w:hAnsi="Garamond" w:cs="Garamond"/>
          <w:spacing w:val="-9"/>
        </w:rPr>
        <w:t xml:space="preserve"> </w:t>
      </w:r>
      <w:r>
        <w:rPr>
          <w:rFonts w:ascii="Garamond" w:hAnsi="Garamond" w:cs="Garamond"/>
        </w:rPr>
        <w:t>show</w:t>
      </w:r>
      <w:r>
        <w:rPr>
          <w:rFonts w:ascii="Garamond" w:hAnsi="Garamond" w:cs="Garamond"/>
          <w:spacing w:val="-10"/>
        </w:rPr>
        <w:t xml:space="preserve"> </w:t>
      </w:r>
      <w:r>
        <w:rPr>
          <w:rFonts w:ascii="Garamond" w:hAnsi="Garamond" w:cs="Garamond"/>
        </w:rPr>
        <w:t>that</w:t>
      </w:r>
      <w:r>
        <w:rPr>
          <w:rFonts w:ascii="Garamond" w:hAnsi="Garamond" w:cs="Garamond"/>
          <w:spacing w:val="-12"/>
        </w:rPr>
        <w:t xml:space="preserve"> </w:t>
      </w:r>
      <w:r>
        <w:rPr>
          <w:rFonts w:ascii="Garamond" w:hAnsi="Garamond" w:cs="Garamond"/>
        </w:rPr>
        <w:t>individuals</w:t>
      </w:r>
      <w:r>
        <w:rPr>
          <w:rFonts w:ascii="Garamond" w:hAnsi="Garamond" w:cs="Garamond"/>
          <w:spacing w:val="-6"/>
        </w:rPr>
        <w:t xml:space="preserve"> </w:t>
      </w:r>
      <w:r>
        <w:rPr>
          <w:rFonts w:ascii="Garamond" w:hAnsi="Garamond" w:cs="Garamond"/>
          <w:spacing w:val="-3"/>
        </w:rPr>
        <w:t>who</w:t>
      </w:r>
      <w:r>
        <w:rPr>
          <w:rFonts w:ascii="Garamond" w:hAnsi="Garamond" w:cs="Garamond"/>
          <w:spacing w:val="-10"/>
        </w:rPr>
        <w:t xml:space="preserve"> </w:t>
      </w:r>
      <w:r>
        <w:rPr>
          <w:rFonts w:ascii="Garamond" w:hAnsi="Garamond" w:cs="Garamond"/>
        </w:rPr>
        <w:t>are</w:t>
      </w:r>
      <w:r>
        <w:rPr>
          <w:rFonts w:ascii="Garamond" w:hAnsi="Garamond" w:cs="Garamond"/>
          <w:spacing w:val="-10"/>
        </w:rPr>
        <w:t xml:space="preserve"> </w:t>
      </w:r>
      <w:r>
        <w:rPr>
          <w:rFonts w:ascii="Garamond" w:hAnsi="Garamond" w:cs="Garamond"/>
        </w:rPr>
        <w:t>more</w:t>
      </w:r>
      <w:r>
        <w:rPr>
          <w:rFonts w:ascii="Garamond" w:hAnsi="Garamond" w:cs="Garamond"/>
          <w:spacing w:val="-8"/>
        </w:rPr>
        <w:t xml:space="preserve"> </w:t>
      </w:r>
      <w:r>
        <w:rPr>
          <w:rFonts w:ascii="Garamond" w:hAnsi="Garamond" w:cs="Garamond"/>
        </w:rPr>
        <w:t>actively</w:t>
      </w:r>
      <w:r>
        <w:rPr>
          <w:rFonts w:ascii="Garamond" w:hAnsi="Garamond" w:cs="Garamond"/>
          <w:spacing w:val="-10"/>
        </w:rPr>
        <w:t xml:space="preserve"> </w:t>
      </w:r>
      <w:r>
        <w:rPr>
          <w:rFonts w:ascii="Garamond" w:hAnsi="Garamond" w:cs="Garamond"/>
        </w:rPr>
        <w:t>involved</w:t>
      </w:r>
      <w:r>
        <w:rPr>
          <w:rFonts w:ascii="Garamond" w:hAnsi="Garamond" w:cs="Garamond"/>
          <w:spacing w:val="-7"/>
        </w:rPr>
        <w:t xml:space="preserve"> </w:t>
      </w:r>
      <w:r>
        <w:rPr>
          <w:rFonts w:ascii="Garamond" w:hAnsi="Garamond" w:cs="Garamond"/>
        </w:rPr>
        <w:t>in</w:t>
      </w:r>
      <w:r>
        <w:rPr>
          <w:rFonts w:ascii="Garamond" w:hAnsi="Garamond" w:cs="Garamond"/>
          <w:spacing w:val="-10"/>
        </w:rPr>
        <w:t xml:space="preserve"> </w:t>
      </w:r>
      <w:r>
        <w:rPr>
          <w:rFonts w:ascii="Garamond" w:hAnsi="Garamond" w:cs="Garamond"/>
        </w:rPr>
        <w:t>their</w:t>
      </w:r>
      <w:r>
        <w:rPr>
          <w:rFonts w:ascii="Garamond" w:hAnsi="Garamond" w:cs="Garamond"/>
          <w:spacing w:val="-9"/>
        </w:rPr>
        <w:t xml:space="preserve"> </w:t>
      </w:r>
      <w:r>
        <w:rPr>
          <w:rFonts w:ascii="Garamond" w:hAnsi="Garamond" w:cs="Garamond"/>
        </w:rPr>
        <w:t>health</w:t>
      </w:r>
      <w:r>
        <w:rPr>
          <w:rFonts w:ascii="Garamond" w:hAnsi="Garamond" w:cs="Garamond"/>
          <w:spacing w:val="-9"/>
        </w:rPr>
        <w:t xml:space="preserve"> </w:t>
      </w:r>
      <w:r>
        <w:rPr>
          <w:rFonts w:ascii="Garamond" w:hAnsi="Garamond" w:cs="Garamond"/>
        </w:rPr>
        <w:t>care</w:t>
      </w:r>
      <w:r>
        <w:rPr>
          <w:rFonts w:ascii="Garamond" w:hAnsi="Garamond" w:cs="Garamond"/>
          <w:spacing w:val="-8"/>
        </w:rPr>
        <w:t xml:space="preserve"> </w:t>
      </w:r>
      <w:r>
        <w:rPr>
          <w:rFonts w:ascii="Garamond" w:hAnsi="Garamond" w:cs="Garamond"/>
        </w:rPr>
        <w:t>experience</w:t>
      </w:r>
      <w:r>
        <w:rPr>
          <w:rFonts w:ascii="Garamond" w:hAnsi="Garamond" w:cs="Garamond"/>
          <w:spacing w:val="-10"/>
        </w:rPr>
        <w:t xml:space="preserve"> </w:t>
      </w:r>
      <w:r>
        <w:rPr>
          <w:rFonts w:ascii="Garamond" w:hAnsi="Garamond" w:cs="Garamond"/>
        </w:rPr>
        <w:t xml:space="preserve">better health </w:t>
      </w:r>
      <w:r>
        <w:rPr>
          <w:rFonts w:ascii="Garamond" w:hAnsi="Garamond" w:cs="Garamond"/>
          <w:spacing w:val="-3"/>
        </w:rPr>
        <w:t xml:space="preserve">outcomes </w:t>
      </w:r>
      <w:r>
        <w:rPr>
          <w:rFonts w:ascii="Garamond" w:hAnsi="Garamond" w:cs="Garamond"/>
        </w:rPr>
        <w:t>at lower costs.</w:t>
      </w:r>
      <w:r>
        <w:rPr>
          <w:rFonts w:ascii="Garamond" w:hAnsi="Garamond" w:cs="Garamond"/>
          <w:position w:val="5"/>
          <w:sz w:val="14"/>
          <w:szCs w:val="14"/>
        </w:rPr>
        <w:t xml:space="preserve">7 </w:t>
      </w:r>
      <w:r>
        <w:rPr>
          <w:rFonts w:ascii="Garamond" w:hAnsi="Garamond" w:cs="Garamond"/>
        </w:rPr>
        <w:t xml:space="preserve">Many health care organizations are employing strategies to better engage individuals, such as educating them about their </w:t>
      </w:r>
      <w:r>
        <w:rPr>
          <w:rFonts w:ascii="Garamond" w:hAnsi="Garamond" w:cs="Garamond"/>
          <w:spacing w:val="-3"/>
        </w:rPr>
        <w:t xml:space="preserve">conditions </w:t>
      </w:r>
      <w:r>
        <w:rPr>
          <w:rFonts w:ascii="Garamond" w:hAnsi="Garamond" w:cs="Garamond"/>
        </w:rPr>
        <w:t>and involving them more fully in their care.</w:t>
      </w:r>
      <w:r>
        <w:rPr>
          <w:rFonts w:ascii="Garamond" w:hAnsi="Garamond" w:cs="Garamond"/>
          <w:position w:val="5"/>
          <w:sz w:val="14"/>
          <w:szCs w:val="14"/>
        </w:rPr>
        <w:t xml:space="preserve">8 </w:t>
      </w:r>
      <w:r>
        <w:rPr>
          <w:rFonts w:ascii="Garamond" w:hAnsi="Garamond" w:cs="Garamond"/>
        </w:rPr>
        <w:t xml:space="preserve">Such engagement allows individuals and </w:t>
      </w:r>
      <w:r>
        <w:rPr>
          <w:rFonts w:ascii="Garamond" w:hAnsi="Garamond" w:cs="Garamond"/>
          <w:spacing w:val="-3"/>
        </w:rPr>
        <w:t xml:space="preserve">providers </w:t>
      </w:r>
      <w:r>
        <w:rPr>
          <w:rFonts w:ascii="Garamond" w:hAnsi="Garamond" w:cs="Garamond"/>
        </w:rPr>
        <w:t>to be full partners in care, improving outcomes and lowering costs.</w:t>
      </w:r>
      <w:r>
        <w:rPr>
          <w:rFonts w:ascii="Garamond" w:hAnsi="Garamond" w:cs="Garamond"/>
          <w:position w:val="5"/>
          <w:sz w:val="14"/>
          <w:szCs w:val="14"/>
        </w:rPr>
        <w:t>9</w:t>
      </w:r>
    </w:p>
    <w:p w:rsidR="002C5025" w:rsidRDefault="002C5025">
      <w:pPr>
        <w:pStyle w:val="BodyText"/>
        <w:kinsoku w:val="0"/>
        <w:overflowPunct w:val="0"/>
        <w:spacing w:before="6"/>
        <w:rPr>
          <w:rFonts w:ascii="Garamond" w:hAnsi="Garamond" w:cs="Garamond"/>
        </w:rPr>
      </w:pPr>
    </w:p>
    <w:p w:rsidR="002C5025" w:rsidRDefault="002C5025">
      <w:pPr>
        <w:pStyle w:val="BodyText"/>
        <w:kinsoku w:val="0"/>
        <w:overflowPunct w:val="0"/>
        <w:spacing w:line="244" w:lineRule="exact"/>
        <w:ind w:left="120" w:right="225"/>
        <w:rPr>
          <w:rFonts w:ascii="Garamond" w:hAnsi="Garamond" w:cs="Garamond"/>
        </w:rPr>
      </w:pPr>
      <w:r>
        <w:rPr>
          <w:rFonts w:ascii="Garamond" w:hAnsi="Garamond" w:cs="Garamond"/>
        </w:rPr>
        <w:t>MassHealth should encourage the following approaches to achieve member engagement in direct care:</w:t>
      </w:r>
    </w:p>
    <w:p w:rsidR="002C5025" w:rsidRDefault="002C5025">
      <w:pPr>
        <w:pStyle w:val="ListParagraph"/>
        <w:numPr>
          <w:ilvl w:val="2"/>
          <w:numId w:val="49"/>
        </w:numPr>
        <w:tabs>
          <w:tab w:val="left" w:pos="841"/>
        </w:tabs>
        <w:kinsoku w:val="0"/>
        <w:overflowPunct w:val="0"/>
        <w:spacing w:before="19" w:line="248" w:lineRule="exact"/>
        <w:ind w:left="839" w:right="310" w:hanging="360"/>
        <w:rPr>
          <w:rFonts w:ascii="Garamond" w:hAnsi="Garamond" w:cs="Garamond"/>
          <w:spacing w:val="-3"/>
          <w:sz w:val="22"/>
          <w:szCs w:val="22"/>
        </w:rPr>
      </w:pPr>
      <w:r>
        <w:rPr>
          <w:rFonts w:ascii="Garamond" w:hAnsi="Garamond" w:cs="Garamond"/>
          <w:i/>
          <w:iCs/>
          <w:sz w:val="22"/>
          <w:szCs w:val="22"/>
        </w:rPr>
        <w:t>Use</w:t>
      </w:r>
      <w:r>
        <w:rPr>
          <w:rFonts w:ascii="Garamond" w:hAnsi="Garamond" w:cs="Garamond"/>
          <w:i/>
          <w:iCs/>
          <w:spacing w:val="-8"/>
          <w:sz w:val="22"/>
          <w:szCs w:val="22"/>
        </w:rPr>
        <w:t xml:space="preserve"> </w:t>
      </w:r>
      <w:r>
        <w:rPr>
          <w:rFonts w:ascii="Garamond" w:hAnsi="Garamond" w:cs="Garamond"/>
          <w:i/>
          <w:iCs/>
          <w:sz w:val="22"/>
          <w:szCs w:val="22"/>
        </w:rPr>
        <w:t>shared</w:t>
      </w:r>
      <w:r>
        <w:rPr>
          <w:rFonts w:ascii="Garamond" w:hAnsi="Garamond" w:cs="Garamond"/>
          <w:i/>
          <w:iCs/>
          <w:spacing w:val="-7"/>
          <w:sz w:val="22"/>
          <w:szCs w:val="22"/>
        </w:rPr>
        <w:t xml:space="preserve"> </w:t>
      </w:r>
      <w:r>
        <w:rPr>
          <w:rFonts w:ascii="Garamond" w:hAnsi="Garamond" w:cs="Garamond"/>
          <w:i/>
          <w:iCs/>
          <w:sz w:val="22"/>
          <w:szCs w:val="22"/>
        </w:rPr>
        <w:t>decision</w:t>
      </w:r>
      <w:r>
        <w:rPr>
          <w:rFonts w:ascii="Garamond" w:hAnsi="Garamond" w:cs="Garamond"/>
          <w:i/>
          <w:iCs/>
          <w:spacing w:val="-14"/>
          <w:sz w:val="22"/>
          <w:szCs w:val="22"/>
        </w:rPr>
        <w:t xml:space="preserve"> </w:t>
      </w:r>
      <w:r>
        <w:rPr>
          <w:rFonts w:ascii="Garamond" w:hAnsi="Garamond" w:cs="Garamond"/>
          <w:i/>
          <w:iCs/>
          <w:sz w:val="22"/>
          <w:szCs w:val="22"/>
        </w:rPr>
        <w:t>making</w:t>
      </w:r>
      <w:r>
        <w:rPr>
          <w:rFonts w:ascii="Garamond" w:hAnsi="Garamond" w:cs="Garamond"/>
          <w:sz w:val="22"/>
          <w:szCs w:val="22"/>
        </w:rPr>
        <w:t>.</w:t>
      </w:r>
      <w:r>
        <w:rPr>
          <w:rFonts w:ascii="Garamond" w:hAnsi="Garamond" w:cs="Garamond"/>
          <w:spacing w:val="-9"/>
          <w:sz w:val="22"/>
          <w:szCs w:val="22"/>
        </w:rPr>
        <w:t xml:space="preserve"> </w:t>
      </w:r>
      <w:r>
        <w:rPr>
          <w:rFonts w:ascii="Garamond" w:hAnsi="Garamond" w:cs="Garamond"/>
          <w:sz w:val="22"/>
          <w:szCs w:val="22"/>
        </w:rPr>
        <w:t>In</w:t>
      </w:r>
      <w:r>
        <w:rPr>
          <w:rFonts w:ascii="Garamond" w:hAnsi="Garamond" w:cs="Garamond"/>
          <w:spacing w:val="-7"/>
          <w:sz w:val="22"/>
          <w:szCs w:val="22"/>
        </w:rPr>
        <w:t xml:space="preserve"> </w:t>
      </w:r>
      <w:r>
        <w:rPr>
          <w:rFonts w:ascii="Garamond" w:hAnsi="Garamond" w:cs="Garamond"/>
          <w:sz w:val="22"/>
          <w:szCs w:val="22"/>
        </w:rPr>
        <w:t>this</w:t>
      </w:r>
      <w:r>
        <w:rPr>
          <w:rFonts w:ascii="Garamond" w:hAnsi="Garamond" w:cs="Garamond"/>
          <w:spacing w:val="-6"/>
          <w:sz w:val="22"/>
          <w:szCs w:val="22"/>
        </w:rPr>
        <w:t xml:space="preserve"> </w:t>
      </w:r>
      <w:r>
        <w:rPr>
          <w:rFonts w:ascii="Garamond" w:hAnsi="Garamond" w:cs="Garamond"/>
          <w:spacing w:val="-3"/>
          <w:sz w:val="22"/>
          <w:szCs w:val="22"/>
        </w:rPr>
        <w:t>approach,</w:t>
      </w:r>
      <w:r>
        <w:rPr>
          <w:rFonts w:ascii="Garamond" w:hAnsi="Garamond" w:cs="Garamond"/>
          <w:spacing w:val="-9"/>
          <w:sz w:val="22"/>
          <w:szCs w:val="22"/>
        </w:rPr>
        <w:t xml:space="preserve"> </w:t>
      </w:r>
      <w:r>
        <w:rPr>
          <w:rFonts w:ascii="Garamond" w:hAnsi="Garamond" w:cs="Garamond"/>
          <w:sz w:val="22"/>
          <w:szCs w:val="22"/>
        </w:rPr>
        <w:t>members</w:t>
      </w:r>
      <w:r>
        <w:rPr>
          <w:rFonts w:ascii="Garamond" w:hAnsi="Garamond" w:cs="Garamond"/>
          <w:spacing w:val="-6"/>
          <w:sz w:val="22"/>
          <w:szCs w:val="22"/>
        </w:rPr>
        <w:t xml:space="preserve"> </w:t>
      </w:r>
      <w:r>
        <w:rPr>
          <w:rFonts w:ascii="Garamond" w:hAnsi="Garamond" w:cs="Garamond"/>
          <w:sz w:val="22"/>
          <w:szCs w:val="22"/>
        </w:rPr>
        <w:t>and</w:t>
      </w:r>
      <w:r>
        <w:rPr>
          <w:rFonts w:ascii="Garamond" w:hAnsi="Garamond" w:cs="Garamond"/>
          <w:spacing w:val="-11"/>
          <w:sz w:val="22"/>
          <w:szCs w:val="22"/>
        </w:rPr>
        <w:t xml:space="preserve"> </w:t>
      </w:r>
      <w:r>
        <w:rPr>
          <w:rFonts w:ascii="Garamond" w:hAnsi="Garamond" w:cs="Garamond"/>
          <w:sz w:val="22"/>
          <w:szCs w:val="22"/>
        </w:rPr>
        <w:t>providers</w:t>
      </w:r>
      <w:r>
        <w:rPr>
          <w:rFonts w:ascii="Garamond" w:hAnsi="Garamond" w:cs="Garamond"/>
          <w:spacing w:val="-6"/>
          <w:sz w:val="22"/>
          <w:szCs w:val="22"/>
        </w:rPr>
        <w:t xml:space="preserve"> </w:t>
      </w:r>
      <w:r>
        <w:rPr>
          <w:rFonts w:ascii="Garamond" w:hAnsi="Garamond" w:cs="Garamond"/>
          <w:sz w:val="22"/>
          <w:szCs w:val="22"/>
        </w:rPr>
        <w:t>together</w:t>
      </w:r>
      <w:r>
        <w:rPr>
          <w:rFonts w:ascii="Garamond" w:hAnsi="Garamond" w:cs="Garamond"/>
          <w:spacing w:val="-7"/>
          <w:sz w:val="22"/>
          <w:szCs w:val="22"/>
        </w:rPr>
        <w:t xml:space="preserve"> </w:t>
      </w:r>
      <w:r>
        <w:rPr>
          <w:rFonts w:ascii="Garamond" w:hAnsi="Garamond" w:cs="Garamond"/>
          <w:sz w:val="22"/>
          <w:szCs w:val="22"/>
        </w:rPr>
        <w:t>consider</w:t>
      </w:r>
      <w:r>
        <w:rPr>
          <w:rFonts w:ascii="Garamond" w:hAnsi="Garamond" w:cs="Garamond"/>
          <w:spacing w:val="-8"/>
          <w:sz w:val="22"/>
          <w:szCs w:val="22"/>
        </w:rPr>
        <w:t xml:space="preserve"> </w:t>
      </w:r>
      <w:r>
        <w:rPr>
          <w:rFonts w:ascii="Garamond" w:hAnsi="Garamond" w:cs="Garamond"/>
          <w:sz w:val="22"/>
          <w:szCs w:val="22"/>
        </w:rPr>
        <w:t>the</w:t>
      </w:r>
      <w:r>
        <w:rPr>
          <w:rFonts w:ascii="Garamond" w:hAnsi="Garamond" w:cs="Garamond"/>
          <w:spacing w:val="-7"/>
          <w:sz w:val="22"/>
          <w:szCs w:val="22"/>
        </w:rPr>
        <w:t xml:space="preserve"> </w:t>
      </w:r>
      <w:r>
        <w:rPr>
          <w:rFonts w:ascii="Garamond" w:hAnsi="Garamond" w:cs="Garamond"/>
          <w:sz w:val="22"/>
          <w:szCs w:val="22"/>
        </w:rPr>
        <w:t>member’s condition,</w:t>
      </w:r>
      <w:r>
        <w:rPr>
          <w:rFonts w:ascii="Garamond" w:hAnsi="Garamond" w:cs="Garamond"/>
          <w:spacing w:val="-10"/>
          <w:sz w:val="22"/>
          <w:szCs w:val="22"/>
        </w:rPr>
        <w:t xml:space="preserve"> </w:t>
      </w:r>
      <w:r>
        <w:rPr>
          <w:rFonts w:ascii="Garamond" w:hAnsi="Garamond" w:cs="Garamond"/>
          <w:sz w:val="22"/>
          <w:szCs w:val="22"/>
        </w:rPr>
        <w:t>treatment</w:t>
      </w:r>
      <w:r>
        <w:rPr>
          <w:rFonts w:ascii="Garamond" w:hAnsi="Garamond" w:cs="Garamond"/>
          <w:spacing w:val="-11"/>
          <w:sz w:val="22"/>
          <w:szCs w:val="22"/>
        </w:rPr>
        <w:t xml:space="preserve"> </w:t>
      </w:r>
      <w:r>
        <w:rPr>
          <w:rFonts w:ascii="Garamond" w:hAnsi="Garamond" w:cs="Garamond"/>
          <w:sz w:val="22"/>
          <w:szCs w:val="22"/>
        </w:rPr>
        <w:t>options,</w:t>
      </w:r>
      <w:r>
        <w:rPr>
          <w:rFonts w:ascii="Garamond" w:hAnsi="Garamond" w:cs="Garamond"/>
          <w:spacing w:val="-10"/>
          <w:sz w:val="22"/>
          <w:szCs w:val="22"/>
        </w:rPr>
        <w:t xml:space="preserve"> </w:t>
      </w:r>
      <w:r>
        <w:rPr>
          <w:rFonts w:ascii="Garamond" w:hAnsi="Garamond" w:cs="Garamond"/>
          <w:sz w:val="22"/>
          <w:szCs w:val="22"/>
        </w:rPr>
        <w:t>the</w:t>
      </w:r>
      <w:r>
        <w:rPr>
          <w:rFonts w:ascii="Garamond" w:hAnsi="Garamond" w:cs="Garamond"/>
          <w:spacing w:val="-10"/>
          <w:sz w:val="22"/>
          <w:szCs w:val="22"/>
        </w:rPr>
        <w:t xml:space="preserve"> </w:t>
      </w:r>
      <w:r>
        <w:rPr>
          <w:rFonts w:ascii="Garamond" w:hAnsi="Garamond" w:cs="Garamond"/>
          <w:sz w:val="22"/>
          <w:szCs w:val="22"/>
        </w:rPr>
        <w:t>medical</w:t>
      </w:r>
      <w:r>
        <w:rPr>
          <w:rFonts w:ascii="Garamond" w:hAnsi="Garamond" w:cs="Garamond"/>
          <w:spacing w:val="-7"/>
          <w:sz w:val="22"/>
          <w:szCs w:val="22"/>
        </w:rPr>
        <w:t xml:space="preserve"> </w:t>
      </w:r>
      <w:r>
        <w:rPr>
          <w:rFonts w:ascii="Garamond" w:hAnsi="Garamond" w:cs="Garamond"/>
          <w:sz w:val="22"/>
          <w:szCs w:val="22"/>
        </w:rPr>
        <w:t>evidence</w:t>
      </w:r>
      <w:r>
        <w:rPr>
          <w:rFonts w:ascii="Garamond" w:hAnsi="Garamond" w:cs="Garamond"/>
          <w:spacing w:val="-8"/>
          <w:sz w:val="22"/>
          <w:szCs w:val="22"/>
        </w:rPr>
        <w:t xml:space="preserve"> </w:t>
      </w:r>
      <w:r>
        <w:rPr>
          <w:rFonts w:ascii="Garamond" w:hAnsi="Garamond" w:cs="Garamond"/>
          <w:spacing w:val="-3"/>
          <w:sz w:val="22"/>
          <w:szCs w:val="22"/>
        </w:rPr>
        <w:t>behind</w:t>
      </w:r>
      <w:r>
        <w:rPr>
          <w:rFonts w:ascii="Garamond" w:hAnsi="Garamond" w:cs="Garamond"/>
          <w:spacing w:val="-11"/>
          <w:sz w:val="22"/>
          <w:szCs w:val="22"/>
        </w:rPr>
        <w:t xml:space="preserve"> </w:t>
      </w:r>
      <w:r>
        <w:rPr>
          <w:rFonts w:ascii="Garamond" w:hAnsi="Garamond" w:cs="Garamond"/>
          <w:sz w:val="22"/>
          <w:szCs w:val="22"/>
        </w:rPr>
        <w:t>the</w:t>
      </w:r>
      <w:r>
        <w:rPr>
          <w:rFonts w:ascii="Garamond" w:hAnsi="Garamond" w:cs="Garamond"/>
          <w:spacing w:val="-10"/>
          <w:sz w:val="22"/>
          <w:szCs w:val="22"/>
        </w:rPr>
        <w:t xml:space="preserve"> </w:t>
      </w:r>
      <w:r>
        <w:rPr>
          <w:rFonts w:ascii="Garamond" w:hAnsi="Garamond" w:cs="Garamond"/>
          <w:sz w:val="22"/>
          <w:szCs w:val="22"/>
        </w:rPr>
        <w:t>treatment</w:t>
      </w:r>
      <w:r>
        <w:rPr>
          <w:rFonts w:ascii="Garamond" w:hAnsi="Garamond" w:cs="Garamond"/>
          <w:spacing w:val="-7"/>
          <w:sz w:val="22"/>
          <w:szCs w:val="22"/>
        </w:rPr>
        <w:t xml:space="preserve"> </w:t>
      </w:r>
      <w:r>
        <w:rPr>
          <w:rFonts w:ascii="Garamond" w:hAnsi="Garamond" w:cs="Garamond"/>
          <w:sz w:val="22"/>
          <w:szCs w:val="22"/>
        </w:rPr>
        <w:t>options,</w:t>
      </w:r>
      <w:r>
        <w:rPr>
          <w:rFonts w:ascii="Garamond" w:hAnsi="Garamond" w:cs="Garamond"/>
          <w:spacing w:val="-8"/>
          <w:sz w:val="22"/>
          <w:szCs w:val="22"/>
        </w:rPr>
        <w:t xml:space="preserve"> </w:t>
      </w:r>
      <w:r>
        <w:rPr>
          <w:rFonts w:ascii="Garamond" w:hAnsi="Garamond" w:cs="Garamond"/>
          <w:sz w:val="22"/>
          <w:szCs w:val="22"/>
        </w:rPr>
        <w:t>the</w:t>
      </w:r>
      <w:r>
        <w:rPr>
          <w:rFonts w:ascii="Garamond" w:hAnsi="Garamond" w:cs="Garamond"/>
          <w:spacing w:val="-10"/>
          <w:sz w:val="22"/>
          <w:szCs w:val="22"/>
        </w:rPr>
        <w:t xml:space="preserve"> </w:t>
      </w:r>
      <w:r>
        <w:rPr>
          <w:rFonts w:ascii="Garamond" w:hAnsi="Garamond" w:cs="Garamond"/>
          <w:sz w:val="22"/>
          <w:szCs w:val="22"/>
        </w:rPr>
        <w:t>benefits</w:t>
      </w:r>
      <w:r>
        <w:rPr>
          <w:rFonts w:ascii="Garamond" w:hAnsi="Garamond" w:cs="Garamond"/>
          <w:spacing w:val="-6"/>
          <w:sz w:val="22"/>
          <w:szCs w:val="22"/>
        </w:rPr>
        <w:t xml:space="preserve"> </w:t>
      </w:r>
      <w:r>
        <w:rPr>
          <w:rFonts w:ascii="Garamond" w:hAnsi="Garamond" w:cs="Garamond"/>
          <w:spacing w:val="-3"/>
          <w:sz w:val="22"/>
          <w:szCs w:val="22"/>
        </w:rPr>
        <w:t>and</w:t>
      </w:r>
    </w:p>
    <w:p w:rsidR="002C5025" w:rsidRDefault="00FB027C">
      <w:pPr>
        <w:pStyle w:val="BodyText"/>
        <w:kinsoku w:val="0"/>
        <w:overflowPunct w:val="0"/>
        <w:spacing w:before="2"/>
        <w:rPr>
          <w:rFonts w:ascii="Garamond" w:hAnsi="Garamond" w:cs="Garamond"/>
          <w:sz w:val="15"/>
          <w:szCs w:val="15"/>
        </w:rPr>
      </w:pPr>
      <w:r>
        <w:rPr>
          <w:noProof/>
        </w:rPr>
        <mc:AlternateContent>
          <mc:Choice Requires="wps">
            <w:drawing>
              <wp:anchor distT="0" distB="0" distL="0" distR="0" simplePos="0" relativeHeight="251654656" behindDoc="0" locked="0" layoutInCell="0" allowOverlap="1">
                <wp:simplePos x="0" y="0"/>
                <wp:positionH relativeFrom="page">
                  <wp:posOffset>923925</wp:posOffset>
                </wp:positionH>
                <wp:positionV relativeFrom="paragraph">
                  <wp:posOffset>139065</wp:posOffset>
                </wp:positionV>
                <wp:extent cx="1829435" cy="12700"/>
                <wp:effectExtent l="0" t="0" r="0" b="0"/>
                <wp:wrapTopAndBottom/>
                <wp:docPr id="564" name="Freeform 4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1 w 2881"/>
                            <a:gd name="T3" fmla="*/ 0 h 20"/>
                          </a:gdLst>
                          <a:ahLst/>
                          <a:cxnLst>
                            <a:cxn ang="0">
                              <a:pos x="T0" y="T1"/>
                            </a:cxn>
                            <a:cxn ang="0">
                              <a:pos x="T2" y="T3"/>
                            </a:cxn>
                          </a:cxnLst>
                          <a:rect l="0" t="0" r="r" b="b"/>
                          <a:pathLst>
                            <a:path w="2881" h="20">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61" o:spid="_x0000_s1026" style="position:absolute;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2.75pt,10.95pt,216.8pt,10.95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" o:allowincell="f" filled="f" strokeweight=".82pt">
                <v:path arrowok="t" o:connecttype="custom" o:connectlocs="0,0;1829435,0" o:connectangles="0,0"/>
                <w10:wrap type="topAndBottom" anchorx="page"/>
              </v:polyline>
            </w:pict>
          </mc:Fallback>
        </mc:AlternateContent>
      </w:r>
    </w:p>
    <w:p w:rsidR="002C5025" w:rsidRDefault="002C5025">
      <w:pPr>
        <w:pStyle w:val="BodyText"/>
        <w:kinsoku w:val="0"/>
        <w:overflowPunct w:val="0"/>
        <w:spacing w:before="71"/>
        <w:ind w:left="120" w:right="85"/>
        <w:rPr>
          <w:rFonts w:ascii="Garamond" w:hAnsi="Garamond" w:cs="Garamond"/>
          <w:sz w:val="20"/>
          <w:szCs w:val="20"/>
        </w:rPr>
      </w:pPr>
      <w:r>
        <w:rPr>
          <w:rFonts w:ascii="Garamond" w:hAnsi="Garamond" w:cs="Garamond"/>
          <w:position w:val="5"/>
          <w:sz w:val="13"/>
          <w:szCs w:val="13"/>
        </w:rPr>
        <w:t xml:space="preserve">7 </w:t>
      </w:r>
      <w:r>
        <w:rPr>
          <w:rFonts w:ascii="Garamond" w:hAnsi="Garamond" w:cs="Garamond"/>
          <w:sz w:val="20"/>
          <w:szCs w:val="20"/>
        </w:rPr>
        <w:t>Hibbard, J. H., Greene, J., Sacks, R., et al. (2013). When Seeing the Same Physician, Highly Activated Patients Have Better</w:t>
      </w:r>
      <w:r>
        <w:rPr>
          <w:rFonts w:ascii="Garamond" w:hAnsi="Garamond" w:cs="Garamond"/>
          <w:spacing w:val="-13"/>
          <w:sz w:val="20"/>
          <w:szCs w:val="20"/>
        </w:rPr>
        <w:t xml:space="preserve"> </w:t>
      </w:r>
      <w:r>
        <w:rPr>
          <w:rFonts w:ascii="Garamond" w:hAnsi="Garamond" w:cs="Garamond"/>
          <w:sz w:val="20"/>
          <w:szCs w:val="20"/>
        </w:rPr>
        <w:t>Care</w:t>
      </w:r>
      <w:r>
        <w:rPr>
          <w:rFonts w:ascii="Garamond" w:hAnsi="Garamond" w:cs="Garamond"/>
          <w:spacing w:val="-11"/>
          <w:sz w:val="20"/>
          <w:szCs w:val="20"/>
        </w:rPr>
        <w:t xml:space="preserve"> </w:t>
      </w:r>
      <w:r>
        <w:rPr>
          <w:rFonts w:ascii="Garamond" w:hAnsi="Garamond" w:cs="Garamond"/>
          <w:sz w:val="20"/>
          <w:szCs w:val="20"/>
        </w:rPr>
        <w:t>Experiences</w:t>
      </w:r>
      <w:r>
        <w:rPr>
          <w:rFonts w:ascii="Garamond" w:hAnsi="Garamond" w:cs="Garamond"/>
          <w:spacing w:val="-14"/>
          <w:sz w:val="20"/>
          <w:szCs w:val="20"/>
        </w:rPr>
        <w:t xml:space="preserve"> </w:t>
      </w:r>
      <w:r>
        <w:rPr>
          <w:rFonts w:ascii="Garamond" w:hAnsi="Garamond" w:cs="Garamond"/>
          <w:sz w:val="20"/>
          <w:szCs w:val="20"/>
        </w:rPr>
        <w:t>Than</w:t>
      </w:r>
      <w:r>
        <w:rPr>
          <w:rFonts w:ascii="Garamond" w:hAnsi="Garamond" w:cs="Garamond"/>
          <w:spacing w:val="-14"/>
          <w:sz w:val="20"/>
          <w:szCs w:val="20"/>
        </w:rPr>
        <w:t xml:space="preserve"> </w:t>
      </w:r>
      <w:r>
        <w:rPr>
          <w:rFonts w:ascii="Garamond" w:hAnsi="Garamond" w:cs="Garamond"/>
          <w:sz w:val="20"/>
          <w:szCs w:val="20"/>
        </w:rPr>
        <w:t>Less</w:t>
      </w:r>
      <w:r>
        <w:rPr>
          <w:rFonts w:ascii="Garamond" w:hAnsi="Garamond" w:cs="Garamond"/>
          <w:spacing w:val="-14"/>
          <w:sz w:val="20"/>
          <w:szCs w:val="20"/>
        </w:rPr>
        <w:t xml:space="preserve"> </w:t>
      </w:r>
      <w:r>
        <w:rPr>
          <w:rFonts w:ascii="Garamond" w:hAnsi="Garamond" w:cs="Garamond"/>
          <w:sz w:val="20"/>
          <w:szCs w:val="20"/>
        </w:rPr>
        <w:t>Activated</w:t>
      </w:r>
      <w:r>
        <w:rPr>
          <w:rFonts w:ascii="Garamond" w:hAnsi="Garamond" w:cs="Garamond"/>
          <w:spacing w:val="-13"/>
          <w:sz w:val="20"/>
          <w:szCs w:val="20"/>
        </w:rPr>
        <w:t xml:space="preserve"> </w:t>
      </w:r>
      <w:r>
        <w:rPr>
          <w:rFonts w:ascii="Garamond" w:hAnsi="Garamond" w:cs="Garamond"/>
          <w:sz w:val="20"/>
          <w:szCs w:val="20"/>
        </w:rPr>
        <w:t>Patients.</w:t>
      </w:r>
      <w:r>
        <w:rPr>
          <w:rFonts w:ascii="Garamond" w:hAnsi="Garamond" w:cs="Garamond"/>
          <w:spacing w:val="-10"/>
          <w:sz w:val="20"/>
          <w:szCs w:val="20"/>
        </w:rPr>
        <w:t xml:space="preserve"> </w:t>
      </w:r>
      <w:r>
        <w:rPr>
          <w:rFonts w:ascii="Garamond" w:hAnsi="Garamond" w:cs="Garamond"/>
          <w:i/>
          <w:iCs/>
          <w:sz w:val="20"/>
          <w:szCs w:val="20"/>
        </w:rPr>
        <w:t>Health</w:t>
      </w:r>
      <w:r>
        <w:rPr>
          <w:rFonts w:ascii="Garamond" w:hAnsi="Garamond" w:cs="Garamond"/>
          <w:i/>
          <w:iCs/>
          <w:spacing w:val="-11"/>
          <w:sz w:val="20"/>
          <w:szCs w:val="20"/>
        </w:rPr>
        <w:t xml:space="preserve"> </w:t>
      </w:r>
      <w:r>
        <w:rPr>
          <w:rFonts w:ascii="Garamond" w:hAnsi="Garamond" w:cs="Garamond"/>
          <w:i/>
          <w:iCs/>
          <w:sz w:val="20"/>
          <w:szCs w:val="20"/>
        </w:rPr>
        <w:t>Affairs</w:t>
      </w:r>
      <w:r>
        <w:rPr>
          <w:rFonts w:ascii="Garamond" w:hAnsi="Garamond" w:cs="Garamond"/>
          <w:sz w:val="20"/>
          <w:szCs w:val="20"/>
        </w:rPr>
        <w:t>,</w:t>
      </w:r>
      <w:r>
        <w:rPr>
          <w:rFonts w:ascii="Garamond" w:hAnsi="Garamond" w:cs="Garamond"/>
          <w:spacing w:val="-14"/>
          <w:sz w:val="20"/>
          <w:szCs w:val="20"/>
        </w:rPr>
        <w:t xml:space="preserve"> </w:t>
      </w:r>
      <w:r>
        <w:rPr>
          <w:rFonts w:ascii="Garamond" w:hAnsi="Garamond" w:cs="Garamond"/>
          <w:sz w:val="20"/>
          <w:szCs w:val="20"/>
        </w:rPr>
        <w:t>32(7):</w:t>
      </w:r>
      <w:r>
        <w:rPr>
          <w:rFonts w:ascii="Garamond" w:hAnsi="Garamond" w:cs="Garamond"/>
          <w:spacing w:val="-14"/>
          <w:sz w:val="20"/>
          <w:szCs w:val="20"/>
        </w:rPr>
        <w:t xml:space="preserve"> </w:t>
      </w:r>
      <w:r>
        <w:rPr>
          <w:rFonts w:ascii="Garamond" w:hAnsi="Garamond" w:cs="Garamond"/>
          <w:sz w:val="20"/>
          <w:szCs w:val="20"/>
        </w:rPr>
        <w:t>1295–1305;</w:t>
      </w:r>
      <w:r>
        <w:rPr>
          <w:rFonts w:ascii="Garamond" w:hAnsi="Garamond" w:cs="Garamond"/>
          <w:spacing w:val="-14"/>
          <w:sz w:val="20"/>
          <w:szCs w:val="20"/>
        </w:rPr>
        <w:t xml:space="preserve"> </w:t>
      </w:r>
      <w:r>
        <w:rPr>
          <w:rFonts w:ascii="Garamond" w:hAnsi="Garamond" w:cs="Garamond"/>
          <w:sz w:val="20"/>
          <w:szCs w:val="20"/>
        </w:rPr>
        <w:t>Hibbard,</w:t>
      </w:r>
      <w:r>
        <w:rPr>
          <w:rFonts w:ascii="Garamond" w:hAnsi="Garamond" w:cs="Garamond"/>
          <w:spacing w:val="-14"/>
          <w:sz w:val="20"/>
          <w:szCs w:val="20"/>
        </w:rPr>
        <w:t xml:space="preserve"> </w:t>
      </w:r>
      <w:r>
        <w:rPr>
          <w:rFonts w:ascii="Garamond" w:hAnsi="Garamond" w:cs="Garamond"/>
          <w:sz w:val="20"/>
          <w:szCs w:val="20"/>
        </w:rPr>
        <w:t>J.H.,</w:t>
      </w:r>
      <w:r>
        <w:rPr>
          <w:rFonts w:ascii="Garamond" w:hAnsi="Garamond" w:cs="Garamond"/>
          <w:spacing w:val="-14"/>
          <w:sz w:val="20"/>
          <w:szCs w:val="20"/>
        </w:rPr>
        <w:t xml:space="preserve"> </w:t>
      </w:r>
      <w:r>
        <w:rPr>
          <w:rFonts w:ascii="Garamond" w:hAnsi="Garamond" w:cs="Garamond"/>
          <w:sz w:val="20"/>
          <w:szCs w:val="20"/>
        </w:rPr>
        <w:t>Greene,</w:t>
      </w:r>
      <w:r>
        <w:rPr>
          <w:rFonts w:ascii="Garamond" w:hAnsi="Garamond" w:cs="Garamond"/>
          <w:spacing w:val="-14"/>
          <w:sz w:val="20"/>
          <w:szCs w:val="20"/>
        </w:rPr>
        <w:t xml:space="preserve"> </w:t>
      </w:r>
      <w:r>
        <w:rPr>
          <w:rFonts w:ascii="Garamond" w:hAnsi="Garamond" w:cs="Garamond"/>
          <w:sz w:val="20"/>
          <w:szCs w:val="20"/>
        </w:rPr>
        <w:t>J.</w:t>
      </w:r>
      <w:r>
        <w:rPr>
          <w:rFonts w:ascii="Garamond" w:hAnsi="Garamond" w:cs="Garamond"/>
          <w:spacing w:val="-14"/>
          <w:sz w:val="20"/>
          <w:szCs w:val="20"/>
        </w:rPr>
        <w:t xml:space="preserve"> </w:t>
      </w:r>
      <w:r>
        <w:rPr>
          <w:rFonts w:ascii="Garamond" w:hAnsi="Garamond" w:cs="Garamond"/>
          <w:sz w:val="20"/>
          <w:szCs w:val="20"/>
        </w:rPr>
        <w:t xml:space="preserve">(2013). What the Evidence Shows about Patient Activation: Better Health Outcomes and Care Experiences; Fewer Data on Costs. </w:t>
      </w:r>
      <w:r>
        <w:rPr>
          <w:rFonts w:ascii="Garamond" w:hAnsi="Garamond" w:cs="Garamond"/>
          <w:i/>
          <w:iCs/>
          <w:sz w:val="20"/>
          <w:szCs w:val="20"/>
        </w:rPr>
        <w:t xml:space="preserve">Health Affairs </w:t>
      </w:r>
      <w:r>
        <w:rPr>
          <w:rFonts w:ascii="Garamond" w:hAnsi="Garamond" w:cs="Garamond"/>
          <w:sz w:val="20"/>
          <w:szCs w:val="20"/>
        </w:rPr>
        <w:t>32(2): 207-14; Hibbard, J. H., Greene, J., &amp; Overton, V. (2013). Patients with lower activation associated</w:t>
      </w:r>
      <w:r>
        <w:rPr>
          <w:rFonts w:ascii="Garamond" w:hAnsi="Garamond" w:cs="Garamond"/>
          <w:spacing w:val="-14"/>
          <w:sz w:val="20"/>
          <w:szCs w:val="20"/>
        </w:rPr>
        <w:t xml:space="preserve"> </w:t>
      </w:r>
      <w:r>
        <w:rPr>
          <w:rFonts w:ascii="Garamond" w:hAnsi="Garamond" w:cs="Garamond"/>
          <w:sz w:val="20"/>
          <w:szCs w:val="20"/>
        </w:rPr>
        <w:t>with</w:t>
      </w:r>
      <w:r>
        <w:rPr>
          <w:rFonts w:ascii="Garamond" w:hAnsi="Garamond" w:cs="Garamond"/>
          <w:spacing w:val="-14"/>
          <w:sz w:val="20"/>
          <w:szCs w:val="20"/>
        </w:rPr>
        <w:t xml:space="preserve"> </w:t>
      </w:r>
      <w:r>
        <w:rPr>
          <w:rFonts w:ascii="Garamond" w:hAnsi="Garamond" w:cs="Garamond"/>
          <w:sz w:val="20"/>
          <w:szCs w:val="20"/>
        </w:rPr>
        <w:t>higher</w:t>
      </w:r>
      <w:r>
        <w:rPr>
          <w:rFonts w:ascii="Garamond" w:hAnsi="Garamond" w:cs="Garamond"/>
          <w:spacing w:val="-14"/>
          <w:sz w:val="20"/>
          <w:szCs w:val="20"/>
        </w:rPr>
        <w:t xml:space="preserve"> </w:t>
      </w:r>
      <w:r>
        <w:rPr>
          <w:rFonts w:ascii="Garamond" w:hAnsi="Garamond" w:cs="Garamond"/>
          <w:sz w:val="20"/>
          <w:szCs w:val="20"/>
        </w:rPr>
        <w:t>costs.</w:t>
      </w:r>
      <w:r>
        <w:rPr>
          <w:rFonts w:ascii="Garamond" w:hAnsi="Garamond" w:cs="Garamond"/>
          <w:spacing w:val="-13"/>
          <w:sz w:val="20"/>
          <w:szCs w:val="20"/>
        </w:rPr>
        <w:t xml:space="preserve"> </w:t>
      </w:r>
      <w:r>
        <w:rPr>
          <w:rFonts w:ascii="Garamond" w:hAnsi="Garamond" w:cs="Garamond"/>
          <w:i/>
          <w:iCs/>
          <w:sz w:val="20"/>
          <w:szCs w:val="20"/>
        </w:rPr>
        <w:t>Health</w:t>
      </w:r>
      <w:r>
        <w:rPr>
          <w:rFonts w:ascii="Garamond" w:hAnsi="Garamond" w:cs="Garamond"/>
          <w:i/>
          <w:iCs/>
          <w:spacing w:val="-12"/>
          <w:sz w:val="20"/>
          <w:szCs w:val="20"/>
        </w:rPr>
        <w:t xml:space="preserve"> </w:t>
      </w:r>
      <w:r>
        <w:rPr>
          <w:rFonts w:ascii="Garamond" w:hAnsi="Garamond" w:cs="Garamond"/>
          <w:i/>
          <w:iCs/>
          <w:sz w:val="20"/>
          <w:szCs w:val="20"/>
        </w:rPr>
        <w:t>Affairs</w:t>
      </w:r>
      <w:r>
        <w:rPr>
          <w:rFonts w:ascii="Garamond" w:hAnsi="Garamond" w:cs="Garamond"/>
          <w:sz w:val="20"/>
          <w:szCs w:val="20"/>
        </w:rPr>
        <w:t>,</w:t>
      </w:r>
      <w:r>
        <w:rPr>
          <w:rFonts w:ascii="Garamond" w:hAnsi="Garamond" w:cs="Garamond"/>
          <w:spacing w:val="-17"/>
          <w:sz w:val="20"/>
          <w:szCs w:val="20"/>
        </w:rPr>
        <w:t xml:space="preserve"> </w:t>
      </w:r>
      <w:r>
        <w:rPr>
          <w:rFonts w:ascii="Garamond" w:hAnsi="Garamond" w:cs="Garamond"/>
          <w:sz w:val="20"/>
          <w:szCs w:val="20"/>
        </w:rPr>
        <w:t>32(2):</w:t>
      </w:r>
      <w:r>
        <w:rPr>
          <w:rFonts w:ascii="Garamond" w:hAnsi="Garamond" w:cs="Garamond"/>
          <w:spacing w:val="-15"/>
          <w:sz w:val="20"/>
          <w:szCs w:val="20"/>
        </w:rPr>
        <w:t xml:space="preserve"> </w:t>
      </w:r>
      <w:r>
        <w:rPr>
          <w:rFonts w:ascii="Garamond" w:hAnsi="Garamond" w:cs="Garamond"/>
          <w:sz w:val="20"/>
          <w:szCs w:val="20"/>
        </w:rPr>
        <w:t>216–222.</w:t>
      </w:r>
    </w:p>
    <w:p w:rsidR="002C5025" w:rsidRDefault="002C5025">
      <w:pPr>
        <w:pStyle w:val="BodyText"/>
        <w:kinsoku w:val="0"/>
        <w:overflowPunct w:val="0"/>
        <w:ind w:left="120" w:right="225"/>
        <w:rPr>
          <w:rFonts w:ascii="Garamond" w:hAnsi="Garamond" w:cs="Garamond"/>
          <w:sz w:val="20"/>
          <w:szCs w:val="20"/>
        </w:rPr>
      </w:pPr>
      <w:r>
        <w:rPr>
          <w:rFonts w:ascii="Garamond" w:hAnsi="Garamond" w:cs="Garamond"/>
          <w:position w:val="5"/>
          <w:sz w:val="13"/>
          <w:szCs w:val="13"/>
        </w:rPr>
        <w:t xml:space="preserve">8 </w:t>
      </w:r>
      <w:r>
        <w:rPr>
          <w:rFonts w:ascii="Garamond" w:hAnsi="Garamond" w:cs="Garamond"/>
          <w:sz w:val="20"/>
          <w:szCs w:val="20"/>
        </w:rPr>
        <w:t xml:space="preserve">Health Policy Brief: Patient Engagement,” </w:t>
      </w:r>
      <w:r>
        <w:rPr>
          <w:rFonts w:ascii="Garamond" w:hAnsi="Garamond" w:cs="Garamond"/>
          <w:i/>
          <w:iCs/>
          <w:sz w:val="20"/>
          <w:szCs w:val="20"/>
        </w:rPr>
        <w:t>Health Affairs</w:t>
      </w:r>
      <w:r>
        <w:rPr>
          <w:rFonts w:ascii="Garamond" w:hAnsi="Garamond" w:cs="Garamond"/>
          <w:sz w:val="20"/>
          <w:szCs w:val="20"/>
        </w:rPr>
        <w:t xml:space="preserve">, February 14, 2013; </w:t>
      </w:r>
      <w:proofErr w:type="spellStart"/>
      <w:r>
        <w:rPr>
          <w:rFonts w:ascii="Garamond" w:hAnsi="Garamond" w:cs="Garamond"/>
          <w:sz w:val="20"/>
          <w:szCs w:val="20"/>
        </w:rPr>
        <w:t>Shortell</w:t>
      </w:r>
      <w:proofErr w:type="spellEnd"/>
      <w:r>
        <w:rPr>
          <w:rFonts w:ascii="Garamond" w:hAnsi="Garamond" w:cs="Garamond"/>
          <w:sz w:val="20"/>
          <w:szCs w:val="20"/>
        </w:rPr>
        <w:t>, SM, et al., (2015). An Early Assessment</w:t>
      </w:r>
      <w:r>
        <w:rPr>
          <w:rFonts w:ascii="Garamond" w:hAnsi="Garamond" w:cs="Garamond"/>
          <w:spacing w:val="-14"/>
          <w:sz w:val="20"/>
          <w:szCs w:val="20"/>
        </w:rPr>
        <w:t xml:space="preserve"> </w:t>
      </w:r>
      <w:r>
        <w:rPr>
          <w:rFonts w:ascii="Garamond" w:hAnsi="Garamond" w:cs="Garamond"/>
          <w:sz w:val="20"/>
          <w:szCs w:val="20"/>
        </w:rPr>
        <w:t>of</w:t>
      </w:r>
      <w:r>
        <w:rPr>
          <w:rFonts w:ascii="Garamond" w:hAnsi="Garamond" w:cs="Garamond"/>
          <w:spacing w:val="-13"/>
          <w:sz w:val="20"/>
          <w:szCs w:val="20"/>
        </w:rPr>
        <w:t xml:space="preserve"> </w:t>
      </w:r>
      <w:r>
        <w:rPr>
          <w:rFonts w:ascii="Garamond" w:hAnsi="Garamond" w:cs="Garamond"/>
          <w:sz w:val="20"/>
          <w:szCs w:val="20"/>
        </w:rPr>
        <w:t>Accountable</w:t>
      </w:r>
      <w:r>
        <w:rPr>
          <w:rFonts w:ascii="Garamond" w:hAnsi="Garamond" w:cs="Garamond"/>
          <w:spacing w:val="-11"/>
          <w:sz w:val="20"/>
          <w:szCs w:val="20"/>
        </w:rPr>
        <w:t xml:space="preserve"> </w:t>
      </w:r>
      <w:r>
        <w:rPr>
          <w:rFonts w:ascii="Garamond" w:hAnsi="Garamond" w:cs="Garamond"/>
          <w:sz w:val="20"/>
          <w:szCs w:val="20"/>
        </w:rPr>
        <w:t>Care</w:t>
      </w:r>
      <w:r>
        <w:rPr>
          <w:rFonts w:ascii="Garamond" w:hAnsi="Garamond" w:cs="Garamond"/>
          <w:spacing w:val="-11"/>
          <w:sz w:val="20"/>
          <w:szCs w:val="20"/>
        </w:rPr>
        <w:t xml:space="preserve"> </w:t>
      </w:r>
      <w:r>
        <w:rPr>
          <w:rFonts w:ascii="Garamond" w:hAnsi="Garamond" w:cs="Garamond"/>
          <w:sz w:val="20"/>
          <w:szCs w:val="20"/>
        </w:rPr>
        <w:t>Organizations’</w:t>
      </w:r>
      <w:r>
        <w:rPr>
          <w:rFonts w:ascii="Garamond" w:hAnsi="Garamond" w:cs="Garamond"/>
          <w:spacing w:val="-13"/>
          <w:sz w:val="20"/>
          <w:szCs w:val="20"/>
        </w:rPr>
        <w:t xml:space="preserve"> </w:t>
      </w:r>
      <w:r>
        <w:rPr>
          <w:rFonts w:ascii="Garamond" w:hAnsi="Garamond" w:cs="Garamond"/>
          <w:sz w:val="20"/>
          <w:szCs w:val="20"/>
        </w:rPr>
        <w:t>Efforts</w:t>
      </w:r>
      <w:r>
        <w:rPr>
          <w:rFonts w:ascii="Garamond" w:hAnsi="Garamond" w:cs="Garamond"/>
          <w:spacing w:val="-14"/>
          <w:sz w:val="20"/>
          <w:szCs w:val="20"/>
        </w:rPr>
        <w:t xml:space="preserve"> </w:t>
      </w:r>
      <w:r>
        <w:rPr>
          <w:rFonts w:ascii="Garamond" w:hAnsi="Garamond" w:cs="Garamond"/>
          <w:sz w:val="20"/>
          <w:szCs w:val="20"/>
        </w:rPr>
        <w:t>to</w:t>
      </w:r>
      <w:r>
        <w:rPr>
          <w:rFonts w:ascii="Garamond" w:hAnsi="Garamond" w:cs="Garamond"/>
          <w:spacing w:val="-13"/>
          <w:sz w:val="20"/>
          <w:szCs w:val="20"/>
        </w:rPr>
        <w:t xml:space="preserve"> </w:t>
      </w:r>
      <w:r>
        <w:rPr>
          <w:rFonts w:ascii="Garamond" w:hAnsi="Garamond" w:cs="Garamond"/>
          <w:sz w:val="20"/>
          <w:szCs w:val="20"/>
        </w:rPr>
        <w:t>Engage</w:t>
      </w:r>
      <w:r>
        <w:rPr>
          <w:rFonts w:ascii="Garamond" w:hAnsi="Garamond" w:cs="Garamond"/>
          <w:spacing w:val="-13"/>
          <w:sz w:val="20"/>
          <w:szCs w:val="20"/>
        </w:rPr>
        <w:t xml:space="preserve"> </w:t>
      </w:r>
      <w:r>
        <w:rPr>
          <w:rFonts w:ascii="Garamond" w:hAnsi="Garamond" w:cs="Garamond"/>
          <w:sz w:val="20"/>
          <w:szCs w:val="20"/>
        </w:rPr>
        <w:t>Patients</w:t>
      </w:r>
      <w:r>
        <w:rPr>
          <w:rFonts w:ascii="Garamond" w:hAnsi="Garamond" w:cs="Garamond"/>
          <w:spacing w:val="-16"/>
          <w:sz w:val="20"/>
          <w:szCs w:val="20"/>
        </w:rPr>
        <w:t xml:space="preserve"> </w:t>
      </w:r>
      <w:r>
        <w:rPr>
          <w:rFonts w:ascii="Garamond" w:hAnsi="Garamond" w:cs="Garamond"/>
          <w:sz w:val="20"/>
          <w:szCs w:val="20"/>
        </w:rPr>
        <w:t>and</w:t>
      </w:r>
      <w:r>
        <w:rPr>
          <w:rFonts w:ascii="Garamond" w:hAnsi="Garamond" w:cs="Garamond"/>
          <w:spacing w:val="-13"/>
          <w:sz w:val="20"/>
          <w:szCs w:val="20"/>
        </w:rPr>
        <w:t xml:space="preserve"> </w:t>
      </w:r>
      <w:r>
        <w:rPr>
          <w:rFonts w:ascii="Garamond" w:hAnsi="Garamond" w:cs="Garamond"/>
          <w:sz w:val="20"/>
          <w:szCs w:val="20"/>
        </w:rPr>
        <w:t>Their</w:t>
      </w:r>
      <w:r>
        <w:rPr>
          <w:rFonts w:ascii="Garamond" w:hAnsi="Garamond" w:cs="Garamond"/>
          <w:spacing w:val="-13"/>
          <w:sz w:val="20"/>
          <w:szCs w:val="20"/>
        </w:rPr>
        <w:t xml:space="preserve"> </w:t>
      </w:r>
      <w:r>
        <w:rPr>
          <w:rFonts w:ascii="Garamond" w:hAnsi="Garamond" w:cs="Garamond"/>
          <w:sz w:val="20"/>
          <w:szCs w:val="20"/>
        </w:rPr>
        <w:t>Families.</w:t>
      </w:r>
      <w:r>
        <w:rPr>
          <w:rFonts w:ascii="Garamond" w:hAnsi="Garamond" w:cs="Garamond"/>
          <w:spacing w:val="-16"/>
          <w:sz w:val="20"/>
          <w:szCs w:val="20"/>
        </w:rPr>
        <w:t xml:space="preserve"> </w:t>
      </w:r>
      <w:r>
        <w:rPr>
          <w:rFonts w:ascii="Garamond" w:hAnsi="Garamond" w:cs="Garamond"/>
          <w:sz w:val="20"/>
          <w:szCs w:val="20"/>
        </w:rPr>
        <w:t>Medical</w:t>
      </w:r>
      <w:r>
        <w:rPr>
          <w:rFonts w:ascii="Garamond" w:hAnsi="Garamond" w:cs="Garamond"/>
          <w:spacing w:val="-13"/>
          <w:sz w:val="20"/>
          <w:szCs w:val="20"/>
        </w:rPr>
        <w:t xml:space="preserve"> </w:t>
      </w:r>
      <w:r>
        <w:rPr>
          <w:rFonts w:ascii="Garamond" w:hAnsi="Garamond" w:cs="Garamond"/>
          <w:sz w:val="20"/>
          <w:szCs w:val="20"/>
        </w:rPr>
        <w:t>Care</w:t>
      </w:r>
      <w:r>
        <w:rPr>
          <w:rFonts w:ascii="Garamond" w:hAnsi="Garamond" w:cs="Garamond"/>
          <w:spacing w:val="-13"/>
          <w:sz w:val="20"/>
          <w:szCs w:val="20"/>
        </w:rPr>
        <w:t xml:space="preserve"> </w:t>
      </w:r>
      <w:r>
        <w:rPr>
          <w:rFonts w:ascii="Garamond" w:hAnsi="Garamond" w:cs="Garamond"/>
          <w:sz w:val="20"/>
          <w:szCs w:val="20"/>
        </w:rPr>
        <w:t>Research and Review, 72(5)</w:t>
      </w:r>
      <w:r>
        <w:rPr>
          <w:rFonts w:ascii="Garamond" w:hAnsi="Garamond" w:cs="Garamond"/>
          <w:spacing w:val="-32"/>
          <w:sz w:val="20"/>
          <w:szCs w:val="20"/>
        </w:rPr>
        <w:t xml:space="preserve"> </w:t>
      </w:r>
      <w:r>
        <w:rPr>
          <w:rFonts w:ascii="Garamond" w:hAnsi="Garamond" w:cs="Garamond"/>
          <w:sz w:val="20"/>
          <w:szCs w:val="20"/>
        </w:rPr>
        <w:t>580-604.</w:t>
      </w:r>
    </w:p>
    <w:p w:rsidR="002C5025" w:rsidRDefault="002C5025">
      <w:pPr>
        <w:pStyle w:val="BodyText"/>
        <w:kinsoku w:val="0"/>
        <w:overflowPunct w:val="0"/>
        <w:ind w:left="120" w:right="131"/>
        <w:jc w:val="both"/>
        <w:rPr>
          <w:rFonts w:ascii="Garamond" w:hAnsi="Garamond" w:cs="Garamond"/>
          <w:sz w:val="20"/>
          <w:szCs w:val="20"/>
        </w:rPr>
      </w:pPr>
      <w:r>
        <w:rPr>
          <w:rFonts w:ascii="Garamond" w:hAnsi="Garamond" w:cs="Garamond"/>
          <w:position w:val="5"/>
          <w:sz w:val="13"/>
          <w:szCs w:val="13"/>
        </w:rPr>
        <w:t xml:space="preserve">9 </w:t>
      </w:r>
      <w:r>
        <w:rPr>
          <w:rFonts w:ascii="Garamond" w:hAnsi="Garamond" w:cs="Garamond"/>
          <w:sz w:val="20"/>
          <w:szCs w:val="20"/>
        </w:rPr>
        <w:t xml:space="preserve">Carman, K. L., </w:t>
      </w:r>
      <w:proofErr w:type="spellStart"/>
      <w:r>
        <w:rPr>
          <w:rFonts w:ascii="Garamond" w:hAnsi="Garamond" w:cs="Garamond"/>
          <w:sz w:val="20"/>
          <w:szCs w:val="20"/>
        </w:rPr>
        <w:t>Dardess</w:t>
      </w:r>
      <w:proofErr w:type="spellEnd"/>
      <w:r>
        <w:rPr>
          <w:rFonts w:ascii="Garamond" w:hAnsi="Garamond" w:cs="Garamond"/>
          <w:sz w:val="20"/>
          <w:szCs w:val="20"/>
        </w:rPr>
        <w:t xml:space="preserve">, P., Maurer, M., </w:t>
      </w:r>
      <w:proofErr w:type="spellStart"/>
      <w:r>
        <w:rPr>
          <w:rFonts w:ascii="Garamond" w:hAnsi="Garamond" w:cs="Garamond"/>
          <w:sz w:val="20"/>
          <w:szCs w:val="20"/>
        </w:rPr>
        <w:t>Sofaer</w:t>
      </w:r>
      <w:proofErr w:type="spellEnd"/>
      <w:r>
        <w:rPr>
          <w:rFonts w:ascii="Garamond" w:hAnsi="Garamond" w:cs="Garamond"/>
          <w:sz w:val="20"/>
          <w:szCs w:val="20"/>
        </w:rPr>
        <w:t xml:space="preserve">, S., Adams, K., Bechtel, C., and Sweeney, J. (2013). Patient and Family Engagement: A Framework for Understanding the Elements and Developing Interventions and Policies. </w:t>
      </w:r>
      <w:r>
        <w:rPr>
          <w:rFonts w:ascii="Garamond" w:hAnsi="Garamond" w:cs="Garamond"/>
          <w:i/>
          <w:iCs/>
          <w:sz w:val="20"/>
          <w:szCs w:val="20"/>
        </w:rPr>
        <w:t xml:space="preserve">Health Affairs </w:t>
      </w:r>
      <w:r>
        <w:rPr>
          <w:rFonts w:ascii="Garamond" w:hAnsi="Garamond" w:cs="Garamond"/>
          <w:sz w:val="20"/>
          <w:szCs w:val="20"/>
        </w:rPr>
        <w:t>32(2): 223-31.</w:t>
      </w:r>
    </w:p>
    <w:p w:rsidR="002C5025" w:rsidRDefault="002C5025">
      <w:pPr>
        <w:pStyle w:val="BodyText"/>
        <w:kinsoku w:val="0"/>
        <w:overflowPunct w:val="0"/>
        <w:spacing w:before="7"/>
        <w:rPr>
          <w:rFonts w:ascii="Garamond" w:hAnsi="Garamond" w:cs="Garamond"/>
          <w:sz w:val="11"/>
          <w:szCs w:val="11"/>
        </w:rPr>
      </w:pPr>
    </w:p>
    <w:p w:rsidR="002C5025" w:rsidRDefault="002C5025">
      <w:pPr>
        <w:pStyle w:val="BodyText"/>
        <w:kinsoku w:val="0"/>
        <w:overflowPunct w:val="0"/>
        <w:spacing w:before="81"/>
        <w:ind w:left="142"/>
        <w:jc w:val="center"/>
        <w:rPr>
          <w:rFonts w:ascii="Garamond" w:hAnsi="Garamond" w:cs="Garamond"/>
          <w:w w:val="99"/>
          <w:sz w:val="20"/>
          <w:szCs w:val="20"/>
        </w:rPr>
      </w:pPr>
      <w:r>
        <w:rPr>
          <w:rFonts w:ascii="Garamond" w:hAnsi="Garamond" w:cs="Garamond"/>
          <w:w w:val="99"/>
          <w:sz w:val="20"/>
          <w:szCs w:val="20"/>
        </w:rPr>
        <w:t>5</w:t>
      </w:r>
    </w:p>
    <w:p w:rsidR="002C5025" w:rsidRDefault="002C5025">
      <w:pPr>
        <w:pStyle w:val="BodyText"/>
        <w:kinsoku w:val="0"/>
        <w:overflowPunct w:val="0"/>
        <w:spacing w:before="81"/>
        <w:ind w:left="142"/>
        <w:jc w:val="center"/>
        <w:rPr>
          <w:rFonts w:ascii="Garamond" w:hAnsi="Garamond" w:cs="Garamond"/>
          <w:w w:val="99"/>
          <w:sz w:val="20"/>
          <w:szCs w:val="20"/>
        </w:rPr>
        <w:sectPr w:rsidR="002C5025">
          <w:pgSz w:w="12240" w:h="15840"/>
          <w:pgMar w:top="1380" w:right="1460" w:bottom="280" w:left="1320" w:header="720" w:footer="720" w:gutter="0"/>
          <w:cols w:space="720" w:equalWidth="0">
            <w:col w:w="9460"/>
          </w:cols>
          <w:noEndnote/>
        </w:sectPr>
      </w:pPr>
    </w:p>
    <w:p w:rsidR="002C5025" w:rsidRDefault="002C5025">
      <w:pPr>
        <w:pStyle w:val="BodyText"/>
        <w:kinsoku w:val="0"/>
        <w:overflowPunct w:val="0"/>
        <w:spacing w:before="60"/>
        <w:ind w:left="839" w:right="312"/>
        <w:rPr>
          <w:rFonts w:ascii="Garamond" w:hAnsi="Garamond" w:cs="Garamond"/>
        </w:rPr>
      </w:pPr>
      <w:r>
        <w:rPr>
          <w:rFonts w:ascii="Garamond" w:hAnsi="Garamond" w:cs="Garamond"/>
        </w:rPr>
        <w:lastRenderedPageBreak/>
        <w:t>risks of treatment, and the member’s preferences, and then arrive at and execute a treatment plan. Shared decision making often includes the use of decision aids.</w:t>
      </w:r>
    </w:p>
    <w:p w:rsidR="002C5025" w:rsidRDefault="002C5025">
      <w:pPr>
        <w:pStyle w:val="ListParagraph"/>
        <w:numPr>
          <w:ilvl w:val="2"/>
          <w:numId w:val="49"/>
        </w:numPr>
        <w:tabs>
          <w:tab w:val="left" w:pos="840"/>
        </w:tabs>
        <w:kinsoku w:val="0"/>
        <w:overflowPunct w:val="0"/>
        <w:ind w:right="392" w:hanging="359"/>
        <w:rPr>
          <w:rFonts w:ascii="Garamond" w:hAnsi="Garamond" w:cs="Garamond"/>
          <w:position w:val="5"/>
          <w:sz w:val="14"/>
          <w:szCs w:val="14"/>
        </w:rPr>
      </w:pPr>
      <w:r>
        <w:rPr>
          <w:rFonts w:ascii="Garamond" w:hAnsi="Garamond" w:cs="Garamond"/>
          <w:i/>
          <w:iCs/>
          <w:sz w:val="22"/>
          <w:szCs w:val="22"/>
        </w:rPr>
        <w:t xml:space="preserve">Use trained health coaches, certified peer specialists and community health workers. </w:t>
      </w:r>
      <w:r>
        <w:rPr>
          <w:rFonts w:ascii="Garamond" w:hAnsi="Garamond" w:cs="Garamond"/>
          <w:sz w:val="22"/>
          <w:szCs w:val="22"/>
        </w:rPr>
        <w:t xml:space="preserve">Health coaches </w:t>
      </w:r>
      <w:r>
        <w:rPr>
          <w:rFonts w:ascii="Garamond" w:hAnsi="Garamond" w:cs="Garamond"/>
          <w:spacing w:val="-3"/>
          <w:sz w:val="22"/>
          <w:szCs w:val="22"/>
        </w:rPr>
        <w:t xml:space="preserve">provide </w:t>
      </w:r>
      <w:r>
        <w:rPr>
          <w:rFonts w:ascii="Garamond" w:hAnsi="Garamond" w:cs="Garamond"/>
          <w:sz w:val="22"/>
          <w:szCs w:val="22"/>
        </w:rPr>
        <w:t>members with knowledge and awareness of their treatment options, help them to sort out their treatment</w:t>
      </w:r>
      <w:r>
        <w:rPr>
          <w:rFonts w:ascii="Garamond" w:hAnsi="Garamond" w:cs="Garamond"/>
          <w:spacing w:val="-8"/>
          <w:sz w:val="22"/>
          <w:szCs w:val="22"/>
        </w:rPr>
        <w:t xml:space="preserve"> </w:t>
      </w:r>
      <w:r>
        <w:rPr>
          <w:rFonts w:ascii="Garamond" w:hAnsi="Garamond" w:cs="Garamond"/>
          <w:sz w:val="22"/>
          <w:szCs w:val="22"/>
        </w:rPr>
        <w:t>preferences,</w:t>
      </w:r>
      <w:r>
        <w:rPr>
          <w:rFonts w:ascii="Garamond" w:hAnsi="Garamond" w:cs="Garamond"/>
          <w:spacing w:val="-7"/>
          <w:sz w:val="22"/>
          <w:szCs w:val="22"/>
        </w:rPr>
        <w:t xml:space="preserve"> </w:t>
      </w:r>
      <w:r>
        <w:rPr>
          <w:rFonts w:ascii="Garamond" w:hAnsi="Garamond" w:cs="Garamond"/>
          <w:sz w:val="22"/>
          <w:szCs w:val="22"/>
        </w:rPr>
        <w:t>and</w:t>
      </w:r>
      <w:r>
        <w:rPr>
          <w:rFonts w:ascii="Garamond" w:hAnsi="Garamond" w:cs="Garamond"/>
          <w:spacing w:val="-8"/>
          <w:sz w:val="22"/>
          <w:szCs w:val="22"/>
        </w:rPr>
        <w:t xml:space="preserve"> </w:t>
      </w:r>
      <w:r>
        <w:rPr>
          <w:rFonts w:ascii="Garamond" w:hAnsi="Garamond" w:cs="Garamond"/>
          <w:sz w:val="22"/>
          <w:szCs w:val="22"/>
        </w:rPr>
        <w:t>encourage</w:t>
      </w:r>
      <w:r>
        <w:rPr>
          <w:rFonts w:ascii="Garamond" w:hAnsi="Garamond" w:cs="Garamond"/>
          <w:spacing w:val="-7"/>
          <w:sz w:val="22"/>
          <w:szCs w:val="22"/>
        </w:rPr>
        <w:t xml:space="preserve"> </w:t>
      </w:r>
      <w:r>
        <w:rPr>
          <w:rFonts w:ascii="Garamond" w:hAnsi="Garamond" w:cs="Garamond"/>
          <w:sz w:val="22"/>
          <w:szCs w:val="22"/>
        </w:rPr>
        <w:t>them</w:t>
      </w:r>
      <w:r>
        <w:rPr>
          <w:rFonts w:ascii="Garamond" w:hAnsi="Garamond" w:cs="Garamond"/>
          <w:spacing w:val="-8"/>
          <w:sz w:val="22"/>
          <w:szCs w:val="22"/>
        </w:rPr>
        <w:t xml:space="preserve"> </w:t>
      </w:r>
      <w:r>
        <w:rPr>
          <w:rFonts w:ascii="Garamond" w:hAnsi="Garamond" w:cs="Garamond"/>
          <w:sz w:val="22"/>
          <w:szCs w:val="22"/>
        </w:rPr>
        <w:t>to</w:t>
      </w:r>
      <w:r>
        <w:rPr>
          <w:rFonts w:ascii="Garamond" w:hAnsi="Garamond" w:cs="Garamond"/>
          <w:spacing w:val="-6"/>
          <w:sz w:val="22"/>
          <w:szCs w:val="22"/>
        </w:rPr>
        <w:t xml:space="preserve"> </w:t>
      </w:r>
      <w:r>
        <w:rPr>
          <w:rFonts w:ascii="Garamond" w:hAnsi="Garamond" w:cs="Garamond"/>
          <w:spacing w:val="-3"/>
          <w:sz w:val="22"/>
          <w:szCs w:val="22"/>
        </w:rPr>
        <w:t>communicate</w:t>
      </w:r>
      <w:r>
        <w:rPr>
          <w:rFonts w:ascii="Garamond" w:hAnsi="Garamond" w:cs="Garamond"/>
          <w:spacing w:val="-8"/>
          <w:sz w:val="22"/>
          <w:szCs w:val="22"/>
        </w:rPr>
        <w:t xml:space="preserve"> </w:t>
      </w:r>
      <w:r>
        <w:rPr>
          <w:rFonts w:ascii="Garamond" w:hAnsi="Garamond" w:cs="Garamond"/>
          <w:sz w:val="22"/>
          <w:szCs w:val="22"/>
        </w:rPr>
        <w:t>those</w:t>
      </w:r>
      <w:r>
        <w:rPr>
          <w:rFonts w:ascii="Garamond" w:hAnsi="Garamond" w:cs="Garamond"/>
          <w:spacing w:val="-8"/>
          <w:sz w:val="22"/>
          <w:szCs w:val="22"/>
        </w:rPr>
        <w:t xml:space="preserve"> </w:t>
      </w:r>
      <w:r>
        <w:rPr>
          <w:rFonts w:ascii="Garamond" w:hAnsi="Garamond" w:cs="Garamond"/>
          <w:sz w:val="22"/>
          <w:szCs w:val="22"/>
        </w:rPr>
        <w:t>preferences</w:t>
      </w:r>
      <w:r>
        <w:rPr>
          <w:rFonts w:ascii="Garamond" w:hAnsi="Garamond" w:cs="Garamond"/>
          <w:spacing w:val="-8"/>
          <w:sz w:val="22"/>
          <w:szCs w:val="22"/>
        </w:rPr>
        <w:t xml:space="preserve"> </w:t>
      </w:r>
      <w:r>
        <w:rPr>
          <w:rFonts w:ascii="Garamond" w:hAnsi="Garamond" w:cs="Garamond"/>
          <w:sz w:val="22"/>
          <w:szCs w:val="22"/>
        </w:rPr>
        <w:t>to</w:t>
      </w:r>
      <w:r>
        <w:rPr>
          <w:rFonts w:ascii="Garamond" w:hAnsi="Garamond" w:cs="Garamond"/>
          <w:spacing w:val="-8"/>
          <w:sz w:val="22"/>
          <w:szCs w:val="22"/>
        </w:rPr>
        <w:t xml:space="preserve"> </w:t>
      </w:r>
      <w:r>
        <w:rPr>
          <w:rFonts w:ascii="Garamond" w:hAnsi="Garamond" w:cs="Garamond"/>
          <w:sz w:val="22"/>
          <w:szCs w:val="22"/>
        </w:rPr>
        <w:t>their</w:t>
      </w:r>
      <w:r>
        <w:rPr>
          <w:rFonts w:ascii="Garamond" w:hAnsi="Garamond" w:cs="Garamond"/>
          <w:spacing w:val="-8"/>
          <w:sz w:val="22"/>
          <w:szCs w:val="22"/>
        </w:rPr>
        <w:t xml:space="preserve"> </w:t>
      </w:r>
      <w:r>
        <w:rPr>
          <w:rFonts w:ascii="Garamond" w:hAnsi="Garamond" w:cs="Garamond"/>
          <w:sz w:val="22"/>
          <w:szCs w:val="22"/>
        </w:rPr>
        <w:t>health</w:t>
      </w:r>
      <w:r>
        <w:rPr>
          <w:rFonts w:ascii="Garamond" w:hAnsi="Garamond" w:cs="Garamond"/>
          <w:spacing w:val="-8"/>
          <w:sz w:val="22"/>
          <w:szCs w:val="22"/>
        </w:rPr>
        <w:t xml:space="preserve"> </w:t>
      </w:r>
      <w:r>
        <w:rPr>
          <w:rFonts w:ascii="Garamond" w:hAnsi="Garamond" w:cs="Garamond"/>
          <w:sz w:val="22"/>
          <w:szCs w:val="22"/>
        </w:rPr>
        <w:t>care providers.</w:t>
      </w:r>
      <w:r>
        <w:rPr>
          <w:rFonts w:ascii="Garamond" w:hAnsi="Garamond" w:cs="Garamond"/>
          <w:position w:val="5"/>
          <w:sz w:val="14"/>
          <w:szCs w:val="14"/>
        </w:rPr>
        <w:t xml:space="preserve">10 </w:t>
      </w:r>
      <w:r>
        <w:rPr>
          <w:rFonts w:ascii="Garamond" w:hAnsi="Garamond" w:cs="Garamond"/>
          <w:sz w:val="22"/>
          <w:szCs w:val="22"/>
        </w:rPr>
        <w:t>Certified Peer Specialists and community health workers are additionally helpful, as discussed</w:t>
      </w:r>
      <w:r>
        <w:rPr>
          <w:rFonts w:ascii="Garamond" w:hAnsi="Garamond" w:cs="Garamond"/>
          <w:spacing w:val="-8"/>
          <w:sz w:val="22"/>
          <w:szCs w:val="22"/>
        </w:rPr>
        <w:t xml:space="preserve"> </w:t>
      </w:r>
      <w:r>
        <w:rPr>
          <w:rFonts w:ascii="Garamond" w:hAnsi="Garamond" w:cs="Garamond"/>
          <w:sz w:val="22"/>
          <w:szCs w:val="22"/>
        </w:rPr>
        <w:t>in</w:t>
      </w:r>
      <w:r>
        <w:rPr>
          <w:rFonts w:ascii="Garamond" w:hAnsi="Garamond" w:cs="Garamond"/>
          <w:spacing w:val="-11"/>
          <w:sz w:val="22"/>
          <w:szCs w:val="22"/>
        </w:rPr>
        <w:t xml:space="preserve"> </w:t>
      </w:r>
      <w:r>
        <w:rPr>
          <w:rFonts w:ascii="Garamond" w:hAnsi="Garamond" w:cs="Garamond"/>
          <w:sz w:val="22"/>
          <w:szCs w:val="22"/>
        </w:rPr>
        <w:t>greater</w:t>
      </w:r>
      <w:r>
        <w:rPr>
          <w:rFonts w:ascii="Garamond" w:hAnsi="Garamond" w:cs="Garamond"/>
          <w:spacing w:val="-8"/>
          <w:sz w:val="22"/>
          <w:szCs w:val="22"/>
        </w:rPr>
        <w:t xml:space="preserve"> </w:t>
      </w:r>
      <w:r>
        <w:rPr>
          <w:rFonts w:ascii="Garamond" w:hAnsi="Garamond" w:cs="Garamond"/>
          <w:sz w:val="22"/>
          <w:szCs w:val="22"/>
        </w:rPr>
        <w:t>detail</w:t>
      </w:r>
      <w:r>
        <w:rPr>
          <w:rFonts w:ascii="Garamond" w:hAnsi="Garamond" w:cs="Garamond"/>
          <w:spacing w:val="-11"/>
          <w:sz w:val="22"/>
          <w:szCs w:val="22"/>
        </w:rPr>
        <w:t xml:space="preserve"> </w:t>
      </w:r>
      <w:r>
        <w:rPr>
          <w:rFonts w:ascii="Garamond" w:hAnsi="Garamond" w:cs="Garamond"/>
          <w:sz w:val="22"/>
          <w:szCs w:val="22"/>
        </w:rPr>
        <w:t>in</w:t>
      </w:r>
      <w:r>
        <w:rPr>
          <w:rFonts w:ascii="Garamond" w:hAnsi="Garamond" w:cs="Garamond"/>
          <w:spacing w:val="-14"/>
          <w:sz w:val="22"/>
          <w:szCs w:val="22"/>
        </w:rPr>
        <w:t xml:space="preserve"> </w:t>
      </w:r>
      <w:r>
        <w:rPr>
          <w:rFonts w:ascii="Garamond" w:hAnsi="Garamond" w:cs="Garamond"/>
          <w:sz w:val="22"/>
          <w:szCs w:val="22"/>
        </w:rPr>
        <w:t>other</w:t>
      </w:r>
      <w:r>
        <w:rPr>
          <w:rFonts w:ascii="Garamond" w:hAnsi="Garamond" w:cs="Garamond"/>
          <w:spacing w:val="-13"/>
          <w:sz w:val="22"/>
          <w:szCs w:val="22"/>
        </w:rPr>
        <w:t xml:space="preserve"> </w:t>
      </w:r>
      <w:r>
        <w:rPr>
          <w:rFonts w:ascii="Garamond" w:hAnsi="Garamond" w:cs="Garamond"/>
          <w:sz w:val="22"/>
          <w:szCs w:val="22"/>
        </w:rPr>
        <w:t>sections.</w:t>
      </w:r>
      <w:r>
        <w:rPr>
          <w:rFonts w:ascii="Garamond" w:hAnsi="Garamond" w:cs="Garamond"/>
          <w:position w:val="5"/>
          <w:sz w:val="14"/>
          <w:szCs w:val="14"/>
        </w:rPr>
        <w:t>11</w:t>
      </w:r>
    </w:p>
    <w:p w:rsidR="002C5025" w:rsidRDefault="002C5025">
      <w:pPr>
        <w:pStyle w:val="ListParagraph"/>
        <w:numPr>
          <w:ilvl w:val="2"/>
          <w:numId w:val="49"/>
        </w:numPr>
        <w:tabs>
          <w:tab w:val="left" w:pos="841"/>
        </w:tabs>
        <w:kinsoku w:val="0"/>
        <w:overflowPunct w:val="0"/>
        <w:ind w:left="839" w:right="201" w:hanging="359"/>
        <w:rPr>
          <w:rFonts w:ascii="Garamond" w:hAnsi="Garamond" w:cs="Garamond"/>
          <w:position w:val="5"/>
          <w:sz w:val="14"/>
          <w:szCs w:val="14"/>
        </w:rPr>
      </w:pPr>
      <w:r>
        <w:rPr>
          <w:rFonts w:ascii="Garamond" w:hAnsi="Garamond" w:cs="Garamond"/>
          <w:i/>
          <w:iCs/>
          <w:sz w:val="22"/>
          <w:szCs w:val="22"/>
        </w:rPr>
        <w:t xml:space="preserve">Help members become “activated.” </w:t>
      </w:r>
      <w:r>
        <w:rPr>
          <w:rFonts w:ascii="Garamond" w:hAnsi="Garamond" w:cs="Garamond"/>
          <w:sz w:val="22"/>
          <w:szCs w:val="22"/>
        </w:rPr>
        <w:t>Members who have the skills, ability, and willingness to manage their own health and health care experience have better health outcomes at lower costs compared to less activated</w:t>
      </w:r>
      <w:r>
        <w:rPr>
          <w:rFonts w:ascii="Garamond" w:hAnsi="Garamond" w:cs="Garamond"/>
          <w:spacing w:val="-6"/>
          <w:sz w:val="22"/>
          <w:szCs w:val="22"/>
        </w:rPr>
        <w:t xml:space="preserve"> </w:t>
      </w:r>
      <w:r>
        <w:rPr>
          <w:rFonts w:ascii="Garamond" w:hAnsi="Garamond" w:cs="Garamond"/>
          <w:sz w:val="22"/>
          <w:szCs w:val="22"/>
        </w:rPr>
        <w:t>members.</w:t>
      </w:r>
      <w:r>
        <w:rPr>
          <w:rFonts w:ascii="Garamond" w:hAnsi="Garamond" w:cs="Garamond"/>
          <w:spacing w:val="-11"/>
          <w:sz w:val="22"/>
          <w:szCs w:val="22"/>
        </w:rPr>
        <w:t xml:space="preserve"> </w:t>
      </w:r>
      <w:r>
        <w:rPr>
          <w:rFonts w:ascii="Garamond" w:hAnsi="Garamond" w:cs="Garamond"/>
          <w:sz w:val="22"/>
          <w:szCs w:val="22"/>
        </w:rPr>
        <w:t>The</w:t>
      </w:r>
      <w:r>
        <w:rPr>
          <w:rFonts w:ascii="Garamond" w:hAnsi="Garamond" w:cs="Garamond"/>
          <w:spacing w:val="-7"/>
          <w:sz w:val="22"/>
          <w:szCs w:val="22"/>
        </w:rPr>
        <w:t xml:space="preserve"> </w:t>
      </w:r>
      <w:r>
        <w:rPr>
          <w:rFonts w:ascii="Garamond" w:hAnsi="Garamond" w:cs="Garamond"/>
          <w:sz w:val="22"/>
          <w:szCs w:val="22"/>
        </w:rPr>
        <w:t>“Patient</w:t>
      </w:r>
      <w:r>
        <w:rPr>
          <w:rFonts w:ascii="Garamond" w:hAnsi="Garamond" w:cs="Garamond"/>
          <w:spacing w:val="-6"/>
          <w:sz w:val="22"/>
          <w:szCs w:val="22"/>
        </w:rPr>
        <w:t xml:space="preserve"> </w:t>
      </w:r>
      <w:r>
        <w:rPr>
          <w:rFonts w:ascii="Garamond" w:hAnsi="Garamond" w:cs="Garamond"/>
          <w:sz w:val="22"/>
          <w:szCs w:val="22"/>
        </w:rPr>
        <w:t>Activation</w:t>
      </w:r>
      <w:r>
        <w:rPr>
          <w:rFonts w:ascii="Garamond" w:hAnsi="Garamond" w:cs="Garamond"/>
          <w:spacing w:val="-11"/>
          <w:sz w:val="22"/>
          <w:szCs w:val="22"/>
        </w:rPr>
        <w:t xml:space="preserve"> </w:t>
      </w:r>
      <w:r>
        <w:rPr>
          <w:rFonts w:ascii="Garamond" w:hAnsi="Garamond" w:cs="Garamond"/>
          <w:sz w:val="22"/>
          <w:szCs w:val="22"/>
        </w:rPr>
        <w:t>Measure”</w:t>
      </w:r>
      <w:r>
        <w:rPr>
          <w:rFonts w:ascii="Garamond" w:hAnsi="Garamond" w:cs="Garamond"/>
          <w:spacing w:val="-9"/>
          <w:sz w:val="22"/>
          <w:szCs w:val="22"/>
        </w:rPr>
        <w:t xml:space="preserve"> </w:t>
      </w:r>
      <w:r>
        <w:rPr>
          <w:rFonts w:ascii="Garamond" w:hAnsi="Garamond" w:cs="Garamond"/>
          <w:sz w:val="22"/>
          <w:szCs w:val="22"/>
        </w:rPr>
        <w:t>is</w:t>
      </w:r>
      <w:r>
        <w:rPr>
          <w:rFonts w:ascii="Garamond" w:hAnsi="Garamond" w:cs="Garamond"/>
          <w:spacing w:val="-8"/>
          <w:sz w:val="22"/>
          <w:szCs w:val="22"/>
        </w:rPr>
        <w:t xml:space="preserve"> </w:t>
      </w:r>
      <w:r>
        <w:rPr>
          <w:rFonts w:ascii="Garamond" w:hAnsi="Garamond" w:cs="Garamond"/>
          <w:sz w:val="22"/>
          <w:szCs w:val="22"/>
        </w:rPr>
        <w:t>a</w:t>
      </w:r>
      <w:r>
        <w:rPr>
          <w:rFonts w:ascii="Garamond" w:hAnsi="Garamond" w:cs="Garamond"/>
          <w:spacing w:val="-7"/>
          <w:sz w:val="22"/>
          <w:szCs w:val="22"/>
        </w:rPr>
        <w:t xml:space="preserve"> </w:t>
      </w:r>
      <w:r>
        <w:rPr>
          <w:rFonts w:ascii="Garamond" w:hAnsi="Garamond" w:cs="Garamond"/>
          <w:sz w:val="22"/>
          <w:szCs w:val="22"/>
        </w:rPr>
        <w:t>validated</w:t>
      </w:r>
      <w:r>
        <w:rPr>
          <w:rFonts w:ascii="Garamond" w:hAnsi="Garamond" w:cs="Garamond"/>
          <w:spacing w:val="-11"/>
          <w:sz w:val="22"/>
          <w:szCs w:val="22"/>
        </w:rPr>
        <w:t xml:space="preserve"> </w:t>
      </w:r>
      <w:r>
        <w:rPr>
          <w:rFonts w:ascii="Garamond" w:hAnsi="Garamond" w:cs="Garamond"/>
          <w:sz w:val="22"/>
          <w:szCs w:val="22"/>
        </w:rPr>
        <w:t>survey</w:t>
      </w:r>
      <w:r>
        <w:rPr>
          <w:rFonts w:ascii="Garamond" w:hAnsi="Garamond" w:cs="Garamond"/>
          <w:spacing w:val="-9"/>
          <w:sz w:val="22"/>
          <w:szCs w:val="22"/>
        </w:rPr>
        <w:t xml:space="preserve"> </w:t>
      </w:r>
      <w:r>
        <w:rPr>
          <w:rFonts w:ascii="Garamond" w:hAnsi="Garamond" w:cs="Garamond"/>
          <w:sz w:val="22"/>
          <w:szCs w:val="22"/>
        </w:rPr>
        <w:t>that</w:t>
      </w:r>
      <w:r>
        <w:rPr>
          <w:rFonts w:ascii="Garamond" w:hAnsi="Garamond" w:cs="Garamond"/>
          <w:spacing w:val="-11"/>
          <w:sz w:val="22"/>
          <w:szCs w:val="22"/>
        </w:rPr>
        <w:t xml:space="preserve"> </w:t>
      </w:r>
      <w:r>
        <w:rPr>
          <w:rFonts w:ascii="Garamond" w:hAnsi="Garamond" w:cs="Garamond"/>
          <w:sz w:val="22"/>
          <w:szCs w:val="22"/>
        </w:rPr>
        <w:t>scores</w:t>
      </w:r>
      <w:r>
        <w:rPr>
          <w:rFonts w:ascii="Garamond" w:hAnsi="Garamond" w:cs="Garamond"/>
          <w:spacing w:val="-8"/>
          <w:sz w:val="22"/>
          <w:szCs w:val="22"/>
        </w:rPr>
        <w:t xml:space="preserve"> </w:t>
      </w:r>
      <w:r>
        <w:rPr>
          <w:rFonts w:ascii="Garamond" w:hAnsi="Garamond" w:cs="Garamond"/>
          <w:sz w:val="22"/>
          <w:szCs w:val="22"/>
        </w:rPr>
        <w:t>the</w:t>
      </w:r>
      <w:r>
        <w:rPr>
          <w:rFonts w:ascii="Garamond" w:hAnsi="Garamond" w:cs="Garamond"/>
          <w:spacing w:val="-7"/>
          <w:sz w:val="22"/>
          <w:szCs w:val="22"/>
        </w:rPr>
        <w:t xml:space="preserve"> </w:t>
      </w:r>
      <w:r>
        <w:rPr>
          <w:rFonts w:ascii="Garamond" w:hAnsi="Garamond" w:cs="Garamond"/>
          <w:sz w:val="22"/>
          <w:szCs w:val="22"/>
        </w:rPr>
        <w:t>degree</w:t>
      </w:r>
      <w:r>
        <w:rPr>
          <w:rFonts w:ascii="Garamond" w:hAnsi="Garamond" w:cs="Garamond"/>
          <w:spacing w:val="-9"/>
          <w:sz w:val="22"/>
          <w:szCs w:val="22"/>
        </w:rPr>
        <w:t xml:space="preserve"> </w:t>
      </w:r>
      <w:r>
        <w:rPr>
          <w:rFonts w:ascii="Garamond" w:hAnsi="Garamond" w:cs="Garamond"/>
          <w:sz w:val="22"/>
          <w:szCs w:val="22"/>
        </w:rPr>
        <w:t>to which</w:t>
      </w:r>
      <w:r>
        <w:rPr>
          <w:rFonts w:ascii="Garamond" w:hAnsi="Garamond" w:cs="Garamond"/>
          <w:spacing w:val="-8"/>
          <w:sz w:val="22"/>
          <w:szCs w:val="22"/>
        </w:rPr>
        <w:t xml:space="preserve"> </w:t>
      </w:r>
      <w:r>
        <w:rPr>
          <w:rFonts w:ascii="Garamond" w:hAnsi="Garamond" w:cs="Garamond"/>
          <w:sz w:val="22"/>
          <w:szCs w:val="22"/>
        </w:rPr>
        <w:t>someone</w:t>
      </w:r>
      <w:r>
        <w:rPr>
          <w:rFonts w:ascii="Garamond" w:hAnsi="Garamond" w:cs="Garamond"/>
          <w:spacing w:val="-11"/>
          <w:sz w:val="22"/>
          <w:szCs w:val="22"/>
        </w:rPr>
        <w:t xml:space="preserve"> </w:t>
      </w:r>
      <w:r>
        <w:rPr>
          <w:rFonts w:ascii="Garamond" w:hAnsi="Garamond" w:cs="Garamond"/>
          <w:sz w:val="22"/>
          <w:szCs w:val="22"/>
        </w:rPr>
        <w:t>sees</w:t>
      </w:r>
      <w:r>
        <w:rPr>
          <w:rFonts w:ascii="Garamond" w:hAnsi="Garamond" w:cs="Garamond"/>
          <w:spacing w:val="-9"/>
          <w:sz w:val="22"/>
          <w:szCs w:val="22"/>
        </w:rPr>
        <w:t xml:space="preserve"> </w:t>
      </w:r>
      <w:r>
        <w:rPr>
          <w:rFonts w:ascii="Garamond" w:hAnsi="Garamond" w:cs="Garamond"/>
          <w:sz w:val="22"/>
          <w:szCs w:val="22"/>
        </w:rPr>
        <w:t>himself</w:t>
      </w:r>
      <w:r>
        <w:rPr>
          <w:rFonts w:ascii="Garamond" w:hAnsi="Garamond" w:cs="Garamond"/>
          <w:spacing w:val="-9"/>
          <w:sz w:val="22"/>
          <w:szCs w:val="22"/>
        </w:rPr>
        <w:t xml:space="preserve"> </w:t>
      </w:r>
      <w:r>
        <w:rPr>
          <w:rFonts w:ascii="Garamond" w:hAnsi="Garamond" w:cs="Garamond"/>
          <w:sz w:val="22"/>
          <w:szCs w:val="22"/>
        </w:rPr>
        <w:t>or</w:t>
      </w:r>
      <w:r>
        <w:rPr>
          <w:rFonts w:ascii="Garamond" w:hAnsi="Garamond" w:cs="Garamond"/>
          <w:spacing w:val="-5"/>
          <w:sz w:val="22"/>
          <w:szCs w:val="22"/>
        </w:rPr>
        <w:t xml:space="preserve"> </w:t>
      </w:r>
      <w:r>
        <w:rPr>
          <w:rFonts w:ascii="Garamond" w:hAnsi="Garamond" w:cs="Garamond"/>
          <w:sz w:val="22"/>
          <w:szCs w:val="22"/>
        </w:rPr>
        <w:t>herself</w:t>
      </w:r>
      <w:r>
        <w:rPr>
          <w:rFonts w:ascii="Garamond" w:hAnsi="Garamond" w:cs="Garamond"/>
          <w:spacing w:val="-5"/>
          <w:sz w:val="22"/>
          <w:szCs w:val="22"/>
        </w:rPr>
        <w:t xml:space="preserve"> </w:t>
      </w:r>
      <w:r>
        <w:rPr>
          <w:rFonts w:ascii="Garamond" w:hAnsi="Garamond" w:cs="Garamond"/>
          <w:sz w:val="22"/>
          <w:szCs w:val="22"/>
        </w:rPr>
        <w:t>as</w:t>
      </w:r>
      <w:r>
        <w:rPr>
          <w:rFonts w:ascii="Garamond" w:hAnsi="Garamond" w:cs="Garamond"/>
          <w:spacing w:val="-7"/>
          <w:sz w:val="22"/>
          <w:szCs w:val="22"/>
        </w:rPr>
        <w:t xml:space="preserve"> </w:t>
      </w:r>
      <w:r>
        <w:rPr>
          <w:rFonts w:ascii="Garamond" w:hAnsi="Garamond" w:cs="Garamond"/>
          <w:sz w:val="22"/>
          <w:szCs w:val="22"/>
        </w:rPr>
        <w:t>a</w:t>
      </w:r>
      <w:r>
        <w:rPr>
          <w:rFonts w:ascii="Garamond" w:hAnsi="Garamond" w:cs="Garamond"/>
          <w:spacing w:val="-9"/>
          <w:sz w:val="22"/>
          <w:szCs w:val="22"/>
        </w:rPr>
        <w:t xml:space="preserve"> </w:t>
      </w:r>
      <w:r>
        <w:rPr>
          <w:rFonts w:ascii="Garamond" w:hAnsi="Garamond" w:cs="Garamond"/>
          <w:sz w:val="22"/>
          <w:szCs w:val="22"/>
        </w:rPr>
        <w:t>manager</w:t>
      </w:r>
      <w:r>
        <w:rPr>
          <w:rFonts w:ascii="Garamond" w:hAnsi="Garamond" w:cs="Garamond"/>
          <w:spacing w:val="-5"/>
          <w:sz w:val="22"/>
          <w:szCs w:val="22"/>
        </w:rPr>
        <w:t xml:space="preserve"> </w:t>
      </w:r>
      <w:r>
        <w:rPr>
          <w:rFonts w:ascii="Garamond" w:hAnsi="Garamond" w:cs="Garamond"/>
          <w:sz w:val="22"/>
          <w:szCs w:val="22"/>
        </w:rPr>
        <w:t>of</w:t>
      </w:r>
      <w:r>
        <w:rPr>
          <w:rFonts w:ascii="Garamond" w:hAnsi="Garamond" w:cs="Garamond"/>
          <w:spacing w:val="-7"/>
          <w:sz w:val="22"/>
          <w:szCs w:val="22"/>
        </w:rPr>
        <w:t xml:space="preserve"> </w:t>
      </w:r>
      <w:r>
        <w:rPr>
          <w:rFonts w:ascii="Garamond" w:hAnsi="Garamond" w:cs="Garamond"/>
          <w:sz w:val="22"/>
          <w:szCs w:val="22"/>
        </w:rPr>
        <w:t>his</w:t>
      </w:r>
      <w:r>
        <w:rPr>
          <w:rFonts w:ascii="Garamond" w:hAnsi="Garamond" w:cs="Garamond"/>
          <w:spacing w:val="-4"/>
          <w:sz w:val="22"/>
          <w:szCs w:val="22"/>
        </w:rPr>
        <w:t xml:space="preserve"> </w:t>
      </w:r>
      <w:r>
        <w:rPr>
          <w:rFonts w:ascii="Garamond" w:hAnsi="Garamond" w:cs="Garamond"/>
          <w:sz w:val="22"/>
          <w:szCs w:val="22"/>
        </w:rPr>
        <w:t>or</w:t>
      </w:r>
      <w:r>
        <w:rPr>
          <w:rFonts w:ascii="Garamond" w:hAnsi="Garamond" w:cs="Garamond"/>
          <w:spacing w:val="-9"/>
          <w:sz w:val="22"/>
          <w:szCs w:val="22"/>
        </w:rPr>
        <w:t xml:space="preserve"> </w:t>
      </w:r>
      <w:r>
        <w:rPr>
          <w:rFonts w:ascii="Garamond" w:hAnsi="Garamond" w:cs="Garamond"/>
          <w:sz w:val="22"/>
          <w:szCs w:val="22"/>
        </w:rPr>
        <w:t>her</w:t>
      </w:r>
      <w:r>
        <w:rPr>
          <w:rFonts w:ascii="Garamond" w:hAnsi="Garamond" w:cs="Garamond"/>
          <w:spacing w:val="-7"/>
          <w:sz w:val="22"/>
          <w:szCs w:val="22"/>
        </w:rPr>
        <w:t xml:space="preserve"> </w:t>
      </w:r>
      <w:r>
        <w:rPr>
          <w:rFonts w:ascii="Garamond" w:hAnsi="Garamond" w:cs="Garamond"/>
          <w:sz w:val="22"/>
          <w:szCs w:val="22"/>
        </w:rPr>
        <w:t>health</w:t>
      </w:r>
      <w:r>
        <w:rPr>
          <w:rFonts w:ascii="Garamond" w:hAnsi="Garamond" w:cs="Garamond"/>
          <w:spacing w:val="-5"/>
          <w:sz w:val="22"/>
          <w:szCs w:val="22"/>
        </w:rPr>
        <w:t xml:space="preserve"> </w:t>
      </w:r>
      <w:r>
        <w:rPr>
          <w:rFonts w:ascii="Garamond" w:hAnsi="Garamond" w:cs="Garamond"/>
          <w:sz w:val="22"/>
          <w:szCs w:val="22"/>
        </w:rPr>
        <w:t>and</w:t>
      </w:r>
      <w:r>
        <w:rPr>
          <w:rFonts w:ascii="Garamond" w:hAnsi="Garamond" w:cs="Garamond"/>
          <w:spacing w:val="-8"/>
          <w:sz w:val="22"/>
          <w:szCs w:val="22"/>
        </w:rPr>
        <w:t xml:space="preserve"> </w:t>
      </w:r>
      <w:r>
        <w:rPr>
          <w:rFonts w:ascii="Garamond" w:hAnsi="Garamond" w:cs="Garamond"/>
          <w:sz w:val="22"/>
          <w:szCs w:val="22"/>
        </w:rPr>
        <w:t>care.</w:t>
      </w:r>
      <w:r>
        <w:rPr>
          <w:rFonts w:ascii="Garamond" w:hAnsi="Garamond" w:cs="Garamond"/>
          <w:spacing w:val="-8"/>
          <w:sz w:val="22"/>
          <w:szCs w:val="22"/>
        </w:rPr>
        <w:t xml:space="preserve"> </w:t>
      </w:r>
      <w:r>
        <w:rPr>
          <w:rFonts w:ascii="Garamond" w:hAnsi="Garamond" w:cs="Garamond"/>
          <w:sz w:val="22"/>
          <w:szCs w:val="22"/>
        </w:rPr>
        <w:t>Interventions</w:t>
      </w:r>
      <w:r>
        <w:rPr>
          <w:rFonts w:ascii="Garamond" w:hAnsi="Garamond" w:cs="Garamond"/>
          <w:spacing w:val="-3"/>
          <w:sz w:val="22"/>
          <w:szCs w:val="22"/>
        </w:rPr>
        <w:t xml:space="preserve"> </w:t>
      </w:r>
      <w:r>
        <w:rPr>
          <w:rFonts w:ascii="Garamond" w:hAnsi="Garamond" w:cs="Garamond"/>
          <w:sz w:val="22"/>
          <w:szCs w:val="22"/>
        </w:rPr>
        <w:t xml:space="preserve">that tailor support to the individual’s level of activation </w:t>
      </w:r>
      <w:r>
        <w:rPr>
          <w:rFonts w:ascii="Garamond" w:hAnsi="Garamond" w:cs="Garamond"/>
          <w:spacing w:val="-3"/>
          <w:sz w:val="22"/>
          <w:szCs w:val="22"/>
        </w:rPr>
        <w:t xml:space="preserve">and </w:t>
      </w:r>
      <w:r>
        <w:rPr>
          <w:rFonts w:ascii="Garamond" w:hAnsi="Garamond" w:cs="Garamond"/>
          <w:sz w:val="22"/>
          <w:szCs w:val="22"/>
        </w:rPr>
        <w:t xml:space="preserve">that build skills and confidence are effective in increasing </w:t>
      </w:r>
      <w:r>
        <w:rPr>
          <w:rFonts w:ascii="Garamond" w:hAnsi="Garamond" w:cs="Garamond"/>
          <w:spacing w:val="-3"/>
          <w:sz w:val="22"/>
          <w:szCs w:val="22"/>
        </w:rPr>
        <w:t>patient</w:t>
      </w:r>
      <w:r>
        <w:rPr>
          <w:rFonts w:ascii="Garamond" w:hAnsi="Garamond" w:cs="Garamond"/>
          <w:spacing w:val="-32"/>
          <w:sz w:val="22"/>
          <w:szCs w:val="22"/>
        </w:rPr>
        <w:t xml:space="preserve"> </w:t>
      </w:r>
      <w:r>
        <w:rPr>
          <w:rFonts w:ascii="Garamond" w:hAnsi="Garamond" w:cs="Garamond"/>
          <w:sz w:val="22"/>
          <w:szCs w:val="22"/>
        </w:rPr>
        <w:t>activation.</w:t>
      </w:r>
      <w:r>
        <w:rPr>
          <w:rFonts w:ascii="Garamond" w:hAnsi="Garamond" w:cs="Garamond"/>
          <w:position w:val="5"/>
          <w:sz w:val="14"/>
          <w:szCs w:val="14"/>
        </w:rPr>
        <w:t>12</w:t>
      </w:r>
    </w:p>
    <w:p w:rsidR="002C5025" w:rsidRDefault="002C5025">
      <w:pPr>
        <w:pStyle w:val="ListParagraph"/>
        <w:numPr>
          <w:ilvl w:val="2"/>
          <w:numId w:val="49"/>
        </w:numPr>
        <w:tabs>
          <w:tab w:val="left" w:pos="841"/>
        </w:tabs>
        <w:kinsoku w:val="0"/>
        <w:overflowPunct w:val="0"/>
        <w:ind w:left="839" w:right="154" w:hanging="359"/>
        <w:rPr>
          <w:rFonts w:ascii="Garamond" w:hAnsi="Garamond" w:cs="Garamond"/>
          <w:spacing w:val="-3"/>
          <w:sz w:val="22"/>
          <w:szCs w:val="22"/>
        </w:rPr>
      </w:pPr>
      <w:r>
        <w:rPr>
          <w:rFonts w:ascii="Garamond" w:hAnsi="Garamond" w:cs="Garamond"/>
          <w:i/>
          <w:iCs/>
          <w:sz w:val="22"/>
          <w:szCs w:val="22"/>
        </w:rPr>
        <w:t xml:space="preserve">Provide patients with access to all their medical records, including behavioral health records. </w:t>
      </w:r>
      <w:r>
        <w:rPr>
          <w:rFonts w:ascii="Garamond" w:hAnsi="Garamond" w:cs="Garamond"/>
          <w:sz w:val="22"/>
          <w:szCs w:val="22"/>
        </w:rPr>
        <w:t>Patient portals, which provide members with access to their medical information as well as a means to communicate with their</w:t>
      </w:r>
      <w:r>
        <w:rPr>
          <w:rFonts w:ascii="Garamond" w:hAnsi="Garamond" w:cs="Garamond"/>
          <w:spacing w:val="-6"/>
          <w:sz w:val="22"/>
          <w:szCs w:val="22"/>
        </w:rPr>
        <w:t xml:space="preserve"> </w:t>
      </w:r>
      <w:r>
        <w:rPr>
          <w:rFonts w:ascii="Garamond" w:hAnsi="Garamond" w:cs="Garamond"/>
          <w:sz w:val="22"/>
          <w:szCs w:val="22"/>
        </w:rPr>
        <w:t>providers,</w:t>
      </w:r>
      <w:r>
        <w:rPr>
          <w:rFonts w:ascii="Garamond" w:hAnsi="Garamond" w:cs="Garamond"/>
          <w:spacing w:val="-9"/>
          <w:sz w:val="22"/>
          <w:szCs w:val="22"/>
        </w:rPr>
        <w:t xml:space="preserve"> </w:t>
      </w:r>
      <w:r>
        <w:rPr>
          <w:rFonts w:ascii="Garamond" w:hAnsi="Garamond" w:cs="Garamond"/>
          <w:sz w:val="22"/>
          <w:szCs w:val="22"/>
        </w:rPr>
        <w:t>have</w:t>
      </w:r>
      <w:r>
        <w:rPr>
          <w:rFonts w:ascii="Garamond" w:hAnsi="Garamond" w:cs="Garamond"/>
          <w:spacing w:val="-9"/>
          <w:sz w:val="22"/>
          <w:szCs w:val="22"/>
        </w:rPr>
        <w:t xml:space="preserve"> </w:t>
      </w:r>
      <w:r>
        <w:rPr>
          <w:rFonts w:ascii="Garamond" w:hAnsi="Garamond" w:cs="Garamond"/>
          <w:sz w:val="22"/>
          <w:szCs w:val="22"/>
        </w:rPr>
        <w:t>been</w:t>
      </w:r>
      <w:r>
        <w:rPr>
          <w:rFonts w:ascii="Garamond" w:hAnsi="Garamond" w:cs="Garamond"/>
          <w:spacing w:val="-8"/>
          <w:sz w:val="22"/>
          <w:szCs w:val="22"/>
        </w:rPr>
        <w:t xml:space="preserve"> </w:t>
      </w:r>
      <w:r>
        <w:rPr>
          <w:rFonts w:ascii="Garamond" w:hAnsi="Garamond" w:cs="Garamond"/>
          <w:sz w:val="22"/>
          <w:szCs w:val="22"/>
        </w:rPr>
        <w:t>shown</w:t>
      </w:r>
      <w:r>
        <w:rPr>
          <w:rFonts w:ascii="Garamond" w:hAnsi="Garamond" w:cs="Garamond"/>
          <w:spacing w:val="-6"/>
          <w:sz w:val="22"/>
          <w:szCs w:val="22"/>
        </w:rPr>
        <w:t xml:space="preserve"> </w:t>
      </w:r>
      <w:r>
        <w:rPr>
          <w:rFonts w:ascii="Garamond" w:hAnsi="Garamond" w:cs="Garamond"/>
          <w:sz w:val="22"/>
          <w:szCs w:val="22"/>
        </w:rPr>
        <w:t>to</w:t>
      </w:r>
      <w:r>
        <w:rPr>
          <w:rFonts w:ascii="Garamond" w:hAnsi="Garamond" w:cs="Garamond"/>
          <w:spacing w:val="-6"/>
          <w:sz w:val="22"/>
          <w:szCs w:val="22"/>
        </w:rPr>
        <w:t xml:space="preserve"> </w:t>
      </w:r>
      <w:r>
        <w:rPr>
          <w:rFonts w:ascii="Garamond" w:hAnsi="Garamond" w:cs="Garamond"/>
          <w:sz w:val="22"/>
          <w:szCs w:val="22"/>
        </w:rPr>
        <w:t>increase</w:t>
      </w:r>
      <w:r>
        <w:rPr>
          <w:rFonts w:ascii="Garamond" w:hAnsi="Garamond" w:cs="Garamond"/>
          <w:spacing w:val="-12"/>
          <w:sz w:val="22"/>
          <w:szCs w:val="22"/>
        </w:rPr>
        <w:t xml:space="preserve"> </w:t>
      </w:r>
      <w:r>
        <w:rPr>
          <w:rFonts w:ascii="Garamond" w:hAnsi="Garamond" w:cs="Garamond"/>
          <w:sz w:val="22"/>
          <w:szCs w:val="22"/>
        </w:rPr>
        <w:t>patient</w:t>
      </w:r>
      <w:r>
        <w:rPr>
          <w:rFonts w:ascii="Garamond" w:hAnsi="Garamond" w:cs="Garamond"/>
          <w:spacing w:val="-6"/>
          <w:sz w:val="22"/>
          <w:szCs w:val="22"/>
        </w:rPr>
        <w:t xml:space="preserve"> </w:t>
      </w:r>
      <w:r>
        <w:rPr>
          <w:rFonts w:ascii="Garamond" w:hAnsi="Garamond" w:cs="Garamond"/>
          <w:sz w:val="22"/>
          <w:szCs w:val="22"/>
        </w:rPr>
        <w:t>engagement.</w:t>
      </w:r>
      <w:r>
        <w:rPr>
          <w:rFonts w:ascii="Garamond" w:hAnsi="Garamond" w:cs="Garamond"/>
          <w:spacing w:val="-9"/>
          <w:sz w:val="22"/>
          <w:szCs w:val="22"/>
        </w:rPr>
        <w:t xml:space="preserve"> </w:t>
      </w:r>
      <w:r>
        <w:rPr>
          <w:rFonts w:ascii="Garamond" w:hAnsi="Garamond" w:cs="Garamond"/>
          <w:sz w:val="22"/>
          <w:szCs w:val="22"/>
        </w:rPr>
        <w:t>In</w:t>
      </w:r>
      <w:r>
        <w:rPr>
          <w:rFonts w:ascii="Garamond" w:hAnsi="Garamond" w:cs="Garamond"/>
          <w:spacing w:val="-6"/>
          <w:sz w:val="22"/>
          <w:szCs w:val="22"/>
        </w:rPr>
        <w:t xml:space="preserve"> </w:t>
      </w:r>
      <w:r>
        <w:rPr>
          <w:rFonts w:ascii="Garamond" w:hAnsi="Garamond" w:cs="Garamond"/>
          <w:sz w:val="22"/>
          <w:szCs w:val="22"/>
        </w:rPr>
        <w:t>addition,</w:t>
      </w:r>
      <w:r>
        <w:rPr>
          <w:rFonts w:ascii="Garamond" w:hAnsi="Garamond" w:cs="Garamond"/>
          <w:spacing w:val="-6"/>
          <w:sz w:val="22"/>
          <w:szCs w:val="22"/>
        </w:rPr>
        <w:t xml:space="preserve"> </w:t>
      </w:r>
      <w:r>
        <w:rPr>
          <w:rFonts w:ascii="Garamond" w:hAnsi="Garamond" w:cs="Garamond"/>
          <w:spacing w:val="-3"/>
          <w:sz w:val="22"/>
          <w:szCs w:val="22"/>
        </w:rPr>
        <w:t>opening</w:t>
      </w:r>
      <w:r>
        <w:rPr>
          <w:rFonts w:ascii="Garamond" w:hAnsi="Garamond" w:cs="Garamond"/>
          <w:spacing w:val="-9"/>
          <w:sz w:val="22"/>
          <w:szCs w:val="22"/>
        </w:rPr>
        <w:t xml:space="preserve"> </w:t>
      </w:r>
      <w:r>
        <w:rPr>
          <w:rFonts w:ascii="Garamond" w:hAnsi="Garamond" w:cs="Garamond"/>
          <w:sz w:val="22"/>
          <w:szCs w:val="22"/>
        </w:rPr>
        <w:t>up</w:t>
      </w:r>
      <w:r>
        <w:rPr>
          <w:rFonts w:ascii="Garamond" w:hAnsi="Garamond" w:cs="Garamond"/>
          <w:spacing w:val="-9"/>
          <w:sz w:val="22"/>
          <w:szCs w:val="22"/>
        </w:rPr>
        <w:t xml:space="preserve"> </w:t>
      </w:r>
      <w:r>
        <w:rPr>
          <w:rFonts w:ascii="Garamond" w:hAnsi="Garamond" w:cs="Garamond"/>
          <w:sz w:val="22"/>
          <w:szCs w:val="22"/>
        </w:rPr>
        <w:t>behavioral health</w:t>
      </w:r>
      <w:r>
        <w:rPr>
          <w:rFonts w:ascii="Garamond" w:hAnsi="Garamond" w:cs="Garamond"/>
          <w:spacing w:val="-8"/>
          <w:sz w:val="22"/>
          <w:szCs w:val="22"/>
        </w:rPr>
        <w:t xml:space="preserve"> </w:t>
      </w:r>
      <w:r>
        <w:rPr>
          <w:rFonts w:ascii="Garamond" w:hAnsi="Garamond" w:cs="Garamond"/>
          <w:sz w:val="22"/>
          <w:szCs w:val="22"/>
        </w:rPr>
        <w:t>records</w:t>
      </w:r>
      <w:r>
        <w:rPr>
          <w:rFonts w:ascii="Garamond" w:hAnsi="Garamond" w:cs="Garamond"/>
          <w:spacing w:val="-5"/>
          <w:sz w:val="22"/>
          <w:szCs w:val="22"/>
        </w:rPr>
        <w:t xml:space="preserve"> </w:t>
      </w:r>
      <w:r>
        <w:rPr>
          <w:rFonts w:ascii="Garamond" w:hAnsi="Garamond" w:cs="Garamond"/>
          <w:sz w:val="22"/>
          <w:szCs w:val="22"/>
        </w:rPr>
        <w:t>to</w:t>
      </w:r>
      <w:r>
        <w:rPr>
          <w:rFonts w:ascii="Garamond" w:hAnsi="Garamond" w:cs="Garamond"/>
          <w:spacing w:val="-10"/>
          <w:sz w:val="22"/>
          <w:szCs w:val="22"/>
        </w:rPr>
        <w:t xml:space="preserve"> </w:t>
      </w:r>
      <w:r>
        <w:rPr>
          <w:rFonts w:ascii="Garamond" w:hAnsi="Garamond" w:cs="Garamond"/>
          <w:sz w:val="22"/>
          <w:szCs w:val="22"/>
        </w:rPr>
        <w:t>members</w:t>
      </w:r>
      <w:r>
        <w:rPr>
          <w:rFonts w:ascii="Garamond" w:hAnsi="Garamond" w:cs="Garamond"/>
          <w:spacing w:val="-5"/>
          <w:sz w:val="22"/>
          <w:szCs w:val="22"/>
        </w:rPr>
        <w:t xml:space="preserve"> </w:t>
      </w:r>
      <w:r>
        <w:rPr>
          <w:rFonts w:ascii="Garamond" w:hAnsi="Garamond" w:cs="Garamond"/>
          <w:sz w:val="22"/>
          <w:szCs w:val="22"/>
        </w:rPr>
        <w:t>decreases</w:t>
      </w:r>
      <w:r>
        <w:rPr>
          <w:rFonts w:ascii="Garamond" w:hAnsi="Garamond" w:cs="Garamond"/>
          <w:spacing w:val="-5"/>
          <w:sz w:val="22"/>
          <w:szCs w:val="22"/>
        </w:rPr>
        <w:t xml:space="preserve"> </w:t>
      </w:r>
      <w:r>
        <w:rPr>
          <w:rFonts w:ascii="Garamond" w:hAnsi="Garamond" w:cs="Garamond"/>
          <w:sz w:val="22"/>
          <w:szCs w:val="22"/>
        </w:rPr>
        <w:t>provider</w:t>
      </w:r>
      <w:r>
        <w:rPr>
          <w:rFonts w:ascii="Garamond" w:hAnsi="Garamond" w:cs="Garamond"/>
          <w:spacing w:val="-9"/>
          <w:sz w:val="22"/>
          <w:szCs w:val="22"/>
        </w:rPr>
        <w:t xml:space="preserve"> </w:t>
      </w:r>
      <w:r>
        <w:rPr>
          <w:rFonts w:ascii="Garamond" w:hAnsi="Garamond" w:cs="Garamond"/>
          <w:sz w:val="22"/>
          <w:szCs w:val="22"/>
        </w:rPr>
        <w:t>stigma</w:t>
      </w:r>
      <w:r>
        <w:rPr>
          <w:rFonts w:ascii="Garamond" w:hAnsi="Garamond" w:cs="Garamond"/>
          <w:spacing w:val="-9"/>
          <w:sz w:val="22"/>
          <w:szCs w:val="22"/>
        </w:rPr>
        <w:t xml:space="preserve"> </w:t>
      </w:r>
      <w:r>
        <w:rPr>
          <w:rFonts w:ascii="Garamond" w:hAnsi="Garamond" w:cs="Garamond"/>
          <w:sz w:val="22"/>
          <w:szCs w:val="22"/>
        </w:rPr>
        <w:t>by</w:t>
      </w:r>
      <w:r>
        <w:rPr>
          <w:rFonts w:ascii="Garamond" w:hAnsi="Garamond" w:cs="Garamond"/>
          <w:spacing w:val="-11"/>
          <w:sz w:val="22"/>
          <w:szCs w:val="22"/>
        </w:rPr>
        <w:t xml:space="preserve"> </w:t>
      </w:r>
      <w:r>
        <w:rPr>
          <w:rFonts w:ascii="Garamond" w:hAnsi="Garamond" w:cs="Garamond"/>
          <w:sz w:val="22"/>
          <w:szCs w:val="22"/>
        </w:rPr>
        <w:t>requiring</w:t>
      </w:r>
      <w:r>
        <w:rPr>
          <w:rFonts w:ascii="Garamond" w:hAnsi="Garamond" w:cs="Garamond"/>
          <w:spacing w:val="-9"/>
          <w:sz w:val="22"/>
          <w:szCs w:val="22"/>
        </w:rPr>
        <w:t xml:space="preserve"> </w:t>
      </w:r>
      <w:r>
        <w:rPr>
          <w:rFonts w:ascii="Garamond" w:hAnsi="Garamond" w:cs="Garamond"/>
          <w:spacing w:val="-3"/>
          <w:sz w:val="22"/>
          <w:szCs w:val="22"/>
        </w:rPr>
        <w:t>providers</w:t>
      </w:r>
      <w:r>
        <w:rPr>
          <w:rFonts w:ascii="Garamond" w:hAnsi="Garamond" w:cs="Garamond"/>
          <w:spacing w:val="-8"/>
          <w:sz w:val="22"/>
          <w:szCs w:val="22"/>
        </w:rPr>
        <w:t xml:space="preserve"> </w:t>
      </w:r>
      <w:r>
        <w:rPr>
          <w:rFonts w:ascii="Garamond" w:hAnsi="Garamond" w:cs="Garamond"/>
          <w:sz w:val="22"/>
          <w:szCs w:val="22"/>
        </w:rPr>
        <w:t>to</w:t>
      </w:r>
      <w:r>
        <w:rPr>
          <w:rFonts w:ascii="Garamond" w:hAnsi="Garamond" w:cs="Garamond"/>
          <w:spacing w:val="-9"/>
          <w:sz w:val="22"/>
          <w:szCs w:val="22"/>
        </w:rPr>
        <w:t xml:space="preserve"> </w:t>
      </w:r>
      <w:r>
        <w:rPr>
          <w:rFonts w:ascii="Garamond" w:hAnsi="Garamond" w:cs="Garamond"/>
          <w:sz w:val="22"/>
          <w:szCs w:val="22"/>
        </w:rPr>
        <w:t>describe</w:t>
      </w:r>
      <w:r>
        <w:rPr>
          <w:rFonts w:ascii="Garamond" w:hAnsi="Garamond" w:cs="Garamond"/>
          <w:spacing w:val="-7"/>
          <w:sz w:val="22"/>
          <w:szCs w:val="22"/>
        </w:rPr>
        <w:t xml:space="preserve"> </w:t>
      </w:r>
      <w:r>
        <w:rPr>
          <w:rFonts w:ascii="Garamond" w:hAnsi="Garamond" w:cs="Garamond"/>
          <w:sz w:val="22"/>
          <w:szCs w:val="22"/>
        </w:rPr>
        <w:t>behaviors</w:t>
      </w:r>
      <w:r>
        <w:rPr>
          <w:rFonts w:ascii="Garamond" w:hAnsi="Garamond" w:cs="Garamond"/>
          <w:spacing w:val="-5"/>
          <w:sz w:val="22"/>
          <w:szCs w:val="22"/>
        </w:rPr>
        <w:t xml:space="preserve"> </w:t>
      </w:r>
      <w:r>
        <w:rPr>
          <w:rFonts w:ascii="Garamond" w:hAnsi="Garamond" w:cs="Garamond"/>
          <w:spacing w:val="-3"/>
          <w:sz w:val="22"/>
          <w:szCs w:val="22"/>
        </w:rPr>
        <w:t>in</w:t>
      </w:r>
    </w:p>
    <w:p w:rsidR="002C5025" w:rsidRDefault="00FB027C">
      <w:pPr>
        <w:pStyle w:val="ListParagraph"/>
        <w:numPr>
          <w:ilvl w:val="2"/>
          <w:numId w:val="49"/>
        </w:numPr>
        <w:tabs>
          <w:tab w:val="left" w:pos="840"/>
        </w:tabs>
        <w:kinsoku w:val="0"/>
        <w:overflowPunct w:val="0"/>
        <w:spacing w:before="80" w:line="153" w:lineRule="auto"/>
        <w:ind w:left="839" w:right="104" w:hanging="359"/>
        <w:rPr>
          <w:rFonts w:ascii="Garamond" w:hAnsi="Garamond" w:cs="Garamond"/>
          <w:sz w:val="22"/>
          <w:szCs w:val="22"/>
        </w:rPr>
      </w:pPr>
      <w:r w:rsidRPr="00CF30C1">
        <w:rPr>
          <w:noProof/>
        </w:rPr>
        <mc:AlternateContent>
          <mc:Choice Requires="wps">
            <w:drawing>
              <wp:anchor distT="0" distB="0" distL="114300" distR="114300" simplePos="0" relativeHeight="251655680" behindDoc="1" locked="0" layoutInCell="0" allowOverlap="1" wp14:anchorId="01F1E170" wp14:editId="3762345E">
                <wp:simplePos x="0" y="0"/>
                <wp:positionH relativeFrom="page">
                  <wp:posOffset>2567940</wp:posOffset>
                </wp:positionH>
                <wp:positionV relativeFrom="paragraph">
                  <wp:posOffset>70485</wp:posOffset>
                </wp:positionV>
                <wp:extent cx="128905" cy="140335"/>
                <wp:effectExtent l="0" t="0" r="0" b="0"/>
                <wp:wrapNone/>
                <wp:docPr id="563" name="Text 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pStyle w:val="BodyText"/>
                              <w:kinsoku w:val="0"/>
                              <w:overflowPunct w:val="0"/>
                              <w:spacing w:line="221" w:lineRule="exact"/>
                              <w:ind w:right="-18"/>
                              <w:rPr>
                                <w:rFonts w:ascii="Garamond" w:hAnsi="Garamond" w:cs="Garamond"/>
                                <w:i/>
                                <w:iCs/>
                                <w:spacing w:val="-1"/>
                              </w:rPr>
                            </w:pPr>
                            <w:r>
                              <w:rPr>
                                <w:rFonts w:ascii="Garamond" w:hAnsi="Garamond" w:cs="Garamond"/>
                                <w:i/>
                                <w:iCs/>
                                <w:spacing w:val="-1"/>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2" o:spid="_x0000_s1183" type="#_x0000_t202" style="position:absolute;left:0;text-align:left;margin-left:202.2pt;margin-top:5.55pt;width:10.15pt;height:11.0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mfhswIAALQ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" o:allowincell="f" filled="f" stroked="f">
                <v:textbox inset="0,0,0,0">
                  <w:txbxContent>
                    <w:p w:rsidR="007B2B7B" w:rsidRDefault="007B2B7B">
                      <w:pPr>
                        <w:pStyle w:val="BodyText"/>
                        <w:kinsoku w:val="0"/>
                        <w:overflowPunct w:val="0"/>
                        <w:spacing w:line="221" w:lineRule="exact"/>
                        <w:ind w:right="-18"/>
                        <w:rPr>
                          <w:rFonts w:ascii="Garamond" w:hAnsi="Garamond" w:cs="Garamond"/>
                          <w:i/>
                          <w:iCs/>
                          <w:spacing w:val="-1"/>
                        </w:rPr>
                      </w:pPr>
                      <w:r>
                        <w:rPr>
                          <w:rFonts w:ascii="Garamond" w:hAnsi="Garamond" w:cs="Garamond"/>
                          <w:i/>
                          <w:iCs/>
                          <w:spacing w:val="-1"/>
                        </w:rPr>
                        <w:t>e.”</w:t>
                      </w:r>
                    </w:p>
                  </w:txbxContent>
                </v:textbox>
                <w10:wrap anchorx="page"/>
              </v:shape>
            </w:pict>
          </mc:Fallback>
        </mc:AlternateContent>
      </w:r>
      <w:r w:rsidR="002C5025" w:rsidRPr="00CF30C1">
        <w:rPr>
          <w:rFonts w:ascii="Garamond" w:hAnsi="Garamond" w:cs="Garamond"/>
          <w:position w:val="9"/>
          <w:sz w:val="22"/>
          <w:szCs w:val="22"/>
        </w:rPr>
        <w:t>n</w:t>
      </w:r>
      <w:r w:rsidR="002C5025" w:rsidRPr="00CF30C1">
        <w:rPr>
          <w:rFonts w:ascii="Garamond" w:hAnsi="Garamond" w:cs="Garamond"/>
          <w:i/>
          <w:iCs/>
          <w:sz w:val="22"/>
          <w:szCs w:val="22"/>
        </w:rPr>
        <w:t>In</w:t>
      </w:r>
      <w:r w:rsidR="002C5025" w:rsidRPr="00CF30C1">
        <w:rPr>
          <w:rFonts w:ascii="Garamond" w:hAnsi="Garamond" w:cs="Garamond"/>
          <w:position w:val="9"/>
          <w:sz w:val="22"/>
          <w:szCs w:val="22"/>
        </w:rPr>
        <w:t>o</w:t>
      </w:r>
      <w:r w:rsidR="002C5025" w:rsidRPr="00CF30C1">
        <w:rPr>
          <w:rFonts w:ascii="Garamond" w:hAnsi="Garamond" w:cs="Garamond"/>
          <w:i/>
          <w:iCs/>
          <w:sz w:val="22"/>
          <w:szCs w:val="22"/>
        </w:rPr>
        <w:t>c</w:t>
      </w:r>
      <w:r w:rsidR="002C5025" w:rsidRPr="00CF30C1">
        <w:rPr>
          <w:rFonts w:ascii="Garamond" w:hAnsi="Garamond" w:cs="Garamond"/>
          <w:position w:val="9"/>
          <w:sz w:val="22"/>
          <w:szCs w:val="22"/>
        </w:rPr>
        <w:t>n</w:t>
      </w:r>
      <w:r w:rsidR="002C5025" w:rsidRPr="00CF30C1">
        <w:rPr>
          <w:rFonts w:ascii="Garamond" w:hAnsi="Garamond" w:cs="Garamond"/>
          <w:i/>
          <w:iCs/>
          <w:sz w:val="22"/>
          <w:szCs w:val="22"/>
        </w:rPr>
        <w:t>re</w:t>
      </w:r>
      <w:r w:rsidR="002C5025" w:rsidRPr="00CF30C1">
        <w:rPr>
          <w:rFonts w:ascii="Garamond" w:hAnsi="Garamond" w:cs="Garamond"/>
          <w:position w:val="9"/>
          <w:sz w:val="22"/>
          <w:szCs w:val="22"/>
        </w:rPr>
        <w:t>-</w:t>
      </w:r>
      <w:r w:rsidR="002C5025" w:rsidRPr="00CF30C1">
        <w:rPr>
          <w:rFonts w:ascii="Garamond" w:hAnsi="Garamond" w:cs="Garamond"/>
          <w:i/>
          <w:iCs/>
          <w:sz w:val="22"/>
          <w:szCs w:val="22"/>
        </w:rPr>
        <w:t>a</w:t>
      </w:r>
      <w:r w:rsidR="002C5025" w:rsidRPr="00CF30C1">
        <w:rPr>
          <w:rFonts w:ascii="Garamond" w:hAnsi="Garamond" w:cs="Garamond"/>
          <w:position w:val="9"/>
          <w:sz w:val="22"/>
          <w:szCs w:val="22"/>
        </w:rPr>
        <w:t>j</w:t>
      </w:r>
      <w:r w:rsidR="002C5025" w:rsidRPr="00CF30C1">
        <w:rPr>
          <w:rFonts w:ascii="Garamond" w:hAnsi="Garamond" w:cs="Garamond"/>
          <w:i/>
          <w:iCs/>
          <w:sz w:val="22"/>
          <w:szCs w:val="22"/>
        </w:rPr>
        <w:t>s</w:t>
      </w:r>
      <w:r w:rsidR="002C5025" w:rsidRPr="00CF30C1">
        <w:rPr>
          <w:rFonts w:ascii="Garamond" w:hAnsi="Garamond" w:cs="Garamond"/>
          <w:position w:val="9"/>
          <w:sz w:val="22"/>
          <w:szCs w:val="22"/>
        </w:rPr>
        <w:t>u</w:t>
      </w:r>
      <w:r w:rsidR="002C5025" w:rsidRPr="00CF30C1">
        <w:rPr>
          <w:rFonts w:ascii="Garamond" w:hAnsi="Garamond" w:cs="Garamond"/>
          <w:i/>
          <w:iCs/>
          <w:sz w:val="22"/>
          <w:szCs w:val="22"/>
        </w:rPr>
        <w:t>e</w:t>
      </w:r>
      <w:r w:rsidR="002C5025" w:rsidRPr="00CF30C1">
        <w:rPr>
          <w:rFonts w:ascii="Garamond" w:hAnsi="Garamond" w:cs="Garamond"/>
          <w:position w:val="9"/>
          <w:sz w:val="22"/>
          <w:szCs w:val="22"/>
        </w:rPr>
        <w:t>d</w:t>
      </w:r>
      <w:r w:rsidR="002C5025" w:rsidRPr="00CF30C1">
        <w:rPr>
          <w:rFonts w:ascii="Garamond" w:hAnsi="Garamond" w:cs="Garamond"/>
          <w:i/>
          <w:iCs/>
          <w:sz w:val="22"/>
          <w:szCs w:val="22"/>
        </w:rPr>
        <w:t>“</w:t>
      </w:r>
      <w:r w:rsidR="002C5025" w:rsidRPr="00CF30C1">
        <w:rPr>
          <w:rFonts w:ascii="Garamond" w:hAnsi="Garamond" w:cs="Garamond"/>
          <w:position w:val="9"/>
          <w:sz w:val="22"/>
          <w:szCs w:val="22"/>
        </w:rPr>
        <w:t>g</w:t>
      </w:r>
      <w:r w:rsidR="002C5025" w:rsidRPr="00CF30C1">
        <w:rPr>
          <w:rFonts w:ascii="Garamond" w:hAnsi="Garamond" w:cs="Garamond"/>
          <w:i/>
          <w:iCs/>
          <w:sz w:val="22"/>
          <w:szCs w:val="22"/>
        </w:rPr>
        <w:t>p</w:t>
      </w:r>
      <w:r w:rsidR="002C5025" w:rsidRPr="00CF30C1">
        <w:rPr>
          <w:rFonts w:ascii="Garamond" w:hAnsi="Garamond" w:cs="Garamond"/>
          <w:position w:val="9"/>
          <w:sz w:val="22"/>
          <w:szCs w:val="22"/>
        </w:rPr>
        <w:t>m</w:t>
      </w:r>
      <w:proofErr w:type="spellStart"/>
      <w:r w:rsidR="002C5025" w:rsidRPr="00CF30C1">
        <w:rPr>
          <w:rFonts w:ascii="Garamond" w:hAnsi="Garamond" w:cs="Garamond"/>
          <w:i/>
          <w:iCs/>
          <w:sz w:val="22"/>
          <w:szCs w:val="22"/>
        </w:rPr>
        <w:t>at</w:t>
      </w:r>
      <w:r w:rsidR="002C5025" w:rsidRPr="00CF30C1">
        <w:rPr>
          <w:rFonts w:ascii="Garamond" w:hAnsi="Garamond" w:cs="Garamond"/>
          <w:position w:val="9"/>
          <w:sz w:val="22"/>
          <w:szCs w:val="22"/>
        </w:rPr>
        <w:t>e</w:t>
      </w:r>
      <w:r w:rsidR="002C5025" w:rsidRPr="00CF30C1">
        <w:rPr>
          <w:rFonts w:ascii="Garamond" w:hAnsi="Garamond" w:cs="Garamond"/>
          <w:i/>
          <w:iCs/>
          <w:sz w:val="22"/>
          <w:szCs w:val="22"/>
        </w:rPr>
        <w:t>ie</w:t>
      </w:r>
      <w:proofErr w:type="spellEnd"/>
      <w:r w:rsidR="002C5025" w:rsidRPr="00CF30C1">
        <w:rPr>
          <w:rFonts w:ascii="Garamond" w:hAnsi="Garamond" w:cs="Garamond"/>
          <w:position w:val="9"/>
          <w:sz w:val="22"/>
          <w:szCs w:val="22"/>
        </w:rPr>
        <w:t>n</w:t>
      </w:r>
      <w:proofErr w:type="spellStart"/>
      <w:r w:rsidR="002C5025" w:rsidRPr="00CF30C1">
        <w:rPr>
          <w:rFonts w:ascii="Garamond" w:hAnsi="Garamond" w:cs="Garamond"/>
          <w:i/>
          <w:iCs/>
          <w:sz w:val="22"/>
          <w:szCs w:val="22"/>
        </w:rPr>
        <w:t>n</w:t>
      </w:r>
      <w:proofErr w:type="spellEnd"/>
      <w:r w:rsidR="002C5025" w:rsidRPr="00CF30C1">
        <w:rPr>
          <w:rFonts w:ascii="Garamond" w:hAnsi="Garamond" w:cs="Garamond"/>
          <w:position w:val="9"/>
          <w:sz w:val="22"/>
          <w:szCs w:val="22"/>
        </w:rPr>
        <w:t>t</w:t>
      </w:r>
      <w:proofErr w:type="spellStart"/>
      <w:r w:rsidR="002C5025" w:rsidRPr="00CF30C1">
        <w:rPr>
          <w:rFonts w:ascii="Garamond" w:hAnsi="Garamond" w:cs="Garamond"/>
          <w:i/>
          <w:iCs/>
          <w:sz w:val="22"/>
          <w:szCs w:val="22"/>
        </w:rPr>
        <w:t>t</w:t>
      </w:r>
      <w:proofErr w:type="spellEnd"/>
      <w:r w:rsidR="002C5025" w:rsidRPr="00CF30C1">
        <w:rPr>
          <w:rFonts w:ascii="Garamond" w:hAnsi="Garamond" w:cs="Garamond"/>
          <w:position w:val="9"/>
          <w:sz w:val="22"/>
          <w:szCs w:val="22"/>
        </w:rPr>
        <w:t>a</w:t>
      </w:r>
      <w:r w:rsidR="002C5025" w:rsidRPr="00CF30C1">
        <w:rPr>
          <w:rFonts w:ascii="Garamond" w:hAnsi="Garamond" w:cs="Garamond"/>
          <w:i/>
          <w:iCs/>
          <w:sz w:val="22"/>
          <w:szCs w:val="22"/>
        </w:rPr>
        <w:t>c</w:t>
      </w:r>
      <w:r w:rsidR="002C5025" w:rsidRPr="00CF30C1">
        <w:rPr>
          <w:rFonts w:ascii="Garamond" w:hAnsi="Garamond" w:cs="Garamond"/>
          <w:position w:val="9"/>
          <w:sz w:val="22"/>
          <w:szCs w:val="22"/>
        </w:rPr>
        <w:t>l</w:t>
      </w:r>
      <w:r w:rsidR="002C5025" w:rsidRPr="00CF30C1">
        <w:rPr>
          <w:rFonts w:ascii="Garamond" w:hAnsi="Garamond" w:cs="Garamond"/>
          <w:i/>
          <w:iCs/>
          <w:sz w:val="22"/>
          <w:szCs w:val="22"/>
        </w:rPr>
        <w:t>o</w:t>
      </w:r>
      <w:r w:rsidR="002C5025" w:rsidRPr="00CF30C1">
        <w:rPr>
          <w:rFonts w:ascii="Garamond" w:hAnsi="Garamond" w:cs="Garamond"/>
          <w:position w:val="9"/>
          <w:sz w:val="22"/>
          <w:szCs w:val="22"/>
        </w:rPr>
        <w:t>t</w:t>
      </w:r>
      <w:r w:rsidR="002C5025" w:rsidRPr="00CF30C1">
        <w:rPr>
          <w:rFonts w:ascii="Garamond" w:hAnsi="Garamond" w:cs="Garamond"/>
          <w:i/>
          <w:iCs/>
          <w:sz w:val="22"/>
          <w:szCs w:val="22"/>
        </w:rPr>
        <w:t>n</w:t>
      </w:r>
      <w:r w:rsidR="002C5025" w:rsidRPr="00CF30C1">
        <w:rPr>
          <w:rFonts w:ascii="Garamond" w:hAnsi="Garamond" w:cs="Garamond"/>
          <w:position w:val="9"/>
          <w:sz w:val="22"/>
          <w:szCs w:val="22"/>
        </w:rPr>
        <w:t>e</w:t>
      </w:r>
      <w:r w:rsidR="002C5025" w:rsidRPr="00CF30C1">
        <w:rPr>
          <w:rFonts w:ascii="Garamond" w:hAnsi="Garamond" w:cs="Garamond"/>
          <w:i/>
          <w:iCs/>
          <w:sz w:val="22"/>
          <w:szCs w:val="22"/>
        </w:rPr>
        <w:t>fi</w:t>
      </w:r>
      <w:r w:rsidR="002C5025" w:rsidRPr="00CF30C1">
        <w:rPr>
          <w:rFonts w:ascii="Garamond" w:hAnsi="Garamond" w:cs="Garamond"/>
          <w:position w:val="9"/>
          <w:sz w:val="22"/>
          <w:szCs w:val="22"/>
        </w:rPr>
        <w:t>r</w:t>
      </w:r>
      <w:r w:rsidR="002C5025" w:rsidRPr="00CF30C1">
        <w:rPr>
          <w:rFonts w:ascii="Garamond" w:hAnsi="Garamond" w:cs="Garamond"/>
          <w:i/>
          <w:iCs/>
          <w:sz w:val="22"/>
          <w:szCs w:val="22"/>
        </w:rPr>
        <w:t>d</w:t>
      </w:r>
      <w:r w:rsidR="002C5025" w:rsidRPr="00CF30C1">
        <w:rPr>
          <w:rFonts w:ascii="Garamond" w:hAnsi="Garamond" w:cs="Garamond"/>
          <w:position w:val="9"/>
          <w:sz w:val="22"/>
          <w:szCs w:val="22"/>
        </w:rPr>
        <w:t>m</w:t>
      </w:r>
      <w:proofErr w:type="spellStart"/>
      <w:r w:rsidR="002C5025" w:rsidRPr="00CF30C1">
        <w:rPr>
          <w:rFonts w:ascii="Garamond" w:hAnsi="Garamond" w:cs="Garamond"/>
          <w:i/>
          <w:iCs/>
          <w:sz w:val="22"/>
          <w:szCs w:val="22"/>
        </w:rPr>
        <w:t>en</w:t>
      </w:r>
      <w:proofErr w:type="spellEnd"/>
      <w:r w:rsidR="002C5025" w:rsidRPr="00CF30C1">
        <w:rPr>
          <w:rFonts w:ascii="Garamond" w:hAnsi="Garamond" w:cs="Garamond"/>
          <w:position w:val="9"/>
          <w:sz w:val="22"/>
          <w:szCs w:val="22"/>
        </w:rPr>
        <w:t>s</w:t>
      </w:r>
      <w:r w:rsidR="002C5025" w:rsidRPr="00CF30C1">
        <w:rPr>
          <w:rFonts w:ascii="Garamond" w:hAnsi="Garamond" w:cs="Garamond"/>
          <w:i/>
          <w:iCs/>
          <w:sz w:val="22"/>
          <w:szCs w:val="22"/>
        </w:rPr>
        <w:t>c</w:t>
      </w:r>
      <w:r w:rsidR="002C5025" w:rsidRPr="00CF30C1">
        <w:rPr>
          <w:rFonts w:ascii="Garamond" w:hAnsi="Garamond" w:cs="Garamond"/>
          <w:position w:val="9"/>
          <w:sz w:val="22"/>
          <w:szCs w:val="22"/>
        </w:rPr>
        <w:t>.</w:t>
      </w:r>
      <w:r w:rsidR="002C5025" w:rsidRPr="00CF30C1">
        <w:rPr>
          <w:rFonts w:ascii="Garamond" w:hAnsi="Garamond" w:cs="Garamond"/>
          <w:position w:val="14"/>
          <w:sz w:val="14"/>
          <w:szCs w:val="14"/>
        </w:rPr>
        <w:t>13</w:t>
      </w:r>
      <w:r w:rsidR="002C5025">
        <w:rPr>
          <w:rFonts w:ascii="Garamond" w:hAnsi="Garamond" w:cs="Garamond"/>
          <w:position w:val="14"/>
          <w:sz w:val="14"/>
          <w:szCs w:val="14"/>
        </w:rPr>
        <w:t xml:space="preserve"> </w:t>
      </w:r>
      <w:r w:rsidR="002C5025">
        <w:rPr>
          <w:rFonts w:ascii="Garamond" w:hAnsi="Garamond" w:cs="Garamond"/>
          <w:spacing w:val="-2"/>
          <w:sz w:val="22"/>
          <w:szCs w:val="22"/>
        </w:rPr>
        <w:t>Health</w:t>
      </w:r>
      <w:r w:rsidR="002C5025">
        <w:rPr>
          <w:rFonts w:ascii="Garamond" w:hAnsi="Garamond" w:cs="Garamond"/>
          <w:sz w:val="22"/>
          <w:szCs w:val="22"/>
        </w:rPr>
        <w:t xml:space="preserve"> </w:t>
      </w:r>
      <w:r w:rsidR="002C5025">
        <w:rPr>
          <w:rFonts w:ascii="Garamond" w:hAnsi="Garamond" w:cs="Garamond"/>
          <w:spacing w:val="-2"/>
          <w:sz w:val="22"/>
          <w:szCs w:val="22"/>
        </w:rPr>
        <w:t>confidence</w:t>
      </w:r>
      <w:r w:rsidR="002C5025">
        <w:rPr>
          <w:rFonts w:ascii="Garamond" w:hAnsi="Garamond" w:cs="Garamond"/>
          <w:sz w:val="22"/>
          <w:szCs w:val="22"/>
        </w:rPr>
        <w:t xml:space="preserve"> </w:t>
      </w:r>
      <w:r w:rsidR="002C5025">
        <w:rPr>
          <w:rFonts w:ascii="Garamond" w:hAnsi="Garamond" w:cs="Garamond"/>
          <w:spacing w:val="-2"/>
          <w:sz w:val="22"/>
          <w:szCs w:val="22"/>
        </w:rPr>
        <w:t>measures</w:t>
      </w:r>
      <w:r w:rsidR="002C5025">
        <w:rPr>
          <w:rFonts w:ascii="Garamond" w:hAnsi="Garamond" w:cs="Garamond"/>
          <w:sz w:val="22"/>
          <w:szCs w:val="22"/>
        </w:rPr>
        <w:t xml:space="preserve"> </w:t>
      </w:r>
      <w:r w:rsidR="002C5025">
        <w:rPr>
          <w:rFonts w:ascii="Garamond" w:hAnsi="Garamond" w:cs="Garamond"/>
          <w:spacing w:val="-1"/>
          <w:sz w:val="22"/>
          <w:szCs w:val="22"/>
        </w:rPr>
        <w:t>the</w:t>
      </w:r>
      <w:r w:rsidR="002C5025">
        <w:rPr>
          <w:rFonts w:ascii="Garamond" w:hAnsi="Garamond" w:cs="Garamond"/>
          <w:sz w:val="22"/>
          <w:szCs w:val="22"/>
        </w:rPr>
        <w:t xml:space="preserve"> </w:t>
      </w:r>
      <w:r w:rsidR="002C5025">
        <w:rPr>
          <w:rFonts w:ascii="Garamond" w:hAnsi="Garamond" w:cs="Garamond"/>
          <w:spacing w:val="-2"/>
          <w:sz w:val="22"/>
          <w:szCs w:val="22"/>
        </w:rPr>
        <w:t>individual’s</w:t>
      </w:r>
      <w:r w:rsidR="002C5025">
        <w:rPr>
          <w:rFonts w:ascii="Garamond" w:hAnsi="Garamond" w:cs="Garamond"/>
          <w:sz w:val="22"/>
          <w:szCs w:val="22"/>
        </w:rPr>
        <w:t xml:space="preserve"> </w:t>
      </w:r>
      <w:r w:rsidR="002C5025">
        <w:rPr>
          <w:rFonts w:ascii="Garamond" w:hAnsi="Garamond" w:cs="Garamond"/>
          <w:spacing w:val="-2"/>
          <w:sz w:val="22"/>
          <w:szCs w:val="22"/>
        </w:rPr>
        <w:t>level</w:t>
      </w:r>
      <w:r w:rsidR="002C5025">
        <w:rPr>
          <w:rFonts w:ascii="Garamond" w:hAnsi="Garamond" w:cs="Garamond"/>
          <w:sz w:val="22"/>
          <w:szCs w:val="22"/>
        </w:rPr>
        <w:t xml:space="preserve"> </w:t>
      </w:r>
      <w:r w:rsidR="002C5025">
        <w:rPr>
          <w:rFonts w:ascii="Garamond" w:hAnsi="Garamond" w:cs="Garamond"/>
          <w:spacing w:val="-2"/>
          <w:sz w:val="22"/>
          <w:szCs w:val="22"/>
        </w:rPr>
        <w:t>of</w:t>
      </w:r>
      <w:r w:rsidR="002C5025">
        <w:rPr>
          <w:rFonts w:ascii="Garamond" w:hAnsi="Garamond" w:cs="Garamond"/>
          <w:sz w:val="22"/>
          <w:szCs w:val="22"/>
        </w:rPr>
        <w:t xml:space="preserve"> </w:t>
      </w:r>
      <w:r w:rsidR="002C5025">
        <w:rPr>
          <w:rFonts w:ascii="Garamond" w:hAnsi="Garamond" w:cs="Garamond"/>
          <w:spacing w:val="-3"/>
          <w:sz w:val="22"/>
          <w:szCs w:val="22"/>
        </w:rPr>
        <w:t>knowledge,</w:t>
      </w:r>
      <w:r w:rsidR="002C5025">
        <w:rPr>
          <w:rFonts w:ascii="Garamond" w:hAnsi="Garamond" w:cs="Garamond"/>
          <w:sz w:val="22"/>
          <w:szCs w:val="22"/>
        </w:rPr>
        <w:t xml:space="preserve"> </w:t>
      </w:r>
      <w:r w:rsidR="002C5025">
        <w:rPr>
          <w:rFonts w:ascii="Garamond" w:hAnsi="Garamond" w:cs="Garamond"/>
          <w:spacing w:val="-1"/>
          <w:sz w:val="22"/>
          <w:szCs w:val="22"/>
        </w:rPr>
        <w:t>skills,</w:t>
      </w:r>
      <w:r w:rsidR="002C5025">
        <w:rPr>
          <w:rFonts w:ascii="Garamond" w:hAnsi="Garamond" w:cs="Garamond"/>
          <w:sz w:val="22"/>
          <w:szCs w:val="22"/>
        </w:rPr>
        <w:t xml:space="preserve"> </w:t>
      </w:r>
      <w:r w:rsidR="002C5025">
        <w:rPr>
          <w:rFonts w:ascii="Garamond" w:hAnsi="Garamond" w:cs="Garamond"/>
          <w:spacing w:val="-3"/>
          <w:sz w:val="22"/>
          <w:szCs w:val="22"/>
        </w:rPr>
        <w:t xml:space="preserve">and </w:t>
      </w:r>
      <w:r w:rsidR="002C5025">
        <w:rPr>
          <w:rFonts w:ascii="Garamond" w:hAnsi="Garamond" w:cs="Garamond"/>
          <w:sz w:val="22"/>
          <w:szCs w:val="22"/>
        </w:rPr>
        <w:t>self</w:t>
      </w:r>
      <w:r w:rsidR="002C5025">
        <w:rPr>
          <w:rFonts w:ascii="Cambria Math" w:hAnsi="Cambria Math" w:cs="Cambria Math"/>
          <w:sz w:val="22"/>
          <w:szCs w:val="22"/>
        </w:rPr>
        <w:t>‐</w:t>
      </w:r>
      <w:r w:rsidR="002C5025">
        <w:rPr>
          <w:rFonts w:ascii="Garamond" w:hAnsi="Garamond" w:cs="Garamond"/>
          <w:sz w:val="22"/>
          <w:szCs w:val="22"/>
        </w:rPr>
        <w:t>efficacy about taking an active role in their health care and managing their health conditions. Assessing</w:t>
      </w:r>
      <w:r w:rsidR="002C5025">
        <w:rPr>
          <w:rFonts w:ascii="Garamond" w:hAnsi="Garamond" w:cs="Garamond"/>
          <w:spacing w:val="-11"/>
          <w:sz w:val="22"/>
          <w:szCs w:val="22"/>
        </w:rPr>
        <w:t xml:space="preserve"> </w:t>
      </w:r>
      <w:r w:rsidR="002C5025">
        <w:rPr>
          <w:rFonts w:ascii="Garamond" w:hAnsi="Garamond" w:cs="Garamond"/>
          <w:sz w:val="22"/>
          <w:szCs w:val="22"/>
        </w:rPr>
        <w:t>health</w:t>
      </w:r>
      <w:r w:rsidR="002C5025">
        <w:rPr>
          <w:rFonts w:ascii="Garamond" w:hAnsi="Garamond" w:cs="Garamond"/>
          <w:spacing w:val="-11"/>
          <w:sz w:val="22"/>
          <w:szCs w:val="22"/>
        </w:rPr>
        <w:t xml:space="preserve"> </w:t>
      </w:r>
      <w:r w:rsidR="002C5025">
        <w:rPr>
          <w:rFonts w:ascii="Garamond" w:hAnsi="Garamond" w:cs="Garamond"/>
          <w:sz w:val="22"/>
          <w:szCs w:val="22"/>
        </w:rPr>
        <w:t>confidence</w:t>
      </w:r>
      <w:r w:rsidR="002C5025">
        <w:rPr>
          <w:rFonts w:ascii="Garamond" w:hAnsi="Garamond" w:cs="Garamond"/>
          <w:spacing w:val="-11"/>
          <w:sz w:val="22"/>
          <w:szCs w:val="22"/>
        </w:rPr>
        <w:t xml:space="preserve"> </w:t>
      </w:r>
      <w:r w:rsidR="002C5025">
        <w:rPr>
          <w:rFonts w:ascii="Garamond" w:hAnsi="Garamond" w:cs="Garamond"/>
          <w:sz w:val="22"/>
          <w:szCs w:val="22"/>
        </w:rPr>
        <w:t>can</w:t>
      </w:r>
      <w:r w:rsidR="002C5025">
        <w:rPr>
          <w:rFonts w:ascii="Garamond" w:hAnsi="Garamond" w:cs="Garamond"/>
          <w:spacing w:val="-11"/>
          <w:sz w:val="22"/>
          <w:szCs w:val="22"/>
        </w:rPr>
        <w:t xml:space="preserve"> </w:t>
      </w:r>
      <w:r w:rsidR="002C5025">
        <w:rPr>
          <w:rFonts w:ascii="Garamond" w:hAnsi="Garamond" w:cs="Garamond"/>
          <w:sz w:val="22"/>
          <w:szCs w:val="22"/>
        </w:rPr>
        <w:t>result</w:t>
      </w:r>
      <w:r w:rsidR="002C5025">
        <w:rPr>
          <w:rFonts w:ascii="Garamond" w:hAnsi="Garamond" w:cs="Garamond"/>
          <w:spacing w:val="-8"/>
          <w:sz w:val="22"/>
          <w:szCs w:val="22"/>
        </w:rPr>
        <w:t xml:space="preserve"> </w:t>
      </w:r>
      <w:r w:rsidR="002C5025">
        <w:rPr>
          <w:rFonts w:ascii="Garamond" w:hAnsi="Garamond" w:cs="Garamond"/>
          <w:sz w:val="22"/>
          <w:szCs w:val="22"/>
        </w:rPr>
        <w:t>in</w:t>
      </w:r>
      <w:r w:rsidR="002C5025">
        <w:rPr>
          <w:rFonts w:ascii="Garamond" w:hAnsi="Garamond" w:cs="Garamond"/>
          <w:spacing w:val="-8"/>
          <w:sz w:val="22"/>
          <w:szCs w:val="22"/>
        </w:rPr>
        <w:t xml:space="preserve"> </w:t>
      </w:r>
      <w:r w:rsidR="002C5025">
        <w:rPr>
          <w:rFonts w:ascii="Garamond" w:hAnsi="Garamond" w:cs="Garamond"/>
          <w:sz w:val="22"/>
          <w:szCs w:val="22"/>
        </w:rPr>
        <w:t>immediate</w:t>
      </w:r>
      <w:r w:rsidR="002C5025">
        <w:rPr>
          <w:rFonts w:ascii="Garamond" w:hAnsi="Garamond" w:cs="Garamond"/>
          <w:spacing w:val="-11"/>
          <w:sz w:val="22"/>
          <w:szCs w:val="22"/>
        </w:rPr>
        <w:t xml:space="preserve"> </w:t>
      </w:r>
      <w:r w:rsidR="002C5025">
        <w:rPr>
          <w:rFonts w:ascii="Garamond" w:hAnsi="Garamond" w:cs="Garamond"/>
          <w:sz w:val="22"/>
          <w:szCs w:val="22"/>
        </w:rPr>
        <w:t>provider</w:t>
      </w:r>
      <w:r w:rsidR="002C5025">
        <w:rPr>
          <w:rFonts w:ascii="Garamond" w:hAnsi="Garamond" w:cs="Garamond"/>
          <w:spacing w:val="-8"/>
          <w:sz w:val="22"/>
          <w:szCs w:val="22"/>
        </w:rPr>
        <w:t xml:space="preserve"> </w:t>
      </w:r>
      <w:r w:rsidR="002C5025">
        <w:rPr>
          <w:rFonts w:ascii="Garamond" w:hAnsi="Garamond" w:cs="Garamond"/>
          <w:sz w:val="22"/>
          <w:szCs w:val="22"/>
        </w:rPr>
        <w:t>action</w:t>
      </w:r>
      <w:r w:rsidR="002C5025">
        <w:rPr>
          <w:rFonts w:ascii="Garamond" w:hAnsi="Garamond" w:cs="Garamond"/>
          <w:spacing w:val="-8"/>
          <w:sz w:val="22"/>
          <w:szCs w:val="22"/>
        </w:rPr>
        <w:t xml:space="preserve"> </w:t>
      </w:r>
      <w:r w:rsidR="002C5025">
        <w:rPr>
          <w:rFonts w:ascii="Garamond" w:hAnsi="Garamond" w:cs="Garamond"/>
          <w:sz w:val="22"/>
          <w:szCs w:val="22"/>
        </w:rPr>
        <w:t>and</w:t>
      </w:r>
      <w:r w:rsidR="002C5025">
        <w:rPr>
          <w:rFonts w:ascii="Garamond" w:hAnsi="Garamond" w:cs="Garamond"/>
          <w:spacing w:val="-11"/>
          <w:sz w:val="22"/>
          <w:szCs w:val="22"/>
        </w:rPr>
        <w:t xml:space="preserve"> </w:t>
      </w:r>
      <w:r w:rsidR="002C5025">
        <w:rPr>
          <w:rFonts w:ascii="Garamond" w:hAnsi="Garamond" w:cs="Garamond"/>
          <w:sz w:val="22"/>
          <w:szCs w:val="22"/>
        </w:rPr>
        <w:t>lead</w:t>
      </w:r>
      <w:r w:rsidR="002C5025">
        <w:rPr>
          <w:rFonts w:ascii="Garamond" w:hAnsi="Garamond" w:cs="Garamond"/>
          <w:spacing w:val="-8"/>
          <w:sz w:val="22"/>
          <w:szCs w:val="22"/>
        </w:rPr>
        <w:t xml:space="preserve"> </w:t>
      </w:r>
      <w:r w:rsidR="002C5025">
        <w:rPr>
          <w:rFonts w:ascii="Garamond" w:hAnsi="Garamond" w:cs="Garamond"/>
          <w:sz w:val="22"/>
          <w:szCs w:val="22"/>
        </w:rPr>
        <w:t>directly</w:t>
      </w:r>
      <w:r w:rsidR="002C5025">
        <w:rPr>
          <w:rFonts w:ascii="Garamond" w:hAnsi="Garamond" w:cs="Garamond"/>
          <w:spacing w:val="-11"/>
          <w:sz w:val="22"/>
          <w:szCs w:val="22"/>
        </w:rPr>
        <w:t xml:space="preserve"> </w:t>
      </w:r>
      <w:r w:rsidR="002C5025">
        <w:rPr>
          <w:rFonts w:ascii="Garamond" w:hAnsi="Garamond" w:cs="Garamond"/>
          <w:sz w:val="22"/>
          <w:szCs w:val="22"/>
        </w:rPr>
        <w:t>to</w:t>
      </w:r>
      <w:r w:rsidR="002C5025">
        <w:rPr>
          <w:rFonts w:ascii="Garamond" w:hAnsi="Garamond" w:cs="Garamond"/>
          <w:spacing w:val="-8"/>
          <w:sz w:val="22"/>
          <w:szCs w:val="22"/>
        </w:rPr>
        <w:t xml:space="preserve"> </w:t>
      </w:r>
      <w:r w:rsidR="002C5025">
        <w:rPr>
          <w:rFonts w:ascii="Garamond" w:hAnsi="Garamond" w:cs="Garamond"/>
          <w:sz w:val="22"/>
          <w:szCs w:val="22"/>
        </w:rPr>
        <w:t>improved</w:t>
      </w:r>
    </w:p>
    <w:p w:rsidR="002C5025" w:rsidRDefault="002C5025">
      <w:pPr>
        <w:pStyle w:val="BodyText"/>
        <w:kinsoku w:val="0"/>
        <w:overflowPunct w:val="0"/>
        <w:spacing w:before="20"/>
        <w:ind w:left="838" w:right="10"/>
        <w:rPr>
          <w:rFonts w:ascii="Garamond" w:hAnsi="Garamond" w:cs="Garamond"/>
          <w:position w:val="5"/>
          <w:sz w:val="14"/>
          <w:szCs w:val="14"/>
        </w:rPr>
      </w:pPr>
      <w:r>
        <w:rPr>
          <w:rFonts w:ascii="Garamond" w:hAnsi="Garamond" w:cs="Garamond"/>
        </w:rPr>
        <w:t>patient</w:t>
      </w:r>
      <w:r>
        <w:rPr>
          <w:rFonts w:ascii="Garamond" w:hAnsi="Garamond" w:cs="Garamond"/>
          <w:spacing w:val="-8"/>
        </w:rPr>
        <w:t xml:space="preserve"> </w:t>
      </w:r>
      <w:r>
        <w:rPr>
          <w:rFonts w:ascii="Garamond" w:hAnsi="Garamond" w:cs="Garamond"/>
        </w:rPr>
        <w:t>engagement.</w:t>
      </w:r>
      <w:r>
        <w:rPr>
          <w:rFonts w:ascii="Garamond" w:hAnsi="Garamond" w:cs="Garamond"/>
          <w:spacing w:val="-11"/>
        </w:rPr>
        <w:t xml:space="preserve"> </w:t>
      </w:r>
      <w:r>
        <w:rPr>
          <w:rFonts w:ascii="Garamond" w:hAnsi="Garamond" w:cs="Garamond"/>
        </w:rPr>
        <w:t>If</w:t>
      </w:r>
      <w:r>
        <w:rPr>
          <w:rFonts w:ascii="Garamond" w:hAnsi="Garamond" w:cs="Garamond"/>
          <w:spacing w:val="-8"/>
        </w:rPr>
        <w:t xml:space="preserve"> </w:t>
      </w:r>
      <w:r>
        <w:rPr>
          <w:rFonts w:ascii="Garamond" w:hAnsi="Garamond" w:cs="Garamond"/>
        </w:rPr>
        <w:t>an</w:t>
      </w:r>
      <w:r>
        <w:rPr>
          <w:rFonts w:ascii="Garamond" w:hAnsi="Garamond" w:cs="Garamond"/>
          <w:spacing w:val="-8"/>
        </w:rPr>
        <w:t xml:space="preserve"> </w:t>
      </w:r>
      <w:r>
        <w:rPr>
          <w:rFonts w:ascii="Garamond" w:hAnsi="Garamond" w:cs="Garamond"/>
        </w:rPr>
        <w:t>individual’s</w:t>
      </w:r>
      <w:r>
        <w:rPr>
          <w:rFonts w:ascii="Garamond" w:hAnsi="Garamond" w:cs="Garamond"/>
          <w:spacing w:val="-10"/>
        </w:rPr>
        <w:t xml:space="preserve"> </w:t>
      </w:r>
      <w:r>
        <w:rPr>
          <w:rFonts w:ascii="Garamond" w:hAnsi="Garamond" w:cs="Garamond"/>
        </w:rPr>
        <w:t>health</w:t>
      </w:r>
      <w:r>
        <w:rPr>
          <w:rFonts w:ascii="Garamond" w:hAnsi="Garamond" w:cs="Garamond"/>
          <w:spacing w:val="-8"/>
        </w:rPr>
        <w:t xml:space="preserve"> </w:t>
      </w:r>
      <w:r>
        <w:rPr>
          <w:rFonts w:ascii="Garamond" w:hAnsi="Garamond" w:cs="Garamond"/>
        </w:rPr>
        <w:t>confidence</w:t>
      </w:r>
      <w:r>
        <w:rPr>
          <w:rFonts w:ascii="Garamond" w:hAnsi="Garamond" w:cs="Garamond"/>
          <w:spacing w:val="-11"/>
        </w:rPr>
        <w:t xml:space="preserve"> </w:t>
      </w:r>
      <w:r>
        <w:rPr>
          <w:rFonts w:ascii="Garamond" w:hAnsi="Garamond" w:cs="Garamond"/>
        </w:rPr>
        <w:t>is</w:t>
      </w:r>
      <w:r>
        <w:rPr>
          <w:rFonts w:ascii="Garamond" w:hAnsi="Garamond" w:cs="Garamond"/>
          <w:spacing w:val="-8"/>
        </w:rPr>
        <w:t xml:space="preserve"> </w:t>
      </w:r>
      <w:r>
        <w:rPr>
          <w:rFonts w:ascii="Garamond" w:hAnsi="Garamond" w:cs="Garamond"/>
        </w:rPr>
        <w:t>low,</w:t>
      </w:r>
      <w:r>
        <w:rPr>
          <w:rFonts w:ascii="Garamond" w:hAnsi="Garamond" w:cs="Garamond"/>
          <w:spacing w:val="-13"/>
        </w:rPr>
        <w:t xml:space="preserve"> </w:t>
      </w:r>
      <w:r>
        <w:rPr>
          <w:rFonts w:ascii="Garamond" w:hAnsi="Garamond" w:cs="Garamond"/>
        </w:rPr>
        <w:t>motivational</w:t>
      </w:r>
      <w:r>
        <w:rPr>
          <w:rFonts w:ascii="Garamond" w:hAnsi="Garamond" w:cs="Garamond"/>
          <w:spacing w:val="-11"/>
        </w:rPr>
        <w:t xml:space="preserve"> </w:t>
      </w:r>
      <w:r>
        <w:rPr>
          <w:rFonts w:ascii="Garamond" w:hAnsi="Garamond" w:cs="Garamond"/>
        </w:rPr>
        <w:t>interviewing</w:t>
      </w:r>
      <w:r>
        <w:rPr>
          <w:rFonts w:ascii="Garamond" w:hAnsi="Garamond" w:cs="Garamond"/>
          <w:spacing w:val="-11"/>
        </w:rPr>
        <w:t xml:space="preserve"> </w:t>
      </w:r>
      <w:r>
        <w:rPr>
          <w:rFonts w:ascii="Garamond" w:hAnsi="Garamond" w:cs="Garamond"/>
        </w:rPr>
        <w:t>can</w:t>
      </w:r>
      <w:r>
        <w:rPr>
          <w:rFonts w:ascii="Garamond" w:hAnsi="Garamond" w:cs="Garamond"/>
          <w:spacing w:val="-8"/>
        </w:rPr>
        <w:t xml:space="preserve"> </w:t>
      </w:r>
      <w:r>
        <w:rPr>
          <w:rFonts w:ascii="Garamond" w:hAnsi="Garamond" w:cs="Garamond"/>
        </w:rPr>
        <w:t>be</w:t>
      </w:r>
      <w:r>
        <w:rPr>
          <w:rFonts w:ascii="Garamond" w:hAnsi="Garamond" w:cs="Garamond"/>
          <w:spacing w:val="-11"/>
        </w:rPr>
        <w:t xml:space="preserve"> </w:t>
      </w:r>
      <w:r>
        <w:rPr>
          <w:rFonts w:ascii="Garamond" w:hAnsi="Garamond" w:cs="Garamond"/>
        </w:rPr>
        <w:t xml:space="preserve">used to help the </w:t>
      </w:r>
      <w:r>
        <w:rPr>
          <w:rFonts w:ascii="Garamond" w:hAnsi="Garamond" w:cs="Garamond"/>
          <w:spacing w:val="-3"/>
        </w:rPr>
        <w:t xml:space="preserve">individual </w:t>
      </w:r>
      <w:r>
        <w:rPr>
          <w:rFonts w:ascii="Garamond" w:hAnsi="Garamond" w:cs="Garamond"/>
        </w:rPr>
        <w:t xml:space="preserve">reflect on personal strengths, identify behavioral goals </w:t>
      </w:r>
      <w:r>
        <w:rPr>
          <w:rFonts w:ascii="Garamond" w:hAnsi="Garamond" w:cs="Garamond"/>
          <w:spacing w:val="-3"/>
        </w:rPr>
        <w:t xml:space="preserve">and </w:t>
      </w:r>
      <w:r>
        <w:rPr>
          <w:rFonts w:ascii="Garamond" w:hAnsi="Garamond" w:cs="Garamond"/>
        </w:rPr>
        <w:t>develop a support plan.</w:t>
      </w:r>
      <w:r>
        <w:rPr>
          <w:rFonts w:ascii="Garamond" w:hAnsi="Garamond" w:cs="Garamond"/>
          <w:position w:val="5"/>
          <w:sz w:val="14"/>
          <w:szCs w:val="14"/>
        </w:rPr>
        <w:t>14</w:t>
      </w:r>
    </w:p>
    <w:p w:rsidR="002C5025" w:rsidRDefault="002C5025">
      <w:pPr>
        <w:pStyle w:val="BodyText"/>
        <w:kinsoku w:val="0"/>
        <w:overflowPunct w:val="0"/>
        <w:spacing w:before="7"/>
        <w:rPr>
          <w:rFonts w:ascii="Garamond" w:hAnsi="Garamond" w:cs="Garamond"/>
          <w:sz w:val="14"/>
          <w:szCs w:val="14"/>
        </w:rPr>
      </w:pPr>
    </w:p>
    <w:p w:rsidR="002C5025" w:rsidRDefault="002C5025">
      <w:pPr>
        <w:pStyle w:val="BodyText"/>
        <w:kinsoku w:val="0"/>
        <w:overflowPunct w:val="0"/>
        <w:spacing w:before="80"/>
        <w:ind w:left="119" w:right="25"/>
        <w:rPr>
          <w:rFonts w:ascii="Garamond" w:hAnsi="Garamond" w:cs="Garamond"/>
        </w:rPr>
      </w:pPr>
      <w:r>
        <w:rPr>
          <w:rFonts w:ascii="Garamond" w:hAnsi="Garamond" w:cs="Garamond"/>
        </w:rPr>
        <w:t xml:space="preserve">ACOs should be required to measure and publically report on these activities and engagement/activation measures in a way that members can understand. Meaningfully engaging members as partners in care and delivering member-centered care that meets the needs of members and families and </w:t>
      </w:r>
      <w:r>
        <w:rPr>
          <w:rFonts w:ascii="Garamond" w:hAnsi="Garamond" w:cs="Garamond"/>
          <w:spacing w:val="-3"/>
        </w:rPr>
        <w:t xml:space="preserve">improves </w:t>
      </w:r>
      <w:r>
        <w:rPr>
          <w:rFonts w:ascii="Garamond" w:hAnsi="Garamond" w:cs="Garamond"/>
        </w:rPr>
        <w:t xml:space="preserve">overall health </w:t>
      </w:r>
      <w:r>
        <w:rPr>
          <w:rFonts w:ascii="Garamond" w:hAnsi="Garamond" w:cs="Garamond"/>
          <w:spacing w:val="-3"/>
        </w:rPr>
        <w:t xml:space="preserve">is </w:t>
      </w:r>
      <w:r>
        <w:rPr>
          <w:rFonts w:ascii="Garamond" w:hAnsi="Garamond" w:cs="Garamond"/>
        </w:rPr>
        <w:t xml:space="preserve">the best way to encourage members to stay within the </w:t>
      </w:r>
      <w:r>
        <w:rPr>
          <w:rFonts w:ascii="Garamond" w:hAnsi="Garamond" w:cs="Garamond"/>
          <w:spacing w:val="-2"/>
        </w:rPr>
        <w:t xml:space="preserve">ACO </w:t>
      </w:r>
      <w:r>
        <w:rPr>
          <w:rFonts w:ascii="Garamond" w:hAnsi="Garamond" w:cs="Garamond"/>
        </w:rPr>
        <w:t>when seeking care.</w:t>
      </w:r>
    </w:p>
    <w:p w:rsidR="002C5025" w:rsidRDefault="002C5025">
      <w:pPr>
        <w:pStyle w:val="BodyText"/>
        <w:kinsoku w:val="0"/>
        <w:overflowPunct w:val="0"/>
        <w:spacing w:before="10"/>
        <w:rPr>
          <w:rFonts w:ascii="Garamond" w:hAnsi="Garamond" w:cs="Garamond"/>
          <w:sz w:val="21"/>
          <w:szCs w:val="21"/>
        </w:rPr>
      </w:pPr>
    </w:p>
    <w:p w:rsidR="002C5025" w:rsidRDefault="002C5025">
      <w:pPr>
        <w:pStyle w:val="BodyText"/>
        <w:kinsoku w:val="0"/>
        <w:overflowPunct w:val="0"/>
        <w:ind w:left="120" w:right="814"/>
        <w:rPr>
          <w:rFonts w:ascii="Garamond" w:hAnsi="Garamond" w:cs="Garamond"/>
          <w:b/>
          <w:bCs/>
        </w:rPr>
      </w:pPr>
      <w:bookmarkStart w:id="154" w:name="Population_Health_and_Prevention"/>
      <w:bookmarkEnd w:id="154"/>
      <w:r>
        <w:rPr>
          <w:rFonts w:ascii="Garamond" w:hAnsi="Garamond" w:cs="Garamond"/>
          <w:b/>
          <w:bCs/>
          <w:u w:val="single"/>
        </w:rPr>
        <w:t>Population Health and Prevention</w:t>
      </w:r>
    </w:p>
    <w:p w:rsidR="002C5025" w:rsidRDefault="002C5025">
      <w:pPr>
        <w:pStyle w:val="BodyText"/>
        <w:kinsoku w:val="0"/>
        <w:overflowPunct w:val="0"/>
        <w:spacing w:before="2"/>
        <w:rPr>
          <w:rFonts w:ascii="Garamond" w:hAnsi="Garamond" w:cs="Garamond"/>
          <w:b/>
          <w:bCs/>
          <w:sz w:val="14"/>
          <w:szCs w:val="14"/>
        </w:rPr>
      </w:pPr>
    </w:p>
    <w:p w:rsidR="002C5025" w:rsidRDefault="002C5025">
      <w:pPr>
        <w:pStyle w:val="BodyText"/>
        <w:kinsoku w:val="0"/>
        <w:overflowPunct w:val="0"/>
        <w:spacing w:before="79" w:line="264" w:lineRule="exact"/>
        <w:ind w:left="120" w:right="814"/>
        <w:rPr>
          <w:rFonts w:ascii="Garamond" w:hAnsi="Garamond" w:cs="Garamond"/>
          <w:b/>
          <w:bCs/>
          <w:i/>
          <w:iCs/>
          <w:w w:val="85"/>
          <w:sz w:val="24"/>
          <w:szCs w:val="24"/>
        </w:rPr>
      </w:pPr>
      <w:r>
        <w:rPr>
          <w:rFonts w:ascii="Garamond" w:hAnsi="Garamond" w:cs="Garamond"/>
          <w:b/>
          <w:bCs/>
          <w:i/>
          <w:iCs/>
          <w:w w:val="85"/>
          <w:sz w:val="24"/>
          <w:szCs w:val="24"/>
        </w:rPr>
        <w:t>Social determinants of</w:t>
      </w:r>
      <w:r w:rsidR="00CF30C1">
        <w:rPr>
          <w:rFonts w:ascii="Garamond" w:hAnsi="Garamond" w:cs="Garamond"/>
          <w:b/>
          <w:bCs/>
          <w:i/>
          <w:iCs/>
          <w:w w:val="85"/>
          <w:sz w:val="24"/>
          <w:szCs w:val="24"/>
        </w:rPr>
        <w:t xml:space="preserve"> </w:t>
      </w:r>
      <w:r>
        <w:rPr>
          <w:rFonts w:ascii="Garamond" w:hAnsi="Garamond" w:cs="Garamond"/>
          <w:b/>
          <w:bCs/>
          <w:i/>
          <w:iCs/>
          <w:w w:val="85"/>
          <w:sz w:val="24"/>
          <w:szCs w:val="24"/>
        </w:rPr>
        <w:t>health and community-clinical linkages</w:t>
      </w:r>
    </w:p>
    <w:p w:rsidR="002C5025" w:rsidRDefault="002C5025">
      <w:pPr>
        <w:pStyle w:val="BodyText"/>
        <w:kinsoku w:val="0"/>
        <w:overflowPunct w:val="0"/>
        <w:ind w:left="118" w:right="49" w:firstLine="1"/>
        <w:rPr>
          <w:rFonts w:ascii="Garamond" w:hAnsi="Garamond" w:cs="Garamond"/>
        </w:rPr>
      </w:pPr>
      <w:r>
        <w:rPr>
          <w:rFonts w:ascii="Garamond" w:hAnsi="Garamond" w:cs="Garamond"/>
        </w:rPr>
        <w:t xml:space="preserve">We strongly support MassHealth’s proposal to integrate community-based partners </w:t>
      </w:r>
      <w:r>
        <w:rPr>
          <w:rFonts w:ascii="Garamond" w:hAnsi="Garamond" w:cs="Garamond"/>
          <w:spacing w:val="-3"/>
        </w:rPr>
        <w:t xml:space="preserve">and </w:t>
      </w:r>
      <w:r>
        <w:rPr>
          <w:rFonts w:ascii="Garamond" w:hAnsi="Garamond" w:cs="Garamond"/>
        </w:rPr>
        <w:t xml:space="preserve">linkages to social services in an </w:t>
      </w:r>
      <w:r>
        <w:rPr>
          <w:rFonts w:ascii="Garamond" w:hAnsi="Garamond" w:cs="Garamond"/>
          <w:spacing w:val="-3"/>
        </w:rPr>
        <w:t xml:space="preserve">effort </w:t>
      </w:r>
      <w:r>
        <w:rPr>
          <w:rFonts w:ascii="Garamond" w:hAnsi="Garamond" w:cs="Garamond"/>
        </w:rPr>
        <w:t xml:space="preserve">to address social determinants of health. Given that many </w:t>
      </w:r>
      <w:r>
        <w:rPr>
          <w:rFonts w:ascii="Garamond" w:hAnsi="Garamond" w:cs="Garamond"/>
          <w:spacing w:val="-3"/>
        </w:rPr>
        <w:t xml:space="preserve">MassHealth </w:t>
      </w:r>
      <w:r>
        <w:rPr>
          <w:rFonts w:ascii="Garamond" w:hAnsi="Garamond" w:cs="Garamond"/>
        </w:rPr>
        <w:t xml:space="preserve">members may face significant social, economic, and environmental barriers that substantially </w:t>
      </w:r>
      <w:r>
        <w:rPr>
          <w:rFonts w:ascii="Garamond" w:hAnsi="Garamond" w:cs="Garamond"/>
          <w:spacing w:val="-3"/>
        </w:rPr>
        <w:t xml:space="preserve">impact </w:t>
      </w:r>
      <w:r>
        <w:rPr>
          <w:rFonts w:ascii="Garamond" w:hAnsi="Garamond" w:cs="Garamond"/>
        </w:rPr>
        <w:t xml:space="preserve">their health, it is critical that ACOs support their members with accessing community resources in their area, and integrate </w:t>
      </w:r>
      <w:r>
        <w:rPr>
          <w:rFonts w:ascii="Garamond" w:hAnsi="Garamond" w:cs="Garamond"/>
          <w:spacing w:val="-3"/>
        </w:rPr>
        <w:t xml:space="preserve">community </w:t>
      </w:r>
      <w:r>
        <w:rPr>
          <w:rFonts w:ascii="Garamond" w:hAnsi="Garamond" w:cs="Garamond"/>
        </w:rPr>
        <w:t xml:space="preserve">services into the physical, behavioral, </w:t>
      </w:r>
      <w:r>
        <w:rPr>
          <w:rFonts w:ascii="Garamond" w:hAnsi="Garamond" w:cs="Garamond"/>
          <w:spacing w:val="-3"/>
        </w:rPr>
        <w:t xml:space="preserve">and </w:t>
      </w:r>
      <w:r>
        <w:rPr>
          <w:rFonts w:ascii="Garamond" w:hAnsi="Garamond" w:cs="Garamond"/>
        </w:rPr>
        <w:t>oral health care provided.</w:t>
      </w:r>
    </w:p>
    <w:p w:rsidR="002C5025" w:rsidRDefault="002C5025">
      <w:pPr>
        <w:pStyle w:val="BodyText"/>
        <w:kinsoku w:val="0"/>
        <w:overflowPunct w:val="0"/>
        <w:rPr>
          <w:rFonts w:ascii="Garamond" w:hAnsi="Garamond" w:cs="Garamond"/>
          <w:sz w:val="20"/>
          <w:szCs w:val="20"/>
        </w:rPr>
      </w:pPr>
    </w:p>
    <w:p w:rsidR="002C5025" w:rsidRDefault="00FB027C">
      <w:pPr>
        <w:pStyle w:val="BodyText"/>
        <w:kinsoku w:val="0"/>
        <w:overflowPunct w:val="0"/>
        <w:spacing w:before="3"/>
        <w:rPr>
          <w:rFonts w:ascii="Garamond" w:hAnsi="Garamond" w:cs="Garamond"/>
          <w:sz w:val="10"/>
          <w:szCs w:val="10"/>
        </w:rPr>
      </w:pPr>
      <w:r>
        <w:rPr>
          <w:noProof/>
        </w:rPr>
        <mc:AlternateContent>
          <mc:Choice Requires="wps">
            <w:drawing>
              <wp:anchor distT="0" distB="0" distL="0" distR="0" simplePos="0" relativeHeight="251656704" behindDoc="0" locked="0" layoutInCell="0" allowOverlap="1">
                <wp:simplePos x="0" y="0"/>
                <wp:positionH relativeFrom="page">
                  <wp:posOffset>923925</wp:posOffset>
                </wp:positionH>
                <wp:positionV relativeFrom="paragraph">
                  <wp:posOffset>103505</wp:posOffset>
                </wp:positionV>
                <wp:extent cx="1829435" cy="12700"/>
                <wp:effectExtent l="0" t="0" r="0" b="0"/>
                <wp:wrapTopAndBottom/>
                <wp:docPr id="562" name="Freeform 4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1 w 2881"/>
                            <a:gd name="T3" fmla="*/ 0 h 20"/>
                          </a:gdLst>
                          <a:ahLst/>
                          <a:cxnLst>
                            <a:cxn ang="0">
                              <a:pos x="T0" y="T1"/>
                            </a:cxn>
                            <a:cxn ang="0">
                              <a:pos x="T2" y="T3"/>
                            </a:cxn>
                          </a:cxnLst>
                          <a:rect l="0" t="0" r="r" b="b"/>
                          <a:pathLst>
                            <a:path w="2881" h="20">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63" o:spid="_x0000_s1026" style="position:absolute;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2.75pt,8.15pt,216.8pt,8.15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" o:allowincell="f" filled="f" strokeweight=".82pt">
                <v:path arrowok="t" o:connecttype="custom" o:connectlocs="0,0;1829435,0" o:connectangles="0,0"/>
                <w10:wrap type="topAndBottom" anchorx="page"/>
              </v:polyline>
            </w:pict>
          </mc:Fallback>
        </mc:AlternateContent>
      </w:r>
    </w:p>
    <w:p w:rsidR="002C5025" w:rsidRDefault="002C5025">
      <w:pPr>
        <w:pStyle w:val="BodyText"/>
        <w:kinsoku w:val="0"/>
        <w:overflowPunct w:val="0"/>
        <w:spacing w:before="70"/>
        <w:ind w:left="120" w:right="160"/>
        <w:rPr>
          <w:rFonts w:ascii="Garamond" w:hAnsi="Garamond" w:cs="Garamond"/>
          <w:sz w:val="20"/>
          <w:szCs w:val="20"/>
        </w:rPr>
      </w:pPr>
      <w:r>
        <w:rPr>
          <w:rFonts w:ascii="Garamond" w:hAnsi="Garamond" w:cs="Garamond"/>
          <w:position w:val="5"/>
          <w:sz w:val="13"/>
          <w:szCs w:val="13"/>
        </w:rPr>
        <w:t>10</w:t>
      </w:r>
      <w:r>
        <w:rPr>
          <w:rFonts w:ascii="Garamond" w:hAnsi="Garamond" w:cs="Garamond"/>
          <w:spacing w:val="7"/>
          <w:position w:val="5"/>
          <w:sz w:val="13"/>
          <w:szCs w:val="13"/>
        </w:rPr>
        <w:t xml:space="preserve"> </w:t>
      </w:r>
      <w:proofErr w:type="spellStart"/>
      <w:r>
        <w:rPr>
          <w:rFonts w:ascii="Garamond" w:hAnsi="Garamond" w:cs="Garamond"/>
          <w:sz w:val="20"/>
          <w:szCs w:val="20"/>
        </w:rPr>
        <w:t>Veroff</w:t>
      </w:r>
      <w:proofErr w:type="spellEnd"/>
      <w:r>
        <w:rPr>
          <w:rFonts w:ascii="Garamond" w:hAnsi="Garamond" w:cs="Garamond"/>
          <w:sz w:val="20"/>
          <w:szCs w:val="20"/>
        </w:rPr>
        <w:t>,</w:t>
      </w:r>
      <w:r>
        <w:rPr>
          <w:rFonts w:ascii="Garamond" w:hAnsi="Garamond" w:cs="Garamond"/>
          <w:spacing w:val="-13"/>
          <w:sz w:val="20"/>
          <w:szCs w:val="20"/>
        </w:rPr>
        <w:t xml:space="preserve"> </w:t>
      </w:r>
      <w:r>
        <w:rPr>
          <w:rFonts w:ascii="Garamond" w:hAnsi="Garamond" w:cs="Garamond"/>
          <w:sz w:val="20"/>
          <w:szCs w:val="20"/>
        </w:rPr>
        <w:t>D.,</w:t>
      </w:r>
      <w:r>
        <w:rPr>
          <w:rFonts w:ascii="Garamond" w:hAnsi="Garamond" w:cs="Garamond"/>
          <w:spacing w:val="-13"/>
          <w:sz w:val="20"/>
          <w:szCs w:val="20"/>
        </w:rPr>
        <w:t xml:space="preserve"> </w:t>
      </w:r>
      <w:r>
        <w:rPr>
          <w:rFonts w:ascii="Garamond" w:hAnsi="Garamond" w:cs="Garamond"/>
          <w:sz w:val="20"/>
          <w:szCs w:val="20"/>
        </w:rPr>
        <w:t>Marr,</w:t>
      </w:r>
      <w:r>
        <w:rPr>
          <w:rFonts w:ascii="Garamond" w:hAnsi="Garamond" w:cs="Garamond"/>
          <w:spacing w:val="-10"/>
          <w:sz w:val="20"/>
          <w:szCs w:val="20"/>
        </w:rPr>
        <w:t xml:space="preserve"> </w:t>
      </w:r>
      <w:r>
        <w:rPr>
          <w:rFonts w:ascii="Garamond" w:hAnsi="Garamond" w:cs="Garamond"/>
          <w:sz w:val="20"/>
          <w:szCs w:val="20"/>
        </w:rPr>
        <w:t>A.,</w:t>
      </w:r>
      <w:r>
        <w:rPr>
          <w:rFonts w:ascii="Garamond" w:hAnsi="Garamond" w:cs="Garamond"/>
          <w:spacing w:val="-13"/>
          <w:sz w:val="20"/>
          <w:szCs w:val="20"/>
        </w:rPr>
        <w:t xml:space="preserve"> </w:t>
      </w:r>
      <w:r>
        <w:rPr>
          <w:rFonts w:ascii="Garamond" w:hAnsi="Garamond" w:cs="Garamond"/>
          <w:sz w:val="20"/>
          <w:szCs w:val="20"/>
        </w:rPr>
        <w:t>and</w:t>
      </w:r>
      <w:r>
        <w:rPr>
          <w:rFonts w:ascii="Garamond" w:hAnsi="Garamond" w:cs="Garamond"/>
          <w:spacing w:val="-9"/>
          <w:sz w:val="20"/>
          <w:szCs w:val="20"/>
        </w:rPr>
        <w:t xml:space="preserve"> </w:t>
      </w:r>
      <w:proofErr w:type="spellStart"/>
      <w:r>
        <w:rPr>
          <w:rFonts w:ascii="Garamond" w:hAnsi="Garamond" w:cs="Garamond"/>
          <w:sz w:val="20"/>
          <w:szCs w:val="20"/>
        </w:rPr>
        <w:t>Wennberg</w:t>
      </w:r>
      <w:proofErr w:type="spellEnd"/>
      <w:r>
        <w:rPr>
          <w:rFonts w:ascii="Garamond" w:hAnsi="Garamond" w:cs="Garamond"/>
          <w:sz w:val="20"/>
          <w:szCs w:val="20"/>
        </w:rPr>
        <w:t>,</w:t>
      </w:r>
      <w:r>
        <w:rPr>
          <w:rFonts w:ascii="Garamond" w:hAnsi="Garamond" w:cs="Garamond"/>
          <w:spacing w:val="-13"/>
          <w:sz w:val="20"/>
          <w:szCs w:val="20"/>
        </w:rPr>
        <w:t xml:space="preserve"> </w:t>
      </w:r>
      <w:r>
        <w:rPr>
          <w:rFonts w:ascii="Garamond" w:hAnsi="Garamond" w:cs="Garamond"/>
          <w:sz w:val="20"/>
          <w:szCs w:val="20"/>
        </w:rPr>
        <w:t>D.E.,</w:t>
      </w:r>
      <w:r>
        <w:rPr>
          <w:rFonts w:ascii="Garamond" w:hAnsi="Garamond" w:cs="Garamond"/>
          <w:spacing w:val="-13"/>
          <w:sz w:val="20"/>
          <w:szCs w:val="20"/>
        </w:rPr>
        <w:t xml:space="preserve"> </w:t>
      </w:r>
      <w:r>
        <w:rPr>
          <w:rFonts w:ascii="Garamond" w:hAnsi="Garamond" w:cs="Garamond"/>
          <w:sz w:val="20"/>
          <w:szCs w:val="20"/>
        </w:rPr>
        <w:t>(2013).</w:t>
      </w:r>
      <w:r>
        <w:rPr>
          <w:rFonts w:ascii="Garamond" w:hAnsi="Garamond" w:cs="Garamond"/>
          <w:spacing w:val="-8"/>
          <w:sz w:val="20"/>
          <w:szCs w:val="20"/>
        </w:rPr>
        <w:t xml:space="preserve"> </w:t>
      </w:r>
      <w:r>
        <w:rPr>
          <w:rFonts w:ascii="Garamond" w:hAnsi="Garamond" w:cs="Garamond"/>
          <w:sz w:val="20"/>
          <w:szCs w:val="20"/>
        </w:rPr>
        <w:t>Enhanced</w:t>
      </w:r>
      <w:r>
        <w:rPr>
          <w:rFonts w:ascii="Garamond" w:hAnsi="Garamond" w:cs="Garamond"/>
          <w:spacing w:val="-11"/>
          <w:sz w:val="20"/>
          <w:szCs w:val="20"/>
        </w:rPr>
        <w:t xml:space="preserve"> </w:t>
      </w:r>
      <w:r>
        <w:rPr>
          <w:rFonts w:ascii="Garamond" w:hAnsi="Garamond" w:cs="Garamond"/>
          <w:sz w:val="20"/>
          <w:szCs w:val="20"/>
        </w:rPr>
        <w:t>Support</w:t>
      </w:r>
      <w:r>
        <w:rPr>
          <w:rFonts w:ascii="Garamond" w:hAnsi="Garamond" w:cs="Garamond"/>
          <w:spacing w:val="-13"/>
          <w:sz w:val="20"/>
          <w:szCs w:val="20"/>
        </w:rPr>
        <w:t xml:space="preserve"> </w:t>
      </w:r>
      <w:r>
        <w:rPr>
          <w:rFonts w:ascii="Garamond" w:hAnsi="Garamond" w:cs="Garamond"/>
          <w:sz w:val="20"/>
          <w:szCs w:val="20"/>
        </w:rPr>
        <w:t>for</w:t>
      </w:r>
      <w:r>
        <w:rPr>
          <w:rFonts w:ascii="Garamond" w:hAnsi="Garamond" w:cs="Garamond"/>
          <w:spacing w:val="-9"/>
          <w:sz w:val="20"/>
          <w:szCs w:val="20"/>
        </w:rPr>
        <w:t xml:space="preserve"> </w:t>
      </w:r>
      <w:r>
        <w:rPr>
          <w:rFonts w:ascii="Garamond" w:hAnsi="Garamond" w:cs="Garamond"/>
          <w:sz w:val="20"/>
          <w:szCs w:val="20"/>
        </w:rPr>
        <w:t>Shared</w:t>
      </w:r>
      <w:r>
        <w:rPr>
          <w:rFonts w:ascii="Garamond" w:hAnsi="Garamond" w:cs="Garamond"/>
          <w:spacing w:val="-9"/>
          <w:sz w:val="20"/>
          <w:szCs w:val="20"/>
        </w:rPr>
        <w:t xml:space="preserve"> </w:t>
      </w:r>
      <w:r>
        <w:rPr>
          <w:rFonts w:ascii="Garamond" w:hAnsi="Garamond" w:cs="Garamond"/>
          <w:sz w:val="20"/>
          <w:szCs w:val="20"/>
        </w:rPr>
        <w:t>Decision</w:t>
      </w:r>
      <w:r>
        <w:rPr>
          <w:rFonts w:ascii="Garamond" w:hAnsi="Garamond" w:cs="Garamond"/>
          <w:spacing w:val="-13"/>
          <w:sz w:val="20"/>
          <w:szCs w:val="20"/>
        </w:rPr>
        <w:t xml:space="preserve"> </w:t>
      </w:r>
      <w:r>
        <w:rPr>
          <w:rFonts w:ascii="Garamond" w:hAnsi="Garamond" w:cs="Garamond"/>
          <w:sz w:val="20"/>
          <w:szCs w:val="20"/>
        </w:rPr>
        <w:t>Making</w:t>
      </w:r>
      <w:r>
        <w:rPr>
          <w:rFonts w:ascii="Garamond" w:hAnsi="Garamond" w:cs="Garamond"/>
          <w:spacing w:val="-13"/>
          <w:sz w:val="20"/>
          <w:szCs w:val="20"/>
        </w:rPr>
        <w:t xml:space="preserve"> </w:t>
      </w:r>
      <w:r>
        <w:rPr>
          <w:rFonts w:ascii="Garamond" w:hAnsi="Garamond" w:cs="Garamond"/>
          <w:sz w:val="20"/>
          <w:szCs w:val="20"/>
        </w:rPr>
        <w:t>Reduced</w:t>
      </w:r>
      <w:r>
        <w:rPr>
          <w:rFonts w:ascii="Garamond" w:hAnsi="Garamond" w:cs="Garamond"/>
          <w:spacing w:val="-9"/>
          <w:sz w:val="20"/>
          <w:szCs w:val="20"/>
        </w:rPr>
        <w:t xml:space="preserve"> </w:t>
      </w:r>
      <w:r>
        <w:rPr>
          <w:rFonts w:ascii="Garamond" w:hAnsi="Garamond" w:cs="Garamond"/>
          <w:sz w:val="20"/>
          <w:szCs w:val="20"/>
        </w:rPr>
        <w:t>Costs</w:t>
      </w:r>
      <w:r>
        <w:rPr>
          <w:rFonts w:ascii="Garamond" w:hAnsi="Garamond" w:cs="Garamond"/>
          <w:spacing w:val="-13"/>
          <w:sz w:val="20"/>
          <w:szCs w:val="20"/>
        </w:rPr>
        <w:t xml:space="preserve"> </w:t>
      </w:r>
      <w:r>
        <w:rPr>
          <w:rFonts w:ascii="Garamond" w:hAnsi="Garamond" w:cs="Garamond"/>
          <w:sz w:val="20"/>
          <w:szCs w:val="20"/>
        </w:rPr>
        <w:t>of Care</w:t>
      </w:r>
      <w:r>
        <w:rPr>
          <w:rFonts w:ascii="Garamond" w:hAnsi="Garamond" w:cs="Garamond"/>
          <w:spacing w:val="-15"/>
          <w:sz w:val="20"/>
          <w:szCs w:val="20"/>
        </w:rPr>
        <w:t xml:space="preserve"> </w:t>
      </w:r>
      <w:r>
        <w:rPr>
          <w:rFonts w:ascii="Garamond" w:hAnsi="Garamond" w:cs="Garamond"/>
          <w:sz w:val="20"/>
          <w:szCs w:val="20"/>
        </w:rPr>
        <w:t>for</w:t>
      </w:r>
      <w:r>
        <w:rPr>
          <w:rFonts w:ascii="Garamond" w:hAnsi="Garamond" w:cs="Garamond"/>
          <w:spacing w:val="-15"/>
          <w:sz w:val="20"/>
          <w:szCs w:val="20"/>
        </w:rPr>
        <w:t xml:space="preserve"> </w:t>
      </w:r>
      <w:r>
        <w:rPr>
          <w:rFonts w:ascii="Garamond" w:hAnsi="Garamond" w:cs="Garamond"/>
          <w:sz w:val="20"/>
          <w:szCs w:val="20"/>
        </w:rPr>
        <w:t>Patients</w:t>
      </w:r>
      <w:r>
        <w:rPr>
          <w:rFonts w:ascii="Garamond" w:hAnsi="Garamond" w:cs="Garamond"/>
          <w:spacing w:val="-16"/>
          <w:sz w:val="20"/>
          <w:szCs w:val="20"/>
        </w:rPr>
        <w:t xml:space="preserve"> </w:t>
      </w:r>
      <w:r>
        <w:rPr>
          <w:rFonts w:ascii="Garamond" w:hAnsi="Garamond" w:cs="Garamond"/>
          <w:sz w:val="20"/>
          <w:szCs w:val="20"/>
        </w:rPr>
        <w:t>with</w:t>
      </w:r>
      <w:r>
        <w:rPr>
          <w:rFonts w:ascii="Garamond" w:hAnsi="Garamond" w:cs="Garamond"/>
          <w:spacing w:val="-16"/>
          <w:sz w:val="20"/>
          <w:szCs w:val="20"/>
        </w:rPr>
        <w:t xml:space="preserve"> </w:t>
      </w:r>
      <w:r>
        <w:rPr>
          <w:rFonts w:ascii="Garamond" w:hAnsi="Garamond" w:cs="Garamond"/>
          <w:sz w:val="20"/>
          <w:szCs w:val="20"/>
        </w:rPr>
        <w:t>Preference-Sensitive</w:t>
      </w:r>
      <w:r>
        <w:rPr>
          <w:rFonts w:ascii="Garamond" w:hAnsi="Garamond" w:cs="Garamond"/>
          <w:spacing w:val="-15"/>
          <w:sz w:val="20"/>
          <w:szCs w:val="20"/>
        </w:rPr>
        <w:t xml:space="preserve"> </w:t>
      </w:r>
      <w:r>
        <w:rPr>
          <w:rFonts w:ascii="Garamond" w:hAnsi="Garamond" w:cs="Garamond"/>
          <w:sz w:val="20"/>
          <w:szCs w:val="20"/>
        </w:rPr>
        <w:t>Conditions.</w:t>
      </w:r>
      <w:r>
        <w:rPr>
          <w:rFonts w:ascii="Garamond" w:hAnsi="Garamond" w:cs="Garamond"/>
          <w:spacing w:val="-16"/>
          <w:sz w:val="20"/>
          <w:szCs w:val="20"/>
        </w:rPr>
        <w:t xml:space="preserve"> </w:t>
      </w:r>
      <w:r>
        <w:rPr>
          <w:rFonts w:ascii="Garamond" w:hAnsi="Garamond" w:cs="Garamond"/>
          <w:i/>
          <w:iCs/>
          <w:sz w:val="20"/>
          <w:szCs w:val="20"/>
        </w:rPr>
        <w:t>Health</w:t>
      </w:r>
      <w:r>
        <w:rPr>
          <w:rFonts w:ascii="Garamond" w:hAnsi="Garamond" w:cs="Garamond"/>
          <w:i/>
          <w:iCs/>
          <w:spacing w:val="-13"/>
          <w:sz w:val="20"/>
          <w:szCs w:val="20"/>
        </w:rPr>
        <w:t xml:space="preserve"> </w:t>
      </w:r>
      <w:r>
        <w:rPr>
          <w:rFonts w:ascii="Garamond" w:hAnsi="Garamond" w:cs="Garamond"/>
          <w:i/>
          <w:iCs/>
          <w:sz w:val="20"/>
          <w:szCs w:val="20"/>
        </w:rPr>
        <w:t>Affairs</w:t>
      </w:r>
      <w:r>
        <w:rPr>
          <w:rFonts w:ascii="Garamond" w:hAnsi="Garamond" w:cs="Garamond"/>
          <w:i/>
          <w:iCs/>
          <w:spacing w:val="-16"/>
          <w:sz w:val="20"/>
          <w:szCs w:val="20"/>
        </w:rPr>
        <w:t xml:space="preserve"> </w:t>
      </w:r>
      <w:r>
        <w:rPr>
          <w:rFonts w:ascii="Garamond" w:hAnsi="Garamond" w:cs="Garamond"/>
          <w:sz w:val="20"/>
          <w:szCs w:val="20"/>
        </w:rPr>
        <w:t>32(2):</w:t>
      </w:r>
      <w:r>
        <w:rPr>
          <w:rFonts w:ascii="Garamond" w:hAnsi="Garamond" w:cs="Garamond"/>
          <w:spacing w:val="-16"/>
          <w:sz w:val="20"/>
          <w:szCs w:val="20"/>
        </w:rPr>
        <w:t xml:space="preserve"> </w:t>
      </w:r>
      <w:r>
        <w:rPr>
          <w:rFonts w:ascii="Garamond" w:hAnsi="Garamond" w:cs="Garamond"/>
          <w:sz w:val="20"/>
          <w:szCs w:val="20"/>
        </w:rPr>
        <w:t>285-93.</w:t>
      </w:r>
    </w:p>
    <w:p w:rsidR="002C5025" w:rsidRDefault="002C5025">
      <w:pPr>
        <w:pStyle w:val="BodyText"/>
        <w:kinsoku w:val="0"/>
        <w:overflowPunct w:val="0"/>
        <w:ind w:left="120" w:right="160"/>
        <w:rPr>
          <w:rFonts w:ascii="Garamond" w:hAnsi="Garamond" w:cs="Garamond"/>
          <w:i/>
          <w:iCs/>
          <w:sz w:val="20"/>
          <w:szCs w:val="20"/>
        </w:rPr>
      </w:pPr>
      <w:r>
        <w:rPr>
          <w:rFonts w:ascii="Garamond" w:hAnsi="Garamond" w:cs="Garamond"/>
          <w:position w:val="5"/>
          <w:sz w:val="13"/>
          <w:szCs w:val="13"/>
        </w:rPr>
        <w:t xml:space="preserve">11 </w:t>
      </w:r>
      <w:r>
        <w:rPr>
          <w:rFonts w:ascii="Garamond" w:hAnsi="Garamond" w:cs="Garamond"/>
          <w:sz w:val="20"/>
          <w:szCs w:val="20"/>
        </w:rPr>
        <w:t xml:space="preserve">See, e.g., </w:t>
      </w:r>
      <w:proofErr w:type="spellStart"/>
      <w:r>
        <w:rPr>
          <w:rFonts w:ascii="Garamond" w:hAnsi="Garamond" w:cs="Garamond"/>
          <w:sz w:val="20"/>
          <w:szCs w:val="20"/>
        </w:rPr>
        <w:t>Keif</w:t>
      </w:r>
      <w:proofErr w:type="spellEnd"/>
      <w:r>
        <w:rPr>
          <w:rFonts w:ascii="Garamond" w:hAnsi="Garamond" w:cs="Garamond"/>
          <w:sz w:val="20"/>
          <w:szCs w:val="20"/>
        </w:rPr>
        <w:t>, et al., (2014). Peer Recovery Support for Individuals With Substance Use Disorders: Assessing the Evidence.</w:t>
      </w:r>
      <w:r>
        <w:rPr>
          <w:rFonts w:ascii="Garamond" w:hAnsi="Garamond" w:cs="Garamond"/>
          <w:spacing w:val="-13"/>
          <w:sz w:val="20"/>
          <w:szCs w:val="20"/>
        </w:rPr>
        <w:t xml:space="preserve"> </w:t>
      </w:r>
      <w:r>
        <w:rPr>
          <w:rFonts w:ascii="Garamond" w:hAnsi="Garamond" w:cs="Garamond"/>
          <w:i/>
          <w:iCs/>
          <w:sz w:val="20"/>
          <w:szCs w:val="20"/>
        </w:rPr>
        <w:t>Psychiatric</w:t>
      </w:r>
      <w:r>
        <w:rPr>
          <w:rFonts w:ascii="Garamond" w:hAnsi="Garamond" w:cs="Garamond"/>
          <w:i/>
          <w:iCs/>
          <w:spacing w:val="-9"/>
          <w:sz w:val="20"/>
          <w:szCs w:val="20"/>
        </w:rPr>
        <w:t xml:space="preserve"> </w:t>
      </w:r>
      <w:r>
        <w:rPr>
          <w:rFonts w:ascii="Garamond" w:hAnsi="Garamond" w:cs="Garamond"/>
          <w:i/>
          <w:iCs/>
          <w:sz w:val="20"/>
          <w:szCs w:val="20"/>
        </w:rPr>
        <w:t>Services</w:t>
      </w:r>
      <w:r>
        <w:rPr>
          <w:rFonts w:ascii="Garamond" w:hAnsi="Garamond" w:cs="Garamond"/>
          <w:sz w:val="20"/>
          <w:szCs w:val="20"/>
        </w:rPr>
        <w:t>.</w:t>
      </w:r>
      <w:r>
        <w:rPr>
          <w:rFonts w:ascii="Garamond" w:hAnsi="Garamond" w:cs="Garamond"/>
          <w:spacing w:val="-13"/>
          <w:sz w:val="20"/>
          <w:szCs w:val="20"/>
        </w:rPr>
        <w:t xml:space="preserve"> </w:t>
      </w:r>
      <w:r>
        <w:rPr>
          <w:rFonts w:ascii="Garamond" w:hAnsi="Garamond" w:cs="Garamond"/>
          <w:sz w:val="20"/>
          <w:szCs w:val="20"/>
        </w:rPr>
        <w:t>65(7):</w:t>
      </w:r>
      <w:r>
        <w:rPr>
          <w:rFonts w:ascii="Garamond" w:hAnsi="Garamond" w:cs="Garamond"/>
          <w:spacing w:val="-13"/>
          <w:sz w:val="20"/>
          <w:szCs w:val="20"/>
        </w:rPr>
        <w:t xml:space="preserve"> </w:t>
      </w:r>
      <w:r>
        <w:rPr>
          <w:rFonts w:ascii="Garamond" w:hAnsi="Garamond" w:cs="Garamond"/>
          <w:sz w:val="20"/>
          <w:szCs w:val="20"/>
        </w:rPr>
        <w:t>853</w:t>
      </w:r>
      <w:r>
        <w:rPr>
          <w:rFonts w:ascii="Garamond" w:hAnsi="Garamond" w:cs="Garamond"/>
          <w:spacing w:val="-10"/>
          <w:sz w:val="20"/>
          <w:szCs w:val="20"/>
        </w:rPr>
        <w:t xml:space="preserve"> </w:t>
      </w:r>
      <w:r>
        <w:rPr>
          <w:rFonts w:ascii="Garamond" w:hAnsi="Garamond" w:cs="Garamond"/>
          <w:sz w:val="20"/>
          <w:szCs w:val="20"/>
        </w:rPr>
        <w:t>(lower</w:t>
      </w:r>
      <w:r>
        <w:rPr>
          <w:rFonts w:ascii="Garamond" w:hAnsi="Garamond" w:cs="Garamond"/>
          <w:spacing w:val="-12"/>
          <w:sz w:val="20"/>
          <w:szCs w:val="20"/>
        </w:rPr>
        <w:t xml:space="preserve"> </w:t>
      </w:r>
      <w:r>
        <w:rPr>
          <w:rFonts w:ascii="Garamond" w:hAnsi="Garamond" w:cs="Garamond"/>
          <w:sz w:val="20"/>
          <w:szCs w:val="20"/>
        </w:rPr>
        <w:t>relapse</w:t>
      </w:r>
      <w:r>
        <w:rPr>
          <w:rFonts w:ascii="Garamond" w:hAnsi="Garamond" w:cs="Garamond"/>
          <w:spacing w:val="-11"/>
          <w:sz w:val="20"/>
          <w:szCs w:val="20"/>
        </w:rPr>
        <w:t xml:space="preserve"> </w:t>
      </w:r>
      <w:r>
        <w:rPr>
          <w:rFonts w:ascii="Garamond" w:hAnsi="Garamond" w:cs="Garamond"/>
          <w:sz w:val="20"/>
          <w:szCs w:val="20"/>
        </w:rPr>
        <w:t>rates);</w:t>
      </w:r>
      <w:r>
        <w:rPr>
          <w:rFonts w:ascii="Garamond" w:hAnsi="Garamond" w:cs="Garamond"/>
          <w:spacing w:val="-13"/>
          <w:sz w:val="20"/>
          <w:szCs w:val="20"/>
        </w:rPr>
        <w:t xml:space="preserve"> </w:t>
      </w:r>
      <w:proofErr w:type="spellStart"/>
      <w:r>
        <w:rPr>
          <w:rFonts w:ascii="Garamond" w:hAnsi="Garamond" w:cs="Garamond"/>
          <w:sz w:val="20"/>
          <w:szCs w:val="20"/>
        </w:rPr>
        <w:t>Gidugu</w:t>
      </w:r>
      <w:proofErr w:type="spellEnd"/>
      <w:r>
        <w:rPr>
          <w:rFonts w:ascii="Garamond" w:hAnsi="Garamond" w:cs="Garamond"/>
          <w:sz w:val="20"/>
          <w:szCs w:val="20"/>
        </w:rPr>
        <w:t>,</w:t>
      </w:r>
      <w:r>
        <w:rPr>
          <w:rFonts w:ascii="Garamond" w:hAnsi="Garamond" w:cs="Garamond"/>
          <w:spacing w:val="-13"/>
          <w:sz w:val="20"/>
          <w:szCs w:val="20"/>
        </w:rPr>
        <w:t xml:space="preserve"> </w:t>
      </w:r>
      <w:r>
        <w:rPr>
          <w:rFonts w:ascii="Garamond" w:hAnsi="Garamond" w:cs="Garamond"/>
          <w:sz w:val="20"/>
          <w:szCs w:val="20"/>
        </w:rPr>
        <w:t>et</w:t>
      </w:r>
      <w:r>
        <w:rPr>
          <w:rFonts w:ascii="Garamond" w:hAnsi="Garamond" w:cs="Garamond"/>
          <w:spacing w:val="-13"/>
          <w:sz w:val="20"/>
          <w:szCs w:val="20"/>
        </w:rPr>
        <w:t xml:space="preserve"> </w:t>
      </w:r>
      <w:r>
        <w:rPr>
          <w:rFonts w:ascii="Garamond" w:hAnsi="Garamond" w:cs="Garamond"/>
          <w:sz w:val="20"/>
          <w:szCs w:val="20"/>
        </w:rPr>
        <w:t>al.</w:t>
      </w:r>
      <w:r>
        <w:rPr>
          <w:rFonts w:ascii="Garamond" w:hAnsi="Garamond" w:cs="Garamond"/>
          <w:spacing w:val="-13"/>
          <w:sz w:val="20"/>
          <w:szCs w:val="20"/>
        </w:rPr>
        <w:t xml:space="preserve"> </w:t>
      </w:r>
      <w:r>
        <w:rPr>
          <w:rFonts w:ascii="Garamond" w:hAnsi="Garamond" w:cs="Garamond"/>
          <w:sz w:val="20"/>
          <w:szCs w:val="20"/>
        </w:rPr>
        <w:t>(2015).</w:t>
      </w:r>
      <w:r>
        <w:rPr>
          <w:rFonts w:ascii="Garamond" w:hAnsi="Garamond" w:cs="Garamond"/>
          <w:spacing w:val="-9"/>
          <w:sz w:val="20"/>
          <w:szCs w:val="20"/>
        </w:rPr>
        <w:t xml:space="preserve"> </w:t>
      </w:r>
      <w:r>
        <w:rPr>
          <w:rFonts w:ascii="Garamond" w:hAnsi="Garamond" w:cs="Garamond"/>
          <w:sz w:val="20"/>
          <w:szCs w:val="20"/>
        </w:rPr>
        <w:t>Individual</w:t>
      </w:r>
      <w:r>
        <w:rPr>
          <w:rFonts w:ascii="Garamond" w:hAnsi="Garamond" w:cs="Garamond"/>
          <w:spacing w:val="-12"/>
          <w:sz w:val="20"/>
          <w:szCs w:val="20"/>
        </w:rPr>
        <w:t xml:space="preserve"> </w:t>
      </w:r>
      <w:r>
        <w:rPr>
          <w:rFonts w:ascii="Garamond" w:hAnsi="Garamond" w:cs="Garamond"/>
          <w:sz w:val="20"/>
          <w:szCs w:val="20"/>
        </w:rPr>
        <w:t>Peer</w:t>
      </w:r>
      <w:r>
        <w:rPr>
          <w:rFonts w:ascii="Garamond" w:hAnsi="Garamond" w:cs="Garamond"/>
          <w:spacing w:val="-9"/>
          <w:sz w:val="20"/>
          <w:szCs w:val="20"/>
        </w:rPr>
        <w:t xml:space="preserve"> </w:t>
      </w:r>
      <w:r>
        <w:rPr>
          <w:rFonts w:ascii="Garamond" w:hAnsi="Garamond" w:cs="Garamond"/>
          <w:sz w:val="20"/>
          <w:szCs w:val="20"/>
        </w:rPr>
        <w:t>Support:</w:t>
      </w:r>
      <w:r>
        <w:rPr>
          <w:rFonts w:ascii="Garamond" w:hAnsi="Garamond" w:cs="Garamond"/>
          <w:spacing w:val="-13"/>
          <w:sz w:val="20"/>
          <w:szCs w:val="20"/>
        </w:rPr>
        <w:t xml:space="preserve"> </w:t>
      </w:r>
      <w:r>
        <w:rPr>
          <w:rFonts w:ascii="Garamond" w:hAnsi="Garamond" w:cs="Garamond"/>
          <w:sz w:val="20"/>
          <w:szCs w:val="20"/>
        </w:rPr>
        <w:t>A</w:t>
      </w:r>
      <w:r>
        <w:rPr>
          <w:rFonts w:ascii="Garamond" w:hAnsi="Garamond" w:cs="Garamond"/>
          <w:spacing w:val="-10"/>
          <w:sz w:val="20"/>
          <w:szCs w:val="20"/>
        </w:rPr>
        <w:t xml:space="preserve"> </w:t>
      </w:r>
      <w:r>
        <w:rPr>
          <w:rFonts w:ascii="Garamond" w:hAnsi="Garamond" w:cs="Garamond"/>
          <w:sz w:val="20"/>
          <w:szCs w:val="20"/>
        </w:rPr>
        <w:t xml:space="preserve">Qualitative Study of Mechanisms of Its Effectiveness. </w:t>
      </w:r>
      <w:r>
        <w:rPr>
          <w:rFonts w:ascii="Garamond" w:hAnsi="Garamond" w:cs="Garamond"/>
          <w:i/>
          <w:iCs/>
          <w:sz w:val="20"/>
          <w:szCs w:val="20"/>
        </w:rPr>
        <w:t xml:space="preserve">Community Mental Health Journal. </w:t>
      </w:r>
      <w:r>
        <w:rPr>
          <w:rFonts w:ascii="Garamond" w:hAnsi="Garamond" w:cs="Garamond"/>
          <w:sz w:val="20"/>
          <w:szCs w:val="20"/>
        </w:rPr>
        <w:t>51(4): 445-52. (as an adjunct to traditional mental</w:t>
      </w:r>
      <w:r>
        <w:rPr>
          <w:rFonts w:ascii="Garamond" w:hAnsi="Garamond" w:cs="Garamond"/>
          <w:spacing w:val="-10"/>
          <w:sz w:val="20"/>
          <w:szCs w:val="20"/>
        </w:rPr>
        <w:t xml:space="preserve"> </w:t>
      </w:r>
      <w:r>
        <w:rPr>
          <w:rFonts w:ascii="Garamond" w:hAnsi="Garamond" w:cs="Garamond"/>
          <w:sz w:val="20"/>
          <w:szCs w:val="20"/>
        </w:rPr>
        <w:t>health</w:t>
      </w:r>
      <w:r>
        <w:rPr>
          <w:rFonts w:ascii="Garamond" w:hAnsi="Garamond" w:cs="Garamond"/>
          <w:spacing w:val="-13"/>
          <w:sz w:val="20"/>
          <w:szCs w:val="20"/>
        </w:rPr>
        <w:t xml:space="preserve"> </w:t>
      </w:r>
      <w:r>
        <w:rPr>
          <w:rFonts w:ascii="Garamond" w:hAnsi="Garamond" w:cs="Garamond"/>
          <w:sz w:val="20"/>
          <w:szCs w:val="20"/>
        </w:rPr>
        <w:t>services);</w:t>
      </w:r>
      <w:r>
        <w:rPr>
          <w:rFonts w:ascii="Garamond" w:hAnsi="Garamond" w:cs="Garamond"/>
          <w:spacing w:val="-13"/>
          <w:sz w:val="20"/>
          <w:szCs w:val="20"/>
        </w:rPr>
        <w:t xml:space="preserve"> </w:t>
      </w:r>
      <w:r>
        <w:rPr>
          <w:rFonts w:ascii="Garamond" w:hAnsi="Garamond" w:cs="Garamond"/>
          <w:spacing w:val="-2"/>
          <w:sz w:val="20"/>
          <w:szCs w:val="20"/>
        </w:rPr>
        <w:t>see</w:t>
      </w:r>
      <w:r>
        <w:rPr>
          <w:rFonts w:ascii="Garamond" w:hAnsi="Garamond" w:cs="Garamond"/>
          <w:spacing w:val="-9"/>
          <w:sz w:val="20"/>
          <w:szCs w:val="20"/>
        </w:rPr>
        <w:t xml:space="preserve"> </w:t>
      </w:r>
      <w:r>
        <w:rPr>
          <w:rFonts w:ascii="Garamond" w:hAnsi="Garamond" w:cs="Garamond"/>
          <w:sz w:val="20"/>
          <w:szCs w:val="20"/>
        </w:rPr>
        <w:t>also</w:t>
      </w:r>
      <w:r>
        <w:rPr>
          <w:rFonts w:ascii="Garamond" w:hAnsi="Garamond" w:cs="Garamond"/>
          <w:spacing w:val="-13"/>
          <w:sz w:val="20"/>
          <w:szCs w:val="20"/>
        </w:rPr>
        <w:t xml:space="preserve"> </w:t>
      </w:r>
      <w:r>
        <w:rPr>
          <w:rFonts w:ascii="Garamond" w:hAnsi="Garamond" w:cs="Garamond"/>
          <w:sz w:val="20"/>
          <w:szCs w:val="20"/>
        </w:rPr>
        <w:t>National</w:t>
      </w:r>
      <w:r>
        <w:rPr>
          <w:rFonts w:ascii="Garamond" w:hAnsi="Garamond" w:cs="Garamond"/>
          <w:spacing w:val="-12"/>
          <w:sz w:val="20"/>
          <w:szCs w:val="20"/>
        </w:rPr>
        <w:t xml:space="preserve"> </w:t>
      </w:r>
      <w:r>
        <w:rPr>
          <w:rFonts w:ascii="Garamond" w:hAnsi="Garamond" w:cs="Garamond"/>
          <w:sz w:val="20"/>
          <w:szCs w:val="20"/>
        </w:rPr>
        <w:t>Coalition</w:t>
      </w:r>
      <w:r>
        <w:rPr>
          <w:rFonts w:ascii="Garamond" w:hAnsi="Garamond" w:cs="Garamond"/>
          <w:spacing w:val="-11"/>
          <w:sz w:val="20"/>
          <w:szCs w:val="20"/>
        </w:rPr>
        <w:t xml:space="preserve"> </w:t>
      </w:r>
      <w:r>
        <w:rPr>
          <w:rFonts w:ascii="Garamond" w:hAnsi="Garamond" w:cs="Garamond"/>
          <w:sz w:val="20"/>
          <w:szCs w:val="20"/>
        </w:rPr>
        <w:t>for</w:t>
      </w:r>
      <w:r>
        <w:rPr>
          <w:rFonts w:ascii="Garamond" w:hAnsi="Garamond" w:cs="Garamond"/>
          <w:spacing w:val="-9"/>
          <w:sz w:val="20"/>
          <w:szCs w:val="20"/>
        </w:rPr>
        <w:t xml:space="preserve"> </w:t>
      </w:r>
      <w:r>
        <w:rPr>
          <w:rFonts w:ascii="Garamond" w:hAnsi="Garamond" w:cs="Garamond"/>
          <w:sz w:val="20"/>
          <w:szCs w:val="20"/>
        </w:rPr>
        <w:t>Mental</w:t>
      </w:r>
      <w:r>
        <w:rPr>
          <w:rFonts w:ascii="Garamond" w:hAnsi="Garamond" w:cs="Garamond"/>
          <w:spacing w:val="-7"/>
          <w:sz w:val="20"/>
          <w:szCs w:val="20"/>
        </w:rPr>
        <w:t xml:space="preserve"> </w:t>
      </w:r>
      <w:r>
        <w:rPr>
          <w:rFonts w:ascii="Garamond" w:hAnsi="Garamond" w:cs="Garamond"/>
          <w:sz w:val="20"/>
          <w:szCs w:val="20"/>
        </w:rPr>
        <w:t>Health</w:t>
      </w:r>
      <w:r>
        <w:rPr>
          <w:rFonts w:ascii="Garamond" w:hAnsi="Garamond" w:cs="Garamond"/>
          <w:spacing w:val="-13"/>
          <w:sz w:val="20"/>
          <w:szCs w:val="20"/>
        </w:rPr>
        <w:t xml:space="preserve"> </w:t>
      </w:r>
      <w:r>
        <w:rPr>
          <w:rFonts w:ascii="Garamond" w:hAnsi="Garamond" w:cs="Garamond"/>
          <w:sz w:val="20"/>
          <w:szCs w:val="20"/>
        </w:rPr>
        <w:t>Recovery</w:t>
      </w:r>
      <w:r>
        <w:rPr>
          <w:rFonts w:ascii="Garamond" w:hAnsi="Garamond" w:cs="Garamond"/>
          <w:spacing w:val="-9"/>
          <w:sz w:val="20"/>
          <w:szCs w:val="20"/>
        </w:rPr>
        <w:t xml:space="preserve"> </w:t>
      </w:r>
      <w:r>
        <w:rPr>
          <w:rFonts w:ascii="Garamond" w:hAnsi="Garamond" w:cs="Garamond"/>
          <w:sz w:val="20"/>
          <w:szCs w:val="20"/>
        </w:rPr>
        <w:t>(2014).</w:t>
      </w:r>
      <w:r>
        <w:rPr>
          <w:rFonts w:ascii="Garamond" w:hAnsi="Garamond" w:cs="Garamond"/>
          <w:spacing w:val="-6"/>
          <w:sz w:val="20"/>
          <w:szCs w:val="20"/>
        </w:rPr>
        <w:t xml:space="preserve"> </w:t>
      </w:r>
      <w:r>
        <w:rPr>
          <w:rFonts w:ascii="Garamond" w:hAnsi="Garamond" w:cs="Garamond"/>
          <w:i/>
          <w:iCs/>
          <w:sz w:val="20"/>
          <w:szCs w:val="20"/>
        </w:rPr>
        <w:t>Peer</w:t>
      </w:r>
      <w:r>
        <w:rPr>
          <w:rFonts w:ascii="Garamond" w:hAnsi="Garamond" w:cs="Garamond"/>
          <w:i/>
          <w:iCs/>
          <w:spacing w:val="-10"/>
          <w:sz w:val="20"/>
          <w:szCs w:val="20"/>
        </w:rPr>
        <w:t xml:space="preserve"> </w:t>
      </w:r>
      <w:r>
        <w:rPr>
          <w:rFonts w:ascii="Garamond" w:hAnsi="Garamond" w:cs="Garamond"/>
          <w:i/>
          <w:iCs/>
          <w:sz w:val="20"/>
          <w:szCs w:val="20"/>
        </w:rPr>
        <w:t>Support:</w:t>
      </w:r>
      <w:r>
        <w:rPr>
          <w:rFonts w:ascii="Garamond" w:hAnsi="Garamond" w:cs="Garamond"/>
          <w:i/>
          <w:iCs/>
          <w:spacing w:val="-10"/>
          <w:sz w:val="20"/>
          <w:szCs w:val="20"/>
        </w:rPr>
        <w:t xml:space="preserve"> </w:t>
      </w:r>
      <w:r>
        <w:rPr>
          <w:rFonts w:ascii="Garamond" w:hAnsi="Garamond" w:cs="Garamond"/>
          <w:i/>
          <w:iCs/>
          <w:sz w:val="20"/>
          <w:szCs w:val="20"/>
        </w:rPr>
        <w:t>Why</w:t>
      </w:r>
      <w:r>
        <w:rPr>
          <w:rFonts w:ascii="Garamond" w:hAnsi="Garamond" w:cs="Garamond"/>
          <w:i/>
          <w:iCs/>
          <w:spacing w:val="-11"/>
          <w:sz w:val="20"/>
          <w:szCs w:val="20"/>
        </w:rPr>
        <w:t xml:space="preserve"> </w:t>
      </w:r>
      <w:r>
        <w:rPr>
          <w:rFonts w:ascii="Garamond" w:hAnsi="Garamond" w:cs="Garamond"/>
          <w:i/>
          <w:iCs/>
          <w:sz w:val="20"/>
          <w:szCs w:val="20"/>
        </w:rPr>
        <w:t>It</w:t>
      </w:r>
      <w:r>
        <w:rPr>
          <w:rFonts w:ascii="Garamond" w:hAnsi="Garamond" w:cs="Garamond"/>
          <w:i/>
          <w:iCs/>
          <w:spacing w:val="-9"/>
          <w:sz w:val="20"/>
          <w:szCs w:val="20"/>
        </w:rPr>
        <w:t xml:space="preserve"> </w:t>
      </w:r>
      <w:r>
        <w:rPr>
          <w:rFonts w:ascii="Garamond" w:hAnsi="Garamond" w:cs="Garamond"/>
          <w:i/>
          <w:iCs/>
          <w:sz w:val="20"/>
          <w:szCs w:val="20"/>
        </w:rPr>
        <w:t>Works.</w:t>
      </w:r>
    </w:p>
    <w:p w:rsidR="002C5025" w:rsidRDefault="002C5025">
      <w:pPr>
        <w:pStyle w:val="BodyText"/>
        <w:tabs>
          <w:tab w:val="left" w:pos="1036"/>
          <w:tab w:val="left" w:pos="1620"/>
        </w:tabs>
        <w:kinsoku w:val="0"/>
        <w:overflowPunct w:val="0"/>
        <w:spacing w:line="223" w:lineRule="exact"/>
        <w:ind w:left="120" w:right="160"/>
        <w:rPr>
          <w:rFonts w:ascii="Garamond" w:hAnsi="Garamond" w:cs="Garamond"/>
          <w:color w:val="0000FF"/>
          <w:sz w:val="20"/>
          <w:szCs w:val="20"/>
        </w:rPr>
      </w:pPr>
      <w:r>
        <w:rPr>
          <w:rFonts w:ascii="Garamond" w:hAnsi="Garamond" w:cs="Garamond"/>
          <w:sz w:val="20"/>
          <w:szCs w:val="20"/>
        </w:rPr>
        <w:t>Retrieved</w:t>
      </w:r>
      <w:r>
        <w:rPr>
          <w:rFonts w:ascii="Garamond" w:hAnsi="Garamond" w:cs="Garamond"/>
          <w:sz w:val="20"/>
          <w:szCs w:val="20"/>
        </w:rPr>
        <w:tab/>
        <w:t>from</w:t>
      </w:r>
      <w:r>
        <w:rPr>
          <w:rFonts w:ascii="Garamond" w:hAnsi="Garamond" w:cs="Garamond"/>
          <w:sz w:val="20"/>
          <w:szCs w:val="20"/>
        </w:rPr>
        <w:tab/>
      </w:r>
      <w:hyperlink r:id="rId318" w:history="1">
        <w:r>
          <w:rPr>
            <w:rFonts w:ascii="Garamond" w:hAnsi="Garamond" w:cs="Garamond"/>
            <w:color w:val="0000FF"/>
            <w:sz w:val="20"/>
            <w:szCs w:val="20"/>
            <w:u w:val="single"/>
          </w:rPr>
          <w:t>http://www.ncmhr.org/downloads/References-on-why-peer-support-works-4.16.2014.pdf</w:t>
        </w:r>
        <w:r>
          <w:rPr>
            <w:rFonts w:ascii="Garamond" w:hAnsi="Garamond" w:cs="Garamond"/>
            <w:color w:val="0000FF"/>
            <w:sz w:val="20"/>
            <w:szCs w:val="20"/>
          </w:rPr>
          <w:t>.</w:t>
        </w:r>
      </w:hyperlink>
    </w:p>
    <w:p w:rsidR="002C5025" w:rsidRDefault="002C5025">
      <w:pPr>
        <w:pStyle w:val="BodyText"/>
        <w:kinsoku w:val="0"/>
        <w:overflowPunct w:val="0"/>
        <w:ind w:left="120" w:right="160"/>
        <w:rPr>
          <w:rFonts w:ascii="Garamond" w:hAnsi="Garamond" w:cs="Garamond"/>
          <w:sz w:val="20"/>
          <w:szCs w:val="20"/>
        </w:rPr>
      </w:pPr>
      <w:r>
        <w:rPr>
          <w:rFonts w:ascii="Garamond" w:hAnsi="Garamond" w:cs="Garamond"/>
          <w:position w:val="5"/>
          <w:sz w:val="13"/>
          <w:szCs w:val="13"/>
        </w:rPr>
        <w:t>12</w:t>
      </w:r>
      <w:r>
        <w:rPr>
          <w:rFonts w:ascii="Garamond" w:hAnsi="Garamond" w:cs="Garamond"/>
          <w:spacing w:val="7"/>
          <w:position w:val="5"/>
          <w:sz w:val="13"/>
          <w:szCs w:val="13"/>
        </w:rPr>
        <w:t xml:space="preserve"> </w:t>
      </w:r>
      <w:r>
        <w:rPr>
          <w:rFonts w:ascii="Garamond" w:hAnsi="Garamond" w:cs="Garamond"/>
          <w:sz w:val="20"/>
          <w:szCs w:val="20"/>
        </w:rPr>
        <w:t>Hibbard,</w:t>
      </w:r>
      <w:r>
        <w:rPr>
          <w:rFonts w:ascii="Garamond" w:hAnsi="Garamond" w:cs="Garamond"/>
          <w:spacing w:val="-13"/>
          <w:sz w:val="20"/>
          <w:szCs w:val="20"/>
        </w:rPr>
        <w:t xml:space="preserve"> </w:t>
      </w:r>
      <w:r>
        <w:rPr>
          <w:rFonts w:ascii="Garamond" w:hAnsi="Garamond" w:cs="Garamond"/>
          <w:sz w:val="20"/>
          <w:szCs w:val="20"/>
        </w:rPr>
        <w:t>J.</w:t>
      </w:r>
      <w:r>
        <w:rPr>
          <w:rFonts w:ascii="Garamond" w:hAnsi="Garamond" w:cs="Garamond"/>
          <w:spacing w:val="-10"/>
          <w:sz w:val="20"/>
          <w:szCs w:val="20"/>
        </w:rPr>
        <w:t xml:space="preserve"> </w:t>
      </w:r>
      <w:r>
        <w:rPr>
          <w:rFonts w:ascii="Garamond" w:hAnsi="Garamond" w:cs="Garamond"/>
          <w:sz w:val="20"/>
          <w:szCs w:val="20"/>
        </w:rPr>
        <w:t>H.,</w:t>
      </w:r>
      <w:r>
        <w:rPr>
          <w:rFonts w:ascii="Garamond" w:hAnsi="Garamond" w:cs="Garamond"/>
          <w:spacing w:val="-13"/>
          <w:sz w:val="20"/>
          <w:szCs w:val="20"/>
        </w:rPr>
        <w:t xml:space="preserve"> </w:t>
      </w:r>
      <w:r>
        <w:rPr>
          <w:rFonts w:ascii="Garamond" w:hAnsi="Garamond" w:cs="Garamond"/>
          <w:sz w:val="20"/>
          <w:szCs w:val="20"/>
        </w:rPr>
        <w:t>Greene,</w:t>
      </w:r>
      <w:r>
        <w:rPr>
          <w:rFonts w:ascii="Garamond" w:hAnsi="Garamond" w:cs="Garamond"/>
          <w:spacing w:val="-13"/>
          <w:sz w:val="20"/>
          <w:szCs w:val="20"/>
        </w:rPr>
        <w:t xml:space="preserve"> </w:t>
      </w:r>
      <w:r>
        <w:rPr>
          <w:rFonts w:ascii="Garamond" w:hAnsi="Garamond" w:cs="Garamond"/>
          <w:sz w:val="20"/>
          <w:szCs w:val="20"/>
        </w:rPr>
        <w:t>J.</w:t>
      </w:r>
      <w:r>
        <w:rPr>
          <w:rFonts w:ascii="Garamond" w:hAnsi="Garamond" w:cs="Garamond"/>
          <w:spacing w:val="-13"/>
          <w:sz w:val="20"/>
          <w:szCs w:val="20"/>
        </w:rPr>
        <w:t xml:space="preserve"> </w:t>
      </w:r>
      <w:r>
        <w:rPr>
          <w:rFonts w:ascii="Garamond" w:hAnsi="Garamond" w:cs="Garamond"/>
          <w:sz w:val="20"/>
          <w:szCs w:val="20"/>
        </w:rPr>
        <w:t>(2013).</w:t>
      </w:r>
      <w:r>
        <w:rPr>
          <w:rFonts w:ascii="Garamond" w:hAnsi="Garamond" w:cs="Garamond"/>
          <w:spacing w:val="-10"/>
          <w:sz w:val="20"/>
          <w:szCs w:val="20"/>
        </w:rPr>
        <w:t xml:space="preserve"> </w:t>
      </w:r>
      <w:r>
        <w:rPr>
          <w:rFonts w:ascii="Garamond" w:hAnsi="Garamond" w:cs="Garamond"/>
          <w:sz w:val="20"/>
          <w:szCs w:val="20"/>
        </w:rPr>
        <w:t>What</w:t>
      </w:r>
      <w:r>
        <w:rPr>
          <w:rFonts w:ascii="Garamond" w:hAnsi="Garamond" w:cs="Garamond"/>
          <w:spacing w:val="-10"/>
          <w:sz w:val="20"/>
          <w:szCs w:val="20"/>
        </w:rPr>
        <w:t xml:space="preserve"> </w:t>
      </w:r>
      <w:r>
        <w:rPr>
          <w:rFonts w:ascii="Garamond" w:hAnsi="Garamond" w:cs="Garamond"/>
          <w:sz w:val="20"/>
          <w:szCs w:val="20"/>
        </w:rPr>
        <w:t>the</w:t>
      </w:r>
      <w:r>
        <w:rPr>
          <w:rFonts w:ascii="Garamond" w:hAnsi="Garamond" w:cs="Garamond"/>
          <w:spacing w:val="-9"/>
          <w:sz w:val="20"/>
          <w:szCs w:val="20"/>
        </w:rPr>
        <w:t xml:space="preserve"> </w:t>
      </w:r>
      <w:r>
        <w:rPr>
          <w:rFonts w:ascii="Garamond" w:hAnsi="Garamond" w:cs="Garamond"/>
          <w:sz w:val="20"/>
          <w:szCs w:val="20"/>
        </w:rPr>
        <w:t>Evidence</w:t>
      </w:r>
      <w:r>
        <w:rPr>
          <w:rFonts w:ascii="Garamond" w:hAnsi="Garamond" w:cs="Garamond"/>
          <w:spacing w:val="-9"/>
          <w:sz w:val="20"/>
          <w:szCs w:val="20"/>
        </w:rPr>
        <w:t xml:space="preserve"> </w:t>
      </w:r>
      <w:r>
        <w:rPr>
          <w:rFonts w:ascii="Garamond" w:hAnsi="Garamond" w:cs="Garamond"/>
          <w:sz w:val="20"/>
          <w:szCs w:val="20"/>
        </w:rPr>
        <w:t>Shows</w:t>
      </w:r>
      <w:r>
        <w:rPr>
          <w:rFonts w:ascii="Garamond" w:hAnsi="Garamond" w:cs="Garamond"/>
          <w:spacing w:val="-8"/>
          <w:sz w:val="20"/>
          <w:szCs w:val="20"/>
        </w:rPr>
        <w:t xml:space="preserve"> </w:t>
      </w:r>
      <w:r>
        <w:rPr>
          <w:rFonts w:ascii="Garamond" w:hAnsi="Garamond" w:cs="Garamond"/>
          <w:sz w:val="20"/>
          <w:szCs w:val="20"/>
        </w:rPr>
        <w:t>about</w:t>
      </w:r>
      <w:r>
        <w:rPr>
          <w:rFonts w:ascii="Garamond" w:hAnsi="Garamond" w:cs="Garamond"/>
          <w:spacing w:val="-13"/>
          <w:sz w:val="20"/>
          <w:szCs w:val="20"/>
        </w:rPr>
        <w:t xml:space="preserve"> </w:t>
      </w:r>
      <w:r>
        <w:rPr>
          <w:rFonts w:ascii="Garamond" w:hAnsi="Garamond" w:cs="Garamond"/>
          <w:sz w:val="20"/>
          <w:szCs w:val="20"/>
        </w:rPr>
        <w:t>Patient</w:t>
      </w:r>
      <w:r>
        <w:rPr>
          <w:rFonts w:ascii="Garamond" w:hAnsi="Garamond" w:cs="Garamond"/>
          <w:spacing w:val="-13"/>
          <w:sz w:val="20"/>
          <w:szCs w:val="20"/>
        </w:rPr>
        <w:t xml:space="preserve"> </w:t>
      </w:r>
      <w:r>
        <w:rPr>
          <w:rFonts w:ascii="Garamond" w:hAnsi="Garamond" w:cs="Garamond"/>
          <w:sz w:val="20"/>
          <w:szCs w:val="20"/>
        </w:rPr>
        <w:t>Activation:</w:t>
      </w:r>
      <w:r>
        <w:rPr>
          <w:rFonts w:ascii="Garamond" w:hAnsi="Garamond" w:cs="Garamond"/>
          <w:spacing w:val="-13"/>
          <w:sz w:val="20"/>
          <w:szCs w:val="20"/>
        </w:rPr>
        <w:t xml:space="preserve"> </w:t>
      </w:r>
      <w:r>
        <w:rPr>
          <w:rFonts w:ascii="Garamond" w:hAnsi="Garamond" w:cs="Garamond"/>
          <w:sz w:val="20"/>
          <w:szCs w:val="20"/>
        </w:rPr>
        <w:t>Better</w:t>
      </w:r>
      <w:r>
        <w:rPr>
          <w:rFonts w:ascii="Garamond" w:hAnsi="Garamond" w:cs="Garamond"/>
          <w:spacing w:val="-12"/>
          <w:sz w:val="20"/>
          <w:szCs w:val="20"/>
        </w:rPr>
        <w:t xml:space="preserve"> </w:t>
      </w:r>
      <w:r>
        <w:rPr>
          <w:rFonts w:ascii="Garamond" w:hAnsi="Garamond" w:cs="Garamond"/>
          <w:sz w:val="20"/>
          <w:szCs w:val="20"/>
        </w:rPr>
        <w:t>Health</w:t>
      </w:r>
      <w:r>
        <w:rPr>
          <w:rFonts w:ascii="Garamond" w:hAnsi="Garamond" w:cs="Garamond"/>
          <w:spacing w:val="-13"/>
          <w:sz w:val="20"/>
          <w:szCs w:val="20"/>
        </w:rPr>
        <w:t xml:space="preserve"> </w:t>
      </w:r>
      <w:r>
        <w:rPr>
          <w:rFonts w:ascii="Garamond" w:hAnsi="Garamond" w:cs="Garamond"/>
          <w:sz w:val="20"/>
          <w:szCs w:val="20"/>
        </w:rPr>
        <w:t>Outcomes</w:t>
      </w:r>
      <w:r>
        <w:rPr>
          <w:rFonts w:ascii="Garamond" w:hAnsi="Garamond" w:cs="Garamond"/>
          <w:spacing w:val="-11"/>
          <w:sz w:val="20"/>
          <w:szCs w:val="20"/>
        </w:rPr>
        <w:t xml:space="preserve"> </w:t>
      </w:r>
      <w:r>
        <w:rPr>
          <w:rFonts w:ascii="Garamond" w:hAnsi="Garamond" w:cs="Garamond"/>
          <w:sz w:val="20"/>
          <w:szCs w:val="20"/>
        </w:rPr>
        <w:t>and Care</w:t>
      </w:r>
      <w:r>
        <w:rPr>
          <w:rFonts w:ascii="Garamond" w:hAnsi="Garamond" w:cs="Garamond"/>
          <w:spacing w:val="-9"/>
          <w:sz w:val="20"/>
          <w:szCs w:val="20"/>
        </w:rPr>
        <w:t xml:space="preserve"> </w:t>
      </w:r>
      <w:r>
        <w:rPr>
          <w:rFonts w:ascii="Garamond" w:hAnsi="Garamond" w:cs="Garamond"/>
          <w:sz w:val="20"/>
          <w:szCs w:val="20"/>
        </w:rPr>
        <w:t>Experiences;</w:t>
      </w:r>
      <w:r>
        <w:rPr>
          <w:rFonts w:ascii="Garamond" w:hAnsi="Garamond" w:cs="Garamond"/>
          <w:spacing w:val="-13"/>
          <w:sz w:val="20"/>
          <w:szCs w:val="20"/>
        </w:rPr>
        <w:t xml:space="preserve"> </w:t>
      </w:r>
      <w:r>
        <w:rPr>
          <w:rFonts w:ascii="Garamond" w:hAnsi="Garamond" w:cs="Garamond"/>
          <w:sz w:val="20"/>
          <w:szCs w:val="20"/>
        </w:rPr>
        <w:t>Fewer</w:t>
      </w:r>
      <w:r>
        <w:rPr>
          <w:rFonts w:ascii="Garamond" w:hAnsi="Garamond" w:cs="Garamond"/>
          <w:spacing w:val="-11"/>
          <w:sz w:val="20"/>
          <w:szCs w:val="20"/>
        </w:rPr>
        <w:t xml:space="preserve"> </w:t>
      </w:r>
      <w:r>
        <w:rPr>
          <w:rFonts w:ascii="Garamond" w:hAnsi="Garamond" w:cs="Garamond"/>
          <w:sz w:val="20"/>
          <w:szCs w:val="20"/>
        </w:rPr>
        <w:t>Data</w:t>
      </w:r>
      <w:r>
        <w:rPr>
          <w:rFonts w:ascii="Garamond" w:hAnsi="Garamond" w:cs="Garamond"/>
          <w:spacing w:val="-9"/>
          <w:sz w:val="20"/>
          <w:szCs w:val="20"/>
        </w:rPr>
        <w:t xml:space="preserve"> </w:t>
      </w:r>
      <w:r>
        <w:rPr>
          <w:rFonts w:ascii="Garamond" w:hAnsi="Garamond" w:cs="Garamond"/>
          <w:sz w:val="20"/>
          <w:szCs w:val="20"/>
        </w:rPr>
        <w:t>on</w:t>
      </w:r>
      <w:r>
        <w:rPr>
          <w:rFonts w:ascii="Garamond" w:hAnsi="Garamond" w:cs="Garamond"/>
          <w:spacing w:val="-13"/>
          <w:sz w:val="20"/>
          <w:szCs w:val="20"/>
        </w:rPr>
        <w:t xml:space="preserve"> </w:t>
      </w:r>
      <w:r>
        <w:rPr>
          <w:rFonts w:ascii="Garamond" w:hAnsi="Garamond" w:cs="Garamond"/>
          <w:sz w:val="20"/>
          <w:szCs w:val="20"/>
        </w:rPr>
        <w:t>Costs.</w:t>
      </w:r>
      <w:r>
        <w:rPr>
          <w:rFonts w:ascii="Garamond" w:hAnsi="Garamond" w:cs="Garamond"/>
          <w:spacing w:val="-6"/>
          <w:sz w:val="20"/>
          <w:szCs w:val="20"/>
        </w:rPr>
        <w:t xml:space="preserve"> </w:t>
      </w:r>
      <w:r>
        <w:rPr>
          <w:rFonts w:ascii="Garamond" w:hAnsi="Garamond" w:cs="Garamond"/>
          <w:i/>
          <w:iCs/>
          <w:sz w:val="20"/>
          <w:szCs w:val="20"/>
        </w:rPr>
        <w:t>Health</w:t>
      </w:r>
      <w:r>
        <w:rPr>
          <w:rFonts w:ascii="Garamond" w:hAnsi="Garamond" w:cs="Garamond"/>
          <w:i/>
          <w:iCs/>
          <w:spacing w:val="-9"/>
          <w:sz w:val="20"/>
          <w:szCs w:val="20"/>
        </w:rPr>
        <w:t xml:space="preserve"> </w:t>
      </w:r>
      <w:r>
        <w:rPr>
          <w:rFonts w:ascii="Garamond" w:hAnsi="Garamond" w:cs="Garamond"/>
          <w:i/>
          <w:iCs/>
          <w:sz w:val="20"/>
          <w:szCs w:val="20"/>
        </w:rPr>
        <w:t>Affairs</w:t>
      </w:r>
      <w:r>
        <w:rPr>
          <w:rFonts w:ascii="Garamond" w:hAnsi="Garamond" w:cs="Garamond"/>
          <w:i/>
          <w:iCs/>
          <w:spacing w:val="-13"/>
          <w:sz w:val="20"/>
          <w:szCs w:val="20"/>
        </w:rPr>
        <w:t xml:space="preserve"> </w:t>
      </w:r>
      <w:r>
        <w:rPr>
          <w:rFonts w:ascii="Garamond" w:hAnsi="Garamond" w:cs="Garamond"/>
          <w:sz w:val="20"/>
          <w:szCs w:val="20"/>
        </w:rPr>
        <w:t>32(2):</w:t>
      </w:r>
      <w:r>
        <w:rPr>
          <w:rFonts w:ascii="Garamond" w:hAnsi="Garamond" w:cs="Garamond"/>
          <w:spacing w:val="-10"/>
          <w:sz w:val="20"/>
          <w:szCs w:val="20"/>
        </w:rPr>
        <w:t xml:space="preserve"> </w:t>
      </w:r>
      <w:r>
        <w:rPr>
          <w:rFonts w:ascii="Garamond" w:hAnsi="Garamond" w:cs="Garamond"/>
          <w:sz w:val="20"/>
          <w:szCs w:val="20"/>
        </w:rPr>
        <w:t>207-14.</w:t>
      </w:r>
    </w:p>
    <w:p w:rsidR="002C5025" w:rsidRDefault="002C5025">
      <w:pPr>
        <w:pStyle w:val="BodyText"/>
        <w:kinsoku w:val="0"/>
        <w:overflowPunct w:val="0"/>
        <w:spacing w:line="224" w:lineRule="exact"/>
        <w:ind w:left="120" w:right="160"/>
        <w:rPr>
          <w:rFonts w:ascii="Garamond" w:hAnsi="Garamond" w:cs="Garamond"/>
          <w:i/>
          <w:iCs/>
          <w:sz w:val="20"/>
          <w:szCs w:val="20"/>
        </w:rPr>
      </w:pPr>
      <w:r>
        <w:rPr>
          <w:rFonts w:ascii="Garamond" w:hAnsi="Garamond" w:cs="Garamond"/>
          <w:position w:val="5"/>
          <w:sz w:val="13"/>
          <w:szCs w:val="13"/>
        </w:rPr>
        <w:t xml:space="preserve">13 </w:t>
      </w:r>
      <w:r>
        <w:rPr>
          <w:rFonts w:ascii="Garamond" w:hAnsi="Garamond" w:cs="Garamond"/>
          <w:sz w:val="20"/>
          <w:szCs w:val="20"/>
        </w:rPr>
        <w:t xml:space="preserve">Kahn, et al., (2014). Let’s Show Patients Their Mental Health Records. </w:t>
      </w:r>
      <w:r>
        <w:rPr>
          <w:rFonts w:ascii="Garamond" w:hAnsi="Garamond" w:cs="Garamond"/>
          <w:i/>
          <w:iCs/>
          <w:sz w:val="20"/>
          <w:szCs w:val="20"/>
        </w:rPr>
        <w:t>Journal of the American Medical Association.</w:t>
      </w:r>
    </w:p>
    <w:p w:rsidR="002C5025" w:rsidRDefault="002C5025">
      <w:pPr>
        <w:pStyle w:val="BodyText"/>
        <w:kinsoku w:val="0"/>
        <w:overflowPunct w:val="0"/>
        <w:spacing w:line="224" w:lineRule="exact"/>
        <w:ind w:left="120" w:right="814"/>
        <w:rPr>
          <w:rFonts w:ascii="Garamond" w:hAnsi="Garamond" w:cs="Garamond"/>
          <w:sz w:val="20"/>
          <w:szCs w:val="20"/>
        </w:rPr>
      </w:pPr>
      <w:r>
        <w:rPr>
          <w:rFonts w:ascii="Garamond" w:hAnsi="Garamond" w:cs="Garamond"/>
          <w:sz w:val="20"/>
          <w:szCs w:val="20"/>
        </w:rPr>
        <w:t>311(13):1291.</w:t>
      </w:r>
    </w:p>
    <w:p w:rsidR="002C5025" w:rsidRDefault="002C5025">
      <w:pPr>
        <w:pStyle w:val="BodyText"/>
        <w:kinsoku w:val="0"/>
        <w:overflowPunct w:val="0"/>
        <w:ind w:left="120" w:right="160"/>
        <w:rPr>
          <w:rFonts w:ascii="Garamond" w:hAnsi="Garamond" w:cs="Garamond"/>
          <w:sz w:val="20"/>
          <w:szCs w:val="20"/>
        </w:rPr>
      </w:pPr>
      <w:r>
        <w:rPr>
          <w:rFonts w:ascii="Garamond" w:hAnsi="Garamond" w:cs="Garamond"/>
          <w:position w:val="5"/>
          <w:sz w:val="13"/>
          <w:szCs w:val="13"/>
        </w:rPr>
        <w:t>14</w:t>
      </w:r>
      <w:r>
        <w:rPr>
          <w:rFonts w:ascii="Garamond" w:hAnsi="Garamond" w:cs="Garamond"/>
          <w:spacing w:val="7"/>
          <w:position w:val="5"/>
          <w:sz w:val="13"/>
          <w:szCs w:val="13"/>
        </w:rPr>
        <w:t xml:space="preserve"> </w:t>
      </w:r>
      <w:r>
        <w:rPr>
          <w:rFonts w:ascii="Garamond" w:hAnsi="Garamond" w:cs="Garamond"/>
          <w:sz w:val="20"/>
          <w:szCs w:val="20"/>
        </w:rPr>
        <w:t>Wasson,</w:t>
      </w:r>
      <w:r>
        <w:rPr>
          <w:rFonts w:ascii="Garamond" w:hAnsi="Garamond" w:cs="Garamond"/>
          <w:spacing w:val="-12"/>
          <w:sz w:val="20"/>
          <w:szCs w:val="20"/>
        </w:rPr>
        <w:t xml:space="preserve"> </w:t>
      </w:r>
      <w:r>
        <w:rPr>
          <w:rFonts w:ascii="Garamond" w:hAnsi="Garamond" w:cs="Garamond"/>
          <w:sz w:val="20"/>
          <w:szCs w:val="20"/>
        </w:rPr>
        <w:t>J.,</w:t>
      </w:r>
      <w:r>
        <w:rPr>
          <w:rFonts w:ascii="Garamond" w:hAnsi="Garamond" w:cs="Garamond"/>
          <w:spacing w:val="-12"/>
          <w:sz w:val="20"/>
          <w:szCs w:val="20"/>
        </w:rPr>
        <w:t xml:space="preserve"> </w:t>
      </w:r>
      <w:r>
        <w:rPr>
          <w:rFonts w:ascii="Garamond" w:hAnsi="Garamond" w:cs="Garamond"/>
          <w:sz w:val="20"/>
          <w:szCs w:val="20"/>
        </w:rPr>
        <w:t>and</w:t>
      </w:r>
      <w:r>
        <w:rPr>
          <w:rFonts w:ascii="Garamond" w:hAnsi="Garamond" w:cs="Garamond"/>
          <w:spacing w:val="-11"/>
          <w:sz w:val="20"/>
          <w:szCs w:val="20"/>
        </w:rPr>
        <w:t xml:space="preserve"> </w:t>
      </w:r>
      <w:r>
        <w:rPr>
          <w:rFonts w:ascii="Garamond" w:hAnsi="Garamond" w:cs="Garamond"/>
          <w:sz w:val="20"/>
          <w:szCs w:val="20"/>
        </w:rPr>
        <w:t>Coleman,</w:t>
      </w:r>
      <w:r>
        <w:rPr>
          <w:rFonts w:ascii="Garamond" w:hAnsi="Garamond" w:cs="Garamond"/>
          <w:spacing w:val="-8"/>
          <w:sz w:val="20"/>
          <w:szCs w:val="20"/>
        </w:rPr>
        <w:t xml:space="preserve"> </w:t>
      </w:r>
      <w:r>
        <w:rPr>
          <w:rFonts w:ascii="Garamond" w:hAnsi="Garamond" w:cs="Garamond"/>
          <w:sz w:val="20"/>
          <w:szCs w:val="20"/>
        </w:rPr>
        <w:t>E.</w:t>
      </w:r>
      <w:r>
        <w:rPr>
          <w:rFonts w:ascii="Garamond" w:hAnsi="Garamond" w:cs="Garamond"/>
          <w:spacing w:val="-12"/>
          <w:sz w:val="20"/>
          <w:szCs w:val="20"/>
        </w:rPr>
        <w:t xml:space="preserve"> </w:t>
      </w:r>
      <w:r>
        <w:rPr>
          <w:rFonts w:ascii="Garamond" w:hAnsi="Garamond" w:cs="Garamond"/>
          <w:sz w:val="20"/>
          <w:szCs w:val="20"/>
        </w:rPr>
        <w:t>(2014).</w:t>
      </w:r>
      <w:r>
        <w:rPr>
          <w:rFonts w:ascii="Garamond" w:hAnsi="Garamond" w:cs="Garamond"/>
          <w:spacing w:val="-12"/>
          <w:sz w:val="20"/>
          <w:szCs w:val="20"/>
        </w:rPr>
        <w:t xml:space="preserve"> </w:t>
      </w:r>
      <w:r>
        <w:rPr>
          <w:rFonts w:ascii="Garamond" w:hAnsi="Garamond" w:cs="Garamond"/>
          <w:sz w:val="20"/>
          <w:szCs w:val="20"/>
        </w:rPr>
        <w:t>Health</w:t>
      </w:r>
      <w:r>
        <w:rPr>
          <w:rFonts w:ascii="Garamond" w:hAnsi="Garamond" w:cs="Garamond"/>
          <w:spacing w:val="-12"/>
          <w:sz w:val="20"/>
          <w:szCs w:val="20"/>
        </w:rPr>
        <w:t xml:space="preserve"> </w:t>
      </w:r>
      <w:r>
        <w:rPr>
          <w:rFonts w:ascii="Garamond" w:hAnsi="Garamond" w:cs="Garamond"/>
          <w:sz w:val="20"/>
          <w:szCs w:val="20"/>
        </w:rPr>
        <w:t>Confidence:</w:t>
      </w:r>
      <w:r>
        <w:rPr>
          <w:rFonts w:ascii="Garamond" w:hAnsi="Garamond" w:cs="Garamond"/>
          <w:spacing w:val="-12"/>
          <w:sz w:val="20"/>
          <w:szCs w:val="20"/>
        </w:rPr>
        <w:t xml:space="preserve"> </w:t>
      </w:r>
      <w:r>
        <w:rPr>
          <w:rFonts w:ascii="Garamond" w:hAnsi="Garamond" w:cs="Garamond"/>
          <w:sz w:val="20"/>
          <w:szCs w:val="20"/>
        </w:rPr>
        <w:t>A</w:t>
      </w:r>
      <w:r>
        <w:rPr>
          <w:rFonts w:ascii="Garamond" w:hAnsi="Garamond" w:cs="Garamond"/>
          <w:spacing w:val="-12"/>
          <w:sz w:val="20"/>
          <w:szCs w:val="20"/>
        </w:rPr>
        <w:t xml:space="preserve"> </w:t>
      </w:r>
      <w:r>
        <w:rPr>
          <w:rFonts w:ascii="Garamond" w:hAnsi="Garamond" w:cs="Garamond"/>
          <w:sz w:val="20"/>
          <w:szCs w:val="20"/>
        </w:rPr>
        <w:t>Simple,</w:t>
      </w:r>
      <w:r>
        <w:rPr>
          <w:rFonts w:ascii="Garamond" w:hAnsi="Garamond" w:cs="Garamond"/>
          <w:spacing w:val="-10"/>
          <w:sz w:val="20"/>
          <w:szCs w:val="20"/>
        </w:rPr>
        <w:t xml:space="preserve"> </w:t>
      </w:r>
      <w:r>
        <w:rPr>
          <w:rFonts w:ascii="Garamond" w:hAnsi="Garamond" w:cs="Garamond"/>
          <w:sz w:val="20"/>
          <w:szCs w:val="20"/>
        </w:rPr>
        <w:t>Essential</w:t>
      </w:r>
      <w:r>
        <w:rPr>
          <w:rFonts w:ascii="Garamond" w:hAnsi="Garamond" w:cs="Garamond"/>
          <w:spacing w:val="-10"/>
          <w:sz w:val="20"/>
          <w:szCs w:val="20"/>
        </w:rPr>
        <w:t xml:space="preserve"> </w:t>
      </w:r>
      <w:r>
        <w:rPr>
          <w:rFonts w:ascii="Garamond" w:hAnsi="Garamond" w:cs="Garamond"/>
          <w:sz w:val="20"/>
          <w:szCs w:val="20"/>
        </w:rPr>
        <w:t>Measure</w:t>
      </w:r>
      <w:r>
        <w:rPr>
          <w:rFonts w:ascii="Garamond" w:hAnsi="Garamond" w:cs="Garamond"/>
          <w:spacing w:val="-9"/>
          <w:sz w:val="20"/>
          <w:szCs w:val="20"/>
        </w:rPr>
        <w:t xml:space="preserve"> </w:t>
      </w:r>
      <w:r>
        <w:rPr>
          <w:rFonts w:ascii="Garamond" w:hAnsi="Garamond" w:cs="Garamond"/>
          <w:sz w:val="20"/>
          <w:szCs w:val="20"/>
        </w:rPr>
        <w:t>for</w:t>
      </w:r>
      <w:r>
        <w:rPr>
          <w:rFonts w:ascii="Garamond" w:hAnsi="Garamond" w:cs="Garamond"/>
          <w:spacing w:val="-9"/>
          <w:sz w:val="20"/>
          <w:szCs w:val="20"/>
        </w:rPr>
        <w:t xml:space="preserve"> </w:t>
      </w:r>
      <w:r>
        <w:rPr>
          <w:rFonts w:ascii="Garamond" w:hAnsi="Garamond" w:cs="Garamond"/>
          <w:sz w:val="20"/>
          <w:szCs w:val="20"/>
        </w:rPr>
        <w:t>Patient</w:t>
      </w:r>
      <w:r>
        <w:rPr>
          <w:rFonts w:ascii="Garamond" w:hAnsi="Garamond" w:cs="Garamond"/>
          <w:spacing w:val="-10"/>
          <w:sz w:val="20"/>
          <w:szCs w:val="20"/>
        </w:rPr>
        <w:t xml:space="preserve"> </w:t>
      </w:r>
      <w:r>
        <w:rPr>
          <w:rFonts w:ascii="Garamond" w:hAnsi="Garamond" w:cs="Garamond"/>
          <w:sz w:val="20"/>
          <w:szCs w:val="20"/>
        </w:rPr>
        <w:t>Engagement</w:t>
      </w:r>
      <w:r>
        <w:rPr>
          <w:rFonts w:ascii="Garamond" w:hAnsi="Garamond" w:cs="Garamond"/>
          <w:spacing w:val="-12"/>
          <w:sz w:val="20"/>
          <w:szCs w:val="20"/>
        </w:rPr>
        <w:t xml:space="preserve"> </w:t>
      </w:r>
      <w:r>
        <w:rPr>
          <w:rFonts w:ascii="Garamond" w:hAnsi="Garamond" w:cs="Garamond"/>
          <w:sz w:val="20"/>
          <w:szCs w:val="20"/>
        </w:rPr>
        <w:t>and Better</w:t>
      </w:r>
      <w:r>
        <w:rPr>
          <w:rFonts w:ascii="Garamond" w:hAnsi="Garamond" w:cs="Garamond"/>
          <w:spacing w:val="-16"/>
          <w:sz w:val="20"/>
          <w:szCs w:val="20"/>
        </w:rPr>
        <w:t xml:space="preserve"> </w:t>
      </w:r>
      <w:r>
        <w:rPr>
          <w:rFonts w:ascii="Garamond" w:hAnsi="Garamond" w:cs="Garamond"/>
          <w:sz w:val="20"/>
          <w:szCs w:val="20"/>
        </w:rPr>
        <w:t>Practice.</w:t>
      </w:r>
      <w:r>
        <w:rPr>
          <w:rFonts w:ascii="Garamond" w:hAnsi="Garamond" w:cs="Garamond"/>
          <w:spacing w:val="-15"/>
          <w:sz w:val="20"/>
          <w:szCs w:val="20"/>
        </w:rPr>
        <w:t xml:space="preserve"> </w:t>
      </w:r>
      <w:r>
        <w:rPr>
          <w:rFonts w:ascii="Garamond" w:hAnsi="Garamond" w:cs="Garamond"/>
          <w:i/>
          <w:iCs/>
          <w:sz w:val="20"/>
          <w:szCs w:val="20"/>
        </w:rPr>
        <w:t>Family</w:t>
      </w:r>
      <w:r>
        <w:rPr>
          <w:rFonts w:ascii="Garamond" w:hAnsi="Garamond" w:cs="Garamond"/>
          <w:i/>
          <w:iCs/>
          <w:spacing w:val="-14"/>
          <w:sz w:val="20"/>
          <w:szCs w:val="20"/>
        </w:rPr>
        <w:t xml:space="preserve"> </w:t>
      </w:r>
      <w:r>
        <w:rPr>
          <w:rFonts w:ascii="Garamond" w:hAnsi="Garamond" w:cs="Garamond"/>
          <w:i/>
          <w:iCs/>
          <w:sz w:val="20"/>
          <w:szCs w:val="20"/>
        </w:rPr>
        <w:t>Practice</w:t>
      </w:r>
      <w:r>
        <w:rPr>
          <w:rFonts w:ascii="Garamond" w:hAnsi="Garamond" w:cs="Garamond"/>
          <w:i/>
          <w:iCs/>
          <w:spacing w:val="-17"/>
          <w:sz w:val="20"/>
          <w:szCs w:val="20"/>
        </w:rPr>
        <w:t xml:space="preserve"> </w:t>
      </w:r>
      <w:r>
        <w:rPr>
          <w:rFonts w:ascii="Garamond" w:hAnsi="Garamond" w:cs="Garamond"/>
          <w:i/>
          <w:iCs/>
          <w:sz w:val="20"/>
          <w:szCs w:val="20"/>
        </w:rPr>
        <w:t>Management</w:t>
      </w:r>
      <w:r>
        <w:rPr>
          <w:rFonts w:ascii="Garamond" w:hAnsi="Garamond" w:cs="Garamond"/>
          <w:sz w:val="20"/>
          <w:szCs w:val="20"/>
        </w:rPr>
        <w:t>.</w:t>
      </w:r>
      <w:r>
        <w:rPr>
          <w:rFonts w:ascii="Garamond" w:hAnsi="Garamond" w:cs="Garamond"/>
          <w:spacing w:val="-15"/>
          <w:sz w:val="20"/>
          <w:szCs w:val="20"/>
        </w:rPr>
        <w:t xml:space="preserve"> </w:t>
      </w:r>
      <w:r>
        <w:rPr>
          <w:rFonts w:ascii="Garamond" w:hAnsi="Garamond" w:cs="Garamond"/>
          <w:sz w:val="20"/>
          <w:szCs w:val="20"/>
        </w:rPr>
        <w:t>21(5):</w:t>
      </w:r>
      <w:r>
        <w:rPr>
          <w:rFonts w:ascii="Garamond" w:hAnsi="Garamond" w:cs="Garamond"/>
          <w:spacing w:val="-15"/>
          <w:sz w:val="20"/>
          <w:szCs w:val="20"/>
        </w:rPr>
        <w:t xml:space="preserve"> </w:t>
      </w:r>
      <w:r>
        <w:rPr>
          <w:rFonts w:ascii="Garamond" w:hAnsi="Garamond" w:cs="Garamond"/>
          <w:sz w:val="20"/>
          <w:szCs w:val="20"/>
        </w:rPr>
        <w:t>8-12.</w:t>
      </w:r>
    </w:p>
    <w:p w:rsidR="002C5025" w:rsidRDefault="002C5025">
      <w:pPr>
        <w:pStyle w:val="BodyText"/>
        <w:kinsoku w:val="0"/>
        <w:overflowPunct w:val="0"/>
        <w:spacing w:before="3"/>
        <w:rPr>
          <w:rFonts w:ascii="Garamond" w:hAnsi="Garamond" w:cs="Garamond"/>
          <w:sz w:val="20"/>
          <w:szCs w:val="20"/>
        </w:rPr>
      </w:pPr>
    </w:p>
    <w:p w:rsidR="002C5025" w:rsidRDefault="002C5025">
      <w:pPr>
        <w:pStyle w:val="BodyText"/>
        <w:kinsoku w:val="0"/>
        <w:overflowPunct w:val="0"/>
        <w:ind w:left="117"/>
        <w:jc w:val="center"/>
        <w:rPr>
          <w:rFonts w:ascii="Garamond" w:hAnsi="Garamond" w:cs="Garamond"/>
          <w:w w:val="99"/>
          <w:sz w:val="20"/>
          <w:szCs w:val="20"/>
        </w:rPr>
      </w:pPr>
      <w:r>
        <w:rPr>
          <w:rFonts w:ascii="Garamond" w:hAnsi="Garamond" w:cs="Garamond"/>
          <w:w w:val="99"/>
          <w:sz w:val="20"/>
          <w:szCs w:val="20"/>
        </w:rPr>
        <w:t>6</w:t>
      </w:r>
    </w:p>
    <w:p w:rsidR="002C5025" w:rsidRDefault="002C5025">
      <w:pPr>
        <w:pStyle w:val="BodyText"/>
        <w:kinsoku w:val="0"/>
        <w:overflowPunct w:val="0"/>
        <w:ind w:left="117"/>
        <w:jc w:val="center"/>
        <w:rPr>
          <w:rFonts w:ascii="Garamond" w:hAnsi="Garamond" w:cs="Garamond"/>
          <w:w w:val="99"/>
          <w:sz w:val="20"/>
          <w:szCs w:val="20"/>
        </w:rPr>
        <w:sectPr w:rsidR="002C5025">
          <w:pgSz w:w="12240" w:h="15840"/>
          <w:pgMar w:top="1380" w:right="1440" w:bottom="280" w:left="1320" w:header="720" w:footer="720" w:gutter="0"/>
          <w:cols w:space="720" w:equalWidth="0">
            <w:col w:w="9480"/>
          </w:cols>
          <w:noEndnote/>
        </w:sectPr>
      </w:pPr>
    </w:p>
    <w:p w:rsidR="002C5025" w:rsidRDefault="002C5025">
      <w:pPr>
        <w:pStyle w:val="BodyText"/>
        <w:kinsoku w:val="0"/>
        <w:overflowPunct w:val="0"/>
        <w:spacing w:before="6"/>
        <w:rPr>
          <w:rFonts w:ascii="Garamond" w:hAnsi="Garamond" w:cs="Garamond"/>
          <w:sz w:val="9"/>
          <w:szCs w:val="9"/>
        </w:rPr>
      </w:pPr>
    </w:p>
    <w:p w:rsidR="002C5025" w:rsidRDefault="002C5025">
      <w:pPr>
        <w:pStyle w:val="BodyText"/>
        <w:kinsoku w:val="0"/>
        <w:overflowPunct w:val="0"/>
        <w:spacing w:before="80"/>
        <w:ind w:left="117" w:right="37" w:firstLine="2"/>
        <w:rPr>
          <w:rFonts w:ascii="Garamond" w:hAnsi="Garamond" w:cs="Garamond"/>
        </w:rPr>
      </w:pPr>
      <w:r>
        <w:rPr>
          <w:rFonts w:ascii="Garamond" w:hAnsi="Garamond" w:cs="Garamond"/>
        </w:rPr>
        <w:t xml:space="preserve">Specifically, we support MassHealth’s clear expectations for </w:t>
      </w:r>
      <w:r>
        <w:rPr>
          <w:rFonts w:ascii="Garamond" w:hAnsi="Garamond" w:cs="Garamond"/>
          <w:spacing w:val="-3"/>
        </w:rPr>
        <w:t xml:space="preserve">ACOs </w:t>
      </w:r>
      <w:r>
        <w:rPr>
          <w:rFonts w:ascii="Garamond" w:hAnsi="Garamond" w:cs="Garamond"/>
        </w:rPr>
        <w:t xml:space="preserve">and community partners to </w:t>
      </w:r>
      <w:r>
        <w:rPr>
          <w:rFonts w:ascii="Garamond" w:hAnsi="Garamond" w:cs="Garamond"/>
          <w:spacing w:val="-3"/>
        </w:rPr>
        <w:t xml:space="preserve">address </w:t>
      </w:r>
      <w:r>
        <w:rPr>
          <w:rFonts w:ascii="Garamond" w:hAnsi="Garamond" w:cs="Garamond"/>
        </w:rPr>
        <w:t xml:space="preserve">social determinants of health, including an assessment of members’ social service needs, inclusion </w:t>
      </w:r>
      <w:r>
        <w:rPr>
          <w:rFonts w:ascii="Garamond" w:hAnsi="Garamond" w:cs="Garamond"/>
          <w:spacing w:val="-3"/>
        </w:rPr>
        <w:t xml:space="preserve">of </w:t>
      </w:r>
      <w:r>
        <w:rPr>
          <w:rFonts w:ascii="Garamond" w:hAnsi="Garamond" w:cs="Garamond"/>
        </w:rPr>
        <w:t xml:space="preserve">social services in members’ care plans, making referrals to social service organizations, and </w:t>
      </w:r>
      <w:r>
        <w:rPr>
          <w:rFonts w:ascii="Garamond" w:hAnsi="Garamond" w:cs="Garamond"/>
          <w:spacing w:val="-3"/>
        </w:rPr>
        <w:t xml:space="preserve">providing </w:t>
      </w:r>
      <w:r>
        <w:rPr>
          <w:rFonts w:ascii="Garamond" w:hAnsi="Garamond" w:cs="Garamond"/>
        </w:rPr>
        <w:t xml:space="preserve">navigational assistance for accessing social services (31). We further support that a portion of DSRIP </w:t>
      </w:r>
      <w:r>
        <w:rPr>
          <w:rFonts w:ascii="Garamond" w:hAnsi="Garamond" w:cs="Garamond"/>
          <w:spacing w:val="-3"/>
        </w:rPr>
        <w:t xml:space="preserve">funding </w:t>
      </w:r>
      <w:r>
        <w:rPr>
          <w:rFonts w:ascii="Garamond" w:hAnsi="Garamond" w:cs="Garamond"/>
        </w:rPr>
        <w:t xml:space="preserve">to ACOs will be explicitly designated for “flexible services” to fund members’ social service </w:t>
      </w:r>
      <w:r>
        <w:rPr>
          <w:rFonts w:ascii="Garamond" w:hAnsi="Garamond" w:cs="Garamond"/>
          <w:spacing w:val="-3"/>
        </w:rPr>
        <w:t xml:space="preserve">needs </w:t>
      </w:r>
      <w:r>
        <w:rPr>
          <w:rFonts w:ascii="Garamond" w:hAnsi="Garamond" w:cs="Garamond"/>
        </w:rPr>
        <w:t xml:space="preserve">(31-32, 41, 42-43). In determining whether the criteria </w:t>
      </w:r>
      <w:r>
        <w:rPr>
          <w:rFonts w:ascii="Garamond" w:hAnsi="Garamond" w:cs="Garamond"/>
          <w:spacing w:val="-3"/>
        </w:rPr>
        <w:t xml:space="preserve">has </w:t>
      </w:r>
      <w:r>
        <w:rPr>
          <w:rFonts w:ascii="Garamond" w:hAnsi="Garamond" w:cs="Garamond"/>
        </w:rPr>
        <w:t xml:space="preserve">been met to pay for such flexible services, we </w:t>
      </w:r>
      <w:r>
        <w:rPr>
          <w:rFonts w:ascii="Garamond" w:hAnsi="Garamond" w:cs="Garamond"/>
          <w:spacing w:val="-3"/>
        </w:rPr>
        <w:t xml:space="preserve">urge </w:t>
      </w:r>
      <w:r>
        <w:rPr>
          <w:rFonts w:ascii="Garamond" w:hAnsi="Garamond" w:cs="Garamond"/>
        </w:rPr>
        <w:t xml:space="preserve">MassHealth to take a broad and flexible approach to encourage ACOs to </w:t>
      </w:r>
      <w:r>
        <w:rPr>
          <w:rFonts w:ascii="Garamond" w:hAnsi="Garamond" w:cs="Garamond"/>
          <w:spacing w:val="-3"/>
        </w:rPr>
        <w:t xml:space="preserve">innovate </w:t>
      </w:r>
      <w:r>
        <w:rPr>
          <w:rFonts w:ascii="Garamond" w:hAnsi="Garamond" w:cs="Garamond"/>
        </w:rPr>
        <w:t>around how to use DSRIP funds to address social determinants of health.</w:t>
      </w:r>
    </w:p>
    <w:p w:rsidR="002C5025" w:rsidRDefault="002C5025">
      <w:pPr>
        <w:pStyle w:val="BodyText"/>
        <w:kinsoku w:val="0"/>
        <w:overflowPunct w:val="0"/>
        <w:spacing w:before="10"/>
        <w:rPr>
          <w:rFonts w:ascii="Garamond" w:hAnsi="Garamond" w:cs="Garamond"/>
          <w:sz w:val="21"/>
          <w:szCs w:val="21"/>
        </w:rPr>
      </w:pPr>
    </w:p>
    <w:p w:rsidR="002C5025" w:rsidRDefault="002C5025">
      <w:pPr>
        <w:pStyle w:val="BodyText"/>
        <w:kinsoku w:val="0"/>
        <w:overflowPunct w:val="0"/>
        <w:ind w:left="118" w:right="150" w:firstLine="1"/>
        <w:rPr>
          <w:rFonts w:ascii="Garamond" w:hAnsi="Garamond" w:cs="Garamond"/>
          <w:spacing w:val="-3"/>
        </w:rPr>
      </w:pPr>
      <w:r>
        <w:rPr>
          <w:rFonts w:ascii="Garamond" w:hAnsi="Garamond" w:cs="Garamond"/>
        </w:rPr>
        <w:t xml:space="preserve">As MassHealth does not </w:t>
      </w:r>
      <w:r>
        <w:rPr>
          <w:rFonts w:ascii="Garamond" w:hAnsi="Garamond" w:cs="Garamond"/>
          <w:spacing w:val="-3"/>
        </w:rPr>
        <w:t xml:space="preserve">plan </w:t>
      </w:r>
      <w:r>
        <w:rPr>
          <w:rFonts w:ascii="Garamond" w:hAnsi="Garamond" w:cs="Garamond"/>
        </w:rPr>
        <w:t xml:space="preserve">to designate social services providers as “certified” Community Partners, as </w:t>
      </w:r>
      <w:r>
        <w:rPr>
          <w:rFonts w:ascii="Garamond" w:hAnsi="Garamond" w:cs="Garamond"/>
          <w:spacing w:val="-3"/>
        </w:rPr>
        <w:t xml:space="preserve">is </w:t>
      </w:r>
      <w:r>
        <w:rPr>
          <w:rFonts w:ascii="Garamond" w:hAnsi="Garamond" w:cs="Garamond"/>
        </w:rPr>
        <w:t xml:space="preserve">proposed for behavioral health (BH) </w:t>
      </w:r>
      <w:r>
        <w:rPr>
          <w:rFonts w:ascii="Garamond" w:hAnsi="Garamond" w:cs="Garamond"/>
          <w:spacing w:val="-3"/>
        </w:rPr>
        <w:t xml:space="preserve">and </w:t>
      </w:r>
      <w:r>
        <w:rPr>
          <w:rFonts w:ascii="Garamond" w:hAnsi="Garamond" w:cs="Garamond"/>
        </w:rPr>
        <w:t>long-term services and supports (LTSS) providers, we seek clarification on how ACOs will be held accountable for ensuring that collaboration with social services providers is both meaningful and robust.</w:t>
      </w:r>
      <w:r>
        <w:rPr>
          <w:rFonts w:ascii="Garamond" w:hAnsi="Garamond" w:cs="Garamond"/>
          <w:position w:val="5"/>
          <w:sz w:val="14"/>
          <w:szCs w:val="14"/>
        </w:rPr>
        <w:t xml:space="preserve">15 </w:t>
      </w:r>
      <w:r>
        <w:rPr>
          <w:rFonts w:ascii="Garamond" w:hAnsi="Garamond" w:cs="Garamond"/>
        </w:rPr>
        <w:t xml:space="preserve">We recommend that MassHealth require </w:t>
      </w:r>
      <w:r>
        <w:rPr>
          <w:rFonts w:ascii="Garamond" w:hAnsi="Garamond" w:cs="Garamond"/>
          <w:spacing w:val="-3"/>
        </w:rPr>
        <w:t xml:space="preserve">ACOs </w:t>
      </w:r>
      <w:r>
        <w:rPr>
          <w:rFonts w:ascii="Garamond" w:hAnsi="Garamond" w:cs="Garamond"/>
        </w:rPr>
        <w:t xml:space="preserve">to detail their plans for these collaborations and use of flexible funding in their RFP </w:t>
      </w:r>
      <w:r>
        <w:rPr>
          <w:rFonts w:ascii="Garamond" w:hAnsi="Garamond" w:cs="Garamond"/>
          <w:spacing w:val="-2"/>
        </w:rPr>
        <w:t xml:space="preserve">responses </w:t>
      </w:r>
      <w:r>
        <w:rPr>
          <w:rFonts w:ascii="Garamond" w:hAnsi="Garamond" w:cs="Garamond"/>
          <w:spacing w:val="-3"/>
        </w:rPr>
        <w:t xml:space="preserve">and </w:t>
      </w:r>
      <w:r>
        <w:rPr>
          <w:rFonts w:ascii="Garamond" w:hAnsi="Garamond" w:cs="Garamond"/>
        </w:rPr>
        <w:t xml:space="preserve">in </w:t>
      </w:r>
      <w:r>
        <w:rPr>
          <w:rFonts w:ascii="Garamond" w:hAnsi="Garamond" w:cs="Garamond"/>
          <w:spacing w:val="-3"/>
        </w:rPr>
        <w:t xml:space="preserve">ACO/MCO and </w:t>
      </w:r>
      <w:r>
        <w:rPr>
          <w:rFonts w:ascii="Garamond" w:hAnsi="Garamond" w:cs="Garamond"/>
        </w:rPr>
        <w:t xml:space="preserve">ACO/MassHealth </w:t>
      </w:r>
      <w:r>
        <w:rPr>
          <w:rFonts w:ascii="Garamond" w:hAnsi="Garamond" w:cs="Garamond"/>
          <w:spacing w:val="-3"/>
        </w:rPr>
        <w:t>contracts.</w:t>
      </w:r>
    </w:p>
    <w:p w:rsidR="002C5025" w:rsidRDefault="002C5025">
      <w:pPr>
        <w:pStyle w:val="BodyText"/>
        <w:kinsoku w:val="0"/>
        <w:overflowPunct w:val="0"/>
        <w:spacing w:before="8"/>
        <w:rPr>
          <w:rFonts w:ascii="Garamond" w:hAnsi="Garamond" w:cs="Garamond"/>
          <w:sz w:val="21"/>
          <w:szCs w:val="21"/>
        </w:rPr>
      </w:pPr>
    </w:p>
    <w:p w:rsidR="002C5025" w:rsidRDefault="002C5025">
      <w:pPr>
        <w:pStyle w:val="BodyText"/>
        <w:kinsoku w:val="0"/>
        <w:overflowPunct w:val="0"/>
        <w:ind w:left="119" w:right="252"/>
        <w:rPr>
          <w:rFonts w:ascii="Garamond" w:hAnsi="Garamond" w:cs="Garamond"/>
        </w:rPr>
      </w:pPr>
      <w:r>
        <w:rPr>
          <w:rFonts w:ascii="Garamond" w:hAnsi="Garamond" w:cs="Garamond"/>
        </w:rPr>
        <w:t xml:space="preserve">While the Health Policy Commission’s initial proposed ACO certification criteria </w:t>
      </w:r>
      <w:r>
        <w:rPr>
          <w:rFonts w:ascii="Garamond" w:hAnsi="Garamond" w:cs="Garamond"/>
          <w:spacing w:val="-4"/>
        </w:rPr>
        <w:t xml:space="preserve">contained </w:t>
      </w:r>
      <w:r>
        <w:rPr>
          <w:rFonts w:ascii="Garamond" w:hAnsi="Garamond" w:cs="Garamond"/>
        </w:rPr>
        <w:t xml:space="preserve">a requirement that </w:t>
      </w:r>
      <w:r>
        <w:rPr>
          <w:rFonts w:ascii="Garamond" w:hAnsi="Garamond" w:cs="Garamond"/>
          <w:spacing w:val="-3"/>
        </w:rPr>
        <w:t xml:space="preserve">ACOs </w:t>
      </w:r>
      <w:r>
        <w:rPr>
          <w:rFonts w:ascii="Garamond" w:hAnsi="Garamond" w:cs="Garamond"/>
        </w:rPr>
        <w:t xml:space="preserve">collaborate with social services and community-based organizations, this requirement </w:t>
      </w:r>
      <w:r>
        <w:rPr>
          <w:rFonts w:ascii="Garamond" w:hAnsi="Garamond" w:cs="Garamond"/>
          <w:spacing w:val="-3"/>
        </w:rPr>
        <w:t xml:space="preserve">was </w:t>
      </w:r>
      <w:r>
        <w:rPr>
          <w:rFonts w:ascii="Garamond" w:hAnsi="Garamond" w:cs="Garamond"/>
        </w:rPr>
        <w:t xml:space="preserve">removed in the final </w:t>
      </w:r>
      <w:r>
        <w:rPr>
          <w:rFonts w:ascii="Garamond" w:hAnsi="Garamond" w:cs="Garamond"/>
          <w:spacing w:val="-3"/>
        </w:rPr>
        <w:t xml:space="preserve">approved </w:t>
      </w:r>
      <w:r>
        <w:rPr>
          <w:rFonts w:ascii="Garamond" w:hAnsi="Garamond" w:cs="Garamond"/>
        </w:rPr>
        <w:t xml:space="preserve">ACO criteria. As one key reason for removing the criteria, the HPC staff indicated that MassHealth </w:t>
      </w:r>
      <w:r>
        <w:rPr>
          <w:rFonts w:ascii="Garamond" w:hAnsi="Garamond" w:cs="Garamond"/>
          <w:spacing w:val="-4"/>
        </w:rPr>
        <w:t xml:space="preserve">ACOs </w:t>
      </w:r>
      <w:r>
        <w:rPr>
          <w:rFonts w:ascii="Garamond" w:hAnsi="Garamond" w:cs="Garamond"/>
        </w:rPr>
        <w:t xml:space="preserve">would have “robust requirements” for collaborating with social services providers. It is critically important for the MassHealth </w:t>
      </w:r>
      <w:r>
        <w:rPr>
          <w:rFonts w:ascii="Garamond" w:hAnsi="Garamond" w:cs="Garamond"/>
          <w:spacing w:val="-4"/>
        </w:rPr>
        <w:t xml:space="preserve">ACO </w:t>
      </w:r>
      <w:r>
        <w:rPr>
          <w:rFonts w:ascii="Garamond" w:hAnsi="Garamond" w:cs="Garamond"/>
        </w:rPr>
        <w:t xml:space="preserve">program to live up to </w:t>
      </w:r>
      <w:r>
        <w:rPr>
          <w:rFonts w:ascii="Garamond" w:hAnsi="Garamond" w:cs="Garamond"/>
          <w:spacing w:val="-3"/>
        </w:rPr>
        <w:t xml:space="preserve">this </w:t>
      </w:r>
      <w:r>
        <w:rPr>
          <w:rFonts w:ascii="Garamond" w:hAnsi="Garamond" w:cs="Garamond"/>
        </w:rPr>
        <w:t>promise, which will have a direct impact across the Commonwealth.</w:t>
      </w:r>
    </w:p>
    <w:p w:rsidR="002C5025" w:rsidRDefault="002C5025">
      <w:pPr>
        <w:pStyle w:val="BodyText"/>
        <w:kinsoku w:val="0"/>
        <w:overflowPunct w:val="0"/>
        <w:spacing w:before="10"/>
        <w:rPr>
          <w:rFonts w:ascii="Garamond" w:hAnsi="Garamond" w:cs="Garamond"/>
          <w:sz w:val="21"/>
          <w:szCs w:val="21"/>
        </w:rPr>
      </w:pPr>
    </w:p>
    <w:p w:rsidR="002C5025" w:rsidRDefault="002C5025">
      <w:pPr>
        <w:pStyle w:val="BodyText"/>
        <w:kinsoku w:val="0"/>
        <w:overflowPunct w:val="0"/>
        <w:ind w:left="116" w:right="19" w:firstLine="3"/>
        <w:rPr>
          <w:rFonts w:ascii="Garamond" w:hAnsi="Garamond" w:cs="Garamond"/>
          <w:position w:val="5"/>
          <w:sz w:val="14"/>
          <w:szCs w:val="14"/>
        </w:rPr>
      </w:pPr>
      <w:r>
        <w:rPr>
          <w:rFonts w:ascii="Garamond" w:hAnsi="Garamond" w:cs="Garamond"/>
        </w:rPr>
        <w:t xml:space="preserve">We also seek clarification as to how DSRIP funds will </w:t>
      </w:r>
      <w:r>
        <w:rPr>
          <w:rFonts w:ascii="Garamond" w:hAnsi="Garamond" w:cs="Garamond"/>
          <w:spacing w:val="-3"/>
        </w:rPr>
        <w:t xml:space="preserve">reach </w:t>
      </w:r>
      <w:r>
        <w:rPr>
          <w:rFonts w:ascii="Garamond" w:hAnsi="Garamond" w:cs="Garamond"/>
        </w:rPr>
        <w:t xml:space="preserve">social services providers. While DSRIP </w:t>
      </w:r>
      <w:r>
        <w:rPr>
          <w:rFonts w:ascii="Garamond" w:hAnsi="Garamond" w:cs="Garamond"/>
          <w:spacing w:val="-3"/>
        </w:rPr>
        <w:t xml:space="preserve">funds </w:t>
      </w:r>
      <w:r>
        <w:rPr>
          <w:rFonts w:ascii="Garamond" w:hAnsi="Garamond" w:cs="Garamond"/>
        </w:rPr>
        <w:t xml:space="preserve">will clearly be directed to BH and LTSS Community Partners for infrastructure and care coordination, social service providers do not receive direct DSRIP funding as they are </w:t>
      </w:r>
      <w:r>
        <w:rPr>
          <w:rFonts w:ascii="Garamond" w:hAnsi="Garamond" w:cs="Garamond"/>
          <w:spacing w:val="-3"/>
        </w:rPr>
        <w:t xml:space="preserve">not </w:t>
      </w:r>
      <w:r>
        <w:rPr>
          <w:rFonts w:ascii="Garamond" w:hAnsi="Garamond" w:cs="Garamond"/>
        </w:rPr>
        <w:t xml:space="preserve">“certified” CPs, and instead may receive DSRIP funding indirectly through the ACO flexible services funds. It is </w:t>
      </w:r>
      <w:r>
        <w:rPr>
          <w:rFonts w:ascii="Garamond" w:hAnsi="Garamond" w:cs="Garamond"/>
          <w:spacing w:val="-3"/>
        </w:rPr>
        <w:t xml:space="preserve">critical </w:t>
      </w:r>
      <w:r>
        <w:rPr>
          <w:rFonts w:ascii="Garamond" w:hAnsi="Garamond" w:cs="Garamond"/>
        </w:rPr>
        <w:t xml:space="preserve">that adequate DSRIP funding reach social services providers to ensure meaningful, strong and ongoing collaboration between ACOs and community-based social services agencies. For example, social service providers will need </w:t>
      </w:r>
      <w:r>
        <w:rPr>
          <w:rFonts w:ascii="Garamond" w:hAnsi="Garamond" w:cs="Garamond"/>
          <w:spacing w:val="-3"/>
        </w:rPr>
        <w:t xml:space="preserve">upfront </w:t>
      </w:r>
      <w:r>
        <w:rPr>
          <w:rFonts w:ascii="Garamond" w:hAnsi="Garamond" w:cs="Garamond"/>
        </w:rPr>
        <w:t xml:space="preserve">investments in order to participate in two-way referral systems with </w:t>
      </w:r>
      <w:r>
        <w:rPr>
          <w:rFonts w:ascii="Garamond" w:hAnsi="Garamond" w:cs="Garamond"/>
          <w:spacing w:val="-3"/>
        </w:rPr>
        <w:t xml:space="preserve">ACOs, </w:t>
      </w:r>
      <w:r>
        <w:rPr>
          <w:rFonts w:ascii="Garamond" w:hAnsi="Garamond" w:cs="Garamond"/>
        </w:rPr>
        <w:t>building on DPH’s community e- Referral system being established under the state’s State Innovation Model (SIM) grant and the Prevention and Wellness Trust Fund (PWTF).</w:t>
      </w:r>
      <w:r>
        <w:rPr>
          <w:rFonts w:ascii="Garamond" w:hAnsi="Garamond" w:cs="Garamond"/>
          <w:position w:val="5"/>
          <w:sz w:val="14"/>
          <w:szCs w:val="14"/>
        </w:rPr>
        <w:t>16</w:t>
      </w:r>
    </w:p>
    <w:p w:rsidR="002C5025" w:rsidRDefault="002C5025">
      <w:pPr>
        <w:pStyle w:val="BodyText"/>
        <w:kinsoku w:val="0"/>
        <w:overflowPunct w:val="0"/>
        <w:spacing w:before="10"/>
        <w:rPr>
          <w:rFonts w:ascii="Garamond" w:hAnsi="Garamond" w:cs="Garamond"/>
          <w:sz w:val="21"/>
          <w:szCs w:val="21"/>
        </w:rPr>
      </w:pPr>
    </w:p>
    <w:p w:rsidR="002C5025" w:rsidRDefault="002C5025">
      <w:pPr>
        <w:pStyle w:val="BodyText"/>
        <w:kinsoku w:val="0"/>
        <w:overflowPunct w:val="0"/>
        <w:ind w:left="119" w:right="94"/>
        <w:rPr>
          <w:rFonts w:ascii="Garamond" w:hAnsi="Garamond" w:cs="Garamond"/>
        </w:rPr>
      </w:pPr>
      <w:r>
        <w:rPr>
          <w:rFonts w:ascii="Garamond" w:hAnsi="Garamond" w:cs="Garamond"/>
        </w:rPr>
        <w:t>We recommend that MassHealth consult with DPH and incorporate lessons learned from PWTF, especially in regards to community partnerships. Through PWTF, we have learned that effective linkages between</w:t>
      </w:r>
    </w:p>
    <w:p w:rsidR="002C5025" w:rsidRDefault="00FB027C">
      <w:pPr>
        <w:pStyle w:val="BodyText"/>
        <w:kinsoku w:val="0"/>
        <w:overflowPunct w:val="0"/>
        <w:spacing w:before="3"/>
        <w:rPr>
          <w:rFonts w:ascii="Garamond" w:hAnsi="Garamond" w:cs="Garamond"/>
          <w:sz w:val="27"/>
          <w:szCs w:val="27"/>
        </w:rPr>
      </w:pPr>
      <w:r>
        <w:rPr>
          <w:noProof/>
        </w:rPr>
        <mc:AlternateContent>
          <mc:Choice Requires="wps">
            <w:drawing>
              <wp:anchor distT="0" distB="0" distL="0" distR="0" simplePos="0" relativeHeight="251657728" behindDoc="0" locked="0" layoutInCell="0" allowOverlap="1">
                <wp:simplePos x="0" y="0"/>
                <wp:positionH relativeFrom="page">
                  <wp:posOffset>923925</wp:posOffset>
                </wp:positionH>
                <wp:positionV relativeFrom="paragraph">
                  <wp:posOffset>225425</wp:posOffset>
                </wp:positionV>
                <wp:extent cx="1829435" cy="12700"/>
                <wp:effectExtent l="0" t="0" r="0" b="0"/>
                <wp:wrapTopAndBottom/>
                <wp:docPr id="561" name="Freeform 4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1 w 2881"/>
                            <a:gd name="T3" fmla="*/ 0 h 20"/>
                          </a:gdLst>
                          <a:ahLst/>
                          <a:cxnLst>
                            <a:cxn ang="0">
                              <a:pos x="T0" y="T1"/>
                            </a:cxn>
                            <a:cxn ang="0">
                              <a:pos x="T2" y="T3"/>
                            </a:cxn>
                          </a:cxnLst>
                          <a:rect l="0" t="0" r="r" b="b"/>
                          <a:pathLst>
                            <a:path w="2881" h="20">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64" o:spid="_x0000_s1026"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2.75pt,17.75pt,216.8pt,17.75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" o:allowincell="f" filled="f" strokeweight=".82pt">
                <v:path arrowok="t" o:connecttype="custom" o:connectlocs="0,0;1829435,0" o:connectangles="0,0"/>
                <w10:wrap type="topAndBottom" anchorx="page"/>
              </v:polyline>
            </w:pict>
          </mc:Fallback>
        </mc:AlternateContent>
      </w:r>
    </w:p>
    <w:p w:rsidR="002C5025" w:rsidRDefault="002C5025">
      <w:pPr>
        <w:pStyle w:val="BodyText"/>
        <w:kinsoku w:val="0"/>
        <w:overflowPunct w:val="0"/>
        <w:spacing w:before="70"/>
        <w:ind w:left="120" w:right="160"/>
        <w:rPr>
          <w:rFonts w:ascii="Garamond" w:hAnsi="Garamond" w:cs="Garamond"/>
          <w:sz w:val="20"/>
          <w:szCs w:val="20"/>
        </w:rPr>
      </w:pPr>
      <w:r>
        <w:rPr>
          <w:rFonts w:ascii="Garamond" w:hAnsi="Garamond" w:cs="Garamond"/>
          <w:position w:val="5"/>
          <w:sz w:val="13"/>
          <w:szCs w:val="13"/>
        </w:rPr>
        <w:t xml:space="preserve">15 </w:t>
      </w:r>
      <w:r>
        <w:rPr>
          <w:rFonts w:ascii="Garamond" w:hAnsi="Garamond" w:cs="Garamond"/>
          <w:sz w:val="20"/>
          <w:szCs w:val="20"/>
        </w:rPr>
        <w:t>In the New York DSRIP program, Performing Provider Systems (PPSs) are encouraged to engage with Community Based Organizations (CBOs) such that the state stipulates the proportion of funding that the PPS can re-direct to the CBOs</w:t>
      </w:r>
      <w:r>
        <w:rPr>
          <w:rFonts w:ascii="Garamond" w:hAnsi="Garamond" w:cs="Garamond"/>
          <w:spacing w:val="-12"/>
          <w:sz w:val="20"/>
          <w:szCs w:val="20"/>
        </w:rPr>
        <w:t xml:space="preserve"> </w:t>
      </w:r>
      <w:r>
        <w:rPr>
          <w:rFonts w:ascii="Garamond" w:hAnsi="Garamond" w:cs="Garamond"/>
          <w:sz w:val="20"/>
          <w:szCs w:val="20"/>
        </w:rPr>
        <w:t>themselves.</w:t>
      </w:r>
      <w:r>
        <w:rPr>
          <w:rFonts w:ascii="Garamond" w:hAnsi="Garamond" w:cs="Garamond"/>
          <w:spacing w:val="-12"/>
          <w:sz w:val="20"/>
          <w:szCs w:val="20"/>
        </w:rPr>
        <w:t xml:space="preserve"> </w:t>
      </w:r>
      <w:r>
        <w:rPr>
          <w:rFonts w:ascii="Garamond" w:hAnsi="Garamond" w:cs="Garamond"/>
          <w:sz w:val="20"/>
          <w:szCs w:val="20"/>
        </w:rPr>
        <w:t>This</w:t>
      </w:r>
      <w:r>
        <w:rPr>
          <w:rFonts w:ascii="Garamond" w:hAnsi="Garamond" w:cs="Garamond"/>
          <w:spacing w:val="-12"/>
          <w:sz w:val="20"/>
          <w:szCs w:val="20"/>
        </w:rPr>
        <w:t xml:space="preserve"> </w:t>
      </w:r>
      <w:r>
        <w:rPr>
          <w:rFonts w:ascii="Garamond" w:hAnsi="Garamond" w:cs="Garamond"/>
          <w:sz w:val="20"/>
          <w:szCs w:val="20"/>
        </w:rPr>
        <w:t>relationship,</w:t>
      </w:r>
      <w:r>
        <w:rPr>
          <w:rFonts w:ascii="Garamond" w:hAnsi="Garamond" w:cs="Garamond"/>
          <w:spacing w:val="-12"/>
          <w:sz w:val="20"/>
          <w:szCs w:val="20"/>
        </w:rPr>
        <w:t xml:space="preserve"> </w:t>
      </w:r>
      <w:r>
        <w:rPr>
          <w:rFonts w:ascii="Garamond" w:hAnsi="Garamond" w:cs="Garamond"/>
          <w:sz w:val="20"/>
          <w:szCs w:val="20"/>
        </w:rPr>
        <w:t>however,</w:t>
      </w:r>
      <w:r>
        <w:rPr>
          <w:rFonts w:ascii="Garamond" w:hAnsi="Garamond" w:cs="Garamond"/>
          <w:spacing w:val="-12"/>
          <w:sz w:val="20"/>
          <w:szCs w:val="20"/>
        </w:rPr>
        <w:t xml:space="preserve"> </w:t>
      </w:r>
      <w:r>
        <w:rPr>
          <w:rFonts w:ascii="Garamond" w:hAnsi="Garamond" w:cs="Garamond"/>
          <w:sz w:val="20"/>
          <w:szCs w:val="20"/>
        </w:rPr>
        <w:t>is</w:t>
      </w:r>
      <w:r>
        <w:rPr>
          <w:rFonts w:ascii="Garamond" w:hAnsi="Garamond" w:cs="Garamond"/>
          <w:spacing w:val="-10"/>
          <w:sz w:val="20"/>
          <w:szCs w:val="20"/>
        </w:rPr>
        <w:t xml:space="preserve"> </w:t>
      </w:r>
      <w:r>
        <w:rPr>
          <w:rFonts w:ascii="Garamond" w:hAnsi="Garamond" w:cs="Garamond"/>
          <w:sz w:val="20"/>
          <w:szCs w:val="20"/>
        </w:rPr>
        <w:t>only</w:t>
      </w:r>
      <w:r>
        <w:rPr>
          <w:rFonts w:ascii="Garamond" w:hAnsi="Garamond" w:cs="Garamond"/>
          <w:spacing w:val="-9"/>
          <w:sz w:val="20"/>
          <w:szCs w:val="20"/>
        </w:rPr>
        <w:t xml:space="preserve"> </w:t>
      </w:r>
      <w:r>
        <w:rPr>
          <w:rFonts w:ascii="Garamond" w:hAnsi="Garamond" w:cs="Garamond"/>
          <w:sz w:val="20"/>
          <w:szCs w:val="20"/>
        </w:rPr>
        <w:t>encouraged</w:t>
      </w:r>
      <w:r>
        <w:rPr>
          <w:rFonts w:ascii="Garamond" w:hAnsi="Garamond" w:cs="Garamond"/>
          <w:spacing w:val="-9"/>
          <w:sz w:val="20"/>
          <w:szCs w:val="20"/>
        </w:rPr>
        <w:t xml:space="preserve"> </w:t>
      </w:r>
      <w:r>
        <w:rPr>
          <w:rFonts w:ascii="Garamond" w:hAnsi="Garamond" w:cs="Garamond"/>
          <w:sz w:val="20"/>
          <w:szCs w:val="20"/>
        </w:rPr>
        <w:t>but</w:t>
      </w:r>
      <w:r>
        <w:rPr>
          <w:rFonts w:ascii="Garamond" w:hAnsi="Garamond" w:cs="Garamond"/>
          <w:spacing w:val="-14"/>
          <w:sz w:val="20"/>
          <w:szCs w:val="20"/>
        </w:rPr>
        <w:t xml:space="preserve"> </w:t>
      </w:r>
      <w:r>
        <w:rPr>
          <w:rFonts w:ascii="Garamond" w:hAnsi="Garamond" w:cs="Garamond"/>
          <w:sz w:val="20"/>
          <w:szCs w:val="20"/>
        </w:rPr>
        <w:t>not</w:t>
      </w:r>
      <w:r>
        <w:rPr>
          <w:rFonts w:ascii="Garamond" w:hAnsi="Garamond" w:cs="Garamond"/>
          <w:spacing w:val="-12"/>
          <w:sz w:val="20"/>
          <w:szCs w:val="20"/>
        </w:rPr>
        <w:t xml:space="preserve"> </w:t>
      </w:r>
      <w:r>
        <w:rPr>
          <w:rFonts w:ascii="Garamond" w:hAnsi="Garamond" w:cs="Garamond"/>
          <w:sz w:val="20"/>
          <w:szCs w:val="20"/>
        </w:rPr>
        <w:t>mandated.</w:t>
      </w:r>
      <w:r>
        <w:rPr>
          <w:rFonts w:ascii="Garamond" w:hAnsi="Garamond" w:cs="Garamond"/>
          <w:spacing w:val="-12"/>
          <w:sz w:val="20"/>
          <w:szCs w:val="20"/>
        </w:rPr>
        <w:t xml:space="preserve"> </w:t>
      </w:r>
      <w:r>
        <w:rPr>
          <w:rFonts w:ascii="Garamond" w:hAnsi="Garamond" w:cs="Garamond"/>
          <w:sz w:val="20"/>
          <w:szCs w:val="20"/>
        </w:rPr>
        <w:t>Although</w:t>
      </w:r>
      <w:r>
        <w:rPr>
          <w:rFonts w:ascii="Garamond" w:hAnsi="Garamond" w:cs="Garamond"/>
          <w:spacing w:val="-10"/>
          <w:sz w:val="20"/>
          <w:szCs w:val="20"/>
        </w:rPr>
        <w:t xml:space="preserve"> </w:t>
      </w:r>
      <w:r>
        <w:rPr>
          <w:rFonts w:ascii="Garamond" w:hAnsi="Garamond" w:cs="Garamond"/>
          <w:sz w:val="20"/>
          <w:szCs w:val="20"/>
        </w:rPr>
        <w:t>this</w:t>
      </w:r>
      <w:r>
        <w:rPr>
          <w:rFonts w:ascii="Garamond" w:hAnsi="Garamond" w:cs="Garamond"/>
          <w:spacing w:val="-12"/>
          <w:sz w:val="20"/>
          <w:szCs w:val="20"/>
        </w:rPr>
        <w:t xml:space="preserve"> </w:t>
      </w:r>
      <w:r>
        <w:rPr>
          <w:rFonts w:ascii="Garamond" w:hAnsi="Garamond" w:cs="Garamond"/>
          <w:sz w:val="20"/>
          <w:szCs w:val="20"/>
        </w:rPr>
        <w:t>framework</w:t>
      </w:r>
      <w:r>
        <w:rPr>
          <w:rFonts w:ascii="Garamond" w:hAnsi="Garamond" w:cs="Garamond"/>
          <w:spacing w:val="-11"/>
          <w:sz w:val="20"/>
          <w:szCs w:val="20"/>
        </w:rPr>
        <w:t xml:space="preserve"> </w:t>
      </w:r>
      <w:r>
        <w:rPr>
          <w:rFonts w:ascii="Garamond" w:hAnsi="Garamond" w:cs="Garamond"/>
          <w:sz w:val="20"/>
          <w:szCs w:val="20"/>
        </w:rPr>
        <w:t>between PPS</w:t>
      </w:r>
      <w:r>
        <w:rPr>
          <w:rFonts w:ascii="Garamond" w:hAnsi="Garamond" w:cs="Garamond"/>
          <w:spacing w:val="-8"/>
          <w:sz w:val="20"/>
          <w:szCs w:val="20"/>
        </w:rPr>
        <w:t xml:space="preserve"> </w:t>
      </w:r>
      <w:r>
        <w:rPr>
          <w:rFonts w:ascii="Garamond" w:hAnsi="Garamond" w:cs="Garamond"/>
          <w:sz w:val="20"/>
          <w:szCs w:val="20"/>
        </w:rPr>
        <w:t>and</w:t>
      </w:r>
      <w:r>
        <w:rPr>
          <w:rFonts w:ascii="Garamond" w:hAnsi="Garamond" w:cs="Garamond"/>
          <w:spacing w:val="-8"/>
          <w:sz w:val="20"/>
          <w:szCs w:val="20"/>
        </w:rPr>
        <w:t xml:space="preserve"> </w:t>
      </w:r>
      <w:r>
        <w:rPr>
          <w:rFonts w:ascii="Garamond" w:hAnsi="Garamond" w:cs="Garamond"/>
          <w:sz w:val="20"/>
          <w:szCs w:val="20"/>
        </w:rPr>
        <w:t>CBO</w:t>
      </w:r>
      <w:r>
        <w:rPr>
          <w:rFonts w:ascii="Garamond" w:hAnsi="Garamond" w:cs="Garamond"/>
          <w:spacing w:val="-9"/>
          <w:sz w:val="20"/>
          <w:szCs w:val="20"/>
        </w:rPr>
        <w:t xml:space="preserve"> </w:t>
      </w:r>
      <w:r>
        <w:rPr>
          <w:rFonts w:ascii="Garamond" w:hAnsi="Garamond" w:cs="Garamond"/>
          <w:sz w:val="20"/>
          <w:szCs w:val="20"/>
        </w:rPr>
        <w:t>is</w:t>
      </w:r>
      <w:r>
        <w:rPr>
          <w:rFonts w:ascii="Garamond" w:hAnsi="Garamond" w:cs="Garamond"/>
          <w:spacing w:val="-12"/>
          <w:sz w:val="20"/>
          <w:szCs w:val="20"/>
        </w:rPr>
        <w:t xml:space="preserve"> </w:t>
      </w:r>
      <w:r>
        <w:rPr>
          <w:rFonts w:ascii="Garamond" w:hAnsi="Garamond" w:cs="Garamond"/>
          <w:sz w:val="20"/>
          <w:szCs w:val="20"/>
        </w:rPr>
        <w:t>considered</w:t>
      </w:r>
      <w:r>
        <w:rPr>
          <w:rFonts w:ascii="Garamond" w:hAnsi="Garamond" w:cs="Garamond"/>
          <w:spacing w:val="-8"/>
          <w:sz w:val="20"/>
          <w:szCs w:val="20"/>
        </w:rPr>
        <w:t xml:space="preserve"> </w:t>
      </w:r>
      <w:r>
        <w:rPr>
          <w:rFonts w:ascii="Garamond" w:hAnsi="Garamond" w:cs="Garamond"/>
          <w:sz w:val="20"/>
          <w:szCs w:val="20"/>
        </w:rPr>
        <w:t>to</w:t>
      </w:r>
      <w:r>
        <w:rPr>
          <w:rFonts w:ascii="Garamond" w:hAnsi="Garamond" w:cs="Garamond"/>
          <w:spacing w:val="-12"/>
          <w:sz w:val="20"/>
          <w:szCs w:val="20"/>
        </w:rPr>
        <w:t xml:space="preserve"> </w:t>
      </w:r>
      <w:r>
        <w:rPr>
          <w:rFonts w:ascii="Garamond" w:hAnsi="Garamond" w:cs="Garamond"/>
          <w:sz w:val="20"/>
          <w:szCs w:val="20"/>
        </w:rPr>
        <w:t>be</w:t>
      </w:r>
      <w:r>
        <w:rPr>
          <w:rFonts w:ascii="Garamond" w:hAnsi="Garamond" w:cs="Garamond"/>
          <w:spacing w:val="-8"/>
          <w:sz w:val="20"/>
          <w:szCs w:val="20"/>
        </w:rPr>
        <w:t xml:space="preserve"> </w:t>
      </w:r>
      <w:r>
        <w:rPr>
          <w:rFonts w:ascii="Garamond" w:hAnsi="Garamond" w:cs="Garamond"/>
          <w:sz w:val="20"/>
          <w:szCs w:val="20"/>
        </w:rPr>
        <w:t>new</w:t>
      </w:r>
      <w:r>
        <w:rPr>
          <w:rFonts w:ascii="Garamond" w:hAnsi="Garamond" w:cs="Garamond"/>
          <w:spacing w:val="-12"/>
          <w:sz w:val="20"/>
          <w:szCs w:val="20"/>
        </w:rPr>
        <w:t xml:space="preserve"> </w:t>
      </w:r>
      <w:r>
        <w:rPr>
          <w:rFonts w:ascii="Garamond" w:hAnsi="Garamond" w:cs="Garamond"/>
          <w:sz w:val="20"/>
          <w:szCs w:val="20"/>
        </w:rPr>
        <w:t>and</w:t>
      </w:r>
      <w:r>
        <w:rPr>
          <w:rFonts w:ascii="Garamond" w:hAnsi="Garamond" w:cs="Garamond"/>
          <w:spacing w:val="-8"/>
          <w:sz w:val="20"/>
          <w:szCs w:val="20"/>
        </w:rPr>
        <w:t xml:space="preserve"> </w:t>
      </w:r>
      <w:r>
        <w:rPr>
          <w:rFonts w:ascii="Garamond" w:hAnsi="Garamond" w:cs="Garamond"/>
          <w:sz w:val="20"/>
          <w:szCs w:val="20"/>
        </w:rPr>
        <w:t>innovative,</w:t>
      </w:r>
      <w:r>
        <w:rPr>
          <w:rFonts w:ascii="Garamond" w:hAnsi="Garamond" w:cs="Garamond"/>
          <w:spacing w:val="-9"/>
          <w:sz w:val="20"/>
          <w:szCs w:val="20"/>
        </w:rPr>
        <w:t xml:space="preserve"> </w:t>
      </w:r>
      <w:r>
        <w:rPr>
          <w:rFonts w:ascii="Garamond" w:hAnsi="Garamond" w:cs="Garamond"/>
          <w:sz w:val="20"/>
          <w:szCs w:val="20"/>
        </w:rPr>
        <w:t>further</w:t>
      </w:r>
      <w:r>
        <w:rPr>
          <w:rFonts w:ascii="Garamond" w:hAnsi="Garamond" w:cs="Garamond"/>
          <w:spacing w:val="-8"/>
          <w:sz w:val="20"/>
          <w:szCs w:val="20"/>
        </w:rPr>
        <w:t xml:space="preserve"> </w:t>
      </w:r>
      <w:r>
        <w:rPr>
          <w:rFonts w:ascii="Garamond" w:hAnsi="Garamond" w:cs="Garamond"/>
          <w:sz w:val="20"/>
          <w:szCs w:val="20"/>
        </w:rPr>
        <w:t>improvements</w:t>
      </w:r>
      <w:r>
        <w:rPr>
          <w:rFonts w:ascii="Garamond" w:hAnsi="Garamond" w:cs="Garamond"/>
          <w:spacing w:val="-12"/>
          <w:sz w:val="20"/>
          <w:szCs w:val="20"/>
        </w:rPr>
        <w:t xml:space="preserve"> </w:t>
      </w:r>
      <w:r>
        <w:rPr>
          <w:rFonts w:ascii="Garamond" w:hAnsi="Garamond" w:cs="Garamond"/>
          <w:sz w:val="20"/>
          <w:szCs w:val="20"/>
        </w:rPr>
        <w:t>are</w:t>
      </w:r>
      <w:r>
        <w:rPr>
          <w:rFonts w:ascii="Garamond" w:hAnsi="Garamond" w:cs="Garamond"/>
          <w:spacing w:val="-8"/>
          <w:sz w:val="20"/>
          <w:szCs w:val="20"/>
        </w:rPr>
        <w:t xml:space="preserve"> </w:t>
      </w:r>
      <w:r>
        <w:rPr>
          <w:rFonts w:ascii="Garamond" w:hAnsi="Garamond" w:cs="Garamond"/>
          <w:sz w:val="20"/>
          <w:szCs w:val="20"/>
        </w:rPr>
        <w:t>needed</w:t>
      </w:r>
      <w:r>
        <w:rPr>
          <w:rFonts w:ascii="Garamond" w:hAnsi="Garamond" w:cs="Garamond"/>
          <w:spacing w:val="-8"/>
          <w:sz w:val="20"/>
          <w:szCs w:val="20"/>
        </w:rPr>
        <w:t xml:space="preserve"> </w:t>
      </w:r>
      <w:r>
        <w:rPr>
          <w:rFonts w:ascii="Garamond" w:hAnsi="Garamond" w:cs="Garamond"/>
          <w:sz w:val="20"/>
          <w:szCs w:val="20"/>
        </w:rPr>
        <w:t>to</w:t>
      </w:r>
      <w:r>
        <w:rPr>
          <w:rFonts w:ascii="Garamond" w:hAnsi="Garamond" w:cs="Garamond"/>
          <w:spacing w:val="-12"/>
          <w:sz w:val="20"/>
          <w:szCs w:val="20"/>
        </w:rPr>
        <w:t xml:space="preserve"> </w:t>
      </w:r>
      <w:r>
        <w:rPr>
          <w:rFonts w:ascii="Garamond" w:hAnsi="Garamond" w:cs="Garamond"/>
          <w:sz w:val="20"/>
          <w:szCs w:val="20"/>
        </w:rPr>
        <w:t>create</w:t>
      </w:r>
      <w:r>
        <w:rPr>
          <w:rFonts w:ascii="Garamond" w:hAnsi="Garamond" w:cs="Garamond"/>
          <w:spacing w:val="-10"/>
          <w:sz w:val="20"/>
          <w:szCs w:val="20"/>
        </w:rPr>
        <w:t xml:space="preserve"> </w:t>
      </w:r>
      <w:r>
        <w:rPr>
          <w:rFonts w:ascii="Garamond" w:hAnsi="Garamond" w:cs="Garamond"/>
          <w:sz w:val="20"/>
          <w:szCs w:val="20"/>
        </w:rPr>
        <w:t>strong</w:t>
      </w:r>
      <w:r>
        <w:rPr>
          <w:rFonts w:ascii="Garamond" w:hAnsi="Garamond" w:cs="Garamond"/>
          <w:spacing w:val="-11"/>
          <w:sz w:val="20"/>
          <w:szCs w:val="20"/>
        </w:rPr>
        <w:t xml:space="preserve"> </w:t>
      </w:r>
      <w:r>
        <w:rPr>
          <w:rFonts w:ascii="Garamond" w:hAnsi="Garamond" w:cs="Garamond"/>
          <w:sz w:val="20"/>
          <w:szCs w:val="20"/>
        </w:rPr>
        <w:t>relationships between the PPSs and CBOs, including specific guidance by the state to effectively direct PPSs on how to effectively partner with CBOs. According to a recent Commonwealth Fund report (</w:t>
      </w:r>
      <w:r>
        <w:rPr>
          <w:rFonts w:ascii="Garamond" w:hAnsi="Garamond" w:cs="Garamond"/>
          <w:i/>
          <w:iCs/>
          <w:sz w:val="20"/>
          <w:szCs w:val="20"/>
        </w:rPr>
        <w:t>Implementing New York’s DSRIP Program: Implications for Medicaid Payment and Delivery System Reform</w:t>
      </w:r>
      <w:r>
        <w:rPr>
          <w:rFonts w:ascii="Garamond" w:hAnsi="Garamond" w:cs="Garamond"/>
          <w:sz w:val="20"/>
          <w:szCs w:val="20"/>
        </w:rPr>
        <w:t>, April 2016), PPSs are not making sufficient investments in interventions addressing the social determinants of health. Looking at New York as an example, our concern is that without specific requirements and sufficient funding, most ACOs will continue to contract with organizations with whom they are already comfortable, rather than doing the more important, yet difficult work of creating alliances with CBOs</w:t>
      </w:r>
      <w:r>
        <w:rPr>
          <w:rFonts w:ascii="Garamond" w:hAnsi="Garamond" w:cs="Garamond"/>
          <w:spacing w:val="-12"/>
          <w:sz w:val="20"/>
          <w:szCs w:val="20"/>
        </w:rPr>
        <w:t xml:space="preserve"> </w:t>
      </w:r>
      <w:r>
        <w:rPr>
          <w:rFonts w:ascii="Garamond" w:hAnsi="Garamond" w:cs="Garamond"/>
          <w:sz w:val="20"/>
          <w:szCs w:val="20"/>
        </w:rPr>
        <w:t>that</w:t>
      </w:r>
      <w:r>
        <w:rPr>
          <w:rFonts w:ascii="Garamond" w:hAnsi="Garamond" w:cs="Garamond"/>
          <w:spacing w:val="-12"/>
          <w:sz w:val="20"/>
          <w:szCs w:val="20"/>
        </w:rPr>
        <w:t xml:space="preserve"> </w:t>
      </w:r>
      <w:r>
        <w:rPr>
          <w:rFonts w:ascii="Garamond" w:hAnsi="Garamond" w:cs="Garamond"/>
          <w:sz w:val="20"/>
          <w:szCs w:val="20"/>
        </w:rPr>
        <w:t>address</w:t>
      </w:r>
      <w:r>
        <w:rPr>
          <w:rFonts w:ascii="Garamond" w:hAnsi="Garamond" w:cs="Garamond"/>
          <w:spacing w:val="-12"/>
          <w:sz w:val="20"/>
          <w:szCs w:val="20"/>
        </w:rPr>
        <w:t xml:space="preserve"> </w:t>
      </w:r>
      <w:r>
        <w:rPr>
          <w:rFonts w:ascii="Garamond" w:hAnsi="Garamond" w:cs="Garamond"/>
          <w:sz w:val="20"/>
          <w:szCs w:val="20"/>
        </w:rPr>
        <w:t>the</w:t>
      </w:r>
      <w:r>
        <w:rPr>
          <w:rFonts w:ascii="Garamond" w:hAnsi="Garamond" w:cs="Garamond"/>
          <w:spacing w:val="-9"/>
          <w:sz w:val="20"/>
          <w:szCs w:val="20"/>
        </w:rPr>
        <w:t xml:space="preserve"> </w:t>
      </w:r>
      <w:r>
        <w:rPr>
          <w:rFonts w:ascii="Garamond" w:hAnsi="Garamond" w:cs="Garamond"/>
          <w:sz w:val="20"/>
          <w:szCs w:val="20"/>
        </w:rPr>
        <w:t>social</w:t>
      </w:r>
      <w:r>
        <w:rPr>
          <w:rFonts w:ascii="Garamond" w:hAnsi="Garamond" w:cs="Garamond"/>
          <w:spacing w:val="-11"/>
          <w:sz w:val="20"/>
          <w:szCs w:val="20"/>
        </w:rPr>
        <w:t xml:space="preserve"> </w:t>
      </w:r>
      <w:r>
        <w:rPr>
          <w:rFonts w:ascii="Garamond" w:hAnsi="Garamond" w:cs="Garamond"/>
          <w:sz w:val="20"/>
          <w:szCs w:val="20"/>
        </w:rPr>
        <w:t>and</w:t>
      </w:r>
      <w:r>
        <w:rPr>
          <w:rFonts w:ascii="Garamond" w:hAnsi="Garamond" w:cs="Garamond"/>
          <w:spacing w:val="-9"/>
          <w:sz w:val="20"/>
          <w:szCs w:val="20"/>
        </w:rPr>
        <w:t xml:space="preserve"> </w:t>
      </w:r>
      <w:r>
        <w:rPr>
          <w:rFonts w:ascii="Garamond" w:hAnsi="Garamond" w:cs="Garamond"/>
          <w:sz w:val="20"/>
          <w:szCs w:val="20"/>
        </w:rPr>
        <w:t>economic</w:t>
      </w:r>
      <w:r>
        <w:rPr>
          <w:rFonts w:ascii="Garamond" w:hAnsi="Garamond" w:cs="Garamond"/>
          <w:spacing w:val="-10"/>
          <w:sz w:val="20"/>
          <w:szCs w:val="20"/>
        </w:rPr>
        <w:t xml:space="preserve"> </w:t>
      </w:r>
      <w:r>
        <w:rPr>
          <w:rFonts w:ascii="Garamond" w:hAnsi="Garamond" w:cs="Garamond"/>
          <w:sz w:val="20"/>
          <w:szCs w:val="20"/>
        </w:rPr>
        <w:t>determinants</w:t>
      </w:r>
      <w:r>
        <w:rPr>
          <w:rFonts w:ascii="Garamond" w:hAnsi="Garamond" w:cs="Garamond"/>
          <w:spacing w:val="-12"/>
          <w:sz w:val="20"/>
          <w:szCs w:val="20"/>
        </w:rPr>
        <w:t xml:space="preserve"> </w:t>
      </w:r>
      <w:r>
        <w:rPr>
          <w:rFonts w:ascii="Garamond" w:hAnsi="Garamond" w:cs="Garamond"/>
          <w:sz w:val="20"/>
          <w:szCs w:val="20"/>
        </w:rPr>
        <w:t>of</w:t>
      </w:r>
      <w:r>
        <w:rPr>
          <w:rFonts w:ascii="Garamond" w:hAnsi="Garamond" w:cs="Garamond"/>
          <w:spacing w:val="-7"/>
          <w:sz w:val="20"/>
          <w:szCs w:val="20"/>
        </w:rPr>
        <w:t xml:space="preserve"> </w:t>
      </w:r>
      <w:r>
        <w:rPr>
          <w:rFonts w:ascii="Garamond" w:hAnsi="Garamond" w:cs="Garamond"/>
          <w:sz w:val="20"/>
          <w:szCs w:val="20"/>
        </w:rPr>
        <w:t>health.</w:t>
      </w:r>
    </w:p>
    <w:p w:rsidR="002C5025" w:rsidRDefault="002C5025">
      <w:pPr>
        <w:pStyle w:val="BodyText"/>
        <w:kinsoku w:val="0"/>
        <w:overflowPunct w:val="0"/>
        <w:ind w:left="120" w:right="174"/>
        <w:rPr>
          <w:rFonts w:ascii="Garamond" w:hAnsi="Garamond" w:cs="Garamond"/>
          <w:sz w:val="20"/>
          <w:szCs w:val="20"/>
        </w:rPr>
      </w:pPr>
      <w:r>
        <w:rPr>
          <w:rFonts w:ascii="Garamond" w:hAnsi="Garamond" w:cs="Garamond"/>
          <w:position w:val="5"/>
          <w:sz w:val="13"/>
          <w:szCs w:val="13"/>
        </w:rPr>
        <w:t xml:space="preserve">16 </w:t>
      </w:r>
      <w:r>
        <w:rPr>
          <w:rFonts w:ascii="Garamond" w:hAnsi="Garamond" w:cs="Garamond"/>
          <w:sz w:val="20"/>
          <w:szCs w:val="20"/>
        </w:rPr>
        <w:t>For additional examples of why social services organizations need upfront funding for effective and ongoing collaborations</w:t>
      </w:r>
      <w:r>
        <w:rPr>
          <w:rFonts w:ascii="Garamond" w:hAnsi="Garamond" w:cs="Garamond"/>
          <w:spacing w:val="-13"/>
          <w:sz w:val="20"/>
          <w:szCs w:val="20"/>
        </w:rPr>
        <w:t xml:space="preserve"> </w:t>
      </w:r>
      <w:r>
        <w:rPr>
          <w:rFonts w:ascii="Garamond" w:hAnsi="Garamond" w:cs="Garamond"/>
          <w:sz w:val="20"/>
          <w:szCs w:val="20"/>
        </w:rPr>
        <w:t>to</w:t>
      </w:r>
      <w:r>
        <w:rPr>
          <w:rFonts w:ascii="Garamond" w:hAnsi="Garamond" w:cs="Garamond"/>
          <w:spacing w:val="-13"/>
          <w:sz w:val="20"/>
          <w:szCs w:val="20"/>
        </w:rPr>
        <w:t xml:space="preserve"> </w:t>
      </w:r>
      <w:r>
        <w:rPr>
          <w:rFonts w:ascii="Garamond" w:hAnsi="Garamond" w:cs="Garamond"/>
          <w:sz w:val="20"/>
          <w:szCs w:val="20"/>
        </w:rPr>
        <w:t>address</w:t>
      </w:r>
      <w:r>
        <w:rPr>
          <w:rFonts w:ascii="Garamond" w:hAnsi="Garamond" w:cs="Garamond"/>
          <w:spacing w:val="-13"/>
          <w:sz w:val="20"/>
          <w:szCs w:val="20"/>
        </w:rPr>
        <w:t xml:space="preserve"> </w:t>
      </w:r>
      <w:r>
        <w:rPr>
          <w:rFonts w:ascii="Garamond" w:hAnsi="Garamond" w:cs="Garamond"/>
          <w:sz w:val="20"/>
          <w:szCs w:val="20"/>
        </w:rPr>
        <w:t>social</w:t>
      </w:r>
      <w:r>
        <w:rPr>
          <w:rFonts w:ascii="Garamond" w:hAnsi="Garamond" w:cs="Garamond"/>
          <w:spacing w:val="-10"/>
          <w:sz w:val="20"/>
          <w:szCs w:val="20"/>
        </w:rPr>
        <w:t xml:space="preserve"> </w:t>
      </w:r>
      <w:r>
        <w:rPr>
          <w:rFonts w:ascii="Garamond" w:hAnsi="Garamond" w:cs="Garamond"/>
          <w:sz w:val="20"/>
          <w:szCs w:val="20"/>
        </w:rPr>
        <w:t>determinants</w:t>
      </w:r>
      <w:r>
        <w:rPr>
          <w:rFonts w:ascii="Garamond" w:hAnsi="Garamond" w:cs="Garamond"/>
          <w:spacing w:val="-13"/>
          <w:sz w:val="20"/>
          <w:szCs w:val="20"/>
        </w:rPr>
        <w:t xml:space="preserve"> </w:t>
      </w:r>
      <w:r>
        <w:rPr>
          <w:rFonts w:ascii="Garamond" w:hAnsi="Garamond" w:cs="Garamond"/>
          <w:sz w:val="20"/>
          <w:szCs w:val="20"/>
        </w:rPr>
        <w:t>of</w:t>
      </w:r>
      <w:r>
        <w:rPr>
          <w:rFonts w:ascii="Garamond" w:hAnsi="Garamond" w:cs="Garamond"/>
          <w:spacing w:val="-8"/>
          <w:sz w:val="20"/>
          <w:szCs w:val="20"/>
        </w:rPr>
        <w:t xml:space="preserve"> </w:t>
      </w:r>
      <w:r>
        <w:rPr>
          <w:rFonts w:ascii="Garamond" w:hAnsi="Garamond" w:cs="Garamond"/>
          <w:sz w:val="20"/>
          <w:szCs w:val="20"/>
        </w:rPr>
        <w:t>health,</w:t>
      </w:r>
      <w:r>
        <w:rPr>
          <w:rFonts w:ascii="Garamond" w:hAnsi="Garamond" w:cs="Garamond"/>
          <w:spacing w:val="-10"/>
          <w:sz w:val="20"/>
          <w:szCs w:val="20"/>
        </w:rPr>
        <w:t xml:space="preserve"> </w:t>
      </w:r>
      <w:r>
        <w:rPr>
          <w:rFonts w:ascii="Garamond" w:hAnsi="Garamond" w:cs="Garamond"/>
          <w:sz w:val="20"/>
          <w:szCs w:val="20"/>
        </w:rPr>
        <w:t>see</w:t>
      </w:r>
      <w:r>
        <w:rPr>
          <w:rFonts w:ascii="Garamond" w:hAnsi="Garamond" w:cs="Garamond"/>
          <w:spacing w:val="-10"/>
          <w:sz w:val="20"/>
          <w:szCs w:val="20"/>
        </w:rPr>
        <w:t xml:space="preserve"> </w:t>
      </w:r>
      <w:proofErr w:type="spellStart"/>
      <w:r>
        <w:rPr>
          <w:rFonts w:ascii="Garamond" w:hAnsi="Garamond" w:cs="Garamond"/>
          <w:sz w:val="20"/>
          <w:szCs w:val="20"/>
        </w:rPr>
        <w:t>Bachrach</w:t>
      </w:r>
      <w:proofErr w:type="spellEnd"/>
      <w:r>
        <w:rPr>
          <w:rFonts w:ascii="Garamond" w:hAnsi="Garamond" w:cs="Garamond"/>
          <w:sz w:val="20"/>
          <w:szCs w:val="20"/>
        </w:rPr>
        <w:t>,</w:t>
      </w:r>
      <w:r>
        <w:rPr>
          <w:rFonts w:ascii="Garamond" w:hAnsi="Garamond" w:cs="Garamond"/>
          <w:spacing w:val="-13"/>
          <w:sz w:val="20"/>
          <w:szCs w:val="20"/>
        </w:rPr>
        <w:t xml:space="preserve"> </w:t>
      </w:r>
      <w:r>
        <w:rPr>
          <w:rFonts w:ascii="Garamond" w:hAnsi="Garamond" w:cs="Garamond"/>
          <w:sz w:val="20"/>
          <w:szCs w:val="20"/>
        </w:rPr>
        <w:t>D.,</w:t>
      </w:r>
      <w:r>
        <w:rPr>
          <w:rFonts w:ascii="Garamond" w:hAnsi="Garamond" w:cs="Garamond"/>
          <w:spacing w:val="-13"/>
          <w:sz w:val="20"/>
          <w:szCs w:val="20"/>
        </w:rPr>
        <w:t xml:space="preserve"> </w:t>
      </w:r>
      <w:r>
        <w:rPr>
          <w:rFonts w:ascii="Garamond" w:hAnsi="Garamond" w:cs="Garamond"/>
          <w:sz w:val="20"/>
          <w:szCs w:val="20"/>
        </w:rPr>
        <w:t>Bernstein,</w:t>
      </w:r>
      <w:r>
        <w:rPr>
          <w:rFonts w:ascii="Garamond" w:hAnsi="Garamond" w:cs="Garamond"/>
          <w:spacing w:val="-10"/>
          <w:sz w:val="20"/>
          <w:szCs w:val="20"/>
        </w:rPr>
        <w:t xml:space="preserve"> </w:t>
      </w:r>
      <w:r>
        <w:rPr>
          <w:rFonts w:ascii="Garamond" w:hAnsi="Garamond" w:cs="Garamond"/>
          <w:sz w:val="20"/>
          <w:szCs w:val="20"/>
        </w:rPr>
        <w:t>W.</w:t>
      </w:r>
      <w:r>
        <w:rPr>
          <w:rFonts w:ascii="Garamond" w:hAnsi="Garamond" w:cs="Garamond"/>
          <w:spacing w:val="-13"/>
          <w:sz w:val="20"/>
          <w:szCs w:val="20"/>
        </w:rPr>
        <w:t xml:space="preserve"> </w:t>
      </w:r>
      <w:r>
        <w:rPr>
          <w:rFonts w:ascii="Garamond" w:hAnsi="Garamond" w:cs="Garamond"/>
          <w:sz w:val="20"/>
          <w:szCs w:val="20"/>
        </w:rPr>
        <w:t>et</w:t>
      </w:r>
      <w:r>
        <w:rPr>
          <w:rFonts w:ascii="Garamond" w:hAnsi="Garamond" w:cs="Garamond"/>
          <w:spacing w:val="-10"/>
          <w:sz w:val="20"/>
          <w:szCs w:val="20"/>
        </w:rPr>
        <w:t xml:space="preserve"> </w:t>
      </w:r>
      <w:r>
        <w:rPr>
          <w:rFonts w:ascii="Garamond" w:hAnsi="Garamond" w:cs="Garamond"/>
          <w:sz w:val="20"/>
          <w:szCs w:val="20"/>
        </w:rPr>
        <w:t>al.,</w:t>
      </w:r>
      <w:r>
        <w:rPr>
          <w:rFonts w:ascii="Garamond" w:hAnsi="Garamond" w:cs="Garamond"/>
          <w:spacing w:val="-3"/>
          <w:sz w:val="20"/>
          <w:szCs w:val="20"/>
        </w:rPr>
        <w:t xml:space="preserve"> </w:t>
      </w:r>
      <w:r>
        <w:rPr>
          <w:rFonts w:ascii="Garamond" w:hAnsi="Garamond" w:cs="Garamond"/>
          <w:i/>
          <w:iCs/>
          <w:sz w:val="20"/>
          <w:szCs w:val="20"/>
        </w:rPr>
        <w:t>Implementing</w:t>
      </w:r>
      <w:r>
        <w:rPr>
          <w:rFonts w:ascii="Garamond" w:hAnsi="Garamond" w:cs="Garamond"/>
          <w:i/>
          <w:iCs/>
          <w:spacing w:val="-10"/>
          <w:sz w:val="20"/>
          <w:szCs w:val="20"/>
        </w:rPr>
        <w:t xml:space="preserve"> </w:t>
      </w:r>
      <w:r>
        <w:rPr>
          <w:rFonts w:ascii="Garamond" w:hAnsi="Garamond" w:cs="Garamond"/>
          <w:i/>
          <w:iCs/>
          <w:sz w:val="20"/>
          <w:szCs w:val="20"/>
        </w:rPr>
        <w:t>New</w:t>
      </w:r>
      <w:r>
        <w:rPr>
          <w:rFonts w:ascii="Garamond" w:hAnsi="Garamond" w:cs="Garamond"/>
          <w:i/>
          <w:iCs/>
          <w:spacing w:val="-13"/>
          <w:sz w:val="20"/>
          <w:szCs w:val="20"/>
        </w:rPr>
        <w:t xml:space="preserve"> </w:t>
      </w:r>
      <w:r>
        <w:rPr>
          <w:rFonts w:ascii="Garamond" w:hAnsi="Garamond" w:cs="Garamond"/>
          <w:i/>
          <w:iCs/>
          <w:sz w:val="20"/>
          <w:szCs w:val="20"/>
        </w:rPr>
        <w:t>York’s DSRIP</w:t>
      </w:r>
      <w:r>
        <w:rPr>
          <w:rFonts w:ascii="Garamond" w:hAnsi="Garamond" w:cs="Garamond"/>
          <w:i/>
          <w:iCs/>
          <w:spacing w:val="-12"/>
          <w:sz w:val="20"/>
          <w:szCs w:val="20"/>
        </w:rPr>
        <w:t xml:space="preserve"> </w:t>
      </w:r>
      <w:r>
        <w:rPr>
          <w:rFonts w:ascii="Garamond" w:hAnsi="Garamond" w:cs="Garamond"/>
          <w:i/>
          <w:iCs/>
          <w:sz w:val="20"/>
          <w:szCs w:val="20"/>
        </w:rPr>
        <w:t>Program:</w:t>
      </w:r>
      <w:r>
        <w:rPr>
          <w:rFonts w:ascii="Garamond" w:hAnsi="Garamond" w:cs="Garamond"/>
          <w:i/>
          <w:iCs/>
          <w:spacing w:val="-13"/>
          <w:sz w:val="20"/>
          <w:szCs w:val="20"/>
        </w:rPr>
        <w:t xml:space="preserve"> </w:t>
      </w:r>
      <w:r>
        <w:rPr>
          <w:rFonts w:ascii="Garamond" w:hAnsi="Garamond" w:cs="Garamond"/>
          <w:i/>
          <w:iCs/>
          <w:sz w:val="20"/>
          <w:szCs w:val="20"/>
        </w:rPr>
        <w:t>Implications</w:t>
      </w:r>
      <w:r>
        <w:rPr>
          <w:rFonts w:ascii="Garamond" w:hAnsi="Garamond" w:cs="Garamond"/>
          <w:i/>
          <w:iCs/>
          <w:spacing w:val="-13"/>
          <w:sz w:val="20"/>
          <w:szCs w:val="20"/>
        </w:rPr>
        <w:t xml:space="preserve"> </w:t>
      </w:r>
      <w:r>
        <w:rPr>
          <w:rFonts w:ascii="Garamond" w:hAnsi="Garamond" w:cs="Garamond"/>
          <w:i/>
          <w:iCs/>
          <w:sz w:val="20"/>
          <w:szCs w:val="20"/>
        </w:rPr>
        <w:t>for</w:t>
      </w:r>
      <w:r>
        <w:rPr>
          <w:rFonts w:ascii="Garamond" w:hAnsi="Garamond" w:cs="Garamond"/>
          <w:i/>
          <w:iCs/>
          <w:spacing w:val="-9"/>
          <w:sz w:val="20"/>
          <w:szCs w:val="20"/>
        </w:rPr>
        <w:t xml:space="preserve"> </w:t>
      </w:r>
      <w:r>
        <w:rPr>
          <w:rFonts w:ascii="Garamond" w:hAnsi="Garamond" w:cs="Garamond"/>
          <w:i/>
          <w:iCs/>
          <w:sz w:val="20"/>
          <w:szCs w:val="20"/>
        </w:rPr>
        <w:t>Medicaid</w:t>
      </w:r>
      <w:r>
        <w:rPr>
          <w:rFonts w:ascii="Garamond" w:hAnsi="Garamond" w:cs="Garamond"/>
          <w:i/>
          <w:iCs/>
          <w:spacing w:val="-12"/>
          <w:sz w:val="20"/>
          <w:szCs w:val="20"/>
        </w:rPr>
        <w:t xml:space="preserve"> </w:t>
      </w:r>
      <w:r>
        <w:rPr>
          <w:rFonts w:ascii="Garamond" w:hAnsi="Garamond" w:cs="Garamond"/>
          <w:i/>
          <w:iCs/>
          <w:sz w:val="20"/>
          <w:szCs w:val="20"/>
        </w:rPr>
        <w:t>Payment</w:t>
      </w:r>
      <w:r>
        <w:rPr>
          <w:rFonts w:ascii="Garamond" w:hAnsi="Garamond" w:cs="Garamond"/>
          <w:i/>
          <w:iCs/>
          <w:spacing w:val="-12"/>
          <w:sz w:val="20"/>
          <w:szCs w:val="20"/>
        </w:rPr>
        <w:t xml:space="preserve"> </w:t>
      </w:r>
      <w:r>
        <w:rPr>
          <w:rFonts w:ascii="Garamond" w:hAnsi="Garamond" w:cs="Garamond"/>
          <w:i/>
          <w:iCs/>
          <w:sz w:val="20"/>
          <w:szCs w:val="20"/>
        </w:rPr>
        <w:t>and</w:t>
      </w:r>
      <w:r>
        <w:rPr>
          <w:rFonts w:ascii="Garamond" w:hAnsi="Garamond" w:cs="Garamond"/>
          <w:i/>
          <w:iCs/>
          <w:spacing w:val="-12"/>
          <w:sz w:val="20"/>
          <w:szCs w:val="20"/>
        </w:rPr>
        <w:t xml:space="preserve"> </w:t>
      </w:r>
      <w:r>
        <w:rPr>
          <w:rFonts w:ascii="Garamond" w:hAnsi="Garamond" w:cs="Garamond"/>
          <w:i/>
          <w:iCs/>
          <w:sz w:val="20"/>
          <w:szCs w:val="20"/>
        </w:rPr>
        <w:t>Delivery</w:t>
      </w:r>
      <w:r>
        <w:rPr>
          <w:rFonts w:ascii="Garamond" w:hAnsi="Garamond" w:cs="Garamond"/>
          <w:i/>
          <w:iCs/>
          <w:spacing w:val="-8"/>
          <w:sz w:val="20"/>
          <w:szCs w:val="20"/>
        </w:rPr>
        <w:t xml:space="preserve"> </w:t>
      </w:r>
      <w:r>
        <w:rPr>
          <w:rFonts w:ascii="Garamond" w:hAnsi="Garamond" w:cs="Garamond"/>
          <w:i/>
          <w:iCs/>
          <w:sz w:val="20"/>
          <w:szCs w:val="20"/>
        </w:rPr>
        <w:t>System</w:t>
      </w:r>
      <w:r>
        <w:rPr>
          <w:rFonts w:ascii="Garamond" w:hAnsi="Garamond" w:cs="Garamond"/>
          <w:i/>
          <w:iCs/>
          <w:spacing w:val="-12"/>
          <w:sz w:val="20"/>
          <w:szCs w:val="20"/>
        </w:rPr>
        <w:t xml:space="preserve"> </w:t>
      </w:r>
      <w:r>
        <w:rPr>
          <w:rFonts w:ascii="Garamond" w:hAnsi="Garamond" w:cs="Garamond"/>
          <w:i/>
          <w:iCs/>
          <w:sz w:val="20"/>
          <w:szCs w:val="20"/>
        </w:rPr>
        <w:t>Reform</w:t>
      </w:r>
      <w:r>
        <w:rPr>
          <w:rFonts w:ascii="Garamond" w:hAnsi="Garamond" w:cs="Garamond"/>
          <w:sz w:val="20"/>
          <w:szCs w:val="20"/>
        </w:rPr>
        <w:t>,</w:t>
      </w:r>
      <w:r>
        <w:rPr>
          <w:rFonts w:ascii="Garamond" w:hAnsi="Garamond" w:cs="Garamond"/>
          <w:spacing w:val="-13"/>
          <w:sz w:val="20"/>
          <w:szCs w:val="20"/>
        </w:rPr>
        <w:t xml:space="preserve"> </w:t>
      </w:r>
      <w:r>
        <w:rPr>
          <w:rFonts w:ascii="Garamond" w:hAnsi="Garamond" w:cs="Garamond"/>
          <w:sz w:val="20"/>
          <w:szCs w:val="20"/>
        </w:rPr>
        <w:t>Commonwealth</w:t>
      </w:r>
      <w:r>
        <w:rPr>
          <w:rFonts w:ascii="Garamond" w:hAnsi="Garamond" w:cs="Garamond"/>
          <w:spacing w:val="-11"/>
          <w:sz w:val="20"/>
          <w:szCs w:val="20"/>
        </w:rPr>
        <w:t xml:space="preserve"> </w:t>
      </w:r>
      <w:r>
        <w:rPr>
          <w:rFonts w:ascii="Garamond" w:hAnsi="Garamond" w:cs="Garamond"/>
          <w:sz w:val="20"/>
          <w:szCs w:val="20"/>
        </w:rPr>
        <w:t>Fund</w:t>
      </w:r>
      <w:r>
        <w:rPr>
          <w:rFonts w:ascii="Garamond" w:hAnsi="Garamond" w:cs="Garamond"/>
          <w:spacing w:val="-10"/>
          <w:sz w:val="20"/>
          <w:szCs w:val="20"/>
        </w:rPr>
        <w:t xml:space="preserve"> </w:t>
      </w:r>
      <w:r>
        <w:rPr>
          <w:rFonts w:ascii="Garamond" w:hAnsi="Garamond" w:cs="Garamond"/>
          <w:sz w:val="20"/>
          <w:szCs w:val="20"/>
        </w:rPr>
        <w:t>(April</w:t>
      </w:r>
      <w:r>
        <w:rPr>
          <w:rFonts w:ascii="Garamond" w:hAnsi="Garamond" w:cs="Garamond"/>
          <w:spacing w:val="-12"/>
          <w:sz w:val="20"/>
          <w:szCs w:val="20"/>
        </w:rPr>
        <w:t xml:space="preserve"> </w:t>
      </w:r>
      <w:r>
        <w:rPr>
          <w:rFonts w:ascii="Garamond" w:hAnsi="Garamond" w:cs="Garamond"/>
          <w:sz w:val="20"/>
          <w:szCs w:val="20"/>
        </w:rPr>
        <w:t>2016);</w:t>
      </w:r>
      <w:r>
        <w:rPr>
          <w:rFonts w:ascii="Garamond" w:hAnsi="Garamond" w:cs="Garamond"/>
          <w:spacing w:val="-13"/>
          <w:sz w:val="20"/>
          <w:szCs w:val="20"/>
        </w:rPr>
        <w:t xml:space="preserve"> </w:t>
      </w:r>
      <w:proofErr w:type="spellStart"/>
      <w:r>
        <w:rPr>
          <w:rFonts w:ascii="Garamond" w:hAnsi="Garamond" w:cs="Garamond"/>
          <w:sz w:val="20"/>
          <w:szCs w:val="20"/>
        </w:rPr>
        <w:t>Guyer</w:t>
      </w:r>
      <w:proofErr w:type="spellEnd"/>
      <w:r>
        <w:rPr>
          <w:rFonts w:ascii="Garamond" w:hAnsi="Garamond" w:cs="Garamond"/>
          <w:sz w:val="20"/>
          <w:szCs w:val="20"/>
        </w:rPr>
        <w:t>,</w:t>
      </w:r>
      <w:r>
        <w:rPr>
          <w:rFonts w:ascii="Garamond" w:hAnsi="Garamond" w:cs="Garamond"/>
          <w:spacing w:val="-12"/>
          <w:sz w:val="20"/>
          <w:szCs w:val="20"/>
        </w:rPr>
        <w:t xml:space="preserve"> </w:t>
      </w:r>
      <w:r>
        <w:rPr>
          <w:rFonts w:ascii="Garamond" w:hAnsi="Garamond" w:cs="Garamond"/>
          <w:sz w:val="20"/>
          <w:szCs w:val="20"/>
        </w:rPr>
        <w:t xml:space="preserve">J., </w:t>
      </w:r>
      <w:proofErr w:type="spellStart"/>
      <w:r>
        <w:rPr>
          <w:rFonts w:ascii="Garamond" w:hAnsi="Garamond" w:cs="Garamond"/>
          <w:sz w:val="20"/>
          <w:szCs w:val="20"/>
        </w:rPr>
        <w:t>Shaine</w:t>
      </w:r>
      <w:proofErr w:type="spellEnd"/>
      <w:r>
        <w:rPr>
          <w:rFonts w:ascii="Garamond" w:hAnsi="Garamond" w:cs="Garamond"/>
          <w:sz w:val="20"/>
          <w:szCs w:val="20"/>
        </w:rPr>
        <w:t xml:space="preserve">, N. et al., </w:t>
      </w:r>
      <w:r>
        <w:rPr>
          <w:rFonts w:ascii="Garamond" w:hAnsi="Garamond" w:cs="Garamond"/>
          <w:i/>
          <w:iCs/>
          <w:sz w:val="20"/>
          <w:szCs w:val="20"/>
        </w:rPr>
        <w:t>Key Themes From Delivery System Reform Incentive Payment (DSRIP) Waivers in 4 States</w:t>
      </w:r>
      <w:r>
        <w:rPr>
          <w:rFonts w:ascii="Garamond" w:hAnsi="Garamond" w:cs="Garamond"/>
          <w:sz w:val="20"/>
          <w:szCs w:val="20"/>
        </w:rPr>
        <w:t>, Kaiser Family Foundation</w:t>
      </w:r>
      <w:r>
        <w:rPr>
          <w:rFonts w:ascii="Garamond" w:hAnsi="Garamond" w:cs="Garamond"/>
          <w:spacing w:val="-24"/>
          <w:sz w:val="20"/>
          <w:szCs w:val="20"/>
        </w:rPr>
        <w:t xml:space="preserve"> </w:t>
      </w:r>
      <w:r>
        <w:rPr>
          <w:rFonts w:ascii="Garamond" w:hAnsi="Garamond" w:cs="Garamond"/>
          <w:sz w:val="20"/>
          <w:szCs w:val="20"/>
        </w:rPr>
        <w:t>(April</w:t>
      </w:r>
      <w:r>
        <w:rPr>
          <w:rFonts w:ascii="Garamond" w:hAnsi="Garamond" w:cs="Garamond"/>
          <w:spacing w:val="-22"/>
          <w:sz w:val="20"/>
          <w:szCs w:val="20"/>
        </w:rPr>
        <w:t xml:space="preserve"> </w:t>
      </w:r>
      <w:r>
        <w:rPr>
          <w:rFonts w:ascii="Garamond" w:hAnsi="Garamond" w:cs="Garamond"/>
          <w:sz w:val="20"/>
          <w:szCs w:val="20"/>
        </w:rPr>
        <w:t>2015).</w:t>
      </w:r>
    </w:p>
    <w:p w:rsidR="002C5025" w:rsidRDefault="002C5025">
      <w:pPr>
        <w:pStyle w:val="BodyText"/>
        <w:kinsoku w:val="0"/>
        <w:overflowPunct w:val="0"/>
        <w:spacing w:before="1"/>
        <w:rPr>
          <w:rFonts w:ascii="Garamond" w:hAnsi="Garamond" w:cs="Garamond"/>
          <w:sz w:val="12"/>
          <w:szCs w:val="12"/>
        </w:rPr>
      </w:pPr>
    </w:p>
    <w:p w:rsidR="002C5025" w:rsidRDefault="002C5025">
      <w:pPr>
        <w:pStyle w:val="BodyText"/>
        <w:kinsoku w:val="0"/>
        <w:overflowPunct w:val="0"/>
        <w:spacing w:before="80"/>
        <w:ind w:left="182"/>
        <w:jc w:val="center"/>
        <w:rPr>
          <w:rFonts w:ascii="Garamond" w:hAnsi="Garamond" w:cs="Garamond"/>
          <w:w w:val="99"/>
          <w:sz w:val="20"/>
          <w:szCs w:val="20"/>
        </w:rPr>
      </w:pPr>
      <w:r>
        <w:rPr>
          <w:rFonts w:ascii="Garamond" w:hAnsi="Garamond" w:cs="Garamond"/>
          <w:w w:val="99"/>
          <w:sz w:val="20"/>
          <w:szCs w:val="20"/>
        </w:rPr>
        <w:t>7</w:t>
      </w:r>
    </w:p>
    <w:p w:rsidR="002C5025" w:rsidRDefault="002C5025">
      <w:pPr>
        <w:pStyle w:val="BodyText"/>
        <w:kinsoku w:val="0"/>
        <w:overflowPunct w:val="0"/>
        <w:spacing w:before="80"/>
        <w:ind w:left="182"/>
        <w:jc w:val="center"/>
        <w:rPr>
          <w:rFonts w:ascii="Garamond" w:hAnsi="Garamond" w:cs="Garamond"/>
          <w:w w:val="99"/>
          <w:sz w:val="20"/>
          <w:szCs w:val="20"/>
        </w:rPr>
        <w:sectPr w:rsidR="002C5025">
          <w:pgSz w:w="12240" w:h="15840"/>
          <w:pgMar w:top="1500" w:right="1500" w:bottom="280" w:left="1320" w:header="720" w:footer="720" w:gutter="0"/>
          <w:cols w:space="720" w:equalWidth="0">
            <w:col w:w="9420"/>
          </w:cols>
          <w:noEndnote/>
        </w:sectPr>
      </w:pPr>
    </w:p>
    <w:p w:rsidR="002C5025" w:rsidRDefault="002C5025">
      <w:pPr>
        <w:pStyle w:val="BodyText"/>
        <w:kinsoku w:val="0"/>
        <w:overflowPunct w:val="0"/>
        <w:spacing w:before="60"/>
        <w:ind w:left="118" w:right="241" w:firstLine="1"/>
        <w:rPr>
          <w:rFonts w:ascii="Garamond" w:hAnsi="Garamond" w:cs="Garamond"/>
        </w:rPr>
      </w:pPr>
      <w:r>
        <w:rPr>
          <w:rFonts w:ascii="Garamond" w:hAnsi="Garamond" w:cs="Garamond"/>
        </w:rPr>
        <w:lastRenderedPageBreak/>
        <w:t xml:space="preserve">clinical providers and community organizations take significant time and effort to build and maintain. In PWTF, infrastructure was supported to establish these connections </w:t>
      </w:r>
      <w:r>
        <w:rPr>
          <w:rFonts w:ascii="Garamond" w:hAnsi="Garamond" w:cs="Garamond"/>
          <w:spacing w:val="-3"/>
        </w:rPr>
        <w:t xml:space="preserve">and </w:t>
      </w:r>
      <w:r>
        <w:rPr>
          <w:rFonts w:ascii="Garamond" w:hAnsi="Garamond" w:cs="Garamond"/>
        </w:rPr>
        <w:t xml:space="preserve">ensure their </w:t>
      </w:r>
      <w:r>
        <w:rPr>
          <w:rFonts w:ascii="Garamond" w:hAnsi="Garamond" w:cs="Garamond"/>
          <w:spacing w:val="-3"/>
        </w:rPr>
        <w:t xml:space="preserve">ongoing </w:t>
      </w:r>
      <w:r>
        <w:rPr>
          <w:rFonts w:ascii="Garamond" w:hAnsi="Garamond" w:cs="Garamond"/>
        </w:rPr>
        <w:t>functionality, including</w:t>
      </w:r>
      <w:r>
        <w:rPr>
          <w:rFonts w:ascii="Garamond" w:hAnsi="Garamond" w:cs="Garamond"/>
          <w:spacing w:val="-9"/>
        </w:rPr>
        <w:t xml:space="preserve"> </w:t>
      </w:r>
      <w:r>
        <w:rPr>
          <w:rFonts w:ascii="Garamond" w:hAnsi="Garamond" w:cs="Garamond"/>
        </w:rPr>
        <w:t>the</w:t>
      </w:r>
      <w:r>
        <w:rPr>
          <w:rFonts w:ascii="Garamond" w:hAnsi="Garamond" w:cs="Garamond"/>
          <w:spacing w:val="-9"/>
        </w:rPr>
        <w:t xml:space="preserve"> </w:t>
      </w:r>
      <w:r>
        <w:rPr>
          <w:rFonts w:ascii="Garamond" w:hAnsi="Garamond" w:cs="Garamond"/>
        </w:rPr>
        <w:t>role</w:t>
      </w:r>
      <w:r>
        <w:rPr>
          <w:rFonts w:ascii="Garamond" w:hAnsi="Garamond" w:cs="Garamond"/>
          <w:spacing w:val="-12"/>
        </w:rPr>
        <w:t xml:space="preserve"> </w:t>
      </w:r>
      <w:r>
        <w:rPr>
          <w:rFonts w:ascii="Garamond" w:hAnsi="Garamond" w:cs="Garamond"/>
        </w:rPr>
        <w:t>of</w:t>
      </w:r>
      <w:r>
        <w:rPr>
          <w:rFonts w:ascii="Garamond" w:hAnsi="Garamond" w:cs="Garamond"/>
          <w:spacing w:val="-10"/>
        </w:rPr>
        <w:t xml:space="preserve"> </w:t>
      </w:r>
      <w:r>
        <w:rPr>
          <w:rFonts w:ascii="Garamond" w:hAnsi="Garamond" w:cs="Garamond"/>
        </w:rPr>
        <w:t>the</w:t>
      </w:r>
      <w:r>
        <w:rPr>
          <w:rFonts w:ascii="Garamond" w:hAnsi="Garamond" w:cs="Garamond"/>
          <w:spacing w:val="-8"/>
        </w:rPr>
        <w:t xml:space="preserve"> </w:t>
      </w:r>
      <w:r>
        <w:rPr>
          <w:rFonts w:ascii="Garamond" w:hAnsi="Garamond" w:cs="Garamond"/>
          <w:spacing w:val="-2"/>
        </w:rPr>
        <w:t>coordinating</w:t>
      </w:r>
      <w:r>
        <w:rPr>
          <w:rFonts w:ascii="Garamond" w:hAnsi="Garamond" w:cs="Garamond"/>
          <w:spacing w:val="-9"/>
        </w:rPr>
        <w:t xml:space="preserve"> </w:t>
      </w:r>
      <w:r>
        <w:rPr>
          <w:rFonts w:ascii="Garamond" w:hAnsi="Garamond" w:cs="Garamond"/>
        </w:rPr>
        <w:t>partner</w:t>
      </w:r>
      <w:r>
        <w:rPr>
          <w:rFonts w:ascii="Garamond" w:hAnsi="Garamond" w:cs="Garamond"/>
          <w:spacing w:val="-10"/>
        </w:rPr>
        <w:t xml:space="preserve"> </w:t>
      </w:r>
      <w:r>
        <w:rPr>
          <w:rFonts w:ascii="Garamond" w:hAnsi="Garamond" w:cs="Garamond"/>
        </w:rPr>
        <w:t>to</w:t>
      </w:r>
      <w:r>
        <w:rPr>
          <w:rFonts w:ascii="Garamond" w:hAnsi="Garamond" w:cs="Garamond"/>
          <w:spacing w:val="-9"/>
        </w:rPr>
        <w:t xml:space="preserve"> </w:t>
      </w:r>
      <w:r>
        <w:rPr>
          <w:rFonts w:ascii="Garamond" w:hAnsi="Garamond" w:cs="Garamond"/>
        </w:rPr>
        <w:t>manage</w:t>
      </w:r>
      <w:r>
        <w:rPr>
          <w:rFonts w:ascii="Garamond" w:hAnsi="Garamond" w:cs="Garamond"/>
          <w:spacing w:val="-12"/>
        </w:rPr>
        <w:t xml:space="preserve"> </w:t>
      </w:r>
      <w:r>
        <w:rPr>
          <w:rFonts w:ascii="Garamond" w:hAnsi="Garamond" w:cs="Garamond"/>
        </w:rPr>
        <w:t>relationships,</w:t>
      </w:r>
      <w:r>
        <w:rPr>
          <w:rFonts w:ascii="Garamond" w:hAnsi="Garamond" w:cs="Garamond"/>
          <w:spacing w:val="-8"/>
        </w:rPr>
        <w:t xml:space="preserve"> </w:t>
      </w:r>
      <w:r>
        <w:rPr>
          <w:rFonts w:ascii="Garamond" w:hAnsi="Garamond" w:cs="Garamond"/>
        </w:rPr>
        <w:t>communications,</w:t>
      </w:r>
      <w:r>
        <w:rPr>
          <w:rFonts w:ascii="Garamond" w:hAnsi="Garamond" w:cs="Garamond"/>
          <w:spacing w:val="-9"/>
        </w:rPr>
        <w:t xml:space="preserve"> </w:t>
      </w:r>
      <w:r>
        <w:rPr>
          <w:rFonts w:ascii="Garamond" w:hAnsi="Garamond" w:cs="Garamond"/>
        </w:rPr>
        <w:t>responsibilities,</w:t>
      </w:r>
      <w:r>
        <w:rPr>
          <w:rFonts w:ascii="Garamond" w:hAnsi="Garamond" w:cs="Garamond"/>
          <w:spacing w:val="-7"/>
        </w:rPr>
        <w:t xml:space="preserve"> </w:t>
      </w:r>
      <w:r>
        <w:rPr>
          <w:rFonts w:ascii="Garamond" w:hAnsi="Garamond" w:cs="Garamond"/>
          <w:spacing w:val="-3"/>
        </w:rPr>
        <w:t xml:space="preserve">and </w:t>
      </w:r>
      <w:r>
        <w:rPr>
          <w:rFonts w:ascii="Garamond" w:hAnsi="Garamond" w:cs="Garamond"/>
        </w:rPr>
        <w:t xml:space="preserve">workflow </w:t>
      </w:r>
      <w:r>
        <w:rPr>
          <w:rFonts w:ascii="Garamond" w:hAnsi="Garamond" w:cs="Garamond"/>
          <w:spacing w:val="-3"/>
        </w:rPr>
        <w:t xml:space="preserve">across </w:t>
      </w:r>
      <w:r>
        <w:rPr>
          <w:rFonts w:ascii="Garamond" w:hAnsi="Garamond" w:cs="Garamond"/>
        </w:rPr>
        <w:t>multiple organizations, as well as the time and effort needed to establish new working relationships</w:t>
      </w:r>
      <w:r>
        <w:rPr>
          <w:rFonts w:ascii="Garamond" w:hAnsi="Garamond" w:cs="Garamond"/>
          <w:spacing w:val="-13"/>
        </w:rPr>
        <w:t xml:space="preserve"> </w:t>
      </w:r>
      <w:r>
        <w:rPr>
          <w:rFonts w:ascii="Garamond" w:hAnsi="Garamond" w:cs="Garamond"/>
        </w:rPr>
        <w:t>between</w:t>
      </w:r>
      <w:r>
        <w:rPr>
          <w:rFonts w:ascii="Garamond" w:hAnsi="Garamond" w:cs="Garamond"/>
          <w:spacing w:val="-14"/>
        </w:rPr>
        <w:t xml:space="preserve"> </w:t>
      </w:r>
      <w:r>
        <w:rPr>
          <w:rFonts w:ascii="Garamond" w:hAnsi="Garamond" w:cs="Garamond"/>
        </w:rPr>
        <w:t>organizations</w:t>
      </w:r>
      <w:r>
        <w:rPr>
          <w:rFonts w:ascii="Garamond" w:hAnsi="Garamond" w:cs="Garamond"/>
          <w:spacing w:val="-11"/>
        </w:rPr>
        <w:t xml:space="preserve"> </w:t>
      </w:r>
      <w:r>
        <w:rPr>
          <w:rFonts w:ascii="Garamond" w:hAnsi="Garamond" w:cs="Garamond"/>
        </w:rPr>
        <w:t>with</w:t>
      </w:r>
      <w:r>
        <w:rPr>
          <w:rFonts w:ascii="Garamond" w:hAnsi="Garamond" w:cs="Garamond"/>
          <w:spacing w:val="-13"/>
        </w:rPr>
        <w:t xml:space="preserve"> </w:t>
      </w:r>
      <w:r>
        <w:rPr>
          <w:rFonts w:ascii="Garamond" w:hAnsi="Garamond" w:cs="Garamond"/>
        </w:rPr>
        <w:t>different</w:t>
      </w:r>
      <w:r>
        <w:rPr>
          <w:rFonts w:ascii="Garamond" w:hAnsi="Garamond" w:cs="Garamond"/>
          <w:spacing w:val="-11"/>
        </w:rPr>
        <w:t xml:space="preserve"> </w:t>
      </w:r>
      <w:r>
        <w:rPr>
          <w:rFonts w:ascii="Garamond" w:hAnsi="Garamond" w:cs="Garamond"/>
        </w:rPr>
        <w:t>organizational</w:t>
      </w:r>
      <w:r>
        <w:rPr>
          <w:rFonts w:ascii="Garamond" w:hAnsi="Garamond" w:cs="Garamond"/>
          <w:spacing w:val="-14"/>
        </w:rPr>
        <w:t xml:space="preserve"> </w:t>
      </w:r>
      <w:r>
        <w:rPr>
          <w:rFonts w:ascii="Garamond" w:hAnsi="Garamond" w:cs="Garamond"/>
        </w:rPr>
        <w:t>cultures,</w:t>
      </w:r>
      <w:r>
        <w:rPr>
          <w:rFonts w:ascii="Garamond" w:hAnsi="Garamond" w:cs="Garamond"/>
          <w:spacing w:val="-16"/>
        </w:rPr>
        <w:t xml:space="preserve"> </w:t>
      </w:r>
      <w:r>
        <w:rPr>
          <w:rFonts w:ascii="Garamond" w:hAnsi="Garamond" w:cs="Garamond"/>
        </w:rPr>
        <w:t>methods</w:t>
      </w:r>
      <w:r>
        <w:rPr>
          <w:rFonts w:ascii="Garamond" w:hAnsi="Garamond" w:cs="Garamond"/>
          <w:spacing w:val="-11"/>
        </w:rPr>
        <w:t xml:space="preserve"> </w:t>
      </w:r>
      <w:r>
        <w:rPr>
          <w:rFonts w:ascii="Garamond" w:hAnsi="Garamond" w:cs="Garamond"/>
        </w:rPr>
        <w:t>of</w:t>
      </w:r>
      <w:r>
        <w:rPr>
          <w:rFonts w:ascii="Garamond" w:hAnsi="Garamond" w:cs="Garamond"/>
          <w:spacing w:val="-15"/>
        </w:rPr>
        <w:t xml:space="preserve"> </w:t>
      </w:r>
      <w:r>
        <w:rPr>
          <w:rFonts w:ascii="Garamond" w:hAnsi="Garamond" w:cs="Garamond"/>
        </w:rPr>
        <w:t>operating,</w:t>
      </w:r>
      <w:r>
        <w:rPr>
          <w:rFonts w:ascii="Garamond" w:hAnsi="Garamond" w:cs="Garamond"/>
          <w:spacing w:val="-14"/>
        </w:rPr>
        <w:t xml:space="preserve"> </w:t>
      </w:r>
      <w:r>
        <w:rPr>
          <w:rFonts w:ascii="Garamond" w:hAnsi="Garamond" w:cs="Garamond"/>
          <w:spacing w:val="-3"/>
        </w:rPr>
        <w:t>and</w:t>
      </w:r>
      <w:r>
        <w:rPr>
          <w:rFonts w:ascii="Garamond" w:hAnsi="Garamond" w:cs="Garamond"/>
          <w:spacing w:val="-14"/>
        </w:rPr>
        <w:t xml:space="preserve"> </w:t>
      </w:r>
      <w:r>
        <w:rPr>
          <w:rFonts w:ascii="Garamond" w:hAnsi="Garamond" w:cs="Garamond"/>
        </w:rPr>
        <w:t>referral technology.</w:t>
      </w:r>
    </w:p>
    <w:p w:rsidR="002C5025" w:rsidRDefault="002C5025">
      <w:pPr>
        <w:pStyle w:val="BodyText"/>
        <w:kinsoku w:val="0"/>
        <w:overflowPunct w:val="0"/>
        <w:spacing w:before="7"/>
        <w:rPr>
          <w:rFonts w:ascii="Garamond" w:hAnsi="Garamond" w:cs="Garamond"/>
          <w:sz w:val="21"/>
          <w:szCs w:val="21"/>
        </w:rPr>
      </w:pPr>
    </w:p>
    <w:p w:rsidR="002C5025" w:rsidRDefault="002C5025">
      <w:pPr>
        <w:pStyle w:val="BodyText"/>
        <w:kinsoku w:val="0"/>
        <w:overflowPunct w:val="0"/>
        <w:spacing w:before="1"/>
        <w:ind w:left="117" w:right="51" w:firstLine="2"/>
        <w:rPr>
          <w:rFonts w:ascii="Garamond" w:hAnsi="Garamond" w:cs="Garamond"/>
        </w:rPr>
      </w:pPr>
      <w:r>
        <w:rPr>
          <w:rFonts w:ascii="Garamond" w:hAnsi="Garamond" w:cs="Garamond"/>
        </w:rPr>
        <w:t xml:space="preserve">Another promising model to ensure members have the broadest access to social </w:t>
      </w:r>
      <w:r>
        <w:rPr>
          <w:rFonts w:ascii="Garamond" w:hAnsi="Garamond" w:cs="Garamond"/>
          <w:spacing w:val="-3"/>
        </w:rPr>
        <w:t xml:space="preserve">services </w:t>
      </w:r>
      <w:r>
        <w:rPr>
          <w:rFonts w:ascii="Garamond" w:hAnsi="Garamond" w:cs="Garamond"/>
        </w:rPr>
        <w:t xml:space="preserve">agencies is through a social services “hub.” Such a hub can offer a single point of coordinated access to a wide range of social services which have a documented impact on health </w:t>
      </w:r>
      <w:r>
        <w:rPr>
          <w:rFonts w:ascii="Garamond" w:hAnsi="Garamond" w:cs="Garamond"/>
          <w:spacing w:val="-3"/>
        </w:rPr>
        <w:t xml:space="preserve">outcomes </w:t>
      </w:r>
      <w:r>
        <w:rPr>
          <w:rFonts w:ascii="Garamond" w:hAnsi="Garamond" w:cs="Garamond"/>
        </w:rPr>
        <w:t xml:space="preserve">and health care cost reduction. This would be particularly helpful for small, specialized agencies (such as a group that focuses on a single immigrant community) that may not </w:t>
      </w:r>
      <w:r>
        <w:rPr>
          <w:rFonts w:ascii="Garamond" w:hAnsi="Garamond" w:cs="Garamond"/>
          <w:spacing w:val="-3"/>
        </w:rPr>
        <w:t xml:space="preserve">have </w:t>
      </w:r>
      <w:r>
        <w:rPr>
          <w:rFonts w:ascii="Garamond" w:hAnsi="Garamond" w:cs="Garamond"/>
        </w:rPr>
        <w:t xml:space="preserve">the capacity to contract with multiple ACOs, but </w:t>
      </w:r>
      <w:r>
        <w:rPr>
          <w:rFonts w:ascii="Garamond" w:hAnsi="Garamond" w:cs="Garamond"/>
          <w:spacing w:val="-3"/>
        </w:rPr>
        <w:t xml:space="preserve">could </w:t>
      </w:r>
      <w:r>
        <w:rPr>
          <w:rFonts w:ascii="Garamond" w:hAnsi="Garamond" w:cs="Garamond"/>
        </w:rPr>
        <w:t xml:space="preserve">work with </w:t>
      </w:r>
      <w:r>
        <w:rPr>
          <w:rFonts w:ascii="Garamond" w:hAnsi="Garamond" w:cs="Garamond"/>
          <w:spacing w:val="-3"/>
        </w:rPr>
        <w:t xml:space="preserve">hubs </w:t>
      </w:r>
      <w:r>
        <w:rPr>
          <w:rFonts w:ascii="Garamond" w:hAnsi="Garamond" w:cs="Garamond"/>
        </w:rPr>
        <w:t xml:space="preserve">to allow them to </w:t>
      </w:r>
      <w:r>
        <w:rPr>
          <w:rFonts w:ascii="Garamond" w:hAnsi="Garamond" w:cs="Garamond"/>
          <w:spacing w:val="-3"/>
        </w:rPr>
        <w:t xml:space="preserve">assist </w:t>
      </w:r>
      <w:r>
        <w:rPr>
          <w:rFonts w:ascii="Garamond" w:hAnsi="Garamond" w:cs="Garamond"/>
        </w:rPr>
        <w:t xml:space="preserve">members in many </w:t>
      </w:r>
      <w:r>
        <w:rPr>
          <w:rFonts w:ascii="Garamond" w:hAnsi="Garamond" w:cs="Garamond"/>
          <w:spacing w:val="-3"/>
        </w:rPr>
        <w:t xml:space="preserve">ACOs. </w:t>
      </w:r>
      <w:r>
        <w:rPr>
          <w:rFonts w:ascii="Garamond" w:hAnsi="Garamond" w:cs="Garamond"/>
        </w:rPr>
        <w:t>A hub model could work with multiple ACOs to bridge medical and social service systems, providing culturally and linguistically competent services, engaging</w:t>
      </w:r>
    </w:p>
    <w:p w:rsidR="002C5025" w:rsidRDefault="002C5025">
      <w:pPr>
        <w:pStyle w:val="BodyText"/>
        <w:kinsoku w:val="0"/>
        <w:overflowPunct w:val="0"/>
        <w:ind w:left="115" w:right="141"/>
        <w:rPr>
          <w:rFonts w:ascii="Garamond" w:hAnsi="Garamond" w:cs="Garamond"/>
        </w:rPr>
      </w:pPr>
      <w:r>
        <w:rPr>
          <w:rFonts w:ascii="Garamond" w:hAnsi="Garamond" w:cs="Garamond"/>
        </w:rPr>
        <w:t xml:space="preserve">multiple social services agencies, </w:t>
      </w:r>
      <w:r>
        <w:rPr>
          <w:rFonts w:ascii="Garamond" w:hAnsi="Garamond" w:cs="Garamond"/>
          <w:spacing w:val="-3"/>
        </w:rPr>
        <w:t xml:space="preserve">and </w:t>
      </w:r>
      <w:r>
        <w:rPr>
          <w:rFonts w:ascii="Garamond" w:hAnsi="Garamond" w:cs="Garamond"/>
        </w:rPr>
        <w:t xml:space="preserve">providing access to medically beneficial, evidence-based programs in each geographic region. The Hub manager will </w:t>
      </w:r>
      <w:r>
        <w:rPr>
          <w:rFonts w:ascii="Garamond" w:hAnsi="Garamond" w:cs="Garamond"/>
          <w:spacing w:val="-3"/>
        </w:rPr>
        <w:t xml:space="preserve">hold </w:t>
      </w:r>
      <w:r>
        <w:rPr>
          <w:rFonts w:ascii="Garamond" w:hAnsi="Garamond" w:cs="Garamond"/>
        </w:rPr>
        <w:t xml:space="preserve">contracts with </w:t>
      </w:r>
      <w:r>
        <w:rPr>
          <w:rFonts w:ascii="Garamond" w:hAnsi="Garamond" w:cs="Garamond"/>
          <w:spacing w:val="-3"/>
        </w:rPr>
        <w:t xml:space="preserve">ACOs, </w:t>
      </w:r>
      <w:r>
        <w:rPr>
          <w:rFonts w:ascii="Garamond" w:hAnsi="Garamond" w:cs="Garamond"/>
        </w:rPr>
        <w:t xml:space="preserve">and will subcontract with local nonprofit service providers, as well as share in the risk </w:t>
      </w:r>
      <w:r>
        <w:rPr>
          <w:rFonts w:ascii="Garamond" w:hAnsi="Garamond" w:cs="Garamond"/>
          <w:spacing w:val="-3"/>
        </w:rPr>
        <w:t xml:space="preserve">and </w:t>
      </w:r>
      <w:r>
        <w:rPr>
          <w:rFonts w:ascii="Garamond" w:hAnsi="Garamond" w:cs="Garamond"/>
        </w:rPr>
        <w:t>benefits with the ACO, thereby building trust and sustainability.</w:t>
      </w:r>
    </w:p>
    <w:p w:rsidR="002C5025" w:rsidRDefault="002C5025">
      <w:pPr>
        <w:pStyle w:val="BodyText"/>
        <w:kinsoku w:val="0"/>
        <w:overflowPunct w:val="0"/>
        <w:rPr>
          <w:rFonts w:ascii="Garamond" w:hAnsi="Garamond" w:cs="Garamond"/>
          <w:sz w:val="21"/>
          <w:szCs w:val="21"/>
        </w:rPr>
      </w:pPr>
    </w:p>
    <w:p w:rsidR="002C5025" w:rsidRDefault="002C5025">
      <w:pPr>
        <w:pStyle w:val="BodyText"/>
        <w:kinsoku w:val="0"/>
        <w:overflowPunct w:val="0"/>
        <w:spacing w:line="265" w:lineRule="exact"/>
        <w:ind w:left="120" w:right="241"/>
        <w:rPr>
          <w:rFonts w:ascii="Garamond" w:hAnsi="Garamond" w:cs="Garamond"/>
          <w:b/>
          <w:bCs/>
          <w:i/>
          <w:iCs/>
          <w:w w:val="90"/>
          <w:sz w:val="24"/>
          <w:szCs w:val="24"/>
        </w:rPr>
      </w:pPr>
      <w:bookmarkStart w:id="155" w:name="Community_health_workers"/>
      <w:bookmarkEnd w:id="155"/>
      <w:r>
        <w:rPr>
          <w:rFonts w:ascii="Garamond" w:hAnsi="Garamond" w:cs="Garamond"/>
          <w:b/>
          <w:bCs/>
          <w:i/>
          <w:iCs/>
          <w:w w:val="90"/>
          <w:sz w:val="24"/>
          <w:szCs w:val="24"/>
        </w:rPr>
        <w:t>Community health workers</w:t>
      </w:r>
    </w:p>
    <w:p w:rsidR="002C5025" w:rsidRDefault="002C5025">
      <w:pPr>
        <w:pStyle w:val="BodyText"/>
        <w:kinsoku w:val="0"/>
        <w:overflowPunct w:val="0"/>
        <w:ind w:left="119" w:right="268"/>
        <w:rPr>
          <w:rFonts w:ascii="Garamond" w:hAnsi="Garamond" w:cs="Garamond"/>
        </w:rPr>
      </w:pPr>
      <w:r>
        <w:rPr>
          <w:rFonts w:ascii="Garamond" w:hAnsi="Garamond" w:cs="Garamond"/>
        </w:rPr>
        <w:t>ACOs have the opportunity to promote public and community health through strengthening the role of community health workers (CHWs) in connecting people to care resources and promoting overall health. Research has shown the efficacy of including CHWs as part of health care teams. CHWs help contain costs by reducing high risk patients’ use of urgent and emergency room care and preventing unnecessary hospitalizations.</w:t>
      </w:r>
      <w:r>
        <w:rPr>
          <w:rFonts w:ascii="Garamond" w:hAnsi="Garamond" w:cs="Garamond"/>
          <w:position w:val="5"/>
          <w:sz w:val="14"/>
          <w:szCs w:val="14"/>
        </w:rPr>
        <w:t xml:space="preserve">17 </w:t>
      </w:r>
      <w:r>
        <w:rPr>
          <w:rFonts w:ascii="Garamond" w:hAnsi="Garamond" w:cs="Garamond"/>
        </w:rPr>
        <w:t>CHWs also improve quality of care and health outcomes by improving patients’ access to and use of preventive services, chronic disease self-management support, maternal-child home visiting and perinatal support.</w:t>
      </w:r>
    </w:p>
    <w:p w:rsidR="002C5025" w:rsidRDefault="002C5025">
      <w:pPr>
        <w:pStyle w:val="BodyText"/>
        <w:kinsoku w:val="0"/>
        <w:overflowPunct w:val="0"/>
        <w:spacing w:before="1"/>
        <w:rPr>
          <w:rFonts w:ascii="Garamond" w:hAnsi="Garamond" w:cs="Garamond"/>
        </w:rPr>
      </w:pPr>
    </w:p>
    <w:p w:rsidR="002C5025" w:rsidRDefault="002C5025">
      <w:pPr>
        <w:pStyle w:val="BodyText"/>
        <w:kinsoku w:val="0"/>
        <w:overflowPunct w:val="0"/>
        <w:ind w:left="117" w:right="118" w:firstLine="2"/>
        <w:rPr>
          <w:rFonts w:ascii="Garamond" w:hAnsi="Garamond" w:cs="Garamond"/>
        </w:rPr>
      </w:pPr>
      <w:r>
        <w:rPr>
          <w:rFonts w:ascii="Garamond" w:hAnsi="Garamond" w:cs="Garamond"/>
        </w:rPr>
        <w:t xml:space="preserve">Aside from the brief acknowledgment that </w:t>
      </w:r>
      <w:r>
        <w:rPr>
          <w:rFonts w:ascii="Garamond" w:hAnsi="Garamond" w:cs="Garamond"/>
          <w:spacing w:val="-3"/>
        </w:rPr>
        <w:t xml:space="preserve">ACOs </w:t>
      </w:r>
      <w:r>
        <w:rPr>
          <w:rFonts w:ascii="Garamond" w:hAnsi="Garamond" w:cs="Garamond"/>
        </w:rPr>
        <w:t xml:space="preserve">can utilize </w:t>
      </w:r>
      <w:r>
        <w:rPr>
          <w:rFonts w:ascii="Garamond" w:hAnsi="Garamond" w:cs="Garamond"/>
          <w:spacing w:val="-3"/>
        </w:rPr>
        <w:t xml:space="preserve">CHWs </w:t>
      </w:r>
      <w:r>
        <w:rPr>
          <w:rFonts w:ascii="Garamond" w:hAnsi="Garamond" w:cs="Garamond"/>
        </w:rPr>
        <w:t xml:space="preserve">as one of several potential strategies to enhance member </w:t>
      </w:r>
      <w:r>
        <w:rPr>
          <w:rFonts w:ascii="Garamond" w:hAnsi="Garamond" w:cs="Garamond"/>
          <w:spacing w:val="-2"/>
        </w:rPr>
        <w:t xml:space="preserve">communication </w:t>
      </w:r>
      <w:r>
        <w:rPr>
          <w:rFonts w:ascii="Garamond" w:hAnsi="Garamond" w:cs="Garamond"/>
        </w:rPr>
        <w:t xml:space="preserve">and follow-up (41), the Waiver Request barely mentions the </w:t>
      </w:r>
      <w:r>
        <w:rPr>
          <w:rFonts w:ascii="Garamond" w:hAnsi="Garamond" w:cs="Garamond"/>
          <w:spacing w:val="-3"/>
        </w:rPr>
        <w:t xml:space="preserve">CHW </w:t>
      </w:r>
      <w:r>
        <w:rPr>
          <w:rFonts w:ascii="Garamond" w:hAnsi="Garamond" w:cs="Garamond"/>
        </w:rPr>
        <w:t xml:space="preserve">workforce. We urge MassHealth, in consultation with DPH, to endorse the use of </w:t>
      </w:r>
      <w:r>
        <w:rPr>
          <w:rFonts w:ascii="Garamond" w:hAnsi="Garamond" w:cs="Garamond"/>
          <w:spacing w:val="-4"/>
        </w:rPr>
        <w:t xml:space="preserve">CHWs </w:t>
      </w:r>
      <w:r>
        <w:rPr>
          <w:rFonts w:ascii="Garamond" w:hAnsi="Garamond" w:cs="Garamond"/>
        </w:rPr>
        <w:t xml:space="preserve">as vital members </w:t>
      </w:r>
      <w:r>
        <w:rPr>
          <w:rFonts w:ascii="Garamond" w:hAnsi="Garamond" w:cs="Garamond"/>
          <w:spacing w:val="-3"/>
        </w:rPr>
        <w:t xml:space="preserve">of </w:t>
      </w:r>
      <w:r>
        <w:rPr>
          <w:rFonts w:ascii="Garamond" w:hAnsi="Garamond" w:cs="Garamond"/>
        </w:rPr>
        <w:t xml:space="preserve">patient-centered health care teams. We also recommend that the role of </w:t>
      </w:r>
      <w:r>
        <w:rPr>
          <w:rFonts w:ascii="Garamond" w:hAnsi="Garamond" w:cs="Garamond"/>
          <w:spacing w:val="-3"/>
        </w:rPr>
        <w:t xml:space="preserve">CHWs </w:t>
      </w:r>
      <w:r>
        <w:rPr>
          <w:rFonts w:ascii="Garamond" w:hAnsi="Garamond" w:cs="Garamond"/>
        </w:rPr>
        <w:t xml:space="preserve">be more formally incorporated into the </w:t>
      </w:r>
      <w:r>
        <w:rPr>
          <w:rFonts w:ascii="Garamond" w:hAnsi="Garamond" w:cs="Garamond"/>
          <w:spacing w:val="-2"/>
        </w:rPr>
        <w:t xml:space="preserve">ACO </w:t>
      </w:r>
      <w:r>
        <w:rPr>
          <w:rFonts w:ascii="Garamond" w:hAnsi="Garamond" w:cs="Garamond"/>
        </w:rPr>
        <w:t xml:space="preserve">models. For example, MassHealth could require – as a </w:t>
      </w:r>
      <w:r>
        <w:rPr>
          <w:rFonts w:ascii="Garamond" w:hAnsi="Garamond" w:cs="Garamond"/>
          <w:spacing w:val="-3"/>
        </w:rPr>
        <w:t xml:space="preserve">condition </w:t>
      </w:r>
      <w:r>
        <w:rPr>
          <w:rFonts w:ascii="Garamond" w:hAnsi="Garamond" w:cs="Garamond"/>
        </w:rPr>
        <w:t xml:space="preserve">of contract – that </w:t>
      </w:r>
      <w:r>
        <w:rPr>
          <w:rFonts w:ascii="Garamond" w:hAnsi="Garamond" w:cs="Garamond"/>
          <w:spacing w:val="-3"/>
        </w:rPr>
        <w:t xml:space="preserve">ACOs </w:t>
      </w:r>
      <w:r>
        <w:rPr>
          <w:rFonts w:ascii="Garamond" w:hAnsi="Garamond" w:cs="Garamond"/>
        </w:rPr>
        <w:t>demonstrate how they will integrate CHWs into interdisciplinary teams for high-risk/high need patients.</w:t>
      </w:r>
    </w:p>
    <w:p w:rsidR="002C5025" w:rsidRDefault="002C5025">
      <w:pPr>
        <w:pStyle w:val="BodyText"/>
        <w:kinsoku w:val="0"/>
        <w:overflowPunct w:val="0"/>
        <w:spacing w:before="2"/>
        <w:rPr>
          <w:rFonts w:ascii="Garamond" w:hAnsi="Garamond" w:cs="Garamond"/>
          <w:sz w:val="21"/>
          <w:szCs w:val="21"/>
        </w:rPr>
      </w:pPr>
    </w:p>
    <w:p w:rsidR="002C5025" w:rsidRDefault="002C5025">
      <w:pPr>
        <w:pStyle w:val="BodyText"/>
        <w:kinsoku w:val="0"/>
        <w:overflowPunct w:val="0"/>
        <w:spacing w:line="264" w:lineRule="exact"/>
        <w:ind w:left="120" w:right="241"/>
        <w:rPr>
          <w:rFonts w:ascii="Garamond" w:hAnsi="Garamond" w:cs="Garamond"/>
          <w:b/>
          <w:bCs/>
          <w:i/>
          <w:iCs/>
          <w:w w:val="90"/>
          <w:sz w:val="24"/>
          <w:szCs w:val="24"/>
        </w:rPr>
      </w:pPr>
      <w:bookmarkStart w:id="156" w:name="Workforce_development_and_training"/>
      <w:bookmarkEnd w:id="156"/>
      <w:r>
        <w:rPr>
          <w:rFonts w:ascii="Garamond" w:hAnsi="Garamond" w:cs="Garamond"/>
          <w:b/>
          <w:bCs/>
          <w:i/>
          <w:iCs/>
          <w:w w:val="90"/>
          <w:sz w:val="24"/>
          <w:szCs w:val="24"/>
        </w:rPr>
        <w:t>Workforce development and training</w:t>
      </w:r>
    </w:p>
    <w:p w:rsidR="002C5025" w:rsidRDefault="002C5025">
      <w:pPr>
        <w:pStyle w:val="BodyText"/>
        <w:kinsoku w:val="0"/>
        <w:overflowPunct w:val="0"/>
        <w:ind w:left="119" w:right="94"/>
        <w:rPr>
          <w:rFonts w:ascii="Garamond" w:hAnsi="Garamond" w:cs="Garamond"/>
        </w:rPr>
      </w:pPr>
      <w:r>
        <w:rPr>
          <w:rFonts w:ascii="Garamond" w:hAnsi="Garamond" w:cs="Garamond"/>
        </w:rPr>
        <w:t>We</w:t>
      </w:r>
      <w:r>
        <w:rPr>
          <w:rFonts w:ascii="Garamond" w:hAnsi="Garamond" w:cs="Garamond"/>
          <w:spacing w:val="-9"/>
        </w:rPr>
        <w:t xml:space="preserve"> </w:t>
      </w:r>
      <w:r>
        <w:rPr>
          <w:rFonts w:ascii="Garamond" w:hAnsi="Garamond" w:cs="Garamond"/>
        </w:rPr>
        <w:t>support</w:t>
      </w:r>
      <w:r>
        <w:rPr>
          <w:rFonts w:ascii="Garamond" w:hAnsi="Garamond" w:cs="Garamond"/>
          <w:spacing w:val="-8"/>
        </w:rPr>
        <w:t xml:space="preserve"> </w:t>
      </w:r>
      <w:r>
        <w:rPr>
          <w:rFonts w:ascii="Garamond" w:hAnsi="Garamond" w:cs="Garamond"/>
        </w:rPr>
        <w:t>MassHealth’s</w:t>
      </w:r>
      <w:r>
        <w:rPr>
          <w:rFonts w:ascii="Garamond" w:hAnsi="Garamond" w:cs="Garamond"/>
          <w:spacing w:val="-10"/>
        </w:rPr>
        <w:t xml:space="preserve"> </w:t>
      </w:r>
      <w:r>
        <w:rPr>
          <w:rFonts w:ascii="Garamond" w:hAnsi="Garamond" w:cs="Garamond"/>
        </w:rPr>
        <w:t>proposal</w:t>
      </w:r>
      <w:r>
        <w:rPr>
          <w:rFonts w:ascii="Garamond" w:hAnsi="Garamond" w:cs="Garamond"/>
          <w:spacing w:val="-9"/>
        </w:rPr>
        <w:t xml:space="preserve"> </w:t>
      </w:r>
      <w:r>
        <w:rPr>
          <w:rFonts w:ascii="Garamond" w:hAnsi="Garamond" w:cs="Garamond"/>
        </w:rPr>
        <w:t>to</w:t>
      </w:r>
      <w:r>
        <w:rPr>
          <w:rFonts w:ascii="Garamond" w:hAnsi="Garamond" w:cs="Garamond"/>
          <w:spacing w:val="-9"/>
        </w:rPr>
        <w:t xml:space="preserve"> </w:t>
      </w:r>
      <w:r>
        <w:rPr>
          <w:rFonts w:ascii="Garamond" w:hAnsi="Garamond" w:cs="Garamond"/>
        </w:rPr>
        <w:t>use</w:t>
      </w:r>
      <w:r>
        <w:rPr>
          <w:rFonts w:ascii="Garamond" w:hAnsi="Garamond" w:cs="Garamond"/>
          <w:spacing w:val="-9"/>
        </w:rPr>
        <w:t xml:space="preserve"> </w:t>
      </w:r>
      <w:r>
        <w:rPr>
          <w:rFonts w:ascii="Garamond" w:hAnsi="Garamond" w:cs="Garamond"/>
        </w:rPr>
        <w:t>a</w:t>
      </w:r>
      <w:r>
        <w:rPr>
          <w:rFonts w:ascii="Garamond" w:hAnsi="Garamond" w:cs="Garamond"/>
          <w:spacing w:val="-10"/>
        </w:rPr>
        <w:t xml:space="preserve"> </w:t>
      </w:r>
      <w:r>
        <w:rPr>
          <w:rFonts w:ascii="Garamond" w:hAnsi="Garamond" w:cs="Garamond"/>
        </w:rPr>
        <w:t>portion</w:t>
      </w:r>
      <w:r>
        <w:rPr>
          <w:rFonts w:ascii="Garamond" w:hAnsi="Garamond" w:cs="Garamond"/>
          <w:spacing w:val="-6"/>
        </w:rPr>
        <w:t xml:space="preserve"> </w:t>
      </w:r>
      <w:r>
        <w:rPr>
          <w:rFonts w:ascii="Garamond" w:hAnsi="Garamond" w:cs="Garamond"/>
        </w:rPr>
        <w:t>of</w:t>
      </w:r>
      <w:r>
        <w:rPr>
          <w:rFonts w:ascii="Garamond" w:hAnsi="Garamond" w:cs="Garamond"/>
          <w:spacing w:val="-10"/>
        </w:rPr>
        <w:t xml:space="preserve"> </w:t>
      </w:r>
      <w:r>
        <w:rPr>
          <w:rFonts w:ascii="Garamond" w:hAnsi="Garamond" w:cs="Garamond"/>
        </w:rPr>
        <w:t>DSRIP</w:t>
      </w:r>
      <w:r>
        <w:rPr>
          <w:rFonts w:ascii="Garamond" w:hAnsi="Garamond" w:cs="Garamond"/>
          <w:spacing w:val="-8"/>
        </w:rPr>
        <w:t xml:space="preserve"> </w:t>
      </w:r>
      <w:r>
        <w:rPr>
          <w:rFonts w:ascii="Garamond" w:hAnsi="Garamond" w:cs="Garamond"/>
        </w:rPr>
        <w:t>for</w:t>
      </w:r>
      <w:r>
        <w:rPr>
          <w:rFonts w:ascii="Garamond" w:hAnsi="Garamond" w:cs="Garamond"/>
          <w:spacing w:val="-10"/>
        </w:rPr>
        <w:t xml:space="preserve"> </w:t>
      </w:r>
      <w:r>
        <w:rPr>
          <w:rFonts w:ascii="Garamond" w:hAnsi="Garamond" w:cs="Garamond"/>
        </w:rPr>
        <w:t>statewide</w:t>
      </w:r>
      <w:r>
        <w:rPr>
          <w:rFonts w:ascii="Garamond" w:hAnsi="Garamond" w:cs="Garamond"/>
          <w:spacing w:val="-9"/>
        </w:rPr>
        <w:t xml:space="preserve"> </w:t>
      </w:r>
      <w:r>
        <w:rPr>
          <w:rFonts w:ascii="Garamond" w:hAnsi="Garamond" w:cs="Garamond"/>
        </w:rPr>
        <w:t>investments,</w:t>
      </w:r>
      <w:r>
        <w:rPr>
          <w:rFonts w:ascii="Garamond" w:hAnsi="Garamond" w:cs="Garamond"/>
          <w:spacing w:val="-11"/>
        </w:rPr>
        <w:t xml:space="preserve"> </w:t>
      </w:r>
      <w:r>
        <w:rPr>
          <w:rFonts w:ascii="Garamond" w:hAnsi="Garamond" w:cs="Garamond"/>
        </w:rPr>
        <w:t>such</w:t>
      </w:r>
      <w:r>
        <w:rPr>
          <w:rFonts w:ascii="Garamond" w:hAnsi="Garamond" w:cs="Garamond"/>
          <w:spacing w:val="-9"/>
        </w:rPr>
        <w:t xml:space="preserve"> </w:t>
      </w:r>
      <w:r>
        <w:rPr>
          <w:rFonts w:ascii="Garamond" w:hAnsi="Garamond" w:cs="Garamond"/>
        </w:rPr>
        <w:t>as</w:t>
      </w:r>
      <w:r>
        <w:rPr>
          <w:rFonts w:ascii="Garamond" w:hAnsi="Garamond" w:cs="Garamond"/>
          <w:spacing w:val="-5"/>
        </w:rPr>
        <w:t xml:space="preserve"> </w:t>
      </w:r>
      <w:r>
        <w:rPr>
          <w:rFonts w:ascii="Garamond" w:hAnsi="Garamond" w:cs="Garamond"/>
        </w:rPr>
        <w:t>a</w:t>
      </w:r>
      <w:r>
        <w:rPr>
          <w:rFonts w:ascii="Garamond" w:hAnsi="Garamond" w:cs="Garamond"/>
          <w:spacing w:val="-7"/>
        </w:rPr>
        <w:t xml:space="preserve"> </w:t>
      </w:r>
      <w:r>
        <w:rPr>
          <w:rFonts w:ascii="Garamond" w:hAnsi="Garamond" w:cs="Garamond"/>
        </w:rPr>
        <w:t xml:space="preserve">workforce development grant program that includes training </w:t>
      </w:r>
      <w:r>
        <w:rPr>
          <w:rFonts w:ascii="Garamond" w:hAnsi="Garamond" w:cs="Garamond"/>
          <w:spacing w:val="-3"/>
        </w:rPr>
        <w:t xml:space="preserve">and </w:t>
      </w:r>
      <w:r>
        <w:rPr>
          <w:rFonts w:ascii="Garamond" w:hAnsi="Garamond" w:cs="Garamond"/>
        </w:rPr>
        <w:t xml:space="preserve">support materials to promote best practices for equitable, culturally </w:t>
      </w:r>
      <w:r>
        <w:rPr>
          <w:rFonts w:ascii="Garamond" w:hAnsi="Garamond" w:cs="Garamond"/>
          <w:spacing w:val="-3"/>
        </w:rPr>
        <w:t xml:space="preserve">competent </w:t>
      </w:r>
      <w:r>
        <w:rPr>
          <w:rFonts w:ascii="Garamond" w:hAnsi="Garamond" w:cs="Garamond"/>
        </w:rPr>
        <w:t xml:space="preserve">care for LGBTQ members, for individuals with physical, intellectual, </w:t>
      </w:r>
      <w:r>
        <w:rPr>
          <w:rFonts w:ascii="Garamond" w:hAnsi="Garamond" w:cs="Garamond"/>
          <w:spacing w:val="-3"/>
        </w:rPr>
        <w:t xml:space="preserve">and </w:t>
      </w:r>
      <w:r>
        <w:rPr>
          <w:rFonts w:ascii="Garamond" w:hAnsi="Garamond" w:cs="Garamond"/>
        </w:rPr>
        <w:t>development</w:t>
      </w:r>
      <w:r>
        <w:rPr>
          <w:rFonts w:ascii="Garamond" w:hAnsi="Garamond" w:cs="Garamond"/>
          <w:spacing w:val="-9"/>
        </w:rPr>
        <w:t xml:space="preserve"> </w:t>
      </w:r>
      <w:r>
        <w:rPr>
          <w:rFonts w:ascii="Garamond" w:hAnsi="Garamond" w:cs="Garamond"/>
        </w:rPr>
        <w:t>disabilities,</w:t>
      </w:r>
      <w:r>
        <w:rPr>
          <w:rFonts w:ascii="Garamond" w:hAnsi="Garamond" w:cs="Garamond"/>
          <w:spacing w:val="-9"/>
        </w:rPr>
        <w:t xml:space="preserve"> </w:t>
      </w:r>
      <w:r>
        <w:rPr>
          <w:rFonts w:ascii="Garamond" w:hAnsi="Garamond" w:cs="Garamond"/>
        </w:rPr>
        <w:t>as</w:t>
      </w:r>
      <w:r>
        <w:rPr>
          <w:rFonts w:ascii="Garamond" w:hAnsi="Garamond" w:cs="Garamond"/>
          <w:spacing w:val="-14"/>
        </w:rPr>
        <w:t xml:space="preserve"> </w:t>
      </w:r>
      <w:r>
        <w:rPr>
          <w:rFonts w:ascii="Garamond" w:hAnsi="Garamond" w:cs="Garamond"/>
        </w:rPr>
        <w:t>well</w:t>
      </w:r>
      <w:r>
        <w:rPr>
          <w:rFonts w:ascii="Garamond" w:hAnsi="Garamond" w:cs="Garamond"/>
          <w:spacing w:val="-11"/>
        </w:rPr>
        <w:t xml:space="preserve"> </w:t>
      </w:r>
      <w:r>
        <w:rPr>
          <w:rFonts w:ascii="Garamond" w:hAnsi="Garamond" w:cs="Garamond"/>
        </w:rPr>
        <w:t>as</w:t>
      </w:r>
      <w:r>
        <w:rPr>
          <w:rFonts w:ascii="Garamond" w:hAnsi="Garamond" w:cs="Garamond"/>
          <w:spacing w:val="-8"/>
        </w:rPr>
        <w:t xml:space="preserve"> </w:t>
      </w:r>
      <w:r>
        <w:rPr>
          <w:rFonts w:ascii="Garamond" w:hAnsi="Garamond" w:cs="Garamond"/>
        </w:rPr>
        <w:t>for</w:t>
      </w:r>
      <w:r>
        <w:rPr>
          <w:rFonts w:ascii="Garamond" w:hAnsi="Garamond" w:cs="Garamond"/>
          <w:spacing w:val="-10"/>
        </w:rPr>
        <w:t xml:space="preserve"> </w:t>
      </w:r>
      <w:r>
        <w:rPr>
          <w:rFonts w:ascii="Garamond" w:hAnsi="Garamond" w:cs="Garamond"/>
        </w:rPr>
        <w:t>members</w:t>
      </w:r>
      <w:r>
        <w:rPr>
          <w:rFonts w:ascii="Garamond" w:hAnsi="Garamond" w:cs="Garamond"/>
          <w:spacing w:val="-8"/>
        </w:rPr>
        <w:t xml:space="preserve"> </w:t>
      </w:r>
      <w:r>
        <w:rPr>
          <w:rFonts w:ascii="Garamond" w:hAnsi="Garamond" w:cs="Garamond"/>
        </w:rPr>
        <w:t>with</w:t>
      </w:r>
      <w:r>
        <w:rPr>
          <w:rFonts w:ascii="Garamond" w:hAnsi="Garamond" w:cs="Garamond"/>
          <w:spacing w:val="-10"/>
        </w:rPr>
        <w:t xml:space="preserve"> </w:t>
      </w:r>
      <w:r>
        <w:rPr>
          <w:rFonts w:ascii="Garamond" w:hAnsi="Garamond" w:cs="Garamond"/>
        </w:rPr>
        <w:t>behavioral</w:t>
      </w:r>
      <w:r>
        <w:rPr>
          <w:rFonts w:ascii="Garamond" w:hAnsi="Garamond" w:cs="Garamond"/>
          <w:spacing w:val="-9"/>
        </w:rPr>
        <w:t xml:space="preserve"> </w:t>
      </w:r>
      <w:r>
        <w:rPr>
          <w:rFonts w:ascii="Garamond" w:hAnsi="Garamond" w:cs="Garamond"/>
        </w:rPr>
        <w:t>health</w:t>
      </w:r>
      <w:r>
        <w:rPr>
          <w:rFonts w:ascii="Garamond" w:hAnsi="Garamond" w:cs="Garamond"/>
          <w:spacing w:val="-9"/>
        </w:rPr>
        <w:t xml:space="preserve"> </w:t>
      </w:r>
      <w:r>
        <w:rPr>
          <w:rFonts w:ascii="Garamond" w:hAnsi="Garamond" w:cs="Garamond"/>
        </w:rPr>
        <w:t>needs</w:t>
      </w:r>
      <w:r>
        <w:rPr>
          <w:rFonts w:ascii="Garamond" w:hAnsi="Garamond" w:cs="Garamond"/>
          <w:spacing w:val="-12"/>
        </w:rPr>
        <w:t xml:space="preserve"> </w:t>
      </w:r>
      <w:r>
        <w:rPr>
          <w:rFonts w:ascii="Garamond" w:hAnsi="Garamond" w:cs="Garamond"/>
        </w:rPr>
        <w:t>(50).</w:t>
      </w:r>
    </w:p>
    <w:p w:rsidR="002C5025" w:rsidRDefault="002C5025">
      <w:pPr>
        <w:pStyle w:val="BodyText"/>
        <w:kinsoku w:val="0"/>
        <w:overflowPunct w:val="0"/>
        <w:spacing w:before="10"/>
        <w:rPr>
          <w:rFonts w:ascii="Garamond" w:hAnsi="Garamond" w:cs="Garamond"/>
          <w:sz w:val="21"/>
          <w:szCs w:val="21"/>
        </w:rPr>
      </w:pPr>
    </w:p>
    <w:p w:rsidR="002C5025" w:rsidRDefault="002C5025">
      <w:pPr>
        <w:pStyle w:val="BodyText"/>
        <w:kinsoku w:val="0"/>
        <w:overflowPunct w:val="0"/>
        <w:ind w:left="119" w:right="190"/>
        <w:rPr>
          <w:rFonts w:ascii="Garamond" w:hAnsi="Garamond" w:cs="Garamond"/>
        </w:rPr>
      </w:pPr>
      <w:r>
        <w:rPr>
          <w:rFonts w:ascii="Garamond" w:hAnsi="Garamond" w:cs="Garamond"/>
        </w:rPr>
        <w:t xml:space="preserve">Further, MassHealth must require ACOs to train their providers on cultural </w:t>
      </w:r>
      <w:r>
        <w:rPr>
          <w:rFonts w:ascii="Garamond" w:hAnsi="Garamond" w:cs="Garamond"/>
          <w:spacing w:val="-3"/>
        </w:rPr>
        <w:t xml:space="preserve">competence </w:t>
      </w:r>
      <w:r>
        <w:rPr>
          <w:rFonts w:ascii="Garamond" w:hAnsi="Garamond" w:cs="Garamond"/>
        </w:rPr>
        <w:t xml:space="preserve">and make efforts to reduce implicit </w:t>
      </w:r>
      <w:r>
        <w:rPr>
          <w:rFonts w:ascii="Garamond" w:hAnsi="Garamond" w:cs="Garamond"/>
          <w:spacing w:val="-3"/>
        </w:rPr>
        <w:t xml:space="preserve">bias </w:t>
      </w:r>
      <w:r>
        <w:rPr>
          <w:rFonts w:ascii="Garamond" w:hAnsi="Garamond" w:cs="Garamond"/>
        </w:rPr>
        <w:t xml:space="preserve">among caregivers. At a minimum, </w:t>
      </w:r>
      <w:r>
        <w:rPr>
          <w:rFonts w:ascii="Garamond" w:hAnsi="Garamond" w:cs="Garamond"/>
          <w:spacing w:val="-3"/>
        </w:rPr>
        <w:t xml:space="preserve">ACOs </w:t>
      </w:r>
      <w:r>
        <w:rPr>
          <w:rFonts w:ascii="Garamond" w:hAnsi="Garamond" w:cs="Garamond"/>
        </w:rPr>
        <w:t xml:space="preserve">should be required to </w:t>
      </w:r>
      <w:r>
        <w:rPr>
          <w:rFonts w:ascii="Garamond" w:hAnsi="Garamond" w:cs="Garamond"/>
          <w:spacing w:val="-3"/>
        </w:rPr>
        <w:t xml:space="preserve">comply </w:t>
      </w:r>
      <w:r>
        <w:rPr>
          <w:rFonts w:ascii="Garamond" w:hAnsi="Garamond" w:cs="Garamond"/>
        </w:rPr>
        <w:t xml:space="preserve">with </w:t>
      </w:r>
      <w:r>
        <w:rPr>
          <w:rFonts w:ascii="Garamond" w:hAnsi="Garamond" w:cs="Garamond"/>
          <w:spacing w:val="-3"/>
        </w:rPr>
        <w:t xml:space="preserve">the </w:t>
      </w:r>
      <w:r>
        <w:rPr>
          <w:rFonts w:ascii="Garamond" w:hAnsi="Garamond" w:cs="Garamond"/>
        </w:rPr>
        <w:t xml:space="preserve">Culturally and Linguistically Appropriate Services (CLAS) standards issued by the </w:t>
      </w:r>
      <w:r>
        <w:rPr>
          <w:rFonts w:ascii="Garamond" w:hAnsi="Garamond" w:cs="Garamond"/>
          <w:spacing w:val="-4"/>
        </w:rPr>
        <w:t xml:space="preserve">HHS </w:t>
      </w:r>
      <w:r>
        <w:rPr>
          <w:rFonts w:ascii="Garamond" w:hAnsi="Garamond" w:cs="Garamond"/>
        </w:rPr>
        <w:t xml:space="preserve">Office of Minority Health. The purpose of the CLAS standards is to ensure that all people entering the health care system receive equitable and effective care in a culturally </w:t>
      </w:r>
      <w:r>
        <w:rPr>
          <w:rFonts w:ascii="Garamond" w:hAnsi="Garamond" w:cs="Garamond"/>
          <w:spacing w:val="-3"/>
        </w:rPr>
        <w:t xml:space="preserve">and </w:t>
      </w:r>
      <w:r>
        <w:rPr>
          <w:rFonts w:ascii="Garamond" w:hAnsi="Garamond" w:cs="Garamond"/>
        </w:rPr>
        <w:t>linguistically appropriate manner. The standards are</w:t>
      </w:r>
    </w:p>
    <w:p w:rsidR="002C5025" w:rsidRDefault="00FB027C">
      <w:pPr>
        <w:pStyle w:val="BodyText"/>
        <w:kinsoku w:val="0"/>
        <w:overflowPunct w:val="0"/>
        <w:spacing w:before="5"/>
        <w:rPr>
          <w:rFonts w:ascii="Garamond" w:hAnsi="Garamond" w:cs="Garamond"/>
          <w:sz w:val="23"/>
          <w:szCs w:val="23"/>
        </w:rPr>
      </w:pPr>
      <w:r>
        <w:rPr>
          <w:noProof/>
        </w:rPr>
        <mc:AlternateContent>
          <mc:Choice Requires="wps">
            <w:drawing>
              <wp:anchor distT="0" distB="0" distL="0" distR="0" simplePos="0" relativeHeight="251658752" behindDoc="0" locked="0" layoutInCell="0" allowOverlap="1">
                <wp:simplePos x="0" y="0"/>
                <wp:positionH relativeFrom="page">
                  <wp:posOffset>923925</wp:posOffset>
                </wp:positionH>
                <wp:positionV relativeFrom="paragraph">
                  <wp:posOffset>198120</wp:posOffset>
                </wp:positionV>
                <wp:extent cx="1829435" cy="12700"/>
                <wp:effectExtent l="0" t="0" r="0" b="0"/>
                <wp:wrapTopAndBottom/>
                <wp:docPr id="560" name="Freeform 4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1 w 2881"/>
                            <a:gd name="T3" fmla="*/ 0 h 20"/>
                          </a:gdLst>
                          <a:ahLst/>
                          <a:cxnLst>
                            <a:cxn ang="0">
                              <a:pos x="T0" y="T1"/>
                            </a:cxn>
                            <a:cxn ang="0">
                              <a:pos x="T2" y="T3"/>
                            </a:cxn>
                          </a:cxnLst>
                          <a:rect l="0" t="0" r="r" b="b"/>
                          <a:pathLst>
                            <a:path w="2881" h="20">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65" o:spid="_x0000_s1026" style="position:absolute;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2.75pt,15.6pt,216.8pt,15.6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" o:allowincell="f" filled="f" strokeweight=".82pt">
                <v:path arrowok="t" o:connecttype="custom" o:connectlocs="0,0;1829435,0" o:connectangles="0,0"/>
                <w10:wrap type="topAndBottom" anchorx="page"/>
              </v:polyline>
            </w:pict>
          </mc:Fallback>
        </mc:AlternateContent>
      </w:r>
    </w:p>
    <w:p w:rsidR="002C5025" w:rsidRDefault="002C5025">
      <w:pPr>
        <w:pStyle w:val="BodyText"/>
        <w:kinsoku w:val="0"/>
        <w:overflowPunct w:val="0"/>
        <w:spacing w:before="70"/>
        <w:ind w:left="120" w:right="187"/>
        <w:rPr>
          <w:rFonts w:ascii="Garamond" w:hAnsi="Garamond" w:cs="Garamond"/>
          <w:color w:val="0000FF"/>
          <w:sz w:val="20"/>
          <w:szCs w:val="20"/>
        </w:rPr>
      </w:pPr>
      <w:r>
        <w:rPr>
          <w:rFonts w:ascii="Garamond" w:hAnsi="Garamond" w:cs="Garamond"/>
          <w:position w:val="5"/>
          <w:sz w:val="13"/>
          <w:szCs w:val="13"/>
        </w:rPr>
        <w:t xml:space="preserve">17 </w:t>
      </w:r>
      <w:r>
        <w:rPr>
          <w:rFonts w:ascii="Garamond" w:hAnsi="Garamond" w:cs="Garamond"/>
          <w:sz w:val="20"/>
          <w:szCs w:val="20"/>
        </w:rPr>
        <w:t>Massachusetts Department of Public Health, “Achieving the Triple Aim: Success with Community Health Workers,” May</w:t>
      </w:r>
      <w:r>
        <w:rPr>
          <w:rFonts w:ascii="Garamond" w:hAnsi="Garamond" w:cs="Garamond"/>
          <w:spacing w:val="-32"/>
          <w:sz w:val="20"/>
          <w:szCs w:val="20"/>
        </w:rPr>
        <w:t xml:space="preserve"> </w:t>
      </w:r>
      <w:r>
        <w:rPr>
          <w:rFonts w:ascii="Garamond" w:hAnsi="Garamond" w:cs="Garamond"/>
          <w:sz w:val="20"/>
          <w:szCs w:val="20"/>
        </w:rPr>
        <w:t>2015.</w:t>
      </w:r>
      <w:r>
        <w:rPr>
          <w:rFonts w:ascii="Garamond" w:hAnsi="Garamond" w:cs="Garamond"/>
          <w:spacing w:val="-33"/>
          <w:sz w:val="20"/>
          <w:szCs w:val="20"/>
        </w:rPr>
        <w:t xml:space="preserve"> </w:t>
      </w:r>
      <w:r>
        <w:rPr>
          <w:rFonts w:ascii="Garamond" w:hAnsi="Garamond" w:cs="Garamond"/>
          <w:sz w:val="20"/>
          <w:szCs w:val="20"/>
        </w:rPr>
        <w:t>Available</w:t>
      </w:r>
      <w:r>
        <w:rPr>
          <w:rFonts w:ascii="Garamond" w:hAnsi="Garamond" w:cs="Garamond"/>
          <w:spacing w:val="-32"/>
          <w:sz w:val="20"/>
          <w:szCs w:val="20"/>
        </w:rPr>
        <w:t xml:space="preserve"> </w:t>
      </w:r>
      <w:r>
        <w:rPr>
          <w:rFonts w:ascii="Garamond" w:hAnsi="Garamond" w:cs="Garamond"/>
          <w:sz w:val="20"/>
          <w:szCs w:val="20"/>
        </w:rPr>
        <w:t>at:</w:t>
      </w:r>
      <w:r>
        <w:rPr>
          <w:rFonts w:ascii="Garamond" w:hAnsi="Garamond" w:cs="Garamond"/>
          <w:spacing w:val="-33"/>
          <w:sz w:val="20"/>
          <w:szCs w:val="20"/>
        </w:rPr>
        <w:t xml:space="preserve"> </w:t>
      </w:r>
      <w:hyperlink r:id="rId319" w:history="1">
        <w:r>
          <w:rPr>
            <w:rFonts w:ascii="Garamond" w:hAnsi="Garamond" w:cs="Garamond"/>
            <w:color w:val="0000FF"/>
            <w:sz w:val="20"/>
            <w:szCs w:val="20"/>
            <w:u w:val="single"/>
          </w:rPr>
          <w:t>http://www.mass.gov/eohhs/gov/departments/dph/programs/community-health/prevention-</w:t>
        </w:r>
      </w:hyperlink>
      <w:r>
        <w:rPr>
          <w:rFonts w:ascii="Garamond" w:hAnsi="Garamond" w:cs="Garamond"/>
          <w:color w:val="0000FF"/>
          <w:sz w:val="20"/>
          <w:szCs w:val="20"/>
          <w:u w:val="single"/>
        </w:rPr>
        <w:t xml:space="preserve"> </w:t>
      </w:r>
      <w:hyperlink r:id="rId320" w:history="1">
        <w:r>
          <w:rPr>
            <w:rFonts w:ascii="Garamond" w:hAnsi="Garamond" w:cs="Garamond"/>
            <w:color w:val="0000FF"/>
            <w:sz w:val="20"/>
            <w:szCs w:val="20"/>
            <w:u w:val="single"/>
          </w:rPr>
          <w:t>and-wellness/</w:t>
        </w:r>
        <w:proofErr w:type="spellStart"/>
        <w:r>
          <w:rPr>
            <w:rFonts w:ascii="Garamond" w:hAnsi="Garamond" w:cs="Garamond"/>
            <w:color w:val="0000FF"/>
            <w:sz w:val="20"/>
            <w:szCs w:val="20"/>
            <w:u w:val="single"/>
          </w:rPr>
          <w:t>comm</w:t>
        </w:r>
        <w:proofErr w:type="spellEnd"/>
        <w:r>
          <w:rPr>
            <w:rFonts w:ascii="Garamond" w:hAnsi="Garamond" w:cs="Garamond"/>
            <w:color w:val="0000FF"/>
            <w:sz w:val="20"/>
            <w:szCs w:val="20"/>
            <w:u w:val="single"/>
          </w:rPr>
          <w:t>-health-</w:t>
        </w:r>
        <w:proofErr w:type="spellStart"/>
        <w:r>
          <w:rPr>
            <w:rFonts w:ascii="Garamond" w:hAnsi="Garamond" w:cs="Garamond"/>
            <w:color w:val="0000FF"/>
            <w:sz w:val="20"/>
            <w:szCs w:val="20"/>
            <w:u w:val="single"/>
          </w:rPr>
          <w:t>wkrs</w:t>
        </w:r>
        <w:proofErr w:type="spellEnd"/>
        <w:r>
          <w:rPr>
            <w:rFonts w:ascii="Garamond" w:hAnsi="Garamond" w:cs="Garamond"/>
            <w:color w:val="0000FF"/>
            <w:sz w:val="20"/>
            <w:szCs w:val="20"/>
            <w:u w:val="single"/>
          </w:rPr>
          <w:t>/</w:t>
        </w:r>
        <w:r>
          <w:rPr>
            <w:rFonts w:ascii="Garamond" w:hAnsi="Garamond" w:cs="Garamond"/>
            <w:color w:val="000000"/>
            <w:sz w:val="20"/>
            <w:szCs w:val="20"/>
            <w:u w:val="single"/>
          </w:rPr>
          <w:t>.</w:t>
        </w:r>
      </w:hyperlink>
    </w:p>
    <w:p w:rsidR="002C5025" w:rsidRDefault="002C5025">
      <w:pPr>
        <w:pStyle w:val="BodyText"/>
        <w:kinsoku w:val="0"/>
        <w:overflowPunct w:val="0"/>
        <w:rPr>
          <w:rFonts w:ascii="Garamond" w:hAnsi="Garamond" w:cs="Garamond"/>
          <w:sz w:val="20"/>
          <w:szCs w:val="20"/>
        </w:rPr>
      </w:pPr>
    </w:p>
    <w:p w:rsidR="002C5025" w:rsidRDefault="002C5025">
      <w:pPr>
        <w:pStyle w:val="BodyText"/>
        <w:kinsoku w:val="0"/>
        <w:overflowPunct w:val="0"/>
        <w:spacing w:before="4"/>
        <w:rPr>
          <w:rFonts w:ascii="Garamond" w:hAnsi="Garamond" w:cs="Garamond"/>
          <w:sz w:val="20"/>
          <w:szCs w:val="20"/>
        </w:rPr>
      </w:pPr>
    </w:p>
    <w:p w:rsidR="002C5025" w:rsidRDefault="002C5025">
      <w:pPr>
        <w:pStyle w:val="BodyText"/>
        <w:kinsoku w:val="0"/>
        <w:overflowPunct w:val="0"/>
        <w:ind w:left="62"/>
        <w:jc w:val="center"/>
        <w:rPr>
          <w:rFonts w:ascii="Garamond" w:hAnsi="Garamond" w:cs="Garamond"/>
          <w:w w:val="99"/>
          <w:sz w:val="20"/>
          <w:szCs w:val="20"/>
        </w:rPr>
      </w:pPr>
      <w:r>
        <w:rPr>
          <w:rFonts w:ascii="Garamond" w:hAnsi="Garamond" w:cs="Garamond"/>
          <w:w w:val="99"/>
          <w:sz w:val="20"/>
          <w:szCs w:val="20"/>
        </w:rPr>
        <w:t>8</w:t>
      </w:r>
    </w:p>
    <w:p w:rsidR="002C5025" w:rsidRDefault="002C5025">
      <w:pPr>
        <w:pStyle w:val="BodyText"/>
        <w:kinsoku w:val="0"/>
        <w:overflowPunct w:val="0"/>
        <w:ind w:left="62"/>
        <w:jc w:val="center"/>
        <w:rPr>
          <w:rFonts w:ascii="Garamond" w:hAnsi="Garamond" w:cs="Garamond"/>
          <w:w w:val="99"/>
          <w:sz w:val="20"/>
          <w:szCs w:val="20"/>
        </w:rPr>
        <w:sectPr w:rsidR="002C5025">
          <w:pgSz w:w="12240" w:h="15840"/>
          <w:pgMar w:top="1380" w:right="1380" w:bottom="280" w:left="1320" w:header="720" w:footer="720" w:gutter="0"/>
          <w:cols w:space="720" w:equalWidth="0">
            <w:col w:w="9540"/>
          </w:cols>
          <w:noEndnote/>
        </w:sectPr>
      </w:pPr>
    </w:p>
    <w:p w:rsidR="002C5025" w:rsidRDefault="002C5025">
      <w:pPr>
        <w:pStyle w:val="BodyText"/>
        <w:kinsoku w:val="0"/>
        <w:overflowPunct w:val="0"/>
        <w:spacing w:before="60"/>
        <w:ind w:left="119" w:right="197"/>
        <w:rPr>
          <w:rFonts w:ascii="Garamond" w:hAnsi="Garamond" w:cs="Garamond"/>
        </w:rPr>
      </w:pPr>
      <w:r>
        <w:rPr>
          <w:rFonts w:ascii="Garamond" w:hAnsi="Garamond" w:cs="Garamond"/>
        </w:rPr>
        <w:lastRenderedPageBreak/>
        <w:t>meant</w:t>
      </w:r>
      <w:r>
        <w:rPr>
          <w:rFonts w:ascii="Garamond" w:hAnsi="Garamond" w:cs="Garamond"/>
          <w:spacing w:val="-8"/>
        </w:rPr>
        <w:t xml:space="preserve"> </w:t>
      </w:r>
      <w:r>
        <w:rPr>
          <w:rFonts w:ascii="Garamond" w:hAnsi="Garamond" w:cs="Garamond"/>
        </w:rPr>
        <w:t>to</w:t>
      </w:r>
      <w:r>
        <w:rPr>
          <w:rFonts w:ascii="Garamond" w:hAnsi="Garamond" w:cs="Garamond"/>
          <w:spacing w:val="-6"/>
        </w:rPr>
        <w:t xml:space="preserve"> </w:t>
      </w:r>
      <w:r>
        <w:rPr>
          <w:rFonts w:ascii="Garamond" w:hAnsi="Garamond" w:cs="Garamond"/>
        </w:rPr>
        <w:t>be</w:t>
      </w:r>
      <w:r>
        <w:rPr>
          <w:rFonts w:ascii="Garamond" w:hAnsi="Garamond" w:cs="Garamond"/>
          <w:spacing w:val="-9"/>
        </w:rPr>
        <w:t xml:space="preserve"> </w:t>
      </w:r>
      <w:r>
        <w:rPr>
          <w:rFonts w:ascii="Garamond" w:hAnsi="Garamond" w:cs="Garamond"/>
        </w:rPr>
        <w:t>inclusive</w:t>
      </w:r>
      <w:r>
        <w:rPr>
          <w:rFonts w:ascii="Garamond" w:hAnsi="Garamond" w:cs="Garamond"/>
          <w:spacing w:val="-9"/>
        </w:rPr>
        <w:t xml:space="preserve"> </w:t>
      </w:r>
      <w:r>
        <w:rPr>
          <w:rFonts w:ascii="Garamond" w:hAnsi="Garamond" w:cs="Garamond"/>
        </w:rPr>
        <w:t>of</w:t>
      </w:r>
      <w:r>
        <w:rPr>
          <w:rFonts w:ascii="Garamond" w:hAnsi="Garamond" w:cs="Garamond"/>
          <w:spacing w:val="-8"/>
        </w:rPr>
        <w:t xml:space="preserve"> </w:t>
      </w:r>
      <w:r>
        <w:rPr>
          <w:rFonts w:ascii="Garamond" w:hAnsi="Garamond" w:cs="Garamond"/>
        </w:rPr>
        <w:t>all</w:t>
      </w:r>
      <w:r>
        <w:rPr>
          <w:rFonts w:ascii="Garamond" w:hAnsi="Garamond" w:cs="Garamond"/>
          <w:spacing w:val="-9"/>
        </w:rPr>
        <w:t xml:space="preserve"> </w:t>
      </w:r>
      <w:r>
        <w:rPr>
          <w:rFonts w:ascii="Garamond" w:hAnsi="Garamond" w:cs="Garamond"/>
        </w:rPr>
        <w:t>populations,</w:t>
      </w:r>
      <w:r>
        <w:rPr>
          <w:rFonts w:ascii="Garamond" w:hAnsi="Garamond" w:cs="Garamond"/>
          <w:spacing w:val="-9"/>
        </w:rPr>
        <w:t xml:space="preserve"> </w:t>
      </w:r>
      <w:r>
        <w:rPr>
          <w:rFonts w:ascii="Garamond" w:hAnsi="Garamond" w:cs="Garamond"/>
        </w:rPr>
        <w:t>but</w:t>
      </w:r>
      <w:r>
        <w:rPr>
          <w:rFonts w:ascii="Garamond" w:hAnsi="Garamond" w:cs="Garamond"/>
          <w:spacing w:val="-8"/>
        </w:rPr>
        <w:t xml:space="preserve"> </w:t>
      </w:r>
      <w:r>
        <w:rPr>
          <w:rFonts w:ascii="Garamond" w:hAnsi="Garamond" w:cs="Garamond"/>
        </w:rPr>
        <w:t>are</w:t>
      </w:r>
      <w:r>
        <w:rPr>
          <w:rFonts w:ascii="Garamond" w:hAnsi="Garamond" w:cs="Garamond"/>
          <w:spacing w:val="-12"/>
        </w:rPr>
        <w:t xml:space="preserve"> </w:t>
      </w:r>
      <w:r>
        <w:rPr>
          <w:rFonts w:ascii="Garamond" w:hAnsi="Garamond" w:cs="Garamond"/>
        </w:rPr>
        <w:t>specifically</w:t>
      </w:r>
      <w:r>
        <w:rPr>
          <w:rFonts w:ascii="Garamond" w:hAnsi="Garamond" w:cs="Garamond"/>
          <w:spacing w:val="-7"/>
        </w:rPr>
        <w:t xml:space="preserve"> </w:t>
      </w:r>
      <w:r>
        <w:rPr>
          <w:rFonts w:ascii="Garamond" w:hAnsi="Garamond" w:cs="Garamond"/>
        </w:rPr>
        <w:t>designed</w:t>
      </w:r>
      <w:r>
        <w:rPr>
          <w:rFonts w:ascii="Garamond" w:hAnsi="Garamond" w:cs="Garamond"/>
          <w:spacing w:val="-6"/>
        </w:rPr>
        <w:t xml:space="preserve"> </w:t>
      </w:r>
      <w:r>
        <w:rPr>
          <w:rFonts w:ascii="Garamond" w:hAnsi="Garamond" w:cs="Garamond"/>
        </w:rPr>
        <w:t>to</w:t>
      </w:r>
      <w:r>
        <w:rPr>
          <w:rFonts w:ascii="Garamond" w:hAnsi="Garamond" w:cs="Garamond"/>
          <w:spacing w:val="-9"/>
        </w:rPr>
        <w:t xml:space="preserve"> </w:t>
      </w:r>
      <w:r>
        <w:rPr>
          <w:rFonts w:ascii="Garamond" w:hAnsi="Garamond" w:cs="Garamond"/>
        </w:rPr>
        <w:t>meet</w:t>
      </w:r>
      <w:r>
        <w:rPr>
          <w:rFonts w:ascii="Garamond" w:hAnsi="Garamond" w:cs="Garamond"/>
          <w:spacing w:val="-11"/>
        </w:rPr>
        <w:t xml:space="preserve"> </w:t>
      </w:r>
      <w:r>
        <w:rPr>
          <w:rFonts w:ascii="Garamond" w:hAnsi="Garamond" w:cs="Garamond"/>
        </w:rPr>
        <w:t>the</w:t>
      </w:r>
      <w:r>
        <w:rPr>
          <w:rFonts w:ascii="Garamond" w:hAnsi="Garamond" w:cs="Garamond"/>
          <w:spacing w:val="-10"/>
        </w:rPr>
        <w:t xml:space="preserve"> </w:t>
      </w:r>
      <w:r>
        <w:rPr>
          <w:rFonts w:ascii="Garamond" w:hAnsi="Garamond" w:cs="Garamond"/>
        </w:rPr>
        <w:t>needs</w:t>
      </w:r>
      <w:r>
        <w:rPr>
          <w:rFonts w:ascii="Garamond" w:hAnsi="Garamond" w:cs="Garamond"/>
          <w:spacing w:val="-8"/>
        </w:rPr>
        <w:t xml:space="preserve"> </w:t>
      </w:r>
      <w:r>
        <w:rPr>
          <w:rFonts w:ascii="Garamond" w:hAnsi="Garamond" w:cs="Garamond"/>
        </w:rPr>
        <w:t>of</w:t>
      </w:r>
      <w:r>
        <w:rPr>
          <w:rFonts w:ascii="Garamond" w:hAnsi="Garamond" w:cs="Garamond"/>
          <w:spacing w:val="-8"/>
        </w:rPr>
        <w:t xml:space="preserve"> </w:t>
      </w:r>
      <w:r>
        <w:rPr>
          <w:rFonts w:ascii="Garamond" w:hAnsi="Garamond" w:cs="Garamond"/>
        </w:rPr>
        <w:t>racially,</w:t>
      </w:r>
      <w:r>
        <w:rPr>
          <w:rFonts w:ascii="Garamond" w:hAnsi="Garamond" w:cs="Garamond"/>
          <w:spacing w:val="-7"/>
        </w:rPr>
        <w:t xml:space="preserve"> </w:t>
      </w:r>
      <w:r>
        <w:rPr>
          <w:rFonts w:ascii="Garamond" w:hAnsi="Garamond" w:cs="Garamond"/>
        </w:rPr>
        <w:t>ethnically, and</w:t>
      </w:r>
      <w:r>
        <w:rPr>
          <w:rFonts w:ascii="Garamond" w:hAnsi="Garamond" w:cs="Garamond"/>
          <w:spacing w:val="-13"/>
        </w:rPr>
        <w:t xml:space="preserve"> </w:t>
      </w:r>
      <w:r>
        <w:rPr>
          <w:rFonts w:ascii="Garamond" w:hAnsi="Garamond" w:cs="Garamond"/>
        </w:rPr>
        <w:t>linguistically</w:t>
      </w:r>
      <w:r>
        <w:rPr>
          <w:rFonts w:ascii="Garamond" w:hAnsi="Garamond" w:cs="Garamond"/>
          <w:spacing w:val="-13"/>
        </w:rPr>
        <w:t xml:space="preserve"> </w:t>
      </w:r>
      <w:r>
        <w:rPr>
          <w:rFonts w:ascii="Garamond" w:hAnsi="Garamond" w:cs="Garamond"/>
        </w:rPr>
        <w:t>diverse</w:t>
      </w:r>
      <w:r>
        <w:rPr>
          <w:rFonts w:ascii="Garamond" w:hAnsi="Garamond" w:cs="Garamond"/>
          <w:spacing w:val="-13"/>
        </w:rPr>
        <w:t xml:space="preserve"> </w:t>
      </w:r>
      <w:r>
        <w:rPr>
          <w:rFonts w:ascii="Garamond" w:hAnsi="Garamond" w:cs="Garamond"/>
        </w:rPr>
        <w:t>populations</w:t>
      </w:r>
      <w:r>
        <w:rPr>
          <w:rFonts w:ascii="Garamond" w:hAnsi="Garamond" w:cs="Garamond"/>
          <w:spacing w:val="-11"/>
        </w:rPr>
        <w:t xml:space="preserve"> </w:t>
      </w:r>
      <w:r>
        <w:rPr>
          <w:rFonts w:ascii="Garamond" w:hAnsi="Garamond" w:cs="Garamond"/>
        </w:rPr>
        <w:t>that</w:t>
      </w:r>
      <w:r>
        <w:rPr>
          <w:rFonts w:ascii="Garamond" w:hAnsi="Garamond" w:cs="Garamond"/>
          <w:spacing w:val="-10"/>
        </w:rPr>
        <w:t xml:space="preserve"> </w:t>
      </w:r>
      <w:r>
        <w:rPr>
          <w:rFonts w:ascii="Garamond" w:hAnsi="Garamond" w:cs="Garamond"/>
        </w:rPr>
        <w:t>experience</w:t>
      </w:r>
      <w:r>
        <w:rPr>
          <w:rFonts w:ascii="Garamond" w:hAnsi="Garamond" w:cs="Garamond"/>
          <w:spacing w:val="-13"/>
        </w:rPr>
        <w:t xml:space="preserve"> </w:t>
      </w:r>
      <w:r>
        <w:rPr>
          <w:rFonts w:ascii="Garamond" w:hAnsi="Garamond" w:cs="Garamond"/>
        </w:rPr>
        <w:t>unequal</w:t>
      </w:r>
      <w:r>
        <w:rPr>
          <w:rFonts w:ascii="Garamond" w:hAnsi="Garamond" w:cs="Garamond"/>
          <w:spacing w:val="-11"/>
        </w:rPr>
        <w:t xml:space="preserve"> </w:t>
      </w:r>
      <w:r>
        <w:rPr>
          <w:rFonts w:ascii="Garamond" w:hAnsi="Garamond" w:cs="Garamond"/>
        </w:rPr>
        <w:t>access</w:t>
      </w:r>
      <w:r>
        <w:rPr>
          <w:rFonts w:ascii="Garamond" w:hAnsi="Garamond" w:cs="Garamond"/>
          <w:spacing w:val="-9"/>
        </w:rPr>
        <w:t xml:space="preserve"> </w:t>
      </w:r>
      <w:r>
        <w:rPr>
          <w:rFonts w:ascii="Garamond" w:hAnsi="Garamond" w:cs="Garamond"/>
        </w:rPr>
        <w:t>to</w:t>
      </w:r>
      <w:r>
        <w:rPr>
          <w:rFonts w:ascii="Garamond" w:hAnsi="Garamond" w:cs="Garamond"/>
          <w:spacing w:val="-10"/>
        </w:rPr>
        <w:t xml:space="preserve"> </w:t>
      </w:r>
      <w:r>
        <w:rPr>
          <w:rFonts w:ascii="Garamond" w:hAnsi="Garamond" w:cs="Garamond"/>
        </w:rPr>
        <w:t>health</w:t>
      </w:r>
      <w:r>
        <w:rPr>
          <w:rFonts w:ascii="Garamond" w:hAnsi="Garamond" w:cs="Garamond"/>
          <w:spacing w:val="-10"/>
        </w:rPr>
        <w:t xml:space="preserve"> </w:t>
      </w:r>
      <w:r>
        <w:rPr>
          <w:rFonts w:ascii="Garamond" w:hAnsi="Garamond" w:cs="Garamond"/>
        </w:rPr>
        <w:t>care</w:t>
      </w:r>
      <w:r>
        <w:rPr>
          <w:rFonts w:ascii="Garamond" w:hAnsi="Garamond" w:cs="Garamond"/>
          <w:spacing w:val="-15"/>
        </w:rPr>
        <w:t xml:space="preserve"> </w:t>
      </w:r>
      <w:r>
        <w:rPr>
          <w:rFonts w:ascii="Garamond" w:hAnsi="Garamond" w:cs="Garamond"/>
        </w:rPr>
        <w:t>services.</w:t>
      </w:r>
    </w:p>
    <w:p w:rsidR="002C5025" w:rsidRDefault="002C5025">
      <w:pPr>
        <w:pStyle w:val="BodyText"/>
        <w:kinsoku w:val="0"/>
        <w:overflowPunct w:val="0"/>
        <w:spacing w:before="2"/>
        <w:rPr>
          <w:rFonts w:ascii="Garamond" w:hAnsi="Garamond" w:cs="Garamond"/>
          <w:sz w:val="21"/>
          <w:szCs w:val="21"/>
        </w:rPr>
      </w:pPr>
    </w:p>
    <w:p w:rsidR="002C5025" w:rsidRDefault="002C5025">
      <w:pPr>
        <w:pStyle w:val="BodyText"/>
        <w:kinsoku w:val="0"/>
        <w:overflowPunct w:val="0"/>
        <w:spacing w:before="1" w:line="264" w:lineRule="exact"/>
        <w:ind w:left="120" w:right="197"/>
        <w:rPr>
          <w:rFonts w:ascii="Garamond" w:hAnsi="Garamond" w:cs="Garamond"/>
          <w:b/>
          <w:bCs/>
          <w:i/>
          <w:iCs/>
          <w:w w:val="90"/>
          <w:sz w:val="24"/>
          <w:szCs w:val="24"/>
        </w:rPr>
      </w:pPr>
      <w:bookmarkStart w:id="157" w:name="Addressing_community_needs"/>
      <w:bookmarkEnd w:id="157"/>
      <w:r>
        <w:rPr>
          <w:rFonts w:ascii="Garamond" w:hAnsi="Garamond" w:cs="Garamond"/>
          <w:b/>
          <w:bCs/>
          <w:i/>
          <w:iCs/>
          <w:w w:val="90"/>
          <w:sz w:val="24"/>
          <w:szCs w:val="24"/>
        </w:rPr>
        <w:t>Addressing community needs</w:t>
      </w:r>
    </w:p>
    <w:p w:rsidR="002C5025" w:rsidRDefault="002C5025">
      <w:pPr>
        <w:pStyle w:val="BodyText"/>
        <w:kinsoku w:val="0"/>
        <w:overflowPunct w:val="0"/>
        <w:ind w:left="118" w:right="72" w:firstLine="1"/>
        <w:rPr>
          <w:rFonts w:ascii="Garamond" w:hAnsi="Garamond" w:cs="Garamond"/>
        </w:rPr>
      </w:pPr>
      <w:r>
        <w:rPr>
          <w:rFonts w:ascii="Garamond" w:hAnsi="Garamond" w:cs="Garamond"/>
        </w:rPr>
        <w:t xml:space="preserve">Prevention </w:t>
      </w:r>
      <w:r>
        <w:rPr>
          <w:rFonts w:ascii="Garamond" w:hAnsi="Garamond" w:cs="Garamond"/>
          <w:spacing w:val="-3"/>
        </w:rPr>
        <w:t xml:space="preserve">and </w:t>
      </w:r>
      <w:r>
        <w:rPr>
          <w:rFonts w:ascii="Garamond" w:hAnsi="Garamond" w:cs="Garamond"/>
        </w:rPr>
        <w:t xml:space="preserve">public health are critical to lowering health costs and </w:t>
      </w:r>
      <w:r>
        <w:rPr>
          <w:rFonts w:ascii="Garamond" w:hAnsi="Garamond" w:cs="Garamond"/>
          <w:spacing w:val="-3"/>
        </w:rPr>
        <w:t xml:space="preserve">improving </w:t>
      </w:r>
      <w:r>
        <w:rPr>
          <w:rFonts w:ascii="Garamond" w:hAnsi="Garamond" w:cs="Garamond"/>
        </w:rPr>
        <w:t xml:space="preserve">quality. In addition to promoting community-clinical linkages, ACOs should </w:t>
      </w:r>
      <w:r>
        <w:rPr>
          <w:rFonts w:ascii="Garamond" w:hAnsi="Garamond" w:cs="Garamond"/>
          <w:spacing w:val="-3"/>
        </w:rPr>
        <w:t xml:space="preserve">look </w:t>
      </w:r>
      <w:r>
        <w:rPr>
          <w:rFonts w:ascii="Garamond" w:hAnsi="Garamond" w:cs="Garamond"/>
        </w:rPr>
        <w:t xml:space="preserve">beyond their members to address the </w:t>
      </w:r>
      <w:r>
        <w:rPr>
          <w:rFonts w:ascii="Garamond" w:hAnsi="Garamond" w:cs="Garamond"/>
          <w:spacing w:val="-3"/>
        </w:rPr>
        <w:t xml:space="preserve">public </w:t>
      </w:r>
      <w:r>
        <w:rPr>
          <w:rFonts w:ascii="Garamond" w:hAnsi="Garamond" w:cs="Garamond"/>
        </w:rPr>
        <w:t xml:space="preserve">health needs of the service area or community where the practice is located. By focusing on the underlying social determinants of health at the community-wide or </w:t>
      </w:r>
      <w:r>
        <w:rPr>
          <w:rFonts w:ascii="Garamond" w:hAnsi="Garamond" w:cs="Garamond"/>
          <w:spacing w:val="-4"/>
        </w:rPr>
        <w:t xml:space="preserve">geographic </w:t>
      </w:r>
      <w:r>
        <w:rPr>
          <w:rFonts w:ascii="Garamond" w:hAnsi="Garamond" w:cs="Garamond"/>
        </w:rPr>
        <w:t xml:space="preserve">level, </w:t>
      </w:r>
      <w:r>
        <w:rPr>
          <w:rFonts w:ascii="Garamond" w:hAnsi="Garamond" w:cs="Garamond"/>
          <w:spacing w:val="-3"/>
        </w:rPr>
        <w:t xml:space="preserve">ACOs </w:t>
      </w:r>
      <w:r>
        <w:rPr>
          <w:rFonts w:ascii="Garamond" w:hAnsi="Garamond" w:cs="Garamond"/>
        </w:rPr>
        <w:t xml:space="preserve">have an opportunity to work towards improving health </w:t>
      </w:r>
      <w:r>
        <w:rPr>
          <w:rFonts w:ascii="Garamond" w:hAnsi="Garamond" w:cs="Garamond"/>
          <w:spacing w:val="-3"/>
        </w:rPr>
        <w:t xml:space="preserve">outcomes </w:t>
      </w:r>
      <w:r>
        <w:rPr>
          <w:rFonts w:ascii="Garamond" w:hAnsi="Garamond" w:cs="Garamond"/>
        </w:rPr>
        <w:t xml:space="preserve">and advancing health equity. As part of this </w:t>
      </w:r>
      <w:r>
        <w:rPr>
          <w:rFonts w:ascii="Garamond" w:hAnsi="Garamond" w:cs="Garamond"/>
          <w:spacing w:val="-2"/>
        </w:rPr>
        <w:t xml:space="preserve">model, </w:t>
      </w:r>
      <w:r>
        <w:rPr>
          <w:rFonts w:ascii="Garamond" w:hAnsi="Garamond" w:cs="Garamond"/>
        </w:rPr>
        <w:t xml:space="preserve">ACOs </w:t>
      </w:r>
      <w:r>
        <w:rPr>
          <w:rFonts w:ascii="Garamond" w:hAnsi="Garamond" w:cs="Garamond"/>
          <w:spacing w:val="-3"/>
        </w:rPr>
        <w:t xml:space="preserve">should </w:t>
      </w:r>
      <w:r>
        <w:rPr>
          <w:rFonts w:ascii="Garamond" w:hAnsi="Garamond" w:cs="Garamond"/>
        </w:rPr>
        <w:t xml:space="preserve">collaborate with external partners </w:t>
      </w:r>
      <w:r>
        <w:rPr>
          <w:rFonts w:ascii="Garamond" w:hAnsi="Garamond" w:cs="Garamond"/>
          <w:spacing w:val="-3"/>
        </w:rPr>
        <w:t xml:space="preserve">and </w:t>
      </w:r>
      <w:r>
        <w:rPr>
          <w:rFonts w:ascii="Garamond" w:hAnsi="Garamond" w:cs="Garamond"/>
        </w:rPr>
        <w:t xml:space="preserve">community members to </w:t>
      </w:r>
      <w:r>
        <w:rPr>
          <w:rFonts w:ascii="Garamond" w:hAnsi="Garamond" w:cs="Garamond"/>
          <w:spacing w:val="-3"/>
        </w:rPr>
        <w:t xml:space="preserve">address </w:t>
      </w:r>
      <w:r>
        <w:rPr>
          <w:rFonts w:ascii="Garamond" w:hAnsi="Garamond" w:cs="Garamond"/>
        </w:rPr>
        <w:t xml:space="preserve">community-based drivers of </w:t>
      </w:r>
      <w:r>
        <w:rPr>
          <w:rFonts w:ascii="Garamond" w:hAnsi="Garamond" w:cs="Garamond"/>
          <w:spacing w:val="-3"/>
        </w:rPr>
        <w:t xml:space="preserve">poor </w:t>
      </w:r>
      <w:r>
        <w:rPr>
          <w:rFonts w:ascii="Garamond" w:hAnsi="Garamond" w:cs="Garamond"/>
        </w:rPr>
        <w:t xml:space="preserve">health. If the ACO has established a PFAC that truly represents the patients being </w:t>
      </w:r>
      <w:r>
        <w:rPr>
          <w:rFonts w:ascii="Garamond" w:hAnsi="Garamond" w:cs="Garamond"/>
          <w:spacing w:val="-3"/>
        </w:rPr>
        <w:t xml:space="preserve">served, </w:t>
      </w:r>
      <w:r>
        <w:rPr>
          <w:rFonts w:ascii="Garamond" w:hAnsi="Garamond" w:cs="Garamond"/>
        </w:rPr>
        <w:t>the PFAC can be an invaluable partner in evaluating and echoing the needs of the community within the ACO leadership structure.</w:t>
      </w:r>
    </w:p>
    <w:p w:rsidR="002C5025" w:rsidRDefault="002C5025">
      <w:pPr>
        <w:pStyle w:val="BodyText"/>
        <w:kinsoku w:val="0"/>
        <w:overflowPunct w:val="0"/>
        <w:spacing w:before="10"/>
        <w:rPr>
          <w:rFonts w:ascii="Garamond" w:hAnsi="Garamond" w:cs="Garamond"/>
          <w:sz w:val="21"/>
          <w:szCs w:val="21"/>
        </w:rPr>
      </w:pPr>
    </w:p>
    <w:p w:rsidR="002C5025" w:rsidRDefault="002C5025">
      <w:pPr>
        <w:pStyle w:val="BodyText"/>
        <w:kinsoku w:val="0"/>
        <w:overflowPunct w:val="0"/>
        <w:ind w:left="118" w:right="27" w:firstLine="1"/>
        <w:rPr>
          <w:rFonts w:ascii="Garamond" w:hAnsi="Garamond" w:cs="Garamond"/>
        </w:rPr>
      </w:pPr>
      <w:r>
        <w:rPr>
          <w:rFonts w:ascii="Garamond" w:hAnsi="Garamond" w:cs="Garamond"/>
        </w:rPr>
        <w:t>We support that under the HPC’s ACO certification criteria, ACOs will be required to report on how the ACO uses the socio-demographic information gathered on its patient population to develop and support community-based policies and programs aimed at addressing social determinants of health to reduce health disparities within the ACO population (Criterion 3, Required Supplemental Information Questions). We urge MassHealth to take this one step further and require ACOs to perform an assessment of community assets and challenges (e.g., high levels of violence, poor access to healthy food) to better understand community needs and target partnerships and interventions. This will ensure that medical practices and public health agencies work together towards improving health at the individual, delivery system, and community levels.</w:t>
      </w:r>
    </w:p>
    <w:p w:rsidR="002C5025" w:rsidRDefault="002C5025">
      <w:pPr>
        <w:pStyle w:val="BodyText"/>
        <w:kinsoku w:val="0"/>
        <w:overflowPunct w:val="0"/>
        <w:spacing w:before="10"/>
        <w:rPr>
          <w:rFonts w:ascii="Garamond" w:hAnsi="Garamond" w:cs="Garamond"/>
          <w:sz w:val="21"/>
          <w:szCs w:val="21"/>
        </w:rPr>
      </w:pPr>
    </w:p>
    <w:p w:rsidR="002C5025" w:rsidRDefault="002C5025">
      <w:pPr>
        <w:pStyle w:val="BodyText"/>
        <w:kinsoku w:val="0"/>
        <w:overflowPunct w:val="0"/>
        <w:ind w:left="120" w:right="197"/>
        <w:rPr>
          <w:rFonts w:ascii="Garamond" w:hAnsi="Garamond" w:cs="Garamond"/>
          <w:b/>
          <w:bCs/>
        </w:rPr>
      </w:pPr>
      <w:bookmarkStart w:id="158" w:name="Care_Delivery_Models"/>
      <w:bookmarkEnd w:id="158"/>
      <w:r>
        <w:rPr>
          <w:rFonts w:ascii="Garamond" w:hAnsi="Garamond" w:cs="Garamond"/>
          <w:b/>
          <w:bCs/>
          <w:u w:val="single"/>
        </w:rPr>
        <w:t>Care Delivery Models</w:t>
      </w:r>
    </w:p>
    <w:p w:rsidR="002C5025" w:rsidRDefault="002C5025">
      <w:pPr>
        <w:pStyle w:val="BodyText"/>
        <w:kinsoku w:val="0"/>
        <w:overflowPunct w:val="0"/>
        <w:spacing w:before="10"/>
        <w:rPr>
          <w:rFonts w:ascii="Garamond" w:hAnsi="Garamond" w:cs="Garamond"/>
          <w:b/>
          <w:bCs/>
          <w:sz w:val="13"/>
          <w:szCs w:val="13"/>
        </w:rPr>
      </w:pPr>
    </w:p>
    <w:p w:rsidR="002C5025" w:rsidRDefault="002C5025">
      <w:pPr>
        <w:pStyle w:val="BodyText"/>
        <w:kinsoku w:val="0"/>
        <w:overflowPunct w:val="0"/>
        <w:spacing w:before="80" w:line="264" w:lineRule="exact"/>
        <w:ind w:left="120" w:right="197"/>
        <w:rPr>
          <w:rFonts w:ascii="Garamond" w:hAnsi="Garamond" w:cs="Garamond"/>
          <w:b/>
          <w:bCs/>
          <w:i/>
          <w:iCs/>
          <w:w w:val="90"/>
          <w:sz w:val="24"/>
          <w:szCs w:val="24"/>
        </w:rPr>
      </w:pPr>
      <w:r>
        <w:rPr>
          <w:rFonts w:ascii="Garamond" w:hAnsi="Garamond" w:cs="Garamond"/>
          <w:b/>
          <w:bCs/>
          <w:i/>
          <w:iCs/>
          <w:w w:val="90"/>
          <w:sz w:val="24"/>
          <w:szCs w:val="24"/>
        </w:rPr>
        <w:t>Oral health integration</w:t>
      </w:r>
    </w:p>
    <w:p w:rsidR="002C5025" w:rsidRDefault="002C5025">
      <w:pPr>
        <w:pStyle w:val="BodyText"/>
        <w:kinsoku w:val="0"/>
        <w:overflowPunct w:val="0"/>
        <w:ind w:left="119" w:right="254"/>
        <w:rPr>
          <w:rFonts w:ascii="Garamond" w:hAnsi="Garamond" w:cs="Garamond"/>
          <w:position w:val="5"/>
          <w:sz w:val="14"/>
          <w:szCs w:val="14"/>
        </w:rPr>
      </w:pPr>
      <w:r>
        <w:rPr>
          <w:rFonts w:ascii="Garamond" w:hAnsi="Garamond" w:cs="Garamond"/>
        </w:rPr>
        <w:t xml:space="preserve">Oral health is a critical component of overall health. </w:t>
      </w:r>
      <w:r>
        <w:rPr>
          <w:rFonts w:ascii="Garamond" w:hAnsi="Garamond" w:cs="Garamond"/>
          <w:spacing w:val="-3"/>
        </w:rPr>
        <w:t xml:space="preserve">While </w:t>
      </w:r>
      <w:r>
        <w:rPr>
          <w:rFonts w:ascii="Garamond" w:hAnsi="Garamond" w:cs="Garamond"/>
        </w:rPr>
        <w:t xml:space="preserve">there is increasing evidence suggesting that </w:t>
      </w:r>
      <w:r>
        <w:rPr>
          <w:rFonts w:ascii="Garamond" w:hAnsi="Garamond" w:cs="Garamond"/>
          <w:spacing w:val="-3"/>
        </w:rPr>
        <w:t xml:space="preserve">the </w:t>
      </w:r>
      <w:r>
        <w:rPr>
          <w:rFonts w:ascii="Garamond" w:hAnsi="Garamond" w:cs="Garamond"/>
        </w:rPr>
        <w:t>provision of oral health care actually lowers overall health care costs,</w:t>
      </w:r>
      <w:r>
        <w:rPr>
          <w:rFonts w:ascii="Garamond" w:hAnsi="Garamond" w:cs="Garamond"/>
          <w:position w:val="5"/>
          <w:sz w:val="14"/>
          <w:szCs w:val="14"/>
        </w:rPr>
        <w:t xml:space="preserve">18 </w:t>
      </w:r>
      <w:r>
        <w:rPr>
          <w:rFonts w:ascii="Garamond" w:hAnsi="Garamond" w:cs="Garamond"/>
        </w:rPr>
        <w:t xml:space="preserve">oral diseases </w:t>
      </w:r>
      <w:r>
        <w:rPr>
          <w:rFonts w:ascii="Garamond" w:hAnsi="Garamond" w:cs="Garamond"/>
          <w:spacing w:val="-2"/>
        </w:rPr>
        <w:t xml:space="preserve">are </w:t>
      </w:r>
      <w:r>
        <w:rPr>
          <w:rFonts w:ascii="Garamond" w:hAnsi="Garamond" w:cs="Garamond"/>
        </w:rPr>
        <w:t xml:space="preserve">among the most common chronic diseases for both children and adults in the U.S., and are linked to millions of </w:t>
      </w:r>
      <w:r>
        <w:rPr>
          <w:rFonts w:ascii="Garamond" w:hAnsi="Garamond" w:cs="Garamond"/>
          <w:spacing w:val="-3"/>
        </w:rPr>
        <w:t xml:space="preserve">hours </w:t>
      </w:r>
      <w:r>
        <w:rPr>
          <w:rFonts w:ascii="Garamond" w:hAnsi="Garamond" w:cs="Garamond"/>
        </w:rPr>
        <w:t xml:space="preserve">of missed school </w:t>
      </w:r>
      <w:r>
        <w:rPr>
          <w:rFonts w:ascii="Garamond" w:hAnsi="Garamond" w:cs="Garamond"/>
          <w:spacing w:val="-3"/>
        </w:rPr>
        <w:t xml:space="preserve">and </w:t>
      </w:r>
      <w:r>
        <w:rPr>
          <w:rFonts w:ascii="Garamond" w:hAnsi="Garamond" w:cs="Garamond"/>
        </w:rPr>
        <w:t>work days annually.</w:t>
      </w:r>
      <w:r>
        <w:rPr>
          <w:rFonts w:ascii="Garamond" w:hAnsi="Garamond" w:cs="Garamond"/>
          <w:position w:val="5"/>
          <w:sz w:val="14"/>
          <w:szCs w:val="14"/>
        </w:rPr>
        <w:t xml:space="preserve">19 </w:t>
      </w:r>
      <w:r>
        <w:rPr>
          <w:rFonts w:ascii="Garamond" w:hAnsi="Garamond" w:cs="Garamond"/>
        </w:rPr>
        <w:t xml:space="preserve">Low-income adults in Massachusetts report difficulty biting </w:t>
      </w:r>
      <w:r>
        <w:rPr>
          <w:rFonts w:ascii="Garamond" w:hAnsi="Garamond" w:cs="Garamond"/>
          <w:spacing w:val="-3"/>
        </w:rPr>
        <w:t xml:space="preserve">and </w:t>
      </w:r>
      <w:r>
        <w:rPr>
          <w:rFonts w:ascii="Garamond" w:hAnsi="Garamond" w:cs="Garamond"/>
        </w:rPr>
        <w:t>chewing as their top oral health problem, and 36% report avoiding smiling, while 20% report reducing participation in social activities due to the condition of their mouth and teeth.</w:t>
      </w:r>
      <w:r>
        <w:rPr>
          <w:rFonts w:ascii="Garamond" w:hAnsi="Garamond" w:cs="Garamond"/>
          <w:position w:val="5"/>
          <w:sz w:val="14"/>
          <w:szCs w:val="14"/>
        </w:rPr>
        <w:t xml:space="preserve">20 </w:t>
      </w:r>
      <w:r>
        <w:rPr>
          <w:rFonts w:ascii="Garamond" w:hAnsi="Garamond" w:cs="Garamond"/>
        </w:rPr>
        <w:t xml:space="preserve">MassHealth bears a significant burden of </w:t>
      </w:r>
      <w:r>
        <w:rPr>
          <w:rFonts w:ascii="Garamond" w:hAnsi="Garamond" w:cs="Garamond"/>
          <w:spacing w:val="-3"/>
        </w:rPr>
        <w:t xml:space="preserve">poor </w:t>
      </w:r>
      <w:r>
        <w:rPr>
          <w:rFonts w:ascii="Garamond" w:hAnsi="Garamond" w:cs="Garamond"/>
        </w:rPr>
        <w:t xml:space="preserve">oral health in the Commonwealth, paying for </w:t>
      </w:r>
      <w:r>
        <w:rPr>
          <w:rFonts w:ascii="Garamond" w:hAnsi="Garamond" w:cs="Garamond"/>
          <w:spacing w:val="-3"/>
        </w:rPr>
        <w:t xml:space="preserve">approximately </w:t>
      </w:r>
      <w:r>
        <w:rPr>
          <w:rFonts w:ascii="Garamond" w:hAnsi="Garamond" w:cs="Garamond"/>
        </w:rPr>
        <w:t>half of all ED visits for preventable dental conditions.</w:t>
      </w:r>
      <w:r>
        <w:rPr>
          <w:rFonts w:ascii="Garamond" w:hAnsi="Garamond" w:cs="Garamond"/>
          <w:position w:val="5"/>
          <w:sz w:val="14"/>
          <w:szCs w:val="14"/>
        </w:rPr>
        <w:t>21</w:t>
      </w:r>
    </w:p>
    <w:p w:rsidR="002C5025" w:rsidRDefault="002C5025">
      <w:pPr>
        <w:pStyle w:val="BodyText"/>
        <w:kinsoku w:val="0"/>
        <w:overflowPunct w:val="0"/>
        <w:spacing w:before="10"/>
        <w:rPr>
          <w:rFonts w:ascii="Garamond" w:hAnsi="Garamond" w:cs="Garamond"/>
          <w:sz w:val="21"/>
          <w:szCs w:val="21"/>
        </w:rPr>
      </w:pPr>
    </w:p>
    <w:p w:rsidR="002C5025" w:rsidRDefault="002C5025">
      <w:pPr>
        <w:pStyle w:val="BodyText"/>
        <w:kinsoku w:val="0"/>
        <w:overflowPunct w:val="0"/>
        <w:ind w:left="119" w:right="72"/>
        <w:rPr>
          <w:rFonts w:ascii="Garamond" w:hAnsi="Garamond" w:cs="Garamond"/>
        </w:rPr>
      </w:pPr>
      <w:r>
        <w:rPr>
          <w:rFonts w:ascii="Garamond" w:hAnsi="Garamond" w:cs="Garamond"/>
        </w:rPr>
        <w:t xml:space="preserve">MassHealth cannot achieve its stated goals of both </w:t>
      </w:r>
      <w:r>
        <w:rPr>
          <w:rFonts w:ascii="Garamond" w:hAnsi="Garamond" w:cs="Garamond"/>
          <w:spacing w:val="-3"/>
        </w:rPr>
        <w:t xml:space="preserve">promoting </w:t>
      </w:r>
      <w:r>
        <w:rPr>
          <w:rFonts w:ascii="Garamond" w:hAnsi="Garamond" w:cs="Garamond"/>
        </w:rPr>
        <w:t xml:space="preserve">fully integrated, </w:t>
      </w:r>
      <w:r>
        <w:rPr>
          <w:rFonts w:ascii="Garamond" w:hAnsi="Garamond" w:cs="Garamond"/>
          <w:spacing w:val="-4"/>
        </w:rPr>
        <w:t xml:space="preserve">coordinated </w:t>
      </w:r>
      <w:r>
        <w:rPr>
          <w:rFonts w:ascii="Garamond" w:hAnsi="Garamond" w:cs="Garamond"/>
        </w:rPr>
        <w:t xml:space="preserve">care that </w:t>
      </w:r>
      <w:r>
        <w:rPr>
          <w:rFonts w:ascii="Garamond" w:hAnsi="Garamond" w:cs="Garamond"/>
          <w:spacing w:val="-3"/>
        </w:rPr>
        <w:t xml:space="preserve">holds </w:t>
      </w:r>
      <w:r>
        <w:rPr>
          <w:rFonts w:ascii="Garamond" w:hAnsi="Garamond" w:cs="Garamond"/>
        </w:rPr>
        <w:t xml:space="preserve">providers accountable and addressing the opioid use disorder </w:t>
      </w:r>
      <w:r>
        <w:rPr>
          <w:rFonts w:ascii="Garamond" w:hAnsi="Garamond" w:cs="Garamond"/>
          <w:spacing w:val="-3"/>
        </w:rPr>
        <w:t xml:space="preserve">crisis </w:t>
      </w:r>
      <w:r>
        <w:rPr>
          <w:rFonts w:ascii="Garamond" w:hAnsi="Garamond" w:cs="Garamond"/>
        </w:rPr>
        <w:t xml:space="preserve">without </w:t>
      </w:r>
      <w:r>
        <w:rPr>
          <w:rFonts w:ascii="Garamond" w:hAnsi="Garamond" w:cs="Garamond"/>
          <w:spacing w:val="-3"/>
        </w:rPr>
        <w:t xml:space="preserve">addressing </w:t>
      </w:r>
      <w:r>
        <w:rPr>
          <w:rFonts w:ascii="Garamond" w:hAnsi="Garamond" w:cs="Garamond"/>
        </w:rPr>
        <w:t xml:space="preserve">oral health integration in a comprehensive manner. We are encouraged by MassHealth’s plans to promote oral health integration into primary health care and are pleased to see the inclusion of an oral health quality metric in the </w:t>
      </w:r>
      <w:r>
        <w:rPr>
          <w:rFonts w:ascii="Garamond" w:hAnsi="Garamond" w:cs="Garamond"/>
          <w:spacing w:val="-2"/>
        </w:rPr>
        <w:t xml:space="preserve">ACO </w:t>
      </w:r>
      <w:r>
        <w:rPr>
          <w:rFonts w:ascii="Garamond" w:hAnsi="Garamond" w:cs="Garamond"/>
        </w:rPr>
        <w:t xml:space="preserve">quality measure slate, alongside contractual expectations for ACOs. We urge MassHealth to strengthen oral health integration in its </w:t>
      </w:r>
      <w:r>
        <w:rPr>
          <w:rFonts w:ascii="Garamond" w:hAnsi="Garamond" w:cs="Garamond"/>
          <w:spacing w:val="-3"/>
        </w:rPr>
        <w:t xml:space="preserve">ACO </w:t>
      </w:r>
      <w:r>
        <w:rPr>
          <w:rFonts w:ascii="Garamond" w:hAnsi="Garamond" w:cs="Garamond"/>
        </w:rPr>
        <w:t>models and more clearly outline a plan to help facilitate integration.</w:t>
      </w:r>
    </w:p>
    <w:p w:rsidR="002C5025" w:rsidRDefault="00FB027C">
      <w:pPr>
        <w:pStyle w:val="BodyText"/>
        <w:kinsoku w:val="0"/>
        <w:overflowPunct w:val="0"/>
        <w:spacing w:before="3"/>
        <w:rPr>
          <w:rFonts w:ascii="Garamond" w:hAnsi="Garamond" w:cs="Garamond"/>
          <w:sz w:val="17"/>
          <w:szCs w:val="17"/>
        </w:rPr>
      </w:pPr>
      <w:r>
        <w:rPr>
          <w:noProof/>
        </w:rPr>
        <mc:AlternateContent>
          <mc:Choice Requires="wps">
            <w:drawing>
              <wp:anchor distT="0" distB="0" distL="0" distR="0" simplePos="0" relativeHeight="251659776" behindDoc="0" locked="0" layoutInCell="0" allowOverlap="1">
                <wp:simplePos x="0" y="0"/>
                <wp:positionH relativeFrom="page">
                  <wp:posOffset>923925</wp:posOffset>
                </wp:positionH>
                <wp:positionV relativeFrom="paragraph">
                  <wp:posOffset>153670</wp:posOffset>
                </wp:positionV>
                <wp:extent cx="1829435" cy="12700"/>
                <wp:effectExtent l="0" t="0" r="0" b="0"/>
                <wp:wrapTopAndBottom/>
                <wp:docPr id="559" name="Freeform 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1 w 2881"/>
                            <a:gd name="T3" fmla="*/ 0 h 20"/>
                          </a:gdLst>
                          <a:ahLst/>
                          <a:cxnLst>
                            <a:cxn ang="0">
                              <a:pos x="T0" y="T1"/>
                            </a:cxn>
                            <a:cxn ang="0">
                              <a:pos x="T2" y="T3"/>
                            </a:cxn>
                          </a:cxnLst>
                          <a:rect l="0" t="0" r="r" b="b"/>
                          <a:pathLst>
                            <a:path w="2881" h="20">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66" o:spid="_x0000_s1026" style="position:absolute;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2.75pt,12.1pt,216.8pt,12.1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" o:allowincell="f" filled="f" strokeweight=".82pt">
                <v:path arrowok="t" o:connecttype="custom" o:connectlocs="0,0;1829435,0" o:connectangles="0,0"/>
                <w10:wrap type="topAndBottom" anchorx="page"/>
              </v:polyline>
            </w:pict>
          </mc:Fallback>
        </mc:AlternateContent>
      </w:r>
    </w:p>
    <w:p w:rsidR="002C5025" w:rsidRDefault="002C5025">
      <w:pPr>
        <w:pStyle w:val="BodyText"/>
        <w:kinsoku w:val="0"/>
        <w:overflowPunct w:val="0"/>
        <w:spacing w:before="70"/>
        <w:ind w:left="120" w:right="193"/>
        <w:jc w:val="both"/>
        <w:rPr>
          <w:rFonts w:ascii="Garamond" w:hAnsi="Garamond" w:cs="Garamond"/>
          <w:sz w:val="20"/>
          <w:szCs w:val="20"/>
        </w:rPr>
      </w:pPr>
      <w:r>
        <w:rPr>
          <w:rFonts w:ascii="Garamond" w:hAnsi="Garamond" w:cs="Garamond"/>
          <w:position w:val="5"/>
          <w:sz w:val="13"/>
          <w:szCs w:val="13"/>
        </w:rPr>
        <w:t xml:space="preserve">18 </w:t>
      </w:r>
      <w:proofErr w:type="spellStart"/>
      <w:r>
        <w:rPr>
          <w:rFonts w:ascii="Garamond" w:hAnsi="Garamond" w:cs="Garamond"/>
          <w:sz w:val="20"/>
          <w:szCs w:val="20"/>
        </w:rPr>
        <w:t>Jeffcoat</w:t>
      </w:r>
      <w:proofErr w:type="spellEnd"/>
      <w:r>
        <w:rPr>
          <w:rFonts w:ascii="Garamond" w:hAnsi="Garamond" w:cs="Garamond"/>
          <w:sz w:val="20"/>
          <w:szCs w:val="20"/>
        </w:rPr>
        <w:t xml:space="preserve">, M.K., </w:t>
      </w:r>
      <w:proofErr w:type="spellStart"/>
      <w:r>
        <w:rPr>
          <w:rFonts w:ascii="Garamond" w:hAnsi="Garamond" w:cs="Garamond"/>
          <w:sz w:val="20"/>
          <w:szCs w:val="20"/>
        </w:rPr>
        <w:t>Jeffcoat</w:t>
      </w:r>
      <w:proofErr w:type="spellEnd"/>
      <w:r>
        <w:rPr>
          <w:rFonts w:ascii="Garamond" w:hAnsi="Garamond" w:cs="Garamond"/>
          <w:sz w:val="20"/>
          <w:szCs w:val="20"/>
        </w:rPr>
        <w:t xml:space="preserve">, R.L., </w:t>
      </w:r>
      <w:proofErr w:type="spellStart"/>
      <w:r>
        <w:rPr>
          <w:rFonts w:ascii="Garamond" w:hAnsi="Garamond" w:cs="Garamond"/>
          <w:sz w:val="20"/>
          <w:szCs w:val="20"/>
        </w:rPr>
        <w:t>Gladkowski</w:t>
      </w:r>
      <w:proofErr w:type="spellEnd"/>
      <w:r>
        <w:rPr>
          <w:rFonts w:ascii="Garamond" w:hAnsi="Garamond" w:cs="Garamond"/>
          <w:sz w:val="20"/>
          <w:szCs w:val="20"/>
        </w:rPr>
        <w:t xml:space="preserve">, P.A., </w:t>
      </w:r>
      <w:proofErr w:type="spellStart"/>
      <w:r>
        <w:rPr>
          <w:rFonts w:ascii="Garamond" w:hAnsi="Garamond" w:cs="Garamond"/>
          <w:sz w:val="20"/>
          <w:szCs w:val="20"/>
        </w:rPr>
        <w:t>Bramson</w:t>
      </w:r>
      <w:proofErr w:type="spellEnd"/>
      <w:r>
        <w:rPr>
          <w:rFonts w:ascii="Garamond" w:hAnsi="Garamond" w:cs="Garamond"/>
          <w:sz w:val="20"/>
          <w:szCs w:val="20"/>
        </w:rPr>
        <w:t xml:space="preserve">, J.B., Blum, J.J. (2014). Impact of Periodontal Therapy on General Health: Evidence from Insurance Data for Five Systemic Conditions, </w:t>
      </w:r>
      <w:r>
        <w:rPr>
          <w:rFonts w:ascii="Garamond" w:hAnsi="Garamond" w:cs="Garamond"/>
          <w:i/>
          <w:iCs/>
          <w:sz w:val="20"/>
          <w:szCs w:val="20"/>
        </w:rPr>
        <w:t>American Journal of Preventive Medicine</w:t>
      </w:r>
      <w:r>
        <w:rPr>
          <w:rFonts w:ascii="Garamond" w:hAnsi="Garamond" w:cs="Garamond"/>
          <w:sz w:val="20"/>
          <w:szCs w:val="20"/>
        </w:rPr>
        <w:t>, 47: 174-182.</w:t>
      </w:r>
    </w:p>
    <w:p w:rsidR="002C5025" w:rsidRDefault="002C5025">
      <w:pPr>
        <w:pStyle w:val="BodyText"/>
        <w:kinsoku w:val="0"/>
        <w:overflowPunct w:val="0"/>
        <w:spacing w:line="223" w:lineRule="exact"/>
        <w:ind w:left="120" w:right="72"/>
        <w:rPr>
          <w:rFonts w:ascii="Garamond" w:hAnsi="Garamond" w:cs="Garamond"/>
          <w:i/>
          <w:iCs/>
          <w:sz w:val="20"/>
          <w:szCs w:val="20"/>
        </w:rPr>
      </w:pPr>
      <w:r>
        <w:rPr>
          <w:rFonts w:ascii="Garamond" w:hAnsi="Garamond" w:cs="Garamond"/>
          <w:position w:val="5"/>
          <w:sz w:val="13"/>
          <w:szCs w:val="13"/>
        </w:rPr>
        <w:t xml:space="preserve">19 </w:t>
      </w:r>
      <w:r>
        <w:rPr>
          <w:rFonts w:ascii="Garamond" w:hAnsi="Garamond" w:cs="Garamond"/>
          <w:sz w:val="20"/>
          <w:szCs w:val="20"/>
        </w:rPr>
        <w:t xml:space="preserve">National Center for Chronic Disease Prevention and Health Promotion, (2002). </w:t>
      </w:r>
      <w:r>
        <w:rPr>
          <w:rFonts w:ascii="Garamond" w:hAnsi="Garamond" w:cs="Garamond"/>
          <w:i/>
          <w:iCs/>
          <w:sz w:val="20"/>
          <w:szCs w:val="20"/>
        </w:rPr>
        <w:t>Fact Sheet: “Preventing Dental Cavities.”</w:t>
      </w:r>
    </w:p>
    <w:p w:rsidR="002C5025" w:rsidRDefault="002C5025">
      <w:pPr>
        <w:pStyle w:val="BodyText"/>
        <w:kinsoku w:val="0"/>
        <w:overflowPunct w:val="0"/>
        <w:ind w:left="120" w:right="197"/>
        <w:rPr>
          <w:rFonts w:ascii="Garamond" w:hAnsi="Garamond" w:cs="Garamond"/>
          <w:sz w:val="20"/>
          <w:szCs w:val="20"/>
        </w:rPr>
      </w:pPr>
      <w:r>
        <w:rPr>
          <w:rFonts w:ascii="Garamond" w:hAnsi="Garamond" w:cs="Garamond"/>
          <w:sz w:val="20"/>
          <w:szCs w:val="20"/>
        </w:rPr>
        <w:t>Centers for Disease Control and Prevention.</w:t>
      </w:r>
    </w:p>
    <w:p w:rsidR="002C5025" w:rsidRDefault="002C5025">
      <w:pPr>
        <w:pStyle w:val="BodyText"/>
        <w:kinsoku w:val="0"/>
        <w:overflowPunct w:val="0"/>
        <w:ind w:left="120" w:right="627"/>
        <w:rPr>
          <w:rFonts w:ascii="Garamond" w:hAnsi="Garamond" w:cs="Garamond"/>
          <w:i/>
          <w:iCs/>
          <w:color w:val="000000"/>
          <w:sz w:val="20"/>
          <w:szCs w:val="20"/>
        </w:rPr>
      </w:pPr>
      <w:r>
        <w:rPr>
          <w:rFonts w:ascii="Garamond" w:hAnsi="Garamond" w:cs="Garamond"/>
          <w:position w:val="5"/>
          <w:sz w:val="13"/>
          <w:szCs w:val="13"/>
        </w:rPr>
        <w:t xml:space="preserve">20 </w:t>
      </w:r>
      <w:r>
        <w:rPr>
          <w:rFonts w:ascii="Garamond" w:hAnsi="Garamond" w:cs="Garamond"/>
          <w:sz w:val="20"/>
          <w:szCs w:val="20"/>
        </w:rPr>
        <w:t xml:space="preserve">Health Policy Institute. (2016). </w:t>
      </w:r>
      <w:r>
        <w:rPr>
          <w:rFonts w:ascii="Garamond" w:hAnsi="Garamond" w:cs="Garamond"/>
          <w:i/>
          <w:iCs/>
          <w:sz w:val="20"/>
          <w:szCs w:val="20"/>
        </w:rPr>
        <w:t>Massachusetts’ Oral Health and Well-Being</w:t>
      </w:r>
      <w:r>
        <w:rPr>
          <w:rFonts w:ascii="Garamond" w:hAnsi="Garamond" w:cs="Garamond"/>
          <w:sz w:val="20"/>
          <w:szCs w:val="20"/>
        </w:rPr>
        <w:t xml:space="preserve">. Retrieved from </w:t>
      </w:r>
      <w:hyperlink r:id="rId321" w:history="1">
        <w:r>
          <w:rPr>
            <w:rFonts w:ascii="Garamond" w:hAnsi="Garamond" w:cs="Garamond"/>
            <w:color w:val="0000FF"/>
            <w:spacing w:val="-1"/>
            <w:w w:val="95"/>
            <w:sz w:val="20"/>
            <w:szCs w:val="20"/>
            <w:u w:val="single"/>
          </w:rPr>
          <w:t>http://www.ada.org/en/science-research/health-policy-institute/oral-health-and-well-being/Massachusetts-facts</w:t>
        </w:r>
        <w:r>
          <w:rPr>
            <w:rFonts w:ascii="Garamond" w:hAnsi="Garamond" w:cs="Garamond"/>
            <w:color w:val="0000FF"/>
            <w:spacing w:val="-1"/>
            <w:w w:val="95"/>
            <w:sz w:val="20"/>
            <w:szCs w:val="20"/>
          </w:rPr>
          <w:t>.</w:t>
        </w:r>
      </w:hyperlink>
      <w:r>
        <w:rPr>
          <w:rFonts w:ascii="Garamond" w:hAnsi="Garamond" w:cs="Garamond"/>
          <w:color w:val="0000FF"/>
          <w:spacing w:val="-1"/>
          <w:w w:val="95"/>
          <w:sz w:val="20"/>
          <w:szCs w:val="20"/>
        </w:rPr>
        <w:t xml:space="preserve">       </w:t>
      </w:r>
      <w:r>
        <w:rPr>
          <w:rFonts w:ascii="Garamond" w:hAnsi="Garamond" w:cs="Garamond"/>
          <w:color w:val="000000"/>
          <w:position w:val="5"/>
          <w:sz w:val="13"/>
          <w:szCs w:val="13"/>
        </w:rPr>
        <w:t>21</w:t>
      </w:r>
      <w:r>
        <w:rPr>
          <w:rFonts w:ascii="Garamond" w:hAnsi="Garamond" w:cs="Garamond"/>
          <w:color w:val="000000"/>
          <w:spacing w:val="6"/>
          <w:position w:val="5"/>
          <w:sz w:val="13"/>
          <w:szCs w:val="13"/>
        </w:rPr>
        <w:t xml:space="preserve"> </w:t>
      </w:r>
      <w:r>
        <w:rPr>
          <w:rFonts w:ascii="Garamond" w:hAnsi="Garamond" w:cs="Garamond"/>
          <w:color w:val="000000"/>
          <w:sz w:val="20"/>
          <w:szCs w:val="20"/>
        </w:rPr>
        <w:t>Massachusetts</w:t>
      </w:r>
      <w:r>
        <w:rPr>
          <w:rFonts w:ascii="Garamond" w:hAnsi="Garamond" w:cs="Garamond"/>
          <w:color w:val="000000"/>
          <w:spacing w:val="-14"/>
          <w:sz w:val="20"/>
          <w:szCs w:val="20"/>
        </w:rPr>
        <w:t xml:space="preserve"> </w:t>
      </w:r>
      <w:r>
        <w:rPr>
          <w:rFonts w:ascii="Garamond" w:hAnsi="Garamond" w:cs="Garamond"/>
          <w:color w:val="000000"/>
          <w:sz w:val="20"/>
          <w:szCs w:val="20"/>
        </w:rPr>
        <w:t>Health</w:t>
      </w:r>
      <w:r>
        <w:rPr>
          <w:rFonts w:ascii="Garamond" w:hAnsi="Garamond" w:cs="Garamond"/>
          <w:color w:val="000000"/>
          <w:spacing w:val="-14"/>
          <w:sz w:val="20"/>
          <w:szCs w:val="20"/>
        </w:rPr>
        <w:t xml:space="preserve"> </w:t>
      </w:r>
      <w:r>
        <w:rPr>
          <w:rFonts w:ascii="Garamond" w:hAnsi="Garamond" w:cs="Garamond"/>
          <w:color w:val="000000"/>
          <w:sz w:val="20"/>
          <w:szCs w:val="20"/>
        </w:rPr>
        <w:t>Policy</w:t>
      </w:r>
      <w:r>
        <w:rPr>
          <w:rFonts w:ascii="Garamond" w:hAnsi="Garamond" w:cs="Garamond"/>
          <w:color w:val="000000"/>
          <w:spacing w:val="-12"/>
          <w:sz w:val="20"/>
          <w:szCs w:val="20"/>
        </w:rPr>
        <w:t xml:space="preserve"> </w:t>
      </w:r>
      <w:r>
        <w:rPr>
          <w:rFonts w:ascii="Garamond" w:hAnsi="Garamond" w:cs="Garamond"/>
          <w:color w:val="000000"/>
          <w:sz w:val="20"/>
          <w:szCs w:val="20"/>
        </w:rPr>
        <w:t>Commission.</w:t>
      </w:r>
      <w:r>
        <w:rPr>
          <w:rFonts w:ascii="Garamond" w:hAnsi="Garamond" w:cs="Garamond"/>
          <w:color w:val="000000"/>
          <w:spacing w:val="-14"/>
          <w:sz w:val="20"/>
          <w:szCs w:val="20"/>
        </w:rPr>
        <w:t xml:space="preserve"> </w:t>
      </w:r>
      <w:r>
        <w:rPr>
          <w:rFonts w:ascii="Garamond" w:hAnsi="Garamond" w:cs="Garamond"/>
          <w:color w:val="000000"/>
          <w:sz w:val="20"/>
          <w:szCs w:val="20"/>
        </w:rPr>
        <w:t>(2016).</w:t>
      </w:r>
      <w:r>
        <w:rPr>
          <w:rFonts w:ascii="Garamond" w:hAnsi="Garamond" w:cs="Garamond"/>
          <w:color w:val="000000"/>
          <w:spacing w:val="-10"/>
          <w:sz w:val="20"/>
          <w:szCs w:val="20"/>
        </w:rPr>
        <w:t xml:space="preserve"> </w:t>
      </w:r>
      <w:r>
        <w:rPr>
          <w:rFonts w:ascii="Garamond" w:hAnsi="Garamond" w:cs="Garamond"/>
          <w:i/>
          <w:iCs/>
          <w:color w:val="000000"/>
          <w:sz w:val="20"/>
          <w:szCs w:val="20"/>
        </w:rPr>
        <w:t>ED</w:t>
      </w:r>
      <w:r>
        <w:rPr>
          <w:rFonts w:ascii="Garamond" w:hAnsi="Garamond" w:cs="Garamond"/>
          <w:i/>
          <w:iCs/>
          <w:color w:val="000000"/>
          <w:spacing w:val="-11"/>
          <w:sz w:val="20"/>
          <w:szCs w:val="20"/>
        </w:rPr>
        <w:t xml:space="preserve"> </w:t>
      </w:r>
      <w:r>
        <w:rPr>
          <w:rFonts w:ascii="Garamond" w:hAnsi="Garamond" w:cs="Garamond"/>
          <w:i/>
          <w:iCs/>
          <w:color w:val="000000"/>
          <w:sz w:val="20"/>
          <w:szCs w:val="20"/>
        </w:rPr>
        <w:t>Utilization</w:t>
      </w:r>
      <w:r>
        <w:rPr>
          <w:rFonts w:ascii="Garamond" w:hAnsi="Garamond" w:cs="Garamond"/>
          <w:i/>
          <w:iCs/>
          <w:color w:val="000000"/>
          <w:spacing w:val="-14"/>
          <w:sz w:val="20"/>
          <w:szCs w:val="20"/>
        </w:rPr>
        <w:t xml:space="preserve"> </w:t>
      </w:r>
      <w:r>
        <w:rPr>
          <w:rFonts w:ascii="Garamond" w:hAnsi="Garamond" w:cs="Garamond"/>
          <w:i/>
          <w:iCs/>
          <w:color w:val="000000"/>
          <w:sz w:val="20"/>
          <w:szCs w:val="20"/>
        </w:rPr>
        <w:t>for</w:t>
      </w:r>
      <w:r>
        <w:rPr>
          <w:rFonts w:ascii="Garamond" w:hAnsi="Garamond" w:cs="Garamond"/>
          <w:i/>
          <w:iCs/>
          <w:color w:val="000000"/>
          <w:spacing w:val="-13"/>
          <w:sz w:val="20"/>
          <w:szCs w:val="20"/>
        </w:rPr>
        <w:t xml:space="preserve"> </w:t>
      </w:r>
      <w:r>
        <w:rPr>
          <w:rFonts w:ascii="Garamond" w:hAnsi="Garamond" w:cs="Garamond"/>
          <w:i/>
          <w:iCs/>
          <w:color w:val="000000"/>
          <w:sz w:val="20"/>
          <w:szCs w:val="20"/>
        </w:rPr>
        <w:t>Preventable</w:t>
      </w:r>
      <w:r>
        <w:rPr>
          <w:rFonts w:ascii="Garamond" w:hAnsi="Garamond" w:cs="Garamond"/>
          <w:i/>
          <w:iCs/>
          <w:color w:val="000000"/>
          <w:spacing w:val="-14"/>
          <w:sz w:val="20"/>
          <w:szCs w:val="20"/>
        </w:rPr>
        <w:t xml:space="preserve"> </w:t>
      </w:r>
      <w:r>
        <w:rPr>
          <w:rFonts w:ascii="Garamond" w:hAnsi="Garamond" w:cs="Garamond"/>
          <w:i/>
          <w:iCs/>
          <w:color w:val="000000"/>
          <w:sz w:val="20"/>
          <w:szCs w:val="20"/>
        </w:rPr>
        <w:t>Oral</w:t>
      </w:r>
      <w:r>
        <w:rPr>
          <w:rFonts w:ascii="Garamond" w:hAnsi="Garamond" w:cs="Garamond"/>
          <w:i/>
          <w:iCs/>
          <w:color w:val="000000"/>
          <w:spacing w:val="-11"/>
          <w:sz w:val="20"/>
          <w:szCs w:val="20"/>
        </w:rPr>
        <w:t xml:space="preserve"> </w:t>
      </w:r>
      <w:r>
        <w:rPr>
          <w:rFonts w:ascii="Garamond" w:hAnsi="Garamond" w:cs="Garamond"/>
          <w:i/>
          <w:iCs/>
          <w:color w:val="000000"/>
          <w:sz w:val="20"/>
          <w:szCs w:val="20"/>
        </w:rPr>
        <w:t>Health</w:t>
      </w:r>
      <w:r>
        <w:rPr>
          <w:rFonts w:ascii="Garamond" w:hAnsi="Garamond" w:cs="Garamond"/>
          <w:i/>
          <w:iCs/>
          <w:color w:val="000000"/>
          <w:spacing w:val="-11"/>
          <w:sz w:val="20"/>
          <w:szCs w:val="20"/>
        </w:rPr>
        <w:t xml:space="preserve"> </w:t>
      </w:r>
      <w:r>
        <w:rPr>
          <w:rFonts w:ascii="Garamond" w:hAnsi="Garamond" w:cs="Garamond"/>
          <w:i/>
          <w:iCs/>
          <w:color w:val="000000"/>
          <w:sz w:val="20"/>
          <w:szCs w:val="20"/>
        </w:rPr>
        <w:t>Conditions</w:t>
      </w:r>
      <w:r>
        <w:rPr>
          <w:rFonts w:ascii="Garamond" w:hAnsi="Garamond" w:cs="Garamond"/>
          <w:i/>
          <w:iCs/>
          <w:color w:val="000000"/>
          <w:spacing w:val="-14"/>
          <w:sz w:val="20"/>
          <w:szCs w:val="20"/>
        </w:rPr>
        <w:t xml:space="preserve"> </w:t>
      </w:r>
      <w:r>
        <w:rPr>
          <w:rFonts w:ascii="Garamond" w:hAnsi="Garamond" w:cs="Garamond"/>
          <w:i/>
          <w:iCs/>
          <w:color w:val="000000"/>
          <w:sz w:val="20"/>
          <w:szCs w:val="20"/>
        </w:rPr>
        <w:t>in</w:t>
      </w:r>
      <w:r>
        <w:rPr>
          <w:rFonts w:ascii="Garamond" w:hAnsi="Garamond" w:cs="Garamond"/>
          <w:i/>
          <w:iCs/>
          <w:color w:val="000000"/>
          <w:spacing w:val="-12"/>
          <w:sz w:val="20"/>
          <w:szCs w:val="20"/>
        </w:rPr>
        <w:t xml:space="preserve"> </w:t>
      </w:r>
      <w:r>
        <w:rPr>
          <w:rFonts w:ascii="Garamond" w:hAnsi="Garamond" w:cs="Garamond"/>
          <w:i/>
          <w:iCs/>
          <w:color w:val="000000"/>
          <w:sz w:val="20"/>
          <w:szCs w:val="20"/>
        </w:rPr>
        <w:t>MA</w:t>
      </w:r>
    </w:p>
    <w:p w:rsidR="002C5025" w:rsidRDefault="002C5025">
      <w:pPr>
        <w:pStyle w:val="BodyText"/>
        <w:kinsoku w:val="0"/>
        <w:overflowPunct w:val="0"/>
        <w:ind w:left="120" w:right="128"/>
        <w:rPr>
          <w:rFonts w:ascii="Garamond" w:hAnsi="Garamond" w:cs="Garamond"/>
          <w:color w:val="0000FF"/>
          <w:sz w:val="20"/>
          <w:szCs w:val="20"/>
        </w:rPr>
      </w:pPr>
      <w:r>
        <w:rPr>
          <w:rFonts w:ascii="Garamond" w:hAnsi="Garamond" w:cs="Garamond"/>
          <w:sz w:val="20"/>
          <w:szCs w:val="20"/>
        </w:rPr>
        <w:t>[</w:t>
      </w:r>
      <w:proofErr w:type="spellStart"/>
      <w:r>
        <w:rPr>
          <w:rFonts w:ascii="Garamond" w:hAnsi="Garamond" w:cs="Garamond"/>
          <w:sz w:val="20"/>
          <w:szCs w:val="20"/>
        </w:rPr>
        <w:t>Powerpoint</w:t>
      </w:r>
      <w:proofErr w:type="spellEnd"/>
      <w:r>
        <w:rPr>
          <w:rFonts w:ascii="Garamond" w:hAnsi="Garamond" w:cs="Garamond"/>
          <w:spacing w:val="-24"/>
          <w:sz w:val="20"/>
          <w:szCs w:val="20"/>
        </w:rPr>
        <w:t xml:space="preserve"> </w:t>
      </w:r>
      <w:r>
        <w:rPr>
          <w:rFonts w:ascii="Garamond" w:hAnsi="Garamond" w:cs="Garamond"/>
          <w:sz w:val="20"/>
          <w:szCs w:val="20"/>
        </w:rPr>
        <w:t>slides]</w:t>
      </w:r>
      <w:r>
        <w:rPr>
          <w:rFonts w:ascii="Garamond" w:hAnsi="Garamond" w:cs="Garamond"/>
          <w:i/>
          <w:iCs/>
          <w:sz w:val="20"/>
          <w:szCs w:val="20"/>
        </w:rPr>
        <w:t>.</w:t>
      </w:r>
      <w:r>
        <w:rPr>
          <w:rFonts w:ascii="Garamond" w:hAnsi="Garamond" w:cs="Garamond"/>
          <w:i/>
          <w:iCs/>
          <w:spacing w:val="-23"/>
          <w:sz w:val="20"/>
          <w:szCs w:val="20"/>
        </w:rPr>
        <w:t xml:space="preserve"> </w:t>
      </w:r>
      <w:r>
        <w:rPr>
          <w:rFonts w:ascii="Garamond" w:hAnsi="Garamond" w:cs="Garamond"/>
          <w:sz w:val="20"/>
          <w:szCs w:val="20"/>
        </w:rPr>
        <w:t>Boston,</w:t>
      </w:r>
      <w:r>
        <w:rPr>
          <w:rFonts w:ascii="Garamond" w:hAnsi="Garamond" w:cs="Garamond"/>
          <w:spacing w:val="-23"/>
          <w:sz w:val="20"/>
          <w:szCs w:val="20"/>
        </w:rPr>
        <w:t xml:space="preserve"> </w:t>
      </w:r>
      <w:r>
        <w:rPr>
          <w:rFonts w:ascii="Garamond" w:hAnsi="Garamond" w:cs="Garamond"/>
          <w:sz w:val="20"/>
          <w:szCs w:val="20"/>
        </w:rPr>
        <w:t>MA.</w:t>
      </w:r>
      <w:r>
        <w:rPr>
          <w:rFonts w:ascii="Garamond" w:hAnsi="Garamond" w:cs="Garamond"/>
          <w:spacing w:val="-24"/>
          <w:sz w:val="20"/>
          <w:szCs w:val="20"/>
        </w:rPr>
        <w:t xml:space="preserve"> </w:t>
      </w:r>
      <w:r>
        <w:rPr>
          <w:rFonts w:ascii="Garamond" w:hAnsi="Garamond" w:cs="Garamond"/>
          <w:sz w:val="20"/>
          <w:szCs w:val="20"/>
        </w:rPr>
        <w:t>Retrieved</w:t>
      </w:r>
      <w:r>
        <w:rPr>
          <w:rFonts w:ascii="Garamond" w:hAnsi="Garamond" w:cs="Garamond"/>
          <w:spacing w:val="-21"/>
          <w:sz w:val="20"/>
          <w:szCs w:val="20"/>
        </w:rPr>
        <w:t xml:space="preserve"> </w:t>
      </w:r>
      <w:r>
        <w:rPr>
          <w:rFonts w:ascii="Garamond" w:hAnsi="Garamond" w:cs="Garamond"/>
          <w:sz w:val="20"/>
          <w:szCs w:val="20"/>
        </w:rPr>
        <w:t>from</w:t>
      </w:r>
      <w:r>
        <w:rPr>
          <w:rFonts w:ascii="Garamond" w:hAnsi="Garamond" w:cs="Garamond"/>
          <w:spacing w:val="-22"/>
          <w:sz w:val="20"/>
          <w:szCs w:val="20"/>
        </w:rPr>
        <w:t xml:space="preserve"> </w:t>
      </w:r>
      <w:hyperlink r:id="rId322" w:history="1">
        <w:r>
          <w:rPr>
            <w:rFonts w:ascii="Garamond" w:hAnsi="Garamond" w:cs="Garamond"/>
            <w:color w:val="0000FF"/>
            <w:sz w:val="20"/>
            <w:szCs w:val="20"/>
            <w:u w:val="single"/>
          </w:rPr>
          <w:t>http://www.mass.gov/anf/budget-taxes-and-procurement/oversight-</w:t>
        </w:r>
      </w:hyperlink>
      <w:r>
        <w:rPr>
          <w:rFonts w:ascii="Garamond" w:hAnsi="Garamond" w:cs="Garamond"/>
          <w:color w:val="0000FF"/>
          <w:sz w:val="20"/>
          <w:szCs w:val="20"/>
          <w:u w:val="single"/>
        </w:rPr>
        <w:t xml:space="preserve"> </w:t>
      </w:r>
      <w:hyperlink r:id="rId323" w:history="1">
        <w:r>
          <w:rPr>
            <w:rFonts w:ascii="Garamond" w:hAnsi="Garamond" w:cs="Garamond"/>
            <w:color w:val="0000FF"/>
            <w:sz w:val="20"/>
            <w:szCs w:val="20"/>
            <w:u w:val="single"/>
          </w:rPr>
          <w:t>agencies/health-policy-commission/public-meetings/committee-meetings/20160401-public-presentation-dental-</w:t>
        </w:r>
      </w:hyperlink>
      <w:r>
        <w:rPr>
          <w:rFonts w:ascii="Garamond" w:hAnsi="Garamond" w:cs="Garamond"/>
          <w:color w:val="0000FF"/>
          <w:sz w:val="20"/>
          <w:szCs w:val="20"/>
          <w:u w:val="single"/>
        </w:rPr>
        <w:t xml:space="preserve"> </w:t>
      </w:r>
      <w:hyperlink r:id="rId324" w:history="1">
        <w:r>
          <w:rPr>
            <w:rFonts w:ascii="Garamond" w:hAnsi="Garamond" w:cs="Garamond"/>
            <w:color w:val="0000FF"/>
            <w:sz w:val="20"/>
            <w:szCs w:val="20"/>
            <w:u w:val="single"/>
          </w:rPr>
          <w:t>findings.pdf</w:t>
        </w:r>
        <w:r>
          <w:rPr>
            <w:rFonts w:ascii="Garamond" w:hAnsi="Garamond" w:cs="Garamond"/>
            <w:color w:val="000000"/>
            <w:sz w:val="20"/>
            <w:szCs w:val="20"/>
            <w:u w:val="single"/>
          </w:rPr>
          <w:t>.</w:t>
        </w:r>
      </w:hyperlink>
    </w:p>
    <w:p w:rsidR="002C5025" w:rsidRDefault="002C5025">
      <w:pPr>
        <w:pStyle w:val="BodyText"/>
        <w:kinsoku w:val="0"/>
        <w:overflowPunct w:val="0"/>
        <w:spacing w:before="7"/>
        <w:rPr>
          <w:rFonts w:ascii="Garamond" w:hAnsi="Garamond" w:cs="Garamond"/>
          <w:sz w:val="11"/>
          <w:szCs w:val="11"/>
        </w:rPr>
      </w:pPr>
    </w:p>
    <w:p w:rsidR="002C5025" w:rsidRDefault="002C5025">
      <w:pPr>
        <w:pStyle w:val="BodyText"/>
        <w:kinsoku w:val="0"/>
        <w:overflowPunct w:val="0"/>
        <w:spacing w:before="81"/>
        <w:ind w:left="162"/>
        <w:jc w:val="center"/>
        <w:rPr>
          <w:rFonts w:ascii="Garamond" w:hAnsi="Garamond" w:cs="Garamond"/>
          <w:w w:val="99"/>
          <w:sz w:val="20"/>
          <w:szCs w:val="20"/>
        </w:rPr>
      </w:pPr>
      <w:r>
        <w:rPr>
          <w:rFonts w:ascii="Garamond" w:hAnsi="Garamond" w:cs="Garamond"/>
          <w:w w:val="99"/>
          <w:sz w:val="20"/>
          <w:szCs w:val="20"/>
        </w:rPr>
        <w:t>9</w:t>
      </w:r>
    </w:p>
    <w:p w:rsidR="002C5025" w:rsidRDefault="002C5025">
      <w:pPr>
        <w:pStyle w:val="BodyText"/>
        <w:kinsoku w:val="0"/>
        <w:overflowPunct w:val="0"/>
        <w:spacing w:before="81"/>
        <w:ind w:left="162"/>
        <w:jc w:val="center"/>
        <w:rPr>
          <w:rFonts w:ascii="Garamond" w:hAnsi="Garamond" w:cs="Garamond"/>
          <w:w w:val="99"/>
          <w:sz w:val="20"/>
          <w:szCs w:val="20"/>
        </w:rPr>
        <w:sectPr w:rsidR="002C5025">
          <w:pgSz w:w="12240" w:h="15840"/>
          <w:pgMar w:top="1380" w:right="1480" w:bottom="280" w:left="1320" w:header="720" w:footer="720" w:gutter="0"/>
          <w:cols w:space="720" w:equalWidth="0">
            <w:col w:w="9440"/>
          </w:cols>
          <w:noEndnote/>
        </w:sectPr>
      </w:pPr>
    </w:p>
    <w:p w:rsidR="002C5025" w:rsidRDefault="002C5025">
      <w:pPr>
        <w:pStyle w:val="BodyText"/>
        <w:kinsoku w:val="0"/>
        <w:overflowPunct w:val="0"/>
        <w:spacing w:before="6"/>
        <w:rPr>
          <w:rFonts w:ascii="Garamond" w:hAnsi="Garamond" w:cs="Garamond"/>
          <w:sz w:val="9"/>
          <w:szCs w:val="9"/>
        </w:rPr>
      </w:pPr>
    </w:p>
    <w:p w:rsidR="002C5025" w:rsidRDefault="002C5025">
      <w:pPr>
        <w:pStyle w:val="BodyText"/>
        <w:kinsoku w:val="0"/>
        <w:overflowPunct w:val="0"/>
        <w:spacing w:before="80"/>
        <w:ind w:left="119" w:right="85"/>
        <w:rPr>
          <w:rFonts w:ascii="Garamond" w:hAnsi="Garamond" w:cs="Garamond"/>
        </w:rPr>
      </w:pPr>
      <w:r>
        <w:rPr>
          <w:rFonts w:ascii="Garamond" w:hAnsi="Garamond" w:cs="Garamond"/>
        </w:rPr>
        <w:t>The</w:t>
      </w:r>
      <w:r>
        <w:rPr>
          <w:rFonts w:ascii="Garamond" w:hAnsi="Garamond" w:cs="Garamond"/>
          <w:spacing w:val="-9"/>
        </w:rPr>
        <w:t xml:space="preserve"> </w:t>
      </w:r>
      <w:r>
        <w:rPr>
          <w:rFonts w:ascii="Garamond" w:hAnsi="Garamond" w:cs="Garamond"/>
        </w:rPr>
        <w:t>existing</w:t>
      </w:r>
      <w:r>
        <w:rPr>
          <w:rFonts w:ascii="Garamond" w:hAnsi="Garamond" w:cs="Garamond"/>
          <w:spacing w:val="-7"/>
        </w:rPr>
        <w:t xml:space="preserve"> </w:t>
      </w:r>
      <w:r>
        <w:rPr>
          <w:rFonts w:ascii="Garamond" w:hAnsi="Garamond" w:cs="Garamond"/>
        </w:rPr>
        <w:t>dental</w:t>
      </w:r>
      <w:r>
        <w:rPr>
          <w:rFonts w:ascii="Garamond" w:hAnsi="Garamond" w:cs="Garamond"/>
          <w:spacing w:val="-9"/>
        </w:rPr>
        <w:t xml:space="preserve"> </w:t>
      </w:r>
      <w:r>
        <w:rPr>
          <w:rFonts w:ascii="Garamond" w:hAnsi="Garamond" w:cs="Garamond"/>
        </w:rPr>
        <w:t>care</w:t>
      </w:r>
      <w:r>
        <w:rPr>
          <w:rFonts w:ascii="Garamond" w:hAnsi="Garamond" w:cs="Garamond"/>
          <w:spacing w:val="-9"/>
        </w:rPr>
        <w:t xml:space="preserve"> </w:t>
      </w:r>
      <w:r>
        <w:rPr>
          <w:rFonts w:ascii="Garamond" w:hAnsi="Garamond" w:cs="Garamond"/>
        </w:rPr>
        <w:t>delivery</w:t>
      </w:r>
      <w:r>
        <w:rPr>
          <w:rFonts w:ascii="Garamond" w:hAnsi="Garamond" w:cs="Garamond"/>
          <w:spacing w:val="-12"/>
        </w:rPr>
        <w:t xml:space="preserve"> </w:t>
      </w:r>
      <w:r>
        <w:rPr>
          <w:rFonts w:ascii="Garamond" w:hAnsi="Garamond" w:cs="Garamond"/>
        </w:rPr>
        <w:t>system</w:t>
      </w:r>
      <w:r>
        <w:rPr>
          <w:rFonts w:ascii="Garamond" w:hAnsi="Garamond" w:cs="Garamond"/>
          <w:spacing w:val="-9"/>
        </w:rPr>
        <w:t xml:space="preserve"> </w:t>
      </w:r>
      <w:r>
        <w:rPr>
          <w:rFonts w:ascii="Garamond" w:hAnsi="Garamond" w:cs="Garamond"/>
        </w:rPr>
        <w:t>fails</w:t>
      </w:r>
      <w:r>
        <w:rPr>
          <w:rFonts w:ascii="Garamond" w:hAnsi="Garamond" w:cs="Garamond"/>
          <w:spacing w:val="-7"/>
        </w:rPr>
        <w:t xml:space="preserve"> </w:t>
      </w:r>
      <w:r>
        <w:rPr>
          <w:rFonts w:ascii="Garamond" w:hAnsi="Garamond" w:cs="Garamond"/>
        </w:rPr>
        <w:t>to</w:t>
      </w:r>
      <w:r>
        <w:rPr>
          <w:rFonts w:ascii="Garamond" w:hAnsi="Garamond" w:cs="Garamond"/>
          <w:spacing w:val="-6"/>
        </w:rPr>
        <w:t xml:space="preserve"> </w:t>
      </w:r>
      <w:r>
        <w:rPr>
          <w:rFonts w:ascii="Garamond" w:hAnsi="Garamond" w:cs="Garamond"/>
        </w:rPr>
        <w:t>adequately</w:t>
      </w:r>
      <w:r>
        <w:rPr>
          <w:rFonts w:ascii="Garamond" w:hAnsi="Garamond" w:cs="Garamond"/>
          <w:spacing w:val="-9"/>
        </w:rPr>
        <w:t xml:space="preserve"> </w:t>
      </w:r>
      <w:r>
        <w:rPr>
          <w:rFonts w:ascii="Garamond" w:hAnsi="Garamond" w:cs="Garamond"/>
        </w:rPr>
        <w:t>meet</w:t>
      </w:r>
      <w:r>
        <w:rPr>
          <w:rFonts w:ascii="Garamond" w:hAnsi="Garamond" w:cs="Garamond"/>
          <w:spacing w:val="-8"/>
        </w:rPr>
        <w:t xml:space="preserve"> </w:t>
      </w:r>
      <w:r>
        <w:rPr>
          <w:rFonts w:ascii="Garamond" w:hAnsi="Garamond" w:cs="Garamond"/>
        </w:rPr>
        <w:t>the</w:t>
      </w:r>
      <w:r>
        <w:rPr>
          <w:rFonts w:ascii="Garamond" w:hAnsi="Garamond" w:cs="Garamond"/>
          <w:spacing w:val="-10"/>
        </w:rPr>
        <w:t xml:space="preserve"> </w:t>
      </w:r>
      <w:r>
        <w:rPr>
          <w:rFonts w:ascii="Garamond" w:hAnsi="Garamond" w:cs="Garamond"/>
        </w:rPr>
        <w:t>needs</w:t>
      </w:r>
      <w:r>
        <w:rPr>
          <w:rFonts w:ascii="Garamond" w:hAnsi="Garamond" w:cs="Garamond"/>
          <w:spacing w:val="-10"/>
        </w:rPr>
        <w:t xml:space="preserve"> </w:t>
      </w:r>
      <w:r>
        <w:rPr>
          <w:rFonts w:ascii="Garamond" w:hAnsi="Garamond" w:cs="Garamond"/>
        </w:rPr>
        <w:t>of</w:t>
      </w:r>
      <w:r>
        <w:rPr>
          <w:rFonts w:ascii="Garamond" w:hAnsi="Garamond" w:cs="Garamond"/>
          <w:spacing w:val="-8"/>
        </w:rPr>
        <w:t xml:space="preserve"> </w:t>
      </w:r>
      <w:r>
        <w:rPr>
          <w:rFonts w:ascii="Garamond" w:hAnsi="Garamond" w:cs="Garamond"/>
        </w:rPr>
        <w:t>the</w:t>
      </w:r>
      <w:r>
        <w:rPr>
          <w:rFonts w:ascii="Garamond" w:hAnsi="Garamond" w:cs="Garamond"/>
          <w:spacing w:val="-9"/>
        </w:rPr>
        <w:t xml:space="preserve"> </w:t>
      </w:r>
      <w:r>
        <w:rPr>
          <w:rFonts w:ascii="Garamond" w:hAnsi="Garamond" w:cs="Garamond"/>
        </w:rPr>
        <w:t>MassHealth</w:t>
      </w:r>
      <w:r>
        <w:rPr>
          <w:rFonts w:ascii="Garamond" w:hAnsi="Garamond" w:cs="Garamond"/>
          <w:spacing w:val="-6"/>
        </w:rPr>
        <w:t xml:space="preserve"> </w:t>
      </w:r>
      <w:r>
        <w:rPr>
          <w:rFonts w:ascii="Garamond" w:hAnsi="Garamond" w:cs="Garamond"/>
        </w:rPr>
        <w:t>population,</w:t>
      </w:r>
      <w:r>
        <w:rPr>
          <w:rFonts w:ascii="Garamond" w:hAnsi="Garamond" w:cs="Garamond"/>
          <w:spacing w:val="-9"/>
        </w:rPr>
        <w:t xml:space="preserve"> </w:t>
      </w:r>
      <w:r>
        <w:rPr>
          <w:rFonts w:ascii="Garamond" w:hAnsi="Garamond" w:cs="Garamond"/>
        </w:rPr>
        <w:t xml:space="preserve">and does not focus on </w:t>
      </w:r>
      <w:r>
        <w:rPr>
          <w:rFonts w:ascii="Garamond" w:hAnsi="Garamond" w:cs="Garamond"/>
          <w:spacing w:val="-3"/>
        </w:rPr>
        <w:t xml:space="preserve">outcomes. ACOs </w:t>
      </w:r>
      <w:r>
        <w:rPr>
          <w:rFonts w:ascii="Garamond" w:hAnsi="Garamond" w:cs="Garamond"/>
        </w:rPr>
        <w:t xml:space="preserve">must have </w:t>
      </w:r>
      <w:r>
        <w:rPr>
          <w:rFonts w:ascii="Garamond" w:hAnsi="Garamond" w:cs="Garamond"/>
          <w:spacing w:val="-3"/>
        </w:rPr>
        <w:t xml:space="preserve">accountability </w:t>
      </w:r>
      <w:r>
        <w:rPr>
          <w:rFonts w:ascii="Garamond" w:hAnsi="Garamond" w:cs="Garamond"/>
        </w:rPr>
        <w:t xml:space="preserve">for dental services, </w:t>
      </w:r>
      <w:r>
        <w:rPr>
          <w:rFonts w:ascii="Garamond" w:hAnsi="Garamond" w:cs="Garamond"/>
          <w:spacing w:val="-3"/>
        </w:rPr>
        <w:t xml:space="preserve">which </w:t>
      </w:r>
      <w:r>
        <w:rPr>
          <w:rFonts w:ascii="Garamond" w:hAnsi="Garamond" w:cs="Garamond"/>
        </w:rPr>
        <w:t xml:space="preserve">will improve integration of oral health into the rest of health care </w:t>
      </w:r>
      <w:r>
        <w:rPr>
          <w:rFonts w:ascii="Garamond" w:hAnsi="Garamond" w:cs="Garamond"/>
          <w:spacing w:val="-3"/>
        </w:rPr>
        <w:t xml:space="preserve">and </w:t>
      </w:r>
      <w:r>
        <w:rPr>
          <w:rFonts w:ascii="Garamond" w:hAnsi="Garamond" w:cs="Garamond"/>
        </w:rPr>
        <w:t xml:space="preserve">help the overall system save money. Similar to the plan proposed for LTSS integration, we urge MassHealth to phase in oral health </w:t>
      </w:r>
      <w:r>
        <w:rPr>
          <w:rFonts w:ascii="Garamond" w:hAnsi="Garamond" w:cs="Garamond"/>
          <w:spacing w:val="-3"/>
        </w:rPr>
        <w:t xml:space="preserve">and </w:t>
      </w:r>
      <w:r>
        <w:rPr>
          <w:rFonts w:ascii="Garamond" w:hAnsi="Garamond" w:cs="Garamond"/>
        </w:rPr>
        <w:t>dental services into the ACO</w:t>
      </w:r>
      <w:r>
        <w:rPr>
          <w:rFonts w:ascii="Garamond" w:hAnsi="Garamond" w:cs="Garamond"/>
          <w:spacing w:val="-8"/>
        </w:rPr>
        <w:t xml:space="preserve"> </w:t>
      </w:r>
      <w:r>
        <w:rPr>
          <w:rFonts w:ascii="Garamond" w:hAnsi="Garamond" w:cs="Garamond"/>
        </w:rPr>
        <w:t>total</w:t>
      </w:r>
      <w:r>
        <w:rPr>
          <w:rFonts w:ascii="Garamond" w:hAnsi="Garamond" w:cs="Garamond"/>
          <w:spacing w:val="-7"/>
        </w:rPr>
        <w:t xml:space="preserve"> </w:t>
      </w:r>
      <w:r>
        <w:rPr>
          <w:rFonts w:ascii="Garamond" w:hAnsi="Garamond" w:cs="Garamond"/>
          <w:spacing w:val="-3"/>
        </w:rPr>
        <w:t>cost</w:t>
      </w:r>
      <w:r>
        <w:rPr>
          <w:rFonts w:ascii="Garamond" w:hAnsi="Garamond" w:cs="Garamond"/>
          <w:spacing w:val="-11"/>
        </w:rPr>
        <w:t xml:space="preserve"> </w:t>
      </w:r>
      <w:r>
        <w:rPr>
          <w:rFonts w:ascii="Garamond" w:hAnsi="Garamond" w:cs="Garamond"/>
        </w:rPr>
        <w:t>of</w:t>
      </w:r>
      <w:r>
        <w:rPr>
          <w:rFonts w:ascii="Garamond" w:hAnsi="Garamond" w:cs="Garamond"/>
          <w:spacing w:val="-6"/>
        </w:rPr>
        <w:t xml:space="preserve"> </w:t>
      </w:r>
      <w:r>
        <w:rPr>
          <w:rFonts w:ascii="Garamond" w:hAnsi="Garamond" w:cs="Garamond"/>
        </w:rPr>
        <w:t>care,</w:t>
      </w:r>
      <w:r>
        <w:rPr>
          <w:rFonts w:ascii="Garamond" w:hAnsi="Garamond" w:cs="Garamond"/>
          <w:spacing w:val="-9"/>
        </w:rPr>
        <w:t xml:space="preserve"> </w:t>
      </w:r>
      <w:r>
        <w:rPr>
          <w:rFonts w:ascii="Garamond" w:hAnsi="Garamond" w:cs="Garamond"/>
        </w:rPr>
        <w:t>and</w:t>
      </w:r>
      <w:r>
        <w:rPr>
          <w:rFonts w:ascii="Garamond" w:hAnsi="Garamond" w:cs="Garamond"/>
          <w:spacing w:val="-13"/>
        </w:rPr>
        <w:t xml:space="preserve"> </w:t>
      </w:r>
      <w:r>
        <w:rPr>
          <w:rFonts w:ascii="Garamond" w:hAnsi="Garamond" w:cs="Garamond"/>
        </w:rPr>
        <w:t>first</w:t>
      </w:r>
      <w:r>
        <w:rPr>
          <w:rFonts w:ascii="Garamond" w:hAnsi="Garamond" w:cs="Garamond"/>
          <w:spacing w:val="-8"/>
        </w:rPr>
        <w:t xml:space="preserve"> </w:t>
      </w:r>
      <w:r>
        <w:rPr>
          <w:rFonts w:ascii="Garamond" w:hAnsi="Garamond" w:cs="Garamond"/>
        </w:rPr>
        <w:t>pilot</w:t>
      </w:r>
      <w:r>
        <w:rPr>
          <w:rFonts w:ascii="Garamond" w:hAnsi="Garamond" w:cs="Garamond"/>
          <w:spacing w:val="-8"/>
        </w:rPr>
        <w:t xml:space="preserve"> </w:t>
      </w:r>
      <w:r>
        <w:rPr>
          <w:rFonts w:ascii="Garamond" w:hAnsi="Garamond" w:cs="Garamond"/>
        </w:rPr>
        <w:t>dental</w:t>
      </w:r>
      <w:r>
        <w:rPr>
          <w:rFonts w:ascii="Garamond" w:hAnsi="Garamond" w:cs="Garamond"/>
          <w:spacing w:val="-9"/>
        </w:rPr>
        <w:t xml:space="preserve"> </w:t>
      </w:r>
      <w:r>
        <w:rPr>
          <w:rFonts w:ascii="Garamond" w:hAnsi="Garamond" w:cs="Garamond"/>
        </w:rPr>
        <w:t>services</w:t>
      </w:r>
      <w:r>
        <w:rPr>
          <w:rFonts w:ascii="Garamond" w:hAnsi="Garamond" w:cs="Garamond"/>
          <w:spacing w:val="-5"/>
        </w:rPr>
        <w:t xml:space="preserve"> </w:t>
      </w:r>
      <w:r>
        <w:rPr>
          <w:rFonts w:ascii="Garamond" w:hAnsi="Garamond" w:cs="Garamond"/>
        </w:rPr>
        <w:t>integration.</w:t>
      </w:r>
    </w:p>
    <w:p w:rsidR="002C5025" w:rsidRDefault="002C5025">
      <w:pPr>
        <w:pStyle w:val="BodyText"/>
        <w:kinsoku w:val="0"/>
        <w:overflowPunct w:val="0"/>
        <w:spacing w:before="8"/>
        <w:rPr>
          <w:rFonts w:ascii="Garamond" w:hAnsi="Garamond" w:cs="Garamond"/>
          <w:sz w:val="21"/>
          <w:szCs w:val="21"/>
        </w:rPr>
      </w:pPr>
    </w:p>
    <w:p w:rsidR="002C5025" w:rsidRDefault="002C5025">
      <w:pPr>
        <w:pStyle w:val="BodyText"/>
        <w:kinsoku w:val="0"/>
        <w:overflowPunct w:val="0"/>
        <w:ind w:left="118" w:right="41" w:firstLine="1"/>
        <w:rPr>
          <w:rFonts w:ascii="Garamond" w:hAnsi="Garamond" w:cs="Garamond"/>
        </w:rPr>
      </w:pPr>
      <w:r>
        <w:rPr>
          <w:rFonts w:ascii="Garamond" w:hAnsi="Garamond" w:cs="Garamond"/>
        </w:rPr>
        <w:t xml:space="preserve">There should also be sufficient upfront investments for oral health delivery system transformation; DSRIP funds can be used to ameliorate the separation between dental </w:t>
      </w:r>
      <w:r>
        <w:rPr>
          <w:rFonts w:ascii="Garamond" w:hAnsi="Garamond" w:cs="Garamond"/>
          <w:spacing w:val="-3"/>
        </w:rPr>
        <w:t xml:space="preserve">and </w:t>
      </w:r>
      <w:r>
        <w:rPr>
          <w:rFonts w:ascii="Garamond" w:hAnsi="Garamond" w:cs="Garamond"/>
        </w:rPr>
        <w:t xml:space="preserve">medical services. Investing in health information technology and workforce development </w:t>
      </w:r>
      <w:r>
        <w:rPr>
          <w:rFonts w:ascii="Garamond" w:hAnsi="Garamond" w:cs="Garamond"/>
          <w:spacing w:val="-3"/>
        </w:rPr>
        <w:t xml:space="preserve">and </w:t>
      </w:r>
      <w:r>
        <w:rPr>
          <w:rFonts w:ascii="Garamond" w:hAnsi="Garamond" w:cs="Garamond"/>
        </w:rPr>
        <w:t xml:space="preserve">training will help encourage providers to enter into ACOs while developing a critical foundation for effective care coordination. There is also an urgent need to improve the alignment of </w:t>
      </w:r>
      <w:r>
        <w:rPr>
          <w:rFonts w:ascii="Garamond" w:hAnsi="Garamond" w:cs="Garamond"/>
          <w:spacing w:val="-3"/>
        </w:rPr>
        <w:t xml:space="preserve">dental </w:t>
      </w:r>
      <w:r>
        <w:rPr>
          <w:rFonts w:ascii="Garamond" w:hAnsi="Garamond" w:cs="Garamond"/>
        </w:rPr>
        <w:t xml:space="preserve">service payment </w:t>
      </w:r>
      <w:r>
        <w:rPr>
          <w:rFonts w:ascii="Garamond" w:hAnsi="Garamond" w:cs="Garamond"/>
          <w:spacing w:val="-3"/>
        </w:rPr>
        <w:t xml:space="preserve">policies </w:t>
      </w:r>
      <w:r>
        <w:rPr>
          <w:rFonts w:ascii="Garamond" w:hAnsi="Garamond" w:cs="Garamond"/>
        </w:rPr>
        <w:t xml:space="preserve">with established clinical guidelines. The existing fee- for-service payment system </w:t>
      </w:r>
      <w:r>
        <w:rPr>
          <w:rFonts w:ascii="Garamond" w:hAnsi="Garamond" w:cs="Garamond"/>
          <w:spacing w:val="-3"/>
        </w:rPr>
        <w:t xml:space="preserve">in </w:t>
      </w:r>
      <w:r>
        <w:rPr>
          <w:rFonts w:ascii="Garamond" w:hAnsi="Garamond" w:cs="Garamond"/>
        </w:rPr>
        <w:t xml:space="preserve">dentistry has not </w:t>
      </w:r>
      <w:r>
        <w:rPr>
          <w:rFonts w:ascii="Garamond" w:hAnsi="Garamond" w:cs="Garamond"/>
          <w:spacing w:val="-3"/>
        </w:rPr>
        <w:t xml:space="preserve">kept </w:t>
      </w:r>
      <w:r>
        <w:rPr>
          <w:rFonts w:ascii="Garamond" w:hAnsi="Garamond" w:cs="Garamond"/>
        </w:rPr>
        <w:t>up with the science and illogically incentivizes</w:t>
      </w:r>
    </w:p>
    <w:p w:rsidR="002C5025" w:rsidRDefault="002C5025">
      <w:pPr>
        <w:pStyle w:val="BodyText"/>
        <w:kinsoku w:val="0"/>
        <w:overflowPunct w:val="0"/>
        <w:ind w:left="117" w:right="85"/>
        <w:rPr>
          <w:rFonts w:ascii="Garamond" w:hAnsi="Garamond" w:cs="Garamond"/>
        </w:rPr>
      </w:pPr>
      <w:r>
        <w:rPr>
          <w:rFonts w:ascii="Garamond" w:hAnsi="Garamond" w:cs="Garamond"/>
        </w:rPr>
        <w:t>procedure-based</w:t>
      </w:r>
      <w:r>
        <w:rPr>
          <w:rFonts w:ascii="Garamond" w:hAnsi="Garamond" w:cs="Garamond"/>
          <w:spacing w:val="-8"/>
        </w:rPr>
        <w:t xml:space="preserve"> </w:t>
      </w:r>
      <w:r>
        <w:rPr>
          <w:rFonts w:ascii="Garamond" w:hAnsi="Garamond" w:cs="Garamond"/>
        </w:rPr>
        <w:t>care</w:t>
      </w:r>
      <w:r>
        <w:rPr>
          <w:rFonts w:ascii="Garamond" w:hAnsi="Garamond" w:cs="Garamond"/>
          <w:spacing w:val="-10"/>
        </w:rPr>
        <w:t xml:space="preserve"> </w:t>
      </w:r>
      <w:r>
        <w:rPr>
          <w:rFonts w:ascii="Garamond" w:hAnsi="Garamond" w:cs="Garamond"/>
        </w:rPr>
        <w:t>instead</w:t>
      </w:r>
      <w:r>
        <w:rPr>
          <w:rFonts w:ascii="Garamond" w:hAnsi="Garamond" w:cs="Garamond"/>
          <w:spacing w:val="-10"/>
        </w:rPr>
        <w:t xml:space="preserve"> </w:t>
      </w:r>
      <w:r>
        <w:rPr>
          <w:rFonts w:ascii="Garamond" w:hAnsi="Garamond" w:cs="Garamond"/>
        </w:rPr>
        <w:t>of</w:t>
      </w:r>
      <w:r>
        <w:rPr>
          <w:rFonts w:ascii="Garamond" w:hAnsi="Garamond" w:cs="Garamond"/>
          <w:spacing w:val="-8"/>
        </w:rPr>
        <w:t xml:space="preserve"> </w:t>
      </w:r>
      <w:r>
        <w:rPr>
          <w:rFonts w:ascii="Garamond" w:hAnsi="Garamond" w:cs="Garamond"/>
        </w:rPr>
        <w:t>prevention.</w:t>
      </w:r>
      <w:r>
        <w:rPr>
          <w:rFonts w:ascii="Garamond" w:hAnsi="Garamond" w:cs="Garamond"/>
          <w:spacing w:val="-15"/>
        </w:rPr>
        <w:t xml:space="preserve"> </w:t>
      </w:r>
      <w:r>
        <w:rPr>
          <w:rFonts w:ascii="Garamond" w:hAnsi="Garamond" w:cs="Garamond"/>
        </w:rPr>
        <w:t>MassHealth</w:t>
      </w:r>
      <w:r>
        <w:rPr>
          <w:rFonts w:ascii="Garamond" w:hAnsi="Garamond" w:cs="Garamond"/>
          <w:spacing w:val="-12"/>
        </w:rPr>
        <w:t xml:space="preserve"> </w:t>
      </w:r>
      <w:r>
        <w:rPr>
          <w:rFonts w:ascii="Garamond" w:hAnsi="Garamond" w:cs="Garamond"/>
        </w:rPr>
        <w:t>must</w:t>
      </w:r>
      <w:r>
        <w:rPr>
          <w:rFonts w:ascii="Garamond" w:hAnsi="Garamond" w:cs="Garamond"/>
          <w:spacing w:val="-12"/>
        </w:rPr>
        <w:t xml:space="preserve"> </w:t>
      </w:r>
      <w:r>
        <w:rPr>
          <w:rFonts w:ascii="Garamond" w:hAnsi="Garamond" w:cs="Garamond"/>
        </w:rPr>
        <w:t>help</w:t>
      </w:r>
      <w:r>
        <w:rPr>
          <w:rFonts w:ascii="Garamond" w:hAnsi="Garamond" w:cs="Garamond"/>
          <w:spacing w:val="-10"/>
        </w:rPr>
        <w:t xml:space="preserve"> </w:t>
      </w:r>
      <w:r>
        <w:rPr>
          <w:rFonts w:ascii="Garamond" w:hAnsi="Garamond" w:cs="Garamond"/>
        </w:rPr>
        <w:t>transition</w:t>
      </w:r>
      <w:r>
        <w:rPr>
          <w:rFonts w:ascii="Garamond" w:hAnsi="Garamond" w:cs="Garamond"/>
          <w:spacing w:val="-9"/>
        </w:rPr>
        <w:t xml:space="preserve"> </w:t>
      </w:r>
      <w:r>
        <w:rPr>
          <w:rFonts w:ascii="Garamond" w:hAnsi="Garamond" w:cs="Garamond"/>
        </w:rPr>
        <w:t>dental</w:t>
      </w:r>
      <w:r>
        <w:rPr>
          <w:rFonts w:ascii="Garamond" w:hAnsi="Garamond" w:cs="Garamond"/>
          <w:spacing w:val="-12"/>
        </w:rPr>
        <w:t xml:space="preserve"> </w:t>
      </w:r>
      <w:r>
        <w:rPr>
          <w:rFonts w:ascii="Garamond" w:hAnsi="Garamond" w:cs="Garamond"/>
        </w:rPr>
        <w:t>services</w:t>
      </w:r>
      <w:r>
        <w:rPr>
          <w:rFonts w:ascii="Garamond" w:hAnsi="Garamond" w:cs="Garamond"/>
          <w:spacing w:val="-7"/>
        </w:rPr>
        <w:t xml:space="preserve"> </w:t>
      </w:r>
      <w:r>
        <w:rPr>
          <w:rFonts w:ascii="Garamond" w:hAnsi="Garamond" w:cs="Garamond"/>
        </w:rPr>
        <w:t>delivery</w:t>
      </w:r>
      <w:r>
        <w:rPr>
          <w:rFonts w:ascii="Garamond" w:hAnsi="Garamond" w:cs="Garamond"/>
          <w:spacing w:val="-13"/>
        </w:rPr>
        <w:t xml:space="preserve"> </w:t>
      </w:r>
      <w:r>
        <w:rPr>
          <w:rFonts w:ascii="Garamond" w:hAnsi="Garamond" w:cs="Garamond"/>
        </w:rPr>
        <w:t>to</w:t>
      </w:r>
      <w:r>
        <w:rPr>
          <w:rFonts w:ascii="Garamond" w:hAnsi="Garamond" w:cs="Garamond"/>
          <w:spacing w:val="-10"/>
        </w:rPr>
        <w:t xml:space="preserve"> </w:t>
      </w:r>
      <w:r>
        <w:rPr>
          <w:rFonts w:ascii="Garamond" w:hAnsi="Garamond" w:cs="Garamond"/>
        </w:rPr>
        <w:t>focus on</w:t>
      </w:r>
      <w:r>
        <w:rPr>
          <w:rFonts w:ascii="Garamond" w:hAnsi="Garamond" w:cs="Garamond"/>
          <w:spacing w:val="-15"/>
        </w:rPr>
        <w:t xml:space="preserve"> </w:t>
      </w:r>
      <w:r>
        <w:rPr>
          <w:rFonts w:ascii="Garamond" w:hAnsi="Garamond" w:cs="Garamond"/>
        </w:rPr>
        <w:t>high-value,</w:t>
      </w:r>
      <w:r>
        <w:rPr>
          <w:rFonts w:ascii="Garamond" w:hAnsi="Garamond" w:cs="Garamond"/>
          <w:spacing w:val="-15"/>
        </w:rPr>
        <w:t xml:space="preserve"> </w:t>
      </w:r>
      <w:r>
        <w:rPr>
          <w:rFonts w:ascii="Garamond" w:hAnsi="Garamond" w:cs="Garamond"/>
        </w:rPr>
        <w:t>evidence-based,</w:t>
      </w:r>
      <w:r>
        <w:rPr>
          <w:rFonts w:ascii="Garamond" w:hAnsi="Garamond" w:cs="Garamond"/>
          <w:spacing w:val="-15"/>
        </w:rPr>
        <w:t xml:space="preserve"> </w:t>
      </w:r>
      <w:r>
        <w:rPr>
          <w:rFonts w:ascii="Garamond" w:hAnsi="Garamond" w:cs="Garamond"/>
        </w:rPr>
        <w:t>preventive</w:t>
      </w:r>
      <w:r>
        <w:rPr>
          <w:rFonts w:ascii="Garamond" w:hAnsi="Garamond" w:cs="Garamond"/>
          <w:spacing w:val="-15"/>
        </w:rPr>
        <w:t xml:space="preserve"> </w:t>
      </w:r>
      <w:r>
        <w:rPr>
          <w:rFonts w:ascii="Garamond" w:hAnsi="Garamond" w:cs="Garamond"/>
        </w:rPr>
        <w:t>care.</w:t>
      </w:r>
    </w:p>
    <w:p w:rsidR="002C5025" w:rsidRDefault="002C5025">
      <w:pPr>
        <w:pStyle w:val="BodyText"/>
        <w:kinsoku w:val="0"/>
        <w:overflowPunct w:val="0"/>
        <w:spacing w:before="10"/>
        <w:rPr>
          <w:rFonts w:ascii="Garamond" w:hAnsi="Garamond" w:cs="Garamond"/>
          <w:sz w:val="21"/>
          <w:szCs w:val="21"/>
        </w:rPr>
      </w:pPr>
    </w:p>
    <w:p w:rsidR="002C5025" w:rsidRDefault="002C5025">
      <w:pPr>
        <w:pStyle w:val="BodyText"/>
        <w:kinsoku w:val="0"/>
        <w:overflowPunct w:val="0"/>
        <w:spacing w:before="1" w:line="242" w:lineRule="auto"/>
        <w:ind w:left="117" w:right="175"/>
        <w:rPr>
          <w:rFonts w:ascii="Garamond" w:hAnsi="Garamond" w:cs="Garamond"/>
        </w:rPr>
      </w:pPr>
      <w:r>
        <w:rPr>
          <w:rFonts w:ascii="Garamond" w:hAnsi="Garamond" w:cs="Garamond"/>
        </w:rPr>
        <w:t xml:space="preserve">We respectfully direct you to the Oral Health Integration Project’s comments for detailed </w:t>
      </w:r>
      <w:r>
        <w:rPr>
          <w:rFonts w:ascii="Garamond" w:hAnsi="Garamond" w:cs="Garamond"/>
          <w:spacing w:val="-3"/>
        </w:rPr>
        <w:t xml:space="preserve">recommendations </w:t>
      </w:r>
      <w:r>
        <w:rPr>
          <w:rFonts w:ascii="Garamond" w:hAnsi="Garamond" w:cs="Garamond"/>
        </w:rPr>
        <w:t xml:space="preserve">on how to achieve more robust </w:t>
      </w:r>
      <w:r>
        <w:rPr>
          <w:rFonts w:ascii="Garamond" w:hAnsi="Garamond" w:cs="Garamond"/>
          <w:spacing w:val="-3"/>
        </w:rPr>
        <w:t xml:space="preserve">and </w:t>
      </w:r>
      <w:r>
        <w:rPr>
          <w:rFonts w:ascii="Garamond" w:hAnsi="Garamond" w:cs="Garamond"/>
        </w:rPr>
        <w:t>meaningful oral health delivery and payment system transformation.</w:t>
      </w:r>
    </w:p>
    <w:p w:rsidR="002C5025" w:rsidRDefault="002C5025">
      <w:pPr>
        <w:pStyle w:val="BodyText"/>
        <w:kinsoku w:val="0"/>
        <w:overflowPunct w:val="0"/>
        <w:spacing w:before="8"/>
        <w:rPr>
          <w:rFonts w:ascii="Garamond" w:hAnsi="Garamond" w:cs="Garamond"/>
          <w:sz w:val="20"/>
          <w:szCs w:val="20"/>
        </w:rPr>
      </w:pPr>
    </w:p>
    <w:p w:rsidR="002C5025" w:rsidRDefault="002C5025">
      <w:pPr>
        <w:pStyle w:val="BodyText"/>
        <w:kinsoku w:val="0"/>
        <w:overflowPunct w:val="0"/>
        <w:spacing w:before="1" w:line="264" w:lineRule="exact"/>
        <w:ind w:left="120" w:right="225"/>
        <w:rPr>
          <w:rFonts w:ascii="Garamond" w:hAnsi="Garamond" w:cs="Garamond"/>
          <w:b/>
          <w:bCs/>
          <w:i/>
          <w:iCs/>
          <w:w w:val="90"/>
          <w:sz w:val="24"/>
          <w:szCs w:val="24"/>
        </w:rPr>
      </w:pPr>
      <w:bookmarkStart w:id="159" w:name="Pediatric-specific_capabilities_and_link"/>
      <w:bookmarkEnd w:id="159"/>
      <w:r>
        <w:rPr>
          <w:rFonts w:ascii="Garamond" w:hAnsi="Garamond" w:cs="Garamond"/>
          <w:b/>
          <w:bCs/>
          <w:i/>
          <w:iCs/>
          <w:w w:val="90"/>
          <w:sz w:val="24"/>
          <w:szCs w:val="24"/>
        </w:rPr>
        <w:t>Pediatric-specific capabilities and linkages</w:t>
      </w:r>
    </w:p>
    <w:p w:rsidR="002C5025" w:rsidRDefault="002C5025">
      <w:pPr>
        <w:pStyle w:val="BodyText"/>
        <w:kinsoku w:val="0"/>
        <w:overflowPunct w:val="0"/>
        <w:ind w:left="119" w:right="346"/>
        <w:rPr>
          <w:rFonts w:ascii="Garamond" w:hAnsi="Garamond" w:cs="Garamond"/>
        </w:rPr>
      </w:pPr>
      <w:r>
        <w:rPr>
          <w:rFonts w:ascii="Garamond" w:hAnsi="Garamond" w:cs="Garamond"/>
        </w:rPr>
        <w:t>Children and youth – especially those with special health care needs – require care that is not adequately addressed in a system built for adults. Forty percent of the Commonwealth’s children are enrolled in MassHealth and children comprise 34% of the MassHealth population,</w:t>
      </w:r>
      <w:r>
        <w:rPr>
          <w:rFonts w:ascii="Garamond" w:hAnsi="Garamond" w:cs="Garamond"/>
          <w:position w:val="5"/>
          <w:sz w:val="14"/>
          <w:szCs w:val="14"/>
        </w:rPr>
        <w:t xml:space="preserve">22 </w:t>
      </w:r>
      <w:r>
        <w:rPr>
          <w:rFonts w:ascii="Garamond" w:hAnsi="Garamond" w:cs="Garamond"/>
        </w:rPr>
        <w:t>yet the Waiver Request does not specify how ACOs will address the unique needs of children and youth.</w:t>
      </w:r>
    </w:p>
    <w:p w:rsidR="002C5025" w:rsidRDefault="002C5025">
      <w:pPr>
        <w:pStyle w:val="BodyText"/>
        <w:kinsoku w:val="0"/>
        <w:overflowPunct w:val="0"/>
        <w:spacing w:before="10"/>
        <w:rPr>
          <w:rFonts w:ascii="Garamond" w:hAnsi="Garamond" w:cs="Garamond"/>
          <w:sz w:val="21"/>
          <w:szCs w:val="21"/>
        </w:rPr>
      </w:pPr>
    </w:p>
    <w:p w:rsidR="002C5025" w:rsidRDefault="002C5025">
      <w:pPr>
        <w:pStyle w:val="BodyText"/>
        <w:kinsoku w:val="0"/>
        <w:overflowPunct w:val="0"/>
        <w:ind w:left="118" w:right="112" w:firstLine="1"/>
        <w:rPr>
          <w:rFonts w:ascii="Garamond" w:hAnsi="Garamond" w:cs="Garamond"/>
        </w:rPr>
      </w:pPr>
      <w:r>
        <w:rPr>
          <w:rFonts w:ascii="Garamond" w:hAnsi="Garamond" w:cs="Garamond"/>
        </w:rPr>
        <w:t xml:space="preserve">ACOs should emphasize </w:t>
      </w:r>
      <w:r>
        <w:rPr>
          <w:rFonts w:ascii="Garamond" w:hAnsi="Garamond" w:cs="Garamond"/>
          <w:spacing w:val="-3"/>
        </w:rPr>
        <w:t xml:space="preserve">prevention </w:t>
      </w:r>
      <w:r>
        <w:rPr>
          <w:rFonts w:ascii="Garamond" w:hAnsi="Garamond" w:cs="Garamond"/>
        </w:rPr>
        <w:t xml:space="preserve">and early interventions with children and their families. Unlike most adult care models, the family plays a far more critical role in managing a child’s care. Family experiences </w:t>
      </w:r>
      <w:r>
        <w:rPr>
          <w:rFonts w:ascii="Garamond" w:hAnsi="Garamond" w:cs="Garamond"/>
          <w:spacing w:val="-3"/>
        </w:rPr>
        <w:t xml:space="preserve">can </w:t>
      </w:r>
      <w:r>
        <w:rPr>
          <w:rFonts w:ascii="Garamond" w:hAnsi="Garamond" w:cs="Garamond"/>
        </w:rPr>
        <w:t>provide a wealth of useful data and information in</w:t>
      </w:r>
      <w:r>
        <w:rPr>
          <w:rFonts w:ascii="Garamond" w:hAnsi="Garamond" w:cs="Garamond"/>
          <w:spacing w:val="-3"/>
        </w:rPr>
        <w:t xml:space="preserve"> shaping </w:t>
      </w:r>
      <w:r>
        <w:rPr>
          <w:rFonts w:ascii="Garamond" w:hAnsi="Garamond" w:cs="Garamond"/>
        </w:rPr>
        <w:t xml:space="preserve">some of the </w:t>
      </w:r>
      <w:r>
        <w:rPr>
          <w:rFonts w:ascii="Garamond" w:hAnsi="Garamond" w:cs="Garamond"/>
          <w:spacing w:val="-3"/>
        </w:rPr>
        <w:t xml:space="preserve">core </w:t>
      </w:r>
      <w:r>
        <w:rPr>
          <w:rFonts w:ascii="Garamond" w:hAnsi="Garamond" w:cs="Garamond"/>
        </w:rPr>
        <w:t xml:space="preserve">elements of an ACO. All </w:t>
      </w:r>
      <w:r>
        <w:rPr>
          <w:rFonts w:ascii="Garamond" w:hAnsi="Garamond" w:cs="Garamond"/>
          <w:spacing w:val="-3"/>
        </w:rPr>
        <w:t xml:space="preserve">ACOs </w:t>
      </w:r>
      <w:r>
        <w:rPr>
          <w:rFonts w:ascii="Garamond" w:hAnsi="Garamond" w:cs="Garamond"/>
        </w:rPr>
        <w:t xml:space="preserve">that serve children should have the ability to support the family and make linkages with other state agencies and with key community resources, such as schools, </w:t>
      </w:r>
      <w:r>
        <w:rPr>
          <w:rFonts w:ascii="Garamond" w:hAnsi="Garamond" w:cs="Garamond"/>
          <w:spacing w:val="-3"/>
        </w:rPr>
        <w:t xml:space="preserve">Head </w:t>
      </w:r>
      <w:r>
        <w:rPr>
          <w:rFonts w:ascii="Garamond" w:hAnsi="Garamond" w:cs="Garamond"/>
        </w:rPr>
        <w:t xml:space="preserve">Start </w:t>
      </w:r>
      <w:r>
        <w:rPr>
          <w:rFonts w:ascii="Garamond" w:hAnsi="Garamond" w:cs="Garamond"/>
          <w:spacing w:val="-3"/>
        </w:rPr>
        <w:t xml:space="preserve">programs, </w:t>
      </w:r>
      <w:r>
        <w:rPr>
          <w:rFonts w:ascii="Garamond" w:hAnsi="Garamond" w:cs="Garamond"/>
        </w:rPr>
        <w:t xml:space="preserve">social services agencies, </w:t>
      </w:r>
      <w:r>
        <w:rPr>
          <w:rFonts w:ascii="Garamond" w:hAnsi="Garamond" w:cs="Garamond"/>
          <w:spacing w:val="-3"/>
        </w:rPr>
        <w:t xml:space="preserve">and </w:t>
      </w:r>
      <w:r>
        <w:rPr>
          <w:rFonts w:ascii="Garamond" w:hAnsi="Garamond" w:cs="Garamond"/>
        </w:rPr>
        <w:t>others.</w:t>
      </w:r>
    </w:p>
    <w:p w:rsidR="002C5025" w:rsidRDefault="002C5025">
      <w:pPr>
        <w:pStyle w:val="BodyText"/>
        <w:kinsoku w:val="0"/>
        <w:overflowPunct w:val="0"/>
        <w:spacing w:before="7"/>
        <w:rPr>
          <w:rFonts w:ascii="Garamond" w:hAnsi="Garamond" w:cs="Garamond"/>
          <w:sz w:val="21"/>
          <w:szCs w:val="21"/>
        </w:rPr>
      </w:pPr>
    </w:p>
    <w:p w:rsidR="002C5025" w:rsidRDefault="002C5025">
      <w:pPr>
        <w:pStyle w:val="BodyText"/>
        <w:kinsoku w:val="0"/>
        <w:overflowPunct w:val="0"/>
        <w:spacing w:before="1"/>
        <w:ind w:left="118" w:right="85" w:firstLine="1"/>
        <w:rPr>
          <w:rFonts w:ascii="Garamond" w:hAnsi="Garamond" w:cs="Garamond"/>
        </w:rPr>
      </w:pPr>
      <w:r>
        <w:rPr>
          <w:rFonts w:ascii="Garamond" w:hAnsi="Garamond" w:cs="Garamond"/>
        </w:rPr>
        <w:t xml:space="preserve">Further, for some pediatric patients, there is a role for </w:t>
      </w:r>
      <w:r>
        <w:rPr>
          <w:rFonts w:ascii="Garamond" w:hAnsi="Garamond" w:cs="Garamond"/>
          <w:spacing w:val="-3"/>
        </w:rPr>
        <w:t xml:space="preserve">home </w:t>
      </w:r>
      <w:r>
        <w:rPr>
          <w:rFonts w:ascii="Garamond" w:hAnsi="Garamond" w:cs="Garamond"/>
        </w:rPr>
        <w:t xml:space="preserve">visiting, which is not a traditional service provided by institutional providers; strong </w:t>
      </w:r>
      <w:r>
        <w:rPr>
          <w:rFonts w:ascii="Garamond" w:hAnsi="Garamond" w:cs="Garamond"/>
          <w:spacing w:val="-3"/>
        </w:rPr>
        <w:t xml:space="preserve">partnerships </w:t>
      </w:r>
      <w:r>
        <w:rPr>
          <w:rFonts w:ascii="Garamond" w:hAnsi="Garamond" w:cs="Garamond"/>
        </w:rPr>
        <w:t xml:space="preserve">with community-based organizations that </w:t>
      </w:r>
      <w:r>
        <w:rPr>
          <w:rFonts w:ascii="Garamond" w:hAnsi="Garamond" w:cs="Garamond"/>
          <w:spacing w:val="-3"/>
        </w:rPr>
        <w:t xml:space="preserve">provide </w:t>
      </w:r>
      <w:r>
        <w:rPr>
          <w:rFonts w:ascii="Garamond" w:hAnsi="Garamond" w:cs="Garamond"/>
        </w:rPr>
        <w:t xml:space="preserve">these services are essential. Home-based services are currently offered to children </w:t>
      </w:r>
      <w:r>
        <w:rPr>
          <w:rFonts w:ascii="Garamond" w:hAnsi="Garamond" w:cs="Garamond"/>
          <w:spacing w:val="-3"/>
        </w:rPr>
        <w:t xml:space="preserve">and </w:t>
      </w:r>
      <w:r>
        <w:rPr>
          <w:rFonts w:ascii="Garamond" w:hAnsi="Garamond" w:cs="Garamond"/>
        </w:rPr>
        <w:t xml:space="preserve">families </w:t>
      </w:r>
      <w:r>
        <w:rPr>
          <w:rFonts w:ascii="Garamond" w:hAnsi="Garamond" w:cs="Garamond"/>
          <w:spacing w:val="-3"/>
        </w:rPr>
        <w:t xml:space="preserve">through </w:t>
      </w:r>
      <w:r>
        <w:rPr>
          <w:rFonts w:ascii="Garamond" w:hAnsi="Garamond" w:cs="Garamond"/>
        </w:rPr>
        <w:t xml:space="preserve">such programs as Early Intervention (EI), the Children’s Behavioral Health Initiative, as </w:t>
      </w:r>
      <w:r>
        <w:rPr>
          <w:rFonts w:ascii="Garamond" w:hAnsi="Garamond" w:cs="Garamond"/>
          <w:spacing w:val="-3"/>
        </w:rPr>
        <w:t xml:space="preserve">well </w:t>
      </w:r>
      <w:r>
        <w:rPr>
          <w:rFonts w:ascii="Garamond" w:hAnsi="Garamond" w:cs="Garamond"/>
        </w:rPr>
        <w:t xml:space="preserve">as pilots such </w:t>
      </w:r>
      <w:r>
        <w:rPr>
          <w:rFonts w:ascii="Garamond" w:hAnsi="Garamond" w:cs="Garamond"/>
          <w:spacing w:val="-6"/>
        </w:rPr>
        <w:t xml:space="preserve">as </w:t>
      </w:r>
      <w:r>
        <w:rPr>
          <w:rFonts w:ascii="Garamond" w:hAnsi="Garamond" w:cs="Garamond"/>
        </w:rPr>
        <w:t xml:space="preserve">Boston Children’s Hospital’s Community </w:t>
      </w:r>
      <w:r>
        <w:rPr>
          <w:rFonts w:ascii="Garamond" w:hAnsi="Garamond" w:cs="Garamond"/>
          <w:spacing w:val="-3"/>
        </w:rPr>
        <w:t xml:space="preserve">Asthma </w:t>
      </w:r>
      <w:r>
        <w:rPr>
          <w:rFonts w:ascii="Garamond" w:hAnsi="Garamond" w:cs="Garamond"/>
        </w:rPr>
        <w:t>Initiative.</w:t>
      </w:r>
      <w:r>
        <w:rPr>
          <w:rFonts w:ascii="Garamond" w:hAnsi="Garamond" w:cs="Garamond"/>
          <w:position w:val="5"/>
          <w:sz w:val="14"/>
          <w:szCs w:val="14"/>
        </w:rPr>
        <w:t xml:space="preserve">23 </w:t>
      </w:r>
      <w:r>
        <w:rPr>
          <w:rFonts w:ascii="Garamond" w:hAnsi="Garamond" w:cs="Garamond"/>
        </w:rPr>
        <w:t xml:space="preserve">These services not only target medical </w:t>
      </w:r>
      <w:r>
        <w:rPr>
          <w:rFonts w:ascii="Garamond" w:hAnsi="Garamond" w:cs="Garamond"/>
          <w:spacing w:val="-3"/>
        </w:rPr>
        <w:t xml:space="preserve">and </w:t>
      </w:r>
      <w:r>
        <w:rPr>
          <w:rFonts w:ascii="Garamond" w:hAnsi="Garamond" w:cs="Garamond"/>
        </w:rPr>
        <w:t xml:space="preserve">behavioral health issues, but also bring to light </w:t>
      </w:r>
      <w:r>
        <w:rPr>
          <w:rFonts w:ascii="Garamond" w:hAnsi="Garamond" w:cs="Garamond"/>
          <w:spacing w:val="-3"/>
        </w:rPr>
        <w:t xml:space="preserve">other </w:t>
      </w:r>
      <w:r>
        <w:rPr>
          <w:rFonts w:ascii="Garamond" w:hAnsi="Garamond" w:cs="Garamond"/>
        </w:rPr>
        <w:t xml:space="preserve">factors, such as the home environment, which </w:t>
      </w:r>
      <w:r>
        <w:rPr>
          <w:rFonts w:ascii="Garamond" w:hAnsi="Garamond" w:cs="Garamond"/>
          <w:spacing w:val="-2"/>
        </w:rPr>
        <w:t xml:space="preserve">are </w:t>
      </w:r>
      <w:r>
        <w:rPr>
          <w:rFonts w:ascii="Garamond" w:hAnsi="Garamond" w:cs="Garamond"/>
        </w:rPr>
        <w:t xml:space="preserve">important to the health of </w:t>
      </w:r>
      <w:r>
        <w:rPr>
          <w:rFonts w:ascii="Garamond" w:hAnsi="Garamond" w:cs="Garamond"/>
          <w:spacing w:val="-3"/>
        </w:rPr>
        <w:t xml:space="preserve">children. </w:t>
      </w:r>
      <w:r>
        <w:rPr>
          <w:rFonts w:ascii="Garamond" w:hAnsi="Garamond" w:cs="Garamond"/>
        </w:rPr>
        <w:t xml:space="preserve">In fact, many </w:t>
      </w:r>
      <w:r>
        <w:rPr>
          <w:rFonts w:ascii="Garamond" w:hAnsi="Garamond" w:cs="Garamond"/>
          <w:spacing w:val="-3"/>
        </w:rPr>
        <w:t xml:space="preserve">children </w:t>
      </w:r>
      <w:r>
        <w:rPr>
          <w:rFonts w:ascii="Garamond" w:hAnsi="Garamond" w:cs="Garamond"/>
        </w:rPr>
        <w:t xml:space="preserve">with special health care needs or heightened </w:t>
      </w:r>
      <w:r>
        <w:rPr>
          <w:rFonts w:ascii="Garamond" w:hAnsi="Garamond" w:cs="Garamond"/>
          <w:spacing w:val="-2"/>
        </w:rPr>
        <w:t xml:space="preserve">social </w:t>
      </w:r>
      <w:r>
        <w:rPr>
          <w:rFonts w:ascii="Garamond" w:hAnsi="Garamond" w:cs="Garamond"/>
        </w:rPr>
        <w:t xml:space="preserve">determinants of health risk factors are more likely to engage in home-based services offered through the </w:t>
      </w:r>
      <w:r>
        <w:rPr>
          <w:rFonts w:ascii="Garamond" w:hAnsi="Garamond" w:cs="Garamond"/>
          <w:spacing w:val="-6"/>
        </w:rPr>
        <w:t xml:space="preserve">EI </w:t>
      </w:r>
      <w:r>
        <w:rPr>
          <w:rFonts w:ascii="Garamond" w:hAnsi="Garamond" w:cs="Garamond"/>
        </w:rPr>
        <w:t>program.</w:t>
      </w:r>
    </w:p>
    <w:p w:rsidR="002C5025" w:rsidRDefault="002C5025">
      <w:pPr>
        <w:pStyle w:val="BodyText"/>
        <w:kinsoku w:val="0"/>
        <w:overflowPunct w:val="0"/>
        <w:rPr>
          <w:rFonts w:ascii="Garamond" w:hAnsi="Garamond" w:cs="Garamond"/>
          <w:sz w:val="20"/>
          <w:szCs w:val="20"/>
        </w:rPr>
      </w:pPr>
    </w:p>
    <w:p w:rsidR="002C5025" w:rsidRDefault="00FB027C">
      <w:pPr>
        <w:pStyle w:val="BodyText"/>
        <w:kinsoku w:val="0"/>
        <w:overflowPunct w:val="0"/>
        <w:spacing w:before="4"/>
        <w:rPr>
          <w:rFonts w:ascii="Garamond" w:hAnsi="Garamond" w:cs="Garamond"/>
          <w:sz w:val="17"/>
          <w:szCs w:val="17"/>
        </w:rPr>
      </w:pPr>
      <w:r>
        <w:rPr>
          <w:noProof/>
        </w:rPr>
        <mc:AlternateContent>
          <mc:Choice Requires="wps">
            <w:drawing>
              <wp:anchor distT="0" distB="0" distL="0" distR="0" simplePos="0" relativeHeight="251660800" behindDoc="0" locked="0" layoutInCell="0" allowOverlap="1">
                <wp:simplePos x="0" y="0"/>
                <wp:positionH relativeFrom="page">
                  <wp:posOffset>923925</wp:posOffset>
                </wp:positionH>
                <wp:positionV relativeFrom="paragraph">
                  <wp:posOffset>154305</wp:posOffset>
                </wp:positionV>
                <wp:extent cx="1829435" cy="12700"/>
                <wp:effectExtent l="0" t="0" r="0" b="0"/>
                <wp:wrapTopAndBottom/>
                <wp:docPr id="558" name="Freeform 4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1 w 2881"/>
                            <a:gd name="T3" fmla="*/ 0 h 20"/>
                          </a:gdLst>
                          <a:ahLst/>
                          <a:cxnLst>
                            <a:cxn ang="0">
                              <a:pos x="T0" y="T1"/>
                            </a:cxn>
                            <a:cxn ang="0">
                              <a:pos x="T2" y="T3"/>
                            </a:cxn>
                          </a:cxnLst>
                          <a:rect l="0" t="0" r="r" b="b"/>
                          <a:pathLst>
                            <a:path w="2881" h="20">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67" o:spid="_x0000_s1026" style="position:absolute;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2.75pt,12.15pt,216.8pt,12.15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" o:allowincell="f" filled="f" strokeweight=".82pt">
                <v:path arrowok="t" o:connecttype="custom" o:connectlocs="0,0;1829435,0" o:connectangles="0,0"/>
                <w10:wrap type="topAndBottom" anchorx="page"/>
              </v:polyline>
            </w:pict>
          </mc:Fallback>
        </mc:AlternateContent>
      </w:r>
    </w:p>
    <w:p w:rsidR="002C5025" w:rsidRDefault="002C5025">
      <w:pPr>
        <w:pStyle w:val="BodyText"/>
        <w:kinsoku w:val="0"/>
        <w:overflowPunct w:val="0"/>
        <w:spacing w:before="69"/>
        <w:ind w:left="120" w:right="225"/>
        <w:rPr>
          <w:rFonts w:ascii="Garamond" w:hAnsi="Garamond" w:cs="Garamond"/>
          <w:color w:val="0000FF"/>
          <w:w w:val="95"/>
          <w:sz w:val="20"/>
          <w:szCs w:val="20"/>
        </w:rPr>
      </w:pPr>
      <w:r>
        <w:rPr>
          <w:rFonts w:ascii="Garamond" w:hAnsi="Garamond" w:cs="Garamond"/>
          <w:position w:val="5"/>
          <w:sz w:val="13"/>
          <w:szCs w:val="13"/>
        </w:rPr>
        <w:t xml:space="preserve">22 </w:t>
      </w:r>
      <w:r>
        <w:rPr>
          <w:rFonts w:ascii="Garamond" w:hAnsi="Garamond" w:cs="Garamond"/>
          <w:sz w:val="20"/>
          <w:szCs w:val="20"/>
        </w:rPr>
        <w:t xml:space="preserve">Massachusetts Medicaid Policy Institute, “MassHealth: The Basics, June 2016.” Available at: </w:t>
      </w:r>
      <w:hyperlink r:id="rId325" w:history="1">
        <w:r>
          <w:rPr>
            <w:rFonts w:ascii="Garamond" w:hAnsi="Garamond" w:cs="Garamond"/>
            <w:color w:val="0000FF"/>
            <w:w w:val="95"/>
            <w:sz w:val="20"/>
            <w:szCs w:val="20"/>
            <w:u w:val="single"/>
          </w:rPr>
          <w:t>http://www.bluecrossfoundation.org/sites/default/files/download/publication/MassHealthBasics_Chartpack_FY2015</w:t>
        </w:r>
      </w:hyperlink>
    </w:p>
    <w:p w:rsidR="002C5025" w:rsidRDefault="00FD19EE">
      <w:pPr>
        <w:pStyle w:val="BodyText"/>
        <w:kinsoku w:val="0"/>
        <w:overflowPunct w:val="0"/>
        <w:spacing w:line="224" w:lineRule="exact"/>
        <w:ind w:left="120" w:right="225"/>
        <w:rPr>
          <w:rFonts w:ascii="Garamond" w:hAnsi="Garamond" w:cs="Garamond"/>
          <w:color w:val="000000"/>
          <w:sz w:val="20"/>
          <w:szCs w:val="20"/>
        </w:rPr>
      </w:pPr>
      <w:hyperlink r:id="rId326" w:history="1">
        <w:r w:rsidR="002C5025">
          <w:rPr>
            <w:rFonts w:ascii="Garamond" w:hAnsi="Garamond" w:cs="Garamond"/>
            <w:color w:val="0000FF"/>
            <w:sz w:val="20"/>
            <w:szCs w:val="20"/>
            <w:u w:val="single"/>
          </w:rPr>
          <w:t>_FINAL_1.pdf</w:t>
        </w:r>
        <w:r w:rsidR="002C5025">
          <w:rPr>
            <w:rFonts w:ascii="Garamond" w:hAnsi="Garamond" w:cs="Garamond"/>
            <w:color w:val="000000"/>
            <w:sz w:val="20"/>
            <w:szCs w:val="20"/>
          </w:rPr>
          <w:t>.</w:t>
        </w:r>
      </w:hyperlink>
    </w:p>
    <w:p w:rsidR="002C5025" w:rsidRDefault="002C5025">
      <w:pPr>
        <w:pStyle w:val="BodyText"/>
        <w:kinsoku w:val="0"/>
        <w:overflowPunct w:val="0"/>
        <w:ind w:left="120" w:right="180"/>
        <w:rPr>
          <w:rFonts w:ascii="Garamond" w:hAnsi="Garamond" w:cs="Garamond"/>
          <w:color w:val="0000FF"/>
          <w:sz w:val="20"/>
          <w:szCs w:val="20"/>
        </w:rPr>
      </w:pPr>
      <w:r>
        <w:rPr>
          <w:rFonts w:ascii="Garamond" w:hAnsi="Garamond" w:cs="Garamond"/>
          <w:position w:val="5"/>
          <w:sz w:val="13"/>
          <w:szCs w:val="13"/>
        </w:rPr>
        <w:t>23</w:t>
      </w:r>
      <w:r>
        <w:rPr>
          <w:rFonts w:ascii="Garamond" w:hAnsi="Garamond" w:cs="Garamond"/>
          <w:spacing w:val="6"/>
          <w:position w:val="5"/>
          <w:sz w:val="13"/>
          <w:szCs w:val="13"/>
        </w:rPr>
        <w:t xml:space="preserve"> </w:t>
      </w:r>
      <w:r>
        <w:rPr>
          <w:rFonts w:ascii="Garamond" w:hAnsi="Garamond" w:cs="Garamond"/>
          <w:sz w:val="20"/>
          <w:szCs w:val="20"/>
        </w:rPr>
        <w:t>MA</w:t>
      </w:r>
      <w:r>
        <w:rPr>
          <w:rFonts w:ascii="Garamond" w:hAnsi="Garamond" w:cs="Garamond"/>
          <w:spacing w:val="-14"/>
          <w:sz w:val="20"/>
          <w:szCs w:val="20"/>
        </w:rPr>
        <w:t xml:space="preserve"> </w:t>
      </w:r>
      <w:r>
        <w:rPr>
          <w:rFonts w:ascii="Garamond" w:hAnsi="Garamond" w:cs="Garamond"/>
          <w:sz w:val="20"/>
          <w:szCs w:val="20"/>
        </w:rPr>
        <w:t>Department</w:t>
      </w:r>
      <w:r>
        <w:rPr>
          <w:rFonts w:ascii="Garamond" w:hAnsi="Garamond" w:cs="Garamond"/>
          <w:spacing w:val="-14"/>
          <w:sz w:val="20"/>
          <w:szCs w:val="20"/>
        </w:rPr>
        <w:t xml:space="preserve"> </w:t>
      </w:r>
      <w:r>
        <w:rPr>
          <w:rFonts w:ascii="Garamond" w:hAnsi="Garamond" w:cs="Garamond"/>
          <w:sz w:val="20"/>
          <w:szCs w:val="20"/>
        </w:rPr>
        <w:t>of</w:t>
      </w:r>
      <w:r>
        <w:rPr>
          <w:rFonts w:ascii="Garamond" w:hAnsi="Garamond" w:cs="Garamond"/>
          <w:spacing w:val="-10"/>
          <w:sz w:val="20"/>
          <w:szCs w:val="20"/>
        </w:rPr>
        <w:t xml:space="preserve"> </w:t>
      </w:r>
      <w:r>
        <w:rPr>
          <w:rFonts w:ascii="Garamond" w:hAnsi="Garamond" w:cs="Garamond"/>
          <w:sz w:val="20"/>
          <w:szCs w:val="20"/>
        </w:rPr>
        <w:t>Public</w:t>
      </w:r>
      <w:r>
        <w:rPr>
          <w:rFonts w:ascii="Garamond" w:hAnsi="Garamond" w:cs="Garamond"/>
          <w:spacing w:val="-10"/>
          <w:sz w:val="20"/>
          <w:szCs w:val="20"/>
        </w:rPr>
        <w:t xml:space="preserve"> </w:t>
      </w:r>
      <w:r>
        <w:rPr>
          <w:rFonts w:ascii="Garamond" w:hAnsi="Garamond" w:cs="Garamond"/>
          <w:sz w:val="20"/>
          <w:szCs w:val="20"/>
        </w:rPr>
        <w:t>Health.</w:t>
      </w:r>
      <w:r>
        <w:rPr>
          <w:rFonts w:ascii="Garamond" w:hAnsi="Garamond" w:cs="Garamond"/>
          <w:spacing w:val="-14"/>
          <w:sz w:val="20"/>
          <w:szCs w:val="20"/>
        </w:rPr>
        <w:t xml:space="preserve"> </w:t>
      </w:r>
      <w:r>
        <w:rPr>
          <w:rFonts w:ascii="Garamond" w:hAnsi="Garamond" w:cs="Garamond"/>
          <w:sz w:val="20"/>
          <w:szCs w:val="20"/>
        </w:rPr>
        <w:t>(2015).</w:t>
      </w:r>
      <w:r>
        <w:rPr>
          <w:rFonts w:ascii="Garamond" w:hAnsi="Garamond" w:cs="Garamond"/>
          <w:spacing w:val="-11"/>
          <w:sz w:val="20"/>
          <w:szCs w:val="20"/>
        </w:rPr>
        <w:t xml:space="preserve"> </w:t>
      </w:r>
      <w:r>
        <w:rPr>
          <w:rFonts w:ascii="Garamond" w:hAnsi="Garamond" w:cs="Garamond"/>
          <w:i/>
          <w:iCs/>
          <w:sz w:val="20"/>
          <w:szCs w:val="20"/>
        </w:rPr>
        <w:t>Massachusetts</w:t>
      </w:r>
      <w:r>
        <w:rPr>
          <w:rFonts w:ascii="Garamond" w:hAnsi="Garamond" w:cs="Garamond"/>
          <w:i/>
          <w:iCs/>
          <w:spacing w:val="-14"/>
          <w:sz w:val="20"/>
          <w:szCs w:val="20"/>
        </w:rPr>
        <w:t xml:space="preserve"> </w:t>
      </w:r>
      <w:r>
        <w:rPr>
          <w:rFonts w:ascii="Garamond" w:hAnsi="Garamond" w:cs="Garamond"/>
          <w:i/>
          <w:iCs/>
          <w:sz w:val="20"/>
          <w:szCs w:val="20"/>
        </w:rPr>
        <w:t>Home</w:t>
      </w:r>
      <w:r>
        <w:rPr>
          <w:rFonts w:ascii="Garamond" w:hAnsi="Garamond" w:cs="Garamond"/>
          <w:i/>
          <w:iCs/>
          <w:spacing w:val="-11"/>
          <w:sz w:val="20"/>
          <w:szCs w:val="20"/>
        </w:rPr>
        <w:t xml:space="preserve"> </w:t>
      </w:r>
      <w:r>
        <w:rPr>
          <w:rFonts w:ascii="Garamond" w:hAnsi="Garamond" w:cs="Garamond"/>
          <w:i/>
          <w:iCs/>
          <w:sz w:val="20"/>
          <w:szCs w:val="20"/>
        </w:rPr>
        <w:t>Visiting</w:t>
      </w:r>
      <w:r>
        <w:rPr>
          <w:rFonts w:ascii="Garamond" w:hAnsi="Garamond" w:cs="Garamond"/>
          <w:i/>
          <w:iCs/>
          <w:spacing w:val="-13"/>
          <w:sz w:val="20"/>
          <w:szCs w:val="20"/>
        </w:rPr>
        <w:t xml:space="preserve"> </w:t>
      </w:r>
      <w:r>
        <w:rPr>
          <w:rFonts w:ascii="Garamond" w:hAnsi="Garamond" w:cs="Garamond"/>
          <w:i/>
          <w:iCs/>
          <w:sz w:val="20"/>
          <w:szCs w:val="20"/>
        </w:rPr>
        <w:t>Initiative</w:t>
      </w:r>
      <w:r>
        <w:rPr>
          <w:rFonts w:ascii="Garamond" w:hAnsi="Garamond" w:cs="Garamond"/>
          <w:sz w:val="20"/>
          <w:szCs w:val="20"/>
        </w:rPr>
        <w:t>.</w:t>
      </w:r>
      <w:r>
        <w:rPr>
          <w:rFonts w:ascii="Garamond" w:hAnsi="Garamond" w:cs="Garamond"/>
          <w:spacing w:val="-9"/>
          <w:sz w:val="20"/>
          <w:szCs w:val="20"/>
        </w:rPr>
        <w:t xml:space="preserve"> </w:t>
      </w:r>
      <w:r>
        <w:rPr>
          <w:rFonts w:ascii="Garamond" w:hAnsi="Garamond" w:cs="Garamond"/>
          <w:sz w:val="20"/>
          <w:szCs w:val="20"/>
        </w:rPr>
        <w:t>Executive</w:t>
      </w:r>
      <w:r>
        <w:rPr>
          <w:rFonts w:ascii="Garamond" w:hAnsi="Garamond" w:cs="Garamond"/>
          <w:spacing w:val="-12"/>
          <w:sz w:val="20"/>
          <w:szCs w:val="20"/>
        </w:rPr>
        <w:t xml:space="preserve"> </w:t>
      </w:r>
      <w:r>
        <w:rPr>
          <w:rFonts w:ascii="Garamond" w:hAnsi="Garamond" w:cs="Garamond"/>
          <w:sz w:val="20"/>
          <w:szCs w:val="20"/>
        </w:rPr>
        <w:t>Office</w:t>
      </w:r>
      <w:r>
        <w:rPr>
          <w:rFonts w:ascii="Garamond" w:hAnsi="Garamond" w:cs="Garamond"/>
          <w:spacing w:val="-10"/>
          <w:sz w:val="20"/>
          <w:szCs w:val="20"/>
        </w:rPr>
        <w:t xml:space="preserve"> </w:t>
      </w:r>
      <w:r>
        <w:rPr>
          <w:rFonts w:ascii="Garamond" w:hAnsi="Garamond" w:cs="Garamond"/>
          <w:sz w:val="20"/>
          <w:szCs w:val="20"/>
        </w:rPr>
        <w:t>of</w:t>
      </w:r>
      <w:r>
        <w:rPr>
          <w:rFonts w:ascii="Garamond" w:hAnsi="Garamond" w:cs="Garamond"/>
          <w:spacing w:val="-10"/>
          <w:sz w:val="20"/>
          <w:szCs w:val="20"/>
        </w:rPr>
        <w:t xml:space="preserve"> </w:t>
      </w:r>
      <w:r>
        <w:rPr>
          <w:rFonts w:ascii="Garamond" w:hAnsi="Garamond" w:cs="Garamond"/>
          <w:sz w:val="20"/>
          <w:szCs w:val="20"/>
        </w:rPr>
        <w:t>Health</w:t>
      </w:r>
      <w:r>
        <w:rPr>
          <w:rFonts w:ascii="Garamond" w:hAnsi="Garamond" w:cs="Garamond"/>
          <w:spacing w:val="-16"/>
          <w:sz w:val="20"/>
          <w:szCs w:val="20"/>
        </w:rPr>
        <w:t xml:space="preserve"> </w:t>
      </w:r>
      <w:r>
        <w:rPr>
          <w:rFonts w:ascii="Garamond" w:hAnsi="Garamond" w:cs="Garamond"/>
          <w:sz w:val="20"/>
          <w:szCs w:val="20"/>
        </w:rPr>
        <w:t>and</w:t>
      </w:r>
      <w:r>
        <w:rPr>
          <w:rFonts w:ascii="Garamond" w:hAnsi="Garamond" w:cs="Garamond"/>
          <w:spacing w:val="-10"/>
          <w:sz w:val="20"/>
          <w:szCs w:val="20"/>
        </w:rPr>
        <w:t xml:space="preserve"> </w:t>
      </w:r>
      <w:r>
        <w:rPr>
          <w:rFonts w:ascii="Garamond" w:hAnsi="Garamond" w:cs="Garamond"/>
          <w:sz w:val="20"/>
          <w:szCs w:val="20"/>
        </w:rPr>
        <w:t xml:space="preserve">Human Services. </w:t>
      </w:r>
      <w:proofErr w:type="spellStart"/>
      <w:r>
        <w:rPr>
          <w:rFonts w:ascii="Garamond" w:hAnsi="Garamond" w:cs="Garamond"/>
          <w:sz w:val="20"/>
          <w:szCs w:val="20"/>
        </w:rPr>
        <w:t>Retrievedfrom</w:t>
      </w:r>
      <w:proofErr w:type="spellEnd"/>
      <w:r>
        <w:rPr>
          <w:rFonts w:ascii="Garamond" w:hAnsi="Garamond" w:cs="Garamond"/>
          <w:sz w:val="20"/>
          <w:szCs w:val="20"/>
        </w:rPr>
        <w:t xml:space="preserve"> </w:t>
      </w:r>
      <w:hyperlink r:id="rId327" w:history="1">
        <w:r>
          <w:rPr>
            <w:rFonts w:ascii="Garamond" w:hAnsi="Garamond" w:cs="Garamond"/>
            <w:color w:val="0000FF"/>
            <w:sz w:val="20"/>
            <w:szCs w:val="20"/>
            <w:u w:val="single"/>
          </w:rPr>
          <w:t>http://www.mass.gov/eohhs/gov/departments/dph/programs/family-health/home-</w:t>
        </w:r>
      </w:hyperlink>
      <w:r>
        <w:rPr>
          <w:rFonts w:ascii="Garamond" w:hAnsi="Garamond" w:cs="Garamond"/>
          <w:color w:val="0000FF"/>
          <w:sz w:val="20"/>
          <w:szCs w:val="20"/>
          <w:u w:val="single"/>
        </w:rPr>
        <w:t xml:space="preserve"> </w:t>
      </w:r>
      <w:hyperlink r:id="rId328" w:history="1">
        <w:r>
          <w:rPr>
            <w:rFonts w:ascii="Garamond" w:hAnsi="Garamond" w:cs="Garamond"/>
            <w:color w:val="0000FF"/>
            <w:sz w:val="20"/>
            <w:szCs w:val="20"/>
            <w:u w:val="single"/>
          </w:rPr>
          <w:t>visiting/the-massachusetts-home-visiting-initiative.html</w:t>
        </w:r>
        <w:r>
          <w:rPr>
            <w:rFonts w:ascii="Garamond" w:hAnsi="Garamond" w:cs="Garamond"/>
            <w:color w:val="000000"/>
            <w:sz w:val="20"/>
            <w:szCs w:val="20"/>
            <w:u w:val="single"/>
          </w:rPr>
          <w:t>;</w:t>
        </w:r>
      </w:hyperlink>
      <w:r>
        <w:rPr>
          <w:rFonts w:ascii="Garamond" w:hAnsi="Garamond" w:cs="Garamond"/>
          <w:color w:val="000000"/>
          <w:sz w:val="20"/>
          <w:szCs w:val="20"/>
          <w:u w:val="single"/>
        </w:rPr>
        <w:t xml:space="preserve"> MA Department of Public Health. (2015). </w:t>
      </w:r>
      <w:r>
        <w:rPr>
          <w:rFonts w:ascii="Garamond" w:hAnsi="Garamond" w:cs="Garamond"/>
          <w:i/>
          <w:iCs/>
          <w:color w:val="000000"/>
          <w:sz w:val="20"/>
          <w:szCs w:val="20"/>
          <w:u w:val="single"/>
        </w:rPr>
        <w:t xml:space="preserve">Children’s Behavioral Health Initiative. </w:t>
      </w:r>
      <w:r>
        <w:rPr>
          <w:rFonts w:ascii="Garamond" w:hAnsi="Garamond" w:cs="Garamond"/>
          <w:color w:val="000000"/>
          <w:sz w:val="20"/>
          <w:szCs w:val="20"/>
          <w:u w:val="single"/>
        </w:rPr>
        <w:t xml:space="preserve">Executive Office of Health and Human Services. Retrieved from </w:t>
      </w:r>
      <w:hyperlink r:id="rId329" w:history="1">
        <w:r>
          <w:rPr>
            <w:rFonts w:ascii="Garamond" w:hAnsi="Garamond" w:cs="Garamond"/>
            <w:color w:val="0000FF"/>
            <w:sz w:val="20"/>
            <w:szCs w:val="20"/>
            <w:u w:val="single"/>
          </w:rPr>
          <w:t>http://www.mass.gov/eohhs/gov/commissions-and-initiatives/cbhi/</w:t>
        </w:r>
        <w:r>
          <w:rPr>
            <w:rFonts w:ascii="Garamond" w:hAnsi="Garamond" w:cs="Garamond"/>
            <w:color w:val="000000"/>
            <w:sz w:val="20"/>
            <w:szCs w:val="20"/>
            <w:u w:val="single"/>
          </w:rPr>
          <w:t>;</w:t>
        </w:r>
      </w:hyperlink>
      <w:r>
        <w:rPr>
          <w:rFonts w:ascii="Garamond" w:hAnsi="Garamond" w:cs="Garamond"/>
          <w:color w:val="000000"/>
          <w:sz w:val="20"/>
          <w:szCs w:val="20"/>
          <w:u w:val="single"/>
        </w:rPr>
        <w:t xml:space="preserve"> Boston Children’s Hospital. (2015). </w:t>
      </w:r>
      <w:r>
        <w:rPr>
          <w:rFonts w:ascii="Garamond" w:hAnsi="Garamond" w:cs="Garamond"/>
          <w:i/>
          <w:iCs/>
          <w:color w:val="000000"/>
          <w:sz w:val="20"/>
          <w:szCs w:val="20"/>
          <w:u w:val="single"/>
        </w:rPr>
        <w:t>Community Asthma Initiative</w:t>
      </w:r>
      <w:r>
        <w:rPr>
          <w:rFonts w:ascii="Garamond" w:hAnsi="Garamond" w:cs="Garamond"/>
          <w:color w:val="000000"/>
          <w:sz w:val="20"/>
          <w:szCs w:val="20"/>
          <w:u w:val="single"/>
        </w:rPr>
        <w:t xml:space="preserve">. Boston Children’s Hospital. Retrieved from </w:t>
      </w:r>
      <w:hyperlink r:id="rId330" w:history="1">
        <w:r>
          <w:rPr>
            <w:rFonts w:ascii="Garamond" w:hAnsi="Garamond" w:cs="Garamond"/>
            <w:color w:val="0000FF"/>
            <w:sz w:val="20"/>
            <w:szCs w:val="20"/>
            <w:u w:val="single"/>
          </w:rPr>
          <w:t>http://www.childrenshospital.org/centers-and-</w:t>
        </w:r>
      </w:hyperlink>
      <w:r>
        <w:rPr>
          <w:rFonts w:ascii="Garamond" w:hAnsi="Garamond" w:cs="Garamond"/>
          <w:color w:val="0000FF"/>
          <w:sz w:val="20"/>
          <w:szCs w:val="20"/>
          <w:u w:val="single"/>
        </w:rPr>
        <w:t xml:space="preserve"> </w:t>
      </w:r>
      <w:hyperlink r:id="rId331" w:history="1">
        <w:r>
          <w:rPr>
            <w:rFonts w:ascii="Garamond" w:hAnsi="Garamond" w:cs="Garamond"/>
            <w:color w:val="0000FF"/>
            <w:sz w:val="20"/>
            <w:szCs w:val="20"/>
            <w:u w:val="single"/>
          </w:rPr>
          <w:t>services/community-asthma-initiative-program</w:t>
        </w:r>
        <w:r>
          <w:rPr>
            <w:rFonts w:ascii="Garamond" w:hAnsi="Garamond" w:cs="Garamond"/>
            <w:color w:val="000000"/>
            <w:sz w:val="20"/>
            <w:szCs w:val="20"/>
            <w:u w:val="single"/>
          </w:rPr>
          <w:t>.</w:t>
        </w:r>
      </w:hyperlink>
    </w:p>
    <w:p w:rsidR="002C5025" w:rsidRDefault="002C5025">
      <w:pPr>
        <w:pStyle w:val="BodyText"/>
        <w:kinsoku w:val="0"/>
        <w:overflowPunct w:val="0"/>
        <w:spacing w:before="10"/>
        <w:rPr>
          <w:rFonts w:ascii="Garamond" w:hAnsi="Garamond" w:cs="Garamond"/>
          <w:sz w:val="12"/>
          <w:szCs w:val="12"/>
        </w:rPr>
      </w:pPr>
    </w:p>
    <w:p w:rsidR="002C5025" w:rsidRDefault="002C5025">
      <w:pPr>
        <w:pStyle w:val="BodyText"/>
        <w:kinsoku w:val="0"/>
        <w:overflowPunct w:val="0"/>
        <w:spacing w:before="81"/>
        <w:ind w:left="576" w:right="436"/>
        <w:jc w:val="center"/>
        <w:rPr>
          <w:rFonts w:ascii="Garamond" w:hAnsi="Garamond" w:cs="Garamond"/>
          <w:sz w:val="20"/>
          <w:szCs w:val="20"/>
        </w:rPr>
      </w:pPr>
      <w:r>
        <w:rPr>
          <w:rFonts w:ascii="Garamond" w:hAnsi="Garamond" w:cs="Garamond"/>
          <w:sz w:val="20"/>
          <w:szCs w:val="20"/>
        </w:rPr>
        <w:t>10</w:t>
      </w:r>
    </w:p>
    <w:p w:rsidR="002C5025" w:rsidRDefault="002C5025">
      <w:pPr>
        <w:pStyle w:val="BodyText"/>
        <w:kinsoku w:val="0"/>
        <w:overflowPunct w:val="0"/>
        <w:spacing w:before="81"/>
        <w:ind w:left="576" w:right="436"/>
        <w:jc w:val="center"/>
        <w:rPr>
          <w:rFonts w:ascii="Garamond" w:hAnsi="Garamond" w:cs="Garamond"/>
          <w:sz w:val="20"/>
          <w:szCs w:val="20"/>
        </w:rPr>
        <w:sectPr w:rsidR="002C5025">
          <w:pgSz w:w="12240" w:h="15840"/>
          <w:pgMar w:top="1500" w:right="1460" w:bottom="280" w:left="1320" w:header="720" w:footer="720" w:gutter="0"/>
          <w:cols w:space="720" w:equalWidth="0">
            <w:col w:w="9460"/>
          </w:cols>
          <w:noEndnote/>
        </w:sectPr>
      </w:pPr>
    </w:p>
    <w:p w:rsidR="002C5025" w:rsidRDefault="002C5025">
      <w:pPr>
        <w:pStyle w:val="BodyText"/>
        <w:kinsoku w:val="0"/>
        <w:overflowPunct w:val="0"/>
        <w:spacing w:before="60"/>
        <w:ind w:left="118" w:right="197" w:firstLine="2"/>
        <w:rPr>
          <w:rFonts w:ascii="Garamond" w:hAnsi="Garamond" w:cs="Garamond"/>
        </w:rPr>
      </w:pPr>
      <w:r>
        <w:rPr>
          <w:rFonts w:ascii="Garamond" w:hAnsi="Garamond" w:cs="Garamond"/>
        </w:rPr>
        <w:lastRenderedPageBreak/>
        <w:t xml:space="preserve">ACOs must have sufficient pediatric primary and specialty care providers for the number of children managed by the </w:t>
      </w:r>
      <w:r>
        <w:rPr>
          <w:rFonts w:ascii="Garamond" w:hAnsi="Garamond" w:cs="Garamond"/>
          <w:spacing w:val="-3"/>
        </w:rPr>
        <w:t xml:space="preserve">ACO. </w:t>
      </w:r>
      <w:r>
        <w:rPr>
          <w:rFonts w:ascii="Garamond" w:hAnsi="Garamond" w:cs="Garamond"/>
        </w:rPr>
        <w:t xml:space="preserve">MassHealth should also allow pediatric-focused </w:t>
      </w:r>
      <w:r>
        <w:rPr>
          <w:rFonts w:ascii="Garamond" w:hAnsi="Garamond" w:cs="Garamond"/>
          <w:spacing w:val="-3"/>
        </w:rPr>
        <w:t xml:space="preserve">ACOs, </w:t>
      </w:r>
      <w:r>
        <w:rPr>
          <w:rFonts w:ascii="Garamond" w:hAnsi="Garamond" w:cs="Garamond"/>
        </w:rPr>
        <w:t xml:space="preserve">in addition to ACOs that provide care for both children and adults. Mechanisms should be in place to ensure that practices serving adults and children can </w:t>
      </w:r>
      <w:r>
        <w:rPr>
          <w:rFonts w:ascii="Garamond" w:hAnsi="Garamond" w:cs="Garamond"/>
          <w:spacing w:val="-3"/>
        </w:rPr>
        <w:t xml:space="preserve">partner </w:t>
      </w:r>
      <w:r>
        <w:rPr>
          <w:rFonts w:ascii="Garamond" w:hAnsi="Garamond" w:cs="Garamond"/>
        </w:rPr>
        <w:t xml:space="preserve">with pediatric-focused </w:t>
      </w:r>
      <w:r>
        <w:rPr>
          <w:rFonts w:ascii="Garamond" w:hAnsi="Garamond" w:cs="Garamond"/>
          <w:spacing w:val="-4"/>
        </w:rPr>
        <w:t xml:space="preserve">ACOs </w:t>
      </w:r>
      <w:r>
        <w:rPr>
          <w:rFonts w:ascii="Garamond" w:hAnsi="Garamond" w:cs="Garamond"/>
        </w:rPr>
        <w:t xml:space="preserve">and resources. We </w:t>
      </w:r>
      <w:r>
        <w:rPr>
          <w:rFonts w:ascii="Garamond" w:hAnsi="Garamond" w:cs="Garamond"/>
          <w:spacing w:val="-3"/>
        </w:rPr>
        <w:t xml:space="preserve">have </w:t>
      </w:r>
      <w:r>
        <w:rPr>
          <w:rFonts w:ascii="Garamond" w:hAnsi="Garamond" w:cs="Garamond"/>
        </w:rPr>
        <w:t xml:space="preserve">particular </w:t>
      </w:r>
      <w:r>
        <w:rPr>
          <w:rFonts w:ascii="Garamond" w:hAnsi="Garamond" w:cs="Garamond"/>
          <w:spacing w:val="-3"/>
        </w:rPr>
        <w:t xml:space="preserve">concerns </w:t>
      </w:r>
      <w:r>
        <w:rPr>
          <w:rFonts w:ascii="Garamond" w:hAnsi="Garamond" w:cs="Garamond"/>
        </w:rPr>
        <w:t xml:space="preserve">about network adequacy for pediatric specialty providers. Due to provider-MCO contracting issues, we already see children losing </w:t>
      </w:r>
      <w:r>
        <w:rPr>
          <w:rFonts w:ascii="Garamond" w:hAnsi="Garamond" w:cs="Garamond"/>
          <w:spacing w:val="-3"/>
        </w:rPr>
        <w:t xml:space="preserve">access </w:t>
      </w:r>
      <w:r>
        <w:rPr>
          <w:rFonts w:ascii="Garamond" w:hAnsi="Garamond" w:cs="Garamond"/>
        </w:rPr>
        <w:t xml:space="preserve">to preferred specialists. This is particularly </w:t>
      </w:r>
      <w:r>
        <w:rPr>
          <w:rFonts w:ascii="Garamond" w:hAnsi="Garamond" w:cs="Garamond"/>
          <w:spacing w:val="-4"/>
        </w:rPr>
        <w:t xml:space="preserve">concerning </w:t>
      </w:r>
      <w:r>
        <w:rPr>
          <w:rFonts w:ascii="Garamond" w:hAnsi="Garamond" w:cs="Garamond"/>
        </w:rPr>
        <w:t>for children with behavioral</w:t>
      </w:r>
      <w:r>
        <w:rPr>
          <w:rFonts w:ascii="Garamond" w:hAnsi="Garamond" w:cs="Garamond"/>
          <w:spacing w:val="-8"/>
        </w:rPr>
        <w:t xml:space="preserve"> </w:t>
      </w:r>
      <w:r>
        <w:rPr>
          <w:rFonts w:ascii="Garamond" w:hAnsi="Garamond" w:cs="Garamond"/>
        </w:rPr>
        <w:t>health</w:t>
      </w:r>
      <w:r>
        <w:rPr>
          <w:rFonts w:ascii="Garamond" w:hAnsi="Garamond" w:cs="Garamond"/>
          <w:spacing w:val="-7"/>
        </w:rPr>
        <w:t xml:space="preserve"> </w:t>
      </w:r>
      <w:r>
        <w:rPr>
          <w:rFonts w:ascii="Garamond" w:hAnsi="Garamond" w:cs="Garamond"/>
        </w:rPr>
        <w:t>needs,</w:t>
      </w:r>
      <w:r>
        <w:rPr>
          <w:rFonts w:ascii="Garamond" w:hAnsi="Garamond" w:cs="Garamond"/>
          <w:spacing w:val="-8"/>
        </w:rPr>
        <w:t xml:space="preserve"> </w:t>
      </w:r>
      <w:r>
        <w:rPr>
          <w:rFonts w:ascii="Garamond" w:hAnsi="Garamond" w:cs="Garamond"/>
        </w:rPr>
        <w:t>as</w:t>
      </w:r>
      <w:r>
        <w:rPr>
          <w:rFonts w:ascii="Garamond" w:hAnsi="Garamond" w:cs="Garamond"/>
          <w:spacing w:val="-6"/>
        </w:rPr>
        <w:t xml:space="preserve"> </w:t>
      </w:r>
      <w:r>
        <w:rPr>
          <w:rFonts w:ascii="Garamond" w:hAnsi="Garamond" w:cs="Garamond"/>
        </w:rPr>
        <w:t>there</w:t>
      </w:r>
      <w:r>
        <w:rPr>
          <w:rFonts w:ascii="Garamond" w:hAnsi="Garamond" w:cs="Garamond"/>
          <w:spacing w:val="-8"/>
        </w:rPr>
        <w:t xml:space="preserve"> </w:t>
      </w:r>
      <w:r>
        <w:rPr>
          <w:rFonts w:ascii="Garamond" w:hAnsi="Garamond" w:cs="Garamond"/>
        </w:rPr>
        <w:t>is</w:t>
      </w:r>
      <w:r>
        <w:rPr>
          <w:rFonts w:ascii="Garamond" w:hAnsi="Garamond" w:cs="Garamond"/>
          <w:spacing w:val="-8"/>
        </w:rPr>
        <w:t xml:space="preserve"> </w:t>
      </w:r>
      <w:r>
        <w:rPr>
          <w:rFonts w:ascii="Garamond" w:hAnsi="Garamond" w:cs="Garamond"/>
        </w:rPr>
        <w:t>often</w:t>
      </w:r>
      <w:r>
        <w:rPr>
          <w:rFonts w:ascii="Garamond" w:hAnsi="Garamond" w:cs="Garamond"/>
          <w:spacing w:val="-10"/>
        </w:rPr>
        <w:t xml:space="preserve"> </w:t>
      </w:r>
      <w:r>
        <w:rPr>
          <w:rFonts w:ascii="Garamond" w:hAnsi="Garamond" w:cs="Garamond"/>
        </w:rPr>
        <w:t>a</w:t>
      </w:r>
      <w:r>
        <w:rPr>
          <w:rFonts w:ascii="Garamond" w:hAnsi="Garamond" w:cs="Garamond"/>
          <w:spacing w:val="-11"/>
        </w:rPr>
        <w:t xml:space="preserve"> </w:t>
      </w:r>
      <w:r>
        <w:rPr>
          <w:rFonts w:ascii="Garamond" w:hAnsi="Garamond" w:cs="Garamond"/>
        </w:rPr>
        <w:t>shortage</w:t>
      </w:r>
      <w:r>
        <w:rPr>
          <w:rFonts w:ascii="Garamond" w:hAnsi="Garamond" w:cs="Garamond"/>
          <w:spacing w:val="-13"/>
        </w:rPr>
        <w:t xml:space="preserve"> </w:t>
      </w:r>
      <w:r>
        <w:rPr>
          <w:rFonts w:ascii="Garamond" w:hAnsi="Garamond" w:cs="Garamond"/>
        </w:rPr>
        <w:t>of</w:t>
      </w:r>
      <w:r>
        <w:rPr>
          <w:rFonts w:ascii="Garamond" w:hAnsi="Garamond" w:cs="Garamond"/>
          <w:spacing w:val="-9"/>
        </w:rPr>
        <w:t xml:space="preserve"> </w:t>
      </w:r>
      <w:r>
        <w:rPr>
          <w:rFonts w:ascii="Garamond" w:hAnsi="Garamond" w:cs="Garamond"/>
        </w:rPr>
        <w:t>pediatric</w:t>
      </w:r>
      <w:r>
        <w:rPr>
          <w:rFonts w:ascii="Garamond" w:hAnsi="Garamond" w:cs="Garamond"/>
          <w:spacing w:val="-13"/>
        </w:rPr>
        <w:t xml:space="preserve"> </w:t>
      </w:r>
      <w:r>
        <w:rPr>
          <w:rFonts w:ascii="Garamond" w:hAnsi="Garamond" w:cs="Garamond"/>
        </w:rPr>
        <w:t>providers</w:t>
      </w:r>
      <w:r>
        <w:rPr>
          <w:rFonts w:ascii="Garamond" w:hAnsi="Garamond" w:cs="Garamond"/>
          <w:spacing w:val="-6"/>
        </w:rPr>
        <w:t xml:space="preserve"> </w:t>
      </w:r>
      <w:r>
        <w:rPr>
          <w:rFonts w:ascii="Garamond" w:hAnsi="Garamond" w:cs="Garamond"/>
        </w:rPr>
        <w:t>in</w:t>
      </w:r>
      <w:r>
        <w:rPr>
          <w:rFonts w:ascii="Garamond" w:hAnsi="Garamond" w:cs="Garamond"/>
          <w:spacing w:val="-10"/>
        </w:rPr>
        <w:t xml:space="preserve"> </w:t>
      </w:r>
      <w:r>
        <w:rPr>
          <w:rFonts w:ascii="Garamond" w:hAnsi="Garamond" w:cs="Garamond"/>
        </w:rPr>
        <w:t>this</w:t>
      </w:r>
      <w:r>
        <w:rPr>
          <w:rFonts w:ascii="Garamond" w:hAnsi="Garamond" w:cs="Garamond"/>
          <w:spacing w:val="-6"/>
        </w:rPr>
        <w:t xml:space="preserve"> </w:t>
      </w:r>
      <w:r>
        <w:rPr>
          <w:rFonts w:ascii="Garamond" w:hAnsi="Garamond" w:cs="Garamond"/>
        </w:rPr>
        <w:t>field.</w:t>
      </w:r>
      <w:r>
        <w:rPr>
          <w:rFonts w:ascii="Garamond" w:hAnsi="Garamond" w:cs="Garamond"/>
          <w:spacing w:val="-8"/>
        </w:rPr>
        <w:t xml:space="preserve"> </w:t>
      </w:r>
      <w:r>
        <w:rPr>
          <w:rFonts w:ascii="Garamond" w:hAnsi="Garamond" w:cs="Garamond"/>
        </w:rPr>
        <w:t>Moreover,</w:t>
      </w:r>
      <w:r>
        <w:rPr>
          <w:rFonts w:ascii="Garamond" w:hAnsi="Garamond" w:cs="Garamond"/>
          <w:spacing w:val="-10"/>
        </w:rPr>
        <w:t xml:space="preserve"> </w:t>
      </w:r>
      <w:r>
        <w:rPr>
          <w:rFonts w:ascii="Garamond" w:hAnsi="Garamond" w:cs="Garamond"/>
        </w:rPr>
        <w:t xml:space="preserve">integrating oral </w:t>
      </w:r>
      <w:r>
        <w:rPr>
          <w:rFonts w:ascii="Garamond" w:hAnsi="Garamond" w:cs="Garamond"/>
          <w:spacing w:val="-3"/>
        </w:rPr>
        <w:t xml:space="preserve">and </w:t>
      </w:r>
      <w:r>
        <w:rPr>
          <w:rFonts w:ascii="Garamond" w:hAnsi="Garamond" w:cs="Garamond"/>
        </w:rPr>
        <w:t xml:space="preserve">mental health care into the </w:t>
      </w:r>
      <w:r>
        <w:rPr>
          <w:rFonts w:ascii="Garamond" w:hAnsi="Garamond" w:cs="Garamond"/>
          <w:spacing w:val="-3"/>
        </w:rPr>
        <w:t xml:space="preserve">ACO’s </w:t>
      </w:r>
      <w:r>
        <w:rPr>
          <w:rFonts w:ascii="Garamond" w:hAnsi="Garamond" w:cs="Garamond"/>
        </w:rPr>
        <w:t xml:space="preserve">delivery and payment structure is essential, as among the most common major chronic care conditions children and adolescents experience </w:t>
      </w:r>
      <w:r>
        <w:rPr>
          <w:rFonts w:ascii="Garamond" w:hAnsi="Garamond" w:cs="Garamond"/>
          <w:spacing w:val="-2"/>
        </w:rPr>
        <w:t xml:space="preserve">are </w:t>
      </w:r>
      <w:r>
        <w:rPr>
          <w:rFonts w:ascii="Garamond" w:hAnsi="Garamond" w:cs="Garamond"/>
        </w:rPr>
        <w:t>oral and mental health problems.</w:t>
      </w:r>
    </w:p>
    <w:p w:rsidR="002C5025" w:rsidRDefault="002C5025">
      <w:pPr>
        <w:pStyle w:val="BodyText"/>
        <w:kinsoku w:val="0"/>
        <w:overflowPunct w:val="0"/>
        <w:spacing w:before="9"/>
        <w:rPr>
          <w:rFonts w:ascii="Garamond" w:hAnsi="Garamond" w:cs="Garamond"/>
          <w:sz w:val="21"/>
          <w:szCs w:val="21"/>
        </w:rPr>
      </w:pPr>
    </w:p>
    <w:p w:rsidR="002C5025" w:rsidRDefault="002C5025">
      <w:pPr>
        <w:pStyle w:val="BodyText"/>
        <w:kinsoku w:val="0"/>
        <w:overflowPunct w:val="0"/>
        <w:spacing w:before="1"/>
        <w:ind w:left="119" w:right="171"/>
        <w:rPr>
          <w:rFonts w:ascii="Garamond" w:hAnsi="Garamond" w:cs="Garamond"/>
        </w:rPr>
      </w:pPr>
      <w:r>
        <w:rPr>
          <w:rFonts w:ascii="Garamond" w:hAnsi="Garamond" w:cs="Garamond"/>
        </w:rPr>
        <w:t>ACOs</w:t>
      </w:r>
      <w:r>
        <w:rPr>
          <w:rFonts w:ascii="Garamond" w:hAnsi="Garamond" w:cs="Garamond"/>
          <w:spacing w:val="-9"/>
        </w:rPr>
        <w:t xml:space="preserve"> </w:t>
      </w:r>
      <w:r>
        <w:rPr>
          <w:rFonts w:ascii="Garamond" w:hAnsi="Garamond" w:cs="Garamond"/>
        </w:rPr>
        <w:t>should</w:t>
      </w:r>
      <w:r>
        <w:rPr>
          <w:rFonts w:ascii="Garamond" w:hAnsi="Garamond" w:cs="Garamond"/>
          <w:spacing w:val="-7"/>
        </w:rPr>
        <w:t xml:space="preserve"> </w:t>
      </w:r>
      <w:r>
        <w:rPr>
          <w:rFonts w:ascii="Garamond" w:hAnsi="Garamond" w:cs="Garamond"/>
        </w:rPr>
        <w:t>establish</w:t>
      </w:r>
      <w:r>
        <w:rPr>
          <w:rFonts w:ascii="Garamond" w:hAnsi="Garamond" w:cs="Garamond"/>
          <w:spacing w:val="-12"/>
        </w:rPr>
        <w:t xml:space="preserve"> </w:t>
      </w:r>
      <w:r>
        <w:rPr>
          <w:rFonts w:ascii="Garamond" w:hAnsi="Garamond" w:cs="Garamond"/>
        </w:rPr>
        <w:t>access</w:t>
      </w:r>
      <w:r>
        <w:rPr>
          <w:rFonts w:ascii="Garamond" w:hAnsi="Garamond" w:cs="Garamond"/>
          <w:spacing w:val="-5"/>
        </w:rPr>
        <w:t xml:space="preserve"> </w:t>
      </w:r>
      <w:r>
        <w:rPr>
          <w:rFonts w:ascii="Garamond" w:hAnsi="Garamond" w:cs="Garamond"/>
          <w:spacing w:val="-3"/>
        </w:rPr>
        <w:t>and</w:t>
      </w:r>
      <w:r>
        <w:rPr>
          <w:rFonts w:ascii="Garamond" w:hAnsi="Garamond" w:cs="Garamond"/>
          <w:spacing w:val="-7"/>
        </w:rPr>
        <w:t xml:space="preserve"> </w:t>
      </w:r>
      <w:r>
        <w:rPr>
          <w:rFonts w:ascii="Garamond" w:hAnsi="Garamond" w:cs="Garamond"/>
        </w:rPr>
        <w:t>quality</w:t>
      </w:r>
      <w:r>
        <w:rPr>
          <w:rFonts w:ascii="Garamond" w:hAnsi="Garamond" w:cs="Garamond"/>
          <w:spacing w:val="-13"/>
        </w:rPr>
        <w:t xml:space="preserve"> </w:t>
      </w:r>
      <w:r>
        <w:rPr>
          <w:rFonts w:ascii="Garamond" w:hAnsi="Garamond" w:cs="Garamond"/>
        </w:rPr>
        <w:t>standards</w:t>
      </w:r>
      <w:r>
        <w:rPr>
          <w:rFonts w:ascii="Garamond" w:hAnsi="Garamond" w:cs="Garamond"/>
          <w:spacing w:val="-9"/>
        </w:rPr>
        <w:t xml:space="preserve"> </w:t>
      </w:r>
      <w:r>
        <w:rPr>
          <w:rFonts w:ascii="Garamond" w:hAnsi="Garamond" w:cs="Garamond"/>
        </w:rPr>
        <w:t>specific</w:t>
      </w:r>
      <w:r>
        <w:rPr>
          <w:rFonts w:ascii="Garamond" w:hAnsi="Garamond" w:cs="Garamond"/>
          <w:spacing w:val="-8"/>
        </w:rPr>
        <w:t xml:space="preserve"> </w:t>
      </w:r>
      <w:r>
        <w:rPr>
          <w:rFonts w:ascii="Garamond" w:hAnsi="Garamond" w:cs="Garamond"/>
        </w:rPr>
        <w:t>to</w:t>
      </w:r>
      <w:r>
        <w:rPr>
          <w:rFonts w:ascii="Garamond" w:hAnsi="Garamond" w:cs="Garamond"/>
          <w:spacing w:val="-7"/>
        </w:rPr>
        <w:t xml:space="preserve"> </w:t>
      </w:r>
      <w:r>
        <w:rPr>
          <w:rFonts w:ascii="Garamond" w:hAnsi="Garamond" w:cs="Garamond"/>
        </w:rPr>
        <w:t>pediatric</w:t>
      </w:r>
      <w:r>
        <w:rPr>
          <w:rFonts w:ascii="Garamond" w:hAnsi="Garamond" w:cs="Garamond"/>
          <w:spacing w:val="-10"/>
        </w:rPr>
        <w:t xml:space="preserve"> </w:t>
      </w:r>
      <w:r>
        <w:rPr>
          <w:rFonts w:ascii="Garamond" w:hAnsi="Garamond" w:cs="Garamond"/>
        </w:rPr>
        <w:t>primary</w:t>
      </w:r>
      <w:r>
        <w:rPr>
          <w:rFonts w:ascii="Garamond" w:hAnsi="Garamond" w:cs="Garamond"/>
          <w:spacing w:val="-10"/>
        </w:rPr>
        <w:t xml:space="preserve"> </w:t>
      </w:r>
      <w:r>
        <w:rPr>
          <w:rFonts w:ascii="Garamond" w:hAnsi="Garamond" w:cs="Garamond"/>
        </w:rPr>
        <w:t>care,</w:t>
      </w:r>
      <w:r>
        <w:rPr>
          <w:rFonts w:ascii="Garamond" w:hAnsi="Garamond" w:cs="Garamond"/>
          <w:spacing w:val="-10"/>
        </w:rPr>
        <w:t xml:space="preserve"> </w:t>
      </w:r>
      <w:r>
        <w:rPr>
          <w:rFonts w:ascii="Garamond" w:hAnsi="Garamond" w:cs="Garamond"/>
        </w:rPr>
        <w:t>behavioral</w:t>
      </w:r>
      <w:r>
        <w:rPr>
          <w:rFonts w:ascii="Garamond" w:hAnsi="Garamond" w:cs="Garamond"/>
          <w:spacing w:val="-8"/>
        </w:rPr>
        <w:t xml:space="preserve"> </w:t>
      </w:r>
      <w:r>
        <w:rPr>
          <w:rFonts w:ascii="Garamond" w:hAnsi="Garamond" w:cs="Garamond"/>
        </w:rPr>
        <w:t>health,</w:t>
      </w:r>
      <w:r>
        <w:rPr>
          <w:rFonts w:ascii="Garamond" w:hAnsi="Garamond" w:cs="Garamond"/>
          <w:spacing w:val="-10"/>
        </w:rPr>
        <w:t xml:space="preserve"> </w:t>
      </w:r>
      <w:r>
        <w:rPr>
          <w:rFonts w:ascii="Garamond" w:hAnsi="Garamond" w:cs="Garamond"/>
          <w:spacing w:val="-3"/>
        </w:rPr>
        <w:t xml:space="preserve">oral </w:t>
      </w:r>
      <w:r>
        <w:rPr>
          <w:rFonts w:ascii="Garamond" w:hAnsi="Garamond" w:cs="Garamond"/>
        </w:rPr>
        <w:t xml:space="preserve">health, </w:t>
      </w:r>
      <w:r>
        <w:rPr>
          <w:rFonts w:ascii="Garamond" w:hAnsi="Garamond" w:cs="Garamond"/>
          <w:spacing w:val="-3"/>
        </w:rPr>
        <w:t xml:space="preserve">and </w:t>
      </w:r>
      <w:r>
        <w:rPr>
          <w:rFonts w:ascii="Garamond" w:hAnsi="Garamond" w:cs="Garamond"/>
        </w:rPr>
        <w:t xml:space="preserve">specialty </w:t>
      </w:r>
      <w:r>
        <w:rPr>
          <w:rFonts w:ascii="Garamond" w:hAnsi="Garamond" w:cs="Garamond"/>
          <w:spacing w:val="-3"/>
        </w:rPr>
        <w:t xml:space="preserve">providers. </w:t>
      </w:r>
      <w:r>
        <w:rPr>
          <w:rFonts w:ascii="Garamond" w:hAnsi="Garamond" w:cs="Garamond"/>
        </w:rPr>
        <w:t xml:space="preserve">We applaud MassHealth for including and prioritizing sub-populations, such as pediatrics, adolescents, oral health and maternity in the prevention and wellness quality measurement domain. Given the significant </w:t>
      </w:r>
      <w:r>
        <w:rPr>
          <w:rFonts w:ascii="Garamond" w:hAnsi="Garamond" w:cs="Garamond"/>
          <w:spacing w:val="-3"/>
        </w:rPr>
        <w:t xml:space="preserve">number </w:t>
      </w:r>
      <w:r>
        <w:rPr>
          <w:rFonts w:ascii="Garamond" w:hAnsi="Garamond" w:cs="Garamond"/>
        </w:rPr>
        <w:t xml:space="preserve">of </w:t>
      </w:r>
      <w:r>
        <w:rPr>
          <w:rFonts w:ascii="Garamond" w:hAnsi="Garamond" w:cs="Garamond"/>
          <w:spacing w:val="-3"/>
        </w:rPr>
        <w:t xml:space="preserve">children enrolled, </w:t>
      </w:r>
      <w:r>
        <w:rPr>
          <w:rFonts w:ascii="Garamond" w:hAnsi="Garamond" w:cs="Garamond"/>
        </w:rPr>
        <w:t xml:space="preserve">MassHealth and </w:t>
      </w:r>
      <w:r>
        <w:rPr>
          <w:rFonts w:ascii="Garamond" w:hAnsi="Garamond" w:cs="Garamond"/>
          <w:spacing w:val="-3"/>
        </w:rPr>
        <w:t xml:space="preserve">providers </w:t>
      </w:r>
      <w:r>
        <w:rPr>
          <w:rFonts w:ascii="Garamond" w:hAnsi="Garamond" w:cs="Garamond"/>
        </w:rPr>
        <w:t>should develop pediatric-specific</w:t>
      </w:r>
      <w:r>
        <w:rPr>
          <w:rFonts w:ascii="Garamond" w:hAnsi="Garamond" w:cs="Garamond"/>
          <w:spacing w:val="-15"/>
        </w:rPr>
        <w:t xml:space="preserve"> </w:t>
      </w:r>
      <w:r>
        <w:rPr>
          <w:rFonts w:ascii="Garamond" w:hAnsi="Garamond" w:cs="Garamond"/>
        </w:rPr>
        <w:t>approaches</w:t>
      </w:r>
      <w:r>
        <w:rPr>
          <w:rFonts w:ascii="Garamond" w:hAnsi="Garamond" w:cs="Garamond"/>
          <w:spacing w:val="-14"/>
        </w:rPr>
        <w:t xml:space="preserve"> </w:t>
      </w:r>
      <w:r>
        <w:rPr>
          <w:rFonts w:ascii="Garamond" w:hAnsi="Garamond" w:cs="Garamond"/>
        </w:rPr>
        <w:t>including</w:t>
      </w:r>
      <w:r>
        <w:rPr>
          <w:rFonts w:ascii="Garamond" w:hAnsi="Garamond" w:cs="Garamond"/>
          <w:spacing w:val="-17"/>
        </w:rPr>
        <w:t xml:space="preserve"> </w:t>
      </w:r>
      <w:r>
        <w:rPr>
          <w:rFonts w:ascii="Garamond" w:hAnsi="Garamond" w:cs="Garamond"/>
        </w:rPr>
        <w:t>relevant</w:t>
      </w:r>
      <w:r>
        <w:rPr>
          <w:rFonts w:ascii="Garamond" w:hAnsi="Garamond" w:cs="Garamond"/>
          <w:spacing w:val="-13"/>
        </w:rPr>
        <w:t xml:space="preserve"> </w:t>
      </w:r>
      <w:r>
        <w:rPr>
          <w:rFonts w:ascii="Garamond" w:hAnsi="Garamond" w:cs="Garamond"/>
        </w:rPr>
        <w:t>payment</w:t>
      </w:r>
      <w:r>
        <w:rPr>
          <w:rFonts w:ascii="Garamond" w:hAnsi="Garamond" w:cs="Garamond"/>
          <w:spacing w:val="-17"/>
        </w:rPr>
        <w:t xml:space="preserve"> </w:t>
      </w:r>
      <w:r>
        <w:rPr>
          <w:rFonts w:ascii="Garamond" w:hAnsi="Garamond" w:cs="Garamond"/>
        </w:rPr>
        <w:t>frameworks,</w:t>
      </w:r>
      <w:r>
        <w:rPr>
          <w:rFonts w:ascii="Garamond" w:hAnsi="Garamond" w:cs="Garamond"/>
          <w:spacing w:val="-14"/>
        </w:rPr>
        <w:t xml:space="preserve"> </w:t>
      </w:r>
      <w:r>
        <w:rPr>
          <w:rFonts w:ascii="Garamond" w:hAnsi="Garamond" w:cs="Garamond"/>
        </w:rPr>
        <w:t>quality</w:t>
      </w:r>
      <w:r>
        <w:rPr>
          <w:rFonts w:ascii="Garamond" w:hAnsi="Garamond" w:cs="Garamond"/>
          <w:spacing w:val="-17"/>
        </w:rPr>
        <w:t xml:space="preserve"> </w:t>
      </w:r>
      <w:r>
        <w:rPr>
          <w:rFonts w:ascii="Garamond" w:hAnsi="Garamond" w:cs="Garamond"/>
        </w:rPr>
        <w:t>standards,</w:t>
      </w:r>
      <w:r>
        <w:rPr>
          <w:rFonts w:ascii="Garamond" w:hAnsi="Garamond" w:cs="Garamond"/>
          <w:spacing w:val="-14"/>
        </w:rPr>
        <w:t xml:space="preserve"> </w:t>
      </w:r>
      <w:r>
        <w:rPr>
          <w:rFonts w:ascii="Garamond" w:hAnsi="Garamond" w:cs="Garamond"/>
        </w:rPr>
        <w:t>and</w:t>
      </w:r>
      <w:r>
        <w:rPr>
          <w:rFonts w:ascii="Garamond" w:hAnsi="Garamond" w:cs="Garamond"/>
          <w:spacing w:val="-13"/>
        </w:rPr>
        <w:t xml:space="preserve"> </w:t>
      </w:r>
      <w:r>
        <w:rPr>
          <w:rFonts w:ascii="Garamond" w:hAnsi="Garamond" w:cs="Garamond"/>
        </w:rPr>
        <w:t>delivery</w:t>
      </w:r>
      <w:r>
        <w:rPr>
          <w:rFonts w:ascii="Garamond" w:hAnsi="Garamond" w:cs="Garamond"/>
          <w:spacing w:val="-17"/>
        </w:rPr>
        <w:t xml:space="preserve"> </w:t>
      </w:r>
      <w:r>
        <w:rPr>
          <w:rFonts w:ascii="Garamond" w:hAnsi="Garamond" w:cs="Garamond"/>
        </w:rPr>
        <w:t xml:space="preserve">systems in their ACO </w:t>
      </w:r>
      <w:r>
        <w:rPr>
          <w:rFonts w:ascii="Garamond" w:hAnsi="Garamond" w:cs="Garamond"/>
          <w:spacing w:val="-3"/>
        </w:rPr>
        <w:t>design.</w:t>
      </w:r>
      <w:r>
        <w:rPr>
          <w:rFonts w:ascii="Garamond" w:hAnsi="Garamond" w:cs="Garamond"/>
          <w:spacing w:val="-3"/>
          <w:position w:val="5"/>
          <w:sz w:val="14"/>
          <w:szCs w:val="14"/>
        </w:rPr>
        <w:t xml:space="preserve">24 </w:t>
      </w:r>
      <w:r>
        <w:rPr>
          <w:rFonts w:ascii="Garamond" w:hAnsi="Garamond" w:cs="Garamond"/>
        </w:rPr>
        <w:t xml:space="preserve">An </w:t>
      </w:r>
      <w:r>
        <w:rPr>
          <w:rFonts w:ascii="Garamond" w:hAnsi="Garamond" w:cs="Garamond"/>
          <w:spacing w:val="-2"/>
        </w:rPr>
        <w:t xml:space="preserve">ACO </w:t>
      </w:r>
      <w:r>
        <w:rPr>
          <w:rFonts w:ascii="Garamond" w:hAnsi="Garamond" w:cs="Garamond"/>
        </w:rPr>
        <w:t>established to serve adults will not necessarily have relevant pediatric expertise</w:t>
      </w:r>
      <w:r>
        <w:rPr>
          <w:rFonts w:ascii="Garamond" w:hAnsi="Garamond" w:cs="Garamond"/>
          <w:spacing w:val="-10"/>
        </w:rPr>
        <w:t xml:space="preserve"> </w:t>
      </w:r>
      <w:r>
        <w:rPr>
          <w:rFonts w:ascii="Garamond" w:hAnsi="Garamond" w:cs="Garamond"/>
          <w:spacing w:val="-3"/>
        </w:rPr>
        <w:t>and</w:t>
      </w:r>
      <w:r>
        <w:rPr>
          <w:rFonts w:ascii="Garamond" w:hAnsi="Garamond" w:cs="Garamond"/>
          <w:spacing w:val="-9"/>
        </w:rPr>
        <w:t xml:space="preserve"> </w:t>
      </w:r>
      <w:r>
        <w:rPr>
          <w:rFonts w:ascii="Garamond" w:hAnsi="Garamond" w:cs="Garamond"/>
        </w:rPr>
        <w:t>capabilities,</w:t>
      </w:r>
      <w:r>
        <w:rPr>
          <w:rFonts w:ascii="Garamond" w:hAnsi="Garamond" w:cs="Garamond"/>
          <w:spacing w:val="-12"/>
        </w:rPr>
        <w:t xml:space="preserve"> </w:t>
      </w:r>
      <w:r>
        <w:rPr>
          <w:rFonts w:ascii="Garamond" w:hAnsi="Garamond" w:cs="Garamond"/>
        </w:rPr>
        <w:t>especially</w:t>
      </w:r>
      <w:r>
        <w:rPr>
          <w:rFonts w:ascii="Garamond" w:hAnsi="Garamond" w:cs="Garamond"/>
          <w:spacing w:val="-12"/>
        </w:rPr>
        <w:t xml:space="preserve"> </w:t>
      </w:r>
      <w:r>
        <w:rPr>
          <w:rFonts w:ascii="Garamond" w:hAnsi="Garamond" w:cs="Garamond"/>
        </w:rPr>
        <w:t>for</w:t>
      </w:r>
      <w:r>
        <w:rPr>
          <w:rFonts w:ascii="Garamond" w:hAnsi="Garamond" w:cs="Garamond"/>
          <w:spacing w:val="-9"/>
        </w:rPr>
        <w:t xml:space="preserve"> </w:t>
      </w:r>
      <w:r>
        <w:rPr>
          <w:rFonts w:ascii="Garamond" w:hAnsi="Garamond" w:cs="Garamond"/>
        </w:rPr>
        <w:t>children</w:t>
      </w:r>
      <w:r>
        <w:rPr>
          <w:rFonts w:ascii="Garamond" w:hAnsi="Garamond" w:cs="Garamond"/>
          <w:spacing w:val="-9"/>
        </w:rPr>
        <w:t xml:space="preserve"> </w:t>
      </w:r>
      <w:r>
        <w:rPr>
          <w:rFonts w:ascii="Garamond" w:hAnsi="Garamond" w:cs="Garamond"/>
          <w:spacing w:val="-3"/>
        </w:rPr>
        <w:t>and</w:t>
      </w:r>
      <w:r>
        <w:rPr>
          <w:rFonts w:ascii="Garamond" w:hAnsi="Garamond" w:cs="Garamond"/>
          <w:spacing w:val="-12"/>
        </w:rPr>
        <w:t xml:space="preserve"> </w:t>
      </w:r>
      <w:r>
        <w:rPr>
          <w:rFonts w:ascii="Garamond" w:hAnsi="Garamond" w:cs="Garamond"/>
        </w:rPr>
        <w:t>youth</w:t>
      </w:r>
      <w:r>
        <w:rPr>
          <w:rFonts w:ascii="Garamond" w:hAnsi="Garamond" w:cs="Garamond"/>
          <w:spacing w:val="-9"/>
        </w:rPr>
        <w:t xml:space="preserve"> </w:t>
      </w:r>
      <w:r>
        <w:rPr>
          <w:rFonts w:ascii="Garamond" w:hAnsi="Garamond" w:cs="Garamond"/>
        </w:rPr>
        <w:t>with</w:t>
      </w:r>
      <w:r>
        <w:rPr>
          <w:rFonts w:ascii="Garamond" w:hAnsi="Garamond" w:cs="Garamond"/>
          <w:spacing w:val="-9"/>
        </w:rPr>
        <w:t xml:space="preserve"> </w:t>
      </w:r>
      <w:r>
        <w:rPr>
          <w:rFonts w:ascii="Garamond" w:hAnsi="Garamond" w:cs="Garamond"/>
        </w:rPr>
        <w:t>complex</w:t>
      </w:r>
      <w:r>
        <w:rPr>
          <w:rFonts w:ascii="Garamond" w:hAnsi="Garamond" w:cs="Garamond"/>
          <w:spacing w:val="-10"/>
        </w:rPr>
        <w:t xml:space="preserve"> </w:t>
      </w:r>
      <w:r>
        <w:rPr>
          <w:rFonts w:ascii="Garamond" w:hAnsi="Garamond" w:cs="Garamond"/>
        </w:rPr>
        <w:t>conditions.</w:t>
      </w:r>
    </w:p>
    <w:p w:rsidR="002C5025" w:rsidRDefault="002C5025">
      <w:pPr>
        <w:pStyle w:val="BodyText"/>
        <w:kinsoku w:val="0"/>
        <w:overflowPunct w:val="0"/>
        <w:spacing w:before="10"/>
        <w:rPr>
          <w:rFonts w:ascii="Garamond" w:hAnsi="Garamond" w:cs="Garamond"/>
          <w:sz w:val="21"/>
          <w:szCs w:val="21"/>
        </w:rPr>
      </w:pPr>
    </w:p>
    <w:p w:rsidR="002C5025" w:rsidRDefault="002C5025">
      <w:pPr>
        <w:pStyle w:val="BodyText"/>
        <w:kinsoku w:val="0"/>
        <w:overflowPunct w:val="0"/>
        <w:ind w:left="118" w:right="197" w:firstLine="1"/>
        <w:rPr>
          <w:rFonts w:ascii="Garamond" w:hAnsi="Garamond" w:cs="Garamond"/>
          <w:position w:val="5"/>
          <w:sz w:val="14"/>
          <w:szCs w:val="14"/>
        </w:rPr>
      </w:pPr>
      <w:r>
        <w:rPr>
          <w:rFonts w:ascii="Garamond" w:hAnsi="Garamond" w:cs="Garamond"/>
        </w:rPr>
        <w:t xml:space="preserve">Further, the primary goal in developing ACOs should </w:t>
      </w:r>
      <w:r>
        <w:rPr>
          <w:rFonts w:ascii="Garamond" w:hAnsi="Garamond" w:cs="Garamond"/>
          <w:spacing w:val="-3"/>
        </w:rPr>
        <w:t xml:space="preserve">not </w:t>
      </w:r>
      <w:r>
        <w:rPr>
          <w:rFonts w:ascii="Garamond" w:hAnsi="Garamond" w:cs="Garamond"/>
        </w:rPr>
        <w:t xml:space="preserve">be </w:t>
      </w:r>
      <w:r>
        <w:rPr>
          <w:rFonts w:ascii="Garamond" w:hAnsi="Garamond" w:cs="Garamond"/>
          <w:spacing w:val="-3"/>
        </w:rPr>
        <w:t xml:space="preserve">cost </w:t>
      </w:r>
      <w:r>
        <w:rPr>
          <w:rFonts w:ascii="Garamond" w:hAnsi="Garamond" w:cs="Garamond"/>
        </w:rPr>
        <w:t xml:space="preserve">reduction, particularly for </w:t>
      </w:r>
      <w:r>
        <w:rPr>
          <w:rFonts w:ascii="Garamond" w:hAnsi="Garamond" w:cs="Garamond"/>
          <w:spacing w:val="-3"/>
        </w:rPr>
        <w:t xml:space="preserve">children </w:t>
      </w:r>
      <w:r>
        <w:rPr>
          <w:rFonts w:ascii="Garamond" w:hAnsi="Garamond" w:cs="Garamond"/>
        </w:rPr>
        <w:t xml:space="preserve">and youth with special health care needs. Nationally, medically complex children and </w:t>
      </w:r>
      <w:r>
        <w:rPr>
          <w:rFonts w:ascii="Garamond" w:hAnsi="Garamond" w:cs="Garamond"/>
          <w:spacing w:val="-3"/>
        </w:rPr>
        <w:t xml:space="preserve">youth </w:t>
      </w:r>
      <w:r>
        <w:rPr>
          <w:rFonts w:ascii="Garamond" w:hAnsi="Garamond" w:cs="Garamond"/>
        </w:rPr>
        <w:t xml:space="preserve">make up 6%of children enrolled in Medicaid, yet account for 40% of Medicaid spending for </w:t>
      </w:r>
      <w:r>
        <w:rPr>
          <w:rFonts w:ascii="Garamond" w:hAnsi="Garamond" w:cs="Garamond"/>
          <w:spacing w:val="-3"/>
        </w:rPr>
        <w:t>children.</w:t>
      </w:r>
      <w:r>
        <w:rPr>
          <w:rFonts w:ascii="Garamond" w:hAnsi="Garamond" w:cs="Garamond"/>
          <w:spacing w:val="-3"/>
          <w:position w:val="5"/>
          <w:sz w:val="14"/>
          <w:szCs w:val="14"/>
        </w:rPr>
        <w:t xml:space="preserve">25 </w:t>
      </w:r>
      <w:r>
        <w:rPr>
          <w:rFonts w:ascii="Garamond" w:hAnsi="Garamond" w:cs="Garamond"/>
        </w:rPr>
        <w:t xml:space="preserve">Effective care management techniques should aim to reduce children’s unmet health needs, improve their health </w:t>
      </w:r>
      <w:r>
        <w:rPr>
          <w:rFonts w:ascii="Garamond" w:hAnsi="Garamond" w:cs="Garamond"/>
          <w:spacing w:val="-3"/>
        </w:rPr>
        <w:t xml:space="preserve">and </w:t>
      </w:r>
      <w:r>
        <w:rPr>
          <w:rFonts w:ascii="Garamond" w:hAnsi="Garamond" w:cs="Garamond"/>
        </w:rPr>
        <w:t>functional</w:t>
      </w:r>
      <w:r>
        <w:rPr>
          <w:rFonts w:ascii="Garamond" w:hAnsi="Garamond" w:cs="Garamond"/>
          <w:spacing w:val="-14"/>
        </w:rPr>
        <w:t xml:space="preserve"> </w:t>
      </w:r>
      <w:r>
        <w:rPr>
          <w:rFonts w:ascii="Garamond" w:hAnsi="Garamond" w:cs="Garamond"/>
        </w:rPr>
        <w:t>status,</w:t>
      </w:r>
      <w:r>
        <w:rPr>
          <w:rFonts w:ascii="Garamond" w:hAnsi="Garamond" w:cs="Garamond"/>
          <w:spacing w:val="-10"/>
        </w:rPr>
        <w:t xml:space="preserve"> </w:t>
      </w:r>
      <w:r>
        <w:rPr>
          <w:rFonts w:ascii="Garamond" w:hAnsi="Garamond" w:cs="Garamond"/>
        </w:rPr>
        <w:t>improve</w:t>
      </w:r>
      <w:r>
        <w:rPr>
          <w:rFonts w:ascii="Garamond" w:hAnsi="Garamond" w:cs="Garamond"/>
          <w:spacing w:val="-12"/>
        </w:rPr>
        <w:t xml:space="preserve"> </w:t>
      </w:r>
      <w:r>
        <w:rPr>
          <w:rFonts w:ascii="Garamond" w:hAnsi="Garamond" w:cs="Garamond"/>
        </w:rPr>
        <w:t>their</w:t>
      </w:r>
      <w:r>
        <w:rPr>
          <w:rFonts w:ascii="Garamond" w:hAnsi="Garamond" w:cs="Garamond"/>
          <w:spacing w:val="-6"/>
        </w:rPr>
        <w:t xml:space="preserve"> </w:t>
      </w:r>
      <w:r>
        <w:rPr>
          <w:rFonts w:ascii="Garamond" w:hAnsi="Garamond" w:cs="Garamond"/>
        </w:rPr>
        <w:t>families’</w:t>
      </w:r>
      <w:r>
        <w:rPr>
          <w:rFonts w:ascii="Garamond" w:hAnsi="Garamond" w:cs="Garamond"/>
          <w:spacing w:val="-8"/>
        </w:rPr>
        <w:t xml:space="preserve"> </w:t>
      </w:r>
      <w:r>
        <w:rPr>
          <w:rFonts w:ascii="Garamond" w:hAnsi="Garamond" w:cs="Garamond"/>
        </w:rPr>
        <w:t>ability</w:t>
      </w:r>
      <w:r>
        <w:rPr>
          <w:rFonts w:ascii="Garamond" w:hAnsi="Garamond" w:cs="Garamond"/>
          <w:spacing w:val="-10"/>
        </w:rPr>
        <w:t xml:space="preserve"> </w:t>
      </w:r>
      <w:r>
        <w:rPr>
          <w:rFonts w:ascii="Garamond" w:hAnsi="Garamond" w:cs="Garamond"/>
        </w:rPr>
        <w:t>to</w:t>
      </w:r>
      <w:r>
        <w:rPr>
          <w:rFonts w:ascii="Garamond" w:hAnsi="Garamond" w:cs="Garamond"/>
          <w:spacing w:val="-7"/>
        </w:rPr>
        <w:t xml:space="preserve"> </w:t>
      </w:r>
      <w:r>
        <w:rPr>
          <w:rFonts w:ascii="Garamond" w:hAnsi="Garamond" w:cs="Garamond"/>
        </w:rPr>
        <w:t>cope,</w:t>
      </w:r>
      <w:r>
        <w:rPr>
          <w:rFonts w:ascii="Garamond" w:hAnsi="Garamond" w:cs="Garamond"/>
          <w:spacing w:val="-10"/>
        </w:rPr>
        <w:t xml:space="preserve"> </w:t>
      </w:r>
      <w:r>
        <w:rPr>
          <w:rFonts w:ascii="Garamond" w:hAnsi="Garamond" w:cs="Garamond"/>
          <w:spacing w:val="-3"/>
        </w:rPr>
        <w:t>and</w:t>
      </w:r>
      <w:r>
        <w:rPr>
          <w:rFonts w:ascii="Garamond" w:hAnsi="Garamond" w:cs="Garamond"/>
          <w:spacing w:val="-10"/>
        </w:rPr>
        <w:t xml:space="preserve"> </w:t>
      </w:r>
      <w:r>
        <w:rPr>
          <w:rFonts w:ascii="Garamond" w:hAnsi="Garamond" w:cs="Garamond"/>
        </w:rPr>
        <w:t>reduce</w:t>
      </w:r>
      <w:r>
        <w:rPr>
          <w:rFonts w:ascii="Garamond" w:hAnsi="Garamond" w:cs="Garamond"/>
          <w:spacing w:val="-10"/>
        </w:rPr>
        <w:t xml:space="preserve"> </w:t>
      </w:r>
      <w:r>
        <w:rPr>
          <w:rFonts w:ascii="Garamond" w:hAnsi="Garamond" w:cs="Garamond"/>
        </w:rPr>
        <w:t>the</w:t>
      </w:r>
      <w:r>
        <w:rPr>
          <w:rFonts w:ascii="Garamond" w:hAnsi="Garamond" w:cs="Garamond"/>
          <w:spacing w:val="-11"/>
        </w:rPr>
        <w:t xml:space="preserve"> </w:t>
      </w:r>
      <w:r>
        <w:rPr>
          <w:rFonts w:ascii="Garamond" w:hAnsi="Garamond" w:cs="Garamond"/>
        </w:rPr>
        <w:t>burden</w:t>
      </w:r>
      <w:r>
        <w:rPr>
          <w:rFonts w:ascii="Garamond" w:hAnsi="Garamond" w:cs="Garamond"/>
          <w:spacing w:val="-7"/>
        </w:rPr>
        <w:t xml:space="preserve"> </w:t>
      </w:r>
      <w:r>
        <w:rPr>
          <w:rFonts w:ascii="Garamond" w:hAnsi="Garamond" w:cs="Garamond"/>
        </w:rPr>
        <w:t>of</w:t>
      </w:r>
      <w:r>
        <w:rPr>
          <w:rFonts w:ascii="Garamond" w:hAnsi="Garamond" w:cs="Garamond"/>
          <w:spacing w:val="-9"/>
        </w:rPr>
        <w:t xml:space="preserve"> </w:t>
      </w:r>
      <w:r>
        <w:rPr>
          <w:rFonts w:ascii="Garamond" w:hAnsi="Garamond" w:cs="Garamond"/>
        </w:rPr>
        <w:t>caregiving</w:t>
      </w:r>
      <w:r>
        <w:rPr>
          <w:rFonts w:ascii="Garamond" w:hAnsi="Garamond" w:cs="Garamond"/>
          <w:spacing w:val="-8"/>
        </w:rPr>
        <w:t xml:space="preserve"> </w:t>
      </w:r>
      <w:r>
        <w:rPr>
          <w:rFonts w:ascii="Garamond" w:hAnsi="Garamond" w:cs="Garamond"/>
        </w:rPr>
        <w:t>experienced</w:t>
      </w:r>
      <w:r>
        <w:rPr>
          <w:rFonts w:ascii="Garamond" w:hAnsi="Garamond" w:cs="Garamond"/>
          <w:spacing w:val="-10"/>
        </w:rPr>
        <w:t xml:space="preserve"> </w:t>
      </w:r>
      <w:r>
        <w:rPr>
          <w:rFonts w:ascii="Garamond" w:hAnsi="Garamond" w:cs="Garamond"/>
        </w:rPr>
        <w:t xml:space="preserve">by families. Available evidence shows that when </w:t>
      </w:r>
      <w:r>
        <w:rPr>
          <w:rFonts w:ascii="Garamond" w:hAnsi="Garamond" w:cs="Garamond"/>
          <w:spacing w:val="-3"/>
        </w:rPr>
        <w:t xml:space="preserve">ACOs </w:t>
      </w:r>
      <w:r>
        <w:rPr>
          <w:rFonts w:ascii="Garamond" w:hAnsi="Garamond" w:cs="Garamond"/>
        </w:rPr>
        <w:t xml:space="preserve">address care coordination </w:t>
      </w:r>
      <w:r>
        <w:rPr>
          <w:rFonts w:ascii="Garamond" w:hAnsi="Garamond" w:cs="Garamond"/>
          <w:spacing w:val="-3"/>
        </w:rPr>
        <w:t xml:space="preserve">needs </w:t>
      </w:r>
      <w:r>
        <w:rPr>
          <w:rFonts w:ascii="Garamond" w:hAnsi="Garamond" w:cs="Garamond"/>
        </w:rPr>
        <w:t xml:space="preserve">of this population </w:t>
      </w:r>
      <w:r>
        <w:rPr>
          <w:rFonts w:ascii="Garamond" w:hAnsi="Garamond" w:cs="Garamond"/>
          <w:spacing w:val="-3"/>
        </w:rPr>
        <w:t xml:space="preserve">of </w:t>
      </w:r>
      <w:r>
        <w:rPr>
          <w:rFonts w:ascii="Garamond" w:hAnsi="Garamond" w:cs="Garamond"/>
        </w:rPr>
        <w:t xml:space="preserve">fragile children, </w:t>
      </w:r>
      <w:r>
        <w:rPr>
          <w:rFonts w:ascii="Garamond" w:hAnsi="Garamond" w:cs="Garamond"/>
          <w:spacing w:val="-3"/>
        </w:rPr>
        <w:t xml:space="preserve">costs </w:t>
      </w:r>
      <w:r>
        <w:rPr>
          <w:rFonts w:ascii="Garamond" w:hAnsi="Garamond" w:cs="Garamond"/>
        </w:rPr>
        <w:t>go up, not down—this is due to uncovering undiagnosed health and human service needs.</w:t>
      </w:r>
      <w:r>
        <w:rPr>
          <w:rFonts w:ascii="Garamond" w:hAnsi="Garamond" w:cs="Garamond"/>
          <w:position w:val="5"/>
          <w:sz w:val="14"/>
          <w:szCs w:val="14"/>
        </w:rPr>
        <w:t>26</w:t>
      </w:r>
    </w:p>
    <w:p w:rsidR="002C5025" w:rsidRDefault="002C5025">
      <w:pPr>
        <w:pStyle w:val="BodyText"/>
        <w:kinsoku w:val="0"/>
        <w:overflowPunct w:val="0"/>
        <w:spacing w:before="2"/>
        <w:rPr>
          <w:rFonts w:ascii="Garamond" w:hAnsi="Garamond" w:cs="Garamond"/>
          <w:sz w:val="21"/>
          <w:szCs w:val="21"/>
        </w:rPr>
      </w:pPr>
    </w:p>
    <w:p w:rsidR="002C5025" w:rsidRDefault="002C5025">
      <w:pPr>
        <w:pStyle w:val="BodyText"/>
        <w:kinsoku w:val="0"/>
        <w:overflowPunct w:val="0"/>
        <w:spacing w:line="264" w:lineRule="exact"/>
        <w:ind w:left="120" w:right="197"/>
        <w:rPr>
          <w:rFonts w:ascii="Garamond" w:hAnsi="Garamond" w:cs="Garamond"/>
          <w:b/>
          <w:bCs/>
          <w:i/>
          <w:iCs/>
          <w:w w:val="90"/>
          <w:sz w:val="24"/>
          <w:szCs w:val="24"/>
        </w:rPr>
      </w:pPr>
      <w:bookmarkStart w:id="160" w:name="Community_partners"/>
      <w:bookmarkEnd w:id="160"/>
      <w:r>
        <w:rPr>
          <w:rFonts w:ascii="Garamond" w:hAnsi="Garamond" w:cs="Garamond"/>
          <w:b/>
          <w:bCs/>
          <w:i/>
          <w:iCs/>
          <w:w w:val="90"/>
          <w:sz w:val="24"/>
          <w:szCs w:val="24"/>
        </w:rPr>
        <w:t>Community partners</w:t>
      </w:r>
    </w:p>
    <w:p w:rsidR="002C5025" w:rsidRDefault="002C5025">
      <w:pPr>
        <w:pStyle w:val="BodyText"/>
        <w:kinsoku w:val="0"/>
        <w:overflowPunct w:val="0"/>
        <w:ind w:left="117" w:right="131" w:firstLine="2"/>
        <w:rPr>
          <w:rFonts w:ascii="Garamond" w:hAnsi="Garamond" w:cs="Garamond"/>
        </w:rPr>
      </w:pPr>
      <w:r>
        <w:rPr>
          <w:rFonts w:ascii="Garamond" w:hAnsi="Garamond" w:cs="Garamond"/>
        </w:rPr>
        <w:t xml:space="preserve">One of the unique features of MassHealth’s proposal is the strong emphasis on </w:t>
      </w:r>
      <w:r>
        <w:rPr>
          <w:rFonts w:ascii="Garamond" w:hAnsi="Garamond" w:cs="Garamond"/>
          <w:spacing w:val="-3"/>
        </w:rPr>
        <w:t xml:space="preserve">ACOs’ </w:t>
      </w:r>
      <w:r>
        <w:rPr>
          <w:rFonts w:ascii="Garamond" w:hAnsi="Garamond" w:cs="Garamond"/>
        </w:rPr>
        <w:t>collaboration with community-based providers. Most of these organizations already serve a high volume of MassHealth members</w:t>
      </w:r>
      <w:r>
        <w:rPr>
          <w:rFonts w:ascii="Garamond" w:hAnsi="Garamond" w:cs="Garamond"/>
          <w:spacing w:val="-10"/>
        </w:rPr>
        <w:t xml:space="preserve"> </w:t>
      </w:r>
      <w:r>
        <w:rPr>
          <w:rFonts w:ascii="Garamond" w:hAnsi="Garamond" w:cs="Garamond"/>
        </w:rPr>
        <w:t>and</w:t>
      </w:r>
      <w:r>
        <w:rPr>
          <w:rFonts w:ascii="Garamond" w:hAnsi="Garamond" w:cs="Garamond"/>
          <w:spacing w:val="-10"/>
        </w:rPr>
        <w:t xml:space="preserve"> </w:t>
      </w:r>
      <w:r>
        <w:rPr>
          <w:rFonts w:ascii="Garamond" w:hAnsi="Garamond" w:cs="Garamond"/>
        </w:rPr>
        <w:t>play</w:t>
      </w:r>
      <w:r>
        <w:rPr>
          <w:rFonts w:ascii="Garamond" w:hAnsi="Garamond" w:cs="Garamond"/>
          <w:spacing w:val="-10"/>
        </w:rPr>
        <w:t xml:space="preserve"> </w:t>
      </w:r>
      <w:r>
        <w:rPr>
          <w:rFonts w:ascii="Garamond" w:hAnsi="Garamond" w:cs="Garamond"/>
        </w:rPr>
        <w:t>a</w:t>
      </w:r>
      <w:r>
        <w:rPr>
          <w:rFonts w:ascii="Garamond" w:hAnsi="Garamond" w:cs="Garamond"/>
          <w:spacing w:val="-11"/>
        </w:rPr>
        <w:t xml:space="preserve"> </w:t>
      </w:r>
      <w:r>
        <w:rPr>
          <w:rFonts w:ascii="Garamond" w:hAnsi="Garamond" w:cs="Garamond"/>
        </w:rPr>
        <w:t>significant</w:t>
      </w:r>
      <w:r>
        <w:rPr>
          <w:rFonts w:ascii="Garamond" w:hAnsi="Garamond" w:cs="Garamond"/>
          <w:spacing w:val="-10"/>
        </w:rPr>
        <w:t xml:space="preserve"> </w:t>
      </w:r>
      <w:r>
        <w:rPr>
          <w:rFonts w:ascii="Garamond" w:hAnsi="Garamond" w:cs="Garamond"/>
        </w:rPr>
        <w:t>role</w:t>
      </w:r>
      <w:r>
        <w:rPr>
          <w:rFonts w:ascii="Garamond" w:hAnsi="Garamond" w:cs="Garamond"/>
          <w:spacing w:val="-9"/>
        </w:rPr>
        <w:t xml:space="preserve"> </w:t>
      </w:r>
      <w:r>
        <w:rPr>
          <w:rFonts w:ascii="Garamond" w:hAnsi="Garamond" w:cs="Garamond"/>
        </w:rPr>
        <w:t>in</w:t>
      </w:r>
      <w:r>
        <w:rPr>
          <w:rFonts w:ascii="Garamond" w:hAnsi="Garamond" w:cs="Garamond"/>
          <w:spacing w:val="-10"/>
        </w:rPr>
        <w:t xml:space="preserve"> </w:t>
      </w:r>
      <w:r>
        <w:rPr>
          <w:rFonts w:ascii="Garamond" w:hAnsi="Garamond" w:cs="Garamond"/>
        </w:rPr>
        <w:t>care</w:t>
      </w:r>
      <w:r>
        <w:rPr>
          <w:rFonts w:ascii="Garamond" w:hAnsi="Garamond" w:cs="Garamond"/>
          <w:spacing w:val="-9"/>
        </w:rPr>
        <w:t xml:space="preserve"> </w:t>
      </w:r>
      <w:r>
        <w:rPr>
          <w:rFonts w:ascii="Garamond" w:hAnsi="Garamond" w:cs="Garamond"/>
        </w:rPr>
        <w:t>coordination</w:t>
      </w:r>
      <w:r>
        <w:rPr>
          <w:rFonts w:ascii="Garamond" w:hAnsi="Garamond" w:cs="Garamond"/>
          <w:spacing w:val="-10"/>
        </w:rPr>
        <w:t xml:space="preserve"> </w:t>
      </w:r>
      <w:r>
        <w:rPr>
          <w:rFonts w:ascii="Garamond" w:hAnsi="Garamond" w:cs="Garamond"/>
        </w:rPr>
        <w:t>and</w:t>
      </w:r>
      <w:r>
        <w:rPr>
          <w:rFonts w:ascii="Garamond" w:hAnsi="Garamond" w:cs="Garamond"/>
          <w:spacing w:val="-10"/>
        </w:rPr>
        <w:t xml:space="preserve"> </w:t>
      </w:r>
      <w:r>
        <w:rPr>
          <w:rFonts w:ascii="Garamond" w:hAnsi="Garamond" w:cs="Garamond"/>
        </w:rPr>
        <w:t>connecting</w:t>
      </w:r>
      <w:r>
        <w:rPr>
          <w:rFonts w:ascii="Garamond" w:hAnsi="Garamond" w:cs="Garamond"/>
          <w:spacing w:val="-10"/>
        </w:rPr>
        <w:t xml:space="preserve"> </w:t>
      </w:r>
      <w:r>
        <w:rPr>
          <w:rFonts w:ascii="Garamond" w:hAnsi="Garamond" w:cs="Garamond"/>
        </w:rPr>
        <w:t>members</w:t>
      </w:r>
      <w:r>
        <w:rPr>
          <w:rFonts w:ascii="Garamond" w:hAnsi="Garamond" w:cs="Garamond"/>
          <w:spacing w:val="-7"/>
        </w:rPr>
        <w:t xml:space="preserve"> </w:t>
      </w:r>
      <w:r>
        <w:rPr>
          <w:rFonts w:ascii="Garamond" w:hAnsi="Garamond" w:cs="Garamond"/>
        </w:rPr>
        <w:t>with</w:t>
      </w:r>
      <w:r>
        <w:rPr>
          <w:rFonts w:ascii="Garamond" w:hAnsi="Garamond" w:cs="Garamond"/>
          <w:spacing w:val="-8"/>
        </w:rPr>
        <w:t xml:space="preserve"> </w:t>
      </w:r>
      <w:r>
        <w:rPr>
          <w:rFonts w:ascii="Garamond" w:hAnsi="Garamond" w:cs="Garamond"/>
        </w:rPr>
        <w:t>non-medical</w:t>
      </w:r>
      <w:r>
        <w:rPr>
          <w:rFonts w:ascii="Garamond" w:hAnsi="Garamond" w:cs="Garamond"/>
          <w:spacing w:val="-10"/>
        </w:rPr>
        <w:t xml:space="preserve"> </w:t>
      </w:r>
      <w:r>
        <w:rPr>
          <w:rFonts w:ascii="Garamond" w:hAnsi="Garamond" w:cs="Garamond"/>
        </w:rPr>
        <w:t xml:space="preserve">services. We support MassHealth’s proposal to connect ACOs with community-based behavioral health and LTSS providers, </w:t>
      </w:r>
      <w:r>
        <w:rPr>
          <w:rFonts w:ascii="Garamond" w:hAnsi="Garamond" w:cs="Garamond"/>
          <w:spacing w:val="-3"/>
        </w:rPr>
        <w:t xml:space="preserve">who </w:t>
      </w:r>
      <w:r>
        <w:rPr>
          <w:rFonts w:ascii="Garamond" w:hAnsi="Garamond" w:cs="Garamond"/>
        </w:rPr>
        <w:t xml:space="preserve">can be certified as Community Partners (CPs), including providing direct DSRIP funding to support the capacity-building of CPs. </w:t>
      </w:r>
      <w:r>
        <w:rPr>
          <w:rFonts w:ascii="Garamond" w:hAnsi="Garamond" w:cs="Garamond"/>
          <w:spacing w:val="-2"/>
        </w:rPr>
        <w:t xml:space="preserve">CPs </w:t>
      </w:r>
      <w:r>
        <w:rPr>
          <w:rFonts w:ascii="Garamond" w:hAnsi="Garamond" w:cs="Garamond"/>
        </w:rPr>
        <w:t xml:space="preserve">can use these resources to build </w:t>
      </w:r>
      <w:r>
        <w:rPr>
          <w:rFonts w:ascii="Garamond" w:hAnsi="Garamond" w:cs="Garamond"/>
          <w:spacing w:val="-3"/>
        </w:rPr>
        <w:t xml:space="preserve">out </w:t>
      </w:r>
      <w:r>
        <w:rPr>
          <w:rFonts w:ascii="Garamond" w:hAnsi="Garamond" w:cs="Garamond"/>
        </w:rPr>
        <w:t xml:space="preserve">the required capacity to work with </w:t>
      </w:r>
      <w:r>
        <w:rPr>
          <w:rFonts w:ascii="Garamond" w:hAnsi="Garamond" w:cs="Garamond"/>
          <w:spacing w:val="-3"/>
        </w:rPr>
        <w:t xml:space="preserve">ACOs </w:t>
      </w:r>
      <w:r>
        <w:rPr>
          <w:rFonts w:ascii="Garamond" w:hAnsi="Garamond" w:cs="Garamond"/>
        </w:rPr>
        <w:t xml:space="preserve">in supporting the integration of behavioral health, LTSS </w:t>
      </w:r>
      <w:r>
        <w:rPr>
          <w:rFonts w:ascii="Garamond" w:hAnsi="Garamond" w:cs="Garamond"/>
          <w:spacing w:val="-3"/>
        </w:rPr>
        <w:t xml:space="preserve">and </w:t>
      </w:r>
      <w:r>
        <w:rPr>
          <w:rFonts w:ascii="Garamond" w:hAnsi="Garamond" w:cs="Garamond"/>
        </w:rPr>
        <w:t xml:space="preserve">health-related social services. We request more information </w:t>
      </w:r>
      <w:r>
        <w:rPr>
          <w:rFonts w:ascii="Garamond" w:hAnsi="Garamond" w:cs="Garamond"/>
          <w:spacing w:val="-3"/>
        </w:rPr>
        <w:t xml:space="preserve">about </w:t>
      </w:r>
      <w:r>
        <w:rPr>
          <w:rFonts w:ascii="Garamond" w:hAnsi="Garamond" w:cs="Garamond"/>
        </w:rPr>
        <w:t xml:space="preserve">the certification criteria which CPs must meet, including </w:t>
      </w:r>
      <w:r>
        <w:rPr>
          <w:rFonts w:ascii="Garamond" w:hAnsi="Garamond" w:cs="Garamond"/>
          <w:spacing w:val="-3"/>
        </w:rPr>
        <w:t xml:space="preserve">cost and </w:t>
      </w:r>
      <w:r>
        <w:rPr>
          <w:rFonts w:ascii="Garamond" w:hAnsi="Garamond" w:cs="Garamond"/>
        </w:rPr>
        <w:t>quality goals</w:t>
      </w:r>
      <w:r>
        <w:rPr>
          <w:rFonts w:ascii="Garamond" w:hAnsi="Garamond" w:cs="Garamond"/>
          <w:spacing w:val="-9"/>
        </w:rPr>
        <w:t xml:space="preserve"> </w:t>
      </w:r>
      <w:r>
        <w:rPr>
          <w:rFonts w:ascii="Garamond" w:hAnsi="Garamond" w:cs="Garamond"/>
        </w:rPr>
        <w:t>and</w:t>
      </w:r>
      <w:r>
        <w:rPr>
          <w:rFonts w:ascii="Garamond" w:hAnsi="Garamond" w:cs="Garamond"/>
          <w:spacing w:val="-10"/>
        </w:rPr>
        <w:t xml:space="preserve"> </w:t>
      </w:r>
      <w:r>
        <w:rPr>
          <w:rFonts w:ascii="Garamond" w:hAnsi="Garamond" w:cs="Garamond"/>
        </w:rPr>
        <w:t>checks</w:t>
      </w:r>
      <w:r>
        <w:rPr>
          <w:rFonts w:ascii="Garamond" w:hAnsi="Garamond" w:cs="Garamond"/>
          <w:spacing w:val="-9"/>
        </w:rPr>
        <w:t xml:space="preserve"> </w:t>
      </w:r>
      <w:r>
        <w:rPr>
          <w:rFonts w:ascii="Garamond" w:hAnsi="Garamond" w:cs="Garamond"/>
        </w:rPr>
        <w:t>and</w:t>
      </w:r>
      <w:r>
        <w:rPr>
          <w:rFonts w:ascii="Garamond" w:hAnsi="Garamond" w:cs="Garamond"/>
          <w:spacing w:val="-14"/>
        </w:rPr>
        <w:t xml:space="preserve"> </w:t>
      </w:r>
      <w:r>
        <w:rPr>
          <w:rFonts w:ascii="Garamond" w:hAnsi="Garamond" w:cs="Garamond"/>
        </w:rPr>
        <w:t>balances</w:t>
      </w:r>
      <w:r>
        <w:rPr>
          <w:rFonts w:ascii="Garamond" w:hAnsi="Garamond" w:cs="Garamond"/>
          <w:spacing w:val="-9"/>
        </w:rPr>
        <w:t xml:space="preserve"> </w:t>
      </w:r>
      <w:r>
        <w:rPr>
          <w:rFonts w:ascii="Garamond" w:hAnsi="Garamond" w:cs="Garamond"/>
        </w:rPr>
        <w:t>to</w:t>
      </w:r>
      <w:r>
        <w:rPr>
          <w:rFonts w:ascii="Garamond" w:hAnsi="Garamond" w:cs="Garamond"/>
          <w:spacing w:val="-12"/>
        </w:rPr>
        <w:t xml:space="preserve"> </w:t>
      </w:r>
      <w:r>
        <w:rPr>
          <w:rFonts w:ascii="Garamond" w:hAnsi="Garamond" w:cs="Garamond"/>
        </w:rPr>
        <w:t>guard</w:t>
      </w:r>
      <w:r>
        <w:rPr>
          <w:rFonts w:ascii="Garamond" w:hAnsi="Garamond" w:cs="Garamond"/>
          <w:spacing w:val="-12"/>
        </w:rPr>
        <w:t xml:space="preserve"> </w:t>
      </w:r>
      <w:r>
        <w:rPr>
          <w:rFonts w:ascii="Garamond" w:hAnsi="Garamond" w:cs="Garamond"/>
        </w:rPr>
        <w:t>against</w:t>
      </w:r>
      <w:r>
        <w:rPr>
          <w:rFonts w:ascii="Garamond" w:hAnsi="Garamond" w:cs="Garamond"/>
          <w:spacing w:val="-10"/>
        </w:rPr>
        <w:t xml:space="preserve"> </w:t>
      </w:r>
      <w:r>
        <w:rPr>
          <w:rFonts w:ascii="Garamond" w:hAnsi="Garamond" w:cs="Garamond"/>
        </w:rPr>
        <w:t>excessive</w:t>
      </w:r>
      <w:r>
        <w:rPr>
          <w:rFonts w:ascii="Garamond" w:hAnsi="Garamond" w:cs="Garamond"/>
          <w:spacing w:val="-15"/>
        </w:rPr>
        <w:t xml:space="preserve"> </w:t>
      </w:r>
      <w:r>
        <w:rPr>
          <w:rFonts w:ascii="Garamond" w:hAnsi="Garamond" w:cs="Garamond"/>
        </w:rPr>
        <w:t>self-referral.</w:t>
      </w:r>
    </w:p>
    <w:p w:rsidR="002C5025" w:rsidRDefault="002C5025">
      <w:pPr>
        <w:pStyle w:val="BodyText"/>
        <w:kinsoku w:val="0"/>
        <w:overflowPunct w:val="0"/>
        <w:rPr>
          <w:rFonts w:ascii="Garamond" w:hAnsi="Garamond" w:cs="Garamond"/>
          <w:sz w:val="21"/>
          <w:szCs w:val="21"/>
        </w:rPr>
      </w:pPr>
    </w:p>
    <w:p w:rsidR="002C5025" w:rsidRDefault="002C5025">
      <w:pPr>
        <w:pStyle w:val="BodyText"/>
        <w:kinsoku w:val="0"/>
        <w:overflowPunct w:val="0"/>
        <w:spacing w:line="264" w:lineRule="exact"/>
        <w:ind w:left="120" w:right="197"/>
        <w:rPr>
          <w:rFonts w:ascii="Garamond" w:hAnsi="Garamond" w:cs="Garamond"/>
          <w:b/>
          <w:bCs/>
          <w:i/>
          <w:iCs/>
          <w:w w:val="85"/>
          <w:sz w:val="24"/>
          <w:szCs w:val="24"/>
        </w:rPr>
      </w:pPr>
      <w:bookmarkStart w:id="161" w:name="Long-term_services_and_supports"/>
      <w:bookmarkEnd w:id="161"/>
      <w:r>
        <w:rPr>
          <w:rFonts w:ascii="Garamond" w:hAnsi="Garamond" w:cs="Garamond"/>
          <w:b/>
          <w:bCs/>
          <w:i/>
          <w:iCs/>
          <w:w w:val="85"/>
          <w:sz w:val="24"/>
          <w:szCs w:val="24"/>
        </w:rPr>
        <w:t>Long -term services and</w:t>
      </w:r>
      <w:r w:rsidR="00CF30C1">
        <w:rPr>
          <w:rFonts w:ascii="Garamond" w:hAnsi="Garamond" w:cs="Garamond"/>
          <w:b/>
          <w:bCs/>
          <w:i/>
          <w:iCs/>
          <w:w w:val="85"/>
          <w:sz w:val="24"/>
          <w:szCs w:val="24"/>
        </w:rPr>
        <w:t xml:space="preserve"> </w:t>
      </w:r>
      <w:r>
        <w:rPr>
          <w:rFonts w:ascii="Garamond" w:hAnsi="Garamond" w:cs="Garamond"/>
          <w:b/>
          <w:bCs/>
          <w:i/>
          <w:iCs/>
          <w:w w:val="85"/>
          <w:sz w:val="24"/>
          <w:szCs w:val="24"/>
        </w:rPr>
        <w:t>supports</w:t>
      </w:r>
    </w:p>
    <w:p w:rsidR="002C5025" w:rsidRDefault="002C5025">
      <w:pPr>
        <w:pStyle w:val="BodyText"/>
        <w:kinsoku w:val="0"/>
        <w:overflowPunct w:val="0"/>
        <w:ind w:left="119" w:right="39"/>
        <w:rPr>
          <w:rFonts w:ascii="Garamond" w:hAnsi="Garamond" w:cs="Garamond"/>
        </w:rPr>
      </w:pPr>
      <w:r>
        <w:rPr>
          <w:rFonts w:ascii="Garamond" w:hAnsi="Garamond" w:cs="Garamond"/>
        </w:rPr>
        <w:t xml:space="preserve">People with disabilities, seniors </w:t>
      </w:r>
      <w:r>
        <w:rPr>
          <w:rFonts w:ascii="Garamond" w:hAnsi="Garamond" w:cs="Garamond"/>
          <w:spacing w:val="-3"/>
        </w:rPr>
        <w:t xml:space="preserve">and </w:t>
      </w:r>
      <w:r>
        <w:rPr>
          <w:rFonts w:ascii="Garamond" w:hAnsi="Garamond" w:cs="Garamond"/>
        </w:rPr>
        <w:t xml:space="preserve">individuals with </w:t>
      </w:r>
      <w:r>
        <w:rPr>
          <w:rFonts w:ascii="Garamond" w:hAnsi="Garamond" w:cs="Garamond"/>
          <w:spacing w:val="-3"/>
        </w:rPr>
        <w:t xml:space="preserve">chronic conditions </w:t>
      </w:r>
      <w:r>
        <w:rPr>
          <w:rFonts w:ascii="Garamond" w:hAnsi="Garamond" w:cs="Garamond"/>
        </w:rPr>
        <w:t xml:space="preserve">should have choice, control and access to a full array of quality services, including LTSS, that assure optimal </w:t>
      </w:r>
      <w:r>
        <w:rPr>
          <w:rFonts w:ascii="Garamond" w:hAnsi="Garamond" w:cs="Garamond"/>
          <w:spacing w:val="-3"/>
        </w:rPr>
        <w:t xml:space="preserve">outcomes, </w:t>
      </w:r>
      <w:r>
        <w:rPr>
          <w:rFonts w:ascii="Garamond" w:hAnsi="Garamond" w:cs="Garamond"/>
        </w:rPr>
        <w:t xml:space="preserve">such as independence, health and quality of life. </w:t>
      </w:r>
      <w:r>
        <w:rPr>
          <w:rFonts w:ascii="Garamond" w:hAnsi="Garamond" w:cs="Garamond"/>
          <w:spacing w:val="-3"/>
        </w:rPr>
        <w:t xml:space="preserve">This </w:t>
      </w:r>
      <w:r>
        <w:rPr>
          <w:rFonts w:ascii="Garamond" w:hAnsi="Garamond" w:cs="Garamond"/>
        </w:rPr>
        <w:t xml:space="preserve">portion of our health care delivery system is </w:t>
      </w:r>
      <w:r>
        <w:rPr>
          <w:rFonts w:ascii="Garamond" w:hAnsi="Garamond" w:cs="Garamond"/>
          <w:spacing w:val="-3"/>
        </w:rPr>
        <w:t xml:space="preserve">among </w:t>
      </w:r>
      <w:r>
        <w:rPr>
          <w:rFonts w:ascii="Garamond" w:hAnsi="Garamond" w:cs="Garamond"/>
        </w:rPr>
        <w:t xml:space="preserve">the most fragmented </w:t>
      </w:r>
      <w:r>
        <w:rPr>
          <w:rFonts w:ascii="Garamond" w:hAnsi="Garamond" w:cs="Garamond"/>
          <w:spacing w:val="-3"/>
        </w:rPr>
        <w:t xml:space="preserve">and </w:t>
      </w:r>
      <w:r>
        <w:rPr>
          <w:rFonts w:ascii="Garamond" w:hAnsi="Garamond" w:cs="Garamond"/>
        </w:rPr>
        <w:t xml:space="preserve">poised for improvement. Massachusetts </w:t>
      </w:r>
      <w:r>
        <w:rPr>
          <w:rFonts w:ascii="Garamond" w:hAnsi="Garamond" w:cs="Garamond"/>
          <w:spacing w:val="-3"/>
        </w:rPr>
        <w:t xml:space="preserve">has </w:t>
      </w:r>
      <w:r>
        <w:rPr>
          <w:rFonts w:ascii="Garamond" w:hAnsi="Garamond" w:cs="Garamond"/>
        </w:rPr>
        <w:t xml:space="preserve">made great strides in shifting utilization </w:t>
      </w:r>
      <w:r>
        <w:rPr>
          <w:rFonts w:ascii="Garamond" w:hAnsi="Garamond" w:cs="Garamond"/>
          <w:spacing w:val="-3"/>
        </w:rPr>
        <w:t xml:space="preserve">and </w:t>
      </w:r>
      <w:r>
        <w:rPr>
          <w:rFonts w:ascii="Garamond" w:hAnsi="Garamond" w:cs="Garamond"/>
        </w:rPr>
        <w:t>spending of LTSS</w:t>
      </w:r>
    </w:p>
    <w:p w:rsidR="002C5025" w:rsidRDefault="00FB027C">
      <w:pPr>
        <w:pStyle w:val="BodyText"/>
        <w:kinsoku w:val="0"/>
        <w:overflowPunct w:val="0"/>
        <w:spacing w:before="3"/>
        <w:rPr>
          <w:rFonts w:ascii="Garamond" w:hAnsi="Garamond" w:cs="Garamond"/>
          <w:sz w:val="11"/>
          <w:szCs w:val="11"/>
        </w:rPr>
      </w:pPr>
      <w:r>
        <w:rPr>
          <w:noProof/>
        </w:rPr>
        <mc:AlternateContent>
          <mc:Choice Requires="wps">
            <w:drawing>
              <wp:anchor distT="0" distB="0" distL="0" distR="0" simplePos="0" relativeHeight="251661824" behindDoc="0" locked="0" layoutInCell="0" allowOverlap="1">
                <wp:simplePos x="0" y="0"/>
                <wp:positionH relativeFrom="page">
                  <wp:posOffset>923925</wp:posOffset>
                </wp:positionH>
                <wp:positionV relativeFrom="paragraph">
                  <wp:posOffset>110490</wp:posOffset>
                </wp:positionV>
                <wp:extent cx="1829435" cy="12700"/>
                <wp:effectExtent l="0" t="0" r="0" b="0"/>
                <wp:wrapTopAndBottom/>
                <wp:docPr id="557" name="Freeform 4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1 w 2881"/>
                            <a:gd name="T3" fmla="*/ 0 h 20"/>
                          </a:gdLst>
                          <a:ahLst/>
                          <a:cxnLst>
                            <a:cxn ang="0">
                              <a:pos x="T0" y="T1"/>
                            </a:cxn>
                            <a:cxn ang="0">
                              <a:pos x="T2" y="T3"/>
                            </a:cxn>
                          </a:cxnLst>
                          <a:rect l="0" t="0" r="r" b="b"/>
                          <a:pathLst>
                            <a:path w="2881" h="20">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68" o:spid="_x0000_s1026" style="position:absolute;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2.75pt,8.7pt,216.8pt,8.7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" o:allowincell="f" filled="f" strokeweight=".82pt">
                <v:path arrowok="t" o:connecttype="custom" o:connectlocs="0,0;1829435,0" o:connectangles="0,0"/>
                <w10:wrap type="topAndBottom" anchorx="page"/>
              </v:polyline>
            </w:pict>
          </mc:Fallback>
        </mc:AlternateContent>
      </w:r>
    </w:p>
    <w:p w:rsidR="002C5025" w:rsidRDefault="002C5025">
      <w:pPr>
        <w:pStyle w:val="BodyText"/>
        <w:kinsoku w:val="0"/>
        <w:overflowPunct w:val="0"/>
        <w:spacing w:before="71"/>
        <w:ind w:left="120" w:right="197"/>
        <w:rPr>
          <w:rFonts w:ascii="Garamond" w:hAnsi="Garamond" w:cs="Garamond"/>
          <w:color w:val="000000"/>
          <w:sz w:val="20"/>
          <w:szCs w:val="20"/>
        </w:rPr>
      </w:pPr>
      <w:r>
        <w:rPr>
          <w:rFonts w:ascii="Garamond" w:hAnsi="Garamond" w:cs="Garamond"/>
          <w:position w:val="5"/>
          <w:sz w:val="13"/>
          <w:szCs w:val="13"/>
        </w:rPr>
        <w:t xml:space="preserve">24 </w:t>
      </w:r>
      <w:r>
        <w:rPr>
          <w:rFonts w:ascii="Garamond" w:hAnsi="Garamond" w:cs="Garamond"/>
          <w:sz w:val="20"/>
          <w:szCs w:val="20"/>
        </w:rPr>
        <w:t>The Agency for Healthcare Research and Quality (AHRQ) CHIPRA Quality Measures Program can serve as a foundation</w:t>
      </w:r>
      <w:r>
        <w:rPr>
          <w:rFonts w:ascii="Garamond" w:hAnsi="Garamond" w:cs="Garamond"/>
          <w:spacing w:val="-28"/>
          <w:sz w:val="20"/>
          <w:szCs w:val="20"/>
        </w:rPr>
        <w:t xml:space="preserve"> </w:t>
      </w:r>
      <w:r>
        <w:rPr>
          <w:rFonts w:ascii="Garamond" w:hAnsi="Garamond" w:cs="Garamond"/>
          <w:sz w:val="20"/>
          <w:szCs w:val="20"/>
        </w:rPr>
        <w:t>for</w:t>
      </w:r>
      <w:r>
        <w:rPr>
          <w:rFonts w:ascii="Garamond" w:hAnsi="Garamond" w:cs="Garamond"/>
          <w:spacing w:val="-25"/>
          <w:sz w:val="20"/>
          <w:szCs w:val="20"/>
        </w:rPr>
        <w:t xml:space="preserve"> </w:t>
      </w:r>
      <w:r>
        <w:rPr>
          <w:rFonts w:ascii="Garamond" w:hAnsi="Garamond" w:cs="Garamond"/>
          <w:sz w:val="20"/>
          <w:szCs w:val="20"/>
        </w:rPr>
        <w:t>appropriate</w:t>
      </w:r>
      <w:r>
        <w:rPr>
          <w:rFonts w:ascii="Garamond" w:hAnsi="Garamond" w:cs="Garamond"/>
          <w:spacing w:val="-24"/>
          <w:sz w:val="20"/>
          <w:szCs w:val="20"/>
        </w:rPr>
        <w:t xml:space="preserve"> </w:t>
      </w:r>
      <w:r>
        <w:rPr>
          <w:rFonts w:ascii="Garamond" w:hAnsi="Garamond" w:cs="Garamond"/>
          <w:sz w:val="20"/>
          <w:szCs w:val="20"/>
        </w:rPr>
        <w:t>pediatric</w:t>
      </w:r>
      <w:r>
        <w:rPr>
          <w:rFonts w:ascii="Garamond" w:hAnsi="Garamond" w:cs="Garamond"/>
          <w:spacing w:val="-24"/>
          <w:sz w:val="20"/>
          <w:szCs w:val="20"/>
        </w:rPr>
        <w:t xml:space="preserve"> </w:t>
      </w:r>
      <w:r>
        <w:rPr>
          <w:rFonts w:ascii="Garamond" w:hAnsi="Garamond" w:cs="Garamond"/>
          <w:sz w:val="20"/>
          <w:szCs w:val="20"/>
        </w:rPr>
        <w:t>quality</w:t>
      </w:r>
      <w:r>
        <w:rPr>
          <w:rFonts w:ascii="Garamond" w:hAnsi="Garamond" w:cs="Garamond"/>
          <w:spacing w:val="-24"/>
          <w:sz w:val="20"/>
          <w:szCs w:val="20"/>
        </w:rPr>
        <w:t xml:space="preserve"> </w:t>
      </w:r>
      <w:r>
        <w:rPr>
          <w:rFonts w:ascii="Garamond" w:hAnsi="Garamond" w:cs="Garamond"/>
          <w:sz w:val="20"/>
          <w:szCs w:val="20"/>
        </w:rPr>
        <w:t>measures:</w:t>
      </w:r>
      <w:r>
        <w:rPr>
          <w:rFonts w:ascii="Garamond" w:hAnsi="Garamond" w:cs="Garamond"/>
          <w:spacing w:val="-25"/>
          <w:sz w:val="20"/>
          <w:szCs w:val="20"/>
        </w:rPr>
        <w:t xml:space="preserve"> </w:t>
      </w:r>
      <w:hyperlink r:id="rId332" w:history="1">
        <w:r>
          <w:rPr>
            <w:rFonts w:ascii="Garamond" w:hAnsi="Garamond" w:cs="Garamond"/>
            <w:color w:val="0000FF"/>
            <w:sz w:val="20"/>
            <w:szCs w:val="20"/>
            <w:u w:val="single"/>
          </w:rPr>
          <w:t>http://www.ahrq.gov/policymakers/chipra/pqmpback.html</w:t>
        </w:r>
        <w:r>
          <w:rPr>
            <w:rFonts w:ascii="Garamond" w:hAnsi="Garamond" w:cs="Garamond"/>
            <w:color w:val="000000"/>
            <w:sz w:val="20"/>
            <w:szCs w:val="20"/>
          </w:rPr>
          <w:t>.</w:t>
        </w:r>
      </w:hyperlink>
    </w:p>
    <w:p w:rsidR="002C5025" w:rsidRDefault="002C5025">
      <w:pPr>
        <w:pStyle w:val="BodyText"/>
        <w:tabs>
          <w:tab w:val="left" w:pos="638"/>
        </w:tabs>
        <w:kinsoku w:val="0"/>
        <w:overflowPunct w:val="0"/>
        <w:ind w:left="120" w:right="513"/>
        <w:rPr>
          <w:rFonts w:ascii="Garamond" w:hAnsi="Garamond" w:cs="Garamond"/>
          <w:color w:val="0000FF"/>
          <w:spacing w:val="-2"/>
          <w:w w:val="95"/>
          <w:sz w:val="20"/>
          <w:szCs w:val="20"/>
        </w:rPr>
      </w:pPr>
      <w:r>
        <w:rPr>
          <w:rFonts w:ascii="Garamond" w:hAnsi="Garamond" w:cs="Garamond"/>
          <w:position w:val="5"/>
          <w:sz w:val="13"/>
          <w:szCs w:val="13"/>
        </w:rPr>
        <w:t>25</w:t>
      </w:r>
      <w:r>
        <w:rPr>
          <w:rFonts w:ascii="Garamond" w:hAnsi="Garamond" w:cs="Garamond"/>
          <w:position w:val="5"/>
          <w:sz w:val="13"/>
          <w:szCs w:val="13"/>
        </w:rPr>
        <w:tab/>
      </w:r>
      <w:hyperlink r:id="rId333" w:history="1">
        <w:r>
          <w:rPr>
            <w:rFonts w:ascii="Garamond" w:hAnsi="Garamond" w:cs="Garamond"/>
            <w:color w:val="0000FF"/>
            <w:spacing w:val="-2"/>
            <w:w w:val="95"/>
            <w:sz w:val="20"/>
            <w:szCs w:val="20"/>
            <w:u w:val="single"/>
          </w:rPr>
          <w:t>https://www.childrenshospitals.org/~/media/Files/CHA/Main/Research_and_Data/Research_Initiatives_and_</w:t>
        </w:r>
      </w:hyperlink>
      <w:r>
        <w:rPr>
          <w:rFonts w:ascii="Garamond" w:hAnsi="Garamond" w:cs="Garamond"/>
          <w:color w:val="0000FF"/>
          <w:spacing w:val="-2"/>
          <w:w w:val="95"/>
          <w:sz w:val="20"/>
          <w:szCs w:val="20"/>
          <w:u w:val="single"/>
        </w:rPr>
        <w:t xml:space="preserve"> </w:t>
      </w:r>
      <w:hyperlink r:id="rId334" w:history="1">
        <w:r>
          <w:rPr>
            <w:rFonts w:ascii="Garamond" w:hAnsi="Garamond" w:cs="Garamond"/>
            <w:color w:val="0000FF"/>
            <w:sz w:val="20"/>
            <w:szCs w:val="20"/>
            <w:u w:val="single"/>
          </w:rPr>
          <w:t>Findings/CWMC/summary_of_medically_complex_children_and_total_children_in_medicaid_07012013.pdf</w:t>
        </w:r>
        <w:r>
          <w:rPr>
            <w:rFonts w:ascii="Garamond" w:hAnsi="Garamond" w:cs="Garamond"/>
            <w:color w:val="1F487C"/>
            <w:sz w:val="20"/>
            <w:szCs w:val="20"/>
            <w:u w:val="single"/>
          </w:rPr>
          <w:t>.</w:t>
        </w:r>
      </w:hyperlink>
    </w:p>
    <w:p w:rsidR="002C5025" w:rsidRDefault="002C5025">
      <w:pPr>
        <w:pStyle w:val="BodyText"/>
        <w:kinsoku w:val="0"/>
        <w:overflowPunct w:val="0"/>
        <w:ind w:left="120" w:right="108"/>
        <w:rPr>
          <w:rFonts w:ascii="Garamond" w:hAnsi="Garamond" w:cs="Garamond"/>
          <w:color w:val="0000FF"/>
          <w:w w:val="95"/>
          <w:sz w:val="20"/>
          <w:szCs w:val="20"/>
        </w:rPr>
      </w:pPr>
      <w:r>
        <w:rPr>
          <w:rFonts w:ascii="Garamond" w:hAnsi="Garamond" w:cs="Garamond"/>
          <w:b/>
          <w:bCs/>
          <w:position w:val="5"/>
          <w:sz w:val="13"/>
          <w:szCs w:val="13"/>
        </w:rPr>
        <w:t xml:space="preserve">26 </w:t>
      </w:r>
      <w:r>
        <w:rPr>
          <w:rFonts w:ascii="Garamond" w:hAnsi="Garamond" w:cs="Garamond"/>
          <w:sz w:val="20"/>
          <w:szCs w:val="20"/>
        </w:rPr>
        <w:t xml:space="preserve">Lucile Packard Foundation for Children’s Health, </w:t>
      </w:r>
      <w:r>
        <w:rPr>
          <w:rFonts w:ascii="Garamond" w:hAnsi="Garamond" w:cs="Garamond"/>
          <w:b/>
          <w:bCs/>
          <w:sz w:val="20"/>
          <w:szCs w:val="20"/>
        </w:rPr>
        <w:t>“</w:t>
      </w:r>
      <w:r>
        <w:rPr>
          <w:rFonts w:ascii="Garamond" w:hAnsi="Garamond" w:cs="Garamond"/>
          <w:sz w:val="20"/>
          <w:szCs w:val="20"/>
        </w:rPr>
        <w:t>What Children with Medical Complexity, Their Families, and Healthcare Providers Deserve from an Ideal Healthcare System,” December 2015. Available at</w:t>
      </w:r>
      <w:r>
        <w:rPr>
          <w:rFonts w:ascii="Garamond" w:hAnsi="Garamond" w:cs="Garamond"/>
          <w:color w:val="424242"/>
          <w:sz w:val="20"/>
          <w:szCs w:val="20"/>
        </w:rPr>
        <w:t xml:space="preserve">: </w:t>
      </w:r>
      <w:hyperlink r:id="rId335" w:history="1">
        <w:r>
          <w:rPr>
            <w:rFonts w:ascii="Garamond" w:hAnsi="Garamond" w:cs="Garamond"/>
            <w:color w:val="0000FF"/>
            <w:w w:val="95"/>
            <w:sz w:val="20"/>
            <w:szCs w:val="20"/>
            <w:u w:val="single"/>
          </w:rPr>
          <w:t xml:space="preserve">http://www.lpfch.org/publication/what-children-medical-complexity-their-families-and-healthcare-providers-deserve-  </w:t>
        </w:r>
      </w:hyperlink>
      <w:hyperlink r:id="rId336" w:history="1">
        <w:r>
          <w:rPr>
            <w:rFonts w:ascii="Garamond" w:hAnsi="Garamond" w:cs="Garamond"/>
            <w:color w:val="0000FF"/>
            <w:w w:val="95"/>
            <w:sz w:val="20"/>
            <w:szCs w:val="20"/>
            <w:u w:val="single"/>
          </w:rPr>
          <w:t>ideal</w:t>
        </w:r>
        <w:r>
          <w:rPr>
            <w:rFonts w:ascii="Garamond" w:hAnsi="Garamond" w:cs="Garamond"/>
            <w:color w:val="424242"/>
            <w:w w:val="95"/>
            <w:sz w:val="20"/>
            <w:szCs w:val="20"/>
            <w:u w:val="single"/>
          </w:rPr>
          <w:t>.</w:t>
        </w:r>
      </w:hyperlink>
    </w:p>
    <w:p w:rsidR="002C5025" w:rsidRDefault="002C5025">
      <w:pPr>
        <w:pStyle w:val="BodyText"/>
        <w:kinsoku w:val="0"/>
        <w:overflowPunct w:val="0"/>
        <w:spacing w:before="2"/>
        <w:rPr>
          <w:rFonts w:ascii="Garamond" w:hAnsi="Garamond" w:cs="Garamond"/>
          <w:sz w:val="13"/>
          <w:szCs w:val="13"/>
        </w:rPr>
      </w:pPr>
    </w:p>
    <w:p w:rsidR="002C5025" w:rsidRDefault="002C5025">
      <w:pPr>
        <w:pStyle w:val="BodyText"/>
        <w:kinsoku w:val="0"/>
        <w:overflowPunct w:val="0"/>
        <w:spacing w:before="80"/>
        <w:ind w:left="4686" w:right="4526"/>
        <w:jc w:val="center"/>
        <w:rPr>
          <w:rFonts w:ascii="Garamond" w:hAnsi="Garamond" w:cs="Garamond"/>
          <w:sz w:val="20"/>
          <w:szCs w:val="20"/>
        </w:rPr>
      </w:pPr>
      <w:r>
        <w:rPr>
          <w:rFonts w:ascii="Garamond" w:hAnsi="Garamond" w:cs="Garamond"/>
          <w:sz w:val="20"/>
          <w:szCs w:val="20"/>
        </w:rPr>
        <w:t>11</w:t>
      </w:r>
    </w:p>
    <w:p w:rsidR="002C5025" w:rsidRDefault="002C5025">
      <w:pPr>
        <w:pStyle w:val="BodyText"/>
        <w:kinsoku w:val="0"/>
        <w:overflowPunct w:val="0"/>
        <w:spacing w:before="80"/>
        <w:ind w:left="4686" w:right="4526"/>
        <w:jc w:val="center"/>
        <w:rPr>
          <w:rFonts w:ascii="Garamond" w:hAnsi="Garamond" w:cs="Garamond"/>
          <w:sz w:val="20"/>
          <w:szCs w:val="20"/>
        </w:rPr>
        <w:sectPr w:rsidR="002C5025">
          <w:pgSz w:w="12240" w:h="15840"/>
          <w:pgMar w:top="1380" w:right="1480" w:bottom="280" w:left="1320" w:header="720" w:footer="720" w:gutter="0"/>
          <w:cols w:space="720" w:equalWidth="0">
            <w:col w:w="9440"/>
          </w:cols>
          <w:noEndnote/>
        </w:sectPr>
      </w:pPr>
    </w:p>
    <w:p w:rsidR="002C5025" w:rsidRDefault="002C5025">
      <w:pPr>
        <w:pStyle w:val="BodyText"/>
        <w:kinsoku w:val="0"/>
        <w:overflowPunct w:val="0"/>
        <w:spacing w:before="60"/>
        <w:ind w:left="119" w:right="85"/>
        <w:rPr>
          <w:rFonts w:ascii="Garamond" w:hAnsi="Garamond" w:cs="Garamond"/>
        </w:rPr>
      </w:pPr>
      <w:r>
        <w:rPr>
          <w:rFonts w:ascii="Garamond" w:hAnsi="Garamond" w:cs="Garamond"/>
        </w:rPr>
        <w:lastRenderedPageBreak/>
        <w:t>from</w:t>
      </w:r>
      <w:r>
        <w:rPr>
          <w:rFonts w:ascii="Garamond" w:hAnsi="Garamond" w:cs="Garamond"/>
          <w:spacing w:val="-9"/>
        </w:rPr>
        <w:t xml:space="preserve"> </w:t>
      </w:r>
      <w:r>
        <w:rPr>
          <w:rFonts w:ascii="Garamond" w:hAnsi="Garamond" w:cs="Garamond"/>
        </w:rPr>
        <w:t>institutional</w:t>
      </w:r>
      <w:r>
        <w:rPr>
          <w:rFonts w:ascii="Garamond" w:hAnsi="Garamond" w:cs="Garamond"/>
          <w:spacing w:val="-9"/>
        </w:rPr>
        <w:t xml:space="preserve"> </w:t>
      </w:r>
      <w:r>
        <w:rPr>
          <w:rFonts w:ascii="Garamond" w:hAnsi="Garamond" w:cs="Garamond"/>
        </w:rPr>
        <w:t>settings</w:t>
      </w:r>
      <w:r>
        <w:rPr>
          <w:rFonts w:ascii="Garamond" w:hAnsi="Garamond" w:cs="Garamond"/>
          <w:spacing w:val="-8"/>
        </w:rPr>
        <w:t xml:space="preserve"> </w:t>
      </w:r>
      <w:r>
        <w:rPr>
          <w:rFonts w:ascii="Garamond" w:hAnsi="Garamond" w:cs="Garamond"/>
        </w:rPr>
        <w:t>to</w:t>
      </w:r>
      <w:r>
        <w:rPr>
          <w:rFonts w:ascii="Garamond" w:hAnsi="Garamond" w:cs="Garamond"/>
          <w:spacing w:val="-11"/>
        </w:rPr>
        <w:t xml:space="preserve"> </w:t>
      </w:r>
      <w:r>
        <w:rPr>
          <w:rFonts w:ascii="Garamond" w:hAnsi="Garamond" w:cs="Garamond"/>
        </w:rPr>
        <w:t>the</w:t>
      </w:r>
      <w:r>
        <w:rPr>
          <w:rFonts w:ascii="Garamond" w:hAnsi="Garamond" w:cs="Garamond"/>
          <w:spacing w:val="-8"/>
        </w:rPr>
        <w:t xml:space="preserve"> </w:t>
      </w:r>
      <w:r>
        <w:rPr>
          <w:rFonts w:ascii="Garamond" w:hAnsi="Garamond" w:cs="Garamond"/>
        </w:rPr>
        <w:t>community.</w:t>
      </w:r>
      <w:r>
        <w:rPr>
          <w:rFonts w:ascii="Garamond" w:hAnsi="Garamond" w:cs="Garamond"/>
          <w:spacing w:val="-9"/>
        </w:rPr>
        <w:t xml:space="preserve"> </w:t>
      </w:r>
      <w:r>
        <w:rPr>
          <w:rFonts w:ascii="Garamond" w:hAnsi="Garamond" w:cs="Garamond"/>
        </w:rPr>
        <w:t>Preliminary</w:t>
      </w:r>
      <w:r>
        <w:rPr>
          <w:rFonts w:ascii="Garamond" w:hAnsi="Garamond" w:cs="Garamond"/>
          <w:spacing w:val="-14"/>
        </w:rPr>
        <w:t xml:space="preserve"> </w:t>
      </w:r>
      <w:r>
        <w:rPr>
          <w:rFonts w:ascii="Garamond" w:hAnsi="Garamond" w:cs="Garamond"/>
        </w:rPr>
        <w:t>2015</w:t>
      </w:r>
      <w:r>
        <w:rPr>
          <w:rFonts w:ascii="Garamond" w:hAnsi="Garamond" w:cs="Garamond"/>
          <w:spacing w:val="-9"/>
        </w:rPr>
        <w:t xml:space="preserve"> </w:t>
      </w:r>
      <w:r>
        <w:rPr>
          <w:rFonts w:ascii="Garamond" w:hAnsi="Garamond" w:cs="Garamond"/>
        </w:rPr>
        <w:t>numbers</w:t>
      </w:r>
      <w:r>
        <w:rPr>
          <w:rFonts w:ascii="Garamond" w:hAnsi="Garamond" w:cs="Garamond"/>
          <w:spacing w:val="-10"/>
        </w:rPr>
        <w:t xml:space="preserve"> </w:t>
      </w:r>
      <w:r>
        <w:rPr>
          <w:rFonts w:ascii="Garamond" w:hAnsi="Garamond" w:cs="Garamond"/>
        </w:rPr>
        <w:t>show</w:t>
      </w:r>
      <w:r>
        <w:rPr>
          <w:rFonts w:ascii="Garamond" w:hAnsi="Garamond" w:cs="Garamond"/>
          <w:spacing w:val="-10"/>
        </w:rPr>
        <w:t xml:space="preserve"> </w:t>
      </w:r>
      <w:r>
        <w:rPr>
          <w:rFonts w:ascii="Garamond" w:hAnsi="Garamond" w:cs="Garamond"/>
          <w:spacing w:val="-3"/>
        </w:rPr>
        <w:t>that</w:t>
      </w:r>
      <w:r>
        <w:rPr>
          <w:rFonts w:ascii="Garamond" w:hAnsi="Garamond" w:cs="Garamond"/>
          <w:spacing w:val="-8"/>
        </w:rPr>
        <w:t xml:space="preserve"> </w:t>
      </w:r>
      <w:r>
        <w:rPr>
          <w:rFonts w:ascii="Garamond" w:hAnsi="Garamond" w:cs="Garamond"/>
        </w:rPr>
        <w:t>the</w:t>
      </w:r>
      <w:r>
        <w:rPr>
          <w:rFonts w:ascii="Garamond" w:hAnsi="Garamond" w:cs="Garamond"/>
          <w:spacing w:val="-9"/>
        </w:rPr>
        <w:t xml:space="preserve"> </w:t>
      </w:r>
      <w:r>
        <w:rPr>
          <w:rFonts w:ascii="Garamond" w:hAnsi="Garamond" w:cs="Garamond"/>
        </w:rPr>
        <w:t>percent</w:t>
      </w:r>
      <w:r>
        <w:rPr>
          <w:rFonts w:ascii="Garamond" w:hAnsi="Garamond" w:cs="Garamond"/>
          <w:spacing w:val="-7"/>
        </w:rPr>
        <w:t xml:space="preserve"> </w:t>
      </w:r>
      <w:r>
        <w:rPr>
          <w:rFonts w:ascii="Garamond" w:hAnsi="Garamond" w:cs="Garamond"/>
        </w:rPr>
        <w:t>of</w:t>
      </w:r>
      <w:r>
        <w:rPr>
          <w:rFonts w:ascii="Garamond" w:hAnsi="Garamond" w:cs="Garamond"/>
          <w:spacing w:val="-10"/>
        </w:rPr>
        <w:t xml:space="preserve"> </w:t>
      </w:r>
      <w:r>
        <w:rPr>
          <w:rFonts w:ascii="Garamond" w:hAnsi="Garamond" w:cs="Garamond"/>
        </w:rPr>
        <w:t>MassHealth spending</w:t>
      </w:r>
      <w:r>
        <w:rPr>
          <w:rFonts w:ascii="Garamond" w:hAnsi="Garamond" w:cs="Garamond"/>
          <w:spacing w:val="-7"/>
        </w:rPr>
        <w:t xml:space="preserve"> </w:t>
      </w:r>
      <w:r>
        <w:rPr>
          <w:rFonts w:ascii="Garamond" w:hAnsi="Garamond" w:cs="Garamond"/>
        </w:rPr>
        <w:t>on</w:t>
      </w:r>
      <w:r>
        <w:rPr>
          <w:rFonts w:ascii="Garamond" w:hAnsi="Garamond" w:cs="Garamond"/>
          <w:spacing w:val="-9"/>
        </w:rPr>
        <w:t xml:space="preserve"> </w:t>
      </w:r>
      <w:r>
        <w:rPr>
          <w:rFonts w:ascii="Garamond" w:hAnsi="Garamond" w:cs="Garamond"/>
        </w:rPr>
        <w:t>community-based</w:t>
      </w:r>
      <w:r>
        <w:rPr>
          <w:rFonts w:ascii="Garamond" w:hAnsi="Garamond" w:cs="Garamond"/>
          <w:spacing w:val="-6"/>
        </w:rPr>
        <w:t xml:space="preserve"> </w:t>
      </w:r>
      <w:r>
        <w:rPr>
          <w:rFonts w:ascii="Garamond" w:hAnsi="Garamond" w:cs="Garamond"/>
        </w:rPr>
        <w:t>LTSS</w:t>
      </w:r>
      <w:r>
        <w:rPr>
          <w:rFonts w:ascii="Garamond" w:hAnsi="Garamond" w:cs="Garamond"/>
          <w:spacing w:val="-11"/>
        </w:rPr>
        <w:t xml:space="preserve"> </w:t>
      </w:r>
      <w:r>
        <w:rPr>
          <w:rFonts w:ascii="Garamond" w:hAnsi="Garamond" w:cs="Garamond"/>
        </w:rPr>
        <w:t>has</w:t>
      </w:r>
      <w:r>
        <w:rPr>
          <w:rFonts w:ascii="Garamond" w:hAnsi="Garamond" w:cs="Garamond"/>
          <w:spacing w:val="-10"/>
        </w:rPr>
        <w:t xml:space="preserve"> </w:t>
      </w:r>
      <w:r>
        <w:rPr>
          <w:rFonts w:ascii="Garamond" w:hAnsi="Garamond" w:cs="Garamond"/>
        </w:rPr>
        <w:t>risen</w:t>
      </w:r>
      <w:r>
        <w:rPr>
          <w:rFonts w:ascii="Garamond" w:hAnsi="Garamond" w:cs="Garamond"/>
          <w:spacing w:val="-9"/>
        </w:rPr>
        <w:t xml:space="preserve"> </w:t>
      </w:r>
      <w:r>
        <w:rPr>
          <w:rFonts w:ascii="Garamond" w:hAnsi="Garamond" w:cs="Garamond"/>
        </w:rPr>
        <w:t>to</w:t>
      </w:r>
      <w:r>
        <w:rPr>
          <w:rFonts w:ascii="Garamond" w:hAnsi="Garamond" w:cs="Garamond"/>
          <w:spacing w:val="-6"/>
        </w:rPr>
        <w:t xml:space="preserve"> </w:t>
      </w:r>
      <w:r>
        <w:rPr>
          <w:rFonts w:ascii="Garamond" w:hAnsi="Garamond" w:cs="Garamond"/>
        </w:rPr>
        <w:t>65%,</w:t>
      </w:r>
      <w:r>
        <w:rPr>
          <w:rFonts w:ascii="Garamond" w:hAnsi="Garamond" w:cs="Garamond"/>
          <w:spacing w:val="-9"/>
        </w:rPr>
        <w:t xml:space="preserve"> </w:t>
      </w:r>
      <w:r>
        <w:rPr>
          <w:rFonts w:ascii="Garamond" w:hAnsi="Garamond" w:cs="Garamond"/>
        </w:rPr>
        <w:t>as</w:t>
      </w:r>
      <w:r>
        <w:rPr>
          <w:rFonts w:ascii="Garamond" w:hAnsi="Garamond" w:cs="Garamond"/>
          <w:spacing w:val="-10"/>
        </w:rPr>
        <w:t xml:space="preserve"> </w:t>
      </w:r>
      <w:r>
        <w:rPr>
          <w:rFonts w:ascii="Garamond" w:hAnsi="Garamond" w:cs="Garamond"/>
        </w:rPr>
        <w:t>compared</w:t>
      </w:r>
      <w:r>
        <w:rPr>
          <w:rFonts w:ascii="Garamond" w:hAnsi="Garamond" w:cs="Garamond"/>
          <w:spacing w:val="-9"/>
        </w:rPr>
        <w:t xml:space="preserve"> </w:t>
      </w:r>
      <w:r>
        <w:rPr>
          <w:rFonts w:ascii="Garamond" w:hAnsi="Garamond" w:cs="Garamond"/>
        </w:rPr>
        <w:t>to</w:t>
      </w:r>
      <w:r>
        <w:rPr>
          <w:rFonts w:ascii="Garamond" w:hAnsi="Garamond" w:cs="Garamond"/>
          <w:spacing w:val="-9"/>
        </w:rPr>
        <w:t xml:space="preserve"> </w:t>
      </w:r>
      <w:r>
        <w:rPr>
          <w:rFonts w:ascii="Garamond" w:hAnsi="Garamond" w:cs="Garamond"/>
        </w:rPr>
        <w:t>institutional</w:t>
      </w:r>
      <w:r>
        <w:rPr>
          <w:rFonts w:ascii="Garamond" w:hAnsi="Garamond" w:cs="Garamond"/>
          <w:spacing w:val="-14"/>
        </w:rPr>
        <w:t xml:space="preserve"> </w:t>
      </w:r>
      <w:r>
        <w:rPr>
          <w:rFonts w:ascii="Garamond" w:hAnsi="Garamond" w:cs="Garamond"/>
        </w:rPr>
        <w:t>settings.</w:t>
      </w:r>
      <w:r>
        <w:rPr>
          <w:rFonts w:ascii="Garamond" w:hAnsi="Garamond" w:cs="Garamond"/>
          <w:position w:val="5"/>
          <w:sz w:val="14"/>
          <w:szCs w:val="14"/>
        </w:rPr>
        <w:t>27</w:t>
      </w:r>
      <w:r>
        <w:rPr>
          <w:rFonts w:ascii="Garamond" w:hAnsi="Garamond" w:cs="Garamond"/>
          <w:spacing w:val="11"/>
          <w:position w:val="5"/>
          <w:sz w:val="14"/>
          <w:szCs w:val="14"/>
        </w:rPr>
        <w:t xml:space="preserve"> </w:t>
      </w:r>
      <w:r>
        <w:rPr>
          <w:rFonts w:ascii="Garamond" w:hAnsi="Garamond" w:cs="Garamond"/>
        </w:rPr>
        <w:t>Even</w:t>
      </w:r>
      <w:r>
        <w:rPr>
          <w:rFonts w:ascii="Garamond" w:hAnsi="Garamond" w:cs="Garamond"/>
          <w:spacing w:val="-8"/>
        </w:rPr>
        <w:t xml:space="preserve"> </w:t>
      </w:r>
      <w:r>
        <w:rPr>
          <w:rFonts w:ascii="Garamond" w:hAnsi="Garamond" w:cs="Garamond"/>
        </w:rPr>
        <w:t>so,</w:t>
      </w:r>
      <w:r>
        <w:rPr>
          <w:rFonts w:ascii="Garamond" w:hAnsi="Garamond" w:cs="Garamond"/>
          <w:spacing w:val="-9"/>
        </w:rPr>
        <w:t xml:space="preserve"> </w:t>
      </w:r>
      <w:r>
        <w:rPr>
          <w:rFonts w:ascii="Garamond" w:hAnsi="Garamond" w:cs="Garamond"/>
        </w:rPr>
        <w:t xml:space="preserve">many members still need to patch together services to get what they need, </w:t>
      </w:r>
      <w:r>
        <w:rPr>
          <w:rFonts w:ascii="Garamond" w:hAnsi="Garamond" w:cs="Garamond"/>
          <w:spacing w:val="-3"/>
        </w:rPr>
        <w:t xml:space="preserve">and </w:t>
      </w:r>
      <w:r>
        <w:rPr>
          <w:rFonts w:ascii="Garamond" w:hAnsi="Garamond" w:cs="Garamond"/>
        </w:rPr>
        <w:t>the pieces of their care quilt rarely focus</w:t>
      </w:r>
      <w:r>
        <w:rPr>
          <w:rFonts w:ascii="Garamond" w:hAnsi="Garamond" w:cs="Garamond"/>
          <w:spacing w:val="-8"/>
        </w:rPr>
        <w:t xml:space="preserve"> </w:t>
      </w:r>
      <w:r>
        <w:rPr>
          <w:rFonts w:ascii="Garamond" w:hAnsi="Garamond" w:cs="Garamond"/>
        </w:rPr>
        <w:t>on</w:t>
      </w:r>
      <w:r>
        <w:rPr>
          <w:rFonts w:ascii="Garamond" w:hAnsi="Garamond" w:cs="Garamond"/>
          <w:spacing w:val="-13"/>
        </w:rPr>
        <w:t xml:space="preserve"> </w:t>
      </w:r>
      <w:r>
        <w:rPr>
          <w:rFonts w:ascii="Garamond" w:hAnsi="Garamond" w:cs="Garamond"/>
        </w:rPr>
        <w:t>shared</w:t>
      </w:r>
      <w:r>
        <w:rPr>
          <w:rFonts w:ascii="Garamond" w:hAnsi="Garamond" w:cs="Garamond"/>
          <w:spacing w:val="-9"/>
        </w:rPr>
        <w:t xml:space="preserve"> </w:t>
      </w:r>
      <w:r>
        <w:rPr>
          <w:rFonts w:ascii="Garamond" w:hAnsi="Garamond" w:cs="Garamond"/>
        </w:rPr>
        <w:t>care</w:t>
      </w:r>
      <w:r>
        <w:rPr>
          <w:rFonts w:ascii="Garamond" w:hAnsi="Garamond" w:cs="Garamond"/>
          <w:spacing w:val="-12"/>
        </w:rPr>
        <w:t xml:space="preserve"> </w:t>
      </w:r>
      <w:r>
        <w:rPr>
          <w:rFonts w:ascii="Garamond" w:hAnsi="Garamond" w:cs="Garamond"/>
        </w:rPr>
        <w:t>planning,</w:t>
      </w:r>
      <w:r>
        <w:rPr>
          <w:rFonts w:ascii="Garamond" w:hAnsi="Garamond" w:cs="Garamond"/>
          <w:spacing w:val="-9"/>
        </w:rPr>
        <w:t xml:space="preserve"> </w:t>
      </w:r>
      <w:r>
        <w:rPr>
          <w:rFonts w:ascii="Garamond" w:hAnsi="Garamond" w:cs="Garamond"/>
        </w:rPr>
        <w:t>continuity</w:t>
      </w:r>
      <w:r>
        <w:rPr>
          <w:rFonts w:ascii="Garamond" w:hAnsi="Garamond" w:cs="Garamond"/>
          <w:spacing w:val="-12"/>
        </w:rPr>
        <w:t xml:space="preserve"> </w:t>
      </w:r>
      <w:r>
        <w:rPr>
          <w:rFonts w:ascii="Garamond" w:hAnsi="Garamond" w:cs="Garamond"/>
        </w:rPr>
        <w:t>of</w:t>
      </w:r>
      <w:r>
        <w:rPr>
          <w:rFonts w:ascii="Garamond" w:hAnsi="Garamond" w:cs="Garamond"/>
          <w:spacing w:val="-12"/>
        </w:rPr>
        <w:t xml:space="preserve"> </w:t>
      </w:r>
      <w:r>
        <w:rPr>
          <w:rFonts w:ascii="Garamond" w:hAnsi="Garamond" w:cs="Garamond"/>
        </w:rPr>
        <w:t>services</w:t>
      </w:r>
      <w:r>
        <w:rPr>
          <w:rFonts w:ascii="Garamond" w:hAnsi="Garamond" w:cs="Garamond"/>
          <w:spacing w:val="-8"/>
        </w:rPr>
        <w:t xml:space="preserve"> </w:t>
      </w:r>
      <w:r>
        <w:rPr>
          <w:rFonts w:ascii="Garamond" w:hAnsi="Garamond" w:cs="Garamond"/>
        </w:rPr>
        <w:t>or</w:t>
      </w:r>
      <w:r>
        <w:rPr>
          <w:rFonts w:ascii="Garamond" w:hAnsi="Garamond" w:cs="Garamond"/>
          <w:spacing w:val="-12"/>
        </w:rPr>
        <w:t xml:space="preserve"> </w:t>
      </w:r>
      <w:r>
        <w:rPr>
          <w:rFonts w:ascii="Garamond" w:hAnsi="Garamond" w:cs="Garamond"/>
        </w:rPr>
        <w:t>sustained</w:t>
      </w:r>
      <w:r>
        <w:rPr>
          <w:rFonts w:ascii="Garamond" w:hAnsi="Garamond" w:cs="Garamond"/>
          <w:spacing w:val="-12"/>
        </w:rPr>
        <w:t xml:space="preserve"> </w:t>
      </w:r>
      <w:r>
        <w:rPr>
          <w:rFonts w:ascii="Garamond" w:hAnsi="Garamond" w:cs="Garamond"/>
        </w:rPr>
        <w:t>outcomes.</w:t>
      </w:r>
    </w:p>
    <w:p w:rsidR="002C5025" w:rsidRDefault="002C5025">
      <w:pPr>
        <w:pStyle w:val="BodyText"/>
        <w:kinsoku w:val="0"/>
        <w:overflowPunct w:val="0"/>
        <w:spacing w:before="1"/>
        <w:rPr>
          <w:rFonts w:ascii="Garamond" w:hAnsi="Garamond" w:cs="Garamond"/>
        </w:rPr>
      </w:pPr>
    </w:p>
    <w:p w:rsidR="002C5025" w:rsidRDefault="002C5025">
      <w:pPr>
        <w:pStyle w:val="BodyText"/>
        <w:kinsoku w:val="0"/>
        <w:overflowPunct w:val="0"/>
        <w:spacing w:before="1"/>
        <w:ind w:left="116" w:right="225" w:firstLine="2"/>
        <w:rPr>
          <w:rFonts w:ascii="Garamond" w:hAnsi="Garamond" w:cs="Garamond"/>
        </w:rPr>
      </w:pPr>
      <w:r>
        <w:rPr>
          <w:rFonts w:ascii="Garamond" w:hAnsi="Garamond" w:cs="Garamond"/>
        </w:rPr>
        <w:t xml:space="preserve">We support MassHealth’s vision of adopting a person-centered </w:t>
      </w:r>
      <w:r>
        <w:rPr>
          <w:rFonts w:ascii="Garamond" w:hAnsi="Garamond" w:cs="Garamond"/>
          <w:spacing w:val="-3"/>
        </w:rPr>
        <w:t xml:space="preserve">approach </w:t>
      </w:r>
      <w:r>
        <w:rPr>
          <w:rFonts w:ascii="Garamond" w:hAnsi="Garamond" w:cs="Garamond"/>
        </w:rPr>
        <w:t xml:space="preserve">to care, investing in </w:t>
      </w:r>
      <w:r>
        <w:rPr>
          <w:rFonts w:ascii="Garamond" w:hAnsi="Garamond" w:cs="Garamond"/>
          <w:spacing w:val="-3"/>
        </w:rPr>
        <w:t xml:space="preserve">community- </w:t>
      </w:r>
      <w:r>
        <w:rPr>
          <w:rFonts w:ascii="Garamond" w:hAnsi="Garamond" w:cs="Garamond"/>
        </w:rPr>
        <w:t xml:space="preserve">based LTSS to prevent </w:t>
      </w:r>
      <w:r>
        <w:rPr>
          <w:rFonts w:ascii="Garamond" w:hAnsi="Garamond" w:cs="Garamond"/>
          <w:spacing w:val="-3"/>
        </w:rPr>
        <w:t xml:space="preserve">admissions </w:t>
      </w:r>
      <w:r>
        <w:rPr>
          <w:rFonts w:ascii="Garamond" w:hAnsi="Garamond" w:cs="Garamond"/>
        </w:rPr>
        <w:t xml:space="preserve">to </w:t>
      </w:r>
      <w:r>
        <w:rPr>
          <w:rFonts w:ascii="Garamond" w:hAnsi="Garamond" w:cs="Garamond"/>
          <w:spacing w:val="-3"/>
        </w:rPr>
        <w:t xml:space="preserve">and </w:t>
      </w:r>
      <w:r>
        <w:rPr>
          <w:rFonts w:ascii="Garamond" w:hAnsi="Garamond" w:cs="Garamond"/>
        </w:rPr>
        <w:t xml:space="preserve">transition members from institutional settings, and promoting independent living principles (35). MassHealth </w:t>
      </w:r>
      <w:r>
        <w:rPr>
          <w:rFonts w:ascii="Garamond" w:hAnsi="Garamond" w:cs="Garamond"/>
          <w:spacing w:val="-3"/>
        </w:rPr>
        <w:t xml:space="preserve">MCOs and </w:t>
      </w:r>
      <w:r>
        <w:rPr>
          <w:rFonts w:ascii="Garamond" w:hAnsi="Garamond" w:cs="Garamond"/>
        </w:rPr>
        <w:t xml:space="preserve">ACOs must look </w:t>
      </w:r>
      <w:r>
        <w:rPr>
          <w:rFonts w:ascii="Garamond" w:hAnsi="Garamond" w:cs="Garamond"/>
          <w:spacing w:val="-3"/>
        </w:rPr>
        <w:t xml:space="preserve">beyond </w:t>
      </w:r>
      <w:r>
        <w:rPr>
          <w:rFonts w:ascii="Garamond" w:hAnsi="Garamond" w:cs="Garamond"/>
        </w:rPr>
        <w:t xml:space="preserve">the medical model </w:t>
      </w:r>
      <w:r>
        <w:rPr>
          <w:rFonts w:ascii="Garamond" w:hAnsi="Garamond" w:cs="Garamond"/>
          <w:spacing w:val="-3"/>
        </w:rPr>
        <w:t xml:space="preserve">of </w:t>
      </w:r>
      <w:r>
        <w:rPr>
          <w:rFonts w:ascii="Garamond" w:hAnsi="Garamond" w:cs="Garamond"/>
        </w:rPr>
        <w:t xml:space="preserve">LTSS to </w:t>
      </w:r>
      <w:r>
        <w:rPr>
          <w:rFonts w:ascii="Garamond" w:hAnsi="Garamond" w:cs="Garamond"/>
          <w:spacing w:val="-3"/>
        </w:rPr>
        <w:t xml:space="preserve">address </w:t>
      </w:r>
      <w:r>
        <w:rPr>
          <w:rFonts w:ascii="Garamond" w:hAnsi="Garamond" w:cs="Garamond"/>
        </w:rPr>
        <w:t xml:space="preserve">everyday needs that keep </w:t>
      </w:r>
      <w:r>
        <w:rPr>
          <w:rFonts w:ascii="Garamond" w:hAnsi="Garamond" w:cs="Garamond"/>
          <w:spacing w:val="-3"/>
        </w:rPr>
        <w:t xml:space="preserve">people </w:t>
      </w:r>
      <w:r>
        <w:rPr>
          <w:rFonts w:ascii="Garamond" w:hAnsi="Garamond" w:cs="Garamond"/>
        </w:rPr>
        <w:t xml:space="preserve">in the community, as well as </w:t>
      </w:r>
      <w:r>
        <w:rPr>
          <w:rFonts w:ascii="Garamond" w:hAnsi="Garamond" w:cs="Garamond"/>
          <w:spacing w:val="-3"/>
        </w:rPr>
        <w:t xml:space="preserve">overarching </w:t>
      </w:r>
      <w:r>
        <w:rPr>
          <w:rFonts w:ascii="Garamond" w:hAnsi="Garamond" w:cs="Garamond"/>
          <w:spacing w:val="-2"/>
        </w:rPr>
        <w:t xml:space="preserve">social </w:t>
      </w:r>
      <w:r>
        <w:rPr>
          <w:rFonts w:ascii="Garamond" w:hAnsi="Garamond" w:cs="Garamond"/>
        </w:rPr>
        <w:t>determinants</w:t>
      </w:r>
      <w:r>
        <w:rPr>
          <w:rFonts w:ascii="Garamond" w:hAnsi="Garamond" w:cs="Garamond"/>
          <w:spacing w:val="-6"/>
        </w:rPr>
        <w:t xml:space="preserve"> </w:t>
      </w:r>
      <w:r>
        <w:rPr>
          <w:rFonts w:ascii="Garamond" w:hAnsi="Garamond" w:cs="Garamond"/>
        </w:rPr>
        <w:t>of</w:t>
      </w:r>
      <w:r>
        <w:rPr>
          <w:rFonts w:ascii="Garamond" w:hAnsi="Garamond" w:cs="Garamond"/>
          <w:spacing w:val="-11"/>
        </w:rPr>
        <w:t xml:space="preserve"> </w:t>
      </w:r>
      <w:r>
        <w:rPr>
          <w:rFonts w:ascii="Garamond" w:hAnsi="Garamond" w:cs="Garamond"/>
        </w:rPr>
        <w:t>health.</w:t>
      </w:r>
      <w:r>
        <w:rPr>
          <w:rFonts w:ascii="Garamond" w:hAnsi="Garamond" w:cs="Garamond"/>
          <w:spacing w:val="-10"/>
        </w:rPr>
        <w:t xml:space="preserve"> </w:t>
      </w:r>
      <w:r>
        <w:rPr>
          <w:rFonts w:ascii="Garamond" w:hAnsi="Garamond" w:cs="Garamond"/>
        </w:rPr>
        <w:t>For</w:t>
      </w:r>
      <w:r>
        <w:rPr>
          <w:rFonts w:ascii="Garamond" w:hAnsi="Garamond" w:cs="Garamond"/>
          <w:spacing w:val="-9"/>
        </w:rPr>
        <w:t xml:space="preserve"> </w:t>
      </w:r>
      <w:r>
        <w:rPr>
          <w:rFonts w:ascii="Garamond" w:hAnsi="Garamond" w:cs="Garamond"/>
        </w:rPr>
        <w:t>example,</w:t>
      </w:r>
      <w:r>
        <w:rPr>
          <w:rFonts w:ascii="Garamond" w:hAnsi="Garamond" w:cs="Garamond"/>
          <w:spacing w:val="-8"/>
        </w:rPr>
        <w:t xml:space="preserve"> </w:t>
      </w:r>
      <w:r>
        <w:rPr>
          <w:rFonts w:ascii="Garamond" w:hAnsi="Garamond" w:cs="Garamond"/>
        </w:rPr>
        <w:t>a</w:t>
      </w:r>
      <w:r>
        <w:rPr>
          <w:rFonts w:ascii="Garamond" w:hAnsi="Garamond" w:cs="Garamond"/>
          <w:spacing w:val="-11"/>
        </w:rPr>
        <w:t xml:space="preserve"> </w:t>
      </w:r>
      <w:r>
        <w:rPr>
          <w:rFonts w:ascii="Garamond" w:hAnsi="Garamond" w:cs="Garamond"/>
        </w:rPr>
        <w:t>2013</w:t>
      </w:r>
      <w:r>
        <w:rPr>
          <w:rFonts w:ascii="Garamond" w:hAnsi="Garamond" w:cs="Garamond"/>
          <w:spacing w:val="-11"/>
        </w:rPr>
        <w:t xml:space="preserve"> </w:t>
      </w:r>
      <w:r>
        <w:rPr>
          <w:rFonts w:ascii="Garamond" w:hAnsi="Garamond" w:cs="Garamond"/>
        </w:rPr>
        <w:t>survey</w:t>
      </w:r>
      <w:r>
        <w:rPr>
          <w:rFonts w:ascii="Garamond" w:hAnsi="Garamond" w:cs="Garamond"/>
          <w:spacing w:val="-10"/>
        </w:rPr>
        <w:t xml:space="preserve"> </w:t>
      </w:r>
      <w:r>
        <w:rPr>
          <w:rFonts w:ascii="Garamond" w:hAnsi="Garamond" w:cs="Garamond"/>
        </w:rPr>
        <w:t>conducted</w:t>
      </w:r>
      <w:r>
        <w:rPr>
          <w:rFonts w:ascii="Garamond" w:hAnsi="Garamond" w:cs="Garamond"/>
          <w:spacing w:val="-7"/>
        </w:rPr>
        <w:t xml:space="preserve"> </w:t>
      </w:r>
      <w:r>
        <w:rPr>
          <w:rFonts w:ascii="Garamond" w:hAnsi="Garamond" w:cs="Garamond"/>
        </w:rPr>
        <w:t>by</w:t>
      </w:r>
      <w:r>
        <w:rPr>
          <w:rFonts w:ascii="Garamond" w:hAnsi="Garamond" w:cs="Garamond"/>
          <w:spacing w:val="-8"/>
        </w:rPr>
        <w:t xml:space="preserve"> </w:t>
      </w:r>
      <w:r>
        <w:rPr>
          <w:rFonts w:ascii="Garamond" w:hAnsi="Garamond" w:cs="Garamond"/>
        </w:rPr>
        <w:t>the</w:t>
      </w:r>
      <w:r>
        <w:rPr>
          <w:rFonts w:ascii="Garamond" w:hAnsi="Garamond" w:cs="Garamond"/>
          <w:spacing w:val="-10"/>
        </w:rPr>
        <w:t xml:space="preserve"> </w:t>
      </w:r>
      <w:r>
        <w:rPr>
          <w:rFonts w:ascii="Garamond" w:hAnsi="Garamond" w:cs="Garamond"/>
        </w:rPr>
        <w:t>DPH</w:t>
      </w:r>
      <w:r>
        <w:rPr>
          <w:rFonts w:ascii="Garamond" w:hAnsi="Garamond" w:cs="Garamond"/>
          <w:spacing w:val="-10"/>
        </w:rPr>
        <w:t xml:space="preserve"> </w:t>
      </w:r>
      <w:r>
        <w:rPr>
          <w:rFonts w:ascii="Garamond" w:hAnsi="Garamond" w:cs="Garamond"/>
        </w:rPr>
        <w:t>and</w:t>
      </w:r>
      <w:r>
        <w:rPr>
          <w:rFonts w:ascii="Garamond" w:hAnsi="Garamond" w:cs="Garamond"/>
          <w:spacing w:val="-7"/>
        </w:rPr>
        <w:t xml:space="preserve"> </w:t>
      </w:r>
      <w:r>
        <w:rPr>
          <w:rFonts w:ascii="Garamond" w:hAnsi="Garamond" w:cs="Garamond"/>
        </w:rPr>
        <w:t>University</w:t>
      </w:r>
      <w:r>
        <w:rPr>
          <w:rFonts w:ascii="Garamond" w:hAnsi="Garamond" w:cs="Garamond"/>
          <w:spacing w:val="-10"/>
        </w:rPr>
        <w:t xml:space="preserve"> </w:t>
      </w:r>
      <w:r>
        <w:rPr>
          <w:rFonts w:ascii="Garamond" w:hAnsi="Garamond" w:cs="Garamond"/>
        </w:rPr>
        <w:t>of</w:t>
      </w:r>
      <w:r>
        <w:rPr>
          <w:rFonts w:ascii="Garamond" w:hAnsi="Garamond" w:cs="Garamond"/>
          <w:spacing w:val="-11"/>
        </w:rPr>
        <w:t xml:space="preserve"> </w:t>
      </w:r>
      <w:r>
        <w:rPr>
          <w:rFonts w:ascii="Garamond" w:hAnsi="Garamond" w:cs="Garamond"/>
        </w:rPr>
        <w:t xml:space="preserve">Massachusetts Medical School found that </w:t>
      </w:r>
      <w:r>
        <w:rPr>
          <w:rFonts w:ascii="Garamond" w:hAnsi="Garamond" w:cs="Garamond"/>
          <w:spacing w:val="-3"/>
        </w:rPr>
        <w:t xml:space="preserve">85% </w:t>
      </w:r>
      <w:r>
        <w:rPr>
          <w:rFonts w:ascii="Garamond" w:hAnsi="Garamond" w:cs="Garamond"/>
        </w:rPr>
        <w:t xml:space="preserve">of </w:t>
      </w:r>
      <w:r>
        <w:rPr>
          <w:rFonts w:ascii="Garamond" w:hAnsi="Garamond" w:cs="Garamond"/>
          <w:spacing w:val="-3"/>
        </w:rPr>
        <w:t xml:space="preserve">respondents </w:t>
      </w:r>
      <w:r>
        <w:rPr>
          <w:rFonts w:ascii="Garamond" w:hAnsi="Garamond" w:cs="Garamond"/>
        </w:rPr>
        <w:t>with disabilities reported finding affordable housing as a significant health-related need.</w:t>
      </w:r>
      <w:r>
        <w:rPr>
          <w:rFonts w:ascii="Garamond" w:hAnsi="Garamond" w:cs="Garamond"/>
          <w:position w:val="5"/>
          <w:sz w:val="14"/>
          <w:szCs w:val="14"/>
        </w:rPr>
        <w:t xml:space="preserve">28 </w:t>
      </w:r>
      <w:r>
        <w:rPr>
          <w:rFonts w:ascii="Garamond" w:hAnsi="Garamond" w:cs="Garamond"/>
        </w:rPr>
        <w:t>Community-based LTSS providers can help members connect to social services</w:t>
      </w:r>
      <w:r>
        <w:rPr>
          <w:rFonts w:ascii="Garamond" w:hAnsi="Garamond" w:cs="Garamond"/>
          <w:spacing w:val="-10"/>
        </w:rPr>
        <w:t xml:space="preserve"> </w:t>
      </w:r>
      <w:r>
        <w:rPr>
          <w:rFonts w:ascii="Garamond" w:hAnsi="Garamond" w:cs="Garamond"/>
        </w:rPr>
        <w:t>for</w:t>
      </w:r>
      <w:r>
        <w:rPr>
          <w:rFonts w:ascii="Garamond" w:hAnsi="Garamond" w:cs="Garamond"/>
          <w:spacing w:val="-6"/>
        </w:rPr>
        <w:t xml:space="preserve"> </w:t>
      </w:r>
      <w:r>
        <w:rPr>
          <w:rFonts w:ascii="Garamond" w:hAnsi="Garamond" w:cs="Garamond"/>
          <w:spacing w:val="-3"/>
        </w:rPr>
        <w:t>help</w:t>
      </w:r>
      <w:r>
        <w:rPr>
          <w:rFonts w:ascii="Garamond" w:hAnsi="Garamond" w:cs="Garamond"/>
          <w:spacing w:val="-8"/>
        </w:rPr>
        <w:t xml:space="preserve"> </w:t>
      </w:r>
      <w:r>
        <w:rPr>
          <w:rFonts w:ascii="Garamond" w:hAnsi="Garamond" w:cs="Garamond"/>
        </w:rPr>
        <w:t>with</w:t>
      </w:r>
      <w:r>
        <w:rPr>
          <w:rFonts w:ascii="Garamond" w:hAnsi="Garamond" w:cs="Garamond"/>
          <w:spacing w:val="-8"/>
        </w:rPr>
        <w:t xml:space="preserve"> </w:t>
      </w:r>
      <w:r>
        <w:rPr>
          <w:rFonts w:ascii="Garamond" w:hAnsi="Garamond" w:cs="Garamond"/>
        </w:rPr>
        <w:t>non-medical</w:t>
      </w:r>
      <w:r>
        <w:rPr>
          <w:rFonts w:ascii="Garamond" w:hAnsi="Garamond" w:cs="Garamond"/>
          <w:spacing w:val="-9"/>
        </w:rPr>
        <w:t xml:space="preserve"> </w:t>
      </w:r>
      <w:r>
        <w:rPr>
          <w:rFonts w:ascii="Garamond" w:hAnsi="Garamond" w:cs="Garamond"/>
        </w:rPr>
        <w:t>needs</w:t>
      </w:r>
      <w:r>
        <w:rPr>
          <w:rFonts w:ascii="Garamond" w:hAnsi="Garamond" w:cs="Garamond"/>
          <w:spacing w:val="-6"/>
        </w:rPr>
        <w:t xml:space="preserve"> </w:t>
      </w:r>
      <w:r>
        <w:rPr>
          <w:rFonts w:ascii="Garamond" w:hAnsi="Garamond" w:cs="Garamond"/>
        </w:rPr>
        <w:t>that</w:t>
      </w:r>
      <w:r>
        <w:rPr>
          <w:rFonts w:ascii="Garamond" w:hAnsi="Garamond" w:cs="Garamond"/>
          <w:spacing w:val="-8"/>
        </w:rPr>
        <w:t xml:space="preserve"> </w:t>
      </w:r>
      <w:r>
        <w:rPr>
          <w:rFonts w:ascii="Garamond" w:hAnsi="Garamond" w:cs="Garamond"/>
        </w:rPr>
        <w:t>contribute</w:t>
      </w:r>
      <w:r>
        <w:rPr>
          <w:rFonts w:ascii="Garamond" w:hAnsi="Garamond" w:cs="Garamond"/>
          <w:spacing w:val="-7"/>
        </w:rPr>
        <w:t xml:space="preserve"> </w:t>
      </w:r>
      <w:r>
        <w:rPr>
          <w:rFonts w:ascii="Garamond" w:hAnsi="Garamond" w:cs="Garamond"/>
        </w:rPr>
        <w:t>to</w:t>
      </w:r>
      <w:r>
        <w:rPr>
          <w:rFonts w:ascii="Garamond" w:hAnsi="Garamond" w:cs="Garamond"/>
          <w:spacing w:val="-6"/>
        </w:rPr>
        <w:t xml:space="preserve"> </w:t>
      </w:r>
      <w:r>
        <w:rPr>
          <w:rFonts w:ascii="Garamond" w:hAnsi="Garamond" w:cs="Garamond"/>
        </w:rPr>
        <w:t>their</w:t>
      </w:r>
      <w:r>
        <w:rPr>
          <w:rFonts w:ascii="Garamond" w:hAnsi="Garamond" w:cs="Garamond"/>
          <w:spacing w:val="-10"/>
        </w:rPr>
        <w:t xml:space="preserve"> </w:t>
      </w:r>
      <w:r>
        <w:rPr>
          <w:rFonts w:ascii="Garamond" w:hAnsi="Garamond" w:cs="Garamond"/>
        </w:rPr>
        <w:t>overall</w:t>
      </w:r>
      <w:r>
        <w:rPr>
          <w:rFonts w:ascii="Garamond" w:hAnsi="Garamond" w:cs="Garamond"/>
          <w:spacing w:val="-9"/>
        </w:rPr>
        <w:t xml:space="preserve"> </w:t>
      </w:r>
      <w:r>
        <w:rPr>
          <w:rFonts w:ascii="Garamond" w:hAnsi="Garamond" w:cs="Garamond"/>
        </w:rPr>
        <w:t>health,</w:t>
      </w:r>
      <w:r>
        <w:rPr>
          <w:rFonts w:ascii="Garamond" w:hAnsi="Garamond" w:cs="Garamond"/>
          <w:spacing w:val="-9"/>
        </w:rPr>
        <w:t xml:space="preserve"> </w:t>
      </w:r>
      <w:r>
        <w:rPr>
          <w:rFonts w:ascii="Garamond" w:hAnsi="Garamond" w:cs="Garamond"/>
        </w:rPr>
        <w:t>wellbeing</w:t>
      </w:r>
      <w:r>
        <w:rPr>
          <w:rFonts w:ascii="Garamond" w:hAnsi="Garamond" w:cs="Garamond"/>
          <w:spacing w:val="-6"/>
        </w:rPr>
        <w:t xml:space="preserve"> </w:t>
      </w:r>
      <w:r>
        <w:rPr>
          <w:rFonts w:ascii="Garamond" w:hAnsi="Garamond" w:cs="Garamond"/>
        </w:rPr>
        <w:t>and</w:t>
      </w:r>
      <w:r>
        <w:rPr>
          <w:rFonts w:ascii="Garamond" w:hAnsi="Garamond" w:cs="Garamond"/>
          <w:spacing w:val="-11"/>
        </w:rPr>
        <w:t xml:space="preserve"> </w:t>
      </w:r>
      <w:r>
        <w:rPr>
          <w:rFonts w:ascii="Garamond" w:hAnsi="Garamond" w:cs="Garamond"/>
        </w:rPr>
        <w:t>security.</w:t>
      </w:r>
    </w:p>
    <w:p w:rsidR="002C5025" w:rsidRDefault="002C5025">
      <w:pPr>
        <w:pStyle w:val="BodyText"/>
        <w:kinsoku w:val="0"/>
        <w:overflowPunct w:val="0"/>
        <w:spacing w:before="10"/>
        <w:rPr>
          <w:rFonts w:ascii="Garamond" w:hAnsi="Garamond" w:cs="Garamond"/>
          <w:sz w:val="21"/>
          <w:szCs w:val="21"/>
        </w:rPr>
      </w:pPr>
    </w:p>
    <w:p w:rsidR="002C5025" w:rsidRDefault="002C5025">
      <w:pPr>
        <w:pStyle w:val="BodyText"/>
        <w:kinsoku w:val="0"/>
        <w:overflowPunct w:val="0"/>
        <w:ind w:left="118" w:right="138" w:firstLine="1"/>
        <w:rPr>
          <w:rFonts w:ascii="Garamond" w:hAnsi="Garamond" w:cs="Garamond"/>
        </w:rPr>
      </w:pPr>
      <w:r>
        <w:rPr>
          <w:rFonts w:ascii="Garamond" w:hAnsi="Garamond" w:cs="Garamond"/>
        </w:rPr>
        <w:t xml:space="preserve">We seek additional information on the role </w:t>
      </w:r>
      <w:r>
        <w:rPr>
          <w:rFonts w:ascii="Garamond" w:hAnsi="Garamond" w:cs="Garamond"/>
          <w:spacing w:val="-3"/>
        </w:rPr>
        <w:t xml:space="preserve">of </w:t>
      </w:r>
      <w:r>
        <w:rPr>
          <w:rFonts w:ascii="Garamond" w:hAnsi="Garamond" w:cs="Garamond"/>
        </w:rPr>
        <w:t xml:space="preserve">the LTSS representative, </w:t>
      </w:r>
      <w:r>
        <w:rPr>
          <w:rFonts w:ascii="Garamond" w:hAnsi="Garamond" w:cs="Garamond"/>
          <w:spacing w:val="-3"/>
        </w:rPr>
        <w:t xml:space="preserve">who </w:t>
      </w:r>
      <w:r>
        <w:rPr>
          <w:rFonts w:ascii="Garamond" w:hAnsi="Garamond" w:cs="Garamond"/>
        </w:rPr>
        <w:t xml:space="preserve">would be included in the interdisciplinary care team for members with LTSS needs. MassHealth must ensure that this representative truly has an </w:t>
      </w:r>
      <w:r>
        <w:rPr>
          <w:rFonts w:ascii="Garamond" w:hAnsi="Garamond" w:cs="Garamond"/>
          <w:spacing w:val="-3"/>
        </w:rPr>
        <w:t xml:space="preserve">independent voice </w:t>
      </w:r>
      <w:r>
        <w:rPr>
          <w:rFonts w:ascii="Garamond" w:hAnsi="Garamond" w:cs="Garamond"/>
        </w:rPr>
        <w:t xml:space="preserve">in the care team and offers a level of coordination </w:t>
      </w:r>
      <w:r>
        <w:rPr>
          <w:rFonts w:ascii="Garamond" w:hAnsi="Garamond" w:cs="Garamond"/>
          <w:spacing w:val="-3"/>
        </w:rPr>
        <w:t xml:space="preserve">similar </w:t>
      </w:r>
      <w:r>
        <w:rPr>
          <w:rFonts w:ascii="Garamond" w:hAnsi="Garamond" w:cs="Garamond"/>
        </w:rPr>
        <w:t xml:space="preserve">to that provided by the LTSS Coordinator in </w:t>
      </w:r>
      <w:r>
        <w:rPr>
          <w:rFonts w:ascii="Garamond" w:hAnsi="Garamond" w:cs="Garamond"/>
          <w:spacing w:val="-3"/>
        </w:rPr>
        <w:t xml:space="preserve">One </w:t>
      </w:r>
      <w:r>
        <w:rPr>
          <w:rFonts w:ascii="Garamond" w:hAnsi="Garamond" w:cs="Garamond"/>
        </w:rPr>
        <w:t xml:space="preserve">Care or the Senior Care Options’ Geriatric Support Services Coordinator. In addition, family </w:t>
      </w:r>
      <w:r>
        <w:rPr>
          <w:rFonts w:ascii="Garamond" w:hAnsi="Garamond" w:cs="Garamond"/>
          <w:spacing w:val="-2"/>
        </w:rPr>
        <w:t xml:space="preserve">caregivers </w:t>
      </w:r>
      <w:r>
        <w:rPr>
          <w:rFonts w:ascii="Garamond" w:hAnsi="Garamond" w:cs="Garamond"/>
        </w:rPr>
        <w:t xml:space="preserve">are often an important part of an individual’s care team, </w:t>
      </w:r>
      <w:r>
        <w:rPr>
          <w:rFonts w:ascii="Garamond" w:hAnsi="Garamond" w:cs="Garamond"/>
          <w:spacing w:val="-3"/>
        </w:rPr>
        <w:t xml:space="preserve">and, </w:t>
      </w:r>
      <w:r>
        <w:rPr>
          <w:rFonts w:ascii="Garamond" w:hAnsi="Garamond" w:cs="Garamond"/>
        </w:rPr>
        <w:t xml:space="preserve">with permission and direction from the member, should be consulted and supported in LTSS </w:t>
      </w:r>
      <w:r>
        <w:rPr>
          <w:rFonts w:ascii="Garamond" w:hAnsi="Garamond" w:cs="Garamond"/>
          <w:spacing w:val="-3"/>
        </w:rPr>
        <w:t xml:space="preserve">planning and </w:t>
      </w:r>
      <w:r>
        <w:rPr>
          <w:rFonts w:ascii="Garamond" w:hAnsi="Garamond" w:cs="Garamond"/>
        </w:rPr>
        <w:t>delivery.</w:t>
      </w:r>
    </w:p>
    <w:p w:rsidR="002C5025" w:rsidRDefault="002C5025">
      <w:pPr>
        <w:pStyle w:val="BodyText"/>
        <w:kinsoku w:val="0"/>
        <w:overflowPunct w:val="0"/>
        <w:spacing w:before="1"/>
        <w:rPr>
          <w:rFonts w:ascii="Garamond" w:hAnsi="Garamond" w:cs="Garamond"/>
        </w:rPr>
      </w:pPr>
    </w:p>
    <w:p w:rsidR="002C5025" w:rsidRDefault="002C5025">
      <w:pPr>
        <w:pStyle w:val="BodyText"/>
        <w:kinsoku w:val="0"/>
        <w:overflowPunct w:val="0"/>
        <w:ind w:left="118" w:right="87" w:firstLine="1"/>
        <w:rPr>
          <w:rFonts w:ascii="Garamond" w:hAnsi="Garamond" w:cs="Garamond"/>
        </w:rPr>
      </w:pPr>
      <w:r>
        <w:rPr>
          <w:rFonts w:ascii="Garamond" w:hAnsi="Garamond" w:cs="Garamond"/>
        </w:rPr>
        <w:t xml:space="preserve">HCFA supports MassHealth’s requirement that MCOs demonstrate compliance with federal Medicaid Managed Care regulations </w:t>
      </w:r>
      <w:r>
        <w:rPr>
          <w:rFonts w:ascii="Garamond" w:hAnsi="Garamond" w:cs="Garamond"/>
          <w:spacing w:val="-3"/>
        </w:rPr>
        <w:t xml:space="preserve">and </w:t>
      </w:r>
      <w:r>
        <w:rPr>
          <w:rFonts w:ascii="Garamond" w:hAnsi="Garamond" w:cs="Garamond"/>
        </w:rPr>
        <w:t xml:space="preserve">the Americans with Disabilities Act (ADA), as well as competencies in the independent living </w:t>
      </w:r>
      <w:r>
        <w:rPr>
          <w:rFonts w:ascii="Garamond" w:hAnsi="Garamond" w:cs="Garamond"/>
          <w:spacing w:val="-4"/>
        </w:rPr>
        <w:t xml:space="preserve">philosophy, </w:t>
      </w:r>
      <w:r>
        <w:rPr>
          <w:rFonts w:ascii="Garamond" w:hAnsi="Garamond" w:cs="Garamond"/>
        </w:rPr>
        <w:t xml:space="preserve">Recovery Models, wellness principles, cultural </w:t>
      </w:r>
      <w:r>
        <w:rPr>
          <w:rFonts w:ascii="Garamond" w:hAnsi="Garamond" w:cs="Garamond"/>
          <w:spacing w:val="-4"/>
        </w:rPr>
        <w:t xml:space="preserve">competence, </w:t>
      </w:r>
      <w:r>
        <w:rPr>
          <w:rFonts w:ascii="Garamond" w:hAnsi="Garamond" w:cs="Garamond"/>
        </w:rPr>
        <w:t xml:space="preserve">accessibility and a community-first </w:t>
      </w:r>
      <w:r>
        <w:rPr>
          <w:rFonts w:ascii="Garamond" w:hAnsi="Garamond" w:cs="Garamond"/>
          <w:spacing w:val="-4"/>
        </w:rPr>
        <w:t xml:space="preserve">approach, </w:t>
      </w:r>
      <w:r>
        <w:rPr>
          <w:rFonts w:ascii="Garamond" w:hAnsi="Garamond" w:cs="Garamond"/>
        </w:rPr>
        <w:t xml:space="preserve">consistent with the One Care model (36). We request additional information as to how </w:t>
      </w:r>
      <w:r>
        <w:rPr>
          <w:rFonts w:ascii="Garamond" w:hAnsi="Garamond" w:cs="Garamond"/>
          <w:spacing w:val="-3"/>
        </w:rPr>
        <w:t xml:space="preserve">MCOs </w:t>
      </w:r>
      <w:r>
        <w:rPr>
          <w:rFonts w:ascii="Garamond" w:hAnsi="Garamond" w:cs="Garamond"/>
        </w:rPr>
        <w:t xml:space="preserve">and </w:t>
      </w:r>
      <w:r>
        <w:rPr>
          <w:rFonts w:ascii="Garamond" w:hAnsi="Garamond" w:cs="Garamond"/>
          <w:spacing w:val="-3"/>
        </w:rPr>
        <w:t xml:space="preserve">ACOs </w:t>
      </w:r>
      <w:r>
        <w:rPr>
          <w:rFonts w:ascii="Garamond" w:hAnsi="Garamond" w:cs="Garamond"/>
        </w:rPr>
        <w:t xml:space="preserve">become credentialed to manage LTSS </w:t>
      </w:r>
      <w:r>
        <w:rPr>
          <w:rFonts w:ascii="Garamond" w:hAnsi="Garamond" w:cs="Garamond"/>
          <w:spacing w:val="-3"/>
        </w:rPr>
        <w:t xml:space="preserve">and </w:t>
      </w:r>
      <w:r>
        <w:rPr>
          <w:rFonts w:ascii="Garamond" w:hAnsi="Garamond" w:cs="Garamond"/>
        </w:rPr>
        <w:t xml:space="preserve">how MassHealth will measure </w:t>
      </w:r>
      <w:r>
        <w:rPr>
          <w:rFonts w:ascii="Garamond" w:hAnsi="Garamond" w:cs="Garamond"/>
          <w:spacing w:val="-2"/>
        </w:rPr>
        <w:t xml:space="preserve">MCO </w:t>
      </w:r>
      <w:r>
        <w:rPr>
          <w:rFonts w:ascii="Garamond" w:hAnsi="Garamond" w:cs="Garamond"/>
        </w:rPr>
        <w:t xml:space="preserve">and ACO performance in this regard. MassHealth should work closely with members </w:t>
      </w:r>
      <w:r>
        <w:rPr>
          <w:rFonts w:ascii="Garamond" w:hAnsi="Garamond" w:cs="Garamond"/>
          <w:spacing w:val="-3"/>
        </w:rPr>
        <w:t xml:space="preserve">with </w:t>
      </w:r>
      <w:r>
        <w:rPr>
          <w:rFonts w:ascii="Garamond" w:hAnsi="Garamond" w:cs="Garamond"/>
        </w:rPr>
        <w:t xml:space="preserve">LTSS needs, disability advocates </w:t>
      </w:r>
      <w:r>
        <w:rPr>
          <w:rFonts w:ascii="Garamond" w:hAnsi="Garamond" w:cs="Garamond"/>
          <w:spacing w:val="-3"/>
        </w:rPr>
        <w:t xml:space="preserve">and </w:t>
      </w:r>
      <w:r>
        <w:rPr>
          <w:rFonts w:ascii="Garamond" w:hAnsi="Garamond" w:cs="Garamond"/>
        </w:rPr>
        <w:t xml:space="preserve">others to ensure that the transition of LTSS from fee-for-service to </w:t>
      </w:r>
      <w:r>
        <w:rPr>
          <w:rFonts w:ascii="Garamond" w:hAnsi="Garamond" w:cs="Garamond"/>
          <w:spacing w:val="-4"/>
        </w:rPr>
        <w:t xml:space="preserve">managed </w:t>
      </w:r>
      <w:r>
        <w:rPr>
          <w:rFonts w:ascii="Garamond" w:hAnsi="Garamond" w:cs="Garamond"/>
        </w:rPr>
        <w:t>care includes robust member protections and choice.</w:t>
      </w:r>
    </w:p>
    <w:p w:rsidR="002C5025" w:rsidRDefault="002C5025">
      <w:pPr>
        <w:pStyle w:val="BodyText"/>
        <w:kinsoku w:val="0"/>
        <w:overflowPunct w:val="0"/>
        <w:rPr>
          <w:rFonts w:ascii="Garamond" w:hAnsi="Garamond" w:cs="Garamond"/>
          <w:sz w:val="21"/>
          <w:szCs w:val="21"/>
        </w:rPr>
      </w:pPr>
    </w:p>
    <w:p w:rsidR="002C5025" w:rsidRDefault="002C5025">
      <w:pPr>
        <w:pStyle w:val="BodyText"/>
        <w:kinsoku w:val="0"/>
        <w:overflowPunct w:val="0"/>
        <w:spacing w:line="265" w:lineRule="exact"/>
        <w:ind w:left="120" w:right="225"/>
        <w:rPr>
          <w:rFonts w:ascii="Garamond" w:hAnsi="Garamond" w:cs="Garamond"/>
          <w:b/>
          <w:bCs/>
          <w:i/>
          <w:iCs/>
          <w:w w:val="90"/>
          <w:sz w:val="24"/>
          <w:szCs w:val="24"/>
        </w:rPr>
      </w:pPr>
      <w:bookmarkStart w:id="162" w:name="Behavioral_health_integration"/>
      <w:bookmarkEnd w:id="162"/>
      <w:r>
        <w:rPr>
          <w:rFonts w:ascii="Garamond" w:hAnsi="Garamond" w:cs="Garamond"/>
          <w:b/>
          <w:bCs/>
          <w:i/>
          <w:iCs/>
          <w:w w:val="90"/>
          <w:sz w:val="24"/>
          <w:szCs w:val="24"/>
        </w:rPr>
        <w:t>Behavioral health integration</w:t>
      </w:r>
    </w:p>
    <w:p w:rsidR="002C5025" w:rsidRDefault="002C5025">
      <w:pPr>
        <w:pStyle w:val="BodyText"/>
        <w:kinsoku w:val="0"/>
        <w:overflowPunct w:val="0"/>
        <w:ind w:left="118" w:right="85" w:firstLine="1"/>
        <w:rPr>
          <w:rFonts w:ascii="Garamond" w:hAnsi="Garamond" w:cs="Garamond"/>
        </w:rPr>
      </w:pPr>
      <w:r>
        <w:rPr>
          <w:rFonts w:ascii="Garamond" w:hAnsi="Garamond" w:cs="Garamond"/>
        </w:rPr>
        <w:t>We</w:t>
      </w:r>
      <w:r>
        <w:rPr>
          <w:rFonts w:ascii="Garamond" w:hAnsi="Garamond" w:cs="Garamond"/>
          <w:spacing w:val="-9"/>
        </w:rPr>
        <w:t xml:space="preserve"> </w:t>
      </w:r>
      <w:r>
        <w:rPr>
          <w:rFonts w:ascii="Garamond" w:hAnsi="Garamond" w:cs="Garamond"/>
        </w:rPr>
        <w:t>share</w:t>
      </w:r>
      <w:r>
        <w:rPr>
          <w:rFonts w:ascii="Garamond" w:hAnsi="Garamond" w:cs="Garamond"/>
          <w:spacing w:val="-9"/>
        </w:rPr>
        <w:t xml:space="preserve"> </w:t>
      </w:r>
      <w:r>
        <w:rPr>
          <w:rFonts w:ascii="Garamond" w:hAnsi="Garamond" w:cs="Garamond"/>
        </w:rPr>
        <w:t>MassHealth’s</w:t>
      </w:r>
      <w:r>
        <w:rPr>
          <w:rFonts w:ascii="Garamond" w:hAnsi="Garamond" w:cs="Garamond"/>
          <w:spacing w:val="-6"/>
        </w:rPr>
        <w:t xml:space="preserve"> </w:t>
      </w:r>
      <w:r>
        <w:rPr>
          <w:rFonts w:ascii="Garamond" w:hAnsi="Garamond" w:cs="Garamond"/>
        </w:rPr>
        <w:t>goal</w:t>
      </w:r>
      <w:r>
        <w:rPr>
          <w:rFonts w:ascii="Garamond" w:hAnsi="Garamond" w:cs="Garamond"/>
          <w:spacing w:val="-11"/>
        </w:rPr>
        <w:t xml:space="preserve"> </w:t>
      </w:r>
      <w:r>
        <w:rPr>
          <w:rFonts w:ascii="Garamond" w:hAnsi="Garamond" w:cs="Garamond"/>
        </w:rPr>
        <w:t>of</w:t>
      </w:r>
      <w:r>
        <w:rPr>
          <w:rFonts w:ascii="Garamond" w:hAnsi="Garamond" w:cs="Garamond"/>
          <w:spacing w:val="-7"/>
        </w:rPr>
        <w:t xml:space="preserve"> </w:t>
      </w:r>
      <w:r>
        <w:rPr>
          <w:rFonts w:ascii="Garamond" w:hAnsi="Garamond" w:cs="Garamond"/>
        </w:rPr>
        <w:t>integrating</w:t>
      </w:r>
      <w:r>
        <w:rPr>
          <w:rFonts w:ascii="Garamond" w:hAnsi="Garamond" w:cs="Garamond"/>
          <w:spacing w:val="-9"/>
        </w:rPr>
        <w:t xml:space="preserve"> </w:t>
      </w:r>
      <w:r>
        <w:rPr>
          <w:rFonts w:ascii="Garamond" w:hAnsi="Garamond" w:cs="Garamond"/>
        </w:rPr>
        <w:t>physical</w:t>
      </w:r>
      <w:r>
        <w:rPr>
          <w:rFonts w:ascii="Garamond" w:hAnsi="Garamond" w:cs="Garamond"/>
          <w:spacing w:val="-9"/>
        </w:rPr>
        <w:t xml:space="preserve"> </w:t>
      </w:r>
      <w:r>
        <w:rPr>
          <w:rFonts w:ascii="Garamond" w:hAnsi="Garamond" w:cs="Garamond"/>
        </w:rPr>
        <w:t>health</w:t>
      </w:r>
      <w:r>
        <w:rPr>
          <w:rFonts w:ascii="Garamond" w:hAnsi="Garamond" w:cs="Garamond"/>
          <w:spacing w:val="-11"/>
        </w:rPr>
        <w:t xml:space="preserve"> </w:t>
      </w:r>
      <w:r>
        <w:rPr>
          <w:rFonts w:ascii="Garamond" w:hAnsi="Garamond" w:cs="Garamond"/>
        </w:rPr>
        <w:t>and</w:t>
      </w:r>
      <w:r>
        <w:rPr>
          <w:rFonts w:ascii="Garamond" w:hAnsi="Garamond" w:cs="Garamond"/>
          <w:spacing w:val="-9"/>
        </w:rPr>
        <w:t xml:space="preserve"> </w:t>
      </w:r>
      <w:r>
        <w:rPr>
          <w:rFonts w:ascii="Garamond" w:hAnsi="Garamond" w:cs="Garamond"/>
        </w:rPr>
        <w:t>behavioral</w:t>
      </w:r>
      <w:r>
        <w:rPr>
          <w:rFonts w:ascii="Garamond" w:hAnsi="Garamond" w:cs="Garamond"/>
          <w:spacing w:val="-9"/>
        </w:rPr>
        <w:t xml:space="preserve"> </w:t>
      </w:r>
      <w:r>
        <w:rPr>
          <w:rFonts w:ascii="Garamond" w:hAnsi="Garamond" w:cs="Garamond"/>
        </w:rPr>
        <w:t>health.</w:t>
      </w:r>
      <w:r>
        <w:rPr>
          <w:rFonts w:ascii="Garamond" w:hAnsi="Garamond" w:cs="Garamond"/>
          <w:spacing w:val="-12"/>
        </w:rPr>
        <w:t xml:space="preserve"> </w:t>
      </w:r>
      <w:r>
        <w:rPr>
          <w:rFonts w:ascii="Garamond" w:hAnsi="Garamond" w:cs="Garamond"/>
        </w:rPr>
        <w:t>For</w:t>
      </w:r>
      <w:r>
        <w:rPr>
          <w:rFonts w:ascii="Garamond" w:hAnsi="Garamond" w:cs="Garamond"/>
          <w:spacing w:val="-10"/>
        </w:rPr>
        <w:t xml:space="preserve"> </w:t>
      </w:r>
      <w:r>
        <w:rPr>
          <w:rFonts w:ascii="Garamond" w:hAnsi="Garamond" w:cs="Garamond"/>
        </w:rPr>
        <w:t>many</w:t>
      </w:r>
      <w:r>
        <w:rPr>
          <w:rFonts w:ascii="Garamond" w:hAnsi="Garamond" w:cs="Garamond"/>
          <w:spacing w:val="-9"/>
        </w:rPr>
        <w:t xml:space="preserve"> </w:t>
      </w:r>
      <w:r>
        <w:rPr>
          <w:rFonts w:ascii="Garamond" w:hAnsi="Garamond" w:cs="Garamond"/>
        </w:rPr>
        <w:t>consumers</w:t>
      </w:r>
      <w:r>
        <w:rPr>
          <w:rFonts w:ascii="Garamond" w:hAnsi="Garamond" w:cs="Garamond"/>
          <w:spacing w:val="-6"/>
        </w:rPr>
        <w:t xml:space="preserve"> </w:t>
      </w:r>
      <w:r>
        <w:rPr>
          <w:rFonts w:ascii="Garamond" w:hAnsi="Garamond" w:cs="Garamond"/>
        </w:rPr>
        <w:t>with</w:t>
      </w:r>
      <w:r>
        <w:rPr>
          <w:rFonts w:ascii="Garamond" w:hAnsi="Garamond" w:cs="Garamond"/>
          <w:spacing w:val="-7"/>
        </w:rPr>
        <w:t xml:space="preserve"> </w:t>
      </w:r>
      <w:r>
        <w:rPr>
          <w:rFonts w:ascii="Garamond" w:hAnsi="Garamond" w:cs="Garamond"/>
        </w:rPr>
        <w:t>a behavioral</w:t>
      </w:r>
      <w:r>
        <w:rPr>
          <w:rFonts w:ascii="Garamond" w:hAnsi="Garamond" w:cs="Garamond"/>
          <w:spacing w:val="-8"/>
        </w:rPr>
        <w:t xml:space="preserve"> </w:t>
      </w:r>
      <w:r>
        <w:rPr>
          <w:rFonts w:ascii="Garamond" w:hAnsi="Garamond" w:cs="Garamond"/>
        </w:rPr>
        <w:t>health</w:t>
      </w:r>
      <w:r>
        <w:rPr>
          <w:rFonts w:ascii="Garamond" w:hAnsi="Garamond" w:cs="Garamond"/>
          <w:spacing w:val="-7"/>
        </w:rPr>
        <w:t xml:space="preserve"> </w:t>
      </w:r>
      <w:r>
        <w:rPr>
          <w:rFonts w:ascii="Garamond" w:hAnsi="Garamond" w:cs="Garamond"/>
        </w:rPr>
        <w:t>diagnosis,</w:t>
      </w:r>
      <w:r>
        <w:rPr>
          <w:rFonts w:ascii="Garamond" w:hAnsi="Garamond" w:cs="Garamond"/>
          <w:spacing w:val="-11"/>
        </w:rPr>
        <w:t xml:space="preserve"> </w:t>
      </w:r>
      <w:r>
        <w:rPr>
          <w:rFonts w:ascii="Garamond" w:hAnsi="Garamond" w:cs="Garamond"/>
        </w:rPr>
        <w:t>their</w:t>
      </w:r>
      <w:r>
        <w:rPr>
          <w:rFonts w:ascii="Garamond" w:hAnsi="Garamond" w:cs="Garamond"/>
          <w:spacing w:val="-9"/>
        </w:rPr>
        <w:t xml:space="preserve"> </w:t>
      </w:r>
      <w:r>
        <w:rPr>
          <w:rFonts w:ascii="Garamond" w:hAnsi="Garamond" w:cs="Garamond"/>
        </w:rPr>
        <w:t>behavioral</w:t>
      </w:r>
      <w:r>
        <w:rPr>
          <w:rFonts w:ascii="Garamond" w:hAnsi="Garamond" w:cs="Garamond"/>
          <w:spacing w:val="-8"/>
        </w:rPr>
        <w:t xml:space="preserve"> </w:t>
      </w:r>
      <w:r>
        <w:rPr>
          <w:rFonts w:ascii="Garamond" w:hAnsi="Garamond" w:cs="Garamond"/>
        </w:rPr>
        <w:t>health</w:t>
      </w:r>
      <w:r>
        <w:rPr>
          <w:rFonts w:ascii="Garamond" w:hAnsi="Garamond" w:cs="Garamond"/>
          <w:spacing w:val="-7"/>
        </w:rPr>
        <w:t xml:space="preserve"> </w:t>
      </w:r>
      <w:r>
        <w:rPr>
          <w:rFonts w:ascii="Garamond" w:hAnsi="Garamond" w:cs="Garamond"/>
        </w:rPr>
        <w:t>clinician</w:t>
      </w:r>
      <w:r>
        <w:rPr>
          <w:rFonts w:ascii="Garamond" w:hAnsi="Garamond" w:cs="Garamond"/>
          <w:spacing w:val="-7"/>
        </w:rPr>
        <w:t xml:space="preserve"> </w:t>
      </w:r>
      <w:r>
        <w:rPr>
          <w:rFonts w:ascii="Garamond" w:hAnsi="Garamond" w:cs="Garamond"/>
        </w:rPr>
        <w:t>is</w:t>
      </w:r>
      <w:r>
        <w:rPr>
          <w:rFonts w:ascii="Garamond" w:hAnsi="Garamond" w:cs="Garamond"/>
          <w:spacing w:val="-6"/>
        </w:rPr>
        <w:t xml:space="preserve"> </w:t>
      </w:r>
      <w:r>
        <w:rPr>
          <w:rFonts w:ascii="Garamond" w:hAnsi="Garamond" w:cs="Garamond"/>
        </w:rPr>
        <w:t>their</w:t>
      </w:r>
      <w:r>
        <w:rPr>
          <w:rFonts w:ascii="Garamond" w:hAnsi="Garamond" w:cs="Garamond"/>
          <w:spacing w:val="-10"/>
        </w:rPr>
        <w:t xml:space="preserve"> </w:t>
      </w:r>
      <w:r>
        <w:rPr>
          <w:rFonts w:ascii="Garamond" w:hAnsi="Garamond" w:cs="Garamond"/>
        </w:rPr>
        <w:t>primary</w:t>
      </w:r>
      <w:r>
        <w:rPr>
          <w:rFonts w:ascii="Garamond" w:hAnsi="Garamond" w:cs="Garamond"/>
          <w:spacing w:val="-10"/>
        </w:rPr>
        <w:t xml:space="preserve"> </w:t>
      </w:r>
      <w:r>
        <w:rPr>
          <w:rFonts w:ascii="Garamond" w:hAnsi="Garamond" w:cs="Garamond"/>
        </w:rPr>
        <w:t>point</w:t>
      </w:r>
      <w:r>
        <w:rPr>
          <w:rFonts w:ascii="Garamond" w:hAnsi="Garamond" w:cs="Garamond"/>
          <w:spacing w:val="-7"/>
        </w:rPr>
        <w:t xml:space="preserve"> </w:t>
      </w:r>
      <w:r>
        <w:rPr>
          <w:rFonts w:ascii="Garamond" w:hAnsi="Garamond" w:cs="Garamond"/>
        </w:rPr>
        <w:t>of</w:t>
      </w:r>
      <w:r>
        <w:rPr>
          <w:rFonts w:ascii="Garamond" w:hAnsi="Garamond" w:cs="Garamond"/>
          <w:spacing w:val="-9"/>
        </w:rPr>
        <w:t xml:space="preserve"> </w:t>
      </w:r>
      <w:r>
        <w:rPr>
          <w:rFonts w:ascii="Garamond" w:hAnsi="Garamond" w:cs="Garamond"/>
        </w:rPr>
        <w:t>contact</w:t>
      </w:r>
      <w:r>
        <w:rPr>
          <w:rFonts w:ascii="Garamond" w:hAnsi="Garamond" w:cs="Garamond"/>
          <w:spacing w:val="-7"/>
        </w:rPr>
        <w:t xml:space="preserve"> </w:t>
      </w:r>
      <w:r>
        <w:rPr>
          <w:rFonts w:ascii="Garamond" w:hAnsi="Garamond" w:cs="Garamond"/>
        </w:rPr>
        <w:t>with</w:t>
      </w:r>
      <w:r>
        <w:rPr>
          <w:rFonts w:ascii="Garamond" w:hAnsi="Garamond" w:cs="Garamond"/>
          <w:spacing w:val="-10"/>
        </w:rPr>
        <w:t xml:space="preserve"> </w:t>
      </w:r>
      <w:r>
        <w:rPr>
          <w:rFonts w:ascii="Garamond" w:hAnsi="Garamond" w:cs="Garamond"/>
        </w:rPr>
        <w:t>the</w:t>
      </w:r>
      <w:r>
        <w:rPr>
          <w:rFonts w:ascii="Garamond" w:hAnsi="Garamond" w:cs="Garamond"/>
          <w:spacing w:val="-12"/>
        </w:rPr>
        <w:t xml:space="preserve"> </w:t>
      </w:r>
      <w:r>
        <w:rPr>
          <w:rFonts w:ascii="Garamond" w:hAnsi="Garamond" w:cs="Garamond"/>
        </w:rPr>
        <w:t xml:space="preserve">health care system. As such, we are encouraged that the </w:t>
      </w:r>
      <w:r>
        <w:rPr>
          <w:rFonts w:ascii="Garamond" w:hAnsi="Garamond" w:cs="Garamond"/>
          <w:spacing w:val="-2"/>
        </w:rPr>
        <w:t xml:space="preserve">Waiver </w:t>
      </w:r>
      <w:r>
        <w:rPr>
          <w:rFonts w:ascii="Garamond" w:hAnsi="Garamond" w:cs="Garamond"/>
        </w:rPr>
        <w:t xml:space="preserve">Request establishes a strong role for BH </w:t>
      </w:r>
      <w:r>
        <w:rPr>
          <w:rFonts w:ascii="Garamond" w:hAnsi="Garamond" w:cs="Garamond"/>
          <w:spacing w:val="-2"/>
        </w:rPr>
        <w:t xml:space="preserve">CPs </w:t>
      </w:r>
      <w:r>
        <w:rPr>
          <w:rFonts w:ascii="Garamond" w:hAnsi="Garamond" w:cs="Garamond"/>
        </w:rPr>
        <w:t xml:space="preserve">to manage care coordination through the Health Homes opportunity, fostering communication between </w:t>
      </w:r>
      <w:r>
        <w:rPr>
          <w:rFonts w:ascii="Garamond" w:hAnsi="Garamond" w:cs="Garamond"/>
          <w:spacing w:val="-4"/>
        </w:rPr>
        <w:t xml:space="preserve">an </w:t>
      </w:r>
      <w:r>
        <w:rPr>
          <w:rFonts w:ascii="Garamond" w:hAnsi="Garamond" w:cs="Garamond"/>
        </w:rPr>
        <w:t>individual’s</w:t>
      </w:r>
      <w:r>
        <w:rPr>
          <w:rFonts w:ascii="Garamond" w:hAnsi="Garamond" w:cs="Garamond"/>
          <w:spacing w:val="-10"/>
        </w:rPr>
        <w:t xml:space="preserve"> </w:t>
      </w:r>
      <w:r>
        <w:rPr>
          <w:rFonts w:ascii="Garamond" w:hAnsi="Garamond" w:cs="Garamond"/>
        </w:rPr>
        <w:t>primary</w:t>
      </w:r>
      <w:r>
        <w:rPr>
          <w:rFonts w:ascii="Garamond" w:hAnsi="Garamond" w:cs="Garamond"/>
          <w:spacing w:val="-10"/>
        </w:rPr>
        <w:t xml:space="preserve"> </w:t>
      </w:r>
      <w:r>
        <w:rPr>
          <w:rFonts w:ascii="Garamond" w:hAnsi="Garamond" w:cs="Garamond"/>
        </w:rPr>
        <w:t>care</w:t>
      </w:r>
      <w:r>
        <w:rPr>
          <w:rFonts w:ascii="Garamond" w:hAnsi="Garamond" w:cs="Garamond"/>
          <w:spacing w:val="-10"/>
        </w:rPr>
        <w:t xml:space="preserve"> </w:t>
      </w:r>
      <w:r>
        <w:rPr>
          <w:rFonts w:ascii="Garamond" w:hAnsi="Garamond" w:cs="Garamond"/>
          <w:spacing w:val="-3"/>
        </w:rPr>
        <w:t>provider</w:t>
      </w:r>
      <w:r>
        <w:rPr>
          <w:rFonts w:ascii="Garamond" w:hAnsi="Garamond" w:cs="Garamond"/>
          <w:spacing w:val="-7"/>
        </w:rPr>
        <w:t xml:space="preserve"> </w:t>
      </w:r>
      <w:r>
        <w:rPr>
          <w:rFonts w:ascii="Garamond" w:hAnsi="Garamond" w:cs="Garamond"/>
        </w:rPr>
        <w:t>and</w:t>
      </w:r>
      <w:r>
        <w:rPr>
          <w:rFonts w:ascii="Garamond" w:hAnsi="Garamond" w:cs="Garamond"/>
          <w:spacing w:val="-8"/>
        </w:rPr>
        <w:t xml:space="preserve"> </w:t>
      </w:r>
      <w:r>
        <w:rPr>
          <w:rFonts w:ascii="Garamond" w:hAnsi="Garamond" w:cs="Garamond"/>
        </w:rPr>
        <w:t>the</w:t>
      </w:r>
      <w:r>
        <w:rPr>
          <w:rFonts w:ascii="Garamond" w:hAnsi="Garamond" w:cs="Garamond"/>
          <w:spacing w:val="-9"/>
        </w:rPr>
        <w:t xml:space="preserve"> </w:t>
      </w:r>
      <w:r>
        <w:rPr>
          <w:rFonts w:ascii="Garamond" w:hAnsi="Garamond" w:cs="Garamond"/>
        </w:rPr>
        <w:t>behavioral</w:t>
      </w:r>
      <w:r>
        <w:rPr>
          <w:rFonts w:ascii="Garamond" w:hAnsi="Garamond" w:cs="Garamond"/>
          <w:spacing w:val="-9"/>
        </w:rPr>
        <w:t xml:space="preserve"> </w:t>
      </w:r>
      <w:r>
        <w:rPr>
          <w:rFonts w:ascii="Garamond" w:hAnsi="Garamond" w:cs="Garamond"/>
        </w:rPr>
        <w:t>health</w:t>
      </w:r>
      <w:r>
        <w:rPr>
          <w:rFonts w:ascii="Garamond" w:hAnsi="Garamond" w:cs="Garamond"/>
          <w:spacing w:val="-10"/>
        </w:rPr>
        <w:t xml:space="preserve"> </w:t>
      </w:r>
      <w:r>
        <w:rPr>
          <w:rFonts w:ascii="Garamond" w:hAnsi="Garamond" w:cs="Garamond"/>
        </w:rPr>
        <w:t>treatment</w:t>
      </w:r>
      <w:r>
        <w:rPr>
          <w:rFonts w:ascii="Garamond" w:hAnsi="Garamond" w:cs="Garamond"/>
          <w:spacing w:val="-8"/>
        </w:rPr>
        <w:t xml:space="preserve"> </w:t>
      </w:r>
      <w:r>
        <w:rPr>
          <w:rFonts w:ascii="Garamond" w:hAnsi="Garamond" w:cs="Garamond"/>
        </w:rPr>
        <w:t>community.</w:t>
      </w:r>
    </w:p>
    <w:p w:rsidR="002C5025" w:rsidRDefault="002C5025">
      <w:pPr>
        <w:pStyle w:val="BodyText"/>
        <w:kinsoku w:val="0"/>
        <w:overflowPunct w:val="0"/>
        <w:spacing w:before="1"/>
        <w:rPr>
          <w:rFonts w:ascii="Garamond" w:hAnsi="Garamond" w:cs="Garamond"/>
        </w:rPr>
      </w:pPr>
    </w:p>
    <w:p w:rsidR="002C5025" w:rsidRDefault="002C5025">
      <w:pPr>
        <w:pStyle w:val="BodyText"/>
        <w:kinsoku w:val="0"/>
        <w:overflowPunct w:val="0"/>
        <w:ind w:left="116" w:right="85" w:firstLine="1"/>
        <w:rPr>
          <w:rFonts w:ascii="Garamond" w:hAnsi="Garamond" w:cs="Garamond"/>
        </w:rPr>
      </w:pPr>
      <w:r>
        <w:rPr>
          <w:rFonts w:ascii="Garamond" w:hAnsi="Garamond" w:cs="Garamond"/>
        </w:rPr>
        <w:t xml:space="preserve">We view integrated health care as a coordinated system </w:t>
      </w:r>
      <w:r>
        <w:rPr>
          <w:rFonts w:ascii="Garamond" w:hAnsi="Garamond" w:cs="Garamond"/>
          <w:spacing w:val="-4"/>
        </w:rPr>
        <w:t xml:space="preserve">that </w:t>
      </w:r>
      <w:r>
        <w:rPr>
          <w:rFonts w:ascii="Garamond" w:hAnsi="Garamond" w:cs="Garamond"/>
          <w:spacing w:val="-3"/>
        </w:rPr>
        <w:t xml:space="preserve">combines </w:t>
      </w:r>
      <w:r>
        <w:rPr>
          <w:rFonts w:ascii="Garamond" w:hAnsi="Garamond" w:cs="Garamond"/>
        </w:rPr>
        <w:t>medical, behavioral, LTSS and oral health</w:t>
      </w:r>
      <w:r>
        <w:rPr>
          <w:rFonts w:ascii="Garamond" w:hAnsi="Garamond" w:cs="Garamond"/>
          <w:spacing w:val="-7"/>
        </w:rPr>
        <w:t xml:space="preserve"> </w:t>
      </w:r>
      <w:r>
        <w:rPr>
          <w:rFonts w:ascii="Garamond" w:hAnsi="Garamond" w:cs="Garamond"/>
        </w:rPr>
        <w:t>services</w:t>
      </w:r>
      <w:r>
        <w:rPr>
          <w:rFonts w:ascii="Garamond" w:hAnsi="Garamond" w:cs="Garamond"/>
          <w:spacing w:val="-7"/>
        </w:rPr>
        <w:t xml:space="preserve"> </w:t>
      </w:r>
      <w:r>
        <w:rPr>
          <w:rFonts w:ascii="Garamond" w:hAnsi="Garamond" w:cs="Garamond"/>
        </w:rPr>
        <w:t>to</w:t>
      </w:r>
      <w:r>
        <w:rPr>
          <w:rFonts w:ascii="Garamond" w:hAnsi="Garamond" w:cs="Garamond"/>
          <w:spacing w:val="-5"/>
        </w:rPr>
        <w:t xml:space="preserve"> </w:t>
      </w:r>
      <w:r>
        <w:rPr>
          <w:rFonts w:ascii="Garamond" w:hAnsi="Garamond" w:cs="Garamond"/>
          <w:spacing w:val="-3"/>
        </w:rPr>
        <w:t>address</w:t>
      </w:r>
      <w:r>
        <w:rPr>
          <w:rFonts w:ascii="Garamond" w:hAnsi="Garamond" w:cs="Garamond"/>
          <w:spacing w:val="-7"/>
        </w:rPr>
        <w:t xml:space="preserve"> </w:t>
      </w:r>
      <w:r>
        <w:rPr>
          <w:rFonts w:ascii="Garamond" w:hAnsi="Garamond" w:cs="Garamond"/>
        </w:rPr>
        <w:t>the</w:t>
      </w:r>
      <w:r>
        <w:rPr>
          <w:rFonts w:ascii="Garamond" w:hAnsi="Garamond" w:cs="Garamond"/>
          <w:spacing w:val="-8"/>
        </w:rPr>
        <w:t xml:space="preserve"> </w:t>
      </w:r>
      <w:r>
        <w:rPr>
          <w:rFonts w:ascii="Garamond" w:hAnsi="Garamond" w:cs="Garamond"/>
        </w:rPr>
        <w:t>whole</w:t>
      </w:r>
      <w:r>
        <w:rPr>
          <w:rFonts w:ascii="Garamond" w:hAnsi="Garamond" w:cs="Garamond"/>
          <w:spacing w:val="-6"/>
        </w:rPr>
        <w:t xml:space="preserve"> </w:t>
      </w:r>
      <w:r>
        <w:rPr>
          <w:rFonts w:ascii="Garamond" w:hAnsi="Garamond" w:cs="Garamond"/>
        </w:rPr>
        <w:t>person,</w:t>
      </w:r>
      <w:r>
        <w:rPr>
          <w:rFonts w:ascii="Garamond" w:hAnsi="Garamond" w:cs="Garamond"/>
          <w:spacing w:val="-8"/>
        </w:rPr>
        <w:t xml:space="preserve"> </w:t>
      </w:r>
      <w:r>
        <w:rPr>
          <w:rFonts w:ascii="Garamond" w:hAnsi="Garamond" w:cs="Garamond"/>
        </w:rPr>
        <w:t>not</w:t>
      </w:r>
      <w:r>
        <w:rPr>
          <w:rFonts w:ascii="Garamond" w:hAnsi="Garamond" w:cs="Garamond"/>
          <w:spacing w:val="-7"/>
        </w:rPr>
        <w:t xml:space="preserve"> </w:t>
      </w:r>
      <w:r>
        <w:rPr>
          <w:rFonts w:ascii="Garamond" w:hAnsi="Garamond" w:cs="Garamond"/>
        </w:rPr>
        <w:t>just</w:t>
      </w:r>
      <w:r>
        <w:rPr>
          <w:rFonts w:ascii="Garamond" w:hAnsi="Garamond" w:cs="Garamond"/>
          <w:spacing w:val="-7"/>
        </w:rPr>
        <w:t xml:space="preserve"> </w:t>
      </w:r>
      <w:r>
        <w:rPr>
          <w:rFonts w:ascii="Garamond" w:hAnsi="Garamond" w:cs="Garamond"/>
        </w:rPr>
        <w:t>one</w:t>
      </w:r>
      <w:r>
        <w:rPr>
          <w:rFonts w:ascii="Garamond" w:hAnsi="Garamond" w:cs="Garamond"/>
          <w:spacing w:val="-10"/>
        </w:rPr>
        <w:t xml:space="preserve"> </w:t>
      </w:r>
      <w:r>
        <w:rPr>
          <w:rFonts w:ascii="Garamond" w:hAnsi="Garamond" w:cs="Garamond"/>
        </w:rPr>
        <w:t>aspect</w:t>
      </w:r>
      <w:r>
        <w:rPr>
          <w:rFonts w:ascii="Garamond" w:hAnsi="Garamond" w:cs="Garamond"/>
          <w:spacing w:val="-7"/>
        </w:rPr>
        <w:t xml:space="preserve"> </w:t>
      </w:r>
      <w:r>
        <w:rPr>
          <w:rFonts w:ascii="Garamond" w:hAnsi="Garamond" w:cs="Garamond"/>
        </w:rPr>
        <w:t>of</w:t>
      </w:r>
      <w:r>
        <w:rPr>
          <w:rFonts w:ascii="Garamond" w:hAnsi="Garamond" w:cs="Garamond"/>
          <w:spacing w:val="-9"/>
        </w:rPr>
        <w:t xml:space="preserve"> </w:t>
      </w:r>
      <w:r>
        <w:rPr>
          <w:rFonts w:ascii="Garamond" w:hAnsi="Garamond" w:cs="Garamond"/>
        </w:rPr>
        <w:t>his</w:t>
      </w:r>
      <w:r>
        <w:rPr>
          <w:rFonts w:ascii="Garamond" w:hAnsi="Garamond" w:cs="Garamond"/>
          <w:spacing w:val="-4"/>
        </w:rPr>
        <w:t xml:space="preserve"> </w:t>
      </w:r>
      <w:r>
        <w:rPr>
          <w:rFonts w:ascii="Garamond" w:hAnsi="Garamond" w:cs="Garamond"/>
        </w:rPr>
        <w:t>or</w:t>
      </w:r>
      <w:r>
        <w:rPr>
          <w:rFonts w:ascii="Garamond" w:hAnsi="Garamond" w:cs="Garamond"/>
          <w:spacing w:val="-9"/>
        </w:rPr>
        <w:t xml:space="preserve"> </w:t>
      </w:r>
      <w:r>
        <w:rPr>
          <w:rFonts w:ascii="Garamond" w:hAnsi="Garamond" w:cs="Garamond"/>
        </w:rPr>
        <w:t>her</w:t>
      </w:r>
      <w:r>
        <w:rPr>
          <w:rFonts w:ascii="Garamond" w:hAnsi="Garamond" w:cs="Garamond"/>
          <w:spacing w:val="-5"/>
        </w:rPr>
        <w:t xml:space="preserve"> </w:t>
      </w:r>
      <w:r>
        <w:rPr>
          <w:rFonts w:ascii="Garamond" w:hAnsi="Garamond" w:cs="Garamond"/>
        </w:rPr>
        <w:t>condition(s).</w:t>
      </w:r>
      <w:r>
        <w:rPr>
          <w:rFonts w:ascii="Garamond" w:hAnsi="Garamond" w:cs="Garamond"/>
          <w:spacing w:val="-10"/>
        </w:rPr>
        <w:t xml:space="preserve"> </w:t>
      </w:r>
      <w:r>
        <w:rPr>
          <w:rFonts w:ascii="Garamond" w:hAnsi="Garamond" w:cs="Garamond"/>
        </w:rPr>
        <w:t>In</w:t>
      </w:r>
      <w:r>
        <w:rPr>
          <w:rFonts w:ascii="Garamond" w:hAnsi="Garamond" w:cs="Garamond"/>
          <w:spacing w:val="-7"/>
        </w:rPr>
        <w:t xml:space="preserve"> </w:t>
      </w:r>
      <w:r>
        <w:rPr>
          <w:rFonts w:ascii="Garamond" w:hAnsi="Garamond" w:cs="Garamond"/>
        </w:rPr>
        <w:t>this</w:t>
      </w:r>
      <w:r>
        <w:rPr>
          <w:rFonts w:ascii="Garamond" w:hAnsi="Garamond" w:cs="Garamond"/>
          <w:spacing w:val="-9"/>
        </w:rPr>
        <w:t xml:space="preserve"> </w:t>
      </w:r>
      <w:r>
        <w:rPr>
          <w:rFonts w:ascii="Garamond" w:hAnsi="Garamond" w:cs="Garamond"/>
        </w:rPr>
        <w:t>model,</w:t>
      </w:r>
      <w:r>
        <w:rPr>
          <w:rFonts w:ascii="Garamond" w:hAnsi="Garamond" w:cs="Garamond"/>
          <w:spacing w:val="-5"/>
        </w:rPr>
        <w:t xml:space="preserve"> </w:t>
      </w:r>
      <w:r>
        <w:rPr>
          <w:rFonts w:ascii="Garamond" w:hAnsi="Garamond" w:cs="Garamond"/>
        </w:rPr>
        <w:t xml:space="preserve">with the consent of the member, medical and behavioral health providers partner to coordinate the prevention, diagnosis, treatment, </w:t>
      </w:r>
      <w:r>
        <w:rPr>
          <w:rFonts w:ascii="Garamond" w:hAnsi="Garamond" w:cs="Garamond"/>
          <w:spacing w:val="-3"/>
        </w:rPr>
        <w:t xml:space="preserve">and </w:t>
      </w:r>
      <w:r>
        <w:rPr>
          <w:rFonts w:ascii="Garamond" w:hAnsi="Garamond" w:cs="Garamond"/>
        </w:rPr>
        <w:t xml:space="preserve">follow-up of both behavioral </w:t>
      </w:r>
      <w:r>
        <w:rPr>
          <w:rFonts w:ascii="Garamond" w:hAnsi="Garamond" w:cs="Garamond"/>
          <w:spacing w:val="-3"/>
        </w:rPr>
        <w:t xml:space="preserve">and </w:t>
      </w:r>
      <w:r>
        <w:rPr>
          <w:rFonts w:ascii="Garamond" w:hAnsi="Garamond" w:cs="Garamond"/>
        </w:rPr>
        <w:t xml:space="preserve">physical conditions; </w:t>
      </w:r>
      <w:r>
        <w:rPr>
          <w:rFonts w:ascii="Garamond" w:hAnsi="Garamond" w:cs="Garamond"/>
          <w:spacing w:val="-3"/>
        </w:rPr>
        <w:t xml:space="preserve">and </w:t>
      </w:r>
      <w:r>
        <w:rPr>
          <w:rFonts w:ascii="Garamond" w:hAnsi="Garamond" w:cs="Garamond"/>
        </w:rPr>
        <w:t xml:space="preserve">consumers, behavioral health professionals, peers </w:t>
      </w:r>
      <w:r>
        <w:rPr>
          <w:rFonts w:ascii="Garamond" w:hAnsi="Garamond" w:cs="Garamond"/>
          <w:spacing w:val="-3"/>
        </w:rPr>
        <w:t xml:space="preserve">and </w:t>
      </w:r>
      <w:r>
        <w:rPr>
          <w:rFonts w:ascii="Garamond" w:hAnsi="Garamond" w:cs="Garamond"/>
        </w:rPr>
        <w:t xml:space="preserve">family partners are key members of the team. </w:t>
      </w:r>
      <w:r>
        <w:rPr>
          <w:rFonts w:ascii="Garamond" w:hAnsi="Garamond" w:cs="Garamond"/>
          <w:spacing w:val="-3"/>
        </w:rPr>
        <w:t xml:space="preserve">However, </w:t>
      </w:r>
      <w:r>
        <w:rPr>
          <w:rFonts w:ascii="Garamond" w:hAnsi="Garamond" w:cs="Garamond"/>
        </w:rPr>
        <w:t>physical health care providers</w:t>
      </w:r>
      <w:r>
        <w:rPr>
          <w:rFonts w:ascii="Garamond" w:hAnsi="Garamond" w:cs="Garamond"/>
          <w:spacing w:val="-5"/>
        </w:rPr>
        <w:t xml:space="preserve"> </w:t>
      </w:r>
      <w:r>
        <w:rPr>
          <w:rFonts w:ascii="Garamond" w:hAnsi="Garamond" w:cs="Garamond"/>
        </w:rPr>
        <w:t>may</w:t>
      </w:r>
      <w:r>
        <w:rPr>
          <w:rFonts w:ascii="Garamond" w:hAnsi="Garamond" w:cs="Garamond"/>
          <w:spacing w:val="-8"/>
        </w:rPr>
        <w:t xml:space="preserve"> </w:t>
      </w:r>
      <w:r>
        <w:rPr>
          <w:rFonts w:ascii="Garamond" w:hAnsi="Garamond" w:cs="Garamond"/>
        </w:rPr>
        <w:t>not</w:t>
      </w:r>
      <w:r>
        <w:rPr>
          <w:rFonts w:ascii="Garamond" w:hAnsi="Garamond" w:cs="Garamond"/>
          <w:spacing w:val="-10"/>
        </w:rPr>
        <w:t xml:space="preserve"> </w:t>
      </w:r>
      <w:r>
        <w:rPr>
          <w:rFonts w:ascii="Garamond" w:hAnsi="Garamond" w:cs="Garamond"/>
        </w:rPr>
        <w:t>provide</w:t>
      </w:r>
      <w:r>
        <w:rPr>
          <w:rFonts w:ascii="Garamond" w:hAnsi="Garamond" w:cs="Garamond"/>
          <w:spacing w:val="-8"/>
        </w:rPr>
        <w:t xml:space="preserve"> </w:t>
      </w:r>
      <w:r>
        <w:rPr>
          <w:rFonts w:ascii="Garamond" w:hAnsi="Garamond" w:cs="Garamond"/>
        </w:rPr>
        <w:t>the</w:t>
      </w:r>
      <w:r>
        <w:rPr>
          <w:rFonts w:ascii="Garamond" w:hAnsi="Garamond" w:cs="Garamond"/>
          <w:spacing w:val="-8"/>
        </w:rPr>
        <w:t xml:space="preserve"> </w:t>
      </w:r>
      <w:r>
        <w:rPr>
          <w:rFonts w:ascii="Garamond" w:hAnsi="Garamond" w:cs="Garamond"/>
        </w:rPr>
        <w:t>same</w:t>
      </w:r>
      <w:r>
        <w:rPr>
          <w:rFonts w:ascii="Garamond" w:hAnsi="Garamond" w:cs="Garamond"/>
          <w:spacing w:val="-11"/>
        </w:rPr>
        <w:t xml:space="preserve"> </w:t>
      </w:r>
      <w:r>
        <w:rPr>
          <w:rFonts w:ascii="Garamond" w:hAnsi="Garamond" w:cs="Garamond"/>
        </w:rPr>
        <w:t>quality</w:t>
      </w:r>
      <w:r>
        <w:rPr>
          <w:rFonts w:ascii="Garamond" w:hAnsi="Garamond" w:cs="Garamond"/>
          <w:spacing w:val="-8"/>
        </w:rPr>
        <w:t xml:space="preserve"> </w:t>
      </w:r>
      <w:r>
        <w:rPr>
          <w:rFonts w:ascii="Garamond" w:hAnsi="Garamond" w:cs="Garamond"/>
        </w:rPr>
        <w:t>of</w:t>
      </w:r>
      <w:r>
        <w:rPr>
          <w:rFonts w:ascii="Garamond" w:hAnsi="Garamond" w:cs="Garamond"/>
          <w:spacing w:val="-8"/>
        </w:rPr>
        <w:t xml:space="preserve"> </w:t>
      </w:r>
      <w:r>
        <w:rPr>
          <w:rFonts w:ascii="Garamond" w:hAnsi="Garamond" w:cs="Garamond"/>
        </w:rPr>
        <w:t>care</w:t>
      </w:r>
      <w:r>
        <w:rPr>
          <w:rFonts w:ascii="Garamond" w:hAnsi="Garamond" w:cs="Garamond"/>
          <w:spacing w:val="-8"/>
        </w:rPr>
        <w:t xml:space="preserve"> </w:t>
      </w:r>
      <w:r>
        <w:rPr>
          <w:rFonts w:ascii="Garamond" w:hAnsi="Garamond" w:cs="Garamond"/>
        </w:rPr>
        <w:t>to</w:t>
      </w:r>
      <w:r>
        <w:rPr>
          <w:rFonts w:ascii="Garamond" w:hAnsi="Garamond" w:cs="Garamond"/>
          <w:spacing w:val="-6"/>
        </w:rPr>
        <w:t xml:space="preserve"> </w:t>
      </w:r>
      <w:r>
        <w:rPr>
          <w:rFonts w:ascii="Garamond" w:hAnsi="Garamond" w:cs="Garamond"/>
          <w:spacing w:val="-3"/>
        </w:rPr>
        <w:t>persons</w:t>
      </w:r>
      <w:r>
        <w:rPr>
          <w:rFonts w:ascii="Garamond" w:hAnsi="Garamond" w:cs="Garamond"/>
          <w:spacing w:val="-7"/>
        </w:rPr>
        <w:t xml:space="preserve"> </w:t>
      </w:r>
      <w:r>
        <w:rPr>
          <w:rFonts w:ascii="Garamond" w:hAnsi="Garamond" w:cs="Garamond"/>
        </w:rPr>
        <w:t>with</w:t>
      </w:r>
      <w:r>
        <w:rPr>
          <w:rFonts w:ascii="Garamond" w:hAnsi="Garamond" w:cs="Garamond"/>
          <w:spacing w:val="-8"/>
        </w:rPr>
        <w:t xml:space="preserve"> </w:t>
      </w:r>
      <w:r>
        <w:rPr>
          <w:rFonts w:ascii="Garamond" w:hAnsi="Garamond" w:cs="Garamond"/>
        </w:rPr>
        <w:t>psychiatric</w:t>
      </w:r>
      <w:r>
        <w:rPr>
          <w:rFonts w:ascii="Garamond" w:hAnsi="Garamond" w:cs="Garamond"/>
          <w:spacing w:val="-8"/>
        </w:rPr>
        <w:t xml:space="preserve"> </w:t>
      </w:r>
      <w:r>
        <w:rPr>
          <w:rFonts w:ascii="Garamond" w:hAnsi="Garamond" w:cs="Garamond"/>
        </w:rPr>
        <w:t>diagnoses</w:t>
      </w:r>
      <w:r>
        <w:rPr>
          <w:rFonts w:ascii="Garamond" w:hAnsi="Garamond" w:cs="Garamond"/>
          <w:spacing w:val="-5"/>
        </w:rPr>
        <w:t xml:space="preserve"> </w:t>
      </w:r>
      <w:r>
        <w:rPr>
          <w:rFonts w:ascii="Garamond" w:hAnsi="Garamond" w:cs="Garamond"/>
        </w:rPr>
        <w:t>as</w:t>
      </w:r>
      <w:r>
        <w:rPr>
          <w:rFonts w:ascii="Garamond" w:hAnsi="Garamond" w:cs="Garamond"/>
          <w:spacing w:val="-8"/>
        </w:rPr>
        <w:t xml:space="preserve"> </w:t>
      </w:r>
      <w:r>
        <w:rPr>
          <w:rFonts w:ascii="Garamond" w:hAnsi="Garamond" w:cs="Garamond"/>
        </w:rPr>
        <w:t>to</w:t>
      </w:r>
      <w:r>
        <w:rPr>
          <w:rFonts w:ascii="Garamond" w:hAnsi="Garamond" w:cs="Garamond"/>
          <w:spacing w:val="-10"/>
        </w:rPr>
        <w:t xml:space="preserve"> </w:t>
      </w:r>
      <w:r>
        <w:rPr>
          <w:rFonts w:ascii="Garamond" w:hAnsi="Garamond" w:cs="Garamond"/>
        </w:rPr>
        <w:t>those</w:t>
      </w:r>
      <w:r>
        <w:rPr>
          <w:rFonts w:ascii="Garamond" w:hAnsi="Garamond" w:cs="Garamond"/>
          <w:spacing w:val="-8"/>
        </w:rPr>
        <w:t xml:space="preserve"> </w:t>
      </w:r>
      <w:r>
        <w:rPr>
          <w:rFonts w:ascii="Garamond" w:hAnsi="Garamond" w:cs="Garamond"/>
        </w:rPr>
        <w:t>without</w:t>
      </w:r>
    </w:p>
    <w:p w:rsidR="002C5025" w:rsidRDefault="002C5025">
      <w:pPr>
        <w:pStyle w:val="BodyText"/>
        <w:kinsoku w:val="0"/>
        <w:overflowPunct w:val="0"/>
        <w:rPr>
          <w:rFonts w:ascii="Garamond" w:hAnsi="Garamond" w:cs="Garamond"/>
          <w:sz w:val="20"/>
          <w:szCs w:val="20"/>
        </w:rPr>
      </w:pPr>
    </w:p>
    <w:p w:rsidR="002C5025" w:rsidRDefault="002C5025">
      <w:pPr>
        <w:pStyle w:val="BodyText"/>
        <w:kinsoku w:val="0"/>
        <w:overflowPunct w:val="0"/>
        <w:rPr>
          <w:rFonts w:ascii="Garamond" w:hAnsi="Garamond" w:cs="Garamond"/>
          <w:sz w:val="20"/>
          <w:szCs w:val="20"/>
        </w:rPr>
      </w:pPr>
    </w:p>
    <w:p w:rsidR="002C5025" w:rsidRDefault="00FB027C">
      <w:pPr>
        <w:pStyle w:val="BodyText"/>
        <w:kinsoku w:val="0"/>
        <w:overflowPunct w:val="0"/>
        <w:spacing w:before="3"/>
        <w:rPr>
          <w:rFonts w:ascii="Garamond" w:hAnsi="Garamond" w:cs="Garamond"/>
          <w:sz w:val="13"/>
          <w:szCs w:val="13"/>
        </w:rPr>
      </w:pPr>
      <w:r>
        <w:rPr>
          <w:noProof/>
        </w:rPr>
        <mc:AlternateContent>
          <mc:Choice Requires="wps">
            <w:drawing>
              <wp:anchor distT="0" distB="0" distL="0" distR="0" simplePos="0" relativeHeight="251662848" behindDoc="0" locked="0" layoutInCell="0" allowOverlap="1">
                <wp:simplePos x="0" y="0"/>
                <wp:positionH relativeFrom="page">
                  <wp:posOffset>923925</wp:posOffset>
                </wp:positionH>
                <wp:positionV relativeFrom="paragraph">
                  <wp:posOffset>125095</wp:posOffset>
                </wp:positionV>
                <wp:extent cx="1829435" cy="12700"/>
                <wp:effectExtent l="0" t="0" r="0" b="0"/>
                <wp:wrapTopAndBottom/>
                <wp:docPr id="556" name="Freeform 4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1 w 2881"/>
                            <a:gd name="T3" fmla="*/ 0 h 20"/>
                          </a:gdLst>
                          <a:ahLst/>
                          <a:cxnLst>
                            <a:cxn ang="0">
                              <a:pos x="T0" y="T1"/>
                            </a:cxn>
                            <a:cxn ang="0">
                              <a:pos x="T2" y="T3"/>
                            </a:cxn>
                          </a:cxnLst>
                          <a:rect l="0" t="0" r="r" b="b"/>
                          <a:pathLst>
                            <a:path w="2881" h="20">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69" o:spid="_x0000_s1026" style="position:absolute;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2.75pt,9.85pt,216.8pt,9.85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" o:allowincell="f" filled="f" strokeweight=".82pt">
                <v:path arrowok="t" o:connecttype="custom" o:connectlocs="0,0;1829435,0" o:connectangles="0,0"/>
                <w10:wrap type="topAndBottom" anchorx="page"/>
              </v:polyline>
            </w:pict>
          </mc:Fallback>
        </mc:AlternateContent>
      </w:r>
    </w:p>
    <w:p w:rsidR="002C5025" w:rsidRDefault="002C5025">
      <w:pPr>
        <w:pStyle w:val="BodyText"/>
        <w:tabs>
          <w:tab w:val="left" w:pos="9235"/>
        </w:tabs>
        <w:kinsoku w:val="0"/>
        <w:overflowPunct w:val="0"/>
        <w:spacing w:before="70"/>
        <w:ind w:left="120" w:right="181"/>
        <w:rPr>
          <w:rFonts w:ascii="Garamond" w:hAnsi="Garamond" w:cs="Garamond"/>
          <w:color w:val="0000FF"/>
          <w:w w:val="95"/>
          <w:sz w:val="20"/>
          <w:szCs w:val="20"/>
        </w:rPr>
      </w:pPr>
      <w:r>
        <w:rPr>
          <w:rFonts w:ascii="Garamond" w:hAnsi="Garamond" w:cs="Garamond"/>
          <w:position w:val="5"/>
          <w:sz w:val="13"/>
          <w:szCs w:val="13"/>
        </w:rPr>
        <w:t xml:space="preserve">27 </w:t>
      </w:r>
      <w:proofErr w:type="spellStart"/>
      <w:r>
        <w:rPr>
          <w:rFonts w:ascii="Garamond" w:hAnsi="Garamond" w:cs="Garamond"/>
          <w:sz w:val="20"/>
          <w:szCs w:val="20"/>
        </w:rPr>
        <w:t>Manatt</w:t>
      </w:r>
      <w:proofErr w:type="spellEnd"/>
      <w:r>
        <w:rPr>
          <w:rFonts w:ascii="Garamond" w:hAnsi="Garamond" w:cs="Garamond"/>
          <w:sz w:val="20"/>
          <w:szCs w:val="20"/>
        </w:rPr>
        <w:t xml:space="preserve"> Health Solutions. (Dec. 2015). </w:t>
      </w:r>
      <w:r>
        <w:rPr>
          <w:rFonts w:ascii="Garamond" w:hAnsi="Garamond" w:cs="Garamond"/>
          <w:i/>
          <w:iCs/>
          <w:sz w:val="20"/>
          <w:szCs w:val="20"/>
        </w:rPr>
        <w:t xml:space="preserve">MassHealth Matters II Long-Term Services and Supports (LTSS): Opportunities </w:t>
      </w:r>
      <w:r>
        <w:rPr>
          <w:rFonts w:ascii="Garamond" w:hAnsi="Garamond" w:cs="Garamond"/>
          <w:i/>
          <w:iCs/>
          <w:spacing w:val="-3"/>
          <w:sz w:val="20"/>
          <w:szCs w:val="20"/>
        </w:rPr>
        <w:t xml:space="preserve">for </w:t>
      </w:r>
      <w:r>
        <w:rPr>
          <w:rFonts w:ascii="Garamond" w:hAnsi="Garamond" w:cs="Garamond"/>
          <w:i/>
          <w:iCs/>
          <w:sz w:val="20"/>
          <w:szCs w:val="20"/>
        </w:rPr>
        <w:t xml:space="preserve">MassHealth. </w:t>
      </w:r>
      <w:r>
        <w:rPr>
          <w:rFonts w:ascii="Garamond" w:hAnsi="Garamond" w:cs="Garamond"/>
          <w:sz w:val="20"/>
          <w:szCs w:val="20"/>
        </w:rPr>
        <w:t xml:space="preserve">Blue Cross Foundation. Retrieved from </w:t>
      </w:r>
      <w:hyperlink r:id="rId337" w:history="1">
        <w:r>
          <w:rPr>
            <w:rFonts w:ascii="Garamond" w:hAnsi="Garamond" w:cs="Garamond"/>
            <w:color w:val="0000FF"/>
            <w:spacing w:val="-1"/>
            <w:w w:val="95"/>
            <w:sz w:val="20"/>
            <w:szCs w:val="20"/>
            <w:u w:val="single"/>
          </w:rPr>
          <w:t>http://bluecrossfoundation.org/sites/default/files/download/publication/Manatt_MMPI_ChartPack_FINAL_v05.pdf</w:t>
        </w:r>
        <w:r>
          <w:rPr>
            <w:rFonts w:ascii="Garamond" w:hAnsi="Garamond" w:cs="Garamond"/>
            <w:color w:val="0000FF"/>
            <w:spacing w:val="-1"/>
            <w:w w:val="95"/>
            <w:sz w:val="20"/>
            <w:szCs w:val="20"/>
            <w:u w:val="single"/>
          </w:rPr>
          <w:tab/>
        </w:r>
        <w:r>
          <w:rPr>
            <w:rFonts w:ascii="Garamond" w:hAnsi="Garamond" w:cs="Garamond"/>
            <w:color w:val="0000FF"/>
            <w:w w:val="95"/>
            <w:sz w:val="20"/>
            <w:szCs w:val="20"/>
            <w:u w:val="single"/>
          </w:rPr>
          <w:t>.</w:t>
        </w:r>
      </w:hyperlink>
      <w:r>
        <w:rPr>
          <w:rFonts w:ascii="Garamond" w:hAnsi="Garamond" w:cs="Garamond"/>
          <w:color w:val="0000FF"/>
          <w:w w:val="95"/>
          <w:sz w:val="20"/>
          <w:szCs w:val="20"/>
          <w:u w:val="single"/>
        </w:rPr>
        <w:t xml:space="preserve"> </w:t>
      </w:r>
      <w:r>
        <w:rPr>
          <w:rFonts w:ascii="Garamond" w:hAnsi="Garamond" w:cs="Garamond"/>
          <w:color w:val="000000"/>
          <w:position w:val="5"/>
          <w:sz w:val="13"/>
          <w:szCs w:val="13"/>
        </w:rPr>
        <w:t xml:space="preserve">28 </w:t>
      </w:r>
      <w:r>
        <w:rPr>
          <w:rFonts w:ascii="Garamond" w:hAnsi="Garamond" w:cs="Garamond"/>
          <w:color w:val="000000"/>
          <w:sz w:val="20"/>
          <w:szCs w:val="20"/>
        </w:rPr>
        <w:t xml:space="preserve">Massachusetts Department of Public Health. (2013). </w:t>
      </w:r>
      <w:r>
        <w:rPr>
          <w:rFonts w:ascii="Garamond" w:hAnsi="Garamond" w:cs="Garamond"/>
          <w:i/>
          <w:iCs/>
          <w:color w:val="000000"/>
          <w:sz w:val="20"/>
          <w:szCs w:val="20"/>
        </w:rPr>
        <w:t>Health Needs Assessment of People with Disabilities in Massachusetts, 2013</w:t>
      </w:r>
      <w:r>
        <w:rPr>
          <w:rFonts w:ascii="Garamond" w:hAnsi="Garamond" w:cs="Garamond"/>
          <w:color w:val="000000"/>
          <w:sz w:val="20"/>
          <w:szCs w:val="20"/>
        </w:rPr>
        <w:t xml:space="preserve">.UMass Center for Health Policy and Research. Retrieved from </w:t>
      </w:r>
      <w:hyperlink r:id="rId338" w:history="1">
        <w:r>
          <w:rPr>
            <w:rFonts w:ascii="Garamond" w:hAnsi="Garamond" w:cs="Garamond"/>
            <w:color w:val="0000FF"/>
            <w:w w:val="95"/>
            <w:sz w:val="20"/>
            <w:szCs w:val="20"/>
            <w:u w:val="single"/>
          </w:rPr>
          <w:t>http://commed.umassmed.edu/sites/default/files/8504_Health%20Needs%20Assessment%20PWD%20EHS%20App</w:t>
        </w:r>
      </w:hyperlink>
      <w:r>
        <w:rPr>
          <w:rFonts w:ascii="Garamond" w:hAnsi="Garamond" w:cs="Garamond"/>
          <w:color w:val="0000FF"/>
          <w:w w:val="95"/>
          <w:sz w:val="20"/>
          <w:szCs w:val="20"/>
          <w:u w:val="single"/>
        </w:rPr>
        <w:t xml:space="preserve"> </w:t>
      </w:r>
      <w:hyperlink r:id="rId339" w:history="1">
        <w:r>
          <w:rPr>
            <w:rFonts w:ascii="Garamond" w:hAnsi="Garamond" w:cs="Garamond"/>
            <w:color w:val="0000FF"/>
            <w:sz w:val="20"/>
            <w:szCs w:val="20"/>
            <w:u w:val="single"/>
          </w:rPr>
          <w:t>r%2001-16-2014_0.pdf</w:t>
        </w:r>
        <w:r>
          <w:rPr>
            <w:rFonts w:ascii="Garamond" w:hAnsi="Garamond" w:cs="Garamond"/>
            <w:color w:val="000000"/>
            <w:sz w:val="20"/>
            <w:szCs w:val="20"/>
            <w:u w:val="single"/>
          </w:rPr>
          <w:t>.</w:t>
        </w:r>
      </w:hyperlink>
    </w:p>
    <w:p w:rsidR="002C5025" w:rsidRDefault="002C5025">
      <w:pPr>
        <w:pStyle w:val="BodyText"/>
        <w:kinsoku w:val="0"/>
        <w:overflowPunct w:val="0"/>
        <w:spacing w:before="10"/>
        <w:rPr>
          <w:rFonts w:ascii="Garamond" w:hAnsi="Garamond" w:cs="Garamond"/>
          <w:sz w:val="12"/>
          <w:szCs w:val="12"/>
        </w:rPr>
      </w:pPr>
    </w:p>
    <w:p w:rsidR="002C5025" w:rsidRDefault="002C5025">
      <w:pPr>
        <w:pStyle w:val="BodyText"/>
        <w:kinsoku w:val="0"/>
        <w:overflowPunct w:val="0"/>
        <w:spacing w:before="81"/>
        <w:ind w:left="576" w:right="436"/>
        <w:jc w:val="center"/>
        <w:rPr>
          <w:rFonts w:ascii="Garamond" w:hAnsi="Garamond" w:cs="Garamond"/>
          <w:sz w:val="20"/>
          <w:szCs w:val="20"/>
        </w:rPr>
      </w:pPr>
      <w:r>
        <w:rPr>
          <w:rFonts w:ascii="Garamond" w:hAnsi="Garamond" w:cs="Garamond"/>
          <w:sz w:val="20"/>
          <w:szCs w:val="20"/>
        </w:rPr>
        <w:t>12</w:t>
      </w:r>
    </w:p>
    <w:p w:rsidR="002C5025" w:rsidRDefault="002C5025">
      <w:pPr>
        <w:pStyle w:val="BodyText"/>
        <w:kinsoku w:val="0"/>
        <w:overflowPunct w:val="0"/>
        <w:spacing w:before="81"/>
        <w:ind w:left="576" w:right="436"/>
        <w:jc w:val="center"/>
        <w:rPr>
          <w:rFonts w:ascii="Garamond" w:hAnsi="Garamond" w:cs="Garamond"/>
          <w:sz w:val="20"/>
          <w:szCs w:val="20"/>
        </w:rPr>
        <w:sectPr w:rsidR="002C5025">
          <w:pgSz w:w="12240" w:h="15840"/>
          <w:pgMar w:top="1380" w:right="1460" w:bottom="280" w:left="1320" w:header="720" w:footer="720" w:gutter="0"/>
          <w:cols w:space="720" w:equalWidth="0">
            <w:col w:w="9460"/>
          </w:cols>
          <w:noEndnote/>
        </w:sectPr>
      </w:pPr>
    </w:p>
    <w:p w:rsidR="002C5025" w:rsidRDefault="002C5025">
      <w:pPr>
        <w:pStyle w:val="BodyText"/>
        <w:kinsoku w:val="0"/>
        <w:overflowPunct w:val="0"/>
        <w:spacing w:before="60"/>
        <w:ind w:left="119" w:right="172"/>
        <w:rPr>
          <w:rFonts w:ascii="Garamond" w:hAnsi="Garamond" w:cs="Garamond"/>
        </w:rPr>
      </w:pPr>
      <w:r>
        <w:rPr>
          <w:rFonts w:ascii="Garamond" w:hAnsi="Garamond" w:cs="Garamond"/>
        </w:rPr>
        <w:lastRenderedPageBreak/>
        <w:t>mental health histories.</w:t>
      </w:r>
      <w:r>
        <w:rPr>
          <w:rFonts w:ascii="Garamond" w:hAnsi="Garamond" w:cs="Garamond"/>
          <w:position w:val="5"/>
          <w:sz w:val="14"/>
          <w:szCs w:val="14"/>
        </w:rPr>
        <w:t xml:space="preserve">29 </w:t>
      </w:r>
      <w:r>
        <w:rPr>
          <w:rFonts w:ascii="Garamond" w:hAnsi="Garamond" w:cs="Garamond"/>
        </w:rPr>
        <w:t xml:space="preserve">Therefore, it should be up to the individual enrollee whether and to what </w:t>
      </w:r>
      <w:r>
        <w:rPr>
          <w:rFonts w:ascii="Garamond" w:hAnsi="Garamond" w:cs="Garamond"/>
          <w:spacing w:val="-3"/>
        </w:rPr>
        <w:t xml:space="preserve">extent </w:t>
      </w:r>
      <w:r>
        <w:rPr>
          <w:rFonts w:ascii="Garamond" w:hAnsi="Garamond" w:cs="Garamond"/>
        </w:rPr>
        <w:t xml:space="preserve">psychiatric information is shared among his or her </w:t>
      </w:r>
      <w:r>
        <w:rPr>
          <w:rFonts w:ascii="Garamond" w:hAnsi="Garamond" w:cs="Garamond"/>
          <w:spacing w:val="-3"/>
        </w:rPr>
        <w:t xml:space="preserve">physical </w:t>
      </w:r>
      <w:r>
        <w:rPr>
          <w:rFonts w:ascii="Garamond" w:hAnsi="Garamond" w:cs="Garamond"/>
        </w:rPr>
        <w:t xml:space="preserve">health care providers. Members will be able to share such information with providers who </w:t>
      </w:r>
      <w:r>
        <w:rPr>
          <w:rFonts w:ascii="Garamond" w:hAnsi="Garamond" w:cs="Garamond"/>
          <w:spacing w:val="-3"/>
        </w:rPr>
        <w:t xml:space="preserve">inspire </w:t>
      </w:r>
      <w:r>
        <w:rPr>
          <w:rFonts w:ascii="Garamond" w:hAnsi="Garamond" w:cs="Garamond"/>
        </w:rPr>
        <w:t>trust, a necessary element of any health care relationship.</w:t>
      </w:r>
    </w:p>
    <w:p w:rsidR="002C5025" w:rsidRDefault="002C5025">
      <w:pPr>
        <w:pStyle w:val="BodyText"/>
        <w:kinsoku w:val="0"/>
        <w:overflowPunct w:val="0"/>
        <w:spacing w:before="1"/>
        <w:rPr>
          <w:rFonts w:ascii="Garamond" w:hAnsi="Garamond" w:cs="Garamond"/>
        </w:rPr>
      </w:pPr>
    </w:p>
    <w:p w:rsidR="002C5025" w:rsidRDefault="002C5025">
      <w:pPr>
        <w:pStyle w:val="BodyText"/>
        <w:kinsoku w:val="0"/>
        <w:overflowPunct w:val="0"/>
        <w:spacing w:before="1"/>
        <w:ind w:left="118" w:right="10"/>
        <w:rPr>
          <w:rFonts w:ascii="Garamond" w:hAnsi="Garamond" w:cs="Garamond"/>
        </w:rPr>
      </w:pPr>
      <w:r>
        <w:rPr>
          <w:rFonts w:ascii="Garamond" w:hAnsi="Garamond" w:cs="Garamond"/>
        </w:rPr>
        <w:t>We also applaud MassHealth’s efforts to address psychiatric emergency department boarding, including seeking</w:t>
      </w:r>
      <w:r>
        <w:rPr>
          <w:rFonts w:ascii="Garamond" w:hAnsi="Garamond" w:cs="Garamond"/>
          <w:spacing w:val="-10"/>
        </w:rPr>
        <w:t xml:space="preserve"> </w:t>
      </w:r>
      <w:r>
        <w:rPr>
          <w:rFonts w:ascii="Garamond" w:hAnsi="Garamond" w:cs="Garamond"/>
        </w:rPr>
        <w:t>investment</w:t>
      </w:r>
      <w:r>
        <w:rPr>
          <w:rFonts w:ascii="Garamond" w:hAnsi="Garamond" w:cs="Garamond"/>
          <w:spacing w:val="-7"/>
        </w:rPr>
        <w:t xml:space="preserve"> </w:t>
      </w:r>
      <w:r>
        <w:rPr>
          <w:rFonts w:ascii="Garamond" w:hAnsi="Garamond" w:cs="Garamond"/>
        </w:rPr>
        <w:t>to</w:t>
      </w:r>
      <w:r>
        <w:rPr>
          <w:rFonts w:ascii="Garamond" w:hAnsi="Garamond" w:cs="Garamond"/>
          <w:spacing w:val="-10"/>
        </w:rPr>
        <w:t xml:space="preserve"> </w:t>
      </w:r>
      <w:r>
        <w:rPr>
          <w:rFonts w:ascii="Garamond" w:hAnsi="Garamond" w:cs="Garamond"/>
        </w:rPr>
        <w:t>support</w:t>
      </w:r>
      <w:r>
        <w:rPr>
          <w:rFonts w:ascii="Garamond" w:hAnsi="Garamond" w:cs="Garamond"/>
          <w:spacing w:val="-7"/>
        </w:rPr>
        <w:t xml:space="preserve"> </w:t>
      </w:r>
      <w:r>
        <w:rPr>
          <w:rFonts w:ascii="Garamond" w:hAnsi="Garamond" w:cs="Garamond"/>
        </w:rPr>
        <w:t>enhanced</w:t>
      </w:r>
      <w:r>
        <w:rPr>
          <w:rFonts w:ascii="Garamond" w:hAnsi="Garamond" w:cs="Garamond"/>
          <w:spacing w:val="-7"/>
        </w:rPr>
        <w:t xml:space="preserve"> </w:t>
      </w:r>
      <w:r>
        <w:rPr>
          <w:rFonts w:ascii="Garamond" w:hAnsi="Garamond" w:cs="Garamond"/>
        </w:rPr>
        <w:t>diversionary</w:t>
      </w:r>
      <w:r>
        <w:rPr>
          <w:rFonts w:ascii="Garamond" w:hAnsi="Garamond" w:cs="Garamond"/>
          <w:spacing w:val="-10"/>
        </w:rPr>
        <w:t xml:space="preserve"> </w:t>
      </w:r>
      <w:r>
        <w:rPr>
          <w:rFonts w:ascii="Garamond" w:hAnsi="Garamond" w:cs="Garamond"/>
        </w:rPr>
        <w:t>levels</w:t>
      </w:r>
      <w:r>
        <w:rPr>
          <w:rFonts w:ascii="Garamond" w:hAnsi="Garamond" w:cs="Garamond"/>
          <w:spacing w:val="-6"/>
        </w:rPr>
        <w:t xml:space="preserve"> </w:t>
      </w:r>
      <w:r>
        <w:rPr>
          <w:rFonts w:ascii="Garamond" w:hAnsi="Garamond" w:cs="Garamond"/>
        </w:rPr>
        <w:t>of</w:t>
      </w:r>
      <w:r>
        <w:rPr>
          <w:rFonts w:ascii="Garamond" w:hAnsi="Garamond" w:cs="Garamond"/>
          <w:spacing w:val="-9"/>
        </w:rPr>
        <w:t xml:space="preserve"> </w:t>
      </w:r>
      <w:r>
        <w:rPr>
          <w:rFonts w:ascii="Garamond" w:hAnsi="Garamond" w:cs="Garamond"/>
        </w:rPr>
        <w:t>care</w:t>
      </w:r>
      <w:r>
        <w:rPr>
          <w:rFonts w:ascii="Garamond" w:hAnsi="Garamond" w:cs="Garamond"/>
          <w:spacing w:val="-10"/>
        </w:rPr>
        <w:t xml:space="preserve"> </w:t>
      </w:r>
      <w:r>
        <w:rPr>
          <w:rFonts w:ascii="Garamond" w:hAnsi="Garamond" w:cs="Garamond"/>
        </w:rPr>
        <w:t>that</w:t>
      </w:r>
      <w:r>
        <w:rPr>
          <w:rFonts w:ascii="Garamond" w:hAnsi="Garamond" w:cs="Garamond"/>
          <w:spacing w:val="-9"/>
        </w:rPr>
        <w:t xml:space="preserve"> </w:t>
      </w:r>
      <w:r>
        <w:rPr>
          <w:rFonts w:ascii="Garamond" w:hAnsi="Garamond" w:cs="Garamond"/>
        </w:rPr>
        <w:t>will</w:t>
      </w:r>
      <w:r>
        <w:rPr>
          <w:rFonts w:ascii="Garamond" w:hAnsi="Garamond" w:cs="Garamond"/>
          <w:spacing w:val="-10"/>
        </w:rPr>
        <w:t xml:space="preserve"> </w:t>
      </w:r>
      <w:r>
        <w:rPr>
          <w:rFonts w:ascii="Garamond" w:hAnsi="Garamond" w:cs="Garamond"/>
        </w:rPr>
        <w:t>meet</w:t>
      </w:r>
      <w:r>
        <w:rPr>
          <w:rFonts w:ascii="Garamond" w:hAnsi="Garamond" w:cs="Garamond"/>
          <w:spacing w:val="-9"/>
        </w:rPr>
        <w:t xml:space="preserve"> </w:t>
      </w:r>
      <w:r>
        <w:rPr>
          <w:rFonts w:ascii="Garamond" w:hAnsi="Garamond" w:cs="Garamond"/>
        </w:rPr>
        <w:t>the</w:t>
      </w:r>
      <w:r>
        <w:rPr>
          <w:rFonts w:ascii="Garamond" w:hAnsi="Garamond" w:cs="Garamond"/>
          <w:spacing w:val="-10"/>
        </w:rPr>
        <w:t xml:space="preserve"> </w:t>
      </w:r>
      <w:r>
        <w:rPr>
          <w:rFonts w:ascii="Garamond" w:hAnsi="Garamond" w:cs="Garamond"/>
        </w:rPr>
        <w:t>needs</w:t>
      </w:r>
      <w:r>
        <w:rPr>
          <w:rFonts w:ascii="Garamond" w:hAnsi="Garamond" w:cs="Garamond"/>
          <w:spacing w:val="-6"/>
        </w:rPr>
        <w:t xml:space="preserve"> </w:t>
      </w:r>
      <w:r>
        <w:rPr>
          <w:rFonts w:ascii="Garamond" w:hAnsi="Garamond" w:cs="Garamond"/>
        </w:rPr>
        <w:t>of</w:t>
      </w:r>
      <w:r>
        <w:rPr>
          <w:rFonts w:ascii="Garamond" w:hAnsi="Garamond" w:cs="Garamond"/>
          <w:spacing w:val="-9"/>
        </w:rPr>
        <w:t xml:space="preserve"> </w:t>
      </w:r>
      <w:r>
        <w:rPr>
          <w:rFonts w:ascii="Garamond" w:hAnsi="Garamond" w:cs="Garamond"/>
        </w:rPr>
        <w:t>patients</w:t>
      </w:r>
      <w:r>
        <w:rPr>
          <w:rFonts w:ascii="Garamond" w:hAnsi="Garamond" w:cs="Garamond"/>
          <w:spacing w:val="-6"/>
        </w:rPr>
        <w:t xml:space="preserve"> </w:t>
      </w:r>
      <w:r>
        <w:rPr>
          <w:rFonts w:ascii="Garamond" w:hAnsi="Garamond" w:cs="Garamond"/>
        </w:rPr>
        <w:t>within the</w:t>
      </w:r>
      <w:r>
        <w:rPr>
          <w:rFonts w:ascii="Garamond" w:hAnsi="Garamond" w:cs="Garamond"/>
          <w:spacing w:val="-13"/>
        </w:rPr>
        <w:t xml:space="preserve"> </w:t>
      </w:r>
      <w:r>
        <w:rPr>
          <w:rFonts w:ascii="Garamond" w:hAnsi="Garamond" w:cs="Garamond"/>
        </w:rPr>
        <w:t>least</w:t>
      </w:r>
      <w:r>
        <w:rPr>
          <w:rFonts w:ascii="Garamond" w:hAnsi="Garamond" w:cs="Garamond"/>
          <w:spacing w:val="-14"/>
        </w:rPr>
        <w:t xml:space="preserve"> </w:t>
      </w:r>
      <w:r>
        <w:rPr>
          <w:rFonts w:ascii="Garamond" w:hAnsi="Garamond" w:cs="Garamond"/>
        </w:rPr>
        <w:t>restrictive,</w:t>
      </w:r>
      <w:r>
        <w:rPr>
          <w:rFonts w:ascii="Garamond" w:hAnsi="Garamond" w:cs="Garamond"/>
          <w:spacing w:val="-15"/>
        </w:rPr>
        <w:t xml:space="preserve"> </w:t>
      </w:r>
      <w:r>
        <w:rPr>
          <w:rFonts w:ascii="Garamond" w:hAnsi="Garamond" w:cs="Garamond"/>
        </w:rPr>
        <w:t>most</w:t>
      </w:r>
      <w:r>
        <w:rPr>
          <w:rFonts w:ascii="Garamond" w:hAnsi="Garamond" w:cs="Garamond"/>
          <w:spacing w:val="-12"/>
        </w:rPr>
        <w:t xml:space="preserve"> </w:t>
      </w:r>
      <w:r>
        <w:rPr>
          <w:rFonts w:ascii="Garamond" w:hAnsi="Garamond" w:cs="Garamond"/>
        </w:rPr>
        <w:t>clinically</w:t>
      </w:r>
      <w:r>
        <w:rPr>
          <w:rFonts w:ascii="Garamond" w:hAnsi="Garamond" w:cs="Garamond"/>
          <w:spacing w:val="-15"/>
        </w:rPr>
        <w:t xml:space="preserve"> </w:t>
      </w:r>
      <w:r>
        <w:rPr>
          <w:rFonts w:ascii="Garamond" w:hAnsi="Garamond" w:cs="Garamond"/>
        </w:rPr>
        <w:t>appropriate</w:t>
      </w:r>
      <w:r>
        <w:rPr>
          <w:rFonts w:ascii="Garamond" w:hAnsi="Garamond" w:cs="Garamond"/>
          <w:spacing w:val="-17"/>
        </w:rPr>
        <w:t xml:space="preserve"> </w:t>
      </w:r>
      <w:r>
        <w:rPr>
          <w:rFonts w:ascii="Garamond" w:hAnsi="Garamond" w:cs="Garamond"/>
        </w:rPr>
        <w:t>settings.</w:t>
      </w:r>
    </w:p>
    <w:p w:rsidR="002C5025" w:rsidRDefault="002C5025">
      <w:pPr>
        <w:pStyle w:val="BodyText"/>
        <w:kinsoku w:val="0"/>
        <w:overflowPunct w:val="0"/>
        <w:spacing w:before="6"/>
        <w:rPr>
          <w:rFonts w:ascii="Garamond" w:hAnsi="Garamond" w:cs="Garamond"/>
        </w:rPr>
      </w:pPr>
    </w:p>
    <w:p w:rsidR="002C5025" w:rsidRDefault="002C5025">
      <w:pPr>
        <w:pStyle w:val="BodyText"/>
        <w:kinsoku w:val="0"/>
        <w:overflowPunct w:val="0"/>
        <w:spacing w:line="244" w:lineRule="exact"/>
        <w:ind w:left="120" w:right="814"/>
        <w:rPr>
          <w:rFonts w:ascii="Garamond" w:hAnsi="Garamond" w:cs="Garamond"/>
          <w:i/>
          <w:iCs/>
        </w:rPr>
      </w:pPr>
      <w:r>
        <w:rPr>
          <w:rFonts w:ascii="Garamond" w:hAnsi="Garamond" w:cs="Garamond"/>
          <w:i/>
          <w:iCs/>
        </w:rPr>
        <w:t>Behavioral Health Services for Children and Youth</w:t>
      </w:r>
    </w:p>
    <w:p w:rsidR="002C5025" w:rsidRDefault="002C5025">
      <w:pPr>
        <w:pStyle w:val="BodyText"/>
        <w:kinsoku w:val="0"/>
        <w:overflowPunct w:val="0"/>
        <w:ind w:left="119" w:right="190"/>
        <w:rPr>
          <w:rFonts w:ascii="Garamond" w:hAnsi="Garamond" w:cs="Garamond"/>
        </w:rPr>
      </w:pPr>
      <w:r>
        <w:rPr>
          <w:rFonts w:ascii="Garamond" w:hAnsi="Garamond" w:cs="Garamond"/>
        </w:rPr>
        <w:t xml:space="preserve">Children with behavioral health </w:t>
      </w:r>
      <w:r>
        <w:rPr>
          <w:rFonts w:ascii="Garamond" w:hAnsi="Garamond" w:cs="Garamond"/>
          <w:spacing w:val="-3"/>
        </w:rPr>
        <w:t xml:space="preserve">needs </w:t>
      </w:r>
      <w:r>
        <w:rPr>
          <w:rFonts w:ascii="Garamond" w:hAnsi="Garamond" w:cs="Garamond"/>
        </w:rPr>
        <w:t xml:space="preserve">require providers to consult with more “collateral contacts,” such as parents, teachers, and other service providers. MassHealth should leverage the </w:t>
      </w:r>
      <w:r>
        <w:rPr>
          <w:rFonts w:ascii="Garamond" w:hAnsi="Garamond" w:cs="Garamond"/>
          <w:spacing w:val="-3"/>
        </w:rPr>
        <w:t xml:space="preserve">expertise </w:t>
      </w:r>
      <w:r>
        <w:rPr>
          <w:rFonts w:ascii="Garamond" w:hAnsi="Garamond" w:cs="Garamond"/>
        </w:rPr>
        <w:t xml:space="preserve">of CBHI’s community-based, child-serving </w:t>
      </w:r>
      <w:r>
        <w:rPr>
          <w:rFonts w:ascii="Garamond" w:hAnsi="Garamond" w:cs="Garamond"/>
          <w:spacing w:val="-3"/>
        </w:rPr>
        <w:t xml:space="preserve">provider </w:t>
      </w:r>
      <w:r>
        <w:rPr>
          <w:rFonts w:ascii="Garamond" w:hAnsi="Garamond" w:cs="Garamond"/>
        </w:rPr>
        <w:t>organizations to coordinate care, enhance care quality, deliver care in</w:t>
      </w:r>
      <w:r>
        <w:rPr>
          <w:rFonts w:ascii="Garamond" w:hAnsi="Garamond" w:cs="Garamond"/>
          <w:spacing w:val="-8"/>
        </w:rPr>
        <w:t xml:space="preserve"> </w:t>
      </w:r>
      <w:r>
        <w:rPr>
          <w:rFonts w:ascii="Garamond" w:hAnsi="Garamond" w:cs="Garamond"/>
        </w:rPr>
        <w:t>lower</w:t>
      </w:r>
      <w:r>
        <w:rPr>
          <w:rFonts w:ascii="Garamond" w:hAnsi="Garamond" w:cs="Garamond"/>
          <w:spacing w:val="-7"/>
        </w:rPr>
        <w:t xml:space="preserve"> </w:t>
      </w:r>
      <w:r>
        <w:rPr>
          <w:rFonts w:ascii="Garamond" w:hAnsi="Garamond" w:cs="Garamond"/>
        </w:rPr>
        <w:t>cost</w:t>
      </w:r>
      <w:r>
        <w:rPr>
          <w:rFonts w:ascii="Garamond" w:hAnsi="Garamond" w:cs="Garamond"/>
          <w:spacing w:val="-10"/>
        </w:rPr>
        <w:t xml:space="preserve"> </w:t>
      </w:r>
      <w:r>
        <w:rPr>
          <w:rFonts w:ascii="Garamond" w:hAnsi="Garamond" w:cs="Garamond"/>
        </w:rPr>
        <w:t>community</w:t>
      </w:r>
      <w:r>
        <w:rPr>
          <w:rFonts w:ascii="Garamond" w:hAnsi="Garamond" w:cs="Garamond"/>
          <w:spacing w:val="-13"/>
        </w:rPr>
        <w:t xml:space="preserve"> </w:t>
      </w:r>
      <w:r>
        <w:rPr>
          <w:rFonts w:ascii="Garamond" w:hAnsi="Garamond" w:cs="Garamond"/>
        </w:rPr>
        <w:t>settings</w:t>
      </w:r>
      <w:r>
        <w:rPr>
          <w:rFonts w:ascii="Garamond" w:hAnsi="Garamond" w:cs="Garamond"/>
          <w:spacing w:val="-10"/>
        </w:rPr>
        <w:t xml:space="preserve"> </w:t>
      </w:r>
      <w:r>
        <w:rPr>
          <w:rFonts w:ascii="Garamond" w:hAnsi="Garamond" w:cs="Garamond"/>
        </w:rPr>
        <w:t>whenever</w:t>
      </w:r>
      <w:r>
        <w:rPr>
          <w:rFonts w:ascii="Garamond" w:hAnsi="Garamond" w:cs="Garamond"/>
          <w:spacing w:val="-7"/>
        </w:rPr>
        <w:t xml:space="preserve"> </w:t>
      </w:r>
      <w:r>
        <w:rPr>
          <w:rFonts w:ascii="Garamond" w:hAnsi="Garamond" w:cs="Garamond"/>
        </w:rPr>
        <w:t>appropriate,</w:t>
      </w:r>
      <w:r>
        <w:rPr>
          <w:rFonts w:ascii="Garamond" w:hAnsi="Garamond" w:cs="Garamond"/>
          <w:spacing w:val="-12"/>
        </w:rPr>
        <w:t xml:space="preserve"> </w:t>
      </w:r>
      <w:r>
        <w:rPr>
          <w:rFonts w:ascii="Garamond" w:hAnsi="Garamond" w:cs="Garamond"/>
        </w:rPr>
        <w:t>and</w:t>
      </w:r>
      <w:r>
        <w:rPr>
          <w:rFonts w:ascii="Garamond" w:hAnsi="Garamond" w:cs="Garamond"/>
          <w:spacing w:val="-11"/>
        </w:rPr>
        <w:t xml:space="preserve"> </w:t>
      </w:r>
      <w:r>
        <w:rPr>
          <w:rFonts w:ascii="Garamond" w:hAnsi="Garamond" w:cs="Garamond"/>
        </w:rPr>
        <w:t>improve</w:t>
      </w:r>
      <w:r>
        <w:rPr>
          <w:rFonts w:ascii="Garamond" w:hAnsi="Garamond" w:cs="Garamond"/>
          <w:spacing w:val="-13"/>
        </w:rPr>
        <w:t xml:space="preserve"> </w:t>
      </w:r>
      <w:r>
        <w:rPr>
          <w:rFonts w:ascii="Garamond" w:hAnsi="Garamond" w:cs="Garamond"/>
        </w:rPr>
        <w:t>the</w:t>
      </w:r>
      <w:r>
        <w:rPr>
          <w:rFonts w:ascii="Garamond" w:hAnsi="Garamond" w:cs="Garamond"/>
          <w:spacing w:val="-9"/>
        </w:rPr>
        <w:t xml:space="preserve"> </w:t>
      </w:r>
      <w:r>
        <w:rPr>
          <w:rFonts w:ascii="Garamond" w:hAnsi="Garamond" w:cs="Garamond"/>
        </w:rPr>
        <w:t>patient</w:t>
      </w:r>
      <w:r>
        <w:rPr>
          <w:rFonts w:ascii="Garamond" w:hAnsi="Garamond" w:cs="Garamond"/>
          <w:spacing w:val="-10"/>
        </w:rPr>
        <w:t xml:space="preserve"> </w:t>
      </w:r>
      <w:r>
        <w:rPr>
          <w:rFonts w:ascii="Garamond" w:hAnsi="Garamond" w:cs="Garamond"/>
        </w:rPr>
        <w:t>experience</w:t>
      </w:r>
      <w:r>
        <w:rPr>
          <w:rFonts w:ascii="Garamond" w:hAnsi="Garamond" w:cs="Garamond"/>
          <w:spacing w:val="-11"/>
        </w:rPr>
        <w:t xml:space="preserve"> </w:t>
      </w:r>
      <w:r>
        <w:rPr>
          <w:rFonts w:ascii="Garamond" w:hAnsi="Garamond" w:cs="Garamond"/>
        </w:rPr>
        <w:t>for</w:t>
      </w:r>
      <w:r>
        <w:rPr>
          <w:rFonts w:ascii="Garamond" w:hAnsi="Garamond" w:cs="Garamond"/>
          <w:spacing w:val="-7"/>
        </w:rPr>
        <w:t xml:space="preserve"> </w:t>
      </w:r>
      <w:r>
        <w:rPr>
          <w:rFonts w:ascii="Garamond" w:hAnsi="Garamond" w:cs="Garamond"/>
        </w:rPr>
        <w:t>children</w:t>
      </w:r>
      <w:r>
        <w:rPr>
          <w:rFonts w:ascii="Garamond" w:hAnsi="Garamond" w:cs="Garamond"/>
          <w:spacing w:val="-8"/>
        </w:rPr>
        <w:t xml:space="preserve"> </w:t>
      </w:r>
      <w:r>
        <w:rPr>
          <w:rFonts w:ascii="Garamond" w:hAnsi="Garamond" w:cs="Garamond"/>
        </w:rPr>
        <w:t>and youth</w:t>
      </w:r>
      <w:r>
        <w:rPr>
          <w:rFonts w:ascii="Garamond" w:hAnsi="Garamond" w:cs="Garamond"/>
          <w:spacing w:val="-10"/>
        </w:rPr>
        <w:t xml:space="preserve"> </w:t>
      </w:r>
      <w:r>
        <w:rPr>
          <w:rFonts w:ascii="Garamond" w:hAnsi="Garamond" w:cs="Garamond"/>
        </w:rPr>
        <w:t>MassHealth</w:t>
      </w:r>
      <w:r>
        <w:rPr>
          <w:rFonts w:ascii="Garamond" w:hAnsi="Garamond" w:cs="Garamond"/>
          <w:spacing w:val="-10"/>
        </w:rPr>
        <w:t xml:space="preserve"> </w:t>
      </w:r>
      <w:r>
        <w:rPr>
          <w:rFonts w:ascii="Garamond" w:hAnsi="Garamond" w:cs="Garamond"/>
        </w:rPr>
        <w:t>members</w:t>
      </w:r>
      <w:r>
        <w:rPr>
          <w:rFonts w:ascii="Garamond" w:hAnsi="Garamond" w:cs="Garamond"/>
          <w:spacing w:val="-12"/>
        </w:rPr>
        <w:t xml:space="preserve"> </w:t>
      </w:r>
      <w:r>
        <w:rPr>
          <w:rFonts w:ascii="Garamond" w:hAnsi="Garamond" w:cs="Garamond"/>
        </w:rPr>
        <w:t>and</w:t>
      </w:r>
      <w:r>
        <w:rPr>
          <w:rFonts w:ascii="Garamond" w:hAnsi="Garamond" w:cs="Garamond"/>
          <w:spacing w:val="-8"/>
        </w:rPr>
        <w:t xml:space="preserve"> </w:t>
      </w:r>
      <w:r>
        <w:rPr>
          <w:rFonts w:ascii="Garamond" w:hAnsi="Garamond" w:cs="Garamond"/>
        </w:rPr>
        <w:t>their</w:t>
      </w:r>
      <w:r>
        <w:rPr>
          <w:rFonts w:ascii="Garamond" w:hAnsi="Garamond" w:cs="Garamond"/>
          <w:spacing w:val="-10"/>
        </w:rPr>
        <w:t xml:space="preserve"> </w:t>
      </w:r>
      <w:r>
        <w:rPr>
          <w:rFonts w:ascii="Garamond" w:hAnsi="Garamond" w:cs="Garamond"/>
        </w:rPr>
        <w:t>families.</w:t>
      </w:r>
    </w:p>
    <w:p w:rsidR="002C5025" w:rsidRDefault="002C5025">
      <w:pPr>
        <w:pStyle w:val="BodyText"/>
        <w:kinsoku w:val="0"/>
        <w:overflowPunct w:val="0"/>
        <w:spacing w:before="10"/>
        <w:rPr>
          <w:rFonts w:ascii="Garamond" w:hAnsi="Garamond" w:cs="Garamond"/>
          <w:sz w:val="21"/>
          <w:szCs w:val="21"/>
        </w:rPr>
      </w:pPr>
    </w:p>
    <w:p w:rsidR="002C5025" w:rsidRDefault="002C5025">
      <w:pPr>
        <w:pStyle w:val="BodyText"/>
        <w:kinsoku w:val="0"/>
        <w:overflowPunct w:val="0"/>
        <w:ind w:left="118" w:right="139" w:firstLine="1"/>
        <w:rPr>
          <w:rFonts w:ascii="Garamond" w:hAnsi="Garamond" w:cs="Garamond"/>
        </w:rPr>
      </w:pPr>
      <w:r>
        <w:rPr>
          <w:rFonts w:ascii="Garamond" w:hAnsi="Garamond" w:cs="Garamond"/>
        </w:rPr>
        <w:t xml:space="preserve">The Waiver Request requires Behavioral Health </w:t>
      </w:r>
      <w:r>
        <w:rPr>
          <w:rFonts w:ascii="Garamond" w:hAnsi="Garamond" w:cs="Garamond"/>
          <w:spacing w:val="-3"/>
        </w:rPr>
        <w:t xml:space="preserve">Community </w:t>
      </w:r>
      <w:r>
        <w:rPr>
          <w:rFonts w:ascii="Garamond" w:hAnsi="Garamond" w:cs="Garamond"/>
        </w:rPr>
        <w:t xml:space="preserve">Partners to either be a Community Service Agency (CSA) or have contracts with </w:t>
      </w:r>
      <w:r>
        <w:rPr>
          <w:rFonts w:ascii="Garamond" w:hAnsi="Garamond" w:cs="Garamond"/>
          <w:spacing w:val="-3"/>
        </w:rPr>
        <w:t xml:space="preserve">CSAs </w:t>
      </w:r>
      <w:r>
        <w:rPr>
          <w:rFonts w:ascii="Garamond" w:hAnsi="Garamond" w:cs="Garamond"/>
        </w:rPr>
        <w:t xml:space="preserve">to provide behavioral health services to children (34). We appreciate that MassHealth acknowledges the importance of </w:t>
      </w:r>
      <w:r>
        <w:rPr>
          <w:rFonts w:ascii="Garamond" w:hAnsi="Garamond" w:cs="Garamond"/>
          <w:spacing w:val="-3"/>
        </w:rPr>
        <w:t xml:space="preserve">CBHI </w:t>
      </w:r>
      <w:r>
        <w:rPr>
          <w:rFonts w:ascii="Garamond" w:hAnsi="Garamond" w:cs="Garamond"/>
        </w:rPr>
        <w:t xml:space="preserve">services for children and youth delivered through CSAs, </w:t>
      </w:r>
      <w:r>
        <w:rPr>
          <w:rFonts w:ascii="Garamond" w:hAnsi="Garamond" w:cs="Garamond"/>
          <w:spacing w:val="-3"/>
        </w:rPr>
        <w:t xml:space="preserve">and </w:t>
      </w:r>
      <w:r>
        <w:rPr>
          <w:rFonts w:ascii="Garamond" w:hAnsi="Garamond" w:cs="Garamond"/>
        </w:rPr>
        <w:t xml:space="preserve">we urge you to ensure that families maintain the ability to choose behavioral health providers outside the </w:t>
      </w:r>
      <w:r>
        <w:rPr>
          <w:rFonts w:ascii="Garamond" w:hAnsi="Garamond" w:cs="Garamond"/>
          <w:spacing w:val="-3"/>
        </w:rPr>
        <w:t xml:space="preserve">CSAs </w:t>
      </w:r>
      <w:r>
        <w:rPr>
          <w:rFonts w:ascii="Garamond" w:hAnsi="Garamond" w:cs="Garamond"/>
        </w:rPr>
        <w:t>who can provide the full range of services needed.</w:t>
      </w:r>
    </w:p>
    <w:p w:rsidR="002C5025" w:rsidRDefault="002C5025">
      <w:pPr>
        <w:pStyle w:val="BodyText"/>
        <w:kinsoku w:val="0"/>
        <w:overflowPunct w:val="0"/>
        <w:spacing w:before="1"/>
        <w:rPr>
          <w:rFonts w:ascii="Garamond" w:hAnsi="Garamond" w:cs="Garamond"/>
        </w:rPr>
      </w:pPr>
    </w:p>
    <w:p w:rsidR="002C5025" w:rsidRDefault="002C5025">
      <w:pPr>
        <w:pStyle w:val="BodyText"/>
        <w:kinsoku w:val="0"/>
        <w:overflowPunct w:val="0"/>
        <w:ind w:left="115" w:right="72" w:firstLine="3"/>
        <w:rPr>
          <w:rFonts w:ascii="Garamond" w:hAnsi="Garamond" w:cs="Garamond"/>
          <w:spacing w:val="-3"/>
        </w:rPr>
      </w:pPr>
      <w:r>
        <w:rPr>
          <w:rFonts w:ascii="Garamond" w:hAnsi="Garamond" w:cs="Garamond"/>
        </w:rPr>
        <w:t xml:space="preserve">A significant portion of necessary services provided to children with behavioral health needs may not currently be reimbursed by MassHealth, an experience </w:t>
      </w:r>
      <w:r>
        <w:rPr>
          <w:rFonts w:ascii="Garamond" w:hAnsi="Garamond" w:cs="Garamond"/>
          <w:spacing w:val="-4"/>
        </w:rPr>
        <w:t xml:space="preserve">echoed </w:t>
      </w:r>
      <w:r>
        <w:rPr>
          <w:rFonts w:ascii="Garamond" w:hAnsi="Garamond" w:cs="Garamond"/>
        </w:rPr>
        <w:t xml:space="preserve">for some adults with serious mental illness, substance use disorders </w:t>
      </w:r>
      <w:r>
        <w:rPr>
          <w:rFonts w:ascii="Garamond" w:hAnsi="Garamond" w:cs="Garamond"/>
          <w:spacing w:val="-3"/>
        </w:rPr>
        <w:t xml:space="preserve">and </w:t>
      </w:r>
      <w:r>
        <w:rPr>
          <w:rFonts w:ascii="Garamond" w:hAnsi="Garamond" w:cs="Garamond"/>
        </w:rPr>
        <w:t xml:space="preserve">other disabilities. MassHealth and </w:t>
      </w:r>
      <w:r>
        <w:rPr>
          <w:rFonts w:ascii="Garamond" w:hAnsi="Garamond" w:cs="Garamond"/>
          <w:spacing w:val="-3"/>
        </w:rPr>
        <w:t xml:space="preserve">ACOs </w:t>
      </w:r>
      <w:r>
        <w:rPr>
          <w:rFonts w:ascii="Garamond" w:hAnsi="Garamond" w:cs="Garamond"/>
        </w:rPr>
        <w:t xml:space="preserve">themselves should develop </w:t>
      </w:r>
      <w:r>
        <w:rPr>
          <w:rFonts w:ascii="Garamond" w:hAnsi="Garamond" w:cs="Garamond"/>
          <w:spacing w:val="-3"/>
        </w:rPr>
        <w:t xml:space="preserve">partnerships </w:t>
      </w:r>
      <w:r>
        <w:rPr>
          <w:rFonts w:ascii="Garamond" w:hAnsi="Garamond" w:cs="Garamond"/>
        </w:rPr>
        <w:t xml:space="preserve">and closely coordinate with the Departments of </w:t>
      </w:r>
      <w:r>
        <w:rPr>
          <w:rFonts w:ascii="Garamond" w:hAnsi="Garamond" w:cs="Garamond"/>
          <w:spacing w:val="-3"/>
        </w:rPr>
        <w:t xml:space="preserve">Children </w:t>
      </w:r>
      <w:r>
        <w:rPr>
          <w:rFonts w:ascii="Garamond" w:hAnsi="Garamond" w:cs="Garamond"/>
        </w:rPr>
        <w:t xml:space="preserve">and Families (DCF), Mental Health (DMH), Developmental Services (DDS), Elementary and Secondary Education (DESE), Public Health (DPH), </w:t>
      </w:r>
      <w:r>
        <w:rPr>
          <w:rFonts w:ascii="Garamond" w:hAnsi="Garamond" w:cs="Garamond"/>
          <w:spacing w:val="-3"/>
        </w:rPr>
        <w:t xml:space="preserve">and </w:t>
      </w:r>
      <w:r>
        <w:rPr>
          <w:rFonts w:ascii="Garamond" w:hAnsi="Garamond" w:cs="Garamond"/>
        </w:rPr>
        <w:t xml:space="preserve">other </w:t>
      </w:r>
      <w:r>
        <w:rPr>
          <w:rFonts w:ascii="Garamond" w:hAnsi="Garamond" w:cs="Garamond"/>
          <w:spacing w:val="-3"/>
        </w:rPr>
        <w:t xml:space="preserve">non-billing </w:t>
      </w:r>
      <w:r>
        <w:rPr>
          <w:rFonts w:ascii="Garamond" w:hAnsi="Garamond" w:cs="Garamond"/>
        </w:rPr>
        <w:t xml:space="preserve">behavioral health providers. Ultimately, the question to tackle is how MassHealth </w:t>
      </w:r>
      <w:r>
        <w:rPr>
          <w:rFonts w:ascii="Garamond" w:hAnsi="Garamond" w:cs="Garamond"/>
          <w:spacing w:val="-3"/>
        </w:rPr>
        <w:t xml:space="preserve">can </w:t>
      </w:r>
      <w:r>
        <w:rPr>
          <w:rFonts w:ascii="Garamond" w:hAnsi="Garamond" w:cs="Garamond"/>
        </w:rPr>
        <w:t xml:space="preserve">encourage ACO collaboration and develop systems to hold these </w:t>
      </w:r>
      <w:r>
        <w:rPr>
          <w:rFonts w:ascii="Garamond" w:hAnsi="Garamond" w:cs="Garamond"/>
          <w:spacing w:val="-3"/>
        </w:rPr>
        <w:t xml:space="preserve">agencies accountable </w:t>
      </w:r>
      <w:r>
        <w:rPr>
          <w:rFonts w:ascii="Garamond" w:hAnsi="Garamond" w:cs="Garamond"/>
        </w:rPr>
        <w:t xml:space="preserve">for helping to care </w:t>
      </w:r>
      <w:r>
        <w:rPr>
          <w:rFonts w:ascii="Garamond" w:hAnsi="Garamond" w:cs="Garamond"/>
          <w:spacing w:val="-3"/>
        </w:rPr>
        <w:t xml:space="preserve">for </w:t>
      </w:r>
      <w:r>
        <w:rPr>
          <w:rFonts w:ascii="Garamond" w:hAnsi="Garamond" w:cs="Garamond"/>
        </w:rPr>
        <w:t xml:space="preserve">children and </w:t>
      </w:r>
      <w:r>
        <w:rPr>
          <w:rFonts w:ascii="Garamond" w:hAnsi="Garamond" w:cs="Garamond"/>
          <w:spacing w:val="-3"/>
        </w:rPr>
        <w:t xml:space="preserve">youth </w:t>
      </w:r>
      <w:r>
        <w:rPr>
          <w:rFonts w:ascii="Garamond" w:hAnsi="Garamond" w:cs="Garamond"/>
        </w:rPr>
        <w:t>with complex needs</w:t>
      </w:r>
      <w:r>
        <w:rPr>
          <w:rFonts w:ascii="Garamond" w:hAnsi="Garamond" w:cs="Garamond"/>
          <w:spacing w:val="-3"/>
        </w:rPr>
        <w:t xml:space="preserve"> who </w:t>
      </w:r>
      <w:r>
        <w:rPr>
          <w:rFonts w:ascii="Garamond" w:hAnsi="Garamond" w:cs="Garamond"/>
        </w:rPr>
        <w:t xml:space="preserve">are attributed to an </w:t>
      </w:r>
      <w:r>
        <w:rPr>
          <w:rFonts w:ascii="Garamond" w:hAnsi="Garamond" w:cs="Garamond"/>
          <w:spacing w:val="-3"/>
        </w:rPr>
        <w:t>ACO.</w:t>
      </w:r>
    </w:p>
    <w:p w:rsidR="002C5025" w:rsidRDefault="002C5025">
      <w:pPr>
        <w:pStyle w:val="BodyText"/>
        <w:kinsoku w:val="0"/>
        <w:overflowPunct w:val="0"/>
        <w:spacing w:before="5"/>
        <w:rPr>
          <w:rFonts w:ascii="Garamond" w:hAnsi="Garamond" w:cs="Garamond"/>
        </w:rPr>
      </w:pPr>
    </w:p>
    <w:p w:rsidR="002C5025" w:rsidRDefault="002C5025">
      <w:pPr>
        <w:pStyle w:val="BodyText"/>
        <w:kinsoku w:val="0"/>
        <w:overflowPunct w:val="0"/>
        <w:spacing w:before="1" w:line="244" w:lineRule="exact"/>
        <w:ind w:left="120" w:right="814"/>
        <w:rPr>
          <w:rFonts w:ascii="Garamond" w:hAnsi="Garamond" w:cs="Garamond"/>
          <w:i/>
          <w:iCs/>
        </w:rPr>
      </w:pPr>
      <w:r>
        <w:rPr>
          <w:rFonts w:ascii="Garamond" w:hAnsi="Garamond" w:cs="Garamond"/>
          <w:i/>
          <w:iCs/>
        </w:rPr>
        <w:t>Recovery Model and Peer Supports</w:t>
      </w:r>
    </w:p>
    <w:p w:rsidR="002C5025" w:rsidRDefault="002C5025">
      <w:pPr>
        <w:pStyle w:val="BodyText"/>
        <w:kinsoku w:val="0"/>
        <w:overflowPunct w:val="0"/>
        <w:ind w:left="117" w:right="267" w:firstLine="2"/>
        <w:rPr>
          <w:rFonts w:ascii="Garamond" w:hAnsi="Garamond" w:cs="Garamond"/>
          <w:position w:val="5"/>
          <w:sz w:val="14"/>
          <w:szCs w:val="14"/>
        </w:rPr>
      </w:pPr>
      <w:r>
        <w:rPr>
          <w:rFonts w:ascii="Garamond" w:hAnsi="Garamond" w:cs="Garamond"/>
        </w:rPr>
        <w:t xml:space="preserve">We are encouraged by MassHealth’s recognition of the importance </w:t>
      </w:r>
      <w:r>
        <w:rPr>
          <w:rFonts w:ascii="Garamond" w:hAnsi="Garamond" w:cs="Garamond"/>
          <w:spacing w:val="-3"/>
        </w:rPr>
        <w:t xml:space="preserve">of </w:t>
      </w:r>
      <w:r>
        <w:rPr>
          <w:rFonts w:ascii="Garamond" w:hAnsi="Garamond" w:cs="Garamond"/>
        </w:rPr>
        <w:t xml:space="preserve">recovery supports. ACOs should partner with organizations to deliver recovery coaching </w:t>
      </w:r>
      <w:r>
        <w:rPr>
          <w:rFonts w:ascii="Garamond" w:hAnsi="Garamond" w:cs="Garamond"/>
          <w:spacing w:val="-3"/>
        </w:rPr>
        <w:t xml:space="preserve">and </w:t>
      </w:r>
      <w:r>
        <w:rPr>
          <w:rFonts w:ascii="Garamond" w:hAnsi="Garamond" w:cs="Garamond"/>
        </w:rPr>
        <w:t xml:space="preserve">peer supports and services provided by peer support workers, certified peer specialists, </w:t>
      </w:r>
      <w:r>
        <w:rPr>
          <w:rFonts w:ascii="Garamond" w:hAnsi="Garamond" w:cs="Garamond"/>
          <w:spacing w:val="-3"/>
        </w:rPr>
        <w:t xml:space="preserve">recovery </w:t>
      </w:r>
      <w:r>
        <w:rPr>
          <w:rFonts w:ascii="Garamond" w:hAnsi="Garamond" w:cs="Garamond"/>
        </w:rPr>
        <w:t xml:space="preserve">learning communities, and licensed alcohol and drug counselors. Peer supports </w:t>
      </w:r>
      <w:r>
        <w:rPr>
          <w:rFonts w:ascii="Garamond" w:hAnsi="Garamond" w:cs="Garamond"/>
          <w:spacing w:val="-3"/>
        </w:rPr>
        <w:t xml:space="preserve">provide </w:t>
      </w:r>
      <w:r>
        <w:rPr>
          <w:rFonts w:ascii="Garamond" w:hAnsi="Garamond" w:cs="Garamond"/>
        </w:rPr>
        <w:t xml:space="preserve">a unique and important role in the delivery of behavioral health care </w:t>
      </w:r>
      <w:r>
        <w:rPr>
          <w:rFonts w:ascii="Garamond" w:hAnsi="Garamond" w:cs="Garamond"/>
          <w:spacing w:val="-3"/>
        </w:rPr>
        <w:t xml:space="preserve">and </w:t>
      </w:r>
      <w:r>
        <w:rPr>
          <w:rFonts w:ascii="Garamond" w:hAnsi="Garamond" w:cs="Garamond"/>
        </w:rPr>
        <w:t xml:space="preserve">can enhance the care </w:t>
      </w:r>
      <w:r>
        <w:rPr>
          <w:rFonts w:ascii="Garamond" w:hAnsi="Garamond" w:cs="Garamond"/>
          <w:spacing w:val="-3"/>
        </w:rPr>
        <w:t xml:space="preserve">and </w:t>
      </w:r>
      <w:r>
        <w:rPr>
          <w:rFonts w:ascii="Garamond" w:hAnsi="Garamond" w:cs="Garamond"/>
        </w:rPr>
        <w:t xml:space="preserve">long-term success provided in integrated settings. Peer support services </w:t>
      </w:r>
      <w:r>
        <w:rPr>
          <w:rFonts w:ascii="Garamond" w:hAnsi="Garamond" w:cs="Garamond"/>
          <w:spacing w:val="-2"/>
        </w:rPr>
        <w:t xml:space="preserve">are </w:t>
      </w:r>
      <w:r>
        <w:rPr>
          <w:rFonts w:ascii="Garamond" w:hAnsi="Garamond" w:cs="Garamond"/>
        </w:rPr>
        <w:t xml:space="preserve">delivered by individuals </w:t>
      </w:r>
      <w:r>
        <w:rPr>
          <w:rFonts w:ascii="Garamond" w:hAnsi="Garamond" w:cs="Garamond"/>
          <w:spacing w:val="-3"/>
        </w:rPr>
        <w:t xml:space="preserve">who </w:t>
      </w:r>
      <w:r>
        <w:rPr>
          <w:rFonts w:ascii="Garamond" w:hAnsi="Garamond" w:cs="Garamond"/>
        </w:rPr>
        <w:t xml:space="preserve">have </w:t>
      </w:r>
      <w:r>
        <w:rPr>
          <w:rFonts w:ascii="Garamond" w:hAnsi="Garamond" w:cs="Garamond"/>
          <w:spacing w:val="-3"/>
        </w:rPr>
        <w:t xml:space="preserve">common </w:t>
      </w:r>
      <w:r>
        <w:rPr>
          <w:rFonts w:ascii="Garamond" w:hAnsi="Garamond" w:cs="Garamond"/>
        </w:rPr>
        <w:t xml:space="preserve">life experiences with the </w:t>
      </w:r>
      <w:r>
        <w:rPr>
          <w:rFonts w:ascii="Garamond" w:hAnsi="Garamond" w:cs="Garamond"/>
          <w:spacing w:val="-3"/>
        </w:rPr>
        <w:t xml:space="preserve">people </w:t>
      </w:r>
      <w:r>
        <w:rPr>
          <w:rFonts w:ascii="Garamond" w:hAnsi="Garamond" w:cs="Garamond"/>
        </w:rPr>
        <w:t xml:space="preserve">they are serving. Studies have shown </w:t>
      </w:r>
      <w:r>
        <w:rPr>
          <w:rFonts w:ascii="Garamond" w:hAnsi="Garamond" w:cs="Garamond"/>
          <w:spacing w:val="-3"/>
        </w:rPr>
        <w:t xml:space="preserve">that </w:t>
      </w:r>
      <w:r>
        <w:rPr>
          <w:rFonts w:ascii="Garamond" w:hAnsi="Garamond" w:cs="Garamond"/>
        </w:rPr>
        <w:t xml:space="preserve">the use of peers may reduce costs and improve health outcomes, including decreased hospitalizations, improved quality of life, </w:t>
      </w:r>
      <w:r>
        <w:rPr>
          <w:rFonts w:ascii="Garamond" w:hAnsi="Garamond" w:cs="Garamond"/>
          <w:spacing w:val="-3"/>
        </w:rPr>
        <w:t xml:space="preserve">and </w:t>
      </w:r>
      <w:r>
        <w:rPr>
          <w:rFonts w:ascii="Garamond" w:hAnsi="Garamond" w:cs="Garamond"/>
        </w:rPr>
        <w:t>reduction of the number of major life problems.</w:t>
      </w:r>
      <w:r>
        <w:rPr>
          <w:rFonts w:ascii="Garamond" w:hAnsi="Garamond" w:cs="Garamond"/>
          <w:position w:val="5"/>
          <w:sz w:val="14"/>
          <w:szCs w:val="14"/>
        </w:rPr>
        <w:t>30</w:t>
      </w:r>
    </w:p>
    <w:p w:rsidR="002C5025" w:rsidRDefault="002C5025">
      <w:pPr>
        <w:pStyle w:val="BodyText"/>
        <w:kinsoku w:val="0"/>
        <w:overflowPunct w:val="0"/>
        <w:spacing w:before="10"/>
        <w:rPr>
          <w:rFonts w:ascii="Garamond" w:hAnsi="Garamond" w:cs="Garamond"/>
          <w:sz w:val="21"/>
          <w:szCs w:val="21"/>
        </w:rPr>
      </w:pPr>
    </w:p>
    <w:p w:rsidR="002C5025" w:rsidRDefault="002C5025">
      <w:pPr>
        <w:pStyle w:val="BodyText"/>
        <w:kinsoku w:val="0"/>
        <w:overflowPunct w:val="0"/>
        <w:ind w:left="119" w:right="118"/>
        <w:rPr>
          <w:rFonts w:ascii="Garamond" w:hAnsi="Garamond" w:cs="Garamond"/>
        </w:rPr>
      </w:pPr>
      <w:r>
        <w:rPr>
          <w:rFonts w:ascii="Garamond" w:hAnsi="Garamond" w:cs="Garamond"/>
        </w:rPr>
        <w:t xml:space="preserve">Peers also play an important role in increasing access as they have the potential to </w:t>
      </w:r>
      <w:r>
        <w:rPr>
          <w:rFonts w:ascii="Garamond" w:hAnsi="Garamond" w:cs="Garamond"/>
          <w:spacing w:val="-3"/>
        </w:rPr>
        <w:t xml:space="preserve">reach </w:t>
      </w:r>
      <w:r>
        <w:rPr>
          <w:rFonts w:ascii="Garamond" w:hAnsi="Garamond" w:cs="Garamond"/>
        </w:rPr>
        <w:t xml:space="preserve">individuals </w:t>
      </w:r>
      <w:r>
        <w:rPr>
          <w:rFonts w:ascii="Garamond" w:hAnsi="Garamond" w:cs="Garamond"/>
          <w:spacing w:val="-3"/>
        </w:rPr>
        <w:t xml:space="preserve">who </w:t>
      </w:r>
      <w:r>
        <w:rPr>
          <w:rFonts w:ascii="Garamond" w:hAnsi="Garamond" w:cs="Garamond"/>
        </w:rPr>
        <w:t>may not otherwise receive care, especially behavioral health care, and are viewed as more credible by some individuals. The use of peers may also reduce the overall need for behavioral health services over time.</w:t>
      </w:r>
    </w:p>
    <w:p w:rsidR="002C5025" w:rsidRDefault="002C5025">
      <w:pPr>
        <w:pStyle w:val="BodyText"/>
        <w:kinsoku w:val="0"/>
        <w:overflowPunct w:val="0"/>
        <w:ind w:left="118" w:right="16"/>
        <w:rPr>
          <w:rFonts w:ascii="Garamond" w:hAnsi="Garamond" w:cs="Garamond"/>
        </w:rPr>
      </w:pPr>
      <w:r>
        <w:rPr>
          <w:rFonts w:ascii="Garamond" w:hAnsi="Garamond" w:cs="Garamond"/>
        </w:rPr>
        <w:t>Twenty-two states provide reimbursement for peer support through their Medicaid programs. Today, MassHealth reimburses for Family Support and Training as part of the Children’s Behavioral Health Initiative (CBHI), which provides linkages to community resources and a one-to-one relationship between a Family</w:t>
      </w:r>
    </w:p>
    <w:p w:rsidR="002C5025" w:rsidRDefault="002C5025">
      <w:pPr>
        <w:pStyle w:val="BodyText"/>
        <w:kinsoku w:val="0"/>
        <w:overflowPunct w:val="0"/>
        <w:rPr>
          <w:rFonts w:ascii="Garamond" w:hAnsi="Garamond" w:cs="Garamond"/>
          <w:sz w:val="20"/>
          <w:szCs w:val="20"/>
        </w:rPr>
      </w:pPr>
    </w:p>
    <w:p w:rsidR="002C5025" w:rsidRDefault="00FB027C">
      <w:pPr>
        <w:pStyle w:val="BodyText"/>
        <w:kinsoku w:val="0"/>
        <w:overflowPunct w:val="0"/>
        <w:spacing w:before="2"/>
        <w:rPr>
          <w:rFonts w:ascii="Garamond" w:hAnsi="Garamond" w:cs="Garamond"/>
          <w:sz w:val="21"/>
          <w:szCs w:val="21"/>
        </w:rPr>
      </w:pPr>
      <w:r>
        <w:rPr>
          <w:noProof/>
        </w:rPr>
        <mc:AlternateContent>
          <mc:Choice Requires="wps">
            <w:drawing>
              <wp:anchor distT="0" distB="0" distL="0" distR="0" simplePos="0" relativeHeight="251663872" behindDoc="0" locked="0" layoutInCell="0" allowOverlap="1">
                <wp:simplePos x="0" y="0"/>
                <wp:positionH relativeFrom="page">
                  <wp:posOffset>923925</wp:posOffset>
                </wp:positionH>
                <wp:positionV relativeFrom="paragraph">
                  <wp:posOffset>181610</wp:posOffset>
                </wp:positionV>
                <wp:extent cx="1829435" cy="12700"/>
                <wp:effectExtent l="0" t="0" r="0" b="0"/>
                <wp:wrapTopAndBottom/>
                <wp:docPr id="555" name="Freeform 4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1 w 2881"/>
                            <a:gd name="T3" fmla="*/ 0 h 20"/>
                          </a:gdLst>
                          <a:ahLst/>
                          <a:cxnLst>
                            <a:cxn ang="0">
                              <a:pos x="T0" y="T1"/>
                            </a:cxn>
                            <a:cxn ang="0">
                              <a:pos x="T2" y="T3"/>
                            </a:cxn>
                          </a:cxnLst>
                          <a:rect l="0" t="0" r="r" b="b"/>
                          <a:pathLst>
                            <a:path w="2881" h="20">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70" o:spid="_x0000_s1026" style="position:absolute;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2.75pt,14.3pt,216.8pt,14.3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" o:allowincell="f" filled="f" strokeweight=".82pt">
                <v:path arrowok="t" o:connecttype="custom" o:connectlocs="0,0;1829435,0" o:connectangles="0,0"/>
                <w10:wrap type="topAndBottom" anchorx="page"/>
              </v:polyline>
            </w:pict>
          </mc:Fallback>
        </mc:AlternateContent>
      </w:r>
    </w:p>
    <w:p w:rsidR="002C5025" w:rsidRDefault="002C5025">
      <w:pPr>
        <w:pStyle w:val="BodyText"/>
        <w:kinsoku w:val="0"/>
        <w:overflowPunct w:val="0"/>
        <w:spacing w:before="72" w:line="273" w:lineRule="auto"/>
        <w:ind w:left="120" w:right="160"/>
        <w:rPr>
          <w:rFonts w:ascii="Garamond" w:hAnsi="Garamond" w:cs="Garamond"/>
          <w:sz w:val="20"/>
          <w:szCs w:val="20"/>
        </w:rPr>
      </w:pPr>
      <w:r>
        <w:rPr>
          <w:rFonts w:ascii="Garamond" w:hAnsi="Garamond" w:cs="Garamond"/>
          <w:position w:val="5"/>
          <w:sz w:val="13"/>
          <w:szCs w:val="13"/>
        </w:rPr>
        <w:t>29</w:t>
      </w:r>
      <w:r>
        <w:rPr>
          <w:rFonts w:ascii="Garamond" w:hAnsi="Garamond" w:cs="Garamond"/>
          <w:spacing w:val="8"/>
          <w:position w:val="5"/>
          <w:sz w:val="13"/>
          <w:szCs w:val="13"/>
        </w:rPr>
        <w:t xml:space="preserve"> </w:t>
      </w:r>
      <w:proofErr w:type="spellStart"/>
      <w:r>
        <w:rPr>
          <w:rFonts w:ascii="Garamond" w:hAnsi="Garamond" w:cs="Garamond"/>
          <w:sz w:val="20"/>
          <w:szCs w:val="20"/>
        </w:rPr>
        <w:t>Fendell</w:t>
      </w:r>
      <w:proofErr w:type="spellEnd"/>
      <w:r>
        <w:rPr>
          <w:rFonts w:ascii="Garamond" w:hAnsi="Garamond" w:cs="Garamond"/>
          <w:sz w:val="20"/>
          <w:szCs w:val="20"/>
        </w:rPr>
        <w:t>,</w:t>
      </w:r>
      <w:r>
        <w:rPr>
          <w:rFonts w:ascii="Garamond" w:hAnsi="Garamond" w:cs="Garamond"/>
          <w:spacing w:val="-12"/>
          <w:sz w:val="20"/>
          <w:szCs w:val="20"/>
        </w:rPr>
        <w:t xml:space="preserve"> </w:t>
      </w:r>
      <w:r>
        <w:rPr>
          <w:rFonts w:ascii="Garamond" w:hAnsi="Garamond" w:cs="Garamond"/>
          <w:sz w:val="20"/>
          <w:szCs w:val="20"/>
        </w:rPr>
        <w:t>S.</w:t>
      </w:r>
      <w:r>
        <w:rPr>
          <w:rFonts w:ascii="Garamond" w:hAnsi="Garamond" w:cs="Garamond"/>
          <w:spacing w:val="-9"/>
          <w:sz w:val="20"/>
          <w:szCs w:val="20"/>
        </w:rPr>
        <w:t xml:space="preserve"> </w:t>
      </w:r>
      <w:r>
        <w:rPr>
          <w:rFonts w:ascii="Garamond" w:hAnsi="Garamond" w:cs="Garamond"/>
          <w:sz w:val="20"/>
          <w:szCs w:val="20"/>
        </w:rPr>
        <w:t>(2014).</w:t>
      </w:r>
      <w:r>
        <w:rPr>
          <w:rFonts w:ascii="Garamond" w:hAnsi="Garamond" w:cs="Garamond"/>
          <w:spacing w:val="-9"/>
          <w:sz w:val="20"/>
          <w:szCs w:val="20"/>
        </w:rPr>
        <w:t xml:space="preserve"> </w:t>
      </w:r>
      <w:r>
        <w:rPr>
          <w:rFonts w:ascii="Garamond" w:hAnsi="Garamond" w:cs="Garamond"/>
          <w:sz w:val="20"/>
          <w:szCs w:val="20"/>
        </w:rPr>
        <w:t>The</w:t>
      </w:r>
      <w:r>
        <w:rPr>
          <w:rFonts w:ascii="Garamond" w:hAnsi="Garamond" w:cs="Garamond"/>
          <w:spacing w:val="-8"/>
          <w:sz w:val="20"/>
          <w:szCs w:val="20"/>
        </w:rPr>
        <w:t xml:space="preserve"> </w:t>
      </w:r>
      <w:r>
        <w:rPr>
          <w:rFonts w:ascii="Garamond" w:hAnsi="Garamond" w:cs="Garamond"/>
          <w:sz w:val="20"/>
          <w:szCs w:val="20"/>
        </w:rPr>
        <w:t>Unintended</w:t>
      </w:r>
      <w:r>
        <w:rPr>
          <w:rFonts w:ascii="Garamond" w:hAnsi="Garamond" w:cs="Garamond"/>
          <w:spacing w:val="-8"/>
          <w:sz w:val="20"/>
          <w:szCs w:val="20"/>
        </w:rPr>
        <w:t xml:space="preserve"> </w:t>
      </w:r>
      <w:r>
        <w:rPr>
          <w:rFonts w:ascii="Garamond" w:hAnsi="Garamond" w:cs="Garamond"/>
          <w:sz w:val="20"/>
          <w:szCs w:val="20"/>
        </w:rPr>
        <w:t>Results</w:t>
      </w:r>
      <w:r>
        <w:rPr>
          <w:rFonts w:ascii="Garamond" w:hAnsi="Garamond" w:cs="Garamond"/>
          <w:spacing w:val="-12"/>
          <w:sz w:val="20"/>
          <w:szCs w:val="20"/>
        </w:rPr>
        <w:t xml:space="preserve"> </w:t>
      </w:r>
      <w:r>
        <w:rPr>
          <w:rFonts w:ascii="Garamond" w:hAnsi="Garamond" w:cs="Garamond"/>
          <w:sz w:val="20"/>
          <w:szCs w:val="20"/>
        </w:rPr>
        <w:t>of</w:t>
      </w:r>
      <w:r>
        <w:rPr>
          <w:rFonts w:ascii="Garamond" w:hAnsi="Garamond" w:cs="Garamond"/>
          <w:spacing w:val="-8"/>
          <w:sz w:val="20"/>
          <w:szCs w:val="20"/>
        </w:rPr>
        <w:t xml:space="preserve"> </w:t>
      </w:r>
      <w:r>
        <w:rPr>
          <w:rFonts w:ascii="Garamond" w:hAnsi="Garamond" w:cs="Garamond"/>
          <w:sz w:val="20"/>
          <w:szCs w:val="20"/>
        </w:rPr>
        <w:t>Payment</w:t>
      </w:r>
      <w:r>
        <w:rPr>
          <w:rFonts w:ascii="Garamond" w:hAnsi="Garamond" w:cs="Garamond"/>
          <w:spacing w:val="-12"/>
          <w:sz w:val="20"/>
          <w:szCs w:val="20"/>
        </w:rPr>
        <w:t xml:space="preserve"> </w:t>
      </w:r>
      <w:r>
        <w:rPr>
          <w:rFonts w:ascii="Garamond" w:hAnsi="Garamond" w:cs="Garamond"/>
          <w:sz w:val="20"/>
          <w:szCs w:val="20"/>
        </w:rPr>
        <w:t>Reform</w:t>
      </w:r>
      <w:r>
        <w:rPr>
          <w:rFonts w:ascii="Garamond" w:hAnsi="Garamond" w:cs="Garamond"/>
          <w:spacing w:val="-9"/>
          <w:sz w:val="20"/>
          <w:szCs w:val="20"/>
        </w:rPr>
        <w:t xml:space="preserve"> </w:t>
      </w:r>
      <w:r>
        <w:rPr>
          <w:rFonts w:ascii="Garamond" w:hAnsi="Garamond" w:cs="Garamond"/>
          <w:sz w:val="20"/>
          <w:szCs w:val="20"/>
        </w:rPr>
        <w:t>and</w:t>
      </w:r>
      <w:r>
        <w:rPr>
          <w:rFonts w:ascii="Garamond" w:hAnsi="Garamond" w:cs="Garamond"/>
          <w:spacing w:val="-8"/>
          <w:sz w:val="20"/>
          <w:szCs w:val="20"/>
        </w:rPr>
        <w:t xml:space="preserve"> </w:t>
      </w:r>
      <w:r>
        <w:rPr>
          <w:rFonts w:ascii="Garamond" w:hAnsi="Garamond" w:cs="Garamond"/>
          <w:sz w:val="20"/>
          <w:szCs w:val="20"/>
        </w:rPr>
        <w:t>Electronic</w:t>
      </w:r>
      <w:r>
        <w:rPr>
          <w:rFonts w:ascii="Garamond" w:hAnsi="Garamond" w:cs="Garamond"/>
          <w:spacing w:val="-8"/>
          <w:sz w:val="20"/>
          <w:szCs w:val="20"/>
        </w:rPr>
        <w:t xml:space="preserve"> </w:t>
      </w:r>
      <w:r>
        <w:rPr>
          <w:rFonts w:ascii="Garamond" w:hAnsi="Garamond" w:cs="Garamond"/>
          <w:sz w:val="20"/>
          <w:szCs w:val="20"/>
        </w:rPr>
        <w:t>Medical</w:t>
      </w:r>
      <w:r>
        <w:rPr>
          <w:rFonts w:ascii="Garamond" w:hAnsi="Garamond" w:cs="Garamond"/>
          <w:spacing w:val="-11"/>
          <w:sz w:val="20"/>
          <w:szCs w:val="20"/>
        </w:rPr>
        <w:t xml:space="preserve"> </w:t>
      </w:r>
      <w:r>
        <w:rPr>
          <w:rFonts w:ascii="Garamond" w:hAnsi="Garamond" w:cs="Garamond"/>
          <w:sz w:val="20"/>
          <w:szCs w:val="20"/>
        </w:rPr>
        <w:t>Records,</w:t>
      </w:r>
      <w:r>
        <w:rPr>
          <w:rFonts w:ascii="Garamond" w:hAnsi="Garamond" w:cs="Garamond"/>
          <w:spacing w:val="-9"/>
          <w:sz w:val="20"/>
          <w:szCs w:val="20"/>
        </w:rPr>
        <w:t xml:space="preserve"> </w:t>
      </w:r>
      <w:r>
        <w:rPr>
          <w:rFonts w:ascii="Garamond" w:hAnsi="Garamond" w:cs="Garamond"/>
          <w:i/>
          <w:iCs/>
          <w:sz w:val="20"/>
          <w:szCs w:val="20"/>
        </w:rPr>
        <w:t>Journal</w:t>
      </w:r>
      <w:r>
        <w:rPr>
          <w:rFonts w:ascii="Garamond" w:hAnsi="Garamond" w:cs="Garamond"/>
          <w:i/>
          <w:iCs/>
          <w:spacing w:val="-12"/>
          <w:sz w:val="20"/>
          <w:szCs w:val="20"/>
        </w:rPr>
        <w:t xml:space="preserve"> </w:t>
      </w:r>
      <w:r>
        <w:rPr>
          <w:rFonts w:ascii="Garamond" w:hAnsi="Garamond" w:cs="Garamond"/>
          <w:i/>
          <w:iCs/>
          <w:sz w:val="20"/>
          <w:szCs w:val="20"/>
        </w:rPr>
        <w:t>of</w:t>
      </w:r>
      <w:r>
        <w:rPr>
          <w:rFonts w:ascii="Garamond" w:hAnsi="Garamond" w:cs="Garamond"/>
          <w:i/>
          <w:iCs/>
          <w:spacing w:val="-12"/>
          <w:sz w:val="20"/>
          <w:szCs w:val="20"/>
        </w:rPr>
        <w:t xml:space="preserve"> </w:t>
      </w:r>
      <w:r>
        <w:rPr>
          <w:rFonts w:ascii="Garamond" w:hAnsi="Garamond" w:cs="Garamond"/>
          <w:i/>
          <w:iCs/>
          <w:sz w:val="20"/>
          <w:szCs w:val="20"/>
        </w:rPr>
        <w:t>Health</w:t>
      </w:r>
      <w:r>
        <w:rPr>
          <w:rFonts w:ascii="Garamond" w:hAnsi="Garamond" w:cs="Garamond"/>
          <w:i/>
          <w:iCs/>
          <w:spacing w:val="-8"/>
          <w:sz w:val="20"/>
          <w:szCs w:val="20"/>
        </w:rPr>
        <w:t xml:space="preserve"> </w:t>
      </w:r>
      <w:r>
        <w:rPr>
          <w:rFonts w:ascii="Garamond" w:hAnsi="Garamond" w:cs="Garamond"/>
          <w:i/>
          <w:iCs/>
          <w:sz w:val="20"/>
          <w:szCs w:val="20"/>
        </w:rPr>
        <w:t xml:space="preserve">&amp; Biomedical Law. </w:t>
      </w:r>
      <w:r>
        <w:rPr>
          <w:rFonts w:ascii="Garamond" w:hAnsi="Garamond" w:cs="Garamond"/>
          <w:sz w:val="20"/>
          <w:szCs w:val="20"/>
        </w:rPr>
        <w:t>10:</w:t>
      </w:r>
      <w:r>
        <w:rPr>
          <w:rFonts w:ascii="Garamond" w:hAnsi="Garamond" w:cs="Garamond"/>
          <w:spacing w:val="-34"/>
          <w:sz w:val="20"/>
          <w:szCs w:val="20"/>
        </w:rPr>
        <w:t xml:space="preserve"> </w:t>
      </w:r>
      <w:r>
        <w:rPr>
          <w:rFonts w:ascii="Garamond" w:hAnsi="Garamond" w:cs="Garamond"/>
          <w:sz w:val="20"/>
          <w:szCs w:val="20"/>
        </w:rPr>
        <w:t>173-200.</w:t>
      </w:r>
    </w:p>
    <w:p w:rsidR="002C5025" w:rsidRDefault="002C5025">
      <w:pPr>
        <w:pStyle w:val="BodyText"/>
        <w:kinsoku w:val="0"/>
        <w:overflowPunct w:val="0"/>
        <w:spacing w:before="2"/>
        <w:ind w:left="120" w:right="1684"/>
        <w:rPr>
          <w:rFonts w:ascii="Garamond" w:hAnsi="Garamond" w:cs="Garamond"/>
          <w:color w:val="0000FF"/>
          <w:sz w:val="20"/>
          <w:szCs w:val="20"/>
        </w:rPr>
      </w:pPr>
      <w:r>
        <w:rPr>
          <w:rFonts w:ascii="Garamond" w:hAnsi="Garamond" w:cs="Garamond"/>
          <w:position w:val="5"/>
          <w:sz w:val="13"/>
          <w:szCs w:val="13"/>
        </w:rPr>
        <w:t xml:space="preserve">30 </w:t>
      </w:r>
      <w:r>
        <w:rPr>
          <w:rFonts w:ascii="Garamond" w:hAnsi="Garamond" w:cs="Garamond"/>
          <w:sz w:val="20"/>
          <w:szCs w:val="20"/>
        </w:rPr>
        <w:t xml:space="preserve">National Coalition for Mental Health Recovery (2014). </w:t>
      </w:r>
      <w:r>
        <w:rPr>
          <w:rFonts w:ascii="Garamond" w:hAnsi="Garamond" w:cs="Garamond"/>
          <w:i/>
          <w:iCs/>
          <w:sz w:val="20"/>
          <w:szCs w:val="20"/>
        </w:rPr>
        <w:t xml:space="preserve">Peer Support: Why It Works. </w:t>
      </w:r>
      <w:r>
        <w:rPr>
          <w:rFonts w:ascii="Garamond" w:hAnsi="Garamond" w:cs="Garamond"/>
          <w:sz w:val="20"/>
          <w:szCs w:val="20"/>
        </w:rPr>
        <w:t xml:space="preserve">Retrieved from </w:t>
      </w:r>
      <w:hyperlink r:id="rId340" w:history="1">
        <w:r>
          <w:rPr>
            <w:rFonts w:ascii="Garamond" w:hAnsi="Garamond" w:cs="Garamond"/>
            <w:color w:val="0000FF"/>
            <w:sz w:val="20"/>
            <w:szCs w:val="20"/>
            <w:u w:val="single"/>
          </w:rPr>
          <w:t>http://www.ncmhr.org/downloads/References-on-why-peer-support-works-4.16.2014.pdf.</w:t>
        </w:r>
      </w:hyperlink>
    </w:p>
    <w:p w:rsidR="002C5025" w:rsidRDefault="002C5025">
      <w:pPr>
        <w:pStyle w:val="BodyText"/>
        <w:kinsoku w:val="0"/>
        <w:overflowPunct w:val="0"/>
        <w:spacing w:before="10"/>
        <w:rPr>
          <w:rFonts w:ascii="Garamond" w:hAnsi="Garamond" w:cs="Garamond"/>
          <w:sz w:val="12"/>
          <w:szCs w:val="12"/>
        </w:rPr>
      </w:pPr>
    </w:p>
    <w:p w:rsidR="002C5025" w:rsidRDefault="002C5025">
      <w:pPr>
        <w:pStyle w:val="BodyText"/>
        <w:kinsoku w:val="0"/>
        <w:overflowPunct w:val="0"/>
        <w:spacing w:before="81"/>
        <w:ind w:left="595" w:right="475"/>
        <w:jc w:val="center"/>
        <w:rPr>
          <w:rFonts w:ascii="Garamond" w:hAnsi="Garamond" w:cs="Garamond"/>
          <w:sz w:val="20"/>
          <w:szCs w:val="20"/>
        </w:rPr>
      </w:pPr>
      <w:r>
        <w:rPr>
          <w:rFonts w:ascii="Garamond" w:hAnsi="Garamond" w:cs="Garamond"/>
          <w:sz w:val="20"/>
          <w:szCs w:val="20"/>
        </w:rPr>
        <w:t>13</w:t>
      </w:r>
    </w:p>
    <w:p w:rsidR="002C5025" w:rsidRDefault="002C5025">
      <w:pPr>
        <w:pStyle w:val="BodyText"/>
        <w:kinsoku w:val="0"/>
        <w:overflowPunct w:val="0"/>
        <w:spacing w:before="81"/>
        <w:ind w:left="595" w:right="475"/>
        <w:jc w:val="center"/>
        <w:rPr>
          <w:rFonts w:ascii="Garamond" w:hAnsi="Garamond" w:cs="Garamond"/>
          <w:sz w:val="20"/>
          <w:szCs w:val="20"/>
        </w:rPr>
        <w:sectPr w:rsidR="002C5025">
          <w:pgSz w:w="12240" w:h="15840"/>
          <w:pgMar w:top="1380" w:right="1440" w:bottom="280" w:left="1320" w:header="720" w:footer="720" w:gutter="0"/>
          <w:cols w:space="720" w:equalWidth="0">
            <w:col w:w="9480"/>
          </w:cols>
          <w:noEndnote/>
        </w:sectPr>
      </w:pPr>
    </w:p>
    <w:p w:rsidR="002C5025" w:rsidRDefault="002C5025">
      <w:pPr>
        <w:pStyle w:val="BodyText"/>
        <w:kinsoku w:val="0"/>
        <w:overflowPunct w:val="0"/>
        <w:spacing w:before="60"/>
        <w:ind w:left="119" w:right="96"/>
        <w:rPr>
          <w:rFonts w:ascii="Garamond" w:hAnsi="Garamond" w:cs="Garamond"/>
          <w:position w:val="5"/>
          <w:sz w:val="14"/>
          <w:szCs w:val="14"/>
        </w:rPr>
      </w:pPr>
      <w:r>
        <w:rPr>
          <w:rFonts w:ascii="Garamond" w:hAnsi="Garamond" w:cs="Garamond"/>
        </w:rPr>
        <w:lastRenderedPageBreak/>
        <w:t>Partner</w:t>
      </w:r>
      <w:r>
        <w:rPr>
          <w:rFonts w:ascii="Garamond" w:hAnsi="Garamond" w:cs="Garamond"/>
          <w:spacing w:val="-3"/>
        </w:rPr>
        <w:t xml:space="preserve"> and </w:t>
      </w:r>
      <w:r>
        <w:rPr>
          <w:rFonts w:ascii="Garamond" w:hAnsi="Garamond" w:cs="Garamond"/>
        </w:rPr>
        <w:t xml:space="preserve">a parent or caregiver to help improve the capacity of the </w:t>
      </w:r>
      <w:r>
        <w:rPr>
          <w:rFonts w:ascii="Garamond" w:hAnsi="Garamond" w:cs="Garamond"/>
          <w:spacing w:val="-3"/>
        </w:rPr>
        <w:t xml:space="preserve">parent/caregiver </w:t>
      </w:r>
      <w:r>
        <w:rPr>
          <w:rFonts w:ascii="Garamond" w:hAnsi="Garamond" w:cs="Garamond"/>
        </w:rPr>
        <w:t xml:space="preserve">and support youth </w:t>
      </w:r>
      <w:r>
        <w:rPr>
          <w:rFonts w:ascii="Garamond" w:hAnsi="Garamond" w:cs="Garamond"/>
          <w:spacing w:val="-3"/>
        </w:rPr>
        <w:t xml:space="preserve">in </w:t>
      </w:r>
      <w:r>
        <w:rPr>
          <w:rFonts w:ascii="Garamond" w:hAnsi="Garamond" w:cs="Garamond"/>
        </w:rPr>
        <w:t>the community.</w:t>
      </w:r>
      <w:r>
        <w:rPr>
          <w:rFonts w:ascii="Garamond" w:hAnsi="Garamond" w:cs="Garamond"/>
          <w:position w:val="5"/>
          <w:sz w:val="14"/>
          <w:szCs w:val="14"/>
        </w:rPr>
        <w:t>31</w:t>
      </w:r>
    </w:p>
    <w:p w:rsidR="002C5025" w:rsidRDefault="002C5025">
      <w:pPr>
        <w:pStyle w:val="BodyText"/>
        <w:kinsoku w:val="0"/>
        <w:overflowPunct w:val="0"/>
        <w:spacing w:before="2"/>
        <w:rPr>
          <w:rFonts w:ascii="Garamond" w:hAnsi="Garamond" w:cs="Garamond"/>
          <w:sz w:val="21"/>
          <w:szCs w:val="21"/>
        </w:rPr>
      </w:pPr>
    </w:p>
    <w:p w:rsidR="002C5025" w:rsidRDefault="002C5025">
      <w:pPr>
        <w:pStyle w:val="BodyText"/>
        <w:kinsoku w:val="0"/>
        <w:overflowPunct w:val="0"/>
        <w:spacing w:before="1" w:line="264" w:lineRule="exact"/>
        <w:ind w:left="120" w:right="443"/>
        <w:rPr>
          <w:rFonts w:ascii="Garamond" w:hAnsi="Garamond" w:cs="Garamond"/>
          <w:b/>
          <w:bCs/>
          <w:i/>
          <w:iCs/>
          <w:w w:val="90"/>
          <w:sz w:val="24"/>
          <w:szCs w:val="24"/>
        </w:rPr>
      </w:pPr>
      <w:bookmarkStart w:id="163" w:name="Substance_use_disorders_services"/>
      <w:bookmarkEnd w:id="163"/>
      <w:r>
        <w:rPr>
          <w:rFonts w:ascii="Garamond" w:hAnsi="Garamond" w:cs="Garamond"/>
          <w:b/>
          <w:bCs/>
          <w:i/>
          <w:iCs/>
          <w:w w:val="90"/>
          <w:sz w:val="24"/>
          <w:szCs w:val="24"/>
        </w:rPr>
        <w:t>Substance use disorders services</w:t>
      </w:r>
    </w:p>
    <w:p w:rsidR="002C5025" w:rsidRDefault="002C5025">
      <w:pPr>
        <w:pStyle w:val="BodyText"/>
        <w:kinsoku w:val="0"/>
        <w:overflowPunct w:val="0"/>
        <w:ind w:left="120" w:right="422"/>
        <w:jc w:val="both"/>
        <w:rPr>
          <w:rFonts w:ascii="Garamond" w:hAnsi="Garamond" w:cs="Garamond"/>
        </w:rPr>
      </w:pPr>
      <w:r>
        <w:rPr>
          <w:rFonts w:ascii="Garamond" w:hAnsi="Garamond" w:cs="Garamond"/>
        </w:rPr>
        <w:t>We are encouraged by MassHealth’s strong proposal to provide enhanced substance use disorders (SUD) services, including expansion of residential care and recovery supports. Productive collaboration between DPH and MassHealth will attract additional federal resources to address an overwhelming need for SUD treatment services, particularly for residents struggling with an opioid use disorder.</w:t>
      </w:r>
    </w:p>
    <w:p w:rsidR="002C5025" w:rsidRDefault="002C5025">
      <w:pPr>
        <w:pStyle w:val="BodyText"/>
        <w:kinsoku w:val="0"/>
        <w:overflowPunct w:val="0"/>
        <w:spacing w:before="1"/>
        <w:rPr>
          <w:rFonts w:ascii="Garamond" w:hAnsi="Garamond" w:cs="Garamond"/>
        </w:rPr>
      </w:pPr>
    </w:p>
    <w:p w:rsidR="002C5025" w:rsidRDefault="002C5025">
      <w:pPr>
        <w:pStyle w:val="BodyText"/>
        <w:kinsoku w:val="0"/>
        <w:overflowPunct w:val="0"/>
        <w:ind w:left="119" w:right="162"/>
        <w:rPr>
          <w:rFonts w:ascii="Garamond" w:hAnsi="Garamond" w:cs="Garamond"/>
        </w:rPr>
      </w:pPr>
      <w:r>
        <w:rPr>
          <w:rFonts w:ascii="Garamond" w:hAnsi="Garamond" w:cs="Garamond"/>
        </w:rPr>
        <w:t xml:space="preserve">In particular, we support MassHealth’s proposal to provide additional services and </w:t>
      </w:r>
      <w:r>
        <w:rPr>
          <w:rFonts w:ascii="Garamond" w:hAnsi="Garamond" w:cs="Garamond"/>
          <w:spacing w:val="-3"/>
        </w:rPr>
        <w:t xml:space="preserve">promote </w:t>
      </w:r>
      <w:r>
        <w:rPr>
          <w:rFonts w:ascii="Garamond" w:hAnsi="Garamond" w:cs="Garamond"/>
        </w:rPr>
        <w:t>best practices in the field, including:</w:t>
      </w:r>
    </w:p>
    <w:p w:rsidR="002C5025" w:rsidRDefault="002C5025">
      <w:pPr>
        <w:pStyle w:val="ListParagraph"/>
        <w:numPr>
          <w:ilvl w:val="2"/>
          <w:numId w:val="49"/>
        </w:numPr>
        <w:tabs>
          <w:tab w:val="left" w:pos="840"/>
        </w:tabs>
        <w:kinsoku w:val="0"/>
        <w:overflowPunct w:val="0"/>
        <w:ind w:right="214" w:hanging="359"/>
        <w:rPr>
          <w:rFonts w:ascii="Garamond" w:hAnsi="Garamond" w:cs="Garamond"/>
          <w:spacing w:val="-3"/>
          <w:sz w:val="22"/>
          <w:szCs w:val="22"/>
        </w:rPr>
      </w:pPr>
      <w:r>
        <w:rPr>
          <w:rFonts w:ascii="Garamond" w:hAnsi="Garamond" w:cs="Garamond"/>
          <w:i/>
          <w:iCs/>
          <w:sz w:val="22"/>
          <w:szCs w:val="22"/>
        </w:rPr>
        <w:t xml:space="preserve">Residential step down services. </w:t>
      </w:r>
      <w:r>
        <w:rPr>
          <w:rFonts w:ascii="Garamond" w:hAnsi="Garamond" w:cs="Garamond"/>
          <w:sz w:val="22"/>
          <w:szCs w:val="22"/>
        </w:rPr>
        <w:t xml:space="preserve">The </w:t>
      </w:r>
      <w:r>
        <w:rPr>
          <w:rFonts w:ascii="Garamond" w:hAnsi="Garamond" w:cs="Garamond"/>
          <w:spacing w:val="-2"/>
          <w:sz w:val="22"/>
          <w:szCs w:val="22"/>
        </w:rPr>
        <w:t xml:space="preserve">Waiver </w:t>
      </w:r>
      <w:r>
        <w:rPr>
          <w:rFonts w:ascii="Garamond" w:hAnsi="Garamond" w:cs="Garamond"/>
          <w:sz w:val="22"/>
          <w:szCs w:val="22"/>
        </w:rPr>
        <w:t xml:space="preserve">Request would </w:t>
      </w:r>
      <w:r>
        <w:rPr>
          <w:rFonts w:ascii="Garamond" w:hAnsi="Garamond" w:cs="Garamond"/>
          <w:spacing w:val="-3"/>
          <w:sz w:val="22"/>
          <w:szCs w:val="22"/>
        </w:rPr>
        <w:t xml:space="preserve">add </w:t>
      </w:r>
      <w:r>
        <w:rPr>
          <w:rFonts w:ascii="Garamond" w:hAnsi="Garamond" w:cs="Garamond"/>
          <w:sz w:val="22"/>
          <w:szCs w:val="22"/>
        </w:rPr>
        <w:t>Residential Rehabilitation Services for individuals with substance use disorders to provide step down services after acute care. In most states,</w:t>
      </w:r>
      <w:r>
        <w:rPr>
          <w:rFonts w:ascii="Garamond" w:hAnsi="Garamond" w:cs="Garamond"/>
          <w:spacing w:val="-7"/>
          <w:sz w:val="22"/>
          <w:szCs w:val="22"/>
        </w:rPr>
        <w:t xml:space="preserve"> </w:t>
      </w:r>
      <w:r>
        <w:rPr>
          <w:rFonts w:ascii="Garamond" w:hAnsi="Garamond" w:cs="Garamond"/>
          <w:sz w:val="22"/>
          <w:szCs w:val="22"/>
        </w:rPr>
        <w:t>consumers</w:t>
      </w:r>
      <w:r>
        <w:rPr>
          <w:rFonts w:ascii="Garamond" w:hAnsi="Garamond" w:cs="Garamond"/>
          <w:spacing w:val="-6"/>
          <w:sz w:val="22"/>
          <w:szCs w:val="22"/>
        </w:rPr>
        <w:t xml:space="preserve"> </w:t>
      </w:r>
      <w:r>
        <w:rPr>
          <w:rFonts w:ascii="Garamond" w:hAnsi="Garamond" w:cs="Garamond"/>
          <w:spacing w:val="-2"/>
          <w:sz w:val="22"/>
          <w:szCs w:val="22"/>
        </w:rPr>
        <w:t>are</w:t>
      </w:r>
      <w:r>
        <w:rPr>
          <w:rFonts w:ascii="Garamond" w:hAnsi="Garamond" w:cs="Garamond"/>
          <w:spacing w:val="-9"/>
          <w:sz w:val="22"/>
          <w:szCs w:val="22"/>
        </w:rPr>
        <w:t xml:space="preserve"> </w:t>
      </w:r>
      <w:r>
        <w:rPr>
          <w:rFonts w:ascii="Garamond" w:hAnsi="Garamond" w:cs="Garamond"/>
          <w:sz w:val="22"/>
          <w:szCs w:val="22"/>
        </w:rPr>
        <w:t>released</w:t>
      </w:r>
      <w:r>
        <w:rPr>
          <w:rFonts w:ascii="Garamond" w:hAnsi="Garamond" w:cs="Garamond"/>
          <w:spacing w:val="-6"/>
          <w:sz w:val="22"/>
          <w:szCs w:val="22"/>
        </w:rPr>
        <w:t xml:space="preserve"> </w:t>
      </w:r>
      <w:r>
        <w:rPr>
          <w:rFonts w:ascii="Garamond" w:hAnsi="Garamond" w:cs="Garamond"/>
          <w:sz w:val="22"/>
          <w:szCs w:val="22"/>
        </w:rPr>
        <w:t>from</w:t>
      </w:r>
      <w:r>
        <w:rPr>
          <w:rFonts w:ascii="Garamond" w:hAnsi="Garamond" w:cs="Garamond"/>
          <w:spacing w:val="-6"/>
          <w:sz w:val="22"/>
          <w:szCs w:val="22"/>
        </w:rPr>
        <w:t xml:space="preserve"> </w:t>
      </w:r>
      <w:r>
        <w:rPr>
          <w:rFonts w:ascii="Garamond" w:hAnsi="Garamond" w:cs="Garamond"/>
          <w:sz w:val="22"/>
          <w:szCs w:val="22"/>
        </w:rPr>
        <w:t>detox</w:t>
      </w:r>
      <w:r>
        <w:rPr>
          <w:rFonts w:ascii="Garamond" w:hAnsi="Garamond" w:cs="Garamond"/>
          <w:spacing w:val="-7"/>
          <w:sz w:val="22"/>
          <w:szCs w:val="22"/>
        </w:rPr>
        <w:t xml:space="preserve"> </w:t>
      </w:r>
      <w:r>
        <w:rPr>
          <w:rFonts w:ascii="Garamond" w:hAnsi="Garamond" w:cs="Garamond"/>
          <w:spacing w:val="-3"/>
          <w:sz w:val="22"/>
          <w:szCs w:val="22"/>
        </w:rPr>
        <w:t>or</w:t>
      </w:r>
      <w:r>
        <w:rPr>
          <w:rFonts w:ascii="Garamond" w:hAnsi="Garamond" w:cs="Garamond"/>
          <w:spacing w:val="-8"/>
          <w:sz w:val="22"/>
          <w:szCs w:val="22"/>
        </w:rPr>
        <w:t xml:space="preserve"> </w:t>
      </w:r>
      <w:r>
        <w:rPr>
          <w:rFonts w:ascii="Garamond" w:hAnsi="Garamond" w:cs="Garamond"/>
          <w:sz w:val="22"/>
          <w:szCs w:val="22"/>
        </w:rPr>
        <w:t>intensive</w:t>
      </w:r>
      <w:r>
        <w:rPr>
          <w:rFonts w:ascii="Garamond" w:hAnsi="Garamond" w:cs="Garamond"/>
          <w:spacing w:val="-9"/>
          <w:sz w:val="22"/>
          <w:szCs w:val="22"/>
        </w:rPr>
        <w:t xml:space="preserve"> </w:t>
      </w:r>
      <w:r>
        <w:rPr>
          <w:rFonts w:ascii="Garamond" w:hAnsi="Garamond" w:cs="Garamond"/>
          <w:sz w:val="22"/>
          <w:szCs w:val="22"/>
        </w:rPr>
        <w:t>treatment</w:t>
      </w:r>
      <w:r>
        <w:rPr>
          <w:rFonts w:ascii="Garamond" w:hAnsi="Garamond" w:cs="Garamond"/>
          <w:spacing w:val="-6"/>
          <w:sz w:val="22"/>
          <w:szCs w:val="22"/>
        </w:rPr>
        <w:t xml:space="preserve"> </w:t>
      </w:r>
      <w:r>
        <w:rPr>
          <w:rFonts w:ascii="Garamond" w:hAnsi="Garamond" w:cs="Garamond"/>
          <w:spacing w:val="-3"/>
          <w:sz w:val="22"/>
          <w:szCs w:val="22"/>
        </w:rPr>
        <w:t>and</w:t>
      </w:r>
      <w:r>
        <w:rPr>
          <w:rFonts w:ascii="Garamond" w:hAnsi="Garamond" w:cs="Garamond"/>
          <w:spacing w:val="-6"/>
          <w:sz w:val="22"/>
          <w:szCs w:val="22"/>
        </w:rPr>
        <w:t xml:space="preserve"> </w:t>
      </w:r>
      <w:r>
        <w:rPr>
          <w:rFonts w:ascii="Garamond" w:hAnsi="Garamond" w:cs="Garamond"/>
          <w:sz w:val="22"/>
          <w:szCs w:val="22"/>
        </w:rPr>
        <w:t>provided</w:t>
      </w:r>
      <w:r>
        <w:rPr>
          <w:rFonts w:ascii="Garamond" w:hAnsi="Garamond" w:cs="Garamond"/>
          <w:spacing w:val="-6"/>
          <w:sz w:val="22"/>
          <w:szCs w:val="22"/>
        </w:rPr>
        <w:t xml:space="preserve"> </w:t>
      </w:r>
      <w:r>
        <w:rPr>
          <w:rFonts w:ascii="Garamond" w:hAnsi="Garamond" w:cs="Garamond"/>
          <w:sz w:val="22"/>
          <w:szCs w:val="22"/>
        </w:rPr>
        <w:t>no</w:t>
      </w:r>
      <w:r>
        <w:rPr>
          <w:rFonts w:ascii="Garamond" w:hAnsi="Garamond" w:cs="Garamond"/>
          <w:spacing w:val="-11"/>
          <w:sz w:val="22"/>
          <w:szCs w:val="22"/>
        </w:rPr>
        <w:t xml:space="preserve"> </w:t>
      </w:r>
      <w:r>
        <w:rPr>
          <w:rFonts w:ascii="Garamond" w:hAnsi="Garamond" w:cs="Garamond"/>
          <w:sz w:val="22"/>
          <w:szCs w:val="22"/>
        </w:rPr>
        <w:t>follow</w:t>
      </w:r>
      <w:r>
        <w:rPr>
          <w:rFonts w:ascii="Garamond" w:hAnsi="Garamond" w:cs="Garamond"/>
          <w:spacing w:val="-9"/>
          <w:sz w:val="22"/>
          <w:szCs w:val="22"/>
        </w:rPr>
        <w:t xml:space="preserve"> </w:t>
      </w:r>
      <w:r>
        <w:rPr>
          <w:rFonts w:ascii="Garamond" w:hAnsi="Garamond" w:cs="Garamond"/>
          <w:sz w:val="22"/>
          <w:szCs w:val="22"/>
        </w:rPr>
        <w:t>up</w:t>
      </w:r>
      <w:r>
        <w:rPr>
          <w:rFonts w:ascii="Garamond" w:hAnsi="Garamond" w:cs="Garamond"/>
          <w:spacing w:val="-9"/>
          <w:sz w:val="22"/>
          <w:szCs w:val="22"/>
        </w:rPr>
        <w:t xml:space="preserve"> </w:t>
      </w:r>
      <w:r>
        <w:rPr>
          <w:rFonts w:ascii="Garamond" w:hAnsi="Garamond" w:cs="Garamond"/>
          <w:sz w:val="22"/>
          <w:szCs w:val="22"/>
        </w:rPr>
        <w:t xml:space="preserve">support during this vulnerable period when they are at high risk of relapse. The proposed </w:t>
      </w:r>
      <w:r>
        <w:rPr>
          <w:rFonts w:ascii="Garamond" w:hAnsi="Garamond" w:cs="Garamond"/>
          <w:spacing w:val="-3"/>
          <w:sz w:val="22"/>
          <w:szCs w:val="22"/>
        </w:rPr>
        <w:t xml:space="preserve">residential </w:t>
      </w:r>
      <w:r>
        <w:rPr>
          <w:rFonts w:ascii="Garamond" w:hAnsi="Garamond" w:cs="Garamond"/>
          <w:sz w:val="22"/>
          <w:szCs w:val="22"/>
        </w:rPr>
        <w:t>rehabilitation</w:t>
      </w:r>
      <w:r>
        <w:rPr>
          <w:rFonts w:ascii="Garamond" w:hAnsi="Garamond" w:cs="Garamond"/>
          <w:spacing w:val="-7"/>
          <w:sz w:val="22"/>
          <w:szCs w:val="22"/>
        </w:rPr>
        <w:t xml:space="preserve"> </w:t>
      </w:r>
      <w:r>
        <w:rPr>
          <w:rFonts w:ascii="Garamond" w:hAnsi="Garamond" w:cs="Garamond"/>
          <w:sz w:val="22"/>
          <w:szCs w:val="22"/>
        </w:rPr>
        <w:t>is</w:t>
      </w:r>
      <w:r>
        <w:rPr>
          <w:rFonts w:ascii="Garamond" w:hAnsi="Garamond" w:cs="Garamond"/>
          <w:spacing w:val="-9"/>
          <w:sz w:val="22"/>
          <w:szCs w:val="22"/>
        </w:rPr>
        <w:t xml:space="preserve"> </w:t>
      </w:r>
      <w:r>
        <w:rPr>
          <w:rFonts w:ascii="Garamond" w:hAnsi="Garamond" w:cs="Garamond"/>
          <w:sz w:val="22"/>
          <w:szCs w:val="22"/>
        </w:rPr>
        <w:t>a</w:t>
      </w:r>
      <w:r>
        <w:rPr>
          <w:rFonts w:ascii="Garamond" w:hAnsi="Garamond" w:cs="Garamond"/>
          <w:spacing w:val="-10"/>
          <w:sz w:val="22"/>
          <w:szCs w:val="22"/>
        </w:rPr>
        <w:t xml:space="preserve"> </w:t>
      </w:r>
      <w:r>
        <w:rPr>
          <w:rFonts w:ascii="Garamond" w:hAnsi="Garamond" w:cs="Garamond"/>
          <w:sz w:val="22"/>
          <w:szCs w:val="22"/>
        </w:rPr>
        <w:t>crucial</w:t>
      </w:r>
      <w:r>
        <w:rPr>
          <w:rFonts w:ascii="Garamond" w:hAnsi="Garamond" w:cs="Garamond"/>
          <w:spacing w:val="-8"/>
          <w:sz w:val="22"/>
          <w:szCs w:val="22"/>
        </w:rPr>
        <w:t xml:space="preserve"> </w:t>
      </w:r>
      <w:r>
        <w:rPr>
          <w:rFonts w:ascii="Garamond" w:hAnsi="Garamond" w:cs="Garamond"/>
          <w:sz w:val="22"/>
          <w:szCs w:val="22"/>
        </w:rPr>
        <w:t>component</w:t>
      </w:r>
      <w:r>
        <w:rPr>
          <w:rFonts w:ascii="Garamond" w:hAnsi="Garamond" w:cs="Garamond"/>
          <w:spacing w:val="-9"/>
          <w:sz w:val="22"/>
          <w:szCs w:val="22"/>
        </w:rPr>
        <w:t xml:space="preserve"> </w:t>
      </w:r>
      <w:r>
        <w:rPr>
          <w:rFonts w:ascii="Garamond" w:hAnsi="Garamond" w:cs="Garamond"/>
          <w:sz w:val="22"/>
          <w:szCs w:val="22"/>
        </w:rPr>
        <w:t>of</w:t>
      </w:r>
      <w:r>
        <w:rPr>
          <w:rFonts w:ascii="Garamond" w:hAnsi="Garamond" w:cs="Garamond"/>
          <w:spacing w:val="-9"/>
          <w:sz w:val="22"/>
          <w:szCs w:val="22"/>
        </w:rPr>
        <w:t xml:space="preserve"> </w:t>
      </w:r>
      <w:r>
        <w:rPr>
          <w:rFonts w:ascii="Garamond" w:hAnsi="Garamond" w:cs="Garamond"/>
          <w:sz w:val="22"/>
          <w:szCs w:val="22"/>
        </w:rPr>
        <w:t>the</w:t>
      </w:r>
      <w:r>
        <w:rPr>
          <w:rFonts w:ascii="Garamond" w:hAnsi="Garamond" w:cs="Garamond"/>
          <w:spacing w:val="-10"/>
          <w:sz w:val="22"/>
          <w:szCs w:val="22"/>
        </w:rPr>
        <w:t xml:space="preserve"> </w:t>
      </w:r>
      <w:r>
        <w:rPr>
          <w:rFonts w:ascii="Garamond" w:hAnsi="Garamond" w:cs="Garamond"/>
          <w:sz w:val="22"/>
          <w:szCs w:val="22"/>
        </w:rPr>
        <w:t>full</w:t>
      </w:r>
      <w:r>
        <w:rPr>
          <w:rFonts w:ascii="Garamond" w:hAnsi="Garamond" w:cs="Garamond"/>
          <w:spacing w:val="-10"/>
          <w:sz w:val="22"/>
          <w:szCs w:val="22"/>
        </w:rPr>
        <w:t xml:space="preserve"> </w:t>
      </w:r>
      <w:r>
        <w:rPr>
          <w:rFonts w:ascii="Garamond" w:hAnsi="Garamond" w:cs="Garamond"/>
          <w:sz w:val="22"/>
          <w:szCs w:val="22"/>
        </w:rPr>
        <w:t>continuum</w:t>
      </w:r>
      <w:r>
        <w:rPr>
          <w:rFonts w:ascii="Garamond" w:hAnsi="Garamond" w:cs="Garamond"/>
          <w:spacing w:val="-10"/>
          <w:sz w:val="22"/>
          <w:szCs w:val="22"/>
        </w:rPr>
        <w:t xml:space="preserve"> </w:t>
      </w:r>
      <w:r>
        <w:rPr>
          <w:rFonts w:ascii="Garamond" w:hAnsi="Garamond" w:cs="Garamond"/>
          <w:sz w:val="22"/>
          <w:szCs w:val="22"/>
        </w:rPr>
        <w:t>of</w:t>
      </w:r>
      <w:r>
        <w:rPr>
          <w:rFonts w:ascii="Garamond" w:hAnsi="Garamond" w:cs="Garamond"/>
          <w:spacing w:val="-9"/>
          <w:sz w:val="22"/>
          <w:szCs w:val="22"/>
        </w:rPr>
        <w:t xml:space="preserve"> </w:t>
      </w:r>
      <w:r>
        <w:rPr>
          <w:rFonts w:ascii="Garamond" w:hAnsi="Garamond" w:cs="Garamond"/>
          <w:sz w:val="22"/>
          <w:szCs w:val="22"/>
        </w:rPr>
        <w:t>behavioral</w:t>
      </w:r>
      <w:r>
        <w:rPr>
          <w:rFonts w:ascii="Garamond" w:hAnsi="Garamond" w:cs="Garamond"/>
          <w:spacing w:val="-8"/>
          <w:sz w:val="22"/>
          <w:szCs w:val="22"/>
        </w:rPr>
        <w:t xml:space="preserve"> </w:t>
      </w:r>
      <w:r>
        <w:rPr>
          <w:rFonts w:ascii="Garamond" w:hAnsi="Garamond" w:cs="Garamond"/>
          <w:sz w:val="22"/>
          <w:szCs w:val="22"/>
        </w:rPr>
        <w:t>health</w:t>
      </w:r>
      <w:r>
        <w:rPr>
          <w:rFonts w:ascii="Garamond" w:hAnsi="Garamond" w:cs="Garamond"/>
          <w:spacing w:val="-7"/>
          <w:sz w:val="22"/>
          <w:szCs w:val="22"/>
        </w:rPr>
        <w:t xml:space="preserve"> </w:t>
      </w:r>
      <w:r>
        <w:rPr>
          <w:rFonts w:ascii="Garamond" w:hAnsi="Garamond" w:cs="Garamond"/>
          <w:spacing w:val="-3"/>
          <w:sz w:val="22"/>
          <w:szCs w:val="22"/>
        </w:rPr>
        <w:t>care.</w:t>
      </w:r>
    </w:p>
    <w:p w:rsidR="002C5025" w:rsidRDefault="002C5025">
      <w:pPr>
        <w:pStyle w:val="ListParagraph"/>
        <w:numPr>
          <w:ilvl w:val="2"/>
          <w:numId w:val="49"/>
        </w:numPr>
        <w:tabs>
          <w:tab w:val="left" w:pos="838"/>
        </w:tabs>
        <w:kinsoku w:val="0"/>
        <w:overflowPunct w:val="0"/>
        <w:spacing w:before="1"/>
        <w:ind w:left="837" w:right="216" w:hanging="360"/>
        <w:rPr>
          <w:rFonts w:ascii="Garamond" w:hAnsi="Garamond" w:cs="Garamond"/>
          <w:sz w:val="22"/>
          <w:szCs w:val="22"/>
        </w:rPr>
      </w:pPr>
      <w:r>
        <w:rPr>
          <w:rFonts w:ascii="Garamond" w:hAnsi="Garamond" w:cs="Garamond"/>
          <w:i/>
          <w:iCs/>
          <w:sz w:val="22"/>
          <w:szCs w:val="22"/>
        </w:rPr>
        <w:t xml:space="preserve">Person-centered care. </w:t>
      </w:r>
      <w:r>
        <w:rPr>
          <w:rFonts w:ascii="Garamond" w:hAnsi="Garamond" w:cs="Garamond"/>
          <w:sz w:val="22"/>
          <w:szCs w:val="22"/>
        </w:rPr>
        <w:t xml:space="preserve">Providers in the medical and mental health systems would be trained in motivational interviewing. This person-centered </w:t>
      </w:r>
      <w:r>
        <w:rPr>
          <w:rFonts w:ascii="Garamond" w:hAnsi="Garamond" w:cs="Garamond"/>
          <w:spacing w:val="-3"/>
          <w:sz w:val="22"/>
          <w:szCs w:val="22"/>
        </w:rPr>
        <w:t xml:space="preserve">technique </w:t>
      </w:r>
      <w:r>
        <w:rPr>
          <w:rFonts w:ascii="Garamond" w:hAnsi="Garamond" w:cs="Garamond"/>
          <w:sz w:val="22"/>
          <w:szCs w:val="22"/>
        </w:rPr>
        <w:t xml:space="preserve">for interacting with consumers is </w:t>
      </w:r>
      <w:r>
        <w:rPr>
          <w:rFonts w:ascii="Garamond" w:hAnsi="Garamond" w:cs="Garamond"/>
          <w:spacing w:val="-4"/>
          <w:sz w:val="22"/>
          <w:szCs w:val="22"/>
        </w:rPr>
        <w:t xml:space="preserve">an </w:t>
      </w:r>
      <w:r>
        <w:rPr>
          <w:rFonts w:ascii="Garamond" w:hAnsi="Garamond" w:cs="Garamond"/>
          <w:sz w:val="22"/>
          <w:szCs w:val="22"/>
        </w:rPr>
        <w:t>excellent</w:t>
      </w:r>
      <w:r>
        <w:rPr>
          <w:rFonts w:ascii="Garamond" w:hAnsi="Garamond" w:cs="Garamond"/>
          <w:spacing w:val="-4"/>
          <w:sz w:val="22"/>
          <w:szCs w:val="22"/>
        </w:rPr>
        <w:t xml:space="preserve"> </w:t>
      </w:r>
      <w:r>
        <w:rPr>
          <w:rFonts w:ascii="Garamond" w:hAnsi="Garamond" w:cs="Garamond"/>
          <w:sz w:val="22"/>
          <w:szCs w:val="22"/>
        </w:rPr>
        <w:t>tool</w:t>
      </w:r>
      <w:r>
        <w:rPr>
          <w:rFonts w:ascii="Garamond" w:hAnsi="Garamond" w:cs="Garamond"/>
          <w:spacing w:val="-7"/>
          <w:sz w:val="22"/>
          <w:szCs w:val="22"/>
        </w:rPr>
        <w:t xml:space="preserve"> </w:t>
      </w:r>
      <w:r>
        <w:rPr>
          <w:rFonts w:ascii="Garamond" w:hAnsi="Garamond" w:cs="Garamond"/>
          <w:sz w:val="22"/>
          <w:szCs w:val="22"/>
        </w:rPr>
        <w:t>that</w:t>
      </w:r>
      <w:r>
        <w:rPr>
          <w:rFonts w:ascii="Garamond" w:hAnsi="Garamond" w:cs="Garamond"/>
          <w:spacing w:val="-6"/>
          <w:sz w:val="22"/>
          <w:szCs w:val="22"/>
        </w:rPr>
        <w:t xml:space="preserve"> </w:t>
      </w:r>
      <w:r>
        <w:rPr>
          <w:rFonts w:ascii="Garamond" w:hAnsi="Garamond" w:cs="Garamond"/>
          <w:sz w:val="22"/>
          <w:szCs w:val="22"/>
        </w:rPr>
        <w:t>allows</w:t>
      </w:r>
      <w:r>
        <w:rPr>
          <w:rFonts w:ascii="Garamond" w:hAnsi="Garamond" w:cs="Garamond"/>
          <w:spacing w:val="-3"/>
          <w:sz w:val="22"/>
          <w:szCs w:val="22"/>
        </w:rPr>
        <w:t xml:space="preserve"> providers</w:t>
      </w:r>
      <w:r>
        <w:rPr>
          <w:rFonts w:ascii="Garamond" w:hAnsi="Garamond" w:cs="Garamond"/>
          <w:spacing w:val="-6"/>
          <w:sz w:val="22"/>
          <w:szCs w:val="22"/>
        </w:rPr>
        <w:t xml:space="preserve"> </w:t>
      </w:r>
      <w:r>
        <w:rPr>
          <w:rFonts w:ascii="Garamond" w:hAnsi="Garamond" w:cs="Garamond"/>
          <w:sz w:val="22"/>
          <w:szCs w:val="22"/>
        </w:rPr>
        <w:t>to</w:t>
      </w:r>
      <w:r>
        <w:rPr>
          <w:rFonts w:ascii="Garamond" w:hAnsi="Garamond" w:cs="Garamond"/>
          <w:spacing w:val="-4"/>
          <w:sz w:val="22"/>
          <w:szCs w:val="22"/>
        </w:rPr>
        <w:t xml:space="preserve"> </w:t>
      </w:r>
      <w:r>
        <w:rPr>
          <w:rFonts w:ascii="Garamond" w:hAnsi="Garamond" w:cs="Garamond"/>
          <w:sz w:val="22"/>
          <w:szCs w:val="22"/>
        </w:rPr>
        <w:t>“meet</w:t>
      </w:r>
      <w:r>
        <w:rPr>
          <w:rFonts w:ascii="Garamond" w:hAnsi="Garamond" w:cs="Garamond"/>
          <w:spacing w:val="-4"/>
          <w:sz w:val="22"/>
          <w:szCs w:val="22"/>
        </w:rPr>
        <w:t xml:space="preserve"> </w:t>
      </w:r>
      <w:r>
        <w:rPr>
          <w:rFonts w:ascii="Garamond" w:hAnsi="Garamond" w:cs="Garamond"/>
          <w:spacing w:val="-3"/>
          <w:sz w:val="22"/>
          <w:szCs w:val="22"/>
        </w:rPr>
        <w:t>people</w:t>
      </w:r>
      <w:r>
        <w:rPr>
          <w:rFonts w:ascii="Garamond" w:hAnsi="Garamond" w:cs="Garamond"/>
          <w:spacing w:val="-7"/>
          <w:sz w:val="22"/>
          <w:szCs w:val="22"/>
        </w:rPr>
        <w:t xml:space="preserve"> </w:t>
      </w:r>
      <w:r>
        <w:rPr>
          <w:rFonts w:ascii="Garamond" w:hAnsi="Garamond" w:cs="Garamond"/>
          <w:sz w:val="22"/>
          <w:szCs w:val="22"/>
        </w:rPr>
        <w:t>where</w:t>
      </w:r>
      <w:r>
        <w:rPr>
          <w:rFonts w:ascii="Garamond" w:hAnsi="Garamond" w:cs="Garamond"/>
          <w:spacing w:val="-5"/>
          <w:sz w:val="22"/>
          <w:szCs w:val="22"/>
        </w:rPr>
        <w:t xml:space="preserve"> </w:t>
      </w:r>
      <w:r>
        <w:rPr>
          <w:rFonts w:ascii="Garamond" w:hAnsi="Garamond" w:cs="Garamond"/>
          <w:sz w:val="22"/>
          <w:szCs w:val="22"/>
        </w:rPr>
        <w:t>they’re</w:t>
      </w:r>
      <w:r>
        <w:rPr>
          <w:rFonts w:ascii="Garamond" w:hAnsi="Garamond" w:cs="Garamond"/>
          <w:spacing w:val="-5"/>
          <w:sz w:val="22"/>
          <w:szCs w:val="22"/>
        </w:rPr>
        <w:t xml:space="preserve"> </w:t>
      </w:r>
      <w:r>
        <w:rPr>
          <w:rFonts w:ascii="Garamond" w:hAnsi="Garamond" w:cs="Garamond"/>
          <w:sz w:val="22"/>
          <w:szCs w:val="22"/>
        </w:rPr>
        <w:t>at”</w:t>
      </w:r>
      <w:r>
        <w:rPr>
          <w:rFonts w:ascii="Garamond" w:hAnsi="Garamond" w:cs="Garamond"/>
          <w:spacing w:val="-7"/>
          <w:sz w:val="22"/>
          <w:szCs w:val="22"/>
        </w:rPr>
        <w:t xml:space="preserve"> </w:t>
      </w:r>
      <w:r>
        <w:rPr>
          <w:rFonts w:ascii="Garamond" w:hAnsi="Garamond" w:cs="Garamond"/>
          <w:sz w:val="22"/>
          <w:szCs w:val="22"/>
        </w:rPr>
        <w:t>and</w:t>
      </w:r>
      <w:r>
        <w:rPr>
          <w:rFonts w:ascii="Garamond" w:hAnsi="Garamond" w:cs="Garamond"/>
          <w:spacing w:val="-4"/>
          <w:sz w:val="22"/>
          <w:szCs w:val="22"/>
        </w:rPr>
        <w:t xml:space="preserve"> </w:t>
      </w:r>
      <w:r>
        <w:rPr>
          <w:rFonts w:ascii="Garamond" w:hAnsi="Garamond" w:cs="Garamond"/>
          <w:spacing w:val="-3"/>
          <w:sz w:val="22"/>
          <w:szCs w:val="22"/>
        </w:rPr>
        <w:t>approach</w:t>
      </w:r>
      <w:r>
        <w:rPr>
          <w:rFonts w:ascii="Garamond" w:hAnsi="Garamond" w:cs="Garamond"/>
          <w:spacing w:val="-8"/>
          <w:sz w:val="22"/>
          <w:szCs w:val="22"/>
        </w:rPr>
        <w:t xml:space="preserve"> </w:t>
      </w:r>
      <w:r>
        <w:rPr>
          <w:rFonts w:ascii="Garamond" w:hAnsi="Garamond" w:cs="Garamond"/>
          <w:sz w:val="22"/>
          <w:szCs w:val="22"/>
        </w:rPr>
        <w:t>care-planning</w:t>
      </w:r>
      <w:r>
        <w:rPr>
          <w:rFonts w:ascii="Garamond" w:hAnsi="Garamond" w:cs="Garamond"/>
          <w:spacing w:val="-5"/>
          <w:sz w:val="22"/>
          <w:szCs w:val="22"/>
        </w:rPr>
        <w:t xml:space="preserve"> </w:t>
      </w:r>
      <w:r>
        <w:rPr>
          <w:rFonts w:ascii="Garamond" w:hAnsi="Garamond" w:cs="Garamond"/>
          <w:spacing w:val="-3"/>
          <w:sz w:val="22"/>
          <w:szCs w:val="22"/>
        </w:rPr>
        <w:t xml:space="preserve">in </w:t>
      </w:r>
      <w:r>
        <w:rPr>
          <w:rFonts w:ascii="Garamond" w:hAnsi="Garamond" w:cs="Garamond"/>
          <w:sz w:val="22"/>
          <w:szCs w:val="22"/>
        </w:rPr>
        <w:t xml:space="preserve">a collaborative way that gives the </w:t>
      </w:r>
      <w:r>
        <w:rPr>
          <w:rFonts w:ascii="Garamond" w:hAnsi="Garamond" w:cs="Garamond"/>
          <w:spacing w:val="-3"/>
          <w:sz w:val="22"/>
          <w:szCs w:val="22"/>
        </w:rPr>
        <w:t xml:space="preserve">consumer </w:t>
      </w:r>
      <w:r>
        <w:rPr>
          <w:rFonts w:ascii="Garamond" w:hAnsi="Garamond" w:cs="Garamond"/>
          <w:sz w:val="22"/>
          <w:szCs w:val="22"/>
        </w:rPr>
        <w:t xml:space="preserve">agency over his or her care. In addition, the proposed individualized care plans provide an opportunity for providers and consumers to </w:t>
      </w:r>
      <w:r>
        <w:rPr>
          <w:rFonts w:ascii="Garamond" w:hAnsi="Garamond" w:cs="Garamond"/>
          <w:spacing w:val="-3"/>
          <w:sz w:val="22"/>
          <w:szCs w:val="22"/>
        </w:rPr>
        <w:t xml:space="preserve">work </w:t>
      </w:r>
      <w:r>
        <w:rPr>
          <w:rFonts w:ascii="Garamond" w:hAnsi="Garamond" w:cs="Garamond"/>
          <w:sz w:val="22"/>
          <w:szCs w:val="22"/>
        </w:rPr>
        <w:t>together to establish</w:t>
      </w:r>
      <w:r>
        <w:rPr>
          <w:rFonts w:ascii="Garamond" w:hAnsi="Garamond" w:cs="Garamond"/>
          <w:spacing w:val="-10"/>
          <w:sz w:val="22"/>
          <w:szCs w:val="22"/>
        </w:rPr>
        <w:t xml:space="preserve"> </w:t>
      </w:r>
      <w:r>
        <w:rPr>
          <w:rFonts w:ascii="Garamond" w:hAnsi="Garamond" w:cs="Garamond"/>
          <w:sz w:val="22"/>
          <w:szCs w:val="22"/>
        </w:rPr>
        <w:t>the</w:t>
      </w:r>
      <w:r>
        <w:rPr>
          <w:rFonts w:ascii="Garamond" w:hAnsi="Garamond" w:cs="Garamond"/>
          <w:spacing w:val="-9"/>
          <w:sz w:val="22"/>
          <w:szCs w:val="22"/>
        </w:rPr>
        <w:t xml:space="preserve"> </w:t>
      </w:r>
      <w:r>
        <w:rPr>
          <w:rFonts w:ascii="Garamond" w:hAnsi="Garamond" w:cs="Garamond"/>
          <w:sz w:val="22"/>
          <w:szCs w:val="22"/>
        </w:rPr>
        <w:t>best</w:t>
      </w:r>
      <w:r>
        <w:rPr>
          <w:rFonts w:ascii="Garamond" w:hAnsi="Garamond" w:cs="Garamond"/>
          <w:spacing w:val="-8"/>
          <w:sz w:val="22"/>
          <w:szCs w:val="22"/>
        </w:rPr>
        <w:t xml:space="preserve"> </w:t>
      </w:r>
      <w:r>
        <w:rPr>
          <w:rFonts w:ascii="Garamond" w:hAnsi="Garamond" w:cs="Garamond"/>
          <w:sz w:val="22"/>
          <w:szCs w:val="22"/>
        </w:rPr>
        <w:t>plan</w:t>
      </w:r>
      <w:r>
        <w:rPr>
          <w:rFonts w:ascii="Garamond" w:hAnsi="Garamond" w:cs="Garamond"/>
          <w:spacing w:val="-6"/>
          <w:sz w:val="22"/>
          <w:szCs w:val="22"/>
        </w:rPr>
        <w:t xml:space="preserve"> </w:t>
      </w:r>
      <w:r>
        <w:rPr>
          <w:rFonts w:ascii="Garamond" w:hAnsi="Garamond" w:cs="Garamond"/>
          <w:sz w:val="22"/>
          <w:szCs w:val="22"/>
        </w:rPr>
        <w:t>to</w:t>
      </w:r>
      <w:r>
        <w:rPr>
          <w:rFonts w:ascii="Garamond" w:hAnsi="Garamond" w:cs="Garamond"/>
          <w:spacing w:val="-6"/>
          <w:sz w:val="22"/>
          <w:szCs w:val="22"/>
        </w:rPr>
        <w:t xml:space="preserve"> </w:t>
      </w:r>
      <w:r>
        <w:rPr>
          <w:rFonts w:ascii="Garamond" w:hAnsi="Garamond" w:cs="Garamond"/>
          <w:sz w:val="22"/>
          <w:szCs w:val="22"/>
        </w:rPr>
        <w:t>fit</w:t>
      </w:r>
      <w:r>
        <w:rPr>
          <w:rFonts w:ascii="Garamond" w:hAnsi="Garamond" w:cs="Garamond"/>
          <w:spacing w:val="-12"/>
          <w:sz w:val="22"/>
          <w:szCs w:val="22"/>
        </w:rPr>
        <w:t xml:space="preserve"> </w:t>
      </w:r>
      <w:r>
        <w:rPr>
          <w:rFonts w:ascii="Garamond" w:hAnsi="Garamond" w:cs="Garamond"/>
          <w:sz w:val="22"/>
          <w:szCs w:val="22"/>
        </w:rPr>
        <w:t>consumers’</w:t>
      </w:r>
      <w:r>
        <w:rPr>
          <w:rFonts w:ascii="Garamond" w:hAnsi="Garamond" w:cs="Garamond"/>
          <w:spacing w:val="-9"/>
          <w:sz w:val="22"/>
          <w:szCs w:val="22"/>
        </w:rPr>
        <w:t xml:space="preserve"> </w:t>
      </w:r>
      <w:r>
        <w:rPr>
          <w:rFonts w:ascii="Garamond" w:hAnsi="Garamond" w:cs="Garamond"/>
          <w:sz w:val="22"/>
          <w:szCs w:val="22"/>
        </w:rPr>
        <w:t>needs.</w:t>
      </w:r>
    </w:p>
    <w:p w:rsidR="002C5025" w:rsidRDefault="002C5025">
      <w:pPr>
        <w:pStyle w:val="ListParagraph"/>
        <w:numPr>
          <w:ilvl w:val="2"/>
          <w:numId w:val="49"/>
        </w:numPr>
        <w:tabs>
          <w:tab w:val="left" w:pos="838"/>
        </w:tabs>
        <w:kinsoku w:val="0"/>
        <w:overflowPunct w:val="0"/>
        <w:ind w:left="835" w:right="106" w:hanging="358"/>
        <w:rPr>
          <w:rFonts w:ascii="Garamond" w:hAnsi="Garamond" w:cs="Garamond"/>
          <w:sz w:val="22"/>
          <w:szCs w:val="22"/>
        </w:rPr>
      </w:pPr>
      <w:r>
        <w:rPr>
          <w:rFonts w:ascii="Garamond" w:hAnsi="Garamond" w:cs="Garamond"/>
          <w:i/>
          <w:iCs/>
          <w:sz w:val="22"/>
          <w:szCs w:val="22"/>
        </w:rPr>
        <w:t xml:space="preserve">Substance </w:t>
      </w:r>
      <w:r>
        <w:rPr>
          <w:rFonts w:ascii="Garamond" w:hAnsi="Garamond" w:cs="Garamond"/>
          <w:i/>
          <w:iCs/>
          <w:spacing w:val="-2"/>
          <w:sz w:val="22"/>
          <w:szCs w:val="22"/>
        </w:rPr>
        <w:t xml:space="preserve">use </w:t>
      </w:r>
      <w:r>
        <w:rPr>
          <w:rFonts w:ascii="Garamond" w:hAnsi="Garamond" w:cs="Garamond"/>
          <w:i/>
          <w:iCs/>
          <w:sz w:val="22"/>
          <w:szCs w:val="22"/>
        </w:rPr>
        <w:t xml:space="preserve">recovery. </w:t>
      </w:r>
      <w:r>
        <w:rPr>
          <w:rFonts w:ascii="Garamond" w:hAnsi="Garamond" w:cs="Garamond"/>
          <w:sz w:val="22"/>
          <w:szCs w:val="22"/>
        </w:rPr>
        <w:t>The SUD services proposed in the waiver include robust recovery supports, including</w:t>
      </w:r>
      <w:r>
        <w:rPr>
          <w:rFonts w:ascii="Garamond" w:hAnsi="Garamond" w:cs="Garamond"/>
          <w:spacing w:val="-11"/>
          <w:sz w:val="22"/>
          <w:szCs w:val="22"/>
        </w:rPr>
        <w:t xml:space="preserve"> </w:t>
      </w:r>
      <w:r>
        <w:rPr>
          <w:rFonts w:ascii="Garamond" w:hAnsi="Garamond" w:cs="Garamond"/>
          <w:sz w:val="22"/>
          <w:szCs w:val="22"/>
        </w:rPr>
        <w:t>care</w:t>
      </w:r>
      <w:r>
        <w:rPr>
          <w:rFonts w:ascii="Garamond" w:hAnsi="Garamond" w:cs="Garamond"/>
          <w:spacing w:val="-11"/>
          <w:sz w:val="22"/>
          <w:szCs w:val="22"/>
        </w:rPr>
        <w:t xml:space="preserve"> </w:t>
      </w:r>
      <w:r>
        <w:rPr>
          <w:rFonts w:ascii="Garamond" w:hAnsi="Garamond" w:cs="Garamond"/>
          <w:sz w:val="22"/>
          <w:szCs w:val="22"/>
        </w:rPr>
        <w:t>coordination</w:t>
      </w:r>
      <w:r>
        <w:rPr>
          <w:rFonts w:ascii="Garamond" w:hAnsi="Garamond" w:cs="Garamond"/>
          <w:spacing w:val="-13"/>
          <w:sz w:val="22"/>
          <w:szCs w:val="22"/>
        </w:rPr>
        <w:t xml:space="preserve"> </w:t>
      </w:r>
      <w:r>
        <w:rPr>
          <w:rFonts w:ascii="Garamond" w:hAnsi="Garamond" w:cs="Garamond"/>
          <w:sz w:val="22"/>
          <w:szCs w:val="22"/>
        </w:rPr>
        <w:t>by</w:t>
      </w:r>
      <w:r>
        <w:rPr>
          <w:rFonts w:ascii="Garamond" w:hAnsi="Garamond" w:cs="Garamond"/>
          <w:spacing w:val="-9"/>
          <w:sz w:val="22"/>
          <w:szCs w:val="22"/>
        </w:rPr>
        <w:t xml:space="preserve"> </w:t>
      </w:r>
      <w:r>
        <w:rPr>
          <w:rFonts w:ascii="Garamond" w:hAnsi="Garamond" w:cs="Garamond"/>
          <w:sz w:val="22"/>
          <w:szCs w:val="22"/>
        </w:rPr>
        <w:t>recovery</w:t>
      </w:r>
      <w:r>
        <w:rPr>
          <w:rFonts w:ascii="Garamond" w:hAnsi="Garamond" w:cs="Garamond"/>
          <w:spacing w:val="-11"/>
          <w:sz w:val="22"/>
          <w:szCs w:val="22"/>
        </w:rPr>
        <w:t xml:space="preserve"> </w:t>
      </w:r>
      <w:r>
        <w:rPr>
          <w:rFonts w:ascii="Garamond" w:hAnsi="Garamond" w:cs="Garamond"/>
          <w:sz w:val="22"/>
          <w:szCs w:val="22"/>
        </w:rPr>
        <w:t>coaches</w:t>
      </w:r>
      <w:r>
        <w:rPr>
          <w:rFonts w:ascii="Garamond" w:hAnsi="Garamond" w:cs="Garamond"/>
          <w:spacing w:val="-8"/>
          <w:sz w:val="22"/>
          <w:szCs w:val="22"/>
        </w:rPr>
        <w:t xml:space="preserve"> </w:t>
      </w:r>
      <w:r>
        <w:rPr>
          <w:rFonts w:ascii="Garamond" w:hAnsi="Garamond" w:cs="Garamond"/>
          <w:sz w:val="22"/>
          <w:szCs w:val="22"/>
        </w:rPr>
        <w:t>and</w:t>
      </w:r>
      <w:r>
        <w:rPr>
          <w:rFonts w:ascii="Garamond" w:hAnsi="Garamond" w:cs="Garamond"/>
          <w:spacing w:val="-13"/>
          <w:sz w:val="22"/>
          <w:szCs w:val="22"/>
        </w:rPr>
        <w:t xml:space="preserve"> </w:t>
      </w:r>
      <w:r>
        <w:rPr>
          <w:rFonts w:ascii="Garamond" w:hAnsi="Garamond" w:cs="Garamond"/>
          <w:sz w:val="22"/>
          <w:szCs w:val="22"/>
        </w:rPr>
        <w:t>recovery</w:t>
      </w:r>
      <w:r>
        <w:rPr>
          <w:rFonts w:ascii="Garamond" w:hAnsi="Garamond" w:cs="Garamond"/>
          <w:spacing w:val="-13"/>
          <w:sz w:val="22"/>
          <w:szCs w:val="22"/>
        </w:rPr>
        <w:t xml:space="preserve"> </w:t>
      </w:r>
      <w:r>
        <w:rPr>
          <w:rFonts w:ascii="Garamond" w:hAnsi="Garamond" w:cs="Garamond"/>
          <w:sz w:val="22"/>
          <w:szCs w:val="22"/>
        </w:rPr>
        <w:t>support</w:t>
      </w:r>
      <w:r>
        <w:rPr>
          <w:rFonts w:ascii="Garamond" w:hAnsi="Garamond" w:cs="Garamond"/>
          <w:spacing w:val="-10"/>
          <w:sz w:val="22"/>
          <w:szCs w:val="22"/>
        </w:rPr>
        <w:t xml:space="preserve"> </w:t>
      </w:r>
      <w:r>
        <w:rPr>
          <w:rFonts w:ascii="Garamond" w:hAnsi="Garamond" w:cs="Garamond"/>
          <w:sz w:val="22"/>
          <w:szCs w:val="22"/>
        </w:rPr>
        <w:t>navigators.</w:t>
      </w:r>
      <w:r>
        <w:rPr>
          <w:rFonts w:ascii="Garamond" w:hAnsi="Garamond" w:cs="Garamond"/>
          <w:spacing w:val="-11"/>
          <w:sz w:val="22"/>
          <w:szCs w:val="22"/>
        </w:rPr>
        <w:t xml:space="preserve"> </w:t>
      </w:r>
      <w:r>
        <w:rPr>
          <w:rFonts w:ascii="Garamond" w:hAnsi="Garamond" w:cs="Garamond"/>
          <w:sz w:val="22"/>
          <w:szCs w:val="22"/>
        </w:rPr>
        <w:t>These</w:t>
      </w:r>
      <w:r>
        <w:rPr>
          <w:rFonts w:ascii="Garamond" w:hAnsi="Garamond" w:cs="Garamond"/>
          <w:spacing w:val="-12"/>
          <w:sz w:val="22"/>
          <w:szCs w:val="22"/>
        </w:rPr>
        <w:t xml:space="preserve"> </w:t>
      </w:r>
      <w:r>
        <w:rPr>
          <w:rFonts w:ascii="Garamond" w:hAnsi="Garamond" w:cs="Garamond"/>
          <w:sz w:val="22"/>
          <w:szCs w:val="22"/>
        </w:rPr>
        <w:t>peer</w:t>
      </w:r>
      <w:r>
        <w:rPr>
          <w:rFonts w:ascii="Garamond" w:hAnsi="Garamond" w:cs="Garamond"/>
          <w:spacing w:val="-12"/>
          <w:sz w:val="22"/>
          <w:szCs w:val="22"/>
        </w:rPr>
        <w:t xml:space="preserve"> </w:t>
      </w:r>
      <w:r>
        <w:rPr>
          <w:rFonts w:ascii="Garamond" w:hAnsi="Garamond" w:cs="Garamond"/>
          <w:sz w:val="22"/>
          <w:szCs w:val="22"/>
        </w:rPr>
        <w:t>services provide essential support to consumers following treatment. The proposed recovery-focused community</w:t>
      </w:r>
      <w:r>
        <w:rPr>
          <w:rFonts w:ascii="Garamond" w:hAnsi="Garamond" w:cs="Garamond"/>
          <w:spacing w:val="-6"/>
          <w:sz w:val="22"/>
          <w:szCs w:val="22"/>
        </w:rPr>
        <w:t xml:space="preserve"> </w:t>
      </w:r>
      <w:r>
        <w:rPr>
          <w:rFonts w:ascii="Garamond" w:hAnsi="Garamond" w:cs="Garamond"/>
          <w:spacing w:val="-3"/>
          <w:sz w:val="22"/>
          <w:szCs w:val="22"/>
        </w:rPr>
        <w:t>of</w:t>
      </w:r>
      <w:r>
        <w:rPr>
          <w:rFonts w:ascii="Garamond" w:hAnsi="Garamond" w:cs="Garamond"/>
          <w:spacing w:val="-7"/>
          <w:sz w:val="22"/>
          <w:szCs w:val="22"/>
        </w:rPr>
        <w:t xml:space="preserve"> </w:t>
      </w:r>
      <w:r>
        <w:rPr>
          <w:rFonts w:ascii="Garamond" w:hAnsi="Garamond" w:cs="Garamond"/>
          <w:sz w:val="22"/>
          <w:szCs w:val="22"/>
        </w:rPr>
        <w:t>care</w:t>
      </w:r>
      <w:r>
        <w:rPr>
          <w:rFonts w:ascii="Garamond" w:hAnsi="Garamond" w:cs="Garamond"/>
          <w:spacing w:val="-8"/>
          <w:sz w:val="22"/>
          <w:szCs w:val="22"/>
        </w:rPr>
        <w:t xml:space="preserve"> </w:t>
      </w:r>
      <w:r>
        <w:rPr>
          <w:rFonts w:ascii="Garamond" w:hAnsi="Garamond" w:cs="Garamond"/>
          <w:sz w:val="22"/>
          <w:szCs w:val="22"/>
        </w:rPr>
        <w:t>model</w:t>
      </w:r>
      <w:r>
        <w:rPr>
          <w:rFonts w:ascii="Garamond" w:hAnsi="Garamond" w:cs="Garamond"/>
          <w:spacing w:val="-8"/>
          <w:sz w:val="22"/>
          <w:szCs w:val="22"/>
        </w:rPr>
        <w:t xml:space="preserve"> </w:t>
      </w:r>
      <w:r>
        <w:rPr>
          <w:rFonts w:ascii="Garamond" w:hAnsi="Garamond" w:cs="Garamond"/>
          <w:sz w:val="22"/>
          <w:szCs w:val="22"/>
        </w:rPr>
        <w:t>acknowledges</w:t>
      </w:r>
      <w:r>
        <w:rPr>
          <w:rFonts w:ascii="Garamond" w:hAnsi="Garamond" w:cs="Garamond"/>
          <w:spacing w:val="-4"/>
          <w:sz w:val="22"/>
          <w:szCs w:val="22"/>
        </w:rPr>
        <w:t xml:space="preserve"> </w:t>
      </w:r>
      <w:r>
        <w:rPr>
          <w:rFonts w:ascii="Garamond" w:hAnsi="Garamond" w:cs="Garamond"/>
          <w:sz w:val="22"/>
          <w:szCs w:val="22"/>
        </w:rPr>
        <w:t>relapse</w:t>
      </w:r>
      <w:r>
        <w:rPr>
          <w:rFonts w:ascii="Garamond" w:hAnsi="Garamond" w:cs="Garamond"/>
          <w:spacing w:val="-8"/>
          <w:sz w:val="22"/>
          <w:szCs w:val="22"/>
        </w:rPr>
        <w:t xml:space="preserve"> </w:t>
      </w:r>
      <w:r>
        <w:rPr>
          <w:rFonts w:ascii="Garamond" w:hAnsi="Garamond" w:cs="Garamond"/>
          <w:sz w:val="22"/>
          <w:szCs w:val="22"/>
        </w:rPr>
        <w:t>is</w:t>
      </w:r>
      <w:r>
        <w:rPr>
          <w:rFonts w:ascii="Garamond" w:hAnsi="Garamond" w:cs="Garamond"/>
          <w:spacing w:val="-4"/>
          <w:sz w:val="22"/>
          <w:szCs w:val="22"/>
        </w:rPr>
        <w:t xml:space="preserve"> </w:t>
      </w:r>
      <w:r>
        <w:rPr>
          <w:rFonts w:ascii="Garamond" w:hAnsi="Garamond" w:cs="Garamond"/>
          <w:sz w:val="22"/>
          <w:szCs w:val="22"/>
        </w:rPr>
        <w:t>not</w:t>
      </w:r>
      <w:r>
        <w:rPr>
          <w:rFonts w:ascii="Garamond" w:hAnsi="Garamond" w:cs="Garamond"/>
          <w:spacing w:val="-7"/>
          <w:sz w:val="22"/>
          <w:szCs w:val="22"/>
        </w:rPr>
        <w:t xml:space="preserve"> </w:t>
      </w:r>
      <w:r>
        <w:rPr>
          <w:rFonts w:ascii="Garamond" w:hAnsi="Garamond" w:cs="Garamond"/>
          <w:sz w:val="22"/>
          <w:szCs w:val="22"/>
        </w:rPr>
        <w:t>a</w:t>
      </w:r>
      <w:r>
        <w:rPr>
          <w:rFonts w:ascii="Garamond" w:hAnsi="Garamond" w:cs="Garamond"/>
          <w:spacing w:val="-9"/>
          <w:sz w:val="22"/>
          <w:szCs w:val="22"/>
        </w:rPr>
        <w:t xml:space="preserve"> </w:t>
      </w:r>
      <w:r>
        <w:rPr>
          <w:rFonts w:ascii="Garamond" w:hAnsi="Garamond" w:cs="Garamond"/>
          <w:sz w:val="22"/>
          <w:szCs w:val="22"/>
        </w:rPr>
        <w:t>failure,</w:t>
      </w:r>
      <w:r>
        <w:rPr>
          <w:rFonts w:ascii="Garamond" w:hAnsi="Garamond" w:cs="Garamond"/>
          <w:spacing w:val="-8"/>
          <w:sz w:val="22"/>
          <w:szCs w:val="22"/>
        </w:rPr>
        <w:t xml:space="preserve"> </w:t>
      </w:r>
      <w:r>
        <w:rPr>
          <w:rFonts w:ascii="Garamond" w:hAnsi="Garamond" w:cs="Garamond"/>
          <w:sz w:val="22"/>
          <w:szCs w:val="22"/>
        </w:rPr>
        <w:t>but</w:t>
      </w:r>
      <w:r>
        <w:rPr>
          <w:rFonts w:ascii="Garamond" w:hAnsi="Garamond" w:cs="Garamond"/>
          <w:spacing w:val="-5"/>
          <w:sz w:val="22"/>
          <w:szCs w:val="22"/>
        </w:rPr>
        <w:t xml:space="preserve"> </w:t>
      </w:r>
      <w:r>
        <w:rPr>
          <w:rFonts w:ascii="Garamond" w:hAnsi="Garamond" w:cs="Garamond"/>
          <w:sz w:val="22"/>
          <w:szCs w:val="22"/>
        </w:rPr>
        <w:t>a</w:t>
      </w:r>
      <w:r>
        <w:rPr>
          <w:rFonts w:ascii="Garamond" w:hAnsi="Garamond" w:cs="Garamond"/>
          <w:spacing w:val="-9"/>
          <w:sz w:val="22"/>
          <w:szCs w:val="22"/>
        </w:rPr>
        <w:t xml:space="preserve"> </w:t>
      </w:r>
      <w:r>
        <w:rPr>
          <w:rFonts w:ascii="Garamond" w:hAnsi="Garamond" w:cs="Garamond"/>
          <w:sz w:val="22"/>
          <w:szCs w:val="22"/>
        </w:rPr>
        <w:t>part</w:t>
      </w:r>
      <w:r>
        <w:rPr>
          <w:rFonts w:ascii="Garamond" w:hAnsi="Garamond" w:cs="Garamond"/>
          <w:spacing w:val="-7"/>
          <w:sz w:val="22"/>
          <w:szCs w:val="22"/>
        </w:rPr>
        <w:t xml:space="preserve"> </w:t>
      </w:r>
      <w:r>
        <w:rPr>
          <w:rFonts w:ascii="Garamond" w:hAnsi="Garamond" w:cs="Garamond"/>
          <w:sz w:val="22"/>
          <w:szCs w:val="22"/>
        </w:rPr>
        <w:t>of</w:t>
      </w:r>
      <w:r>
        <w:rPr>
          <w:rFonts w:ascii="Garamond" w:hAnsi="Garamond" w:cs="Garamond"/>
          <w:spacing w:val="-5"/>
          <w:sz w:val="22"/>
          <w:szCs w:val="22"/>
        </w:rPr>
        <w:t xml:space="preserve"> </w:t>
      </w:r>
      <w:r>
        <w:rPr>
          <w:rFonts w:ascii="Garamond" w:hAnsi="Garamond" w:cs="Garamond"/>
          <w:sz w:val="22"/>
          <w:szCs w:val="22"/>
        </w:rPr>
        <w:t>the</w:t>
      </w:r>
      <w:r>
        <w:rPr>
          <w:rFonts w:ascii="Garamond" w:hAnsi="Garamond" w:cs="Garamond"/>
          <w:spacing w:val="-11"/>
          <w:sz w:val="22"/>
          <w:szCs w:val="22"/>
        </w:rPr>
        <w:t xml:space="preserve"> </w:t>
      </w:r>
      <w:r>
        <w:rPr>
          <w:rFonts w:ascii="Garamond" w:hAnsi="Garamond" w:cs="Garamond"/>
          <w:sz w:val="22"/>
          <w:szCs w:val="22"/>
        </w:rPr>
        <w:t>recovery</w:t>
      </w:r>
      <w:r>
        <w:rPr>
          <w:rFonts w:ascii="Garamond" w:hAnsi="Garamond" w:cs="Garamond"/>
          <w:spacing w:val="-9"/>
          <w:sz w:val="22"/>
          <w:szCs w:val="22"/>
        </w:rPr>
        <w:t xml:space="preserve"> </w:t>
      </w:r>
      <w:r>
        <w:rPr>
          <w:rFonts w:ascii="Garamond" w:hAnsi="Garamond" w:cs="Garamond"/>
          <w:sz w:val="22"/>
          <w:szCs w:val="22"/>
        </w:rPr>
        <w:t>process</w:t>
      </w:r>
      <w:r>
        <w:rPr>
          <w:rFonts w:ascii="Garamond" w:hAnsi="Garamond" w:cs="Garamond"/>
          <w:spacing w:val="-4"/>
          <w:sz w:val="22"/>
          <w:szCs w:val="22"/>
        </w:rPr>
        <w:t xml:space="preserve"> </w:t>
      </w:r>
      <w:r>
        <w:rPr>
          <w:rFonts w:ascii="Garamond" w:hAnsi="Garamond" w:cs="Garamond"/>
          <w:spacing w:val="-3"/>
          <w:sz w:val="22"/>
          <w:szCs w:val="22"/>
        </w:rPr>
        <w:t xml:space="preserve">for </w:t>
      </w:r>
      <w:r>
        <w:rPr>
          <w:rFonts w:ascii="Garamond" w:hAnsi="Garamond" w:cs="Garamond"/>
          <w:sz w:val="22"/>
          <w:szCs w:val="22"/>
        </w:rPr>
        <w:t>many</w:t>
      </w:r>
      <w:r>
        <w:rPr>
          <w:rFonts w:ascii="Garamond" w:hAnsi="Garamond" w:cs="Garamond"/>
          <w:spacing w:val="-12"/>
          <w:sz w:val="22"/>
          <w:szCs w:val="22"/>
        </w:rPr>
        <w:t xml:space="preserve"> </w:t>
      </w:r>
      <w:r>
        <w:rPr>
          <w:rFonts w:ascii="Garamond" w:hAnsi="Garamond" w:cs="Garamond"/>
          <w:sz w:val="22"/>
          <w:szCs w:val="22"/>
        </w:rPr>
        <w:t>people.</w:t>
      </w:r>
    </w:p>
    <w:p w:rsidR="002C5025" w:rsidRDefault="002C5025">
      <w:pPr>
        <w:pStyle w:val="ListParagraph"/>
        <w:numPr>
          <w:ilvl w:val="2"/>
          <w:numId w:val="49"/>
        </w:numPr>
        <w:tabs>
          <w:tab w:val="left" w:pos="841"/>
        </w:tabs>
        <w:kinsoku w:val="0"/>
        <w:overflowPunct w:val="0"/>
        <w:ind w:left="839" w:right="203" w:hanging="359"/>
        <w:rPr>
          <w:rFonts w:ascii="Garamond" w:hAnsi="Garamond" w:cs="Garamond"/>
          <w:sz w:val="22"/>
          <w:szCs w:val="22"/>
        </w:rPr>
      </w:pPr>
      <w:r>
        <w:rPr>
          <w:rFonts w:ascii="Garamond" w:hAnsi="Garamond" w:cs="Garamond"/>
          <w:i/>
          <w:iCs/>
          <w:sz w:val="22"/>
          <w:szCs w:val="22"/>
        </w:rPr>
        <w:t xml:space="preserve">Workforce development. </w:t>
      </w:r>
      <w:r>
        <w:rPr>
          <w:rFonts w:ascii="Garamond" w:hAnsi="Garamond" w:cs="Garamond"/>
          <w:sz w:val="22"/>
          <w:szCs w:val="22"/>
        </w:rPr>
        <w:t xml:space="preserve">The </w:t>
      </w:r>
      <w:r>
        <w:rPr>
          <w:rFonts w:ascii="Garamond" w:hAnsi="Garamond" w:cs="Garamond"/>
          <w:spacing w:val="-3"/>
          <w:sz w:val="22"/>
          <w:szCs w:val="22"/>
        </w:rPr>
        <w:t xml:space="preserve">waiver proposes </w:t>
      </w:r>
      <w:r>
        <w:rPr>
          <w:rFonts w:ascii="Garamond" w:hAnsi="Garamond" w:cs="Garamond"/>
          <w:sz w:val="22"/>
          <w:szCs w:val="22"/>
        </w:rPr>
        <w:t>investments in the substance use disorders workforce through</w:t>
      </w:r>
      <w:r>
        <w:rPr>
          <w:rFonts w:ascii="Garamond" w:hAnsi="Garamond" w:cs="Garamond"/>
          <w:spacing w:val="-13"/>
          <w:sz w:val="22"/>
          <w:szCs w:val="22"/>
        </w:rPr>
        <w:t xml:space="preserve"> </w:t>
      </w:r>
      <w:r>
        <w:rPr>
          <w:rFonts w:ascii="Garamond" w:hAnsi="Garamond" w:cs="Garamond"/>
          <w:sz w:val="22"/>
          <w:szCs w:val="22"/>
        </w:rPr>
        <w:t>training</w:t>
      </w:r>
      <w:r>
        <w:rPr>
          <w:rFonts w:ascii="Garamond" w:hAnsi="Garamond" w:cs="Garamond"/>
          <w:spacing w:val="-10"/>
          <w:sz w:val="22"/>
          <w:szCs w:val="22"/>
        </w:rPr>
        <w:t xml:space="preserve"> </w:t>
      </w:r>
      <w:r>
        <w:rPr>
          <w:rFonts w:ascii="Garamond" w:hAnsi="Garamond" w:cs="Garamond"/>
          <w:spacing w:val="-3"/>
          <w:sz w:val="22"/>
          <w:szCs w:val="22"/>
        </w:rPr>
        <w:t>and</w:t>
      </w:r>
      <w:r>
        <w:rPr>
          <w:rFonts w:ascii="Garamond" w:hAnsi="Garamond" w:cs="Garamond"/>
          <w:spacing w:val="-12"/>
          <w:sz w:val="22"/>
          <w:szCs w:val="22"/>
        </w:rPr>
        <w:t xml:space="preserve"> </w:t>
      </w:r>
      <w:r>
        <w:rPr>
          <w:rFonts w:ascii="Garamond" w:hAnsi="Garamond" w:cs="Garamond"/>
          <w:sz w:val="22"/>
          <w:szCs w:val="22"/>
        </w:rPr>
        <w:t>education</w:t>
      </w:r>
      <w:r>
        <w:rPr>
          <w:rFonts w:ascii="Garamond" w:hAnsi="Garamond" w:cs="Garamond"/>
          <w:spacing w:val="-9"/>
          <w:sz w:val="22"/>
          <w:szCs w:val="22"/>
        </w:rPr>
        <w:t xml:space="preserve"> </w:t>
      </w:r>
      <w:r>
        <w:rPr>
          <w:rFonts w:ascii="Garamond" w:hAnsi="Garamond" w:cs="Garamond"/>
          <w:sz w:val="22"/>
          <w:szCs w:val="22"/>
        </w:rPr>
        <w:t>loan</w:t>
      </w:r>
      <w:r>
        <w:rPr>
          <w:rFonts w:ascii="Garamond" w:hAnsi="Garamond" w:cs="Garamond"/>
          <w:spacing w:val="-12"/>
          <w:sz w:val="22"/>
          <w:szCs w:val="22"/>
        </w:rPr>
        <w:t xml:space="preserve"> </w:t>
      </w:r>
      <w:r>
        <w:rPr>
          <w:rFonts w:ascii="Garamond" w:hAnsi="Garamond" w:cs="Garamond"/>
          <w:sz w:val="22"/>
          <w:szCs w:val="22"/>
        </w:rPr>
        <w:t>repayment</w:t>
      </w:r>
      <w:r>
        <w:rPr>
          <w:rFonts w:ascii="Garamond" w:hAnsi="Garamond" w:cs="Garamond"/>
          <w:spacing w:val="-13"/>
          <w:sz w:val="22"/>
          <w:szCs w:val="22"/>
        </w:rPr>
        <w:t xml:space="preserve"> </w:t>
      </w:r>
      <w:r>
        <w:rPr>
          <w:rFonts w:ascii="Garamond" w:hAnsi="Garamond" w:cs="Garamond"/>
          <w:sz w:val="22"/>
          <w:szCs w:val="22"/>
        </w:rPr>
        <w:t>for</w:t>
      </w:r>
      <w:r>
        <w:rPr>
          <w:rFonts w:ascii="Garamond" w:hAnsi="Garamond" w:cs="Garamond"/>
          <w:spacing w:val="-9"/>
          <w:sz w:val="22"/>
          <w:szCs w:val="22"/>
        </w:rPr>
        <w:t xml:space="preserve"> </w:t>
      </w:r>
      <w:r>
        <w:rPr>
          <w:rFonts w:ascii="Garamond" w:hAnsi="Garamond" w:cs="Garamond"/>
          <w:sz w:val="22"/>
          <w:szCs w:val="22"/>
        </w:rPr>
        <w:t>numerous</w:t>
      </w:r>
      <w:r>
        <w:rPr>
          <w:rFonts w:ascii="Garamond" w:hAnsi="Garamond" w:cs="Garamond"/>
          <w:spacing w:val="-11"/>
          <w:sz w:val="22"/>
          <w:szCs w:val="22"/>
        </w:rPr>
        <w:t xml:space="preserve"> </w:t>
      </w:r>
      <w:r>
        <w:rPr>
          <w:rFonts w:ascii="Garamond" w:hAnsi="Garamond" w:cs="Garamond"/>
          <w:sz w:val="22"/>
          <w:szCs w:val="22"/>
        </w:rPr>
        <w:t>provider-types</w:t>
      </w:r>
      <w:r>
        <w:rPr>
          <w:rFonts w:ascii="Garamond" w:hAnsi="Garamond" w:cs="Garamond"/>
          <w:spacing w:val="-8"/>
          <w:sz w:val="22"/>
          <w:szCs w:val="22"/>
        </w:rPr>
        <w:t xml:space="preserve"> </w:t>
      </w:r>
      <w:r>
        <w:rPr>
          <w:rFonts w:ascii="Garamond" w:hAnsi="Garamond" w:cs="Garamond"/>
          <w:sz w:val="22"/>
          <w:szCs w:val="22"/>
        </w:rPr>
        <w:t>(e.g.,</w:t>
      </w:r>
      <w:r>
        <w:rPr>
          <w:rFonts w:ascii="Garamond" w:hAnsi="Garamond" w:cs="Garamond"/>
          <w:spacing w:val="-12"/>
          <w:sz w:val="22"/>
          <w:szCs w:val="22"/>
        </w:rPr>
        <w:t xml:space="preserve"> </w:t>
      </w:r>
      <w:r>
        <w:rPr>
          <w:rFonts w:ascii="Garamond" w:hAnsi="Garamond" w:cs="Garamond"/>
          <w:sz w:val="22"/>
          <w:szCs w:val="22"/>
        </w:rPr>
        <w:t>recovery</w:t>
      </w:r>
      <w:r>
        <w:rPr>
          <w:rFonts w:ascii="Garamond" w:hAnsi="Garamond" w:cs="Garamond"/>
          <w:spacing w:val="-13"/>
          <w:sz w:val="22"/>
          <w:szCs w:val="22"/>
        </w:rPr>
        <w:t xml:space="preserve"> </w:t>
      </w:r>
      <w:r>
        <w:rPr>
          <w:rFonts w:ascii="Garamond" w:hAnsi="Garamond" w:cs="Garamond"/>
          <w:sz w:val="22"/>
          <w:szCs w:val="22"/>
        </w:rPr>
        <w:t>coaches, care</w:t>
      </w:r>
      <w:r>
        <w:rPr>
          <w:rFonts w:ascii="Garamond" w:hAnsi="Garamond" w:cs="Garamond"/>
          <w:spacing w:val="-11"/>
          <w:sz w:val="22"/>
          <w:szCs w:val="22"/>
        </w:rPr>
        <w:t xml:space="preserve"> </w:t>
      </w:r>
      <w:r>
        <w:rPr>
          <w:rFonts w:ascii="Garamond" w:hAnsi="Garamond" w:cs="Garamond"/>
          <w:sz w:val="22"/>
          <w:szCs w:val="22"/>
        </w:rPr>
        <w:t>managers,</w:t>
      </w:r>
      <w:r>
        <w:rPr>
          <w:rFonts w:ascii="Garamond" w:hAnsi="Garamond" w:cs="Garamond"/>
          <w:spacing w:val="-5"/>
          <w:sz w:val="22"/>
          <w:szCs w:val="22"/>
        </w:rPr>
        <w:t xml:space="preserve"> </w:t>
      </w:r>
      <w:r>
        <w:rPr>
          <w:rFonts w:ascii="Garamond" w:hAnsi="Garamond" w:cs="Garamond"/>
          <w:sz w:val="22"/>
          <w:szCs w:val="22"/>
        </w:rPr>
        <w:t>mental</w:t>
      </w:r>
      <w:r>
        <w:rPr>
          <w:rFonts w:ascii="Garamond" w:hAnsi="Garamond" w:cs="Garamond"/>
          <w:spacing w:val="-8"/>
          <w:sz w:val="22"/>
          <w:szCs w:val="22"/>
        </w:rPr>
        <w:t xml:space="preserve"> </w:t>
      </w:r>
      <w:r>
        <w:rPr>
          <w:rFonts w:ascii="Garamond" w:hAnsi="Garamond" w:cs="Garamond"/>
          <w:sz w:val="22"/>
          <w:szCs w:val="22"/>
        </w:rPr>
        <w:t>health</w:t>
      </w:r>
      <w:r>
        <w:rPr>
          <w:rFonts w:ascii="Garamond" w:hAnsi="Garamond" w:cs="Garamond"/>
          <w:spacing w:val="-8"/>
          <w:sz w:val="22"/>
          <w:szCs w:val="22"/>
        </w:rPr>
        <w:t xml:space="preserve"> </w:t>
      </w:r>
      <w:r>
        <w:rPr>
          <w:rFonts w:ascii="Garamond" w:hAnsi="Garamond" w:cs="Garamond"/>
          <w:sz w:val="22"/>
          <w:szCs w:val="22"/>
        </w:rPr>
        <w:t>clinicians)</w:t>
      </w:r>
      <w:r>
        <w:rPr>
          <w:rFonts w:ascii="Garamond" w:hAnsi="Garamond" w:cs="Garamond"/>
          <w:spacing w:val="-5"/>
          <w:sz w:val="22"/>
          <w:szCs w:val="22"/>
        </w:rPr>
        <w:t xml:space="preserve"> </w:t>
      </w:r>
      <w:r>
        <w:rPr>
          <w:rFonts w:ascii="Garamond" w:hAnsi="Garamond" w:cs="Garamond"/>
          <w:sz w:val="22"/>
          <w:szCs w:val="22"/>
        </w:rPr>
        <w:t>and</w:t>
      </w:r>
      <w:r>
        <w:rPr>
          <w:rFonts w:ascii="Garamond" w:hAnsi="Garamond" w:cs="Garamond"/>
          <w:spacing w:val="-10"/>
          <w:sz w:val="22"/>
          <w:szCs w:val="22"/>
        </w:rPr>
        <w:t xml:space="preserve"> </w:t>
      </w:r>
      <w:r>
        <w:rPr>
          <w:rFonts w:ascii="Garamond" w:hAnsi="Garamond" w:cs="Garamond"/>
          <w:sz w:val="22"/>
          <w:szCs w:val="22"/>
        </w:rPr>
        <w:t>offering</w:t>
      </w:r>
      <w:r>
        <w:rPr>
          <w:rFonts w:ascii="Garamond" w:hAnsi="Garamond" w:cs="Garamond"/>
          <w:spacing w:val="-6"/>
          <w:sz w:val="22"/>
          <w:szCs w:val="22"/>
        </w:rPr>
        <w:t xml:space="preserve"> </w:t>
      </w:r>
      <w:r>
        <w:rPr>
          <w:rFonts w:ascii="Garamond" w:hAnsi="Garamond" w:cs="Garamond"/>
          <w:spacing w:val="-4"/>
          <w:sz w:val="22"/>
          <w:szCs w:val="22"/>
        </w:rPr>
        <w:t>financial</w:t>
      </w:r>
      <w:r>
        <w:rPr>
          <w:rFonts w:ascii="Garamond" w:hAnsi="Garamond" w:cs="Garamond"/>
          <w:spacing w:val="-8"/>
          <w:sz w:val="22"/>
          <w:szCs w:val="22"/>
        </w:rPr>
        <w:t xml:space="preserve"> </w:t>
      </w:r>
      <w:r>
        <w:rPr>
          <w:rFonts w:ascii="Garamond" w:hAnsi="Garamond" w:cs="Garamond"/>
          <w:sz w:val="22"/>
          <w:szCs w:val="22"/>
        </w:rPr>
        <w:t>incentives</w:t>
      </w:r>
      <w:r>
        <w:rPr>
          <w:rFonts w:ascii="Garamond" w:hAnsi="Garamond" w:cs="Garamond"/>
          <w:spacing w:val="-5"/>
          <w:sz w:val="22"/>
          <w:szCs w:val="22"/>
        </w:rPr>
        <w:t xml:space="preserve"> </w:t>
      </w:r>
      <w:r>
        <w:rPr>
          <w:rFonts w:ascii="Garamond" w:hAnsi="Garamond" w:cs="Garamond"/>
          <w:sz w:val="22"/>
          <w:szCs w:val="22"/>
        </w:rPr>
        <w:t>to</w:t>
      </w:r>
      <w:r>
        <w:rPr>
          <w:rFonts w:ascii="Garamond" w:hAnsi="Garamond" w:cs="Garamond"/>
          <w:spacing w:val="-5"/>
          <w:sz w:val="22"/>
          <w:szCs w:val="22"/>
        </w:rPr>
        <w:t xml:space="preserve"> </w:t>
      </w:r>
      <w:r>
        <w:rPr>
          <w:rFonts w:ascii="Garamond" w:hAnsi="Garamond" w:cs="Garamond"/>
          <w:spacing w:val="-3"/>
          <w:sz w:val="22"/>
          <w:szCs w:val="22"/>
        </w:rPr>
        <w:t>promote</w:t>
      </w:r>
      <w:r>
        <w:rPr>
          <w:rFonts w:ascii="Garamond" w:hAnsi="Garamond" w:cs="Garamond"/>
          <w:spacing w:val="-11"/>
          <w:sz w:val="22"/>
          <w:szCs w:val="22"/>
        </w:rPr>
        <w:t xml:space="preserve"> </w:t>
      </w:r>
      <w:r>
        <w:rPr>
          <w:rFonts w:ascii="Garamond" w:hAnsi="Garamond" w:cs="Garamond"/>
          <w:sz w:val="22"/>
          <w:szCs w:val="22"/>
        </w:rPr>
        <w:t>integration</w:t>
      </w:r>
      <w:r>
        <w:rPr>
          <w:rFonts w:ascii="Garamond" w:hAnsi="Garamond" w:cs="Garamond"/>
          <w:spacing w:val="-7"/>
          <w:sz w:val="22"/>
          <w:szCs w:val="22"/>
        </w:rPr>
        <w:t xml:space="preserve"> </w:t>
      </w:r>
      <w:r>
        <w:rPr>
          <w:rFonts w:ascii="Garamond" w:hAnsi="Garamond" w:cs="Garamond"/>
          <w:sz w:val="22"/>
          <w:szCs w:val="22"/>
        </w:rPr>
        <w:t>with primary care providers. This capacity building will strengthen the substance use treatment available through</w:t>
      </w:r>
      <w:r>
        <w:rPr>
          <w:rFonts w:ascii="Garamond" w:hAnsi="Garamond" w:cs="Garamond"/>
          <w:spacing w:val="-11"/>
          <w:sz w:val="22"/>
          <w:szCs w:val="22"/>
        </w:rPr>
        <w:t xml:space="preserve"> </w:t>
      </w:r>
      <w:r>
        <w:rPr>
          <w:rFonts w:ascii="Garamond" w:hAnsi="Garamond" w:cs="Garamond"/>
          <w:sz w:val="22"/>
          <w:szCs w:val="22"/>
        </w:rPr>
        <w:t>MassHealth</w:t>
      </w:r>
      <w:r>
        <w:rPr>
          <w:rFonts w:ascii="Garamond" w:hAnsi="Garamond" w:cs="Garamond"/>
          <w:spacing w:val="-4"/>
          <w:sz w:val="22"/>
          <w:szCs w:val="22"/>
        </w:rPr>
        <w:t xml:space="preserve"> </w:t>
      </w:r>
      <w:r>
        <w:rPr>
          <w:rFonts w:ascii="Garamond" w:hAnsi="Garamond" w:cs="Garamond"/>
          <w:spacing w:val="-3"/>
          <w:sz w:val="22"/>
          <w:szCs w:val="22"/>
        </w:rPr>
        <w:t>and</w:t>
      </w:r>
      <w:r>
        <w:rPr>
          <w:rFonts w:ascii="Garamond" w:hAnsi="Garamond" w:cs="Garamond"/>
          <w:spacing w:val="-7"/>
          <w:sz w:val="22"/>
          <w:szCs w:val="22"/>
        </w:rPr>
        <w:t xml:space="preserve"> </w:t>
      </w:r>
      <w:r>
        <w:rPr>
          <w:rFonts w:ascii="Garamond" w:hAnsi="Garamond" w:cs="Garamond"/>
          <w:sz w:val="22"/>
          <w:szCs w:val="22"/>
        </w:rPr>
        <w:t>grow</w:t>
      </w:r>
      <w:r>
        <w:rPr>
          <w:rFonts w:ascii="Garamond" w:hAnsi="Garamond" w:cs="Garamond"/>
          <w:spacing w:val="-5"/>
          <w:sz w:val="22"/>
          <w:szCs w:val="22"/>
        </w:rPr>
        <w:t xml:space="preserve"> </w:t>
      </w:r>
      <w:r>
        <w:rPr>
          <w:rFonts w:ascii="Garamond" w:hAnsi="Garamond" w:cs="Garamond"/>
          <w:sz w:val="22"/>
          <w:szCs w:val="22"/>
        </w:rPr>
        <w:t>the</w:t>
      </w:r>
      <w:r>
        <w:rPr>
          <w:rFonts w:ascii="Garamond" w:hAnsi="Garamond" w:cs="Garamond"/>
          <w:spacing w:val="-8"/>
          <w:sz w:val="22"/>
          <w:szCs w:val="22"/>
        </w:rPr>
        <w:t xml:space="preserve"> </w:t>
      </w:r>
      <w:r>
        <w:rPr>
          <w:rFonts w:ascii="Garamond" w:hAnsi="Garamond" w:cs="Garamond"/>
          <w:sz w:val="22"/>
          <w:szCs w:val="22"/>
        </w:rPr>
        <w:t>network</w:t>
      </w:r>
      <w:r>
        <w:rPr>
          <w:rFonts w:ascii="Garamond" w:hAnsi="Garamond" w:cs="Garamond"/>
          <w:spacing w:val="-9"/>
          <w:sz w:val="22"/>
          <w:szCs w:val="22"/>
        </w:rPr>
        <w:t xml:space="preserve"> </w:t>
      </w:r>
      <w:r>
        <w:rPr>
          <w:rFonts w:ascii="Garamond" w:hAnsi="Garamond" w:cs="Garamond"/>
          <w:sz w:val="22"/>
          <w:szCs w:val="22"/>
        </w:rPr>
        <w:t>of</w:t>
      </w:r>
      <w:r>
        <w:rPr>
          <w:rFonts w:ascii="Garamond" w:hAnsi="Garamond" w:cs="Garamond"/>
          <w:spacing w:val="-6"/>
          <w:sz w:val="22"/>
          <w:szCs w:val="22"/>
        </w:rPr>
        <w:t xml:space="preserve"> </w:t>
      </w:r>
      <w:r>
        <w:rPr>
          <w:rFonts w:ascii="Garamond" w:hAnsi="Garamond" w:cs="Garamond"/>
          <w:spacing w:val="-3"/>
          <w:sz w:val="22"/>
          <w:szCs w:val="22"/>
        </w:rPr>
        <w:t>providers</w:t>
      </w:r>
      <w:r>
        <w:rPr>
          <w:rFonts w:ascii="Garamond" w:hAnsi="Garamond" w:cs="Garamond"/>
          <w:spacing w:val="-8"/>
          <w:sz w:val="22"/>
          <w:szCs w:val="22"/>
        </w:rPr>
        <w:t xml:space="preserve"> </w:t>
      </w:r>
      <w:r>
        <w:rPr>
          <w:rFonts w:ascii="Garamond" w:hAnsi="Garamond" w:cs="Garamond"/>
          <w:sz w:val="22"/>
          <w:szCs w:val="22"/>
        </w:rPr>
        <w:t>across</w:t>
      </w:r>
      <w:r>
        <w:rPr>
          <w:rFonts w:ascii="Garamond" w:hAnsi="Garamond" w:cs="Garamond"/>
          <w:spacing w:val="-3"/>
          <w:sz w:val="22"/>
          <w:szCs w:val="22"/>
        </w:rPr>
        <w:t xml:space="preserve"> </w:t>
      </w:r>
      <w:r>
        <w:rPr>
          <w:rFonts w:ascii="Garamond" w:hAnsi="Garamond" w:cs="Garamond"/>
          <w:sz w:val="22"/>
          <w:szCs w:val="22"/>
        </w:rPr>
        <w:t>the</w:t>
      </w:r>
      <w:r>
        <w:rPr>
          <w:rFonts w:ascii="Garamond" w:hAnsi="Garamond" w:cs="Garamond"/>
          <w:spacing w:val="-8"/>
          <w:sz w:val="22"/>
          <w:szCs w:val="22"/>
        </w:rPr>
        <w:t xml:space="preserve"> </w:t>
      </w:r>
      <w:r>
        <w:rPr>
          <w:rFonts w:ascii="Garamond" w:hAnsi="Garamond" w:cs="Garamond"/>
          <w:sz w:val="22"/>
          <w:szCs w:val="22"/>
        </w:rPr>
        <w:t>state.</w:t>
      </w:r>
    </w:p>
    <w:p w:rsidR="002C5025" w:rsidRDefault="002C5025">
      <w:pPr>
        <w:pStyle w:val="BodyText"/>
        <w:kinsoku w:val="0"/>
        <w:overflowPunct w:val="0"/>
        <w:spacing w:before="6"/>
        <w:rPr>
          <w:rFonts w:ascii="Garamond" w:hAnsi="Garamond" w:cs="Garamond"/>
        </w:rPr>
      </w:pPr>
    </w:p>
    <w:p w:rsidR="002C5025" w:rsidRDefault="002C5025">
      <w:pPr>
        <w:pStyle w:val="BodyText"/>
        <w:kinsoku w:val="0"/>
        <w:overflowPunct w:val="0"/>
        <w:spacing w:line="244" w:lineRule="exact"/>
        <w:ind w:left="120" w:right="443"/>
        <w:rPr>
          <w:rFonts w:ascii="Garamond" w:hAnsi="Garamond" w:cs="Garamond"/>
        </w:rPr>
      </w:pPr>
      <w:r>
        <w:rPr>
          <w:rFonts w:ascii="Garamond" w:hAnsi="Garamond" w:cs="Garamond"/>
        </w:rPr>
        <w:t>We urge MassHealth to further strengthen the SUD Waiver Request in the following areas:</w:t>
      </w:r>
    </w:p>
    <w:p w:rsidR="002C5025" w:rsidRDefault="002C5025">
      <w:pPr>
        <w:pStyle w:val="ListParagraph"/>
        <w:numPr>
          <w:ilvl w:val="2"/>
          <w:numId w:val="49"/>
        </w:numPr>
        <w:tabs>
          <w:tab w:val="left" w:pos="840"/>
        </w:tabs>
        <w:kinsoku w:val="0"/>
        <w:overflowPunct w:val="0"/>
        <w:spacing w:before="19" w:line="248" w:lineRule="exact"/>
        <w:ind w:left="839" w:right="386" w:hanging="360"/>
        <w:rPr>
          <w:rFonts w:ascii="Garamond" w:hAnsi="Garamond" w:cs="Garamond"/>
          <w:sz w:val="22"/>
          <w:szCs w:val="22"/>
        </w:rPr>
      </w:pPr>
      <w:r>
        <w:rPr>
          <w:rFonts w:ascii="Garamond" w:hAnsi="Garamond" w:cs="Garamond"/>
          <w:i/>
          <w:iCs/>
          <w:sz w:val="22"/>
          <w:szCs w:val="22"/>
        </w:rPr>
        <w:t>Integration</w:t>
      </w:r>
      <w:r>
        <w:rPr>
          <w:rFonts w:ascii="Garamond" w:hAnsi="Garamond" w:cs="Garamond"/>
          <w:i/>
          <w:iCs/>
          <w:spacing w:val="-10"/>
          <w:sz w:val="22"/>
          <w:szCs w:val="22"/>
        </w:rPr>
        <w:t xml:space="preserve"> </w:t>
      </w:r>
      <w:r>
        <w:rPr>
          <w:rFonts w:ascii="Garamond" w:hAnsi="Garamond" w:cs="Garamond"/>
          <w:i/>
          <w:iCs/>
          <w:sz w:val="22"/>
          <w:szCs w:val="22"/>
        </w:rPr>
        <w:t>within</w:t>
      </w:r>
      <w:r>
        <w:rPr>
          <w:rFonts w:ascii="Garamond" w:hAnsi="Garamond" w:cs="Garamond"/>
          <w:i/>
          <w:iCs/>
          <w:spacing w:val="-10"/>
          <w:sz w:val="22"/>
          <w:szCs w:val="22"/>
        </w:rPr>
        <w:t xml:space="preserve"> </w:t>
      </w:r>
      <w:r>
        <w:rPr>
          <w:rFonts w:ascii="Garamond" w:hAnsi="Garamond" w:cs="Garamond"/>
          <w:i/>
          <w:iCs/>
          <w:sz w:val="22"/>
          <w:szCs w:val="22"/>
        </w:rPr>
        <w:t>behavioral</w:t>
      </w:r>
      <w:r>
        <w:rPr>
          <w:rFonts w:ascii="Garamond" w:hAnsi="Garamond" w:cs="Garamond"/>
          <w:i/>
          <w:iCs/>
          <w:spacing w:val="-10"/>
          <w:sz w:val="22"/>
          <w:szCs w:val="22"/>
        </w:rPr>
        <w:t xml:space="preserve"> </w:t>
      </w:r>
      <w:r>
        <w:rPr>
          <w:rFonts w:ascii="Garamond" w:hAnsi="Garamond" w:cs="Garamond"/>
          <w:i/>
          <w:iCs/>
          <w:sz w:val="22"/>
          <w:szCs w:val="22"/>
        </w:rPr>
        <w:t>health.</w:t>
      </w:r>
      <w:r>
        <w:rPr>
          <w:rFonts w:ascii="Garamond" w:hAnsi="Garamond" w:cs="Garamond"/>
          <w:i/>
          <w:iCs/>
          <w:spacing w:val="-10"/>
          <w:sz w:val="22"/>
          <w:szCs w:val="22"/>
        </w:rPr>
        <w:t xml:space="preserve"> </w:t>
      </w:r>
      <w:r>
        <w:rPr>
          <w:rFonts w:ascii="Garamond" w:hAnsi="Garamond" w:cs="Garamond"/>
          <w:sz w:val="22"/>
          <w:szCs w:val="22"/>
        </w:rPr>
        <w:t>While</w:t>
      </w:r>
      <w:r>
        <w:rPr>
          <w:rFonts w:ascii="Garamond" w:hAnsi="Garamond" w:cs="Garamond"/>
          <w:spacing w:val="-8"/>
          <w:sz w:val="22"/>
          <w:szCs w:val="22"/>
        </w:rPr>
        <w:t xml:space="preserve"> </w:t>
      </w:r>
      <w:r>
        <w:rPr>
          <w:rFonts w:ascii="Garamond" w:hAnsi="Garamond" w:cs="Garamond"/>
          <w:sz w:val="22"/>
          <w:szCs w:val="22"/>
        </w:rPr>
        <w:t>the</w:t>
      </w:r>
      <w:r>
        <w:rPr>
          <w:rFonts w:ascii="Garamond" w:hAnsi="Garamond" w:cs="Garamond"/>
          <w:spacing w:val="-8"/>
          <w:sz w:val="22"/>
          <w:szCs w:val="22"/>
        </w:rPr>
        <w:t xml:space="preserve"> </w:t>
      </w:r>
      <w:r>
        <w:rPr>
          <w:rFonts w:ascii="Garamond" w:hAnsi="Garamond" w:cs="Garamond"/>
          <w:spacing w:val="-2"/>
          <w:sz w:val="22"/>
          <w:szCs w:val="22"/>
        </w:rPr>
        <w:t>Waiver</w:t>
      </w:r>
      <w:r>
        <w:rPr>
          <w:rFonts w:ascii="Garamond" w:hAnsi="Garamond" w:cs="Garamond"/>
          <w:spacing w:val="-9"/>
          <w:sz w:val="22"/>
          <w:szCs w:val="22"/>
        </w:rPr>
        <w:t xml:space="preserve"> </w:t>
      </w:r>
      <w:r>
        <w:rPr>
          <w:rFonts w:ascii="Garamond" w:hAnsi="Garamond" w:cs="Garamond"/>
          <w:sz w:val="22"/>
          <w:szCs w:val="22"/>
        </w:rPr>
        <w:t>Request</w:t>
      </w:r>
      <w:r>
        <w:rPr>
          <w:rFonts w:ascii="Garamond" w:hAnsi="Garamond" w:cs="Garamond"/>
          <w:spacing w:val="-9"/>
          <w:sz w:val="22"/>
          <w:szCs w:val="22"/>
        </w:rPr>
        <w:t xml:space="preserve"> </w:t>
      </w:r>
      <w:r>
        <w:rPr>
          <w:rFonts w:ascii="Garamond" w:hAnsi="Garamond" w:cs="Garamond"/>
          <w:sz w:val="22"/>
          <w:szCs w:val="22"/>
        </w:rPr>
        <w:t>sufficiently</w:t>
      </w:r>
      <w:r>
        <w:rPr>
          <w:rFonts w:ascii="Garamond" w:hAnsi="Garamond" w:cs="Garamond"/>
          <w:spacing w:val="-8"/>
          <w:sz w:val="22"/>
          <w:szCs w:val="22"/>
        </w:rPr>
        <w:t xml:space="preserve"> </w:t>
      </w:r>
      <w:r>
        <w:rPr>
          <w:rFonts w:ascii="Garamond" w:hAnsi="Garamond" w:cs="Garamond"/>
          <w:sz w:val="22"/>
          <w:szCs w:val="22"/>
        </w:rPr>
        <w:t>addresses</w:t>
      </w:r>
      <w:r>
        <w:rPr>
          <w:rFonts w:ascii="Garamond" w:hAnsi="Garamond" w:cs="Garamond"/>
          <w:spacing w:val="-6"/>
          <w:sz w:val="22"/>
          <w:szCs w:val="22"/>
        </w:rPr>
        <w:t xml:space="preserve"> </w:t>
      </w:r>
      <w:r>
        <w:rPr>
          <w:rFonts w:ascii="Garamond" w:hAnsi="Garamond" w:cs="Garamond"/>
          <w:sz w:val="22"/>
          <w:szCs w:val="22"/>
        </w:rPr>
        <w:t>the</w:t>
      </w:r>
      <w:r>
        <w:rPr>
          <w:rFonts w:ascii="Garamond" w:hAnsi="Garamond" w:cs="Garamond"/>
          <w:spacing w:val="-11"/>
          <w:sz w:val="22"/>
          <w:szCs w:val="22"/>
        </w:rPr>
        <w:t xml:space="preserve"> </w:t>
      </w:r>
      <w:r>
        <w:rPr>
          <w:rFonts w:ascii="Garamond" w:hAnsi="Garamond" w:cs="Garamond"/>
          <w:sz w:val="22"/>
          <w:szCs w:val="22"/>
        </w:rPr>
        <w:t>integration</w:t>
      </w:r>
      <w:r>
        <w:rPr>
          <w:rFonts w:ascii="Garamond" w:hAnsi="Garamond" w:cs="Garamond"/>
          <w:spacing w:val="-9"/>
          <w:sz w:val="22"/>
          <w:szCs w:val="22"/>
        </w:rPr>
        <w:t xml:space="preserve"> </w:t>
      </w:r>
      <w:r>
        <w:rPr>
          <w:rFonts w:ascii="Garamond" w:hAnsi="Garamond" w:cs="Garamond"/>
          <w:spacing w:val="-3"/>
          <w:sz w:val="22"/>
          <w:szCs w:val="22"/>
        </w:rPr>
        <w:t xml:space="preserve">of </w:t>
      </w:r>
      <w:r>
        <w:rPr>
          <w:rFonts w:ascii="Garamond" w:hAnsi="Garamond" w:cs="Garamond"/>
          <w:sz w:val="22"/>
          <w:szCs w:val="22"/>
        </w:rPr>
        <w:t>behavioral</w:t>
      </w:r>
      <w:r>
        <w:rPr>
          <w:rFonts w:ascii="Garamond" w:hAnsi="Garamond" w:cs="Garamond"/>
          <w:spacing w:val="-8"/>
          <w:sz w:val="22"/>
          <w:szCs w:val="22"/>
        </w:rPr>
        <w:t xml:space="preserve"> </w:t>
      </w:r>
      <w:r>
        <w:rPr>
          <w:rFonts w:ascii="Garamond" w:hAnsi="Garamond" w:cs="Garamond"/>
          <w:sz w:val="22"/>
          <w:szCs w:val="22"/>
        </w:rPr>
        <w:t>health</w:t>
      </w:r>
      <w:r>
        <w:rPr>
          <w:rFonts w:ascii="Garamond" w:hAnsi="Garamond" w:cs="Garamond"/>
          <w:spacing w:val="-7"/>
          <w:sz w:val="22"/>
          <w:szCs w:val="22"/>
        </w:rPr>
        <w:t xml:space="preserve"> </w:t>
      </w:r>
      <w:r>
        <w:rPr>
          <w:rFonts w:ascii="Garamond" w:hAnsi="Garamond" w:cs="Garamond"/>
          <w:sz w:val="22"/>
          <w:szCs w:val="22"/>
        </w:rPr>
        <w:t>with</w:t>
      </w:r>
      <w:r>
        <w:rPr>
          <w:rFonts w:ascii="Garamond" w:hAnsi="Garamond" w:cs="Garamond"/>
          <w:spacing w:val="-9"/>
          <w:sz w:val="22"/>
          <w:szCs w:val="22"/>
        </w:rPr>
        <w:t xml:space="preserve"> </w:t>
      </w:r>
      <w:r>
        <w:rPr>
          <w:rFonts w:ascii="Garamond" w:hAnsi="Garamond" w:cs="Garamond"/>
          <w:sz w:val="22"/>
          <w:szCs w:val="22"/>
        </w:rPr>
        <w:t>primary</w:t>
      </w:r>
      <w:r>
        <w:rPr>
          <w:rFonts w:ascii="Garamond" w:hAnsi="Garamond" w:cs="Garamond"/>
          <w:spacing w:val="-10"/>
          <w:sz w:val="22"/>
          <w:szCs w:val="22"/>
        </w:rPr>
        <w:t xml:space="preserve"> </w:t>
      </w:r>
      <w:r>
        <w:rPr>
          <w:rFonts w:ascii="Garamond" w:hAnsi="Garamond" w:cs="Garamond"/>
          <w:sz w:val="22"/>
          <w:szCs w:val="22"/>
        </w:rPr>
        <w:t>care,</w:t>
      </w:r>
      <w:r>
        <w:rPr>
          <w:rFonts w:ascii="Garamond" w:hAnsi="Garamond" w:cs="Garamond"/>
          <w:spacing w:val="-10"/>
          <w:sz w:val="22"/>
          <w:szCs w:val="22"/>
        </w:rPr>
        <w:t xml:space="preserve"> </w:t>
      </w:r>
      <w:r>
        <w:rPr>
          <w:rFonts w:ascii="Garamond" w:hAnsi="Garamond" w:cs="Garamond"/>
          <w:sz w:val="22"/>
          <w:szCs w:val="22"/>
        </w:rPr>
        <w:t>these</w:t>
      </w:r>
      <w:r>
        <w:rPr>
          <w:rFonts w:ascii="Garamond" w:hAnsi="Garamond" w:cs="Garamond"/>
          <w:spacing w:val="-10"/>
          <w:sz w:val="22"/>
          <w:szCs w:val="22"/>
        </w:rPr>
        <w:t xml:space="preserve"> </w:t>
      </w:r>
      <w:r>
        <w:rPr>
          <w:rFonts w:ascii="Garamond" w:hAnsi="Garamond" w:cs="Garamond"/>
          <w:sz w:val="22"/>
          <w:szCs w:val="22"/>
        </w:rPr>
        <w:t>efforts</w:t>
      </w:r>
      <w:r>
        <w:rPr>
          <w:rFonts w:ascii="Garamond" w:hAnsi="Garamond" w:cs="Garamond"/>
          <w:spacing w:val="-7"/>
          <w:sz w:val="22"/>
          <w:szCs w:val="22"/>
        </w:rPr>
        <w:t xml:space="preserve"> </w:t>
      </w:r>
      <w:r>
        <w:rPr>
          <w:rFonts w:ascii="Garamond" w:hAnsi="Garamond" w:cs="Garamond"/>
          <w:sz w:val="22"/>
          <w:szCs w:val="22"/>
        </w:rPr>
        <w:t>could</w:t>
      </w:r>
      <w:r>
        <w:rPr>
          <w:rFonts w:ascii="Garamond" w:hAnsi="Garamond" w:cs="Garamond"/>
          <w:spacing w:val="-10"/>
          <w:sz w:val="22"/>
          <w:szCs w:val="22"/>
        </w:rPr>
        <w:t xml:space="preserve"> </w:t>
      </w:r>
      <w:r>
        <w:rPr>
          <w:rFonts w:ascii="Garamond" w:hAnsi="Garamond" w:cs="Garamond"/>
          <w:spacing w:val="-3"/>
          <w:sz w:val="22"/>
          <w:szCs w:val="22"/>
        </w:rPr>
        <w:t>be</w:t>
      </w:r>
      <w:r>
        <w:rPr>
          <w:rFonts w:ascii="Garamond" w:hAnsi="Garamond" w:cs="Garamond"/>
          <w:spacing w:val="-10"/>
          <w:sz w:val="22"/>
          <w:szCs w:val="22"/>
        </w:rPr>
        <w:t xml:space="preserve"> </w:t>
      </w:r>
      <w:r>
        <w:rPr>
          <w:rFonts w:ascii="Garamond" w:hAnsi="Garamond" w:cs="Garamond"/>
          <w:sz w:val="22"/>
          <w:szCs w:val="22"/>
        </w:rPr>
        <w:t>strengthened</w:t>
      </w:r>
      <w:r>
        <w:rPr>
          <w:rFonts w:ascii="Garamond" w:hAnsi="Garamond" w:cs="Garamond"/>
          <w:spacing w:val="-7"/>
          <w:sz w:val="22"/>
          <w:szCs w:val="22"/>
        </w:rPr>
        <w:t xml:space="preserve"> </w:t>
      </w:r>
      <w:r>
        <w:rPr>
          <w:rFonts w:ascii="Garamond" w:hAnsi="Garamond" w:cs="Garamond"/>
          <w:sz w:val="22"/>
          <w:szCs w:val="22"/>
        </w:rPr>
        <w:t>by</w:t>
      </w:r>
      <w:r>
        <w:rPr>
          <w:rFonts w:ascii="Garamond" w:hAnsi="Garamond" w:cs="Garamond"/>
          <w:spacing w:val="-10"/>
          <w:sz w:val="22"/>
          <w:szCs w:val="22"/>
        </w:rPr>
        <w:t xml:space="preserve"> </w:t>
      </w:r>
      <w:r>
        <w:rPr>
          <w:rFonts w:ascii="Garamond" w:hAnsi="Garamond" w:cs="Garamond"/>
          <w:sz w:val="22"/>
          <w:szCs w:val="22"/>
        </w:rPr>
        <w:t>including</w:t>
      </w:r>
      <w:r>
        <w:rPr>
          <w:rFonts w:ascii="Garamond" w:hAnsi="Garamond" w:cs="Garamond"/>
          <w:spacing w:val="-12"/>
          <w:sz w:val="22"/>
          <w:szCs w:val="22"/>
        </w:rPr>
        <w:t xml:space="preserve"> </w:t>
      </w:r>
      <w:r>
        <w:rPr>
          <w:rFonts w:ascii="Garamond" w:hAnsi="Garamond" w:cs="Garamond"/>
          <w:sz w:val="22"/>
          <w:szCs w:val="22"/>
        </w:rPr>
        <w:t>strategies</w:t>
      </w:r>
      <w:r>
        <w:rPr>
          <w:rFonts w:ascii="Garamond" w:hAnsi="Garamond" w:cs="Garamond"/>
          <w:spacing w:val="-9"/>
          <w:sz w:val="22"/>
          <w:szCs w:val="22"/>
        </w:rPr>
        <w:t xml:space="preserve"> </w:t>
      </w:r>
      <w:r>
        <w:rPr>
          <w:rFonts w:ascii="Garamond" w:hAnsi="Garamond" w:cs="Garamond"/>
          <w:sz w:val="22"/>
          <w:szCs w:val="22"/>
        </w:rPr>
        <w:t>for integrating substance use with mental health. These two systems remained siloed and consumers would</w:t>
      </w:r>
      <w:r>
        <w:rPr>
          <w:rFonts w:ascii="Garamond" w:hAnsi="Garamond" w:cs="Garamond"/>
          <w:spacing w:val="-11"/>
          <w:sz w:val="22"/>
          <w:szCs w:val="22"/>
        </w:rPr>
        <w:t xml:space="preserve"> </w:t>
      </w:r>
      <w:r>
        <w:rPr>
          <w:rFonts w:ascii="Garamond" w:hAnsi="Garamond" w:cs="Garamond"/>
          <w:sz w:val="22"/>
          <w:szCs w:val="22"/>
        </w:rPr>
        <w:t>benefit</w:t>
      </w:r>
      <w:r>
        <w:rPr>
          <w:rFonts w:ascii="Garamond" w:hAnsi="Garamond" w:cs="Garamond"/>
          <w:spacing w:val="-13"/>
          <w:sz w:val="22"/>
          <w:szCs w:val="22"/>
        </w:rPr>
        <w:t xml:space="preserve"> </w:t>
      </w:r>
      <w:r>
        <w:rPr>
          <w:rFonts w:ascii="Garamond" w:hAnsi="Garamond" w:cs="Garamond"/>
          <w:sz w:val="22"/>
          <w:szCs w:val="22"/>
        </w:rPr>
        <w:t>from</w:t>
      </w:r>
      <w:r>
        <w:rPr>
          <w:rFonts w:ascii="Garamond" w:hAnsi="Garamond" w:cs="Garamond"/>
          <w:spacing w:val="-11"/>
          <w:sz w:val="22"/>
          <w:szCs w:val="22"/>
        </w:rPr>
        <w:t xml:space="preserve"> </w:t>
      </w:r>
      <w:r>
        <w:rPr>
          <w:rFonts w:ascii="Garamond" w:hAnsi="Garamond" w:cs="Garamond"/>
          <w:sz w:val="22"/>
          <w:szCs w:val="22"/>
        </w:rPr>
        <w:t>better</w:t>
      </w:r>
      <w:r>
        <w:rPr>
          <w:rFonts w:ascii="Garamond" w:hAnsi="Garamond" w:cs="Garamond"/>
          <w:spacing w:val="-9"/>
          <w:sz w:val="22"/>
          <w:szCs w:val="22"/>
        </w:rPr>
        <w:t xml:space="preserve"> </w:t>
      </w:r>
      <w:r>
        <w:rPr>
          <w:rFonts w:ascii="Garamond" w:hAnsi="Garamond" w:cs="Garamond"/>
          <w:sz w:val="22"/>
          <w:szCs w:val="22"/>
        </w:rPr>
        <w:t>integration,</w:t>
      </w:r>
      <w:r>
        <w:rPr>
          <w:rFonts w:ascii="Garamond" w:hAnsi="Garamond" w:cs="Garamond"/>
          <w:spacing w:val="-10"/>
          <w:sz w:val="22"/>
          <w:szCs w:val="22"/>
        </w:rPr>
        <w:t xml:space="preserve"> </w:t>
      </w:r>
      <w:r>
        <w:rPr>
          <w:rFonts w:ascii="Garamond" w:hAnsi="Garamond" w:cs="Garamond"/>
          <w:sz w:val="22"/>
          <w:szCs w:val="22"/>
        </w:rPr>
        <w:t>especially</w:t>
      </w:r>
      <w:r>
        <w:rPr>
          <w:rFonts w:ascii="Garamond" w:hAnsi="Garamond" w:cs="Garamond"/>
          <w:spacing w:val="-11"/>
          <w:sz w:val="22"/>
          <w:szCs w:val="22"/>
        </w:rPr>
        <w:t xml:space="preserve"> </w:t>
      </w:r>
      <w:r>
        <w:rPr>
          <w:rFonts w:ascii="Garamond" w:hAnsi="Garamond" w:cs="Garamond"/>
          <w:sz w:val="22"/>
          <w:szCs w:val="22"/>
        </w:rPr>
        <w:t>given</w:t>
      </w:r>
      <w:r>
        <w:rPr>
          <w:rFonts w:ascii="Garamond" w:hAnsi="Garamond" w:cs="Garamond"/>
          <w:spacing w:val="-11"/>
          <w:sz w:val="22"/>
          <w:szCs w:val="22"/>
        </w:rPr>
        <w:t xml:space="preserve"> </w:t>
      </w:r>
      <w:r>
        <w:rPr>
          <w:rFonts w:ascii="Garamond" w:hAnsi="Garamond" w:cs="Garamond"/>
          <w:sz w:val="22"/>
          <w:szCs w:val="22"/>
        </w:rPr>
        <w:t>the</w:t>
      </w:r>
      <w:r>
        <w:rPr>
          <w:rFonts w:ascii="Garamond" w:hAnsi="Garamond" w:cs="Garamond"/>
          <w:spacing w:val="-10"/>
          <w:sz w:val="22"/>
          <w:szCs w:val="22"/>
        </w:rPr>
        <w:t xml:space="preserve"> </w:t>
      </w:r>
      <w:r>
        <w:rPr>
          <w:rFonts w:ascii="Garamond" w:hAnsi="Garamond" w:cs="Garamond"/>
          <w:sz w:val="22"/>
          <w:szCs w:val="22"/>
        </w:rPr>
        <w:t>incidence</w:t>
      </w:r>
      <w:r>
        <w:rPr>
          <w:rFonts w:ascii="Garamond" w:hAnsi="Garamond" w:cs="Garamond"/>
          <w:spacing w:val="-11"/>
          <w:sz w:val="22"/>
          <w:szCs w:val="22"/>
        </w:rPr>
        <w:t xml:space="preserve"> </w:t>
      </w:r>
      <w:r>
        <w:rPr>
          <w:rFonts w:ascii="Garamond" w:hAnsi="Garamond" w:cs="Garamond"/>
          <w:sz w:val="22"/>
          <w:szCs w:val="22"/>
        </w:rPr>
        <w:t>of</w:t>
      </w:r>
      <w:r>
        <w:rPr>
          <w:rFonts w:ascii="Garamond" w:hAnsi="Garamond" w:cs="Garamond"/>
          <w:spacing w:val="-9"/>
          <w:sz w:val="22"/>
          <w:szCs w:val="22"/>
        </w:rPr>
        <w:t xml:space="preserve"> </w:t>
      </w:r>
      <w:r>
        <w:rPr>
          <w:rFonts w:ascii="Garamond" w:hAnsi="Garamond" w:cs="Garamond"/>
          <w:sz w:val="22"/>
          <w:szCs w:val="22"/>
        </w:rPr>
        <w:t>co-occurring</w:t>
      </w:r>
      <w:r>
        <w:rPr>
          <w:rFonts w:ascii="Garamond" w:hAnsi="Garamond" w:cs="Garamond"/>
          <w:spacing w:val="-14"/>
          <w:sz w:val="22"/>
          <w:szCs w:val="22"/>
        </w:rPr>
        <w:t xml:space="preserve"> </w:t>
      </w:r>
      <w:r>
        <w:rPr>
          <w:rFonts w:ascii="Garamond" w:hAnsi="Garamond" w:cs="Garamond"/>
          <w:sz w:val="22"/>
          <w:szCs w:val="22"/>
        </w:rPr>
        <w:t>mental</w:t>
      </w:r>
      <w:r>
        <w:rPr>
          <w:rFonts w:ascii="Garamond" w:hAnsi="Garamond" w:cs="Garamond"/>
          <w:spacing w:val="-11"/>
          <w:sz w:val="22"/>
          <w:szCs w:val="22"/>
        </w:rPr>
        <w:t xml:space="preserve"> </w:t>
      </w:r>
      <w:r>
        <w:rPr>
          <w:rFonts w:ascii="Garamond" w:hAnsi="Garamond" w:cs="Garamond"/>
          <w:sz w:val="22"/>
          <w:szCs w:val="22"/>
        </w:rPr>
        <w:t>health and</w:t>
      </w:r>
      <w:r>
        <w:rPr>
          <w:rFonts w:ascii="Garamond" w:hAnsi="Garamond" w:cs="Garamond"/>
          <w:spacing w:val="-10"/>
          <w:sz w:val="22"/>
          <w:szCs w:val="22"/>
        </w:rPr>
        <w:t xml:space="preserve"> </w:t>
      </w:r>
      <w:r>
        <w:rPr>
          <w:rFonts w:ascii="Garamond" w:hAnsi="Garamond" w:cs="Garamond"/>
          <w:sz w:val="22"/>
          <w:szCs w:val="22"/>
        </w:rPr>
        <w:t>substance</w:t>
      </w:r>
      <w:r>
        <w:rPr>
          <w:rFonts w:ascii="Garamond" w:hAnsi="Garamond" w:cs="Garamond"/>
          <w:spacing w:val="-9"/>
          <w:sz w:val="22"/>
          <w:szCs w:val="22"/>
        </w:rPr>
        <w:t xml:space="preserve"> </w:t>
      </w:r>
      <w:r>
        <w:rPr>
          <w:rFonts w:ascii="Garamond" w:hAnsi="Garamond" w:cs="Garamond"/>
          <w:sz w:val="22"/>
          <w:szCs w:val="22"/>
        </w:rPr>
        <w:t>use</w:t>
      </w:r>
      <w:r>
        <w:rPr>
          <w:rFonts w:ascii="Garamond" w:hAnsi="Garamond" w:cs="Garamond"/>
          <w:spacing w:val="-10"/>
          <w:sz w:val="22"/>
          <w:szCs w:val="22"/>
        </w:rPr>
        <w:t xml:space="preserve"> </w:t>
      </w:r>
      <w:r>
        <w:rPr>
          <w:rFonts w:ascii="Garamond" w:hAnsi="Garamond" w:cs="Garamond"/>
          <w:sz w:val="22"/>
          <w:szCs w:val="22"/>
        </w:rPr>
        <w:t>disorders</w:t>
      </w:r>
      <w:r>
        <w:rPr>
          <w:rFonts w:ascii="Garamond" w:hAnsi="Garamond" w:cs="Garamond"/>
          <w:spacing w:val="-11"/>
          <w:sz w:val="22"/>
          <w:szCs w:val="22"/>
        </w:rPr>
        <w:t xml:space="preserve"> </w:t>
      </w:r>
      <w:r>
        <w:rPr>
          <w:rFonts w:ascii="Garamond" w:hAnsi="Garamond" w:cs="Garamond"/>
          <w:sz w:val="22"/>
          <w:szCs w:val="22"/>
        </w:rPr>
        <w:t>among</w:t>
      </w:r>
      <w:r>
        <w:rPr>
          <w:rFonts w:ascii="Garamond" w:hAnsi="Garamond" w:cs="Garamond"/>
          <w:spacing w:val="-9"/>
          <w:sz w:val="22"/>
          <w:szCs w:val="22"/>
        </w:rPr>
        <w:t xml:space="preserve"> </w:t>
      </w:r>
      <w:r>
        <w:rPr>
          <w:rFonts w:ascii="Garamond" w:hAnsi="Garamond" w:cs="Garamond"/>
          <w:sz w:val="22"/>
          <w:szCs w:val="22"/>
        </w:rPr>
        <w:t>the</w:t>
      </w:r>
      <w:r>
        <w:rPr>
          <w:rFonts w:ascii="Garamond" w:hAnsi="Garamond" w:cs="Garamond"/>
          <w:spacing w:val="-11"/>
          <w:sz w:val="22"/>
          <w:szCs w:val="22"/>
        </w:rPr>
        <w:t xml:space="preserve"> </w:t>
      </w:r>
      <w:r>
        <w:rPr>
          <w:rFonts w:ascii="Garamond" w:hAnsi="Garamond" w:cs="Garamond"/>
          <w:sz w:val="22"/>
          <w:szCs w:val="22"/>
        </w:rPr>
        <w:t>population.</w:t>
      </w:r>
    </w:p>
    <w:p w:rsidR="002C5025" w:rsidRDefault="002C5025">
      <w:pPr>
        <w:pStyle w:val="ListParagraph"/>
        <w:numPr>
          <w:ilvl w:val="2"/>
          <w:numId w:val="49"/>
        </w:numPr>
        <w:tabs>
          <w:tab w:val="left" w:pos="840"/>
        </w:tabs>
        <w:kinsoku w:val="0"/>
        <w:overflowPunct w:val="0"/>
        <w:spacing w:before="7"/>
        <w:ind w:right="172" w:hanging="359"/>
        <w:rPr>
          <w:rFonts w:ascii="Garamond" w:hAnsi="Garamond" w:cs="Garamond"/>
          <w:sz w:val="22"/>
          <w:szCs w:val="22"/>
        </w:rPr>
      </w:pPr>
      <w:r>
        <w:rPr>
          <w:rFonts w:ascii="Garamond" w:hAnsi="Garamond" w:cs="Garamond"/>
          <w:i/>
          <w:iCs/>
          <w:sz w:val="22"/>
          <w:szCs w:val="22"/>
        </w:rPr>
        <w:t xml:space="preserve">Prevention. </w:t>
      </w:r>
      <w:r>
        <w:rPr>
          <w:rFonts w:ascii="Garamond" w:hAnsi="Garamond" w:cs="Garamond"/>
          <w:sz w:val="22"/>
          <w:szCs w:val="22"/>
        </w:rPr>
        <w:t xml:space="preserve">We feel the </w:t>
      </w:r>
      <w:r>
        <w:rPr>
          <w:rFonts w:ascii="Garamond" w:hAnsi="Garamond" w:cs="Garamond"/>
          <w:spacing w:val="-3"/>
          <w:sz w:val="22"/>
          <w:szCs w:val="22"/>
        </w:rPr>
        <w:t xml:space="preserve">Waiver </w:t>
      </w:r>
      <w:r>
        <w:rPr>
          <w:rFonts w:ascii="Garamond" w:hAnsi="Garamond" w:cs="Garamond"/>
          <w:sz w:val="22"/>
          <w:szCs w:val="22"/>
        </w:rPr>
        <w:t xml:space="preserve">Request falls </w:t>
      </w:r>
      <w:r>
        <w:rPr>
          <w:rFonts w:ascii="Garamond" w:hAnsi="Garamond" w:cs="Garamond"/>
          <w:spacing w:val="-3"/>
          <w:sz w:val="22"/>
          <w:szCs w:val="22"/>
        </w:rPr>
        <w:t xml:space="preserve">short </w:t>
      </w:r>
      <w:r>
        <w:rPr>
          <w:rFonts w:ascii="Garamond" w:hAnsi="Garamond" w:cs="Garamond"/>
          <w:sz w:val="22"/>
          <w:szCs w:val="22"/>
        </w:rPr>
        <w:t xml:space="preserve">on primary substance use prevention efforts. </w:t>
      </w:r>
      <w:r>
        <w:rPr>
          <w:rFonts w:ascii="Garamond" w:hAnsi="Garamond" w:cs="Garamond"/>
          <w:spacing w:val="-6"/>
          <w:sz w:val="22"/>
          <w:szCs w:val="22"/>
        </w:rPr>
        <w:t xml:space="preserve">As </w:t>
      </w:r>
      <w:r>
        <w:rPr>
          <w:rFonts w:ascii="Garamond" w:hAnsi="Garamond" w:cs="Garamond"/>
          <w:sz w:val="22"/>
          <w:szCs w:val="22"/>
        </w:rPr>
        <w:t xml:space="preserve">stated in the application, the DPH, DMH </w:t>
      </w:r>
      <w:r>
        <w:rPr>
          <w:rFonts w:ascii="Garamond" w:hAnsi="Garamond" w:cs="Garamond"/>
          <w:spacing w:val="-3"/>
          <w:sz w:val="22"/>
          <w:szCs w:val="22"/>
        </w:rPr>
        <w:t xml:space="preserve">and </w:t>
      </w:r>
      <w:r>
        <w:rPr>
          <w:rFonts w:ascii="Garamond" w:hAnsi="Garamond" w:cs="Garamond"/>
          <w:sz w:val="22"/>
          <w:szCs w:val="22"/>
        </w:rPr>
        <w:t xml:space="preserve">EOHHS currently support important </w:t>
      </w:r>
      <w:r>
        <w:rPr>
          <w:rFonts w:ascii="Garamond" w:hAnsi="Garamond" w:cs="Garamond"/>
          <w:spacing w:val="-3"/>
          <w:sz w:val="22"/>
          <w:szCs w:val="22"/>
        </w:rPr>
        <w:t xml:space="preserve">prevention </w:t>
      </w:r>
      <w:r>
        <w:rPr>
          <w:rFonts w:ascii="Garamond" w:hAnsi="Garamond" w:cs="Garamond"/>
          <w:sz w:val="22"/>
          <w:szCs w:val="22"/>
        </w:rPr>
        <w:t xml:space="preserve">initiatives across the state, and this Waiver Request </w:t>
      </w:r>
      <w:r>
        <w:rPr>
          <w:rFonts w:ascii="Garamond" w:hAnsi="Garamond" w:cs="Garamond"/>
          <w:spacing w:val="-3"/>
          <w:sz w:val="22"/>
          <w:szCs w:val="22"/>
        </w:rPr>
        <w:t xml:space="preserve">would </w:t>
      </w:r>
      <w:r>
        <w:rPr>
          <w:rFonts w:ascii="Garamond" w:hAnsi="Garamond" w:cs="Garamond"/>
          <w:sz w:val="22"/>
          <w:szCs w:val="22"/>
        </w:rPr>
        <w:t xml:space="preserve">establish assessments for consumers seeking substance use treatment. While this is a good start, these efforts </w:t>
      </w:r>
      <w:r>
        <w:rPr>
          <w:rFonts w:ascii="Garamond" w:hAnsi="Garamond" w:cs="Garamond"/>
          <w:spacing w:val="-3"/>
          <w:sz w:val="22"/>
          <w:szCs w:val="22"/>
        </w:rPr>
        <w:t xml:space="preserve">could </w:t>
      </w:r>
      <w:r>
        <w:rPr>
          <w:rFonts w:ascii="Garamond" w:hAnsi="Garamond" w:cs="Garamond"/>
          <w:sz w:val="22"/>
          <w:szCs w:val="22"/>
        </w:rPr>
        <w:t xml:space="preserve">be bolstered by MassHealth requiring </w:t>
      </w:r>
      <w:r>
        <w:rPr>
          <w:rFonts w:ascii="Garamond" w:hAnsi="Garamond" w:cs="Garamond"/>
          <w:spacing w:val="-3"/>
          <w:sz w:val="22"/>
          <w:szCs w:val="22"/>
        </w:rPr>
        <w:t xml:space="preserve">ACOs </w:t>
      </w:r>
      <w:r>
        <w:rPr>
          <w:rFonts w:ascii="Garamond" w:hAnsi="Garamond" w:cs="Garamond"/>
          <w:sz w:val="22"/>
          <w:szCs w:val="22"/>
        </w:rPr>
        <w:t xml:space="preserve">to provide screening, brief </w:t>
      </w:r>
      <w:r>
        <w:rPr>
          <w:rFonts w:ascii="Garamond" w:hAnsi="Garamond" w:cs="Garamond"/>
          <w:spacing w:val="-3"/>
          <w:sz w:val="22"/>
          <w:szCs w:val="22"/>
        </w:rPr>
        <w:t xml:space="preserve">intervention, </w:t>
      </w:r>
      <w:r>
        <w:rPr>
          <w:rFonts w:ascii="Garamond" w:hAnsi="Garamond" w:cs="Garamond"/>
          <w:sz w:val="22"/>
          <w:szCs w:val="22"/>
        </w:rPr>
        <w:t xml:space="preserve">and referral to treatment (SBIRT) to all consumers – not just individuals who present with a substance use </w:t>
      </w:r>
      <w:r>
        <w:rPr>
          <w:rFonts w:ascii="Garamond" w:hAnsi="Garamond" w:cs="Garamond"/>
          <w:spacing w:val="-3"/>
          <w:sz w:val="22"/>
          <w:szCs w:val="22"/>
        </w:rPr>
        <w:t xml:space="preserve">problem </w:t>
      </w:r>
      <w:r>
        <w:rPr>
          <w:rFonts w:ascii="Garamond" w:hAnsi="Garamond" w:cs="Garamond"/>
          <w:sz w:val="22"/>
          <w:szCs w:val="22"/>
        </w:rPr>
        <w:t>– in primary</w:t>
      </w:r>
      <w:r>
        <w:rPr>
          <w:rFonts w:ascii="Garamond" w:hAnsi="Garamond" w:cs="Garamond"/>
          <w:spacing w:val="-8"/>
          <w:sz w:val="22"/>
          <w:szCs w:val="22"/>
        </w:rPr>
        <w:t xml:space="preserve"> </w:t>
      </w:r>
      <w:r>
        <w:rPr>
          <w:rFonts w:ascii="Garamond" w:hAnsi="Garamond" w:cs="Garamond"/>
          <w:sz w:val="22"/>
          <w:szCs w:val="22"/>
        </w:rPr>
        <w:t>care</w:t>
      </w:r>
      <w:r>
        <w:rPr>
          <w:rFonts w:ascii="Garamond" w:hAnsi="Garamond" w:cs="Garamond"/>
          <w:spacing w:val="-11"/>
          <w:sz w:val="22"/>
          <w:szCs w:val="22"/>
        </w:rPr>
        <w:t xml:space="preserve"> </w:t>
      </w:r>
      <w:r>
        <w:rPr>
          <w:rFonts w:ascii="Garamond" w:hAnsi="Garamond" w:cs="Garamond"/>
          <w:sz w:val="22"/>
          <w:szCs w:val="22"/>
        </w:rPr>
        <w:t>settings.</w:t>
      </w:r>
      <w:r>
        <w:rPr>
          <w:rFonts w:ascii="Garamond" w:hAnsi="Garamond" w:cs="Garamond"/>
          <w:spacing w:val="-8"/>
          <w:sz w:val="22"/>
          <w:szCs w:val="22"/>
        </w:rPr>
        <w:t xml:space="preserve"> </w:t>
      </w:r>
      <w:r>
        <w:rPr>
          <w:rFonts w:ascii="Garamond" w:hAnsi="Garamond" w:cs="Garamond"/>
          <w:sz w:val="22"/>
          <w:szCs w:val="22"/>
        </w:rPr>
        <w:t>Requiring</w:t>
      </w:r>
      <w:r>
        <w:rPr>
          <w:rFonts w:ascii="Garamond" w:hAnsi="Garamond" w:cs="Garamond"/>
          <w:spacing w:val="-8"/>
          <w:sz w:val="22"/>
          <w:szCs w:val="22"/>
        </w:rPr>
        <w:t xml:space="preserve"> </w:t>
      </w:r>
      <w:r>
        <w:rPr>
          <w:rFonts w:ascii="Garamond" w:hAnsi="Garamond" w:cs="Garamond"/>
          <w:sz w:val="22"/>
          <w:szCs w:val="22"/>
        </w:rPr>
        <w:t>this</w:t>
      </w:r>
      <w:r>
        <w:rPr>
          <w:rFonts w:ascii="Garamond" w:hAnsi="Garamond" w:cs="Garamond"/>
          <w:spacing w:val="-6"/>
          <w:sz w:val="22"/>
          <w:szCs w:val="22"/>
        </w:rPr>
        <w:t xml:space="preserve"> </w:t>
      </w:r>
      <w:r>
        <w:rPr>
          <w:rFonts w:ascii="Garamond" w:hAnsi="Garamond" w:cs="Garamond"/>
          <w:sz w:val="22"/>
          <w:szCs w:val="22"/>
        </w:rPr>
        <w:t>simple</w:t>
      </w:r>
      <w:r>
        <w:rPr>
          <w:rFonts w:ascii="Garamond" w:hAnsi="Garamond" w:cs="Garamond"/>
          <w:spacing w:val="-8"/>
          <w:sz w:val="22"/>
          <w:szCs w:val="22"/>
        </w:rPr>
        <w:t xml:space="preserve"> </w:t>
      </w:r>
      <w:r>
        <w:rPr>
          <w:rFonts w:ascii="Garamond" w:hAnsi="Garamond" w:cs="Garamond"/>
          <w:sz w:val="22"/>
          <w:szCs w:val="22"/>
        </w:rPr>
        <w:t>and</w:t>
      </w:r>
      <w:r>
        <w:rPr>
          <w:rFonts w:ascii="Garamond" w:hAnsi="Garamond" w:cs="Garamond"/>
          <w:spacing w:val="-5"/>
          <w:sz w:val="22"/>
          <w:szCs w:val="22"/>
        </w:rPr>
        <w:t xml:space="preserve"> </w:t>
      </w:r>
      <w:r>
        <w:rPr>
          <w:rFonts w:ascii="Garamond" w:hAnsi="Garamond" w:cs="Garamond"/>
          <w:sz w:val="22"/>
          <w:szCs w:val="22"/>
        </w:rPr>
        <w:t>quick</w:t>
      </w:r>
      <w:r>
        <w:rPr>
          <w:rFonts w:ascii="Garamond" w:hAnsi="Garamond" w:cs="Garamond"/>
          <w:spacing w:val="-8"/>
          <w:sz w:val="22"/>
          <w:szCs w:val="22"/>
        </w:rPr>
        <w:t xml:space="preserve"> </w:t>
      </w:r>
      <w:r>
        <w:rPr>
          <w:rFonts w:ascii="Garamond" w:hAnsi="Garamond" w:cs="Garamond"/>
          <w:sz w:val="22"/>
          <w:szCs w:val="22"/>
        </w:rPr>
        <w:t>verbal</w:t>
      </w:r>
      <w:r>
        <w:rPr>
          <w:rFonts w:ascii="Garamond" w:hAnsi="Garamond" w:cs="Garamond"/>
          <w:spacing w:val="-8"/>
          <w:sz w:val="22"/>
          <w:szCs w:val="22"/>
        </w:rPr>
        <w:t xml:space="preserve"> </w:t>
      </w:r>
      <w:r>
        <w:rPr>
          <w:rFonts w:ascii="Garamond" w:hAnsi="Garamond" w:cs="Garamond"/>
          <w:sz w:val="22"/>
          <w:szCs w:val="22"/>
        </w:rPr>
        <w:t>or</w:t>
      </w:r>
      <w:r>
        <w:rPr>
          <w:rFonts w:ascii="Garamond" w:hAnsi="Garamond" w:cs="Garamond"/>
          <w:spacing w:val="-7"/>
          <w:sz w:val="22"/>
          <w:szCs w:val="22"/>
        </w:rPr>
        <w:t xml:space="preserve"> </w:t>
      </w:r>
      <w:r>
        <w:rPr>
          <w:rFonts w:ascii="Garamond" w:hAnsi="Garamond" w:cs="Garamond"/>
          <w:sz w:val="22"/>
          <w:szCs w:val="22"/>
        </w:rPr>
        <w:t>written</w:t>
      </w:r>
      <w:r>
        <w:rPr>
          <w:rFonts w:ascii="Garamond" w:hAnsi="Garamond" w:cs="Garamond"/>
          <w:spacing w:val="-7"/>
          <w:sz w:val="22"/>
          <w:szCs w:val="22"/>
        </w:rPr>
        <w:t xml:space="preserve"> </w:t>
      </w:r>
      <w:r>
        <w:rPr>
          <w:rFonts w:ascii="Garamond" w:hAnsi="Garamond" w:cs="Garamond"/>
          <w:sz w:val="22"/>
          <w:szCs w:val="22"/>
        </w:rPr>
        <w:t>screening</w:t>
      </w:r>
      <w:r>
        <w:rPr>
          <w:rFonts w:ascii="Garamond" w:hAnsi="Garamond" w:cs="Garamond"/>
          <w:spacing w:val="-6"/>
          <w:sz w:val="22"/>
          <w:szCs w:val="22"/>
        </w:rPr>
        <w:t xml:space="preserve"> </w:t>
      </w:r>
      <w:r>
        <w:rPr>
          <w:rFonts w:ascii="Garamond" w:hAnsi="Garamond" w:cs="Garamond"/>
          <w:sz w:val="22"/>
          <w:szCs w:val="22"/>
        </w:rPr>
        <w:t>by</w:t>
      </w:r>
      <w:r>
        <w:rPr>
          <w:rFonts w:ascii="Garamond" w:hAnsi="Garamond" w:cs="Garamond"/>
          <w:spacing w:val="-11"/>
          <w:sz w:val="22"/>
          <w:szCs w:val="22"/>
        </w:rPr>
        <w:t xml:space="preserve"> </w:t>
      </w:r>
      <w:r>
        <w:rPr>
          <w:rFonts w:ascii="Garamond" w:hAnsi="Garamond" w:cs="Garamond"/>
          <w:spacing w:val="-3"/>
          <w:sz w:val="22"/>
          <w:szCs w:val="22"/>
        </w:rPr>
        <w:t>ACOs</w:t>
      </w:r>
      <w:r>
        <w:rPr>
          <w:rFonts w:ascii="Garamond" w:hAnsi="Garamond" w:cs="Garamond"/>
          <w:spacing w:val="-5"/>
          <w:sz w:val="22"/>
          <w:szCs w:val="22"/>
        </w:rPr>
        <w:t xml:space="preserve"> </w:t>
      </w:r>
      <w:r>
        <w:rPr>
          <w:rFonts w:ascii="Garamond" w:hAnsi="Garamond" w:cs="Garamond"/>
          <w:sz w:val="22"/>
          <w:szCs w:val="22"/>
        </w:rPr>
        <w:t>would</w:t>
      </w:r>
      <w:r>
        <w:rPr>
          <w:rFonts w:ascii="Garamond" w:hAnsi="Garamond" w:cs="Garamond"/>
          <w:spacing w:val="-5"/>
          <w:sz w:val="22"/>
          <w:szCs w:val="22"/>
        </w:rPr>
        <w:t xml:space="preserve"> </w:t>
      </w:r>
      <w:r>
        <w:rPr>
          <w:rFonts w:ascii="Garamond" w:hAnsi="Garamond" w:cs="Garamond"/>
          <w:sz w:val="22"/>
          <w:szCs w:val="22"/>
        </w:rPr>
        <w:t>be</w:t>
      </w:r>
    </w:p>
    <w:p w:rsidR="002C5025" w:rsidRDefault="002C5025">
      <w:pPr>
        <w:pStyle w:val="BodyText"/>
        <w:kinsoku w:val="0"/>
        <w:overflowPunct w:val="0"/>
        <w:rPr>
          <w:rFonts w:ascii="Garamond" w:hAnsi="Garamond" w:cs="Garamond"/>
          <w:sz w:val="20"/>
          <w:szCs w:val="20"/>
        </w:rPr>
      </w:pPr>
    </w:p>
    <w:p w:rsidR="002C5025" w:rsidRDefault="002C5025">
      <w:pPr>
        <w:pStyle w:val="BodyText"/>
        <w:kinsoku w:val="0"/>
        <w:overflowPunct w:val="0"/>
        <w:rPr>
          <w:rFonts w:ascii="Garamond" w:hAnsi="Garamond" w:cs="Garamond"/>
          <w:sz w:val="20"/>
          <w:szCs w:val="20"/>
        </w:rPr>
      </w:pPr>
    </w:p>
    <w:p w:rsidR="002C5025" w:rsidRDefault="00FB027C">
      <w:pPr>
        <w:pStyle w:val="BodyText"/>
        <w:kinsoku w:val="0"/>
        <w:overflowPunct w:val="0"/>
        <w:spacing w:before="4"/>
        <w:rPr>
          <w:rFonts w:ascii="Garamond" w:hAnsi="Garamond" w:cs="Garamond"/>
          <w:sz w:val="10"/>
          <w:szCs w:val="10"/>
        </w:rPr>
      </w:pPr>
      <w:r>
        <w:rPr>
          <w:noProof/>
        </w:rPr>
        <mc:AlternateContent>
          <mc:Choice Requires="wps">
            <w:drawing>
              <wp:anchor distT="0" distB="0" distL="0" distR="0" simplePos="0" relativeHeight="251664896" behindDoc="0" locked="0" layoutInCell="0" allowOverlap="1">
                <wp:simplePos x="0" y="0"/>
                <wp:positionH relativeFrom="page">
                  <wp:posOffset>923925</wp:posOffset>
                </wp:positionH>
                <wp:positionV relativeFrom="paragraph">
                  <wp:posOffset>104140</wp:posOffset>
                </wp:positionV>
                <wp:extent cx="1829435" cy="12700"/>
                <wp:effectExtent l="0" t="0" r="0" b="0"/>
                <wp:wrapTopAndBottom/>
                <wp:docPr id="554" name="Freeform 4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1 w 2881"/>
                            <a:gd name="T3" fmla="*/ 0 h 20"/>
                          </a:gdLst>
                          <a:ahLst/>
                          <a:cxnLst>
                            <a:cxn ang="0">
                              <a:pos x="T0" y="T1"/>
                            </a:cxn>
                            <a:cxn ang="0">
                              <a:pos x="T2" y="T3"/>
                            </a:cxn>
                          </a:cxnLst>
                          <a:rect l="0" t="0" r="r" b="b"/>
                          <a:pathLst>
                            <a:path w="2881" h="20">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71" o:spid="_x0000_s1026" style="position:absolute;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2.75pt,8.2pt,216.8pt,8.2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" o:allowincell="f" filled="f" strokeweight=".82pt">
                <v:path arrowok="t" o:connecttype="custom" o:connectlocs="0,0;1829435,0" o:connectangles="0,0"/>
                <w10:wrap type="topAndBottom" anchorx="page"/>
              </v:polyline>
            </w:pict>
          </mc:Fallback>
        </mc:AlternateContent>
      </w:r>
    </w:p>
    <w:p w:rsidR="002C5025" w:rsidRDefault="002C5025">
      <w:pPr>
        <w:pStyle w:val="BodyText"/>
        <w:kinsoku w:val="0"/>
        <w:overflowPunct w:val="0"/>
        <w:spacing w:before="70"/>
        <w:ind w:left="120" w:right="455"/>
        <w:rPr>
          <w:rFonts w:ascii="Garamond" w:hAnsi="Garamond" w:cs="Garamond"/>
          <w:color w:val="000000"/>
          <w:sz w:val="20"/>
          <w:szCs w:val="20"/>
        </w:rPr>
      </w:pPr>
      <w:r>
        <w:rPr>
          <w:rFonts w:ascii="Garamond" w:hAnsi="Garamond" w:cs="Garamond"/>
          <w:position w:val="5"/>
          <w:sz w:val="13"/>
          <w:szCs w:val="13"/>
        </w:rPr>
        <w:t>31</w:t>
      </w:r>
      <w:r>
        <w:rPr>
          <w:rFonts w:ascii="Garamond" w:hAnsi="Garamond" w:cs="Garamond"/>
          <w:spacing w:val="5"/>
          <w:position w:val="5"/>
          <w:sz w:val="13"/>
          <w:szCs w:val="13"/>
        </w:rPr>
        <w:t xml:space="preserve"> </w:t>
      </w:r>
      <w:r>
        <w:rPr>
          <w:rFonts w:ascii="Garamond" w:hAnsi="Garamond" w:cs="Garamond"/>
          <w:sz w:val="20"/>
          <w:szCs w:val="20"/>
        </w:rPr>
        <w:t>Executive</w:t>
      </w:r>
      <w:r>
        <w:rPr>
          <w:rFonts w:ascii="Garamond" w:hAnsi="Garamond" w:cs="Garamond"/>
          <w:spacing w:val="-13"/>
          <w:sz w:val="20"/>
          <w:szCs w:val="20"/>
        </w:rPr>
        <w:t xml:space="preserve"> </w:t>
      </w:r>
      <w:r>
        <w:rPr>
          <w:rFonts w:ascii="Garamond" w:hAnsi="Garamond" w:cs="Garamond"/>
          <w:sz w:val="20"/>
          <w:szCs w:val="20"/>
        </w:rPr>
        <w:t>Office</w:t>
      </w:r>
      <w:r>
        <w:rPr>
          <w:rFonts w:ascii="Garamond" w:hAnsi="Garamond" w:cs="Garamond"/>
          <w:spacing w:val="-11"/>
          <w:sz w:val="20"/>
          <w:szCs w:val="20"/>
        </w:rPr>
        <w:t xml:space="preserve"> </w:t>
      </w:r>
      <w:r>
        <w:rPr>
          <w:rFonts w:ascii="Garamond" w:hAnsi="Garamond" w:cs="Garamond"/>
          <w:sz w:val="20"/>
          <w:szCs w:val="20"/>
        </w:rPr>
        <w:t>of</w:t>
      </w:r>
      <w:r>
        <w:rPr>
          <w:rFonts w:ascii="Garamond" w:hAnsi="Garamond" w:cs="Garamond"/>
          <w:spacing w:val="-14"/>
          <w:sz w:val="20"/>
          <w:szCs w:val="20"/>
        </w:rPr>
        <w:t xml:space="preserve"> </w:t>
      </w:r>
      <w:r>
        <w:rPr>
          <w:rFonts w:ascii="Garamond" w:hAnsi="Garamond" w:cs="Garamond"/>
          <w:sz w:val="20"/>
          <w:szCs w:val="20"/>
        </w:rPr>
        <w:t>Health</w:t>
      </w:r>
      <w:r>
        <w:rPr>
          <w:rFonts w:ascii="Garamond" w:hAnsi="Garamond" w:cs="Garamond"/>
          <w:spacing w:val="-17"/>
          <w:sz w:val="20"/>
          <w:szCs w:val="20"/>
        </w:rPr>
        <w:t xml:space="preserve"> </w:t>
      </w:r>
      <w:r>
        <w:rPr>
          <w:rFonts w:ascii="Garamond" w:hAnsi="Garamond" w:cs="Garamond"/>
          <w:sz w:val="20"/>
          <w:szCs w:val="20"/>
        </w:rPr>
        <w:t>and</w:t>
      </w:r>
      <w:r>
        <w:rPr>
          <w:rFonts w:ascii="Garamond" w:hAnsi="Garamond" w:cs="Garamond"/>
          <w:spacing w:val="-11"/>
          <w:sz w:val="20"/>
          <w:szCs w:val="20"/>
        </w:rPr>
        <w:t xml:space="preserve"> </w:t>
      </w:r>
      <w:r>
        <w:rPr>
          <w:rFonts w:ascii="Garamond" w:hAnsi="Garamond" w:cs="Garamond"/>
          <w:sz w:val="20"/>
          <w:szCs w:val="20"/>
        </w:rPr>
        <w:t>Human</w:t>
      </w:r>
      <w:r>
        <w:rPr>
          <w:rFonts w:ascii="Garamond" w:hAnsi="Garamond" w:cs="Garamond"/>
          <w:spacing w:val="-15"/>
          <w:sz w:val="20"/>
          <w:szCs w:val="20"/>
        </w:rPr>
        <w:t xml:space="preserve"> </w:t>
      </w:r>
      <w:r>
        <w:rPr>
          <w:rFonts w:ascii="Garamond" w:hAnsi="Garamond" w:cs="Garamond"/>
          <w:sz w:val="20"/>
          <w:szCs w:val="20"/>
        </w:rPr>
        <w:t>Services.</w:t>
      </w:r>
      <w:r>
        <w:rPr>
          <w:rFonts w:ascii="Garamond" w:hAnsi="Garamond" w:cs="Garamond"/>
          <w:spacing w:val="-15"/>
          <w:sz w:val="20"/>
          <w:szCs w:val="20"/>
        </w:rPr>
        <w:t xml:space="preserve"> </w:t>
      </w:r>
      <w:r>
        <w:rPr>
          <w:rFonts w:ascii="Garamond" w:hAnsi="Garamond" w:cs="Garamond"/>
          <w:sz w:val="20"/>
          <w:szCs w:val="20"/>
        </w:rPr>
        <w:t>(2012).</w:t>
      </w:r>
      <w:r>
        <w:rPr>
          <w:rFonts w:ascii="Garamond" w:hAnsi="Garamond" w:cs="Garamond"/>
          <w:spacing w:val="-10"/>
          <w:sz w:val="20"/>
          <w:szCs w:val="20"/>
        </w:rPr>
        <w:t xml:space="preserve"> </w:t>
      </w:r>
      <w:r>
        <w:rPr>
          <w:rFonts w:ascii="Garamond" w:hAnsi="Garamond" w:cs="Garamond"/>
          <w:i/>
          <w:iCs/>
          <w:sz w:val="20"/>
          <w:szCs w:val="20"/>
        </w:rPr>
        <w:t>Family</w:t>
      </w:r>
      <w:r>
        <w:rPr>
          <w:rFonts w:ascii="Garamond" w:hAnsi="Garamond" w:cs="Garamond"/>
          <w:i/>
          <w:iCs/>
          <w:spacing w:val="-13"/>
          <w:sz w:val="20"/>
          <w:szCs w:val="20"/>
        </w:rPr>
        <w:t xml:space="preserve"> </w:t>
      </w:r>
      <w:r>
        <w:rPr>
          <w:rFonts w:ascii="Garamond" w:hAnsi="Garamond" w:cs="Garamond"/>
          <w:i/>
          <w:iCs/>
          <w:sz w:val="20"/>
          <w:szCs w:val="20"/>
        </w:rPr>
        <w:t>Support</w:t>
      </w:r>
      <w:r>
        <w:rPr>
          <w:rFonts w:ascii="Garamond" w:hAnsi="Garamond" w:cs="Garamond"/>
          <w:i/>
          <w:iCs/>
          <w:spacing w:val="-14"/>
          <w:sz w:val="20"/>
          <w:szCs w:val="20"/>
        </w:rPr>
        <w:t xml:space="preserve"> </w:t>
      </w:r>
      <w:r>
        <w:rPr>
          <w:rFonts w:ascii="Garamond" w:hAnsi="Garamond" w:cs="Garamond"/>
          <w:i/>
          <w:iCs/>
          <w:sz w:val="20"/>
          <w:szCs w:val="20"/>
        </w:rPr>
        <w:t>and</w:t>
      </w:r>
      <w:r>
        <w:rPr>
          <w:rFonts w:ascii="Garamond" w:hAnsi="Garamond" w:cs="Garamond"/>
          <w:i/>
          <w:iCs/>
          <w:spacing w:val="-14"/>
          <w:sz w:val="20"/>
          <w:szCs w:val="20"/>
        </w:rPr>
        <w:t xml:space="preserve"> </w:t>
      </w:r>
      <w:r>
        <w:rPr>
          <w:rFonts w:ascii="Garamond" w:hAnsi="Garamond" w:cs="Garamond"/>
          <w:i/>
          <w:iCs/>
          <w:sz w:val="20"/>
          <w:szCs w:val="20"/>
        </w:rPr>
        <w:t>Training</w:t>
      </w:r>
      <w:r>
        <w:rPr>
          <w:rFonts w:ascii="Garamond" w:hAnsi="Garamond" w:cs="Garamond"/>
          <w:i/>
          <w:iCs/>
          <w:spacing w:val="-11"/>
          <w:sz w:val="20"/>
          <w:szCs w:val="20"/>
        </w:rPr>
        <w:t xml:space="preserve"> </w:t>
      </w:r>
      <w:r>
        <w:rPr>
          <w:rFonts w:ascii="Garamond" w:hAnsi="Garamond" w:cs="Garamond"/>
          <w:i/>
          <w:iCs/>
          <w:sz w:val="20"/>
          <w:szCs w:val="20"/>
        </w:rPr>
        <w:t>Performance</w:t>
      </w:r>
      <w:r>
        <w:rPr>
          <w:rFonts w:ascii="Garamond" w:hAnsi="Garamond" w:cs="Garamond"/>
          <w:i/>
          <w:iCs/>
          <w:spacing w:val="-15"/>
          <w:sz w:val="20"/>
          <w:szCs w:val="20"/>
        </w:rPr>
        <w:t xml:space="preserve"> </w:t>
      </w:r>
      <w:r>
        <w:rPr>
          <w:rFonts w:ascii="Garamond" w:hAnsi="Garamond" w:cs="Garamond"/>
          <w:i/>
          <w:iCs/>
          <w:sz w:val="20"/>
          <w:szCs w:val="20"/>
        </w:rPr>
        <w:t>Specifications</w:t>
      </w:r>
      <w:r>
        <w:rPr>
          <w:rFonts w:ascii="Garamond" w:hAnsi="Garamond" w:cs="Garamond"/>
          <w:sz w:val="20"/>
          <w:szCs w:val="20"/>
        </w:rPr>
        <w:t>.</w:t>
      </w:r>
      <w:r>
        <w:rPr>
          <w:rFonts w:ascii="Garamond" w:hAnsi="Garamond" w:cs="Garamond"/>
          <w:spacing w:val="-15"/>
          <w:sz w:val="20"/>
          <w:szCs w:val="20"/>
        </w:rPr>
        <w:t xml:space="preserve"> </w:t>
      </w:r>
      <w:r>
        <w:rPr>
          <w:rFonts w:ascii="Garamond" w:hAnsi="Garamond" w:cs="Garamond"/>
          <w:sz w:val="20"/>
          <w:szCs w:val="20"/>
        </w:rPr>
        <w:t xml:space="preserve">Boston, MA: Executive Office of Health and Human Services. Retrieved from </w:t>
      </w:r>
      <w:hyperlink r:id="rId341" w:history="1">
        <w:r>
          <w:rPr>
            <w:rFonts w:ascii="Garamond" w:hAnsi="Garamond" w:cs="Garamond"/>
            <w:color w:val="0000FF"/>
            <w:sz w:val="20"/>
            <w:szCs w:val="20"/>
            <w:u w:val="single"/>
          </w:rPr>
          <w:t>http://www.mass.gov/eohhs/docs/masshealth/cbhi/ps-family-support-and-training-ps.pdf</w:t>
        </w:r>
        <w:r>
          <w:rPr>
            <w:rFonts w:ascii="Garamond" w:hAnsi="Garamond" w:cs="Garamond"/>
            <w:color w:val="000000"/>
            <w:sz w:val="20"/>
            <w:szCs w:val="20"/>
          </w:rPr>
          <w:t>.</w:t>
        </w:r>
      </w:hyperlink>
    </w:p>
    <w:p w:rsidR="002C5025" w:rsidRDefault="002C5025">
      <w:pPr>
        <w:pStyle w:val="BodyText"/>
        <w:kinsoku w:val="0"/>
        <w:overflowPunct w:val="0"/>
        <w:spacing w:before="10"/>
        <w:rPr>
          <w:rFonts w:ascii="Garamond" w:hAnsi="Garamond" w:cs="Garamond"/>
          <w:sz w:val="12"/>
          <w:szCs w:val="12"/>
        </w:rPr>
      </w:pPr>
    </w:p>
    <w:p w:rsidR="002C5025" w:rsidRDefault="002C5025">
      <w:pPr>
        <w:pStyle w:val="BodyText"/>
        <w:kinsoku w:val="0"/>
        <w:overflowPunct w:val="0"/>
        <w:spacing w:before="81"/>
        <w:ind w:left="4684" w:right="4584"/>
        <w:jc w:val="center"/>
        <w:rPr>
          <w:rFonts w:ascii="Garamond" w:hAnsi="Garamond" w:cs="Garamond"/>
          <w:sz w:val="20"/>
          <w:szCs w:val="20"/>
        </w:rPr>
      </w:pPr>
      <w:r>
        <w:rPr>
          <w:rFonts w:ascii="Garamond" w:hAnsi="Garamond" w:cs="Garamond"/>
          <w:sz w:val="20"/>
          <w:szCs w:val="20"/>
        </w:rPr>
        <w:t>14</w:t>
      </w:r>
    </w:p>
    <w:p w:rsidR="002C5025" w:rsidRDefault="002C5025">
      <w:pPr>
        <w:pStyle w:val="BodyText"/>
        <w:kinsoku w:val="0"/>
        <w:overflowPunct w:val="0"/>
        <w:spacing w:before="81"/>
        <w:ind w:left="4684" w:right="4584"/>
        <w:jc w:val="center"/>
        <w:rPr>
          <w:rFonts w:ascii="Garamond" w:hAnsi="Garamond" w:cs="Garamond"/>
          <w:sz w:val="20"/>
          <w:szCs w:val="20"/>
        </w:rPr>
        <w:sectPr w:rsidR="002C5025">
          <w:pgSz w:w="12240" w:h="15840"/>
          <w:pgMar w:top="1380" w:right="1420" w:bottom="280" w:left="1320" w:header="720" w:footer="720" w:gutter="0"/>
          <w:cols w:space="720" w:equalWidth="0">
            <w:col w:w="9500"/>
          </w:cols>
          <w:noEndnote/>
        </w:sectPr>
      </w:pPr>
    </w:p>
    <w:p w:rsidR="002C5025" w:rsidRDefault="002C5025">
      <w:pPr>
        <w:pStyle w:val="BodyText"/>
        <w:kinsoku w:val="0"/>
        <w:overflowPunct w:val="0"/>
        <w:spacing w:before="60"/>
        <w:ind w:left="840" w:right="115"/>
        <w:rPr>
          <w:rFonts w:ascii="Garamond" w:hAnsi="Garamond" w:cs="Garamond"/>
        </w:rPr>
      </w:pPr>
      <w:r>
        <w:rPr>
          <w:rFonts w:ascii="Garamond" w:hAnsi="Garamond" w:cs="Garamond"/>
        </w:rPr>
        <w:lastRenderedPageBreak/>
        <w:t xml:space="preserve">the first step towards establishing statewide universal </w:t>
      </w:r>
      <w:r>
        <w:rPr>
          <w:rFonts w:ascii="Garamond" w:hAnsi="Garamond" w:cs="Garamond"/>
          <w:spacing w:val="-3"/>
        </w:rPr>
        <w:t xml:space="preserve">screening </w:t>
      </w:r>
      <w:r>
        <w:rPr>
          <w:rFonts w:ascii="Garamond" w:hAnsi="Garamond" w:cs="Garamond"/>
        </w:rPr>
        <w:t>for all consumers covered by private or public health plans.</w:t>
      </w:r>
    </w:p>
    <w:p w:rsidR="002C5025" w:rsidRDefault="002C5025">
      <w:pPr>
        <w:pStyle w:val="BodyText"/>
        <w:kinsoku w:val="0"/>
        <w:overflowPunct w:val="0"/>
        <w:spacing w:before="10"/>
        <w:rPr>
          <w:rFonts w:ascii="Garamond" w:hAnsi="Garamond" w:cs="Garamond"/>
          <w:sz w:val="21"/>
          <w:szCs w:val="21"/>
        </w:rPr>
      </w:pPr>
    </w:p>
    <w:p w:rsidR="002C5025" w:rsidRDefault="002C5025">
      <w:pPr>
        <w:pStyle w:val="BodyText"/>
        <w:kinsoku w:val="0"/>
        <w:overflowPunct w:val="0"/>
        <w:spacing w:line="247" w:lineRule="exact"/>
        <w:ind w:left="120" w:right="225"/>
        <w:rPr>
          <w:rFonts w:ascii="Garamond" w:hAnsi="Garamond" w:cs="Garamond"/>
          <w:b/>
          <w:bCs/>
        </w:rPr>
      </w:pPr>
      <w:r>
        <w:rPr>
          <w:rFonts w:ascii="Garamond" w:hAnsi="Garamond" w:cs="Garamond"/>
          <w:b/>
          <w:bCs/>
          <w:u w:val="single"/>
        </w:rPr>
        <w:t>Care teams and care coordination</w:t>
      </w:r>
    </w:p>
    <w:p w:rsidR="002C5025" w:rsidRDefault="002C5025">
      <w:pPr>
        <w:pStyle w:val="BodyText"/>
        <w:kinsoku w:val="0"/>
        <w:overflowPunct w:val="0"/>
        <w:ind w:left="116" w:right="85" w:firstLine="3"/>
        <w:rPr>
          <w:rFonts w:ascii="Garamond" w:hAnsi="Garamond" w:cs="Garamond"/>
          <w:spacing w:val="-3"/>
          <w:position w:val="5"/>
          <w:sz w:val="14"/>
          <w:szCs w:val="14"/>
        </w:rPr>
      </w:pPr>
      <w:r>
        <w:rPr>
          <w:rFonts w:ascii="Garamond" w:hAnsi="Garamond" w:cs="Garamond"/>
        </w:rPr>
        <w:t xml:space="preserve">We applaud MassHealth for prioritizing seamless and </w:t>
      </w:r>
      <w:r>
        <w:rPr>
          <w:rFonts w:ascii="Garamond" w:hAnsi="Garamond" w:cs="Garamond"/>
          <w:spacing w:val="-3"/>
        </w:rPr>
        <w:t xml:space="preserve">easily </w:t>
      </w:r>
      <w:r>
        <w:rPr>
          <w:rFonts w:ascii="Garamond" w:hAnsi="Garamond" w:cs="Garamond"/>
        </w:rPr>
        <w:t xml:space="preserve">navigable care coordination (15). </w:t>
      </w:r>
      <w:r>
        <w:rPr>
          <w:rFonts w:ascii="Garamond" w:hAnsi="Garamond" w:cs="Garamond"/>
          <w:spacing w:val="-3"/>
        </w:rPr>
        <w:t xml:space="preserve">As </w:t>
      </w:r>
      <w:r>
        <w:rPr>
          <w:rFonts w:ascii="Garamond" w:hAnsi="Garamond" w:cs="Garamond"/>
        </w:rPr>
        <w:t>recognized in</w:t>
      </w:r>
      <w:r>
        <w:rPr>
          <w:rFonts w:ascii="Garamond" w:hAnsi="Garamond" w:cs="Garamond"/>
          <w:spacing w:val="-7"/>
        </w:rPr>
        <w:t xml:space="preserve"> </w:t>
      </w:r>
      <w:r>
        <w:rPr>
          <w:rFonts w:ascii="Garamond" w:hAnsi="Garamond" w:cs="Garamond"/>
        </w:rPr>
        <w:t>the</w:t>
      </w:r>
      <w:r>
        <w:rPr>
          <w:rFonts w:ascii="Garamond" w:hAnsi="Garamond" w:cs="Garamond"/>
          <w:spacing w:val="-8"/>
        </w:rPr>
        <w:t xml:space="preserve"> </w:t>
      </w:r>
      <w:r>
        <w:rPr>
          <w:rFonts w:ascii="Garamond" w:hAnsi="Garamond" w:cs="Garamond"/>
        </w:rPr>
        <w:t>Waiver</w:t>
      </w:r>
      <w:r>
        <w:rPr>
          <w:rFonts w:ascii="Garamond" w:hAnsi="Garamond" w:cs="Garamond"/>
          <w:spacing w:val="-9"/>
        </w:rPr>
        <w:t xml:space="preserve"> </w:t>
      </w:r>
      <w:r>
        <w:rPr>
          <w:rFonts w:ascii="Garamond" w:hAnsi="Garamond" w:cs="Garamond"/>
        </w:rPr>
        <w:t>Request,</w:t>
      </w:r>
      <w:r>
        <w:rPr>
          <w:rFonts w:ascii="Garamond" w:hAnsi="Garamond" w:cs="Garamond"/>
          <w:spacing w:val="-8"/>
        </w:rPr>
        <w:t xml:space="preserve"> </w:t>
      </w:r>
      <w:r>
        <w:rPr>
          <w:rFonts w:ascii="Garamond" w:hAnsi="Garamond" w:cs="Garamond"/>
        </w:rPr>
        <w:t>care</w:t>
      </w:r>
      <w:r>
        <w:rPr>
          <w:rFonts w:ascii="Garamond" w:hAnsi="Garamond" w:cs="Garamond"/>
          <w:spacing w:val="-10"/>
        </w:rPr>
        <w:t xml:space="preserve"> </w:t>
      </w:r>
      <w:r>
        <w:rPr>
          <w:rFonts w:ascii="Garamond" w:hAnsi="Garamond" w:cs="Garamond"/>
        </w:rPr>
        <w:t>coordination</w:t>
      </w:r>
      <w:r>
        <w:rPr>
          <w:rFonts w:ascii="Garamond" w:hAnsi="Garamond" w:cs="Garamond"/>
          <w:spacing w:val="-7"/>
        </w:rPr>
        <w:t xml:space="preserve"> </w:t>
      </w:r>
      <w:r>
        <w:rPr>
          <w:rFonts w:ascii="Garamond" w:hAnsi="Garamond" w:cs="Garamond"/>
        </w:rPr>
        <w:t>is</w:t>
      </w:r>
      <w:r>
        <w:rPr>
          <w:rFonts w:ascii="Garamond" w:hAnsi="Garamond" w:cs="Garamond"/>
          <w:spacing w:val="-9"/>
        </w:rPr>
        <w:t xml:space="preserve"> </w:t>
      </w:r>
      <w:r>
        <w:rPr>
          <w:rFonts w:ascii="Garamond" w:hAnsi="Garamond" w:cs="Garamond"/>
        </w:rPr>
        <w:t>vital</w:t>
      </w:r>
      <w:r>
        <w:rPr>
          <w:rFonts w:ascii="Garamond" w:hAnsi="Garamond" w:cs="Garamond"/>
          <w:spacing w:val="-9"/>
        </w:rPr>
        <w:t xml:space="preserve"> </w:t>
      </w:r>
      <w:r>
        <w:rPr>
          <w:rFonts w:ascii="Garamond" w:hAnsi="Garamond" w:cs="Garamond"/>
        </w:rPr>
        <w:t>to</w:t>
      </w:r>
      <w:r>
        <w:rPr>
          <w:rFonts w:ascii="Garamond" w:hAnsi="Garamond" w:cs="Garamond"/>
          <w:spacing w:val="-9"/>
        </w:rPr>
        <w:t xml:space="preserve"> </w:t>
      </w:r>
      <w:r>
        <w:rPr>
          <w:rFonts w:ascii="Garamond" w:hAnsi="Garamond" w:cs="Garamond"/>
        </w:rPr>
        <w:t>managing</w:t>
      </w:r>
      <w:r>
        <w:rPr>
          <w:rFonts w:ascii="Garamond" w:hAnsi="Garamond" w:cs="Garamond"/>
          <w:spacing w:val="-9"/>
        </w:rPr>
        <w:t xml:space="preserve"> </w:t>
      </w:r>
      <w:r>
        <w:rPr>
          <w:rFonts w:ascii="Garamond" w:hAnsi="Garamond" w:cs="Garamond"/>
        </w:rPr>
        <w:t>an</w:t>
      </w:r>
      <w:r>
        <w:rPr>
          <w:rFonts w:ascii="Garamond" w:hAnsi="Garamond" w:cs="Garamond"/>
          <w:spacing w:val="-9"/>
        </w:rPr>
        <w:t xml:space="preserve"> </w:t>
      </w:r>
      <w:r>
        <w:rPr>
          <w:rFonts w:ascii="Garamond" w:hAnsi="Garamond" w:cs="Garamond"/>
        </w:rPr>
        <w:t>individual’s</w:t>
      </w:r>
      <w:r>
        <w:rPr>
          <w:rFonts w:ascii="Garamond" w:hAnsi="Garamond" w:cs="Garamond"/>
          <w:spacing w:val="-8"/>
        </w:rPr>
        <w:t xml:space="preserve"> </w:t>
      </w:r>
      <w:r>
        <w:rPr>
          <w:rFonts w:ascii="Garamond" w:hAnsi="Garamond" w:cs="Garamond"/>
        </w:rPr>
        <w:t>care,</w:t>
      </w:r>
      <w:r>
        <w:rPr>
          <w:rFonts w:ascii="Garamond" w:hAnsi="Garamond" w:cs="Garamond"/>
          <w:spacing w:val="-11"/>
        </w:rPr>
        <w:t xml:space="preserve"> </w:t>
      </w:r>
      <w:r>
        <w:rPr>
          <w:rFonts w:ascii="Garamond" w:hAnsi="Garamond" w:cs="Garamond"/>
        </w:rPr>
        <w:t>reducing</w:t>
      </w:r>
      <w:r>
        <w:rPr>
          <w:rFonts w:ascii="Garamond" w:hAnsi="Garamond" w:cs="Garamond"/>
          <w:spacing w:val="-9"/>
        </w:rPr>
        <w:t xml:space="preserve"> </w:t>
      </w:r>
      <w:r>
        <w:rPr>
          <w:rFonts w:ascii="Garamond" w:hAnsi="Garamond" w:cs="Garamond"/>
        </w:rPr>
        <w:t>fragmentation</w:t>
      </w:r>
      <w:r>
        <w:rPr>
          <w:rFonts w:ascii="Garamond" w:hAnsi="Garamond" w:cs="Garamond"/>
          <w:spacing w:val="-7"/>
        </w:rPr>
        <w:t xml:space="preserve"> </w:t>
      </w:r>
      <w:r>
        <w:rPr>
          <w:rFonts w:ascii="Garamond" w:hAnsi="Garamond" w:cs="Garamond"/>
          <w:spacing w:val="-3"/>
        </w:rPr>
        <w:t xml:space="preserve">and </w:t>
      </w:r>
      <w:r>
        <w:rPr>
          <w:rFonts w:ascii="Garamond" w:hAnsi="Garamond" w:cs="Garamond"/>
        </w:rPr>
        <w:t xml:space="preserve">improving </w:t>
      </w:r>
      <w:r>
        <w:rPr>
          <w:rFonts w:ascii="Garamond" w:hAnsi="Garamond" w:cs="Garamond"/>
          <w:spacing w:val="-3"/>
        </w:rPr>
        <w:t xml:space="preserve">outcomes </w:t>
      </w:r>
      <w:r>
        <w:rPr>
          <w:rFonts w:ascii="Garamond" w:hAnsi="Garamond" w:cs="Garamond"/>
        </w:rPr>
        <w:t>and should be a core component of all ACOs. True member-centered care will require ACOs</w:t>
      </w:r>
      <w:r>
        <w:rPr>
          <w:rFonts w:ascii="Garamond" w:hAnsi="Garamond" w:cs="Garamond"/>
          <w:spacing w:val="-7"/>
        </w:rPr>
        <w:t xml:space="preserve"> </w:t>
      </w:r>
      <w:r>
        <w:rPr>
          <w:rFonts w:ascii="Garamond" w:hAnsi="Garamond" w:cs="Garamond"/>
        </w:rPr>
        <w:t>to</w:t>
      </w:r>
      <w:r>
        <w:rPr>
          <w:rFonts w:ascii="Garamond" w:hAnsi="Garamond" w:cs="Garamond"/>
          <w:spacing w:val="-10"/>
        </w:rPr>
        <w:t xml:space="preserve"> </w:t>
      </w:r>
      <w:r>
        <w:rPr>
          <w:rFonts w:ascii="Garamond" w:hAnsi="Garamond" w:cs="Garamond"/>
        </w:rPr>
        <w:t>implement</w:t>
      </w:r>
      <w:r>
        <w:rPr>
          <w:rFonts w:ascii="Garamond" w:hAnsi="Garamond" w:cs="Garamond"/>
          <w:spacing w:val="-12"/>
        </w:rPr>
        <w:t xml:space="preserve"> </w:t>
      </w:r>
      <w:r>
        <w:rPr>
          <w:rFonts w:ascii="Garamond" w:hAnsi="Garamond" w:cs="Garamond"/>
        </w:rPr>
        <w:t>payment</w:t>
      </w:r>
      <w:r>
        <w:rPr>
          <w:rFonts w:ascii="Garamond" w:hAnsi="Garamond" w:cs="Garamond"/>
          <w:spacing w:val="-8"/>
        </w:rPr>
        <w:t xml:space="preserve"> </w:t>
      </w:r>
      <w:r>
        <w:rPr>
          <w:rFonts w:ascii="Garamond" w:hAnsi="Garamond" w:cs="Garamond"/>
        </w:rPr>
        <w:t>methodologies</w:t>
      </w:r>
      <w:r>
        <w:rPr>
          <w:rFonts w:ascii="Garamond" w:hAnsi="Garamond" w:cs="Garamond"/>
          <w:spacing w:val="-9"/>
        </w:rPr>
        <w:t xml:space="preserve"> </w:t>
      </w:r>
      <w:r>
        <w:rPr>
          <w:rFonts w:ascii="Garamond" w:hAnsi="Garamond" w:cs="Garamond"/>
        </w:rPr>
        <w:t>that</w:t>
      </w:r>
      <w:r>
        <w:rPr>
          <w:rFonts w:ascii="Garamond" w:hAnsi="Garamond" w:cs="Garamond"/>
          <w:spacing w:val="-9"/>
        </w:rPr>
        <w:t xml:space="preserve"> </w:t>
      </w:r>
      <w:r>
        <w:rPr>
          <w:rFonts w:ascii="Garamond" w:hAnsi="Garamond" w:cs="Garamond"/>
        </w:rPr>
        <w:t>pay</w:t>
      </w:r>
      <w:r>
        <w:rPr>
          <w:rFonts w:ascii="Garamond" w:hAnsi="Garamond" w:cs="Garamond"/>
          <w:spacing w:val="-10"/>
        </w:rPr>
        <w:t xml:space="preserve"> </w:t>
      </w:r>
      <w:r>
        <w:rPr>
          <w:rFonts w:ascii="Garamond" w:hAnsi="Garamond" w:cs="Garamond"/>
        </w:rPr>
        <w:t>for</w:t>
      </w:r>
      <w:r>
        <w:rPr>
          <w:rFonts w:ascii="Garamond" w:hAnsi="Garamond" w:cs="Garamond"/>
          <w:spacing w:val="-8"/>
        </w:rPr>
        <w:t xml:space="preserve"> </w:t>
      </w:r>
      <w:r>
        <w:rPr>
          <w:rFonts w:ascii="Garamond" w:hAnsi="Garamond" w:cs="Garamond"/>
        </w:rPr>
        <w:t>coordination,</w:t>
      </w:r>
      <w:r>
        <w:rPr>
          <w:rFonts w:ascii="Garamond" w:hAnsi="Garamond" w:cs="Garamond"/>
          <w:spacing w:val="-8"/>
        </w:rPr>
        <w:t xml:space="preserve"> </w:t>
      </w:r>
      <w:r>
        <w:rPr>
          <w:rFonts w:ascii="Garamond" w:hAnsi="Garamond" w:cs="Garamond"/>
        </w:rPr>
        <w:t>wellness</w:t>
      </w:r>
      <w:r>
        <w:rPr>
          <w:rFonts w:ascii="Garamond" w:hAnsi="Garamond" w:cs="Garamond"/>
          <w:spacing w:val="-7"/>
        </w:rPr>
        <w:t xml:space="preserve"> </w:t>
      </w:r>
      <w:r>
        <w:rPr>
          <w:rFonts w:ascii="Garamond" w:hAnsi="Garamond" w:cs="Garamond"/>
          <w:spacing w:val="-3"/>
        </w:rPr>
        <w:t>and</w:t>
      </w:r>
      <w:r>
        <w:rPr>
          <w:rFonts w:ascii="Garamond" w:hAnsi="Garamond" w:cs="Garamond"/>
          <w:spacing w:val="-10"/>
        </w:rPr>
        <w:t xml:space="preserve"> </w:t>
      </w:r>
      <w:r>
        <w:rPr>
          <w:rFonts w:ascii="Garamond" w:hAnsi="Garamond" w:cs="Garamond"/>
        </w:rPr>
        <w:t>prevention</w:t>
      </w:r>
      <w:r>
        <w:rPr>
          <w:rFonts w:ascii="Garamond" w:hAnsi="Garamond" w:cs="Garamond"/>
          <w:spacing w:val="-8"/>
        </w:rPr>
        <w:t xml:space="preserve"> </w:t>
      </w:r>
      <w:r>
        <w:rPr>
          <w:rFonts w:ascii="Garamond" w:hAnsi="Garamond" w:cs="Garamond"/>
        </w:rPr>
        <w:t>services</w:t>
      </w:r>
      <w:r>
        <w:rPr>
          <w:rFonts w:ascii="Garamond" w:hAnsi="Garamond" w:cs="Garamond"/>
          <w:spacing w:val="-7"/>
        </w:rPr>
        <w:t xml:space="preserve"> </w:t>
      </w:r>
      <w:r>
        <w:rPr>
          <w:rFonts w:ascii="Garamond" w:hAnsi="Garamond" w:cs="Garamond"/>
        </w:rPr>
        <w:t>that are</w:t>
      </w:r>
      <w:r>
        <w:rPr>
          <w:rFonts w:ascii="Garamond" w:hAnsi="Garamond" w:cs="Garamond"/>
          <w:spacing w:val="-8"/>
        </w:rPr>
        <w:t xml:space="preserve"> </w:t>
      </w:r>
      <w:r>
        <w:rPr>
          <w:rFonts w:ascii="Garamond" w:hAnsi="Garamond" w:cs="Garamond"/>
        </w:rPr>
        <w:t>not</w:t>
      </w:r>
      <w:r>
        <w:rPr>
          <w:rFonts w:ascii="Garamond" w:hAnsi="Garamond" w:cs="Garamond"/>
          <w:spacing w:val="-7"/>
        </w:rPr>
        <w:t xml:space="preserve"> </w:t>
      </w:r>
      <w:r>
        <w:rPr>
          <w:rFonts w:ascii="Garamond" w:hAnsi="Garamond" w:cs="Garamond"/>
        </w:rPr>
        <w:t>traditionally</w:t>
      </w:r>
      <w:r>
        <w:rPr>
          <w:rFonts w:ascii="Garamond" w:hAnsi="Garamond" w:cs="Garamond"/>
          <w:spacing w:val="-8"/>
        </w:rPr>
        <w:t xml:space="preserve"> </w:t>
      </w:r>
      <w:r>
        <w:rPr>
          <w:rFonts w:ascii="Garamond" w:hAnsi="Garamond" w:cs="Garamond"/>
        </w:rPr>
        <w:t>reimbursed,</w:t>
      </w:r>
      <w:r>
        <w:rPr>
          <w:rFonts w:ascii="Garamond" w:hAnsi="Garamond" w:cs="Garamond"/>
          <w:spacing w:val="-10"/>
        </w:rPr>
        <w:t xml:space="preserve"> </w:t>
      </w:r>
      <w:r>
        <w:rPr>
          <w:rFonts w:ascii="Garamond" w:hAnsi="Garamond" w:cs="Garamond"/>
        </w:rPr>
        <w:t>such</w:t>
      </w:r>
      <w:r>
        <w:rPr>
          <w:rFonts w:ascii="Garamond" w:hAnsi="Garamond" w:cs="Garamond"/>
          <w:spacing w:val="-5"/>
        </w:rPr>
        <w:t xml:space="preserve"> </w:t>
      </w:r>
      <w:r>
        <w:rPr>
          <w:rFonts w:ascii="Garamond" w:hAnsi="Garamond" w:cs="Garamond"/>
        </w:rPr>
        <w:t>as</w:t>
      </w:r>
      <w:r>
        <w:rPr>
          <w:rFonts w:ascii="Garamond" w:hAnsi="Garamond" w:cs="Garamond"/>
          <w:spacing w:val="-7"/>
        </w:rPr>
        <w:t xml:space="preserve"> </w:t>
      </w:r>
      <w:r>
        <w:rPr>
          <w:rFonts w:ascii="Garamond" w:hAnsi="Garamond" w:cs="Garamond"/>
        </w:rPr>
        <w:t>the</w:t>
      </w:r>
      <w:r>
        <w:rPr>
          <w:rFonts w:ascii="Garamond" w:hAnsi="Garamond" w:cs="Garamond"/>
          <w:spacing w:val="-8"/>
        </w:rPr>
        <w:t xml:space="preserve"> </w:t>
      </w:r>
      <w:r>
        <w:rPr>
          <w:rFonts w:ascii="Garamond" w:hAnsi="Garamond" w:cs="Garamond"/>
        </w:rPr>
        <w:t>Health</w:t>
      </w:r>
      <w:r>
        <w:rPr>
          <w:rFonts w:ascii="Garamond" w:hAnsi="Garamond" w:cs="Garamond"/>
          <w:spacing w:val="-7"/>
        </w:rPr>
        <w:t xml:space="preserve"> </w:t>
      </w:r>
      <w:r>
        <w:rPr>
          <w:rFonts w:ascii="Garamond" w:hAnsi="Garamond" w:cs="Garamond"/>
        </w:rPr>
        <w:t>Homes</w:t>
      </w:r>
      <w:r>
        <w:rPr>
          <w:rFonts w:ascii="Garamond" w:hAnsi="Garamond" w:cs="Garamond"/>
          <w:spacing w:val="-5"/>
        </w:rPr>
        <w:t xml:space="preserve"> </w:t>
      </w:r>
      <w:r>
        <w:rPr>
          <w:rFonts w:ascii="Garamond" w:hAnsi="Garamond" w:cs="Garamond"/>
        </w:rPr>
        <w:t>opportunity</w:t>
      </w:r>
      <w:r>
        <w:rPr>
          <w:rFonts w:ascii="Garamond" w:hAnsi="Garamond" w:cs="Garamond"/>
          <w:spacing w:val="-9"/>
        </w:rPr>
        <w:t xml:space="preserve"> </w:t>
      </w:r>
      <w:r>
        <w:rPr>
          <w:rFonts w:ascii="Garamond" w:hAnsi="Garamond" w:cs="Garamond"/>
        </w:rPr>
        <w:t>for</w:t>
      </w:r>
      <w:r>
        <w:rPr>
          <w:rFonts w:ascii="Garamond" w:hAnsi="Garamond" w:cs="Garamond"/>
          <w:spacing w:val="-7"/>
        </w:rPr>
        <w:t xml:space="preserve"> </w:t>
      </w:r>
      <w:r>
        <w:rPr>
          <w:rFonts w:ascii="Garamond" w:hAnsi="Garamond" w:cs="Garamond"/>
        </w:rPr>
        <w:t>BH</w:t>
      </w:r>
      <w:r>
        <w:rPr>
          <w:rFonts w:ascii="Garamond" w:hAnsi="Garamond" w:cs="Garamond"/>
          <w:spacing w:val="-5"/>
        </w:rPr>
        <w:t xml:space="preserve"> </w:t>
      </w:r>
      <w:r>
        <w:rPr>
          <w:rFonts w:ascii="Garamond" w:hAnsi="Garamond" w:cs="Garamond"/>
        </w:rPr>
        <w:t>CPs.</w:t>
      </w:r>
      <w:r>
        <w:rPr>
          <w:rFonts w:ascii="Garamond" w:hAnsi="Garamond" w:cs="Garamond"/>
          <w:spacing w:val="-8"/>
        </w:rPr>
        <w:t xml:space="preserve"> </w:t>
      </w:r>
      <w:r>
        <w:rPr>
          <w:rFonts w:ascii="Garamond" w:hAnsi="Garamond" w:cs="Garamond"/>
        </w:rPr>
        <w:t>We</w:t>
      </w:r>
      <w:r>
        <w:rPr>
          <w:rFonts w:ascii="Garamond" w:hAnsi="Garamond" w:cs="Garamond"/>
          <w:spacing w:val="-8"/>
        </w:rPr>
        <w:t xml:space="preserve"> </w:t>
      </w:r>
      <w:r>
        <w:rPr>
          <w:rFonts w:ascii="Garamond" w:hAnsi="Garamond" w:cs="Garamond"/>
        </w:rPr>
        <w:t>support</w:t>
      </w:r>
      <w:r>
        <w:rPr>
          <w:rFonts w:ascii="Garamond" w:hAnsi="Garamond" w:cs="Garamond"/>
          <w:spacing w:val="-7"/>
        </w:rPr>
        <w:t xml:space="preserve"> </w:t>
      </w:r>
      <w:r>
        <w:rPr>
          <w:rFonts w:ascii="Garamond" w:hAnsi="Garamond" w:cs="Garamond"/>
        </w:rPr>
        <w:t>the</w:t>
      </w:r>
      <w:r>
        <w:rPr>
          <w:rFonts w:ascii="Garamond" w:hAnsi="Garamond" w:cs="Garamond"/>
          <w:spacing w:val="-9"/>
        </w:rPr>
        <w:t xml:space="preserve"> </w:t>
      </w:r>
      <w:r>
        <w:rPr>
          <w:rFonts w:ascii="Garamond" w:hAnsi="Garamond" w:cs="Garamond"/>
        </w:rPr>
        <w:t xml:space="preserve">Waiver Request’s emphasis on interdisciplinary care teams and </w:t>
      </w:r>
      <w:r>
        <w:rPr>
          <w:rFonts w:ascii="Garamond" w:hAnsi="Garamond" w:cs="Garamond"/>
          <w:spacing w:val="-3"/>
        </w:rPr>
        <w:t xml:space="preserve">care </w:t>
      </w:r>
      <w:r>
        <w:rPr>
          <w:rFonts w:ascii="Garamond" w:hAnsi="Garamond" w:cs="Garamond"/>
        </w:rPr>
        <w:t xml:space="preserve">coordination, including </w:t>
      </w:r>
      <w:r>
        <w:rPr>
          <w:rFonts w:ascii="Garamond" w:hAnsi="Garamond" w:cs="Garamond"/>
          <w:spacing w:val="-3"/>
        </w:rPr>
        <w:t xml:space="preserve">engaging </w:t>
      </w:r>
      <w:r>
        <w:rPr>
          <w:rFonts w:ascii="Garamond" w:hAnsi="Garamond" w:cs="Garamond"/>
        </w:rPr>
        <w:t xml:space="preserve">members </w:t>
      </w:r>
      <w:r>
        <w:rPr>
          <w:rFonts w:ascii="Garamond" w:hAnsi="Garamond" w:cs="Garamond"/>
          <w:spacing w:val="-3"/>
        </w:rPr>
        <w:t xml:space="preserve">in </w:t>
      </w:r>
      <w:r>
        <w:rPr>
          <w:rFonts w:ascii="Garamond" w:hAnsi="Garamond" w:cs="Garamond"/>
        </w:rPr>
        <w:t xml:space="preserve">their care (32). </w:t>
      </w:r>
      <w:r>
        <w:rPr>
          <w:rFonts w:ascii="Garamond" w:hAnsi="Garamond" w:cs="Garamond"/>
          <w:spacing w:val="-3"/>
        </w:rPr>
        <w:t xml:space="preserve">ACOs </w:t>
      </w:r>
      <w:r>
        <w:rPr>
          <w:rFonts w:ascii="Garamond" w:hAnsi="Garamond" w:cs="Garamond"/>
        </w:rPr>
        <w:t xml:space="preserve">should be required to document </w:t>
      </w:r>
      <w:r>
        <w:rPr>
          <w:rFonts w:ascii="Garamond" w:hAnsi="Garamond" w:cs="Garamond"/>
          <w:spacing w:val="-3"/>
        </w:rPr>
        <w:t xml:space="preserve">how </w:t>
      </w:r>
      <w:r>
        <w:rPr>
          <w:rFonts w:ascii="Garamond" w:hAnsi="Garamond" w:cs="Garamond"/>
        </w:rPr>
        <w:t xml:space="preserve">they are pursuing a team-based approach to care and their </w:t>
      </w:r>
      <w:r>
        <w:rPr>
          <w:rFonts w:ascii="Garamond" w:hAnsi="Garamond" w:cs="Garamond"/>
          <w:spacing w:val="-3"/>
        </w:rPr>
        <w:t xml:space="preserve">progress </w:t>
      </w:r>
      <w:r>
        <w:rPr>
          <w:rFonts w:ascii="Garamond" w:hAnsi="Garamond" w:cs="Garamond"/>
        </w:rPr>
        <w:t>towards this goal. Complex and high-risk members need and will benefit from care management</w:t>
      </w:r>
      <w:r>
        <w:rPr>
          <w:rFonts w:ascii="Garamond" w:hAnsi="Garamond" w:cs="Garamond"/>
          <w:spacing w:val="-5"/>
        </w:rPr>
        <w:t xml:space="preserve"> </w:t>
      </w:r>
      <w:r>
        <w:rPr>
          <w:rFonts w:ascii="Garamond" w:hAnsi="Garamond" w:cs="Garamond"/>
        </w:rPr>
        <w:t>the</w:t>
      </w:r>
      <w:r>
        <w:rPr>
          <w:rFonts w:ascii="Garamond" w:hAnsi="Garamond" w:cs="Garamond"/>
          <w:spacing w:val="-9"/>
        </w:rPr>
        <w:t xml:space="preserve"> </w:t>
      </w:r>
      <w:r>
        <w:rPr>
          <w:rFonts w:ascii="Garamond" w:hAnsi="Garamond" w:cs="Garamond"/>
        </w:rPr>
        <w:t>most,</w:t>
      </w:r>
      <w:r>
        <w:rPr>
          <w:rFonts w:ascii="Garamond" w:hAnsi="Garamond" w:cs="Garamond"/>
          <w:spacing w:val="-6"/>
        </w:rPr>
        <w:t xml:space="preserve"> </w:t>
      </w:r>
      <w:r>
        <w:rPr>
          <w:rFonts w:ascii="Garamond" w:hAnsi="Garamond" w:cs="Garamond"/>
        </w:rPr>
        <w:t>and</w:t>
      </w:r>
      <w:r>
        <w:rPr>
          <w:rFonts w:ascii="Garamond" w:hAnsi="Garamond" w:cs="Garamond"/>
          <w:spacing w:val="-10"/>
        </w:rPr>
        <w:t xml:space="preserve"> </w:t>
      </w:r>
      <w:r>
        <w:rPr>
          <w:rFonts w:ascii="Garamond" w:hAnsi="Garamond" w:cs="Garamond"/>
        </w:rPr>
        <w:t>attention</w:t>
      </w:r>
      <w:r>
        <w:rPr>
          <w:rFonts w:ascii="Garamond" w:hAnsi="Garamond" w:cs="Garamond"/>
          <w:spacing w:val="-8"/>
        </w:rPr>
        <w:t xml:space="preserve"> </w:t>
      </w:r>
      <w:r>
        <w:rPr>
          <w:rFonts w:ascii="Garamond" w:hAnsi="Garamond" w:cs="Garamond"/>
        </w:rPr>
        <w:t>to</w:t>
      </w:r>
      <w:r>
        <w:rPr>
          <w:rFonts w:ascii="Garamond" w:hAnsi="Garamond" w:cs="Garamond"/>
          <w:spacing w:val="-8"/>
        </w:rPr>
        <w:t xml:space="preserve"> </w:t>
      </w:r>
      <w:r>
        <w:rPr>
          <w:rFonts w:ascii="Garamond" w:hAnsi="Garamond" w:cs="Garamond"/>
        </w:rPr>
        <w:t>these</w:t>
      </w:r>
      <w:r>
        <w:rPr>
          <w:rFonts w:ascii="Garamond" w:hAnsi="Garamond" w:cs="Garamond"/>
          <w:spacing w:val="-8"/>
        </w:rPr>
        <w:t xml:space="preserve"> </w:t>
      </w:r>
      <w:r>
        <w:rPr>
          <w:rFonts w:ascii="Garamond" w:hAnsi="Garamond" w:cs="Garamond"/>
        </w:rPr>
        <w:t>populations</w:t>
      </w:r>
      <w:r>
        <w:rPr>
          <w:rFonts w:ascii="Garamond" w:hAnsi="Garamond" w:cs="Garamond"/>
          <w:spacing w:val="-9"/>
        </w:rPr>
        <w:t xml:space="preserve"> </w:t>
      </w:r>
      <w:r>
        <w:rPr>
          <w:rFonts w:ascii="Garamond" w:hAnsi="Garamond" w:cs="Garamond"/>
        </w:rPr>
        <w:t>will</w:t>
      </w:r>
      <w:r>
        <w:rPr>
          <w:rFonts w:ascii="Garamond" w:hAnsi="Garamond" w:cs="Garamond"/>
          <w:spacing w:val="-5"/>
        </w:rPr>
        <w:t xml:space="preserve"> </w:t>
      </w:r>
      <w:r>
        <w:rPr>
          <w:rFonts w:ascii="Garamond" w:hAnsi="Garamond" w:cs="Garamond"/>
        </w:rPr>
        <w:t>result</w:t>
      </w:r>
      <w:r>
        <w:rPr>
          <w:rFonts w:ascii="Garamond" w:hAnsi="Garamond" w:cs="Garamond"/>
          <w:spacing w:val="-5"/>
        </w:rPr>
        <w:t xml:space="preserve"> </w:t>
      </w:r>
      <w:r>
        <w:rPr>
          <w:rFonts w:ascii="Garamond" w:hAnsi="Garamond" w:cs="Garamond"/>
        </w:rPr>
        <w:t>in</w:t>
      </w:r>
      <w:r>
        <w:rPr>
          <w:rFonts w:ascii="Garamond" w:hAnsi="Garamond" w:cs="Garamond"/>
          <w:spacing w:val="-10"/>
        </w:rPr>
        <w:t xml:space="preserve"> </w:t>
      </w:r>
      <w:r>
        <w:rPr>
          <w:rFonts w:ascii="Garamond" w:hAnsi="Garamond" w:cs="Garamond"/>
        </w:rPr>
        <w:t>the</w:t>
      </w:r>
      <w:r>
        <w:rPr>
          <w:rFonts w:ascii="Garamond" w:hAnsi="Garamond" w:cs="Garamond"/>
          <w:spacing w:val="-9"/>
        </w:rPr>
        <w:t xml:space="preserve"> </w:t>
      </w:r>
      <w:r>
        <w:rPr>
          <w:rFonts w:ascii="Garamond" w:hAnsi="Garamond" w:cs="Garamond"/>
        </w:rPr>
        <w:t>best</w:t>
      </w:r>
      <w:r>
        <w:rPr>
          <w:rFonts w:ascii="Garamond" w:hAnsi="Garamond" w:cs="Garamond"/>
          <w:spacing w:val="-5"/>
        </w:rPr>
        <w:t xml:space="preserve"> </w:t>
      </w:r>
      <w:r>
        <w:rPr>
          <w:rFonts w:ascii="Garamond" w:hAnsi="Garamond" w:cs="Garamond"/>
        </w:rPr>
        <w:t>potential</w:t>
      </w:r>
      <w:r>
        <w:rPr>
          <w:rFonts w:ascii="Garamond" w:hAnsi="Garamond" w:cs="Garamond"/>
          <w:spacing w:val="-8"/>
        </w:rPr>
        <w:t xml:space="preserve"> </w:t>
      </w:r>
      <w:r>
        <w:rPr>
          <w:rFonts w:ascii="Garamond" w:hAnsi="Garamond" w:cs="Garamond"/>
        </w:rPr>
        <w:t>for</w:t>
      </w:r>
      <w:r>
        <w:rPr>
          <w:rFonts w:ascii="Garamond" w:hAnsi="Garamond" w:cs="Garamond"/>
          <w:spacing w:val="-3"/>
        </w:rPr>
        <w:t xml:space="preserve"> cost</w:t>
      </w:r>
      <w:r>
        <w:rPr>
          <w:rFonts w:ascii="Garamond" w:hAnsi="Garamond" w:cs="Garamond"/>
          <w:spacing w:val="-10"/>
        </w:rPr>
        <w:t xml:space="preserve"> </w:t>
      </w:r>
      <w:r>
        <w:rPr>
          <w:rFonts w:ascii="Garamond" w:hAnsi="Garamond" w:cs="Garamond"/>
        </w:rPr>
        <w:t>savings</w:t>
      </w:r>
      <w:r>
        <w:rPr>
          <w:rFonts w:ascii="Garamond" w:hAnsi="Garamond" w:cs="Garamond"/>
          <w:spacing w:val="-4"/>
        </w:rPr>
        <w:t xml:space="preserve"> </w:t>
      </w:r>
      <w:r>
        <w:rPr>
          <w:rFonts w:ascii="Garamond" w:hAnsi="Garamond" w:cs="Garamond"/>
          <w:spacing w:val="-3"/>
        </w:rPr>
        <w:t xml:space="preserve">and </w:t>
      </w:r>
      <w:r>
        <w:rPr>
          <w:rFonts w:ascii="Garamond" w:hAnsi="Garamond" w:cs="Garamond"/>
        </w:rPr>
        <w:t>improved health</w:t>
      </w:r>
      <w:r>
        <w:rPr>
          <w:rFonts w:ascii="Garamond" w:hAnsi="Garamond" w:cs="Garamond"/>
          <w:spacing w:val="-17"/>
        </w:rPr>
        <w:t xml:space="preserve"> </w:t>
      </w:r>
      <w:r>
        <w:rPr>
          <w:rFonts w:ascii="Garamond" w:hAnsi="Garamond" w:cs="Garamond"/>
          <w:spacing w:val="-3"/>
        </w:rPr>
        <w:t>outcomes.</w:t>
      </w:r>
      <w:r>
        <w:rPr>
          <w:rFonts w:ascii="Garamond" w:hAnsi="Garamond" w:cs="Garamond"/>
          <w:spacing w:val="-3"/>
          <w:position w:val="5"/>
          <w:sz w:val="14"/>
          <w:szCs w:val="14"/>
        </w:rPr>
        <w:t>32</w:t>
      </w:r>
    </w:p>
    <w:p w:rsidR="002C5025" w:rsidRDefault="002C5025">
      <w:pPr>
        <w:pStyle w:val="BodyText"/>
        <w:kinsoku w:val="0"/>
        <w:overflowPunct w:val="0"/>
        <w:spacing w:before="1"/>
        <w:rPr>
          <w:rFonts w:ascii="Garamond" w:hAnsi="Garamond" w:cs="Garamond"/>
        </w:rPr>
      </w:pPr>
    </w:p>
    <w:p w:rsidR="002C5025" w:rsidRDefault="002C5025">
      <w:pPr>
        <w:pStyle w:val="BodyText"/>
        <w:kinsoku w:val="0"/>
        <w:overflowPunct w:val="0"/>
        <w:ind w:left="119" w:right="144"/>
        <w:rPr>
          <w:rFonts w:ascii="Garamond" w:hAnsi="Garamond" w:cs="Garamond"/>
        </w:rPr>
      </w:pPr>
      <w:r>
        <w:rPr>
          <w:rFonts w:ascii="Garamond" w:hAnsi="Garamond" w:cs="Garamond"/>
        </w:rPr>
        <w:t xml:space="preserve">MassHealth should further require ACOs to demonstrate, through robust </w:t>
      </w:r>
      <w:r>
        <w:rPr>
          <w:rFonts w:ascii="Garamond" w:hAnsi="Garamond" w:cs="Garamond"/>
          <w:spacing w:val="-3"/>
        </w:rPr>
        <w:t xml:space="preserve">program </w:t>
      </w:r>
      <w:r>
        <w:rPr>
          <w:rFonts w:ascii="Garamond" w:hAnsi="Garamond" w:cs="Garamond"/>
        </w:rPr>
        <w:t>requirements and quality measures, the following:</w:t>
      </w:r>
    </w:p>
    <w:p w:rsidR="002C5025" w:rsidRDefault="002C5025">
      <w:pPr>
        <w:pStyle w:val="ListParagraph"/>
        <w:numPr>
          <w:ilvl w:val="2"/>
          <w:numId w:val="49"/>
        </w:numPr>
        <w:tabs>
          <w:tab w:val="left" w:pos="897"/>
        </w:tabs>
        <w:kinsoku w:val="0"/>
        <w:overflowPunct w:val="0"/>
        <w:ind w:left="896" w:right="274" w:hanging="360"/>
        <w:rPr>
          <w:rFonts w:ascii="Garamond" w:hAnsi="Garamond" w:cs="Garamond"/>
          <w:sz w:val="22"/>
          <w:szCs w:val="22"/>
        </w:rPr>
      </w:pPr>
      <w:r>
        <w:rPr>
          <w:rFonts w:ascii="Garamond" w:hAnsi="Garamond" w:cs="Garamond"/>
          <w:sz w:val="22"/>
          <w:szCs w:val="22"/>
        </w:rPr>
        <w:t>that</w:t>
      </w:r>
      <w:r>
        <w:rPr>
          <w:rFonts w:ascii="Garamond" w:hAnsi="Garamond" w:cs="Garamond"/>
          <w:spacing w:val="-5"/>
          <w:sz w:val="22"/>
          <w:szCs w:val="22"/>
        </w:rPr>
        <w:t xml:space="preserve"> </w:t>
      </w:r>
      <w:r>
        <w:rPr>
          <w:rFonts w:ascii="Garamond" w:hAnsi="Garamond" w:cs="Garamond"/>
          <w:sz w:val="22"/>
          <w:szCs w:val="22"/>
        </w:rPr>
        <w:t>they</w:t>
      </w:r>
      <w:r>
        <w:rPr>
          <w:rFonts w:ascii="Garamond" w:hAnsi="Garamond" w:cs="Garamond"/>
          <w:spacing w:val="-8"/>
          <w:sz w:val="22"/>
          <w:szCs w:val="22"/>
        </w:rPr>
        <w:t xml:space="preserve"> </w:t>
      </w:r>
      <w:r>
        <w:rPr>
          <w:rFonts w:ascii="Garamond" w:hAnsi="Garamond" w:cs="Garamond"/>
          <w:sz w:val="22"/>
          <w:szCs w:val="22"/>
        </w:rPr>
        <w:t>have</w:t>
      </w:r>
      <w:r>
        <w:rPr>
          <w:rFonts w:ascii="Garamond" w:hAnsi="Garamond" w:cs="Garamond"/>
          <w:spacing w:val="-8"/>
          <w:sz w:val="22"/>
          <w:szCs w:val="22"/>
        </w:rPr>
        <w:t xml:space="preserve"> </w:t>
      </w:r>
      <w:r>
        <w:rPr>
          <w:rFonts w:ascii="Garamond" w:hAnsi="Garamond" w:cs="Garamond"/>
          <w:sz w:val="22"/>
          <w:szCs w:val="22"/>
        </w:rPr>
        <w:t>mechanisms</w:t>
      </w:r>
      <w:r>
        <w:rPr>
          <w:rFonts w:ascii="Garamond" w:hAnsi="Garamond" w:cs="Garamond"/>
          <w:spacing w:val="-5"/>
          <w:sz w:val="22"/>
          <w:szCs w:val="22"/>
        </w:rPr>
        <w:t xml:space="preserve"> </w:t>
      </w:r>
      <w:r>
        <w:rPr>
          <w:rFonts w:ascii="Garamond" w:hAnsi="Garamond" w:cs="Garamond"/>
          <w:sz w:val="22"/>
          <w:szCs w:val="22"/>
        </w:rPr>
        <w:t>in</w:t>
      </w:r>
      <w:r>
        <w:rPr>
          <w:rFonts w:ascii="Garamond" w:hAnsi="Garamond" w:cs="Garamond"/>
          <w:spacing w:val="-8"/>
          <w:sz w:val="22"/>
          <w:szCs w:val="22"/>
        </w:rPr>
        <w:t xml:space="preserve"> </w:t>
      </w:r>
      <w:r>
        <w:rPr>
          <w:rFonts w:ascii="Garamond" w:hAnsi="Garamond" w:cs="Garamond"/>
          <w:sz w:val="22"/>
          <w:szCs w:val="22"/>
        </w:rPr>
        <w:t>place</w:t>
      </w:r>
      <w:r>
        <w:rPr>
          <w:rFonts w:ascii="Garamond" w:hAnsi="Garamond" w:cs="Garamond"/>
          <w:spacing w:val="-8"/>
          <w:sz w:val="22"/>
          <w:szCs w:val="22"/>
        </w:rPr>
        <w:t xml:space="preserve"> </w:t>
      </w:r>
      <w:r>
        <w:rPr>
          <w:rFonts w:ascii="Garamond" w:hAnsi="Garamond" w:cs="Garamond"/>
          <w:sz w:val="22"/>
          <w:szCs w:val="22"/>
        </w:rPr>
        <w:t>to</w:t>
      </w:r>
      <w:r>
        <w:rPr>
          <w:rFonts w:ascii="Garamond" w:hAnsi="Garamond" w:cs="Garamond"/>
          <w:spacing w:val="-5"/>
          <w:sz w:val="22"/>
          <w:szCs w:val="22"/>
        </w:rPr>
        <w:t xml:space="preserve"> </w:t>
      </w:r>
      <w:r>
        <w:rPr>
          <w:rFonts w:ascii="Garamond" w:hAnsi="Garamond" w:cs="Garamond"/>
          <w:sz w:val="22"/>
          <w:szCs w:val="22"/>
        </w:rPr>
        <w:t>conduct</w:t>
      </w:r>
      <w:r>
        <w:rPr>
          <w:rFonts w:ascii="Garamond" w:hAnsi="Garamond" w:cs="Garamond"/>
          <w:spacing w:val="-10"/>
          <w:sz w:val="22"/>
          <w:szCs w:val="22"/>
        </w:rPr>
        <w:t xml:space="preserve"> </w:t>
      </w:r>
      <w:r>
        <w:rPr>
          <w:rFonts w:ascii="Garamond" w:hAnsi="Garamond" w:cs="Garamond"/>
          <w:sz w:val="22"/>
          <w:szCs w:val="22"/>
        </w:rPr>
        <w:t>member</w:t>
      </w:r>
      <w:r>
        <w:rPr>
          <w:rFonts w:ascii="Garamond" w:hAnsi="Garamond" w:cs="Garamond"/>
          <w:spacing w:val="-9"/>
          <w:sz w:val="22"/>
          <w:szCs w:val="22"/>
        </w:rPr>
        <w:t xml:space="preserve"> </w:t>
      </w:r>
      <w:r>
        <w:rPr>
          <w:rFonts w:ascii="Garamond" w:hAnsi="Garamond" w:cs="Garamond"/>
          <w:sz w:val="22"/>
          <w:szCs w:val="22"/>
        </w:rPr>
        <w:t>outreach</w:t>
      </w:r>
      <w:r>
        <w:rPr>
          <w:rFonts w:ascii="Garamond" w:hAnsi="Garamond" w:cs="Garamond"/>
          <w:spacing w:val="-5"/>
          <w:sz w:val="22"/>
          <w:szCs w:val="22"/>
        </w:rPr>
        <w:t xml:space="preserve"> </w:t>
      </w:r>
      <w:r>
        <w:rPr>
          <w:rFonts w:ascii="Garamond" w:hAnsi="Garamond" w:cs="Garamond"/>
          <w:sz w:val="22"/>
          <w:szCs w:val="22"/>
        </w:rPr>
        <w:t>and</w:t>
      </w:r>
      <w:r>
        <w:rPr>
          <w:rFonts w:ascii="Garamond" w:hAnsi="Garamond" w:cs="Garamond"/>
          <w:spacing w:val="-8"/>
          <w:sz w:val="22"/>
          <w:szCs w:val="22"/>
        </w:rPr>
        <w:t xml:space="preserve"> </w:t>
      </w:r>
      <w:r>
        <w:rPr>
          <w:rFonts w:ascii="Garamond" w:hAnsi="Garamond" w:cs="Garamond"/>
          <w:sz w:val="22"/>
          <w:szCs w:val="22"/>
        </w:rPr>
        <w:t>education</w:t>
      </w:r>
      <w:r>
        <w:rPr>
          <w:rFonts w:ascii="Garamond" w:hAnsi="Garamond" w:cs="Garamond"/>
          <w:spacing w:val="-8"/>
          <w:sz w:val="22"/>
          <w:szCs w:val="22"/>
        </w:rPr>
        <w:t xml:space="preserve"> </w:t>
      </w:r>
      <w:r>
        <w:rPr>
          <w:rFonts w:ascii="Garamond" w:hAnsi="Garamond" w:cs="Garamond"/>
          <w:sz w:val="22"/>
          <w:szCs w:val="22"/>
        </w:rPr>
        <w:t>on</w:t>
      </w:r>
      <w:r>
        <w:rPr>
          <w:rFonts w:ascii="Garamond" w:hAnsi="Garamond" w:cs="Garamond"/>
          <w:spacing w:val="-7"/>
          <w:sz w:val="22"/>
          <w:szCs w:val="22"/>
        </w:rPr>
        <w:t xml:space="preserve"> </w:t>
      </w:r>
      <w:r>
        <w:rPr>
          <w:rFonts w:ascii="Garamond" w:hAnsi="Garamond" w:cs="Garamond"/>
          <w:sz w:val="22"/>
          <w:szCs w:val="22"/>
        </w:rPr>
        <w:t>the</w:t>
      </w:r>
      <w:r>
        <w:rPr>
          <w:rFonts w:ascii="Garamond" w:hAnsi="Garamond" w:cs="Garamond"/>
          <w:spacing w:val="-8"/>
          <w:sz w:val="22"/>
          <w:szCs w:val="22"/>
        </w:rPr>
        <w:t xml:space="preserve"> </w:t>
      </w:r>
      <w:r>
        <w:rPr>
          <w:rFonts w:ascii="Garamond" w:hAnsi="Garamond" w:cs="Garamond"/>
          <w:sz w:val="22"/>
          <w:szCs w:val="22"/>
        </w:rPr>
        <w:t>benefits</w:t>
      </w:r>
      <w:r>
        <w:rPr>
          <w:rFonts w:ascii="Garamond" w:hAnsi="Garamond" w:cs="Garamond"/>
          <w:spacing w:val="-7"/>
          <w:sz w:val="22"/>
          <w:szCs w:val="22"/>
        </w:rPr>
        <w:t xml:space="preserve"> </w:t>
      </w:r>
      <w:r>
        <w:rPr>
          <w:rFonts w:ascii="Garamond" w:hAnsi="Garamond" w:cs="Garamond"/>
          <w:sz w:val="22"/>
          <w:szCs w:val="22"/>
        </w:rPr>
        <w:t>of care</w:t>
      </w:r>
      <w:r>
        <w:rPr>
          <w:rFonts w:ascii="Garamond" w:hAnsi="Garamond" w:cs="Garamond"/>
          <w:spacing w:val="-13"/>
          <w:sz w:val="22"/>
          <w:szCs w:val="22"/>
        </w:rPr>
        <w:t xml:space="preserve"> </w:t>
      </w:r>
      <w:r>
        <w:rPr>
          <w:rFonts w:ascii="Garamond" w:hAnsi="Garamond" w:cs="Garamond"/>
          <w:sz w:val="22"/>
          <w:szCs w:val="22"/>
        </w:rPr>
        <w:t>coordination,</w:t>
      </w:r>
      <w:r>
        <w:rPr>
          <w:rFonts w:ascii="Garamond" w:hAnsi="Garamond" w:cs="Garamond"/>
          <w:spacing w:val="-15"/>
          <w:sz w:val="22"/>
          <w:szCs w:val="22"/>
        </w:rPr>
        <w:t xml:space="preserve"> </w:t>
      </w:r>
      <w:r>
        <w:rPr>
          <w:rFonts w:ascii="Garamond" w:hAnsi="Garamond" w:cs="Garamond"/>
          <w:sz w:val="22"/>
          <w:szCs w:val="22"/>
        </w:rPr>
        <w:t>including</w:t>
      </w:r>
      <w:r>
        <w:rPr>
          <w:rFonts w:ascii="Garamond" w:hAnsi="Garamond" w:cs="Garamond"/>
          <w:spacing w:val="-15"/>
          <w:sz w:val="22"/>
          <w:szCs w:val="22"/>
        </w:rPr>
        <w:t xml:space="preserve"> </w:t>
      </w:r>
      <w:r>
        <w:rPr>
          <w:rFonts w:ascii="Garamond" w:hAnsi="Garamond" w:cs="Garamond"/>
          <w:sz w:val="22"/>
          <w:szCs w:val="22"/>
        </w:rPr>
        <w:t>group</w:t>
      </w:r>
      <w:r>
        <w:rPr>
          <w:rFonts w:ascii="Garamond" w:hAnsi="Garamond" w:cs="Garamond"/>
          <w:spacing w:val="-11"/>
          <w:sz w:val="22"/>
          <w:szCs w:val="22"/>
        </w:rPr>
        <w:t xml:space="preserve"> </w:t>
      </w:r>
      <w:r>
        <w:rPr>
          <w:rFonts w:ascii="Garamond" w:hAnsi="Garamond" w:cs="Garamond"/>
          <w:sz w:val="22"/>
          <w:szCs w:val="22"/>
        </w:rPr>
        <w:t>visits</w:t>
      </w:r>
      <w:r>
        <w:rPr>
          <w:rFonts w:ascii="Garamond" w:hAnsi="Garamond" w:cs="Garamond"/>
          <w:spacing w:val="-13"/>
          <w:sz w:val="22"/>
          <w:szCs w:val="22"/>
        </w:rPr>
        <w:t xml:space="preserve"> </w:t>
      </w:r>
      <w:r>
        <w:rPr>
          <w:rFonts w:ascii="Garamond" w:hAnsi="Garamond" w:cs="Garamond"/>
          <w:sz w:val="22"/>
          <w:szCs w:val="22"/>
        </w:rPr>
        <w:t>and</w:t>
      </w:r>
      <w:r>
        <w:rPr>
          <w:rFonts w:ascii="Garamond" w:hAnsi="Garamond" w:cs="Garamond"/>
          <w:spacing w:val="-11"/>
          <w:sz w:val="22"/>
          <w:szCs w:val="22"/>
        </w:rPr>
        <w:t xml:space="preserve"> </w:t>
      </w:r>
      <w:r>
        <w:rPr>
          <w:rFonts w:ascii="Garamond" w:hAnsi="Garamond" w:cs="Garamond"/>
          <w:sz w:val="22"/>
          <w:szCs w:val="22"/>
        </w:rPr>
        <w:t>chronic</w:t>
      </w:r>
      <w:r>
        <w:rPr>
          <w:rFonts w:ascii="Garamond" w:hAnsi="Garamond" w:cs="Garamond"/>
          <w:spacing w:val="-12"/>
          <w:sz w:val="22"/>
          <w:szCs w:val="22"/>
        </w:rPr>
        <w:t xml:space="preserve"> </w:t>
      </w:r>
      <w:r>
        <w:rPr>
          <w:rFonts w:ascii="Garamond" w:hAnsi="Garamond" w:cs="Garamond"/>
          <w:sz w:val="22"/>
          <w:szCs w:val="22"/>
        </w:rPr>
        <w:t>disease</w:t>
      </w:r>
      <w:r>
        <w:rPr>
          <w:rFonts w:ascii="Garamond" w:hAnsi="Garamond" w:cs="Garamond"/>
          <w:spacing w:val="-16"/>
          <w:sz w:val="22"/>
          <w:szCs w:val="22"/>
        </w:rPr>
        <w:t xml:space="preserve"> </w:t>
      </w:r>
      <w:r>
        <w:rPr>
          <w:rFonts w:ascii="Garamond" w:hAnsi="Garamond" w:cs="Garamond"/>
          <w:sz w:val="22"/>
          <w:szCs w:val="22"/>
        </w:rPr>
        <w:t>self-management</w:t>
      </w:r>
      <w:r>
        <w:rPr>
          <w:rFonts w:ascii="Garamond" w:hAnsi="Garamond" w:cs="Garamond"/>
          <w:spacing w:val="-11"/>
          <w:sz w:val="22"/>
          <w:szCs w:val="22"/>
        </w:rPr>
        <w:t xml:space="preserve"> </w:t>
      </w:r>
      <w:r>
        <w:rPr>
          <w:rFonts w:ascii="Garamond" w:hAnsi="Garamond" w:cs="Garamond"/>
          <w:sz w:val="22"/>
          <w:szCs w:val="22"/>
        </w:rPr>
        <w:t>programs;</w:t>
      </w:r>
    </w:p>
    <w:p w:rsidR="002C5025" w:rsidRDefault="002C5025">
      <w:pPr>
        <w:pStyle w:val="ListParagraph"/>
        <w:numPr>
          <w:ilvl w:val="2"/>
          <w:numId w:val="49"/>
        </w:numPr>
        <w:tabs>
          <w:tab w:val="left" w:pos="897"/>
        </w:tabs>
        <w:kinsoku w:val="0"/>
        <w:overflowPunct w:val="0"/>
        <w:spacing w:line="242" w:lineRule="auto"/>
        <w:ind w:left="896" w:right="186" w:hanging="360"/>
        <w:rPr>
          <w:rFonts w:ascii="Garamond" w:hAnsi="Garamond" w:cs="Garamond"/>
          <w:sz w:val="22"/>
          <w:szCs w:val="22"/>
        </w:rPr>
      </w:pPr>
      <w:r>
        <w:rPr>
          <w:rFonts w:ascii="Garamond" w:hAnsi="Garamond" w:cs="Garamond"/>
          <w:sz w:val="22"/>
          <w:szCs w:val="22"/>
        </w:rPr>
        <w:t>an</w:t>
      </w:r>
      <w:r>
        <w:rPr>
          <w:rFonts w:ascii="Garamond" w:hAnsi="Garamond" w:cs="Garamond"/>
          <w:spacing w:val="-7"/>
          <w:sz w:val="22"/>
          <w:szCs w:val="22"/>
        </w:rPr>
        <w:t xml:space="preserve"> </w:t>
      </w:r>
      <w:r>
        <w:rPr>
          <w:rFonts w:ascii="Garamond" w:hAnsi="Garamond" w:cs="Garamond"/>
          <w:sz w:val="22"/>
          <w:szCs w:val="22"/>
        </w:rPr>
        <w:t>ability</w:t>
      </w:r>
      <w:r>
        <w:rPr>
          <w:rFonts w:ascii="Garamond" w:hAnsi="Garamond" w:cs="Garamond"/>
          <w:spacing w:val="-9"/>
          <w:sz w:val="22"/>
          <w:szCs w:val="22"/>
        </w:rPr>
        <w:t xml:space="preserve"> </w:t>
      </w:r>
      <w:r>
        <w:rPr>
          <w:rFonts w:ascii="Garamond" w:hAnsi="Garamond" w:cs="Garamond"/>
          <w:sz w:val="22"/>
          <w:szCs w:val="22"/>
        </w:rPr>
        <w:t>to</w:t>
      </w:r>
      <w:r>
        <w:rPr>
          <w:rFonts w:ascii="Garamond" w:hAnsi="Garamond" w:cs="Garamond"/>
          <w:spacing w:val="-7"/>
          <w:sz w:val="22"/>
          <w:szCs w:val="22"/>
        </w:rPr>
        <w:t xml:space="preserve"> </w:t>
      </w:r>
      <w:r>
        <w:rPr>
          <w:rFonts w:ascii="Garamond" w:hAnsi="Garamond" w:cs="Garamond"/>
          <w:sz w:val="22"/>
          <w:szCs w:val="22"/>
        </w:rPr>
        <w:t>effectively</w:t>
      </w:r>
      <w:r>
        <w:rPr>
          <w:rFonts w:ascii="Garamond" w:hAnsi="Garamond" w:cs="Garamond"/>
          <w:spacing w:val="-8"/>
          <w:sz w:val="22"/>
          <w:szCs w:val="22"/>
        </w:rPr>
        <w:t xml:space="preserve"> </w:t>
      </w:r>
      <w:r>
        <w:rPr>
          <w:rFonts w:ascii="Garamond" w:hAnsi="Garamond" w:cs="Garamond"/>
          <w:sz w:val="22"/>
          <w:szCs w:val="22"/>
        </w:rPr>
        <w:t>involve</w:t>
      </w:r>
      <w:r>
        <w:rPr>
          <w:rFonts w:ascii="Garamond" w:hAnsi="Garamond" w:cs="Garamond"/>
          <w:spacing w:val="-9"/>
          <w:sz w:val="22"/>
          <w:szCs w:val="22"/>
        </w:rPr>
        <w:t xml:space="preserve"> </w:t>
      </w:r>
      <w:r>
        <w:rPr>
          <w:rFonts w:ascii="Garamond" w:hAnsi="Garamond" w:cs="Garamond"/>
          <w:sz w:val="22"/>
          <w:szCs w:val="22"/>
        </w:rPr>
        <w:t>members</w:t>
      </w:r>
      <w:r>
        <w:rPr>
          <w:rFonts w:ascii="Garamond" w:hAnsi="Garamond" w:cs="Garamond"/>
          <w:spacing w:val="-9"/>
          <w:sz w:val="22"/>
          <w:szCs w:val="22"/>
        </w:rPr>
        <w:t xml:space="preserve"> </w:t>
      </w:r>
      <w:r>
        <w:rPr>
          <w:rFonts w:ascii="Garamond" w:hAnsi="Garamond" w:cs="Garamond"/>
          <w:sz w:val="22"/>
          <w:szCs w:val="22"/>
        </w:rPr>
        <w:t>in</w:t>
      </w:r>
      <w:r>
        <w:rPr>
          <w:rFonts w:ascii="Garamond" w:hAnsi="Garamond" w:cs="Garamond"/>
          <w:spacing w:val="-7"/>
          <w:sz w:val="22"/>
          <w:szCs w:val="22"/>
        </w:rPr>
        <w:t xml:space="preserve"> </w:t>
      </w:r>
      <w:r>
        <w:rPr>
          <w:rFonts w:ascii="Garamond" w:hAnsi="Garamond" w:cs="Garamond"/>
          <w:sz w:val="22"/>
          <w:szCs w:val="22"/>
        </w:rPr>
        <w:t>care</w:t>
      </w:r>
      <w:r>
        <w:rPr>
          <w:rFonts w:ascii="Garamond" w:hAnsi="Garamond" w:cs="Garamond"/>
          <w:spacing w:val="-9"/>
          <w:sz w:val="22"/>
          <w:szCs w:val="22"/>
        </w:rPr>
        <w:t xml:space="preserve"> </w:t>
      </w:r>
      <w:r>
        <w:rPr>
          <w:rFonts w:ascii="Garamond" w:hAnsi="Garamond" w:cs="Garamond"/>
          <w:sz w:val="22"/>
          <w:szCs w:val="22"/>
        </w:rPr>
        <w:t>transitions</w:t>
      </w:r>
      <w:r>
        <w:rPr>
          <w:rFonts w:ascii="Garamond" w:hAnsi="Garamond" w:cs="Garamond"/>
          <w:spacing w:val="-4"/>
          <w:sz w:val="22"/>
          <w:szCs w:val="22"/>
        </w:rPr>
        <w:t xml:space="preserve"> </w:t>
      </w:r>
      <w:r>
        <w:rPr>
          <w:rFonts w:ascii="Garamond" w:hAnsi="Garamond" w:cs="Garamond"/>
          <w:sz w:val="22"/>
          <w:szCs w:val="22"/>
        </w:rPr>
        <w:t>to</w:t>
      </w:r>
      <w:r>
        <w:rPr>
          <w:rFonts w:ascii="Garamond" w:hAnsi="Garamond" w:cs="Garamond"/>
          <w:spacing w:val="-9"/>
          <w:sz w:val="22"/>
          <w:szCs w:val="22"/>
        </w:rPr>
        <w:t xml:space="preserve"> </w:t>
      </w:r>
      <w:r>
        <w:rPr>
          <w:rFonts w:ascii="Garamond" w:hAnsi="Garamond" w:cs="Garamond"/>
          <w:sz w:val="22"/>
          <w:szCs w:val="22"/>
        </w:rPr>
        <w:t>improve</w:t>
      </w:r>
      <w:r>
        <w:rPr>
          <w:rFonts w:ascii="Garamond" w:hAnsi="Garamond" w:cs="Garamond"/>
          <w:spacing w:val="-9"/>
          <w:sz w:val="22"/>
          <w:szCs w:val="22"/>
        </w:rPr>
        <w:t xml:space="preserve"> </w:t>
      </w:r>
      <w:r>
        <w:rPr>
          <w:rFonts w:ascii="Garamond" w:hAnsi="Garamond" w:cs="Garamond"/>
          <w:sz w:val="22"/>
          <w:szCs w:val="22"/>
        </w:rPr>
        <w:t>the</w:t>
      </w:r>
      <w:r>
        <w:rPr>
          <w:rFonts w:ascii="Garamond" w:hAnsi="Garamond" w:cs="Garamond"/>
          <w:spacing w:val="-10"/>
          <w:sz w:val="22"/>
          <w:szCs w:val="22"/>
        </w:rPr>
        <w:t xml:space="preserve"> </w:t>
      </w:r>
      <w:r>
        <w:rPr>
          <w:rFonts w:ascii="Garamond" w:hAnsi="Garamond" w:cs="Garamond"/>
          <w:sz w:val="22"/>
          <w:szCs w:val="22"/>
        </w:rPr>
        <w:t>continuity</w:t>
      </w:r>
      <w:r>
        <w:rPr>
          <w:rFonts w:ascii="Garamond" w:hAnsi="Garamond" w:cs="Garamond"/>
          <w:spacing w:val="-12"/>
          <w:sz w:val="22"/>
          <w:szCs w:val="22"/>
        </w:rPr>
        <w:t xml:space="preserve"> </w:t>
      </w:r>
      <w:r>
        <w:rPr>
          <w:rFonts w:ascii="Garamond" w:hAnsi="Garamond" w:cs="Garamond"/>
          <w:sz w:val="22"/>
          <w:szCs w:val="22"/>
        </w:rPr>
        <w:t>and</w:t>
      </w:r>
      <w:r>
        <w:rPr>
          <w:rFonts w:ascii="Garamond" w:hAnsi="Garamond" w:cs="Garamond"/>
          <w:spacing w:val="-7"/>
          <w:sz w:val="22"/>
          <w:szCs w:val="22"/>
        </w:rPr>
        <w:t xml:space="preserve"> </w:t>
      </w:r>
      <w:r>
        <w:rPr>
          <w:rFonts w:ascii="Garamond" w:hAnsi="Garamond" w:cs="Garamond"/>
          <w:sz w:val="22"/>
          <w:szCs w:val="22"/>
        </w:rPr>
        <w:t>quality</w:t>
      </w:r>
      <w:r>
        <w:rPr>
          <w:rFonts w:ascii="Garamond" w:hAnsi="Garamond" w:cs="Garamond"/>
          <w:spacing w:val="-9"/>
          <w:sz w:val="22"/>
          <w:szCs w:val="22"/>
        </w:rPr>
        <w:t xml:space="preserve"> </w:t>
      </w:r>
      <w:r>
        <w:rPr>
          <w:rFonts w:ascii="Garamond" w:hAnsi="Garamond" w:cs="Garamond"/>
          <w:sz w:val="22"/>
          <w:szCs w:val="22"/>
        </w:rPr>
        <w:t>of care</w:t>
      </w:r>
      <w:r>
        <w:rPr>
          <w:rFonts w:ascii="Garamond" w:hAnsi="Garamond" w:cs="Garamond"/>
          <w:spacing w:val="-10"/>
          <w:sz w:val="22"/>
          <w:szCs w:val="22"/>
        </w:rPr>
        <w:t xml:space="preserve"> </w:t>
      </w:r>
      <w:r>
        <w:rPr>
          <w:rFonts w:ascii="Garamond" w:hAnsi="Garamond" w:cs="Garamond"/>
          <w:sz w:val="22"/>
          <w:szCs w:val="22"/>
        </w:rPr>
        <w:t>across</w:t>
      </w:r>
      <w:r>
        <w:rPr>
          <w:rFonts w:ascii="Garamond" w:hAnsi="Garamond" w:cs="Garamond"/>
          <w:spacing w:val="-9"/>
          <w:sz w:val="22"/>
          <w:szCs w:val="22"/>
        </w:rPr>
        <w:t xml:space="preserve"> </w:t>
      </w:r>
      <w:r>
        <w:rPr>
          <w:rFonts w:ascii="Garamond" w:hAnsi="Garamond" w:cs="Garamond"/>
          <w:sz w:val="22"/>
          <w:szCs w:val="22"/>
        </w:rPr>
        <w:t>settings,</w:t>
      </w:r>
      <w:r>
        <w:rPr>
          <w:rFonts w:ascii="Garamond" w:hAnsi="Garamond" w:cs="Garamond"/>
          <w:spacing w:val="-8"/>
          <w:sz w:val="22"/>
          <w:szCs w:val="22"/>
        </w:rPr>
        <w:t xml:space="preserve"> </w:t>
      </w:r>
      <w:r>
        <w:rPr>
          <w:rFonts w:ascii="Garamond" w:hAnsi="Garamond" w:cs="Garamond"/>
          <w:sz w:val="22"/>
          <w:szCs w:val="22"/>
        </w:rPr>
        <w:t>with</w:t>
      </w:r>
      <w:r>
        <w:rPr>
          <w:rFonts w:ascii="Garamond" w:hAnsi="Garamond" w:cs="Garamond"/>
          <w:spacing w:val="-10"/>
          <w:sz w:val="22"/>
          <w:szCs w:val="22"/>
        </w:rPr>
        <w:t xml:space="preserve"> </w:t>
      </w:r>
      <w:r>
        <w:rPr>
          <w:rFonts w:ascii="Garamond" w:hAnsi="Garamond" w:cs="Garamond"/>
          <w:sz w:val="22"/>
          <w:szCs w:val="22"/>
        </w:rPr>
        <w:t>case</w:t>
      </w:r>
      <w:r>
        <w:rPr>
          <w:rFonts w:ascii="Garamond" w:hAnsi="Garamond" w:cs="Garamond"/>
          <w:spacing w:val="-8"/>
          <w:sz w:val="22"/>
          <w:szCs w:val="22"/>
        </w:rPr>
        <w:t xml:space="preserve"> </w:t>
      </w:r>
      <w:r>
        <w:rPr>
          <w:rFonts w:ascii="Garamond" w:hAnsi="Garamond" w:cs="Garamond"/>
          <w:sz w:val="22"/>
          <w:szCs w:val="22"/>
        </w:rPr>
        <w:t>manager</w:t>
      </w:r>
      <w:r>
        <w:rPr>
          <w:rFonts w:ascii="Garamond" w:hAnsi="Garamond" w:cs="Garamond"/>
          <w:spacing w:val="-9"/>
          <w:sz w:val="22"/>
          <w:szCs w:val="22"/>
        </w:rPr>
        <w:t xml:space="preserve"> </w:t>
      </w:r>
      <w:r>
        <w:rPr>
          <w:rFonts w:ascii="Garamond" w:hAnsi="Garamond" w:cs="Garamond"/>
          <w:sz w:val="22"/>
          <w:szCs w:val="22"/>
        </w:rPr>
        <w:t>follow</w:t>
      </w:r>
      <w:r>
        <w:rPr>
          <w:rFonts w:ascii="Garamond" w:hAnsi="Garamond" w:cs="Garamond"/>
          <w:spacing w:val="-10"/>
          <w:sz w:val="22"/>
          <w:szCs w:val="22"/>
        </w:rPr>
        <w:t xml:space="preserve"> </w:t>
      </w:r>
      <w:r>
        <w:rPr>
          <w:rFonts w:ascii="Garamond" w:hAnsi="Garamond" w:cs="Garamond"/>
          <w:sz w:val="22"/>
          <w:szCs w:val="22"/>
        </w:rPr>
        <w:t>up;</w:t>
      </w:r>
    </w:p>
    <w:p w:rsidR="002C5025" w:rsidRDefault="002C5025">
      <w:pPr>
        <w:pStyle w:val="ListParagraph"/>
        <w:numPr>
          <w:ilvl w:val="2"/>
          <w:numId w:val="49"/>
        </w:numPr>
        <w:tabs>
          <w:tab w:val="left" w:pos="897"/>
        </w:tabs>
        <w:kinsoku w:val="0"/>
        <w:overflowPunct w:val="0"/>
        <w:spacing w:before="19" w:line="248" w:lineRule="exact"/>
        <w:ind w:left="896" w:right="100" w:hanging="360"/>
        <w:rPr>
          <w:rFonts w:ascii="Garamond" w:hAnsi="Garamond" w:cs="Garamond"/>
          <w:sz w:val="22"/>
          <w:szCs w:val="22"/>
        </w:rPr>
      </w:pPr>
      <w:r>
        <w:rPr>
          <w:rFonts w:ascii="Garamond" w:hAnsi="Garamond" w:cs="Garamond"/>
          <w:sz w:val="22"/>
          <w:szCs w:val="22"/>
        </w:rPr>
        <w:t>capabilities</w:t>
      </w:r>
      <w:r>
        <w:rPr>
          <w:rFonts w:ascii="Garamond" w:hAnsi="Garamond" w:cs="Garamond"/>
          <w:spacing w:val="-7"/>
          <w:sz w:val="22"/>
          <w:szCs w:val="22"/>
        </w:rPr>
        <w:t xml:space="preserve"> </w:t>
      </w:r>
      <w:r>
        <w:rPr>
          <w:rFonts w:ascii="Garamond" w:hAnsi="Garamond" w:cs="Garamond"/>
          <w:sz w:val="22"/>
          <w:szCs w:val="22"/>
        </w:rPr>
        <w:t>to</w:t>
      </w:r>
      <w:r>
        <w:rPr>
          <w:rFonts w:ascii="Garamond" w:hAnsi="Garamond" w:cs="Garamond"/>
          <w:spacing w:val="-8"/>
          <w:sz w:val="22"/>
          <w:szCs w:val="22"/>
        </w:rPr>
        <w:t xml:space="preserve"> </w:t>
      </w:r>
      <w:r>
        <w:rPr>
          <w:rFonts w:ascii="Garamond" w:hAnsi="Garamond" w:cs="Garamond"/>
          <w:sz w:val="22"/>
          <w:szCs w:val="22"/>
        </w:rPr>
        <w:t>engage</w:t>
      </w:r>
      <w:r>
        <w:rPr>
          <w:rFonts w:ascii="Garamond" w:hAnsi="Garamond" w:cs="Garamond"/>
          <w:spacing w:val="-9"/>
          <w:sz w:val="22"/>
          <w:szCs w:val="22"/>
        </w:rPr>
        <w:t xml:space="preserve"> </w:t>
      </w:r>
      <w:r>
        <w:rPr>
          <w:rFonts w:ascii="Garamond" w:hAnsi="Garamond" w:cs="Garamond"/>
          <w:spacing w:val="-3"/>
          <w:sz w:val="22"/>
          <w:szCs w:val="22"/>
        </w:rPr>
        <w:t>and</w:t>
      </w:r>
      <w:r>
        <w:rPr>
          <w:rFonts w:ascii="Garamond" w:hAnsi="Garamond" w:cs="Garamond"/>
          <w:spacing w:val="-8"/>
          <w:sz w:val="22"/>
          <w:szCs w:val="22"/>
        </w:rPr>
        <w:t xml:space="preserve"> </w:t>
      </w:r>
      <w:r>
        <w:rPr>
          <w:rFonts w:ascii="Garamond" w:hAnsi="Garamond" w:cs="Garamond"/>
          <w:sz w:val="22"/>
          <w:szCs w:val="22"/>
        </w:rPr>
        <w:t>activate</w:t>
      </w:r>
      <w:r>
        <w:rPr>
          <w:rFonts w:ascii="Garamond" w:hAnsi="Garamond" w:cs="Garamond"/>
          <w:spacing w:val="-11"/>
          <w:sz w:val="22"/>
          <w:szCs w:val="22"/>
        </w:rPr>
        <w:t xml:space="preserve"> </w:t>
      </w:r>
      <w:r>
        <w:rPr>
          <w:rFonts w:ascii="Garamond" w:hAnsi="Garamond" w:cs="Garamond"/>
          <w:sz w:val="22"/>
          <w:szCs w:val="22"/>
        </w:rPr>
        <w:t>members</w:t>
      </w:r>
      <w:r>
        <w:rPr>
          <w:rFonts w:ascii="Garamond" w:hAnsi="Garamond" w:cs="Garamond"/>
          <w:spacing w:val="-7"/>
          <w:sz w:val="22"/>
          <w:szCs w:val="22"/>
        </w:rPr>
        <w:t xml:space="preserve"> </w:t>
      </w:r>
      <w:r>
        <w:rPr>
          <w:rFonts w:ascii="Garamond" w:hAnsi="Garamond" w:cs="Garamond"/>
          <w:sz w:val="22"/>
          <w:szCs w:val="22"/>
        </w:rPr>
        <w:t>at</w:t>
      </w:r>
      <w:r>
        <w:rPr>
          <w:rFonts w:ascii="Garamond" w:hAnsi="Garamond" w:cs="Garamond"/>
          <w:spacing w:val="-10"/>
          <w:sz w:val="22"/>
          <w:szCs w:val="22"/>
        </w:rPr>
        <w:t xml:space="preserve"> </w:t>
      </w:r>
      <w:r>
        <w:rPr>
          <w:rFonts w:ascii="Garamond" w:hAnsi="Garamond" w:cs="Garamond"/>
          <w:sz w:val="22"/>
          <w:szCs w:val="22"/>
        </w:rPr>
        <w:t>home</w:t>
      </w:r>
      <w:r>
        <w:rPr>
          <w:rFonts w:ascii="Garamond" w:hAnsi="Garamond" w:cs="Garamond"/>
          <w:spacing w:val="-11"/>
          <w:sz w:val="22"/>
          <w:szCs w:val="22"/>
        </w:rPr>
        <w:t xml:space="preserve"> </w:t>
      </w:r>
      <w:r>
        <w:rPr>
          <w:rFonts w:ascii="Garamond" w:hAnsi="Garamond" w:cs="Garamond"/>
          <w:sz w:val="22"/>
          <w:szCs w:val="22"/>
        </w:rPr>
        <w:t>to</w:t>
      </w:r>
      <w:r>
        <w:rPr>
          <w:rFonts w:ascii="Garamond" w:hAnsi="Garamond" w:cs="Garamond"/>
          <w:spacing w:val="-8"/>
          <w:sz w:val="22"/>
          <w:szCs w:val="22"/>
        </w:rPr>
        <w:t xml:space="preserve"> </w:t>
      </w:r>
      <w:r>
        <w:rPr>
          <w:rFonts w:ascii="Garamond" w:hAnsi="Garamond" w:cs="Garamond"/>
          <w:sz w:val="22"/>
          <w:szCs w:val="22"/>
        </w:rPr>
        <w:t>improve</w:t>
      </w:r>
      <w:r>
        <w:rPr>
          <w:rFonts w:ascii="Garamond" w:hAnsi="Garamond" w:cs="Garamond"/>
          <w:spacing w:val="-13"/>
          <w:sz w:val="22"/>
          <w:szCs w:val="22"/>
        </w:rPr>
        <w:t xml:space="preserve"> </w:t>
      </w:r>
      <w:r>
        <w:rPr>
          <w:rFonts w:ascii="Garamond" w:hAnsi="Garamond" w:cs="Garamond"/>
          <w:sz w:val="22"/>
          <w:szCs w:val="22"/>
        </w:rPr>
        <w:t>self-management,</w:t>
      </w:r>
      <w:r>
        <w:rPr>
          <w:rFonts w:ascii="Garamond" w:hAnsi="Garamond" w:cs="Garamond"/>
          <w:spacing w:val="-9"/>
          <w:sz w:val="22"/>
          <w:szCs w:val="22"/>
        </w:rPr>
        <w:t xml:space="preserve"> </w:t>
      </w:r>
      <w:r>
        <w:rPr>
          <w:rFonts w:ascii="Garamond" w:hAnsi="Garamond" w:cs="Garamond"/>
          <w:sz w:val="22"/>
          <w:szCs w:val="22"/>
        </w:rPr>
        <w:t>through</w:t>
      </w:r>
      <w:r>
        <w:rPr>
          <w:rFonts w:ascii="Garamond" w:hAnsi="Garamond" w:cs="Garamond"/>
          <w:spacing w:val="-11"/>
          <w:sz w:val="22"/>
          <w:szCs w:val="22"/>
        </w:rPr>
        <w:t xml:space="preserve"> </w:t>
      </w:r>
      <w:r>
        <w:rPr>
          <w:rFonts w:ascii="Garamond" w:hAnsi="Garamond" w:cs="Garamond"/>
          <w:sz w:val="22"/>
          <w:szCs w:val="22"/>
        </w:rPr>
        <w:t xml:space="preserve">methods such as </w:t>
      </w:r>
      <w:r>
        <w:rPr>
          <w:rFonts w:ascii="Garamond" w:hAnsi="Garamond" w:cs="Garamond"/>
          <w:spacing w:val="-3"/>
          <w:sz w:val="22"/>
          <w:szCs w:val="22"/>
        </w:rPr>
        <w:t xml:space="preserve">home </w:t>
      </w:r>
      <w:r>
        <w:rPr>
          <w:rFonts w:ascii="Garamond" w:hAnsi="Garamond" w:cs="Garamond"/>
          <w:sz w:val="22"/>
          <w:szCs w:val="22"/>
        </w:rPr>
        <w:t>visits or telemedicine;</w:t>
      </w:r>
      <w:r>
        <w:rPr>
          <w:rFonts w:ascii="Garamond" w:hAnsi="Garamond" w:cs="Garamond"/>
          <w:spacing w:val="-36"/>
          <w:sz w:val="22"/>
          <w:szCs w:val="22"/>
        </w:rPr>
        <w:t xml:space="preserve"> </w:t>
      </w:r>
      <w:r>
        <w:rPr>
          <w:rFonts w:ascii="Garamond" w:hAnsi="Garamond" w:cs="Garamond"/>
          <w:sz w:val="22"/>
          <w:szCs w:val="22"/>
        </w:rPr>
        <w:t>and</w:t>
      </w:r>
    </w:p>
    <w:p w:rsidR="002C5025" w:rsidRDefault="002C5025">
      <w:pPr>
        <w:pStyle w:val="ListParagraph"/>
        <w:numPr>
          <w:ilvl w:val="2"/>
          <w:numId w:val="49"/>
        </w:numPr>
        <w:tabs>
          <w:tab w:val="left" w:pos="897"/>
        </w:tabs>
        <w:kinsoku w:val="0"/>
        <w:overflowPunct w:val="0"/>
        <w:spacing w:before="10"/>
        <w:ind w:left="896" w:hanging="360"/>
        <w:rPr>
          <w:rFonts w:ascii="Garamond" w:hAnsi="Garamond" w:cs="Garamond"/>
          <w:sz w:val="22"/>
          <w:szCs w:val="22"/>
        </w:rPr>
      </w:pPr>
      <w:r>
        <w:rPr>
          <w:rFonts w:ascii="Garamond" w:hAnsi="Garamond" w:cs="Garamond"/>
          <w:sz w:val="22"/>
          <w:szCs w:val="22"/>
        </w:rPr>
        <w:t>use</w:t>
      </w:r>
      <w:r>
        <w:rPr>
          <w:rFonts w:ascii="Garamond" w:hAnsi="Garamond" w:cs="Garamond"/>
          <w:spacing w:val="-10"/>
          <w:sz w:val="22"/>
          <w:szCs w:val="22"/>
        </w:rPr>
        <w:t xml:space="preserve"> </w:t>
      </w:r>
      <w:r>
        <w:rPr>
          <w:rFonts w:ascii="Garamond" w:hAnsi="Garamond" w:cs="Garamond"/>
          <w:sz w:val="22"/>
          <w:szCs w:val="22"/>
        </w:rPr>
        <w:t>of</w:t>
      </w:r>
      <w:r>
        <w:rPr>
          <w:rFonts w:ascii="Garamond" w:hAnsi="Garamond" w:cs="Garamond"/>
          <w:spacing w:val="-12"/>
          <w:sz w:val="22"/>
          <w:szCs w:val="22"/>
        </w:rPr>
        <w:t xml:space="preserve"> </w:t>
      </w:r>
      <w:r>
        <w:rPr>
          <w:rFonts w:ascii="Garamond" w:hAnsi="Garamond" w:cs="Garamond"/>
          <w:sz w:val="22"/>
          <w:szCs w:val="22"/>
        </w:rPr>
        <w:t>shared</w:t>
      </w:r>
      <w:r>
        <w:rPr>
          <w:rFonts w:ascii="Garamond" w:hAnsi="Garamond" w:cs="Garamond"/>
          <w:spacing w:val="-12"/>
          <w:sz w:val="22"/>
          <w:szCs w:val="22"/>
        </w:rPr>
        <w:t xml:space="preserve"> </w:t>
      </w:r>
      <w:r>
        <w:rPr>
          <w:rFonts w:ascii="Garamond" w:hAnsi="Garamond" w:cs="Garamond"/>
          <w:sz w:val="22"/>
          <w:szCs w:val="22"/>
        </w:rPr>
        <w:t>decision-making</w:t>
      </w:r>
      <w:r>
        <w:rPr>
          <w:rFonts w:ascii="Garamond" w:hAnsi="Garamond" w:cs="Garamond"/>
          <w:spacing w:val="-12"/>
          <w:sz w:val="22"/>
          <w:szCs w:val="22"/>
        </w:rPr>
        <w:t xml:space="preserve"> </w:t>
      </w:r>
      <w:r>
        <w:rPr>
          <w:rFonts w:ascii="Garamond" w:hAnsi="Garamond" w:cs="Garamond"/>
          <w:sz w:val="22"/>
          <w:szCs w:val="22"/>
        </w:rPr>
        <w:t>tools</w:t>
      </w:r>
      <w:r>
        <w:rPr>
          <w:rFonts w:ascii="Garamond" w:hAnsi="Garamond" w:cs="Garamond"/>
          <w:spacing w:val="-8"/>
          <w:sz w:val="22"/>
          <w:szCs w:val="22"/>
        </w:rPr>
        <w:t xml:space="preserve"> </w:t>
      </w:r>
      <w:r>
        <w:rPr>
          <w:rFonts w:ascii="Garamond" w:hAnsi="Garamond" w:cs="Garamond"/>
          <w:sz w:val="22"/>
          <w:szCs w:val="22"/>
        </w:rPr>
        <w:t>and</w:t>
      </w:r>
      <w:r>
        <w:rPr>
          <w:rFonts w:ascii="Garamond" w:hAnsi="Garamond" w:cs="Garamond"/>
          <w:spacing w:val="-12"/>
          <w:sz w:val="22"/>
          <w:szCs w:val="22"/>
        </w:rPr>
        <w:t xml:space="preserve"> </w:t>
      </w:r>
      <w:r>
        <w:rPr>
          <w:rFonts w:ascii="Garamond" w:hAnsi="Garamond" w:cs="Garamond"/>
          <w:sz w:val="22"/>
          <w:szCs w:val="22"/>
        </w:rPr>
        <w:t>processes.</w:t>
      </w:r>
    </w:p>
    <w:p w:rsidR="002C5025" w:rsidRDefault="002C5025">
      <w:pPr>
        <w:pStyle w:val="BodyText"/>
        <w:kinsoku w:val="0"/>
        <w:overflowPunct w:val="0"/>
        <w:spacing w:before="10"/>
        <w:rPr>
          <w:rFonts w:ascii="Garamond" w:hAnsi="Garamond" w:cs="Garamond"/>
          <w:sz w:val="21"/>
          <w:szCs w:val="21"/>
        </w:rPr>
      </w:pPr>
    </w:p>
    <w:p w:rsidR="002C5025" w:rsidRDefault="002C5025">
      <w:pPr>
        <w:pStyle w:val="BodyText"/>
        <w:kinsoku w:val="0"/>
        <w:overflowPunct w:val="0"/>
        <w:ind w:left="119" w:right="32"/>
        <w:rPr>
          <w:rFonts w:ascii="Garamond" w:hAnsi="Garamond" w:cs="Garamond"/>
        </w:rPr>
      </w:pPr>
      <w:r>
        <w:rPr>
          <w:rFonts w:ascii="Garamond" w:hAnsi="Garamond" w:cs="Garamond"/>
        </w:rPr>
        <w:t xml:space="preserve">As individualized care </w:t>
      </w:r>
      <w:r>
        <w:rPr>
          <w:rFonts w:ascii="Garamond" w:hAnsi="Garamond" w:cs="Garamond"/>
          <w:spacing w:val="-3"/>
        </w:rPr>
        <w:t xml:space="preserve">plans </w:t>
      </w:r>
      <w:r>
        <w:rPr>
          <w:rFonts w:ascii="Garamond" w:hAnsi="Garamond" w:cs="Garamond"/>
        </w:rPr>
        <w:t xml:space="preserve">and team-based care are </w:t>
      </w:r>
      <w:r>
        <w:rPr>
          <w:rFonts w:ascii="Garamond" w:hAnsi="Garamond" w:cs="Garamond"/>
          <w:spacing w:val="-3"/>
        </w:rPr>
        <w:t xml:space="preserve">core </w:t>
      </w:r>
      <w:r>
        <w:rPr>
          <w:rFonts w:ascii="Garamond" w:hAnsi="Garamond" w:cs="Garamond"/>
        </w:rPr>
        <w:t xml:space="preserve">elements of effective care coordination, we urge MassHealth to also </w:t>
      </w:r>
      <w:r>
        <w:rPr>
          <w:rFonts w:ascii="Garamond" w:hAnsi="Garamond" w:cs="Garamond"/>
          <w:spacing w:val="-4"/>
        </w:rPr>
        <w:t xml:space="preserve">emphasize </w:t>
      </w:r>
      <w:r>
        <w:rPr>
          <w:rFonts w:ascii="Garamond" w:hAnsi="Garamond" w:cs="Garamond"/>
        </w:rPr>
        <w:t xml:space="preserve">care planning in ACO requirements. Where appropriate, ACOs should be encouraged to use shared care plans, which </w:t>
      </w:r>
      <w:r>
        <w:rPr>
          <w:rFonts w:ascii="Garamond" w:hAnsi="Garamond" w:cs="Garamond"/>
          <w:spacing w:val="-2"/>
        </w:rPr>
        <w:t xml:space="preserve">are </w:t>
      </w:r>
      <w:r>
        <w:rPr>
          <w:rFonts w:ascii="Garamond" w:hAnsi="Garamond" w:cs="Garamond"/>
        </w:rPr>
        <w:t>jointly maintained and updated by members, family caregivers (with member consent), and members of the care team.</w:t>
      </w:r>
      <w:r>
        <w:rPr>
          <w:rFonts w:ascii="Garamond" w:hAnsi="Garamond" w:cs="Garamond"/>
          <w:position w:val="5"/>
          <w:sz w:val="14"/>
          <w:szCs w:val="14"/>
        </w:rPr>
        <w:t xml:space="preserve">33 </w:t>
      </w:r>
      <w:r>
        <w:rPr>
          <w:rFonts w:ascii="Garamond" w:hAnsi="Garamond" w:cs="Garamond"/>
        </w:rPr>
        <w:t xml:space="preserve">Care management should include the provision of services to create and implement thorough </w:t>
      </w:r>
      <w:r>
        <w:rPr>
          <w:rFonts w:ascii="Garamond" w:hAnsi="Garamond" w:cs="Garamond"/>
          <w:spacing w:val="-3"/>
        </w:rPr>
        <w:t xml:space="preserve">and </w:t>
      </w:r>
      <w:r>
        <w:rPr>
          <w:rFonts w:ascii="Garamond" w:hAnsi="Garamond" w:cs="Garamond"/>
        </w:rPr>
        <w:t xml:space="preserve">appropriate treatment plans, including wellness, recovery, and transportation to </w:t>
      </w:r>
      <w:r>
        <w:rPr>
          <w:rFonts w:ascii="Garamond" w:hAnsi="Garamond" w:cs="Garamond"/>
          <w:spacing w:val="-4"/>
        </w:rPr>
        <w:t xml:space="preserve">recommended </w:t>
      </w:r>
      <w:r>
        <w:rPr>
          <w:rFonts w:ascii="Garamond" w:hAnsi="Garamond" w:cs="Garamond"/>
        </w:rPr>
        <w:t xml:space="preserve">medical, social, </w:t>
      </w:r>
      <w:r>
        <w:rPr>
          <w:rFonts w:ascii="Garamond" w:hAnsi="Garamond" w:cs="Garamond"/>
          <w:spacing w:val="-3"/>
        </w:rPr>
        <w:t xml:space="preserve">and </w:t>
      </w:r>
      <w:r>
        <w:rPr>
          <w:rFonts w:ascii="Garamond" w:hAnsi="Garamond" w:cs="Garamond"/>
        </w:rPr>
        <w:t xml:space="preserve">physical activities; peer </w:t>
      </w:r>
      <w:r>
        <w:rPr>
          <w:rFonts w:ascii="Garamond" w:hAnsi="Garamond" w:cs="Garamond"/>
          <w:spacing w:val="-3"/>
        </w:rPr>
        <w:t xml:space="preserve">assistance; </w:t>
      </w:r>
      <w:r>
        <w:rPr>
          <w:rFonts w:ascii="Garamond" w:hAnsi="Garamond" w:cs="Garamond"/>
        </w:rPr>
        <w:t xml:space="preserve">exercise support; food delivery; </w:t>
      </w:r>
      <w:r>
        <w:rPr>
          <w:rFonts w:ascii="Garamond" w:hAnsi="Garamond" w:cs="Garamond"/>
          <w:spacing w:val="-3"/>
        </w:rPr>
        <w:t xml:space="preserve">and </w:t>
      </w:r>
      <w:r>
        <w:rPr>
          <w:rFonts w:ascii="Garamond" w:hAnsi="Garamond" w:cs="Garamond"/>
        </w:rPr>
        <w:t>medical equipment.</w:t>
      </w:r>
    </w:p>
    <w:p w:rsidR="002C5025" w:rsidRDefault="002C5025">
      <w:pPr>
        <w:pStyle w:val="BodyText"/>
        <w:kinsoku w:val="0"/>
        <w:overflowPunct w:val="0"/>
        <w:spacing w:before="10"/>
        <w:rPr>
          <w:rFonts w:ascii="Garamond" w:hAnsi="Garamond" w:cs="Garamond"/>
          <w:sz w:val="21"/>
          <w:szCs w:val="21"/>
        </w:rPr>
      </w:pPr>
    </w:p>
    <w:p w:rsidR="002C5025" w:rsidRDefault="002C5025">
      <w:pPr>
        <w:pStyle w:val="BodyText"/>
        <w:kinsoku w:val="0"/>
        <w:overflowPunct w:val="0"/>
        <w:ind w:left="120" w:right="225"/>
        <w:rPr>
          <w:rFonts w:ascii="Garamond" w:hAnsi="Garamond" w:cs="Garamond"/>
          <w:b/>
          <w:bCs/>
        </w:rPr>
      </w:pPr>
      <w:bookmarkStart w:id="164" w:name="Member_access_and_choice"/>
      <w:bookmarkEnd w:id="164"/>
      <w:r>
        <w:rPr>
          <w:rFonts w:ascii="Garamond" w:hAnsi="Garamond" w:cs="Garamond"/>
          <w:b/>
          <w:bCs/>
          <w:u w:val="single"/>
        </w:rPr>
        <w:t>Member access and choice</w:t>
      </w:r>
    </w:p>
    <w:p w:rsidR="002C5025" w:rsidRDefault="002C5025">
      <w:pPr>
        <w:pStyle w:val="BodyText"/>
        <w:kinsoku w:val="0"/>
        <w:overflowPunct w:val="0"/>
        <w:spacing w:before="10"/>
        <w:rPr>
          <w:rFonts w:ascii="Garamond" w:hAnsi="Garamond" w:cs="Garamond"/>
          <w:b/>
          <w:bCs/>
          <w:sz w:val="13"/>
          <w:szCs w:val="13"/>
        </w:rPr>
      </w:pPr>
    </w:p>
    <w:p w:rsidR="002C5025" w:rsidRDefault="002C5025">
      <w:pPr>
        <w:pStyle w:val="BodyText"/>
        <w:kinsoku w:val="0"/>
        <w:overflowPunct w:val="0"/>
        <w:spacing w:before="80" w:line="264" w:lineRule="exact"/>
        <w:ind w:left="120" w:right="225"/>
        <w:rPr>
          <w:rFonts w:ascii="Garamond" w:hAnsi="Garamond" w:cs="Garamond"/>
          <w:b/>
          <w:bCs/>
          <w:i/>
          <w:iCs/>
          <w:w w:val="90"/>
          <w:sz w:val="24"/>
          <w:szCs w:val="24"/>
        </w:rPr>
      </w:pPr>
      <w:r>
        <w:rPr>
          <w:rFonts w:ascii="Garamond" w:hAnsi="Garamond" w:cs="Garamond"/>
          <w:b/>
          <w:bCs/>
          <w:i/>
          <w:iCs/>
          <w:w w:val="90"/>
          <w:sz w:val="24"/>
          <w:szCs w:val="24"/>
        </w:rPr>
        <w:t>Benefits and cost-sharing</w:t>
      </w:r>
    </w:p>
    <w:p w:rsidR="002C5025" w:rsidRDefault="002C5025">
      <w:pPr>
        <w:pStyle w:val="BodyText"/>
        <w:kinsoku w:val="0"/>
        <w:overflowPunct w:val="0"/>
        <w:ind w:left="119" w:right="85"/>
        <w:rPr>
          <w:rFonts w:ascii="Garamond" w:hAnsi="Garamond" w:cs="Garamond"/>
        </w:rPr>
      </w:pPr>
      <w:r>
        <w:rPr>
          <w:rFonts w:ascii="Garamond" w:hAnsi="Garamond" w:cs="Garamond"/>
        </w:rPr>
        <w:t xml:space="preserve">In order to make the </w:t>
      </w:r>
      <w:r>
        <w:rPr>
          <w:rFonts w:ascii="Garamond" w:hAnsi="Garamond" w:cs="Garamond"/>
          <w:spacing w:val="-3"/>
        </w:rPr>
        <w:t xml:space="preserve">ACO </w:t>
      </w:r>
      <w:r>
        <w:rPr>
          <w:rFonts w:ascii="Garamond" w:hAnsi="Garamond" w:cs="Garamond"/>
        </w:rPr>
        <w:t xml:space="preserve">option appealing, </w:t>
      </w:r>
      <w:r>
        <w:rPr>
          <w:rFonts w:ascii="Garamond" w:hAnsi="Garamond" w:cs="Garamond"/>
          <w:spacing w:val="-3"/>
        </w:rPr>
        <w:t xml:space="preserve">members need </w:t>
      </w:r>
      <w:r>
        <w:rPr>
          <w:rFonts w:ascii="Garamond" w:hAnsi="Garamond" w:cs="Garamond"/>
        </w:rPr>
        <w:t xml:space="preserve">an understandable, unbiased explanation of the advantages </w:t>
      </w:r>
      <w:r>
        <w:rPr>
          <w:rFonts w:ascii="Garamond" w:hAnsi="Garamond" w:cs="Garamond"/>
          <w:spacing w:val="-3"/>
        </w:rPr>
        <w:t xml:space="preserve">and </w:t>
      </w:r>
      <w:r>
        <w:rPr>
          <w:rFonts w:ascii="Garamond" w:hAnsi="Garamond" w:cs="Garamond"/>
        </w:rPr>
        <w:t xml:space="preserve">risks of the </w:t>
      </w:r>
      <w:r>
        <w:rPr>
          <w:rFonts w:ascii="Garamond" w:hAnsi="Garamond" w:cs="Garamond"/>
          <w:spacing w:val="-3"/>
        </w:rPr>
        <w:t xml:space="preserve">available </w:t>
      </w:r>
      <w:r>
        <w:rPr>
          <w:rFonts w:ascii="Garamond" w:hAnsi="Garamond" w:cs="Garamond"/>
        </w:rPr>
        <w:t xml:space="preserve">models, and should have the opportunity to make their own </w:t>
      </w:r>
      <w:r>
        <w:rPr>
          <w:rFonts w:ascii="Garamond" w:hAnsi="Garamond" w:cs="Garamond"/>
          <w:spacing w:val="-3"/>
        </w:rPr>
        <w:t xml:space="preserve">choices </w:t>
      </w:r>
      <w:r>
        <w:rPr>
          <w:rFonts w:ascii="Garamond" w:hAnsi="Garamond" w:cs="Garamond"/>
        </w:rPr>
        <w:t>about what is best for them and their health.</w:t>
      </w:r>
    </w:p>
    <w:p w:rsidR="002C5025" w:rsidRDefault="002C5025">
      <w:pPr>
        <w:pStyle w:val="BodyText"/>
        <w:kinsoku w:val="0"/>
        <w:overflowPunct w:val="0"/>
        <w:spacing w:before="1"/>
        <w:rPr>
          <w:rFonts w:ascii="Garamond" w:hAnsi="Garamond" w:cs="Garamond"/>
        </w:rPr>
      </w:pPr>
    </w:p>
    <w:p w:rsidR="002C5025" w:rsidRDefault="002C5025">
      <w:pPr>
        <w:pStyle w:val="BodyText"/>
        <w:kinsoku w:val="0"/>
        <w:overflowPunct w:val="0"/>
        <w:ind w:left="118" w:right="225"/>
        <w:rPr>
          <w:rFonts w:ascii="Garamond" w:hAnsi="Garamond" w:cs="Garamond"/>
        </w:rPr>
      </w:pPr>
      <w:r>
        <w:rPr>
          <w:rFonts w:ascii="Garamond" w:hAnsi="Garamond" w:cs="Garamond"/>
        </w:rPr>
        <w:t>As</w:t>
      </w:r>
      <w:r>
        <w:rPr>
          <w:rFonts w:ascii="Garamond" w:hAnsi="Garamond" w:cs="Garamond"/>
          <w:spacing w:val="-9"/>
        </w:rPr>
        <w:t xml:space="preserve"> </w:t>
      </w:r>
      <w:r>
        <w:rPr>
          <w:rFonts w:ascii="Garamond" w:hAnsi="Garamond" w:cs="Garamond"/>
        </w:rPr>
        <w:t>such,</w:t>
      </w:r>
      <w:r>
        <w:rPr>
          <w:rFonts w:ascii="Garamond" w:hAnsi="Garamond" w:cs="Garamond"/>
          <w:spacing w:val="-8"/>
        </w:rPr>
        <w:t xml:space="preserve"> </w:t>
      </w:r>
      <w:r>
        <w:rPr>
          <w:rFonts w:ascii="Garamond" w:hAnsi="Garamond" w:cs="Garamond"/>
        </w:rPr>
        <w:t>we</w:t>
      </w:r>
      <w:r>
        <w:rPr>
          <w:rFonts w:ascii="Garamond" w:hAnsi="Garamond" w:cs="Garamond"/>
          <w:spacing w:val="-14"/>
        </w:rPr>
        <w:t xml:space="preserve"> </w:t>
      </w:r>
      <w:r>
        <w:rPr>
          <w:rFonts w:ascii="Garamond" w:hAnsi="Garamond" w:cs="Garamond"/>
        </w:rPr>
        <w:t>strongly</w:t>
      </w:r>
      <w:r>
        <w:rPr>
          <w:rFonts w:ascii="Garamond" w:hAnsi="Garamond" w:cs="Garamond"/>
          <w:spacing w:val="-10"/>
        </w:rPr>
        <w:t xml:space="preserve"> </w:t>
      </w:r>
      <w:r>
        <w:rPr>
          <w:rFonts w:ascii="Garamond" w:hAnsi="Garamond" w:cs="Garamond"/>
        </w:rPr>
        <w:t>support</w:t>
      </w:r>
      <w:r>
        <w:rPr>
          <w:rFonts w:ascii="Garamond" w:hAnsi="Garamond" w:cs="Garamond"/>
          <w:spacing w:val="-9"/>
        </w:rPr>
        <w:t xml:space="preserve"> </w:t>
      </w:r>
      <w:r>
        <w:rPr>
          <w:rFonts w:ascii="Garamond" w:hAnsi="Garamond" w:cs="Garamond"/>
        </w:rPr>
        <w:t>the</w:t>
      </w:r>
      <w:r>
        <w:rPr>
          <w:rFonts w:ascii="Garamond" w:hAnsi="Garamond" w:cs="Garamond"/>
          <w:spacing w:val="-10"/>
        </w:rPr>
        <w:t xml:space="preserve"> </w:t>
      </w:r>
      <w:r>
        <w:rPr>
          <w:rFonts w:ascii="Garamond" w:hAnsi="Garamond" w:cs="Garamond"/>
        </w:rPr>
        <w:t>proposals</w:t>
      </w:r>
      <w:r>
        <w:rPr>
          <w:rFonts w:ascii="Garamond" w:hAnsi="Garamond" w:cs="Garamond"/>
          <w:spacing w:val="-6"/>
        </w:rPr>
        <w:t xml:space="preserve"> </w:t>
      </w:r>
      <w:r>
        <w:rPr>
          <w:rFonts w:ascii="Garamond" w:hAnsi="Garamond" w:cs="Garamond"/>
        </w:rPr>
        <w:t>intended</w:t>
      </w:r>
      <w:r>
        <w:rPr>
          <w:rFonts w:ascii="Garamond" w:hAnsi="Garamond" w:cs="Garamond"/>
          <w:spacing w:val="-7"/>
        </w:rPr>
        <w:t xml:space="preserve"> </w:t>
      </w:r>
      <w:r>
        <w:rPr>
          <w:rFonts w:ascii="Garamond" w:hAnsi="Garamond" w:cs="Garamond"/>
        </w:rPr>
        <w:t>to</w:t>
      </w:r>
      <w:r>
        <w:rPr>
          <w:rFonts w:ascii="Garamond" w:hAnsi="Garamond" w:cs="Garamond"/>
          <w:spacing w:val="-7"/>
        </w:rPr>
        <w:t xml:space="preserve"> </w:t>
      </w:r>
      <w:r>
        <w:rPr>
          <w:rFonts w:ascii="Garamond" w:hAnsi="Garamond" w:cs="Garamond"/>
        </w:rPr>
        <w:t>increase</w:t>
      </w:r>
      <w:r>
        <w:rPr>
          <w:rFonts w:ascii="Garamond" w:hAnsi="Garamond" w:cs="Garamond"/>
          <w:spacing w:val="-8"/>
        </w:rPr>
        <w:t xml:space="preserve"> </w:t>
      </w:r>
      <w:r>
        <w:rPr>
          <w:rFonts w:ascii="Garamond" w:hAnsi="Garamond" w:cs="Garamond"/>
        </w:rPr>
        <w:t>access</w:t>
      </w:r>
      <w:r>
        <w:rPr>
          <w:rFonts w:ascii="Garamond" w:hAnsi="Garamond" w:cs="Garamond"/>
          <w:spacing w:val="-6"/>
        </w:rPr>
        <w:t xml:space="preserve"> </w:t>
      </w:r>
      <w:r>
        <w:rPr>
          <w:rFonts w:ascii="Garamond" w:hAnsi="Garamond" w:cs="Garamond"/>
        </w:rPr>
        <w:t>to</w:t>
      </w:r>
      <w:r>
        <w:rPr>
          <w:rFonts w:ascii="Garamond" w:hAnsi="Garamond" w:cs="Garamond"/>
          <w:spacing w:val="-11"/>
        </w:rPr>
        <w:t xml:space="preserve"> </w:t>
      </w:r>
      <w:r>
        <w:rPr>
          <w:rFonts w:ascii="Garamond" w:hAnsi="Garamond" w:cs="Garamond"/>
        </w:rPr>
        <w:t>services</w:t>
      </w:r>
      <w:r>
        <w:rPr>
          <w:rFonts w:ascii="Garamond" w:hAnsi="Garamond" w:cs="Garamond"/>
          <w:spacing w:val="-9"/>
        </w:rPr>
        <w:t xml:space="preserve"> </w:t>
      </w:r>
      <w:r>
        <w:rPr>
          <w:rFonts w:ascii="Garamond" w:hAnsi="Garamond" w:cs="Garamond"/>
        </w:rPr>
        <w:t>for</w:t>
      </w:r>
      <w:r>
        <w:rPr>
          <w:rFonts w:ascii="Garamond" w:hAnsi="Garamond" w:cs="Garamond"/>
          <w:spacing w:val="-9"/>
        </w:rPr>
        <w:t xml:space="preserve"> </w:t>
      </w:r>
      <w:r>
        <w:rPr>
          <w:rFonts w:ascii="Garamond" w:hAnsi="Garamond" w:cs="Garamond"/>
        </w:rPr>
        <w:t>low-income</w:t>
      </w:r>
      <w:r>
        <w:rPr>
          <w:rFonts w:ascii="Garamond" w:hAnsi="Garamond" w:cs="Garamond"/>
          <w:spacing w:val="-10"/>
        </w:rPr>
        <w:t xml:space="preserve"> </w:t>
      </w:r>
      <w:r>
        <w:rPr>
          <w:rFonts w:ascii="Garamond" w:hAnsi="Garamond" w:cs="Garamond"/>
        </w:rPr>
        <w:t>residents, including:</w:t>
      </w:r>
    </w:p>
    <w:p w:rsidR="002C5025" w:rsidRDefault="002C5025">
      <w:pPr>
        <w:pStyle w:val="ListParagraph"/>
        <w:numPr>
          <w:ilvl w:val="2"/>
          <w:numId w:val="49"/>
        </w:numPr>
        <w:tabs>
          <w:tab w:val="left" w:pos="839"/>
        </w:tabs>
        <w:kinsoku w:val="0"/>
        <w:overflowPunct w:val="0"/>
        <w:spacing w:before="1" w:line="278" w:lineRule="exact"/>
        <w:ind w:hanging="360"/>
        <w:rPr>
          <w:rFonts w:ascii="Garamond" w:hAnsi="Garamond" w:cs="Garamond"/>
          <w:sz w:val="22"/>
          <w:szCs w:val="22"/>
        </w:rPr>
      </w:pPr>
      <w:r>
        <w:rPr>
          <w:rFonts w:ascii="Garamond" w:hAnsi="Garamond" w:cs="Garamond"/>
          <w:sz w:val="22"/>
          <w:szCs w:val="22"/>
        </w:rPr>
        <w:t>Eliminating</w:t>
      </w:r>
      <w:r>
        <w:rPr>
          <w:rFonts w:ascii="Garamond" w:hAnsi="Garamond" w:cs="Garamond"/>
          <w:spacing w:val="-8"/>
          <w:sz w:val="22"/>
          <w:szCs w:val="22"/>
        </w:rPr>
        <w:t xml:space="preserve"> </w:t>
      </w:r>
      <w:r>
        <w:rPr>
          <w:rFonts w:ascii="Garamond" w:hAnsi="Garamond" w:cs="Garamond"/>
          <w:spacing w:val="-2"/>
          <w:sz w:val="22"/>
          <w:szCs w:val="22"/>
        </w:rPr>
        <w:t>copays</w:t>
      </w:r>
      <w:r>
        <w:rPr>
          <w:rFonts w:ascii="Garamond" w:hAnsi="Garamond" w:cs="Garamond"/>
          <w:spacing w:val="-7"/>
          <w:sz w:val="22"/>
          <w:szCs w:val="22"/>
        </w:rPr>
        <w:t xml:space="preserve"> </w:t>
      </w:r>
      <w:r>
        <w:rPr>
          <w:rFonts w:ascii="Garamond" w:hAnsi="Garamond" w:cs="Garamond"/>
          <w:sz w:val="22"/>
          <w:szCs w:val="22"/>
        </w:rPr>
        <w:t>for</w:t>
      </w:r>
      <w:r>
        <w:rPr>
          <w:rFonts w:ascii="Garamond" w:hAnsi="Garamond" w:cs="Garamond"/>
          <w:spacing w:val="-7"/>
          <w:sz w:val="22"/>
          <w:szCs w:val="22"/>
        </w:rPr>
        <w:t xml:space="preserve"> </w:t>
      </w:r>
      <w:r>
        <w:rPr>
          <w:rFonts w:ascii="Garamond" w:hAnsi="Garamond" w:cs="Garamond"/>
          <w:sz w:val="22"/>
          <w:szCs w:val="22"/>
        </w:rPr>
        <w:t>MassHealth</w:t>
      </w:r>
      <w:r>
        <w:rPr>
          <w:rFonts w:ascii="Garamond" w:hAnsi="Garamond" w:cs="Garamond"/>
          <w:spacing w:val="-8"/>
          <w:sz w:val="22"/>
          <w:szCs w:val="22"/>
        </w:rPr>
        <w:t xml:space="preserve"> </w:t>
      </w:r>
      <w:r>
        <w:rPr>
          <w:rFonts w:ascii="Garamond" w:hAnsi="Garamond" w:cs="Garamond"/>
          <w:sz w:val="22"/>
          <w:szCs w:val="22"/>
        </w:rPr>
        <w:t>members</w:t>
      </w:r>
      <w:r>
        <w:rPr>
          <w:rFonts w:ascii="Garamond" w:hAnsi="Garamond" w:cs="Garamond"/>
          <w:spacing w:val="-4"/>
          <w:sz w:val="22"/>
          <w:szCs w:val="22"/>
        </w:rPr>
        <w:t xml:space="preserve"> </w:t>
      </w:r>
      <w:r>
        <w:rPr>
          <w:rFonts w:ascii="Garamond" w:hAnsi="Garamond" w:cs="Garamond"/>
          <w:sz w:val="22"/>
          <w:szCs w:val="22"/>
        </w:rPr>
        <w:t>with</w:t>
      </w:r>
      <w:r>
        <w:rPr>
          <w:rFonts w:ascii="Garamond" w:hAnsi="Garamond" w:cs="Garamond"/>
          <w:spacing w:val="-8"/>
          <w:sz w:val="22"/>
          <w:szCs w:val="22"/>
        </w:rPr>
        <w:t xml:space="preserve"> </w:t>
      </w:r>
      <w:r>
        <w:rPr>
          <w:rFonts w:ascii="Garamond" w:hAnsi="Garamond" w:cs="Garamond"/>
          <w:spacing w:val="-3"/>
          <w:sz w:val="22"/>
          <w:szCs w:val="22"/>
        </w:rPr>
        <w:t>income</w:t>
      </w:r>
      <w:r>
        <w:rPr>
          <w:rFonts w:ascii="Garamond" w:hAnsi="Garamond" w:cs="Garamond"/>
          <w:spacing w:val="-6"/>
          <w:sz w:val="22"/>
          <w:szCs w:val="22"/>
        </w:rPr>
        <w:t xml:space="preserve"> </w:t>
      </w:r>
      <w:r>
        <w:rPr>
          <w:rFonts w:ascii="Garamond" w:hAnsi="Garamond" w:cs="Garamond"/>
          <w:sz w:val="22"/>
          <w:szCs w:val="22"/>
        </w:rPr>
        <w:t>at</w:t>
      </w:r>
      <w:r>
        <w:rPr>
          <w:rFonts w:ascii="Garamond" w:hAnsi="Garamond" w:cs="Garamond"/>
          <w:spacing w:val="-5"/>
          <w:sz w:val="22"/>
          <w:szCs w:val="22"/>
        </w:rPr>
        <w:t xml:space="preserve"> </w:t>
      </w:r>
      <w:r>
        <w:rPr>
          <w:rFonts w:ascii="Garamond" w:hAnsi="Garamond" w:cs="Garamond"/>
          <w:sz w:val="22"/>
          <w:szCs w:val="22"/>
        </w:rPr>
        <w:t>or</w:t>
      </w:r>
      <w:r>
        <w:rPr>
          <w:rFonts w:ascii="Garamond" w:hAnsi="Garamond" w:cs="Garamond"/>
          <w:spacing w:val="-7"/>
          <w:sz w:val="22"/>
          <w:szCs w:val="22"/>
        </w:rPr>
        <w:t xml:space="preserve"> </w:t>
      </w:r>
      <w:r>
        <w:rPr>
          <w:rFonts w:ascii="Garamond" w:hAnsi="Garamond" w:cs="Garamond"/>
          <w:sz w:val="22"/>
          <w:szCs w:val="22"/>
        </w:rPr>
        <w:t>below</w:t>
      </w:r>
      <w:r>
        <w:rPr>
          <w:rFonts w:ascii="Garamond" w:hAnsi="Garamond" w:cs="Garamond"/>
          <w:spacing w:val="-6"/>
          <w:sz w:val="22"/>
          <w:szCs w:val="22"/>
        </w:rPr>
        <w:t xml:space="preserve"> </w:t>
      </w:r>
      <w:r>
        <w:rPr>
          <w:rFonts w:ascii="Garamond" w:hAnsi="Garamond" w:cs="Garamond"/>
          <w:sz w:val="22"/>
          <w:szCs w:val="22"/>
        </w:rPr>
        <w:t>50%</w:t>
      </w:r>
      <w:r>
        <w:rPr>
          <w:rFonts w:ascii="Garamond" w:hAnsi="Garamond" w:cs="Garamond"/>
          <w:spacing w:val="-8"/>
          <w:sz w:val="22"/>
          <w:szCs w:val="22"/>
        </w:rPr>
        <w:t xml:space="preserve"> </w:t>
      </w:r>
      <w:r>
        <w:rPr>
          <w:rFonts w:ascii="Garamond" w:hAnsi="Garamond" w:cs="Garamond"/>
          <w:sz w:val="22"/>
          <w:szCs w:val="22"/>
        </w:rPr>
        <w:t>FPL;</w:t>
      </w:r>
    </w:p>
    <w:p w:rsidR="002C5025" w:rsidRDefault="002C5025">
      <w:pPr>
        <w:pStyle w:val="ListParagraph"/>
        <w:numPr>
          <w:ilvl w:val="2"/>
          <w:numId w:val="49"/>
        </w:numPr>
        <w:tabs>
          <w:tab w:val="left" w:pos="839"/>
        </w:tabs>
        <w:kinsoku w:val="0"/>
        <w:overflowPunct w:val="0"/>
        <w:ind w:right="361" w:hanging="360"/>
        <w:rPr>
          <w:rFonts w:ascii="Garamond" w:hAnsi="Garamond" w:cs="Garamond"/>
          <w:sz w:val="22"/>
          <w:szCs w:val="22"/>
        </w:rPr>
      </w:pPr>
      <w:r>
        <w:rPr>
          <w:rFonts w:ascii="Garamond" w:hAnsi="Garamond" w:cs="Garamond"/>
          <w:sz w:val="22"/>
          <w:szCs w:val="22"/>
        </w:rPr>
        <w:t>Assuring</w:t>
      </w:r>
      <w:r>
        <w:rPr>
          <w:rFonts w:ascii="Garamond" w:hAnsi="Garamond" w:cs="Garamond"/>
          <w:spacing w:val="-8"/>
          <w:sz w:val="22"/>
          <w:szCs w:val="22"/>
        </w:rPr>
        <w:t xml:space="preserve"> </w:t>
      </w:r>
      <w:r>
        <w:rPr>
          <w:rFonts w:ascii="Garamond" w:hAnsi="Garamond" w:cs="Garamond"/>
          <w:sz w:val="22"/>
          <w:szCs w:val="22"/>
        </w:rPr>
        <w:t>the</w:t>
      </w:r>
      <w:r>
        <w:rPr>
          <w:rFonts w:ascii="Garamond" w:hAnsi="Garamond" w:cs="Garamond"/>
          <w:spacing w:val="-12"/>
          <w:sz w:val="22"/>
          <w:szCs w:val="22"/>
        </w:rPr>
        <w:t xml:space="preserve"> </w:t>
      </w:r>
      <w:r>
        <w:rPr>
          <w:rFonts w:ascii="Garamond" w:hAnsi="Garamond" w:cs="Garamond"/>
          <w:sz w:val="22"/>
          <w:szCs w:val="22"/>
        </w:rPr>
        <w:t>sustainability</w:t>
      </w:r>
      <w:r>
        <w:rPr>
          <w:rFonts w:ascii="Garamond" w:hAnsi="Garamond" w:cs="Garamond"/>
          <w:spacing w:val="-8"/>
          <w:sz w:val="22"/>
          <w:szCs w:val="22"/>
        </w:rPr>
        <w:t xml:space="preserve"> </w:t>
      </w:r>
      <w:r>
        <w:rPr>
          <w:rFonts w:ascii="Garamond" w:hAnsi="Garamond" w:cs="Garamond"/>
          <w:sz w:val="22"/>
          <w:szCs w:val="22"/>
        </w:rPr>
        <w:t>of</w:t>
      </w:r>
      <w:r>
        <w:rPr>
          <w:rFonts w:ascii="Garamond" w:hAnsi="Garamond" w:cs="Garamond"/>
          <w:spacing w:val="-10"/>
          <w:sz w:val="22"/>
          <w:szCs w:val="22"/>
        </w:rPr>
        <w:t xml:space="preserve"> </w:t>
      </w:r>
      <w:r>
        <w:rPr>
          <w:rFonts w:ascii="Garamond" w:hAnsi="Garamond" w:cs="Garamond"/>
          <w:sz w:val="22"/>
          <w:szCs w:val="22"/>
        </w:rPr>
        <w:t>the</w:t>
      </w:r>
      <w:r>
        <w:rPr>
          <w:rFonts w:ascii="Garamond" w:hAnsi="Garamond" w:cs="Garamond"/>
          <w:spacing w:val="-8"/>
          <w:sz w:val="22"/>
          <w:szCs w:val="22"/>
        </w:rPr>
        <w:t xml:space="preserve"> </w:t>
      </w:r>
      <w:r>
        <w:rPr>
          <w:rFonts w:ascii="Garamond" w:hAnsi="Garamond" w:cs="Garamond"/>
          <w:sz w:val="22"/>
          <w:szCs w:val="22"/>
        </w:rPr>
        <w:t>CommonHealth</w:t>
      </w:r>
      <w:r>
        <w:rPr>
          <w:rFonts w:ascii="Garamond" w:hAnsi="Garamond" w:cs="Garamond"/>
          <w:spacing w:val="-11"/>
          <w:sz w:val="22"/>
          <w:szCs w:val="22"/>
        </w:rPr>
        <w:t xml:space="preserve"> </w:t>
      </w:r>
      <w:r>
        <w:rPr>
          <w:rFonts w:ascii="Garamond" w:hAnsi="Garamond" w:cs="Garamond"/>
          <w:sz w:val="22"/>
          <w:szCs w:val="22"/>
        </w:rPr>
        <w:t>program</w:t>
      </w:r>
      <w:r>
        <w:rPr>
          <w:rFonts w:ascii="Garamond" w:hAnsi="Garamond" w:cs="Garamond"/>
          <w:spacing w:val="-7"/>
          <w:sz w:val="22"/>
          <w:szCs w:val="22"/>
        </w:rPr>
        <w:t xml:space="preserve"> </w:t>
      </w:r>
      <w:r>
        <w:rPr>
          <w:rFonts w:ascii="Garamond" w:hAnsi="Garamond" w:cs="Garamond"/>
          <w:sz w:val="22"/>
          <w:szCs w:val="22"/>
        </w:rPr>
        <w:t>for</w:t>
      </w:r>
      <w:r>
        <w:rPr>
          <w:rFonts w:ascii="Garamond" w:hAnsi="Garamond" w:cs="Garamond"/>
          <w:spacing w:val="-9"/>
          <w:sz w:val="22"/>
          <w:szCs w:val="22"/>
        </w:rPr>
        <w:t xml:space="preserve"> </w:t>
      </w:r>
      <w:r>
        <w:rPr>
          <w:rFonts w:ascii="Garamond" w:hAnsi="Garamond" w:cs="Garamond"/>
          <w:sz w:val="22"/>
          <w:szCs w:val="22"/>
        </w:rPr>
        <w:t>working</w:t>
      </w:r>
      <w:r>
        <w:rPr>
          <w:rFonts w:ascii="Garamond" w:hAnsi="Garamond" w:cs="Garamond"/>
          <w:spacing w:val="-11"/>
          <w:sz w:val="22"/>
          <w:szCs w:val="22"/>
        </w:rPr>
        <w:t xml:space="preserve"> </w:t>
      </w:r>
      <w:r>
        <w:rPr>
          <w:rFonts w:ascii="Garamond" w:hAnsi="Garamond" w:cs="Garamond"/>
          <w:sz w:val="22"/>
          <w:szCs w:val="22"/>
        </w:rPr>
        <w:t>disabled</w:t>
      </w:r>
      <w:r>
        <w:rPr>
          <w:rFonts w:ascii="Garamond" w:hAnsi="Garamond" w:cs="Garamond"/>
          <w:spacing w:val="-9"/>
          <w:sz w:val="22"/>
          <w:szCs w:val="22"/>
        </w:rPr>
        <w:t xml:space="preserve"> </w:t>
      </w:r>
      <w:r>
        <w:rPr>
          <w:rFonts w:ascii="Garamond" w:hAnsi="Garamond" w:cs="Garamond"/>
          <w:sz w:val="22"/>
          <w:szCs w:val="22"/>
        </w:rPr>
        <w:t>adults</w:t>
      </w:r>
      <w:r>
        <w:rPr>
          <w:rFonts w:ascii="Garamond" w:hAnsi="Garamond" w:cs="Garamond"/>
          <w:spacing w:val="-4"/>
          <w:sz w:val="22"/>
          <w:szCs w:val="22"/>
        </w:rPr>
        <w:t xml:space="preserve"> </w:t>
      </w:r>
      <w:r>
        <w:rPr>
          <w:rFonts w:ascii="Garamond" w:hAnsi="Garamond" w:cs="Garamond"/>
          <w:sz w:val="22"/>
          <w:szCs w:val="22"/>
        </w:rPr>
        <w:t>age</w:t>
      </w:r>
      <w:r>
        <w:rPr>
          <w:rFonts w:ascii="Garamond" w:hAnsi="Garamond" w:cs="Garamond"/>
          <w:spacing w:val="-9"/>
          <w:sz w:val="22"/>
          <w:szCs w:val="22"/>
        </w:rPr>
        <w:t xml:space="preserve"> </w:t>
      </w:r>
      <w:r>
        <w:rPr>
          <w:rFonts w:ascii="Garamond" w:hAnsi="Garamond" w:cs="Garamond"/>
          <w:sz w:val="22"/>
          <w:szCs w:val="22"/>
        </w:rPr>
        <w:t>65</w:t>
      </w:r>
      <w:r>
        <w:rPr>
          <w:rFonts w:ascii="Garamond" w:hAnsi="Garamond" w:cs="Garamond"/>
          <w:spacing w:val="-8"/>
          <w:sz w:val="22"/>
          <w:szCs w:val="22"/>
        </w:rPr>
        <w:t xml:space="preserve"> </w:t>
      </w:r>
      <w:r>
        <w:rPr>
          <w:rFonts w:ascii="Garamond" w:hAnsi="Garamond" w:cs="Garamond"/>
          <w:spacing w:val="-3"/>
          <w:sz w:val="22"/>
          <w:szCs w:val="22"/>
        </w:rPr>
        <w:t xml:space="preserve">and </w:t>
      </w:r>
      <w:r>
        <w:rPr>
          <w:rFonts w:ascii="Garamond" w:hAnsi="Garamond" w:cs="Garamond"/>
          <w:sz w:val="22"/>
          <w:szCs w:val="22"/>
        </w:rPr>
        <w:t>older;</w:t>
      </w:r>
    </w:p>
    <w:p w:rsidR="002C5025" w:rsidRDefault="00FB027C">
      <w:pPr>
        <w:pStyle w:val="BodyText"/>
        <w:kinsoku w:val="0"/>
        <w:overflowPunct w:val="0"/>
        <w:spacing w:before="7"/>
        <w:rPr>
          <w:rFonts w:ascii="Garamond" w:hAnsi="Garamond" w:cs="Garamond"/>
          <w:sz w:val="12"/>
          <w:szCs w:val="12"/>
        </w:rPr>
      </w:pPr>
      <w:r>
        <w:rPr>
          <w:noProof/>
        </w:rPr>
        <mc:AlternateContent>
          <mc:Choice Requires="wps">
            <w:drawing>
              <wp:anchor distT="0" distB="0" distL="0" distR="0" simplePos="0" relativeHeight="251665920" behindDoc="0" locked="0" layoutInCell="0" allowOverlap="1">
                <wp:simplePos x="0" y="0"/>
                <wp:positionH relativeFrom="page">
                  <wp:posOffset>923925</wp:posOffset>
                </wp:positionH>
                <wp:positionV relativeFrom="paragraph">
                  <wp:posOffset>120650</wp:posOffset>
                </wp:positionV>
                <wp:extent cx="1829435" cy="12700"/>
                <wp:effectExtent l="0" t="0" r="0" b="0"/>
                <wp:wrapTopAndBottom/>
                <wp:docPr id="553" name="Freeform 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1 w 2881"/>
                            <a:gd name="T3" fmla="*/ 0 h 20"/>
                          </a:gdLst>
                          <a:ahLst/>
                          <a:cxnLst>
                            <a:cxn ang="0">
                              <a:pos x="T0" y="T1"/>
                            </a:cxn>
                            <a:cxn ang="0">
                              <a:pos x="T2" y="T3"/>
                            </a:cxn>
                          </a:cxnLst>
                          <a:rect l="0" t="0" r="r" b="b"/>
                          <a:pathLst>
                            <a:path w="2881" h="20">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72" o:spid="_x0000_s1026" style="position:absolute;z-index:251665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2.75pt,9.5pt,216.8pt,9.5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" o:allowincell="f" filled="f" strokeweight=".82pt">
                <v:path arrowok="t" o:connecttype="custom" o:connectlocs="0,0;1829435,0" o:connectangles="0,0"/>
                <w10:wrap type="topAndBottom" anchorx="page"/>
              </v:polyline>
            </w:pict>
          </mc:Fallback>
        </mc:AlternateContent>
      </w:r>
    </w:p>
    <w:p w:rsidR="002C5025" w:rsidRDefault="002C5025">
      <w:pPr>
        <w:pStyle w:val="BodyText"/>
        <w:kinsoku w:val="0"/>
        <w:overflowPunct w:val="0"/>
        <w:spacing w:before="72"/>
        <w:ind w:left="120" w:right="135"/>
        <w:jc w:val="both"/>
        <w:rPr>
          <w:rFonts w:ascii="Garamond" w:hAnsi="Garamond" w:cs="Garamond"/>
          <w:sz w:val="20"/>
          <w:szCs w:val="20"/>
        </w:rPr>
      </w:pPr>
      <w:r>
        <w:rPr>
          <w:rFonts w:ascii="Garamond" w:hAnsi="Garamond" w:cs="Garamond"/>
          <w:position w:val="5"/>
          <w:sz w:val="13"/>
          <w:szCs w:val="13"/>
        </w:rPr>
        <w:t xml:space="preserve">32 </w:t>
      </w:r>
      <w:r>
        <w:rPr>
          <w:rFonts w:ascii="Garamond" w:hAnsi="Garamond" w:cs="Garamond"/>
          <w:sz w:val="20"/>
          <w:szCs w:val="20"/>
        </w:rPr>
        <w:t xml:space="preserve">Chawla, R., Colombo, C. et al. (2014). Medical homes and cost and utilization among high-risk patients, </w:t>
      </w:r>
      <w:r>
        <w:rPr>
          <w:rFonts w:ascii="Garamond" w:hAnsi="Garamond" w:cs="Garamond"/>
          <w:i/>
          <w:iCs/>
          <w:sz w:val="20"/>
          <w:szCs w:val="20"/>
        </w:rPr>
        <w:t>The American Journal of Managed Care, 20</w:t>
      </w:r>
      <w:r>
        <w:rPr>
          <w:rFonts w:ascii="Garamond" w:hAnsi="Garamond" w:cs="Garamond"/>
          <w:sz w:val="20"/>
          <w:szCs w:val="20"/>
        </w:rPr>
        <w:t xml:space="preserve">(3), e61-71; </w:t>
      </w:r>
      <w:proofErr w:type="spellStart"/>
      <w:r>
        <w:rPr>
          <w:rFonts w:ascii="Garamond" w:hAnsi="Garamond" w:cs="Garamond"/>
          <w:sz w:val="20"/>
          <w:szCs w:val="20"/>
        </w:rPr>
        <w:t>Gawande</w:t>
      </w:r>
      <w:proofErr w:type="spellEnd"/>
      <w:r>
        <w:rPr>
          <w:rFonts w:ascii="Garamond" w:hAnsi="Garamond" w:cs="Garamond"/>
          <w:sz w:val="20"/>
          <w:szCs w:val="20"/>
        </w:rPr>
        <w:t xml:space="preserve">, A. (2011, January 24). The hot spotters: Can we lower medical costs </w:t>
      </w:r>
      <w:r>
        <w:rPr>
          <w:rFonts w:ascii="Garamond" w:hAnsi="Garamond" w:cs="Garamond"/>
          <w:spacing w:val="-4"/>
          <w:sz w:val="20"/>
          <w:szCs w:val="20"/>
        </w:rPr>
        <w:t xml:space="preserve">by </w:t>
      </w:r>
      <w:r>
        <w:rPr>
          <w:rFonts w:ascii="Garamond" w:hAnsi="Garamond" w:cs="Garamond"/>
          <w:sz w:val="20"/>
          <w:szCs w:val="20"/>
        </w:rPr>
        <w:t xml:space="preserve">giving the neediest patients better care? </w:t>
      </w:r>
      <w:r>
        <w:rPr>
          <w:rFonts w:ascii="Garamond" w:hAnsi="Garamond" w:cs="Garamond"/>
          <w:i/>
          <w:iCs/>
          <w:sz w:val="20"/>
          <w:szCs w:val="20"/>
        </w:rPr>
        <w:t>The New Yorker</w:t>
      </w:r>
      <w:r>
        <w:rPr>
          <w:rFonts w:ascii="Garamond" w:hAnsi="Garamond" w:cs="Garamond"/>
          <w:sz w:val="20"/>
          <w:szCs w:val="20"/>
        </w:rPr>
        <w:t>, pp. 41-51.</w:t>
      </w:r>
    </w:p>
    <w:p w:rsidR="002C5025" w:rsidRDefault="002C5025">
      <w:pPr>
        <w:pStyle w:val="BodyText"/>
        <w:kinsoku w:val="0"/>
        <w:overflowPunct w:val="0"/>
        <w:ind w:left="120" w:right="684"/>
        <w:rPr>
          <w:rFonts w:ascii="Garamond" w:hAnsi="Garamond" w:cs="Garamond"/>
          <w:color w:val="000000"/>
          <w:sz w:val="20"/>
          <w:szCs w:val="20"/>
        </w:rPr>
      </w:pPr>
      <w:r>
        <w:rPr>
          <w:rFonts w:ascii="Garamond" w:hAnsi="Garamond" w:cs="Garamond"/>
          <w:position w:val="5"/>
          <w:sz w:val="13"/>
          <w:szCs w:val="13"/>
        </w:rPr>
        <w:t>33</w:t>
      </w:r>
      <w:r>
        <w:rPr>
          <w:rFonts w:ascii="Garamond" w:hAnsi="Garamond" w:cs="Garamond"/>
          <w:spacing w:val="6"/>
          <w:position w:val="5"/>
          <w:sz w:val="13"/>
          <w:szCs w:val="13"/>
        </w:rPr>
        <w:t xml:space="preserve"> </w:t>
      </w:r>
      <w:r>
        <w:rPr>
          <w:rFonts w:ascii="Garamond" w:hAnsi="Garamond" w:cs="Garamond"/>
          <w:sz w:val="20"/>
          <w:szCs w:val="20"/>
        </w:rPr>
        <w:t>See</w:t>
      </w:r>
      <w:r>
        <w:rPr>
          <w:rFonts w:ascii="Garamond" w:hAnsi="Garamond" w:cs="Garamond"/>
          <w:spacing w:val="-10"/>
          <w:sz w:val="20"/>
          <w:szCs w:val="20"/>
        </w:rPr>
        <w:t xml:space="preserve"> </w:t>
      </w:r>
      <w:r>
        <w:rPr>
          <w:rFonts w:ascii="Garamond" w:hAnsi="Garamond" w:cs="Garamond"/>
          <w:sz w:val="20"/>
          <w:szCs w:val="20"/>
        </w:rPr>
        <w:t>Consumer</w:t>
      </w:r>
      <w:r>
        <w:rPr>
          <w:rFonts w:ascii="Garamond" w:hAnsi="Garamond" w:cs="Garamond"/>
          <w:spacing w:val="-12"/>
          <w:sz w:val="20"/>
          <w:szCs w:val="20"/>
        </w:rPr>
        <w:t xml:space="preserve"> </w:t>
      </w:r>
      <w:r>
        <w:rPr>
          <w:rFonts w:ascii="Garamond" w:hAnsi="Garamond" w:cs="Garamond"/>
          <w:sz w:val="20"/>
          <w:szCs w:val="20"/>
        </w:rPr>
        <w:t>Partnership</w:t>
      </w:r>
      <w:r>
        <w:rPr>
          <w:rFonts w:ascii="Garamond" w:hAnsi="Garamond" w:cs="Garamond"/>
          <w:spacing w:val="-12"/>
          <w:sz w:val="20"/>
          <w:szCs w:val="20"/>
        </w:rPr>
        <w:t xml:space="preserve"> </w:t>
      </w:r>
      <w:r>
        <w:rPr>
          <w:rFonts w:ascii="Garamond" w:hAnsi="Garamond" w:cs="Garamond"/>
          <w:sz w:val="20"/>
          <w:szCs w:val="20"/>
        </w:rPr>
        <w:t>for</w:t>
      </w:r>
      <w:r>
        <w:rPr>
          <w:rFonts w:ascii="Garamond" w:hAnsi="Garamond" w:cs="Garamond"/>
          <w:spacing w:val="-9"/>
          <w:sz w:val="20"/>
          <w:szCs w:val="20"/>
        </w:rPr>
        <w:t xml:space="preserve"> </w:t>
      </w:r>
      <w:r>
        <w:rPr>
          <w:rFonts w:ascii="Garamond" w:hAnsi="Garamond" w:cs="Garamond"/>
          <w:sz w:val="20"/>
          <w:szCs w:val="20"/>
        </w:rPr>
        <w:t>eHealth.</w:t>
      </w:r>
      <w:r>
        <w:rPr>
          <w:rFonts w:ascii="Garamond" w:hAnsi="Garamond" w:cs="Garamond"/>
          <w:spacing w:val="-11"/>
          <w:sz w:val="20"/>
          <w:szCs w:val="20"/>
        </w:rPr>
        <w:t xml:space="preserve"> </w:t>
      </w:r>
      <w:r>
        <w:rPr>
          <w:rFonts w:ascii="Garamond" w:hAnsi="Garamond" w:cs="Garamond"/>
          <w:sz w:val="20"/>
          <w:szCs w:val="20"/>
        </w:rPr>
        <w:t>(2013).</w:t>
      </w:r>
      <w:r>
        <w:rPr>
          <w:rFonts w:ascii="Garamond" w:hAnsi="Garamond" w:cs="Garamond"/>
          <w:spacing w:val="-9"/>
          <w:sz w:val="20"/>
          <w:szCs w:val="20"/>
        </w:rPr>
        <w:t xml:space="preserve"> </w:t>
      </w:r>
      <w:r>
        <w:rPr>
          <w:rFonts w:ascii="Garamond" w:hAnsi="Garamond" w:cs="Garamond"/>
          <w:i/>
          <w:iCs/>
          <w:sz w:val="20"/>
          <w:szCs w:val="20"/>
        </w:rPr>
        <w:t>Care</w:t>
      </w:r>
      <w:r>
        <w:rPr>
          <w:rFonts w:ascii="Garamond" w:hAnsi="Garamond" w:cs="Garamond"/>
          <w:i/>
          <w:iCs/>
          <w:spacing w:val="-11"/>
          <w:sz w:val="20"/>
          <w:szCs w:val="20"/>
        </w:rPr>
        <w:t xml:space="preserve"> </w:t>
      </w:r>
      <w:r>
        <w:rPr>
          <w:rFonts w:ascii="Garamond" w:hAnsi="Garamond" w:cs="Garamond"/>
          <w:i/>
          <w:iCs/>
          <w:sz w:val="20"/>
          <w:szCs w:val="20"/>
        </w:rPr>
        <w:t>Plans</w:t>
      </w:r>
      <w:r>
        <w:rPr>
          <w:rFonts w:ascii="Garamond" w:hAnsi="Garamond" w:cs="Garamond"/>
          <w:i/>
          <w:iCs/>
          <w:spacing w:val="-11"/>
          <w:sz w:val="20"/>
          <w:szCs w:val="20"/>
        </w:rPr>
        <w:t xml:space="preserve"> </w:t>
      </w:r>
      <w:r>
        <w:rPr>
          <w:rFonts w:ascii="Garamond" w:hAnsi="Garamond" w:cs="Garamond"/>
          <w:i/>
          <w:iCs/>
          <w:sz w:val="20"/>
          <w:szCs w:val="20"/>
        </w:rPr>
        <w:t>2.0:</w:t>
      </w:r>
      <w:r>
        <w:rPr>
          <w:rFonts w:ascii="Garamond" w:hAnsi="Garamond" w:cs="Garamond"/>
          <w:i/>
          <w:iCs/>
          <w:spacing w:val="-11"/>
          <w:sz w:val="20"/>
          <w:szCs w:val="20"/>
        </w:rPr>
        <w:t xml:space="preserve"> </w:t>
      </w:r>
      <w:r>
        <w:rPr>
          <w:rFonts w:ascii="Garamond" w:hAnsi="Garamond" w:cs="Garamond"/>
          <w:i/>
          <w:iCs/>
          <w:sz w:val="20"/>
          <w:szCs w:val="20"/>
        </w:rPr>
        <w:t>Consumer</w:t>
      </w:r>
      <w:r>
        <w:rPr>
          <w:rFonts w:ascii="Garamond" w:hAnsi="Garamond" w:cs="Garamond"/>
          <w:i/>
          <w:iCs/>
          <w:spacing w:val="-11"/>
          <w:sz w:val="20"/>
          <w:szCs w:val="20"/>
        </w:rPr>
        <w:t xml:space="preserve"> </w:t>
      </w:r>
      <w:r>
        <w:rPr>
          <w:rFonts w:ascii="Garamond" w:hAnsi="Garamond" w:cs="Garamond"/>
          <w:i/>
          <w:iCs/>
          <w:sz w:val="20"/>
          <w:szCs w:val="20"/>
        </w:rPr>
        <w:t>Principles</w:t>
      </w:r>
      <w:r>
        <w:rPr>
          <w:rFonts w:ascii="Garamond" w:hAnsi="Garamond" w:cs="Garamond"/>
          <w:i/>
          <w:iCs/>
          <w:spacing w:val="-14"/>
          <w:sz w:val="20"/>
          <w:szCs w:val="20"/>
        </w:rPr>
        <w:t xml:space="preserve"> </w:t>
      </w:r>
      <w:r>
        <w:rPr>
          <w:rFonts w:ascii="Garamond" w:hAnsi="Garamond" w:cs="Garamond"/>
          <w:i/>
          <w:iCs/>
          <w:sz w:val="20"/>
          <w:szCs w:val="20"/>
        </w:rPr>
        <w:t>for</w:t>
      </w:r>
      <w:r>
        <w:rPr>
          <w:rFonts w:ascii="Garamond" w:hAnsi="Garamond" w:cs="Garamond"/>
          <w:i/>
          <w:iCs/>
          <w:spacing w:val="-11"/>
          <w:sz w:val="20"/>
          <w:szCs w:val="20"/>
        </w:rPr>
        <w:t xml:space="preserve"> </w:t>
      </w:r>
      <w:r>
        <w:rPr>
          <w:rFonts w:ascii="Garamond" w:hAnsi="Garamond" w:cs="Garamond"/>
          <w:i/>
          <w:iCs/>
          <w:sz w:val="20"/>
          <w:szCs w:val="20"/>
        </w:rPr>
        <w:t>Health</w:t>
      </w:r>
      <w:r>
        <w:rPr>
          <w:rFonts w:ascii="Garamond" w:hAnsi="Garamond" w:cs="Garamond"/>
          <w:i/>
          <w:iCs/>
          <w:spacing w:val="-9"/>
          <w:sz w:val="20"/>
          <w:szCs w:val="20"/>
        </w:rPr>
        <w:t xml:space="preserve"> </w:t>
      </w:r>
      <w:r>
        <w:rPr>
          <w:rFonts w:ascii="Garamond" w:hAnsi="Garamond" w:cs="Garamond"/>
          <w:i/>
          <w:iCs/>
          <w:sz w:val="20"/>
          <w:szCs w:val="20"/>
        </w:rPr>
        <w:t>and</w:t>
      </w:r>
      <w:r>
        <w:rPr>
          <w:rFonts w:ascii="Garamond" w:hAnsi="Garamond" w:cs="Garamond"/>
          <w:i/>
          <w:iCs/>
          <w:spacing w:val="-10"/>
          <w:sz w:val="20"/>
          <w:szCs w:val="20"/>
        </w:rPr>
        <w:t xml:space="preserve"> </w:t>
      </w:r>
      <w:r>
        <w:rPr>
          <w:rFonts w:ascii="Garamond" w:hAnsi="Garamond" w:cs="Garamond"/>
          <w:i/>
          <w:iCs/>
          <w:sz w:val="20"/>
          <w:szCs w:val="20"/>
        </w:rPr>
        <w:t>Care</w:t>
      </w:r>
      <w:r>
        <w:rPr>
          <w:rFonts w:ascii="Garamond" w:hAnsi="Garamond" w:cs="Garamond"/>
          <w:i/>
          <w:iCs/>
          <w:spacing w:val="-14"/>
          <w:sz w:val="20"/>
          <w:szCs w:val="20"/>
        </w:rPr>
        <w:t xml:space="preserve"> </w:t>
      </w:r>
      <w:r>
        <w:rPr>
          <w:rFonts w:ascii="Garamond" w:hAnsi="Garamond" w:cs="Garamond"/>
          <w:i/>
          <w:iCs/>
          <w:sz w:val="20"/>
          <w:szCs w:val="20"/>
        </w:rPr>
        <w:t>Planning</w:t>
      </w:r>
      <w:r>
        <w:rPr>
          <w:rFonts w:ascii="Garamond" w:hAnsi="Garamond" w:cs="Garamond"/>
          <w:i/>
          <w:iCs/>
          <w:spacing w:val="-10"/>
          <w:sz w:val="20"/>
          <w:szCs w:val="20"/>
        </w:rPr>
        <w:t xml:space="preserve"> </w:t>
      </w:r>
      <w:r>
        <w:rPr>
          <w:rFonts w:ascii="Garamond" w:hAnsi="Garamond" w:cs="Garamond"/>
          <w:i/>
          <w:iCs/>
          <w:sz w:val="20"/>
          <w:szCs w:val="20"/>
        </w:rPr>
        <w:t>in</w:t>
      </w:r>
      <w:r>
        <w:rPr>
          <w:rFonts w:ascii="Garamond" w:hAnsi="Garamond" w:cs="Garamond"/>
          <w:i/>
          <w:iCs/>
          <w:spacing w:val="-12"/>
          <w:sz w:val="20"/>
          <w:szCs w:val="20"/>
        </w:rPr>
        <w:t xml:space="preserve"> </w:t>
      </w:r>
      <w:r>
        <w:rPr>
          <w:rFonts w:ascii="Garamond" w:hAnsi="Garamond" w:cs="Garamond"/>
          <w:i/>
          <w:iCs/>
          <w:sz w:val="20"/>
          <w:szCs w:val="20"/>
        </w:rPr>
        <w:t xml:space="preserve">an Electronic Environment. </w:t>
      </w:r>
      <w:r>
        <w:rPr>
          <w:rFonts w:ascii="Garamond" w:hAnsi="Garamond" w:cs="Garamond"/>
          <w:sz w:val="20"/>
          <w:szCs w:val="20"/>
        </w:rPr>
        <w:t xml:space="preserve">Washington, D.C.: National Partnership for Women &amp; Families. Retrieved from </w:t>
      </w:r>
      <w:hyperlink r:id="rId342" w:history="1">
        <w:r>
          <w:rPr>
            <w:rFonts w:ascii="Garamond" w:hAnsi="Garamond" w:cs="Garamond"/>
            <w:color w:val="0000FF"/>
            <w:sz w:val="20"/>
            <w:szCs w:val="20"/>
            <w:u w:val="single"/>
          </w:rPr>
          <w:t>http://www.nationalpartnership.org/research-library/health-care/HIT/consumer-principles-for-1.pdf</w:t>
        </w:r>
        <w:r>
          <w:rPr>
            <w:rFonts w:ascii="Garamond" w:hAnsi="Garamond" w:cs="Garamond"/>
            <w:color w:val="000000"/>
            <w:sz w:val="20"/>
            <w:szCs w:val="20"/>
          </w:rPr>
          <w:t>.</w:t>
        </w:r>
      </w:hyperlink>
    </w:p>
    <w:p w:rsidR="002C5025" w:rsidRDefault="002C5025">
      <w:pPr>
        <w:pStyle w:val="BodyText"/>
        <w:kinsoku w:val="0"/>
        <w:overflowPunct w:val="0"/>
        <w:spacing w:before="3"/>
        <w:rPr>
          <w:rFonts w:ascii="Garamond" w:hAnsi="Garamond" w:cs="Garamond"/>
          <w:sz w:val="11"/>
          <w:szCs w:val="11"/>
        </w:rPr>
      </w:pPr>
    </w:p>
    <w:p w:rsidR="002C5025" w:rsidRDefault="002C5025">
      <w:pPr>
        <w:pStyle w:val="BodyText"/>
        <w:kinsoku w:val="0"/>
        <w:overflowPunct w:val="0"/>
        <w:spacing w:before="80"/>
        <w:ind w:left="576" w:right="432"/>
        <w:jc w:val="center"/>
        <w:rPr>
          <w:rFonts w:ascii="Garamond" w:hAnsi="Garamond" w:cs="Garamond"/>
          <w:sz w:val="20"/>
          <w:szCs w:val="20"/>
        </w:rPr>
      </w:pPr>
      <w:r>
        <w:rPr>
          <w:rFonts w:ascii="Garamond" w:hAnsi="Garamond" w:cs="Garamond"/>
          <w:sz w:val="20"/>
          <w:szCs w:val="20"/>
        </w:rPr>
        <w:t>15</w:t>
      </w:r>
    </w:p>
    <w:p w:rsidR="002C5025" w:rsidRDefault="002C5025">
      <w:pPr>
        <w:pStyle w:val="BodyText"/>
        <w:kinsoku w:val="0"/>
        <w:overflowPunct w:val="0"/>
        <w:spacing w:before="80"/>
        <w:ind w:left="576" w:right="432"/>
        <w:jc w:val="center"/>
        <w:rPr>
          <w:rFonts w:ascii="Garamond" w:hAnsi="Garamond" w:cs="Garamond"/>
          <w:sz w:val="20"/>
          <w:szCs w:val="20"/>
        </w:rPr>
        <w:sectPr w:rsidR="002C5025">
          <w:pgSz w:w="12240" w:h="15840"/>
          <w:pgMar w:top="1380" w:right="1460" w:bottom="280" w:left="1320" w:header="720" w:footer="720" w:gutter="0"/>
          <w:cols w:space="720" w:equalWidth="0">
            <w:col w:w="9460"/>
          </w:cols>
          <w:noEndnote/>
        </w:sectPr>
      </w:pPr>
    </w:p>
    <w:p w:rsidR="002C5025" w:rsidRDefault="002C5025">
      <w:pPr>
        <w:pStyle w:val="ListParagraph"/>
        <w:numPr>
          <w:ilvl w:val="2"/>
          <w:numId w:val="49"/>
        </w:numPr>
        <w:tabs>
          <w:tab w:val="left" w:pos="841"/>
        </w:tabs>
        <w:kinsoku w:val="0"/>
        <w:overflowPunct w:val="0"/>
        <w:spacing w:before="39" w:line="279" w:lineRule="exact"/>
        <w:ind w:left="840" w:hanging="360"/>
        <w:rPr>
          <w:rFonts w:ascii="Garamond" w:hAnsi="Garamond" w:cs="Garamond"/>
          <w:spacing w:val="-3"/>
          <w:sz w:val="22"/>
          <w:szCs w:val="22"/>
        </w:rPr>
      </w:pPr>
      <w:r>
        <w:rPr>
          <w:rFonts w:ascii="Garamond" w:hAnsi="Garamond" w:cs="Garamond"/>
          <w:sz w:val="22"/>
          <w:szCs w:val="22"/>
        </w:rPr>
        <w:lastRenderedPageBreak/>
        <w:t>Ensuring</w:t>
      </w:r>
      <w:r>
        <w:rPr>
          <w:rFonts w:ascii="Garamond" w:hAnsi="Garamond" w:cs="Garamond"/>
          <w:spacing w:val="-7"/>
          <w:sz w:val="22"/>
          <w:szCs w:val="22"/>
        </w:rPr>
        <w:t xml:space="preserve"> </w:t>
      </w:r>
      <w:r>
        <w:rPr>
          <w:rFonts w:ascii="Garamond" w:hAnsi="Garamond" w:cs="Garamond"/>
          <w:sz w:val="22"/>
          <w:szCs w:val="22"/>
        </w:rPr>
        <w:t>the</w:t>
      </w:r>
      <w:r>
        <w:rPr>
          <w:rFonts w:ascii="Garamond" w:hAnsi="Garamond" w:cs="Garamond"/>
          <w:spacing w:val="-7"/>
          <w:sz w:val="22"/>
          <w:szCs w:val="22"/>
        </w:rPr>
        <w:t xml:space="preserve"> </w:t>
      </w:r>
      <w:r>
        <w:rPr>
          <w:rFonts w:ascii="Garamond" w:hAnsi="Garamond" w:cs="Garamond"/>
          <w:sz w:val="22"/>
          <w:szCs w:val="22"/>
        </w:rPr>
        <w:t>sustainability</w:t>
      </w:r>
      <w:r>
        <w:rPr>
          <w:rFonts w:ascii="Garamond" w:hAnsi="Garamond" w:cs="Garamond"/>
          <w:spacing w:val="-7"/>
          <w:sz w:val="22"/>
          <w:szCs w:val="22"/>
        </w:rPr>
        <w:t xml:space="preserve"> </w:t>
      </w:r>
      <w:r>
        <w:rPr>
          <w:rFonts w:ascii="Garamond" w:hAnsi="Garamond" w:cs="Garamond"/>
          <w:sz w:val="22"/>
          <w:szCs w:val="22"/>
        </w:rPr>
        <w:t>and</w:t>
      </w:r>
      <w:r>
        <w:rPr>
          <w:rFonts w:ascii="Garamond" w:hAnsi="Garamond" w:cs="Garamond"/>
          <w:spacing w:val="-4"/>
          <w:sz w:val="22"/>
          <w:szCs w:val="22"/>
        </w:rPr>
        <w:t xml:space="preserve"> </w:t>
      </w:r>
      <w:r>
        <w:rPr>
          <w:rFonts w:ascii="Garamond" w:hAnsi="Garamond" w:cs="Garamond"/>
          <w:sz w:val="22"/>
          <w:szCs w:val="22"/>
        </w:rPr>
        <w:t>affordability</w:t>
      </w:r>
      <w:r>
        <w:rPr>
          <w:rFonts w:ascii="Garamond" w:hAnsi="Garamond" w:cs="Garamond"/>
          <w:spacing w:val="-5"/>
          <w:sz w:val="22"/>
          <w:szCs w:val="22"/>
        </w:rPr>
        <w:t xml:space="preserve"> </w:t>
      </w:r>
      <w:r>
        <w:rPr>
          <w:rFonts w:ascii="Garamond" w:hAnsi="Garamond" w:cs="Garamond"/>
          <w:spacing w:val="-3"/>
          <w:sz w:val="22"/>
          <w:szCs w:val="22"/>
        </w:rPr>
        <w:t>of</w:t>
      </w:r>
      <w:r>
        <w:rPr>
          <w:rFonts w:ascii="Garamond" w:hAnsi="Garamond" w:cs="Garamond"/>
          <w:spacing w:val="-6"/>
          <w:sz w:val="22"/>
          <w:szCs w:val="22"/>
        </w:rPr>
        <w:t xml:space="preserve"> </w:t>
      </w:r>
      <w:r>
        <w:rPr>
          <w:rFonts w:ascii="Garamond" w:hAnsi="Garamond" w:cs="Garamond"/>
          <w:sz w:val="22"/>
          <w:szCs w:val="22"/>
        </w:rPr>
        <w:t>the</w:t>
      </w:r>
      <w:r>
        <w:rPr>
          <w:rFonts w:ascii="Garamond" w:hAnsi="Garamond" w:cs="Garamond"/>
          <w:spacing w:val="-5"/>
          <w:sz w:val="22"/>
          <w:szCs w:val="22"/>
        </w:rPr>
        <w:t xml:space="preserve"> </w:t>
      </w:r>
      <w:proofErr w:type="spellStart"/>
      <w:r>
        <w:rPr>
          <w:rFonts w:ascii="Garamond" w:hAnsi="Garamond" w:cs="Garamond"/>
          <w:spacing w:val="-4"/>
          <w:sz w:val="22"/>
          <w:szCs w:val="22"/>
        </w:rPr>
        <w:t>ConnectorCare</w:t>
      </w:r>
      <w:proofErr w:type="spellEnd"/>
      <w:r>
        <w:rPr>
          <w:rFonts w:ascii="Garamond" w:hAnsi="Garamond" w:cs="Garamond"/>
          <w:spacing w:val="-7"/>
          <w:sz w:val="22"/>
          <w:szCs w:val="22"/>
        </w:rPr>
        <w:t xml:space="preserve"> </w:t>
      </w:r>
      <w:r>
        <w:rPr>
          <w:rFonts w:ascii="Garamond" w:hAnsi="Garamond" w:cs="Garamond"/>
          <w:sz w:val="22"/>
          <w:szCs w:val="22"/>
        </w:rPr>
        <w:t>program;</w:t>
      </w:r>
      <w:r>
        <w:rPr>
          <w:rFonts w:ascii="Garamond" w:hAnsi="Garamond" w:cs="Garamond"/>
          <w:spacing w:val="-5"/>
          <w:sz w:val="22"/>
          <w:szCs w:val="22"/>
        </w:rPr>
        <w:t xml:space="preserve"> </w:t>
      </w:r>
      <w:r>
        <w:rPr>
          <w:rFonts w:ascii="Garamond" w:hAnsi="Garamond" w:cs="Garamond"/>
          <w:spacing w:val="-3"/>
          <w:sz w:val="22"/>
          <w:szCs w:val="22"/>
        </w:rPr>
        <w:t>and</w:t>
      </w:r>
    </w:p>
    <w:p w:rsidR="002C5025" w:rsidRDefault="002C5025">
      <w:pPr>
        <w:pStyle w:val="ListParagraph"/>
        <w:numPr>
          <w:ilvl w:val="2"/>
          <w:numId w:val="49"/>
        </w:numPr>
        <w:tabs>
          <w:tab w:val="left" w:pos="840"/>
        </w:tabs>
        <w:kinsoku w:val="0"/>
        <w:overflowPunct w:val="0"/>
        <w:spacing w:line="279" w:lineRule="exact"/>
        <w:ind w:left="839" w:hanging="360"/>
        <w:rPr>
          <w:rFonts w:ascii="Garamond" w:hAnsi="Garamond" w:cs="Garamond"/>
          <w:sz w:val="22"/>
          <w:szCs w:val="22"/>
        </w:rPr>
      </w:pPr>
      <w:r>
        <w:rPr>
          <w:rFonts w:ascii="Garamond" w:hAnsi="Garamond" w:cs="Garamond"/>
          <w:sz w:val="22"/>
          <w:szCs w:val="22"/>
        </w:rPr>
        <w:t>Expanding</w:t>
      </w:r>
      <w:r>
        <w:rPr>
          <w:rFonts w:ascii="Garamond" w:hAnsi="Garamond" w:cs="Garamond"/>
          <w:spacing w:val="-13"/>
          <w:sz w:val="22"/>
          <w:szCs w:val="22"/>
        </w:rPr>
        <w:t xml:space="preserve"> </w:t>
      </w:r>
      <w:r>
        <w:rPr>
          <w:rFonts w:ascii="Garamond" w:hAnsi="Garamond" w:cs="Garamond"/>
          <w:sz w:val="22"/>
          <w:szCs w:val="22"/>
        </w:rPr>
        <w:t>MassHealth</w:t>
      </w:r>
      <w:r>
        <w:rPr>
          <w:rFonts w:ascii="Garamond" w:hAnsi="Garamond" w:cs="Garamond"/>
          <w:spacing w:val="-14"/>
          <w:sz w:val="22"/>
          <w:szCs w:val="22"/>
        </w:rPr>
        <w:t xml:space="preserve"> </w:t>
      </w:r>
      <w:r>
        <w:rPr>
          <w:rFonts w:ascii="Garamond" w:hAnsi="Garamond" w:cs="Garamond"/>
          <w:sz w:val="22"/>
          <w:szCs w:val="22"/>
        </w:rPr>
        <w:t>substance</w:t>
      </w:r>
      <w:r>
        <w:rPr>
          <w:rFonts w:ascii="Garamond" w:hAnsi="Garamond" w:cs="Garamond"/>
          <w:spacing w:val="-13"/>
          <w:sz w:val="22"/>
          <w:szCs w:val="22"/>
        </w:rPr>
        <w:t xml:space="preserve"> </w:t>
      </w:r>
      <w:r>
        <w:rPr>
          <w:rFonts w:ascii="Garamond" w:hAnsi="Garamond" w:cs="Garamond"/>
          <w:sz w:val="22"/>
          <w:szCs w:val="22"/>
        </w:rPr>
        <w:t>use</w:t>
      </w:r>
      <w:r>
        <w:rPr>
          <w:rFonts w:ascii="Garamond" w:hAnsi="Garamond" w:cs="Garamond"/>
          <w:spacing w:val="-13"/>
          <w:sz w:val="22"/>
          <w:szCs w:val="22"/>
        </w:rPr>
        <w:t xml:space="preserve"> </w:t>
      </w:r>
      <w:r>
        <w:rPr>
          <w:rFonts w:ascii="Garamond" w:hAnsi="Garamond" w:cs="Garamond"/>
          <w:sz w:val="22"/>
          <w:szCs w:val="22"/>
        </w:rPr>
        <w:t>disorders</w:t>
      </w:r>
      <w:r>
        <w:rPr>
          <w:rFonts w:ascii="Garamond" w:hAnsi="Garamond" w:cs="Garamond"/>
          <w:spacing w:val="-10"/>
          <w:sz w:val="22"/>
          <w:szCs w:val="22"/>
        </w:rPr>
        <w:t xml:space="preserve"> </w:t>
      </w:r>
      <w:r>
        <w:rPr>
          <w:rFonts w:ascii="Garamond" w:hAnsi="Garamond" w:cs="Garamond"/>
          <w:sz w:val="22"/>
          <w:szCs w:val="22"/>
        </w:rPr>
        <w:t>(SUD)</w:t>
      </w:r>
      <w:r>
        <w:rPr>
          <w:rFonts w:ascii="Garamond" w:hAnsi="Garamond" w:cs="Garamond"/>
          <w:spacing w:val="-12"/>
          <w:sz w:val="22"/>
          <w:szCs w:val="22"/>
        </w:rPr>
        <w:t xml:space="preserve"> </w:t>
      </w:r>
      <w:r>
        <w:rPr>
          <w:rFonts w:ascii="Garamond" w:hAnsi="Garamond" w:cs="Garamond"/>
          <w:sz w:val="22"/>
          <w:szCs w:val="22"/>
        </w:rPr>
        <w:t>treatment</w:t>
      </w:r>
      <w:r>
        <w:rPr>
          <w:rFonts w:ascii="Garamond" w:hAnsi="Garamond" w:cs="Garamond"/>
          <w:spacing w:val="-12"/>
          <w:sz w:val="22"/>
          <w:szCs w:val="22"/>
        </w:rPr>
        <w:t xml:space="preserve"> </w:t>
      </w:r>
      <w:r>
        <w:rPr>
          <w:rFonts w:ascii="Garamond" w:hAnsi="Garamond" w:cs="Garamond"/>
          <w:sz w:val="22"/>
          <w:szCs w:val="22"/>
        </w:rPr>
        <w:t>services.</w:t>
      </w:r>
    </w:p>
    <w:p w:rsidR="002C5025" w:rsidRDefault="002C5025">
      <w:pPr>
        <w:pStyle w:val="BodyText"/>
        <w:kinsoku w:val="0"/>
        <w:overflowPunct w:val="0"/>
        <w:spacing w:before="9"/>
        <w:rPr>
          <w:rFonts w:ascii="Garamond" w:hAnsi="Garamond" w:cs="Garamond"/>
        </w:rPr>
      </w:pPr>
    </w:p>
    <w:p w:rsidR="002C5025" w:rsidRDefault="002C5025">
      <w:pPr>
        <w:pStyle w:val="BodyText"/>
        <w:kinsoku w:val="0"/>
        <w:overflowPunct w:val="0"/>
        <w:spacing w:line="244" w:lineRule="exact"/>
        <w:ind w:left="119" w:right="443"/>
        <w:rPr>
          <w:rFonts w:ascii="Garamond" w:hAnsi="Garamond" w:cs="Garamond"/>
        </w:rPr>
      </w:pPr>
      <w:r>
        <w:rPr>
          <w:rFonts w:ascii="Garamond" w:hAnsi="Garamond" w:cs="Garamond"/>
        </w:rPr>
        <w:t>However, we strongly oppose the following proposed changes that would restrict access to care:</w:t>
      </w:r>
    </w:p>
    <w:p w:rsidR="002C5025" w:rsidRDefault="002C5025">
      <w:pPr>
        <w:pStyle w:val="ListParagraph"/>
        <w:numPr>
          <w:ilvl w:val="2"/>
          <w:numId w:val="49"/>
        </w:numPr>
        <w:tabs>
          <w:tab w:val="left" w:pos="840"/>
        </w:tabs>
        <w:kinsoku w:val="0"/>
        <w:overflowPunct w:val="0"/>
        <w:spacing w:before="19" w:line="248" w:lineRule="exact"/>
        <w:ind w:left="839" w:right="387" w:hanging="360"/>
        <w:rPr>
          <w:rFonts w:ascii="Garamond" w:hAnsi="Garamond" w:cs="Garamond"/>
          <w:sz w:val="22"/>
          <w:szCs w:val="22"/>
        </w:rPr>
      </w:pPr>
      <w:r>
        <w:rPr>
          <w:rFonts w:ascii="Garamond" w:hAnsi="Garamond" w:cs="Garamond"/>
          <w:sz w:val="22"/>
          <w:szCs w:val="22"/>
        </w:rPr>
        <w:t>Eliminating</w:t>
      </w:r>
      <w:r>
        <w:rPr>
          <w:rFonts w:ascii="Garamond" w:hAnsi="Garamond" w:cs="Garamond"/>
          <w:spacing w:val="-11"/>
          <w:sz w:val="22"/>
          <w:szCs w:val="22"/>
        </w:rPr>
        <w:t xml:space="preserve"> </w:t>
      </w:r>
      <w:r>
        <w:rPr>
          <w:rFonts w:ascii="Garamond" w:hAnsi="Garamond" w:cs="Garamond"/>
          <w:sz w:val="22"/>
          <w:szCs w:val="22"/>
        </w:rPr>
        <w:t>coverage</w:t>
      </w:r>
      <w:r>
        <w:rPr>
          <w:rFonts w:ascii="Garamond" w:hAnsi="Garamond" w:cs="Garamond"/>
          <w:spacing w:val="-11"/>
          <w:sz w:val="22"/>
          <w:szCs w:val="22"/>
        </w:rPr>
        <w:t xml:space="preserve"> </w:t>
      </w:r>
      <w:r>
        <w:rPr>
          <w:rFonts w:ascii="Garamond" w:hAnsi="Garamond" w:cs="Garamond"/>
          <w:sz w:val="22"/>
          <w:szCs w:val="22"/>
        </w:rPr>
        <w:t>of</w:t>
      </w:r>
      <w:r>
        <w:rPr>
          <w:rFonts w:ascii="Garamond" w:hAnsi="Garamond" w:cs="Garamond"/>
          <w:spacing w:val="-8"/>
          <w:sz w:val="22"/>
          <w:szCs w:val="22"/>
        </w:rPr>
        <w:t xml:space="preserve"> </w:t>
      </w:r>
      <w:r>
        <w:rPr>
          <w:rFonts w:ascii="Garamond" w:hAnsi="Garamond" w:cs="Garamond"/>
          <w:sz w:val="22"/>
          <w:szCs w:val="22"/>
        </w:rPr>
        <w:t>chiropractic</w:t>
      </w:r>
      <w:r>
        <w:rPr>
          <w:rFonts w:ascii="Garamond" w:hAnsi="Garamond" w:cs="Garamond"/>
          <w:spacing w:val="-11"/>
          <w:sz w:val="22"/>
          <w:szCs w:val="22"/>
        </w:rPr>
        <w:t xml:space="preserve"> </w:t>
      </w:r>
      <w:r>
        <w:rPr>
          <w:rFonts w:ascii="Garamond" w:hAnsi="Garamond" w:cs="Garamond"/>
          <w:sz w:val="22"/>
          <w:szCs w:val="22"/>
        </w:rPr>
        <w:t>services,</w:t>
      </w:r>
      <w:r>
        <w:rPr>
          <w:rFonts w:ascii="Garamond" w:hAnsi="Garamond" w:cs="Garamond"/>
          <w:spacing w:val="-9"/>
          <w:sz w:val="22"/>
          <w:szCs w:val="22"/>
        </w:rPr>
        <w:t xml:space="preserve"> </w:t>
      </w:r>
      <w:r>
        <w:rPr>
          <w:rFonts w:ascii="Garamond" w:hAnsi="Garamond" w:cs="Garamond"/>
          <w:sz w:val="22"/>
          <w:szCs w:val="22"/>
        </w:rPr>
        <w:t>eyeglasses,</w:t>
      </w:r>
      <w:r>
        <w:rPr>
          <w:rFonts w:ascii="Garamond" w:hAnsi="Garamond" w:cs="Garamond"/>
          <w:spacing w:val="-12"/>
          <w:sz w:val="22"/>
          <w:szCs w:val="22"/>
        </w:rPr>
        <w:t xml:space="preserve"> </w:t>
      </w:r>
      <w:r>
        <w:rPr>
          <w:rFonts w:ascii="Garamond" w:hAnsi="Garamond" w:cs="Garamond"/>
          <w:sz w:val="22"/>
          <w:szCs w:val="22"/>
        </w:rPr>
        <w:t>hearing</w:t>
      </w:r>
      <w:r>
        <w:rPr>
          <w:rFonts w:ascii="Garamond" w:hAnsi="Garamond" w:cs="Garamond"/>
          <w:spacing w:val="-11"/>
          <w:sz w:val="22"/>
          <w:szCs w:val="22"/>
        </w:rPr>
        <w:t xml:space="preserve"> </w:t>
      </w:r>
      <w:r>
        <w:rPr>
          <w:rFonts w:ascii="Garamond" w:hAnsi="Garamond" w:cs="Garamond"/>
          <w:sz w:val="22"/>
          <w:szCs w:val="22"/>
        </w:rPr>
        <w:t>aids,</w:t>
      </w:r>
      <w:r>
        <w:rPr>
          <w:rFonts w:ascii="Garamond" w:hAnsi="Garamond" w:cs="Garamond"/>
          <w:spacing w:val="-11"/>
          <w:sz w:val="22"/>
          <w:szCs w:val="22"/>
        </w:rPr>
        <w:t xml:space="preserve"> </w:t>
      </w:r>
      <w:r>
        <w:rPr>
          <w:rFonts w:ascii="Garamond" w:hAnsi="Garamond" w:cs="Garamond"/>
          <w:sz w:val="22"/>
          <w:szCs w:val="22"/>
        </w:rPr>
        <w:t>orthotics</w:t>
      </w:r>
      <w:r>
        <w:rPr>
          <w:rFonts w:ascii="Garamond" w:hAnsi="Garamond" w:cs="Garamond"/>
          <w:spacing w:val="-7"/>
          <w:sz w:val="22"/>
          <w:szCs w:val="22"/>
        </w:rPr>
        <w:t xml:space="preserve"> </w:t>
      </w:r>
      <w:r>
        <w:rPr>
          <w:rFonts w:ascii="Garamond" w:hAnsi="Garamond" w:cs="Garamond"/>
          <w:sz w:val="22"/>
          <w:szCs w:val="22"/>
        </w:rPr>
        <w:t>or</w:t>
      </w:r>
      <w:r>
        <w:rPr>
          <w:rFonts w:ascii="Garamond" w:hAnsi="Garamond" w:cs="Garamond"/>
          <w:spacing w:val="-11"/>
          <w:sz w:val="22"/>
          <w:szCs w:val="22"/>
        </w:rPr>
        <w:t xml:space="preserve"> </w:t>
      </w:r>
      <w:r>
        <w:rPr>
          <w:rFonts w:ascii="Garamond" w:hAnsi="Garamond" w:cs="Garamond"/>
          <w:sz w:val="22"/>
          <w:szCs w:val="22"/>
        </w:rPr>
        <w:t>other</w:t>
      </w:r>
      <w:r>
        <w:rPr>
          <w:rFonts w:ascii="Garamond" w:hAnsi="Garamond" w:cs="Garamond"/>
          <w:spacing w:val="-8"/>
          <w:sz w:val="22"/>
          <w:szCs w:val="22"/>
        </w:rPr>
        <w:t xml:space="preserve"> </w:t>
      </w:r>
      <w:r>
        <w:rPr>
          <w:rFonts w:ascii="Garamond" w:hAnsi="Garamond" w:cs="Garamond"/>
          <w:sz w:val="22"/>
          <w:szCs w:val="22"/>
        </w:rPr>
        <w:t>state</w:t>
      </w:r>
      <w:r>
        <w:rPr>
          <w:rFonts w:ascii="Garamond" w:hAnsi="Garamond" w:cs="Garamond"/>
          <w:spacing w:val="-13"/>
          <w:sz w:val="22"/>
          <w:szCs w:val="22"/>
        </w:rPr>
        <w:t xml:space="preserve"> </w:t>
      </w:r>
      <w:r>
        <w:rPr>
          <w:rFonts w:ascii="Garamond" w:hAnsi="Garamond" w:cs="Garamond"/>
          <w:spacing w:val="-3"/>
          <w:sz w:val="22"/>
          <w:szCs w:val="22"/>
        </w:rPr>
        <w:t xml:space="preserve">plan </w:t>
      </w:r>
      <w:r>
        <w:rPr>
          <w:rFonts w:ascii="Garamond" w:hAnsi="Garamond" w:cs="Garamond"/>
          <w:sz w:val="22"/>
          <w:szCs w:val="22"/>
        </w:rPr>
        <w:t>services</w:t>
      </w:r>
      <w:r>
        <w:rPr>
          <w:rFonts w:ascii="Garamond" w:hAnsi="Garamond" w:cs="Garamond"/>
          <w:spacing w:val="-6"/>
          <w:sz w:val="22"/>
          <w:szCs w:val="22"/>
        </w:rPr>
        <w:t xml:space="preserve"> </w:t>
      </w:r>
      <w:r>
        <w:rPr>
          <w:rFonts w:ascii="Garamond" w:hAnsi="Garamond" w:cs="Garamond"/>
          <w:sz w:val="22"/>
          <w:szCs w:val="22"/>
        </w:rPr>
        <w:t>in</w:t>
      </w:r>
      <w:r>
        <w:rPr>
          <w:rFonts w:ascii="Garamond" w:hAnsi="Garamond" w:cs="Garamond"/>
          <w:spacing w:val="-12"/>
          <w:sz w:val="22"/>
          <w:szCs w:val="22"/>
        </w:rPr>
        <w:t xml:space="preserve"> </w:t>
      </w:r>
      <w:r>
        <w:rPr>
          <w:rFonts w:ascii="Garamond" w:hAnsi="Garamond" w:cs="Garamond"/>
          <w:sz w:val="22"/>
          <w:szCs w:val="22"/>
        </w:rPr>
        <w:t>the</w:t>
      </w:r>
      <w:r>
        <w:rPr>
          <w:rFonts w:ascii="Garamond" w:hAnsi="Garamond" w:cs="Garamond"/>
          <w:spacing w:val="-11"/>
          <w:sz w:val="22"/>
          <w:szCs w:val="22"/>
        </w:rPr>
        <w:t xml:space="preserve"> </w:t>
      </w:r>
      <w:r>
        <w:rPr>
          <w:rFonts w:ascii="Garamond" w:hAnsi="Garamond" w:cs="Garamond"/>
          <w:sz w:val="22"/>
          <w:szCs w:val="22"/>
        </w:rPr>
        <w:t>Primary</w:t>
      </w:r>
      <w:r>
        <w:rPr>
          <w:rFonts w:ascii="Garamond" w:hAnsi="Garamond" w:cs="Garamond"/>
          <w:spacing w:val="-10"/>
          <w:sz w:val="22"/>
          <w:szCs w:val="22"/>
        </w:rPr>
        <w:t xml:space="preserve"> </w:t>
      </w:r>
      <w:r>
        <w:rPr>
          <w:rFonts w:ascii="Garamond" w:hAnsi="Garamond" w:cs="Garamond"/>
          <w:sz w:val="22"/>
          <w:szCs w:val="22"/>
        </w:rPr>
        <w:t>Care</w:t>
      </w:r>
      <w:r>
        <w:rPr>
          <w:rFonts w:ascii="Garamond" w:hAnsi="Garamond" w:cs="Garamond"/>
          <w:spacing w:val="-12"/>
          <w:sz w:val="22"/>
          <w:szCs w:val="22"/>
        </w:rPr>
        <w:t xml:space="preserve"> </w:t>
      </w:r>
      <w:r>
        <w:rPr>
          <w:rFonts w:ascii="Garamond" w:hAnsi="Garamond" w:cs="Garamond"/>
          <w:sz w:val="22"/>
          <w:szCs w:val="22"/>
        </w:rPr>
        <w:t>Clinician</w:t>
      </w:r>
      <w:r>
        <w:rPr>
          <w:rFonts w:ascii="Garamond" w:hAnsi="Garamond" w:cs="Garamond"/>
          <w:spacing w:val="-7"/>
          <w:sz w:val="22"/>
          <w:szCs w:val="22"/>
        </w:rPr>
        <w:t xml:space="preserve"> </w:t>
      </w:r>
      <w:r>
        <w:rPr>
          <w:rFonts w:ascii="Garamond" w:hAnsi="Garamond" w:cs="Garamond"/>
          <w:sz w:val="22"/>
          <w:szCs w:val="22"/>
        </w:rPr>
        <w:t>(PCC)</w:t>
      </w:r>
      <w:r>
        <w:rPr>
          <w:rFonts w:ascii="Garamond" w:hAnsi="Garamond" w:cs="Garamond"/>
          <w:spacing w:val="-9"/>
          <w:sz w:val="22"/>
          <w:szCs w:val="22"/>
        </w:rPr>
        <w:t xml:space="preserve"> </w:t>
      </w:r>
      <w:r>
        <w:rPr>
          <w:rFonts w:ascii="Garamond" w:hAnsi="Garamond" w:cs="Garamond"/>
          <w:sz w:val="22"/>
          <w:szCs w:val="22"/>
        </w:rPr>
        <w:t>plan;</w:t>
      </w:r>
    </w:p>
    <w:p w:rsidR="002C5025" w:rsidRDefault="002C5025">
      <w:pPr>
        <w:pStyle w:val="ListParagraph"/>
        <w:numPr>
          <w:ilvl w:val="2"/>
          <w:numId w:val="49"/>
        </w:numPr>
        <w:tabs>
          <w:tab w:val="left" w:pos="840"/>
        </w:tabs>
        <w:kinsoku w:val="0"/>
        <w:overflowPunct w:val="0"/>
        <w:spacing w:before="7"/>
        <w:ind w:left="839"/>
        <w:rPr>
          <w:rFonts w:ascii="Garamond" w:hAnsi="Garamond" w:cs="Garamond"/>
          <w:spacing w:val="-4"/>
          <w:sz w:val="22"/>
          <w:szCs w:val="22"/>
        </w:rPr>
      </w:pPr>
      <w:r>
        <w:rPr>
          <w:rFonts w:ascii="Garamond" w:hAnsi="Garamond" w:cs="Garamond"/>
          <w:sz w:val="22"/>
          <w:szCs w:val="22"/>
        </w:rPr>
        <w:t xml:space="preserve">Increasing </w:t>
      </w:r>
      <w:r>
        <w:rPr>
          <w:rFonts w:ascii="Garamond" w:hAnsi="Garamond" w:cs="Garamond"/>
          <w:spacing w:val="-3"/>
          <w:sz w:val="22"/>
          <w:szCs w:val="22"/>
        </w:rPr>
        <w:t xml:space="preserve">copays </w:t>
      </w:r>
      <w:r>
        <w:rPr>
          <w:rFonts w:ascii="Garamond" w:hAnsi="Garamond" w:cs="Garamond"/>
          <w:sz w:val="22"/>
          <w:szCs w:val="22"/>
        </w:rPr>
        <w:t xml:space="preserve">for </w:t>
      </w:r>
      <w:r>
        <w:rPr>
          <w:rFonts w:ascii="Garamond" w:hAnsi="Garamond" w:cs="Garamond"/>
          <w:spacing w:val="-3"/>
          <w:sz w:val="22"/>
          <w:szCs w:val="22"/>
        </w:rPr>
        <w:t xml:space="preserve">members </w:t>
      </w:r>
      <w:r>
        <w:rPr>
          <w:rFonts w:ascii="Garamond" w:hAnsi="Garamond" w:cs="Garamond"/>
          <w:sz w:val="22"/>
          <w:szCs w:val="22"/>
        </w:rPr>
        <w:t>enrolled in the PCC</w:t>
      </w:r>
      <w:r>
        <w:rPr>
          <w:rFonts w:ascii="Garamond" w:hAnsi="Garamond" w:cs="Garamond"/>
          <w:spacing w:val="-28"/>
          <w:sz w:val="22"/>
          <w:szCs w:val="22"/>
        </w:rPr>
        <w:t xml:space="preserve"> </w:t>
      </w:r>
      <w:r>
        <w:rPr>
          <w:rFonts w:ascii="Garamond" w:hAnsi="Garamond" w:cs="Garamond"/>
          <w:spacing w:val="-4"/>
          <w:sz w:val="22"/>
          <w:szCs w:val="22"/>
        </w:rPr>
        <w:t>plan;</w:t>
      </w:r>
    </w:p>
    <w:p w:rsidR="002C5025" w:rsidRDefault="002C5025">
      <w:pPr>
        <w:pStyle w:val="ListParagraph"/>
        <w:numPr>
          <w:ilvl w:val="2"/>
          <w:numId w:val="49"/>
        </w:numPr>
        <w:tabs>
          <w:tab w:val="left" w:pos="840"/>
        </w:tabs>
        <w:kinsoku w:val="0"/>
        <w:overflowPunct w:val="0"/>
        <w:spacing w:before="1" w:line="279" w:lineRule="exact"/>
        <w:ind w:left="839"/>
        <w:rPr>
          <w:rFonts w:ascii="Garamond" w:hAnsi="Garamond" w:cs="Garamond"/>
          <w:sz w:val="22"/>
          <w:szCs w:val="22"/>
        </w:rPr>
      </w:pPr>
      <w:r>
        <w:rPr>
          <w:rFonts w:ascii="Garamond" w:hAnsi="Garamond" w:cs="Garamond"/>
          <w:sz w:val="22"/>
          <w:szCs w:val="22"/>
        </w:rPr>
        <w:t>Instituting</w:t>
      </w:r>
      <w:r>
        <w:rPr>
          <w:rFonts w:ascii="Garamond" w:hAnsi="Garamond" w:cs="Garamond"/>
          <w:spacing w:val="-10"/>
          <w:sz w:val="22"/>
          <w:szCs w:val="22"/>
        </w:rPr>
        <w:t xml:space="preserve"> </w:t>
      </w:r>
      <w:r>
        <w:rPr>
          <w:rFonts w:ascii="Garamond" w:hAnsi="Garamond" w:cs="Garamond"/>
          <w:sz w:val="22"/>
          <w:szCs w:val="22"/>
        </w:rPr>
        <w:t>a</w:t>
      </w:r>
      <w:r>
        <w:rPr>
          <w:rFonts w:ascii="Garamond" w:hAnsi="Garamond" w:cs="Garamond"/>
          <w:spacing w:val="-12"/>
          <w:sz w:val="22"/>
          <w:szCs w:val="22"/>
        </w:rPr>
        <w:t xml:space="preserve"> </w:t>
      </w:r>
      <w:r>
        <w:rPr>
          <w:rFonts w:ascii="Garamond" w:hAnsi="Garamond" w:cs="Garamond"/>
          <w:sz w:val="22"/>
          <w:szCs w:val="22"/>
        </w:rPr>
        <w:t>12-month</w:t>
      </w:r>
      <w:r>
        <w:rPr>
          <w:rFonts w:ascii="Garamond" w:hAnsi="Garamond" w:cs="Garamond"/>
          <w:spacing w:val="-13"/>
          <w:sz w:val="22"/>
          <w:szCs w:val="22"/>
        </w:rPr>
        <w:t xml:space="preserve"> </w:t>
      </w:r>
      <w:r>
        <w:rPr>
          <w:rFonts w:ascii="Garamond" w:hAnsi="Garamond" w:cs="Garamond"/>
          <w:sz w:val="22"/>
          <w:szCs w:val="22"/>
        </w:rPr>
        <w:t>MCO</w:t>
      </w:r>
      <w:r>
        <w:rPr>
          <w:rFonts w:ascii="Garamond" w:hAnsi="Garamond" w:cs="Garamond"/>
          <w:spacing w:val="-10"/>
          <w:sz w:val="22"/>
          <w:szCs w:val="22"/>
        </w:rPr>
        <w:t xml:space="preserve"> </w:t>
      </w:r>
      <w:r>
        <w:rPr>
          <w:rFonts w:ascii="Garamond" w:hAnsi="Garamond" w:cs="Garamond"/>
          <w:sz w:val="22"/>
          <w:szCs w:val="22"/>
        </w:rPr>
        <w:t>lock-in;</w:t>
      </w:r>
    </w:p>
    <w:p w:rsidR="002C5025" w:rsidRDefault="002C5025">
      <w:pPr>
        <w:pStyle w:val="ListParagraph"/>
        <w:numPr>
          <w:ilvl w:val="2"/>
          <w:numId w:val="49"/>
        </w:numPr>
        <w:tabs>
          <w:tab w:val="left" w:pos="840"/>
        </w:tabs>
        <w:kinsoku w:val="0"/>
        <w:overflowPunct w:val="0"/>
        <w:spacing w:line="279" w:lineRule="exact"/>
        <w:ind w:left="839" w:hanging="360"/>
        <w:rPr>
          <w:rFonts w:ascii="Garamond" w:hAnsi="Garamond" w:cs="Garamond"/>
          <w:spacing w:val="-3"/>
          <w:sz w:val="22"/>
          <w:szCs w:val="22"/>
        </w:rPr>
      </w:pPr>
      <w:r>
        <w:rPr>
          <w:rFonts w:ascii="Garamond" w:hAnsi="Garamond" w:cs="Garamond"/>
          <w:sz w:val="22"/>
          <w:szCs w:val="22"/>
        </w:rPr>
        <w:t>Expanding</w:t>
      </w:r>
      <w:r>
        <w:rPr>
          <w:rFonts w:ascii="Garamond" w:hAnsi="Garamond" w:cs="Garamond"/>
          <w:spacing w:val="-5"/>
          <w:sz w:val="22"/>
          <w:szCs w:val="22"/>
        </w:rPr>
        <w:t xml:space="preserve"> </w:t>
      </w:r>
      <w:r>
        <w:rPr>
          <w:rFonts w:ascii="Garamond" w:hAnsi="Garamond" w:cs="Garamond"/>
          <w:sz w:val="22"/>
          <w:szCs w:val="22"/>
        </w:rPr>
        <w:t>the</w:t>
      </w:r>
      <w:r>
        <w:rPr>
          <w:rFonts w:ascii="Garamond" w:hAnsi="Garamond" w:cs="Garamond"/>
          <w:spacing w:val="-5"/>
          <w:sz w:val="22"/>
          <w:szCs w:val="22"/>
        </w:rPr>
        <w:t xml:space="preserve"> </w:t>
      </w:r>
      <w:r>
        <w:rPr>
          <w:rFonts w:ascii="Garamond" w:hAnsi="Garamond" w:cs="Garamond"/>
          <w:sz w:val="22"/>
          <w:szCs w:val="22"/>
        </w:rPr>
        <w:t>list</w:t>
      </w:r>
      <w:r>
        <w:rPr>
          <w:rFonts w:ascii="Garamond" w:hAnsi="Garamond" w:cs="Garamond"/>
          <w:spacing w:val="-4"/>
          <w:sz w:val="22"/>
          <w:szCs w:val="22"/>
        </w:rPr>
        <w:t xml:space="preserve"> </w:t>
      </w:r>
      <w:r>
        <w:rPr>
          <w:rFonts w:ascii="Garamond" w:hAnsi="Garamond" w:cs="Garamond"/>
          <w:sz w:val="22"/>
          <w:szCs w:val="22"/>
        </w:rPr>
        <w:t>of</w:t>
      </w:r>
      <w:r>
        <w:rPr>
          <w:rFonts w:ascii="Garamond" w:hAnsi="Garamond" w:cs="Garamond"/>
          <w:spacing w:val="-7"/>
          <w:sz w:val="22"/>
          <w:szCs w:val="22"/>
        </w:rPr>
        <w:t xml:space="preserve"> </w:t>
      </w:r>
      <w:r>
        <w:rPr>
          <w:rFonts w:ascii="Garamond" w:hAnsi="Garamond" w:cs="Garamond"/>
          <w:sz w:val="22"/>
          <w:szCs w:val="22"/>
        </w:rPr>
        <w:t>services</w:t>
      </w:r>
      <w:r>
        <w:rPr>
          <w:rFonts w:ascii="Garamond" w:hAnsi="Garamond" w:cs="Garamond"/>
          <w:spacing w:val="-3"/>
          <w:sz w:val="22"/>
          <w:szCs w:val="22"/>
        </w:rPr>
        <w:t xml:space="preserve"> </w:t>
      </w:r>
      <w:r>
        <w:rPr>
          <w:rFonts w:ascii="Garamond" w:hAnsi="Garamond" w:cs="Garamond"/>
          <w:sz w:val="22"/>
          <w:szCs w:val="22"/>
        </w:rPr>
        <w:t>to</w:t>
      </w:r>
      <w:r>
        <w:rPr>
          <w:rFonts w:ascii="Garamond" w:hAnsi="Garamond" w:cs="Garamond"/>
          <w:spacing w:val="-6"/>
          <w:sz w:val="22"/>
          <w:szCs w:val="22"/>
        </w:rPr>
        <w:t xml:space="preserve"> </w:t>
      </w:r>
      <w:r>
        <w:rPr>
          <w:rFonts w:ascii="Garamond" w:hAnsi="Garamond" w:cs="Garamond"/>
          <w:sz w:val="22"/>
          <w:szCs w:val="22"/>
        </w:rPr>
        <w:t>which</w:t>
      </w:r>
      <w:r>
        <w:rPr>
          <w:rFonts w:ascii="Garamond" w:hAnsi="Garamond" w:cs="Garamond"/>
          <w:spacing w:val="-6"/>
          <w:sz w:val="22"/>
          <w:szCs w:val="22"/>
        </w:rPr>
        <w:t xml:space="preserve"> </w:t>
      </w:r>
      <w:r>
        <w:rPr>
          <w:rFonts w:ascii="Garamond" w:hAnsi="Garamond" w:cs="Garamond"/>
          <w:spacing w:val="-3"/>
          <w:sz w:val="22"/>
          <w:szCs w:val="22"/>
        </w:rPr>
        <w:t>copays</w:t>
      </w:r>
      <w:r>
        <w:rPr>
          <w:rFonts w:ascii="Garamond" w:hAnsi="Garamond" w:cs="Garamond"/>
          <w:spacing w:val="-6"/>
          <w:sz w:val="22"/>
          <w:szCs w:val="22"/>
        </w:rPr>
        <w:t xml:space="preserve"> </w:t>
      </w:r>
      <w:r>
        <w:rPr>
          <w:rFonts w:ascii="Garamond" w:hAnsi="Garamond" w:cs="Garamond"/>
          <w:sz w:val="22"/>
          <w:szCs w:val="22"/>
        </w:rPr>
        <w:t>apply;</w:t>
      </w:r>
      <w:r>
        <w:rPr>
          <w:rFonts w:ascii="Garamond" w:hAnsi="Garamond" w:cs="Garamond"/>
          <w:spacing w:val="-6"/>
          <w:sz w:val="22"/>
          <w:szCs w:val="22"/>
        </w:rPr>
        <w:t xml:space="preserve"> </w:t>
      </w:r>
      <w:r>
        <w:rPr>
          <w:rFonts w:ascii="Garamond" w:hAnsi="Garamond" w:cs="Garamond"/>
          <w:spacing w:val="-3"/>
          <w:sz w:val="22"/>
          <w:szCs w:val="22"/>
        </w:rPr>
        <w:t>and</w:t>
      </w:r>
    </w:p>
    <w:p w:rsidR="002C5025" w:rsidRDefault="002C5025">
      <w:pPr>
        <w:pStyle w:val="ListParagraph"/>
        <w:numPr>
          <w:ilvl w:val="2"/>
          <w:numId w:val="49"/>
        </w:numPr>
        <w:tabs>
          <w:tab w:val="left" w:pos="840"/>
        </w:tabs>
        <w:kinsoku w:val="0"/>
        <w:overflowPunct w:val="0"/>
        <w:spacing w:before="1"/>
        <w:ind w:left="839"/>
        <w:rPr>
          <w:rFonts w:ascii="Garamond" w:hAnsi="Garamond" w:cs="Garamond"/>
          <w:sz w:val="22"/>
          <w:szCs w:val="22"/>
        </w:rPr>
      </w:pPr>
      <w:r>
        <w:rPr>
          <w:rFonts w:ascii="Garamond" w:hAnsi="Garamond" w:cs="Garamond"/>
          <w:sz w:val="22"/>
          <w:szCs w:val="22"/>
        </w:rPr>
        <w:t>Potentially</w:t>
      </w:r>
      <w:r>
        <w:rPr>
          <w:rFonts w:ascii="Garamond" w:hAnsi="Garamond" w:cs="Garamond"/>
          <w:spacing w:val="-11"/>
          <w:sz w:val="22"/>
          <w:szCs w:val="22"/>
        </w:rPr>
        <w:t xml:space="preserve"> </w:t>
      </w:r>
      <w:r>
        <w:rPr>
          <w:rFonts w:ascii="Garamond" w:hAnsi="Garamond" w:cs="Garamond"/>
          <w:sz w:val="22"/>
          <w:szCs w:val="22"/>
        </w:rPr>
        <w:t>increasing</w:t>
      </w:r>
      <w:r>
        <w:rPr>
          <w:rFonts w:ascii="Garamond" w:hAnsi="Garamond" w:cs="Garamond"/>
          <w:spacing w:val="-11"/>
          <w:sz w:val="22"/>
          <w:szCs w:val="22"/>
        </w:rPr>
        <w:t xml:space="preserve"> </w:t>
      </w:r>
      <w:r>
        <w:rPr>
          <w:rFonts w:ascii="Garamond" w:hAnsi="Garamond" w:cs="Garamond"/>
          <w:sz w:val="22"/>
          <w:szCs w:val="22"/>
        </w:rPr>
        <w:t>premiums</w:t>
      </w:r>
      <w:r>
        <w:rPr>
          <w:rFonts w:ascii="Garamond" w:hAnsi="Garamond" w:cs="Garamond"/>
          <w:spacing w:val="-8"/>
          <w:sz w:val="22"/>
          <w:szCs w:val="22"/>
        </w:rPr>
        <w:t xml:space="preserve"> </w:t>
      </w:r>
      <w:r>
        <w:rPr>
          <w:rFonts w:ascii="Garamond" w:hAnsi="Garamond" w:cs="Garamond"/>
          <w:sz w:val="22"/>
          <w:szCs w:val="22"/>
        </w:rPr>
        <w:t>for</w:t>
      </w:r>
      <w:r>
        <w:rPr>
          <w:rFonts w:ascii="Garamond" w:hAnsi="Garamond" w:cs="Garamond"/>
          <w:spacing w:val="-9"/>
          <w:sz w:val="22"/>
          <w:szCs w:val="22"/>
        </w:rPr>
        <w:t xml:space="preserve"> </w:t>
      </w:r>
      <w:r>
        <w:rPr>
          <w:rFonts w:ascii="Garamond" w:hAnsi="Garamond" w:cs="Garamond"/>
          <w:sz w:val="22"/>
          <w:szCs w:val="22"/>
        </w:rPr>
        <w:t>enrollees</w:t>
      </w:r>
      <w:r>
        <w:rPr>
          <w:rFonts w:ascii="Garamond" w:hAnsi="Garamond" w:cs="Garamond"/>
          <w:spacing w:val="-8"/>
          <w:sz w:val="22"/>
          <w:szCs w:val="22"/>
        </w:rPr>
        <w:t xml:space="preserve"> </w:t>
      </w:r>
      <w:r>
        <w:rPr>
          <w:rFonts w:ascii="Garamond" w:hAnsi="Garamond" w:cs="Garamond"/>
          <w:sz w:val="22"/>
          <w:szCs w:val="22"/>
        </w:rPr>
        <w:t>with</w:t>
      </w:r>
      <w:r>
        <w:rPr>
          <w:rFonts w:ascii="Garamond" w:hAnsi="Garamond" w:cs="Garamond"/>
          <w:spacing w:val="-9"/>
          <w:sz w:val="22"/>
          <w:szCs w:val="22"/>
        </w:rPr>
        <w:t xml:space="preserve"> </w:t>
      </w:r>
      <w:r>
        <w:rPr>
          <w:rFonts w:ascii="Garamond" w:hAnsi="Garamond" w:cs="Garamond"/>
          <w:sz w:val="22"/>
          <w:szCs w:val="22"/>
        </w:rPr>
        <w:t>incomes</w:t>
      </w:r>
      <w:r>
        <w:rPr>
          <w:rFonts w:ascii="Garamond" w:hAnsi="Garamond" w:cs="Garamond"/>
          <w:spacing w:val="-8"/>
          <w:sz w:val="22"/>
          <w:szCs w:val="22"/>
        </w:rPr>
        <w:t xml:space="preserve"> </w:t>
      </w:r>
      <w:r>
        <w:rPr>
          <w:rFonts w:ascii="Garamond" w:hAnsi="Garamond" w:cs="Garamond"/>
          <w:sz w:val="22"/>
          <w:szCs w:val="22"/>
        </w:rPr>
        <w:t>at</w:t>
      </w:r>
      <w:r>
        <w:rPr>
          <w:rFonts w:ascii="Garamond" w:hAnsi="Garamond" w:cs="Garamond"/>
          <w:spacing w:val="-9"/>
          <w:sz w:val="22"/>
          <w:szCs w:val="22"/>
        </w:rPr>
        <w:t xml:space="preserve"> </w:t>
      </w:r>
      <w:r>
        <w:rPr>
          <w:rFonts w:ascii="Garamond" w:hAnsi="Garamond" w:cs="Garamond"/>
          <w:sz w:val="22"/>
          <w:szCs w:val="22"/>
        </w:rPr>
        <w:t>or</w:t>
      </w:r>
      <w:r>
        <w:rPr>
          <w:rFonts w:ascii="Garamond" w:hAnsi="Garamond" w:cs="Garamond"/>
          <w:spacing w:val="-10"/>
          <w:sz w:val="22"/>
          <w:szCs w:val="22"/>
        </w:rPr>
        <w:t xml:space="preserve"> </w:t>
      </w:r>
      <w:r>
        <w:rPr>
          <w:rFonts w:ascii="Garamond" w:hAnsi="Garamond" w:cs="Garamond"/>
          <w:sz w:val="22"/>
          <w:szCs w:val="22"/>
        </w:rPr>
        <w:t>above</w:t>
      </w:r>
      <w:r>
        <w:rPr>
          <w:rFonts w:ascii="Garamond" w:hAnsi="Garamond" w:cs="Garamond"/>
          <w:spacing w:val="-11"/>
          <w:sz w:val="22"/>
          <w:szCs w:val="22"/>
        </w:rPr>
        <w:t xml:space="preserve"> </w:t>
      </w:r>
      <w:r>
        <w:rPr>
          <w:rFonts w:ascii="Garamond" w:hAnsi="Garamond" w:cs="Garamond"/>
          <w:sz w:val="22"/>
          <w:szCs w:val="22"/>
        </w:rPr>
        <w:t>150%</w:t>
      </w:r>
      <w:r>
        <w:rPr>
          <w:rFonts w:ascii="Garamond" w:hAnsi="Garamond" w:cs="Garamond"/>
          <w:spacing w:val="-12"/>
          <w:sz w:val="22"/>
          <w:szCs w:val="22"/>
        </w:rPr>
        <w:t xml:space="preserve"> </w:t>
      </w:r>
      <w:r>
        <w:rPr>
          <w:rFonts w:ascii="Garamond" w:hAnsi="Garamond" w:cs="Garamond"/>
          <w:sz w:val="22"/>
          <w:szCs w:val="22"/>
        </w:rPr>
        <w:t>FPL.</w:t>
      </w:r>
    </w:p>
    <w:p w:rsidR="002C5025" w:rsidRDefault="002C5025">
      <w:pPr>
        <w:pStyle w:val="BodyText"/>
        <w:kinsoku w:val="0"/>
        <w:overflowPunct w:val="0"/>
        <w:spacing w:before="9"/>
        <w:rPr>
          <w:rFonts w:ascii="Garamond" w:hAnsi="Garamond" w:cs="Garamond"/>
          <w:sz w:val="20"/>
          <w:szCs w:val="20"/>
        </w:rPr>
      </w:pPr>
    </w:p>
    <w:p w:rsidR="002C5025" w:rsidRDefault="002C5025">
      <w:pPr>
        <w:pStyle w:val="BodyText"/>
        <w:kinsoku w:val="0"/>
        <w:overflowPunct w:val="0"/>
        <w:spacing w:line="265" w:lineRule="exact"/>
        <w:ind w:left="120" w:right="443"/>
        <w:rPr>
          <w:rFonts w:ascii="Garamond" w:hAnsi="Garamond" w:cs="Garamond"/>
          <w:b/>
          <w:bCs/>
          <w:i/>
          <w:iCs/>
          <w:w w:val="85"/>
          <w:sz w:val="24"/>
          <w:szCs w:val="24"/>
        </w:rPr>
      </w:pPr>
      <w:bookmarkStart w:id="165" w:name="PCC_Plan_Changes"/>
      <w:bookmarkEnd w:id="165"/>
      <w:r>
        <w:rPr>
          <w:rFonts w:ascii="Garamond" w:hAnsi="Garamond" w:cs="Garamond"/>
          <w:b/>
          <w:bCs/>
          <w:i/>
          <w:iCs/>
          <w:w w:val="85"/>
          <w:sz w:val="24"/>
          <w:szCs w:val="24"/>
        </w:rPr>
        <w:t>PCC</w:t>
      </w:r>
      <w:r w:rsidR="00CF30C1">
        <w:rPr>
          <w:rFonts w:ascii="Garamond" w:hAnsi="Garamond" w:cs="Garamond"/>
          <w:b/>
          <w:bCs/>
          <w:i/>
          <w:iCs/>
          <w:w w:val="85"/>
          <w:sz w:val="24"/>
          <w:szCs w:val="24"/>
        </w:rPr>
        <w:t xml:space="preserve"> P</w:t>
      </w:r>
      <w:r>
        <w:rPr>
          <w:rFonts w:ascii="Garamond" w:hAnsi="Garamond" w:cs="Garamond"/>
          <w:b/>
          <w:bCs/>
          <w:i/>
          <w:iCs/>
          <w:w w:val="85"/>
          <w:sz w:val="24"/>
          <w:szCs w:val="24"/>
        </w:rPr>
        <w:t>lan Changes</w:t>
      </w:r>
    </w:p>
    <w:p w:rsidR="002C5025" w:rsidRDefault="002C5025">
      <w:pPr>
        <w:pStyle w:val="BodyText"/>
        <w:kinsoku w:val="0"/>
        <w:overflowPunct w:val="0"/>
        <w:ind w:left="117" w:right="101" w:firstLine="2"/>
        <w:rPr>
          <w:rFonts w:ascii="Garamond" w:hAnsi="Garamond" w:cs="Garamond"/>
        </w:rPr>
      </w:pPr>
      <w:r>
        <w:rPr>
          <w:rFonts w:ascii="Garamond" w:hAnsi="Garamond" w:cs="Garamond"/>
        </w:rPr>
        <w:t xml:space="preserve">We understand that MassHealth is proposing changes to the PCC Plan in order to incentive members to enroll in a MCO </w:t>
      </w:r>
      <w:r>
        <w:rPr>
          <w:rFonts w:ascii="Garamond" w:hAnsi="Garamond" w:cs="Garamond"/>
          <w:spacing w:val="-3"/>
        </w:rPr>
        <w:t xml:space="preserve">and/or </w:t>
      </w:r>
      <w:r>
        <w:rPr>
          <w:rFonts w:ascii="Garamond" w:hAnsi="Garamond" w:cs="Garamond"/>
        </w:rPr>
        <w:t xml:space="preserve">one of the new ACO models. However, we believe the proposed </w:t>
      </w:r>
      <w:r>
        <w:rPr>
          <w:rFonts w:ascii="Garamond" w:hAnsi="Garamond" w:cs="Garamond"/>
          <w:spacing w:val="-3"/>
        </w:rPr>
        <w:t xml:space="preserve">policies </w:t>
      </w:r>
      <w:r>
        <w:rPr>
          <w:rFonts w:ascii="Garamond" w:hAnsi="Garamond" w:cs="Garamond"/>
        </w:rPr>
        <w:t xml:space="preserve">are punitive in nature and will impose barriers to care for members remaining in the </w:t>
      </w:r>
      <w:r>
        <w:rPr>
          <w:rFonts w:ascii="Garamond" w:hAnsi="Garamond" w:cs="Garamond"/>
          <w:spacing w:val="-2"/>
        </w:rPr>
        <w:t xml:space="preserve">PCC </w:t>
      </w:r>
      <w:r>
        <w:rPr>
          <w:rFonts w:ascii="Garamond" w:hAnsi="Garamond" w:cs="Garamond"/>
        </w:rPr>
        <w:t>Plan. MassHealth should not penalize</w:t>
      </w:r>
      <w:r>
        <w:rPr>
          <w:rFonts w:ascii="Garamond" w:hAnsi="Garamond" w:cs="Garamond"/>
          <w:spacing w:val="-4"/>
        </w:rPr>
        <w:t xml:space="preserve"> members </w:t>
      </w:r>
      <w:r>
        <w:rPr>
          <w:rFonts w:ascii="Garamond" w:hAnsi="Garamond" w:cs="Garamond"/>
        </w:rPr>
        <w:t xml:space="preserve">who do not choose to participate in an MCO or </w:t>
      </w:r>
      <w:r>
        <w:rPr>
          <w:rFonts w:ascii="Garamond" w:hAnsi="Garamond" w:cs="Garamond"/>
          <w:spacing w:val="-3"/>
        </w:rPr>
        <w:t xml:space="preserve">ACO. </w:t>
      </w:r>
      <w:r>
        <w:rPr>
          <w:rFonts w:ascii="Garamond" w:hAnsi="Garamond" w:cs="Garamond"/>
        </w:rPr>
        <w:t>This change is will</w:t>
      </w:r>
      <w:r>
        <w:rPr>
          <w:rFonts w:ascii="Garamond" w:hAnsi="Garamond" w:cs="Garamond"/>
          <w:spacing w:val="-3"/>
        </w:rPr>
        <w:t xml:space="preserve"> harm </w:t>
      </w:r>
      <w:r>
        <w:rPr>
          <w:rFonts w:ascii="Garamond" w:hAnsi="Garamond" w:cs="Garamond"/>
        </w:rPr>
        <w:t xml:space="preserve">low-income individuals who cannot afford the additional cost burden, and rely on </w:t>
      </w:r>
      <w:r>
        <w:rPr>
          <w:rFonts w:ascii="Garamond" w:hAnsi="Garamond" w:cs="Garamond"/>
          <w:spacing w:val="-3"/>
        </w:rPr>
        <w:t xml:space="preserve">providers only </w:t>
      </w:r>
      <w:r>
        <w:rPr>
          <w:rFonts w:ascii="Garamond" w:hAnsi="Garamond" w:cs="Garamond"/>
        </w:rPr>
        <w:t xml:space="preserve">available through the PCC Plan. We urge you to rescind the </w:t>
      </w:r>
      <w:r>
        <w:rPr>
          <w:rFonts w:ascii="Garamond" w:hAnsi="Garamond" w:cs="Garamond"/>
          <w:spacing w:val="-3"/>
        </w:rPr>
        <w:t xml:space="preserve">proposal </w:t>
      </w:r>
      <w:r>
        <w:rPr>
          <w:rFonts w:ascii="Garamond" w:hAnsi="Garamond" w:cs="Garamond"/>
        </w:rPr>
        <w:t xml:space="preserve">to reduce </w:t>
      </w:r>
      <w:r>
        <w:rPr>
          <w:rFonts w:ascii="Garamond" w:hAnsi="Garamond" w:cs="Garamond"/>
          <w:spacing w:val="-3"/>
        </w:rPr>
        <w:t xml:space="preserve">benefits </w:t>
      </w:r>
      <w:r>
        <w:rPr>
          <w:rFonts w:ascii="Garamond" w:hAnsi="Garamond" w:cs="Garamond"/>
        </w:rPr>
        <w:t>and increase copays for PCC Plan members.</w:t>
      </w:r>
    </w:p>
    <w:p w:rsidR="002C5025" w:rsidRDefault="002C5025">
      <w:pPr>
        <w:pStyle w:val="BodyText"/>
        <w:kinsoku w:val="0"/>
        <w:overflowPunct w:val="0"/>
        <w:spacing w:before="1"/>
        <w:rPr>
          <w:rFonts w:ascii="Garamond" w:hAnsi="Garamond" w:cs="Garamond"/>
        </w:rPr>
      </w:pPr>
    </w:p>
    <w:p w:rsidR="002C5025" w:rsidRDefault="002C5025">
      <w:pPr>
        <w:pStyle w:val="BodyText"/>
        <w:kinsoku w:val="0"/>
        <w:overflowPunct w:val="0"/>
        <w:ind w:left="116" w:right="46"/>
        <w:rPr>
          <w:rFonts w:ascii="Garamond" w:hAnsi="Garamond" w:cs="Garamond"/>
        </w:rPr>
      </w:pPr>
      <w:r>
        <w:rPr>
          <w:rFonts w:ascii="Garamond" w:hAnsi="Garamond" w:cs="Garamond"/>
        </w:rPr>
        <w:t xml:space="preserve">MassHealth MCOs provide good quality care and are </w:t>
      </w:r>
      <w:r>
        <w:rPr>
          <w:rFonts w:ascii="Garamond" w:hAnsi="Garamond" w:cs="Garamond"/>
          <w:spacing w:val="-3"/>
        </w:rPr>
        <w:t xml:space="preserve">the </w:t>
      </w:r>
      <w:r>
        <w:rPr>
          <w:rFonts w:ascii="Garamond" w:hAnsi="Garamond" w:cs="Garamond"/>
        </w:rPr>
        <w:t xml:space="preserve">right choice for many beneficiaries, but an MCO </w:t>
      </w:r>
      <w:r>
        <w:rPr>
          <w:rFonts w:ascii="Garamond" w:hAnsi="Garamond" w:cs="Garamond"/>
          <w:spacing w:val="-3"/>
        </w:rPr>
        <w:t xml:space="preserve">is </w:t>
      </w:r>
      <w:r>
        <w:rPr>
          <w:rFonts w:ascii="Garamond" w:hAnsi="Garamond" w:cs="Garamond"/>
        </w:rPr>
        <w:t xml:space="preserve">not the right choice for everyone. Most MassHealth MCOs’ provider networks exclude some providers who are still available in the PCC Plan. The PCC Plan and </w:t>
      </w:r>
      <w:r>
        <w:rPr>
          <w:rFonts w:ascii="Garamond" w:hAnsi="Garamond" w:cs="Garamond"/>
          <w:spacing w:val="-3"/>
        </w:rPr>
        <w:t xml:space="preserve">has </w:t>
      </w:r>
      <w:r>
        <w:rPr>
          <w:rFonts w:ascii="Garamond" w:hAnsi="Garamond" w:cs="Garamond"/>
        </w:rPr>
        <w:t>been a lifeline for medically complex patients, including people with disabilities. In fact, PCC Plan membership consists of a higher percentage of people with disabilities (17%) than MCO membership (8%).</w:t>
      </w:r>
      <w:r>
        <w:rPr>
          <w:rFonts w:ascii="Garamond" w:hAnsi="Garamond" w:cs="Garamond"/>
          <w:position w:val="5"/>
          <w:sz w:val="14"/>
          <w:szCs w:val="14"/>
        </w:rPr>
        <w:t xml:space="preserve">34 </w:t>
      </w:r>
      <w:r>
        <w:rPr>
          <w:rFonts w:ascii="Garamond" w:hAnsi="Garamond" w:cs="Garamond"/>
        </w:rPr>
        <w:t xml:space="preserve">For medically complex members, narrow provider networks and other restrictions inherent in the MassHealth MCOs may not meet their medical needs, will disrupt their ability to see the providers they know and trust, </w:t>
      </w:r>
      <w:r>
        <w:rPr>
          <w:rFonts w:ascii="Garamond" w:hAnsi="Garamond" w:cs="Garamond"/>
          <w:spacing w:val="-3"/>
        </w:rPr>
        <w:t xml:space="preserve">and </w:t>
      </w:r>
      <w:r>
        <w:rPr>
          <w:rFonts w:ascii="Garamond" w:hAnsi="Garamond" w:cs="Garamond"/>
        </w:rPr>
        <w:t xml:space="preserve">may impact their health. For example, </w:t>
      </w:r>
      <w:r>
        <w:rPr>
          <w:rFonts w:ascii="Garamond" w:hAnsi="Garamond" w:cs="Garamond"/>
          <w:spacing w:val="-3"/>
        </w:rPr>
        <w:t xml:space="preserve">under </w:t>
      </w:r>
      <w:r>
        <w:rPr>
          <w:rFonts w:ascii="Garamond" w:hAnsi="Garamond" w:cs="Garamond"/>
        </w:rPr>
        <w:t xml:space="preserve">the proposed change, a disabled child may have to </w:t>
      </w:r>
      <w:r>
        <w:rPr>
          <w:rFonts w:ascii="Garamond" w:hAnsi="Garamond" w:cs="Garamond"/>
          <w:spacing w:val="-3"/>
        </w:rPr>
        <w:t xml:space="preserve">forego </w:t>
      </w:r>
      <w:r>
        <w:rPr>
          <w:rFonts w:ascii="Garamond" w:hAnsi="Garamond" w:cs="Garamond"/>
        </w:rPr>
        <w:t xml:space="preserve">eyeglasses in order to maintain a relationship with the medical specialists the child needs given the limited </w:t>
      </w:r>
      <w:r>
        <w:rPr>
          <w:rFonts w:ascii="Garamond" w:hAnsi="Garamond" w:cs="Garamond"/>
          <w:spacing w:val="-3"/>
        </w:rPr>
        <w:t xml:space="preserve">access </w:t>
      </w:r>
      <w:r>
        <w:rPr>
          <w:rFonts w:ascii="Garamond" w:hAnsi="Garamond" w:cs="Garamond"/>
        </w:rPr>
        <w:t xml:space="preserve">to certain specialty </w:t>
      </w:r>
      <w:r>
        <w:rPr>
          <w:rFonts w:ascii="Garamond" w:hAnsi="Garamond" w:cs="Garamond"/>
          <w:spacing w:val="-3"/>
        </w:rPr>
        <w:t xml:space="preserve">hospitals </w:t>
      </w:r>
      <w:r>
        <w:rPr>
          <w:rFonts w:ascii="Garamond" w:hAnsi="Garamond" w:cs="Garamond"/>
        </w:rPr>
        <w:t xml:space="preserve">in the </w:t>
      </w:r>
      <w:r>
        <w:rPr>
          <w:rFonts w:ascii="Garamond" w:hAnsi="Garamond" w:cs="Garamond"/>
          <w:spacing w:val="-3"/>
        </w:rPr>
        <w:t xml:space="preserve">MCOs </w:t>
      </w:r>
      <w:r>
        <w:rPr>
          <w:rFonts w:ascii="Garamond" w:hAnsi="Garamond" w:cs="Garamond"/>
        </w:rPr>
        <w:t>compared to the PCC Plan.</w:t>
      </w:r>
    </w:p>
    <w:p w:rsidR="002C5025" w:rsidRDefault="002C5025">
      <w:pPr>
        <w:pStyle w:val="BodyText"/>
        <w:kinsoku w:val="0"/>
        <w:overflowPunct w:val="0"/>
        <w:spacing w:before="10"/>
        <w:rPr>
          <w:rFonts w:ascii="Garamond" w:hAnsi="Garamond" w:cs="Garamond"/>
          <w:sz w:val="21"/>
          <w:szCs w:val="21"/>
        </w:rPr>
      </w:pPr>
    </w:p>
    <w:p w:rsidR="002C5025" w:rsidRDefault="002C5025">
      <w:pPr>
        <w:pStyle w:val="BodyText"/>
        <w:kinsoku w:val="0"/>
        <w:overflowPunct w:val="0"/>
        <w:ind w:left="119" w:right="391"/>
        <w:rPr>
          <w:rFonts w:ascii="Garamond" w:hAnsi="Garamond" w:cs="Garamond"/>
        </w:rPr>
      </w:pPr>
      <w:r>
        <w:rPr>
          <w:rFonts w:ascii="Garamond" w:hAnsi="Garamond" w:cs="Garamond"/>
        </w:rPr>
        <w:t xml:space="preserve">In addition, the PCC Plan </w:t>
      </w:r>
      <w:r>
        <w:rPr>
          <w:rFonts w:ascii="Garamond" w:hAnsi="Garamond" w:cs="Garamond"/>
          <w:spacing w:val="-3"/>
        </w:rPr>
        <w:t xml:space="preserve">has </w:t>
      </w:r>
      <w:r>
        <w:rPr>
          <w:rFonts w:ascii="Garamond" w:hAnsi="Garamond" w:cs="Garamond"/>
        </w:rPr>
        <w:t xml:space="preserve">initiated many innovative programs for </w:t>
      </w:r>
      <w:r>
        <w:rPr>
          <w:rFonts w:ascii="Garamond" w:hAnsi="Garamond" w:cs="Garamond"/>
          <w:spacing w:val="-3"/>
        </w:rPr>
        <w:t xml:space="preserve">people </w:t>
      </w:r>
      <w:r>
        <w:rPr>
          <w:rFonts w:ascii="Garamond" w:hAnsi="Garamond" w:cs="Garamond"/>
        </w:rPr>
        <w:t>with complex medical needs including:</w:t>
      </w:r>
    </w:p>
    <w:p w:rsidR="002C5025" w:rsidRDefault="002C5025">
      <w:pPr>
        <w:pStyle w:val="ListParagraph"/>
        <w:numPr>
          <w:ilvl w:val="2"/>
          <w:numId w:val="49"/>
        </w:numPr>
        <w:tabs>
          <w:tab w:val="left" w:pos="840"/>
        </w:tabs>
        <w:kinsoku w:val="0"/>
        <w:overflowPunct w:val="0"/>
        <w:spacing w:line="242" w:lineRule="auto"/>
        <w:ind w:left="839" w:right="509" w:hanging="360"/>
        <w:rPr>
          <w:rFonts w:ascii="Garamond" w:hAnsi="Garamond" w:cs="Garamond"/>
          <w:sz w:val="22"/>
          <w:szCs w:val="22"/>
        </w:rPr>
      </w:pPr>
      <w:r>
        <w:rPr>
          <w:rFonts w:ascii="Garamond" w:hAnsi="Garamond" w:cs="Garamond"/>
          <w:sz w:val="22"/>
          <w:szCs w:val="22"/>
        </w:rPr>
        <w:t>A</w:t>
      </w:r>
      <w:r>
        <w:rPr>
          <w:rFonts w:ascii="Garamond" w:hAnsi="Garamond" w:cs="Garamond"/>
          <w:spacing w:val="-8"/>
          <w:sz w:val="22"/>
          <w:szCs w:val="22"/>
        </w:rPr>
        <w:t xml:space="preserve"> </w:t>
      </w:r>
      <w:r>
        <w:rPr>
          <w:rFonts w:ascii="Garamond" w:hAnsi="Garamond" w:cs="Garamond"/>
          <w:sz w:val="22"/>
          <w:szCs w:val="22"/>
        </w:rPr>
        <w:t>program</w:t>
      </w:r>
      <w:r>
        <w:rPr>
          <w:rFonts w:ascii="Garamond" w:hAnsi="Garamond" w:cs="Garamond"/>
          <w:spacing w:val="-12"/>
          <w:sz w:val="22"/>
          <w:szCs w:val="22"/>
        </w:rPr>
        <w:t xml:space="preserve"> </w:t>
      </w:r>
      <w:r>
        <w:rPr>
          <w:rFonts w:ascii="Garamond" w:hAnsi="Garamond" w:cs="Garamond"/>
          <w:sz w:val="22"/>
          <w:szCs w:val="22"/>
        </w:rPr>
        <w:t>for</w:t>
      </w:r>
      <w:r>
        <w:rPr>
          <w:rFonts w:ascii="Garamond" w:hAnsi="Garamond" w:cs="Garamond"/>
          <w:spacing w:val="-9"/>
          <w:sz w:val="22"/>
          <w:szCs w:val="22"/>
        </w:rPr>
        <w:t xml:space="preserve"> </w:t>
      </w:r>
      <w:r>
        <w:rPr>
          <w:rFonts w:ascii="Garamond" w:hAnsi="Garamond" w:cs="Garamond"/>
          <w:sz w:val="22"/>
          <w:szCs w:val="22"/>
        </w:rPr>
        <w:t>housing</w:t>
      </w:r>
      <w:r>
        <w:rPr>
          <w:rFonts w:ascii="Garamond" w:hAnsi="Garamond" w:cs="Garamond"/>
          <w:spacing w:val="-10"/>
          <w:sz w:val="22"/>
          <w:szCs w:val="22"/>
        </w:rPr>
        <w:t xml:space="preserve"> </w:t>
      </w:r>
      <w:r>
        <w:rPr>
          <w:rFonts w:ascii="Garamond" w:hAnsi="Garamond" w:cs="Garamond"/>
          <w:sz w:val="22"/>
          <w:szCs w:val="22"/>
        </w:rPr>
        <w:t>support</w:t>
      </w:r>
      <w:r>
        <w:rPr>
          <w:rFonts w:ascii="Garamond" w:hAnsi="Garamond" w:cs="Garamond"/>
          <w:spacing w:val="-12"/>
          <w:sz w:val="22"/>
          <w:szCs w:val="22"/>
        </w:rPr>
        <w:t xml:space="preserve"> </w:t>
      </w:r>
      <w:r>
        <w:rPr>
          <w:rFonts w:ascii="Garamond" w:hAnsi="Garamond" w:cs="Garamond"/>
          <w:sz w:val="22"/>
          <w:szCs w:val="22"/>
        </w:rPr>
        <w:t>services</w:t>
      </w:r>
      <w:r>
        <w:rPr>
          <w:rFonts w:ascii="Garamond" w:hAnsi="Garamond" w:cs="Garamond"/>
          <w:spacing w:val="-11"/>
          <w:sz w:val="22"/>
          <w:szCs w:val="22"/>
        </w:rPr>
        <w:t xml:space="preserve"> </w:t>
      </w:r>
      <w:r>
        <w:rPr>
          <w:rFonts w:ascii="Garamond" w:hAnsi="Garamond" w:cs="Garamond"/>
          <w:sz w:val="22"/>
          <w:szCs w:val="22"/>
        </w:rPr>
        <w:t>for</w:t>
      </w:r>
      <w:r>
        <w:rPr>
          <w:rFonts w:ascii="Garamond" w:hAnsi="Garamond" w:cs="Garamond"/>
          <w:spacing w:val="-6"/>
          <w:sz w:val="22"/>
          <w:szCs w:val="22"/>
        </w:rPr>
        <w:t xml:space="preserve"> </w:t>
      </w:r>
      <w:r>
        <w:rPr>
          <w:rFonts w:ascii="Garamond" w:hAnsi="Garamond" w:cs="Garamond"/>
          <w:sz w:val="22"/>
          <w:szCs w:val="22"/>
        </w:rPr>
        <w:t>chronically</w:t>
      </w:r>
      <w:r>
        <w:rPr>
          <w:rFonts w:ascii="Garamond" w:hAnsi="Garamond" w:cs="Garamond"/>
          <w:spacing w:val="-10"/>
          <w:sz w:val="22"/>
          <w:szCs w:val="22"/>
        </w:rPr>
        <w:t xml:space="preserve"> </w:t>
      </w:r>
      <w:r>
        <w:rPr>
          <w:rFonts w:ascii="Garamond" w:hAnsi="Garamond" w:cs="Garamond"/>
          <w:sz w:val="22"/>
          <w:szCs w:val="22"/>
        </w:rPr>
        <w:t>ill</w:t>
      </w:r>
      <w:r>
        <w:rPr>
          <w:rFonts w:ascii="Garamond" w:hAnsi="Garamond" w:cs="Garamond"/>
          <w:spacing w:val="-10"/>
          <w:sz w:val="22"/>
          <w:szCs w:val="22"/>
        </w:rPr>
        <w:t xml:space="preserve"> </w:t>
      </w:r>
      <w:r>
        <w:rPr>
          <w:rFonts w:ascii="Garamond" w:hAnsi="Garamond" w:cs="Garamond"/>
          <w:sz w:val="22"/>
          <w:szCs w:val="22"/>
        </w:rPr>
        <w:t>and</w:t>
      </w:r>
      <w:r>
        <w:rPr>
          <w:rFonts w:ascii="Garamond" w:hAnsi="Garamond" w:cs="Garamond"/>
          <w:spacing w:val="-9"/>
          <w:sz w:val="22"/>
          <w:szCs w:val="22"/>
        </w:rPr>
        <w:t xml:space="preserve"> </w:t>
      </w:r>
      <w:r>
        <w:rPr>
          <w:rFonts w:ascii="Garamond" w:hAnsi="Garamond" w:cs="Garamond"/>
          <w:sz w:val="22"/>
          <w:szCs w:val="22"/>
        </w:rPr>
        <w:t>homeless</w:t>
      </w:r>
      <w:r>
        <w:rPr>
          <w:rFonts w:ascii="Garamond" w:hAnsi="Garamond" w:cs="Garamond"/>
          <w:spacing w:val="-6"/>
          <w:sz w:val="22"/>
          <w:szCs w:val="22"/>
        </w:rPr>
        <w:t xml:space="preserve"> </w:t>
      </w:r>
      <w:r>
        <w:rPr>
          <w:rFonts w:ascii="Garamond" w:hAnsi="Garamond" w:cs="Garamond"/>
          <w:sz w:val="22"/>
          <w:szCs w:val="22"/>
        </w:rPr>
        <w:t>individuals</w:t>
      </w:r>
      <w:r>
        <w:rPr>
          <w:rFonts w:ascii="Garamond" w:hAnsi="Garamond" w:cs="Garamond"/>
          <w:spacing w:val="-6"/>
          <w:sz w:val="22"/>
          <w:szCs w:val="22"/>
        </w:rPr>
        <w:t xml:space="preserve"> </w:t>
      </w:r>
      <w:r>
        <w:rPr>
          <w:rFonts w:ascii="Garamond" w:hAnsi="Garamond" w:cs="Garamond"/>
          <w:sz w:val="22"/>
          <w:szCs w:val="22"/>
        </w:rPr>
        <w:t>that</w:t>
      </w:r>
      <w:r>
        <w:rPr>
          <w:rFonts w:ascii="Garamond" w:hAnsi="Garamond" w:cs="Garamond"/>
          <w:spacing w:val="-9"/>
          <w:sz w:val="22"/>
          <w:szCs w:val="22"/>
        </w:rPr>
        <w:t xml:space="preserve"> </w:t>
      </w:r>
      <w:r>
        <w:rPr>
          <w:rFonts w:ascii="Garamond" w:hAnsi="Garamond" w:cs="Garamond"/>
          <w:sz w:val="22"/>
          <w:szCs w:val="22"/>
        </w:rPr>
        <w:t>has</w:t>
      </w:r>
      <w:r>
        <w:rPr>
          <w:rFonts w:ascii="Garamond" w:hAnsi="Garamond" w:cs="Garamond"/>
          <w:spacing w:val="-6"/>
          <w:sz w:val="22"/>
          <w:szCs w:val="22"/>
        </w:rPr>
        <w:t xml:space="preserve"> </w:t>
      </w:r>
      <w:r>
        <w:rPr>
          <w:rFonts w:ascii="Garamond" w:hAnsi="Garamond" w:cs="Garamond"/>
          <w:sz w:val="22"/>
          <w:szCs w:val="22"/>
        </w:rPr>
        <w:t xml:space="preserve">now been extended to the </w:t>
      </w:r>
      <w:r>
        <w:rPr>
          <w:rFonts w:ascii="Garamond" w:hAnsi="Garamond" w:cs="Garamond"/>
          <w:spacing w:val="-3"/>
          <w:sz w:val="22"/>
          <w:szCs w:val="22"/>
        </w:rPr>
        <w:t>MCOs</w:t>
      </w:r>
      <w:r>
        <w:rPr>
          <w:rFonts w:ascii="Garamond" w:hAnsi="Garamond" w:cs="Garamond"/>
          <w:spacing w:val="-33"/>
          <w:sz w:val="22"/>
          <w:szCs w:val="22"/>
        </w:rPr>
        <w:t xml:space="preserve"> </w:t>
      </w:r>
      <w:r>
        <w:rPr>
          <w:rFonts w:ascii="Garamond" w:hAnsi="Garamond" w:cs="Garamond"/>
          <w:sz w:val="22"/>
          <w:szCs w:val="22"/>
        </w:rPr>
        <w:t>(CSPECH);</w:t>
      </w:r>
    </w:p>
    <w:p w:rsidR="002C5025" w:rsidRDefault="002C5025">
      <w:pPr>
        <w:pStyle w:val="ListParagraph"/>
        <w:numPr>
          <w:ilvl w:val="2"/>
          <w:numId w:val="49"/>
        </w:numPr>
        <w:tabs>
          <w:tab w:val="left" w:pos="840"/>
        </w:tabs>
        <w:kinsoku w:val="0"/>
        <w:overflowPunct w:val="0"/>
        <w:spacing w:line="242" w:lineRule="auto"/>
        <w:ind w:right="464" w:hanging="359"/>
        <w:rPr>
          <w:rFonts w:ascii="Garamond" w:hAnsi="Garamond" w:cs="Garamond"/>
          <w:sz w:val="22"/>
          <w:szCs w:val="22"/>
        </w:rPr>
      </w:pPr>
      <w:r>
        <w:rPr>
          <w:rFonts w:ascii="Garamond" w:hAnsi="Garamond" w:cs="Garamond"/>
          <w:sz w:val="22"/>
          <w:szCs w:val="22"/>
        </w:rPr>
        <w:t>Recovery</w:t>
      </w:r>
      <w:r>
        <w:rPr>
          <w:rFonts w:ascii="Garamond" w:hAnsi="Garamond" w:cs="Garamond"/>
          <w:spacing w:val="-8"/>
          <w:sz w:val="22"/>
          <w:szCs w:val="22"/>
        </w:rPr>
        <w:t xml:space="preserve"> </w:t>
      </w:r>
      <w:r>
        <w:rPr>
          <w:rFonts w:ascii="Garamond" w:hAnsi="Garamond" w:cs="Garamond"/>
          <w:sz w:val="22"/>
          <w:szCs w:val="22"/>
        </w:rPr>
        <w:t>peer</w:t>
      </w:r>
      <w:r>
        <w:rPr>
          <w:rFonts w:ascii="Garamond" w:hAnsi="Garamond" w:cs="Garamond"/>
          <w:spacing w:val="-6"/>
          <w:sz w:val="22"/>
          <w:szCs w:val="22"/>
        </w:rPr>
        <w:t xml:space="preserve"> </w:t>
      </w:r>
      <w:r>
        <w:rPr>
          <w:rFonts w:ascii="Garamond" w:hAnsi="Garamond" w:cs="Garamond"/>
          <w:sz w:val="22"/>
          <w:szCs w:val="22"/>
        </w:rPr>
        <w:t>navigators</w:t>
      </w:r>
      <w:r>
        <w:rPr>
          <w:rFonts w:ascii="Garamond" w:hAnsi="Garamond" w:cs="Garamond"/>
          <w:spacing w:val="-8"/>
          <w:sz w:val="22"/>
          <w:szCs w:val="22"/>
        </w:rPr>
        <w:t xml:space="preserve"> </w:t>
      </w:r>
      <w:r>
        <w:rPr>
          <w:rFonts w:ascii="Garamond" w:hAnsi="Garamond" w:cs="Garamond"/>
          <w:sz w:val="22"/>
          <w:szCs w:val="22"/>
        </w:rPr>
        <w:t>for</w:t>
      </w:r>
      <w:r>
        <w:rPr>
          <w:rFonts w:ascii="Garamond" w:hAnsi="Garamond" w:cs="Garamond"/>
          <w:spacing w:val="-6"/>
          <w:sz w:val="22"/>
          <w:szCs w:val="22"/>
        </w:rPr>
        <w:t xml:space="preserve"> </w:t>
      </w:r>
      <w:r>
        <w:rPr>
          <w:rFonts w:ascii="Garamond" w:hAnsi="Garamond" w:cs="Garamond"/>
          <w:sz w:val="22"/>
          <w:szCs w:val="22"/>
        </w:rPr>
        <w:t>repeated</w:t>
      </w:r>
      <w:r>
        <w:rPr>
          <w:rFonts w:ascii="Garamond" w:hAnsi="Garamond" w:cs="Garamond"/>
          <w:spacing w:val="-7"/>
          <w:sz w:val="22"/>
          <w:szCs w:val="22"/>
        </w:rPr>
        <w:t xml:space="preserve"> </w:t>
      </w:r>
      <w:r>
        <w:rPr>
          <w:rFonts w:ascii="Garamond" w:hAnsi="Garamond" w:cs="Garamond"/>
          <w:sz w:val="22"/>
          <w:szCs w:val="22"/>
        </w:rPr>
        <w:t>users</w:t>
      </w:r>
      <w:r>
        <w:rPr>
          <w:rFonts w:ascii="Garamond" w:hAnsi="Garamond" w:cs="Garamond"/>
          <w:spacing w:val="-6"/>
          <w:sz w:val="22"/>
          <w:szCs w:val="22"/>
        </w:rPr>
        <w:t xml:space="preserve"> </w:t>
      </w:r>
      <w:r>
        <w:rPr>
          <w:rFonts w:ascii="Garamond" w:hAnsi="Garamond" w:cs="Garamond"/>
          <w:sz w:val="22"/>
          <w:szCs w:val="22"/>
        </w:rPr>
        <w:t>of</w:t>
      </w:r>
      <w:r>
        <w:rPr>
          <w:rFonts w:ascii="Garamond" w:hAnsi="Garamond" w:cs="Garamond"/>
          <w:spacing w:val="-6"/>
          <w:sz w:val="22"/>
          <w:szCs w:val="22"/>
        </w:rPr>
        <w:t xml:space="preserve"> </w:t>
      </w:r>
      <w:r>
        <w:rPr>
          <w:rFonts w:ascii="Garamond" w:hAnsi="Garamond" w:cs="Garamond"/>
          <w:sz w:val="22"/>
          <w:szCs w:val="22"/>
        </w:rPr>
        <w:t>detox</w:t>
      </w:r>
      <w:r>
        <w:rPr>
          <w:rFonts w:ascii="Garamond" w:hAnsi="Garamond" w:cs="Garamond"/>
          <w:spacing w:val="-7"/>
          <w:sz w:val="22"/>
          <w:szCs w:val="22"/>
        </w:rPr>
        <w:t xml:space="preserve"> </w:t>
      </w:r>
      <w:r>
        <w:rPr>
          <w:rFonts w:ascii="Garamond" w:hAnsi="Garamond" w:cs="Garamond"/>
          <w:sz w:val="22"/>
          <w:szCs w:val="22"/>
        </w:rPr>
        <w:t>services</w:t>
      </w:r>
      <w:r>
        <w:rPr>
          <w:rFonts w:ascii="Garamond" w:hAnsi="Garamond" w:cs="Garamond"/>
          <w:spacing w:val="-4"/>
          <w:sz w:val="22"/>
          <w:szCs w:val="22"/>
        </w:rPr>
        <w:t xml:space="preserve"> </w:t>
      </w:r>
      <w:r>
        <w:rPr>
          <w:rFonts w:ascii="Garamond" w:hAnsi="Garamond" w:cs="Garamond"/>
          <w:sz w:val="22"/>
          <w:szCs w:val="22"/>
        </w:rPr>
        <w:t>through</w:t>
      </w:r>
      <w:r>
        <w:rPr>
          <w:rFonts w:ascii="Garamond" w:hAnsi="Garamond" w:cs="Garamond"/>
          <w:spacing w:val="-5"/>
          <w:sz w:val="22"/>
          <w:szCs w:val="22"/>
        </w:rPr>
        <w:t xml:space="preserve"> </w:t>
      </w:r>
      <w:r>
        <w:rPr>
          <w:rFonts w:ascii="Garamond" w:hAnsi="Garamond" w:cs="Garamond"/>
          <w:sz w:val="22"/>
          <w:szCs w:val="22"/>
        </w:rPr>
        <w:t>a</w:t>
      </w:r>
      <w:r>
        <w:rPr>
          <w:rFonts w:ascii="Garamond" w:hAnsi="Garamond" w:cs="Garamond"/>
          <w:spacing w:val="-5"/>
          <w:sz w:val="22"/>
          <w:szCs w:val="22"/>
        </w:rPr>
        <w:t xml:space="preserve"> </w:t>
      </w:r>
      <w:r>
        <w:rPr>
          <w:rFonts w:ascii="Garamond" w:hAnsi="Garamond" w:cs="Garamond"/>
          <w:spacing w:val="-2"/>
          <w:sz w:val="22"/>
          <w:szCs w:val="22"/>
        </w:rPr>
        <w:t>CMS</w:t>
      </w:r>
      <w:r>
        <w:rPr>
          <w:rFonts w:ascii="Garamond" w:hAnsi="Garamond" w:cs="Garamond"/>
          <w:spacing w:val="-7"/>
          <w:sz w:val="22"/>
          <w:szCs w:val="22"/>
        </w:rPr>
        <w:t xml:space="preserve"> </w:t>
      </w:r>
      <w:r>
        <w:rPr>
          <w:rFonts w:ascii="Garamond" w:hAnsi="Garamond" w:cs="Garamond"/>
          <w:sz w:val="22"/>
          <w:szCs w:val="22"/>
        </w:rPr>
        <w:t>Health</w:t>
      </w:r>
      <w:r>
        <w:rPr>
          <w:rFonts w:ascii="Garamond" w:hAnsi="Garamond" w:cs="Garamond"/>
          <w:spacing w:val="-6"/>
          <w:sz w:val="22"/>
          <w:szCs w:val="22"/>
        </w:rPr>
        <w:t xml:space="preserve"> </w:t>
      </w:r>
      <w:r>
        <w:rPr>
          <w:rFonts w:ascii="Garamond" w:hAnsi="Garamond" w:cs="Garamond"/>
          <w:spacing w:val="-4"/>
          <w:sz w:val="22"/>
          <w:szCs w:val="22"/>
        </w:rPr>
        <w:t xml:space="preserve">Innovations </w:t>
      </w:r>
      <w:r>
        <w:rPr>
          <w:rFonts w:ascii="Garamond" w:hAnsi="Garamond" w:cs="Garamond"/>
          <w:sz w:val="22"/>
          <w:szCs w:val="22"/>
        </w:rPr>
        <w:t>Award;</w:t>
      </w:r>
      <w:r>
        <w:rPr>
          <w:rFonts w:ascii="Garamond" w:hAnsi="Garamond" w:cs="Garamond"/>
          <w:spacing w:val="-11"/>
          <w:sz w:val="22"/>
          <w:szCs w:val="22"/>
        </w:rPr>
        <w:t xml:space="preserve"> </w:t>
      </w:r>
      <w:r>
        <w:rPr>
          <w:rFonts w:ascii="Garamond" w:hAnsi="Garamond" w:cs="Garamond"/>
          <w:sz w:val="22"/>
          <w:szCs w:val="22"/>
        </w:rPr>
        <w:t>and</w:t>
      </w:r>
    </w:p>
    <w:p w:rsidR="002C5025" w:rsidRDefault="002C5025">
      <w:pPr>
        <w:pStyle w:val="ListParagraph"/>
        <w:numPr>
          <w:ilvl w:val="2"/>
          <w:numId w:val="49"/>
        </w:numPr>
        <w:tabs>
          <w:tab w:val="left" w:pos="839"/>
        </w:tabs>
        <w:kinsoku w:val="0"/>
        <w:overflowPunct w:val="0"/>
        <w:spacing w:line="242" w:lineRule="auto"/>
        <w:ind w:right="187" w:hanging="360"/>
        <w:rPr>
          <w:rFonts w:ascii="Garamond" w:hAnsi="Garamond" w:cs="Garamond"/>
          <w:sz w:val="22"/>
          <w:szCs w:val="22"/>
        </w:rPr>
      </w:pPr>
      <w:r>
        <w:rPr>
          <w:rFonts w:ascii="Garamond" w:hAnsi="Garamond" w:cs="Garamond"/>
          <w:sz w:val="22"/>
          <w:szCs w:val="22"/>
        </w:rPr>
        <w:t>An</w:t>
      </w:r>
      <w:r>
        <w:rPr>
          <w:rFonts w:ascii="Garamond" w:hAnsi="Garamond" w:cs="Garamond"/>
          <w:spacing w:val="-8"/>
          <w:sz w:val="22"/>
          <w:szCs w:val="22"/>
        </w:rPr>
        <w:t xml:space="preserve"> </w:t>
      </w:r>
      <w:r>
        <w:rPr>
          <w:rFonts w:ascii="Garamond" w:hAnsi="Garamond" w:cs="Garamond"/>
          <w:sz w:val="22"/>
          <w:szCs w:val="22"/>
        </w:rPr>
        <w:t>Integrated</w:t>
      </w:r>
      <w:r>
        <w:rPr>
          <w:rFonts w:ascii="Garamond" w:hAnsi="Garamond" w:cs="Garamond"/>
          <w:spacing w:val="-10"/>
          <w:sz w:val="22"/>
          <w:szCs w:val="22"/>
        </w:rPr>
        <w:t xml:space="preserve"> </w:t>
      </w:r>
      <w:r>
        <w:rPr>
          <w:rFonts w:ascii="Garamond" w:hAnsi="Garamond" w:cs="Garamond"/>
          <w:sz w:val="22"/>
          <w:szCs w:val="22"/>
        </w:rPr>
        <w:t>Care</w:t>
      </w:r>
      <w:r>
        <w:rPr>
          <w:rFonts w:ascii="Garamond" w:hAnsi="Garamond" w:cs="Garamond"/>
          <w:spacing w:val="-8"/>
          <w:sz w:val="22"/>
          <w:szCs w:val="22"/>
        </w:rPr>
        <w:t xml:space="preserve"> </w:t>
      </w:r>
      <w:r>
        <w:rPr>
          <w:rFonts w:ascii="Garamond" w:hAnsi="Garamond" w:cs="Garamond"/>
          <w:spacing w:val="-3"/>
          <w:sz w:val="22"/>
          <w:szCs w:val="22"/>
        </w:rPr>
        <w:t>Management</w:t>
      </w:r>
      <w:r>
        <w:rPr>
          <w:rFonts w:ascii="Garamond" w:hAnsi="Garamond" w:cs="Garamond"/>
          <w:spacing w:val="-7"/>
          <w:sz w:val="22"/>
          <w:szCs w:val="22"/>
        </w:rPr>
        <w:t xml:space="preserve"> </w:t>
      </w:r>
      <w:r>
        <w:rPr>
          <w:rFonts w:ascii="Garamond" w:hAnsi="Garamond" w:cs="Garamond"/>
          <w:sz w:val="22"/>
          <w:szCs w:val="22"/>
        </w:rPr>
        <w:t>program</w:t>
      </w:r>
      <w:r>
        <w:rPr>
          <w:rFonts w:ascii="Garamond" w:hAnsi="Garamond" w:cs="Garamond"/>
          <w:spacing w:val="-10"/>
          <w:sz w:val="22"/>
          <w:szCs w:val="22"/>
        </w:rPr>
        <w:t xml:space="preserve"> </w:t>
      </w:r>
      <w:r>
        <w:rPr>
          <w:rFonts w:ascii="Garamond" w:hAnsi="Garamond" w:cs="Garamond"/>
          <w:sz w:val="22"/>
          <w:szCs w:val="22"/>
        </w:rPr>
        <w:t>for</w:t>
      </w:r>
      <w:r>
        <w:rPr>
          <w:rFonts w:ascii="Garamond" w:hAnsi="Garamond" w:cs="Garamond"/>
          <w:spacing w:val="-7"/>
          <w:sz w:val="22"/>
          <w:szCs w:val="22"/>
        </w:rPr>
        <w:t xml:space="preserve"> </w:t>
      </w:r>
      <w:r>
        <w:rPr>
          <w:rFonts w:ascii="Garamond" w:hAnsi="Garamond" w:cs="Garamond"/>
          <w:sz w:val="22"/>
          <w:szCs w:val="22"/>
        </w:rPr>
        <w:t>members</w:t>
      </w:r>
      <w:r>
        <w:rPr>
          <w:rFonts w:ascii="Garamond" w:hAnsi="Garamond" w:cs="Garamond"/>
          <w:spacing w:val="-9"/>
          <w:sz w:val="22"/>
          <w:szCs w:val="22"/>
        </w:rPr>
        <w:t xml:space="preserve"> </w:t>
      </w:r>
      <w:r>
        <w:rPr>
          <w:rFonts w:ascii="Garamond" w:hAnsi="Garamond" w:cs="Garamond"/>
          <w:sz w:val="22"/>
          <w:szCs w:val="22"/>
        </w:rPr>
        <w:t>with</w:t>
      </w:r>
      <w:r>
        <w:rPr>
          <w:rFonts w:ascii="Garamond" w:hAnsi="Garamond" w:cs="Garamond"/>
          <w:spacing w:val="-5"/>
          <w:sz w:val="22"/>
          <w:szCs w:val="22"/>
        </w:rPr>
        <w:t xml:space="preserve"> </w:t>
      </w:r>
      <w:r>
        <w:rPr>
          <w:rFonts w:ascii="Garamond" w:hAnsi="Garamond" w:cs="Garamond"/>
          <w:sz w:val="22"/>
          <w:szCs w:val="22"/>
        </w:rPr>
        <w:t>complex</w:t>
      </w:r>
      <w:r>
        <w:rPr>
          <w:rFonts w:ascii="Garamond" w:hAnsi="Garamond" w:cs="Garamond"/>
          <w:spacing w:val="-11"/>
          <w:sz w:val="22"/>
          <w:szCs w:val="22"/>
        </w:rPr>
        <w:t xml:space="preserve"> </w:t>
      </w:r>
      <w:r>
        <w:rPr>
          <w:rFonts w:ascii="Garamond" w:hAnsi="Garamond" w:cs="Garamond"/>
          <w:sz w:val="22"/>
          <w:szCs w:val="22"/>
        </w:rPr>
        <w:t>medical,</w:t>
      </w:r>
      <w:r>
        <w:rPr>
          <w:rFonts w:ascii="Garamond" w:hAnsi="Garamond" w:cs="Garamond"/>
          <w:spacing w:val="-8"/>
          <w:sz w:val="22"/>
          <w:szCs w:val="22"/>
        </w:rPr>
        <w:t xml:space="preserve"> </w:t>
      </w:r>
      <w:r>
        <w:rPr>
          <w:rFonts w:ascii="Garamond" w:hAnsi="Garamond" w:cs="Garamond"/>
          <w:sz w:val="22"/>
          <w:szCs w:val="22"/>
        </w:rPr>
        <w:t>mental</w:t>
      </w:r>
      <w:r>
        <w:rPr>
          <w:rFonts w:ascii="Garamond" w:hAnsi="Garamond" w:cs="Garamond"/>
          <w:spacing w:val="-5"/>
          <w:sz w:val="22"/>
          <w:szCs w:val="22"/>
        </w:rPr>
        <w:t xml:space="preserve"> </w:t>
      </w:r>
      <w:r>
        <w:rPr>
          <w:rFonts w:ascii="Garamond" w:hAnsi="Garamond" w:cs="Garamond"/>
          <w:sz w:val="22"/>
          <w:szCs w:val="22"/>
        </w:rPr>
        <w:t>health</w:t>
      </w:r>
      <w:r>
        <w:rPr>
          <w:rFonts w:ascii="Garamond" w:hAnsi="Garamond" w:cs="Garamond"/>
          <w:spacing w:val="-7"/>
          <w:sz w:val="22"/>
          <w:szCs w:val="22"/>
        </w:rPr>
        <w:t xml:space="preserve"> </w:t>
      </w:r>
      <w:r>
        <w:rPr>
          <w:rFonts w:ascii="Garamond" w:hAnsi="Garamond" w:cs="Garamond"/>
          <w:spacing w:val="-3"/>
          <w:sz w:val="22"/>
          <w:szCs w:val="22"/>
        </w:rPr>
        <w:t xml:space="preserve">and/or </w:t>
      </w:r>
      <w:r>
        <w:rPr>
          <w:rFonts w:ascii="Garamond" w:hAnsi="Garamond" w:cs="Garamond"/>
          <w:sz w:val="22"/>
          <w:szCs w:val="22"/>
        </w:rPr>
        <w:t>substance use</w:t>
      </w:r>
      <w:r>
        <w:rPr>
          <w:rFonts w:ascii="Garamond" w:hAnsi="Garamond" w:cs="Garamond"/>
          <w:spacing w:val="-26"/>
          <w:sz w:val="22"/>
          <w:szCs w:val="22"/>
        </w:rPr>
        <w:t xml:space="preserve"> </w:t>
      </w:r>
      <w:r>
        <w:rPr>
          <w:rFonts w:ascii="Garamond" w:hAnsi="Garamond" w:cs="Garamond"/>
          <w:sz w:val="22"/>
          <w:szCs w:val="22"/>
        </w:rPr>
        <w:t>disorders.</w:t>
      </w:r>
    </w:p>
    <w:p w:rsidR="002C5025" w:rsidRDefault="002C5025">
      <w:pPr>
        <w:pStyle w:val="BodyText"/>
        <w:kinsoku w:val="0"/>
        <w:overflowPunct w:val="0"/>
        <w:spacing w:before="10"/>
        <w:rPr>
          <w:rFonts w:ascii="Garamond" w:hAnsi="Garamond" w:cs="Garamond"/>
          <w:sz w:val="21"/>
          <w:szCs w:val="21"/>
        </w:rPr>
      </w:pPr>
    </w:p>
    <w:p w:rsidR="002C5025" w:rsidRDefault="002C5025">
      <w:pPr>
        <w:pStyle w:val="BodyText"/>
        <w:kinsoku w:val="0"/>
        <w:overflowPunct w:val="0"/>
        <w:ind w:left="118" w:right="41"/>
        <w:rPr>
          <w:rFonts w:ascii="Garamond" w:hAnsi="Garamond" w:cs="Garamond"/>
        </w:rPr>
      </w:pPr>
      <w:r>
        <w:rPr>
          <w:rFonts w:ascii="Garamond" w:hAnsi="Garamond" w:cs="Garamond"/>
        </w:rPr>
        <w:t xml:space="preserve">Further, Early and Periodic Screening, Diagnostic and Treatment (EPSDT) is a mandatory Medicaid service for children and </w:t>
      </w:r>
      <w:r>
        <w:rPr>
          <w:rFonts w:ascii="Garamond" w:hAnsi="Garamond" w:cs="Garamond"/>
          <w:spacing w:val="-3"/>
        </w:rPr>
        <w:t xml:space="preserve">youth </w:t>
      </w:r>
      <w:r>
        <w:rPr>
          <w:rFonts w:ascii="Garamond" w:hAnsi="Garamond" w:cs="Garamond"/>
        </w:rPr>
        <w:t>under age 21.</w:t>
      </w:r>
      <w:r>
        <w:rPr>
          <w:rFonts w:ascii="Garamond" w:hAnsi="Garamond" w:cs="Garamond"/>
          <w:position w:val="5"/>
          <w:sz w:val="14"/>
          <w:szCs w:val="14"/>
        </w:rPr>
        <w:t xml:space="preserve">35 </w:t>
      </w:r>
      <w:r>
        <w:rPr>
          <w:rFonts w:ascii="Garamond" w:hAnsi="Garamond" w:cs="Garamond"/>
        </w:rPr>
        <w:t xml:space="preserve">EPSDT includes </w:t>
      </w:r>
      <w:r>
        <w:rPr>
          <w:rFonts w:ascii="Garamond" w:hAnsi="Garamond" w:cs="Garamond"/>
          <w:spacing w:val="-3"/>
        </w:rPr>
        <w:t xml:space="preserve">all </w:t>
      </w:r>
      <w:r>
        <w:rPr>
          <w:rFonts w:ascii="Garamond" w:hAnsi="Garamond" w:cs="Garamond"/>
        </w:rPr>
        <w:t xml:space="preserve">medically necessary Medicaid services regardless </w:t>
      </w:r>
      <w:r>
        <w:rPr>
          <w:rFonts w:ascii="Garamond" w:hAnsi="Garamond" w:cs="Garamond"/>
          <w:spacing w:val="-3"/>
        </w:rPr>
        <w:t xml:space="preserve">of </w:t>
      </w:r>
      <w:r>
        <w:rPr>
          <w:rFonts w:ascii="Garamond" w:hAnsi="Garamond" w:cs="Garamond"/>
        </w:rPr>
        <w:t xml:space="preserve">what is in the state plan, and </w:t>
      </w:r>
      <w:r>
        <w:rPr>
          <w:rFonts w:ascii="Garamond" w:hAnsi="Garamond" w:cs="Garamond"/>
          <w:spacing w:val="-3"/>
        </w:rPr>
        <w:t xml:space="preserve">provides </w:t>
      </w:r>
      <w:r>
        <w:rPr>
          <w:rFonts w:ascii="Garamond" w:hAnsi="Garamond" w:cs="Garamond"/>
        </w:rPr>
        <w:t xml:space="preserve">comprehensive coverage for dental, vision, hearing, and medical screenings </w:t>
      </w:r>
      <w:r>
        <w:rPr>
          <w:rFonts w:ascii="Garamond" w:hAnsi="Garamond" w:cs="Garamond"/>
          <w:spacing w:val="-3"/>
        </w:rPr>
        <w:t xml:space="preserve">and </w:t>
      </w:r>
      <w:r>
        <w:rPr>
          <w:rFonts w:ascii="Garamond" w:hAnsi="Garamond" w:cs="Garamond"/>
        </w:rPr>
        <w:t xml:space="preserve">treatment. </w:t>
      </w:r>
      <w:r>
        <w:rPr>
          <w:rFonts w:ascii="Garamond" w:hAnsi="Garamond" w:cs="Garamond"/>
          <w:spacing w:val="-3"/>
        </w:rPr>
        <w:t xml:space="preserve">Children </w:t>
      </w:r>
      <w:r>
        <w:rPr>
          <w:rFonts w:ascii="Garamond" w:hAnsi="Garamond" w:cs="Garamond"/>
        </w:rPr>
        <w:t>enrolled in all types of managed care, including PCC Plans, “are entitled to</w:t>
      </w:r>
    </w:p>
    <w:p w:rsidR="002C5025" w:rsidRDefault="002C5025">
      <w:pPr>
        <w:pStyle w:val="BodyText"/>
        <w:kinsoku w:val="0"/>
        <w:overflowPunct w:val="0"/>
        <w:rPr>
          <w:rFonts w:ascii="Garamond" w:hAnsi="Garamond" w:cs="Garamond"/>
          <w:sz w:val="20"/>
          <w:szCs w:val="20"/>
        </w:rPr>
      </w:pPr>
    </w:p>
    <w:p w:rsidR="002C5025" w:rsidRDefault="002C5025">
      <w:pPr>
        <w:pStyle w:val="BodyText"/>
        <w:kinsoku w:val="0"/>
        <w:overflowPunct w:val="0"/>
        <w:rPr>
          <w:rFonts w:ascii="Garamond" w:hAnsi="Garamond" w:cs="Garamond"/>
          <w:sz w:val="20"/>
          <w:szCs w:val="20"/>
        </w:rPr>
      </w:pPr>
    </w:p>
    <w:p w:rsidR="002C5025" w:rsidRDefault="002C5025">
      <w:pPr>
        <w:pStyle w:val="BodyText"/>
        <w:kinsoku w:val="0"/>
        <w:overflowPunct w:val="0"/>
        <w:rPr>
          <w:rFonts w:ascii="Garamond" w:hAnsi="Garamond" w:cs="Garamond"/>
          <w:sz w:val="20"/>
          <w:szCs w:val="20"/>
        </w:rPr>
      </w:pPr>
    </w:p>
    <w:p w:rsidR="002C5025" w:rsidRDefault="00FB027C">
      <w:pPr>
        <w:pStyle w:val="BodyText"/>
        <w:kinsoku w:val="0"/>
        <w:overflowPunct w:val="0"/>
        <w:spacing w:before="3"/>
        <w:rPr>
          <w:rFonts w:ascii="Garamond" w:hAnsi="Garamond" w:cs="Garamond"/>
          <w:sz w:val="23"/>
          <w:szCs w:val="23"/>
        </w:rPr>
      </w:pPr>
      <w:r>
        <w:rPr>
          <w:noProof/>
        </w:rPr>
        <mc:AlternateContent>
          <mc:Choice Requires="wps">
            <w:drawing>
              <wp:anchor distT="0" distB="0" distL="0" distR="0" simplePos="0" relativeHeight="251666944" behindDoc="0" locked="0" layoutInCell="0" allowOverlap="1">
                <wp:simplePos x="0" y="0"/>
                <wp:positionH relativeFrom="page">
                  <wp:posOffset>923925</wp:posOffset>
                </wp:positionH>
                <wp:positionV relativeFrom="paragraph">
                  <wp:posOffset>196215</wp:posOffset>
                </wp:positionV>
                <wp:extent cx="1829435" cy="12700"/>
                <wp:effectExtent l="0" t="0" r="0" b="0"/>
                <wp:wrapTopAndBottom/>
                <wp:docPr id="552" name="Freeform 4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1 w 2881"/>
                            <a:gd name="T3" fmla="*/ 0 h 20"/>
                          </a:gdLst>
                          <a:ahLst/>
                          <a:cxnLst>
                            <a:cxn ang="0">
                              <a:pos x="T0" y="T1"/>
                            </a:cxn>
                            <a:cxn ang="0">
                              <a:pos x="T2" y="T3"/>
                            </a:cxn>
                          </a:cxnLst>
                          <a:rect l="0" t="0" r="r" b="b"/>
                          <a:pathLst>
                            <a:path w="2881" h="20">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73" o:spid="_x0000_s1026" style="position:absolute;z-index:251666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2.75pt,15.45pt,216.8pt,15.45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" o:allowincell="f" filled="f" strokeweight=".82pt">
                <v:path arrowok="t" o:connecttype="custom" o:connectlocs="0,0;1829435,0" o:connectangles="0,0"/>
                <w10:wrap type="topAndBottom" anchorx="page"/>
              </v:polyline>
            </w:pict>
          </mc:Fallback>
        </mc:AlternateContent>
      </w:r>
    </w:p>
    <w:p w:rsidR="002C5025" w:rsidRDefault="002C5025">
      <w:pPr>
        <w:pStyle w:val="BodyText"/>
        <w:kinsoku w:val="0"/>
        <w:overflowPunct w:val="0"/>
        <w:spacing w:before="70"/>
        <w:ind w:left="120" w:right="2136"/>
        <w:rPr>
          <w:rFonts w:ascii="Garamond" w:hAnsi="Garamond" w:cs="Garamond"/>
          <w:color w:val="000000"/>
          <w:sz w:val="20"/>
          <w:szCs w:val="20"/>
        </w:rPr>
      </w:pPr>
      <w:r>
        <w:rPr>
          <w:rFonts w:ascii="Garamond" w:hAnsi="Garamond" w:cs="Garamond"/>
          <w:position w:val="5"/>
          <w:sz w:val="13"/>
          <w:szCs w:val="13"/>
        </w:rPr>
        <w:t>34</w:t>
      </w:r>
      <w:r>
        <w:rPr>
          <w:rFonts w:ascii="Garamond" w:hAnsi="Garamond" w:cs="Garamond"/>
          <w:spacing w:val="2"/>
          <w:position w:val="5"/>
          <w:sz w:val="13"/>
          <w:szCs w:val="13"/>
        </w:rPr>
        <w:t xml:space="preserve"> </w:t>
      </w:r>
      <w:r>
        <w:rPr>
          <w:rFonts w:ascii="Garamond" w:hAnsi="Garamond" w:cs="Garamond"/>
          <w:sz w:val="20"/>
          <w:szCs w:val="20"/>
        </w:rPr>
        <w:t>Massachusetts</w:t>
      </w:r>
      <w:r>
        <w:rPr>
          <w:rFonts w:ascii="Garamond" w:hAnsi="Garamond" w:cs="Garamond"/>
          <w:spacing w:val="-15"/>
          <w:sz w:val="20"/>
          <w:szCs w:val="20"/>
        </w:rPr>
        <w:t xml:space="preserve"> </w:t>
      </w:r>
      <w:r>
        <w:rPr>
          <w:rFonts w:ascii="Garamond" w:hAnsi="Garamond" w:cs="Garamond"/>
          <w:sz w:val="20"/>
          <w:szCs w:val="20"/>
        </w:rPr>
        <w:t>Medicaid</w:t>
      </w:r>
      <w:r>
        <w:rPr>
          <w:rFonts w:ascii="Garamond" w:hAnsi="Garamond" w:cs="Garamond"/>
          <w:spacing w:val="-13"/>
          <w:sz w:val="20"/>
          <w:szCs w:val="20"/>
        </w:rPr>
        <w:t xml:space="preserve"> </w:t>
      </w:r>
      <w:r>
        <w:rPr>
          <w:rFonts w:ascii="Garamond" w:hAnsi="Garamond" w:cs="Garamond"/>
          <w:sz w:val="20"/>
          <w:szCs w:val="20"/>
        </w:rPr>
        <w:t>Policy</w:t>
      </w:r>
      <w:r>
        <w:rPr>
          <w:rFonts w:ascii="Garamond" w:hAnsi="Garamond" w:cs="Garamond"/>
          <w:spacing w:val="-13"/>
          <w:sz w:val="20"/>
          <w:szCs w:val="20"/>
        </w:rPr>
        <w:t xml:space="preserve"> </w:t>
      </w:r>
      <w:r>
        <w:rPr>
          <w:rFonts w:ascii="Garamond" w:hAnsi="Garamond" w:cs="Garamond"/>
          <w:sz w:val="20"/>
          <w:szCs w:val="20"/>
        </w:rPr>
        <w:t>Institute,</w:t>
      </w:r>
      <w:r>
        <w:rPr>
          <w:rFonts w:ascii="Garamond" w:hAnsi="Garamond" w:cs="Garamond"/>
          <w:spacing w:val="-15"/>
          <w:sz w:val="20"/>
          <w:szCs w:val="20"/>
        </w:rPr>
        <w:t xml:space="preserve"> </w:t>
      </w:r>
      <w:r>
        <w:rPr>
          <w:rFonts w:ascii="Garamond" w:hAnsi="Garamond" w:cs="Garamond"/>
          <w:sz w:val="20"/>
          <w:szCs w:val="20"/>
        </w:rPr>
        <w:t>“MassHealth:</w:t>
      </w:r>
      <w:r>
        <w:rPr>
          <w:rFonts w:ascii="Garamond" w:hAnsi="Garamond" w:cs="Garamond"/>
          <w:spacing w:val="-15"/>
          <w:sz w:val="20"/>
          <w:szCs w:val="20"/>
        </w:rPr>
        <w:t xml:space="preserve"> </w:t>
      </w:r>
      <w:r>
        <w:rPr>
          <w:rFonts w:ascii="Garamond" w:hAnsi="Garamond" w:cs="Garamond"/>
          <w:sz w:val="20"/>
          <w:szCs w:val="20"/>
        </w:rPr>
        <w:t>The</w:t>
      </w:r>
      <w:r>
        <w:rPr>
          <w:rFonts w:ascii="Garamond" w:hAnsi="Garamond" w:cs="Garamond"/>
          <w:spacing w:val="-11"/>
          <w:sz w:val="20"/>
          <w:szCs w:val="20"/>
        </w:rPr>
        <w:t xml:space="preserve"> </w:t>
      </w:r>
      <w:r>
        <w:rPr>
          <w:rFonts w:ascii="Garamond" w:hAnsi="Garamond" w:cs="Garamond"/>
          <w:sz w:val="20"/>
          <w:szCs w:val="20"/>
        </w:rPr>
        <w:t>Basics</w:t>
      </w:r>
      <w:r>
        <w:rPr>
          <w:rFonts w:ascii="Garamond" w:hAnsi="Garamond" w:cs="Garamond"/>
          <w:spacing w:val="-15"/>
          <w:sz w:val="20"/>
          <w:szCs w:val="20"/>
        </w:rPr>
        <w:t xml:space="preserve"> </w:t>
      </w:r>
      <w:r>
        <w:rPr>
          <w:rFonts w:ascii="Garamond" w:hAnsi="Garamond" w:cs="Garamond"/>
          <w:sz w:val="20"/>
          <w:szCs w:val="20"/>
        </w:rPr>
        <w:t>(June</w:t>
      </w:r>
      <w:r>
        <w:rPr>
          <w:rFonts w:ascii="Garamond" w:hAnsi="Garamond" w:cs="Garamond"/>
          <w:spacing w:val="-13"/>
          <w:sz w:val="20"/>
          <w:szCs w:val="20"/>
        </w:rPr>
        <w:t xml:space="preserve"> </w:t>
      </w:r>
      <w:r>
        <w:rPr>
          <w:rFonts w:ascii="Garamond" w:hAnsi="Garamond" w:cs="Garamond"/>
          <w:sz w:val="20"/>
          <w:szCs w:val="20"/>
        </w:rPr>
        <w:t>2016).”</w:t>
      </w:r>
      <w:r>
        <w:rPr>
          <w:rFonts w:ascii="Garamond" w:hAnsi="Garamond" w:cs="Garamond"/>
          <w:spacing w:val="-15"/>
          <w:sz w:val="20"/>
          <w:szCs w:val="20"/>
        </w:rPr>
        <w:t xml:space="preserve"> </w:t>
      </w:r>
      <w:r>
        <w:rPr>
          <w:rFonts w:ascii="Garamond" w:hAnsi="Garamond" w:cs="Garamond"/>
          <w:sz w:val="20"/>
          <w:szCs w:val="20"/>
        </w:rPr>
        <w:t>Available</w:t>
      </w:r>
      <w:r>
        <w:rPr>
          <w:rFonts w:ascii="Garamond" w:hAnsi="Garamond" w:cs="Garamond"/>
          <w:spacing w:val="-13"/>
          <w:sz w:val="20"/>
          <w:szCs w:val="20"/>
        </w:rPr>
        <w:t xml:space="preserve"> </w:t>
      </w:r>
      <w:r>
        <w:rPr>
          <w:rFonts w:ascii="Garamond" w:hAnsi="Garamond" w:cs="Garamond"/>
          <w:sz w:val="20"/>
          <w:szCs w:val="20"/>
        </w:rPr>
        <w:t xml:space="preserve">at: </w:t>
      </w:r>
      <w:hyperlink r:id="rId343" w:history="1">
        <w:r>
          <w:rPr>
            <w:rFonts w:ascii="Garamond" w:hAnsi="Garamond" w:cs="Garamond"/>
            <w:color w:val="0000FF"/>
            <w:sz w:val="20"/>
            <w:szCs w:val="20"/>
            <w:u w:val="single"/>
          </w:rPr>
          <w:t>http://www.bluecrossfoundation.org/publication/updated-masshealth-basics-june-2016</w:t>
        </w:r>
        <w:r>
          <w:rPr>
            <w:rFonts w:ascii="Garamond" w:hAnsi="Garamond" w:cs="Garamond"/>
            <w:color w:val="000000"/>
            <w:sz w:val="20"/>
            <w:szCs w:val="20"/>
          </w:rPr>
          <w:t>.</w:t>
        </w:r>
      </w:hyperlink>
    </w:p>
    <w:p w:rsidR="002C5025" w:rsidRDefault="002C5025">
      <w:pPr>
        <w:pStyle w:val="BodyText"/>
        <w:kinsoku w:val="0"/>
        <w:overflowPunct w:val="0"/>
        <w:spacing w:before="7"/>
        <w:ind w:left="120" w:right="443"/>
        <w:rPr>
          <w:rFonts w:ascii="Garamond" w:hAnsi="Garamond" w:cs="Garamond"/>
          <w:sz w:val="20"/>
          <w:szCs w:val="20"/>
        </w:rPr>
      </w:pPr>
      <w:r>
        <w:rPr>
          <w:rFonts w:ascii="Garamond" w:hAnsi="Garamond" w:cs="Garamond"/>
          <w:position w:val="5"/>
          <w:sz w:val="13"/>
          <w:szCs w:val="13"/>
        </w:rPr>
        <w:t xml:space="preserve">35 </w:t>
      </w:r>
      <w:r>
        <w:rPr>
          <w:rFonts w:ascii="Garamond" w:hAnsi="Garamond" w:cs="Garamond"/>
          <w:sz w:val="20"/>
          <w:szCs w:val="20"/>
        </w:rPr>
        <w:t>See 42 U.S.C. §§ 1396a(a)(10)(A), 1396a(a)(43), 1396d(a)(4)(B), 1396d(r).</w:t>
      </w:r>
    </w:p>
    <w:p w:rsidR="002C5025" w:rsidRDefault="002C5025">
      <w:pPr>
        <w:pStyle w:val="BodyText"/>
        <w:kinsoku w:val="0"/>
        <w:overflowPunct w:val="0"/>
        <w:spacing w:before="9"/>
        <w:rPr>
          <w:rFonts w:ascii="Garamond" w:hAnsi="Garamond" w:cs="Garamond"/>
          <w:sz w:val="10"/>
          <w:szCs w:val="10"/>
        </w:rPr>
      </w:pPr>
    </w:p>
    <w:p w:rsidR="002C5025" w:rsidRDefault="002C5025">
      <w:pPr>
        <w:pStyle w:val="BodyText"/>
        <w:kinsoku w:val="0"/>
        <w:overflowPunct w:val="0"/>
        <w:spacing w:before="80"/>
        <w:ind w:left="4686" w:right="4582"/>
        <w:jc w:val="center"/>
        <w:rPr>
          <w:rFonts w:ascii="Garamond" w:hAnsi="Garamond" w:cs="Garamond"/>
          <w:sz w:val="20"/>
          <w:szCs w:val="20"/>
        </w:rPr>
      </w:pPr>
      <w:r>
        <w:rPr>
          <w:rFonts w:ascii="Garamond" w:hAnsi="Garamond" w:cs="Garamond"/>
          <w:sz w:val="20"/>
          <w:szCs w:val="20"/>
        </w:rPr>
        <w:t>16</w:t>
      </w:r>
    </w:p>
    <w:p w:rsidR="002C5025" w:rsidRDefault="002C5025">
      <w:pPr>
        <w:pStyle w:val="BodyText"/>
        <w:kinsoku w:val="0"/>
        <w:overflowPunct w:val="0"/>
        <w:spacing w:before="80"/>
        <w:ind w:left="4686" w:right="4582"/>
        <w:jc w:val="center"/>
        <w:rPr>
          <w:rFonts w:ascii="Garamond" w:hAnsi="Garamond" w:cs="Garamond"/>
          <w:sz w:val="20"/>
          <w:szCs w:val="20"/>
        </w:rPr>
        <w:sectPr w:rsidR="002C5025">
          <w:pgSz w:w="12240" w:h="15840"/>
          <w:pgMar w:top="1400" w:right="1420" w:bottom="280" w:left="1320" w:header="720" w:footer="720" w:gutter="0"/>
          <w:cols w:space="720" w:equalWidth="0">
            <w:col w:w="9500"/>
          </w:cols>
          <w:noEndnote/>
        </w:sectPr>
      </w:pPr>
    </w:p>
    <w:p w:rsidR="002C5025" w:rsidRDefault="002C5025">
      <w:pPr>
        <w:pStyle w:val="BodyText"/>
        <w:kinsoku w:val="0"/>
        <w:overflowPunct w:val="0"/>
        <w:spacing w:before="60"/>
        <w:ind w:left="119" w:right="192"/>
        <w:rPr>
          <w:rFonts w:ascii="Garamond" w:hAnsi="Garamond" w:cs="Garamond"/>
        </w:rPr>
      </w:pPr>
      <w:r>
        <w:rPr>
          <w:rFonts w:ascii="Garamond" w:hAnsi="Garamond" w:cs="Garamond"/>
        </w:rPr>
        <w:lastRenderedPageBreak/>
        <w:t xml:space="preserve">the same EPSDT benefits they would have in a fee for service Medicaid delivery system.” </w:t>
      </w:r>
      <w:r>
        <w:rPr>
          <w:rFonts w:ascii="Garamond" w:hAnsi="Garamond" w:cs="Garamond"/>
          <w:position w:val="5"/>
          <w:sz w:val="14"/>
          <w:szCs w:val="14"/>
        </w:rPr>
        <w:t xml:space="preserve">36 </w:t>
      </w:r>
      <w:r>
        <w:rPr>
          <w:rFonts w:ascii="Garamond" w:hAnsi="Garamond" w:cs="Garamond"/>
        </w:rPr>
        <w:t>We believe the proposed PCC Plan benefit cuts violate the Federal EPSDT requirement, and again urge MassHealth to reconsider these changes.</w:t>
      </w:r>
    </w:p>
    <w:p w:rsidR="002C5025" w:rsidRDefault="002C5025">
      <w:pPr>
        <w:pStyle w:val="BodyText"/>
        <w:kinsoku w:val="0"/>
        <w:overflowPunct w:val="0"/>
        <w:spacing w:before="2"/>
        <w:rPr>
          <w:rFonts w:ascii="Garamond" w:hAnsi="Garamond" w:cs="Garamond"/>
          <w:sz w:val="21"/>
          <w:szCs w:val="21"/>
        </w:rPr>
      </w:pPr>
    </w:p>
    <w:p w:rsidR="002C5025" w:rsidRDefault="002C5025">
      <w:pPr>
        <w:pStyle w:val="BodyText"/>
        <w:kinsoku w:val="0"/>
        <w:overflowPunct w:val="0"/>
        <w:spacing w:before="1" w:line="265" w:lineRule="exact"/>
        <w:ind w:left="120" w:right="5109"/>
        <w:rPr>
          <w:rFonts w:ascii="Garamond" w:hAnsi="Garamond" w:cs="Garamond"/>
          <w:b/>
          <w:bCs/>
          <w:i/>
          <w:iCs/>
          <w:w w:val="95"/>
          <w:sz w:val="24"/>
          <w:szCs w:val="24"/>
        </w:rPr>
      </w:pPr>
      <w:bookmarkStart w:id="166" w:name="Cost-sharing"/>
      <w:bookmarkEnd w:id="166"/>
      <w:r>
        <w:rPr>
          <w:rFonts w:ascii="Garamond" w:hAnsi="Garamond" w:cs="Garamond"/>
          <w:b/>
          <w:bCs/>
          <w:i/>
          <w:iCs/>
          <w:w w:val="95"/>
          <w:sz w:val="24"/>
          <w:szCs w:val="24"/>
        </w:rPr>
        <w:t>Cost-sharing</w:t>
      </w:r>
    </w:p>
    <w:p w:rsidR="002C5025" w:rsidRDefault="002C5025">
      <w:pPr>
        <w:pStyle w:val="BodyText"/>
        <w:kinsoku w:val="0"/>
        <w:overflowPunct w:val="0"/>
        <w:ind w:left="119" w:right="111"/>
        <w:rPr>
          <w:rFonts w:ascii="Garamond" w:hAnsi="Garamond" w:cs="Garamond"/>
        </w:rPr>
      </w:pPr>
      <w:r>
        <w:rPr>
          <w:rFonts w:ascii="Garamond" w:hAnsi="Garamond" w:cs="Garamond"/>
        </w:rPr>
        <w:t xml:space="preserve">We oppose MassHealth’s proposal to increase cost-sharing for PCC Plan members as well as expand the list of services to </w:t>
      </w:r>
      <w:r>
        <w:rPr>
          <w:rFonts w:ascii="Garamond" w:hAnsi="Garamond" w:cs="Garamond"/>
          <w:spacing w:val="-3"/>
        </w:rPr>
        <w:t xml:space="preserve">which </w:t>
      </w:r>
      <w:r>
        <w:rPr>
          <w:rFonts w:ascii="Garamond" w:hAnsi="Garamond" w:cs="Garamond"/>
        </w:rPr>
        <w:t xml:space="preserve">copays apply. Data from Oregon </w:t>
      </w:r>
      <w:r>
        <w:rPr>
          <w:rFonts w:ascii="Garamond" w:hAnsi="Garamond" w:cs="Garamond"/>
          <w:spacing w:val="-3"/>
        </w:rPr>
        <w:t xml:space="preserve">and </w:t>
      </w:r>
      <w:r>
        <w:rPr>
          <w:rFonts w:ascii="Garamond" w:hAnsi="Garamond" w:cs="Garamond"/>
        </w:rPr>
        <w:t xml:space="preserve">Connecticut Medicaid programs show </w:t>
      </w:r>
      <w:r>
        <w:rPr>
          <w:rFonts w:ascii="Garamond" w:hAnsi="Garamond" w:cs="Garamond"/>
          <w:spacing w:val="-3"/>
        </w:rPr>
        <w:t xml:space="preserve">that </w:t>
      </w:r>
      <w:r>
        <w:rPr>
          <w:rFonts w:ascii="Garamond" w:hAnsi="Garamond" w:cs="Garamond"/>
        </w:rPr>
        <w:t xml:space="preserve">higher cost-sharing </w:t>
      </w:r>
      <w:r>
        <w:rPr>
          <w:rFonts w:ascii="Garamond" w:hAnsi="Garamond" w:cs="Garamond"/>
          <w:spacing w:val="-3"/>
        </w:rPr>
        <w:t xml:space="preserve">contributes </w:t>
      </w:r>
      <w:r>
        <w:rPr>
          <w:rFonts w:ascii="Garamond" w:hAnsi="Garamond" w:cs="Garamond"/>
        </w:rPr>
        <w:t>to Medicaid disenrollment.</w:t>
      </w:r>
      <w:r>
        <w:rPr>
          <w:rFonts w:ascii="Garamond" w:hAnsi="Garamond" w:cs="Garamond"/>
          <w:position w:val="5"/>
          <w:sz w:val="14"/>
          <w:szCs w:val="14"/>
        </w:rPr>
        <w:t xml:space="preserve">37 </w:t>
      </w:r>
      <w:r>
        <w:rPr>
          <w:rFonts w:ascii="Garamond" w:hAnsi="Garamond" w:cs="Garamond"/>
        </w:rPr>
        <w:t xml:space="preserve">In Oregon, those </w:t>
      </w:r>
      <w:r>
        <w:rPr>
          <w:rFonts w:ascii="Garamond" w:hAnsi="Garamond" w:cs="Garamond"/>
          <w:spacing w:val="-3"/>
        </w:rPr>
        <w:t xml:space="preserve">who </w:t>
      </w:r>
      <w:r>
        <w:rPr>
          <w:rFonts w:ascii="Garamond" w:hAnsi="Garamond" w:cs="Garamond"/>
        </w:rPr>
        <w:t xml:space="preserve">left Medicaid programs due to higher cost-sharing had </w:t>
      </w:r>
      <w:r>
        <w:rPr>
          <w:rFonts w:ascii="Garamond" w:hAnsi="Garamond" w:cs="Garamond"/>
          <w:spacing w:val="-3"/>
        </w:rPr>
        <w:t xml:space="preserve">lower </w:t>
      </w:r>
      <w:r>
        <w:rPr>
          <w:rFonts w:ascii="Garamond" w:hAnsi="Garamond" w:cs="Garamond"/>
        </w:rPr>
        <w:t xml:space="preserve">primary care utilization </w:t>
      </w:r>
      <w:r>
        <w:rPr>
          <w:rFonts w:ascii="Garamond" w:hAnsi="Garamond" w:cs="Garamond"/>
          <w:spacing w:val="-3"/>
        </w:rPr>
        <w:t xml:space="preserve">and </w:t>
      </w:r>
      <w:r>
        <w:rPr>
          <w:rFonts w:ascii="Garamond" w:hAnsi="Garamond" w:cs="Garamond"/>
        </w:rPr>
        <w:t>higher emergency room visits.</w:t>
      </w:r>
      <w:r>
        <w:rPr>
          <w:rFonts w:ascii="Garamond" w:hAnsi="Garamond" w:cs="Garamond"/>
          <w:position w:val="5"/>
          <w:sz w:val="14"/>
          <w:szCs w:val="14"/>
        </w:rPr>
        <w:t xml:space="preserve">38 </w:t>
      </w:r>
      <w:r>
        <w:rPr>
          <w:rFonts w:ascii="Garamond" w:hAnsi="Garamond" w:cs="Garamond"/>
        </w:rPr>
        <w:t xml:space="preserve">A Kaiser Family Foundation report describes how higher cost-sharing results in delayed care </w:t>
      </w:r>
      <w:r>
        <w:rPr>
          <w:rFonts w:ascii="Garamond" w:hAnsi="Garamond" w:cs="Garamond"/>
          <w:spacing w:val="-3"/>
        </w:rPr>
        <w:t xml:space="preserve">and </w:t>
      </w:r>
      <w:r>
        <w:rPr>
          <w:rFonts w:ascii="Garamond" w:hAnsi="Garamond" w:cs="Garamond"/>
        </w:rPr>
        <w:t>poorer health outcomes.</w:t>
      </w:r>
      <w:r>
        <w:rPr>
          <w:rFonts w:ascii="Garamond" w:hAnsi="Garamond" w:cs="Garamond"/>
          <w:position w:val="5"/>
          <w:sz w:val="14"/>
          <w:szCs w:val="14"/>
        </w:rPr>
        <w:t xml:space="preserve">39 </w:t>
      </w:r>
      <w:r>
        <w:rPr>
          <w:rFonts w:ascii="Garamond" w:hAnsi="Garamond" w:cs="Garamond"/>
        </w:rPr>
        <w:t xml:space="preserve">Increased cost-sharing for Medicaid enrollees leads to access barriers </w:t>
      </w:r>
      <w:r>
        <w:rPr>
          <w:rFonts w:ascii="Garamond" w:hAnsi="Garamond" w:cs="Garamond"/>
          <w:spacing w:val="-3"/>
        </w:rPr>
        <w:t xml:space="preserve">and </w:t>
      </w:r>
      <w:r>
        <w:rPr>
          <w:rFonts w:ascii="Garamond" w:hAnsi="Garamond" w:cs="Garamond"/>
        </w:rPr>
        <w:t xml:space="preserve">puts greater strain on safety net resources, shifting costs </w:t>
      </w:r>
      <w:r>
        <w:rPr>
          <w:rFonts w:ascii="Garamond" w:hAnsi="Garamond" w:cs="Garamond"/>
          <w:spacing w:val="-3"/>
        </w:rPr>
        <w:t xml:space="preserve">rather </w:t>
      </w:r>
      <w:r>
        <w:rPr>
          <w:rFonts w:ascii="Garamond" w:hAnsi="Garamond" w:cs="Garamond"/>
        </w:rPr>
        <w:t xml:space="preserve">than saving </w:t>
      </w:r>
      <w:r>
        <w:rPr>
          <w:rFonts w:ascii="Garamond" w:hAnsi="Garamond" w:cs="Garamond"/>
          <w:spacing w:val="-3"/>
        </w:rPr>
        <w:t xml:space="preserve">costs </w:t>
      </w:r>
      <w:r>
        <w:rPr>
          <w:rFonts w:ascii="Garamond" w:hAnsi="Garamond" w:cs="Garamond"/>
        </w:rPr>
        <w:t>or improving health outcomes.</w:t>
      </w:r>
    </w:p>
    <w:p w:rsidR="002C5025" w:rsidRDefault="002C5025">
      <w:pPr>
        <w:pStyle w:val="BodyText"/>
        <w:kinsoku w:val="0"/>
        <w:overflowPunct w:val="0"/>
        <w:spacing w:before="5"/>
        <w:rPr>
          <w:rFonts w:ascii="Garamond" w:hAnsi="Garamond" w:cs="Garamond"/>
          <w:sz w:val="21"/>
          <w:szCs w:val="21"/>
        </w:rPr>
      </w:pPr>
    </w:p>
    <w:p w:rsidR="002C5025" w:rsidRDefault="002C5025">
      <w:pPr>
        <w:pStyle w:val="BodyText"/>
        <w:kinsoku w:val="0"/>
        <w:overflowPunct w:val="0"/>
        <w:spacing w:line="264" w:lineRule="exact"/>
        <w:ind w:left="120" w:right="5109"/>
        <w:rPr>
          <w:rFonts w:ascii="Garamond" w:hAnsi="Garamond" w:cs="Garamond"/>
          <w:b/>
          <w:bCs/>
          <w:i/>
          <w:iCs/>
          <w:w w:val="90"/>
          <w:sz w:val="24"/>
          <w:szCs w:val="24"/>
        </w:rPr>
      </w:pPr>
      <w:bookmarkStart w:id="167" w:name="MCO_lock-in"/>
      <w:bookmarkEnd w:id="167"/>
      <w:r>
        <w:rPr>
          <w:rFonts w:ascii="Garamond" w:hAnsi="Garamond" w:cs="Garamond"/>
          <w:b/>
          <w:bCs/>
          <w:i/>
          <w:iCs/>
          <w:w w:val="90"/>
          <w:sz w:val="24"/>
          <w:szCs w:val="24"/>
        </w:rPr>
        <w:t>MCO lock-in</w:t>
      </w:r>
    </w:p>
    <w:p w:rsidR="002C5025" w:rsidRDefault="002C5025">
      <w:pPr>
        <w:pStyle w:val="BodyText"/>
        <w:kinsoku w:val="0"/>
        <w:overflowPunct w:val="0"/>
        <w:ind w:left="118" w:right="73" w:firstLine="1"/>
        <w:rPr>
          <w:rFonts w:ascii="Garamond" w:hAnsi="Garamond" w:cs="Garamond"/>
        </w:rPr>
      </w:pPr>
      <w:r>
        <w:rPr>
          <w:rFonts w:ascii="Garamond" w:hAnsi="Garamond" w:cs="Garamond"/>
        </w:rPr>
        <w:t xml:space="preserve">HCFA opposes the </w:t>
      </w:r>
      <w:r>
        <w:rPr>
          <w:rFonts w:ascii="Garamond" w:hAnsi="Garamond" w:cs="Garamond"/>
          <w:spacing w:val="-3"/>
        </w:rPr>
        <w:t xml:space="preserve">proposed </w:t>
      </w:r>
      <w:r>
        <w:rPr>
          <w:rFonts w:ascii="Garamond" w:hAnsi="Garamond" w:cs="Garamond"/>
        </w:rPr>
        <w:t xml:space="preserve">12-month MCO lock-in. At the same time, we acknowledge that implementation of this </w:t>
      </w:r>
      <w:r>
        <w:rPr>
          <w:rFonts w:ascii="Garamond" w:hAnsi="Garamond" w:cs="Garamond"/>
          <w:spacing w:val="-3"/>
        </w:rPr>
        <w:t xml:space="preserve">policy </w:t>
      </w:r>
      <w:r>
        <w:rPr>
          <w:rFonts w:ascii="Garamond" w:hAnsi="Garamond" w:cs="Garamond"/>
        </w:rPr>
        <w:t xml:space="preserve">is currently set to occur in October 2016 regardless of the status of the Waiver Request. As such, we appreciate that MassHealth has reached out to advocates </w:t>
      </w:r>
      <w:r>
        <w:rPr>
          <w:rFonts w:ascii="Garamond" w:hAnsi="Garamond" w:cs="Garamond"/>
          <w:spacing w:val="-3"/>
        </w:rPr>
        <w:t xml:space="preserve">and providers </w:t>
      </w:r>
      <w:r>
        <w:rPr>
          <w:rFonts w:ascii="Garamond" w:hAnsi="Garamond" w:cs="Garamond"/>
        </w:rPr>
        <w:t xml:space="preserve">for suggestions on the lock-in exceptions policy. If implementation goes forward, MassHealth should ensure broad exceptions to enable members to change MCOs, maintain continuity of care, and </w:t>
      </w:r>
      <w:r>
        <w:rPr>
          <w:rFonts w:ascii="Garamond" w:hAnsi="Garamond" w:cs="Garamond"/>
          <w:spacing w:val="-3"/>
        </w:rPr>
        <w:t xml:space="preserve">access </w:t>
      </w:r>
      <w:r>
        <w:rPr>
          <w:rFonts w:ascii="Garamond" w:hAnsi="Garamond" w:cs="Garamond"/>
        </w:rPr>
        <w:t>the care they need.</w:t>
      </w:r>
    </w:p>
    <w:p w:rsidR="002C5025" w:rsidRDefault="002C5025">
      <w:pPr>
        <w:pStyle w:val="BodyText"/>
        <w:kinsoku w:val="0"/>
        <w:overflowPunct w:val="0"/>
        <w:spacing w:before="1"/>
        <w:rPr>
          <w:rFonts w:ascii="Garamond" w:hAnsi="Garamond" w:cs="Garamond"/>
        </w:rPr>
      </w:pPr>
    </w:p>
    <w:p w:rsidR="002C5025" w:rsidRDefault="002C5025">
      <w:pPr>
        <w:pStyle w:val="BodyText"/>
        <w:kinsoku w:val="0"/>
        <w:overflowPunct w:val="0"/>
        <w:ind w:left="118" w:right="37"/>
        <w:rPr>
          <w:rFonts w:ascii="Garamond" w:hAnsi="Garamond" w:cs="Garamond"/>
          <w:position w:val="5"/>
          <w:sz w:val="14"/>
          <w:szCs w:val="14"/>
        </w:rPr>
      </w:pPr>
      <w:r>
        <w:rPr>
          <w:rFonts w:ascii="Garamond" w:hAnsi="Garamond" w:cs="Garamond"/>
        </w:rPr>
        <w:t xml:space="preserve">In 2014, of the 36% of MassHealth members who </w:t>
      </w:r>
      <w:r>
        <w:rPr>
          <w:rFonts w:ascii="Garamond" w:hAnsi="Garamond" w:cs="Garamond"/>
          <w:spacing w:val="-4"/>
        </w:rPr>
        <w:t xml:space="preserve">experienced </w:t>
      </w:r>
      <w:r>
        <w:rPr>
          <w:rFonts w:ascii="Garamond" w:hAnsi="Garamond" w:cs="Garamond"/>
        </w:rPr>
        <w:t xml:space="preserve">plan changes during </w:t>
      </w:r>
      <w:r>
        <w:rPr>
          <w:rFonts w:ascii="Garamond" w:hAnsi="Garamond" w:cs="Garamond"/>
          <w:spacing w:val="-3"/>
        </w:rPr>
        <w:t xml:space="preserve">the </w:t>
      </w:r>
      <w:r>
        <w:rPr>
          <w:rFonts w:ascii="Garamond" w:hAnsi="Garamond" w:cs="Garamond"/>
        </w:rPr>
        <w:t xml:space="preserve">year, 30% were caused by involuntary plan </w:t>
      </w:r>
      <w:r>
        <w:rPr>
          <w:rFonts w:ascii="Garamond" w:hAnsi="Garamond" w:cs="Garamond"/>
          <w:spacing w:val="-3"/>
        </w:rPr>
        <w:t xml:space="preserve">changes </w:t>
      </w:r>
      <w:r>
        <w:rPr>
          <w:rFonts w:ascii="Garamond" w:hAnsi="Garamond" w:cs="Garamond"/>
        </w:rPr>
        <w:t xml:space="preserve">related to eligibility </w:t>
      </w:r>
      <w:r>
        <w:rPr>
          <w:rFonts w:ascii="Garamond" w:hAnsi="Garamond" w:cs="Garamond"/>
          <w:spacing w:val="-3"/>
        </w:rPr>
        <w:t xml:space="preserve">and </w:t>
      </w:r>
      <w:r>
        <w:rPr>
          <w:rFonts w:ascii="Garamond" w:hAnsi="Garamond" w:cs="Garamond"/>
        </w:rPr>
        <w:t xml:space="preserve">only 6% by voluntary </w:t>
      </w:r>
      <w:r>
        <w:rPr>
          <w:rFonts w:ascii="Garamond" w:hAnsi="Garamond" w:cs="Garamond"/>
          <w:spacing w:val="-3"/>
        </w:rPr>
        <w:t xml:space="preserve">plan </w:t>
      </w:r>
      <w:r>
        <w:rPr>
          <w:rFonts w:ascii="Garamond" w:hAnsi="Garamond" w:cs="Garamond"/>
        </w:rPr>
        <w:t>changes.</w:t>
      </w:r>
      <w:r>
        <w:rPr>
          <w:rFonts w:ascii="Garamond" w:hAnsi="Garamond" w:cs="Garamond"/>
          <w:position w:val="5"/>
          <w:sz w:val="14"/>
          <w:szCs w:val="14"/>
        </w:rPr>
        <w:t xml:space="preserve">40 </w:t>
      </w:r>
      <w:r>
        <w:rPr>
          <w:rFonts w:ascii="Garamond" w:hAnsi="Garamond" w:cs="Garamond"/>
        </w:rPr>
        <w:t xml:space="preserve">Involuntary plan change (“churn”) is a serious problem. Coordination and continuity of care depend on continuity </w:t>
      </w:r>
      <w:r>
        <w:rPr>
          <w:rFonts w:ascii="Garamond" w:hAnsi="Garamond" w:cs="Garamond"/>
          <w:spacing w:val="-5"/>
        </w:rPr>
        <w:t xml:space="preserve">of </w:t>
      </w:r>
      <w:r>
        <w:rPr>
          <w:rFonts w:ascii="Garamond" w:hAnsi="Garamond" w:cs="Garamond"/>
        </w:rPr>
        <w:t xml:space="preserve">coverage. For members, </w:t>
      </w:r>
      <w:r>
        <w:rPr>
          <w:rFonts w:ascii="Garamond" w:hAnsi="Garamond" w:cs="Garamond"/>
          <w:spacing w:val="-3"/>
        </w:rPr>
        <w:t xml:space="preserve">churn </w:t>
      </w:r>
      <w:r>
        <w:rPr>
          <w:rFonts w:ascii="Garamond" w:hAnsi="Garamond" w:cs="Garamond"/>
        </w:rPr>
        <w:t xml:space="preserve">means disruptions in coverage, delayed care, worse health </w:t>
      </w:r>
      <w:r>
        <w:rPr>
          <w:rFonts w:ascii="Garamond" w:hAnsi="Garamond" w:cs="Garamond"/>
          <w:spacing w:val="-3"/>
        </w:rPr>
        <w:t xml:space="preserve">outcomes and </w:t>
      </w:r>
      <w:r>
        <w:rPr>
          <w:rFonts w:ascii="Garamond" w:hAnsi="Garamond" w:cs="Garamond"/>
        </w:rPr>
        <w:t>medical debt.</w:t>
      </w:r>
      <w:r>
        <w:rPr>
          <w:rFonts w:ascii="Garamond" w:hAnsi="Garamond" w:cs="Garamond"/>
          <w:position w:val="5"/>
          <w:sz w:val="14"/>
          <w:szCs w:val="14"/>
        </w:rPr>
        <w:t xml:space="preserve">41 </w:t>
      </w:r>
      <w:r>
        <w:rPr>
          <w:rFonts w:ascii="Garamond" w:hAnsi="Garamond" w:cs="Garamond"/>
        </w:rPr>
        <w:t xml:space="preserve">For MassHealth, it means the added administrative </w:t>
      </w:r>
      <w:r>
        <w:rPr>
          <w:rFonts w:ascii="Garamond" w:hAnsi="Garamond" w:cs="Garamond"/>
          <w:spacing w:val="-3"/>
        </w:rPr>
        <w:t xml:space="preserve">costs </w:t>
      </w:r>
      <w:r>
        <w:rPr>
          <w:rFonts w:ascii="Garamond" w:hAnsi="Garamond" w:cs="Garamond"/>
        </w:rPr>
        <w:t>of terminating and reinstating eligibility.</w:t>
      </w:r>
      <w:r>
        <w:rPr>
          <w:rFonts w:ascii="Garamond" w:hAnsi="Garamond" w:cs="Garamond"/>
          <w:position w:val="5"/>
          <w:sz w:val="14"/>
          <w:szCs w:val="14"/>
        </w:rPr>
        <w:t>42</w:t>
      </w:r>
    </w:p>
    <w:p w:rsidR="002C5025" w:rsidRDefault="002C5025">
      <w:pPr>
        <w:pStyle w:val="BodyText"/>
        <w:kinsoku w:val="0"/>
        <w:overflowPunct w:val="0"/>
        <w:spacing w:before="10"/>
        <w:rPr>
          <w:rFonts w:ascii="Garamond" w:hAnsi="Garamond" w:cs="Garamond"/>
          <w:sz w:val="21"/>
          <w:szCs w:val="21"/>
        </w:rPr>
      </w:pPr>
    </w:p>
    <w:p w:rsidR="002C5025" w:rsidRDefault="002C5025">
      <w:pPr>
        <w:pStyle w:val="BodyText"/>
        <w:kinsoku w:val="0"/>
        <w:overflowPunct w:val="0"/>
        <w:ind w:left="119" w:right="59"/>
        <w:rPr>
          <w:rFonts w:ascii="Garamond" w:hAnsi="Garamond" w:cs="Garamond"/>
        </w:rPr>
      </w:pPr>
      <w:r>
        <w:rPr>
          <w:rFonts w:ascii="Garamond" w:hAnsi="Garamond" w:cs="Garamond"/>
        </w:rPr>
        <w:t>One study estimated that within a six-month period, 35% of adults with incomes below 200% of poverty would have income changes that would shift their eligibility from Medicaid to Marketplace coverage or the reverse. Within a year, an estimated 50% would have income changes requiring a program change.</w:t>
      </w:r>
      <w:r>
        <w:rPr>
          <w:rFonts w:ascii="Garamond" w:hAnsi="Garamond" w:cs="Garamond"/>
          <w:position w:val="5"/>
          <w:sz w:val="14"/>
          <w:szCs w:val="14"/>
        </w:rPr>
        <w:t xml:space="preserve">43 </w:t>
      </w:r>
      <w:r>
        <w:rPr>
          <w:rFonts w:ascii="Garamond" w:hAnsi="Garamond" w:cs="Garamond"/>
        </w:rPr>
        <w:t>As most MassHealth enrollment volatility occurs due to eligibility changes, rather than voluntary plan changes, we believe that policies to reduce churn should address the primary cause. MassHealth should consider policy options such as 12-month continuous eligibility, rather than an MCO lock-in policy, to reduce churn.</w:t>
      </w:r>
    </w:p>
    <w:p w:rsidR="002C5025" w:rsidRDefault="002C5025">
      <w:pPr>
        <w:pStyle w:val="BodyText"/>
        <w:kinsoku w:val="0"/>
        <w:overflowPunct w:val="0"/>
        <w:rPr>
          <w:rFonts w:ascii="Garamond" w:hAnsi="Garamond" w:cs="Garamond"/>
          <w:sz w:val="20"/>
          <w:szCs w:val="20"/>
        </w:rPr>
      </w:pPr>
    </w:p>
    <w:p w:rsidR="002C5025" w:rsidRDefault="002C5025">
      <w:pPr>
        <w:pStyle w:val="BodyText"/>
        <w:kinsoku w:val="0"/>
        <w:overflowPunct w:val="0"/>
        <w:rPr>
          <w:rFonts w:ascii="Garamond" w:hAnsi="Garamond" w:cs="Garamond"/>
          <w:sz w:val="20"/>
          <w:szCs w:val="20"/>
        </w:rPr>
      </w:pPr>
    </w:p>
    <w:p w:rsidR="002C5025" w:rsidRDefault="002C5025">
      <w:pPr>
        <w:pStyle w:val="BodyText"/>
        <w:kinsoku w:val="0"/>
        <w:overflowPunct w:val="0"/>
        <w:rPr>
          <w:rFonts w:ascii="Garamond" w:hAnsi="Garamond" w:cs="Garamond"/>
          <w:sz w:val="20"/>
          <w:szCs w:val="20"/>
        </w:rPr>
      </w:pPr>
    </w:p>
    <w:p w:rsidR="002C5025" w:rsidRDefault="002C5025">
      <w:pPr>
        <w:pStyle w:val="BodyText"/>
        <w:kinsoku w:val="0"/>
        <w:overflowPunct w:val="0"/>
        <w:rPr>
          <w:rFonts w:ascii="Garamond" w:hAnsi="Garamond" w:cs="Garamond"/>
          <w:sz w:val="20"/>
          <w:szCs w:val="20"/>
        </w:rPr>
      </w:pPr>
    </w:p>
    <w:p w:rsidR="002C5025" w:rsidRDefault="00FB027C">
      <w:pPr>
        <w:pStyle w:val="BodyText"/>
        <w:kinsoku w:val="0"/>
        <w:overflowPunct w:val="0"/>
        <w:spacing w:before="2"/>
        <w:rPr>
          <w:rFonts w:ascii="Garamond" w:hAnsi="Garamond" w:cs="Garamond"/>
          <w:sz w:val="13"/>
          <w:szCs w:val="13"/>
        </w:rPr>
      </w:pPr>
      <w:r>
        <w:rPr>
          <w:noProof/>
        </w:rPr>
        <mc:AlternateContent>
          <mc:Choice Requires="wps">
            <w:drawing>
              <wp:anchor distT="0" distB="0" distL="0" distR="0" simplePos="0" relativeHeight="251667968" behindDoc="0" locked="0" layoutInCell="0" allowOverlap="1">
                <wp:simplePos x="0" y="0"/>
                <wp:positionH relativeFrom="page">
                  <wp:posOffset>923925</wp:posOffset>
                </wp:positionH>
                <wp:positionV relativeFrom="paragraph">
                  <wp:posOffset>124460</wp:posOffset>
                </wp:positionV>
                <wp:extent cx="1829435" cy="12700"/>
                <wp:effectExtent l="0" t="0" r="0" b="0"/>
                <wp:wrapTopAndBottom/>
                <wp:docPr id="551" name="Freeform 4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1 w 2881"/>
                            <a:gd name="T3" fmla="*/ 0 h 20"/>
                          </a:gdLst>
                          <a:ahLst/>
                          <a:cxnLst>
                            <a:cxn ang="0">
                              <a:pos x="T0" y="T1"/>
                            </a:cxn>
                            <a:cxn ang="0">
                              <a:pos x="T2" y="T3"/>
                            </a:cxn>
                          </a:cxnLst>
                          <a:rect l="0" t="0" r="r" b="b"/>
                          <a:pathLst>
                            <a:path w="2881" h="20">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74" o:spid="_x0000_s1026" style="position:absolute;z-index:251667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2.75pt,9.8pt,216.8pt,9.8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" o:allowincell="f" filled="f" strokeweight=".82pt">
                <v:path arrowok="t" o:connecttype="custom" o:connectlocs="0,0;1829435,0" o:connectangles="0,0"/>
                <w10:wrap type="topAndBottom" anchorx="page"/>
              </v:polyline>
            </w:pict>
          </mc:Fallback>
        </mc:AlternateContent>
      </w:r>
    </w:p>
    <w:p w:rsidR="002C5025" w:rsidRDefault="002C5025">
      <w:pPr>
        <w:pStyle w:val="BodyText"/>
        <w:kinsoku w:val="0"/>
        <w:overflowPunct w:val="0"/>
        <w:spacing w:before="71"/>
        <w:ind w:left="120" w:right="558"/>
        <w:rPr>
          <w:rFonts w:ascii="Garamond" w:hAnsi="Garamond" w:cs="Garamond"/>
          <w:color w:val="0000FF"/>
          <w:sz w:val="20"/>
          <w:szCs w:val="20"/>
        </w:rPr>
      </w:pPr>
      <w:r>
        <w:rPr>
          <w:rFonts w:ascii="Garamond" w:hAnsi="Garamond" w:cs="Garamond"/>
          <w:position w:val="5"/>
          <w:sz w:val="13"/>
          <w:szCs w:val="13"/>
        </w:rPr>
        <w:t>36</w:t>
      </w:r>
      <w:r>
        <w:rPr>
          <w:rFonts w:ascii="Garamond" w:hAnsi="Garamond" w:cs="Garamond"/>
          <w:spacing w:val="8"/>
          <w:position w:val="5"/>
          <w:sz w:val="13"/>
          <w:szCs w:val="13"/>
        </w:rPr>
        <w:t xml:space="preserve"> </w:t>
      </w:r>
      <w:r>
        <w:rPr>
          <w:rFonts w:ascii="Garamond" w:hAnsi="Garamond" w:cs="Garamond"/>
          <w:sz w:val="20"/>
          <w:szCs w:val="20"/>
        </w:rPr>
        <w:t>Centers</w:t>
      </w:r>
      <w:r>
        <w:rPr>
          <w:rFonts w:ascii="Garamond" w:hAnsi="Garamond" w:cs="Garamond"/>
          <w:spacing w:val="-12"/>
          <w:sz w:val="20"/>
          <w:szCs w:val="20"/>
        </w:rPr>
        <w:t xml:space="preserve"> </w:t>
      </w:r>
      <w:r>
        <w:rPr>
          <w:rFonts w:ascii="Garamond" w:hAnsi="Garamond" w:cs="Garamond"/>
          <w:sz w:val="20"/>
          <w:szCs w:val="20"/>
        </w:rPr>
        <w:t>for</w:t>
      </w:r>
      <w:r>
        <w:rPr>
          <w:rFonts w:ascii="Garamond" w:hAnsi="Garamond" w:cs="Garamond"/>
          <w:spacing w:val="-8"/>
          <w:sz w:val="20"/>
          <w:szCs w:val="20"/>
        </w:rPr>
        <w:t xml:space="preserve"> </w:t>
      </w:r>
      <w:r>
        <w:rPr>
          <w:rFonts w:ascii="Garamond" w:hAnsi="Garamond" w:cs="Garamond"/>
          <w:sz w:val="20"/>
          <w:szCs w:val="20"/>
        </w:rPr>
        <w:t>Medicare</w:t>
      </w:r>
      <w:r>
        <w:rPr>
          <w:rFonts w:ascii="Garamond" w:hAnsi="Garamond" w:cs="Garamond"/>
          <w:spacing w:val="-10"/>
          <w:sz w:val="20"/>
          <w:szCs w:val="20"/>
        </w:rPr>
        <w:t xml:space="preserve"> </w:t>
      </w:r>
      <w:r>
        <w:rPr>
          <w:rFonts w:ascii="Garamond" w:hAnsi="Garamond" w:cs="Garamond"/>
          <w:sz w:val="20"/>
          <w:szCs w:val="20"/>
        </w:rPr>
        <w:t>and</w:t>
      </w:r>
      <w:r>
        <w:rPr>
          <w:rFonts w:ascii="Garamond" w:hAnsi="Garamond" w:cs="Garamond"/>
          <w:spacing w:val="-8"/>
          <w:sz w:val="20"/>
          <w:szCs w:val="20"/>
        </w:rPr>
        <w:t xml:space="preserve"> </w:t>
      </w:r>
      <w:r>
        <w:rPr>
          <w:rFonts w:ascii="Garamond" w:hAnsi="Garamond" w:cs="Garamond"/>
          <w:sz w:val="20"/>
          <w:szCs w:val="20"/>
        </w:rPr>
        <w:t>Medicaid</w:t>
      </w:r>
      <w:r>
        <w:rPr>
          <w:rFonts w:ascii="Garamond" w:hAnsi="Garamond" w:cs="Garamond"/>
          <w:spacing w:val="-8"/>
          <w:sz w:val="20"/>
          <w:szCs w:val="20"/>
        </w:rPr>
        <w:t xml:space="preserve"> </w:t>
      </w:r>
      <w:r>
        <w:rPr>
          <w:rFonts w:ascii="Garamond" w:hAnsi="Garamond" w:cs="Garamond"/>
          <w:sz w:val="20"/>
          <w:szCs w:val="20"/>
        </w:rPr>
        <w:t>Services,</w:t>
      </w:r>
      <w:r>
        <w:rPr>
          <w:rFonts w:ascii="Garamond" w:hAnsi="Garamond" w:cs="Garamond"/>
          <w:spacing w:val="-12"/>
          <w:sz w:val="20"/>
          <w:szCs w:val="20"/>
        </w:rPr>
        <w:t xml:space="preserve"> </w:t>
      </w:r>
      <w:r>
        <w:rPr>
          <w:rFonts w:ascii="Garamond" w:hAnsi="Garamond" w:cs="Garamond"/>
          <w:sz w:val="20"/>
          <w:szCs w:val="20"/>
        </w:rPr>
        <w:t>EPSDT</w:t>
      </w:r>
      <w:r>
        <w:rPr>
          <w:rFonts w:ascii="Garamond" w:hAnsi="Garamond" w:cs="Garamond"/>
          <w:spacing w:val="-5"/>
          <w:sz w:val="20"/>
          <w:szCs w:val="20"/>
        </w:rPr>
        <w:t xml:space="preserve"> </w:t>
      </w:r>
      <w:r>
        <w:rPr>
          <w:rFonts w:ascii="Garamond" w:hAnsi="Garamond" w:cs="Garamond"/>
          <w:sz w:val="20"/>
          <w:szCs w:val="20"/>
        </w:rPr>
        <w:t>-</w:t>
      </w:r>
      <w:r>
        <w:rPr>
          <w:rFonts w:ascii="Garamond" w:hAnsi="Garamond" w:cs="Garamond"/>
          <w:spacing w:val="-9"/>
          <w:sz w:val="20"/>
          <w:szCs w:val="20"/>
        </w:rPr>
        <w:t xml:space="preserve"> </w:t>
      </w:r>
      <w:r>
        <w:rPr>
          <w:rFonts w:ascii="Garamond" w:hAnsi="Garamond" w:cs="Garamond"/>
          <w:sz w:val="20"/>
          <w:szCs w:val="20"/>
        </w:rPr>
        <w:t>A</w:t>
      </w:r>
      <w:r>
        <w:rPr>
          <w:rFonts w:ascii="Garamond" w:hAnsi="Garamond" w:cs="Garamond"/>
          <w:spacing w:val="-9"/>
          <w:sz w:val="20"/>
          <w:szCs w:val="20"/>
        </w:rPr>
        <w:t xml:space="preserve"> </w:t>
      </w:r>
      <w:r>
        <w:rPr>
          <w:rFonts w:ascii="Garamond" w:hAnsi="Garamond" w:cs="Garamond"/>
          <w:sz w:val="20"/>
          <w:szCs w:val="20"/>
        </w:rPr>
        <w:t>Guide</w:t>
      </w:r>
      <w:r>
        <w:rPr>
          <w:rFonts w:ascii="Garamond" w:hAnsi="Garamond" w:cs="Garamond"/>
          <w:spacing w:val="-8"/>
          <w:sz w:val="20"/>
          <w:szCs w:val="20"/>
        </w:rPr>
        <w:t xml:space="preserve"> </w:t>
      </w:r>
      <w:r>
        <w:rPr>
          <w:rFonts w:ascii="Garamond" w:hAnsi="Garamond" w:cs="Garamond"/>
          <w:sz w:val="20"/>
          <w:szCs w:val="20"/>
        </w:rPr>
        <w:t>for</w:t>
      </w:r>
      <w:r>
        <w:rPr>
          <w:rFonts w:ascii="Garamond" w:hAnsi="Garamond" w:cs="Garamond"/>
          <w:spacing w:val="-8"/>
          <w:sz w:val="20"/>
          <w:szCs w:val="20"/>
        </w:rPr>
        <w:t xml:space="preserve"> </w:t>
      </w:r>
      <w:r>
        <w:rPr>
          <w:rFonts w:ascii="Garamond" w:hAnsi="Garamond" w:cs="Garamond"/>
          <w:sz w:val="20"/>
          <w:szCs w:val="20"/>
        </w:rPr>
        <w:t>States:</w:t>
      </w:r>
      <w:r>
        <w:rPr>
          <w:rFonts w:ascii="Garamond" w:hAnsi="Garamond" w:cs="Garamond"/>
          <w:spacing w:val="-12"/>
          <w:sz w:val="20"/>
          <w:szCs w:val="20"/>
        </w:rPr>
        <w:t xml:space="preserve"> </w:t>
      </w:r>
      <w:r>
        <w:rPr>
          <w:rFonts w:ascii="Garamond" w:hAnsi="Garamond" w:cs="Garamond"/>
          <w:sz w:val="20"/>
          <w:szCs w:val="20"/>
        </w:rPr>
        <w:t>Coverage</w:t>
      </w:r>
      <w:r>
        <w:rPr>
          <w:rFonts w:ascii="Garamond" w:hAnsi="Garamond" w:cs="Garamond"/>
          <w:spacing w:val="-8"/>
          <w:sz w:val="20"/>
          <w:szCs w:val="20"/>
        </w:rPr>
        <w:t xml:space="preserve"> </w:t>
      </w:r>
      <w:r>
        <w:rPr>
          <w:rFonts w:ascii="Garamond" w:hAnsi="Garamond" w:cs="Garamond"/>
          <w:sz w:val="20"/>
          <w:szCs w:val="20"/>
        </w:rPr>
        <w:t>in</w:t>
      </w:r>
      <w:r>
        <w:rPr>
          <w:rFonts w:ascii="Garamond" w:hAnsi="Garamond" w:cs="Garamond"/>
          <w:spacing w:val="-10"/>
          <w:sz w:val="20"/>
          <w:szCs w:val="20"/>
        </w:rPr>
        <w:t xml:space="preserve"> </w:t>
      </w:r>
      <w:r>
        <w:rPr>
          <w:rFonts w:ascii="Garamond" w:hAnsi="Garamond" w:cs="Garamond"/>
          <w:sz w:val="20"/>
          <w:szCs w:val="20"/>
        </w:rPr>
        <w:t>the</w:t>
      </w:r>
      <w:r>
        <w:rPr>
          <w:rFonts w:ascii="Garamond" w:hAnsi="Garamond" w:cs="Garamond"/>
          <w:spacing w:val="-8"/>
          <w:sz w:val="20"/>
          <w:szCs w:val="20"/>
        </w:rPr>
        <w:t xml:space="preserve"> </w:t>
      </w:r>
      <w:r>
        <w:rPr>
          <w:rFonts w:ascii="Garamond" w:hAnsi="Garamond" w:cs="Garamond"/>
          <w:sz w:val="20"/>
          <w:szCs w:val="20"/>
        </w:rPr>
        <w:t>Medicaid</w:t>
      </w:r>
      <w:r>
        <w:rPr>
          <w:rFonts w:ascii="Garamond" w:hAnsi="Garamond" w:cs="Garamond"/>
          <w:spacing w:val="-5"/>
          <w:sz w:val="20"/>
          <w:szCs w:val="20"/>
        </w:rPr>
        <w:t xml:space="preserve"> </w:t>
      </w:r>
      <w:r>
        <w:rPr>
          <w:rFonts w:ascii="Garamond" w:hAnsi="Garamond" w:cs="Garamond"/>
          <w:sz w:val="20"/>
          <w:szCs w:val="20"/>
        </w:rPr>
        <w:t>Benefit</w:t>
      </w:r>
      <w:r>
        <w:rPr>
          <w:rFonts w:ascii="Garamond" w:hAnsi="Garamond" w:cs="Garamond"/>
          <w:spacing w:val="-12"/>
          <w:sz w:val="20"/>
          <w:szCs w:val="20"/>
        </w:rPr>
        <w:t xml:space="preserve"> </w:t>
      </w:r>
      <w:r>
        <w:rPr>
          <w:rFonts w:ascii="Garamond" w:hAnsi="Garamond" w:cs="Garamond"/>
          <w:sz w:val="20"/>
          <w:szCs w:val="20"/>
        </w:rPr>
        <w:t xml:space="preserve">for Children and Adolescents, June 2014. Available at: </w:t>
      </w:r>
      <w:hyperlink r:id="rId344" w:history="1">
        <w:r>
          <w:rPr>
            <w:rFonts w:ascii="Garamond" w:hAnsi="Garamond" w:cs="Garamond"/>
            <w:color w:val="0000FF"/>
            <w:sz w:val="20"/>
            <w:szCs w:val="20"/>
            <w:u w:val="single"/>
          </w:rPr>
          <w:t>http://www.medicaid.gov/Medicaid-CHIP-Program-</w:t>
        </w:r>
      </w:hyperlink>
      <w:r>
        <w:rPr>
          <w:rFonts w:ascii="Garamond" w:hAnsi="Garamond" w:cs="Garamond"/>
          <w:color w:val="0000FF"/>
          <w:sz w:val="20"/>
          <w:szCs w:val="20"/>
          <w:u w:val="single"/>
        </w:rPr>
        <w:t xml:space="preserve"> </w:t>
      </w:r>
      <w:hyperlink r:id="rId345" w:history="1">
        <w:r>
          <w:rPr>
            <w:rFonts w:ascii="Garamond" w:hAnsi="Garamond" w:cs="Garamond"/>
            <w:color w:val="0000FF"/>
            <w:sz w:val="20"/>
            <w:szCs w:val="20"/>
            <w:u w:val="single"/>
          </w:rPr>
          <w:t>Information/ByTopics/Benefits/Early-and-Periodic-Screening-Diagnostic-and-Treatment.html</w:t>
        </w:r>
        <w:r>
          <w:rPr>
            <w:rFonts w:ascii="Garamond" w:hAnsi="Garamond" w:cs="Garamond"/>
            <w:color w:val="000000"/>
            <w:sz w:val="20"/>
            <w:szCs w:val="20"/>
            <w:u w:val="single"/>
          </w:rPr>
          <w:t>.</w:t>
        </w:r>
      </w:hyperlink>
    </w:p>
    <w:p w:rsidR="002C5025" w:rsidRDefault="002C5025">
      <w:pPr>
        <w:pStyle w:val="BodyText"/>
        <w:tabs>
          <w:tab w:val="left" w:pos="619"/>
        </w:tabs>
        <w:kinsoku w:val="0"/>
        <w:overflowPunct w:val="0"/>
        <w:ind w:left="120" w:right="889"/>
        <w:rPr>
          <w:rFonts w:ascii="Garamond" w:hAnsi="Garamond" w:cs="Garamond"/>
          <w:color w:val="0000FF"/>
          <w:spacing w:val="-1"/>
          <w:w w:val="95"/>
          <w:sz w:val="20"/>
          <w:szCs w:val="20"/>
        </w:rPr>
      </w:pPr>
      <w:r>
        <w:rPr>
          <w:rFonts w:ascii="Garamond" w:hAnsi="Garamond" w:cs="Garamond"/>
          <w:position w:val="5"/>
          <w:sz w:val="13"/>
          <w:szCs w:val="13"/>
        </w:rPr>
        <w:t>37</w:t>
      </w:r>
      <w:r>
        <w:rPr>
          <w:rFonts w:ascii="Garamond" w:hAnsi="Garamond" w:cs="Garamond"/>
          <w:position w:val="5"/>
          <w:sz w:val="13"/>
          <w:szCs w:val="13"/>
        </w:rPr>
        <w:tab/>
      </w:r>
      <w:hyperlink r:id="rId346" w:history="1">
        <w:r>
          <w:rPr>
            <w:rFonts w:ascii="Garamond" w:hAnsi="Garamond" w:cs="Garamond"/>
            <w:color w:val="0000FF"/>
            <w:spacing w:val="-1"/>
            <w:w w:val="95"/>
            <w:sz w:val="20"/>
            <w:szCs w:val="20"/>
            <w:u w:val="single"/>
          </w:rPr>
          <w:t>https://www.cthealth.org/wp-content/uploads/2011/04/Policy-Brief-2-Proposed-Medicaid-Cost-Sharing-</w:t>
        </w:r>
      </w:hyperlink>
      <w:r>
        <w:rPr>
          <w:rFonts w:ascii="Garamond" w:hAnsi="Garamond" w:cs="Garamond"/>
          <w:color w:val="0000FF"/>
          <w:spacing w:val="-1"/>
          <w:w w:val="95"/>
          <w:sz w:val="20"/>
          <w:szCs w:val="20"/>
          <w:u w:val="single"/>
        </w:rPr>
        <w:t xml:space="preserve"> </w:t>
      </w:r>
      <w:hyperlink r:id="rId347" w:history="1">
        <w:r>
          <w:rPr>
            <w:rFonts w:ascii="Garamond" w:hAnsi="Garamond" w:cs="Garamond"/>
            <w:color w:val="0000FF"/>
            <w:sz w:val="20"/>
            <w:szCs w:val="20"/>
            <w:u w:val="single"/>
          </w:rPr>
          <w:t>Evaluating-The-Impact.pdf</w:t>
        </w:r>
        <w:r>
          <w:rPr>
            <w:rFonts w:ascii="Garamond" w:hAnsi="Garamond" w:cs="Garamond"/>
            <w:color w:val="000000"/>
            <w:sz w:val="20"/>
            <w:szCs w:val="20"/>
            <w:u w:val="single"/>
          </w:rPr>
          <w:t>.</w:t>
        </w:r>
      </w:hyperlink>
    </w:p>
    <w:p w:rsidR="002C5025" w:rsidRDefault="002C5025">
      <w:pPr>
        <w:pStyle w:val="BodyText"/>
        <w:tabs>
          <w:tab w:val="left" w:pos="463"/>
        </w:tabs>
        <w:kinsoku w:val="0"/>
        <w:overflowPunct w:val="0"/>
        <w:spacing w:line="223" w:lineRule="exact"/>
        <w:ind w:left="120" w:right="4070"/>
        <w:rPr>
          <w:rFonts w:ascii="Garamond" w:hAnsi="Garamond" w:cs="Garamond"/>
          <w:color w:val="000000"/>
          <w:sz w:val="20"/>
          <w:szCs w:val="20"/>
        </w:rPr>
      </w:pPr>
      <w:r>
        <w:rPr>
          <w:rFonts w:ascii="Garamond" w:hAnsi="Garamond" w:cs="Garamond"/>
          <w:position w:val="5"/>
          <w:sz w:val="13"/>
          <w:szCs w:val="13"/>
        </w:rPr>
        <w:t>38</w:t>
      </w:r>
      <w:r>
        <w:rPr>
          <w:rFonts w:ascii="Garamond" w:hAnsi="Garamond" w:cs="Garamond"/>
          <w:position w:val="5"/>
          <w:sz w:val="13"/>
          <w:szCs w:val="13"/>
        </w:rPr>
        <w:tab/>
      </w:r>
      <w:hyperlink r:id="rId348" w:history="1">
        <w:r>
          <w:rPr>
            <w:rFonts w:ascii="Garamond" w:hAnsi="Garamond" w:cs="Garamond"/>
            <w:color w:val="0000FF"/>
            <w:sz w:val="20"/>
            <w:szCs w:val="20"/>
            <w:u w:val="single"/>
          </w:rPr>
          <w:t>http://content.healthaffairs.org/content/24/4/1106.full</w:t>
        </w:r>
        <w:r>
          <w:rPr>
            <w:rFonts w:ascii="Garamond" w:hAnsi="Garamond" w:cs="Garamond"/>
            <w:color w:val="000000"/>
            <w:sz w:val="20"/>
            <w:szCs w:val="20"/>
          </w:rPr>
          <w:t>.</w:t>
        </w:r>
      </w:hyperlink>
    </w:p>
    <w:p w:rsidR="002C5025" w:rsidRDefault="002C5025">
      <w:pPr>
        <w:pStyle w:val="BodyText"/>
        <w:tabs>
          <w:tab w:val="left" w:pos="489"/>
        </w:tabs>
        <w:kinsoku w:val="0"/>
        <w:overflowPunct w:val="0"/>
        <w:spacing w:before="10" w:line="221" w:lineRule="exact"/>
        <w:ind w:left="120" w:right="329"/>
        <w:rPr>
          <w:rFonts w:ascii="Garamond" w:hAnsi="Garamond" w:cs="Garamond"/>
          <w:color w:val="000000"/>
          <w:sz w:val="20"/>
          <w:szCs w:val="20"/>
        </w:rPr>
      </w:pPr>
      <w:r>
        <w:rPr>
          <w:rFonts w:ascii="Garamond" w:hAnsi="Garamond" w:cs="Garamond"/>
          <w:position w:val="5"/>
          <w:sz w:val="13"/>
          <w:szCs w:val="13"/>
        </w:rPr>
        <w:t>39</w:t>
      </w:r>
      <w:r>
        <w:rPr>
          <w:rFonts w:ascii="Garamond" w:hAnsi="Garamond" w:cs="Garamond"/>
          <w:position w:val="5"/>
          <w:sz w:val="13"/>
          <w:szCs w:val="13"/>
        </w:rPr>
        <w:tab/>
      </w:r>
      <w:hyperlink r:id="rId349" w:history="1">
        <w:r>
          <w:rPr>
            <w:rFonts w:ascii="Garamond" w:hAnsi="Garamond" w:cs="Garamond"/>
            <w:color w:val="0000FF"/>
            <w:sz w:val="20"/>
            <w:szCs w:val="20"/>
            <w:u w:val="single"/>
          </w:rPr>
          <w:t>https://kaiserhealthnews.files.wordpress.com/2014/07/8417.pdf</w:t>
        </w:r>
        <w:r>
          <w:rPr>
            <w:rFonts w:ascii="Garamond" w:hAnsi="Garamond" w:cs="Garamond"/>
            <w:color w:val="000000"/>
            <w:sz w:val="20"/>
            <w:szCs w:val="20"/>
          </w:rPr>
          <w:t>.</w:t>
        </w:r>
      </w:hyperlink>
    </w:p>
    <w:p w:rsidR="002C5025" w:rsidRDefault="002C5025">
      <w:pPr>
        <w:pStyle w:val="BodyText"/>
        <w:kinsoku w:val="0"/>
        <w:overflowPunct w:val="0"/>
        <w:ind w:left="120" w:right="329"/>
        <w:rPr>
          <w:rFonts w:ascii="Garamond" w:hAnsi="Garamond" w:cs="Garamond"/>
          <w:sz w:val="20"/>
          <w:szCs w:val="20"/>
        </w:rPr>
      </w:pPr>
      <w:r>
        <w:rPr>
          <w:rFonts w:ascii="Garamond" w:hAnsi="Garamond" w:cs="Garamond"/>
          <w:position w:val="5"/>
          <w:sz w:val="13"/>
          <w:szCs w:val="13"/>
        </w:rPr>
        <w:t>40</w:t>
      </w:r>
      <w:r>
        <w:rPr>
          <w:rFonts w:ascii="Garamond" w:hAnsi="Garamond" w:cs="Garamond"/>
          <w:spacing w:val="5"/>
          <w:position w:val="5"/>
          <w:sz w:val="13"/>
          <w:szCs w:val="13"/>
        </w:rPr>
        <w:t xml:space="preserve"> </w:t>
      </w:r>
      <w:r>
        <w:rPr>
          <w:rFonts w:ascii="Garamond" w:hAnsi="Garamond" w:cs="Garamond"/>
          <w:sz w:val="20"/>
          <w:szCs w:val="20"/>
        </w:rPr>
        <w:t>Report</w:t>
      </w:r>
      <w:r>
        <w:rPr>
          <w:rFonts w:ascii="Garamond" w:hAnsi="Garamond" w:cs="Garamond"/>
          <w:spacing w:val="-17"/>
          <w:sz w:val="20"/>
          <w:szCs w:val="20"/>
        </w:rPr>
        <w:t xml:space="preserve"> </w:t>
      </w:r>
      <w:r>
        <w:rPr>
          <w:rFonts w:ascii="Garamond" w:hAnsi="Garamond" w:cs="Garamond"/>
          <w:sz w:val="20"/>
          <w:szCs w:val="20"/>
        </w:rPr>
        <w:t>of</w:t>
      </w:r>
      <w:r>
        <w:rPr>
          <w:rFonts w:ascii="Garamond" w:hAnsi="Garamond" w:cs="Garamond"/>
          <w:spacing w:val="-12"/>
          <w:sz w:val="20"/>
          <w:szCs w:val="20"/>
        </w:rPr>
        <w:t xml:space="preserve"> </w:t>
      </w:r>
      <w:r>
        <w:rPr>
          <w:rFonts w:ascii="Garamond" w:hAnsi="Garamond" w:cs="Garamond"/>
          <w:sz w:val="20"/>
          <w:szCs w:val="20"/>
        </w:rPr>
        <w:t>the</w:t>
      </w:r>
      <w:r>
        <w:rPr>
          <w:rFonts w:ascii="Garamond" w:hAnsi="Garamond" w:cs="Garamond"/>
          <w:spacing w:val="-12"/>
          <w:sz w:val="20"/>
          <w:szCs w:val="20"/>
        </w:rPr>
        <w:t xml:space="preserve"> </w:t>
      </w:r>
      <w:r>
        <w:rPr>
          <w:rFonts w:ascii="Garamond" w:hAnsi="Garamond" w:cs="Garamond"/>
          <w:sz w:val="20"/>
          <w:szCs w:val="20"/>
        </w:rPr>
        <w:t>Working</w:t>
      </w:r>
      <w:r>
        <w:rPr>
          <w:rFonts w:ascii="Garamond" w:hAnsi="Garamond" w:cs="Garamond"/>
          <w:spacing w:val="-15"/>
          <w:sz w:val="20"/>
          <w:szCs w:val="20"/>
        </w:rPr>
        <w:t xml:space="preserve"> </w:t>
      </w:r>
      <w:r>
        <w:rPr>
          <w:rFonts w:ascii="Garamond" w:hAnsi="Garamond" w:cs="Garamond"/>
          <w:sz w:val="20"/>
          <w:szCs w:val="20"/>
        </w:rPr>
        <w:t>Group</w:t>
      </w:r>
      <w:r>
        <w:rPr>
          <w:rFonts w:ascii="Garamond" w:hAnsi="Garamond" w:cs="Garamond"/>
          <w:spacing w:val="-13"/>
          <w:sz w:val="20"/>
          <w:szCs w:val="20"/>
        </w:rPr>
        <w:t xml:space="preserve"> </w:t>
      </w:r>
      <w:r>
        <w:rPr>
          <w:rFonts w:ascii="Garamond" w:hAnsi="Garamond" w:cs="Garamond"/>
          <w:sz w:val="20"/>
          <w:szCs w:val="20"/>
        </w:rPr>
        <w:t>on</w:t>
      </w:r>
      <w:r>
        <w:rPr>
          <w:rFonts w:ascii="Garamond" w:hAnsi="Garamond" w:cs="Garamond"/>
          <w:spacing w:val="-15"/>
          <w:sz w:val="20"/>
          <w:szCs w:val="20"/>
        </w:rPr>
        <w:t xml:space="preserve"> </w:t>
      </w:r>
      <w:r>
        <w:rPr>
          <w:rFonts w:ascii="Garamond" w:hAnsi="Garamond" w:cs="Garamond"/>
          <w:sz w:val="20"/>
          <w:szCs w:val="20"/>
        </w:rPr>
        <w:t>Medicaid</w:t>
      </w:r>
      <w:r>
        <w:rPr>
          <w:rFonts w:ascii="Garamond" w:hAnsi="Garamond" w:cs="Garamond"/>
          <w:spacing w:val="-12"/>
          <w:sz w:val="20"/>
          <w:szCs w:val="20"/>
        </w:rPr>
        <w:t xml:space="preserve"> </w:t>
      </w:r>
      <w:r>
        <w:rPr>
          <w:rFonts w:ascii="Garamond" w:hAnsi="Garamond" w:cs="Garamond"/>
          <w:sz w:val="20"/>
          <w:szCs w:val="20"/>
        </w:rPr>
        <w:t>Managed</w:t>
      </w:r>
      <w:r>
        <w:rPr>
          <w:rFonts w:ascii="Garamond" w:hAnsi="Garamond" w:cs="Garamond"/>
          <w:spacing w:val="-12"/>
          <w:sz w:val="20"/>
          <w:szCs w:val="20"/>
        </w:rPr>
        <w:t xml:space="preserve"> </w:t>
      </w:r>
      <w:r>
        <w:rPr>
          <w:rFonts w:ascii="Garamond" w:hAnsi="Garamond" w:cs="Garamond"/>
          <w:sz w:val="20"/>
          <w:szCs w:val="20"/>
        </w:rPr>
        <w:t>Care</w:t>
      </w:r>
      <w:r>
        <w:rPr>
          <w:rFonts w:ascii="Garamond" w:hAnsi="Garamond" w:cs="Garamond"/>
          <w:spacing w:val="-13"/>
          <w:sz w:val="20"/>
          <w:szCs w:val="20"/>
        </w:rPr>
        <w:t xml:space="preserve"> </w:t>
      </w:r>
      <w:r>
        <w:rPr>
          <w:rFonts w:ascii="Garamond" w:hAnsi="Garamond" w:cs="Garamond"/>
          <w:sz w:val="20"/>
          <w:szCs w:val="20"/>
        </w:rPr>
        <w:t>Organizations,</w:t>
      </w:r>
      <w:r>
        <w:rPr>
          <w:rFonts w:ascii="Garamond" w:hAnsi="Garamond" w:cs="Garamond"/>
          <w:spacing w:val="-12"/>
          <w:sz w:val="20"/>
          <w:szCs w:val="20"/>
        </w:rPr>
        <w:t xml:space="preserve"> </w:t>
      </w:r>
      <w:r>
        <w:rPr>
          <w:rFonts w:ascii="Garamond" w:hAnsi="Garamond" w:cs="Garamond"/>
          <w:sz w:val="20"/>
          <w:szCs w:val="20"/>
        </w:rPr>
        <w:t>MA</w:t>
      </w:r>
      <w:r>
        <w:rPr>
          <w:rFonts w:ascii="Garamond" w:hAnsi="Garamond" w:cs="Garamond"/>
          <w:spacing w:val="-15"/>
          <w:sz w:val="20"/>
          <w:szCs w:val="20"/>
        </w:rPr>
        <w:t xml:space="preserve"> </w:t>
      </w:r>
      <w:r>
        <w:rPr>
          <w:rFonts w:ascii="Garamond" w:hAnsi="Garamond" w:cs="Garamond"/>
          <w:sz w:val="20"/>
          <w:szCs w:val="20"/>
        </w:rPr>
        <w:t>House</w:t>
      </w:r>
      <w:r>
        <w:rPr>
          <w:rFonts w:ascii="Garamond" w:hAnsi="Garamond" w:cs="Garamond"/>
          <w:spacing w:val="-12"/>
          <w:sz w:val="20"/>
          <w:szCs w:val="20"/>
        </w:rPr>
        <w:t xml:space="preserve"> </w:t>
      </w:r>
      <w:r>
        <w:rPr>
          <w:rFonts w:ascii="Garamond" w:hAnsi="Garamond" w:cs="Garamond"/>
          <w:sz w:val="20"/>
          <w:szCs w:val="20"/>
        </w:rPr>
        <w:t>of</w:t>
      </w:r>
      <w:r>
        <w:rPr>
          <w:rFonts w:ascii="Garamond" w:hAnsi="Garamond" w:cs="Garamond"/>
          <w:spacing w:val="-12"/>
          <w:sz w:val="20"/>
          <w:szCs w:val="20"/>
        </w:rPr>
        <w:t xml:space="preserve"> </w:t>
      </w:r>
      <w:r>
        <w:rPr>
          <w:rFonts w:ascii="Garamond" w:hAnsi="Garamond" w:cs="Garamond"/>
          <w:sz w:val="20"/>
          <w:szCs w:val="20"/>
        </w:rPr>
        <w:t>Representatives,</w:t>
      </w:r>
      <w:r>
        <w:rPr>
          <w:rFonts w:ascii="Garamond" w:hAnsi="Garamond" w:cs="Garamond"/>
          <w:spacing w:val="-17"/>
          <w:sz w:val="20"/>
          <w:szCs w:val="20"/>
        </w:rPr>
        <w:t xml:space="preserve"> </w:t>
      </w:r>
      <w:r>
        <w:rPr>
          <w:rFonts w:ascii="Garamond" w:hAnsi="Garamond" w:cs="Garamond"/>
          <w:sz w:val="20"/>
          <w:szCs w:val="20"/>
        </w:rPr>
        <w:t>October 2015.</w:t>
      </w:r>
    </w:p>
    <w:p w:rsidR="002C5025" w:rsidRDefault="002C5025">
      <w:pPr>
        <w:pStyle w:val="BodyText"/>
        <w:kinsoku w:val="0"/>
        <w:overflowPunct w:val="0"/>
        <w:ind w:left="120" w:right="275"/>
        <w:rPr>
          <w:rFonts w:ascii="Garamond" w:hAnsi="Garamond" w:cs="Garamond"/>
          <w:sz w:val="20"/>
          <w:szCs w:val="20"/>
        </w:rPr>
      </w:pPr>
      <w:r>
        <w:rPr>
          <w:rFonts w:ascii="Garamond" w:hAnsi="Garamond" w:cs="Garamond"/>
          <w:position w:val="5"/>
          <w:sz w:val="13"/>
          <w:szCs w:val="13"/>
        </w:rPr>
        <w:t xml:space="preserve">41 </w:t>
      </w:r>
      <w:r>
        <w:rPr>
          <w:rFonts w:ascii="Garamond" w:hAnsi="Garamond" w:cs="Garamond"/>
          <w:sz w:val="20"/>
          <w:szCs w:val="20"/>
        </w:rPr>
        <w:t>R. Seifert, et al., Enrollment and Disenrollment in MassHealth and Commonwealth Care, Massachusetts Medicaid Policy Institute, 2010; L. Ku, New Research Shows Simplifying Medicaid Can Reduce Children’s Hospitalizations, Center on Budget and Policy Priorities, June 2007; L. Olson, et al., Children in the United States with Discontinuous Health Insurance Coverage,” NEJM, 353:382-391 (2005).</w:t>
      </w:r>
    </w:p>
    <w:p w:rsidR="002C5025" w:rsidRDefault="002C5025">
      <w:pPr>
        <w:pStyle w:val="BodyText"/>
        <w:kinsoku w:val="0"/>
        <w:overflowPunct w:val="0"/>
        <w:spacing w:line="223" w:lineRule="exact"/>
        <w:ind w:left="120" w:right="5109"/>
        <w:rPr>
          <w:rFonts w:ascii="Garamond" w:hAnsi="Garamond" w:cs="Garamond"/>
          <w:sz w:val="20"/>
          <w:szCs w:val="20"/>
        </w:rPr>
      </w:pPr>
      <w:r>
        <w:rPr>
          <w:rFonts w:ascii="Garamond" w:hAnsi="Garamond" w:cs="Garamond"/>
          <w:position w:val="5"/>
          <w:sz w:val="13"/>
          <w:szCs w:val="13"/>
        </w:rPr>
        <w:t xml:space="preserve">42 </w:t>
      </w:r>
      <w:r>
        <w:rPr>
          <w:rFonts w:ascii="Garamond" w:hAnsi="Garamond" w:cs="Garamond"/>
          <w:sz w:val="20"/>
          <w:szCs w:val="20"/>
        </w:rPr>
        <w:t>Supra</w:t>
      </w:r>
    </w:p>
    <w:p w:rsidR="002C5025" w:rsidRDefault="002C5025">
      <w:pPr>
        <w:pStyle w:val="BodyText"/>
        <w:kinsoku w:val="0"/>
        <w:overflowPunct w:val="0"/>
        <w:ind w:left="120" w:right="380"/>
        <w:rPr>
          <w:rFonts w:ascii="Garamond" w:hAnsi="Garamond" w:cs="Garamond"/>
          <w:sz w:val="20"/>
          <w:szCs w:val="20"/>
        </w:rPr>
      </w:pPr>
      <w:r>
        <w:rPr>
          <w:rFonts w:ascii="Garamond" w:hAnsi="Garamond" w:cs="Garamond"/>
          <w:position w:val="5"/>
          <w:sz w:val="13"/>
          <w:szCs w:val="13"/>
        </w:rPr>
        <w:t xml:space="preserve">43 </w:t>
      </w:r>
      <w:r>
        <w:rPr>
          <w:rFonts w:ascii="Garamond" w:hAnsi="Garamond" w:cs="Garamond"/>
          <w:sz w:val="20"/>
          <w:szCs w:val="20"/>
        </w:rPr>
        <w:t>Sommers, B., and S. Rosenbaum. Issues in health reform: How changes in eligibility may move millions back and forth between Medicaid and insurance exchanges. Health Affairs 30, (2011) no. 2: 228–236.</w:t>
      </w:r>
    </w:p>
    <w:p w:rsidR="002C5025" w:rsidRDefault="002C5025">
      <w:pPr>
        <w:pStyle w:val="BodyText"/>
        <w:kinsoku w:val="0"/>
        <w:overflowPunct w:val="0"/>
        <w:spacing w:before="3"/>
        <w:rPr>
          <w:rFonts w:ascii="Garamond" w:hAnsi="Garamond" w:cs="Garamond"/>
          <w:sz w:val="11"/>
          <w:szCs w:val="11"/>
        </w:rPr>
      </w:pPr>
    </w:p>
    <w:p w:rsidR="002C5025" w:rsidRDefault="002C5025">
      <w:pPr>
        <w:pStyle w:val="BodyText"/>
        <w:kinsoku w:val="0"/>
        <w:overflowPunct w:val="0"/>
        <w:spacing w:before="80"/>
        <w:ind w:left="4688" w:right="4504"/>
        <w:jc w:val="center"/>
        <w:rPr>
          <w:rFonts w:ascii="Garamond" w:hAnsi="Garamond" w:cs="Garamond"/>
          <w:sz w:val="20"/>
          <w:szCs w:val="20"/>
        </w:rPr>
      </w:pPr>
      <w:r>
        <w:rPr>
          <w:rFonts w:ascii="Garamond" w:hAnsi="Garamond" w:cs="Garamond"/>
          <w:sz w:val="20"/>
          <w:szCs w:val="20"/>
        </w:rPr>
        <w:t>17</w:t>
      </w:r>
    </w:p>
    <w:p w:rsidR="002C5025" w:rsidRDefault="002C5025">
      <w:pPr>
        <w:pStyle w:val="BodyText"/>
        <w:kinsoku w:val="0"/>
        <w:overflowPunct w:val="0"/>
        <w:spacing w:before="80"/>
        <w:ind w:left="4688" w:right="4504"/>
        <w:jc w:val="center"/>
        <w:rPr>
          <w:rFonts w:ascii="Garamond" w:hAnsi="Garamond" w:cs="Garamond"/>
          <w:sz w:val="20"/>
          <w:szCs w:val="20"/>
        </w:rPr>
        <w:sectPr w:rsidR="002C5025">
          <w:pgSz w:w="12240" w:h="15840"/>
          <w:pgMar w:top="1380" w:right="1500" w:bottom="280" w:left="1320" w:header="720" w:footer="720" w:gutter="0"/>
          <w:cols w:space="720" w:equalWidth="0">
            <w:col w:w="9420"/>
          </w:cols>
          <w:noEndnote/>
        </w:sectPr>
      </w:pPr>
    </w:p>
    <w:p w:rsidR="002C5025" w:rsidRDefault="002C5025">
      <w:pPr>
        <w:pStyle w:val="BodyText"/>
        <w:kinsoku w:val="0"/>
        <w:overflowPunct w:val="0"/>
        <w:spacing w:before="60"/>
        <w:ind w:left="119" w:right="43"/>
        <w:rPr>
          <w:rFonts w:ascii="Garamond" w:hAnsi="Garamond" w:cs="Garamond"/>
        </w:rPr>
      </w:pPr>
      <w:r>
        <w:rPr>
          <w:rFonts w:ascii="Garamond" w:hAnsi="Garamond" w:cs="Garamond"/>
        </w:rPr>
        <w:lastRenderedPageBreak/>
        <w:t>Research shows that when beneficiaries are enrolled in Medicaid for longer periods, the average monthly cost for their care declines.</w:t>
      </w:r>
      <w:r>
        <w:rPr>
          <w:rFonts w:ascii="Garamond" w:hAnsi="Garamond" w:cs="Garamond"/>
          <w:position w:val="5"/>
          <w:sz w:val="14"/>
          <w:szCs w:val="14"/>
        </w:rPr>
        <w:t xml:space="preserve">44 </w:t>
      </w:r>
      <w:r>
        <w:rPr>
          <w:rFonts w:ascii="Garamond" w:hAnsi="Garamond" w:cs="Garamond"/>
        </w:rPr>
        <w:t>The Federal Medicaid statute includes a state option to enroll children for 12-months of continuous eligibility, which to date 23 states have adopted in both their Medicaid and Children’s Health Insurance Programs (CHIP), and an additional 10 states in their CHIP programs alone.</w:t>
      </w:r>
      <w:r>
        <w:rPr>
          <w:rFonts w:ascii="Garamond" w:hAnsi="Garamond" w:cs="Garamond"/>
          <w:position w:val="5"/>
          <w:sz w:val="14"/>
          <w:szCs w:val="14"/>
        </w:rPr>
        <w:t xml:space="preserve">45 </w:t>
      </w:r>
      <w:r>
        <w:rPr>
          <w:rFonts w:ascii="Garamond" w:hAnsi="Garamond" w:cs="Garamond"/>
        </w:rPr>
        <w:t>While the Medicaid state plan option is limited to children, other authorities are available to extend the policy to adults.</w:t>
      </w:r>
    </w:p>
    <w:p w:rsidR="002C5025" w:rsidRDefault="002C5025">
      <w:pPr>
        <w:pStyle w:val="BodyText"/>
        <w:kinsoku w:val="0"/>
        <w:overflowPunct w:val="0"/>
        <w:spacing w:before="8"/>
        <w:rPr>
          <w:rFonts w:ascii="Garamond" w:hAnsi="Garamond" w:cs="Garamond"/>
          <w:sz w:val="21"/>
          <w:szCs w:val="21"/>
        </w:rPr>
      </w:pPr>
    </w:p>
    <w:p w:rsidR="002C5025" w:rsidRDefault="002C5025">
      <w:pPr>
        <w:pStyle w:val="BodyText"/>
        <w:kinsoku w:val="0"/>
        <w:overflowPunct w:val="0"/>
        <w:ind w:left="119" w:right="22"/>
        <w:rPr>
          <w:rFonts w:ascii="Garamond" w:hAnsi="Garamond" w:cs="Garamond"/>
        </w:rPr>
      </w:pPr>
      <w:r>
        <w:rPr>
          <w:rFonts w:ascii="Garamond" w:hAnsi="Garamond" w:cs="Garamond"/>
        </w:rPr>
        <w:t xml:space="preserve">CMS endorsed 12-month </w:t>
      </w:r>
      <w:r>
        <w:rPr>
          <w:rFonts w:ascii="Garamond" w:hAnsi="Garamond" w:cs="Garamond"/>
          <w:spacing w:val="-3"/>
        </w:rPr>
        <w:t xml:space="preserve">continuous </w:t>
      </w:r>
      <w:r>
        <w:rPr>
          <w:rFonts w:ascii="Garamond" w:hAnsi="Garamond" w:cs="Garamond"/>
        </w:rPr>
        <w:t xml:space="preserve">eligibility for </w:t>
      </w:r>
      <w:r>
        <w:rPr>
          <w:rFonts w:ascii="Garamond" w:hAnsi="Garamond" w:cs="Garamond"/>
          <w:spacing w:val="-3"/>
        </w:rPr>
        <w:t xml:space="preserve">parents </w:t>
      </w:r>
      <w:r>
        <w:rPr>
          <w:rFonts w:ascii="Garamond" w:hAnsi="Garamond" w:cs="Garamond"/>
        </w:rPr>
        <w:t>and other adults as a strategy available to states through 1115 demonstration authority.</w:t>
      </w:r>
      <w:r>
        <w:rPr>
          <w:rFonts w:ascii="Garamond" w:hAnsi="Garamond" w:cs="Garamond"/>
          <w:position w:val="5"/>
          <w:sz w:val="14"/>
          <w:szCs w:val="14"/>
        </w:rPr>
        <w:t xml:space="preserve">46 </w:t>
      </w:r>
      <w:r>
        <w:rPr>
          <w:rFonts w:ascii="Garamond" w:hAnsi="Garamond" w:cs="Garamond"/>
        </w:rPr>
        <w:t xml:space="preserve">New York and Montana have 1115 Waiver authority to extend continuous eligibility to </w:t>
      </w:r>
      <w:r>
        <w:rPr>
          <w:rFonts w:ascii="Garamond" w:hAnsi="Garamond" w:cs="Garamond"/>
          <w:spacing w:val="-3"/>
        </w:rPr>
        <w:t xml:space="preserve">parents </w:t>
      </w:r>
      <w:r>
        <w:rPr>
          <w:rFonts w:ascii="Garamond" w:hAnsi="Garamond" w:cs="Garamond"/>
        </w:rPr>
        <w:t>and other adults.</w:t>
      </w:r>
      <w:r>
        <w:rPr>
          <w:rFonts w:ascii="Garamond" w:hAnsi="Garamond" w:cs="Garamond"/>
          <w:position w:val="5"/>
          <w:sz w:val="14"/>
          <w:szCs w:val="14"/>
        </w:rPr>
        <w:t xml:space="preserve">47 </w:t>
      </w:r>
      <w:r>
        <w:rPr>
          <w:rFonts w:ascii="Garamond" w:hAnsi="Garamond" w:cs="Garamond"/>
        </w:rPr>
        <w:t xml:space="preserve">After analyzing studies of the adverse effects </w:t>
      </w:r>
      <w:r>
        <w:rPr>
          <w:rFonts w:ascii="Garamond" w:hAnsi="Garamond" w:cs="Garamond"/>
          <w:spacing w:val="-3"/>
        </w:rPr>
        <w:t xml:space="preserve">and </w:t>
      </w:r>
      <w:r>
        <w:rPr>
          <w:rFonts w:ascii="Garamond" w:hAnsi="Garamond" w:cs="Garamond"/>
        </w:rPr>
        <w:t xml:space="preserve">administrative expense </w:t>
      </w:r>
      <w:r>
        <w:rPr>
          <w:rFonts w:ascii="Garamond" w:hAnsi="Garamond" w:cs="Garamond"/>
          <w:spacing w:val="-3"/>
        </w:rPr>
        <w:t xml:space="preserve">of </w:t>
      </w:r>
      <w:r>
        <w:rPr>
          <w:rFonts w:ascii="Garamond" w:hAnsi="Garamond" w:cs="Garamond"/>
        </w:rPr>
        <w:t xml:space="preserve">churning, the Medicaid and </w:t>
      </w:r>
      <w:r>
        <w:rPr>
          <w:rFonts w:ascii="Garamond" w:hAnsi="Garamond" w:cs="Garamond"/>
          <w:spacing w:val="-3"/>
        </w:rPr>
        <w:t xml:space="preserve">CHIP </w:t>
      </w:r>
      <w:r>
        <w:rPr>
          <w:rFonts w:ascii="Garamond" w:hAnsi="Garamond" w:cs="Garamond"/>
        </w:rPr>
        <w:t xml:space="preserve">Payment and Access Commission recommended that </w:t>
      </w:r>
      <w:r>
        <w:rPr>
          <w:rFonts w:ascii="Garamond" w:hAnsi="Garamond" w:cs="Garamond"/>
          <w:spacing w:val="-3"/>
        </w:rPr>
        <w:t xml:space="preserve">Congress </w:t>
      </w:r>
      <w:r>
        <w:rPr>
          <w:rFonts w:ascii="Garamond" w:hAnsi="Garamond" w:cs="Garamond"/>
        </w:rPr>
        <w:t>give states an option to provide 12-month continuous eligibility for adults.</w:t>
      </w:r>
      <w:r>
        <w:rPr>
          <w:rFonts w:ascii="Garamond" w:hAnsi="Garamond" w:cs="Garamond"/>
          <w:position w:val="5"/>
          <w:sz w:val="14"/>
          <w:szCs w:val="14"/>
        </w:rPr>
        <w:t xml:space="preserve">48 </w:t>
      </w:r>
      <w:r>
        <w:rPr>
          <w:rFonts w:ascii="Garamond" w:hAnsi="Garamond" w:cs="Garamond"/>
        </w:rPr>
        <w:t xml:space="preserve">There is also more limited authority to </w:t>
      </w:r>
      <w:r>
        <w:rPr>
          <w:rFonts w:ascii="Garamond" w:hAnsi="Garamond" w:cs="Garamond"/>
          <w:spacing w:val="-3"/>
        </w:rPr>
        <w:t xml:space="preserve">guarantee </w:t>
      </w:r>
      <w:r>
        <w:rPr>
          <w:rFonts w:ascii="Garamond" w:hAnsi="Garamond" w:cs="Garamond"/>
        </w:rPr>
        <w:t xml:space="preserve">eligibility for 6 months at a time for managed care or </w:t>
      </w:r>
      <w:r>
        <w:rPr>
          <w:rFonts w:ascii="Garamond" w:hAnsi="Garamond" w:cs="Garamond"/>
          <w:spacing w:val="-3"/>
        </w:rPr>
        <w:t xml:space="preserve">PCC </w:t>
      </w:r>
      <w:r>
        <w:rPr>
          <w:rFonts w:ascii="Garamond" w:hAnsi="Garamond" w:cs="Garamond"/>
        </w:rPr>
        <w:t>Plan enrollees.</w:t>
      </w:r>
      <w:r>
        <w:rPr>
          <w:rFonts w:ascii="Garamond" w:hAnsi="Garamond" w:cs="Garamond"/>
          <w:position w:val="5"/>
          <w:sz w:val="14"/>
          <w:szCs w:val="14"/>
        </w:rPr>
        <w:t xml:space="preserve">49 </w:t>
      </w:r>
      <w:r>
        <w:rPr>
          <w:rFonts w:ascii="Garamond" w:hAnsi="Garamond" w:cs="Garamond"/>
        </w:rPr>
        <w:t xml:space="preserve">We understand that MassHealth is currently focused on stabilizing its caseload, and </w:t>
      </w:r>
      <w:r>
        <w:rPr>
          <w:rFonts w:ascii="Garamond" w:hAnsi="Garamond" w:cs="Garamond"/>
          <w:spacing w:val="-3"/>
        </w:rPr>
        <w:t xml:space="preserve">when </w:t>
      </w:r>
      <w:r>
        <w:rPr>
          <w:rFonts w:ascii="Garamond" w:hAnsi="Garamond" w:cs="Garamond"/>
        </w:rPr>
        <w:t>it reaches that point, strongly encourage you to consider policies to address the underlying issue of churn due to eligibility changes.</w:t>
      </w:r>
    </w:p>
    <w:p w:rsidR="002C5025" w:rsidRDefault="002C5025">
      <w:pPr>
        <w:pStyle w:val="BodyText"/>
        <w:kinsoku w:val="0"/>
        <w:overflowPunct w:val="0"/>
        <w:spacing w:before="2"/>
        <w:rPr>
          <w:rFonts w:ascii="Garamond" w:hAnsi="Garamond" w:cs="Garamond"/>
          <w:sz w:val="21"/>
          <w:szCs w:val="21"/>
        </w:rPr>
      </w:pPr>
    </w:p>
    <w:p w:rsidR="002C5025" w:rsidRDefault="002C5025">
      <w:pPr>
        <w:pStyle w:val="BodyText"/>
        <w:kinsoku w:val="0"/>
        <w:overflowPunct w:val="0"/>
        <w:spacing w:before="1" w:line="264" w:lineRule="exact"/>
        <w:ind w:left="120" w:right="814"/>
        <w:rPr>
          <w:rFonts w:ascii="Garamond" w:hAnsi="Garamond" w:cs="Garamond"/>
          <w:b/>
          <w:bCs/>
          <w:i/>
          <w:iCs/>
          <w:w w:val="90"/>
          <w:sz w:val="24"/>
          <w:szCs w:val="24"/>
        </w:rPr>
      </w:pPr>
      <w:bookmarkStart w:id="168" w:name="SHIP_Premium_Assistance"/>
      <w:bookmarkEnd w:id="168"/>
      <w:r>
        <w:rPr>
          <w:rFonts w:ascii="Garamond" w:hAnsi="Garamond" w:cs="Garamond"/>
          <w:b/>
          <w:bCs/>
          <w:i/>
          <w:iCs/>
          <w:w w:val="90"/>
          <w:sz w:val="24"/>
          <w:szCs w:val="24"/>
        </w:rPr>
        <w:t>SHIP Premium Assistance</w:t>
      </w:r>
    </w:p>
    <w:p w:rsidR="002C5025" w:rsidRDefault="002C5025">
      <w:pPr>
        <w:pStyle w:val="BodyText"/>
        <w:kinsoku w:val="0"/>
        <w:overflowPunct w:val="0"/>
        <w:ind w:left="119" w:right="121"/>
        <w:rPr>
          <w:rFonts w:ascii="Garamond" w:hAnsi="Garamond" w:cs="Garamond"/>
        </w:rPr>
      </w:pPr>
      <w:r>
        <w:rPr>
          <w:rFonts w:ascii="Garamond" w:hAnsi="Garamond" w:cs="Garamond"/>
        </w:rPr>
        <w:t>Under</w:t>
      </w:r>
      <w:r>
        <w:rPr>
          <w:rFonts w:ascii="Garamond" w:hAnsi="Garamond" w:cs="Garamond"/>
          <w:spacing w:val="-7"/>
        </w:rPr>
        <w:t xml:space="preserve"> </w:t>
      </w:r>
      <w:r>
        <w:rPr>
          <w:rFonts w:ascii="Garamond" w:hAnsi="Garamond" w:cs="Garamond"/>
        </w:rPr>
        <w:t>state</w:t>
      </w:r>
      <w:r>
        <w:rPr>
          <w:rFonts w:ascii="Garamond" w:hAnsi="Garamond" w:cs="Garamond"/>
          <w:spacing w:val="-8"/>
        </w:rPr>
        <w:t xml:space="preserve"> </w:t>
      </w:r>
      <w:r>
        <w:rPr>
          <w:rFonts w:ascii="Garamond" w:hAnsi="Garamond" w:cs="Garamond"/>
        </w:rPr>
        <w:t>regulations,</w:t>
      </w:r>
      <w:r>
        <w:rPr>
          <w:rFonts w:ascii="Garamond" w:hAnsi="Garamond" w:cs="Garamond"/>
          <w:spacing w:val="-8"/>
        </w:rPr>
        <w:t xml:space="preserve"> </w:t>
      </w:r>
      <w:r>
        <w:rPr>
          <w:rFonts w:ascii="Garamond" w:hAnsi="Garamond" w:cs="Garamond"/>
        </w:rPr>
        <w:t>students</w:t>
      </w:r>
      <w:r>
        <w:rPr>
          <w:rFonts w:ascii="Garamond" w:hAnsi="Garamond" w:cs="Garamond"/>
          <w:spacing w:val="-5"/>
        </w:rPr>
        <w:t xml:space="preserve"> </w:t>
      </w:r>
      <w:r>
        <w:rPr>
          <w:rFonts w:ascii="Garamond" w:hAnsi="Garamond" w:cs="Garamond"/>
        </w:rPr>
        <w:t>can</w:t>
      </w:r>
      <w:r>
        <w:rPr>
          <w:rFonts w:ascii="Garamond" w:hAnsi="Garamond" w:cs="Garamond"/>
          <w:spacing w:val="-8"/>
        </w:rPr>
        <w:t xml:space="preserve"> </w:t>
      </w:r>
      <w:r>
        <w:rPr>
          <w:rFonts w:ascii="Garamond" w:hAnsi="Garamond" w:cs="Garamond"/>
        </w:rPr>
        <w:t>waive</w:t>
      </w:r>
      <w:r>
        <w:rPr>
          <w:rFonts w:ascii="Garamond" w:hAnsi="Garamond" w:cs="Garamond"/>
          <w:spacing w:val="-8"/>
        </w:rPr>
        <w:t xml:space="preserve"> </w:t>
      </w:r>
      <w:r>
        <w:rPr>
          <w:rFonts w:ascii="Garamond" w:hAnsi="Garamond" w:cs="Garamond"/>
        </w:rPr>
        <w:t>their</w:t>
      </w:r>
      <w:r>
        <w:rPr>
          <w:rFonts w:ascii="Garamond" w:hAnsi="Garamond" w:cs="Garamond"/>
          <w:spacing w:val="-7"/>
        </w:rPr>
        <w:t xml:space="preserve"> </w:t>
      </w:r>
      <w:r>
        <w:rPr>
          <w:rFonts w:ascii="Garamond" w:hAnsi="Garamond" w:cs="Garamond"/>
        </w:rPr>
        <w:t>Student</w:t>
      </w:r>
      <w:r>
        <w:rPr>
          <w:rFonts w:ascii="Garamond" w:hAnsi="Garamond" w:cs="Garamond"/>
          <w:spacing w:val="-10"/>
        </w:rPr>
        <w:t xml:space="preserve"> </w:t>
      </w:r>
      <w:r>
        <w:rPr>
          <w:rFonts w:ascii="Garamond" w:hAnsi="Garamond" w:cs="Garamond"/>
        </w:rPr>
        <w:t>Health</w:t>
      </w:r>
      <w:r>
        <w:rPr>
          <w:rFonts w:ascii="Garamond" w:hAnsi="Garamond" w:cs="Garamond"/>
          <w:spacing w:val="-7"/>
        </w:rPr>
        <w:t xml:space="preserve"> </w:t>
      </w:r>
      <w:r>
        <w:rPr>
          <w:rFonts w:ascii="Garamond" w:hAnsi="Garamond" w:cs="Garamond"/>
        </w:rPr>
        <w:t>Insurance</w:t>
      </w:r>
      <w:r>
        <w:rPr>
          <w:rFonts w:ascii="Garamond" w:hAnsi="Garamond" w:cs="Garamond"/>
          <w:spacing w:val="-8"/>
        </w:rPr>
        <w:t xml:space="preserve"> </w:t>
      </w:r>
      <w:r>
        <w:rPr>
          <w:rFonts w:ascii="Garamond" w:hAnsi="Garamond" w:cs="Garamond"/>
        </w:rPr>
        <w:t>Plan</w:t>
      </w:r>
      <w:r>
        <w:rPr>
          <w:rFonts w:ascii="Garamond" w:hAnsi="Garamond" w:cs="Garamond"/>
          <w:spacing w:val="-10"/>
        </w:rPr>
        <w:t xml:space="preserve"> </w:t>
      </w:r>
      <w:r>
        <w:rPr>
          <w:rFonts w:ascii="Garamond" w:hAnsi="Garamond" w:cs="Garamond"/>
        </w:rPr>
        <w:t>(SHIP)</w:t>
      </w:r>
      <w:r>
        <w:rPr>
          <w:rFonts w:ascii="Garamond" w:hAnsi="Garamond" w:cs="Garamond"/>
          <w:spacing w:val="-6"/>
        </w:rPr>
        <w:t xml:space="preserve"> </w:t>
      </w:r>
      <w:r>
        <w:rPr>
          <w:rFonts w:ascii="Garamond" w:hAnsi="Garamond" w:cs="Garamond"/>
        </w:rPr>
        <w:t>if</w:t>
      </w:r>
      <w:r>
        <w:rPr>
          <w:rFonts w:ascii="Garamond" w:hAnsi="Garamond" w:cs="Garamond"/>
          <w:spacing w:val="-7"/>
        </w:rPr>
        <w:t xml:space="preserve"> </w:t>
      </w:r>
      <w:r>
        <w:rPr>
          <w:rFonts w:ascii="Garamond" w:hAnsi="Garamond" w:cs="Garamond"/>
        </w:rPr>
        <w:t>they</w:t>
      </w:r>
      <w:r>
        <w:rPr>
          <w:rFonts w:ascii="Garamond" w:hAnsi="Garamond" w:cs="Garamond"/>
          <w:spacing w:val="-9"/>
        </w:rPr>
        <w:t xml:space="preserve"> </w:t>
      </w:r>
      <w:r>
        <w:rPr>
          <w:rFonts w:ascii="Garamond" w:hAnsi="Garamond" w:cs="Garamond"/>
        </w:rPr>
        <w:t>are</w:t>
      </w:r>
      <w:r>
        <w:rPr>
          <w:rFonts w:ascii="Garamond" w:hAnsi="Garamond" w:cs="Garamond"/>
          <w:spacing w:val="-8"/>
        </w:rPr>
        <w:t xml:space="preserve"> </w:t>
      </w:r>
      <w:r>
        <w:rPr>
          <w:rFonts w:ascii="Garamond" w:hAnsi="Garamond" w:cs="Garamond"/>
        </w:rPr>
        <w:t>enrolled</w:t>
      </w:r>
      <w:r>
        <w:rPr>
          <w:rFonts w:ascii="Garamond" w:hAnsi="Garamond" w:cs="Garamond"/>
          <w:spacing w:val="-6"/>
        </w:rPr>
        <w:t xml:space="preserve"> </w:t>
      </w:r>
      <w:r>
        <w:rPr>
          <w:rFonts w:ascii="Garamond" w:hAnsi="Garamond" w:cs="Garamond"/>
          <w:spacing w:val="-3"/>
        </w:rPr>
        <w:t xml:space="preserve">in </w:t>
      </w:r>
      <w:r>
        <w:rPr>
          <w:rFonts w:ascii="Garamond" w:hAnsi="Garamond" w:cs="Garamond"/>
        </w:rPr>
        <w:t xml:space="preserve">comparable coverage, including MassHealth </w:t>
      </w:r>
      <w:r>
        <w:rPr>
          <w:rFonts w:ascii="Garamond" w:hAnsi="Garamond" w:cs="Garamond"/>
          <w:spacing w:val="-3"/>
        </w:rPr>
        <w:t xml:space="preserve">and </w:t>
      </w:r>
      <w:proofErr w:type="spellStart"/>
      <w:r>
        <w:rPr>
          <w:rFonts w:ascii="Garamond" w:hAnsi="Garamond" w:cs="Garamond"/>
          <w:spacing w:val="-3"/>
        </w:rPr>
        <w:t>ConnectorCare</w:t>
      </w:r>
      <w:proofErr w:type="spellEnd"/>
      <w:r>
        <w:rPr>
          <w:rFonts w:ascii="Garamond" w:hAnsi="Garamond" w:cs="Garamond"/>
          <w:spacing w:val="-3"/>
        </w:rPr>
        <w:t>.</w:t>
      </w:r>
      <w:r>
        <w:rPr>
          <w:rFonts w:ascii="Garamond" w:hAnsi="Garamond" w:cs="Garamond"/>
          <w:spacing w:val="-3"/>
          <w:position w:val="5"/>
          <w:sz w:val="14"/>
          <w:szCs w:val="14"/>
        </w:rPr>
        <w:t xml:space="preserve">50 </w:t>
      </w:r>
      <w:r>
        <w:rPr>
          <w:rFonts w:ascii="Garamond" w:hAnsi="Garamond" w:cs="Garamond"/>
        </w:rPr>
        <w:t xml:space="preserve">This </w:t>
      </w:r>
      <w:r>
        <w:rPr>
          <w:rFonts w:ascii="Garamond" w:hAnsi="Garamond" w:cs="Garamond"/>
          <w:spacing w:val="-3"/>
        </w:rPr>
        <w:t xml:space="preserve">policy </w:t>
      </w:r>
      <w:r>
        <w:rPr>
          <w:rFonts w:ascii="Garamond" w:hAnsi="Garamond" w:cs="Garamond"/>
        </w:rPr>
        <w:t xml:space="preserve">is a significant improvement for low-income college students, particularly those who could not afford </w:t>
      </w:r>
      <w:r>
        <w:rPr>
          <w:rFonts w:ascii="Garamond" w:hAnsi="Garamond" w:cs="Garamond"/>
          <w:spacing w:val="-3"/>
        </w:rPr>
        <w:t xml:space="preserve">other </w:t>
      </w:r>
      <w:r>
        <w:rPr>
          <w:rFonts w:ascii="Garamond" w:hAnsi="Garamond" w:cs="Garamond"/>
        </w:rPr>
        <w:t xml:space="preserve">expenses, such as </w:t>
      </w:r>
      <w:r>
        <w:rPr>
          <w:rFonts w:ascii="Garamond" w:hAnsi="Garamond" w:cs="Garamond"/>
          <w:spacing w:val="-3"/>
        </w:rPr>
        <w:t xml:space="preserve">books </w:t>
      </w:r>
      <w:r>
        <w:rPr>
          <w:rFonts w:ascii="Garamond" w:hAnsi="Garamond" w:cs="Garamond"/>
        </w:rPr>
        <w:t>and housing,</w:t>
      </w:r>
      <w:r>
        <w:rPr>
          <w:rFonts w:ascii="Garamond" w:hAnsi="Garamond" w:cs="Garamond"/>
          <w:spacing w:val="-8"/>
        </w:rPr>
        <w:t xml:space="preserve"> </w:t>
      </w:r>
      <w:r>
        <w:rPr>
          <w:rFonts w:ascii="Garamond" w:hAnsi="Garamond" w:cs="Garamond"/>
        </w:rPr>
        <w:t>and</w:t>
      </w:r>
      <w:r>
        <w:rPr>
          <w:rFonts w:ascii="Garamond" w:hAnsi="Garamond" w:cs="Garamond"/>
          <w:spacing w:val="-12"/>
        </w:rPr>
        <w:t xml:space="preserve"> </w:t>
      </w:r>
      <w:r>
        <w:rPr>
          <w:rFonts w:ascii="Garamond" w:hAnsi="Garamond" w:cs="Garamond"/>
        </w:rPr>
        <w:t>had</w:t>
      </w:r>
      <w:r>
        <w:rPr>
          <w:rFonts w:ascii="Garamond" w:hAnsi="Garamond" w:cs="Garamond"/>
          <w:spacing w:val="-7"/>
        </w:rPr>
        <w:t xml:space="preserve"> </w:t>
      </w:r>
      <w:r>
        <w:rPr>
          <w:rFonts w:ascii="Garamond" w:hAnsi="Garamond" w:cs="Garamond"/>
        </w:rPr>
        <w:t>to</w:t>
      </w:r>
      <w:r>
        <w:rPr>
          <w:rFonts w:ascii="Garamond" w:hAnsi="Garamond" w:cs="Garamond"/>
          <w:spacing w:val="-10"/>
        </w:rPr>
        <w:t xml:space="preserve"> </w:t>
      </w:r>
      <w:r>
        <w:rPr>
          <w:rFonts w:ascii="Garamond" w:hAnsi="Garamond" w:cs="Garamond"/>
        </w:rPr>
        <w:t>choose</w:t>
      </w:r>
      <w:r>
        <w:rPr>
          <w:rFonts w:ascii="Garamond" w:hAnsi="Garamond" w:cs="Garamond"/>
          <w:spacing w:val="-12"/>
        </w:rPr>
        <w:t xml:space="preserve"> </w:t>
      </w:r>
      <w:r>
        <w:rPr>
          <w:rFonts w:ascii="Garamond" w:hAnsi="Garamond" w:cs="Garamond"/>
        </w:rPr>
        <w:t>to</w:t>
      </w:r>
      <w:r>
        <w:rPr>
          <w:rFonts w:ascii="Garamond" w:hAnsi="Garamond" w:cs="Garamond"/>
          <w:spacing w:val="-7"/>
        </w:rPr>
        <w:t xml:space="preserve"> </w:t>
      </w:r>
      <w:r>
        <w:rPr>
          <w:rFonts w:ascii="Garamond" w:hAnsi="Garamond" w:cs="Garamond"/>
        </w:rPr>
        <w:t>remain</w:t>
      </w:r>
      <w:r>
        <w:rPr>
          <w:rFonts w:ascii="Garamond" w:hAnsi="Garamond" w:cs="Garamond"/>
          <w:spacing w:val="-9"/>
        </w:rPr>
        <w:t xml:space="preserve"> </w:t>
      </w:r>
      <w:r>
        <w:rPr>
          <w:rFonts w:ascii="Garamond" w:hAnsi="Garamond" w:cs="Garamond"/>
        </w:rPr>
        <w:t>part-time</w:t>
      </w:r>
      <w:r>
        <w:rPr>
          <w:rFonts w:ascii="Garamond" w:hAnsi="Garamond" w:cs="Garamond"/>
          <w:spacing w:val="-10"/>
        </w:rPr>
        <w:t xml:space="preserve"> </w:t>
      </w:r>
      <w:r>
        <w:rPr>
          <w:rFonts w:ascii="Garamond" w:hAnsi="Garamond" w:cs="Garamond"/>
        </w:rPr>
        <w:t>students</w:t>
      </w:r>
      <w:r>
        <w:rPr>
          <w:rFonts w:ascii="Garamond" w:hAnsi="Garamond" w:cs="Garamond"/>
          <w:spacing w:val="-11"/>
        </w:rPr>
        <w:t xml:space="preserve"> </w:t>
      </w:r>
      <w:r>
        <w:rPr>
          <w:rFonts w:ascii="Garamond" w:hAnsi="Garamond" w:cs="Garamond"/>
        </w:rPr>
        <w:t>due</w:t>
      </w:r>
      <w:r>
        <w:rPr>
          <w:rFonts w:ascii="Garamond" w:hAnsi="Garamond" w:cs="Garamond"/>
          <w:spacing w:val="-8"/>
        </w:rPr>
        <w:t xml:space="preserve"> </w:t>
      </w:r>
      <w:r>
        <w:rPr>
          <w:rFonts w:ascii="Garamond" w:hAnsi="Garamond" w:cs="Garamond"/>
        </w:rPr>
        <w:t>to</w:t>
      </w:r>
      <w:r>
        <w:rPr>
          <w:rFonts w:ascii="Garamond" w:hAnsi="Garamond" w:cs="Garamond"/>
          <w:spacing w:val="-7"/>
        </w:rPr>
        <w:t xml:space="preserve"> </w:t>
      </w:r>
      <w:r>
        <w:rPr>
          <w:rFonts w:ascii="Garamond" w:hAnsi="Garamond" w:cs="Garamond"/>
        </w:rPr>
        <w:t>unaffordable</w:t>
      </w:r>
      <w:r>
        <w:rPr>
          <w:rFonts w:ascii="Garamond" w:hAnsi="Garamond" w:cs="Garamond"/>
          <w:spacing w:val="-10"/>
        </w:rPr>
        <w:t xml:space="preserve"> </w:t>
      </w:r>
      <w:r>
        <w:rPr>
          <w:rFonts w:ascii="Garamond" w:hAnsi="Garamond" w:cs="Garamond"/>
        </w:rPr>
        <w:t>SHIP</w:t>
      </w:r>
      <w:r>
        <w:rPr>
          <w:rFonts w:ascii="Garamond" w:hAnsi="Garamond" w:cs="Garamond"/>
          <w:spacing w:val="-6"/>
        </w:rPr>
        <w:t xml:space="preserve"> </w:t>
      </w:r>
      <w:r>
        <w:rPr>
          <w:rFonts w:ascii="Garamond" w:hAnsi="Garamond" w:cs="Garamond"/>
        </w:rPr>
        <w:t>coverage.</w:t>
      </w:r>
    </w:p>
    <w:p w:rsidR="002C5025" w:rsidRDefault="002C5025">
      <w:pPr>
        <w:pStyle w:val="BodyText"/>
        <w:kinsoku w:val="0"/>
        <w:overflowPunct w:val="0"/>
        <w:spacing w:before="1"/>
        <w:rPr>
          <w:rFonts w:ascii="Garamond" w:hAnsi="Garamond" w:cs="Garamond"/>
        </w:rPr>
      </w:pPr>
    </w:p>
    <w:p w:rsidR="002C5025" w:rsidRDefault="002C5025">
      <w:pPr>
        <w:pStyle w:val="BodyText"/>
        <w:kinsoku w:val="0"/>
        <w:overflowPunct w:val="0"/>
        <w:ind w:left="118" w:right="126"/>
        <w:rPr>
          <w:rFonts w:ascii="Garamond" w:hAnsi="Garamond" w:cs="Garamond"/>
          <w:spacing w:val="-3"/>
        </w:rPr>
      </w:pPr>
      <w:r>
        <w:rPr>
          <w:rFonts w:ascii="Garamond" w:hAnsi="Garamond" w:cs="Garamond"/>
        </w:rPr>
        <w:t xml:space="preserve">While we support MassHealth’s expansion of the Premium Assistance option to students who enroll in their SHIP, </w:t>
      </w:r>
      <w:r>
        <w:rPr>
          <w:rFonts w:ascii="Garamond" w:hAnsi="Garamond" w:cs="Garamond"/>
          <w:spacing w:val="-3"/>
        </w:rPr>
        <w:t xml:space="preserve">and </w:t>
      </w:r>
      <w:r>
        <w:rPr>
          <w:rFonts w:ascii="Garamond" w:hAnsi="Garamond" w:cs="Garamond"/>
        </w:rPr>
        <w:t xml:space="preserve">implementation </w:t>
      </w:r>
      <w:r>
        <w:rPr>
          <w:rFonts w:ascii="Garamond" w:hAnsi="Garamond" w:cs="Garamond"/>
          <w:spacing w:val="-3"/>
        </w:rPr>
        <w:t xml:space="preserve">of </w:t>
      </w:r>
      <w:r>
        <w:rPr>
          <w:rFonts w:ascii="Garamond" w:hAnsi="Garamond" w:cs="Garamond"/>
        </w:rPr>
        <w:t xml:space="preserve">continuous MassHealth enrollment through the duration of the SHIP, we do not believe this policy </w:t>
      </w:r>
      <w:r>
        <w:rPr>
          <w:rFonts w:ascii="Garamond" w:hAnsi="Garamond" w:cs="Garamond"/>
          <w:spacing w:val="-3"/>
        </w:rPr>
        <w:t xml:space="preserve">should </w:t>
      </w:r>
      <w:r>
        <w:rPr>
          <w:rFonts w:ascii="Garamond" w:hAnsi="Garamond" w:cs="Garamond"/>
        </w:rPr>
        <w:t>be mandatory, as it may not fit every low-income student’s needs. As with Premium</w:t>
      </w:r>
      <w:r>
        <w:rPr>
          <w:rFonts w:ascii="Garamond" w:hAnsi="Garamond" w:cs="Garamond"/>
          <w:spacing w:val="-12"/>
        </w:rPr>
        <w:t xml:space="preserve"> </w:t>
      </w:r>
      <w:r>
        <w:rPr>
          <w:rFonts w:ascii="Garamond" w:hAnsi="Garamond" w:cs="Garamond"/>
        </w:rPr>
        <w:t>Assistance</w:t>
      </w:r>
      <w:r>
        <w:rPr>
          <w:rFonts w:ascii="Garamond" w:hAnsi="Garamond" w:cs="Garamond"/>
          <w:spacing w:val="-10"/>
        </w:rPr>
        <w:t xml:space="preserve"> </w:t>
      </w:r>
      <w:r>
        <w:rPr>
          <w:rFonts w:ascii="Garamond" w:hAnsi="Garamond" w:cs="Garamond"/>
        </w:rPr>
        <w:t>generally,</w:t>
      </w:r>
      <w:r>
        <w:rPr>
          <w:rFonts w:ascii="Garamond" w:hAnsi="Garamond" w:cs="Garamond"/>
          <w:spacing w:val="-10"/>
        </w:rPr>
        <w:t xml:space="preserve"> </w:t>
      </w:r>
      <w:r>
        <w:rPr>
          <w:rFonts w:ascii="Garamond" w:hAnsi="Garamond" w:cs="Garamond"/>
        </w:rPr>
        <w:t>students</w:t>
      </w:r>
      <w:r>
        <w:rPr>
          <w:rFonts w:ascii="Garamond" w:hAnsi="Garamond" w:cs="Garamond"/>
          <w:spacing w:val="-7"/>
        </w:rPr>
        <w:t xml:space="preserve"> </w:t>
      </w:r>
      <w:r>
        <w:rPr>
          <w:rFonts w:ascii="Garamond" w:hAnsi="Garamond" w:cs="Garamond"/>
        </w:rPr>
        <w:t>will</w:t>
      </w:r>
      <w:r>
        <w:rPr>
          <w:rFonts w:ascii="Garamond" w:hAnsi="Garamond" w:cs="Garamond"/>
          <w:spacing w:val="-10"/>
        </w:rPr>
        <w:t xml:space="preserve"> </w:t>
      </w:r>
      <w:r>
        <w:rPr>
          <w:rFonts w:ascii="Garamond" w:hAnsi="Garamond" w:cs="Garamond"/>
        </w:rPr>
        <w:t>only</w:t>
      </w:r>
      <w:r>
        <w:rPr>
          <w:rFonts w:ascii="Garamond" w:hAnsi="Garamond" w:cs="Garamond"/>
          <w:spacing w:val="-10"/>
        </w:rPr>
        <w:t xml:space="preserve"> </w:t>
      </w:r>
      <w:r>
        <w:rPr>
          <w:rFonts w:ascii="Garamond" w:hAnsi="Garamond" w:cs="Garamond"/>
        </w:rPr>
        <w:t>benefit</w:t>
      </w:r>
      <w:r>
        <w:rPr>
          <w:rFonts w:ascii="Garamond" w:hAnsi="Garamond" w:cs="Garamond"/>
          <w:spacing w:val="-12"/>
        </w:rPr>
        <w:t xml:space="preserve"> </w:t>
      </w:r>
      <w:r>
        <w:rPr>
          <w:rFonts w:ascii="Garamond" w:hAnsi="Garamond" w:cs="Garamond"/>
        </w:rPr>
        <w:t>from</w:t>
      </w:r>
      <w:r>
        <w:rPr>
          <w:rFonts w:ascii="Garamond" w:hAnsi="Garamond" w:cs="Garamond"/>
          <w:spacing w:val="-10"/>
        </w:rPr>
        <w:t xml:space="preserve"> </w:t>
      </w:r>
      <w:r>
        <w:rPr>
          <w:rFonts w:ascii="Garamond" w:hAnsi="Garamond" w:cs="Garamond"/>
        </w:rPr>
        <w:t>the</w:t>
      </w:r>
      <w:r>
        <w:rPr>
          <w:rFonts w:ascii="Garamond" w:hAnsi="Garamond" w:cs="Garamond"/>
          <w:spacing w:val="-10"/>
        </w:rPr>
        <w:t xml:space="preserve"> </w:t>
      </w:r>
      <w:r>
        <w:rPr>
          <w:rFonts w:ascii="Garamond" w:hAnsi="Garamond" w:cs="Garamond"/>
        </w:rPr>
        <w:t>cost-sharing</w:t>
      </w:r>
      <w:r>
        <w:rPr>
          <w:rFonts w:ascii="Garamond" w:hAnsi="Garamond" w:cs="Garamond"/>
          <w:spacing w:val="-9"/>
        </w:rPr>
        <w:t xml:space="preserve"> </w:t>
      </w:r>
      <w:r>
        <w:rPr>
          <w:rFonts w:ascii="Garamond" w:hAnsi="Garamond" w:cs="Garamond"/>
        </w:rPr>
        <w:t>and</w:t>
      </w:r>
      <w:r>
        <w:rPr>
          <w:rFonts w:ascii="Garamond" w:hAnsi="Garamond" w:cs="Garamond"/>
          <w:spacing w:val="-10"/>
        </w:rPr>
        <w:t xml:space="preserve"> </w:t>
      </w:r>
      <w:r>
        <w:rPr>
          <w:rFonts w:ascii="Garamond" w:hAnsi="Garamond" w:cs="Garamond"/>
        </w:rPr>
        <w:t>benefit</w:t>
      </w:r>
      <w:r>
        <w:rPr>
          <w:rFonts w:ascii="Garamond" w:hAnsi="Garamond" w:cs="Garamond"/>
          <w:spacing w:val="-8"/>
        </w:rPr>
        <w:t xml:space="preserve"> </w:t>
      </w:r>
      <w:r>
        <w:rPr>
          <w:rFonts w:ascii="Garamond" w:hAnsi="Garamond" w:cs="Garamond"/>
        </w:rPr>
        <w:t>wrap</w:t>
      </w:r>
      <w:r>
        <w:rPr>
          <w:rFonts w:ascii="Garamond" w:hAnsi="Garamond" w:cs="Garamond"/>
          <w:spacing w:val="-12"/>
        </w:rPr>
        <w:t xml:space="preserve"> </w:t>
      </w:r>
      <w:r>
        <w:rPr>
          <w:rFonts w:ascii="Garamond" w:hAnsi="Garamond" w:cs="Garamond"/>
        </w:rPr>
        <w:t>for</w:t>
      </w:r>
      <w:r>
        <w:rPr>
          <w:rFonts w:ascii="Garamond" w:hAnsi="Garamond" w:cs="Garamond"/>
          <w:spacing w:val="-10"/>
        </w:rPr>
        <w:t xml:space="preserve"> </w:t>
      </w:r>
      <w:r>
        <w:rPr>
          <w:rFonts w:ascii="Garamond" w:hAnsi="Garamond" w:cs="Garamond"/>
        </w:rPr>
        <w:t>providers who accept both MassHealth and their</w:t>
      </w:r>
      <w:r>
        <w:rPr>
          <w:rFonts w:ascii="Garamond" w:hAnsi="Garamond" w:cs="Garamond"/>
          <w:spacing w:val="-37"/>
        </w:rPr>
        <w:t xml:space="preserve"> </w:t>
      </w:r>
      <w:r>
        <w:rPr>
          <w:rFonts w:ascii="Garamond" w:hAnsi="Garamond" w:cs="Garamond"/>
          <w:spacing w:val="-3"/>
        </w:rPr>
        <w:t>SHIP.</w:t>
      </w:r>
    </w:p>
    <w:p w:rsidR="002C5025" w:rsidRDefault="002C5025">
      <w:pPr>
        <w:pStyle w:val="BodyText"/>
        <w:kinsoku w:val="0"/>
        <w:overflowPunct w:val="0"/>
        <w:spacing w:before="10"/>
        <w:rPr>
          <w:rFonts w:ascii="Garamond" w:hAnsi="Garamond" w:cs="Garamond"/>
          <w:sz w:val="21"/>
          <w:szCs w:val="21"/>
        </w:rPr>
      </w:pPr>
    </w:p>
    <w:p w:rsidR="002C5025" w:rsidRDefault="002C5025">
      <w:pPr>
        <w:pStyle w:val="BodyText"/>
        <w:kinsoku w:val="0"/>
        <w:overflowPunct w:val="0"/>
        <w:ind w:left="118" w:right="142" w:firstLine="1"/>
        <w:rPr>
          <w:rFonts w:ascii="Garamond" w:hAnsi="Garamond" w:cs="Garamond"/>
        </w:rPr>
      </w:pPr>
      <w:r>
        <w:rPr>
          <w:rFonts w:ascii="Garamond" w:hAnsi="Garamond" w:cs="Garamond"/>
        </w:rPr>
        <w:t xml:space="preserve">Many behavioral health </w:t>
      </w:r>
      <w:r>
        <w:rPr>
          <w:rFonts w:ascii="Garamond" w:hAnsi="Garamond" w:cs="Garamond"/>
          <w:spacing w:val="-3"/>
        </w:rPr>
        <w:t xml:space="preserve">issues </w:t>
      </w:r>
      <w:r>
        <w:rPr>
          <w:rFonts w:ascii="Garamond" w:hAnsi="Garamond" w:cs="Garamond"/>
        </w:rPr>
        <w:t xml:space="preserve">begin to manifest during adolescence and early </w:t>
      </w:r>
      <w:r>
        <w:rPr>
          <w:rFonts w:ascii="Garamond" w:hAnsi="Garamond" w:cs="Garamond"/>
          <w:spacing w:val="-3"/>
        </w:rPr>
        <w:t xml:space="preserve">adulthood </w:t>
      </w:r>
      <w:r>
        <w:rPr>
          <w:rFonts w:ascii="Garamond" w:hAnsi="Garamond" w:cs="Garamond"/>
        </w:rPr>
        <w:t xml:space="preserve">– high school and college age. As students enrolled through Premium Assistance are not eligible to enroll in an MCO or the PCC plan, they do not have access to the broader </w:t>
      </w:r>
      <w:r>
        <w:rPr>
          <w:rFonts w:ascii="Garamond" w:hAnsi="Garamond" w:cs="Garamond"/>
          <w:spacing w:val="-3"/>
        </w:rPr>
        <w:t xml:space="preserve">behavioral </w:t>
      </w:r>
      <w:r>
        <w:rPr>
          <w:rFonts w:ascii="Garamond" w:hAnsi="Garamond" w:cs="Garamond"/>
        </w:rPr>
        <w:t>health networks</w:t>
      </w:r>
      <w:r>
        <w:rPr>
          <w:rFonts w:ascii="Garamond" w:hAnsi="Garamond" w:cs="Garamond"/>
          <w:spacing w:val="-3"/>
        </w:rPr>
        <w:t xml:space="preserve"> available </w:t>
      </w:r>
      <w:r>
        <w:rPr>
          <w:rFonts w:ascii="Garamond" w:hAnsi="Garamond" w:cs="Garamond"/>
        </w:rPr>
        <w:t xml:space="preserve">in these plans. Should a student’s behavioral health provider accept their SHIP, but not MassHealth (which </w:t>
      </w:r>
      <w:r>
        <w:rPr>
          <w:rFonts w:ascii="Garamond" w:hAnsi="Garamond" w:cs="Garamond"/>
          <w:spacing w:val="-3"/>
        </w:rPr>
        <w:t xml:space="preserve">is </w:t>
      </w:r>
      <w:r>
        <w:rPr>
          <w:rFonts w:ascii="Garamond" w:hAnsi="Garamond" w:cs="Garamond"/>
        </w:rPr>
        <w:t xml:space="preserve">more likely than the reverse), the student could incur significant costs. For example, the Blue </w:t>
      </w:r>
      <w:r>
        <w:rPr>
          <w:rFonts w:ascii="Garamond" w:hAnsi="Garamond" w:cs="Garamond"/>
          <w:spacing w:val="-3"/>
        </w:rPr>
        <w:t xml:space="preserve">Cross </w:t>
      </w:r>
      <w:r>
        <w:rPr>
          <w:rFonts w:ascii="Garamond" w:hAnsi="Garamond" w:cs="Garamond"/>
        </w:rPr>
        <w:t xml:space="preserve">Blue Shield plan available to UMass Boston students requires </w:t>
      </w:r>
      <w:r>
        <w:rPr>
          <w:rFonts w:ascii="Garamond" w:hAnsi="Garamond" w:cs="Garamond"/>
          <w:spacing w:val="-3"/>
        </w:rPr>
        <w:t xml:space="preserve">enrollees </w:t>
      </w:r>
      <w:r>
        <w:rPr>
          <w:rFonts w:ascii="Garamond" w:hAnsi="Garamond" w:cs="Garamond"/>
        </w:rPr>
        <w:t xml:space="preserve">to meet a </w:t>
      </w:r>
      <w:r>
        <w:rPr>
          <w:rFonts w:ascii="Garamond" w:hAnsi="Garamond" w:cs="Garamond"/>
          <w:spacing w:val="-3"/>
        </w:rPr>
        <w:t xml:space="preserve">$250 </w:t>
      </w:r>
      <w:r>
        <w:rPr>
          <w:rFonts w:ascii="Garamond" w:hAnsi="Garamond" w:cs="Garamond"/>
        </w:rPr>
        <w:t>deductible then pay $30 for each office visit.</w:t>
      </w:r>
      <w:r>
        <w:rPr>
          <w:rFonts w:ascii="Garamond" w:hAnsi="Garamond" w:cs="Garamond"/>
          <w:position w:val="5"/>
          <w:sz w:val="14"/>
          <w:szCs w:val="14"/>
        </w:rPr>
        <w:t xml:space="preserve">51 </w:t>
      </w:r>
      <w:r>
        <w:rPr>
          <w:rFonts w:ascii="Garamond" w:hAnsi="Garamond" w:cs="Garamond"/>
        </w:rPr>
        <w:t xml:space="preserve">This could add up quickly for a low-income student, </w:t>
      </w:r>
      <w:r>
        <w:rPr>
          <w:rFonts w:ascii="Garamond" w:hAnsi="Garamond" w:cs="Garamond"/>
          <w:spacing w:val="-3"/>
        </w:rPr>
        <w:t xml:space="preserve">who </w:t>
      </w:r>
      <w:r>
        <w:rPr>
          <w:rFonts w:ascii="Garamond" w:hAnsi="Garamond" w:cs="Garamond"/>
        </w:rPr>
        <w:t xml:space="preserve">may be forced to again reconsider tradeoffs he or she made before the ACA enabled students to maintain or </w:t>
      </w:r>
      <w:r>
        <w:rPr>
          <w:rFonts w:ascii="Garamond" w:hAnsi="Garamond" w:cs="Garamond"/>
          <w:spacing w:val="-3"/>
        </w:rPr>
        <w:t xml:space="preserve">enroll </w:t>
      </w:r>
      <w:r>
        <w:rPr>
          <w:rFonts w:ascii="Garamond" w:hAnsi="Garamond" w:cs="Garamond"/>
        </w:rPr>
        <w:t>in MassHealth coverage</w:t>
      </w:r>
    </w:p>
    <w:p w:rsidR="002C5025" w:rsidRDefault="002C5025">
      <w:pPr>
        <w:pStyle w:val="BodyText"/>
        <w:kinsoku w:val="0"/>
        <w:overflowPunct w:val="0"/>
        <w:spacing w:before="2"/>
        <w:rPr>
          <w:rFonts w:ascii="Garamond" w:hAnsi="Garamond" w:cs="Garamond"/>
          <w:sz w:val="21"/>
          <w:szCs w:val="21"/>
        </w:rPr>
      </w:pPr>
    </w:p>
    <w:p w:rsidR="002C5025" w:rsidRDefault="002C5025">
      <w:pPr>
        <w:pStyle w:val="BodyText"/>
        <w:kinsoku w:val="0"/>
        <w:overflowPunct w:val="0"/>
        <w:spacing w:before="1" w:line="264" w:lineRule="exact"/>
        <w:ind w:left="120" w:right="814"/>
        <w:rPr>
          <w:rFonts w:ascii="Garamond" w:hAnsi="Garamond" w:cs="Garamond"/>
          <w:b/>
          <w:bCs/>
          <w:i/>
          <w:iCs/>
          <w:spacing w:val="7"/>
          <w:w w:val="90"/>
          <w:sz w:val="24"/>
          <w:szCs w:val="24"/>
        </w:rPr>
      </w:pPr>
      <w:bookmarkStart w:id="169" w:name="Network_adequacy_and_continuity_of_care"/>
      <w:bookmarkEnd w:id="169"/>
      <w:r>
        <w:rPr>
          <w:rFonts w:ascii="Garamond" w:hAnsi="Garamond" w:cs="Garamond"/>
          <w:b/>
          <w:bCs/>
          <w:i/>
          <w:iCs/>
          <w:spacing w:val="4"/>
          <w:w w:val="90"/>
          <w:sz w:val="24"/>
          <w:szCs w:val="24"/>
        </w:rPr>
        <w:t xml:space="preserve">Network </w:t>
      </w:r>
      <w:r>
        <w:rPr>
          <w:rFonts w:ascii="Garamond" w:hAnsi="Garamond" w:cs="Garamond"/>
          <w:b/>
          <w:bCs/>
          <w:i/>
          <w:iCs/>
          <w:spacing w:val="9"/>
          <w:w w:val="90"/>
          <w:sz w:val="24"/>
          <w:szCs w:val="24"/>
        </w:rPr>
        <w:t>adequacy</w:t>
      </w:r>
      <w:r>
        <w:rPr>
          <w:rFonts w:ascii="Garamond" w:hAnsi="Garamond" w:cs="Garamond"/>
          <w:b/>
          <w:bCs/>
          <w:i/>
          <w:iCs/>
          <w:spacing w:val="-42"/>
          <w:w w:val="90"/>
          <w:sz w:val="24"/>
          <w:szCs w:val="24"/>
        </w:rPr>
        <w:t xml:space="preserve"> </w:t>
      </w:r>
      <w:r>
        <w:rPr>
          <w:rFonts w:ascii="Garamond" w:hAnsi="Garamond" w:cs="Garamond"/>
          <w:b/>
          <w:bCs/>
          <w:i/>
          <w:iCs/>
          <w:spacing w:val="8"/>
          <w:w w:val="90"/>
          <w:sz w:val="24"/>
          <w:szCs w:val="24"/>
        </w:rPr>
        <w:t xml:space="preserve">and </w:t>
      </w:r>
      <w:r>
        <w:rPr>
          <w:rFonts w:ascii="Garamond" w:hAnsi="Garamond" w:cs="Garamond"/>
          <w:b/>
          <w:bCs/>
          <w:i/>
          <w:iCs/>
          <w:spacing w:val="5"/>
          <w:w w:val="90"/>
          <w:sz w:val="24"/>
          <w:szCs w:val="24"/>
        </w:rPr>
        <w:t xml:space="preserve">continuity </w:t>
      </w:r>
      <w:proofErr w:type="spellStart"/>
      <w:r>
        <w:rPr>
          <w:rFonts w:ascii="Garamond" w:hAnsi="Garamond" w:cs="Garamond"/>
          <w:b/>
          <w:bCs/>
          <w:i/>
          <w:iCs/>
          <w:spacing w:val="7"/>
          <w:w w:val="90"/>
          <w:sz w:val="24"/>
          <w:szCs w:val="24"/>
        </w:rPr>
        <w:t>ofcare</w:t>
      </w:r>
      <w:proofErr w:type="spellEnd"/>
    </w:p>
    <w:p w:rsidR="002C5025" w:rsidRDefault="002C5025">
      <w:pPr>
        <w:pStyle w:val="BodyText"/>
        <w:kinsoku w:val="0"/>
        <w:overflowPunct w:val="0"/>
        <w:ind w:left="119" w:right="119"/>
        <w:rPr>
          <w:rFonts w:ascii="Garamond" w:hAnsi="Garamond" w:cs="Garamond"/>
        </w:rPr>
      </w:pPr>
      <w:r>
        <w:rPr>
          <w:rFonts w:ascii="Garamond" w:hAnsi="Garamond" w:cs="Garamond"/>
        </w:rPr>
        <w:t xml:space="preserve">We understand that MassHealth members enrolled in an MCO will have access to the full range of </w:t>
      </w:r>
      <w:r>
        <w:rPr>
          <w:rFonts w:ascii="Garamond" w:hAnsi="Garamond" w:cs="Garamond"/>
          <w:spacing w:val="-3"/>
        </w:rPr>
        <w:t xml:space="preserve">providers </w:t>
      </w:r>
      <w:r>
        <w:rPr>
          <w:rFonts w:ascii="Garamond" w:hAnsi="Garamond" w:cs="Garamond"/>
        </w:rPr>
        <w:t>in the MCO’s network, and appreciate MassHealth’s expressed commitment to ensuring that members have</w:t>
      </w:r>
    </w:p>
    <w:p w:rsidR="002C5025" w:rsidRDefault="00FB027C">
      <w:pPr>
        <w:pStyle w:val="BodyText"/>
        <w:kinsoku w:val="0"/>
        <w:overflowPunct w:val="0"/>
        <w:spacing w:before="2"/>
        <w:rPr>
          <w:rFonts w:ascii="Garamond" w:hAnsi="Garamond" w:cs="Garamond"/>
          <w:sz w:val="21"/>
          <w:szCs w:val="21"/>
        </w:rPr>
      </w:pPr>
      <w:r>
        <w:rPr>
          <w:noProof/>
        </w:rPr>
        <mc:AlternateContent>
          <mc:Choice Requires="wps">
            <w:drawing>
              <wp:anchor distT="0" distB="0" distL="0" distR="0" simplePos="0" relativeHeight="251668992" behindDoc="0" locked="0" layoutInCell="0" allowOverlap="1">
                <wp:simplePos x="0" y="0"/>
                <wp:positionH relativeFrom="page">
                  <wp:posOffset>923925</wp:posOffset>
                </wp:positionH>
                <wp:positionV relativeFrom="paragraph">
                  <wp:posOffset>181610</wp:posOffset>
                </wp:positionV>
                <wp:extent cx="1829435" cy="12700"/>
                <wp:effectExtent l="0" t="0" r="0" b="0"/>
                <wp:wrapTopAndBottom/>
                <wp:docPr id="550" name="Freeform 4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1 w 2881"/>
                            <a:gd name="T3" fmla="*/ 0 h 20"/>
                          </a:gdLst>
                          <a:ahLst/>
                          <a:cxnLst>
                            <a:cxn ang="0">
                              <a:pos x="T0" y="T1"/>
                            </a:cxn>
                            <a:cxn ang="0">
                              <a:pos x="T2" y="T3"/>
                            </a:cxn>
                          </a:cxnLst>
                          <a:rect l="0" t="0" r="r" b="b"/>
                          <a:pathLst>
                            <a:path w="2881" h="20">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75" o:spid="_x0000_s1026" style="position:absolute;z-index:251668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2.75pt,14.3pt,216.8pt,14.3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" o:allowincell="f" filled="f" strokeweight=".82pt">
                <v:path arrowok="t" o:connecttype="custom" o:connectlocs="0,0;1829435,0" o:connectangles="0,0"/>
                <w10:wrap type="topAndBottom" anchorx="page"/>
              </v:polyline>
            </w:pict>
          </mc:Fallback>
        </mc:AlternateContent>
      </w:r>
    </w:p>
    <w:p w:rsidR="002C5025" w:rsidRDefault="002C5025">
      <w:pPr>
        <w:pStyle w:val="BodyText"/>
        <w:kinsoku w:val="0"/>
        <w:overflowPunct w:val="0"/>
        <w:spacing w:before="72"/>
        <w:ind w:left="120" w:right="160"/>
        <w:rPr>
          <w:rFonts w:ascii="Garamond" w:hAnsi="Garamond" w:cs="Garamond"/>
          <w:sz w:val="20"/>
          <w:szCs w:val="20"/>
        </w:rPr>
      </w:pPr>
      <w:r>
        <w:rPr>
          <w:rFonts w:ascii="Garamond" w:hAnsi="Garamond" w:cs="Garamond"/>
          <w:position w:val="5"/>
          <w:sz w:val="13"/>
          <w:szCs w:val="13"/>
        </w:rPr>
        <w:t>44</w:t>
      </w:r>
      <w:r>
        <w:rPr>
          <w:rFonts w:ascii="Garamond" w:hAnsi="Garamond" w:cs="Garamond"/>
          <w:spacing w:val="7"/>
          <w:position w:val="5"/>
          <w:sz w:val="13"/>
          <w:szCs w:val="13"/>
        </w:rPr>
        <w:t xml:space="preserve"> </w:t>
      </w:r>
      <w:r>
        <w:rPr>
          <w:rFonts w:ascii="Garamond" w:hAnsi="Garamond" w:cs="Garamond"/>
          <w:sz w:val="20"/>
          <w:szCs w:val="20"/>
        </w:rPr>
        <w:t>L.</w:t>
      </w:r>
      <w:r>
        <w:rPr>
          <w:rFonts w:ascii="Garamond" w:hAnsi="Garamond" w:cs="Garamond"/>
          <w:spacing w:val="-10"/>
          <w:sz w:val="20"/>
          <w:szCs w:val="20"/>
        </w:rPr>
        <w:t xml:space="preserve"> </w:t>
      </w:r>
      <w:r>
        <w:rPr>
          <w:rFonts w:ascii="Garamond" w:hAnsi="Garamond" w:cs="Garamond"/>
          <w:sz w:val="20"/>
          <w:szCs w:val="20"/>
        </w:rPr>
        <w:t>Ku</w:t>
      </w:r>
      <w:r>
        <w:rPr>
          <w:rFonts w:ascii="Garamond" w:hAnsi="Garamond" w:cs="Garamond"/>
          <w:spacing w:val="-9"/>
          <w:sz w:val="20"/>
          <w:szCs w:val="20"/>
        </w:rPr>
        <w:t xml:space="preserve"> </w:t>
      </w:r>
      <w:r>
        <w:rPr>
          <w:rFonts w:ascii="Garamond" w:hAnsi="Garamond" w:cs="Garamond"/>
          <w:sz w:val="20"/>
          <w:szCs w:val="20"/>
        </w:rPr>
        <w:t>and</w:t>
      </w:r>
      <w:r>
        <w:rPr>
          <w:rFonts w:ascii="Garamond" w:hAnsi="Garamond" w:cs="Garamond"/>
          <w:spacing w:val="-9"/>
          <w:sz w:val="20"/>
          <w:szCs w:val="20"/>
        </w:rPr>
        <w:t xml:space="preserve"> </w:t>
      </w:r>
      <w:r>
        <w:rPr>
          <w:rFonts w:ascii="Garamond" w:hAnsi="Garamond" w:cs="Garamond"/>
          <w:sz w:val="20"/>
          <w:szCs w:val="20"/>
        </w:rPr>
        <w:t>E.</w:t>
      </w:r>
      <w:r>
        <w:rPr>
          <w:rFonts w:ascii="Garamond" w:hAnsi="Garamond" w:cs="Garamond"/>
          <w:spacing w:val="-13"/>
          <w:sz w:val="20"/>
          <w:szCs w:val="20"/>
        </w:rPr>
        <w:t xml:space="preserve"> </w:t>
      </w:r>
      <w:r>
        <w:rPr>
          <w:rFonts w:ascii="Garamond" w:hAnsi="Garamond" w:cs="Garamond"/>
          <w:sz w:val="20"/>
          <w:szCs w:val="20"/>
        </w:rPr>
        <w:t>Steinmetz,</w:t>
      </w:r>
      <w:r>
        <w:rPr>
          <w:rFonts w:ascii="Garamond" w:hAnsi="Garamond" w:cs="Garamond"/>
          <w:spacing w:val="-10"/>
          <w:sz w:val="20"/>
          <w:szCs w:val="20"/>
        </w:rPr>
        <w:t xml:space="preserve"> </w:t>
      </w:r>
      <w:r>
        <w:rPr>
          <w:rFonts w:ascii="Garamond" w:hAnsi="Garamond" w:cs="Garamond"/>
          <w:sz w:val="20"/>
          <w:szCs w:val="20"/>
        </w:rPr>
        <w:t>Bridging</w:t>
      </w:r>
      <w:r>
        <w:rPr>
          <w:rFonts w:ascii="Garamond" w:hAnsi="Garamond" w:cs="Garamond"/>
          <w:spacing w:val="-10"/>
          <w:sz w:val="20"/>
          <w:szCs w:val="20"/>
        </w:rPr>
        <w:t xml:space="preserve"> </w:t>
      </w:r>
      <w:r>
        <w:rPr>
          <w:rFonts w:ascii="Garamond" w:hAnsi="Garamond" w:cs="Garamond"/>
          <w:sz w:val="20"/>
          <w:szCs w:val="20"/>
        </w:rPr>
        <w:t>the</w:t>
      </w:r>
      <w:r>
        <w:rPr>
          <w:rFonts w:ascii="Garamond" w:hAnsi="Garamond" w:cs="Garamond"/>
          <w:spacing w:val="-9"/>
          <w:sz w:val="20"/>
          <w:szCs w:val="20"/>
        </w:rPr>
        <w:t xml:space="preserve"> </w:t>
      </w:r>
      <w:r>
        <w:rPr>
          <w:rFonts w:ascii="Garamond" w:hAnsi="Garamond" w:cs="Garamond"/>
          <w:sz w:val="20"/>
          <w:szCs w:val="20"/>
        </w:rPr>
        <w:t>Gap:</w:t>
      </w:r>
      <w:r>
        <w:rPr>
          <w:rFonts w:ascii="Garamond" w:hAnsi="Garamond" w:cs="Garamond"/>
          <w:spacing w:val="-10"/>
          <w:sz w:val="20"/>
          <w:szCs w:val="20"/>
        </w:rPr>
        <w:t xml:space="preserve"> </w:t>
      </w:r>
      <w:r>
        <w:rPr>
          <w:rFonts w:ascii="Garamond" w:hAnsi="Garamond" w:cs="Garamond"/>
          <w:sz w:val="20"/>
          <w:szCs w:val="20"/>
        </w:rPr>
        <w:t>Continuity</w:t>
      </w:r>
      <w:r>
        <w:rPr>
          <w:rFonts w:ascii="Garamond" w:hAnsi="Garamond" w:cs="Garamond"/>
          <w:spacing w:val="-9"/>
          <w:sz w:val="20"/>
          <w:szCs w:val="20"/>
        </w:rPr>
        <w:t xml:space="preserve"> </w:t>
      </w:r>
      <w:r>
        <w:rPr>
          <w:rFonts w:ascii="Garamond" w:hAnsi="Garamond" w:cs="Garamond"/>
          <w:sz w:val="20"/>
          <w:szCs w:val="20"/>
        </w:rPr>
        <w:t>and</w:t>
      </w:r>
      <w:r>
        <w:rPr>
          <w:rFonts w:ascii="Garamond" w:hAnsi="Garamond" w:cs="Garamond"/>
          <w:spacing w:val="-9"/>
          <w:sz w:val="20"/>
          <w:szCs w:val="20"/>
        </w:rPr>
        <w:t xml:space="preserve"> </w:t>
      </w:r>
      <w:r>
        <w:rPr>
          <w:rFonts w:ascii="Garamond" w:hAnsi="Garamond" w:cs="Garamond"/>
          <w:sz w:val="20"/>
          <w:szCs w:val="20"/>
        </w:rPr>
        <w:t>Quality</w:t>
      </w:r>
      <w:r>
        <w:rPr>
          <w:rFonts w:ascii="Garamond" w:hAnsi="Garamond" w:cs="Garamond"/>
          <w:spacing w:val="-9"/>
          <w:sz w:val="20"/>
          <w:szCs w:val="20"/>
        </w:rPr>
        <w:t xml:space="preserve"> </w:t>
      </w:r>
      <w:r>
        <w:rPr>
          <w:rFonts w:ascii="Garamond" w:hAnsi="Garamond" w:cs="Garamond"/>
          <w:sz w:val="20"/>
          <w:szCs w:val="20"/>
        </w:rPr>
        <w:t>of</w:t>
      </w:r>
      <w:r>
        <w:rPr>
          <w:rFonts w:ascii="Garamond" w:hAnsi="Garamond" w:cs="Garamond"/>
          <w:spacing w:val="-9"/>
          <w:sz w:val="20"/>
          <w:szCs w:val="20"/>
        </w:rPr>
        <w:t xml:space="preserve"> </w:t>
      </w:r>
      <w:r>
        <w:rPr>
          <w:rFonts w:ascii="Garamond" w:hAnsi="Garamond" w:cs="Garamond"/>
          <w:sz w:val="20"/>
          <w:szCs w:val="20"/>
        </w:rPr>
        <w:t>Coverage</w:t>
      </w:r>
      <w:r>
        <w:rPr>
          <w:rFonts w:ascii="Garamond" w:hAnsi="Garamond" w:cs="Garamond"/>
          <w:spacing w:val="-9"/>
          <w:sz w:val="20"/>
          <w:szCs w:val="20"/>
        </w:rPr>
        <w:t xml:space="preserve"> </w:t>
      </w:r>
      <w:r>
        <w:rPr>
          <w:rFonts w:ascii="Garamond" w:hAnsi="Garamond" w:cs="Garamond"/>
          <w:sz w:val="20"/>
          <w:szCs w:val="20"/>
        </w:rPr>
        <w:t>in</w:t>
      </w:r>
      <w:r>
        <w:rPr>
          <w:rFonts w:ascii="Garamond" w:hAnsi="Garamond" w:cs="Garamond"/>
          <w:spacing w:val="-13"/>
          <w:sz w:val="20"/>
          <w:szCs w:val="20"/>
        </w:rPr>
        <w:t xml:space="preserve"> </w:t>
      </w:r>
      <w:r>
        <w:rPr>
          <w:rFonts w:ascii="Garamond" w:hAnsi="Garamond" w:cs="Garamond"/>
          <w:sz w:val="20"/>
          <w:szCs w:val="20"/>
        </w:rPr>
        <w:t>Medicaid,</w:t>
      </w:r>
      <w:r>
        <w:rPr>
          <w:rFonts w:ascii="Garamond" w:hAnsi="Garamond" w:cs="Garamond"/>
          <w:spacing w:val="-13"/>
          <w:sz w:val="20"/>
          <w:szCs w:val="20"/>
        </w:rPr>
        <w:t xml:space="preserve"> </w:t>
      </w:r>
      <w:r>
        <w:rPr>
          <w:rFonts w:ascii="Garamond" w:hAnsi="Garamond" w:cs="Garamond"/>
          <w:sz w:val="20"/>
          <w:szCs w:val="20"/>
        </w:rPr>
        <w:t>George</w:t>
      </w:r>
      <w:r>
        <w:rPr>
          <w:rFonts w:ascii="Garamond" w:hAnsi="Garamond" w:cs="Garamond"/>
          <w:spacing w:val="-9"/>
          <w:sz w:val="20"/>
          <w:szCs w:val="20"/>
        </w:rPr>
        <w:t xml:space="preserve"> </w:t>
      </w:r>
      <w:r>
        <w:rPr>
          <w:rFonts w:ascii="Garamond" w:hAnsi="Garamond" w:cs="Garamond"/>
          <w:sz w:val="20"/>
          <w:szCs w:val="20"/>
        </w:rPr>
        <w:t>Washington University,</w:t>
      </w:r>
      <w:r>
        <w:rPr>
          <w:rFonts w:ascii="Garamond" w:hAnsi="Garamond" w:cs="Garamond"/>
          <w:spacing w:val="-15"/>
          <w:sz w:val="20"/>
          <w:szCs w:val="20"/>
        </w:rPr>
        <w:t xml:space="preserve"> </w:t>
      </w:r>
      <w:r>
        <w:rPr>
          <w:rFonts w:ascii="Garamond" w:hAnsi="Garamond" w:cs="Garamond"/>
          <w:sz w:val="20"/>
          <w:szCs w:val="20"/>
        </w:rPr>
        <w:t>(Association</w:t>
      </w:r>
      <w:r>
        <w:rPr>
          <w:rFonts w:ascii="Garamond" w:hAnsi="Garamond" w:cs="Garamond"/>
          <w:spacing w:val="-15"/>
          <w:sz w:val="20"/>
          <w:szCs w:val="20"/>
        </w:rPr>
        <w:t xml:space="preserve"> </w:t>
      </w:r>
      <w:r>
        <w:rPr>
          <w:rFonts w:ascii="Garamond" w:hAnsi="Garamond" w:cs="Garamond"/>
          <w:sz w:val="20"/>
          <w:szCs w:val="20"/>
        </w:rPr>
        <w:t>for</w:t>
      </w:r>
      <w:r>
        <w:rPr>
          <w:rFonts w:ascii="Garamond" w:hAnsi="Garamond" w:cs="Garamond"/>
          <w:spacing w:val="-13"/>
          <w:sz w:val="20"/>
          <w:szCs w:val="20"/>
        </w:rPr>
        <w:t xml:space="preserve"> </w:t>
      </w:r>
      <w:r>
        <w:rPr>
          <w:rFonts w:ascii="Garamond" w:hAnsi="Garamond" w:cs="Garamond"/>
          <w:sz w:val="20"/>
          <w:szCs w:val="20"/>
        </w:rPr>
        <w:t>Community</w:t>
      </w:r>
      <w:r>
        <w:rPr>
          <w:rFonts w:ascii="Garamond" w:hAnsi="Garamond" w:cs="Garamond"/>
          <w:spacing w:val="-13"/>
          <w:sz w:val="20"/>
          <w:szCs w:val="20"/>
        </w:rPr>
        <w:t xml:space="preserve"> </w:t>
      </w:r>
      <w:r>
        <w:rPr>
          <w:rFonts w:ascii="Garamond" w:hAnsi="Garamond" w:cs="Garamond"/>
          <w:sz w:val="20"/>
          <w:szCs w:val="20"/>
        </w:rPr>
        <w:t>Health</w:t>
      </w:r>
      <w:r>
        <w:rPr>
          <w:rFonts w:ascii="Garamond" w:hAnsi="Garamond" w:cs="Garamond"/>
          <w:spacing w:val="-15"/>
          <w:sz w:val="20"/>
          <w:szCs w:val="20"/>
        </w:rPr>
        <w:t xml:space="preserve"> </w:t>
      </w:r>
      <w:r>
        <w:rPr>
          <w:rFonts w:ascii="Garamond" w:hAnsi="Garamond" w:cs="Garamond"/>
          <w:sz w:val="20"/>
          <w:szCs w:val="20"/>
        </w:rPr>
        <w:t>Plans,</w:t>
      </w:r>
      <w:r>
        <w:rPr>
          <w:rFonts w:ascii="Garamond" w:hAnsi="Garamond" w:cs="Garamond"/>
          <w:spacing w:val="-14"/>
          <w:sz w:val="20"/>
          <w:szCs w:val="20"/>
        </w:rPr>
        <w:t xml:space="preserve"> </w:t>
      </w:r>
      <w:r>
        <w:rPr>
          <w:rFonts w:ascii="Garamond" w:hAnsi="Garamond" w:cs="Garamond"/>
          <w:sz w:val="20"/>
          <w:szCs w:val="20"/>
        </w:rPr>
        <w:t>Sept.</w:t>
      </w:r>
      <w:r>
        <w:rPr>
          <w:rFonts w:ascii="Garamond" w:hAnsi="Garamond" w:cs="Garamond"/>
          <w:spacing w:val="-15"/>
          <w:sz w:val="20"/>
          <w:szCs w:val="20"/>
        </w:rPr>
        <w:t xml:space="preserve"> </w:t>
      </w:r>
      <w:r>
        <w:rPr>
          <w:rFonts w:ascii="Garamond" w:hAnsi="Garamond" w:cs="Garamond"/>
          <w:sz w:val="20"/>
          <w:szCs w:val="20"/>
        </w:rPr>
        <w:t>10,</w:t>
      </w:r>
      <w:r>
        <w:rPr>
          <w:rFonts w:ascii="Garamond" w:hAnsi="Garamond" w:cs="Garamond"/>
          <w:spacing w:val="-15"/>
          <w:sz w:val="20"/>
          <w:szCs w:val="20"/>
        </w:rPr>
        <w:t xml:space="preserve"> </w:t>
      </w:r>
      <w:r>
        <w:rPr>
          <w:rFonts w:ascii="Garamond" w:hAnsi="Garamond" w:cs="Garamond"/>
          <w:sz w:val="20"/>
          <w:szCs w:val="20"/>
        </w:rPr>
        <w:t>2013).</w:t>
      </w:r>
    </w:p>
    <w:p w:rsidR="002C5025" w:rsidRDefault="002C5025">
      <w:pPr>
        <w:pStyle w:val="BodyText"/>
        <w:kinsoku w:val="0"/>
        <w:overflowPunct w:val="0"/>
        <w:ind w:left="120" w:right="1201"/>
        <w:rPr>
          <w:rFonts w:ascii="Garamond" w:hAnsi="Garamond" w:cs="Garamond"/>
          <w:color w:val="0000FF"/>
          <w:sz w:val="20"/>
          <w:szCs w:val="20"/>
        </w:rPr>
      </w:pPr>
      <w:r>
        <w:rPr>
          <w:rFonts w:ascii="Garamond" w:hAnsi="Garamond" w:cs="Garamond"/>
          <w:position w:val="5"/>
          <w:sz w:val="13"/>
          <w:szCs w:val="13"/>
        </w:rPr>
        <w:t xml:space="preserve">45 </w:t>
      </w:r>
      <w:r>
        <w:rPr>
          <w:rFonts w:ascii="Garamond" w:hAnsi="Garamond" w:cs="Garamond"/>
          <w:sz w:val="20"/>
          <w:szCs w:val="20"/>
        </w:rPr>
        <w:t xml:space="preserve">Data displayed on Medicaid.gov at </w:t>
      </w:r>
      <w:hyperlink r:id="rId350" w:history="1">
        <w:r>
          <w:rPr>
            <w:rFonts w:ascii="Garamond" w:hAnsi="Garamond" w:cs="Garamond"/>
            <w:color w:val="0000FF"/>
            <w:sz w:val="20"/>
            <w:szCs w:val="20"/>
            <w:u w:val="single"/>
          </w:rPr>
          <w:t>http://www.medicaid.gov/medicaid-chip-program-information/by-</w:t>
        </w:r>
      </w:hyperlink>
      <w:r>
        <w:rPr>
          <w:rFonts w:ascii="Garamond" w:hAnsi="Garamond" w:cs="Garamond"/>
          <w:color w:val="0000FF"/>
          <w:sz w:val="20"/>
          <w:szCs w:val="20"/>
          <w:u w:val="single"/>
        </w:rPr>
        <w:t xml:space="preserve"> </w:t>
      </w:r>
      <w:hyperlink r:id="rId351" w:history="1">
        <w:r>
          <w:rPr>
            <w:rFonts w:ascii="Garamond" w:hAnsi="Garamond" w:cs="Garamond"/>
            <w:color w:val="0000FF"/>
            <w:sz w:val="20"/>
            <w:szCs w:val="20"/>
            <w:u w:val="single"/>
          </w:rPr>
          <w:t>topics/outreach-and-enrollment/continuous.html</w:t>
        </w:r>
        <w:r>
          <w:rPr>
            <w:rFonts w:ascii="Garamond" w:hAnsi="Garamond" w:cs="Garamond"/>
            <w:color w:val="000000"/>
            <w:sz w:val="20"/>
            <w:szCs w:val="20"/>
            <w:u w:val="single"/>
          </w:rPr>
          <w:t>.</w:t>
        </w:r>
      </w:hyperlink>
    </w:p>
    <w:p w:rsidR="002C5025" w:rsidRDefault="002C5025">
      <w:pPr>
        <w:pStyle w:val="BodyText"/>
        <w:kinsoku w:val="0"/>
        <w:overflowPunct w:val="0"/>
        <w:ind w:left="120" w:right="327"/>
        <w:rPr>
          <w:rFonts w:ascii="Garamond" w:hAnsi="Garamond" w:cs="Garamond"/>
          <w:sz w:val="20"/>
          <w:szCs w:val="20"/>
        </w:rPr>
      </w:pPr>
      <w:r>
        <w:rPr>
          <w:rFonts w:ascii="Garamond" w:hAnsi="Garamond" w:cs="Garamond"/>
          <w:position w:val="5"/>
          <w:sz w:val="13"/>
          <w:szCs w:val="13"/>
        </w:rPr>
        <w:t>46</w:t>
      </w:r>
      <w:r>
        <w:rPr>
          <w:rFonts w:ascii="Garamond" w:hAnsi="Garamond" w:cs="Garamond"/>
          <w:spacing w:val="5"/>
          <w:position w:val="5"/>
          <w:sz w:val="13"/>
          <w:szCs w:val="13"/>
        </w:rPr>
        <w:t xml:space="preserve"> </w:t>
      </w:r>
      <w:r>
        <w:rPr>
          <w:rFonts w:ascii="Garamond" w:hAnsi="Garamond" w:cs="Garamond"/>
          <w:sz w:val="20"/>
          <w:szCs w:val="20"/>
        </w:rPr>
        <w:t>Letter</w:t>
      </w:r>
      <w:r>
        <w:rPr>
          <w:rFonts w:ascii="Garamond" w:hAnsi="Garamond" w:cs="Garamond"/>
          <w:spacing w:val="-8"/>
          <w:sz w:val="20"/>
          <w:szCs w:val="20"/>
        </w:rPr>
        <w:t xml:space="preserve"> </w:t>
      </w:r>
      <w:r>
        <w:rPr>
          <w:rFonts w:ascii="Garamond" w:hAnsi="Garamond" w:cs="Garamond"/>
          <w:sz w:val="20"/>
          <w:szCs w:val="20"/>
        </w:rPr>
        <w:t>from</w:t>
      </w:r>
      <w:r>
        <w:rPr>
          <w:rFonts w:ascii="Garamond" w:hAnsi="Garamond" w:cs="Garamond"/>
          <w:spacing w:val="-11"/>
          <w:sz w:val="20"/>
          <w:szCs w:val="20"/>
        </w:rPr>
        <w:t xml:space="preserve"> </w:t>
      </w:r>
      <w:r>
        <w:rPr>
          <w:rFonts w:ascii="Garamond" w:hAnsi="Garamond" w:cs="Garamond"/>
          <w:sz w:val="20"/>
          <w:szCs w:val="20"/>
        </w:rPr>
        <w:t>Cindy</w:t>
      </w:r>
      <w:r>
        <w:rPr>
          <w:rFonts w:ascii="Garamond" w:hAnsi="Garamond" w:cs="Garamond"/>
          <w:spacing w:val="-8"/>
          <w:sz w:val="20"/>
          <w:szCs w:val="20"/>
        </w:rPr>
        <w:t xml:space="preserve"> </w:t>
      </w:r>
      <w:r>
        <w:rPr>
          <w:rFonts w:ascii="Garamond" w:hAnsi="Garamond" w:cs="Garamond"/>
          <w:sz w:val="20"/>
          <w:szCs w:val="20"/>
        </w:rPr>
        <w:t>Mann,</w:t>
      </w:r>
      <w:r>
        <w:rPr>
          <w:rFonts w:ascii="Garamond" w:hAnsi="Garamond" w:cs="Garamond"/>
          <w:spacing w:val="-12"/>
          <w:sz w:val="20"/>
          <w:szCs w:val="20"/>
        </w:rPr>
        <w:t xml:space="preserve"> </w:t>
      </w:r>
      <w:r>
        <w:rPr>
          <w:rFonts w:ascii="Garamond" w:hAnsi="Garamond" w:cs="Garamond"/>
          <w:sz w:val="20"/>
          <w:szCs w:val="20"/>
        </w:rPr>
        <w:t>Director,</w:t>
      </w:r>
      <w:r>
        <w:rPr>
          <w:rFonts w:ascii="Garamond" w:hAnsi="Garamond" w:cs="Garamond"/>
          <w:spacing w:val="-12"/>
          <w:sz w:val="20"/>
          <w:szCs w:val="20"/>
        </w:rPr>
        <w:t xml:space="preserve"> </w:t>
      </w:r>
      <w:r>
        <w:rPr>
          <w:rFonts w:ascii="Garamond" w:hAnsi="Garamond" w:cs="Garamond"/>
          <w:sz w:val="20"/>
          <w:szCs w:val="20"/>
        </w:rPr>
        <w:t>CMS,</w:t>
      </w:r>
      <w:r>
        <w:rPr>
          <w:rFonts w:ascii="Garamond" w:hAnsi="Garamond" w:cs="Garamond"/>
          <w:spacing w:val="-9"/>
          <w:sz w:val="20"/>
          <w:szCs w:val="20"/>
        </w:rPr>
        <w:t xml:space="preserve"> </w:t>
      </w:r>
      <w:r>
        <w:rPr>
          <w:rFonts w:ascii="Garamond" w:hAnsi="Garamond" w:cs="Garamond"/>
          <w:sz w:val="20"/>
          <w:szCs w:val="20"/>
        </w:rPr>
        <w:t>to</w:t>
      </w:r>
      <w:r>
        <w:rPr>
          <w:rFonts w:ascii="Garamond" w:hAnsi="Garamond" w:cs="Garamond"/>
          <w:spacing w:val="-12"/>
          <w:sz w:val="20"/>
          <w:szCs w:val="20"/>
        </w:rPr>
        <w:t xml:space="preserve"> </w:t>
      </w:r>
      <w:r>
        <w:rPr>
          <w:rFonts w:ascii="Garamond" w:hAnsi="Garamond" w:cs="Garamond"/>
          <w:sz w:val="20"/>
          <w:szCs w:val="20"/>
        </w:rPr>
        <w:t>State</w:t>
      </w:r>
      <w:r>
        <w:rPr>
          <w:rFonts w:ascii="Garamond" w:hAnsi="Garamond" w:cs="Garamond"/>
          <w:spacing w:val="-10"/>
          <w:sz w:val="20"/>
          <w:szCs w:val="20"/>
        </w:rPr>
        <w:t xml:space="preserve"> </w:t>
      </w:r>
      <w:r>
        <w:rPr>
          <w:rFonts w:ascii="Garamond" w:hAnsi="Garamond" w:cs="Garamond"/>
          <w:sz w:val="20"/>
          <w:szCs w:val="20"/>
        </w:rPr>
        <w:t>Health</w:t>
      </w:r>
      <w:r>
        <w:rPr>
          <w:rFonts w:ascii="Garamond" w:hAnsi="Garamond" w:cs="Garamond"/>
          <w:spacing w:val="-12"/>
          <w:sz w:val="20"/>
          <w:szCs w:val="20"/>
        </w:rPr>
        <w:t xml:space="preserve"> </w:t>
      </w:r>
      <w:r>
        <w:rPr>
          <w:rFonts w:ascii="Garamond" w:hAnsi="Garamond" w:cs="Garamond"/>
          <w:sz w:val="20"/>
          <w:szCs w:val="20"/>
        </w:rPr>
        <w:t>Officials,</w:t>
      </w:r>
      <w:r>
        <w:rPr>
          <w:rFonts w:ascii="Garamond" w:hAnsi="Garamond" w:cs="Garamond"/>
          <w:spacing w:val="-12"/>
          <w:sz w:val="20"/>
          <w:szCs w:val="20"/>
        </w:rPr>
        <w:t xml:space="preserve"> </w:t>
      </w:r>
      <w:r>
        <w:rPr>
          <w:rFonts w:ascii="Garamond" w:hAnsi="Garamond" w:cs="Garamond"/>
          <w:sz w:val="20"/>
          <w:szCs w:val="20"/>
        </w:rPr>
        <w:t>Re:</w:t>
      </w:r>
      <w:r>
        <w:rPr>
          <w:rFonts w:ascii="Garamond" w:hAnsi="Garamond" w:cs="Garamond"/>
          <w:spacing w:val="-12"/>
          <w:sz w:val="20"/>
          <w:szCs w:val="20"/>
        </w:rPr>
        <w:t xml:space="preserve"> </w:t>
      </w:r>
      <w:r>
        <w:rPr>
          <w:rFonts w:ascii="Garamond" w:hAnsi="Garamond" w:cs="Garamond"/>
          <w:sz w:val="20"/>
          <w:szCs w:val="20"/>
        </w:rPr>
        <w:t>Facilitating</w:t>
      </w:r>
      <w:r>
        <w:rPr>
          <w:rFonts w:ascii="Garamond" w:hAnsi="Garamond" w:cs="Garamond"/>
          <w:spacing w:val="-12"/>
          <w:sz w:val="20"/>
          <w:szCs w:val="20"/>
        </w:rPr>
        <w:t xml:space="preserve"> </w:t>
      </w:r>
      <w:r>
        <w:rPr>
          <w:rFonts w:ascii="Garamond" w:hAnsi="Garamond" w:cs="Garamond"/>
          <w:sz w:val="20"/>
          <w:szCs w:val="20"/>
        </w:rPr>
        <w:t>Medicaid</w:t>
      </w:r>
      <w:r>
        <w:rPr>
          <w:rFonts w:ascii="Garamond" w:hAnsi="Garamond" w:cs="Garamond"/>
          <w:spacing w:val="-10"/>
          <w:sz w:val="20"/>
          <w:szCs w:val="20"/>
        </w:rPr>
        <w:t xml:space="preserve"> </w:t>
      </w:r>
      <w:r>
        <w:rPr>
          <w:rFonts w:ascii="Garamond" w:hAnsi="Garamond" w:cs="Garamond"/>
          <w:sz w:val="20"/>
          <w:szCs w:val="20"/>
        </w:rPr>
        <w:t>and</w:t>
      </w:r>
      <w:r>
        <w:rPr>
          <w:rFonts w:ascii="Garamond" w:hAnsi="Garamond" w:cs="Garamond"/>
          <w:spacing w:val="-10"/>
          <w:sz w:val="20"/>
          <w:szCs w:val="20"/>
        </w:rPr>
        <w:t xml:space="preserve"> </w:t>
      </w:r>
      <w:r>
        <w:rPr>
          <w:rFonts w:ascii="Garamond" w:hAnsi="Garamond" w:cs="Garamond"/>
          <w:sz w:val="20"/>
          <w:szCs w:val="20"/>
        </w:rPr>
        <w:t>CHIP</w:t>
      </w:r>
      <w:r>
        <w:rPr>
          <w:rFonts w:ascii="Garamond" w:hAnsi="Garamond" w:cs="Garamond"/>
          <w:spacing w:val="-10"/>
          <w:sz w:val="20"/>
          <w:szCs w:val="20"/>
        </w:rPr>
        <w:t xml:space="preserve"> </w:t>
      </w:r>
      <w:r>
        <w:rPr>
          <w:rFonts w:ascii="Garamond" w:hAnsi="Garamond" w:cs="Garamond"/>
          <w:sz w:val="20"/>
          <w:szCs w:val="20"/>
        </w:rPr>
        <w:t>Enrollment and Renewal in 2014, May 17,</w:t>
      </w:r>
      <w:r>
        <w:rPr>
          <w:rFonts w:ascii="Garamond" w:hAnsi="Garamond" w:cs="Garamond"/>
          <w:spacing w:val="3"/>
          <w:sz w:val="20"/>
          <w:szCs w:val="20"/>
        </w:rPr>
        <w:t xml:space="preserve"> </w:t>
      </w:r>
      <w:r>
        <w:rPr>
          <w:rFonts w:ascii="Garamond" w:hAnsi="Garamond" w:cs="Garamond"/>
          <w:sz w:val="20"/>
          <w:szCs w:val="20"/>
        </w:rPr>
        <w:t>2013.</w:t>
      </w:r>
    </w:p>
    <w:p w:rsidR="002C5025" w:rsidRDefault="002C5025">
      <w:pPr>
        <w:pStyle w:val="BodyText"/>
        <w:tabs>
          <w:tab w:val="left" w:pos="460"/>
          <w:tab w:val="left" w:pos="983"/>
        </w:tabs>
        <w:kinsoku w:val="0"/>
        <w:overflowPunct w:val="0"/>
        <w:ind w:left="120" w:right="296"/>
        <w:rPr>
          <w:rFonts w:ascii="Garamond" w:hAnsi="Garamond" w:cs="Garamond"/>
          <w:color w:val="0000FF"/>
          <w:spacing w:val="-1"/>
          <w:w w:val="95"/>
          <w:sz w:val="20"/>
          <w:szCs w:val="20"/>
        </w:rPr>
      </w:pPr>
      <w:r>
        <w:rPr>
          <w:rFonts w:ascii="Garamond" w:hAnsi="Garamond" w:cs="Garamond"/>
          <w:position w:val="5"/>
          <w:sz w:val="13"/>
          <w:szCs w:val="13"/>
        </w:rPr>
        <w:t>47</w:t>
      </w:r>
      <w:r>
        <w:rPr>
          <w:rFonts w:ascii="Garamond" w:hAnsi="Garamond" w:cs="Garamond"/>
          <w:position w:val="5"/>
          <w:sz w:val="13"/>
          <w:szCs w:val="13"/>
        </w:rPr>
        <w:tab/>
      </w:r>
      <w:r>
        <w:rPr>
          <w:rFonts w:ascii="Garamond" w:hAnsi="Garamond" w:cs="Garamond"/>
          <w:sz w:val="20"/>
          <w:szCs w:val="20"/>
        </w:rPr>
        <w:t>See:</w:t>
      </w:r>
      <w:r>
        <w:rPr>
          <w:rFonts w:ascii="Garamond" w:hAnsi="Garamond" w:cs="Garamond"/>
          <w:sz w:val="20"/>
          <w:szCs w:val="20"/>
        </w:rPr>
        <w:tab/>
      </w:r>
      <w:hyperlink r:id="rId352" w:history="1">
        <w:r>
          <w:rPr>
            <w:rFonts w:ascii="Garamond" w:hAnsi="Garamond" w:cs="Garamond"/>
            <w:color w:val="0000FF"/>
            <w:spacing w:val="-1"/>
            <w:w w:val="95"/>
            <w:sz w:val="20"/>
            <w:szCs w:val="20"/>
            <w:u w:val="single"/>
          </w:rPr>
          <w:t>http://kff.org/report-section/medicaid-and-chip-eligibility-enrollment-renewal-and-cost-sharing-policies-as-of-</w:t>
        </w:r>
      </w:hyperlink>
      <w:r>
        <w:rPr>
          <w:rFonts w:ascii="Garamond" w:hAnsi="Garamond" w:cs="Garamond"/>
          <w:color w:val="0000FF"/>
          <w:spacing w:val="-1"/>
          <w:w w:val="95"/>
          <w:sz w:val="20"/>
          <w:szCs w:val="20"/>
          <w:u w:val="single"/>
        </w:rPr>
        <w:t xml:space="preserve"> </w:t>
      </w:r>
      <w:hyperlink r:id="rId353" w:history="1">
        <w:r>
          <w:rPr>
            <w:rFonts w:ascii="Garamond" w:hAnsi="Garamond" w:cs="Garamond"/>
            <w:color w:val="0000FF"/>
            <w:sz w:val="20"/>
            <w:szCs w:val="20"/>
            <w:u w:val="single"/>
          </w:rPr>
          <w:t>january-2016-medicaid-and-chip-enrollment-and-renewal-processes/</w:t>
        </w:r>
        <w:r>
          <w:rPr>
            <w:rFonts w:ascii="Garamond" w:hAnsi="Garamond" w:cs="Garamond"/>
            <w:color w:val="000000"/>
            <w:sz w:val="20"/>
            <w:szCs w:val="20"/>
            <w:u w:val="single"/>
          </w:rPr>
          <w:t>.</w:t>
        </w:r>
      </w:hyperlink>
    </w:p>
    <w:p w:rsidR="002C5025" w:rsidRDefault="002C5025">
      <w:pPr>
        <w:pStyle w:val="BodyText"/>
        <w:kinsoku w:val="0"/>
        <w:overflowPunct w:val="0"/>
        <w:ind w:left="120" w:right="160"/>
        <w:rPr>
          <w:rFonts w:ascii="Garamond" w:hAnsi="Garamond" w:cs="Garamond"/>
          <w:sz w:val="20"/>
          <w:szCs w:val="20"/>
        </w:rPr>
      </w:pPr>
      <w:r>
        <w:rPr>
          <w:rFonts w:ascii="Garamond" w:hAnsi="Garamond" w:cs="Garamond"/>
          <w:position w:val="5"/>
          <w:sz w:val="13"/>
          <w:szCs w:val="13"/>
        </w:rPr>
        <w:t>48</w:t>
      </w:r>
      <w:r>
        <w:rPr>
          <w:rFonts w:ascii="Garamond" w:hAnsi="Garamond" w:cs="Garamond"/>
          <w:spacing w:val="7"/>
          <w:position w:val="5"/>
          <w:sz w:val="13"/>
          <w:szCs w:val="13"/>
        </w:rPr>
        <w:t xml:space="preserve"> </w:t>
      </w:r>
      <w:r>
        <w:rPr>
          <w:rFonts w:ascii="Garamond" w:hAnsi="Garamond" w:cs="Garamond"/>
          <w:sz w:val="20"/>
          <w:szCs w:val="20"/>
        </w:rPr>
        <w:t>Medicaid</w:t>
      </w:r>
      <w:r>
        <w:rPr>
          <w:rFonts w:ascii="Garamond" w:hAnsi="Garamond" w:cs="Garamond"/>
          <w:spacing w:val="-9"/>
          <w:sz w:val="20"/>
          <w:szCs w:val="20"/>
        </w:rPr>
        <w:t xml:space="preserve"> </w:t>
      </w:r>
      <w:r>
        <w:rPr>
          <w:rFonts w:ascii="Garamond" w:hAnsi="Garamond" w:cs="Garamond"/>
          <w:sz w:val="20"/>
          <w:szCs w:val="20"/>
        </w:rPr>
        <w:t>and</w:t>
      </w:r>
      <w:r>
        <w:rPr>
          <w:rFonts w:ascii="Garamond" w:hAnsi="Garamond" w:cs="Garamond"/>
          <w:spacing w:val="-9"/>
          <w:sz w:val="20"/>
          <w:szCs w:val="20"/>
        </w:rPr>
        <w:t xml:space="preserve"> </w:t>
      </w:r>
      <w:r>
        <w:rPr>
          <w:rFonts w:ascii="Garamond" w:hAnsi="Garamond" w:cs="Garamond"/>
          <w:sz w:val="20"/>
          <w:szCs w:val="20"/>
        </w:rPr>
        <w:t>CHIP</w:t>
      </w:r>
      <w:r>
        <w:rPr>
          <w:rFonts w:ascii="Garamond" w:hAnsi="Garamond" w:cs="Garamond"/>
          <w:spacing w:val="-11"/>
          <w:sz w:val="20"/>
          <w:szCs w:val="20"/>
        </w:rPr>
        <w:t xml:space="preserve"> </w:t>
      </w:r>
      <w:r>
        <w:rPr>
          <w:rFonts w:ascii="Garamond" w:hAnsi="Garamond" w:cs="Garamond"/>
          <w:sz w:val="20"/>
          <w:szCs w:val="20"/>
        </w:rPr>
        <w:t>Payment</w:t>
      </w:r>
      <w:r>
        <w:rPr>
          <w:rFonts w:ascii="Garamond" w:hAnsi="Garamond" w:cs="Garamond"/>
          <w:spacing w:val="-15"/>
          <w:sz w:val="20"/>
          <w:szCs w:val="20"/>
        </w:rPr>
        <w:t xml:space="preserve"> </w:t>
      </w:r>
      <w:r>
        <w:rPr>
          <w:rFonts w:ascii="Garamond" w:hAnsi="Garamond" w:cs="Garamond"/>
          <w:sz w:val="20"/>
          <w:szCs w:val="20"/>
        </w:rPr>
        <w:t>and</w:t>
      </w:r>
      <w:r>
        <w:rPr>
          <w:rFonts w:ascii="Garamond" w:hAnsi="Garamond" w:cs="Garamond"/>
          <w:spacing w:val="-9"/>
          <w:sz w:val="20"/>
          <w:szCs w:val="20"/>
        </w:rPr>
        <w:t xml:space="preserve"> </w:t>
      </w:r>
      <w:r>
        <w:rPr>
          <w:rFonts w:ascii="Garamond" w:hAnsi="Garamond" w:cs="Garamond"/>
          <w:sz w:val="20"/>
          <w:szCs w:val="20"/>
        </w:rPr>
        <w:t>Access</w:t>
      </w:r>
      <w:r>
        <w:rPr>
          <w:rFonts w:ascii="Garamond" w:hAnsi="Garamond" w:cs="Garamond"/>
          <w:spacing w:val="-13"/>
          <w:sz w:val="20"/>
          <w:szCs w:val="20"/>
        </w:rPr>
        <w:t xml:space="preserve"> </w:t>
      </w:r>
      <w:r>
        <w:rPr>
          <w:rFonts w:ascii="Garamond" w:hAnsi="Garamond" w:cs="Garamond"/>
          <w:sz w:val="20"/>
          <w:szCs w:val="20"/>
        </w:rPr>
        <w:t>Commission,</w:t>
      </w:r>
      <w:r>
        <w:rPr>
          <w:rFonts w:ascii="Garamond" w:hAnsi="Garamond" w:cs="Garamond"/>
          <w:spacing w:val="-13"/>
          <w:sz w:val="20"/>
          <w:szCs w:val="20"/>
        </w:rPr>
        <w:t xml:space="preserve"> </w:t>
      </w:r>
      <w:r>
        <w:rPr>
          <w:rFonts w:ascii="Garamond" w:hAnsi="Garamond" w:cs="Garamond"/>
          <w:sz w:val="20"/>
          <w:szCs w:val="20"/>
        </w:rPr>
        <w:t>Report</w:t>
      </w:r>
      <w:r>
        <w:rPr>
          <w:rFonts w:ascii="Garamond" w:hAnsi="Garamond" w:cs="Garamond"/>
          <w:spacing w:val="-13"/>
          <w:sz w:val="20"/>
          <w:szCs w:val="20"/>
        </w:rPr>
        <w:t xml:space="preserve"> </w:t>
      </w:r>
      <w:r>
        <w:rPr>
          <w:rFonts w:ascii="Garamond" w:hAnsi="Garamond" w:cs="Garamond"/>
          <w:sz w:val="20"/>
          <w:szCs w:val="20"/>
        </w:rPr>
        <w:t>to</w:t>
      </w:r>
      <w:r>
        <w:rPr>
          <w:rFonts w:ascii="Garamond" w:hAnsi="Garamond" w:cs="Garamond"/>
          <w:spacing w:val="-13"/>
          <w:sz w:val="20"/>
          <w:szCs w:val="20"/>
        </w:rPr>
        <w:t xml:space="preserve"> </w:t>
      </w:r>
      <w:r>
        <w:rPr>
          <w:rFonts w:ascii="Garamond" w:hAnsi="Garamond" w:cs="Garamond"/>
          <w:sz w:val="20"/>
          <w:szCs w:val="20"/>
        </w:rPr>
        <w:t>the</w:t>
      </w:r>
      <w:r>
        <w:rPr>
          <w:rFonts w:ascii="Garamond" w:hAnsi="Garamond" w:cs="Garamond"/>
          <w:spacing w:val="-9"/>
          <w:sz w:val="20"/>
          <w:szCs w:val="20"/>
        </w:rPr>
        <w:t xml:space="preserve"> </w:t>
      </w:r>
      <w:r>
        <w:rPr>
          <w:rFonts w:ascii="Garamond" w:hAnsi="Garamond" w:cs="Garamond"/>
          <w:sz w:val="20"/>
          <w:szCs w:val="20"/>
        </w:rPr>
        <w:t>Congress</w:t>
      </w:r>
      <w:r>
        <w:rPr>
          <w:rFonts w:ascii="Garamond" w:hAnsi="Garamond" w:cs="Garamond"/>
          <w:spacing w:val="-13"/>
          <w:sz w:val="20"/>
          <w:szCs w:val="20"/>
        </w:rPr>
        <w:t xml:space="preserve"> </w:t>
      </w:r>
      <w:r>
        <w:rPr>
          <w:rFonts w:ascii="Garamond" w:hAnsi="Garamond" w:cs="Garamond"/>
          <w:sz w:val="20"/>
          <w:szCs w:val="20"/>
        </w:rPr>
        <w:t>on</w:t>
      </w:r>
      <w:r>
        <w:rPr>
          <w:rFonts w:ascii="Garamond" w:hAnsi="Garamond" w:cs="Garamond"/>
          <w:spacing w:val="-11"/>
          <w:sz w:val="20"/>
          <w:szCs w:val="20"/>
        </w:rPr>
        <w:t xml:space="preserve"> </w:t>
      </w:r>
      <w:r>
        <w:rPr>
          <w:rFonts w:ascii="Garamond" w:hAnsi="Garamond" w:cs="Garamond"/>
          <w:sz w:val="20"/>
          <w:szCs w:val="20"/>
        </w:rPr>
        <w:t>Medicaid</w:t>
      </w:r>
      <w:r>
        <w:rPr>
          <w:rFonts w:ascii="Garamond" w:hAnsi="Garamond" w:cs="Garamond"/>
          <w:spacing w:val="-11"/>
          <w:sz w:val="20"/>
          <w:szCs w:val="20"/>
        </w:rPr>
        <w:t xml:space="preserve"> </w:t>
      </w:r>
      <w:r>
        <w:rPr>
          <w:rFonts w:ascii="Garamond" w:hAnsi="Garamond" w:cs="Garamond"/>
          <w:sz w:val="20"/>
          <w:szCs w:val="20"/>
        </w:rPr>
        <w:t>and</w:t>
      </w:r>
      <w:r>
        <w:rPr>
          <w:rFonts w:ascii="Garamond" w:hAnsi="Garamond" w:cs="Garamond"/>
          <w:spacing w:val="-9"/>
          <w:sz w:val="20"/>
          <w:szCs w:val="20"/>
        </w:rPr>
        <w:t xml:space="preserve"> </w:t>
      </w:r>
      <w:r>
        <w:rPr>
          <w:rFonts w:ascii="Garamond" w:hAnsi="Garamond" w:cs="Garamond"/>
          <w:sz w:val="20"/>
          <w:szCs w:val="20"/>
        </w:rPr>
        <w:t>CHIP,</w:t>
      </w:r>
      <w:r>
        <w:rPr>
          <w:rFonts w:ascii="Garamond" w:hAnsi="Garamond" w:cs="Garamond"/>
          <w:spacing w:val="-13"/>
          <w:sz w:val="20"/>
          <w:szCs w:val="20"/>
        </w:rPr>
        <w:t xml:space="preserve"> </w:t>
      </w:r>
      <w:r>
        <w:rPr>
          <w:rFonts w:ascii="Garamond" w:hAnsi="Garamond" w:cs="Garamond"/>
          <w:sz w:val="20"/>
          <w:szCs w:val="20"/>
        </w:rPr>
        <w:t>Washington, DC:</w:t>
      </w:r>
      <w:r>
        <w:rPr>
          <w:rFonts w:ascii="Garamond" w:hAnsi="Garamond" w:cs="Garamond"/>
          <w:spacing w:val="-11"/>
          <w:sz w:val="20"/>
          <w:szCs w:val="20"/>
        </w:rPr>
        <w:t xml:space="preserve"> </w:t>
      </w:r>
      <w:r>
        <w:rPr>
          <w:rFonts w:ascii="Garamond" w:hAnsi="Garamond" w:cs="Garamond"/>
          <w:sz w:val="20"/>
          <w:szCs w:val="20"/>
        </w:rPr>
        <w:t>MACPAC;</w:t>
      </w:r>
      <w:r>
        <w:rPr>
          <w:rFonts w:ascii="Garamond" w:hAnsi="Garamond" w:cs="Garamond"/>
          <w:spacing w:val="-11"/>
          <w:sz w:val="20"/>
          <w:szCs w:val="20"/>
        </w:rPr>
        <w:t xml:space="preserve"> </w:t>
      </w:r>
      <w:r>
        <w:rPr>
          <w:rFonts w:ascii="Garamond" w:hAnsi="Garamond" w:cs="Garamond"/>
          <w:sz w:val="20"/>
          <w:szCs w:val="20"/>
        </w:rPr>
        <w:t>Chap.</w:t>
      </w:r>
      <w:r>
        <w:rPr>
          <w:rFonts w:ascii="Garamond" w:hAnsi="Garamond" w:cs="Garamond"/>
          <w:spacing w:val="-8"/>
          <w:sz w:val="20"/>
          <w:szCs w:val="20"/>
        </w:rPr>
        <w:t xml:space="preserve"> </w:t>
      </w:r>
      <w:r>
        <w:rPr>
          <w:rFonts w:ascii="Garamond" w:hAnsi="Garamond" w:cs="Garamond"/>
          <w:sz w:val="20"/>
          <w:szCs w:val="20"/>
        </w:rPr>
        <w:t>2,</w:t>
      </w:r>
      <w:r>
        <w:rPr>
          <w:rFonts w:ascii="Garamond" w:hAnsi="Garamond" w:cs="Garamond"/>
          <w:spacing w:val="-11"/>
          <w:sz w:val="20"/>
          <w:szCs w:val="20"/>
        </w:rPr>
        <w:t xml:space="preserve"> </w:t>
      </w:r>
      <w:r>
        <w:rPr>
          <w:rFonts w:ascii="Garamond" w:hAnsi="Garamond" w:cs="Garamond"/>
          <w:sz w:val="20"/>
          <w:szCs w:val="20"/>
        </w:rPr>
        <w:t>p.</w:t>
      </w:r>
      <w:r>
        <w:rPr>
          <w:rFonts w:ascii="Garamond" w:hAnsi="Garamond" w:cs="Garamond"/>
          <w:spacing w:val="-8"/>
          <w:sz w:val="20"/>
          <w:szCs w:val="20"/>
        </w:rPr>
        <w:t xml:space="preserve"> </w:t>
      </w:r>
      <w:r>
        <w:rPr>
          <w:rFonts w:ascii="Garamond" w:hAnsi="Garamond" w:cs="Garamond"/>
          <w:sz w:val="20"/>
          <w:szCs w:val="20"/>
        </w:rPr>
        <w:t>21–32.</w:t>
      </w:r>
      <w:r>
        <w:rPr>
          <w:rFonts w:ascii="Garamond" w:hAnsi="Garamond" w:cs="Garamond"/>
          <w:spacing w:val="-11"/>
          <w:sz w:val="20"/>
          <w:szCs w:val="20"/>
        </w:rPr>
        <w:t xml:space="preserve"> </w:t>
      </w:r>
      <w:r>
        <w:rPr>
          <w:rFonts w:ascii="Garamond" w:hAnsi="Garamond" w:cs="Garamond"/>
          <w:sz w:val="20"/>
          <w:szCs w:val="20"/>
        </w:rPr>
        <w:t>Mar.</w:t>
      </w:r>
      <w:r>
        <w:rPr>
          <w:rFonts w:ascii="Garamond" w:hAnsi="Garamond" w:cs="Garamond"/>
          <w:spacing w:val="-11"/>
          <w:sz w:val="20"/>
          <w:szCs w:val="20"/>
        </w:rPr>
        <w:t xml:space="preserve"> </w:t>
      </w:r>
      <w:r>
        <w:rPr>
          <w:rFonts w:ascii="Garamond" w:hAnsi="Garamond" w:cs="Garamond"/>
          <w:sz w:val="20"/>
          <w:szCs w:val="20"/>
        </w:rPr>
        <w:t>2013.</w:t>
      </w:r>
    </w:p>
    <w:p w:rsidR="002C5025" w:rsidRDefault="002C5025">
      <w:pPr>
        <w:pStyle w:val="BodyText"/>
        <w:kinsoku w:val="0"/>
        <w:overflowPunct w:val="0"/>
        <w:ind w:left="120" w:right="814"/>
        <w:rPr>
          <w:rFonts w:ascii="Garamond" w:hAnsi="Garamond" w:cs="Garamond"/>
          <w:sz w:val="20"/>
          <w:szCs w:val="20"/>
        </w:rPr>
      </w:pPr>
      <w:r>
        <w:rPr>
          <w:rFonts w:ascii="Garamond" w:hAnsi="Garamond" w:cs="Garamond"/>
          <w:position w:val="5"/>
          <w:sz w:val="13"/>
          <w:szCs w:val="13"/>
        </w:rPr>
        <w:t xml:space="preserve">49 </w:t>
      </w:r>
      <w:r>
        <w:rPr>
          <w:rFonts w:ascii="Garamond" w:hAnsi="Garamond" w:cs="Garamond"/>
          <w:sz w:val="20"/>
          <w:szCs w:val="20"/>
        </w:rPr>
        <w:t>42 U.S.C. § 1396a(e)(2).</w:t>
      </w:r>
    </w:p>
    <w:p w:rsidR="002C5025" w:rsidRDefault="002C5025">
      <w:pPr>
        <w:pStyle w:val="BodyText"/>
        <w:kinsoku w:val="0"/>
        <w:overflowPunct w:val="0"/>
        <w:spacing w:before="10" w:line="224" w:lineRule="exact"/>
        <w:ind w:left="120" w:right="814"/>
        <w:rPr>
          <w:rFonts w:ascii="Garamond" w:hAnsi="Garamond" w:cs="Garamond"/>
          <w:sz w:val="20"/>
          <w:szCs w:val="20"/>
        </w:rPr>
      </w:pPr>
      <w:r>
        <w:rPr>
          <w:rFonts w:ascii="Garamond" w:hAnsi="Garamond" w:cs="Garamond"/>
          <w:position w:val="5"/>
          <w:sz w:val="13"/>
          <w:szCs w:val="13"/>
        </w:rPr>
        <w:t xml:space="preserve">50 </w:t>
      </w:r>
      <w:r>
        <w:rPr>
          <w:rFonts w:ascii="Garamond" w:hAnsi="Garamond" w:cs="Garamond"/>
          <w:sz w:val="20"/>
          <w:szCs w:val="20"/>
        </w:rPr>
        <w:t>956 CMR 8.00.</w:t>
      </w:r>
    </w:p>
    <w:p w:rsidR="002C5025" w:rsidRDefault="002C5025">
      <w:pPr>
        <w:pStyle w:val="BodyText"/>
        <w:kinsoku w:val="0"/>
        <w:overflowPunct w:val="0"/>
        <w:spacing w:line="224" w:lineRule="exact"/>
        <w:ind w:left="120" w:right="814"/>
        <w:rPr>
          <w:rFonts w:ascii="Garamond" w:hAnsi="Garamond" w:cs="Garamond"/>
          <w:color w:val="1F487C"/>
          <w:w w:val="95"/>
          <w:sz w:val="20"/>
          <w:szCs w:val="20"/>
        </w:rPr>
      </w:pPr>
      <w:r>
        <w:rPr>
          <w:rFonts w:ascii="Garamond" w:hAnsi="Garamond" w:cs="Garamond"/>
          <w:w w:val="95"/>
          <w:position w:val="5"/>
          <w:sz w:val="13"/>
          <w:szCs w:val="13"/>
        </w:rPr>
        <w:t xml:space="preserve">51     </w:t>
      </w:r>
      <w:r>
        <w:rPr>
          <w:rFonts w:ascii="Garamond" w:hAnsi="Garamond" w:cs="Garamond"/>
          <w:w w:val="95"/>
          <w:sz w:val="20"/>
          <w:szCs w:val="20"/>
        </w:rPr>
        <w:t xml:space="preserve">See:   </w:t>
      </w:r>
      <w:hyperlink r:id="rId354" w:history="1">
        <w:r>
          <w:rPr>
            <w:rFonts w:ascii="Garamond" w:hAnsi="Garamond" w:cs="Garamond"/>
            <w:color w:val="0000FF"/>
            <w:w w:val="95"/>
            <w:sz w:val="20"/>
            <w:szCs w:val="20"/>
            <w:u w:val="single"/>
          </w:rPr>
          <w:t>https://www.universityhealthplans.com/pdf/UMB_BenefitsSummary-1617.pdf</w:t>
        </w:r>
        <w:r>
          <w:rPr>
            <w:rFonts w:ascii="Garamond" w:hAnsi="Garamond" w:cs="Garamond"/>
            <w:color w:val="1F487C"/>
            <w:w w:val="95"/>
            <w:sz w:val="20"/>
            <w:szCs w:val="20"/>
          </w:rPr>
          <w:t>.</w:t>
        </w:r>
      </w:hyperlink>
    </w:p>
    <w:p w:rsidR="002C5025" w:rsidRDefault="002C5025">
      <w:pPr>
        <w:pStyle w:val="BodyText"/>
        <w:kinsoku w:val="0"/>
        <w:overflowPunct w:val="0"/>
        <w:spacing w:before="9"/>
        <w:rPr>
          <w:rFonts w:ascii="Garamond" w:hAnsi="Garamond" w:cs="Garamond"/>
          <w:sz w:val="10"/>
          <w:szCs w:val="10"/>
        </w:rPr>
      </w:pPr>
    </w:p>
    <w:p w:rsidR="002C5025" w:rsidRDefault="002C5025">
      <w:pPr>
        <w:pStyle w:val="BodyText"/>
        <w:kinsoku w:val="0"/>
        <w:overflowPunct w:val="0"/>
        <w:spacing w:before="80"/>
        <w:ind w:left="595" w:right="471"/>
        <w:jc w:val="center"/>
        <w:rPr>
          <w:rFonts w:ascii="Garamond" w:hAnsi="Garamond" w:cs="Garamond"/>
          <w:sz w:val="20"/>
          <w:szCs w:val="20"/>
        </w:rPr>
      </w:pPr>
      <w:r>
        <w:rPr>
          <w:rFonts w:ascii="Garamond" w:hAnsi="Garamond" w:cs="Garamond"/>
          <w:sz w:val="20"/>
          <w:szCs w:val="20"/>
        </w:rPr>
        <w:t>18</w:t>
      </w:r>
    </w:p>
    <w:p w:rsidR="002C5025" w:rsidRDefault="002C5025">
      <w:pPr>
        <w:pStyle w:val="BodyText"/>
        <w:kinsoku w:val="0"/>
        <w:overflowPunct w:val="0"/>
        <w:spacing w:before="80"/>
        <w:ind w:left="595" w:right="471"/>
        <w:jc w:val="center"/>
        <w:rPr>
          <w:rFonts w:ascii="Garamond" w:hAnsi="Garamond" w:cs="Garamond"/>
          <w:sz w:val="20"/>
          <w:szCs w:val="20"/>
        </w:rPr>
        <w:sectPr w:rsidR="002C5025">
          <w:pgSz w:w="12240" w:h="15840"/>
          <w:pgMar w:top="1380" w:right="1440" w:bottom="280" w:left="1320" w:header="720" w:footer="720" w:gutter="0"/>
          <w:cols w:space="720" w:equalWidth="0">
            <w:col w:w="9480"/>
          </w:cols>
          <w:noEndnote/>
        </w:sectPr>
      </w:pPr>
    </w:p>
    <w:p w:rsidR="002C5025" w:rsidRDefault="002C5025">
      <w:pPr>
        <w:pStyle w:val="BodyText"/>
        <w:kinsoku w:val="0"/>
        <w:overflowPunct w:val="0"/>
        <w:spacing w:before="60"/>
        <w:ind w:left="118" w:right="85" w:firstLine="1"/>
        <w:rPr>
          <w:rFonts w:ascii="Garamond" w:hAnsi="Garamond" w:cs="Garamond"/>
        </w:rPr>
      </w:pPr>
      <w:r>
        <w:rPr>
          <w:rFonts w:ascii="Garamond" w:hAnsi="Garamond" w:cs="Garamond"/>
        </w:rPr>
        <w:lastRenderedPageBreak/>
        <w:t>timely access to high quality primary care, specialists, long-term services and supports and behavioral health providers regardless of the delivery model they choose. MassHealth should establish, with input from consumers,</w:t>
      </w:r>
      <w:r>
        <w:rPr>
          <w:rFonts w:ascii="Garamond" w:hAnsi="Garamond" w:cs="Garamond"/>
          <w:spacing w:val="-10"/>
        </w:rPr>
        <w:t xml:space="preserve"> </w:t>
      </w:r>
      <w:r>
        <w:rPr>
          <w:rFonts w:ascii="Garamond" w:hAnsi="Garamond" w:cs="Garamond"/>
        </w:rPr>
        <w:t>advocates</w:t>
      </w:r>
      <w:r>
        <w:rPr>
          <w:rFonts w:ascii="Garamond" w:hAnsi="Garamond" w:cs="Garamond"/>
          <w:spacing w:val="-12"/>
        </w:rPr>
        <w:t xml:space="preserve"> </w:t>
      </w:r>
      <w:r>
        <w:rPr>
          <w:rFonts w:ascii="Garamond" w:hAnsi="Garamond" w:cs="Garamond"/>
        </w:rPr>
        <w:t>and</w:t>
      </w:r>
      <w:r>
        <w:rPr>
          <w:rFonts w:ascii="Garamond" w:hAnsi="Garamond" w:cs="Garamond"/>
          <w:spacing w:val="-9"/>
        </w:rPr>
        <w:t xml:space="preserve"> </w:t>
      </w:r>
      <w:r>
        <w:rPr>
          <w:rFonts w:ascii="Garamond" w:hAnsi="Garamond" w:cs="Garamond"/>
        </w:rPr>
        <w:t>other</w:t>
      </w:r>
      <w:r>
        <w:rPr>
          <w:rFonts w:ascii="Garamond" w:hAnsi="Garamond" w:cs="Garamond"/>
          <w:spacing w:val="-8"/>
        </w:rPr>
        <w:t xml:space="preserve"> </w:t>
      </w:r>
      <w:r>
        <w:rPr>
          <w:rFonts w:ascii="Garamond" w:hAnsi="Garamond" w:cs="Garamond"/>
        </w:rPr>
        <w:t>stakeholders,</w:t>
      </w:r>
      <w:r>
        <w:rPr>
          <w:rFonts w:ascii="Garamond" w:hAnsi="Garamond" w:cs="Garamond"/>
          <w:spacing w:val="-10"/>
        </w:rPr>
        <w:t xml:space="preserve"> </w:t>
      </w:r>
      <w:r>
        <w:rPr>
          <w:rFonts w:ascii="Garamond" w:hAnsi="Garamond" w:cs="Garamond"/>
          <w:spacing w:val="-3"/>
        </w:rPr>
        <w:t>and</w:t>
      </w:r>
      <w:r>
        <w:rPr>
          <w:rFonts w:ascii="Garamond" w:hAnsi="Garamond" w:cs="Garamond"/>
          <w:spacing w:val="-13"/>
        </w:rPr>
        <w:t xml:space="preserve"> </w:t>
      </w:r>
      <w:r>
        <w:rPr>
          <w:rFonts w:ascii="Garamond" w:hAnsi="Garamond" w:cs="Garamond"/>
        </w:rPr>
        <w:t>make</w:t>
      </w:r>
      <w:r>
        <w:rPr>
          <w:rFonts w:ascii="Garamond" w:hAnsi="Garamond" w:cs="Garamond"/>
          <w:spacing w:val="-16"/>
        </w:rPr>
        <w:t xml:space="preserve"> </w:t>
      </w:r>
      <w:r>
        <w:rPr>
          <w:rFonts w:ascii="Garamond" w:hAnsi="Garamond" w:cs="Garamond"/>
        </w:rPr>
        <w:t>publicly</w:t>
      </w:r>
      <w:r>
        <w:rPr>
          <w:rFonts w:ascii="Garamond" w:hAnsi="Garamond" w:cs="Garamond"/>
          <w:spacing w:val="-11"/>
        </w:rPr>
        <w:t xml:space="preserve"> </w:t>
      </w:r>
      <w:r>
        <w:rPr>
          <w:rFonts w:ascii="Garamond" w:hAnsi="Garamond" w:cs="Garamond"/>
        </w:rPr>
        <w:t>available</w:t>
      </w:r>
      <w:r>
        <w:rPr>
          <w:rFonts w:ascii="Garamond" w:hAnsi="Garamond" w:cs="Garamond"/>
          <w:spacing w:val="-10"/>
        </w:rPr>
        <w:t xml:space="preserve"> </w:t>
      </w:r>
      <w:r>
        <w:rPr>
          <w:rFonts w:ascii="Garamond" w:hAnsi="Garamond" w:cs="Garamond"/>
        </w:rPr>
        <w:t>its</w:t>
      </w:r>
      <w:r>
        <w:rPr>
          <w:rFonts w:ascii="Garamond" w:hAnsi="Garamond" w:cs="Garamond"/>
          <w:spacing w:val="-8"/>
        </w:rPr>
        <w:t xml:space="preserve"> </w:t>
      </w:r>
      <w:r>
        <w:rPr>
          <w:rFonts w:ascii="Garamond" w:hAnsi="Garamond" w:cs="Garamond"/>
        </w:rPr>
        <w:t>network,</w:t>
      </w:r>
      <w:r>
        <w:rPr>
          <w:rFonts w:ascii="Garamond" w:hAnsi="Garamond" w:cs="Garamond"/>
          <w:spacing w:val="-11"/>
        </w:rPr>
        <w:t xml:space="preserve"> </w:t>
      </w:r>
      <w:r>
        <w:rPr>
          <w:rFonts w:ascii="Garamond" w:hAnsi="Garamond" w:cs="Garamond"/>
        </w:rPr>
        <w:t>adequacy</w:t>
      </w:r>
      <w:r>
        <w:rPr>
          <w:rFonts w:ascii="Garamond" w:hAnsi="Garamond" w:cs="Garamond"/>
          <w:spacing w:val="-11"/>
        </w:rPr>
        <w:t xml:space="preserve"> </w:t>
      </w:r>
      <w:r>
        <w:rPr>
          <w:rFonts w:ascii="Garamond" w:hAnsi="Garamond" w:cs="Garamond"/>
        </w:rPr>
        <w:t>standards</w:t>
      </w:r>
      <w:r>
        <w:rPr>
          <w:rFonts w:ascii="Garamond" w:hAnsi="Garamond" w:cs="Garamond"/>
          <w:spacing w:val="-12"/>
        </w:rPr>
        <w:t xml:space="preserve"> </w:t>
      </w:r>
      <w:r>
        <w:rPr>
          <w:rFonts w:ascii="Garamond" w:hAnsi="Garamond" w:cs="Garamond"/>
        </w:rPr>
        <w:t xml:space="preserve">for MCOs, the PCC Plan </w:t>
      </w:r>
      <w:r>
        <w:rPr>
          <w:rFonts w:ascii="Garamond" w:hAnsi="Garamond" w:cs="Garamond"/>
          <w:spacing w:val="-3"/>
        </w:rPr>
        <w:t xml:space="preserve">and </w:t>
      </w:r>
      <w:r>
        <w:rPr>
          <w:rFonts w:ascii="Garamond" w:hAnsi="Garamond" w:cs="Garamond"/>
        </w:rPr>
        <w:t xml:space="preserve">all ACO models. </w:t>
      </w:r>
      <w:r>
        <w:rPr>
          <w:rFonts w:ascii="Garamond" w:hAnsi="Garamond" w:cs="Garamond"/>
          <w:spacing w:val="-3"/>
        </w:rPr>
        <w:t xml:space="preserve">Under </w:t>
      </w:r>
      <w:r>
        <w:rPr>
          <w:rFonts w:ascii="Garamond" w:hAnsi="Garamond" w:cs="Garamond"/>
        </w:rPr>
        <w:t xml:space="preserve">Federal Medicaid Managed Care regulations, states are required to develop time </w:t>
      </w:r>
      <w:r>
        <w:rPr>
          <w:rFonts w:ascii="Garamond" w:hAnsi="Garamond" w:cs="Garamond"/>
          <w:spacing w:val="-3"/>
        </w:rPr>
        <w:t xml:space="preserve">and </w:t>
      </w:r>
      <w:r>
        <w:rPr>
          <w:rFonts w:ascii="Garamond" w:hAnsi="Garamond" w:cs="Garamond"/>
        </w:rPr>
        <w:t xml:space="preserve">distance standards for all </w:t>
      </w:r>
      <w:r>
        <w:rPr>
          <w:rFonts w:ascii="Garamond" w:hAnsi="Garamond" w:cs="Garamond"/>
          <w:spacing w:val="-3"/>
        </w:rPr>
        <w:t xml:space="preserve">capitated </w:t>
      </w:r>
      <w:r>
        <w:rPr>
          <w:rFonts w:ascii="Garamond" w:hAnsi="Garamond" w:cs="Garamond"/>
        </w:rPr>
        <w:t>plans.</w:t>
      </w:r>
      <w:r>
        <w:rPr>
          <w:rFonts w:ascii="Garamond" w:hAnsi="Garamond" w:cs="Garamond"/>
          <w:position w:val="5"/>
          <w:sz w:val="14"/>
          <w:szCs w:val="14"/>
        </w:rPr>
        <w:t xml:space="preserve">52 </w:t>
      </w:r>
      <w:r>
        <w:rPr>
          <w:rFonts w:ascii="Garamond" w:hAnsi="Garamond" w:cs="Garamond"/>
        </w:rPr>
        <w:t xml:space="preserve">All ACO models should be required to meet Federal Medicaid </w:t>
      </w:r>
      <w:r>
        <w:rPr>
          <w:rFonts w:ascii="Garamond" w:hAnsi="Garamond" w:cs="Garamond"/>
          <w:spacing w:val="-4"/>
        </w:rPr>
        <w:t xml:space="preserve">Managed </w:t>
      </w:r>
      <w:r>
        <w:rPr>
          <w:rFonts w:ascii="Garamond" w:hAnsi="Garamond" w:cs="Garamond"/>
        </w:rPr>
        <w:t>Care</w:t>
      </w:r>
      <w:r>
        <w:rPr>
          <w:rFonts w:ascii="Garamond" w:hAnsi="Garamond" w:cs="Garamond"/>
          <w:spacing w:val="-35"/>
        </w:rPr>
        <w:t xml:space="preserve"> </w:t>
      </w:r>
      <w:r>
        <w:rPr>
          <w:rFonts w:ascii="Garamond" w:hAnsi="Garamond" w:cs="Garamond"/>
        </w:rPr>
        <w:t>regulations.</w:t>
      </w:r>
    </w:p>
    <w:p w:rsidR="002C5025" w:rsidRDefault="002C5025">
      <w:pPr>
        <w:pStyle w:val="BodyText"/>
        <w:kinsoku w:val="0"/>
        <w:overflowPunct w:val="0"/>
        <w:spacing w:before="4"/>
        <w:rPr>
          <w:rFonts w:ascii="Garamond" w:hAnsi="Garamond" w:cs="Garamond"/>
        </w:rPr>
      </w:pPr>
    </w:p>
    <w:p w:rsidR="002C5025" w:rsidRDefault="002C5025">
      <w:pPr>
        <w:pStyle w:val="BodyText"/>
        <w:kinsoku w:val="0"/>
        <w:overflowPunct w:val="0"/>
        <w:spacing w:line="244" w:lineRule="exact"/>
        <w:ind w:left="120" w:right="225"/>
        <w:rPr>
          <w:rFonts w:ascii="Garamond" w:hAnsi="Garamond" w:cs="Garamond"/>
        </w:rPr>
      </w:pPr>
      <w:r>
        <w:rPr>
          <w:rFonts w:ascii="Garamond" w:hAnsi="Garamond" w:cs="Garamond"/>
        </w:rPr>
        <w:t>At a minimum, network adequacy requirements should consider:</w:t>
      </w:r>
    </w:p>
    <w:p w:rsidR="002C5025" w:rsidRDefault="002C5025">
      <w:pPr>
        <w:pStyle w:val="ListParagraph"/>
        <w:numPr>
          <w:ilvl w:val="2"/>
          <w:numId w:val="49"/>
        </w:numPr>
        <w:tabs>
          <w:tab w:val="left" w:pos="840"/>
        </w:tabs>
        <w:kinsoku w:val="0"/>
        <w:overflowPunct w:val="0"/>
        <w:ind w:right="112" w:hanging="359"/>
        <w:rPr>
          <w:rFonts w:ascii="Garamond" w:hAnsi="Garamond" w:cs="Garamond"/>
          <w:sz w:val="22"/>
          <w:szCs w:val="22"/>
        </w:rPr>
      </w:pPr>
      <w:r>
        <w:rPr>
          <w:rFonts w:ascii="Garamond" w:hAnsi="Garamond" w:cs="Garamond"/>
          <w:i/>
          <w:iCs/>
          <w:sz w:val="22"/>
          <w:szCs w:val="22"/>
        </w:rPr>
        <w:t>Availability</w:t>
      </w:r>
      <w:r>
        <w:rPr>
          <w:rFonts w:ascii="Garamond" w:hAnsi="Garamond" w:cs="Garamond"/>
          <w:i/>
          <w:iCs/>
          <w:spacing w:val="-8"/>
          <w:sz w:val="22"/>
          <w:szCs w:val="22"/>
        </w:rPr>
        <w:t xml:space="preserve"> </w:t>
      </w:r>
      <w:r>
        <w:rPr>
          <w:rFonts w:ascii="Garamond" w:hAnsi="Garamond" w:cs="Garamond"/>
          <w:i/>
          <w:iCs/>
          <w:sz w:val="22"/>
          <w:szCs w:val="22"/>
        </w:rPr>
        <w:t>of</w:t>
      </w:r>
      <w:r>
        <w:rPr>
          <w:rFonts w:ascii="Garamond" w:hAnsi="Garamond" w:cs="Garamond"/>
          <w:i/>
          <w:iCs/>
          <w:spacing w:val="-7"/>
          <w:sz w:val="22"/>
          <w:szCs w:val="22"/>
        </w:rPr>
        <w:t xml:space="preserve"> </w:t>
      </w:r>
      <w:r>
        <w:rPr>
          <w:rFonts w:ascii="Garamond" w:hAnsi="Garamond" w:cs="Garamond"/>
          <w:i/>
          <w:iCs/>
          <w:sz w:val="22"/>
          <w:szCs w:val="22"/>
        </w:rPr>
        <w:t>all</w:t>
      </w:r>
      <w:r>
        <w:rPr>
          <w:rFonts w:ascii="Garamond" w:hAnsi="Garamond" w:cs="Garamond"/>
          <w:i/>
          <w:iCs/>
          <w:spacing w:val="-9"/>
          <w:sz w:val="22"/>
          <w:szCs w:val="22"/>
        </w:rPr>
        <w:t xml:space="preserve"> </w:t>
      </w:r>
      <w:r>
        <w:rPr>
          <w:rFonts w:ascii="Garamond" w:hAnsi="Garamond" w:cs="Garamond"/>
          <w:i/>
          <w:iCs/>
          <w:sz w:val="22"/>
          <w:szCs w:val="22"/>
        </w:rPr>
        <w:t>covered</w:t>
      </w:r>
      <w:r>
        <w:rPr>
          <w:rFonts w:ascii="Garamond" w:hAnsi="Garamond" w:cs="Garamond"/>
          <w:i/>
          <w:iCs/>
          <w:spacing w:val="-10"/>
          <w:sz w:val="22"/>
          <w:szCs w:val="22"/>
        </w:rPr>
        <w:t xml:space="preserve"> </w:t>
      </w:r>
      <w:r>
        <w:rPr>
          <w:rFonts w:ascii="Garamond" w:hAnsi="Garamond" w:cs="Garamond"/>
          <w:i/>
          <w:iCs/>
          <w:sz w:val="22"/>
          <w:szCs w:val="22"/>
        </w:rPr>
        <w:t>services</w:t>
      </w:r>
      <w:r>
        <w:rPr>
          <w:rFonts w:ascii="Garamond" w:hAnsi="Garamond" w:cs="Garamond"/>
          <w:sz w:val="22"/>
          <w:szCs w:val="22"/>
        </w:rPr>
        <w:t>:</w:t>
      </w:r>
      <w:r>
        <w:rPr>
          <w:rFonts w:ascii="Garamond" w:hAnsi="Garamond" w:cs="Garamond"/>
          <w:spacing w:val="-9"/>
          <w:sz w:val="22"/>
          <w:szCs w:val="22"/>
        </w:rPr>
        <w:t xml:space="preserve"> </w:t>
      </w:r>
      <w:r>
        <w:rPr>
          <w:rFonts w:ascii="Garamond" w:hAnsi="Garamond" w:cs="Garamond"/>
          <w:sz w:val="22"/>
          <w:szCs w:val="22"/>
        </w:rPr>
        <w:t>ACOs</w:t>
      </w:r>
      <w:r>
        <w:rPr>
          <w:rFonts w:ascii="Garamond" w:hAnsi="Garamond" w:cs="Garamond"/>
          <w:spacing w:val="-5"/>
          <w:sz w:val="22"/>
          <w:szCs w:val="22"/>
        </w:rPr>
        <w:t xml:space="preserve"> </w:t>
      </w:r>
      <w:r>
        <w:rPr>
          <w:rFonts w:ascii="Garamond" w:hAnsi="Garamond" w:cs="Garamond"/>
          <w:sz w:val="22"/>
          <w:szCs w:val="22"/>
        </w:rPr>
        <w:t>should</w:t>
      </w:r>
      <w:r>
        <w:rPr>
          <w:rFonts w:ascii="Garamond" w:hAnsi="Garamond" w:cs="Garamond"/>
          <w:spacing w:val="-9"/>
          <w:sz w:val="22"/>
          <w:szCs w:val="22"/>
        </w:rPr>
        <w:t xml:space="preserve"> </w:t>
      </w:r>
      <w:r>
        <w:rPr>
          <w:rFonts w:ascii="Garamond" w:hAnsi="Garamond" w:cs="Garamond"/>
          <w:sz w:val="22"/>
          <w:szCs w:val="22"/>
        </w:rPr>
        <w:t>be</w:t>
      </w:r>
      <w:r>
        <w:rPr>
          <w:rFonts w:ascii="Garamond" w:hAnsi="Garamond" w:cs="Garamond"/>
          <w:spacing w:val="-11"/>
          <w:sz w:val="22"/>
          <w:szCs w:val="22"/>
        </w:rPr>
        <w:t xml:space="preserve"> </w:t>
      </w:r>
      <w:r>
        <w:rPr>
          <w:rFonts w:ascii="Garamond" w:hAnsi="Garamond" w:cs="Garamond"/>
          <w:sz w:val="22"/>
          <w:szCs w:val="22"/>
        </w:rPr>
        <w:t>sufficient</w:t>
      </w:r>
      <w:r>
        <w:rPr>
          <w:rFonts w:ascii="Garamond" w:hAnsi="Garamond" w:cs="Garamond"/>
          <w:spacing w:val="-8"/>
          <w:sz w:val="22"/>
          <w:szCs w:val="22"/>
        </w:rPr>
        <w:t xml:space="preserve"> </w:t>
      </w:r>
      <w:r>
        <w:rPr>
          <w:rFonts w:ascii="Garamond" w:hAnsi="Garamond" w:cs="Garamond"/>
          <w:sz w:val="22"/>
          <w:szCs w:val="22"/>
        </w:rPr>
        <w:t>in</w:t>
      </w:r>
      <w:r>
        <w:rPr>
          <w:rFonts w:ascii="Garamond" w:hAnsi="Garamond" w:cs="Garamond"/>
          <w:spacing w:val="-6"/>
          <w:sz w:val="22"/>
          <w:szCs w:val="22"/>
        </w:rPr>
        <w:t xml:space="preserve"> </w:t>
      </w:r>
      <w:r>
        <w:rPr>
          <w:rFonts w:ascii="Garamond" w:hAnsi="Garamond" w:cs="Garamond"/>
          <w:sz w:val="22"/>
          <w:szCs w:val="22"/>
        </w:rPr>
        <w:t>number</w:t>
      </w:r>
      <w:r>
        <w:rPr>
          <w:rFonts w:ascii="Garamond" w:hAnsi="Garamond" w:cs="Garamond"/>
          <w:spacing w:val="-8"/>
          <w:sz w:val="22"/>
          <w:szCs w:val="22"/>
        </w:rPr>
        <w:t xml:space="preserve"> </w:t>
      </w:r>
      <w:r>
        <w:rPr>
          <w:rFonts w:ascii="Garamond" w:hAnsi="Garamond" w:cs="Garamond"/>
          <w:spacing w:val="-3"/>
          <w:sz w:val="22"/>
          <w:szCs w:val="22"/>
        </w:rPr>
        <w:t>and</w:t>
      </w:r>
      <w:r>
        <w:rPr>
          <w:rFonts w:ascii="Garamond" w:hAnsi="Garamond" w:cs="Garamond"/>
          <w:spacing w:val="-6"/>
          <w:sz w:val="22"/>
          <w:szCs w:val="22"/>
        </w:rPr>
        <w:t xml:space="preserve"> </w:t>
      </w:r>
      <w:r>
        <w:rPr>
          <w:rFonts w:ascii="Garamond" w:hAnsi="Garamond" w:cs="Garamond"/>
          <w:sz w:val="22"/>
          <w:szCs w:val="22"/>
        </w:rPr>
        <w:t>types</w:t>
      </w:r>
      <w:r>
        <w:rPr>
          <w:rFonts w:ascii="Garamond" w:hAnsi="Garamond" w:cs="Garamond"/>
          <w:spacing w:val="-8"/>
          <w:sz w:val="22"/>
          <w:szCs w:val="22"/>
        </w:rPr>
        <w:t xml:space="preserve"> </w:t>
      </w:r>
      <w:r>
        <w:rPr>
          <w:rFonts w:ascii="Garamond" w:hAnsi="Garamond" w:cs="Garamond"/>
          <w:sz w:val="22"/>
          <w:szCs w:val="22"/>
        </w:rPr>
        <w:t>of</w:t>
      </w:r>
      <w:r>
        <w:rPr>
          <w:rFonts w:ascii="Garamond" w:hAnsi="Garamond" w:cs="Garamond"/>
          <w:spacing w:val="-8"/>
          <w:sz w:val="22"/>
          <w:szCs w:val="22"/>
        </w:rPr>
        <w:t xml:space="preserve"> </w:t>
      </w:r>
      <w:r>
        <w:rPr>
          <w:rFonts w:ascii="Garamond" w:hAnsi="Garamond" w:cs="Garamond"/>
          <w:sz w:val="22"/>
          <w:szCs w:val="22"/>
        </w:rPr>
        <w:t>providers</w:t>
      </w:r>
      <w:r>
        <w:rPr>
          <w:rFonts w:ascii="Garamond" w:hAnsi="Garamond" w:cs="Garamond"/>
          <w:spacing w:val="-5"/>
          <w:sz w:val="22"/>
          <w:szCs w:val="22"/>
        </w:rPr>
        <w:t xml:space="preserve"> </w:t>
      </w:r>
      <w:r>
        <w:rPr>
          <w:rFonts w:ascii="Garamond" w:hAnsi="Garamond" w:cs="Garamond"/>
          <w:sz w:val="22"/>
          <w:szCs w:val="22"/>
        </w:rPr>
        <w:t>needed</w:t>
      </w:r>
      <w:r>
        <w:rPr>
          <w:rFonts w:ascii="Garamond" w:hAnsi="Garamond" w:cs="Garamond"/>
          <w:spacing w:val="-9"/>
          <w:sz w:val="22"/>
          <w:szCs w:val="22"/>
        </w:rPr>
        <w:t xml:space="preserve"> </w:t>
      </w:r>
      <w:r>
        <w:rPr>
          <w:rFonts w:ascii="Garamond" w:hAnsi="Garamond" w:cs="Garamond"/>
          <w:sz w:val="22"/>
          <w:szCs w:val="22"/>
        </w:rPr>
        <w:t xml:space="preserve">to serve the member </w:t>
      </w:r>
      <w:r>
        <w:rPr>
          <w:rFonts w:ascii="Garamond" w:hAnsi="Garamond" w:cs="Garamond"/>
          <w:spacing w:val="-3"/>
          <w:sz w:val="22"/>
          <w:szCs w:val="22"/>
        </w:rPr>
        <w:t xml:space="preserve">population, </w:t>
      </w:r>
      <w:r>
        <w:rPr>
          <w:rFonts w:ascii="Garamond" w:hAnsi="Garamond" w:cs="Garamond"/>
          <w:sz w:val="22"/>
          <w:szCs w:val="22"/>
        </w:rPr>
        <w:t xml:space="preserve">including linguistically and culturally </w:t>
      </w:r>
      <w:r>
        <w:rPr>
          <w:rFonts w:ascii="Garamond" w:hAnsi="Garamond" w:cs="Garamond"/>
          <w:spacing w:val="-3"/>
          <w:sz w:val="22"/>
          <w:szCs w:val="22"/>
        </w:rPr>
        <w:t xml:space="preserve">competent </w:t>
      </w:r>
      <w:r>
        <w:rPr>
          <w:rFonts w:ascii="Garamond" w:hAnsi="Garamond" w:cs="Garamond"/>
          <w:sz w:val="22"/>
          <w:szCs w:val="22"/>
        </w:rPr>
        <w:t xml:space="preserve">services, </w:t>
      </w:r>
      <w:r>
        <w:rPr>
          <w:rFonts w:ascii="Garamond" w:hAnsi="Garamond" w:cs="Garamond"/>
          <w:spacing w:val="-3"/>
          <w:sz w:val="22"/>
          <w:szCs w:val="22"/>
        </w:rPr>
        <w:t xml:space="preserve">and </w:t>
      </w:r>
      <w:r>
        <w:rPr>
          <w:rFonts w:ascii="Garamond" w:hAnsi="Garamond" w:cs="Garamond"/>
          <w:sz w:val="22"/>
          <w:szCs w:val="22"/>
        </w:rPr>
        <w:t xml:space="preserve">compliance with the ADA, Mental Health Parity and Addiction Equity Act </w:t>
      </w:r>
      <w:r>
        <w:rPr>
          <w:rFonts w:ascii="Garamond" w:hAnsi="Garamond" w:cs="Garamond"/>
          <w:spacing w:val="-3"/>
          <w:sz w:val="22"/>
          <w:szCs w:val="22"/>
        </w:rPr>
        <w:t xml:space="preserve">and </w:t>
      </w:r>
      <w:r>
        <w:rPr>
          <w:rFonts w:ascii="Garamond" w:hAnsi="Garamond" w:cs="Garamond"/>
          <w:sz w:val="22"/>
          <w:szCs w:val="22"/>
        </w:rPr>
        <w:t>other Federal and State nondiscrimination</w:t>
      </w:r>
      <w:r>
        <w:rPr>
          <w:rFonts w:ascii="Garamond" w:hAnsi="Garamond" w:cs="Garamond"/>
          <w:spacing w:val="-39"/>
          <w:sz w:val="22"/>
          <w:szCs w:val="22"/>
        </w:rPr>
        <w:t xml:space="preserve"> </w:t>
      </w:r>
      <w:r>
        <w:rPr>
          <w:rFonts w:ascii="Garamond" w:hAnsi="Garamond" w:cs="Garamond"/>
          <w:sz w:val="22"/>
          <w:szCs w:val="22"/>
        </w:rPr>
        <w:t>laws.</w:t>
      </w:r>
    </w:p>
    <w:p w:rsidR="002C5025" w:rsidRDefault="002C5025">
      <w:pPr>
        <w:pStyle w:val="ListParagraph"/>
        <w:numPr>
          <w:ilvl w:val="2"/>
          <w:numId w:val="49"/>
        </w:numPr>
        <w:tabs>
          <w:tab w:val="left" w:pos="840"/>
        </w:tabs>
        <w:kinsoku w:val="0"/>
        <w:overflowPunct w:val="0"/>
        <w:ind w:right="158" w:hanging="359"/>
        <w:rPr>
          <w:rFonts w:ascii="Garamond" w:hAnsi="Garamond" w:cs="Garamond"/>
          <w:sz w:val="22"/>
          <w:szCs w:val="22"/>
        </w:rPr>
      </w:pPr>
      <w:r>
        <w:rPr>
          <w:rFonts w:ascii="Garamond" w:hAnsi="Garamond" w:cs="Garamond"/>
          <w:i/>
          <w:iCs/>
          <w:sz w:val="22"/>
          <w:szCs w:val="22"/>
        </w:rPr>
        <w:t>Accessibility</w:t>
      </w:r>
      <w:r>
        <w:rPr>
          <w:rFonts w:ascii="Garamond" w:hAnsi="Garamond" w:cs="Garamond"/>
          <w:sz w:val="22"/>
          <w:szCs w:val="22"/>
        </w:rPr>
        <w:t>:</w:t>
      </w:r>
      <w:r>
        <w:rPr>
          <w:rFonts w:ascii="Garamond" w:hAnsi="Garamond" w:cs="Garamond"/>
          <w:spacing w:val="-9"/>
          <w:sz w:val="22"/>
          <w:szCs w:val="22"/>
        </w:rPr>
        <w:t xml:space="preserve"> </w:t>
      </w:r>
      <w:r>
        <w:rPr>
          <w:rFonts w:ascii="Garamond" w:hAnsi="Garamond" w:cs="Garamond"/>
          <w:sz w:val="22"/>
          <w:szCs w:val="22"/>
        </w:rPr>
        <w:t>Ensure</w:t>
      </w:r>
      <w:r>
        <w:rPr>
          <w:rFonts w:ascii="Garamond" w:hAnsi="Garamond" w:cs="Garamond"/>
          <w:spacing w:val="-9"/>
          <w:sz w:val="22"/>
          <w:szCs w:val="22"/>
        </w:rPr>
        <w:t xml:space="preserve"> </w:t>
      </w:r>
      <w:r>
        <w:rPr>
          <w:rFonts w:ascii="Garamond" w:hAnsi="Garamond" w:cs="Garamond"/>
          <w:sz w:val="22"/>
          <w:szCs w:val="22"/>
        </w:rPr>
        <w:t>timely</w:t>
      </w:r>
      <w:r>
        <w:rPr>
          <w:rFonts w:ascii="Garamond" w:hAnsi="Garamond" w:cs="Garamond"/>
          <w:spacing w:val="-7"/>
          <w:sz w:val="22"/>
          <w:szCs w:val="22"/>
        </w:rPr>
        <w:t xml:space="preserve"> </w:t>
      </w:r>
      <w:r>
        <w:rPr>
          <w:rFonts w:ascii="Garamond" w:hAnsi="Garamond" w:cs="Garamond"/>
          <w:spacing w:val="-4"/>
          <w:sz w:val="22"/>
          <w:szCs w:val="22"/>
        </w:rPr>
        <w:t>access</w:t>
      </w:r>
      <w:r>
        <w:rPr>
          <w:rFonts w:ascii="Garamond" w:hAnsi="Garamond" w:cs="Garamond"/>
          <w:spacing w:val="-8"/>
          <w:sz w:val="22"/>
          <w:szCs w:val="22"/>
        </w:rPr>
        <w:t xml:space="preserve"> </w:t>
      </w:r>
      <w:r>
        <w:rPr>
          <w:rFonts w:ascii="Garamond" w:hAnsi="Garamond" w:cs="Garamond"/>
          <w:sz w:val="22"/>
          <w:szCs w:val="22"/>
        </w:rPr>
        <w:t>to</w:t>
      </w:r>
      <w:r>
        <w:rPr>
          <w:rFonts w:ascii="Garamond" w:hAnsi="Garamond" w:cs="Garamond"/>
          <w:spacing w:val="-9"/>
          <w:sz w:val="22"/>
          <w:szCs w:val="22"/>
        </w:rPr>
        <w:t xml:space="preserve"> </w:t>
      </w:r>
      <w:r>
        <w:rPr>
          <w:rFonts w:ascii="Garamond" w:hAnsi="Garamond" w:cs="Garamond"/>
          <w:sz w:val="22"/>
          <w:szCs w:val="22"/>
        </w:rPr>
        <w:t>needed</w:t>
      </w:r>
      <w:r>
        <w:rPr>
          <w:rFonts w:ascii="Garamond" w:hAnsi="Garamond" w:cs="Garamond"/>
          <w:spacing w:val="-6"/>
          <w:sz w:val="22"/>
          <w:szCs w:val="22"/>
        </w:rPr>
        <w:t xml:space="preserve"> </w:t>
      </w:r>
      <w:r>
        <w:rPr>
          <w:rFonts w:ascii="Garamond" w:hAnsi="Garamond" w:cs="Garamond"/>
          <w:sz w:val="22"/>
          <w:szCs w:val="22"/>
        </w:rPr>
        <w:t>care</w:t>
      </w:r>
      <w:r>
        <w:rPr>
          <w:rFonts w:ascii="Garamond" w:hAnsi="Garamond" w:cs="Garamond"/>
          <w:spacing w:val="-7"/>
          <w:sz w:val="22"/>
          <w:szCs w:val="22"/>
        </w:rPr>
        <w:t xml:space="preserve"> </w:t>
      </w:r>
      <w:r>
        <w:rPr>
          <w:rFonts w:ascii="Garamond" w:hAnsi="Garamond" w:cs="Garamond"/>
          <w:spacing w:val="-3"/>
          <w:sz w:val="22"/>
          <w:szCs w:val="22"/>
        </w:rPr>
        <w:t>and</w:t>
      </w:r>
      <w:r>
        <w:rPr>
          <w:rFonts w:ascii="Garamond" w:hAnsi="Garamond" w:cs="Garamond"/>
          <w:spacing w:val="-6"/>
          <w:sz w:val="22"/>
          <w:szCs w:val="22"/>
        </w:rPr>
        <w:t xml:space="preserve"> </w:t>
      </w:r>
      <w:r>
        <w:rPr>
          <w:rFonts w:ascii="Garamond" w:hAnsi="Garamond" w:cs="Garamond"/>
          <w:sz w:val="22"/>
          <w:szCs w:val="22"/>
        </w:rPr>
        <w:t>reasonable</w:t>
      </w:r>
      <w:r>
        <w:rPr>
          <w:rFonts w:ascii="Garamond" w:hAnsi="Garamond" w:cs="Garamond"/>
          <w:spacing w:val="-9"/>
          <w:sz w:val="22"/>
          <w:szCs w:val="22"/>
        </w:rPr>
        <w:t xml:space="preserve"> </w:t>
      </w:r>
      <w:r>
        <w:rPr>
          <w:rFonts w:ascii="Garamond" w:hAnsi="Garamond" w:cs="Garamond"/>
          <w:sz w:val="22"/>
          <w:szCs w:val="22"/>
        </w:rPr>
        <w:t>travel</w:t>
      </w:r>
      <w:r>
        <w:rPr>
          <w:rFonts w:ascii="Garamond" w:hAnsi="Garamond" w:cs="Garamond"/>
          <w:spacing w:val="-9"/>
          <w:sz w:val="22"/>
          <w:szCs w:val="22"/>
        </w:rPr>
        <w:t xml:space="preserve"> </w:t>
      </w:r>
      <w:r>
        <w:rPr>
          <w:rFonts w:ascii="Garamond" w:hAnsi="Garamond" w:cs="Garamond"/>
          <w:sz w:val="22"/>
          <w:szCs w:val="22"/>
        </w:rPr>
        <w:t>distance</w:t>
      </w:r>
      <w:r>
        <w:rPr>
          <w:rFonts w:ascii="Garamond" w:hAnsi="Garamond" w:cs="Garamond"/>
          <w:spacing w:val="-9"/>
          <w:sz w:val="22"/>
          <w:szCs w:val="22"/>
        </w:rPr>
        <w:t xml:space="preserve"> </w:t>
      </w:r>
      <w:r>
        <w:rPr>
          <w:rFonts w:ascii="Garamond" w:hAnsi="Garamond" w:cs="Garamond"/>
          <w:sz w:val="22"/>
          <w:szCs w:val="22"/>
        </w:rPr>
        <w:t>for</w:t>
      </w:r>
      <w:r>
        <w:rPr>
          <w:rFonts w:ascii="Garamond" w:hAnsi="Garamond" w:cs="Garamond"/>
          <w:spacing w:val="-8"/>
          <w:sz w:val="22"/>
          <w:szCs w:val="22"/>
        </w:rPr>
        <w:t xml:space="preserve"> </w:t>
      </w:r>
      <w:r>
        <w:rPr>
          <w:rFonts w:ascii="Garamond" w:hAnsi="Garamond" w:cs="Garamond"/>
          <w:sz w:val="22"/>
          <w:szCs w:val="22"/>
        </w:rPr>
        <w:t>consumers,</w:t>
      </w:r>
      <w:r>
        <w:rPr>
          <w:rFonts w:ascii="Garamond" w:hAnsi="Garamond" w:cs="Garamond"/>
          <w:spacing w:val="-9"/>
          <w:sz w:val="22"/>
          <w:szCs w:val="22"/>
        </w:rPr>
        <w:t xml:space="preserve"> </w:t>
      </w:r>
      <w:r>
        <w:rPr>
          <w:rFonts w:ascii="Garamond" w:hAnsi="Garamond" w:cs="Garamond"/>
          <w:sz w:val="22"/>
          <w:szCs w:val="22"/>
        </w:rPr>
        <w:t>taking into</w:t>
      </w:r>
      <w:r>
        <w:rPr>
          <w:rFonts w:ascii="Garamond" w:hAnsi="Garamond" w:cs="Garamond"/>
          <w:spacing w:val="-8"/>
          <w:sz w:val="22"/>
          <w:szCs w:val="22"/>
        </w:rPr>
        <w:t xml:space="preserve"> </w:t>
      </w:r>
      <w:r>
        <w:rPr>
          <w:rFonts w:ascii="Garamond" w:hAnsi="Garamond" w:cs="Garamond"/>
          <w:sz w:val="22"/>
          <w:szCs w:val="22"/>
        </w:rPr>
        <w:t>account</w:t>
      </w:r>
      <w:r>
        <w:rPr>
          <w:rFonts w:ascii="Garamond" w:hAnsi="Garamond" w:cs="Garamond"/>
          <w:spacing w:val="-8"/>
          <w:sz w:val="22"/>
          <w:szCs w:val="22"/>
        </w:rPr>
        <w:t xml:space="preserve"> </w:t>
      </w:r>
      <w:r>
        <w:rPr>
          <w:rFonts w:ascii="Garamond" w:hAnsi="Garamond" w:cs="Garamond"/>
          <w:sz w:val="22"/>
          <w:szCs w:val="22"/>
        </w:rPr>
        <w:t>access</w:t>
      </w:r>
      <w:r>
        <w:rPr>
          <w:rFonts w:ascii="Garamond" w:hAnsi="Garamond" w:cs="Garamond"/>
          <w:spacing w:val="-10"/>
          <w:sz w:val="22"/>
          <w:szCs w:val="22"/>
        </w:rPr>
        <w:t xml:space="preserve"> </w:t>
      </w:r>
      <w:r>
        <w:rPr>
          <w:rFonts w:ascii="Garamond" w:hAnsi="Garamond" w:cs="Garamond"/>
          <w:sz w:val="22"/>
          <w:szCs w:val="22"/>
        </w:rPr>
        <w:t>to</w:t>
      </w:r>
      <w:r>
        <w:rPr>
          <w:rFonts w:ascii="Garamond" w:hAnsi="Garamond" w:cs="Garamond"/>
          <w:spacing w:val="-10"/>
          <w:sz w:val="22"/>
          <w:szCs w:val="22"/>
        </w:rPr>
        <w:t xml:space="preserve"> </w:t>
      </w:r>
      <w:r>
        <w:rPr>
          <w:rFonts w:ascii="Garamond" w:hAnsi="Garamond" w:cs="Garamond"/>
          <w:spacing w:val="-3"/>
          <w:sz w:val="22"/>
          <w:szCs w:val="22"/>
        </w:rPr>
        <w:t>public</w:t>
      </w:r>
      <w:r>
        <w:rPr>
          <w:rFonts w:ascii="Garamond" w:hAnsi="Garamond" w:cs="Garamond"/>
          <w:spacing w:val="-10"/>
          <w:sz w:val="22"/>
          <w:szCs w:val="22"/>
        </w:rPr>
        <w:t xml:space="preserve"> </w:t>
      </w:r>
      <w:r>
        <w:rPr>
          <w:rFonts w:ascii="Garamond" w:hAnsi="Garamond" w:cs="Garamond"/>
          <w:sz w:val="22"/>
          <w:szCs w:val="22"/>
        </w:rPr>
        <w:t>transportation.</w:t>
      </w:r>
    </w:p>
    <w:p w:rsidR="002C5025" w:rsidRDefault="002C5025">
      <w:pPr>
        <w:pStyle w:val="ListParagraph"/>
        <w:numPr>
          <w:ilvl w:val="2"/>
          <w:numId w:val="49"/>
        </w:numPr>
        <w:tabs>
          <w:tab w:val="left" w:pos="840"/>
        </w:tabs>
        <w:kinsoku w:val="0"/>
        <w:overflowPunct w:val="0"/>
        <w:ind w:left="839" w:right="175" w:hanging="360"/>
        <w:rPr>
          <w:rFonts w:ascii="Garamond" w:hAnsi="Garamond" w:cs="Garamond"/>
          <w:sz w:val="22"/>
          <w:szCs w:val="22"/>
        </w:rPr>
      </w:pPr>
      <w:r>
        <w:rPr>
          <w:rFonts w:ascii="Garamond" w:hAnsi="Garamond" w:cs="Garamond"/>
          <w:i/>
          <w:iCs/>
          <w:sz w:val="22"/>
          <w:szCs w:val="22"/>
        </w:rPr>
        <w:t>Quality</w:t>
      </w:r>
      <w:r>
        <w:rPr>
          <w:rFonts w:ascii="Garamond" w:hAnsi="Garamond" w:cs="Garamond"/>
          <w:sz w:val="22"/>
          <w:szCs w:val="22"/>
        </w:rPr>
        <w:t>: Ensure that payment structures improve health outcomes, reduce hospital readmissions, improve</w:t>
      </w:r>
      <w:r>
        <w:rPr>
          <w:rFonts w:ascii="Garamond" w:hAnsi="Garamond" w:cs="Garamond"/>
          <w:spacing w:val="-10"/>
          <w:sz w:val="22"/>
          <w:szCs w:val="22"/>
        </w:rPr>
        <w:t xml:space="preserve"> </w:t>
      </w:r>
      <w:r>
        <w:rPr>
          <w:rFonts w:ascii="Garamond" w:hAnsi="Garamond" w:cs="Garamond"/>
          <w:spacing w:val="-3"/>
          <w:sz w:val="22"/>
          <w:szCs w:val="22"/>
        </w:rPr>
        <w:t>patient</w:t>
      </w:r>
      <w:r>
        <w:rPr>
          <w:rFonts w:ascii="Garamond" w:hAnsi="Garamond" w:cs="Garamond"/>
          <w:spacing w:val="-9"/>
          <w:sz w:val="22"/>
          <w:szCs w:val="22"/>
        </w:rPr>
        <w:t xml:space="preserve"> </w:t>
      </w:r>
      <w:r>
        <w:rPr>
          <w:rFonts w:ascii="Garamond" w:hAnsi="Garamond" w:cs="Garamond"/>
          <w:sz w:val="22"/>
          <w:szCs w:val="22"/>
        </w:rPr>
        <w:t>safety</w:t>
      </w:r>
      <w:r>
        <w:rPr>
          <w:rFonts w:ascii="Garamond" w:hAnsi="Garamond" w:cs="Garamond"/>
          <w:spacing w:val="-8"/>
          <w:sz w:val="22"/>
          <w:szCs w:val="22"/>
        </w:rPr>
        <w:t xml:space="preserve"> </w:t>
      </w:r>
      <w:r>
        <w:rPr>
          <w:rFonts w:ascii="Garamond" w:hAnsi="Garamond" w:cs="Garamond"/>
          <w:spacing w:val="-3"/>
          <w:sz w:val="22"/>
          <w:szCs w:val="22"/>
        </w:rPr>
        <w:t>and</w:t>
      </w:r>
      <w:r>
        <w:rPr>
          <w:rFonts w:ascii="Garamond" w:hAnsi="Garamond" w:cs="Garamond"/>
          <w:spacing w:val="-10"/>
          <w:sz w:val="22"/>
          <w:szCs w:val="22"/>
        </w:rPr>
        <w:t xml:space="preserve"> </w:t>
      </w:r>
      <w:r>
        <w:rPr>
          <w:rFonts w:ascii="Garamond" w:hAnsi="Garamond" w:cs="Garamond"/>
          <w:sz w:val="22"/>
          <w:szCs w:val="22"/>
        </w:rPr>
        <w:t>reduce</w:t>
      </w:r>
      <w:r>
        <w:rPr>
          <w:rFonts w:ascii="Garamond" w:hAnsi="Garamond" w:cs="Garamond"/>
          <w:spacing w:val="-10"/>
          <w:sz w:val="22"/>
          <w:szCs w:val="22"/>
        </w:rPr>
        <w:t xml:space="preserve"> </w:t>
      </w:r>
      <w:r>
        <w:rPr>
          <w:rFonts w:ascii="Garamond" w:hAnsi="Garamond" w:cs="Garamond"/>
          <w:sz w:val="22"/>
          <w:szCs w:val="22"/>
        </w:rPr>
        <w:t>medical</w:t>
      </w:r>
      <w:r>
        <w:rPr>
          <w:rFonts w:ascii="Garamond" w:hAnsi="Garamond" w:cs="Garamond"/>
          <w:spacing w:val="-8"/>
          <w:sz w:val="22"/>
          <w:szCs w:val="22"/>
        </w:rPr>
        <w:t xml:space="preserve"> </w:t>
      </w:r>
      <w:r>
        <w:rPr>
          <w:rFonts w:ascii="Garamond" w:hAnsi="Garamond" w:cs="Garamond"/>
          <w:sz w:val="22"/>
          <w:szCs w:val="22"/>
        </w:rPr>
        <w:t>errors,</w:t>
      </w:r>
      <w:r>
        <w:rPr>
          <w:rFonts w:ascii="Garamond" w:hAnsi="Garamond" w:cs="Garamond"/>
          <w:spacing w:val="-8"/>
          <w:sz w:val="22"/>
          <w:szCs w:val="22"/>
        </w:rPr>
        <w:t xml:space="preserve"> </w:t>
      </w:r>
      <w:r>
        <w:rPr>
          <w:rFonts w:ascii="Garamond" w:hAnsi="Garamond" w:cs="Garamond"/>
          <w:sz w:val="22"/>
          <w:szCs w:val="22"/>
        </w:rPr>
        <w:t>encourage</w:t>
      </w:r>
      <w:r>
        <w:rPr>
          <w:rFonts w:ascii="Garamond" w:hAnsi="Garamond" w:cs="Garamond"/>
          <w:spacing w:val="-10"/>
          <w:sz w:val="22"/>
          <w:szCs w:val="22"/>
        </w:rPr>
        <w:t xml:space="preserve"> </w:t>
      </w:r>
      <w:r>
        <w:rPr>
          <w:rFonts w:ascii="Garamond" w:hAnsi="Garamond" w:cs="Garamond"/>
          <w:sz w:val="22"/>
          <w:szCs w:val="22"/>
        </w:rPr>
        <w:t>implementations</w:t>
      </w:r>
      <w:r>
        <w:rPr>
          <w:rFonts w:ascii="Garamond" w:hAnsi="Garamond" w:cs="Garamond"/>
          <w:spacing w:val="-7"/>
          <w:sz w:val="22"/>
          <w:szCs w:val="22"/>
        </w:rPr>
        <w:t xml:space="preserve"> </w:t>
      </w:r>
      <w:r>
        <w:rPr>
          <w:rFonts w:ascii="Garamond" w:hAnsi="Garamond" w:cs="Garamond"/>
          <w:sz w:val="22"/>
          <w:szCs w:val="22"/>
        </w:rPr>
        <w:t>of</w:t>
      </w:r>
      <w:r>
        <w:rPr>
          <w:rFonts w:ascii="Garamond" w:hAnsi="Garamond" w:cs="Garamond"/>
          <w:spacing w:val="-7"/>
          <w:sz w:val="22"/>
          <w:szCs w:val="22"/>
        </w:rPr>
        <w:t xml:space="preserve"> </w:t>
      </w:r>
      <w:r>
        <w:rPr>
          <w:rFonts w:ascii="Garamond" w:hAnsi="Garamond" w:cs="Garamond"/>
          <w:sz w:val="22"/>
          <w:szCs w:val="22"/>
        </w:rPr>
        <w:t>wellness</w:t>
      </w:r>
      <w:r>
        <w:rPr>
          <w:rFonts w:ascii="Garamond" w:hAnsi="Garamond" w:cs="Garamond"/>
          <w:spacing w:val="-7"/>
          <w:sz w:val="22"/>
          <w:szCs w:val="22"/>
        </w:rPr>
        <w:t xml:space="preserve"> </w:t>
      </w:r>
      <w:r>
        <w:rPr>
          <w:rFonts w:ascii="Garamond" w:hAnsi="Garamond" w:cs="Garamond"/>
          <w:sz w:val="22"/>
          <w:szCs w:val="22"/>
        </w:rPr>
        <w:t>and</w:t>
      </w:r>
      <w:r>
        <w:rPr>
          <w:rFonts w:ascii="Garamond" w:hAnsi="Garamond" w:cs="Garamond"/>
          <w:spacing w:val="-12"/>
          <w:sz w:val="22"/>
          <w:szCs w:val="22"/>
        </w:rPr>
        <w:t xml:space="preserve"> </w:t>
      </w:r>
      <w:r>
        <w:rPr>
          <w:rFonts w:ascii="Garamond" w:hAnsi="Garamond" w:cs="Garamond"/>
          <w:sz w:val="22"/>
          <w:szCs w:val="22"/>
        </w:rPr>
        <w:t>health promotion</w:t>
      </w:r>
      <w:r>
        <w:rPr>
          <w:rFonts w:ascii="Garamond" w:hAnsi="Garamond" w:cs="Garamond"/>
          <w:spacing w:val="-9"/>
          <w:sz w:val="22"/>
          <w:szCs w:val="22"/>
        </w:rPr>
        <w:t xml:space="preserve"> </w:t>
      </w:r>
      <w:r>
        <w:rPr>
          <w:rFonts w:ascii="Garamond" w:hAnsi="Garamond" w:cs="Garamond"/>
          <w:sz w:val="22"/>
          <w:szCs w:val="22"/>
        </w:rPr>
        <w:t>activities,</w:t>
      </w:r>
      <w:r>
        <w:rPr>
          <w:rFonts w:ascii="Garamond" w:hAnsi="Garamond" w:cs="Garamond"/>
          <w:spacing w:val="-10"/>
          <w:sz w:val="22"/>
          <w:szCs w:val="22"/>
        </w:rPr>
        <w:t xml:space="preserve"> </w:t>
      </w:r>
      <w:r>
        <w:rPr>
          <w:rFonts w:ascii="Garamond" w:hAnsi="Garamond" w:cs="Garamond"/>
          <w:spacing w:val="-3"/>
          <w:sz w:val="22"/>
          <w:szCs w:val="22"/>
        </w:rPr>
        <w:t>and</w:t>
      </w:r>
      <w:r>
        <w:rPr>
          <w:rFonts w:ascii="Garamond" w:hAnsi="Garamond" w:cs="Garamond"/>
          <w:spacing w:val="-9"/>
          <w:sz w:val="22"/>
          <w:szCs w:val="22"/>
        </w:rPr>
        <w:t xml:space="preserve"> </w:t>
      </w:r>
      <w:r>
        <w:rPr>
          <w:rFonts w:ascii="Garamond" w:hAnsi="Garamond" w:cs="Garamond"/>
          <w:sz w:val="22"/>
          <w:szCs w:val="22"/>
        </w:rPr>
        <w:t>reduce</w:t>
      </w:r>
      <w:r>
        <w:rPr>
          <w:rFonts w:ascii="Garamond" w:hAnsi="Garamond" w:cs="Garamond"/>
          <w:spacing w:val="-11"/>
          <w:sz w:val="22"/>
          <w:szCs w:val="22"/>
        </w:rPr>
        <w:t xml:space="preserve"> </w:t>
      </w:r>
      <w:r>
        <w:rPr>
          <w:rFonts w:ascii="Garamond" w:hAnsi="Garamond" w:cs="Garamond"/>
          <w:sz w:val="22"/>
          <w:szCs w:val="22"/>
        </w:rPr>
        <w:t>health</w:t>
      </w:r>
      <w:r>
        <w:rPr>
          <w:rFonts w:ascii="Garamond" w:hAnsi="Garamond" w:cs="Garamond"/>
          <w:spacing w:val="-11"/>
          <w:sz w:val="22"/>
          <w:szCs w:val="22"/>
        </w:rPr>
        <w:t xml:space="preserve"> </w:t>
      </w:r>
      <w:r>
        <w:rPr>
          <w:rFonts w:ascii="Garamond" w:hAnsi="Garamond" w:cs="Garamond"/>
          <w:sz w:val="22"/>
          <w:szCs w:val="22"/>
        </w:rPr>
        <w:t>and</w:t>
      </w:r>
      <w:r>
        <w:rPr>
          <w:rFonts w:ascii="Garamond" w:hAnsi="Garamond" w:cs="Garamond"/>
          <w:spacing w:val="-9"/>
          <w:sz w:val="22"/>
          <w:szCs w:val="22"/>
        </w:rPr>
        <w:t xml:space="preserve"> </w:t>
      </w:r>
      <w:r>
        <w:rPr>
          <w:rFonts w:ascii="Garamond" w:hAnsi="Garamond" w:cs="Garamond"/>
          <w:sz w:val="22"/>
          <w:szCs w:val="22"/>
        </w:rPr>
        <w:t>health</w:t>
      </w:r>
      <w:r>
        <w:rPr>
          <w:rFonts w:ascii="Garamond" w:hAnsi="Garamond" w:cs="Garamond"/>
          <w:spacing w:val="-9"/>
          <w:sz w:val="22"/>
          <w:szCs w:val="22"/>
        </w:rPr>
        <w:t xml:space="preserve"> </w:t>
      </w:r>
      <w:r>
        <w:rPr>
          <w:rFonts w:ascii="Garamond" w:hAnsi="Garamond" w:cs="Garamond"/>
          <w:sz w:val="22"/>
          <w:szCs w:val="22"/>
        </w:rPr>
        <w:t>care</w:t>
      </w:r>
      <w:r>
        <w:rPr>
          <w:rFonts w:ascii="Garamond" w:hAnsi="Garamond" w:cs="Garamond"/>
          <w:spacing w:val="-11"/>
          <w:sz w:val="22"/>
          <w:szCs w:val="22"/>
        </w:rPr>
        <w:t xml:space="preserve"> </w:t>
      </w:r>
      <w:r>
        <w:rPr>
          <w:rFonts w:ascii="Garamond" w:hAnsi="Garamond" w:cs="Garamond"/>
          <w:sz w:val="22"/>
          <w:szCs w:val="22"/>
        </w:rPr>
        <w:t>disparities.</w:t>
      </w:r>
    </w:p>
    <w:p w:rsidR="002C5025" w:rsidRDefault="002C5025">
      <w:pPr>
        <w:pStyle w:val="ListParagraph"/>
        <w:numPr>
          <w:ilvl w:val="2"/>
          <w:numId w:val="49"/>
        </w:numPr>
        <w:tabs>
          <w:tab w:val="left" w:pos="839"/>
        </w:tabs>
        <w:kinsoku w:val="0"/>
        <w:overflowPunct w:val="0"/>
        <w:ind w:right="193" w:hanging="360"/>
        <w:rPr>
          <w:rFonts w:ascii="Garamond" w:hAnsi="Garamond" w:cs="Garamond"/>
          <w:sz w:val="22"/>
          <w:szCs w:val="22"/>
        </w:rPr>
      </w:pPr>
      <w:r>
        <w:rPr>
          <w:rFonts w:ascii="Garamond" w:hAnsi="Garamond" w:cs="Garamond"/>
          <w:i/>
          <w:iCs/>
          <w:sz w:val="22"/>
          <w:szCs w:val="22"/>
        </w:rPr>
        <w:t>Transparency</w:t>
      </w:r>
      <w:r>
        <w:rPr>
          <w:rFonts w:ascii="Garamond" w:hAnsi="Garamond" w:cs="Garamond"/>
          <w:sz w:val="22"/>
          <w:szCs w:val="22"/>
        </w:rPr>
        <w:t xml:space="preserve">: MassHealth, </w:t>
      </w:r>
      <w:r>
        <w:rPr>
          <w:rFonts w:ascii="Garamond" w:hAnsi="Garamond" w:cs="Garamond"/>
          <w:spacing w:val="-3"/>
          <w:sz w:val="22"/>
          <w:szCs w:val="22"/>
        </w:rPr>
        <w:t xml:space="preserve">ACOs </w:t>
      </w:r>
      <w:r>
        <w:rPr>
          <w:rFonts w:ascii="Garamond" w:hAnsi="Garamond" w:cs="Garamond"/>
          <w:sz w:val="22"/>
          <w:szCs w:val="22"/>
        </w:rPr>
        <w:t xml:space="preserve">and MCOs should post on their </w:t>
      </w:r>
      <w:r>
        <w:rPr>
          <w:rFonts w:ascii="Garamond" w:hAnsi="Garamond" w:cs="Garamond"/>
          <w:spacing w:val="-3"/>
          <w:sz w:val="22"/>
          <w:szCs w:val="22"/>
        </w:rPr>
        <w:t xml:space="preserve">websites </w:t>
      </w:r>
      <w:r>
        <w:rPr>
          <w:rFonts w:ascii="Garamond" w:hAnsi="Garamond" w:cs="Garamond"/>
          <w:sz w:val="22"/>
          <w:szCs w:val="22"/>
        </w:rPr>
        <w:t>up-to-date, accurate, and complete</w:t>
      </w:r>
      <w:r>
        <w:rPr>
          <w:rFonts w:ascii="Garamond" w:hAnsi="Garamond" w:cs="Garamond"/>
          <w:spacing w:val="-12"/>
          <w:sz w:val="22"/>
          <w:szCs w:val="22"/>
        </w:rPr>
        <w:t xml:space="preserve"> </w:t>
      </w:r>
      <w:r>
        <w:rPr>
          <w:rFonts w:ascii="Garamond" w:hAnsi="Garamond" w:cs="Garamond"/>
          <w:sz w:val="22"/>
          <w:szCs w:val="22"/>
        </w:rPr>
        <w:t>provider</w:t>
      </w:r>
      <w:r>
        <w:rPr>
          <w:rFonts w:ascii="Garamond" w:hAnsi="Garamond" w:cs="Garamond"/>
          <w:spacing w:val="-9"/>
          <w:sz w:val="22"/>
          <w:szCs w:val="22"/>
        </w:rPr>
        <w:t xml:space="preserve"> </w:t>
      </w:r>
      <w:r>
        <w:rPr>
          <w:rFonts w:ascii="Garamond" w:hAnsi="Garamond" w:cs="Garamond"/>
          <w:sz w:val="22"/>
          <w:szCs w:val="22"/>
        </w:rPr>
        <w:t>directories,</w:t>
      </w:r>
      <w:r>
        <w:rPr>
          <w:rFonts w:ascii="Garamond" w:hAnsi="Garamond" w:cs="Garamond"/>
          <w:spacing w:val="-11"/>
          <w:sz w:val="22"/>
          <w:szCs w:val="22"/>
        </w:rPr>
        <w:t xml:space="preserve"> </w:t>
      </w:r>
      <w:r>
        <w:rPr>
          <w:rFonts w:ascii="Garamond" w:hAnsi="Garamond" w:cs="Garamond"/>
          <w:sz w:val="22"/>
          <w:szCs w:val="22"/>
        </w:rPr>
        <w:t>including</w:t>
      </w:r>
      <w:r>
        <w:rPr>
          <w:rFonts w:ascii="Garamond" w:hAnsi="Garamond" w:cs="Garamond"/>
          <w:spacing w:val="-12"/>
          <w:sz w:val="22"/>
          <w:szCs w:val="22"/>
        </w:rPr>
        <w:t xml:space="preserve"> </w:t>
      </w:r>
      <w:r>
        <w:rPr>
          <w:rFonts w:ascii="Garamond" w:hAnsi="Garamond" w:cs="Garamond"/>
          <w:sz w:val="22"/>
          <w:szCs w:val="22"/>
        </w:rPr>
        <w:t>information</w:t>
      </w:r>
      <w:r>
        <w:rPr>
          <w:rFonts w:ascii="Garamond" w:hAnsi="Garamond" w:cs="Garamond"/>
          <w:spacing w:val="-14"/>
          <w:sz w:val="22"/>
          <w:szCs w:val="22"/>
        </w:rPr>
        <w:t xml:space="preserve"> </w:t>
      </w:r>
      <w:r>
        <w:rPr>
          <w:rFonts w:ascii="Garamond" w:hAnsi="Garamond" w:cs="Garamond"/>
          <w:sz w:val="22"/>
          <w:szCs w:val="22"/>
        </w:rPr>
        <w:t>on</w:t>
      </w:r>
      <w:r>
        <w:rPr>
          <w:rFonts w:ascii="Garamond" w:hAnsi="Garamond" w:cs="Garamond"/>
          <w:spacing w:val="-14"/>
          <w:sz w:val="22"/>
          <w:szCs w:val="22"/>
        </w:rPr>
        <w:t xml:space="preserve"> </w:t>
      </w:r>
      <w:r>
        <w:rPr>
          <w:rFonts w:ascii="Garamond" w:hAnsi="Garamond" w:cs="Garamond"/>
          <w:sz w:val="22"/>
          <w:szCs w:val="22"/>
        </w:rPr>
        <w:t>which</w:t>
      </w:r>
      <w:r>
        <w:rPr>
          <w:rFonts w:ascii="Garamond" w:hAnsi="Garamond" w:cs="Garamond"/>
          <w:spacing w:val="-12"/>
          <w:sz w:val="22"/>
          <w:szCs w:val="22"/>
        </w:rPr>
        <w:t xml:space="preserve"> </w:t>
      </w:r>
      <w:r>
        <w:rPr>
          <w:rFonts w:ascii="Garamond" w:hAnsi="Garamond" w:cs="Garamond"/>
          <w:sz w:val="22"/>
          <w:szCs w:val="22"/>
        </w:rPr>
        <w:t>providers</w:t>
      </w:r>
      <w:r>
        <w:rPr>
          <w:rFonts w:ascii="Garamond" w:hAnsi="Garamond" w:cs="Garamond"/>
          <w:spacing w:val="-9"/>
          <w:sz w:val="22"/>
          <w:szCs w:val="22"/>
        </w:rPr>
        <w:t xml:space="preserve"> </w:t>
      </w:r>
      <w:r>
        <w:rPr>
          <w:rFonts w:ascii="Garamond" w:hAnsi="Garamond" w:cs="Garamond"/>
          <w:sz w:val="22"/>
          <w:szCs w:val="22"/>
        </w:rPr>
        <w:t>are</w:t>
      </w:r>
      <w:r>
        <w:rPr>
          <w:rFonts w:ascii="Garamond" w:hAnsi="Garamond" w:cs="Garamond"/>
          <w:spacing w:val="-12"/>
          <w:sz w:val="22"/>
          <w:szCs w:val="22"/>
        </w:rPr>
        <w:t xml:space="preserve"> </w:t>
      </w:r>
      <w:r>
        <w:rPr>
          <w:rFonts w:ascii="Garamond" w:hAnsi="Garamond" w:cs="Garamond"/>
          <w:sz w:val="22"/>
          <w:szCs w:val="22"/>
        </w:rPr>
        <w:t>accepting</w:t>
      </w:r>
      <w:r>
        <w:rPr>
          <w:rFonts w:ascii="Garamond" w:hAnsi="Garamond" w:cs="Garamond"/>
          <w:spacing w:val="-11"/>
          <w:sz w:val="22"/>
          <w:szCs w:val="22"/>
        </w:rPr>
        <w:t xml:space="preserve"> </w:t>
      </w:r>
      <w:r>
        <w:rPr>
          <w:rFonts w:ascii="Garamond" w:hAnsi="Garamond" w:cs="Garamond"/>
          <w:sz w:val="22"/>
          <w:szCs w:val="22"/>
        </w:rPr>
        <w:t>new</w:t>
      </w:r>
      <w:r>
        <w:rPr>
          <w:rFonts w:ascii="Garamond" w:hAnsi="Garamond" w:cs="Garamond"/>
          <w:spacing w:val="-12"/>
          <w:sz w:val="22"/>
          <w:szCs w:val="22"/>
        </w:rPr>
        <w:t xml:space="preserve"> </w:t>
      </w:r>
      <w:r>
        <w:rPr>
          <w:rFonts w:ascii="Garamond" w:hAnsi="Garamond" w:cs="Garamond"/>
          <w:sz w:val="22"/>
          <w:szCs w:val="22"/>
        </w:rPr>
        <w:t>patients, in</w:t>
      </w:r>
      <w:r>
        <w:rPr>
          <w:rFonts w:ascii="Garamond" w:hAnsi="Garamond" w:cs="Garamond"/>
          <w:spacing w:val="-7"/>
          <w:sz w:val="22"/>
          <w:szCs w:val="22"/>
        </w:rPr>
        <w:t xml:space="preserve"> </w:t>
      </w:r>
      <w:r>
        <w:rPr>
          <w:rFonts w:ascii="Garamond" w:hAnsi="Garamond" w:cs="Garamond"/>
          <w:sz w:val="22"/>
          <w:szCs w:val="22"/>
        </w:rPr>
        <w:t>a</w:t>
      </w:r>
      <w:r>
        <w:rPr>
          <w:rFonts w:ascii="Garamond" w:hAnsi="Garamond" w:cs="Garamond"/>
          <w:spacing w:val="-11"/>
          <w:sz w:val="22"/>
          <w:szCs w:val="22"/>
        </w:rPr>
        <w:t xml:space="preserve"> </w:t>
      </w:r>
      <w:r>
        <w:rPr>
          <w:rFonts w:ascii="Garamond" w:hAnsi="Garamond" w:cs="Garamond"/>
          <w:sz w:val="22"/>
          <w:szCs w:val="22"/>
        </w:rPr>
        <w:t>manner</w:t>
      </w:r>
      <w:r>
        <w:rPr>
          <w:rFonts w:ascii="Garamond" w:hAnsi="Garamond" w:cs="Garamond"/>
          <w:spacing w:val="-7"/>
          <w:sz w:val="22"/>
          <w:szCs w:val="22"/>
        </w:rPr>
        <w:t xml:space="preserve"> </w:t>
      </w:r>
      <w:r>
        <w:rPr>
          <w:rFonts w:ascii="Garamond" w:hAnsi="Garamond" w:cs="Garamond"/>
          <w:sz w:val="22"/>
          <w:szCs w:val="22"/>
        </w:rPr>
        <w:t>that</w:t>
      </w:r>
      <w:r>
        <w:rPr>
          <w:rFonts w:ascii="Garamond" w:hAnsi="Garamond" w:cs="Garamond"/>
          <w:spacing w:val="-7"/>
          <w:sz w:val="22"/>
          <w:szCs w:val="22"/>
        </w:rPr>
        <w:t xml:space="preserve"> </w:t>
      </w:r>
      <w:r>
        <w:rPr>
          <w:rFonts w:ascii="Garamond" w:hAnsi="Garamond" w:cs="Garamond"/>
          <w:sz w:val="22"/>
          <w:szCs w:val="22"/>
        </w:rPr>
        <w:t>is</w:t>
      </w:r>
      <w:r>
        <w:rPr>
          <w:rFonts w:ascii="Garamond" w:hAnsi="Garamond" w:cs="Garamond"/>
          <w:spacing w:val="-7"/>
          <w:sz w:val="22"/>
          <w:szCs w:val="22"/>
        </w:rPr>
        <w:t xml:space="preserve"> </w:t>
      </w:r>
      <w:r>
        <w:rPr>
          <w:rFonts w:ascii="Garamond" w:hAnsi="Garamond" w:cs="Garamond"/>
          <w:sz w:val="22"/>
          <w:szCs w:val="22"/>
        </w:rPr>
        <w:t>easily</w:t>
      </w:r>
      <w:r>
        <w:rPr>
          <w:rFonts w:ascii="Garamond" w:hAnsi="Garamond" w:cs="Garamond"/>
          <w:spacing w:val="-8"/>
          <w:sz w:val="22"/>
          <w:szCs w:val="22"/>
        </w:rPr>
        <w:t xml:space="preserve"> </w:t>
      </w:r>
      <w:r>
        <w:rPr>
          <w:rFonts w:ascii="Garamond" w:hAnsi="Garamond" w:cs="Garamond"/>
          <w:sz w:val="22"/>
          <w:szCs w:val="22"/>
        </w:rPr>
        <w:t>accessible</w:t>
      </w:r>
      <w:r>
        <w:rPr>
          <w:rFonts w:ascii="Garamond" w:hAnsi="Garamond" w:cs="Garamond"/>
          <w:spacing w:val="-10"/>
          <w:sz w:val="22"/>
          <w:szCs w:val="22"/>
        </w:rPr>
        <w:t xml:space="preserve"> </w:t>
      </w:r>
      <w:r>
        <w:rPr>
          <w:rFonts w:ascii="Garamond" w:hAnsi="Garamond" w:cs="Garamond"/>
          <w:sz w:val="22"/>
          <w:szCs w:val="22"/>
        </w:rPr>
        <w:t>to</w:t>
      </w:r>
      <w:r>
        <w:rPr>
          <w:rFonts w:ascii="Garamond" w:hAnsi="Garamond" w:cs="Garamond"/>
          <w:spacing w:val="-10"/>
          <w:sz w:val="22"/>
          <w:szCs w:val="22"/>
        </w:rPr>
        <w:t xml:space="preserve"> </w:t>
      </w:r>
      <w:r>
        <w:rPr>
          <w:rFonts w:ascii="Garamond" w:hAnsi="Garamond" w:cs="Garamond"/>
          <w:sz w:val="22"/>
          <w:szCs w:val="22"/>
        </w:rPr>
        <w:t>members</w:t>
      </w:r>
      <w:r>
        <w:rPr>
          <w:rFonts w:ascii="Garamond" w:hAnsi="Garamond" w:cs="Garamond"/>
          <w:spacing w:val="-7"/>
          <w:sz w:val="22"/>
          <w:szCs w:val="22"/>
        </w:rPr>
        <w:t xml:space="preserve"> </w:t>
      </w:r>
      <w:r>
        <w:rPr>
          <w:rFonts w:ascii="Garamond" w:hAnsi="Garamond" w:cs="Garamond"/>
          <w:sz w:val="22"/>
          <w:szCs w:val="22"/>
        </w:rPr>
        <w:t>and</w:t>
      </w:r>
      <w:r>
        <w:rPr>
          <w:rFonts w:ascii="Garamond" w:hAnsi="Garamond" w:cs="Garamond"/>
          <w:spacing w:val="-12"/>
          <w:sz w:val="22"/>
          <w:szCs w:val="22"/>
        </w:rPr>
        <w:t xml:space="preserve"> </w:t>
      </w:r>
      <w:r>
        <w:rPr>
          <w:rFonts w:ascii="Garamond" w:hAnsi="Garamond" w:cs="Garamond"/>
          <w:sz w:val="22"/>
          <w:szCs w:val="22"/>
        </w:rPr>
        <w:t>prospective</w:t>
      </w:r>
      <w:r>
        <w:rPr>
          <w:rFonts w:ascii="Garamond" w:hAnsi="Garamond" w:cs="Garamond"/>
          <w:spacing w:val="-10"/>
          <w:sz w:val="22"/>
          <w:szCs w:val="22"/>
        </w:rPr>
        <w:t xml:space="preserve"> </w:t>
      </w:r>
      <w:r>
        <w:rPr>
          <w:rFonts w:ascii="Garamond" w:hAnsi="Garamond" w:cs="Garamond"/>
          <w:sz w:val="22"/>
          <w:szCs w:val="22"/>
        </w:rPr>
        <w:t>members.</w:t>
      </w:r>
    </w:p>
    <w:p w:rsidR="002C5025" w:rsidRDefault="002C5025">
      <w:pPr>
        <w:pStyle w:val="BodyText"/>
        <w:kinsoku w:val="0"/>
        <w:overflowPunct w:val="0"/>
        <w:spacing w:before="10"/>
        <w:rPr>
          <w:rFonts w:ascii="Garamond" w:hAnsi="Garamond" w:cs="Garamond"/>
          <w:sz w:val="21"/>
          <w:szCs w:val="21"/>
        </w:rPr>
      </w:pPr>
    </w:p>
    <w:p w:rsidR="002C5025" w:rsidRDefault="002C5025">
      <w:pPr>
        <w:pStyle w:val="BodyText"/>
        <w:kinsoku w:val="0"/>
        <w:overflowPunct w:val="0"/>
        <w:ind w:left="115" w:right="115" w:firstLine="4"/>
        <w:rPr>
          <w:rFonts w:ascii="Garamond" w:hAnsi="Garamond" w:cs="Garamond"/>
          <w:spacing w:val="-3"/>
        </w:rPr>
      </w:pPr>
      <w:r>
        <w:rPr>
          <w:rFonts w:ascii="Garamond" w:hAnsi="Garamond" w:cs="Garamond"/>
        </w:rPr>
        <w:t xml:space="preserve">Individuals, particularly those with disabilities or chronic needs, benefit from continuity of care from both primary and specialty care providers </w:t>
      </w:r>
      <w:r>
        <w:rPr>
          <w:rFonts w:ascii="Garamond" w:hAnsi="Garamond" w:cs="Garamond"/>
          <w:spacing w:val="-3"/>
        </w:rPr>
        <w:t xml:space="preserve">who </w:t>
      </w:r>
      <w:r>
        <w:rPr>
          <w:rFonts w:ascii="Garamond" w:hAnsi="Garamond" w:cs="Garamond"/>
        </w:rPr>
        <w:t xml:space="preserve">know </w:t>
      </w:r>
      <w:r>
        <w:rPr>
          <w:rFonts w:ascii="Garamond" w:hAnsi="Garamond" w:cs="Garamond"/>
          <w:spacing w:val="-3"/>
        </w:rPr>
        <w:t xml:space="preserve">them </w:t>
      </w:r>
      <w:r>
        <w:rPr>
          <w:rFonts w:ascii="Garamond" w:hAnsi="Garamond" w:cs="Garamond"/>
        </w:rPr>
        <w:t xml:space="preserve">and their medical needs. As </w:t>
      </w:r>
      <w:r>
        <w:rPr>
          <w:rFonts w:ascii="Garamond" w:hAnsi="Garamond" w:cs="Garamond"/>
          <w:spacing w:val="-3"/>
        </w:rPr>
        <w:t xml:space="preserve">part </w:t>
      </w:r>
      <w:r>
        <w:rPr>
          <w:rFonts w:ascii="Garamond" w:hAnsi="Garamond" w:cs="Garamond"/>
        </w:rPr>
        <w:t xml:space="preserve">of network adequacy requirements, all ACOs should have continuity of care provisions and parameters for contracting with providers outside of the </w:t>
      </w:r>
      <w:r>
        <w:rPr>
          <w:rFonts w:ascii="Garamond" w:hAnsi="Garamond" w:cs="Garamond"/>
          <w:spacing w:val="-3"/>
        </w:rPr>
        <w:t xml:space="preserve">ACO. </w:t>
      </w:r>
      <w:r>
        <w:rPr>
          <w:rFonts w:ascii="Garamond" w:hAnsi="Garamond" w:cs="Garamond"/>
        </w:rPr>
        <w:t xml:space="preserve">For example, single-case out-of-network agreements should be permitted where an individual is in a course of treatment with a provider; where network providers do not have the same level of expertise, specialization, or cultural and/or linguistic </w:t>
      </w:r>
      <w:r>
        <w:rPr>
          <w:rFonts w:ascii="Garamond" w:hAnsi="Garamond" w:cs="Garamond"/>
          <w:spacing w:val="-3"/>
        </w:rPr>
        <w:t xml:space="preserve">appropriateness </w:t>
      </w:r>
      <w:r>
        <w:rPr>
          <w:rFonts w:ascii="Garamond" w:hAnsi="Garamond" w:cs="Garamond"/>
        </w:rPr>
        <w:t>as the requested out-of- network</w:t>
      </w:r>
      <w:r>
        <w:rPr>
          <w:rFonts w:ascii="Garamond" w:hAnsi="Garamond" w:cs="Garamond"/>
          <w:spacing w:val="-10"/>
        </w:rPr>
        <w:t xml:space="preserve"> </w:t>
      </w:r>
      <w:r>
        <w:rPr>
          <w:rFonts w:ascii="Garamond" w:hAnsi="Garamond" w:cs="Garamond"/>
        </w:rPr>
        <w:t>provider;</w:t>
      </w:r>
      <w:r>
        <w:rPr>
          <w:rFonts w:ascii="Garamond" w:hAnsi="Garamond" w:cs="Garamond"/>
          <w:spacing w:val="-12"/>
        </w:rPr>
        <w:t xml:space="preserve"> </w:t>
      </w:r>
      <w:r>
        <w:rPr>
          <w:rFonts w:ascii="Garamond" w:hAnsi="Garamond" w:cs="Garamond"/>
        </w:rPr>
        <w:t>or</w:t>
      </w:r>
      <w:r>
        <w:rPr>
          <w:rFonts w:ascii="Garamond" w:hAnsi="Garamond" w:cs="Garamond"/>
          <w:spacing w:val="-8"/>
        </w:rPr>
        <w:t xml:space="preserve"> </w:t>
      </w:r>
      <w:r>
        <w:rPr>
          <w:rFonts w:ascii="Garamond" w:hAnsi="Garamond" w:cs="Garamond"/>
        </w:rPr>
        <w:t>if</w:t>
      </w:r>
      <w:r>
        <w:rPr>
          <w:rFonts w:ascii="Garamond" w:hAnsi="Garamond" w:cs="Garamond"/>
          <w:spacing w:val="-9"/>
        </w:rPr>
        <w:t xml:space="preserve"> </w:t>
      </w:r>
      <w:r>
        <w:rPr>
          <w:rFonts w:ascii="Garamond" w:hAnsi="Garamond" w:cs="Garamond"/>
        </w:rPr>
        <w:t>a</w:t>
      </w:r>
      <w:r>
        <w:rPr>
          <w:rFonts w:ascii="Garamond" w:hAnsi="Garamond" w:cs="Garamond"/>
          <w:spacing w:val="-8"/>
        </w:rPr>
        <w:t xml:space="preserve"> </w:t>
      </w:r>
      <w:r>
        <w:rPr>
          <w:rFonts w:ascii="Garamond" w:hAnsi="Garamond" w:cs="Garamond"/>
        </w:rPr>
        <w:t>network</w:t>
      </w:r>
      <w:r>
        <w:rPr>
          <w:rFonts w:ascii="Garamond" w:hAnsi="Garamond" w:cs="Garamond"/>
          <w:spacing w:val="-10"/>
        </w:rPr>
        <w:t xml:space="preserve"> </w:t>
      </w:r>
      <w:r>
        <w:rPr>
          <w:rFonts w:ascii="Garamond" w:hAnsi="Garamond" w:cs="Garamond"/>
        </w:rPr>
        <w:t>provider</w:t>
      </w:r>
      <w:r>
        <w:rPr>
          <w:rFonts w:ascii="Garamond" w:hAnsi="Garamond" w:cs="Garamond"/>
          <w:spacing w:val="-8"/>
        </w:rPr>
        <w:t xml:space="preserve"> </w:t>
      </w:r>
      <w:r>
        <w:rPr>
          <w:rFonts w:ascii="Garamond" w:hAnsi="Garamond" w:cs="Garamond"/>
        </w:rPr>
        <w:t>is</w:t>
      </w:r>
      <w:r>
        <w:rPr>
          <w:rFonts w:ascii="Garamond" w:hAnsi="Garamond" w:cs="Garamond"/>
          <w:spacing w:val="-11"/>
        </w:rPr>
        <w:t xml:space="preserve"> </w:t>
      </w:r>
      <w:r>
        <w:rPr>
          <w:rFonts w:ascii="Garamond" w:hAnsi="Garamond" w:cs="Garamond"/>
        </w:rPr>
        <w:t>not</w:t>
      </w:r>
      <w:r>
        <w:rPr>
          <w:rFonts w:ascii="Garamond" w:hAnsi="Garamond" w:cs="Garamond"/>
          <w:spacing w:val="-12"/>
        </w:rPr>
        <w:t xml:space="preserve"> </w:t>
      </w:r>
      <w:r>
        <w:rPr>
          <w:rFonts w:ascii="Garamond" w:hAnsi="Garamond" w:cs="Garamond"/>
        </w:rPr>
        <w:t>readily</w:t>
      </w:r>
      <w:r>
        <w:rPr>
          <w:rFonts w:ascii="Garamond" w:hAnsi="Garamond" w:cs="Garamond"/>
          <w:spacing w:val="-15"/>
        </w:rPr>
        <w:t xml:space="preserve"> </w:t>
      </w:r>
      <w:r>
        <w:rPr>
          <w:rFonts w:ascii="Garamond" w:hAnsi="Garamond" w:cs="Garamond"/>
        </w:rPr>
        <w:t>available</w:t>
      </w:r>
      <w:r>
        <w:rPr>
          <w:rFonts w:ascii="Garamond" w:hAnsi="Garamond" w:cs="Garamond"/>
          <w:spacing w:val="-10"/>
        </w:rPr>
        <w:t xml:space="preserve"> </w:t>
      </w:r>
      <w:r>
        <w:rPr>
          <w:rFonts w:ascii="Garamond" w:hAnsi="Garamond" w:cs="Garamond"/>
        </w:rPr>
        <w:t>or</w:t>
      </w:r>
      <w:r>
        <w:rPr>
          <w:rFonts w:ascii="Garamond" w:hAnsi="Garamond" w:cs="Garamond"/>
          <w:spacing w:val="-7"/>
        </w:rPr>
        <w:t xml:space="preserve"> </w:t>
      </w:r>
      <w:r>
        <w:rPr>
          <w:rFonts w:ascii="Garamond" w:hAnsi="Garamond" w:cs="Garamond"/>
        </w:rPr>
        <w:t>is</w:t>
      </w:r>
      <w:r>
        <w:rPr>
          <w:rFonts w:ascii="Garamond" w:hAnsi="Garamond" w:cs="Garamond"/>
          <w:spacing w:val="-7"/>
        </w:rPr>
        <w:t xml:space="preserve"> </w:t>
      </w:r>
      <w:r>
        <w:rPr>
          <w:rFonts w:ascii="Garamond" w:hAnsi="Garamond" w:cs="Garamond"/>
        </w:rPr>
        <w:t>otherwise</w:t>
      </w:r>
      <w:r>
        <w:rPr>
          <w:rFonts w:ascii="Garamond" w:hAnsi="Garamond" w:cs="Garamond"/>
          <w:spacing w:val="-10"/>
        </w:rPr>
        <w:t xml:space="preserve"> </w:t>
      </w:r>
      <w:r>
        <w:rPr>
          <w:rFonts w:ascii="Garamond" w:hAnsi="Garamond" w:cs="Garamond"/>
        </w:rPr>
        <w:t>geographically</w:t>
      </w:r>
      <w:r>
        <w:rPr>
          <w:rFonts w:ascii="Garamond" w:hAnsi="Garamond" w:cs="Garamond"/>
          <w:spacing w:val="-10"/>
        </w:rPr>
        <w:t xml:space="preserve"> </w:t>
      </w:r>
      <w:r>
        <w:rPr>
          <w:rFonts w:ascii="Garamond" w:hAnsi="Garamond" w:cs="Garamond"/>
        </w:rPr>
        <w:t>or</w:t>
      </w:r>
      <w:r>
        <w:rPr>
          <w:rFonts w:ascii="Garamond" w:hAnsi="Garamond" w:cs="Garamond"/>
          <w:spacing w:val="-7"/>
        </w:rPr>
        <w:t xml:space="preserve"> </w:t>
      </w:r>
      <w:r>
        <w:rPr>
          <w:rFonts w:ascii="Garamond" w:hAnsi="Garamond" w:cs="Garamond"/>
        </w:rPr>
        <w:t xml:space="preserve">temporally inaccessible. For members in ACOs, getting care from a provider outside the </w:t>
      </w:r>
      <w:r>
        <w:rPr>
          <w:rFonts w:ascii="Garamond" w:hAnsi="Garamond" w:cs="Garamond"/>
          <w:spacing w:val="-3"/>
        </w:rPr>
        <w:t xml:space="preserve">ACO could </w:t>
      </w:r>
      <w:r>
        <w:rPr>
          <w:rFonts w:ascii="Garamond" w:hAnsi="Garamond" w:cs="Garamond"/>
        </w:rPr>
        <w:t xml:space="preserve">work similarly to getting care out-of-network from a Preferred Provider Organization (PPO) plan. The provider </w:t>
      </w:r>
      <w:r>
        <w:rPr>
          <w:rFonts w:ascii="Garamond" w:hAnsi="Garamond" w:cs="Garamond"/>
          <w:spacing w:val="-3"/>
        </w:rPr>
        <w:t xml:space="preserve">would </w:t>
      </w:r>
      <w:r>
        <w:rPr>
          <w:rFonts w:ascii="Garamond" w:hAnsi="Garamond" w:cs="Garamond"/>
        </w:rPr>
        <w:t>still be subject</w:t>
      </w:r>
      <w:r>
        <w:rPr>
          <w:rFonts w:ascii="Garamond" w:hAnsi="Garamond" w:cs="Garamond"/>
          <w:spacing w:val="-6"/>
        </w:rPr>
        <w:t xml:space="preserve"> </w:t>
      </w:r>
      <w:r>
        <w:rPr>
          <w:rFonts w:ascii="Garamond" w:hAnsi="Garamond" w:cs="Garamond"/>
        </w:rPr>
        <w:t>to</w:t>
      </w:r>
      <w:r>
        <w:rPr>
          <w:rFonts w:ascii="Garamond" w:hAnsi="Garamond" w:cs="Garamond"/>
          <w:spacing w:val="-11"/>
        </w:rPr>
        <w:t xml:space="preserve"> </w:t>
      </w:r>
      <w:r>
        <w:rPr>
          <w:rFonts w:ascii="Garamond" w:hAnsi="Garamond" w:cs="Garamond"/>
        </w:rPr>
        <w:t>the</w:t>
      </w:r>
      <w:r>
        <w:rPr>
          <w:rFonts w:ascii="Garamond" w:hAnsi="Garamond" w:cs="Garamond"/>
          <w:spacing w:val="-7"/>
        </w:rPr>
        <w:t xml:space="preserve"> </w:t>
      </w:r>
      <w:r>
        <w:rPr>
          <w:rFonts w:ascii="Garamond" w:hAnsi="Garamond" w:cs="Garamond"/>
        </w:rPr>
        <w:t>ACO’s</w:t>
      </w:r>
      <w:r>
        <w:rPr>
          <w:rFonts w:ascii="Garamond" w:hAnsi="Garamond" w:cs="Garamond"/>
          <w:spacing w:val="-10"/>
        </w:rPr>
        <w:t xml:space="preserve"> </w:t>
      </w:r>
      <w:r>
        <w:rPr>
          <w:rFonts w:ascii="Garamond" w:hAnsi="Garamond" w:cs="Garamond"/>
        </w:rPr>
        <w:t>payment</w:t>
      </w:r>
      <w:r>
        <w:rPr>
          <w:rFonts w:ascii="Garamond" w:hAnsi="Garamond" w:cs="Garamond"/>
          <w:spacing w:val="-6"/>
        </w:rPr>
        <w:t xml:space="preserve"> </w:t>
      </w:r>
      <w:r>
        <w:rPr>
          <w:rFonts w:ascii="Garamond" w:hAnsi="Garamond" w:cs="Garamond"/>
        </w:rPr>
        <w:t>and</w:t>
      </w:r>
      <w:r>
        <w:rPr>
          <w:rFonts w:ascii="Garamond" w:hAnsi="Garamond" w:cs="Garamond"/>
          <w:spacing w:val="-6"/>
        </w:rPr>
        <w:t xml:space="preserve"> </w:t>
      </w:r>
      <w:r>
        <w:rPr>
          <w:rFonts w:ascii="Garamond" w:hAnsi="Garamond" w:cs="Garamond"/>
        </w:rPr>
        <w:t>coordination</w:t>
      </w:r>
      <w:r>
        <w:rPr>
          <w:rFonts w:ascii="Garamond" w:hAnsi="Garamond" w:cs="Garamond"/>
          <w:spacing w:val="-11"/>
        </w:rPr>
        <w:t xml:space="preserve"> </w:t>
      </w:r>
      <w:r>
        <w:rPr>
          <w:rFonts w:ascii="Garamond" w:hAnsi="Garamond" w:cs="Garamond"/>
        </w:rPr>
        <w:t>requirements,</w:t>
      </w:r>
      <w:r>
        <w:rPr>
          <w:rFonts w:ascii="Garamond" w:hAnsi="Garamond" w:cs="Garamond"/>
          <w:spacing w:val="-7"/>
        </w:rPr>
        <w:t xml:space="preserve"> </w:t>
      </w:r>
      <w:r>
        <w:rPr>
          <w:rFonts w:ascii="Garamond" w:hAnsi="Garamond" w:cs="Garamond"/>
          <w:spacing w:val="-3"/>
        </w:rPr>
        <w:t>ensuring</w:t>
      </w:r>
      <w:r>
        <w:rPr>
          <w:rFonts w:ascii="Garamond" w:hAnsi="Garamond" w:cs="Garamond"/>
          <w:spacing w:val="-9"/>
        </w:rPr>
        <w:t xml:space="preserve"> </w:t>
      </w:r>
      <w:r>
        <w:rPr>
          <w:rFonts w:ascii="Garamond" w:hAnsi="Garamond" w:cs="Garamond"/>
        </w:rPr>
        <w:t>that</w:t>
      </w:r>
      <w:r>
        <w:rPr>
          <w:rFonts w:ascii="Garamond" w:hAnsi="Garamond" w:cs="Garamond"/>
          <w:spacing w:val="-11"/>
        </w:rPr>
        <w:t xml:space="preserve"> </w:t>
      </w:r>
      <w:r>
        <w:rPr>
          <w:rFonts w:ascii="Garamond" w:hAnsi="Garamond" w:cs="Garamond"/>
        </w:rPr>
        <w:t>members</w:t>
      </w:r>
      <w:r>
        <w:rPr>
          <w:rFonts w:ascii="Garamond" w:hAnsi="Garamond" w:cs="Garamond"/>
          <w:spacing w:val="-5"/>
        </w:rPr>
        <w:t xml:space="preserve"> </w:t>
      </w:r>
      <w:r>
        <w:rPr>
          <w:rFonts w:ascii="Garamond" w:hAnsi="Garamond" w:cs="Garamond"/>
        </w:rPr>
        <w:t>maintain</w:t>
      </w:r>
      <w:r>
        <w:rPr>
          <w:rFonts w:ascii="Garamond" w:hAnsi="Garamond" w:cs="Garamond"/>
          <w:spacing w:val="-8"/>
        </w:rPr>
        <w:t xml:space="preserve"> </w:t>
      </w:r>
      <w:r>
        <w:rPr>
          <w:rFonts w:ascii="Garamond" w:hAnsi="Garamond" w:cs="Garamond"/>
        </w:rPr>
        <w:t>continuity</w:t>
      </w:r>
      <w:r>
        <w:rPr>
          <w:rFonts w:ascii="Garamond" w:hAnsi="Garamond" w:cs="Garamond"/>
          <w:spacing w:val="-9"/>
        </w:rPr>
        <w:t xml:space="preserve"> </w:t>
      </w:r>
      <w:r>
        <w:rPr>
          <w:rFonts w:ascii="Garamond" w:hAnsi="Garamond" w:cs="Garamond"/>
          <w:spacing w:val="-3"/>
        </w:rPr>
        <w:t xml:space="preserve">of </w:t>
      </w:r>
      <w:r>
        <w:rPr>
          <w:rFonts w:ascii="Garamond" w:hAnsi="Garamond" w:cs="Garamond"/>
        </w:rPr>
        <w:t>care</w:t>
      </w:r>
      <w:r>
        <w:rPr>
          <w:rFonts w:ascii="Garamond" w:hAnsi="Garamond" w:cs="Garamond"/>
          <w:spacing w:val="-9"/>
        </w:rPr>
        <w:t xml:space="preserve"> </w:t>
      </w:r>
      <w:r>
        <w:rPr>
          <w:rFonts w:ascii="Garamond" w:hAnsi="Garamond" w:cs="Garamond"/>
        </w:rPr>
        <w:t>and</w:t>
      </w:r>
      <w:r>
        <w:rPr>
          <w:rFonts w:ascii="Garamond" w:hAnsi="Garamond" w:cs="Garamond"/>
          <w:spacing w:val="-8"/>
        </w:rPr>
        <w:t xml:space="preserve"> </w:t>
      </w:r>
      <w:r>
        <w:rPr>
          <w:rFonts w:ascii="Garamond" w:hAnsi="Garamond" w:cs="Garamond"/>
        </w:rPr>
        <w:t>do</w:t>
      </w:r>
      <w:r>
        <w:rPr>
          <w:rFonts w:ascii="Garamond" w:hAnsi="Garamond" w:cs="Garamond"/>
          <w:spacing w:val="-9"/>
        </w:rPr>
        <w:t xml:space="preserve"> </w:t>
      </w:r>
      <w:r>
        <w:rPr>
          <w:rFonts w:ascii="Garamond" w:hAnsi="Garamond" w:cs="Garamond"/>
        </w:rPr>
        <w:t>not</w:t>
      </w:r>
      <w:r>
        <w:rPr>
          <w:rFonts w:ascii="Garamond" w:hAnsi="Garamond" w:cs="Garamond"/>
          <w:spacing w:val="-10"/>
        </w:rPr>
        <w:t xml:space="preserve"> </w:t>
      </w:r>
      <w:r>
        <w:rPr>
          <w:rFonts w:ascii="Garamond" w:hAnsi="Garamond" w:cs="Garamond"/>
        </w:rPr>
        <w:t>face</w:t>
      </w:r>
      <w:r>
        <w:rPr>
          <w:rFonts w:ascii="Garamond" w:hAnsi="Garamond" w:cs="Garamond"/>
          <w:spacing w:val="-9"/>
        </w:rPr>
        <w:t xml:space="preserve"> </w:t>
      </w:r>
      <w:r>
        <w:rPr>
          <w:rFonts w:ascii="Garamond" w:hAnsi="Garamond" w:cs="Garamond"/>
        </w:rPr>
        <w:t>additional</w:t>
      </w:r>
      <w:r>
        <w:rPr>
          <w:rFonts w:ascii="Garamond" w:hAnsi="Garamond" w:cs="Garamond"/>
          <w:spacing w:val="-9"/>
        </w:rPr>
        <w:t xml:space="preserve"> </w:t>
      </w:r>
      <w:r>
        <w:rPr>
          <w:rFonts w:ascii="Garamond" w:hAnsi="Garamond" w:cs="Garamond"/>
        </w:rPr>
        <w:t>barriers</w:t>
      </w:r>
      <w:r>
        <w:rPr>
          <w:rFonts w:ascii="Garamond" w:hAnsi="Garamond" w:cs="Garamond"/>
          <w:spacing w:val="-5"/>
        </w:rPr>
        <w:t xml:space="preserve"> </w:t>
      </w:r>
      <w:r>
        <w:rPr>
          <w:rFonts w:ascii="Garamond" w:hAnsi="Garamond" w:cs="Garamond"/>
        </w:rPr>
        <w:t>in</w:t>
      </w:r>
      <w:r>
        <w:rPr>
          <w:rFonts w:ascii="Garamond" w:hAnsi="Garamond" w:cs="Garamond"/>
          <w:spacing w:val="-6"/>
        </w:rPr>
        <w:t xml:space="preserve"> </w:t>
      </w:r>
      <w:r>
        <w:rPr>
          <w:rFonts w:ascii="Garamond" w:hAnsi="Garamond" w:cs="Garamond"/>
        </w:rPr>
        <w:t>accessing</w:t>
      </w:r>
      <w:r>
        <w:rPr>
          <w:rFonts w:ascii="Garamond" w:hAnsi="Garamond" w:cs="Garamond"/>
          <w:spacing w:val="-7"/>
        </w:rPr>
        <w:t xml:space="preserve"> </w:t>
      </w:r>
      <w:r>
        <w:rPr>
          <w:rFonts w:ascii="Garamond" w:hAnsi="Garamond" w:cs="Garamond"/>
        </w:rPr>
        <w:t>appropriate</w:t>
      </w:r>
      <w:r>
        <w:rPr>
          <w:rFonts w:ascii="Garamond" w:hAnsi="Garamond" w:cs="Garamond"/>
          <w:spacing w:val="-7"/>
        </w:rPr>
        <w:t xml:space="preserve"> </w:t>
      </w:r>
      <w:r>
        <w:rPr>
          <w:rFonts w:ascii="Garamond" w:hAnsi="Garamond" w:cs="Garamond"/>
          <w:spacing w:val="-3"/>
        </w:rPr>
        <w:t>care.</w:t>
      </w:r>
    </w:p>
    <w:p w:rsidR="002C5025" w:rsidRDefault="002C5025">
      <w:pPr>
        <w:pStyle w:val="BodyText"/>
        <w:kinsoku w:val="0"/>
        <w:overflowPunct w:val="0"/>
        <w:spacing w:before="9"/>
        <w:rPr>
          <w:rFonts w:ascii="Garamond" w:hAnsi="Garamond" w:cs="Garamond"/>
          <w:sz w:val="21"/>
          <w:szCs w:val="21"/>
        </w:rPr>
      </w:pPr>
    </w:p>
    <w:p w:rsidR="002C5025" w:rsidRDefault="002C5025">
      <w:pPr>
        <w:pStyle w:val="BodyText"/>
        <w:kinsoku w:val="0"/>
        <w:overflowPunct w:val="0"/>
        <w:spacing w:before="1"/>
        <w:ind w:left="118" w:right="77" w:firstLine="1"/>
        <w:rPr>
          <w:rFonts w:ascii="Garamond" w:hAnsi="Garamond" w:cs="Garamond"/>
        </w:rPr>
      </w:pPr>
      <w:r>
        <w:rPr>
          <w:rFonts w:ascii="Garamond" w:hAnsi="Garamond" w:cs="Garamond"/>
        </w:rPr>
        <w:t>In addition, MassHealth should ensure that ACOs have protections to ensure continuity of care when a provider leaves an ACO network. This includes notification to the member in advance of the change and the option to continue seeking treatment from the provider via an out-of-network arrangement. Continuity of care, particularly for specialty and behavioral health services, is key to ensuring positive health outcomes and long-term recovery.</w:t>
      </w:r>
      <w:r>
        <w:rPr>
          <w:rFonts w:ascii="Garamond" w:hAnsi="Garamond" w:cs="Garamond"/>
          <w:position w:val="5"/>
          <w:sz w:val="14"/>
          <w:szCs w:val="14"/>
        </w:rPr>
        <w:t xml:space="preserve">53 </w:t>
      </w:r>
      <w:r>
        <w:rPr>
          <w:rFonts w:ascii="Garamond" w:hAnsi="Garamond" w:cs="Garamond"/>
        </w:rPr>
        <w:t>It has been said that the “best fence is a good pasture.” Good ACOs will succeed in keeping members within their system because of the benefits of coordinated care.</w:t>
      </w:r>
    </w:p>
    <w:p w:rsidR="002C5025" w:rsidRDefault="002C5025">
      <w:pPr>
        <w:pStyle w:val="BodyText"/>
        <w:kinsoku w:val="0"/>
        <w:overflowPunct w:val="0"/>
        <w:rPr>
          <w:rFonts w:ascii="Garamond" w:hAnsi="Garamond" w:cs="Garamond"/>
          <w:sz w:val="20"/>
          <w:szCs w:val="20"/>
        </w:rPr>
      </w:pPr>
    </w:p>
    <w:p w:rsidR="002C5025" w:rsidRDefault="002C5025">
      <w:pPr>
        <w:pStyle w:val="BodyText"/>
        <w:kinsoku w:val="0"/>
        <w:overflowPunct w:val="0"/>
        <w:rPr>
          <w:rFonts w:ascii="Garamond" w:hAnsi="Garamond" w:cs="Garamond"/>
          <w:sz w:val="20"/>
          <w:szCs w:val="20"/>
        </w:rPr>
      </w:pPr>
    </w:p>
    <w:p w:rsidR="002C5025" w:rsidRDefault="002C5025">
      <w:pPr>
        <w:pStyle w:val="BodyText"/>
        <w:kinsoku w:val="0"/>
        <w:overflowPunct w:val="0"/>
        <w:rPr>
          <w:rFonts w:ascii="Garamond" w:hAnsi="Garamond" w:cs="Garamond"/>
          <w:sz w:val="20"/>
          <w:szCs w:val="20"/>
        </w:rPr>
      </w:pPr>
    </w:p>
    <w:p w:rsidR="002C5025" w:rsidRDefault="002C5025">
      <w:pPr>
        <w:pStyle w:val="BodyText"/>
        <w:kinsoku w:val="0"/>
        <w:overflowPunct w:val="0"/>
        <w:rPr>
          <w:rFonts w:ascii="Garamond" w:hAnsi="Garamond" w:cs="Garamond"/>
          <w:sz w:val="20"/>
          <w:szCs w:val="20"/>
        </w:rPr>
      </w:pPr>
    </w:p>
    <w:p w:rsidR="002C5025" w:rsidRDefault="00FB027C">
      <w:pPr>
        <w:pStyle w:val="BodyText"/>
        <w:kinsoku w:val="0"/>
        <w:overflowPunct w:val="0"/>
        <w:spacing w:before="3"/>
        <w:rPr>
          <w:rFonts w:ascii="Garamond" w:hAnsi="Garamond" w:cs="Garamond"/>
          <w:sz w:val="10"/>
          <w:szCs w:val="10"/>
        </w:rPr>
      </w:pPr>
      <w:r>
        <w:rPr>
          <w:noProof/>
        </w:rPr>
        <mc:AlternateContent>
          <mc:Choice Requires="wps">
            <w:drawing>
              <wp:anchor distT="0" distB="0" distL="0" distR="0" simplePos="0" relativeHeight="251670016" behindDoc="0" locked="0" layoutInCell="0" allowOverlap="1">
                <wp:simplePos x="0" y="0"/>
                <wp:positionH relativeFrom="page">
                  <wp:posOffset>923925</wp:posOffset>
                </wp:positionH>
                <wp:positionV relativeFrom="paragraph">
                  <wp:posOffset>103505</wp:posOffset>
                </wp:positionV>
                <wp:extent cx="1829435" cy="12700"/>
                <wp:effectExtent l="0" t="0" r="0" b="0"/>
                <wp:wrapTopAndBottom/>
                <wp:docPr id="549" name="Freeform 4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1 w 2881"/>
                            <a:gd name="T3" fmla="*/ 0 h 20"/>
                          </a:gdLst>
                          <a:ahLst/>
                          <a:cxnLst>
                            <a:cxn ang="0">
                              <a:pos x="T0" y="T1"/>
                            </a:cxn>
                            <a:cxn ang="0">
                              <a:pos x="T2" y="T3"/>
                            </a:cxn>
                          </a:cxnLst>
                          <a:rect l="0" t="0" r="r" b="b"/>
                          <a:pathLst>
                            <a:path w="2881" h="20">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76" o:spid="_x0000_s1026" style="position:absolute;z-index:251670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2.75pt,8.15pt,216.8pt,8.15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" o:allowincell="f" filled="f" strokeweight=".82pt">
                <v:path arrowok="t" o:connecttype="custom" o:connectlocs="0,0;1829435,0" o:connectangles="0,0"/>
                <w10:wrap type="topAndBottom" anchorx="page"/>
              </v:polyline>
            </w:pict>
          </mc:Fallback>
        </mc:AlternateContent>
      </w:r>
    </w:p>
    <w:p w:rsidR="002C5025" w:rsidRDefault="002C5025">
      <w:pPr>
        <w:pStyle w:val="BodyText"/>
        <w:kinsoku w:val="0"/>
        <w:overflowPunct w:val="0"/>
        <w:spacing w:before="70"/>
        <w:ind w:left="120" w:right="225"/>
        <w:rPr>
          <w:rFonts w:ascii="Garamond" w:hAnsi="Garamond" w:cs="Garamond"/>
          <w:sz w:val="20"/>
          <w:szCs w:val="20"/>
        </w:rPr>
      </w:pPr>
      <w:r>
        <w:rPr>
          <w:rFonts w:ascii="Garamond" w:hAnsi="Garamond" w:cs="Garamond"/>
          <w:position w:val="5"/>
          <w:sz w:val="13"/>
          <w:szCs w:val="13"/>
        </w:rPr>
        <w:t xml:space="preserve">52 </w:t>
      </w:r>
      <w:r>
        <w:rPr>
          <w:rFonts w:ascii="Garamond" w:hAnsi="Garamond" w:cs="Garamond"/>
          <w:sz w:val="20"/>
          <w:szCs w:val="20"/>
        </w:rPr>
        <w:t>42 C.F.R. § 438.68.</w:t>
      </w:r>
    </w:p>
    <w:p w:rsidR="002C5025" w:rsidRDefault="002C5025">
      <w:pPr>
        <w:pStyle w:val="BodyText"/>
        <w:kinsoku w:val="0"/>
        <w:overflowPunct w:val="0"/>
        <w:ind w:left="120" w:right="225"/>
        <w:rPr>
          <w:rFonts w:ascii="Garamond" w:hAnsi="Garamond" w:cs="Garamond"/>
          <w:sz w:val="20"/>
          <w:szCs w:val="20"/>
        </w:rPr>
      </w:pPr>
      <w:r>
        <w:rPr>
          <w:rFonts w:ascii="Garamond" w:hAnsi="Garamond" w:cs="Garamond"/>
          <w:position w:val="5"/>
          <w:sz w:val="13"/>
          <w:szCs w:val="13"/>
        </w:rPr>
        <w:t>53</w:t>
      </w:r>
      <w:r>
        <w:rPr>
          <w:rFonts w:ascii="Garamond" w:hAnsi="Garamond" w:cs="Garamond"/>
          <w:spacing w:val="8"/>
          <w:position w:val="5"/>
          <w:sz w:val="13"/>
          <w:szCs w:val="13"/>
        </w:rPr>
        <w:t xml:space="preserve"> </w:t>
      </w:r>
      <w:proofErr w:type="spellStart"/>
      <w:r>
        <w:rPr>
          <w:rFonts w:ascii="Garamond" w:hAnsi="Garamond" w:cs="Garamond"/>
          <w:sz w:val="20"/>
          <w:szCs w:val="20"/>
        </w:rPr>
        <w:t>Ruttenberg</w:t>
      </w:r>
      <w:proofErr w:type="spellEnd"/>
      <w:r>
        <w:rPr>
          <w:rFonts w:ascii="Garamond" w:hAnsi="Garamond" w:cs="Garamond"/>
          <w:sz w:val="20"/>
          <w:szCs w:val="20"/>
        </w:rPr>
        <w:t>,</w:t>
      </w:r>
      <w:r>
        <w:rPr>
          <w:rFonts w:ascii="Garamond" w:hAnsi="Garamond" w:cs="Garamond"/>
          <w:spacing w:val="-12"/>
          <w:sz w:val="20"/>
          <w:szCs w:val="20"/>
        </w:rPr>
        <w:t xml:space="preserve"> </w:t>
      </w:r>
      <w:r>
        <w:rPr>
          <w:rFonts w:ascii="Garamond" w:hAnsi="Garamond" w:cs="Garamond"/>
          <w:sz w:val="20"/>
          <w:szCs w:val="20"/>
        </w:rPr>
        <w:t>M.</w:t>
      </w:r>
      <w:r>
        <w:rPr>
          <w:rFonts w:ascii="Garamond" w:hAnsi="Garamond" w:cs="Garamond"/>
          <w:spacing w:val="-9"/>
          <w:sz w:val="20"/>
          <w:szCs w:val="20"/>
        </w:rPr>
        <w:t xml:space="preserve"> </w:t>
      </w:r>
      <w:r>
        <w:rPr>
          <w:rFonts w:ascii="Garamond" w:hAnsi="Garamond" w:cs="Garamond"/>
          <w:sz w:val="20"/>
          <w:szCs w:val="20"/>
        </w:rPr>
        <w:t>(2014).</w:t>
      </w:r>
      <w:r>
        <w:rPr>
          <w:rFonts w:ascii="Garamond" w:hAnsi="Garamond" w:cs="Garamond"/>
          <w:spacing w:val="-12"/>
          <w:sz w:val="20"/>
          <w:szCs w:val="20"/>
        </w:rPr>
        <w:t xml:space="preserve"> </w:t>
      </w:r>
      <w:r>
        <w:rPr>
          <w:rFonts w:ascii="Garamond" w:hAnsi="Garamond" w:cs="Garamond"/>
          <w:sz w:val="20"/>
          <w:szCs w:val="20"/>
        </w:rPr>
        <w:t>Choices</w:t>
      </w:r>
      <w:r>
        <w:rPr>
          <w:rFonts w:ascii="Garamond" w:hAnsi="Garamond" w:cs="Garamond"/>
          <w:spacing w:val="-10"/>
          <w:sz w:val="20"/>
          <w:szCs w:val="20"/>
        </w:rPr>
        <w:t xml:space="preserve"> </w:t>
      </w:r>
      <w:r>
        <w:rPr>
          <w:rFonts w:ascii="Garamond" w:hAnsi="Garamond" w:cs="Garamond"/>
          <w:sz w:val="20"/>
          <w:szCs w:val="20"/>
        </w:rPr>
        <w:t>and</w:t>
      </w:r>
      <w:r>
        <w:rPr>
          <w:rFonts w:ascii="Garamond" w:hAnsi="Garamond" w:cs="Garamond"/>
          <w:spacing w:val="-10"/>
          <w:sz w:val="20"/>
          <w:szCs w:val="20"/>
        </w:rPr>
        <w:t xml:space="preserve"> </w:t>
      </w:r>
      <w:r>
        <w:rPr>
          <w:rFonts w:ascii="Garamond" w:hAnsi="Garamond" w:cs="Garamond"/>
          <w:sz w:val="20"/>
          <w:szCs w:val="20"/>
        </w:rPr>
        <w:t>Continuity</w:t>
      </w:r>
      <w:r>
        <w:rPr>
          <w:rFonts w:ascii="Garamond" w:hAnsi="Garamond" w:cs="Garamond"/>
          <w:spacing w:val="-8"/>
          <w:sz w:val="20"/>
          <w:szCs w:val="20"/>
        </w:rPr>
        <w:t xml:space="preserve"> </w:t>
      </w:r>
      <w:r>
        <w:rPr>
          <w:rFonts w:ascii="Garamond" w:hAnsi="Garamond" w:cs="Garamond"/>
          <w:sz w:val="20"/>
          <w:szCs w:val="20"/>
        </w:rPr>
        <w:t>of</w:t>
      </w:r>
      <w:r>
        <w:rPr>
          <w:rFonts w:ascii="Garamond" w:hAnsi="Garamond" w:cs="Garamond"/>
          <w:spacing w:val="-8"/>
          <w:sz w:val="20"/>
          <w:szCs w:val="20"/>
        </w:rPr>
        <w:t xml:space="preserve"> </w:t>
      </w:r>
      <w:r>
        <w:rPr>
          <w:rFonts w:ascii="Garamond" w:hAnsi="Garamond" w:cs="Garamond"/>
          <w:sz w:val="20"/>
          <w:szCs w:val="20"/>
        </w:rPr>
        <w:t>Care</w:t>
      </w:r>
      <w:r>
        <w:rPr>
          <w:rFonts w:ascii="Garamond" w:hAnsi="Garamond" w:cs="Garamond"/>
          <w:spacing w:val="-6"/>
          <w:sz w:val="20"/>
          <w:szCs w:val="20"/>
        </w:rPr>
        <w:t xml:space="preserve"> </w:t>
      </w:r>
      <w:r>
        <w:rPr>
          <w:rFonts w:ascii="Garamond" w:hAnsi="Garamond" w:cs="Garamond"/>
          <w:sz w:val="20"/>
          <w:szCs w:val="20"/>
        </w:rPr>
        <w:t>as</w:t>
      </w:r>
      <w:r>
        <w:rPr>
          <w:rFonts w:ascii="Garamond" w:hAnsi="Garamond" w:cs="Garamond"/>
          <w:spacing w:val="-12"/>
          <w:sz w:val="20"/>
          <w:szCs w:val="20"/>
        </w:rPr>
        <w:t xml:space="preserve"> </w:t>
      </w:r>
      <w:r>
        <w:rPr>
          <w:rFonts w:ascii="Garamond" w:hAnsi="Garamond" w:cs="Garamond"/>
          <w:sz w:val="20"/>
          <w:szCs w:val="20"/>
        </w:rPr>
        <w:t>Significant</w:t>
      </w:r>
      <w:r>
        <w:rPr>
          <w:rFonts w:ascii="Garamond" w:hAnsi="Garamond" w:cs="Garamond"/>
          <w:spacing w:val="-9"/>
          <w:sz w:val="20"/>
          <w:szCs w:val="20"/>
        </w:rPr>
        <w:t xml:space="preserve"> </w:t>
      </w:r>
      <w:r>
        <w:rPr>
          <w:rFonts w:ascii="Garamond" w:hAnsi="Garamond" w:cs="Garamond"/>
          <w:sz w:val="20"/>
          <w:szCs w:val="20"/>
        </w:rPr>
        <w:t>Issues</w:t>
      </w:r>
      <w:r>
        <w:rPr>
          <w:rFonts w:ascii="Garamond" w:hAnsi="Garamond" w:cs="Garamond"/>
          <w:spacing w:val="-10"/>
          <w:sz w:val="20"/>
          <w:szCs w:val="20"/>
        </w:rPr>
        <w:t xml:space="preserve"> </w:t>
      </w:r>
      <w:r>
        <w:rPr>
          <w:rFonts w:ascii="Garamond" w:hAnsi="Garamond" w:cs="Garamond"/>
          <w:sz w:val="20"/>
          <w:szCs w:val="20"/>
        </w:rPr>
        <w:t>for</w:t>
      </w:r>
      <w:r>
        <w:rPr>
          <w:rFonts w:ascii="Garamond" w:hAnsi="Garamond" w:cs="Garamond"/>
          <w:spacing w:val="-6"/>
          <w:sz w:val="20"/>
          <w:szCs w:val="20"/>
        </w:rPr>
        <w:t xml:space="preserve"> </w:t>
      </w:r>
      <w:r>
        <w:rPr>
          <w:rFonts w:ascii="Garamond" w:hAnsi="Garamond" w:cs="Garamond"/>
          <w:sz w:val="20"/>
          <w:szCs w:val="20"/>
        </w:rPr>
        <w:t>Equality</w:t>
      </w:r>
      <w:r>
        <w:rPr>
          <w:rFonts w:ascii="Garamond" w:hAnsi="Garamond" w:cs="Garamond"/>
          <w:spacing w:val="-8"/>
          <w:sz w:val="20"/>
          <w:szCs w:val="20"/>
        </w:rPr>
        <w:t xml:space="preserve"> </w:t>
      </w:r>
      <w:r>
        <w:rPr>
          <w:rFonts w:ascii="Garamond" w:hAnsi="Garamond" w:cs="Garamond"/>
          <w:sz w:val="20"/>
          <w:szCs w:val="20"/>
        </w:rPr>
        <w:t>in</w:t>
      </w:r>
      <w:r>
        <w:rPr>
          <w:rFonts w:ascii="Garamond" w:hAnsi="Garamond" w:cs="Garamond"/>
          <w:spacing w:val="-10"/>
          <w:sz w:val="20"/>
          <w:szCs w:val="20"/>
        </w:rPr>
        <w:t xml:space="preserve"> </w:t>
      </w:r>
      <w:r>
        <w:rPr>
          <w:rFonts w:ascii="Garamond" w:hAnsi="Garamond" w:cs="Garamond"/>
          <w:sz w:val="20"/>
          <w:szCs w:val="20"/>
        </w:rPr>
        <w:t>Mental</w:t>
      </w:r>
      <w:r>
        <w:rPr>
          <w:rFonts w:ascii="Garamond" w:hAnsi="Garamond" w:cs="Garamond"/>
          <w:spacing w:val="-9"/>
          <w:sz w:val="20"/>
          <w:szCs w:val="20"/>
        </w:rPr>
        <w:t xml:space="preserve"> </w:t>
      </w:r>
      <w:r>
        <w:rPr>
          <w:rFonts w:ascii="Garamond" w:hAnsi="Garamond" w:cs="Garamond"/>
          <w:sz w:val="20"/>
          <w:szCs w:val="20"/>
        </w:rPr>
        <w:t>Health</w:t>
      </w:r>
      <w:r>
        <w:rPr>
          <w:rFonts w:ascii="Garamond" w:hAnsi="Garamond" w:cs="Garamond"/>
          <w:spacing w:val="-10"/>
          <w:sz w:val="20"/>
          <w:szCs w:val="20"/>
        </w:rPr>
        <w:t xml:space="preserve"> </w:t>
      </w:r>
      <w:r>
        <w:rPr>
          <w:rFonts w:ascii="Garamond" w:hAnsi="Garamond" w:cs="Garamond"/>
          <w:sz w:val="20"/>
          <w:szCs w:val="20"/>
        </w:rPr>
        <w:t>Care.</w:t>
      </w:r>
      <w:r>
        <w:rPr>
          <w:rFonts w:ascii="Garamond" w:hAnsi="Garamond" w:cs="Garamond"/>
          <w:spacing w:val="-12"/>
          <w:sz w:val="20"/>
          <w:szCs w:val="20"/>
        </w:rPr>
        <w:t xml:space="preserve"> </w:t>
      </w:r>
      <w:r>
        <w:rPr>
          <w:rFonts w:ascii="Garamond" w:hAnsi="Garamond" w:cs="Garamond"/>
          <w:sz w:val="20"/>
          <w:szCs w:val="20"/>
        </w:rPr>
        <w:t>J. Health</w:t>
      </w:r>
      <w:r>
        <w:rPr>
          <w:rFonts w:ascii="Garamond" w:hAnsi="Garamond" w:cs="Garamond"/>
          <w:spacing w:val="-13"/>
          <w:sz w:val="20"/>
          <w:szCs w:val="20"/>
        </w:rPr>
        <w:t xml:space="preserve"> </w:t>
      </w:r>
      <w:r>
        <w:rPr>
          <w:rFonts w:ascii="Garamond" w:hAnsi="Garamond" w:cs="Garamond"/>
          <w:sz w:val="20"/>
          <w:szCs w:val="20"/>
        </w:rPr>
        <w:t>&amp;</w:t>
      </w:r>
      <w:r>
        <w:rPr>
          <w:rFonts w:ascii="Garamond" w:hAnsi="Garamond" w:cs="Garamond"/>
          <w:spacing w:val="-10"/>
          <w:sz w:val="20"/>
          <w:szCs w:val="20"/>
        </w:rPr>
        <w:t xml:space="preserve"> </w:t>
      </w:r>
      <w:r>
        <w:rPr>
          <w:rFonts w:ascii="Garamond" w:hAnsi="Garamond" w:cs="Garamond"/>
          <w:sz w:val="20"/>
          <w:szCs w:val="20"/>
        </w:rPr>
        <w:t>Biomedical</w:t>
      </w:r>
      <w:r>
        <w:rPr>
          <w:rFonts w:ascii="Garamond" w:hAnsi="Garamond" w:cs="Garamond"/>
          <w:spacing w:val="-11"/>
          <w:sz w:val="20"/>
          <w:szCs w:val="20"/>
        </w:rPr>
        <w:t xml:space="preserve"> </w:t>
      </w:r>
      <w:r>
        <w:rPr>
          <w:rFonts w:ascii="Garamond" w:hAnsi="Garamond" w:cs="Garamond"/>
          <w:sz w:val="20"/>
          <w:szCs w:val="20"/>
        </w:rPr>
        <w:t>L,</w:t>
      </w:r>
      <w:r>
        <w:rPr>
          <w:rFonts w:ascii="Garamond" w:hAnsi="Garamond" w:cs="Garamond"/>
          <w:spacing w:val="-13"/>
          <w:sz w:val="20"/>
          <w:szCs w:val="20"/>
        </w:rPr>
        <w:t xml:space="preserve"> </w:t>
      </w:r>
      <w:r>
        <w:rPr>
          <w:rFonts w:ascii="Garamond" w:hAnsi="Garamond" w:cs="Garamond"/>
          <w:sz w:val="20"/>
          <w:szCs w:val="20"/>
        </w:rPr>
        <w:t>10(201);</w:t>
      </w:r>
      <w:r>
        <w:rPr>
          <w:rFonts w:ascii="Garamond" w:hAnsi="Garamond" w:cs="Garamond"/>
          <w:spacing w:val="-13"/>
          <w:sz w:val="20"/>
          <w:szCs w:val="20"/>
        </w:rPr>
        <w:t xml:space="preserve"> </w:t>
      </w:r>
      <w:proofErr w:type="spellStart"/>
      <w:r>
        <w:rPr>
          <w:rFonts w:ascii="Garamond" w:hAnsi="Garamond" w:cs="Garamond"/>
          <w:sz w:val="20"/>
          <w:szCs w:val="20"/>
        </w:rPr>
        <w:t>Kluft</w:t>
      </w:r>
      <w:proofErr w:type="spellEnd"/>
      <w:r>
        <w:rPr>
          <w:rFonts w:ascii="Garamond" w:hAnsi="Garamond" w:cs="Garamond"/>
          <w:sz w:val="20"/>
          <w:szCs w:val="20"/>
        </w:rPr>
        <w:t>,</w:t>
      </w:r>
      <w:r>
        <w:rPr>
          <w:rFonts w:ascii="Garamond" w:hAnsi="Garamond" w:cs="Garamond"/>
          <w:spacing w:val="-11"/>
          <w:sz w:val="20"/>
          <w:szCs w:val="20"/>
        </w:rPr>
        <w:t xml:space="preserve"> </w:t>
      </w:r>
      <w:r>
        <w:rPr>
          <w:rFonts w:ascii="Garamond" w:hAnsi="Garamond" w:cs="Garamond"/>
          <w:sz w:val="20"/>
          <w:szCs w:val="20"/>
        </w:rPr>
        <w:t>R.</w:t>
      </w:r>
      <w:r>
        <w:rPr>
          <w:rFonts w:ascii="Garamond" w:hAnsi="Garamond" w:cs="Garamond"/>
          <w:spacing w:val="-13"/>
          <w:sz w:val="20"/>
          <w:szCs w:val="20"/>
        </w:rPr>
        <w:t xml:space="preserve"> </w:t>
      </w:r>
      <w:r>
        <w:rPr>
          <w:rFonts w:ascii="Garamond" w:hAnsi="Garamond" w:cs="Garamond"/>
          <w:sz w:val="20"/>
          <w:szCs w:val="20"/>
        </w:rPr>
        <w:t>et</w:t>
      </w:r>
      <w:r>
        <w:rPr>
          <w:rFonts w:ascii="Garamond" w:hAnsi="Garamond" w:cs="Garamond"/>
          <w:spacing w:val="-11"/>
          <w:sz w:val="20"/>
          <w:szCs w:val="20"/>
        </w:rPr>
        <w:t xml:space="preserve"> </w:t>
      </w:r>
      <w:r>
        <w:rPr>
          <w:rFonts w:ascii="Garamond" w:hAnsi="Garamond" w:cs="Garamond"/>
          <w:sz w:val="20"/>
          <w:szCs w:val="20"/>
        </w:rPr>
        <w:t>al.</w:t>
      </w:r>
      <w:r>
        <w:rPr>
          <w:rFonts w:ascii="Garamond" w:hAnsi="Garamond" w:cs="Garamond"/>
          <w:spacing w:val="-13"/>
          <w:sz w:val="20"/>
          <w:szCs w:val="20"/>
        </w:rPr>
        <w:t xml:space="preserve"> </w:t>
      </w:r>
      <w:r>
        <w:rPr>
          <w:rFonts w:ascii="Garamond" w:hAnsi="Garamond" w:cs="Garamond"/>
          <w:sz w:val="20"/>
          <w:szCs w:val="20"/>
        </w:rPr>
        <w:t>(2000).</w:t>
      </w:r>
      <w:r>
        <w:rPr>
          <w:rFonts w:ascii="Garamond" w:hAnsi="Garamond" w:cs="Garamond"/>
          <w:spacing w:val="-11"/>
          <w:sz w:val="20"/>
          <w:szCs w:val="20"/>
        </w:rPr>
        <w:t xml:space="preserve"> </w:t>
      </w:r>
      <w:r>
        <w:rPr>
          <w:rFonts w:ascii="Garamond" w:hAnsi="Garamond" w:cs="Garamond"/>
          <w:sz w:val="20"/>
          <w:szCs w:val="20"/>
        </w:rPr>
        <w:t>Treating</w:t>
      </w:r>
      <w:r>
        <w:rPr>
          <w:rFonts w:ascii="Garamond" w:hAnsi="Garamond" w:cs="Garamond"/>
          <w:spacing w:val="-11"/>
          <w:sz w:val="20"/>
          <w:szCs w:val="20"/>
        </w:rPr>
        <w:t xml:space="preserve"> </w:t>
      </w:r>
      <w:r>
        <w:rPr>
          <w:rFonts w:ascii="Garamond" w:hAnsi="Garamond" w:cs="Garamond"/>
          <w:sz w:val="20"/>
          <w:szCs w:val="20"/>
        </w:rPr>
        <w:t>the</w:t>
      </w:r>
      <w:r>
        <w:rPr>
          <w:rFonts w:ascii="Garamond" w:hAnsi="Garamond" w:cs="Garamond"/>
          <w:spacing w:val="-10"/>
          <w:sz w:val="20"/>
          <w:szCs w:val="20"/>
        </w:rPr>
        <w:t xml:space="preserve"> </w:t>
      </w:r>
      <w:r>
        <w:rPr>
          <w:rFonts w:ascii="Garamond" w:hAnsi="Garamond" w:cs="Garamond"/>
          <w:sz w:val="20"/>
          <w:szCs w:val="20"/>
        </w:rPr>
        <w:t>Traumatized</w:t>
      </w:r>
      <w:r>
        <w:rPr>
          <w:rFonts w:ascii="Garamond" w:hAnsi="Garamond" w:cs="Garamond"/>
          <w:spacing w:val="-10"/>
          <w:sz w:val="20"/>
          <w:szCs w:val="20"/>
        </w:rPr>
        <w:t xml:space="preserve"> </w:t>
      </w:r>
      <w:r>
        <w:rPr>
          <w:rFonts w:ascii="Garamond" w:hAnsi="Garamond" w:cs="Garamond"/>
          <w:sz w:val="20"/>
          <w:szCs w:val="20"/>
        </w:rPr>
        <w:t>Patient</w:t>
      </w:r>
      <w:r>
        <w:rPr>
          <w:rFonts w:ascii="Garamond" w:hAnsi="Garamond" w:cs="Garamond"/>
          <w:spacing w:val="-11"/>
          <w:sz w:val="20"/>
          <w:szCs w:val="20"/>
        </w:rPr>
        <w:t xml:space="preserve"> </w:t>
      </w:r>
      <w:r>
        <w:rPr>
          <w:rFonts w:ascii="Garamond" w:hAnsi="Garamond" w:cs="Garamond"/>
          <w:sz w:val="20"/>
          <w:szCs w:val="20"/>
        </w:rPr>
        <w:t>and</w:t>
      </w:r>
      <w:r>
        <w:rPr>
          <w:rFonts w:ascii="Garamond" w:hAnsi="Garamond" w:cs="Garamond"/>
          <w:spacing w:val="-7"/>
          <w:sz w:val="20"/>
          <w:szCs w:val="20"/>
        </w:rPr>
        <w:t xml:space="preserve"> </w:t>
      </w:r>
      <w:r>
        <w:rPr>
          <w:rFonts w:ascii="Garamond" w:hAnsi="Garamond" w:cs="Garamond"/>
          <w:sz w:val="20"/>
          <w:szCs w:val="20"/>
        </w:rPr>
        <w:t>Victim</w:t>
      </w:r>
      <w:r>
        <w:rPr>
          <w:rFonts w:ascii="Garamond" w:hAnsi="Garamond" w:cs="Garamond"/>
          <w:spacing w:val="-12"/>
          <w:sz w:val="20"/>
          <w:szCs w:val="20"/>
        </w:rPr>
        <w:t xml:space="preserve"> </w:t>
      </w:r>
      <w:r>
        <w:rPr>
          <w:rFonts w:ascii="Garamond" w:hAnsi="Garamond" w:cs="Garamond"/>
          <w:sz w:val="20"/>
          <w:szCs w:val="20"/>
        </w:rPr>
        <w:t>of</w:t>
      </w:r>
      <w:r>
        <w:rPr>
          <w:rFonts w:ascii="Garamond" w:hAnsi="Garamond" w:cs="Garamond"/>
          <w:spacing w:val="-10"/>
          <w:sz w:val="20"/>
          <w:szCs w:val="20"/>
        </w:rPr>
        <w:t xml:space="preserve"> </w:t>
      </w:r>
      <w:r>
        <w:rPr>
          <w:rFonts w:ascii="Garamond" w:hAnsi="Garamond" w:cs="Garamond"/>
          <w:sz w:val="20"/>
          <w:szCs w:val="20"/>
        </w:rPr>
        <w:t>Violence.</w:t>
      </w:r>
    </w:p>
    <w:p w:rsidR="002C5025" w:rsidRDefault="002C5025">
      <w:pPr>
        <w:pStyle w:val="BodyText"/>
        <w:kinsoku w:val="0"/>
        <w:overflowPunct w:val="0"/>
        <w:ind w:left="120" w:right="85"/>
        <w:rPr>
          <w:rFonts w:ascii="Garamond" w:hAnsi="Garamond" w:cs="Garamond"/>
          <w:color w:val="000000"/>
          <w:sz w:val="20"/>
          <w:szCs w:val="20"/>
        </w:rPr>
      </w:pPr>
      <w:r>
        <w:rPr>
          <w:rFonts w:ascii="Garamond" w:hAnsi="Garamond" w:cs="Garamond"/>
          <w:sz w:val="20"/>
          <w:szCs w:val="20"/>
        </w:rPr>
        <w:t>Psychiatric</w:t>
      </w:r>
      <w:r>
        <w:rPr>
          <w:rFonts w:ascii="Garamond" w:hAnsi="Garamond" w:cs="Garamond"/>
          <w:spacing w:val="-8"/>
          <w:sz w:val="20"/>
          <w:szCs w:val="20"/>
        </w:rPr>
        <w:t xml:space="preserve"> </w:t>
      </w:r>
      <w:r>
        <w:rPr>
          <w:rFonts w:ascii="Garamond" w:hAnsi="Garamond" w:cs="Garamond"/>
          <w:sz w:val="20"/>
          <w:szCs w:val="20"/>
        </w:rPr>
        <w:t>Aspects</w:t>
      </w:r>
      <w:r>
        <w:rPr>
          <w:rFonts w:ascii="Garamond" w:hAnsi="Garamond" w:cs="Garamond"/>
          <w:spacing w:val="-10"/>
          <w:sz w:val="20"/>
          <w:szCs w:val="20"/>
        </w:rPr>
        <w:t xml:space="preserve"> </w:t>
      </w:r>
      <w:r>
        <w:rPr>
          <w:rFonts w:ascii="Garamond" w:hAnsi="Garamond" w:cs="Garamond"/>
          <w:sz w:val="20"/>
          <w:szCs w:val="20"/>
        </w:rPr>
        <w:t>of</w:t>
      </w:r>
      <w:r>
        <w:rPr>
          <w:rFonts w:ascii="Garamond" w:hAnsi="Garamond" w:cs="Garamond"/>
          <w:spacing w:val="-11"/>
          <w:sz w:val="20"/>
          <w:szCs w:val="20"/>
        </w:rPr>
        <w:t xml:space="preserve"> </w:t>
      </w:r>
      <w:r>
        <w:rPr>
          <w:rFonts w:ascii="Garamond" w:hAnsi="Garamond" w:cs="Garamond"/>
          <w:sz w:val="20"/>
          <w:szCs w:val="20"/>
        </w:rPr>
        <w:t>Violence:</w:t>
      </w:r>
      <w:r>
        <w:rPr>
          <w:rFonts w:ascii="Garamond" w:hAnsi="Garamond" w:cs="Garamond"/>
          <w:spacing w:val="-14"/>
          <w:sz w:val="20"/>
          <w:szCs w:val="20"/>
        </w:rPr>
        <w:t xml:space="preserve"> </w:t>
      </w:r>
      <w:r>
        <w:rPr>
          <w:rFonts w:ascii="Garamond" w:hAnsi="Garamond" w:cs="Garamond"/>
          <w:sz w:val="20"/>
          <w:szCs w:val="20"/>
        </w:rPr>
        <w:t>Issues</w:t>
      </w:r>
      <w:r>
        <w:rPr>
          <w:rFonts w:ascii="Garamond" w:hAnsi="Garamond" w:cs="Garamond"/>
          <w:spacing w:val="-12"/>
          <w:sz w:val="20"/>
          <w:szCs w:val="20"/>
        </w:rPr>
        <w:t xml:space="preserve"> </w:t>
      </w:r>
      <w:r>
        <w:rPr>
          <w:rFonts w:ascii="Garamond" w:hAnsi="Garamond" w:cs="Garamond"/>
          <w:sz w:val="20"/>
          <w:szCs w:val="20"/>
        </w:rPr>
        <w:t>in</w:t>
      </w:r>
      <w:r>
        <w:rPr>
          <w:rFonts w:ascii="Garamond" w:hAnsi="Garamond" w:cs="Garamond"/>
          <w:spacing w:val="-10"/>
          <w:sz w:val="20"/>
          <w:szCs w:val="20"/>
        </w:rPr>
        <w:t xml:space="preserve"> </w:t>
      </w:r>
      <w:r>
        <w:rPr>
          <w:rFonts w:ascii="Garamond" w:hAnsi="Garamond" w:cs="Garamond"/>
          <w:sz w:val="20"/>
          <w:szCs w:val="20"/>
        </w:rPr>
        <w:t>Prevention</w:t>
      </w:r>
      <w:r>
        <w:rPr>
          <w:rFonts w:ascii="Garamond" w:hAnsi="Garamond" w:cs="Garamond"/>
          <w:spacing w:val="-12"/>
          <w:sz w:val="20"/>
          <w:szCs w:val="20"/>
        </w:rPr>
        <w:t xml:space="preserve"> </w:t>
      </w:r>
      <w:r>
        <w:rPr>
          <w:rFonts w:ascii="Garamond" w:hAnsi="Garamond" w:cs="Garamond"/>
          <w:sz w:val="20"/>
          <w:szCs w:val="20"/>
        </w:rPr>
        <w:t>and</w:t>
      </w:r>
      <w:r>
        <w:rPr>
          <w:rFonts w:ascii="Garamond" w:hAnsi="Garamond" w:cs="Garamond"/>
          <w:spacing w:val="-8"/>
          <w:sz w:val="20"/>
          <w:szCs w:val="20"/>
        </w:rPr>
        <w:t xml:space="preserve"> </w:t>
      </w:r>
      <w:r>
        <w:rPr>
          <w:rFonts w:ascii="Garamond" w:hAnsi="Garamond" w:cs="Garamond"/>
          <w:sz w:val="20"/>
          <w:szCs w:val="20"/>
        </w:rPr>
        <w:t>Treatment</w:t>
      </w:r>
      <w:r>
        <w:rPr>
          <w:rFonts w:ascii="Garamond" w:hAnsi="Garamond" w:cs="Garamond"/>
          <w:spacing w:val="-12"/>
          <w:sz w:val="20"/>
          <w:szCs w:val="20"/>
        </w:rPr>
        <w:t xml:space="preserve"> </w:t>
      </w:r>
      <w:r>
        <w:rPr>
          <w:rFonts w:ascii="Garamond" w:hAnsi="Garamond" w:cs="Garamond"/>
          <w:sz w:val="20"/>
          <w:szCs w:val="20"/>
        </w:rPr>
        <w:t>(“Continuity</w:t>
      </w:r>
      <w:r>
        <w:rPr>
          <w:rFonts w:ascii="Garamond" w:hAnsi="Garamond" w:cs="Garamond"/>
          <w:spacing w:val="-8"/>
          <w:sz w:val="20"/>
          <w:szCs w:val="20"/>
        </w:rPr>
        <w:t xml:space="preserve"> </w:t>
      </w:r>
      <w:r>
        <w:rPr>
          <w:rFonts w:ascii="Garamond" w:hAnsi="Garamond" w:cs="Garamond"/>
          <w:sz w:val="20"/>
          <w:szCs w:val="20"/>
        </w:rPr>
        <w:t>of</w:t>
      </w:r>
      <w:r>
        <w:rPr>
          <w:rFonts w:ascii="Garamond" w:hAnsi="Garamond" w:cs="Garamond"/>
          <w:spacing w:val="-8"/>
          <w:sz w:val="20"/>
          <w:szCs w:val="20"/>
        </w:rPr>
        <w:t xml:space="preserve"> </w:t>
      </w:r>
      <w:r>
        <w:rPr>
          <w:rFonts w:ascii="Garamond" w:hAnsi="Garamond" w:cs="Garamond"/>
          <w:sz w:val="20"/>
          <w:szCs w:val="20"/>
        </w:rPr>
        <w:t>care</w:t>
      </w:r>
      <w:r>
        <w:rPr>
          <w:rFonts w:ascii="Garamond" w:hAnsi="Garamond" w:cs="Garamond"/>
          <w:spacing w:val="-10"/>
          <w:sz w:val="20"/>
          <w:szCs w:val="20"/>
        </w:rPr>
        <w:t xml:space="preserve"> </w:t>
      </w:r>
      <w:r>
        <w:rPr>
          <w:rFonts w:ascii="Garamond" w:hAnsi="Garamond" w:cs="Garamond"/>
          <w:sz w:val="20"/>
          <w:szCs w:val="20"/>
        </w:rPr>
        <w:t>is</w:t>
      </w:r>
      <w:r>
        <w:rPr>
          <w:rFonts w:ascii="Garamond" w:hAnsi="Garamond" w:cs="Garamond"/>
          <w:spacing w:val="-10"/>
          <w:sz w:val="20"/>
          <w:szCs w:val="20"/>
        </w:rPr>
        <w:t xml:space="preserve"> </w:t>
      </w:r>
      <w:r>
        <w:rPr>
          <w:rFonts w:ascii="Garamond" w:hAnsi="Garamond" w:cs="Garamond"/>
          <w:sz w:val="20"/>
          <w:szCs w:val="20"/>
        </w:rPr>
        <w:t>an</w:t>
      </w:r>
      <w:r>
        <w:rPr>
          <w:rFonts w:ascii="Garamond" w:hAnsi="Garamond" w:cs="Garamond"/>
          <w:spacing w:val="-12"/>
          <w:sz w:val="20"/>
          <w:szCs w:val="20"/>
        </w:rPr>
        <w:t xml:space="preserve"> </w:t>
      </w:r>
      <w:r>
        <w:rPr>
          <w:rFonts w:ascii="Garamond" w:hAnsi="Garamond" w:cs="Garamond"/>
          <w:sz w:val="20"/>
          <w:szCs w:val="20"/>
        </w:rPr>
        <w:t>important</w:t>
      </w:r>
      <w:r>
        <w:rPr>
          <w:rFonts w:ascii="Garamond" w:hAnsi="Garamond" w:cs="Garamond"/>
          <w:spacing w:val="-12"/>
          <w:sz w:val="20"/>
          <w:szCs w:val="20"/>
        </w:rPr>
        <w:t xml:space="preserve"> </w:t>
      </w:r>
      <w:r>
        <w:rPr>
          <w:rFonts w:ascii="Garamond" w:hAnsi="Garamond" w:cs="Garamond"/>
          <w:sz w:val="20"/>
          <w:szCs w:val="20"/>
        </w:rPr>
        <w:t>aspect</w:t>
      </w:r>
      <w:r>
        <w:rPr>
          <w:rFonts w:ascii="Garamond" w:hAnsi="Garamond" w:cs="Garamond"/>
          <w:spacing w:val="-12"/>
          <w:sz w:val="20"/>
          <w:szCs w:val="20"/>
        </w:rPr>
        <w:t xml:space="preserve"> </w:t>
      </w:r>
      <w:r>
        <w:rPr>
          <w:rFonts w:ascii="Garamond" w:hAnsi="Garamond" w:cs="Garamond"/>
          <w:sz w:val="20"/>
          <w:szCs w:val="20"/>
        </w:rPr>
        <w:t>of</w:t>
      </w:r>
      <w:r>
        <w:rPr>
          <w:rFonts w:ascii="Garamond" w:hAnsi="Garamond" w:cs="Garamond"/>
          <w:spacing w:val="-8"/>
          <w:sz w:val="20"/>
          <w:szCs w:val="20"/>
        </w:rPr>
        <w:t xml:space="preserve"> </w:t>
      </w:r>
      <w:r>
        <w:rPr>
          <w:rFonts w:ascii="Garamond" w:hAnsi="Garamond" w:cs="Garamond"/>
          <w:sz w:val="20"/>
          <w:szCs w:val="20"/>
        </w:rPr>
        <w:t>long- term treatment, and the object constancy and reliability of the therapist may be one of the most important factors in treatment success.”); see also The National Council on Disability. (2013). Medicaid Managed Care for People with Disabilities.</w:t>
      </w:r>
      <w:r>
        <w:rPr>
          <w:rFonts w:ascii="Garamond" w:hAnsi="Garamond" w:cs="Garamond"/>
          <w:spacing w:val="-20"/>
          <w:sz w:val="20"/>
          <w:szCs w:val="20"/>
        </w:rPr>
        <w:t xml:space="preserve"> </w:t>
      </w:r>
      <w:r>
        <w:rPr>
          <w:rFonts w:ascii="Garamond" w:hAnsi="Garamond" w:cs="Garamond"/>
          <w:sz w:val="20"/>
          <w:szCs w:val="20"/>
        </w:rPr>
        <w:t>Retrieved</w:t>
      </w:r>
      <w:r>
        <w:rPr>
          <w:rFonts w:ascii="Garamond" w:hAnsi="Garamond" w:cs="Garamond"/>
          <w:spacing w:val="-17"/>
          <w:sz w:val="20"/>
          <w:szCs w:val="20"/>
        </w:rPr>
        <w:t xml:space="preserve"> </w:t>
      </w:r>
      <w:r>
        <w:rPr>
          <w:rFonts w:ascii="Garamond" w:hAnsi="Garamond" w:cs="Garamond"/>
          <w:sz w:val="20"/>
          <w:szCs w:val="20"/>
        </w:rPr>
        <w:t>from</w:t>
      </w:r>
      <w:r>
        <w:rPr>
          <w:rFonts w:ascii="Garamond" w:hAnsi="Garamond" w:cs="Garamond"/>
          <w:spacing w:val="-16"/>
          <w:sz w:val="20"/>
          <w:szCs w:val="20"/>
        </w:rPr>
        <w:t xml:space="preserve"> </w:t>
      </w:r>
      <w:hyperlink r:id="rId355" w:history="1">
        <w:r>
          <w:rPr>
            <w:rFonts w:ascii="Garamond" w:hAnsi="Garamond" w:cs="Garamond"/>
            <w:color w:val="0000FF"/>
            <w:sz w:val="20"/>
            <w:szCs w:val="20"/>
            <w:u w:val="single"/>
          </w:rPr>
          <w:t>http://www.ncd.gov/publications/2013/20130315/20130315Ch3</w:t>
        </w:r>
        <w:r>
          <w:rPr>
            <w:rFonts w:ascii="Garamond" w:hAnsi="Garamond" w:cs="Garamond"/>
            <w:color w:val="0000FF"/>
            <w:spacing w:val="-16"/>
            <w:sz w:val="20"/>
            <w:szCs w:val="20"/>
            <w:u w:val="single"/>
          </w:rPr>
          <w:t xml:space="preserve"> </w:t>
        </w:r>
        <w:r>
          <w:rPr>
            <w:rFonts w:ascii="Garamond" w:hAnsi="Garamond" w:cs="Garamond"/>
            <w:color w:val="000000"/>
            <w:sz w:val="20"/>
            <w:szCs w:val="20"/>
          </w:rPr>
          <w:t>(</w:t>
        </w:r>
      </w:hyperlink>
      <w:r>
        <w:rPr>
          <w:rFonts w:ascii="Garamond" w:hAnsi="Garamond" w:cs="Garamond"/>
          <w:color w:val="000000"/>
          <w:sz w:val="20"/>
          <w:szCs w:val="20"/>
        </w:rPr>
        <w:t>emphasizes</w:t>
      </w:r>
      <w:r>
        <w:rPr>
          <w:rFonts w:ascii="Garamond" w:hAnsi="Garamond" w:cs="Garamond"/>
          <w:color w:val="000000"/>
          <w:spacing w:val="-20"/>
          <w:sz w:val="20"/>
          <w:szCs w:val="20"/>
        </w:rPr>
        <w:t xml:space="preserve"> </w:t>
      </w:r>
      <w:r>
        <w:rPr>
          <w:rFonts w:ascii="Garamond" w:hAnsi="Garamond" w:cs="Garamond"/>
          <w:color w:val="000000"/>
          <w:sz w:val="20"/>
          <w:szCs w:val="20"/>
        </w:rPr>
        <w:t>the</w:t>
      </w:r>
      <w:r>
        <w:rPr>
          <w:rFonts w:ascii="Garamond" w:hAnsi="Garamond" w:cs="Garamond"/>
          <w:color w:val="000000"/>
          <w:spacing w:val="-17"/>
          <w:sz w:val="20"/>
          <w:szCs w:val="20"/>
        </w:rPr>
        <w:t xml:space="preserve"> </w:t>
      </w:r>
      <w:r>
        <w:rPr>
          <w:rFonts w:ascii="Garamond" w:hAnsi="Garamond" w:cs="Garamond"/>
          <w:color w:val="000000"/>
          <w:sz w:val="20"/>
          <w:szCs w:val="20"/>
        </w:rPr>
        <w:t>need</w:t>
      </w:r>
      <w:r>
        <w:rPr>
          <w:rFonts w:ascii="Garamond" w:hAnsi="Garamond" w:cs="Garamond"/>
          <w:color w:val="000000"/>
          <w:spacing w:val="-17"/>
          <w:sz w:val="20"/>
          <w:szCs w:val="20"/>
        </w:rPr>
        <w:t xml:space="preserve"> </w:t>
      </w:r>
      <w:r>
        <w:rPr>
          <w:rFonts w:ascii="Garamond" w:hAnsi="Garamond" w:cs="Garamond"/>
          <w:color w:val="000000"/>
          <w:sz w:val="20"/>
          <w:szCs w:val="20"/>
        </w:rPr>
        <w:t>to protect</w:t>
      </w:r>
      <w:r>
        <w:rPr>
          <w:rFonts w:ascii="Garamond" w:hAnsi="Garamond" w:cs="Garamond"/>
          <w:color w:val="000000"/>
          <w:spacing w:val="-15"/>
          <w:sz w:val="20"/>
          <w:szCs w:val="20"/>
        </w:rPr>
        <w:t xml:space="preserve"> </w:t>
      </w:r>
      <w:r>
        <w:rPr>
          <w:rFonts w:ascii="Garamond" w:hAnsi="Garamond" w:cs="Garamond"/>
          <w:color w:val="000000"/>
          <w:sz w:val="20"/>
          <w:szCs w:val="20"/>
        </w:rPr>
        <w:t>continuity</w:t>
      </w:r>
      <w:r>
        <w:rPr>
          <w:rFonts w:ascii="Garamond" w:hAnsi="Garamond" w:cs="Garamond"/>
          <w:color w:val="000000"/>
          <w:spacing w:val="-11"/>
          <w:sz w:val="20"/>
          <w:szCs w:val="20"/>
        </w:rPr>
        <w:t xml:space="preserve"> </w:t>
      </w:r>
      <w:r>
        <w:rPr>
          <w:rFonts w:ascii="Garamond" w:hAnsi="Garamond" w:cs="Garamond"/>
          <w:color w:val="000000"/>
          <w:sz w:val="20"/>
          <w:szCs w:val="20"/>
        </w:rPr>
        <w:t>of</w:t>
      </w:r>
      <w:r>
        <w:rPr>
          <w:rFonts w:ascii="Garamond" w:hAnsi="Garamond" w:cs="Garamond"/>
          <w:color w:val="000000"/>
          <w:spacing w:val="-14"/>
          <w:sz w:val="20"/>
          <w:szCs w:val="20"/>
        </w:rPr>
        <w:t xml:space="preserve"> </w:t>
      </w:r>
      <w:r>
        <w:rPr>
          <w:rFonts w:ascii="Garamond" w:hAnsi="Garamond" w:cs="Garamond"/>
          <w:color w:val="000000"/>
          <w:sz w:val="20"/>
          <w:szCs w:val="20"/>
        </w:rPr>
        <w:t>care</w:t>
      </w:r>
      <w:r>
        <w:rPr>
          <w:rFonts w:ascii="Garamond" w:hAnsi="Garamond" w:cs="Garamond"/>
          <w:color w:val="000000"/>
          <w:spacing w:val="-11"/>
          <w:sz w:val="20"/>
          <w:szCs w:val="20"/>
        </w:rPr>
        <w:t xml:space="preserve"> </w:t>
      </w:r>
      <w:r>
        <w:rPr>
          <w:rFonts w:ascii="Garamond" w:hAnsi="Garamond" w:cs="Garamond"/>
          <w:color w:val="000000"/>
          <w:sz w:val="20"/>
          <w:szCs w:val="20"/>
        </w:rPr>
        <w:t>when</w:t>
      </w:r>
      <w:r>
        <w:rPr>
          <w:rFonts w:ascii="Garamond" w:hAnsi="Garamond" w:cs="Garamond"/>
          <w:color w:val="000000"/>
          <w:spacing w:val="-13"/>
          <w:sz w:val="20"/>
          <w:szCs w:val="20"/>
        </w:rPr>
        <w:t xml:space="preserve"> </w:t>
      </w:r>
      <w:r>
        <w:rPr>
          <w:rFonts w:ascii="Garamond" w:hAnsi="Garamond" w:cs="Garamond"/>
          <w:color w:val="000000"/>
          <w:sz w:val="20"/>
          <w:szCs w:val="20"/>
        </w:rPr>
        <w:t>designing</w:t>
      </w:r>
      <w:r>
        <w:rPr>
          <w:rFonts w:ascii="Garamond" w:hAnsi="Garamond" w:cs="Garamond"/>
          <w:color w:val="000000"/>
          <w:spacing w:val="-12"/>
          <w:sz w:val="20"/>
          <w:szCs w:val="20"/>
        </w:rPr>
        <w:t xml:space="preserve"> </w:t>
      </w:r>
      <w:r>
        <w:rPr>
          <w:rFonts w:ascii="Garamond" w:hAnsi="Garamond" w:cs="Garamond"/>
          <w:color w:val="000000"/>
          <w:sz w:val="20"/>
          <w:szCs w:val="20"/>
        </w:rPr>
        <w:t>health</w:t>
      </w:r>
      <w:r>
        <w:rPr>
          <w:rFonts w:ascii="Garamond" w:hAnsi="Garamond" w:cs="Garamond"/>
          <w:color w:val="000000"/>
          <w:spacing w:val="-15"/>
          <w:sz w:val="20"/>
          <w:szCs w:val="20"/>
        </w:rPr>
        <w:t xml:space="preserve"> </w:t>
      </w:r>
      <w:r>
        <w:rPr>
          <w:rFonts w:ascii="Garamond" w:hAnsi="Garamond" w:cs="Garamond"/>
          <w:color w:val="000000"/>
          <w:sz w:val="20"/>
          <w:szCs w:val="20"/>
        </w:rPr>
        <w:t>care</w:t>
      </w:r>
      <w:r>
        <w:rPr>
          <w:rFonts w:ascii="Garamond" w:hAnsi="Garamond" w:cs="Garamond"/>
          <w:color w:val="000000"/>
          <w:spacing w:val="-13"/>
          <w:sz w:val="20"/>
          <w:szCs w:val="20"/>
        </w:rPr>
        <w:t xml:space="preserve"> </w:t>
      </w:r>
      <w:r>
        <w:rPr>
          <w:rFonts w:ascii="Garamond" w:hAnsi="Garamond" w:cs="Garamond"/>
          <w:color w:val="000000"/>
          <w:sz w:val="20"/>
          <w:szCs w:val="20"/>
        </w:rPr>
        <w:t>systems).</w:t>
      </w:r>
    </w:p>
    <w:p w:rsidR="002C5025" w:rsidRDefault="002C5025">
      <w:pPr>
        <w:pStyle w:val="BodyText"/>
        <w:kinsoku w:val="0"/>
        <w:overflowPunct w:val="0"/>
        <w:rPr>
          <w:rFonts w:ascii="Garamond" w:hAnsi="Garamond" w:cs="Garamond"/>
          <w:sz w:val="20"/>
          <w:szCs w:val="20"/>
        </w:rPr>
      </w:pPr>
    </w:p>
    <w:p w:rsidR="002C5025" w:rsidRDefault="002C5025">
      <w:pPr>
        <w:pStyle w:val="BodyText"/>
        <w:kinsoku w:val="0"/>
        <w:overflowPunct w:val="0"/>
        <w:spacing w:before="1"/>
        <w:rPr>
          <w:rFonts w:ascii="Garamond" w:hAnsi="Garamond" w:cs="Garamond"/>
          <w:sz w:val="19"/>
          <w:szCs w:val="19"/>
        </w:rPr>
      </w:pPr>
    </w:p>
    <w:p w:rsidR="002C5025" w:rsidRDefault="002C5025">
      <w:pPr>
        <w:pStyle w:val="BodyText"/>
        <w:kinsoku w:val="0"/>
        <w:overflowPunct w:val="0"/>
        <w:ind w:left="576" w:right="432"/>
        <w:jc w:val="center"/>
        <w:rPr>
          <w:rFonts w:ascii="Garamond" w:hAnsi="Garamond" w:cs="Garamond"/>
          <w:sz w:val="20"/>
          <w:szCs w:val="20"/>
        </w:rPr>
      </w:pPr>
      <w:r>
        <w:rPr>
          <w:rFonts w:ascii="Garamond" w:hAnsi="Garamond" w:cs="Garamond"/>
          <w:sz w:val="20"/>
          <w:szCs w:val="20"/>
        </w:rPr>
        <w:t>19</w:t>
      </w:r>
    </w:p>
    <w:p w:rsidR="002C5025" w:rsidRDefault="002C5025">
      <w:pPr>
        <w:pStyle w:val="BodyText"/>
        <w:kinsoku w:val="0"/>
        <w:overflowPunct w:val="0"/>
        <w:ind w:left="576" w:right="432"/>
        <w:jc w:val="center"/>
        <w:rPr>
          <w:rFonts w:ascii="Garamond" w:hAnsi="Garamond" w:cs="Garamond"/>
          <w:sz w:val="20"/>
          <w:szCs w:val="20"/>
        </w:rPr>
        <w:sectPr w:rsidR="002C5025">
          <w:pgSz w:w="12240" w:h="15840"/>
          <w:pgMar w:top="1380" w:right="1460" w:bottom="280" w:left="1320" w:header="720" w:footer="720" w:gutter="0"/>
          <w:cols w:space="720" w:equalWidth="0">
            <w:col w:w="9460"/>
          </w:cols>
          <w:noEndnote/>
        </w:sectPr>
      </w:pPr>
    </w:p>
    <w:p w:rsidR="002C5025" w:rsidRDefault="002C5025">
      <w:pPr>
        <w:pStyle w:val="BodyText"/>
        <w:kinsoku w:val="0"/>
        <w:overflowPunct w:val="0"/>
        <w:spacing w:before="50" w:line="264" w:lineRule="exact"/>
        <w:ind w:left="120" w:right="814"/>
        <w:rPr>
          <w:rFonts w:ascii="Garamond" w:hAnsi="Garamond" w:cs="Garamond"/>
          <w:b/>
          <w:bCs/>
          <w:i/>
          <w:iCs/>
          <w:w w:val="90"/>
          <w:sz w:val="24"/>
          <w:szCs w:val="24"/>
        </w:rPr>
      </w:pPr>
      <w:bookmarkStart w:id="170" w:name="Attribution_and_choice_of_providers"/>
      <w:bookmarkEnd w:id="170"/>
      <w:r>
        <w:rPr>
          <w:rFonts w:ascii="Garamond" w:hAnsi="Garamond" w:cs="Garamond"/>
          <w:b/>
          <w:bCs/>
          <w:i/>
          <w:iCs/>
          <w:w w:val="90"/>
          <w:sz w:val="24"/>
          <w:szCs w:val="24"/>
        </w:rPr>
        <w:lastRenderedPageBreak/>
        <w:t>Attribution and choice of</w:t>
      </w:r>
      <w:r w:rsidR="00CF30C1">
        <w:rPr>
          <w:rFonts w:ascii="Garamond" w:hAnsi="Garamond" w:cs="Garamond"/>
          <w:b/>
          <w:bCs/>
          <w:i/>
          <w:iCs/>
          <w:w w:val="90"/>
          <w:sz w:val="24"/>
          <w:szCs w:val="24"/>
        </w:rPr>
        <w:t xml:space="preserve"> </w:t>
      </w:r>
      <w:r>
        <w:rPr>
          <w:rFonts w:ascii="Garamond" w:hAnsi="Garamond" w:cs="Garamond"/>
          <w:b/>
          <w:bCs/>
          <w:i/>
          <w:iCs/>
          <w:w w:val="90"/>
          <w:sz w:val="24"/>
          <w:szCs w:val="24"/>
        </w:rPr>
        <w:t>providers</w:t>
      </w:r>
    </w:p>
    <w:p w:rsidR="002C5025" w:rsidRDefault="002C5025">
      <w:pPr>
        <w:pStyle w:val="BodyText"/>
        <w:kinsoku w:val="0"/>
        <w:overflowPunct w:val="0"/>
        <w:ind w:left="119" w:right="20"/>
        <w:rPr>
          <w:rFonts w:ascii="Garamond" w:hAnsi="Garamond" w:cs="Garamond"/>
          <w:spacing w:val="-3"/>
        </w:rPr>
      </w:pPr>
      <w:r>
        <w:rPr>
          <w:rFonts w:ascii="Garamond" w:hAnsi="Garamond" w:cs="Garamond"/>
        </w:rPr>
        <w:t xml:space="preserve">We support the requirement that all eligible members will have the right </w:t>
      </w:r>
      <w:r>
        <w:rPr>
          <w:rFonts w:ascii="Garamond" w:hAnsi="Garamond" w:cs="Garamond"/>
          <w:spacing w:val="-3"/>
        </w:rPr>
        <w:t xml:space="preserve">and </w:t>
      </w:r>
      <w:r>
        <w:rPr>
          <w:rFonts w:ascii="Garamond" w:hAnsi="Garamond" w:cs="Garamond"/>
        </w:rPr>
        <w:t xml:space="preserve">opportunity to select their health plan and primary care provider (24). MassHealth should ensure that attribution methods adhere to the goals of care continuity and access and involve member choice to the maximum extent </w:t>
      </w:r>
      <w:r>
        <w:rPr>
          <w:rFonts w:ascii="Garamond" w:hAnsi="Garamond" w:cs="Garamond"/>
          <w:spacing w:val="-3"/>
        </w:rPr>
        <w:t>feasible.</w:t>
      </w:r>
    </w:p>
    <w:p w:rsidR="002C5025" w:rsidRDefault="002C5025">
      <w:pPr>
        <w:pStyle w:val="BodyText"/>
        <w:kinsoku w:val="0"/>
        <w:overflowPunct w:val="0"/>
        <w:spacing w:before="1"/>
        <w:rPr>
          <w:rFonts w:ascii="Garamond" w:hAnsi="Garamond" w:cs="Garamond"/>
        </w:rPr>
      </w:pPr>
    </w:p>
    <w:p w:rsidR="002C5025" w:rsidRDefault="002C5025">
      <w:pPr>
        <w:pStyle w:val="BodyText"/>
        <w:kinsoku w:val="0"/>
        <w:overflowPunct w:val="0"/>
        <w:spacing w:before="1"/>
        <w:ind w:left="117" w:right="66" w:firstLine="1"/>
        <w:rPr>
          <w:rFonts w:ascii="Garamond" w:hAnsi="Garamond" w:cs="Garamond"/>
        </w:rPr>
      </w:pPr>
      <w:r>
        <w:rPr>
          <w:rFonts w:ascii="Garamond" w:hAnsi="Garamond" w:cs="Garamond"/>
        </w:rPr>
        <w:t xml:space="preserve">Members should also be </w:t>
      </w:r>
      <w:r>
        <w:rPr>
          <w:rFonts w:ascii="Garamond" w:hAnsi="Garamond" w:cs="Garamond"/>
          <w:spacing w:val="-3"/>
        </w:rPr>
        <w:t xml:space="preserve">able </w:t>
      </w:r>
      <w:r>
        <w:rPr>
          <w:rFonts w:ascii="Garamond" w:hAnsi="Garamond" w:cs="Garamond"/>
        </w:rPr>
        <w:t xml:space="preserve">to designate a non-primary care provider as their PCP for the </w:t>
      </w:r>
      <w:r>
        <w:rPr>
          <w:rFonts w:ascii="Garamond" w:hAnsi="Garamond" w:cs="Garamond"/>
          <w:spacing w:val="-3"/>
        </w:rPr>
        <w:t xml:space="preserve">purposes </w:t>
      </w:r>
      <w:r>
        <w:rPr>
          <w:rFonts w:ascii="Garamond" w:hAnsi="Garamond" w:cs="Garamond"/>
        </w:rPr>
        <w:t xml:space="preserve">of attribution. This is especially important for </w:t>
      </w:r>
      <w:r>
        <w:rPr>
          <w:rFonts w:ascii="Garamond" w:hAnsi="Garamond" w:cs="Garamond"/>
          <w:spacing w:val="-3"/>
        </w:rPr>
        <w:t xml:space="preserve">members who </w:t>
      </w:r>
      <w:r>
        <w:rPr>
          <w:rFonts w:ascii="Garamond" w:hAnsi="Garamond" w:cs="Garamond"/>
        </w:rPr>
        <w:t xml:space="preserve">have a primary behavioral health diagnosis, or who seek long-term treatment from a specialist. Members </w:t>
      </w:r>
      <w:r>
        <w:rPr>
          <w:rFonts w:ascii="Garamond" w:hAnsi="Garamond" w:cs="Garamond"/>
          <w:spacing w:val="-3"/>
        </w:rPr>
        <w:t xml:space="preserve">who </w:t>
      </w:r>
      <w:r>
        <w:rPr>
          <w:rFonts w:ascii="Garamond" w:hAnsi="Garamond" w:cs="Garamond"/>
        </w:rPr>
        <w:t xml:space="preserve">do not actively choose a primary care provider should be assigned based on their recent care-seeking behavior. In determining retrospective attribution, the methodology should not </w:t>
      </w:r>
      <w:r>
        <w:rPr>
          <w:rFonts w:ascii="Garamond" w:hAnsi="Garamond" w:cs="Garamond"/>
          <w:spacing w:val="-3"/>
        </w:rPr>
        <w:t xml:space="preserve">only </w:t>
      </w:r>
      <w:r>
        <w:rPr>
          <w:rFonts w:ascii="Garamond" w:hAnsi="Garamond" w:cs="Garamond"/>
        </w:rPr>
        <w:t xml:space="preserve">look at PCP </w:t>
      </w:r>
      <w:r>
        <w:rPr>
          <w:rFonts w:ascii="Garamond" w:hAnsi="Garamond" w:cs="Garamond"/>
          <w:spacing w:val="-2"/>
        </w:rPr>
        <w:t xml:space="preserve">claims </w:t>
      </w:r>
      <w:r>
        <w:rPr>
          <w:rFonts w:ascii="Garamond" w:hAnsi="Garamond" w:cs="Garamond"/>
        </w:rPr>
        <w:t xml:space="preserve">but also claims from other providers, as well as non-claims- based factors such as </w:t>
      </w:r>
      <w:r>
        <w:rPr>
          <w:rFonts w:ascii="Garamond" w:hAnsi="Garamond" w:cs="Garamond"/>
          <w:spacing w:val="-3"/>
        </w:rPr>
        <w:t xml:space="preserve">geographical </w:t>
      </w:r>
      <w:r>
        <w:rPr>
          <w:rFonts w:ascii="Garamond" w:hAnsi="Garamond" w:cs="Garamond"/>
        </w:rPr>
        <w:t xml:space="preserve">proximity, language </w:t>
      </w:r>
      <w:r>
        <w:rPr>
          <w:rFonts w:ascii="Garamond" w:hAnsi="Garamond" w:cs="Garamond"/>
          <w:spacing w:val="-3"/>
        </w:rPr>
        <w:t xml:space="preserve">and </w:t>
      </w:r>
      <w:r>
        <w:rPr>
          <w:rFonts w:ascii="Garamond" w:hAnsi="Garamond" w:cs="Garamond"/>
        </w:rPr>
        <w:t xml:space="preserve">cultural competency, in order to determine the most appropriate assignment. However, allowing for </w:t>
      </w:r>
      <w:r>
        <w:rPr>
          <w:rFonts w:ascii="Garamond" w:hAnsi="Garamond" w:cs="Garamond"/>
          <w:spacing w:val="-3"/>
        </w:rPr>
        <w:t xml:space="preserve">direct </w:t>
      </w:r>
      <w:r>
        <w:rPr>
          <w:rFonts w:ascii="Garamond" w:hAnsi="Garamond" w:cs="Garamond"/>
        </w:rPr>
        <w:t xml:space="preserve">member choice is always preferable to </w:t>
      </w:r>
      <w:r>
        <w:rPr>
          <w:rFonts w:ascii="Garamond" w:hAnsi="Garamond" w:cs="Garamond"/>
          <w:spacing w:val="-1"/>
        </w:rPr>
        <w:t xml:space="preserve">retrospective </w:t>
      </w:r>
      <w:r>
        <w:rPr>
          <w:rFonts w:ascii="Garamond" w:hAnsi="Garamond" w:cs="Garamond"/>
        </w:rPr>
        <w:t>attribution.</w:t>
      </w:r>
    </w:p>
    <w:p w:rsidR="002C5025" w:rsidRDefault="002C5025">
      <w:pPr>
        <w:pStyle w:val="BodyText"/>
        <w:kinsoku w:val="0"/>
        <w:overflowPunct w:val="0"/>
        <w:spacing w:before="10"/>
        <w:rPr>
          <w:rFonts w:ascii="Garamond" w:hAnsi="Garamond" w:cs="Garamond"/>
          <w:sz w:val="21"/>
          <w:szCs w:val="21"/>
        </w:rPr>
      </w:pPr>
    </w:p>
    <w:p w:rsidR="002C5025" w:rsidRDefault="002C5025">
      <w:pPr>
        <w:pStyle w:val="BodyText"/>
        <w:kinsoku w:val="0"/>
        <w:overflowPunct w:val="0"/>
        <w:ind w:left="118" w:right="28" w:firstLine="1"/>
        <w:rPr>
          <w:rFonts w:ascii="Garamond" w:hAnsi="Garamond" w:cs="Garamond"/>
        </w:rPr>
      </w:pPr>
      <w:r>
        <w:rPr>
          <w:rFonts w:ascii="Garamond" w:hAnsi="Garamond" w:cs="Garamond"/>
        </w:rPr>
        <w:t xml:space="preserve">Members should receive adequate notice about the right to choose or change </w:t>
      </w:r>
      <w:r>
        <w:rPr>
          <w:rFonts w:ascii="Garamond" w:hAnsi="Garamond" w:cs="Garamond"/>
          <w:spacing w:val="-3"/>
        </w:rPr>
        <w:t xml:space="preserve">providers </w:t>
      </w:r>
      <w:r>
        <w:rPr>
          <w:rFonts w:ascii="Garamond" w:hAnsi="Garamond" w:cs="Garamond"/>
        </w:rPr>
        <w:t xml:space="preserve">and </w:t>
      </w:r>
      <w:r>
        <w:rPr>
          <w:rFonts w:ascii="Garamond" w:hAnsi="Garamond" w:cs="Garamond"/>
          <w:spacing w:val="-3"/>
        </w:rPr>
        <w:t xml:space="preserve">ACOs. </w:t>
      </w:r>
      <w:r>
        <w:rPr>
          <w:rFonts w:ascii="Garamond" w:hAnsi="Garamond" w:cs="Garamond"/>
        </w:rPr>
        <w:t xml:space="preserve">Members who have been attributed to a provider should receive notice of the attribution and </w:t>
      </w:r>
      <w:r>
        <w:rPr>
          <w:rFonts w:ascii="Garamond" w:hAnsi="Garamond" w:cs="Garamond"/>
          <w:spacing w:val="-3"/>
        </w:rPr>
        <w:t xml:space="preserve">their </w:t>
      </w:r>
      <w:r>
        <w:rPr>
          <w:rFonts w:ascii="Garamond" w:hAnsi="Garamond" w:cs="Garamond"/>
        </w:rPr>
        <w:t xml:space="preserve">right to change providers at any time. When individuals select a </w:t>
      </w:r>
      <w:r>
        <w:rPr>
          <w:rFonts w:ascii="Garamond" w:hAnsi="Garamond" w:cs="Garamond"/>
          <w:spacing w:val="-3"/>
        </w:rPr>
        <w:t xml:space="preserve">provider </w:t>
      </w:r>
      <w:r>
        <w:rPr>
          <w:rFonts w:ascii="Garamond" w:hAnsi="Garamond" w:cs="Garamond"/>
        </w:rPr>
        <w:t xml:space="preserve">they should know if they are choosing a provider who is participating in an </w:t>
      </w:r>
      <w:r>
        <w:rPr>
          <w:rFonts w:ascii="Garamond" w:hAnsi="Garamond" w:cs="Garamond"/>
          <w:spacing w:val="-3"/>
        </w:rPr>
        <w:t xml:space="preserve">ACO. </w:t>
      </w:r>
      <w:r>
        <w:rPr>
          <w:rFonts w:ascii="Garamond" w:hAnsi="Garamond" w:cs="Garamond"/>
        </w:rPr>
        <w:t xml:space="preserve">It should be made clear to the member if the </w:t>
      </w:r>
      <w:r>
        <w:rPr>
          <w:rFonts w:ascii="Garamond" w:hAnsi="Garamond" w:cs="Garamond"/>
          <w:spacing w:val="-3"/>
        </w:rPr>
        <w:t xml:space="preserve">provider </w:t>
      </w:r>
      <w:r>
        <w:rPr>
          <w:rFonts w:ascii="Garamond" w:hAnsi="Garamond" w:cs="Garamond"/>
        </w:rPr>
        <w:t xml:space="preserve">has a financial incentive to refer in-network, and members should be notified of their right to go out of network and of </w:t>
      </w:r>
      <w:r>
        <w:rPr>
          <w:rFonts w:ascii="Garamond" w:hAnsi="Garamond" w:cs="Garamond"/>
          <w:spacing w:val="-3"/>
        </w:rPr>
        <w:t xml:space="preserve">any </w:t>
      </w:r>
      <w:r>
        <w:rPr>
          <w:rFonts w:ascii="Garamond" w:hAnsi="Garamond" w:cs="Garamond"/>
        </w:rPr>
        <w:t xml:space="preserve">potential benefits to staying </w:t>
      </w:r>
      <w:r>
        <w:rPr>
          <w:rFonts w:ascii="Garamond" w:hAnsi="Garamond" w:cs="Garamond"/>
          <w:spacing w:val="-3"/>
        </w:rPr>
        <w:t xml:space="preserve">in </w:t>
      </w:r>
      <w:r>
        <w:rPr>
          <w:rFonts w:ascii="Garamond" w:hAnsi="Garamond" w:cs="Garamond"/>
        </w:rPr>
        <w:t xml:space="preserve">the ACO network. All </w:t>
      </w:r>
      <w:r>
        <w:rPr>
          <w:rFonts w:ascii="Garamond" w:hAnsi="Garamond" w:cs="Garamond"/>
          <w:spacing w:val="-3"/>
        </w:rPr>
        <w:t xml:space="preserve">notices </w:t>
      </w:r>
      <w:r>
        <w:rPr>
          <w:rFonts w:ascii="Garamond" w:hAnsi="Garamond" w:cs="Garamond"/>
        </w:rPr>
        <w:t>should be provided in a manner that is culturally and linguistically competent, accessible and understandable.</w:t>
      </w:r>
    </w:p>
    <w:p w:rsidR="002C5025" w:rsidRDefault="002C5025">
      <w:pPr>
        <w:pStyle w:val="BodyText"/>
        <w:kinsoku w:val="0"/>
        <w:overflowPunct w:val="0"/>
        <w:spacing w:before="10"/>
        <w:rPr>
          <w:rFonts w:ascii="Garamond" w:hAnsi="Garamond" w:cs="Garamond"/>
          <w:sz w:val="21"/>
          <w:szCs w:val="21"/>
        </w:rPr>
      </w:pPr>
    </w:p>
    <w:p w:rsidR="002C5025" w:rsidRDefault="002C5025">
      <w:pPr>
        <w:pStyle w:val="BodyText"/>
        <w:kinsoku w:val="0"/>
        <w:overflowPunct w:val="0"/>
        <w:ind w:left="120" w:right="814"/>
        <w:rPr>
          <w:rFonts w:ascii="Garamond" w:hAnsi="Garamond" w:cs="Garamond"/>
          <w:b/>
          <w:bCs/>
        </w:rPr>
      </w:pPr>
      <w:bookmarkStart w:id="171" w:name="Member_education_and_assistance"/>
      <w:bookmarkEnd w:id="171"/>
      <w:r>
        <w:rPr>
          <w:rFonts w:ascii="Garamond" w:hAnsi="Garamond" w:cs="Garamond"/>
          <w:b/>
          <w:bCs/>
          <w:u w:val="single"/>
        </w:rPr>
        <w:t>Member education and assistance</w:t>
      </w:r>
    </w:p>
    <w:p w:rsidR="002C5025" w:rsidRDefault="002C5025">
      <w:pPr>
        <w:pStyle w:val="BodyText"/>
        <w:kinsoku w:val="0"/>
        <w:overflowPunct w:val="0"/>
        <w:spacing w:before="10"/>
        <w:rPr>
          <w:rFonts w:ascii="Garamond" w:hAnsi="Garamond" w:cs="Garamond"/>
          <w:b/>
          <w:bCs/>
          <w:sz w:val="13"/>
          <w:szCs w:val="13"/>
        </w:rPr>
      </w:pPr>
    </w:p>
    <w:p w:rsidR="002C5025" w:rsidRDefault="002C5025">
      <w:pPr>
        <w:pStyle w:val="BodyText"/>
        <w:kinsoku w:val="0"/>
        <w:overflowPunct w:val="0"/>
        <w:spacing w:before="80" w:line="265" w:lineRule="exact"/>
        <w:ind w:left="120" w:right="814"/>
        <w:rPr>
          <w:rFonts w:ascii="Garamond" w:hAnsi="Garamond" w:cs="Garamond"/>
          <w:b/>
          <w:bCs/>
          <w:i/>
          <w:iCs/>
          <w:w w:val="90"/>
          <w:sz w:val="24"/>
          <w:szCs w:val="24"/>
        </w:rPr>
      </w:pPr>
      <w:r>
        <w:rPr>
          <w:rFonts w:ascii="Garamond" w:hAnsi="Garamond" w:cs="Garamond"/>
          <w:b/>
          <w:bCs/>
          <w:i/>
          <w:iCs/>
          <w:w w:val="90"/>
          <w:sz w:val="24"/>
          <w:szCs w:val="24"/>
        </w:rPr>
        <w:t>Enrollment assistance</w:t>
      </w:r>
    </w:p>
    <w:p w:rsidR="002C5025" w:rsidRDefault="002C5025">
      <w:pPr>
        <w:pStyle w:val="BodyText"/>
        <w:kinsoku w:val="0"/>
        <w:overflowPunct w:val="0"/>
        <w:ind w:left="118" w:right="43" w:firstLine="1"/>
        <w:rPr>
          <w:rFonts w:ascii="Garamond" w:hAnsi="Garamond" w:cs="Garamond"/>
        </w:rPr>
      </w:pPr>
      <w:r>
        <w:rPr>
          <w:rFonts w:ascii="Garamond" w:hAnsi="Garamond" w:cs="Garamond"/>
        </w:rPr>
        <w:t xml:space="preserve">We appreciate that MassHealth will require </w:t>
      </w:r>
      <w:r>
        <w:rPr>
          <w:rFonts w:ascii="Garamond" w:hAnsi="Garamond" w:cs="Garamond"/>
          <w:spacing w:val="-3"/>
        </w:rPr>
        <w:t xml:space="preserve">ACOs </w:t>
      </w:r>
      <w:r>
        <w:rPr>
          <w:rFonts w:ascii="Garamond" w:hAnsi="Garamond" w:cs="Garamond"/>
        </w:rPr>
        <w:t xml:space="preserve">and </w:t>
      </w:r>
      <w:r>
        <w:rPr>
          <w:rFonts w:ascii="Garamond" w:hAnsi="Garamond" w:cs="Garamond"/>
          <w:spacing w:val="-3"/>
        </w:rPr>
        <w:t xml:space="preserve">MCOs </w:t>
      </w:r>
      <w:r>
        <w:rPr>
          <w:rFonts w:ascii="Garamond" w:hAnsi="Garamond" w:cs="Garamond"/>
        </w:rPr>
        <w:t xml:space="preserve">to make information about their coverage and care options readily accessible and that MassHealth will enhance its own customer service, website, publications, </w:t>
      </w:r>
      <w:r>
        <w:rPr>
          <w:rFonts w:ascii="Garamond" w:hAnsi="Garamond" w:cs="Garamond"/>
          <w:spacing w:val="-3"/>
        </w:rPr>
        <w:t xml:space="preserve">and community </w:t>
      </w:r>
      <w:r>
        <w:rPr>
          <w:rFonts w:ascii="Garamond" w:hAnsi="Garamond" w:cs="Garamond"/>
        </w:rPr>
        <w:t xml:space="preserve">collaborations. The </w:t>
      </w:r>
      <w:r>
        <w:rPr>
          <w:rFonts w:ascii="Garamond" w:hAnsi="Garamond" w:cs="Garamond"/>
          <w:spacing w:val="-3"/>
        </w:rPr>
        <w:t xml:space="preserve">proposed </w:t>
      </w:r>
      <w:r>
        <w:rPr>
          <w:rFonts w:ascii="Garamond" w:hAnsi="Garamond" w:cs="Garamond"/>
        </w:rPr>
        <w:t xml:space="preserve">ACO initiative will make the system more complicated for members, as acknowledged by MassHealth in the Waiver Request. With the changes, </w:t>
      </w:r>
      <w:r>
        <w:rPr>
          <w:rFonts w:ascii="Garamond" w:hAnsi="Garamond" w:cs="Garamond"/>
          <w:spacing w:val="-3"/>
        </w:rPr>
        <w:t xml:space="preserve">the </w:t>
      </w:r>
      <w:r>
        <w:rPr>
          <w:rFonts w:ascii="Garamond" w:hAnsi="Garamond" w:cs="Garamond"/>
        </w:rPr>
        <w:t xml:space="preserve">simple act of choosing one’s primary care setting will </w:t>
      </w:r>
      <w:r>
        <w:rPr>
          <w:rFonts w:ascii="Garamond" w:hAnsi="Garamond" w:cs="Garamond"/>
          <w:spacing w:val="-3"/>
        </w:rPr>
        <w:t xml:space="preserve">bring </w:t>
      </w:r>
      <w:r>
        <w:rPr>
          <w:rFonts w:ascii="Garamond" w:hAnsi="Garamond" w:cs="Garamond"/>
        </w:rPr>
        <w:t xml:space="preserve">with it a host of important and novel consequences. Particularly if the MCO </w:t>
      </w:r>
      <w:r>
        <w:rPr>
          <w:rFonts w:ascii="Garamond" w:hAnsi="Garamond" w:cs="Garamond"/>
          <w:spacing w:val="-3"/>
        </w:rPr>
        <w:t xml:space="preserve">enrollment </w:t>
      </w:r>
      <w:r>
        <w:rPr>
          <w:rFonts w:ascii="Garamond" w:hAnsi="Garamond" w:cs="Garamond"/>
        </w:rPr>
        <w:t xml:space="preserve">restrictions </w:t>
      </w:r>
      <w:r>
        <w:rPr>
          <w:rFonts w:ascii="Garamond" w:hAnsi="Garamond" w:cs="Garamond"/>
          <w:spacing w:val="-2"/>
        </w:rPr>
        <w:t xml:space="preserve">are </w:t>
      </w:r>
      <w:r>
        <w:rPr>
          <w:rFonts w:ascii="Garamond" w:hAnsi="Garamond" w:cs="Garamond"/>
        </w:rPr>
        <w:t>put into place, members will need extensive guidance to determine what plan best meets their needs.</w:t>
      </w:r>
    </w:p>
    <w:p w:rsidR="002C5025" w:rsidRDefault="002C5025">
      <w:pPr>
        <w:pStyle w:val="BodyText"/>
        <w:kinsoku w:val="0"/>
        <w:overflowPunct w:val="0"/>
        <w:spacing w:before="7"/>
        <w:rPr>
          <w:rFonts w:ascii="Garamond" w:hAnsi="Garamond" w:cs="Garamond"/>
          <w:sz w:val="21"/>
          <w:szCs w:val="21"/>
        </w:rPr>
      </w:pPr>
    </w:p>
    <w:p w:rsidR="002C5025" w:rsidRDefault="002C5025">
      <w:pPr>
        <w:pStyle w:val="BodyText"/>
        <w:kinsoku w:val="0"/>
        <w:overflowPunct w:val="0"/>
        <w:spacing w:before="1"/>
        <w:ind w:left="118" w:right="282" w:firstLine="1"/>
        <w:rPr>
          <w:rFonts w:ascii="Garamond" w:hAnsi="Garamond" w:cs="Garamond"/>
        </w:rPr>
      </w:pPr>
      <w:r>
        <w:rPr>
          <w:rFonts w:ascii="Garamond" w:hAnsi="Garamond" w:cs="Garamond"/>
        </w:rPr>
        <w:t>We</w:t>
      </w:r>
      <w:r>
        <w:rPr>
          <w:rFonts w:ascii="Garamond" w:hAnsi="Garamond" w:cs="Garamond"/>
          <w:spacing w:val="-8"/>
        </w:rPr>
        <w:t xml:space="preserve"> </w:t>
      </w:r>
      <w:r>
        <w:rPr>
          <w:rFonts w:ascii="Garamond" w:hAnsi="Garamond" w:cs="Garamond"/>
        </w:rPr>
        <w:t>urge</w:t>
      </w:r>
      <w:r>
        <w:rPr>
          <w:rFonts w:ascii="Garamond" w:hAnsi="Garamond" w:cs="Garamond"/>
          <w:spacing w:val="-10"/>
        </w:rPr>
        <w:t xml:space="preserve"> </w:t>
      </w:r>
      <w:r>
        <w:rPr>
          <w:rFonts w:ascii="Garamond" w:hAnsi="Garamond" w:cs="Garamond"/>
        </w:rPr>
        <w:t>MassHealth</w:t>
      </w:r>
      <w:r>
        <w:rPr>
          <w:rFonts w:ascii="Garamond" w:hAnsi="Garamond" w:cs="Garamond"/>
          <w:spacing w:val="-10"/>
        </w:rPr>
        <w:t xml:space="preserve"> </w:t>
      </w:r>
      <w:r>
        <w:rPr>
          <w:rFonts w:ascii="Garamond" w:hAnsi="Garamond" w:cs="Garamond"/>
        </w:rPr>
        <w:t>to</w:t>
      </w:r>
      <w:r>
        <w:rPr>
          <w:rFonts w:ascii="Garamond" w:hAnsi="Garamond" w:cs="Garamond"/>
          <w:spacing w:val="-10"/>
        </w:rPr>
        <w:t xml:space="preserve"> </w:t>
      </w:r>
      <w:r>
        <w:rPr>
          <w:rFonts w:ascii="Garamond" w:hAnsi="Garamond" w:cs="Garamond"/>
        </w:rPr>
        <w:t>invest</w:t>
      </w:r>
      <w:r>
        <w:rPr>
          <w:rFonts w:ascii="Garamond" w:hAnsi="Garamond" w:cs="Garamond"/>
          <w:spacing w:val="-8"/>
        </w:rPr>
        <w:t xml:space="preserve"> </w:t>
      </w:r>
      <w:r>
        <w:rPr>
          <w:rFonts w:ascii="Garamond" w:hAnsi="Garamond" w:cs="Garamond"/>
        </w:rPr>
        <w:t>in</w:t>
      </w:r>
      <w:r>
        <w:rPr>
          <w:rFonts w:ascii="Garamond" w:hAnsi="Garamond" w:cs="Garamond"/>
          <w:spacing w:val="-12"/>
        </w:rPr>
        <w:t xml:space="preserve"> </w:t>
      </w:r>
      <w:r>
        <w:rPr>
          <w:rFonts w:ascii="Garamond" w:hAnsi="Garamond" w:cs="Garamond"/>
        </w:rPr>
        <w:t>member</w:t>
      </w:r>
      <w:r>
        <w:rPr>
          <w:rFonts w:ascii="Garamond" w:hAnsi="Garamond" w:cs="Garamond"/>
          <w:spacing w:val="-9"/>
        </w:rPr>
        <w:t xml:space="preserve"> </w:t>
      </w:r>
      <w:r>
        <w:rPr>
          <w:rFonts w:ascii="Garamond" w:hAnsi="Garamond" w:cs="Garamond"/>
        </w:rPr>
        <w:t>education</w:t>
      </w:r>
      <w:r>
        <w:rPr>
          <w:rFonts w:ascii="Garamond" w:hAnsi="Garamond" w:cs="Garamond"/>
          <w:spacing w:val="-8"/>
        </w:rPr>
        <w:t xml:space="preserve"> </w:t>
      </w:r>
      <w:r>
        <w:rPr>
          <w:rFonts w:ascii="Garamond" w:hAnsi="Garamond" w:cs="Garamond"/>
        </w:rPr>
        <w:t>and</w:t>
      </w:r>
      <w:r>
        <w:rPr>
          <w:rFonts w:ascii="Garamond" w:hAnsi="Garamond" w:cs="Garamond"/>
          <w:spacing w:val="-12"/>
        </w:rPr>
        <w:t xml:space="preserve"> </w:t>
      </w:r>
      <w:r>
        <w:rPr>
          <w:rFonts w:ascii="Garamond" w:hAnsi="Garamond" w:cs="Garamond"/>
        </w:rPr>
        <w:t>navigation</w:t>
      </w:r>
      <w:r>
        <w:rPr>
          <w:rFonts w:ascii="Garamond" w:hAnsi="Garamond" w:cs="Garamond"/>
          <w:spacing w:val="-8"/>
        </w:rPr>
        <w:t xml:space="preserve"> </w:t>
      </w:r>
      <w:r>
        <w:rPr>
          <w:rFonts w:ascii="Garamond" w:hAnsi="Garamond" w:cs="Garamond"/>
        </w:rPr>
        <w:t>assistance,</w:t>
      </w:r>
      <w:r>
        <w:rPr>
          <w:rFonts w:ascii="Garamond" w:hAnsi="Garamond" w:cs="Garamond"/>
          <w:spacing w:val="-10"/>
        </w:rPr>
        <w:t xml:space="preserve"> </w:t>
      </w:r>
      <w:r>
        <w:rPr>
          <w:rFonts w:ascii="Garamond" w:hAnsi="Garamond" w:cs="Garamond"/>
        </w:rPr>
        <w:t>including</w:t>
      </w:r>
      <w:r>
        <w:rPr>
          <w:rFonts w:ascii="Garamond" w:hAnsi="Garamond" w:cs="Garamond"/>
          <w:spacing w:val="-10"/>
        </w:rPr>
        <w:t xml:space="preserve"> </w:t>
      </w:r>
      <w:r>
        <w:rPr>
          <w:rFonts w:ascii="Garamond" w:hAnsi="Garamond" w:cs="Garamond"/>
        </w:rPr>
        <w:t>implementation</w:t>
      </w:r>
      <w:r>
        <w:rPr>
          <w:rFonts w:ascii="Garamond" w:hAnsi="Garamond" w:cs="Garamond"/>
          <w:spacing w:val="-10"/>
        </w:rPr>
        <w:t xml:space="preserve"> </w:t>
      </w:r>
      <w:r>
        <w:rPr>
          <w:rFonts w:ascii="Garamond" w:hAnsi="Garamond" w:cs="Garamond"/>
          <w:spacing w:val="-3"/>
        </w:rPr>
        <w:t xml:space="preserve">of </w:t>
      </w:r>
      <w:r>
        <w:rPr>
          <w:rFonts w:ascii="Garamond" w:hAnsi="Garamond" w:cs="Garamond"/>
        </w:rPr>
        <w:t>an</w:t>
      </w:r>
      <w:r>
        <w:rPr>
          <w:rFonts w:ascii="Garamond" w:hAnsi="Garamond" w:cs="Garamond"/>
          <w:spacing w:val="-7"/>
        </w:rPr>
        <w:t xml:space="preserve"> </w:t>
      </w:r>
      <w:r>
        <w:rPr>
          <w:rFonts w:ascii="Garamond" w:hAnsi="Garamond" w:cs="Garamond"/>
        </w:rPr>
        <w:t>enhanced</w:t>
      </w:r>
      <w:r>
        <w:rPr>
          <w:rFonts w:ascii="Garamond" w:hAnsi="Garamond" w:cs="Garamond"/>
          <w:spacing w:val="-10"/>
        </w:rPr>
        <w:t xml:space="preserve"> </w:t>
      </w:r>
      <w:r>
        <w:rPr>
          <w:rFonts w:ascii="Garamond" w:hAnsi="Garamond" w:cs="Garamond"/>
        </w:rPr>
        <w:t>community-based</w:t>
      </w:r>
      <w:r>
        <w:rPr>
          <w:rFonts w:ascii="Garamond" w:hAnsi="Garamond" w:cs="Garamond"/>
          <w:spacing w:val="-10"/>
        </w:rPr>
        <w:t xml:space="preserve"> </w:t>
      </w:r>
      <w:r>
        <w:rPr>
          <w:rFonts w:ascii="Garamond" w:hAnsi="Garamond" w:cs="Garamond"/>
        </w:rPr>
        <w:t>public</w:t>
      </w:r>
      <w:r>
        <w:rPr>
          <w:rFonts w:ascii="Garamond" w:hAnsi="Garamond" w:cs="Garamond"/>
          <w:spacing w:val="-10"/>
        </w:rPr>
        <w:t xml:space="preserve"> </w:t>
      </w:r>
      <w:r>
        <w:rPr>
          <w:rFonts w:ascii="Garamond" w:hAnsi="Garamond" w:cs="Garamond"/>
        </w:rPr>
        <w:t>education</w:t>
      </w:r>
      <w:r>
        <w:rPr>
          <w:rFonts w:ascii="Garamond" w:hAnsi="Garamond" w:cs="Garamond"/>
          <w:spacing w:val="-10"/>
        </w:rPr>
        <w:t xml:space="preserve"> </w:t>
      </w:r>
      <w:r>
        <w:rPr>
          <w:rFonts w:ascii="Garamond" w:hAnsi="Garamond" w:cs="Garamond"/>
        </w:rPr>
        <w:t>campaign</w:t>
      </w:r>
      <w:r>
        <w:rPr>
          <w:rFonts w:ascii="Garamond" w:hAnsi="Garamond" w:cs="Garamond"/>
          <w:spacing w:val="-9"/>
        </w:rPr>
        <w:t xml:space="preserve"> </w:t>
      </w:r>
      <w:r>
        <w:rPr>
          <w:rFonts w:ascii="Garamond" w:hAnsi="Garamond" w:cs="Garamond"/>
        </w:rPr>
        <w:t>for</w:t>
      </w:r>
      <w:r>
        <w:rPr>
          <w:rFonts w:ascii="Garamond" w:hAnsi="Garamond" w:cs="Garamond"/>
          <w:spacing w:val="-11"/>
        </w:rPr>
        <w:t xml:space="preserve"> </w:t>
      </w:r>
      <w:r>
        <w:rPr>
          <w:rFonts w:ascii="Garamond" w:hAnsi="Garamond" w:cs="Garamond"/>
        </w:rPr>
        <w:t>members,</w:t>
      </w:r>
      <w:r>
        <w:rPr>
          <w:rFonts w:ascii="Garamond" w:hAnsi="Garamond" w:cs="Garamond"/>
          <w:spacing w:val="-8"/>
        </w:rPr>
        <w:t xml:space="preserve"> </w:t>
      </w:r>
      <w:r>
        <w:rPr>
          <w:rFonts w:ascii="Garamond" w:hAnsi="Garamond" w:cs="Garamond"/>
        </w:rPr>
        <w:t>as</w:t>
      </w:r>
      <w:r>
        <w:rPr>
          <w:rFonts w:ascii="Garamond" w:hAnsi="Garamond" w:cs="Garamond"/>
          <w:spacing w:val="-6"/>
        </w:rPr>
        <w:t xml:space="preserve"> </w:t>
      </w:r>
      <w:r>
        <w:rPr>
          <w:rFonts w:ascii="Garamond" w:hAnsi="Garamond" w:cs="Garamond"/>
        </w:rPr>
        <w:t>well</w:t>
      </w:r>
      <w:r>
        <w:rPr>
          <w:rFonts w:ascii="Garamond" w:hAnsi="Garamond" w:cs="Garamond"/>
          <w:spacing w:val="-7"/>
        </w:rPr>
        <w:t xml:space="preserve"> </w:t>
      </w:r>
      <w:r>
        <w:rPr>
          <w:rFonts w:ascii="Garamond" w:hAnsi="Garamond" w:cs="Garamond"/>
        </w:rPr>
        <w:t>as</w:t>
      </w:r>
      <w:r>
        <w:rPr>
          <w:rFonts w:ascii="Garamond" w:hAnsi="Garamond" w:cs="Garamond"/>
          <w:spacing w:val="-9"/>
        </w:rPr>
        <w:t xml:space="preserve"> </w:t>
      </w:r>
      <w:r>
        <w:rPr>
          <w:rFonts w:ascii="Garamond" w:hAnsi="Garamond" w:cs="Garamond"/>
        </w:rPr>
        <w:t>a</w:t>
      </w:r>
      <w:r>
        <w:rPr>
          <w:rFonts w:ascii="Garamond" w:hAnsi="Garamond" w:cs="Garamond"/>
          <w:spacing w:val="-11"/>
        </w:rPr>
        <w:t xml:space="preserve"> </w:t>
      </w:r>
      <w:r>
        <w:rPr>
          <w:rFonts w:ascii="Garamond" w:hAnsi="Garamond" w:cs="Garamond"/>
        </w:rPr>
        <w:t>major</w:t>
      </w:r>
      <w:r>
        <w:rPr>
          <w:rFonts w:ascii="Garamond" w:hAnsi="Garamond" w:cs="Garamond"/>
          <w:spacing w:val="-6"/>
        </w:rPr>
        <w:t xml:space="preserve"> </w:t>
      </w:r>
      <w:r>
        <w:rPr>
          <w:rFonts w:ascii="Garamond" w:hAnsi="Garamond" w:cs="Garamond"/>
        </w:rPr>
        <w:t>expansion</w:t>
      </w:r>
      <w:r>
        <w:rPr>
          <w:rFonts w:ascii="Garamond" w:hAnsi="Garamond" w:cs="Garamond"/>
          <w:spacing w:val="-7"/>
        </w:rPr>
        <w:t xml:space="preserve"> </w:t>
      </w:r>
      <w:r>
        <w:rPr>
          <w:rFonts w:ascii="Garamond" w:hAnsi="Garamond" w:cs="Garamond"/>
        </w:rPr>
        <w:t>of</w:t>
      </w:r>
      <w:r>
        <w:rPr>
          <w:rFonts w:ascii="Garamond" w:hAnsi="Garamond" w:cs="Garamond"/>
          <w:spacing w:val="-7"/>
        </w:rPr>
        <w:t xml:space="preserve"> </w:t>
      </w:r>
      <w:r>
        <w:rPr>
          <w:rFonts w:ascii="Garamond" w:hAnsi="Garamond" w:cs="Garamond"/>
        </w:rPr>
        <w:t>in- person enrollment assistance. The need is for tailored, personalized, and linguistically and culturally competent assistance both pre- and post-enrollment. Members should have access to individual navigation and</w:t>
      </w:r>
      <w:r>
        <w:rPr>
          <w:rFonts w:ascii="Garamond" w:hAnsi="Garamond" w:cs="Garamond"/>
          <w:spacing w:val="-10"/>
        </w:rPr>
        <w:t xml:space="preserve"> </w:t>
      </w:r>
      <w:r>
        <w:rPr>
          <w:rFonts w:ascii="Garamond" w:hAnsi="Garamond" w:cs="Garamond"/>
        </w:rPr>
        <w:t>assistance</w:t>
      </w:r>
      <w:r>
        <w:rPr>
          <w:rFonts w:ascii="Garamond" w:hAnsi="Garamond" w:cs="Garamond"/>
          <w:spacing w:val="-10"/>
        </w:rPr>
        <w:t xml:space="preserve"> </w:t>
      </w:r>
      <w:r>
        <w:rPr>
          <w:rFonts w:ascii="Garamond" w:hAnsi="Garamond" w:cs="Garamond"/>
        </w:rPr>
        <w:t>with</w:t>
      </w:r>
      <w:r>
        <w:rPr>
          <w:rFonts w:ascii="Garamond" w:hAnsi="Garamond" w:cs="Garamond"/>
          <w:spacing w:val="-8"/>
        </w:rPr>
        <w:t xml:space="preserve"> </w:t>
      </w:r>
      <w:r>
        <w:rPr>
          <w:rFonts w:ascii="Garamond" w:hAnsi="Garamond" w:cs="Garamond"/>
        </w:rPr>
        <w:t>choosing</w:t>
      </w:r>
      <w:r>
        <w:rPr>
          <w:rFonts w:ascii="Garamond" w:hAnsi="Garamond" w:cs="Garamond"/>
          <w:spacing w:val="-12"/>
        </w:rPr>
        <w:t xml:space="preserve"> </w:t>
      </w:r>
      <w:r>
        <w:rPr>
          <w:rFonts w:ascii="Garamond" w:hAnsi="Garamond" w:cs="Garamond"/>
        </w:rPr>
        <w:t>a</w:t>
      </w:r>
      <w:r>
        <w:rPr>
          <w:rFonts w:ascii="Garamond" w:hAnsi="Garamond" w:cs="Garamond"/>
          <w:spacing w:val="-8"/>
        </w:rPr>
        <w:t xml:space="preserve"> </w:t>
      </w:r>
      <w:r>
        <w:rPr>
          <w:rFonts w:ascii="Garamond" w:hAnsi="Garamond" w:cs="Garamond"/>
        </w:rPr>
        <w:t>plan</w:t>
      </w:r>
      <w:r>
        <w:rPr>
          <w:rFonts w:ascii="Garamond" w:hAnsi="Garamond" w:cs="Garamond"/>
          <w:spacing w:val="-10"/>
        </w:rPr>
        <w:t xml:space="preserve"> </w:t>
      </w:r>
      <w:r>
        <w:rPr>
          <w:rFonts w:ascii="Garamond" w:hAnsi="Garamond" w:cs="Garamond"/>
        </w:rPr>
        <w:t>and</w:t>
      </w:r>
      <w:r>
        <w:rPr>
          <w:rFonts w:ascii="Garamond" w:hAnsi="Garamond" w:cs="Garamond"/>
          <w:spacing w:val="-10"/>
        </w:rPr>
        <w:t xml:space="preserve"> </w:t>
      </w:r>
      <w:r>
        <w:rPr>
          <w:rFonts w:ascii="Garamond" w:hAnsi="Garamond" w:cs="Garamond"/>
        </w:rPr>
        <w:t>understanding</w:t>
      </w:r>
      <w:r>
        <w:rPr>
          <w:rFonts w:ascii="Garamond" w:hAnsi="Garamond" w:cs="Garamond"/>
          <w:spacing w:val="-14"/>
        </w:rPr>
        <w:t xml:space="preserve"> </w:t>
      </w:r>
      <w:r>
        <w:rPr>
          <w:rFonts w:ascii="Garamond" w:hAnsi="Garamond" w:cs="Garamond"/>
        </w:rPr>
        <w:t>the</w:t>
      </w:r>
      <w:r>
        <w:rPr>
          <w:rFonts w:ascii="Garamond" w:hAnsi="Garamond" w:cs="Garamond"/>
          <w:spacing w:val="-8"/>
        </w:rPr>
        <w:t xml:space="preserve"> </w:t>
      </w:r>
      <w:r>
        <w:rPr>
          <w:rFonts w:ascii="Garamond" w:hAnsi="Garamond" w:cs="Garamond"/>
        </w:rPr>
        <w:t>coverage</w:t>
      </w:r>
      <w:r>
        <w:rPr>
          <w:rFonts w:ascii="Garamond" w:hAnsi="Garamond" w:cs="Garamond"/>
          <w:spacing w:val="-10"/>
        </w:rPr>
        <w:t xml:space="preserve"> </w:t>
      </w:r>
      <w:r>
        <w:rPr>
          <w:rFonts w:ascii="Garamond" w:hAnsi="Garamond" w:cs="Garamond"/>
        </w:rPr>
        <w:t>and</w:t>
      </w:r>
      <w:r>
        <w:rPr>
          <w:rFonts w:ascii="Garamond" w:hAnsi="Garamond" w:cs="Garamond"/>
          <w:spacing w:val="-8"/>
        </w:rPr>
        <w:t xml:space="preserve"> </w:t>
      </w:r>
      <w:r>
        <w:rPr>
          <w:rFonts w:ascii="Garamond" w:hAnsi="Garamond" w:cs="Garamond"/>
        </w:rPr>
        <w:t>care</w:t>
      </w:r>
      <w:r>
        <w:rPr>
          <w:rFonts w:ascii="Garamond" w:hAnsi="Garamond" w:cs="Garamond"/>
          <w:spacing w:val="-13"/>
        </w:rPr>
        <w:t xml:space="preserve"> </w:t>
      </w:r>
      <w:r>
        <w:rPr>
          <w:rFonts w:ascii="Garamond" w:hAnsi="Garamond" w:cs="Garamond"/>
        </w:rPr>
        <w:t>options</w:t>
      </w:r>
      <w:r>
        <w:rPr>
          <w:rFonts w:ascii="Garamond" w:hAnsi="Garamond" w:cs="Garamond"/>
          <w:spacing w:val="-9"/>
        </w:rPr>
        <w:t xml:space="preserve"> </w:t>
      </w:r>
      <w:r>
        <w:rPr>
          <w:rFonts w:ascii="Garamond" w:hAnsi="Garamond" w:cs="Garamond"/>
        </w:rPr>
        <w:t>available.</w:t>
      </w:r>
    </w:p>
    <w:p w:rsidR="002C5025" w:rsidRDefault="002C5025">
      <w:pPr>
        <w:pStyle w:val="BodyText"/>
        <w:kinsoku w:val="0"/>
        <w:overflowPunct w:val="0"/>
        <w:spacing w:before="8"/>
        <w:rPr>
          <w:rFonts w:ascii="Garamond" w:hAnsi="Garamond" w:cs="Garamond"/>
          <w:sz w:val="21"/>
          <w:szCs w:val="21"/>
        </w:rPr>
      </w:pPr>
    </w:p>
    <w:p w:rsidR="002C5025" w:rsidRDefault="002C5025">
      <w:pPr>
        <w:pStyle w:val="BodyText"/>
        <w:kinsoku w:val="0"/>
        <w:overflowPunct w:val="0"/>
        <w:ind w:left="117" w:right="145" w:firstLine="2"/>
        <w:rPr>
          <w:rFonts w:ascii="Garamond" w:hAnsi="Garamond" w:cs="Garamond"/>
        </w:rPr>
      </w:pPr>
      <w:r>
        <w:rPr>
          <w:rFonts w:ascii="Garamond" w:hAnsi="Garamond" w:cs="Garamond"/>
        </w:rPr>
        <w:t xml:space="preserve">For many consumers, the health insurance eligibility and enrollment process is difficult to navigate. After MassHealth </w:t>
      </w:r>
      <w:r>
        <w:rPr>
          <w:rFonts w:ascii="Garamond" w:hAnsi="Garamond" w:cs="Garamond"/>
          <w:spacing w:val="-3"/>
        </w:rPr>
        <w:t xml:space="preserve">enrollees </w:t>
      </w:r>
      <w:r>
        <w:rPr>
          <w:rFonts w:ascii="Garamond" w:hAnsi="Garamond" w:cs="Garamond"/>
        </w:rPr>
        <w:t xml:space="preserve">receive their program determination, they have the option to enroll into one of several MCOs or the PCC Plan. Based on recent data provided </w:t>
      </w:r>
      <w:r>
        <w:rPr>
          <w:rFonts w:ascii="Garamond" w:hAnsi="Garamond" w:cs="Garamond"/>
          <w:spacing w:val="-3"/>
        </w:rPr>
        <w:t xml:space="preserve">by </w:t>
      </w:r>
      <w:r>
        <w:rPr>
          <w:rFonts w:ascii="Garamond" w:hAnsi="Garamond" w:cs="Garamond"/>
        </w:rPr>
        <w:t xml:space="preserve">MassHealth, </w:t>
      </w:r>
      <w:r>
        <w:rPr>
          <w:rFonts w:ascii="Garamond" w:hAnsi="Garamond" w:cs="Garamond"/>
          <w:spacing w:val="-3"/>
        </w:rPr>
        <w:t xml:space="preserve">approximately </w:t>
      </w:r>
      <w:r>
        <w:rPr>
          <w:rFonts w:ascii="Garamond" w:hAnsi="Garamond" w:cs="Garamond"/>
        </w:rPr>
        <w:t xml:space="preserve">65% of MassHealth members have been auto-assigned to their current plan, while only 35% actively </w:t>
      </w:r>
      <w:r>
        <w:rPr>
          <w:rFonts w:ascii="Garamond" w:hAnsi="Garamond" w:cs="Garamond"/>
          <w:spacing w:val="-3"/>
        </w:rPr>
        <w:t xml:space="preserve">chose </w:t>
      </w:r>
      <w:r>
        <w:rPr>
          <w:rFonts w:ascii="Garamond" w:hAnsi="Garamond" w:cs="Garamond"/>
        </w:rPr>
        <w:t xml:space="preserve">their plan. With auto- assignment, a MassHealth member may not </w:t>
      </w:r>
      <w:r>
        <w:rPr>
          <w:rFonts w:ascii="Garamond" w:hAnsi="Garamond" w:cs="Garamond"/>
          <w:spacing w:val="-3"/>
        </w:rPr>
        <w:t xml:space="preserve">even </w:t>
      </w:r>
      <w:r>
        <w:rPr>
          <w:rFonts w:ascii="Garamond" w:hAnsi="Garamond" w:cs="Garamond"/>
        </w:rPr>
        <w:t xml:space="preserve">realize in which plan she is enrolled and which restrictions apply, until she calls her </w:t>
      </w:r>
      <w:r>
        <w:rPr>
          <w:rFonts w:ascii="Garamond" w:hAnsi="Garamond" w:cs="Garamond"/>
          <w:spacing w:val="-3"/>
        </w:rPr>
        <w:t xml:space="preserve">provider </w:t>
      </w:r>
      <w:r>
        <w:rPr>
          <w:rFonts w:ascii="Garamond" w:hAnsi="Garamond" w:cs="Garamond"/>
        </w:rPr>
        <w:t xml:space="preserve">for an appointment </w:t>
      </w:r>
      <w:r>
        <w:rPr>
          <w:rFonts w:ascii="Garamond" w:hAnsi="Garamond" w:cs="Garamond"/>
          <w:spacing w:val="-3"/>
        </w:rPr>
        <w:t xml:space="preserve">and </w:t>
      </w:r>
      <w:r>
        <w:rPr>
          <w:rFonts w:ascii="Garamond" w:hAnsi="Garamond" w:cs="Garamond"/>
        </w:rPr>
        <w:t xml:space="preserve">finds out her doctor is not in the member’s plan network. The MCO lock-in policy may further </w:t>
      </w:r>
      <w:r>
        <w:rPr>
          <w:rFonts w:ascii="Garamond" w:hAnsi="Garamond" w:cs="Garamond"/>
          <w:spacing w:val="-3"/>
        </w:rPr>
        <w:t xml:space="preserve">exacerbate </w:t>
      </w:r>
      <w:r>
        <w:rPr>
          <w:rFonts w:ascii="Garamond" w:hAnsi="Garamond" w:cs="Garamond"/>
        </w:rPr>
        <w:t xml:space="preserve">this issue. Likely, a </w:t>
      </w:r>
      <w:r>
        <w:rPr>
          <w:rFonts w:ascii="Garamond" w:hAnsi="Garamond" w:cs="Garamond"/>
          <w:spacing w:val="-3"/>
        </w:rPr>
        <w:t xml:space="preserve">certain </w:t>
      </w:r>
      <w:r>
        <w:rPr>
          <w:rFonts w:ascii="Garamond" w:hAnsi="Garamond" w:cs="Garamond"/>
        </w:rPr>
        <w:t xml:space="preserve">percentage of MassHealth members will continue to be auto-assigned </w:t>
      </w:r>
      <w:r>
        <w:rPr>
          <w:rFonts w:ascii="Garamond" w:hAnsi="Garamond" w:cs="Garamond"/>
          <w:spacing w:val="-3"/>
        </w:rPr>
        <w:t xml:space="preserve">into </w:t>
      </w:r>
      <w:r>
        <w:rPr>
          <w:rFonts w:ascii="Garamond" w:hAnsi="Garamond" w:cs="Garamond"/>
        </w:rPr>
        <w:t xml:space="preserve">a plan under the new </w:t>
      </w:r>
      <w:r>
        <w:rPr>
          <w:rFonts w:ascii="Garamond" w:hAnsi="Garamond" w:cs="Garamond"/>
          <w:spacing w:val="-3"/>
        </w:rPr>
        <w:t xml:space="preserve">ACO </w:t>
      </w:r>
      <w:r>
        <w:rPr>
          <w:rFonts w:ascii="Garamond" w:hAnsi="Garamond" w:cs="Garamond"/>
        </w:rPr>
        <w:t>initiative.</w:t>
      </w:r>
    </w:p>
    <w:p w:rsidR="002C5025" w:rsidRDefault="002C5025">
      <w:pPr>
        <w:pStyle w:val="BodyText"/>
        <w:kinsoku w:val="0"/>
        <w:overflowPunct w:val="0"/>
        <w:spacing w:before="10"/>
        <w:rPr>
          <w:rFonts w:ascii="Garamond" w:hAnsi="Garamond" w:cs="Garamond"/>
          <w:sz w:val="21"/>
          <w:szCs w:val="21"/>
        </w:rPr>
      </w:pPr>
    </w:p>
    <w:p w:rsidR="002C5025" w:rsidRDefault="002C5025">
      <w:pPr>
        <w:pStyle w:val="BodyText"/>
        <w:kinsoku w:val="0"/>
        <w:overflowPunct w:val="0"/>
        <w:ind w:left="119" w:right="97"/>
        <w:rPr>
          <w:rFonts w:ascii="Garamond" w:hAnsi="Garamond" w:cs="Garamond"/>
        </w:rPr>
      </w:pPr>
      <w:r>
        <w:rPr>
          <w:rFonts w:ascii="Garamond" w:hAnsi="Garamond" w:cs="Garamond"/>
        </w:rPr>
        <w:t xml:space="preserve">With frequently changing provider networks, many MassHealth members already find it difficult to discern which providers are in an MCO’s network. Based on </w:t>
      </w:r>
      <w:proofErr w:type="spellStart"/>
      <w:r>
        <w:rPr>
          <w:rFonts w:ascii="Garamond" w:hAnsi="Garamond" w:cs="Garamond"/>
        </w:rPr>
        <w:t>HelpLine</w:t>
      </w:r>
      <w:proofErr w:type="spellEnd"/>
      <w:r>
        <w:rPr>
          <w:rFonts w:ascii="Garamond" w:hAnsi="Garamond" w:cs="Garamond"/>
        </w:rPr>
        <w:t xml:space="preserve"> client experiences and feedback from other enrollment assisters, the most important thing most members </w:t>
      </w:r>
      <w:r>
        <w:rPr>
          <w:rFonts w:ascii="Garamond" w:hAnsi="Garamond" w:cs="Garamond"/>
          <w:spacing w:val="-3"/>
        </w:rPr>
        <w:t xml:space="preserve">want </w:t>
      </w:r>
      <w:r>
        <w:rPr>
          <w:rFonts w:ascii="Garamond" w:hAnsi="Garamond" w:cs="Garamond"/>
        </w:rPr>
        <w:t xml:space="preserve">to </w:t>
      </w:r>
      <w:r>
        <w:rPr>
          <w:rFonts w:ascii="Garamond" w:hAnsi="Garamond" w:cs="Garamond"/>
          <w:spacing w:val="-3"/>
        </w:rPr>
        <w:t xml:space="preserve">know </w:t>
      </w:r>
      <w:r>
        <w:rPr>
          <w:rFonts w:ascii="Garamond" w:hAnsi="Garamond" w:cs="Garamond"/>
        </w:rPr>
        <w:t xml:space="preserve">about MassHealth </w:t>
      </w:r>
      <w:r>
        <w:rPr>
          <w:rFonts w:ascii="Garamond" w:hAnsi="Garamond" w:cs="Garamond"/>
          <w:spacing w:val="-3"/>
        </w:rPr>
        <w:t xml:space="preserve">plans </w:t>
      </w:r>
      <w:r>
        <w:rPr>
          <w:rFonts w:ascii="Garamond" w:hAnsi="Garamond" w:cs="Garamond"/>
        </w:rPr>
        <w:t>is: can I</w:t>
      </w:r>
    </w:p>
    <w:p w:rsidR="002C5025" w:rsidRDefault="002C5025">
      <w:pPr>
        <w:pStyle w:val="BodyText"/>
        <w:kinsoku w:val="0"/>
        <w:overflowPunct w:val="0"/>
        <w:rPr>
          <w:rFonts w:ascii="Garamond" w:hAnsi="Garamond" w:cs="Garamond"/>
          <w:sz w:val="20"/>
          <w:szCs w:val="20"/>
        </w:rPr>
      </w:pPr>
    </w:p>
    <w:p w:rsidR="002C5025" w:rsidRDefault="002C5025">
      <w:pPr>
        <w:pStyle w:val="BodyText"/>
        <w:kinsoku w:val="0"/>
        <w:overflowPunct w:val="0"/>
        <w:spacing w:before="2"/>
        <w:rPr>
          <w:rFonts w:ascii="Garamond" w:hAnsi="Garamond" w:cs="Garamond"/>
          <w:sz w:val="23"/>
          <w:szCs w:val="23"/>
        </w:rPr>
      </w:pPr>
    </w:p>
    <w:p w:rsidR="002C5025" w:rsidRDefault="002C5025">
      <w:pPr>
        <w:pStyle w:val="BodyText"/>
        <w:kinsoku w:val="0"/>
        <w:overflowPunct w:val="0"/>
        <w:spacing w:before="80"/>
        <w:ind w:left="595" w:right="471"/>
        <w:jc w:val="center"/>
        <w:rPr>
          <w:rFonts w:ascii="Garamond" w:hAnsi="Garamond" w:cs="Garamond"/>
          <w:sz w:val="20"/>
          <w:szCs w:val="20"/>
        </w:rPr>
      </w:pPr>
      <w:r>
        <w:rPr>
          <w:rFonts w:ascii="Garamond" w:hAnsi="Garamond" w:cs="Garamond"/>
          <w:sz w:val="20"/>
          <w:szCs w:val="20"/>
        </w:rPr>
        <w:t>20</w:t>
      </w:r>
    </w:p>
    <w:p w:rsidR="002C5025" w:rsidRDefault="002C5025">
      <w:pPr>
        <w:pStyle w:val="BodyText"/>
        <w:kinsoku w:val="0"/>
        <w:overflowPunct w:val="0"/>
        <w:spacing w:before="80"/>
        <w:ind w:left="595" w:right="471"/>
        <w:jc w:val="center"/>
        <w:rPr>
          <w:rFonts w:ascii="Garamond" w:hAnsi="Garamond" w:cs="Garamond"/>
          <w:sz w:val="20"/>
          <w:szCs w:val="20"/>
        </w:rPr>
        <w:sectPr w:rsidR="002C5025">
          <w:pgSz w:w="12240" w:h="15840"/>
          <w:pgMar w:top="1380" w:right="1440" w:bottom="280" w:left="1320" w:header="720" w:footer="720" w:gutter="0"/>
          <w:cols w:space="720" w:equalWidth="0">
            <w:col w:w="9480"/>
          </w:cols>
          <w:noEndnote/>
        </w:sectPr>
      </w:pPr>
    </w:p>
    <w:p w:rsidR="002C5025" w:rsidRDefault="002C5025">
      <w:pPr>
        <w:pStyle w:val="BodyText"/>
        <w:kinsoku w:val="0"/>
        <w:overflowPunct w:val="0"/>
        <w:spacing w:before="60"/>
        <w:ind w:left="119" w:right="295"/>
        <w:rPr>
          <w:rFonts w:ascii="Garamond" w:hAnsi="Garamond" w:cs="Garamond"/>
        </w:rPr>
      </w:pPr>
      <w:r>
        <w:rPr>
          <w:rFonts w:ascii="Garamond" w:hAnsi="Garamond" w:cs="Garamond"/>
        </w:rPr>
        <w:lastRenderedPageBreak/>
        <w:t>continue</w:t>
      </w:r>
      <w:r>
        <w:rPr>
          <w:rFonts w:ascii="Garamond" w:hAnsi="Garamond" w:cs="Garamond"/>
          <w:spacing w:val="-10"/>
        </w:rPr>
        <w:t xml:space="preserve"> </w:t>
      </w:r>
      <w:r>
        <w:rPr>
          <w:rFonts w:ascii="Garamond" w:hAnsi="Garamond" w:cs="Garamond"/>
        </w:rPr>
        <w:t>to</w:t>
      </w:r>
      <w:r>
        <w:rPr>
          <w:rFonts w:ascii="Garamond" w:hAnsi="Garamond" w:cs="Garamond"/>
          <w:spacing w:val="-12"/>
        </w:rPr>
        <w:t xml:space="preserve"> </w:t>
      </w:r>
      <w:r>
        <w:rPr>
          <w:rFonts w:ascii="Garamond" w:hAnsi="Garamond" w:cs="Garamond"/>
        </w:rPr>
        <w:t>see</w:t>
      </w:r>
      <w:r>
        <w:rPr>
          <w:rFonts w:ascii="Garamond" w:hAnsi="Garamond" w:cs="Garamond"/>
          <w:spacing w:val="-10"/>
        </w:rPr>
        <w:t xml:space="preserve"> </w:t>
      </w:r>
      <w:r>
        <w:rPr>
          <w:rFonts w:ascii="Garamond" w:hAnsi="Garamond" w:cs="Garamond"/>
        </w:rPr>
        <w:t>my</w:t>
      </w:r>
      <w:r>
        <w:rPr>
          <w:rFonts w:ascii="Garamond" w:hAnsi="Garamond" w:cs="Garamond"/>
          <w:spacing w:val="-10"/>
        </w:rPr>
        <w:t xml:space="preserve"> </w:t>
      </w:r>
      <w:r>
        <w:rPr>
          <w:rFonts w:ascii="Garamond" w:hAnsi="Garamond" w:cs="Garamond"/>
        </w:rPr>
        <w:t>current</w:t>
      </w:r>
      <w:r>
        <w:rPr>
          <w:rFonts w:ascii="Garamond" w:hAnsi="Garamond" w:cs="Garamond"/>
          <w:spacing w:val="-8"/>
        </w:rPr>
        <w:t xml:space="preserve"> </w:t>
      </w:r>
      <w:r>
        <w:rPr>
          <w:rFonts w:ascii="Garamond" w:hAnsi="Garamond" w:cs="Garamond"/>
        </w:rPr>
        <w:t>providers?</w:t>
      </w:r>
      <w:r>
        <w:rPr>
          <w:rFonts w:ascii="Garamond" w:hAnsi="Garamond" w:cs="Garamond"/>
          <w:spacing w:val="-11"/>
        </w:rPr>
        <w:t xml:space="preserve"> </w:t>
      </w:r>
      <w:r>
        <w:rPr>
          <w:rFonts w:ascii="Garamond" w:hAnsi="Garamond" w:cs="Garamond"/>
        </w:rPr>
        <w:t>This</w:t>
      </w:r>
      <w:r>
        <w:rPr>
          <w:rFonts w:ascii="Garamond" w:hAnsi="Garamond" w:cs="Garamond"/>
          <w:spacing w:val="-7"/>
        </w:rPr>
        <w:t xml:space="preserve"> </w:t>
      </w:r>
      <w:r>
        <w:rPr>
          <w:rFonts w:ascii="Garamond" w:hAnsi="Garamond" w:cs="Garamond"/>
        </w:rPr>
        <w:t>includes</w:t>
      </w:r>
      <w:r>
        <w:rPr>
          <w:rFonts w:ascii="Garamond" w:hAnsi="Garamond" w:cs="Garamond"/>
          <w:spacing w:val="-7"/>
        </w:rPr>
        <w:t xml:space="preserve"> </w:t>
      </w:r>
      <w:r>
        <w:rPr>
          <w:rFonts w:ascii="Garamond" w:hAnsi="Garamond" w:cs="Garamond"/>
        </w:rPr>
        <w:t>both</w:t>
      </w:r>
      <w:r>
        <w:rPr>
          <w:rFonts w:ascii="Garamond" w:hAnsi="Garamond" w:cs="Garamond"/>
          <w:spacing w:val="-12"/>
        </w:rPr>
        <w:t xml:space="preserve"> </w:t>
      </w:r>
      <w:r>
        <w:rPr>
          <w:rFonts w:ascii="Garamond" w:hAnsi="Garamond" w:cs="Garamond"/>
        </w:rPr>
        <w:t>primary</w:t>
      </w:r>
      <w:r>
        <w:rPr>
          <w:rFonts w:ascii="Garamond" w:hAnsi="Garamond" w:cs="Garamond"/>
          <w:spacing w:val="-10"/>
        </w:rPr>
        <w:t xml:space="preserve"> </w:t>
      </w:r>
      <w:r>
        <w:rPr>
          <w:rFonts w:ascii="Garamond" w:hAnsi="Garamond" w:cs="Garamond"/>
        </w:rPr>
        <w:t>care</w:t>
      </w:r>
      <w:r>
        <w:rPr>
          <w:rFonts w:ascii="Garamond" w:hAnsi="Garamond" w:cs="Garamond"/>
          <w:spacing w:val="-10"/>
        </w:rPr>
        <w:t xml:space="preserve"> </w:t>
      </w:r>
      <w:r>
        <w:rPr>
          <w:rFonts w:ascii="Garamond" w:hAnsi="Garamond" w:cs="Garamond"/>
        </w:rPr>
        <w:t>and</w:t>
      </w:r>
      <w:r>
        <w:rPr>
          <w:rFonts w:ascii="Garamond" w:hAnsi="Garamond" w:cs="Garamond"/>
          <w:spacing w:val="-12"/>
        </w:rPr>
        <w:t xml:space="preserve"> </w:t>
      </w:r>
      <w:r>
        <w:rPr>
          <w:rFonts w:ascii="Garamond" w:hAnsi="Garamond" w:cs="Garamond"/>
        </w:rPr>
        <w:t>specialist</w:t>
      </w:r>
      <w:r>
        <w:rPr>
          <w:rFonts w:ascii="Garamond" w:hAnsi="Garamond" w:cs="Garamond"/>
          <w:spacing w:val="-10"/>
        </w:rPr>
        <w:t xml:space="preserve"> </w:t>
      </w:r>
      <w:r>
        <w:rPr>
          <w:rFonts w:ascii="Garamond" w:hAnsi="Garamond" w:cs="Garamond"/>
        </w:rPr>
        <w:t>providers,</w:t>
      </w:r>
      <w:r>
        <w:rPr>
          <w:rFonts w:ascii="Garamond" w:hAnsi="Garamond" w:cs="Garamond"/>
          <w:spacing w:val="-9"/>
        </w:rPr>
        <w:t xml:space="preserve"> </w:t>
      </w:r>
      <w:r>
        <w:rPr>
          <w:rFonts w:ascii="Garamond" w:hAnsi="Garamond" w:cs="Garamond"/>
        </w:rPr>
        <w:t>particularly for behavioral health</w:t>
      </w:r>
      <w:r>
        <w:rPr>
          <w:rFonts w:ascii="Garamond" w:hAnsi="Garamond" w:cs="Garamond"/>
          <w:spacing w:val="-39"/>
        </w:rPr>
        <w:t xml:space="preserve"> </w:t>
      </w:r>
      <w:r>
        <w:rPr>
          <w:rFonts w:ascii="Garamond" w:hAnsi="Garamond" w:cs="Garamond"/>
        </w:rPr>
        <w:t>services.</w:t>
      </w:r>
    </w:p>
    <w:p w:rsidR="002C5025" w:rsidRDefault="002C5025">
      <w:pPr>
        <w:pStyle w:val="BodyText"/>
        <w:kinsoku w:val="0"/>
        <w:overflowPunct w:val="0"/>
        <w:spacing w:before="10"/>
        <w:rPr>
          <w:rFonts w:ascii="Garamond" w:hAnsi="Garamond" w:cs="Garamond"/>
          <w:sz w:val="21"/>
          <w:szCs w:val="21"/>
        </w:rPr>
      </w:pPr>
    </w:p>
    <w:p w:rsidR="002C5025" w:rsidRDefault="002C5025">
      <w:pPr>
        <w:pStyle w:val="BodyText"/>
        <w:kinsoku w:val="0"/>
        <w:overflowPunct w:val="0"/>
        <w:ind w:left="118" w:right="208" w:firstLine="1"/>
        <w:rPr>
          <w:rFonts w:ascii="Garamond" w:hAnsi="Garamond" w:cs="Garamond"/>
        </w:rPr>
      </w:pPr>
      <w:r>
        <w:rPr>
          <w:rFonts w:ascii="Garamond" w:hAnsi="Garamond" w:cs="Garamond"/>
        </w:rPr>
        <w:t xml:space="preserve">Consumers should have a seamless enrollment experience, allowing for intentional </w:t>
      </w:r>
      <w:r>
        <w:rPr>
          <w:rFonts w:ascii="Garamond" w:hAnsi="Garamond" w:cs="Garamond"/>
          <w:spacing w:val="-3"/>
        </w:rPr>
        <w:t xml:space="preserve">choice </w:t>
      </w:r>
      <w:r>
        <w:rPr>
          <w:rFonts w:ascii="Garamond" w:hAnsi="Garamond" w:cs="Garamond"/>
        </w:rPr>
        <w:t xml:space="preserve">of managed care plan and PCP at time of enrollment in MassHealth, taking into account non-PCPs </w:t>
      </w:r>
      <w:r>
        <w:rPr>
          <w:rFonts w:ascii="Garamond" w:hAnsi="Garamond" w:cs="Garamond"/>
          <w:spacing w:val="-3"/>
        </w:rPr>
        <w:t xml:space="preserve">who </w:t>
      </w:r>
      <w:r>
        <w:rPr>
          <w:rFonts w:ascii="Garamond" w:hAnsi="Garamond" w:cs="Garamond"/>
        </w:rPr>
        <w:t xml:space="preserve">are important to </w:t>
      </w:r>
      <w:r>
        <w:rPr>
          <w:rFonts w:ascii="Garamond" w:hAnsi="Garamond" w:cs="Garamond"/>
          <w:spacing w:val="-3"/>
        </w:rPr>
        <w:t xml:space="preserve">the </w:t>
      </w:r>
      <w:r>
        <w:rPr>
          <w:rFonts w:ascii="Garamond" w:hAnsi="Garamond" w:cs="Garamond"/>
        </w:rPr>
        <w:t>consumer. With that in mind, we request additional details on MassHealth’s current thinking as to how the new ACO framework will interact with or change the current MassHealth enrollment process:</w:t>
      </w:r>
    </w:p>
    <w:p w:rsidR="002C5025" w:rsidRDefault="002C5025">
      <w:pPr>
        <w:pStyle w:val="BodyText"/>
        <w:kinsoku w:val="0"/>
        <w:overflowPunct w:val="0"/>
        <w:spacing w:before="7"/>
        <w:rPr>
          <w:rFonts w:ascii="Garamond" w:hAnsi="Garamond" w:cs="Garamond"/>
          <w:sz w:val="21"/>
          <w:szCs w:val="21"/>
        </w:rPr>
      </w:pPr>
    </w:p>
    <w:p w:rsidR="002C5025" w:rsidRDefault="002C5025">
      <w:pPr>
        <w:pStyle w:val="ListParagraph"/>
        <w:numPr>
          <w:ilvl w:val="2"/>
          <w:numId w:val="49"/>
        </w:numPr>
        <w:tabs>
          <w:tab w:val="left" w:pos="841"/>
        </w:tabs>
        <w:kinsoku w:val="0"/>
        <w:overflowPunct w:val="0"/>
        <w:spacing w:line="242" w:lineRule="auto"/>
        <w:ind w:left="839" w:right="699" w:hanging="359"/>
        <w:rPr>
          <w:rFonts w:ascii="Garamond" w:hAnsi="Garamond" w:cs="Garamond"/>
          <w:spacing w:val="-3"/>
          <w:sz w:val="22"/>
          <w:szCs w:val="22"/>
        </w:rPr>
      </w:pPr>
      <w:r>
        <w:rPr>
          <w:rFonts w:ascii="Garamond" w:hAnsi="Garamond" w:cs="Garamond"/>
          <w:sz w:val="22"/>
          <w:szCs w:val="22"/>
        </w:rPr>
        <w:t>How</w:t>
      </w:r>
      <w:r>
        <w:rPr>
          <w:rFonts w:ascii="Garamond" w:hAnsi="Garamond" w:cs="Garamond"/>
          <w:spacing w:val="-6"/>
          <w:sz w:val="22"/>
          <w:szCs w:val="22"/>
        </w:rPr>
        <w:t xml:space="preserve"> </w:t>
      </w:r>
      <w:r>
        <w:rPr>
          <w:rFonts w:ascii="Garamond" w:hAnsi="Garamond" w:cs="Garamond"/>
          <w:sz w:val="22"/>
          <w:szCs w:val="22"/>
        </w:rPr>
        <w:t>will</w:t>
      </w:r>
      <w:r>
        <w:rPr>
          <w:rFonts w:ascii="Garamond" w:hAnsi="Garamond" w:cs="Garamond"/>
          <w:spacing w:val="-8"/>
          <w:sz w:val="22"/>
          <w:szCs w:val="22"/>
        </w:rPr>
        <w:t xml:space="preserve"> </w:t>
      </w:r>
      <w:r>
        <w:rPr>
          <w:rFonts w:ascii="Garamond" w:hAnsi="Garamond" w:cs="Garamond"/>
          <w:sz w:val="22"/>
          <w:szCs w:val="22"/>
        </w:rPr>
        <w:t>MassHealth,</w:t>
      </w:r>
      <w:r>
        <w:rPr>
          <w:rFonts w:ascii="Garamond" w:hAnsi="Garamond" w:cs="Garamond"/>
          <w:spacing w:val="-9"/>
          <w:sz w:val="22"/>
          <w:szCs w:val="22"/>
        </w:rPr>
        <w:t xml:space="preserve"> </w:t>
      </w:r>
      <w:r>
        <w:rPr>
          <w:rFonts w:ascii="Garamond" w:hAnsi="Garamond" w:cs="Garamond"/>
          <w:sz w:val="22"/>
          <w:szCs w:val="22"/>
        </w:rPr>
        <w:t>providers</w:t>
      </w:r>
      <w:r>
        <w:rPr>
          <w:rFonts w:ascii="Garamond" w:hAnsi="Garamond" w:cs="Garamond"/>
          <w:spacing w:val="-4"/>
          <w:sz w:val="22"/>
          <w:szCs w:val="22"/>
        </w:rPr>
        <w:t xml:space="preserve"> </w:t>
      </w:r>
      <w:r>
        <w:rPr>
          <w:rFonts w:ascii="Garamond" w:hAnsi="Garamond" w:cs="Garamond"/>
          <w:sz w:val="22"/>
          <w:szCs w:val="22"/>
        </w:rPr>
        <w:t>and</w:t>
      </w:r>
      <w:r>
        <w:rPr>
          <w:rFonts w:ascii="Garamond" w:hAnsi="Garamond" w:cs="Garamond"/>
          <w:spacing w:val="-8"/>
          <w:sz w:val="22"/>
          <w:szCs w:val="22"/>
        </w:rPr>
        <w:t xml:space="preserve"> </w:t>
      </w:r>
      <w:r>
        <w:rPr>
          <w:rFonts w:ascii="Garamond" w:hAnsi="Garamond" w:cs="Garamond"/>
          <w:spacing w:val="-3"/>
          <w:sz w:val="22"/>
          <w:szCs w:val="22"/>
        </w:rPr>
        <w:t>MCOs</w:t>
      </w:r>
      <w:r>
        <w:rPr>
          <w:rFonts w:ascii="Garamond" w:hAnsi="Garamond" w:cs="Garamond"/>
          <w:spacing w:val="-7"/>
          <w:sz w:val="22"/>
          <w:szCs w:val="22"/>
        </w:rPr>
        <w:t xml:space="preserve"> </w:t>
      </w:r>
      <w:r>
        <w:rPr>
          <w:rFonts w:ascii="Garamond" w:hAnsi="Garamond" w:cs="Garamond"/>
          <w:spacing w:val="-2"/>
          <w:sz w:val="22"/>
          <w:szCs w:val="22"/>
        </w:rPr>
        <w:t>communicate</w:t>
      </w:r>
      <w:r>
        <w:rPr>
          <w:rFonts w:ascii="Garamond" w:hAnsi="Garamond" w:cs="Garamond"/>
          <w:spacing w:val="-6"/>
          <w:sz w:val="22"/>
          <w:szCs w:val="22"/>
        </w:rPr>
        <w:t xml:space="preserve"> </w:t>
      </w:r>
      <w:r>
        <w:rPr>
          <w:rFonts w:ascii="Garamond" w:hAnsi="Garamond" w:cs="Garamond"/>
          <w:sz w:val="22"/>
          <w:szCs w:val="22"/>
        </w:rPr>
        <w:t>new</w:t>
      </w:r>
      <w:r>
        <w:rPr>
          <w:rFonts w:ascii="Garamond" w:hAnsi="Garamond" w:cs="Garamond"/>
          <w:spacing w:val="-6"/>
          <w:sz w:val="22"/>
          <w:szCs w:val="22"/>
        </w:rPr>
        <w:t xml:space="preserve"> </w:t>
      </w:r>
      <w:r>
        <w:rPr>
          <w:rFonts w:ascii="Garamond" w:hAnsi="Garamond" w:cs="Garamond"/>
          <w:sz w:val="22"/>
          <w:szCs w:val="22"/>
        </w:rPr>
        <w:t>choices</w:t>
      </w:r>
      <w:r>
        <w:rPr>
          <w:rFonts w:ascii="Garamond" w:hAnsi="Garamond" w:cs="Garamond"/>
          <w:spacing w:val="-4"/>
          <w:sz w:val="22"/>
          <w:szCs w:val="22"/>
        </w:rPr>
        <w:t xml:space="preserve"> </w:t>
      </w:r>
      <w:r>
        <w:rPr>
          <w:rFonts w:ascii="Garamond" w:hAnsi="Garamond" w:cs="Garamond"/>
          <w:sz w:val="22"/>
          <w:szCs w:val="22"/>
        </w:rPr>
        <w:t>to</w:t>
      </w:r>
      <w:r>
        <w:rPr>
          <w:rFonts w:ascii="Garamond" w:hAnsi="Garamond" w:cs="Garamond"/>
          <w:spacing w:val="-9"/>
          <w:sz w:val="22"/>
          <w:szCs w:val="22"/>
        </w:rPr>
        <w:t xml:space="preserve"> </w:t>
      </w:r>
      <w:r>
        <w:rPr>
          <w:rFonts w:ascii="Garamond" w:hAnsi="Garamond" w:cs="Garamond"/>
          <w:sz w:val="22"/>
          <w:szCs w:val="22"/>
        </w:rPr>
        <w:t>members?</w:t>
      </w:r>
      <w:r>
        <w:rPr>
          <w:rFonts w:ascii="Garamond" w:hAnsi="Garamond" w:cs="Garamond"/>
          <w:spacing w:val="-8"/>
          <w:sz w:val="22"/>
          <w:szCs w:val="22"/>
        </w:rPr>
        <w:t xml:space="preserve"> </w:t>
      </w:r>
      <w:r>
        <w:rPr>
          <w:rFonts w:ascii="Garamond" w:hAnsi="Garamond" w:cs="Garamond"/>
          <w:sz w:val="22"/>
          <w:szCs w:val="22"/>
        </w:rPr>
        <w:t>How</w:t>
      </w:r>
      <w:r>
        <w:rPr>
          <w:rFonts w:ascii="Garamond" w:hAnsi="Garamond" w:cs="Garamond"/>
          <w:spacing w:val="-6"/>
          <w:sz w:val="22"/>
          <w:szCs w:val="22"/>
        </w:rPr>
        <w:t xml:space="preserve"> </w:t>
      </w:r>
      <w:r>
        <w:rPr>
          <w:rFonts w:ascii="Garamond" w:hAnsi="Garamond" w:cs="Garamond"/>
          <w:sz w:val="22"/>
          <w:szCs w:val="22"/>
        </w:rPr>
        <w:t>will members know which ACO model to</w:t>
      </w:r>
      <w:r>
        <w:rPr>
          <w:rFonts w:ascii="Garamond" w:hAnsi="Garamond" w:cs="Garamond"/>
          <w:spacing w:val="-26"/>
          <w:sz w:val="22"/>
          <w:szCs w:val="22"/>
        </w:rPr>
        <w:t xml:space="preserve"> </w:t>
      </w:r>
      <w:r>
        <w:rPr>
          <w:rFonts w:ascii="Garamond" w:hAnsi="Garamond" w:cs="Garamond"/>
          <w:spacing w:val="-3"/>
          <w:sz w:val="22"/>
          <w:szCs w:val="22"/>
        </w:rPr>
        <w:t>choose?</w:t>
      </w:r>
    </w:p>
    <w:p w:rsidR="002C5025" w:rsidRDefault="002C5025">
      <w:pPr>
        <w:pStyle w:val="ListParagraph"/>
        <w:numPr>
          <w:ilvl w:val="2"/>
          <w:numId w:val="49"/>
        </w:numPr>
        <w:tabs>
          <w:tab w:val="left" w:pos="840"/>
        </w:tabs>
        <w:kinsoku w:val="0"/>
        <w:overflowPunct w:val="0"/>
        <w:spacing w:before="19" w:line="248" w:lineRule="exact"/>
        <w:ind w:left="840" w:right="279"/>
        <w:jc w:val="both"/>
        <w:rPr>
          <w:rFonts w:ascii="Garamond" w:hAnsi="Garamond" w:cs="Garamond"/>
          <w:sz w:val="22"/>
          <w:szCs w:val="22"/>
        </w:rPr>
      </w:pPr>
      <w:r>
        <w:rPr>
          <w:rFonts w:ascii="Garamond" w:hAnsi="Garamond" w:cs="Garamond"/>
          <w:sz w:val="22"/>
          <w:szCs w:val="22"/>
        </w:rPr>
        <w:t xml:space="preserve">How will the </w:t>
      </w:r>
      <w:r>
        <w:rPr>
          <w:rFonts w:ascii="Garamond" w:hAnsi="Garamond" w:cs="Garamond"/>
          <w:spacing w:val="-3"/>
          <w:sz w:val="22"/>
          <w:szCs w:val="22"/>
        </w:rPr>
        <w:t xml:space="preserve">enrollment </w:t>
      </w:r>
      <w:r>
        <w:rPr>
          <w:rFonts w:ascii="Garamond" w:hAnsi="Garamond" w:cs="Garamond"/>
          <w:sz w:val="22"/>
          <w:szCs w:val="22"/>
        </w:rPr>
        <w:t xml:space="preserve">process change? Currently, MassHealth members choose an MCO or the PCC Plan after they receive their program determination. Will </w:t>
      </w:r>
      <w:r>
        <w:rPr>
          <w:rFonts w:ascii="Garamond" w:hAnsi="Garamond" w:cs="Garamond"/>
          <w:spacing w:val="-3"/>
          <w:sz w:val="22"/>
          <w:szCs w:val="22"/>
        </w:rPr>
        <w:t xml:space="preserve">ACO </w:t>
      </w:r>
      <w:r>
        <w:rPr>
          <w:rFonts w:ascii="Garamond" w:hAnsi="Garamond" w:cs="Garamond"/>
          <w:sz w:val="22"/>
          <w:szCs w:val="22"/>
        </w:rPr>
        <w:t>enrollment also be part of the initial enrollment</w:t>
      </w:r>
      <w:r>
        <w:rPr>
          <w:rFonts w:ascii="Garamond" w:hAnsi="Garamond" w:cs="Garamond"/>
          <w:spacing w:val="-36"/>
          <w:sz w:val="22"/>
          <w:szCs w:val="22"/>
        </w:rPr>
        <w:t xml:space="preserve"> </w:t>
      </w:r>
      <w:r>
        <w:rPr>
          <w:rFonts w:ascii="Garamond" w:hAnsi="Garamond" w:cs="Garamond"/>
          <w:sz w:val="22"/>
          <w:szCs w:val="22"/>
        </w:rPr>
        <w:t>process?</w:t>
      </w:r>
    </w:p>
    <w:p w:rsidR="002C5025" w:rsidRDefault="002C5025">
      <w:pPr>
        <w:pStyle w:val="ListParagraph"/>
        <w:numPr>
          <w:ilvl w:val="2"/>
          <w:numId w:val="49"/>
        </w:numPr>
        <w:tabs>
          <w:tab w:val="left" w:pos="841"/>
        </w:tabs>
        <w:kinsoku w:val="0"/>
        <w:overflowPunct w:val="0"/>
        <w:spacing w:before="7"/>
        <w:ind w:left="841" w:right="135"/>
        <w:rPr>
          <w:rFonts w:ascii="Garamond" w:hAnsi="Garamond" w:cs="Garamond"/>
          <w:spacing w:val="-3"/>
          <w:sz w:val="22"/>
          <w:szCs w:val="22"/>
        </w:rPr>
      </w:pPr>
      <w:r>
        <w:rPr>
          <w:rFonts w:ascii="Garamond" w:hAnsi="Garamond" w:cs="Garamond"/>
          <w:sz w:val="22"/>
          <w:szCs w:val="22"/>
        </w:rPr>
        <w:t xml:space="preserve">Members choose an </w:t>
      </w:r>
      <w:r>
        <w:rPr>
          <w:rFonts w:ascii="Garamond" w:hAnsi="Garamond" w:cs="Garamond"/>
          <w:spacing w:val="-2"/>
          <w:sz w:val="22"/>
          <w:szCs w:val="22"/>
        </w:rPr>
        <w:t xml:space="preserve">ACO </w:t>
      </w:r>
      <w:r>
        <w:rPr>
          <w:rFonts w:ascii="Garamond" w:hAnsi="Garamond" w:cs="Garamond"/>
          <w:sz w:val="22"/>
          <w:szCs w:val="22"/>
        </w:rPr>
        <w:t xml:space="preserve">based on their PCP selection within the MCO network (24). </w:t>
      </w:r>
      <w:r>
        <w:rPr>
          <w:rFonts w:ascii="Garamond" w:hAnsi="Garamond" w:cs="Garamond"/>
          <w:spacing w:val="-3"/>
          <w:sz w:val="22"/>
          <w:szCs w:val="22"/>
        </w:rPr>
        <w:t xml:space="preserve">What </w:t>
      </w:r>
      <w:r>
        <w:rPr>
          <w:rFonts w:ascii="Garamond" w:hAnsi="Garamond" w:cs="Garamond"/>
          <w:sz w:val="22"/>
          <w:szCs w:val="22"/>
        </w:rPr>
        <w:t>happens</w:t>
      </w:r>
      <w:r>
        <w:rPr>
          <w:rFonts w:ascii="Garamond" w:hAnsi="Garamond" w:cs="Garamond"/>
          <w:spacing w:val="-3"/>
          <w:sz w:val="22"/>
          <w:szCs w:val="22"/>
        </w:rPr>
        <w:t xml:space="preserve"> </w:t>
      </w:r>
      <w:r>
        <w:rPr>
          <w:rFonts w:ascii="Garamond" w:hAnsi="Garamond" w:cs="Garamond"/>
          <w:sz w:val="22"/>
          <w:szCs w:val="22"/>
        </w:rPr>
        <w:t>if</w:t>
      </w:r>
      <w:r>
        <w:rPr>
          <w:rFonts w:ascii="Garamond" w:hAnsi="Garamond" w:cs="Garamond"/>
          <w:spacing w:val="-6"/>
          <w:sz w:val="22"/>
          <w:szCs w:val="22"/>
        </w:rPr>
        <w:t xml:space="preserve"> </w:t>
      </w:r>
      <w:r>
        <w:rPr>
          <w:rFonts w:ascii="Garamond" w:hAnsi="Garamond" w:cs="Garamond"/>
          <w:sz w:val="22"/>
          <w:szCs w:val="22"/>
        </w:rPr>
        <w:t>a</w:t>
      </w:r>
      <w:r>
        <w:rPr>
          <w:rFonts w:ascii="Garamond" w:hAnsi="Garamond" w:cs="Garamond"/>
          <w:spacing w:val="-7"/>
          <w:sz w:val="22"/>
          <w:szCs w:val="22"/>
        </w:rPr>
        <w:t xml:space="preserve"> </w:t>
      </w:r>
      <w:r>
        <w:rPr>
          <w:rFonts w:ascii="Garamond" w:hAnsi="Garamond" w:cs="Garamond"/>
          <w:sz w:val="22"/>
          <w:szCs w:val="22"/>
        </w:rPr>
        <w:t>member</w:t>
      </w:r>
      <w:r>
        <w:rPr>
          <w:rFonts w:ascii="Garamond" w:hAnsi="Garamond" w:cs="Garamond"/>
          <w:spacing w:val="-7"/>
          <w:sz w:val="22"/>
          <w:szCs w:val="22"/>
        </w:rPr>
        <w:t xml:space="preserve"> </w:t>
      </w:r>
      <w:r>
        <w:rPr>
          <w:rFonts w:ascii="Garamond" w:hAnsi="Garamond" w:cs="Garamond"/>
          <w:sz w:val="22"/>
          <w:szCs w:val="22"/>
        </w:rPr>
        <w:t>does</w:t>
      </w:r>
      <w:r>
        <w:rPr>
          <w:rFonts w:ascii="Garamond" w:hAnsi="Garamond" w:cs="Garamond"/>
          <w:spacing w:val="-6"/>
          <w:sz w:val="22"/>
          <w:szCs w:val="22"/>
        </w:rPr>
        <w:t xml:space="preserve"> </w:t>
      </w:r>
      <w:r>
        <w:rPr>
          <w:rFonts w:ascii="Garamond" w:hAnsi="Garamond" w:cs="Garamond"/>
          <w:spacing w:val="-3"/>
          <w:sz w:val="22"/>
          <w:szCs w:val="22"/>
        </w:rPr>
        <w:t>not</w:t>
      </w:r>
      <w:r>
        <w:rPr>
          <w:rFonts w:ascii="Garamond" w:hAnsi="Garamond" w:cs="Garamond"/>
          <w:spacing w:val="-6"/>
          <w:sz w:val="22"/>
          <w:szCs w:val="22"/>
        </w:rPr>
        <w:t xml:space="preserve"> </w:t>
      </w:r>
      <w:r>
        <w:rPr>
          <w:rFonts w:ascii="Garamond" w:hAnsi="Garamond" w:cs="Garamond"/>
          <w:sz w:val="22"/>
          <w:szCs w:val="22"/>
        </w:rPr>
        <w:t>choose</w:t>
      </w:r>
      <w:r>
        <w:rPr>
          <w:rFonts w:ascii="Garamond" w:hAnsi="Garamond" w:cs="Garamond"/>
          <w:spacing w:val="-5"/>
          <w:sz w:val="22"/>
          <w:szCs w:val="22"/>
        </w:rPr>
        <w:t xml:space="preserve"> </w:t>
      </w:r>
      <w:r>
        <w:rPr>
          <w:rFonts w:ascii="Garamond" w:hAnsi="Garamond" w:cs="Garamond"/>
          <w:sz w:val="22"/>
          <w:szCs w:val="22"/>
        </w:rPr>
        <w:t>a</w:t>
      </w:r>
      <w:r>
        <w:rPr>
          <w:rFonts w:ascii="Garamond" w:hAnsi="Garamond" w:cs="Garamond"/>
          <w:spacing w:val="-7"/>
          <w:sz w:val="22"/>
          <w:szCs w:val="22"/>
        </w:rPr>
        <w:t xml:space="preserve"> </w:t>
      </w:r>
      <w:r>
        <w:rPr>
          <w:rFonts w:ascii="Garamond" w:hAnsi="Garamond" w:cs="Garamond"/>
          <w:sz w:val="22"/>
          <w:szCs w:val="22"/>
        </w:rPr>
        <w:t>PCP?</w:t>
      </w:r>
      <w:r>
        <w:rPr>
          <w:rFonts w:ascii="Garamond" w:hAnsi="Garamond" w:cs="Garamond"/>
          <w:spacing w:val="-6"/>
          <w:sz w:val="22"/>
          <w:szCs w:val="22"/>
        </w:rPr>
        <w:t xml:space="preserve"> </w:t>
      </w:r>
      <w:r>
        <w:rPr>
          <w:rFonts w:ascii="Garamond" w:hAnsi="Garamond" w:cs="Garamond"/>
          <w:sz w:val="22"/>
          <w:szCs w:val="22"/>
        </w:rPr>
        <w:t>If</w:t>
      </w:r>
      <w:r>
        <w:rPr>
          <w:rFonts w:ascii="Garamond" w:hAnsi="Garamond" w:cs="Garamond"/>
          <w:spacing w:val="-4"/>
          <w:sz w:val="22"/>
          <w:szCs w:val="22"/>
        </w:rPr>
        <w:t xml:space="preserve"> </w:t>
      </w:r>
      <w:r>
        <w:rPr>
          <w:rFonts w:ascii="Garamond" w:hAnsi="Garamond" w:cs="Garamond"/>
          <w:sz w:val="22"/>
          <w:szCs w:val="22"/>
        </w:rPr>
        <w:t>a</w:t>
      </w:r>
      <w:r>
        <w:rPr>
          <w:rFonts w:ascii="Garamond" w:hAnsi="Garamond" w:cs="Garamond"/>
          <w:spacing w:val="-7"/>
          <w:sz w:val="22"/>
          <w:szCs w:val="22"/>
        </w:rPr>
        <w:t xml:space="preserve"> </w:t>
      </w:r>
      <w:r>
        <w:rPr>
          <w:rFonts w:ascii="Garamond" w:hAnsi="Garamond" w:cs="Garamond"/>
          <w:sz w:val="22"/>
          <w:szCs w:val="22"/>
        </w:rPr>
        <w:t>member</w:t>
      </w:r>
      <w:r>
        <w:rPr>
          <w:rFonts w:ascii="Garamond" w:hAnsi="Garamond" w:cs="Garamond"/>
          <w:spacing w:val="-4"/>
          <w:sz w:val="22"/>
          <w:szCs w:val="22"/>
        </w:rPr>
        <w:t xml:space="preserve"> </w:t>
      </w:r>
      <w:r>
        <w:rPr>
          <w:rFonts w:ascii="Garamond" w:hAnsi="Garamond" w:cs="Garamond"/>
          <w:sz w:val="22"/>
          <w:szCs w:val="22"/>
        </w:rPr>
        <w:t>is</w:t>
      </w:r>
      <w:r>
        <w:rPr>
          <w:rFonts w:ascii="Garamond" w:hAnsi="Garamond" w:cs="Garamond"/>
          <w:spacing w:val="-3"/>
          <w:sz w:val="22"/>
          <w:szCs w:val="22"/>
        </w:rPr>
        <w:t xml:space="preserve"> </w:t>
      </w:r>
      <w:r>
        <w:rPr>
          <w:rFonts w:ascii="Garamond" w:hAnsi="Garamond" w:cs="Garamond"/>
          <w:sz w:val="22"/>
          <w:szCs w:val="22"/>
        </w:rPr>
        <w:t>auto-assigned</w:t>
      </w:r>
      <w:r>
        <w:rPr>
          <w:rFonts w:ascii="Garamond" w:hAnsi="Garamond" w:cs="Garamond"/>
          <w:spacing w:val="-4"/>
          <w:sz w:val="22"/>
          <w:szCs w:val="22"/>
        </w:rPr>
        <w:t xml:space="preserve"> </w:t>
      </w:r>
      <w:r>
        <w:rPr>
          <w:rFonts w:ascii="Garamond" w:hAnsi="Garamond" w:cs="Garamond"/>
          <w:sz w:val="22"/>
          <w:szCs w:val="22"/>
        </w:rPr>
        <w:t>to</w:t>
      </w:r>
      <w:r>
        <w:rPr>
          <w:rFonts w:ascii="Garamond" w:hAnsi="Garamond" w:cs="Garamond"/>
          <w:spacing w:val="-4"/>
          <w:sz w:val="22"/>
          <w:szCs w:val="22"/>
        </w:rPr>
        <w:t xml:space="preserve"> </w:t>
      </w:r>
      <w:r>
        <w:rPr>
          <w:rFonts w:ascii="Garamond" w:hAnsi="Garamond" w:cs="Garamond"/>
          <w:sz w:val="22"/>
          <w:szCs w:val="22"/>
        </w:rPr>
        <w:t>a</w:t>
      </w:r>
      <w:r>
        <w:rPr>
          <w:rFonts w:ascii="Garamond" w:hAnsi="Garamond" w:cs="Garamond"/>
          <w:spacing w:val="-7"/>
          <w:sz w:val="22"/>
          <w:szCs w:val="22"/>
        </w:rPr>
        <w:t xml:space="preserve"> </w:t>
      </w:r>
      <w:r>
        <w:rPr>
          <w:rFonts w:ascii="Garamond" w:hAnsi="Garamond" w:cs="Garamond"/>
          <w:sz w:val="22"/>
          <w:szCs w:val="22"/>
        </w:rPr>
        <w:t>PCP,</w:t>
      </w:r>
      <w:r>
        <w:rPr>
          <w:rFonts w:ascii="Garamond" w:hAnsi="Garamond" w:cs="Garamond"/>
          <w:spacing w:val="-8"/>
          <w:sz w:val="22"/>
          <w:szCs w:val="22"/>
        </w:rPr>
        <w:t xml:space="preserve"> </w:t>
      </w:r>
      <w:r>
        <w:rPr>
          <w:rFonts w:ascii="Garamond" w:hAnsi="Garamond" w:cs="Garamond"/>
          <w:sz w:val="22"/>
          <w:szCs w:val="22"/>
        </w:rPr>
        <w:t>is</w:t>
      </w:r>
      <w:r>
        <w:rPr>
          <w:rFonts w:ascii="Garamond" w:hAnsi="Garamond" w:cs="Garamond"/>
          <w:spacing w:val="-3"/>
          <w:sz w:val="22"/>
          <w:szCs w:val="22"/>
        </w:rPr>
        <w:t xml:space="preserve"> </w:t>
      </w:r>
      <w:r>
        <w:rPr>
          <w:rFonts w:ascii="Garamond" w:hAnsi="Garamond" w:cs="Garamond"/>
          <w:sz w:val="22"/>
          <w:szCs w:val="22"/>
        </w:rPr>
        <w:t>the</w:t>
      </w:r>
      <w:r>
        <w:rPr>
          <w:rFonts w:ascii="Garamond" w:hAnsi="Garamond" w:cs="Garamond"/>
          <w:spacing w:val="-9"/>
          <w:sz w:val="22"/>
          <w:szCs w:val="22"/>
        </w:rPr>
        <w:t xml:space="preserve"> </w:t>
      </w:r>
      <w:r>
        <w:rPr>
          <w:rFonts w:ascii="Garamond" w:hAnsi="Garamond" w:cs="Garamond"/>
          <w:sz w:val="22"/>
          <w:szCs w:val="22"/>
        </w:rPr>
        <w:t>member locked</w:t>
      </w:r>
      <w:r>
        <w:rPr>
          <w:rFonts w:ascii="Garamond" w:hAnsi="Garamond" w:cs="Garamond"/>
          <w:spacing w:val="-5"/>
          <w:sz w:val="22"/>
          <w:szCs w:val="22"/>
        </w:rPr>
        <w:t xml:space="preserve"> </w:t>
      </w:r>
      <w:r>
        <w:rPr>
          <w:rFonts w:ascii="Garamond" w:hAnsi="Garamond" w:cs="Garamond"/>
          <w:sz w:val="22"/>
          <w:szCs w:val="22"/>
        </w:rPr>
        <w:t>into</w:t>
      </w:r>
      <w:r>
        <w:rPr>
          <w:rFonts w:ascii="Garamond" w:hAnsi="Garamond" w:cs="Garamond"/>
          <w:spacing w:val="-6"/>
          <w:sz w:val="22"/>
          <w:szCs w:val="22"/>
        </w:rPr>
        <w:t xml:space="preserve"> </w:t>
      </w:r>
      <w:r>
        <w:rPr>
          <w:rFonts w:ascii="Garamond" w:hAnsi="Garamond" w:cs="Garamond"/>
          <w:sz w:val="22"/>
          <w:szCs w:val="22"/>
        </w:rPr>
        <w:t>this</w:t>
      </w:r>
      <w:r>
        <w:rPr>
          <w:rFonts w:ascii="Garamond" w:hAnsi="Garamond" w:cs="Garamond"/>
          <w:spacing w:val="-8"/>
          <w:sz w:val="22"/>
          <w:szCs w:val="22"/>
        </w:rPr>
        <w:t xml:space="preserve"> </w:t>
      </w:r>
      <w:r>
        <w:rPr>
          <w:rFonts w:ascii="Garamond" w:hAnsi="Garamond" w:cs="Garamond"/>
          <w:sz w:val="22"/>
          <w:szCs w:val="22"/>
        </w:rPr>
        <w:t>PCP</w:t>
      </w:r>
      <w:r>
        <w:rPr>
          <w:rFonts w:ascii="Garamond" w:hAnsi="Garamond" w:cs="Garamond"/>
          <w:spacing w:val="-6"/>
          <w:sz w:val="22"/>
          <w:szCs w:val="22"/>
        </w:rPr>
        <w:t xml:space="preserve"> </w:t>
      </w:r>
      <w:r>
        <w:rPr>
          <w:rFonts w:ascii="Garamond" w:hAnsi="Garamond" w:cs="Garamond"/>
          <w:sz w:val="22"/>
          <w:szCs w:val="22"/>
        </w:rPr>
        <w:t>for</w:t>
      </w:r>
      <w:r>
        <w:rPr>
          <w:rFonts w:ascii="Garamond" w:hAnsi="Garamond" w:cs="Garamond"/>
          <w:spacing w:val="-5"/>
          <w:sz w:val="22"/>
          <w:szCs w:val="22"/>
        </w:rPr>
        <w:t xml:space="preserve"> </w:t>
      </w:r>
      <w:r>
        <w:rPr>
          <w:rFonts w:ascii="Garamond" w:hAnsi="Garamond" w:cs="Garamond"/>
          <w:sz w:val="22"/>
          <w:szCs w:val="22"/>
        </w:rPr>
        <w:t>a</w:t>
      </w:r>
      <w:r>
        <w:rPr>
          <w:rFonts w:ascii="Garamond" w:hAnsi="Garamond" w:cs="Garamond"/>
          <w:spacing w:val="-5"/>
          <w:sz w:val="22"/>
          <w:szCs w:val="22"/>
        </w:rPr>
        <w:t xml:space="preserve"> </w:t>
      </w:r>
      <w:r>
        <w:rPr>
          <w:rFonts w:ascii="Garamond" w:hAnsi="Garamond" w:cs="Garamond"/>
          <w:sz w:val="22"/>
          <w:szCs w:val="22"/>
        </w:rPr>
        <w:t>certain</w:t>
      </w:r>
      <w:r>
        <w:rPr>
          <w:rFonts w:ascii="Garamond" w:hAnsi="Garamond" w:cs="Garamond"/>
          <w:spacing w:val="-5"/>
          <w:sz w:val="22"/>
          <w:szCs w:val="22"/>
        </w:rPr>
        <w:t xml:space="preserve"> </w:t>
      </w:r>
      <w:r>
        <w:rPr>
          <w:rFonts w:ascii="Garamond" w:hAnsi="Garamond" w:cs="Garamond"/>
          <w:spacing w:val="-3"/>
          <w:sz w:val="22"/>
          <w:szCs w:val="22"/>
        </w:rPr>
        <w:t>amount</w:t>
      </w:r>
      <w:r>
        <w:rPr>
          <w:rFonts w:ascii="Garamond" w:hAnsi="Garamond" w:cs="Garamond"/>
          <w:spacing w:val="-6"/>
          <w:sz w:val="22"/>
          <w:szCs w:val="22"/>
        </w:rPr>
        <w:t xml:space="preserve"> </w:t>
      </w:r>
      <w:r>
        <w:rPr>
          <w:rFonts w:ascii="Garamond" w:hAnsi="Garamond" w:cs="Garamond"/>
          <w:sz w:val="22"/>
          <w:szCs w:val="22"/>
        </w:rPr>
        <w:t>of</w:t>
      </w:r>
      <w:r>
        <w:rPr>
          <w:rFonts w:ascii="Garamond" w:hAnsi="Garamond" w:cs="Garamond"/>
          <w:spacing w:val="-8"/>
          <w:sz w:val="22"/>
          <w:szCs w:val="22"/>
        </w:rPr>
        <w:t xml:space="preserve"> </w:t>
      </w:r>
      <w:r>
        <w:rPr>
          <w:rFonts w:ascii="Garamond" w:hAnsi="Garamond" w:cs="Garamond"/>
          <w:sz w:val="22"/>
          <w:szCs w:val="22"/>
        </w:rPr>
        <w:t>time,</w:t>
      </w:r>
      <w:r>
        <w:rPr>
          <w:rFonts w:ascii="Garamond" w:hAnsi="Garamond" w:cs="Garamond"/>
          <w:spacing w:val="-5"/>
          <w:sz w:val="22"/>
          <w:szCs w:val="22"/>
        </w:rPr>
        <w:t xml:space="preserve"> </w:t>
      </w:r>
      <w:r>
        <w:rPr>
          <w:rFonts w:ascii="Garamond" w:hAnsi="Garamond" w:cs="Garamond"/>
          <w:sz w:val="22"/>
          <w:szCs w:val="22"/>
        </w:rPr>
        <w:t>or</w:t>
      </w:r>
      <w:r>
        <w:rPr>
          <w:rFonts w:ascii="Garamond" w:hAnsi="Garamond" w:cs="Garamond"/>
          <w:spacing w:val="-8"/>
          <w:sz w:val="22"/>
          <w:szCs w:val="22"/>
        </w:rPr>
        <w:t xml:space="preserve"> </w:t>
      </w:r>
      <w:r>
        <w:rPr>
          <w:rFonts w:ascii="Garamond" w:hAnsi="Garamond" w:cs="Garamond"/>
          <w:sz w:val="22"/>
          <w:szCs w:val="22"/>
        </w:rPr>
        <w:t>can</w:t>
      </w:r>
      <w:r>
        <w:rPr>
          <w:rFonts w:ascii="Garamond" w:hAnsi="Garamond" w:cs="Garamond"/>
          <w:spacing w:val="-7"/>
          <w:sz w:val="22"/>
          <w:szCs w:val="22"/>
        </w:rPr>
        <w:t xml:space="preserve"> </w:t>
      </w:r>
      <w:r>
        <w:rPr>
          <w:rFonts w:ascii="Garamond" w:hAnsi="Garamond" w:cs="Garamond"/>
          <w:sz w:val="22"/>
          <w:szCs w:val="22"/>
        </w:rPr>
        <w:t>they</w:t>
      </w:r>
      <w:r>
        <w:rPr>
          <w:rFonts w:ascii="Garamond" w:hAnsi="Garamond" w:cs="Garamond"/>
          <w:spacing w:val="-7"/>
          <w:sz w:val="22"/>
          <w:szCs w:val="22"/>
        </w:rPr>
        <w:t xml:space="preserve"> </w:t>
      </w:r>
      <w:r>
        <w:rPr>
          <w:rFonts w:ascii="Garamond" w:hAnsi="Garamond" w:cs="Garamond"/>
          <w:sz w:val="22"/>
          <w:szCs w:val="22"/>
        </w:rPr>
        <w:t>switch?</w:t>
      </w:r>
      <w:r>
        <w:rPr>
          <w:rFonts w:ascii="Garamond" w:hAnsi="Garamond" w:cs="Garamond"/>
          <w:spacing w:val="-4"/>
          <w:sz w:val="22"/>
          <w:szCs w:val="22"/>
        </w:rPr>
        <w:t xml:space="preserve"> </w:t>
      </w:r>
      <w:r>
        <w:rPr>
          <w:rFonts w:ascii="Garamond" w:hAnsi="Garamond" w:cs="Garamond"/>
          <w:sz w:val="22"/>
          <w:szCs w:val="22"/>
        </w:rPr>
        <w:t>How</w:t>
      </w:r>
      <w:r>
        <w:rPr>
          <w:rFonts w:ascii="Garamond" w:hAnsi="Garamond" w:cs="Garamond"/>
          <w:spacing w:val="-4"/>
          <w:sz w:val="22"/>
          <w:szCs w:val="22"/>
        </w:rPr>
        <w:t xml:space="preserve"> </w:t>
      </w:r>
      <w:r>
        <w:rPr>
          <w:rFonts w:ascii="Garamond" w:hAnsi="Garamond" w:cs="Garamond"/>
          <w:sz w:val="22"/>
          <w:szCs w:val="22"/>
        </w:rPr>
        <w:t>will</w:t>
      </w:r>
      <w:r>
        <w:rPr>
          <w:rFonts w:ascii="Garamond" w:hAnsi="Garamond" w:cs="Garamond"/>
          <w:spacing w:val="-7"/>
          <w:sz w:val="22"/>
          <w:szCs w:val="22"/>
        </w:rPr>
        <w:t xml:space="preserve"> </w:t>
      </w:r>
      <w:r>
        <w:rPr>
          <w:rFonts w:ascii="Garamond" w:hAnsi="Garamond" w:cs="Garamond"/>
          <w:sz w:val="22"/>
          <w:szCs w:val="22"/>
        </w:rPr>
        <w:t>the</w:t>
      </w:r>
      <w:r>
        <w:rPr>
          <w:rFonts w:ascii="Garamond" w:hAnsi="Garamond" w:cs="Garamond"/>
          <w:spacing w:val="-7"/>
          <w:sz w:val="22"/>
          <w:szCs w:val="22"/>
        </w:rPr>
        <w:t xml:space="preserve"> </w:t>
      </w:r>
      <w:r>
        <w:rPr>
          <w:rFonts w:ascii="Garamond" w:hAnsi="Garamond" w:cs="Garamond"/>
          <w:sz w:val="22"/>
          <w:szCs w:val="22"/>
        </w:rPr>
        <w:t>selection</w:t>
      </w:r>
      <w:r>
        <w:rPr>
          <w:rFonts w:ascii="Garamond" w:hAnsi="Garamond" w:cs="Garamond"/>
          <w:spacing w:val="-7"/>
          <w:sz w:val="22"/>
          <w:szCs w:val="22"/>
        </w:rPr>
        <w:t xml:space="preserve"> </w:t>
      </w:r>
      <w:r>
        <w:rPr>
          <w:rFonts w:ascii="Garamond" w:hAnsi="Garamond" w:cs="Garamond"/>
          <w:sz w:val="22"/>
          <w:szCs w:val="22"/>
        </w:rPr>
        <w:t>process account</w:t>
      </w:r>
      <w:r>
        <w:rPr>
          <w:rFonts w:ascii="Garamond" w:hAnsi="Garamond" w:cs="Garamond"/>
          <w:spacing w:val="-8"/>
          <w:sz w:val="22"/>
          <w:szCs w:val="22"/>
        </w:rPr>
        <w:t xml:space="preserve"> </w:t>
      </w:r>
      <w:r>
        <w:rPr>
          <w:rFonts w:ascii="Garamond" w:hAnsi="Garamond" w:cs="Garamond"/>
          <w:sz w:val="22"/>
          <w:szCs w:val="22"/>
        </w:rPr>
        <w:t>for</w:t>
      </w:r>
      <w:r>
        <w:rPr>
          <w:rFonts w:ascii="Garamond" w:hAnsi="Garamond" w:cs="Garamond"/>
          <w:spacing w:val="-8"/>
          <w:sz w:val="22"/>
          <w:szCs w:val="22"/>
        </w:rPr>
        <w:t xml:space="preserve"> </w:t>
      </w:r>
      <w:r>
        <w:rPr>
          <w:rFonts w:ascii="Garamond" w:hAnsi="Garamond" w:cs="Garamond"/>
          <w:sz w:val="22"/>
          <w:szCs w:val="22"/>
        </w:rPr>
        <w:t>non-PCPs</w:t>
      </w:r>
      <w:r>
        <w:rPr>
          <w:rFonts w:ascii="Garamond" w:hAnsi="Garamond" w:cs="Garamond"/>
          <w:spacing w:val="-5"/>
          <w:sz w:val="22"/>
          <w:szCs w:val="22"/>
        </w:rPr>
        <w:t xml:space="preserve"> </w:t>
      </w:r>
      <w:r>
        <w:rPr>
          <w:rFonts w:ascii="Garamond" w:hAnsi="Garamond" w:cs="Garamond"/>
          <w:sz w:val="22"/>
          <w:szCs w:val="22"/>
        </w:rPr>
        <w:t>who</w:t>
      </w:r>
      <w:r>
        <w:rPr>
          <w:rFonts w:ascii="Garamond" w:hAnsi="Garamond" w:cs="Garamond"/>
          <w:spacing w:val="-9"/>
          <w:sz w:val="22"/>
          <w:szCs w:val="22"/>
        </w:rPr>
        <w:t xml:space="preserve"> </w:t>
      </w:r>
      <w:r>
        <w:rPr>
          <w:rFonts w:ascii="Garamond" w:hAnsi="Garamond" w:cs="Garamond"/>
          <w:sz w:val="22"/>
          <w:szCs w:val="22"/>
        </w:rPr>
        <w:t>are</w:t>
      </w:r>
      <w:r>
        <w:rPr>
          <w:rFonts w:ascii="Garamond" w:hAnsi="Garamond" w:cs="Garamond"/>
          <w:spacing w:val="-9"/>
          <w:sz w:val="22"/>
          <w:szCs w:val="22"/>
        </w:rPr>
        <w:t xml:space="preserve"> </w:t>
      </w:r>
      <w:r>
        <w:rPr>
          <w:rFonts w:ascii="Garamond" w:hAnsi="Garamond" w:cs="Garamond"/>
          <w:sz w:val="22"/>
          <w:szCs w:val="22"/>
        </w:rPr>
        <w:t>equally</w:t>
      </w:r>
      <w:r>
        <w:rPr>
          <w:rFonts w:ascii="Garamond" w:hAnsi="Garamond" w:cs="Garamond"/>
          <w:spacing w:val="-9"/>
          <w:sz w:val="22"/>
          <w:szCs w:val="22"/>
        </w:rPr>
        <w:t xml:space="preserve"> </w:t>
      </w:r>
      <w:r>
        <w:rPr>
          <w:rFonts w:ascii="Garamond" w:hAnsi="Garamond" w:cs="Garamond"/>
          <w:sz w:val="22"/>
          <w:szCs w:val="22"/>
        </w:rPr>
        <w:t>important</w:t>
      </w:r>
      <w:r>
        <w:rPr>
          <w:rFonts w:ascii="Garamond" w:hAnsi="Garamond" w:cs="Garamond"/>
          <w:spacing w:val="-6"/>
          <w:sz w:val="22"/>
          <w:szCs w:val="22"/>
        </w:rPr>
        <w:t xml:space="preserve"> </w:t>
      </w:r>
      <w:r>
        <w:rPr>
          <w:rFonts w:ascii="Garamond" w:hAnsi="Garamond" w:cs="Garamond"/>
          <w:sz w:val="22"/>
          <w:szCs w:val="22"/>
        </w:rPr>
        <w:t>to</w:t>
      </w:r>
      <w:r>
        <w:rPr>
          <w:rFonts w:ascii="Garamond" w:hAnsi="Garamond" w:cs="Garamond"/>
          <w:spacing w:val="-6"/>
          <w:sz w:val="22"/>
          <w:szCs w:val="22"/>
        </w:rPr>
        <w:t xml:space="preserve"> </w:t>
      </w:r>
      <w:r>
        <w:rPr>
          <w:rFonts w:ascii="Garamond" w:hAnsi="Garamond" w:cs="Garamond"/>
          <w:sz w:val="22"/>
          <w:szCs w:val="22"/>
        </w:rPr>
        <w:t>the</w:t>
      </w:r>
      <w:r>
        <w:rPr>
          <w:rFonts w:ascii="Garamond" w:hAnsi="Garamond" w:cs="Garamond"/>
          <w:spacing w:val="-14"/>
          <w:sz w:val="22"/>
          <w:szCs w:val="22"/>
        </w:rPr>
        <w:t xml:space="preserve"> </w:t>
      </w:r>
      <w:r>
        <w:rPr>
          <w:rFonts w:ascii="Garamond" w:hAnsi="Garamond" w:cs="Garamond"/>
          <w:sz w:val="22"/>
          <w:szCs w:val="22"/>
        </w:rPr>
        <w:t>member’s</w:t>
      </w:r>
      <w:r>
        <w:rPr>
          <w:rFonts w:ascii="Garamond" w:hAnsi="Garamond" w:cs="Garamond"/>
          <w:spacing w:val="-8"/>
          <w:sz w:val="22"/>
          <w:szCs w:val="22"/>
        </w:rPr>
        <w:t xml:space="preserve"> </w:t>
      </w:r>
      <w:r>
        <w:rPr>
          <w:rFonts w:ascii="Garamond" w:hAnsi="Garamond" w:cs="Garamond"/>
          <w:spacing w:val="-3"/>
          <w:sz w:val="22"/>
          <w:szCs w:val="22"/>
        </w:rPr>
        <w:t>care?</w:t>
      </w:r>
    </w:p>
    <w:p w:rsidR="002C5025" w:rsidRDefault="002C5025">
      <w:pPr>
        <w:pStyle w:val="ListParagraph"/>
        <w:numPr>
          <w:ilvl w:val="2"/>
          <w:numId w:val="49"/>
        </w:numPr>
        <w:tabs>
          <w:tab w:val="left" w:pos="841"/>
        </w:tabs>
        <w:kinsoku w:val="0"/>
        <w:overflowPunct w:val="0"/>
        <w:spacing w:line="242" w:lineRule="auto"/>
        <w:ind w:left="840" w:right="288" w:hanging="360"/>
        <w:rPr>
          <w:rFonts w:ascii="Garamond" w:hAnsi="Garamond" w:cs="Garamond"/>
          <w:sz w:val="22"/>
          <w:szCs w:val="22"/>
        </w:rPr>
      </w:pPr>
      <w:r>
        <w:rPr>
          <w:rFonts w:ascii="Garamond" w:hAnsi="Garamond" w:cs="Garamond"/>
          <w:sz w:val="22"/>
          <w:szCs w:val="22"/>
        </w:rPr>
        <w:t>Does</w:t>
      </w:r>
      <w:r>
        <w:rPr>
          <w:rFonts w:ascii="Garamond" w:hAnsi="Garamond" w:cs="Garamond"/>
          <w:spacing w:val="-8"/>
          <w:sz w:val="22"/>
          <w:szCs w:val="22"/>
        </w:rPr>
        <w:t xml:space="preserve"> </w:t>
      </w:r>
      <w:r>
        <w:rPr>
          <w:rFonts w:ascii="Garamond" w:hAnsi="Garamond" w:cs="Garamond"/>
          <w:sz w:val="22"/>
          <w:szCs w:val="22"/>
        </w:rPr>
        <w:t>MassHealth</w:t>
      </w:r>
      <w:r>
        <w:rPr>
          <w:rFonts w:ascii="Garamond" w:hAnsi="Garamond" w:cs="Garamond"/>
          <w:spacing w:val="-5"/>
          <w:sz w:val="22"/>
          <w:szCs w:val="22"/>
        </w:rPr>
        <w:t xml:space="preserve"> </w:t>
      </w:r>
      <w:r>
        <w:rPr>
          <w:rFonts w:ascii="Garamond" w:hAnsi="Garamond" w:cs="Garamond"/>
          <w:sz w:val="22"/>
          <w:szCs w:val="22"/>
        </w:rPr>
        <w:t>envision</w:t>
      </w:r>
      <w:r>
        <w:rPr>
          <w:rFonts w:ascii="Garamond" w:hAnsi="Garamond" w:cs="Garamond"/>
          <w:spacing w:val="-5"/>
          <w:sz w:val="22"/>
          <w:szCs w:val="22"/>
        </w:rPr>
        <w:t xml:space="preserve"> </w:t>
      </w:r>
      <w:r>
        <w:rPr>
          <w:rFonts w:ascii="Garamond" w:hAnsi="Garamond" w:cs="Garamond"/>
          <w:spacing w:val="-3"/>
          <w:sz w:val="22"/>
          <w:szCs w:val="22"/>
        </w:rPr>
        <w:t>an</w:t>
      </w:r>
      <w:r>
        <w:rPr>
          <w:rFonts w:ascii="Garamond" w:hAnsi="Garamond" w:cs="Garamond"/>
          <w:spacing w:val="-8"/>
          <w:sz w:val="22"/>
          <w:szCs w:val="22"/>
        </w:rPr>
        <w:t xml:space="preserve"> </w:t>
      </w:r>
      <w:r>
        <w:rPr>
          <w:rFonts w:ascii="Garamond" w:hAnsi="Garamond" w:cs="Garamond"/>
          <w:sz w:val="22"/>
          <w:szCs w:val="22"/>
        </w:rPr>
        <w:t>ACO</w:t>
      </w:r>
      <w:r>
        <w:rPr>
          <w:rFonts w:ascii="Garamond" w:hAnsi="Garamond" w:cs="Garamond"/>
          <w:spacing w:val="-7"/>
          <w:sz w:val="22"/>
          <w:szCs w:val="22"/>
        </w:rPr>
        <w:t xml:space="preserve"> </w:t>
      </w:r>
      <w:r>
        <w:rPr>
          <w:rFonts w:ascii="Garamond" w:hAnsi="Garamond" w:cs="Garamond"/>
          <w:sz w:val="22"/>
          <w:szCs w:val="22"/>
        </w:rPr>
        <w:t>open</w:t>
      </w:r>
      <w:r>
        <w:rPr>
          <w:rFonts w:ascii="Garamond" w:hAnsi="Garamond" w:cs="Garamond"/>
          <w:spacing w:val="-5"/>
          <w:sz w:val="22"/>
          <w:szCs w:val="22"/>
        </w:rPr>
        <w:t xml:space="preserve"> </w:t>
      </w:r>
      <w:r>
        <w:rPr>
          <w:rFonts w:ascii="Garamond" w:hAnsi="Garamond" w:cs="Garamond"/>
          <w:sz w:val="22"/>
          <w:szCs w:val="22"/>
        </w:rPr>
        <w:t>enrollment</w:t>
      </w:r>
      <w:r>
        <w:rPr>
          <w:rFonts w:ascii="Garamond" w:hAnsi="Garamond" w:cs="Garamond"/>
          <w:spacing w:val="-9"/>
          <w:sz w:val="22"/>
          <w:szCs w:val="22"/>
        </w:rPr>
        <w:t xml:space="preserve"> </w:t>
      </w:r>
      <w:r>
        <w:rPr>
          <w:rFonts w:ascii="Garamond" w:hAnsi="Garamond" w:cs="Garamond"/>
          <w:sz w:val="22"/>
          <w:szCs w:val="22"/>
        </w:rPr>
        <w:t>period,</w:t>
      </w:r>
      <w:r>
        <w:rPr>
          <w:rFonts w:ascii="Garamond" w:hAnsi="Garamond" w:cs="Garamond"/>
          <w:spacing w:val="-6"/>
          <w:sz w:val="22"/>
          <w:szCs w:val="22"/>
        </w:rPr>
        <w:t xml:space="preserve"> </w:t>
      </w:r>
      <w:r>
        <w:rPr>
          <w:rFonts w:ascii="Garamond" w:hAnsi="Garamond" w:cs="Garamond"/>
          <w:sz w:val="22"/>
          <w:szCs w:val="22"/>
        </w:rPr>
        <w:t>along</w:t>
      </w:r>
      <w:r>
        <w:rPr>
          <w:rFonts w:ascii="Garamond" w:hAnsi="Garamond" w:cs="Garamond"/>
          <w:spacing w:val="-8"/>
          <w:sz w:val="22"/>
          <w:szCs w:val="22"/>
        </w:rPr>
        <w:t xml:space="preserve"> </w:t>
      </w:r>
      <w:r>
        <w:rPr>
          <w:rFonts w:ascii="Garamond" w:hAnsi="Garamond" w:cs="Garamond"/>
          <w:sz w:val="22"/>
          <w:szCs w:val="22"/>
        </w:rPr>
        <w:t>with</w:t>
      </w:r>
      <w:r>
        <w:rPr>
          <w:rFonts w:ascii="Garamond" w:hAnsi="Garamond" w:cs="Garamond"/>
          <w:spacing w:val="-7"/>
          <w:sz w:val="22"/>
          <w:szCs w:val="22"/>
        </w:rPr>
        <w:t xml:space="preserve"> </w:t>
      </w:r>
      <w:r>
        <w:rPr>
          <w:rFonts w:ascii="Garamond" w:hAnsi="Garamond" w:cs="Garamond"/>
          <w:sz w:val="22"/>
          <w:szCs w:val="22"/>
        </w:rPr>
        <w:t>the</w:t>
      </w:r>
      <w:r>
        <w:rPr>
          <w:rFonts w:ascii="Garamond" w:hAnsi="Garamond" w:cs="Garamond"/>
          <w:spacing w:val="-8"/>
          <w:sz w:val="22"/>
          <w:szCs w:val="22"/>
        </w:rPr>
        <w:t xml:space="preserve"> </w:t>
      </w:r>
      <w:r>
        <w:rPr>
          <w:rFonts w:ascii="Garamond" w:hAnsi="Garamond" w:cs="Garamond"/>
          <w:sz w:val="22"/>
          <w:szCs w:val="22"/>
        </w:rPr>
        <w:t>MCO</w:t>
      </w:r>
      <w:r>
        <w:rPr>
          <w:rFonts w:ascii="Garamond" w:hAnsi="Garamond" w:cs="Garamond"/>
          <w:spacing w:val="-7"/>
          <w:sz w:val="22"/>
          <w:szCs w:val="22"/>
        </w:rPr>
        <w:t xml:space="preserve"> </w:t>
      </w:r>
      <w:r>
        <w:rPr>
          <w:rFonts w:ascii="Garamond" w:hAnsi="Garamond" w:cs="Garamond"/>
          <w:spacing w:val="-3"/>
          <w:sz w:val="22"/>
          <w:szCs w:val="22"/>
        </w:rPr>
        <w:t>open</w:t>
      </w:r>
      <w:r>
        <w:rPr>
          <w:rFonts w:ascii="Garamond" w:hAnsi="Garamond" w:cs="Garamond"/>
          <w:spacing w:val="-8"/>
          <w:sz w:val="22"/>
          <w:szCs w:val="22"/>
        </w:rPr>
        <w:t xml:space="preserve"> </w:t>
      </w:r>
      <w:r>
        <w:rPr>
          <w:rFonts w:ascii="Garamond" w:hAnsi="Garamond" w:cs="Garamond"/>
          <w:spacing w:val="-3"/>
          <w:sz w:val="22"/>
          <w:szCs w:val="22"/>
        </w:rPr>
        <w:t xml:space="preserve">enrollment </w:t>
      </w:r>
      <w:r>
        <w:rPr>
          <w:rFonts w:ascii="Garamond" w:hAnsi="Garamond" w:cs="Garamond"/>
          <w:sz w:val="22"/>
          <w:szCs w:val="22"/>
        </w:rPr>
        <w:t>period,</w:t>
      </w:r>
      <w:r>
        <w:rPr>
          <w:rFonts w:ascii="Garamond" w:hAnsi="Garamond" w:cs="Garamond"/>
          <w:spacing w:val="-7"/>
          <w:sz w:val="22"/>
          <w:szCs w:val="22"/>
        </w:rPr>
        <w:t xml:space="preserve"> </w:t>
      </w:r>
      <w:r>
        <w:rPr>
          <w:rFonts w:ascii="Garamond" w:hAnsi="Garamond" w:cs="Garamond"/>
          <w:sz w:val="22"/>
          <w:szCs w:val="22"/>
        </w:rPr>
        <w:t>particularly</w:t>
      </w:r>
      <w:r>
        <w:rPr>
          <w:rFonts w:ascii="Garamond" w:hAnsi="Garamond" w:cs="Garamond"/>
          <w:spacing w:val="-7"/>
          <w:sz w:val="22"/>
          <w:szCs w:val="22"/>
        </w:rPr>
        <w:t xml:space="preserve"> </w:t>
      </w:r>
      <w:r>
        <w:rPr>
          <w:rFonts w:ascii="Garamond" w:hAnsi="Garamond" w:cs="Garamond"/>
          <w:sz w:val="22"/>
          <w:szCs w:val="22"/>
        </w:rPr>
        <w:t>for</w:t>
      </w:r>
      <w:r>
        <w:rPr>
          <w:rFonts w:ascii="Garamond" w:hAnsi="Garamond" w:cs="Garamond"/>
          <w:spacing w:val="-3"/>
          <w:sz w:val="22"/>
          <w:szCs w:val="22"/>
        </w:rPr>
        <w:t xml:space="preserve"> Model</w:t>
      </w:r>
      <w:r>
        <w:rPr>
          <w:rFonts w:ascii="Garamond" w:hAnsi="Garamond" w:cs="Garamond"/>
          <w:spacing w:val="-7"/>
          <w:sz w:val="22"/>
          <w:szCs w:val="22"/>
        </w:rPr>
        <w:t xml:space="preserve"> </w:t>
      </w:r>
      <w:r>
        <w:rPr>
          <w:rFonts w:ascii="Garamond" w:hAnsi="Garamond" w:cs="Garamond"/>
          <w:sz w:val="22"/>
          <w:szCs w:val="22"/>
        </w:rPr>
        <w:t>A</w:t>
      </w:r>
      <w:r>
        <w:rPr>
          <w:rFonts w:ascii="Garamond" w:hAnsi="Garamond" w:cs="Garamond"/>
          <w:spacing w:val="-5"/>
          <w:sz w:val="22"/>
          <w:szCs w:val="22"/>
        </w:rPr>
        <w:t xml:space="preserve"> </w:t>
      </w:r>
      <w:r>
        <w:rPr>
          <w:rFonts w:ascii="Garamond" w:hAnsi="Garamond" w:cs="Garamond"/>
          <w:sz w:val="22"/>
          <w:szCs w:val="22"/>
        </w:rPr>
        <w:t>and</w:t>
      </w:r>
      <w:r>
        <w:rPr>
          <w:rFonts w:ascii="Garamond" w:hAnsi="Garamond" w:cs="Garamond"/>
          <w:spacing w:val="-4"/>
          <w:sz w:val="22"/>
          <w:szCs w:val="22"/>
        </w:rPr>
        <w:t xml:space="preserve"> </w:t>
      </w:r>
      <w:r>
        <w:rPr>
          <w:rFonts w:ascii="Garamond" w:hAnsi="Garamond" w:cs="Garamond"/>
          <w:sz w:val="22"/>
          <w:szCs w:val="22"/>
        </w:rPr>
        <w:t>B</w:t>
      </w:r>
      <w:r>
        <w:rPr>
          <w:rFonts w:ascii="Garamond" w:hAnsi="Garamond" w:cs="Garamond"/>
          <w:spacing w:val="-3"/>
          <w:sz w:val="22"/>
          <w:szCs w:val="22"/>
        </w:rPr>
        <w:t xml:space="preserve"> ACOs? </w:t>
      </w:r>
      <w:r>
        <w:rPr>
          <w:rFonts w:ascii="Garamond" w:hAnsi="Garamond" w:cs="Garamond"/>
          <w:sz w:val="22"/>
          <w:szCs w:val="22"/>
        </w:rPr>
        <w:t>How</w:t>
      </w:r>
      <w:r>
        <w:rPr>
          <w:rFonts w:ascii="Garamond" w:hAnsi="Garamond" w:cs="Garamond"/>
          <w:spacing w:val="-7"/>
          <w:sz w:val="22"/>
          <w:szCs w:val="22"/>
        </w:rPr>
        <w:t xml:space="preserve"> </w:t>
      </w:r>
      <w:r>
        <w:rPr>
          <w:rFonts w:ascii="Garamond" w:hAnsi="Garamond" w:cs="Garamond"/>
          <w:sz w:val="22"/>
          <w:szCs w:val="22"/>
        </w:rPr>
        <w:t>will</w:t>
      </w:r>
      <w:r>
        <w:rPr>
          <w:rFonts w:ascii="Garamond" w:hAnsi="Garamond" w:cs="Garamond"/>
          <w:spacing w:val="-7"/>
          <w:sz w:val="22"/>
          <w:szCs w:val="22"/>
        </w:rPr>
        <w:t xml:space="preserve"> </w:t>
      </w:r>
      <w:r>
        <w:rPr>
          <w:rFonts w:ascii="Garamond" w:hAnsi="Garamond" w:cs="Garamond"/>
          <w:sz w:val="22"/>
          <w:szCs w:val="22"/>
        </w:rPr>
        <w:t>this</w:t>
      </w:r>
      <w:r>
        <w:rPr>
          <w:rFonts w:ascii="Garamond" w:hAnsi="Garamond" w:cs="Garamond"/>
          <w:spacing w:val="-3"/>
          <w:sz w:val="22"/>
          <w:szCs w:val="22"/>
        </w:rPr>
        <w:t xml:space="preserve"> </w:t>
      </w:r>
      <w:r>
        <w:rPr>
          <w:rFonts w:ascii="Garamond" w:hAnsi="Garamond" w:cs="Garamond"/>
          <w:sz w:val="22"/>
          <w:szCs w:val="22"/>
        </w:rPr>
        <w:t>work</w:t>
      </w:r>
      <w:r>
        <w:rPr>
          <w:rFonts w:ascii="Garamond" w:hAnsi="Garamond" w:cs="Garamond"/>
          <w:spacing w:val="-7"/>
          <w:sz w:val="22"/>
          <w:szCs w:val="22"/>
        </w:rPr>
        <w:t xml:space="preserve"> </w:t>
      </w:r>
      <w:r>
        <w:rPr>
          <w:rFonts w:ascii="Garamond" w:hAnsi="Garamond" w:cs="Garamond"/>
          <w:sz w:val="22"/>
          <w:szCs w:val="22"/>
        </w:rPr>
        <w:t>for</w:t>
      </w:r>
      <w:r>
        <w:rPr>
          <w:rFonts w:ascii="Garamond" w:hAnsi="Garamond" w:cs="Garamond"/>
          <w:spacing w:val="-6"/>
          <w:sz w:val="22"/>
          <w:szCs w:val="22"/>
        </w:rPr>
        <w:t xml:space="preserve"> </w:t>
      </w:r>
      <w:r>
        <w:rPr>
          <w:rFonts w:ascii="Garamond" w:hAnsi="Garamond" w:cs="Garamond"/>
          <w:sz w:val="22"/>
          <w:szCs w:val="22"/>
        </w:rPr>
        <w:t>PCC</w:t>
      </w:r>
      <w:r>
        <w:rPr>
          <w:rFonts w:ascii="Garamond" w:hAnsi="Garamond" w:cs="Garamond"/>
          <w:spacing w:val="-13"/>
          <w:sz w:val="22"/>
          <w:szCs w:val="22"/>
        </w:rPr>
        <w:t xml:space="preserve"> </w:t>
      </w:r>
      <w:r>
        <w:rPr>
          <w:rFonts w:ascii="Garamond" w:hAnsi="Garamond" w:cs="Garamond"/>
          <w:sz w:val="22"/>
          <w:szCs w:val="22"/>
        </w:rPr>
        <w:t>Plan</w:t>
      </w:r>
      <w:r>
        <w:rPr>
          <w:rFonts w:ascii="Garamond" w:hAnsi="Garamond" w:cs="Garamond"/>
          <w:spacing w:val="-6"/>
          <w:sz w:val="22"/>
          <w:szCs w:val="22"/>
        </w:rPr>
        <w:t xml:space="preserve"> </w:t>
      </w:r>
      <w:r>
        <w:rPr>
          <w:rFonts w:ascii="Garamond" w:hAnsi="Garamond" w:cs="Garamond"/>
          <w:sz w:val="22"/>
          <w:szCs w:val="22"/>
        </w:rPr>
        <w:t>members?</w:t>
      </w:r>
    </w:p>
    <w:p w:rsidR="002C5025" w:rsidRDefault="002C5025">
      <w:pPr>
        <w:pStyle w:val="ListParagraph"/>
        <w:numPr>
          <w:ilvl w:val="2"/>
          <w:numId w:val="49"/>
        </w:numPr>
        <w:tabs>
          <w:tab w:val="left" w:pos="841"/>
        </w:tabs>
        <w:kinsoku w:val="0"/>
        <w:overflowPunct w:val="0"/>
        <w:spacing w:before="19" w:line="248" w:lineRule="exact"/>
        <w:ind w:left="840" w:right="189" w:hanging="360"/>
        <w:jc w:val="both"/>
        <w:rPr>
          <w:rFonts w:ascii="Garamond" w:hAnsi="Garamond" w:cs="Garamond"/>
          <w:sz w:val="22"/>
          <w:szCs w:val="22"/>
        </w:rPr>
      </w:pPr>
      <w:r>
        <w:rPr>
          <w:rFonts w:ascii="Garamond" w:hAnsi="Garamond" w:cs="Garamond"/>
          <w:sz w:val="22"/>
          <w:szCs w:val="22"/>
        </w:rPr>
        <w:t xml:space="preserve">How does MassHealth plan to train </w:t>
      </w:r>
      <w:r>
        <w:rPr>
          <w:rFonts w:ascii="Garamond" w:hAnsi="Garamond" w:cs="Garamond"/>
          <w:spacing w:val="-3"/>
          <w:sz w:val="22"/>
          <w:szCs w:val="22"/>
        </w:rPr>
        <w:t xml:space="preserve">and </w:t>
      </w:r>
      <w:r>
        <w:rPr>
          <w:rFonts w:ascii="Garamond" w:hAnsi="Garamond" w:cs="Garamond"/>
          <w:sz w:val="22"/>
          <w:szCs w:val="22"/>
        </w:rPr>
        <w:t xml:space="preserve">support its Customer Service Team (CST) and MassHealth Enrollment </w:t>
      </w:r>
      <w:r>
        <w:rPr>
          <w:rFonts w:ascii="Garamond" w:hAnsi="Garamond" w:cs="Garamond"/>
          <w:spacing w:val="-3"/>
          <w:sz w:val="22"/>
          <w:szCs w:val="22"/>
        </w:rPr>
        <w:t xml:space="preserve">Centers </w:t>
      </w:r>
      <w:r>
        <w:rPr>
          <w:rFonts w:ascii="Garamond" w:hAnsi="Garamond" w:cs="Garamond"/>
          <w:sz w:val="22"/>
          <w:szCs w:val="22"/>
        </w:rPr>
        <w:t>(MECs), as well as enrollment assisters in the community, to help people make these</w:t>
      </w:r>
      <w:r>
        <w:rPr>
          <w:rFonts w:ascii="Garamond" w:hAnsi="Garamond" w:cs="Garamond"/>
          <w:spacing w:val="-14"/>
          <w:sz w:val="22"/>
          <w:szCs w:val="22"/>
        </w:rPr>
        <w:t xml:space="preserve"> </w:t>
      </w:r>
      <w:r>
        <w:rPr>
          <w:rFonts w:ascii="Garamond" w:hAnsi="Garamond" w:cs="Garamond"/>
          <w:sz w:val="22"/>
          <w:szCs w:val="22"/>
        </w:rPr>
        <w:t>decisions?</w:t>
      </w:r>
    </w:p>
    <w:p w:rsidR="002C5025" w:rsidRDefault="002C5025">
      <w:pPr>
        <w:pStyle w:val="ListParagraph"/>
        <w:numPr>
          <w:ilvl w:val="2"/>
          <w:numId w:val="49"/>
        </w:numPr>
        <w:tabs>
          <w:tab w:val="left" w:pos="841"/>
        </w:tabs>
        <w:kinsoku w:val="0"/>
        <w:overflowPunct w:val="0"/>
        <w:spacing w:before="7" w:line="242" w:lineRule="auto"/>
        <w:ind w:left="840" w:right="494" w:hanging="360"/>
        <w:rPr>
          <w:rFonts w:ascii="Garamond" w:hAnsi="Garamond" w:cs="Garamond"/>
          <w:sz w:val="22"/>
          <w:szCs w:val="22"/>
        </w:rPr>
      </w:pPr>
      <w:r>
        <w:rPr>
          <w:rFonts w:ascii="Garamond" w:hAnsi="Garamond" w:cs="Garamond"/>
          <w:spacing w:val="-3"/>
          <w:sz w:val="22"/>
          <w:szCs w:val="22"/>
        </w:rPr>
        <w:t>Can</w:t>
      </w:r>
      <w:r>
        <w:rPr>
          <w:rFonts w:ascii="Garamond" w:hAnsi="Garamond" w:cs="Garamond"/>
          <w:spacing w:val="-12"/>
          <w:sz w:val="22"/>
          <w:szCs w:val="22"/>
        </w:rPr>
        <w:t xml:space="preserve"> </w:t>
      </w:r>
      <w:r>
        <w:rPr>
          <w:rFonts w:ascii="Garamond" w:hAnsi="Garamond" w:cs="Garamond"/>
          <w:sz w:val="22"/>
          <w:szCs w:val="22"/>
        </w:rPr>
        <w:t>provider-based</w:t>
      </w:r>
      <w:r>
        <w:rPr>
          <w:rFonts w:ascii="Garamond" w:hAnsi="Garamond" w:cs="Garamond"/>
          <w:spacing w:val="-12"/>
          <w:sz w:val="22"/>
          <w:szCs w:val="22"/>
        </w:rPr>
        <w:t xml:space="preserve"> </w:t>
      </w:r>
      <w:r>
        <w:rPr>
          <w:rFonts w:ascii="Garamond" w:hAnsi="Garamond" w:cs="Garamond"/>
          <w:sz w:val="22"/>
          <w:szCs w:val="22"/>
        </w:rPr>
        <w:t>certified</w:t>
      </w:r>
      <w:r>
        <w:rPr>
          <w:rFonts w:ascii="Garamond" w:hAnsi="Garamond" w:cs="Garamond"/>
          <w:spacing w:val="-13"/>
          <w:sz w:val="22"/>
          <w:szCs w:val="22"/>
        </w:rPr>
        <w:t xml:space="preserve"> </w:t>
      </w:r>
      <w:r>
        <w:rPr>
          <w:rFonts w:ascii="Garamond" w:hAnsi="Garamond" w:cs="Garamond"/>
          <w:sz w:val="22"/>
          <w:szCs w:val="22"/>
        </w:rPr>
        <w:t>application</w:t>
      </w:r>
      <w:r>
        <w:rPr>
          <w:rFonts w:ascii="Garamond" w:hAnsi="Garamond" w:cs="Garamond"/>
          <w:spacing w:val="-9"/>
          <w:sz w:val="22"/>
          <w:szCs w:val="22"/>
        </w:rPr>
        <w:t xml:space="preserve"> </w:t>
      </w:r>
      <w:r>
        <w:rPr>
          <w:rFonts w:ascii="Garamond" w:hAnsi="Garamond" w:cs="Garamond"/>
          <w:sz w:val="22"/>
          <w:szCs w:val="22"/>
        </w:rPr>
        <w:t>counselors</w:t>
      </w:r>
      <w:r>
        <w:rPr>
          <w:rFonts w:ascii="Garamond" w:hAnsi="Garamond" w:cs="Garamond"/>
          <w:spacing w:val="-8"/>
          <w:sz w:val="22"/>
          <w:szCs w:val="22"/>
        </w:rPr>
        <w:t xml:space="preserve"> </w:t>
      </w:r>
      <w:r>
        <w:rPr>
          <w:rFonts w:ascii="Garamond" w:hAnsi="Garamond" w:cs="Garamond"/>
          <w:sz w:val="22"/>
          <w:szCs w:val="22"/>
        </w:rPr>
        <w:t>and</w:t>
      </w:r>
      <w:r>
        <w:rPr>
          <w:rFonts w:ascii="Garamond" w:hAnsi="Garamond" w:cs="Garamond"/>
          <w:spacing w:val="-13"/>
          <w:sz w:val="22"/>
          <w:szCs w:val="22"/>
        </w:rPr>
        <w:t xml:space="preserve"> </w:t>
      </w:r>
      <w:r>
        <w:rPr>
          <w:rFonts w:ascii="Garamond" w:hAnsi="Garamond" w:cs="Garamond"/>
          <w:sz w:val="22"/>
          <w:szCs w:val="22"/>
        </w:rPr>
        <w:t>Navigators</w:t>
      </w:r>
      <w:r>
        <w:rPr>
          <w:rFonts w:ascii="Garamond" w:hAnsi="Garamond" w:cs="Garamond"/>
          <w:spacing w:val="-8"/>
          <w:sz w:val="22"/>
          <w:szCs w:val="22"/>
        </w:rPr>
        <w:t xml:space="preserve"> </w:t>
      </w:r>
      <w:r>
        <w:rPr>
          <w:rFonts w:ascii="Garamond" w:hAnsi="Garamond" w:cs="Garamond"/>
          <w:spacing w:val="-3"/>
          <w:sz w:val="22"/>
          <w:szCs w:val="22"/>
        </w:rPr>
        <w:t>assist</w:t>
      </w:r>
      <w:r>
        <w:rPr>
          <w:rFonts w:ascii="Garamond" w:hAnsi="Garamond" w:cs="Garamond"/>
          <w:spacing w:val="-11"/>
          <w:sz w:val="22"/>
          <w:szCs w:val="22"/>
        </w:rPr>
        <w:t xml:space="preserve"> </w:t>
      </w:r>
      <w:r>
        <w:rPr>
          <w:rFonts w:ascii="Garamond" w:hAnsi="Garamond" w:cs="Garamond"/>
          <w:sz w:val="22"/>
          <w:szCs w:val="22"/>
        </w:rPr>
        <w:t>enrollees</w:t>
      </w:r>
      <w:r>
        <w:rPr>
          <w:rFonts w:ascii="Garamond" w:hAnsi="Garamond" w:cs="Garamond"/>
          <w:spacing w:val="-8"/>
          <w:sz w:val="22"/>
          <w:szCs w:val="22"/>
        </w:rPr>
        <w:t xml:space="preserve"> </w:t>
      </w:r>
      <w:r>
        <w:rPr>
          <w:rFonts w:ascii="Garamond" w:hAnsi="Garamond" w:cs="Garamond"/>
          <w:sz w:val="22"/>
          <w:szCs w:val="22"/>
        </w:rPr>
        <w:t>with</w:t>
      </w:r>
      <w:r>
        <w:rPr>
          <w:rFonts w:ascii="Garamond" w:hAnsi="Garamond" w:cs="Garamond"/>
          <w:spacing w:val="-9"/>
          <w:sz w:val="22"/>
          <w:szCs w:val="22"/>
        </w:rPr>
        <w:t xml:space="preserve"> </w:t>
      </w:r>
      <w:r>
        <w:rPr>
          <w:rFonts w:ascii="Garamond" w:hAnsi="Garamond" w:cs="Garamond"/>
          <w:sz w:val="22"/>
          <w:szCs w:val="22"/>
        </w:rPr>
        <w:t>selecting options</w:t>
      </w:r>
      <w:r>
        <w:rPr>
          <w:rFonts w:ascii="Garamond" w:hAnsi="Garamond" w:cs="Garamond"/>
          <w:spacing w:val="-5"/>
          <w:sz w:val="22"/>
          <w:szCs w:val="22"/>
        </w:rPr>
        <w:t xml:space="preserve"> </w:t>
      </w:r>
      <w:r>
        <w:rPr>
          <w:rFonts w:ascii="Garamond" w:hAnsi="Garamond" w:cs="Garamond"/>
          <w:sz w:val="22"/>
          <w:szCs w:val="22"/>
        </w:rPr>
        <w:t>if</w:t>
      </w:r>
      <w:r>
        <w:rPr>
          <w:rFonts w:ascii="Garamond" w:hAnsi="Garamond" w:cs="Garamond"/>
          <w:spacing w:val="-7"/>
          <w:sz w:val="22"/>
          <w:szCs w:val="22"/>
        </w:rPr>
        <w:t xml:space="preserve"> </w:t>
      </w:r>
      <w:r>
        <w:rPr>
          <w:rFonts w:ascii="Garamond" w:hAnsi="Garamond" w:cs="Garamond"/>
          <w:sz w:val="22"/>
          <w:szCs w:val="22"/>
        </w:rPr>
        <w:t>they</w:t>
      </w:r>
      <w:r>
        <w:rPr>
          <w:rFonts w:ascii="Garamond" w:hAnsi="Garamond" w:cs="Garamond"/>
          <w:spacing w:val="-9"/>
          <w:sz w:val="22"/>
          <w:szCs w:val="22"/>
        </w:rPr>
        <w:t xml:space="preserve"> </w:t>
      </w:r>
      <w:r>
        <w:rPr>
          <w:rFonts w:ascii="Garamond" w:hAnsi="Garamond" w:cs="Garamond"/>
          <w:sz w:val="22"/>
          <w:szCs w:val="22"/>
        </w:rPr>
        <w:t>are</w:t>
      </w:r>
      <w:r>
        <w:rPr>
          <w:rFonts w:ascii="Garamond" w:hAnsi="Garamond" w:cs="Garamond"/>
          <w:spacing w:val="-8"/>
          <w:sz w:val="22"/>
          <w:szCs w:val="22"/>
        </w:rPr>
        <w:t xml:space="preserve"> </w:t>
      </w:r>
      <w:r>
        <w:rPr>
          <w:rFonts w:ascii="Garamond" w:hAnsi="Garamond" w:cs="Garamond"/>
          <w:sz w:val="22"/>
          <w:szCs w:val="22"/>
        </w:rPr>
        <w:t>employees</w:t>
      </w:r>
      <w:r>
        <w:rPr>
          <w:rFonts w:ascii="Garamond" w:hAnsi="Garamond" w:cs="Garamond"/>
          <w:spacing w:val="-5"/>
          <w:sz w:val="22"/>
          <w:szCs w:val="22"/>
        </w:rPr>
        <w:t xml:space="preserve"> </w:t>
      </w:r>
      <w:r>
        <w:rPr>
          <w:rFonts w:ascii="Garamond" w:hAnsi="Garamond" w:cs="Garamond"/>
          <w:sz w:val="22"/>
          <w:szCs w:val="22"/>
        </w:rPr>
        <w:t>of</w:t>
      </w:r>
      <w:r>
        <w:rPr>
          <w:rFonts w:ascii="Garamond" w:hAnsi="Garamond" w:cs="Garamond"/>
          <w:spacing w:val="-7"/>
          <w:sz w:val="22"/>
          <w:szCs w:val="22"/>
        </w:rPr>
        <w:t xml:space="preserve"> </w:t>
      </w:r>
      <w:r>
        <w:rPr>
          <w:rFonts w:ascii="Garamond" w:hAnsi="Garamond" w:cs="Garamond"/>
          <w:sz w:val="22"/>
          <w:szCs w:val="22"/>
        </w:rPr>
        <w:t>an</w:t>
      </w:r>
      <w:r>
        <w:rPr>
          <w:rFonts w:ascii="Garamond" w:hAnsi="Garamond" w:cs="Garamond"/>
          <w:spacing w:val="-5"/>
          <w:sz w:val="22"/>
          <w:szCs w:val="22"/>
        </w:rPr>
        <w:t xml:space="preserve"> </w:t>
      </w:r>
      <w:r>
        <w:rPr>
          <w:rFonts w:ascii="Garamond" w:hAnsi="Garamond" w:cs="Garamond"/>
          <w:spacing w:val="-3"/>
          <w:sz w:val="22"/>
          <w:szCs w:val="22"/>
        </w:rPr>
        <w:t>ACO?</w:t>
      </w:r>
      <w:r>
        <w:rPr>
          <w:rFonts w:ascii="Garamond" w:hAnsi="Garamond" w:cs="Garamond"/>
          <w:spacing w:val="-7"/>
          <w:sz w:val="22"/>
          <w:szCs w:val="22"/>
        </w:rPr>
        <w:t xml:space="preserve"> </w:t>
      </w:r>
      <w:r>
        <w:rPr>
          <w:rFonts w:ascii="Garamond" w:hAnsi="Garamond" w:cs="Garamond"/>
          <w:sz w:val="22"/>
          <w:szCs w:val="22"/>
        </w:rPr>
        <w:t>Would</w:t>
      </w:r>
      <w:r>
        <w:rPr>
          <w:rFonts w:ascii="Garamond" w:hAnsi="Garamond" w:cs="Garamond"/>
          <w:spacing w:val="-10"/>
          <w:sz w:val="22"/>
          <w:szCs w:val="22"/>
        </w:rPr>
        <w:t xml:space="preserve"> </w:t>
      </w:r>
      <w:r>
        <w:rPr>
          <w:rFonts w:ascii="Garamond" w:hAnsi="Garamond" w:cs="Garamond"/>
          <w:sz w:val="22"/>
          <w:szCs w:val="22"/>
        </w:rPr>
        <w:t>this</w:t>
      </w:r>
      <w:r>
        <w:rPr>
          <w:rFonts w:ascii="Garamond" w:hAnsi="Garamond" w:cs="Garamond"/>
          <w:spacing w:val="-5"/>
          <w:sz w:val="22"/>
          <w:szCs w:val="22"/>
        </w:rPr>
        <w:t xml:space="preserve"> </w:t>
      </w:r>
      <w:r>
        <w:rPr>
          <w:rFonts w:ascii="Garamond" w:hAnsi="Garamond" w:cs="Garamond"/>
          <w:sz w:val="22"/>
          <w:szCs w:val="22"/>
        </w:rPr>
        <w:t>be</w:t>
      </w:r>
      <w:r>
        <w:rPr>
          <w:rFonts w:ascii="Garamond" w:hAnsi="Garamond" w:cs="Garamond"/>
          <w:spacing w:val="-11"/>
          <w:sz w:val="22"/>
          <w:szCs w:val="22"/>
        </w:rPr>
        <w:t xml:space="preserve"> </w:t>
      </w:r>
      <w:r>
        <w:rPr>
          <w:rFonts w:ascii="Garamond" w:hAnsi="Garamond" w:cs="Garamond"/>
          <w:sz w:val="22"/>
          <w:szCs w:val="22"/>
        </w:rPr>
        <w:t>considered</w:t>
      </w:r>
      <w:r>
        <w:rPr>
          <w:rFonts w:ascii="Garamond" w:hAnsi="Garamond" w:cs="Garamond"/>
          <w:spacing w:val="-5"/>
          <w:sz w:val="22"/>
          <w:szCs w:val="22"/>
        </w:rPr>
        <w:t xml:space="preserve"> </w:t>
      </w:r>
      <w:r>
        <w:rPr>
          <w:rFonts w:ascii="Garamond" w:hAnsi="Garamond" w:cs="Garamond"/>
          <w:sz w:val="22"/>
          <w:szCs w:val="22"/>
        </w:rPr>
        <w:t>a</w:t>
      </w:r>
      <w:r>
        <w:rPr>
          <w:rFonts w:ascii="Garamond" w:hAnsi="Garamond" w:cs="Garamond"/>
          <w:spacing w:val="-9"/>
          <w:sz w:val="22"/>
          <w:szCs w:val="22"/>
        </w:rPr>
        <w:t xml:space="preserve"> </w:t>
      </w:r>
      <w:r>
        <w:rPr>
          <w:rFonts w:ascii="Garamond" w:hAnsi="Garamond" w:cs="Garamond"/>
          <w:sz w:val="22"/>
          <w:szCs w:val="22"/>
        </w:rPr>
        <w:t>conflict</w:t>
      </w:r>
      <w:r>
        <w:rPr>
          <w:rFonts w:ascii="Garamond" w:hAnsi="Garamond" w:cs="Garamond"/>
          <w:spacing w:val="-5"/>
          <w:sz w:val="22"/>
          <w:szCs w:val="22"/>
        </w:rPr>
        <w:t xml:space="preserve"> </w:t>
      </w:r>
      <w:r>
        <w:rPr>
          <w:rFonts w:ascii="Garamond" w:hAnsi="Garamond" w:cs="Garamond"/>
          <w:sz w:val="22"/>
          <w:szCs w:val="22"/>
        </w:rPr>
        <w:t>of</w:t>
      </w:r>
      <w:r>
        <w:rPr>
          <w:rFonts w:ascii="Garamond" w:hAnsi="Garamond" w:cs="Garamond"/>
          <w:spacing w:val="-9"/>
          <w:sz w:val="22"/>
          <w:szCs w:val="22"/>
        </w:rPr>
        <w:t xml:space="preserve"> </w:t>
      </w:r>
      <w:r>
        <w:rPr>
          <w:rFonts w:ascii="Garamond" w:hAnsi="Garamond" w:cs="Garamond"/>
          <w:sz w:val="22"/>
          <w:szCs w:val="22"/>
        </w:rPr>
        <w:t>interest?</w:t>
      </w:r>
    </w:p>
    <w:p w:rsidR="002C5025" w:rsidRDefault="002C5025">
      <w:pPr>
        <w:pStyle w:val="BodyText"/>
        <w:kinsoku w:val="0"/>
        <w:overflowPunct w:val="0"/>
        <w:spacing w:before="9"/>
        <w:rPr>
          <w:rFonts w:ascii="Garamond" w:hAnsi="Garamond" w:cs="Garamond"/>
          <w:sz w:val="20"/>
          <w:szCs w:val="20"/>
        </w:rPr>
      </w:pPr>
    </w:p>
    <w:p w:rsidR="002C5025" w:rsidRDefault="002C5025">
      <w:pPr>
        <w:pStyle w:val="BodyText"/>
        <w:kinsoku w:val="0"/>
        <w:overflowPunct w:val="0"/>
        <w:spacing w:line="265" w:lineRule="exact"/>
        <w:ind w:left="120" w:right="443"/>
        <w:rPr>
          <w:rFonts w:ascii="Garamond" w:hAnsi="Garamond" w:cs="Garamond"/>
          <w:b/>
          <w:bCs/>
          <w:i/>
          <w:iCs/>
          <w:w w:val="90"/>
          <w:sz w:val="24"/>
          <w:szCs w:val="24"/>
        </w:rPr>
      </w:pPr>
      <w:bookmarkStart w:id="172" w:name="Member_outreach_and_education"/>
      <w:bookmarkEnd w:id="172"/>
      <w:r>
        <w:rPr>
          <w:rFonts w:ascii="Garamond" w:hAnsi="Garamond" w:cs="Garamond"/>
          <w:b/>
          <w:bCs/>
          <w:i/>
          <w:iCs/>
          <w:w w:val="90"/>
          <w:sz w:val="24"/>
          <w:szCs w:val="24"/>
        </w:rPr>
        <w:t>Member outreach and education</w:t>
      </w:r>
    </w:p>
    <w:p w:rsidR="002C5025" w:rsidRDefault="002C5025">
      <w:pPr>
        <w:pStyle w:val="BodyText"/>
        <w:kinsoku w:val="0"/>
        <w:overflowPunct w:val="0"/>
        <w:ind w:left="116" w:right="66" w:firstLine="3"/>
        <w:rPr>
          <w:rFonts w:ascii="Garamond" w:hAnsi="Garamond" w:cs="Garamond"/>
        </w:rPr>
      </w:pPr>
      <w:r>
        <w:rPr>
          <w:rFonts w:ascii="Garamond" w:hAnsi="Garamond" w:cs="Garamond"/>
        </w:rPr>
        <w:t xml:space="preserve">We recommend adding requirements to ensure that all individuals receiving care, or eligible to receive care, through an ACO be fully informed </w:t>
      </w:r>
      <w:r>
        <w:rPr>
          <w:rFonts w:ascii="Garamond" w:hAnsi="Garamond" w:cs="Garamond"/>
          <w:spacing w:val="-3"/>
        </w:rPr>
        <w:t xml:space="preserve">about </w:t>
      </w:r>
      <w:r>
        <w:rPr>
          <w:rFonts w:ascii="Garamond" w:hAnsi="Garamond" w:cs="Garamond"/>
        </w:rPr>
        <w:t xml:space="preserve">what this means for them and what </w:t>
      </w:r>
      <w:r>
        <w:rPr>
          <w:rFonts w:ascii="Garamond" w:hAnsi="Garamond" w:cs="Garamond"/>
          <w:spacing w:val="-3"/>
        </w:rPr>
        <w:t xml:space="preserve">patient </w:t>
      </w:r>
      <w:r>
        <w:rPr>
          <w:rFonts w:ascii="Garamond" w:hAnsi="Garamond" w:cs="Garamond"/>
        </w:rPr>
        <w:t xml:space="preserve">protections are available if necessary. </w:t>
      </w:r>
      <w:r>
        <w:rPr>
          <w:rFonts w:ascii="Garamond" w:hAnsi="Garamond" w:cs="Garamond"/>
          <w:spacing w:val="-3"/>
        </w:rPr>
        <w:t xml:space="preserve">ACOs </w:t>
      </w:r>
      <w:r>
        <w:rPr>
          <w:rFonts w:ascii="Garamond" w:hAnsi="Garamond" w:cs="Garamond"/>
        </w:rPr>
        <w:t xml:space="preserve">should educate their members on </w:t>
      </w:r>
      <w:r>
        <w:rPr>
          <w:rFonts w:ascii="Garamond" w:hAnsi="Garamond" w:cs="Garamond"/>
          <w:spacing w:val="-4"/>
        </w:rPr>
        <w:t xml:space="preserve">what </w:t>
      </w:r>
      <w:r>
        <w:rPr>
          <w:rFonts w:ascii="Garamond" w:hAnsi="Garamond" w:cs="Garamond"/>
        </w:rPr>
        <w:t xml:space="preserve">an ACO is, the benefits </w:t>
      </w:r>
      <w:r>
        <w:rPr>
          <w:rFonts w:ascii="Garamond" w:hAnsi="Garamond" w:cs="Garamond"/>
          <w:spacing w:val="-3"/>
        </w:rPr>
        <w:t xml:space="preserve">and </w:t>
      </w:r>
      <w:r>
        <w:rPr>
          <w:rFonts w:ascii="Garamond" w:hAnsi="Garamond" w:cs="Garamond"/>
        </w:rPr>
        <w:t xml:space="preserve">expectations of care within the </w:t>
      </w:r>
      <w:r>
        <w:rPr>
          <w:rFonts w:ascii="Garamond" w:hAnsi="Garamond" w:cs="Garamond"/>
          <w:spacing w:val="-3"/>
        </w:rPr>
        <w:t xml:space="preserve">ACO, </w:t>
      </w:r>
      <w:r>
        <w:rPr>
          <w:rFonts w:ascii="Garamond" w:hAnsi="Garamond" w:cs="Garamond"/>
        </w:rPr>
        <w:t xml:space="preserve">and the rights and responsibilities that accompany receiving care from an ACO, including the right to receive care from a </w:t>
      </w:r>
      <w:r>
        <w:rPr>
          <w:rFonts w:ascii="Garamond" w:hAnsi="Garamond" w:cs="Garamond"/>
          <w:spacing w:val="-3"/>
        </w:rPr>
        <w:t xml:space="preserve">provider </w:t>
      </w:r>
      <w:r>
        <w:rPr>
          <w:rFonts w:ascii="Garamond" w:hAnsi="Garamond" w:cs="Garamond"/>
        </w:rPr>
        <w:t xml:space="preserve">outside of the ACO, the right to file a grievance or complaint with the ACO, and a user friendly guide about taking these actions. Additional information should include a description of financial incentives for ACO providers </w:t>
      </w:r>
      <w:r>
        <w:rPr>
          <w:rFonts w:ascii="Garamond" w:hAnsi="Garamond" w:cs="Garamond"/>
          <w:spacing w:val="-3"/>
        </w:rPr>
        <w:t xml:space="preserve">and </w:t>
      </w:r>
      <w:r>
        <w:rPr>
          <w:rFonts w:ascii="Garamond" w:hAnsi="Garamond" w:cs="Garamond"/>
        </w:rPr>
        <w:t xml:space="preserve">the ACO as a whole, including incentives to manage the total cost of care and improve quality, definitions of under-service and member selection, </w:t>
      </w:r>
      <w:r>
        <w:rPr>
          <w:rFonts w:ascii="Garamond" w:hAnsi="Garamond" w:cs="Garamond"/>
          <w:spacing w:val="-3"/>
        </w:rPr>
        <w:t xml:space="preserve">and </w:t>
      </w:r>
      <w:r>
        <w:rPr>
          <w:rFonts w:ascii="Garamond" w:hAnsi="Garamond" w:cs="Garamond"/>
        </w:rPr>
        <w:t>how the ACO is monitoring for under-service.</w:t>
      </w:r>
    </w:p>
    <w:p w:rsidR="002C5025" w:rsidRDefault="002C5025">
      <w:pPr>
        <w:pStyle w:val="BodyText"/>
        <w:kinsoku w:val="0"/>
        <w:overflowPunct w:val="0"/>
        <w:spacing w:before="10"/>
        <w:rPr>
          <w:rFonts w:ascii="Garamond" w:hAnsi="Garamond" w:cs="Garamond"/>
          <w:sz w:val="21"/>
          <w:szCs w:val="21"/>
        </w:rPr>
      </w:pPr>
    </w:p>
    <w:p w:rsidR="002C5025" w:rsidRDefault="002C5025">
      <w:pPr>
        <w:pStyle w:val="BodyText"/>
        <w:kinsoku w:val="0"/>
        <w:overflowPunct w:val="0"/>
        <w:ind w:left="118" w:right="112" w:firstLine="1"/>
        <w:rPr>
          <w:rFonts w:ascii="Garamond" w:hAnsi="Garamond" w:cs="Garamond"/>
        </w:rPr>
      </w:pPr>
      <w:r>
        <w:rPr>
          <w:rFonts w:ascii="Garamond" w:hAnsi="Garamond" w:cs="Garamond"/>
        </w:rPr>
        <w:t xml:space="preserve">In the </w:t>
      </w:r>
      <w:r>
        <w:rPr>
          <w:rFonts w:ascii="Garamond" w:hAnsi="Garamond" w:cs="Garamond"/>
          <w:spacing w:val="-3"/>
        </w:rPr>
        <w:t xml:space="preserve">context </w:t>
      </w:r>
      <w:r>
        <w:rPr>
          <w:rFonts w:ascii="Garamond" w:hAnsi="Garamond" w:cs="Garamond"/>
        </w:rPr>
        <w:t xml:space="preserve">of value-based care delivery, individuals should also be informed about the nature of their role in achieving the goals of </w:t>
      </w:r>
      <w:r>
        <w:rPr>
          <w:rFonts w:ascii="Garamond" w:hAnsi="Garamond" w:cs="Garamond"/>
          <w:spacing w:val="-3"/>
        </w:rPr>
        <w:t xml:space="preserve">payment </w:t>
      </w:r>
      <w:r>
        <w:rPr>
          <w:rFonts w:ascii="Garamond" w:hAnsi="Garamond" w:cs="Garamond"/>
        </w:rPr>
        <w:t xml:space="preserve">reform as well as their own health goals. This </w:t>
      </w:r>
      <w:r>
        <w:rPr>
          <w:rFonts w:ascii="Garamond" w:hAnsi="Garamond" w:cs="Garamond"/>
          <w:spacing w:val="-3"/>
        </w:rPr>
        <w:t xml:space="preserve">should </w:t>
      </w:r>
      <w:r>
        <w:rPr>
          <w:rFonts w:ascii="Garamond" w:hAnsi="Garamond" w:cs="Garamond"/>
        </w:rPr>
        <w:t xml:space="preserve">include information about how to work collaboratively with one’s provider, how to evaluate if one is receiving appropriate </w:t>
      </w:r>
      <w:r>
        <w:rPr>
          <w:rFonts w:ascii="Garamond" w:hAnsi="Garamond" w:cs="Garamond"/>
          <w:spacing w:val="-3"/>
        </w:rPr>
        <w:t xml:space="preserve">care, </w:t>
      </w:r>
      <w:r>
        <w:rPr>
          <w:rFonts w:ascii="Garamond" w:hAnsi="Garamond" w:cs="Garamond"/>
        </w:rPr>
        <w:t xml:space="preserve">how to access a second opinion, and what to do if one is concerned about the extent or type </w:t>
      </w:r>
      <w:r>
        <w:rPr>
          <w:rFonts w:ascii="Garamond" w:hAnsi="Garamond" w:cs="Garamond"/>
          <w:spacing w:val="-3"/>
        </w:rPr>
        <w:t xml:space="preserve">of </w:t>
      </w:r>
      <w:r>
        <w:rPr>
          <w:rFonts w:ascii="Garamond" w:hAnsi="Garamond" w:cs="Garamond"/>
        </w:rPr>
        <w:t>care provided.</w:t>
      </w:r>
    </w:p>
    <w:p w:rsidR="002C5025" w:rsidRDefault="002C5025">
      <w:pPr>
        <w:pStyle w:val="BodyText"/>
        <w:kinsoku w:val="0"/>
        <w:overflowPunct w:val="0"/>
        <w:spacing w:before="10"/>
        <w:rPr>
          <w:rFonts w:ascii="Garamond" w:hAnsi="Garamond" w:cs="Garamond"/>
          <w:sz w:val="21"/>
          <w:szCs w:val="21"/>
        </w:rPr>
      </w:pPr>
    </w:p>
    <w:p w:rsidR="002C5025" w:rsidRDefault="002C5025">
      <w:pPr>
        <w:pStyle w:val="BodyText"/>
        <w:kinsoku w:val="0"/>
        <w:overflowPunct w:val="0"/>
        <w:ind w:left="119" w:right="96"/>
        <w:rPr>
          <w:rFonts w:ascii="Garamond" w:hAnsi="Garamond" w:cs="Garamond"/>
        </w:rPr>
      </w:pPr>
      <w:r>
        <w:rPr>
          <w:rFonts w:ascii="Garamond" w:hAnsi="Garamond" w:cs="Garamond"/>
        </w:rPr>
        <w:t xml:space="preserve">Information on </w:t>
      </w:r>
      <w:r>
        <w:rPr>
          <w:rFonts w:ascii="Garamond" w:hAnsi="Garamond" w:cs="Garamond"/>
          <w:spacing w:val="-3"/>
        </w:rPr>
        <w:t xml:space="preserve">ACOs </w:t>
      </w:r>
      <w:r>
        <w:rPr>
          <w:rFonts w:ascii="Garamond" w:hAnsi="Garamond" w:cs="Garamond"/>
        </w:rPr>
        <w:t xml:space="preserve">should be provided in ways that </w:t>
      </w:r>
      <w:r>
        <w:rPr>
          <w:rFonts w:ascii="Garamond" w:hAnsi="Garamond" w:cs="Garamond"/>
          <w:spacing w:val="-2"/>
        </w:rPr>
        <w:t xml:space="preserve">are </w:t>
      </w:r>
      <w:r>
        <w:rPr>
          <w:rFonts w:ascii="Garamond" w:hAnsi="Garamond" w:cs="Garamond"/>
        </w:rPr>
        <w:t xml:space="preserve">accessible and understandable to all members. While these messages should be tailored as appropriate to provide information relevant to specific </w:t>
      </w:r>
      <w:r>
        <w:rPr>
          <w:rFonts w:ascii="Garamond" w:hAnsi="Garamond" w:cs="Garamond"/>
          <w:spacing w:val="-4"/>
        </w:rPr>
        <w:t xml:space="preserve">groups </w:t>
      </w:r>
      <w:r>
        <w:rPr>
          <w:rFonts w:ascii="Garamond" w:hAnsi="Garamond" w:cs="Garamond"/>
        </w:rPr>
        <w:t>(e.g.</w:t>
      </w:r>
      <w:r>
        <w:rPr>
          <w:rFonts w:ascii="Garamond" w:hAnsi="Garamond" w:cs="Garamond"/>
          <w:spacing w:val="-7"/>
        </w:rPr>
        <w:t xml:space="preserve"> </w:t>
      </w:r>
      <w:r>
        <w:rPr>
          <w:rFonts w:ascii="Garamond" w:hAnsi="Garamond" w:cs="Garamond"/>
        </w:rPr>
        <w:t>enrollees</w:t>
      </w:r>
      <w:r>
        <w:rPr>
          <w:rFonts w:ascii="Garamond" w:hAnsi="Garamond" w:cs="Garamond"/>
          <w:spacing w:val="-4"/>
        </w:rPr>
        <w:t xml:space="preserve"> </w:t>
      </w:r>
      <w:r>
        <w:rPr>
          <w:rFonts w:ascii="Garamond" w:hAnsi="Garamond" w:cs="Garamond"/>
        </w:rPr>
        <w:t>in</w:t>
      </w:r>
      <w:r>
        <w:rPr>
          <w:rFonts w:ascii="Garamond" w:hAnsi="Garamond" w:cs="Garamond"/>
          <w:spacing w:val="-7"/>
        </w:rPr>
        <w:t xml:space="preserve"> </w:t>
      </w:r>
      <w:r>
        <w:rPr>
          <w:rFonts w:ascii="Garamond" w:hAnsi="Garamond" w:cs="Garamond"/>
        </w:rPr>
        <w:t>different</w:t>
      </w:r>
      <w:r>
        <w:rPr>
          <w:rFonts w:ascii="Garamond" w:hAnsi="Garamond" w:cs="Garamond"/>
          <w:spacing w:val="-5"/>
        </w:rPr>
        <w:t xml:space="preserve"> </w:t>
      </w:r>
      <w:r>
        <w:rPr>
          <w:rFonts w:ascii="Garamond" w:hAnsi="Garamond" w:cs="Garamond"/>
          <w:spacing w:val="-4"/>
        </w:rPr>
        <w:t>ACO</w:t>
      </w:r>
      <w:r>
        <w:rPr>
          <w:rFonts w:ascii="Garamond" w:hAnsi="Garamond" w:cs="Garamond"/>
          <w:spacing w:val="-7"/>
        </w:rPr>
        <w:t xml:space="preserve"> </w:t>
      </w:r>
      <w:r>
        <w:rPr>
          <w:rFonts w:ascii="Garamond" w:hAnsi="Garamond" w:cs="Garamond"/>
        </w:rPr>
        <w:t>models),</w:t>
      </w:r>
      <w:r>
        <w:rPr>
          <w:rFonts w:ascii="Garamond" w:hAnsi="Garamond" w:cs="Garamond"/>
          <w:spacing w:val="-5"/>
        </w:rPr>
        <w:t xml:space="preserve"> </w:t>
      </w:r>
      <w:r>
        <w:rPr>
          <w:rFonts w:ascii="Garamond" w:hAnsi="Garamond" w:cs="Garamond"/>
        </w:rPr>
        <w:t>the</w:t>
      </w:r>
      <w:r>
        <w:rPr>
          <w:rFonts w:ascii="Garamond" w:hAnsi="Garamond" w:cs="Garamond"/>
          <w:spacing w:val="-6"/>
        </w:rPr>
        <w:t xml:space="preserve"> </w:t>
      </w:r>
      <w:r>
        <w:rPr>
          <w:rFonts w:ascii="Garamond" w:hAnsi="Garamond" w:cs="Garamond"/>
        </w:rPr>
        <w:t>core</w:t>
      </w:r>
      <w:r>
        <w:rPr>
          <w:rFonts w:ascii="Garamond" w:hAnsi="Garamond" w:cs="Garamond"/>
          <w:spacing w:val="-7"/>
        </w:rPr>
        <w:t xml:space="preserve"> </w:t>
      </w:r>
      <w:r>
        <w:rPr>
          <w:rFonts w:ascii="Garamond" w:hAnsi="Garamond" w:cs="Garamond"/>
        </w:rPr>
        <w:t>elements</w:t>
      </w:r>
      <w:r>
        <w:rPr>
          <w:rFonts w:ascii="Garamond" w:hAnsi="Garamond" w:cs="Garamond"/>
          <w:spacing w:val="-8"/>
        </w:rPr>
        <w:t xml:space="preserve"> </w:t>
      </w:r>
      <w:r>
        <w:rPr>
          <w:rFonts w:ascii="Garamond" w:hAnsi="Garamond" w:cs="Garamond"/>
        </w:rPr>
        <w:t>should</w:t>
      </w:r>
      <w:r>
        <w:rPr>
          <w:rFonts w:ascii="Garamond" w:hAnsi="Garamond" w:cs="Garamond"/>
          <w:spacing w:val="-7"/>
        </w:rPr>
        <w:t xml:space="preserve"> </w:t>
      </w:r>
      <w:r>
        <w:rPr>
          <w:rFonts w:ascii="Garamond" w:hAnsi="Garamond" w:cs="Garamond"/>
        </w:rPr>
        <w:t>be</w:t>
      </w:r>
      <w:r>
        <w:rPr>
          <w:rFonts w:ascii="Garamond" w:hAnsi="Garamond" w:cs="Garamond"/>
          <w:spacing w:val="-6"/>
        </w:rPr>
        <w:t xml:space="preserve"> </w:t>
      </w:r>
      <w:r>
        <w:rPr>
          <w:rFonts w:ascii="Garamond" w:hAnsi="Garamond" w:cs="Garamond"/>
        </w:rPr>
        <w:t>consistent</w:t>
      </w:r>
      <w:r>
        <w:rPr>
          <w:rFonts w:ascii="Garamond" w:hAnsi="Garamond" w:cs="Garamond"/>
          <w:spacing w:val="-5"/>
        </w:rPr>
        <w:t xml:space="preserve"> </w:t>
      </w:r>
      <w:r>
        <w:rPr>
          <w:rFonts w:ascii="Garamond" w:hAnsi="Garamond" w:cs="Garamond"/>
        </w:rPr>
        <w:t>in</w:t>
      </w:r>
      <w:r>
        <w:rPr>
          <w:rFonts w:ascii="Garamond" w:hAnsi="Garamond" w:cs="Garamond"/>
          <w:spacing w:val="-7"/>
        </w:rPr>
        <w:t xml:space="preserve"> </w:t>
      </w:r>
      <w:r>
        <w:rPr>
          <w:rFonts w:ascii="Garamond" w:hAnsi="Garamond" w:cs="Garamond"/>
        </w:rPr>
        <w:t>order</w:t>
      </w:r>
      <w:r>
        <w:rPr>
          <w:rFonts w:ascii="Garamond" w:hAnsi="Garamond" w:cs="Garamond"/>
          <w:spacing w:val="-5"/>
        </w:rPr>
        <w:t xml:space="preserve"> </w:t>
      </w:r>
      <w:r>
        <w:rPr>
          <w:rFonts w:ascii="Garamond" w:hAnsi="Garamond" w:cs="Garamond"/>
        </w:rPr>
        <w:t>to</w:t>
      </w:r>
      <w:r>
        <w:rPr>
          <w:rFonts w:ascii="Garamond" w:hAnsi="Garamond" w:cs="Garamond"/>
          <w:spacing w:val="-9"/>
        </w:rPr>
        <w:t xml:space="preserve"> </w:t>
      </w:r>
      <w:r>
        <w:rPr>
          <w:rFonts w:ascii="Garamond" w:hAnsi="Garamond" w:cs="Garamond"/>
        </w:rPr>
        <w:t>promote</w:t>
      </w:r>
      <w:r>
        <w:rPr>
          <w:rFonts w:ascii="Garamond" w:hAnsi="Garamond" w:cs="Garamond"/>
          <w:spacing w:val="-8"/>
        </w:rPr>
        <w:t xml:space="preserve"> </w:t>
      </w:r>
      <w:r>
        <w:rPr>
          <w:rFonts w:ascii="Garamond" w:hAnsi="Garamond" w:cs="Garamond"/>
        </w:rPr>
        <w:t>a</w:t>
      </w:r>
      <w:r>
        <w:rPr>
          <w:rFonts w:ascii="Garamond" w:hAnsi="Garamond" w:cs="Garamond"/>
          <w:spacing w:val="-6"/>
        </w:rPr>
        <w:t xml:space="preserve"> </w:t>
      </w:r>
      <w:r>
        <w:rPr>
          <w:rFonts w:ascii="Garamond" w:hAnsi="Garamond" w:cs="Garamond"/>
          <w:spacing w:val="-4"/>
        </w:rPr>
        <w:t xml:space="preserve">shared </w:t>
      </w:r>
      <w:r>
        <w:rPr>
          <w:rFonts w:ascii="Garamond" w:hAnsi="Garamond" w:cs="Garamond"/>
        </w:rPr>
        <w:t>understanding</w:t>
      </w:r>
      <w:r>
        <w:rPr>
          <w:rFonts w:ascii="Garamond" w:hAnsi="Garamond" w:cs="Garamond"/>
          <w:spacing w:val="-13"/>
        </w:rPr>
        <w:t xml:space="preserve"> </w:t>
      </w:r>
      <w:r>
        <w:rPr>
          <w:rFonts w:ascii="Garamond" w:hAnsi="Garamond" w:cs="Garamond"/>
        </w:rPr>
        <w:t>across</w:t>
      </w:r>
      <w:r>
        <w:rPr>
          <w:rFonts w:ascii="Garamond" w:hAnsi="Garamond" w:cs="Garamond"/>
          <w:spacing w:val="-12"/>
        </w:rPr>
        <w:t xml:space="preserve"> </w:t>
      </w:r>
      <w:r>
        <w:rPr>
          <w:rFonts w:ascii="Garamond" w:hAnsi="Garamond" w:cs="Garamond"/>
        </w:rPr>
        <w:t>populations,</w:t>
      </w:r>
      <w:r>
        <w:rPr>
          <w:rFonts w:ascii="Garamond" w:hAnsi="Garamond" w:cs="Garamond"/>
          <w:spacing w:val="-13"/>
        </w:rPr>
        <w:t xml:space="preserve"> </w:t>
      </w:r>
      <w:r>
        <w:rPr>
          <w:rFonts w:ascii="Garamond" w:hAnsi="Garamond" w:cs="Garamond"/>
        </w:rPr>
        <w:t>promote</w:t>
      </w:r>
      <w:r>
        <w:rPr>
          <w:rFonts w:ascii="Garamond" w:hAnsi="Garamond" w:cs="Garamond"/>
          <w:spacing w:val="-13"/>
        </w:rPr>
        <w:t xml:space="preserve"> </w:t>
      </w:r>
      <w:r>
        <w:rPr>
          <w:rFonts w:ascii="Garamond" w:hAnsi="Garamond" w:cs="Garamond"/>
        </w:rPr>
        <w:t>continuity</w:t>
      </w:r>
      <w:r>
        <w:rPr>
          <w:rFonts w:ascii="Garamond" w:hAnsi="Garamond" w:cs="Garamond"/>
          <w:spacing w:val="-11"/>
        </w:rPr>
        <w:t xml:space="preserve"> </w:t>
      </w:r>
      <w:r>
        <w:rPr>
          <w:rFonts w:ascii="Garamond" w:hAnsi="Garamond" w:cs="Garamond"/>
        </w:rPr>
        <w:t>of</w:t>
      </w:r>
      <w:r>
        <w:rPr>
          <w:rFonts w:ascii="Garamond" w:hAnsi="Garamond" w:cs="Garamond"/>
          <w:spacing w:val="-16"/>
        </w:rPr>
        <w:t xml:space="preserve"> </w:t>
      </w:r>
      <w:r>
        <w:rPr>
          <w:rFonts w:ascii="Garamond" w:hAnsi="Garamond" w:cs="Garamond"/>
        </w:rPr>
        <w:t>information</w:t>
      </w:r>
      <w:r>
        <w:rPr>
          <w:rFonts w:ascii="Garamond" w:hAnsi="Garamond" w:cs="Garamond"/>
          <w:spacing w:val="-11"/>
        </w:rPr>
        <w:t xml:space="preserve"> </w:t>
      </w:r>
      <w:r>
        <w:rPr>
          <w:rFonts w:ascii="Garamond" w:hAnsi="Garamond" w:cs="Garamond"/>
        </w:rPr>
        <w:t>as</w:t>
      </w:r>
      <w:r>
        <w:rPr>
          <w:rFonts w:ascii="Garamond" w:hAnsi="Garamond" w:cs="Garamond"/>
          <w:spacing w:val="-12"/>
        </w:rPr>
        <w:t xml:space="preserve"> </w:t>
      </w:r>
      <w:r>
        <w:rPr>
          <w:rFonts w:ascii="Garamond" w:hAnsi="Garamond" w:cs="Garamond"/>
        </w:rPr>
        <w:t>individuals’</w:t>
      </w:r>
      <w:r>
        <w:rPr>
          <w:rFonts w:ascii="Garamond" w:hAnsi="Garamond" w:cs="Garamond"/>
          <w:spacing w:val="-11"/>
        </w:rPr>
        <w:t xml:space="preserve"> </w:t>
      </w:r>
      <w:r>
        <w:rPr>
          <w:rFonts w:ascii="Garamond" w:hAnsi="Garamond" w:cs="Garamond"/>
        </w:rPr>
        <w:t>insurance</w:t>
      </w:r>
      <w:r>
        <w:rPr>
          <w:rFonts w:ascii="Garamond" w:hAnsi="Garamond" w:cs="Garamond"/>
          <w:spacing w:val="-11"/>
        </w:rPr>
        <w:t xml:space="preserve"> </w:t>
      </w:r>
      <w:r>
        <w:rPr>
          <w:rFonts w:ascii="Garamond" w:hAnsi="Garamond" w:cs="Garamond"/>
        </w:rPr>
        <w:t>or</w:t>
      </w:r>
      <w:r>
        <w:rPr>
          <w:rFonts w:ascii="Garamond" w:hAnsi="Garamond" w:cs="Garamond"/>
          <w:spacing w:val="-14"/>
        </w:rPr>
        <w:t xml:space="preserve"> </w:t>
      </w:r>
      <w:r>
        <w:rPr>
          <w:rFonts w:ascii="Garamond" w:hAnsi="Garamond" w:cs="Garamond"/>
        </w:rPr>
        <w:t>health</w:t>
      </w:r>
      <w:r>
        <w:rPr>
          <w:rFonts w:ascii="Garamond" w:hAnsi="Garamond" w:cs="Garamond"/>
          <w:spacing w:val="-12"/>
        </w:rPr>
        <w:t xml:space="preserve"> </w:t>
      </w:r>
      <w:r>
        <w:rPr>
          <w:rFonts w:ascii="Garamond" w:hAnsi="Garamond" w:cs="Garamond"/>
        </w:rPr>
        <w:t>status changes,</w:t>
      </w:r>
      <w:r>
        <w:rPr>
          <w:rFonts w:ascii="Garamond" w:hAnsi="Garamond" w:cs="Garamond"/>
          <w:spacing w:val="-9"/>
        </w:rPr>
        <w:t xml:space="preserve"> </w:t>
      </w:r>
      <w:r>
        <w:rPr>
          <w:rFonts w:ascii="Garamond" w:hAnsi="Garamond" w:cs="Garamond"/>
          <w:spacing w:val="-3"/>
        </w:rPr>
        <w:t>and</w:t>
      </w:r>
      <w:r>
        <w:rPr>
          <w:rFonts w:ascii="Garamond" w:hAnsi="Garamond" w:cs="Garamond"/>
          <w:spacing w:val="-8"/>
        </w:rPr>
        <w:t xml:space="preserve"> </w:t>
      </w:r>
      <w:r>
        <w:rPr>
          <w:rFonts w:ascii="Garamond" w:hAnsi="Garamond" w:cs="Garamond"/>
        </w:rPr>
        <w:t>give</w:t>
      </w:r>
      <w:r>
        <w:rPr>
          <w:rFonts w:ascii="Garamond" w:hAnsi="Garamond" w:cs="Garamond"/>
          <w:spacing w:val="-10"/>
        </w:rPr>
        <w:t xml:space="preserve"> </w:t>
      </w:r>
      <w:r>
        <w:rPr>
          <w:rFonts w:ascii="Garamond" w:hAnsi="Garamond" w:cs="Garamond"/>
        </w:rPr>
        <w:t>providers</w:t>
      </w:r>
      <w:r>
        <w:rPr>
          <w:rFonts w:ascii="Garamond" w:hAnsi="Garamond" w:cs="Garamond"/>
          <w:spacing w:val="-11"/>
        </w:rPr>
        <w:t xml:space="preserve"> </w:t>
      </w:r>
      <w:r>
        <w:rPr>
          <w:rFonts w:ascii="Garamond" w:hAnsi="Garamond" w:cs="Garamond"/>
        </w:rPr>
        <w:t>standard</w:t>
      </w:r>
      <w:r>
        <w:rPr>
          <w:rFonts w:ascii="Garamond" w:hAnsi="Garamond" w:cs="Garamond"/>
          <w:spacing w:val="-8"/>
        </w:rPr>
        <w:t xml:space="preserve"> </w:t>
      </w:r>
      <w:r>
        <w:rPr>
          <w:rFonts w:ascii="Garamond" w:hAnsi="Garamond" w:cs="Garamond"/>
        </w:rPr>
        <w:t>guidance</w:t>
      </w:r>
      <w:r>
        <w:rPr>
          <w:rFonts w:ascii="Garamond" w:hAnsi="Garamond" w:cs="Garamond"/>
          <w:spacing w:val="-10"/>
        </w:rPr>
        <w:t xml:space="preserve"> </w:t>
      </w:r>
      <w:r>
        <w:rPr>
          <w:rFonts w:ascii="Garamond" w:hAnsi="Garamond" w:cs="Garamond"/>
        </w:rPr>
        <w:t>about</w:t>
      </w:r>
      <w:r>
        <w:rPr>
          <w:rFonts w:ascii="Garamond" w:hAnsi="Garamond" w:cs="Garamond"/>
          <w:spacing w:val="-8"/>
        </w:rPr>
        <w:t xml:space="preserve"> </w:t>
      </w:r>
      <w:r>
        <w:rPr>
          <w:rFonts w:ascii="Garamond" w:hAnsi="Garamond" w:cs="Garamond"/>
        </w:rPr>
        <w:t>engaging</w:t>
      </w:r>
      <w:r>
        <w:rPr>
          <w:rFonts w:ascii="Garamond" w:hAnsi="Garamond" w:cs="Garamond"/>
          <w:spacing w:val="-10"/>
        </w:rPr>
        <w:t xml:space="preserve"> </w:t>
      </w:r>
      <w:r>
        <w:rPr>
          <w:rFonts w:ascii="Garamond" w:hAnsi="Garamond" w:cs="Garamond"/>
        </w:rPr>
        <w:t>members</w:t>
      </w:r>
      <w:r>
        <w:rPr>
          <w:rFonts w:ascii="Garamond" w:hAnsi="Garamond" w:cs="Garamond"/>
          <w:spacing w:val="-10"/>
        </w:rPr>
        <w:t xml:space="preserve"> </w:t>
      </w:r>
      <w:r>
        <w:rPr>
          <w:rFonts w:ascii="Garamond" w:hAnsi="Garamond" w:cs="Garamond"/>
        </w:rPr>
        <w:t>that</w:t>
      </w:r>
      <w:r>
        <w:rPr>
          <w:rFonts w:ascii="Garamond" w:hAnsi="Garamond" w:cs="Garamond"/>
          <w:spacing w:val="-12"/>
        </w:rPr>
        <w:t xml:space="preserve"> </w:t>
      </w:r>
      <w:r>
        <w:rPr>
          <w:rFonts w:ascii="Garamond" w:hAnsi="Garamond" w:cs="Garamond"/>
        </w:rPr>
        <w:t>aligns</w:t>
      </w:r>
      <w:r>
        <w:rPr>
          <w:rFonts w:ascii="Garamond" w:hAnsi="Garamond" w:cs="Garamond"/>
          <w:spacing w:val="-7"/>
        </w:rPr>
        <w:t xml:space="preserve"> </w:t>
      </w:r>
      <w:r>
        <w:rPr>
          <w:rFonts w:ascii="Garamond" w:hAnsi="Garamond" w:cs="Garamond"/>
        </w:rPr>
        <w:t>with</w:t>
      </w:r>
      <w:r>
        <w:rPr>
          <w:rFonts w:ascii="Garamond" w:hAnsi="Garamond" w:cs="Garamond"/>
          <w:spacing w:val="-8"/>
        </w:rPr>
        <w:t xml:space="preserve"> </w:t>
      </w:r>
      <w:r>
        <w:rPr>
          <w:rFonts w:ascii="Garamond" w:hAnsi="Garamond" w:cs="Garamond"/>
        </w:rPr>
        <w:t>what</w:t>
      </w:r>
      <w:r>
        <w:rPr>
          <w:rFonts w:ascii="Garamond" w:hAnsi="Garamond" w:cs="Garamond"/>
          <w:spacing w:val="-12"/>
        </w:rPr>
        <w:t xml:space="preserve"> </w:t>
      </w:r>
      <w:r>
        <w:rPr>
          <w:rFonts w:ascii="Garamond" w:hAnsi="Garamond" w:cs="Garamond"/>
        </w:rPr>
        <w:t>members</w:t>
      </w:r>
    </w:p>
    <w:p w:rsidR="002C5025" w:rsidRDefault="002C5025">
      <w:pPr>
        <w:pStyle w:val="BodyText"/>
        <w:kinsoku w:val="0"/>
        <w:overflowPunct w:val="0"/>
        <w:ind w:left="118" w:right="96"/>
        <w:rPr>
          <w:rFonts w:ascii="Garamond" w:hAnsi="Garamond" w:cs="Garamond"/>
        </w:rPr>
      </w:pPr>
      <w:r>
        <w:rPr>
          <w:rFonts w:ascii="Garamond" w:hAnsi="Garamond" w:cs="Garamond"/>
        </w:rPr>
        <w:t>are</w:t>
      </w:r>
      <w:r>
        <w:rPr>
          <w:rFonts w:ascii="Garamond" w:hAnsi="Garamond" w:cs="Garamond"/>
          <w:spacing w:val="-7"/>
        </w:rPr>
        <w:t xml:space="preserve"> </w:t>
      </w:r>
      <w:r>
        <w:rPr>
          <w:rFonts w:ascii="Garamond" w:hAnsi="Garamond" w:cs="Garamond"/>
        </w:rPr>
        <w:t>being</w:t>
      </w:r>
      <w:r>
        <w:rPr>
          <w:rFonts w:ascii="Garamond" w:hAnsi="Garamond" w:cs="Garamond"/>
          <w:spacing w:val="-7"/>
        </w:rPr>
        <w:t xml:space="preserve"> </w:t>
      </w:r>
      <w:r>
        <w:rPr>
          <w:rFonts w:ascii="Garamond" w:hAnsi="Garamond" w:cs="Garamond"/>
        </w:rPr>
        <w:t>told.</w:t>
      </w:r>
      <w:r>
        <w:rPr>
          <w:rFonts w:ascii="Garamond" w:hAnsi="Garamond" w:cs="Garamond"/>
          <w:spacing w:val="-9"/>
        </w:rPr>
        <w:t xml:space="preserve"> </w:t>
      </w:r>
      <w:r>
        <w:rPr>
          <w:rFonts w:ascii="Garamond" w:hAnsi="Garamond" w:cs="Garamond"/>
        </w:rPr>
        <w:t>Information</w:t>
      </w:r>
      <w:r>
        <w:rPr>
          <w:rFonts w:ascii="Garamond" w:hAnsi="Garamond" w:cs="Garamond"/>
          <w:spacing w:val="-5"/>
        </w:rPr>
        <w:t xml:space="preserve"> </w:t>
      </w:r>
      <w:r>
        <w:rPr>
          <w:rFonts w:ascii="Garamond" w:hAnsi="Garamond" w:cs="Garamond"/>
        </w:rPr>
        <w:t>should</w:t>
      </w:r>
      <w:r>
        <w:rPr>
          <w:rFonts w:ascii="Garamond" w:hAnsi="Garamond" w:cs="Garamond"/>
          <w:spacing w:val="-5"/>
        </w:rPr>
        <w:t xml:space="preserve"> </w:t>
      </w:r>
      <w:r>
        <w:rPr>
          <w:rFonts w:ascii="Garamond" w:hAnsi="Garamond" w:cs="Garamond"/>
        </w:rPr>
        <w:t>be</w:t>
      </w:r>
      <w:r>
        <w:rPr>
          <w:rFonts w:ascii="Garamond" w:hAnsi="Garamond" w:cs="Garamond"/>
          <w:spacing w:val="-7"/>
        </w:rPr>
        <w:t xml:space="preserve"> </w:t>
      </w:r>
      <w:r>
        <w:rPr>
          <w:rFonts w:ascii="Garamond" w:hAnsi="Garamond" w:cs="Garamond"/>
        </w:rPr>
        <w:t>made</w:t>
      </w:r>
      <w:r>
        <w:rPr>
          <w:rFonts w:ascii="Garamond" w:hAnsi="Garamond" w:cs="Garamond"/>
          <w:spacing w:val="-7"/>
        </w:rPr>
        <w:t xml:space="preserve"> </w:t>
      </w:r>
      <w:r>
        <w:rPr>
          <w:rFonts w:ascii="Garamond" w:hAnsi="Garamond" w:cs="Garamond"/>
        </w:rPr>
        <w:t>available</w:t>
      </w:r>
      <w:r>
        <w:rPr>
          <w:rFonts w:ascii="Garamond" w:hAnsi="Garamond" w:cs="Garamond"/>
          <w:spacing w:val="-7"/>
        </w:rPr>
        <w:t xml:space="preserve"> </w:t>
      </w:r>
      <w:r>
        <w:rPr>
          <w:rFonts w:ascii="Garamond" w:hAnsi="Garamond" w:cs="Garamond"/>
        </w:rPr>
        <w:t>both</w:t>
      </w:r>
      <w:r>
        <w:rPr>
          <w:rFonts w:ascii="Garamond" w:hAnsi="Garamond" w:cs="Garamond"/>
          <w:spacing w:val="-5"/>
        </w:rPr>
        <w:t xml:space="preserve"> </w:t>
      </w:r>
      <w:r>
        <w:rPr>
          <w:rFonts w:ascii="Garamond" w:hAnsi="Garamond" w:cs="Garamond"/>
        </w:rPr>
        <w:t>in</w:t>
      </w:r>
      <w:r>
        <w:rPr>
          <w:rFonts w:ascii="Garamond" w:hAnsi="Garamond" w:cs="Garamond"/>
          <w:spacing w:val="-5"/>
        </w:rPr>
        <w:t xml:space="preserve"> </w:t>
      </w:r>
      <w:r>
        <w:rPr>
          <w:rFonts w:ascii="Garamond" w:hAnsi="Garamond" w:cs="Garamond"/>
        </w:rPr>
        <w:t>advance</w:t>
      </w:r>
      <w:r>
        <w:rPr>
          <w:rFonts w:ascii="Garamond" w:hAnsi="Garamond" w:cs="Garamond"/>
          <w:spacing w:val="-7"/>
        </w:rPr>
        <w:t xml:space="preserve"> </w:t>
      </w:r>
      <w:r>
        <w:rPr>
          <w:rFonts w:ascii="Garamond" w:hAnsi="Garamond" w:cs="Garamond"/>
        </w:rPr>
        <w:t>of</w:t>
      </w:r>
      <w:r>
        <w:rPr>
          <w:rFonts w:ascii="Garamond" w:hAnsi="Garamond" w:cs="Garamond"/>
          <w:spacing w:val="-6"/>
        </w:rPr>
        <w:t xml:space="preserve"> </w:t>
      </w:r>
      <w:r>
        <w:rPr>
          <w:rFonts w:ascii="Garamond" w:hAnsi="Garamond" w:cs="Garamond"/>
        </w:rPr>
        <w:t>receiving</w:t>
      </w:r>
      <w:r>
        <w:rPr>
          <w:rFonts w:ascii="Garamond" w:hAnsi="Garamond" w:cs="Garamond"/>
          <w:spacing w:val="-7"/>
        </w:rPr>
        <w:t xml:space="preserve"> </w:t>
      </w:r>
      <w:r>
        <w:rPr>
          <w:rFonts w:ascii="Garamond" w:hAnsi="Garamond" w:cs="Garamond"/>
        </w:rPr>
        <w:t>care</w:t>
      </w:r>
      <w:r>
        <w:rPr>
          <w:rFonts w:ascii="Garamond" w:hAnsi="Garamond" w:cs="Garamond"/>
          <w:spacing w:val="-5"/>
        </w:rPr>
        <w:t xml:space="preserve"> </w:t>
      </w:r>
      <w:r>
        <w:rPr>
          <w:rFonts w:ascii="Garamond" w:hAnsi="Garamond" w:cs="Garamond"/>
        </w:rPr>
        <w:t>(e.g.</w:t>
      </w:r>
      <w:r>
        <w:rPr>
          <w:rFonts w:ascii="Garamond" w:hAnsi="Garamond" w:cs="Garamond"/>
          <w:spacing w:val="-5"/>
        </w:rPr>
        <w:t xml:space="preserve"> </w:t>
      </w:r>
      <w:r>
        <w:rPr>
          <w:rFonts w:ascii="Garamond" w:hAnsi="Garamond" w:cs="Garamond"/>
        </w:rPr>
        <w:t>at</w:t>
      </w:r>
      <w:r>
        <w:rPr>
          <w:rFonts w:ascii="Garamond" w:hAnsi="Garamond" w:cs="Garamond"/>
          <w:spacing w:val="-5"/>
        </w:rPr>
        <w:t xml:space="preserve"> </w:t>
      </w:r>
      <w:r>
        <w:rPr>
          <w:rFonts w:ascii="Garamond" w:hAnsi="Garamond" w:cs="Garamond"/>
        </w:rPr>
        <w:t>the</w:t>
      </w:r>
      <w:r>
        <w:rPr>
          <w:rFonts w:ascii="Garamond" w:hAnsi="Garamond" w:cs="Garamond"/>
          <w:spacing w:val="-7"/>
        </w:rPr>
        <w:t xml:space="preserve"> </w:t>
      </w:r>
      <w:r>
        <w:rPr>
          <w:rFonts w:ascii="Garamond" w:hAnsi="Garamond" w:cs="Garamond"/>
        </w:rPr>
        <w:t>time</w:t>
      </w:r>
      <w:r>
        <w:rPr>
          <w:rFonts w:ascii="Garamond" w:hAnsi="Garamond" w:cs="Garamond"/>
          <w:spacing w:val="-7"/>
        </w:rPr>
        <w:t xml:space="preserve"> </w:t>
      </w:r>
      <w:r>
        <w:rPr>
          <w:rFonts w:ascii="Garamond" w:hAnsi="Garamond" w:cs="Garamond"/>
          <w:spacing w:val="-5"/>
        </w:rPr>
        <w:t xml:space="preserve">of </w:t>
      </w:r>
      <w:r>
        <w:rPr>
          <w:rFonts w:ascii="Garamond" w:hAnsi="Garamond" w:cs="Garamond"/>
        </w:rPr>
        <w:t xml:space="preserve">enrollment) </w:t>
      </w:r>
      <w:r>
        <w:rPr>
          <w:rFonts w:ascii="Garamond" w:hAnsi="Garamond" w:cs="Garamond"/>
          <w:spacing w:val="-3"/>
        </w:rPr>
        <w:t xml:space="preserve">and </w:t>
      </w:r>
      <w:r>
        <w:rPr>
          <w:rFonts w:ascii="Garamond" w:hAnsi="Garamond" w:cs="Garamond"/>
        </w:rPr>
        <w:t>at the point of care (e.g. in writing in the provider’s office). To help ensure that this information</w:t>
      </w:r>
      <w:r>
        <w:rPr>
          <w:rFonts w:ascii="Garamond" w:hAnsi="Garamond" w:cs="Garamond"/>
          <w:spacing w:val="-9"/>
        </w:rPr>
        <w:t xml:space="preserve"> </w:t>
      </w:r>
      <w:r>
        <w:rPr>
          <w:rFonts w:ascii="Garamond" w:hAnsi="Garamond" w:cs="Garamond"/>
        </w:rPr>
        <w:t>is</w:t>
      </w:r>
      <w:r>
        <w:rPr>
          <w:rFonts w:ascii="Garamond" w:hAnsi="Garamond" w:cs="Garamond"/>
          <w:spacing w:val="-10"/>
        </w:rPr>
        <w:t xml:space="preserve"> </w:t>
      </w:r>
      <w:r>
        <w:rPr>
          <w:rFonts w:ascii="Garamond" w:hAnsi="Garamond" w:cs="Garamond"/>
        </w:rPr>
        <w:t>effectively</w:t>
      </w:r>
      <w:r>
        <w:rPr>
          <w:rFonts w:ascii="Garamond" w:hAnsi="Garamond" w:cs="Garamond"/>
          <w:spacing w:val="-15"/>
        </w:rPr>
        <w:t xml:space="preserve"> </w:t>
      </w:r>
      <w:r>
        <w:rPr>
          <w:rFonts w:ascii="Garamond" w:hAnsi="Garamond" w:cs="Garamond"/>
        </w:rPr>
        <w:t>shared</w:t>
      </w:r>
      <w:r>
        <w:rPr>
          <w:rFonts w:ascii="Garamond" w:hAnsi="Garamond" w:cs="Garamond"/>
          <w:spacing w:val="-9"/>
        </w:rPr>
        <w:t xml:space="preserve"> </w:t>
      </w:r>
      <w:r>
        <w:rPr>
          <w:rFonts w:ascii="Garamond" w:hAnsi="Garamond" w:cs="Garamond"/>
        </w:rPr>
        <w:t>and</w:t>
      </w:r>
      <w:r>
        <w:rPr>
          <w:rFonts w:ascii="Garamond" w:hAnsi="Garamond" w:cs="Garamond"/>
          <w:spacing w:val="-9"/>
        </w:rPr>
        <w:t xml:space="preserve"> </w:t>
      </w:r>
      <w:r>
        <w:rPr>
          <w:rFonts w:ascii="Garamond" w:hAnsi="Garamond" w:cs="Garamond"/>
        </w:rPr>
        <w:t>communicated,</w:t>
      </w:r>
      <w:r>
        <w:rPr>
          <w:rFonts w:ascii="Garamond" w:hAnsi="Garamond" w:cs="Garamond"/>
          <w:spacing w:val="-11"/>
        </w:rPr>
        <w:t xml:space="preserve"> </w:t>
      </w:r>
      <w:r>
        <w:rPr>
          <w:rFonts w:ascii="Garamond" w:hAnsi="Garamond" w:cs="Garamond"/>
        </w:rPr>
        <w:t>written</w:t>
      </w:r>
      <w:r>
        <w:rPr>
          <w:rFonts w:ascii="Garamond" w:hAnsi="Garamond" w:cs="Garamond"/>
          <w:spacing w:val="-11"/>
        </w:rPr>
        <w:t xml:space="preserve"> </w:t>
      </w:r>
      <w:r>
        <w:rPr>
          <w:rFonts w:ascii="Garamond" w:hAnsi="Garamond" w:cs="Garamond"/>
        </w:rPr>
        <w:t>materials</w:t>
      </w:r>
      <w:r>
        <w:rPr>
          <w:rFonts w:ascii="Garamond" w:hAnsi="Garamond" w:cs="Garamond"/>
          <w:spacing w:val="-8"/>
        </w:rPr>
        <w:t xml:space="preserve"> </w:t>
      </w:r>
      <w:r>
        <w:rPr>
          <w:rFonts w:ascii="Garamond" w:hAnsi="Garamond" w:cs="Garamond"/>
        </w:rPr>
        <w:t>should</w:t>
      </w:r>
      <w:r>
        <w:rPr>
          <w:rFonts w:ascii="Garamond" w:hAnsi="Garamond" w:cs="Garamond"/>
          <w:spacing w:val="-11"/>
        </w:rPr>
        <w:t xml:space="preserve"> </w:t>
      </w:r>
      <w:r>
        <w:rPr>
          <w:rFonts w:ascii="Garamond" w:hAnsi="Garamond" w:cs="Garamond"/>
        </w:rPr>
        <w:t>include</w:t>
      </w:r>
      <w:r>
        <w:rPr>
          <w:rFonts w:ascii="Garamond" w:hAnsi="Garamond" w:cs="Garamond"/>
          <w:spacing w:val="-15"/>
        </w:rPr>
        <w:t xml:space="preserve"> </w:t>
      </w:r>
      <w:r>
        <w:rPr>
          <w:rFonts w:ascii="Garamond" w:hAnsi="Garamond" w:cs="Garamond"/>
        </w:rPr>
        <w:t>taglines</w:t>
      </w:r>
      <w:r>
        <w:rPr>
          <w:rFonts w:ascii="Garamond" w:hAnsi="Garamond" w:cs="Garamond"/>
          <w:spacing w:val="-8"/>
        </w:rPr>
        <w:t xml:space="preserve"> </w:t>
      </w:r>
      <w:r>
        <w:rPr>
          <w:rFonts w:ascii="Garamond" w:hAnsi="Garamond" w:cs="Garamond"/>
        </w:rPr>
        <w:t>in</w:t>
      </w:r>
      <w:r>
        <w:rPr>
          <w:rFonts w:ascii="Garamond" w:hAnsi="Garamond" w:cs="Garamond"/>
          <w:spacing w:val="-9"/>
        </w:rPr>
        <w:t xml:space="preserve"> </w:t>
      </w:r>
      <w:r>
        <w:rPr>
          <w:rFonts w:ascii="Garamond" w:hAnsi="Garamond" w:cs="Garamond"/>
        </w:rPr>
        <w:t>at</w:t>
      </w:r>
      <w:r>
        <w:rPr>
          <w:rFonts w:ascii="Garamond" w:hAnsi="Garamond" w:cs="Garamond"/>
          <w:spacing w:val="-9"/>
        </w:rPr>
        <w:t xml:space="preserve"> </w:t>
      </w:r>
      <w:r>
        <w:rPr>
          <w:rFonts w:ascii="Garamond" w:hAnsi="Garamond" w:cs="Garamond"/>
        </w:rPr>
        <w:t>least</w:t>
      </w:r>
      <w:r>
        <w:rPr>
          <w:rFonts w:ascii="Garamond" w:hAnsi="Garamond" w:cs="Garamond"/>
          <w:spacing w:val="-10"/>
        </w:rPr>
        <w:t xml:space="preserve"> </w:t>
      </w:r>
      <w:r>
        <w:rPr>
          <w:rFonts w:ascii="Garamond" w:hAnsi="Garamond" w:cs="Garamond"/>
        </w:rPr>
        <w:t>18 languages</w:t>
      </w:r>
      <w:r>
        <w:rPr>
          <w:rFonts w:ascii="Garamond" w:hAnsi="Garamond" w:cs="Garamond"/>
          <w:spacing w:val="-4"/>
        </w:rPr>
        <w:t xml:space="preserve"> </w:t>
      </w:r>
      <w:r>
        <w:rPr>
          <w:rFonts w:ascii="Garamond" w:hAnsi="Garamond" w:cs="Garamond"/>
        </w:rPr>
        <w:t>and</w:t>
      </w:r>
      <w:r>
        <w:rPr>
          <w:rFonts w:ascii="Garamond" w:hAnsi="Garamond" w:cs="Garamond"/>
          <w:spacing w:val="-5"/>
        </w:rPr>
        <w:t xml:space="preserve"> </w:t>
      </w:r>
      <w:r>
        <w:rPr>
          <w:rFonts w:ascii="Garamond" w:hAnsi="Garamond" w:cs="Garamond"/>
        </w:rPr>
        <w:t>large</w:t>
      </w:r>
      <w:r>
        <w:rPr>
          <w:rFonts w:ascii="Garamond" w:hAnsi="Garamond" w:cs="Garamond"/>
          <w:spacing w:val="-8"/>
        </w:rPr>
        <w:t xml:space="preserve"> </w:t>
      </w:r>
      <w:r>
        <w:rPr>
          <w:rFonts w:ascii="Garamond" w:hAnsi="Garamond" w:cs="Garamond"/>
        </w:rPr>
        <w:t>print</w:t>
      </w:r>
      <w:r>
        <w:rPr>
          <w:rFonts w:ascii="Garamond" w:hAnsi="Garamond" w:cs="Garamond"/>
          <w:spacing w:val="-7"/>
        </w:rPr>
        <w:t xml:space="preserve"> </w:t>
      </w:r>
      <w:r>
        <w:rPr>
          <w:rFonts w:ascii="Garamond" w:hAnsi="Garamond" w:cs="Garamond"/>
        </w:rPr>
        <w:t>that</w:t>
      </w:r>
      <w:r>
        <w:rPr>
          <w:rFonts w:ascii="Garamond" w:hAnsi="Garamond" w:cs="Garamond"/>
          <w:spacing w:val="-5"/>
        </w:rPr>
        <w:t xml:space="preserve"> </w:t>
      </w:r>
      <w:r>
        <w:rPr>
          <w:rFonts w:ascii="Garamond" w:hAnsi="Garamond" w:cs="Garamond"/>
        </w:rPr>
        <w:t>inform</w:t>
      </w:r>
      <w:r>
        <w:rPr>
          <w:rFonts w:ascii="Garamond" w:hAnsi="Garamond" w:cs="Garamond"/>
          <w:spacing w:val="-7"/>
        </w:rPr>
        <w:t xml:space="preserve"> </w:t>
      </w:r>
      <w:r>
        <w:rPr>
          <w:rFonts w:ascii="Garamond" w:hAnsi="Garamond" w:cs="Garamond"/>
        </w:rPr>
        <w:t>members</w:t>
      </w:r>
      <w:r>
        <w:rPr>
          <w:rFonts w:ascii="Garamond" w:hAnsi="Garamond" w:cs="Garamond"/>
          <w:spacing w:val="-4"/>
        </w:rPr>
        <w:t xml:space="preserve"> </w:t>
      </w:r>
      <w:r>
        <w:rPr>
          <w:rFonts w:ascii="Garamond" w:hAnsi="Garamond" w:cs="Garamond"/>
        </w:rPr>
        <w:t>of</w:t>
      </w:r>
      <w:r>
        <w:rPr>
          <w:rFonts w:ascii="Garamond" w:hAnsi="Garamond" w:cs="Garamond"/>
          <w:spacing w:val="-7"/>
        </w:rPr>
        <w:t xml:space="preserve"> </w:t>
      </w:r>
      <w:r>
        <w:rPr>
          <w:rFonts w:ascii="Garamond" w:hAnsi="Garamond" w:cs="Garamond"/>
        </w:rPr>
        <w:t>written</w:t>
      </w:r>
      <w:r>
        <w:rPr>
          <w:rFonts w:ascii="Garamond" w:hAnsi="Garamond" w:cs="Garamond"/>
          <w:spacing w:val="-10"/>
        </w:rPr>
        <w:t xml:space="preserve"> </w:t>
      </w:r>
      <w:r>
        <w:rPr>
          <w:rFonts w:ascii="Garamond" w:hAnsi="Garamond" w:cs="Garamond"/>
        </w:rPr>
        <w:t>translation</w:t>
      </w:r>
      <w:r>
        <w:rPr>
          <w:rFonts w:ascii="Garamond" w:hAnsi="Garamond" w:cs="Garamond"/>
          <w:spacing w:val="-7"/>
        </w:rPr>
        <w:t xml:space="preserve"> </w:t>
      </w:r>
      <w:r>
        <w:rPr>
          <w:rFonts w:ascii="Garamond" w:hAnsi="Garamond" w:cs="Garamond"/>
        </w:rPr>
        <w:t>services</w:t>
      </w:r>
      <w:r>
        <w:rPr>
          <w:rFonts w:ascii="Garamond" w:hAnsi="Garamond" w:cs="Garamond"/>
          <w:spacing w:val="-4"/>
        </w:rPr>
        <w:t xml:space="preserve"> </w:t>
      </w:r>
      <w:r>
        <w:rPr>
          <w:rFonts w:ascii="Garamond" w:hAnsi="Garamond" w:cs="Garamond"/>
        </w:rPr>
        <w:t>in</w:t>
      </w:r>
      <w:r>
        <w:rPr>
          <w:rFonts w:ascii="Garamond" w:hAnsi="Garamond" w:cs="Garamond"/>
          <w:spacing w:val="-5"/>
        </w:rPr>
        <w:t xml:space="preserve"> </w:t>
      </w:r>
      <w:r>
        <w:rPr>
          <w:rFonts w:ascii="Garamond" w:hAnsi="Garamond" w:cs="Garamond"/>
        </w:rPr>
        <w:t>all</w:t>
      </w:r>
      <w:r>
        <w:rPr>
          <w:rFonts w:ascii="Garamond" w:hAnsi="Garamond" w:cs="Garamond"/>
          <w:spacing w:val="-8"/>
        </w:rPr>
        <w:t xml:space="preserve"> </w:t>
      </w:r>
      <w:r>
        <w:rPr>
          <w:rFonts w:ascii="Garamond" w:hAnsi="Garamond" w:cs="Garamond"/>
          <w:spacing w:val="-4"/>
        </w:rPr>
        <w:t>prevalent</w:t>
      </w:r>
      <w:r>
        <w:rPr>
          <w:rFonts w:ascii="Garamond" w:hAnsi="Garamond" w:cs="Garamond"/>
          <w:spacing w:val="-7"/>
        </w:rPr>
        <w:t xml:space="preserve"> </w:t>
      </w:r>
      <w:r>
        <w:rPr>
          <w:rFonts w:ascii="Garamond" w:hAnsi="Garamond" w:cs="Garamond"/>
        </w:rPr>
        <w:t>(500</w:t>
      </w:r>
      <w:r>
        <w:rPr>
          <w:rFonts w:ascii="Garamond" w:hAnsi="Garamond" w:cs="Garamond"/>
          <w:spacing w:val="-6"/>
        </w:rPr>
        <w:t xml:space="preserve"> </w:t>
      </w:r>
      <w:r>
        <w:rPr>
          <w:rFonts w:ascii="Garamond" w:hAnsi="Garamond" w:cs="Garamond"/>
        </w:rPr>
        <w:t>or</w:t>
      </w:r>
      <w:r>
        <w:rPr>
          <w:rFonts w:ascii="Garamond" w:hAnsi="Garamond" w:cs="Garamond"/>
          <w:spacing w:val="-5"/>
        </w:rPr>
        <w:t xml:space="preserve"> </w:t>
      </w:r>
      <w:r>
        <w:rPr>
          <w:rFonts w:ascii="Garamond" w:hAnsi="Garamond" w:cs="Garamond"/>
        </w:rPr>
        <w:t>5</w:t>
      </w:r>
    </w:p>
    <w:p w:rsidR="002C5025" w:rsidRDefault="002C5025">
      <w:pPr>
        <w:pStyle w:val="BodyText"/>
        <w:kinsoku w:val="0"/>
        <w:overflowPunct w:val="0"/>
        <w:spacing w:before="1"/>
        <w:rPr>
          <w:rFonts w:ascii="Garamond" w:hAnsi="Garamond" w:cs="Garamond"/>
          <w:sz w:val="26"/>
          <w:szCs w:val="26"/>
        </w:rPr>
      </w:pPr>
    </w:p>
    <w:p w:rsidR="002C5025" w:rsidRDefault="002C5025">
      <w:pPr>
        <w:pStyle w:val="BodyText"/>
        <w:kinsoku w:val="0"/>
        <w:overflowPunct w:val="0"/>
        <w:spacing w:before="80"/>
        <w:ind w:left="4686" w:right="4582"/>
        <w:jc w:val="center"/>
        <w:rPr>
          <w:rFonts w:ascii="Garamond" w:hAnsi="Garamond" w:cs="Garamond"/>
          <w:sz w:val="20"/>
          <w:szCs w:val="20"/>
        </w:rPr>
      </w:pPr>
      <w:r>
        <w:rPr>
          <w:rFonts w:ascii="Garamond" w:hAnsi="Garamond" w:cs="Garamond"/>
          <w:sz w:val="20"/>
          <w:szCs w:val="20"/>
        </w:rPr>
        <w:t>21</w:t>
      </w:r>
    </w:p>
    <w:p w:rsidR="002C5025" w:rsidRDefault="002C5025">
      <w:pPr>
        <w:pStyle w:val="BodyText"/>
        <w:kinsoku w:val="0"/>
        <w:overflowPunct w:val="0"/>
        <w:spacing w:before="80"/>
        <w:ind w:left="4686" w:right="4582"/>
        <w:jc w:val="center"/>
        <w:rPr>
          <w:rFonts w:ascii="Garamond" w:hAnsi="Garamond" w:cs="Garamond"/>
          <w:sz w:val="20"/>
          <w:szCs w:val="20"/>
        </w:rPr>
        <w:sectPr w:rsidR="002C5025">
          <w:pgSz w:w="12240" w:h="15840"/>
          <w:pgMar w:top="1380" w:right="1420" w:bottom="280" w:left="1320" w:header="720" w:footer="720" w:gutter="0"/>
          <w:cols w:space="720" w:equalWidth="0">
            <w:col w:w="9500"/>
          </w:cols>
          <w:noEndnote/>
        </w:sectPr>
      </w:pPr>
    </w:p>
    <w:p w:rsidR="002C5025" w:rsidRDefault="002C5025">
      <w:pPr>
        <w:pStyle w:val="BodyText"/>
        <w:kinsoku w:val="0"/>
        <w:overflowPunct w:val="0"/>
        <w:spacing w:before="60"/>
        <w:ind w:left="119" w:right="83"/>
        <w:rPr>
          <w:rFonts w:ascii="Garamond" w:hAnsi="Garamond" w:cs="Garamond"/>
        </w:rPr>
      </w:pPr>
      <w:r>
        <w:rPr>
          <w:rFonts w:ascii="Garamond" w:hAnsi="Garamond" w:cs="Garamond"/>
        </w:rPr>
        <w:lastRenderedPageBreak/>
        <w:t>percent</w:t>
      </w:r>
      <w:r>
        <w:rPr>
          <w:rFonts w:ascii="Garamond" w:hAnsi="Garamond" w:cs="Garamond"/>
          <w:spacing w:val="-8"/>
        </w:rPr>
        <w:t xml:space="preserve"> </w:t>
      </w:r>
      <w:r>
        <w:rPr>
          <w:rFonts w:ascii="Garamond" w:hAnsi="Garamond" w:cs="Garamond"/>
        </w:rPr>
        <w:t>of</w:t>
      </w:r>
      <w:r>
        <w:rPr>
          <w:rFonts w:ascii="Garamond" w:hAnsi="Garamond" w:cs="Garamond"/>
          <w:spacing w:val="-12"/>
        </w:rPr>
        <w:t xml:space="preserve"> </w:t>
      </w:r>
      <w:r>
        <w:rPr>
          <w:rFonts w:ascii="Garamond" w:hAnsi="Garamond" w:cs="Garamond"/>
        </w:rPr>
        <w:t>potentially</w:t>
      </w:r>
      <w:r>
        <w:rPr>
          <w:rFonts w:ascii="Garamond" w:hAnsi="Garamond" w:cs="Garamond"/>
          <w:spacing w:val="-11"/>
        </w:rPr>
        <w:t xml:space="preserve"> </w:t>
      </w:r>
      <w:r>
        <w:rPr>
          <w:rFonts w:ascii="Garamond" w:hAnsi="Garamond" w:cs="Garamond"/>
        </w:rPr>
        <w:t>attributed</w:t>
      </w:r>
      <w:r>
        <w:rPr>
          <w:rFonts w:ascii="Garamond" w:hAnsi="Garamond" w:cs="Garamond"/>
          <w:spacing w:val="-8"/>
        </w:rPr>
        <w:t xml:space="preserve"> </w:t>
      </w:r>
      <w:r>
        <w:rPr>
          <w:rFonts w:ascii="Garamond" w:hAnsi="Garamond" w:cs="Garamond"/>
        </w:rPr>
        <w:t>individuals)</w:t>
      </w:r>
      <w:r>
        <w:rPr>
          <w:rFonts w:ascii="Garamond" w:hAnsi="Garamond" w:cs="Garamond"/>
          <w:spacing w:val="-8"/>
        </w:rPr>
        <w:t xml:space="preserve"> </w:t>
      </w:r>
      <w:r>
        <w:rPr>
          <w:rFonts w:ascii="Garamond" w:hAnsi="Garamond" w:cs="Garamond"/>
        </w:rPr>
        <w:t>languages,</w:t>
      </w:r>
      <w:r>
        <w:rPr>
          <w:rFonts w:ascii="Garamond" w:hAnsi="Garamond" w:cs="Garamond"/>
          <w:spacing w:val="-9"/>
        </w:rPr>
        <w:t xml:space="preserve"> </w:t>
      </w:r>
      <w:r>
        <w:rPr>
          <w:rFonts w:ascii="Garamond" w:hAnsi="Garamond" w:cs="Garamond"/>
        </w:rPr>
        <w:t>as</w:t>
      </w:r>
      <w:r>
        <w:rPr>
          <w:rFonts w:ascii="Garamond" w:hAnsi="Garamond" w:cs="Garamond"/>
          <w:spacing w:val="-12"/>
        </w:rPr>
        <w:t xml:space="preserve"> </w:t>
      </w:r>
      <w:r>
        <w:rPr>
          <w:rFonts w:ascii="Garamond" w:hAnsi="Garamond" w:cs="Garamond"/>
        </w:rPr>
        <w:t>well</w:t>
      </w:r>
      <w:r>
        <w:rPr>
          <w:rFonts w:ascii="Garamond" w:hAnsi="Garamond" w:cs="Garamond"/>
          <w:spacing w:val="-11"/>
        </w:rPr>
        <w:t xml:space="preserve"> </w:t>
      </w:r>
      <w:r>
        <w:rPr>
          <w:rFonts w:ascii="Garamond" w:hAnsi="Garamond" w:cs="Garamond"/>
        </w:rPr>
        <w:t>as</w:t>
      </w:r>
      <w:r>
        <w:rPr>
          <w:rFonts w:ascii="Garamond" w:hAnsi="Garamond" w:cs="Garamond"/>
          <w:spacing w:val="-7"/>
        </w:rPr>
        <w:t xml:space="preserve"> </w:t>
      </w:r>
      <w:r>
        <w:rPr>
          <w:rFonts w:ascii="Garamond" w:hAnsi="Garamond" w:cs="Garamond"/>
        </w:rPr>
        <w:t>oral</w:t>
      </w:r>
      <w:r>
        <w:rPr>
          <w:rFonts w:ascii="Garamond" w:hAnsi="Garamond" w:cs="Garamond"/>
          <w:spacing w:val="-11"/>
        </w:rPr>
        <w:t xml:space="preserve"> </w:t>
      </w:r>
      <w:r>
        <w:rPr>
          <w:rFonts w:ascii="Garamond" w:hAnsi="Garamond" w:cs="Garamond"/>
        </w:rPr>
        <w:t>assistance</w:t>
      </w:r>
      <w:r>
        <w:rPr>
          <w:rFonts w:ascii="Garamond" w:hAnsi="Garamond" w:cs="Garamond"/>
          <w:spacing w:val="-11"/>
        </w:rPr>
        <w:t xml:space="preserve"> </w:t>
      </w:r>
      <w:r>
        <w:rPr>
          <w:rFonts w:ascii="Garamond" w:hAnsi="Garamond" w:cs="Garamond"/>
        </w:rPr>
        <w:t>for</w:t>
      </w:r>
      <w:r>
        <w:rPr>
          <w:rFonts w:ascii="Garamond" w:hAnsi="Garamond" w:cs="Garamond"/>
          <w:spacing w:val="-7"/>
        </w:rPr>
        <w:t xml:space="preserve"> </w:t>
      </w:r>
      <w:r>
        <w:rPr>
          <w:rFonts w:ascii="Garamond" w:hAnsi="Garamond" w:cs="Garamond"/>
        </w:rPr>
        <w:t>all</w:t>
      </w:r>
      <w:r>
        <w:rPr>
          <w:rFonts w:ascii="Garamond" w:hAnsi="Garamond" w:cs="Garamond"/>
          <w:spacing w:val="-13"/>
        </w:rPr>
        <w:t xml:space="preserve"> </w:t>
      </w:r>
      <w:r>
        <w:rPr>
          <w:rFonts w:ascii="Garamond" w:hAnsi="Garamond" w:cs="Garamond"/>
        </w:rPr>
        <w:t>members</w:t>
      </w:r>
      <w:r>
        <w:rPr>
          <w:rFonts w:ascii="Garamond" w:hAnsi="Garamond" w:cs="Garamond"/>
          <w:spacing w:val="-7"/>
        </w:rPr>
        <w:t xml:space="preserve"> </w:t>
      </w:r>
      <w:r>
        <w:rPr>
          <w:rFonts w:ascii="Garamond" w:hAnsi="Garamond" w:cs="Garamond"/>
        </w:rPr>
        <w:t>with</w:t>
      </w:r>
      <w:r>
        <w:rPr>
          <w:rFonts w:ascii="Garamond" w:hAnsi="Garamond" w:cs="Garamond"/>
          <w:spacing w:val="-10"/>
        </w:rPr>
        <w:t xml:space="preserve"> </w:t>
      </w:r>
      <w:r>
        <w:rPr>
          <w:rFonts w:ascii="Garamond" w:hAnsi="Garamond" w:cs="Garamond"/>
        </w:rPr>
        <w:t>limited English</w:t>
      </w:r>
      <w:r>
        <w:rPr>
          <w:rFonts w:ascii="Garamond" w:hAnsi="Garamond" w:cs="Garamond"/>
          <w:spacing w:val="-6"/>
        </w:rPr>
        <w:t xml:space="preserve"> </w:t>
      </w:r>
      <w:r>
        <w:rPr>
          <w:rFonts w:ascii="Garamond" w:hAnsi="Garamond" w:cs="Garamond"/>
        </w:rPr>
        <w:t>proficiency</w:t>
      </w:r>
      <w:r>
        <w:rPr>
          <w:rFonts w:ascii="Garamond" w:hAnsi="Garamond" w:cs="Garamond"/>
          <w:spacing w:val="-7"/>
        </w:rPr>
        <w:t xml:space="preserve"> </w:t>
      </w:r>
      <w:r>
        <w:rPr>
          <w:rFonts w:ascii="Garamond" w:hAnsi="Garamond" w:cs="Garamond"/>
          <w:spacing w:val="-3"/>
        </w:rPr>
        <w:t>and</w:t>
      </w:r>
      <w:r>
        <w:rPr>
          <w:rFonts w:ascii="Garamond" w:hAnsi="Garamond" w:cs="Garamond"/>
          <w:spacing w:val="-6"/>
        </w:rPr>
        <w:t xml:space="preserve"> </w:t>
      </w:r>
      <w:r>
        <w:rPr>
          <w:rFonts w:ascii="Garamond" w:hAnsi="Garamond" w:cs="Garamond"/>
        </w:rPr>
        <w:t>assistance</w:t>
      </w:r>
      <w:r>
        <w:rPr>
          <w:rFonts w:ascii="Garamond" w:hAnsi="Garamond" w:cs="Garamond"/>
          <w:spacing w:val="-8"/>
        </w:rPr>
        <w:t xml:space="preserve"> </w:t>
      </w:r>
      <w:r>
        <w:rPr>
          <w:rFonts w:ascii="Garamond" w:hAnsi="Garamond" w:cs="Garamond"/>
        </w:rPr>
        <w:t>for</w:t>
      </w:r>
      <w:r>
        <w:rPr>
          <w:rFonts w:ascii="Garamond" w:hAnsi="Garamond" w:cs="Garamond"/>
          <w:spacing w:val="-6"/>
        </w:rPr>
        <w:t xml:space="preserve"> </w:t>
      </w:r>
      <w:r>
        <w:rPr>
          <w:rFonts w:ascii="Garamond" w:hAnsi="Garamond" w:cs="Garamond"/>
          <w:spacing w:val="-3"/>
        </w:rPr>
        <w:t>people</w:t>
      </w:r>
      <w:r>
        <w:rPr>
          <w:rFonts w:ascii="Garamond" w:hAnsi="Garamond" w:cs="Garamond"/>
          <w:spacing w:val="-8"/>
        </w:rPr>
        <w:t xml:space="preserve"> </w:t>
      </w:r>
      <w:r>
        <w:rPr>
          <w:rFonts w:ascii="Garamond" w:hAnsi="Garamond" w:cs="Garamond"/>
        </w:rPr>
        <w:t>who</w:t>
      </w:r>
      <w:r>
        <w:rPr>
          <w:rFonts w:ascii="Garamond" w:hAnsi="Garamond" w:cs="Garamond"/>
          <w:spacing w:val="-8"/>
        </w:rPr>
        <w:t xml:space="preserve"> </w:t>
      </w:r>
      <w:r>
        <w:rPr>
          <w:rFonts w:ascii="Garamond" w:hAnsi="Garamond" w:cs="Garamond"/>
        </w:rPr>
        <w:t>are</w:t>
      </w:r>
      <w:r>
        <w:rPr>
          <w:rFonts w:ascii="Garamond" w:hAnsi="Garamond" w:cs="Garamond"/>
          <w:spacing w:val="-7"/>
        </w:rPr>
        <w:t xml:space="preserve"> </w:t>
      </w:r>
      <w:r>
        <w:rPr>
          <w:rFonts w:ascii="Garamond" w:hAnsi="Garamond" w:cs="Garamond"/>
          <w:spacing w:val="-4"/>
        </w:rPr>
        <w:t>deaf</w:t>
      </w:r>
      <w:r>
        <w:rPr>
          <w:rFonts w:ascii="Garamond" w:hAnsi="Garamond" w:cs="Garamond"/>
          <w:spacing w:val="-7"/>
        </w:rPr>
        <w:t xml:space="preserve"> </w:t>
      </w:r>
      <w:r>
        <w:rPr>
          <w:rFonts w:ascii="Garamond" w:hAnsi="Garamond" w:cs="Garamond"/>
        </w:rPr>
        <w:t>and</w:t>
      </w:r>
      <w:r>
        <w:rPr>
          <w:rFonts w:ascii="Garamond" w:hAnsi="Garamond" w:cs="Garamond"/>
          <w:spacing w:val="-8"/>
        </w:rPr>
        <w:t xml:space="preserve"> </w:t>
      </w:r>
      <w:r>
        <w:rPr>
          <w:rFonts w:ascii="Garamond" w:hAnsi="Garamond" w:cs="Garamond"/>
        </w:rPr>
        <w:t>need</w:t>
      </w:r>
      <w:r>
        <w:rPr>
          <w:rFonts w:ascii="Garamond" w:hAnsi="Garamond" w:cs="Garamond"/>
          <w:spacing w:val="-6"/>
        </w:rPr>
        <w:t xml:space="preserve"> </w:t>
      </w:r>
      <w:r>
        <w:rPr>
          <w:rFonts w:ascii="Garamond" w:hAnsi="Garamond" w:cs="Garamond"/>
        </w:rPr>
        <w:t>American</w:t>
      </w:r>
      <w:r>
        <w:rPr>
          <w:rFonts w:ascii="Garamond" w:hAnsi="Garamond" w:cs="Garamond"/>
          <w:spacing w:val="-6"/>
        </w:rPr>
        <w:t xml:space="preserve"> </w:t>
      </w:r>
      <w:r>
        <w:rPr>
          <w:rFonts w:ascii="Garamond" w:hAnsi="Garamond" w:cs="Garamond"/>
        </w:rPr>
        <w:t>Sign</w:t>
      </w:r>
      <w:r>
        <w:rPr>
          <w:rFonts w:ascii="Garamond" w:hAnsi="Garamond" w:cs="Garamond"/>
          <w:spacing w:val="-10"/>
        </w:rPr>
        <w:t xml:space="preserve"> </w:t>
      </w:r>
      <w:r>
        <w:rPr>
          <w:rFonts w:ascii="Garamond" w:hAnsi="Garamond" w:cs="Garamond"/>
        </w:rPr>
        <w:t>Language.</w:t>
      </w:r>
    </w:p>
    <w:p w:rsidR="002C5025" w:rsidRDefault="002C5025">
      <w:pPr>
        <w:pStyle w:val="BodyText"/>
        <w:kinsoku w:val="0"/>
        <w:overflowPunct w:val="0"/>
        <w:spacing w:before="10"/>
        <w:rPr>
          <w:rFonts w:ascii="Garamond" w:hAnsi="Garamond" w:cs="Garamond"/>
          <w:sz w:val="21"/>
          <w:szCs w:val="21"/>
        </w:rPr>
      </w:pPr>
    </w:p>
    <w:p w:rsidR="002C5025" w:rsidRDefault="002C5025">
      <w:pPr>
        <w:pStyle w:val="BodyText"/>
        <w:kinsoku w:val="0"/>
        <w:overflowPunct w:val="0"/>
        <w:ind w:left="119" w:right="215"/>
        <w:rPr>
          <w:rFonts w:ascii="Garamond" w:hAnsi="Garamond" w:cs="Garamond"/>
          <w:spacing w:val="-3"/>
        </w:rPr>
      </w:pPr>
      <w:r>
        <w:rPr>
          <w:rFonts w:ascii="Garamond" w:hAnsi="Garamond" w:cs="Garamond"/>
        </w:rPr>
        <w:t xml:space="preserve">MassHealth should also encourage ACOs to work collaboratively with community-based organizations (CBOs), including those that represent communities of </w:t>
      </w:r>
      <w:r>
        <w:rPr>
          <w:rFonts w:ascii="Garamond" w:hAnsi="Garamond" w:cs="Garamond"/>
          <w:spacing w:val="-3"/>
        </w:rPr>
        <w:t xml:space="preserve">color </w:t>
      </w:r>
      <w:r>
        <w:rPr>
          <w:rFonts w:ascii="Garamond" w:hAnsi="Garamond" w:cs="Garamond"/>
        </w:rPr>
        <w:t xml:space="preserve">and/or non-English speaking beneficiaries, around education </w:t>
      </w:r>
      <w:r>
        <w:rPr>
          <w:rFonts w:ascii="Garamond" w:hAnsi="Garamond" w:cs="Garamond"/>
          <w:spacing w:val="-3"/>
        </w:rPr>
        <w:t xml:space="preserve">and </w:t>
      </w:r>
      <w:r>
        <w:rPr>
          <w:rFonts w:ascii="Garamond" w:hAnsi="Garamond" w:cs="Garamond"/>
        </w:rPr>
        <w:t xml:space="preserve">outreach. Members are more likely to trust </w:t>
      </w:r>
      <w:r>
        <w:rPr>
          <w:rFonts w:ascii="Garamond" w:hAnsi="Garamond" w:cs="Garamond"/>
          <w:spacing w:val="-3"/>
        </w:rPr>
        <w:t xml:space="preserve">CBOs </w:t>
      </w:r>
      <w:r>
        <w:rPr>
          <w:rFonts w:ascii="Garamond" w:hAnsi="Garamond" w:cs="Garamond"/>
        </w:rPr>
        <w:t xml:space="preserve">and local community </w:t>
      </w:r>
      <w:r>
        <w:rPr>
          <w:rFonts w:ascii="Garamond" w:hAnsi="Garamond" w:cs="Garamond"/>
          <w:spacing w:val="-3"/>
        </w:rPr>
        <w:t xml:space="preserve">groups, </w:t>
      </w:r>
      <w:r>
        <w:rPr>
          <w:rFonts w:ascii="Garamond" w:hAnsi="Garamond" w:cs="Garamond"/>
        </w:rPr>
        <w:t xml:space="preserve">which will in turn create more buy-in from the member perspective to join or stay in the </w:t>
      </w:r>
      <w:r>
        <w:rPr>
          <w:rFonts w:ascii="Garamond" w:hAnsi="Garamond" w:cs="Garamond"/>
          <w:spacing w:val="-3"/>
        </w:rPr>
        <w:t>ACO.</w:t>
      </w:r>
    </w:p>
    <w:p w:rsidR="002C5025" w:rsidRDefault="002C5025">
      <w:pPr>
        <w:pStyle w:val="BodyText"/>
        <w:kinsoku w:val="0"/>
        <w:overflowPunct w:val="0"/>
        <w:spacing w:before="8"/>
        <w:rPr>
          <w:rFonts w:ascii="Garamond" w:hAnsi="Garamond" w:cs="Garamond"/>
          <w:sz w:val="21"/>
          <w:szCs w:val="21"/>
        </w:rPr>
      </w:pPr>
    </w:p>
    <w:p w:rsidR="002C5025" w:rsidRDefault="002C5025">
      <w:pPr>
        <w:pStyle w:val="BodyText"/>
        <w:kinsoku w:val="0"/>
        <w:overflowPunct w:val="0"/>
        <w:ind w:left="118" w:right="67" w:firstLine="2"/>
        <w:rPr>
          <w:rFonts w:ascii="Garamond" w:hAnsi="Garamond" w:cs="Garamond"/>
        </w:rPr>
      </w:pPr>
      <w:r>
        <w:rPr>
          <w:rFonts w:ascii="Garamond" w:hAnsi="Garamond" w:cs="Garamond"/>
        </w:rPr>
        <w:t xml:space="preserve">Finally, we recommend that MassHealth convene a work group to advise them on the content to be contained in the core </w:t>
      </w:r>
      <w:r>
        <w:rPr>
          <w:rFonts w:ascii="Garamond" w:hAnsi="Garamond" w:cs="Garamond"/>
          <w:spacing w:val="-4"/>
        </w:rPr>
        <w:t xml:space="preserve">messages </w:t>
      </w:r>
      <w:r>
        <w:rPr>
          <w:rFonts w:ascii="Garamond" w:hAnsi="Garamond" w:cs="Garamond"/>
        </w:rPr>
        <w:t xml:space="preserve">described </w:t>
      </w:r>
      <w:r>
        <w:rPr>
          <w:rFonts w:ascii="Garamond" w:hAnsi="Garamond" w:cs="Garamond"/>
          <w:spacing w:val="-3"/>
        </w:rPr>
        <w:t xml:space="preserve">above, </w:t>
      </w:r>
      <w:r>
        <w:rPr>
          <w:rFonts w:ascii="Garamond" w:hAnsi="Garamond" w:cs="Garamond"/>
        </w:rPr>
        <w:t>and also on the appropriate media and means through</w:t>
      </w:r>
      <w:r>
        <w:rPr>
          <w:rFonts w:ascii="Garamond" w:hAnsi="Garamond" w:cs="Garamond"/>
          <w:spacing w:val="-3"/>
        </w:rPr>
        <w:t xml:space="preserve"> which </w:t>
      </w:r>
      <w:r>
        <w:rPr>
          <w:rFonts w:ascii="Garamond" w:hAnsi="Garamond" w:cs="Garamond"/>
        </w:rPr>
        <w:t xml:space="preserve">messages should be disseminated. Just as the creation of MassHealth </w:t>
      </w:r>
      <w:r>
        <w:rPr>
          <w:rFonts w:ascii="Garamond" w:hAnsi="Garamond" w:cs="Garamond"/>
          <w:spacing w:val="-3"/>
        </w:rPr>
        <w:t xml:space="preserve">ACOs </w:t>
      </w:r>
      <w:r>
        <w:rPr>
          <w:rFonts w:ascii="Garamond" w:hAnsi="Garamond" w:cs="Garamond"/>
        </w:rPr>
        <w:t xml:space="preserve">offers an opportunity to reinvent patient care delivery models, so too do they offer an opportunity to improve communication with </w:t>
      </w:r>
      <w:r>
        <w:rPr>
          <w:rFonts w:ascii="Garamond" w:hAnsi="Garamond" w:cs="Garamond"/>
          <w:spacing w:val="-3"/>
        </w:rPr>
        <w:t xml:space="preserve">and </w:t>
      </w:r>
      <w:r>
        <w:rPr>
          <w:rFonts w:ascii="Garamond" w:hAnsi="Garamond" w:cs="Garamond"/>
        </w:rPr>
        <w:t xml:space="preserve">education for members. This work group should recommend specific language to be incorporated in member communications. The work group should be composed predominately of members, consumer advocates, and providers. It should also include representatives of </w:t>
      </w:r>
      <w:r>
        <w:rPr>
          <w:rFonts w:ascii="Garamond" w:hAnsi="Garamond" w:cs="Garamond"/>
          <w:spacing w:val="-3"/>
        </w:rPr>
        <w:t xml:space="preserve">payers </w:t>
      </w:r>
      <w:r>
        <w:rPr>
          <w:rFonts w:ascii="Garamond" w:hAnsi="Garamond" w:cs="Garamond"/>
        </w:rPr>
        <w:t>and state government agencies, and individuals</w:t>
      </w:r>
    </w:p>
    <w:p w:rsidR="002C5025" w:rsidRDefault="002C5025">
      <w:pPr>
        <w:pStyle w:val="BodyText"/>
        <w:kinsoku w:val="0"/>
        <w:overflowPunct w:val="0"/>
        <w:ind w:left="117" w:right="124"/>
        <w:rPr>
          <w:rFonts w:ascii="Garamond" w:hAnsi="Garamond" w:cs="Garamond"/>
        </w:rPr>
      </w:pPr>
      <w:r>
        <w:rPr>
          <w:rFonts w:ascii="Garamond" w:hAnsi="Garamond" w:cs="Garamond"/>
        </w:rPr>
        <w:t xml:space="preserve">with experience and </w:t>
      </w:r>
      <w:r>
        <w:rPr>
          <w:rFonts w:ascii="Garamond" w:hAnsi="Garamond" w:cs="Garamond"/>
          <w:spacing w:val="-3"/>
        </w:rPr>
        <w:t xml:space="preserve">expertise </w:t>
      </w:r>
      <w:r>
        <w:rPr>
          <w:rFonts w:ascii="Garamond" w:hAnsi="Garamond" w:cs="Garamond"/>
        </w:rPr>
        <w:t>in communications, including communications with populations believed to be at particular risk of under-service or otherwise difficult to engage.</w:t>
      </w:r>
    </w:p>
    <w:p w:rsidR="002C5025" w:rsidRDefault="002C5025">
      <w:pPr>
        <w:pStyle w:val="BodyText"/>
        <w:kinsoku w:val="0"/>
        <w:overflowPunct w:val="0"/>
        <w:spacing w:before="1"/>
        <w:rPr>
          <w:rFonts w:ascii="Garamond" w:hAnsi="Garamond" w:cs="Garamond"/>
        </w:rPr>
      </w:pPr>
    </w:p>
    <w:p w:rsidR="002C5025" w:rsidRDefault="002C5025">
      <w:pPr>
        <w:pStyle w:val="BodyText"/>
        <w:kinsoku w:val="0"/>
        <w:overflowPunct w:val="0"/>
        <w:ind w:left="118" w:right="139" w:firstLine="1"/>
        <w:rPr>
          <w:rFonts w:ascii="Garamond" w:hAnsi="Garamond" w:cs="Garamond"/>
        </w:rPr>
      </w:pPr>
      <w:r>
        <w:rPr>
          <w:rFonts w:ascii="Garamond" w:hAnsi="Garamond" w:cs="Garamond"/>
        </w:rPr>
        <w:t xml:space="preserve">HCFA appreciates the long-standing collaboration between MassHealth and </w:t>
      </w:r>
      <w:r>
        <w:rPr>
          <w:rFonts w:ascii="Garamond" w:hAnsi="Garamond" w:cs="Garamond"/>
          <w:spacing w:val="-3"/>
        </w:rPr>
        <w:t xml:space="preserve">consumer </w:t>
      </w:r>
      <w:r>
        <w:rPr>
          <w:rFonts w:ascii="Garamond" w:hAnsi="Garamond" w:cs="Garamond"/>
        </w:rPr>
        <w:t xml:space="preserve">advocates to improve the MassHealth eligibility </w:t>
      </w:r>
      <w:r>
        <w:rPr>
          <w:rFonts w:ascii="Garamond" w:hAnsi="Garamond" w:cs="Garamond"/>
          <w:spacing w:val="-3"/>
        </w:rPr>
        <w:t xml:space="preserve">and </w:t>
      </w:r>
      <w:r>
        <w:rPr>
          <w:rFonts w:ascii="Garamond" w:hAnsi="Garamond" w:cs="Garamond"/>
        </w:rPr>
        <w:t xml:space="preserve">enrollment process. We believe this collaboration will </w:t>
      </w:r>
      <w:r>
        <w:rPr>
          <w:rFonts w:ascii="Garamond" w:hAnsi="Garamond" w:cs="Garamond"/>
          <w:spacing w:val="-3"/>
        </w:rPr>
        <w:t xml:space="preserve">be </w:t>
      </w:r>
      <w:r>
        <w:rPr>
          <w:rFonts w:ascii="Garamond" w:hAnsi="Garamond" w:cs="Garamond"/>
        </w:rPr>
        <w:t xml:space="preserve">even more </w:t>
      </w:r>
      <w:r>
        <w:rPr>
          <w:rFonts w:ascii="Garamond" w:hAnsi="Garamond" w:cs="Garamond"/>
          <w:spacing w:val="-3"/>
        </w:rPr>
        <w:t xml:space="preserve">important </w:t>
      </w:r>
      <w:r>
        <w:rPr>
          <w:rFonts w:ascii="Garamond" w:hAnsi="Garamond" w:cs="Garamond"/>
        </w:rPr>
        <w:t xml:space="preserve">as MassHealth implements its ACO program, and </w:t>
      </w:r>
      <w:r>
        <w:rPr>
          <w:rFonts w:ascii="Garamond" w:hAnsi="Garamond" w:cs="Garamond"/>
          <w:spacing w:val="-3"/>
        </w:rPr>
        <w:t xml:space="preserve">look </w:t>
      </w:r>
      <w:r>
        <w:rPr>
          <w:rFonts w:ascii="Garamond" w:hAnsi="Garamond" w:cs="Garamond"/>
        </w:rPr>
        <w:t xml:space="preserve">forward to using monthly Medicaid Advocates meetings and other </w:t>
      </w:r>
      <w:r>
        <w:rPr>
          <w:rFonts w:ascii="Garamond" w:hAnsi="Garamond" w:cs="Garamond"/>
          <w:spacing w:val="-3"/>
        </w:rPr>
        <w:t xml:space="preserve">appropriate </w:t>
      </w:r>
      <w:r>
        <w:rPr>
          <w:rFonts w:ascii="Garamond" w:hAnsi="Garamond" w:cs="Garamond"/>
        </w:rPr>
        <w:t xml:space="preserve">forums to elicit feedback throughout development </w:t>
      </w:r>
      <w:r>
        <w:rPr>
          <w:rFonts w:ascii="Garamond" w:hAnsi="Garamond" w:cs="Garamond"/>
          <w:spacing w:val="-3"/>
        </w:rPr>
        <w:t xml:space="preserve">and </w:t>
      </w:r>
      <w:r>
        <w:rPr>
          <w:rFonts w:ascii="Garamond" w:hAnsi="Garamond" w:cs="Garamond"/>
        </w:rPr>
        <w:t xml:space="preserve">implementation of a streamlined member </w:t>
      </w:r>
      <w:r>
        <w:rPr>
          <w:rFonts w:ascii="Garamond" w:hAnsi="Garamond" w:cs="Garamond"/>
          <w:spacing w:val="-3"/>
        </w:rPr>
        <w:t xml:space="preserve">enrollment </w:t>
      </w:r>
      <w:r>
        <w:rPr>
          <w:rFonts w:ascii="Garamond" w:hAnsi="Garamond" w:cs="Garamond"/>
        </w:rPr>
        <w:t>process.</w:t>
      </w:r>
    </w:p>
    <w:p w:rsidR="002C5025" w:rsidRDefault="002C5025">
      <w:pPr>
        <w:pStyle w:val="BodyText"/>
        <w:kinsoku w:val="0"/>
        <w:overflowPunct w:val="0"/>
        <w:rPr>
          <w:rFonts w:ascii="Garamond" w:hAnsi="Garamond" w:cs="Garamond"/>
          <w:sz w:val="21"/>
          <w:szCs w:val="21"/>
        </w:rPr>
      </w:pPr>
    </w:p>
    <w:p w:rsidR="002C5025" w:rsidRDefault="002C5025">
      <w:pPr>
        <w:pStyle w:val="BodyText"/>
        <w:kinsoku w:val="0"/>
        <w:overflowPunct w:val="0"/>
        <w:spacing w:line="265" w:lineRule="exact"/>
        <w:ind w:left="120" w:right="83"/>
        <w:rPr>
          <w:rFonts w:ascii="Garamond" w:hAnsi="Garamond" w:cs="Garamond"/>
          <w:b/>
          <w:bCs/>
          <w:i/>
          <w:iCs/>
          <w:w w:val="90"/>
          <w:sz w:val="24"/>
          <w:szCs w:val="24"/>
        </w:rPr>
      </w:pPr>
      <w:bookmarkStart w:id="173" w:name="Ombudsperson_services"/>
      <w:bookmarkEnd w:id="173"/>
      <w:r>
        <w:rPr>
          <w:rFonts w:ascii="Garamond" w:hAnsi="Garamond" w:cs="Garamond"/>
          <w:b/>
          <w:bCs/>
          <w:i/>
          <w:iCs/>
          <w:w w:val="90"/>
          <w:sz w:val="24"/>
          <w:szCs w:val="24"/>
        </w:rPr>
        <w:t>Ombudsperson services</w:t>
      </w:r>
    </w:p>
    <w:p w:rsidR="002C5025" w:rsidRDefault="002C5025">
      <w:pPr>
        <w:pStyle w:val="BodyText"/>
        <w:kinsoku w:val="0"/>
        <w:overflowPunct w:val="0"/>
        <w:ind w:left="117" w:right="83" w:firstLine="2"/>
        <w:rPr>
          <w:rFonts w:ascii="Garamond" w:hAnsi="Garamond" w:cs="Garamond"/>
        </w:rPr>
      </w:pPr>
      <w:r>
        <w:rPr>
          <w:rFonts w:ascii="Garamond" w:hAnsi="Garamond" w:cs="Garamond"/>
        </w:rPr>
        <w:t xml:space="preserve">We applaud MassHealth for creating a new external ombudsman role that will be available to help ACO enrollees resolve </w:t>
      </w:r>
      <w:r>
        <w:rPr>
          <w:rFonts w:ascii="Garamond" w:hAnsi="Garamond" w:cs="Garamond"/>
          <w:spacing w:val="-3"/>
        </w:rPr>
        <w:t xml:space="preserve">problems or </w:t>
      </w:r>
      <w:r>
        <w:rPr>
          <w:rFonts w:ascii="Garamond" w:hAnsi="Garamond" w:cs="Garamond"/>
        </w:rPr>
        <w:t xml:space="preserve">concerns. We request </w:t>
      </w:r>
      <w:r>
        <w:rPr>
          <w:rFonts w:ascii="Garamond" w:hAnsi="Garamond" w:cs="Garamond"/>
          <w:spacing w:val="-3"/>
        </w:rPr>
        <w:t xml:space="preserve">more </w:t>
      </w:r>
      <w:r>
        <w:rPr>
          <w:rFonts w:ascii="Garamond" w:hAnsi="Garamond" w:cs="Garamond"/>
        </w:rPr>
        <w:t xml:space="preserve">information on how this </w:t>
      </w:r>
      <w:r>
        <w:rPr>
          <w:rFonts w:ascii="Garamond" w:hAnsi="Garamond" w:cs="Garamond"/>
          <w:spacing w:val="-3"/>
        </w:rPr>
        <w:t xml:space="preserve">new </w:t>
      </w:r>
      <w:r>
        <w:rPr>
          <w:rFonts w:ascii="Garamond" w:hAnsi="Garamond" w:cs="Garamond"/>
        </w:rPr>
        <w:t xml:space="preserve">role will function </w:t>
      </w:r>
      <w:r>
        <w:rPr>
          <w:rFonts w:ascii="Garamond" w:hAnsi="Garamond" w:cs="Garamond"/>
          <w:spacing w:val="-3"/>
        </w:rPr>
        <w:t xml:space="preserve">and </w:t>
      </w:r>
      <w:r>
        <w:rPr>
          <w:rFonts w:ascii="Garamond" w:hAnsi="Garamond" w:cs="Garamond"/>
        </w:rPr>
        <w:t xml:space="preserve">the criteria by which its success will be measured. At a minimum, the ombudsperson should be a one-stop source of accurate and up to date information for members, play a key role in </w:t>
      </w:r>
      <w:r>
        <w:rPr>
          <w:rFonts w:ascii="Garamond" w:hAnsi="Garamond" w:cs="Garamond"/>
          <w:spacing w:val="-3"/>
        </w:rPr>
        <w:t xml:space="preserve">helping </w:t>
      </w:r>
      <w:r>
        <w:rPr>
          <w:rFonts w:ascii="Garamond" w:hAnsi="Garamond" w:cs="Garamond"/>
        </w:rPr>
        <w:t xml:space="preserve">members navigate the ACO enrollment process, </w:t>
      </w:r>
      <w:r>
        <w:rPr>
          <w:rFonts w:ascii="Garamond" w:hAnsi="Garamond" w:cs="Garamond"/>
          <w:spacing w:val="-3"/>
        </w:rPr>
        <w:t xml:space="preserve">and </w:t>
      </w:r>
      <w:r>
        <w:rPr>
          <w:rFonts w:ascii="Garamond" w:hAnsi="Garamond" w:cs="Garamond"/>
        </w:rPr>
        <w:t xml:space="preserve">troubleshoot issues with </w:t>
      </w:r>
      <w:r>
        <w:rPr>
          <w:rFonts w:ascii="Garamond" w:hAnsi="Garamond" w:cs="Garamond"/>
          <w:spacing w:val="-3"/>
        </w:rPr>
        <w:t xml:space="preserve">enrollment </w:t>
      </w:r>
      <w:r>
        <w:rPr>
          <w:rFonts w:ascii="Garamond" w:hAnsi="Garamond" w:cs="Garamond"/>
        </w:rPr>
        <w:t xml:space="preserve">and </w:t>
      </w:r>
      <w:r>
        <w:rPr>
          <w:rFonts w:ascii="Garamond" w:hAnsi="Garamond" w:cs="Garamond"/>
          <w:spacing w:val="-3"/>
        </w:rPr>
        <w:t xml:space="preserve">provision </w:t>
      </w:r>
      <w:r>
        <w:rPr>
          <w:rFonts w:ascii="Garamond" w:hAnsi="Garamond" w:cs="Garamond"/>
        </w:rPr>
        <w:t xml:space="preserve">of care. The ombudsman should also have a role in arbitrating and expediting </w:t>
      </w:r>
      <w:r>
        <w:rPr>
          <w:rFonts w:ascii="Garamond" w:hAnsi="Garamond" w:cs="Garamond"/>
          <w:spacing w:val="-4"/>
        </w:rPr>
        <w:t xml:space="preserve">ACO </w:t>
      </w:r>
      <w:r>
        <w:rPr>
          <w:rFonts w:ascii="Garamond" w:hAnsi="Garamond" w:cs="Garamond"/>
        </w:rPr>
        <w:t xml:space="preserve">members’ appeals </w:t>
      </w:r>
      <w:r>
        <w:rPr>
          <w:rFonts w:ascii="Garamond" w:hAnsi="Garamond" w:cs="Garamond"/>
          <w:spacing w:val="-3"/>
        </w:rPr>
        <w:t xml:space="preserve">and </w:t>
      </w:r>
      <w:r>
        <w:rPr>
          <w:rFonts w:ascii="Garamond" w:hAnsi="Garamond" w:cs="Garamond"/>
        </w:rPr>
        <w:t xml:space="preserve">grievances for coverage, </w:t>
      </w:r>
      <w:r>
        <w:rPr>
          <w:rFonts w:ascii="Garamond" w:hAnsi="Garamond" w:cs="Garamond"/>
          <w:spacing w:val="-4"/>
        </w:rPr>
        <w:t xml:space="preserve">as </w:t>
      </w:r>
      <w:r>
        <w:rPr>
          <w:rFonts w:ascii="Garamond" w:hAnsi="Garamond" w:cs="Garamond"/>
        </w:rPr>
        <w:t xml:space="preserve">well as collaborate with the Office of Patient Protection on ACO-specific appeals </w:t>
      </w:r>
      <w:r>
        <w:rPr>
          <w:rFonts w:ascii="Garamond" w:hAnsi="Garamond" w:cs="Garamond"/>
          <w:spacing w:val="-3"/>
        </w:rPr>
        <w:t xml:space="preserve">and </w:t>
      </w:r>
      <w:r>
        <w:rPr>
          <w:rFonts w:ascii="Garamond" w:hAnsi="Garamond" w:cs="Garamond"/>
        </w:rPr>
        <w:t xml:space="preserve">grievances </w:t>
      </w:r>
      <w:r>
        <w:rPr>
          <w:rFonts w:ascii="Garamond" w:hAnsi="Garamond" w:cs="Garamond"/>
          <w:spacing w:val="-3"/>
        </w:rPr>
        <w:t xml:space="preserve">for </w:t>
      </w:r>
      <w:r>
        <w:rPr>
          <w:rFonts w:ascii="Garamond" w:hAnsi="Garamond" w:cs="Garamond"/>
        </w:rPr>
        <w:t xml:space="preserve">treatment or referral decisions. We also request more details as to how the new external ombudsperson will coordinate with other entities and individuals in the community and within provider organizations, including enrollment assisters, who </w:t>
      </w:r>
      <w:r>
        <w:rPr>
          <w:rFonts w:ascii="Garamond" w:hAnsi="Garamond" w:cs="Garamond"/>
          <w:spacing w:val="-4"/>
        </w:rPr>
        <w:t xml:space="preserve">already </w:t>
      </w:r>
      <w:r>
        <w:rPr>
          <w:rFonts w:ascii="Garamond" w:hAnsi="Garamond" w:cs="Garamond"/>
        </w:rPr>
        <w:t xml:space="preserve">provide enrollment </w:t>
      </w:r>
      <w:r>
        <w:rPr>
          <w:rFonts w:ascii="Garamond" w:hAnsi="Garamond" w:cs="Garamond"/>
          <w:spacing w:val="-3"/>
        </w:rPr>
        <w:t xml:space="preserve">and </w:t>
      </w:r>
      <w:r>
        <w:rPr>
          <w:rFonts w:ascii="Garamond" w:hAnsi="Garamond" w:cs="Garamond"/>
        </w:rPr>
        <w:t>provider navigation assistance to members.</w:t>
      </w:r>
    </w:p>
    <w:p w:rsidR="002C5025" w:rsidRDefault="002C5025">
      <w:pPr>
        <w:pStyle w:val="BodyText"/>
        <w:kinsoku w:val="0"/>
        <w:overflowPunct w:val="0"/>
        <w:spacing w:before="1"/>
        <w:rPr>
          <w:rFonts w:ascii="Garamond" w:hAnsi="Garamond" w:cs="Garamond"/>
        </w:rPr>
      </w:pPr>
    </w:p>
    <w:p w:rsidR="002C5025" w:rsidRDefault="002C5025">
      <w:pPr>
        <w:pStyle w:val="BodyText"/>
        <w:kinsoku w:val="0"/>
        <w:overflowPunct w:val="0"/>
        <w:ind w:left="114" w:right="14" w:firstLine="2"/>
        <w:rPr>
          <w:rFonts w:ascii="Garamond" w:hAnsi="Garamond" w:cs="Garamond"/>
        </w:rPr>
      </w:pPr>
      <w:r>
        <w:rPr>
          <w:rFonts w:ascii="Garamond" w:hAnsi="Garamond" w:cs="Garamond"/>
        </w:rPr>
        <w:t xml:space="preserve">We recommend that MassHealth build upon the </w:t>
      </w:r>
      <w:r>
        <w:rPr>
          <w:rFonts w:ascii="Garamond" w:hAnsi="Garamond" w:cs="Garamond"/>
          <w:spacing w:val="-3"/>
        </w:rPr>
        <w:t xml:space="preserve">One </w:t>
      </w:r>
      <w:r>
        <w:rPr>
          <w:rFonts w:ascii="Garamond" w:hAnsi="Garamond" w:cs="Garamond"/>
        </w:rPr>
        <w:t xml:space="preserve">Care ombudsperson role, while eliminating restrictions that impede the office from tracking and reporting systemic issues, reporting data in real time, </w:t>
      </w:r>
      <w:r>
        <w:rPr>
          <w:rFonts w:ascii="Garamond" w:hAnsi="Garamond" w:cs="Garamond"/>
          <w:spacing w:val="-3"/>
        </w:rPr>
        <w:t xml:space="preserve">and </w:t>
      </w:r>
      <w:r>
        <w:rPr>
          <w:rFonts w:ascii="Garamond" w:hAnsi="Garamond" w:cs="Garamond"/>
        </w:rPr>
        <w:t xml:space="preserve">conducting outreach and training of members </w:t>
      </w:r>
      <w:r>
        <w:rPr>
          <w:rFonts w:ascii="Garamond" w:hAnsi="Garamond" w:cs="Garamond"/>
          <w:spacing w:val="-3"/>
        </w:rPr>
        <w:t xml:space="preserve">about </w:t>
      </w:r>
      <w:r>
        <w:rPr>
          <w:rFonts w:ascii="Garamond" w:hAnsi="Garamond" w:cs="Garamond"/>
        </w:rPr>
        <w:t xml:space="preserve">their rights </w:t>
      </w:r>
      <w:r>
        <w:rPr>
          <w:rFonts w:ascii="Garamond" w:hAnsi="Garamond" w:cs="Garamond"/>
          <w:spacing w:val="-3"/>
        </w:rPr>
        <w:t xml:space="preserve">and </w:t>
      </w:r>
      <w:r>
        <w:rPr>
          <w:rFonts w:ascii="Garamond" w:hAnsi="Garamond" w:cs="Garamond"/>
        </w:rPr>
        <w:t xml:space="preserve">responsibilities. Reporting should include race, ethnicity and other population data necessary to track system-wide trends that </w:t>
      </w:r>
      <w:r>
        <w:rPr>
          <w:rFonts w:ascii="Garamond" w:hAnsi="Garamond" w:cs="Garamond"/>
          <w:spacing w:val="-3"/>
        </w:rPr>
        <w:t xml:space="preserve">identify </w:t>
      </w:r>
      <w:r>
        <w:rPr>
          <w:rFonts w:ascii="Garamond" w:hAnsi="Garamond" w:cs="Garamond"/>
        </w:rPr>
        <w:t xml:space="preserve">and measure </w:t>
      </w:r>
      <w:r>
        <w:rPr>
          <w:rFonts w:ascii="Garamond" w:hAnsi="Garamond" w:cs="Garamond"/>
          <w:spacing w:val="-3"/>
        </w:rPr>
        <w:t xml:space="preserve">gaps </w:t>
      </w:r>
      <w:r>
        <w:rPr>
          <w:rFonts w:ascii="Garamond" w:hAnsi="Garamond" w:cs="Garamond"/>
        </w:rPr>
        <w:t xml:space="preserve">in service. The ombudsperson office should track and document an enrollee's case from start to final outcome, and report aggregated data </w:t>
      </w:r>
      <w:r>
        <w:rPr>
          <w:rFonts w:ascii="Garamond" w:hAnsi="Garamond" w:cs="Garamond"/>
          <w:spacing w:val="-3"/>
        </w:rPr>
        <w:t xml:space="preserve">to </w:t>
      </w:r>
      <w:r>
        <w:rPr>
          <w:rFonts w:ascii="Garamond" w:hAnsi="Garamond" w:cs="Garamond"/>
        </w:rPr>
        <w:t xml:space="preserve">ACO advisory </w:t>
      </w:r>
      <w:r>
        <w:rPr>
          <w:rFonts w:ascii="Garamond" w:hAnsi="Garamond" w:cs="Garamond"/>
          <w:spacing w:val="-3"/>
        </w:rPr>
        <w:t xml:space="preserve">bodies </w:t>
      </w:r>
      <w:r>
        <w:rPr>
          <w:rFonts w:ascii="Garamond" w:hAnsi="Garamond" w:cs="Garamond"/>
        </w:rPr>
        <w:t xml:space="preserve">and MassHealth. This data should also be presented in the form of a public-facing dashboard that </w:t>
      </w:r>
      <w:r>
        <w:rPr>
          <w:rFonts w:ascii="Garamond" w:hAnsi="Garamond" w:cs="Garamond"/>
          <w:spacing w:val="-3"/>
        </w:rPr>
        <w:t xml:space="preserve">provides </w:t>
      </w:r>
      <w:r>
        <w:rPr>
          <w:rFonts w:ascii="Garamond" w:hAnsi="Garamond" w:cs="Garamond"/>
        </w:rPr>
        <w:t xml:space="preserve">objective comparisons of </w:t>
      </w:r>
      <w:r>
        <w:rPr>
          <w:rFonts w:ascii="Garamond" w:hAnsi="Garamond" w:cs="Garamond"/>
          <w:spacing w:val="-3"/>
        </w:rPr>
        <w:t xml:space="preserve">enrollee </w:t>
      </w:r>
      <w:r>
        <w:rPr>
          <w:rFonts w:ascii="Garamond" w:hAnsi="Garamond" w:cs="Garamond"/>
        </w:rPr>
        <w:t>grievances, resolutions</w:t>
      </w:r>
    </w:p>
    <w:p w:rsidR="002C5025" w:rsidRDefault="002C5025">
      <w:pPr>
        <w:pStyle w:val="BodyText"/>
        <w:kinsoku w:val="0"/>
        <w:overflowPunct w:val="0"/>
        <w:spacing w:before="2"/>
        <w:ind w:left="114" w:right="83"/>
        <w:rPr>
          <w:rFonts w:ascii="Garamond" w:hAnsi="Garamond" w:cs="Garamond"/>
        </w:rPr>
      </w:pPr>
      <w:r>
        <w:rPr>
          <w:rFonts w:ascii="Garamond" w:hAnsi="Garamond" w:cs="Garamond"/>
        </w:rPr>
        <w:t>and outcomes across ACOs.</w:t>
      </w:r>
    </w:p>
    <w:p w:rsidR="002C5025" w:rsidRDefault="002C5025">
      <w:pPr>
        <w:pStyle w:val="BodyText"/>
        <w:kinsoku w:val="0"/>
        <w:overflowPunct w:val="0"/>
        <w:rPr>
          <w:rFonts w:ascii="Garamond" w:hAnsi="Garamond" w:cs="Garamond"/>
        </w:rPr>
      </w:pPr>
    </w:p>
    <w:p w:rsidR="002C5025" w:rsidRDefault="002C5025">
      <w:pPr>
        <w:pStyle w:val="BodyText"/>
        <w:kinsoku w:val="0"/>
        <w:overflowPunct w:val="0"/>
        <w:ind w:left="120" w:right="83"/>
        <w:rPr>
          <w:rFonts w:ascii="Garamond" w:hAnsi="Garamond" w:cs="Garamond"/>
          <w:b/>
          <w:bCs/>
        </w:rPr>
      </w:pPr>
      <w:bookmarkStart w:id="174" w:name="Quality,_Transparency_and_Monitoring"/>
      <w:bookmarkEnd w:id="174"/>
      <w:r>
        <w:rPr>
          <w:rFonts w:ascii="Garamond" w:hAnsi="Garamond" w:cs="Garamond"/>
          <w:b/>
          <w:bCs/>
          <w:u w:val="single"/>
        </w:rPr>
        <w:t>Quality, Transparency and Monitoring</w:t>
      </w:r>
    </w:p>
    <w:p w:rsidR="002C5025" w:rsidRDefault="002C5025">
      <w:pPr>
        <w:pStyle w:val="BodyText"/>
        <w:kinsoku w:val="0"/>
        <w:overflowPunct w:val="0"/>
        <w:spacing w:before="10"/>
        <w:rPr>
          <w:rFonts w:ascii="Garamond" w:hAnsi="Garamond" w:cs="Garamond"/>
          <w:b/>
          <w:bCs/>
          <w:sz w:val="13"/>
          <w:szCs w:val="13"/>
        </w:rPr>
      </w:pPr>
    </w:p>
    <w:p w:rsidR="002C5025" w:rsidRDefault="002C5025">
      <w:pPr>
        <w:pStyle w:val="BodyText"/>
        <w:kinsoku w:val="0"/>
        <w:overflowPunct w:val="0"/>
        <w:spacing w:before="80" w:line="264" w:lineRule="exact"/>
        <w:ind w:left="120" w:right="83"/>
        <w:rPr>
          <w:rFonts w:ascii="Garamond" w:hAnsi="Garamond" w:cs="Garamond"/>
          <w:b/>
          <w:bCs/>
          <w:i/>
          <w:iCs/>
          <w:w w:val="90"/>
          <w:sz w:val="24"/>
          <w:szCs w:val="24"/>
        </w:rPr>
      </w:pPr>
      <w:r>
        <w:rPr>
          <w:rFonts w:ascii="Garamond" w:hAnsi="Garamond" w:cs="Garamond"/>
          <w:b/>
          <w:bCs/>
          <w:i/>
          <w:iCs/>
          <w:w w:val="90"/>
          <w:sz w:val="24"/>
          <w:szCs w:val="24"/>
        </w:rPr>
        <w:t>Quality metrics</w:t>
      </w:r>
    </w:p>
    <w:p w:rsidR="002C5025" w:rsidRDefault="002C5025">
      <w:pPr>
        <w:pStyle w:val="BodyText"/>
        <w:kinsoku w:val="0"/>
        <w:overflowPunct w:val="0"/>
        <w:ind w:left="119" w:right="158"/>
        <w:rPr>
          <w:rFonts w:ascii="Garamond" w:hAnsi="Garamond" w:cs="Garamond"/>
        </w:rPr>
      </w:pPr>
      <w:r>
        <w:rPr>
          <w:rFonts w:ascii="Garamond" w:hAnsi="Garamond" w:cs="Garamond"/>
        </w:rPr>
        <w:t xml:space="preserve">In order to assess the </w:t>
      </w:r>
      <w:r>
        <w:rPr>
          <w:rFonts w:ascii="Garamond" w:hAnsi="Garamond" w:cs="Garamond"/>
          <w:spacing w:val="-3"/>
        </w:rPr>
        <w:t xml:space="preserve">progress </w:t>
      </w:r>
      <w:r>
        <w:rPr>
          <w:rFonts w:ascii="Garamond" w:hAnsi="Garamond" w:cs="Garamond"/>
        </w:rPr>
        <w:t xml:space="preserve">of the DSRIP program </w:t>
      </w:r>
      <w:r>
        <w:rPr>
          <w:rFonts w:ascii="Garamond" w:hAnsi="Garamond" w:cs="Garamond"/>
          <w:spacing w:val="-3"/>
        </w:rPr>
        <w:t xml:space="preserve">and </w:t>
      </w:r>
      <w:r>
        <w:rPr>
          <w:rFonts w:ascii="Garamond" w:hAnsi="Garamond" w:cs="Garamond"/>
        </w:rPr>
        <w:t xml:space="preserve">ACO models, it is </w:t>
      </w:r>
      <w:r>
        <w:rPr>
          <w:rFonts w:ascii="Garamond" w:hAnsi="Garamond" w:cs="Garamond"/>
          <w:spacing w:val="-3"/>
        </w:rPr>
        <w:t xml:space="preserve">essential </w:t>
      </w:r>
      <w:r>
        <w:rPr>
          <w:rFonts w:ascii="Garamond" w:hAnsi="Garamond" w:cs="Garamond"/>
        </w:rPr>
        <w:t xml:space="preserve">to establish specific quality metrics </w:t>
      </w:r>
      <w:r>
        <w:rPr>
          <w:rFonts w:ascii="Garamond" w:hAnsi="Garamond" w:cs="Garamond"/>
          <w:spacing w:val="-3"/>
        </w:rPr>
        <w:t xml:space="preserve">and </w:t>
      </w:r>
      <w:r>
        <w:rPr>
          <w:rFonts w:ascii="Garamond" w:hAnsi="Garamond" w:cs="Garamond"/>
        </w:rPr>
        <w:t xml:space="preserve">outcome goals. We support MassHealth’s priority domains for quality measurement, which include prevention </w:t>
      </w:r>
      <w:r>
        <w:rPr>
          <w:rFonts w:ascii="Garamond" w:hAnsi="Garamond" w:cs="Garamond"/>
          <w:spacing w:val="-3"/>
        </w:rPr>
        <w:t xml:space="preserve">and </w:t>
      </w:r>
      <w:r>
        <w:rPr>
          <w:rFonts w:ascii="Garamond" w:hAnsi="Garamond" w:cs="Garamond"/>
        </w:rPr>
        <w:t>wellness (including sub-populations such as pediatrics, adolescents, oral, maternity);</w:t>
      </w:r>
      <w:r>
        <w:rPr>
          <w:rFonts w:ascii="Garamond" w:hAnsi="Garamond" w:cs="Garamond"/>
          <w:spacing w:val="-15"/>
        </w:rPr>
        <w:t xml:space="preserve"> </w:t>
      </w:r>
      <w:r>
        <w:rPr>
          <w:rFonts w:ascii="Garamond" w:hAnsi="Garamond" w:cs="Garamond"/>
        </w:rPr>
        <w:t>reduction</w:t>
      </w:r>
      <w:r>
        <w:rPr>
          <w:rFonts w:ascii="Garamond" w:hAnsi="Garamond" w:cs="Garamond"/>
          <w:spacing w:val="-13"/>
        </w:rPr>
        <w:t xml:space="preserve"> </w:t>
      </w:r>
      <w:r>
        <w:rPr>
          <w:rFonts w:ascii="Garamond" w:hAnsi="Garamond" w:cs="Garamond"/>
        </w:rPr>
        <w:t>of</w:t>
      </w:r>
      <w:r>
        <w:rPr>
          <w:rFonts w:ascii="Garamond" w:hAnsi="Garamond" w:cs="Garamond"/>
          <w:spacing w:val="-12"/>
        </w:rPr>
        <w:t xml:space="preserve"> </w:t>
      </w:r>
      <w:r>
        <w:rPr>
          <w:rFonts w:ascii="Garamond" w:hAnsi="Garamond" w:cs="Garamond"/>
        </w:rPr>
        <w:t>avoidable</w:t>
      </w:r>
      <w:r>
        <w:rPr>
          <w:rFonts w:ascii="Garamond" w:hAnsi="Garamond" w:cs="Garamond"/>
          <w:spacing w:val="-13"/>
        </w:rPr>
        <w:t xml:space="preserve"> </w:t>
      </w:r>
      <w:r>
        <w:rPr>
          <w:rFonts w:ascii="Garamond" w:hAnsi="Garamond" w:cs="Garamond"/>
        </w:rPr>
        <w:t>utilization;</w:t>
      </w:r>
      <w:r>
        <w:rPr>
          <w:rFonts w:ascii="Garamond" w:hAnsi="Garamond" w:cs="Garamond"/>
          <w:spacing w:val="-13"/>
        </w:rPr>
        <w:t xml:space="preserve"> </w:t>
      </w:r>
      <w:r>
        <w:rPr>
          <w:rFonts w:ascii="Garamond" w:hAnsi="Garamond" w:cs="Garamond"/>
        </w:rPr>
        <w:t>behavioral</w:t>
      </w:r>
      <w:r>
        <w:rPr>
          <w:rFonts w:ascii="Garamond" w:hAnsi="Garamond" w:cs="Garamond"/>
          <w:spacing w:val="-13"/>
        </w:rPr>
        <w:t xml:space="preserve"> </w:t>
      </w:r>
      <w:r>
        <w:rPr>
          <w:rFonts w:ascii="Garamond" w:hAnsi="Garamond" w:cs="Garamond"/>
        </w:rPr>
        <w:t>health/substance</w:t>
      </w:r>
      <w:r>
        <w:rPr>
          <w:rFonts w:ascii="Garamond" w:hAnsi="Garamond" w:cs="Garamond"/>
          <w:spacing w:val="-15"/>
        </w:rPr>
        <w:t xml:space="preserve"> </w:t>
      </w:r>
      <w:r>
        <w:rPr>
          <w:rFonts w:ascii="Garamond" w:hAnsi="Garamond" w:cs="Garamond"/>
        </w:rPr>
        <w:t>use</w:t>
      </w:r>
      <w:r>
        <w:rPr>
          <w:rFonts w:ascii="Garamond" w:hAnsi="Garamond" w:cs="Garamond"/>
          <w:spacing w:val="-13"/>
        </w:rPr>
        <w:t xml:space="preserve"> </w:t>
      </w:r>
      <w:r>
        <w:rPr>
          <w:rFonts w:ascii="Garamond" w:hAnsi="Garamond" w:cs="Garamond"/>
        </w:rPr>
        <w:t>disorders;</w:t>
      </w:r>
      <w:r>
        <w:rPr>
          <w:rFonts w:ascii="Garamond" w:hAnsi="Garamond" w:cs="Garamond"/>
          <w:spacing w:val="-13"/>
        </w:rPr>
        <w:t xml:space="preserve"> </w:t>
      </w:r>
      <w:r>
        <w:rPr>
          <w:rFonts w:ascii="Garamond" w:hAnsi="Garamond" w:cs="Garamond"/>
        </w:rPr>
        <w:t>LTSS;</w:t>
      </w:r>
      <w:r>
        <w:rPr>
          <w:rFonts w:ascii="Garamond" w:hAnsi="Garamond" w:cs="Garamond"/>
          <w:spacing w:val="-11"/>
        </w:rPr>
        <w:t xml:space="preserve"> </w:t>
      </w:r>
      <w:r>
        <w:rPr>
          <w:rFonts w:ascii="Garamond" w:hAnsi="Garamond" w:cs="Garamond"/>
          <w:spacing w:val="-3"/>
        </w:rPr>
        <w:t>and</w:t>
      </w:r>
      <w:r>
        <w:rPr>
          <w:rFonts w:ascii="Garamond" w:hAnsi="Garamond" w:cs="Garamond"/>
          <w:spacing w:val="-13"/>
        </w:rPr>
        <w:t xml:space="preserve"> </w:t>
      </w:r>
      <w:r>
        <w:rPr>
          <w:rFonts w:ascii="Garamond" w:hAnsi="Garamond" w:cs="Garamond"/>
        </w:rPr>
        <w:t>member</w:t>
      </w:r>
    </w:p>
    <w:p w:rsidR="002C5025" w:rsidRDefault="002C5025">
      <w:pPr>
        <w:pStyle w:val="BodyText"/>
        <w:kinsoku w:val="0"/>
        <w:overflowPunct w:val="0"/>
        <w:spacing w:before="6"/>
        <w:rPr>
          <w:rFonts w:ascii="Garamond" w:hAnsi="Garamond" w:cs="Garamond"/>
          <w:sz w:val="20"/>
          <w:szCs w:val="20"/>
        </w:rPr>
      </w:pPr>
    </w:p>
    <w:p w:rsidR="002C5025" w:rsidRDefault="002C5025">
      <w:pPr>
        <w:pStyle w:val="BodyText"/>
        <w:kinsoku w:val="0"/>
        <w:overflowPunct w:val="0"/>
        <w:spacing w:before="81"/>
        <w:ind w:left="3285" w:right="3201"/>
        <w:jc w:val="center"/>
        <w:rPr>
          <w:rFonts w:ascii="Garamond" w:hAnsi="Garamond" w:cs="Garamond"/>
          <w:sz w:val="20"/>
          <w:szCs w:val="20"/>
        </w:rPr>
      </w:pPr>
      <w:r>
        <w:rPr>
          <w:rFonts w:ascii="Garamond" w:hAnsi="Garamond" w:cs="Garamond"/>
          <w:sz w:val="20"/>
          <w:szCs w:val="20"/>
        </w:rPr>
        <w:t>22</w:t>
      </w:r>
    </w:p>
    <w:p w:rsidR="002C5025" w:rsidRDefault="002C5025">
      <w:pPr>
        <w:pStyle w:val="BodyText"/>
        <w:kinsoku w:val="0"/>
        <w:overflowPunct w:val="0"/>
        <w:spacing w:before="81"/>
        <w:ind w:left="3285" w:right="3201"/>
        <w:jc w:val="center"/>
        <w:rPr>
          <w:rFonts w:ascii="Garamond" w:hAnsi="Garamond" w:cs="Garamond"/>
          <w:sz w:val="20"/>
          <w:szCs w:val="20"/>
        </w:rPr>
        <w:sectPr w:rsidR="002C5025">
          <w:pgSz w:w="12240" w:h="15840"/>
          <w:pgMar w:top="1380" w:right="1400" w:bottom="280" w:left="1320" w:header="720" w:footer="720" w:gutter="0"/>
          <w:cols w:space="720" w:equalWidth="0">
            <w:col w:w="9520"/>
          </w:cols>
          <w:noEndnote/>
        </w:sectPr>
      </w:pPr>
    </w:p>
    <w:p w:rsidR="002C5025" w:rsidRDefault="002C5025">
      <w:pPr>
        <w:pStyle w:val="BodyText"/>
        <w:kinsoku w:val="0"/>
        <w:overflowPunct w:val="0"/>
        <w:spacing w:before="60"/>
        <w:ind w:left="120" w:right="241"/>
        <w:rPr>
          <w:rFonts w:ascii="Garamond" w:hAnsi="Garamond" w:cs="Garamond"/>
        </w:rPr>
      </w:pPr>
      <w:r>
        <w:rPr>
          <w:rFonts w:ascii="Garamond" w:hAnsi="Garamond" w:cs="Garamond"/>
        </w:rPr>
        <w:lastRenderedPageBreak/>
        <w:t>experience (28-29).</w:t>
      </w:r>
    </w:p>
    <w:p w:rsidR="002C5025" w:rsidRDefault="002C5025">
      <w:pPr>
        <w:pStyle w:val="BodyText"/>
        <w:kinsoku w:val="0"/>
        <w:overflowPunct w:val="0"/>
        <w:spacing w:before="10"/>
        <w:rPr>
          <w:rFonts w:ascii="Garamond" w:hAnsi="Garamond" w:cs="Garamond"/>
          <w:sz w:val="21"/>
          <w:szCs w:val="21"/>
        </w:rPr>
      </w:pPr>
    </w:p>
    <w:p w:rsidR="002C5025" w:rsidRDefault="002C5025">
      <w:pPr>
        <w:pStyle w:val="BodyText"/>
        <w:kinsoku w:val="0"/>
        <w:overflowPunct w:val="0"/>
        <w:ind w:left="118" w:right="177" w:firstLine="1"/>
        <w:rPr>
          <w:rFonts w:ascii="Garamond" w:hAnsi="Garamond" w:cs="Garamond"/>
        </w:rPr>
      </w:pPr>
      <w:r>
        <w:rPr>
          <w:rFonts w:ascii="Garamond" w:hAnsi="Garamond" w:cs="Garamond"/>
        </w:rPr>
        <w:t>We seek additional information on these metrics and clarification of MassHealth’s goals related to these quality metrics. In order to understand and measure the reduction in health disparities, we recommend stratifying</w:t>
      </w:r>
      <w:r>
        <w:rPr>
          <w:rFonts w:ascii="Garamond" w:hAnsi="Garamond" w:cs="Garamond"/>
          <w:spacing w:val="-11"/>
        </w:rPr>
        <w:t xml:space="preserve"> </w:t>
      </w:r>
      <w:r>
        <w:rPr>
          <w:rFonts w:ascii="Garamond" w:hAnsi="Garamond" w:cs="Garamond"/>
        </w:rPr>
        <w:t>quality</w:t>
      </w:r>
      <w:r>
        <w:rPr>
          <w:rFonts w:ascii="Garamond" w:hAnsi="Garamond" w:cs="Garamond"/>
          <w:spacing w:val="-13"/>
        </w:rPr>
        <w:t xml:space="preserve"> </w:t>
      </w:r>
      <w:r>
        <w:rPr>
          <w:rFonts w:ascii="Garamond" w:hAnsi="Garamond" w:cs="Garamond"/>
        </w:rPr>
        <w:t>metrics</w:t>
      </w:r>
      <w:r>
        <w:rPr>
          <w:rFonts w:ascii="Garamond" w:hAnsi="Garamond" w:cs="Garamond"/>
          <w:spacing w:val="-7"/>
        </w:rPr>
        <w:t xml:space="preserve"> </w:t>
      </w:r>
      <w:r>
        <w:rPr>
          <w:rFonts w:ascii="Garamond" w:hAnsi="Garamond" w:cs="Garamond"/>
        </w:rPr>
        <w:t>data</w:t>
      </w:r>
      <w:r>
        <w:rPr>
          <w:rFonts w:ascii="Garamond" w:hAnsi="Garamond" w:cs="Garamond"/>
          <w:spacing w:val="-9"/>
        </w:rPr>
        <w:t xml:space="preserve"> </w:t>
      </w:r>
      <w:r>
        <w:rPr>
          <w:rFonts w:ascii="Garamond" w:hAnsi="Garamond" w:cs="Garamond"/>
        </w:rPr>
        <w:t>based</w:t>
      </w:r>
      <w:r>
        <w:rPr>
          <w:rFonts w:ascii="Garamond" w:hAnsi="Garamond" w:cs="Garamond"/>
          <w:spacing w:val="-11"/>
        </w:rPr>
        <w:t xml:space="preserve"> </w:t>
      </w:r>
      <w:r>
        <w:rPr>
          <w:rFonts w:ascii="Garamond" w:hAnsi="Garamond" w:cs="Garamond"/>
        </w:rPr>
        <w:t>on</w:t>
      </w:r>
      <w:r>
        <w:rPr>
          <w:rFonts w:ascii="Garamond" w:hAnsi="Garamond" w:cs="Garamond"/>
          <w:spacing w:val="-12"/>
        </w:rPr>
        <w:t xml:space="preserve"> </w:t>
      </w:r>
      <w:r>
        <w:rPr>
          <w:rFonts w:ascii="Garamond" w:hAnsi="Garamond" w:cs="Garamond"/>
        </w:rPr>
        <w:t>factors,</w:t>
      </w:r>
      <w:r>
        <w:rPr>
          <w:rFonts w:ascii="Garamond" w:hAnsi="Garamond" w:cs="Garamond"/>
          <w:spacing w:val="-11"/>
        </w:rPr>
        <w:t xml:space="preserve"> </w:t>
      </w:r>
      <w:r>
        <w:rPr>
          <w:rFonts w:ascii="Garamond" w:hAnsi="Garamond" w:cs="Garamond"/>
        </w:rPr>
        <w:t>such</w:t>
      </w:r>
      <w:r>
        <w:rPr>
          <w:rFonts w:ascii="Garamond" w:hAnsi="Garamond" w:cs="Garamond"/>
          <w:spacing w:val="-11"/>
        </w:rPr>
        <w:t xml:space="preserve"> </w:t>
      </w:r>
      <w:r>
        <w:rPr>
          <w:rFonts w:ascii="Garamond" w:hAnsi="Garamond" w:cs="Garamond"/>
        </w:rPr>
        <w:t>as</w:t>
      </w:r>
      <w:r>
        <w:rPr>
          <w:rFonts w:ascii="Garamond" w:hAnsi="Garamond" w:cs="Garamond"/>
          <w:spacing w:val="-10"/>
        </w:rPr>
        <w:t xml:space="preserve"> </w:t>
      </w:r>
      <w:r>
        <w:rPr>
          <w:rFonts w:ascii="Garamond" w:hAnsi="Garamond" w:cs="Garamond"/>
        </w:rPr>
        <w:t>disability</w:t>
      </w:r>
      <w:r>
        <w:rPr>
          <w:rFonts w:ascii="Garamond" w:hAnsi="Garamond" w:cs="Garamond"/>
          <w:spacing w:val="-11"/>
        </w:rPr>
        <w:t xml:space="preserve"> </w:t>
      </w:r>
      <w:r>
        <w:rPr>
          <w:rFonts w:ascii="Garamond" w:hAnsi="Garamond" w:cs="Garamond"/>
        </w:rPr>
        <w:t>status,</w:t>
      </w:r>
      <w:r>
        <w:rPr>
          <w:rFonts w:ascii="Garamond" w:hAnsi="Garamond" w:cs="Garamond"/>
          <w:spacing w:val="-11"/>
        </w:rPr>
        <w:t xml:space="preserve"> </w:t>
      </w:r>
      <w:r>
        <w:rPr>
          <w:rFonts w:ascii="Garamond" w:hAnsi="Garamond" w:cs="Garamond"/>
        </w:rPr>
        <w:t>age,</w:t>
      </w:r>
      <w:r>
        <w:rPr>
          <w:rFonts w:ascii="Garamond" w:hAnsi="Garamond" w:cs="Garamond"/>
          <w:spacing w:val="-11"/>
        </w:rPr>
        <w:t xml:space="preserve"> </w:t>
      </w:r>
      <w:r>
        <w:rPr>
          <w:rFonts w:ascii="Garamond" w:hAnsi="Garamond" w:cs="Garamond"/>
        </w:rPr>
        <w:t>race,</w:t>
      </w:r>
      <w:r>
        <w:rPr>
          <w:rFonts w:ascii="Garamond" w:hAnsi="Garamond" w:cs="Garamond"/>
          <w:spacing w:val="-11"/>
        </w:rPr>
        <w:t xml:space="preserve"> </w:t>
      </w:r>
      <w:r>
        <w:rPr>
          <w:rFonts w:ascii="Garamond" w:hAnsi="Garamond" w:cs="Garamond"/>
        </w:rPr>
        <w:t>ethnicity,</w:t>
      </w:r>
      <w:r>
        <w:rPr>
          <w:rFonts w:ascii="Garamond" w:hAnsi="Garamond" w:cs="Garamond"/>
          <w:spacing w:val="-12"/>
        </w:rPr>
        <w:t xml:space="preserve"> </w:t>
      </w:r>
      <w:r>
        <w:rPr>
          <w:rFonts w:ascii="Garamond" w:hAnsi="Garamond" w:cs="Garamond"/>
        </w:rPr>
        <w:t>primary</w:t>
      </w:r>
      <w:r>
        <w:rPr>
          <w:rFonts w:ascii="Garamond" w:hAnsi="Garamond" w:cs="Garamond"/>
          <w:spacing w:val="-9"/>
        </w:rPr>
        <w:t xml:space="preserve"> </w:t>
      </w:r>
      <w:r>
        <w:rPr>
          <w:rFonts w:ascii="Garamond" w:hAnsi="Garamond" w:cs="Garamond"/>
        </w:rPr>
        <w:t xml:space="preserve">language, geography/zip code, gender, gender identity, sexual orientation. Additionally, MassHealth should require ACOs to use the new </w:t>
      </w:r>
      <w:r>
        <w:rPr>
          <w:rFonts w:ascii="Garamond" w:hAnsi="Garamond" w:cs="Garamond"/>
          <w:spacing w:val="-3"/>
        </w:rPr>
        <w:t xml:space="preserve">consensus </w:t>
      </w:r>
      <w:r>
        <w:rPr>
          <w:rFonts w:ascii="Garamond" w:hAnsi="Garamond" w:cs="Garamond"/>
        </w:rPr>
        <w:t xml:space="preserve">metrics, developed by the National Quality Forum (NQF), to assess </w:t>
      </w:r>
      <w:r>
        <w:rPr>
          <w:rFonts w:ascii="Garamond" w:hAnsi="Garamond" w:cs="Garamond"/>
          <w:spacing w:val="-3"/>
        </w:rPr>
        <w:t xml:space="preserve">cultural </w:t>
      </w:r>
      <w:r>
        <w:rPr>
          <w:rFonts w:ascii="Garamond" w:hAnsi="Garamond" w:cs="Garamond"/>
        </w:rPr>
        <w:t>competency and language services.</w:t>
      </w:r>
      <w:r>
        <w:rPr>
          <w:rFonts w:ascii="Garamond" w:hAnsi="Garamond" w:cs="Garamond"/>
          <w:position w:val="5"/>
          <w:sz w:val="14"/>
          <w:szCs w:val="14"/>
        </w:rPr>
        <w:t xml:space="preserve">54 </w:t>
      </w:r>
      <w:r>
        <w:rPr>
          <w:rFonts w:ascii="Garamond" w:hAnsi="Garamond" w:cs="Garamond"/>
        </w:rPr>
        <w:t xml:space="preserve">Implementing these measures is critical to addressing provider biases, poor patient-provider communication, and </w:t>
      </w:r>
      <w:r>
        <w:rPr>
          <w:rFonts w:ascii="Garamond" w:hAnsi="Garamond" w:cs="Garamond"/>
          <w:spacing w:val="-3"/>
        </w:rPr>
        <w:t xml:space="preserve">poor </w:t>
      </w:r>
      <w:r>
        <w:rPr>
          <w:rFonts w:ascii="Garamond" w:hAnsi="Garamond" w:cs="Garamond"/>
        </w:rPr>
        <w:t xml:space="preserve">health literacy. We further recommend that MassHealth define avoidable utilization </w:t>
      </w:r>
      <w:r>
        <w:rPr>
          <w:rFonts w:ascii="Garamond" w:hAnsi="Garamond" w:cs="Garamond"/>
          <w:spacing w:val="-3"/>
        </w:rPr>
        <w:t xml:space="preserve">and </w:t>
      </w:r>
      <w:r>
        <w:rPr>
          <w:rFonts w:ascii="Garamond" w:hAnsi="Garamond" w:cs="Garamond"/>
        </w:rPr>
        <w:t xml:space="preserve">include tracking underutilization as described above. LTSS measures </w:t>
      </w:r>
      <w:r>
        <w:rPr>
          <w:rFonts w:ascii="Garamond" w:hAnsi="Garamond" w:cs="Garamond"/>
          <w:spacing w:val="-3"/>
        </w:rPr>
        <w:t xml:space="preserve">should </w:t>
      </w:r>
      <w:r>
        <w:rPr>
          <w:rFonts w:ascii="Garamond" w:hAnsi="Garamond" w:cs="Garamond"/>
        </w:rPr>
        <w:t>be</w:t>
      </w:r>
      <w:r>
        <w:rPr>
          <w:rFonts w:ascii="Garamond" w:hAnsi="Garamond" w:cs="Garamond"/>
          <w:spacing w:val="-6"/>
        </w:rPr>
        <w:t xml:space="preserve"> </w:t>
      </w:r>
      <w:r>
        <w:rPr>
          <w:rFonts w:ascii="Garamond" w:hAnsi="Garamond" w:cs="Garamond"/>
        </w:rPr>
        <w:t>developed</w:t>
      </w:r>
      <w:r>
        <w:rPr>
          <w:rFonts w:ascii="Garamond" w:hAnsi="Garamond" w:cs="Garamond"/>
          <w:spacing w:val="-5"/>
        </w:rPr>
        <w:t xml:space="preserve"> </w:t>
      </w:r>
      <w:r>
        <w:rPr>
          <w:rFonts w:ascii="Garamond" w:hAnsi="Garamond" w:cs="Garamond"/>
        </w:rPr>
        <w:t>and</w:t>
      </w:r>
      <w:r>
        <w:rPr>
          <w:rFonts w:ascii="Garamond" w:hAnsi="Garamond" w:cs="Garamond"/>
          <w:spacing w:val="-8"/>
        </w:rPr>
        <w:t xml:space="preserve"> </w:t>
      </w:r>
      <w:r>
        <w:rPr>
          <w:rFonts w:ascii="Garamond" w:hAnsi="Garamond" w:cs="Garamond"/>
        </w:rPr>
        <w:t>aligned</w:t>
      </w:r>
      <w:r>
        <w:rPr>
          <w:rFonts w:ascii="Garamond" w:hAnsi="Garamond" w:cs="Garamond"/>
          <w:spacing w:val="-8"/>
        </w:rPr>
        <w:t xml:space="preserve"> </w:t>
      </w:r>
      <w:r>
        <w:rPr>
          <w:rFonts w:ascii="Garamond" w:hAnsi="Garamond" w:cs="Garamond"/>
        </w:rPr>
        <w:t>with</w:t>
      </w:r>
      <w:r>
        <w:rPr>
          <w:rFonts w:ascii="Garamond" w:hAnsi="Garamond" w:cs="Garamond"/>
          <w:spacing w:val="-5"/>
        </w:rPr>
        <w:t xml:space="preserve"> </w:t>
      </w:r>
      <w:r>
        <w:rPr>
          <w:rFonts w:ascii="Garamond" w:hAnsi="Garamond" w:cs="Garamond"/>
        </w:rPr>
        <w:t>those</w:t>
      </w:r>
      <w:r>
        <w:rPr>
          <w:rFonts w:ascii="Garamond" w:hAnsi="Garamond" w:cs="Garamond"/>
          <w:spacing w:val="-10"/>
        </w:rPr>
        <w:t xml:space="preserve"> </w:t>
      </w:r>
      <w:r>
        <w:rPr>
          <w:rFonts w:ascii="Garamond" w:hAnsi="Garamond" w:cs="Garamond"/>
        </w:rPr>
        <w:t>used</w:t>
      </w:r>
      <w:r>
        <w:rPr>
          <w:rFonts w:ascii="Garamond" w:hAnsi="Garamond" w:cs="Garamond"/>
          <w:spacing w:val="-5"/>
        </w:rPr>
        <w:t xml:space="preserve"> </w:t>
      </w:r>
      <w:r>
        <w:rPr>
          <w:rFonts w:ascii="Garamond" w:hAnsi="Garamond" w:cs="Garamond"/>
        </w:rPr>
        <w:t>in</w:t>
      </w:r>
      <w:r>
        <w:rPr>
          <w:rFonts w:ascii="Garamond" w:hAnsi="Garamond" w:cs="Garamond"/>
          <w:spacing w:val="-10"/>
        </w:rPr>
        <w:t xml:space="preserve"> </w:t>
      </w:r>
      <w:r>
        <w:rPr>
          <w:rFonts w:ascii="Garamond" w:hAnsi="Garamond" w:cs="Garamond"/>
        </w:rPr>
        <w:t>the</w:t>
      </w:r>
      <w:r>
        <w:rPr>
          <w:rFonts w:ascii="Garamond" w:hAnsi="Garamond" w:cs="Garamond"/>
          <w:spacing w:val="-10"/>
        </w:rPr>
        <w:t xml:space="preserve"> </w:t>
      </w:r>
      <w:r>
        <w:rPr>
          <w:rFonts w:ascii="Garamond" w:hAnsi="Garamond" w:cs="Garamond"/>
        </w:rPr>
        <w:t>One</w:t>
      </w:r>
      <w:r>
        <w:rPr>
          <w:rFonts w:ascii="Garamond" w:hAnsi="Garamond" w:cs="Garamond"/>
          <w:spacing w:val="-8"/>
        </w:rPr>
        <w:t xml:space="preserve"> </w:t>
      </w:r>
      <w:r>
        <w:rPr>
          <w:rFonts w:ascii="Garamond" w:hAnsi="Garamond" w:cs="Garamond"/>
        </w:rPr>
        <w:t>Care</w:t>
      </w:r>
      <w:r>
        <w:rPr>
          <w:rFonts w:ascii="Garamond" w:hAnsi="Garamond" w:cs="Garamond"/>
          <w:spacing w:val="-6"/>
        </w:rPr>
        <w:t xml:space="preserve"> </w:t>
      </w:r>
      <w:r>
        <w:rPr>
          <w:rFonts w:ascii="Garamond" w:hAnsi="Garamond" w:cs="Garamond"/>
        </w:rPr>
        <w:t>program.</w:t>
      </w:r>
    </w:p>
    <w:p w:rsidR="002C5025" w:rsidRDefault="002C5025">
      <w:pPr>
        <w:pStyle w:val="BodyText"/>
        <w:kinsoku w:val="0"/>
        <w:overflowPunct w:val="0"/>
        <w:spacing w:before="1"/>
        <w:rPr>
          <w:rFonts w:ascii="Garamond" w:hAnsi="Garamond" w:cs="Garamond"/>
        </w:rPr>
      </w:pPr>
    </w:p>
    <w:p w:rsidR="002C5025" w:rsidRDefault="002C5025">
      <w:pPr>
        <w:pStyle w:val="BodyText"/>
        <w:kinsoku w:val="0"/>
        <w:overflowPunct w:val="0"/>
        <w:ind w:left="118" w:right="94" w:firstLine="1"/>
        <w:rPr>
          <w:rFonts w:ascii="Garamond" w:hAnsi="Garamond" w:cs="Garamond"/>
        </w:rPr>
      </w:pPr>
      <w:r>
        <w:rPr>
          <w:rFonts w:ascii="Garamond" w:hAnsi="Garamond" w:cs="Garamond"/>
        </w:rPr>
        <w:t xml:space="preserve">Member experience metrics will surely evolve over time to capture improved integration of physical health, behavioral health, LTSS, </w:t>
      </w:r>
      <w:r>
        <w:rPr>
          <w:rFonts w:ascii="Garamond" w:hAnsi="Garamond" w:cs="Garamond"/>
          <w:spacing w:val="-3"/>
        </w:rPr>
        <w:t xml:space="preserve">oral </w:t>
      </w:r>
      <w:r>
        <w:rPr>
          <w:rFonts w:ascii="Garamond" w:hAnsi="Garamond" w:cs="Garamond"/>
        </w:rPr>
        <w:t xml:space="preserve">health, and social services (29). As </w:t>
      </w:r>
      <w:r>
        <w:rPr>
          <w:rFonts w:ascii="Garamond" w:hAnsi="Garamond" w:cs="Garamond"/>
          <w:spacing w:val="-3"/>
        </w:rPr>
        <w:t xml:space="preserve">part </w:t>
      </w:r>
      <w:r>
        <w:rPr>
          <w:rFonts w:ascii="Garamond" w:hAnsi="Garamond" w:cs="Garamond"/>
        </w:rPr>
        <w:t xml:space="preserve">of that process, we urge MassHealth to obtain more in-depth </w:t>
      </w:r>
      <w:r>
        <w:rPr>
          <w:rFonts w:ascii="Garamond" w:hAnsi="Garamond" w:cs="Garamond"/>
          <w:spacing w:val="-3"/>
        </w:rPr>
        <w:t xml:space="preserve">consumer </w:t>
      </w:r>
      <w:r>
        <w:rPr>
          <w:rFonts w:ascii="Garamond" w:hAnsi="Garamond" w:cs="Garamond"/>
        </w:rPr>
        <w:t xml:space="preserve">input on the member experience metrics </w:t>
      </w:r>
      <w:r>
        <w:rPr>
          <w:rFonts w:ascii="Garamond" w:hAnsi="Garamond" w:cs="Garamond"/>
          <w:spacing w:val="-3"/>
        </w:rPr>
        <w:t xml:space="preserve">and </w:t>
      </w:r>
      <w:r>
        <w:rPr>
          <w:rFonts w:ascii="Garamond" w:hAnsi="Garamond" w:cs="Garamond"/>
        </w:rPr>
        <w:t xml:space="preserve">survey. This includes </w:t>
      </w:r>
      <w:r>
        <w:rPr>
          <w:rFonts w:ascii="Garamond" w:hAnsi="Garamond" w:cs="Garamond"/>
          <w:spacing w:val="-4"/>
        </w:rPr>
        <w:t xml:space="preserve">convening </w:t>
      </w:r>
      <w:r>
        <w:rPr>
          <w:rFonts w:ascii="Garamond" w:hAnsi="Garamond" w:cs="Garamond"/>
        </w:rPr>
        <w:t>a</w:t>
      </w:r>
      <w:r>
        <w:rPr>
          <w:rFonts w:ascii="Garamond" w:hAnsi="Garamond" w:cs="Garamond"/>
          <w:spacing w:val="-5"/>
        </w:rPr>
        <w:t xml:space="preserve"> </w:t>
      </w:r>
      <w:r>
        <w:rPr>
          <w:rFonts w:ascii="Garamond" w:hAnsi="Garamond" w:cs="Garamond"/>
        </w:rPr>
        <w:t>technical</w:t>
      </w:r>
      <w:r>
        <w:rPr>
          <w:rFonts w:ascii="Garamond" w:hAnsi="Garamond" w:cs="Garamond"/>
          <w:spacing w:val="-7"/>
        </w:rPr>
        <w:t xml:space="preserve"> </w:t>
      </w:r>
      <w:r>
        <w:rPr>
          <w:rFonts w:ascii="Garamond" w:hAnsi="Garamond" w:cs="Garamond"/>
        </w:rPr>
        <w:t>expert</w:t>
      </w:r>
      <w:r>
        <w:rPr>
          <w:rFonts w:ascii="Garamond" w:hAnsi="Garamond" w:cs="Garamond"/>
          <w:spacing w:val="-6"/>
        </w:rPr>
        <w:t xml:space="preserve"> </w:t>
      </w:r>
      <w:r>
        <w:rPr>
          <w:rFonts w:ascii="Garamond" w:hAnsi="Garamond" w:cs="Garamond"/>
        </w:rPr>
        <w:t>panel</w:t>
      </w:r>
      <w:r>
        <w:rPr>
          <w:rFonts w:ascii="Garamond" w:hAnsi="Garamond" w:cs="Garamond"/>
          <w:spacing w:val="-5"/>
        </w:rPr>
        <w:t xml:space="preserve"> </w:t>
      </w:r>
      <w:r>
        <w:rPr>
          <w:rFonts w:ascii="Garamond" w:hAnsi="Garamond" w:cs="Garamond"/>
        </w:rPr>
        <w:t>to</w:t>
      </w:r>
      <w:r>
        <w:rPr>
          <w:rFonts w:ascii="Garamond" w:hAnsi="Garamond" w:cs="Garamond"/>
          <w:spacing w:val="-7"/>
        </w:rPr>
        <w:t xml:space="preserve"> </w:t>
      </w:r>
      <w:r>
        <w:rPr>
          <w:rFonts w:ascii="Garamond" w:hAnsi="Garamond" w:cs="Garamond"/>
        </w:rPr>
        <w:t>define</w:t>
      </w:r>
      <w:r>
        <w:rPr>
          <w:rFonts w:ascii="Garamond" w:hAnsi="Garamond" w:cs="Garamond"/>
          <w:spacing w:val="-5"/>
        </w:rPr>
        <w:t xml:space="preserve"> </w:t>
      </w:r>
      <w:r>
        <w:rPr>
          <w:rFonts w:ascii="Garamond" w:hAnsi="Garamond" w:cs="Garamond"/>
        </w:rPr>
        <w:t>a</w:t>
      </w:r>
      <w:r>
        <w:rPr>
          <w:rFonts w:ascii="Garamond" w:hAnsi="Garamond" w:cs="Garamond"/>
          <w:spacing w:val="-10"/>
        </w:rPr>
        <w:t xml:space="preserve"> </w:t>
      </w:r>
      <w:r>
        <w:rPr>
          <w:rFonts w:ascii="Garamond" w:hAnsi="Garamond" w:cs="Garamond"/>
        </w:rPr>
        <w:t>survey,</w:t>
      </w:r>
      <w:r>
        <w:rPr>
          <w:rFonts w:ascii="Garamond" w:hAnsi="Garamond" w:cs="Garamond"/>
          <w:spacing w:val="-7"/>
        </w:rPr>
        <w:t xml:space="preserve"> </w:t>
      </w:r>
      <w:r>
        <w:rPr>
          <w:rFonts w:ascii="Garamond" w:hAnsi="Garamond" w:cs="Garamond"/>
        </w:rPr>
        <w:t>and</w:t>
      </w:r>
      <w:r>
        <w:rPr>
          <w:rFonts w:ascii="Garamond" w:hAnsi="Garamond" w:cs="Garamond"/>
          <w:spacing w:val="-7"/>
        </w:rPr>
        <w:t xml:space="preserve"> </w:t>
      </w:r>
      <w:r>
        <w:rPr>
          <w:rFonts w:ascii="Garamond" w:hAnsi="Garamond" w:cs="Garamond"/>
        </w:rPr>
        <w:t>then</w:t>
      </w:r>
      <w:r>
        <w:rPr>
          <w:rFonts w:ascii="Garamond" w:hAnsi="Garamond" w:cs="Garamond"/>
          <w:spacing w:val="-4"/>
        </w:rPr>
        <w:t xml:space="preserve"> </w:t>
      </w:r>
      <w:r>
        <w:rPr>
          <w:rFonts w:ascii="Garamond" w:hAnsi="Garamond" w:cs="Garamond"/>
          <w:spacing w:val="-3"/>
        </w:rPr>
        <w:t>cognitive</w:t>
      </w:r>
      <w:r>
        <w:rPr>
          <w:rFonts w:ascii="Garamond" w:hAnsi="Garamond" w:cs="Garamond"/>
          <w:spacing w:val="-7"/>
        </w:rPr>
        <w:t xml:space="preserve"> </w:t>
      </w:r>
      <w:r>
        <w:rPr>
          <w:rFonts w:ascii="Garamond" w:hAnsi="Garamond" w:cs="Garamond"/>
        </w:rPr>
        <w:t>testing</w:t>
      </w:r>
      <w:r>
        <w:rPr>
          <w:rFonts w:ascii="Garamond" w:hAnsi="Garamond" w:cs="Garamond"/>
          <w:spacing w:val="-7"/>
        </w:rPr>
        <w:t xml:space="preserve"> </w:t>
      </w:r>
      <w:r>
        <w:rPr>
          <w:rFonts w:ascii="Garamond" w:hAnsi="Garamond" w:cs="Garamond"/>
        </w:rPr>
        <w:t>and</w:t>
      </w:r>
      <w:r>
        <w:rPr>
          <w:rFonts w:ascii="Garamond" w:hAnsi="Garamond" w:cs="Garamond"/>
          <w:spacing w:val="-4"/>
        </w:rPr>
        <w:t xml:space="preserve"> </w:t>
      </w:r>
      <w:r>
        <w:rPr>
          <w:rFonts w:ascii="Garamond" w:hAnsi="Garamond" w:cs="Garamond"/>
          <w:spacing w:val="-3"/>
        </w:rPr>
        <w:t>pilot</w:t>
      </w:r>
      <w:r>
        <w:rPr>
          <w:rFonts w:ascii="Garamond" w:hAnsi="Garamond" w:cs="Garamond"/>
          <w:spacing w:val="-9"/>
        </w:rPr>
        <w:t xml:space="preserve"> </w:t>
      </w:r>
      <w:r>
        <w:rPr>
          <w:rFonts w:ascii="Garamond" w:hAnsi="Garamond" w:cs="Garamond"/>
        </w:rPr>
        <w:t>testing</w:t>
      </w:r>
      <w:r>
        <w:rPr>
          <w:rFonts w:ascii="Garamond" w:hAnsi="Garamond" w:cs="Garamond"/>
          <w:spacing w:val="-10"/>
        </w:rPr>
        <w:t xml:space="preserve"> </w:t>
      </w:r>
      <w:r>
        <w:rPr>
          <w:rFonts w:ascii="Garamond" w:hAnsi="Garamond" w:cs="Garamond"/>
        </w:rPr>
        <w:t>of</w:t>
      </w:r>
      <w:r>
        <w:rPr>
          <w:rFonts w:ascii="Garamond" w:hAnsi="Garamond" w:cs="Garamond"/>
          <w:spacing w:val="-4"/>
        </w:rPr>
        <w:t xml:space="preserve"> </w:t>
      </w:r>
      <w:r>
        <w:rPr>
          <w:rFonts w:ascii="Garamond" w:hAnsi="Garamond" w:cs="Garamond"/>
        </w:rPr>
        <w:t>the</w:t>
      </w:r>
      <w:r>
        <w:rPr>
          <w:rFonts w:ascii="Garamond" w:hAnsi="Garamond" w:cs="Garamond"/>
          <w:spacing w:val="-10"/>
        </w:rPr>
        <w:t xml:space="preserve"> </w:t>
      </w:r>
      <w:r>
        <w:rPr>
          <w:rFonts w:ascii="Garamond" w:hAnsi="Garamond" w:cs="Garamond"/>
        </w:rPr>
        <w:t>survey</w:t>
      </w:r>
      <w:r>
        <w:rPr>
          <w:rFonts w:ascii="Garamond" w:hAnsi="Garamond" w:cs="Garamond"/>
          <w:spacing w:val="-5"/>
        </w:rPr>
        <w:t xml:space="preserve"> </w:t>
      </w:r>
      <w:r>
        <w:rPr>
          <w:rFonts w:ascii="Garamond" w:hAnsi="Garamond" w:cs="Garamond"/>
        </w:rPr>
        <w:t>instrument with</w:t>
      </w:r>
      <w:r>
        <w:rPr>
          <w:rFonts w:ascii="Garamond" w:hAnsi="Garamond" w:cs="Garamond"/>
          <w:spacing w:val="-10"/>
        </w:rPr>
        <w:t xml:space="preserve"> </w:t>
      </w:r>
      <w:r>
        <w:rPr>
          <w:rFonts w:ascii="Garamond" w:hAnsi="Garamond" w:cs="Garamond"/>
        </w:rPr>
        <w:t>members</w:t>
      </w:r>
      <w:r>
        <w:rPr>
          <w:rFonts w:ascii="Garamond" w:hAnsi="Garamond" w:cs="Garamond"/>
          <w:spacing w:val="-9"/>
        </w:rPr>
        <w:t xml:space="preserve"> </w:t>
      </w:r>
      <w:r>
        <w:rPr>
          <w:rFonts w:ascii="Garamond" w:hAnsi="Garamond" w:cs="Garamond"/>
        </w:rPr>
        <w:t>to</w:t>
      </w:r>
      <w:r>
        <w:rPr>
          <w:rFonts w:ascii="Garamond" w:hAnsi="Garamond" w:cs="Garamond"/>
          <w:spacing w:val="-11"/>
        </w:rPr>
        <w:t xml:space="preserve"> </w:t>
      </w:r>
      <w:r>
        <w:rPr>
          <w:rFonts w:ascii="Garamond" w:hAnsi="Garamond" w:cs="Garamond"/>
        </w:rPr>
        <w:t>ensure</w:t>
      </w:r>
      <w:r>
        <w:rPr>
          <w:rFonts w:ascii="Garamond" w:hAnsi="Garamond" w:cs="Garamond"/>
          <w:spacing w:val="-10"/>
        </w:rPr>
        <w:t xml:space="preserve"> </w:t>
      </w:r>
      <w:r>
        <w:rPr>
          <w:rFonts w:ascii="Garamond" w:hAnsi="Garamond" w:cs="Garamond"/>
        </w:rPr>
        <w:t>that</w:t>
      </w:r>
      <w:r>
        <w:rPr>
          <w:rFonts w:ascii="Garamond" w:hAnsi="Garamond" w:cs="Garamond"/>
          <w:spacing w:val="-9"/>
        </w:rPr>
        <w:t xml:space="preserve"> </w:t>
      </w:r>
      <w:r>
        <w:rPr>
          <w:rFonts w:ascii="Garamond" w:hAnsi="Garamond" w:cs="Garamond"/>
        </w:rPr>
        <w:t>it</w:t>
      </w:r>
      <w:r>
        <w:rPr>
          <w:rFonts w:ascii="Garamond" w:hAnsi="Garamond" w:cs="Garamond"/>
          <w:spacing w:val="-7"/>
        </w:rPr>
        <w:t xml:space="preserve"> </w:t>
      </w:r>
      <w:r>
        <w:rPr>
          <w:rFonts w:ascii="Garamond" w:hAnsi="Garamond" w:cs="Garamond"/>
        </w:rPr>
        <w:t>appropriately</w:t>
      </w:r>
      <w:r>
        <w:rPr>
          <w:rFonts w:ascii="Garamond" w:hAnsi="Garamond" w:cs="Garamond"/>
          <w:spacing w:val="-10"/>
        </w:rPr>
        <w:t xml:space="preserve"> </w:t>
      </w:r>
      <w:r>
        <w:rPr>
          <w:rFonts w:ascii="Garamond" w:hAnsi="Garamond" w:cs="Garamond"/>
        </w:rPr>
        <w:t>captures</w:t>
      </w:r>
      <w:r>
        <w:rPr>
          <w:rFonts w:ascii="Garamond" w:hAnsi="Garamond" w:cs="Garamond"/>
          <w:spacing w:val="-4"/>
        </w:rPr>
        <w:t xml:space="preserve"> </w:t>
      </w:r>
      <w:r>
        <w:rPr>
          <w:rFonts w:ascii="Garamond" w:hAnsi="Garamond" w:cs="Garamond"/>
          <w:spacing w:val="-3"/>
        </w:rPr>
        <w:t>consumer</w:t>
      </w:r>
      <w:r>
        <w:rPr>
          <w:rFonts w:ascii="Garamond" w:hAnsi="Garamond" w:cs="Garamond"/>
          <w:spacing w:val="-9"/>
        </w:rPr>
        <w:t xml:space="preserve"> </w:t>
      </w:r>
      <w:r>
        <w:rPr>
          <w:rFonts w:ascii="Garamond" w:hAnsi="Garamond" w:cs="Garamond"/>
        </w:rPr>
        <w:t>input.</w:t>
      </w:r>
      <w:r>
        <w:rPr>
          <w:rFonts w:ascii="Garamond" w:hAnsi="Garamond" w:cs="Garamond"/>
          <w:spacing w:val="-11"/>
        </w:rPr>
        <w:t xml:space="preserve"> </w:t>
      </w:r>
      <w:r>
        <w:rPr>
          <w:rFonts w:ascii="Garamond" w:hAnsi="Garamond" w:cs="Garamond"/>
        </w:rPr>
        <w:t>Questions</w:t>
      </w:r>
      <w:r>
        <w:rPr>
          <w:rFonts w:ascii="Garamond" w:hAnsi="Garamond" w:cs="Garamond"/>
          <w:spacing w:val="-6"/>
        </w:rPr>
        <w:t xml:space="preserve"> </w:t>
      </w:r>
      <w:r>
        <w:rPr>
          <w:rFonts w:ascii="Garamond" w:hAnsi="Garamond" w:cs="Garamond"/>
        </w:rPr>
        <w:t>about</w:t>
      </w:r>
      <w:r>
        <w:rPr>
          <w:rFonts w:ascii="Garamond" w:hAnsi="Garamond" w:cs="Garamond"/>
          <w:spacing w:val="-11"/>
        </w:rPr>
        <w:t xml:space="preserve"> </w:t>
      </w:r>
      <w:r>
        <w:rPr>
          <w:rFonts w:ascii="Garamond" w:hAnsi="Garamond" w:cs="Garamond"/>
        </w:rPr>
        <w:t>survey</w:t>
      </w:r>
      <w:r>
        <w:rPr>
          <w:rFonts w:ascii="Garamond" w:hAnsi="Garamond" w:cs="Garamond"/>
          <w:spacing w:val="-8"/>
        </w:rPr>
        <w:t xml:space="preserve"> </w:t>
      </w:r>
      <w:r>
        <w:rPr>
          <w:rFonts w:ascii="Garamond" w:hAnsi="Garamond" w:cs="Garamond"/>
        </w:rPr>
        <w:t>length</w:t>
      </w:r>
    </w:p>
    <w:p w:rsidR="002C5025" w:rsidRDefault="002C5025">
      <w:pPr>
        <w:pStyle w:val="BodyText"/>
        <w:kinsoku w:val="0"/>
        <w:overflowPunct w:val="0"/>
        <w:spacing w:line="247" w:lineRule="exact"/>
        <w:ind w:left="117" w:right="241"/>
        <w:rPr>
          <w:rFonts w:ascii="Garamond" w:hAnsi="Garamond" w:cs="Garamond"/>
        </w:rPr>
      </w:pPr>
      <w:r>
        <w:rPr>
          <w:rFonts w:ascii="Garamond" w:hAnsi="Garamond" w:cs="Garamond"/>
        </w:rPr>
        <w:t>and completion rates can also be empirically answered through such testing.</w:t>
      </w:r>
    </w:p>
    <w:p w:rsidR="002C5025" w:rsidRDefault="002C5025">
      <w:pPr>
        <w:pStyle w:val="BodyText"/>
        <w:kinsoku w:val="0"/>
        <w:overflowPunct w:val="0"/>
        <w:spacing w:before="10"/>
        <w:rPr>
          <w:rFonts w:ascii="Garamond" w:hAnsi="Garamond" w:cs="Garamond"/>
          <w:sz w:val="21"/>
          <w:szCs w:val="21"/>
        </w:rPr>
      </w:pPr>
    </w:p>
    <w:p w:rsidR="002C5025" w:rsidRDefault="002C5025">
      <w:pPr>
        <w:pStyle w:val="BodyText"/>
        <w:kinsoku w:val="0"/>
        <w:overflowPunct w:val="0"/>
        <w:ind w:left="118" w:right="117" w:firstLine="1"/>
        <w:rPr>
          <w:rFonts w:ascii="Garamond" w:hAnsi="Garamond" w:cs="Garamond"/>
        </w:rPr>
      </w:pPr>
      <w:r>
        <w:rPr>
          <w:rFonts w:ascii="Garamond" w:hAnsi="Garamond" w:cs="Garamond"/>
        </w:rPr>
        <w:t xml:space="preserve">We recommend that MassHealth use and simplify the </w:t>
      </w:r>
      <w:r>
        <w:rPr>
          <w:rFonts w:ascii="Garamond" w:hAnsi="Garamond" w:cs="Garamond"/>
          <w:spacing w:val="-3"/>
        </w:rPr>
        <w:t xml:space="preserve">Consumer </w:t>
      </w:r>
      <w:r>
        <w:rPr>
          <w:rFonts w:ascii="Garamond" w:hAnsi="Garamond" w:cs="Garamond"/>
        </w:rPr>
        <w:t xml:space="preserve">Assessment of Healthcare Providers and Systems (CAHPS) baseline </w:t>
      </w:r>
      <w:r>
        <w:rPr>
          <w:rFonts w:ascii="Garamond" w:hAnsi="Garamond" w:cs="Garamond"/>
          <w:spacing w:val="-3"/>
        </w:rPr>
        <w:t xml:space="preserve">and </w:t>
      </w:r>
      <w:r>
        <w:rPr>
          <w:rFonts w:ascii="Garamond" w:hAnsi="Garamond" w:cs="Garamond"/>
        </w:rPr>
        <w:t xml:space="preserve">supplemental measures as </w:t>
      </w:r>
      <w:r>
        <w:rPr>
          <w:rFonts w:ascii="Garamond" w:hAnsi="Garamond" w:cs="Garamond"/>
          <w:spacing w:val="-3"/>
        </w:rPr>
        <w:t xml:space="preserve">placeholders </w:t>
      </w:r>
      <w:r>
        <w:rPr>
          <w:rFonts w:ascii="Garamond" w:hAnsi="Garamond" w:cs="Garamond"/>
        </w:rPr>
        <w:t>until new metrics can be developed,</w:t>
      </w:r>
      <w:r>
        <w:rPr>
          <w:rFonts w:ascii="Garamond" w:hAnsi="Garamond" w:cs="Garamond"/>
          <w:spacing w:val="-6"/>
        </w:rPr>
        <w:t xml:space="preserve"> as </w:t>
      </w:r>
      <w:r>
        <w:rPr>
          <w:rFonts w:ascii="Garamond" w:hAnsi="Garamond" w:cs="Garamond"/>
        </w:rPr>
        <w:t xml:space="preserve">there are certain </w:t>
      </w:r>
      <w:r>
        <w:rPr>
          <w:rFonts w:ascii="Garamond" w:hAnsi="Garamond" w:cs="Garamond"/>
          <w:spacing w:val="-3"/>
        </w:rPr>
        <w:t xml:space="preserve">gaps </w:t>
      </w:r>
      <w:r>
        <w:rPr>
          <w:rFonts w:ascii="Garamond" w:hAnsi="Garamond" w:cs="Garamond"/>
        </w:rPr>
        <w:t xml:space="preserve">and </w:t>
      </w:r>
      <w:r>
        <w:rPr>
          <w:rFonts w:ascii="Garamond" w:hAnsi="Garamond" w:cs="Garamond"/>
          <w:spacing w:val="-3"/>
        </w:rPr>
        <w:t xml:space="preserve">weaknesses </w:t>
      </w:r>
      <w:r>
        <w:rPr>
          <w:rFonts w:ascii="Garamond" w:hAnsi="Garamond" w:cs="Garamond"/>
        </w:rPr>
        <w:t xml:space="preserve">with the </w:t>
      </w:r>
      <w:r>
        <w:rPr>
          <w:rFonts w:ascii="Garamond" w:hAnsi="Garamond" w:cs="Garamond"/>
          <w:spacing w:val="-3"/>
        </w:rPr>
        <w:t xml:space="preserve">CAHPS </w:t>
      </w:r>
      <w:r>
        <w:rPr>
          <w:rFonts w:ascii="Garamond" w:hAnsi="Garamond" w:cs="Garamond"/>
        </w:rPr>
        <w:t xml:space="preserve">instrument. Holding </w:t>
      </w:r>
      <w:r>
        <w:rPr>
          <w:rFonts w:ascii="Garamond" w:hAnsi="Garamond" w:cs="Garamond"/>
          <w:spacing w:val="-3"/>
        </w:rPr>
        <w:t xml:space="preserve">ACOs accountable </w:t>
      </w:r>
      <w:r>
        <w:rPr>
          <w:rFonts w:ascii="Garamond" w:hAnsi="Garamond" w:cs="Garamond"/>
        </w:rPr>
        <w:t xml:space="preserve">for </w:t>
      </w:r>
      <w:r>
        <w:rPr>
          <w:rFonts w:ascii="Garamond" w:hAnsi="Garamond" w:cs="Garamond"/>
          <w:spacing w:val="-3"/>
        </w:rPr>
        <w:t xml:space="preserve">improved </w:t>
      </w:r>
      <w:r>
        <w:rPr>
          <w:rFonts w:ascii="Garamond" w:hAnsi="Garamond" w:cs="Garamond"/>
        </w:rPr>
        <w:t xml:space="preserve">member health </w:t>
      </w:r>
      <w:r>
        <w:rPr>
          <w:rFonts w:ascii="Garamond" w:hAnsi="Garamond" w:cs="Garamond"/>
          <w:spacing w:val="-3"/>
        </w:rPr>
        <w:t xml:space="preserve">and </w:t>
      </w:r>
      <w:r>
        <w:rPr>
          <w:rFonts w:ascii="Garamond" w:hAnsi="Garamond" w:cs="Garamond"/>
        </w:rPr>
        <w:t xml:space="preserve">experience of care will require quality measures that are focused </w:t>
      </w:r>
      <w:r>
        <w:rPr>
          <w:rFonts w:ascii="Garamond" w:hAnsi="Garamond" w:cs="Garamond"/>
          <w:spacing w:val="-3"/>
        </w:rPr>
        <w:t xml:space="preserve">on outcomes </w:t>
      </w:r>
      <w:r>
        <w:rPr>
          <w:rFonts w:ascii="Garamond" w:hAnsi="Garamond" w:cs="Garamond"/>
        </w:rPr>
        <w:t>and member-reported data. We therefore recommend that several pilot metrics be added to begin the validating process, such as patient reported outcomes measures,</w:t>
      </w:r>
      <w:r>
        <w:rPr>
          <w:rFonts w:ascii="Garamond" w:hAnsi="Garamond" w:cs="Garamond"/>
          <w:position w:val="5"/>
          <w:sz w:val="14"/>
          <w:szCs w:val="14"/>
        </w:rPr>
        <w:t xml:space="preserve">55 </w:t>
      </w:r>
      <w:r>
        <w:rPr>
          <w:rFonts w:ascii="Garamond" w:hAnsi="Garamond" w:cs="Garamond"/>
        </w:rPr>
        <w:t xml:space="preserve">patient activation measures and </w:t>
      </w:r>
      <w:r>
        <w:rPr>
          <w:rFonts w:ascii="Garamond" w:hAnsi="Garamond" w:cs="Garamond"/>
          <w:spacing w:val="-3"/>
        </w:rPr>
        <w:t xml:space="preserve">questions </w:t>
      </w:r>
      <w:r>
        <w:rPr>
          <w:rFonts w:ascii="Garamond" w:hAnsi="Garamond" w:cs="Garamond"/>
        </w:rPr>
        <w:t xml:space="preserve">related to oral health. These types of high impact quality measures, which are meaningful to </w:t>
      </w:r>
      <w:r>
        <w:rPr>
          <w:rFonts w:ascii="Garamond" w:hAnsi="Garamond" w:cs="Garamond"/>
          <w:spacing w:val="-3"/>
        </w:rPr>
        <w:t xml:space="preserve">both </w:t>
      </w:r>
      <w:r>
        <w:rPr>
          <w:rFonts w:ascii="Garamond" w:hAnsi="Garamond" w:cs="Garamond"/>
        </w:rPr>
        <w:t xml:space="preserve">consumers </w:t>
      </w:r>
      <w:r>
        <w:rPr>
          <w:rFonts w:ascii="Garamond" w:hAnsi="Garamond" w:cs="Garamond"/>
          <w:spacing w:val="-3"/>
        </w:rPr>
        <w:t xml:space="preserve">and </w:t>
      </w:r>
      <w:r>
        <w:rPr>
          <w:rFonts w:ascii="Garamond" w:hAnsi="Garamond" w:cs="Garamond"/>
        </w:rPr>
        <w:t xml:space="preserve">providers, will help </w:t>
      </w:r>
      <w:r>
        <w:rPr>
          <w:rFonts w:ascii="Garamond" w:hAnsi="Garamond" w:cs="Garamond"/>
          <w:spacing w:val="-3"/>
        </w:rPr>
        <w:t xml:space="preserve">ACOs </w:t>
      </w:r>
      <w:r>
        <w:rPr>
          <w:rFonts w:ascii="Garamond" w:hAnsi="Garamond" w:cs="Garamond"/>
        </w:rPr>
        <w:t xml:space="preserve">drive quality improvement </w:t>
      </w:r>
      <w:r>
        <w:rPr>
          <w:rFonts w:ascii="Garamond" w:hAnsi="Garamond" w:cs="Garamond"/>
          <w:spacing w:val="-3"/>
        </w:rPr>
        <w:t xml:space="preserve">and </w:t>
      </w:r>
      <w:r>
        <w:rPr>
          <w:rFonts w:ascii="Garamond" w:hAnsi="Garamond" w:cs="Garamond"/>
        </w:rPr>
        <w:t>increase value, and accelerate delivery transformation.</w:t>
      </w:r>
    </w:p>
    <w:p w:rsidR="002C5025" w:rsidRDefault="002C5025">
      <w:pPr>
        <w:pStyle w:val="BodyText"/>
        <w:kinsoku w:val="0"/>
        <w:overflowPunct w:val="0"/>
        <w:spacing w:before="1"/>
        <w:rPr>
          <w:rFonts w:ascii="Garamond" w:hAnsi="Garamond" w:cs="Garamond"/>
        </w:rPr>
      </w:pPr>
    </w:p>
    <w:p w:rsidR="002C5025" w:rsidRDefault="002C5025">
      <w:pPr>
        <w:pStyle w:val="BodyText"/>
        <w:kinsoku w:val="0"/>
        <w:overflowPunct w:val="0"/>
        <w:ind w:left="118" w:right="342" w:firstLine="1"/>
        <w:rPr>
          <w:rFonts w:ascii="Garamond" w:hAnsi="Garamond" w:cs="Garamond"/>
        </w:rPr>
      </w:pPr>
      <w:r>
        <w:rPr>
          <w:rFonts w:ascii="Garamond" w:hAnsi="Garamond" w:cs="Garamond"/>
        </w:rPr>
        <w:t xml:space="preserve">We also think it is important to consider how the member experience data will be used, including reducing health disparities as </w:t>
      </w:r>
      <w:r>
        <w:rPr>
          <w:rFonts w:ascii="Garamond" w:hAnsi="Garamond" w:cs="Garamond"/>
          <w:spacing w:val="-3"/>
        </w:rPr>
        <w:t xml:space="preserve">mentioned </w:t>
      </w:r>
      <w:r>
        <w:rPr>
          <w:rFonts w:ascii="Garamond" w:hAnsi="Garamond" w:cs="Garamond"/>
        </w:rPr>
        <w:t xml:space="preserve">above. The survey results should be shared publicly, including any narrative comments to the survey questions. It is additionally important to consider other techniques for collecting information </w:t>
      </w:r>
      <w:r>
        <w:rPr>
          <w:rFonts w:ascii="Garamond" w:hAnsi="Garamond" w:cs="Garamond"/>
          <w:spacing w:val="-3"/>
        </w:rPr>
        <w:t xml:space="preserve">about </w:t>
      </w:r>
      <w:r>
        <w:rPr>
          <w:rFonts w:ascii="Garamond" w:hAnsi="Garamond" w:cs="Garamond"/>
        </w:rPr>
        <w:t xml:space="preserve">consumer experiences, including focus groups, reporting of grievances </w:t>
      </w:r>
      <w:r>
        <w:rPr>
          <w:rFonts w:ascii="Garamond" w:hAnsi="Garamond" w:cs="Garamond"/>
          <w:spacing w:val="-3"/>
        </w:rPr>
        <w:t xml:space="preserve">and </w:t>
      </w:r>
      <w:r>
        <w:rPr>
          <w:rFonts w:ascii="Garamond" w:hAnsi="Garamond" w:cs="Garamond"/>
        </w:rPr>
        <w:t xml:space="preserve">complaints, and ensuring strong feedback loops for consumer representation on the governance structure and </w:t>
      </w:r>
      <w:r>
        <w:rPr>
          <w:rFonts w:ascii="Garamond" w:hAnsi="Garamond" w:cs="Garamond"/>
          <w:spacing w:val="-3"/>
        </w:rPr>
        <w:t xml:space="preserve">through </w:t>
      </w:r>
      <w:r>
        <w:rPr>
          <w:rFonts w:ascii="Garamond" w:hAnsi="Garamond" w:cs="Garamond"/>
        </w:rPr>
        <w:t>PFACs.</w:t>
      </w:r>
    </w:p>
    <w:p w:rsidR="002C5025" w:rsidRDefault="002C5025">
      <w:pPr>
        <w:pStyle w:val="BodyText"/>
        <w:kinsoku w:val="0"/>
        <w:overflowPunct w:val="0"/>
        <w:spacing w:before="9"/>
        <w:rPr>
          <w:rFonts w:ascii="Garamond" w:hAnsi="Garamond" w:cs="Garamond"/>
        </w:rPr>
      </w:pPr>
    </w:p>
    <w:p w:rsidR="002C5025" w:rsidRDefault="002C5025">
      <w:pPr>
        <w:pStyle w:val="BodyText"/>
        <w:kinsoku w:val="0"/>
        <w:overflowPunct w:val="0"/>
        <w:spacing w:line="244" w:lineRule="exact"/>
        <w:ind w:left="118" w:right="241"/>
        <w:rPr>
          <w:rFonts w:ascii="Garamond" w:hAnsi="Garamond" w:cs="Garamond"/>
        </w:rPr>
      </w:pPr>
      <w:r>
        <w:rPr>
          <w:rFonts w:ascii="Garamond" w:hAnsi="Garamond" w:cs="Garamond"/>
        </w:rPr>
        <w:t>We also request additional details on how MassHealth will ensure that:</w:t>
      </w:r>
    </w:p>
    <w:p w:rsidR="002C5025" w:rsidRDefault="002C5025">
      <w:pPr>
        <w:pStyle w:val="ListParagraph"/>
        <w:numPr>
          <w:ilvl w:val="2"/>
          <w:numId w:val="49"/>
        </w:numPr>
        <w:tabs>
          <w:tab w:val="left" w:pos="839"/>
        </w:tabs>
        <w:kinsoku w:val="0"/>
        <w:overflowPunct w:val="0"/>
        <w:spacing w:line="275" w:lineRule="exact"/>
        <w:ind w:hanging="360"/>
        <w:rPr>
          <w:rFonts w:ascii="Garamond" w:hAnsi="Garamond" w:cs="Garamond"/>
          <w:sz w:val="22"/>
          <w:szCs w:val="22"/>
        </w:rPr>
      </w:pPr>
      <w:r>
        <w:rPr>
          <w:rFonts w:ascii="Garamond" w:hAnsi="Garamond" w:cs="Garamond"/>
          <w:sz w:val="22"/>
          <w:szCs w:val="22"/>
        </w:rPr>
        <w:t>Providers</w:t>
      </w:r>
      <w:r>
        <w:rPr>
          <w:rFonts w:ascii="Garamond" w:hAnsi="Garamond" w:cs="Garamond"/>
          <w:spacing w:val="-6"/>
          <w:sz w:val="22"/>
          <w:szCs w:val="22"/>
        </w:rPr>
        <w:t xml:space="preserve"> </w:t>
      </w:r>
      <w:r>
        <w:rPr>
          <w:rFonts w:ascii="Garamond" w:hAnsi="Garamond" w:cs="Garamond"/>
          <w:sz w:val="22"/>
          <w:szCs w:val="22"/>
        </w:rPr>
        <w:t>and</w:t>
      </w:r>
      <w:r>
        <w:rPr>
          <w:rFonts w:ascii="Garamond" w:hAnsi="Garamond" w:cs="Garamond"/>
          <w:spacing w:val="-7"/>
          <w:sz w:val="22"/>
          <w:szCs w:val="22"/>
        </w:rPr>
        <w:t xml:space="preserve"> </w:t>
      </w:r>
      <w:r>
        <w:rPr>
          <w:rFonts w:ascii="Garamond" w:hAnsi="Garamond" w:cs="Garamond"/>
          <w:spacing w:val="-2"/>
          <w:sz w:val="22"/>
          <w:szCs w:val="22"/>
        </w:rPr>
        <w:t>CPs</w:t>
      </w:r>
      <w:r>
        <w:rPr>
          <w:rFonts w:ascii="Garamond" w:hAnsi="Garamond" w:cs="Garamond"/>
          <w:spacing w:val="-8"/>
          <w:sz w:val="22"/>
          <w:szCs w:val="22"/>
        </w:rPr>
        <w:t xml:space="preserve"> </w:t>
      </w:r>
      <w:r>
        <w:rPr>
          <w:rFonts w:ascii="Garamond" w:hAnsi="Garamond" w:cs="Garamond"/>
          <w:sz w:val="22"/>
          <w:szCs w:val="22"/>
        </w:rPr>
        <w:t>deliver</w:t>
      </w:r>
      <w:r>
        <w:rPr>
          <w:rFonts w:ascii="Garamond" w:hAnsi="Garamond" w:cs="Garamond"/>
          <w:spacing w:val="-7"/>
          <w:sz w:val="22"/>
          <w:szCs w:val="22"/>
        </w:rPr>
        <w:t xml:space="preserve"> </w:t>
      </w:r>
      <w:r>
        <w:rPr>
          <w:rFonts w:ascii="Garamond" w:hAnsi="Garamond" w:cs="Garamond"/>
          <w:sz w:val="22"/>
          <w:szCs w:val="22"/>
        </w:rPr>
        <w:t>care</w:t>
      </w:r>
      <w:r>
        <w:rPr>
          <w:rFonts w:ascii="Garamond" w:hAnsi="Garamond" w:cs="Garamond"/>
          <w:spacing w:val="-9"/>
          <w:sz w:val="22"/>
          <w:szCs w:val="22"/>
        </w:rPr>
        <w:t xml:space="preserve"> </w:t>
      </w:r>
      <w:r>
        <w:rPr>
          <w:rFonts w:ascii="Garamond" w:hAnsi="Garamond" w:cs="Garamond"/>
          <w:sz w:val="22"/>
          <w:szCs w:val="22"/>
        </w:rPr>
        <w:t>in</w:t>
      </w:r>
      <w:r>
        <w:rPr>
          <w:rFonts w:ascii="Garamond" w:hAnsi="Garamond" w:cs="Garamond"/>
          <w:spacing w:val="-7"/>
          <w:sz w:val="22"/>
          <w:szCs w:val="22"/>
        </w:rPr>
        <w:t xml:space="preserve"> </w:t>
      </w:r>
      <w:r>
        <w:rPr>
          <w:rFonts w:ascii="Garamond" w:hAnsi="Garamond" w:cs="Garamond"/>
          <w:sz w:val="22"/>
          <w:szCs w:val="22"/>
        </w:rPr>
        <w:t>a</w:t>
      </w:r>
      <w:r>
        <w:rPr>
          <w:rFonts w:ascii="Garamond" w:hAnsi="Garamond" w:cs="Garamond"/>
          <w:spacing w:val="-8"/>
          <w:sz w:val="22"/>
          <w:szCs w:val="22"/>
        </w:rPr>
        <w:t xml:space="preserve"> </w:t>
      </w:r>
      <w:r>
        <w:rPr>
          <w:rFonts w:ascii="Garamond" w:hAnsi="Garamond" w:cs="Garamond"/>
          <w:sz w:val="22"/>
          <w:szCs w:val="22"/>
        </w:rPr>
        <w:t>culturally</w:t>
      </w:r>
      <w:r>
        <w:rPr>
          <w:rFonts w:ascii="Garamond" w:hAnsi="Garamond" w:cs="Garamond"/>
          <w:spacing w:val="-12"/>
          <w:sz w:val="22"/>
          <w:szCs w:val="22"/>
        </w:rPr>
        <w:t xml:space="preserve"> </w:t>
      </w:r>
      <w:r>
        <w:rPr>
          <w:rFonts w:ascii="Garamond" w:hAnsi="Garamond" w:cs="Garamond"/>
          <w:sz w:val="22"/>
          <w:szCs w:val="22"/>
        </w:rPr>
        <w:t>competent</w:t>
      </w:r>
      <w:r>
        <w:rPr>
          <w:rFonts w:ascii="Garamond" w:hAnsi="Garamond" w:cs="Garamond"/>
          <w:spacing w:val="-11"/>
          <w:sz w:val="22"/>
          <w:szCs w:val="22"/>
        </w:rPr>
        <w:t xml:space="preserve"> </w:t>
      </w:r>
      <w:r>
        <w:rPr>
          <w:rFonts w:ascii="Garamond" w:hAnsi="Garamond" w:cs="Garamond"/>
          <w:sz w:val="22"/>
          <w:szCs w:val="22"/>
        </w:rPr>
        <w:t>manner</w:t>
      </w:r>
      <w:r>
        <w:rPr>
          <w:rFonts w:ascii="Garamond" w:hAnsi="Garamond" w:cs="Garamond"/>
          <w:spacing w:val="-8"/>
          <w:sz w:val="22"/>
          <w:szCs w:val="22"/>
        </w:rPr>
        <w:t xml:space="preserve"> </w:t>
      </w:r>
      <w:r>
        <w:rPr>
          <w:rFonts w:ascii="Garamond" w:hAnsi="Garamond" w:cs="Garamond"/>
          <w:sz w:val="22"/>
          <w:szCs w:val="22"/>
        </w:rPr>
        <w:t>(29,</w:t>
      </w:r>
      <w:r>
        <w:rPr>
          <w:rFonts w:ascii="Garamond" w:hAnsi="Garamond" w:cs="Garamond"/>
          <w:spacing w:val="-9"/>
          <w:sz w:val="22"/>
          <w:szCs w:val="22"/>
        </w:rPr>
        <w:t xml:space="preserve"> </w:t>
      </w:r>
      <w:r>
        <w:rPr>
          <w:rFonts w:ascii="Garamond" w:hAnsi="Garamond" w:cs="Garamond"/>
          <w:sz w:val="22"/>
          <w:szCs w:val="22"/>
        </w:rPr>
        <w:t>34);</w:t>
      </w:r>
    </w:p>
    <w:p w:rsidR="002C5025" w:rsidRDefault="002C5025">
      <w:pPr>
        <w:pStyle w:val="ListParagraph"/>
        <w:numPr>
          <w:ilvl w:val="2"/>
          <w:numId w:val="49"/>
        </w:numPr>
        <w:tabs>
          <w:tab w:val="left" w:pos="839"/>
        </w:tabs>
        <w:kinsoku w:val="0"/>
        <w:overflowPunct w:val="0"/>
        <w:ind w:right="1322" w:hanging="360"/>
        <w:rPr>
          <w:rFonts w:ascii="Garamond" w:hAnsi="Garamond" w:cs="Garamond"/>
          <w:spacing w:val="-3"/>
          <w:sz w:val="22"/>
          <w:szCs w:val="22"/>
        </w:rPr>
      </w:pPr>
      <w:r>
        <w:rPr>
          <w:rFonts w:ascii="Garamond" w:hAnsi="Garamond" w:cs="Garamond"/>
          <w:sz w:val="22"/>
          <w:szCs w:val="22"/>
        </w:rPr>
        <w:t>Providers</w:t>
      </w:r>
      <w:r>
        <w:rPr>
          <w:rFonts w:ascii="Garamond" w:hAnsi="Garamond" w:cs="Garamond"/>
          <w:spacing w:val="-2"/>
          <w:sz w:val="22"/>
          <w:szCs w:val="22"/>
        </w:rPr>
        <w:t xml:space="preserve"> </w:t>
      </w:r>
      <w:r>
        <w:rPr>
          <w:rFonts w:ascii="Garamond" w:hAnsi="Garamond" w:cs="Garamond"/>
          <w:sz w:val="22"/>
          <w:szCs w:val="22"/>
        </w:rPr>
        <w:t>offer</w:t>
      </w:r>
      <w:r>
        <w:rPr>
          <w:rFonts w:ascii="Garamond" w:hAnsi="Garamond" w:cs="Garamond"/>
          <w:spacing w:val="-5"/>
          <w:sz w:val="22"/>
          <w:szCs w:val="22"/>
        </w:rPr>
        <w:t xml:space="preserve"> </w:t>
      </w:r>
      <w:r>
        <w:rPr>
          <w:rFonts w:ascii="Garamond" w:hAnsi="Garamond" w:cs="Garamond"/>
          <w:sz w:val="22"/>
          <w:szCs w:val="22"/>
        </w:rPr>
        <w:t>their</w:t>
      </w:r>
      <w:r>
        <w:rPr>
          <w:rFonts w:ascii="Garamond" w:hAnsi="Garamond" w:cs="Garamond"/>
          <w:spacing w:val="-7"/>
          <w:sz w:val="22"/>
          <w:szCs w:val="22"/>
        </w:rPr>
        <w:t xml:space="preserve"> </w:t>
      </w:r>
      <w:r>
        <w:rPr>
          <w:rFonts w:ascii="Garamond" w:hAnsi="Garamond" w:cs="Garamond"/>
          <w:sz w:val="22"/>
          <w:szCs w:val="22"/>
        </w:rPr>
        <w:t>patients</w:t>
      </w:r>
      <w:r>
        <w:rPr>
          <w:rFonts w:ascii="Garamond" w:hAnsi="Garamond" w:cs="Garamond"/>
          <w:spacing w:val="-5"/>
          <w:sz w:val="22"/>
          <w:szCs w:val="22"/>
        </w:rPr>
        <w:t xml:space="preserve"> </w:t>
      </w:r>
      <w:r>
        <w:rPr>
          <w:rFonts w:ascii="Garamond" w:hAnsi="Garamond" w:cs="Garamond"/>
          <w:sz w:val="22"/>
          <w:szCs w:val="22"/>
        </w:rPr>
        <w:t>with</w:t>
      </w:r>
      <w:r>
        <w:rPr>
          <w:rFonts w:ascii="Garamond" w:hAnsi="Garamond" w:cs="Garamond"/>
          <w:spacing w:val="-3"/>
          <w:sz w:val="22"/>
          <w:szCs w:val="22"/>
        </w:rPr>
        <w:t xml:space="preserve"> disabilities</w:t>
      </w:r>
      <w:r>
        <w:rPr>
          <w:rFonts w:ascii="Garamond" w:hAnsi="Garamond" w:cs="Garamond"/>
          <w:spacing w:val="-4"/>
          <w:sz w:val="22"/>
          <w:szCs w:val="22"/>
        </w:rPr>
        <w:t xml:space="preserve"> </w:t>
      </w:r>
      <w:r>
        <w:rPr>
          <w:rFonts w:ascii="Garamond" w:hAnsi="Garamond" w:cs="Garamond"/>
          <w:sz w:val="22"/>
          <w:szCs w:val="22"/>
        </w:rPr>
        <w:t>the</w:t>
      </w:r>
      <w:r>
        <w:rPr>
          <w:rFonts w:ascii="Garamond" w:hAnsi="Garamond" w:cs="Garamond"/>
          <w:spacing w:val="-4"/>
          <w:sz w:val="22"/>
          <w:szCs w:val="22"/>
        </w:rPr>
        <w:t xml:space="preserve"> </w:t>
      </w:r>
      <w:r>
        <w:rPr>
          <w:rFonts w:ascii="Garamond" w:hAnsi="Garamond" w:cs="Garamond"/>
          <w:sz w:val="22"/>
          <w:szCs w:val="22"/>
        </w:rPr>
        <w:t>medical</w:t>
      </w:r>
      <w:r>
        <w:rPr>
          <w:rFonts w:ascii="Garamond" w:hAnsi="Garamond" w:cs="Garamond"/>
          <w:spacing w:val="-6"/>
          <w:sz w:val="22"/>
          <w:szCs w:val="22"/>
        </w:rPr>
        <w:t xml:space="preserve"> </w:t>
      </w:r>
      <w:r>
        <w:rPr>
          <w:rFonts w:ascii="Garamond" w:hAnsi="Garamond" w:cs="Garamond"/>
          <w:sz w:val="22"/>
          <w:szCs w:val="22"/>
        </w:rPr>
        <w:t>and</w:t>
      </w:r>
      <w:r>
        <w:rPr>
          <w:rFonts w:ascii="Garamond" w:hAnsi="Garamond" w:cs="Garamond"/>
          <w:spacing w:val="-6"/>
          <w:sz w:val="22"/>
          <w:szCs w:val="22"/>
        </w:rPr>
        <w:t xml:space="preserve"> </w:t>
      </w:r>
      <w:r>
        <w:rPr>
          <w:rFonts w:ascii="Garamond" w:hAnsi="Garamond" w:cs="Garamond"/>
          <w:sz w:val="22"/>
          <w:szCs w:val="22"/>
        </w:rPr>
        <w:t>diagnostic</w:t>
      </w:r>
      <w:r>
        <w:rPr>
          <w:rFonts w:ascii="Garamond" w:hAnsi="Garamond" w:cs="Garamond"/>
          <w:spacing w:val="-4"/>
          <w:sz w:val="22"/>
          <w:szCs w:val="22"/>
        </w:rPr>
        <w:t xml:space="preserve"> </w:t>
      </w:r>
      <w:r>
        <w:rPr>
          <w:rFonts w:ascii="Garamond" w:hAnsi="Garamond" w:cs="Garamond"/>
          <w:spacing w:val="-3"/>
          <w:sz w:val="22"/>
          <w:szCs w:val="22"/>
        </w:rPr>
        <w:t xml:space="preserve">equipment and </w:t>
      </w:r>
      <w:r>
        <w:rPr>
          <w:rFonts w:ascii="Garamond" w:hAnsi="Garamond" w:cs="Garamond"/>
          <w:sz w:val="22"/>
          <w:szCs w:val="22"/>
        </w:rPr>
        <w:t>accommodations</w:t>
      </w:r>
      <w:r>
        <w:rPr>
          <w:rFonts w:ascii="Garamond" w:hAnsi="Garamond" w:cs="Garamond"/>
          <w:spacing w:val="-8"/>
          <w:sz w:val="22"/>
          <w:szCs w:val="22"/>
        </w:rPr>
        <w:t xml:space="preserve"> </w:t>
      </w:r>
      <w:r>
        <w:rPr>
          <w:rFonts w:ascii="Garamond" w:hAnsi="Garamond" w:cs="Garamond"/>
          <w:sz w:val="22"/>
          <w:szCs w:val="22"/>
        </w:rPr>
        <w:t>necessary</w:t>
      </w:r>
      <w:r>
        <w:rPr>
          <w:rFonts w:ascii="Garamond" w:hAnsi="Garamond" w:cs="Garamond"/>
          <w:spacing w:val="-11"/>
          <w:sz w:val="22"/>
          <w:szCs w:val="22"/>
        </w:rPr>
        <w:t xml:space="preserve"> </w:t>
      </w:r>
      <w:r>
        <w:rPr>
          <w:rFonts w:ascii="Garamond" w:hAnsi="Garamond" w:cs="Garamond"/>
          <w:sz w:val="22"/>
          <w:szCs w:val="22"/>
        </w:rPr>
        <w:t>to</w:t>
      </w:r>
      <w:r>
        <w:rPr>
          <w:rFonts w:ascii="Garamond" w:hAnsi="Garamond" w:cs="Garamond"/>
          <w:spacing w:val="-11"/>
          <w:sz w:val="22"/>
          <w:szCs w:val="22"/>
        </w:rPr>
        <w:t xml:space="preserve"> </w:t>
      </w:r>
      <w:r>
        <w:rPr>
          <w:rFonts w:ascii="Garamond" w:hAnsi="Garamond" w:cs="Garamond"/>
          <w:sz w:val="22"/>
          <w:szCs w:val="22"/>
        </w:rPr>
        <w:t>receive</w:t>
      </w:r>
      <w:r>
        <w:rPr>
          <w:rFonts w:ascii="Garamond" w:hAnsi="Garamond" w:cs="Garamond"/>
          <w:spacing w:val="-11"/>
          <w:sz w:val="22"/>
          <w:szCs w:val="22"/>
        </w:rPr>
        <w:t xml:space="preserve"> </w:t>
      </w:r>
      <w:r>
        <w:rPr>
          <w:rFonts w:ascii="Garamond" w:hAnsi="Garamond" w:cs="Garamond"/>
          <w:sz w:val="22"/>
          <w:szCs w:val="22"/>
        </w:rPr>
        <w:t>appropriate</w:t>
      </w:r>
      <w:r>
        <w:rPr>
          <w:rFonts w:ascii="Garamond" w:hAnsi="Garamond" w:cs="Garamond"/>
          <w:spacing w:val="-11"/>
          <w:sz w:val="22"/>
          <w:szCs w:val="22"/>
        </w:rPr>
        <w:t xml:space="preserve"> </w:t>
      </w:r>
      <w:r>
        <w:rPr>
          <w:rFonts w:ascii="Garamond" w:hAnsi="Garamond" w:cs="Garamond"/>
          <w:sz w:val="22"/>
          <w:szCs w:val="22"/>
        </w:rPr>
        <w:t>medical</w:t>
      </w:r>
      <w:r>
        <w:rPr>
          <w:rFonts w:ascii="Garamond" w:hAnsi="Garamond" w:cs="Garamond"/>
          <w:spacing w:val="-9"/>
          <w:sz w:val="22"/>
          <w:szCs w:val="22"/>
        </w:rPr>
        <w:t xml:space="preserve"> </w:t>
      </w:r>
      <w:r>
        <w:rPr>
          <w:rFonts w:ascii="Garamond" w:hAnsi="Garamond" w:cs="Garamond"/>
          <w:sz w:val="22"/>
          <w:szCs w:val="22"/>
        </w:rPr>
        <w:t>care</w:t>
      </w:r>
      <w:r>
        <w:rPr>
          <w:rFonts w:ascii="Garamond" w:hAnsi="Garamond" w:cs="Garamond"/>
          <w:spacing w:val="-12"/>
          <w:sz w:val="22"/>
          <w:szCs w:val="22"/>
        </w:rPr>
        <w:t xml:space="preserve"> </w:t>
      </w:r>
      <w:r>
        <w:rPr>
          <w:rFonts w:ascii="Garamond" w:hAnsi="Garamond" w:cs="Garamond"/>
          <w:sz w:val="22"/>
          <w:szCs w:val="22"/>
        </w:rPr>
        <w:t>(29);</w:t>
      </w:r>
      <w:r>
        <w:rPr>
          <w:rFonts w:ascii="Garamond" w:hAnsi="Garamond" w:cs="Garamond"/>
          <w:spacing w:val="-11"/>
          <w:sz w:val="22"/>
          <w:szCs w:val="22"/>
        </w:rPr>
        <w:t xml:space="preserve"> </w:t>
      </w:r>
      <w:r>
        <w:rPr>
          <w:rFonts w:ascii="Garamond" w:hAnsi="Garamond" w:cs="Garamond"/>
          <w:spacing w:val="-3"/>
          <w:sz w:val="22"/>
          <w:szCs w:val="22"/>
        </w:rPr>
        <w:t>and</w:t>
      </w:r>
    </w:p>
    <w:p w:rsidR="002C5025" w:rsidRDefault="00FB027C">
      <w:pPr>
        <w:pStyle w:val="BodyText"/>
        <w:kinsoku w:val="0"/>
        <w:overflowPunct w:val="0"/>
        <w:spacing w:before="10"/>
        <w:rPr>
          <w:rFonts w:ascii="Garamond" w:hAnsi="Garamond" w:cs="Garamond"/>
          <w:sz w:val="11"/>
          <w:szCs w:val="11"/>
        </w:rPr>
      </w:pPr>
      <w:r>
        <w:rPr>
          <w:noProof/>
        </w:rPr>
        <mc:AlternateContent>
          <mc:Choice Requires="wps">
            <w:drawing>
              <wp:anchor distT="0" distB="0" distL="0" distR="0" simplePos="0" relativeHeight="251671040" behindDoc="0" locked="0" layoutInCell="0" allowOverlap="1">
                <wp:simplePos x="0" y="0"/>
                <wp:positionH relativeFrom="page">
                  <wp:posOffset>923925</wp:posOffset>
                </wp:positionH>
                <wp:positionV relativeFrom="paragraph">
                  <wp:posOffset>115570</wp:posOffset>
                </wp:positionV>
                <wp:extent cx="1829435" cy="12700"/>
                <wp:effectExtent l="0" t="0" r="0" b="0"/>
                <wp:wrapTopAndBottom/>
                <wp:docPr id="548" name="Freeform 4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1 w 2881"/>
                            <a:gd name="T3" fmla="*/ 0 h 20"/>
                          </a:gdLst>
                          <a:ahLst/>
                          <a:cxnLst>
                            <a:cxn ang="0">
                              <a:pos x="T0" y="T1"/>
                            </a:cxn>
                            <a:cxn ang="0">
                              <a:pos x="T2" y="T3"/>
                            </a:cxn>
                          </a:cxnLst>
                          <a:rect l="0" t="0" r="r" b="b"/>
                          <a:pathLst>
                            <a:path w="2881" h="20">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77" o:spid="_x0000_s1026" style="position:absolute;z-index:251671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2.75pt,9.1pt,216.8pt,9.1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" o:allowincell="f" filled="f" strokeweight=".82pt">
                <v:path arrowok="t" o:connecttype="custom" o:connectlocs="0,0;1829435,0" o:connectangles="0,0"/>
                <w10:wrap type="topAndBottom" anchorx="page"/>
              </v:polyline>
            </w:pict>
          </mc:Fallback>
        </mc:AlternateContent>
      </w:r>
    </w:p>
    <w:p w:rsidR="002C5025" w:rsidRDefault="002C5025">
      <w:pPr>
        <w:pStyle w:val="BodyText"/>
        <w:tabs>
          <w:tab w:val="left" w:pos="1043"/>
          <w:tab w:val="left" w:pos="1634"/>
        </w:tabs>
        <w:kinsoku w:val="0"/>
        <w:overflowPunct w:val="0"/>
        <w:spacing w:before="70"/>
        <w:ind w:left="120" w:right="866"/>
        <w:rPr>
          <w:rFonts w:ascii="Garamond" w:hAnsi="Garamond" w:cs="Garamond"/>
          <w:color w:val="0000FF"/>
          <w:spacing w:val="-2"/>
          <w:w w:val="95"/>
          <w:sz w:val="20"/>
          <w:szCs w:val="20"/>
        </w:rPr>
      </w:pPr>
      <w:r>
        <w:rPr>
          <w:rFonts w:ascii="Garamond" w:hAnsi="Garamond" w:cs="Garamond"/>
          <w:position w:val="5"/>
          <w:sz w:val="13"/>
          <w:szCs w:val="13"/>
        </w:rPr>
        <w:t>54</w:t>
      </w:r>
      <w:r>
        <w:rPr>
          <w:rFonts w:ascii="Garamond" w:hAnsi="Garamond" w:cs="Garamond"/>
          <w:spacing w:val="3"/>
          <w:position w:val="5"/>
          <w:sz w:val="13"/>
          <w:szCs w:val="13"/>
        </w:rPr>
        <w:t xml:space="preserve"> </w:t>
      </w:r>
      <w:r>
        <w:rPr>
          <w:rFonts w:ascii="Garamond" w:hAnsi="Garamond" w:cs="Garamond"/>
          <w:sz w:val="20"/>
          <w:szCs w:val="20"/>
        </w:rPr>
        <w:t>National</w:t>
      </w:r>
      <w:r>
        <w:rPr>
          <w:rFonts w:ascii="Garamond" w:hAnsi="Garamond" w:cs="Garamond"/>
          <w:spacing w:val="-14"/>
          <w:sz w:val="20"/>
          <w:szCs w:val="20"/>
        </w:rPr>
        <w:t xml:space="preserve"> </w:t>
      </w:r>
      <w:r>
        <w:rPr>
          <w:rFonts w:ascii="Garamond" w:hAnsi="Garamond" w:cs="Garamond"/>
          <w:sz w:val="20"/>
          <w:szCs w:val="20"/>
        </w:rPr>
        <w:t>Quality</w:t>
      </w:r>
      <w:r>
        <w:rPr>
          <w:rFonts w:ascii="Garamond" w:hAnsi="Garamond" w:cs="Garamond"/>
          <w:spacing w:val="-13"/>
          <w:sz w:val="20"/>
          <w:szCs w:val="20"/>
        </w:rPr>
        <w:t xml:space="preserve"> </w:t>
      </w:r>
      <w:r>
        <w:rPr>
          <w:rFonts w:ascii="Garamond" w:hAnsi="Garamond" w:cs="Garamond"/>
          <w:sz w:val="20"/>
          <w:szCs w:val="20"/>
        </w:rPr>
        <w:t>Forum.</w:t>
      </w:r>
      <w:r>
        <w:rPr>
          <w:rFonts w:ascii="Garamond" w:hAnsi="Garamond" w:cs="Garamond"/>
          <w:spacing w:val="-15"/>
          <w:sz w:val="20"/>
          <w:szCs w:val="20"/>
        </w:rPr>
        <w:t xml:space="preserve"> </w:t>
      </w:r>
      <w:r>
        <w:rPr>
          <w:rFonts w:ascii="Garamond" w:hAnsi="Garamond" w:cs="Garamond"/>
          <w:sz w:val="20"/>
          <w:szCs w:val="20"/>
        </w:rPr>
        <w:t>(Aug.</w:t>
      </w:r>
      <w:r>
        <w:rPr>
          <w:rFonts w:ascii="Garamond" w:hAnsi="Garamond" w:cs="Garamond"/>
          <w:spacing w:val="-12"/>
          <w:sz w:val="20"/>
          <w:szCs w:val="20"/>
        </w:rPr>
        <w:t xml:space="preserve"> </w:t>
      </w:r>
      <w:r>
        <w:rPr>
          <w:rFonts w:ascii="Garamond" w:hAnsi="Garamond" w:cs="Garamond"/>
          <w:sz w:val="20"/>
          <w:szCs w:val="20"/>
        </w:rPr>
        <w:t>2012).</w:t>
      </w:r>
      <w:r>
        <w:rPr>
          <w:rFonts w:ascii="Garamond" w:hAnsi="Garamond" w:cs="Garamond"/>
          <w:spacing w:val="-12"/>
          <w:sz w:val="20"/>
          <w:szCs w:val="20"/>
        </w:rPr>
        <w:t xml:space="preserve"> </w:t>
      </w:r>
      <w:r>
        <w:rPr>
          <w:rFonts w:ascii="Garamond" w:hAnsi="Garamond" w:cs="Garamond"/>
          <w:sz w:val="20"/>
          <w:szCs w:val="20"/>
        </w:rPr>
        <w:t>Healthcare</w:t>
      </w:r>
      <w:r>
        <w:rPr>
          <w:rFonts w:ascii="Garamond" w:hAnsi="Garamond" w:cs="Garamond"/>
          <w:spacing w:val="-13"/>
          <w:sz w:val="20"/>
          <w:szCs w:val="20"/>
        </w:rPr>
        <w:t xml:space="preserve"> </w:t>
      </w:r>
      <w:r>
        <w:rPr>
          <w:rFonts w:ascii="Garamond" w:hAnsi="Garamond" w:cs="Garamond"/>
          <w:sz w:val="20"/>
          <w:szCs w:val="20"/>
        </w:rPr>
        <w:t>Disparities</w:t>
      </w:r>
      <w:r>
        <w:rPr>
          <w:rFonts w:ascii="Garamond" w:hAnsi="Garamond" w:cs="Garamond"/>
          <w:spacing w:val="-19"/>
          <w:sz w:val="20"/>
          <w:szCs w:val="20"/>
        </w:rPr>
        <w:t xml:space="preserve"> </w:t>
      </w:r>
      <w:r>
        <w:rPr>
          <w:rFonts w:ascii="Garamond" w:hAnsi="Garamond" w:cs="Garamond"/>
          <w:sz w:val="20"/>
          <w:szCs w:val="20"/>
        </w:rPr>
        <w:t>and</w:t>
      </w:r>
      <w:r>
        <w:rPr>
          <w:rFonts w:ascii="Garamond" w:hAnsi="Garamond" w:cs="Garamond"/>
          <w:spacing w:val="-13"/>
          <w:sz w:val="20"/>
          <w:szCs w:val="20"/>
        </w:rPr>
        <w:t xml:space="preserve"> </w:t>
      </w:r>
      <w:r>
        <w:rPr>
          <w:rFonts w:ascii="Garamond" w:hAnsi="Garamond" w:cs="Garamond"/>
          <w:sz w:val="20"/>
          <w:szCs w:val="20"/>
        </w:rPr>
        <w:t>Cultural</w:t>
      </w:r>
      <w:r>
        <w:rPr>
          <w:rFonts w:ascii="Garamond" w:hAnsi="Garamond" w:cs="Garamond"/>
          <w:spacing w:val="-16"/>
          <w:sz w:val="20"/>
          <w:szCs w:val="20"/>
        </w:rPr>
        <w:t xml:space="preserve"> </w:t>
      </w:r>
      <w:r>
        <w:rPr>
          <w:rFonts w:ascii="Garamond" w:hAnsi="Garamond" w:cs="Garamond"/>
          <w:sz w:val="20"/>
          <w:szCs w:val="20"/>
        </w:rPr>
        <w:t>Competency</w:t>
      </w:r>
      <w:r>
        <w:rPr>
          <w:rFonts w:ascii="Garamond" w:hAnsi="Garamond" w:cs="Garamond"/>
          <w:spacing w:val="-13"/>
          <w:sz w:val="20"/>
          <w:szCs w:val="20"/>
        </w:rPr>
        <w:t xml:space="preserve"> </w:t>
      </w:r>
      <w:r>
        <w:rPr>
          <w:rFonts w:ascii="Garamond" w:hAnsi="Garamond" w:cs="Garamond"/>
          <w:sz w:val="20"/>
          <w:szCs w:val="20"/>
        </w:rPr>
        <w:t>Consensus</w:t>
      </w:r>
      <w:r>
        <w:rPr>
          <w:rFonts w:ascii="Garamond" w:hAnsi="Garamond" w:cs="Garamond"/>
          <w:spacing w:val="-15"/>
          <w:sz w:val="20"/>
          <w:szCs w:val="20"/>
        </w:rPr>
        <w:t xml:space="preserve"> </w:t>
      </w:r>
      <w:r>
        <w:rPr>
          <w:rFonts w:ascii="Garamond" w:hAnsi="Garamond" w:cs="Garamond"/>
          <w:sz w:val="20"/>
          <w:szCs w:val="20"/>
        </w:rPr>
        <w:t>Standards. Retrieved</w:t>
      </w:r>
      <w:r>
        <w:rPr>
          <w:rFonts w:ascii="Garamond" w:hAnsi="Garamond" w:cs="Garamond"/>
          <w:sz w:val="20"/>
          <w:szCs w:val="20"/>
        </w:rPr>
        <w:tab/>
        <w:t>from</w:t>
      </w:r>
      <w:r>
        <w:rPr>
          <w:rFonts w:ascii="Garamond" w:hAnsi="Garamond" w:cs="Garamond"/>
          <w:sz w:val="20"/>
          <w:szCs w:val="20"/>
        </w:rPr>
        <w:tab/>
      </w:r>
      <w:hyperlink r:id="rId356" w:history="1">
        <w:r>
          <w:rPr>
            <w:rFonts w:ascii="Garamond" w:hAnsi="Garamond" w:cs="Garamond"/>
            <w:color w:val="0000FF"/>
            <w:spacing w:val="-2"/>
            <w:w w:val="95"/>
            <w:sz w:val="20"/>
            <w:szCs w:val="20"/>
            <w:u w:val="single"/>
          </w:rPr>
          <w:t>http://www.qualityforum.org/projects/Healthcare_Disparities_and_Cultural_Competency.aspx.</w:t>
        </w:r>
      </w:hyperlink>
    </w:p>
    <w:p w:rsidR="002C5025" w:rsidRDefault="002C5025">
      <w:pPr>
        <w:pStyle w:val="BodyText"/>
        <w:kinsoku w:val="0"/>
        <w:overflowPunct w:val="0"/>
        <w:ind w:left="120" w:right="241"/>
        <w:rPr>
          <w:rFonts w:ascii="Garamond" w:hAnsi="Garamond" w:cs="Garamond"/>
          <w:sz w:val="20"/>
          <w:szCs w:val="20"/>
        </w:rPr>
      </w:pPr>
      <w:r>
        <w:rPr>
          <w:rFonts w:ascii="Garamond" w:hAnsi="Garamond" w:cs="Garamond"/>
          <w:position w:val="5"/>
          <w:sz w:val="13"/>
          <w:szCs w:val="13"/>
        </w:rPr>
        <w:t>55</w:t>
      </w:r>
      <w:r>
        <w:rPr>
          <w:rFonts w:ascii="Garamond" w:hAnsi="Garamond" w:cs="Garamond"/>
          <w:spacing w:val="6"/>
          <w:position w:val="5"/>
          <w:sz w:val="13"/>
          <w:szCs w:val="13"/>
        </w:rPr>
        <w:t xml:space="preserve"> </w:t>
      </w:r>
      <w:r>
        <w:rPr>
          <w:rFonts w:ascii="Garamond" w:hAnsi="Garamond" w:cs="Garamond"/>
          <w:sz w:val="20"/>
          <w:szCs w:val="20"/>
        </w:rPr>
        <w:t>Blue</w:t>
      </w:r>
      <w:r>
        <w:rPr>
          <w:rFonts w:ascii="Garamond" w:hAnsi="Garamond" w:cs="Garamond"/>
          <w:spacing w:val="-10"/>
          <w:sz w:val="20"/>
          <w:szCs w:val="20"/>
        </w:rPr>
        <w:t xml:space="preserve"> </w:t>
      </w:r>
      <w:r>
        <w:rPr>
          <w:rFonts w:ascii="Garamond" w:hAnsi="Garamond" w:cs="Garamond"/>
          <w:sz w:val="20"/>
          <w:szCs w:val="20"/>
        </w:rPr>
        <w:t>Cross</w:t>
      </w:r>
      <w:r>
        <w:rPr>
          <w:rFonts w:ascii="Garamond" w:hAnsi="Garamond" w:cs="Garamond"/>
          <w:spacing w:val="-14"/>
          <w:sz w:val="20"/>
          <w:szCs w:val="20"/>
        </w:rPr>
        <w:t xml:space="preserve"> </w:t>
      </w:r>
      <w:r>
        <w:rPr>
          <w:rFonts w:ascii="Garamond" w:hAnsi="Garamond" w:cs="Garamond"/>
          <w:sz w:val="20"/>
          <w:szCs w:val="20"/>
        </w:rPr>
        <w:t>Blue</w:t>
      </w:r>
      <w:r>
        <w:rPr>
          <w:rFonts w:ascii="Garamond" w:hAnsi="Garamond" w:cs="Garamond"/>
          <w:spacing w:val="-10"/>
          <w:sz w:val="20"/>
          <w:szCs w:val="20"/>
        </w:rPr>
        <w:t xml:space="preserve"> </w:t>
      </w:r>
      <w:r>
        <w:rPr>
          <w:rFonts w:ascii="Garamond" w:hAnsi="Garamond" w:cs="Garamond"/>
          <w:sz w:val="20"/>
          <w:szCs w:val="20"/>
        </w:rPr>
        <w:t>Shield</w:t>
      </w:r>
      <w:r>
        <w:rPr>
          <w:rFonts w:ascii="Garamond" w:hAnsi="Garamond" w:cs="Garamond"/>
          <w:spacing w:val="-7"/>
          <w:sz w:val="20"/>
          <w:szCs w:val="20"/>
        </w:rPr>
        <w:t xml:space="preserve"> </w:t>
      </w:r>
      <w:r>
        <w:rPr>
          <w:rFonts w:ascii="Garamond" w:hAnsi="Garamond" w:cs="Garamond"/>
          <w:sz w:val="20"/>
          <w:szCs w:val="20"/>
        </w:rPr>
        <w:t>of</w:t>
      </w:r>
      <w:r>
        <w:rPr>
          <w:rFonts w:ascii="Garamond" w:hAnsi="Garamond" w:cs="Garamond"/>
          <w:spacing w:val="-10"/>
          <w:sz w:val="20"/>
          <w:szCs w:val="20"/>
        </w:rPr>
        <w:t xml:space="preserve"> </w:t>
      </w:r>
      <w:r>
        <w:rPr>
          <w:rFonts w:ascii="Garamond" w:hAnsi="Garamond" w:cs="Garamond"/>
          <w:sz w:val="20"/>
          <w:szCs w:val="20"/>
        </w:rPr>
        <w:t>MA</w:t>
      </w:r>
      <w:r>
        <w:rPr>
          <w:rFonts w:ascii="Garamond" w:hAnsi="Garamond" w:cs="Garamond"/>
          <w:spacing w:val="-11"/>
          <w:sz w:val="20"/>
          <w:szCs w:val="20"/>
        </w:rPr>
        <w:t xml:space="preserve"> </w:t>
      </w:r>
      <w:r>
        <w:rPr>
          <w:rFonts w:ascii="Garamond" w:hAnsi="Garamond" w:cs="Garamond"/>
          <w:sz w:val="20"/>
          <w:szCs w:val="20"/>
        </w:rPr>
        <w:t>has</w:t>
      </w:r>
      <w:r>
        <w:rPr>
          <w:rFonts w:ascii="Garamond" w:hAnsi="Garamond" w:cs="Garamond"/>
          <w:spacing w:val="-12"/>
          <w:sz w:val="20"/>
          <w:szCs w:val="20"/>
        </w:rPr>
        <w:t xml:space="preserve"> </w:t>
      </w:r>
      <w:r>
        <w:rPr>
          <w:rFonts w:ascii="Garamond" w:hAnsi="Garamond" w:cs="Garamond"/>
          <w:sz w:val="20"/>
          <w:szCs w:val="20"/>
        </w:rPr>
        <w:t>incorporated</w:t>
      </w:r>
      <w:r>
        <w:rPr>
          <w:rFonts w:ascii="Garamond" w:hAnsi="Garamond" w:cs="Garamond"/>
          <w:spacing w:val="-10"/>
          <w:sz w:val="20"/>
          <w:szCs w:val="20"/>
        </w:rPr>
        <w:t xml:space="preserve"> </w:t>
      </w:r>
      <w:r>
        <w:rPr>
          <w:rFonts w:ascii="Garamond" w:hAnsi="Garamond" w:cs="Garamond"/>
          <w:sz w:val="20"/>
          <w:szCs w:val="20"/>
        </w:rPr>
        <w:t>PROMS</w:t>
      </w:r>
      <w:r>
        <w:rPr>
          <w:rFonts w:ascii="Garamond" w:hAnsi="Garamond" w:cs="Garamond"/>
          <w:spacing w:val="-10"/>
          <w:sz w:val="20"/>
          <w:szCs w:val="20"/>
        </w:rPr>
        <w:t xml:space="preserve"> </w:t>
      </w:r>
      <w:r>
        <w:rPr>
          <w:rFonts w:ascii="Garamond" w:hAnsi="Garamond" w:cs="Garamond"/>
          <w:sz w:val="20"/>
          <w:szCs w:val="20"/>
        </w:rPr>
        <w:t>for</w:t>
      </w:r>
      <w:r>
        <w:rPr>
          <w:rFonts w:ascii="Garamond" w:hAnsi="Garamond" w:cs="Garamond"/>
          <w:spacing w:val="-10"/>
          <w:sz w:val="20"/>
          <w:szCs w:val="20"/>
        </w:rPr>
        <w:t xml:space="preserve"> </w:t>
      </w:r>
      <w:r>
        <w:rPr>
          <w:rFonts w:ascii="Garamond" w:hAnsi="Garamond" w:cs="Garamond"/>
          <w:sz w:val="20"/>
          <w:szCs w:val="20"/>
        </w:rPr>
        <w:t>mental</w:t>
      </w:r>
      <w:r>
        <w:rPr>
          <w:rFonts w:ascii="Garamond" w:hAnsi="Garamond" w:cs="Garamond"/>
          <w:spacing w:val="-11"/>
          <w:sz w:val="20"/>
          <w:szCs w:val="20"/>
        </w:rPr>
        <w:t xml:space="preserve"> </w:t>
      </w:r>
      <w:r>
        <w:rPr>
          <w:rFonts w:ascii="Garamond" w:hAnsi="Garamond" w:cs="Garamond"/>
          <w:sz w:val="20"/>
          <w:szCs w:val="20"/>
        </w:rPr>
        <w:t>health,</w:t>
      </w:r>
      <w:r>
        <w:rPr>
          <w:rFonts w:ascii="Garamond" w:hAnsi="Garamond" w:cs="Garamond"/>
          <w:spacing w:val="-14"/>
          <w:sz w:val="20"/>
          <w:szCs w:val="20"/>
        </w:rPr>
        <w:t xml:space="preserve"> </w:t>
      </w:r>
      <w:r>
        <w:rPr>
          <w:rFonts w:ascii="Garamond" w:hAnsi="Garamond" w:cs="Garamond"/>
          <w:sz w:val="20"/>
          <w:szCs w:val="20"/>
        </w:rPr>
        <w:t>orthopedics,</w:t>
      </w:r>
      <w:r>
        <w:rPr>
          <w:rFonts w:ascii="Garamond" w:hAnsi="Garamond" w:cs="Garamond"/>
          <w:spacing w:val="-14"/>
          <w:sz w:val="20"/>
          <w:szCs w:val="20"/>
        </w:rPr>
        <w:t xml:space="preserve"> </w:t>
      </w:r>
      <w:r>
        <w:rPr>
          <w:rFonts w:ascii="Garamond" w:hAnsi="Garamond" w:cs="Garamond"/>
          <w:sz w:val="20"/>
          <w:szCs w:val="20"/>
        </w:rPr>
        <w:t>oncology</w:t>
      </w:r>
      <w:r>
        <w:rPr>
          <w:rFonts w:ascii="Garamond" w:hAnsi="Garamond" w:cs="Garamond"/>
          <w:spacing w:val="-12"/>
          <w:sz w:val="20"/>
          <w:szCs w:val="20"/>
        </w:rPr>
        <w:t xml:space="preserve"> </w:t>
      </w:r>
      <w:r>
        <w:rPr>
          <w:rFonts w:ascii="Garamond" w:hAnsi="Garamond" w:cs="Garamond"/>
          <w:sz w:val="20"/>
          <w:szCs w:val="20"/>
        </w:rPr>
        <w:t>and</w:t>
      </w:r>
      <w:r>
        <w:rPr>
          <w:rFonts w:ascii="Garamond" w:hAnsi="Garamond" w:cs="Garamond"/>
          <w:spacing w:val="-12"/>
          <w:sz w:val="20"/>
          <w:szCs w:val="20"/>
        </w:rPr>
        <w:t xml:space="preserve"> </w:t>
      </w:r>
      <w:r>
        <w:rPr>
          <w:rFonts w:ascii="Garamond" w:hAnsi="Garamond" w:cs="Garamond"/>
          <w:sz w:val="20"/>
          <w:szCs w:val="20"/>
        </w:rPr>
        <w:t>cardiology</w:t>
      </w:r>
      <w:r>
        <w:rPr>
          <w:rFonts w:ascii="Garamond" w:hAnsi="Garamond" w:cs="Garamond"/>
          <w:spacing w:val="-10"/>
          <w:sz w:val="20"/>
          <w:szCs w:val="20"/>
        </w:rPr>
        <w:t xml:space="preserve"> </w:t>
      </w:r>
      <w:r>
        <w:rPr>
          <w:rFonts w:ascii="Garamond" w:hAnsi="Garamond" w:cs="Garamond"/>
          <w:sz w:val="20"/>
          <w:szCs w:val="20"/>
        </w:rPr>
        <w:t>as</w:t>
      </w:r>
      <w:r>
        <w:rPr>
          <w:rFonts w:ascii="Garamond" w:hAnsi="Garamond" w:cs="Garamond"/>
          <w:spacing w:val="-14"/>
          <w:sz w:val="20"/>
          <w:szCs w:val="20"/>
        </w:rPr>
        <w:t xml:space="preserve"> </w:t>
      </w:r>
      <w:r>
        <w:rPr>
          <w:rFonts w:ascii="Garamond" w:hAnsi="Garamond" w:cs="Garamond"/>
          <w:sz w:val="20"/>
          <w:szCs w:val="20"/>
        </w:rPr>
        <w:t>a complementary</w:t>
      </w:r>
      <w:r>
        <w:rPr>
          <w:rFonts w:ascii="Garamond" w:hAnsi="Garamond" w:cs="Garamond"/>
          <w:spacing w:val="-13"/>
          <w:sz w:val="20"/>
          <w:szCs w:val="20"/>
        </w:rPr>
        <w:t xml:space="preserve"> </w:t>
      </w:r>
      <w:r>
        <w:rPr>
          <w:rFonts w:ascii="Garamond" w:hAnsi="Garamond" w:cs="Garamond"/>
          <w:sz w:val="20"/>
          <w:szCs w:val="20"/>
        </w:rPr>
        <w:t>measure</w:t>
      </w:r>
      <w:r>
        <w:rPr>
          <w:rFonts w:ascii="Garamond" w:hAnsi="Garamond" w:cs="Garamond"/>
          <w:spacing w:val="-11"/>
          <w:sz w:val="20"/>
          <w:szCs w:val="20"/>
        </w:rPr>
        <w:t xml:space="preserve"> </w:t>
      </w:r>
      <w:r>
        <w:rPr>
          <w:rFonts w:ascii="Garamond" w:hAnsi="Garamond" w:cs="Garamond"/>
          <w:sz w:val="20"/>
          <w:szCs w:val="20"/>
        </w:rPr>
        <w:t>set</w:t>
      </w:r>
      <w:r>
        <w:rPr>
          <w:rFonts w:ascii="Garamond" w:hAnsi="Garamond" w:cs="Garamond"/>
          <w:spacing w:val="-14"/>
          <w:sz w:val="20"/>
          <w:szCs w:val="20"/>
        </w:rPr>
        <w:t xml:space="preserve"> </w:t>
      </w:r>
      <w:r>
        <w:rPr>
          <w:rFonts w:ascii="Garamond" w:hAnsi="Garamond" w:cs="Garamond"/>
          <w:sz w:val="20"/>
          <w:szCs w:val="20"/>
        </w:rPr>
        <w:t>for</w:t>
      </w:r>
      <w:r>
        <w:rPr>
          <w:rFonts w:ascii="Garamond" w:hAnsi="Garamond" w:cs="Garamond"/>
          <w:spacing w:val="-13"/>
          <w:sz w:val="20"/>
          <w:szCs w:val="20"/>
        </w:rPr>
        <w:t xml:space="preserve"> </w:t>
      </w:r>
      <w:r>
        <w:rPr>
          <w:rFonts w:ascii="Garamond" w:hAnsi="Garamond" w:cs="Garamond"/>
          <w:sz w:val="20"/>
          <w:szCs w:val="20"/>
        </w:rPr>
        <w:t>both</w:t>
      </w:r>
      <w:r>
        <w:rPr>
          <w:rFonts w:ascii="Garamond" w:hAnsi="Garamond" w:cs="Garamond"/>
          <w:spacing w:val="-14"/>
          <w:sz w:val="20"/>
          <w:szCs w:val="20"/>
        </w:rPr>
        <w:t xml:space="preserve"> </w:t>
      </w:r>
      <w:r>
        <w:rPr>
          <w:rFonts w:ascii="Garamond" w:hAnsi="Garamond" w:cs="Garamond"/>
          <w:sz w:val="20"/>
          <w:szCs w:val="20"/>
        </w:rPr>
        <w:t>its</w:t>
      </w:r>
      <w:r>
        <w:rPr>
          <w:rFonts w:ascii="Garamond" w:hAnsi="Garamond" w:cs="Garamond"/>
          <w:spacing w:val="-12"/>
          <w:sz w:val="20"/>
          <w:szCs w:val="20"/>
        </w:rPr>
        <w:t xml:space="preserve"> </w:t>
      </w:r>
      <w:r>
        <w:rPr>
          <w:rFonts w:ascii="Garamond" w:hAnsi="Garamond" w:cs="Garamond"/>
          <w:sz w:val="20"/>
          <w:szCs w:val="20"/>
        </w:rPr>
        <w:t>Alternative</w:t>
      </w:r>
      <w:r>
        <w:rPr>
          <w:rFonts w:ascii="Garamond" w:hAnsi="Garamond" w:cs="Garamond"/>
          <w:spacing w:val="-11"/>
          <w:sz w:val="20"/>
          <w:szCs w:val="20"/>
        </w:rPr>
        <w:t xml:space="preserve"> </w:t>
      </w:r>
      <w:r>
        <w:rPr>
          <w:rFonts w:ascii="Garamond" w:hAnsi="Garamond" w:cs="Garamond"/>
          <w:sz w:val="20"/>
          <w:szCs w:val="20"/>
        </w:rPr>
        <w:t>Quality</w:t>
      </w:r>
      <w:r>
        <w:rPr>
          <w:rFonts w:ascii="Garamond" w:hAnsi="Garamond" w:cs="Garamond"/>
          <w:spacing w:val="-11"/>
          <w:sz w:val="20"/>
          <w:szCs w:val="20"/>
        </w:rPr>
        <w:t xml:space="preserve"> </w:t>
      </w:r>
      <w:r>
        <w:rPr>
          <w:rFonts w:ascii="Garamond" w:hAnsi="Garamond" w:cs="Garamond"/>
          <w:sz w:val="20"/>
          <w:szCs w:val="20"/>
        </w:rPr>
        <w:t>Contract</w:t>
      </w:r>
      <w:r>
        <w:rPr>
          <w:rFonts w:ascii="Garamond" w:hAnsi="Garamond" w:cs="Garamond"/>
          <w:spacing w:val="-14"/>
          <w:sz w:val="20"/>
          <w:szCs w:val="20"/>
        </w:rPr>
        <w:t xml:space="preserve"> </w:t>
      </w:r>
      <w:r>
        <w:rPr>
          <w:rFonts w:ascii="Garamond" w:hAnsi="Garamond" w:cs="Garamond"/>
          <w:sz w:val="20"/>
          <w:szCs w:val="20"/>
        </w:rPr>
        <w:t>(AQC)</w:t>
      </w:r>
      <w:r>
        <w:rPr>
          <w:rFonts w:ascii="Garamond" w:hAnsi="Garamond" w:cs="Garamond"/>
          <w:spacing w:val="-14"/>
          <w:sz w:val="20"/>
          <w:szCs w:val="20"/>
        </w:rPr>
        <w:t xml:space="preserve"> </w:t>
      </w:r>
      <w:r>
        <w:rPr>
          <w:rFonts w:ascii="Garamond" w:hAnsi="Garamond" w:cs="Garamond"/>
          <w:sz w:val="20"/>
          <w:szCs w:val="20"/>
        </w:rPr>
        <w:t>and</w:t>
      </w:r>
      <w:r>
        <w:rPr>
          <w:rFonts w:ascii="Garamond" w:hAnsi="Garamond" w:cs="Garamond"/>
          <w:spacing w:val="-11"/>
          <w:sz w:val="20"/>
          <w:szCs w:val="20"/>
        </w:rPr>
        <w:t xml:space="preserve"> </w:t>
      </w:r>
      <w:r>
        <w:rPr>
          <w:rFonts w:ascii="Garamond" w:hAnsi="Garamond" w:cs="Garamond"/>
          <w:sz w:val="20"/>
          <w:szCs w:val="20"/>
        </w:rPr>
        <w:t>PPO</w:t>
      </w:r>
      <w:r>
        <w:rPr>
          <w:rFonts w:ascii="Garamond" w:hAnsi="Garamond" w:cs="Garamond"/>
          <w:spacing w:val="-13"/>
          <w:sz w:val="20"/>
          <w:szCs w:val="20"/>
        </w:rPr>
        <w:t xml:space="preserve"> </w:t>
      </w:r>
      <w:r>
        <w:rPr>
          <w:rFonts w:ascii="Garamond" w:hAnsi="Garamond" w:cs="Garamond"/>
          <w:sz w:val="20"/>
          <w:szCs w:val="20"/>
        </w:rPr>
        <w:t>payment</w:t>
      </w:r>
      <w:r>
        <w:rPr>
          <w:rFonts w:ascii="Garamond" w:hAnsi="Garamond" w:cs="Garamond"/>
          <w:spacing w:val="-12"/>
          <w:sz w:val="20"/>
          <w:szCs w:val="20"/>
        </w:rPr>
        <w:t xml:space="preserve"> </w:t>
      </w:r>
      <w:r>
        <w:rPr>
          <w:rFonts w:ascii="Garamond" w:hAnsi="Garamond" w:cs="Garamond"/>
          <w:sz w:val="20"/>
          <w:szCs w:val="20"/>
        </w:rPr>
        <w:t>reform</w:t>
      </w:r>
      <w:r>
        <w:rPr>
          <w:rFonts w:ascii="Garamond" w:hAnsi="Garamond" w:cs="Garamond"/>
          <w:spacing w:val="-13"/>
          <w:sz w:val="20"/>
          <w:szCs w:val="20"/>
        </w:rPr>
        <w:t xml:space="preserve"> </w:t>
      </w:r>
      <w:r>
        <w:rPr>
          <w:rFonts w:ascii="Garamond" w:hAnsi="Garamond" w:cs="Garamond"/>
          <w:sz w:val="20"/>
          <w:szCs w:val="20"/>
        </w:rPr>
        <w:t>models.</w:t>
      </w:r>
    </w:p>
    <w:p w:rsidR="002C5025" w:rsidRDefault="002C5025">
      <w:pPr>
        <w:pStyle w:val="BodyText"/>
        <w:kinsoku w:val="0"/>
        <w:overflowPunct w:val="0"/>
        <w:ind w:left="120" w:right="241"/>
        <w:rPr>
          <w:rFonts w:ascii="Garamond" w:hAnsi="Garamond" w:cs="Garamond"/>
          <w:sz w:val="20"/>
          <w:szCs w:val="20"/>
        </w:rPr>
      </w:pPr>
      <w:r>
        <w:rPr>
          <w:rFonts w:ascii="Garamond" w:hAnsi="Garamond" w:cs="Garamond"/>
          <w:sz w:val="20"/>
          <w:szCs w:val="20"/>
        </w:rPr>
        <w:t>Beginning with contracts in 2016, these measures will be used alongside the core quality measure set. Unlike the core quality</w:t>
      </w:r>
      <w:r>
        <w:rPr>
          <w:rFonts w:ascii="Garamond" w:hAnsi="Garamond" w:cs="Garamond"/>
          <w:spacing w:val="-11"/>
          <w:sz w:val="20"/>
          <w:szCs w:val="20"/>
        </w:rPr>
        <w:t xml:space="preserve"> </w:t>
      </w:r>
      <w:r>
        <w:rPr>
          <w:rFonts w:ascii="Garamond" w:hAnsi="Garamond" w:cs="Garamond"/>
          <w:sz w:val="20"/>
          <w:szCs w:val="20"/>
        </w:rPr>
        <w:t>measure</w:t>
      </w:r>
      <w:r>
        <w:rPr>
          <w:rFonts w:ascii="Garamond" w:hAnsi="Garamond" w:cs="Garamond"/>
          <w:spacing w:val="-9"/>
          <w:sz w:val="20"/>
          <w:szCs w:val="20"/>
        </w:rPr>
        <w:t xml:space="preserve"> </w:t>
      </w:r>
      <w:r>
        <w:rPr>
          <w:rFonts w:ascii="Garamond" w:hAnsi="Garamond" w:cs="Garamond"/>
          <w:sz w:val="20"/>
          <w:szCs w:val="20"/>
        </w:rPr>
        <w:t>set,</w:t>
      </w:r>
      <w:r>
        <w:rPr>
          <w:rFonts w:ascii="Garamond" w:hAnsi="Garamond" w:cs="Garamond"/>
          <w:spacing w:val="-10"/>
          <w:sz w:val="20"/>
          <w:szCs w:val="20"/>
        </w:rPr>
        <w:t xml:space="preserve"> </w:t>
      </w:r>
      <w:r>
        <w:rPr>
          <w:rFonts w:ascii="Garamond" w:hAnsi="Garamond" w:cs="Garamond"/>
          <w:sz w:val="20"/>
          <w:szCs w:val="20"/>
        </w:rPr>
        <w:t>where</w:t>
      </w:r>
      <w:r>
        <w:rPr>
          <w:rFonts w:ascii="Garamond" w:hAnsi="Garamond" w:cs="Garamond"/>
          <w:spacing w:val="-9"/>
          <w:sz w:val="20"/>
          <w:szCs w:val="20"/>
        </w:rPr>
        <w:t xml:space="preserve"> </w:t>
      </w:r>
      <w:r>
        <w:rPr>
          <w:rFonts w:ascii="Garamond" w:hAnsi="Garamond" w:cs="Garamond"/>
          <w:sz w:val="20"/>
          <w:szCs w:val="20"/>
        </w:rPr>
        <w:t>payment</w:t>
      </w:r>
      <w:r>
        <w:rPr>
          <w:rFonts w:ascii="Garamond" w:hAnsi="Garamond" w:cs="Garamond"/>
          <w:spacing w:val="-13"/>
          <w:sz w:val="20"/>
          <w:szCs w:val="20"/>
        </w:rPr>
        <w:t xml:space="preserve"> </w:t>
      </w:r>
      <w:r>
        <w:rPr>
          <w:rFonts w:ascii="Garamond" w:hAnsi="Garamond" w:cs="Garamond"/>
          <w:sz w:val="20"/>
          <w:szCs w:val="20"/>
        </w:rPr>
        <w:t>is</w:t>
      </w:r>
      <w:r>
        <w:rPr>
          <w:rFonts w:ascii="Garamond" w:hAnsi="Garamond" w:cs="Garamond"/>
          <w:spacing w:val="-13"/>
          <w:sz w:val="20"/>
          <w:szCs w:val="20"/>
        </w:rPr>
        <w:t xml:space="preserve"> </w:t>
      </w:r>
      <w:r>
        <w:rPr>
          <w:rFonts w:ascii="Garamond" w:hAnsi="Garamond" w:cs="Garamond"/>
          <w:sz w:val="20"/>
          <w:szCs w:val="20"/>
        </w:rPr>
        <w:t>based</w:t>
      </w:r>
      <w:r>
        <w:rPr>
          <w:rFonts w:ascii="Garamond" w:hAnsi="Garamond" w:cs="Garamond"/>
          <w:spacing w:val="-9"/>
          <w:sz w:val="20"/>
          <w:szCs w:val="20"/>
        </w:rPr>
        <w:t xml:space="preserve"> </w:t>
      </w:r>
      <w:r>
        <w:rPr>
          <w:rFonts w:ascii="Garamond" w:hAnsi="Garamond" w:cs="Garamond"/>
          <w:sz w:val="20"/>
          <w:szCs w:val="20"/>
        </w:rPr>
        <w:t>on</w:t>
      </w:r>
      <w:r>
        <w:rPr>
          <w:rFonts w:ascii="Garamond" w:hAnsi="Garamond" w:cs="Garamond"/>
          <w:spacing w:val="-11"/>
          <w:sz w:val="20"/>
          <w:szCs w:val="20"/>
        </w:rPr>
        <w:t xml:space="preserve"> </w:t>
      </w:r>
      <w:r>
        <w:rPr>
          <w:rFonts w:ascii="Garamond" w:hAnsi="Garamond" w:cs="Garamond"/>
          <w:sz w:val="20"/>
          <w:szCs w:val="20"/>
        </w:rPr>
        <w:t>performance,</w:t>
      </w:r>
      <w:r>
        <w:rPr>
          <w:rFonts w:ascii="Garamond" w:hAnsi="Garamond" w:cs="Garamond"/>
          <w:spacing w:val="-10"/>
          <w:sz w:val="20"/>
          <w:szCs w:val="20"/>
        </w:rPr>
        <w:t xml:space="preserve"> </w:t>
      </w:r>
      <w:r>
        <w:rPr>
          <w:rFonts w:ascii="Garamond" w:hAnsi="Garamond" w:cs="Garamond"/>
          <w:sz w:val="20"/>
          <w:szCs w:val="20"/>
        </w:rPr>
        <w:t>however,</w:t>
      </w:r>
      <w:r>
        <w:rPr>
          <w:rFonts w:ascii="Garamond" w:hAnsi="Garamond" w:cs="Garamond"/>
          <w:spacing w:val="-13"/>
          <w:sz w:val="20"/>
          <w:szCs w:val="20"/>
        </w:rPr>
        <w:t xml:space="preserve"> </w:t>
      </w:r>
      <w:r>
        <w:rPr>
          <w:rFonts w:ascii="Garamond" w:hAnsi="Garamond" w:cs="Garamond"/>
          <w:sz w:val="20"/>
          <w:szCs w:val="20"/>
        </w:rPr>
        <w:t>payment</w:t>
      </w:r>
      <w:r>
        <w:rPr>
          <w:rFonts w:ascii="Garamond" w:hAnsi="Garamond" w:cs="Garamond"/>
          <w:spacing w:val="-13"/>
          <w:sz w:val="20"/>
          <w:szCs w:val="20"/>
        </w:rPr>
        <w:t xml:space="preserve"> </w:t>
      </w:r>
      <w:r>
        <w:rPr>
          <w:rFonts w:ascii="Garamond" w:hAnsi="Garamond" w:cs="Garamond"/>
          <w:sz w:val="20"/>
          <w:szCs w:val="20"/>
        </w:rPr>
        <w:t>for</w:t>
      </w:r>
      <w:r>
        <w:rPr>
          <w:rFonts w:ascii="Garamond" w:hAnsi="Garamond" w:cs="Garamond"/>
          <w:spacing w:val="-9"/>
          <w:sz w:val="20"/>
          <w:szCs w:val="20"/>
        </w:rPr>
        <w:t xml:space="preserve"> </w:t>
      </w:r>
      <w:r>
        <w:rPr>
          <w:rFonts w:ascii="Garamond" w:hAnsi="Garamond" w:cs="Garamond"/>
          <w:sz w:val="20"/>
          <w:szCs w:val="20"/>
        </w:rPr>
        <w:t>the</w:t>
      </w:r>
      <w:r>
        <w:rPr>
          <w:rFonts w:ascii="Garamond" w:hAnsi="Garamond" w:cs="Garamond"/>
          <w:spacing w:val="-9"/>
          <w:sz w:val="20"/>
          <w:szCs w:val="20"/>
        </w:rPr>
        <w:t xml:space="preserve"> </w:t>
      </w:r>
      <w:r>
        <w:rPr>
          <w:rFonts w:ascii="Garamond" w:hAnsi="Garamond" w:cs="Garamond"/>
          <w:sz w:val="20"/>
          <w:szCs w:val="20"/>
        </w:rPr>
        <w:t>PROMs</w:t>
      </w:r>
      <w:r>
        <w:rPr>
          <w:rFonts w:ascii="Garamond" w:hAnsi="Garamond" w:cs="Garamond"/>
          <w:spacing w:val="-10"/>
          <w:sz w:val="20"/>
          <w:szCs w:val="20"/>
        </w:rPr>
        <w:t xml:space="preserve"> </w:t>
      </w:r>
      <w:r>
        <w:rPr>
          <w:rFonts w:ascii="Garamond" w:hAnsi="Garamond" w:cs="Garamond"/>
          <w:sz w:val="20"/>
          <w:szCs w:val="20"/>
        </w:rPr>
        <w:t>and</w:t>
      </w:r>
      <w:r>
        <w:rPr>
          <w:rFonts w:ascii="Garamond" w:hAnsi="Garamond" w:cs="Garamond"/>
          <w:spacing w:val="-9"/>
          <w:sz w:val="20"/>
          <w:szCs w:val="20"/>
        </w:rPr>
        <w:t xml:space="preserve"> </w:t>
      </w:r>
      <w:r>
        <w:rPr>
          <w:rFonts w:ascii="Garamond" w:hAnsi="Garamond" w:cs="Garamond"/>
          <w:sz w:val="20"/>
          <w:szCs w:val="20"/>
        </w:rPr>
        <w:t>other</w:t>
      </w:r>
      <w:r>
        <w:rPr>
          <w:rFonts w:ascii="Garamond" w:hAnsi="Garamond" w:cs="Garamond"/>
          <w:spacing w:val="-12"/>
          <w:sz w:val="20"/>
          <w:szCs w:val="20"/>
        </w:rPr>
        <w:t xml:space="preserve"> </w:t>
      </w:r>
      <w:r>
        <w:rPr>
          <w:rFonts w:ascii="Garamond" w:hAnsi="Garamond" w:cs="Garamond"/>
          <w:sz w:val="20"/>
          <w:szCs w:val="20"/>
        </w:rPr>
        <w:t>measures</w:t>
      </w:r>
      <w:r>
        <w:rPr>
          <w:rFonts w:ascii="Garamond" w:hAnsi="Garamond" w:cs="Garamond"/>
          <w:spacing w:val="-13"/>
          <w:sz w:val="20"/>
          <w:szCs w:val="20"/>
        </w:rPr>
        <w:t xml:space="preserve"> </w:t>
      </w:r>
      <w:r>
        <w:rPr>
          <w:rFonts w:ascii="Garamond" w:hAnsi="Garamond" w:cs="Garamond"/>
          <w:sz w:val="20"/>
          <w:szCs w:val="20"/>
        </w:rPr>
        <w:t>in the complementary measure set will be based on adoption and use to improve patient care. Since the BCBSMA introduction</w:t>
      </w:r>
      <w:r>
        <w:rPr>
          <w:rFonts w:ascii="Garamond" w:hAnsi="Garamond" w:cs="Garamond"/>
          <w:spacing w:val="-12"/>
          <w:sz w:val="20"/>
          <w:szCs w:val="20"/>
        </w:rPr>
        <w:t xml:space="preserve"> </w:t>
      </w:r>
      <w:r>
        <w:rPr>
          <w:rFonts w:ascii="Garamond" w:hAnsi="Garamond" w:cs="Garamond"/>
          <w:sz w:val="20"/>
          <w:szCs w:val="20"/>
        </w:rPr>
        <w:t>of</w:t>
      </w:r>
      <w:r>
        <w:rPr>
          <w:rFonts w:ascii="Garamond" w:hAnsi="Garamond" w:cs="Garamond"/>
          <w:spacing w:val="-11"/>
          <w:sz w:val="20"/>
          <w:szCs w:val="20"/>
        </w:rPr>
        <w:t xml:space="preserve"> </w:t>
      </w:r>
      <w:r>
        <w:rPr>
          <w:rFonts w:ascii="Garamond" w:hAnsi="Garamond" w:cs="Garamond"/>
          <w:sz w:val="20"/>
          <w:szCs w:val="20"/>
        </w:rPr>
        <w:t>PROMs</w:t>
      </w:r>
      <w:r>
        <w:rPr>
          <w:rFonts w:ascii="Garamond" w:hAnsi="Garamond" w:cs="Garamond"/>
          <w:spacing w:val="-10"/>
          <w:sz w:val="20"/>
          <w:szCs w:val="20"/>
        </w:rPr>
        <w:t xml:space="preserve"> </w:t>
      </w:r>
      <w:r>
        <w:rPr>
          <w:rFonts w:ascii="Garamond" w:hAnsi="Garamond" w:cs="Garamond"/>
          <w:sz w:val="20"/>
          <w:szCs w:val="20"/>
        </w:rPr>
        <w:t>in</w:t>
      </w:r>
      <w:r>
        <w:rPr>
          <w:rFonts w:ascii="Garamond" w:hAnsi="Garamond" w:cs="Garamond"/>
          <w:spacing w:val="-12"/>
          <w:sz w:val="20"/>
          <w:szCs w:val="20"/>
        </w:rPr>
        <w:t xml:space="preserve"> </w:t>
      </w:r>
      <w:r>
        <w:rPr>
          <w:rFonts w:ascii="Garamond" w:hAnsi="Garamond" w:cs="Garamond"/>
          <w:sz w:val="20"/>
          <w:szCs w:val="20"/>
        </w:rPr>
        <w:t>2014</w:t>
      </w:r>
      <w:r>
        <w:rPr>
          <w:rFonts w:ascii="Garamond" w:hAnsi="Garamond" w:cs="Garamond"/>
          <w:spacing w:val="-7"/>
          <w:sz w:val="20"/>
          <w:szCs w:val="20"/>
        </w:rPr>
        <w:t xml:space="preserve"> </w:t>
      </w:r>
      <w:r>
        <w:rPr>
          <w:rFonts w:ascii="Garamond" w:hAnsi="Garamond" w:cs="Garamond"/>
          <w:sz w:val="20"/>
          <w:szCs w:val="20"/>
        </w:rPr>
        <w:t>as</w:t>
      </w:r>
      <w:r>
        <w:rPr>
          <w:rFonts w:ascii="Garamond" w:hAnsi="Garamond" w:cs="Garamond"/>
          <w:spacing w:val="-11"/>
          <w:sz w:val="20"/>
          <w:szCs w:val="20"/>
        </w:rPr>
        <w:t xml:space="preserve"> </w:t>
      </w:r>
      <w:r>
        <w:rPr>
          <w:rFonts w:ascii="Garamond" w:hAnsi="Garamond" w:cs="Garamond"/>
          <w:sz w:val="20"/>
          <w:szCs w:val="20"/>
        </w:rPr>
        <w:t>a</w:t>
      </w:r>
      <w:r>
        <w:rPr>
          <w:rFonts w:ascii="Garamond" w:hAnsi="Garamond" w:cs="Garamond"/>
          <w:spacing w:val="-9"/>
          <w:sz w:val="20"/>
          <w:szCs w:val="20"/>
        </w:rPr>
        <w:t xml:space="preserve"> </w:t>
      </w:r>
      <w:r>
        <w:rPr>
          <w:rFonts w:ascii="Garamond" w:hAnsi="Garamond" w:cs="Garamond"/>
          <w:sz w:val="20"/>
          <w:szCs w:val="20"/>
        </w:rPr>
        <w:t>voluntary</w:t>
      </w:r>
      <w:r>
        <w:rPr>
          <w:rFonts w:ascii="Garamond" w:hAnsi="Garamond" w:cs="Garamond"/>
          <w:spacing w:val="-9"/>
          <w:sz w:val="20"/>
          <w:szCs w:val="20"/>
        </w:rPr>
        <w:t xml:space="preserve"> </w:t>
      </w:r>
      <w:r>
        <w:rPr>
          <w:rFonts w:ascii="Garamond" w:hAnsi="Garamond" w:cs="Garamond"/>
          <w:sz w:val="20"/>
          <w:szCs w:val="20"/>
        </w:rPr>
        <w:t>component</w:t>
      </w:r>
      <w:r>
        <w:rPr>
          <w:rFonts w:ascii="Garamond" w:hAnsi="Garamond" w:cs="Garamond"/>
          <w:spacing w:val="-10"/>
          <w:sz w:val="20"/>
          <w:szCs w:val="20"/>
        </w:rPr>
        <w:t xml:space="preserve"> </w:t>
      </w:r>
      <w:r>
        <w:rPr>
          <w:rFonts w:ascii="Garamond" w:hAnsi="Garamond" w:cs="Garamond"/>
          <w:sz w:val="20"/>
          <w:szCs w:val="20"/>
        </w:rPr>
        <w:t>of</w:t>
      </w:r>
      <w:r>
        <w:rPr>
          <w:rFonts w:ascii="Garamond" w:hAnsi="Garamond" w:cs="Garamond"/>
          <w:spacing w:val="-7"/>
          <w:sz w:val="20"/>
          <w:szCs w:val="20"/>
        </w:rPr>
        <w:t xml:space="preserve"> </w:t>
      </w:r>
      <w:r>
        <w:rPr>
          <w:rFonts w:ascii="Garamond" w:hAnsi="Garamond" w:cs="Garamond"/>
          <w:sz w:val="20"/>
          <w:szCs w:val="20"/>
        </w:rPr>
        <w:t>the</w:t>
      </w:r>
      <w:r>
        <w:rPr>
          <w:rFonts w:ascii="Garamond" w:hAnsi="Garamond" w:cs="Garamond"/>
          <w:spacing w:val="-9"/>
          <w:sz w:val="20"/>
          <w:szCs w:val="20"/>
        </w:rPr>
        <w:t xml:space="preserve"> </w:t>
      </w:r>
      <w:r>
        <w:rPr>
          <w:rFonts w:ascii="Garamond" w:hAnsi="Garamond" w:cs="Garamond"/>
          <w:sz w:val="20"/>
          <w:szCs w:val="20"/>
        </w:rPr>
        <w:t>AQC</w:t>
      </w:r>
      <w:r>
        <w:rPr>
          <w:rFonts w:ascii="Garamond" w:hAnsi="Garamond" w:cs="Garamond"/>
          <w:spacing w:val="-9"/>
          <w:sz w:val="20"/>
          <w:szCs w:val="20"/>
        </w:rPr>
        <w:t xml:space="preserve"> </w:t>
      </w:r>
      <w:r>
        <w:rPr>
          <w:rFonts w:ascii="Garamond" w:hAnsi="Garamond" w:cs="Garamond"/>
          <w:sz w:val="20"/>
          <w:szCs w:val="20"/>
        </w:rPr>
        <w:t>program,</w:t>
      </w:r>
      <w:r>
        <w:rPr>
          <w:rFonts w:ascii="Garamond" w:hAnsi="Garamond" w:cs="Garamond"/>
          <w:spacing w:val="-10"/>
          <w:sz w:val="20"/>
          <w:szCs w:val="20"/>
        </w:rPr>
        <w:t xml:space="preserve"> </w:t>
      </w:r>
      <w:r>
        <w:rPr>
          <w:rFonts w:ascii="Garamond" w:hAnsi="Garamond" w:cs="Garamond"/>
          <w:sz w:val="20"/>
          <w:szCs w:val="20"/>
        </w:rPr>
        <w:t>the</w:t>
      </w:r>
      <w:r>
        <w:rPr>
          <w:rFonts w:ascii="Garamond" w:hAnsi="Garamond" w:cs="Garamond"/>
          <w:spacing w:val="-9"/>
          <w:sz w:val="20"/>
          <w:szCs w:val="20"/>
        </w:rPr>
        <w:t xml:space="preserve"> </w:t>
      </w:r>
      <w:r>
        <w:rPr>
          <w:rFonts w:ascii="Garamond" w:hAnsi="Garamond" w:cs="Garamond"/>
          <w:sz w:val="20"/>
          <w:szCs w:val="20"/>
        </w:rPr>
        <w:t>reception</w:t>
      </w:r>
      <w:r>
        <w:rPr>
          <w:rFonts w:ascii="Garamond" w:hAnsi="Garamond" w:cs="Garamond"/>
          <w:spacing w:val="-12"/>
          <w:sz w:val="20"/>
          <w:szCs w:val="20"/>
        </w:rPr>
        <w:t xml:space="preserve"> </w:t>
      </w:r>
      <w:r>
        <w:rPr>
          <w:rFonts w:ascii="Garamond" w:hAnsi="Garamond" w:cs="Garamond"/>
          <w:sz w:val="20"/>
          <w:szCs w:val="20"/>
        </w:rPr>
        <w:t>from</w:t>
      </w:r>
      <w:r>
        <w:rPr>
          <w:rFonts w:ascii="Garamond" w:hAnsi="Garamond" w:cs="Garamond"/>
          <w:spacing w:val="-10"/>
          <w:sz w:val="20"/>
          <w:szCs w:val="20"/>
        </w:rPr>
        <w:t xml:space="preserve"> </w:t>
      </w:r>
      <w:r>
        <w:rPr>
          <w:rFonts w:ascii="Garamond" w:hAnsi="Garamond" w:cs="Garamond"/>
          <w:sz w:val="20"/>
          <w:szCs w:val="20"/>
        </w:rPr>
        <w:t>providers</w:t>
      </w:r>
      <w:r>
        <w:rPr>
          <w:rFonts w:ascii="Garamond" w:hAnsi="Garamond" w:cs="Garamond"/>
          <w:spacing w:val="-12"/>
          <w:sz w:val="20"/>
          <w:szCs w:val="20"/>
        </w:rPr>
        <w:t xml:space="preserve"> </w:t>
      </w:r>
      <w:r>
        <w:rPr>
          <w:rFonts w:ascii="Garamond" w:hAnsi="Garamond" w:cs="Garamond"/>
          <w:sz w:val="20"/>
          <w:szCs w:val="20"/>
        </w:rPr>
        <w:t>has</w:t>
      </w:r>
      <w:r>
        <w:rPr>
          <w:rFonts w:ascii="Garamond" w:hAnsi="Garamond" w:cs="Garamond"/>
          <w:spacing w:val="-11"/>
          <w:sz w:val="20"/>
          <w:szCs w:val="20"/>
        </w:rPr>
        <w:t xml:space="preserve"> </w:t>
      </w:r>
      <w:r>
        <w:rPr>
          <w:rFonts w:ascii="Garamond" w:hAnsi="Garamond" w:cs="Garamond"/>
          <w:sz w:val="20"/>
          <w:szCs w:val="20"/>
        </w:rPr>
        <w:t>been very</w:t>
      </w:r>
      <w:r>
        <w:rPr>
          <w:rFonts w:ascii="Garamond" w:hAnsi="Garamond" w:cs="Garamond"/>
          <w:spacing w:val="-9"/>
          <w:sz w:val="20"/>
          <w:szCs w:val="20"/>
        </w:rPr>
        <w:t xml:space="preserve"> </w:t>
      </w:r>
      <w:r>
        <w:rPr>
          <w:rFonts w:ascii="Garamond" w:hAnsi="Garamond" w:cs="Garamond"/>
          <w:sz w:val="20"/>
          <w:szCs w:val="20"/>
        </w:rPr>
        <w:t>positive.</w:t>
      </w:r>
      <w:r>
        <w:rPr>
          <w:rFonts w:ascii="Garamond" w:hAnsi="Garamond" w:cs="Garamond"/>
          <w:spacing w:val="-8"/>
          <w:sz w:val="20"/>
          <w:szCs w:val="20"/>
        </w:rPr>
        <w:t xml:space="preserve"> </w:t>
      </w:r>
      <w:r>
        <w:rPr>
          <w:rFonts w:ascii="Garamond" w:hAnsi="Garamond" w:cs="Garamond"/>
          <w:sz w:val="20"/>
          <w:szCs w:val="20"/>
        </w:rPr>
        <w:t>While</w:t>
      </w:r>
      <w:r>
        <w:rPr>
          <w:rFonts w:ascii="Garamond" w:hAnsi="Garamond" w:cs="Garamond"/>
          <w:spacing w:val="-9"/>
          <w:sz w:val="20"/>
          <w:szCs w:val="20"/>
        </w:rPr>
        <w:t xml:space="preserve"> </w:t>
      </w:r>
      <w:r>
        <w:rPr>
          <w:rFonts w:ascii="Garamond" w:hAnsi="Garamond" w:cs="Garamond"/>
          <w:sz w:val="20"/>
          <w:szCs w:val="20"/>
        </w:rPr>
        <w:t>introduction</w:t>
      </w:r>
      <w:r>
        <w:rPr>
          <w:rFonts w:ascii="Garamond" w:hAnsi="Garamond" w:cs="Garamond"/>
          <w:spacing w:val="-13"/>
          <w:sz w:val="20"/>
          <w:szCs w:val="20"/>
        </w:rPr>
        <w:t xml:space="preserve"> </w:t>
      </w:r>
      <w:r>
        <w:rPr>
          <w:rFonts w:ascii="Garamond" w:hAnsi="Garamond" w:cs="Garamond"/>
          <w:sz w:val="20"/>
          <w:szCs w:val="20"/>
        </w:rPr>
        <w:t>of</w:t>
      </w:r>
      <w:r>
        <w:rPr>
          <w:rFonts w:ascii="Garamond" w:hAnsi="Garamond" w:cs="Garamond"/>
          <w:spacing w:val="-9"/>
          <w:sz w:val="20"/>
          <w:szCs w:val="20"/>
        </w:rPr>
        <w:t xml:space="preserve"> </w:t>
      </w:r>
      <w:r>
        <w:rPr>
          <w:rFonts w:ascii="Garamond" w:hAnsi="Garamond" w:cs="Garamond"/>
          <w:sz w:val="20"/>
          <w:szCs w:val="20"/>
        </w:rPr>
        <w:t>PROMs</w:t>
      </w:r>
      <w:r>
        <w:rPr>
          <w:rFonts w:ascii="Garamond" w:hAnsi="Garamond" w:cs="Garamond"/>
          <w:spacing w:val="-10"/>
          <w:sz w:val="20"/>
          <w:szCs w:val="20"/>
        </w:rPr>
        <w:t xml:space="preserve"> </w:t>
      </w:r>
      <w:r>
        <w:rPr>
          <w:rFonts w:ascii="Garamond" w:hAnsi="Garamond" w:cs="Garamond"/>
          <w:sz w:val="20"/>
          <w:szCs w:val="20"/>
        </w:rPr>
        <w:t>into</w:t>
      </w:r>
      <w:r>
        <w:rPr>
          <w:rFonts w:ascii="Garamond" w:hAnsi="Garamond" w:cs="Garamond"/>
          <w:spacing w:val="-13"/>
          <w:sz w:val="20"/>
          <w:szCs w:val="20"/>
        </w:rPr>
        <w:t xml:space="preserve"> </w:t>
      </w:r>
      <w:r>
        <w:rPr>
          <w:rFonts w:ascii="Garamond" w:hAnsi="Garamond" w:cs="Garamond"/>
          <w:sz w:val="20"/>
          <w:szCs w:val="20"/>
        </w:rPr>
        <w:t>routine</w:t>
      </w:r>
      <w:r>
        <w:rPr>
          <w:rFonts w:ascii="Garamond" w:hAnsi="Garamond" w:cs="Garamond"/>
          <w:spacing w:val="-9"/>
          <w:sz w:val="20"/>
          <w:szCs w:val="20"/>
        </w:rPr>
        <w:t xml:space="preserve"> </w:t>
      </w:r>
      <w:r>
        <w:rPr>
          <w:rFonts w:ascii="Garamond" w:hAnsi="Garamond" w:cs="Garamond"/>
          <w:sz w:val="20"/>
          <w:szCs w:val="20"/>
        </w:rPr>
        <w:t>practice</w:t>
      </w:r>
      <w:r>
        <w:rPr>
          <w:rFonts w:ascii="Garamond" w:hAnsi="Garamond" w:cs="Garamond"/>
          <w:spacing w:val="-9"/>
          <w:sz w:val="20"/>
          <w:szCs w:val="20"/>
        </w:rPr>
        <w:t xml:space="preserve"> </w:t>
      </w:r>
      <w:r>
        <w:rPr>
          <w:rFonts w:ascii="Garamond" w:hAnsi="Garamond" w:cs="Garamond"/>
          <w:sz w:val="20"/>
          <w:szCs w:val="20"/>
        </w:rPr>
        <w:t>requires</w:t>
      </w:r>
      <w:r>
        <w:rPr>
          <w:rFonts w:ascii="Garamond" w:hAnsi="Garamond" w:cs="Garamond"/>
          <w:spacing w:val="-13"/>
          <w:sz w:val="20"/>
          <w:szCs w:val="20"/>
        </w:rPr>
        <w:t xml:space="preserve"> </w:t>
      </w:r>
      <w:r>
        <w:rPr>
          <w:rFonts w:ascii="Garamond" w:hAnsi="Garamond" w:cs="Garamond"/>
          <w:sz w:val="20"/>
          <w:szCs w:val="20"/>
        </w:rPr>
        <w:t>significant</w:t>
      </w:r>
      <w:r>
        <w:rPr>
          <w:rFonts w:ascii="Garamond" w:hAnsi="Garamond" w:cs="Garamond"/>
          <w:spacing w:val="-13"/>
          <w:sz w:val="20"/>
          <w:szCs w:val="20"/>
        </w:rPr>
        <w:t xml:space="preserve"> </w:t>
      </w:r>
      <w:r>
        <w:rPr>
          <w:rFonts w:ascii="Garamond" w:hAnsi="Garamond" w:cs="Garamond"/>
          <w:sz w:val="20"/>
          <w:szCs w:val="20"/>
        </w:rPr>
        <w:t>adaptation</w:t>
      </w:r>
      <w:r>
        <w:rPr>
          <w:rFonts w:ascii="Garamond" w:hAnsi="Garamond" w:cs="Garamond"/>
          <w:spacing w:val="-13"/>
          <w:sz w:val="20"/>
          <w:szCs w:val="20"/>
        </w:rPr>
        <w:t xml:space="preserve"> </w:t>
      </w:r>
      <w:r>
        <w:rPr>
          <w:rFonts w:ascii="Garamond" w:hAnsi="Garamond" w:cs="Garamond"/>
          <w:sz w:val="20"/>
          <w:szCs w:val="20"/>
        </w:rPr>
        <w:t>of</w:t>
      </w:r>
      <w:r>
        <w:rPr>
          <w:rFonts w:ascii="Garamond" w:hAnsi="Garamond" w:cs="Garamond"/>
          <w:spacing w:val="-9"/>
          <w:sz w:val="20"/>
          <w:szCs w:val="20"/>
        </w:rPr>
        <w:t xml:space="preserve"> </w:t>
      </w:r>
      <w:r>
        <w:rPr>
          <w:rFonts w:ascii="Garamond" w:hAnsi="Garamond" w:cs="Garamond"/>
          <w:sz w:val="20"/>
          <w:szCs w:val="20"/>
        </w:rPr>
        <w:t>both</w:t>
      </w:r>
      <w:r>
        <w:rPr>
          <w:rFonts w:ascii="Garamond" w:hAnsi="Garamond" w:cs="Garamond"/>
          <w:spacing w:val="-11"/>
          <w:sz w:val="20"/>
          <w:szCs w:val="20"/>
        </w:rPr>
        <w:t xml:space="preserve"> </w:t>
      </w:r>
      <w:r>
        <w:rPr>
          <w:rFonts w:ascii="Garamond" w:hAnsi="Garamond" w:cs="Garamond"/>
          <w:sz w:val="20"/>
          <w:szCs w:val="20"/>
        </w:rPr>
        <w:t>work</w:t>
      </w:r>
      <w:r>
        <w:rPr>
          <w:rFonts w:ascii="Garamond" w:hAnsi="Garamond" w:cs="Garamond"/>
          <w:spacing w:val="-12"/>
          <w:sz w:val="20"/>
          <w:szCs w:val="20"/>
        </w:rPr>
        <w:t xml:space="preserve"> </w:t>
      </w:r>
      <w:r>
        <w:rPr>
          <w:rFonts w:ascii="Garamond" w:hAnsi="Garamond" w:cs="Garamond"/>
          <w:sz w:val="20"/>
          <w:szCs w:val="20"/>
        </w:rPr>
        <w:t>flow</w:t>
      </w:r>
      <w:r>
        <w:rPr>
          <w:rFonts w:ascii="Garamond" w:hAnsi="Garamond" w:cs="Garamond"/>
          <w:spacing w:val="-13"/>
          <w:sz w:val="20"/>
          <w:szCs w:val="20"/>
        </w:rPr>
        <w:t xml:space="preserve"> </w:t>
      </w:r>
      <w:r>
        <w:rPr>
          <w:rFonts w:ascii="Garamond" w:hAnsi="Garamond" w:cs="Garamond"/>
          <w:sz w:val="20"/>
          <w:szCs w:val="20"/>
        </w:rPr>
        <w:t>and culture, providers have conveyed the significant clinical value in having the PROMS data and the usefulness of being able</w:t>
      </w:r>
      <w:r>
        <w:rPr>
          <w:rFonts w:ascii="Garamond" w:hAnsi="Garamond" w:cs="Garamond"/>
          <w:spacing w:val="-11"/>
          <w:sz w:val="20"/>
          <w:szCs w:val="20"/>
        </w:rPr>
        <w:t xml:space="preserve"> </w:t>
      </w:r>
      <w:r>
        <w:rPr>
          <w:rFonts w:ascii="Garamond" w:hAnsi="Garamond" w:cs="Garamond"/>
          <w:sz w:val="20"/>
          <w:szCs w:val="20"/>
        </w:rPr>
        <w:t>to</w:t>
      </w:r>
      <w:r>
        <w:rPr>
          <w:rFonts w:ascii="Garamond" w:hAnsi="Garamond" w:cs="Garamond"/>
          <w:spacing w:val="-13"/>
          <w:sz w:val="20"/>
          <w:szCs w:val="20"/>
        </w:rPr>
        <w:t xml:space="preserve"> </w:t>
      </w:r>
      <w:r>
        <w:rPr>
          <w:rFonts w:ascii="Garamond" w:hAnsi="Garamond" w:cs="Garamond"/>
          <w:sz w:val="20"/>
          <w:szCs w:val="20"/>
        </w:rPr>
        <w:t>monitor</w:t>
      </w:r>
      <w:r>
        <w:rPr>
          <w:rFonts w:ascii="Garamond" w:hAnsi="Garamond" w:cs="Garamond"/>
          <w:spacing w:val="-9"/>
          <w:sz w:val="20"/>
          <w:szCs w:val="20"/>
        </w:rPr>
        <w:t xml:space="preserve"> </w:t>
      </w:r>
      <w:r>
        <w:rPr>
          <w:rFonts w:ascii="Garamond" w:hAnsi="Garamond" w:cs="Garamond"/>
          <w:sz w:val="20"/>
          <w:szCs w:val="20"/>
        </w:rPr>
        <w:t>patients’</w:t>
      </w:r>
      <w:r>
        <w:rPr>
          <w:rFonts w:ascii="Garamond" w:hAnsi="Garamond" w:cs="Garamond"/>
          <w:spacing w:val="-10"/>
          <w:sz w:val="20"/>
          <w:szCs w:val="20"/>
        </w:rPr>
        <w:t xml:space="preserve"> </w:t>
      </w:r>
      <w:r>
        <w:rPr>
          <w:rFonts w:ascii="Garamond" w:hAnsi="Garamond" w:cs="Garamond"/>
          <w:sz w:val="20"/>
          <w:szCs w:val="20"/>
        </w:rPr>
        <w:t>progress</w:t>
      </w:r>
      <w:r>
        <w:rPr>
          <w:rFonts w:ascii="Garamond" w:hAnsi="Garamond" w:cs="Garamond"/>
          <w:spacing w:val="-13"/>
          <w:sz w:val="20"/>
          <w:szCs w:val="20"/>
        </w:rPr>
        <w:t xml:space="preserve"> </w:t>
      </w:r>
      <w:r>
        <w:rPr>
          <w:rFonts w:ascii="Garamond" w:hAnsi="Garamond" w:cs="Garamond"/>
          <w:sz w:val="20"/>
          <w:szCs w:val="20"/>
        </w:rPr>
        <w:t>over</w:t>
      </w:r>
      <w:r>
        <w:rPr>
          <w:rFonts w:ascii="Garamond" w:hAnsi="Garamond" w:cs="Garamond"/>
          <w:spacing w:val="-11"/>
          <w:sz w:val="20"/>
          <w:szCs w:val="20"/>
        </w:rPr>
        <w:t xml:space="preserve"> </w:t>
      </w:r>
      <w:r>
        <w:rPr>
          <w:rFonts w:ascii="Garamond" w:hAnsi="Garamond" w:cs="Garamond"/>
          <w:sz w:val="20"/>
          <w:szCs w:val="20"/>
        </w:rPr>
        <w:t>time</w:t>
      </w:r>
      <w:r>
        <w:rPr>
          <w:rFonts w:ascii="Garamond" w:hAnsi="Garamond" w:cs="Garamond"/>
          <w:spacing w:val="-9"/>
          <w:sz w:val="20"/>
          <w:szCs w:val="20"/>
        </w:rPr>
        <w:t xml:space="preserve"> </w:t>
      </w:r>
      <w:r>
        <w:rPr>
          <w:rFonts w:ascii="Garamond" w:hAnsi="Garamond" w:cs="Garamond"/>
          <w:sz w:val="20"/>
          <w:szCs w:val="20"/>
        </w:rPr>
        <w:t>using</w:t>
      </w:r>
      <w:r>
        <w:rPr>
          <w:rFonts w:ascii="Garamond" w:hAnsi="Garamond" w:cs="Garamond"/>
          <w:spacing w:val="-13"/>
          <w:sz w:val="20"/>
          <w:szCs w:val="20"/>
        </w:rPr>
        <w:t xml:space="preserve"> </w:t>
      </w:r>
      <w:r>
        <w:rPr>
          <w:rFonts w:ascii="Garamond" w:hAnsi="Garamond" w:cs="Garamond"/>
          <w:sz w:val="20"/>
          <w:szCs w:val="20"/>
        </w:rPr>
        <w:t>these</w:t>
      </w:r>
      <w:r>
        <w:rPr>
          <w:rFonts w:ascii="Garamond" w:hAnsi="Garamond" w:cs="Garamond"/>
          <w:spacing w:val="-9"/>
          <w:sz w:val="20"/>
          <w:szCs w:val="20"/>
        </w:rPr>
        <w:t xml:space="preserve"> </w:t>
      </w:r>
      <w:r>
        <w:rPr>
          <w:rFonts w:ascii="Garamond" w:hAnsi="Garamond" w:cs="Garamond"/>
          <w:sz w:val="20"/>
          <w:szCs w:val="20"/>
        </w:rPr>
        <w:t>measures.</w:t>
      </w:r>
    </w:p>
    <w:p w:rsidR="002C5025" w:rsidRDefault="002C5025">
      <w:pPr>
        <w:pStyle w:val="BodyText"/>
        <w:kinsoku w:val="0"/>
        <w:overflowPunct w:val="0"/>
        <w:rPr>
          <w:rFonts w:ascii="Garamond" w:hAnsi="Garamond" w:cs="Garamond"/>
          <w:sz w:val="20"/>
          <w:szCs w:val="20"/>
        </w:rPr>
      </w:pPr>
    </w:p>
    <w:p w:rsidR="002C5025" w:rsidRDefault="002C5025">
      <w:pPr>
        <w:pStyle w:val="BodyText"/>
        <w:kinsoku w:val="0"/>
        <w:overflowPunct w:val="0"/>
        <w:spacing w:before="1"/>
        <w:rPr>
          <w:rFonts w:ascii="Garamond" w:hAnsi="Garamond" w:cs="Garamond"/>
          <w:sz w:val="20"/>
          <w:szCs w:val="20"/>
        </w:rPr>
      </w:pPr>
    </w:p>
    <w:p w:rsidR="002C5025" w:rsidRDefault="002C5025">
      <w:pPr>
        <w:pStyle w:val="BodyText"/>
        <w:kinsoku w:val="0"/>
        <w:overflowPunct w:val="0"/>
        <w:ind w:left="4688" w:right="4624"/>
        <w:jc w:val="center"/>
        <w:rPr>
          <w:rFonts w:ascii="Garamond" w:hAnsi="Garamond" w:cs="Garamond"/>
          <w:sz w:val="20"/>
          <w:szCs w:val="20"/>
        </w:rPr>
      </w:pPr>
      <w:r>
        <w:rPr>
          <w:rFonts w:ascii="Garamond" w:hAnsi="Garamond" w:cs="Garamond"/>
          <w:sz w:val="20"/>
          <w:szCs w:val="20"/>
        </w:rPr>
        <w:t>23</w:t>
      </w:r>
    </w:p>
    <w:p w:rsidR="002C5025" w:rsidRDefault="002C5025">
      <w:pPr>
        <w:pStyle w:val="BodyText"/>
        <w:kinsoku w:val="0"/>
        <w:overflowPunct w:val="0"/>
        <w:ind w:left="4688" w:right="4624"/>
        <w:jc w:val="center"/>
        <w:rPr>
          <w:rFonts w:ascii="Garamond" w:hAnsi="Garamond" w:cs="Garamond"/>
          <w:sz w:val="20"/>
          <w:szCs w:val="20"/>
        </w:rPr>
        <w:sectPr w:rsidR="002C5025">
          <w:pgSz w:w="12240" w:h="15840"/>
          <w:pgMar w:top="1380" w:right="1380" w:bottom="280" w:left="1320" w:header="720" w:footer="720" w:gutter="0"/>
          <w:cols w:space="720" w:equalWidth="0">
            <w:col w:w="9540"/>
          </w:cols>
          <w:noEndnote/>
        </w:sectPr>
      </w:pPr>
    </w:p>
    <w:p w:rsidR="002C5025" w:rsidRDefault="002C5025">
      <w:pPr>
        <w:pStyle w:val="ListParagraph"/>
        <w:numPr>
          <w:ilvl w:val="2"/>
          <w:numId w:val="49"/>
        </w:numPr>
        <w:tabs>
          <w:tab w:val="left" w:pos="841"/>
        </w:tabs>
        <w:kinsoku w:val="0"/>
        <w:overflowPunct w:val="0"/>
        <w:spacing w:before="37" w:line="242" w:lineRule="auto"/>
        <w:ind w:left="839" w:right="123" w:hanging="359"/>
        <w:rPr>
          <w:rFonts w:ascii="Garamond" w:hAnsi="Garamond" w:cs="Garamond"/>
          <w:sz w:val="22"/>
          <w:szCs w:val="22"/>
        </w:rPr>
      </w:pPr>
      <w:r>
        <w:rPr>
          <w:rFonts w:ascii="Garamond" w:hAnsi="Garamond" w:cs="Garamond"/>
          <w:sz w:val="22"/>
          <w:szCs w:val="22"/>
        </w:rPr>
        <w:lastRenderedPageBreak/>
        <w:t>MCOs</w:t>
      </w:r>
      <w:r>
        <w:rPr>
          <w:rFonts w:ascii="Garamond" w:hAnsi="Garamond" w:cs="Garamond"/>
          <w:spacing w:val="-4"/>
          <w:sz w:val="22"/>
          <w:szCs w:val="22"/>
        </w:rPr>
        <w:t xml:space="preserve"> </w:t>
      </w:r>
      <w:r>
        <w:rPr>
          <w:rFonts w:ascii="Garamond" w:hAnsi="Garamond" w:cs="Garamond"/>
          <w:spacing w:val="-3"/>
          <w:sz w:val="22"/>
          <w:szCs w:val="22"/>
        </w:rPr>
        <w:t>and</w:t>
      </w:r>
      <w:r>
        <w:rPr>
          <w:rFonts w:ascii="Garamond" w:hAnsi="Garamond" w:cs="Garamond"/>
          <w:spacing w:val="-8"/>
          <w:sz w:val="22"/>
          <w:szCs w:val="22"/>
        </w:rPr>
        <w:t xml:space="preserve"> </w:t>
      </w:r>
      <w:r>
        <w:rPr>
          <w:rFonts w:ascii="Garamond" w:hAnsi="Garamond" w:cs="Garamond"/>
          <w:sz w:val="22"/>
          <w:szCs w:val="22"/>
        </w:rPr>
        <w:t>all</w:t>
      </w:r>
      <w:r>
        <w:rPr>
          <w:rFonts w:ascii="Garamond" w:hAnsi="Garamond" w:cs="Garamond"/>
          <w:spacing w:val="-5"/>
          <w:sz w:val="22"/>
          <w:szCs w:val="22"/>
        </w:rPr>
        <w:t xml:space="preserve"> </w:t>
      </w:r>
      <w:r>
        <w:rPr>
          <w:rFonts w:ascii="Garamond" w:hAnsi="Garamond" w:cs="Garamond"/>
          <w:spacing w:val="-3"/>
          <w:sz w:val="22"/>
          <w:szCs w:val="22"/>
        </w:rPr>
        <w:t>ACO</w:t>
      </w:r>
      <w:r>
        <w:rPr>
          <w:rFonts w:ascii="Garamond" w:hAnsi="Garamond" w:cs="Garamond"/>
          <w:spacing w:val="-9"/>
          <w:sz w:val="22"/>
          <w:szCs w:val="22"/>
        </w:rPr>
        <w:t xml:space="preserve"> </w:t>
      </w:r>
      <w:r>
        <w:rPr>
          <w:rFonts w:ascii="Garamond" w:hAnsi="Garamond" w:cs="Garamond"/>
          <w:sz w:val="22"/>
          <w:szCs w:val="22"/>
        </w:rPr>
        <w:t>models</w:t>
      </w:r>
      <w:r>
        <w:rPr>
          <w:rFonts w:ascii="Garamond" w:hAnsi="Garamond" w:cs="Garamond"/>
          <w:spacing w:val="-8"/>
          <w:sz w:val="22"/>
          <w:szCs w:val="22"/>
        </w:rPr>
        <w:t xml:space="preserve"> </w:t>
      </w:r>
      <w:r>
        <w:rPr>
          <w:rFonts w:ascii="Garamond" w:hAnsi="Garamond" w:cs="Garamond"/>
          <w:sz w:val="22"/>
          <w:szCs w:val="22"/>
        </w:rPr>
        <w:t>respect</w:t>
      </w:r>
      <w:r>
        <w:rPr>
          <w:rFonts w:ascii="Garamond" w:hAnsi="Garamond" w:cs="Garamond"/>
          <w:spacing w:val="-7"/>
          <w:sz w:val="22"/>
          <w:szCs w:val="22"/>
        </w:rPr>
        <w:t xml:space="preserve"> </w:t>
      </w:r>
      <w:r>
        <w:rPr>
          <w:rFonts w:ascii="Garamond" w:hAnsi="Garamond" w:cs="Garamond"/>
          <w:sz w:val="22"/>
          <w:szCs w:val="22"/>
        </w:rPr>
        <w:t>member</w:t>
      </w:r>
      <w:r>
        <w:rPr>
          <w:rFonts w:ascii="Garamond" w:hAnsi="Garamond" w:cs="Garamond"/>
          <w:spacing w:val="-5"/>
          <w:sz w:val="22"/>
          <w:szCs w:val="22"/>
        </w:rPr>
        <w:t xml:space="preserve"> </w:t>
      </w:r>
      <w:r>
        <w:rPr>
          <w:rFonts w:ascii="Garamond" w:hAnsi="Garamond" w:cs="Garamond"/>
          <w:sz w:val="22"/>
          <w:szCs w:val="22"/>
        </w:rPr>
        <w:t>dignity</w:t>
      </w:r>
      <w:r>
        <w:rPr>
          <w:rFonts w:ascii="Garamond" w:hAnsi="Garamond" w:cs="Garamond"/>
          <w:spacing w:val="-6"/>
          <w:sz w:val="22"/>
          <w:szCs w:val="22"/>
        </w:rPr>
        <w:t xml:space="preserve"> </w:t>
      </w:r>
      <w:r>
        <w:rPr>
          <w:rFonts w:ascii="Garamond" w:hAnsi="Garamond" w:cs="Garamond"/>
          <w:sz w:val="22"/>
          <w:szCs w:val="22"/>
        </w:rPr>
        <w:t>and</w:t>
      </w:r>
      <w:r>
        <w:rPr>
          <w:rFonts w:ascii="Garamond" w:hAnsi="Garamond" w:cs="Garamond"/>
          <w:spacing w:val="-9"/>
          <w:sz w:val="22"/>
          <w:szCs w:val="22"/>
        </w:rPr>
        <w:t xml:space="preserve"> </w:t>
      </w:r>
      <w:r>
        <w:rPr>
          <w:rFonts w:ascii="Garamond" w:hAnsi="Garamond" w:cs="Garamond"/>
          <w:sz w:val="22"/>
          <w:szCs w:val="22"/>
        </w:rPr>
        <w:t>privacy</w:t>
      </w:r>
      <w:r>
        <w:rPr>
          <w:rFonts w:ascii="Garamond" w:hAnsi="Garamond" w:cs="Garamond"/>
          <w:spacing w:val="-8"/>
          <w:sz w:val="22"/>
          <w:szCs w:val="22"/>
        </w:rPr>
        <w:t xml:space="preserve"> </w:t>
      </w:r>
      <w:r>
        <w:rPr>
          <w:rFonts w:ascii="Garamond" w:hAnsi="Garamond" w:cs="Garamond"/>
          <w:sz w:val="22"/>
          <w:szCs w:val="22"/>
        </w:rPr>
        <w:t>and</w:t>
      </w:r>
      <w:r>
        <w:rPr>
          <w:rFonts w:ascii="Garamond" w:hAnsi="Garamond" w:cs="Garamond"/>
          <w:spacing w:val="-8"/>
          <w:sz w:val="22"/>
          <w:szCs w:val="22"/>
        </w:rPr>
        <w:t xml:space="preserve"> </w:t>
      </w:r>
      <w:r>
        <w:rPr>
          <w:rFonts w:ascii="Garamond" w:hAnsi="Garamond" w:cs="Garamond"/>
          <w:sz w:val="22"/>
          <w:szCs w:val="22"/>
        </w:rPr>
        <w:t>provide</w:t>
      </w:r>
      <w:r>
        <w:rPr>
          <w:rFonts w:ascii="Garamond" w:hAnsi="Garamond" w:cs="Garamond"/>
          <w:spacing w:val="-8"/>
          <w:sz w:val="22"/>
          <w:szCs w:val="22"/>
        </w:rPr>
        <w:t xml:space="preserve"> </w:t>
      </w:r>
      <w:r>
        <w:rPr>
          <w:rFonts w:ascii="Garamond" w:hAnsi="Garamond" w:cs="Garamond"/>
          <w:sz w:val="22"/>
          <w:szCs w:val="22"/>
        </w:rPr>
        <w:t>their</w:t>
      </w:r>
      <w:r>
        <w:rPr>
          <w:rFonts w:ascii="Garamond" w:hAnsi="Garamond" w:cs="Garamond"/>
          <w:spacing w:val="-8"/>
          <w:sz w:val="22"/>
          <w:szCs w:val="22"/>
        </w:rPr>
        <w:t xml:space="preserve"> </w:t>
      </w:r>
      <w:r>
        <w:rPr>
          <w:rFonts w:ascii="Garamond" w:hAnsi="Garamond" w:cs="Garamond"/>
          <w:sz w:val="22"/>
          <w:szCs w:val="22"/>
        </w:rPr>
        <w:t>members</w:t>
      </w:r>
      <w:r>
        <w:rPr>
          <w:rFonts w:ascii="Garamond" w:hAnsi="Garamond" w:cs="Garamond"/>
          <w:spacing w:val="-4"/>
          <w:sz w:val="22"/>
          <w:szCs w:val="22"/>
        </w:rPr>
        <w:t xml:space="preserve"> </w:t>
      </w:r>
      <w:r>
        <w:rPr>
          <w:rFonts w:ascii="Garamond" w:hAnsi="Garamond" w:cs="Garamond"/>
          <w:sz w:val="22"/>
          <w:szCs w:val="22"/>
        </w:rPr>
        <w:t>with</w:t>
      </w:r>
      <w:r>
        <w:rPr>
          <w:rFonts w:ascii="Garamond" w:hAnsi="Garamond" w:cs="Garamond"/>
          <w:spacing w:val="-8"/>
          <w:sz w:val="22"/>
          <w:szCs w:val="22"/>
        </w:rPr>
        <w:t xml:space="preserve"> </w:t>
      </w:r>
      <w:r>
        <w:rPr>
          <w:rFonts w:ascii="Garamond" w:hAnsi="Garamond" w:cs="Garamond"/>
          <w:sz w:val="22"/>
          <w:szCs w:val="22"/>
        </w:rPr>
        <w:t>the opportunity</w:t>
      </w:r>
      <w:r>
        <w:rPr>
          <w:rFonts w:ascii="Garamond" w:hAnsi="Garamond" w:cs="Garamond"/>
          <w:spacing w:val="-11"/>
          <w:sz w:val="22"/>
          <w:szCs w:val="22"/>
        </w:rPr>
        <w:t xml:space="preserve"> </w:t>
      </w:r>
      <w:r>
        <w:rPr>
          <w:rFonts w:ascii="Garamond" w:hAnsi="Garamond" w:cs="Garamond"/>
          <w:sz w:val="22"/>
          <w:szCs w:val="22"/>
        </w:rPr>
        <w:t>to</w:t>
      </w:r>
      <w:r>
        <w:rPr>
          <w:rFonts w:ascii="Garamond" w:hAnsi="Garamond" w:cs="Garamond"/>
          <w:spacing w:val="-14"/>
          <w:sz w:val="22"/>
          <w:szCs w:val="22"/>
        </w:rPr>
        <w:t xml:space="preserve"> </w:t>
      </w:r>
      <w:r>
        <w:rPr>
          <w:rFonts w:ascii="Garamond" w:hAnsi="Garamond" w:cs="Garamond"/>
          <w:sz w:val="22"/>
          <w:szCs w:val="22"/>
        </w:rPr>
        <w:t>participate</w:t>
      </w:r>
      <w:r>
        <w:rPr>
          <w:rFonts w:ascii="Garamond" w:hAnsi="Garamond" w:cs="Garamond"/>
          <w:spacing w:val="-11"/>
          <w:sz w:val="22"/>
          <w:szCs w:val="22"/>
        </w:rPr>
        <w:t xml:space="preserve"> </w:t>
      </w:r>
      <w:r>
        <w:rPr>
          <w:rFonts w:ascii="Garamond" w:hAnsi="Garamond" w:cs="Garamond"/>
          <w:sz w:val="22"/>
          <w:szCs w:val="22"/>
        </w:rPr>
        <w:t>in</w:t>
      </w:r>
      <w:r>
        <w:rPr>
          <w:rFonts w:ascii="Garamond" w:hAnsi="Garamond" w:cs="Garamond"/>
          <w:spacing w:val="-16"/>
          <w:sz w:val="22"/>
          <w:szCs w:val="22"/>
        </w:rPr>
        <w:t xml:space="preserve"> </w:t>
      </w:r>
      <w:r>
        <w:rPr>
          <w:rFonts w:ascii="Garamond" w:hAnsi="Garamond" w:cs="Garamond"/>
          <w:sz w:val="22"/>
          <w:szCs w:val="22"/>
        </w:rPr>
        <w:t>treatment</w:t>
      </w:r>
      <w:r>
        <w:rPr>
          <w:rFonts w:ascii="Garamond" w:hAnsi="Garamond" w:cs="Garamond"/>
          <w:spacing w:val="-14"/>
          <w:sz w:val="22"/>
          <w:szCs w:val="22"/>
        </w:rPr>
        <w:t xml:space="preserve"> </w:t>
      </w:r>
      <w:r>
        <w:rPr>
          <w:rFonts w:ascii="Garamond" w:hAnsi="Garamond" w:cs="Garamond"/>
          <w:sz w:val="22"/>
          <w:szCs w:val="22"/>
        </w:rPr>
        <w:t>decisions</w:t>
      </w:r>
      <w:r>
        <w:rPr>
          <w:rFonts w:ascii="Garamond" w:hAnsi="Garamond" w:cs="Garamond"/>
          <w:spacing w:val="-9"/>
          <w:sz w:val="22"/>
          <w:szCs w:val="22"/>
        </w:rPr>
        <w:t xml:space="preserve"> </w:t>
      </w:r>
      <w:r>
        <w:rPr>
          <w:rFonts w:ascii="Garamond" w:hAnsi="Garamond" w:cs="Garamond"/>
          <w:sz w:val="22"/>
          <w:szCs w:val="22"/>
        </w:rPr>
        <w:t>(29).</w:t>
      </w:r>
    </w:p>
    <w:p w:rsidR="002C5025" w:rsidRDefault="002C5025">
      <w:pPr>
        <w:pStyle w:val="BodyText"/>
        <w:kinsoku w:val="0"/>
        <w:overflowPunct w:val="0"/>
        <w:spacing w:before="10"/>
        <w:rPr>
          <w:rFonts w:ascii="Garamond" w:hAnsi="Garamond" w:cs="Garamond"/>
          <w:sz w:val="21"/>
          <w:szCs w:val="21"/>
        </w:rPr>
      </w:pPr>
    </w:p>
    <w:p w:rsidR="002C5025" w:rsidRDefault="002C5025">
      <w:pPr>
        <w:pStyle w:val="BodyText"/>
        <w:kinsoku w:val="0"/>
        <w:overflowPunct w:val="0"/>
        <w:ind w:left="119" w:right="248"/>
        <w:rPr>
          <w:rFonts w:ascii="Garamond" w:hAnsi="Garamond" w:cs="Garamond"/>
        </w:rPr>
      </w:pPr>
      <w:r>
        <w:rPr>
          <w:rFonts w:ascii="Garamond" w:hAnsi="Garamond" w:cs="Garamond"/>
        </w:rPr>
        <w:t xml:space="preserve">While the ombudsperson or an agency such as OPP can offer some </w:t>
      </w:r>
      <w:r>
        <w:rPr>
          <w:rFonts w:ascii="Garamond" w:hAnsi="Garamond" w:cs="Garamond"/>
          <w:spacing w:val="-3"/>
        </w:rPr>
        <w:t xml:space="preserve">insight </w:t>
      </w:r>
      <w:r>
        <w:rPr>
          <w:rFonts w:ascii="Garamond" w:hAnsi="Garamond" w:cs="Garamond"/>
        </w:rPr>
        <w:t xml:space="preserve">into whether ACOs and </w:t>
      </w:r>
      <w:r>
        <w:rPr>
          <w:rFonts w:ascii="Garamond" w:hAnsi="Garamond" w:cs="Garamond"/>
          <w:spacing w:val="-4"/>
        </w:rPr>
        <w:t xml:space="preserve">MCOs </w:t>
      </w:r>
      <w:r>
        <w:rPr>
          <w:rFonts w:ascii="Garamond" w:hAnsi="Garamond" w:cs="Garamond"/>
        </w:rPr>
        <w:t xml:space="preserve">are meeting these competencies, MassHealth should also establish strong reporting requirements </w:t>
      </w:r>
      <w:r>
        <w:rPr>
          <w:rFonts w:ascii="Garamond" w:hAnsi="Garamond" w:cs="Garamond"/>
          <w:spacing w:val="-3"/>
        </w:rPr>
        <w:t xml:space="preserve">and </w:t>
      </w:r>
      <w:r>
        <w:rPr>
          <w:rFonts w:ascii="Garamond" w:hAnsi="Garamond" w:cs="Garamond"/>
        </w:rPr>
        <w:t>implement monitoring mechanisms to ensure members’ needs are met.</w:t>
      </w:r>
    </w:p>
    <w:p w:rsidR="002C5025" w:rsidRDefault="002C5025">
      <w:pPr>
        <w:pStyle w:val="BodyText"/>
        <w:kinsoku w:val="0"/>
        <w:overflowPunct w:val="0"/>
        <w:spacing w:before="2"/>
        <w:rPr>
          <w:rFonts w:ascii="Garamond" w:hAnsi="Garamond" w:cs="Garamond"/>
          <w:sz w:val="21"/>
          <w:szCs w:val="21"/>
        </w:rPr>
      </w:pPr>
    </w:p>
    <w:p w:rsidR="002C5025" w:rsidRDefault="002C5025">
      <w:pPr>
        <w:pStyle w:val="BodyText"/>
        <w:kinsoku w:val="0"/>
        <w:overflowPunct w:val="0"/>
        <w:spacing w:before="1" w:line="264" w:lineRule="exact"/>
        <w:ind w:left="120" w:right="225"/>
        <w:rPr>
          <w:rFonts w:ascii="Garamond" w:hAnsi="Garamond" w:cs="Garamond"/>
          <w:b/>
          <w:bCs/>
          <w:i/>
          <w:iCs/>
          <w:w w:val="90"/>
          <w:sz w:val="24"/>
          <w:szCs w:val="24"/>
        </w:rPr>
      </w:pPr>
      <w:bookmarkStart w:id="175" w:name="Public_reporting_and_transparency"/>
      <w:bookmarkEnd w:id="175"/>
      <w:r>
        <w:rPr>
          <w:rFonts w:ascii="Garamond" w:hAnsi="Garamond" w:cs="Garamond"/>
          <w:b/>
          <w:bCs/>
          <w:i/>
          <w:iCs/>
          <w:w w:val="90"/>
          <w:sz w:val="24"/>
          <w:szCs w:val="24"/>
        </w:rPr>
        <w:t>Public reporting and transparency</w:t>
      </w:r>
    </w:p>
    <w:p w:rsidR="002C5025" w:rsidRDefault="002C5025">
      <w:pPr>
        <w:pStyle w:val="BodyText"/>
        <w:kinsoku w:val="0"/>
        <w:overflowPunct w:val="0"/>
        <w:ind w:left="117" w:right="85" w:firstLine="2"/>
        <w:rPr>
          <w:rFonts w:ascii="Garamond" w:hAnsi="Garamond" w:cs="Garamond"/>
        </w:rPr>
      </w:pPr>
      <w:r>
        <w:rPr>
          <w:rFonts w:ascii="Garamond" w:hAnsi="Garamond" w:cs="Garamond"/>
        </w:rPr>
        <w:t xml:space="preserve">Public reporting can improve both health care </w:t>
      </w:r>
      <w:r>
        <w:rPr>
          <w:rFonts w:ascii="Garamond" w:hAnsi="Garamond" w:cs="Garamond"/>
          <w:spacing w:val="-4"/>
        </w:rPr>
        <w:t xml:space="preserve">performance </w:t>
      </w:r>
      <w:r>
        <w:rPr>
          <w:rFonts w:ascii="Garamond" w:hAnsi="Garamond" w:cs="Garamond"/>
        </w:rPr>
        <w:t xml:space="preserve">and value. We support MassHealth’s plan to release an annual report on ACO performance as a way of providing </w:t>
      </w:r>
      <w:r>
        <w:rPr>
          <w:rFonts w:ascii="Garamond" w:hAnsi="Garamond" w:cs="Garamond"/>
          <w:spacing w:val="-3"/>
        </w:rPr>
        <w:t xml:space="preserve">public </w:t>
      </w:r>
      <w:r>
        <w:rPr>
          <w:rFonts w:ascii="Garamond" w:hAnsi="Garamond" w:cs="Garamond"/>
        </w:rPr>
        <w:t xml:space="preserve">transparency throughout the implementation of the </w:t>
      </w:r>
      <w:r>
        <w:rPr>
          <w:rFonts w:ascii="Garamond" w:hAnsi="Garamond" w:cs="Garamond"/>
          <w:spacing w:val="-3"/>
        </w:rPr>
        <w:t xml:space="preserve">program </w:t>
      </w:r>
      <w:r>
        <w:rPr>
          <w:rFonts w:ascii="Garamond" w:hAnsi="Garamond" w:cs="Garamond"/>
        </w:rPr>
        <w:t xml:space="preserve">(20), and we seek more specifics about </w:t>
      </w:r>
      <w:r>
        <w:rPr>
          <w:rFonts w:ascii="Garamond" w:hAnsi="Garamond" w:cs="Garamond"/>
          <w:spacing w:val="-3"/>
        </w:rPr>
        <w:t xml:space="preserve">what </w:t>
      </w:r>
      <w:r>
        <w:rPr>
          <w:rFonts w:ascii="Garamond" w:hAnsi="Garamond" w:cs="Garamond"/>
        </w:rPr>
        <w:t xml:space="preserve">information will be included </w:t>
      </w:r>
      <w:r>
        <w:rPr>
          <w:rFonts w:ascii="Garamond" w:hAnsi="Garamond" w:cs="Garamond"/>
          <w:spacing w:val="-3"/>
        </w:rPr>
        <w:t xml:space="preserve">in </w:t>
      </w:r>
      <w:r>
        <w:rPr>
          <w:rFonts w:ascii="Garamond" w:hAnsi="Garamond" w:cs="Garamond"/>
        </w:rPr>
        <w:t>this</w:t>
      </w:r>
      <w:r>
        <w:rPr>
          <w:rFonts w:ascii="Garamond" w:hAnsi="Garamond" w:cs="Garamond"/>
          <w:spacing w:val="-10"/>
        </w:rPr>
        <w:t xml:space="preserve"> </w:t>
      </w:r>
      <w:r>
        <w:rPr>
          <w:rFonts w:ascii="Garamond" w:hAnsi="Garamond" w:cs="Garamond"/>
        </w:rPr>
        <w:t>report.</w:t>
      </w:r>
      <w:r>
        <w:rPr>
          <w:rFonts w:ascii="Garamond" w:hAnsi="Garamond" w:cs="Garamond"/>
          <w:spacing w:val="-9"/>
        </w:rPr>
        <w:t xml:space="preserve"> </w:t>
      </w:r>
      <w:r>
        <w:rPr>
          <w:rFonts w:ascii="Garamond" w:hAnsi="Garamond" w:cs="Garamond"/>
        </w:rPr>
        <w:t>We</w:t>
      </w:r>
      <w:r>
        <w:rPr>
          <w:rFonts w:ascii="Garamond" w:hAnsi="Garamond" w:cs="Garamond"/>
          <w:spacing w:val="-9"/>
        </w:rPr>
        <w:t xml:space="preserve"> </w:t>
      </w:r>
      <w:r>
        <w:rPr>
          <w:rFonts w:ascii="Garamond" w:hAnsi="Garamond" w:cs="Garamond"/>
        </w:rPr>
        <w:t>strongly</w:t>
      </w:r>
      <w:r>
        <w:rPr>
          <w:rFonts w:ascii="Garamond" w:hAnsi="Garamond" w:cs="Garamond"/>
          <w:spacing w:val="-9"/>
        </w:rPr>
        <w:t xml:space="preserve"> </w:t>
      </w:r>
      <w:r>
        <w:rPr>
          <w:rFonts w:ascii="Garamond" w:hAnsi="Garamond" w:cs="Garamond"/>
        </w:rPr>
        <w:t>recommend</w:t>
      </w:r>
      <w:r>
        <w:rPr>
          <w:rFonts w:ascii="Garamond" w:hAnsi="Garamond" w:cs="Garamond"/>
          <w:spacing w:val="-6"/>
        </w:rPr>
        <w:t xml:space="preserve"> </w:t>
      </w:r>
      <w:r>
        <w:rPr>
          <w:rFonts w:ascii="Garamond" w:hAnsi="Garamond" w:cs="Garamond"/>
        </w:rPr>
        <w:t>that</w:t>
      </w:r>
      <w:r>
        <w:rPr>
          <w:rFonts w:ascii="Garamond" w:hAnsi="Garamond" w:cs="Garamond"/>
          <w:spacing w:val="-8"/>
        </w:rPr>
        <w:t xml:space="preserve"> </w:t>
      </w:r>
      <w:r>
        <w:rPr>
          <w:rFonts w:ascii="Garamond" w:hAnsi="Garamond" w:cs="Garamond"/>
        </w:rPr>
        <w:t>ACOs</w:t>
      </w:r>
      <w:r>
        <w:rPr>
          <w:rFonts w:ascii="Garamond" w:hAnsi="Garamond" w:cs="Garamond"/>
          <w:spacing w:val="-5"/>
        </w:rPr>
        <w:t xml:space="preserve"> </w:t>
      </w:r>
      <w:r>
        <w:rPr>
          <w:rFonts w:ascii="Garamond" w:hAnsi="Garamond" w:cs="Garamond"/>
        </w:rPr>
        <w:t>be</w:t>
      </w:r>
      <w:r>
        <w:rPr>
          <w:rFonts w:ascii="Garamond" w:hAnsi="Garamond" w:cs="Garamond"/>
          <w:spacing w:val="-12"/>
        </w:rPr>
        <w:t xml:space="preserve"> </w:t>
      </w:r>
      <w:r>
        <w:rPr>
          <w:rFonts w:ascii="Garamond" w:hAnsi="Garamond" w:cs="Garamond"/>
        </w:rPr>
        <w:t>required</w:t>
      </w:r>
      <w:r>
        <w:rPr>
          <w:rFonts w:ascii="Garamond" w:hAnsi="Garamond" w:cs="Garamond"/>
          <w:spacing w:val="-6"/>
        </w:rPr>
        <w:t xml:space="preserve"> </w:t>
      </w:r>
      <w:r>
        <w:rPr>
          <w:rFonts w:ascii="Garamond" w:hAnsi="Garamond" w:cs="Garamond"/>
        </w:rPr>
        <w:t>to</w:t>
      </w:r>
      <w:r>
        <w:rPr>
          <w:rFonts w:ascii="Garamond" w:hAnsi="Garamond" w:cs="Garamond"/>
          <w:spacing w:val="-9"/>
        </w:rPr>
        <w:t xml:space="preserve"> </w:t>
      </w:r>
      <w:r>
        <w:rPr>
          <w:rFonts w:ascii="Garamond" w:hAnsi="Garamond" w:cs="Garamond"/>
        </w:rPr>
        <w:t>publicly</w:t>
      </w:r>
      <w:r>
        <w:rPr>
          <w:rFonts w:ascii="Garamond" w:hAnsi="Garamond" w:cs="Garamond"/>
          <w:spacing w:val="-9"/>
        </w:rPr>
        <w:t xml:space="preserve"> </w:t>
      </w:r>
      <w:r>
        <w:rPr>
          <w:rFonts w:ascii="Garamond" w:hAnsi="Garamond" w:cs="Garamond"/>
        </w:rPr>
        <w:t>report</w:t>
      </w:r>
      <w:r>
        <w:rPr>
          <w:rFonts w:ascii="Garamond" w:hAnsi="Garamond" w:cs="Garamond"/>
          <w:spacing w:val="-11"/>
        </w:rPr>
        <w:t xml:space="preserve"> </w:t>
      </w:r>
      <w:r>
        <w:rPr>
          <w:rFonts w:ascii="Garamond" w:hAnsi="Garamond" w:cs="Garamond"/>
        </w:rPr>
        <w:t>quality</w:t>
      </w:r>
      <w:r>
        <w:rPr>
          <w:rFonts w:ascii="Garamond" w:hAnsi="Garamond" w:cs="Garamond"/>
          <w:spacing w:val="-13"/>
        </w:rPr>
        <w:t xml:space="preserve"> </w:t>
      </w:r>
      <w:r>
        <w:rPr>
          <w:rFonts w:ascii="Garamond" w:hAnsi="Garamond" w:cs="Garamond"/>
        </w:rPr>
        <w:t>and</w:t>
      </w:r>
      <w:r>
        <w:rPr>
          <w:rFonts w:ascii="Garamond" w:hAnsi="Garamond" w:cs="Garamond"/>
          <w:spacing w:val="-9"/>
        </w:rPr>
        <w:t xml:space="preserve"> </w:t>
      </w:r>
      <w:r>
        <w:rPr>
          <w:rFonts w:ascii="Garamond" w:hAnsi="Garamond" w:cs="Garamond"/>
        </w:rPr>
        <w:t>cost</w:t>
      </w:r>
      <w:r>
        <w:rPr>
          <w:rFonts w:ascii="Garamond" w:hAnsi="Garamond" w:cs="Garamond"/>
          <w:spacing w:val="-6"/>
        </w:rPr>
        <w:t xml:space="preserve"> </w:t>
      </w:r>
      <w:r>
        <w:rPr>
          <w:rFonts w:ascii="Garamond" w:hAnsi="Garamond" w:cs="Garamond"/>
        </w:rPr>
        <w:t>information</w:t>
      </w:r>
      <w:r>
        <w:rPr>
          <w:rFonts w:ascii="Garamond" w:hAnsi="Garamond" w:cs="Garamond"/>
          <w:spacing w:val="-8"/>
        </w:rPr>
        <w:t xml:space="preserve"> </w:t>
      </w:r>
      <w:r>
        <w:rPr>
          <w:rFonts w:ascii="Garamond" w:hAnsi="Garamond" w:cs="Garamond"/>
        </w:rPr>
        <w:t xml:space="preserve">at the </w:t>
      </w:r>
      <w:r>
        <w:rPr>
          <w:rFonts w:ascii="Garamond" w:hAnsi="Garamond" w:cs="Garamond"/>
          <w:spacing w:val="-3"/>
        </w:rPr>
        <w:t xml:space="preserve">provider </w:t>
      </w:r>
      <w:r>
        <w:rPr>
          <w:rFonts w:ascii="Garamond" w:hAnsi="Garamond" w:cs="Garamond"/>
        </w:rPr>
        <w:t xml:space="preserve">level, as well as at the ACO level. Providing publically available information on cost and quality performance at the individual provider level as well as the ACO level will help members to make informed decisions with respect to </w:t>
      </w:r>
      <w:r>
        <w:rPr>
          <w:rFonts w:ascii="Garamond" w:hAnsi="Garamond" w:cs="Garamond"/>
          <w:spacing w:val="-4"/>
        </w:rPr>
        <w:t xml:space="preserve">choice </w:t>
      </w:r>
      <w:r>
        <w:rPr>
          <w:rFonts w:ascii="Garamond" w:hAnsi="Garamond" w:cs="Garamond"/>
        </w:rPr>
        <w:t xml:space="preserve">of provider and care setting. Providing transparent </w:t>
      </w:r>
      <w:r>
        <w:rPr>
          <w:rFonts w:ascii="Garamond" w:hAnsi="Garamond" w:cs="Garamond"/>
          <w:spacing w:val="-3"/>
        </w:rPr>
        <w:t xml:space="preserve">cost </w:t>
      </w:r>
      <w:r>
        <w:rPr>
          <w:rFonts w:ascii="Garamond" w:hAnsi="Garamond" w:cs="Garamond"/>
        </w:rPr>
        <w:t>and quality information</w:t>
      </w:r>
      <w:r>
        <w:rPr>
          <w:rFonts w:ascii="Garamond" w:hAnsi="Garamond" w:cs="Garamond"/>
          <w:spacing w:val="-9"/>
        </w:rPr>
        <w:t xml:space="preserve"> </w:t>
      </w:r>
      <w:r>
        <w:rPr>
          <w:rFonts w:ascii="Garamond" w:hAnsi="Garamond" w:cs="Garamond"/>
        </w:rPr>
        <w:t>may</w:t>
      </w:r>
      <w:r>
        <w:rPr>
          <w:rFonts w:ascii="Garamond" w:hAnsi="Garamond" w:cs="Garamond"/>
          <w:spacing w:val="-9"/>
        </w:rPr>
        <w:t xml:space="preserve"> </w:t>
      </w:r>
      <w:r>
        <w:rPr>
          <w:rFonts w:ascii="Garamond" w:hAnsi="Garamond" w:cs="Garamond"/>
        </w:rPr>
        <w:t>also</w:t>
      </w:r>
      <w:r>
        <w:rPr>
          <w:rFonts w:ascii="Garamond" w:hAnsi="Garamond" w:cs="Garamond"/>
          <w:spacing w:val="-6"/>
        </w:rPr>
        <w:t xml:space="preserve"> </w:t>
      </w:r>
      <w:r>
        <w:rPr>
          <w:rFonts w:ascii="Garamond" w:hAnsi="Garamond" w:cs="Garamond"/>
        </w:rPr>
        <w:t>help</w:t>
      </w:r>
      <w:r>
        <w:rPr>
          <w:rFonts w:ascii="Garamond" w:hAnsi="Garamond" w:cs="Garamond"/>
          <w:spacing w:val="-11"/>
        </w:rPr>
        <w:t xml:space="preserve"> </w:t>
      </w:r>
      <w:r>
        <w:rPr>
          <w:rFonts w:ascii="Garamond" w:hAnsi="Garamond" w:cs="Garamond"/>
        </w:rPr>
        <w:t>members</w:t>
      </w:r>
      <w:r>
        <w:rPr>
          <w:rFonts w:ascii="Garamond" w:hAnsi="Garamond" w:cs="Garamond"/>
          <w:spacing w:val="-5"/>
        </w:rPr>
        <w:t xml:space="preserve"> </w:t>
      </w:r>
      <w:r>
        <w:rPr>
          <w:rFonts w:ascii="Garamond" w:hAnsi="Garamond" w:cs="Garamond"/>
        </w:rPr>
        <w:t>to</w:t>
      </w:r>
      <w:r>
        <w:rPr>
          <w:rFonts w:ascii="Garamond" w:hAnsi="Garamond" w:cs="Garamond"/>
          <w:spacing w:val="-6"/>
        </w:rPr>
        <w:t xml:space="preserve"> </w:t>
      </w:r>
      <w:r>
        <w:rPr>
          <w:rFonts w:ascii="Garamond" w:hAnsi="Garamond" w:cs="Garamond"/>
        </w:rPr>
        <w:t>understand</w:t>
      </w:r>
      <w:r>
        <w:rPr>
          <w:rFonts w:ascii="Garamond" w:hAnsi="Garamond" w:cs="Garamond"/>
          <w:spacing w:val="-6"/>
        </w:rPr>
        <w:t xml:space="preserve"> </w:t>
      </w:r>
      <w:r>
        <w:rPr>
          <w:rFonts w:ascii="Garamond" w:hAnsi="Garamond" w:cs="Garamond"/>
        </w:rPr>
        <w:t>the</w:t>
      </w:r>
      <w:r>
        <w:rPr>
          <w:rFonts w:ascii="Garamond" w:hAnsi="Garamond" w:cs="Garamond"/>
          <w:spacing w:val="-12"/>
        </w:rPr>
        <w:t xml:space="preserve"> </w:t>
      </w:r>
      <w:r>
        <w:rPr>
          <w:rFonts w:ascii="Garamond" w:hAnsi="Garamond" w:cs="Garamond"/>
        </w:rPr>
        <w:t>potential</w:t>
      </w:r>
      <w:r>
        <w:rPr>
          <w:rFonts w:ascii="Garamond" w:hAnsi="Garamond" w:cs="Garamond"/>
          <w:spacing w:val="-9"/>
        </w:rPr>
        <w:t xml:space="preserve"> </w:t>
      </w:r>
      <w:r>
        <w:rPr>
          <w:rFonts w:ascii="Garamond" w:hAnsi="Garamond" w:cs="Garamond"/>
        </w:rPr>
        <w:t>benefits</w:t>
      </w:r>
      <w:r>
        <w:rPr>
          <w:rFonts w:ascii="Garamond" w:hAnsi="Garamond" w:cs="Garamond"/>
          <w:spacing w:val="-8"/>
        </w:rPr>
        <w:t xml:space="preserve"> </w:t>
      </w:r>
      <w:r>
        <w:rPr>
          <w:rFonts w:ascii="Garamond" w:hAnsi="Garamond" w:cs="Garamond"/>
        </w:rPr>
        <w:t>that</w:t>
      </w:r>
      <w:r>
        <w:rPr>
          <w:rFonts w:ascii="Garamond" w:hAnsi="Garamond" w:cs="Garamond"/>
          <w:spacing w:val="-8"/>
        </w:rPr>
        <w:t xml:space="preserve"> </w:t>
      </w:r>
      <w:r>
        <w:rPr>
          <w:rFonts w:ascii="Garamond" w:hAnsi="Garamond" w:cs="Garamond"/>
        </w:rPr>
        <w:t>an</w:t>
      </w:r>
      <w:r>
        <w:rPr>
          <w:rFonts w:ascii="Garamond" w:hAnsi="Garamond" w:cs="Garamond"/>
          <w:spacing w:val="-6"/>
        </w:rPr>
        <w:t xml:space="preserve"> </w:t>
      </w:r>
      <w:r>
        <w:rPr>
          <w:rFonts w:ascii="Garamond" w:hAnsi="Garamond" w:cs="Garamond"/>
          <w:spacing w:val="-3"/>
        </w:rPr>
        <w:t>ACO</w:t>
      </w:r>
      <w:r>
        <w:rPr>
          <w:rFonts w:ascii="Garamond" w:hAnsi="Garamond" w:cs="Garamond"/>
          <w:spacing w:val="-11"/>
        </w:rPr>
        <w:t xml:space="preserve"> </w:t>
      </w:r>
      <w:r>
        <w:rPr>
          <w:rFonts w:ascii="Garamond" w:hAnsi="Garamond" w:cs="Garamond"/>
        </w:rPr>
        <w:t>can</w:t>
      </w:r>
      <w:r>
        <w:rPr>
          <w:rFonts w:ascii="Garamond" w:hAnsi="Garamond" w:cs="Garamond"/>
          <w:spacing w:val="-9"/>
        </w:rPr>
        <w:t xml:space="preserve"> </w:t>
      </w:r>
      <w:r>
        <w:rPr>
          <w:rFonts w:ascii="Garamond" w:hAnsi="Garamond" w:cs="Garamond"/>
        </w:rPr>
        <w:t>provide,</w:t>
      </w:r>
      <w:r>
        <w:rPr>
          <w:rFonts w:ascii="Garamond" w:hAnsi="Garamond" w:cs="Garamond"/>
          <w:spacing w:val="-9"/>
        </w:rPr>
        <w:t xml:space="preserve"> </w:t>
      </w:r>
      <w:r>
        <w:rPr>
          <w:rFonts w:ascii="Garamond" w:hAnsi="Garamond" w:cs="Garamond"/>
        </w:rPr>
        <w:t>including how</w:t>
      </w:r>
      <w:r>
        <w:rPr>
          <w:rFonts w:ascii="Garamond" w:hAnsi="Garamond" w:cs="Garamond"/>
          <w:spacing w:val="-8"/>
        </w:rPr>
        <w:t xml:space="preserve"> </w:t>
      </w:r>
      <w:r>
        <w:rPr>
          <w:rFonts w:ascii="Garamond" w:hAnsi="Garamond" w:cs="Garamond"/>
        </w:rPr>
        <w:t>care</w:t>
      </w:r>
      <w:r>
        <w:rPr>
          <w:rFonts w:ascii="Garamond" w:hAnsi="Garamond" w:cs="Garamond"/>
          <w:spacing w:val="-10"/>
        </w:rPr>
        <w:t xml:space="preserve"> </w:t>
      </w:r>
      <w:r>
        <w:rPr>
          <w:rFonts w:ascii="Garamond" w:hAnsi="Garamond" w:cs="Garamond"/>
        </w:rPr>
        <w:t>will</w:t>
      </w:r>
      <w:r>
        <w:rPr>
          <w:rFonts w:ascii="Garamond" w:hAnsi="Garamond" w:cs="Garamond"/>
          <w:spacing w:val="-10"/>
        </w:rPr>
        <w:t xml:space="preserve"> </w:t>
      </w:r>
      <w:r>
        <w:rPr>
          <w:rFonts w:ascii="Garamond" w:hAnsi="Garamond" w:cs="Garamond"/>
        </w:rPr>
        <w:t>be</w:t>
      </w:r>
      <w:r>
        <w:rPr>
          <w:rFonts w:ascii="Garamond" w:hAnsi="Garamond" w:cs="Garamond"/>
          <w:spacing w:val="-11"/>
        </w:rPr>
        <w:t xml:space="preserve"> </w:t>
      </w:r>
      <w:r>
        <w:rPr>
          <w:rFonts w:ascii="Garamond" w:hAnsi="Garamond" w:cs="Garamond"/>
        </w:rPr>
        <w:t>better</w:t>
      </w:r>
      <w:r>
        <w:rPr>
          <w:rFonts w:ascii="Garamond" w:hAnsi="Garamond" w:cs="Garamond"/>
          <w:spacing w:val="-8"/>
        </w:rPr>
        <w:t xml:space="preserve"> </w:t>
      </w:r>
      <w:r>
        <w:rPr>
          <w:rFonts w:ascii="Garamond" w:hAnsi="Garamond" w:cs="Garamond"/>
        </w:rPr>
        <w:t>coordinated.</w:t>
      </w:r>
    </w:p>
    <w:p w:rsidR="002C5025" w:rsidRDefault="002C5025">
      <w:pPr>
        <w:pStyle w:val="BodyText"/>
        <w:kinsoku w:val="0"/>
        <w:overflowPunct w:val="0"/>
        <w:spacing w:before="10"/>
        <w:rPr>
          <w:rFonts w:ascii="Garamond" w:hAnsi="Garamond" w:cs="Garamond"/>
          <w:sz w:val="21"/>
          <w:szCs w:val="21"/>
        </w:rPr>
      </w:pPr>
    </w:p>
    <w:p w:rsidR="002C5025" w:rsidRDefault="002C5025">
      <w:pPr>
        <w:pStyle w:val="BodyText"/>
        <w:kinsoku w:val="0"/>
        <w:overflowPunct w:val="0"/>
        <w:ind w:left="119" w:right="688"/>
        <w:rPr>
          <w:rFonts w:ascii="Garamond" w:hAnsi="Garamond" w:cs="Garamond"/>
        </w:rPr>
      </w:pPr>
      <w:r>
        <w:rPr>
          <w:rFonts w:ascii="Garamond" w:hAnsi="Garamond" w:cs="Garamond"/>
        </w:rPr>
        <w:t xml:space="preserve">In addition, MassHealth should work with </w:t>
      </w:r>
      <w:r>
        <w:rPr>
          <w:rFonts w:ascii="Garamond" w:hAnsi="Garamond" w:cs="Garamond"/>
          <w:spacing w:val="-3"/>
        </w:rPr>
        <w:t xml:space="preserve">ACOs </w:t>
      </w:r>
      <w:r>
        <w:rPr>
          <w:rFonts w:ascii="Garamond" w:hAnsi="Garamond" w:cs="Garamond"/>
        </w:rPr>
        <w:t xml:space="preserve">to publically report on an annual basis the </w:t>
      </w:r>
      <w:r>
        <w:rPr>
          <w:rFonts w:ascii="Garamond" w:hAnsi="Garamond" w:cs="Garamond"/>
          <w:spacing w:val="-3"/>
        </w:rPr>
        <w:t xml:space="preserve">following </w:t>
      </w:r>
      <w:r>
        <w:rPr>
          <w:rFonts w:ascii="Garamond" w:hAnsi="Garamond" w:cs="Garamond"/>
        </w:rPr>
        <w:t>information:</w:t>
      </w:r>
    </w:p>
    <w:p w:rsidR="002C5025" w:rsidRDefault="002C5025">
      <w:pPr>
        <w:pStyle w:val="ListParagraph"/>
        <w:numPr>
          <w:ilvl w:val="2"/>
          <w:numId w:val="49"/>
        </w:numPr>
        <w:tabs>
          <w:tab w:val="left" w:pos="841"/>
        </w:tabs>
        <w:kinsoku w:val="0"/>
        <w:overflowPunct w:val="0"/>
        <w:spacing w:before="1" w:line="278" w:lineRule="exact"/>
        <w:ind w:left="840"/>
        <w:rPr>
          <w:rFonts w:ascii="Garamond" w:hAnsi="Garamond" w:cs="Garamond"/>
          <w:sz w:val="22"/>
          <w:szCs w:val="22"/>
        </w:rPr>
      </w:pPr>
      <w:r>
        <w:rPr>
          <w:rFonts w:ascii="Garamond" w:hAnsi="Garamond" w:cs="Garamond"/>
          <w:sz w:val="22"/>
          <w:szCs w:val="22"/>
        </w:rPr>
        <w:t xml:space="preserve">the </w:t>
      </w:r>
      <w:r>
        <w:rPr>
          <w:rFonts w:ascii="Garamond" w:hAnsi="Garamond" w:cs="Garamond"/>
          <w:spacing w:val="-3"/>
          <w:sz w:val="22"/>
          <w:szCs w:val="22"/>
        </w:rPr>
        <w:t xml:space="preserve">names </w:t>
      </w:r>
      <w:r>
        <w:rPr>
          <w:rFonts w:ascii="Garamond" w:hAnsi="Garamond" w:cs="Garamond"/>
          <w:sz w:val="22"/>
          <w:szCs w:val="22"/>
        </w:rPr>
        <w:t>of HPC certified</w:t>
      </w:r>
      <w:r>
        <w:rPr>
          <w:rFonts w:ascii="Garamond" w:hAnsi="Garamond" w:cs="Garamond"/>
          <w:spacing w:val="-22"/>
          <w:sz w:val="22"/>
          <w:szCs w:val="22"/>
        </w:rPr>
        <w:t xml:space="preserve"> </w:t>
      </w:r>
      <w:r>
        <w:rPr>
          <w:rFonts w:ascii="Garamond" w:hAnsi="Garamond" w:cs="Garamond"/>
          <w:sz w:val="22"/>
          <w:szCs w:val="22"/>
        </w:rPr>
        <w:t>ACOs;</w:t>
      </w:r>
    </w:p>
    <w:p w:rsidR="002C5025" w:rsidRDefault="002C5025">
      <w:pPr>
        <w:pStyle w:val="ListParagraph"/>
        <w:numPr>
          <w:ilvl w:val="2"/>
          <w:numId w:val="49"/>
        </w:numPr>
        <w:tabs>
          <w:tab w:val="left" w:pos="840"/>
        </w:tabs>
        <w:kinsoku w:val="0"/>
        <w:overflowPunct w:val="0"/>
        <w:spacing w:line="278" w:lineRule="exact"/>
        <w:ind w:left="839" w:hanging="360"/>
        <w:rPr>
          <w:rFonts w:ascii="Garamond" w:hAnsi="Garamond" w:cs="Garamond"/>
          <w:spacing w:val="-3"/>
          <w:sz w:val="22"/>
          <w:szCs w:val="22"/>
        </w:rPr>
      </w:pPr>
      <w:r>
        <w:rPr>
          <w:rFonts w:ascii="Garamond" w:hAnsi="Garamond" w:cs="Garamond"/>
          <w:sz w:val="22"/>
          <w:szCs w:val="22"/>
        </w:rPr>
        <w:t xml:space="preserve">the </w:t>
      </w:r>
      <w:r>
        <w:rPr>
          <w:rFonts w:ascii="Garamond" w:hAnsi="Garamond" w:cs="Garamond"/>
          <w:spacing w:val="-3"/>
          <w:sz w:val="22"/>
          <w:szCs w:val="22"/>
        </w:rPr>
        <w:t xml:space="preserve">number </w:t>
      </w:r>
      <w:r>
        <w:rPr>
          <w:rFonts w:ascii="Garamond" w:hAnsi="Garamond" w:cs="Garamond"/>
          <w:sz w:val="22"/>
          <w:szCs w:val="22"/>
        </w:rPr>
        <w:t>of lives attributed to each</w:t>
      </w:r>
      <w:r>
        <w:rPr>
          <w:rFonts w:ascii="Garamond" w:hAnsi="Garamond" w:cs="Garamond"/>
          <w:spacing w:val="-21"/>
          <w:sz w:val="22"/>
          <w:szCs w:val="22"/>
        </w:rPr>
        <w:t xml:space="preserve"> </w:t>
      </w:r>
      <w:r>
        <w:rPr>
          <w:rFonts w:ascii="Garamond" w:hAnsi="Garamond" w:cs="Garamond"/>
          <w:spacing w:val="-3"/>
          <w:sz w:val="22"/>
          <w:szCs w:val="22"/>
        </w:rPr>
        <w:t>ACO;</w:t>
      </w:r>
    </w:p>
    <w:p w:rsidR="002C5025" w:rsidRDefault="002C5025">
      <w:pPr>
        <w:pStyle w:val="ListParagraph"/>
        <w:numPr>
          <w:ilvl w:val="2"/>
          <w:numId w:val="49"/>
        </w:numPr>
        <w:tabs>
          <w:tab w:val="left" w:pos="841"/>
        </w:tabs>
        <w:kinsoku w:val="0"/>
        <w:overflowPunct w:val="0"/>
        <w:spacing w:before="1" w:line="279" w:lineRule="exact"/>
        <w:ind w:left="840"/>
        <w:rPr>
          <w:rFonts w:ascii="Garamond" w:hAnsi="Garamond" w:cs="Garamond"/>
          <w:sz w:val="22"/>
          <w:szCs w:val="22"/>
        </w:rPr>
      </w:pPr>
      <w:r>
        <w:rPr>
          <w:rFonts w:ascii="Garamond" w:hAnsi="Garamond" w:cs="Garamond"/>
          <w:sz w:val="22"/>
          <w:szCs w:val="22"/>
        </w:rPr>
        <w:t>the</w:t>
      </w:r>
      <w:r>
        <w:rPr>
          <w:rFonts w:ascii="Garamond" w:hAnsi="Garamond" w:cs="Garamond"/>
          <w:spacing w:val="-10"/>
          <w:sz w:val="22"/>
          <w:szCs w:val="22"/>
        </w:rPr>
        <w:t xml:space="preserve"> </w:t>
      </w:r>
      <w:r>
        <w:rPr>
          <w:rFonts w:ascii="Garamond" w:hAnsi="Garamond" w:cs="Garamond"/>
          <w:sz w:val="22"/>
          <w:szCs w:val="22"/>
        </w:rPr>
        <w:t>financial</w:t>
      </w:r>
      <w:r>
        <w:rPr>
          <w:rFonts w:ascii="Garamond" w:hAnsi="Garamond" w:cs="Garamond"/>
          <w:spacing w:val="-9"/>
          <w:sz w:val="22"/>
          <w:szCs w:val="22"/>
        </w:rPr>
        <w:t xml:space="preserve"> </w:t>
      </w:r>
      <w:r>
        <w:rPr>
          <w:rFonts w:ascii="Garamond" w:hAnsi="Garamond" w:cs="Garamond"/>
          <w:sz w:val="22"/>
          <w:szCs w:val="22"/>
        </w:rPr>
        <w:t>structure</w:t>
      </w:r>
      <w:r>
        <w:rPr>
          <w:rFonts w:ascii="Garamond" w:hAnsi="Garamond" w:cs="Garamond"/>
          <w:spacing w:val="-10"/>
          <w:sz w:val="22"/>
          <w:szCs w:val="22"/>
        </w:rPr>
        <w:t xml:space="preserve"> </w:t>
      </w:r>
      <w:r>
        <w:rPr>
          <w:rFonts w:ascii="Garamond" w:hAnsi="Garamond" w:cs="Garamond"/>
          <w:sz w:val="22"/>
          <w:szCs w:val="22"/>
        </w:rPr>
        <w:t>of</w:t>
      </w:r>
      <w:r>
        <w:rPr>
          <w:rFonts w:ascii="Garamond" w:hAnsi="Garamond" w:cs="Garamond"/>
          <w:spacing w:val="-7"/>
          <w:sz w:val="22"/>
          <w:szCs w:val="22"/>
        </w:rPr>
        <w:t xml:space="preserve"> </w:t>
      </w:r>
      <w:r>
        <w:rPr>
          <w:rFonts w:ascii="Garamond" w:hAnsi="Garamond" w:cs="Garamond"/>
          <w:spacing w:val="-4"/>
          <w:sz w:val="22"/>
          <w:szCs w:val="22"/>
        </w:rPr>
        <w:t>ACOs</w:t>
      </w:r>
      <w:r>
        <w:rPr>
          <w:rFonts w:ascii="Garamond" w:hAnsi="Garamond" w:cs="Garamond"/>
          <w:spacing w:val="-8"/>
          <w:sz w:val="22"/>
          <w:szCs w:val="22"/>
        </w:rPr>
        <w:t xml:space="preserve"> </w:t>
      </w:r>
      <w:r>
        <w:rPr>
          <w:rFonts w:ascii="Garamond" w:hAnsi="Garamond" w:cs="Garamond"/>
          <w:sz w:val="22"/>
          <w:szCs w:val="22"/>
        </w:rPr>
        <w:t>and</w:t>
      </w:r>
      <w:r>
        <w:rPr>
          <w:rFonts w:ascii="Garamond" w:hAnsi="Garamond" w:cs="Garamond"/>
          <w:spacing w:val="-7"/>
          <w:sz w:val="22"/>
          <w:szCs w:val="22"/>
        </w:rPr>
        <w:t xml:space="preserve"> </w:t>
      </w:r>
      <w:r>
        <w:rPr>
          <w:rFonts w:ascii="Garamond" w:hAnsi="Garamond" w:cs="Garamond"/>
          <w:sz w:val="22"/>
          <w:szCs w:val="22"/>
        </w:rPr>
        <w:t>participating</w:t>
      </w:r>
      <w:r>
        <w:rPr>
          <w:rFonts w:ascii="Garamond" w:hAnsi="Garamond" w:cs="Garamond"/>
          <w:spacing w:val="-11"/>
          <w:sz w:val="22"/>
          <w:szCs w:val="22"/>
        </w:rPr>
        <w:t xml:space="preserve"> </w:t>
      </w:r>
      <w:r>
        <w:rPr>
          <w:rFonts w:ascii="Garamond" w:hAnsi="Garamond" w:cs="Garamond"/>
          <w:sz w:val="22"/>
          <w:szCs w:val="22"/>
        </w:rPr>
        <w:t>providers,</w:t>
      </w:r>
      <w:r>
        <w:rPr>
          <w:rFonts w:ascii="Garamond" w:hAnsi="Garamond" w:cs="Garamond"/>
          <w:spacing w:val="-9"/>
          <w:sz w:val="22"/>
          <w:szCs w:val="22"/>
        </w:rPr>
        <w:t xml:space="preserve"> </w:t>
      </w:r>
      <w:r>
        <w:rPr>
          <w:rFonts w:ascii="Garamond" w:hAnsi="Garamond" w:cs="Garamond"/>
          <w:sz w:val="22"/>
          <w:szCs w:val="22"/>
        </w:rPr>
        <w:t>including</w:t>
      </w:r>
      <w:r>
        <w:rPr>
          <w:rFonts w:ascii="Garamond" w:hAnsi="Garamond" w:cs="Garamond"/>
          <w:spacing w:val="-7"/>
          <w:sz w:val="22"/>
          <w:szCs w:val="22"/>
        </w:rPr>
        <w:t xml:space="preserve"> </w:t>
      </w:r>
      <w:r>
        <w:rPr>
          <w:rFonts w:ascii="Garamond" w:hAnsi="Garamond" w:cs="Garamond"/>
          <w:spacing w:val="-3"/>
          <w:sz w:val="22"/>
          <w:szCs w:val="22"/>
        </w:rPr>
        <w:t>surplus</w:t>
      </w:r>
      <w:r>
        <w:rPr>
          <w:rFonts w:ascii="Garamond" w:hAnsi="Garamond" w:cs="Garamond"/>
          <w:spacing w:val="-8"/>
          <w:sz w:val="22"/>
          <w:szCs w:val="22"/>
        </w:rPr>
        <w:t xml:space="preserve"> </w:t>
      </w:r>
      <w:r>
        <w:rPr>
          <w:rFonts w:ascii="Garamond" w:hAnsi="Garamond" w:cs="Garamond"/>
          <w:sz w:val="22"/>
          <w:szCs w:val="22"/>
        </w:rPr>
        <w:t>or</w:t>
      </w:r>
      <w:r>
        <w:rPr>
          <w:rFonts w:ascii="Garamond" w:hAnsi="Garamond" w:cs="Garamond"/>
          <w:spacing w:val="-10"/>
          <w:sz w:val="22"/>
          <w:szCs w:val="22"/>
        </w:rPr>
        <w:t xml:space="preserve"> </w:t>
      </w:r>
      <w:r>
        <w:rPr>
          <w:rFonts w:ascii="Garamond" w:hAnsi="Garamond" w:cs="Garamond"/>
          <w:sz w:val="22"/>
          <w:szCs w:val="22"/>
        </w:rPr>
        <w:t>deficit</w:t>
      </w:r>
      <w:r>
        <w:rPr>
          <w:rFonts w:ascii="Garamond" w:hAnsi="Garamond" w:cs="Garamond"/>
          <w:spacing w:val="-7"/>
          <w:sz w:val="22"/>
          <w:szCs w:val="22"/>
        </w:rPr>
        <w:t xml:space="preserve"> </w:t>
      </w:r>
      <w:r>
        <w:rPr>
          <w:rFonts w:ascii="Garamond" w:hAnsi="Garamond" w:cs="Garamond"/>
          <w:sz w:val="22"/>
          <w:szCs w:val="22"/>
        </w:rPr>
        <w:t>margins;</w:t>
      </w:r>
    </w:p>
    <w:p w:rsidR="002C5025" w:rsidRDefault="002C5025">
      <w:pPr>
        <w:pStyle w:val="ListParagraph"/>
        <w:numPr>
          <w:ilvl w:val="2"/>
          <w:numId w:val="49"/>
        </w:numPr>
        <w:tabs>
          <w:tab w:val="left" w:pos="840"/>
        </w:tabs>
        <w:kinsoku w:val="0"/>
        <w:overflowPunct w:val="0"/>
        <w:spacing w:line="279" w:lineRule="exact"/>
        <w:ind w:left="839" w:hanging="360"/>
        <w:rPr>
          <w:rFonts w:ascii="Garamond" w:hAnsi="Garamond" w:cs="Garamond"/>
          <w:sz w:val="22"/>
          <w:szCs w:val="22"/>
        </w:rPr>
      </w:pPr>
      <w:r>
        <w:rPr>
          <w:rFonts w:ascii="Garamond" w:hAnsi="Garamond" w:cs="Garamond"/>
          <w:sz w:val="22"/>
          <w:szCs w:val="22"/>
        </w:rPr>
        <w:t>ACO leadership structures;</w:t>
      </w:r>
      <w:r>
        <w:rPr>
          <w:rFonts w:ascii="Garamond" w:hAnsi="Garamond" w:cs="Garamond"/>
          <w:spacing w:val="-38"/>
          <w:sz w:val="22"/>
          <w:szCs w:val="22"/>
        </w:rPr>
        <w:t xml:space="preserve"> </w:t>
      </w:r>
      <w:r>
        <w:rPr>
          <w:rFonts w:ascii="Garamond" w:hAnsi="Garamond" w:cs="Garamond"/>
          <w:sz w:val="22"/>
          <w:szCs w:val="22"/>
        </w:rPr>
        <w:t>and</w:t>
      </w:r>
    </w:p>
    <w:p w:rsidR="002C5025" w:rsidRDefault="002C5025">
      <w:pPr>
        <w:pStyle w:val="ListParagraph"/>
        <w:numPr>
          <w:ilvl w:val="2"/>
          <w:numId w:val="49"/>
        </w:numPr>
        <w:tabs>
          <w:tab w:val="left" w:pos="840"/>
        </w:tabs>
        <w:kinsoku w:val="0"/>
        <w:overflowPunct w:val="0"/>
        <w:spacing w:before="1"/>
        <w:ind w:left="839" w:hanging="360"/>
        <w:rPr>
          <w:rFonts w:ascii="Garamond" w:hAnsi="Garamond" w:cs="Garamond"/>
          <w:spacing w:val="-3"/>
          <w:sz w:val="22"/>
          <w:szCs w:val="22"/>
        </w:rPr>
      </w:pPr>
      <w:r>
        <w:rPr>
          <w:rFonts w:ascii="Garamond" w:hAnsi="Garamond" w:cs="Garamond"/>
          <w:sz w:val="22"/>
          <w:szCs w:val="22"/>
        </w:rPr>
        <w:t xml:space="preserve">provider </w:t>
      </w:r>
      <w:r>
        <w:rPr>
          <w:rFonts w:ascii="Garamond" w:hAnsi="Garamond" w:cs="Garamond"/>
          <w:spacing w:val="-3"/>
          <w:sz w:val="22"/>
          <w:szCs w:val="22"/>
        </w:rPr>
        <w:t xml:space="preserve">incentives </w:t>
      </w:r>
      <w:r>
        <w:rPr>
          <w:rFonts w:ascii="Garamond" w:hAnsi="Garamond" w:cs="Garamond"/>
          <w:sz w:val="22"/>
          <w:szCs w:val="22"/>
        </w:rPr>
        <w:t>in</w:t>
      </w:r>
      <w:r>
        <w:rPr>
          <w:rFonts w:ascii="Garamond" w:hAnsi="Garamond" w:cs="Garamond"/>
          <w:spacing w:val="-5"/>
          <w:sz w:val="22"/>
          <w:szCs w:val="22"/>
        </w:rPr>
        <w:t xml:space="preserve"> </w:t>
      </w:r>
      <w:r>
        <w:rPr>
          <w:rFonts w:ascii="Garamond" w:hAnsi="Garamond" w:cs="Garamond"/>
          <w:spacing w:val="-3"/>
          <w:sz w:val="22"/>
          <w:szCs w:val="22"/>
        </w:rPr>
        <w:t>ACOs.</w:t>
      </w:r>
    </w:p>
    <w:p w:rsidR="002C5025" w:rsidRDefault="002C5025">
      <w:pPr>
        <w:pStyle w:val="BodyText"/>
        <w:kinsoku w:val="0"/>
        <w:overflowPunct w:val="0"/>
        <w:spacing w:before="7"/>
        <w:rPr>
          <w:rFonts w:ascii="Garamond" w:hAnsi="Garamond" w:cs="Garamond"/>
          <w:sz w:val="21"/>
          <w:szCs w:val="21"/>
        </w:rPr>
      </w:pPr>
    </w:p>
    <w:p w:rsidR="002C5025" w:rsidRDefault="002C5025">
      <w:pPr>
        <w:pStyle w:val="BodyText"/>
        <w:kinsoku w:val="0"/>
        <w:overflowPunct w:val="0"/>
        <w:spacing w:before="1"/>
        <w:ind w:left="120" w:right="117" w:hanging="1"/>
        <w:jc w:val="both"/>
        <w:rPr>
          <w:rFonts w:ascii="Garamond" w:hAnsi="Garamond" w:cs="Garamond"/>
        </w:rPr>
      </w:pPr>
      <w:r>
        <w:rPr>
          <w:rFonts w:ascii="Garamond" w:hAnsi="Garamond" w:cs="Garamond"/>
        </w:rPr>
        <w:t>MassHealth should further work in conjunction with the Office of Patient Protection to publically report on an annual basis the number and types of internal and external grievances and complaints filed with the ACO and if and how they have been resolved.</w:t>
      </w:r>
    </w:p>
    <w:p w:rsidR="002C5025" w:rsidRDefault="002C5025">
      <w:pPr>
        <w:pStyle w:val="BodyText"/>
        <w:kinsoku w:val="0"/>
        <w:overflowPunct w:val="0"/>
        <w:spacing w:before="1"/>
        <w:rPr>
          <w:rFonts w:ascii="Garamond" w:hAnsi="Garamond" w:cs="Garamond"/>
        </w:rPr>
      </w:pPr>
    </w:p>
    <w:p w:rsidR="002C5025" w:rsidRDefault="002C5025">
      <w:pPr>
        <w:pStyle w:val="BodyText"/>
        <w:kinsoku w:val="0"/>
        <w:overflowPunct w:val="0"/>
        <w:ind w:left="119" w:right="28" w:firstLine="1"/>
        <w:rPr>
          <w:rFonts w:ascii="Garamond" w:hAnsi="Garamond" w:cs="Garamond"/>
        </w:rPr>
      </w:pPr>
      <w:r>
        <w:rPr>
          <w:rFonts w:ascii="Garamond" w:hAnsi="Garamond" w:cs="Garamond"/>
        </w:rPr>
        <w:t xml:space="preserve">As stated earlier in our comments, we recommend that MassHealth and the ACO Steering Committee monitor and evaluate DSRIP implementation </w:t>
      </w:r>
      <w:r>
        <w:rPr>
          <w:rFonts w:ascii="Garamond" w:hAnsi="Garamond" w:cs="Garamond"/>
          <w:spacing w:val="-3"/>
        </w:rPr>
        <w:t xml:space="preserve">through </w:t>
      </w:r>
      <w:r>
        <w:rPr>
          <w:rFonts w:ascii="Garamond" w:hAnsi="Garamond" w:cs="Garamond"/>
        </w:rPr>
        <w:t xml:space="preserve">development and </w:t>
      </w:r>
      <w:r>
        <w:rPr>
          <w:rFonts w:ascii="Garamond" w:hAnsi="Garamond" w:cs="Garamond"/>
          <w:spacing w:val="-3"/>
        </w:rPr>
        <w:t xml:space="preserve">dissemination </w:t>
      </w:r>
      <w:r>
        <w:rPr>
          <w:rFonts w:ascii="Garamond" w:hAnsi="Garamond" w:cs="Garamond"/>
        </w:rPr>
        <w:t xml:space="preserve">of a </w:t>
      </w:r>
      <w:r>
        <w:rPr>
          <w:rFonts w:ascii="Garamond" w:hAnsi="Garamond" w:cs="Garamond"/>
          <w:spacing w:val="-3"/>
        </w:rPr>
        <w:t xml:space="preserve">public </w:t>
      </w:r>
      <w:r>
        <w:rPr>
          <w:rFonts w:ascii="Garamond" w:hAnsi="Garamond" w:cs="Garamond"/>
        </w:rPr>
        <w:t xml:space="preserve">dashboard. This will also require </w:t>
      </w:r>
      <w:r>
        <w:rPr>
          <w:rFonts w:ascii="Garamond" w:hAnsi="Garamond" w:cs="Garamond"/>
          <w:spacing w:val="-3"/>
        </w:rPr>
        <w:t xml:space="preserve">publicly </w:t>
      </w:r>
      <w:r>
        <w:rPr>
          <w:rFonts w:ascii="Garamond" w:hAnsi="Garamond" w:cs="Garamond"/>
        </w:rPr>
        <w:t xml:space="preserve">setting consistent, system-wide, measurable goals for what we hope to accomplish by </w:t>
      </w:r>
      <w:r>
        <w:rPr>
          <w:rFonts w:ascii="Garamond" w:hAnsi="Garamond" w:cs="Garamond"/>
          <w:spacing w:val="-3"/>
        </w:rPr>
        <w:t xml:space="preserve">moving </w:t>
      </w:r>
      <w:r>
        <w:rPr>
          <w:rFonts w:ascii="Garamond" w:hAnsi="Garamond" w:cs="Garamond"/>
        </w:rPr>
        <w:t xml:space="preserve">care to ACOs, including reduced hospitalizations, reduced institutionalization, improved quality of life </w:t>
      </w:r>
      <w:r>
        <w:rPr>
          <w:rFonts w:ascii="Garamond" w:hAnsi="Garamond" w:cs="Garamond"/>
          <w:spacing w:val="-3"/>
        </w:rPr>
        <w:t xml:space="preserve">and </w:t>
      </w:r>
      <w:r>
        <w:rPr>
          <w:rFonts w:ascii="Garamond" w:hAnsi="Garamond" w:cs="Garamond"/>
        </w:rPr>
        <w:t>improved health outcomes.</w:t>
      </w:r>
    </w:p>
    <w:p w:rsidR="002C5025" w:rsidRDefault="002C5025">
      <w:pPr>
        <w:pStyle w:val="BodyText"/>
        <w:kinsoku w:val="0"/>
        <w:overflowPunct w:val="0"/>
        <w:spacing w:before="10"/>
        <w:rPr>
          <w:rFonts w:ascii="Garamond" w:hAnsi="Garamond" w:cs="Garamond"/>
          <w:sz w:val="21"/>
          <w:szCs w:val="21"/>
        </w:rPr>
      </w:pPr>
    </w:p>
    <w:p w:rsidR="002C5025" w:rsidRDefault="002C5025">
      <w:pPr>
        <w:pStyle w:val="BodyText"/>
        <w:kinsoku w:val="0"/>
        <w:overflowPunct w:val="0"/>
        <w:ind w:left="120" w:right="225"/>
        <w:rPr>
          <w:rFonts w:ascii="Garamond" w:hAnsi="Garamond" w:cs="Garamond"/>
          <w:b/>
          <w:bCs/>
        </w:rPr>
      </w:pPr>
      <w:bookmarkStart w:id="176" w:name="Data_Collection_and_Risk_Stratification"/>
      <w:bookmarkEnd w:id="176"/>
      <w:r>
        <w:rPr>
          <w:rFonts w:ascii="Garamond" w:hAnsi="Garamond" w:cs="Garamond"/>
          <w:b/>
          <w:bCs/>
          <w:u w:val="single" w:color="000000"/>
        </w:rPr>
        <w:t>Data Collection and Risk Stratification</w:t>
      </w:r>
    </w:p>
    <w:p w:rsidR="002C5025" w:rsidRDefault="002C5025">
      <w:pPr>
        <w:pStyle w:val="BodyText"/>
        <w:kinsoku w:val="0"/>
        <w:overflowPunct w:val="0"/>
        <w:spacing w:before="2"/>
        <w:rPr>
          <w:rFonts w:ascii="Garamond" w:hAnsi="Garamond" w:cs="Garamond"/>
          <w:b/>
          <w:bCs/>
          <w:sz w:val="14"/>
          <w:szCs w:val="14"/>
        </w:rPr>
      </w:pPr>
    </w:p>
    <w:p w:rsidR="002C5025" w:rsidRDefault="002C5025">
      <w:pPr>
        <w:pStyle w:val="BodyText"/>
        <w:kinsoku w:val="0"/>
        <w:overflowPunct w:val="0"/>
        <w:spacing w:before="79" w:line="264" w:lineRule="exact"/>
        <w:ind w:left="120" w:right="225"/>
        <w:rPr>
          <w:rFonts w:ascii="Garamond" w:hAnsi="Garamond" w:cs="Garamond"/>
          <w:b/>
          <w:bCs/>
          <w:i/>
          <w:iCs/>
          <w:w w:val="90"/>
          <w:sz w:val="24"/>
          <w:szCs w:val="24"/>
        </w:rPr>
      </w:pPr>
      <w:r>
        <w:rPr>
          <w:rFonts w:ascii="Garamond" w:hAnsi="Garamond" w:cs="Garamond"/>
          <w:b/>
          <w:bCs/>
          <w:i/>
          <w:iCs/>
          <w:w w:val="90"/>
          <w:sz w:val="24"/>
          <w:szCs w:val="24"/>
        </w:rPr>
        <w:t>Comprehensive data collection</w:t>
      </w:r>
    </w:p>
    <w:p w:rsidR="002C5025" w:rsidRDefault="002C5025">
      <w:pPr>
        <w:pStyle w:val="BodyText"/>
        <w:kinsoku w:val="0"/>
        <w:overflowPunct w:val="0"/>
        <w:ind w:left="117" w:right="112" w:firstLine="2"/>
        <w:rPr>
          <w:rFonts w:ascii="Garamond" w:hAnsi="Garamond" w:cs="Garamond"/>
        </w:rPr>
      </w:pPr>
      <w:r>
        <w:rPr>
          <w:rFonts w:ascii="Garamond" w:hAnsi="Garamond" w:cs="Garamond"/>
        </w:rPr>
        <w:t xml:space="preserve">Collecting data on key sociodemographic factors is a critical first step for effectively managing the health of an </w:t>
      </w:r>
      <w:r>
        <w:rPr>
          <w:rFonts w:ascii="Garamond" w:hAnsi="Garamond" w:cs="Garamond"/>
          <w:spacing w:val="-3"/>
        </w:rPr>
        <w:t xml:space="preserve">ACO’s </w:t>
      </w:r>
      <w:r>
        <w:rPr>
          <w:rFonts w:ascii="Garamond" w:hAnsi="Garamond" w:cs="Garamond"/>
        </w:rPr>
        <w:t xml:space="preserve">patient </w:t>
      </w:r>
      <w:r>
        <w:rPr>
          <w:rFonts w:ascii="Garamond" w:hAnsi="Garamond" w:cs="Garamond"/>
          <w:spacing w:val="-3"/>
        </w:rPr>
        <w:t xml:space="preserve">population, </w:t>
      </w:r>
      <w:r>
        <w:rPr>
          <w:rFonts w:ascii="Garamond" w:hAnsi="Garamond" w:cs="Garamond"/>
        </w:rPr>
        <w:t>addressing risk factors that lead to poor health outcomes, and appropriately targeting</w:t>
      </w:r>
      <w:r>
        <w:rPr>
          <w:rFonts w:ascii="Garamond" w:hAnsi="Garamond" w:cs="Garamond"/>
          <w:spacing w:val="-11"/>
        </w:rPr>
        <w:t xml:space="preserve"> </w:t>
      </w:r>
      <w:r>
        <w:rPr>
          <w:rFonts w:ascii="Garamond" w:hAnsi="Garamond" w:cs="Garamond"/>
        </w:rPr>
        <w:t>intervention</w:t>
      </w:r>
      <w:r>
        <w:rPr>
          <w:rFonts w:ascii="Garamond" w:hAnsi="Garamond" w:cs="Garamond"/>
          <w:spacing w:val="-13"/>
        </w:rPr>
        <w:t xml:space="preserve"> </w:t>
      </w:r>
      <w:r>
        <w:rPr>
          <w:rFonts w:ascii="Garamond" w:hAnsi="Garamond" w:cs="Garamond"/>
        </w:rPr>
        <w:t>points</w:t>
      </w:r>
      <w:r>
        <w:rPr>
          <w:rFonts w:ascii="Garamond" w:hAnsi="Garamond" w:cs="Garamond"/>
          <w:spacing w:val="-12"/>
        </w:rPr>
        <w:t xml:space="preserve"> </w:t>
      </w:r>
      <w:r>
        <w:rPr>
          <w:rFonts w:ascii="Garamond" w:hAnsi="Garamond" w:cs="Garamond"/>
        </w:rPr>
        <w:t>and</w:t>
      </w:r>
      <w:r>
        <w:rPr>
          <w:rFonts w:ascii="Garamond" w:hAnsi="Garamond" w:cs="Garamond"/>
          <w:spacing w:val="-11"/>
        </w:rPr>
        <w:t xml:space="preserve"> </w:t>
      </w:r>
      <w:r>
        <w:rPr>
          <w:rFonts w:ascii="Garamond" w:hAnsi="Garamond" w:cs="Garamond"/>
        </w:rPr>
        <w:t>strategies.</w:t>
      </w:r>
      <w:r>
        <w:rPr>
          <w:rFonts w:ascii="Garamond" w:hAnsi="Garamond" w:cs="Garamond"/>
          <w:spacing w:val="-9"/>
        </w:rPr>
        <w:t xml:space="preserve"> </w:t>
      </w:r>
      <w:r>
        <w:rPr>
          <w:rFonts w:ascii="Garamond" w:hAnsi="Garamond" w:cs="Garamond"/>
        </w:rPr>
        <w:t>We</w:t>
      </w:r>
      <w:r>
        <w:rPr>
          <w:rFonts w:ascii="Garamond" w:hAnsi="Garamond" w:cs="Garamond"/>
          <w:spacing w:val="-11"/>
        </w:rPr>
        <w:t xml:space="preserve"> </w:t>
      </w:r>
      <w:r>
        <w:rPr>
          <w:rFonts w:ascii="Garamond" w:hAnsi="Garamond" w:cs="Garamond"/>
        </w:rPr>
        <w:t>support</w:t>
      </w:r>
      <w:r>
        <w:rPr>
          <w:rFonts w:ascii="Garamond" w:hAnsi="Garamond" w:cs="Garamond"/>
          <w:spacing w:val="-10"/>
        </w:rPr>
        <w:t xml:space="preserve"> </w:t>
      </w:r>
      <w:r>
        <w:rPr>
          <w:rFonts w:ascii="Garamond" w:hAnsi="Garamond" w:cs="Garamond"/>
        </w:rPr>
        <w:t>that</w:t>
      </w:r>
      <w:r>
        <w:rPr>
          <w:rFonts w:ascii="Garamond" w:hAnsi="Garamond" w:cs="Garamond"/>
          <w:spacing w:val="-10"/>
        </w:rPr>
        <w:t xml:space="preserve"> </w:t>
      </w:r>
      <w:r>
        <w:rPr>
          <w:rFonts w:ascii="Garamond" w:hAnsi="Garamond" w:cs="Garamond"/>
        </w:rPr>
        <w:t>under</w:t>
      </w:r>
      <w:r>
        <w:rPr>
          <w:rFonts w:ascii="Garamond" w:hAnsi="Garamond" w:cs="Garamond"/>
          <w:spacing w:val="-8"/>
        </w:rPr>
        <w:t xml:space="preserve"> </w:t>
      </w:r>
      <w:r>
        <w:rPr>
          <w:rFonts w:ascii="Garamond" w:hAnsi="Garamond" w:cs="Garamond"/>
        </w:rPr>
        <w:t>the</w:t>
      </w:r>
      <w:r>
        <w:rPr>
          <w:rFonts w:ascii="Garamond" w:hAnsi="Garamond" w:cs="Garamond"/>
          <w:spacing w:val="-11"/>
        </w:rPr>
        <w:t xml:space="preserve"> </w:t>
      </w:r>
      <w:r>
        <w:rPr>
          <w:rFonts w:ascii="Garamond" w:hAnsi="Garamond" w:cs="Garamond"/>
        </w:rPr>
        <w:t>HPC’s</w:t>
      </w:r>
      <w:r>
        <w:rPr>
          <w:rFonts w:ascii="Garamond" w:hAnsi="Garamond" w:cs="Garamond"/>
          <w:spacing w:val="-8"/>
        </w:rPr>
        <w:t xml:space="preserve"> </w:t>
      </w:r>
      <w:r>
        <w:rPr>
          <w:rFonts w:ascii="Garamond" w:hAnsi="Garamond" w:cs="Garamond"/>
        </w:rPr>
        <w:t>ACO</w:t>
      </w:r>
      <w:r>
        <w:rPr>
          <w:rFonts w:ascii="Garamond" w:hAnsi="Garamond" w:cs="Garamond"/>
          <w:spacing w:val="-8"/>
        </w:rPr>
        <w:t xml:space="preserve"> </w:t>
      </w:r>
      <w:r>
        <w:rPr>
          <w:rFonts w:ascii="Garamond" w:hAnsi="Garamond" w:cs="Garamond"/>
        </w:rPr>
        <w:t>certification</w:t>
      </w:r>
      <w:r>
        <w:rPr>
          <w:rFonts w:ascii="Garamond" w:hAnsi="Garamond" w:cs="Garamond"/>
          <w:spacing w:val="-8"/>
        </w:rPr>
        <w:t xml:space="preserve"> </w:t>
      </w:r>
      <w:r>
        <w:rPr>
          <w:rFonts w:ascii="Garamond" w:hAnsi="Garamond" w:cs="Garamond"/>
        </w:rPr>
        <w:t>criteria,</w:t>
      </w:r>
      <w:r>
        <w:rPr>
          <w:rFonts w:ascii="Garamond" w:hAnsi="Garamond" w:cs="Garamond"/>
          <w:spacing w:val="-11"/>
        </w:rPr>
        <w:t xml:space="preserve"> </w:t>
      </w:r>
      <w:r>
        <w:rPr>
          <w:rFonts w:ascii="Garamond" w:hAnsi="Garamond" w:cs="Garamond"/>
        </w:rPr>
        <w:t xml:space="preserve">each ACO will be asked to report on how it </w:t>
      </w:r>
      <w:r>
        <w:rPr>
          <w:rFonts w:ascii="Garamond" w:hAnsi="Garamond" w:cs="Garamond"/>
          <w:spacing w:val="-3"/>
        </w:rPr>
        <w:t xml:space="preserve">assesses </w:t>
      </w:r>
      <w:r>
        <w:rPr>
          <w:rFonts w:ascii="Garamond" w:hAnsi="Garamond" w:cs="Garamond"/>
        </w:rPr>
        <w:t xml:space="preserve">the </w:t>
      </w:r>
      <w:r>
        <w:rPr>
          <w:rFonts w:ascii="Garamond" w:hAnsi="Garamond" w:cs="Garamond"/>
          <w:spacing w:val="-3"/>
        </w:rPr>
        <w:t xml:space="preserve">needs </w:t>
      </w:r>
      <w:r>
        <w:rPr>
          <w:rFonts w:ascii="Garamond" w:hAnsi="Garamond" w:cs="Garamond"/>
        </w:rPr>
        <w:t xml:space="preserve">and preferences of its </w:t>
      </w:r>
      <w:r>
        <w:rPr>
          <w:rFonts w:ascii="Garamond" w:hAnsi="Garamond" w:cs="Garamond"/>
          <w:spacing w:val="-3"/>
        </w:rPr>
        <w:t xml:space="preserve">patient population </w:t>
      </w:r>
      <w:r>
        <w:rPr>
          <w:rFonts w:ascii="Garamond" w:hAnsi="Garamond" w:cs="Garamond"/>
        </w:rPr>
        <w:t>with regard</w:t>
      </w:r>
      <w:r>
        <w:rPr>
          <w:rFonts w:ascii="Garamond" w:hAnsi="Garamond" w:cs="Garamond"/>
          <w:spacing w:val="-8"/>
        </w:rPr>
        <w:t xml:space="preserve"> </w:t>
      </w:r>
      <w:r>
        <w:rPr>
          <w:rFonts w:ascii="Garamond" w:hAnsi="Garamond" w:cs="Garamond"/>
        </w:rPr>
        <w:t>to</w:t>
      </w:r>
      <w:r>
        <w:rPr>
          <w:rFonts w:ascii="Garamond" w:hAnsi="Garamond" w:cs="Garamond"/>
          <w:spacing w:val="-13"/>
        </w:rPr>
        <w:t xml:space="preserve"> </w:t>
      </w:r>
      <w:r>
        <w:rPr>
          <w:rFonts w:ascii="Garamond" w:hAnsi="Garamond" w:cs="Garamond"/>
        </w:rPr>
        <w:t>race,</w:t>
      </w:r>
      <w:r>
        <w:rPr>
          <w:rFonts w:ascii="Garamond" w:hAnsi="Garamond" w:cs="Garamond"/>
          <w:spacing w:val="-9"/>
        </w:rPr>
        <w:t xml:space="preserve"> </w:t>
      </w:r>
      <w:r>
        <w:rPr>
          <w:rFonts w:ascii="Garamond" w:hAnsi="Garamond" w:cs="Garamond"/>
        </w:rPr>
        <w:t>ethnicity,</w:t>
      </w:r>
      <w:r>
        <w:rPr>
          <w:rFonts w:ascii="Garamond" w:hAnsi="Garamond" w:cs="Garamond"/>
          <w:spacing w:val="-11"/>
        </w:rPr>
        <w:t xml:space="preserve"> </w:t>
      </w:r>
      <w:r>
        <w:rPr>
          <w:rFonts w:ascii="Garamond" w:hAnsi="Garamond" w:cs="Garamond"/>
        </w:rPr>
        <w:t>language,</w:t>
      </w:r>
      <w:r>
        <w:rPr>
          <w:rFonts w:ascii="Garamond" w:hAnsi="Garamond" w:cs="Garamond"/>
          <w:spacing w:val="-8"/>
        </w:rPr>
        <w:t xml:space="preserve"> </w:t>
      </w:r>
      <w:r>
        <w:rPr>
          <w:rFonts w:ascii="Garamond" w:hAnsi="Garamond" w:cs="Garamond"/>
        </w:rPr>
        <w:t>culture,</w:t>
      </w:r>
      <w:r>
        <w:rPr>
          <w:rFonts w:ascii="Garamond" w:hAnsi="Garamond" w:cs="Garamond"/>
          <w:spacing w:val="-11"/>
        </w:rPr>
        <w:t xml:space="preserve"> </w:t>
      </w:r>
      <w:r>
        <w:rPr>
          <w:rFonts w:ascii="Garamond" w:hAnsi="Garamond" w:cs="Garamond"/>
        </w:rPr>
        <w:t>literacy,</w:t>
      </w:r>
      <w:r>
        <w:rPr>
          <w:rFonts w:ascii="Garamond" w:hAnsi="Garamond" w:cs="Garamond"/>
          <w:spacing w:val="-9"/>
        </w:rPr>
        <w:t xml:space="preserve"> </w:t>
      </w:r>
      <w:r>
        <w:rPr>
          <w:rFonts w:ascii="Garamond" w:hAnsi="Garamond" w:cs="Garamond"/>
          <w:spacing w:val="-2"/>
        </w:rPr>
        <w:t>gender</w:t>
      </w:r>
      <w:r>
        <w:rPr>
          <w:rFonts w:ascii="Garamond" w:hAnsi="Garamond" w:cs="Garamond"/>
          <w:spacing w:val="-10"/>
        </w:rPr>
        <w:t xml:space="preserve"> </w:t>
      </w:r>
      <w:r>
        <w:rPr>
          <w:rFonts w:ascii="Garamond" w:hAnsi="Garamond" w:cs="Garamond"/>
        </w:rPr>
        <w:t>identity,</w:t>
      </w:r>
      <w:r>
        <w:rPr>
          <w:rFonts w:ascii="Garamond" w:hAnsi="Garamond" w:cs="Garamond"/>
          <w:spacing w:val="-13"/>
        </w:rPr>
        <w:t xml:space="preserve"> </w:t>
      </w:r>
      <w:r>
        <w:rPr>
          <w:rFonts w:ascii="Garamond" w:hAnsi="Garamond" w:cs="Garamond"/>
        </w:rPr>
        <w:t>sexual</w:t>
      </w:r>
      <w:r>
        <w:rPr>
          <w:rFonts w:ascii="Garamond" w:hAnsi="Garamond" w:cs="Garamond"/>
          <w:spacing w:val="-11"/>
        </w:rPr>
        <w:t xml:space="preserve"> </w:t>
      </w:r>
      <w:r>
        <w:rPr>
          <w:rFonts w:ascii="Garamond" w:hAnsi="Garamond" w:cs="Garamond"/>
        </w:rPr>
        <w:t>orientation,</w:t>
      </w:r>
      <w:r>
        <w:rPr>
          <w:rFonts w:ascii="Garamond" w:hAnsi="Garamond" w:cs="Garamond"/>
          <w:spacing w:val="-13"/>
        </w:rPr>
        <w:t xml:space="preserve"> </w:t>
      </w:r>
      <w:r>
        <w:rPr>
          <w:rFonts w:ascii="Garamond" w:hAnsi="Garamond" w:cs="Garamond"/>
        </w:rPr>
        <w:t>income,</w:t>
      </w:r>
      <w:r>
        <w:rPr>
          <w:rFonts w:ascii="Garamond" w:hAnsi="Garamond" w:cs="Garamond"/>
          <w:spacing w:val="-11"/>
        </w:rPr>
        <w:t xml:space="preserve"> </w:t>
      </w:r>
      <w:r>
        <w:rPr>
          <w:rFonts w:ascii="Garamond" w:hAnsi="Garamond" w:cs="Garamond"/>
        </w:rPr>
        <w:t>housing</w:t>
      </w:r>
      <w:r>
        <w:rPr>
          <w:rFonts w:ascii="Garamond" w:hAnsi="Garamond" w:cs="Garamond"/>
          <w:spacing w:val="-13"/>
        </w:rPr>
        <w:t xml:space="preserve"> </w:t>
      </w:r>
      <w:r>
        <w:rPr>
          <w:rFonts w:ascii="Garamond" w:hAnsi="Garamond" w:cs="Garamond"/>
        </w:rPr>
        <w:t xml:space="preserve">status, food insecurity history, and other characteristics, and </w:t>
      </w:r>
      <w:r>
        <w:rPr>
          <w:rFonts w:ascii="Garamond" w:hAnsi="Garamond" w:cs="Garamond"/>
          <w:spacing w:val="-3"/>
        </w:rPr>
        <w:t xml:space="preserve">how </w:t>
      </w:r>
      <w:r>
        <w:rPr>
          <w:rFonts w:ascii="Garamond" w:hAnsi="Garamond" w:cs="Garamond"/>
        </w:rPr>
        <w:t xml:space="preserve">it uses this information to inform its </w:t>
      </w:r>
      <w:r>
        <w:rPr>
          <w:rFonts w:ascii="Garamond" w:hAnsi="Garamond" w:cs="Garamond"/>
          <w:spacing w:val="-3"/>
        </w:rPr>
        <w:t xml:space="preserve">operations </w:t>
      </w:r>
      <w:r>
        <w:rPr>
          <w:rFonts w:ascii="Garamond" w:hAnsi="Garamond" w:cs="Garamond"/>
        </w:rPr>
        <w:t>and care delivery to patients (Criterion 2, Required Supplemental Information Questions). We urge MassHealth</w:t>
      </w:r>
      <w:r>
        <w:rPr>
          <w:rFonts w:ascii="Garamond" w:hAnsi="Garamond" w:cs="Garamond"/>
          <w:spacing w:val="-5"/>
        </w:rPr>
        <w:t xml:space="preserve"> </w:t>
      </w:r>
      <w:r>
        <w:rPr>
          <w:rFonts w:ascii="Garamond" w:hAnsi="Garamond" w:cs="Garamond"/>
        </w:rPr>
        <w:t>to</w:t>
      </w:r>
      <w:r>
        <w:rPr>
          <w:rFonts w:ascii="Garamond" w:hAnsi="Garamond" w:cs="Garamond"/>
          <w:spacing w:val="-8"/>
        </w:rPr>
        <w:t xml:space="preserve"> </w:t>
      </w:r>
      <w:r>
        <w:rPr>
          <w:rFonts w:ascii="Garamond" w:hAnsi="Garamond" w:cs="Garamond"/>
        </w:rPr>
        <w:t>ensure</w:t>
      </w:r>
      <w:r>
        <w:rPr>
          <w:rFonts w:ascii="Garamond" w:hAnsi="Garamond" w:cs="Garamond"/>
          <w:spacing w:val="-8"/>
        </w:rPr>
        <w:t xml:space="preserve"> </w:t>
      </w:r>
      <w:r>
        <w:rPr>
          <w:rFonts w:ascii="Garamond" w:hAnsi="Garamond" w:cs="Garamond"/>
        </w:rPr>
        <w:t>that</w:t>
      </w:r>
      <w:r>
        <w:rPr>
          <w:rFonts w:ascii="Garamond" w:hAnsi="Garamond" w:cs="Garamond"/>
          <w:spacing w:val="-7"/>
        </w:rPr>
        <w:t xml:space="preserve"> </w:t>
      </w:r>
      <w:r>
        <w:rPr>
          <w:rFonts w:ascii="Garamond" w:hAnsi="Garamond" w:cs="Garamond"/>
          <w:spacing w:val="-3"/>
        </w:rPr>
        <w:t>each</w:t>
      </w:r>
      <w:r>
        <w:rPr>
          <w:rFonts w:ascii="Garamond" w:hAnsi="Garamond" w:cs="Garamond"/>
          <w:spacing w:val="-7"/>
        </w:rPr>
        <w:t xml:space="preserve"> </w:t>
      </w:r>
      <w:r>
        <w:rPr>
          <w:rFonts w:ascii="Garamond" w:hAnsi="Garamond" w:cs="Garamond"/>
        </w:rPr>
        <w:t>ACO</w:t>
      </w:r>
      <w:r>
        <w:rPr>
          <w:rFonts w:ascii="Garamond" w:hAnsi="Garamond" w:cs="Garamond"/>
          <w:spacing w:val="-7"/>
        </w:rPr>
        <w:t xml:space="preserve"> </w:t>
      </w:r>
      <w:r>
        <w:rPr>
          <w:rFonts w:ascii="Garamond" w:hAnsi="Garamond" w:cs="Garamond"/>
        </w:rPr>
        <w:t>meets</w:t>
      </w:r>
      <w:r>
        <w:rPr>
          <w:rFonts w:ascii="Garamond" w:hAnsi="Garamond" w:cs="Garamond"/>
          <w:spacing w:val="-4"/>
        </w:rPr>
        <w:t xml:space="preserve"> </w:t>
      </w:r>
      <w:r>
        <w:rPr>
          <w:rFonts w:ascii="Garamond" w:hAnsi="Garamond" w:cs="Garamond"/>
        </w:rPr>
        <w:t>this</w:t>
      </w:r>
      <w:r>
        <w:rPr>
          <w:rFonts w:ascii="Garamond" w:hAnsi="Garamond" w:cs="Garamond"/>
          <w:spacing w:val="-7"/>
        </w:rPr>
        <w:t xml:space="preserve"> </w:t>
      </w:r>
      <w:r>
        <w:rPr>
          <w:rFonts w:ascii="Garamond" w:hAnsi="Garamond" w:cs="Garamond"/>
        </w:rPr>
        <w:t>requirement</w:t>
      </w:r>
      <w:r>
        <w:rPr>
          <w:rFonts w:ascii="Garamond" w:hAnsi="Garamond" w:cs="Garamond"/>
          <w:spacing w:val="-5"/>
        </w:rPr>
        <w:t xml:space="preserve"> </w:t>
      </w:r>
      <w:r>
        <w:rPr>
          <w:rFonts w:ascii="Garamond" w:hAnsi="Garamond" w:cs="Garamond"/>
        </w:rPr>
        <w:t>so</w:t>
      </w:r>
      <w:r>
        <w:rPr>
          <w:rFonts w:ascii="Garamond" w:hAnsi="Garamond" w:cs="Garamond"/>
          <w:spacing w:val="-5"/>
        </w:rPr>
        <w:t xml:space="preserve"> </w:t>
      </w:r>
      <w:r>
        <w:rPr>
          <w:rFonts w:ascii="Garamond" w:hAnsi="Garamond" w:cs="Garamond"/>
        </w:rPr>
        <w:t>that</w:t>
      </w:r>
      <w:r>
        <w:rPr>
          <w:rFonts w:ascii="Garamond" w:hAnsi="Garamond" w:cs="Garamond"/>
          <w:spacing w:val="-7"/>
        </w:rPr>
        <w:t xml:space="preserve"> </w:t>
      </w:r>
      <w:r>
        <w:rPr>
          <w:rFonts w:ascii="Garamond" w:hAnsi="Garamond" w:cs="Garamond"/>
          <w:spacing w:val="-3"/>
        </w:rPr>
        <w:t>ACOs</w:t>
      </w:r>
      <w:r>
        <w:rPr>
          <w:rFonts w:ascii="Garamond" w:hAnsi="Garamond" w:cs="Garamond"/>
          <w:spacing w:val="-7"/>
        </w:rPr>
        <w:t xml:space="preserve"> </w:t>
      </w:r>
      <w:r>
        <w:rPr>
          <w:rFonts w:ascii="Garamond" w:hAnsi="Garamond" w:cs="Garamond"/>
        </w:rPr>
        <w:t>understand</w:t>
      </w:r>
      <w:r>
        <w:rPr>
          <w:rFonts w:ascii="Garamond" w:hAnsi="Garamond" w:cs="Garamond"/>
          <w:spacing w:val="-5"/>
        </w:rPr>
        <w:t xml:space="preserve"> </w:t>
      </w:r>
      <w:r>
        <w:rPr>
          <w:rFonts w:ascii="Garamond" w:hAnsi="Garamond" w:cs="Garamond"/>
        </w:rPr>
        <w:t>key</w:t>
      </w:r>
      <w:r>
        <w:rPr>
          <w:rFonts w:ascii="Garamond" w:hAnsi="Garamond" w:cs="Garamond"/>
          <w:spacing w:val="-8"/>
        </w:rPr>
        <w:t xml:space="preserve"> </w:t>
      </w:r>
      <w:r>
        <w:rPr>
          <w:rFonts w:ascii="Garamond" w:hAnsi="Garamond" w:cs="Garamond"/>
        </w:rPr>
        <w:t>barriers</w:t>
      </w:r>
      <w:r>
        <w:rPr>
          <w:rFonts w:ascii="Garamond" w:hAnsi="Garamond" w:cs="Garamond"/>
          <w:spacing w:val="-4"/>
        </w:rPr>
        <w:t xml:space="preserve"> </w:t>
      </w:r>
      <w:r>
        <w:rPr>
          <w:rFonts w:ascii="Garamond" w:hAnsi="Garamond" w:cs="Garamond"/>
        </w:rPr>
        <w:t>to</w:t>
      </w:r>
      <w:r>
        <w:rPr>
          <w:rFonts w:ascii="Garamond" w:hAnsi="Garamond" w:cs="Garamond"/>
          <w:spacing w:val="-10"/>
        </w:rPr>
        <w:t xml:space="preserve"> </w:t>
      </w:r>
      <w:r>
        <w:rPr>
          <w:rFonts w:ascii="Garamond" w:hAnsi="Garamond" w:cs="Garamond"/>
        </w:rPr>
        <w:t>health and</w:t>
      </w:r>
      <w:r>
        <w:rPr>
          <w:rFonts w:ascii="Garamond" w:hAnsi="Garamond" w:cs="Garamond"/>
          <w:spacing w:val="-8"/>
        </w:rPr>
        <w:t xml:space="preserve"> </w:t>
      </w:r>
      <w:r>
        <w:rPr>
          <w:rFonts w:ascii="Garamond" w:hAnsi="Garamond" w:cs="Garamond"/>
        </w:rPr>
        <w:t>how</w:t>
      </w:r>
      <w:r>
        <w:rPr>
          <w:rFonts w:ascii="Garamond" w:hAnsi="Garamond" w:cs="Garamond"/>
          <w:spacing w:val="-8"/>
        </w:rPr>
        <w:t xml:space="preserve"> </w:t>
      </w:r>
      <w:r>
        <w:rPr>
          <w:rFonts w:ascii="Garamond" w:hAnsi="Garamond" w:cs="Garamond"/>
        </w:rPr>
        <w:t>those</w:t>
      </w:r>
      <w:r>
        <w:rPr>
          <w:rFonts w:ascii="Garamond" w:hAnsi="Garamond" w:cs="Garamond"/>
          <w:spacing w:val="-8"/>
        </w:rPr>
        <w:t xml:space="preserve"> </w:t>
      </w:r>
      <w:r>
        <w:rPr>
          <w:rFonts w:ascii="Garamond" w:hAnsi="Garamond" w:cs="Garamond"/>
        </w:rPr>
        <w:t>barriers</w:t>
      </w:r>
      <w:r>
        <w:rPr>
          <w:rFonts w:ascii="Garamond" w:hAnsi="Garamond" w:cs="Garamond"/>
          <w:spacing w:val="-7"/>
        </w:rPr>
        <w:t xml:space="preserve"> </w:t>
      </w:r>
      <w:r>
        <w:rPr>
          <w:rFonts w:ascii="Garamond" w:hAnsi="Garamond" w:cs="Garamond"/>
        </w:rPr>
        <w:t>are</w:t>
      </w:r>
      <w:r>
        <w:rPr>
          <w:rFonts w:ascii="Garamond" w:hAnsi="Garamond" w:cs="Garamond"/>
          <w:spacing w:val="-8"/>
        </w:rPr>
        <w:t xml:space="preserve"> </w:t>
      </w:r>
      <w:r>
        <w:rPr>
          <w:rFonts w:ascii="Garamond" w:hAnsi="Garamond" w:cs="Garamond"/>
        </w:rPr>
        <w:t>distributed</w:t>
      </w:r>
      <w:r>
        <w:rPr>
          <w:rFonts w:ascii="Garamond" w:hAnsi="Garamond" w:cs="Garamond"/>
          <w:spacing w:val="-5"/>
        </w:rPr>
        <w:t xml:space="preserve"> </w:t>
      </w:r>
      <w:r>
        <w:rPr>
          <w:rFonts w:ascii="Garamond" w:hAnsi="Garamond" w:cs="Garamond"/>
        </w:rPr>
        <w:t>across</w:t>
      </w:r>
      <w:r>
        <w:rPr>
          <w:rFonts w:ascii="Garamond" w:hAnsi="Garamond" w:cs="Garamond"/>
          <w:spacing w:val="-4"/>
        </w:rPr>
        <w:t xml:space="preserve"> </w:t>
      </w:r>
      <w:r>
        <w:rPr>
          <w:rFonts w:ascii="Garamond" w:hAnsi="Garamond" w:cs="Garamond"/>
        </w:rPr>
        <w:t>its</w:t>
      </w:r>
      <w:r>
        <w:rPr>
          <w:rFonts w:ascii="Garamond" w:hAnsi="Garamond" w:cs="Garamond"/>
          <w:spacing w:val="-7"/>
        </w:rPr>
        <w:t xml:space="preserve"> </w:t>
      </w:r>
      <w:r>
        <w:rPr>
          <w:rFonts w:ascii="Garamond" w:hAnsi="Garamond" w:cs="Garamond"/>
        </w:rPr>
        <w:t>member</w:t>
      </w:r>
      <w:r>
        <w:rPr>
          <w:rFonts w:ascii="Garamond" w:hAnsi="Garamond" w:cs="Garamond"/>
          <w:spacing w:val="-8"/>
        </w:rPr>
        <w:t xml:space="preserve"> </w:t>
      </w:r>
      <w:r>
        <w:rPr>
          <w:rFonts w:ascii="Garamond" w:hAnsi="Garamond" w:cs="Garamond"/>
        </w:rPr>
        <w:t>population.</w:t>
      </w:r>
      <w:r>
        <w:rPr>
          <w:rFonts w:ascii="Garamond" w:hAnsi="Garamond" w:cs="Garamond"/>
          <w:spacing w:val="-5"/>
        </w:rPr>
        <w:t xml:space="preserve"> </w:t>
      </w:r>
      <w:r>
        <w:rPr>
          <w:rFonts w:ascii="Garamond" w:hAnsi="Garamond" w:cs="Garamond"/>
          <w:spacing w:val="-3"/>
        </w:rPr>
        <w:t>ACOs</w:t>
      </w:r>
      <w:r>
        <w:rPr>
          <w:rFonts w:ascii="Garamond" w:hAnsi="Garamond" w:cs="Garamond"/>
          <w:spacing w:val="-10"/>
        </w:rPr>
        <w:t xml:space="preserve"> </w:t>
      </w:r>
      <w:r>
        <w:rPr>
          <w:rFonts w:ascii="Garamond" w:hAnsi="Garamond" w:cs="Garamond"/>
        </w:rPr>
        <w:t>should</w:t>
      </w:r>
      <w:r>
        <w:rPr>
          <w:rFonts w:ascii="Garamond" w:hAnsi="Garamond" w:cs="Garamond"/>
          <w:spacing w:val="-5"/>
        </w:rPr>
        <w:t xml:space="preserve"> </w:t>
      </w:r>
      <w:r>
        <w:rPr>
          <w:rFonts w:ascii="Garamond" w:hAnsi="Garamond" w:cs="Garamond"/>
          <w:spacing w:val="-3"/>
        </w:rPr>
        <w:t>work</w:t>
      </w:r>
      <w:r>
        <w:rPr>
          <w:rFonts w:ascii="Garamond" w:hAnsi="Garamond" w:cs="Garamond"/>
          <w:spacing w:val="-8"/>
        </w:rPr>
        <w:t xml:space="preserve"> </w:t>
      </w:r>
      <w:r>
        <w:rPr>
          <w:rFonts w:ascii="Garamond" w:hAnsi="Garamond" w:cs="Garamond"/>
        </w:rPr>
        <w:t>jointly</w:t>
      </w:r>
      <w:r>
        <w:rPr>
          <w:rFonts w:ascii="Garamond" w:hAnsi="Garamond" w:cs="Garamond"/>
          <w:spacing w:val="-8"/>
        </w:rPr>
        <w:t xml:space="preserve"> </w:t>
      </w:r>
      <w:r>
        <w:rPr>
          <w:rFonts w:ascii="Garamond" w:hAnsi="Garamond" w:cs="Garamond"/>
        </w:rPr>
        <w:t>with</w:t>
      </w:r>
      <w:r>
        <w:rPr>
          <w:rFonts w:ascii="Garamond" w:hAnsi="Garamond" w:cs="Garamond"/>
          <w:spacing w:val="-9"/>
        </w:rPr>
        <w:t xml:space="preserve"> </w:t>
      </w:r>
      <w:r>
        <w:rPr>
          <w:rFonts w:ascii="Garamond" w:hAnsi="Garamond" w:cs="Garamond"/>
        </w:rPr>
        <w:t>BH</w:t>
      </w:r>
      <w:r>
        <w:rPr>
          <w:rFonts w:ascii="Garamond" w:hAnsi="Garamond" w:cs="Garamond"/>
          <w:spacing w:val="-5"/>
        </w:rPr>
        <w:t xml:space="preserve"> </w:t>
      </w:r>
      <w:r>
        <w:rPr>
          <w:rFonts w:ascii="Garamond" w:hAnsi="Garamond" w:cs="Garamond"/>
          <w:spacing w:val="-3"/>
        </w:rPr>
        <w:t xml:space="preserve">and </w:t>
      </w:r>
      <w:r>
        <w:rPr>
          <w:rFonts w:ascii="Garamond" w:hAnsi="Garamond" w:cs="Garamond"/>
        </w:rPr>
        <w:t xml:space="preserve">LTSS </w:t>
      </w:r>
      <w:r>
        <w:rPr>
          <w:rFonts w:ascii="Garamond" w:hAnsi="Garamond" w:cs="Garamond"/>
          <w:spacing w:val="-3"/>
        </w:rPr>
        <w:t xml:space="preserve">CPs </w:t>
      </w:r>
      <w:r>
        <w:rPr>
          <w:rFonts w:ascii="Garamond" w:hAnsi="Garamond" w:cs="Garamond"/>
        </w:rPr>
        <w:t>to collect this</w:t>
      </w:r>
      <w:r>
        <w:rPr>
          <w:rFonts w:ascii="Garamond" w:hAnsi="Garamond" w:cs="Garamond"/>
          <w:spacing w:val="-34"/>
        </w:rPr>
        <w:t xml:space="preserve"> </w:t>
      </w:r>
      <w:r>
        <w:rPr>
          <w:rFonts w:ascii="Garamond" w:hAnsi="Garamond" w:cs="Garamond"/>
        </w:rPr>
        <w:t>information.</w:t>
      </w:r>
    </w:p>
    <w:p w:rsidR="002C5025" w:rsidRDefault="002C5025">
      <w:pPr>
        <w:pStyle w:val="BodyText"/>
        <w:kinsoku w:val="0"/>
        <w:overflowPunct w:val="0"/>
        <w:rPr>
          <w:rFonts w:ascii="Garamond" w:hAnsi="Garamond" w:cs="Garamond"/>
          <w:sz w:val="20"/>
          <w:szCs w:val="20"/>
        </w:rPr>
      </w:pPr>
    </w:p>
    <w:p w:rsidR="002C5025" w:rsidRDefault="002C5025">
      <w:pPr>
        <w:pStyle w:val="BodyText"/>
        <w:kinsoku w:val="0"/>
        <w:overflowPunct w:val="0"/>
        <w:rPr>
          <w:rFonts w:ascii="Garamond" w:hAnsi="Garamond" w:cs="Garamond"/>
          <w:sz w:val="20"/>
          <w:szCs w:val="20"/>
        </w:rPr>
      </w:pPr>
    </w:p>
    <w:p w:rsidR="002C5025" w:rsidRDefault="002C5025">
      <w:pPr>
        <w:pStyle w:val="BodyText"/>
        <w:kinsoku w:val="0"/>
        <w:overflowPunct w:val="0"/>
        <w:spacing w:before="9"/>
        <w:rPr>
          <w:rFonts w:ascii="Garamond" w:hAnsi="Garamond" w:cs="Garamond"/>
          <w:sz w:val="29"/>
          <w:szCs w:val="29"/>
        </w:rPr>
      </w:pPr>
    </w:p>
    <w:p w:rsidR="002C5025" w:rsidRDefault="002C5025">
      <w:pPr>
        <w:pStyle w:val="BodyText"/>
        <w:kinsoku w:val="0"/>
        <w:overflowPunct w:val="0"/>
        <w:spacing w:before="80"/>
        <w:ind w:left="576" w:right="432"/>
        <w:jc w:val="center"/>
        <w:rPr>
          <w:rFonts w:ascii="Garamond" w:hAnsi="Garamond" w:cs="Garamond"/>
          <w:sz w:val="20"/>
          <w:szCs w:val="20"/>
        </w:rPr>
      </w:pPr>
      <w:r>
        <w:rPr>
          <w:rFonts w:ascii="Garamond" w:hAnsi="Garamond" w:cs="Garamond"/>
          <w:sz w:val="20"/>
          <w:szCs w:val="20"/>
        </w:rPr>
        <w:t>24</w:t>
      </w:r>
    </w:p>
    <w:p w:rsidR="002C5025" w:rsidRDefault="002C5025">
      <w:pPr>
        <w:pStyle w:val="BodyText"/>
        <w:kinsoku w:val="0"/>
        <w:overflowPunct w:val="0"/>
        <w:spacing w:before="80"/>
        <w:ind w:left="576" w:right="432"/>
        <w:jc w:val="center"/>
        <w:rPr>
          <w:rFonts w:ascii="Garamond" w:hAnsi="Garamond" w:cs="Garamond"/>
          <w:sz w:val="20"/>
          <w:szCs w:val="20"/>
        </w:rPr>
        <w:sectPr w:rsidR="002C5025">
          <w:pgSz w:w="12240" w:h="15840"/>
          <w:pgMar w:top="1400" w:right="1460" w:bottom="280" w:left="1320" w:header="720" w:footer="720" w:gutter="0"/>
          <w:cols w:space="720" w:equalWidth="0">
            <w:col w:w="9460"/>
          </w:cols>
          <w:noEndnote/>
        </w:sectPr>
      </w:pPr>
    </w:p>
    <w:p w:rsidR="002C5025" w:rsidRDefault="002C5025">
      <w:pPr>
        <w:pStyle w:val="BodyText"/>
        <w:kinsoku w:val="0"/>
        <w:overflowPunct w:val="0"/>
        <w:spacing w:before="60"/>
        <w:ind w:left="118" w:right="178" w:firstLine="1"/>
        <w:rPr>
          <w:rFonts w:ascii="Garamond" w:hAnsi="Garamond" w:cs="Garamond"/>
        </w:rPr>
      </w:pPr>
      <w:r>
        <w:rPr>
          <w:rFonts w:ascii="Garamond" w:hAnsi="Garamond" w:cs="Garamond"/>
        </w:rPr>
        <w:lastRenderedPageBreak/>
        <w:t xml:space="preserve">Having a comprehensive set of sociodemographic data for the </w:t>
      </w:r>
      <w:r>
        <w:rPr>
          <w:rFonts w:ascii="Garamond" w:hAnsi="Garamond" w:cs="Garamond"/>
          <w:spacing w:val="-3"/>
        </w:rPr>
        <w:t xml:space="preserve">ACO’s </w:t>
      </w:r>
      <w:r>
        <w:rPr>
          <w:rFonts w:ascii="Garamond" w:hAnsi="Garamond" w:cs="Garamond"/>
        </w:rPr>
        <w:t xml:space="preserve">patient population is also necessary to effectively conduct risk stratification, implement targeted population health programs, engage in </w:t>
      </w:r>
      <w:r>
        <w:rPr>
          <w:rFonts w:ascii="Garamond" w:hAnsi="Garamond" w:cs="Garamond"/>
          <w:spacing w:val="-3"/>
        </w:rPr>
        <w:t xml:space="preserve">ongoing </w:t>
      </w:r>
      <w:r>
        <w:rPr>
          <w:rFonts w:ascii="Garamond" w:hAnsi="Garamond" w:cs="Garamond"/>
        </w:rPr>
        <w:t xml:space="preserve">collaborations and referrals with community-based organizations and providers, and partner with </w:t>
      </w:r>
      <w:r>
        <w:rPr>
          <w:rFonts w:ascii="Garamond" w:hAnsi="Garamond" w:cs="Garamond"/>
          <w:spacing w:val="-3"/>
        </w:rPr>
        <w:t xml:space="preserve">and </w:t>
      </w:r>
      <w:r>
        <w:rPr>
          <w:rFonts w:ascii="Garamond" w:hAnsi="Garamond" w:cs="Garamond"/>
        </w:rPr>
        <w:t>invest in community health programs.</w:t>
      </w:r>
    </w:p>
    <w:p w:rsidR="002C5025" w:rsidRDefault="002C5025">
      <w:pPr>
        <w:pStyle w:val="BodyText"/>
        <w:kinsoku w:val="0"/>
        <w:overflowPunct w:val="0"/>
        <w:spacing w:before="5"/>
        <w:rPr>
          <w:rFonts w:ascii="Garamond" w:hAnsi="Garamond" w:cs="Garamond"/>
          <w:sz w:val="21"/>
          <w:szCs w:val="21"/>
        </w:rPr>
      </w:pPr>
    </w:p>
    <w:p w:rsidR="002C5025" w:rsidRDefault="002C5025">
      <w:pPr>
        <w:pStyle w:val="BodyText"/>
        <w:kinsoku w:val="0"/>
        <w:overflowPunct w:val="0"/>
        <w:spacing w:line="264" w:lineRule="exact"/>
        <w:ind w:left="120" w:right="83"/>
        <w:rPr>
          <w:rFonts w:ascii="Garamond" w:hAnsi="Garamond" w:cs="Garamond"/>
          <w:b/>
          <w:bCs/>
          <w:i/>
          <w:iCs/>
          <w:w w:val="90"/>
          <w:sz w:val="24"/>
          <w:szCs w:val="24"/>
        </w:rPr>
      </w:pPr>
      <w:r>
        <w:rPr>
          <w:rFonts w:ascii="Garamond" w:hAnsi="Garamond" w:cs="Garamond"/>
          <w:b/>
          <w:bCs/>
          <w:i/>
          <w:iCs/>
          <w:w w:val="90"/>
          <w:sz w:val="24"/>
          <w:szCs w:val="24"/>
        </w:rPr>
        <w:t>Risk stratification</w:t>
      </w:r>
    </w:p>
    <w:p w:rsidR="002C5025" w:rsidRDefault="002C5025">
      <w:pPr>
        <w:pStyle w:val="BodyText"/>
        <w:kinsoku w:val="0"/>
        <w:overflowPunct w:val="0"/>
        <w:ind w:left="118" w:right="83" w:firstLine="1"/>
        <w:rPr>
          <w:rFonts w:ascii="Garamond" w:hAnsi="Garamond" w:cs="Garamond"/>
        </w:rPr>
      </w:pPr>
      <w:r>
        <w:rPr>
          <w:rFonts w:ascii="Garamond" w:hAnsi="Garamond" w:cs="Garamond"/>
        </w:rPr>
        <w:t>To</w:t>
      </w:r>
      <w:r>
        <w:rPr>
          <w:rFonts w:ascii="Garamond" w:hAnsi="Garamond" w:cs="Garamond"/>
          <w:spacing w:val="-7"/>
        </w:rPr>
        <w:t xml:space="preserve"> </w:t>
      </w:r>
      <w:r>
        <w:rPr>
          <w:rFonts w:ascii="Garamond" w:hAnsi="Garamond" w:cs="Garamond"/>
        </w:rPr>
        <w:t>achieve</w:t>
      </w:r>
      <w:r>
        <w:rPr>
          <w:rFonts w:ascii="Garamond" w:hAnsi="Garamond" w:cs="Garamond"/>
          <w:spacing w:val="-9"/>
        </w:rPr>
        <w:t xml:space="preserve"> </w:t>
      </w:r>
      <w:r>
        <w:rPr>
          <w:rFonts w:ascii="Garamond" w:hAnsi="Garamond" w:cs="Garamond"/>
        </w:rPr>
        <w:t>more</w:t>
      </w:r>
      <w:r>
        <w:rPr>
          <w:rFonts w:ascii="Garamond" w:hAnsi="Garamond" w:cs="Garamond"/>
          <w:spacing w:val="-7"/>
        </w:rPr>
        <w:t xml:space="preserve"> </w:t>
      </w:r>
      <w:r>
        <w:rPr>
          <w:rFonts w:ascii="Garamond" w:hAnsi="Garamond" w:cs="Garamond"/>
        </w:rPr>
        <w:t>equitable</w:t>
      </w:r>
      <w:r>
        <w:rPr>
          <w:rFonts w:ascii="Garamond" w:hAnsi="Garamond" w:cs="Garamond"/>
          <w:spacing w:val="-12"/>
        </w:rPr>
        <w:t xml:space="preserve"> </w:t>
      </w:r>
      <w:r>
        <w:rPr>
          <w:rFonts w:ascii="Garamond" w:hAnsi="Garamond" w:cs="Garamond"/>
        </w:rPr>
        <w:t>health</w:t>
      </w:r>
      <w:r>
        <w:rPr>
          <w:rFonts w:ascii="Garamond" w:hAnsi="Garamond" w:cs="Garamond"/>
          <w:spacing w:val="-7"/>
        </w:rPr>
        <w:t xml:space="preserve"> </w:t>
      </w:r>
      <w:r>
        <w:rPr>
          <w:rFonts w:ascii="Garamond" w:hAnsi="Garamond" w:cs="Garamond"/>
        </w:rPr>
        <w:t>outcomes,</w:t>
      </w:r>
      <w:r>
        <w:rPr>
          <w:rFonts w:ascii="Garamond" w:hAnsi="Garamond" w:cs="Garamond"/>
          <w:spacing w:val="-7"/>
        </w:rPr>
        <w:t xml:space="preserve"> </w:t>
      </w:r>
      <w:r>
        <w:rPr>
          <w:rFonts w:ascii="Garamond" w:hAnsi="Garamond" w:cs="Garamond"/>
        </w:rPr>
        <w:t>it</w:t>
      </w:r>
      <w:r>
        <w:rPr>
          <w:rFonts w:ascii="Garamond" w:hAnsi="Garamond" w:cs="Garamond"/>
          <w:spacing w:val="-8"/>
        </w:rPr>
        <w:t xml:space="preserve"> </w:t>
      </w:r>
      <w:r>
        <w:rPr>
          <w:rFonts w:ascii="Garamond" w:hAnsi="Garamond" w:cs="Garamond"/>
        </w:rPr>
        <w:t>is</w:t>
      </w:r>
      <w:r>
        <w:rPr>
          <w:rFonts w:ascii="Garamond" w:hAnsi="Garamond" w:cs="Garamond"/>
          <w:spacing w:val="-8"/>
        </w:rPr>
        <w:t xml:space="preserve"> </w:t>
      </w:r>
      <w:r>
        <w:rPr>
          <w:rFonts w:ascii="Garamond" w:hAnsi="Garamond" w:cs="Garamond"/>
        </w:rPr>
        <w:t>crucial</w:t>
      </w:r>
      <w:r>
        <w:rPr>
          <w:rFonts w:ascii="Garamond" w:hAnsi="Garamond" w:cs="Garamond"/>
          <w:spacing w:val="-9"/>
        </w:rPr>
        <w:t xml:space="preserve"> </w:t>
      </w:r>
      <w:r>
        <w:rPr>
          <w:rFonts w:ascii="Garamond" w:hAnsi="Garamond" w:cs="Garamond"/>
        </w:rPr>
        <w:t>that</w:t>
      </w:r>
      <w:r>
        <w:rPr>
          <w:rFonts w:ascii="Garamond" w:hAnsi="Garamond" w:cs="Garamond"/>
          <w:spacing w:val="-7"/>
        </w:rPr>
        <w:t xml:space="preserve"> </w:t>
      </w:r>
      <w:r>
        <w:rPr>
          <w:rFonts w:ascii="Garamond" w:hAnsi="Garamond" w:cs="Garamond"/>
          <w:spacing w:val="-3"/>
        </w:rPr>
        <w:t>ACOs</w:t>
      </w:r>
      <w:r>
        <w:rPr>
          <w:rFonts w:ascii="Garamond" w:hAnsi="Garamond" w:cs="Garamond"/>
          <w:spacing w:val="-6"/>
        </w:rPr>
        <w:t xml:space="preserve"> </w:t>
      </w:r>
      <w:r>
        <w:rPr>
          <w:rFonts w:ascii="Garamond" w:hAnsi="Garamond" w:cs="Garamond"/>
        </w:rPr>
        <w:t>incorporate</w:t>
      </w:r>
      <w:r>
        <w:rPr>
          <w:rFonts w:ascii="Garamond" w:hAnsi="Garamond" w:cs="Garamond"/>
          <w:spacing w:val="-7"/>
        </w:rPr>
        <w:t xml:space="preserve"> </w:t>
      </w:r>
      <w:r>
        <w:rPr>
          <w:rFonts w:ascii="Garamond" w:hAnsi="Garamond" w:cs="Garamond"/>
        </w:rPr>
        <w:t>disparity</w:t>
      </w:r>
      <w:r>
        <w:rPr>
          <w:rFonts w:ascii="Garamond" w:hAnsi="Garamond" w:cs="Garamond"/>
          <w:spacing w:val="-9"/>
        </w:rPr>
        <w:t xml:space="preserve"> </w:t>
      </w:r>
      <w:r>
        <w:rPr>
          <w:rFonts w:ascii="Garamond" w:hAnsi="Garamond" w:cs="Garamond"/>
        </w:rPr>
        <w:t>reduction</w:t>
      </w:r>
      <w:r>
        <w:rPr>
          <w:rFonts w:ascii="Garamond" w:hAnsi="Garamond" w:cs="Garamond"/>
          <w:spacing w:val="-7"/>
        </w:rPr>
        <w:t xml:space="preserve"> </w:t>
      </w:r>
      <w:r>
        <w:rPr>
          <w:rFonts w:ascii="Garamond" w:hAnsi="Garamond" w:cs="Garamond"/>
        </w:rPr>
        <w:t>goals</w:t>
      </w:r>
      <w:r>
        <w:rPr>
          <w:rFonts w:ascii="Garamond" w:hAnsi="Garamond" w:cs="Garamond"/>
          <w:spacing w:val="-6"/>
        </w:rPr>
        <w:t xml:space="preserve"> </w:t>
      </w:r>
      <w:r>
        <w:rPr>
          <w:rFonts w:ascii="Garamond" w:hAnsi="Garamond" w:cs="Garamond"/>
        </w:rPr>
        <w:t>into overall</w:t>
      </w:r>
      <w:r>
        <w:rPr>
          <w:rFonts w:ascii="Garamond" w:hAnsi="Garamond" w:cs="Garamond"/>
          <w:spacing w:val="-11"/>
        </w:rPr>
        <w:t xml:space="preserve"> </w:t>
      </w:r>
      <w:r>
        <w:rPr>
          <w:rFonts w:ascii="Garamond" w:hAnsi="Garamond" w:cs="Garamond"/>
        </w:rPr>
        <w:t>quality</w:t>
      </w:r>
      <w:r>
        <w:rPr>
          <w:rFonts w:ascii="Garamond" w:hAnsi="Garamond" w:cs="Garamond"/>
          <w:spacing w:val="-11"/>
        </w:rPr>
        <w:t xml:space="preserve"> </w:t>
      </w:r>
      <w:r>
        <w:rPr>
          <w:rFonts w:ascii="Garamond" w:hAnsi="Garamond" w:cs="Garamond"/>
        </w:rPr>
        <w:t>improvement</w:t>
      </w:r>
      <w:r>
        <w:rPr>
          <w:rFonts w:ascii="Garamond" w:hAnsi="Garamond" w:cs="Garamond"/>
          <w:spacing w:val="-12"/>
        </w:rPr>
        <w:t xml:space="preserve"> </w:t>
      </w:r>
      <w:r>
        <w:rPr>
          <w:rFonts w:ascii="Garamond" w:hAnsi="Garamond" w:cs="Garamond"/>
        </w:rPr>
        <w:t>goals</w:t>
      </w:r>
      <w:r>
        <w:rPr>
          <w:rFonts w:ascii="Garamond" w:hAnsi="Garamond" w:cs="Garamond"/>
          <w:spacing w:val="-8"/>
        </w:rPr>
        <w:t xml:space="preserve"> </w:t>
      </w:r>
      <w:r>
        <w:rPr>
          <w:rFonts w:ascii="Garamond" w:hAnsi="Garamond" w:cs="Garamond"/>
        </w:rPr>
        <w:t>and</w:t>
      </w:r>
      <w:r>
        <w:rPr>
          <w:rFonts w:ascii="Garamond" w:hAnsi="Garamond" w:cs="Garamond"/>
          <w:spacing w:val="-9"/>
        </w:rPr>
        <w:t xml:space="preserve"> </w:t>
      </w:r>
      <w:r>
        <w:rPr>
          <w:rFonts w:ascii="Garamond" w:hAnsi="Garamond" w:cs="Garamond"/>
        </w:rPr>
        <w:t>adopt</w:t>
      </w:r>
      <w:r>
        <w:rPr>
          <w:rFonts w:ascii="Garamond" w:hAnsi="Garamond" w:cs="Garamond"/>
          <w:spacing w:val="-13"/>
        </w:rPr>
        <w:t xml:space="preserve"> </w:t>
      </w:r>
      <w:r>
        <w:rPr>
          <w:rFonts w:ascii="Garamond" w:hAnsi="Garamond" w:cs="Garamond"/>
        </w:rPr>
        <w:t>tools</w:t>
      </w:r>
      <w:r>
        <w:rPr>
          <w:rFonts w:ascii="Garamond" w:hAnsi="Garamond" w:cs="Garamond"/>
          <w:spacing w:val="-8"/>
        </w:rPr>
        <w:t xml:space="preserve"> </w:t>
      </w:r>
      <w:r>
        <w:rPr>
          <w:rFonts w:ascii="Garamond" w:hAnsi="Garamond" w:cs="Garamond"/>
        </w:rPr>
        <w:t>that</w:t>
      </w:r>
      <w:r>
        <w:rPr>
          <w:rFonts w:ascii="Garamond" w:hAnsi="Garamond" w:cs="Garamond"/>
          <w:spacing w:val="-13"/>
        </w:rPr>
        <w:t xml:space="preserve"> </w:t>
      </w:r>
      <w:r>
        <w:rPr>
          <w:rFonts w:ascii="Garamond" w:hAnsi="Garamond" w:cs="Garamond"/>
        </w:rPr>
        <w:t>support</w:t>
      </w:r>
      <w:r>
        <w:rPr>
          <w:rFonts w:ascii="Garamond" w:hAnsi="Garamond" w:cs="Garamond"/>
          <w:spacing w:val="-13"/>
        </w:rPr>
        <w:t xml:space="preserve"> </w:t>
      </w:r>
      <w:r>
        <w:rPr>
          <w:rFonts w:ascii="Garamond" w:hAnsi="Garamond" w:cs="Garamond"/>
        </w:rPr>
        <w:t>disparities</w:t>
      </w:r>
      <w:r>
        <w:rPr>
          <w:rFonts w:ascii="Garamond" w:hAnsi="Garamond" w:cs="Garamond"/>
          <w:spacing w:val="-11"/>
        </w:rPr>
        <w:t xml:space="preserve"> </w:t>
      </w:r>
      <w:r>
        <w:rPr>
          <w:rFonts w:ascii="Garamond" w:hAnsi="Garamond" w:cs="Garamond"/>
        </w:rPr>
        <w:t>measurement</w:t>
      </w:r>
      <w:r>
        <w:rPr>
          <w:rFonts w:ascii="Garamond" w:hAnsi="Garamond" w:cs="Garamond"/>
          <w:spacing w:val="-9"/>
        </w:rPr>
        <w:t xml:space="preserve"> </w:t>
      </w:r>
      <w:r>
        <w:rPr>
          <w:rFonts w:ascii="Garamond" w:hAnsi="Garamond" w:cs="Garamond"/>
        </w:rPr>
        <w:t>and</w:t>
      </w:r>
      <w:r>
        <w:rPr>
          <w:rFonts w:ascii="Garamond" w:hAnsi="Garamond" w:cs="Garamond"/>
          <w:spacing w:val="-9"/>
        </w:rPr>
        <w:t xml:space="preserve"> </w:t>
      </w:r>
      <w:r>
        <w:rPr>
          <w:rFonts w:ascii="Garamond" w:hAnsi="Garamond" w:cs="Garamond"/>
        </w:rPr>
        <w:t>interventions.</w:t>
      </w:r>
      <w:r>
        <w:rPr>
          <w:rFonts w:ascii="Garamond" w:hAnsi="Garamond" w:cs="Garamond"/>
          <w:spacing w:val="-10"/>
        </w:rPr>
        <w:t xml:space="preserve"> </w:t>
      </w:r>
      <w:r>
        <w:rPr>
          <w:rFonts w:ascii="Garamond" w:hAnsi="Garamond" w:cs="Garamond"/>
          <w:spacing w:val="-4"/>
        </w:rPr>
        <w:t xml:space="preserve">As </w:t>
      </w:r>
      <w:r>
        <w:rPr>
          <w:rFonts w:ascii="Garamond" w:hAnsi="Garamond" w:cs="Garamond"/>
        </w:rPr>
        <w:t xml:space="preserve">indicated in our comments </w:t>
      </w:r>
      <w:r>
        <w:rPr>
          <w:rFonts w:ascii="Garamond" w:hAnsi="Garamond" w:cs="Garamond"/>
          <w:spacing w:val="-3"/>
        </w:rPr>
        <w:t xml:space="preserve">on </w:t>
      </w:r>
      <w:r>
        <w:rPr>
          <w:rFonts w:ascii="Garamond" w:hAnsi="Garamond" w:cs="Garamond"/>
        </w:rPr>
        <w:t>quality metrics, outcomes and other quality indicators should be stratified by social</w:t>
      </w:r>
      <w:r>
        <w:rPr>
          <w:rFonts w:ascii="Garamond" w:hAnsi="Garamond" w:cs="Garamond"/>
          <w:spacing w:val="-10"/>
        </w:rPr>
        <w:t xml:space="preserve"> </w:t>
      </w:r>
      <w:r>
        <w:rPr>
          <w:rFonts w:ascii="Garamond" w:hAnsi="Garamond" w:cs="Garamond"/>
        </w:rPr>
        <w:t>determinants</w:t>
      </w:r>
      <w:r>
        <w:rPr>
          <w:rFonts w:ascii="Garamond" w:hAnsi="Garamond" w:cs="Garamond"/>
          <w:spacing w:val="-9"/>
        </w:rPr>
        <w:t xml:space="preserve"> </w:t>
      </w:r>
      <w:r>
        <w:rPr>
          <w:rFonts w:ascii="Garamond" w:hAnsi="Garamond" w:cs="Garamond"/>
        </w:rPr>
        <w:t>of</w:t>
      </w:r>
      <w:r>
        <w:rPr>
          <w:rFonts w:ascii="Garamond" w:hAnsi="Garamond" w:cs="Garamond"/>
          <w:spacing w:val="-9"/>
        </w:rPr>
        <w:t xml:space="preserve"> </w:t>
      </w:r>
      <w:r>
        <w:rPr>
          <w:rFonts w:ascii="Garamond" w:hAnsi="Garamond" w:cs="Garamond"/>
        </w:rPr>
        <w:t>health</w:t>
      </w:r>
      <w:r>
        <w:rPr>
          <w:rFonts w:ascii="Garamond" w:hAnsi="Garamond" w:cs="Garamond"/>
          <w:spacing w:val="-11"/>
        </w:rPr>
        <w:t xml:space="preserve"> </w:t>
      </w:r>
      <w:r>
        <w:rPr>
          <w:rFonts w:ascii="Garamond" w:hAnsi="Garamond" w:cs="Garamond"/>
        </w:rPr>
        <w:t>factors</w:t>
      </w:r>
      <w:r>
        <w:rPr>
          <w:rFonts w:ascii="Garamond" w:hAnsi="Garamond" w:cs="Garamond"/>
          <w:spacing w:val="-6"/>
        </w:rPr>
        <w:t xml:space="preserve"> </w:t>
      </w:r>
      <w:r>
        <w:rPr>
          <w:rFonts w:ascii="Garamond" w:hAnsi="Garamond" w:cs="Garamond"/>
        </w:rPr>
        <w:t>in</w:t>
      </w:r>
      <w:r>
        <w:rPr>
          <w:rFonts w:ascii="Garamond" w:hAnsi="Garamond" w:cs="Garamond"/>
          <w:spacing w:val="-10"/>
        </w:rPr>
        <w:t xml:space="preserve"> </w:t>
      </w:r>
      <w:r>
        <w:rPr>
          <w:rFonts w:ascii="Garamond" w:hAnsi="Garamond" w:cs="Garamond"/>
        </w:rPr>
        <w:t>order</w:t>
      </w:r>
      <w:r>
        <w:rPr>
          <w:rFonts w:ascii="Garamond" w:hAnsi="Garamond" w:cs="Garamond"/>
          <w:spacing w:val="-9"/>
        </w:rPr>
        <w:t xml:space="preserve"> </w:t>
      </w:r>
      <w:r>
        <w:rPr>
          <w:rFonts w:ascii="Garamond" w:hAnsi="Garamond" w:cs="Garamond"/>
        </w:rPr>
        <w:t>to</w:t>
      </w:r>
      <w:r>
        <w:rPr>
          <w:rFonts w:ascii="Garamond" w:hAnsi="Garamond" w:cs="Garamond"/>
          <w:spacing w:val="-10"/>
        </w:rPr>
        <w:t xml:space="preserve"> </w:t>
      </w:r>
      <w:r>
        <w:rPr>
          <w:rFonts w:ascii="Garamond" w:hAnsi="Garamond" w:cs="Garamond"/>
        </w:rPr>
        <w:t>appropriately</w:t>
      </w:r>
      <w:r>
        <w:rPr>
          <w:rFonts w:ascii="Garamond" w:hAnsi="Garamond" w:cs="Garamond"/>
          <w:spacing w:val="-10"/>
        </w:rPr>
        <w:t xml:space="preserve"> </w:t>
      </w:r>
      <w:r>
        <w:rPr>
          <w:rFonts w:ascii="Garamond" w:hAnsi="Garamond" w:cs="Garamond"/>
        </w:rPr>
        <w:t>target</w:t>
      </w:r>
      <w:r>
        <w:rPr>
          <w:rFonts w:ascii="Garamond" w:hAnsi="Garamond" w:cs="Garamond"/>
          <w:spacing w:val="-7"/>
        </w:rPr>
        <w:t xml:space="preserve"> </w:t>
      </w:r>
      <w:r>
        <w:rPr>
          <w:rFonts w:ascii="Garamond" w:hAnsi="Garamond" w:cs="Garamond"/>
          <w:spacing w:val="-3"/>
        </w:rPr>
        <w:t>population</w:t>
      </w:r>
      <w:r>
        <w:rPr>
          <w:rFonts w:ascii="Garamond" w:hAnsi="Garamond" w:cs="Garamond"/>
          <w:spacing w:val="-10"/>
        </w:rPr>
        <w:t xml:space="preserve"> </w:t>
      </w:r>
      <w:r>
        <w:rPr>
          <w:rFonts w:ascii="Garamond" w:hAnsi="Garamond" w:cs="Garamond"/>
        </w:rPr>
        <w:t>health</w:t>
      </w:r>
      <w:r>
        <w:rPr>
          <w:rFonts w:ascii="Garamond" w:hAnsi="Garamond" w:cs="Garamond"/>
          <w:spacing w:val="-10"/>
        </w:rPr>
        <w:t xml:space="preserve"> </w:t>
      </w:r>
      <w:r>
        <w:rPr>
          <w:rFonts w:ascii="Garamond" w:hAnsi="Garamond" w:cs="Garamond"/>
        </w:rPr>
        <w:t>interventions,</w:t>
      </w:r>
      <w:r>
        <w:rPr>
          <w:rFonts w:ascii="Garamond" w:hAnsi="Garamond" w:cs="Garamond"/>
          <w:spacing w:val="-10"/>
        </w:rPr>
        <w:t xml:space="preserve"> </w:t>
      </w:r>
      <w:r>
        <w:rPr>
          <w:rFonts w:ascii="Garamond" w:hAnsi="Garamond" w:cs="Garamond"/>
        </w:rPr>
        <w:t>uncover and</w:t>
      </w:r>
      <w:r>
        <w:rPr>
          <w:rFonts w:ascii="Garamond" w:hAnsi="Garamond" w:cs="Garamond"/>
          <w:spacing w:val="-9"/>
        </w:rPr>
        <w:t xml:space="preserve"> </w:t>
      </w:r>
      <w:r>
        <w:rPr>
          <w:rFonts w:ascii="Garamond" w:hAnsi="Garamond" w:cs="Garamond"/>
        </w:rPr>
        <w:t>address</w:t>
      </w:r>
      <w:r>
        <w:rPr>
          <w:rFonts w:ascii="Garamond" w:hAnsi="Garamond" w:cs="Garamond"/>
          <w:spacing w:val="-6"/>
        </w:rPr>
        <w:t xml:space="preserve"> </w:t>
      </w:r>
      <w:r>
        <w:rPr>
          <w:rFonts w:ascii="Garamond" w:hAnsi="Garamond" w:cs="Garamond"/>
        </w:rPr>
        <w:t>health</w:t>
      </w:r>
      <w:r>
        <w:rPr>
          <w:rFonts w:ascii="Garamond" w:hAnsi="Garamond" w:cs="Garamond"/>
          <w:spacing w:val="-9"/>
        </w:rPr>
        <w:t xml:space="preserve"> </w:t>
      </w:r>
      <w:r>
        <w:rPr>
          <w:rFonts w:ascii="Garamond" w:hAnsi="Garamond" w:cs="Garamond"/>
        </w:rPr>
        <w:t>disparities,</w:t>
      </w:r>
      <w:r>
        <w:rPr>
          <w:rFonts w:ascii="Garamond" w:hAnsi="Garamond" w:cs="Garamond"/>
          <w:spacing w:val="-9"/>
        </w:rPr>
        <w:t xml:space="preserve"> </w:t>
      </w:r>
      <w:r>
        <w:rPr>
          <w:rFonts w:ascii="Garamond" w:hAnsi="Garamond" w:cs="Garamond"/>
        </w:rPr>
        <w:t>and</w:t>
      </w:r>
      <w:r>
        <w:rPr>
          <w:rFonts w:ascii="Garamond" w:hAnsi="Garamond" w:cs="Garamond"/>
          <w:spacing w:val="-7"/>
        </w:rPr>
        <w:t xml:space="preserve"> </w:t>
      </w:r>
      <w:r>
        <w:rPr>
          <w:rFonts w:ascii="Garamond" w:hAnsi="Garamond" w:cs="Garamond"/>
        </w:rPr>
        <w:t>improve</w:t>
      </w:r>
      <w:r>
        <w:rPr>
          <w:rFonts w:ascii="Garamond" w:hAnsi="Garamond" w:cs="Garamond"/>
          <w:spacing w:val="-9"/>
        </w:rPr>
        <w:t xml:space="preserve"> </w:t>
      </w:r>
      <w:r>
        <w:rPr>
          <w:rFonts w:ascii="Garamond" w:hAnsi="Garamond" w:cs="Garamond"/>
        </w:rPr>
        <w:t>how</w:t>
      </w:r>
      <w:r>
        <w:rPr>
          <w:rFonts w:ascii="Garamond" w:hAnsi="Garamond" w:cs="Garamond"/>
          <w:spacing w:val="-8"/>
        </w:rPr>
        <w:t xml:space="preserve"> </w:t>
      </w:r>
      <w:r>
        <w:rPr>
          <w:rFonts w:ascii="Garamond" w:hAnsi="Garamond" w:cs="Garamond"/>
          <w:spacing w:val="-3"/>
        </w:rPr>
        <w:t>ACOs</w:t>
      </w:r>
      <w:r>
        <w:rPr>
          <w:rFonts w:ascii="Garamond" w:hAnsi="Garamond" w:cs="Garamond"/>
          <w:spacing w:val="-9"/>
        </w:rPr>
        <w:t xml:space="preserve"> </w:t>
      </w:r>
      <w:r>
        <w:rPr>
          <w:rFonts w:ascii="Garamond" w:hAnsi="Garamond" w:cs="Garamond"/>
        </w:rPr>
        <w:t>deliver</w:t>
      </w:r>
      <w:r>
        <w:rPr>
          <w:rFonts w:ascii="Garamond" w:hAnsi="Garamond" w:cs="Garamond"/>
          <w:spacing w:val="-7"/>
        </w:rPr>
        <w:t xml:space="preserve"> </w:t>
      </w:r>
      <w:r>
        <w:rPr>
          <w:rFonts w:ascii="Garamond" w:hAnsi="Garamond" w:cs="Garamond"/>
        </w:rPr>
        <w:t>care.</w:t>
      </w:r>
    </w:p>
    <w:p w:rsidR="002C5025" w:rsidRDefault="002C5025">
      <w:pPr>
        <w:pStyle w:val="BodyText"/>
        <w:kinsoku w:val="0"/>
        <w:overflowPunct w:val="0"/>
        <w:spacing w:before="1"/>
        <w:rPr>
          <w:rFonts w:ascii="Garamond" w:hAnsi="Garamond" w:cs="Garamond"/>
        </w:rPr>
      </w:pPr>
    </w:p>
    <w:p w:rsidR="002C5025" w:rsidRDefault="002C5025">
      <w:pPr>
        <w:pStyle w:val="BodyText"/>
        <w:kinsoku w:val="0"/>
        <w:overflowPunct w:val="0"/>
        <w:spacing w:before="1"/>
        <w:ind w:left="115" w:right="158" w:firstLine="2"/>
        <w:rPr>
          <w:rFonts w:ascii="Garamond" w:hAnsi="Garamond" w:cs="Garamond"/>
          <w:spacing w:val="-3"/>
        </w:rPr>
      </w:pPr>
      <w:r>
        <w:rPr>
          <w:rFonts w:ascii="Garamond" w:hAnsi="Garamond" w:cs="Garamond"/>
        </w:rPr>
        <w:t xml:space="preserve">We recommend that ACOs also include social determinants of health in approaches for risk stratification </w:t>
      </w:r>
      <w:r>
        <w:rPr>
          <w:rFonts w:ascii="Garamond" w:hAnsi="Garamond" w:cs="Garamond"/>
          <w:spacing w:val="-5"/>
        </w:rPr>
        <w:t xml:space="preserve">of </w:t>
      </w:r>
      <w:r>
        <w:rPr>
          <w:rFonts w:ascii="Garamond" w:hAnsi="Garamond" w:cs="Garamond"/>
        </w:rPr>
        <w:t xml:space="preserve">its member population, </w:t>
      </w:r>
      <w:r>
        <w:rPr>
          <w:rFonts w:ascii="Garamond" w:hAnsi="Garamond" w:cs="Garamond"/>
          <w:spacing w:val="-4"/>
        </w:rPr>
        <w:t xml:space="preserve">which </w:t>
      </w:r>
      <w:r>
        <w:rPr>
          <w:rFonts w:ascii="Garamond" w:hAnsi="Garamond" w:cs="Garamond"/>
        </w:rPr>
        <w:t xml:space="preserve">could include factors such as homelessness or unstable housing, age, primary language, race and ethnicity, disability and functional status, activities of daily living, </w:t>
      </w:r>
      <w:r>
        <w:rPr>
          <w:rFonts w:ascii="Garamond" w:hAnsi="Garamond" w:cs="Garamond"/>
          <w:spacing w:val="-4"/>
        </w:rPr>
        <w:t xml:space="preserve">geography, </w:t>
      </w:r>
      <w:r>
        <w:rPr>
          <w:rFonts w:ascii="Garamond" w:hAnsi="Garamond" w:cs="Garamond"/>
        </w:rPr>
        <w:t>gender identity</w:t>
      </w:r>
      <w:r>
        <w:rPr>
          <w:rFonts w:ascii="Garamond" w:hAnsi="Garamond" w:cs="Garamond"/>
          <w:spacing w:val="-10"/>
        </w:rPr>
        <w:t xml:space="preserve"> </w:t>
      </w:r>
      <w:r>
        <w:rPr>
          <w:rFonts w:ascii="Garamond" w:hAnsi="Garamond" w:cs="Garamond"/>
        </w:rPr>
        <w:t>and</w:t>
      </w:r>
      <w:r>
        <w:rPr>
          <w:rFonts w:ascii="Garamond" w:hAnsi="Garamond" w:cs="Garamond"/>
          <w:spacing w:val="-10"/>
        </w:rPr>
        <w:t xml:space="preserve"> </w:t>
      </w:r>
      <w:r>
        <w:rPr>
          <w:rFonts w:ascii="Garamond" w:hAnsi="Garamond" w:cs="Garamond"/>
        </w:rPr>
        <w:t>sexual</w:t>
      </w:r>
      <w:r>
        <w:rPr>
          <w:rFonts w:ascii="Garamond" w:hAnsi="Garamond" w:cs="Garamond"/>
          <w:spacing w:val="-8"/>
        </w:rPr>
        <w:t xml:space="preserve"> </w:t>
      </w:r>
      <w:r>
        <w:rPr>
          <w:rFonts w:ascii="Garamond" w:hAnsi="Garamond" w:cs="Garamond"/>
        </w:rPr>
        <w:t>orientation,</w:t>
      </w:r>
      <w:r>
        <w:rPr>
          <w:rFonts w:ascii="Garamond" w:hAnsi="Garamond" w:cs="Garamond"/>
          <w:spacing w:val="-10"/>
        </w:rPr>
        <w:t xml:space="preserve"> </w:t>
      </w:r>
      <w:r>
        <w:rPr>
          <w:rFonts w:ascii="Garamond" w:hAnsi="Garamond" w:cs="Garamond"/>
        </w:rPr>
        <w:t>and</w:t>
      </w:r>
      <w:r>
        <w:rPr>
          <w:rFonts w:ascii="Garamond" w:hAnsi="Garamond" w:cs="Garamond"/>
          <w:spacing w:val="-10"/>
        </w:rPr>
        <w:t xml:space="preserve"> </w:t>
      </w:r>
      <w:r>
        <w:rPr>
          <w:rFonts w:ascii="Garamond" w:hAnsi="Garamond" w:cs="Garamond"/>
        </w:rPr>
        <w:t>health</w:t>
      </w:r>
      <w:r>
        <w:rPr>
          <w:rFonts w:ascii="Garamond" w:hAnsi="Garamond" w:cs="Garamond"/>
          <w:spacing w:val="-8"/>
        </w:rPr>
        <w:t xml:space="preserve"> </w:t>
      </w:r>
      <w:r>
        <w:rPr>
          <w:rFonts w:ascii="Garamond" w:hAnsi="Garamond" w:cs="Garamond"/>
        </w:rPr>
        <w:t>literacy.</w:t>
      </w:r>
      <w:r>
        <w:rPr>
          <w:rFonts w:ascii="Garamond" w:hAnsi="Garamond" w:cs="Garamond"/>
          <w:spacing w:val="-12"/>
        </w:rPr>
        <w:t xml:space="preserve"> </w:t>
      </w:r>
      <w:r>
        <w:rPr>
          <w:rFonts w:ascii="Garamond" w:hAnsi="Garamond" w:cs="Garamond"/>
        </w:rPr>
        <w:t>Once</w:t>
      </w:r>
      <w:r>
        <w:rPr>
          <w:rFonts w:ascii="Garamond" w:hAnsi="Garamond" w:cs="Garamond"/>
          <w:spacing w:val="-13"/>
        </w:rPr>
        <w:t xml:space="preserve"> </w:t>
      </w:r>
      <w:r>
        <w:rPr>
          <w:rFonts w:ascii="Garamond" w:hAnsi="Garamond" w:cs="Garamond"/>
        </w:rPr>
        <w:t>collected,</w:t>
      </w:r>
      <w:r>
        <w:rPr>
          <w:rFonts w:ascii="Garamond" w:hAnsi="Garamond" w:cs="Garamond"/>
          <w:spacing w:val="-10"/>
        </w:rPr>
        <w:t xml:space="preserve"> </w:t>
      </w:r>
      <w:r>
        <w:rPr>
          <w:rFonts w:ascii="Garamond" w:hAnsi="Garamond" w:cs="Garamond"/>
        </w:rPr>
        <w:t>this</w:t>
      </w:r>
      <w:r>
        <w:rPr>
          <w:rFonts w:ascii="Garamond" w:hAnsi="Garamond" w:cs="Garamond"/>
          <w:spacing w:val="-7"/>
        </w:rPr>
        <w:t xml:space="preserve"> </w:t>
      </w:r>
      <w:r>
        <w:rPr>
          <w:rFonts w:ascii="Garamond" w:hAnsi="Garamond" w:cs="Garamond"/>
        </w:rPr>
        <w:t>information</w:t>
      </w:r>
      <w:r>
        <w:rPr>
          <w:rFonts w:ascii="Garamond" w:hAnsi="Garamond" w:cs="Garamond"/>
          <w:spacing w:val="-12"/>
        </w:rPr>
        <w:t xml:space="preserve"> </w:t>
      </w:r>
      <w:r>
        <w:rPr>
          <w:rFonts w:ascii="Garamond" w:hAnsi="Garamond" w:cs="Garamond"/>
        </w:rPr>
        <w:t>should</w:t>
      </w:r>
      <w:r>
        <w:rPr>
          <w:rFonts w:ascii="Garamond" w:hAnsi="Garamond" w:cs="Garamond"/>
          <w:spacing w:val="-8"/>
        </w:rPr>
        <w:t xml:space="preserve"> </w:t>
      </w:r>
      <w:r>
        <w:rPr>
          <w:rFonts w:ascii="Garamond" w:hAnsi="Garamond" w:cs="Garamond"/>
        </w:rPr>
        <w:t>be</w:t>
      </w:r>
      <w:r>
        <w:rPr>
          <w:rFonts w:ascii="Garamond" w:hAnsi="Garamond" w:cs="Garamond"/>
          <w:spacing w:val="-10"/>
        </w:rPr>
        <w:t xml:space="preserve"> </w:t>
      </w:r>
      <w:r>
        <w:rPr>
          <w:rFonts w:ascii="Garamond" w:hAnsi="Garamond" w:cs="Garamond"/>
        </w:rPr>
        <w:t>made</w:t>
      </w:r>
      <w:r>
        <w:rPr>
          <w:rFonts w:ascii="Garamond" w:hAnsi="Garamond" w:cs="Garamond"/>
          <w:spacing w:val="-10"/>
        </w:rPr>
        <w:t xml:space="preserve"> </w:t>
      </w:r>
      <w:r>
        <w:rPr>
          <w:rFonts w:ascii="Garamond" w:hAnsi="Garamond" w:cs="Garamond"/>
        </w:rPr>
        <w:t xml:space="preserve">publically available. Reporting this data will allow MassHealth and the public to assess how well ACOs are serving the entire spectrum of ACO members. Ultimately, as risk stratification tools are developed and tested over time, ACOs should use a standardized methodology for risk stratification in order to make meaningful comparisons </w:t>
      </w:r>
      <w:r>
        <w:rPr>
          <w:rFonts w:ascii="Garamond" w:hAnsi="Garamond" w:cs="Garamond"/>
          <w:spacing w:val="-3"/>
        </w:rPr>
        <w:t xml:space="preserve">across </w:t>
      </w:r>
      <w:r>
        <w:rPr>
          <w:rFonts w:ascii="Garamond" w:hAnsi="Garamond" w:cs="Garamond"/>
        </w:rPr>
        <w:t>the Commonwealth’s</w:t>
      </w:r>
      <w:r>
        <w:rPr>
          <w:rFonts w:ascii="Garamond" w:hAnsi="Garamond" w:cs="Garamond"/>
          <w:spacing w:val="-21"/>
        </w:rPr>
        <w:t xml:space="preserve"> </w:t>
      </w:r>
      <w:r>
        <w:rPr>
          <w:rFonts w:ascii="Garamond" w:hAnsi="Garamond" w:cs="Garamond"/>
          <w:spacing w:val="-3"/>
        </w:rPr>
        <w:t>ACOs.</w:t>
      </w:r>
    </w:p>
    <w:p w:rsidR="002C5025" w:rsidRDefault="002C5025">
      <w:pPr>
        <w:pStyle w:val="BodyText"/>
        <w:kinsoku w:val="0"/>
        <w:overflowPunct w:val="0"/>
        <w:spacing w:before="1"/>
        <w:rPr>
          <w:rFonts w:ascii="Garamond" w:hAnsi="Garamond" w:cs="Garamond"/>
        </w:rPr>
      </w:pPr>
    </w:p>
    <w:p w:rsidR="002C5025" w:rsidRDefault="002C5025">
      <w:pPr>
        <w:pStyle w:val="BodyText"/>
        <w:kinsoku w:val="0"/>
        <w:overflowPunct w:val="0"/>
        <w:ind w:left="115" w:right="269"/>
        <w:rPr>
          <w:rFonts w:ascii="Garamond" w:hAnsi="Garamond" w:cs="Garamond"/>
          <w:spacing w:val="-3"/>
        </w:rPr>
      </w:pPr>
      <w:r>
        <w:rPr>
          <w:rFonts w:ascii="Garamond" w:hAnsi="Garamond" w:cs="Garamond"/>
        </w:rPr>
        <w:t xml:space="preserve">Each ACO should use this data to develop and </w:t>
      </w:r>
      <w:r>
        <w:rPr>
          <w:rFonts w:ascii="Garamond" w:hAnsi="Garamond" w:cs="Garamond"/>
          <w:spacing w:val="-4"/>
        </w:rPr>
        <w:t xml:space="preserve">implement </w:t>
      </w:r>
      <w:r>
        <w:rPr>
          <w:rFonts w:ascii="Garamond" w:hAnsi="Garamond" w:cs="Garamond"/>
        </w:rPr>
        <w:t xml:space="preserve">programs targeted at addressing </w:t>
      </w:r>
      <w:r>
        <w:rPr>
          <w:rFonts w:ascii="Garamond" w:hAnsi="Garamond" w:cs="Garamond"/>
          <w:spacing w:val="-2"/>
        </w:rPr>
        <w:t xml:space="preserve">social </w:t>
      </w:r>
      <w:r>
        <w:rPr>
          <w:rFonts w:ascii="Garamond" w:hAnsi="Garamond" w:cs="Garamond"/>
        </w:rPr>
        <w:t xml:space="preserve">determinants of health and improving health </w:t>
      </w:r>
      <w:r>
        <w:rPr>
          <w:rFonts w:ascii="Garamond" w:hAnsi="Garamond" w:cs="Garamond"/>
          <w:spacing w:val="-3"/>
        </w:rPr>
        <w:t xml:space="preserve">outcomes </w:t>
      </w:r>
      <w:r>
        <w:rPr>
          <w:rFonts w:ascii="Garamond" w:hAnsi="Garamond" w:cs="Garamond"/>
        </w:rPr>
        <w:t xml:space="preserve">for its patient population, as called for in the HPC’s ACO certification criteria (Assessment Criteria #5), </w:t>
      </w:r>
      <w:r>
        <w:rPr>
          <w:rFonts w:ascii="Garamond" w:hAnsi="Garamond" w:cs="Garamond"/>
          <w:spacing w:val="-3"/>
        </w:rPr>
        <w:t xml:space="preserve">which </w:t>
      </w:r>
      <w:r>
        <w:rPr>
          <w:rFonts w:ascii="Garamond" w:hAnsi="Garamond" w:cs="Garamond"/>
        </w:rPr>
        <w:t xml:space="preserve">MassHealth </w:t>
      </w:r>
      <w:r>
        <w:rPr>
          <w:rFonts w:ascii="Garamond" w:hAnsi="Garamond" w:cs="Garamond"/>
          <w:spacing w:val="-3"/>
        </w:rPr>
        <w:t xml:space="preserve">ACOs </w:t>
      </w:r>
      <w:r>
        <w:rPr>
          <w:rFonts w:ascii="Garamond" w:hAnsi="Garamond" w:cs="Garamond"/>
        </w:rPr>
        <w:t xml:space="preserve">will also be required to meet. ACOs should describe how programs address the specific identified social </w:t>
      </w:r>
      <w:r>
        <w:rPr>
          <w:rFonts w:ascii="Garamond" w:hAnsi="Garamond" w:cs="Garamond"/>
          <w:spacing w:val="-3"/>
        </w:rPr>
        <w:t xml:space="preserve">needs </w:t>
      </w:r>
      <w:r>
        <w:rPr>
          <w:rFonts w:ascii="Garamond" w:hAnsi="Garamond" w:cs="Garamond"/>
        </w:rPr>
        <w:t xml:space="preserve">for their </w:t>
      </w:r>
      <w:r>
        <w:rPr>
          <w:rFonts w:ascii="Garamond" w:hAnsi="Garamond" w:cs="Garamond"/>
          <w:spacing w:val="-3"/>
        </w:rPr>
        <w:t>population.</w:t>
      </w:r>
    </w:p>
    <w:p w:rsidR="002C5025" w:rsidRDefault="002C5025">
      <w:pPr>
        <w:pStyle w:val="BodyText"/>
        <w:kinsoku w:val="0"/>
        <w:overflowPunct w:val="0"/>
        <w:spacing w:before="5"/>
        <w:rPr>
          <w:rFonts w:ascii="Garamond" w:hAnsi="Garamond" w:cs="Garamond"/>
        </w:rPr>
      </w:pPr>
    </w:p>
    <w:p w:rsidR="002C5025" w:rsidRDefault="002C5025">
      <w:pPr>
        <w:pStyle w:val="BodyText"/>
        <w:kinsoku w:val="0"/>
        <w:overflowPunct w:val="0"/>
        <w:spacing w:line="244" w:lineRule="exact"/>
        <w:ind w:left="120" w:right="83"/>
        <w:rPr>
          <w:rFonts w:ascii="Garamond" w:hAnsi="Garamond" w:cs="Garamond"/>
          <w:b/>
          <w:bCs/>
        </w:rPr>
      </w:pPr>
      <w:bookmarkStart w:id="177" w:name="Risk_Adjustment"/>
      <w:bookmarkEnd w:id="177"/>
      <w:r>
        <w:rPr>
          <w:rFonts w:ascii="Garamond" w:hAnsi="Garamond" w:cs="Garamond"/>
          <w:b/>
          <w:bCs/>
          <w:u w:val="single" w:color="000000"/>
        </w:rPr>
        <w:t>Risk Adjustment</w:t>
      </w:r>
    </w:p>
    <w:p w:rsidR="002C5025" w:rsidRDefault="002C5025">
      <w:pPr>
        <w:pStyle w:val="BodyText"/>
        <w:kinsoku w:val="0"/>
        <w:overflowPunct w:val="0"/>
        <w:ind w:left="118" w:right="225" w:firstLine="2"/>
        <w:rPr>
          <w:rFonts w:ascii="Garamond" w:hAnsi="Garamond" w:cs="Garamond"/>
        </w:rPr>
      </w:pPr>
      <w:r>
        <w:rPr>
          <w:rFonts w:ascii="Garamond" w:hAnsi="Garamond" w:cs="Garamond"/>
        </w:rPr>
        <w:t xml:space="preserve">Costs of care vary substantially among individuals with similar medical conditions but varying social and economic profiles. If these factors are not taken into account, ACOs will face increased risk and instability from caring for more vulnerable or disadvantaged members. Payment adjustments must guard against disincentives for ACO providers to care for high-risk members or incentives for limiting care. We can learn from the One Care </w:t>
      </w:r>
      <w:r>
        <w:rPr>
          <w:rFonts w:ascii="Garamond" w:hAnsi="Garamond" w:cs="Garamond"/>
          <w:spacing w:val="-3"/>
        </w:rPr>
        <w:t xml:space="preserve">program, </w:t>
      </w:r>
      <w:r>
        <w:rPr>
          <w:rFonts w:ascii="Garamond" w:hAnsi="Garamond" w:cs="Garamond"/>
        </w:rPr>
        <w:t xml:space="preserve">which has faced challenges in financing because payments were </w:t>
      </w:r>
      <w:r>
        <w:rPr>
          <w:rFonts w:ascii="Garamond" w:hAnsi="Garamond" w:cs="Garamond"/>
          <w:spacing w:val="-3"/>
        </w:rPr>
        <w:t xml:space="preserve">not </w:t>
      </w:r>
      <w:r>
        <w:rPr>
          <w:rFonts w:ascii="Garamond" w:hAnsi="Garamond" w:cs="Garamond"/>
        </w:rPr>
        <w:t xml:space="preserve">adequately adjusted to account for the needs of the population being served. We therefore recommend that the ACO payment models incorporate some of the social determinants of health when risk adjusting for total </w:t>
      </w:r>
      <w:r>
        <w:rPr>
          <w:rFonts w:ascii="Garamond" w:hAnsi="Garamond" w:cs="Garamond"/>
          <w:spacing w:val="-3"/>
        </w:rPr>
        <w:t xml:space="preserve">cost </w:t>
      </w:r>
      <w:r>
        <w:rPr>
          <w:rFonts w:ascii="Garamond" w:hAnsi="Garamond" w:cs="Garamond"/>
        </w:rPr>
        <w:t>of care.</w:t>
      </w:r>
    </w:p>
    <w:p w:rsidR="002C5025" w:rsidRDefault="002C5025">
      <w:pPr>
        <w:pStyle w:val="BodyText"/>
        <w:kinsoku w:val="0"/>
        <w:overflowPunct w:val="0"/>
        <w:spacing w:before="1"/>
        <w:rPr>
          <w:rFonts w:ascii="Garamond" w:hAnsi="Garamond" w:cs="Garamond"/>
        </w:rPr>
      </w:pPr>
    </w:p>
    <w:p w:rsidR="002C5025" w:rsidRDefault="002C5025">
      <w:pPr>
        <w:pStyle w:val="BodyText"/>
        <w:kinsoku w:val="0"/>
        <w:overflowPunct w:val="0"/>
        <w:ind w:left="117" w:right="83"/>
        <w:rPr>
          <w:rFonts w:ascii="Garamond" w:hAnsi="Garamond" w:cs="Garamond"/>
          <w:spacing w:val="-3"/>
        </w:rPr>
      </w:pPr>
      <w:r>
        <w:rPr>
          <w:rFonts w:ascii="Garamond" w:hAnsi="Garamond" w:cs="Garamond"/>
        </w:rPr>
        <w:t>Further,</w:t>
      </w:r>
      <w:r>
        <w:rPr>
          <w:rFonts w:ascii="Garamond" w:hAnsi="Garamond" w:cs="Garamond"/>
          <w:spacing w:val="-11"/>
        </w:rPr>
        <w:t xml:space="preserve"> </w:t>
      </w:r>
      <w:r>
        <w:rPr>
          <w:rFonts w:ascii="Garamond" w:hAnsi="Garamond" w:cs="Garamond"/>
        </w:rPr>
        <w:t>risk</w:t>
      </w:r>
      <w:r>
        <w:rPr>
          <w:rFonts w:ascii="Garamond" w:hAnsi="Garamond" w:cs="Garamond"/>
          <w:spacing w:val="-9"/>
        </w:rPr>
        <w:t xml:space="preserve"> </w:t>
      </w:r>
      <w:r>
        <w:rPr>
          <w:rFonts w:ascii="Garamond" w:hAnsi="Garamond" w:cs="Garamond"/>
        </w:rPr>
        <w:t>adjustment</w:t>
      </w:r>
      <w:r>
        <w:rPr>
          <w:rFonts w:ascii="Garamond" w:hAnsi="Garamond" w:cs="Garamond"/>
          <w:spacing w:val="-12"/>
        </w:rPr>
        <w:t xml:space="preserve"> </w:t>
      </w:r>
      <w:r>
        <w:rPr>
          <w:rFonts w:ascii="Garamond" w:hAnsi="Garamond" w:cs="Garamond"/>
        </w:rPr>
        <w:t>methodologies</w:t>
      </w:r>
      <w:r>
        <w:rPr>
          <w:rFonts w:ascii="Garamond" w:hAnsi="Garamond" w:cs="Garamond"/>
          <w:spacing w:val="-10"/>
        </w:rPr>
        <w:t xml:space="preserve"> </w:t>
      </w:r>
      <w:r>
        <w:rPr>
          <w:rFonts w:ascii="Garamond" w:hAnsi="Garamond" w:cs="Garamond"/>
        </w:rPr>
        <w:t>should</w:t>
      </w:r>
      <w:r>
        <w:rPr>
          <w:rFonts w:ascii="Garamond" w:hAnsi="Garamond" w:cs="Garamond"/>
          <w:spacing w:val="-11"/>
        </w:rPr>
        <w:t xml:space="preserve"> </w:t>
      </w:r>
      <w:r>
        <w:rPr>
          <w:rFonts w:ascii="Garamond" w:hAnsi="Garamond" w:cs="Garamond"/>
        </w:rPr>
        <w:t>be</w:t>
      </w:r>
      <w:r>
        <w:rPr>
          <w:rFonts w:ascii="Garamond" w:hAnsi="Garamond" w:cs="Garamond"/>
          <w:spacing w:val="-11"/>
        </w:rPr>
        <w:t xml:space="preserve"> </w:t>
      </w:r>
      <w:r>
        <w:rPr>
          <w:rFonts w:ascii="Garamond" w:hAnsi="Garamond" w:cs="Garamond"/>
        </w:rPr>
        <w:t>calibrated</w:t>
      </w:r>
      <w:r>
        <w:rPr>
          <w:rFonts w:ascii="Garamond" w:hAnsi="Garamond" w:cs="Garamond"/>
          <w:spacing w:val="-8"/>
        </w:rPr>
        <w:t xml:space="preserve"> </w:t>
      </w:r>
      <w:r>
        <w:rPr>
          <w:rFonts w:ascii="Garamond" w:hAnsi="Garamond" w:cs="Garamond"/>
        </w:rPr>
        <w:t>to</w:t>
      </w:r>
      <w:r>
        <w:rPr>
          <w:rFonts w:ascii="Garamond" w:hAnsi="Garamond" w:cs="Garamond"/>
          <w:spacing w:val="-8"/>
        </w:rPr>
        <w:t xml:space="preserve"> </w:t>
      </w:r>
      <w:r>
        <w:rPr>
          <w:rFonts w:ascii="Garamond" w:hAnsi="Garamond" w:cs="Garamond"/>
        </w:rPr>
        <w:t>not</w:t>
      </w:r>
      <w:r>
        <w:rPr>
          <w:rFonts w:ascii="Garamond" w:hAnsi="Garamond" w:cs="Garamond"/>
          <w:spacing w:val="-12"/>
        </w:rPr>
        <w:t xml:space="preserve"> </w:t>
      </w:r>
      <w:r>
        <w:rPr>
          <w:rFonts w:ascii="Garamond" w:hAnsi="Garamond" w:cs="Garamond"/>
        </w:rPr>
        <w:t>only</w:t>
      </w:r>
      <w:r>
        <w:rPr>
          <w:rFonts w:ascii="Garamond" w:hAnsi="Garamond" w:cs="Garamond"/>
          <w:spacing w:val="-15"/>
        </w:rPr>
        <w:t xml:space="preserve"> </w:t>
      </w:r>
      <w:r>
        <w:rPr>
          <w:rFonts w:ascii="Garamond" w:hAnsi="Garamond" w:cs="Garamond"/>
        </w:rPr>
        <w:t>reflect</w:t>
      </w:r>
      <w:r>
        <w:rPr>
          <w:rFonts w:ascii="Garamond" w:hAnsi="Garamond" w:cs="Garamond"/>
          <w:spacing w:val="-8"/>
        </w:rPr>
        <w:t xml:space="preserve"> </w:t>
      </w:r>
      <w:r>
        <w:rPr>
          <w:rFonts w:ascii="Garamond" w:hAnsi="Garamond" w:cs="Garamond"/>
        </w:rPr>
        <w:t>health</w:t>
      </w:r>
      <w:r>
        <w:rPr>
          <w:rFonts w:ascii="Garamond" w:hAnsi="Garamond" w:cs="Garamond"/>
          <w:spacing w:val="-10"/>
        </w:rPr>
        <w:t xml:space="preserve"> </w:t>
      </w:r>
      <w:r>
        <w:rPr>
          <w:rFonts w:ascii="Garamond" w:hAnsi="Garamond" w:cs="Garamond"/>
        </w:rPr>
        <w:t>status</w:t>
      </w:r>
      <w:r>
        <w:rPr>
          <w:rFonts w:ascii="Garamond" w:hAnsi="Garamond" w:cs="Garamond"/>
          <w:spacing w:val="-7"/>
        </w:rPr>
        <w:t xml:space="preserve"> </w:t>
      </w:r>
      <w:r>
        <w:rPr>
          <w:rFonts w:ascii="Garamond" w:hAnsi="Garamond" w:cs="Garamond"/>
        </w:rPr>
        <w:t>and</w:t>
      </w:r>
      <w:r>
        <w:rPr>
          <w:rFonts w:ascii="Garamond" w:hAnsi="Garamond" w:cs="Garamond"/>
          <w:spacing w:val="-11"/>
        </w:rPr>
        <w:t xml:space="preserve"> </w:t>
      </w:r>
      <w:r>
        <w:rPr>
          <w:rFonts w:ascii="Garamond" w:hAnsi="Garamond" w:cs="Garamond"/>
        </w:rPr>
        <w:t>social</w:t>
      </w:r>
      <w:r>
        <w:rPr>
          <w:rFonts w:ascii="Garamond" w:hAnsi="Garamond" w:cs="Garamond"/>
          <w:spacing w:val="-11"/>
        </w:rPr>
        <w:t xml:space="preserve"> </w:t>
      </w:r>
      <w:r>
        <w:rPr>
          <w:rFonts w:ascii="Garamond" w:hAnsi="Garamond" w:cs="Garamond"/>
        </w:rPr>
        <w:t>factors, but</w:t>
      </w:r>
      <w:r>
        <w:rPr>
          <w:rFonts w:ascii="Garamond" w:hAnsi="Garamond" w:cs="Garamond"/>
          <w:spacing w:val="-3"/>
        </w:rPr>
        <w:t xml:space="preserve"> also</w:t>
      </w:r>
      <w:r>
        <w:rPr>
          <w:rFonts w:ascii="Garamond" w:hAnsi="Garamond" w:cs="Garamond"/>
          <w:spacing w:val="-6"/>
        </w:rPr>
        <w:t xml:space="preserve"> </w:t>
      </w:r>
      <w:r>
        <w:rPr>
          <w:rFonts w:ascii="Garamond" w:hAnsi="Garamond" w:cs="Garamond"/>
        </w:rPr>
        <w:t>age.</w:t>
      </w:r>
      <w:r>
        <w:rPr>
          <w:rFonts w:ascii="Garamond" w:hAnsi="Garamond" w:cs="Garamond"/>
          <w:spacing w:val="-6"/>
        </w:rPr>
        <w:t xml:space="preserve"> </w:t>
      </w:r>
      <w:r>
        <w:rPr>
          <w:rFonts w:ascii="Garamond" w:hAnsi="Garamond" w:cs="Garamond"/>
        </w:rPr>
        <w:t>Risk</w:t>
      </w:r>
      <w:r>
        <w:rPr>
          <w:rFonts w:ascii="Garamond" w:hAnsi="Garamond" w:cs="Garamond"/>
          <w:spacing w:val="-3"/>
        </w:rPr>
        <w:t xml:space="preserve"> </w:t>
      </w:r>
      <w:r>
        <w:rPr>
          <w:rFonts w:ascii="Garamond" w:hAnsi="Garamond" w:cs="Garamond"/>
        </w:rPr>
        <w:t>adjustment</w:t>
      </w:r>
      <w:r>
        <w:rPr>
          <w:rFonts w:ascii="Garamond" w:hAnsi="Garamond" w:cs="Garamond"/>
          <w:spacing w:val="-5"/>
        </w:rPr>
        <w:t xml:space="preserve"> </w:t>
      </w:r>
      <w:r>
        <w:rPr>
          <w:rFonts w:ascii="Garamond" w:hAnsi="Garamond" w:cs="Garamond"/>
        </w:rPr>
        <w:t>models</w:t>
      </w:r>
      <w:r>
        <w:rPr>
          <w:rFonts w:ascii="Garamond" w:hAnsi="Garamond" w:cs="Garamond"/>
          <w:spacing w:val="-2"/>
        </w:rPr>
        <w:t xml:space="preserve"> </w:t>
      </w:r>
      <w:r>
        <w:rPr>
          <w:rFonts w:ascii="Garamond" w:hAnsi="Garamond" w:cs="Garamond"/>
        </w:rPr>
        <w:t>for</w:t>
      </w:r>
      <w:r>
        <w:rPr>
          <w:rFonts w:ascii="Garamond" w:hAnsi="Garamond" w:cs="Garamond"/>
          <w:spacing w:val="-3"/>
        </w:rPr>
        <w:t xml:space="preserve"> </w:t>
      </w:r>
      <w:r>
        <w:rPr>
          <w:rFonts w:ascii="Garamond" w:hAnsi="Garamond" w:cs="Garamond"/>
        </w:rPr>
        <w:t>a</w:t>
      </w:r>
      <w:r>
        <w:rPr>
          <w:rFonts w:ascii="Garamond" w:hAnsi="Garamond" w:cs="Garamond"/>
          <w:spacing w:val="-4"/>
        </w:rPr>
        <w:t xml:space="preserve"> </w:t>
      </w:r>
      <w:r>
        <w:rPr>
          <w:rFonts w:ascii="Garamond" w:hAnsi="Garamond" w:cs="Garamond"/>
        </w:rPr>
        <w:t>standard</w:t>
      </w:r>
      <w:r>
        <w:rPr>
          <w:rFonts w:ascii="Garamond" w:hAnsi="Garamond" w:cs="Garamond"/>
          <w:spacing w:val="-6"/>
        </w:rPr>
        <w:t xml:space="preserve"> </w:t>
      </w:r>
      <w:r>
        <w:rPr>
          <w:rFonts w:ascii="Garamond" w:hAnsi="Garamond" w:cs="Garamond"/>
          <w:spacing w:val="-3"/>
        </w:rPr>
        <w:t>population</w:t>
      </w:r>
      <w:r>
        <w:rPr>
          <w:rFonts w:ascii="Garamond" w:hAnsi="Garamond" w:cs="Garamond"/>
          <w:spacing w:val="-6"/>
        </w:rPr>
        <w:t xml:space="preserve"> </w:t>
      </w:r>
      <w:r>
        <w:rPr>
          <w:rFonts w:ascii="Garamond" w:hAnsi="Garamond" w:cs="Garamond"/>
        </w:rPr>
        <w:t>do</w:t>
      </w:r>
      <w:r>
        <w:rPr>
          <w:rFonts w:ascii="Garamond" w:hAnsi="Garamond" w:cs="Garamond"/>
          <w:spacing w:val="-3"/>
        </w:rPr>
        <w:t xml:space="preserve"> </w:t>
      </w:r>
      <w:r>
        <w:rPr>
          <w:rFonts w:ascii="Garamond" w:hAnsi="Garamond" w:cs="Garamond"/>
        </w:rPr>
        <w:t>not</w:t>
      </w:r>
      <w:r>
        <w:rPr>
          <w:rFonts w:ascii="Garamond" w:hAnsi="Garamond" w:cs="Garamond"/>
          <w:spacing w:val="-5"/>
        </w:rPr>
        <w:t xml:space="preserve"> </w:t>
      </w:r>
      <w:r>
        <w:rPr>
          <w:rFonts w:ascii="Garamond" w:hAnsi="Garamond" w:cs="Garamond"/>
        </w:rPr>
        <w:t>provide</w:t>
      </w:r>
      <w:r>
        <w:rPr>
          <w:rFonts w:ascii="Garamond" w:hAnsi="Garamond" w:cs="Garamond"/>
          <w:spacing w:val="-6"/>
        </w:rPr>
        <w:t xml:space="preserve"> </w:t>
      </w:r>
      <w:r>
        <w:rPr>
          <w:rFonts w:ascii="Garamond" w:hAnsi="Garamond" w:cs="Garamond"/>
        </w:rPr>
        <w:t>accurate</w:t>
      </w:r>
      <w:r>
        <w:rPr>
          <w:rFonts w:ascii="Garamond" w:hAnsi="Garamond" w:cs="Garamond"/>
          <w:spacing w:val="-4"/>
        </w:rPr>
        <w:t xml:space="preserve"> </w:t>
      </w:r>
      <w:r>
        <w:rPr>
          <w:rFonts w:ascii="Garamond" w:hAnsi="Garamond" w:cs="Garamond"/>
          <w:spacing w:val="-3"/>
        </w:rPr>
        <w:t>modifications</w:t>
      </w:r>
    </w:p>
    <w:p w:rsidR="002C5025" w:rsidRDefault="002C5025">
      <w:pPr>
        <w:pStyle w:val="BodyText"/>
        <w:kinsoku w:val="0"/>
        <w:overflowPunct w:val="0"/>
        <w:ind w:left="116" w:right="518"/>
        <w:rPr>
          <w:rFonts w:ascii="Garamond" w:hAnsi="Garamond" w:cs="Garamond"/>
          <w:position w:val="5"/>
          <w:sz w:val="14"/>
          <w:szCs w:val="14"/>
        </w:rPr>
      </w:pPr>
      <w:r>
        <w:rPr>
          <w:rFonts w:ascii="Garamond" w:hAnsi="Garamond" w:cs="Garamond"/>
        </w:rPr>
        <w:t xml:space="preserve">when applied to a pediatric-only population, and could result in inequitable reimbursement for </w:t>
      </w:r>
      <w:r>
        <w:rPr>
          <w:rFonts w:ascii="Garamond" w:hAnsi="Garamond" w:cs="Garamond"/>
          <w:spacing w:val="-3"/>
        </w:rPr>
        <w:t xml:space="preserve">providers </w:t>
      </w:r>
      <w:r>
        <w:rPr>
          <w:rFonts w:ascii="Garamond" w:hAnsi="Garamond" w:cs="Garamond"/>
        </w:rPr>
        <w:t>specializing in pediatric care.</w:t>
      </w:r>
      <w:r>
        <w:rPr>
          <w:rFonts w:ascii="Garamond" w:hAnsi="Garamond" w:cs="Garamond"/>
          <w:position w:val="5"/>
          <w:sz w:val="14"/>
          <w:szCs w:val="14"/>
        </w:rPr>
        <w:t>56</w:t>
      </w:r>
    </w:p>
    <w:p w:rsidR="002C5025" w:rsidRDefault="002C5025">
      <w:pPr>
        <w:pStyle w:val="BodyText"/>
        <w:kinsoku w:val="0"/>
        <w:overflowPunct w:val="0"/>
        <w:spacing w:before="9"/>
        <w:rPr>
          <w:rFonts w:ascii="Garamond" w:hAnsi="Garamond" w:cs="Garamond"/>
          <w:sz w:val="21"/>
          <w:szCs w:val="21"/>
        </w:rPr>
      </w:pPr>
    </w:p>
    <w:p w:rsidR="002C5025" w:rsidRDefault="002C5025">
      <w:pPr>
        <w:pStyle w:val="BodyText"/>
        <w:kinsoku w:val="0"/>
        <w:overflowPunct w:val="0"/>
        <w:spacing w:before="1"/>
        <w:ind w:left="118" w:right="125" w:firstLine="1"/>
        <w:rPr>
          <w:rFonts w:ascii="Garamond" w:hAnsi="Garamond" w:cs="Garamond"/>
        </w:rPr>
      </w:pPr>
      <w:r>
        <w:rPr>
          <w:rFonts w:ascii="Garamond" w:hAnsi="Garamond" w:cs="Garamond"/>
        </w:rPr>
        <w:t xml:space="preserve">In addition to adjusting payments based on socioeconomic status and other sociodemographic factors, MassHealth should also </w:t>
      </w:r>
      <w:r>
        <w:rPr>
          <w:rFonts w:ascii="Garamond" w:hAnsi="Garamond" w:cs="Garamond"/>
          <w:spacing w:val="-3"/>
        </w:rPr>
        <w:t xml:space="preserve">consider </w:t>
      </w:r>
      <w:r>
        <w:rPr>
          <w:rFonts w:ascii="Garamond" w:hAnsi="Garamond" w:cs="Garamond"/>
        </w:rPr>
        <w:t xml:space="preserve">making similar appropriate adjustments to some ACO quality metrics used in payment as well. The decision made by the National Quality Forum (NQF) to endorse adjusting </w:t>
      </w:r>
      <w:r>
        <w:rPr>
          <w:rFonts w:ascii="Garamond" w:hAnsi="Garamond" w:cs="Garamond"/>
          <w:spacing w:val="-3"/>
        </w:rPr>
        <w:t xml:space="preserve">outcomes </w:t>
      </w:r>
      <w:r>
        <w:rPr>
          <w:rFonts w:ascii="Garamond" w:hAnsi="Garamond" w:cs="Garamond"/>
        </w:rPr>
        <w:t>measures</w:t>
      </w:r>
      <w:r>
        <w:rPr>
          <w:rFonts w:ascii="Garamond" w:hAnsi="Garamond" w:cs="Garamond"/>
          <w:position w:val="5"/>
          <w:sz w:val="14"/>
          <w:szCs w:val="14"/>
        </w:rPr>
        <w:t xml:space="preserve">57 </w:t>
      </w:r>
      <w:r>
        <w:rPr>
          <w:rFonts w:ascii="Garamond" w:hAnsi="Garamond" w:cs="Garamond"/>
        </w:rPr>
        <w:t xml:space="preserve">based on these factors reflects the </w:t>
      </w:r>
      <w:r>
        <w:rPr>
          <w:rFonts w:ascii="Garamond" w:hAnsi="Garamond" w:cs="Garamond"/>
          <w:spacing w:val="-3"/>
        </w:rPr>
        <w:t xml:space="preserve">concern </w:t>
      </w:r>
      <w:r>
        <w:rPr>
          <w:rFonts w:ascii="Garamond" w:hAnsi="Garamond" w:cs="Garamond"/>
        </w:rPr>
        <w:t>that a provider should not be penalized as a poor</w:t>
      </w:r>
    </w:p>
    <w:p w:rsidR="002C5025" w:rsidRDefault="00FB027C">
      <w:pPr>
        <w:pStyle w:val="BodyText"/>
        <w:kinsoku w:val="0"/>
        <w:overflowPunct w:val="0"/>
        <w:spacing w:before="1"/>
        <w:rPr>
          <w:rFonts w:ascii="Garamond" w:hAnsi="Garamond" w:cs="Garamond"/>
          <w:sz w:val="29"/>
          <w:szCs w:val="29"/>
        </w:rPr>
      </w:pPr>
      <w:r>
        <w:rPr>
          <w:noProof/>
        </w:rPr>
        <mc:AlternateContent>
          <mc:Choice Requires="wps">
            <w:drawing>
              <wp:anchor distT="0" distB="0" distL="0" distR="0" simplePos="0" relativeHeight="251672064" behindDoc="0" locked="0" layoutInCell="0" allowOverlap="1">
                <wp:simplePos x="0" y="0"/>
                <wp:positionH relativeFrom="page">
                  <wp:posOffset>923925</wp:posOffset>
                </wp:positionH>
                <wp:positionV relativeFrom="paragraph">
                  <wp:posOffset>238125</wp:posOffset>
                </wp:positionV>
                <wp:extent cx="1829435" cy="12700"/>
                <wp:effectExtent l="0" t="0" r="0" b="0"/>
                <wp:wrapTopAndBottom/>
                <wp:docPr id="547" name="Freeform 4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1 w 2881"/>
                            <a:gd name="T3" fmla="*/ 0 h 20"/>
                          </a:gdLst>
                          <a:ahLst/>
                          <a:cxnLst>
                            <a:cxn ang="0">
                              <a:pos x="T0" y="T1"/>
                            </a:cxn>
                            <a:cxn ang="0">
                              <a:pos x="T2" y="T3"/>
                            </a:cxn>
                          </a:cxnLst>
                          <a:rect l="0" t="0" r="r" b="b"/>
                          <a:pathLst>
                            <a:path w="2881" h="20">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78" o:spid="_x0000_s1026" style="position:absolute;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2.75pt,18.75pt,216.8pt,18.75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" o:allowincell="f" filled="f" strokeweight=".82pt">
                <v:path arrowok="t" o:connecttype="custom" o:connectlocs="0,0;1829435,0" o:connectangles="0,0"/>
                <w10:wrap type="topAndBottom" anchorx="page"/>
              </v:polyline>
            </w:pict>
          </mc:Fallback>
        </mc:AlternateContent>
      </w:r>
    </w:p>
    <w:p w:rsidR="002C5025" w:rsidRDefault="002C5025">
      <w:pPr>
        <w:pStyle w:val="BodyText"/>
        <w:kinsoku w:val="0"/>
        <w:overflowPunct w:val="0"/>
        <w:spacing w:before="70"/>
        <w:ind w:left="120" w:right="680"/>
        <w:rPr>
          <w:rFonts w:ascii="Garamond" w:hAnsi="Garamond" w:cs="Garamond"/>
          <w:color w:val="0000FF"/>
          <w:w w:val="95"/>
          <w:sz w:val="20"/>
          <w:szCs w:val="20"/>
        </w:rPr>
      </w:pPr>
      <w:r>
        <w:rPr>
          <w:rFonts w:ascii="Garamond" w:hAnsi="Garamond" w:cs="Garamond"/>
          <w:position w:val="5"/>
          <w:sz w:val="13"/>
          <w:szCs w:val="13"/>
        </w:rPr>
        <w:t xml:space="preserve">56 </w:t>
      </w:r>
      <w:proofErr w:type="spellStart"/>
      <w:r>
        <w:rPr>
          <w:rFonts w:ascii="Garamond" w:hAnsi="Garamond" w:cs="Garamond"/>
          <w:sz w:val="20"/>
          <w:szCs w:val="20"/>
        </w:rPr>
        <w:t>Milliman</w:t>
      </w:r>
      <w:proofErr w:type="spellEnd"/>
      <w:r>
        <w:rPr>
          <w:rFonts w:ascii="Garamond" w:hAnsi="Garamond" w:cs="Garamond"/>
          <w:sz w:val="20"/>
          <w:szCs w:val="20"/>
        </w:rPr>
        <w:t xml:space="preserve">. Risk adjustment for pediatric populations, November 2013. Retrieved from </w:t>
      </w:r>
      <w:hyperlink r:id="rId357" w:history="1">
        <w:r>
          <w:rPr>
            <w:rFonts w:ascii="Garamond" w:hAnsi="Garamond" w:cs="Garamond"/>
            <w:color w:val="0000FF"/>
            <w:w w:val="95"/>
            <w:sz w:val="20"/>
            <w:szCs w:val="20"/>
            <w:u w:val="single"/>
          </w:rPr>
          <w:t>http://www.milliman.com/uploadedFiles/insight/2013/risk-adjustment-for-pediatric-populations-healthcare-reform-</w:t>
        </w:r>
      </w:hyperlink>
      <w:r>
        <w:rPr>
          <w:rFonts w:ascii="Garamond" w:hAnsi="Garamond" w:cs="Garamond"/>
          <w:color w:val="0000FF"/>
          <w:w w:val="95"/>
          <w:sz w:val="20"/>
          <w:szCs w:val="20"/>
          <w:u w:val="single"/>
        </w:rPr>
        <w:t xml:space="preserve"> </w:t>
      </w:r>
      <w:hyperlink r:id="rId358" w:history="1">
        <w:r>
          <w:rPr>
            <w:rFonts w:ascii="Garamond" w:hAnsi="Garamond" w:cs="Garamond"/>
            <w:color w:val="0000FF"/>
            <w:sz w:val="20"/>
            <w:szCs w:val="20"/>
            <w:u w:val="single"/>
          </w:rPr>
          <w:t>bulletin.pdf</w:t>
        </w:r>
        <w:r>
          <w:rPr>
            <w:rFonts w:ascii="Garamond" w:hAnsi="Garamond" w:cs="Garamond"/>
            <w:color w:val="000000"/>
            <w:sz w:val="20"/>
            <w:szCs w:val="20"/>
            <w:u w:val="single"/>
          </w:rPr>
          <w:t>.</w:t>
        </w:r>
      </w:hyperlink>
    </w:p>
    <w:p w:rsidR="002C5025" w:rsidRDefault="002C5025">
      <w:pPr>
        <w:pStyle w:val="BodyText"/>
        <w:kinsoku w:val="0"/>
        <w:overflowPunct w:val="0"/>
        <w:ind w:left="120" w:right="83"/>
        <w:rPr>
          <w:rFonts w:ascii="Garamond" w:hAnsi="Garamond" w:cs="Garamond"/>
          <w:color w:val="0000FF"/>
          <w:spacing w:val="-1"/>
          <w:w w:val="95"/>
          <w:sz w:val="20"/>
          <w:szCs w:val="20"/>
        </w:rPr>
      </w:pPr>
      <w:r>
        <w:rPr>
          <w:rFonts w:ascii="Garamond" w:hAnsi="Garamond" w:cs="Garamond"/>
          <w:position w:val="5"/>
          <w:sz w:val="13"/>
          <w:szCs w:val="13"/>
        </w:rPr>
        <w:t>57</w:t>
      </w:r>
      <w:r>
        <w:rPr>
          <w:rFonts w:ascii="Garamond" w:hAnsi="Garamond" w:cs="Garamond"/>
          <w:spacing w:val="3"/>
          <w:position w:val="5"/>
          <w:sz w:val="13"/>
          <w:szCs w:val="13"/>
        </w:rPr>
        <w:t xml:space="preserve"> </w:t>
      </w:r>
      <w:r>
        <w:rPr>
          <w:rFonts w:ascii="Garamond" w:hAnsi="Garamond" w:cs="Garamond"/>
          <w:sz w:val="20"/>
          <w:szCs w:val="20"/>
        </w:rPr>
        <w:t>National</w:t>
      </w:r>
      <w:r>
        <w:rPr>
          <w:rFonts w:ascii="Garamond" w:hAnsi="Garamond" w:cs="Garamond"/>
          <w:spacing w:val="-15"/>
          <w:sz w:val="20"/>
          <w:szCs w:val="20"/>
        </w:rPr>
        <w:t xml:space="preserve"> </w:t>
      </w:r>
      <w:r>
        <w:rPr>
          <w:rFonts w:ascii="Garamond" w:hAnsi="Garamond" w:cs="Garamond"/>
          <w:sz w:val="20"/>
          <w:szCs w:val="20"/>
        </w:rPr>
        <w:t>Quality</w:t>
      </w:r>
      <w:r>
        <w:rPr>
          <w:rFonts w:ascii="Garamond" w:hAnsi="Garamond" w:cs="Garamond"/>
          <w:spacing w:val="-12"/>
          <w:sz w:val="20"/>
          <w:szCs w:val="20"/>
        </w:rPr>
        <w:t xml:space="preserve"> </w:t>
      </w:r>
      <w:r>
        <w:rPr>
          <w:rFonts w:ascii="Garamond" w:hAnsi="Garamond" w:cs="Garamond"/>
          <w:sz w:val="20"/>
          <w:szCs w:val="20"/>
        </w:rPr>
        <w:t>Forum.</w:t>
      </w:r>
      <w:r>
        <w:rPr>
          <w:rFonts w:ascii="Garamond" w:hAnsi="Garamond" w:cs="Garamond"/>
          <w:spacing w:val="-14"/>
          <w:sz w:val="20"/>
          <w:szCs w:val="20"/>
        </w:rPr>
        <w:t xml:space="preserve"> </w:t>
      </w:r>
      <w:r>
        <w:rPr>
          <w:rFonts w:ascii="Garamond" w:hAnsi="Garamond" w:cs="Garamond"/>
          <w:sz w:val="20"/>
          <w:szCs w:val="20"/>
        </w:rPr>
        <w:t>(2014).</w:t>
      </w:r>
      <w:r>
        <w:rPr>
          <w:rFonts w:ascii="Garamond" w:hAnsi="Garamond" w:cs="Garamond"/>
          <w:spacing w:val="-14"/>
          <w:sz w:val="20"/>
          <w:szCs w:val="20"/>
        </w:rPr>
        <w:t xml:space="preserve"> </w:t>
      </w:r>
      <w:r>
        <w:rPr>
          <w:rFonts w:ascii="Garamond" w:hAnsi="Garamond" w:cs="Garamond"/>
          <w:sz w:val="20"/>
          <w:szCs w:val="20"/>
        </w:rPr>
        <w:t>Risk</w:t>
      </w:r>
      <w:r>
        <w:rPr>
          <w:rFonts w:ascii="Garamond" w:hAnsi="Garamond" w:cs="Garamond"/>
          <w:spacing w:val="-13"/>
          <w:sz w:val="20"/>
          <w:szCs w:val="20"/>
        </w:rPr>
        <w:t xml:space="preserve"> </w:t>
      </w:r>
      <w:r>
        <w:rPr>
          <w:rFonts w:ascii="Garamond" w:hAnsi="Garamond" w:cs="Garamond"/>
          <w:sz w:val="20"/>
          <w:szCs w:val="20"/>
        </w:rPr>
        <w:t>Adjustment</w:t>
      </w:r>
      <w:r>
        <w:rPr>
          <w:rFonts w:ascii="Garamond" w:hAnsi="Garamond" w:cs="Garamond"/>
          <w:spacing w:val="-14"/>
          <w:sz w:val="20"/>
          <w:szCs w:val="20"/>
        </w:rPr>
        <w:t xml:space="preserve"> </w:t>
      </w:r>
      <w:r>
        <w:rPr>
          <w:rFonts w:ascii="Garamond" w:hAnsi="Garamond" w:cs="Garamond"/>
          <w:sz w:val="20"/>
          <w:szCs w:val="20"/>
        </w:rPr>
        <w:t>for</w:t>
      </w:r>
      <w:r>
        <w:rPr>
          <w:rFonts w:ascii="Garamond" w:hAnsi="Garamond" w:cs="Garamond"/>
          <w:spacing w:val="-12"/>
          <w:sz w:val="20"/>
          <w:szCs w:val="20"/>
        </w:rPr>
        <w:t xml:space="preserve"> </w:t>
      </w:r>
      <w:r>
        <w:rPr>
          <w:rFonts w:ascii="Garamond" w:hAnsi="Garamond" w:cs="Garamond"/>
          <w:sz w:val="20"/>
          <w:szCs w:val="20"/>
        </w:rPr>
        <w:t>Socioeconomic</w:t>
      </w:r>
      <w:r>
        <w:rPr>
          <w:rFonts w:ascii="Garamond" w:hAnsi="Garamond" w:cs="Garamond"/>
          <w:spacing w:val="-10"/>
          <w:sz w:val="20"/>
          <w:szCs w:val="20"/>
        </w:rPr>
        <w:t xml:space="preserve"> </w:t>
      </w:r>
      <w:r>
        <w:rPr>
          <w:rFonts w:ascii="Garamond" w:hAnsi="Garamond" w:cs="Garamond"/>
          <w:sz w:val="20"/>
          <w:szCs w:val="20"/>
        </w:rPr>
        <w:t>Status</w:t>
      </w:r>
      <w:r>
        <w:rPr>
          <w:rFonts w:ascii="Garamond" w:hAnsi="Garamond" w:cs="Garamond"/>
          <w:spacing w:val="-14"/>
          <w:sz w:val="20"/>
          <w:szCs w:val="20"/>
        </w:rPr>
        <w:t xml:space="preserve"> </w:t>
      </w:r>
      <w:r>
        <w:rPr>
          <w:rFonts w:ascii="Garamond" w:hAnsi="Garamond" w:cs="Garamond"/>
          <w:sz w:val="20"/>
          <w:szCs w:val="20"/>
        </w:rPr>
        <w:t>or</w:t>
      </w:r>
      <w:r>
        <w:rPr>
          <w:rFonts w:ascii="Garamond" w:hAnsi="Garamond" w:cs="Garamond"/>
          <w:spacing w:val="-13"/>
          <w:sz w:val="20"/>
          <w:szCs w:val="20"/>
        </w:rPr>
        <w:t xml:space="preserve"> </w:t>
      </w:r>
      <w:r>
        <w:rPr>
          <w:rFonts w:ascii="Garamond" w:hAnsi="Garamond" w:cs="Garamond"/>
          <w:sz w:val="20"/>
          <w:szCs w:val="20"/>
        </w:rPr>
        <w:t>Other</w:t>
      </w:r>
      <w:r>
        <w:rPr>
          <w:rFonts w:ascii="Garamond" w:hAnsi="Garamond" w:cs="Garamond"/>
          <w:spacing w:val="-13"/>
          <w:sz w:val="20"/>
          <w:szCs w:val="20"/>
        </w:rPr>
        <w:t xml:space="preserve"> </w:t>
      </w:r>
      <w:r>
        <w:rPr>
          <w:rFonts w:ascii="Garamond" w:hAnsi="Garamond" w:cs="Garamond"/>
          <w:sz w:val="20"/>
          <w:szCs w:val="20"/>
        </w:rPr>
        <w:t>Sociodemographic</w:t>
      </w:r>
      <w:r>
        <w:rPr>
          <w:rFonts w:ascii="Garamond" w:hAnsi="Garamond" w:cs="Garamond"/>
          <w:spacing w:val="-12"/>
          <w:sz w:val="20"/>
          <w:szCs w:val="20"/>
        </w:rPr>
        <w:t xml:space="preserve"> </w:t>
      </w:r>
      <w:r>
        <w:rPr>
          <w:rFonts w:ascii="Garamond" w:hAnsi="Garamond" w:cs="Garamond"/>
          <w:sz w:val="20"/>
          <w:szCs w:val="20"/>
        </w:rPr>
        <w:t xml:space="preserve">Factors. Washington, D.C.: National Quality Forum. Retrieved from </w:t>
      </w:r>
      <w:hyperlink r:id="rId359" w:history="1">
        <w:r>
          <w:rPr>
            <w:rFonts w:ascii="Garamond" w:hAnsi="Garamond" w:cs="Garamond"/>
            <w:color w:val="0000FF"/>
            <w:spacing w:val="-1"/>
            <w:w w:val="95"/>
            <w:sz w:val="20"/>
            <w:szCs w:val="20"/>
            <w:u w:val="single"/>
          </w:rPr>
          <w:t>http://www.qualityforum.org/Publications/2014/08/Risk_Adjustment_for_Socioeconomic_Status_or_Other_Sociode</w:t>
        </w:r>
      </w:hyperlink>
    </w:p>
    <w:p w:rsidR="002C5025" w:rsidRDefault="002C5025">
      <w:pPr>
        <w:pStyle w:val="BodyText"/>
        <w:kinsoku w:val="0"/>
        <w:overflowPunct w:val="0"/>
        <w:spacing w:before="3"/>
        <w:rPr>
          <w:rFonts w:ascii="Garamond" w:hAnsi="Garamond" w:cs="Garamond"/>
          <w:sz w:val="11"/>
          <w:szCs w:val="11"/>
        </w:rPr>
      </w:pPr>
    </w:p>
    <w:p w:rsidR="002C5025" w:rsidRDefault="002C5025">
      <w:pPr>
        <w:pStyle w:val="BodyText"/>
        <w:kinsoku w:val="0"/>
        <w:overflowPunct w:val="0"/>
        <w:spacing w:before="80"/>
        <w:ind w:left="3285" w:right="3201"/>
        <w:jc w:val="center"/>
        <w:rPr>
          <w:rFonts w:ascii="Garamond" w:hAnsi="Garamond" w:cs="Garamond"/>
          <w:sz w:val="20"/>
          <w:szCs w:val="20"/>
        </w:rPr>
      </w:pPr>
      <w:r>
        <w:rPr>
          <w:rFonts w:ascii="Garamond" w:hAnsi="Garamond" w:cs="Garamond"/>
          <w:sz w:val="20"/>
          <w:szCs w:val="20"/>
        </w:rPr>
        <w:t>25</w:t>
      </w:r>
    </w:p>
    <w:p w:rsidR="002C5025" w:rsidRDefault="002C5025">
      <w:pPr>
        <w:pStyle w:val="BodyText"/>
        <w:kinsoku w:val="0"/>
        <w:overflowPunct w:val="0"/>
        <w:spacing w:before="80"/>
        <w:ind w:left="3285" w:right="3201"/>
        <w:jc w:val="center"/>
        <w:rPr>
          <w:rFonts w:ascii="Garamond" w:hAnsi="Garamond" w:cs="Garamond"/>
          <w:sz w:val="20"/>
          <w:szCs w:val="20"/>
        </w:rPr>
        <w:sectPr w:rsidR="002C5025">
          <w:pgSz w:w="12240" w:h="15840"/>
          <w:pgMar w:top="1380" w:right="1400" w:bottom="280" w:left="1320" w:header="720" w:footer="720" w:gutter="0"/>
          <w:cols w:space="720" w:equalWidth="0">
            <w:col w:w="9520"/>
          </w:cols>
          <w:noEndnote/>
        </w:sectPr>
      </w:pPr>
    </w:p>
    <w:p w:rsidR="002C5025" w:rsidRDefault="002C5025">
      <w:pPr>
        <w:pStyle w:val="BodyText"/>
        <w:kinsoku w:val="0"/>
        <w:overflowPunct w:val="0"/>
        <w:spacing w:before="60"/>
        <w:ind w:left="119" w:right="201"/>
        <w:rPr>
          <w:rFonts w:ascii="Garamond" w:hAnsi="Garamond" w:cs="Garamond"/>
          <w:position w:val="5"/>
          <w:sz w:val="14"/>
          <w:szCs w:val="14"/>
        </w:rPr>
      </w:pPr>
      <w:r>
        <w:rPr>
          <w:rFonts w:ascii="Garamond" w:hAnsi="Garamond" w:cs="Garamond"/>
        </w:rPr>
        <w:lastRenderedPageBreak/>
        <w:t>performer</w:t>
      </w:r>
      <w:r>
        <w:rPr>
          <w:rFonts w:ascii="Garamond" w:hAnsi="Garamond" w:cs="Garamond"/>
          <w:spacing w:val="-6"/>
        </w:rPr>
        <w:t xml:space="preserve"> </w:t>
      </w:r>
      <w:r>
        <w:rPr>
          <w:rFonts w:ascii="Garamond" w:hAnsi="Garamond" w:cs="Garamond"/>
        </w:rPr>
        <w:t>because</w:t>
      </w:r>
      <w:r>
        <w:rPr>
          <w:rFonts w:ascii="Garamond" w:hAnsi="Garamond" w:cs="Garamond"/>
          <w:spacing w:val="-7"/>
        </w:rPr>
        <w:t xml:space="preserve"> </w:t>
      </w:r>
      <w:r>
        <w:rPr>
          <w:rFonts w:ascii="Garamond" w:hAnsi="Garamond" w:cs="Garamond"/>
        </w:rPr>
        <w:t>it</w:t>
      </w:r>
      <w:r>
        <w:rPr>
          <w:rFonts w:ascii="Garamond" w:hAnsi="Garamond" w:cs="Garamond"/>
          <w:spacing w:val="-11"/>
        </w:rPr>
        <w:t xml:space="preserve"> </w:t>
      </w:r>
      <w:r>
        <w:rPr>
          <w:rFonts w:ascii="Garamond" w:hAnsi="Garamond" w:cs="Garamond"/>
        </w:rPr>
        <w:t>serves</w:t>
      </w:r>
      <w:r>
        <w:rPr>
          <w:rFonts w:ascii="Garamond" w:hAnsi="Garamond" w:cs="Garamond"/>
          <w:spacing w:val="-8"/>
        </w:rPr>
        <w:t xml:space="preserve"> </w:t>
      </w:r>
      <w:r>
        <w:rPr>
          <w:rFonts w:ascii="Garamond" w:hAnsi="Garamond" w:cs="Garamond"/>
        </w:rPr>
        <w:t>more</w:t>
      </w:r>
      <w:r>
        <w:rPr>
          <w:rFonts w:ascii="Garamond" w:hAnsi="Garamond" w:cs="Garamond"/>
          <w:spacing w:val="-7"/>
        </w:rPr>
        <w:t xml:space="preserve"> </w:t>
      </w:r>
      <w:r>
        <w:rPr>
          <w:rFonts w:ascii="Garamond" w:hAnsi="Garamond" w:cs="Garamond"/>
        </w:rPr>
        <w:t>vulnerable</w:t>
      </w:r>
      <w:r>
        <w:rPr>
          <w:rFonts w:ascii="Garamond" w:hAnsi="Garamond" w:cs="Garamond"/>
          <w:spacing w:val="-12"/>
        </w:rPr>
        <w:t xml:space="preserve"> </w:t>
      </w:r>
      <w:r>
        <w:rPr>
          <w:rFonts w:ascii="Garamond" w:hAnsi="Garamond" w:cs="Garamond"/>
        </w:rPr>
        <w:t>patients.</w:t>
      </w:r>
      <w:r>
        <w:rPr>
          <w:rFonts w:ascii="Garamond" w:hAnsi="Garamond" w:cs="Garamond"/>
          <w:spacing w:val="-9"/>
        </w:rPr>
        <w:t xml:space="preserve"> </w:t>
      </w:r>
      <w:r>
        <w:rPr>
          <w:rFonts w:ascii="Garamond" w:hAnsi="Garamond" w:cs="Garamond"/>
        </w:rPr>
        <w:t>For</w:t>
      </w:r>
      <w:r>
        <w:rPr>
          <w:rFonts w:ascii="Garamond" w:hAnsi="Garamond" w:cs="Garamond"/>
          <w:spacing w:val="-6"/>
        </w:rPr>
        <w:t xml:space="preserve"> </w:t>
      </w:r>
      <w:r>
        <w:rPr>
          <w:rFonts w:ascii="Garamond" w:hAnsi="Garamond" w:cs="Garamond"/>
        </w:rPr>
        <w:t>example,</w:t>
      </w:r>
      <w:r>
        <w:rPr>
          <w:rFonts w:ascii="Garamond" w:hAnsi="Garamond" w:cs="Garamond"/>
          <w:spacing w:val="-7"/>
        </w:rPr>
        <w:t xml:space="preserve"> </w:t>
      </w:r>
      <w:r>
        <w:rPr>
          <w:rFonts w:ascii="Garamond" w:hAnsi="Garamond" w:cs="Garamond"/>
        </w:rPr>
        <w:t>a</w:t>
      </w:r>
      <w:r>
        <w:rPr>
          <w:rFonts w:ascii="Garamond" w:hAnsi="Garamond" w:cs="Garamond"/>
          <w:spacing w:val="-10"/>
        </w:rPr>
        <w:t xml:space="preserve"> </w:t>
      </w:r>
      <w:r>
        <w:rPr>
          <w:rFonts w:ascii="Garamond" w:hAnsi="Garamond" w:cs="Garamond"/>
        </w:rPr>
        <w:t>recent</w:t>
      </w:r>
      <w:r>
        <w:rPr>
          <w:rFonts w:ascii="Garamond" w:hAnsi="Garamond" w:cs="Garamond"/>
          <w:spacing w:val="-8"/>
        </w:rPr>
        <w:t xml:space="preserve"> </w:t>
      </w:r>
      <w:r>
        <w:rPr>
          <w:rFonts w:ascii="Garamond" w:hAnsi="Garamond" w:cs="Garamond"/>
        </w:rPr>
        <w:t>study</w:t>
      </w:r>
      <w:r>
        <w:rPr>
          <w:rFonts w:ascii="Garamond" w:hAnsi="Garamond" w:cs="Garamond"/>
          <w:spacing w:val="-9"/>
        </w:rPr>
        <w:t xml:space="preserve"> </w:t>
      </w:r>
      <w:r>
        <w:rPr>
          <w:rFonts w:ascii="Garamond" w:hAnsi="Garamond" w:cs="Garamond"/>
        </w:rPr>
        <w:t>found</w:t>
      </w:r>
      <w:r>
        <w:rPr>
          <w:rFonts w:ascii="Garamond" w:hAnsi="Garamond" w:cs="Garamond"/>
          <w:spacing w:val="-9"/>
        </w:rPr>
        <w:t xml:space="preserve"> </w:t>
      </w:r>
      <w:r>
        <w:rPr>
          <w:rFonts w:ascii="Garamond" w:hAnsi="Garamond" w:cs="Garamond"/>
        </w:rPr>
        <w:t>that</w:t>
      </w:r>
      <w:r>
        <w:rPr>
          <w:rFonts w:ascii="Garamond" w:hAnsi="Garamond" w:cs="Garamond"/>
          <w:spacing w:val="-11"/>
        </w:rPr>
        <w:t xml:space="preserve"> </w:t>
      </w:r>
      <w:r>
        <w:rPr>
          <w:rFonts w:ascii="Garamond" w:hAnsi="Garamond" w:cs="Garamond"/>
        </w:rPr>
        <w:t>Medicare readmission</w:t>
      </w:r>
      <w:r>
        <w:rPr>
          <w:rFonts w:ascii="Garamond" w:hAnsi="Garamond" w:cs="Garamond"/>
          <w:spacing w:val="-13"/>
        </w:rPr>
        <w:t xml:space="preserve"> </w:t>
      </w:r>
      <w:r>
        <w:rPr>
          <w:rFonts w:ascii="Garamond" w:hAnsi="Garamond" w:cs="Garamond"/>
        </w:rPr>
        <w:t>rates</w:t>
      </w:r>
      <w:r>
        <w:rPr>
          <w:rFonts w:ascii="Garamond" w:hAnsi="Garamond" w:cs="Garamond"/>
          <w:spacing w:val="-8"/>
        </w:rPr>
        <w:t xml:space="preserve"> </w:t>
      </w:r>
      <w:r>
        <w:rPr>
          <w:rFonts w:ascii="Garamond" w:hAnsi="Garamond" w:cs="Garamond"/>
        </w:rPr>
        <w:t>varied</w:t>
      </w:r>
      <w:r>
        <w:rPr>
          <w:rFonts w:ascii="Garamond" w:hAnsi="Garamond" w:cs="Garamond"/>
          <w:spacing w:val="-13"/>
        </w:rPr>
        <w:t xml:space="preserve"> </w:t>
      </w:r>
      <w:r>
        <w:rPr>
          <w:rFonts w:ascii="Garamond" w:hAnsi="Garamond" w:cs="Garamond"/>
        </w:rPr>
        <w:t>significantly</w:t>
      </w:r>
      <w:r>
        <w:rPr>
          <w:rFonts w:ascii="Garamond" w:hAnsi="Garamond" w:cs="Garamond"/>
          <w:spacing w:val="-11"/>
        </w:rPr>
        <w:t xml:space="preserve"> </w:t>
      </w:r>
      <w:r>
        <w:rPr>
          <w:rFonts w:ascii="Garamond" w:hAnsi="Garamond" w:cs="Garamond"/>
        </w:rPr>
        <w:t>based</w:t>
      </w:r>
      <w:r>
        <w:rPr>
          <w:rFonts w:ascii="Garamond" w:hAnsi="Garamond" w:cs="Garamond"/>
          <w:spacing w:val="-8"/>
        </w:rPr>
        <w:t xml:space="preserve"> </w:t>
      </w:r>
      <w:r>
        <w:rPr>
          <w:rFonts w:ascii="Garamond" w:hAnsi="Garamond" w:cs="Garamond"/>
        </w:rPr>
        <w:t>on</w:t>
      </w:r>
      <w:r>
        <w:rPr>
          <w:rFonts w:ascii="Garamond" w:hAnsi="Garamond" w:cs="Garamond"/>
          <w:spacing w:val="-10"/>
        </w:rPr>
        <w:t xml:space="preserve"> </w:t>
      </w:r>
      <w:r>
        <w:rPr>
          <w:rFonts w:ascii="Garamond" w:hAnsi="Garamond" w:cs="Garamond"/>
        </w:rPr>
        <w:t>the</w:t>
      </w:r>
      <w:r>
        <w:rPr>
          <w:rFonts w:ascii="Garamond" w:hAnsi="Garamond" w:cs="Garamond"/>
          <w:spacing w:val="-9"/>
        </w:rPr>
        <w:t xml:space="preserve"> </w:t>
      </w:r>
      <w:r>
        <w:rPr>
          <w:rFonts w:ascii="Garamond" w:hAnsi="Garamond" w:cs="Garamond"/>
        </w:rPr>
        <w:t>patient</w:t>
      </w:r>
      <w:r>
        <w:rPr>
          <w:rFonts w:ascii="Garamond" w:hAnsi="Garamond" w:cs="Garamond"/>
          <w:spacing w:val="-13"/>
        </w:rPr>
        <w:t xml:space="preserve"> </w:t>
      </w:r>
      <w:r>
        <w:rPr>
          <w:rFonts w:ascii="Garamond" w:hAnsi="Garamond" w:cs="Garamond"/>
        </w:rPr>
        <w:t>population.</w:t>
      </w:r>
      <w:r>
        <w:rPr>
          <w:rFonts w:ascii="Garamond" w:hAnsi="Garamond" w:cs="Garamond"/>
          <w:position w:val="5"/>
          <w:sz w:val="14"/>
          <w:szCs w:val="14"/>
        </w:rPr>
        <w:t>58</w:t>
      </w:r>
      <w:r>
        <w:rPr>
          <w:rFonts w:ascii="Garamond" w:hAnsi="Garamond" w:cs="Garamond"/>
          <w:spacing w:val="9"/>
          <w:position w:val="5"/>
          <w:sz w:val="14"/>
          <w:szCs w:val="14"/>
        </w:rPr>
        <w:t xml:space="preserve"> </w:t>
      </w:r>
      <w:r>
        <w:rPr>
          <w:rFonts w:ascii="Garamond" w:hAnsi="Garamond" w:cs="Garamond"/>
        </w:rPr>
        <w:t>The</w:t>
      </w:r>
      <w:r>
        <w:rPr>
          <w:rFonts w:ascii="Garamond" w:hAnsi="Garamond" w:cs="Garamond"/>
          <w:spacing w:val="-15"/>
        </w:rPr>
        <w:t xml:space="preserve"> </w:t>
      </w:r>
      <w:r>
        <w:rPr>
          <w:rFonts w:ascii="Garamond" w:hAnsi="Garamond" w:cs="Garamond"/>
        </w:rPr>
        <w:t>researchers</w:t>
      </w:r>
      <w:r>
        <w:rPr>
          <w:rFonts w:ascii="Garamond" w:hAnsi="Garamond" w:cs="Garamond"/>
          <w:spacing w:val="-10"/>
        </w:rPr>
        <w:t xml:space="preserve"> </w:t>
      </w:r>
      <w:r>
        <w:rPr>
          <w:rFonts w:ascii="Garamond" w:hAnsi="Garamond" w:cs="Garamond"/>
        </w:rPr>
        <w:t>concluded</w:t>
      </w:r>
      <w:r>
        <w:rPr>
          <w:rFonts w:ascii="Garamond" w:hAnsi="Garamond" w:cs="Garamond"/>
          <w:spacing w:val="-8"/>
        </w:rPr>
        <w:t xml:space="preserve"> </w:t>
      </w:r>
      <w:r>
        <w:rPr>
          <w:rFonts w:ascii="Garamond" w:hAnsi="Garamond" w:cs="Garamond"/>
        </w:rPr>
        <w:t>that “Hospitals</w:t>
      </w:r>
      <w:r>
        <w:rPr>
          <w:rFonts w:ascii="Garamond" w:hAnsi="Garamond" w:cs="Garamond"/>
          <w:spacing w:val="-10"/>
        </w:rPr>
        <w:t xml:space="preserve"> </w:t>
      </w:r>
      <w:r>
        <w:rPr>
          <w:rFonts w:ascii="Garamond" w:hAnsi="Garamond" w:cs="Garamond"/>
        </w:rPr>
        <w:t>serving</w:t>
      </w:r>
      <w:r>
        <w:rPr>
          <w:rFonts w:ascii="Garamond" w:hAnsi="Garamond" w:cs="Garamond"/>
          <w:spacing w:val="-10"/>
        </w:rPr>
        <w:t xml:space="preserve"> </w:t>
      </w:r>
      <w:r>
        <w:rPr>
          <w:rFonts w:ascii="Garamond" w:hAnsi="Garamond" w:cs="Garamond"/>
        </w:rPr>
        <w:t>healthier,</w:t>
      </w:r>
      <w:r>
        <w:rPr>
          <w:rFonts w:ascii="Garamond" w:hAnsi="Garamond" w:cs="Garamond"/>
          <w:spacing w:val="-11"/>
        </w:rPr>
        <w:t xml:space="preserve"> </w:t>
      </w:r>
      <w:r>
        <w:rPr>
          <w:rFonts w:ascii="Garamond" w:hAnsi="Garamond" w:cs="Garamond"/>
        </w:rPr>
        <w:t>more</w:t>
      </w:r>
      <w:r>
        <w:rPr>
          <w:rFonts w:ascii="Garamond" w:hAnsi="Garamond" w:cs="Garamond"/>
          <w:spacing w:val="-12"/>
        </w:rPr>
        <w:t xml:space="preserve"> </w:t>
      </w:r>
      <w:r>
        <w:rPr>
          <w:rFonts w:ascii="Garamond" w:hAnsi="Garamond" w:cs="Garamond"/>
        </w:rPr>
        <w:t>socially</w:t>
      </w:r>
      <w:r>
        <w:rPr>
          <w:rFonts w:ascii="Garamond" w:hAnsi="Garamond" w:cs="Garamond"/>
          <w:spacing w:val="-8"/>
        </w:rPr>
        <w:t xml:space="preserve"> </w:t>
      </w:r>
      <w:r>
        <w:rPr>
          <w:rFonts w:ascii="Garamond" w:hAnsi="Garamond" w:cs="Garamond"/>
        </w:rPr>
        <w:t>advantaged</w:t>
      </w:r>
      <w:r>
        <w:rPr>
          <w:rFonts w:ascii="Garamond" w:hAnsi="Garamond" w:cs="Garamond"/>
          <w:spacing w:val="-10"/>
        </w:rPr>
        <w:t xml:space="preserve"> </w:t>
      </w:r>
      <w:r>
        <w:rPr>
          <w:rFonts w:ascii="Garamond" w:hAnsi="Garamond" w:cs="Garamond"/>
        </w:rPr>
        <w:t>patients</w:t>
      </w:r>
      <w:r>
        <w:rPr>
          <w:rFonts w:ascii="Garamond" w:hAnsi="Garamond" w:cs="Garamond"/>
          <w:spacing w:val="-9"/>
        </w:rPr>
        <w:t xml:space="preserve"> </w:t>
      </w:r>
      <w:r>
        <w:rPr>
          <w:rFonts w:ascii="Garamond" w:hAnsi="Garamond" w:cs="Garamond"/>
        </w:rPr>
        <w:t>may</w:t>
      </w:r>
      <w:r>
        <w:rPr>
          <w:rFonts w:ascii="Garamond" w:hAnsi="Garamond" w:cs="Garamond"/>
          <w:spacing w:val="-8"/>
        </w:rPr>
        <w:t xml:space="preserve"> </w:t>
      </w:r>
      <w:r>
        <w:rPr>
          <w:rFonts w:ascii="Garamond" w:hAnsi="Garamond" w:cs="Garamond"/>
        </w:rPr>
        <w:t>not</w:t>
      </w:r>
      <w:r>
        <w:rPr>
          <w:rFonts w:ascii="Garamond" w:hAnsi="Garamond" w:cs="Garamond"/>
          <w:spacing w:val="-9"/>
        </w:rPr>
        <w:t xml:space="preserve"> </w:t>
      </w:r>
      <w:r>
        <w:rPr>
          <w:rFonts w:ascii="Garamond" w:hAnsi="Garamond" w:cs="Garamond"/>
        </w:rPr>
        <w:t>have</w:t>
      </w:r>
      <w:r>
        <w:rPr>
          <w:rFonts w:ascii="Garamond" w:hAnsi="Garamond" w:cs="Garamond"/>
          <w:spacing w:val="-10"/>
        </w:rPr>
        <w:t xml:space="preserve"> </w:t>
      </w:r>
      <w:r>
        <w:rPr>
          <w:rFonts w:ascii="Garamond" w:hAnsi="Garamond" w:cs="Garamond"/>
        </w:rPr>
        <w:t>to</w:t>
      </w:r>
      <w:r>
        <w:rPr>
          <w:rFonts w:ascii="Garamond" w:hAnsi="Garamond" w:cs="Garamond"/>
          <w:spacing w:val="-11"/>
        </w:rPr>
        <w:t xml:space="preserve"> </w:t>
      </w:r>
      <w:r>
        <w:rPr>
          <w:rFonts w:ascii="Garamond" w:hAnsi="Garamond" w:cs="Garamond"/>
        </w:rPr>
        <w:t>devote</w:t>
      </w:r>
      <w:r>
        <w:rPr>
          <w:rFonts w:ascii="Garamond" w:hAnsi="Garamond" w:cs="Garamond"/>
          <w:spacing w:val="-10"/>
        </w:rPr>
        <w:t xml:space="preserve"> </w:t>
      </w:r>
      <w:r>
        <w:rPr>
          <w:rFonts w:ascii="Garamond" w:hAnsi="Garamond" w:cs="Garamond"/>
        </w:rPr>
        <w:t>any</w:t>
      </w:r>
      <w:r>
        <w:rPr>
          <w:rFonts w:ascii="Garamond" w:hAnsi="Garamond" w:cs="Garamond"/>
          <w:spacing w:val="-10"/>
        </w:rPr>
        <w:t xml:space="preserve"> </w:t>
      </w:r>
      <w:r>
        <w:rPr>
          <w:rFonts w:ascii="Garamond" w:hAnsi="Garamond" w:cs="Garamond"/>
        </w:rPr>
        <w:t>resources</w:t>
      </w:r>
      <w:r>
        <w:rPr>
          <w:rFonts w:ascii="Garamond" w:hAnsi="Garamond" w:cs="Garamond"/>
          <w:spacing w:val="-4"/>
        </w:rPr>
        <w:t xml:space="preserve"> </w:t>
      </w:r>
      <w:r>
        <w:rPr>
          <w:rFonts w:ascii="Garamond" w:hAnsi="Garamond" w:cs="Garamond"/>
        </w:rPr>
        <w:t xml:space="preserve">to achieving a penalty-free readmission rate, whereas hospitals serving sicker, more socially </w:t>
      </w:r>
      <w:r>
        <w:rPr>
          <w:rFonts w:ascii="Garamond" w:hAnsi="Garamond" w:cs="Garamond"/>
          <w:spacing w:val="-3"/>
        </w:rPr>
        <w:t xml:space="preserve">disadvantaged </w:t>
      </w:r>
      <w:r>
        <w:rPr>
          <w:rFonts w:ascii="Garamond" w:hAnsi="Garamond" w:cs="Garamond"/>
        </w:rPr>
        <w:t>patients</w:t>
      </w:r>
      <w:r>
        <w:rPr>
          <w:rFonts w:ascii="Garamond" w:hAnsi="Garamond" w:cs="Garamond"/>
          <w:spacing w:val="-11"/>
        </w:rPr>
        <w:t xml:space="preserve"> </w:t>
      </w:r>
      <w:r>
        <w:rPr>
          <w:rFonts w:ascii="Garamond" w:hAnsi="Garamond" w:cs="Garamond"/>
        </w:rPr>
        <w:t>may</w:t>
      </w:r>
      <w:r>
        <w:rPr>
          <w:rFonts w:ascii="Garamond" w:hAnsi="Garamond" w:cs="Garamond"/>
          <w:spacing w:val="-10"/>
        </w:rPr>
        <w:t xml:space="preserve"> </w:t>
      </w:r>
      <w:r>
        <w:rPr>
          <w:rFonts w:ascii="Garamond" w:hAnsi="Garamond" w:cs="Garamond"/>
        </w:rPr>
        <w:t>have</w:t>
      </w:r>
      <w:r>
        <w:rPr>
          <w:rFonts w:ascii="Garamond" w:hAnsi="Garamond" w:cs="Garamond"/>
          <w:spacing w:val="-8"/>
        </w:rPr>
        <w:t xml:space="preserve"> </w:t>
      </w:r>
      <w:r>
        <w:rPr>
          <w:rFonts w:ascii="Garamond" w:hAnsi="Garamond" w:cs="Garamond"/>
        </w:rPr>
        <w:t>to</w:t>
      </w:r>
      <w:r>
        <w:rPr>
          <w:rFonts w:ascii="Garamond" w:hAnsi="Garamond" w:cs="Garamond"/>
          <w:spacing w:val="-8"/>
        </w:rPr>
        <w:t xml:space="preserve"> </w:t>
      </w:r>
      <w:r>
        <w:rPr>
          <w:rFonts w:ascii="Garamond" w:hAnsi="Garamond" w:cs="Garamond"/>
        </w:rPr>
        <w:t>devote</w:t>
      </w:r>
      <w:r>
        <w:rPr>
          <w:rFonts w:ascii="Garamond" w:hAnsi="Garamond" w:cs="Garamond"/>
          <w:spacing w:val="-15"/>
        </w:rPr>
        <w:t xml:space="preserve"> </w:t>
      </w:r>
      <w:r>
        <w:rPr>
          <w:rFonts w:ascii="Garamond" w:hAnsi="Garamond" w:cs="Garamond"/>
        </w:rPr>
        <w:t>considerable</w:t>
      </w:r>
      <w:r>
        <w:rPr>
          <w:rFonts w:ascii="Garamond" w:hAnsi="Garamond" w:cs="Garamond"/>
          <w:spacing w:val="-13"/>
        </w:rPr>
        <w:t xml:space="preserve"> </w:t>
      </w:r>
      <w:r>
        <w:rPr>
          <w:rFonts w:ascii="Garamond" w:hAnsi="Garamond" w:cs="Garamond"/>
        </w:rPr>
        <w:t>resources</w:t>
      </w:r>
      <w:r>
        <w:rPr>
          <w:rFonts w:ascii="Garamond" w:hAnsi="Garamond" w:cs="Garamond"/>
          <w:spacing w:val="-7"/>
        </w:rPr>
        <w:t xml:space="preserve"> </w:t>
      </w:r>
      <w:r>
        <w:rPr>
          <w:rFonts w:ascii="Garamond" w:hAnsi="Garamond" w:cs="Garamond"/>
        </w:rPr>
        <w:t>to</w:t>
      </w:r>
      <w:r>
        <w:rPr>
          <w:rFonts w:ascii="Garamond" w:hAnsi="Garamond" w:cs="Garamond"/>
          <w:spacing w:val="-12"/>
        </w:rPr>
        <w:t xml:space="preserve"> </w:t>
      </w:r>
      <w:r>
        <w:rPr>
          <w:rFonts w:ascii="Garamond" w:hAnsi="Garamond" w:cs="Garamond"/>
        </w:rPr>
        <w:t>avoid</w:t>
      </w:r>
      <w:r>
        <w:rPr>
          <w:rFonts w:ascii="Garamond" w:hAnsi="Garamond" w:cs="Garamond"/>
          <w:spacing w:val="-8"/>
        </w:rPr>
        <w:t xml:space="preserve"> </w:t>
      </w:r>
      <w:r>
        <w:rPr>
          <w:rFonts w:ascii="Garamond" w:hAnsi="Garamond" w:cs="Garamond"/>
        </w:rPr>
        <w:t>a</w:t>
      </w:r>
      <w:r>
        <w:rPr>
          <w:rFonts w:ascii="Garamond" w:hAnsi="Garamond" w:cs="Garamond"/>
          <w:spacing w:val="-11"/>
        </w:rPr>
        <w:t xml:space="preserve"> </w:t>
      </w:r>
      <w:r>
        <w:rPr>
          <w:rFonts w:ascii="Garamond" w:hAnsi="Garamond" w:cs="Garamond"/>
        </w:rPr>
        <w:t>penalty.”</w:t>
      </w:r>
      <w:r>
        <w:rPr>
          <w:rFonts w:ascii="Garamond" w:hAnsi="Garamond" w:cs="Garamond"/>
          <w:position w:val="5"/>
          <w:sz w:val="14"/>
          <w:szCs w:val="14"/>
        </w:rPr>
        <w:t>59</w:t>
      </w:r>
    </w:p>
    <w:p w:rsidR="002C5025" w:rsidRDefault="002C5025">
      <w:pPr>
        <w:pStyle w:val="BodyText"/>
        <w:kinsoku w:val="0"/>
        <w:overflowPunct w:val="0"/>
        <w:spacing w:before="8"/>
        <w:rPr>
          <w:rFonts w:ascii="Garamond" w:hAnsi="Garamond" w:cs="Garamond"/>
          <w:sz w:val="21"/>
          <w:szCs w:val="21"/>
        </w:rPr>
      </w:pPr>
    </w:p>
    <w:p w:rsidR="002C5025" w:rsidRDefault="002C5025">
      <w:pPr>
        <w:pStyle w:val="BodyText"/>
        <w:kinsoku w:val="0"/>
        <w:overflowPunct w:val="0"/>
        <w:ind w:left="119" w:right="465"/>
        <w:rPr>
          <w:rFonts w:ascii="Garamond" w:hAnsi="Garamond" w:cs="Garamond"/>
        </w:rPr>
      </w:pPr>
      <w:r>
        <w:rPr>
          <w:rFonts w:ascii="Garamond" w:hAnsi="Garamond" w:cs="Garamond"/>
        </w:rPr>
        <w:t>However,</w:t>
      </w:r>
      <w:r>
        <w:rPr>
          <w:rFonts w:ascii="Garamond" w:hAnsi="Garamond" w:cs="Garamond"/>
          <w:spacing w:val="-9"/>
        </w:rPr>
        <w:t xml:space="preserve"> </w:t>
      </w:r>
      <w:r>
        <w:rPr>
          <w:rFonts w:ascii="Garamond" w:hAnsi="Garamond" w:cs="Garamond"/>
        </w:rPr>
        <w:t>these</w:t>
      </w:r>
      <w:r>
        <w:rPr>
          <w:rFonts w:ascii="Garamond" w:hAnsi="Garamond" w:cs="Garamond"/>
          <w:spacing w:val="-9"/>
        </w:rPr>
        <w:t xml:space="preserve"> </w:t>
      </w:r>
      <w:r>
        <w:rPr>
          <w:rFonts w:ascii="Garamond" w:hAnsi="Garamond" w:cs="Garamond"/>
        </w:rPr>
        <w:t>adjustments</w:t>
      </w:r>
      <w:r>
        <w:rPr>
          <w:rFonts w:ascii="Garamond" w:hAnsi="Garamond" w:cs="Garamond"/>
          <w:spacing w:val="-9"/>
        </w:rPr>
        <w:t xml:space="preserve"> </w:t>
      </w:r>
      <w:r>
        <w:rPr>
          <w:rFonts w:ascii="Garamond" w:hAnsi="Garamond" w:cs="Garamond"/>
        </w:rPr>
        <w:t>should</w:t>
      </w:r>
      <w:r>
        <w:rPr>
          <w:rFonts w:ascii="Garamond" w:hAnsi="Garamond" w:cs="Garamond"/>
          <w:spacing w:val="-10"/>
        </w:rPr>
        <w:t xml:space="preserve"> </w:t>
      </w:r>
      <w:r>
        <w:rPr>
          <w:rFonts w:ascii="Garamond" w:hAnsi="Garamond" w:cs="Garamond"/>
        </w:rPr>
        <w:t>only</w:t>
      </w:r>
      <w:r>
        <w:rPr>
          <w:rFonts w:ascii="Garamond" w:hAnsi="Garamond" w:cs="Garamond"/>
          <w:spacing w:val="-9"/>
        </w:rPr>
        <w:t xml:space="preserve"> </w:t>
      </w:r>
      <w:r>
        <w:rPr>
          <w:rFonts w:ascii="Garamond" w:hAnsi="Garamond" w:cs="Garamond"/>
        </w:rPr>
        <w:t>be</w:t>
      </w:r>
      <w:r>
        <w:rPr>
          <w:rFonts w:ascii="Garamond" w:hAnsi="Garamond" w:cs="Garamond"/>
          <w:spacing w:val="-10"/>
        </w:rPr>
        <w:t xml:space="preserve"> </w:t>
      </w:r>
      <w:r>
        <w:rPr>
          <w:rFonts w:ascii="Garamond" w:hAnsi="Garamond" w:cs="Garamond"/>
        </w:rPr>
        <w:t>made</w:t>
      </w:r>
      <w:r>
        <w:rPr>
          <w:rFonts w:ascii="Garamond" w:hAnsi="Garamond" w:cs="Garamond"/>
          <w:spacing w:val="-13"/>
        </w:rPr>
        <w:t xml:space="preserve"> </w:t>
      </w:r>
      <w:r>
        <w:rPr>
          <w:rFonts w:ascii="Garamond" w:hAnsi="Garamond" w:cs="Garamond"/>
        </w:rPr>
        <w:t>to</w:t>
      </w:r>
      <w:r>
        <w:rPr>
          <w:rFonts w:ascii="Garamond" w:hAnsi="Garamond" w:cs="Garamond"/>
          <w:spacing w:val="-9"/>
        </w:rPr>
        <w:t xml:space="preserve"> </w:t>
      </w:r>
      <w:r>
        <w:rPr>
          <w:rFonts w:ascii="Garamond" w:hAnsi="Garamond" w:cs="Garamond"/>
        </w:rPr>
        <w:t>measures</w:t>
      </w:r>
      <w:r>
        <w:rPr>
          <w:rFonts w:ascii="Garamond" w:hAnsi="Garamond" w:cs="Garamond"/>
          <w:spacing w:val="-7"/>
        </w:rPr>
        <w:t xml:space="preserve"> </w:t>
      </w:r>
      <w:r>
        <w:rPr>
          <w:rFonts w:ascii="Garamond" w:hAnsi="Garamond" w:cs="Garamond"/>
        </w:rPr>
        <w:t>that</w:t>
      </w:r>
      <w:r>
        <w:rPr>
          <w:rFonts w:ascii="Garamond" w:hAnsi="Garamond" w:cs="Garamond"/>
          <w:spacing w:val="-9"/>
        </w:rPr>
        <w:t xml:space="preserve"> </w:t>
      </w:r>
      <w:r>
        <w:rPr>
          <w:rFonts w:ascii="Garamond" w:hAnsi="Garamond" w:cs="Garamond"/>
        </w:rPr>
        <w:t>implicate</w:t>
      </w:r>
      <w:r>
        <w:rPr>
          <w:rFonts w:ascii="Garamond" w:hAnsi="Garamond" w:cs="Garamond"/>
          <w:spacing w:val="-10"/>
        </w:rPr>
        <w:t xml:space="preserve"> </w:t>
      </w:r>
      <w:r>
        <w:rPr>
          <w:rFonts w:ascii="Garamond" w:hAnsi="Garamond" w:cs="Garamond"/>
        </w:rPr>
        <w:t>patient</w:t>
      </w:r>
      <w:r>
        <w:rPr>
          <w:rFonts w:ascii="Garamond" w:hAnsi="Garamond" w:cs="Garamond"/>
          <w:spacing w:val="-9"/>
        </w:rPr>
        <w:t xml:space="preserve"> </w:t>
      </w:r>
      <w:r>
        <w:rPr>
          <w:rFonts w:ascii="Garamond" w:hAnsi="Garamond" w:cs="Garamond"/>
        </w:rPr>
        <w:t>characteristics,</w:t>
      </w:r>
      <w:r>
        <w:rPr>
          <w:rFonts w:ascii="Garamond" w:hAnsi="Garamond" w:cs="Garamond"/>
          <w:spacing w:val="-9"/>
        </w:rPr>
        <w:t xml:space="preserve"> </w:t>
      </w:r>
      <w:r>
        <w:rPr>
          <w:rFonts w:ascii="Garamond" w:hAnsi="Garamond" w:cs="Garamond"/>
        </w:rPr>
        <w:t xml:space="preserve">and should not apply to issues solely under the provider’s control (for </w:t>
      </w:r>
      <w:r>
        <w:rPr>
          <w:rFonts w:ascii="Garamond" w:hAnsi="Garamond" w:cs="Garamond"/>
          <w:spacing w:val="-3"/>
        </w:rPr>
        <w:t xml:space="preserve">example, </w:t>
      </w:r>
      <w:r>
        <w:rPr>
          <w:rFonts w:ascii="Garamond" w:hAnsi="Garamond" w:cs="Garamond"/>
        </w:rPr>
        <w:t>surgical checklists or hand washing).</w:t>
      </w:r>
      <w:r>
        <w:rPr>
          <w:rFonts w:ascii="Garamond" w:hAnsi="Garamond" w:cs="Garamond"/>
          <w:spacing w:val="-10"/>
        </w:rPr>
        <w:t xml:space="preserve"> </w:t>
      </w:r>
      <w:r>
        <w:rPr>
          <w:rFonts w:ascii="Garamond" w:hAnsi="Garamond" w:cs="Garamond"/>
        </w:rPr>
        <w:t>In</w:t>
      </w:r>
      <w:r>
        <w:rPr>
          <w:rFonts w:ascii="Garamond" w:hAnsi="Garamond" w:cs="Garamond"/>
          <w:spacing w:val="-10"/>
        </w:rPr>
        <w:t xml:space="preserve"> </w:t>
      </w:r>
      <w:r>
        <w:rPr>
          <w:rFonts w:ascii="Garamond" w:hAnsi="Garamond" w:cs="Garamond"/>
        </w:rPr>
        <w:t>addition,</w:t>
      </w:r>
      <w:r>
        <w:rPr>
          <w:rFonts w:ascii="Garamond" w:hAnsi="Garamond" w:cs="Garamond"/>
          <w:spacing w:val="-7"/>
        </w:rPr>
        <w:t xml:space="preserve"> </w:t>
      </w:r>
      <w:r>
        <w:rPr>
          <w:rFonts w:ascii="Garamond" w:hAnsi="Garamond" w:cs="Garamond"/>
        </w:rPr>
        <w:t>unadjusted</w:t>
      </w:r>
      <w:r>
        <w:rPr>
          <w:rFonts w:ascii="Garamond" w:hAnsi="Garamond" w:cs="Garamond"/>
          <w:spacing w:val="-12"/>
        </w:rPr>
        <w:t xml:space="preserve"> </w:t>
      </w:r>
      <w:r>
        <w:rPr>
          <w:rFonts w:ascii="Garamond" w:hAnsi="Garamond" w:cs="Garamond"/>
        </w:rPr>
        <w:t>stratified</w:t>
      </w:r>
      <w:r>
        <w:rPr>
          <w:rFonts w:ascii="Garamond" w:hAnsi="Garamond" w:cs="Garamond"/>
          <w:spacing w:val="-10"/>
        </w:rPr>
        <w:t xml:space="preserve"> </w:t>
      </w:r>
      <w:r>
        <w:rPr>
          <w:rFonts w:ascii="Garamond" w:hAnsi="Garamond" w:cs="Garamond"/>
        </w:rPr>
        <w:t>data</w:t>
      </w:r>
      <w:r>
        <w:rPr>
          <w:rFonts w:ascii="Garamond" w:hAnsi="Garamond" w:cs="Garamond"/>
          <w:spacing w:val="-11"/>
        </w:rPr>
        <w:t xml:space="preserve"> </w:t>
      </w:r>
      <w:r>
        <w:rPr>
          <w:rFonts w:ascii="Garamond" w:hAnsi="Garamond" w:cs="Garamond"/>
        </w:rPr>
        <w:t>should</w:t>
      </w:r>
      <w:r>
        <w:rPr>
          <w:rFonts w:ascii="Garamond" w:hAnsi="Garamond" w:cs="Garamond"/>
          <w:spacing w:val="-12"/>
        </w:rPr>
        <w:t xml:space="preserve"> </w:t>
      </w:r>
      <w:r>
        <w:rPr>
          <w:rFonts w:ascii="Garamond" w:hAnsi="Garamond" w:cs="Garamond"/>
        </w:rPr>
        <w:t>be</w:t>
      </w:r>
      <w:r>
        <w:rPr>
          <w:rFonts w:ascii="Garamond" w:hAnsi="Garamond" w:cs="Garamond"/>
          <w:spacing w:val="-10"/>
        </w:rPr>
        <w:t xml:space="preserve"> </w:t>
      </w:r>
      <w:r>
        <w:rPr>
          <w:rFonts w:ascii="Garamond" w:hAnsi="Garamond" w:cs="Garamond"/>
        </w:rPr>
        <w:t>made</w:t>
      </w:r>
      <w:r>
        <w:rPr>
          <w:rFonts w:ascii="Garamond" w:hAnsi="Garamond" w:cs="Garamond"/>
          <w:spacing w:val="-10"/>
        </w:rPr>
        <w:t xml:space="preserve"> </w:t>
      </w:r>
      <w:r>
        <w:rPr>
          <w:rFonts w:ascii="Garamond" w:hAnsi="Garamond" w:cs="Garamond"/>
        </w:rPr>
        <w:t>available</w:t>
      </w:r>
      <w:r>
        <w:rPr>
          <w:rFonts w:ascii="Garamond" w:hAnsi="Garamond" w:cs="Garamond"/>
          <w:spacing w:val="-10"/>
        </w:rPr>
        <w:t xml:space="preserve"> </w:t>
      </w:r>
      <w:r>
        <w:rPr>
          <w:rFonts w:ascii="Garamond" w:hAnsi="Garamond" w:cs="Garamond"/>
        </w:rPr>
        <w:t>for</w:t>
      </w:r>
      <w:r>
        <w:rPr>
          <w:rFonts w:ascii="Garamond" w:hAnsi="Garamond" w:cs="Garamond"/>
          <w:spacing w:val="-7"/>
        </w:rPr>
        <w:t xml:space="preserve"> </w:t>
      </w:r>
      <w:r>
        <w:rPr>
          <w:rFonts w:ascii="Garamond" w:hAnsi="Garamond" w:cs="Garamond"/>
        </w:rPr>
        <w:t>measuring</w:t>
      </w:r>
      <w:r>
        <w:rPr>
          <w:rFonts w:ascii="Garamond" w:hAnsi="Garamond" w:cs="Garamond"/>
          <w:spacing w:val="-8"/>
        </w:rPr>
        <w:t xml:space="preserve"> </w:t>
      </w:r>
      <w:r>
        <w:rPr>
          <w:rFonts w:ascii="Garamond" w:hAnsi="Garamond" w:cs="Garamond"/>
        </w:rPr>
        <w:t>disparities</w:t>
      </w:r>
      <w:r>
        <w:rPr>
          <w:rFonts w:ascii="Garamond" w:hAnsi="Garamond" w:cs="Garamond"/>
          <w:spacing w:val="-9"/>
        </w:rPr>
        <w:t xml:space="preserve"> </w:t>
      </w:r>
      <w:r>
        <w:rPr>
          <w:rFonts w:ascii="Garamond" w:hAnsi="Garamond" w:cs="Garamond"/>
        </w:rPr>
        <w:t>and targeting</w:t>
      </w:r>
      <w:r>
        <w:rPr>
          <w:rFonts w:ascii="Garamond" w:hAnsi="Garamond" w:cs="Garamond"/>
          <w:spacing w:val="-17"/>
        </w:rPr>
        <w:t xml:space="preserve"> </w:t>
      </w:r>
      <w:r>
        <w:rPr>
          <w:rFonts w:ascii="Garamond" w:hAnsi="Garamond" w:cs="Garamond"/>
        </w:rPr>
        <w:t>quality</w:t>
      </w:r>
      <w:r>
        <w:rPr>
          <w:rFonts w:ascii="Garamond" w:hAnsi="Garamond" w:cs="Garamond"/>
          <w:spacing w:val="-17"/>
        </w:rPr>
        <w:t xml:space="preserve"> </w:t>
      </w:r>
      <w:r>
        <w:rPr>
          <w:rFonts w:ascii="Garamond" w:hAnsi="Garamond" w:cs="Garamond"/>
        </w:rPr>
        <w:t>improvement</w:t>
      </w:r>
      <w:r>
        <w:rPr>
          <w:rFonts w:ascii="Garamond" w:hAnsi="Garamond" w:cs="Garamond"/>
          <w:spacing w:val="-15"/>
        </w:rPr>
        <w:t xml:space="preserve"> </w:t>
      </w:r>
      <w:r>
        <w:rPr>
          <w:rFonts w:ascii="Garamond" w:hAnsi="Garamond" w:cs="Garamond"/>
        </w:rPr>
        <w:t>efforts.</w:t>
      </w:r>
    </w:p>
    <w:p w:rsidR="002C5025" w:rsidRDefault="002C5025">
      <w:pPr>
        <w:pStyle w:val="BodyText"/>
        <w:kinsoku w:val="0"/>
        <w:overflowPunct w:val="0"/>
        <w:spacing w:before="10"/>
        <w:rPr>
          <w:rFonts w:ascii="Garamond" w:hAnsi="Garamond" w:cs="Garamond"/>
          <w:sz w:val="21"/>
          <w:szCs w:val="21"/>
        </w:rPr>
      </w:pPr>
    </w:p>
    <w:p w:rsidR="002C5025" w:rsidRDefault="002C5025">
      <w:pPr>
        <w:pStyle w:val="BodyText"/>
        <w:kinsoku w:val="0"/>
        <w:overflowPunct w:val="0"/>
        <w:ind w:left="4163" w:right="4180"/>
        <w:jc w:val="center"/>
        <w:rPr>
          <w:rFonts w:ascii="Garamond" w:hAnsi="Garamond" w:cs="Garamond"/>
        </w:rPr>
      </w:pPr>
      <w:r>
        <w:rPr>
          <w:rFonts w:ascii="Garamond" w:hAnsi="Garamond" w:cs="Garamond"/>
        </w:rPr>
        <w:t>****</w:t>
      </w:r>
    </w:p>
    <w:p w:rsidR="002C5025" w:rsidRDefault="002C5025">
      <w:pPr>
        <w:pStyle w:val="BodyText"/>
        <w:kinsoku w:val="0"/>
        <w:overflowPunct w:val="0"/>
        <w:spacing w:before="1"/>
        <w:rPr>
          <w:rFonts w:ascii="Garamond" w:hAnsi="Garamond" w:cs="Garamond"/>
        </w:rPr>
      </w:pPr>
    </w:p>
    <w:p w:rsidR="002C5025" w:rsidRDefault="002C5025">
      <w:pPr>
        <w:pStyle w:val="BodyText"/>
        <w:kinsoku w:val="0"/>
        <w:overflowPunct w:val="0"/>
        <w:spacing w:before="1"/>
        <w:ind w:left="118" w:right="465" w:firstLine="1"/>
        <w:rPr>
          <w:rFonts w:ascii="Garamond" w:hAnsi="Garamond" w:cs="Garamond"/>
          <w:color w:val="000000"/>
        </w:rPr>
      </w:pPr>
      <w:r>
        <w:rPr>
          <w:rFonts w:ascii="Garamond" w:hAnsi="Garamond" w:cs="Garamond"/>
        </w:rPr>
        <w:t>We</w:t>
      </w:r>
      <w:r>
        <w:rPr>
          <w:rFonts w:ascii="Garamond" w:hAnsi="Garamond" w:cs="Garamond"/>
          <w:spacing w:val="-8"/>
        </w:rPr>
        <w:t xml:space="preserve"> </w:t>
      </w:r>
      <w:r>
        <w:rPr>
          <w:rFonts w:ascii="Garamond" w:hAnsi="Garamond" w:cs="Garamond"/>
        </w:rPr>
        <w:t>appreciate</w:t>
      </w:r>
      <w:r>
        <w:rPr>
          <w:rFonts w:ascii="Garamond" w:hAnsi="Garamond" w:cs="Garamond"/>
          <w:spacing w:val="-10"/>
        </w:rPr>
        <w:t xml:space="preserve"> </w:t>
      </w:r>
      <w:r>
        <w:rPr>
          <w:rFonts w:ascii="Garamond" w:hAnsi="Garamond" w:cs="Garamond"/>
        </w:rPr>
        <w:t>the</w:t>
      </w:r>
      <w:r>
        <w:rPr>
          <w:rFonts w:ascii="Garamond" w:hAnsi="Garamond" w:cs="Garamond"/>
          <w:spacing w:val="-11"/>
        </w:rPr>
        <w:t xml:space="preserve"> </w:t>
      </w:r>
      <w:r>
        <w:rPr>
          <w:rFonts w:ascii="Garamond" w:hAnsi="Garamond" w:cs="Garamond"/>
        </w:rPr>
        <w:t>opportunity</w:t>
      </w:r>
      <w:r>
        <w:rPr>
          <w:rFonts w:ascii="Garamond" w:hAnsi="Garamond" w:cs="Garamond"/>
          <w:spacing w:val="-8"/>
        </w:rPr>
        <w:t xml:space="preserve"> </w:t>
      </w:r>
      <w:r>
        <w:rPr>
          <w:rFonts w:ascii="Garamond" w:hAnsi="Garamond" w:cs="Garamond"/>
        </w:rPr>
        <w:t>to</w:t>
      </w:r>
      <w:r>
        <w:rPr>
          <w:rFonts w:ascii="Garamond" w:hAnsi="Garamond" w:cs="Garamond"/>
          <w:spacing w:val="-10"/>
        </w:rPr>
        <w:t xml:space="preserve"> </w:t>
      </w:r>
      <w:r>
        <w:rPr>
          <w:rFonts w:ascii="Garamond" w:hAnsi="Garamond" w:cs="Garamond"/>
        </w:rPr>
        <w:t>submit</w:t>
      </w:r>
      <w:r>
        <w:rPr>
          <w:rFonts w:ascii="Garamond" w:hAnsi="Garamond" w:cs="Garamond"/>
          <w:spacing w:val="-7"/>
        </w:rPr>
        <w:t xml:space="preserve"> </w:t>
      </w:r>
      <w:r>
        <w:rPr>
          <w:rFonts w:ascii="Garamond" w:hAnsi="Garamond" w:cs="Garamond"/>
        </w:rPr>
        <w:t>comments</w:t>
      </w:r>
      <w:r>
        <w:rPr>
          <w:rFonts w:ascii="Garamond" w:hAnsi="Garamond" w:cs="Garamond"/>
          <w:spacing w:val="-6"/>
        </w:rPr>
        <w:t xml:space="preserve"> </w:t>
      </w:r>
      <w:r>
        <w:rPr>
          <w:rFonts w:ascii="Garamond" w:hAnsi="Garamond" w:cs="Garamond"/>
        </w:rPr>
        <w:t>in</w:t>
      </w:r>
      <w:r>
        <w:rPr>
          <w:rFonts w:ascii="Garamond" w:hAnsi="Garamond" w:cs="Garamond"/>
          <w:spacing w:val="-11"/>
        </w:rPr>
        <w:t xml:space="preserve"> </w:t>
      </w:r>
      <w:r>
        <w:rPr>
          <w:rFonts w:ascii="Garamond" w:hAnsi="Garamond" w:cs="Garamond"/>
        </w:rPr>
        <w:t>response</w:t>
      </w:r>
      <w:r>
        <w:rPr>
          <w:rFonts w:ascii="Garamond" w:hAnsi="Garamond" w:cs="Garamond"/>
          <w:spacing w:val="-8"/>
        </w:rPr>
        <w:t xml:space="preserve"> </w:t>
      </w:r>
      <w:r>
        <w:rPr>
          <w:rFonts w:ascii="Garamond" w:hAnsi="Garamond" w:cs="Garamond"/>
        </w:rPr>
        <w:t>to</w:t>
      </w:r>
      <w:r>
        <w:rPr>
          <w:rFonts w:ascii="Garamond" w:hAnsi="Garamond" w:cs="Garamond"/>
          <w:spacing w:val="-11"/>
        </w:rPr>
        <w:t xml:space="preserve"> </w:t>
      </w:r>
      <w:r>
        <w:rPr>
          <w:rFonts w:ascii="Garamond" w:hAnsi="Garamond" w:cs="Garamond"/>
        </w:rPr>
        <w:t>MassHealth’s</w:t>
      </w:r>
      <w:r>
        <w:rPr>
          <w:rFonts w:ascii="Garamond" w:hAnsi="Garamond" w:cs="Garamond"/>
          <w:spacing w:val="-8"/>
        </w:rPr>
        <w:t xml:space="preserve"> </w:t>
      </w:r>
      <w:r>
        <w:rPr>
          <w:rFonts w:ascii="Garamond" w:hAnsi="Garamond" w:cs="Garamond"/>
        </w:rPr>
        <w:t>1115</w:t>
      </w:r>
      <w:r>
        <w:rPr>
          <w:rFonts w:ascii="Garamond" w:hAnsi="Garamond" w:cs="Garamond"/>
          <w:spacing w:val="-10"/>
        </w:rPr>
        <w:t xml:space="preserve"> </w:t>
      </w:r>
      <w:r>
        <w:rPr>
          <w:rFonts w:ascii="Garamond" w:hAnsi="Garamond" w:cs="Garamond"/>
        </w:rPr>
        <w:t>Waiver</w:t>
      </w:r>
      <w:r>
        <w:rPr>
          <w:rFonts w:ascii="Garamond" w:hAnsi="Garamond" w:cs="Garamond"/>
          <w:spacing w:val="-9"/>
        </w:rPr>
        <w:t xml:space="preserve"> </w:t>
      </w:r>
      <w:r>
        <w:rPr>
          <w:rFonts w:ascii="Garamond" w:hAnsi="Garamond" w:cs="Garamond"/>
        </w:rPr>
        <w:t>Request.</w:t>
      </w:r>
      <w:r>
        <w:rPr>
          <w:rFonts w:ascii="Garamond" w:hAnsi="Garamond" w:cs="Garamond"/>
          <w:spacing w:val="-10"/>
        </w:rPr>
        <w:t xml:space="preserve"> </w:t>
      </w:r>
      <w:r>
        <w:rPr>
          <w:rFonts w:ascii="Garamond" w:hAnsi="Garamond" w:cs="Garamond"/>
        </w:rPr>
        <w:t xml:space="preserve">We look forward to continuing to work with </w:t>
      </w:r>
      <w:r>
        <w:rPr>
          <w:rFonts w:ascii="Garamond" w:hAnsi="Garamond" w:cs="Garamond"/>
          <w:spacing w:val="-3"/>
        </w:rPr>
        <w:t xml:space="preserve">you </w:t>
      </w:r>
      <w:r>
        <w:rPr>
          <w:rFonts w:ascii="Garamond" w:hAnsi="Garamond" w:cs="Garamond"/>
        </w:rPr>
        <w:t xml:space="preserve">to ensure that these reforms result in </w:t>
      </w:r>
      <w:r>
        <w:rPr>
          <w:rFonts w:ascii="Garamond" w:hAnsi="Garamond" w:cs="Garamond"/>
          <w:spacing w:val="-4"/>
        </w:rPr>
        <w:t xml:space="preserve">enhanced </w:t>
      </w:r>
      <w:r>
        <w:rPr>
          <w:rFonts w:ascii="Garamond" w:hAnsi="Garamond" w:cs="Garamond"/>
        </w:rPr>
        <w:t xml:space="preserve">care and improved </w:t>
      </w:r>
      <w:r>
        <w:rPr>
          <w:rFonts w:ascii="Garamond" w:hAnsi="Garamond" w:cs="Garamond"/>
          <w:spacing w:val="-3"/>
        </w:rPr>
        <w:t xml:space="preserve">outcomes </w:t>
      </w:r>
      <w:r>
        <w:rPr>
          <w:rFonts w:ascii="Garamond" w:hAnsi="Garamond" w:cs="Garamond"/>
        </w:rPr>
        <w:t xml:space="preserve">for MassHealth members. Should </w:t>
      </w:r>
      <w:r>
        <w:rPr>
          <w:rFonts w:ascii="Garamond" w:hAnsi="Garamond" w:cs="Garamond"/>
          <w:spacing w:val="-3"/>
        </w:rPr>
        <w:t xml:space="preserve">you </w:t>
      </w:r>
      <w:r>
        <w:rPr>
          <w:rFonts w:ascii="Garamond" w:hAnsi="Garamond" w:cs="Garamond"/>
        </w:rPr>
        <w:t xml:space="preserve">have any questions or wish to discuss these comments further, please </w:t>
      </w:r>
      <w:r>
        <w:rPr>
          <w:rFonts w:ascii="Garamond" w:hAnsi="Garamond" w:cs="Garamond"/>
          <w:spacing w:val="-3"/>
        </w:rPr>
        <w:t xml:space="preserve">contact </w:t>
      </w:r>
      <w:r>
        <w:rPr>
          <w:rFonts w:ascii="Garamond" w:hAnsi="Garamond" w:cs="Garamond"/>
        </w:rPr>
        <w:t xml:space="preserve">Alyssa </w:t>
      </w:r>
      <w:proofErr w:type="spellStart"/>
      <w:r>
        <w:rPr>
          <w:rFonts w:ascii="Garamond" w:hAnsi="Garamond" w:cs="Garamond"/>
        </w:rPr>
        <w:t>Vangeli</w:t>
      </w:r>
      <w:proofErr w:type="spellEnd"/>
      <w:r>
        <w:rPr>
          <w:rFonts w:ascii="Garamond" w:hAnsi="Garamond" w:cs="Garamond"/>
        </w:rPr>
        <w:t xml:space="preserve"> at (617) 275-2922 or </w:t>
      </w:r>
      <w:hyperlink r:id="rId360" w:history="1">
        <w:r>
          <w:rPr>
            <w:rFonts w:ascii="Garamond" w:hAnsi="Garamond" w:cs="Garamond"/>
            <w:color w:val="0000FF"/>
            <w:u w:val="single" w:color="000000"/>
          </w:rPr>
          <w:t>avangeli@hcfama.org</w:t>
        </w:r>
      </w:hyperlink>
      <w:r>
        <w:rPr>
          <w:rFonts w:ascii="Garamond" w:hAnsi="Garamond" w:cs="Garamond"/>
          <w:color w:val="0000FF"/>
          <w:u w:val="single" w:color="000000"/>
        </w:rPr>
        <w:t xml:space="preserve"> </w:t>
      </w:r>
      <w:r>
        <w:rPr>
          <w:rFonts w:ascii="Garamond" w:hAnsi="Garamond" w:cs="Garamond"/>
          <w:color w:val="000000"/>
        </w:rPr>
        <w:t>or Suzanne Curry</w:t>
      </w:r>
      <w:r>
        <w:rPr>
          <w:rFonts w:ascii="Garamond" w:hAnsi="Garamond" w:cs="Garamond"/>
          <w:color w:val="000000"/>
          <w:spacing w:val="-9"/>
        </w:rPr>
        <w:t xml:space="preserve"> </w:t>
      </w:r>
      <w:r>
        <w:rPr>
          <w:rFonts w:ascii="Garamond" w:hAnsi="Garamond" w:cs="Garamond"/>
          <w:color w:val="000000"/>
        </w:rPr>
        <w:t>at</w:t>
      </w:r>
      <w:r>
        <w:rPr>
          <w:rFonts w:ascii="Garamond" w:hAnsi="Garamond" w:cs="Garamond"/>
          <w:color w:val="000000"/>
          <w:spacing w:val="-9"/>
        </w:rPr>
        <w:t xml:space="preserve"> </w:t>
      </w:r>
      <w:r>
        <w:rPr>
          <w:rFonts w:ascii="Garamond" w:hAnsi="Garamond" w:cs="Garamond"/>
          <w:color w:val="000000"/>
        </w:rPr>
        <w:t>(617)</w:t>
      </w:r>
      <w:r>
        <w:rPr>
          <w:rFonts w:ascii="Garamond" w:hAnsi="Garamond" w:cs="Garamond"/>
          <w:color w:val="000000"/>
          <w:spacing w:val="-10"/>
        </w:rPr>
        <w:t xml:space="preserve"> </w:t>
      </w:r>
      <w:r>
        <w:rPr>
          <w:rFonts w:ascii="Garamond" w:hAnsi="Garamond" w:cs="Garamond"/>
          <w:color w:val="000000"/>
        </w:rPr>
        <w:t>275-2977</w:t>
      </w:r>
      <w:r>
        <w:rPr>
          <w:rFonts w:ascii="Garamond" w:hAnsi="Garamond" w:cs="Garamond"/>
          <w:color w:val="000000"/>
          <w:spacing w:val="-11"/>
        </w:rPr>
        <w:t xml:space="preserve"> </w:t>
      </w:r>
      <w:r>
        <w:rPr>
          <w:rFonts w:ascii="Garamond" w:hAnsi="Garamond" w:cs="Garamond"/>
          <w:color w:val="000000"/>
        </w:rPr>
        <w:t>or</w:t>
      </w:r>
      <w:r>
        <w:rPr>
          <w:rFonts w:ascii="Garamond" w:hAnsi="Garamond" w:cs="Garamond"/>
          <w:color w:val="000000"/>
          <w:spacing w:val="-12"/>
        </w:rPr>
        <w:t xml:space="preserve"> </w:t>
      </w:r>
      <w:hyperlink r:id="rId361" w:history="1">
        <w:r>
          <w:rPr>
            <w:rFonts w:ascii="Garamond" w:hAnsi="Garamond" w:cs="Garamond"/>
            <w:color w:val="0000FF"/>
            <w:u w:val="single" w:color="000000"/>
          </w:rPr>
          <w:t>scurry@hcfama.org</w:t>
        </w:r>
        <w:r>
          <w:rPr>
            <w:rFonts w:ascii="Garamond" w:hAnsi="Garamond" w:cs="Garamond"/>
            <w:color w:val="000000"/>
          </w:rPr>
          <w:t>.</w:t>
        </w:r>
      </w:hyperlink>
      <w:r>
        <w:rPr>
          <w:rFonts w:ascii="Garamond" w:hAnsi="Garamond" w:cs="Garamond"/>
          <w:color w:val="000000"/>
          <w:spacing w:val="-13"/>
        </w:rPr>
        <w:t xml:space="preserve"> </w:t>
      </w:r>
      <w:r>
        <w:rPr>
          <w:rFonts w:ascii="Garamond" w:hAnsi="Garamond" w:cs="Garamond"/>
          <w:color w:val="000000"/>
        </w:rPr>
        <w:t>Thank</w:t>
      </w:r>
      <w:r>
        <w:rPr>
          <w:rFonts w:ascii="Garamond" w:hAnsi="Garamond" w:cs="Garamond"/>
          <w:color w:val="000000"/>
          <w:spacing w:val="-9"/>
        </w:rPr>
        <w:t xml:space="preserve"> </w:t>
      </w:r>
      <w:r>
        <w:rPr>
          <w:rFonts w:ascii="Garamond" w:hAnsi="Garamond" w:cs="Garamond"/>
          <w:color w:val="000000"/>
          <w:spacing w:val="-3"/>
        </w:rPr>
        <w:t>you</w:t>
      </w:r>
      <w:r>
        <w:rPr>
          <w:rFonts w:ascii="Garamond" w:hAnsi="Garamond" w:cs="Garamond"/>
          <w:color w:val="000000"/>
          <w:spacing w:val="-11"/>
        </w:rPr>
        <w:t xml:space="preserve"> </w:t>
      </w:r>
      <w:r>
        <w:rPr>
          <w:rFonts w:ascii="Garamond" w:hAnsi="Garamond" w:cs="Garamond"/>
          <w:color w:val="000000"/>
        </w:rPr>
        <w:t>for</w:t>
      </w:r>
      <w:r>
        <w:rPr>
          <w:rFonts w:ascii="Garamond" w:hAnsi="Garamond" w:cs="Garamond"/>
          <w:color w:val="000000"/>
          <w:spacing w:val="-10"/>
        </w:rPr>
        <w:t xml:space="preserve"> </w:t>
      </w:r>
      <w:r>
        <w:rPr>
          <w:rFonts w:ascii="Garamond" w:hAnsi="Garamond" w:cs="Garamond"/>
          <w:color w:val="000000"/>
        </w:rPr>
        <w:t>your</w:t>
      </w:r>
      <w:r>
        <w:rPr>
          <w:rFonts w:ascii="Garamond" w:hAnsi="Garamond" w:cs="Garamond"/>
          <w:color w:val="000000"/>
          <w:spacing w:val="-9"/>
        </w:rPr>
        <w:t xml:space="preserve"> </w:t>
      </w:r>
      <w:r>
        <w:rPr>
          <w:rFonts w:ascii="Garamond" w:hAnsi="Garamond" w:cs="Garamond"/>
          <w:color w:val="000000"/>
        </w:rPr>
        <w:t>consideration.</w:t>
      </w:r>
    </w:p>
    <w:p w:rsidR="002C5025" w:rsidRDefault="002C5025">
      <w:pPr>
        <w:pStyle w:val="BodyText"/>
        <w:kinsoku w:val="0"/>
        <w:overflowPunct w:val="0"/>
        <w:spacing w:before="9"/>
        <w:rPr>
          <w:rFonts w:ascii="Garamond" w:hAnsi="Garamond" w:cs="Garamond"/>
          <w:sz w:val="14"/>
          <w:szCs w:val="14"/>
        </w:rPr>
      </w:pPr>
    </w:p>
    <w:p w:rsidR="002C5025" w:rsidRDefault="002C5025">
      <w:pPr>
        <w:pStyle w:val="BodyText"/>
        <w:kinsoku w:val="0"/>
        <w:overflowPunct w:val="0"/>
        <w:spacing w:before="80"/>
        <w:ind w:left="120" w:right="5289"/>
        <w:rPr>
          <w:rFonts w:ascii="Garamond" w:hAnsi="Garamond" w:cs="Garamond"/>
        </w:rPr>
      </w:pPr>
      <w:r>
        <w:rPr>
          <w:rFonts w:ascii="Garamond" w:hAnsi="Garamond" w:cs="Garamond"/>
        </w:rPr>
        <w:t>Sincerely,</w:t>
      </w:r>
    </w:p>
    <w:p w:rsidR="002C5025" w:rsidRDefault="00FB027C">
      <w:pPr>
        <w:pStyle w:val="BodyText"/>
        <w:kinsoku w:val="0"/>
        <w:overflowPunct w:val="0"/>
        <w:spacing w:before="7"/>
        <w:rPr>
          <w:rFonts w:ascii="Garamond" w:hAnsi="Garamond" w:cs="Garamond"/>
          <w:sz w:val="18"/>
          <w:szCs w:val="18"/>
        </w:rPr>
      </w:pPr>
      <w:r>
        <w:rPr>
          <w:noProof/>
        </w:rPr>
        <mc:AlternateContent>
          <mc:Choice Requires="wps">
            <w:drawing>
              <wp:anchor distT="0" distB="0" distL="0" distR="0" simplePos="0" relativeHeight="251673088" behindDoc="0" locked="0" layoutInCell="0" allowOverlap="1">
                <wp:simplePos x="0" y="0"/>
                <wp:positionH relativeFrom="page">
                  <wp:posOffset>914400</wp:posOffset>
                </wp:positionH>
                <wp:positionV relativeFrom="paragraph">
                  <wp:posOffset>158115</wp:posOffset>
                </wp:positionV>
                <wp:extent cx="1447800" cy="482600"/>
                <wp:effectExtent l="0" t="0" r="0" b="0"/>
                <wp:wrapTopAndBottom/>
                <wp:docPr id="546" name="Rectangle 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482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760" w:lineRule="atLeast"/>
                            </w:pPr>
                            <w:r>
                              <w:rPr>
                                <w:noProof/>
                              </w:rPr>
                              <w:drawing>
                                <wp:inline distT="0" distB="0" distL="0" distR="0">
                                  <wp:extent cx="1457325" cy="476250"/>
                                  <wp:effectExtent l="0" t="0" r="9525"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1457325" cy="476250"/>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9" o:spid="_x0000_s1184" style="position:absolute;margin-left:1in;margin-top:12.45pt;width:114pt;height:38pt;z-index:251673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" o:allowincell="f" filled="f" stroked="f">
                <v:textbox inset="0,0,0,0">
                  <w:txbxContent>
                    <w:p w:rsidR="007B2B7B" w:rsidRDefault="007B2B7B">
                      <w:pPr>
                        <w:widowControl/>
                        <w:autoSpaceDE/>
                        <w:autoSpaceDN/>
                        <w:adjustRightInd/>
                        <w:spacing w:line="760" w:lineRule="atLeast"/>
                      </w:pPr>
                      <w:r>
                        <w:rPr>
                          <w:noProof/>
                        </w:rPr>
                        <w:drawing>
                          <wp:inline distT="0" distB="0" distL="0" distR="0">
                            <wp:extent cx="1457325" cy="476250"/>
                            <wp:effectExtent l="0" t="0" r="9525"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1457325" cy="476250"/>
                                    </a:xfrm>
                                    <a:prstGeom prst="rect">
                                      <a:avLst/>
                                    </a:prstGeom>
                                    <a:noFill/>
                                    <a:ln>
                                      <a:noFill/>
                                    </a:ln>
                                  </pic:spPr>
                                </pic:pic>
                              </a:graphicData>
                            </a:graphic>
                          </wp:inline>
                        </w:drawing>
                      </w:r>
                    </w:p>
                    <w:p w:rsidR="007B2B7B" w:rsidRDefault="007B2B7B"/>
                  </w:txbxContent>
                </v:textbox>
                <w10:wrap type="topAndBottom" anchorx="page"/>
              </v:rect>
            </w:pict>
          </mc:Fallback>
        </mc:AlternateContent>
      </w:r>
    </w:p>
    <w:p w:rsidR="002C5025" w:rsidRDefault="002C5025">
      <w:pPr>
        <w:pStyle w:val="BodyText"/>
        <w:kinsoku w:val="0"/>
        <w:overflowPunct w:val="0"/>
        <w:spacing w:before="10"/>
        <w:rPr>
          <w:rFonts w:ascii="Garamond" w:hAnsi="Garamond" w:cs="Garamond"/>
          <w:sz w:val="19"/>
          <w:szCs w:val="19"/>
        </w:rPr>
      </w:pPr>
    </w:p>
    <w:p w:rsidR="002C5025" w:rsidRDefault="002C5025">
      <w:pPr>
        <w:pStyle w:val="BodyText"/>
        <w:kinsoku w:val="0"/>
        <w:overflowPunct w:val="0"/>
        <w:ind w:left="119" w:right="6525"/>
        <w:rPr>
          <w:rFonts w:ascii="Garamond" w:hAnsi="Garamond" w:cs="Garamond"/>
        </w:rPr>
      </w:pPr>
      <w:r>
        <w:rPr>
          <w:rFonts w:ascii="Garamond" w:hAnsi="Garamond" w:cs="Garamond"/>
        </w:rPr>
        <w:t xml:space="preserve">Amy Whitcomb </w:t>
      </w:r>
      <w:proofErr w:type="spellStart"/>
      <w:r>
        <w:rPr>
          <w:rFonts w:ascii="Garamond" w:hAnsi="Garamond" w:cs="Garamond"/>
        </w:rPr>
        <w:t>Slemmer</w:t>
      </w:r>
      <w:proofErr w:type="spellEnd"/>
      <w:r>
        <w:rPr>
          <w:rFonts w:ascii="Garamond" w:hAnsi="Garamond" w:cs="Garamond"/>
        </w:rPr>
        <w:t>, Esq. Executive Director</w:t>
      </w:r>
    </w:p>
    <w:p w:rsidR="002C5025" w:rsidRDefault="002C5025">
      <w:pPr>
        <w:pStyle w:val="BodyText"/>
        <w:kinsoku w:val="0"/>
        <w:overflowPunct w:val="0"/>
        <w:rPr>
          <w:rFonts w:ascii="Garamond" w:hAnsi="Garamond" w:cs="Garamond"/>
        </w:rPr>
      </w:pPr>
    </w:p>
    <w:p w:rsidR="002C5025" w:rsidRDefault="002C5025">
      <w:pPr>
        <w:pStyle w:val="BodyText"/>
        <w:kinsoku w:val="0"/>
        <w:overflowPunct w:val="0"/>
        <w:spacing w:before="8"/>
        <w:rPr>
          <w:rFonts w:ascii="Garamond" w:hAnsi="Garamond" w:cs="Garamond"/>
        </w:rPr>
      </w:pPr>
    </w:p>
    <w:p w:rsidR="002C5025" w:rsidRDefault="002C5025">
      <w:pPr>
        <w:pStyle w:val="BodyText"/>
        <w:tabs>
          <w:tab w:val="left" w:pos="839"/>
        </w:tabs>
        <w:kinsoku w:val="0"/>
        <w:overflowPunct w:val="0"/>
        <w:spacing w:line="244" w:lineRule="exact"/>
        <w:ind w:left="120" w:right="5289"/>
        <w:rPr>
          <w:rFonts w:ascii="Garamond" w:hAnsi="Garamond" w:cs="Garamond"/>
        </w:rPr>
      </w:pPr>
      <w:r>
        <w:rPr>
          <w:rFonts w:ascii="Garamond" w:hAnsi="Garamond" w:cs="Garamond"/>
          <w:spacing w:val="-3"/>
        </w:rPr>
        <w:t>Cc:</w:t>
      </w:r>
      <w:r>
        <w:rPr>
          <w:rFonts w:ascii="Garamond" w:hAnsi="Garamond" w:cs="Garamond"/>
          <w:spacing w:val="-3"/>
        </w:rPr>
        <w:tab/>
      </w:r>
      <w:r>
        <w:rPr>
          <w:rFonts w:ascii="Garamond" w:hAnsi="Garamond" w:cs="Garamond"/>
        </w:rPr>
        <w:t>Robin</w:t>
      </w:r>
      <w:r>
        <w:rPr>
          <w:rFonts w:ascii="Garamond" w:hAnsi="Garamond" w:cs="Garamond"/>
          <w:spacing w:val="-15"/>
        </w:rPr>
        <w:t xml:space="preserve"> </w:t>
      </w:r>
      <w:r>
        <w:rPr>
          <w:rFonts w:ascii="Garamond" w:hAnsi="Garamond" w:cs="Garamond"/>
        </w:rPr>
        <w:t>Callahan,</w:t>
      </w:r>
      <w:r>
        <w:rPr>
          <w:rFonts w:ascii="Garamond" w:hAnsi="Garamond" w:cs="Garamond"/>
          <w:spacing w:val="-15"/>
        </w:rPr>
        <w:t xml:space="preserve"> </w:t>
      </w:r>
      <w:r>
        <w:rPr>
          <w:rFonts w:ascii="Garamond" w:hAnsi="Garamond" w:cs="Garamond"/>
        </w:rPr>
        <w:t>Deputy</w:t>
      </w:r>
      <w:r>
        <w:rPr>
          <w:rFonts w:ascii="Garamond" w:hAnsi="Garamond" w:cs="Garamond"/>
          <w:spacing w:val="-15"/>
        </w:rPr>
        <w:t xml:space="preserve"> </w:t>
      </w:r>
      <w:r>
        <w:rPr>
          <w:rFonts w:ascii="Garamond" w:hAnsi="Garamond" w:cs="Garamond"/>
        </w:rPr>
        <w:t>Director</w:t>
      </w:r>
    </w:p>
    <w:p w:rsidR="002C5025" w:rsidRDefault="002C5025">
      <w:pPr>
        <w:pStyle w:val="BodyText"/>
        <w:kinsoku w:val="0"/>
        <w:overflowPunct w:val="0"/>
        <w:ind w:left="839" w:right="3023"/>
        <w:rPr>
          <w:rFonts w:ascii="Garamond" w:hAnsi="Garamond" w:cs="Garamond"/>
        </w:rPr>
      </w:pPr>
      <w:r>
        <w:rPr>
          <w:rFonts w:ascii="Garamond" w:hAnsi="Garamond" w:cs="Garamond"/>
        </w:rPr>
        <w:t>Ipek Demirsoy, Director of Payment and Care Delivery Innovation Corrine Altman Moore, Director of Policy</w:t>
      </w:r>
    </w:p>
    <w:p w:rsidR="002C5025" w:rsidRDefault="002C5025">
      <w:pPr>
        <w:pStyle w:val="BodyText"/>
        <w:kinsoku w:val="0"/>
        <w:overflowPunct w:val="0"/>
        <w:spacing w:line="242" w:lineRule="auto"/>
        <w:ind w:left="839" w:right="3454"/>
        <w:rPr>
          <w:rFonts w:ascii="Garamond" w:hAnsi="Garamond" w:cs="Garamond"/>
        </w:rPr>
      </w:pPr>
      <w:r>
        <w:rPr>
          <w:rFonts w:ascii="Garamond" w:hAnsi="Garamond" w:cs="Garamond"/>
        </w:rPr>
        <w:t>Aditya Mahalingam-Dhingra, Manager of Payment Innovation Amanda Cassel Kraft, Chief of Staff</w:t>
      </w:r>
    </w:p>
    <w:p w:rsidR="002C5025" w:rsidRDefault="002C5025">
      <w:pPr>
        <w:pStyle w:val="BodyText"/>
        <w:kinsoku w:val="0"/>
        <w:overflowPunct w:val="0"/>
        <w:rPr>
          <w:rFonts w:ascii="Garamond" w:hAnsi="Garamond" w:cs="Garamond"/>
          <w:sz w:val="20"/>
          <w:szCs w:val="20"/>
        </w:rPr>
      </w:pPr>
    </w:p>
    <w:p w:rsidR="002C5025" w:rsidRDefault="002C5025">
      <w:pPr>
        <w:pStyle w:val="BodyText"/>
        <w:kinsoku w:val="0"/>
        <w:overflowPunct w:val="0"/>
        <w:rPr>
          <w:rFonts w:ascii="Garamond" w:hAnsi="Garamond" w:cs="Garamond"/>
          <w:sz w:val="20"/>
          <w:szCs w:val="20"/>
        </w:rPr>
      </w:pPr>
    </w:p>
    <w:p w:rsidR="002C5025" w:rsidRDefault="002C5025">
      <w:pPr>
        <w:pStyle w:val="BodyText"/>
        <w:kinsoku w:val="0"/>
        <w:overflowPunct w:val="0"/>
        <w:rPr>
          <w:rFonts w:ascii="Garamond" w:hAnsi="Garamond" w:cs="Garamond"/>
          <w:sz w:val="20"/>
          <w:szCs w:val="20"/>
        </w:rPr>
      </w:pPr>
    </w:p>
    <w:p w:rsidR="002C5025" w:rsidRDefault="002C5025">
      <w:pPr>
        <w:pStyle w:val="BodyText"/>
        <w:kinsoku w:val="0"/>
        <w:overflowPunct w:val="0"/>
        <w:rPr>
          <w:rFonts w:ascii="Garamond" w:hAnsi="Garamond" w:cs="Garamond"/>
          <w:sz w:val="20"/>
          <w:szCs w:val="20"/>
        </w:rPr>
      </w:pPr>
    </w:p>
    <w:p w:rsidR="002C5025" w:rsidRDefault="002C5025">
      <w:pPr>
        <w:pStyle w:val="BodyText"/>
        <w:kinsoku w:val="0"/>
        <w:overflowPunct w:val="0"/>
        <w:rPr>
          <w:rFonts w:ascii="Garamond" w:hAnsi="Garamond" w:cs="Garamond"/>
          <w:sz w:val="20"/>
          <w:szCs w:val="20"/>
        </w:rPr>
      </w:pPr>
    </w:p>
    <w:p w:rsidR="002C5025" w:rsidRDefault="002C5025">
      <w:pPr>
        <w:pStyle w:val="BodyText"/>
        <w:kinsoku w:val="0"/>
        <w:overflowPunct w:val="0"/>
        <w:rPr>
          <w:rFonts w:ascii="Garamond" w:hAnsi="Garamond" w:cs="Garamond"/>
          <w:sz w:val="20"/>
          <w:szCs w:val="20"/>
        </w:rPr>
      </w:pPr>
    </w:p>
    <w:p w:rsidR="002C5025" w:rsidRDefault="002C5025">
      <w:pPr>
        <w:pStyle w:val="BodyText"/>
        <w:kinsoku w:val="0"/>
        <w:overflowPunct w:val="0"/>
        <w:rPr>
          <w:rFonts w:ascii="Garamond" w:hAnsi="Garamond" w:cs="Garamond"/>
          <w:sz w:val="20"/>
          <w:szCs w:val="20"/>
        </w:rPr>
      </w:pPr>
    </w:p>
    <w:p w:rsidR="002C5025" w:rsidRDefault="002C5025">
      <w:pPr>
        <w:pStyle w:val="BodyText"/>
        <w:kinsoku w:val="0"/>
        <w:overflowPunct w:val="0"/>
        <w:rPr>
          <w:rFonts w:ascii="Garamond" w:hAnsi="Garamond" w:cs="Garamond"/>
          <w:sz w:val="20"/>
          <w:szCs w:val="20"/>
        </w:rPr>
      </w:pPr>
    </w:p>
    <w:p w:rsidR="002C5025" w:rsidRDefault="002C5025">
      <w:pPr>
        <w:pStyle w:val="BodyText"/>
        <w:kinsoku w:val="0"/>
        <w:overflowPunct w:val="0"/>
        <w:rPr>
          <w:rFonts w:ascii="Garamond" w:hAnsi="Garamond" w:cs="Garamond"/>
          <w:sz w:val="20"/>
          <w:szCs w:val="20"/>
        </w:rPr>
      </w:pPr>
    </w:p>
    <w:p w:rsidR="002C5025" w:rsidRDefault="002C5025">
      <w:pPr>
        <w:pStyle w:val="BodyText"/>
        <w:kinsoku w:val="0"/>
        <w:overflowPunct w:val="0"/>
        <w:rPr>
          <w:rFonts w:ascii="Garamond" w:hAnsi="Garamond" w:cs="Garamond"/>
          <w:sz w:val="20"/>
          <w:szCs w:val="20"/>
        </w:rPr>
      </w:pPr>
    </w:p>
    <w:p w:rsidR="002C5025" w:rsidRDefault="002C5025">
      <w:pPr>
        <w:pStyle w:val="BodyText"/>
        <w:kinsoku w:val="0"/>
        <w:overflowPunct w:val="0"/>
        <w:rPr>
          <w:rFonts w:ascii="Garamond" w:hAnsi="Garamond" w:cs="Garamond"/>
          <w:sz w:val="20"/>
          <w:szCs w:val="20"/>
        </w:rPr>
      </w:pPr>
    </w:p>
    <w:p w:rsidR="002C5025" w:rsidRDefault="002C5025">
      <w:pPr>
        <w:pStyle w:val="BodyText"/>
        <w:kinsoku w:val="0"/>
        <w:overflowPunct w:val="0"/>
        <w:rPr>
          <w:rFonts w:ascii="Garamond" w:hAnsi="Garamond" w:cs="Garamond"/>
          <w:sz w:val="20"/>
          <w:szCs w:val="20"/>
        </w:rPr>
      </w:pPr>
    </w:p>
    <w:p w:rsidR="002C5025" w:rsidRDefault="002C5025">
      <w:pPr>
        <w:pStyle w:val="BodyText"/>
        <w:kinsoku w:val="0"/>
        <w:overflowPunct w:val="0"/>
        <w:rPr>
          <w:rFonts w:ascii="Garamond" w:hAnsi="Garamond" w:cs="Garamond"/>
          <w:sz w:val="20"/>
          <w:szCs w:val="20"/>
        </w:rPr>
      </w:pPr>
    </w:p>
    <w:p w:rsidR="002C5025" w:rsidRDefault="00FB027C">
      <w:pPr>
        <w:pStyle w:val="BodyText"/>
        <w:kinsoku w:val="0"/>
        <w:overflowPunct w:val="0"/>
        <w:rPr>
          <w:rFonts w:ascii="Garamond" w:hAnsi="Garamond" w:cs="Garamond"/>
          <w:sz w:val="29"/>
          <w:szCs w:val="29"/>
        </w:rPr>
      </w:pPr>
      <w:r>
        <w:rPr>
          <w:noProof/>
        </w:rPr>
        <mc:AlternateContent>
          <mc:Choice Requires="wps">
            <w:drawing>
              <wp:anchor distT="0" distB="0" distL="0" distR="0" simplePos="0" relativeHeight="251674112" behindDoc="0" locked="0" layoutInCell="0" allowOverlap="1">
                <wp:simplePos x="0" y="0"/>
                <wp:positionH relativeFrom="page">
                  <wp:posOffset>923925</wp:posOffset>
                </wp:positionH>
                <wp:positionV relativeFrom="paragraph">
                  <wp:posOffset>237490</wp:posOffset>
                </wp:positionV>
                <wp:extent cx="5944870" cy="12700"/>
                <wp:effectExtent l="0" t="0" r="0" b="0"/>
                <wp:wrapTopAndBottom/>
                <wp:docPr id="545" name="Freeform 4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4870" cy="12700"/>
                        </a:xfrm>
                        <a:custGeom>
                          <a:avLst/>
                          <a:gdLst>
                            <a:gd name="T0" fmla="*/ 0 w 9362"/>
                            <a:gd name="T1" fmla="*/ 0 h 20"/>
                            <a:gd name="T2" fmla="*/ 9362 w 9362"/>
                            <a:gd name="T3" fmla="*/ 0 h 20"/>
                          </a:gdLst>
                          <a:ahLst/>
                          <a:cxnLst>
                            <a:cxn ang="0">
                              <a:pos x="T0" y="T1"/>
                            </a:cxn>
                            <a:cxn ang="0">
                              <a:pos x="T2" y="T3"/>
                            </a:cxn>
                          </a:cxnLst>
                          <a:rect l="0" t="0" r="r" b="b"/>
                          <a:pathLst>
                            <a:path w="9362" h="20">
                              <a:moveTo>
                                <a:pt x="0" y="0"/>
                              </a:moveTo>
                              <a:lnTo>
                                <a:pt x="9362"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80" o:spid="_x0000_s1026" style="position:absolute;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2.75pt,18.7pt,540.85pt,18.7pt" coordsize="9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" o:allowincell="f" filled="f" strokeweight=".82pt">
                <v:path arrowok="t" o:connecttype="custom" o:connectlocs="0,0;5944870,0" o:connectangles="0,0"/>
                <w10:wrap type="topAndBottom" anchorx="page"/>
              </v:polyline>
            </w:pict>
          </mc:Fallback>
        </mc:AlternateContent>
      </w:r>
    </w:p>
    <w:p w:rsidR="002C5025" w:rsidRDefault="00FD19EE">
      <w:pPr>
        <w:pStyle w:val="BodyText"/>
        <w:kinsoku w:val="0"/>
        <w:overflowPunct w:val="0"/>
        <w:spacing w:before="70"/>
        <w:ind w:left="120" w:right="391"/>
        <w:rPr>
          <w:rFonts w:ascii="Garamond" w:hAnsi="Garamond" w:cs="Garamond"/>
          <w:color w:val="0000FF"/>
          <w:sz w:val="20"/>
          <w:szCs w:val="20"/>
        </w:rPr>
      </w:pPr>
      <w:hyperlink r:id="rId364" w:history="1">
        <w:r w:rsidR="002C5025">
          <w:rPr>
            <w:rFonts w:ascii="Garamond" w:hAnsi="Garamond" w:cs="Garamond"/>
            <w:color w:val="0000FF"/>
            <w:sz w:val="20"/>
            <w:szCs w:val="20"/>
            <w:u w:val="single"/>
          </w:rPr>
          <w:t>mographic_Factors.aspx</w:t>
        </w:r>
        <w:r w:rsidR="002C5025">
          <w:rPr>
            <w:rFonts w:ascii="Garamond" w:hAnsi="Garamond" w:cs="Garamond"/>
            <w:color w:val="000000"/>
            <w:sz w:val="20"/>
            <w:szCs w:val="20"/>
          </w:rPr>
          <w:t>;</w:t>
        </w:r>
      </w:hyperlink>
      <w:r w:rsidR="002C5025">
        <w:rPr>
          <w:rFonts w:ascii="Garamond" w:hAnsi="Garamond" w:cs="Garamond"/>
          <w:color w:val="000000"/>
          <w:spacing w:val="-27"/>
          <w:sz w:val="20"/>
          <w:szCs w:val="20"/>
        </w:rPr>
        <w:t xml:space="preserve"> </w:t>
      </w:r>
      <w:r w:rsidR="002C5025">
        <w:rPr>
          <w:rFonts w:ascii="Garamond" w:hAnsi="Garamond" w:cs="Garamond"/>
          <w:color w:val="000000"/>
          <w:sz w:val="20"/>
          <w:szCs w:val="20"/>
        </w:rPr>
        <w:t>see</w:t>
      </w:r>
      <w:r w:rsidR="002C5025">
        <w:rPr>
          <w:rFonts w:ascii="Garamond" w:hAnsi="Garamond" w:cs="Garamond"/>
          <w:color w:val="000000"/>
          <w:spacing w:val="-24"/>
          <w:sz w:val="20"/>
          <w:szCs w:val="20"/>
        </w:rPr>
        <w:t xml:space="preserve"> </w:t>
      </w:r>
      <w:r w:rsidR="002C5025">
        <w:rPr>
          <w:rFonts w:ascii="Garamond" w:hAnsi="Garamond" w:cs="Garamond"/>
          <w:color w:val="000000"/>
          <w:sz w:val="20"/>
          <w:szCs w:val="20"/>
        </w:rPr>
        <w:t>also</w:t>
      </w:r>
      <w:r w:rsidR="002C5025">
        <w:rPr>
          <w:rFonts w:ascii="Garamond" w:hAnsi="Garamond" w:cs="Garamond"/>
          <w:color w:val="000000"/>
          <w:spacing w:val="-28"/>
          <w:sz w:val="20"/>
          <w:szCs w:val="20"/>
        </w:rPr>
        <w:t xml:space="preserve"> </w:t>
      </w:r>
      <w:r w:rsidR="002C5025">
        <w:rPr>
          <w:rFonts w:ascii="Garamond" w:hAnsi="Garamond" w:cs="Garamond"/>
          <w:color w:val="000000"/>
          <w:sz w:val="20"/>
          <w:szCs w:val="20"/>
        </w:rPr>
        <w:t>studies</w:t>
      </w:r>
      <w:r w:rsidR="002C5025">
        <w:rPr>
          <w:rFonts w:ascii="Garamond" w:hAnsi="Garamond" w:cs="Garamond"/>
          <w:color w:val="000000"/>
          <w:spacing w:val="-26"/>
          <w:sz w:val="20"/>
          <w:szCs w:val="20"/>
        </w:rPr>
        <w:t xml:space="preserve"> </w:t>
      </w:r>
      <w:r w:rsidR="002C5025">
        <w:rPr>
          <w:rFonts w:ascii="Garamond" w:hAnsi="Garamond" w:cs="Garamond"/>
          <w:color w:val="000000"/>
          <w:sz w:val="20"/>
          <w:szCs w:val="20"/>
        </w:rPr>
        <w:t>collected</w:t>
      </w:r>
      <w:r w:rsidR="002C5025">
        <w:rPr>
          <w:rFonts w:ascii="Garamond" w:hAnsi="Garamond" w:cs="Garamond"/>
          <w:color w:val="000000"/>
          <w:spacing w:val="-24"/>
          <w:sz w:val="20"/>
          <w:szCs w:val="20"/>
        </w:rPr>
        <w:t xml:space="preserve"> </w:t>
      </w:r>
      <w:r w:rsidR="002C5025">
        <w:rPr>
          <w:rFonts w:ascii="Garamond" w:hAnsi="Garamond" w:cs="Garamond"/>
          <w:color w:val="000000"/>
          <w:sz w:val="20"/>
          <w:szCs w:val="20"/>
        </w:rPr>
        <w:t>at</w:t>
      </w:r>
      <w:r w:rsidR="002C5025">
        <w:rPr>
          <w:rFonts w:ascii="Garamond" w:hAnsi="Garamond" w:cs="Garamond"/>
          <w:color w:val="000000"/>
          <w:spacing w:val="-26"/>
          <w:sz w:val="20"/>
          <w:szCs w:val="20"/>
        </w:rPr>
        <w:t xml:space="preserve"> </w:t>
      </w:r>
      <w:hyperlink r:id="rId365" w:history="1">
        <w:r w:rsidR="002C5025">
          <w:rPr>
            <w:rFonts w:ascii="Garamond" w:hAnsi="Garamond" w:cs="Garamond"/>
            <w:color w:val="0000FF"/>
            <w:sz w:val="20"/>
            <w:szCs w:val="20"/>
            <w:u w:val="single"/>
          </w:rPr>
          <w:t>http://essentialhospitals.org/institute/sociodemographic-factors-</w:t>
        </w:r>
      </w:hyperlink>
      <w:r w:rsidR="002C5025">
        <w:rPr>
          <w:rFonts w:ascii="Garamond" w:hAnsi="Garamond" w:cs="Garamond"/>
          <w:color w:val="0000FF"/>
          <w:sz w:val="20"/>
          <w:szCs w:val="20"/>
          <w:u w:val="single"/>
        </w:rPr>
        <w:t xml:space="preserve"> </w:t>
      </w:r>
      <w:hyperlink r:id="rId366" w:history="1">
        <w:r w:rsidR="002C5025">
          <w:rPr>
            <w:rFonts w:ascii="Garamond" w:hAnsi="Garamond" w:cs="Garamond"/>
            <w:color w:val="0000FF"/>
            <w:sz w:val="20"/>
            <w:szCs w:val="20"/>
            <w:u w:val="single"/>
          </w:rPr>
          <w:t>and-socioeconomic-status-</w:t>
        </w:r>
        <w:proofErr w:type="spellStart"/>
        <w:r w:rsidR="002C5025">
          <w:rPr>
            <w:rFonts w:ascii="Garamond" w:hAnsi="Garamond" w:cs="Garamond"/>
            <w:color w:val="0000FF"/>
            <w:sz w:val="20"/>
            <w:szCs w:val="20"/>
            <w:u w:val="single"/>
          </w:rPr>
          <w:t>ses</w:t>
        </w:r>
        <w:proofErr w:type="spellEnd"/>
        <w:r w:rsidR="002C5025">
          <w:rPr>
            <w:rFonts w:ascii="Garamond" w:hAnsi="Garamond" w:cs="Garamond"/>
            <w:color w:val="0000FF"/>
            <w:sz w:val="20"/>
            <w:szCs w:val="20"/>
            <w:u w:val="single"/>
          </w:rPr>
          <w:t>-affect-health-outcomes/</w:t>
        </w:r>
        <w:r w:rsidR="002C5025">
          <w:rPr>
            <w:rFonts w:ascii="Garamond" w:hAnsi="Garamond" w:cs="Garamond"/>
            <w:color w:val="000000"/>
            <w:sz w:val="20"/>
            <w:szCs w:val="20"/>
            <w:u w:val="single"/>
          </w:rPr>
          <w:t>.</w:t>
        </w:r>
      </w:hyperlink>
    </w:p>
    <w:p w:rsidR="002C5025" w:rsidRDefault="002C5025">
      <w:pPr>
        <w:pStyle w:val="BodyText"/>
        <w:kinsoku w:val="0"/>
        <w:overflowPunct w:val="0"/>
        <w:spacing w:line="223" w:lineRule="exact"/>
        <w:ind w:left="120" w:right="201"/>
        <w:rPr>
          <w:rFonts w:ascii="Garamond" w:hAnsi="Garamond" w:cs="Garamond"/>
          <w:sz w:val="20"/>
          <w:szCs w:val="20"/>
        </w:rPr>
      </w:pPr>
      <w:r>
        <w:rPr>
          <w:rFonts w:ascii="Garamond" w:hAnsi="Garamond" w:cs="Garamond"/>
          <w:position w:val="5"/>
          <w:sz w:val="13"/>
          <w:szCs w:val="13"/>
        </w:rPr>
        <w:t xml:space="preserve">58 </w:t>
      </w:r>
      <w:r>
        <w:rPr>
          <w:rFonts w:ascii="Garamond" w:hAnsi="Garamond" w:cs="Garamond"/>
          <w:sz w:val="20"/>
          <w:szCs w:val="20"/>
        </w:rPr>
        <w:t>M. Barnett, J. Hsu, J. M. McWilliams (2015). Patient Characteristics and Differences in Hospital Readmission Rates.</w:t>
      </w:r>
    </w:p>
    <w:p w:rsidR="002C5025" w:rsidRDefault="002C5025">
      <w:pPr>
        <w:pStyle w:val="BodyText"/>
        <w:kinsoku w:val="0"/>
        <w:overflowPunct w:val="0"/>
        <w:spacing w:before="10"/>
        <w:ind w:left="120" w:right="5289"/>
        <w:rPr>
          <w:rFonts w:ascii="Garamond" w:hAnsi="Garamond" w:cs="Garamond"/>
          <w:sz w:val="20"/>
          <w:szCs w:val="20"/>
        </w:rPr>
      </w:pPr>
      <w:r>
        <w:rPr>
          <w:rFonts w:ascii="Garamond" w:hAnsi="Garamond" w:cs="Garamond"/>
          <w:i/>
          <w:iCs/>
          <w:sz w:val="20"/>
          <w:szCs w:val="20"/>
        </w:rPr>
        <w:t xml:space="preserve">JAMA Intern Med. </w:t>
      </w:r>
      <w:r>
        <w:rPr>
          <w:rFonts w:ascii="Garamond" w:hAnsi="Garamond" w:cs="Garamond"/>
          <w:sz w:val="20"/>
          <w:szCs w:val="20"/>
        </w:rPr>
        <w:t>2015;175(11):1803-1812.</w:t>
      </w:r>
    </w:p>
    <w:p w:rsidR="002C5025" w:rsidRDefault="002C5025">
      <w:pPr>
        <w:pStyle w:val="BodyText"/>
        <w:kinsoku w:val="0"/>
        <w:overflowPunct w:val="0"/>
        <w:ind w:left="120" w:right="5289"/>
        <w:rPr>
          <w:rFonts w:ascii="Garamond" w:hAnsi="Garamond" w:cs="Garamond"/>
          <w:sz w:val="20"/>
          <w:szCs w:val="20"/>
        </w:rPr>
      </w:pPr>
      <w:r>
        <w:rPr>
          <w:rFonts w:ascii="Garamond" w:hAnsi="Garamond" w:cs="Garamond"/>
          <w:position w:val="5"/>
          <w:sz w:val="13"/>
          <w:szCs w:val="13"/>
        </w:rPr>
        <w:t xml:space="preserve">59 </w:t>
      </w:r>
      <w:r>
        <w:rPr>
          <w:rFonts w:ascii="Garamond" w:hAnsi="Garamond" w:cs="Garamond"/>
          <w:sz w:val="20"/>
          <w:szCs w:val="20"/>
        </w:rPr>
        <w:t>Id.</w:t>
      </w:r>
    </w:p>
    <w:p w:rsidR="002C5025" w:rsidRDefault="002C5025">
      <w:pPr>
        <w:pStyle w:val="BodyText"/>
        <w:kinsoku w:val="0"/>
        <w:overflowPunct w:val="0"/>
        <w:spacing w:before="9"/>
        <w:rPr>
          <w:rFonts w:ascii="Garamond" w:hAnsi="Garamond" w:cs="Garamond"/>
          <w:sz w:val="10"/>
          <w:szCs w:val="10"/>
        </w:rPr>
      </w:pPr>
    </w:p>
    <w:p w:rsidR="002C5025" w:rsidRDefault="002C5025">
      <w:pPr>
        <w:pStyle w:val="BodyText"/>
        <w:kinsoku w:val="0"/>
        <w:overflowPunct w:val="0"/>
        <w:spacing w:before="80"/>
        <w:ind w:left="4167" w:right="4180"/>
        <w:jc w:val="center"/>
        <w:rPr>
          <w:rFonts w:ascii="Garamond" w:hAnsi="Garamond" w:cs="Garamond"/>
          <w:sz w:val="20"/>
          <w:szCs w:val="20"/>
        </w:rPr>
      </w:pPr>
      <w:r>
        <w:rPr>
          <w:rFonts w:ascii="Garamond" w:hAnsi="Garamond" w:cs="Garamond"/>
          <w:sz w:val="20"/>
          <w:szCs w:val="20"/>
        </w:rPr>
        <w:t>26</w:t>
      </w:r>
    </w:p>
    <w:p w:rsidR="002C5025" w:rsidRDefault="002C5025">
      <w:pPr>
        <w:pStyle w:val="BodyText"/>
        <w:kinsoku w:val="0"/>
        <w:overflowPunct w:val="0"/>
        <w:spacing w:before="80"/>
        <w:ind w:left="4167" w:right="4180"/>
        <w:jc w:val="center"/>
        <w:rPr>
          <w:rFonts w:ascii="Garamond" w:hAnsi="Garamond" w:cs="Garamond"/>
          <w:sz w:val="20"/>
          <w:szCs w:val="20"/>
        </w:rPr>
        <w:sectPr w:rsidR="002C5025">
          <w:pgSz w:w="12240" w:h="15840"/>
          <w:pgMar w:top="1380" w:right="1300" w:bottom="280" w:left="1320" w:header="720" w:footer="720" w:gutter="0"/>
          <w:cols w:space="720" w:equalWidth="0">
            <w:col w:w="9620"/>
          </w:cols>
          <w:noEndnote/>
        </w:sectPr>
      </w:pPr>
    </w:p>
    <w:p w:rsidR="002C5025" w:rsidRDefault="00FB027C">
      <w:pPr>
        <w:pStyle w:val="BodyText"/>
        <w:kinsoku w:val="0"/>
        <w:overflowPunct w:val="0"/>
        <w:ind w:left="2380"/>
        <w:rPr>
          <w:rFonts w:ascii="Garamond" w:hAnsi="Garamond" w:cs="Garamond"/>
          <w:sz w:val="20"/>
          <w:szCs w:val="20"/>
        </w:rPr>
      </w:pPr>
      <w:r>
        <w:rPr>
          <w:rFonts w:ascii="Garamond" w:hAnsi="Garamond" w:cs="Garamond"/>
          <w:noProof/>
          <w:sz w:val="20"/>
          <w:szCs w:val="20"/>
        </w:rPr>
        <w:lastRenderedPageBreak/>
        <w:drawing>
          <wp:inline distT="0" distB="0" distL="0" distR="0">
            <wp:extent cx="4114800" cy="781050"/>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0" y="0"/>
                      <a:ext cx="4114800" cy="781050"/>
                    </a:xfrm>
                    <a:prstGeom prst="rect">
                      <a:avLst/>
                    </a:prstGeom>
                    <a:noFill/>
                    <a:ln>
                      <a:noFill/>
                    </a:ln>
                  </pic:spPr>
                </pic:pic>
              </a:graphicData>
            </a:graphic>
          </wp:inline>
        </w:drawing>
      </w:r>
    </w:p>
    <w:p w:rsidR="002C5025" w:rsidRDefault="002C5025">
      <w:pPr>
        <w:pStyle w:val="BodyText"/>
        <w:kinsoku w:val="0"/>
        <w:overflowPunct w:val="0"/>
        <w:spacing w:before="6"/>
        <w:rPr>
          <w:rFonts w:ascii="Garamond" w:hAnsi="Garamond" w:cs="Garamond"/>
          <w:sz w:val="16"/>
          <w:szCs w:val="16"/>
        </w:rPr>
      </w:pPr>
    </w:p>
    <w:p w:rsidR="002C5025" w:rsidRDefault="002C5025">
      <w:pPr>
        <w:pStyle w:val="BodyText"/>
        <w:kinsoku w:val="0"/>
        <w:overflowPunct w:val="0"/>
        <w:spacing w:before="6"/>
        <w:rPr>
          <w:rFonts w:ascii="Garamond" w:hAnsi="Garamond" w:cs="Garamond"/>
          <w:sz w:val="16"/>
          <w:szCs w:val="16"/>
        </w:rPr>
        <w:sectPr w:rsidR="002C5025">
          <w:pgSz w:w="12240" w:h="15840"/>
          <w:pgMar w:top="720" w:right="1380" w:bottom="280" w:left="500" w:header="720" w:footer="720" w:gutter="0"/>
          <w:cols w:space="720" w:equalWidth="0">
            <w:col w:w="10360"/>
          </w:cols>
          <w:noEndnote/>
        </w:sectPr>
      </w:pPr>
    </w:p>
    <w:p w:rsidR="002C5025" w:rsidRDefault="002C5025">
      <w:pPr>
        <w:pStyle w:val="BodyText"/>
        <w:kinsoku w:val="0"/>
        <w:overflowPunct w:val="0"/>
        <w:spacing w:before="8"/>
        <w:rPr>
          <w:rFonts w:ascii="Garamond" w:hAnsi="Garamond" w:cs="Garamond"/>
          <w:sz w:val="23"/>
          <w:szCs w:val="23"/>
        </w:rPr>
      </w:pPr>
    </w:p>
    <w:p w:rsidR="002C5025" w:rsidRDefault="002C5025">
      <w:pPr>
        <w:pStyle w:val="BodyText"/>
        <w:kinsoku w:val="0"/>
        <w:overflowPunct w:val="0"/>
        <w:spacing w:line="204" w:lineRule="exact"/>
        <w:ind w:left="306"/>
        <w:rPr>
          <w:rFonts w:ascii="Times New Roman" w:hAnsi="Times New Roman" w:cs="Times New Roman"/>
          <w:sz w:val="18"/>
          <w:szCs w:val="18"/>
        </w:rPr>
      </w:pPr>
      <w:bookmarkStart w:id="178" w:name="HLA_comments_on_1115_Waiver_proposal_-_7"/>
      <w:bookmarkEnd w:id="178"/>
      <w:r>
        <w:rPr>
          <w:rFonts w:ascii="Times New Roman" w:hAnsi="Times New Roman" w:cs="Times New Roman"/>
          <w:sz w:val="18"/>
          <w:szCs w:val="18"/>
        </w:rPr>
        <w:t>One Federal Street, 5</w:t>
      </w:r>
      <w:proofErr w:type="spellStart"/>
      <w:r>
        <w:rPr>
          <w:rFonts w:ascii="Times New Roman" w:hAnsi="Times New Roman" w:cs="Times New Roman"/>
          <w:position w:val="5"/>
          <w:sz w:val="12"/>
          <w:szCs w:val="12"/>
        </w:rPr>
        <w:t>th</w:t>
      </w:r>
      <w:proofErr w:type="spellEnd"/>
      <w:r>
        <w:rPr>
          <w:rFonts w:ascii="Times New Roman" w:hAnsi="Times New Roman" w:cs="Times New Roman"/>
          <w:position w:val="5"/>
          <w:sz w:val="12"/>
          <w:szCs w:val="12"/>
        </w:rPr>
        <w:t xml:space="preserve"> </w:t>
      </w:r>
      <w:r>
        <w:rPr>
          <w:rFonts w:ascii="Times New Roman" w:hAnsi="Times New Roman" w:cs="Times New Roman"/>
          <w:sz w:val="18"/>
          <w:szCs w:val="18"/>
        </w:rPr>
        <w:t>Floor Boston, MA 02110</w:t>
      </w:r>
    </w:p>
    <w:p w:rsidR="002C5025" w:rsidRDefault="002C5025">
      <w:pPr>
        <w:pStyle w:val="BodyText"/>
        <w:kinsoku w:val="0"/>
        <w:overflowPunct w:val="0"/>
        <w:spacing w:before="10" w:after="1"/>
        <w:rPr>
          <w:rFonts w:ascii="Times New Roman" w:hAnsi="Times New Roman" w:cs="Times New Roman"/>
          <w:sz w:val="18"/>
          <w:szCs w:val="18"/>
        </w:rPr>
      </w:pPr>
    </w:p>
    <w:tbl>
      <w:tblPr>
        <w:tblW w:w="0" w:type="auto"/>
        <w:tblInd w:w="106" w:type="dxa"/>
        <w:tblLayout w:type="fixed"/>
        <w:tblCellMar>
          <w:left w:w="0" w:type="dxa"/>
          <w:right w:w="0" w:type="dxa"/>
        </w:tblCellMar>
        <w:tblLook w:val="0000" w:firstRow="0" w:lastRow="0" w:firstColumn="0" w:lastColumn="0" w:noHBand="0" w:noVBand="0"/>
      </w:tblPr>
      <w:tblGrid>
        <w:gridCol w:w="954"/>
        <w:gridCol w:w="1460"/>
      </w:tblGrid>
      <w:tr w:rsidR="002C5025">
        <w:trPr>
          <w:trHeight w:hRule="exact" w:val="210"/>
        </w:trPr>
        <w:tc>
          <w:tcPr>
            <w:tcW w:w="954" w:type="dxa"/>
            <w:tcBorders>
              <w:top w:val="nil"/>
              <w:left w:val="nil"/>
              <w:bottom w:val="nil"/>
              <w:right w:val="nil"/>
            </w:tcBorders>
          </w:tcPr>
          <w:p w:rsidR="002C5025" w:rsidRDefault="002C5025">
            <w:pPr>
              <w:pStyle w:val="TableParagraph"/>
              <w:kinsoku w:val="0"/>
              <w:overflowPunct w:val="0"/>
              <w:spacing w:line="201" w:lineRule="exact"/>
              <w:ind w:left="0" w:right="-1"/>
              <w:jc w:val="right"/>
              <w:rPr>
                <w:rFonts w:ascii="Times New Roman" w:hAnsi="Times New Roman" w:cs="Times New Roman"/>
              </w:rPr>
            </w:pPr>
            <w:r>
              <w:rPr>
                <w:rFonts w:ascii="Times New Roman" w:hAnsi="Times New Roman" w:cs="Times New Roman"/>
                <w:b/>
                <w:bCs/>
                <w:color w:val="800000"/>
                <w:sz w:val="18"/>
                <w:szCs w:val="18"/>
              </w:rPr>
              <w:t xml:space="preserve">T   </w:t>
            </w:r>
            <w:r>
              <w:rPr>
                <w:rFonts w:ascii="Times New Roman" w:hAnsi="Times New Roman" w:cs="Times New Roman"/>
                <w:color w:val="000000"/>
                <w:position w:val="2"/>
                <w:sz w:val="18"/>
                <w:szCs w:val="18"/>
              </w:rPr>
              <w:t>617-33</w:t>
            </w:r>
          </w:p>
        </w:tc>
        <w:tc>
          <w:tcPr>
            <w:tcW w:w="1460" w:type="dxa"/>
            <w:tcBorders>
              <w:top w:val="nil"/>
              <w:left w:val="nil"/>
              <w:bottom w:val="nil"/>
              <w:right w:val="nil"/>
            </w:tcBorders>
          </w:tcPr>
          <w:p w:rsidR="002C5025" w:rsidRDefault="002C5025">
            <w:pPr>
              <w:pStyle w:val="TableParagraph"/>
              <w:kinsoku w:val="0"/>
              <w:overflowPunct w:val="0"/>
              <w:spacing w:line="184" w:lineRule="exact"/>
              <w:ind w:left="0"/>
              <w:rPr>
                <w:rFonts w:ascii="Times New Roman" w:hAnsi="Times New Roman" w:cs="Times New Roman"/>
              </w:rPr>
            </w:pPr>
            <w:r>
              <w:rPr>
                <w:rFonts w:ascii="Times New Roman" w:hAnsi="Times New Roman" w:cs="Times New Roman"/>
                <w:sz w:val="18"/>
                <w:szCs w:val="18"/>
              </w:rPr>
              <w:t>8-5241</w:t>
            </w:r>
          </w:p>
        </w:tc>
      </w:tr>
      <w:tr w:rsidR="002C5025">
        <w:trPr>
          <w:trHeight w:hRule="exact" w:val="192"/>
        </w:trPr>
        <w:tc>
          <w:tcPr>
            <w:tcW w:w="954" w:type="dxa"/>
            <w:tcBorders>
              <w:top w:val="nil"/>
              <w:left w:val="nil"/>
              <w:bottom w:val="nil"/>
              <w:right w:val="nil"/>
            </w:tcBorders>
          </w:tcPr>
          <w:p w:rsidR="002C5025" w:rsidRDefault="002C5025">
            <w:pPr>
              <w:pStyle w:val="TableParagraph"/>
              <w:kinsoku w:val="0"/>
              <w:overflowPunct w:val="0"/>
              <w:spacing w:line="197" w:lineRule="exact"/>
              <w:ind w:left="0" w:right="-1"/>
              <w:jc w:val="right"/>
              <w:rPr>
                <w:rFonts w:ascii="Times New Roman" w:hAnsi="Times New Roman" w:cs="Times New Roman"/>
              </w:rPr>
            </w:pPr>
            <w:r>
              <w:rPr>
                <w:rFonts w:ascii="Times New Roman" w:hAnsi="Times New Roman" w:cs="Times New Roman"/>
                <w:sz w:val="18"/>
                <w:szCs w:val="18"/>
              </w:rPr>
              <w:t>888-21</w:t>
            </w:r>
          </w:p>
        </w:tc>
        <w:tc>
          <w:tcPr>
            <w:tcW w:w="1460" w:type="dxa"/>
            <w:tcBorders>
              <w:top w:val="nil"/>
              <w:left w:val="nil"/>
              <w:bottom w:val="nil"/>
              <w:right w:val="nil"/>
            </w:tcBorders>
          </w:tcPr>
          <w:p w:rsidR="002C5025" w:rsidRDefault="002C5025">
            <w:pPr>
              <w:pStyle w:val="TableParagraph"/>
              <w:kinsoku w:val="0"/>
              <w:overflowPunct w:val="0"/>
              <w:spacing w:line="197" w:lineRule="exact"/>
              <w:ind w:left="0"/>
              <w:rPr>
                <w:rFonts w:ascii="Times New Roman" w:hAnsi="Times New Roman" w:cs="Times New Roman"/>
              </w:rPr>
            </w:pPr>
            <w:r>
              <w:rPr>
                <w:rFonts w:ascii="Times New Roman" w:hAnsi="Times New Roman" w:cs="Times New Roman"/>
                <w:sz w:val="18"/>
                <w:szCs w:val="18"/>
              </w:rPr>
              <w:t>1-6168   (toll free)</w:t>
            </w:r>
          </w:p>
        </w:tc>
      </w:tr>
      <w:tr w:rsidR="002C5025">
        <w:trPr>
          <w:trHeight w:hRule="exact" w:val="181"/>
        </w:trPr>
        <w:tc>
          <w:tcPr>
            <w:tcW w:w="954" w:type="dxa"/>
            <w:tcBorders>
              <w:top w:val="nil"/>
              <w:left w:val="nil"/>
              <w:bottom w:val="nil"/>
              <w:right w:val="nil"/>
            </w:tcBorders>
          </w:tcPr>
          <w:p w:rsidR="002C5025" w:rsidRDefault="002C5025">
            <w:pPr>
              <w:pStyle w:val="TableParagraph"/>
              <w:kinsoku w:val="0"/>
              <w:overflowPunct w:val="0"/>
              <w:spacing w:line="185" w:lineRule="exact"/>
              <w:ind w:left="0" w:right="-1"/>
              <w:jc w:val="right"/>
              <w:rPr>
                <w:rFonts w:ascii="Times New Roman" w:hAnsi="Times New Roman" w:cs="Times New Roman"/>
              </w:rPr>
            </w:pPr>
            <w:r>
              <w:rPr>
                <w:rFonts w:ascii="Times New Roman" w:hAnsi="Times New Roman" w:cs="Times New Roman"/>
                <w:b/>
                <w:bCs/>
                <w:color w:val="800000"/>
                <w:sz w:val="18"/>
                <w:szCs w:val="18"/>
              </w:rPr>
              <w:t xml:space="preserve">F   </w:t>
            </w:r>
            <w:r>
              <w:rPr>
                <w:rFonts w:ascii="Times New Roman" w:hAnsi="Times New Roman" w:cs="Times New Roman"/>
                <w:color w:val="000000"/>
                <w:sz w:val="18"/>
                <w:szCs w:val="18"/>
              </w:rPr>
              <w:t>617-33</w:t>
            </w:r>
          </w:p>
        </w:tc>
        <w:tc>
          <w:tcPr>
            <w:tcW w:w="1460" w:type="dxa"/>
            <w:tcBorders>
              <w:top w:val="nil"/>
              <w:left w:val="nil"/>
              <w:bottom w:val="nil"/>
              <w:right w:val="nil"/>
            </w:tcBorders>
          </w:tcPr>
          <w:p w:rsidR="002C5025" w:rsidRDefault="002C5025">
            <w:pPr>
              <w:pStyle w:val="TableParagraph"/>
              <w:kinsoku w:val="0"/>
              <w:overflowPunct w:val="0"/>
              <w:spacing w:line="185" w:lineRule="exact"/>
              <w:ind w:left="0"/>
              <w:rPr>
                <w:rFonts w:ascii="Times New Roman" w:hAnsi="Times New Roman" w:cs="Times New Roman"/>
              </w:rPr>
            </w:pPr>
            <w:r>
              <w:rPr>
                <w:rFonts w:ascii="Times New Roman" w:hAnsi="Times New Roman" w:cs="Times New Roman"/>
                <w:sz w:val="18"/>
                <w:szCs w:val="18"/>
              </w:rPr>
              <w:t>8-5242</w:t>
            </w:r>
          </w:p>
        </w:tc>
      </w:tr>
    </w:tbl>
    <w:p w:rsidR="002C5025" w:rsidRDefault="002C5025">
      <w:pPr>
        <w:pStyle w:val="BodyText"/>
        <w:kinsoku w:val="0"/>
        <w:overflowPunct w:val="0"/>
        <w:spacing w:before="26"/>
        <w:ind w:left="306"/>
        <w:rPr>
          <w:rFonts w:ascii="Times New Roman" w:hAnsi="Times New Roman" w:cs="Times New Roman"/>
          <w:color w:val="000000"/>
          <w:spacing w:val="-3"/>
          <w:position w:val="1"/>
          <w:sz w:val="18"/>
          <w:szCs w:val="18"/>
        </w:rPr>
      </w:pPr>
      <w:r>
        <w:rPr>
          <w:rFonts w:ascii="Times New Roman" w:hAnsi="Times New Roman" w:cs="Times New Roman"/>
          <w:b/>
          <w:bCs/>
          <w:color w:val="800000"/>
          <w:sz w:val="18"/>
          <w:szCs w:val="18"/>
        </w:rPr>
        <w:t xml:space="preserve">W  </w:t>
      </w:r>
      <w:hyperlink r:id="rId368" w:history="1">
        <w:r>
          <w:rPr>
            <w:rFonts w:ascii="Times New Roman" w:hAnsi="Times New Roman" w:cs="Times New Roman"/>
            <w:color w:val="000000"/>
            <w:spacing w:val="-3"/>
            <w:position w:val="1"/>
            <w:sz w:val="18"/>
            <w:szCs w:val="18"/>
          </w:rPr>
          <w:t>www.healthlawadvocates.org</w:t>
        </w:r>
      </w:hyperlink>
    </w:p>
    <w:p w:rsidR="002C5025" w:rsidRDefault="002C5025">
      <w:pPr>
        <w:pStyle w:val="BodyText"/>
        <w:kinsoku w:val="0"/>
        <w:overflowPunct w:val="0"/>
        <w:rPr>
          <w:rFonts w:ascii="Times New Roman" w:hAnsi="Times New Roman" w:cs="Times New Roman"/>
          <w:sz w:val="18"/>
          <w:szCs w:val="18"/>
        </w:rPr>
      </w:pPr>
    </w:p>
    <w:p w:rsidR="002C5025" w:rsidRDefault="002C5025">
      <w:pPr>
        <w:pStyle w:val="BodyText"/>
        <w:kinsoku w:val="0"/>
        <w:overflowPunct w:val="0"/>
        <w:spacing w:before="10"/>
        <w:rPr>
          <w:rFonts w:ascii="Times New Roman" w:hAnsi="Times New Roman" w:cs="Times New Roman"/>
          <w:sz w:val="23"/>
          <w:szCs w:val="23"/>
        </w:rPr>
      </w:pPr>
    </w:p>
    <w:p w:rsidR="002C5025" w:rsidRDefault="002C5025">
      <w:pPr>
        <w:pStyle w:val="BodyText"/>
        <w:kinsoku w:val="0"/>
        <w:overflowPunct w:val="0"/>
        <w:spacing w:line="205" w:lineRule="exact"/>
        <w:ind w:left="306"/>
        <w:rPr>
          <w:rFonts w:ascii="Times New Roman" w:hAnsi="Times New Roman" w:cs="Times New Roman"/>
          <w:b/>
          <w:bCs/>
          <w:color w:val="800000"/>
          <w:sz w:val="18"/>
          <w:szCs w:val="18"/>
        </w:rPr>
      </w:pPr>
      <w:r>
        <w:rPr>
          <w:rFonts w:ascii="Times New Roman" w:hAnsi="Times New Roman" w:cs="Times New Roman"/>
          <w:b/>
          <w:bCs/>
          <w:color w:val="800000"/>
          <w:sz w:val="18"/>
          <w:szCs w:val="18"/>
        </w:rPr>
        <w:t>Board of Directors</w:t>
      </w:r>
    </w:p>
    <w:p w:rsidR="002C5025" w:rsidRDefault="002C5025">
      <w:pPr>
        <w:pStyle w:val="BodyText"/>
        <w:kinsoku w:val="0"/>
        <w:overflowPunct w:val="0"/>
        <w:ind w:left="306" w:right="372"/>
        <w:rPr>
          <w:rFonts w:ascii="Times New Roman" w:hAnsi="Times New Roman" w:cs="Times New Roman"/>
          <w:sz w:val="18"/>
          <w:szCs w:val="18"/>
        </w:rPr>
      </w:pPr>
      <w:r>
        <w:rPr>
          <w:rFonts w:ascii="Times New Roman" w:hAnsi="Times New Roman" w:cs="Times New Roman"/>
          <w:sz w:val="18"/>
          <w:szCs w:val="18"/>
        </w:rPr>
        <w:t xml:space="preserve">Mala M. </w:t>
      </w:r>
      <w:proofErr w:type="spellStart"/>
      <w:r>
        <w:rPr>
          <w:rFonts w:ascii="Times New Roman" w:hAnsi="Times New Roman" w:cs="Times New Roman"/>
          <w:sz w:val="18"/>
          <w:szCs w:val="18"/>
        </w:rPr>
        <w:t>Rafik</w:t>
      </w:r>
      <w:proofErr w:type="spellEnd"/>
      <w:r>
        <w:rPr>
          <w:rFonts w:ascii="Times New Roman" w:hAnsi="Times New Roman" w:cs="Times New Roman"/>
          <w:sz w:val="18"/>
          <w:szCs w:val="18"/>
        </w:rPr>
        <w:t xml:space="preserve">, </w:t>
      </w:r>
      <w:r>
        <w:rPr>
          <w:rFonts w:ascii="Times New Roman" w:hAnsi="Times New Roman" w:cs="Times New Roman"/>
          <w:i/>
          <w:iCs/>
          <w:sz w:val="18"/>
          <w:szCs w:val="18"/>
        </w:rPr>
        <w:t xml:space="preserve">President </w:t>
      </w:r>
      <w:r>
        <w:rPr>
          <w:rFonts w:ascii="Times New Roman" w:hAnsi="Times New Roman" w:cs="Times New Roman"/>
          <w:sz w:val="18"/>
          <w:szCs w:val="18"/>
        </w:rPr>
        <w:t xml:space="preserve">Brian P. Carey, </w:t>
      </w:r>
      <w:r>
        <w:rPr>
          <w:rFonts w:ascii="Times New Roman" w:hAnsi="Times New Roman" w:cs="Times New Roman"/>
          <w:i/>
          <w:iCs/>
          <w:sz w:val="18"/>
          <w:szCs w:val="18"/>
        </w:rPr>
        <w:t xml:space="preserve">Treasurer </w:t>
      </w:r>
      <w:r>
        <w:rPr>
          <w:rFonts w:ascii="Times New Roman" w:hAnsi="Times New Roman" w:cs="Times New Roman"/>
          <w:sz w:val="18"/>
          <w:szCs w:val="18"/>
        </w:rPr>
        <w:t xml:space="preserve">Lisa Fleming, </w:t>
      </w:r>
      <w:r>
        <w:rPr>
          <w:rFonts w:ascii="Times New Roman" w:hAnsi="Times New Roman" w:cs="Times New Roman"/>
          <w:i/>
          <w:iCs/>
          <w:sz w:val="18"/>
          <w:szCs w:val="18"/>
        </w:rPr>
        <w:t xml:space="preserve">Clerk </w:t>
      </w:r>
      <w:r>
        <w:rPr>
          <w:rFonts w:ascii="Times New Roman" w:hAnsi="Times New Roman" w:cs="Times New Roman"/>
          <w:sz w:val="18"/>
          <w:szCs w:val="18"/>
        </w:rPr>
        <w:t>Michael S. Dukakis</w:t>
      </w:r>
    </w:p>
    <w:p w:rsidR="002C5025" w:rsidRDefault="002C5025">
      <w:pPr>
        <w:pStyle w:val="BodyText"/>
        <w:kinsoku w:val="0"/>
        <w:overflowPunct w:val="0"/>
        <w:spacing w:before="2"/>
        <w:ind w:left="306" w:right="1057"/>
        <w:rPr>
          <w:rFonts w:ascii="Times New Roman" w:hAnsi="Times New Roman" w:cs="Times New Roman"/>
          <w:sz w:val="18"/>
          <w:szCs w:val="18"/>
        </w:rPr>
      </w:pPr>
      <w:r>
        <w:rPr>
          <w:rFonts w:ascii="Times New Roman" w:hAnsi="Times New Roman" w:cs="Times New Roman"/>
          <w:spacing w:val="-3"/>
          <w:sz w:val="18"/>
          <w:szCs w:val="18"/>
        </w:rPr>
        <w:t xml:space="preserve">Ruth </w:t>
      </w:r>
      <w:r>
        <w:rPr>
          <w:rFonts w:ascii="Times New Roman" w:hAnsi="Times New Roman" w:cs="Times New Roman"/>
          <w:spacing w:val="-6"/>
          <w:sz w:val="18"/>
          <w:szCs w:val="18"/>
        </w:rPr>
        <w:t xml:space="preserve">Ellen </w:t>
      </w:r>
      <w:r>
        <w:rPr>
          <w:rFonts w:ascii="Times New Roman" w:hAnsi="Times New Roman" w:cs="Times New Roman"/>
          <w:spacing w:val="-5"/>
          <w:sz w:val="18"/>
          <w:szCs w:val="18"/>
        </w:rPr>
        <w:t xml:space="preserve">Fitch </w:t>
      </w:r>
      <w:r>
        <w:rPr>
          <w:rFonts w:ascii="Times New Roman" w:hAnsi="Times New Roman" w:cs="Times New Roman"/>
          <w:sz w:val="18"/>
          <w:szCs w:val="18"/>
        </w:rPr>
        <w:t xml:space="preserve">Paula  </w:t>
      </w:r>
      <w:r>
        <w:rPr>
          <w:rFonts w:ascii="Times New Roman" w:hAnsi="Times New Roman" w:cs="Times New Roman"/>
          <w:spacing w:val="-8"/>
          <w:sz w:val="18"/>
          <w:szCs w:val="18"/>
        </w:rPr>
        <w:t xml:space="preserve">Gold </w:t>
      </w:r>
      <w:r>
        <w:rPr>
          <w:rFonts w:ascii="Times New Roman" w:hAnsi="Times New Roman" w:cs="Times New Roman"/>
          <w:spacing w:val="-3"/>
          <w:sz w:val="18"/>
          <w:szCs w:val="18"/>
        </w:rPr>
        <w:t xml:space="preserve">Joshua Greenberg Daniel </w:t>
      </w:r>
      <w:r>
        <w:rPr>
          <w:rFonts w:ascii="Times New Roman" w:hAnsi="Times New Roman" w:cs="Times New Roman"/>
          <w:sz w:val="18"/>
          <w:szCs w:val="18"/>
        </w:rPr>
        <w:t xml:space="preserve">J. Jackson Wendy E. </w:t>
      </w:r>
      <w:proofErr w:type="spellStart"/>
      <w:r>
        <w:rPr>
          <w:rFonts w:ascii="Times New Roman" w:hAnsi="Times New Roman" w:cs="Times New Roman"/>
          <w:sz w:val="18"/>
          <w:szCs w:val="18"/>
        </w:rPr>
        <w:t>Parmet</w:t>
      </w:r>
      <w:proofErr w:type="spellEnd"/>
    </w:p>
    <w:p w:rsidR="002C5025" w:rsidRDefault="002C5025">
      <w:pPr>
        <w:pStyle w:val="BodyText"/>
        <w:kinsoku w:val="0"/>
        <w:overflowPunct w:val="0"/>
        <w:spacing w:before="4" w:line="204" w:lineRule="exact"/>
        <w:ind w:left="306" w:right="467"/>
        <w:rPr>
          <w:rFonts w:ascii="Times New Roman" w:hAnsi="Times New Roman" w:cs="Times New Roman"/>
          <w:sz w:val="18"/>
          <w:szCs w:val="18"/>
        </w:rPr>
      </w:pPr>
      <w:r>
        <w:rPr>
          <w:rFonts w:ascii="Times New Roman" w:hAnsi="Times New Roman" w:cs="Times New Roman"/>
          <w:sz w:val="18"/>
          <w:szCs w:val="18"/>
        </w:rPr>
        <w:t xml:space="preserve">Amy Whitcomb </w:t>
      </w:r>
      <w:proofErr w:type="spellStart"/>
      <w:r>
        <w:rPr>
          <w:rFonts w:ascii="Times New Roman" w:hAnsi="Times New Roman" w:cs="Times New Roman"/>
          <w:sz w:val="18"/>
          <w:szCs w:val="18"/>
        </w:rPr>
        <w:t>Slemmer</w:t>
      </w:r>
      <w:proofErr w:type="spellEnd"/>
      <w:r>
        <w:rPr>
          <w:rFonts w:ascii="Times New Roman" w:hAnsi="Times New Roman" w:cs="Times New Roman"/>
          <w:sz w:val="18"/>
          <w:szCs w:val="18"/>
        </w:rPr>
        <w:t xml:space="preserve"> Lauren A. Smith</w:t>
      </w:r>
    </w:p>
    <w:p w:rsidR="002C5025" w:rsidRDefault="002C5025">
      <w:pPr>
        <w:pStyle w:val="BodyText"/>
        <w:kinsoku w:val="0"/>
        <w:overflowPunct w:val="0"/>
        <w:spacing w:before="5"/>
        <w:ind w:left="306"/>
        <w:rPr>
          <w:rFonts w:ascii="Times New Roman" w:hAnsi="Times New Roman" w:cs="Times New Roman"/>
          <w:sz w:val="18"/>
          <w:szCs w:val="18"/>
        </w:rPr>
      </w:pPr>
      <w:r>
        <w:rPr>
          <w:rFonts w:ascii="Times New Roman" w:hAnsi="Times New Roman" w:cs="Times New Roman"/>
          <w:sz w:val="18"/>
          <w:szCs w:val="18"/>
        </w:rPr>
        <w:t xml:space="preserve">Eleanor H. </w:t>
      </w:r>
      <w:proofErr w:type="spellStart"/>
      <w:r>
        <w:rPr>
          <w:rFonts w:ascii="Times New Roman" w:hAnsi="Times New Roman" w:cs="Times New Roman"/>
          <w:sz w:val="18"/>
          <w:szCs w:val="18"/>
        </w:rPr>
        <w:t>Soeffing</w:t>
      </w:r>
      <w:proofErr w:type="spellEnd"/>
    </w:p>
    <w:p w:rsidR="002C5025" w:rsidRDefault="002C5025">
      <w:pPr>
        <w:pStyle w:val="BodyText"/>
        <w:kinsoku w:val="0"/>
        <w:overflowPunct w:val="0"/>
        <w:spacing w:before="3"/>
        <w:rPr>
          <w:rFonts w:ascii="Times New Roman" w:hAnsi="Times New Roman" w:cs="Times New Roman"/>
          <w:sz w:val="18"/>
          <w:szCs w:val="18"/>
        </w:rPr>
      </w:pPr>
    </w:p>
    <w:p w:rsidR="002C5025" w:rsidRDefault="002C5025">
      <w:pPr>
        <w:pStyle w:val="BodyText"/>
        <w:kinsoku w:val="0"/>
        <w:overflowPunct w:val="0"/>
        <w:spacing w:line="203" w:lineRule="exact"/>
        <w:ind w:left="306"/>
        <w:rPr>
          <w:rFonts w:ascii="Times New Roman" w:hAnsi="Times New Roman" w:cs="Times New Roman"/>
          <w:b/>
          <w:bCs/>
          <w:color w:val="800000"/>
          <w:sz w:val="18"/>
          <w:szCs w:val="18"/>
        </w:rPr>
      </w:pPr>
      <w:r>
        <w:rPr>
          <w:rFonts w:ascii="Times New Roman" w:hAnsi="Times New Roman" w:cs="Times New Roman"/>
          <w:b/>
          <w:bCs/>
          <w:color w:val="800000"/>
          <w:sz w:val="18"/>
          <w:szCs w:val="18"/>
        </w:rPr>
        <w:t>Executive Director</w:t>
      </w:r>
    </w:p>
    <w:p w:rsidR="002C5025" w:rsidRDefault="002C5025">
      <w:pPr>
        <w:pStyle w:val="BodyText"/>
        <w:kinsoku w:val="0"/>
        <w:overflowPunct w:val="0"/>
        <w:spacing w:line="203" w:lineRule="exact"/>
        <w:ind w:left="306"/>
        <w:rPr>
          <w:rFonts w:ascii="Times New Roman" w:hAnsi="Times New Roman" w:cs="Times New Roman"/>
          <w:sz w:val="18"/>
          <w:szCs w:val="18"/>
        </w:rPr>
      </w:pPr>
      <w:r>
        <w:rPr>
          <w:rFonts w:ascii="Times New Roman" w:hAnsi="Times New Roman" w:cs="Times New Roman"/>
          <w:sz w:val="18"/>
          <w:szCs w:val="18"/>
        </w:rPr>
        <w:t>Matt Selig</w:t>
      </w:r>
    </w:p>
    <w:p w:rsidR="002C5025" w:rsidRDefault="002C5025">
      <w:pPr>
        <w:pStyle w:val="BodyText"/>
        <w:kinsoku w:val="0"/>
        <w:overflowPunct w:val="0"/>
        <w:spacing w:before="8"/>
        <w:rPr>
          <w:rFonts w:ascii="Times New Roman" w:hAnsi="Times New Roman" w:cs="Times New Roman"/>
          <w:sz w:val="19"/>
          <w:szCs w:val="19"/>
        </w:rPr>
      </w:pPr>
    </w:p>
    <w:p w:rsidR="002C5025" w:rsidRDefault="002C5025">
      <w:pPr>
        <w:pStyle w:val="BodyText"/>
        <w:kinsoku w:val="0"/>
        <w:overflowPunct w:val="0"/>
        <w:spacing w:line="204" w:lineRule="exact"/>
        <w:ind w:left="306" w:right="812"/>
        <w:rPr>
          <w:rFonts w:ascii="Times New Roman" w:hAnsi="Times New Roman" w:cs="Times New Roman"/>
          <w:b/>
          <w:bCs/>
          <w:color w:val="800000"/>
          <w:sz w:val="18"/>
          <w:szCs w:val="18"/>
        </w:rPr>
      </w:pPr>
      <w:r>
        <w:rPr>
          <w:rFonts w:ascii="Times New Roman" w:hAnsi="Times New Roman" w:cs="Times New Roman"/>
          <w:b/>
          <w:bCs/>
          <w:color w:val="800000"/>
          <w:sz w:val="18"/>
          <w:szCs w:val="18"/>
        </w:rPr>
        <w:t>Legal Staff Litigation Director</w:t>
      </w:r>
    </w:p>
    <w:p w:rsidR="002C5025" w:rsidRDefault="002C5025">
      <w:pPr>
        <w:pStyle w:val="BodyText"/>
        <w:kinsoku w:val="0"/>
        <w:overflowPunct w:val="0"/>
        <w:spacing w:line="195" w:lineRule="exact"/>
        <w:ind w:left="306"/>
        <w:rPr>
          <w:rFonts w:ascii="Times New Roman" w:hAnsi="Times New Roman" w:cs="Times New Roman"/>
          <w:sz w:val="18"/>
          <w:szCs w:val="18"/>
        </w:rPr>
      </w:pPr>
      <w:proofErr w:type="spellStart"/>
      <w:r>
        <w:rPr>
          <w:rFonts w:ascii="Times New Roman" w:hAnsi="Times New Roman" w:cs="Times New Roman"/>
          <w:sz w:val="18"/>
          <w:szCs w:val="18"/>
        </w:rPr>
        <w:t>Lorianne</w:t>
      </w:r>
      <w:proofErr w:type="spellEnd"/>
      <w:r>
        <w:rPr>
          <w:rFonts w:ascii="Times New Roman" w:hAnsi="Times New Roman" w:cs="Times New Roman"/>
          <w:sz w:val="18"/>
          <w:szCs w:val="18"/>
        </w:rPr>
        <w:t xml:space="preserve">  Sainsbury-Wong</w:t>
      </w:r>
    </w:p>
    <w:p w:rsidR="002C5025" w:rsidRDefault="002C5025">
      <w:pPr>
        <w:pStyle w:val="BodyText"/>
        <w:kinsoku w:val="0"/>
        <w:overflowPunct w:val="0"/>
        <w:spacing w:before="8"/>
        <w:rPr>
          <w:rFonts w:ascii="Times New Roman" w:hAnsi="Times New Roman" w:cs="Times New Roman"/>
          <w:sz w:val="18"/>
          <w:szCs w:val="18"/>
        </w:rPr>
      </w:pPr>
    </w:p>
    <w:p w:rsidR="002C5025" w:rsidRDefault="002C5025">
      <w:pPr>
        <w:pStyle w:val="BodyText"/>
        <w:kinsoku w:val="0"/>
        <w:overflowPunct w:val="0"/>
        <w:spacing w:line="202" w:lineRule="exact"/>
        <w:ind w:left="306"/>
        <w:rPr>
          <w:rFonts w:ascii="Times New Roman" w:hAnsi="Times New Roman" w:cs="Times New Roman"/>
          <w:b/>
          <w:bCs/>
          <w:color w:val="800000"/>
          <w:sz w:val="18"/>
          <w:szCs w:val="18"/>
        </w:rPr>
      </w:pPr>
      <w:r>
        <w:rPr>
          <w:rFonts w:ascii="Times New Roman" w:hAnsi="Times New Roman" w:cs="Times New Roman"/>
          <w:b/>
          <w:bCs/>
          <w:color w:val="800000"/>
          <w:sz w:val="18"/>
          <w:szCs w:val="18"/>
        </w:rPr>
        <w:t>Senior Staff Attorney</w:t>
      </w:r>
    </w:p>
    <w:p w:rsidR="002C5025" w:rsidRDefault="002C5025">
      <w:pPr>
        <w:pStyle w:val="BodyText"/>
        <w:kinsoku w:val="0"/>
        <w:overflowPunct w:val="0"/>
        <w:spacing w:line="202" w:lineRule="exact"/>
        <w:ind w:left="306"/>
        <w:rPr>
          <w:rFonts w:ascii="Times New Roman" w:hAnsi="Times New Roman" w:cs="Times New Roman"/>
          <w:sz w:val="18"/>
          <w:szCs w:val="18"/>
        </w:rPr>
      </w:pPr>
      <w:r>
        <w:rPr>
          <w:rFonts w:ascii="Times New Roman" w:hAnsi="Times New Roman" w:cs="Times New Roman"/>
          <w:sz w:val="18"/>
          <w:szCs w:val="18"/>
        </w:rPr>
        <w:t xml:space="preserve">Clare D. </w:t>
      </w:r>
      <w:proofErr w:type="spellStart"/>
      <w:r>
        <w:rPr>
          <w:rFonts w:ascii="Times New Roman" w:hAnsi="Times New Roman" w:cs="Times New Roman"/>
          <w:sz w:val="18"/>
          <w:szCs w:val="18"/>
        </w:rPr>
        <w:t>McGorrian</w:t>
      </w:r>
      <w:proofErr w:type="spellEnd"/>
    </w:p>
    <w:p w:rsidR="002C5025" w:rsidRDefault="002C5025">
      <w:pPr>
        <w:pStyle w:val="BodyText"/>
        <w:kinsoku w:val="0"/>
        <w:overflowPunct w:val="0"/>
        <w:spacing w:before="9"/>
        <w:rPr>
          <w:rFonts w:ascii="Times New Roman" w:hAnsi="Times New Roman" w:cs="Times New Roman"/>
          <w:sz w:val="19"/>
          <w:szCs w:val="19"/>
        </w:rPr>
      </w:pPr>
    </w:p>
    <w:p w:rsidR="002C5025" w:rsidRDefault="002C5025">
      <w:pPr>
        <w:pStyle w:val="BodyText"/>
        <w:kinsoku w:val="0"/>
        <w:overflowPunct w:val="0"/>
        <w:spacing w:before="1" w:line="235" w:lineRule="auto"/>
        <w:ind w:left="306" w:right="812"/>
        <w:rPr>
          <w:rFonts w:ascii="Times New Roman" w:hAnsi="Times New Roman" w:cs="Times New Roman"/>
          <w:color w:val="000000"/>
          <w:sz w:val="18"/>
          <w:szCs w:val="18"/>
        </w:rPr>
      </w:pPr>
      <w:r>
        <w:rPr>
          <w:rFonts w:ascii="Times New Roman" w:hAnsi="Times New Roman" w:cs="Times New Roman"/>
          <w:b/>
          <w:bCs/>
          <w:color w:val="800000"/>
          <w:sz w:val="18"/>
          <w:szCs w:val="18"/>
        </w:rPr>
        <w:t xml:space="preserve">Staff Attorneys </w:t>
      </w:r>
      <w:r>
        <w:rPr>
          <w:rFonts w:ascii="Times New Roman" w:hAnsi="Times New Roman" w:cs="Times New Roman"/>
          <w:color w:val="000000"/>
          <w:sz w:val="18"/>
          <w:szCs w:val="18"/>
        </w:rPr>
        <w:t>Caroline A. Clair Andrew P. Cohen Caroline T. Donahue Marisol Garcia Ashley Jones-Pierce Wells  G. Wilkinson</w:t>
      </w:r>
    </w:p>
    <w:p w:rsidR="002C5025" w:rsidRDefault="002C5025">
      <w:pPr>
        <w:pStyle w:val="BodyText"/>
        <w:kinsoku w:val="0"/>
        <w:overflowPunct w:val="0"/>
        <w:spacing w:before="7"/>
        <w:rPr>
          <w:rFonts w:ascii="Times New Roman" w:hAnsi="Times New Roman" w:cs="Times New Roman"/>
          <w:sz w:val="19"/>
          <w:szCs w:val="19"/>
        </w:rPr>
      </w:pPr>
    </w:p>
    <w:p w:rsidR="002C5025" w:rsidRDefault="002C5025">
      <w:pPr>
        <w:pStyle w:val="BodyText"/>
        <w:kinsoku w:val="0"/>
        <w:overflowPunct w:val="0"/>
        <w:spacing w:line="203" w:lineRule="exact"/>
        <w:ind w:left="306"/>
        <w:rPr>
          <w:rFonts w:ascii="Times New Roman" w:hAnsi="Times New Roman" w:cs="Times New Roman"/>
          <w:b/>
          <w:bCs/>
          <w:color w:val="800000"/>
          <w:sz w:val="18"/>
          <w:szCs w:val="18"/>
        </w:rPr>
      </w:pPr>
      <w:r>
        <w:rPr>
          <w:rFonts w:ascii="Times New Roman" w:hAnsi="Times New Roman" w:cs="Times New Roman"/>
          <w:b/>
          <w:bCs/>
          <w:color w:val="800000"/>
          <w:sz w:val="18"/>
          <w:szCs w:val="18"/>
        </w:rPr>
        <w:t>Mental Health Advocates</w:t>
      </w:r>
    </w:p>
    <w:p w:rsidR="002C5025" w:rsidRDefault="002C5025">
      <w:pPr>
        <w:pStyle w:val="BodyText"/>
        <w:kinsoku w:val="0"/>
        <w:overflowPunct w:val="0"/>
        <w:spacing w:line="203" w:lineRule="exact"/>
        <w:ind w:left="306"/>
        <w:rPr>
          <w:rFonts w:ascii="Times New Roman" w:hAnsi="Times New Roman" w:cs="Times New Roman"/>
          <w:sz w:val="18"/>
          <w:szCs w:val="18"/>
        </w:rPr>
      </w:pPr>
      <w:r>
        <w:rPr>
          <w:rFonts w:ascii="Times New Roman" w:hAnsi="Times New Roman" w:cs="Times New Roman"/>
          <w:sz w:val="18"/>
          <w:szCs w:val="18"/>
        </w:rPr>
        <w:t>Lisa Morrow</w:t>
      </w:r>
    </w:p>
    <w:p w:rsidR="002C5025" w:rsidRDefault="002C5025">
      <w:pPr>
        <w:pStyle w:val="BodyText"/>
        <w:kinsoku w:val="0"/>
        <w:overflowPunct w:val="0"/>
        <w:spacing w:before="1"/>
        <w:rPr>
          <w:rFonts w:ascii="Times New Roman" w:hAnsi="Times New Roman" w:cs="Times New Roman"/>
          <w:sz w:val="18"/>
          <w:szCs w:val="18"/>
        </w:rPr>
      </w:pPr>
    </w:p>
    <w:p w:rsidR="002C5025" w:rsidRDefault="002C5025">
      <w:pPr>
        <w:pStyle w:val="BodyText"/>
        <w:kinsoku w:val="0"/>
        <w:overflowPunct w:val="0"/>
        <w:spacing w:line="207" w:lineRule="exact"/>
        <w:ind w:left="306"/>
        <w:rPr>
          <w:rFonts w:ascii="Times New Roman" w:hAnsi="Times New Roman" w:cs="Times New Roman"/>
          <w:b/>
          <w:bCs/>
          <w:color w:val="800000"/>
          <w:sz w:val="18"/>
          <w:szCs w:val="18"/>
        </w:rPr>
      </w:pPr>
      <w:r>
        <w:rPr>
          <w:rFonts w:ascii="Times New Roman" w:hAnsi="Times New Roman" w:cs="Times New Roman"/>
          <w:b/>
          <w:bCs/>
          <w:color w:val="800000"/>
          <w:sz w:val="18"/>
          <w:szCs w:val="18"/>
        </w:rPr>
        <w:t>Legal Fellow</w:t>
      </w:r>
    </w:p>
    <w:p w:rsidR="002C5025" w:rsidRDefault="002C5025">
      <w:pPr>
        <w:pStyle w:val="BodyText"/>
        <w:kinsoku w:val="0"/>
        <w:overflowPunct w:val="0"/>
        <w:spacing w:line="207" w:lineRule="exact"/>
        <w:ind w:left="306"/>
        <w:rPr>
          <w:rFonts w:ascii="Times New Roman" w:hAnsi="Times New Roman" w:cs="Times New Roman"/>
          <w:sz w:val="18"/>
          <w:szCs w:val="18"/>
        </w:rPr>
      </w:pPr>
      <w:r>
        <w:rPr>
          <w:rFonts w:ascii="Times New Roman" w:hAnsi="Times New Roman" w:cs="Times New Roman"/>
          <w:sz w:val="18"/>
          <w:szCs w:val="18"/>
        </w:rPr>
        <w:t>Kuong Ly</w:t>
      </w:r>
    </w:p>
    <w:p w:rsidR="002C5025" w:rsidRDefault="002C5025">
      <w:pPr>
        <w:pStyle w:val="BodyText"/>
        <w:kinsoku w:val="0"/>
        <w:overflowPunct w:val="0"/>
        <w:spacing w:before="3"/>
        <w:rPr>
          <w:rFonts w:ascii="Times New Roman" w:hAnsi="Times New Roman" w:cs="Times New Roman"/>
          <w:sz w:val="18"/>
          <w:szCs w:val="18"/>
        </w:rPr>
      </w:pPr>
    </w:p>
    <w:p w:rsidR="002C5025" w:rsidRDefault="002C5025">
      <w:pPr>
        <w:pStyle w:val="BodyText"/>
        <w:kinsoku w:val="0"/>
        <w:overflowPunct w:val="0"/>
        <w:spacing w:line="203" w:lineRule="exact"/>
        <w:ind w:left="306"/>
        <w:rPr>
          <w:rFonts w:ascii="Times New Roman" w:hAnsi="Times New Roman" w:cs="Times New Roman"/>
          <w:b/>
          <w:bCs/>
          <w:color w:val="800000"/>
          <w:sz w:val="18"/>
          <w:szCs w:val="18"/>
        </w:rPr>
      </w:pPr>
      <w:r>
        <w:rPr>
          <w:rFonts w:ascii="Times New Roman" w:hAnsi="Times New Roman" w:cs="Times New Roman"/>
          <w:b/>
          <w:bCs/>
          <w:color w:val="800000"/>
          <w:sz w:val="18"/>
          <w:szCs w:val="18"/>
        </w:rPr>
        <w:t>Paralegal/Intake Coordinator</w:t>
      </w:r>
    </w:p>
    <w:p w:rsidR="002C5025" w:rsidRDefault="002C5025">
      <w:pPr>
        <w:pStyle w:val="BodyText"/>
        <w:kinsoku w:val="0"/>
        <w:overflowPunct w:val="0"/>
        <w:spacing w:line="203" w:lineRule="exact"/>
        <w:ind w:left="306"/>
        <w:rPr>
          <w:rFonts w:ascii="Times New Roman" w:hAnsi="Times New Roman" w:cs="Times New Roman"/>
          <w:sz w:val="18"/>
          <w:szCs w:val="18"/>
        </w:rPr>
      </w:pPr>
      <w:r>
        <w:rPr>
          <w:rFonts w:ascii="Times New Roman" w:hAnsi="Times New Roman" w:cs="Times New Roman"/>
          <w:sz w:val="18"/>
          <w:szCs w:val="18"/>
        </w:rPr>
        <w:t>Christina  Y. Carver</w:t>
      </w:r>
    </w:p>
    <w:p w:rsidR="002C5025" w:rsidRDefault="002C5025">
      <w:pPr>
        <w:pStyle w:val="BodyText"/>
        <w:kinsoku w:val="0"/>
        <w:overflowPunct w:val="0"/>
        <w:spacing w:before="4"/>
        <w:rPr>
          <w:rFonts w:ascii="Times New Roman" w:hAnsi="Times New Roman" w:cs="Times New Roman"/>
          <w:sz w:val="20"/>
          <w:szCs w:val="20"/>
        </w:rPr>
      </w:pPr>
    </w:p>
    <w:p w:rsidR="002C5025" w:rsidRDefault="002C5025">
      <w:pPr>
        <w:pStyle w:val="BodyText"/>
        <w:kinsoku w:val="0"/>
        <w:overflowPunct w:val="0"/>
        <w:spacing w:before="1" w:line="225" w:lineRule="auto"/>
        <w:ind w:left="306" w:right="372"/>
        <w:rPr>
          <w:rFonts w:ascii="Times New Roman" w:hAnsi="Times New Roman" w:cs="Times New Roman"/>
          <w:color w:val="000000"/>
          <w:sz w:val="18"/>
          <w:szCs w:val="18"/>
        </w:rPr>
      </w:pPr>
      <w:r>
        <w:rPr>
          <w:rFonts w:ascii="Times New Roman" w:hAnsi="Times New Roman" w:cs="Times New Roman"/>
          <w:b/>
          <w:bCs/>
          <w:color w:val="800000"/>
          <w:sz w:val="18"/>
          <w:szCs w:val="18"/>
        </w:rPr>
        <w:t xml:space="preserve">Administrative Staff Chief Operating Officer </w:t>
      </w:r>
      <w:r>
        <w:rPr>
          <w:rFonts w:ascii="Times New Roman" w:hAnsi="Times New Roman" w:cs="Times New Roman"/>
          <w:color w:val="000000"/>
          <w:sz w:val="18"/>
          <w:szCs w:val="18"/>
        </w:rPr>
        <w:t>Robert MacPherson</w:t>
      </w:r>
    </w:p>
    <w:p w:rsidR="002C5025" w:rsidRDefault="002C5025">
      <w:pPr>
        <w:pStyle w:val="BodyText"/>
        <w:kinsoku w:val="0"/>
        <w:overflowPunct w:val="0"/>
        <w:spacing w:before="4"/>
        <w:rPr>
          <w:rFonts w:ascii="Times New Roman" w:hAnsi="Times New Roman" w:cs="Times New Roman"/>
          <w:sz w:val="20"/>
          <w:szCs w:val="20"/>
        </w:rPr>
      </w:pPr>
    </w:p>
    <w:p w:rsidR="002C5025" w:rsidRDefault="002C5025">
      <w:pPr>
        <w:pStyle w:val="BodyText"/>
        <w:kinsoku w:val="0"/>
        <w:overflowPunct w:val="0"/>
        <w:spacing w:line="204" w:lineRule="exact"/>
        <w:ind w:left="306" w:right="247"/>
        <w:rPr>
          <w:rFonts w:ascii="Times New Roman" w:hAnsi="Times New Roman" w:cs="Times New Roman"/>
          <w:b/>
          <w:bCs/>
          <w:color w:val="800000"/>
          <w:sz w:val="18"/>
          <w:szCs w:val="18"/>
        </w:rPr>
      </w:pPr>
      <w:r>
        <w:rPr>
          <w:rFonts w:ascii="Times New Roman" w:hAnsi="Times New Roman" w:cs="Times New Roman"/>
          <w:b/>
          <w:bCs/>
          <w:color w:val="800000"/>
          <w:sz w:val="18"/>
          <w:szCs w:val="18"/>
        </w:rPr>
        <w:t>Program and Development Associate</w:t>
      </w:r>
    </w:p>
    <w:p w:rsidR="002C5025" w:rsidRDefault="002C5025">
      <w:pPr>
        <w:pStyle w:val="BodyText"/>
        <w:kinsoku w:val="0"/>
        <w:overflowPunct w:val="0"/>
        <w:spacing w:line="195" w:lineRule="exact"/>
        <w:ind w:left="306"/>
        <w:rPr>
          <w:rFonts w:ascii="Times New Roman" w:hAnsi="Times New Roman" w:cs="Times New Roman"/>
          <w:sz w:val="18"/>
          <w:szCs w:val="18"/>
        </w:rPr>
      </w:pPr>
      <w:r>
        <w:rPr>
          <w:rFonts w:ascii="Times New Roman" w:hAnsi="Times New Roman" w:cs="Times New Roman"/>
          <w:sz w:val="18"/>
          <w:szCs w:val="18"/>
        </w:rPr>
        <w:t>Emily Tabor</w:t>
      </w:r>
    </w:p>
    <w:p w:rsidR="002C5025" w:rsidRDefault="002C5025">
      <w:pPr>
        <w:pStyle w:val="BodyText"/>
        <w:kinsoku w:val="0"/>
        <w:overflowPunct w:val="0"/>
        <w:spacing w:before="8"/>
        <w:rPr>
          <w:rFonts w:ascii="Times New Roman" w:hAnsi="Times New Roman" w:cs="Times New Roman"/>
          <w:sz w:val="18"/>
          <w:szCs w:val="18"/>
        </w:rPr>
      </w:pPr>
    </w:p>
    <w:p w:rsidR="002C5025" w:rsidRDefault="002C5025">
      <w:pPr>
        <w:pStyle w:val="BodyText"/>
        <w:kinsoku w:val="0"/>
        <w:overflowPunct w:val="0"/>
        <w:spacing w:line="202" w:lineRule="exact"/>
        <w:ind w:left="306"/>
        <w:rPr>
          <w:rFonts w:ascii="Times New Roman" w:hAnsi="Times New Roman" w:cs="Times New Roman"/>
          <w:b/>
          <w:bCs/>
          <w:color w:val="800000"/>
          <w:sz w:val="18"/>
          <w:szCs w:val="18"/>
        </w:rPr>
      </w:pPr>
      <w:r>
        <w:rPr>
          <w:rFonts w:ascii="Times New Roman" w:hAnsi="Times New Roman" w:cs="Times New Roman"/>
          <w:b/>
          <w:bCs/>
          <w:color w:val="800000"/>
          <w:sz w:val="18"/>
          <w:szCs w:val="18"/>
        </w:rPr>
        <w:t>Development Assistant</w:t>
      </w:r>
    </w:p>
    <w:p w:rsidR="002C5025" w:rsidRDefault="002C5025">
      <w:pPr>
        <w:pStyle w:val="BodyText"/>
        <w:kinsoku w:val="0"/>
        <w:overflowPunct w:val="0"/>
        <w:spacing w:line="202" w:lineRule="exact"/>
        <w:ind w:left="306"/>
        <w:rPr>
          <w:rFonts w:ascii="Times New Roman" w:hAnsi="Times New Roman" w:cs="Times New Roman"/>
          <w:sz w:val="18"/>
          <w:szCs w:val="18"/>
        </w:rPr>
      </w:pPr>
      <w:r>
        <w:rPr>
          <w:rFonts w:ascii="Times New Roman" w:hAnsi="Times New Roman" w:cs="Times New Roman"/>
          <w:sz w:val="18"/>
          <w:szCs w:val="18"/>
        </w:rPr>
        <w:t xml:space="preserve">Sophie </w:t>
      </w:r>
      <w:proofErr w:type="spellStart"/>
      <w:r>
        <w:rPr>
          <w:rFonts w:ascii="Times New Roman" w:hAnsi="Times New Roman" w:cs="Times New Roman"/>
          <w:sz w:val="18"/>
          <w:szCs w:val="18"/>
        </w:rPr>
        <w:t>DeGroot</w:t>
      </w:r>
      <w:proofErr w:type="spellEnd"/>
    </w:p>
    <w:p w:rsidR="002C5025" w:rsidRDefault="002C5025">
      <w:pPr>
        <w:pStyle w:val="BodyText"/>
        <w:kinsoku w:val="0"/>
        <w:overflowPunct w:val="0"/>
        <w:spacing w:before="69"/>
        <w:ind w:left="306" w:right="2238"/>
        <w:rPr>
          <w:rFonts w:ascii="Times New Roman" w:hAnsi="Times New Roman" w:cs="Times New Roman"/>
          <w:sz w:val="24"/>
          <w:szCs w:val="24"/>
        </w:rPr>
      </w:pPr>
      <w:r>
        <w:rPr>
          <w:rFonts w:ascii="Times New Roman" w:hAnsi="Times New Roman" w:cs="Times New Roman"/>
          <w:sz w:val="24"/>
          <w:szCs w:val="24"/>
        </w:rPr>
        <w:br w:type="column"/>
      </w:r>
      <w:r>
        <w:rPr>
          <w:rFonts w:ascii="Times New Roman" w:hAnsi="Times New Roman" w:cs="Times New Roman"/>
          <w:sz w:val="24"/>
          <w:szCs w:val="24"/>
        </w:rPr>
        <w:lastRenderedPageBreak/>
        <w:t>July 17, 2016</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306" w:right="2238"/>
        <w:rPr>
          <w:rFonts w:ascii="Times New Roman" w:hAnsi="Times New Roman" w:cs="Times New Roman"/>
          <w:sz w:val="24"/>
          <w:szCs w:val="24"/>
        </w:rPr>
      </w:pPr>
      <w:r>
        <w:rPr>
          <w:rFonts w:ascii="Times New Roman" w:hAnsi="Times New Roman" w:cs="Times New Roman"/>
          <w:sz w:val="24"/>
          <w:szCs w:val="24"/>
        </w:rPr>
        <w:t>Daniel Tsai</w:t>
      </w:r>
    </w:p>
    <w:p w:rsidR="002C5025" w:rsidRDefault="002C5025">
      <w:pPr>
        <w:pStyle w:val="BodyText"/>
        <w:kinsoku w:val="0"/>
        <w:overflowPunct w:val="0"/>
        <w:ind w:left="306" w:right="2238"/>
        <w:rPr>
          <w:rFonts w:ascii="Times New Roman" w:hAnsi="Times New Roman" w:cs="Times New Roman"/>
          <w:sz w:val="24"/>
          <w:szCs w:val="24"/>
        </w:rPr>
      </w:pPr>
      <w:r>
        <w:rPr>
          <w:rFonts w:ascii="Times New Roman" w:hAnsi="Times New Roman" w:cs="Times New Roman"/>
          <w:sz w:val="24"/>
          <w:szCs w:val="24"/>
        </w:rPr>
        <w:t>Assistant Secretary for MassHealth</w:t>
      </w:r>
    </w:p>
    <w:p w:rsidR="002C5025" w:rsidRDefault="002C5025">
      <w:pPr>
        <w:pStyle w:val="BodyText"/>
        <w:kinsoku w:val="0"/>
        <w:overflowPunct w:val="0"/>
        <w:ind w:left="306" w:right="2238"/>
        <w:rPr>
          <w:rFonts w:ascii="Times New Roman" w:hAnsi="Times New Roman" w:cs="Times New Roman"/>
          <w:sz w:val="24"/>
          <w:szCs w:val="24"/>
        </w:rPr>
      </w:pPr>
      <w:r>
        <w:rPr>
          <w:rFonts w:ascii="Times New Roman" w:hAnsi="Times New Roman" w:cs="Times New Roman"/>
          <w:sz w:val="24"/>
          <w:szCs w:val="24"/>
        </w:rPr>
        <w:t>Executive Office of Health and Human Services One Ashburton  Place, 11th Floor</w:t>
      </w:r>
    </w:p>
    <w:p w:rsidR="002C5025" w:rsidRDefault="002C5025">
      <w:pPr>
        <w:pStyle w:val="BodyText"/>
        <w:kinsoku w:val="0"/>
        <w:overflowPunct w:val="0"/>
        <w:ind w:left="306" w:right="2238"/>
        <w:rPr>
          <w:rFonts w:ascii="Times New Roman" w:hAnsi="Times New Roman" w:cs="Times New Roman"/>
          <w:sz w:val="24"/>
          <w:szCs w:val="24"/>
        </w:rPr>
      </w:pPr>
      <w:r>
        <w:rPr>
          <w:rFonts w:ascii="Times New Roman" w:hAnsi="Times New Roman" w:cs="Times New Roman"/>
          <w:sz w:val="24"/>
          <w:szCs w:val="24"/>
        </w:rPr>
        <w:t>Boston, MA 02108</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spacing w:before="4"/>
        <w:rPr>
          <w:rFonts w:ascii="Times New Roman" w:hAnsi="Times New Roman" w:cs="Times New Roman"/>
          <w:sz w:val="24"/>
          <w:szCs w:val="24"/>
        </w:rPr>
      </w:pPr>
    </w:p>
    <w:p w:rsidR="002C5025" w:rsidRDefault="002C5025">
      <w:pPr>
        <w:pStyle w:val="BodyText"/>
        <w:kinsoku w:val="0"/>
        <w:overflowPunct w:val="0"/>
        <w:spacing w:before="1"/>
        <w:ind w:left="1026" w:right="471"/>
        <w:rPr>
          <w:rFonts w:ascii="Times New Roman" w:hAnsi="Times New Roman" w:cs="Times New Roman"/>
          <w:b/>
          <w:bCs/>
          <w:sz w:val="24"/>
          <w:szCs w:val="24"/>
        </w:rPr>
      </w:pPr>
      <w:r>
        <w:rPr>
          <w:rFonts w:ascii="Times New Roman" w:hAnsi="Times New Roman" w:cs="Times New Roman"/>
          <w:b/>
          <w:bCs/>
          <w:spacing w:val="-4"/>
          <w:sz w:val="24"/>
          <w:szCs w:val="24"/>
        </w:rPr>
        <w:t xml:space="preserve">RE: </w:t>
      </w:r>
      <w:r>
        <w:rPr>
          <w:rFonts w:ascii="Times New Roman" w:hAnsi="Times New Roman" w:cs="Times New Roman"/>
          <w:b/>
          <w:bCs/>
          <w:spacing w:val="-3"/>
          <w:sz w:val="24"/>
          <w:szCs w:val="24"/>
        </w:rPr>
        <w:t xml:space="preserve">HLA </w:t>
      </w:r>
      <w:r>
        <w:rPr>
          <w:rFonts w:ascii="Times New Roman" w:hAnsi="Times New Roman" w:cs="Times New Roman"/>
          <w:b/>
          <w:bCs/>
          <w:spacing w:val="-6"/>
          <w:sz w:val="24"/>
          <w:szCs w:val="24"/>
        </w:rPr>
        <w:t xml:space="preserve">Comments </w:t>
      </w:r>
      <w:r>
        <w:rPr>
          <w:rFonts w:ascii="Times New Roman" w:hAnsi="Times New Roman" w:cs="Times New Roman"/>
          <w:b/>
          <w:bCs/>
          <w:sz w:val="24"/>
          <w:szCs w:val="24"/>
        </w:rPr>
        <w:t xml:space="preserve">on </w:t>
      </w:r>
      <w:r>
        <w:rPr>
          <w:rFonts w:ascii="Times New Roman" w:hAnsi="Times New Roman" w:cs="Times New Roman"/>
          <w:b/>
          <w:bCs/>
          <w:spacing w:val="-4"/>
          <w:sz w:val="24"/>
          <w:szCs w:val="24"/>
        </w:rPr>
        <w:t xml:space="preserve">the </w:t>
      </w:r>
      <w:r>
        <w:rPr>
          <w:rFonts w:ascii="Times New Roman" w:hAnsi="Times New Roman" w:cs="Times New Roman"/>
          <w:b/>
          <w:bCs/>
          <w:spacing w:val="-5"/>
          <w:sz w:val="24"/>
          <w:szCs w:val="24"/>
        </w:rPr>
        <w:t xml:space="preserve">Commonwealth’s </w:t>
      </w:r>
      <w:r>
        <w:rPr>
          <w:rFonts w:ascii="Times New Roman" w:hAnsi="Times New Roman" w:cs="Times New Roman"/>
          <w:b/>
          <w:bCs/>
          <w:sz w:val="24"/>
          <w:szCs w:val="24"/>
        </w:rPr>
        <w:t xml:space="preserve">Section 1115 </w:t>
      </w:r>
      <w:r>
        <w:rPr>
          <w:rFonts w:ascii="Times New Roman" w:hAnsi="Times New Roman" w:cs="Times New Roman"/>
          <w:b/>
          <w:bCs/>
          <w:spacing w:val="-4"/>
          <w:sz w:val="24"/>
          <w:szCs w:val="24"/>
        </w:rPr>
        <w:t xml:space="preserve">Demonstration  </w:t>
      </w:r>
      <w:r>
        <w:rPr>
          <w:rFonts w:ascii="Times New Roman" w:hAnsi="Times New Roman" w:cs="Times New Roman"/>
          <w:b/>
          <w:bCs/>
          <w:sz w:val="24"/>
          <w:szCs w:val="24"/>
        </w:rPr>
        <w:t xml:space="preserve">Project </w:t>
      </w:r>
      <w:r>
        <w:rPr>
          <w:rFonts w:ascii="Times New Roman" w:hAnsi="Times New Roman" w:cs="Times New Roman"/>
          <w:b/>
          <w:bCs/>
          <w:spacing w:val="-7"/>
          <w:sz w:val="24"/>
          <w:szCs w:val="24"/>
        </w:rPr>
        <w:t xml:space="preserve">Amendment  </w:t>
      </w:r>
      <w:r>
        <w:rPr>
          <w:rFonts w:ascii="Times New Roman" w:hAnsi="Times New Roman" w:cs="Times New Roman"/>
          <w:b/>
          <w:bCs/>
          <w:spacing w:val="-3"/>
          <w:sz w:val="24"/>
          <w:szCs w:val="24"/>
        </w:rPr>
        <w:t xml:space="preserve">and </w:t>
      </w:r>
      <w:r>
        <w:rPr>
          <w:rFonts w:ascii="Times New Roman" w:hAnsi="Times New Roman" w:cs="Times New Roman"/>
          <w:b/>
          <w:bCs/>
          <w:sz w:val="24"/>
          <w:szCs w:val="24"/>
        </w:rPr>
        <w:t>Extension Request</w:t>
      </w:r>
    </w:p>
    <w:p w:rsidR="002C5025" w:rsidRDefault="002C5025">
      <w:pPr>
        <w:pStyle w:val="BodyText"/>
        <w:kinsoku w:val="0"/>
        <w:overflowPunct w:val="0"/>
        <w:rPr>
          <w:rFonts w:ascii="Times New Roman" w:hAnsi="Times New Roman" w:cs="Times New Roman"/>
          <w:b/>
          <w:bCs/>
          <w:sz w:val="24"/>
          <w:szCs w:val="24"/>
        </w:rPr>
      </w:pPr>
    </w:p>
    <w:p w:rsidR="002C5025" w:rsidRDefault="002C5025">
      <w:pPr>
        <w:pStyle w:val="BodyText"/>
        <w:kinsoku w:val="0"/>
        <w:overflowPunct w:val="0"/>
        <w:spacing w:before="9"/>
        <w:rPr>
          <w:rFonts w:ascii="Times New Roman" w:hAnsi="Times New Roman" w:cs="Times New Roman"/>
          <w:b/>
          <w:bCs/>
          <w:sz w:val="23"/>
          <w:szCs w:val="23"/>
        </w:rPr>
      </w:pPr>
    </w:p>
    <w:p w:rsidR="002C5025" w:rsidRDefault="002C5025">
      <w:pPr>
        <w:pStyle w:val="BodyText"/>
        <w:kinsoku w:val="0"/>
        <w:overflowPunct w:val="0"/>
        <w:ind w:left="306" w:right="2238"/>
        <w:rPr>
          <w:rFonts w:ascii="Times New Roman" w:hAnsi="Times New Roman" w:cs="Times New Roman"/>
          <w:sz w:val="24"/>
          <w:szCs w:val="24"/>
        </w:rPr>
      </w:pPr>
      <w:r>
        <w:rPr>
          <w:rFonts w:ascii="Times New Roman" w:hAnsi="Times New Roman" w:cs="Times New Roman"/>
          <w:sz w:val="24"/>
          <w:szCs w:val="24"/>
        </w:rPr>
        <w:t>Dear Assistant Secretary Tsai:</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306" w:right="78"/>
        <w:rPr>
          <w:rFonts w:ascii="Times New Roman" w:hAnsi="Times New Roman" w:cs="Times New Roman"/>
          <w:sz w:val="24"/>
          <w:szCs w:val="24"/>
        </w:rPr>
      </w:pPr>
      <w:r>
        <w:rPr>
          <w:rFonts w:ascii="Times New Roman" w:hAnsi="Times New Roman" w:cs="Times New Roman"/>
          <w:sz w:val="24"/>
          <w:szCs w:val="24"/>
        </w:rPr>
        <w:t xml:space="preserve">We appreciate the opportunity to comment on the Commonwealth’s proposed amendment to the MassHealth 1115 waiver (Waiver Request). Health Law Advocates (HLA) writes to you on behalf of our low-income clients who are members of MassHealth and the Health Safety Net (HSN). We strongly advocate that any “value-based restructuring” of the MassHealth program must preserve </w:t>
      </w:r>
      <w:r>
        <w:rPr>
          <w:rFonts w:ascii="Times New Roman" w:hAnsi="Times New Roman" w:cs="Times New Roman"/>
          <w:i/>
          <w:iCs/>
          <w:sz w:val="24"/>
          <w:szCs w:val="24"/>
        </w:rPr>
        <w:t xml:space="preserve">member access to quality care and medically necessary services as the most important element of a new system </w:t>
      </w:r>
      <w:r>
        <w:rPr>
          <w:rFonts w:ascii="Times New Roman" w:hAnsi="Times New Roman" w:cs="Times New Roman"/>
          <w:sz w:val="24"/>
          <w:szCs w:val="24"/>
        </w:rPr>
        <w:t>that also seeks to moderate health care costs.</w:t>
      </w:r>
    </w:p>
    <w:p w:rsidR="002C5025" w:rsidRDefault="002C5025">
      <w:pPr>
        <w:pStyle w:val="BodyText"/>
        <w:kinsoku w:val="0"/>
        <w:overflowPunct w:val="0"/>
        <w:spacing w:before="9"/>
        <w:rPr>
          <w:rFonts w:ascii="Times New Roman" w:hAnsi="Times New Roman" w:cs="Times New Roman"/>
          <w:sz w:val="23"/>
          <w:szCs w:val="23"/>
        </w:rPr>
      </w:pPr>
    </w:p>
    <w:p w:rsidR="002C5025" w:rsidRDefault="002C5025">
      <w:pPr>
        <w:pStyle w:val="BodyText"/>
        <w:kinsoku w:val="0"/>
        <w:overflowPunct w:val="0"/>
        <w:ind w:left="306" w:right="150"/>
        <w:rPr>
          <w:rFonts w:ascii="Times New Roman" w:hAnsi="Times New Roman" w:cs="Times New Roman"/>
          <w:sz w:val="24"/>
          <w:szCs w:val="24"/>
        </w:rPr>
      </w:pPr>
      <w:r>
        <w:rPr>
          <w:rFonts w:ascii="Times New Roman" w:hAnsi="Times New Roman" w:cs="Times New Roman"/>
          <w:sz w:val="24"/>
          <w:szCs w:val="24"/>
        </w:rPr>
        <w:t xml:space="preserve">Delivery </w:t>
      </w:r>
      <w:r>
        <w:rPr>
          <w:rFonts w:ascii="Times New Roman" w:hAnsi="Times New Roman" w:cs="Times New Roman"/>
          <w:spacing w:val="-3"/>
          <w:sz w:val="24"/>
          <w:szCs w:val="24"/>
        </w:rPr>
        <w:t xml:space="preserve">system </w:t>
      </w:r>
      <w:r>
        <w:rPr>
          <w:rFonts w:ascii="Times New Roman" w:hAnsi="Times New Roman" w:cs="Times New Roman"/>
          <w:sz w:val="24"/>
          <w:szCs w:val="24"/>
        </w:rPr>
        <w:t xml:space="preserve">reform is a very worthy goal. An </w:t>
      </w:r>
      <w:r>
        <w:rPr>
          <w:rFonts w:ascii="Times New Roman" w:hAnsi="Times New Roman" w:cs="Times New Roman"/>
          <w:spacing w:val="-3"/>
          <w:sz w:val="24"/>
          <w:szCs w:val="24"/>
        </w:rPr>
        <w:t xml:space="preserve">integrated </w:t>
      </w:r>
      <w:r>
        <w:rPr>
          <w:rFonts w:ascii="Times New Roman" w:hAnsi="Times New Roman" w:cs="Times New Roman"/>
          <w:spacing w:val="-4"/>
          <w:sz w:val="24"/>
          <w:szCs w:val="24"/>
        </w:rPr>
        <w:t xml:space="preserve">system </w:t>
      </w:r>
      <w:r>
        <w:rPr>
          <w:rFonts w:ascii="Times New Roman" w:hAnsi="Times New Roman" w:cs="Times New Roman"/>
          <w:sz w:val="24"/>
          <w:szCs w:val="24"/>
        </w:rPr>
        <w:t xml:space="preserve">of care </w:t>
      </w:r>
      <w:r>
        <w:rPr>
          <w:rFonts w:ascii="Times New Roman" w:hAnsi="Times New Roman" w:cs="Times New Roman"/>
          <w:spacing w:val="-3"/>
          <w:sz w:val="24"/>
          <w:szCs w:val="24"/>
        </w:rPr>
        <w:t xml:space="preserve">and </w:t>
      </w:r>
      <w:r>
        <w:rPr>
          <w:rFonts w:ascii="Times New Roman" w:hAnsi="Times New Roman" w:cs="Times New Roman"/>
          <w:sz w:val="24"/>
          <w:szCs w:val="24"/>
        </w:rPr>
        <w:t xml:space="preserve">coverage </w:t>
      </w:r>
      <w:r>
        <w:rPr>
          <w:rFonts w:ascii="Times New Roman" w:hAnsi="Times New Roman" w:cs="Times New Roman"/>
          <w:spacing w:val="-4"/>
          <w:sz w:val="24"/>
          <w:szCs w:val="24"/>
        </w:rPr>
        <w:t xml:space="preserve">that </w:t>
      </w:r>
      <w:r>
        <w:rPr>
          <w:rFonts w:ascii="Times New Roman" w:hAnsi="Times New Roman" w:cs="Times New Roman"/>
          <w:spacing w:val="-3"/>
          <w:sz w:val="24"/>
          <w:szCs w:val="24"/>
        </w:rPr>
        <w:t xml:space="preserve">incentivizes </w:t>
      </w:r>
      <w:r>
        <w:rPr>
          <w:rFonts w:ascii="Times New Roman" w:hAnsi="Times New Roman" w:cs="Times New Roman"/>
          <w:spacing w:val="-4"/>
          <w:sz w:val="24"/>
          <w:szCs w:val="24"/>
        </w:rPr>
        <w:t xml:space="preserve">high </w:t>
      </w:r>
      <w:r>
        <w:rPr>
          <w:rFonts w:ascii="Times New Roman" w:hAnsi="Times New Roman" w:cs="Times New Roman"/>
          <w:sz w:val="24"/>
          <w:szCs w:val="24"/>
        </w:rPr>
        <w:t xml:space="preserve">quality </w:t>
      </w:r>
      <w:r>
        <w:rPr>
          <w:rFonts w:ascii="Times New Roman" w:hAnsi="Times New Roman" w:cs="Times New Roman"/>
          <w:spacing w:val="-5"/>
          <w:sz w:val="24"/>
          <w:szCs w:val="24"/>
        </w:rPr>
        <w:t xml:space="preserve">outcomes </w:t>
      </w:r>
      <w:r>
        <w:rPr>
          <w:rFonts w:ascii="Times New Roman" w:hAnsi="Times New Roman" w:cs="Times New Roman"/>
          <w:spacing w:val="-3"/>
          <w:sz w:val="24"/>
          <w:szCs w:val="24"/>
        </w:rPr>
        <w:t xml:space="preserve">offers </w:t>
      </w:r>
      <w:r>
        <w:rPr>
          <w:rFonts w:ascii="Times New Roman" w:hAnsi="Times New Roman" w:cs="Times New Roman"/>
          <w:spacing w:val="-4"/>
          <w:sz w:val="24"/>
          <w:szCs w:val="24"/>
        </w:rPr>
        <w:t xml:space="preserve">great </w:t>
      </w:r>
      <w:r>
        <w:rPr>
          <w:rFonts w:ascii="Times New Roman" w:hAnsi="Times New Roman" w:cs="Times New Roman"/>
          <w:spacing w:val="-3"/>
          <w:sz w:val="24"/>
          <w:szCs w:val="24"/>
        </w:rPr>
        <w:t xml:space="preserve">promise for MassHealth </w:t>
      </w:r>
      <w:r>
        <w:rPr>
          <w:rFonts w:ascii="Times New Roman" w:hAnsi="Times New Roman" w:cs="Times New Roman"/>
          <w:spacing w:val="-5"/>
          <w:sz w:val="24"/>
          <w:szCs w:val="24"/>
        </w:rPr>
        <w:t xml:space="preserve">members. </w:t>
      </w:r>
      <w:r>
        <w:rPr>
          <w:rFonts w:ascii="Times New Roman" w:hAnsi="Times New Roman" w:cs="Times New Roman"/>
          <w:sz w:val="24"/>
          <w:szCs w:val="24"/>
        </w:rPr>
        <w:t xml:space="preserve">However, clarification </w:t>
      </w:r>
      <w:r>
        <w:rPr>
          <w:rFonts w:ascii="Times New Roman" w:hAnsi="Times New Roman" w:cs="Times New Roman"/>
          <w:spacing w:val="-3"/>
          <w:sz w:val="24"/>
          <w:szCs w:val="24"/>
        </w:rPr>
        <w:t xml:space="preserve">and </w:t>
      </w:r>
      <w:r>
        <w:rPr>
          <w:rFonts w:ascii="Times New Roman" w:hAnsi="Times New Roman" w:cs="Times New Roman"/>
          <w:sz w:val="24"/>
          <w:szCs w:val="24"/>
        </w:rPr>
        <w:t xml:space="preserve">preservation of </w:t>
      </w:r>
      <w:r>
        <w:rPr>
          <w:rFonts w:ascii="Times New Roman" w:hAnsi="Times New Roman" w:cs="Times New Roman"/>
          <w:spacing w:val="-4"/>
          <w:sz w:val="24"/>
          <w:szCs w:val="24"/>
        </w:rPr>
        <w:t xml:space="preserve">consumers’ rights </w:t>
      </w:r>
      <w:r>
        <w:rPr>
          <w:rFonts w:ascii="Times New Roman" w:hAnsi="Times New Roman" w:cs="Times New Roman"/>
          <w:sz w:val="24"/>
          <w:szCs w:val="24"/>
        </w:rPr>
        <w:t xml:space="preserve">within </w:t>
      </w:r>
      <w:r>
        <w:rPr>
          <w:rFonts w:ascii="Times New Roman" w:hAnsi="Times New Roman" w:cs="Times New Roman"/>
          <w:spacing w:val="-5"/>
          <w:sz w:val="24"/>
          <w:szCs w:val="24"/>
        </w:rPr>
        <w:t xml:space="preserve">the </w:t>
      </w:r>
      <w:r>
        <w:rPr>
          <w:rFonts w:ascii="Times New Roman" w:hAnsi="Times New Roman" w:cs="Times New Roman"/>
          <w:spacing w:val="-3"/>
          <w:sz w:val="24"/>
          <w:szCs w:val="24"/>
        </w:rPr>
        <w:t xml:space="preserve">restructured </w:t>
      </w:r>
      <w:r>
        <w:rPr>
          <w:rFonts w:ascii="Times New Roman" w:hAnsi="Times New Roman" w:cs="Times New Roman"/>
          <w:spacing w:val="-4"/>
          <w:sz w:val="24"/>
          <w:szCs w:val="24"/>
        </w:rPr>
        <w:t xml:space="preserve">system </w:t>
      </w:r>
      <w:r>
        <w:rPr>
          <w:rFonts w:ascii="Times New Roman" w:hAnsi="Times New Roman" w:cs="Times New Roman"/>
          <w:sz w:val="24"/>
          <w:szCs w:val="24"/>
        </w:rPr>
        <w:t xml:space="preserve">are critical </w:t>
      </w:r>
      <w:r>
        <w:rPr>
          <w:rFonts w:ascii="Times New Roman" w:hAnsi="Times New Roman" w:cs="Times New Roman"/>
          <w:spacing w:val="-3"/>
          <w:sz w:val="24"/>
          <w:szCs w:val="24"/>
        </w:rPr>
        <w:t xml:space="preserve">to ensure </w:t>
      </w:r>
      <w:r>
        <w:rPr>
          <w:rFonts w:ascii="Times New Roman" w:hAnsi="Times New Roman" w:cs="Times New Roman"/>
          <w:sz w:val="24"/>
          <w:szCs w:val="24"/>
        </w:rPr>
        <w:t xml:space="preserve">access </w:t>
      </w:r>
      <w:r>
        <w:rPr>
          <w:rFonts w:ascii="Times New Roman" w:hAnsi="Times New Roman" w:cs="Times New Roman"/>
          <w:spacing w:val="-3"/>
          <w:sz w:val="24"/>
          <w:szCs w:val="24"/>
        </w:rPr>
        <w:t xml:space="preserve">to </w:t>
      </w:r>
      <w:r>
        <w:rPr>
          <w:rFonts w:ascii="Times New Roman" w:hAnsi="Times New Roman" w:cs="Times New Roman"/>
          <w:sz w:val="24"/>
          <w:szCs w:val="24"/>
        </w:rPr>
        <w:t xml:space="preserve">care. </w:t>
      </w:r>
      <w:r>
        <w:rPr>
          <w:rFonts w:ascii="Times New Roman" w:hAnsi="Times New Roman" w:cs="Times New Roman"/>
          <w:spacing w:val="-6"/>
          <w:sz w:val="24"/>
          <w:szCs w:val="24"/>
        </w:rPr>
        <w:t xml:space="preserve">HLA </w:t>
      </w:r>
      <w:r>
        <w:rPr>
          <w:rFonts w:ascii="Times New Roman" w:hAnsi="Times New Roman" w:cs="Times New Roman"/>
          <w:spacing w:val="-3"/>
          <w:sz w:val="24"/>
          <w:szCs w:val="24"/>
        </w:rPr>
        <w:t xml:space="preserve">has </w:t>
      </w:r>
      <w:r>
        <w:rPr>
          <w:rFonts w:ascii="Times New Roman" w:hAnsi="Times New Roman" w:cs="Times New Roman"/>
          <w:sz w:val="24"/>
          <w:szCs w:val="24"/>
        </w:rPr>
        <w:t xml:space="preserve">reviewed </w:t>
      </w:r>
      <w:r>
        <w:rPr>
          <w:rFonts w:ascii="Times New Roman" w:hAnsi="Times New Roman" w:cs="Times New Roman"/>
          <w:spacing w:val="-5"/>
          <w:sz w:val="24"/>
          <w:szCs w:val="24"/>
        </w:rPr>
        <w:t xml:space="preserve">the </w:t>
      </w:r>
      <w:r>
        <w:rPr>
          <w:rFonts w:ascii="Times New Roman" w:hAnsi="Times New Roman" w:cs="Times New Roman"/>
          <w:spacing w:val="-7"/>
          <w:sz w:val="24"/>
          <w:szCs w:val="24"/>
        </w:rPr>
        <w:t xml:space="preserve">comments </w:t>
      </w:r>
      <w:r>
        <w:rPr>
          <w:rFonts w:ascii="Times New Roman" w:hAnsi="Times New Roman" w:cs="Times New Roman"/>
          <w:spacing w:val="-5"/>
          <w:sz w:val="24"/>
          <w:szCs w:val="24"/>
        </w:rPr>
        <w:t xml:space="preserve">submitted </w:t>
      </w:r>
      <w:r>
        <w:rPr>
          <w:rFonts w:ascii="Times New Roman" w:hAnsi="Times New Roman" w:cs="Times New Roman"/>
          <w:sz w:val="24"/>
          <w:szCs w:val="24"/>
        </w:rPr>
        <w:t xml:space="preserve">by Health Care For All </w:t>
      </w:r>
      <w:r>
        <w:rPr>
          <w:rFonts w:ascii="Times New Roman" w:hAnsi="Times New Roman" w:cs="Times New Roman"/>
          <w:spacing w:val="-4"/>
          <w:sz w:val="24"/>
          <w:szCs w:val="24"/>
        </w:rPr>
        <w:t xml:space="preserve">and </w:t>
      </w:r>
      <w:r>
        <w:rPr>
          <w:rFonts w:ascii="Times New Roman" w:hAnsi="Times New Roman" w:cs="Times New Roman"/>
          <w:spacing w:val="-5"/>
          <w:sz w:val="24"/>
          <w:szCs w:val="24"/>
        </w:rPr>
        <w:t xml:space="preserve">the ACT!! </w:t>
      </w:r>
      <w:r>
        <w:rPr>
          <w:rFonts w:ascii="Times New Roman" w:hAnsi="Times New Roman" w:cs="Times New Roman"/>
          <w:sz w:val="24"/>
          <w:szCs w:val="24"/>
        </w:rPr>
        <w:t xml:space="preserve">Coalition </w:t>
      </w:r>
      <w:r>
        <w:rPr>
          <w:rFonts w:ascii="Times New Roman" w:hAnsi="Times New Roman" w:cs="Times New Roman"/>
          <w:spacing w:val="-4"/>
          <w:sz w:val="24"/>
          <w:szCs w:val="24"/>
        </w:rPr>
        <w:t xml:space="preserve">and </w:t>
      </w:r>
      <w:r>
        <w:rPr>
          <w:rFonts w:ascii="Times New Roman" w:hAnsi="Times New Roman" w:cs="Times New Roman"/>
          <w:sz w:val="24"/>
          <w:szCs w:val="24"/>
        </w:rPr>
        <w:t xml:space="preserve">we </w:t>
      </w:r>
      <w:r>
        <w:rPr>
          <w:rFonts w:ascii="Times New Roman" w:hAnsi="Times New Roman" w:cs="Times New Roman"/>
          <w:spacing w:val="-3"/>
          <w:sz w:val="24"/>
          <w:szCs w:val="24"/>
        </w:rPr>
        <w:t xml:space="preserve">strongly </w:t>
      </w:r>
      <w:r>
        <w:rPr>
          <w:rFonts w:ascii="Times New Roman" w:hAnsi="Times New Roman" w:cs="Times New Roman"/>
          <w:sz w:val="24"/>
          <w:szCs w:val="24"/>
        </w:rPr>
        <w:t xml:space="preserve">endorse </w:t>
      </w:r>
      <w:r>
        <w:rPr>
          <w:rFonts w:ascii="Times New Roman" w:hAnsi="Times New Roman" w:cs="Times New Roman"/>
          <w:spacing w:val="-3"/>
          <w:sz w:val="24"/>
          <w:szCs w:val="24"/>
        </w:rPr>
        <w:t xml:space="preserve">their </w:t>
      </w:r>
      <w:r>
        <w:rPr>
          <w:rFonts w:ascii="Times New Roman" w:hAnsi="Times New Roman" w:cs="Times New Roman"/>
          <w:spacing w:val="-5"/>
          <w:sz w:val="24"/>
          <w:szCs w:val="24"/>
        </w:rPr>
        <w:t xml:space="preserve">recommendations.  </w:t>
      </w:r>
      <w:r>
        <w:rPr>
          <w:rFonts w:ascii="Times New Roman" w:hAnsi="Times New Roman" w:cs="Times New Roman"/>
          <w:sz w:val="24"/>
          <w:szCs w:val="24"/>
        </w:rPr>
        <w:t xml:space="preserve">We </w:t>
      </w:r>
      <w:r>
        <w:rPr>
          <w:rFonts w:ascii="Times New Roman" w:hAnsi="Times New Roman" w:cs="Times New Roman"/>
          <w:spacing w:val="-4"/>
          <w:sz w:val="24"/>
          <w:szCs w:val="24"/>
        </w:rPr>
        <w:t xml:space="preserve">submit these </w:t>
      </w:r>
      <w:r>
        <w:rPr>
          <w:rFonts w:ascii="Times New Roman" w:hAnsi="Times New Roman" w:cs="Times New Roman"/>
          <w:spacing w:val="-7"/>
          <w:sz w:val="24"/>
          <w:szCs w:val="24"/>
        </w:rPr>
        <w:t xml:space="preserve">comments  </w:t>
      </w:r>
      <w:r>
        <w:rPr>
          <w:rFonts w:ascii="Times New Roman" w:hAnsi="Times New Roman" w:cs="Times New Roman"/>
          <w:spacing w:val="-3"/>
          <w:sz w:val="24"/>
          <w:szCs w:val="24"/>
        </w:rPr>
        <w:t xml:space="preserve">to </w:t>
      </w:r>
      <w:r>
        <w:rPr>
          <w:rFonts w:ascii="Times New Roman" w:hAnsi="Times New Roman" w:cs="Times New Roman"/>
          <w:sz w:val="24"/>
          <w:szCs w:val="24"/>
        </w:rPr>
        <w:t xml:space="preserve">elaborate </w:t>
      </w:r>
      <w:r>
        <w:rPr>
          <w:rFonts w:ascii="Times New Roman" w:hAnsi="Times New Roman" w:cs="Times New Roman"/>
          <w:spacing w:val="3"/>
          <w:sz w:val="24"/>
          <w:szCs w:val="24"/>
        </w:rPr>
        <w:t xml:space="preserve">on </w:t>
      </w:r>
      <w:r>
        <w:rPr>
          <w:rFonts w:ascii="Times New Roman" w:hAnsi="Times New Roman" w:cs="Times New Roman"/>
          <w:spacing w:val="-8"/>
          <w:sz w:val="24"/>
          <w:szCs w:val="24"/>
        </w:rPr>
        <w:t xml:space="preserve">the </w:t>
      </w:r>
      <w:r>
        <w:rPr>
          <w:rFonts w:ascii="Times New Roman" w:hAnsi="Times New Roman" w:cs="Times New Roman"/>
          <w:sz w:val="24"/>
          <w:szCs w:val="24"/>
        </w:rPr>
        <w:t>following</w:t>
      </w:r>
      <w:r>
        <w:rPr>
          <w:rFonts w:ascii="Times New Roman" w:hAnsi="Times New Roman" w:cs="Times New Roman"/>
          <w:spacing w:val="-7"/>
          <w:sz w:val="24"/>
          <w:szCs w:val="24"/>
        </w:rPr>
        <w:t xml:space="preserve"> </w:t>
      </w:r>
      <w:r>
        <w:rPr>
          <w:rFonts w:ascii="Times New Roman" w:hAnsi="Times New Roman" w:cs="Times New Roman"/>
          <w:sz w:val="24"/>
          <w:szCs w:val="24"/>
        </w:rPr>
        <w:t>issues:</w:t>
      </w:r>
    </w:p>
    <w:p w:rsidR="002C5025" w:rsidRDefault="002C5025">
      <w:pPr>
        <w:pStyle w:val="BodyText"/>
        <w:kinsoku w:val="0"/>
        <w:overflowPunct w:val="0"/>
        <w:rPr>
          <w:rFonts w:ascii="Times New Roman" w:hAnsi="Times New Roman" w:cs="Times New Roman"/>
          <w:sz w:val="25"/>
          <w:szCs w:val="25"/>
        </w:rPr>
      </w:pPr>
    </w:p>
    <w:p w:rsidR="002C5025" w:rsidRDefault="002C5025">
      <w:pPr>
        <w:pStyle w:val="ListParagraph"/>
        <w:numPr>
          <w:ilvl w:val="0"/>
          <w:numId w:val="48"/>
        </w:numPr>
        <w:tabs>
          <w:tab w:val="left" w:pos="1027"/>
        </w:tabs>
        <w:kinsoku w:val="0"/>
        <w:overflowPunct w:val="0"/>
        <w:spacing w:line="237" w:lineRule="auto"/>
        <w:ind w:right="436"/>
        <w:rPr>
          <w:color w:val="000000"/>
          <w:spacing w:val="-4"/>
        </w:rPr>
      </w:pPr>
      <w:r>
        <w:t xml:space="preserve">Behavioral </w:t>
      </w:r>
      <w:r>
        <w:rPr>
          <w:spacing w:val="-3"/>
        </w:rPr>
        <w:t xml:space="preserve">health </w:t>
      </w:r>
      <w:r>
        <w:t xml:space="preserve">issues, </w:t>
      </w:r>
      <w:r>
        <w:rPr>
          <w:spacing w:val="-3"/>
        </w:rPr>
        <w:t xml:space="preserve">including </w:t>
      </w:r>
      <w:r>
        <w:rPr>
          <w:spacing w:val="-4"/>
        </w:rPr>
        <w:t xml:space="preserve">emergency department </w:t>
      </w:r>
      <w:r>
        <w:rPr>
          <w:spacing w:val="-3"/>
        </w:rPr>
        <w:t xml:space="preserve">(ED) boarding, </w:t>
      </w:r>
      <w:r>
        <w:rPr>
          <w:spacing w:val="-5"/>
        </w:rPr>
        <w:t xml:space="preserve">treatment </w:t>
      </w:r>
      <w:r>
        <w:rPr>
          <w:spacing w:val="-3"/>
        </w:rPr>
        <w:t xml:space="preserve">for substance </w:t>
      </w:r>
      <w:r>
        <w:rPr>
          <w:spacing w:val="-4"/>
        </w:rPr>
        <w:t xml:space="preserve">use </w:t>
      </w:r>
      <w:r>
        <w:t xml:space="preserve">disorders, </w:t>
      </w:r>
      <w:r>
        <w:rPr>
          <w:spacing w:val="-6"/>
        </w:rPr>
        <w:t xml:space="preserve">community </w:t>
      </w:r>
      <w:r>
        <w:t xml:space="preserve">partners, </w:t>
      </w:r>
      <w:r>
        <w:rPr>
          <w:spacing w:val="-4"/>
        </w:rPr>
        <w:t xml:space="preserve">and </w:t>
      </w:r>
      <w:r>
        <w:rPr>
          <w:spacing w:val="-6"/>
        </w:rPr>
        <w:t xml:space="preserve">mental  </w:t>
      </w:r>
      <w:r>
        <w:t>health</w:t>
      </w:r>
      <w:r>
        <w:rPr>
          <w:spacing w:val="-15"/>
        </w:rPr>
        <w:t xml:space="preserve"> </w:t>
      </w:r>
      <w:r>
        <w:rPr>
          <w:spacing w:val="-4"/>
        </w:rPr>
        <w:t>parity.</w:t>
      </w:r>
    </w:p>
    <w:p w:rsidR="002C5025" w:rsidRDefault="002C5025">
      <w:pPr>
        <w:pStyle w:val="ListParagraph"/>
        <w:numPr>
          <w:ilvl w:val="0"/>
          <w:numId w:val="48"/>
        </w:numPr>
        <w:tabs>
          <w:tab w:val="left" w:pos="1027"/>
        </w:tabs>
        <w:kinsoku w:val="0"/>
        <w:overflowPunct w:val="0"/>
        <w:spacing w:before="7" w:line="293" w:lineRule="exact"/>
        <w:rPr>
          <w:color w:val="000000"/>
          <w:spacing w:val="-6"/>
        </w:rPr>
      </w:pPr>
      <w:r>
        <w:rPr>
          <w:spacing w:val="-8"/>
        </w:rPr>
        <w:t xml:space="preserve">Language  </w:t>
      </w:r>
      <w:r>
        <w:t xml:space="preserve">access </w:t>
      </w:r>
      <w:r>
        <w:rPr>
          <w:spacing w:val="-3"/>
        </w:rPr>
        <w:t xml:space="preserve">and </w:t>
      </w:r>
      <w:r>
        <w:rPr>
          <w:spacing w:val="-4"/>
        </w:rPr>
        <w:t>cultural</w:t>
      </w:r>
      <w:r>
        <w:rPr>
          <w:spacing w:val="42"/>
        </w:rPr>
        <w:t xml:space="preserve"> </w:t>
      </w:r>
      <w:r>
        <w:rPr>
          <w:spacing w:val="-6"/>
        </w:rPr>
        <w:t>competency;</w:t>
      </w:r>
    </w:p>
    <w:p w:rsidR="002C5025" w:rsidRDefault="002C5025">
      <w:pPr>
        <w:pStyle w:val="ListParagraph"/>
        <w:numPr>
          <w:ilvl w:val="0"/>
          <w:numId w:val="48"/>
        </w:numPr>
        <w:tabs>
          <w:tab w:val="left" w:pos="1027"/>
        </w:tabs>
        <w:kinsoku w:val="0"/>
        <w:overflowPunct w:val="0"/>
        <w:spacing w:line="293" w:lineRule="exact"/>
        <w:rPr>
          <w:color w:val="000000"/>
          <w:spacing w:val="-4"/>
        </w:rPr>
      </w:pPr>
      <w:r>
        <w:rPr>
          <w:spacing w:val="-4"/>
        </w:rPr>
        <w:t xml:space="preserve">Ensuring </w:t>
      </w:r>
      <w:r>
        <w:t xml:space="preserve">a </w:t>
      </w:r>
      <w:r>
        <w:rPr>
          <w:spacing w:val="-3"/>
        </w:rPr>
        <w:t xml:space="preserve">robust </w:t>
      </w:r>
      <w:r>
        <w:t>health care safety</w:t>
      </w:r>
      <w:r>
        <w:rPr>
          <w:spacing w:val="23"/>
        </w:rPr>
        <w:t xml:space="preserve"> </w:t>
      </w:r>
      <w:r>
        <w:rPr>
          <w:spacing w:val="-4"/>
        </w:rPr>
        <w:t>net;</w:t>
      </w:r>
    </w:p>
    <w:p w:rsidR="002C5025" w:rsidRDefault="002C5025">
      <w:pPr>
        <w:pStyle w:val="ListParagraph"/>
        <w:numPr>
          <w:ilvl w:val="0"/>
          <w:numId w:val="48"/>
        </w:numPr>
        <w:tabs>
          <w:tab w:val="left" w:pos="1027"/>
        </w:tabs>
        <w:kinsoku w:val="0"/>
        <w:overflowPunct w:val="0"/>
        <w:spacing w:before="1" w:line="293" w:lineRule="exact"/>
        <w:rPr>
          <w:color w:val="000000"/>
        </w:rPr>
      </w:pPr>
      <w:r>
        <w:t xml:space="preserve">Appeals </w:t>
      </w:r>
      <w:r>
        <w:rPr>
          <w:spacing w:val="-3"/>
        </w:rPr>
        <w:t>and grievance</w:t>
      </w:r>
      <w:r>
        <w:rPr>
          <w:spacing w:val="19"/>
        </w:rPr>
        <w:t xml:space="preserve"> </w:t>
      </w:r>
      <w:r>
        <w:t>processes;</w:t>
      </w:r>
    </w:p>
    <w:p w:rsidR="002C5025" w:rsidRDefault="002C5025">
      <w:pPr>
        <w:pStyle w:val="ListParagraph"/>
        <w:numPr>
          <w:ilvl w:val="0"/>
          <w:numId w:val="48"/>
        </w:numPr>
        <w:tabs>
          <w:tab w:val="left" w:pos="1027"/>
        </w:tabs>
        <w:kinsoku w:val="0"/>
        <w:overflowPunct w:val="0"/>
        <w:spacing w:line="292" w:lineRule="exact"/>
        <w:rPr>
          <w:color w:val="000000"/>
          <w:spacing w:val="-3"/>
        </w:rPr>
      </w:pPr>
      <w:r>
        <w:rPr>
          <w:spacing w:val="-5"/>
        </w:rPr>
        <w:t xml:space="preserve">ACOs </w:t>
      </w:r>
      <w:r>
        <w:rPr>
          <w:spacing w:val="-4"/>
        </w:rPr>
        <w:t xml:space="preserve">and </w:t>
      </w:r>
      <w:r>
        <w:rPr>
          <w:spacing w:val="-5"/>
        </w:rPr>
        <w:t xml:space="preserve">the </w:t>
      </w:r>
      <w:r>
        <w:rPr>
          <w:spacing w:val="-4"/>
        </w:rPr>
        <w:t xml:space="preserve">One </w:t>
      </w:r>
      <w:r>
        <w:t>Care</w:t>
      </w:r>
      <w:r>
        <w:rPr>
          <w:spacing w:val="52"/>
        </w:rPr>
        <w:t xml:space="preserve"> </w:t>
      </w:r>
      <w:r>
        <w:rPr>
          <w:spacing w:val="-3"/>
        </w:rPr>
        <w:t>model;</w:t>
      </w:r>
    </w:p>
    <w:p w:rsidR="002C5025" w:rsidRDefault="002C5025">
      <w:pPr>
        <w:pStyle w:val="ListParagraph"/>
        <w:numPr>
          <w:ilvl w:val="0"/>
          <w:numId w:val="48"/>
        </w:numPr>
        <w:tabs>
          <w:tab w:val="left" w:pos="1027"/>
        </w:tabs>
        <w:kinsoku w:val="0"/>
        <w:overflowPunct w:val="0"/>
        <w:spacing w:line="274" w:lineRule="exact"/>
        <w:rPr>
          <w:color w:val="424242"/>
          <w:spacing w:val="-6"/>
          <w:sz w:val="21"/>
          <w:szCs w:val="21"/>
        </w:rPr>
      </w:pPr>
      <w:r>
        <w:rPr>
          <w:color w:val="000000"/>
          <w:spacing w:val="-3"/>
        </w:rPr>
        <w:t xml:space="preserve">PCC </w:t>
      </w:r>
      <w:r>
        <w:rPr>
          <w:color w:val="000000"/>
          <w:spacing w:val="-4"/>
        </w:rPr>
        <w:t>Benefit Reductions  and the MCO</w:t>
      </w:r>
      <w:r>
        <w:rPr>
          <w:color w:val="000000"/>
          <w:spacing w:val="40"/>
        </w:rPr>
        <w:t xml:space="preserve"> </w:t>
      </w:r>
      <w:r>
        <w:rPr>
          <w:color w:val="000000"/>
          <w:spacing w:val="-6"/>
        </w:rPr>
        <w:t>Lock-In;</w:t>
      </w:r>
    </w:p>
    <w:p w:rsidR="002C5025" w:rsidRDefault="002C5025">
      <w:pPr>
        <w:pStyle w:val="ListParagraph"/>
        <w:numPr>
          <w:ilvl w:val="0"/>
          <w:numId w:val="48"/>
        </w:numPr>
        <w:tabs>
          <w:tab w:val="left" w:pos="1027"/>
        </w:tabs>
        <w:kinsoku w:val="0"/>
        <w:overflowPunct w:val="0"/>
        <w:spacing w:before="4" w:line="293" w:lineRule="exact"/>
        <w:rPr>
          <w:color w:val="000000"/>
        </w:rPr>
      </w:pPr>
      <w:r>
        <w:rPr>
          <w:spacing w:val="-5"/>
        </w:rPr>
        <w:t xml:space="preserve">Accommodations  </w:t>
      </w:r>
      <w:r>
        <w:rPr>
          <w:spacing w:val="-3"/>
        </w:rPr>
        <w:t xml:space="preserve">for </w:t>
      </w:r>
      <w:r>
        <w:t>people with</w:t>
      </w:r>
      <w:r>
        <w:rPr>
          <w:spacing w:val="13"/>
        </w:rPr>
        <w:t xml:space="preserve"> </w:t>
      </w:r>
      <w:r>
        <w:t>disabilities;</w:t>
      </w:r>
    </w:p>
    <w:p w:rsidR="002C5025" w:rsidRDefault="002C5025">
      <w:pPr>
        <w:pStyle w:val="ListParagraph"/>
        <w:numPr>
          <w:ilvl w:val="0"/>
          <w:numId w:val="48"/>
        </w:numPr>
        <w:tabs>
          <w:tab w:val="left" w:pos="1027"/>
        </w:tabs>
        <w:kinsoku w:val="0"/>
        <w:overflowPunct w:val="0"/>
        <w:spacing w:line="293" w:lineRule="exact"/>
        <w:rPr>
          <w:color w:val="000000"/>
        </w:rPr>
      </w:pPr>
      <w:r>
        <w:t xml:space="preserve">Network adequacy </w:t>
      </w:r>
      <w:r>
        <w:rPr>
          <w:spacing w:val="-3"/>
        </w:rPr>
        <w:t xml:space="preserve">and </w:t>
      </w:r>
      <w:r>
        <w:rPr>
          <w:spacing w:val="-4"/>
        </w:rPr>
        <w:t xml:space="preserve">continuity  </w:t>
      </w:r>
      <w:r>
        <w:t>of</w:t>
      </w:r>
      <w:r>
        <w:rPr>
          <w:spacing w:val="-27"/>
        </w:rPr>
        <w:t xml:space="preserve"> </w:t>
      </w:r>
      <w:r>
        <w:t>care.</w:t>
      </w:r>
    </w:p>
    <w:p w:rsidR="002C5025" w:rsidRDefault="002C5025">
      <w:pPr>
        <w:pStyle w:val="ListParagraph"/>
        <w:numPr>
          <w:ilvl w:val="0"/>
          <w:numId w:val="48"/>
        </w:numPr>
        <w:tabs>
          <w:tab w:val="left" w:pos="1027"/>
        </w:tabs>
        <w:kinsoku w:val="0"/>
        <w:overflowPunct w:val="0"/>
        <w:spacing w:line="293" w:lineRule="exact"/>
        <w:rPr>
          <w:color w:val="000000"/>
        </w:rPr>
        <w:sectPr w:rsidR="002C5025">
          <w:type w:val="continuous"/>
          <w:pgSz w:w="12240" w:h="15840"/>
          <w:pgMar w:top="720" w:right="1380" w:bottom="280" w:left="500" w:header="720" w:footer="720" w:gutter="0"/>
          <w:cols w:num="2" w:space="720" w:equalWidth="0">
            <w:col w:w="2653" w:space="145"/>
            <w:col w:w="7562"/>
          </w:cols>
          <w:noEndnote/>
        </w:sectPr>
      </w:pPr>
    </w:p>
    <w:p w:rsidR="002C5025" w:rsidRDefault="002C5025">
      <w:pPr>
        <w:pStyle w:val="BodyText"/>
        <w:kinsoku w:val="0"/>
        <w:overflowPunct w:val="0"/>
        <w:spacing w:before="48"/>
        <w:ind w:left="120" w:right="5427"/>
        <w:rPr>
          <w:rFonts w:ascii="Times New Roman" w:hAnsi="Times New Roman" w:cs="Times New Roman"/>
          <w:sz w:val="24"/>
          <w:szCs w:val="24"/>
        </w:rPr>
      </w:pPr>
      <w:r>
        <w:rPr>
          <w:rFonts w:ascii="Times New Roman" w:hAnsi="Times New Roman" w:cs="Times New Roman"/>
          <w:sz w:val="24"/>
          <w:szCs w:val="24"/>
          <w:u w:val="single"/>
        </w:rPr>
        <w:lastRenderedPageBreak/>
        <w:t>Behavioral Health</w:t>
      </w:r>
    </w:p>
    <w:p w:rsidR="002C5025" w:rsidRDefault="002C5025">
      <w:pPr>
        <w:pStyle w:val="BodyText"/>
        <w:kinsoku w:val="0"/>
        <w:overflowPunct w:val="0"/>
        <w:ind w:left="119" w:right="177"/>
        <w:rPr>
          <w:rFonts w:ascii="Times New Roman" w:hAnsi="Times New Roman" w:cs="Times New Roman"/>
          <w:sz w:val="24"/>
          <w:szCs w:val="24"/>
        </w:rPr>
      </w:pPr>
      <w:r>
        <w:rPr>
          <w:rFonts w:ascii="Times New Roman" w:hAnsi="Times New Roman" w:cs="Times New Roman"/>
          <w:sz w:val="24"/>
          <w:szCs w:val="24"/>
        </w:rPr>
        <w:t>HLA is pleased that MassHealth is working towards greater integration of behavioral health care and physical health care, combined with improved long term services and supports (LTSS) and stronger linkages to social services. We also applaud the proposal to improve MassHealth members’ access to treatment for mental health conditions and substance use disorders. We are particularly encouraged by: 1) The plan to reduce emergency room psychiatric boarding; 2) the proposed expanded scope of services to treat substance use disorders; and 3) the required</w:t>
      </w:r>
    </w:p>
    <w:p w:rsidR="002C5025" w:rsidRDefault="002C5025">
      <w:pPr>
        <w:pStyle w:val="BodyText"/>
        <w:kinsoku w:val="0"/>
        <w:overflowPunct w:val="0"/>
        <w:ind w:left="120" w:right="469"/>
        <w:rPr>
          <w:rFonts w:ascii="Times New Roman" w:hAnsi="Times New Roman" w:cs="Times New Roman"/>
          <w:sz w:val="24"/>
          <w:szCs w:val="24"/>
        </w:rPr>
      </w:pPr>
      <w:r>
        <w:rPr>
          <w:rFonts w:ascii="Times New Roman" w:hAnsi="Times New Roman" w:cs="Times New Roman"/>
          <w:sz w:val="24"/>
          <w:szCs w:val="24"/>
        </w:rPr>
        <w:t>establishment by Accountable Care Organizations (ACOs) of behavioral health Community Partnerships. HLA also urges the Commonwealth to ensure compliance with state and federal mental  health parity laws, which is among HLA’s  highest priorities.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ListParagraph"/>
        <w:numPr>
          <w:ilvl w:val="0"/>
          <w:numId w:val="47"/>
        </w:numPr>
        <w:tabs>
          <w:tab w:val="left" w:pos="480"/>
        </w:tabs>
        <w:kinsoku w:val="0"/>
        <w:overflowPunct w:val="0"/>
        <w:rPr>
          <w:i/>
          <w:iCs/>
        </w:rPr>
      </w:pPr>
      <w:r>
        <w:rPr>
          <w:i/>
          <w:iCs/>
        </w:rPr>
        <w:t>Emergency Department psychiatric</w:t>
      </w:r>
      <w:r>
        <w:rPr>
          <w:i/>
          <w:iCs/>
          <w:spacing w:val="-38"/>
        </w:rPr>
        <w:t xml:space="preserve"> </w:t>
      </w:r>
      <w:r>
        <w:rPr>
          <w:i/>
          <w:iCs/>
        </w:rPr>
        <w:t>boarding</w:t>
      </w:r>
    </w:p>
    <w:p w:rsidR="002C5025" w:rsidRDefault="002C5025">
      <w:pPr>
        <w:pStyle w:val="BodyText"/>
        <w:kinsoku w:val="0"/>
        <w:overflowPunct w:val="0"/>
        <w:rPr>
          <w:rFonts w:ascii="Times New Roman" w:hAnsi="Times New Roman" w:cs="Times New Roman"/>
          <w:i/>
          <w:iCs/>
          <w:sz w:val="24"/>
          <w:szCs w:val="24"/>
        </w:rPr>
      </w:pPr>
    </w:p>
    <w:p w:rsidR="002C5025" w:rsidRDefault="002C5025">
      <w:pPr>
        <w:pStyle w:val="BodyText"/>
        <w:kinsoku w:val="0"/>
        <w:overflowPunct w:val="0"/>
        <w:ind w:left="120" w:right="301"/>
        <w:rPr>
          <w:rFonts w:ascii="Times New Roman" w:hAnsi="Times New Roman" w:cs="Times New Roman"/>
          <w:spacing w:val="-3"/>
          <w:sz w:val="24"/>
          <w:szCs w:val="24"/>
        </w:rPr>
      </w:pPr>
      <w:r>
        <w:rPr>
          <w:rFonts w:ascii="Times New Roman" w:hAnsi="Times New Roman" w:cs="Times New Roman"/>
          <w:spacing w:val="-6"/>
          <w:sz w:val="24"/>
          <w:szCs w:val="24"/>
        </w:rPr>
        <w:t xml:space="preserve">HLA </w:t>
      </w:r>
      <w:r>
        <w:rPr>
          <w:rFonts w:ascii="Times New Roman" w:hAnsi="Times New Roman" w:cs="Times New Roman"/>
          <w:sz w:val="24"/>
          <w:szCs w:val="24"/>
        </w:rPr>
        <w:t xml:space="preserve">is pleased </w:t>
      </w:r>
      <w:r>
        <w:rPr>
          <w:rFonts w:ascii="Times New Roman" w:hAnsi="Times New Roman" w:cs="Times New Roman"/>
          <w:spacing w:val="-3"/>
          <w:sz w:val="24"/>
          <w:szCs w:val="24"/>
        </w:rPr>
        <w:t xml:space="preserve">to </w:t>
      </w:r>
      <w:r>
        <w:rPr>
          <w:rFonts w:ascii="Times New Roman" w:hAnsi="Times New Roman" w:cs="Times New Roman"/>
          <w:sz w:val="24"/>
          <w:szCs w:val="24"/>
        </w:rPr>
        <w:t xml:space="preserve">see a </w:t>
      </w:r>
      <w:r>
        <w:rPr>
          <w:rFonts w:ascii="Times New Roman" w:hAnsi="Times New Roman" w:cs="Times New Roman"/>
          <w:spacing w:val="-4"/>
          <w:sz w:val="24"/>
          <w:szCs w:val="24"/>
        </w:rPr>
        <w:t xml:space="preserve">targeted </w:t>
      </w:r>
      <w:r>
        <w:rPr>
          <w:rFonts w:ascii="Times New Roman" w:hAnsi="Times New Roman" w:cs="Times New Roman"/>
          <w:spacing w:val="-3"/>
          <w:sz w:val="24"/>
          <w:szCs w:val="24"/>
        </w:rPr>
        <w:t xml:space="preserve">effort </w:t>
      </w:r>
      <w:r>
        <w:rPr>
          <w:rFonts w:ascii="Times New Roman" w:hAnsi="Times New Roman" w:cs="Times New Roman"/>
          <w:sz w:val="24"/>
          <w:szCs w:val="24"/>
        </w:rPr>
        <w:t xml:space="preserve">to </w:t>
      </w:r>
      <w:r>
        <w:rPr>
          <w:rFonts w:ascii="Times New Roman" w:hAnsi="Times New Roman" w:cs="Times New Roman"/>
          <w:spacing w:val="-3"/>
          <w:sz w:val="24"/>
          <w:szCs w:val="24"/>
        </w:rPr>
        <w:t xml:space="preserve">combat </w:t>
      </w:r>
      <w:r>
        <w:rPr>
          <w:rFonts w:ascii="Times New Roman" w:hAnsi="Times New Roman" w:cs="Times New Roman"/>
          <w:spacing w:val="-5"/>
          <w:sz w:val="24"/>
          <w:szCs w:val="24"/>
        </w:rPr>
        <w:t xml:space="preserve">Emergency Department </w:t>
      </w:r>
      <w:r>
        <w:rPr>
          <w:rFonts w:ascii="Times New Roman" w:hAnsi="Times New Roman" w:cs="Times New Roman"/>
          <w:sz w:val="24"/>
          <w:szCs w:val="24"/>
        </w:rPr>
        <w:t xml:space="preserve">(ED) </w:t>
      </w:r>
      <w:r>
        <w:rPr>
          <w:rFonts w:ascii="Times New Roman" w:hAnsi="Times New Roman" w:cs="Times New Roman"/>
          <w:spacing w:val="-3"/>
          <w:sz w:val="24"/>
          <w:szCs w:val="24"/>
        </w:rPr>
        <w:t xml:space="preserve">psychiatric boarding. We </w:t>
      </w:r>
      <w:r>
        <w:rPr>
          <w:rFonts w:ascii="Times New Roman" w:hAnsi="Times New Roman" w:cs="Times New Roman"/>
          <w:sz w:val="24"/>
          <w:szCs w:val="24"/>
        </w:rPr>
        <w:t xml:space="preserve">support </w:t>
      </w:r>
      <w:r>
        <w:rPr>
          <w:rFonts w:ascii="Times New Roman" w:hAnsi="Times New Roman" w:cs="Times New Roman"/>
          <w:spacing w:val="-3"/>
          <w:sz w:val="24"/>
          <w:szCs w:val="24"/>
        </w:rPr>
        <w:t xml:space="preserve">MassHealth seeking </w:t>
      </w:r>
      <w:r>
        <w:rPr>
          <w:rFonts w:ascii="Times New Roman" w:hAnsi="Times New Roman" w:cs="Times New Roman"/>
          <w:spacing w:val="-6"/>
          <w:sz w:val="24"/>
          <w:szCs w:val="24"/>
        </w:rPr>
        <w:t xml:space="preserve">DSRIP funding </w:t>
      </w:r>
      <w:r>
        <w:rPr>
          <w:rFonts w:ascii="Times New Roman" w:hAnsi="Times New Roman" w:cs="Times New Roman"/>
          <w:sz w:val="24"/>
          <w:szCs w:val="24"/>
        </w:rPr>
        <w:t xml:space="preserve">to support diversionary levels of care </w:t>
      </w:r>
      <w:r>
        <w:rPr>
          <w:rFonts w:ascii="Times New Roman" w:hAnsi="Times New Roman" w:cs="Times New Roman"/>
          <w:spacing w:val="-4"/>
          <w:sz w:val="24"/>
          <w:szCs w:val="24"/>
        </w:rPr>
        <w:t xml:space="preserve">that emphasize </w:t>
      </w:r>
      <w:r>
        <w:rPr>
          <w:rFonts w:ascii="Times New Roman" w:hAnsi="Times New Roman" w:cs="Times New Roman"/>
          <w:spacing w:val="-5"/>
          <w:sz w:val="24"/>
          <w:szCs w:val="24"/>
        </w:rPr>
        <w:t xml:space="preserve">treatment </w:t>
      </w:r>
      <w:r>
        <w:rPr>
          <w:rFonts w:ascii="Times New Roman" w:hAnsi="Times New Roman" w:cs="Times New Roman"/>
          <w:sz w:val="24"/>
          <w:szCs w:val="24"/>
        </w:rPr>
        <w:t xml:space="preserve">in </w:t>
      </w:r>
      <w:r>
        <w:rPr>
          <w:rFonts w:ascii="Times New Roman" w:hAnsi="Times New Roman" w:cs="Times New Roman"/>
          <w:spacing w:val="-5"/>
          <w:sz w:val="24"/>
          <w:szCs w:val="24"/>
        </w:rPr>
        <w:t xml:space="preserve">the </w:t>
      </w:r>
      <w:r>
        <w:rPr>
          <w:rFonts w:ascii="Times New Roman" w:hAnsi="Times New Roman" w:cs="Times New Roman"/>
          <w:sz w:val="24"/>
          <w:szCs w:val="24"/>
        </w:rPr>
        <w:t xml:space="preserve">least restrictive, clinically appropriate </w:t>
      </w:r>
      <w:r>
        <w:rPr>
          <w:rFonts w:ascii="Times New Roman" w:hAnsi="Times New Roman" w:cs="Times New Roman"/>
          <w:spacing w:val="-4"/>
          <w:sz w:val="24"/>
          <w:szCs w:val="24"/>
        </w:rPr>
        <w:t xml:space="preserve">setting. The </w:t>
      </w:r>
      <w:r>
        <w:rPr>
          <w:rFonts w:ascii="Times New Roman" w:hAnsi="Times New Roman" w:cs="Times New Roman"/>
          <w:sz w:val="24"/>
          <w:szCs w:val="24"/>
        </w:rPr>
        <w:t xml:space="preserve">levels of care identified are all </w:t>
      </w:r>
      <w:r>
        <w:rPr>
          <w:rFonts w:ascii="Times New Roman" w:hAnsi="Times New Roman" w:cs="Times New Roman"/>
          <w:spacing w:val="-5"/>
          <w:sz w:val="24"/>
          <w:szCs w:val="24"/>
        </w:rPr>
        <w:t xml:space="preserve">important </w:t>
      </w:r>
      <w:r>
        <w:rPr>
          <w:rFonts w:ascii="Times New Roman" w:hAnsi="Times New Roman" w:cs="Times New Roman"/>
          <w:spacing w:val="-3"/>
          <w:sz w:val="24"/>
          <w:szCs w:val="24"/>
        </w:rPr>
        <w:t xml:space="preserve">and no doubt need to </w:t>
      </w:r>
      <w:r>
        <w:rPr>
          <w:rFonts w:ascii="Times New Roman" w:hAnsi="Times New Roman" w:cs="Times New Roman"/>
          <w:sz w:val="24"/>
          <w:szCs w:val="24"/>
        </w:rPr>
        <w:t xml:space="preserve">be </w:t>
      </w:r>
      <w:r>
        <w:rPr>
          <w:rFonts w:ascii="Times New Roman" w:hAnsi="Times New Roman" w:cs="Times New Roman"/>
          <w:spacing w:val="-5"/>
          <w:sz w:val="24"/>
          <w:szCs w:val="24"/>
        </w:rPr>
        <w:t xml:space="preserve">enhanced </w:t>
      </w:r>
      <w:r>
        <w:rPr>
          <w:rFonts w:ascii="Times New Roman" w:hAnsi="Times New Roman" w:cs="Times New Roman"/>
          <w:sz w:val="24"/>
          <w:szCs w:val="24"/>
        </w:rPr>
        <w:t xml:space="preserve">and/or </w:t>
      </w:r>
      <w:r>
        <w:rPr>
          <w:rFonts w:ascii="Times New Roman" w:hAnsi="Times New Roman" w:cs="Times New Roman"/>
          <w:spacing w:val="-4"/>
          <w:sz w:val="24"/>
          <w:szCs w:val="24"/>
        </w:rPr>
        <w:t xml:space="preserve">expanded. </w:t>
      </w:r>
      <w:r>
        <w:rPr>
          <w:rFonts w:ascii="Times New Roman" w:hAnsi="Times New Roman" w:cs="Times New Roman"/>
          <w:sz w:val="24"/>
          <w:szCs w:val="24"/>
        </w:rPr>
        <w:t xml:space="preserve">However, </w:t>
      </w:r>
      <w:r>
        <w:rPr>
          <w:rFonts w:ascii="Times New Roman" w:hAnsi="Times New Roman" w:cs="Times New Roman"/>
          <w:spacing w:val="4"/>
          <w:sz w:val="24"/>
          <w:szCs w:val="24"/>
        </w:rPr>
        <w:t xml:space="preserve">we </w:t>
      </w:r>
      <w:r>
        <w:rPr>
          <w:rFonts w:ascii="Times New Roman" w:hAnsi="Times New Roman" w:cs="Times New Roman"/>
          <w:sz w:val="24"/>
          <w:szCs w:val="24"/>
        </w:rPr>
        <w:t xml:space="preserve">believe </w:t>
      </w:r>
      <w:r>
        <w:rPr>
          <w:rFonts w:ascii="Times New Roman" w:hAnsi="Times New Roman" w:cs="Times New Roman"/>
          <w:spacing w:val="-4"/>
          <w:sz w:val="24"/>
          <w:szCs w:val="24"/>
        </w:rPr>
        <w:t xml:space="preserve">that </w:t>
      </w:r>
      <w:r>
        <w:rPr>
          <w:rFonts w:ascii="Times New Roman" w:hAnsi="Times New Roman" w:cs="Times New Roman"/>
          <w:spacing w:val="-5"/>
          <w:sz w:val="24"/>
          <w:szCs w:val="24"/>
        </w:rPr>
        <w:t xml:space="preserve">investment </w:t>
      </w:r>
      <w:r>
        <w:rPr>
          <w:rFonts w:ascii="Times New Roman" w:hAnsi="Times New Roman" w:cs="Times New Roman"/>
          <w:spacing w:val="-3"/>
          <w:sz w:val="24"/>
          <w:szCs w:val="24"/>
        </w:rPr>
        <w:t xml:space="preserve">should </w:t>
      </w:r>
      <w:r>
        <w:rPr>
          <w:rFonts w:ascii="Times New Roman" w:hAnsi="Times New Roman" w:cs="Times New Roman"/>
          <w:sz w:val="24"/>
          <w:szCs w:val="24"/>
        </w:rPr>
        <w:t xml:space="preserve">also be </w:t>
      </w:r>
      <w:r>
        <w:rPr>
          <w:rFonts w:ascii="Times New Roman" w:hAnsi="Times New Roman" w:cs="Times New Roman"/>
          <w:spacing w:val="-4"/>
          <w:sz w:val="24"/>
          <w:szCs w:val="24"/>
        </w:rPr>
        <w:t xml:space="preserve">made </w:t>
      </w:r>
      <w:r>
        <w:rPr>
          <w:rFonts w:ascii="Times New Roman" w:hAnsi="Times New Roman" w:cs="Times New Roman"/>
          <w:sz w:val="24"/>
          <w:szCs w:val="24"/>
        </w:rPr>
        <w:t xml:space="preserve">in </w:t>
      </w:r>
      <w:r>
        <w:rPr>
          <w:rFonts w:ascii="Times New Roman" w:hAnsi="Times New Roman" w:cs="Times New Roman"/>
          <w:spacing w:val="-4"/>
          <w:sz w:val="24"/>
          <w:szCs w:val="24"/>
        </w:rPr>
        <w:t xml:space="preserve">emergency department </w:t>
      </w:r>
      <w:r>
        <w:rPr>
          <w:rFonts w:ascii="Times New Roman" w:hAnsi="Times New Roman" w:cs="Times New Roman"/>
          <w:spacing w:val="-3"/>
          <w:sz w:val="24"/>
          <w:szCs w:val="24"/>
        </w:rPr>
        <w:t xml:space="preserve">and inpatient hospital </w:t>
      </w:r>
      <w:r>
        <w:rPr>
          <w:rFonts w:ascii="Times New Roman" w:hAnsi="Times New Roman" w:cs="Times New Roman"/>
          <w:sz w:val="24"/>
          <w:szCs w:val="24"/>
        </w:rPr>
        <w:t xml:space="preserve">care as </w:t>
      </w:r>
      <w:r>
        <w:rPr>
          <w:rFonts w:ascii="Times New Roman" w:hAnsi="Times New Roman" w:cs="Times New Roman"/>
          <w:spacing w:val="-4"/>
          <w:sz w:val="24"/>
          <w:szCs w:val="24"/>
        </w:rPr>
        <w:t xml:space="preserve">some </w:t>
      </w:r>
      <w:r>
        <w:rPr>
          <w:rFonts w:ascii="Times New Roman" w:hAnsi="Times New Roman" w:cs="Times New Roman"/>
          <w:spacing w:val="-3"/>
          <w:sz w:val="24"/>
          <w:szCs w:val="24"/>
        </w:rPr>
        <w:t xml:space="preserve">patients </w:t>
      </w:r>
      <w:r>
        <w:rPr>
          <w:rFonts w:ascii="Times New Roman" w:hAnsi="Times New Roman" w:cs="Times New Roman"/>
          <w:sz w:val="24"/>
          <w:szCs w:val="24"/>
        </w:rPr>
        <w:t xml:space="preserve">who board require hospital-level care. We </w:t>
      </w:r>
      <w:r>
        <w:rPr>
          <w:rFonts w:ascii="Times New Roman" w:hAnsi="Times New Roman" w:cs="Times New Roman"/>
          <w:spacing w:val="-5"/>
          <w:sz w:val="24"/>
          <w:szCs w:val="24"/>
        </w:rPr>
        <w:t xml:space="preserve">recommend </w:t>
      </w:r>
      <w:r>
        <w:rPr>
          <w:rFonts w:ascii="Times New Roman" w:hAnsi="Times New Roman" w:cs="Times New Roman"/>
          <w:spacing w:val="-4"/>
          <w:sz w:val="24"/>
          <w:szCs w:val="24"/>
        </w:rPr>
        <w:t xml:space="preserve">that </w:t>
      </w:r>
      <w:r>
        <w:rPr>
          <w:rFonts w:ascii="Times New Roman" w:hAnsi="Times New Roman" w:cs="Times New Roman"/>
          <w:spacing w:val="-3"/>
          <w:sz w:val="24"/>
          <w:szCs w:val="24"/>
        </w:rPr>
        <w:t xml:space="preserve">MassHealth </w:t>
      </w:r>
      <w:r>
        <w:rPr>
          <w:rFonts w:ascii="Times New Roman" w:hAnsi="Times New Roman" w:cs="Times New Roman"/>
          <w:sz w:val="24"/>
          <w:szCs w:val="24"/>
        </w:rPr>
        <w:t xml:space="preserve">seek </w:t>
      </w:r>
      <w:r>
        <w:rPr>
          <w:rFonts w:ascii="Times New Roman" w:hAnsi="Times New Roman" w:cs="Times New Roman"/>
          <w:spacing w:val="-5"/>
          <w:sz w:val="24"/>
          <w:szCs w:val="24"/>
        </w:rPr>
        <w:t xml:space="preserve">DSRIP </w:t>
      </w:r>
      <w:r>
        <w:rPr>
          <w:rFonts w:ascii="Times New Roman" w:hAnsi="Times New Roman" w:cs="Times New Roman"/>
          <w:spacing w:val="-6"/>
          <w:sz w:val="24"/>
          <w:szCs w:val="24"/>
        </w:rPr>
        <w:t xml:space="preserve">funding </w:t>
      </w:r>
      <w:r>
        <w:rPr>
          <w:rFonts w:ascii="Times New Roman" w:hAnsi="Times New Roman" w:cs="Times New Roman"/>
          <w:spacing w:val="-3"/>
          <w:sz w:val="24"/>
          <w:szCs w:val="24"/>
        </w:rPr>
        <w:t xml:space="preserve">to </w:t>
      </w:r>
      <w:r>
        <w:rPr>
          <w:rFonts w:ascii="Times New Roman" w:hAnsi="Times New Roman" w:cs="Times New Roman"/>
          <w:spacing w:val="-4"/>
          <w:sz w:val="24"/>
          <w:szCs w:val="24"/>
        </w:rPr>
        <w:t xml:space="preserve">expand </w:t>
      </w:r>
      <w:r>
        <w:rPr>
          <w:rFonts w:ascii="Times New Roman" w:hAnsi="Times New Roman" w:cs="Times New Roman"/>
          <w:spacing w:val="-3"/>
          <w:sz w:val="24"/>
          <w:szCs w:val="24"/>
        </w:rPr>
        <w:t xml:space="preserve">inpatient </w:t>
      </w:r>
      <w:r>
        <w:rPr>
          <w:rFonts w:ascii="Times New Roman" w:hAnsi="Times New Roman" w:cs="Times New Roman"/>
          <w:sz w:val="24"/>
          <w:szCs w:val="24"/>
        </w:rPr>
        <w:t xml:space="preserve">services </w:t>
      </w:r>
      <w:r>
        <w:rPr>
          <w:rFonts w:ascii="Times New Roman" w:hAnsi="Times New Roman" w:cs="Times New Roman"/>
          <w:spacing w:val="-3"/>
          <w:sz w:val="24"/>
          <w:szCs w:val="24"/>
        </w:rPr>
        <w:t xml:space="preserve">for </w:t>
      </w:r>
      <w:r>
        <w:rPr>
          <w:rFonts w:ascii="Times New Roman" w:hAnsi="Times New Roman" w:cs="Times New Roman"/>
          <w:spacing w:val="-5"/>
          <w:sz w:val="24"/>
          <w:szCs w:val="24"/>
        </w:rPr>
        <w:t xml:space="preserve">members </w:t>
      </w:r>
      <w:r>
        <w:rPr>
          <w:rFonts w:ascii="Times New Roman" w:hAnsi="Times New Roman" w:cs="Times New Roman"/>
          <w:sz w:val="24"/>
          <w:szCs w:val="24"/>
        </w:rPr>
        <w:t xml:space="preserve">with both </w:t>
      </w:r>
      <w:r>
        <w:rPr>
          <w:rFonts w:ascii="Times New Roman" w:hAnsi="Times New Roman" w:cs="Times New Roman"/>
          <w:spacing w:val="-6"/>
          <w:sz w:val="24"/>
          <w:szCs w:val="24"/>
        </w:rPr>
        <w:t xml:space="preserve">mental </w:t>
      </w:r>
      <w:r>
        <w:rPr>
          <w:rFonts w:ascii="Times New Roman" w:hAnsi="Times New Roman" w:cs="Times New Roman"/>
          <w:sz w:val="24"/>
          <w:szCs w:val="24"/>
        </w:rPr>
        <w:t xml:space="preserve">illness </w:t>
      </w:r>
      <w:r>
        <w:rPr>
          <w:rFonts w:ascii="Times New Roman" w:hAnsi="Times New Roman" w:cs="Times New Roman"/>
          <w:spacing w:val="-4"/>
          <w:sz w:val="24"/>
          <w:szCs w:val="24"/>
        </w:rPr>
        <w:t xml:space="preserve">and developmental  </w:t>
      </w:r>
      <w:r>
        <w:rPr>
          <w:rFonts w:ascii="Times New Roman" w:hAnsi="Times New Roman" w:cs="Times New Roman"/>
          <w:sz w:val="24"/>
          <w:szCs w:val="24"/>
        </w:rPr>
        <w:t xml:space="preserve">disabilities and/or </w:t>
      </w:r>
      <w:r>
        <w:rPr>
          <w:rFonts w:ascii="Times New Roman" w:hAnsi="Times New Roman" w:cs="Times New Roman"/>
          <w:spacing w:val="-3"/>
          <w:sz w:val="24"/>
          <w:szCs w:val="24"/>
        </w:rPr>
        <w:t>complex medical needs.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19" w:right="301"/>
        <w:rPr>
          <w:rFonts w:ascii="Times New Roman" w:hAnsi="Times New Roman" w:cs="Times New Roman"/>
          <w:sz w:val="24"/>
          <w:szCs w:val="24"/>
        </w:rPr>
      </w:pPr>
      <w:r>
        <w:rPr>
          <w:rFonts w:ascii="Times New Roman" w:hAnsi="Times New Roman" w:cs="Times New Roman"/>
          <w:spacing w:val="-3"/>
          <w:sz w:val="24"/>
          <w:szCs w:val="24"/>
        </w:rPr>
        <w:t xml:space="preserve">We caution </w:t>
      </w:r>
      <w:r>
        <w:rPr>
          <w:rFonts w:ascii="Times New Roman" w:hAnsi="Times New Roman" w:cs="Times New Roman"/>
          <w:spacing w:val="-4"/>
          <w:sz w:val="24"/>
          <w:szCs w:val="24"/>
        </w:rPr>
        <w:t xml:space="preserve">that </w:t>
      </w:r>
      <w:r>
        <w:rPr>
          <w:rFonts w:ascii="Times New Roman" w:hAnsi="Times New Roman" w:cs="Times New Roman"/>
          <w:spacing w:val="-6"/>
          <w:sz w:val="24"/>
          <w:szCs w:val="24"/>
        </w:rPr>
        <w:t xml:space="preserve">making funding </w:t>
      </w:r>
      <w:r>
        <w:rPr>
          <w:rFonts w:ascii="Times New Roman" w:hAnsi="Times New Roman" w:cs="Times New Roman"/>
          <w:sz w:val="24"/>
          <w:szCs w:val="24"/>
        </w:rPr>
        <w:t xml:space="preserve">of services </w:t>
      </w:r>
      <w:r>
        <w:rPr>
          <w:rFonts w:ascii="Times New Roman" w:hAnsi="Times New Roman" w:cs="Times New Roman"/>
          <w:spacing w:val="-3"/>
          <w:sz w:val="24"/>
          <w:szCs w:val="24"/>
        </w:rPr>
        <w:t xml:space="preserve">dependent </w:t>
      </w:r>
      <w:r>
        <w:rPr>
          <w:rFonts w:ascii="Times New Roman" w:hAnsi="Times New Roman" w:cs="Times New Roman"/>
          <w:sz w:val="24"/>
          <w:szCs w:val="24"/>
        </w:rPr>
        <w:t xml:space="preserve">on </w:t>
      </w:r>
      <w:r>
        <w:rPr>
          <w:rFonts w:ascii="Times New Roman" w:hAnsi="Times New Roman" w:cs="Times New Roman"/>
          <w:spacing w:val="-3"/>
          <w:sz w:val="24"/>
          <w:szCs w:val="24"/>
        </w:rPr>
        <w:t xml:space="preserve">achieving </w:t>
      </w:r>
      <w:r>
        <w:rPr>
          <w:rFonts w:ascii="Times New Roman" w:hAnsi="Times New Roman" w:cs="Times New Roman"/>
          <w:sz w:val="24"/>
          <w:szCs w:val="24"/>
        </w:rPr>
        <w:t xml:space="preserve">a pre-determined </w:t>
      </w:r>
      <w:r>
        <w:rPr>
          <w:rFonts w:ascii="Times New Roman" w:hAnsi="Times New Roman" w:cs="Times New Roman"/>
          <w:spacing w:val="-4"/>
          <w:sz w:val="24"/>
          <w:szCs w:val="24"/>
        </w:rPr>
        <w:t xml:space="preserve">target </w:t>
      </w:r>
      <w:r>
        <w:rPr>
          <w:rFonts w:ascii="Times New Roman" w:hAnsi="Times New Roman" w:cs="Times New Roman"/>
          <w:spacing w:val="-5"/>
          <w:sz w:val="24"/>
          <w:szCs w:val="24"/>
        </w:rPr>
        <w:t xml:space="preserve">to </w:t>
      </w:r>
      <w:r>
        <w:rPr>
          <w:rFonts w:ascii="Times New Roman" w:hAnsi="Times New Roman" w:cs="Times New Roman"/>
          <w:spacing w:val="-3"/>
          <w:sz w:val="24"/>
          <w:szCs w:val="24"/>
        </w:rPr>
        <w:t xml:space="preserve">reduce </w:t>
      </w:r>
      <w:r>
        <w:rPr>
          <w:rFonts w:ascii="Times New Roman" w:hAnsi="Times New Roman" w:cs="Times New Roman"/>
          <w:sz w:val="24"/>
          <w:szCs w:val="24"/>
        </w:rPr>
        <w:t xml:space="preserve">ED boarders is </w:t>
      </w:r>
      <w:r>
        <w:rPr>
          <w:rFonts w:ascii="Times New Roman" w:hAnsi="Times New Roman" w:cs="Times New Roman"/>
          <w:spacing w:val="-3"/>
          <w:sz w:val="24"/>
          <w:szCs w:val="24"/>
        </w:rPr>
        <w:t xml:space="preserve">too </w:t>
      </w:r>
      <w:r>
        <w:rPr>
          <w:rFonts w:ascii="Times New Roman" w:hAnsi="Times New Roman" w:cs="Times New Roman"/>
          <w:sz w:val="24"/>
          <w:szCs w:val="24"/>
        </w:rPr>
        <w:t xml:space="preserve">simplistic an approach. As </w:t>
      </w:r>
      <w:r>
        <w:rPr>
          <w:rFonts w:ascii="Times New Roman" w:hAnsi="Times New Roman" w:cs="Times New Roman"/>
          <w:spacing w:val="-5"/>
          <w:sz w:val="24"/>
          <w:szCs w:val="24"/>
        </w:rPr>
        <w:t xml:space="preserve">EOHHS </w:t>
      </w:r>
      <w:r>
        <w:rPr>
          <w:rFonts w:ascii="Times New Roman" w:hAnsi="Times New Roman" w:cs="Times New Roman"/>
          <w:spacing w:val="-4"/>
          <w:sz w:val="24"/>
          <w:szCs w:val="24"/>
        </w:rPr>
        <w:t xml:space="preserve">aims </w:t>
      </w:r>
      <w:r>
        <w:rPr>
          <w:rFonts w:ascii="Times New Roman" w:hAnsi="Times New Roman" w:cs="Times New Roman"/>
          <w:spacing w:val="-3"/>
          <w:sz w:val="24"/>
          <w:szCs w:val="24"/>
        </w:rPr>
        <w:t xml:space="preserve">to </w:t>
      </w:r>
      <w:r>
        <w:rPr>
          <w:rFonts w:ascii="Times New Roman" w:hAnsi="Times New Roman" w:cs="Times New Roman"/>
          <w:spacing w:val="-2"/>
          <w:sz w:val="24"/>
          <w:szCs w:val="24"/>
        </w:rPr>
        <w:t xml:space="preserve">reduce </w:t>
      </w:r>
      <w:r>
        <w:rPr>
          <w:rFonts w:ascii="Times New Roman" w:hAnsi="Times New Roman" w:cs="Times New Roman"/>
          <w:sz w:val="24"/>
          <w:szCs w:val="24"/>
        </w:rPr>
        <w:t xml:space="preserve">ED boarding it </w:t>
      </w:r>
      <w:r>
        <w:rPr>
          <w:rFonts w:ascii="Times New Roman" w:hAnsi="Times New Roman" w:cs="Times New Roman"/>
          <w:spacing w:val="-7"/>
          <w:sz w:val="24"/>
          <w:szCs w:val="24"/>
        </w:rPr>
        <w:t xml:space="preserve">must </w:t>
      </w:r>
      <w:r>
        <w:rPr>
          <w:rFonts w:ascii="Times New Roman" w:hAnsi="Times New Roman" w:cs="Times New Roman"/>
          <w:spacing w:val="-3"/>
          <w:sz w:val="24"/>
          <w:szCs w:val="24"/>
        </w:rPr>
        <w:t xml:space="preserve">study </w:t>
      </w:r>
      <w:r>
        <w:rPr>
          <w:rFonts w:ascii="Times New Roman" w:hAnsi="Times New Roman" w:cs="Times New Roman"/>
          <w:spacing w:val="-4"/>
          <w:sz w:val="24"/>
          <w:szCs w:val="24"/>
        </w:rPr>
        <w:t xml:space="preserve">whether </w:t>
      </w:r>
      <w:r>
        <w:rPr>
          <w:rFonts w:ascii="Times New Roman" w:hAnsi="Times New Roman" w:cs="Times New Roman"/>
          <w:sz w:val="24"/>
          <w:szCs w:val="24"/>
        </w:rPr>
        <w:t xml:space="preserve">increased </w:t>
      </w:r>
      <w:r>
        <w:rPr>
          <w:rFonts w:ascii="Times New Roman" w:hAnsi="Times New Roman" w:cs="Times New Roman"/>
          <w:spacing w:val="-6"/>
          <w:sz w:val="24"/>
          <w:szCs w:val="24"/>
        </w:rPr>
        <w:t xml:space="preserve">funding </w:t>
      </w:r>
      <w:r>
        <w:rPr>
          <w:rFonts w:ascii="Times New Roman" w:hAnsi="Times New Roman" w:cs="Times New Roman"/>
          <w:sz w:val="24"/>
          <w:szCs w:val="24"/>
        </w:rPr>
        <w:t xml:space="preserve">of </w:t>
      </w:r>
      <w:r>
        <w:rPr>
          <w:rFonts w:ascii="Times New Roman" w:hAnsi="Times New Roman" w:cs="Times New Roman"/>
          <w:spacing w:val="-4"/>
          <w:sz w:val="24"/>
          <w:szCs w:val="24"/>
        </w:rPr>
        <w:t xml:space="preserve">the </w:t>
      </w:r>
      <w:r>
        <w:rPr>
          <w:rFonts w:ascii="Times New Roman" w:hAnsi="Times New Roman" w:cs="Times New Roman"/>
          <w:sz w:val="24"/>
          <w:szCs w:val="24"/>
        </w:rPr>
        <w:t xml:space="preserve">identified levels of care </w:t>
      </w:r>
      <w:r>
        <w:rPr>
          <w:rFonts w:ascii="Times New Roman" w:hAnsi="Times New Roman" w:cs="Times New Roman"/>
          <w:spacing w:val="-3"/>
          <w:sz w:val="24"/>
          <w:szCs w:val="24"/>
        </w:rPr>
        <w:t xml:space="preserve">has </w:t>
      </w:r>
      <w:r>
        <w:rPr>
          <w:rFonts w:ascii="Times New Roman" w:hAnsi="Times New Roman" w:cs="Times New Roman"/>
          <w:sz w:val="24"/>
          <w:szCs w:val="24"/>
        </w:rPr>
        <w:t xml:space="preserve">provided </w:t>
      </w:r>
      <w:r>
        <w:rPr>
          <w:rFonts w:ascii="Times New Roman" w:hAnsi="Times New Roman" w:cs="Times New Roman"/>
          <w:spacing w:val="-5"/>
          <w:sz w:val="24"/>
          <w:szCs w:val="24"/>
        </w:rPr>
        <w:t xml:space="preserve">members </w:t>
      </w:r>
      <w:r>
        <w:rPr>
          <w:rFonts w:ascii="Times New Roman" w:hAnsi="Times New Roman" w:cs="Times New Roman"/>
          <w:sz w:val="24"/>
          <w:szCs w:val="24"/>
        </w:rPr>
        <w:t xml:space="preserve">with </w:t>
      </w:r>
      <w:r>
        <w:rPr>
          <w:rFonts w:ascii="Times New Roman" w:hAnsi="Times New Roman" w:cs="Times New Roman"/>
          <w:spacing w:val="-5"/>
          <w:sz w:val="24"/>
          <w:szCs w:val="24"/>
        </w:rPr>
        <w:t xml:space="preserve">the </w:t>
      </w:r>
      <w:r>
        <w:rPr>
          <w:rFonts w:ascii="Times New Roman" w:hAnsi="Times New Roman" w:cs="Times New Roman"/>
          <w:sz w:val="24"/>
          <w:szCs w:val="24"/>
        </w:rPr>
        <w:t xml:space="preserve">care </w:t>
      </w:r>
      <w:r>
        <w:rPr>
          <w:rFonts w:ascii="Times New Roman" w:hAnsi="Times New Roman" w:cs="Times New Roman"/>
          <w:spacing w:val="-3"/>
          <w:sz w:val="24"/>
          <w:szCs w:val="24"/>
        </w:rPr>
        <w:t xml:space="preserve">they need </w:t>
      </w:r>
      <w:r>
        <w:rPr>
          <w:rFonts w:ascii="Times New Roman" w:hAnsi="Times New Roman" w:cs="Times New Roman"/>
          <w:spacing w:val="-4"/>
          <w:sz w:val="24"/>
          <w:szCs w:val="24"/>
        </w:rPr>
        <w:t xml:space="preserve">and </w:t>
      </w:r>
      <w:r>
        <w:rPr>
          <w:rFonts w:ascii="Times New Roman" w:hAnsi="Times New Roman" w:cs="Times New Roman"/>
          <w:spacing w:val="-3"/>
          <w:sz w:val="24"/>
          <w:szCs w:val="24"/>
        </w:rPr>
        <w:t xml:space="preserve">contributed to their sustained, </w:t>
      </w:r>
      <w:r>
        <w:rPr>
          <w:rFonts w:ascii="Times New Roman" w:hAnsi="Times New Roman" w:cs="Times New Roman"/>
          <w:spacing w:val="-4"/>
          <w:sz w:val="24"/>
          <w:szCs w:val="24"/>
        </w:rPr>
        <w:t xml:space="preserve">community-based  </w:t>
      </w:r>
      <w:r>
        <w:rPr>
          <w:rFonts w:ascii="Times New Roman" w:hAnsi="Times New Roman" w:cs="Times New Roman"/>
          <w:spacing w:val="46"/>
          <w:sz w:val="24"/>
          <w:szCs w:val="24"/>
        </w:rPr>
        <w:t xml:space="preserve"> </w:t>
      </w:r>
      <w:r>
        <w:rPr>
          <w:rFonts w:ascii="Times New Roman" w:hAnsi="Times New Roman" w:cs="Times New Roman"/>
          <w:sz w:val="24"/>
          <w:szCs w:val="24"/>
        </w:rPr>
        <w:t>recovery.</w:t>
      </w:r>
    </w:p>
    <w:p w:rsidR="002C5025" w:rsidRDefault="002C5025">
      <w:pPr>
        <w:pStyle w:val="BodyText"/>
        <w:kinsoku w:val="0"/>
        <w:overflowPunct w:val="0"/>
        <w:spacing w:before="2"/>
        <w:rPr>
          <w:rFonts w:ascii="Times New Roman" w:hAnsi="Times New Roman" w:cs="Times New Roman"/>
          <w:sz w:val="24"/>
          <w:szCs w:val="24"/>
        </w:rPr>
      </w:pPr>
    </w:p>
    <w:p w:rsidR="002C5025" w:rsidRDefault="002C5025">
      <w:pPr>
        <w:pStyle w:val="ListParagraph"/>
        <w:numPr>
          <w:ilvl w:val="0"/>
          <w:numId w:val="47"/>
        </w:numPr>
        <w:tabs>
          <w:tab w:val="left" w:pos="480"/>
        </w:tabs>
        <w:kinsoku w:val="0"/>
        <w:overflowPunct w:val="0"/>
        <w:rPr>
          <w:i/>
          <w:iCs/>
        </w:rPr>
      </w:pPr>
      <w:r>
        <w:rPr>
          <w:i/>
          <w:iCs/>
        </w:rPr>
        <w:t>Expanded access to treatment for substance</w:t>
      </w:r>
      <w:r>
        <w:rPr>
          <w:i/>
          <w:iCs/>
          <w:spacing w:val="-47"/>
        </w:rPr>
        <w:t xml:space="preserve"> </w:t>
      </w:r>
      <w:r>
        <w:rPr>
          <w:i/>
          <w:iCs/>
        </w:rPr>
        <w:t>use disorders</w:t>
      </w:r>
    </w:p>
    <w:p w:rsidR="002C5025" w:rsidRDefault="002C5025">
      <w:pPr>
        <w:pStyle w:val="BodyText"/>
        <w:kinsoku w:val="0"/>
        <w:overflowPunct w:val="0"/>
        <w:rPr>
          <w:rFonts w:ascii="Times New Roman" w:hAnsi="Times New Roman" w:cs="Times New Roman"/>
          <w:i/>
          <w:iCs/>
          <w:sz w:val="24"/>
          <w:szCs w:val="24"/>
        </w:rPr>
      </w:pPr>
    </w:p>
    <w:p w:rsidR="002C5025" w:rsidRDefault="002C5025">
      <w:pPr>
        <w:pStyle w:val="BodyText"/>
        <w:kinsoku w:val="0"/>
        <w:overflowPunct w:val="0"/>
        <w:ind w:left="119" w:right="181"/>
        <w:rPr>
          <w:rFonts w:ascii="Times New Roman" w:hAnsi="Times New Roman" w:cs="Times New Roman"/>
          <w:spacing w:val="-5"/>
          <w:sz w:val="24"/>
          <w:szCs w:val="24"/>
        </w:rPr>
      </w:pPr>
      <w:r>
        <w:rPr>
          <w:rFonts w:ascii="Times New Roman" w:hAnsi="Times New Roman" w:cs="Times New Roman"/>
          <w:spacing w:val="-6"/>
          <w:sz w:val="24"/>
          <w:szCs w:val="24"/>
        </w:rPr>
        <w:t xml:space="preserve">HLA </w:t>
      </w:r>
      <w:r>
        <w:rPr>
          <w:rFonts w:ascii="Times New Roman" w:hAnsi="Times New Roman" w:cs="Times New Roman"/>
          <w:spacing w:val="-3"/>
          <w:sz w:val="24"/>
          <w:szCs w:val="24"/>
        </w:rPr>
        <w:t xml:space="preserve">strongly supports </w:t>
      </w:r>
      <w:r>
        <w:rPr>
          <w:rFonts w:ascii="Times New Roman" w:hAnsi="Times New Roman" w:cs="Times New Roman"/>
          <w:spacing w:val="-4"/>
          <w:sz w:val="24"/>
          <w:szCs w:val="24"/>
        </w:rPr>
        <w:t xml:space="preserve">the </w:t>
      </w:r>
      <w:r>
        <w:rPr>
          <w:rFonts w:ascii="Times New Roman" w:hAnsi="Times New Roman" w:cs="Times New Roman"/>
          <w:spacing w:val="-3"/>
          <w:sz w:val="24"/>
          <w:szCs w:val="24"/>
        </w:rPr>
        <w:t xml:space="preserve">goal </w:t>
      </w:r>
      <w:r>
        <w:rPr>
          <w:rFonts w:ascii="Times New Roman" w:hAnsi="Times New Roman" w:cs="Times New Roman"/>
          <w:sz w:val="24"/>
          <w:szCs w:val="24"/>
        </w:rPr>
        <w:t xml:space="preserve">of </w:t>
      </w:r>
      <w:r>
        <w:rPr>
          <w:rFonts w:ascii="Times New Roman" w:hAnsi="Times New Roman" w:cs="Times New Roman"/>
          <w:spacing w:val="-3"/>
          <w:sz w:val="24"/>
          <w:szCs w:val="24"/>
        </w:rPr>
        <w:t xml:space="preserve">expanded </w:t>
      </w:r>
      <w:r>
        <w:rPr>
          <w:rFonts w:ascii="Times New Roman" w:hAnsi="Times New Roman" w:cs="Times New Roman"/>
          <w:sz w:val="24"/>
          <w:szCs w:val="24"/>
        </w:rPr>
        <w:t xml:space="preserve">access </w:t>
      </w:r>
      <w:r>
        <w:rPr>
          <w:rFonts w:ascii="Times New Roman" w:hAnsi="Times New Roman" w:cs="Times New Roman"/>
          <w:spacing w:val="-3"/>
          <w:sz w:val="24"/>
          <w:szCs w:val="24"/>
        </w:rPr>
        <w:t xml:space="preserve">to </w:t>
      </w:r>
      <w:r>
        <w:rPr>
          <w:rFonts w:ascii="Times New Roman" w:hAnsi="Times New Roman" w:cs="Times New Roman"/>
          <w:spacing w:val="-5"/>
          <w:sz w:val="24"/>
          <w:szCs w:val="24"/>
        </w:rPr>
        <w:t xml:space="preserve">treatment </w:t>
      </w:r>
      <w:r>
        <w:rPr>
          <w:rFonts w:ascii="Times New Roman" w:hAnsi="Times New Roman" w:cs="Times New Roman"/>
          <w:spacing w:val="-3"/>
          <w:sz w:val="24"/>
          <w:szCs w:val="24"/>
        </w:rPr>
        <w:t xml:space="preserve">for substance use </w:t>
      </w:r>
      <w:r>
        <w:rPr>
          <w:rFonts w:ascii="Times New Roman" w:hAnsi="Times New Roman" w:cs="Times New Roman"/>
          <w:sz w:val="24"/>
          <w:szCs w:val="24"/>
        </w:rPr>
        <w:t xml:space="preserve">disorders. </w:t>
      </w:r>
      <w:r>
        <w:rPr>
          <w:rFonts w:ascii="Times New Roman" w:hAnsi="Times New Roman" w:cs="Times New Roman"/>
          <w:spacing w:val="-4"/>
          <w:sz w:val="24"/>
          <w:szCs w:val="24"/>
        </w:rPr>
        <w:t xml:space="preserve">We </w:t>
      </w:r>
      <w:r>
        <w:rPr>
          <w:rFonts w:ascii="Times New Roman" w:hAnsi="Times New Roman" w:cs="Times New Roman"/>
          <w:spacing w:val="-3"/>
          <w:sz w:val="24"/>
          <w:szCs w:val="24"/>
        </w:rPr>
        <w:t xml:space="preserve">agree </w:t>
      </w:r>
      <w:r>
        <w:rPr>
          <w:rFonts w:ascii="Times New Roman" w:hAnsi="Times New Roman" w:cs="Times New Roman"/>
          <w:spacing w:val="-4"/>
          <w:sz w:val="24"/>
          <w:szCs w:val="24"/>
        </w:rPr>
        <w:t xml:space="preserve">that </w:t>
      </w:r>
      <w:r>
        <w:rPr>
          <w:rFonts w:ascii="Times New Roman" w:hAnsi="Times New Roman" w:cs="Times New Roman"/>
          <w:sz w:val="24"/>
          <w:szCs w:val="24"/>
        </w:rPr>
        <w:t xml:space="preserve">an </w:t>
      </w:r>
      <w:r>
        <w:rPr>
          <w:rFonts w:ascii="Times New Roman" w:hAnsi="Times New Roman" w:cs="Times New Roman"/>
          <w:spacing w:val="-3"/>
          <w:sz w:val="24"/>
          <w:szCs w:val="24"/>
        </w:rPr>
        <w:t xml:space="preserve">improved </w:t>
      </w:r>
      <w:r>
        <w:rPr>
          <w:rFonts w:ascii="Times New Roman" w:hAnsi="Times New Roman" w:cs="Times New Roman"/>
          <w:spacing w:val="-5"/>
          <w:sz w:val="24"/>
          <w:szCs w:val="24"/>
        </w:rPr>
        <w:t xml:space="preserve">SUD treatment </w:t>
      </w:r>
      <w:r>
        <w:rPr>
          <w:rFonts w:ascii="Times New Roman" w:hAnsi="Times New Roman" w:cs="Times New Roman"/>
          <w:spacing w:val="-3"/>
          <w:sz w:val="24"/>
          <w:szCs w:val="24"/>
        </w:rPr>
        <w:t xml:space="preserve">system should </w:t>
      </w:r>
      <w:r>
        <w:rPr>
          <w:rFonts w:ascii="Times New Roman" w:hAnsi="Times New Roman" w:cs="Times New Roman"/>
          <w:sz w:val="24"/>
          <w:szCs w:val="24"/>
        </w:rPr>
        <w:t xml:space="preserve">be built on principles </w:t>
      </w:r>
      <w:r>
        <w:rPr>
          <w:rFonts w:ascii="Times New Roman" w:hAnsi="Times New Roman" w:cs="Times New Roman"/>
          <w:spacing w:val="-3"/>
          <w:sz w:val="24"/>
          <w:szCs w:val="24"/>
        </w:rPr>
        <w:t xml:space="preserve">from </w:t>
      </w:r>
      <w:r>
        <w:rPr>
          <w:rFonts w:ascii="Times New Roman" w:hAnsi="Times New Roman" w:cs="Times New Roman"/>
          <w:spacing w:val="-4"/>
          <w:sz w:val="24"/>
          <w:szCs w:val="24"/>
        </w:rPr>
        <w:t xml:space="preserve">the </w:t>
      </w:r>
      <w:r>
        <w:rPr>
          <w:rFonts w:ascii="Times New Roman" w:hAnsi="Times New Roman" w:cs="Times New Roman"/>
          <w:spacing w:val="-3"/>
          <w:sz w:val="24"/>
          <w:szCs w:val="24"/>
        </w:rPr>
        <w:t xml:space="preserve">American </w:t>
      </w:r>
      <w:r>
        <w:rPr>
          <w:rFonts w:ascii="Times New Roman" w:hAnsi="Times New Roman" w:cs="Times New Roman"/>
          <w:sz w:val="24"/>
          <w:szCs w:val="24"/>
        </w:rPr>
        <w:t xml:space="preserve">Society of Addiction </w:t>
      </w:r>
      <w:r>
        <w:rPr>
          <w:rFonts w:ascii="Times New Roman" w:hAnsi="Times New Roman" w:cs="Times New Roman"/>
          <w:spacing w:val="-3"/>
          <w:sz w:val="24"/>
          <w:szCs w:val="24"/>
        </w:rPr>
        <w:t xml:space="preserve">Medicine </w:t>
      </w:r>
      <w:r>
        <w:rPr>
          <w:rFonts w:ascii="Times New Roman" w:hAnsi="Times New Roman" w:cs="Times New Roman"/>
          <w:spacing w:val="-4"/>
          <w:sz w:val="24"/>
          <w:szCs w:val="24"/>
        </w:rPr>
        <w:t xml:space="preserve">(ASAM) and </w:t>
      </w:r>
      <w:r>
        <w:rPr>
          <w:rFonts w:ascii="Times New Roman" w:hAnsi="Times New Roman" w:cs="Times New Roman"/>
          <w:spacing w:val="-3"/>
          <w:sz w:val="24"/>
          <w:szCs w:val="24"/>
        </w:rPr>
        <w:t xml:space="preserve">focused </w:t>
      </w:r>
      <w:r>
        <w:rPr>
          <w:rFonts w:ascii="Times New Roman" w:hAnsi="Times New Roman" w:cs="Times New Roman"/>
          <w:sz w:val="24"/>
          <w:szCs w:val="24"/>
        </w:rPr>
        <w:t xml:space="preserve">on individual </w:t>
      </w:r>
      <w:r>
        <w:rPr>
          <w:rFonts w:ascii="Times New Roman" w:hAnsi="Times New Roman" w:cs="Times New Roman"/>
          <w:spacing w:val="-5"/>
          <w:sz w:val="24"/>
          <w:szCs w:val="24"/>
        </w:rPr>
        <w:t xml:space="preserve">treatment </w:t>
      </w:r>
      <w:r>
        <w:rPr>
          <w:rFonts w:ascii="Times New Roman" w:hAnsi="Times New Roman" w:cs="Times New Roman"/>
          <w:sz w:val="24"/>
          <w:szCs w:val="24"/>
        </w:rPr>
        <w:t xml:space="preserve">within a recovery- </w:t>
      </w:r>
      <w:r>
        <w:rPr>
          <w:rFonts w:ascii="Times New Roman" w:hAnsi="Times New Roman" w:cs="Times New Roman"/>
          <w:spacing w:val="-3"/>
          <w:sz w:val="24"/>
          <w:szCs w:val="24"/>
        </w:rPr>
        <w:t xml:space="preserve">centered </w:t>
      </w:r>
      <w:r>
        <w:rPr>
          <w:rFonts w:ascii="Times New Roman" w:hAnsi="Times New Roman" w:cs="Times New Roman"/>
          <w:spacing w:val="-6"/>
          <w:sz w:val="24"/>
          <w:szCs w:val="24"/>
        </w:rPr>
        <w:t xml:space="preserve">continuum </w:t>
      </w:r>
      <w:r>
        <w:rPr>
          <w:rFonts w:ascii="Times New Roman" w:hAnsi="Times New Roman" w:cs="Times New Roman"/>
          <w:sz w:val="24"/>
          <w:szCs w:val="24"/>
        </w:rPr>
        <w:t xml:space="preserve">of care. </w:t>
      </w:r>
      <w:r>
        <w:rPr>
          <w:rFonts w:ascii="Times New Roman" w:hAnsi="Times New Roman" w:cs="Times New Roman"/>
          <w:spacing w:val="-3"/>
          <w:sz w:val="24"/>
          <w:szCs w:val="24"/>
        </w:rPr>
        <w:t xml:space="preserve">MassHealth </w:t>
      </w:r>
      <w:r>
        <w:rPr>
          <w:rFonts w:ascii="Times New Roman" w:hAnsi="Times New Roman" w:cs="Times New Roman"/>
          <w:sz w:val="24"/>
          <w:szCs w:val="24"/>
        </w:rPr>
        <w:t xml:space="preserve">is a vital </w:t>
      </w:r>
      <w:r>
        <w:rPr>
          <w:rFonts w:ascii="Times New Roman" w:hAnsi="Times New Roman" w:cs="Times New Roman"/>
          <w:spacing w:val="-3"/>
          <w:sz w:val="24"/>
          <w:szCs w:val="24"/>
        </w:rPr>
        <w:t xml:space="preserve">insurer for Massachusetts </w:t>
      </w:r>
      <w:r>
        <w:rPr>
          <w:rFonts w:ascii="Times New Roman" w:hAnsi="Times New Roman" w:cs="Times New Roman"/>
          <w:sz w:val="24"/>
          <w:szCs w:val="24"/>
        </w:rPr>
        <w:t xml:space="preserve">residents who are </w:t>
      </w:r>
      <w:r>
        <w:rPr>
          <w:rFonts w:ascii="Times New Roman" w:hAnsi="Times New Roman" w:cs="Times New Roman"/>
          <w:spacing w:val="-3"/>
          <w:sz w:val="24"/>
          <w:szCs w:val="24"/>
        </w:rPr>
        <w:t xml:space="preserve">seeking substance </w:t>
      </w:r>
      <w:r>
        <w:rPr>
          <w:rFonts w:ascii="Times New Roman" w:hAnsi="Times New Roman" w:cs="Times New Roman"/>
          <w:spacing w:val="-4"/>
          <w:sz w:val="24"/>
          <w:szCs w:val="24"/>
        </w:rPr>
        <w:t xml:space="preserve">use </w:t>
      </w:r>
      <w:r>
        <w:rPr>
          <w:rFonts w:ascii="Times New Roman" w:hAnsi="Times New Roman" w:cs="Times New Roman"/>
          <w:sz w:val="24"/>
          <w:szCs w:val="24"/>
        </w:rPr>
        <w:t xml:space="preserve">disorder </w:t>
      </w:r>
      <w:r>
        <w:rPr>
          <w:rFonts w:ascii="Times New Roman" w:hAnsi="Times New Roman" w:cs="Times New Roman"/>
          <w:spacing w:val="-5"/>
          <w:sz w:val="24"/>
          <w:szCs w:val="24"/>
        </w:rPr>
        <w:t xml:space="preserve">treatment. </w:t>
      </w:r>
      <w:r>
        <w:rPr>
          <w:rFonts w:ascii="Times New Roman" w:hAnsi="Times New Roman" w:cs="Times New Roman"/>
          <w:spacing w:val="-3"/>
          <w:sz w:val="24"/>
          <w:szCs w:val="24"/>
        </w:rPr>
        <w:t xml:space="preserve">We </w:t>
      </w:r>
      <w:r>
        <w:rPr>
          <w:rFonts w:ascii="Times New Roman" w:hAnsi="Times New Roman" w:cs="Times New Roman"/>
          <w:sz w:val="24"/>
          <w:szCs w:val="24"/>
        </w:rPr>
        <w:t xml:space="preserve">are </w:t>
      </w:r>
      <w:r>
        <w:rPr>
          <w:rFonts w:ascii="Times New Roman" w:hAnsi="Times New Roman" w:cs="Times New Roman"/>
          <w:spacing w:val="-3"/>
          <w:sz w:val="24"/>
          <w:szCs w:val="24"/>
        </w:rPr>
        <w:t xml:space="preserve">heartened </w:t>
      </w:r>
      <w:r>
        <w:rPr>
          <w:rFonts w:ascii="Times New Roman" w:hAnsi="Times New Roman" w:cs="Times New Roman"/>
          <w:sz w:val="24"/>
          <w:szCs w:val="24"/>
        </w:rPr>
        <w:t xml:space="preserve">by </w:t>
      </w:r>
      <w:r>
        <w:rPr>
          <w:rFonts w:ascii="Times New Roman" w:hAnsi="Times New Roman" w:cs="Times New Roman"/>
          <w:spacing w:val="-5"/>
          <w:sz w:val="24"/>
          <w:szCs w:val="24"/>
        </w:rPr>
        <w:t xml:space="preserve">the </w:t>
      </w:r>
      <w:r>
        <w:rPr>
          <w:rFonts w:ascii="Times New Roman" w:hAnsi="Times New Roman" w:cs="Times New Roman"/>
          <w:sz w:val="24"/>
          <w:szCs w:val="24"/>
        </w:rPr>
        <w:t xml:space="preserve">plan to add </w:t>
      </w:r>
      <w:r>
        <w:rPr>
          <w:rFonts w:ascii="Times New Roman" w:hAnsi="Times New Roman" w:cs="Times New Roman"/>
          <w:spacing w:val="-4"/>
          <w:sz w:val="24"/>
          <w:szCs w:val="24"/>
        </w:rPr>
        <w:t xml:space="preserve">ASAM Level </w:t>
      </w:r>
      <w:r>
        <w:rPr>
          <w:rFonts w:ascii="Times New Roman" w:hAnsi="Times New Roman" w:cs="Times New Roman"/>
          <w:sz w:val="24"/>
          <w:szCs w:val="24"/>
        </w:rPr>
        <w:t xml:space="preserve">3.1 </w:t>
      </w:r>
      <w:r>
        <w:rPr>
          <w:rFonts w:ascii="Times New Roman" w:hAnsi="Times New Roman" w:cs="Times New Roman"/>
          <w:spacing w:val="-4"/>
          <w:sz w:val="24"/>
          <w:szCs w:val="24"/>
        </w:rPr>
        <w:t xml:space="preserve">and </w:t>
      </w:r>
      <w:r>
        <w:rPr>
          <w:rFonts w:ascii="Times New Roman" w:hAnsi="Times New Roman" w:cs="Times New Roman"/>
          <w:sz w:val="24"/>
          <w:szCs w:val="24"/>
        </w:rPr>
        <w:t xml:space="preserve">3.3 </w:t>
      </w:r>
      <w:r>
        <w:rPr>
          <w:rFonts w:ascii="Times New Roman" w:hAnsi="Times New Roman" w:cs="Times New Roman"/>
          <w:spacing w:val="-5"/>
          <w:sz w:val="24"/>
          <w:szCs w:val="24"/>
        </w:rPr>
        <w:t xml:space="preserve">treatment </w:t>
      </w:r>
      <w:r>
        <w:rPr>
          <w:rFonts w:ascii="Times New Roman" w:hAnsi="Times New Roman" w:cs="Times New Roman"/>
          <w:sz w:val="24"/>
          <w:szCs w:val="24"/>
        </w:rPr>
        <w:t xml:space="preserve">services </w:t>
      </w:r>
      <w:r>
        <w:rPr>
          <w:rFonts w:ascii="Times New Roman" w:hAnsi="Times New Roman" w:cs="Times New Roman"/>
          <w:spacing w:val="-3"/>
          <w:sz w:val="24"/>
          <w:szCs w:val="24"/>
        </w:rPr>
        <w:t xml:space="preserve">to </w:t>
      </w:r>
      <w:r>
        <w:rPr>
          <w:rFonts w:ascii="Times New Roman" w:hAnsi="Times New Roman" w:cs="Times New Roman"/>
          <w:spacing w:val="-5"/>
          <w:sz w:val="24"/>
          <w:szCs w:val="24"/>
        </w:rPr>
        <w:t xml:space="preserve">the </w:t>
      </w:r>
      <w:r>
        <w:rPr>
          <w:rFonts w:ascii="Times New Roman" w:hAnsi="Times New Roman" w:cs="Times New Roman"/>
          <w:sz w:val="24"/>
          <w:szCs w:val="24"/>
        </w:rPr>
        <w:t xml:space="preserve">list of MassHealth covered services. </w:t>
      </w:r>
      <w:r>
        <w:rPr>
          <w:rFonts w:ascii="Times New Roman" w:hAnsi="Times New Roman" w:cs="Times New Roman"/>
          <w:spacing w:val="-3"/>
          <w:sz w:val="24"/>
          <w:szCs w:val="24"/>
        </w:rPr>
        <w:t xml:space="preserve">These </w:t>
      </w:r>
      <w:r>
        <w:rPr>
          <w:rFonts w:ascii="Times New Roman" w:hAnsi="Times New Roman" w:cs="Times New Roman"/>
          <w:sz w:val="24"/>
          <w:szCs w:val="24"/>
        </w:rPr>
        <w:t xml:space="preserve">residential </w:t>
      </w:r>
      <w:r>
        <w:rPr>
          <w:rFonts w:ascii="Times New Roman" w:hAnsi="Times New Roman" w:cs="Times New Roman"/>
          <w:spacing w:val="-5"/>
          <w:sz w:val="24"/>
          <w:szCs w:val="24"/>
        </w:rPr>
        <w:t xml:space="preserve">treatment settings </w:t>
      </w:r>
      <w:r>
        <w:rPr>
          <w:rFonts w:ascii="Times New Roman" w:hAnsi="Times New Roman" w:cs="Times New Roman"/>
          <w:sz w:val="24"/>
          <w:szCs w:val="24"/>
        </w:rPr>
        <w:t xml:space="preserve">are essential </w:t>
      </w:r>
      <w:r>
        <w:rPr>
          <w:rFonts w:ascii="Times New Roman" w:hAnsi="Times New Roman" w:cs="Times New Roman"/>
          <w:spacing w:val="-3"/>
          <w:sz w:val="24"/>
          <w:szCs w:val="24"/>
        </w:rPr>
        <w:t xml:space="preserve">to </w:t>
      </w:r>
      <w:r>
        <w:rPr>
          <w:rFonts w:ascii="Times New Roman" w:hAnsi="Times New Roman" w:cs="Times New Roman"/>
          <w:sz w:val="24"/>
          <w:szCs w:val="24"/>
        </w:rPr>
        <w:t xml:space="preserve">recovery </w:t>
      </w:r>
      <w:r>
        <w:rPr>
          <w:rFonts w:ascii="Times New Roman" w:hAnsi="Times New Roman" w:cs="Times New Roman"/>
          <w:spacing w:val="-3"/>
          <w:sz w:val="24"/>
          <w:szCs w:val="24"/>
        </w:rPr>
        <w:t xml:space="preserve">for </w:t>
      </w:r>
      <w:r>
        <w:rPr>
          <w:rFonts w:ascii="Times New Roman" w:hAnsi="Times New Roman" w:cs="Times New Roman"/>
          <w:spacing w:val="-6"/>
          <w:sz w:val="24"/>
          <w:szCs w:val="24"/>
        </w:rPr>
        <w:t xml:space="preserve">many </w:t>
      </w:r>
      <w:r>
        <w:rPr>
          <w:rFonts w:ascii="Times New Roman" w:hAnsi="Times New Roman" w:cs="Times New Roman"/>
          <w:sz w:val="24"/>
          <w:szCs w:val="24"/>
        </w:rPr>
        <w:t xml:space="preserve">individuals </w:t>
      </w:r>
      <w:r>
        <w:rPr>
          <w:rFonts w:ascii="Times New Roman" w:hAnsi="Times New Roman" w:cs="Times New Roman"/>
          <w:spacing w:val="-5"/>
          <w:sz w:val="24"/>
          <w:szCs w:val="24"/>
        </w:rPr>
        <w:t xml:space="preserve">struggling </w:t>
      </w:r>
      <w:r>
        <w:rPr>
          <w:rFonts w:ascii="Times New Roman" w:hAnsi="Times New Roman" w:cs="Times New Roman"/>
          <w:sz w:val="24"/>
          <w:szCs w:val="24"/>
        </w:rPr>
        <w:t xml:space="preserve">with </w:t>
      </w:r>
      <w:r>
        <w:rPr>
          <w:rFonts w:ascii="Times New Roman" w:hAnsi="Times New Roman" w:cs="Times New Roman"/>
          <w:spacing w:val="-4"/>
          <w:sz w:val="24"/>
          <w:szCs w:val="24"/>
        </w:rPr>
        <w:t xml:space="preserve">SUDs. </w:t>
      </w:r>
      <w:r>
        <w:rPr>
          <w:rFonts w:ascii="Times New Roman" w:hAnsi="Times New Roman" w:cs="Times New Roman"/>
          <w:spacing w:val="-3"/>
          <w:sz w:val="24"/>
          <w:szCs w:val="24"/>
        </w:rPr>
        <w:t xml:space="preserve">We </w:t>
      </w:r>
      <w:r>
        <w:rPr>
          <w:rFonts w:ascii="Times New Roman" w:hAnsi="Times New Roman" w:cs="Times New Roman"/>
          <w:sz w:val="24"/>
          <w:szCs w:val="24"/>
        </w:rPr>
        <w:t xml:space="preserve">support </w:t>
      </w:r>
      <w:r>
        <w:rPr>
          <w:rFonts w:ascii="Times New Roman" w:hAnsi="Times New Roman" w:cs="Times New Roman"/>
          <w:spacing w:val="-3"/>
          <w:sz w:val="24"/>
          <w:szCs w:val="24"/>
        </w:rPr>
        <w:t xml:space="preserve">the </w:t>
      </w:r>
      <w:r>
        <w:rPr>
          <w:rFonts w:ascii="Times New Roman" w:hAnsi="Times New Roman" w:cs="Times New Roman"/>
          <w:spacing w:val="-4"/>
          <w:sz w:val="24"/>
          <w:szCs w:val="24"/>
        </w:rPr>
        <w:t xml:space="preserve">requirement  that </w:t>
      </w:r>
      <w:r>
        <w:rPr>
          <w:rFonts w:ascii="Times New Roman" w:hAnsi="Times New Roman" w:cs="Times New Roman"/>
          <w:spacing w:val="-5"/>
          <w:sz w:val="24"/>
          <w:szCs w:val="24"/>
        </w:rPr>
        <w:t xml:space="preserve">Managed </w:t>
      </w:r>
      <w:r>
        <w:rPr>
          <w:rFonts w:ascii="Times New Roman" w:hAnsi="Times New Roman" w:cs="Times New Roman"/>
          <w:sz w:val="24"/>
          <w:szCs w:val="24"/>
        </w:rPr>
        <w:t xml:space="preserve">Care </w:t>
      </w:r>
      <w:r>
        <w:rPr>
          <w:rFonts w:ascii="Times New Roman" w:hAnsi="Times New Roman" w:cs="Times New Roman"/>
          <w:spacing w:val="-3"/>
          <w:sz w:val="24"/>
          <w:szCs w:val="24"/>
        </w:rPr>
        <w:t xml:space="preserve">Entities </w:t>
      </w:r>
      <w:r>
        <w:rPr>
          <w:rFonts w:ascii="Times New Roman" w:hAnsi="Times New Roman" w:cs="Times New Roman"/>
          <w:sz w:val="24"/>
          <w:szCs w:val="24"/>
        </w:rPr>
        <w:t xml:space="preserve">cover medically necessary care </w:t>
      </w:r>
      <w:r>
        <w:rPr>
          <w:rFonts w:ascii="Times New Roman" w:hAnsi="Times New Roman" w:cs="Times New Roman"/>
          <w:spacing w:val="-3"/>
          <w:sz w:val="24"/>
          <w:szCs w:val="24"/>
        </w:rPr>
        <w:t xml:space="preserve">for </w:t>
      </w:r>
      <w:r>
        <w:rPr>
          <w:rFonts w:ascii="Times New Roman" w:hAnsi="Times New Roman" w:cs="Times New Roman"/>
          <w:spacing w:val="-4"/>
          <w:sz w:val="24"/>
          <w:szCs w:val="24"/>
        </w:rPr>
        <w:t xml:space="preserve">ASAM Level </w:t>
      </w:r>
      <w:r>
        <w:rPr>
          <w:rFonts w:ascii="Times New Roman" w:hAnsi="Times New Roman" w:cs="Times New Roman"/>
          <w:sz w:val="24"/>
          <w:szCs w:val="24"/>
        </w:rPr>
        <w:t xml:space="preserve">3.1 </w:t>
      </w:r>
      <w:r>
        <w:rPr>
          <w:rFonts w:ascii="Times New Roman" w:hAnsi="Times New Roman" w:cs="Times New Roman"/>
          <w:spacing w:val="-5"/>
          <w:sz w:val="24"/>
          <w:szCs w:val="24"/>
        </w:rPr>
        <w:t>and</w:t>
      </w:r>
    </w:p>
    <w:p w:rsidR="002C5025" w:rsidRDefault="002C5025">
      <w:pPr>
        <w:pStyle w:val="BodyText"/>
        <w:kinsoku w:val="0"/>
        <w:overflowPunct w:val="0"/>
        <w:ind w:left="119" w:right="396"/>
        <w:rPr>
          <w:rFonts w:ascii="Times New Roman" w:hAnsi="Times New Roman" w:cs="Times New Roman"/>
          <w:sz w:val="24"/>
          <w:szCs w:val="24"/>
        </w:rPr>
      </w:pPr>
      <w:r>
        <w:rPr>
          <w:rFonts w:ascii="Times New Roman" w:hAnsi="Times New Roman" w:cs="Times New Roman"/>
          <w:sz w:val="24"/>
          <w:szCs w:val="24"/>
        </w:rPr>
        <w:t xml:space="preserve">3.3 services with no pre-set unit-of-service limit. HLA encourages MassHealth to fund </w:t>
      </w:r>
      <w:r>
        <w:rPr>
          <w:rFonts w:ascii="Times New Roman" w:hAnsi="Times New Roman" w:cs="Times New Roman"/>
          <w:i/>
          <w:iCs/>
          <w:sz w:val="24"/>
          <w:szCs w:val="24"/>
        </w:rPr>
        <w:t xml:space="preserve">all </w:t>
      </w:r>
      <w:r>
        <w:rPr>
          <w:rFonts w:ascii="Times New Roman" w:hAnsi="Times New Roman" w:cs="Times New Roman"/>
          <w:sz w:val="24"/>
          <w:szCs w:val="24"/>
        </w:rPr>
        <w:t>medically necessary Transitional Support Services and Residential Rehab services provided to MassHealth members enrolled in Managed Care Organizations (MCOs), the Primary Care Clinician (PCC) plan and Fee-For-Service MassHealth.</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20" w:right="169"/>
        <w:rPr>
          <w:rFonts w:ascii="Times New Roman" w:hAnsi="Times New Roman" w:cs="Times New Roman"/>
          <w:sz w:val="24"/>
          <w:szCs w:val="24"/>
        </w:rPr>
      </w:pPr>
      <w:r>
        <w:rPr>
          <w:rFonts w:ascii="Times New Roman" w:hAnsi="Times New Roman" w:cs="Times New Roman"/>
          <w:sz w:val="24"/>
          <w:szCs w:val="24"/>
        </w:rPr>
        <w:t>HLA regularly assists low-income clients with difficulty accessing SUD residential services. We are encouraged  by recognition of the important role played in recovery by this type of care.</w:t>
      </w:r>
    </w:p>
    <w:p w:rsidR="002C5025" w:rsidRDefault="002C5025">
      <w:pPr>
        <w:pStyle w:val="BodyText"/>
        <w:kinsoku w:val="0"/>
        <w:overflowPunct w:val="0"/>
        <w:ind w:left="120" w:right="115"/>
        <w:rPr>
          <w:rFonts w:ascii="Times New Roman" w:hAnsi="Times New Roman" w:cs="Times New Roman"/>
          <w:sz w:val="24"/>
          <w:szCs w:val="24"/>
        </w:rPr>
      </w:pPr>
      <w:r>
        <w:rPr>
          <w:rFonts w:ascii="Times New Roman" w:hAnsi="Times New Roman" w:cs="Times New Roman"/>
          <w:sz w:val="24"/>
          <w:szCs w:val="24"/>
        </w:rPr>
        <w:t>Obtaining Federal Financial Participation (FFP) for this critical care setting makes absolute sense and will open up a great number  of needed beds.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20" w:right="172"/>
        <w:rPr>
          <w:rFonts w:ascii="Times New Roman" w:hAnsi="Times New Roman" w:cs="Times New Roman"/>
          <w:sz w:val="24"/>
          <w:szCs w:val="24"/>
        </w:rPr>
      </w:pPr>
      <w:r>
        <w:rPr>
          <w:rFonts w:ascii="Times New Roman" w:hAnsi="Times New Roman" w:cs="Times New Roman"/>
          <w:spacing w:val="-3"/>
          <w:sz w:val="24"/>
          <w:szCs w:val="24"/>
        </w:rPr>
        <w:t xml:space="preserve">MassHealth </w:t>
      </w:r>
      <w:r>
        <w:rPr>
          <w:rFonts w:ascii="Times New Roman" w:hAnsi="Times New Roman" w:cs="Times New Roman"/>
          <w:sz w:val="24"/>
          <w:szCs w:val="24"/>
        </w:rPr>
        <w:t xml:space="preserve">proposes </w:t>
      </w:r>
      <w:r>
        <w:rPr>
          <w:rFonts w:ascii="Times New Roman" w:hAnsi="Times New Roman" w:cs="Times New Roman"/>
          <w:spacing w:val="-3"/>
          <w:sz w:val="24"/>
          <w:szCs w:val="24"/>
        </w:rPr>
        <w:t xml:space="preserve">to use </w:t>
      </w:r>
      <w:r>
        <w:rPr>
          <w:rFonts w:ascii="Times New Roman" w:hAnsi="Times New Roman" w:cs="Times New Roman"/>
          <w:spacing w:val="-5"/>
          <w:sz w:val="24"/>
          <w:szCs w:val="24"/>
        </w:rPr>
        <w:t xml:space="preserve">the </w:t>
      </w:r>
      <w:r>
        <w:rPr>
          <w:rFonts w:ascii="Times New Roman" w:hAnsi="Times New Roman" w:cs="Times New Roman"/>
          <w:spacing w:val="-3"/>
          <w:sz w:val="24"/>
          <w:szCs w:val="24"/>
        </w:rPr>
        <w:t xml:space="preserve">weighted </w:t>
      </w:r>
      <w:r>
        <w:rPr>
          <w:rFonts w:ascii="Times New Roman" w:hAnsi="Times New Roman" w:cs="Times New Roman"/>
          <w:sz w:val="24"/>
          <w:szCs w:val="24"/>
        </w:rPr>
        <w:t xml:space="preserve">average </w:t>
      </w:r>
      <w:r>
        <w:rPr>
          <w:rFonts w:ascii="Times New Roman" w:hAnsi="Times New Roman" w:cs="Times New Roman"/>
          <w:spacing w:val="-6"/>
          <w:sz w:val="24"/>
          <w:szCs w:val="24"/>
        </w:rPr>
        <w:t xml:space="preserve">length </w:t>
      </w:r>
      <w:r>
        <w:rPr>
          <w:rFonts w:ascii="Times New Roman" w:hAnsi="Times New Roman" w:cs="Times New Roman"/>
          <w:sz w:val="24"/>
          <w:szCs w:val="24"/>
        </w:rPr>
        <w:t xml:space="preserve">of stay </w:t>
      </w:r>
      <w:r>
        <w:rPr>
          <w:rFonts w:ascii="Times New Roman" w:hAnsi="Times New Roman" w:cs="Times New Roman"/>
          <w:spacing w:val="-3"/>
          <w:sz w:val="24"/>
          <w:szCs w:val="24"/>
        </w:rPr>
        <w:t xml:space="preserve">for </w:t>
      </w:r>
      <w:r>
        <w:rPr>
          <w:rFonts w:ascii="Times New Roman" w:hAnsi="Times New Roman" w:cs="Times New Roman"/>
          <w:sz w:val="24"/>
          <w:szCs w:val="24"/>
        </w:rPr>
        <w:t xml:space="preserve">several ASAM levels of care </w:t>
      </w:r>
      <w:r>
        <w:rPr>
          <w:rFonts w:ascii="Times New Roman" w:hAnsi="Times New Roman" w:cs="Times New Roman"/>
          <w:spacing w:val="-3"/>
          <w:sz w:val="24"/>
          <w:szCs w:val="24"/>
        </w:rPr>
        <w:t xml:space="preserve">to </w:t>
      </w:r>
      <w:r>
        <w:rPr>
          <w:rFonts w:ascii="Times New Roman" w:hAnsi="Times New Roman" w:cs="Times New Roman"/>
          <w:sz w:val="24"/>
          <w:szCs w:val="24"/>
        </w:rPr>
        <w:t xml:space="preserve">develop a </w:t>
      </w:r>
      <w:r>
        <w:rPr>
          <w:rFonts w:ascii="Times New Roman" w:hAnsi="Times New Roman" w:cs="Times New Roman"/>
          <w:spacing w:val="-5"/>
          <w:sz w:val="24"/>
          <w:szCs w:val="24"/>
        </w:rPr>
        <w:t xml:space="preserve">reimbursement  </w:t>
      </w:r>
      <w:r>
        <w:rPr>
          <w:rFonts w:ascii="Times New Roman" w:hAnsi="Times New Roman" w:cs="Times New Roman"/>
          <w:sz w:val="24"/>
          <w:szCs w:val="24"/>
        </w:rPr>
        <w:t xml:space="preserve">rate </w:t>
      </w:r>
      <w:r>
        <w:rPr>
          <w:rFonts w:ascii="Times New Roman" w:hAnsi="Times New Roman" w:cs="Times New Roman"/>
          <w:spacing w:val="-3"/>
          <w:sz w:val="24"/>
          <w:szCs w:val="24"/>
        </w:rPr>
        <w:t xml:space="preserve">for </w:t>
      </w:r>
      <w:r>
        <w:rPr>
          <w:rFonts w:ascii="Times New Roman" w:hAnsi="Times New Roman" w:cs="Times New Roman"/>
          <w:spacing w:val="-4"/>
          <w:sz w:val="24"/>
          <w:szCs w:val="24"/>
        </w:rPr>
        <w:t xml:space="preserve">MCOs. </w:t>
      </w:r>
      <w:r>
        <w:rPr>
          <w:rFonts w:ascii="Times New Roman" w:hAnsi="Times New Roman" w:cs="Times New Roman"/>
          <w:spacing w:val="-3"/>
          <w:sz w:val="24"/>
          <w:szCs w:val="24"/>
        </w:rPr>
        <w:t xml:space="preserve">While </w:t>
      </w:r>
      <w:r>
        <w:rPr>
          <w:rFonts w:ascii="Times New Roman" w:hAnsi="Times New Roman" w:cs="Times New Roman"/>
          <w:spacing w:val="-4"/>
          <w:sz w:val="24"/>
          <w:szCs w:val="24"/>
        </w:rPr>
        <w:t xml:space="preserve">this </w:t>
      </w:r>
      <w:r>
        <w:rPr>
          <w:rFonts w:ascii="Times New Roman" w:hAnsi="Times New Roman" w:cs="Times New Roman"/>
          <w:sz w:val="24"/>
          <w:szCs w:val="24"/>
        </w:rPr>
        <w:t xml:space="preserve">proposal </w:t>
      </w:r>
      <w:r>
        <w:rPr>
          <w:rFonts w:ascii="Times New Roman" w:hAnsi="Times New Roman" w:cs="Times New Roman"/>
          <w:spacing w:val="-4"/>
          <w:sz w:val="24"/>
          <w:szCs w:val="24"/>
        </w:rPr>
        <w:t xml:space="preserve">sounds </w:t>
      </w:r>
      <w:r>
        <w:rPr>
          <w:rFonts w:ascii="Times New Roman" w:hAnsi="Times New Roman" w:cs="Times New Roman"/>
          <w:sz w:val="24"/>
          <w:szCs w:val="24"/>
        </w:rPr>
        <w:t>reasonable, we</w:t>
      </w:r>
      <w:r>
        <w:rPr>
          <w:rFonts w:ascii="Times New Roman" w:hAnsi="Times New Roman" w:cs="Times New Roman"/>
          <w:spacing w:val="58"/>
          <w:sz w:val="24"/>
          <w:szCs w:val="24"/>
        </w:rPr>
        <w:t xml:space="preserve"> </w:t>
      </w:r>
      <w:r>
        <w:rPr>
          <w:rFonts w:ascii="Times New Roman" w:hAnsi="Times New Roman" w:cs="Times New Roman"/>
          <w:sz w:val="24"/>
          <w:szCs w:val="24"/>
        </w:rPr>
        <w:t>believe</w:t>
      </w:r>
    </w:p>
    <w:p w:rsidR="002C5025" w:rsidRDefault="002C5025">
      <w:pPr>
        <w:pStyle w:val="BodyText"/>
        <w:kinsoku w:val="0"/>
        <w:overflowPunct w:val="0"/>
        <w:spacing w:before="62"/>
        <w:ind w:right="108"/>
        <w:jc w:val="right"/>
        <w:rPr>
          <w:rFonts w:ascii="Times New Roman" w:hAnsi="Times New Roman" w:cs="Times New Roman"/>
          <w:sz w:val="24"/>
          <w:szCs w:val="24"/>
        </w:rPr>
      </w:pPr>
      <w:r>
        <w:rPr>
          <w:rFonts w:ascii="Times New Roman" w:hAnsi="Times New Roman" w:cs="Times New Roman"/>
          <w:sz w:val="24"/>
          <w:szCs w:val="24"/>
        </w:rPr>
        <w:t>2</w:t>
      </w:r>
    </w:p>
    <w:p w:rsidR="002C5025" w:rsidRDefault="002C5025">
      <w:pPr>
        <w:pStyle w:val="BodyText"/>
        <w:kinsoku w:val="0"/>
        <w:overflowPunct w:val="0"/>
        <w:spacing w:before="62"/>
        <w:ind w:right="108"/>
        <w:jc w:val="right"/>
        <w:rPr>
          <w:rFonts w:ascii="Times New Roman" w:hAnsi="Times New Roman" w:cs="Times New Roman"/>
          <w:sz w:val="24"/>
          <w:szCs w:val="24"/>
        </w:rPr>
        <w:sectPr w:rsidR="002C5025">
          <w:pgSz w:w="12240" w:h="15840"/>
          <w:pgMar w:top="920" w:right="1320" w:bottom="280" w:left="1320" w:header="720" w:footer="720" w:gutter="0"/>
          <w:cols w:space="720" w:equalWidth="0">
            <w:col w:w="9600"/>
          </w:cols>
          <w:noEndnote/>
        </w:sectPr>
      </w:pPr>
    </w:p>
    <w:p w:rsidR="002C5025" w:rsidRDefault="002C5025">
      <w:pPr>
        <w:pStyle w:val="BodyText"/>
        <w:kinsoku w:val="0"/>
        <w:overflowPunct w:val="0"/>
        <w:spacing w:before="48"/>
        <w:ind w:left="120" w:right="301"/>
        <w:rPr>
          <w:rFonts w:ascii="Times New Roman" w:hAnsi="Times New Roman" w:cs="Times New Roman"/>
          <w:spacing w:val="-5"/>
          <w:sz w:val="24"/>
          <w:szCs w:val="24"/>
        </w:rPr>
      </w:pPr>
      <w:r>
        <w:rPr>
          <w:rFonts w:ascii="Times New Roman" w:hAnsi="Times New Roman" w:cs="Times New Roman"/>
          <w:spacing w:val="-4"/>
          <w:sz w:val="24"/>
          <w:szCs w:val="24"/>
        </w:rPr>
        <w:lastRenderedPageBreak/>
        <w:t xml:space="preserve">safeguards </w:t>
      </w:r>
      <w:r>
        <w:rPr>
          <w:rFonts w:ascii="Times New Roman" w:hAnsi="Times New Roman" w:cs="Times New Roman"/>
          <w:sz w:val="24"/>
          <w:szCs w:val="24"/>
        </w:rPr>
        <w:t xml:space="preserve">are necessary so </w:t>
      </w:r>
      <w:r>
        <w:rPr>
          <w:rFonts w:ascii="Times New Roman" w:hAnsi="Times New Roman" w:cs="Times New Roman"/>
          <w:spacing w:val="-4"/>
          <w:sz w:val="24"/>
          <w:szCs w:val="24"/>
        </w:rPr>
        <w:t xml:space="preserve">that </w:t>
      </w:r>
      <w:r>
        <w:rPr>
          <w:rFonts w:ascii="Times New Roman" w:hAnsi="Times New Roman" w:cs="Times New Roman"/>
          <w:sz w:val="24"/>
          <w:szCs w:val="24"/>
        </w:rPr>
        <w:t xml:space="preserve">medically necessary care </w:t>
      </w:r>
      <w:r>
        <w:rPr>
          <w:rFonts w:ascii="Times New Roman" w:hAnsi="Times New Roman" w:cs="Times New Roman"/>
          <w:spacing w:val="-3"/>
          <w:sz w:val="24"/>
          <w:szCs w:val="24"/>
        </w:rPr>
        <w:t xml:space="preserve">for </w:t>
      </w:r>
      <w:r>
        <w:rPr>
          <w:rFonts w:ascii="Times New Roman" w:hAnsi="Times New Roman" w:cs="Times New Roman"/>
          <w:spacing w:val="-5"/>
          <w:sz w:val="24"/>
          <w:szCs w:val="24"/>
        </w:rPr>
        <w:t xml:space="preserve">SUD treatment </w:t>
      </w:r>
      <w:r>
        <w:rPr>
          <w:rFonts w:ascii="Times New Roman" w:hAnsi="Times New Roman" w:cs="Times New Roman"/>
          <w:spacing w:val="2"/>
          <w:sz w:val="24"/>
          <w:szCs w:val="24"/>
        </w:rPr>
        <w:t xml:space="preserve">will </w:t>
      </w:r>
      <w:r>
        <w:rPr>
          <w:rFonts w:ascii="Times New Roman" w:hAnsi="Times New Roman" w:cs="Times New Roman"/>
          <w:spacing w:val="-4"/>
          <w:sz w:val="24"/>
          <w:szCs w:val="24"/>
        </w:rPr>
        <w:t xml:space="preserve">not </w:t>
      </w:r>
      <w:r>
        <w:rPr>
          <w:rFonts w:ascii="Times New Roman" w:hAnsi="Times New Roman" w:cs="Times New Roman"/>
          <w:sz w:val="24"/>
          <w:szCs w:val="24"/>
        </w:rPr>
        <w:t xml:space="preserve">be limited by an </w:t>
      </w:r>
      <w:r>
        <w:rPr>
          <w:rFonts w:ascii="Times New Roman" w:hAnsi="Times New Roman" w:cs="Times New Roman"/>
          <w:spacing w:val="-4"/>
          <w:sz w:val="24"/>
          <w:szCs w:val="24"/>
        </w:rPr>
        <w:t xml:space="preserve">MCO </w:t>
      </w:r>
      <w:r>
        <w:rPr>
          <w:rFonts w:ascii="Times New Roman" w:hAnsi="Times New Roman" w:cs="Times New Roman"/>
          <w:sz w:val="24"/>
          <w:szCs w:val="24"/>
        </w:rPr>
        <w:t xml:space="preserve">or </w:t>
      </w:r>
      <w:r>
        <w:rPr>
          <w:rFonts w:ascii="Times New Roman" w:hAnsi="Times New Roman" w:cs="Times New Roman"/>
          <w:spacing w:val="-4"/>
          <w:sz w:val="24"/>
          <w:szCs w:val="24"/>
        </w:rPr>
        <w:t xml:space="preserve">ACO </w:t>
      </w:r>
      <w:r>
        <w:rPr>
          <w:rFonts w:ascii="Times New Roman" w:hAnsi="Times New Roman" w:cs="Times New Roman"/>
          <w:sz w:val="24"/>
          <w:szCs w:val="24"/>
        </w:rPr>
        <w:t xml:space="preserve">based on fears of low </w:t>
      </w:r>
      <w:r>
        <w:rPr>
          <w:rFonts w:ascii="Times New Roman" w:hAnsi="Times New Roman" w:cs="Times New Roman"/>
          <w:spacing w:val="-5"/>
          <w:sz w:val="24"/>
          <w:szCs w:val="24"/>
        </w:rPr>
        <w:t>reimbursement.</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19" w:right="301"/>
        <w:rPr>
          <w:rFonts w:ascii="Times New Roman" w:hAnsi="Times New Roman" w:cs="Times New Roman"/>
          <w:sz w:val="24"/>
          <w:szCs w:val="24"/>
        </w:rPr>
      </w:pPr>
      <w:r>
        <w:rPr>
          <w:rFonts w:ascii="Times New Roman" w:hAnsi="Times New Roman" w:cs="Times New Roman"/>
          <w:sz w:val="24"/>
          <w:szCs w:val="24"/>
        </w:rPr>
        <w:t xml:space="preserve">Similarly, we </w:t>
      </w:r>
      <w:r>
        <w:rPr>
          <w:rFonts w:ascii="Times New Roman" w:hAnsi="Times New Roman" w:cs="Times New Roman"/>
          <w:spacing w:val="-5"/>
          <w:sz w:val="24"/>
          <w:szCs w:val="24"/>
        </w:rPr>
        <w:t xml:space="preserve">urge </w:t>
      </w:r>
      <w:r>
        <w:rPr>
          <w:rFonts w:ascii="Times New Roman" w:hAnsi="Times New Roman" w:cs="Times New Roman"/>
          <w:spacing w:val="-4"/>
          <w:sz w:val="24"/>
          <w:szCs w:val="24"/>
        </w:rPr>
        <w:t xml:space="preserve">EOHHS </w:t>
      </w:r>
      <w:r>
        <w:rPr>
          <w:rFonts w:ascii="Times New Roman" w:hAnsi="Times New Roman" w:cs="Times New Roman"/>
          <w:spacing w:val="-3"/>
          <w:sz w:val="24"/>
          <w:szCs w:val="24"/>
        </w:rPr>
        <w:t xml:space="preserve">to </w:t>
      </w:r>
      <w:r>
        <w:rPr>
          <w:rFonts w:ascii="Times New Roman" w:hAnsi="Times New Roman" w:cs="Times New Roman"/>
          <w:sz w:val="24"/>
          <w:szCs w:val="24"/>
        </w:rPr>
        <w:t xml:space="preserve">review its proposed capitation approach. </w:t>
      </w:r>
      <w:r>
        <w:rPr>
          <w:rFonts w:ascii="Times New Roman" w:hAnsi="Times New Roman" w:cs="Times New Roman"/>
          <w:spacing w:val="-6"/>
          <w:sz w:val="24"/>
          <w:szCs w:val="24"/>
        </w:rPr>
        <w:t xml:space="preserve">It </w:t>
      </w:r>
      <w:r>
        <w:rPr>
          <w:rFonts w:ascii="Times New Roman" w:hAnsi="Times New Roman" w:cs="Times New Roman"/>
          <w:spacing w:val="2"/>
          <w:sz w:val="24"/>
          <w:szCs w:val="24"/>
        </w:rPr>
        <w:t xml:space="preserve">is </w:t>
      </w:r>
      <w:r>
        <w:rPr>
          <w:rFonts w:ascii="Times New Roman" w:hAnsi="Times New Roman" w:cs="Times New Roman"/>
          <w:sz w:val="24"/>
          <w:szCs w:val="24"/>
        </w:rPr>
        <w:t xml:space="preserve">proposed </w:t>
      </w:r>
      <w:r>
        <w:rPr>
          <w:rFonts w:ascii="Times New Roman" w:hAnsi="Times New Roman" w:cs="Times New Roman"/>
          <w:spacing w:val="-4"/>
          <w:sz w:val="24"/>
          <w:szCs w:val="24"/>
        </w:rPr>
        <w:t xml:space="preserve">that </w:t>
      </w:r>
      <w:r>
        <w:rPr>
          <w:rFonts w:ascii="Times New Roman" w:hAnsi="Times New Roman" w:cs="Times New Roman"/>
          <w:spacing w:val="-8"/>
          <w:sz w:val="24"/>
          <w:szCs w:val="24"/>
        </w:rPr>
        <w:t xml:space="preserve">the </w:t>
      </w:r>
      <w:r>
        <w:rPr>
          <w:rFonts w:ascii="Times New Roman" w:hAnsi="Times New Roman" w:cs="Times New Roman"/>
          <w:spacing w:val="-3"/>
          <w:sz w:val="24"/>
          <w:szCs w:val="24"/>
        </w:rPr>
        <w:t xml:space="preserve">total </w:t>
      </w:r>
      <w:r>
        <w:rPr>
          <w:rFonts w:ascii="Times New Roman" w:hAnsi="Times New Roman" w:cs="Times New Roman"/>
          <w:sz w:val="24"/>
          <w:szCs w:val="24"/>
        </w:rPr>
        <w:t xml:space="preserve">cost of care </w:t>
      </w:r>
      <w:r>
        <w:rPr>
          <w:rFonts w:ascii="Times New Roman" w:hAnsi="Times New Roman" w:cs="Times New Roman"/>
          <w:spacing w:val="-3"/>
          <w:sz w:val="24"/>
          <w:szCs w:val="24"/>
        </w:rPr>
        <w:t xml:space="preserve">for </w:t>
      </w:r>
      <w:r>
        <w:rPr>
          <w:rFonts w:ascii="Times New Roman" w:hAnsi="Times New Roman" w:cs="Times New Roman"/>
          <w:sz w:val="24"/>
          <w:szCs w:val="24"/>
        </w:rPr>
        <w:t xml:space="preserve">MassHealth </w:t>
      </w:r>
      <w:r>
        <w:rPr>
          <w:rFonts w:ascii="Times New Roman" w:hAnsi="Times New Roman" w:cs="Times New Roman"/>
          <w:spacing w:val="-4"/>
          <w:sz w:val="24"/>
          <w:szCs w:val="24"/>
        </w:rPr>
        <w:t xml:space="preserve">ACO </w:t>
      </w:r>
      <w:r>
        <w:rPr>
          <w:rFonts w:ascii="Times New Roman" w:hAnsi="Times New Roman" w:cs="Times New Roman"/>
          <w:spacing w:val="-3"/>
          <w:sz w:val="24"/>
          <w:szCs w:val="24"/>
        </w:rPr>
        <w:t xml:space="preserve">models </w:t>
      </w:r>
      <w:r>
        <w:rPr>
          <w:rFonts w:ascii="Times New Roman" w:hAnsi="Times New Roman" w:cs="Times New Roman"/>
          <w:sz w:val="24"/>
          <w:szCs w:val="24"/>
        </w:rPr>
        <w:t xml:space="preserve">will </w:t>
      </w:r>
      <w:r>
        <w:rPr>
          <w:rFonts w:ascii="Times New Roman" w:hAnsi="Times New Roman" w:cs="Times New Roman"/>
          <w:spacing w:val="-3"/>
          <w:sz w:val="24"/>
          <w:szCs w:val="24"/>
        </w:rPr>
        <w:t xml:space="preserve">include physical </w:t>
      </w:r>
      <w:r>
        <w:rPr>
          <w:rFonts w:ascii="Times New Roman" w:hAnsi="Times New Roman" w:cs="Times New Roman"/>
          <w:spacing w:val="-4"/>
          <w:sz w:val="24"/>
          <w:szCs w:val="24"/>
        </w:rPr>
        <w:t xml:space="preserve">health,  </w:t>
      </w:r>
      <w:r>
        <w:rPr>
          <w:rFonts w:ascii="Times New Roman" w:hAnsi="Times New Roman" w:cs="Times New Roman"/>
          <w:sz w:val="24"/>
          <w:szCs w:val="24"/>
        </w:rPr>
        <w:t xml:space="preserve">behavioral </w:t>
      </w:r>
      <w:r>
        <w:rPr>
          <w:rFonts w:ascii="Times New Roman" w:hAnsi="Times New Roman" w:cs="Times New Roman"/>
          <w:spacing w:val="-5"/>
          <w:sz w:val="24"/>
          <w:szCs w:val="24"/>
        </w:rPr>
        <w:t xml:space="preserve">health,  </w:t>
      </w:r>
      <w:r>
        <w:rPr>
          <w:rFonts w:ascii="Times New Roman" w:hAnsi="Times New Roman" w:cs="Times New Roman"/>
          <w:spacing w:val="-4"/>
          <w:sz w:val="24"/>
          <w:szCs w:val="24"/>
        </w:rPr>
        <w:t xml:space="preserve">and pharmacy </w:t>
      </w:r>
      <w:r>
        <w:rPr>
          <w:rFonts w:ascii="Times New Roman" w:hAnsi="Times New Roman" w:cs="Times New Roman"/>
          <w:sz w:val="24"/>
          <w:szCs w:val="24"/>
        </w:rPr>
        <w:t xml:space="preserve">from Year 1. We </w:t>
      </w:r>
      <w:r>
        <w:rPr>
          <w:rFonts w:ascii="Times New Roman" w:hAnsi="Times New Roman" w:cs="Times New Roman"/>
          <w:spacing w:val="-6"/>
          <w:sz w:val="24"/>
          <w:szCs w:val="24"/>
        </w:rPr>
        <w:t xml:space="preserve">suggest </w:t>
      </w:r>
      <w:r>
        <w:rPr>
          <w:rFonts w:ascii="Times New Roman" w:hAnsi="Times New Roman" w:cs="Times New Roman"/>
          <w:spacing w:val="-4"/>
          <w:sz w:val="24"/>
          <w:szCs w:val="24"/>
        </w:rPr>
        <w:t xml:space="preserve">that </w:t>
      </w:r>
      <w:r>
        <w:rPr>
          <w:rFonts w:ascii="Times New Roman" w:hAnsi="Times New Roman" w:cs="Times New Roman"/>
          <w:spacing w:val="-3"/>
          <w:sz w:val="24"/>
          <w:szCs w:val="24"/>
        </w:rPr>
        <w:t xml:space="preserve">MassHealth </w:t>
      </w:r>
      <w:r>
        <w:rPr>
          <w:rFonts w:ascii="Times New Roman" w:hAnsi="Times New Roman" w:cs="Times New Roman"/>
          <w:sz w:val="24"/>
          <w:szCs w:val="24"/>
        </w:rPr>
        <w:t xml:space="preserve">phase-in behavioral </w:t>
      </w:r>
      <w:r>
        <w:rPr>
          <w:rFonts w:ascii="Times New Roman" w:hAnsi="Times New Roman" w:cs="Times New Roman"/>
          <w:spacing w:val="-3"/>
          <w:sz w:val="24"/>
          <w:szCs w:val="24"/>
        </w:rPr>
        <w:t xml:space="preserve">health </w:t>
      </w:r>
      <w:r>
        <w:rPr>
          <w:rFonts w:ascii="Times New Roman" w:hAnsi="Times New Roman" w:cs="Times New Roman"/>
          <w:sz w:val="24"/>
          <w:szCs w:val="24"/>
        </w:rPr>
        <w:t xml:space="preserve">as a </w:t>
      </w:r>
      <w:r>
        <w:rPr>
          <w:rFonts w:ascii="Times New Roman" w:hAnsi="Times New Roman" w:cs="Times New Roman"/>
          <w:spacing w:val="-3"/>
          <w:sz w:val="24"/>
          <w:szCs w:val="24"/>
        </w:rPr>
        <w:t xml:space="preserve">factor </w:t>
      </w:r>
      <w:r>
        <w:rPr>
          <w:rFonts w:ascii="Times New Roman" w:hAnsi="Times New Roman" w:cs="Times New Roman"/>
          <w:sz w:val="24"/>
          <w:szCs w:val="24"/>
        </w:rPr>
        <w:t xml:space="preserve">in </w:t>
      </w:r>
      <w:r>
        <w:rPr>
          <w:rFonts w:ascii="Times New Roman" w:hAnsi="Times New Roman" w:cs="Times New Roman"/>
          <w:spacing w:val="-3"/>
          <w:sz w:val="24"/>
          <w:szCs w:val="24"/>
        </w:rPr>
        <w:t xml:space="preserve">setting </w:t>
      </w:r>
      <w:r>
        <w:rPr>
          <w:rFonts w:ascii="Times New Roman" w:hAnsi="Times New Roman" w:cs="Times New Roman"/>
          <w:spacing w:val="-5"/>
          <w:sz w:val="24"/>
          <w:szCs w:val="24"/>
        </w:rPr>
        <w:t xml:space="preserve">the </w:t>
      </w:r>
      <w:r>
        <w:rPr>
          <w:rFonts w:ascii="Times New Roman" w:hAnsi="Times New Roman" w:cs="Times New Roman"/>
          <w:sz w:val="24"/>
          <w:szCs w:val="24"/>
        </w:rPr>
        <w:t xml:space="preserve">capitation rate while </w:t>
      </w:r>
      <w:r>
        <w:rPr>
          <w:rFonts w:ascii="Times New Roman" w:hAnsi="Times New Roman" w:cs="Times New Roman"/>
          <w:spacing w:val="-6"/>
          <w:sz w:val="24"/>
          <w:szCs w:val="24"/>
        </w:rPr>
        <w:t xml:space="preserve">Community  </w:t>
      </w:r>
      <w:r>
        <w:rPr>
          <w:rFonts w:ascii="Times New Roman" w:hAnsi="Times New Roman" w:cs="Times New Roman"/>
          <w:spacing w:val="-3"/>
          <w:sz w:val="24"/>
          <w:szCs w:val="24"/>
        </w:rPr>
        <w:t xml:space="preserve">Partner </w:t>
      </w:r>
      <w:r>
        <w:rPr>
          <w:rFonts w:ascii="Times New Roman" w:hAnsi="Times New Roman" w:cs="Times New Roman"/>
          <w:sz w:val="24"/>
          <w:szCs w:val="24"/>
        </w:rPr>
        <w:t xml:space="preserve">relationships are established </w:t>
      </w:r>
      <w:r>
        <w:rPr>
          <w:rFonts w:ascii="Times New Roman" w:hAnsi="Times New Roman" w:cs="Times New Roman"/>
          <w:spacing w:val="-4"/>
          <w:sz w:val="24"/>
          <w:szCs w:val="24"/>
        </w:rPr>
        <w:t xml:space="preserve">and  </w:t>
      </w:r>
      <w:r>
        <w:rPr>
          <w:rFonts w:ascii="Times New Roman" w:hAnsi="Times New Roman" w:cs="Times New Roman"/>
          <w:spacing w:val="-6"/>
          <w:sz w:val="24"/>
          <w:szCs w:val="24"/>
        </w:rPr>
        <w:t xml:space="preserve">strengthened  </w:t>
      </w:r>
      <w:r>
        <w:rPr>
          <w:rFonts w:ascii="Times New Roman" w:hAnsi="Times New Roman" w:cs="Times New Roman"/>
          <w:sz w:val="24"/>
          <w:szCs w:val="24"/>
        </w:rPr>
        <w:t xml:space="preserve">over </w:t>
      </w:r>
      <w:r>
        <w:rPr>
          <w:rFonts w:ascii="Times New Roman" w:hAnsi="Times New Roman" w:cs="Times New Roman"/>
          <w:spacing w:val="-5"/>
          <w:sz w:val="24"/>
          <w:szCs w:val="24"/>
        </w:rPr>
        <w:t xml:space="preserve">the </w:t>
      </w:r>
      <w:r>
        <w:rPr>
          <w:rFonts w:ascii="Times New Roman" w:hAnsi="Times New Roman" w:cs="Times New Roman"/>
          <w:sz w:val="24"/>
          <w:szCs w:val="24"/>
        </w:rPr>
        <w:t>first several years.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19" w:right="249"/>
        <w:rPr>
          <w:rFonts w:ascii="Times New Roman" w:hAnsi="Times New Roman" w:cs="Times New Roman"/>
          <w:sz w:val="24"/>
          <w:szCs w:val="24"/>
        </w:rPr>
      </w:pPr>
      <w:r>
        <w:rPr>
          <w:rFonts w:ascii="Times New Roman" w:hAnsi="Times New Roman" w:cs="Times New Roman"/>
          <w:spacing w:val="-6"/>
          <w:sz w:val="24"/>
          <w:szCs w:val="24"/>
        </w:rPr>
        <w:t xml:space="preserve">HLA </w:t>
      </w:r>
      <w:r>
        <w:rPr>
          <w:rFonts w:ascii="Times New Roman" w:hAnsi="Times New Roman" w:cs="Times New Roman"/>
          <w:sz w:val="24"/>
          <w:szCs w:val="24"/>
        </w:rPr>
        <w:t xml:space="preserve">also </w:t>
      </w:r>
      <w:r>
        <w:rPr>
          <w:rFonts w:ascii="Times New Roman" w:hAnsi="Times New Roman" w:cs="Times New Roman"/>
          <w:spacing w:val="-3"/>
          <w:sz w:val="24"/>
          <w:szCs w:val="24"/>
        </w:rPr>
        <w:t xml:space="preserve">supports MassHealth’s </w:t>
      </w:r>
      <w:r>
        <w:rPr>
          <w:rFonts w:ascii="Times New Roman" w:hAnsi="Times New Roman" w:cs="Times New Roman"/>
          <w:sz w:val="24"/>
          <w:szCs w:val="24"/>
        </w:rPr>
        <w:t xml:space="preserve">proposal </w:t>
      </w:r>
      <w:r>
        <w:rPr>
          <w:rFonts w:ascii="Times New Roman" w:hAnsi="Times New Roman" w:cs="Times New Roman"/>
          <w:spacing w:val="-3"/>
          <w:sz w:val="24"/>
          <w:szCs w:val="24"/>
        </w:rPr>
        <w:t xml:space="preserve">to </w:t>
      </w:r>
      <w:r>
        <w:rPr>
          <w:rFonts w:ascii="Times New Roman" w:hAnsi="Times New Roman" w:cs="Times New Roman"/>
          <w:sz w:val="24"/>
          <w:szCs w:val="24"/>
        </w:rPr>
        <w:t xml:space="preserve">cover </w:t>
      </w:r>
      <w:r>
        <w:rPr>
          <w:rFonts w:ascii="Times New Roman" w:hAnsi="Times New Roman" w:cs="Times New Roman"/>
          <w:spacing w:val="-2"/>
          <w:sz w:val="24"/>
          <w:szCs w:val="24"/>
        </w:rPr>
        <w:t xml:space="preserve">family </w:t>
      </w:r>
      <w:r>
        <w:rPr>
          <w:rFonts w:ascii="Times New Roman" w:hAnsi="Times New Roman" w:cs="Times New Roman"/>
          <w:spacing w:val="-5"/>
          <w:sz w:val="24"/>
          <w:szCs w:val="24"/>
        </w:rPr>
        <w:t xml:space="preserve">SUD treatment </w:t>
      </w:r>
      <w:r>
        <w:rPr>
          <w:rFonts w:ascii="Times New Roman" w:hAnsi="Times New Roman" w:cs="Times New Roman"/>
          <w:sz w:val="24"/>
          <w:szCs w:val="24"/>
        </w:rPr>
        <w:t xml:space="preserve">services in </w:t>
      </w:r>
      <w:r>
        <w:rPr>
          <w:rFonts w:ascii="Times New Roman" w:hAnsi="Times New Roman" w:cs="Times New Roman"/>
          <w:spacing w:val="-3"/>
          <w:sz w:val="24"/>
          <w:szCs w:val="24"/>
        </w:rPr>
        <w:t xml:space="preserve">24-hour </w:t>
      </w:r>
      <w:r>
        <w:rPr>
          <w:rFonts w:ascii="Times New Roman" w:hAnsi="Times New Roman" w:cs="Times New Roman"/>
          <w:spacing w:val="-5"/>
          <w:sz w:val="24"/>
          <w:szCs w:val="24"/>
        </w:rPr>
        <w:t xml:space="preserve">community-based </w:t>
      </w:r>
      <w:r>
        <w:rPr>
          <w:rFonts w:ascii="Times New Roman" w:hAnsi="Times New Roman" w:cs="Times New Roman"/>
          <w:spacing w:val="-4"/>
          <w:sz w:val="24"/>
          <w:szCs w:val="24"/>
        </w:rPr>
        <w:t xml:space="preserve">settings. </w:t>
      </w:r>
      <w:r>
        <w:rPr>
          <w:rFonts w:ascii="Times New Roman" w:hAnsi="Times New Roman" w:cs="Times New Roman"/>
          <w:sz w:val="24"/>
          <w:szCs w:val="24"/>
        </w:rPr>
        <w:t xml:space="preserve">We appreciate </w:t>
      </w:r>
      <w:r>
        <w:rPr>
          <w:rFonts w:ascii="Times New Roman" w:hAnsi="Times New Roman" w:cs="Times New Roman"/>
          <w:spacing w:val="-3"/>
          <w:sz w:val="24"/>
          <w:szCs w:val="24"/>
        </w:rPr>
        <w:t xml:space="preserve">EOHHS’s </w:t>
      </w:r>
      <w:r>
        <w:rPr>
          <w:rFonts w:ascii="Times New Roman" w:hAnsi="Times New Roman" w:cs="Times New Roman"/>
          <w:sz w:val="24"/>
          <w:szCs w:val="24"/>
        </w:rPr>
        <w:t xml:space="preserve">proposal </w:t>
      </w:r>
      <w:r>
        <w:rPr>
          <w:rFonts w:ascii="Times New Roman" w:hAnsi="Times New Roman" w:cs="Times New Roman"/>
          <w:spacing w:val="-4"/>
          <w:sz w:val="24"/>
          <w:szCs w:val="24"/>
        </w:rPr>
        <w:t xml:space="preserve">that ACO </w:t>
      </w:r>
      <w:r>
        <w:rPr>
          <w:rFonts w:ascii="Times New Roman" w:hAnsi="Times New Roman" w:cs="Times New Roman"/>
          <w:sz w:val="24"/>
          <w:szCs w:val="24"/>
        </w:rPr>
        <w:t xml:space="preserve">providers </w:t>
      </w:r>
      <w:r>
        <w:rPr>
          <w:rFonts w:ascii="Times New Roman" w:hAnsi="Times New Roman" w:cs="Times New Roman"/>
          <w:spacing w:val="-4"/>
          <w:sz w:val="24"/>
          <w:szCs w:val="24"/>
        </w:rPr>
        <w:t xml:space="preserve">conduct Screening, </w:t>
      </w:r>
      <w:r>
        <w:rPr>
          <w:rFonts w:ascii="Times New Roman" w:hAnsi="Times New Roman" w:cs="Times New Roman"/>
          <w:sz w:val="24"/>
          <w:szCs w:val="24"/>
        </w:rPr>
        <w:t xml:space="preserve">Brief </w:t>
      </w:r>
      <w:r>
        <w:rPr>
          <w:rFonts w:ascii="Times New Roman" w:hAnsi="Times New Roman" w:cs="Times New Roman"/>
          <w:spacing w:val="-4"/>
          <w:sz w:val="24"/>
          <w:szCs w:val="24"/>
        </w:rPr>
        <w:t xml:space="preserve">Intervention and </w:t>
      </w:r>
      <w:r>
        <w:rPr>
          <w:rFonts w:ascii="Times New Roman" w:hAnsi="Times New Roman" w:cs="Times New Roman"/>
          <w:sz w:val="24"/>
          <w:szCs w:val="24"/>
        </w:rPr>
        <w:t xml:space="preserve">Referral </w:t>
      </w:r>
      <w:r>
        <w:rPr>
          <w:rFonts w:ascii="Times New Roman" w:hAnsi="Times New Roman" w:cs="Times New Roman"/>
          <w:spacing w:val="-3"/>
          <w:sz w:val="24"/>
          <w:szCs w:val="24"/>
        </w:rPr>
        <w:t xml:space="preserve">to </w:t>
      </w:r>
      <w:r>
        <w:rPr>
          <w:rFonts w:ascii="Times New Roman" w:hAnsi="Times New Roman" w:cs="Times New Roman"/>
          <w:spacing w:val="-5"/>
          <w:sz w:val="24"/>
          <w:szCs w:val="24"/>
        </w:rPr>
        <w:t xml:space="preserve">Treatment  </w:t>
      </w:r>
      <w:r>
        <w:rPr>
          <w:rFonts w:ascii="Times New Roman" w:hAnsi="Times New Roman" w:cs="Times New Roman"/>
          <w:spacing w:val="-3"/>
          <w:sz w:val="24"/>
          <w:szCs w:val="24"/>
        </w:rPr>
        <w:t xml:space="preserve">(SBIRT) </w:t>
      </w:r>
      <w:r>
        <w:rPr>
          <w:rFonts w:ascii="Times New Roman" w:hAnsi="Times New Roman" w:cs="Times New Roman"/>
          <w:sz w:val="24"/>
          <w:szCs w:val="24"/>
        </w:rPr>
        <w:t xml:space="preserve">in primary care </w:t>
      </w:r>
      <w:r>
        <w:rPr>
          <w:rFonts w:ascii="Times New Roman" w:hAnsi="Times New Roman" w:cs="Times New Roman"/>
          <w:spacing w:val="-4"/>
          <w:sz w:val="24"/>
          <w:szCs w:val="24"/>
        </w:rPr>
        <w:t xml:space="preserve">settings. </w:t>
      </w:r>
      <w:r>
        <w:rPr>
          <w:rFonts w:ascii="Times New Roman" w:hAnsi="Times New Roman" w:cs="Times New Roman"/>
          <w:spacing w:val="-6"/>
          <w:sz w:val="24"/>
          <w:szCs w:val="24"/>
        </w:rPr>
        <w:t xml:space="preserve">We </w:t>
      </w:r>
      <w:r>
        <w:rPr>
          <w:rFonts w:ascii="Times New Roman" w:hAnsi="Times New Roman" w:cs="Times New Roman"/>
          <w:sz w:val="24"/>
          <w:szCs w:val="24"/>
        </w:rPr>
        <w:t xml:space="preserve">also support </w:t>
      </w:r>
      <w:r>
        <w:rPr>
          <w:rFonts w:ascii="Times New Roman" w:hAnsi="Times New Roman" w:cs="Times New Roman"/>
          <w:spacing w:val="-5"/>
          <w:sz w:val="24"/>
          <w:szCs w:val="24"/>
        </w:rPr>
        <w:t xml:space="preserve">EOHHS’ </w:t>
      </w:r>
      <w:r>
        <w:rPr>
          <w:rFonts w:ascii="Times New Roman" w:hAnsi="Times New Roman" w:cs="Times New Roman"/>
          <w:sz w:val="24"/>
          <w:szCs w:val="24"/>
        </w:rPr>
        <w:t xml:space="preserve">plan </w:t>
      </w:r>
      <w:r>
        <w:rPr>
          <w:rFonts w:ascii="Times New Roman" w:hAnsi="Times New Roman" w:cs="Times New Roman"/>
          <w:spacing w:val="-3"/>
          <w:sz w:val="24"/>
          <w:szCs w:val="24"/>
        </w:rPr>
        <w:t xml:space="preserve">to </w:t>
      </w:r>
      <w:r>
        <w:rPr>
          <w:rFonts w:ascii="Times New Roman" w:hAnsi="Times New Roman" w:cs="Times New Roman"/>
          <w:sz w:val="24"/>
          <w:szCs w:val="24"/>
        </w:rPr>
        <w:t xml:space="preserve">invest in </w:t>
      </w:r>
      <w:r>
        <w:rPr>
          <w:rFonts w:ascii="Times New Roman" w:hAnsi="Times New Roman" w:cs="Times New Roman"/>
          <w:spacing w:val="-5"/>
          <w:sz w:val="24"/>
          <w:szCs w:val="24"/>
        </w:rPr>
        <w:t xml:space="preserve">ongoing </w:t>
      </w:r>
      <w:r>
        <w:rPr>
          <w:rFonts w:ascii="Times New Roman" w:hAnsi="Times New Roman" w:cs="Times New Roman"/>
          <w:sz w:val="24"/>
          <w:szCs w:val="24"/>
        </w:rPr>
        <w:t xml:space="preserve">recovery services by </w:t>
      </w:r>
      <w:r>
        <w:rPr>
          <w:rFonts w:ascii="Times New Roman" w:hAnsi="Times New Roman" w:cs="Times New Roman"/>
          <w:spacing w:val="-6"/>
          <w:sz w:val="24"/>
          <w:szCs w:val="24"/>
        </w:rPr>
        <w:t xml:space="preserve">funding </w:t>
      </w:r>
      <w:r>
        <w:rPr>
          <w:rFonts w:ascii="Times New Roman" w:hAnsi="Times New Roman" w:cs="Times New Roman"/>
          <w:spacing w:val="-3"/>
          <w:sz w:val="24"/>
          <w:szCs w:val="24"/>
        </w:rPr>
        <w:t xml:space="preserve">enhanced </w:t>
      </w:r>
      <w:r>
        <w:rPr>
          <w:rFonts w:ascii="Times New Roman" w:hAnsi="Times New Roman" w:cs="Times New Roman"/>
          <w:sz w:val="24"/>
          <w:szCs w:val="24"/>
        </w:rPr>
        <w:t xml:space="preserve">care </w:t>
      </w:r>
      <w:r>
        <w:rPr>
          <w:rFonts w:ascii="Times New Roman" w:hAnsi="Times New Roman" w:cs="Times New Roman"/>
          <w:spacing w:val="-6"/>
          <w:sz w:val="24"/>
          <w:szCs w:val="24"/>
        </w:rPr>
        <w:t xml:space="preserve">management  </w:t>
      </w:r>
      <w:r>
        <w:rPr>
          <w:rFonts w:ascii="Times New Roman" w:hAnsi="Times New Roman" w:cs="Times New Roman"/>
          <w:spacing w:val="-4"/>
          <w:sz w:val="24"/>
          <w:szCs w:val="24"/>
        </w:rPr>
        <w:t xml:space="preserve">and </w:t>
      </w:r>
      <w:r>
        <w:rPr>
          <w:rFonts w:ascii="Times New Roman" w:hAnsi="Times New Roman" w:cs="Times New Roman"/>
          <w:sz w:val="24"/>
          <w:szCs w:val="24"/>
        </w:rPr>
        <w:t xml:space="preserve">recovery </w:t>
      </w:r>
      <w:r>
        <w:rPr>
          <w:rFonts w:ascii="Times New Roman" w:hAnsi="Times New Roman" w:cs="Times New Roman"/>
          <w:spacing w:val="-3"/>
          <w:sz w:val="24"/>
          <w:szCs w:val="24"/>
        </w:rPr>
        <w:t xml:space="preserve">navigation.  </w:t>
      </w:r>
      <w:r>
        <w:rPr>
          <w:rFonts w:ascii="Times New Roman" w:hAnsi="Times New Roman" w:cs="Times New Roman"/>
          <w:spacing w:val="-6"/>
          <w:sz w:val="24"/>
          <w:szCs w:val="24"/>
        </w:rPr>
        <w:t xml:space="preserve">In </w:t>
      </w:r>
      <w:r>
        <w:rPr>
          <w:rFonts w:ascii="Times New Roman" w:hAnsi="Times New Roman" w:cs="Times New Roman"/>
          <w:spacing w:val="-3"/>
          <w:sz w:val="24"/>
          <w:szCs w:val="24"/>
        </w:rPr>
        <w:t xml:space="preserve">this </w:t>
      </w:r>
      <w:r>
        <w:rPr>
          <w:rFonts w:ascii="Times New Roman" w:hAnsi="Times New Roman" w:cs="Times New Roman"/>
          <w:sz w:val="24"/>
          <w:szCs w:val="24"/>
        </w:rPr>
        <w:t xml:space="preserve">regard, we </w:t>
      </w:r>
      <w:r>
        <w:rPr>
          <w:rFonts w:ascii="Times New Roman" w:hAnsi="Times New Roman" w:cs="Times New Roman"/>
          <w:spacing w:val="-4"/>
          <w:sz w:val="24"/>
          <w:szCs w:val="24"/>
        </w:rPr>
        <w:t xml:space="preserve">encourage </w:t>
      </w:r>
      <w:r>
        <w:rPr>
          <w:rFonts w:ascii="Times New Roman" w:hAnsi="Times New Roman" w:cs="Times New Roman"/>
          <w:spacing w:val="-5"/>
          <w:sz w:val="24"/>
          <w:szCs w:val="24"/>
        </w:rPr>
        <w:t xml:space="preserve">EOHHS </w:t>
      </w:r>
      <w:r>
        <w:rPr>
          <w:rFonts w:ascii="Times New Roman" w:hAnsi="Times New Roman" w:cs="Times New Roman"/>
          <w:spacing w:val="-3"/>
          <w:sz w:val="24"/>
          <w:szCs w:val="24"/>
        </w:rPr>
        <w:t xml:space="preserve">to </w:t>
      </w:r>
      <w:r>
        <w:rPr>
          <w:rFonts w:ascii="Times New Roman" w:hAnsi="Times New Roman" w:cs="Times New Roman"/>
          <w:sz w:val="24"/>
          <w:szCs w:val="24"/>
        </w:rPr>
        <w:t xml:space="preserve">be </w:t>
      </w:r>
      <w:r>
        <w:rPr>
          <w:rFonts w:ascii="Times New Roman" w:hAnsi="Times New Roman" w:cs="Times New Roman"/>
          <w:spacing w:val="-3"/>
          <w:sz w:val="24"/>
          <w:szCs w:val="24"/>
        </w:rPr>
        <w:t xml:space="preserve">expansive </w:t>
      </w:r>
      <w:r>
        <w:rPr>
          <w:rFonts w:ascii="Times New Roman" w:hAnsi="Times New Roman" w:cs="Times New Roman"/>
          <w:sz w:val="24"/>
          <w:szCs w:val="24"/>
        </w:rPr>
        <w:t xml:space="preserve">in  its approach </w:t>
      </w:r>
      <w:r>
        <w:rPr>
          <w:rFonts w:ascii="Times New Roman" w:hAnsi="Times New Roman" w:cs="Times New Roman"/>
          <w:spacing w:val="-3"/>
          <w:sz w:val="24"/>
          <w:szCs w:val="24"/>
        </w:rPr>
        <w:t xml:space="preserve">to </w:t>
      </w:r>
      <w:r>
        <w:rPr>
          <w:rFonts w:ascii="Times New Roman" w:hAnsi="Times New Roman" w:cs="Times New Roman"/>
          <w:sz w:val="24"/>
          <w:szCs w:val="24"/>
        </w:rPr>
        <w:t xml:space="preserve">investing in long term services </w:t>
      </w:r>
      <w:r>
        <w:rPr>
          <w:rFonts w:ascii="Times New Roman" w:hAnsi="Times New Roman" w:cs="Times New Roman"/>
          <w:spacing w:val="-4"/>
          <w:sz w:val="24"/>
          <w:szCs w:val="24"/>
        </w:rPr>
        <w:t xml:space="preserve">and </w:t>
      </w:r>
      <w:r>
        <w:rPr>
          <w:rFonts w:ascii="Times New Roman" w:hAnsi="Times New Roman" w:cs="Times New Roman"/>
          <w:spacing w:val="-3"/>
          <w:sz w:val="24"/>
          <w:szCs w:val="24"/>
        </w:rPr>
        <w:t xml:space="preserve">supports for </w:t>
      </w:r>
      <w:r>
        <w:rPr>
          <w:rFonts w:ascii="Times New Roman" w:hAnsi="Times New Roman" w:cs="Times New Roman"/>
          <w:spacing w:val="-5"/>
          <w:sz w:val="24"/>
          <w:szCs w:val="24"/>
        </w:rPr>
        <w:t xml:space="preserve">SUD </w:t>
      </w:r>
      <w:r>
        <w:rPr>
          <w:rFonts w:ascii="Times New Roman" w:hAnsi="Times New Roman" w:cs="Times New Roman"/>
          <w:sz w:val="24"/>
          <w:szCs w:val="24"/>
        </w:rPr>
        <w:t xml:space="preserve">recovery, considering </w:t>
      </w:r>
      <w:r>
        <w:rPr>
          <w:rFonts w:ascii="Times New Roman" w:hAnsi="Times New Roman" w:cs="Times New Roman"/>
          <w:spacing w:val="-4"/>
          <w:sz w:val="24"/>
          <w:szCs w:val="24"/>
        </w:rPr>
        <w:t xml:space="preserve">such </w:t>
      </w:r>
      <w:r>
        <w:rPr>
          <w:rFonts w:ascii="Times New Roman" w:hAnsi="Times New Roman" w:cs="Times New Roman"/>
          <w:sz w:val="24"/>
          <w:szCs w:val="24"/>
        </w:rPr>
        <w:t xml:space="preserve">essential services as, </w:t>
      </w:r>
      <w:r>
        <w:rPr>
          <w:rFonts w:ascii="Times New Roman" w:hAnsi="Times New Roman" w:cs="Times New Roman"/>
          <w:spacing w:val="-3"/>
          <w:sz w:val="24"/>
          <w:szCs w:val="24"/>
        </w:rPr>
        <w:t xml:space="preserve">for example, </w:t>
      </w:r>
      <w:r>
        <w:rPr>
          <w:rFonts w:ascii="Times New Roman" w:hAnsi="Times New Roman" w:cs="Times New Roman"/>
          <w:sz w:val="24"/>
          <w:szCs w:val="24"/>
        </w:rPr>
        <w:t xml:space="preserve">sober </w:t>
      </w:r>
      <w:r>
        <w:rPr>
          <w:rFonts w:ascii="Times New Roman" w:hAnsi="Times New Roman" w:cs="Times New Roman"/>
          <w:spacing w:val="-5"/>
          <w:sz w:val="24"/>
          <w:szCs w:val="24"/>
        </w:rPr>
        <w:t xml:space="preserve">homes. Further, </w:t>
      </w:r>
      <w:r>
        <w:rPr>
          <w:rFonts w:ascii="Times New Roman" w:hAnsi="Times New Roman" w:cs="Times New Roman"/>
          <w:spacing w:val="4"/>
          <w:sz w:val="24"/>
          <w:szCs w:val="24"/>
        </w:rPr>
        <w:t xml:space="preserve">we </w:t>
      </w:r>
      <w:r>
        <w:rPr>
          <w:rFonts w:ascii="Times New Roman" w:hAnsi="Times New Roman" w:cs="Times New Roman"/>
          <w:sz w:val="24"/>
          <w:szCs w:val="24"/>
        </w:rPr>
        <w:t xml:space="preserve">applaud </w:t>
      </w:r>
      <w:r>
        <w:rPr>
          <w:rFonts w:ascii="Times New Roman" w:hAnsi="Times New Roman" w:cs="Times New Roman"/>
          <w:spacing w:val="-3"/>
          <w:sz w:val="24"/>
          <w:szCs w:val="24"/>
        </w:rPr>
        <w:t xml:space="preserve">EOHHS’s </w:t>
      </w:r>
      <w:r>
        <w:rPr>
          <w:rFonts w:ascii="Times New Roman" w:hAnsi="Times New Roman" w:cs="Times New Roman"/>
          <w:spacing w:val="-4"/>
          <w:sz w:val="24"/>
          <w:szCs w:val="24"/>
        </w:rPr>
        <w:t xml:space="preserve">effort </w:t>
      </w:r>
      <w:r>
        <w:rPr>
          <w:rFonts w:ascii="Times New Roman" w:hAnsi="Times New Roman" w:cs="Times New Roman"/>
          <w:sz w:val="24"/>
          <w:szCs w:val="24"/>
        </w:rPr>
        <w:t xml:space="preserve">to </w:t>
      </w:r>
      <w:r>
        <w:rPr>
          <w:rFonts w:ascii="Times New Roman" w:hAnsi="Times New Roman" w:cs="Times New Roman"/>
          <w:spacing w:val="-6"/>
          <w:sz w:val="24"/>
          <w:szCs w:val="24"/>
        </w:rPr>
        <w:t xml:space="preserve">examine outcome </w:t>
      </w:r>
      <w:r>
        <w:rPr>
          <w:rFonts w:ascii="Times New Roman" w:hAnsi="Times New Roman" w:cs="Times New Roman"/>
          <w:spacing w:val="-3"/>
          <w:sz w:val="24"/>
          <w:szCs w:val="24"/>
        </w:rPr>
        <w:t xml:space="preserve">measures outside </w:t>
      </w:r>
      <w:r>
        <w:rPr>
          <w:rFonts w:ascii="Times New Roman" w:hAnsi="Times New Roman" w:cs="Times New Roman"/>
          <w:sz w:val="24"/>
          <w:szCs w:val="24"/>
        </w:rPr>
        <w:t xml:space="preserve">of </w:t>
      </w:r>
      <w:r>
        <w:rPr>
          <w:rFonts w:ascii="Times New Roman" w:hAnsi="Times New Roman" w:cs="Times New Roman"/>
          <w:spacing w:val="-4"/>
          <w:sz w:val="24"/>
          <w:szCs w:val="24"/>
        </w:rPr>
        <w:t xml:space="preserve">health, </w:t>
      </w:r>
      <w:r>
        <w:rPr>
          <w:rFonts w:ascii="Times New Roman" w:hAnsi="Times New Roman" w:cs="Times New Roman"/>
          <w:spacing w:val="-3"/>
          <w:sz w:val="24"/>
          <w:szCs w:val="24"/>
        </w:rPr>
        <w:t xml:space="preserve">such </w:t>
      </w:r>
      <w:r>
        <w:rPr>
          <w:rFonts w:ascii="Times New Roman" w:hAnsi="Times New Roman" w:cs="Times New Roman"/>
          <w:sz w:val="24"/>
          <w:szCs w:val="24"/>
        </w:rPr>
        <w:t xml:space="preserve">as reduced </w:t>
      </w:r>
      <w:r>
        <w:rPr>
          <w:rFonts w:ascii="Times New Roman" w:hAnsi="Times New Roman" w:cs="Times New Roman"/>
          <w:spacing w:val="-4"/>
          <w:sz w:val="24"/>
          <w:szCs w:val="24"/>
        </w:rPr>
        <w:t xml:space="preserve">court-involvement, </w:t>
      </w:r>
      <w:r>
        <w:rPr>
          <w:rFonts w:ascii="Times New Roman" w:hAnsi="Times New Roman" w:cs="Times New Roman"/>
          <w:spacing w:val="-3"/>
          <w:sz w:val="24"/>
          <w:szCs w:val="24"/>
        </w:rPr>
        <w:t xml:space="preserve">school </w:t>
      </w:r>
      <w:r>
        <w:rPr>
          <w:rFonts w:ascii="Times New Roman" w:hAnsi="Times New Roman" w:cs="Times New Roman"/>
          <w:spacing w:val="-4"/>
          <w:sz w:val="24"/>
          <w:szCs w:val="24"/>
        </w:rPr>
        <w:t xml:space="preserve">attendance </w:t>
      </w:r>
      <w:r>
        <w:rPr>
          <w:rFonts w:ascii="Times New Roman" w:hAnsi="Times New Roman" w:cs="Times New Roman"/>
          <w:spacing w:val="-3"/>
          <w:sz w:val="24"/>
          <w:szCs w:val="24"/>
        </w:rPr>
        <w:t xml:space="preserve">and graduation </w:t>
      </w:r>
      <w:r>
        <w:rPr>
          <w:rFonts w:ascii="Times New Roman" w:hAnsi="Times New Roman" w:cs="Times New Roman"/>
          <w:spacing w:val="-4"/>
          <w:sz w:val="24"/>
          <w:szCs w:val="24"/>
        </w:rPr>
        <w:t xml:space="preserve">and </w:t>
      </w:r>
      <w:r>
        <w:rPr>
          <w:rFonts w:ascii="Times New Roman" w:hAnsi="Times New Roman" w:cs="Times New Roman"/>
          <w:spacing w:val="-6"/>
          <w:sz w:val="24"/>
          <w:szCs w:val="24"/>
        </w:rPr>
        <w:t xml:space="preserve">employment </w:t>
      </w:r>
      <w:r>
        <w:rPr>
          <w:rFonts w:ascii="Times New Roman" w:hAnsi="Times New Roman" w:cs="Times New Roman"/>
          <w:spacing w:val="15"/>
          <w:sz w:val="24"/>
          <w:szCs w:val="24"/>
        </w:rPr>
        <w:t xml:space="preserve"> </w:t>
      </w:r>
      <w:r>
        <w:rPr>
          <w:rFonts w:ascii="Times New Roman" w:hAnsi="Times New Roman" w:cs="Times New Roman"/>
          <w:sz w:val="24"/>
          <w:szCs w:val="24"/>
        </w:rPr>
        <w:t>rates.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19" w:right="311"/>
        <w:rPr>
          <w:rFonts w:ascii="Times New Roman" w:hAnsi="Times New Roman" w:cs="Times New Roman"/>
          <w:sz w:val="24"/>
          <w:szCs w:val="24"/>
        </w:rPr>
      </w:pPr>
      <w:r>
        <w:rPr>
          <w:rFonts w:ascii="Times New Roman" w:hAnsi="Times New Roman" w:cs="Times New Roman"/>
          <w:sz w:val="24"/>
          <w:szCs w:val="24"/>
        </w:rPr>
        <w:t xml:space="preserve">While we </w:t>
      </w:r>
      <w:r>
        <w:rPr>
          <w:rFonts w:ascii="Times New Roman" w:hAnsi="Times New Roman" w:cs="Times New Roman"/>
          <w:spacing w:val="-3"/>
          <w:sz w:val="24"/>
          <w:szCs w:val="24"/>
        </w:rPr>
        <w:t xml:space="preserve">recognize </w:t>
      </w:r>
      <w:r>
        <w:rPr>
          <w:rFonts w:ascii="Times New Roman" w:hAnsi="Times New Roman" w:cs="Times New Roman"/>
          <w:spacing w:val="-4"/>
          <w:sz w:val="24"/>
          <w:szCs w:val="24"/>
        </w:rPr>
        <w:t xml:space="preserve">that </w:t>
      </w:r>
      <w:r>
        <w:rPr>
          <w:rFonts w:ascii="Times New Roman" w:hAnsi="Times New Roman" w:cs="Times New Roman"/>
          <w:spacing w:val="-2"/>
          <w:sz w:val="24"/>
          <w:szCs w:val="24"/>
        </w:rPr>
        <w:t xml:space="preserve">FFP </w:t>
      </w:r>
      <w:r>
        <w:rPr>
          <w:rFonts w:ascii="Times New Roman" w:hAnsi="Times New Roman" w:cs="Times New Roman"/>
          <w:spacing w:val="-3"/>
          <w:sz w:val="24"/>
          <w:szCs w:val="24"/>
        </w:rPr>
        <w:t xml:space="preserve">for </w:t>
      </w:r>
      <w:r>
        <w:rPr>
          <w:rFonts w:ascii="Times New Roman" w:hAnsi="Times New Roman" w:cs="Times New Roman"/>
          <w:sz w:val="24"/>
          <w:szCs w:val="24"/>
        </w:rPr>
        <w:t xml:space="preserve">Medicaid coverage of </w:t>
      </w:r>
      <w:r>
        <w:rPr>
          <w:rFonts w:ascii="Times New Roman" w:hAnsi="Times New Roman" w:cs="Times New Roman"/>
          <w:spacing w:val="-5"/>
          <w:sz w:val="24"/>
          <w:szCs w:val="24"/>
        </w:rPr>
        <w:t xml:space="preserve">undocumented </w:t>
      </w:r>
      <w:r>
        <w:rPr>
          <w:rFonts w:ascii="Times New Roman" w:hAnsi="Times New Roman" w:cs="Times New Roman"/>
          <w:spacing w:val="-6"/>
          <w:sz w:val="24"/>
          <w:szCs w:val="24"/>
        </w:rPr>
        <w:t xml:space="preserve">immigrants </w:t>
      </w:r>
      <w:r>
        <w:rPr>
          <w:rFonts w:ascii="Times New Roman" w:hAnsi="Times New Roman" w:cs="Times New Roman"/>
          <w:sz w:val="24"/>
          <w:szCs w:val="24"/>
        </w:rPr>
        <w:t xml:space="preserve">is restricted, we </w:t>
      </w:r>
      <w:r>
        <w:rPr>
          <w:rFonts w:ascii="Times New Roman" w:hAnsi="Times New Roman" w:cs="Times New Roman"/>
          <w:spacing w:val="-3"/>
          <w:sz w:val="24"/>
          <w:szCs w:val="24"/>
        </w:rPr>
        <w:t xml:space="preserve">nonetheless  </w:t>
      </w:r>
      <w:r>
        <w:rPr>
          <w:rFonts w:ascii="Times New Roman" w:hAnsi="Times New Roman" w:cs="Times New Roman"/>
          <w:spacing w:val="-5"/>
          <w:sz w:val="24"/>
          <w:szCs w:val="24"/>
        </w:rPr>
        <w:t xml:space="preserve">encourage </w:t>
      </w:r>
      <w:r>
        <w:rPr>
          <w:rFonts w:ascii="Times New Roman" w:hAnsi="Times New Roman" w:cs="Times New Roman"/>
          <w:spacing w:val="-3"/>
          <w:sz w:val="24"/>
          <w:szCs w:val="24"/>
        </w:rPr>
        <w:t xml:space="preserve">MassHealth to </w:t>
      </w:r>
      <w:r>
        <w:rPr>
          <w:rFonts w:ascii="Times New Roman" w:hAnsi="Times New Roman" w:cs="Times New Roman"/>
          <w:sz w:val="24"/>
          <w:szCs w:val="24"/>
        </w:rPr>
        <w:t xml:space="preserve">consider </w:t>
      </w:r>
      <w:r>
        <w:rPr>
          <w:rFonts w:ascii="Times New Roman" w:hAnsi="Times New Roman" w:cs="Times New Roman"/>
          <w:spacing w:val="-3"/>
          <w:sz w:val="24"/>
          <w:szCs w:val="24"/>
        </w:rPr>
        <w:t xml:space="preserve">requesting </w:t>
      </w:r>
      <w:r>
        <w:rPr>
          <w:rFonts w:ascii="Times New Roman" w:hAnsi="Times New Roman" w:cs="Times New Roman"/>
          <w:sz w:val="24"/>
          <w:szCs w:val="24"/>
        </w:rPr>
        <w:t xml:space="preserve">federal assistance </w:t>
      </w:r>
      <w:r>
        <w:rPr>
          <w:rFonts w:ascii="Times New Roman" w:hAnsi="Times New Roman" w:cs="Times New Roman"/>
          <w:spacing w:val="-3"/>
          <w:sz w:val="24"/>
          <w:szCs w:val="24"/>
        </w:rPr>
        <w:t xml:space="preserve">to </w:t>
      </w:r>
      <w:r>
        <w:rPr>
          <w:rFonts w:ascii="Times New Roman" w:hAnsi="Times New Roman" w:cs="Times New Roman"/>
          <w:spacing w:val="-4"/>
          <w:sz w:val="24"/>
          <w:szCs w:val="24"/>
        </w:rPr>
        <w:t xml:space="preserve">expand </w:t>
      </w:r>
      <w:r>
        <w:rPr>
          <w:rFonts w:ascii="Times New Roman" w:hAnsi="Times New Roman" w:cs="Times New Roman"/>
          <w:sz w:val="24"/>
          <w:szCs w:val="24"/>
        </w:rPr>
        <w:t xml:space="preserve">at  least </w:t>
      </w:r>
      <w:r>
        <w:rPr>
          <w:rFonts w:ascii="Times New Roman" w:hAnsi="Times New Roman" w:cs="Times New Roman"/>
          <w:spacing w:val="-4"/>
          <w:sz w:val="24"/>
          <w:szCs w:val="24"/>
        </w:rPr>
        <w:t xml:space="preserve">some </w:t>
      </w:r>
      <w:r>
        <w:rPr>
          <w:rFonts w:ascii="Times New Roman" w:hAnsi="Times New Roman" w:cs="Times New Roman"/>
          <w:sz w:val="24"/>
          <w:szCs w:val="24"/>
        </w:rPr>
        <w:t xml:space="preserve">of </w:t>
      </w:r>
      <w:r>
        <w:rPr>
          <w:rFonts w:ascii="Times New Roman" w:hAnsi="Times New Roman" w:cs="Times New Roman"/>
          <w:spacing w:val="-5"/>
          <w:sz w:val="24"/>
          <w:szCs w:val="24"/>
        </w:rPr>
        <w:t xml:space="preserve">the </w:t>
      </w:r>
      <w:r>
        <w:rPr>
          <w:rFonts w:ascii="Times New Roman" w:hAnsi="Times New Roman" w:cs="Times New Roman"/>
          <w:spacing w:val="-3"/>
          <w:sz w:val="24"/>
          <w:szCs w:val="24"/>
        </w:rPr>
        <w:t xml:space="preserve">new </w:t>
      </w:r>
      <w:r>
        <w:rPr>
          <w:rFonts w:ascii="Times New Roman" w:hAnsi="Times New Roman" w:cs="Times New Roman"/>
          <w:spacing w:val="-5"/>
          <w:sz w:val="24"/>
          <w:szCs w:val="24"/>
        </w:rPr>
        <w:t xml:space="preserve">SUD treatment </w:t>
      </w:r>
      <w:r>
        <w:rPr>
          <w:rFonts w:ascii="Times New Roman" w:hAnsi="Times New Roman" w:cs="Times New Roman"/>
          <w:spacing w:val="-3"/>
          <w:sz w:val="24"/>
          <w:szCs w:val="24"/>
        </w:rPr>
        <w:t xml:space="preserve">options to those </w:t>
      </w:r>
      <w:r>
        <w:rPr>
          <w:rFonts w:ascii="Times New Roman" w:hAnsi="Times New Roman" w:cs="Times New Roman"/>
          <w:sz w:val="24"/>
          <w:szCs w:val="24"/>
        </w:rPr>
        <w:t xml:space="preserve">enrolled in </w:t>
      </w:r>
      <w:r>
        <w:rPr>
          <w:rFonts w:ascii="Times New Roman" w:hAnsi="Times New Roman" w:cs="Times New Roman"/>
          <w:spacing w:val="-2"/>
          <w:sz w:val="24"/>
          <w:szCs w:val="24"/>
        </w:rPr>
        <w:t xml:space="preserve">MassHealth </w:t>
      </w:r>
      <w:r>
        <w:rPr>
          <w:rFonts w:ascii="Times New Roman" w:hAnsi="Times New Roman" w:cs="Times New Roman"/>
          <w:spacing w:val="-5"/>
          <w:sz w:val="24"/>
          <w:szCs w:val="24"/>
        </w:rPr>
        <w:t xml:space="preserve">Limited. </w:t>
      </w:r>
      <w:r>
        <w:rPr>
          <w:rFonts w:ascii="Times New Roman" w:hAnsi="Times New Roman" w:cs="Times New Roman"/>
          <w:sz w:val="24"/>
          <w:szCs w:val="24"/>
        </w:rPr>
        <w:t xml:space="preserve">By </w:t>
      </w:r>
      <w:r>
        <w:rPr>
          <w:rFonts w:ascii="Times New Roman" w:hAnsi="Times New Roman" w:cs="Times New Roman"/>
          <w:spacing w:val="-3"/>
          <w:sz w:val="24"/>
          <w:szCs w:val="24"/>
        </w:rPr>
        <w:t xml:space="preserve">excluding </w:t>
      </w:r>
      <w:r>
        <w:rPr>
          <w:rFonts w:ascii="Times New Roman" w:hAnsi="Times New Roman" w:cs="Times New Roman"/>
          <w:spacing w:val="-4"/>
          <w:sz w:val="24"/>
          <w:szCs w:val="24"/>
        </w:rPr>
        <w:t xml:space="preserve">this </w:t>
      </w:r>
      <w:r>
        <w:rPr>
          <w:rFonts w:ascii="Times New Roman" w:hAnsi="Times New Roman" w:cs="Times New Roman"/>
          <w:spacing w:val="-5"/>
          <w:sz w:val="24"/>
          <w:szCs w:val="24"/>
        </w:rPr>
        <w:t xml:space="preserve">group </w:t>
      </w:r>
      <w:r>
        <w:rPr>
          <w:rFonts w:ascii="Times New Roman" w:hAnsi="Times New Roman" w:cs="Times New Roman"/>
          <w:sz w:val="24"/>
          <w:szCs w:val="24"/>
        </w:rPr>
        <w:t xml:space="preserve">of </w:t>
      </w:r>
      <w:r>
        <w:rPr>
          <w:rFonts w:ascii="Times New Roman" w:hAnsi="Times New Roman" w:cs="Times New Roman"/>
          <w:spacing w:val="-3"/>
          <w:sz w:val="24"/>
          <w:szCs w:val="24"/>
        </w:rPr>
        <w:t xml:space="preserve">MassHealth </w:t>
      </w:r>
      <w:r>
        <w:rPr>
          <w:rFonts w:ascii="Times New Roman" w:hAnsi="Times New Roman" w:cs="Times New Roman"/>
          <w:spacing w:val="-5"/>
          <w:sz w:val="24"/>
          <w:szCs w:val="24"/>
        </w:rPr>
        <w:t xml:space="preserve">members </w:t>
      </w:r>
      <w:r>
        <w:rPr>
          <w:rFonts w:ascii="Times New Roman" w:hAnsi="Times New Roman" w:cs="Times New Roman"/>
          <w:sz w:val="24"/>
          <w:szCs w:val="24"/>
        </w:rPr>
        <w:t xml:space="preserve">from access to </w:t>
      </w:r>
      <w:r>
        <w:rPr>
          <w:rFonts w:ascii="Times New Roman" w:hAnsi="Times New Roman" w:cs="Times New Roman"/>
          <w:spacing w:val="-5"/>
          <w:sz w:val="24"/>
          <w:szCs w:val="24"/>
        </w:rPr>
        <w:t xml:space="preserve">SUD </w:t>
      </w:r>
      <w:r>
        <w:rPr>
          <w:rFonts w:ascii="Times New Roman" w:hAnsi="Times New Roman" w:cs="Times New Roman"/>
          <w:sz w:val="24"/>
          <w:szCs w:val="24"/>
        </w:rPr>
        <w:t xml:space="preserve">services, MassHealth is likely </w:t>
      </w:r>
      <w:r>
        <w:rPr>
          <w:rFonts w:ascii="Times New Roman" w:hAnsi="Times New Roman" w:cs="Times New Roman"/>
          <w:spacing w:val="-3"/>
          <w:sz w:val="24"/>
          <w:szCs w:val="24"/>
        </w:rPr>
        <w:t xml:space="preserve">to </w:t>
      </w:r>
      <w:r>
        <w:rPr>
          <w:rFonts w:ascii="Times New Roman" w:hAnsi="Times New Roman" w:cs="Times New Roman"/>
          <w:sz w:val="24"/>
          <w:szCs w:val="24"/>
        </w:rPr>
        <w:t xml:space="preserve">bear </w:t>
      </w:r>
      <w:r>
        <w:rPr>
          <w:rFonts w:ascii="Times New Roman" w:hAnsi="Times New Roman" w:cs="Times New Roman"/>
          <w:spacing w:val="-3"/>
          <w:sz w:val="24"/>
          <w:szCs w:val="24"/>
        </w:rPr>
        <w:t xml:space="preserve">greater expenses  </w:t>
      </w:r>
      <w:r>
        <w:rPr>
          <w:rFonts w:ascii="Times New Roman" w:hAnsi="Times New Roman" w:cs="Times New Roman"/>
          <w:sz w:val="24"/>
          <w:szCs w:val="24"/>
        </w:rPr>
        <w:t xml:space="preserve">in </w:t>
      </w:r>
      <w:r>
        <w:rPr>
          <w:rFonts w:ascii="Times New Roman" w:hAnsi="Times New Roman" w:cs="Times New Roman"/>
          <w:spacing w:val="-4"/>
          <w:sz w:val="24"/>
          <w:szCs w:val="24"/>
        </w:rPr>
        <w:t>emergency</w:t>
      </w:r>
      <w:r>
        <w:rPr>
          <w:rFonts w:ascii="Times New Roman" w:hAnsi="Times New Roman" w:cs="Times New Roman"/>
          <w:spacing w:val="12"/>
          <w:sz w:val="24"/>
          <w:szCs w:val="24"/>
        </w:rPr>
        <w:t xml:space="preserve"> </w:t>
      </w:r>
      <w:r>
        <w:rPr>
          <w:rFonts w:ascii="Times New Roman" w:hAnsi="Times New Roman" w:cs="Times New Roman"/>
          <w:sz w:val="24"/>
          <w:szCs w:val="24"/>
        </w:rPr>
        <w:t>care.</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ListParagraph"/>
        <w:numPr>
          <w:ilvl w:val="0"/>
          <w:numId w:val="47"/>
        </w:numPr>
        <w:tabs>
          <w:tab w:val="left" w:pos="480"/>
        </w:tabs>
        <w:kinsoku w:val="0"/>
        <w:overflowPunct w:val="0"/>
        <w:rPr>
          <w:i/>
          <w:iCs/>
        </w:rPr>
      </w:pPr>
      <w:r>
        <w:rPr>
          <w:i/>
          <w:iCs/>
        </w:rPr>
        <w:t>Compliance with Mental Health Parity</w:t>
      </w:r>
      <w:r>
        <w:rPr>
          <w:i/>
          <w:iCs/>
          <w:spacing w:val="-38"/>
        </w:rPr>
        <w:t xml:space="preserve"> </w:t>
      </w:r>
      <w:r>
        <w:rPr>
          <w:i/>
          <w:iCs/>
        </w:rPr>
        <w:t>requirements</w:t>
      </w:r>
    </w:p>
    <w:p w:rsidR="002C5025" w:rsidRDefault="002C5025">
      <w:pPr>
        <w:pStyle w:val="BodyText"/>
        <w:kinsoku w:val="0"/>
        <w:overflowPunct w:val="0"/>
        <w:rPr>
          <w:rFonts w:ascii="Times New Roman" w:hAnsi="Times New Roman" w:cs="Times New Roman"/>
          <w:i/>
          <w:iCs/>
          <w:sz w:val="24"/>
          <w:szCs w:val="24"/>
        </w:rPr>
      </w:pPr>
    </w:p>
    <w:p w:rsidR="002C5025" w:rsidRDefault="002C5025">
      <w:pPr>
        <w:pStyle w:val="BodyText"/>
        <w:kinsoku w:val="0"/>
        <w:overflowPunct w:val="0"/>
        <w:ind w:left="119" w:right="250"/>
        <w:rPr>
          <w:rFonts w:ascii="Times New Roman" w:hAnsi="Times New Roman" w:cs="Times New Roman"/>
          <w:sz w:val="24"/>
          <w:szCs w:val="24"/>
        </w:rPr>
      </w:pPr>
      <w:r>
        <w:rPr>
          <w:rFonts w:ascii="Times New Roman" w:hAnsi="Times New Roman" w:cs="Times New Roman"/>
          <w:sz w:val="24"/>
          <w:szCs w:val="24"/>
        </w:rPr>
        <w:t>In March CMS issued a final rule governing mental health parity in certain Medicaid plans. The rule applies to all Medicaid MCOs regardless of how they deliver behavioral health benefits.</w:t>
      </w:r>
    </w:p>
    <w:p w:rsidR="002C5025" w:rsidRDefault="002C5025">
      <w:pPr>
        <w:pStyle w:val="BodyText"/>
        <w:kinsoku w:val="0"/>
        <w:overflowPunct w:val="0"/>
        <w:ind w:left="119" w:right="252"/>
        <w:rPr>
          <w:rFonts w:ascii="Times New Roman" w:hAnsi="Times New Roman" w:cs="Times New Roman"/>
          <w:sz w:val="24"/>
          <w:szCs w:val="24"/>
        </w:rPr>
      </w:pPr>
      <w:r>
        <w:rPr>
          <w:rFonts w:ascii="Times New Roman" w:hAnsi="Times New Roman" w:cs="Times New Roman"/>
          <w:spacing w:val="-4"/>
          <w:sz w:val="24"/>
          <w:szCs w:val="24"/>
        </w:rPr>
        <w:t xml:space="preserve">Thus, </w:t>
      </w:r>
      <w:r>
        <w:rPr>
          <w:rFonts w:ascii="Times New Roman" w:hAnsi="Times New Roman" w:cs="Times New Roman"/>
          <w:sz w:val="24"/>
          <w:szCs w:val="24"/>
        </w:rPr>
        <w:t xml:space="preserve">it is clear </w:t>
      </w:r>
      <w:r>
        <w:rPr>
          <w:rFonts w:ascii="Times New Roman" w:hAnsi="Times New Roman" w:cs="Times New Roman"/>
          <w:spacing w:val="-4"/>
          <w:sz w:val="24"/>
          <w:szCs w:val="24"/>
        </w:rPr>
        <w:t xml:space="preserve">that </w:t>
      </w:r>
      <w:r>
        <w:rPr>
          <w:rFonts w:ascii="Times New Roman" w:hAnsi="Times New Roman" w:cs="Times New Roman"/>
          <w:spacing w:val="-5"/>
          <w:sz w:val="24"/>
          <w:szCs w:val="24"/>
        </w:rPr>
        <w:t xml:space="preserve">the </w:t>
      </w:r>
      <w:r>
        <w:rPr>
          <w:rFonts w:ascii="Times New Roman" w:hAnsi="Times New Roman" w:cs="Times New Roman"/>
          <w:sz w:val="24"/>
          <w:szCs w:val="24"/>
        </w:rPr>
        <w:t xml:space="preserve">federal parity </w:t>
      </w:r>
      <w:r>
        <w:rPr>
          <w:rFonts w:ascii="Times New Roman" w:hAnsi="Times New Roman" w:cs="Times New Roman"/>
          <w:spacing w:val="-4"/>
          <w:sz w:val="24"/>
          <w:szCs w:val="24"/>
        </w:rPr>
        <w:t xml:space="preserve">requirements </w:t>
      </w:r>
      <w:r>
        <w:rPr>
          <w:rFonts w:ascii="Times New Roman" w:hAnsi="Times New Roman" w:cs="Times New Roman"/>
          <w:sz w:val="24"/>
          <w:szCs w:val="24"/>
        </w:rPr>
        <w:t xml:space="preserve">apply to </w:t>
      </w:r>
      <w:r>
        <w:rPr>
          <w:rFonts w:ascii="Times New Roman" w:hAnsi="Times New Roman" w:cs="Times New Roman"/>
          <w:spacing w:val="-4"/>
          <w:sz w:val="24"/>
          <w:szCs w:val="24"/>
        </w:rPr>
        <w:t xml:space="preserve">ACO/MCO </w:t>
      </w:r>
      <w:r>
        <w:rPr>
          <w:rFonts w:ascii="Times New Roman" w:hAnsi="Times New Roman" w:cs="Times New Roman"/>
          <w:sz w:val="24"/>
          <w:szCs w:val="24"/>
        </w:rPr>
        <w:t xml:space="preserve">Models A </w:t>
      </w:r>
      <w:r>
        <w:rPr>
          <w:rFonts w:ascii="Times New Roman" w:hAnsi="Times New Roman" w:cs="Times New Roman"/>
          <w:spacing w:val="-4"/>
          <w:sz w:val="24"/>
          <w:szCs w:val="24"/>
        </w:rPr>
        <w:t xml:space="preserve">and </w:t>
      </w:r>
      <w:r>
        <w:rPr>
          <w:rFonts w:ascii="Times New Roman" w:hAnsi="Times New Roman" w:cs="Times New Roman"/>
          <w:sz w:val="24"/>
          <w:szCs w:val="24"/>
        </w:rPr>
        <w:t xml:space="preserve">C proposed in </w:t>
      </w:r>
      <w:r>
        <w:rPr>
          <w:rFonts w:ascii="Times New Roman" w:hAnsi="Times New Roman" w:cs="Times New Roman"/>
          <w:spacing w:val="-5"/>
          <w:sz w:val="24"/>
          <w:szCs w:val="24"/>
        </w:rPr>
        <w:t xml:space="preserve">the </w:t>
      </w:r>
      <w:r>
        <w:rPr>
          <w:rFonts w:ascii="Times New Roman" w:hAnsi="Times New Roman" w:cs="Times New Roman"/>
          <w:sz w:val="24"/>
          <w:szCs w:val="24"/>
        </w:rPr>
        <w:t xml:space="preserve">waiver </w:t>
      </w:r>
      <w:r>
        <w:rPr>
          <w:rFonts w:ascii="Times New Roman" w:hAnsi="Times New Roman" w:cs="Times New Roman"/>
          <w:spacing w:val="-6"/>
          <w:sz w:val="24"/>
          <w:szCs w:val="24"/>
        </w:rPr>
        <w:t xml:space="preserve">amendment. </w:t>
      </w:r>
      <w:r>
        <w:rPr>
          <w:rFonts w:ascii="Times New Roman" w:hAnsi="Times New Roman" w:cs="Times New Roman"/>
          <w:spacing w:val="-3"/>
          <w:sz w:val="24"/>
          <w:szCs w:val="24"/>
        </w:rPr>
        <w:t xml:space="preserve">We </w:t>
      </w:r>
      <w:r>
        <w:rPr>
          <w:rFonts w:ascii="Times New Roman" w:hAnsi="Times New Roman" w:cs="Times New Roman"/>
          <w:sz w:val="24"/>
          <w:szCs w:val="24"/>
        </w:rPr>
        <w:t xml:space="preserve">request </w:t>
      </w:r>
      <w:r>
        <w:rPr>
          <w:rFonts w:ascii="Times New Roman" w:hAnsi="Times New Roman" w:cs="Times New Roman"/>
          <w:spacing w:val="-5"/>
          <w:sz w:val="24"/>
          <w:szCs w:val="24"/>
        </w:rPr>
        <w:t xml:space="preserve">that </w:t>
      </w:r>
      <w:r>
        <w:rPr>
          <w:rFonts w:ascii="Times New Roman" w:hAnsi="Times New Roman" w:cs="Times New Roman"/>
          <w:spacing w:val="-3"/>
          <w:sz w:val="24"/>
          <w:szCs w:val="24"/>
        </w:rPr>
        <w:t xml:space="preserve">MassHealth </w:t>
      </w:r>
      <w:r>
        <w:rPr>
          <w:rFonts w:ascii="Times New Roman" w:hAnsi="Times New Roman" w:cs="Times New Roman"/>
          <w:sz w:val="24"/>
          <w:szCs w:val="24"/>
        </w:rPr>
        <w:t xml:space="preserve">explicitly </w:t>
      </w:r>
      <w:r>
        <w:rPr>
          <w:rFonts w:ascii="Times New Roman" w:hAnsi="Times New Roman" w:cs="Times New Roman"/>
          <w:spacing w:val="-3"/>
          <w:sz w:val="24"/>
          <w:szCs w:val="24"/>
        </w:rPr>
        <w:t xml:space="preserve">state </w:t>
      </w:r>
      <w:r>
        <w:rPr>
          <w:rFonts w:ascii="Times New Roman" w:hAnsi="Times New Roman" w:cs="Times New Roman"/>
          <w:spacing w:val="-4"/>
          <w:sz w:val="24"/>
          <w:szCs w:val="24"/>
        </w:rPr>
        <w:t xml:space="preserve">that </w:t>
      </w:r>
      <w:r>
        <w:rPr>
          <w:rFonts w:ascii="Times New Roman" w:hAnsi="Times New Roman" w:cs="Times New Roman"/>
          <w:spacing w:val="-5"/>
          <w:sz w:val="24"/>
          <w:szCs w:val="24"/>
        </w:rPr>
        <w:t xml:space="preserve">the </w:t>
      </w:r>
      <w:r>
        <w:rPr>
          <w:rFonts w:ascii="Times New Roman" w:hAnsi="Times New Roman" w:cs="Times New Roman"/>
          <w:sz w:val="24"/>
          <w:szCs w:val="24"/>
        </w:rPr>
        <w:t xml:space="preserve">parity </w:t>
      </w:r>
      <w:r>
        <w:rPr>
          <w:rFonts w:ascii="Times New Roman" w:hAnsi="Times New Roman" w:cs="Times New Roman"/>
          <w:spacing w:val="-4"/>
          <w:sz w:val="24"/>
          <w:szCs w:val="24"/>
        </w:rPr>
        <w:t xml:space="preserve">requirements </w:t>
      </w:r>
      <w:r>
        <w:rPr>
          <w:rFonts w:ascii="Times New Roman" w:hAnsi="Times New Roman" w:cs="Times New Roman"/>
          <w:sz w:val="24"/>
          <w:szCs w:val="24"/>
        </w:rPr>
        <w:t xml:space="preserve">apply </w:t>
      </w:r>
      <w:r>
        <w:rPr>
          <w:rFonts w:ascii="Times New Roman" w:hAnsi="Times New Roman" w:cs="Times New Roman"/>
          <w:spacing w:val="-3"/>
          <w:sz w:val="24"/>
          <w:szCs w:val="24"/>
        </w:rPr>
        <w:t xml:space="preserve">to </w:t>
      </w:r>
      <w:r>
        <w:rPr>
          <w:rFonts w:ascii="Times New Roman" w:hAnsi="Times New Roman" w:cs="Times New Roman"/>
          <w:sz w:val="24"/>
          <w:szCs w:val="24"/>
        </w:rPr>
        <w:t xml:space="preserve">Models A </w:t>
      </w:r>
      <w:r>
        <w:rPr>
          <w:rFonts w:ascii="Times New Roman" w:hAnsi="Times New Roman" w:cs="Times New Roman"/>
          <w:spacing w:val="-4"/>
          <w:sz w:val="24"/>
          <w:szCs w:val="24"/>
        </w:rPr>
        <w:t xml:space="preserve">and </w:t>
      </w:r>
      <w:r>
        <w:rPr>
          <w:rFonts w:ascii="Times New Roman" w:hAnsi="Times New Roman" w:cs="Times New Roman"/>
          <w:sz w:val="24"/>
          <w:szCs w:val="24"/>
        </w:rPr>
        <w:t xml:space="preserve">C </w:t>
      </w:r>
      <w:r>
        <w:rPr>
          <w:rFonts w:ascii="Times New Roman" w:hAnsi="Times New Roman" w:cs="Times New Roman"/>
          <w:spacing w:val="-3"/>
          <w:sz w:val="24"/>
          <w:szCs w:val="24"/>
        </w:rPr>
        <w:t xml:space="preserve">and </w:t>
      </w:r>
      <w:r>
        <w:rPr>
          <w:rFonts w:ascii="Times New Roman" w:hAnsi="Times New Roman" w:cs="Times New Roman"/>
          <w:spacing w:val="-4"/>
          <w:sz w:val="24"/>
          <w:szCs w:val="24"/>
        </w:rPr>
        <w:t xml:space="preserve">that </w:t>
      </w:r>
      <w:r>
        <w:rPr>
          <w:rFonts w:ascii="Times New Roman" w:hAnsi="Times New Roman" w:cs="Times New Roman"/>
          <w:spacing w:val="-5"/>
          <w:sz w:val="24"/>
          <w:szCs w:val="24"/>
        </w:rPr>
        <w:t xml:space="preserve">the </w:t>
      </w:r>
      <w:r>
        <w:rPr>
          <w:rFonts w:ascii="Times New Roman" w:hAnsi="Times New Roman" w:cs="Times New Roman"/>
          <w:sz w:val="24"/>
          <w:szCs w:val="24"/>
        </w:rPr>
        <w:t xml:space="preserve">involved </w:t>
      </w:r>
      <w:r>
        <w:rPr>
          <w:rFonts w:ascii="Times New Roman" w:hAnsi="Times New Roman" w:cs="Times New Roman"/>
          <w:spacing w:val="-6"/>
          <w:sz w:val="24"/>
          <w:szCs w:val="24"/>
        </w:rPr>
        <w:t xml:space="preserve">MCOs </w:t>
      </w:r>
      <w:r>
        <w:rPr>
          <w:rFonts w:ascii="Times New Roman" w:hAnsi="Times New Roman" w:cs="Times New Roman"/>
          <w:sz w:val="24"/>
          <w:szCs w:val="24"/>
        </w:rPr>
        <w:t xml:space="preserve">are responsible </w:t>
      </w:r>
      <w:r>
        <w:rPr>
          <w:rFonts w:ascii="Times New Roman" w:hAnsi="Times New Roman" w:cs="Times New Roman"/>
          <w:spacing w:val="-3"/>
          <w:sz w:val="24"/>
          <w:szCs w:val="24"/>
        </w:rPr>
        <w:t xml:space="preserve">for </w:t>
      </w:r>
      <w:r>
        <w:rPr>
          <w:rFonts w:ascii="Times New Roman" w:hAnsi="Times New Roman" w:cs="Times New Roman"/>
          <w:spacing w:val="-5"/>
          <w:sz w:val="24"/>
          <w:szCs w:val="24"/>
        </w:rPr>
        <w:t xml:space="preserve">ensuring </w:t>
      </w:r>
      <w:r>
        <w:rPr>
          <w:rFonts w:ascii="Times New Roman" w:hAnsi="Times New Roman" w:cs="Times New Roman"/>
          <w:spacing w:val="-3"/>
          <w:sz w:val="24"/>
          <w:szCs w:val="24"/>
        </w:rPr>
        <w:t xml:space="preserve">compliance </w:t>
      </w:r>
      <w:r>
        <w:rPr>
          <w:rFonts w:ascii="Times New Roman" w:hAnsi="Times New Roman" w:cs="Times New Roman"/>
          <w:sz w:val="24"/>
          <w:szCs w:val="24"/>
        </w:rPr>
        <w:t xml:space="preserve">by </w:t>
      </w:r>
      <w:r>
        <w:rPr>
          <w:rFonts w:ascii="Times New Roman" w:hAnsi="Times New Roman" w:cs="Times New Roman"/>
          <w:spacing w:val="-5"/>
          <w:sz w:val="24"/>
          <w:szCs w:val="24"/>
        </w:rPr>
        <w:t xml:space="preserve">the </w:t>
      </w:r>
      <w:r>
        <w:rPr>
          <w:rFonts w:ascii="Times New Roman" w:hAnsi="Times New Roman" w:cs="Times New Roman"/>
          <w:spacing w:val="-3"/>
          <w:sz w:val="24"/>
          <w:szCs w:val="24"/>
        </w:rPr>
        <w:t xml:space="preserve">contracting ACOs. </w:t>
      </w:r>
      <w:r>
        <w:rPr>
          <w:rFonts w:ascii="Times New Roman" w:hAnsi="Times New Roman" w:cs="Times New Roman"/>
          <w:spacing w:val="-4"/>
          <w:sz w:val="24"/>
          <w:szCs w:val="24"/>
        </w:rPr>
        <w:t xml:space="preserve">With </w:t>
      </w:r>
      <w:r>
        <w:rPr>
          <w:rFonts w:ascii="Times New Roman" w:hAnsi="Times New Roman" w:cs="Times New Roman"/>
          <w:sz w:val="24"/>
          <w:szCs w:val="24"/>
        </w:rPr>
        <w:t xml:space="preserve">respect </w:t>
      </w:r>
      <w:r>
        <w:rPr>
          <w:rFonts w:ascii="Times New Roman" w:hAnsi="Times New Roman" w:cs="Times New Roman"/>
          <w:spacing w:val="-3"/>
          <w:sz w:val="24"/>
          <w:szCs w:val="24"/>
        </w:rPr>
        <w:t xml:space="preserve">to Model B, there </w:t>
      </w:r>
      <w:r>
        <w:rPr>
          <w:rFonts w:ascii="Times New Roman" w:hAnsi="Times New Roman" w:cs="Times New Roman"/>
          <w:sz w:val="24"/>
          <w:szCs w:val="24"/>
        </w:rPr>
        <w:t xml:space="preserve">does </w:t>
      </w:r>
      <w:r>
        <w:rPr>
          <w:rFonts w:ascii="Times New Roman" w:hAnsi="Times New Roman" w:cs="Times New Roman"/>
          <w:spacing w:val="-4"/>
          <w:sz w:val="24"/>
          <w:szCs w:val="24"/>
        </w:rPr>
        <w:t xml:space="preserve">not </w:t>
      </w:r>
      <w:r>
        <w:rPr>
          <w:rFonts w:ascii="Times New Roman" w:hAnsi="Times New Roman" w:cs="Times New Roman"/>
          <w:sz w:val="24"/>
          <w:szCs w:val="24"/>
        </w:rPr>
        <w:t xml:space="preserve">appear </w:t>
      </w:r>
      <w:r>
        <w:rPr>
          <w:rFonts w:ascii="Times New Roman" w:hAnsi="Times New Roman" w:cs="Times New Roman"/>
          <w:spacing w:val="-3"/>
          <w:sz w:val="24"/>
          <w:szCs w:val="24"/>
        </w:rPr>
        <w:t xml:space="preserve">to </w:t>
      </w:r>
      <w:r>
        <w:rPr>
          <w:rFonts w:ascii="Times New Roman" w:hAnsi="Times New Roman" w:cs="Times New Roman"/>
          <w:sz w:val="24"/>
          <w:szCs w:val="24"/>
        </w:rPr>
        <w:t xml:space="preserve">be </w:t>
      </w:r>
      <w:r>
        <w:rPr>
          <w:rFonts w:ascii="Times New Roman" w:hAnsi="Times New Roman" w:cs="Times New Roman"/>
          <w:spacing w:val="-4"/>
          <w:sz w:val="24"/>
          <w:szCs w:val="24"/>
        </w:rPr>
        <w:t>MCO</w:t>
      </w:r>
      <w:r>
        <w:rPr>
          <w:rFonts w:ascii="Times New Roman" w:hAnsi="Times New Roman" w:cs="Times New Roman"/>
          <w:spacing w:val="52"/>
          <w:sz w:val="24"/>
          <w:szCs w:val="24"/>
        </w:rPr>
        <w:t xml:space="preserve"> </w:t>
      </w:r>
      <w:r>
        <w:rPr>
          <w:rFonts w:ascii="Times New Roman" w:hAnsi="Times New Roman" w:cs="Times New Roman"/>
          <w:spacing w:val="-5"/>
          <w:sz w:val="24"/>
          <w:szCs w:val="24"/>
        </w:rPr>
        <w:t xml:space="preserve">involvement, </w:t>
      </w:r>
      <w:r>
        <w:rPr>
          <w:rFonts w:ascii="Times New Roman" w:hAnsi="Times New Roman" w:cs="Times New Roman"/>
          <w:sz w:val="24"/>
          <w:szCs w:val="24"/>
        </w:rPr>
        <w:t xml:space="preserve">so </w:t>
      </w:r>
      <w:r>
        <w:rPr>
          <w:rFonts w:ascii="Times New Roman" w:hAnsi="Times New Roman" w:cs="Times New Roman"/>
          <w:spacing w:val="-3"/>
          <w:sz w:val="24"/>
          <w:szCs w:val="24"/>
        </w:rPr>
        <w:t xml:space="preserve">unless </w:t>
      </w:r>
      <w:r>
        <w:rPr>
          <w:rFonts w:ascii="Times New Roman" w:hAnsi="Times New Roman" w:cs="Times New Roman"/>
          <w:sz w:val="24"/>
          <w:szCs w:val="24"/>
        </w:rPr>
        <w:t xml:space="preserve">a plan is an </w:t>
      </w:r>
      <w:r>
        <w:rPr>
          <w:rFonts w:ascii="Times New Roman" w:hAnsi="Times New Roman" w:cs="Times New Roman"/>
          <w:spacing w:val="-3"/>
          <w:sz w:val="24"/>
          <w:szCs w:val="24"/>
        </w:rPr>
        <w:t xml:space="preserve">Alternative Benefit </w:t>
      </w:r>
      <w:r>
        <w:rPr>
          <w:rFonts w:ascii="Times New Roman" w:hAnsi="Times New Roman" w:cs="Times New Roman"/>
          <w:sz w:val="24"/>
          <w:szCs w:val="24"/>
        </w:rPr>
        <w:t>Plan (</w:t>
      </w:r>
      <w:proofErr w:type="spellStart"/>
      <w:r>
        <w:rPr>
          <w:rFonts w:ascii="Times New Roman" w:hAnsi="Times New Roman" w:cs="Times New Roman"/>
          <w:sz w:val="24"/>
          <w:szCs w:val="24"/>
        </w:rPr>
        <w:t>CarePlus</w:t>
      </w:r>
      <w:proofErr w:type="spellEnd"/>
      <w:r>
        <w:rPr>
          <w:rFonts w:ascii="Times New Roman" w:hAnsi="Times New Roman" w:cs="Times New Roman"/>
          <w:sz w:val="24"/>
          <w:szCs w:val="24"/>
        </w:rPr>
        <w:t xml:space="preserve">) or a </w:t>
      </w:r>
      <w:r>
        <w:rPr>
          <w:rFonts w:ascii="Times New Roman" w:hAnsi="Times New Roman" w:cs="Times New Roman"/>
          <w:spacing w:val="-5"/>
          <w:sz w:val="24"/>
          <w:szCs w:val="24"/>
        </w:rPr>
        <w:t xml:space="preserve">CHIP </w:t>
      </w:r>
      <w:r>
        <w:rPr>
          <w:rFonts w:ascii="Times New Roman" w:hAnsi="Times New Roman" w:cs="Times New Roman"/>
          <w:sz w:val="24"/>
          <w:szCs w:val="24"/>
        </w:rPr>
        <w:t xml:space="preserve">plan, </w:t>
      </w:r>
      <w:r>
        <w:rPr>
          <w:rFonts w:ascii="Times New Roman" w:hAnsi="Times New Roman" w:cs="Times New Roman"/>
          <w:spacing w:val="-4"/>
          <w:sz w:val="24"/>
          <w:szCs w:val="24"/>
        </w:rPr>
        <w:t xml:space="preserve">the </w:t>
      </w:r>
      <w:r>
        <w:rPr>
          <w:rFonts w:ascii="Times New Roman" w:hAnsi="Times New Roman" w:cs="Times New Roman"/>
          <w:sz w:val="24"/>
          <w:szCs w:val="24"/>
        </w:rPr>
        <w:t xml:space="preserve">Medicaid parity rule </w:t>
      </w:r>
      <w:r>
        <w:rPr>
          <w:rFonts w:ascii="Times New Roman" w:hAnsi="Times New Roman" w:cs="Times New Roman"/>
          <w:spacing w:val="-4"/>
          <w:sz w:val="24"/>
          <w:szCs w:val="24"/>
        </w:rPr>
        <w:t xml:space="preserve">may not </w:t>
      </w:r>
      <w:r>
        <w:rPr>
          <w:rFonts w:ascii="Times New Roman" w:hAnsi="Times New Roman" w:cs="Times New Roman"/>
          <w:sz w:val="24"/>
          <w:szCs w:val="24"/>
        </w:rPr>
        <w:t xml:space="preserve">strictly apply. However, even if parity is </w:t>
      </w:r>
      <w:r>
        <w:rPr>
          <w:rFonts w:ascii="Times New Roman" w:hAnsi="Times New Roman" w:cs="Times New Roman"/>
          <w:spacing w:val="-4"/>
          <w:sz w:val="24"/>
          <w:szCs w:val="24"/>
        </w:rPr>
        <w:t xml:space="preserve">not </w:t>
      </w:r>
      <w:r>
        <w:rPr>
          <w:rFonts w:ascii="Times New Roman" w:hAnsi="Times New Roman" w:cs="Times New Roman"/>
          <w:sz w:val="24"/>
          <w:szCs w:val="24"/>
        </w:rPr>
        <w:t xml:space="preserve">required of </w:t>
      </w:r>
      <w:r>
        <w:rPr>
          <w:rFonts w:ascii="Times New Roman" w:hAnsi="Times New Roman" w:cs="Times New Roman"/>
          <w:spacing w:val="-3"/>
          <w:sz w:val="24"/>
          <w:szCs w:val="24"/>
        </w:rPr>
        <w:t xml:space="preserve">Model </w:t>
      </w:r>
      <w:r>
        <w:rPr>
          <w:rFonts w:ascii="Times New Roman" w:hAnsi="Times New Roman" w:cs="Times New Roman"/>
          <w:spacing w:val="-5"/>
          <w:sz w:val="24"/>
          <w:szCs w:val="24"/>
        </w:rPr>
        <w:t xml:space="preserve">B, </w:t>
      </w:r>
      <w:r>
        <w:rPr>
          <w:rFonts w:ascii="Times New Roman" w:hAnsi="Times New Roman" w:cs="Times New Roman"/>
          <w:sz w:val="24"/>
          <w:szCs w:val="24"/>
        </w:rPr>
        <w:t xml:space="preserve">we propose </w:t>
      </w:r>
      <w:r>
        <w:rPr>
          <w:rFonts w:ascii="Times New Roman" w:hAnsi="Times New Roman" w:cs="Times New Roman"/>
          <w:spacing w:val="-4"/>
          <w:sz w:val="24"/>
          <w:szCs w:val="24"/>
        </w:rPr>
        <w:t xml:space="preserve">the </w:t>
      </w:r>
      <w:r>
        <w:rPr>
          <w:rFonts w:ascii="Times New Roman" w:hAnsi="Times New Roman" w:cs="Times New Roman"/>
          <w:sz w:val="24"/>
          <w:szCs w:val="24"/>
        </w:rPr>
        <w:t xml:space="preserve">inclusion of a parity </w:t>
      </w:r>
      <w:r>
        <w:rPr>
          <w:rFonts w:ascii="Times New Roman" w:hAnsi="Times New Roman" w:cs="Times New Roman"/>
          <w:spacing w:val="-3"/>
          <w:sz w:val="24"/>
          <w:szCs w:val="24"/>
        </w:rPr>
        <w:t xml:space="preserve">compliance contract </w:t>
      </w:r>
      <w:r>
        <w:rPr>
          <w:rFonts w:ascii="Times New Roman" w:hAnsi="Times New Roman" w:cs="Times New Roman"/>
          <w:sz w:val="24"/>
          <w:szCs w:val="24"/>
        </w:rPr>
        <w:t xml:space="preserve">provision </w:t>
      </w:r>
      <w:r>
        <w:rPr>
          <w:rFonts w:ascii="Times New Roman" w:hAnsi="Times New Roman" w:cs="Times New Roman"/>
          <w:spacing w:val="2"/>
          <w:sz w:val="24"/>
          <w:szCs w:val="24"/>
        </w:rPr>
        <w:t xml:space="preserve">in </w:t>
      </w:r>
      <w:r>
        <w:rPr>
          <w:rFonts w:ascii="Times New Roman" w:hAnsi="Times New Roman" w:cs="Times New Roman"/>
          <w:spacing w:val="-5"/>
          <w:sz w:val="24"/>
          <w:szCs w:val="24"/>
        </w:rPr>
        <w:t xml:space="preserve">the </w:t>
      </w:r>
      <w:r>
        <w:rPr>
          <w:rFonts w:ascii="Times New Roman" w:hAnsi="Times New Roman" w:cs="Times New Roman"/>
          <w:spacing w:val="-3"/>
          <w:sz w:val="24"/>
          <w:szCs w:val="24"/>
        </w:rPr>
        <w:t xml:space="preserve">MassHealth-Model </w:t>
      </w:r>
      <w:r>
        <w:rPr>
          <w:rFonts w:ascii="Times New Roman" w:hAnsi="Times New Roman" w:cs="Times New Roman"/>
          <w:sz w:val="24"/>
          <w:szCs w:val="24"/>
        </w:rPr>
        <w:t xml:space="preserve">B </w:t>
      </w:r>
      <w:r>
        <w:rPr>
          <w:rFonts w:ascii="Times New Roman" w:hAnsi="Times New Roman" w:cs="Times New Roman"/>
          <w:spacing w:val="-5"/>
          <w:sz w:val="24"/>
          <w:szCs w:val="24"/>
        </w:rPr>
        <w:t xml:space="preserve">ACO, </w:t>
      </w:r>
      <w:r>
        <w:rPr>
          <w:rFonts w:ascii="Times New Roman" w:hAnsi="Times New Roman" w:cs="Times New Roman"/>
          <w:sz w:val="24"/>
          <w:szCs w:val="24"/>
        </w:rPr>
        <w:t xml:space="preserve">as </w:t>
      </w:r>
      <w:r>
        <w:rPr>
          <w:rFonts w:ascii="Times New Roman" w:hAnsi="Times New Roman" w:cs="Times New Roman"/>
          <w:spacing w:val="-5"/>
          <w:sz w:val="24"/>
          <w:szCs w:val="24"/>
        </w:rPr>
        <w:t xml:space="preserve">EOHHS </w:t>
      </w:r>
      <w:r>
        <w:rPr>
          <w:rFonts w:ascii="Times New Roman" w:hAnsi="Times New Roman" w:cs="Times New Roman"/>
          <w:spacing w:val="-3"/>
          <w:sz w:val="24"/>
          <w:szCs w:val="24"/>
        </w:rPr>
        <w:t xml:space="preserve">has done </w:t>
      </w:r>
      <w:r>
        <w:rPr>
          <w:rFonts w:ascii="Times New Roman" w:hAnsi="Times New Roman" w:cs="Times New Roman"/>
          <w:sz w:val="24"/>
          <w:szCs w:val="24"/>
        </w:rPr>
        <w:t xml:space="preserve">with </w:t>
      </w:r>
      <w:r>
        <w:rPr>
          <w:rFonts w:ascii="Times New Roman" w:hAnsi="Times New Roman" w:cs="Times New Roman"/>
          <w:spacing w:val="-5"/>
          <w:sz w:val="24"/>
          <w:szCs w:val="24"/>
        </w:rPr>
        <w:t xml:space="preserve">the </w:t>
      </w:r>
      <w:r>
        <w:rPr>
          <w:rFonts w:ascii="Times New Roman" w:hAnsi="Times New Roman" w:cs="Times New Roman"/>
          <w:spacing w:val="-3"/>
          <w:sz w:val="24"/>
          <w:szCs w:val="24"/>
        </w:rPr>
        <w:t xml:space="preserve">OneCare </w:t>
      </w:r>
      <w:r>
        <w:rPr>
          <w:rFonts w:ascii="Times New Roman" w:hAnsi="Times New Roman" w:cs="Times New Roman"/>
          <w:spacing w:val="15"/>
          <w:sz w:val="24"/>
          <w:szCs w:val="24"/>
        </w:rPr>
        <w:t xml:space="preserve"> </w:t>
      </w:r>
      <w:r>
        <w:rPr>
          <w:rFonts w:ascii="Times New Roman" w:hAnsi="Times New Roman" w:cs="Times New Roman"/>
          <w:sz w:val="24"/>
          <w:szCs w:val="24"/>
        </w:rPr>
        <w:t>plan.</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ListParagraph"/>
        <w:numPr>
          <w:ilvl w:val="0"/>
          <w:numId w:val="47"/>
        </w:numPr>
        <w:tabs>
          <w:tab w:val="left" w:pos="480"/>
        </w:tabs>
        <w:kinsoku w:val="0"/>
        <w:overflowPunct w:val="0"/>
        <w:rPr>
          <w:i/>
          <w:iCs/>
        </w:rPr>
      </w:pPr>
      <w:r>
        <w:rPr>
          <w:i/>
          <w:iCs/>
        </w:rPr>
        <w:t>Behavioral Health Community</w:t>
      </w:r>
      <w:r>
        <w:rPr>
          <w:i/>
          <w:iCs/>
          <w:spacing w:val="-30"/>
        </w:rPr>
        <w:t xml:space="preserve"> </w:t>
      </w:r>
      <w:r>
        <w:rPr>
          <w:i/>
          <w:iCs/>
        </w:rPr>
        <w:t>Partners</w:t>
      </w:r>
    </w:p>
    <w:p w:rsidR="002C5025" w:rsidRDefault="002C5025">
      <w:pPr>
        <w:pStyle w:val="BodyText"/>
        <w:kinsoku w:val="0"/>
        <w:overflowPunct w:val="0"/>
        <w:spacing w:before="2"/>
        <w:rPr>
          <w:rFonts w:ascii="Times New Roman" w:hAnsi="Times New Roman" w:cs="Times New Roman"/>
          <w:i/>
          <w:iCs/>
          <w:sz w:val="24"/>
          <w:szCs w:val="24"/>
        </w:rPr>
      </w:pPr>
    </w:p>
    <w:p w:rsidR="002C5025" w:rsidRDefault="002C5025">
      <w:pPr>
        <w:pStyle w:val="BodyText"/>
        <w:kinsoku w:val="0"/>
        <w:overflowPunct w:val="0"/>
        <w:ind w:left="120" w:right="369"/>
        <w:rPr>
          <w:rFonts w:ascii="Times New Roman" w:hAnsi="Times New Roman" w:cs="Times New Roman"/>
          <w:sz w:val="24"/>
          <w:szCs w:val="24"/>
        </w:rPr>
      </w:pPr>
      <w:r>
        <w:rPr>
          <w:rFonts w:ascii="Times New Roman" w:hAnsi="Times New Roman" w:cs="Times New Roman"/>
          <w:sz w:val="24"/>
          <w:szCs w:val="24"/>
        </w:rPr>
        <w:t>The EOHHS proposal appropriately requires that MCOs engage and contract with behavioral health organizations to serve MassHealth members with complex behavioral health needs. The behavioral health Community Partners will be critical to ACOs providing adequate and appropriate behavioral health services. Therefore, we believe it is appropriate that a significant portion of DSRIP  funding  be directed toward the Community Partners.</w:t>
      </w:r>
    </w:p>
    <w:p w:rsidR="002C5025" w:rsidRDefault="002C5025">
      <w:pPr>
        <w:pStyle w:val="BodyText"/>
        <w:kinsoku w:val="0"/>
        <w:overflowPunct w:val="0"/>
        <w:spacing w:before="2"/>
        <w:rPr>
          <w:rFonts w:ascii="Times New Roman" w:hAnsi="Times New Roman" w:cs="Times New Roman"/>
          <w:sz w:val="18"/>
          <w:szCs w:val="18"/>
        </w:rPr>
      </w:pPr>
    </w:p>
    <w:p w:rsidR="002C5025" w:rsidRDefault="002C5025">
      <w:pPr>
        <w:pStyle w:val="BodyText"/>
        <w:kinsoku w:val="0"/>
        <w:overflowPunct w:val="0"/>
        <w:spacing w:before="69"/>
        <w:ind w:left="122"/>
        <w:rPr>
          <w:rFonts w:ascii="Times New Roman" w:hAnsi="Times New Roman" w:cs="Times New Roman"/>
          <w:spacing w:val="-8"/>
          <w:sz w:val="24"/>
          <w:szCs w:val="24"/>
        </w:rPr>
      </w:pPr>
      <w:r>
        <w:rPr>
          <w:rFonts w:ascii="Times New Roman" w:hAnsi="Times New Roman" w:cs="Times New Roman"/>
          <w:spacing w:val="-8"/>
          <w:sz w:val="24"/>
          <w:szCs w:val="24"/>
          <w:u w:val="single"/>
        </w:rPr>
        <w:t xml:space="preserve">Language  </w:t>
      </w:r>
      <w:r>
        <w:rPr>
          <w:rFonts w:ascii="Times New Roman" w:hAnsi="Times New Roman" w:cs="Times New Roman"/>
          <w:sz w:val="24"/>
          <w:szCs w:val="24"/>
          <w:u w:val="single"/>
        </w:rPr>
        <w:t xml:space="preserve">Access </w:t>
      </w:r>
      <w:r>
        <w:rPr>
          <w:rFonts w:ascii="Times New Roman" w:hAnsi="Times New Roman" w:cs="Times New Roman"/>
          <w:spacing w:val="-4"/>
          <w:sz w:val="24"/>
          <w:szCs w:val="24"/>
          <w:u w:val="single"/>
        </w:rPr>
        <w:t xml:space="preserve">and </w:t>
      </w:r>
      <w:r>
        <w:rPr>
          <w:rFonts w:ascii="Times New Roman" w:hAnsi="Times New Roman" w:cs="Times New Roman"/>
          <w:spacing w:val="-5"/>
          <w:sz w:val="24"/>
          <w:szCs w:val="24"/>
          <w:u w:val="single"/>
        </w:rPr>
        <w:t>Cultural</w:t>
      </w:r>
      <w:r>
        <w:rPr>
          <w:rFonts w:ascii="Times New Roman" w:hAnsi="Times New Roman" w:cs="Times New Roman"/>
          <w:spacing w:val="45"/>
          <w:sz w:val="24"/>
          <w:szCs w:val="24"/>
          <w:u w:val="single"/>
        </w:rPr>
        <w:t xml:space="preserve"> </w:t>
      </w:r>
      <w:r>
        <w:rPr>
          <w:rFonts w:ascii="Times New Roman" w:hAnsi="Times New Roman" w:cs="Times New Roman"/>
          <w:spacing w:val="-4"/>
          <w:sz w:val="24"/>
          <w:szCs w:val="24"/>
          <w:u w:val="single"/>
        </w:rPr>
        <w:t>Competency</w:t>
      </w:r>
    </w:p>
    <w:p w:rsidR="002C5025" w:rsidRDefault="002C5025">
      <w:pPr>
        <w:pStyle w:val="BodyText"/>
        <w:kinsoku w:val="0"/>
        <w:overflowPunct w:val="0"/>
        <w:ind w:left="120" w:right="675"/>
        <w:rPr>
          <w:rFonts w:ascii="Times New Roman" w:hAnsi="Times New Roman" w:cs="Times New Roman"/>
          <w:spacing w:val="-4"/>
          <w:sz w:val="24"/>
          <w:szCs w:val="24"/>
        </w:rPr>
      </w:pPr>
      <w:r>
        <w:rPr>
          <w:rFonts w:ascii="Times New Roman" w:hAnsi="Times New Roman" w:cs="Times New Roman"/>
          <w:spacing w:val="-6"/>
          <w:sz w:val="24"/>
          <w:szCs w:val="24"/>
        </w:rPr>
        <w:t xml:space="preserve">HLA </w:t>
      </w:r>
      <w:r>
        <w:rPr>
          <w:rFonts w:ascii="Times New Roman" w:hAnsi="Times New Roman" w:cs="Times New Roman"/>
          <w:spacing w:val="-3"/>
          <w:sz w:val="24"/>
          <w:szCs w:val="24"/>
        </w:rPr>
        <w:t xml:space="preserve">strongly concurs </w:t>
      </w:r>
      <w:r>
        <w:rPr>
          <w:rFonts w:ascii="Times New Roman" w:hAnsi="Times New Roman" w:cs="Times New Roman"/>
          <w:sz w:val="24"/>
          <w:szCs w:val="24"/>
        </w:rPr>
        <w:t xml:space="preserve">with </w:t>
      </w:r>
      <w:r>
        <w:rPr>
          <w:rFonts w:ascii="Times New Roman" w:hAnsi="Times New Roman" w:cs="Times New Roman"/>
          <w:spacing w:val="-5"/>
          <w:sz w:val="24"/>
          <w:szCs w:val="24"/>
        </w:rPr>
        <w:t xml:space="preserve">the </w:t>
      </w:r>
      <w:r>
        <w:rPr>
          <w:rFonts w:ascii="Times New Roman" w:hAnsi="Times New Roman" w:cs="Times New Roman"/>
          <w:sz w:val="24"/>
          <w:szCs w:val="24"/>
        </w:rPr>
        <w:t xml:space="preserve">Waiver </w:t>
      </w:r>
      <w:r>
        <w:rPr>
          <w:rFonts w:ascii="Times New Roman" w:hAnsi="Times New Roman" w:cs="Times New Roman"/>
          <w:spacing w:val="-3"/>
          <w:sz w:val="24"/>
          <w:szCs w:val="24"/>
        </w:rPr>
        <w:t xml:space="preserve">Request’s </w:t>
      </w:r>
      <w:r>
        <w:rPr>
          <w:rFonts w:ascii="Times New Roman" w:hAnsi="Times New Roman" w:cs="Times New Roman"/>
          <w:spacing w:val="-5"/>
          <w:sz w:val="24"/>
          <w:szCs w:val="24"/>
        </w:rPr>
        <w:t xml:space="preserve">statement </w:t>
      </w:r>
      <w:r>
        <w:rPr>
          <w:rFonts w:ascii="Times New Roman" w:hAnsi="Times New Roman" w:cs="Times New Roman"/>
          <w:spacing w:val="-4"/>
          <w:sz w:val="24"/>
          <w:szCs w:val="24"/>
        </w:rPr>
        <w:t xml:space="preserve">that </w:t>
      </w:r>
      <w:r>
        <w:rPr>
          <w:rFonts w:ascii="Times New Roman" w:hAnsi="Times New Roman" w:cs="Times New Roman"/>
          <w:spacing w:val="-3"/>
          <w:sz w:val="24"/>
          <w:szCs w:val="24"/>
        </w:rPr>
        <w:t xml:space="preserve">state </w:t>
      </w:r>
      <w:r>
        <w:rPr>
          <w:rFonts w:ascii="Times New Roman" w:hAnsi="Times New Roman" w:cs="Times New Roman"/>
          <w:spacing w:val="-4"/>
          <w:sz w:val="24"/>
          <w:szCs w:val="24"/>
        </w:rPr>
        <w:t xml:space="preserve">and </w:t>
      </w:r>
      <w:r>
        <w:rPr>
          <w:rFonts w:ascii="Times New Roman" w:hAnsi="Times New Roman" w:cs="Times New Roman"/>
          <w:sz w:val="24"/>
          <w:szCs w:val="24"/>
        </w:rPr>
        <w:t xml:space="preserve">federal law “will require even experienced </w:t>
      </w:r>
      <w:r>
        <w:rPr>
          <w:rFonts w:ascii="Times New Roman" w:hAnsi="Times New Roman" w:cs="Times New Roman"/>
          <w:spacing w:val="-5"/>
          <w:sz w:val="24"/>
          <w:szCs w:val="24"/>
        </w:rPr>
        <w:t xml:space="preserve">ACOs </w:t>
      </w:r>
      <w:r>
        <w:rPr>
          <w:rFonts w:ascii="Times New Roman" w:hAnsi="Times New Roman" w:cs="Times New Roman"/>
          <w:spacing w:val="-3"/>
          <w:sz w:val="24"/>
          <w:szCs w:val="24"/>
        </w:rPr>
        <w:t xml:space="preserve">to </w:t>
      </w:r>
      <w:r>
        <w:rPr>
          <w:rFonts w:ascii="Times New Roman" w:hAnsi="Times New Roman" w:cs="Times New Roman"/>
          <w:spacing w:val="-6"/>
          <w:sz w:val="24"/>
          <w:szCs w:val="24"/>
        </w:rPr>
        <w:t xml:space="preserve">make  investments  </w:t>
      </w:r>
      <w:r>
        <w:rPr>
          <w:rFonts w:ascii="Times New Roman" w:hAnsi="Times New Roman" w:cs="Times New Roman"/>
          <w:sz w:val="24"/>
          <w:szCs w:val="24"/>
        </w:rPr>
        <w:t xml:space="preserve">in </w:t>
      </w:r>
      <w:r>
        <w:rPr>
          <w:rFonts w:ascii="Times New Roman" w:hAnsi="Times New Roman" w:cs="Times New Roman"/>
          <w:spacing w:val="-4"/>
          <w:sz w:val="24"/>
          <w:szCs w:val="24"/>
        </w:rPr>
        <w:t xml:space="preserve">new </w:t>
      </w:r>
      <w:r>
        <w:rPr>
          <w:rFonts w:ascii="Times New Roman" w:hAnsi="Times New Roman" w:cs="Times New Roman"/>
          <w:sz w:val="24"/>
          <w:szCs w:val="24"/>
        </w:rPr>
        <w:t xml:space="preserve">areas, </w:t>
      </w:r>
      <w:r>
        <w:rPr>
          <w:rFonts w:ascii="Times New Roman" w:hAnsi="Times New Roman" w:cs="Times New Roman"/>
          <w:spacing w:val="-3"/>
          <w:sz w:val="24"/>
          <w:szCs w:val="24"/>
        </w:rPr>
        <w:t xml:space="preserve">including </w:t>
      </w:r>
      <w:r>
        <w:rPr>
          <w:rFonts w:ascii="Times New Roman" w:hAnsi="Times New Roman" w:cs="Times New Roman"/>
          <w:sz w:val="24"/>
          <w:szCs w:val="24"/>
        </w:rPr>
        <w:t xml:space="preserve">translation </w:t>
      </w:r>
      <w:r>
        <w:rPr>
          <w:rFonts w:ascii="Times New Roman" w:hAnsi="Times New Roman" w:cs="Times New Roman"/>
          <w:spacing w:val="-4"/>
          <w:sz w:val="24"/>
          <w:szCs w:val="24"/>
        </w:rPr>
        <w:t>and</w:t>
      </w:r>
    </w:p>
    <w:p w:rsidR="002C5025" w:rsidRDefault="002C5025">
      <w:pPr>
        <w:pStyle w:val="BodyText"/>
        <w:kinsoku w:val="0"/>
        <w:overflowPunct w:val="0"/>
        <w:spacing w:before="62"/>
        <w:ind w:right="108"/>
        <w:jc w:val="right"/>
        <w:rPr>
          <w:rFonts w:ascii="Times New Roman" w:hAnsi="Times New Roman" w:cs="Times New Roman"/>
          <w:sz w:val="24"/>
          <w:szCs w:val="24"/>
        </w:rPr>
      </w:pPr>
      <w:r>
        <w:rPr>
          <w:rFonts w:ascii="Times New Roman" w:hAnsi="Times New Roman" w:cs="Times New Roman"/>
          <w:sz w:val="24"/>
          <w:szCs w:val="24"/>
        </w:rPr>
        <w:t>3</w:t>
      </w:r>
    </w:p>
    <w:p w:rsidR="002C5025" w:rsidRDefault="002C5025">
      <w:pPr>
        <w:pStyle w:val="BodyText"/>
        <w:kinsoku w:val="0"/>
        <w:overflowPunct w:val="0"/>
        <w:spacing w:before="62"/>
        <w:ind w:right="108"/>
        <w:jc w:val="right"/>
        <w:rPr>
          <w:rFonts w:ascii="Times New Roman" w:hAnsi="Times New Roman" w:cs="Times New Roman"/>
          <w:sz w:val="24"/>
          <w:szCs w:val="24"/>
        </w:rPr>
        <w:sectPr w:rsidR="002C5025">
          <w:pgSz w:w="12240" w:h="15840"/>
          <w:pgMar w:top="920" w:right="1320" w:bottom="280" w:left="1320" w:header="720" w:footer="720" w:gutter="0"/>
          <w:cols w:space="720"/>
          <w:noEndnote/>
        </w:sectPr>
      </w:pPr>
    </w:p>
    <w:p w:rsidR="002C5025" w:rsidRDefault="002C5025">
      <w:pPr>
        <w:pStyle w:val="BodyText"/>
        <w:kinsoku w:val="0"/>
        <w:overflowPunct w:val="0"/>
        <w:spacing w:before="48"/>
        <w:ind w:left="119" w:right="301"/>
        <w:rPr>
          <w:rFonts w:ascii="Times New Roman" w:hAnsi="Times New Roman" w:cs="Times New Roman"/>
          <w:spacing w:val="-6"/>
          <w:sz w:val="24"/>
          <w:szCs w:val="24"/>
        </w:rPr>
      </w:pPr>
      <w:r>
        <w:rPr>
          <w:rFonts w:ascii="Times New Roman" w:hAnsi="Times New Roman" w:cs="Times New Roman"/>
          <w:spacing w:val="-6"/>
          <w:sz w:val="24"/>
          <w:szCs w:val="24"/>
        </w:rPr>
        <w:lastRenderedPageBreak/>
        <w:t xml:space="preserve">language </w:t>
      </w:r>
      <w:r>
        <w:rPr>
          <w:rFonts w:ascii="Times New Roman" w:hAnsi="Times New Roman" w:cs="Times New Roman"/>
          <w:sz w:val="24"/>
          <w:szCs w:val="24"/>
        </w:rPr>
        <w:t>services.”</w:t>
      </w:r>
      <w:r>
        <w:rPr>
          <w:rFonts w:ascii="Times New Roman" w:hAnsi="Times New Roman" w:cs="Times New Roman"/>
          <w:position w:val="8"/>
          <w:sz w:val="15"/>
          <w:szCs w:val="15"/>
        </w:rPr>
        <w:t xml:space="preserve">1 </w:t>
      </w:r>
      <w:r>
        <w:rPr>
          <w:rFonts w:ascii="Times New Roman" w:hAnsi="Times New Roman" w:cs="Times New Roman"/>
          <w:spacing w:val="-6"/>
          <w:sz w:val="24"/>
          <w:szCs w:val="24"/>
        </w:rPr>
        <w:t xml:space="preserve">It </w:t>
      </w:r>
      <w:r>
        <w:rPr>
          <w:rFonts w:ascii="Times New Roman" w:hAnsi="Times New Roman" w:cs="Times New Roman"/>
          <w:spacing w:val="3"/>
          <w:sz w:val="24"/>
          <w:szCs w:val="24"/>
        </w:rPr>
        <w:t xml:space="preserve">will </w:t>
      </w:r>
      <w:r>
        <w:rPr>
          <w:rFonts w:ascii="Times New Roman" w:hAnsi="Times New Roman" w:cs="Times New Roman"/>
          <w:sz w:val="24"/>
          <w:szCs w:val="24"/>
        </w:rPr>
        <w:t xml:space="preserve">be critical </w:t>
      </w:r>
      <w:r>
        <w:rPr>
          <w:rFonts w:ascii="Times New Roman" w:hAnsi="Times New Roman" w:cs="Times New Roman"/>
          <w:spacing w:val="-3"/>
          <w:sz w:val="24"/>
          <w:szCs w:val="24"/>
        </w:rPr>
        <w:t xml:space="preserve">for </w:t>
      </w:r>
      <w:r>
        <w:rPr>
          <w:rFonts w:ascii="Times New Roman" w:hAnsi="Times New Roman" w:cs="Times New Roman"/>
          <w:sz w:val="24"/>
          <w:szCs w:val="24"/>
        </w:rPr>
        <w:t xml:space="preserve">MassHealth </w:t>
      </w:r>
      <w:r>
        <w:rPr>
          <w:rFonts w:ascii="Times New Roman" w:hAnsi="Times New Roman" w:cs="Times New Roman"/>
          <w:spacing w:val="-3"/>
          <w:sz w:val="24"/>
          <w:szCs w:val="24"/>
        </w:rPr>
        <w:t xml:space="preserve">to ensure </w:t>
      </w:r>
      <w:r>
        <w:rPr>
          <w:rFonts w:ascii="Times New Roman" w:hAnsi="Times New Roman" w:cs="Times New Roman"/>
          <w:spacing w:val="-4"/>
          <w:sz w:val="24"/>
          <w:szCs w:val="24"/>
        </w:rPr>
        <w:t xml:space="preserve">that </w:t>
      </w:r>
      <w:r>
        <w:rPr>
          <w:rFonts w:ascii="Times New Roman" w:hAnsi="Times New Roman" w:cs="Times New Roman"/>
          <w:spacing w:val="-5"/>
          <w:sz w:val="24"/>
          <w:szCs w:val="24"/>
        </w:rPr>
        <w:t xml:space="preserve">ACOs </w:t>
      </w:r>
      <w:r>
        <w:rPr>
          <w:rFonts w:ascii="Times New Roman" w:hAnsi="Times New Roman" w:cs="Times New Roman"/>
          <w:spacing w:val="-3"/>
          <w:sz w:val="24"/>
          <w:szCs w:val="24"/>
        </w:rPr>
        <w:t xml:space="preserve">offer adequate </w:t>
      </w:r>
      <w:r>
        <w:rPr>
          <w:rFonts w:ascii="Times New Roman" w:hAnsi="Times New Roman" w:cs="Times New Roman"/>
          <w:sz w:val="24"/>
          <w:szCs w:val="24"/>
        </w:rPr>
        <w:t xml:space="preserve">interpretation </w:t>
      </w:r>
      <w:r>
        <w:rPr>
          <w:rFonts w:ascii="Times New Roman" w:hAnsi="Times New Roman" w:cs="Times New Roman"/>
          <w:spacing w:val="-4"/>
          <w:sz w:val="24"/>
          <w:szCs w:val="24"/>
        </w:rPr>
        <w:t xml:space="preserve">and </w:t>
      </w:r>
      <w:r>
        <w:rPr>
          <w:rFonts w:ascii="Times New Roman" w:hAnsi="Times New Roman" w:cs="Times New Roman"/>
          <w:sz w:val="24"/>
          <w:szCs w:val="24"/>
        </w:rPr>
        <w:t xml:space="preserve">translation services, as well as culturally </w:t>
      </w:r>
      <w:r>
        <w:rPr>
          <w:rFonts w:ascii="Times New Roman" w:hAnsi="Times New Roman" w:cs="Times New Roman"/>
          <w:spacing w:val="-5"/>
          <w:sz w:val="24"/>
          <w:szCs w:val="24"/>
        </w:rPr>
        <w:t xml:space="preserve">competent </w:t>
      </w:r>
      <w:r>
        <w:rPr>
          <w:rFonts w:ascii="Times New Roman" w:hAnsi="Times New Roman" w:cs="Times New Roman"/>
          <w:spacing w:val="-6"/>
          <w:sz w:val="24"/>
          <w:szCs w:val="24"/>
        </w:rPr>
        <w:t xml:space="preserve">member </w:t>
      </w:r>
      <w:r>
        <w:rPr>
          <w:rFonts w:ascii="Times New Roman" w:hAnsi="Times New Roman" w:cs="Times New Roman"/>
          <w:sz w:val="24"/>
          <w:szCs w:val="24"/>
        </w:rPr>
        <w:t xml:space="preserve">relations, </w:t>
      </w:r>
      <w:r>
        <w:rPr>
          <w:rFonts w:ascii="Times New Roman" w:hAnsi="Times New Roman" w:cs="Times New Roman"/>
          <w:spacing w:val="-5"/>
          <w:sz w:val="24"/>
          <w:szCs w:val="24"/>
        </w:rPr>
        <w:t xml:space="preserve">to guarantee </w:t>
      </w:r>
      <w:r>
        <w:rPr>
          <w:rFonts w:ascii="Times New Roman" w:hAnsi="Times New Roman" w:cs="Times New Roman"/>
          <w:spacing w:val="-3"/>
          <w:sz w:val="24"/>
          <w:szCs w:val="24"/>
        </w:rPr>
        <w:t xml:space="preserve">equal </w:t>
      </w:r>
      <w:r>
        <w:rPr>
          <w:rFonts w:ascii="Times New Roman" w:hAnsi="Times New Roman" w:cs="Times New Roman"/>
          <w:sz w:val="24"/>
          <w:szCs w:val="24"/>
        </w:rPr>
        <w:t xml:space="preserve">access to care </w:t>
      </w:r>
      <w:r>
        <w:rPr>
          <w:rFonts w:ascii="Times New Roman" w:hAnsi="Times New Roman" w:cs="Times New Roman"/>
          <w:spacing w:val="-3"/>
          <w:sz w:val="24"/>
          <w:szCs w:val="24"/>
        </w:rPr>
        <w:t xml:space="preserve">for </w:t>
      </w:r>
      <w:r>
        <w:rPr>
          <w:rFonts w:ascii="Times New Roman" w:hAnsi="Times New Roman" w:cs="Times New Roman"/>
          <w:spacing w:val="-5"/>
          <w:sz w:val="24"/>
          <w:szCs w:val="24"/>
        </w:rPr>
        <w:t xml:space="preserve">members </w:t>
      </w:r>
      <w:r>
        <w:rPr>
          <w:rFonts w:ascii="Times New Roman" w:hAnsi="Times New Roman" w:cs="Times New Roman"/>
          <w:sz w:val="24"/>
          <w:szCs w:val="24"/>
        </w:rPr>
        <w:t xml:space="preserve">who speak </w:t>
      </w:r>
      <w:r>
        <w:rPr>
          <w:rFonts w:ascii="Times New Roman" w:hAnsi="Times New Roman" w:cs="Times New Roman"/>
          <w:spacing w:val="-5"/>
          <w:sz w:val="24"/>
          <w:szCs w:val="24"/>
        </w:rPr>
        <w:t xml:space="preserve">languages </w:t>
      </w:r>
      <w:r>
        <w:rPr>
          <w:rFonts w:ascii="Times New Roman" w:hAnsi="Times New Roman" w:cs="Times New Roman"/>
          <w:spacing w:val="-4"/>
          <w:sz w:val="24"/>
          <w:szCs w:val="24"/>
        </w:rPr>
        <w:t xml:space="preserve">other than </w:t>
      </w:r>
      <w:r>
        <w:rPr>
          <w:rFonts w:ascii="Times New Roman" w:hAnsi="Times New Roman" w:cs="Times New Roman"/>
          <w:spacing w:val="-5"/>
          <w:sz w:val="24"/>
          <w:szCs w:val="24"/>
        </w:rPr>
        <w:t xml:space="preserve">English. Improving </w:t>
      </w:r>
      <w:r>
        <w:rPr>
          <w:rFonts w:ascii="Times New Roman" w:hAnsi="Times New Roman" w:cs="Times New Roman"/>
          <w:spacing w:val="-3"/>
          <w:sz w:val="24"/>
          <w:szCs w:val="24"/>
        </w:rPr>
        <w:t xml:space="preserve">MassHealth’s </w:t>
      </w:r>
      <w:r>
        <w:rPr>
          <w:rFonts w:ascii="Times New Roman" w:hAnsi="Times New Roman" w:cs="Times New Roman"/>
          <w:spacing w:val="-6"/>
          <w:sz w:val="24"/>
          <w:szCs w:val="24"/>
        </w:rPr>
        <w:t xml:space="preserve">language </w:t>
      </w:r>
      <w:r>
        <w:rPr>
          <w:rFonts w:ascii="Times New Roman" w:hAnsi="Times New Roman" w:cs="Times New Roman"/>
          <w:sz w:val="24"/>
          <w:szCs w:val="24"/>
        </w:rPr>
        <w:t xml:space="preserve">access plan is </w:t>
      </w:r>
      <w:r>
        <w:rPr>
          <w:rFonts w:ascii="Times New Roman" w:hAnsi="Times New Roman" w:cs="Times New Roman"/>
          <w:spacing w:val="-5"/>
          <w:sz w:val="24"/>
          <w:szCs w:val="24"/>
        </w:rPr>
        <w:t xml:space="preserve">the </w:t>
      </w:r>
      <w:r>
        <w:rPr>
          <w:rFonts w:ascii="Times New Roman" w:hAnsi="Times New Roman" w:cs="Times New Roman"/>
          <w:sz w:val="24"/>
          <w:szCs w:val="24"/>
        </w:rPr>
        <w:t xml:space="preserve">first step in </w:t>
      </w:r>
      <w:r>
        <w:rPr>
          <w:rFonts w:ascii="Times New Roman" w:hAnsi="Times New Roman" w:cs="Times New Roman"/>
          <w:spacing w:val="-5"/>
          <w:sz w:val="24"/>
          <w:szCs w:val="24"/>
        </w:rPr>
        <w:t xml:space="preserve">ensuring </w:t>
      </w:r>
      <w:r>
        <w:rPr>
          <w:rFonts w:ascii="Times New Roman" w:hAnsi="Times New Roman" w:cs="Times New Roman"/>
          <w:sz w:val="24"/>
          <w:szCs w:val="24"/>
        </w:rPr>
        <w:t xml:space="preserve">adequate </w:t>
      </w:r>
      <w:r>
        <w:rPr>
          <w:rFonts w:ascii="Times New Roman" w:hAnsi="Times New Roman" w:cs="Times New Roman"/>
          <w:spacing w:val="-6"/>
          <w:sz w:val="24"/>
          <w:szCs w:val="24"/>
        </w:rPr>
        <w:t xml:space="preserve">language </w:t>
      </w:r>
      <w:r>
        <w:rPr>
          <w:rFonts w:ascii="Times New Roman" w:hAnsi="Times New Roman" w:cs="Times New Roman"/>
          <w:sz w:val="24"/>
          <w:szCs w:val="24"/>
        </w:rPr>
        <w:t xml:space="preserve">access – </w:t>
      </w:r>
      <w:r>
        <w:rPr>
          <w:rFonts w:ascii="Times New Roman" w:hAnsi="Times New Roman" w:cs="Times New Roman"/>
          <w:spacing w:val="4"/>
          <w:sz w:val="24"/>
          <w:szCs w:val="24"/>
        </w:rPr>
        <w:t xml:space="preserve">we </w:t>
      </w:r>
      <w:r>
        <w:rPr>
          <w:rFonts w:ascii="Times New Roman" w:hAnsi="Times New Roman" w:cs="Times New Roman"/>
          <w:sz w:val="24"/>
          <w:szCs w:val="24"/>
        </w:rPr>
        <w:t xml:space="preserve">fully endorse </w:t>
      </w:r>
      <w:r>
        <w:rPr>
          <w:rFonts w:ascii="Times New Roman" w:hAnsi="Times New Roman" w:cs="Times New Roman"/>
          <w:spacing w:val="-5"/>
          <w:sz w:val="24"/>
          <w:szCs w:val="24"/>
        </w:rPr>
        <w:t xml:space="preserve">the </w:t>
      </w:r>
      <w:r>
        <w:rPr>
          <w:rFonts w:ascii="Times New Roman" w:hAnsi="Times New Roman" w:cs="Times New Roman"/>
          <w:spacing w:val="-7"/>
          <w:sz w:val="24"/>
          <w:szCs w:val="24"/>
        </w:rPr>
        <w:t xml:space="preserve">comments </w:t>
      </w:r>
      <w:r>
        <w:rPr>
          <w:rFonts w:ascii="Times New Roman" w:hAnsi="Times New Roman" w:cs="Times New Roman"/>
          <w:sz w:val="24"/>
          <w:szCs w:val="24"/>
        </w:rPr>
        <w:t xml:space="preserve">on </w:t>
      </w:r>
      <w:r>
        <w:rPr>
          <w:rFonts w:ascii="Times New Roman" w:hAnsi="Times New Roman" w:cs="Times New Roman"/>
          <w:spacing w:val="-5"/>
          <w:sz w:val="24"/>
          <w:szCs w:val="24"/>
        </w:rPr>
        <w:t xml:space="preserve">the agency’s </w:t>
      </w:r>
      <w:r>
        <w:rPr>
          <w:rFonts w:ascii="Times New Roman" w:hAnsi="Times New Roman" w:cs="Times New Roman"/>
          <w:sz w:val="24"/>
          <w:szCs w:val="24"/>
        </w:rPr>
        <w:t xml:space="preserve">draft </w:t>
      </w:r>
      <w:r>
        <w:rPr>
          <w:rFonts w:ascii="Times New Roman" w:hAnsi="Times New Roman" w:cs="Times New Roman"/>
          <w:spacing w:val="-6"/>
          <w:sz w:val="24"/>
          <w:szCs w:val="24"/>
        </w:rPr>
        <w:t xml:space="preserve">language </w:t>
      </w:r>
      <w:r>
        <w:rPr>
          <w:rFonts w:ascii="Times New Roman" w:hAnsi="Times New Roman" w:cs="Times New Roman"/>
          <w:sz w:val="24"/>
          <w:szCs w:val="24"/>
        </w:rPr>
        <w:t xml:space="preserve">access plan </w:t>
      </w:r>
      <w:r>
        <w:rPr>
          <w:rFonts w:ascii="Times New Roman" w:hAnsi="Times New Roman" w:cs="Times New Roman"/>
          <w:spacing w:val="-5"/>
          <w:sz w:val="24"/>
          <w:szCs w:val="24"/>
        </w:rPr>
        <w:t xml:space="preserve">submitted </w:t>
      </w:r>
      <w:r>
        <w:rPr>
          <w:rFonts w:ascii="Times New Roman" w:hAnsi="Times New Roman" w:cs="Times New Roman"/>
          <w:sz w:val="24"/>
          <w:szCs w:val="24"/>
        </w:rPr>
        <w:t xml:space="preserve">by </w:t>
      </w:r>
      <w:r>
        <w:rPr>
          <w:rFonts w:ascii="Times New Roman" w:hAnsi="Times New Roman" w:cs="Times New Roman"/>
          <w:spacing w:val="-6"/>
          <w:sz w:val="24"/>
          <w:szCs w:val="24"/>
        </w:rPr>
        <w:t xml:space="preserve">MLRI </w:t>
      </w:r>
      <w:r>
        <w:rPr>
          <w:rFonts w:ascii="Times New Roman" w:hAnsi="Times New Roman" w:cs="Times New Roman"/>
          <w:sz w:val="24"/>
          <w:szCs w:val="24"/>
        </w:rPr>
        <w:t>on April 18, 2016.</w:t>
      </w:r>
      <w:r>
        <w:rPr>
          <w:rFonts w:ascii="Times New Roman" w:hAnsi="Times New Roman" w:cs="Times New Roman"/>
          <w:position w:val="8"/>
          <w:sz w:val="15"/>
          <w:szCs w:val="15"/>
        </w:rPr>
        <w:t xml:space="preserve">2 </w:t>
      </w:r>
      <w:r>
        <w:rPr>
          <w:rFonts w:ascii="Times New Roman" w:hAnsi="Times New Roman" w:cs="Times New Roman"/>
          <w:spacing w:val="-6"/>
          <w:sz w:val="24"/>
          <w:szCs w:val="24"/>
        </w:rPr>
        <w:t xml:space="preserve">HLA’s </w:t>
      </w:r>
      <w:r>
        <w:rPr>
          <w:rFonts w:ascii="Times New Roman" w:hAnsi="Times New Roman" w:cs="Times New Roman"/>
          <w:sz w:val="24"/>
          <w:szCs w:val="24"/>
        </w:rPr>
        <w:t xml:space="preserve">clients </w:t>
      </w:r>
      <w:r>
        <w:rPr>
          <w:rFonts w:ascii="Times New Roman" w:hAnsi="Times New Roman" w:cs="Times New Roman"/>
          <w:spacing w:val="-3"/>
          <w:sz w:val="24"/>
          <w:szCs w:val="24"/>
        </w:rPr>
        <w:t xml:space="preserve">have </w:t>
      </w:r>
      <w:r>
        <w:rPr>
          <w:rFonts w:ascii="Times New Roman" w:hAnsi="Times New Roman" w:cs="Times New Roman"/>
          <w:sz w:val="24"/>
          <w:szCs w:val="24"/>
        </w:rPr>
        <w:t xml:space="preserve">experienced </w:t>
      </w:r>
      <w:r>
        <w:rPr>
          <w:rFonts w:ascii="Times New Roman" w:hAnsi="Times New Roman" w:cs="Times New Roman"/>
          <w:spacing w:val="-4"/>
          <w:sz w:val="24"/>
          <w:szCs w:val="24"/>
        </w:rPr>
        <w:t xml:space="preserve">inadequate </w:t>
      </w:r>
      <w:r>
        <w:rPr>
          <w:rFonts w:ascii="Times New Roman" w:hAnsi="Times New Roman" w:cs="Times New Roman"/>
          <w:sz w:val="24"/>
          <w:szCs w:val="24"/>
        </w:rPr>
        <w:t xml:space="preserve">access </w:t>
      </w:r>
      <w:r>
        <w:rPr>
          <w:rFonts w:ascii="Times New Roman" w:hAnsi="Times New Roman" w:cs="Times New Roman"/>
          <w:spacing w:val="-3"/>
          <w:sz w:val="24"/>
          <w:szCs w:val="24"/>
        </w:rPr>
        <w:t xml:space="preserve">to medical </w:t>
      </w:r>
      <w:r>
        <w:rPr>
          <w:rFonts w:ascii="Times New Roman" w:hAnsi="Times New Roman" w:cs="Times New Roman"/>
          <w:sz w:val="24"/>
          <w:szCs w:val="24"/>
        </w:rPr>
        <w:t xml:space="preserve">services </w:t>
      </w:r>
      <w:r>
        <w:rPr>
          <w:rFonts w:ascii="Times New Roman" w:hAnsi="Times New Roman" w:cs="Times New Roman"/>
          <w:spacing w:val="-3"/>
          <w:sz w:val="24"/>
          <w:szCs w:val="24"/>
        </w:rPr>
        <w:t xml:space="preserve">due to </w:t>
      </w:r>
      <w:r>
        <w:rPr>
          <w:rFonts w:ascii="Times New Roman" w:hAnsi="Times New Roman" w:cs="Times New Roman"/>
          <w:sz w:val="24"/>
          <w:szCs w:val="24"/>
        </w:rPr>
        <w:t xml:space="preserve">an inability </w:t>
      </w:r>
      <w:r>
        <w:rPr>
          <w:rFonts w:ascii="Times New Roman" w:hAnsi="Times New Roman" w:cs="Times New Roman"/>
          <w:spacing w:val="-3"/>
          <w:sz w:val="24"/>
          <w:szCs w:val="24"/>
        </w:rPr>
        <w:t xml:space="preserve">to </w:t>
      </w:r>
      <w:r>
        <w:rPr>
          <w:rFonts w:ascii="Times New Roman" w:hAnsi="Times New Roman" w:cs="Times New Roman"/>
          <w:sz w:val="24"/>
          <w:szCs w:val="24"/>
        </w:rPr>
        <w:t xml:space="preserve">read vital </w:t>
      </w:r>
      <w:r>
        <w:rPr>
          <w:rFonts w:ascii="Times New Roman" w:hAnsi="Times New Roman" w:cs="Times New Roman"/>
          <w:spacing w:val="-7"/>
          <w:sz w:val="24"/>
          <w:szCs w:val="24"/>
        </w:rPr>
        <w:t xml:space="preserve">documents </w:t>
      </w:r>
      <w:r>
        <w:rPr>
          <w:rFonts w:ascii="Times New Roman" w:hAnsi="Times New Roman" w:cs="Times New Roman"/>
          <w:sz w:val="24"/>
          <w:szCs w:val="24"/>
        </w:rPr>
        <w:t xml:space="preserve">issued only in </w:t>
      </w:r>
      <w:r>
        <w:rPr>
          <w:rFonts w:ascii="Times New Roman" w:hAnsi="Times New Roman" w:cs="Times New Roman"/>
          <w:spacing w:val="-4"/>
          <w:sz w:val="24"/>
          <w:szCs w:val="24"/>
        </w:rPr>
        <w:t xml:space="preserve">English, </w:t>
      </w:r>
      <w:r>
        <w:rPr>
          <w:rFonts w:ascii="Times New Roman" w:hAnsi="Times New Roman" w:cs="Times New Roman"/>
          <w:sz w:val="24"/>
          <w:szCs w:val="24"/>
        </w:rPr>
        <w:t xml:space="preserve">as </w:t>
      </w:r>
      <w:r>
        <w:rPr>
          <w:rFonts w:ascii="Times New Roman" w:hAnsi="Times New Roman" w:cs="Times New Roman"/>
          <w:spacing w:val="4"/>
          <w:sz w:val="24"/>
          <w:szCs w:val="24"/>
        </w:rPr>
        <w:t xml:space="preserve">well </w:t>
      </w:r>
      <w:r>
        <w:rPr>
          <w:rFonts w:ascii="Times New Roman" w:hAnsi="Times New Roman" w:cs="Times New Roman"/>
          <w:sz w:val="24"/>
          <w:szCs w:val="24"/>
        </w:rPr>
        <w:t xml:space="preserve">as </w:t>
      </w:r>
      <w:r>
        <w:rPr>
          <w:rFonts w:ascii="Times New Roman" w:hAnsi="Times New Roman" w:cs="Times New Roman"/>
          <w:spacing w:val="-3"/>
          <w:sz w:val="24"/>
          <w:szCs w:val="24"/>
        </w:rPr>
        <w:t xml:space="preserve">difficulty </w:t>
      </w:r>
      <w:r>
        <w:rPr>
          <w:rFonts w:ascii="Times New Roman" w:hAnsi="Times New Roman" w:cs="Times New Roman"/>
          <w:sz w:val="24"/>
          <w:szCs w:val="24"/>
        </w:rPr>
        <w:t xml:space="preserve">securing interpretation </w:t>
      </w:r>
      <w:r>
        <w:rPr>
          <w:rFonts w:ascii="Times New Roman" w:hAnsi="Times New Roman" w:cs="Times New Roman"/>
          <w:spacing w:val="-3"/>
          <w:sz w:val="24"/>
          <w:szCs w:val="24"/>
        </w:rPr>
        <w:t xml:space="preserve">when </w:t>
      </w:r>
      <w:r>
        <w:rPr>
          <w:rFonts w:ascii="Times New Roman" w:hAnsi="Times New Roman" w:cs="Times New Roman"/>
          <w:sz w:val="24"/>
          <w:szCs w:val="24"/>
        </w:rPr>
        <w:t xml:space="preserve">calling </w:t>
      </w:r>
      <w:r>
        <w:rPr>
          <w:rFonts w:ascii="Times New Roman" w:hAnsi="Times New Roman" w:cs="Times New Roman"/>
          <w:spacing w:val="-5"/>
          <w:sz w:val="24"/>
          <w:szCs w:val="24"/>
        </w:rPr>
        <w:t xml:space="preserve">customer  </w:t>
      </w:r>
      <w:r>
        <w:rPr>
          <w:rFonts w:ascii="Times New Roman" w:hAnsi="Times New Roman" w:cs="Times New Roman"/>
          <w:sz w:val="24"/>
          <w:szCs w:val="24"/>
        </w:rPr>
        <w:t xml:space="preserve">service at </w:t>
      </w:r>
      <w:r>
        <w:rPr>
          <w:rFonts w:ascii="Times New Roman" w:hAnsi="Times New Roman" w:cs="Times New Roman"/>
          <w:spacing w:val="-5"/>
          <w:sz w:val="24"/>
          <w:szCs w:val="24"/>
        </w:rPr>
        <w:t xml:space="preserve">the </w:t>
      </w:r>
      <w:r>
        <w:rPr>
          <w:rFonts w:ascii="Times New Roman" w:hAnsi="Times New Roman" w:cs="Times New Roman"/>
          <w:spacing w:val="-3"/>
          <w:sz w:val="24"/>
          <w:szCs w:val="24"/>
        </w:rPr>
        <w:t xml:space="preserve">MassHealth </w:t>
      </w:r>
      <w:r>
        <w:rPr>
          <w:rFonts w:ascii="Times New Roman" w:hAnsi="Times New Roman" w:cs="Times New Roman"/>
          <w:spacing w:val="-4"/>
          <w:sz w:val="24"/>
          <w:szCs w:val="24"/>
        </w:rPr>
        <w:t xml:space="preserve">agency </w:t>
      </w:r>
      <w:r>
        <w:rPr>
          <w:rFonts w:ascii="Times New Roman" w:hAnsi="Times New Roman" w:cs="Times New Roman"/>
          <w:spacing w:val="-3"/>
          <w:sz w:val="24"/>
          <w:szCs w:val="24"/>
        </w:rPr>
        <w:t xml:space="preserve">and </w:t>
      </w:r>
      <w:r>
        <w:rPr>
          <w:rFonts w:ascii="Times New Roman" w:hAnsi="Times New Roman" w:cs="Times New Roman"/>
          <w:spacing w:val="-6"/>
          <w:sz w:val="24"/>
          <w:szCs w:val="24"/>
        </w:rPr>
        <w:t>MCOs.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19" w:right="301"/>
        <w:rPr>
          <w:rFonts w:ascii="Times New Roman" w:hAnsi="Times New Roman" w:cs="Times New Roman"/>
          <w:spacing w:val="-4"/>
          <w:position w:val="8"/>
          <w:sz w:val="15"/>
          <w:szCs w:val="15"/>
        </w:rPr>
      </w:pPr>
      <w:r>
        <w:rPr>
          <w:rFonts w:ascii="Times New Roman" w:hAnsi="Times New Roman" w:cs="Times New Roman"/>
          <w:spacing w:val="-5"/>
          <w:sz w:val="24"/>
          <w:szCs w:val="24"/>
        </w:rPr>
        <w:t xml:space="preserve">One </w:t>
      </w:r>
      <w:r>
        <w:rPr>
          <w:rFonts w:ascii="Times New Roman" w:hAnsi="Times New Roman" w:cs="Times New Roman"/>
          <w:spacing w:val="-4"/>
          <w:sz w:val="24"/>
          <w:szCs w:val="24"/>
        </w:rPr>
        <w:t xml:space="preserve">mechanism </w:t>
      </w:r>
      <w:r>
        <w:rPr>
          <w:rFonts w:ascii="Times New Roman" w:hAnsi="Times New Roman" w:cs="Times New Roman"/>
          <w:spacing w:val="-3"/>
          <w:sz w:val="24"/>
          <w:szCs w:val="24"/>
        </w:rPr>
        <w:t xml:space="preserve">to </w:t>
      </w:r>
      <w:r>
        <w:rPr>
          <w:rFonts w:ascii="Times New Roman" w:hAnsi="Times New Roman" w:cs="Times New Roman"/>
          <w:spacing w:val="-4"/>
          <w:sz w:val="24"/>
          <w:szCs w:val="24"/>
        </w:rPr>
        <w:t xml:space="preserve">promote </w:t>
      </w:r>
      <w:r>
        <w:rPr>
          <w:rFonts w:ascii="Times New Roman" w:hAnsi="Times New Roman" w:cs="Times New Roman"/>
          <w:spacing w:val="-6"/>
          <w:sz w:val="24"/>
          <w:szCs w:val="24"/>
        </w:rPr>
        <w:t xml:space="preserve">language  </w:t>
      </w:r>
      <w:r>
        <w:rPr>
          <w:rFonts w:ascii="Times New Roman" w:hAnsi="Times New Roman" w:cs="Times New Roman"/>
          <w:sz w:val="24"/>
          <w:szCs w:val="24"/>
        </w:rPr>
        <w:t xml:space="preserve">access across all </w:t>
      </w:r>
      <w:r>
        <w:rPr>
          <w:rFonts w:ascii="Times New Roman" w:hAnsi="Times New Roman" w:cs="Times New Roman"/>
          <w:spacing w:val="-5"/>
          <w:sz w:val="24"/>
          <w:szCs w:val="24"/>
        </w:rPr>
        <w:t xml:space="preserve">ACOs </w:t>
      </w:r>
      <w:r>
        <w:rPr>
          <w:rFonts w:ascii="Times New Roman" w:hAnsi="Times New Roman" w:cs="Times New Roman"/>
          <w:sz w:val="24"/>
          <w:szCs w:val="24"/>
        </w:rPr>
        <w:t xml:space="preserve">is </w:t>
      </w:r>
      <w:r>
        <w:rPr>
          <w:rFonts w:ascii="Times New Roman" w:hAnsi="Times New Roman" w:cs="Times New Roman"/>
          <w:spacing w:val="-3"/>
          <w:sz w:val="24"/>
          <w:szCs w:val="24"/>
        </w:rPr>
        <w:t xml:space="preserve">to </w:t>
      </w:r>
      <w:r>
        <w:rPr>
          <w:rFonts w:ascii="Times New Roman" w:hAnsi="Times New Roman" w:cs="Times New Roman"/>
          <w:sz w:val="24"/>
          <w:szCs w:val="24"/>
        </w:rPr>
        <w:t xml:space="preserve">establish a social services </w:t>
      </w:r>
      <w:r>
        <w:rPr>
          <w:rFonts w:ascii="Times New Roman" w:hAnsi="Times New Roman" w:cs="Times New Roman"/>
          <w:spacing w:val="-5"/>
          <w:sz w:val="24"/>
          <w:szCs w:val="24"/>
        </w:rPr>
        <w:t xml:space="preserve">“hub” </w:t>
      </w:r>
      <w:r>
        <w:rPr>
          <w:rFonts w:ascii="Times New Roman" w:hAnsi="Times New Roman" w:cs="Times New Roman"/>
          <w:spacing w:val="-3"/>
          <w:sz w:val="24"/>
          <w:szCs w:val="24"/>
        </w:rPr>
        <w:t xml:space="preserve">model, </w:t>
      </w:r>
      <w:r>
        <w:rPr>
          <w:rFonts w:ascii="Times New Roman" w:hAnsi="Times New Roman" w:cs="Times New Roman"/>
          <w:sz w:val="24"/>
          <w:szCs w:val="24"/>
        </w:rPr>
        <w:t xml:space="preserve">which would bridge </w:t>
      </w:r>
      <w:r>
        <w:rPr>
          <w:rFonts w:ascii="Times New Roman" w:hAnsi="Times New Roman" w:cs="Times New Roman"/>
          <w:spacing w:val="-3"/>
          <w:sz w:val="24"/>
          <w:szCs w:val="24"/>
        </w:rPr>
        <w:t xml:space="preserve">medical and </w:t>
      </w:r>
      <w:r>
        <w:rPr>
          <w:rFonts w:ascii="Times New Roman" w:hAnsi="Times New Roman" w:cs="Times New Roman"/>
          <w:sz w:val="24"/>
          <w:szCs w:val="24"/>
        </w:rPr>
        <w:t xml:space="preserve">social service </w:t>
      </w:r>
      <w:r>
        <w:rPr>
          <w:rFonts w:ascii="Times New Roman" w:hAnsi="Times New Roman" w:cs="Times New Roman"/>
          <w:spacing w:val="-4"/>
          <w:sz w:val="24"/>
          <w:szCs w:val="24"/>
        </w:rPr>
        <w:t xml:space="preserve">systems, </w:t>
      </w:r>
      <w:r>
        <w:rPr>
          <w:rFonts w:ascii="Times New Roman" w:hAnsi="Times New Roman" w:cs="Times New Roman"/>
          <w:sz w:val="24"/>
          <w:szCs w:val="24"/>
        </w:rPr>
        <w:t xml:space="preserve">provide culturally </w:t>
      </w:r>
      <w:r>
        <w:rPr>
          <w:rFonts w:ascii="Times New Roman" w:hAnsi="Times New Roman" w:cs="Times New Roman"/>
          <w:spacing w:val="-4"/>
          <w:sz w:val="24"/>
          <w:szCs w:val="24"/>
        </w:rPr>
        <w:t xml:space="preserve">and </w:t>
      </w:r>
      <w:r>
        <w:rPr>
          <w:rFonts w:ascii="Times New Roman" w:hAnsi="Times New Roman" w:cs="Times New Roman"/>
          <w:sz w:val="24"/>
          <w:szCs w:val="24"/>
        </w:rPr>
        <w:t xml:space="preserve">linguistically </w:t>
      </w:r>
      <w:r>
        <w:rPr>
          <w:rFonts w:ascii="Times New Roman" w:hAnsi="Times New Roman" w:cs="Times New Roman"/>
          <w:spacing w:val="-4"/>
          <w:sz w:val="24"/>
          <w:szCs w:val="24"/>
        </w:rPr>
        <w:t xml:space="preserve">competent </w:t>
      </w:r>
      <w:r>
        <w:rPr>
          <w:rFonts w:ascii="Times New Roman" w:hAnsi="Times New Roman" w:cs="Times New Roman"/>
          <w:sz w:val="24"/>
          <w:szCs w:val="24"/>
        </w:rPr>
        <w:t xml:space="preserve">services, </w:t>
      </w:r>
      <w:r>
        <w:rPr>
          <w:rFonts w:ascii="Times New Roman" w:hAnsi="Times New Roman" w:cs="Times New Roman"/>
          <w:spacing w:val="-6"/>
          <w:sz w:val="24"/>
          <w:szCs w:val="24"/>
        </w:rPr>
        <w:t xml:space="preserve">engage </w:t>
      </w:r>
      <w:r>
        <w:rPr>
          <w:rFonts w:ascii="Times New Roman" w:hAnsi="Times New Roman" w:cs="Times New Roman"/>
          <w:spacing w:val="-3"/>
          <w:sz w:val="24"/>
          <w:szCs w:val="24"/>
        </w:rPr>
        <w:t xml:space="preserve">multiple </w:t>
      </w:r>
      <w:r>
        <w:rPr>
          <w:rFonts w:ascii="Times New Roman" w:hAnsi="Times New Roman" w:cs="Times New Roman"/>
          <w:sz w:val="24"/>
          <w:szCs w:val="24"/>
        </w:rPr>
        <w:t xml:space="preserve">social services </w:t>
      </w:r>
      <w:r>
        <w:rPr>
          <w:rFonts w:ascii="Times New Roman" w:hAnsi="Times New Roman" w:cs="Times New Roman"/>
          <w:spacing w:val="-3"/>
          <w:sz w:val="24"/>
          <w:szCs w:val="24"/>
        </w:rPr>
        <w:t xml:space="preserve">agencies, </w:t>
      </w:r>
      <w:r>
        <w:rPr>
          <w:rFonts w:ascii="Times New Roman" w:hAnsi="Times New Roman" w:cs="Times New Roman"/>
          <w:spacing w:val="-4"/>
          <w:sz w:val="24"/>
          <w:szCs w:val="24"/>
        </w:rPr>
        <w:t xml:space="preserve">and </w:t>
      </w:r>
      <w:r>
        <w:rPr>
          <w:rFonts w:ascii="Times New Roman" w:hAnsi="Times New Roman" w:cs="Times New Roman"/>
          <w:sz w:val="24"/>
          <w:szCs w:val="24"/>
        </w:rPr>
        <w:t xml:space="preserve">help to </w:t>
      </w:r>
      <w:r>
        <w:rPr>
          <w:rFonts w:ascii="Times New Roman" w:hAnsi="Times New Roman" w:cs="Times New Roman"/>
          <w:spacing w:val="-3"/>
          <w:sz w:val="24"/>
          <w:szCs w:val="24"/>
        </w:rPr>
        <w:t xml:space="preserve">ensure </w:t>
      </w:r>
      <w:r>
        <w:rPr>
          <w:rFonts w:ascii="Times New Roman" w:hAnsi="Times New Roman" w:cs="Times New Roman"/>
          <w:sz w:val="24"/>
          <w:szCs w:val="24"/>
        </w:rPr>
        <w:t xml:space="preserve">access </w:t>
      </w:r>
      <w:r>
        <w:rPr>
          <w:rFonts w:ascii="Times New Roman" w:hAnsi="Times New Roman" w:cs="Times New Roman"/>
          <w:spacing w:val="-3"/>
          <w:sz w:val="24"/>
          <w:szCs w:val="24"/>
        </w:rPr>
        <w:t xml:space="preserve">to </w:t>
      </w:r>
      <w:r>
        <w:rPr>
          <w:rFonts w:ascii="Times New Roman" w:hAnsi="Times New Roman" w:cs="Times New Roman"/>
          <w:sz w:val="24"/>
          <w:szCs w:val="24"/>
        </w:rPr>
        <w:t xml:space="preserve">evidence-based </w:t>
      </w:r>
      <w:r>
        <w:rPr>
          <w:rFonts w:ascii="Times New Roman" w:hAnsi="Times New Roman" w:cs="Times New Roman"/>
          <w:spacing w:val="-4"/>
          <w:sz w:val="24"/>
          <w:szCs w:val="24"/>
        </w:rPr>
        <w:t xml:space="preserve">programs </w:t>
      </w:r>
      <w:r>
        <w:rPr>
          <w:rFonts w:ascii="Times New Roman" w:hAnsi="Times New Roman" w:cs="Times New Roman"/>
          <w:sz w:val="24"/>
          <w:szCs w:val="24"/>
        </w:rPr>
        <w:t xml:space="preserve">in each </w:t>
      </w:r>
      <w:r>
        <w:rPr>
          <w:rFonts w:ascii="Times New Roman" w:hAnsi="Times New Roman" w:cs="Times New Roman"/>
          <w:spacing w:val="-3"/>
          <w:sz w:val="24"/>
          <w:szCs w:val="24"/>
        </w:rPr>
        <w:t xml:space="preserve">geographic </w:t>
      </w:r>
      <w:r>
        <w:rPr>
          <w:rFonts w:ascii="Times New Roman" w:hAnsi="Times New Roman" w:cs="Times New Roman"/>
          <w:sz w:val="24"/>
          <w:szCs w:val="24"/>
        </w:rPr>
        <w:t xml:space="preserve">region </w:t>
      </w:r>
      <w:r>
        <w:rPr>
          <w:rFonts w:ascii="Times New Roman" w:hAnsi="Times New Roman" w:cs="Times New Roman"/>
          <w:spacing w:val="-4"/>
          <w:sz w:val="24"/>
          <w:szCs w:val="24"/>
        </w:rPr>
        <w:t xml:space="preserve">that </w:t>
      </w:r>
      <w:r>
        <w:rPr>
          <w:rFonts w:ascii="Times New Roman" w:hAnsi="Times New Roman" w:cs="Times New Roman"/>
          <w:sz w:val="24"/>
          <w:szCs w:val="24"/>
        </w:rPr>
        <w:t xml:space="preserve">address social </w:t>
      </w:r>
      <w:r>
        <w:rPr>
          <w:rFonts w:ascii="Times New Roman" w:hAnsi="Times New Roman" w:cs="Times New Roman"/>
          <w:spacing w:val="-5"/>
          <w:sz w:val="24"/>
          <w:szCs w:val="24"/>
        </w:rPr>
        <w:t xml:space="preserve">determinants </w:t>
      </w:r>
      <w:r>
        <w:rPr>
          <w:rFonts w:ascii="Times New Roman" w:hAnsi="Times New Roman" w:cs="Times New Roman"/>
          <w:sz w:val="24"/>
          <w:szCs w:val="24"/>
        </w:rPr>
        <w:t xml:space="preserve">of </w:t>
      </w:r>
      <w:r>
        <w:rPr>
          <w:rFonts w:ascii="Times New Roman" w:hAnsi="Times New Roman" w:cs="Times New Roman"/>
          <w:spacing w:val="-4"/>
          <w:sz w:val="24"/>
          <w:szCs w:val="24"/>
        </w:rPr>
        <w:t xml:space="preserve">health. </w:t>
      </w:r>
      <w:r>
        <w:rPr>
          <w:rFonts w:ascii="Times New Roman" w:hAnsi="Times New Roman" w:cs="Times New Roman"/>
          <w:spacing w:val="-6"/>
          <w:sz w:val="24"/>
          <w:szCs w:val="24"/>
        </w:rPr>
        <w:t xml:space="preserve">Though </w:t>
      </w:r>
      <w:r>
        <w:rPr>
          <w:rFonts w:ascii="Times New Roman" w:hAnsi="Times New Roman" w:cs="Times New Roman"/>
          <w:spacing w:val="-3"/>
          <w:sz w:val="24"/>
          <w:szCs w:val="24"/>
        </w:rPr>
        <w:t xml:space="preserve">not </w:t>
      </w:r>
      <w:r>
        <w:rPr>
          <w:rFonts w:ascii="Times New Roman" w:hAnsi="Times New Roman" w:cs="Times New Roman"/>
          <w:sz w:val="24"/>
          <w:szCs w:val="24"/>
        </w:rPr>
        <w:t xml:space="preserve">associated with </w:t>
      </w:r>
      <w:r>
        <w:rPr>
          <w:rFonts w:ascii="Times New Roman" w:hAnsi="Times New Roman" w:cs="Times New Roman"/>
          <w:spacing w:val="-3"/>
          <w:sz w:val="24"/>
          <w:szCs w:val="24"/>
        </w:rPr>
        <w:t xml:space="preserve">ACOs, </w:t>
      </w:r>
      <w:r>
        <w:rPr>
          <w:rFonts w:ascii="Times New Roman" w:hAnsi="Times New Roman" w:cs="Times New Roman"/>
          <w:sz w:val="24"/>
          <w:szCs w:val="24"/>
        </w:rPr>
        <w:t xml:space="preserve">a similar program </w:t>
      </w:r>
      <w:r>
        <w:rPr>
          <w:rFonts w:ascii="Times New Roman" w:hAnsi="Times New Roman" w:cs="Times New Roman"/>
          <w:spacing w:val="-4"/>
          <w:sz w:val="24"/>
          <w:szCs w:val="24"/>
        </w:rPr>
        <w:t xml:space="preserve">has </w:t>
      </w:r>
      <w:r>
        <w:rPr>
          <w:rFonts w:ascii="Times New Roman" w:hAnsi="Times New Roman" w:cs="Times New Roman"/>
          <w:sz w:val="24"/>
          <w:szCs w:val="24"/>
        </w:rPr>
        <w:t xml:space="preserve">been effectively </w:t>
      </w:r>
      <w:r>
        <w:rPr>
          <w:rFonts w:ascii="Times New Roman" w:hAnsi="Times New Roman" w:cs="Times New Roman"/>
          <w:spacing w:val="-4"/>
          <w:sz w:val="24"/>
          <w:szCs w:val="24"/>
        </w:rPr>
        <w:t xml:space="preserve">instituted </w:t>
      </w:r>
      <w:r>
        <w:rPr>
          <w:rFonts w:ascii="Times New Roman" w:hAnsi="Times New Roman" w:cs="Times New Roman"/>
          <w:spacing w:val="5"/>
          <w:sz w:val="24"/>
          <w:szCs w:val="24"/>
        </w:rPr>
        <w:t xml:space="preserve">in </w:t>
      </w:r>
      <w:r>
        <w:rPr>
          <w:rFonts w:ascii="Times New Roman" w:hAnsi="Times New Roman" w:cs="Times New Roman"/>
          <w:sz w:val="24"/>
          <w:szCs w:val="24"/>
        </w:rPr>
        <w:t xml:space="preserve">Illinois, which could serve as a </w:t>
      </w:r>
      <w:r>
        <w:rPr>
          <w:rFonts w:ascii="Times New Roman" w:hAnsi="Times New Roman" w:cs="Times New Roman"/>
          <w:spacing w:val="-4"/>
          <w:sz w:val="24"/>
          <w:szCs w:val="24"/>
        </w:rPr>
        <w:t xml:space="preserve">model </w:t>
      </w:r>
      <w:r>
        <w:rPr>
          <w:rFonts w:ascii="Times New Roman" w:hAnsi="Times New Roman" w:cs="Times New Roman"/>
          <w:spacing w:val="-3"/>
          <w:sz w:val="24"/>
          <w:szCs w:val="24"/>
        </w:rPr>
        <w:t xml:space="preserve">for </w:t>
      </w:r>
      <w:r>
        <w:rPr>
          <w:rFonts w:ascii="Times New Roman" w:hAnsi="Times New Roman" w:cs="Times New Roman"/>
          <w:spacing w:val="-4"/>
          <w:sz w:val="24"/>
          <w:szCs w:val="24"/>
        </w:rPr>
        <w:t>Massachusetts.</w:t>
      </w:r>
      <w:r>
        <w:rPr>
          <w:rFonts w:ascii="Times New Roman" w:hAnsi="Times New Roman" w:cs="Times New Roman"/>
          <w:spacing w:val="-4"/>
          <w:position w:val="8"/>
          <w:sz w:val="15"/>
          <w:szCs w:val="15"/>
        </w:rPr>
        <w:t xml:space="preserve">3 </w:t>
      </w:r>
      <w:r>
        <w:rPr>
          <w:rFonts w:ascii="Times New Roman" w:hAnsi="Times New Roman" w:cs="Times New Roman"/>
          <w:sz w:val="24"/>
          <w:szCs w:val="24"/>
        </w:rPr>
        <w:t xml:space="preserve">A </w:t>
      </w:r>
      <w:r>
        <w:rPr>
          <w:rFonts w:ascii="Times New Roman" w:hAnsi="Times New Roman" w:cs="Times New Roman"/>
          <w:spacing w:val="-5"/>
          <w:sz w:val="24"/>
          <w:szCs w:val="24"/>
        </w:rPr>
        <w:t xml:space="preserve">“hub” </w:t>
      </w:r>
      <w:r>
        <w:rPr>
          <w:rFonts w:ascii="Times New Roman" w:hAnsi="Times New Roman" w:cs="Times New Roman"/>
          <w:sz w:val="24"/>
          <w:szCs w:val="24"/>
        </w:rPr>
        <w:t xml:space="preserve">program </w:t>
      </w:r>
      <w:r>
        <w:rPr>
          <w:rFonts w:ascii="Times New Roman" w:hAnsi="Times New Roman" w:cs="Times New Roman"/>
          <w:spacing w:val="-3"/>
          <w:sz w:val="24"/>
          <w:szCs w:val="24"/>
        </w:rPr>
        <w:t xml:space="preserve">should </w:t>
      </w:r>
      <w:r>
        <w:rPr>
          <w:rFonts w:ascii="Times New Roman" w:hAnsi="Times New Roman" w:cs="Times New Roman"/>
          <w:sz w:val="24"/>
          <w:szCs w:val="24"/>
        </w:rPr>
        <w:t xml:space="preserve">be a </w:t>
      </w:r>
      <w:r>
        <w:rPr>
          <w:rFonts w:ascii="Times New Roman" w:hAnsi="Times New Roman" w:cs="Times New Roman"/>
          <w:spacing w:val="-3"/>
          <w:sz w:val="24"/>
          <w:szCs w:val="24"/>
        </w:rPr>
        <w:t xml:space="preserve">partnership </w:t>
      </w:r>
      <w:r>
        <w:rPr>
          <w:rFonts w:ascii="Times New Roman" w:hAnsi="Times New Roman" w:cs="Times New Roman"/>
          <w:sz w:val="24"/>
          <w:szCs w:val="24"/>
        </w:rPr>
        <w:t xml:space="preserve">between </w:t>
      </w:r>
      <w:r>
        <w:rPr>
          <w:rFonts w:ascii="Times New Roman" w:hAnsi="Times New Roman" w:cs="Times New Roman"/>
          <w:spacing w:val="-4"/>
          <w:sz w:val="24"/>
          <w:szCs w:val="24"/>
        </w:rPr>
        <w:t xml:space="preserve">EOHHS and </w:t>
      </w:r>
      <w:r>
        <w:rPr>
          <w:rFonts w:ascii="Times New Roman" w:hAnsi="Times New Roman" w:cs="Times New Roman"/>
          <w:spacing w:val="-3"/>
          <w:sz w:val="24"/>
          <w:szCs w:val="24"/>
        </w:rPr>
        <w:t xml:space="preserve">trusted </w:t>
      </w:r>
      <w:r>
        <w:rPr>
          <w:rFonts w:ascii="Times New Roman" w:hAnsi="Times New Roman" w:cs="Times New Roman"/>
          <w:spacing w:val="-4"/>
          <w:sz w:val="24"/>
          <w:szCs w:val="24"/>
        </w:rPr>
        <w:t xml:space="preserve">community-based </w:t>
      </w:r>
      <w:r>
        <w:rPr>
          <w:rFonts w:ascii="Times New Roman" w:hAnsi="Times New Roman" w:cs="Times New Roman"/>
          <w:spacing w:val="-3"/>
          <w:sz w:val="24"/>
          <w:szCs w:val="24"/>
        </w:rPr>
        <w:t xml:space="preserve">organizations </w:t>
      </w:r>
      <w:r>
        <w:rPr>
          <w:rFonts w:ascii="Times New Roman" w:hAnsi="Times New Roman" w:cs="Times New Roman"/>
          <w:spacing w:val="-4"/>
          <w:sz w:val="24"/>
          <w:szCs w:val="24"/>
        </w:rPr>
        <w:t xml:space="preserve">that </w:t>
      </w:r>
      <w:r>
        <w:rPr>
          <w:rFonts w:ascii="Times New Roman" w:hAnsi="Times New Roman" w:cs="Times New Roman"/>
          <w:sz w:val="24"/>
          <w:szCs w:val="24"/>
        </w:rPr>
        <w:t xml:space="preserve">serve speakers of </w:t>
      </w:r>
      <w:r>
        <w:rPr>
          <w:rFonts w:ascii="Times New Roman" w:hAnsi="Times New Roman" w:cs="Times New Roman"/>
          <w:spacing w:val="-6"/>
          <w:sz w:val="24"/>
          <w:szCs w:val="24"/>
        </w:rPr>
        <w:t xml:space="preserve">languages </w:t>
      </w:r>
      <w:r>
        <w:rPr>
          <w:rFonts w:ascii="Times New Roman" w:hAnsi="Times New Roman" w:cs="Times New Roman"/>
          <w:spacing w:val="-4"/>
          <w:sz w:val="24"/>
          <w:szCs w:val="24"/>
        </w:rPr>
        <w:t xml:space="preserve">other than </w:t>
      </w:r>
      <w:r>
        <w:rPr>
          <w:rFonts w:ascii="Times New Roman" w:hAnsi="Times New Roman" w:cs="Times New Roman"/>
          <w:spacing w:val="-3"/>
          <w:sz w:val="24"/>
          <w:szCs w:val="24"/>
        </w:rPr>
        <w:t xml:space="preserve">English </w:t>
      </w:r>
      <w:r>
        <w:rPr>
          <w:rFonts w:ascii="Times New Roman" w:hAnsi="Times New Roman" w:cs="Times New Roman"/>
          <w:spacing w:val="-4"/>
          <w:sz w:val="24"/>
          <w:szCs w:val="24"/>
        </w:rPr>
        <w:t xml:space="preserve">and </w:t>
      </w:r>
      <w:r>
        <w:rPr>
          <w:rFonts w:ascii="Times New Roman" w:hAnsi="Times New Roman" w:cs="Times New Roman"/>
          <w:spacing w:val="-3"/>
          <w:sz w:val="24"/>
          <w:szCs w:val="24"/>
        </w:rPr>
        <w:t xml:space="preserve">have </w:t>
      </w:r>
      <w:r>
        <w:rPr>
          <w:rFonts w:ascii="Times New Roman" w:hAnsi="Times New Roman" w:cs="Times New Roman"/>
          <w:sz w:val="24"/>
          <w:szCs w:val="24"/>
        </w:rPr>
        <w:t xml:space="preserve">expertise in </w:t>
      </w:r>
      <w:r>
        <w:rPr>
          <w:rFonts w:ascii="Times New Roman" w:hAnsi="Times New Roman" w:cs="Times New Roman"/>
          <w:spacing w:val="-3"/>
          <w:sz w:val="24"/>
          <w:szCs w:val="24"/>
        </w:rPr>
        <w:t xml:space="preserve">working </w:t>
      </w:r>
      <w:r>
        <w:rPr>
          <w:rFonts w:ascii="Times New Roman" w:hAnsi="Times New Roman" w:cs="Times New Roman"/>
          <w:sz w:val="24"/>
          <w:szCs w:val="24"/>
        </w:rPr>
        <w:t xml:space="preserve">within </w:t>
      </w:r>
      <w:r>
        <w:rPr>
          <w:rFonts w:ascii="Times New Roman" w:hAnsi="Times New Roman" w:cs="Times New Roman"/>
          <w:spacing w:val="-5"/>
          <w:sz w:val="24"/>
          <w:szCs w:val="24"/>
        </w:rPr>
        <w:t xml:space="preserve">these communities. </w:t>
      </w:r>
      <w:r>
        <w:rPr>
          <w:rFonts w:ascii="Times New Roman" w:hAnsi="Times New Roman" w:cs="Times New Roman"/>
          <w:spacing w:val="-8"/>
          <w:sz w:val="24"/>
          <w:szCs w:val="24"/>
        </w:rPr>
        <w:t xml:space="preserve">As </w:t>
      </w:r>
      <w:r>
        <w:rPr>
          <w:rFonts w:ascii="Times New Roman" w:hAnsi="Times New Roman" w:cs="Times New Roman"/>
          <w:spacing w:val="-5"/>
          <w:sz w:val="24"/>
          <w:szCs w:val="24"/>
        </w:rPr>
        <w:t xml:space="preserve">suggested </w:t>
      </w:r>
      <w:r>
        <w:rPr>
          <w:rFonts w:ascii="Times New Roman" w:hAnsi="Times New Roman" w:cs="Times New Roman"/>
          <w:sz w:val="24"/>
          <w:szCs w:val="24"/>
        </w:rPr>
        <w:t xml:space="preserve">above, </w:t>
      </w:r>
      <w:r>
        <w:rPr>
          <w:rFonts w:ascii="Times New Roman" w:hAnsi="Times New Roman" w:cs="Times New Roman"/>
          <w:spacing w:val="-5"/>
          <w:sz w:val="24"/>
          <w:szCs w:val="24"/>
        </w:rPr>
        <w:t xml:space="preserve">DSRIP </w:t>
      </w:r>
      <w:r>
        <w:rPr>
          <w:rFonts w:ascii="Times New Roman" w:hAnsi="Times New Roman" w:cs="Times New Roman"/>
          <w:spacing w:val="-7"/>
          <w:sz w:val="24"/>
          <w:szCs w:val="24"/>
        </w:rPr>
        <w:t xml:space="preserve">funds </w:t>
      </w:r>
      <w:r>
        <w:rPr>
          <w:rFonts w:ascii="Times New Roman" w:hAnsi="Times New Roman" w:cs="Times New Roman"/>
          <w:sz w:val="24"/>
          <w:szCs w:val="24"/>
        </w:rPr>
        <w:t xml:space="preserve">could be </w:t>
      </w:r>
      <w:r>
        <w:rPr>
          <w:rFonts w:ascii="Times New Roman" w:hAnsi="Times New Roman" w:cs="Times New Roman"/>
          <w:spacing w:val="-3"/>
          <w:sz w:val="24"/>
          <w:szCs w:val="24"/>
        </w:rPr>
        <w:t xml:space="preserve">used to </w:t>
      </w:r>
      <w:r>
        <w:rPr>
          <w:rFonts w:ascii="Times New Roman" w:hAnsi="Times New Roman" w:cs="Times New Roman"/>
          <w:spacing w:val="-6"/>
          <w:sz w:val="24"/>
          <w:szCs w:val="24"/>
        </w:rPr>
        <w:t xml:space="preserve">fund </w:t>
      </w:r>
      <w:r>
        <w:rPr>
          <w:rFonts w:ascii="Times New Roman" w:hAnsi="Times New Roman" w:cs="Times New Roman"/>
          <w:spacing w:val="-5"/>
          <w:sz w:val="24"/>
          <w:szCs w:val="24"/>
        </w:rPr>
        <w:t xml:space="preserve">the </w:t>
      </w:r>
      <w:r>
        <w:rPr>
          <w:rFonts w:ascii="Times New Roman" w:hAnsi="Times New Roman" w:cs="Times New Roman"/>
          <w:spacing w:val="-6"/>
          <w:sz w:val="24"/>
          <w:szCs w:val="24"/>
        </w:rPr>
        <w:t xml:space="preserve">community </w:t>
      </w:r>
      <w:r>
        <w:rPr>
          <w:rFonts w:ascii="Times New Roman" w:hAnsi="Times New Roman" w:cs="Times New Roman"/>
          <w:sz w:val="24"/>
          <w:szCs w:val="24"/>
        </w:rPr>
        <w:t xml:space="preserve">partners’ provision of </w:t>
      </w:r>
      <w:r>
        <w:rPr>
          <w:rFonts w:ascii="Times New Roman" w:hAnsi="Times New Roman" w:cs="Times New Roman"/>
          <w:spacing w:val="-3"/>
          <w:sz w:val="24"/>
          <w:szCs w:val="24"/>
        </w:rPr>
        <w:t xml:space="preserve">interpretation, navigation, </w:t>
      </w:r>
      <w:r>
        <w:rPr>
          <w:rFonts w:ascii="Times New Roman" w:hAnsi="Times New Roman" w:cs="Times New Roman"/>
          <w:spacing w:val="-4"/>
          <w:sz w:val="24"/>
          <w:szCs w:val="24"/>
        </w:rPr>
        <w:t xml:space="preserve">and </w:t>
      </w:r>
      <w:r>
        <w:rPr>
          <w:rFonts w:ascii="Times New Roman" w:hAnsi="Times New Roman" w:cs="Times New Roman"/>
          <w:sz w:val="24"/>
          <w:szCs w:val="24"/>
        </w:rPr>
        <w:t xml:space="preserve">even translation services </w:t>
      </w:r>
      <w:r>
        <w:rPr>
          <w:rFonts w:ascii="Times New Roman" w:hAnsi="Times New Roman" w:cs="Times New Roman"/>
          <w:spacing w:val="-3"/>
          <w:sz w:val="24"/>
          <w:szCs w:val="24"/>
        </w:rPr>
        <w:t xml:space="preserve">for ACOs. </w:t>
      </w:r>
      <w:r>
        <w:rPr>
          <w:rFonts w:ascii="Times New Roman" w:hAnsi="Times New Roman" w:cs="Times New Roman"/>
          <w:sz w:val="24"/>
          <w:szCs w:val="24"/>
        </w:rPr>
        <w:t xml:space="preserve">Also, we </w:t>
      </w:r>
      <w:r>
        <w:rPr>
          <w:rFonts w:ascii="Times New Roman" w:hAnsi="Times New Roman" w:cs="Times New Roman"/>
          <w:spacing w:val="-5"/>
          <w:sz w:val="24"/>
          <w:szCs w:val="24"/>
        </w:rPr>
        <w:t xml:space="preserve">urge </w:t>
      </w:r>
      <w:r>
        <w:rPr>
          <w:rFonts w:ascii="Times New Roman" w:hAnsi="Times New Roman" w:cs="Times New Roman"/>
          <w:spacing w:val="-3"/>
          <w:sz w:val="24"/>
          <w:szCs w:val="24"/>
        </w:rPr>
        <w:t xml:space="preserve">MassHealth </w:t>
      </w:r>
      <w:r>
        <w:rPr>
          <w:rFonts w:ascii="Times New Roman" w:hAnsi="Times New Roman" w:cs="Times New Roman"/>
          <w:spacing w:val="-7"/>
          <w:sz w:val="24"/>
          <w:szCs w:val="24"/>
        </w:rPr>
        <w:t xml:space="preserve">to </w:t>
      </w:r>
      <w:r>
        <w:rPr>
          <w:rFonts w:ascii="Times New Roman" w:hAnsi="Times New Roman" w:cs="Times New Roman"/>
          <w:sz w:val="24"/>
          <w:szCs w:val="24"/>
        </w:rPr>
        <w:t xml:space="preserve">explore </w:t>
      </w:r>
      <w:r>
        <w:rPr>
          <w:rFonts w:ascii="Times New Roman" w:hAnsi="Times New Roman" w:cs="Times New Roman"/>
          <w:spacing w:val="-5"/>
          <w:sz w:val="24"/>
          <w:szCs w:val="24"/>
        </w:rPr>
        <w:t xml:space="preserve">the </w:t>
      </w:r>
      <w:r>
        <w:rPr>
          <w:rFonts w:ascii="Times New Roman" w:hAnsi="Times New Roman" w:cs="Times New Roman"/>
          <w:sz w:val="24"/>
          <w:szCs w:val="24"/>
        </w:rPr>
        <w:t xml:space="preserve">availability of </w:t>
      </w:r>
      <w:r>
        <w:rPr>
          <w:rFonts w:ascii="Times New Roman" w:hAnsi="Times New Roman" w:cs="Times New Roman"/>
          <w:spacing w:val="-5"/>
          <w:sz w:val="24"/>
          <w:szCs w:val="24"/>
        </w:rPr>
        <w:t xml:space="preserve">enhanced </w:t>
      </w:r>
      <w:r>
        <w:rPr>
          <w:rFonts w:ascii="Times New Roman" w:hAnsi="Times New Roman" w:cs="Times New Roman"/>
          <w:sz w:val="24"/>
          <w:szCs w:val="24"/>
        </w:rPr>
        <w:t xml:space="preserve">federal </w:t>
      </w:r>
      <w:r>
        <w:rPr>
          <w:rFonts w:ascii="Times New Roman" w:hAnsi="Times New Roman" w:cs="Times New Roman"/>
          <w:spacing w:val="-6"/>
          <w:sz w:val="24"/>
          <w:szCs w:val="24"/>
        </w:rPr>
        <w:t xml:space="preserve">matching </w:t>
      </w:r>
      <w:r>
        <w:rPr>
          <w:rFonts w:ascii="Times New Roman" w:hAnsi="Times New Roman" w:cs="Times New Roman"/>
          <w:spacing w:val="-7"/>
          <w:sz w:val="24"/>
          <w:szCs w:val="24"/>
        </w:rPr>
        <w:t xml:space="preserve">funds </w:t>
      </w:r>
      <w:r>
        <w:rPr>
          <w:rFonts w:ascii="Times New Roman" w:hAnsi="Times New Roman" w:cs="Times New Roman"/>
          <w:sz w:val="24"/>
          <w:szCs w:val="24"/>
        </w:rPr>
        <w:t xml:space="preserve">(75% </w:t>
      </w:r>
      <w:r>
        <w:rPr>
          <w:rFonts w:ascii="Times New Roman" w:hAnsi="Times New Roman" w:cs="Times New Roman"/>
          <w:spacing w:val="-4"/>
          <w:sz w:val="24"/>
          <w:szCs w:val="24"/>
        </w:rPr>
        <w:t xml:space="preserve">FMAP) </w:t>
      </w:r>
      <w:r>
        <w:rPr>
          <w:rFonts w:ascii="Times New Roman" w:hAnsi="Times New Roman" w:cs="Times New Roman"/>
          <w:sz w:val="24"/>
          <w:szCs w:val="24"/>
        </w:rPr>
        <w:t xml:space="preserve">available </w:t>
      </w:r>
      <w:r>
        <w:rPr>
          <w:rFonts w:ascii="Times New Roman" w:hAnsi="Times New Roman" w:cs="Times New Roman"/>
          <w:spacing w:val="-3"/>
          <w:sz w:val="24"/>
          <w:szCs w:val="24"/>
        </w:rPr>
        <w:t xml:space="preserve">for </w:t>
      </w:r>
      <w:r>
        <w:rPr>
          <w:rFonts w:ascii="Times New Roman" w:hAnsi="Times New Roman" w:cs="Times New Roman"/>
          <w:sz w:val="24"/>
          <w:szCs w:val="24"/>
        </w:rPr>
        <w:t xml:space="preserve">interpretation services </w:t>
      </w:r>
      <w:r>
        <w:rPr>
          <w:rFonts w:ascii="Times New Roman" w:hAnsi="Times New Roman" w:cs="Times New Roman"/>
          <w:spacing w:val="-3"/>
          <w:sz w:val="24"/>
          <w:szCs w:val="24"/>
        </w:rPr>
        <w:t xml:space="preserve">for </w:t>
      </w:r>
      <w:r>
        <w:rPr>
          <w:rFonts w:ascii="Times New Roman" w:hAnsi="Times New Roman" w:cs="Times New Roman"/>
          <w:sz w:val="24"/>
          <w:szCs w:val="24"/>
        </w:rPr>
        <w:t xml:space="preserve">children’s </w:t>
      </w:r>
      <w:r>
        <w:rPr>
          <w:rFonts w:ascii="Times New Roman" w:hAnsi="Times New Roman" w:cs="Times New Roman"/>
          <w:spacing w:val="-4"/>
          <w:sz w:val="24"/>
          <w:szCs w:val="24"/>
        </w:rPr>
        <w:t>health.</w:t>
      </w:r>
      <w:r>
        <w:rPr>
          <w:rFonts w:ascii="Times New Roman" w:hAnsi="Times New Roman" w:cs="Times New Roman"/>
          <w:spacing w:val="-4"/>
          <w:position w:val="8"/>
          <w:sz w:val="15"/>
          <w:szCs w:val="15"/>
        </w:rPr>
        <w:t>4</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20"/>
        <w:rPr>
          <w:rFonts w:ascii="Times New Roman" w:hAnsi="Times New Roman" w:cs="Times New Roman"/>
          <w:sz w:val="24"/>
          <w:szCs w:val="24"/>
        </w:rPr>
      </w:pPr>
      <w:r>
        <w:rPr>
          <w:rFonts w:ascii="Times New Roman" w:hAnsi="Times New Roman" w:cs="Times New Roman"/>
          <w:sz w:val="24"/>
          <w:szCs w:val="24"/>
          <w:u w:val="single"/>
        </w:rPr>
        <w:t>Ensuring a Robust Health Care Safety Net</w:t>
      </w:r>
    </w:p>
    <w:p w:rsidR="002C5025" w:rsidRDefault="002C5025">
      <w:pPr>
        <w:pStyle w:val="BodyText"/>
        <w:kinsoku w:val="0"/>
        <w:overflowPunct w:val="0"/>
        <w:ind w:left="120" w:right="267"/>
        <w:rPr>
          <w:rFonts w:ascii="Times New Roman" w:hAnsi="Times New Roman" w:cs="Times New Roman"/>
          <w:sz w:val="24"/>
          <w:szCs w:val="24"/>
        </w:rPr>
      </w:pPr>
      <w:r>
        <w:rPr>
          <w:rFonts w:ascii="Times New Roman" w:hAnsi="Times New Roman" w:cs="Times New Roman"/>
          <w:spacing w:val="-4"/>
          <w:sz w:val="24"/>
          <w:szCs w:val="24"/>
        </w:rPr>
        <w:t xml:space="preserve">During </w:t>
      </w:r>
      <w:r>
        <w:rPr>
          <w:rFonts w:ascii="Times New Roman" w:hAnsi="Times New Roman" w:cs="Times New Roman"/>
          <w:spacing w:val="-3"/>
          <w:sz w:val="24"/>
          <w:szCs w:val="24"/>
        </w:rPr>
        <w:t xml:space="preserve">MassHealth’s </w:t>
      </w:r>
      <w:r>
        <w:rPr>
          <w:rFonts w:ascii="Times New Roman" w:hAnsi="Times New Roman" w:cs="Times New Roman"/>
          <w:sz w:val="24"/>
          <w:szCs w:val="24"/>
        </w:rPr>
        <w:t xml:space="preserve">transition </w:t>
      </w:r>
      <w:r>
        <w:rPr>
          <w:rFonts w:ascii="Times New Roman" w:hAnsi="Times New Roman" w:cs="Times New Roman"/>
          <w:spacing w:val="-3"/>
          <w:sz w:val="24"/>
          <w:szCs w:val="24"/>
        </w:rPr>
        <w:t xml:space="preserve">to </w:t>
      </w:r>
      <w:r>
        <w:rPr>
          <w:rFonts w:ascii="Times New Roman" w:hAnsi="Times New Roman" w:cs="Times New Roman"/>
          <w:spacing w:val="-4"/>
          <w:sz w:val="24"/>
          <w:szCs w:val="24"/>
        </w:rPr>
        <w:t xml:space="preserve">new ACO </w:t>
      </w:r>
      <w:r>
        <w:rPr>
          <w:rFonts w:ascii="Times New Roman" w:hAnsi="Times New Roman" w:cs="Times New Roman"/>
          <w:sz w:val="24"/>
          <w:szCs w:val="24"/>
        </w:rPr>
        <w:t xml:space="preserve">models, </w:t>
      </w:r>
      <w:r>
        <w:rPr>
          <w:rFonts w:ascii="Times New Roman" w:hAnsi="Times New Roman" w:cs="Times New Roman"/>
          <w:spacing w:val="-5"/>
          <w:sz w:val="24"/>
          <w:szCs w:val="24"/>
        </w:rPr>
        <w:t xml:space="preserve">the Commonwealth </w:t>
      </w:r>
      <w:r>
        <w:rPr>
          <w:rFonts w:ascii="Times New Roman" w:hAnsi="Times New Roman" w:cs="Times New Roman"/>
          <w:spacing w:val="-7"/>
          <w:sz w:val="24"/>
          <w:szCs w:val="24"/>
        </w:rPr>
        <w:t xml:space="preserve">must </w:t>
      </w:r>
      <w:r>
        <w:rPr>
          <w:rFonts w:ascii="Times New Roman" w:hAnsi="Times New Roman" w:cs="Times New Roman"/>
          <w:spacing w:val="-5"/>
          <w:sz w:val="24"/>
          <w:szCs w:val="24"/>
        </w:rPr>
        <w:t xml:space="preserve">maintain </w:t>
      </w:r>
      <w:r>
        <w:rPr>
          <w:rFonts w:ascii="Times New Roman" w:hAnsi="Times New Roman" w:cs="Times New Roman"/>
          <w:sz w:val="24"/>
          <w:szCs w:val="24"/>
        </w:rPr>
        <w:t xml:space="preserve">a </w:t>
      </w:r>
      <w:r>
        <w:rPr>
          <w:rFonts w:ascii="Times New Roman" w:hAnsi="Times New Roman" w:cs="Times New Roman"/>
          <w:spacing w:val="-3"/>
          <w:sz w:val="24"/>
          <w:szCs w:val="24"/>
        </w:rPr>
        <w:t xml:space="preserve">robust </w:t>
      </w:r>
      <w:r>
        <w:rPr>
          <w:rFonts w:ascii="Times New Roman" w:hAnsi="Times New Roman" w:cs="Times New Roman"/>
          <w:sz w:val="24"/>
          <w:szCs w:val="24"/>
        </w:rPr>
        <w:t xml:space="preserve">safety </w:t>
      </w:r>
      <w:r>
        <w:rPr>
          <w:rFonts w:ascii="Times New Roman" w:hAnsi="Times New Roman" w:cs="Times New Roman"/>
          <w:spacing w:val="-3"/>
          <w:sz w:val="24"/>
          <w:szCs w:val="24"/>
        </w:rPr>
        <w:t xml:space="preserve">net to ensure </w:t>
      </w:r>
      <w:r>
        <w:rPr>
          <w:rFonts w:ascii="Times New Roman" w:hAnsi="Times New Roman" w:cs="Times New Roman"/>
          <w:sz w:val="24"/>
          <w:szCs w:val="24"/>
        </w:rPr>
        <w:t xml:space="preserve">access </w:t>
      </w:r>
      <w:r>
        <w:rPr>
          <w:rFonts w:ascii="Times New Roman" w:hAnsi="Times New Roman" w:cs="Times New Roman"/>
          <w:spacing w:val="-3"/>
          <w:sz w:val="24"/>
          <w:szCs w:val="24"/>
        </w:rPr>
        <w:t xml:space="preserve">to </w:t>
      </w:r>
      <w:r>
        <w:rPr>
          <w:rFonts w:ascii="Times New Roman" w:hAnsi="Times New Roman" w:cs="Times New Roman"/>
          <w:spacing w:val="-2"/>
          <w:sz w:val="24"/>
          <w:szCs w:val="24"/>
        </w:rPr>
        <w:t xml:space="preserve">health </w:t>
      </w:r>
      <w:r>
        <w:rPr>
          <w:rFonts w:ascii="Times New Roman" w:hAnsi="Times New Roman" w:cs="Times New Roman"/>
          <w:sz w:val="24"/>
          <w:szCs w:val="24"/>
        </w:rPr>
        <w:t xml:space="preserve">services </w:t>
      </w:r>
      <w:r>
        <w:rPr>
          <w:rFonts w:ascii="Times New Roman" w:hAnsi="Times New Roman" w:cs="Times New Roman"/>
          <w:spacing w:val="-4"/>
          <w:sz w:val="24"/>
          <w:szCs w:val="24"/>
        </w:rPr>
        <w:t xml:space="preserve">and </w:t>
      </w:r>
      <w:r>
        <w:rPr>
          <w:rFonts w:ascii="Times New Roman" w:hAnsi="Times New Roman" w:cs="Times New Roman"/>
          <w:sz w:val="24"/>
          <w:szCs w:val="24"/>
        </w:rPr>
        <w:t xml:space="preserve">prevent </w:t>
      </w:r>
      <w:r>
        <w:rPr>
          <w:rFonts w:ascii="Times New Roman" w:hAnsi="Times New Roman" w:cs="Times New Roman"/>
          <w:spacing w:val="-3"/>
          <w:sz w:val="24"/>
          <w:szCs w:val="24"/>
        </w:rPr>
        <w:t xml:space="preserve">medical </w:t>
      </w:r>
      <w:r>
        <w:rPr>
          <w:rFonts w:ascii="Times New Roman" w:hAnsi="Times New Roman" w:cs="Times New Roman"/>
          <w:sz w:val="24"/>
          <w:szCs w:val="24"/>
        </w:rPr>
        <w:t xml:space="preserve">debt. </w:t>
      </w:r>
      <w:r>
        <w:rPr>
          <w:rFonts w:ascii="Times New Roman" w:hAnsi="Times New Roman" w:cs="Times New Roman"/>
          <w:spacing w:val="-4"/>
          <w:sz w:val="24"/>
          <w:szCs w:val="24"/>
        </w:rPr>
        <w:t xml:space="preserve">The </w:t>
      </w:r>
      <w:r>
        <w:rPr>
          <w:rFonts w:ascii="Times New Roman" w:hAnsi="Times New Roman" w:cs="Times New Roman"/>
          <w:sz w:val="24"/>
          <w:szCs w:val="24"/>
        </w:rPr>
        <w:t xml:space="preserve">proposed  </w:t>
      </w:r>
      <w:r>
        <w:rPr>
          <w:rFonts w:ascii="Times New Roman" w:hAnsi="Times New Roman" w:cs="Times New Roman"/>
          <w:spacing w:val="-4"/>
          <w:sz w:val="24"/>
          <w:szCs w:val="24"/>
        </w:rPr>
        <w:t xml:space="preserve">restructuring </w:t>
      </w:r>
      <w:r>
        <w:rPr>
          <w:rFonts w:ascii="Times New Roman" w:hAnsi="Times New Roman" w:cs="Times New Roman"/>
          <w:sz w:val="24"/>
          <w:szCs w:val="24"/>
        </w:rPr>
        <w:t xml:space="preserve">of </w:t>
      </w:r>
      <w:r>
        <w:rPr>
          <w:rFonts w:ascii="Times New Roman" w:hAnsi="Times New Roman" w:cs="Times New Roman"/>
          <w:spacing w:val="-5"/>
          <w:sz w:val="24"/>
          <w:szCs w:val="24"/>
        </w:rPr>
        <w:t xml:space="preserve">the </w:t>
      </w:r>
      <w:r>
        <w:rPr>
          <w:rFonts w:ascii="Times New Roman" w:hAnsi="Times New Roman" w:cs="Times New Roman"/>
          <w:spacing w:val="-3"/>
          <w:sz w:val="24"/>
          <w:szCs w:val="24"/>
        </w:rPr>
        <w:t xml:space="preserve">Safety Net </w:t>
      </w:r>
      <w:r>
        <w:rPr>
          <w:rFonts w:ascii="Times New Roman" w:hAnsi="Times New Roman" w:cs="Times New Roman"/>
          <w:sz w:val="24"/>
          <w:szCs w:val="24"/>
        </w:rPr>
        <w:t xml:space="preserve">Care Pool arrives on </w:t>
      </w:r>
      <w:r>
        <w:rPr>
          <w:rFonts w:ascii="Times New Roman" w:hAnsi="Times New Roman" w:cs="Times New Roman"/>
          <w:spacing w:val="-5"/>
          <w:sz w:val="24"/>
          <w:szCs w:val="24"/>
        </w:rPr>
        <w:t xml:space="preserve">the </w:t>
      </w:r>
      <w:r>
        <w:rPr>
          <w:rFonts w:ascii="Times New Roman" w:hAnsi="Times New Roman" w:cs="Times New Roman"/>
          <w:sz w:val="24"/>
          <w:szCs w:val="24"/>
        </w:rPr>
        <w:t xml:space="preserve">heels of drastic </w:t>
      </w:r>
      <w:r>
        <w:rPr>
          <w:rFonts w:ascii="Times New Roman" w:hAnsi="Times New Roman" w:cs="Times New Roman"/>
          <w:spacing w:val="-5"/>
          <w:sz w:val="24"/>
          <w:szCs w:val="24"/>
        </w:rPr>
        <w:t xml:space="preserve">changes </w:t>
      </w:r>
      <w:r>
        <w:rPr>
          <w:rFonts w:ascii="Times New Roman" w:hAnsi="Times New Roman" w:cs="Times New Roman"/>
          <w:spacing w:val="-3"/>
          <w:sz w:val="24"/>
          <w:szCs w:val="24"/>
        </w:rPr>
        <w:t xml:space="preserve">to </w:t>
      </w:r>
      <w:r>
        <w:rPr>
          <w:rFonts w:ascii="Times New Roman" w:hAnsi="Times New Roman" w:cs="Times New Roman"/>
          <w:spacing w:val="-4"/>
          <w:sz w:val="24"/>
          <w:szCs w:val="24"/>
        </w:rPr>
        <w:t xml:space="preserve">the </w:t>
      </w:r>
      <w:r>
        <w:rPr>
          <w:rFonts w:ascii="Times New Roman" w:hAnsi="Times New Roman" w:cs="Times New Roman"/>
          <w:sz w:val="24"/>
          <w:szCs w:val="24"/>
        </w:rPr>
        <w:t xml:space="preserve">Health </w:t>
      </w:r>
      <w:r>
        <w:rPr>
          <w:rFonts w:ascii="Times New Roman" w:hAnsi="Times New Roman" w:cs="Times New Roman"/>
          <w:spacing w:val="-3"/>
          <w:sz w:val="24"/>
          <w:szCs w:val="24"/>
        </w:rPr>
        <w:t xml:space="preserve">Safety </w:t>
      </w:r>
      <w:r>
        <w:rPr>
          <w:rFonts w:ascii="Times New Roman" w:hAnsi="Times New Roman" w:cs="Times New Roman"/>
          <w:sz w:val="24"/>
          <w:szCs w:val="24"/>
        </w:rPr>
        <w:t xml:space="preserve">Net </w:t>
      </w:r>
      <w:r>
        <w:rPr>
          <w:rFonts w:ascii="Times New Roman" w:hAnsi="Times New Roman" w:cs="Times New Roman"/>
          <w:spacing w:val="-3"/>
          <w:sz w:val="24"/>
          <w:szCs w:val="24"/>
        </w:rPr>
        <w:t xml:space="preserve">(HSN) </w:t>
      </w:r>
      <w:r>
        <w:rPr>
          <w:rFonts w:ascii="Times New Roman" w:hAnsi="Times New Roman" w:cs="Times New Roman"/>
          <w:spacing w:val="-4"/>
          <w:sz w:val="24"/>
          <w:szCs w:val="24"/>
        </w:rPr>
        <w:t xml:space="preserve">that </w:t>
      </w:r>
      <w:r>
        <w:rPr>
          <w:rFonts w:ascii="Times New Roman" w:hAnsi="Times New Roman" w:cs="Times New Roman"/>
          <w:spacing w:val="2"/>
          <w:sz w:val="24"/>
          <w:szCs w:val="24"/>
        </w:rPr>
        <w:t xml:space="preserve">will </w:t>
      </w:r>
      <w:r>
        <w:rPr>
          <w:rFonts w:ascii="Times New Roman" w:hAnsi="Times New Roman" w:cs="Times New Roman"/>
          <w:spacing w:val="-4"/>
          <w:sz w:val="24"/>
          <w:szCs w:val="24"/>
        </w:rPr>
        <w:t xml:space="preserve">undoubtedly </w:t>
      </w:r>
      <w:r>
        <w:rPr>
          <w:rFonts w:ascii="Times New Roman" w:hAnsi="Times New Roman" w:cs="Times New Roman"/>
          <w:sz w:val="24"/>
          <w:szCs w:val="24"/>
        </w:rPr>
        <w:t xml:space="preserve">increase </w:t>
      </w:r>
      <w:r>
        <w:rPr>
          <w:rFonts w:ascii="Times New Roman" w:hAnsi="Times New Roman" w:cs="Times New Roman"/>
          <w:spacing w:val="-3"/>
          <w:sz w:val="24"/>
          <w:szCs w:val="24"/>
        </w:rPr>
        <w:t xml:space="preserve">unaffordable out-of-pocket </w:t>
      </w:r>
      <w:r>
        <w:rPr>
          <w:rFonts w:ascii="Times New Roman" w:hAnsi="Times New Roman" w:cs="Times New Roman"/>
          <w:sz w:val="24"/>
          <w:szCs w:val="24"/>
        </w:rPr>
        <w:t xml:space="preserve">costs </w:t>
      </w:r>
      <w:r>
        <w:rPr>
          <w:rFonts w:ascii="Times New Roman" w:hAnsi="Times New Roman" w:cs="Times New Roman"/>
          <w:spacing w:val="-3"/>
          <w:sz w:val="24"/>
          <w:szCs w:val="24"/>
        </w:rPr>
        <w:t xml:space="preserve">for </w:t>
      </w:r>
      <w:r>
        <w:rPr>
          <w:rFonts w:ascii="Times New Roman" w:hAnsi="Times New Roman" w:cs="Times New Roman"/>
          <w:spacing w:val="-5"/>
          <w:sz w:val="24"/>
          <w:szCs w:val="24"/>
        </w:rPr>
        <w:t xml:space="preserve">consumers </w:t>
      </w:r>
      <w:r>
        <w:rPr>
          <w:rFonts w:ascii="Times New Roman" w:hAnsi="Times New Roman" w:cs="Times New Roman"/>
          <w:spacing w:val="-4"/>
          <w:sz w:val="24"/>
          <w:szCs w:val="24"/>
        </w:rPr>
        <w:t xml:space="preserve">and </w:t>
      </w:r>
      <w:r>
        <w:rPr>
          <w:rFonts w:ascii="Times New Roman" w:hAnsi="Times New Roman" w:cs="Times New Roman"/>
          <w:sz w:val="24"/>
          <w:szCs w:val="24"/>
        </w:rPr>
        <w:t xml:space="preserve">bad debt </w:t>
      </w:r>
      <w:r>
        <w:rPr>
          <w:rFonts w:ascii="Times New Roman" w:hAnsi="Times New Roman" w:cs="Times New Roman"/>
          <w:spacing w:val="-3"/>
          <w:sz w:val="24"/>
          <w:szCs w:val="24"/>
        </w:rPr>
        <w:t xml:space="preserve">for </w:t>
      </w:r>
      <w:r>
        <w:rPr>
          <w:rFonts w:ascii="Times New Roman" w:hAnsi="Times New Roman" w:cs="Times New Roman"/>
          <w:sz w:val="24"/>
          <w:szCs w:val="24"/>
        </w:rPr>
        <w:t xml:space="preserve">providers. </w:t>
      </w:r>
      <w:r>
        <w:rPr>
          <w:rFonts w:ascii="Times New Roman" w:hAnsi="Times New Roman" w:cs="Times New Roman"/>
          <w:spacing w:val="-4"/>
          <w:sz w:val="24"/>
          <w:szCs w:val="24"/>
        </w:rPr>
        <w:t xml:space="preserve">The </w:t>
      </w:r>
      <w:r>
        <w:rPr>
          <w:rFonts w:ascii="Times New Roman" w:hAnsi="Times New Roman" w:cs="Times New Roman"/>
          <w:sz w:val="24"/>
          <w:szCs w:val="24"/>
        </w:rPr>
        <w:t xml:space="preserve">recent eligibility </w:t>
      </w:r>
      <w:r>
        <w:rPr>
          <w:rFonts w:ascii="Times New Roman" w:hAnsi="Times New Roman" w:cs="Times New Roman"/>
          <w:spacing w:val="-4"/>
          <w:sz w:val="24"/>
          <w:szCs w:val="24"/>
        </w:rPr>
        <w:t xml:space="preserve">cuts </w:t>
      </w:r>
      <w:r>
        <w:rPr>
          <w:rFonts w:ascii="Times New Roman" w:hAnsi="Times New Roman" w:cs="Times New Roman"/>
          <w:sz w:val="24"/>
          <w:szCs w:val="24"/>
        </w:rPr>
        <w:t xml:space="preserve">– </w:t>
      </w:r>
      <w:r>
        <w:rPr>
          <w:rFonts w:ascii="Times New Roman" w:hAnsi="Times New Roman" w:cs="Times New Roman"/>
          <w:spacing w:val="-4"/>
          <w:sz w:val="24"/>
          <w:szCs w:val="24"/>
        </w:rPr>
        <w:t xml:space="preserve">introducing </w:t>
      </w:r>
      <w:r>
        <w:rPr>
          <w:rFonts w:ascii="Times New Roman" w:hAnsi="Times New Roman" w:cs="Times New Roman"/>
          <w:sz w:val="24"/>
          <w:szCs w:val="24"/>
        </w:rPr>
        <w:t xml:space="preserve">a </w:t>
      </w:r>
      <w:r>
        <w:rPr>
          <w:rFonts w:ascii="Times New Roman" w:hAnsi="Times New Roman" w:cs="Times New Roman"/>
          <w:spacing w:val="-6"/>
          <w:sz w:val="24"/>
          <w:szCs w:val="24"/>
        </w:rPr>
        <w:t xml:space="preserve">minimum </w:t>
      </w:r>
      <w:r>
        <w:rPr>
          <w:rFonts w:ascii="Times New Roman" w:hAnsi="Times New Roman" w:cs="Times New Roman"/>
          <w:sz w:val="24"/>
          <w:szCs w:val="24"/>
        </w:rPr>
        <w:t xml:space="preserve">$516 deductible </w:t>
      </w:r>
      <w:r>
        <w:rPr>
          <w:rFonts w:ascii="Times New Roman" w:hAnsi="Times New Roman" w:cs="Times New Roman"/>
          <w:spacing w:val="-3"/>
          <w:sz w:val="24"/>
          <w:szCs w:val="24"/>
        </w:rPr>
        <w:t xml:space="preserve">for </w:t>
      </w:r>
      <w:r>
        <w:rPr>
          <w:rFonts w:ascii="Times New Roman" w:hAnsi="Times New Roman" w:cs="Times New Roman"/>
          <w:sz w:val="24"/>
          <w:szCs w:val="24"/>
        </w:rPr>
        <w:t xml:space="preserve">low-income </w:t>
      </w:r>
      <w:r>
        <w:rPr>
          <w:rFonts w:ascii="Times New Roman" w:hAnsi="Times New Roman" w:cs="Times New Roman"/>
          <w:spacing w:val="-5"/>
          <w:sz w:val="24"/>
          <w:szCs w:val="24"/>
        </w:rPr>
        <w:t xml:space="preserve">consumers beginning </w:t>
      </w:r>
      <w:r>
        <w:rPr>
          <w:rFonts w:ascii="Times New Roman" w:hAnsi="Times New Roman" w:cs="Times New Roman"/>
          <w:sz w:val="24"/>
          <w:szCs w:val="24"/>
        </w:rPr>
        <w:t xml:space="preserve">at 150% of </w:t>
      </w:r>
      <w:r>
        <w:rPr>
          <w:rFonts w:ascii="Times New Roman" w:hAnsi="Times New Roman" w:cs="Times New Roman"/>
          <w:spacing w:val="-5"/>
          <w:sz w:val="24"/>
          <w:szCs w:val="24"/>
        </w:rPr>
        <w:t xml:space="preserve">the </w:t>
      </w:r>
      <w:r>
        <w:rPr>
          <w:rFonts w:ascii="Times New Roman" w:hAnsi="Times New Roman" w:cs="Times New Roman"/>
          <w:sz w:val="24"/>
          <w:szCs w:val="24"/>
        </w:rPr>
        <w:t xml:space="preserve">Federal Poverty level </w:t>
      </w:r>
      <w:r>
        <w:rPr>
          <w:rFonts w:ascii="Times New Roman" w:hAnsi="Times New Roman" w:cs="Times New Roman"/>
          <w:spacing w:val="-4"/>
          <w:sz w:val="24"/>
          <w:szCs w:val="24"/>
        </w:rPr>
        <w:t xml:space="preserve">(FPL), </w:t>
      </w:r>
      <w:r>
        <w:rPr>
          <w:rFonts w:ascii="Times New Roman" w:hAnsi="Times New Roman" w:cs="Times New Roman"/>
          <w:spacing w:val="-3"/>
          <w:sz w:val="24"/>
          <w:szCs w:val="24"/>
        </w:rPr>
        <w:t xml:space="preserve">eliminating </w:t>
      </w:r>
      <w:r>
        <w:rPr>
          <w:rFonts w:ascii="Times New Roman" w:hAnsi="Times New Roman" w:cs="Times New Roman"/>
          <w:sz w:val="24"/>
          <w:szCs w:val="24"/>
        </w:rPr>
        <w:t xml:space="preserve">six </w:t>
      </w:r>
      <w:r>
        <w:rPr>
          <w:rFonts w:ascii="Times New Roman" w:hAnsi="Times New Roman" w:cs="Times New Roman"/>
          <w:spacing w:val="-9"/>
          <w:sz w:val="24"/>
          <w:szCs w:val="24"/>
        </w:rPr>
        <w:t xml:space="preserve">months </w:t>
      </w:r>
      <w:r>
        <w:rPr>
          <w:rFonts w:ascii="Times New Roman" w:hAnsi="Times New Roman" w:cs="Times New Roman"/>
          <w:sz w:val="24"/>
          <w:szCs w:val="24"/>
        </w:rPr>
        <w:t xml:space="preserve">of retroactive coverage, </w:t>
      </w:r>
      <w:r>
        <w:rPr>
          <w:rFonts w:ascii="Times New Roman" w:hAnsi="Times New Roman" w:cs="Times New Roman"/>
          <w:spacing w:val="-4"/>
          <w:sz w:val="24"/>
          <w:szCs w:val="24"/>
        </w:rPr>
        <w:t xml:space="preserve">and </w:t>
      </w:r>
      <w:r>
        <w:rPr>
          <w:rFonts w:ascii="Times New Roman" w:hAnsi="Times New Roman" w:cs="Times New Roman"/>
          <w:sz w:val="24"/>
          <w:szCs w:val="24"/>
        </w:rPr>
        <w:t xml:space="preserve">decreasing eligibility </w:t>
      </w:r>
      <w:r>
        <w:rPr>
          <w:rFonts w:ascii="Times New Roman" w:hAnsi="Times New Roman" w:cs="Times New Roman"/>
          <w:spacing w:val="-3"/>
          <w:sz w:val="24"/>
          <w:szCs w:val="24"/>
        </w:rPr>
        <w:t xml:space="preserve">from </w:t>
      </w:r>
      <w:r>
        <w:rPr>
          <w:rFonts w:ascii="Times New Roman" w:hAnsi="Times New Roman" w:cs="Times New Roman"/>
          <w:sz w:val="24"/>
          <w:szCs w:val="24"/>
        </w:rPr>
        <w:t xml:space="preserve">400% FPL to 300% FPL – </w:t>
      </w:r>
      <w:r>
        <w:rPr>
          <w:rFonts w:ascii="Times New Roman" w:hAnsi="Times New Roman" w:cs="Times New Roman"/>
          <w:spacing w:val="-4"/>
          <w:sz w:val="24"/>
          <w:szCs w:val="24"/>
        </w:rPr>
        <w:t xml:space="preserve">have </w:t>
      </w:r>
      <w:r>
        <w:rPr>
          <w:rFonts w:ascii="Times New Roman" w:hAnsi="Times New Roman" w:cs="Times New Roman"/>
          <w:sz w:val="24"/>
          <w:szCs w:val="24"/>
        </w:rPr>
        <w:t xml:space="preserve">greatly </w:t>
      </w:r>
      <w:r>
        <w:rPr>
          <w:rFonts w:ascii="Times New Roman" w:hAnsi="Times New Roman" w:cs="Times New Roman"/>
          <w:spacing w:val="-5"/>
          <w:sz w:val="24"/>
          <w:szCs w:val="24"/>
        </w:rPr>
        <w:t xml:space="preserve">undermined the </w:t>
      </w:r>
      <w:r>
        <w:rPr>
          <w:rFonts w:ascii="Times New Roman" w:hAnsi="Times New Roman" w:cs="Times New Roman"/>
          <w:spacing w:val="-2"/>
          <w:sz w:val="24"/>
          <w:szCs w:val="24"/>
        </w:rPr>
        <w:t xml:space="preserve">health </w:t>
      </w:r>
      <w:r>
        <w:rPr>
          <w:rFonts w:ascii="Times New Roman" w:hAnsi="Times New Roman" w:cs="Times New Roman"/>
          <w:spacing w:val="-3"/>
          <w:sz w:val="24"/>
          <w:szCs w:val="24"/>
        </w:rPr>
        <w:t xml:space="preserve">and financial </w:t>
      </w:r>
      <w:r>
        <w:rPr>
          <w:rFonts w:ascii="Times New Roman" w:hAnsi="Times New Roman" w:cs="Times New Roman"/>
          <w:sz w:val="24"/>
          <w:szCs w:val="24"/>
        </w:rPr>
        <w:t xml:space="preserve">stability of vulnerable </w:t>
      </w:r>
      <w:r>
        <w:rPr>
          <w:rFonts w:ascii="Times New Roman" w:hAnsi="Times New Roman" w:cs="Times New Roman"/>
          <w:spacing w:val="-3"/>
          <w:sz w:val="24"/>
          <w:szCs w:val="24"/>
        </w:rPr>
        <w:t xml:space="preserve">populations such </w:t>
      </w:r>
      <w:r>
        <w:rPr>
          <w:rFonts w:ascii="Times New Roman" w:hAnsi="Times New Roman" w:cs="Times New Roman"/>
          <w:sz w:val="24"/>
          <w:szCs w:val="24"/>
        </w:rPr>
        <w:t xml:space="preserve">as poor </w:t>
      </w:r>
      <w:r>
        <w:rPr>
          <w:rFonts w:ascii="Times New Roman" w:hAnsi="Times New Roman" w:cs="Times New Roman"/>
          <w:spacing w:val="-6"/>
          <w:sz w:val="24"/>
          <w:szCs w:val="24"/>
        </w:rPr>
        <w:t xml:space="preserve">immigrants </w:t>
      </w:r>
      <w:r>
        <w:rPr>
          <w:rFonts w:ascii="Times New Roman" w:hAnsi="Times New Roman" w:cs="Times New Roman"/>
          <w:spacing w:val="-3"/>
          <w:sz w:val="24"/>
          <w:szCs w:val="24"/>
        </w:rPr>
        <w:t xml:space="preserve">and </w:t>
      </w:r>
      <w:r>
        <w:rPr>
          <w:rFonts w:ascii="Times New Roman" w:hAnsi="Times New Roman" w:cs="Times New Roman"/>
          <w:sz w:val="24"/>
          <w:szCs w:val="24"/>
        </w:rPr>
        <w:t xml:space="preserve">elders who </w:t>
      </w:r>
      <w:r>
        <w:rPr>
          <w:rFonts w:ascii="Times New Roman" w:hAnsi="Times New Roman" w:cs="Times New Roman"/>
          <w:spacing w:val="-3"/>
          <w:sz w:val="24"/>
          <w:szCs w:val="24"/>
        </w:rPr>
        <w:t xml:space="preserve">experience </w:t>
      </w:r>
      <w:r>
        <w:rPr>
          <w:rFonts w:ascii="Times New Roman" w:hAnsi="Times New Roman" w:cs="Times New Roman"/>
          <w:sz w:val="24"/>
          <w:szCs w:val="24"/>
        </w:rPr>
        <w:t xml:space="preserve">coverage </w:t>
      </w:r>
      <w:r>
        <w:rPr>
          <w:rFonts w:ascii="Times New Roman" w:hAnsi="Times New Roman" w:cs="Times New Roman"/>
          <w:spacing w:val="-3"/>
          <w:sz w:val="24"/>
          <w:szCs w:val="24"/>
        </w:rPr>
        <w:t xml:space="preserve">gaps caused </w:t>
      </w:r>
      <w:r>
        <w:rPr>
          <w:rFonts w:ascii="Times New Roman" w:hAnsi="Times New Roman" w:cs="Times New Roman"/>
          <w:sz w:val="24"/>
          <w:szCs w:val="24"/>
        </w:rPr>
        <w:t xml:space="preserve">by </w:t>
      </w:r>
      <w:r>
        <w:rPr>
          <w:rFonts w:ascii="Times New Roman" w:hAnsi="Times New Roman" w:cs="Times New Roman"/>
          <w:spacing w:val="-5"/>
          <w:sz w:val="24"/>
          <w:szCs w:val="24"/>
        </w:rPr>
        <w:t xml:space="preserve">the </w:t>
      </w:r>
      <w:r>
        <w:rPr>
          <w:rFonts w:ascii="Times New Roman" w:hAnsi="Times New Roman" w:cs="Times New Roman"/>
          <w:sz w:val="24"/>
          <w:szCs w:val="24"/>
        </w:rPr>
        <w:t xml:space="preserve">HSN </w:t>
      </w:r>
      <w:r>
        <w:rPr>
          <w:rFonts w:ascii="Times New Roman" w:hAnsi="Times New Roman" w:cs="Times New Roman"/>
          <w:spacing w:val="-3"/>
          <w:sz w:val="24"/>
          <w:szCs w:val="24"/>
        </w:rPr>
        <w:t xml:space="preserve">cuts. Restricting </w:t>
      </w:r>
      <w:r>
        <w:rPr>
          <w:rFonts w:ascii="Times New Roman" w:hAnsi="Times New Roman" w:cs="Times New Roman"/>
          <w:sz w:val="24"/>
          <w:szCs w:val="24"/>
        </w:rPr>
        <w:t xml:space="preserve">access </w:t>
      </w:r>
      <w:r>
        <w:rPr>
          <w:rFonts w:ascii="Times New Roman" w:hAnsi="Times New Roman" w:cs="Times New Roman"/>
          <w:spacing w:val="-3"/>
          <w:sz w:val="24"/>
          <w:szCs w:val="24"/>
        </w:rPr>
        <w:t xml:space="preserve">to </w:t>
      </w:r>
      <w:r>
        <w:rPr>
          <w:rFonts w:ascii="Times New Roman" w:hAnsi="Times New Roman" w:cs="Times New Roman"/>
          <w:sz w:val="24"/>
          <w:szCs w:val="24"/>
        </w:rPr>
        <w:t xml:space="preserve">coverage restricts access </w:t>
      </w:r>
      <w:r>
        <w:rPr>
          <w:rFonts w:ascii="Times New Roman" w:hAnsi="Times New Roman" w:cs="Times New Roman"/>
          <w:spacing w:val="-3"/>
          <w:sz w:val="24"/>
          <w:szCs w:val="24"/>
        </w:rPr>
        <w:t xml:space="preserve">to </w:t>
      </w:r>
      <w:r>
        <w:rPr>
          <w:rFonts w:ascii="Times New Roman" w:hAnsi="Times New Roman" w:cs="Times New Roman"/>
          <w:sz w:val="24"/>
          <w:szCs w:val="24"/>
        </w:rPr>
        <w:t xml:space="preserve">life-saving </w:t>
      </w:r>
      <w:r>
        <w:rPr>
          <w:rFonts w:ascii="Times New Roman" w:hAnsi="Times New Roman" w:cs="Times New Roman"/>
          <w:spacing w:val="-4"/>
          <w:sz w:val="24"/>
          <w:szCs w:val="24"/>
        </w:rPr>
        <w:t xml:space="preserve">and </w:t>
      </w:r>
      <w:r>
        <w:rPr>
          <w:rFonts w:ascii="Times New Roman" w:hAnsi="Times New Roman" w:cs="Times New Roman"/>
          <w:sz w:val="24"/>
          <w:szCs w:val="24"/>
        </w:rPr>
        <w:t xml:space="preserve">health-preserving </w:t>
      </w:r>
      <w:r>
        <w:rPr>
          <w:rFonts w:ascii="Times New Roman" w:hAnsi="Times New Roman" w:cs="Times New Roman"/>
          <w:spacing w:val="-3"/>
          <w:sz w:val="24"/>
          <w:szCs w:val="24"/>
        </w:rPr>
        <w:t xml:space="preserve">medical </w:t>
      </w:r>
      <w:r>
        <w:rPr>
          <w:rFonts w:ascii="Times New Roman" w:hAnsi="Times New Roman" w:cs="Times New Roman"/>
          <w:sz w:val="24"/>
          <w:szCs w:val="24"/>
        </w:rPr>
        <w:t xml:space="preserve">services </w:t>
      </w:r>
      <w:r>
        <w:rPr>
          <w:rFonts w:ascii="Times New Roman" w:hAnsi="Times New Roman" w:cs="Times New Roman"/>
          <w:spacing w:val="-3"/>
          <w:sz w:val="24"/>
          <w:szCs w:val="24"/>
        </w:rPr>
        <w:t xml:space="preserve">for </w:t>
      </w:r>
      <w:r>
        <w:rPr>
          <w:rFonts w:ascii="Times New Roman" w:hAnsi="Times New Roman" w:cs="Times New Roman"/>
          <w:spacing w:val="-4"/>
          <w:sz w:val="24"/>
          <w:szCs w:val="24"/>
        </w:rPr>
        <w:t xml:space="preserve">these </w:t>
      </w:r>
      <w:r>
        <w:rPr>
          <w:rFonts w:ascii="Times New Roman" w:hAnsi="Times New Roman" w:cs="Times New Roman"/>
          <w:sz w:val="24"/>
          <w:szCs w:val="24"/>
        </w:rPr>
        <w:t xml:space="preserve">vulnerable </w:t>
      </w:r>
      <w:r>
        <w:rPr>
          <w:rFonts w:ascii="Times New Roman" w:hAnsi="Times New Roman" w:cs="Times New Roman"/>
          <w:spacing w:val="-5"/>
          <w:sz w:val="24"/>
          <w:szCs w:val="24"/>
        </w:rPr>
        <w:t xml:space="preserve">members. </w:t>
      </w:r>
      <w:r>
        <w:rPr>
          <w:rFonts w:ascii="Times New Roman" w:hAnsi="Times New Roman" w:cs="Times New Roman"/>
          <w:spacing w:val="-4"/>
          <w:sz w:val="24"/>
          <w:szCs w:val="24"/>
        </w:rPr>
        <w:t xml:space="preserve">Thus, </w:t>
      </w:r>
      <w:r>
        <w:rPr>
          <w:rFonts w:ascii="Times New Roman" w:hAnsi="Times New Roman" w:cs="Times New Roman"/>
          <w:sz w:val="24"/>
          <w:szCs w:val="24"/>
        </w:rPr>
        <w:t xml:space="preserve">we </w:t>
      </w:r>
      <w:r>
        <w:rPr>
          <w:rFonts w:ascii="Times New Roman" w:hAnsi="Times New Roman" w:cs="Times New Roman"/>
          <w:spacing w:val="-3"/>
          <w:sz w:val="24"/>
          <w:szCs w:val="24"/>
        </w:rPr>
        <w:t xml:space="preserve">once </w:t>
      </w:r>
      <w:r>
        <w:rPr>
          <w:rFonts w:ascii="Times New Roman" w:hAnsi="Times New Roman" w:cs="Times New Roman"/>
          <w:sz w:val="24"/>
          <w:szCs w:val="24"/>
        </w:rPr>
        <w:t xml:space="preserve">again </w:t>
      </w:r>
      <w:r>
        <w:rPr>
          <w:rFonts w:ascii="Times New Roman" w:hAnsi="Times New Roman" w:cs="Times New Roman"/>
          <w:spacing w:val="-3"/>
          <w:sz w:val="24"/>
          <w:szCs w:val="24"/>
        </w:rPr>
        <w:t xml:space="preserve">offer </w:t>
      </w:r>
      <w:r>
        <w:rPr>
          <w:rFonts w:ascii="Times New Roman" w:hAnsi="Times New Roman" w:cs="Times New Roman"/>
          <w:spacing w:val="-4"/>
          <w:sz w:val="24"/>
          <w:szCs w:val="24"/>
        </w:rPr>
        <w:t xml:space="preserve">our </w:t>
      </w:r>
      <w:r>
        <w:rPr>
          <w:rFonts w:ascii="Times New Roman" w:hAnsi="Times New Roman" w:cs="Times New Roman"/>
          <w:spacing w:val="-3"/>
          <w:sz w:val="24"/>
          <w:szCs w:val="24"/>
        </w:rPr>
        <w:t xml:space="preserve">strongest  </w:t>
      </w:r>
      <w:r>
        <w:rPr>
          <w:rFonts w:ascii="Times New Roman" w:hAnsi="Times New Roman" w:cs="Times New Roman"/>
          <w:spacing w:val="-5"/>
          <w:sz w:val="24"/>
          <w:szCs w:val="24"/>
        </w:rPr>
        <w:t xml:space="preserve">recommendation  </w:t>
      </w:r>
      <w:r>
        <w:rPr>
          <w:rFonts w:ascii="Times New Roman" w:hAnsi="Times New Roman" w:cs="Times New Roman"/>
          <w:spacing w:val="-3"/>
          <w:sz w:val="24"/>
          <w:szCs w:val="24"/>
        </w:rPr>
        <w:t xml:space="preserve">to reinstate </w:t>
      </w:r>
      <w:r>
        <w:rPr>
          <w:rFonts w:ascii="Times New Roman" w:hAnsi="Times New Roman" w:cs="Times New Roman"/>
          <w:spacing w:val="-8"/>
          <w:sz w:val="24"/>
          <w:szCs w:val="24"/>
        </w:rPr>
        <w:t xml:space="preserve">the </w:t>
      </w:r>
      <w:r>
        <w:rPr>
          <w:rFonts w:ascii="Times New Roman" w:hAnsi="Times New Roman" w:cs="Times New Roman"/>
          <w:sz w:val="24"/>
          <w:szCs w:val="24"/>
        </w:rPr>
        <w:t xml:space="preserve">HSN eligibility rules as </w:t>
      </w:r>
      <w:r>
        <w:rPr>
          <w:rFonts w:ascii="Times New Roman" w:hAnsi="Times New Roman" w:cs="Times New Roman"/>
          <w:spacing w:val="-4"/>
          <w:sz w:val="24"/>
          <w:szCs w:val="24"/>
        </w:rPr>
        <w:t xml:space="preserve">they </w:t>
      </w:r>
      <w:r>
        <w:rPr>
          <w:rFonts w:ascii="Times New Roman" w:hAnsi="Times New Roman" w:cs="Times New Roman"/>
          <w:spacing w:val="-3"/>
          <w:sz w:val="24"/>
          <w:szCs w:val="24"/>
        </w:rPr>
        <w:t xml:space="preserve">existed </w:t>
      </w:r>
      <w:r>
        <w:rPr>
          <w:rFonts w:ascii="Times New Roman" w:hAnsi="Times New Roman" w:cs="Times New Roman"/>
          <w:sz w:val="24"/>
          <w:szCs w:val="24"/>
        </w:rPr>
        <w:t xml:space="preserve">prior </w:t>
      </w:r>
      <w:r>
        <w:rPr>
          <w:rFonts w:ascii="Times New Roman" w:hAnsi="Times New Roman" w:cs="Times New Roman"/>
          <w:spacing w:val="-3"/>
          <w:sz w:val="24"/>
          <w:szCs w:val="24"/>
        </w:rPr>
        <w:t xml:space="preserve">to </w:t>
      </w:r>
      <w:r>
        <w:rPr>
          <w:rFonts w:ascii="Times New Roman" w:hAnsi="Times New Roman" w:cs="Times New Roman"/>
          <w:spacing w:val="-5"/>
          <w:sz w:val="24"/>
          <w:szCs w:val="24"/>
        </w:rPr>
        <w:t xml:space="preserve">June </w:t>
      </w:r>
      <w:r>
        <w:rPr>
          <w:rFonts w:ascii="Times New Roman" w:hAnsi="Times New Roman" w:cs="Times New Roman"/>
          <w:sz w:val="24"/>
          <w:szCs w:val="24"/>
        </w:rPr>
        <w:t>1,</w:t>
      </w:r>
      <w:r>
        <w:rPr>
          <w:rFonts w:ascii="Times New Roman" w:hAnsi="Times New Roman" w:cs="Times New Roman"/>
          <w:spacing w:val="19"/>
          <w:sz w:val="24"/>
          <w:szCs w:val="24"/>
        </w:rPr>
        <w:t xml:space="preserve"> </w:t>
      </w:r>
      <w:r>
        <w:rPr>
          <w:rFonts w:ascii="Times New Roman" w:hAnsi="Times New Roman" w:cs="Times New Roman"/>
          <w:sz w:val="24"/>
          <w:szCs w:val="24"/>
        </w:rPr>
        <w:t>2016.</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20" w:right="231"/>
        <w:rPr>
          <w:rFonts w:ascii="Times New Roman" w:hAnsi="Times New Roman" w:cs="Times New Roman"/>
          <w:sz w:val="24"/>
          <w:szCs w:val="24"/>
        </w:rPr>
      </w:pPr>
      <w:r>
        <w:rPr>
          <w:rFonts w:ascii="Times New Roman" w:hAnsi="Times New Roman" w:cs="Times New Roman"/>
          <w:sz w:val="24"/>
          <w:szCs w:val="24"/>
        </w:rPr>
        <w:t>Medical debt is one issue that has remained a consistent problem despite the last ten years of health reform efforts at both the state and federal levels. Although health insurance coverage is nearly universal in Massachusetts, nearly fifty percent (48.4%) of low-income households experience financial or health care access problems because of health care costs, with more than</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FB027C">
      <w:pPr>
        <w:pStyle w:val="BodyText"/>
        <w:kinsoku w:val="0"/>
        <w:overflowPunct w:val="0"/>
        <w:spacing w:before="11"/>
        <w:rPr>
          <w:rFonts w:ascii="Times New Roman" w:hAnsi="Times New Roman" w:cs="Times New Roman"/>
          <w:sz w:val="28"/>
          <w:szCs w:val="28"/>
        </w:rPr>
      </w:pPr>
      <w:r>
        <w:rPr>
          <w:noProof/>
        </w:rPr>
        <mc:AlternateContent>
          <mc:Choice Requires="wps">
            <w:drawing>
              <wp:anchor distT="0" distB="0" distL="0" distR="0" simplePos="0" relativeHeight="251675136" behindDoc="0" locked="0" layoutInCell="0" allowOverlap="1">
                <wp:simplePos x="0" y="0"/>
                <wp:positionH relativeFrom="page">
                  <wp:posOffset>2296795</wp:posOffset>
                </wp:positionH>
                <wp:positionV relativeFrom="paragraph">
                  <wp:posOffset>240665</wp:posOffset>
                </wp:positionV>
                <wp:extent cx="1830705" cy="12700"/>
                <wp:effectExtent l="0" t="0" r="0" b="0"/>
                <wp:wrapTopAndBottom/>
                <wp:docPr id="544" name="Freeform 4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30705" cy="12700"/>
                        </a:xfrm>
                        <a:custGeom>
                          <a:avLst/>
                          <a:gdLst>
                            <a:gd name="T0" fmla="*/ 0 w 2883"/>
                            <a:gd name="T1" fmla="*/ 0 h 20"/>
                            <a:gd name="T2" fmla="*/ 2883 w 2883"/>
                            <a:gd name="T3" fmla="*/ 0 h 20"/>
                          </a:gdLst>
                          <a:ahLst/>
                          <a:cxnLst>
                            <a:cxn ang="0">
                              <a:pos x="T0" y="T1"/>
                            </a:cxn>
                            <a:cxn ang="0">
                              <a:pos x="T2" y="T3"/>
                            </a:cxn>
                          </a:cxnLst>
                          <a:rect l="0" t="0" r="r" b="b"/>
                          <a:pathLst>
                            <a:path w="2883" h="20">
                              <a:moveTo>
                                <a:pt x="0" y="0"/>
                              </a:moveTo>
                              <a:lnTo>
                                <a:pt x="2883"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81" o:spid="_x0000_s1026" style="position:absolute;z-index:251675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80.85pt,18.95pt,325pt,18.95pt" coordsize="288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" o:allowincell="f" filled="f" strokeweight=".7pt">
                <v:path arrowok="t" o:connecttype="custom" o:connectlocs="0,0;1830705,0" o:connectangles="0,0"/>
                <w10:wrap type="topAndBottom" anchorx="page"/>
              </v:polyline>
            </w:pict>
          </mc:Fallback>
        </mc:AlternateContent>
      </w:r>
    </w:p>
    <w:p w:rsidR="002C5025" w:rsidRDefault="002C5025">
      <w:pPr>
        <w:pStyle w:val="BodyText"/>
        <w:kinsoku w:val="0"/>
        <w:overflowPunct w:val="0"/>
        <w:spacing w:before="62"/>
        <w:ind w:left="119" w:right="1249"/>
        <w:rPr>
          <w:rFonts w:ascii="Times New Roman" w:hAnsi="Times New Roman" w:cs="Times New Roman"/>
          <w:sz w:val="20"/>
          <w:szCs w:val="20"/>
        </w:rPr>
      </w:pPr>
      <w:r>
        <w:rPr>
          <w:rFonts w:ascii="Times New Roman" w:hAnsi="Times New Roman" w:cs="Times New Roman"/>
          <w:position w:val="6"/>
          <w:sz w:val="13"/>
          <w:szCs w:val="13"/>
        </w:rPr>
        <w:t xml:space="preserve">1 </w:t>
      </w:r>
      <w:r>
        <w:rPr>
          <w:rFonts w:ascii="Times New Roman" w:hAnsi="Times New Roman" w:cs="Times New Roman"/>
          <w:sz w:val="20"/>
          <w:szCs w:val="20"/>
        </w:rPr>
        <w:t xml:space="preserve">The Commonwealth of Massachusetts Executive Office of Health and Human Services, </w:t>
      </w:r>
      <w:r>
        <w:rPr>
          <w:rFonts w:ascii="Times New Roman" w:hAnsi="Times New Roman" w:cs="Times New Roman"/>
          <w:i/>
          <w:iCs/>
          <w:sz w:val="20"/>
          <w:szCs w:val="20"/>
        </w:rPr>
        <w:t>Section 1115 Demonstration Project Amendment and Extension Request</w:t>
      </w:r>
      <w:r>
        <w:rPr>
          <w:rFonts w:ascii="Times New Roman" w:hAnsi="Times New Roman" w:cs="Times New Roman"/>
          <w:sz w:val="20"/>
          <w:szCs w:val="20"/>
        </w:rPr>
        <w:t>, Sec. 5.3.2.1, pg. 41.</w:t>
      </w:r>
    </w:p>
    <w:p w:rsidR="002C5025" w:rsidRDefault="002C5025">
      <w:pPr>
        <w:pStyle w:val="BodyText"/>
        <w:kinsoku w:val="0"/>
        <w:overflowPunct w:val="0"/>
        <w:ind w:left="120"/>
        <w:rPr>
          <w:rFonts w:ascii="Times New Roman" w:hAnsi="Times New Roman" w:cs="Times New Roman"/>
          <w:sz w:val="20"/>
          <w:szCs w:val="20"/>
        </w:rPr>
      </w:pPr>
      <w:r>
        <w:rPr>
          <w:rFonts w:ascii="Times New Roman" w:hAnsi="Times New Roman" w:cs="Times New Roman"/>
          <w:position w:val="6"/>
          <w:sz w:val="13"/>
          <w:szCs w:val="13"/>
        </w:rPr>
        <w:t xml:space="preserve">2 </w:t>
      </w:r>
      <w:r>
        <w:rPr>
          <w:rFonts w:ascii="Times New Roman" w:hAnsi="Times New Roman" w:cs="Times New Roman"/>
          <w:sz w:val="20"/>
          <w:szCs w:val="20"/>
        </w:rPr>
        <w:t xml:space="preserve">Vicky </w:t>
      </w:r>
      <w:proofErr w:type="spellStart"/>
      <w:r>
        <w:rPr>
          <w:rFonts w:ascii="Times New Roman" w:hAnsi="Times New Roman" w:cs="Times New Roman"/>
          <w:sz w:val="20"/>
          <w:szCs w:val="20"/>
        </w:rPr>
        <w:t>Pulos</w:t>
      </w:r>
      <w:proofErr w:type="spellEnd"/>
      <w:r>
        <w:rPr>
          <w:rFonts w:ascii="Times New Roman" w:hAnsi="Times New Roman" w:cs="Times New Roman"/>
          <w:sz w:val="20"/>
          <w:szCs w:val="20"/>
        </w:rPr>
        <w:t xml:space="preserve"> and Teresita Ramos, MLRI, Comments on MassHealth’s draft language access plan, April 18, 2016.</w:t>
      </w:r>
    </w:p>
    <w:p w:rsidR="002C5025" w:rsidRDefault="002C5025">
      <w:pPr>
        <w:pStyle w:val="BodyText"/>
        <w:kinsoku w:val="0"/>
        <w:overflowPunct w:val="0"/>
        <w:spacing w:before="10" w:line="229" w:lineRule="exact"/>
        <w:ind w:left="120"/>
        <w:rPr>
          <w:rFonts w:ascii="Times New Roman" w:hAnsi="Times New Roman" w:cs="Times New Roman"/>
          <w:color w:val="000000"/>
          <w:sz w:val="20"/>
          <w:szCs w:val="20"/>
        </w:rPr>
      </w:pPr>
      <w:r>
        <w:rPr>
          <w:rFonts w:ascii="Times New Roman" w:hAnsi="Times New Roman" w:cs="Times New Roman"/>
          <w:position w:val="6"/>
          <w:sz w:val="13"/>
          <w:szCs w:val="13"/>
        </w:rPr>
        <w:t xml:space="preserve">3  </w:t>
      </w:r>
      <w:r>
        <w:rPr>
          <w:rFonts w:ascii="Times New Roman" w:hAnsi="Times New Roman" w:cs="Times New Roman"/>
          <w:sz w:val="20"/>
          <w:szCs w:val="20"/>
        </w:rPr>
        <w:t xml:space="preserve">Illinois Immigrant Family Resource Program, </w:t>
      </w:r>
      <w:hyperlink r:id="rId369" w:history="1">
        <w:r>
          <w:rPr>
            <w:rFonts w:ascii="Times New Roman" w:hAnsi="Times New Roman" w:cs="Times New Roman"/>
            <w:color w:val="0000FF"/>
            <w:sz w:val="20"/>
            <w:szCs w:val="20"/>
            <w:u w:val="single"/>
          </w:rPr>
          <w:t>http://icirr.org/content/immigrant-family-resource-program</w:t>
        </w:r>
        <w:r>
          <w:rPr>
            <w:rFonts w:ascii="Times New Roman" w:hAnsi="Times New Roman" w:cs="Times New Roman"/>
            <w:color w:val="000000"/>
            <w:sz w:val="20"/>
            <w:szCs w:val="20"/>
          </w:rPr>
          <w:t>.</w:t>
        </w:r>
      </w:hyperlink>
    </w:p>
    <w:p w:rsidR="002C5025" w:rsidRDefault="002C5025">
      <w:pPr>
        <w:pStyle w:val="BodyText"/>
        <w:kinsoku w:val="0"/>
        <w:overflowPunct w:val="0"/>
        <w:ind w:left="120" w:right="396"/>
        <w:rPr>
          <w:rFonts w:ascii="Times New Roman" w:hAnsi="Times New Roman" w:cs="Times New Roman"/>
          <w:color w:val="000000"/>
          <w:sz w:val="20"/>
          <w:szCs w:val="20"/>
        </w:rPr>
      </w:pPr>
      <w:r>
        <w:rPr>
          <w:rFonts w:ascii="Times New Roman" w:hAnsi="Times New Roman" w:cs="Times New Roman"/>
          <w:position w:val="6"/>
          <w:sz w:val="13"/>
          <w:szCs w:val="13"/>
        </w:rPr>
        <w:t xml:space="preserve">4 </w:t>
      </w:r>
      <w:r>
        <w:rPr>
          <w:rFonts w:ascii="Times New Roman" w:hAnsi="Times New Roman" w:cs="Times New Roman"/>
          <w:sz w:val="20"/>
          <w:szCs w:val="20"/>
        </w:rPr>
        <w:t xml:space="preserve">CMS, Dear State Health Official Letter, August 31, 2000; CMS issued a </w:t>
      </w:r>
      <w:hyperlink r:id="rId370" w:history="1">
        <w:r>
          <w:rPr>
            <w:rFonts w:ascii="Times New Roman" w:hAnsi="Times New Roman" w:cs="Times New Roman"/>
            <w:color w:val="0000FF"/>
            <w:sz w:val="20"/>
            <w:szCs w:val="20"/>
            <w:u w:val="single"/>
          </w:rPr>
          <w:t xml:space="preserve">July 1, 2010 SHO Letter (#10-07) </w:t>
        </w:r>
      </w:hyperlink>
      <w:r>
        <w:rPr>
          <w:rFonts w:ascii="Times New Roman" w:hAnsi="Times New Roman" w:cs="Times New Roman"/>
          <w:color w:val="000000"/>
          <w:sz w:val="20"/>
          <w:szCs w:val="20"/>
        </w:rPr>
        <w:t xml:space="preserve">and an </w:t>
      </w:r>
      <w:hyperlink r:id="rId371" w:history="1">
        <w:r>
          <w:rPr>
            <w:rFonts w:ascii="Times New Roman" w:hAnsi="Times New Roman" w:cs="Times New Roman"/>
            <w:color w:val="0000FF"/>
            <w:sz w:val="20"/>
            <w:szCs w:val="20"/>
            <w:u w:val="single"/>
          </w:rPr>
          <w:t>April 26, 2011 Informational Bulletin</w:t>
        </w:r>
      </w:hyperlink>
      <w:r>
        <w:rPr>
          <w:rFonts w:ascii="Times New Roman" w:hAnsi="Times New Roman" w:cs="Times New Roman"/>
          <w:color w:val="0000FF"/>
          <w:sz w:val="20"/>
          <w:szCs w:val="20"/>
          <w:u w:val="single"/>
        </w:rPr>
        <w:t xml:space="preserve"> </w:t>
      </w:r>
      <w:r>
        <w:rPr>
          <w:rFonts w:ascii="Times New Roman" w:hAnsi="Times New Roman" w:cs="Times New Roman"/>
          <w:color w:val="000000"/>
          <w:sz w:val="20"/>
          <w:szCs w:val="20"/>
        </w:rPr>
        <w:t>on the CHIPRA interpreter services matching rate.</w:t>
      </w:r>
    </w:p>
    <w:p w:rsidR="002C5025" w:rsidRDefault="002C5025">
      <w:pPr>
        <w:pStyle w:val="BodyText"/>
        <w:kinsoku w:val="0"/>
        <w:overflowPunct w:val="0"/>
        <w:spacing w:line="270" w:lineRule="exact"/>
        <w:ind w:right="107"/>
        <w:jc w:val="right"/>
        <w:rPr>
          <w:rFonts w:ascii="Times New Roman" w:hAnsi="Times New Roman" w:cs="Times New Roman"/>
          <w:sz w:val="24"/>
          <w:szCs w:val="24"/>
        </w:rPr>
      </w:pPr>
      <w:r>
        <w:rPr>
          <w:rFonts w:ascii="Times New Roman" w:hAnsi="Times New Roman" w:cs="Times New Roman"/>
          <w:sz w:val="24"/>
          <w:szCs w:val="24"/>
        </w:rPr>
        <w:t>4</w:t>
      </w:r>
    </w:p>
    <w:p w:rsidR="002C5025" w:rsidRDefault="002C5025">
      <w:pPr>
        <w:pStyle w:val="BodyText"/>
        <w:kinsoku w:val="0"/>
        <w:overflowPunct w:val="0"/>
        <w:spacing w:line="270" w:lineRule="exact"/>
        <w:ind w:right="107"/>
        <w:jc w:val="right"/>
        <w:rPr>
          <w:rFonts w:ascii="Times New Roman" w:hAnsi="Times New Roman" w:cs="Times New Roman"/>
          <w:sz w:val="24"/>
          <w:szCs w:val="24"/>
        </w:rPr>
        <w:sectPr w:rsidR="002C5025">
          <w:pgSz w:w="12240" w:h="15840"/>
          <w:pgMar w:top="920" w:right="1320" w:bottom="280" w:left="1320" w:header="720" w:footer="720" w:gutter="0"/>
          <w:cols w:space="720"/>
          <w:noEndnote/>
        </w:sectPr>
      </w:pPr>
    </w:p>
    <w:p w:rsidR="002C5025" w:rsidRDefault="002C5025">
      <w:pPr>
        <w:pStyle w:val="BodyText"/>
        <w:kinsoku w:val="0"/>
        <w:overflowPunct w:val="0"/>
        <w:spacing w:before="48"/>
        <w:ind w:left="120" w:right="963"/>
        <w:rPr>
          <w:rFonts w:ascii="Times New Roman" w:hAnsi="Times New Roman" w:cs="Times New Roman"/>
          <w:sz w:val="24"/>
          <w:szCs w:val="24"/>
        </w:rPr>
      </w:pPr>
      <w:r>
        <w:rPr>
          <w:rFonts w:ascii="Times New Roman" w:hAnsi="Times New Roman" w:cs="Times New Roman"/>
          <w:sz w:val="24"/>
          <w:szCs w:val="24"/>
        </w:rPr>
        <w:lastRenderedPageBreak/>
        <w:t>1 in 5 (20.3%) forgoing care due to medical expenses.</w:t>
      </w:r>
      <w:r>
        <w:rPr>
          <w:rFonts w:ascii="Times New Roman" w:hAnsi="Times New Roman" w:cs="Times New Roman"/>
          <w:position w:val="8"/>
          <w:sz w:val="15"/>
          <w:szCs w:val="15"/>
        </w:rPr>
        <w:t xml:space="preserve">5 </w:t>
      </w:r>
      <w:r>
        <w:rPr>
          <w:rFonts w:ascii="Times New Roman" w:hAnsi="Times New Roman" w:cs="Times New Roman"/>
          <w:sz w:val="24"/>
          <w:szCs w:val="24"/>
        </w:rPr>
        <w:t>The HSN changes and any future reductions in funding  to the safety net will only exacerbate these problems.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20" w:right="396"/>
        <w:rPr>
          <w:rFonts w:ascii="Times New Roman" w:hAnsi="Times New Roman" w:cs="Times New Roman"/>
          <w:sz w:val="24"/>
          <w:szCs w:val="24"/>
        </w:rPr>
      </w:pPr>
      <w:r>
        <w:rPr>
          <w:rFonts w:ascii="Times New Roman" w:hAnsi="Times New Roman" w:cs="Times New Roman"/>
          <w:spacing w:val="-4"/>
          <w:sz w:val="24"/>
          <w:szCs w:val="24"/>
        </w:rPr>
        <w:t xml:space="preserve">If the </w:t>
      </w:r>
      <w:r>
        <w:rPr>
          <w:rFonts w:ascii="Times New Roman" w:hAnsi="Times New Roman" w:cs="Times New Roman"/>
          <w:sz w:val="24"/>
          <w:szCs w:val="24"/>
        </w:rPr>
        <w:t xml:space="preserve">HSN </w:t>
      </w:r>
      <w:r>
        <w:rPr>
          <w:rFonts w:ascii="Times New Roman" w:hAnsi="Times New Roman" w:cs="Times New Roman"/>
          <w:spacing w:val="-6"/>
          <w:sz w:val="24"/>
          <w:szCs w:val="24"/>
        </w:rPr>
        <w:t xml:space="preserve">changes </w:t>
      </w:r>
      <w:r>
        <w:rPr>
          <w:rFonts w:ascii="Times New Roman" w:hAnsi="Times New Roman" w:cs="Times New Roman"/>
          <w:sz w:val="24"/>
          <w:szCs w:val="24"/>
        </w:rPr>
        <w:t xml:space="preserve">are any indication </w:t>
      </w:r>
      <w:r>
        <w:rPr>
          <w:rFonts w:ascii="Times New Roman" w:hAnsi="Times New Roman" w:cs="Times New Roman"/>
          <w:spacing w:val="-3"/>
          <w:sz w:val="24"/>
          <w:szCs w:val="24"/>
        </w:rPr>
        <w:t xml:space="preserve">about </w:t>
      </w:r>
      <w:r>
        <w:rPr>
          <w:rFonts w:ascii="Times New Roman" w:hAnsi="Times New Roman" w:cs="Times New Roman"/>
          <w:spacing w:val="-5"/>
          <w:sz w:val="24"/>
          <w:szCs w:val="24"/>
        </w:rPr>
        <w:t xml:space="preserve">the </w:t>
      </w:r>
      <w:r>
        <w:rPr>
          <w:rFonts w:ascii="Times New Roman" w:hAnsi="Times New Roman" w:cs="Times New Roman"/>
          <w:sz w:val="24"/>
          <w:szCs w:val="24"/>
        </w:rPr>
        <w:t xml:space="preserve">direction of “value-based” delivery </w:t>
      </w:r>
      <w:r>
        <w:rPr>
          <w:rFonts w:ascii="Times New Roman" w:hAnsi="Times New Roman" w:cs="Times New Roman"/>
          <w:spacing w:val="-3"/>
          <w:sz w:val="24"/>
          <w:szCs w:val="24"/>
        </w:rPr>
        <w:t xml:space="preserve">system reform, </w:t>
      </w:r>
      <w:r>
        <w:rPr>
          <w:rFonts w:ascii="Times New Roman" w:hAnsi="Times New Roman" w:cs="Times New Roman"/>
          <w:spacing w:val="-4"/>
          <w:sz w:val="24"/>
          <w:szCs w:val="24"/>
        </w:rPr>
        <w:t xml:space="preserve">then </w:t>
      </w:r>
      <w:r>
        <w:rPr>
          <w:rFonts w:ascii="Times New Roman" w:hAnsi="Times New Roman" w:cs="Times New Roman"/>
          <w:spacing w:val="-7"/>
          <w:sz w:val="24"/>
          <w:szCs w:val="24"/>
        </w:rPr>
        <w:t xml:space="preserve">HLA </w:t>
      </w:r>
      <w:r>
        <w:rPr>
          <w:rFonts w:ascii="Times New Roman" w:hAnsi="Times New Roman" w:cs="Times New Roman"/>
          <w:sz w:val="24"/>
          <w:szCs w:val="24"/>
        </w:rPr>
        <w:t xml:space="preserve">is </w:t>
      </w:r>
      <w:r>
        <w:rPr>
          <w:rFonts w:ascii="Times New Roman" w:hAnsi="Times New Roman" w:cs="Times New Roman"/>
          <w:spacing w:val="-3"/>
          <w:sz w:val="24"/>
          <w:szCs w:val="24"/>
        </w:rPr>
        <w:t xml:space="preserve">extremely concerned about </w:t>
      </w:r>
      <w:r>
        <w:rPr>
          <w:rFonts w:ascii="Times New Roman" w:hAnsi="Times New Roman" w:cs="Times New Roman"/>
          <w:spacing w:val="-5"/>
          <w:sz w:val="24"/>
          <w:szCs w:val="24"/>
        </w:rPr>
        <w:t xml:space="preserve">the </w:t>
      </w:r>
      <w:r>
        <w:rPr>
          <w:rFonts w:ascii="Times New Roman" w:hAnsi="Times New Roman" w:cs="Times New Roman"/>
          <w:spacing w:val="-3"/>
          <w:sz w:val="24"/>
          <w:szCs w:val="24"/>
        </w:rPr>
        <w:t xml:space="preserve">fate </w:t>
      </w:r>
      <w:r>
        <w:rPr>
          <w:rFonts w:ascii="Times New Roman" w:hAnsi="Times New Roman" w:cs="Times New Roman"/>
          <w:sz w:val="24"/>
          <w:szCs w:val="24"/>
        </w:rPr>
        <w:t xml:space="preserve">of </w:t>
      </w:r>
      <w:r>
        <w:rPr>
          <w:rFonts w:ascii="Times New Roman" w:hAnsi="Times New Roman" w:cs="Times New Roman"/>
          <w:spacing w:val="-4"/>
          <w:sz w:val="24"/>
          <w:szCs w:val="24"/>
        </w:rPr>
        <w:t xml:space="preserve">the </w:t>
      </w:r>
      <w:r>
        <w:rPr>
          <w:rFonts w:ascii="Times New Roman" w:hAnsi="Times New Roman" w:cs="Times New Roman"/>
          <w:sz w:val="24"/>
          <w:szCs w:val="24"/>
        </w:rPr>
        <w:t xml:space="preserve">safety </w:t>
      </w:r>
      <w:r>
        <w:rPr>
          <w:rFonts w:ascii="Times New Roman" w:hAnsi="Times New Roman" w:cs="Times New Roman"/>
          <w:spacing w:val="-3"/>
          <w:sz w:val="24"/>
          <w:szCs w:val="24"/>
        </w:rPr>
        <w:t xml:space="preserve">net </w:t>
      </w:r>
      <w:r>
        <w:rPr>
          <w:rFonts w:ascii="Times New Roman" w:hAnsi="Times New Roman" w:cs="Times New Roman"/>
          <w:sz w:val="24"/>
          <w:szCs w:val="24"/>
        </w:rPr>
        <w:t xml:space="preserve">for </w:t>
      </w:r>
      <w:r>
        <w:rPr>
          <w:rFonts w:ascii="Times New Roman" w:hAnsi="Times New Roman" w:cs="Times New Roman"/>
          <w:spacing w:val="-8"/>
          <w:sz w:val="24"/>
          <w:szCs w:val="24"/>
        </w:rPr>
        <w:t xml:space="preserve">the  </w:t>
      </w:r>
      <w:r>
        <w:rPr>
          <w:rFonts w:ascii="Times New Roman" w:hAnsi="Times New Roman" w:cs="Times New Roman"/>
          <w:spacing w:val="-5"/>
          <w:sz w:val="24"/>
          <w:szCs w:val="24"/>
        </w:rPr>
        <w:t xml:space="preserve">Commonwealth’s </w:t>
      </w:r>
      <w:r>
        <w:rPr>
          <w:rFonts w:ascii="Times New Roman" w:hAnsi="Times New Roman" w:cs="Times New Roman"/>
          <w:spacing w:val="-4"/>
          <w:sz w:val="24"/>
          <w:szCs w:val="24"/>
        </w:rPr>
        <w:t xml:space="preserve">most </w:t>
      </w:r>
      <w:r>
        <w:rPr>
          <w:rFonts w:ascii="Times New Roman" w:hAnsi="Times New Roman" w:cs="Times New Roman"/>
          <w:sz w:val="24"/>
          <w:szCs w:val="24"/>
        </w:rPr>
        <w:t xml:space="preserve">vulnerable </w:t>
      </w:r>
      <w:r>
        <w:rPr>
          <w:rFonts w:ascii="Times New Roman" w:hAnsi="Times New Roman" w:cs="Times New Roman"/>
          <w:spacing w:val="-5"/>
          <w:sz w:val="24"/>
          <w:szCs w:val="24"/>
        </w:rPr>
        <w:t xml:space="preserve">consumers. </w:t>
      </w:r>
      <w:r>
        <w:rPr>
          <w:rFonts w:ascii="Times New Roman" w:hAnsi="Times New Roman" w:cs="Times New Roman"/>
          <w:spacing w:val="-3"/>
          <w:sz w:val="24"/>
          <w:szCs w:val="24"/>
        </w:rPr>
        <w:t xml:space="preserve">We </w:t>
      </w:r>
      <w:r>
        <w:rPr>
          <w:rFonts w:ascii="Times New Roman" w:hAnsi="Times New Roman" w:cs="Times New Roman"/>
          <w:spacing w:val="-4"/>
          <w:sz w:val="24"/>
          <w:szCs w:val="24"/>
        </w:rPr>
        <w:t xml:space="preserve">cannot </w:t>
      </w:r>
      <w:r>
        <w:rPr>
          <w:rFonts w:ascii="Times New Roman" w:hAnsi="Times New Roman" w:cs="Times New Roman"/>
          <w:sz w:val="24"/>
          <w:szCs w:val="24"/>
        </w:rPr>
        <w:t xml:space="preserve">leave people </w:t>
      </w:r>
      <w:r>
        <w:rPr>
          <w:rFonts w:ascii="Times New Roman" w:hAnsi="Times New Roman" w:cs="Times New Roman"/>
          <w:spacing w:val="-3"/>
          <w:sz w:val="24"/>
          <w:szCs w:val="24"/>
        </w:rPr>
        <w:t xml:space="preserve">behind </w:t>
      </w:r>
      <w:r>
        <w:rPr>
          <w:rFonts w:ascii="Times New Roman" w:hAnsi="Times New Roman" w:cs="Times New Roman"/>
          <w:spacing w:val="5"/>
          <w:sz w:val="24"/>
          <w:szCs w:val="24"/>
        </w:rPr>
        <w:t xml:space="preserve">in </w:t>
      </w:r>
      <w:r>
        <w:rPr>
          <w:rFonts w:ascii="Times New Roman" w:hAnsi="Times New Roman" w:cs="Times New Roman"/>
          <w:spacing w:val="-5"/>
          <w:sz w:val="24"/>
          <w:szCs w:val="24"/>
        </w:rPr>
        <w:t xml:space="preserve">the </w:t>
      </w:r>
      <w:r>
        <w:rPr>
          <w:rFonts w:ascii="Times New Roman" w:hAnsi="Times New Roman" w:cs="Times New Roman"/>
          <w:spacing w:val="-6"/>
          <w:sz w:val="24"/>
          <w:szCs w:val="24"/>
        </w:rPr>
        <w:t xml:space="preserve">next </w:t>
      </w:r>
      <w:r>
        <w:rPr>
          <w:rFonts w:ascii="Times New Roman" w:hAnsi="Times New Roman" w:cs="Times New Roman"/>
          <w:sz w:val="24"/>
          <w:szCs w:val="24"/>
        </w:rPr>
        <w:t xml:space="preserve">phase of </w:t>
      </w:r>
      <w:r>
        <w:rPr>
          <w:rFonts w:ascii="Times New Roman" w:hAnsi="Times New Roman" w:cs="Times New Roman"/>
          <w:spacing w:val="-3"/>
          <w:sz w:val="24"/>
          <w:szCs w:val="24"/>
        </w:rPr>
        <w:t xml:space="preserve">reform. </w:t>
      </w:r>
      <w:r>
        <w:rPr>
          <w:rFonts w:ascii="Times New Roman" w:hAnsi="Times New Roman" w:cs="Times New Roman"/>
          <w:sz w:val="24"/>
          <w:szCs w:val="24"/>
        </w:rPr>
        <w:t xml:space="preserve">As </w:t>
      </w:r>
      <w:r>
        <w:rPr>
          <w:rFonts w:ascii="Times New Roman" w:hAnsi="Times New Roman" w:cs="Times New Roman"/>
          <w:spacing w:val="-4"/>
          <w:sz w:val="24"/>
          <w:szCs w:val="24"/>
        </w:rPr>
        <w:t xml:space="preserve">Massachusetts </w:t>
      </w:r>
      <w:r>
        <w:rPr>
          <w:rFonts w:ascii="Times New Roman" w:hAnsi="Times New Roman" w:cs="Times New Roman"/>
          <w:spacing w:val="-5"/>
          <w:sz w:val="24"/>
          <w:szCs w:val="24"/>
        </w:rPr>
        <w:t xml:space="preserve">moves </w:t>
      </w:r>
      <w:r>
        <w:rPr>
          <w:rFonts w:ascii="Times New Roman" w:hAnsi="Times New Roman" w:cs="Times New Roman"/>
          <w:sz w:val="24"/>
          <w:szCs w:val="24"/>
        </w:rPr>
        <w:t xml:space="preserve">toward </w:t>
      </w:r>
      <w:r>
        <w:rPr>
          <w:rFonts w:ascii="Times New Roman" w:hAnsi="Times New Roman" w:cs="Times New Roman"/>
          <w:spacing w:val="-3"/>
          <w:sz w:val="24"/>
          <w:szCs w:val="24"/>
        </w:rPr>
        <w:t xml:space="preserve">incentivizing </w:t>
      </w:r>
      <w:r>
        <w:rPr>
          <w:rFonts w:ascii="Times New Roman" w:hAnsi="Times New Roman" w:cs="Times New Roman"/>
          <w:sz w:val="24"/>
          <w:szCs w:val="24"/>
        </w:rPr>
        <w:t xml:space="preserve">quality care, </w:t>
      </w:r>
      <w:r>
        <w:rPr>
          <w:rFonts w:ascii="Times New Roman" w:hAnsi="Times New Roman" w:cs="Times New Roman"/>
          <w:spacing w:val="-3"/>
          <w:sz w:val="24"/>
          <w:szCs w:val="24"/>
        </w:rPr>
        <w:t xml:space="preserve">state </w:t>
      </w:r>
      <w:r>
        <w:rPr>
          <w:rFonts w:ascii="Times New Roman" w:hAnsi="Times New Roman" w:cs="Times New Roman"/>
          <w:sz w:val="24"/>
          <w:szCs w:val="24"/>
        </w:rPr>
        <w:t xml:space="preserve">leaders </w:t>
      </w:r>
      <w:r>
        <w:rPr>
          <w:rFonts w:ascii="Times New Roman" w:hAnsi="Times New Roman" w:cs="Times New Roman"/>
          <w:spacing w:val="-6"/>
          <w:sz w:val="24"/>
          <w:szCs w:val="24"/>
        </w:rPr>
        <w:t xml:space="preserve">must </w:t>
      </w:r>
      <w:r>
        <w:rPr>
          <w:rFonts w:ascii="Times New Roman" w:hAnsi="Times New Roman" w:cs="Times New Roman"/>
          <w:spacing w:val="-3"/>
          <w:sz w:val="24"/>
          <w:szCs w:val="24"/>
        </w:rPr>
        <w:t xml:space="preserve">ensure </w:t>
      </w:r>
      <w:r>
        <w:rPr>
          <w:rFonts w:ascii="Times New Roman" w:hAnsi="Times New Roman" w:cs="Times New Roman"/>
          <w:spacing w:val="-4"/>
          <w:sz w:val="24"/>
          <w:szCs w:val="24"/>
        </w:rPr>
        <w:t xml:space="preserve">that </w:t>
      </w:r>
      <w:r>
        <w:rPr>
          <w:rFonts w:ascii="Times New Roman" w:hAnsi="Times New Roman" w:cs="Times New Roman"/>
          <w:spacing w:val="-5"/>
          <w:sz w:val="24"/>
          <w:szCs w:val="24"/>
        </w:rPr>
        <w:t xml:space="preserve">consumers </w:t>
      </w:r>
      <w:r>
        <w:rPr>
          <w:rFonts w:ascii="Times New Roman" w:hAnsi="Times New Roman" w:cs="Times New Roman"/>
          <w:sz w:val="24"/>
          <w:szCs w:val="24"/>
        </w:rPr>
        <w:t xml:space="preserve">do </w:t>
      </w:r>
      <w:r>
        <w:rPr>
          <w:rFonts w:ascii="Times New Roman" w:hAnsi="Times New Roman" w:cs="Times New Roman"/>
          <w:spacing w:val="-4"/>
          <w:sz w:val="24"/>
          <w:szCs w:val="24"/>
        </w:rPr>
        <w:t xml:space="preserve">not </w:t>
      </w:r>
      <w:r>
        <w:rPr>
          <w:rFonts w:ascii="Times New Roman" w:hAnsi="Times New Roman" w:cs="Times New Roman"/>
          <w:sz w:val="24"/>
          <w:szCs w:val="24"/>
        </w:rPr>
        <w:t xml:space="preserve">bear </w:t>
      </w:r>
      <w:r>
        <w:rPr>
          <w:rFonts w:ascii="Times New Roman" w:hAnsi="Times New Roman" w:cs="Times New Roman"/>
          <w:spacing w:val="-5"/>
          <w:sz w:val="24"/>
          <w:szCs w:val="24"/>
        </w:rPr>
        <w:t xml:space="preserve">the </w:t>
      </w:r>
      <w:r>
        <w:rPr>
          <w:rFonts w:ascii="Times New Roman" w:hAnsi="Times New Roman" w:cs="Times New Roman"/>
          <w:spacing w:val="-4"/>
          <w:sz w:val="24"/>
          <w:szCs w:val="24"/>
        </w:rPr>
        <w:t xml:space="preserve">brunt </w:t>
      </w:r>
      <w:r>
        <w:rPr>
          <w:rFonts w:ascii="Times New Roman" w:hAnsi="Times New Roman" w:cs="Times New Roman"/>
          <w:sz w:val="24"/>
          <w:szCs w:val="24"/>
        </w:rPr>
        <w:t xml:space="preserve">of </w:t>
      </w:r>
      <w:r>
        <w:rPr>
          <w:rFonts w:ascii="Times New Roman" w:hAnsi="Times New Roman" w:cs="Times New Roman"/>
          <w:spacing w:val="-3"/>
          <w:sz w:val="24"/>
          <w:szCs w:val="24"/>
        </w:rPr>
        <w:t xml:space="preserve">ineffective financial </w:t>
      </w:r>
      <w:r>
        <w:rPr>
          <w:rFonts w:ascii="Times New Roman" w:hAnsi="Times New Roman" w:cs="Times New Roman"/>
          <w:spacing w:val="-7"/>
          <w:sz w:val="24"/>
          <w:szCs w:val="24"/>
        </w:rPr>
        <w:t xml:space="preserve">management </w:t>
      </w:r>
      <w:r>
        <w:rPr>
          <w:rFonts w:ascii="Times New Roman" w:hAnsi="Times New Roman" w:cs="Times New Roman"/>
          <w:sz w:val="24"/>
          <w:szCs w:val="24"/>
        </w:rPr>
        <w:t xml:space="preserve">by </w:t>
      </w:r>
      <w:r>
        <w:rPr>
          <w:rFonts w:ascii="Times New Roman" w:hAnsi="Times New Roman" w:cs="Times New Roman"/>
          <w:spacing w:val="-5"/>
          <w:sz w:val="24"/>
          <w:szCs w:val="24"/>
        </w:rPr>
        <w:t xml:space="preserve">ACOs </w:t>
      </w:r>
      <w:r>
        <w:rPr>
          <w:rFonts w:ascii="Times New Roman" w:hAnsi="Times New Roman" w:cs="Times New Roman"/>
          <w:spacing w:val="-6"/>
          <w:sz w:val="24"/>
          <w:szCs w:val="24"/>
        </w:rPr>
        <w:t xml:space="preserve">through </w:t>
      </w:r>
      <w:r>
        <w:rPr>
          <w:rFonts w:ascii="Times New Roman" w:hAnsi="Times New Roman" w:cs="Times New Roman"/>
          <w:sz w:val="24"/>
          <w:szCs w:val="24"/>
        </w:rPr>
        <w:t xml:space="preserve">reduced access </w:t>
      </w:r>
      <w:r>
        <w:rPr>
          <w:rFonts w:ascii="Times New Roman" w:hAnsi="Times New Roman" w:cs="Times New Roman"/>
          <w:spacing w:val="-3"/>
          <w:sz w:val="24"/>
          <w:szCs w:val="24"/>
        </w:rPr>
        <w:t xml:space="preserve">and greater </w:t>
      </w:r>
      <w:r>
        <w:rPr>
          <w:rFonts w:ascii="Times New Roman" w:hAnsi="Times New Roman" w:cs="Times New Roman"/>
          <w:sz w:val="24"/>
          <w:szCs w:val="24"/>
        </w:rPr>
        <w:t>medical</w:t>
      </w:r>
      <w:r>
        <w:rPr>
          <w:rFonts w:ascii="Times New Roman" w:hAnsi="Times New Roman" w:cs="Times New Roman"/>
          <w:spacing w:val="-5"/>
          <w:sz w:val="24"/>
          <w:szCs w:val="24"/>
        </w:rPr>
        <w:t xml:space="preserve"> </w:t>
      </w:r>
      <w:r>
        <w:rPr>
          <w:rFonts w:ascii="Times New Roman" w:hAnsi="Times New Roman" w:cs="Times New Roman"/>
          <w:sz w:val="24"/>
          <w:szCs w:val="24"/>
        </w:rPr>
        <w:t>debt.</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20" w:right="5427"/>
        <w:rPr>
          <w:rFonts w:ascii="Times New Roman" w:hAnsi="Times New Roman" w:cs="Times New Roman"/>
          <w:sz w:val="24"/>
          <w:szCs w:val="24"/>
        </w:rPr>
      </w:pPr>
      <w:r>
        <w:rPr>
          <w:rFonts w:ascii="Times New Roman" w:hAnsi="Times New Roman" w:cs="Times New Roman"/>
          <w:sz w:val="24"/>
          <w:szCs w:val="24"/>
          <w:u w:val="single"/>
        </w:rPr>
        <w:t>Appeals and Grievance Processes</w:t>
      </w:r>
    </w:p>
    <w:p w:rsidR="002C5025" w:rsidRDefault="002C5025">
      <w:pPr>
        <w:pStyle w:val="BodyText"/>
        <w:kinsoku w:val="0"/>
        <w:overflowPunct w:val="0"/>
        <w:ind w:left="119" w:right="296"/>
        <w:rPr>
          <w:rFonts w:ascii="Times New Roman" w:hAnsi="Times New Roman" w:cs="Times New Roman"/>
          <w:spacing w:val="-3"/>
          <w:sz w:val="24"/>
          <w:szCs w:val="24"/>
        </w:rPr>
      </w:pPr>
      <w:r>
        <w:rPr>
          <w:rFonts w:ascii="Times New Roman" w:hAnsi="Times New Roman" w:cs="Times New Roman"/>
          <w:spacing w:val="-3"/>
          <w:sz w:val="24"/>
          <w:szCs w:val="24"/>
        </w:rPr>
        <w:t xml:space="preserve">We </w:t>
      </w:r>
      <w:r>
        <w:rPr>
          <w:rFonts w:ascii="Times New Roman" w:hAnsi="Times New Roman" w:cs="Times New Roman"/>
          <w:sz w:val="24"/>
          <w:szCs w:val="24"/>
        </w:rPr>
        <w:t xml:space="preserve">applaud </w:t>
      </w:r>
      <w:r>
        <w:rPr>
          <w:rFonts w:ascii="Times New Roman" w:hAnsi="Times New Roman" w:cs="Times New Roman"/>
          <w:spacing w:val="-3"/>
          <w:sz w:val="24"/>
          <w:szCs w:val="24"/>
        </w:rPr>
        <w:t xml:space="preserve">MassHealth for </w:t>
      </w:r>
      <w:r>
        <w:rPr>
          <w:rFonts w:ascii="Times New Roman" w:hAnsi="Times New Roman" w:cs="Times New Roman"/>
          <w:spacing w:val="-4"/>
          <w:sz w:val="24"/>
          <w:szCs w:val="24"/>
        </w:rPr>
        <w:t xml:space="preserve">recognizing </w:t>
      </w:r>
      <w:r>
        <w:rPr>
          <w:rFonts w:ascii="Times New Roman" w:hAnsi="Times New Roman" w:cs="Times New Roman"/>
          <w:spacing w:val="-5"/>
          <w:sz w:val="24"/>
          <w:szCs w:val="24"/>
        </w:rPr>
        <w:t xml:space="preserve">the </w:t>
      </w:r>
      <w:r>
        <w:rPr>
          <w:rFonts w:ascii="Times New Roman" w:hAnsi="Times New Roman" w:cs="Times New Roman"/>
          <w:spacing w:val="-3"/>
          <w:sz w:val="24"/>
          <w:szCs w:val="24"/>
        </w:rPr>
        <w:t xml:space="preserve">need for </w:t>
      </w:r>
      <w:r>
        <w:rPr>
          <w:rFonts w:ascii="Times New Roman" w:hAnsi="Times New Roman" w:cs="Times New Roman"/>
          <w:sz w:val="24"/>
          <w:szCs w:val="24"/>
        </w:rPr>
        <w:t xml:space="preserve">a </w:t>
      </w:r>
      <w:r>
        <w:rPr>
          <w:rFonts w:ascii="Times New Roman" w:hAnsi="Times New Roman" w:cs="Times New Roman"/>
          <w:spacing w:val="-3"/>
          <w:sz w:val="24"/>
          <w:szCs w:val="24"/>
        </w:rPr>
        <w:t xml:space="preserve">grievance </w:t>
      </w:r>
      <w:r>
        <w:rPr>
          <w:rFonts w:ascii="Times New Roman" w:hAnsi="Times New Roman" w:cs="Times New Roman"/>
          <w:sz w:val="24"/>
          <w:szCs w:val="24"/>
        </w:rPr>
        <w:t xml:space="preserve">process for ACO-specific  issues </w:t>
      </w:r>
      <w:r>
        <w:rPr>
          <w:rFonts w:ascii="Times New Roman" w:hAnsi="Times New Roman" w:cs="Times New Roman"/>
          <w:spacing w:val="-4"/>
          <w:sz w:val="24"/>
          <w:szCs w:val="24"/>
        </w:rPr>
        <w:t xml:space="preserve">and </w:t>
      </w:r>
      <w:r>
        <w:rPr>
          <w:rFonts w:ascii="Times New Roman" w:hAnsi="Times New Roman" w:cs="Times New Roman"/>
          <w:spacing w:val="-5"/>
          <w:sz w:val="24"/>
          <w:szCs w:val="24"/>
        </w:rPr>
        <w:t xml:space="preserve">the </w:t>
      </w:r>
      <w:r>
        <w:rPr>
          <w:rFonts w:ascii="Times New Roman" w:hAnsi="Times New Roman" w:cs="Times New Roman"/>
          <w:sz w:val="24"/>
          <w:szCs w:val="24"/>
        </w:rPr>
        <w:t xml:space="preserve">creation of an </w:t>
      </w:r>
      <w:r>
        <w:rPr>
          <w:rFonts w:ascii="Times New Roman" w:hAnsi="Times New Roman" w:cs="Times New Roman"/>
          <w:spacing w:val="-5"/>
          <w:sz w:val="24"/>
          <w:szCs w:val="24"/>
        </w:rPr>
        <w:t xml:space="preserve">MCO/ACO member ombudsman. </w:t>
      </w:r>
      <w:r>
        <w:rPr>
          <w:rFonts w:ascii="Times New Roman" w:hAnsi="Times New Roman" w:cs="Times New Roman"/>
          <w:spacing w:val="-3"/>
          <w:sz w:val="24"/>
          <w:szCs w:val="24"/>
        </w:rPr>
        <w:t xml:space="preserve">Strong </w:t>
      </w:r>
      <w:r>
        <w:rPr>
          <w:rFonts w:ascii="Times New Roman" w:hAnsi="Times New Roman" w:cs="Times New Roman"/>
          <w:spacing w:val="-7"/>
          <w:sz w:val="24"/>
          <w:szCs w:val="24"/>
        </w:rPr>
        <w:t xml:space="preserve">member </w:t>
      </w:r>
      <w:r>
        <w:rPr>
          <w:rFonts w:ascii="Times New Roman" w:hAnsi="Times New Roman" w:cs="Times New Roman"/>
          <w:spacing w:val="-4"/>
          <w:sz w:val="24"/>
          <w:szCs w:val="24"/>
        </w:rPr>
        <w:t xml:space="preserve">rights </w:t>
      </w:r>
      <w:r>
        <w:rPr>
          <w:rFonts w:ascii="Times New Roman" w:hAnsi="Times New Roman" w:cs="Times New Roman"/>
          <w:spacing w:val="-3"/>
          <w:sz w:val="24"/>
          <w:szCs w:val="24"/>
        </w:rPr>
        <w:t xml:space="preserve">to </w:t>
      </w:r>
      <w:r>
        <w:rPr>
          <w:rFonts w:ascii="Times New Roman" w:hAnsi="Times New Roman" w:cs="Times New Roman"/>
          <w:sz w:val="24"/>
          <w:szCs w:val="24"/>
        </w:rPr>
        <w:t xml:space="preserve">appeals </w:t>
      </w:r>
      <w:r>
        <w:rPr>
          <w:rFonts w:ascii="Times New Roman" w:hAnsi="Times New Roman" w:cs="Times New Roman"/>
          <w:spacing w:val="-4"/>
          <w:sz w:val="24"/>
          <w:szCs w:val="24"/>
        </w:rPr>
        <w:t xml:space="preserve">and </w:t>
      </w:r>
      <w:r>
        <w:rPr>
          <w:rFonts w:ascii="Times New Roman" w:hAnsi="Times New Roman" w:cs="Times New Roman"/>
          <w:spacing w:val="-3"/>
          <w:sz w:val="24"/>
          <w:szCs w:val="24"/>
        </w:rPr>
        <w:t xml:space="preserve">grievances </w:t>
      </w:r>
      <w:r>
        <w:rPr>
          <w:rFonts w:ascii="Times New Roman" w:hAnsi="Times New Roman" w:cs="Times New Roman"/>
          <w:sz w:val="24"/>
          <w:szCs w:val="24"/>
        </w:rPr>
        <w:t xml:space="preserve">are crucial </w:t>
      </w:r>
      <w:r>
        <w:rPr>
          <w:rFonts w:ascii="Times New Roman" w:hAnsi="Times New Roman" w:cs="Times New Roman"/>
          <w:spacing w:val="-3"/>
          <w:sz w:val="24"/>
          <w:szCs w:val="24"/>
        </w:rPr>
        <w:t xml:space="preserve">given </w:t>
      </w:r>
      <w:r>
        <w:rPr>
          <w:rFonts w:ascii="Times New Roman" w:hAnsi="Times New Roman" w:cs="Times New Roman"/>
          <w:spacing w:val="-4"/>
          <w:sz w:val="24"/>
          <w:szCs w:val="24"/>
        </w:rPr>
        <w:t xml:space="preserve">that </w:t>
      </w:r>
      <w:r>
        <w:rPr>
          <w:rFonts w:ascii="Times New Roman" w:hAnsi="Times New Roman" w:cs="Times New Roman"/>
          <w:spacing w:val="-5"/>
          <w:sz w:val="24"/>
          <w:szCs w:val="24"/>
        </w:rPr>
        <w:t xml:space="preserve">ACOs </w:t>
      </w:r>
      <w:r>
        <w:rPr>
          <w:rFonts w:ascii="Times New Roman" w:hAnsi="Times New Roman" w:cs="Times New Roman"/>
          <w:spacing w:val="3"/>
          <w:sz w:val="24"/>
          <w:szCs w:val="24"/>
        </w:rPr>
        <w:t xml:space="preserve">will </w:t>
      </w:r>
      <w:r>
        <w:rPr>
          <w:rFonts w:ascii="Times New Roman" w:hAnsi="Times New Roman" w:cs="Times New Roman"/>
          <w:sz w:val="24"/>
          <w:szCs w:val="24"/>
        </w:rPr>
        <w:t xml:space="preserve">be </w:t>
      </w:r>
      <w:r>
        <w:rPr>
          <w:rFonts w:ascii="Times New Roman" w:hAnsi="Times New Roman" w:cs="Times New Roman"/>
          <w:spacing w:val="-5"/>
          <w:sz w:val="24"/>
          <w:szCs w:val="24"/>
        </w:rPr>
        <w:t xml:space="preserve">assuming </w:t>
      </w:r>
      <w:r>
        <w:rPr>
          <w:rFonts w:ascii="Times New Roman" w:hAnsi="Times New Roman" w:cs="Times New Roman"/>
          <w:sz w:val="24"/>
          <w:szCs w:val="24"/>
        </w:rPr>
        <w:t xml:space="preserve">financial risk </w:t>
      </w:r>
      <w:r>
        <w:rPr>
          <w:rFonts w:ascii="Times New Roman" w:hAnsi="Times New Roman" w:cs="Times New Roman"/>
          <w:spacing w:val="-3"/>
          <w:sz w:val="24"/>
          <w:szCs w:val="24"/>
        </w:rPr>
        <w:t xml:space="preserve">for </w:t>
      </w:r>
      <w:r>
        <w:rPr>
          <w:rFonts w:ascii="Times New Roman" w:hAnsi="Times New Roman" w:cs="Times New Roman"/>
          <w:sz w:val="24"/>
          <w:szCs w:val="24"/>
        </w:rPr>
        <w:t xml:space="preserve">delivering care to </w:t>
      </w:r>
      <w:r>
        <w:rPr>
          <w:rFonts w:ascii="Times New Roman" w:hAnsi="Times New Roman" w:cs="Times New Roman"/>
          <w:spacing w:val="-3"/>
          <w:sz w:val="24"/>
          <w:szCs w:val="24"/>
        </w:rPr>
        <w:t xml:space="preserve">their </w:t>
      </w:r>
      <w:r>
        <w:rPr>
          <w:rFonts w:ascii="Times New Roman" w:hAnsi="Times New Roman" w:cs="Times New Roman"/>
          <w:spacing w:val="-5"/>
          <w:sz w:val="24"/>
          <w:szCs w:val="24"/>
        </w:rPr>
        <w:t xml:space="preserve">members. </w:t>
      </w:r>
      <w:r>
        <w:rPr>
          <w:rFonts w:ascii="Times New Roman" w:hAnsi="Times New Roman" w:cs="Times New Roman"/>
          <w:spacing w:val="-6"/>
          <w:sz w:val="24"/>
          <w:szCs w:val="24"/>
        </w:rPr>
        <w:t xml:space="preserve">HLA </w:t>
      </w:r>
      <w:r>
        <w:rPr>
          <w:rFonts w:ascii="Times New Roman" w:hAnsi="Times New Roman" w:cs="Times New Roman"/>
          <w:sz w:val="24"/>
          <w:szCs w:val="24"/>
        </w:rPr>
        <w:t xml:space="preserve">is particularly </w:t>
      </w:r>
      <w:r>
        <w:rPr>
          <w:rFonts w:ascii="Times New Roman" w:hAnsi="Times New Roman" w:cs="Times New Roman"/>
          <w:spacing w:val="-3"/>
          <w:sz w:val="24"/>
          <w:szCs w:val="24"/>
        </w:rPr>
        <w:t xml:space="preserve">concerned </w:t>
      </w:r>
      <w:r>
        <w:rPr>
          <w:rFonts w:ascii="Times New Roman" w:hAnsi="Times New Roman" w:cs="Times New Roman"/>
          <w:sz w:val="24"/>
          <w:szCs w:val="24"/>
        </w:rPr>
        <w:t xml:space="preserve">about </w:t>
      </w:r>
      <w:r>
        <w:rPr>
          <w:rFonts w:ascii="Times New Roman" w:hAnsi="Times New Roman" w:cs="Times New Roman"/>
          <w:spacing w:val="-4"/>
          <w:sz w:val="24"/>
          <w:szCs w:val="24"/>
        </w:rPr>
        <w:t xml:space="preserve">potential </w:t>
      </w:r>
      <w:r>
        <w:rPr>
          <w:rFonts w:ascii="Times New Roman" w:hAnsi="Times New Roman" w:cs="Times New Roman"/>
          <w:sz w:val="24"/>
          <w:szCs w:val="24"/>
        </w:rPr>
        <w:t xml:space="preserve">ACO-specific </w:t>
      </w:r>
      <w:r>
        <w:rPr>
          <w:rFonts w:ascii="Times New Roman" w:hAnsi="Times New Roman" w:cs="Times New Roman"/>
          <w:spacing w:val="-3"/>
          <w:sz w:val="24"/>
          <w:szCs w:val="24"/>
        </w:rPr>
        <w:t xml:space="preserve">problems including </w:t>
      </w:r>
      <w:r>
        <w:rPr>
          <w:rFonts w:ascii="Times New Roman" w:hAnsi="Times New Roman" w:cs="Times New Roman"/>
          <w:sz w:val="24"/>
          <w:szCs w:val="24"/>
        </w:rPr>
        <w:t xml:space="preserve">denials or restrictions on referrals </w:t>
      </w:r>
      <w:r>
        <w:rPr>
          <w:rFonts w:ascii="Times New Roman" w:hAnsi="Times New Roman" w:cs="Times New Roman"/>
          <w:spacing w:val="-3"/>
          <w:sz w:val="24"/>
          <w:szCs w:val="24"/>
        </w:rPr>
        <w:t xml:space="preserve">to </w:t>
      </w:r>
      <w:r>
        <w:rPr>
          <w:rFonts w:ascii="Times New Roman" w:hAnsi="Times New Roman" w:cs="Times New Roman"/>
          <w:sz w:val="24"/>
          <w:szCs w:val="24"/>
        </w:rPr>
        <w:t xml:space="preserve">providers who are </w:t>
      </w:r>
      <w:r>
        <w:rPr>
          <w:rFonts w:ascii="Times New Roman" w:hAnsi="Times New Roman" w:cs="Times New Roman"/>
          <w:spacing w:val="-3"/>
          <w:sz w:val="24"/>
          <w:szCs w:val="24"/>
        </w:rPr>
        <w:t xml:space="preserve">unaffiliated </w:t>
      </w:r>
      <w:r>
        <w:rPr>
          <w:rFonts w:ascii="Times New Roman" w:hAnsi="Times New Roman" w:cs="Times New Roman"/>
          <w:sz w:val="24"/>
          <w:szCs w:val="24"/>
        </w:rPr>
        <w:t xml:space="preserve">with </w:t>
      </w:r>
      <w:r>
        <w:rPr>
          <w:rFonts w:ascii="Times New Roman" w:hAnsi="Times New Roman" w:cs="Times New Roman"/>
          <w:spacing w:val="-5"/>
          <w:sz w:val="24"/>
          <w:szCs w:val="24"/>
        </w:rPr>
        <w:t xml:space="preserve">the </w:t>
      </w:r>
      <w:r>
        <w:rPr>
          <w:rFonts w:ascii="Times New Roman" w:hAnsi="Times New Roman" w:cs="Times New Roman"/>
          <w:spacing w:val="-4"/>
          <w:sz w:val="24"/>
          <w:szCs w:val="24"/>
        </w:rPr>
        <w:t xml:space="preserve">ACO, </w:t>
      </w:r>
      <w:r>
        <w:rPr>
          <w:rFonts w:ascii="Times New Roman" w:hAnsi="Times New Roman" w:cs="Times New Roman"/>
          <w:spacing w:val="-3"/>
          <w:sz w:val="24"/>
          <w:szCs w:val="24"/>
        </w:rPr>
        <w:t xml:space="preserve">limitations </w:t>
      </w:r>
      <w:r>
        <w:rPr>
          <w:rFonts w:ascii="Times New Roman" w:hAnsi="Times New Roman" w:cs="Times New Roman"/>
          <w:sz w:val="24"/>
          <w:szCs w:val="24"/>
        </w:rPr>
        <w:t xml:space="preserve">on services </w:t>
      </w:r>
      <w:r>
        <w:rPr>
          <w:rFonts w:ascii="Times New Roman" w:hAnsi="Times New Roman" w:cs="Times New Roman"/>
          <w:spacing w:val="-4"/>
          <w:sz w:val="24"/>
          <w:szCs w:val="24"/>
        </w:rPr>
        <w:t xml:space="preserve">that </w:t>
      </w:r>
      <w:r>
        <w:rPr>
          <w:rFonts w:ascii="Times New Roman" w:hAnsi="Times New Roman" w:cs="Times New Roman"/>
          <w:sz w:val="24"/>
          <w:szCs w:val="24"/>
        </w:rPr>
        <w:t xml:space="preserve">are </w:t>
      </w:r>
      <w:r>
        <w:rPr>
          <w:rFonts w:ascii="Times New Roman" w:hAnsi="Times New Roman" w:cs="Times New Roman"/>
          <w:spacing w:val="-3"/>
          <w:sz w:val="24"/>
          <w:szCs w:val="24"/>
        </w:rPr>
        <w:t xml:space="preserve">not </w:t>
      </w:r>
      <w:r>
        <w:rPr>
          <w:rFonts w:ascii="Times New Roman" w:hAnsi="Times New Roman" w:cs="Times New Roman"/>
          <w:sz w:val="24"/>
          <w:szCs w:val="24"/>
        </w:rPr>
        <w:t xml:space="preserve">reflected in </w:t>
      </w:r>
      <w:r>
        <w:rPr>
          <w:rFonts w:ascii="Times New Roman" w:hAnsi="Times New Roman" w:cs="Times New Roman"/>
          <w:spacing w:val="-5"/>
          <w:sz w:val="24"/>
          <w:szCs w:val="24"/>
        </w:rPr>
        <w:t xml:space="preserve">members’ </w:t>
      </w:r>
      <w:r>
        <w:rPr>
          <w:rFonts w:ascii="Times New Roman" w:hAnsi="Times New Roman" w:cs="Times New Roman"/>
          <w:sz w:val="24"/>
          <w:szCs w:val="24"/>
        </w:rPr>
        <w:t xml:space="preserve">care plans, </w:t>
      </w:r>
      <w:r>
        <w:rPr>
          <w:rFonts w:ascii="Times New Roman" w:hAnsi="Times New Roman" w:cs="Times New Roman"/>
          <w:spacing w:val="-4"/>
          <w:sz w:val="24"/>
          <w:szCs w:val="24"/>
        </w:rPr>
        <w:t xml:space="preserve">and </w:t>
      </w:r>
      <w:r>
        <w:rPr>
          <w:rFonts w:ascii="Times New Roman" w:hAnsi="Times New Roman" w:cs="Times New Roman"/>
          <w:sz w:val="24"/>
          <w:szCs w:val="24"/>
        </w:rPr>
        <w:t xml:space="preserve">restricted medical </w:t>
      </w:r>
      <w:r>
        <w:rPr>
          <w:rFonts w:ascii="Times New Roman" w:hAnsi="Times New Roman" w:cs="Times New Roman"/>
          <w:spacing w:val="-3"/>
          <w:sz w:val="24"/>
          <w:szCs w:val="24"/>
        </w:rPr>
        <w:t xml:space="preserve">testing </w:t>
      </w:r>
      <w:r>
        <w:rPr>
          <w:rFonts w:ascii="Times New Roman" w:hAnsi="Times New Roman" w:cs="Times New Roman"/>
          <w:spacing w:val="-4"/>
          <w:sz w:val="24"/>
          <w:szCs w:val="24"/>
        </w:rPr>
        <w:t xml:space="preserve">and assessments. </w:t>
      </w:r>
      <w:r>
        <w:rPr>
          <w:rFonts w:ascii="Times New Roman" w:hAnsi="Times New Roman" w:cs="Times New Roman"/>
          <w:spacing w:val="-3"/>
          <w:sz w:val="24"/>
          <w:szCs w:val="24"/>
        </w:rPr>
        <w:t xml:space="preserve">We have </w:t>
      </w:r>
      <w:r>
        <w:rPr>
          <w:rFonts w:ascii="Times New Roman" w:hAnsi="Times New Roman" w:cs="Times New Roman"/>
          <w:sz w:val="24"/>
          <w:szCs w:val="24"/>
        </w:rPr>
        <w:t xml:space="preserve">shared </w:t>
      </w:r>
      <w:r>
        <w:rPr>
          <w:rFonts w:ascii="Times New Roman" w:hAnsi="Times New Roman" w:cs="Times New Roman"/>
          <w:spacing w:val="-4"/>
          <w:sz w:val="24"/>
          <w:szCs w:val="24"/>
        </w:rPr>
        <w:t xml:space="preserve">our concerns </w:t>
      </w:r>
      <w:r>
        <w:rPr>
          <w:rFonts w:ascii="Times New Roman" w:hAnsi="Times New Roman" w:cs="Times New Roman"/>
          <w:sz w:val="24"/>
          <w:szCs w:val="24"/>
        </w:rPr>
        <w:t xml:space="preserve">on </w:t>
      </w:r>
      <w:r>
        <w:rPr>
          <w:rFonts w:ascii="Times New Roman" w:hAnsi="Times New Roman" w:cs="Times New Roman"/>
          <w:spacing w:val="-3"/>
          <w:sz w:val="24"/>
          <w:szCs w:val="24"/>
        </w:rPr>
        <w:t xml:space="preserve">multiple </w:t>
      </w:r>
      <w:r>
        <w:rPr>
          <w:rFonts w:ascii="Times New Roman" w:hAnsi="Times New Roman" w:cs="Times New Roman"/>
          <w:sz w:val="24"/>
          <w:szCs w:val="24"/>
        </w:rPr>
        <w:t xml:space="preserve">occasions with </w:t>
      </w:r>
      <w:r>
        <w:rPr>
          <w:rFonts w:ascii="Times New Roman" w:hAnsi="Times New Roman" w:cs="Times New Roman"/>
          <w:spacing w:val="-5"/>
          <w:sz w:val="24"/>
          <w:szCs w:val="24"/>
        </w:rPr>
        <w:t xml:space="preserve">the </w:t>
      </w:r>
      <w:r>
        <w:rPr>
          <w:rFonts w:ascii="Times New Roman" w:hAnsi="Times New Roman" w:cs="Times New Roman"/>
          <w:sz w:val="24"/>
          <w:szCs w:val="24"/>
        </w:rPr>
        <w:t xml:space="preserve">Health Policy </w:t>
      </w:r>
      <w:r>
        <w:rPr>
          <w:rFonts w:ascii="Times New Roman" w:hAnsi="Times New Roman" w:cs="Times New Roman"/>
          <w:spacing w:val="-4"/>
          <w:sz w:val="24"/>
          <w:szCs w:val="24"/>
        </w:rPr>
        <w:t xml:space="preserve">Commission </w:t>
      </w:r>
      <w:r>
        <w:rPr>
          <w:rFonts w:ascii="Times New Roman" w:hAnsi="Times New Roman" w:cs="Times New Roman"/>
          <w:spacing w:val="-3"/>
          <w:sz w:val="24"/>
          <w:szCs w:val="24"/>
        </w:rPr>
        <w:t xml:space="preserve">about </w:t>
      </w:r>
      <w:r>
        <w:rPr>
          <w:rFonts w:ascii="Times New Roman" w:hAnsi="Times New Roman" w:cs="Times New Roman"/>
          <w:spacing w:val="-5"/>
          <w:sz w:val="24"/>
          <w:szCs w:val="24"/>
        </w:rPr>
        <w:t xml:space="preserve">the </w:t>
      </w:r>
      <w:r>
        <w:rPr>
          <w:rFonts w:ascii="Times New Roman" w:hAnsi="Times New Roman" w:cs="Times New Roman"/>
          <w:spacing w:val="-4"/>
          <w:sz w:val="24"/>
          <w:szCs w:val="24"/>
        </w:rPr>
        <w:t xml:space="preserve">need </w:t>
      </w:r>
      <w:r>
        <w:rPr>
          <w:rFonts w:ascii="Times New Roman" w:hAnsi="Times New Roman" w:cs="Times New Roman"/>
          <w:spacing w:val="-3"/>
          <w:sz w:val="24"/>
          <w:szCs w:val="24"/>
        </w:rPr>
        <w:t xml:space="preserve">for expansive </w:t>
      </w:r>
      <w:r>
        <w:rPr>
          <w:rFonts w:ascii="Times New Roman" w:hAnsi="Times New Roman" w:cs="Times New Roman"/>
          <w:sz w:val="24"/>
          <w:szCs w:val="24"/>
        </w:rPr>
        <w:t xml:space="preserve">appeal </w:t>
      </w:r>
      <w:r>
        <w:rPr>
          <w:rFonts w:ascii="Times New Roman" w:hAnsi="Times New Roman" w:cs="Times New Roman"/>
          <w:spacing w:val="-3"/>
          <w:sz w:val="24"/>
          <w:szCs w:val="24"/>
        </w:rPr>
        <w:t xml:space="preserve">and grievance </w:t>
      </w:r>
      <w:r>
        <w:rPr>
          <w:rFonts w:ascii="Times New Roman" w:hAnsi="Times New Roman" w:cs="Times New Roman"/>
          <w:spacing w:val="-4"/>
          <w:sz w:val="24"/>
          <w:szCs w:val="24"/>
        </w:rPr>
        <w:t xml:space="preserve">rights </w:t>
      </w:r>
      <w:r>
        <w:rPr>
          <w:rFonts w:ascii="Times New Roman" w:hAnsi="Times New Roman" w:cs="Times New Roman"/>
          <w:spacing w:val="-3"/>
          <w:sz w:val="24"/>
          <w:szCs w:val="24"/>
        </w:rPr>
        <w:t xml:space="preserve">for </w:t>
      </w:r>
      <w:r>
        <w:rPr>
          <w:rFonts w:ascii="Times New Roman" w:hAnsi="Times New Roman" w:cs="Times New Roman"/>
          <w:spacing w:val="-5"/>
          <w:sz w:val="24"/>
          <w:szCs w:val="24"/>
        </w:rPr>
        <w:t xml:space="preserve">members </w:t>
      </w:r>
      <w:r>
        <w:rPr>
          <w:rFonts w:ascii="Times New Roman" w:hAnsi="Times New Roman" w:cs="Times New Roman"/>
          <w:sz w:val="24"/>
          <w:szCs w:val="24"/>
        </w:rPr>
        <w:t xml:space="preserve">of risk-  bearing provider </w:t>
      </w:r>
      <w:r>
        <w:rPr>
          <w:rFonts w:ascii="Times New Roman" w:hAnsi="Times New Roman" w:cs="Times New Roman"/>
          <w:spacing w:val="-3"/>
          <w:sz w:val="24"/>
          <w:szCs w:val="24"/>
        </w:rPr>
        <w:t xml:space="preserve">organizations, </w:t>
      </w:r>
      <w:r>
        <w:rPr>
          <w:rFonts w:ascii="Times New Roman" w:hAnsi="Times New Roman" w:cs="Times New Roman"/>
          <w:sz w:val="24"/>
          <w:szCs w:val="24"/>
        </w:rPr>
        <w:t xml:space="preserve">of which </w:t>
      </w:r>
      <w:r>
        <w:rPr>
          <w:rFonts w:ascii="Times New Roman" w:hAnsi="Times New Roman" w:cs="Times New Roman"/>
          <w:spacing w:val="-5"/>
          <w:sz w:val="24"/>
          <w:szCs w:val="24"/>
        </w:rPr>
        <w:t xml:space="preserve">ACOs </w:t>
      </w:r>
      <w:r>
        <w:rPr>
          <w:rFonts w:ascii="Times New Roman" w:hAnsi="Times New Roman" w:cs="Times New Roman"/>
          <w:sz w:val="24"/>
          <w:szCs w:val="24"/>
        </w:rPr>
        <w:t>are a</w:t>
      </w:r>
      <w:r>
        <w:rPr>
          <w:rFonts w:ascii="Times New Roman" w:hAnsi="Times New Roman" w:cs="Times New Roman"/>
          <w:spacing w:val="32"/>
          <w:sz w:val="24"/>
          <w:szCs w:val="24"/>
        </w:rPr>
        <w:t xml:space="preserve"> </w:t>
      </w:r>
      <w:r>
        <w:rPr>
          <w:rFonts w:ascii="Times New Roman" w:hAnsi="Times New Roman" w:cs="Times New Roman"/>
          <w:spacing w:val="-3"/>
          <w:sz w:val="24"/>
          <w:szCs w:val="24"/>
        </w:rPr>
        <w:t>subset.</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20" w:right="322"/>
        <w:rPr>
          <w:rFonts w:ascii="Times New Roman" w:hAnsi="Times New Roman" w:cs="Times New Roman"/>
          <w:sz w:val="24"/>
          <w:szCs w:val="24"/>
        </w:rPr>
      </w:pPr>
      <w:r>
        <w:rPr>
          <w:rFonts w:ascii="Times New Roman" w:hAnsi="Times New Roman" w:cs="Times New Roman"/>
          <w:sz w:val="24"/>
          <w:szCs w:val="24"/>
        </w:rPr>
        <w:t>Below are some elements that we believe would avoid compromising members’ quality of care by strengthening  members’ rights and protections:</w:t>
      </w:r>
    </w:p>
    <w:p w:rsidR="002C5025" w:rsidRDefault="002C5025">
      <w:pPr>
        <w:pStyle w:val="ListParagraph"/>
        <w:numPr>
          <w:ilvl w:val="0"/>
          <w:numId w:val="10"/>
        </w:numPr>
        <w:tabs>
          <w:tab w:val="left" w:pos="843"/>
        </w:tabs>
        <w:kinsoku w:val="0"/>
        <w:overflowPunct w:val="0"/>
        <w:spacing w:before="9" w:line="237" w:lineRule="auto"/>
        <w:ind w:right="224" w:hanging="362"/>
      </w:pPr>
      <w:r>
        <w:rPr>
          <w:spacing w:val="-3"/>
        </w:rPr>
        <w:t xml:space="preserve">Require </w:t>
      </w:r>
      <w:r>
        <w:t xml:space="preserve">reporting by </w:t>
      </w:r>
      <w:r>
        <w:rPr>
          <w:spacing w:val="-4"/>
        </w:rPr>
        <w:t xml:space="preserve">ACOs </w:t>
      </w:r>
      <w:r>
        <w:t xml:space="preserve">of </w:t>
      </w:r>
      <w:r>
        <w:rPr>
          <w:spacing w:val="-3"/>
        </w:rPr>
        <w:t xml:space="preserve">their </w:t>
      </w:r>
      <w:r>
        <w:t xml:space="preserve">appeals/grievance </w:t>
      </w:r>
      <w:r>
        <w:rPr>
          <w:spacing w:val="-3"/>
        </w:rPr>
        <w:t xml:space="preserve">experience </w:t>
      </w:r>
      <w:r>
        <w:t xml:space="preserve">so MassHealth can </w:t>
      </w:r>
      <w:r>
        <w:rPr>
          <w:spacing w:val="-5"/>
        </w:rPr>
        <w:t xml:space="preserve">monitor implementation </w:t>
      </w:r>
      <w:r>
        <w:rPr>
          <w:spacing w:val="-4"/>
        </w:rPr>
        <w:t xml:space="preserve">and </w:t>
      </w:r>
      <w:r>
        <w:rPr>
          <w:spacing w:val="-2"/>
        </w:rPr>
        <w:t xml:space="preserve">impact </w:t>
      </w:r>
      <w:r>
        <w:t xml:space="preserve">on </w:t>
      </w:r>
      <w:r>
        <w:rPr>
          <w:spacing w:val="-3"/>
        </w:rPr>
        <w:t xml:space="preserve">ACO </w:t>
      </w:r>
      <w:r>
        <w:rPr>
          <w:spacing w:val="-5"/>
        </w:rPr>
        <w:t xml:space="preserve">members. </w:t>
      </w:r>
      <w:r>
        <w:rPr>
          <w:spacing w:val="-3"/>
        </w:rPr>
        <w:t xml:space="preserve">These </w:t>
      </w:r>
      <w:r>
        <w:t xml:space="preserve">required reports </w:t>
      </w:r>
      <w:r>
        <w:rPr>
          <w:spacing w:val="-3"/>
        </w:rPr>
        <w:t xml:space="preserve">should </w:t>
      </w:r>
      <w:r>
        <w:t xml:space="preserve">include </w:t>
      </w:r>
      <w:r>
        <w:rPr>
          <w:spacing w:val="-3"/>
        </w:rPr>
        <w:t xml:space="preserve">information such </w:t>
      </w:r>
      <w:r>
        <w:t xml:space="preserve">as </w:t>
      </w:r>
      <w:r>
        <w:rPr>
          <w:spacing w:val="-5"/>
        </w:rPr>
        <w:t xml:space="preserve">the </w:t>
      </w:r>
      <w:r>
        <w:rPr>
          <w:spacing w:val="-7"/>
        </w:rPr>
        <w:t xml:space="preserve">number  </w:t>
      </w:r>
      <w:r>
        <w:t xml:space="preserve">of appeals </w:t>
      </w:r>
      <w:r>
        <w:rPr>
          <w:spacing w:val="-5"/>
        </w:rPr>
        <w:t xml:space="preserve">the </w:t>
      </w:r>
      <w:r>
        <w:rPr>
          <w:spacing w:val="-3"/>
        </w:rPr>
        <w:t xml:space="preserve">ACO </w:t>
      </w:r>
      <w:r>
        <w:t xml:space="preserve">receives, </w:t>
      </w:r>
      <w:r>
        <w:rPr>
          <w:spacing w:val="-4"/>
        </w:rPr>
        <w:t xml:space="preserve">the </w:t>
      </w:r>
      <w:r>
        <w:t xml:space="preserve">types of appeals, </w:t>
      </w:r>
      <w:r>
        <w:rPr>
          <w:spacing w:val="-3"/>
        </w:rPr>
        <w:t xml:space="preserve">and </w:t>
      </w:r>
      <w:r>
        <w:rPr>
          <w:spacing w:val="-5"/>
        </w:rPr>
        <w:t xml:space="preserve">the </w:t>
      </w:r>
      <w:r>
        <w:rPr>
          <w:spacing w:val="-6"/>
        </w:rPr>
        <w:t xml:space="preserve">outcome </w:t>
      </w:r>
      <w:r>
        <w:t xml:space="preserve">of </w:t>
      </w:r>
      <w:r>
        <w:rPr>
          <w:spacing w:val="-5"/>
        </w:rPr>
        <w:t xml:space="preserve">the </w:t>
      </w:r>
      <w:r>
        <w:t xml:space="preserve">appeals. This </w:t>
      </w:r>
      <w:r>
        <w:rPr>
          <w:spacing w:val="-3"/>
        </w:rPr>
        <w:t xml:space="preserve">information should </w:t>
      </w:r>
      <w:r>
        <w:t xml:space="preserve">be publically available, </w:t>
      </w:r>
      <w:r>
        <w:rPr>
          <w:spacing w:val="-3"/>
        </w:rPr>
        <w:t xml:space="preserve">including </w:t>
      </w:r>
      <w:r>
        <w:rPr>
          <w:spacing w:val="-6"/>
        </w:rPr>
        <w:t xml:space="preserve">through  </w:t>
      </w:r>
      <w:r>
        <w:rPr>
          <w:spacing w:val="-5"/>
        </w:rPr>
        <w:t xml:space="preserve">the </w:t>
      </w:r>
      <w:r>
        <w:t>MassHealth</w:t>
      </w:r>
      <w:r>
        <w:rPr>
          <w:spacing w:val="8"/>
        </w:rPr>
        <w:t xml:space="preserve"> </w:t>
      </w:r>
      <w:r>
        <w:t>website;</w:t>
      </w:r>
    </w:p>
    <w:p w:rsidR="002C5025" w:rsidRDefault="002C5025">
      <w:pPr>
        <w:pStyle w:val="ListParagraph"/>
        <w:numPr>
          <w:ilvl w:val="0"/>
          <w:numId w:val="10"/>
        </w:numPr>
        <w:tabs>
          <w:tab w:val="left" w:pos="843"/>
        </w:tabs>
        <w:kinsoku w:val="0"/>
        <w:overflowPunct w:val="0"/>
        <w:spacing w:before="32" w:line="274" w:lineRule="exact"/>
        <w:ind w:right="185" w:hanging="362"/>
        <w:rPr>
          <w:spacing w:val="-5"/>
        </w:rPr>
      </w:pPr>
      <w:r>
        <w:rPr>
          <w:spacing w:val="-3"/>
        </w:rPr>
        <w:t xml:space="preserve">Require </w:t>
      </w:r>
      <w:r>
        <w:t xml:space="preserve">providers </w:t>
      </w:r>
      <w:r>
        <w:rPr>
          <w:spacing w:val="-4"/>
        </w:rPr>
        <w:t xml:space="preserve">that </w:t>
      </w:r>
      <w:r>
        <w:t xml:space="preserve">share in </w:t>
      </w:r>
      <w:r>
        <w:rPr>
          <w:spacing w:val="-4"/>
        </w:rPr>
        <w:t xml:space="preserve">ACO </w:t>
      </w:r>
      <w:r>
        <w:rPr>
          <w:spacing w:val="-3"/>
        </w:rPr>
        <w:t xml:space="preserve">savings to </w:t>
      </w:r>
      <w:r>
        <w:t xml:space="preserve">provide </w:t>
      </w:r>
      <w:r>
        <w:rPr>
          <w:spacing w:val="-5"/>
        </w:rPr>
        <w:t xml:space="preserve">members </w:t>
      </w:r>
      <w:r>
        <w:t xml:space="preserve">with a description of all possible </w:t>
      </w:r>
      <w:r>
        <w:rPr>
          <w:spacing w:val="-5"/>
        </w:rPr>
        <w:t xml:space="preserve">treatment  </w:t>
      </w:r>
      <w:r>
        <w:t xml:space="preserve">options </w:t>
      </w:r>
      <w:r>
        <w:rPr>
          <w:spacing w:val="-3"/>
        </w:rPr>
        <w:t xml:space="preserve">and </w:t>
      </w:r>
      <w:r>
        <w:rPr>
          <w:spacing w:val="-5"/>
        </w:rPr>
        <w:t xml:space="preserve">the </w:t>
      </w:r>
      <w:r>
        <w:t xml:space="preserve">basis </w:t>
      </w:r>
      <w:r>
        <w:rPr>
          <w:spacing w:val="-3"/>
        </w:rPr>
        <w:t xml:space="preserve">for </w:t>
      </w:r>
      <w:r>
        <w:t xml:space="preserve">selecting </w:t>
      </w:r>
      <w:r>
        <w:rPr>
          <w:spacing w:val="-5"/>
        </w:rPr>
        <w:t>the recommended</w:t>
      </w:r>
      <w:r>
        <w:rPr>
          <w:spacing w:val="49"/>
        </w:rPr>
        <w:t xml:space="preserve"> </w:t>
      </w:r>
      <w:r>
        <w:rPr>
          <w:spacing w:val="-5"/>
        </w:rPr>
        <w:t>treatment;</w:t>
      </w:r>
    </w:p>
    <w:p w:rsidR="002C5025" w:rsidRDefault="002C5025">
      <w:pPr>
        <w:pStyle w:val="ListParagraph"/>
        <w:numPr>
          <w:ilvl w:val="0"/>
          <w:numId w:val="10"/>
        </w:numPr>
        <w:tabs>
          <w:tab w:val="left" w:pos="843"/>
        </w:tabs>
        <w:kinsoku w:val="0"/>
        <w:overflowPunct w:val="0"/>
        <w:spacing w:before="42" w:line="262" w:lineRule="exact"/>
        <w:ind w:right="322" w:hanging="362"/>
        <w:rPr>
          <w:spacing w:val="-3"/>
        </w:rPr>
      </w:pPr>
      <w:r>
        <w:t xml:space="preserve">Allow </w:t>
      </w:r>
      <w:r>
        <w:rPr>
          <w:spacing w:val="-5"/>
        </w:rPr>
        <w:t xml:space="preserve">members </w:t>
      </w:r>
      <w:r>
        <w:rPr>
          <w:spacing w:val="-3"/>
        </w:rPr>
        <w:t xml:space="preserve">to </w:t>
      </w:r>
      <w:r>
        <w:t xml:space="preserve">seek second </w:t>
      </w:r>
      <w:r>
        <w:rPr>
          <w:spacing w:val="-3"/>
        </w:rPr>
        <w:t xml:space="preserve">opinions </w:t>
      </w:r>
      <w:r>
        <w:t xml:space="preserve">outside of </w:t>
      </w:r>
      <w:r>
        <w:rPr>
          <w:spacing w:val="-5"/>
        </w:rPr>
        <w:t xml:space="preserve">the </w:t>
      </w:r>
      <w:r>
        <w:rPr>
          <w:spacing w:val="-3"/>
        </w:rPr>
        <w:t xml:space="preserve">ACO </w:t>
      </w:r>
      <w:r>
        <w:t xml:space="preserve">network </w:t>
      </w:r>
      <w:r>
        <w:rPr>
          <w:spacing w:val="-3"/>
        </w:rPr>
        <w:t xml:space="preserve">without </w:t>
      </w:r>
      <w:r>
        <w:t xml:space="preserve">additional </w:t>
      </w:r>
      <w:r>
        <w:rPr>
          <w:spacing w:val="-6"/>
        </w:rPr>
        <w:t xml:space="preserve">member  </w:t>
      </w:r>
      <w:r>
        <w:t>cost</w:t>
      </w:r>
      <w:r>
        <w:rPr>
          <w:spacing w:val="-18"/>
        </w:rPr>
        <w:t xml:space="preserve"> </w:t>
      </w:r>
      <w:r>
        <w:rPr>
          <w:spacing w:val="-3"/>
        </w:rPr>
        <w:t>sharing;</w:t>
      </w:r>
    </w:p>
    <w:p w:rsidR="002C5025" w:rsidRDefault="002C5025">
      <w:pPr>
        <w:pStyle w:val="ListParagraph"/>
        <w:numPr>
          <w:ilvl w:val="0"/>
          <w:numId w:val="10"/>
        </w:numPr>
        <w:tabs>
          <w:tab w:val="left" w:pos="843"/>
        </w:tabs>
        <w:kinsoku w:val="0"/>
        <w:overflowPunct w:val="0"/>
        <w:spacing w:before="1"/>
        <w:ind w:right="190" w:hanging="362"/>
        <w:rPr>
          <w:spacing w:val="-4"/>
        </w:rPr>
      </w:pPr>
      <w:r>
        <w:rPr>
          <w:spacing w:val="-4"/>
        </w:rPr>
        <w:t xml:space="preserve">Ensure </w:t>
      </w:r>
      <w:r>
        <w:t xml:space="preserve">accessible, clear, </w:t>
      </w:r>
      <w:r>
        <w:rPr>
          <w:spacing w:val="-4"/>
        </w:rPr>
        <w:t xml:space="preserve">and </w:t>
      </w:r>
      <w:r>
        <w:t xml:space="preserve">culturally-appropriate articulation of appeals </w:t>
      </w:r>
      <w:r>
        <w:rPr>
          <w:spacing w:val="-3"/>
        </w:rPr>
        <w:t xml:space="preserve">and grievance </w:t>
      </w:r>
      <w:r>
        <w:t xml:space="preserve">processes. </w:t>
      </w:r>
      <w:r>
        <w:rPr>
          <w:spacing w:val="-5"/>
        </w:rPr>
        <w:t xml:space="preserve">Members </w:t>
      </w:r>
      <w:r>
        <w:rPr>
          <w:spacing w:val="-3"/>
        </w:rPr>
        <w:t xml:space="preserve">should </w:t>
      </w:r>
      <w:r>
        <w:t xml:space="preserve">receive </w:t>
      </w:r>
      <w:r>
        <w:rPr>
          <w:spacing w:val="-3"/>
        </w:rPr>
        <w:t xml:space="preserve">information  about </w:t>
      </w:r>
      <w:r>
        <w:rPr>
          <w:spacing w:val="-5"/>
        </w:rPr>
        <w:t xml:space="preserve">the </w:t>
      </w:r>
      <w:r>
        <w:t xml:space="preserve">appeals </w:t>
      </w:r>
      <w:r>
        <w:rPr>
          <w:spacing w:val="-3"/>
        </w:rPr>
        <w:t xml:space="preserve">and grievance </w:t>
      </w:r>
      <w:r>
        <w:t xml:space="preserve">processes </w:t>
      </w:r>
      <w:r>
        <w:rPr>
          <w:spacing w:val="-3"/>
        </w:rPr>
        <w:t xml:space="preserve">upon </w:t>
      </w:r>
      <w:r>
        <w:rPr>
          <w:spacing w:val="-4"/>
        </w:rPr>
        <w:t xml:space="preserve">enrollment </w:t>
      </w:r>
      <w:r>
        <w:t xml:space="preserve">in an </w:t>
      </w:r>
      <w:r>
        <w:rPr>
          <w:spacing w:val="-5"/>
        </w:rPr>
        <w:t xml:space="preserve">ACO. </w:t>
      </w:r>
      <w:r>
        <w:rPr>
          <w:spacing w:val="-6"/>
        </w:rPr>
        <w:t xml:space="preserve">Information </w:t>
      </w:r>
      <w:r>
        <w:rPr>
          <w:spacing w:val="-3"/>
        </w:rPr>
        <w:t xml:space="preserve">about </w:t>
      </w:r>
      <w:r>
        <w:rPr>
          <w:spacing w:val="-4"/>
        </w:rPr>
        <w:t xml:space="preserve">these </w:t>
      </w:r>
      <w:r>
        <w:t xml:space="preserve">processes </w:t>
      </w:r>
      <w:r>
        <w:rPr>
          <w:spacing w:val="-3"/>
        </w:rPr>
        <w:t xml:space="preserve">should </w:t>
      </w:r>
      <w:r>
        <w:t xml:space="preserve">be available on </w:t>
      </w:r>
      <w:r>
        <w:rPr>
          <w:spacing w:val="-3"/>
        </w:rPr>
        <w:t xml:space="preserve">MassHealth’s </w:t>
      </w:r>
      <w:r>
        <w:rPr>
          <w:spacing w:val="-4"/>
        </w:rPr>
        <w:t xml:space="preserve">and </w:t>
      </w:r>
      <w:r>
        <w:rPr>
          <w:spacing w:val="-3"/>
        </w:rPr>
        <w:t xml:space="preserve">ACOs’ </w:t>
      </w:r>
      <w:r>
        <w:t xml:space="preserve">websites, as well as in </w:t>
      </w:r>
      <w:r>
        <w:rPr>
          <w:spacing w:val="-3"/>
        </w:rPr>
        <w:t xml:space="preserve">ACOs’ </w:t>
      </w:r>
      <w:r>
        <w:rPr>
          <w:spacing w:val="-6"/>
        </w:rPr>
        <w:t xml:space="preserve">member </w:t>
      </w:r>
      <w:r>
        <w:rPr>
          <w:spacing w:val="15"/>
        </w:rPr>
        <w:t xml:space="preserve"> </w:t>
      </w:r>
      <w:r>
        <w:rPr>
          <w:spacing w:val="-4"/>
        </w:rPr>
        <w:t>handbooks;</w:t>
      </w:r>
    </w:p>
    <w:p w:rsidR="002C5025" w:rsidRDefault="002C5025">
      <w:pPr>
        <w:pStyle w:val="ListParagraph"/>
        <w:numPr>
          <w:ilvl w:val="0"/>
          <w:numId w:val="10"/>
        </w:numPr>
        <w:tabs>
          <w:tab w:val="left" w:pos="843"/>
        </w:tabs>
        <w:kinsoku w:val="0"/>
        <w:overflowPunct w:val="0"/>
        <w:spacing w:before="44" w:line="264" w:lineRule="exact"/>
        <w:ind w:right="824" w:hanging="362"/>
      </w:pPr>
      <w:r>
        <w:rPr>
          <w:spacing w:val="-4"/>
        </w:rPr>
        <w:t xml:space="preserve">ACO </w:t>
      </w:r>
      <w:r>
        <w:rPr>
          <w:spacing w:val="-3"/>
        </w:rPr>
        <w:t xml:space="preserve">grievances and </w:t>
      </w:r>
      <w:r>
        <w:t xml:space="preserve">appeals </w:t>
      </w:r>
      <w:r>
        <w:rPr>
          <w:spacing w:val="-6"/>
        </w:rPr>
        <w:t xml:space="preserve">must </w:t>
      </w:r>
      <w:r>
        <w:t xml:space="preserve">be decided by </w:t>
      </w:r>
      <w:r>
        <w:rPr>
          <w:spacing w:val="-4"/>
          <w:u w:val="single"/>
        </w:rPr>
        <w:t xml:space="preserve">independent </w:t>
      </w:r>
      <w:r>
        <w:t xml:space="preserve">reviewers and, </w:t>
      </w:r>
      <w:r>
        <w:rPr>
          <w:spacing w:val="-4"/>
        </w:rPr>
        <w:t xml:space="preserve">when </w:t>
      </w:r>
      <w:r>
        <w:t xml:space="preserve">applicable, qualified </w:t>
      </w:r>
      <w:r>
        <w:rPr>
          <w:spacing w:val="-4"/>
        </w:rPr>
        <w:t xml:space="preserve">and </w:t>
      </w:r>
      <w:r>
        <w:t xml:space="preserve">appropriate </w:t>
      </w:r>
      <w:r>
        <w:rPr>
          <w:spacing w:val="-2"/>
        </w:rPr>
        <w:t>medical</w:t>
      </w:r>
      <w:r>
        <w:rPr>
          <w:spacing w:val="-28"/>
        </w:rPr>
        <w:t xml:space="preserve"> </w:t>
      </w:r>
      <w:r>
        <w:t>professionals;</w:t>
      </w:r>
    </w:p>
    <w:p w:rsidR="002C5025" w:rsidRDefault="002C5025">
      <w:pPr>
        <w:pStyle w:val="ListParagraph"/>
        <w:numPr>
          <w:ilvl w:val="0"/>
          <w:numId w:val="10"/>
        </w:numPr>
        <w:tabs>
          <w:tab w:val="left" w:pos="843"/>
        </w:tabs>
        <w:kinsoku w:val="0"/>
        <w:overflowPunct w:val="0"/>
        <w:spacing w:before="23" w:line="274" w:lineRule="exact"/>
        <w:ind w:right="419" w:hanging="362"/>
      </w:pPr>
      <w:r>
        <w:t xml:space="preserve">Clearly delineate </w:t>
      </w:r>
      <w:r>
        <w:rPr>
          <w:spacing w:val="-3"/>
        </w:rPr>
        <w:t xml:space="preserve">what events </w:t>
      </w:r>
      <w:r>
        <w:rPr>
          <w:spacing w:val="-4"/>
        </w:rPr>
        <w:t xml:space="preserve">may </w:t>
      </w:r>
      <w:r>
        <w:t xml:space="preserve">give rise </w:t>
      </w:r>
      <w:r>
        <w:rPr>
          <w:spacing w:val="-3"/>
        </w:rPr>
        <w:t xml:space="preserve">to </w:t>
      </w:r>
      <w:r>
        <w:t xml:space="preserve">an appealable action, </w:t>
      </w:r>
      <w:r>
        <w:rPr>
          <w:spacing w:val="-5"/>
        </w:rPr>
        <w:t xml:space="preserve">taking </w:t>
      </w:r>
      <w:r>
        <w:t>an inclusive approach;</w:t>
      </w:r>
    </w:p>
    <w:p w:rsidR="002C5025" w:rsidRDefault="002C5025">
      <w:pPr>
        <w:pStyle w:val="ListParagraph"/>
        <w:numPr>
          <w:ilvl w:val="0"/>
          <w:numId w:val="10"/>
        </w:numPr>
        <w:tabs>
          <w:tab w:val="left" w:pos="843"/>
        </w:tabs>
        <w:kinsoku w:val="0"/>
        <w:overflowPunct w:val="0"/>
        <w:spacing w:before="11" w:line="235" w:lineRule="auto"/>
        <w:ind w:right="501" w:hanging="362"/>
      </w:pPr>
      <w:r>
        <w:rPr>
          <w:spacing w:val="-3"/>
        </w:rPr>
        <w:t xml:space="preserve">Require </w:t>
      </w:r>
      <w:r>
        <w:rPr>
          <w:spacing w:val="-5"/>
        </w:rPr>
        <w:t xml:space="preserve">ACOs </w:t>
      </w:r>
      <w:r>
        <w:rPr>
          <w:spacing w:val="-3"/>
        </w:rPr>
        <w:t xml:space="preserve">to </w:t>
      </w:r>
      <w:r>
        <w:t xml:space="preserve">provide </w:t>
      </w:r>
      <w:r>
        <w:rPr>
          <w:spacing w:val="-4"/>
        </w:rPr>
        <w:t xml:space="preserve">timely, </w:t>
      </w:r>
      <w:r>
        <w:rPr>
          <w:spacing w:val="-3"/>
        </w:rPr>
        <w:t xml:space="preserve">complete </w:t>
      </w:r>
      <w:r>
        <w:rPr>
          <w:spacing w:val="-4"/>
        </w:rPr>
        <w:t xml:space="preserve">and understandable </w:t>
      </w:r>
      <w:r>
        <w:rPr>
          <w:spacing w:val="-3"/>
        </w:rPr>
        <w:t xml:space="preserve">notices </w:t>
      </w:r>
      <w:r>
        <w:t xml:space="preserve">regarding </w:t>
      </w:r>
      <w:r>
        <w:rPr>
          <w:spacing w:val="-8"/>
        </w:rPr>
        <w:t xml:space="preserve">the </w:t>
      </w:r>
      <w:r>
        <w:t xml:space="preserve">appeal/grievance </w:t>
      </w:r>
      <w:r>
        <w:rPr>
          <w:spacing w:val="-5"/>
        </w:rPr>
        <w:t xml:space="preserve">system. </w:t>
      </w:r>
      <w:r>
        <w:rPr>
          <w:spacing w:val="-3"/>
        </w:rPr>
        <w:t xml:space="preserve">MassHealth should </w:t>
      </w:r>
      <w:r>
        <w:t xml:space="preserve">establish </w:t>
      </w:r>
      <w:r>
        <w:rPr>
          <w:spacing w:val="-3"/>
        </w:rPr>
        <w:t xml:space="preserve">timelines for when </w:t>
      </w:r>
      <w:r>
        <w:t xml:space="preserve">responses </w:t>
      </w:r>
      <w:r>
        <w:rPr>
          <w:spacing w:val="-5"/>
        </w:rPr>
        <w:t xml:space="preserve">to </w:t>
      </w:r>
      <w:r>
        <w:rPr>
          <w:spacing w:val="-6"/>
        </w:rPr>
        <w:t xml:space="preserve">member  </w:t>
      </w:r>
      <w:r>
        <w:rPr>
          <w:spacing w:val="-3"/>
        </w:rPr>
        <w:t xml:space="preserve">grievances </w:t>
      </w:r>
      <w:r>
        <w:rPr>
          <w:spacing w:val="-6"/>
        </w:rPr>
        <w:t xml:space="preserve">must </w:t>
      </w:r>
      <w:r>
        <w:t>be</w:t>
      </w:r>
      <w:r>
        <w:rPr>
          <w:spacing w:val="18"/>
        </w:rPr>
        <w:t xml:space="preserve"> </w:t>
      </w:r>
      <w:r>
        <w:t>issued;</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FB027C">
      <w:pPr>
        <w:pStyle w:val="BodyText"/>
        <w:kinsoku w:val="0"/>
        <w:overflowPunct w:val="0"/>
        <w:spacing w:before="9"/>
        <w:rPr>
          <w:rFonts w:ascii="Times New Roman" w:hAnsi="Times New Roman" w:cs="Times New Roman"/>
          <w:sz w:val="26"/>
          <w:szCs w:val="26"/>
        </w:rPr>
      </w:pPr>
      <w:r>
        <w:rPr>
          <w:noProof/>
        </w:rPr>
        <mc:AlternateContent>
          <mc:Choice Requires="wps">
            <w:drawing>
              <wp:anchor distT="0" distB="0" distL="0" distR="0" simplePos="0" relativeHeight="251676160" behindDoc="0" locked="0" layoutInCell="0" allowOverlap="1">
                <wp:simplePos x="0" y="0"/>
                <wp:positionH relativeFrom="page">
                  <wp:posOffset>2296795</wp:posOffset>
                </wp:positionH>
                <wp:positionV relativeFrom="paragraph">
                  <wp:posOffset>224790</wp:posOffset>
                </wp:positionV>
                <wp:extent cx="1830705" cy="12700"/>
                <wp:effectExtent l="0" t="0" r="0" b="0"/>
                <wp:wrapTopAndBottom/>
                <wp:docPr id="543" name="Freeform 4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30705" cy="12700"/>
                        </a:xfrm>
                        <a:custGeom>
                          <a:avLst/>
                          <a:gdLst>
                            <a:gd name="T0" fmla="*/ 0 w 2883"/>
                            <a:gd name="T1" fmla="*/ 0 h 20"/>
                            <a:gd name="T2" fmla="*/ 2883 w 2883"/>
                            <a:gd name="T3" fmla="*/ 0 h 20"/>
                          </a:gdLst>
                          <a:ahLst/>
                          <a:cxnLst>
                            <a:cxn ang="0">
                              <a:pos x="T0" y="T1"/>
                            </a:cxn>
                            <a:cxn ang="0">
                              <a:pos x="T2" y="T3"/>
                            </a:cxn>
                          </a:cxnLst>
                          <a:rect l="0" t="0" r="r" b="b"/>
                          <a:pathLst>
                            <a:path w="2883" h="20">
                              <a:moveTo>
                                <a:pt x="0" y="0"/>
                              </a:moveTo>
                              <a:lnTo>
                                <a:pt x="2883"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82" o:spid="_x0000_s1026" style="position:absolute;z-index:251676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80.85pt,17.7pt,325pt,17.7pt" coordsize="288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" o:allowincell="f" filled="f" strokeweight=".7pt">
                <v:path arrowok="t" o:connecttype="custom" o:connectlocs="0,0;1830705,0" o:connectangles="0,0"/>
                <w10:wrap type="topAndBottom" anchorx="page"/>
              </v:polyline>
            </w:pict>
          </mc:Fallback>
        </mc:AlternateContent>
      </w:r>
    </w:p>
    <w:p w:rsidR="002C5025" w:rsidRDefault="002C5025">
      <w:pPr>
        <w:pStyle w:val="BodyText"/>
        <w:kinsoku w:val="0"/>
        <w:overflowPunct w:val="0"/>
        <w:spacing w:before="63"/>
        <w:ind w:left="119" w:right="172"/>
        <w:jc w:val="both"/>
        <w:rPr>
          <w:rFonts w:ascii="Times New Roman" w:hAnsi="Times New Roman" w:cs="Times New Roman"/>
          <w:sz w:val="20"/>
          <w:szCs w:val="20"/>
        </w:rPr>
      </w:pPr>
      <w:r>
        <w:rPr>
          <w:rFonts w:ascii="Times New Roman" w:hAnsi="Times New Roman" w:cs="Times New Roman"/>
          <w:position w:val="6"/>
          <w:sz w:val="13"/>
          <w:szCs w:val="13"/>
        </w:rPr>
        <w:t xml:space="preserve">5 </w:t>
      </w:r>
      <w:r>
        <w:rPr>
          <w:rFonts w:ascii="Times New Roman" w:hAnsi="Times New Roman" w:cs="Times New Roman"/>
          <w:sz w:val="20"/>
          <w:szCs w:val="20"/>
        </w:rPr>
        <w:t xml:space="preserve">Sharon K. Long and Thomas H. </w:t>
      </w:r>
      <w:proofErr w:type="spellStart"/>
      <w:r>
        <w:rPr>
          <w:rFonts w:ascii="Times New Roman" w:hAnsi="Times New Roman" w:cs="Times New Roman"/>
          <w:sz w:val="20"/>
          <w:szCs w:val="20"/>
        </w:rPr>
        <w:t>Dimmock</w:t>
      </w:r>
      <w:proofErr w:type="spellEnd"/>
      <w:r>
        <w:rPr>
          <w:rFonts w:ascii="Times New Roman" w:hAnsi="Times New Roman" w:cs="Times New Roman"/>
          <w:sz w:val="20"/>
          <w:szCs w:val="20"/>
        </w:rPr>
        <w:t xml:space="preserve">, </w:t>
      </w:r>
      <w:r>
        <w:rPr>
          <w:rFonts w:ascii="Times New Roman" w:hAnsi="Times New Roman" w:cs="Times New Roman"/>
          <w:i/>
          <w:iCs/>
          <w:sz w:val="20"/>
          <w:szCs w:val="20"/>
        </w:rPr>
        <w:t>Health insurance coverage and health care access and affordability in Massachusetts: Affordability still a challenge</w:t>
      </w:r>
      <w:r>
        <w:rPr>
          <w:rFonts w:ascii="Times New Roman" w:hAnsi="Times New Roman" w:cs="Times New Roman"/>
          <w:sz w:val="20"/>
          <w:szCs w:val="20"/>
        </w:rPr>
        <w:t>, The Blue Cross Blue Shield of Massachusetts Foundation, November 2014, pg. 86.</w:t>
      </w:r>
    </w:p>
    <w:p w:rsidR="002C5025" w:rsidRDefault="002C5025">
      <w:pPr>
        <w:pStyle w:val="BodyText"/>
        <w:kinsoku w:val="0"/>
        <w:overflowPunct w:val="0"/>
        <w:spacing w:before="1"/>
        <w:ind w:right="107"/>
        <w:jc w:val="right"/>
        <w:rPr>
          <w:rFonts w:ascii="Times New Roman" w:hAnsi="Times New Roman" w:cs="Times New Roman"/>
          <w:sz w:val="24"/>
          <w:szCs w:val="24"/>
        </w:rPr>
      </w:pPr>
      <w:r>
        <w:rPr>
          <w:rFonts w:ascii="Times New Roman" w:hAnsi="Times New Roman" w:cs="Times New Roman"/>
          <w:sz w:val="24"/>
          <w:szCs w:val="24"/>
        </w:rPr>
        <w:t>5</w:t>
      </w:r>
    </w:p>
    <w:p w:rsidR="002C5025" w:rsidRDefault="002C5025">
      <w:pPr>
        <w:pStyle w:val="BodyText"/>
        <w:kinsoku w:val="0"/>
        <w:overflowPunct w:val="0"/>
        <w:spacing w:before="1"/>
        <w:ind w:right="107"/>
        <w:jc w:val="right"/>
        <w:rPr>
          <w:rFonts w:ascii="Times New Roman" w:hAnsi="Times New Roman" w:cs="Times New Roman"/>
          <w:sz w:val="24"/>
          <w:szCs w:val="24"/>
        </w:rPr>
        <w:sectPr w:rsidR="002C5025">
          <w:pgSz w:w="12240" w:h="15840"/>
          <w:pgMar w:top="920" w:right="1320" w:bottom="280" w:left="1320" w:header="720" w:footer="720" w:gutter="0"/>
          <w:cols w:space="720"/>
          <w:noEndnote/>
        </w:sectPr>
      </w:pPr>
    </w:p>
    <w:p w:rsidR="002C5025" w:rsidRDefault="002C5025">
      <w:pPr>
        <w:pStyle w:val="ListParagraph"/>
        <w:numPr>
          <w:ilvl w:val="0"/>
          <w:numId w:val="10"/>
        </w:numPr>
        <w:tabs>
          <w:tab w:val="left" w:pos="843"/>
        </w:tabs>
        <w:kinsoku w:val="0"/>
        <w:overflowPunct w:val="0"/>
        <w:spacing w:before="65" w:line="268" w:lineRule="exact"/>
        <w:ind w:right="203" w:hanging="362"/>
        <w:jc w:val="both"/>
      </w:pPr>
      <w:r>
        <w:rPr>
          <w:spacing w:val="-5"/>
        </w:rPr>
        <w:lastRenderedPageBreak/>
        <w:t xml:space="preserve">Member </w:t>
      </w:r>
      <w:r>
        <w:rPr>
          <w:spacing w:val="-3"/>
        </w:rPr>
        <w:t xml:space="preserve">grievance and </w:t>
      </w:r>
      <w:r>
        <w:t xml:space="preserve">appeal deadlines </w:t>
      </w:r>
      <w:r>
        <w:rPr>
          <w:spacing w:val="-3"/>
        </w:rPr>
        <w:t xml:space="preserve">should </w:t>
      </w:r>
      <w:r>
        <w:t xml:space="preserve">be </w:t>
      </w:r>
      <w:r>
        <w:rPr>
          <w:spacing w:val="-4"/>
        </w:rPr>
        <w:t xml:space="preserve">generous </w:t>
      </w:r>
      <w:r>
        <w:rPr>
          <w:spacing w:val="-3"/>
        </w:rPr>
        <w:t xml:space="preserve">and </w:t>
      </w:r>
      <w:r>
        <w:t xml:space="preserve">flexible </w:t>
      </w:r>
      <w:r>
        <w:rPr>
          <w:spacing w:val="-3"/>
        </w:rPr>
        <w:t xml:space="preserve">given how </w:t>
      </w:r>
      <w:r>
        <w:rPr>
          <w:spacing w:val="-5"/>
        </w:rPr>
        <w:t xml:space="preserve">new ACOs </w:t>
      </w:r>
      <w:r>
        <w:rPr>
          <w:spacing w:val="2"/>
        </w:rPr>
        <w:t xml:space="preserve">will </w:t>
      </w:r>
      <w:r>
        <w:t xml:space="preserve">be </w:t>
      </w:r>
      <w:r>
        <w:rPr>
          <w:spacing w:val="-3"/>
        </w:rPr>
        <w:t xml:space="preserve">for MassHealth </w:t>
      </w:r>
      <w:r>
        <w:rPr>
          <w:spacing w:val="-4"/>
        </w:rPr>
        <w:t xml:space="preserve">members, </w:t>
      </w:r>
      <w:r>
        <w:t xml:space="preserve">particularly in </w:t>
      </w:r>
      <w:r>
        <w:rPr>
          <w:spacing w:val="-3"/>
        </w:rPr>
        <w:t xml:space="preserve">light </w:t>
      </w:r>
      <w:r>
        <w:t xml:space="preserve">of </w:t>
      </w:r>
      <w:r>
        <w:rPr>
          <w:spacing w:val="-5"/>
        </w:rPr>
        <w:t xml:space="preserve">the </w:t>
      </w:r>
      <w:r>
        <w:t xml:space="preserve">proposed </w:t>
      </w:r>
      <w:r>
        <w:rPr>
          <w:spacing w:val="-4"/>
        </w:rPr>
        <w:t xml:space="preserve">MCO </w:t>
      </w:r>
      <w:r>
        <w:t xml:space="preserve">lock-  in </w:t>
      </w:r>
      <w:r>
        <w:rPr>
          <w:spacing w:val="-4"/>
        </w:rPr>
        <w:t xml:space="preserve">that </w:t>
      </w:r>
      <w:r>
        <w:t xml:space="preserve">restricts </w:t>
      </w:r>
      <w:r>
        <w:rPr>
          <w:spacing w:val="-5"/>
        </w:rPr>
        <w:t>consumer</w:t>
      </w:r>
      <w:r>
        <w:rPr>
          <w:spacing w:val="34"/>
        </w:rPr>
        <w:t xml:space="preserve"> </w:t>
      </w:r>
      <w:r>
        <w:t>choice;</w:t>
      </w:r>
    </w:p>
    <w:p w:rsidR="002C5025" w:rsidRDefault="002C5025">
      <w:pPr>
        <w:pStyle w:val="ListParagraph"/>
        <w:numPr>
          <w:ilvl w:val="0"/>
          <w:numId w:val="10"/>
        </w:numPr>
        <w:tabs>
          <w:tab w:val="left" w:pos="843"/>
        </w:tabs>
        <w:kinsoku w:val="0"/>
        <w:overflowPunct w:val="0"/>
        <w:spacing w:before="2"/>
        <w:ind w:right="287" w:hanging="362"/>
        <w:rPr>
          <w:spacing w:val="-8"/>
        </w:rPr>
      </w:pPr>
      <w:r>
        <w:rPr>
          <w:spacing w:val="-4"/>
        </w:rPr>
        <w:t xml:space="preserve">Ensure that </w:t>
      </w:r>
      <w:r>
        <w:rPr>
          <w:spacing w:val="-5"/>
        </w:rPr>
        <w:t xml:space="preserve">ACOs </w:t>
      </w:r>
      <w:r>
        <w:t xml:space="preserve">provide </w:t>
      </w:r>
      <w:r>
        <w:rPr>
          <w:spacing w:val="-4"/>
        </w:rPr>
        <w:t xml:space="preserve">consumers </w:t>
      </w:r>
      <w:r>
        <w:t xml:space="preserve">with reasonable assistance in filing </w:t>
      </w:r>
      <w:r>
        <w:rPr>
          <w:spacing w:val="-3"/>
        </w:rPr>
        <w:t xml:space="preserve">grievances </w:t>
      </w:r>
      <w:r>
        <w:rPr>
          <w:spacing w:val="-4"/>
        </w:rPr>
        <w:t xml:space="preserve">and </w:t>
      </w:r>
      <w:r>
        <w:t xml:space="preserve">appeals. </w:t>
      </w:r>
      <w:r>
        <w:rPr>
          <w:spacing w:val="-5"/>
        </w:rPr>
        <w:t xml:space="preserve">ACOs </w:t>
      </w:r>
      <w:r>
        <w:rPr>
          <w:spacing w:val="-3"/>
        </w:rPr>
        <w:t xml:space="preserve">should </w:t>
      </w:r>
      <w:r>
        <w:t xml:space="preserve">be required </w:t>
      </w:r>
      <w:r>
        <w:rPr>
          <w:spacing w:val="-3"/>
        </w:rPr>
        <w:t xml:space="preserve">to inform </w:t>
      </w:r>
      <w:r>
        <w:rPr>
          <w:spacing w:val="-5"/>
        </w:rPr>
        <w:t xml:space="preserve">consumers  </w:t>
      </w:r>
      <w:r>
        <w:rPr>
          <w:spacing w:val="-3"/>
        </w:rPr>
        <w:t xml:space="preserve">about </w:t>
      </w:r>
      <w:r>
        <w:rPr>
          <w:spacing w:val="-5"/>
        </w:rPr>
        <w:t xml:space="preserve">the </w:t>
      </w:r>
      <w:r>
        <w:t xml:space="preserve">availability of </w:t>
      </w:r>
      <w:r>
        <w:rPr>
          <w:spacing w:val="-8"/>
        </w:rPr>
        <w:t xml:space="preserve">the </w:t>
      </w:r>
      <w:r>
        <w:t xml:space="preserve">newly created </w:t>
      </w:r>
      <w:r>
        <w:rPr>
          <w:spacing w:val="-2"/>
        </w:rPr>
        <w:t>MassHealth</w:t>
      </w:r>
      <w:r>
        <w:rPr>
          <w:spacing w:val="-7"/>
        </w:rPr>
        <w:t xml:space="preserve"> </w:t>
      </w:r>
      <w:r>
        <w:rPr>
          <w:spacing w:val="-8"/>
        </w:rPr>
        <w:t>ombudsman;</w:t>
      </w:r>
    </w:p>
    <w:p w:rsidR="002C5025" w:rsidRDefault="002C5025">
      <w:pPr>
        <w:pStyle w:val="ListParagraph"/>
        <w:numPr>
          <w:ilvl w:val="0"/>
          <w:numId w:val="10"/>
        </w:numPr>
        <w:tabs>
          <w:tab w:val="left" w:pos="843"/>
        </w:tabs>
        <w:kinsoku w:val="0"/>
        <w:overflowPunct w:val="0"/>
        <w:spacing w:before="45" w:line="262" w:lineRule="exact"/>
        <w:ind w:right="1015" w:hanging="362"/>
      </w:pPr>
      <w:r>
        <w:t xml:space="preserve">Allow </w:t>
      </w:r>
      <w:r>
        <w:rPr>
          <w:spacing w:val="-3"/>
        </w:rPr>
        <w:t xml:space="preserve">for </w:t>
      </w:r>
      <w:r>
        <w:rPr>
          <w:spacing w:val="-4"/>
        </w:rPr>
        <w:t xml:space="preserve">full </w:t>
      </w:r>
      <w:r>
        <w:t xml:space="preserve">transparency </w:t>
      </w:r>
      <w:r>
        <w:rPr>
          <w:spacing w:val="-3"/>
        </w:rPr>
        <w:t xml:space="preserve">and </w:t>
      </w:r>
      <w:r>
        <w:t xml:space="preserve">access </w:t>
      </w:r>
      <w:r>
        <w:rPr>
          <w:spacing w:val="-3"/>
        </w:rPr>
        <w:t xml:space="preserve">to information for patients disputing </w:t>
      </w:r>
      <w:r>
        <w:rPr>
          <w:spacing w:val="-4"/>
        </w:rPr>
        <w:t xml:space="preserve">ACO </w:t>
      </w:r>
      <w:r>
        <w:t xml:space="preserve">decisions </w:t>
      </w:r>
      <w:r>
        <w:rPr>
          <w:spacing w:val="-3"/>
        </w:rPr>
        <w:t>regarding their</w:t>
      </w:r>
      <w:r>
        <w:rPr>
          <w:spacing w:val="24"/>
        </w:rPr>
        <w:t xml:space="preserve"> </w:t>
      </w:r>
      <w:r>
        <w:t>care.</w:t>
      </w:r>
    </w:p>
    <w:p w:rsidR="002C5025" w:rsidRDefault="002C5025">
      <w:pPr>
        <w:pStyle w:val="BodyText"/>
        <w:kinsoku w:val="0"/>
        <w:overflowPunct w:val="0"/>
        <w:spacing w:before="6"/>
        <w:rPr>
          <w:rFonts w:ascii="Times New Roman" w:hAnsi="Times New Roman" w:cs="Times New Roman"/>
          <w:sz w:val="23"/>
          <w:szCs w:val="23"/>
        </w:rPr>
      </w:pPr>
    </w:p>
    <w:p w:rsidR="002C5025" w:rsidRDefault="002C5025">
      <w:pPr>
        <w:pStyle w:val="BodyText"/>
        <w:kinsoku w:val="0"/>
        <w:overflowPunct w:val="0"/>
        <w:ind w:left="120" w:right="5427"/>
        <w:rPr>
          <w:rFonts w:ascii="Times New Roman" w:hAnsi="Times New Roman" w:cs="Times New Roman"/>
          <w:spacing w:val="-5"/>
          <w:sz w:val="24"/>
          <w:szCs w:val="24"/>
        </w:rPr>
      </w:pPr>
      <w:r>
        <w:rPr>
          <w:rFonts w:ascii="Times New Roman" w:hAnsi="Times New Roman" w:cs="Times New Roman"/>
          <w:spacing w:val="-5"/>
          <w:sz w:val="24"/>
          <w:szCs w:val="24"/>
          <w:u w:val="single"/>
        </w:rPr>
        <w:t xml:space="preserve">ACOs </w:t>
      </w:r>
      <w:r>
        <w:rPr>
          <w:rFonts w:ascii="Times New Roman" w:hAnsi="Times New Roman" w:cs="Times New Roman"/>
          <w:spacing w:val="-4"/>
          <w:sz w:val="24"/>
          <w:szCs w:val="24"/>
          <w:u w:val="single"/>
        </w:rPr>
        <w:t xml:space="preserve">and </w:t>
      </w:r>
      <w:r>
        <w:rPr>
          <w:rFonts w:ascii="Times New Roman" w:hAnsi="Times New Roman" w:cs="Times New Roman"/>
          <w:spacing w:val="-5"/>
          <w:sz w:val="24"/>
          <w:szCs w:val="24"/>
          <w:u w:val="single"/>
        </w:rPr>
        <w:t xml:space="preserve">the One </w:t>
      </w:r>
      <w:r>
        <w:rPr>
          <w:rFonts w:ascii="Times New Roman" w:hAnsi="Times New Roman" w:cs="Times New Roman"/>
          <w:sz w:val="24"/>
          <w:szCs w:val="24"/>
          <w:u w:val="single"/>
        </w:rPr>
        <w:t>Care</w:t>
      </w:r>
      <w:r>
        <w:rPr>
          <w:rFonts w:ascii="Times New Roman" w:hAnsi="Times New Roman" w:cs="Times New Roman"/>
          <w:spacing w:val="50"/>
          <w:sz w:val="24"/>
          <w:szCs w:val="24"/>
          <w:u w:val="single"/>
        </w:rPr>
        <w:t xml:space="preserve"> </w:t>
      </w:r>
      <w:r>
        <w:rPr>
          <w:rFonts w:ascii="Times New Roman" w:hAnsi="Times New Roman" w:cs="Times New Roman"/>
          <w:spacing w:val="-3"/>
          <w:sz w:val="24"/>
          <w:szCs w:val="24"/>
          <w:u w:val="single"/>
        </w:rPr>
        <w:t>Model</w:t>
      </w:r>
    </w:p>
    <w:p w:rsidR="002C5025" w:rsidRDefault="002C5025">
      <w:pPr>
        <w:pStyle w:val="BodyText"/>
        <w:kinsoku w:val="0"/>
        <w:overflowPunct w:val="0"/>
        <w:ind w:left="120" w:right="230"/>
        <w:rPr>
          <w:rFonts w:ascii="Times New Roman" w:hAnsi="Times New Roman" w:cs="Times New Roman"/>
          <w:spacing w:val="-5"/>
          <w:sz w:val="24"/>
          <w:szCs w:val="24"/>
        </w:rPr>
      </w:pPr>
      <w:r>
        <w:rPr>
          <w:rFonts w:ascii="Times New Roman" w:hAnsi="Times New Roman" w:cs="Times New Roman"/>
          <w:spacing w:val="-4"/>
          <w:sz w:val="24"/>
          <w:szCs w:val="24"/>
        </w:rPr>
        <w:t xml:space="preserve">The </w:t>
      </w:r>
      <w:r>
        <w:rPr>
          <w:rFonts w:ascii="Times New Roman" w:hAnsi="Times New Roman" w:cs="Times New Roman"/>
          <w:sz w:val="24"/>
          <w:szCs w:val="24"/>
        </w:rPr>
        <w:t xml:space="preserve">Waiver </w:t>
      </w:r>
      <w:r>
        <w:rPr>
          <w:rFonts w:ascii="Times New Roman" w:hAnsi="Times New Roman" w:cs="Times New Roman"/>
          <w:spacing w:val="-3"/>
          <w:sz w:val="24"/>
          <w:szCs w:val="24"/>
        </w:rPr>
        <w:t xml:space="preserve">Request </w:t>
      </w:r>
      <w:r>
        <w:rPr>
          <w:rFonts w:ascii="Times New Roman" w:hAnsi="Times New Roman" w:cs="Times New Roman"/>
          <w:sz w:val="24"/>
          <w:szCs w:val="24"/>
        </w:rPr>
        <w:t xml:space="preserve">cites </w:t>
      </w:r>
      <w:r>
        <w:rPr>
          <w:rFonts w:ascii="Times New Roman" w:hAnsi="Times New Roman" w:cs="Times New Roman"/>
          <w:spacing w:val="-5"/>
          <w:sz w:val="24"/>
          <w:szCs w:val="24"/>
        </w:rPr>
        <w:t xml:space="preserve">the </w:t>
      </w:r>
      <w:r>
        <w:rPr>
          <w:rFonts w:ascii="Times New Roman" w:hAnsi="Times New Roman" w:cs="Times New Roman"/>
          <w:spacing w:val="-4"/>
          <w:sz w:val="24"/>
          <w:szCs w:val="24"/>
        </w:rPr>
        <w:t xml:space="preserve">Massachusetts </w:t>
      </w:r>
      <w:r>
        <w:rPr>
          <w:rFonts w:ascii="Times New Roman" w:hAnsi="Times New Roman" w:cs="Times New Roman"/>
          <w:spacing w:val="-6"/>
          <w:sz w:val="24"/>
          <w:szCs w:val="24"/>
        </w:rPr>
        <w:t xml:space="preserve">One </w:t>
      </w:r>
      <w:r>
        <w:rPr>
          <w:rFonts w:ascii="Times New Roman" w:hAnsi="Times New Roman" w:cs="Times New Roman"/>
          <w:sz w:val="24"/>
          <w:szCs w:val="24"/>
        </w:rPr>
        <w:t xml:space="preserve">Care program – </w:t>
      </w:r>
      <w:r>
        <w:rPr>
          <w:rFonts w:ascii="Times New Roman" w:hAnsi="Times New Roman" w:cs="Times New Roman"/>
          <w:spacing w:val="-5"/>
          <w:sz w:val="24"/>
          <w:szCs w:val="24"/>
        </w:rPr>
        <w:t xml:space="preserve">the </w:t>
      </w:r>
      <w:r>
        <w:rPr>
          <w:rFonts w:ascii="Times New Roman" w:hAnsi="Times New Roman" w:cs="Times New Roman"/>
          <w:spacing w:val="-4"/>
          <w:sz w:val="24"/>
          <w:szCs w:val="24"/>
        </w:rPr>
        <w:t xml:space="preserve">demonstration </w:t>
      </w:r>
      <w:r>
        <w:rPr>
          <w:rFonts w:ascii="Times New Roman" w:hAnsi="Times New Roman" w:cs="Times New Roman"/>
          <w:sz w:val="24"/>
          <w:szCs w:val="24"/>
        </w:rPr>
        <w:t xml:space="preserve">program </w:t>
      </w:r>
      <w:r>
        <w:rPr>
          <w:rFonts w:ascii="Times New Roman" w:hAnsi="Times New Roman" w:cs="Times New Roman"/>
          <w:spacing w:val="-3"/>
          <w:sz w:val="24"/>
          <w:szCs w:val="24"/>
        </w:rPr>
        <w:t xml:space="preserve">for </w:t>
      </w:r>
      <w:r>
        <w:rPr>
          <w:rFonts w:ascii="Times New Roman" w:hAnsi="Times New Roman" w:cs="Times New Roman"/>
          <w:sz w:val="24"/>
          <w:szCs w:val="24"/>
        </w:rPr>
        <w:t xml:space="preserve">dual-eligible </w:t>
      </w:r>
      <w:r>
        <w:rPr>
          <w:rFonts w:ascii="Times New Roman" w:hAnsi="Times New Roman" w:cs="Times New Roman"/>
          <w:spacing w:val="-5"/>
          <w:sz w:val="24"/>
          <w:szCs w:val="24"/>
        </w:rPr>
        <w:t xml:space="preserve">members </w:t>
      </w:r>
      <w:r>
        <w:rPr>
          <w:rFonts w:ascii="Times New Roman" w:hAnsi="Times New Roman" w:cs="Times New Roman"/>
          <w:sz w:val="24"/>
          <w:szCs w:val="24"/>
        </w:rPr>
        <w:t xml:space="preserve">ages 21 </w:t>
      </w:r>
      <w:r>
        <w:rPr>
          <w:rFonts w:ascii="Times New Roman" w:hAnsi="Times New Roman" w:cs="Times New Roman"/>
          <w:spacing w:val="-3"/>
          <w:sz w:val="24"/>
          <w:szCs w:val="24"/>
        </w:rPr>
        <w:t xml:space="preserve">to </w:t>
      </w:r>
      <w:r>
        <w:rPr>
          <w:rFonts w:ascii="Times New Roman" w:hAnsi="Times New Roman" w:cs="Times New Roman"/>
          <w:sz w:val="24"/>
          <w:szCs w:val="24"/>
        </w:rPr>
        <w:t xml:space="preserve">64 – as a </w:t>
      </w:r>
      <w:r>
        <w:rPr>
          <w:rFonts w:ascii="Times New Roman" w:hAnsi="Times New Roman" w:cs="Times New Roman"/>
          <w:spacing w:val="-4"/>
          <w:sz w:val="24"/>
          <w:szCs w:val="24"/>
        </w:rPr>
        <w:t xml:space="preserve">model </w:t>
      </w:r>
      <w:r>
        <w:rPr>
          <w:rFonts w:ascii="Times New Roman" w:hAnsi="Times New Roman" w:cs="Times New Roman"/>
          <w:sz w:val="24"/>
          <w:szCs w:val="24"/>
        </w:rPr>
        <w:t xml:space="preserve">for </w:t>
      </w:r>
      <w:r>
        <w:rPr>
          <w:rFonts w:ascii="Times New Roman" w:hAnsi="Times New Roman" w:cs="Times New Roman"/>
          <w:spacing w:val="-3"/>
          <w:sz w:val="24"/>
          <w:szCs w:val="24"/>
        </w:rPr>
        <w:t xml:space="preserve">effective integrated </w:t>
      </w:r>
      <w:r>
        <w:rPr>
          <w:rFonts w:ascii="Times New Roman" w:hAnsi="Times New Roman" w:cs="Times New Roman"/>
          <w:sz w:val="24"/>
          <w:szCs w:val="24"/>
        </w:rPr>
        <w:t xml:space="preserve">care. While </w:t>
      </w:r>
      <w:r>
        <w:rPr>
          <w:rFonts w:ascii="Times New Roman" w:hAnsi="Times New Roman" w:cs="Times New Roman"/>
          <w:spacing w:val="-6"/>
          <w:sz w:val="24"/>
          <w:szCs w:val="24"/>
        </w:rPr>
        <w:t xml:space="preserve">One </w:t>
      </w:r>
      <w:r>
        <w:rPr>
          <w:rFonts w:ascii="Times New Roman" w:hAnsi="Times New Roman" w:cs="Times New Roman"/>
          <w:sz w:val="24"/>
          <w:szCs w:val="24"/>
        </w:rPr>
        <w:t xml:space="preserve">Care </w:t>
      </w:r>
      <w:r>
        <w:rPr>
          <w:rFonts w:ascii="Times New Roman" w:hAnsi="Times New Roman" w:cs="Times New Roman"/>
          <w:spacing w:val="-4"/>
          <w:sz w:val="24"/>
          <w:szCs w:val="24"/>
        </w:rPr>
        <w:t xml:space="preserve">undoubtedly  </w:t>
      </w:r>
      <w:r>
        <w:rPr>
          <w:rFonts w:ascii="Times New Roman" w:hAnsi="Times New Roman" w:cs="Times New Roman"/>
          <w:spacing w:val="-3"/>
          <w:sz w:val="24"/>
          <w:szCs w:val="24"/>
        </w:rPr>
        <w:t xml:space="preserve">offers </w:t>
      </w:r>
      <w:r>
        <w:rPr>
          <w:rFonts w:ascii="Times New Roman" w:hAnsi="Times New Roman" w:cs="Times New Roman"/>
          <w:sz w:val="24"/>
          <w:szCs w:val="24"/>
        </w:rPr>
        <w:t xml:space="preserve">valuable lessons </w:t>
      </w:r>
      <w:r>
        <w:rPr>
          <w:rFonts w:ascii="Times New Roman" w:hAnsi="Times New Roman" w:cs="Times New Roman"/>
          <w:spacing w:val="-3"/>
          <w:sz w:val="24"/>
          <w:szCs w:val="24"/>
        </w:rPr>
        <w:t xml:space="preserve">to </w:t>
      </w:r>
      <w:r>
        <w:rPr>
          <w:rFonts w:ascii="Times New Roman" w:hAnsi="Times New Roman" w:cs="Times New Roman"/>
          <w:spacing w:val="-5"/>
          <w:sz w:val="24"/>
          <w:szCs w:val="24"/>
        </w:rPr>
        <w:t xml:space="preserve">the </w:t>
      </w:r>
      <w:r>
        <w:rPr>
          <w:rFonts w:ascii="Times New Roman" w:hAnsi="Times New Roman" w:cs="Times New Roman"/>
          <w:spacing w:val="-6"/>
          <w:sz w:val="24"/>
          <w:szCs w:val="24"/>
        </w:rPr>
        <w:t xml:space="preserve">Commonwealth  </w:t>
      </w:r>
      <w:r>
        <w:rPr>
          <w:rFonts w:ascii="Times New Roman" w:hAnsi="Times New Roman" w:cs="Times New Roman"/>
          <w:spacing w:val="-3"/>
          <w:sz w:val="24"/>
          <w:szCs w:val="24"/>
        </w:rPr>
        <w:t xml:space="preserve">when </w:t>
      </w:r>
      <w:r>
        <w:rPr>
          <w:rFonts w:ascii="Times New Roman" w:hAnsi="Times New Roman" w:cs="Times New Roman"/>
          <w:spacing w:val="-5"/>
          <w:sz w:val="24"/>
          <w:szCs w:val="24"/>
        </w:rPr>
        <w:t xml:space="preserve">implementing  </w:t>
      </w:r>
      <w:r>
        <w:rPr>
          <w:rFonts w:ascii="Times New Roman" w:hAnsi="Times New Roman" w:cs="Times New Roman"/>
          <w:spacing w:val="-3"/>
          <w:sz w:val="24"/>
          <w:szCs w:val="24"/>
        </w:rPr>
        <w:t xml:space="preserve">new </w:t>
      </w:r>
      <w:r>
        <w:rPr>
          <w:rFonts w:ascii="Times New Roman" w:hAnsi="Times New Roman" w:cs="Times New Roman"/>
          <w:spacing w:val="-4"/>
          <w:sz w:val="24"/>
          <w:szCs w:val="24"/>
        </w:rPr>
        <w:t xml:space="preserve">ACO </w:t>
      </w:r>
      <w:r>
        <w:rPr>
          <w:rFonts w:ascii="Times New Roman" w:hAnsi="Times New Roman" w:cs="Times New Roman"/>
          <w:spacing w:val="-3"/>
          <w:sz w:val="24"/>
          <w:szCs w:val="24"/>
        </w:rPr>
        <w:t xml:space="preserve">models, </w:t>
      </w:r>
      <w:r>
        <w:rPr>
          <w:rFonts w:ascii="Times New Roman" w:hAnsi="Times New Roman" w:cs="Times New Roman"/>
          <w:spacing w:val="-6"/>
          <w:sz w:val="24"/>
          <w:szCs w:val="24"/>
        </w:rPr>
        <w:t xml:space="preserve">HLA </w:t>
      </w:r>
      <w:r>
        <w:rPr>
          <w:rFonts w:ascii="Times New Roman" w:hAnsi="Times New Roman" w:cs="Times New Roman"/>
          <w:spacing w:val="-3"/>
          <w:sz w:val="24"/>
          <w:szCs w:val="24"/>
        </w:rPr>
        <w:t xml:space="preserve">cautions </w:t>
      </w:r>
      <w:r>
        <w:rPr>
          <w:rFonts w:ascii="Times New Roman" w:hAnsi="Times New Roman" w:cs="Times New Roman"/>
          <w:spacing w:val="-5"/>
          <w:sz w:val="24"/>
          <w:szCs w:val="24"/>
        </w:rPr>
        <w:t xml:space="preserve">that </w:t>
      </w:r>
      <w:r>
        <w:rPr>
          <w:rFonts w:ascii="Times New Roman" w:hAnsi="Times New Roman" w:cs="Times New Roman"/>
          <w:sz w:val="24"/>
          <w:szCs w:val="24"/>
        </w:rPr>
        <w:t xml:space="preserve">we </w:t>
      </w:r>
      <w:r>
        <w:rPr>
          <w:rFonts w:ascii="Times New Roman" w:hAnsi="Times New Roman" w:cs="Times New Roman"/>
          <w:spacing w:val="-3"/>
          <w:sz w:val="24"/>
          <w:szCs w:val="24"/>
        </w:rPr>
        <w:t xml:space="preserve">have </w:t>
      </w:r>
      <w:r>
        <w:rPr>
          <w:rFonts w:ascii="Times New Roman" w:hAnsi="Times New Roman" w:cs="Times New Roman"/>
          <w:sz w:val="24"/>
          <w:szCs w:val="24"/>
        </w:rPr>
        <w:t xml:space="preserve">worked with </w:t>
      </w:r>
      <w:r>
        <w:rPr>
          <w:rFonts w:ascii="Times New Roman" w:hAnsi="Times New Roman" w:cs="Times New Roman"/>
          <w:spacing w:val="-7"/>
          <w:sz w:val="24"/>
          <w:szCs w:val="24"/>
        </w:rPr>
        <w:t xml:space="preserve">numerous </w:t>
      </w:r>
      <w:r>
        <w:rPr>
          <w:rFonts w:ascii="Times New Roman" w:hAnsi="Times New Roman" w:cs="Times New Roman"/>
          <w:sz w:val="24"/>
          <w:szCs w:val="24"/>
        </w:rPr>
        <w:t xml:space="preserve">clients who </w:t>
      </w:r>
      <w:r>
        <w:rPr>
          <w:rFonts w:ascii="Times New Roman" w:hAnsi="Times New Roman" w:cs="Times New Roman"/>
          <w:spacing w:val="-3"/>
          <w:sz w:val="24"/>
          <w:szCs w:val="24"/>
        </w:rPr>
        <w:t xml:space="preserve">have </w:t>
      </w:r>
      <w:r>
        <w:rPr>
          <w:rFonts w:ascii="Times New Roman" w:hAnsi="Times New Roman" w:cs="Times New Roman"/>
          <w:sz w:val="24"/>
          <w:szCs w:val="24"/>
        </w:rPr>
        <w:t xml:space="preserve">experienced </w:t>
      </w:r>
      <w:r>
        <w:rPr>
          <w:rFonts w:ascii="Times New Roman" w:hAnsi="Times New Roman" w:cs="Times New Roman"/>
          <w:spacing w:val="-4"/>
          <w:sz w:val="24"/>
          <w:szCs w:val="24"/>
        </w:rPr>
        <w:t xml:space="preserve">significant </w:t>
      </w:r>
      <w:r>
        <w:rPr>
          <w:rFonts w:ascii="Times New Roman" w:hAnsi="Times New Roman" w:cs="Times New Roman"/>
          <w:sz w:val="24"/>
          <w:szCs w:val="24"/>
        </w:rPr>
        <w:t xml:space="preserve">barriers </w:t>
      </w:r>
      <w:r>
        <w:rPr>
          <w:rFonts w:ascii="Times New Roman" w:hAnsi="Times New Roman" w:cs="Times New Roman"/>
          <w:spacing w:val="-3"/>
          <w:sz w:val="24"/>
          <w:szCs w:val="24"/>
        </w:rPr>
        <w:t xml:space="preserve">to </w:t>
      </w:r>
      <w:r>
        <w:rPr>
          <w:rFonts w:ascii="Times New Roman" w:hAnsi="Times New Roman" w:cs="Times New Roman"/>
          <w:sz w:val="24"/>
          <w:szCs w:val="24"/>
        </w:rPr>
        <w:t xml:space="preserve">care within </w:t>
      </w:r>
      <w:r>
        <w:rPr>
          <w:rFonts w:ascii="Times New Roman" w:hAnsi="Times New Roman" w:cs="Times New Roman"/>
          <w:spacing w:val="-4"/>
          <w:sz w:val="24"/>
          <w:szCs w:val="24"/>
        </w:rPr>
        <w:t xml:space="preserve">this program. </w:t>
      </w:r>
      <w:r>
        <w:rPr>
          <w:rFonts w:ascii="Times New Roman" w:hAnsi="Times New Roman" w:cs="Times New Roman"/>
          <w:spacing w:val="-3"/>
          <w:sz w:val="24"/>
          <w:szCs w:val="24"/>
        </w:rPr>
        <w:t xml:space="preserve">These </w:t>
      </w:r>
      <w:r>
        <w:rPr>
          <w:rFonts w:ascii="Times New Roman" w:hAnsi="Times New Roman" w:cs="Times New Roman"/>
          <w:sz w:val="24"/>
          <w:szCs w:val="24"/>
        </w:rPr>
        <w:t xml:space="preserve">barriers </w:t>
      </w:r>
      <w:r>
        <w:rPr>
          <w:rFonts w:ascii="Times New Roman" w:hAnsi="Times New Roman" w:cs="Times New Roman"/>
          <w:spacing w:val="-3"/>
          <w:sz w:val="24"/>
          <w:szCs w:val="24"/>
        </w:rPr>
        <w:t xml:space="preserve">significantly </w:t>
      </w:r>
      <w:r>
        <w:rPr>
          <w:rFonts w:ascii="Times New Roman" w:hAnsi="Times New Roman" w:cs="Times New Roman"/>
          <w:spacing w:val="-6"/>
          <w:sz w:val="24"/>
          <w:szCs w:val="24"/>
        </w:rPr>
        <w:t xml:space="preserve">undermine </w:t>
      </w:r>
      <w:r>
        <w:rPr>
          <w:rFonts w:ascii="Times New Roman" w:hAnsi="Times New Roman" w:cs="Times New Roman"/>
          <w:spacing w:val="-4"/>
          <w:sz w:val="24"/>
          <w:szCs w:val="24"/>
        </w:rPr>
        <w:t xml:space="preserve">the program’s </w:t>
      </w:r>
      <w:r>
        <w:rPr>
          <w:rFonts w:ascii="Times New Roman" w:hAnsi="Times New Roman" w:cs="Times New Roman"/>
          <w:spacing w:val="-3"/>
          <w:sz w:val="24"/>
          <w:szCs w:val="24"/>
        </w:rPr>
        <w:t xml:space="preserve">goal </w:t>
      </w:r>
      <w:r>
        <w:rPr>
          <w:rFonts w:ascii="Times New Roman" w:hAnsi="Times New Roman" w:cs="Times New Roman"/>
          <w:sz w:val="24"/>
          <w:szCs w:val="24"/>
        </w:rPr>
        <w:t xml:space="preserve">of </w:t>
      </w:r>
      <w:r>
        <w:rPr>
          <w:rFonts w:ascii="Times New Roman" w:hAnsi="Times New Roman" w:cs="Times New Roman"/>
          <w:spacing w:val="-5"/>
          <w:sz w:val="24"/>
          <w:szCs w:val="24"/>
        </w:rPr>
        <w:t xml:space="preserve">integrating  </w:t>
      </w:r>
      <w:r>
        <w:rPr>
          <w:rFonts w:ascii="Times New Roman" w:hAnsi="Times New Roman" w:cs="Times New Roman"/>
          <w:spacing w:val="-3"/>
          <w:sz w:val="24"/>
          <w:szCs w:val="24"/>
        </w:rPr>
        <w:t xml:space="preserve">and </w:t>
      </w:r>
      <w:r>
        <w:rPr>
          <w:rFonts w:ascii="Times New Roman" w:hAnsi="Times New Roman" w:cs="Times New Roman"/>
          <w:spacing w:val="-6"/>
          <w:sz w:val="24"/>
          <w:szCs w:val="24"/>
        </w:rPr>
        <w:t xml:space="preserve">managing  </w:t>
      </w:r>
      <w:r>
        <w:rPr>
          <w:rFonts w:ascii="Times New Roman" w:hAnsi="Times New Roman" w:cs="Times New Roman"/>
          <w:sz w:val="24"/>
          <w:szCs w:val="24"/>
        </w:rPr>
        <w:t xml:space="preserve">care for medically </w:t>
      </w:r>
      <w:r>
        <w:rPr>
          <w:rFonts w:ascii="Times New Roman" w:hAnsi="Times New Roman" w:cs="Times New Roman"/>
          <w:spacing w:val="-3"/>
          <w:sz w:val="24"/>
          <w:szCs w:val="24"/>
        </w:rPr>
        <w:t xml:space="preserve">complicated </w:t>
      </w:r>
      <w:r>
        <w:rPr>
          <w:rFonts w:ascii="Times New Roman" w:hAnsi="Times New Roman" w:cs="Times New Roman"/>
          <w:spacing w:val="-5"/>
          <w:sz w:val="24"/>
          <w:szCs w:val="24"/>
        </w:rPr>
        <w:t xml:space="preserve">members, </w:t>
      </w:r>
      <w:r>
        <w:rPr>
          <w:rFonts w:ascii="Times New Roman" w:hAnsi="Times New Roman" w:cs="Times New Roman"/>
          <w:sz w:val="24"/>
          <w:szCs w:val="24"/>
        </w:rPr>
        <w:t xml:space="preserve">particularly </w:t>
      </w:r>
      <w:r>
        <w:rPr>
          <w:rFonts w:ascii="Times New Roman" w:hAnsi="Times New Roman" w:cs="Times New Roman"/>
          <w:spacing w:val="-4"/>
          <w:sz w:val="24"/>
          <w:szCs w:val="24"/>
        </w:rPr>
        <w:t xml:space="preserve">those </w:t>
      </w:r>
      <w:r>
        <w:rPr>
          <w:rFonts w:ascii="Times New Roman" w:hAnsi="Times New Roman" w:cs="Times New Roman"/>
          <w:sz w:val="24"/>
          <w:szCs w:val="24"/>
        </w:rPr>
        <w:t xml:space="preserve">with both behavioral </w:t>
      </w:r>
      <w:r>
        <w:rPr>
          <w:rFonts w:ascii="Times New Roman" w:hAnsi="Times New Roman" w:cs="Times New Roman"/>
          <w:spacing w:val="-3"/>
          <w:sz w:val="24"/>
          <w:szCs w:val="24"/>
        </w:rPr>
        <w:t xml:space="preserve">health </w:t>
      </w:r>
      <w:r>
        <w:rPr>
          <w:rFonts w:ascii="Times New Roman" w:hAnsi="Times New Roman" w:cs="Times New Roman"/>
          <w:spacing w:val="-4"/>
          <w:sz w:val="24"/>
          <w:szCs w:val="24"/>
        </w:rPr>
        <w:t xml:space="preserve">and </w:t>
      </w:r>
      <w:r>
        <w:rPr>
          <w:rFonts w:ascii="Times New Roman" w:hAnsi="Times New Roman" w:cs="Times New Roman"/>
          <w:spacing w:val="-3"/>
          <w:sz w:val="24"/>
          <w:szCs w:val="24"/>
        </w:rPr>
        <w:t xml:space="preserve">physical </w:t>
      </w:r>
      <w:r>
        <w:rPr>
          <w:rFonts w:ascii="Times New Roman" w:hAnsi="Times New Roman" w:cs="Times New Roman"/>
          <w:sz w:val="24"/>
          <w:szCs w:val="24"/>
        </w:rPr>
        <w:t xml:space="preserve">health issues. </w:t>
      </w:r>
      <w:r>
        <w:rPr>
          <w:rFonts w:ascii="Times New Roman" w:hAnsi="Times New Roman" w:cs="Times New Roman"/>
          <w:spacing w:val="-5"/>
          <w:sz w:val="24"/>
          <w:szCs w:val="24"/>
        </w:rPr>
        <w:t xml:space="preserve">Our </w:t>
      </w:r>
      <w:r>
        <w:rPr>
          <w:rFonts w:ascii="Times New Roman" w:hAnsi="Times New Roman" w:cs="Times New Roman"/>
          <w:sz w:val="24"/>
          <w:szCs w:val="24"/>
        </w:rPr>
        <w:t xml:space="preserve">clients </w:t>
      </w:r>
      <w:r>
        <w:rPr>
          <w:rFonts w:ascii="Times New Roman" w:hAnsi="Times New Roman" w:cs="Times New Roman"/>
          <w:spacing w:val="-4"/>
          <w:sz w:val="24"/>
          <w:szCs w:val="24"/>
        </w:rPr>
        <w:t xml:space="preserve">have </w:t>
      </w:r>
      <w:r>
        <w:rPr>
          <w:rFonts w:ascii="Times New Roman" w:hAnsi="Times New Roman" w:cs="Times New Roman"/>
          <w:sz w:val="24"/>
          <w:szCs w:val="24"/>
        </w:rPr>
        <w:t>experienced problems,</w:t>
      </w:r>
      <w:r>
        <w:rPr>
          <w:rFonts w:ascii="Times New Roman" w:hAnsi="Times New Roman" w:cs="Times New Roman"/>
          <w:spacing w:val="-9"/>
          <w:sz w:val="24"/>
          <w:szCs w:val="24"/>
        </w:rPr>
        <w:t xml:space="preserve"> </w:t>
      </w:r>
      <w:r>
        <w:rPr>
          <w:rFonts w:ascii="Times New Roman" w:hAnsi="Times New Roman" w:cs="Times New Roman"/>
          <w:spacing w:val="-5"/>
          <w:sz w:val="24"/>
          <w:szCs w:val="24"/>
        </w:rPr>
        <w:t>including:</w:t>
      </w:r>
    </w:p>
    <w:p w:rsidR="002C5025" w:rsidRDefault="002C5025">
      <w:pPr>
        <w:pStyle w:val="ListParagraph"/>
        <w:numPr>
          <w:ilvl w:val="0"/>
          <w:numId w:val="10"/>
        </w:numPr>
        <w:tabs>
          <w:tab w:val="left" w:pos="843"/>
        </w:tabs>
        <w:kinsoku w:val="0"/>
        <w:overflowPunct w:val="0"/>
        <w:spacing w:before="29" w:line="274" w:lineRule="exact"/>
        <w:ind w:right="240" w:hanging="362"/>
      </w:pPr>
      <w:r>
        <w:rPr>
          <w:spacing w:val="-4"/>
        </w:rPr>
        <w:t xml:space="preserve">Lack </w:t>
      </w:r>
      <w:r>
        <w:t xml:space="preserve">of </w:t>
      </w:r>
      <w:r>
        <w:rPr>
          <w:spacing w:val="-3"/>
        </w:rPr>
        <w:t xml:space="preserve">cultural </w:t>
      </w:r>
      <w:r>
        <w:rPr>
          <w:spacing w:val="-4"/>
        </w:rPr>
        <w:t xml:space="preserve">and </w:t>
      </w:r>
      <w:r>
        <w:t xml:space="preserve">clinical </w:t>
      </w:r>
      <w:r>
        <w:rPr>
          <w:spacing w:val="-4"/>
        </w:rPr>
        <w:t xml:space="preserve">competency </w:t>
      </w:r>
      <w:r>
        <w:t xml:space="preserve">in </w:t>
      </w:r>
      <w:r>
        <w:rPr>
          <w:spacing w:val="-3"/>
        </w:rPr>
        <w:t xml:space="preserve">working </w:t>
      </w:r>
      <w:r>
        <w:t xml:space="preserve">with </w:t>
      </w:r>
      <w:r>
        <w:rPr>
          <w:spacing w:val="-4"/>
        </w:rPr>
        <w:t xml:space="preserve">members, </w:t>
      </w:r>
      <w:r>
        <w:t xml:space="preserve">especially </w:t>
      </w:r>
      <w:r>
        <w:rPr>
          <w:spacing w:val="-3"/>
        </w:rPr>
        <w:t xml:space="preserve">those </w:t>
      </w:r>
      <w:r>
        <w:t xml:space="preserve">who </w:t>
      </w:r>
      <w:r>
        <w:rPr>
          <w:spacing w:val="-3"/>
        </w:rPr>
        <w:t xml:space="preserve">have </w:t>
      </w:r>
      <w:r>
        <w:rPr>
          <w:spacing w:val="-6"/>
        </w:rPr>
        <w:t>mental</w:t>
      </w:r>
      <w:r>
        <w:rPr>
          <w:spacing w:val="38"/>
        </w:rPr>
        <w:t xml:space="preserve"> </w:t>
      </w:r>
      <w:r>
        <w:t>illness;</w:t>
      </w:r>
    </w:p>
    <w:p w:rsidR="002C5025" w:rsidRDefault="002C5025">
      <w:pPr>
        <w:pStyle w:val="ListParagraph"/>
        <w:numPr>
          <w:ilvl w:val="0"/>
          <w:numId w:val="10"/>
        </w:numPr>
        <w:tabs>
          <w:tab w:val="left" w:pos="843"/>
        </w:tabs>
        <w:kinsoku w:val="0"/>
        <w:overflowPunct w:val="0"/>
        <w:spacing w:before="41" w:line="264" w:lineRule="exact"/>
        <w:ind w:right="287" w:hanging="362"/>
      </w:pPr>
      <w:r>
        <w:rPr>
          <w:spacing w:val="-5"/>
        </w:rPr>
        <w:t xml:space="preserve">Understaffed </w:t>
      </w:r>
      <w:r>
        <w:rPr>
          <w:spacing w:val="-3"/>
        </w:rPr>
        <w:t xml:space="preserve">and </w:t>
      </w:r>
      <w:r>
        <w:t xml:space="preserve">illusory care </w:t>
      </w:r>
      <w:r>
        <w:rPr>
          <w:spacing w:val="-6"/>
        </w:rPr>
        <w:t xml:space="preserve">management, </w:t>
      </w:r>
      <w:r>
        <w:rPr>
          <w:spacing w:val="-3"/>
        </w:rPr>
        <w:t xml:space="preserve">such </w:t>
      </w:r>
      <w:r>
        <w:t xml:space="preserve">as limited access to care </w:t>
      </w:r>
      <w:r>
        <w:rPr>
          <w:spacing w:val="-5"/>
        </w:rPr>
        <w:t xml:space="preserve">managers </w:t>
      </w:r>
      <w:r>
        <w:t xml:space="preserve">and </w:t>
      </w:r>
      <w:r>
        <w:rPr>
          <w:spacing w:val="-5"/>
        </w:rPr>
        <w:t xml:space="preserve">teams  </w:t>
      </w:r>
      <w:r>
        <w:rPr>
          <w:spacing w:val="-4"/>
        </w:rPr>
        <w:t xml:space="preserve">that </w:t>
      </w:r>
      <w:r>
        <w:rPr>
          <w:spacing w:val="-5"/>
        </w:rPr>
        <w:t xml:space="preserve">meet </w:t>
      </w:r>
      <w:r>
        <w:rPr>
          <w:spacing w:val="-3"/>
        </w:rPr>
        <w:t xml:space="preserve">infrequently  </w:t>
      </w:r>
      <w:r>
        <w:t xml:space="preserve">or </w:t>
      </w:r>
      <w:r>
        <w:rPr>
          <w:spacing w:val="-4"/>
        </w:rPr>
        <w:t xml:space="preserve">not </w:t>
      </w:r>
      <w:r>
        <w:t>at</w:t>
      </w:r>
      <w:r>
        <w:rPr>
          <w:spacing w:val="-3"/>
        </w:rPr>
        <w:t xml:space="preserve"> </w:t>
      </w:r>
      <w:r>
        <w:t>all;</w:t>
      </w:r>
    </w:p>
    <w:p w:rsidR="002C5025" w:rsidRDefault="002C5025">
      <w:pPr>
        <w:pStyle w:val="ListParagraph"/>
        <w:numPr>
          <w:ilvl w:val="0"/>
          <w:numId w:val="10"/>
        </w:numPr>
        <w:tabs>
          <w:tab w:val="left" w:pos="843"/>
        </w:tabs>
        <w:kinsoku w:val="0"/>
        <w:overflowPunct w:val="0"/>
        <w:spacing w:before="1"/>
        <w:ind w:right="856" w:hanging="362"/>
        <w:rPr>
          <w:spacing w:val="-5"/>
        </w:rPr>
      </w:pPr>
      <w:r>
        <w:t xml:space="preserve">Poor </w:t>
      </w:r>
      <w:r>
        <w:rPr>
          <w:spacing w:val="-4"/>
        </w:rPr>
        <w:t xml:space="preserve">continuity </w:t>
      </w:r>
      <w:r>
        <w:t xml:space="preserve">of care </w:t>
      </w:r>
      <w:r>
        <w:rPr>
          <w:spacing w:val="-3"/>
        </w:rPr>
        <w:t xml:space="preserve">for new </w:t>
      </w:r>
      <w:r>
        <w:rPr>
          <w:spacing w:val="-5"/>
        </w:rPr>
        <w:t xml:space="preserve">members </w:t>
      </w:r>
      <w:r>
        <w:t xml:space="preserve">who join a </w:t>
      </w:r>
      <w:r>
        <w:rPr>
          <w:spacing w:val="-5"/>
        </w:rPr>
        <w:t xml:space="preserve">One </w:t>
      </w:r>
      <w:r>
        <w:t xml:space="preserve">Care plan </w:t>
      </w:r>
      <w:r>
        <w:rPr>
          <w:spacing w:val="-4"/>
        </w:rPr>
        <w:t xml:space="preserve">and </w:t>
      </w:r>
      <w:r>
        <w:rPr>
          <w:spacing w:val="-3"/>
        </w:rPr>
        <w:t xml:space="preserve">inadequate </w:t>
      </w:r>
      <w:r>
        <w:t xml:space="preserve">provider </w:t>
      </w:r>
      <w:r>
        <w:rPr>
          <w:spacing w:val="-3"/>
        </w:rPr>
        <w:t xml:space="preserve">networks for </w:t>
      </w:r>
      <w:r>
        <w:rPr>
          <w:spacing w:val="-4"/>
        </w:rPr>
        <w:t>existing</w:t>
      </w:r>
      <w:r>
        <w:rPr>
          <w:spacing w:val="46"/>
        </w:rPr>
        <w:t xml:space="preserve"> </w:t>
      </w:r>
      <w:r>
        <w:rPr>
          <w:spacing w:val="-5"/>
        </w:rPr>
        <w:t>members;</w:t>
      </w:r>
    </w:p>
    <w:p w:rsidR="002C5025" w:rsidRDefault="002C5025">
      <w:pPr>
        <w:pStyle w:val="ListParagraph"/>
        <w:numPr>
          <w:ilvl w:val="0"/>
          <w:numId w:val="10"/>
        </w:numPr>
        <w:tabs>
          <w:tab w:val="left" w:pos="843"/>
        </w:tabs>
        <w:kinsoku w:val="0"/>
        <w:overflowPunct w:val="0"/>
        <w:spacing w:before="6" w:line="290" w:lineRule="exact"/>
        <w:ind w:hanging="362"/>
        <w:rPr>
          <w:spacing w:val="-4"/>
        </w:rPr>
      </w:pPr>
      <w:r>
        <w:t xml:space="preserve">A weak </w:t>
      </w:r>
      <w:r>
        <w:rPr>
          <w:spacing w:val="-3"/>
        </w:rPr>
        <w:t xml:space="preserve">and </w:t>
      </w:r>
      <w:r>
        <w:rPr>
          <w:spacing w:val="-4"/>
        </w:rPr>
        <w:t xml:space="preserve">understaffed  </w:t>
      </w:r>
      <w:proofErr w:type="spellStart"/>
      <w:r>
        <w:rPr>
          <w:spacing w:val="-6"/>
        </w:rPr>
        <w:t>ombuds</w:t>
      </w:r>
      <w:proofErr w:type="spellEnd"/>
      <w:r>
        <w:rPr>
          <w:spacing w:val="15"/>
        </w:rPr>
        <w:t xml:space="preserve"> </w:t>
      </w:r>
      <w:r>
        <w:rPr>
          <w:spacing w:val="-4"/>
        </w:rPr>
        <w:t>program;</w:t>
      </w:r>
    </w:p>
    <w:p w:rsidR="002C5025" w:rsidRDefault="002C5025">
      <w:pPr>
        <w:pStyle w:val="ListParagraph"/>
        <w:numPr>
          <w:ilvl w:val="0"/>
          <w:numId w:val="10"/>
        </w:numPr>
        <w:tabs>
          <w:tab w:val="left" w:pos="843"/>
        </w:tabs>
        <w:kinsoku w:val="0"/>
        <w:overflowPunct w:val="0"/>
        <w:spacing w:line="290" w:lineRule="exact"/>
        <w:ind w:hanging="362"/>
      </w:pPr>
      <w:r>
        <w:rPr>
          <w:spacing w:val="-3"/>
        </w:rPr>
        <w:t xml:space="preserve">Denial </w:t>
      </w:r>
      <w:r>
        <w:t xml:space="preserve">of services </w:t>
      </w:r>
      <w:r>
        <w:rPr>
          <w:spacing w:val="-4"/>
        </w:rPr>
        <w:t xml:space="preserve">that </w:t>
      </w:r>
      <w:r>
        <w:rPr>
          <w:spacing w:val="-3"/>
        </w:rPr>
        <w:t xml:space="preserve">should </w:t>
      </w:r>
      <w:r>
        <w:t xml:space="preserve">be covered </w:t>
      </w:r>
      <w:r>
        <w:rPr>
          <w:spacing w:val="-3"/>
        </w:rPr>
        <w:t xml:space="preserve">and burdensome </w:t>
      </w:r>
      <w:r>
        <w:t xml:space="preserve">appeals </w:t>
      </w:r>
      <w:r>
        <w:rPr>
          <w:spacing w:val="-3"/>
        </w:rPr>
        <w:t xml:space="preserve">to </w:t>
      </w:r>
      <w:r>
        <w:t>obtain</w:t>
      </w:r>
      <w:r>
        <w:rPr>
          <w:spacing w:val="42"/>
        </w:rPr>
        <w:t xml:space="preserve"> </w:t>
      </w:r>
      <w:r>
        <w:t>coverage;</w:t>
      </w:r>
    </w:p>
    <w:p w:rsidR="002C5025" w:rsidRDefault="002C5025">
      <w:pPr>
        <w:pStyle w:val="ListParagraph"/>
        <w:numPr>
          <w:ilvl w:val="0"/>
          <w:numId w:val="10"/>
        </w:numPr>
        <w:tabs>
          <w:tab w:val="left" w:pos="843"/>
        </w:tabs>
        <w:kinsoku w:val="0"/>
        <w:overflowPunct w:val="0"/>
        <w:spacing w:before="3"/>
        <w:ind w:right="292" w:hanging="362"/>
      </w:pPr>
      <w:r>
        <w:rPr>
          <w:spacing w:val="-5"/>
        </w:rPr>
        <w:t xml:space="preserve">Limited rights </w:t>
      </w:r>
      <w:r>
        <w:t xml:space="preserve">to file appeals </w:t>
      </w:r>
      <w:r>
        <w:rPr>
          <w:spacing w:val="-4"/>
        </w:rPr>
        <w:t xml:space="preserve">and </w:t>
      </w:r>
      <w:r>
        <w:t xml:space="preserve">grievances, </w:t>
      </w:r>
      <w:r>
        <w:rPr>
          <w:spacing w:val="-3"/>
        </w:rPr>
        <w:t xml:space="preserve">such </w:t>
      </w:r>
      <w:r>
        <w:t xml:space="preserve">as inability to appeal denial of an out- </w:t>
      </w:r>
      <w:r>
        <w:rPr>
          <w:spacing w:val="-3"/>
        </w:rPr>
        <w:t>of-network</w:t>
      </w:r>
      <w:r>
        <w:rPr>
          <w:spacing w:val="20"/>
        </w:rPr>
        <w:t xml:space="preserve"> </w:t>
      </w:r>
      <w:r>
        <w:t>provider.</w:t>
      </w:r>
    </w:p>
    <w:p w:rsidR="002C5025" w:rsidRDefault="002C5025">
      <w:pPr>
        <w:pStyle w:val="BodyText"/>
        <w:kinsoku w:val="0"/>
        <w:overflowPunct w:val="0"/>
        <w:spacing w:before="4"/>
        <w:rPr>
          <w:rFonts w:ascii="Times New Roman" w:hAnsi="Times New Roman" w:cs="Times New Roman"/>
          <w:sz w:val="23"/>
          <w:szCs w:val="23"/>
        </w:rPr>
      </w:pPr>
    </w:p>
    <w:p w:rsidR="002C5025" w:rsidRDefault="002C5025">
      <w:pPr>
        <w:pStyle w:val="BodyText"/>
        <w:kinsoku w:val="0"/>
        <w:overflowPunct w:val="0"/>
        <w:ind w:left="119" w:right="326"/>
        <w:rPr>
          <w:rFonts w:ascii="Times New Roman" w:hAnsi="Times New Roman" w:cs="Times New Roman"/>
          <w:spacing w:val="-3"/>
          <w:sz w:val="24"/>
          <w:szCs w:val="24"/>
        </w:rPr>
      </w:pPr>
      <w:r>
        <w:rPr>
          <w:rFonts w:ascii="Times New Roman" w:hAnsi="Times New Roman" w:cs="Times New Roman"/>
          <w:spacing w:val="-3"/>
          <w:sz w:val="24"/>
          <w:szCs w:val="24"/>
        </w:rPr>
        <w:t xml:space="preserve">We </w:t>
      </w:r>
      <w:r>
        <w:rPr>
          <w:rFonts w:ascii="Times New Roman" w:hAnsi="Times New Roman" w:cs="Times New Roman"/>
          <w:sz w:val="24"/>
          <w:szCs w:val="24"/>
        </w:rPr>
        <w:t xml:space="preserve">address appeals </w:t>
      </w:r>
      <w:r>
        <w:rPr>
          <w:rFonts w:ascii="Times New Roman" w:hAnsi="Times New Roman" w:cs="Times New Roman"/>
          <w:spacing w:val="-3"/>
          <w:sz w:val="24"/>
          <w:szCs w:val="24"/>
        </w:rPr>
        <w:t xml:space="preserve">and grievances </w:t>
      </w:r>
      <w:r>
        <w:rPr>
          <w:rFonts w:ascii="Times New Roman" w:hAnsi="Times New Roman" w:cs="Times New Roman"/>
          <w:spacing w:val="-4"/>
          <w:sz w:val="24"/>
          <w:szCs w:val="24"/>
        </w:rPr>
        <w:t xml:space="preserve">and </w:t>
      </w:r>
      <w:r>
        <w:rPr>
          <w:rFonts w:ascii="Times New Roman" w:hAnsi="Times New Roman" w:cs="Times New Roman"/>
          <w:sz w:val="24"/>
          <w:szCs w:val="24"/>
        </w:rPr>
        <w:t xml:space="preserve">network adequacy in </w:t>
      </w:r>
      <w:r>
        <w:rPr>
          <w:rFonts w:ascii="Times New Roman" w:hAnsi="Times New Roman" w:cs="Times New Roman"/>
          <w:spacing w:val="-4"/>
          <w:sz w:val="24"/>
          <w:szCs w:val="24"/>
        </w:rPr>
        <w:t xml:space="preserve">other </w:t>
      </w:r>
      <w:r>
        <w:rPr>
          <w:rFonts w:ascii="Times New Roman" w:hAnsi="Times New Roman" w:cs="Times New Roman"/>
          <w:spacing w:val="-3"/>
          <w:sz w:val="24"/>
          <w:szCs w:val="24"/>
        </w:rPr>
        <w:t xml:space="preserve">sections </w:t>
      </w:r>
      <w:r>
        <w:rPr>
          <w:rFonts w:ascii="Times New Roman" w:hAnsi="Times New Roman" w:cs="Times New Roman"/>
          <w:sz w:val="24"/>
          <w:szCs w:val="24"/>
        </w:rPr>
        <w:t xml:space="preserve">of </w:t>
      </w:r>
      <w:r>
        <w:rPr>
          <w:rFonts w:ascii="Times New Roman" w:hAnsi="Times New Roman" w:cs="Times New Roman"/>
          <w:spacing w:val="-4"/>
          <w:sz w:val="24"/>
          <w:szCs w:val="24"/>
        </w:rPr>
        <w:t xml:space="preserve">these </w:t>
      </w:r>
      <w:r>
        <w:rPr>
          <w:rFonts w:ascii="Times New Roman" w:hAnsi="Times New Roman" w:cs="Times New Roman"/>
          <w:spacing w:val="-6"/>
          <w:sz w:val="24"/>
          <w:szCs w:val="24"/>
        </w:rPr>
        <w:t xml:space="preserve">comments. </w:t>
      </w:r>
      <w:r>
        <w:rPr>
          <w:rFonts w:ascii="Times New Roman" w:hAnsi="Times New Roman" w:cs="Times New Roman"/>
          <w:spacing w:val="-3"/>
          <w:sz w:val="24"/>
          <w:szCs w:val="24"/>
        </w:rPr>
        <w:t xml:space="preserve">Regarding </w:t>
      </w:r>
      <w:r>
        <w:rPr>
          <w:rFonts w:ascii="Times New Roman" w:hAnsi="Times New Roman" w:cs="Times New Roman"/>
          <w:sz w:val="24"/>
          <w:szCs w:val="24"/>
        </w:rPr>
        <w:t xml:space="preserve">care </w:t>
      </w:r>
      <w:r>
        <w:rPr>
          <w:rFonts w:ascii="Times New Roman" w:hAnsi="Times New Roman" w:cs="Times New Roman"/>
          <w:spacing w:val="-6"/>
          <w:sz w:val="24"/>
          <w:szCs w:val="24"/>
        </w:rPr>
        <w:t xml:space="preserve">management  </w:t>
      </w:r>
      <w:r>
        <w:rPr>
          <w:rFonts w:ascii="Times New Roman" w:hAnsi="Times New Roman" w:cs="Times New Roman"/>
          <w:sz w:val="24"/>
          <w:szCs w:val="24"/>
        </w:rPr>
        <w:t xml:space="preserve">by </w:t>
      </w:r>
      <w:r>
        <w:rPr>
          <w:rFonts w:ascii="Times New Roman" w:hAnsi="Times New Roman" w:cs="Times New Roman"/>
          <w:spacing w:val="-3"/>
          <w:sz w:val="24"/>
          <w:szCs w:val="24"/>
        </w:rPr>
        <w:t xml:space="preserve">ACOs, </w:t>
      </w:r>
      <w:r>
        <w:rPr>
          <w:rFonts w:ascii="Times New Roman" w:hAnsi="Times New Roman" w:cs="Times New Roman"/>
          <w:sz w:val="24"/>
          <w:szCs w:val="24"/>
        </w:rPr>
        <w:t xml:space="preserve">we </w:t>
      </w:r>
      <w:r>
        <w:rPr>
          <w:rFonts w:ascii="Times New Roman" w:hAnsi="Times New Roman" w:cs="Times New Roman"/>
          <w:spacing w:val="-3"/>
          <w:sz w:val="24"/>
          <w:szCs w:val="24"/>
        </w:rPr>
        <w:t xml:space="preserve">strongly </w:t>
      </w:r>
      <w:r>
        <w:rPr>
          <w:rFonts w:ascii="Times New Roman" w:hAnsi="Times New Roman" w:cs="Times New Roman"/>
          <w:spacing w:val="-5"/>
          <w:sz w:val="24"/>
          <w:szCs w:val="24"/>
        </w:rPr>
        <w:t xml:space="preserve">recommend  </w:t>
      </w:r>
      <w:r>
        <w:rPr>
          <w:rFonts w:ascii="Times New Roman" w:hAnsi="Times New Roman" w:cs="Times New Roman"/>
          <w:spacing w:val="-4"/>
          <w:sz w:val="24"/>
          <w:szCs w:val="24"/>
        </w:rPr>
        <w:t xml:space="preserve">that </w:t>
      </w:r>
      <w:r>
        <w:rPr>
          <w:rFonts w:ascii="Times New Roman" w:hAnsi="Times New Roman" w:cs="Times New Roman"/>
          <w:spacing w:val="-5"/>
          <w:sz w:val="24"/>
          <w:szCs w:val="24"/>
        </w:rPr>
        <w:t xml:space="preserve">the </w:t>
      </w:r>
      <w:r>
        <w:rPr>
          <w:rFonts w:ascii="Times New Roman" w:hAnsi="Times New Roman" w:cs="Times New Roman"/>
          <w:spacing w:val="-6"/>
          <w:sz w:val="24"/>
          <w:szCs w:val="24"/>
        </w:rPr>
        <w:t xml:space="preserve">Commonwealth  </w:t>
      </w:r>
      <w:r>
        <w:rPr>
          <w:rFonts w:ascii="Times New Roman" w:hAnsi="Times New Roman" w:cs="Times New Roman"/>
          <w:sz w:val="24"/>
          <w:szCs w:val="24"/>
        </w:rPr>
        <w:t xml:space="preserve">establish specific criteria </w:t>
      </w:r>
      <w:r>
        <w:rPr>
          <w:rFonts w:ascii="Times New Roman" w:hAnsi="Times New Roman" w:cs="Times New Roman"/>
          <w:spacing w:val="-3"/>
          <w:sz w:val="24"/>
          <w:szCs w:val="24"/>
        </w:rPr>
        <w:t xml:space="preserve">regarding </w:t>
      </w:r>
      <w:r>
        <w:rPr>
          <w:rFonts w:ascii="Times New Roman" w:hAnsi="Times New Roman" w:cs="Times New Roman"/>
          <w:spacing w:val="-6"/>
          <w:sz w:val="24"/>
          <w:szCs w:val="24"/>
        </w:rPr>
        <w:t xml:space="preserve">minimum </w:t>
      </w:r>
      <w:r>
        <w:rPr>
          <w:rFonts w:ascii="Times New Roman" w:hAnsi="Times New Roman" w:cs="Times New Roman"/>
          <w:spacing w:val="-4"/>
          <w:sz w:val="24"/>
          <w:szCs w:val="24"/>
        </w:rPr>
        <w:t xml:space="preserve">staffing </w:t>
      </w:r>
      <w:r>
        <w:rPr>
          <w:rFonts w:ascii="Times New Roman" w:hAnsi="Times New Roman" w:cs="Times New Roman"/>
          <w:sz w:val="24"/>
          <w:szCs w:val="24"/>
        </w:rPr>
        <w:t xml:space="preserve">levels; </w:t>
      </w:r>
      <w:r>
        <w:rPr>
          <w:rFonts w:ascii="Times New Roman" w:hAnsi="Times New Roman" w:cs="Times New Roman"/>
          <w:spacing w:val="-3"/>
          <w:sz w:val="24"/>
          <w:szCs w:val="24"/>
        </w:rPr>
        <w:t xml:space="preserve">frequency and </w:t>
      </w:r>
      <w:r>
        <w:rPr>
          <w:rFonts w:ascii="Times New Roman" w:hAnsi="Times New Roman" w:cs="Times New Roman"/>
          <w:spacing w:val="-6"/>
          <w:sz w:val="24"/>
          <w:szCs w:val="24"/>
        </w:rPr>
        <w:t xml:space="preserve">means </w:t>
      </w:r>
      <w:r>
        <w:rPr>
          <w:rFonts w:ascii="Times New Roman" w:hAnsi="Times New Roman" w:cs="Times New Roman"/>
          <w:sz w:val="24"/>
          <w:szCs w:val="24"/>
        </w:rPr>
        <w:t xml:space="preserve">of </w:t>
      </w:r>
      <w:r>
        <w:rPr>
          <w:rFonts w:ascii="Times New Roman" w:hAnsi="Times New Roman" w:cs="Times New Roman"/>
          <w:spacing w:val="-6"/>
          <w:sz w:val="24"/>
          <w:szCs w:val="24"/>
        </w:rPr>
        <w:t xml:space="preserve">member </w:t>
      </w:r>
      <w:r>
        <w:rPr>
          <w:rFonts w:ascii="Times New Roman" w:hAnsi="Times New Roman" w:cs="Times New Roman"/>
          <w:spacing w:val="-3"/>
          <w:sz w:val="24"/>
          <w:szCs w:val="24"/>
        </w:rPr>
        <w:t xml:space="preserve">outreach; </w:t>
      </w:r>
      <w:r>
        <w:rPr>
          <w:rFonts w:ascii="Times New Roman" w:hAnsi="Times New Roman" w:cs="Times New Roman"/>
          <w:spacing w:val="-5"/>
          <w:sz w:val="24"/>
          <w:szCs w:val="24"/>
        </w:rPr>
        <w:t xml:space="preserve">the </w:t>
      </w:r>
      <w:r>
        <w:rPr>
          <w:rFonts w:ascii="Times New Roman" w:hAnsi="Times New Roman" w:cs="Times New Roman"/>
          <w:sz w:val="24"/>
          <w:szCs w:val="24"/>
        </w:rPr>
        <w:t xml:space="preserve">role, </w:t>
      </w:r>
      <w:r>
        <w:rPr>
          <w:rFonts w:ascii="Times New Roman" w:hAnsi="Times New Roman" w:cs="Times New Roman"/>
          <w:spacing w:val="-3"/>
          <w:sz w:val="24"/>
          <w:szCs w:val="24"/>
        </w:rPr>
        <w:t xml:space="preserve">composition, </w:t>
      </w:r>
      <w:r>
        <w:rPr>
          <w:rFonts w:ascii="Times New Roman" w:hAnsi="Times New Roman" w:cs="Times New Roman"/>
          <w:spacing w:val="-4"/>
          <w:sz w:val="24"/>
          <w:szCs w:val="24"/>
        </w:rPr>
        <w:t xml:space="preserve">and </w:t>
      </w:r>
      <w:r>
        <w:rPr>
          <w:rFonts w:ascii="Times New Roman" w:hAnsi="Times New Roman" w:cs="Times New Roman"/>
          <w:sz w:val="24"/>
          <w:szCs w:val="24"/>
        </w:rPr>
        <w:t xml:space="preserve">activities of care </w:t>
      </w:r>
      <w:r>
        <w:rPr>
          <w:rFonts w:ascii="Times New Roman" w:hAnsi="Times New Roman" w:cs="Times New Roman"/>
          <w:spacing w:val="-4"/>
          <w:sz w:val="24"/>
          <w:szCs w:val="24"/>
        </w:rPr>
        <w:t xml:space="preserve">teams; and </w:t>
      </w:r>
      <w:r>
        <w:rPr>
          <w:rFonts w:ascii="Times New Roman" w:hAnsi="Times New Roman" w:cs="Times New Roman"/>
          <w:spacing w:val="-3"/>
          <w:sz w:val="24"/>
          <w:szCs w:val="24"/>
        </w:rPr>
        <w:t xml:space="preserve">staff </w:t>
      </w:r>
      <w:r>
        <w:rPr>
          <w:rFonts w:ascii="Times New Roman" w:hAnsi="Times New Roman" w:cs="Times New Roman"/>
          <w:sz w:val="24"/>
          <w:szCs w:val="24"/>
        </w:rPr>
        <w:t xml:space="preserve">participation in necessary </w:t>
      </w:r>
      <w:r>
        <w:rPr>
          <w:rFonts w:ascii="Times New Roman" w:hAnsi="Times New Roman" w:cs="Times New Roman"/>
          <w:spacing w:val="-3"/>
          <w:sz w:val="24"/>
          <w:szCs w:val="24"/>
        </w:rPr>
        <w:t xml:space="preserve">cultural </w:t>
      </w:r>
      <w:r>
        <w:rPr>
          <w:rFonts w:ascii="Times New Roman" w:hAnsi="Times New Roman" w:cs="Times New Roman"/>
          <w:spacing w:val="-4"/>
          <w:sz w:val="24"/>
          <w:szCs w:val="24"/>
        </w:rPr>
        <w:t xml:space="preserve">competency  trainings  </w:t>
      </w:r>
      <w:r>
        <w:rPr>
          <w:rFonts w:ascii="Times New Roman" w:hAnsi="Times New Roman" w:cs="Times New Roman"/>
          <w:spacing w:val="-3"/>
          <w:sz w:val="24"/>
          <w:szCs w:val="24"/>
        </w:rPr>
        <w:t xml:space="preserve">about </w:t>
      </w:r>
      <w:r>
        <w:rPr>
          <w:rFonts w:ascii="Times New Roman" w:hAnsi="Times New Roman" w:cs="Times New Roman"/>
          <w:spacing w:val="-6"/>
          <w:sz w:val="24"/>
          <w:szCs w:val="24"/>
        </w:rPr>
        <w:t xml:space="preserve">mental  </w:t>
      </w:r>
      <w:r>
        <w:rPr>
          <w:rFonts w:ascii="Times New Roman" w:hAnsi="Times New Roman" w:cs="Times New Roman"/>
          <w:sz w:val="24"/>
          <w:szCs w:val="24"/>
        </w:rPr>
        <w:t xml:space="preserve">illness, </w:t>
      </w:r>
      <w:r>
        <w:rPr>
          <w:rFonts w:ascii="Times New Roman" w:hAnsi="Times New Roman" w:cs="Times New Roman"/>
          <w:spacing w:val="-5"/>
          <w:sz w:val="24"/>
          <w:szCs w:val="24"/>
        </w:rPr>
        <w:t xml:space="preserve">transgender  </w:t>
      </w:r>
      <w:r>
        <w:rPr>
          <w:rFonts w:ascii="Times New Roman" w:hAnsi="Times New Roman" w:cs="Times New Roman"/>
          <w:spacing w:val="-4"/>
          <w:sz w:val="24"/>
          <w:szCs w:val="24"/>
        </w:rPr>
        <w:t xml:space="preserve">health,  </w:t>
      </w:r>
      <w:r>
        <w:rPr>
          <w:rFonts w:ascii="Times New Roman" w:hAnsi="Times New Roman" w:cs="Times New Roman"/>
          <w:spacing w:val="-6"/>
          <w:sz w:val="24"/>
          <w:szCs w:val="24"/>
        </w:rPr>
        <w:t xml:space="preserve">language  </w:t>
      </w:r>
      <w:r>
        <w:rPr>
          <w:rFonts w:ascii="Times New Roman" w:hAnsi="Times New Roman" w:cs="Times New Roman"/>
          <w:sz w:val="24"/>
          <w:szCs w:val="24"/>
        </w:rPr>
        <w:t xml:space="preserve">access, </w:t>
      </w:r>
      <w:r>
        <w:rPr>
          <w:rFonts w:ascii="Times New Roman" w:hAnsi="Times New Roman" w:cs="Times New Roman"/>
          <w:spacing w:val="-5"/>
          <w:sz w:val="24"/>
          <w:szCs w:val="24"/>
        </w:rPr>
        <w:t xml:space="preserve">and </w:t>
      </w:r>
      <w:r>
        <w:rPr>
          <w:rFonts w:ascii="Times New Roman" w:hAnsi="Times New Roman" w:cs="Times New Roman"/>
          <w:spacing w:val="-4"/>
          <w:sz w:val="24"/>
          <w:szCs w:val="24"/>
        </w:rPr>
        <w:t xml:space="preserve">other </w:t>
      </w:r>
      <w:r>
        <w:rPr>
          <w:rFonts w:ascii="Times New Roman" w:hAnsi="Times New Roman" w:cs="Times New Roman"/>
          <w:spacing w:val="-6"/>
          <w:sz w:val="24"/>
          <w:szCs w:val="24"/>
        </w:rPr>
        <w:t xml:space="preserve">member </w:t>
      </w:r>
      <w:r>
        <w:rPr>
          <w:rFonts w:ascii="Times New Roman" w:hAnsi="Times New Roman" w:cs="Times New Roman"/>
          <w:sz w:val="24"/>
          <w:szCs w:val="24"/>
        </w:rPr>
        <w:t xml:space="preserve">issues. </w:t>
      </w:r>
      <w:r>
        <w:rPr>
          <w:rFonts w:ascii="Times New Roman" w:hAnsi="Times New Roman" w:cs="Times New Roman"/>
          <w:spacing w:val="-3"/>
          <w:sz w:val="24"/>
          <w:szCs w:val="24"/>
        </w:rPr>
        <w:t xml:space="preserve">Additionally, </w:t>
      </w:r>
      <w:r>
        <w:rPr>
          <w:rFonts w:ascii="Times New Roman" w:hAnsi="Times New Roman" w:cs="Times New Roman"/>
          <w:sz w:val="24"/>
          <w:szCs w:val="24"/>
        </w:rPr>
        <w:t xml:space="preserve">effective care </w:t>
      </w:r>
      <w:r>
        <w:rPr>
          <w:rFonts w:ascii="Times New Roman" w:hAnsi="Times New Roman" w:cs="Times New Roman"/>
          <w:spacing w:val="-3"/>
          <w:sz w:val="24"/>
          <w:szCs w:val="24"/>
        </w:rPr>
        <w:t xml:space="preserve">integration </w:t>
      </w:r>
      <w:r>
        <w:rPr>
          <w:rFonts w:ascii="Times New Roman" w:hAnsi="Times New Roman" w:cs="Times New Roman"/>
          <w:sz w:val="24"/>
          <w:szCs w:val="24"/>
        </w:rPr>
        <w:t xml:space="preserve">requires </w:t>
      </w:r>
      <w:r>
        <w:rPr>
          <w:rFonts w:ascii="Times New Roman" w:hAnsi="Times New Roman" w:cs="Times New Roman"/>
          <w:spacing w:val="-3"/>
          <w:sz w:val="24"/>
          <w:szCs w:val="24"/>
        </w:rPr>
        <w:t xml:space="preserve">assessments </w:t>
      </w:r>
      <w:r>
        <w:rPr>
          <w:rFonts w:ascii="Times New Roman" w:hAnsi="Times New Roman" w:cs="Times New Roman"/>
          <w:sz w:val="24"/>
          <w:szCs w:val="24"/>
        </w:rPr>
        <w:t xml:space="preserve">of </w:t>
      </w:r>
      <w:r>
        <w:rPr>
          <w:rFonts w:ascii="Times New Roman" w:hAnsi="Times New Roman" w:cs="Times New Roman"/>
          <w:spacing w:val="-5"/>
          <w:sz w:val="24"/>
          <w:szCs w:val="24"/>
        </w:rPr>
        <w:t xml:space="preserve">members’ </w:t>
      </w:r>
      <w:r>
        <w:rPr>
          <w:rFonts w:ascii="Times New Roman" w:hAnsi="Times New Roman" w:cs="Times New Roman"/>
          <w:sz w:val="24"/>
          <w:szCs w:val="24"/>
        </w:rPr>
        <w:t xml:space="preserve">holistic </w:t>
      </w:r>
      <w:r>
        <w:rPr>
          <w:rFonts w:ascii="Times New Roman" w:hAnsi="Times New Roman" w:cs="Times New Roman"/>
          <w:spacing w:val="-3"/>
          <w:sz w:val="24"/>
          <w:szCs w:val="24"/>
        </w:rPr>
        <w:t xml:space="preserve">needs for </w:t>
      </w:r>
      <w:r>
        <w:rPr>
          <w:rFonts w:ascii="Times New Roman" w:hAnsi="Times New Roman" w:cs="Times New Roman"/>
          <w:sz w:val="24"/>
          <w:szCs w:val="24"/>
        </w:rPr>
        <w:t xml:space="preserve">social services </w:t>
      </w:r>
      <w:r>
        <w:rPr>
          <w:rFonts w:ascii="Times New Roman" w:hAnsi="Times New Roman" w:cs="Times New Roman"/>
          <w:spacing w:val="-4"/>
          <w:sz w:val="24"/>
          <w:szCs w:val="24"/>
        </w:rPr>
        <w:t xml:space="preserve">beyond </w:t>
      </w:r>
      <w:r>
        <w:rPr>
          <w:rFonts w:ascii="Times New Roman" w:hAnsi="Times New Roman" w:cs="Times New Roman"/>
          <w:spacing w:val="-2"/>
          <w:sz w:val="24"/>
          <w:szCs w:val="24"/>
        </w:rPr>
        <w:t xml:space="preserve">health </w:t>
      </w:r>
      <w:r>
        <w:rPr>
          <w:rFonts w:ascii="Times New Roman" w:hAnsi="Times New Roman" w:cs="Times New Roman"/>
          <w:sz w:val="24"/>
          <w:szCs w:val="24"/>
        </w:rPr>
        <w:t xml:space="preserve">care. Access </w:t>
      </w:r>
      <w:r>
        <w:rPr>
          <w:rFonts w:ascii="Times New Roman" w:hAnsi="Times New Roman" w:cs="Times New Roman"/>
          <w:spacing w:val="-3"/>
          <w:sz w:val="24"/>
          <w:szCs w:val="24"/>
        </w:rPr>
        <w:t xml:space="preserve">to such </w:t>
      </w:r>
      <w:r>
        <w:rPr>
          <w:rFonts w:ascii="Times New Roman" w:hAnsi="Times New Roman" w:cs="Times New Roman"/>
          <w:sz w:val="24"/>
          <w:szCs w:val="24"/>
        </w:rPr>
        <w:t xml:space="preserve">services </w:t>
      </w:r>
      <w:r>
        <w:rPr>
          <w:rFonts w:ascii="Times New Roman" w:hAnsi="Times New Roman" w:cs="Times New Roman"/>
          <w:spacing w:val="-3"/>
          <w:sz w:val="24"/>
          <w:szCs w:val="24"/>
        </w:rPr>
        <w:t xml:space="preserve">should </w:t>
      </w:r>
      <w:r>
        <w:rPr>
          <w:rFonts w:ascii="Times New Roman" w:hAnsi="Times New Roman" w:cs="Times New Roman"/>
          <w:sz w:val="24"/>
          <w:szCs w:val="24"/>
        </w:rPr>
        <w:t xml:space="preserve">be </w:t>
      </w:r>
      <w:r>
        <w:rPr>
          <w:rFonts w:ascii="Times New Roman" w:hAnsi="Times New Roman" w:cs="Times New Roman"/>
          <w:spacing w:val="-3"/>
          <w:sz w:val="24"/>
          <w:szCs w:val="24"/>
        </w:rPr>
        <w:t xml:space="preserve">included </w:t>
      </w:r>
      <w:r>
        <w:rPr>
          <w:rFonts w:ascii="Times New Roman" w:hAnsi="Times New Roman" w:cs="Times New Roman"/>
          <w:sz w:val="24"/>
          <w:szCs w:val="24"/>
        </w:rPr>
        <w:t xml:space="preserve">in </w:t>
      </w:r>
      <w:r>
        <w:rPr>
          <w:rFonts w:ascii="Times New Roman" w:hAnsi="Times New Roman" w:cs="Times New Roman"/>
          <w:spacing w:val="-5"/>
          <w:sz w:val="24"/>
          <w:szCs w:val="24"/>
        </w:rPr>
        <w:t xml:space="preserve">members’ </w:t>
      </w:r>
      <w:r>
        <w:rPr>
          <w:rFonts w:ascii="Times New Roman" w:hAnsi="Times New Roman" w:cs="Times New Roman"/>
          <w:sz w:val="24"/>
          <w:szCs w:val="24"/>
        </w:rPr>
        <w:t xml:space="preserve">care plans. Care </w:t>
      </w:r>
      <w:r>
        <w:rPr>
          <w:rFonts w:ascii="Times New Roman" w:hAnsi="Times New Roman" w:cs="Times New Roman"/>
          <w:spacing w:val="-6"/>
          <w:sz w:val="24"/>
          <w:szCs w:val="24"/>
        </w:rPr>
        <w:t xml:space="preserve">managers </w:t>
      </w:r>
      <w:r>
        <w:rPr>
          <w:rFonts w:ascii="Times New Roman" w:hAnsi="Times New Roman" w:cs="Times New Roman"/>
          <w:spacing w:val="-3"/>
          <w:sz w:val="24"/>
          <w:szCs w:val="24"/>
        </w:rPr>
        <w:t xml:space="preserve">should </w:t>
      </w:r>
      <w:r>
        <w:rPr>
          <w:rFonts w:ascii="Times New Roman" w:hAnsi="Times New Roman" w:cs="Times New Roman"/>
          <w:sz w:val="24"/>
          <w:szCs w:val="24"/>
        </w:rPr>
        <w:t xml:space="preserve">help with referrals assist </w:t>
      </w:r>
      <w:r>
        <w:rPr>
          <w:rFonts w:ascii="Times New Roman" w:hAnsi="Times New Roman" w:cs="Times New Roman"/>
          <w:spacing w:val="-5"/>
          <w:sz w:val="24"/>
          <w:szCs w:val="24"/>
        </w:rPr>
        <w:t xml:space="preserve">members </w:t>
      </w:r>
      <w:r>
        <w:rPr>
          <w:rFonts w:ascii="Times New Roman" w:hAnsi="Times New Roman" w:cs="Times New Roman"/>
          <w:spacing w:val="-3"/>
          <w:sz w:val="24"/>
          <w:szCs w:val="24"/>
        </w:rPr>
        <w:t xml:space="preserve">to navigate </w:t>
      </w:r>
      <w:r>
        <w:rPr>
          <w:rFonts w:ascii="Times New Roman" w:hAnsi="Times New Roman" w:cs="Times New Roman"/>
          <w:spacing w:val="-8"/>
          <w:sz w:val="24"/>
          <w:szCs w:val="24"/>
        </w:rPr>
        <w:t xml:space="preserve">the </w:t>
      </w:r>
      <w:r>
        <w:rPr>
          <w:rFonts w:ascii="Times New Roman" w:hAnsi="Times New Roman" w:cs="Times New Roman"/>
          <w:sz w:val="24"/>
          <w:szCs w:val="24"/>
        </w:rPr>
        <w:t xml:space="preserve">social services </w:t>
      </w:r>
      <w:r>
        <w:rPr>
          <w:rFonts w:ascii="Times New Roman" w:hAnsi="Times New Roman" w:cs="Times New Roman"/>
          <w:spacing w:val="-4"/>
          <w:sz w:val="24"/>
          <w:szCs w:val="24"/>
        </w:rPr>
        <w:t xml:space="preserve">systems, </w:t>
      </w:r>
      <w:r>
        <w:rPr>
          <w:rFonts w:ascii="Times New Roman" w:hAnsi="Times New Roman" w:cs="Times New Roman"/>
          <w:spacing w:val="-3"/>
          <w:sz w:val="24"/>
          <w:szCs w:val="24"/>
        </w:rPr>
        <w:t xml:space="preserve">including </w:t>
      </w:r>
      <w:r>
        <w:rPr>
          <w:rFonts w:ascii="Times New Roman" w:hAnsi="Times New Roman" w:cs="Times New Roman"/>
          <w:spacing w:val="-6"/>
          <w:sz w:val="24"/>
          <w:szCs w:val="24"/>
        </w:rPr>
        <w:t xml:space="preserve">housing, </w:t>
      </w:r>
      <w:r>
        <w:rPr>
          <w:rFonts w:ascii="Times New Roman" w:hAnsi="Times New Roman" w:cs="Times New Roman"/>
          <w:spacing w:val="-5"/>
          <w:sz w:val="24"/>
          <w:szCs w:val="24"/>
        </w:rPr>
        <w:t xml:space="preserve">fuel </w:t>
      </w:r>
      <w:r>
        <w:rPr>
          <w:rFonts w:ascii="Times New Roman" w:hAnsi="Times New Roman" w:cs="Times New Roman"/>
          <w:sz w:val="24"/>
          <w:szCs w:val="24"/>
        </w:rPr>
        <w:t xml:space="preserve">aid, </w:t>
      </w:r>
      <w:r>
        <w:rPr>
          <w:rFonts w:ascii="Times New Roman" w:hAnsi="Times New Roman" w:cs="Times New Roman"/>
          <w:spacing w:val="-3"/>
          <w:sz w:val="24"/>
          <w:szCs w:val="24"/>
        </w:rPr>
        <w:t xml:space="preserve">nutrition </w:t>
      </w:r>
      <w:r>
        <w:rPr>
          <w:rFonts w:ascii="Times New Roman" w:hAnsi="Times New Roman" w:cs="Times New Roman"/>
          <w:sz w:val="24"/>
          <w:szCs w:val="24"/>
        </w:rPr>
        <w:t xml:space="preserve">assistance, </w:t>
      </w:r>
      <w:r>
        <w:rPr>
          <w:rFonts w:ascii="Times New Roman" w:hAnsi="Times New Roman" w:cs="Times New Roman"/>
          <w:spacing w:val="-4"/>
          <w:sz w:val="24"/>
          <w:szCs w:val="24"/>
        </w:rPr>
        <w:t xml:space="preserve">and other </w:t>
      </w:r>
      <w:r>
        <w:rPr>
          <w:rFonts w:ascii="Times New Roman" w:hAnsi="Times New Roman" w:cs="Times New Roman"/>
          <w:spacing w:val="-3"/>
          <w:sz w:val="24"/>
          <w:szCs w:val="24"/>
        </w:rPr>
        <w:t xml:space="preserve">supports </w:t>
      </w:r>
      <w:r>
        <w:rPr>
          <w:rFonts w:ascii="Times New Roman" w:hAnsi="Times New Roman" w:cs="Times New Roman"/>
          <w:spacing w:val="-6"/>
          <w:sz w:val="24"/>
          <w:szCs w:val="24"/>
        </w:rPr>
        <w:t xml:space="preserve">that </w:t>
      </w:r>
      <w:r>
        <w:rPr>
          <w:rFonts w:ascii="Times New Roman" w:hAnsi="Times New Roman" w:cs="Times New Roman"/>
          <w:spacing w:val="-3"/>
          <w:sz w:val="24"/>
          <w:szCs w:val="24"/>
        </w:rPr>
        <w:t xml:space="preserve">have </w:t>
      </w:r>
      <w:r>
        <w:rPr>
          <w:rFonts w:ascii="Times New Roman" w:hAnsi="Times New Roman" w:cs="Times New Roman"/>
          <w:sz w:val="24"/>
          <w:szCs w:val="24"/>
        </w:rPr>
        <w:t xml:space="preserve">an </w:t>
      </w:r>
      <w:r>
        <w:rPr>
          <w:rFonts w:ascii="Times New Roman" w:hAnsi="Times New Roman" w:cs="Times New Roman"/>
          <w:spacing w:val="-3"/>
          <w:sz w:val="24"/>
          <w:szCs w:val="24"/>
        </w:rPr>
        <w:t xml:space="preserve">impact </w:t>
      </w:r>
      <w:r>
        <w:rPr>
          <w:rFonts w:ascii="Times New Roman" w:hAnsi="Times New Roman" w:cs="Times New Roman"/>
          <w:sz w:val="24"/>
          <w:szCs w:val="24"/>
        </w:rPr>
        <w:t xml:space="preserve">on </w:t>
      </w:r>
      <w:r>
        <w:rPr>
          <w:rFonts w:ascii="Times New Roman" w:hAnsi="Times New Roman" w:cs="Times New Roman"/>
          <w:spacing w:val="-4"/>
          <w:sz w:val="24"/>
          <w:szCs w:val="24"/>
        </w:rPr>
        <w:t xml:space="preserve">health. </w:t>
      </w:r>
      <w:r>
        <w:rPr>
          <w:rFonts w:ascii="Times New Roman" w:hAnsi="Times New Roman" w:cs="Times New Roman"/>
          <w:sz w:val="24"/>
          <w:szCs w:val="24"/>
        </w:rPr>
        <w:t xml:space="preserve">To address social </w:t>
      </w:r>
      <w:r>
        <w:rPr>
          <w:rFonts w:ascii="Times New Roman" w:hAnsi="Times New Roman" w:cs="Times New Roman"/>
          <w:spacing w:val="-5"/>
          <w:sz w:val="24"/>
          <w:szCs w:val="24"/>
        </w:rPr>
        <w:t xml:space="preserve">determinants </w:t>
      </w:r>
      <w:r>
        <w:rPr>
          <w:rFonts w:ascii="Times New Roman" w:hAnsi="Times New Roman" w:cs="Times New Roman"/>
          <w:sz w:val="24"/>
          <w:szCs w:val="24"/>
        </w:rPr>
        <w:t xml:space="preserve">of </w:t>
      </w:r>
      <w:r>
        <w:rPr>
          <w:rFonts w:ascii="Times New Roman" w:hAnsi="Times New Roman" w:cs="Times New Roman"/>
          <w:spacing w:val="-4"/>
          <w:sz w:val="24"/>
          <w:szCs w:val="24"/>
        </w:rPr>
        <w:t xml:space="preserve">health, </w:t>
      </w:r>
      <w:r>
        <w:rPr>
          <w:rFonts w:ascii="Times New Roman" w:hAnsi="Times New Roman" w:cs="Times New Roman"/>
          <w:spacing w:val="-5"/>
          <w:sz w:val="24"/>
          <w:szCs w:val="24"/>
        </w:rPr>
        <w:t xml:space="preserve">ACOs </w:t>
      </w:r>
      <w:r>
        <w:rPr>
          <w:rFonts w:ascii="Times New Roman" w:hAnsi="Times New Roman" w:cs="Times New Roman"/>
          <w:spacing w:val="-3"/>
          <w:sz w:val="24"/>
          <w:szCs w:val="24"/>
        </w:rPr>
        <w:t xml:space="preserve">and </w:t>
      </w:r>
      <w:r>
        <w:rPr>
          <w:rFonts w:ascii="Times New Roman" w:hAnsi="Times New Roman" w:cs="Times New Roman"/>
          <w:spacing w:val="-5"/>
          <w:sz w:val="24"/>
          <w:szCs w:val="24"/>
        </w:rPr>
        <w:t xml:space="preserve">the </w:t>
      </w:r>
      <w:r>
        <w:rPr>
          <w:rFonts w:ascii="Times New Roman" w:hAnsi="Times New Roman" w:cs="Times New Roman"/>
          <w:spacing w:val="-4"/>
          <w:sz w:val="24"/>
          <w:szCs w:val="24"/>
        </w:rPr>
        <w:t xml:space="preserve">One </w:t>
      </w:r>
      <w:r>
        <w:rPr>
          <w:rFonts w:ascii="Times New Roman" w:hAnsi="Times New Roman" w:cs="Times New Roman"/>
          <w:sz w:val="24"/>
          <w:szCs w:val="24"/>
        </w:rPr>
        <w:t xml:space="preserve">Care program </w:t>
      </w:r>
      <w:r>
        <w:rPr>
          <w:rFonts w:ascii="Times New Roman" w:hAnsi="Times New Roman" w:cs="Times New Roman"/>
          <w:spacing w:val="-3"/>
          <w:sz w:val="24"/>
          <w:szCs w:val="24"/>
        </w:rPr>
        <w:t xml:space="preserve">should </w:t>
      </w:r>
      <w:r>
        <w:rPr>
          <w:rFonts w:ascii="Times New Roman" w:hAnsi="Times New Roman" w:cs="Times New Roman"/>
          <w:spacing w:val="-4"/>
          <w:sz w:val="24"/>
          <w:szCs w:val="24"/>
        </w:rPr>
        <w:t xml:space="preserve">ensure linkages </w:t>
      </w:r>
      <w:r>
        <w:rPr>
          <w:rFonts w:ascii="Times New Roman" w:hAnsi="Times New Roman" w:cs="Times New Roman"/>
          <w:sz w:val="24"/>
          <w:szCs w:val="24"/>
        </w:rPr>
        <w:t xml:space="preserve">with social services </w:t>
      </w:r>
      <w:r>
        <w:rPr>
          <w:rFonts w:ascii="Times New Roman" w:hAnsi="Times New Roman" w:cs="Times New Roman"/>
          <w:spacing w:val="-3"/>
          <w:sz w:val="24"/>
          <w:szCs w:val="24"/>
        </w:rPr>
        <w:t xml:space="preserve">organizations </w:t>
      </w:r>
      <w:r>
        <w:rPr>
          <w:rFonts w:ascii="Times New Roman" w:hAnsi="Times New Roman" w:cs="Times New Roman"/>
          <w:spacing w:val="-4"/>
          <w:sz w:val="24"/>
          <w:szCs w:val="24"/>
        </w:rPr>
        <w:t xml:space="preserve">and other community-based </w:t>
      </w:r>
      <w:r>
        <w:rPr>
          <w:rFonts w:ascii="Times New Roman" w:hAnsi="Times New Roman" w:cs="Times New Roman"/>
          <w:sz w:val="24"/>
          <w:szCs w:val="24"/>
        </w:rPr>
        <w:t xml:space="preserve">partners. </w:t>
      </w:r>
      <w:r>
        <w:rPr>
          <w:rFonts w:ascii="Times New Roman" w:hAnsi="Times New Roman" w:cs="Times New Roman"/>
          <w:spacing w:val="-6"/>
          <w:sz w:val="24"/>
          <w:szCs w:val="24"/>
        </w:rPr>
        <w:t xml:space="preserve">DSRIP </w:t>
      </w:r>
      <w:r>
        <w:rPr>
          <w:rFonts w:ascii="Times New Roman" w:hAnsi="Times New Roman" w:cs="Times New Roman"/>
          <w:spacing w:val="-5"/>
          <w:sz w:val="24"/>
          <w:szCs w:val="24"/>
        </w:rPr>
        <w:t xml:space="preserve">Funding </w:t>
      </w:r>
      <w:r>
        <w:rPr>
          <w:rFonts w:ascii="Times New Roman" w:hAnsi="Times New Roman" w:cs="Times New Roman"/>
          <w:spacing w:val="-3"/>
          <w:sz w:val="24"/>
          <w:szCs w:val="24"/>
        </w:rPr>
        <w:t xml:space="preserve">should </w:t>
      </w:r>
      <w:r>
        <w:rPr>
          <w:rFonts w:ascii="Times New Roman" w:hAnsi="Times New Roman" w:cs="Times New Roman"/>
          <w:sz w:val="24"/>
          <w:szCs w:val="24"/>
        </w:rPr>
        <w:t xml:space="preserve">be available </w:t>
      </w:r>
      <w:r>
        <w:rPr>
          <w:rFonts w:ascii="Times New Roman" w:hAnsi="Times New Roman" w:cs="Times New Roman"/>
          <w:spacing w:val="-3"/>
          <w:sz w:val="24"/>
          <w:szCs w:val="24"/>
        </w:rPr>
        <w:t xml:space="preserve">to </w:t>
      </w:r>
      <w:r>
        <w:rPr>
          <w:rFonts w:ascii="Times New Roman" w:hAnsi="Times New Roman" w:cs="Times New Roman"/>
          <w:sz w:val="24"/>
          <w:szCs w:val="24"/>
        </w:rPr>
        <w:t xml:space="preserve">support </w:t>
      </w:r>
      <w:r>
        <w:rPr>
          <w:rFonts w:ascii="Times New Roman" w:hAnsi="Times New Roman" w:cs="Times New Roman"/>
          <w:spacing w:val="-5"/>
          <w:sz w:val="24"/>
          <w:szCs w:val="24"/>
        </w:rPr>
        <w:t xml:space="preserve">these </w:t>
      </w:r>
      <w:r>
        <w:rPr>
          <w:rFonts w:ascii="Times New Roman" w:hAnsi="Times New Roman" w:cs="Times New Roman"/>
          <w:spacing w:val="-6"/>
          <w:sz w:val="24"/>
          <w:szCs w:val="24"/>
        </w:rPr>
        <w:t xml:space="preserve">community </w:t>
      </w:r>
      <w:r>
        <w:rPr>
          <w:rFonts w:ascii="Times New Roman" w:hAnsi="Times New Roman" w:cs="Times New Roman"/>
          <w:spacing w:val="-3"/>
          <w:sz w:val="24"/>
          <w:szCs w:val="24"/>
        </w:rPr>
        <w:t xml:space="preserve">partners </w:t>
      </w:r>
      <w:r>
        <w:rPr>
          <w:rFonts w:ascii="Times New Roman" w:hAnsi="Times New Roman" w:cs="Times New Roman"/>
          <w:sz w:val="24"/>
          <w:szCs w:val="24"/>
        </w:rPr>
        <w:t xml:space="preserve">to </w:t>
      </w:r>
      <w:r>
        <w:rPr>
          <w:rFonts w:ascii="Times New Roman" w:hAnsi="Times New Roman" w:cs="Times New Roman"/>
          <w:spacing w:val="-4"/>
          <w:sz w:val="24"/>
          <w:szCs w:val="24"/>
        </w:rPr>
        <w:t xml:space="preserve">promote </w:t>
      </w:r>
      <w:r>
        <w:rPr>
          <w:rFonts w:ascii="Times New Roman" w:hAnsi="Times New Roman" w:cs="Times New Roman"/>
          <w:sz w:val="24"/>
          <w:szCs w:val="24"/>
        </w:rPr>
        <w:t xml:space="preserve">population </w:t>
      </w:r>
      <w:r>
        <w:rPr>
          <w:rFonts w:ascii="Times New Roman" w:hAnsi="Times New Roman" w:cs="Times New Roman"/>
          <w:spacing w:val="-3"/>
          <w:sz w:val="24"/>
          <w:szCs w:val="24"/>
        </w:rPr>
        <w:t xml:space="preserve">health </w:t>
      </w:r>
      <w:r>
        <w:rPr>
          <w:rFonts w:ascii="Times New Roman" w:hAnsi="Times New Roman" w:cs="Times New Roman"/>
          <w:sz w:val="24"/>
          <w:szCs w:val="24"/>
        </w:rPr>
        <w:t xml:space="preserve">in </w:t>
      </w:r>
      <w:r>
        <w:rPr>
          <w:rFonts w:ascii="Times New Roman" w:hAnsi="Times New Roman" w:cs="Times New Roman"/>
          <w:spacing w:val="-3"/>
          <w:sz w:val="24"/>
          <w:szCs w:val="24"/>
        </w:rPr>
        <w:t xml:space="preserve">partnership </w:t>
      </w:r>
      <w:r>
        <w:rPr>
          <w:rFonts w:ascii="Times New Roman" w:hAnsi="Times New Roman" w:cs="Times New Roman"/>
          <w:sz w:val="24"/>
          <w:szCs w:val="24"/>
        </w:rPr>
        <w:t>with</w:t>
      </w:r>
      <w:r>
        <w:rPr>
          <w:rFonts w:ascii="Times New Roman" w:hAnsi="Times New Roman" w:cs="Times New Roman"/>
          <w:spacing w:val="22"/>
          <w:sz w:val="24"/>
          <w:szCs w:val="24"/>
        </w:rPr>
        <w:t xml:space="preserve"> </w:t>
      </w:r>
      <w:r>
        <w:rPr>
          <w:rFonts w:ascii="Times New Roman" w:hAnsi="Times New Roman" w:cs="Times New Roman"/>
          <w:spacing w:val="-3"/>
          <w:sz w:val="24"/>
          <w:szCs w:val="24"/>
        </w:rPr>
        <w:t>ACOs.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20" w:right="636"/>
        <w:rPr>
          <w:rFonts w:ascii="Times New Roman" w:hAnsi="Times New Roman" w:cs="Times New Roman"/>
          <w:sz w:val="24"/>
          <w:szCs w:val="24"/>
        </w:rPr>
      </w:pPr>
      <w:r>
        <w:rPr>
          <w:rFonts w:ascii="Times New Roman" w:hAnsi="Times New Roman" w:cs="Times New Roman"/>
          <w:sz w:val="24"/>
          <w:szCs w:val="24"/>
        </w:rPr>
        <w:t>HLA would welcome the opportunity to meet with MassHealth leadership to discuss case specifics and potential avenues to address these problems in the One Care program and new ACO models.</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3"/>
        <w:rPr>
          <w:rFonts w:ascii="Times New Roman" w:hAnsi="Times New Roman" w:cs="Times New Roman"/>
          <w:sz w:val="18"/>
          <w:szCs w:val="18"/>
        </w:rPr>
      </w:pPr>
    </w:p>
    <w:p w:rsidR="002C5025" w:rsidRDefault="002C5025">
      <w:pPr>
        <w:pStyle w:val="BodyText"/>
        <w:kinsoku w:val="0"/>
        <w:overflowPunct w:val="0"/>
        <w:spacing w:before="69"/>
        <w:ind w:right="107"/>
        <w:jc w:val="right"/>
        <w:rPr>
          <w:rFonts w:ascii="Times New Roman" w:hAnsi="Times New Roman" w:cs="Times New Roman"/>
          <w:sz w:val="24"/>
          <w:szCs w:val="24"/>
        </w:rPr>
      </w:pPr>
      <w:r>
        <w:rPr>
          <w:rFonts w:ascii="Times New Roman" w:hAnsi="Times New Roman" w:cs="Times New Roman"/>
          <w:sz w:val="24"/>
          <w:szCs w:val="24"/>
        </w:rPr>
        <w:t>6</w:t>
      </w:r>
    </w:p>
    <w:p w:rsidR="002C5025" w:rsidRDefault="002C5025">
      <w:pPr>
        <w:pStyle w:val="BodyText"/>
        <w:kinsoku w:val="0"/>
        <w:overflowPunct w:val="0"/>
        <w:spacing w:before="69"/>
        <w:ind w:right="107"/>
        <w:jc w:val="right"/>
        <w:rPr>
          <w:rFonts w:ascii="Times New Roman" w:hAnsi="Times New Roman" w:cs="Times New Roman"/>
          <w:sz w:val="24"/>
          <w:szCs w:val="24"/>
        </w:rPr>
        <w:sectPr w:rsidR="002C5025">
          <w:pgSz w:w="12240" w:h="15840"/>
          <w:pgMar w:top="940" w:right="1320" w:bottom="280" w:left="1320" w:header="720" w:footer="720" w:gutter="0"/>
          <w:cols w:space="720"/>
          <w:noEndnote/>
        </w:sectPr>
      </w:pPr>
    </w:p>
    <w:p w:rsidR="002C5025" w:rsidRDefault="002C5025">
      <w:pPr>
        <w:pStyle w:val="BodyText"/>
        <w:kinsoku w:val="0"/>
        <w:overflowPunct w:val="0"/>
        <w:spacing w:before="48"/>
        <w:ind w:left="120"/>
        <w:rPr>
          <w:rFonts w:ascii="Times New Roman" w:hAnsi="Times New Roman" w:cs="Times New Roman"/>
          <w:sz w:val="24"/>
          <w:szCs w:val="24"/>
        </w:rPr>
      </w:pPr>
      <w:r>
        <w:rPr>
          <w:rFonts w:ascii="Times New Roman" w:hAnsi="Times New Roman" w:cs="Times New Roman"/>
          <w:sz w:val="24"/>
          <w:szCs w:val="24"/>
          <w:u w:val="single"/>
        </w:rPr>
        <w:lastRenderedPageBreak/>
        <w:t>PCC Benefit Reductions  and the MCO Lock-In</w:t>
      </w:r>
      <w:r>
        <w:rPr>
          <w:rFonts w:ascii="Times New Roman" w:hAnsi="Times New Roman" w:cs="Times New Roman"/>
          <w:sz w:val="24"/>
          <w:szCs w:val="24"/>
        </w:rPr>
        <w:t>:</w:t>
      </w:r>
    </w:p>
    <w:p w:rsidR="002C5025" w:rsidRDefault="002C5025">
      <w:pPr>
        <w:pStyle w:val="BodyText"/>
        <w:kinsoku w:val="0"/>
        <w:overflowPunct w:val="0"/>
        <w:ind w:left="119" w:right="301"/>
        <w:rPr>
          <w:rFonts w:ascii="Times New Roman" w:hAnsi="Times New Roman" w:cs="Times New Roman"/>
          <w:spacing w:val="-3"/>
          <w:sz w:val="24"/>
          <w:szCs w:val="24"/>
        </w:rPr>
      </w:pPr>
      <w:r>
        <w:rPr>
          <w:rFonts w:ascii="Times New Roman" w:hAnsi="Times New Roman" w:cs="Times New Roman"/>
          <w:sz w:val="24"/>
          <w:szCs w:val="24"/>
        </w:rPr>
        <w:t xml:space="preserve">As previously </w:t>
      </w:r>
      <w:r>
        <w:rPr>
          <w:rFonts w:ascii="Times New Roman" w:hAnsi="Times New Roman" w:cs="Times New Roman"/>
          <w:spacing w:val="-3"/>
          <w:sz w:val="24"/>
          <w:szCs w:val="24"/>
        </w:rPr>
        <w:t xml:space="preserve">noted, </w:t>
      </w:r>
      <w:r>
        <w:rPr>
          <w:rFonts w:ascii="Times New Roman" w:hAnsi="Times New Roman" w:cs="Times New Roman"/>
          <w:sz w:val="24"/>
          <w:szCs w:val="24"/>
        </w:rPr>
        <w:t xml:space="preserve">while  </w:t>
      </w:r>
      <w:r>
        <w:rPr>
          <w:rFonts w:ascii="Times New Roman" w:hAnsi="Times New Roman" w:cs="Times New Roman"/>
          <w:spacing w:val="-3"/>
          <w:sz w:val="24"/>
          <w:szCs w:val="24"/>
        </w:rPr>
        <w:t xml:space="preserve">MassHealth </w:t>
      </w:r>
      <w:r>
        <w:rPr>
          <w:rFonts w:ascii="Times New Roman" w:hAnsi="Times New Roman" w:cs="Times New Roman"/>
          <w:sz w:val="24"/>
          <w:szCs w:val="24"/>
        </w:rPr>
        <w:t xml:space="preserve">works </w:t>
      </w:r>
      <w:r>
        <w:rPr>
          <w:rFonts w:ascii="Times New Roman" w:hAnsi="Times New Roman" w:cs="Times New Roman"/>
          <w:spacing w:val="-3"/>
          <w:sz w:val="24"/>
          <w:szCs w:val="24"/>
        </w:rPr>
        <w:t xml:space="preserve">to </w:t>
      </w:r>
      <w:r>
        <w:rPr>
          <w:rFonts w:ascii="Times New Roman" w:hAnsi="Times New Roman" w:cs="Times New Roman"/>
          <w:sz w:val="24"/>
          <w:szCs w:val="24"/>
        </w:rPr>
        <w:t xml:space="preserve">establish </w:t>
      </w:r>
      <w:r>
        <w:rPr>
          <w:rFonts w:ascii="Times New Roman" w:hAnsi="Times New Roman" w:cs="Times New Roman"/>
          <w:spacing w:val="-3"/>
          <w:sz w:val="24"/>
          <w:szCs w:val="24"/>
        </w:rPr>
        <w:t xml:space="preserve">ACOs, </w:t>
      </w:r>
      <w:r>
        <w:rPr>
          <w:rFonts w:ascii="Times New Roman" w:hAnsi="Times New Roman" w:cs="Times New Roman"/>
          <w:sz w:val="24"/>
          <w:szCs w:val="24"/>
        </w:rPr>
        <w:t xml:space="preserve">it is </w:t>
      </w:r>
      <w:r>
        <w:rPr>
          <w:rFonts w:ascii="Times New Roman" w:hAnsi="Times New Roman" w:cs="Times New Roman"/>
          <w:spacing w:val="-6"/>
          <w:sz w:val="24"/>
          <w:szCs w:val="24"/>
        </w:rPr>
        <w:t xml:space="preserve">HLA’s paramount </w:t>
      </w:r>
      <w:r>
        <w:rPr>
          <w:rFonts w:ascii="Times New Roman" w:hAnsi="Times New Roman" w:cs="Times New Roman"/>
          <w:sz w:val="24"/>
          <w:szCs w:val="24"/>
        </w:rPr>
        <w:t xml:space="preserve">concern </w:t>
      </w:r>
      <w:r>
        <w:rPr>
          <w:rFonts w:ascii="Times New Roman" w:hAnsi="Times New Roman" w:cs="Times New Roman"/>
          <w:spacing w:val="-4"/>
          <w:sz w:val="24"/>
          <w:szCs w:val="24"/>
        </w:rPr>
        <w:t xml:space="preserve">that </w:t>
      </w:r>
      <w:r>
        <w:rPr>
          <w:rFonts w:ascii="Times New Roman" w:hAnsi="Times New Roman" w:cs="Times New Roman"/>
          <w:spacing w:val="-5"/>
          <w:sz w:val="24"/>
          <w:szCs w:val="24"/>
        </w:rPr>
        <w:t xml:space="preserve">the rights </w:t>
      </w:r>
      <w:r>
        <w:rPr>
          <w:rFonts w:ascii="Times New Roman" w:hAnsi="Times New Roman" w:cs="Times New Roman"/>
          <w:sz w:val="24"/>
          <w:szCs w:val="24"/>
        </w:rPr>
        <w:t xml:space="preserve">of </w:t>
      </w:r>
      <w:r>
        <w:rPr>
          <w:rFonts w:ascii="Times New Roman" w:hAnsi="Times New Roman" w:cs="Times New Roman"/>
          <w:spacing w:val="-3"/>
          <w:sz w:val="24"/>
          <w:szCs w:val="24"/>
        </w:rPr>
        <w:t xml:space="preserve">MassHealth </w:t>
      </w:r>
      <w:r>
        <w:rPr>
          <w:rFonts w:ascii="Times New Roman" w:hAnsi="Times New Roman" w:cs="Times New Roman"/>
          <w:spacing w:val="-5"/>
          <w:sz w:val="24"/>
          <w:szCs w:val="24"/>
        </w:rPr>
        <w:t xml:space="preserve">members </w:t>
      </w:r>
      <w:r>
        <w:rPr>
          <w:rFonts w:ascii="Times New Roman" w:hAnsi="Times New Roman" w:cs="Times New Roman"/>
          <w:spacing w:val="-3"/>
          <w:sz w:val="24"/>
          <w:szCs w:val="24"/>
        </w:rPr>
        <w:t xml:space="preserve">not </w:t>
      </w:r>
      <w:r>
        <w:rPr>
          <w:rFonts w:ascii="Times New Roman" w:hAnsi="Times New Roman" w:cs="Times New Roman"/>
          <w:sz w:val="24"/>
          <w:szCs w:val="24"/>
        </w:rPr>
        <w:t xml:space="preserve">be </w:t>
      </w:r>
      <w:r>
        <w:rPr>
          <w:rFonts w:ascii="Times New Roman" w:hAnsi="Times New Roman" w:cs="Times New Roman"/>
          <w:spacing w:val="-3"/>
          <w:sz w:val="24"/>
          <w:szCs w:val="24"/>
        </w:rPr>
        <w:t xml:space="preserve">diminished </w:t>
      </w:r>
      <w:r>
        <w:rPr>
          <w:rFonts w:ascii="Times New Roman" w:hAnsi="Times New Roman" w:cs="Times New Roman"/>
          <w:sz w:val="24"/>
          <w:szCs w:val="24"/>
        </w:rPr>
        <w:t xml:space="preserve">or </w:t>
      </w:r>
      <w:r>
        <w:rPr>
          <w:rFonts w:ascii="Times New Roman" w:hAnsi="Times New Roman" w:cs="Times New Roman"/>
          <w:spacing w:val="-3"/>
          <w:sz w:val="24"/>
          <w:szCs w:val="24"/>
        </w:rPr>
        <w:t xml:space="preserve">impeded </w:t>
      </w:r>
      <w:r>
        <w:rPr>
          <w:rFonts w:ascii="Times New Roman" w:hAnsi="Times New Roman" w:cs="Times New Roman"/>
          <w:sz w:val="24"/>
          <w:szCs w:val="24"/>
        </w:rPr>
        <w:t xml:space="preserve">with </w:t>
      </w:r>
      <w:r>
        <w:rPr>
          <w:rFonts w:ascii="Times New Roman" w:hAnsi="Times New Roman" w:cs="Times New Roman"/>
          <w:spacing w:val="-8"/>
          <w:sz w:val="24"/>
          <w:szCs w:val="24"/>
        </w:rPr>
        <w:t xml:space="preserve">the </w:t>
      </w:r>
      <w:r>
        <w:rPr>
          <w:rFonts w:ascii="Times New Roman" w:hAnsi="Times New Roman" w:cs="Times New Roman"/>
          <w:spacing w:val="-5"/>
          <w:sz w:val="24"/>
          <w:szCs w:val="24"/>
        </w:rPr>
        <w:t xml:space="preserve">implementation </w:t>
      </w:r>
      <w:r>
        <w:rPr>
          <w:rFonts w:ascii="Times New Roman" w:hAnsi="Times New Roman" w:cs="Times New Roman"/>
          <w:sz w:val="24"/>
          <w:szCs w:val="24"/>
        </w:rPr>
        <w:t xml:space="preserve">of </w:t>
      </w:r>
      <w:r>
        <w:rPr>
          <w:rFonts w:ascii="Times New Roman" w:hAnsi="Times New Roman" w:cs="Times New Roman"/>
          <w:spacing w:val="-5"/>
          <w:sz w:val="24"/>
          <w:szCs w:val="24"/>
        </w:rPr>
        <w:t xml:space="preserve">the demonstration. </w:t>
      </w:r>
      <w:r>
        <w:rPr>
          <w:rFonts w:ascii="Times New Roman" w:hAnsi="Times New Roman" w:cs="Times New Roman"/>
          <w:sz w:val="24"/>
          <w:szCs w:val="24"/>
        </w:rPr>
        <w:t xml:space="preserve">MassHealth </w:t>
      </w:r>
      <w:r>
        <w:rPr>
          <w:rFonts w:ascii="Times New Roman" w:hAnsi="Times New Roman" w:cs="Times New Roman"/>
          <w:spacing w:val="-7"/>
          <w:sz w:val="24"/>
          <w:szCs w:val="24"/>
        </w:rPr>
        <w:t xml:space="preserve">must </w:t>
      </w:r>
      <w:r>
        <w:rPr>
          <w:rFonts w:ascii="Times New Roman" w:hAnsi="Times New Roman" w:cs="Times New Roman"/>
          <w:spacing w:val="-3"/>
          <w:sz w:val="24"/>
          <w:szCs w:val="24"/>
        </w:rPr>
        <w:t xml:space="preserve">ensure </w:t>
      </w:r>
      <w:r>
        <w:rPr>
          <w:rFonts w:ascii="Times New Roman" w:hAnsi="Times New Roman" w:cs="Times New Roman"/>
          <w:spacing w:val="-4"/>
          <w:sz w:val="24"/>
          <w:szCs w:val="24"/>
        </w:rPr>
        <w:t xml:space="preserve">that </w:t>
      </w:r>
      <w:r>
        <w:rPr>
          <w:rFonts w:ascii="Times New Roman" w:hAnsi="Times New Roman" w:cs="Times New Roman"/>
          <w:spacing w:val="-5"/>
          <w:sz w:val="24"/>
          <w:szCs w:val="24"/>
        </w:rPr>
        <w:t xml:space="preserve">consumer </w:t>
      </w:r>
      <w:r>
        <w:rPr>
          <w:rFonts w:ascii="Times New Roman" w:hAnsi="Times New Roman" w:cs="Times New Roman"/>
          <w:spacing w:val="-3"/>
          <w:sz w:val="24"/>
          <w:szCs w:val="24"/>
        </w:rPr>
        <w:t xml:space="preserve">protections </w:t>
      </w:r>
      <w:r>
        <w:rPr>
          <w:rFonts w:ascii="Times New Roman" w:hAnsi="Times New Roman" w:cs="Times New Roman"/>
          <w:sz w:val="24"/>
          <w:szCs w:val="24"/>
        </w:rPr>
        <w:t xml:space="preserve">are </w:t>
      </w:r>
      <w:r>
        <w:rPr>
          <w:rFonts w:ascii="Times New Roman" w:hAnsi="Times New Roman" w:cs="Times New Roman"/>
          <w:spacing w:val="-5"/>
          <w:sz w:val="24"/>
          <w:szCs w:val="24"/>
        </w:rPr>
        <w:t xml:space="preserve">not </w:t>
      </w:r>
      <w:r>
        <w:rPr>
          <w:rFonts w:ascii="Times New Roman" w:hAnsi="Times New Roman" w:cs="Times New Roman"/>
          <w:sz w:val="24"/>
          <w:szCs w:val="24"/>
        </w:rPr>
        <w:t xml:space="preserve">jeopardized, </w:t>
      </w:r>
      <w:r>
        <w:rPr>
          <w:rFonts w:ascii="Times New Roman" w:hAnsi="Times New Roman" w:cs="Times New Roman"/>
          <w:spacing w:val="-3"/>
          <w:sz w:val="24"/>
          <w:szCs w:val="24"/>
        </w:rPr>
        <w:t xml:space="preserve">and </w:t>
      </w:r>
      <w:r>
        <w:rPr>
          <w:rFonts w:ascii="Times New Roman" w:hAnsi="Times New Roman" w:cs="Times New Roman"/>
          <w:spacing w:val="-4"/>
          <w:sz w:val="24"/>
          <w:szCs w:val="24"/>
        </w:rPr>
        <w:t xml:space="preserve">that </w:t>
      </w:r>
      <w:r>
        <w:rPr>
          <w:rFonts w:ascii="Times New Roman" w:hAnsi="Times New Roman" w:cs="Times New Roman"/>
          <w:sz w:val="24"/>
          <w:szCs w:val="24"/>
        </w:rPr>
        <w:t xml:space="preserve">all </w:t>
      </w:r>
      <w:r>
        <w:rPr>
          <w:rFonts w:ascii="Times New Roman" w:hAnsi="Times New Roman" w:cs="Times New Roman"/>
          <w:spacing w:val="-5"/>
          <w:sz w:val="24"/>
          <w:szCs w:val="24"/>
        </w:rPr>
        <w:t xml:space="preserve">members  </w:t>
      </w:r>
      <w:r>
        <w:rPr>
          <w:rFonts w:ascii="Times New Roman" w:hAnsi="Times New Roman" w:cs="Times New Roman"/>
          <w:spacing w:val="-3"/>
          <w:sz w:val="24"/>
          <w:szCs w:val="24"/>
        </w:rPr>
        <w:t xml:space="preserve">have </w:t>
      </w:r>
      <w:r>
        <w:rPr>
          <w:rFonts w:ascii="Times New Roman" w:hAnsi="Times New Roman" w:cs="Times New Roman"/>
          <w:sz w:val="24"/>
          <w:szCs w:val="24"/>
        </w:rPr>
        <w:t xml:space="preserve">access </w:t>
      </w:r>
      <w:r>
        <w:rPr>
          <w:rFonts w:ascii="Times New Roman" w:hAnsi="Times New Roman" w:cs="Times New Roman"/>
          <w:spacing w:val="-3"/>
          <w:sz w:val="24"/>
          <w:szCs w:val="24"/>
        </w:rPr>
        <w:t xml:space="preserve">to </w:t>
      </w:r>
      <w:r>
        <w:rPr>
          <w:rFonts w:ascii="Times New Roman" w:hAnsi="Times New Roman" w:cs="Times New Roman"/>
          <w:sz w:val="24"/>
          <w:szCs w:val="24"/>
        </w:rPr>
        <w:t xml:space="preserve">care </w:t>
      </w:r>
      <w:r>
        <w:rPr>
          <w:rFonts w:ascii="Times New Roman" w:hAnsi="Times New Roman" w:cs="Times New Roman"/>
          <w:spacing w:val="-4"/>
          <w:sz w:val="24"/>
          <w:szCs w:val="24"/>
        </w:rPr>
        <w:t xml:space="preserve">and </w:t>
      </w:r>
      <w:r>
        <w:rPr>
          <w:rFonts w:ascii="Times New Roman" w:hAnsi="Times New Roman" w:cs="Times New Roman"/>
          <w:sz w:val="24"/>
          <w:szCs w:val="24"/>
        </w:rPr>
        <w:t xml:space="preserve">services </w:t>
      </w:r>
      <w:r>
        <w:rPr>
          <w:rFonts w:ascii="Times New Roman" w:hAnsi="Times New Roman" w:cs="Times New Roman"/>
          <w:spacing w:val="-4"/>
          <w:sz w:val="24"/>
          <w:szCs w:val="24"/>
        </w:rPr>
        <w:t xml:space="preserve">that </w:t>
      </w:r>
      <w:r>
        <w:rPr>
          <w:rFonts w:ascii="Times New Roman" w:hAnsi="Times New Roman" w:cs="Times New Roman"/>
          <w:spacing w:val="-5"/>
          <w:sz w:val="24"/>
          <w:szCs w:val="24"/>
        </w:rPr>
        <w:t xml:space="preserve">meet </w:t>
      </w:r>
      <w:r>
        <w:rPr>
          <w:rFonts w:ascii="Times New Roman" w:hAnsi="Times New Roman" w:cs="Times New Roman"/>
          <w:spacing w:val="-3"/>
          <w:sz w:val="24"/>
          <w:szCs w:val="24"/>
        </w:rPr>
        <w:t>their</w:t>
      </w:r>
      <w:r>
        <w:rPr>
          <w:rFonts w:ascii="Times New Roman" w:hAnsi="Times New Roman" w:cs="Times New Roman"/>
          <w:spacing w:val="53"/>
          <w:sz w:val="24"/>
          <w:szCs w:val="24"/>
        </w:rPr>
        <w:t xml:space="preserve"> </w:t>
      </w:r>
      <w:r>
        <w:rPr>
          <w:rFonts w:ascii="Times New Roman" w:hAnsi="Times New Roman" w:cs="Times New Roman"/>
          <w:spacing w:val="-3"/>
          <w:sz w:val="24"/>
          <w:szCs w:val="24"/>
        </w:rPr>
        <w:t>needs.</w:t>
      </w:r>
    </w:p>
    <w:p w:rsidR="002C5025" w:rsidRDefault="002C5025">
      <w:pPr>
        <w:pStyle w:val="BodyText"/>
        <w:kinsoku w:val="0"/>
        <w:overflowPunct w:val="0"/>
        <w:rPr>
          <w:rFonts w:ascii="Times New Roman" w:hAnsi="Times New Roman" w:cs="Times New Roman"/>
          <w:sz w:val="25"/>
          <w:szCs w:val="25"/>
        </w:rPr>
      </w:pPr>
    </w:p>
    <w:p w:rsidR="002C5025" w:rsidRDefault="002C5025">
      <w:pPr>
        <w:pStyle w:val="BodyText"/>
        <w:kinsoku w:val="0"/>
        <w:overflowPunct w:val="0"/>
        <w:ind w:left="119" w:right="301"/>
        <w:rPr>
          <w:rFonts w:ascii="Times New Roman" w:hAnsi="Times New Roman" w:cs="Times New Roman"/>
          <w:spacing w:val="-5"/>
          <w:sz w:val="24"/>
          <w:szCs w:val="24"/>
        </w:rPr>
      </w:pPr>
      <w:r>
        <w:rPr>
          <w:rFonts w:ascii="Times New Roman" w:hAnsi="Times New Roman" w:cs="Times New Roman"/>
          <w:sz w:val="24"/>
          <w:szCs w:val="24"/>
        </w:rPr>
        <w:t xml:space="preserve">As </w:t>
      </w:r>
      <w:r>
        <w:rPr>
          <w:rFonts w:ascii="Times New Roman" w:hAnsi="Times New Roman" w:cs="Times New Roman"/>
          <w:spacing w:val="-4"/>
          <w:sz w:val="24"/>
          <w:szCs w:val="24"/>
        </w:rPr>
        <w:t xml:space="preserve">other </w:t>
      </w:r>
      <w:r>
        <w:rPr>
          <w:rFonts w:ascii="Times New Roman" w:hAnsi="Times New Roman" w:cs="Times New Roman"/>
          <w:spacing w:val="-3"/>
          <w:sz w:val="24"/>
          <w:szCs w:val="24"/>
        </w:rPr>
        <w:t xml:space="preserve">organizations have </w:t>
      </w:r>
      <w:r>
        <w:rPr>
          <w:rFonts w:ascii="Times New Roman" w:hAnsi="Times New Roman" w:cs="Times New Roman"/>
          <w:spacing w:val="-7"/>
          <w:sz w:val="24"/>
          <w:szCs w:val="24"/>
        </w:rPr>
        <w:t xml:space="preserve">commented, </w:t>
      </w:r>
      <w:r>
        <w:rPr>
          <w:rFonts w:ascii="Times New Roman" w:hAnsi="Times New Roman" w:cs="Times New Roman"/>
          <w:spacing w:val="-6"/>
          <w:sz w:val="24"/>
          <w:szCs w:val="24"/>
        </w:rPr>
        <w:t xml:space="preserve">HLA </w:t>
      </w:r>
      <w:r>
        <w:rPr>
          <w:rFonts w:ascii="Times New Roman" w:hAnsi="Times New Roman" w:cs="Times New Roman"/>
          <w:sz w:val="24"/>
          <w:szCs w:val="24"/>
        </w:rPr>
        <w:t xml:space="preserve">is particularly </w:t>
      </w:r>
      <w:r>
        <w:rPr>
          <w:rFonts w:ascii="Times New Roman" w:hAnsi="Times New Roman" w:cs="Times New Roman"/>
          <w:spacing w:val="-3"/>
          <w:sz w:val="24"/>
          <w:szCs w:val="24"/>
        </w:rPr>
        <w:t xml:space="preserve">concerned about </w:t>
      </w:r>
      <w:r>
        <w:rPr>
          <w:rFonts w:ascii="Times New Roman" w:hAnsi="Times New Roman" w:cs="Times New Roman"/>
          <w:sz w:val="24"/>
          <w:szCs w:val="24"/>
        </w:rPr>
        <w:t xml:space="preserve">proposed </w:t>
      </w:r>
      <w:r>
        <w:rPr>
          <w:rFonts w:ascii="Times New Roman" w:hAnsi="Times New Roman" w:cs="Times New Roman"/>
          <w:spacing w:val="-6"/>
          <w:sz w:val="24"/>
          <w:szCs w:val="24"/>
        </w:rPr>
        <w:t xml:space="preserve">changes </w:t>
      </w:r>
      <w:r>
        <w:rPr>
          <w:rFonts w:ascii="Times New Roman" w:hAnsi="Times New Roman" w:cs="Times New Roman"/>
          <w:sz w:val="24"/>
          <w:szCs w:val="24"/>
        </w:rPr>
        <w:t xml:space="preserve">related </w:t>
      </w:r>
      <w:r>
        <w:rPr>
          <w:rFonts w:ascii="Times New Roman" w:hAnsi="Times New Roman" w:cs="Times New Roman"/>
          <w:spacing w:val="-3"/>
          <w:sz w:val="24"/>
          <w:szCs w:val="24"/>
        </w:rPr>
        <w:t xml:space="preserve">to </w:t>
      </w:r>
      <w:r>
        <w:rPr>
          <w:rFonts w:ascii="Times New Roman" w:hAnsi="Times New Roman" w:cs="Times New Roman"/>
          <w:spacing w:val="-4"/>
          <w:sz w:val="24"/>
          <w:szCs w:val="24"/>
        </w:rPr>
        <w:t xml:space="preserve">the </w:t>
      </w:r>
      <w:r>
        <w:rPr>
          <w:rFonts w:ascii="Times New Roman" w:hAnsi="Times New Roman" w:cs="Times New Roman"/>
          <w:sz w:val="24"/>
          <w:szCs w:val="24"/>
        </w:rPr>
        <w:t xml:space="preserve">Primary Care Clinician (PCC) plan </w:t>
      </w:r>
      <w:r>
        <w:rPr>
          <w:rFonts w:ascii="Times New Roman" w:hAnsi="Times New Roman" w:cs="Times New Roman"/>
          <w:spacing w:val="-3"/>
          <w:sz w:val="24"/>
          <w:szCs w:val="24"/>
        </w:rPr>
        <w:t xml:space="preserve">and </w:t>
      </w:r>
      <w:r>
        <w:rPr>
          <w:rFonts w:ascii="Times New Roman" w:hAnsi="Times New Roman" w:cs="Times New Roman"/>
          <w:spacing w:val="-5"/>
          <w:sz w:val="24"/>
          <w:szCs w:val="24"/>
        </w:rPr>
        <w:t xml:space="preserve">Managed </w:t>
      </w:r>
      <w:r>
        <w:rPr>
          <w:rFonts w:ascii="Times New Roman" w:hAnsi="Times New Roman" w:cs="Times New Roman"/>
          <w:sz w:val="24"/>
          <w:szCs w:val="24"/>
        </w:rPr>
        <w:t xml:space="preserve">Care </w:t>
      </w:r>
      <w:r>
        <w:rPr>
          <w:rFonts w:ascii="Times New Roman" w:hAnsi="Times New Roman" w:cs="Times New Roman"/>
          <w:spacing w:val="-5"/>
          <w:sz w:val="24"/>
          <w:szCs w:val="24"/>
        </w:rPr>
        <w:t xml:space="preserve">Organizations </w:t>
      </w:r>
      <w:r>
        <w:rPr>
          <w:rFonts w:ascii="Times New Roman" w:hAnsi="Times New Roman" w:cs="Times New Roman"/>
          <w:spacing w:val="-3"/>
          <w:sz w:val="24"/>
          <w:szCs w:val="24"/>
        </w:rPr>
        <w:t xml:space="preserve">(MCOs) </w:t>
      </w:r>
      <w:r>
        <w:rPr>
          <w:rFonts w:ascii="Times New Roman" w:hAnsi="Times New Roman" w:cs="Times New Roman"/>
          <w:sz w:val="24"/>
          <w:szCs w:val="24"/>
        </w:rPr>
        <w:t xml:space="preserve">which </w:t>
      </w:r>
      <w:r>
        <w:rPr>
          <w:rFonts w:ascii="Times New Roman" w:hAnsi="Times New Roman" w:cs="Times New Roman"/>
          <w:spacing w:val="2"/>
          <w:sz w:val="24"/>
          <w:szCs w:val="24"/>
        </w:rPr>
        <w:t xml:space="preserve">will </w:t>
      </w:r>
      <w:r>
        <w:rPr>
          <w:rFonts w:ascii="Times New Roman" w:hAnsi="Times New Roman" w:cs="Times New Roman"/>
          <w:sz w:val="24"/>
          <w:szCs w:val="24"/>
        </w:rPr>
        <w:t xml:space="preserve">likely restrict access </w:t>
      </w:r>
      <w:r>
        <w:rPr>
          <w:rFonts w:ascii="Times New Roman" w:hAnsi="Times New Roman" w:cs="Times New Roman"/>
          <w:spacing w:val="-3"/>
          <w:sz w:val="24"/>
          <w:szCs w:val="24"/>
        </w:rPr>
        <w:t xml:space="preserve">to </w:t>
      </w:r>
      <w:r>
        <w:rPr>
          <w:rFonts w:ascii="Times New Roman" w:hAnsi="Times New Roman" w:cs="Times New Roman"/>
          <w:sz w:val="24"/>
          <w:szCs w:val="24"/>
        </w:rPr>
        <w:t xml:space="preserve">care. </w:t>
      </w:r>
      <w:r>
        <w:rPr>
          <w:rFonts w:ascii="Times New Roman" w:hAnsi="Times New Roman" w:cs="Times New Roman"/>
          <w:spacing w:val="-6"/>
          <w:sz w:val="24"/>
          <w:szCs w:val="24"/>
        </w:rPr>
        <w:t xml:space="preserve">Though </w:t>
      </w:r>
      <w:r>
        <w:rPr>
          <w:rFonts w:ascii="Times New Roman" w:hAnsi="Times New Roman" w:cs="Times New Roman"/>
          <w:sz w:val="24"/>
          <w:szCs w:val="24"/>
        </w:rPr>
        <w:t xml:space="preserve">we </w:t>
      </w:r>
      <w:r>
        <w:rPr>
          <w:rFonts w:ascii="Times New Roman" w:hAnsi="Times New Roman" w:cs="Times New Roman"/>
          <w:spacing w:val="-4"/>
          <w:sz w:val="24"/>
          <w:szCs w:val="24"/>
        </w:rPr>
        <w:t xml:space="preserve">understand that </w:t>
      </w:r>
      <w:r>
        <w:rPr>
          <w:rFonts w:ascii="Times New Roman" w:hAnsi="Times New Roman" w:cs="Times New Roman"/>
          <w:spacing w:val="-3"/>
          <w:sz w:val="24"/>
          <w:szCs w:val="24"/>
        </w:rPr>
        <w:t xml:space="preserve">MassHealth seeks </w:t>
      </w:r>
      <w:r>
        <w:rPr>
          <w:rFonts w:ascii="Times New Roman" w:hAnsi="Times New Roman" w:cs="Times New Roman"/>
          <w:sz w:val="24"/>
          <w:szCs w:val="24"/>
        </w:rPr>
        <w:t xml:space="preserve">to </w:t>
      </w:r>
      <w:r>
        <w:rPr>
          <w:rFonts w:ascii="Times New Roman" w:hAnsi="Times New Roman" w:cs="Times New Roman"/>
          <w:spacing w:val="-4"/>
          <w:sz w:val="24"/>
          <w:szCs w:val="24"/>
        </w:rPr>
        <w:t xml:space="preserve">encourage MCO and </w:t>
      </w:r>
      <w:r>
        <w:rPr>
          <w:rFonts w:ascii="Times New Roman" w:hAnsi="Times New Roman" w:cs="Times New Roman"/>
          <w:spacing w:val="-3"/>
          <w:sz w:val="24"/>
          <w:szCs w:val="24"/>
        </w:rPr>
        <w:t xml:space="preserve">ACO </w:t>
      </w:r>
      <w:r>
        <w:rPr>
          <w:rFonts w:ascii="Times New Roman" w:hAnsi="Times New Roman" w:cs="Times New Roman"/>
          <w:spacing w:val="-5"/>
          <w:sz w:val="24"/>
          <w:szCs w:val="24"/>
        </w:rPr>
        <w:t xml:space="preserve">enrollment, </w:t>
      </w:r>
      <w:r>
        <w:rPr>
          <w:rFonts w:ascii="Times New Roman" w:hAnsi="Times New Roman" w:cs="Times New Roman"/>
          <w:sz w:val="24"/>
          <w:szCs w:val="24"/>
        </w:rPr>
        <w:t xml:space="preserve">we believe </w:t>
      </w:r>
      <w:r>
        <w:rPr>
          <w:rFonts w:ascii="Times New Roman" w:hAnsi="Times New Roman" w:cs="Times New Roman"/>
          <w:spacing w:val="-5"/>
          <w:sz w:val="24"/>
          <w:szCs w:val="24"/>
        </w:rPr>
        <w:t xml:space="preserve">the </w:t>
      </w:r>
      <w:r>
        <w:rPr>
          <w:rFonts w:ascii="Times New Roman" w:hAnsi="Times New Roman" w:cs="Times New Roman"/>
          <w:sz w:val="24"/>
          <w:szCs w:val="24"/>
        </w:rPr>
        <w:t xml:space="preserve">proposed policy </w:t>
      </w:r>
      <w:r>
        <w:rPr>
          <w:rFonts w:ascii="Times New Roman" w:hAnsi="Times New Roman" w:cs="Times New Roman"/>
          <w:spacing w:val="-5"/>
          <w:sz w:val="24"/>
          <w:szCs w:val="24"/>
        </w:rPr>
        <w:t xml:space="preserve">changes </w:t>
      </w:r>
      <w:r>
        <w:rPr>
          <w:rFonts w:ascii="Times New Roman" w:hAnsi="Times New Roman" w:cs="Times New Roman"/>
          <w:sz w:val="24"/>
          <w:szCs w:val="24"/>
        </w:rPr>
        <w:t xml:space="preserve">– </w:t>
      </w:r>
      <w:r>
        <w:rPr>
          <w:rFonts w:ascii="Times New Roman" w:hAnsi="Times New Roman" w:cs="Times New Roman"/>
          <w:spacing w:val="-3"/>
          <w:sz w:val="24"/>
          <w:szCs w:val="24"/>
        </w:rPr>
        <w:t xml:space="preserve">reducing </w:t>
      </w:r>
      <w:r>
        <w:rPr>
          <w:rFonts w:ascii="Times New Roman" w:hAnsi="Times New Roman" w:cs="Times New Roman"/>
          <w:spacing w:val="-2"/>
          <w:sz w:val="24"/>
          <w:szCs w:val="24"/>
        </w:rPr>
        <w:t xml:space="preserve">PCC </w:t>
      </w:r>
      <w:r>
        <w:rPr>
          <w:rFonts w:ascii="Times New Roman" w:hAnsi="Times New Roman" w:cs="Times New Roman"/>
          <w:sz w:val="24"/>
          <w:szCs w:val="24"/>
        </w:rPr>
        <w:t xml:space="preserve">plan </w:t>
      </w:r>
      <w:r>
        <w:rPr>
          <w:rFonts w:ascii="Times New Roman" w:hAnsi="Times New Roman" w:cs="Times New Roman"/>
          <w:spacing w:val="-3"/>
          <w:sz w:val="24"/>
          <w:szCs w:val="24"/>
        </w:rPr>
        <w:t xml:space="preserve">benefits  </w:t>
      </w:r>
      <w:r>
        <w:rPr>
          <w:rFonts w:ascii="Times New Roman" w:hAnsi="Times New Roman" w:cs="Times New Roman"/>
          <w:spacing w:val="-4"/>
          <w:sz w:val="24"/>
          <w:szCs w:val="24"/>
        </w:rPr>
        <w:t xml:space="preserve">and </w:t>
      </w:r>
      <w:r>
        <w:rPr>
          <w:rFonts w:ascii="Times New Roman" w:hAnsi="Times New Roman" w:cs="Times New Roman"/>
          <w:sz w:val="24"/>
          <w:szCs w:val="24"/>
        </w:rPr>
        <w:t xml:space="preserve">increasing </w:t>
      </w:r>
      <w:r>
        <w:rPr>
          <w:rFonts w:ascii="Times New Roman" w:hAnsi="Times New Roman" w:cs="Times New Roman"/>
          <w:spacing w:val="-6"/>
          <w:sz w:val="24"/>
          <w:szCs w:val="24"/>
        </w:rPr>
        <w:t xml:space="preserve">member </w:t>
      </w:r>
      <w:r>
        <w:rPr>
          <w:rFonts w:ascii="Times New Roman" w:hAnsi="Times New Roman" w:cs="Times New Roman"/>
          <w:sz w:val="24"/>
          <w:szCs w:val="24"/>
        </w:rPr>
        <w:t xml:space="preserve">cost-sharing – </w:t>
      </w:r>
      <w:r>
        <w:rPr>
          <w:rFonts w:ascii="Times New Roman" w:hAnsi="Times New Roman" w:cs="Times New Roman"/>
          <w:spacing w:val="2"/>
          <w:sz w:val="24"/>
          <w:szCs w:val="24"/>
        </w:rPr>
        <w:t xml:space="preserve">will </w:t>
      </w:r>
      <w:r>
        <w:rPr>
          <w:rFonts w:ascii="Times New Roman" w:hAnsi="Times New Roman" w:cs="Times New Roman"/>
          <w:spacing w:val="-3"/>
          <w:sz w:val="24"/>
          <w:szCs w:val="24"/>
        </w:rPr>
        <w:t xml:space="preserve">impose </w:t>
      </w:r>
      <w:r>
        <w:rPr>
          <w:rFonts w:ascii="Times New Roman" w:hAnsi="Times New Roman" w:cs="Times New Roman"/>
          <w:sz w:val="24"/>
          <w:szCs w:val="24"/>
        </w:rPr>
        <w:t xml:space="preserve">barriers </w:t>
      </w:r>
      <w:r>
        <w:rPr>
          <w:rFonts w:ascii="Times New Roman" w:hAnsi="Times New Roman" w:cs="Times New Roman"/>
          <w:spacing w:val="-3"/>
          <w:sz w:val="24"/>
          <w:szCs w:val="24"/>
        </w:rPr>
        <w:t xml:space="preserve">to </w:t>
      </w:r>
      <w:r>
        <w:rPr>
          <w:rFonts w:ascii="Times New Roman" w:hAnsi="Times New Roman" w:cs="Times New Roman"/>
          <w:sz w:val="24"/>
          <w:szCs w:val="24"/>
        </w:rPr>
        <w:t xml:space="preserve">care </w:t>
      </w:r>
      <w:r>
        <w:rPr>
          <w:rFonts w:ascii="Times New Roman" w:hAnsi="Times New Roman" w:cs="Times New Roman"/>
          <w:spacing w:val="-5"/>
          <w:sz w:val="24"/>
          <w:szCs w:val="24"/>
        </w:rPr>
        <w:t>and</w:t>
      </w:r>
    </w:p>
    <w:p w:rsidR="002C5025" w:rsidRDefault="002C5025">
      <w:pPr>
        <w:pStyle w:val="BodyText"/>
        <w:kinsoku w:val="0"/>
        <w:overflowPunct w:val="0"/>
        <w:ind w:left="119"/>
        <w:rPr>
          <w:rFonts w:ascii="Times New Roman" w:hAnsi="Times New Roman" w:cs="Times New Roman"/>
          <w:sz w:val="24"/>
          <w:szCs w:val="24"/>
        </w:rPr>
      </w:pPr>
      <w:r>
        <w:rPr>
          <w:rFonts w:ascii="Times New Roman" w:hAnsi="Times New Roman" w:cs="Times New Roman"/>
          <w:sz w:val="24"/>
          <w:szCs w:val="24"/>
        </w:rPr>
        <w:t>unduly  penalize members  who choose to remain in the PCC plan.</w:t>
      </w:r>
    </w:p>
    <w:p w:rsidR="002C5025" w:rsidRDefault="002C5025">
      <w:pPr>
        <w:pStyle w:val="BodyText"/>
        <w:kinsoku w:val="0"/>
        <w:overflowPunct w:val="0"/>
        <w:spacing w:before="1"/>
        <w:rPr>
          <w:rFonts w:ascii="Times New Roman" w:hAnsi="Times New Roman" w:cs="Times New Roman"/>
          <w:sz w:val="26"/>
          <w:szCs w:val="26"/>
        </w:rPr>
      </w:pPr>
    </w:p>
    <w:p w:rsidR="002C5025" w:rsidRDefault="002C5025">
      <w:pPr>
        <w:pStyle w:val="BodyText"/>
        <w:kinsoku w:val="0"/>
        <w:overflowPunct w:val="0"/>
        <w:ind w:left="120" w:right="702"/>
        <w:rPr>
          <w:rFonts w:ascii="Times New Roman" w:hAnsi="Times New Roman" w:cs="Times New Roman"/>
          <w:sz w:val="24"/>
          <w:szCs w:val="24"/>
        </w:rPr>
      </w:pPr>
      <w:r>
        <w:rPr>
          <w:rFonts w:ascii="Times New Roman" w:hAnsi="Times New Roman" w:cs="Times New Roman"/>
          <w:sz w:val="24"/>
          <w:szCs w:val="24"/>
        </w:rPr>
        <w:t>Specifically, HLA opposes the following changes proposed under the Section 1115 Waiver request:</w:t>
      </w:r>
    </w:p>
    <w:p w:rsidR="002C5025" w:rsidRDefault="002C5025">
      <w:pPr>
        <w:pStyle w:val="ListParagraph"/>
        <w:numPr>
          <w:ilvl w:val="0"/>
          <w:numId w:val="10"/>
        </w:numPr>
        <w:tabs>
          <w:tab w:val="left" w:pos="843"/>
        </w:tabs>
        <w:kinsoku w:val="0"/>
        <w:overflowPunct w:val="0"/>
        <w:spacing w:before="44" w:line="264" w:lineRule="exact"/>
        <w:ind w:right="591" w:hanging="362"/>
        <w:rPr>
          <w:spacing w:val="-3"/>
        </w:rPr>
      </w:pPr>
      <w:r>
        <w:rPr>
          <w:spacing w:val="-3"/>
        </w:rPr>
        <w:t xml:space="preserve">Elimination </w:t>
      </w:r>
      <w:r>
        <w:t xml:space="preserve">of chiropractic services, eyeglasses, </w:t>
      </w:r>
      <w:r>
        <w:rPr>
          <w:spacing w:val="-3"/>
        </w:rPr>
        <w:t xml:space="preserve">hearing </w:t>
      </w:r>
      <w:r>
        <w:t xml:space="preserve">aids, </w:t>
      </w:r>
      <w:r>
        <w:rPr>
          <w:spacing w:val="-2"/>
        </w:rPr>
        <w:t xml:space="preserve">orthotics </w:t>
      </w:r>
      <w:r>
        <w:rPr>
          <w:spacing w:val="-3"/>
        </w:rPr>
        <w:t xml:space="preserve">and </w:t>
      </w:r>
      <w:r>
        <w:rPr>
          <w:spacing w:val="-4"/>
        </w:rPr>
        <w:t xml:space="preserve">other </w:t>
      </w:r>
      <w:r>
        <w:rPr>
          <w:spacing w:val="-3"/>
        </w:rPr>
        <w:t xml:space="preserve">state </w:t>
      </w:r>
      <w:r>
        <w:t xml:space="preserve">plan services available </w:t>
      </w:r>
      <w:r>
        <w:rPr>
          <w:spacing w:val="-6"/>
        </w:rPr>
        <w:t xml:space="preserve">under </w:t>
      </w:r>
      <w:r>
        <w:rPr>
          <w:spacing w:val="-5"/>
        </w:rPr>
        <w:t xml:space="preserve">the </w:t>
      </w:r>
      <w:r>
        <w:t>PCC</w:t>
      </w:r>
      <w:r>
        <w:rPr>
          <w:spacing w:val="-8"/>
        </w:rPr>
        <w:t xml:space="preserve"> </w:t>
      </w:r>
      <w:r>
        <w:rPr>
          <w:spacing w:val="-3"/>
        </w:rPr>
        <w:t>plan;</w:t>
      </w:r>
    </w:p>
    <w:p w:rsidR="002C5025" w:rsidRDefault="002C5025">
      <w:pPr>
        <w:pStyle w:val="ListParagraph"/>
        <w:numPr>
          <w:ilvl w:val="0"/>
          <w:numId w:val="10"/>
        </w:numPr>
        <w:tabs>
          <w:tab w:val="left" w:pos="843"/>
        </w:tabs>
        <w:kinsoku w:val="0"/>
        <w:overflowPunct w:val="0"/>
        <w:spacing w:before="1"/>
        <w:ind w:hanging="362"/>
        <w:rPr>
          <w:spacing w:val="-5"/>
        </w:rPr>
      </w:pPr>
      <w:r>
        <w:rPr>
          <w:spacing w:val="-3"/>
        </w:rPr>
        <w:t xml:space="preserve">Increasing </w:t>
      </w:r>
      <w:r>
        <w:t xml:space="preserve">co-pays </w:t>
      </w:r>
      <w:r>
        <w:rPr>
          <w:spacing w:val="-3"/>
        </w:rPr>
        <w:t xml:space="preserve">for </w:t>
      </w:r>
      <w:r>
        <w:t>PCC</w:t>
      </w:r>
      <w:r>
        <w:rPr>
          <w:spacing w:val="15"/>
        </w:rPr>
        <w:t xml:space="preserve"> </w:t>
      </w:r>
      <w:r>
        <w:rPr>
          <w:spacing w:val="-5"/>
        </w:rPr>
        <w:t>members;</w:t>
      </w:r>
    </w:p>
    <w:p w:rsidR="002C5025" w:rsidRDefault="002C5025">
      <w:pPr>
        <w:pStyle w:val="ListParagraph"/>
        <w:numPr>
          <w:ilvl w:val="0"/>
          <w:numId w:val="10"/>
        </w:numPr>
        <w:tabs>
          <w:tab w:val="left" w:pos="843"/>
        </w:tabs>
        <w:kinsoku w:val="0"/>
        <w:overflowPunct w:val="0"/>
        <w:spacing w:before="1" w:line="293" w:lineRule="exact"/>
        <w:ind w:hanging="362"/>
      </w:pPr>
      <w:r>
        <w:rPr>
          <w:spacing w:val="-5"/>
        </w:rPr>
        <w:t xml:space="preserve">Expanding </w:t>
      </w:r>
      <w:r>
        <w:t xml:space="preserve">of </w:t>
      </w:r>
      <w:r>
        <w:rPr>
          <w:spacing w:val="-5"/>
        </w:rPr>
        <w:t xml:space="preserve">the </w:t>
      </w:r>
      <w:r>
        <w:t xml:space="preserve">list of services </w:t>
      </w:r>
      <w:r>
        <w:rPr>
          <w:spacing w:val="-3"/>
        </w:rPr>
        <w:t xml:space="preserve">to </w:t>
      </w:r>
      <w:r>
        <w:t>which co-pays</w:t>
      </w:r>
      <w:r>
        <w:rPr>
          <w:spacing w:val="9"/>
        </w:rPr>
        <w:t xml:space="preserve"> </w:t>
      </w:r>
      <w:r>
        <w:t>apply;</w:t>
      </w:r>
    </w:p>
    <w:p w:rsidR="002C5025" w:rsidRDefault="002C5025">
      <w:pPr>
        <w:pStyle w:val="ListParagraph"/>
        <w:numPr>
          <w:ilvl w:val="0"/>
          <w:numId w:val="10"/>
        </w:numPr>
        <w:tabs>
          <w:tab w:val="left" w:pos="843"/>
        </w:tabs>
        <w:kinsoku w:val="0"/>
        <w:overflowPunct w:val="0"/>
        <w:spacing w:line="293" w:lineRule="exact"/>
        <w:ind w:hanging="362"/>
        <w:rPr>
          <w:spacing w:val="-5"/>
        </w:rPr>
      </w:pPr>
      <w:r>
        <w:t xml:space="preserve">Potentially increasing </w:t>
      </w:r>
      <w:r>
        <w:rPr>
          <w:spacing w:val="-6"/>
        </w:rPr>
        <w:t xml:space="preserve">premiums </w:t>
      </w:r>
      <w:r>
        <w:rPr>
          <w:spacing w:val="-3"/>
        </w:rPr>
        <w:t xml:space="preserve">for </w:t>
      </w:r>
      <w:r>
        <w:t xml:space="preserve">enrollees with </w:t>
      </w:r>
      <w:r>
        <w:rPr>
          <w:spacing w:val="-3"/>
        </w:rPr>
        <w:t xml:space="preserve">incomes </w:t>
      </w:r>
      <w:r>
        <w:t xml:space="preserve">at or above 150% </w:t>
      </w:r>
      <w:r>
        <w:rPr>
          <w:spacing w:val="-5"/>
        </w:rPr>
        <w:t>FPL;</w:t>
      </w:r>
      <w:r>
        <w:rPr>
          <w:spacing w:val="7"/>
        </w:rPr>
        <w:t xml:space="preserve"> </w:t>
      </w:r>
      <w:r>
        <w:rPr>
          <w:spacing w:val="-5"/>
        </w:rPr>
        <w:t>and</w:t>
      </w:r>
    </w:p>
    <w:p w:rsidR="002C5025" w:rsidRDefault="002C5025">
      <w:pPr>
        <w:pStyle w:val="ListParagraph"/>
        <w:numPr>
          <w:ilvl w:val="0"/>
          <w:numId w:val="10"/>
        </w:numPr>
        <w:tabs>
          <w:tab w:val="left" w:pos="843"/>
        </w:tabs>
        <w:kinsoku w:val="0"/>
        <w:overflowPunct w:val="0"/>
        <w:spacing w:before="3"/>
        <w:ind w:hanging="362"/>
      </w:pPr>
      <w:r>
        <w:rPr>
          <w:spacing w:val="-5"/>
        </w:rPr>
        <w:t xml:space="preserve">Imposing </w:t>
      </w:r>
      <w:r>
        <w:t xml:space="preserve">a </w:t>
      </w:r>
      <w:r>
        <w:rPr>
          <w:spacing w:val="-5"/>
        </w:rPr>
        <w:t xml:space="preserve">12-month  </w:t>
      </w:r>
      <w:r>
        <w:t xml:space="preserve">lock-in period </w:t>
      </w:r>
      <w:r>
        <w:rPr>
          <w:spacing w:val="-3"/>
        </w:rPr>
        <w:t xml:space="preserve">for </w:t>
      </w:r>
      <w:r>
        <w:rPr>
          <w:spacing w:val="-4"/>
        </w:rPr>
        <w:t>MCO</w:t>
      </w:r>
      <w:r>
        <w:rPr>
          <w:spacing w:val="-1"/>
        </w:rPr>
        <w:t xml:space="preserve"> </w:t>
      </w:r>
      <w:r>
        <w:t>enrollees.</w:t>
      </w:r>
    </w:p>
    <w:p w:rsidR="002C5025" w:rsidRDefault="002C5025">
      <w:pPr>
        <w:pStyle w:val="BodyText"/>
        <w:kinsoku w:val="0"/>
        <w:overflowPunct w:val="0"/>
        <w:spacing w:before="10"/>
        <w:rPr>
          <w:rFonts w:ascii="Times New Roman" w:hAnsi="Times New Roman" w:cs="Times New Roman"/>
        </w:rPr>
      </w:pPr>
    </w:p>
    <w:p w:rsidR="002C5025" w:rsidRDefault="002C5025">
      <w:pPr>
        <w:pStyle w:val="BodyText"/>
        <w:kinsoku w:val="0"/>
        <w:overflowPunct w:val="0"/>
        <w:ind w:left="119" w:right="396"/>
        <w:rPr>
          <w:rFonts w:ascii="Times New Roman" w:hAnsi="Times New Roman" w:cs="Times New Roman"/>
          <w:spacing w:val="-3"/>
          <w:sz w:val="24"/>
          <w:szCs w:val="24"/>
        </w:rPr>
      </w:pPr>
      <w:r>
        <w:rPr>
          <w:rFonts w:ascii="Times New Roman" w:hAnsi="Times New Roman" w:cs="Times New Roman"/>
          <w:sz w:val="24"/>
          <w:szCs w:val="24"/>
        </w:rPr>
        <w:t xml:space="preserve">While we </w:t>
      </w:r>
      <w:r>
        <w:rPr>
          <w:rFonts w:ascii="Times New Roman" w:hAnsi="Times New Roman" w:cs="Times New Roman"/>
          <w:spacing w:val="-3"/>
          <w:sz w:val="24"/>
          <w:szCs w:val="24"/>
        </w:rPr>
        <w:t xml:space="preserve">recognize </w:t>
      </w:r>
      <w:r>
        <w:rPr>
          <w:rFonts w:ascii="Times New Roman" w:hAnsi="Times New Roman" w:cs="Times New Roman"/>
          <w:spacing w:val="-5"/>
          <w:sz w:val="24"/>
          <w:szCs w:val="24"/>
        </w:rPr>
        <w:t xml:space="preserve">the </w:t>
      </w:r>
      <w:r>
        <w:rPr>
          <w:rFonts w:ascii="Times New Roman" w:hAnsi="Times New Roman" w:cs="Times New Roman"/>
          <w:spacing w:val="-4"/>
          <w:sz w:val="24"/>
          <w:szCs w:val="24"/>
        </w:rPr>
        <w:t xml:space="preserve">challenges </w:t>
      </w:r>
      <w:r>
        <w:rPr>
          <w:rFonts w:ascii="Times New Roman" w:hAnsi="Times New Roman" w:cs="Times New Roman"/>
          <w:spacing w:val="-6"/>
          <w:sz w:val="24"/>
          <w:szCs w:val="24"/>
        </w:rPr>
        <w:t xml:space="preserve">that </w:t>
      </w:r>
      <w:r>
        <w:rPr>
          <w:rFonts w:ascii="Times New Roman" w:hAnsi="Times New Roman" w:cs="Times New Roman"/>
          <w:spacing w:val="-3"/>
          <w:sz w:val="24"/>
          <w:szCs w:val="24"/>
        </w:rPr>
        <w:t xml:space="preserve">MassHealth </w:t>
      </w:r>
      <w:r>
        <w:rPr>
          <w:rFonts w:ascii="Times New Roman" w:hAnsi="Times New Roman" w:cs="Times New Roman"/>
          <w:sz w:val="24"/>
          <w:szCs w:val="24"/>
        </w:rPr>
        <w:t xml:space="preserve">is </w:t>
      </w:r>
      <w:r>
        <w:rPr>
          <w:rFonts w:ascii="Times New Roman" w:hAnsi="Times New Roman" w:cs="Times New Roman"/>
          <w:spacing w:val="-5"/>
          <w:sz w:val="24"/>
          <w:szCs w:val="24"/>
        </w:rPr>
        <w:t xml:space="preserve">confronting </w:t>
      </w:r>
      <w:r>
        <w:rPr>
          <w:rFonts w:ascii="Times New Roman" w:hAnsi="Times New Roman" w:cs="Times New Roman"/>
          <w:sz w:val="24"/>
          <w:szCs w:val="24"/>
        </w:rPr>
        <w:t xml:space="preserve">in restructuring its delivery </w:t>
      </w:r>
      <w:r>
        <w:rPr>
          <w:rFonts w:ascii="Times New Roman" w:hAnsi="Times New Roman" w:cs="Times New Roman"/>
          <w:spacing w:val="-4"/>
          <w:sz w:val="24"/>
          <w:szCs w:val="24"/>
        </w:rPr>
        <w:t xml:space="preserve">and </w:t>
      </w:r>
      <w:r>
        <w:rPr>
          <w:rFonts w:ascii="Times New Roman" w:hAnsi="Times New Roman" w:cs="Times New Roman"/>
          <w:spacing w:val="-7"/>
          <w:sz w:val="24"/>
          <w:szCs w:val="24"/>
        </w:rPr>
        <w:t xml:space="preserve">payment </w:t>
      </w:r>
      <w:r>
        <w:rPr>
          <w:rFonts w:ascii="Times New Roman" w:hAnsi="Times New Roman" w:cs="Times New Roman"/>
          <w:spacing w:val="-5"/>
          <w:sz w:val="24"/>
          <w:szCs w:val="24"/>
        </w:rPr>
        <w:t xml:space="preserve">systems, </w:t>
      </w:r>
      <w:r>
        <w:rPr>
          <w:rFonts w:ascii="Times New Roman" w:hAnsi="Times New Roman" w:cs="Times New Roman"/>
          <w:sz w:val="24"/>
          <w:szCs w:val="24"/>
        </w:rPr>
        <w:t xml:space="preserve">we </w:t>
      </w:r>
      <w:r>
        <w:rPr>
          <w:rFonts w:ascii="Times New Roman" w:hAnsi="Times New Roman" w:cs="Times New Roman"/>
          <w:spacing w:val="-3"/>
          <w:sz w:val="24"/>
          <w:szCs w:val="24"/>
        </w:rPr>
        <w:t xml:space="preserve">remain concerned </w:t>
      </w:r>
      <w:r>
        <w:rPr>
          <w:rFonts w:ascii="Times New Roman" w:hAnsi="Times New Roman" w:cs="Times New Roman"/>
          <w:spacing w:val="-6"/>
          <w:sz w:val="24"/>
          <w:szCs w:val="24"/>
        </w:rPr>
        <w:t xml:space="preserve">that, </w:t>
      </w:r>
      <w:r>
        <w:rPr>
          <w:rFonts w:ascii="Times New Roman" w:hAnsi="Times New Roman" w:cs="Times New Roman"/>
          <w:sz w:val="24"/>
          <w:szCs w:val="24"/>
        </w:rPr>
        <w:t xml:space="preserve">for </w:t>
      </w:r>
      <w:r>
        <w:rPr>
          <w:rFonts w:ascii="Times New Roman" w:hAnsi="Times New Roman" w:cs="Times New Roman"/>
          <w:spacing w:val="-9"/>
          <w:sz w:val="24"/>
          <w:szCs w:val="24"/>
        </w:rPr>
        <w:t xml:space="preserve">many, </w:t>
      </w:r>
      <w:r>
        <w:rPr>
          <w:rFonts w:ascii="Times New Roman" w:hAnsi="Times New Roman" w:cs="Times New Roman"/>
          <w:spacing w:val="-5"/>
          <w:sz w:val="24"/>
          <w:szCs w:val="24"/>
        </w:rPr>
        <w:t xml:space="preserve">these </w:t>
      </w:r>
      <w:r>
        <w:rPr>
          <w:rFonts w:ascii="Times New Roman" w:hAnsi="Times New Roman" w:cs="Times New Roman"/>
          <w:sz w:val="24"/>
          <w:szCs w:val="24"/>
        </w:rPr>
        <w:t xml:space="preserve">policy </w:t>
      </w:r>
      <w:r>
        <w:rPr>
          <w:rFonts w:ascii="Times New Roman" w:hAnsi="Times New Roman" w:cs="Times New Roman"/>
          <w:spacing w:val="-5"/>
          <w:sz w:val="24"/>
          <w:szCs w:val="24"/>
        </w:rPr>
        <w:t xml:space="preserve">changes </w:t>
      </w:r>
      <w:r>
        <w:rPr>
          <w:rFonts w:ascii="Times New Roman" w:hAnsi="Times New Roman" w:cs="Times New Roman"/>
          <w:spacing w:val="3"/>
          <w:sz w:val="24"/>
          <w:szCs w:val="24"/>
        </w:rPr>
        <w:t xml:space="preserve">will </w:t>
      </w:r>
      <w:r>
        <w:rPr>
          <w:rFonts w:ascii="Times New Roman" w:hAnsi="Times New Roman" w:cs="Times New Roman"/>
          <w:spacing w:val="-4"/>
          <w:sz w:val="24"/>
          <w:szCs w:val="24"/>
        </w:rPr>
        <w:t xml:space="preserve">impede </w:t>
      </w:r>
      <w:r>
        <w:rPr>
          <w:rFonts w:ascii="Times New Roman" w:hAnsi="Times New Roman" w:cs="Times New Roman"/>
          <w:sz w:val="24"/>
          <w:szCs w:val="24"/>
        </w:rPr>
        <w:t xml:space="preserve">access </w:t>
      </w:r>
      <w:r>
        <w:rPr>
          <w:rFonts w:ascii="Times New Roman" w:hAnsi="Times New Roman" w:cs="Times New Roman"/>
          <w:spacing w:val="-3"/>
          <w:sz w:val="24"/>
          <w:szCs w:val="24"/>
        </w:rPr>
        <w:t xml:space="preserve">to </w:t>
      </w:r>
      <w:r>
        <w:rPr>
          <w:rFonts w:ascii="Times New Roman" w:hAnsi="Times New Roman" w:cs="Times New Roman"/>
          <w:sz w:val="24"/>
          <w:szCs w:val="24"/>
        </w:rPr>
        <w:t xml:space="preserve">care, </w:t>
      </w:r>
      <w:r>
        <w:rPr>
          <w:rFonts w:ascii="Times New Roman" w:hAnsi="Times New Roman" w:cs="Times New Roman"/>
          <w:spacing w:val="-2"/>
          <w:sz w:val="24"/>
          <w:szCs w:val="24"/>
        </w:rPr>
        <w:t xml:space="preserve">reduce </w:t>
      </w:r>
      <w:r>
        <w:rPr>
          <w:rFonts w:ascii="Times New Roman" w:hAnsi="Times New Roman" w:cs="Times New Roman"/>
          <w:spacing w:val="-6"/>
          <w:sz w:val="24"/>
          <w:szCs w:val="24"/>
        </w:rPr>
        <w:t xml:space="preserve">consumer </w:t>
      </w:r>
      <w:r>
        <w:rPr>
          <w:rFonts w:ascii="Times New Roman" w:hAnsi="Times New Roman" w:cs="Times New Roman"/>
          <w:sz w:val="24"/>
          <w:szCs w:val="24"/>
        </w:rPr>
        <w:t xml:space="preserve">choice, </w:t>
      </w:r>
      <w:r>
        <w:rPr>
          <w:rFonts w:ascii="Times New Roman" w:hAnsi="Times New Roman" w:cs="Times New Roman"/>
          <w:spacing w:val="-4"/>
          <w:sz w:val="24"/>
          <w:szCs w:val="24"/>
        </w:rPr>
        <w:t xml:space="preserve">and unfairly </w:t>
      </w:r>
      <w:r>
        <w:rPr>
          <w:rFonts w:ascii="Times New Roman" w:hAnsi="Times New Roman" w:cs="Times New Roman"/>
          <w:spacing w:val="-3"/>
          <w:sz w:val="24"/>
          <w:szCs w:val="24"/>
        </w:rPr>
        <w:t xml:space="preserve">burden </w:t>
      </w:r>
      <w:r>
        <w:rPr>
          <w:rFonts w:ascii="Times New Roman" w:hAnsi="Times New Roman" w:cs="Times New Roman"/>
          <w:spacing w:val="-6"/>
          <w:sz w:val="24"/>
          <w:szCs w:val="24"/>
        </w:rPr>
        <w:t xml:space="preserve">members </w:t>
      </w:r>
      <w:r>
        <w:rPr>
          <w:rFonts w:ascii="Times New Roman" w:hAnsi="Times New Roman" w:cs="Times New Roman"/>
          <w:sz w:val="24"/>
          <w:szCs w:val="24"/>
        </w:rPr>
        <w:t xml:space="preserve">who </w:t>
      </w:r>
      <w:r>
        <w:rPr>
          <w:rFonts w:ascii="Times New Roman" w:hAnsi="Times New Roman" w:cs="Times New Roman"/>
          <w:spacing w:val="2"/>
          <w:sz w:val="24"/>
          <w:szCs w:val="24"/>
        </w:rPr>
        <w:t xml:space="preserve">rely </w:t>
      </w:r>
      <w:r>
        <w:rPr>
          <w:rFonts w:ascii="Times New Roman" w:hAnsi="Times New Roman" w:cs="Times New Roman"/>
          <w:sz w:val="24"/>
          <w:szCs w:val="24"/>
        </w:rPr>
        <w:t xml:space="preserve">on </w:t>
      </w:r>
      <w:r>
        <w:rPr>
          <w:rFonts w:ascii="Times New Roman" w:hAnsi="Times New Roman" w:cs="Times New Roman"/>
          <w:spacing w:val="-5"/>
          <w:sz w:val="24"/>
          <w:szCs w:val="24"/>
        </w:rPr>
        <w:t xml:space="preserve">the </w:t>
      </w:r>
      <w:r>
        <w:rPr>
          <w:rFonts w:ascii="Times New Roman" w:hAnsi="Times New Roman" w:cs="Times New Roman"/>
          <w:spacing w:val="-3"/>
          <w:sz w:val="24"/>
          <w:szCs w:val="24"/>
        </w:rPr>
        <w:t xml:space="preserve">benefits </w:t>
      </w:r>
      <w:r>
        <w:rPr>
          <w:rFonts w:ascii="Times New Roman" w:hAnsi="Times New Roman" w:cs="Times New Roman"/>
          <w:spacing w:val="-4"/>
          <w:sz w:val="24"/>
          <w:szCs w:val="24"/>
        </w:rPr>
        <w:t xml:space="preserve">and </w:t>
      </w:r>
      <w:r>
        <w:rPr>
          <w:rFonts w:ascii="Times New Roman" w:hAnsi="Times New Roman" w:cs="Times New Roman"/>
          <w:sz w:val="24"/>
          <w:szCs w:val="24"/>
        </w:rPr>
        <w:t xml:space="preserve">providers available </w:t>
      </w:r>
      <w:r>
        <w:rPr>
          <w:rFonts w:ascii="Times New Roman" w:hAnsi="Times New Roman" w:cs="Times New Roman"/>
          <w:spacing w:val="-3"/>
          <w:sz w:val="24"/>
          <w:szCs w:val="24"/>
        </w:rPr>
        <w:t xml:space="preserve">to </w:t>
      </w:r>
      <w:r>
        <w:rPr>
          <w:rFonts w:ascii="Times New Roman" w:hAnsi="Times New Roman" w:cs="Times New Roman"/>
          <w:spacing w:val="-6"/>
          <w:sz w:val="24"/>
          <w:szCs w:val="24"/>
        </w:rPr>
        <w:t xml:space="preserve">them through  </w:t>
      </w:r>
      <w:r>
        <w:rPr>
          <w:rFonts w:ascii="Times New Roman" w:hAnsi="Times New Roman" w:cs="Times New Roman"/>
          <w:spacing w:val="-5"/>
          <w:sz w:val="24"/>
          <w:szCs w:val="24"/>
        </w:rPr>
        <w:t xml:space="preserve">the </w:t>
      </w:r>
      <w:r>
        <w:rPr>
          <w:rFonts w:ascii="Times New Roman" w:hAnsi="Times New Roman" w:cs="Times New Roman"/>
          <w:sz w:val="24"/>
          <w:szCs w:val="24"/>
        </w:rPr>
        <w:t xml:space="preserve">PCC </w:t>
      </w:r>
      <w:r>
        <w:rPr>
          <w:rFonts w:ascii="Times New Roman" w:hAnsi="Times New Roman" w:cs="Times New Roman"/>
          <w:spacing w:val="-3"/>
          <w:sz w:val="24"/>
          <w:szCs w:val="24"/>
        </w:rPr>
        <w:t>plan.</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20"/>
        <w:rPr>
          <w:rFonts w:ascii="Times New Roman" w:hAnsi="Times New Roman" w:cs="Times New Roman"/>
          <w:sz w:val="24"/>
          <w:szCs w:val="24"/>
        </w:rPr>
      </w:pPr>
      <w:r>
        <w:rPr>
          <w:rFonts w:ascii="Times New Roman" w:hAnsi="Times New Roman" w:cs="Times New Roman"/>
          <w:sz w:val="24"/>
          <w:szCs w:val="24"/>
          <w:u w:val="single"/>
        </w:rPr>
        <w:t>Accommodations  for People with Disabilities</w:t>
      </w:r>
    </w:p>
    <w:p w:rsidR="002C5025" w:rsidRDefault="002C5025">
      <w:pPr>
        <w:pStyle w:val="BodyText"/>
        <w:kinsoku w:val="0"/>
        <w:overflowPunct w:val="0"/>
        <w:ind w:left="120" w:right="309"/>
        <w:rPr>
          <w:rFonts w:ascii="Times New Roman" w:hAnsi="Times New Roman" w:cs="Times New Roman"/>
          <w:sz w:val="24"/>
          <w:szCs w:val="24"/>
        </w:rPr>
      </w:pPr>
      <w:r>
        <w:rPr>
          <w:rFonts w:ascii="Times New Roman" w:hAnsi="Times New Roman" w:cs="Times New Roman"/>
          <w:sz w:val="24"/>
          <w:szCs w:val="24"/>
        </w:rPr>
        <w:t>HLA appreciates the commitment of the Executive Office of Health and Human Services in its attempts to safeguard nondiscrimination against MassHealth members who are persons with disabilities. Persons with disabilities often experience barriers in accessing health care and they are more likely to forego medically necessary treatment as a result.</w:t>
      </w:r>
      <w:r>
        <w:rPr>
          <w:rFonts w:ascii="Times New Roman" w:hAnsi="Times New Roman" w:cs="Times New Roman"/>
          <w:position w:val="8"/>
          <w:sz w:val="15"/>
          <w:szCs w:val="15"/>
        </w:rPr>
        <w:t xml:space="preserve">6  </w:t>
      </w:r>
      <w:r>
        <w:rPr>
          <w:rFonts w:ascii="Times New Roman" w:hAnsi="Times New Roman" w:cs="Times New Roman"/>
          <w:sz w:val="24"/>
          <w:szCs w:val="24"/>
        </w:rPr>
        <w:t>MassHealth member benefits and provider reimbursements become meaningless when persons with disabilities are unable to access medically necessary care.</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20" w:right="301"/>
        <w:rPr>
          <w:rFonts w:ascii="Times New Roman" w:hAnsi="Times New Roman" w:cs="Times New Roman"/>
          <w:sz w:val="24"/>
          <w:szCs w:val="24"/>
        </w:rPr>
      </w:pPr>
      <w:r>
        <w:rPr>
          <w:rFonts w:ascii="Times New Roman" w:hAnsi="Times New Roman" w:cs="Times New Roman"/>
          <w:spacing w:val="-4"/>
          <w:sz w:val="24"/>
          <w:szCs w:val="24"/>
        </w:rPr>
        <w:t xml:space="preserve">Pursuant </w:t>
      </w:r>
      <w:r>
        <w:rPr>
          <w:rFonts w:ascii="Times New Roman" w:hAnsi="Times New Roman" w:cs="Times New Roman"/>
          <w:spacing w:val="-3"/>
          <w:sz w:val="24"/>
          <w:szCs w:val="24"/>
        </w:rPr>
        <w:t xml:space="preserve">to </w:t>
      </w:r>
      <w:r>
        <w:rPr>
          <w:rFonts w:ascii="Times New Roman" w:hAnsi="Times New Roman" w:cs="Times New Roman"/>
          <w:sz w:val="24"/>
          <w:szCs w:val="24"/>
        </w:rPr>
        <w:t xml:space="preserve">Section 504 of </w:t>
      </w:r>
      <w:r>
        <w:rPr>
          <w:rFonts w:ascii="Times New Roman" w:hAnsi="Times New Roman" w:cs="Times New Roman"/>
          <w:spacing w:val="-5"/>
          <w:sz w:val="24"/>
          <w:szCs w:val="24"/>
        </w:rPr>
        <w:t xml:space="preserve">the </w:t>
      </w:r>
      <w:r>
        <w:rPr>
          <w:rFonts w:ascii="Times New Roman" w:hAnsi="Times New Roman" w:cs="Times New Roman"/>
          <w:sz w:val="24"/>
          <w:szCs w:val="24"/>
        </w:rPr>
        <w:t xml:space="preserve">Rehabilitation </w:t>
      </w:r>
      <w:r>
        <w:rPr>
          <w:rFonts w:ascii="Times New Roman" w:hAnsi="Times New Roman" w:cs="Times New Roman"/>
          <w:spacing w:val="-3"/>
          <w:sz w:val="24"/>
          <w:szCs w:val="24"/>
        </w:rPr>
        <w:t xml:space="preserve">Act </w:t>
      </w:r>
      <w:r>
        <w:rPr>
          <w:rFonts w:ascii="Times New Roman" w:hAnsi="Times New Roman" w:cs="Times New Roman"/>
          <w:sz w:val="24"/>
          <w:szCs w:val="24"/>
        </w:rPr>
        <w:t>of 1973 (Section 504),</w:t>
      </w:r>
      <w:r>
        <w:rPr>
          <w:rFonts w:ascii="Times New Roman" w:hAnsi="Times New Roman" w:cs="Times New Roman"/>
          <w:position w:val="8"/>
          <w:sz w:val="15"/>
          <w:szCs w:val="15"/>
        </w:rPr>
        <w:t xml:space="preserve">7 </w:t>
      </w:r>
      <w:r>
        <w:rPr>
          <w:rFonts w:ascii="Times New Roman" w:hAnsi="Times New Roman" w:cs="Times New Roman"/>
          <w:spacing w:val="-3"/>
          <w:sz w:val="24"/>
          <w:szCs w:val="24"/>
        </w:rPr>
        <w:t xml:space="preserve">MassHealth </w:t>
      </w:r>
      <w:r>
        <w:rPr>
          <w:rFonts w:ascii="Times New Roman" w:hAnsi="Times New Roman" w:cs="Times New Roman"/>
          <w:sz w:val="24"/>
          <w:szCs w:val="24"/>
        </w:rPr>
        <w:t xml:space="preserve">providers </w:t>
      </w:r>
      <w:r>
        <w:rPr>
          <w:rFonts w:ascii="Times New Roman" w:hAnsi="Times New Roman" w:cs="Times New Roman"/>
          <w:spacing w:val="-7"/>
          <w:sz w:val="24"/>
          <w:szCs w:val="24"/>
        </w:rPr>
        <w:t xml:space="preserve">must </w:t>
      </w:r>
      <w:r>
        <w:rPr>
          <w:rFonts w:ascii="Times New Roman" w:hAnsi="Times New Roman" w:cs="Times New Roman"/>
          <w:spacing w:val="-5"/>
          <w:sz w:val="24"/>
          <w:szCs w:val="24"/>
        </w:rPr>
        <w:t xml:space="preserve">accommodate </w:t>
      </w:r>
      <w:r>
        <w:rPr>
          <w:rFonts w:ascii="Times New Roman" w:hAnsi="Times New Roman" w:cs="Times New Roman"/>
          <w:sz w:val="24"/>
          <w:szCs w:val="24"/>
        </w:rPr>
        <w:t>persons with disabilities</w:t>
      </w:r>
      <w:r>
        <w:rPr>
          <w:rFonts w:ascii="Times New Roman" w:hAnsi="Times New Roman" w:cs="Times New Roman"/>
          <w:position w:val="8"/>
          <w:sz w:val="15"/>
          <w:szCs w:val="15"/>
        </w:rPr>
        <w:t xml:space="preserve">8 </w:t>
      </w:r>
      <w:r>
        <w:rPr>
          <w:rFonts w:ascii="Times New Roman" w:hAnsi="Times New Roman" w:cs="Times New Roman"/>
          <w:sz w:val="24"/>
          <w:szCs w:val="24"/>
        </w:rPr>
        <w:t xml:space="preserve">by </w:t>
      </w:r>
      <w:r>
        <w:rPr>
          <w:rFonts w:ascii="Times New Roman" w:hAnsi="Times New Roman" w:cs="Times New Roman"/>
          <w:spacing w:val="-4"/>
          <w:sz w:val="24"/>
          <w:szCs w:val="24"/>
        </w:rPr>
        <w:t xml:space="preserve">ensuring that </w:t>
      </w:r>
      <w:r>
        <w:rPr>
          <w:rFonts w:ascii="Times New Roman" w:hAnsi="Times New Roman" w:cs="Times New Roman"/>
          <w:spacing w:val="-3"/>
          <w:sz w:val="24"/>
          <w:szCs w:val="24"/>
        </w:rPr>
        <w:t xml:space="preserve">patients have </w:t>
      </w:r>
      <w:r>
        <w:rPr>
          <w:rFonts w:ascii="Times New Roman" w:hAnsi="Times New Roman" w:cs="Times New Roman"/>
          <w:spacing w:val="-4"/>
          <w:sz w:val="24"/>
          <w:szCs w:val="24"/>
        </w:rPr>
        <w:t xml:space="preserve">full </w:t>
      </w:r>
      <w:r>
        <w:rPr>
          <w:rFonts w:ascii="Times New Roman" w:hAnsi="Times New Roman" w:cs="Times New Roman"/>
          <w:spacing w:val="-3"/>
          <w:sz w:val="24"/>
          <w:szCs w:val="24"/>
        </w:rPr>
        <w:t xml:space="preserve">equal </w:t>
      </w:r>
      <w:r>
        <w:rPr>
          <w:rFonts w:ascii="Times New Roman" w:hAnsi="Times New Roman" w:cs="Times New Roman"/>
          <w:sz w:val="24"/>
          <w:szCs w:val="24"/>
        </w:rPr>
        <w:t xml:space="preserve">access </w:t>
      </w:r>
      <w:r>
        <w:rPr>
          <w:rFonts w:ascii="Times New Roman" w:hAnsi="Times New Roman" w:cs="Times New Roman"/>
          <w:spacing w:val="-5"/>
          <w:sz w:val="24"/>
          <w:szCs w:val="24"/>
        </w:rPr>
        <w:t xml:space="preserve">and </w:t>
      </w:r>
      <w:r>
        <w:rPr>
          <w:rFonts w:ascii="Times New Roman" w:hAnsi="Times New Roman" w:cs="Times New Roman"/>
          <w:spacing w:val="-3"/>
          <w:sz w:val="24"/>
          <w:szCs w:val="24"/>
        </w:rPr>
        <w:t>opportunities.</w:t>
      </w:r>
      <w:r>
        <w:rPr>
          <w:rFonts w:ascii="Times New Roman" w:hAnsi="Times New Roman" w:cs="Times New Roman"/>
          <w:spacing w:val="-3"/>
          <w:position w:val="8"/>
          <w:sz w:val="15"/>
          <w:szCs w:val="15"/>
        </w:rPr>
        <w:t xml:space="preserve">9 </w:t>
      </w:r>
      <w:r>
        <w:rPr>
          <w:rFonts w:ascii="Times New Roman" w:hAnsi="Times New Roman" w:cs="Times New Roman"/>
          <w:spacing w:val="-4"/>
          <w:sz w:val="24"/>
          <w:szCs w:val="24"/>
        </w:rPr>
        <w:t xml:space="preserve">The </w:t>
      </w:r>
      <w:r>
        <w:rPr>
          <w:rFonts w:ascii="Times New Roman" w:hAnsi="Times New Roman" w:cs="Times New Roman"/>
          <w:spacing w:val="-3"/>
          <w:sz w:val="24"/>
          <w:szCs w:val="24"/>
        </w:rPr>
        <w:t xml:space="preserve">Americans </w:t>
      </w:r>
      <w:r>
        <w:rPr>
          <w:rFonts w:ascii="Times New Roman" w:hAnsi="Times New Roman" w:cs="Times New Roman"/>
          <w:sz w:val="24"/>
          <w:szCs w:val="24"/>
        </w:rPr>
        <w:t xml:space="preserve">with Disabilities Act </w:t>
      </w:r>
      <w:r>
        <w:rPr>
          <w:rFonts w:ascii="Times New Roman" w:hAnsi="Times New Roman" w:cs="Times New Roman"/>
          <w:spacing w:val="-3"/>
          <w:sz w:val="24"/>
          <w:szCs w:val="24"/>
        </w:rPr>
        <w:t xml:space="preserve">(ADA) </w:t>
      </w:r>
      <w:r>
        <w:rPr>
          <w:rFonts w:ascii="Times New Roman" w:hAnsi="Times New Roman" w:cs="Times New Roman"/>
          <w:spacing w:val="-5"/>
          <w:sz w:val="24"/>
          <w:szCs w:val="24"/>
        </w:rPr>
        <w:t xml:space="preserve">further  </w:t>
      </w:r>
      <w:r>
        <w:rPr>
          <w:rFonts w:ascii="Times New Roman" w:hAnsi="Times New Roman" w:cs="Times New Roman"/>
          <w:sz w:val="24"/>
          <w:szCs w:val="24"/>
        </w:rPr>
        <w:t xml:space="preserve">bars inequalities in </w:t>
      </w:r>
      <w:r>
        <w:rPr>
          <w:rFonts w:ascii="Times New Roman" w:hAnsi="Times New Roman" w:cs="Times New Roman"/>
          <w:spacing w:val="-3"/>
          <w:sz w:val="24"/>
          <w:szCs w:val="24"/>
        </w:rPr>
        <w:t xml:space="preserve">health </w:t>
      </w:r>
      <w:r>
        <w:rPr>
          <w:rFonts w:ascii="Times New Roman" w:hAnsi="Times New Roman" w:cs="Times New Roman"/>
          <w:sz w:val="24"/>
          <w:szCs w:val="24"/>
        </w:rPr>
        <w:t xml:space="preserve">care services </w:t>
      </w:r>
      <w:r>
        <w:rPr>
          <w:rFonts w:ascii="Times New Roman" w:hAnsi="Times New Roman" w:cs="Times New Roman"/>
          <w:spacing w:val="-5"/>
          <w:sz w:val="24"/>
          <w:szCs w:val="24"/>
        </w:rPr>
        <w:t xml:space="preserve">under the </w:t>
      </w:r>
      <w:r>
        <w:rPr>
          <w:rFonts w:ascii="Times New Roman" w:hAnsi="Times New Roman" w:cs="Times New Roman"/>
          <w:sz w:val="24"/>
          <w:szCs w:val="24"/>
        </w:rPr>
        <w:t xml:space="preserve">public </w:t>
      </w:r>
      <w:r>
        <w:rPr>
          <w:rFonts w:ascii="Times New Roman" w:hAnsi="Times New Roman" w:cs="Times New Roman"/>
          <w:spacing w:val="-5"/>
          <w:sz w:val="24"/>
          <w:szCs w:val="24"/>
        </w:rPr>
        <w:t xml:space="preserve">accommodations </w:t>
      </w:r>
      <w:r>
        <w:rPr>
          <w:rFonts w:ascii="Times New Roman" w:hAnsi="Times New Roman" w:cs="Times New Roman"/>
          <w:sz w:val="24"/>
          <w:szCs w:val="24"/>
        </w:rPr>
        <w:t>provision,</w:t>
      </w:r>
      <w:r>
        <w:rPr>
          <w:rFonts w:ascii="Times New Roman" w:hAnsi="Times New Roman" w:cs="Times New Roman"/>
          <w:position w:val="8"/>
          <w:sz w:val="15"/>
          <w:szCs w:val="15"/>
        </w:rPr>
        <w:t xml:space="preserve">10 </w:t>
      </w:r>
      <w:r>
        <w:rPr>
          <w:rFonts w:ascii="Times New Roman" w:hAnsi="Times New Roman" w:cs="Times New Roman"/>
          <w:sz w:val="24"/>
          <w:szCs w:val="24"/>
        </w:rPr>
        <w:t xml:space="preserve">whereby providers </w:t>
      </w:r>
      <w:r>
        <w:rPr>
          <w:rFonts w:ascii="Times New Roman" w:hAnsi="Times New Roman" w:cs="Times New Roman"/>
          <w:spacing w:val="-6"/>
          <w:sz w:val="24"/>
          <w:szCs w:val="24"/>
        </w:rPr>
        <w:t xml:space="preserve">must </w:t>
      </w:r>
      <w:r>
        <w:rPr>
          <w:rFonts w:ascii="Times New Roman" w:hAnsi="Times New Roman" w:cs="Times New Roman"/>
          <w:spacing w:val="-4"/>
          <w:sz w:val="24"/>
          <w:szCs w:val="24"/>
        </w:rPr>
        <w:t xml:space="preserve">ensure </w:t>
      </w:r>
      <w:r>
        <w:rPr>
          <w:rFonts w:ascii="Times New Roman" w:hAnsi="Times New Roman" w:cs="Times New Roman"/>
          <w:spacing w:val="-6"/>
          <w:sz w:val="24"/>
          <w:szCs w:val="24"/>
        </w:rPr>
        <w:t xml:space="preserve">that </w:t>
      </w:r>
      <w:r>
        <w:rPr>
          <w:rFonts w:ascii="Times New Roman" w:hAnsi="Times New Roman" w:cs="Times New Roman"/>
          <w:spacing w:val="-5"/>
          <w:sz w:val="24"/>
          <w:szCs w:val="24"/>
        </w:rPr>
        <w:t xml:space="preserve">the </w:t>
      </w:r>
      <w:r>
        <w:rPr>
          <w:rFonts w:ascii="Times New Roman" w:hAnsi="Times New Roman" w:cs="Times New Roman"/>
          <w:sz w:val="24"/>
          <w:szCs w:val="24"/>
        </w:rPr>
        <w:t xml:space="preserve">quality of care </w:t>
      </w:r>
      <w:r>
        <w:rPr>
          <w:rFonts w:ascii="Times New Roman" w:hAnsi="Times New Roman" w:cs="Times New Roman"/>
          <w:spacing w:val="-4"/>
          <w:sz w:val="24"/>
          <w:szCs w:val="24"/>
        </w:rPr>
        <w:t xml:space="preserve">and </w:t>
      </w:r>
      <w:r>
        <w:rPr>
          <w:rFonts w:ascii="Times New Roman" w:hAnsi="Times New Roman" w:cs="Times New Roman"/>
          <w:sz w:val="24"/>
          <w:szCs w:val="24"/>
        </w:rPr>
        <w:t xml:space="preserve">access to </w:t>
      </w:r>
      <w:r>
        <w:rPr>
          <w:rFonts w:ascii="Times New Roman" w:hAnsi="Times New Roman" w:cs="Times New Roman"/>
          <w:spacing w:val="-3"/>
          <w:sz w:val="24"/>
          <w:szCs w:val="24"/>
        </w:rPr>
        <w:t xml:space="preserve">medical </w:t>
      </w:r>
      <w:r>
        <w:rPr>
          <w:rFonts w:ascii="Times New Roman" w:hAnsi="Times New Roman" w:cs="Times New Roman"/>
          <w:sz w:val="24"/>
          <w:szCs w:val="24"/>
        </w:rPr>
        <w:t>services by persons with disabilities are on par</w:t>
      </w:r>
      <w:r>
        <w:rPr>
          <w:rFonts w:ascii="Times New Roman" w:hAnsi="Times New Roman" w:cs="Times New Roman"/>
          <w:spacing w:val="-41"/>
          <w:sz w:val="24"/>
          <w:szCs w:val="24"/>
        </w:rPr>
        <w:t xml:space="preserve"> </w:t>
      </w:r>
      <w:r>
        <w:rPr>
          <w:rFonts w:ascii="Times New Roman" w:hAnsi="Times New Roman" w:cs="Times New Roman"/>
          <w:sz w:val="24"/>
          <w:szCs w:val="24"/>
        </w:rPr>
        <w:t>with</w:t>
      </w:r>
    </w:p>
    <w:p w:rsidR="002C5025" w:rsidRDefault="002C5025">
      <w:pPr>
        <w:pStyle w:val="BodyText"/>
        <w:kinsoku w:val="0"/>
        <w:overflowPunct w:val="0"/>
        <w:rPr>
          <w:rFonts w:ascii="Times New Roman" w:hAnsi="Times New Roman" w:cs="Times New Roman"/>
          <w:sz w:val="20"/>
          <w:szCs w:val="20"/>
        </w:rPr>
      </w:pPr>
    </w:p>
    <w:p w:rsidR="002C5025" w:rsidRDefault="00FB027C">
      <w:pPr>
        <w:pStyle w:val="BodyText"/>
        <w:kinsoku w:val="0"/>
        <w:overflowPunct w:val="0"/>
        <w:spacing w:before="11"/>
        <w:rPr>
          <w:rFonts w:ascii="Times New Roman" w:hAnsi="Times New Roman" w:cs="Times New Roman"/>
          <w:sz w:val="18"/>
          <w:szCs w:val="18"/>
        </w:rPr>
      </w:pPr>
      <w:r>
        <w:rPr>
          <w:noProof/>
        </w:rPr>
        <mc:AlternateContent>
          <mc:Choice Requires="wps">
            <w:drawing>
              <wp:anchor distT="0" distB="0" distL="0" distR="0" simplePos="0" relativeHeight="251677184" behindDoc="0" locked="0" layoutInCell="0" allowOverlap="1">
                <wp:simplePos x="0" y="0"/>
                <wp:positionH relativeFrom="page">
                  <wp:posOffset>2296795</wp:posOffset>
                </wp:positionH>
                <wp:positionV relativeFrom="paragraph">
                  <wp:posOffset>167640</wp:posOffset>
                </wp:positionV>
                <wp:extent cx="1830705" cy="12700"/>
                <wp:effectExtent l="0" t="0" r="0" b="0"/>
                <wp:wrapTopAndBottom/>
                <wp:docPr id="542" name="Freeform 4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30705" cy="12700"/>
                        </a:xfrm>
                        <a:custGeom>
                          <a:avLst/>
                          <a:gdLst>
                            <a:gd name="T0" fmla="*/ 0 w 2883"/>
                            <a:gd name="T1" fmla="*/ 0 h 20"/>
                            <a:gd name="T2" fmla="*/ 2883 w 2883"/>
                            <a:gd name="T3" fmla="*/ 0 h 20"/>
                          </a:gdLst>
                          <a:ahLst/>
                          <a:cxnLst>
                            <a:cxn ang="0">
                              <a:pos x="T0" y="T1"/>
                            </a:cxn>
                            <a:cxn ang="0">
                              <a:pos x="T2" y="T3"/>
                            </a:cxn>
                          </a:cxnLst>
                          <a:rect l="0" t="0" r="r" b="b"/>
                          <a:pathLst>
                            <a:path w="2883" h="20">
                              <a:moveTo>
                                <a:pt x="0" y="0"/>
                              </a:moveTo>
                              <a:lnTo>
                                <a:pt x="2883"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83" o:spid="_x0000_s1026" style="position:absolute;z-index:251677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80.85pt,13.2pt,325pt,13.2pt" coordsize="288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" o:allowincell="f" filled="f" strokeweight=".7pt">
                <v:path arrowok="t" o:connecttype="custom" o:connectlocs="0,0;1830705,0" o:connectangles="0,0"/>
                <w10:wrap type="topAndBottom" anchorx="page"/>
              </v:polyline>
            </w:pict>
          </mc:Fallback>
        </mc:AlternateContent>
      </w:r>
    </w:p>
    <w:p w:rsidR="002C5025" w:rsidRDefault="002C5025">
      <w:pPr>
        <w:pStyle w:val="BodyText"/>
        <w:kinsoku w:val="0"/>
        <w:overflowPunct w:val="0"/>
        <w:spacing w:before="64"/>
        <w:ind w:left="119"/>
        <w:rPr>
          <w:rFonts w:ascii="Times New Roman" w:hAnsi="Times New Roman" w:cs="Times New Roman"/>
          <w:color w:val="000000"/>
          <w:sz w:val="20"/>
          <w:szCs w:val="20"/>
        </w:rPr>
      </w:pPr>
      <w:r>
        <w:rPr>
          <w:rFonts w:ascii="Times New Roman" w:hAnsi="Times New Roman" w:cs="Times New Roman"/>
          <w:position w:val="6"/>
          <w:sz w:val="13"/>
          <w:szCs w:val="13"/>
        </w:rPr>
        <w:t xml:space="preserve">6 </w:t>
      </w:r>
      <w:r>
        <w:rPr>
          <w:rFonts w:ascii="Times New Roman" w:hAnsi="Times New Roman" w:cs="Times New Roman"/>
          <w:sz w:val="20"/>
          <w:szCs w:val="20"/>
        </w:rPr>
        <w:t xml:space="preserve">National Center on Birth Defects and Developmental Disabilities, Centers for Disease Control and Prevention’ </w:t>
      </w:r>
      <w:hyperlink r:id="rId372" w:history="1">
        <w:r>
          <w:rPr>
            <w:rFonts w:ascii="Times New Roman" w:hAnsi="Times New Roman" w:cs="Times New Roman"/>
            <w:color w:val="0000FF"/>
            <w:sz w:val="20"/>
            <w:szCs w:val="20"/>
            <w:u w:val="single"/>
          </w:rPr>
          <w:t>http://www.cdc.gov/ncbddd/disabilityandhealth/relatedconditions.html</w:t>
        </w:r>
      </w:hyperlink>
      <w:r>
        <w:rPr>
          <w:rFonts w:ascii="Times New Roman" w:hAnsi="Times New Roman" w:cs="Times New Roman"/>
          <w:color w:val="0000FF"/>
          <w:sz w:val="20"/>
          <w:szCs w:val="20"/>
          <w:u w:val="single"/>
        </w:rPr>
        <w:t xml:space="preserve">  </w:t>
      </w:r>
      <w:r>
        <w:rPr>
          <w:rFonts w:ascii="Times New Roman" w:hAnsi="Times New Roman" w:cs="Times New Roman"/>
          <w:color w:val="000000"/>
          <w:sz w:val="20"/>
          <w:szCs w:val="20"/>
        </w:rPr>
        <w:t>(page last updated 4-11-16).</w:t>
      </w:r>
    </w:p>
    <w:p w:rsidR="002C5025" w:rsidRDefault="002C5025">
      <w:pPr>
        <w:pStyle w:val="BodyText"/>
        <w:kinsoku w:val="0"/>
        <w:overflowPunct w:val="0"/>
        <w:ind w:left="119" w:right="172"/>
        <w:rPr>
          <w:rFonts w:ascii="Times New Roman" w:hAnsi="Times New Roman" w:cs="Times New Roman"/>
          <w:sz w:val="20"/>
          <w:szCs w:val="20"/>
        </w:rPr>
      </w:pPr>
      <w:r>
        <w:rPr>
          <w:rFonts w:ascii="Times New Roman" w:hAnsi="Times New Roman" w:cs="Times New Roman"/>
          <w:position w:val="6"/>
          <w:sz w:val="13"/>
          <w:szCs w:val="13"/>
        </w:rPr>
        <w:t xml:space="preserve">7 </w:t>
      </w:r>
      <w:r>
        <w:rPr>
          <w:rFonts w:ascii="Times New Roman" w:hAnsi="Times New Roman" w:cs="Times New Roman"/>
          <w:sz w:val="20"/>
          <w:szCs w:val="20"/>
        </w:rPr>
        <w:t xml:space="preserve">Section 504 of the Rehabilitation </w:t>
      </w:r>
      <w:r>
        <w:rPr>
          <w:rFonts w:ascii="Times New Roman" w:hAnsi="Times New Roman" w:cs="Times New Roman"/>
          <w:spacing w:val="-3"/>
          <w:sz w:val="20"/>
          <w:szCs w:val="20"/>
        </w:rPr>
        <w:t xml:space="preserve">Act </w:t>
      </w:r>
      <w:r>
        <w:rPr>
          <w:rFonts w:ascii="Times New Roman" w:hAnsi="Times New Roman" w:cs="Times New Roman"/>
          <w:sz w:val="20"/>
          <w:szCs w:val="20"/>
        </w:rPr>
        <w:t xml:space="preserve">of </w:t>
      </w:r>
      <w:r>
        <w:rPr>
          <w:rFonts w:ascii="Times New Roman" w:hAnsi="Times New Roman" w:cs="Times New Roman"/>
          <w:spacing w:val="2"/>
          <w:sz w:val="20"/>
          <w:szCs w:val="20"/>
        </w:rPr>
        <w:t xml:space="preserve">1973, </w:t>
      </w:r>
      <w:r>
        <w:rPr>
          <w:rFonts w:ascii="Times New Roman" w:hAnsi="Times New Roman" w:cs="Times New Roman"/>
          <w:sz w:val="20"/>
          <w:szCs w:val="20"/>
        </w:rPr>
        <w:t xml:space="preserve">29 </w:t>
      </w:r>
      <w:r>
        <w:rPr>
          <w:rFonts w:ascii="Times New Roman" w:hAnsi="Times New Roman" w:cs="Times New Roman"/>
          <w:spacing w:val="-4"/>
          <w:sz w:val="20"/>
          <w:szCs w:val="20"/>
        </w:rPr>
        <w:t xml:space="preserve">U.S.C. </w:t>
      </w:r>
      <w:r>
        <w:rPr>
          <w:rFonts w:ascii="Times New Roman" w:hAnsi="Times New Roman" w:cs="Times New Roman"/>
          <w:sz w:val="20"/>
          <w:szCs w:val="20"/>
        </w:rPr>
        <w:t xml:space="preserve">§ 794 , 29 </w:t>
      </w:r>
      <w:r>
        <w:rPr>
          <w:rFonts w:ascii="Times New Roman" w:hAnsi="Times New Roman" w:cs="Times New Roman"/>
          <w:spacing w:val="-6"/>
          <w:sz w:val="20"/>
          <w:szCs w:val="20"/>
        </w:rPr>
        <w:t xml:space="preserve">U.S.C.A. </w:t>
      </w:r>
      <w:r>
        <w:rPr>
          <w:rFonts w:ascii="Times New Roman" w:hAnsi="Times New Roman" w:cs="Times New Roman"/>
          <w:sz w:val="20"/>
          <w:szCs w:val="20"/>
        </w:rPr>
        <w:t xml:space="preserve">§§ 701 et. seq. (requiring compliance by </w:t>
      </w:r>
      <w:r>
        <w:rPr>
          <w:rFonts w:ascii="Times New Roman" w:hAnsi="Times New Roman" w:cs="Times New Roman"/>
          <w:spacing w:val="-3"/>
          <w:sz w:val="20"/>
          <w:szCs w:val="20"/>
        </w:rPr>
        <w:t xml:space="preserve">any </w:t>
      </w:r>
      <w:r>
        <w:rPr>
          <w:rFonts w:ascii="Times New Roman" w:hAnsi="Times New Roman" w:cs="Times New Roman"/>
          <w:sz w:val="20"/>
          <w:szCs w:val="20"/>
        </w:rPr>
        <w:t xml:space="preserve">healthcare facility that receives </w:t>
      </w:r>
      <w:r>
        <w:rPr>
          <w:rFonts w:ascii="Times New Roman" w:hAnsi="Times New Roman" w:cs="Times New Roman"/>
          <w:spacing w:val="-3"/>
          <w:sz w:val="20"/>
          <w:szCs w:val="20"/>
        </w:rPr>
        <w:t xml:space="preserve">funding </w:t>
      </w:r>
      <w:r>
        <w:rPr>
          <w:rFonts w:ascii="Times New Roman" w:hAnsi="Times New Roman" w:cs="Times New Roman"/>
          <w:sz w:val="20"/>
          <w:szCs w:val="20"/>
        </w:rPr>
        <w:t xml:space="preserve">from the </w:t>
      </w:r>
      <w:r>
        <w:rPr>
          <w:rFonts w:ascii="Times New Roman" w:hAnsi="Times New Roman" w:cs="Times New Roman"/>
          <w:spacing w:val="-4"/>
          <w:sz w:val="20"/>
          <w:szCs w:val="20"/>
        </w:rPr>
        <w:t xml:space="preserve">U.S. </w:t>
      </w:r>
      <w:r>
        <w:rPr>
          <w:rFonts w:ascii="Times New Roman" w:hAnsi="Times New Roman" w:cs="Times New Roman"/>
          <w:sz w:val="20"/>
          <w:szCs w:val="20"/>
        </w:rPr>
        <w:t xml:space="preserve">Department of Health </w:t>
      </w:r>
      <w:r>
        <w:rPr>
          <w:rFonts w:ascii="Times New Roman" w:hAnsi="Times New Roman" w:cs="Times New Roman"/>
          <w:spacing w:val="-4"/>
          <w:sz w:val="20"/>
          <w:szCs w:val="20"/>
        </w:rPr>
        <w:t xml:space="preserve">and Human </w:t>
      </w:r>
      <w:r>
        <w:rPr>
          <w:rFonts w:ascii="Times New Roman" w:hAnsi="Times New Roman" w:cs="Times New Roman"/>
          <w:sz w:val="20"/>
          <w:szCs w:val="20"/>
        </w:rPr>
        <w:t>Services.)</w:t>
      </w:r>
    </w:p>
    <w:p w:rsidR="002C5025" w:rsidRDefault="002C5025">
      <w:pPr>
        <w:pStyle w:val="BodyText"/>
        <w:kinsoku w:val="0"/>
        <w:overflowPunct w:val="0"/>
        <w:spacing w:before="2" w:line="249" w:lineRule="auto"/>
        <w:ind w:left="120" w:right="1347"/>
        <w:rPr>
          <w:rFonts w:ascii="Times New Roman" w:hAnsi="Times New Roman" w:cs="Times New Roman"/>
          <w:sz w:val="20"/>
          <w:szCs w:val="20"/>
        </w:rPr>
      </w:pPr>
      <w:r>
        <w:rPr>
          <w:rFonts w:ascii="Times New Roman" w:hAnsi="Times New Roman" w:cs="Times New Roman"/>
          <w:position w:val="6"/>
          <w:sz w:val="13"/>
          <w:szCs w:val="13"/>
        </w:rPr>
        <w:t xml:space="preserve">8 </w:t>
      </w:r>
      <w:r>
        <w:rPr>
          <w:rFonts w:ascii="Times New Roman" w:hAnsi="Times New Roman" w:cs="Times New Roman"/>
          <w:i/>
          <w:iCs/>
          <w:sz w:val="20"/>
          <w:szCs w:val="20"/>
        </w:rPr>
        <w:t xml:space="preserve">See </w:t>
      </w:r>
      <w:proofErr w:type="spellStart"/>
      <w:r>
        <w:rPr>
          <w:rFonts w:ascii="Times New Roman" w:hAnsi="Times New Roman" w:cs="Times New Roman"/>
          <w:sz w:val="20"/>
          <w:szCs w:val="20"/>
          <w:u w:val="single"/>
        </w:rPr>
        <w:t>Glanz</w:t>
      </w:r>
      <w:proofErr w:type="spellEnd"/>
      <w:r>
        <w:rPr>
          <w:rFonts w:ascii="Times New Roman" w:hAnsi="Times New Roman" w:cs="Times New Roman"/>
          <w:sz w:val="20"/>
          <w:szCs w:val="20"/>
          <w:u w:val="single"/>
        </w:rPr>
        <w:t xml:space="preserve"> </w:t>
      </w:r>
      <w:r>
        <w:rPr>
          <w:rFonts w:ascii="Times New Roman" w:hAnsi="Times New Roman" w:cs="Times New Roman"/>
          <w:sz w:val="20"/>
          <w:szCs w:val="20"/>
        </w:rPr>
        <w:t xml:space="preserve">v. </w:t>
      </w:r>
      <w:proofErr w:type="spellStart"/>
      <w:r>
        <w:rPr>
          <w:rFonts w:ascii="Times New Roman" w:hAnsi="Times New Roman" w:cs="Times New Roman"/>
          <w:sz w:val="20"/>
          <w:szCs w:val="20"/>
          <w:u w:val="single"/>
        </w:rPr>
        <w:t>Vernick</w:t>
      </w:r>
      <w:proofErr w:type="spellEnd"/>
      <w:r>
        <w:rPr>
          <w:rFonts w:ascii="Times New Roman" w:hAnsi="Times New Roman" w:cs="Times New Roman"/>
          <w:sz w:val="20"/>
          <w:szCs w:val="20"/>
          <w:u w:val="single"/>
        </w:rPr>
        <w:t xml:space="preserve"> </w:t>
      </w:r>
      <w:r>
        <w:rPr>
          <w:rFonts w:ascii="Times New Roman" w:hAnsi="Times New Roman" w:cs="Times New Roman"/>
          <w:sz w:val="20"/>
          <w:szCs w:val="20"/>
        </w:rPr>
        <w:t>, 756 F. Supp. 632 (D. Mass. 1991) (a medical clinic that receives MassHealth reimbursements is thereby subject to Section 504).</w:t>
      </w:r>
    </w:p>
    <w:p w:rsidR="002C5025" w:rsidRDefault="002C5025">
      <w:pPr>
        <w:pStyle w:val="BodyText"/>
        <w:kinsoku w:val="0"/>
        <w:overflowPunct w:val="0"/>
        <w:spacing w:line="221" w:lineRule="exact"/>
        <w:ind w:left="120" w:right="5427"/>
        <w:rPr>
          <w:rFonts w:ascii="Times New Roman" w:hAnsi="Times New Roman" w:cs="Times New Roman"/>
          <w:sz w:val="20"/>
          <w:szCs w:val="20"/>
        </w:rPr>
      </w:pPr>
      <w:r>
        <w:rPr>
          <w:rFonts w:ascii="Times New Roman" w:hAnsi="Times New Roman" w:cs="Times New Roman"/>
          <w:position w:val="6"/>
          <w:sz w:val="13"/>
          <w:szCs w:val="13"/>
        </w:rPr>
        <w:t xml:space="preserve">9  </w:t>
      </w:r>
      <w:r>
        <w:rPr>
          <w:rFonts w:ascii="Times New Roman" w:hAnsi="Times New Roman" w:cs="Times New Roman"/>
          <w:sz w:val="20"/>
          <w:szCs w:val="20"/>
        </w:rPr>
        <w:t>29 U.S.C. § 794(b)(3)(A).</w:t>
      </w:r>
    </w:p>
    <w:p w:rsidR="002C5025" w:rsidRDefault="002C5025">
      <w:pPr>
        <w:pStyle w:val="BodyText"/>
        <w:kinsoku w:val="0"/>
        <w:overflowPunct w:val="0"/>
        <w:spacing w:line="221" w:lineRule="exact"/>
        <w:ind w:left="120"/>
        <w:rPr>
          <w:rFonts w:ascii="Times New Roman" w:hAnsi="Times New Roman" w:cs="Times New Roman"/>
          <w:sz w:val="20"/>
          <w:szCs w:val="20"/>
        </w:rPr>
      </w:pPr>
      <w:r>
        <w:rPr>
          <w:rFonts w:ascii="Times New Roman" w:hAnsi="Times New Roman" w:cs="Times New Roman"/>
          <w:position w:val="6"/>
          <w:sz w:val="13"/>
          <w:szCs w:val="13"/>
        </w:rPr>
        <w:t xml:space="preserve">10  </w:t>
      </w:r>
      <w:r>
        <w:rPr>
          <w:rFonts w:ascii="Times New Roman" w:hAnsi="Times New Roman" w:cs="Times New Roman"/>
          <w:sz w:val="20"/>
          <w:szCs w:val="20"/>
        </w:rPr>
        <w:t>42 U.S.C.A.  § 12182(b)(2)(A)(ii); 28 C.F.R. § 36.302.</w:t>
      </w:r>
    </w:p>
    <w:p w:rsidR="002C5025" w:rsidRDefault="002C5025">
      <w:pPr>
        <w:pStyle w:val="BodyText"/>
        <w:kinsoku w:val="0"/>
        <w:overflowPunct w:val="0"/>
        <w:spacing w:line="268" w:lineRule="exact"/>
        <w:ind w:right="107"/>
        <w:jc w:val="right"/>
        <w:rPr>
          <w:rFonts w:ascii="Times New Roman" w:hAnsi="Times New Roman" w:cs="Times New Roman"/>
          <w:sz w:val="24"/>
          <w:szCs w:val="24"/>
        </w:rPr>
      </w:pPr>
      <w:r>
        <w:rPr>
          <w:rFonts w:ascii="Times New Roman" w:hAnsi="Times New Roman" w:cs="Times New Roman"/>
          <w:sz w:val="24"/>
          <w:szCs w:val="24"/>
        </w:rPr>
        <w:t>7</w:t>
      </w:r>
    </w:p>
    <w:p w:rsidR="002C5025" w:rsidRDefault="002C5025">
      <w:pPr>
        <w:pStyle w:val="BodyText"/>
        <w:kinsoku w:val="0"/>
        <w:overflowPunct w:val="0"/>
        <w:spacing w:line="268" w:lineRule="exact"/>
        <w:ind w:right="107"/>
        <w:jc w:val="right"/>
        <w:rPr>
          <w:rFonts w:ascii="Times New Roman" w:hAnsi="Times New Roman" w:cs="Times New Roman"/>
          <w:sz w:val="24"/>
          <w:szCs w:val="24"/>
        </w:rPr>
        <w:sectPr w:rsidR="002C5025">
          <w:pgSz w:w="12240" w:h="15840"/>
          <w:pgMar w:top="920" w:right="1320" w:bottom="280" w:left="1320" w:header="720" w:footer="720" w:gutter="0"/>
          <w:cols w:space="720"/>
          <w:noEndnote/>
        </w:sectPr>
      </w:pPr>
    </w:p>
    <w:p w:rsidR="002C5025" w:rsidRDefault="002C5025">
      <w:pPr>
        <w:pStyle w:val="BodyText"/>
        <w:kinsoku w:val="0"/>
        <w:overflowPunct w:val="0"/>
        <w:spacing w:before="48"/>
        <w:ind w:left="120"/>
        <w:rPr>
          <w:rFonts w:ascii="Times New Roman" w:hAnsi="Times New Roman" w:cs="Times New Roman"/>
          <w:sz w:val="24"/>
          <w:szCs w:val="24"/>
        </w:rPr>
      </w:pPr>
      <w:r>
        <w:rPr>
          <w:rFonts w:ascii="Times New Roman" w:hAnsi="Times New Roman" w:cs="Times New Roman"/>
          <w:sz w:val="24"/>
          <w:szCs w:val="24"/>
        </w:rPr>
        <w:lastRenderedPageBreak/>
        <w:t>other patients who do not have such physical or mental disabilities. Moreover, Section 1557</w:t>
      </w:r>
      <w:r>
        <w:rPr>
          <w:rFonts w:ascii="Times New Roman" w:hAnsi="Times New Roman" w:cs="Times New Roman"/>
          <w:position w:val="8"/>
          <w:sz w:val="15"/>
          <w:szCs w:val="15"/>
        </w:rPr>
        <w:t xml:space="preserve">11 </w:t>
      </w:r>
      <w:r>
        <w:rPr>
          <w:rFonts w:ascii="Times New Roman" w:hAnsi="Times New Roman" w:cs="Times New Roman"/>
          <w:sz w:val="24"/>
          <w:szCs w:val="24"/>
        </w:rPr>
        <w:t>of the Affordable Care Act (ACA) requires that provider healthcare programs and services accommodate persons with disabilities, unless doing so would result in undue financial and administrative burden.</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19" w:right="301"/>
        <w:rPr>
          <w:rFonts w:ascii="Times New Roman" w:hAnsi="Times New Roman" w:cs="Times New Roman"/>
          <w:sz w:val="24"/>
          <w:szCs w:val="24"/>
        </w:rPr>
      </w:pPr>
      <w:r>
        <w:rPr>
          <w:rFonts w:ascii="Times New Roman" w:hAnsi="Times New Roman" w:cs="Times New Roman"/>
          <w:spacing w:val="-6"/>
          <w:sz w:val="24"/>
          <w:szCs w:val="24"/>
        </w:rPr>
        <w:t xml:space="preserve">Useful </w:t>
      </w:r>
      <w:r>
        <w:rPr>
          <w:rFonts w:ascii="Times New Roman" w:hAnsi="Times New Roman" w:cs="Times New Roman"/>
          <w:spacing w:val="-5"/>
          <w:sz w:val="24"/>
          <w:szCs w:val="24"/>
        </w:rPr>
        <w:t xml:space="preserve">accommodations </w:t>
      </w:r>
      <w:r>
        <w:rPr>
          <w:rFonts w:ascii="Times New Roman" w:hAnsi="Times New Roman" w:cs="Times New Roman"/>
          <w:spacing w:val="-3"/>
          <w:sz w:val="24"/>
          <w:szCs w:val="24"/>
        </w:rPr>
        <w:t xml:space="preserve">to MassHealth </w:t>
      </w:r>
      <w:r>
        <w:rPr>
          <w:rFonts w:ascii="Times New Roman" w:hAnsi="Times New Roman" w:cs="Times New Roman"/>
          <w:spacing w:val="-5"/>
          <w:sz w:val="24"/>
          <w:szCs w:val="24"/>
        </w:rPr>
        <w:t xml:space="preserve">members </w:t>
      </w:r>
      <w:r>
        <w:rPr>
          <w:rFonts w:ascii="Times New Roman" w:hAnsi="Times New Roman" w:cs="Times New Roman"/>
          <w:sz w:val="24"/>
          <w:szCs w:val="24"/>
        </w:rPr>
        <w:t xml:space="preserve">with disabilities would </w:t>
      </w:r>
      <w:r>
        <w:rPr>
          <w:rFonts w:ascii="Times New Roman" w:hAnsi="Times New Roman" w:cs="Times New Roman"/>
          <w:spacing w:val="-3"/>
          <w:sz w:val="24"/>
          <w:szCs w:val="24"/>
        </w:rPr>
        <w:t xml:space="preserve">include </w:t>
      </w:r>
      <w:r>
        <w:rPr>
          <w:rFonts w:ascii="Times New Roman" w:hAnsi="Times New Roman" w:cs="Times New Roman"/>
          <w:spacing w:val="-5"/>
          <w:sz w:val="24"/>
          <w:szCs w:val="24"/>
        </w:rPr>
        <w:t xml:space="preserve">communication </w:t>
      </w:r>
      <w:r>
        <w:rPr>
          <w:rFonts w:ascii="Times New Roman" w:hAnsi="Times New Roman" w:cs="Times New Roman"/>
          <w:sz w:val="24"/>
          <w:szCs w:val="24"/>
        </w:rPr>
        <w:t>access.</w:t>
      </w:r>
      <w:r>
        <w:rPr>
          <w:rFonts w:ascii="Times New Roman" w:hAnsi="Times New Roman" w:cs="Times New Roman"/>
          <w:position w:val="8"/>
          <w:sz w:val="15"/>
          <w:szCs w:val="15"/>
        </w:rPr>
        <w:t xml:space="preserve">12 </w:t>
      </w:r>
      <w:r>
        <w:rPr>
          <w:rFonts w:ascii="Times New Roman" w:hAnsi="Times New Roman" w:cs="Times New Roman"/>
          <w:sz w:val="24"/>
          <w:szCs w:val="24"/>
        </w:rPr>
        <w:t xml:space="preserve">Medical providers are obligated </w:t>
      </w:r>
      <w:r>
        <w:rPr>
          <w:rFonts w:ascii="Times New Roman" w:hAnsi="Times New Roman" w:cs="Times New Roman"/>
          <w:spacing w:val="-3"/>
          <w:sz w:val="24"/>
          <w:szCs w:val="24"/>
        </w:rPr>
        <w:t xml:space="preserve">to </w:t>
      </w:r>
      <w:r>
        <w:rPr>
          <w:rFonts w:ascii="Times New Roman" w:hAnsi="Times New Roman" w:cs="Times New Roman"/>
          <w:sz w:val="24"/>
          <w:szCs w:val="24"/>
        </w:rPr>
        <w:t xml:space="preserve">provide auxiliary aids </w:t>
      </w:r>
      <w:r>
        <w:rPr>
          <w:rFonts w:ascii="Times New Roman" w:hAnsi="Times New Roman" w:cs="Times New Roman"/>
          <w:spacing w:val="-4"/>
          <w:sz w:val="24"/>
          <w:szCs w:val="24"/>
        </w:rPr>
        <w:t xml:space="preserve">and </w:t>
      </w:r>
      <w:r>
        <w:rPr>
          <w:rFonts w:ascii="Times New Roman" w:hAnsi="Times New Roman" w:cs="Times New Roman"/>
          <w:sz w:val="24"/>
          <w:szCs w:val="24"/>
        </w:rPr>
        <w:t xml:space="preserve">services, as </w:t>
      </w:r>
      <w:r>
        <w:rPr>
          <w:rFonts w:ascii="Times New Roman" w:hAnsi="Times New Roman" w:cs="Times New Roman"/>
          <w:spacing w:val="-3"/>
          <w:sz w:val="24"/>
          <w:szCs w:val="24"/>
        </w:rPr>
        <w:t xml:space="preserve">necessary, </w:t>
      </w:r>
      <w:r>
        <w:rPr>
          <w:rFonts w:ascii="Times New Roman" w:hAnsi="Times New Roman" w:cs="Times New Roman"/>
          <w:spacing w:val="-5"/>
          <w:sz w:val="24"/>
          <w:szCs w:val="24"/>
        </w:rPr>
        <w:t xml:space="preserve">to </w:t>
      </w:r>
      <w:r>
        <w:rPr>
          <w:rFonts w:ascii="Times New Roman" w:hAnsi="Times New Roman" w:cs="Times New Roman"/>
          <w:spacing w:val="-3"/>
          <w:sz w:val="24"/>
          <w:szCs w:val="24"/>
        </w:rPr>
        <w:t xml:space="preserve">ensure </w:t>
      </w:r>
      <w:r>
        <w:rPr>
          <w:rFonts w:ascii="Times New Roman" w:hAnsi="Times New Roman" w:cs="Times New Roman"/>
          <w:spacing w:val="-4"/>
          <w:sz w:val="24"/>
          <w:szCs w:val="24"/>
        </w:rPr>
        <w:t xml:space="preserve">that </w:t>
      </w:r>
      <w:r>
        <w:rPr>
          <w:rFonts w:ascii="Times New Roman" w:hAnsi="Times New Roman" w:cs="Times New Roman"/>
          <w:spacing w:val="-6"/>
          <w:sz w:val="24"/>
          <w:szCs w:val="24"/>
        </w:rPr>
        <w:t xml:space="preserve">communications </w:t>
      </w:r>
      <w:r>
        <w:rPr>
          <w:rFonts w:ascii="Times New Roman" w:hAnsi="Times New Roman" w:cs="Times New Roman"/>
          <w:sz w:val="24"/>
          <w:szCs w:val="24"/>
        </w:rPr>
        <w:t xml:space="preserve">with </w:t>
      </w:r>
      <w:r>
        <w:rPr>
          <w:rFonts w:ascii="Times New Roman" w:hAnsi="Times New Roman" w:cs="Times New Roman"/>
          <w:spacing w:val="-3"/>
          <w:sz w:val="24"/>
          <w:szCs w:val="24"/>
        </w:rPr>
        <w:t xml:space="preserve">patients </w:t>
      </w:r>
      <w:r>
        <w:rPr>
          <w:rFonts w:ascii="Times New Roman" w:hAnsi="Times New Roman" w:cs="Times New Roman"/>
          <w:sz w:val="24"/>
          <w:szCs w:val="24"/>
        </w:rPr>
        <w:t xml:space="preserve">who are deaf or hard of hearing are </w:t>
      </w:r>
      <w:r>
        <w:rPr>
          <w:rFonts w:ascii="Times New Roman" w:hAnsi="Times New Roman" w:cs="Times New Roman"/>
          <w:spacing w:val="-3"/>
          <w:sz w:val="24"/>
          <w:szCs w:val="24"/>
        </w:rPr>
        <w:t>effective.</w:t>
      </w:r>
      <w:r>
        <w:rPr>
          <w:rFonts w:ascii="Times New Roman" w:hAnsi="Times New Roman" w:cs="Times New Roman"/>
          <w:spacing w:val="-3"/>
          <w:position w:val="8"/>
          <w:sz w:val="15"/>
          <w:szCs w:val="15"/>
        </w:rPr>
        <w:t xml:space="preserve">13 </w:t>
      </w:r>
      <w:r>
        <w:rPr>
          <w:rFonts w:ascii="Times New Roman" w:hAnsi="Times New Roman" w:cs="Times New Roman"/>
          <w:sz w:val="24"/>
          <w:szCs w:val="24"/>
        </w:rPr>
        <w:t xml:space="preserve">Auxiliary aids, </w:t>
      </w:r>
      <w:r>
        <w:rPr>
          <w:rFonts w:ascii="Times New Roman" w:hAnsi="Times New Roman" w:cs="Times New Roman"/>
          <w:spacing w:val="-3"/>
          <w:sz w:val="24"/>
          <w:szCs w:val="24"/>
        </w:rPr>
        <w:t xml:space="preserve">for example, benefit </w:t>
      </w:r>
      <w:r>
        <w:rPr>
          <w:rFonts w:ascii="Times New Roman" w:hAnsi="Times New Roman" w:cs="Times New Roman"/>
          <w:sz w:val="24"/>
          <w:szCs w:val="24"/>
        </w:rPr>
        <w:t xml:space="preserve">provider </w:t>
      </w:r>
      <w:r>
        <w:rPr>
          <w:rFonts w:ascii="Times New Roman" w:hAnsi="Times New Roman" w:cs="Times New Roman"/>
          <w:spacing w:val="-3"/>
          <w:sz w:val="24"/>
          <w:szCs w:val="24"/>
        </w:rPr>
        <w:t xml:space="preserve">staff </w:t>
      </w:r>
      <w:r>
        <w:rPr>
          <w:rFonts w:ascii="Times New Roman" w:hAnsi="Times New Roman" w:cs="Times New Roman"/>
          <w:sz w:val="24"/>
          <w:szCs w:val="24"/>
        </w:rPr>
        <w:t xml:space="preserve">by </w:t>
      </w:r>
      <w:r>
        <w:rPr>
          <w:rFonts w:ascii="Times New Roman" w:hAnsi="Times New Roman" w:cs="Times New Roman"/>
          <w:spacing w:val="-3"/>
          <w:sz w:val="24"/>
          <w:szCs w:val="24"/>
        </w:rPr>
        <w:t xml:space="preserve">clarifying their </w:t>
      </w:r>
      <w:r>
        <w:rPr>
          <w:rFonts w:ascii="Times New Roman" w:hAnsi="Times New Roman" w:cs="Times New Roman"/>
          <w:spacing w:val="-4"/>
          <w:sz w:val="24"/>
          <w:szCs w:val="24"/>
        </w:rPr>
        <w:t xml:space="preserve">knowledge </w:t>
      </w:r>
      <w:r>
        <w:rPr>
          <w:rFonts w:ascii="Times New Roman" w:hAnsi="Times New Roman" w:cs="Times New Roman"/>
          <w:sz w:val="24"/>
          <w:szCs w:val="24"/>
        </w:rPr>
        <w:t xml:space="preserve">of </w:t>
      </w:r>
      <w:r>
        <w:rPr>
          <w:rFonts w:ascii="Times New Roman" w:hAnsi="Times New Roman" w:cs="Times New Roman"/>
          <w:spacing w:val="-5"/>
          <w:sz w:val="24"/>
          <w:szCs w:val="24"/>
        </w:rPr>
        <w:t xml:space="preserve">the </w:t>
      </w:r>
      <w:r>
        <w:rPr>
          <w:rFonts w:ascii="Times New Roman" w:hAnsi="Times New Roman" w:cs="Times New Roman"/>
          <w:sz w:val="24"/>
          <w:szCs w:val="24"/>
        </w:rPr>
        <w:t xml:space="preserve">patient’s </w:t>
      </w:r>
      <w:r>
        <w:rPr>
          <w:rFonts w:ascii="Times New Roman" w:hAnsi="Times New Roman" w:cs="Times New Roman"/>
          <w:spacing w:val="-3"/>
          <w:sz w:val="24"/>
          <w:szCs w:val="24"/>
        </w:rPr>
        <w:t xml:space="preserve">medical </w:t>
      </w:r>
      <w:r>
        <w:rPr>
          <w:rFonts w:ascii="Times New Roman" w:hAnsi="Times New Roman" w:cs="Times New Roman"/>
          <w:sz w:val="24"/>
          <w:szCs w:val="24"/>
        </w:rPr>
        <w:t xml:space="preserve">condition </w:t>
      </w:r>
      <w:r>
        <w:rPr>
          <w:rFonts w:ascii="Times New Roman" w:hAnsi="Times New Roman" w:cs="Times New Roman"/>
          <w:spacing w:val="-4"/>
          <w:sz w:val="24"/>
          <w:szCs w:val="24"/>
        </w:rPr>
        <w:t xml:space="preserve">and </w:t>
      </w:r>
      <w:r>
        <w:rPr>
          <w:rFonts w:ascii="Times New Roman" w:hAnsi="Times New Roman" w:cs="Times New Roman"/>
          <w:sz w:val="24"/>
          <w:szCs w:val="24"/>
        </w:rPr>
        <w:t xml:space="preserve">assist </w:t>
      </w:r>
      <w:r>
        <w:rPr>
          <w:rFonts w:ascii="Times New Roman" w:hAnsi="Times New Roman" w:cs="Times New Roman"/>
          <w:spacing w:val="-4"/>
          <w:sz w:val="24"/>
          <w:szCs w:val="24"/>
        </w:rPr>
        <w:t xml:space="preserve">patients </w:t>
      </w:r>
      <w:r>
        <w:rPr>
          <w:rFonts w:ascii="Times New Roman" w:hAnsi="Times New Roman" w:cs="Times New Roman"/>
          <w:sz w:val="24"/>
          <w:szCs w:val="24"/>
        </w:rPr>
        <w:t xml:space="preserve">in receiving </w:t>
      </w:r>
      <w:r>
        <w:rPr>
          <w:rFonts w:ascii="Times New Roman" w:hAnsi="Times New Roman" w:cs="Times New Roman"/>
          <w:spacing w:val="-3"/>
          <w:sz w:val="24"/>
          <w:szCs w:val="24"/>
        </w:rPr>
        <w:t xml:space="preserve">comprehensible instructions for </w:t>
      </w:r>
      <w:r>
        <w:rPr>
          <w:rFonts w:ascii="Times New Roman" w:hAnsi="Times New Roman" w:cs="Times New Roman"/>
          <w:sz w:val="24"/>
          <w:szCs w:val="24"/>
        </w:rPr>
        <w:t xml:space="preserve">follow </w:t>
      </w:r>
      <w:r>
        <w:rPr>
          <w:rFonts w:ascii="Times New Roman" w:hAnsi="Times New Roman" w:cs="Times New Roman"/>
          <w:spacing w:val="-4"/>
          <w:sz w:val="24"/>
          <w:szCs w:val="24"/>
        </w:rPr>
        <w:t xml:space="preserve">up </w:t>
      </w:r>
      <w:r>
        <w:rPr>
          <w:rFonts w:ascii="Times New Roman" w:hAnsi="Times New Roman" w:cs="Times New Roman"/>
          <w:sz w:val="24"/>
          <w:szCs w:val="24"/>
        </w:rPr>
        <w:t xml:space="preserve">care or </w:t>
      </w:r>
      <w:r>
        <w:rPr>
          <w:rFonts w:ascii="Times New Roman" w:hAnsi="Times New Roman" w:cs="Times New Roman"/>
          <w:spacing w:val="-3"/>
          <w:sz w:val="24"/>
          <w:szCs w:val="24"/>
        </w:rPr>
        <w:t xml:space="preserve">medications. </w:t>
      </w:r>
      <w:r>
        <w:rPr>
          <w:rFonts w:ascii="Times New Roman" w:hAnsi="Times New Roman" w:cs="Times New Roman"/>
          <w:sz w:val="24"/>
          <w:szCs w:val="24"/>
        </w:rPr>
        <w:t xml:space="preserve">However, providers </w:t>
      </w:r>
      <w:r>
        <w:rPr>
          <w:rFonts w:ascii="Times New Roman" w:hAnsi="Times New Roman" w:cs="Times New Roman"/>
          <w:spacing w:val="-3"/>
          <w:sz w:val="24"/>
          <w:szCs w:val="24"/>
        </w:rPr>
        <w:t xml:space="preserve">may </w:t>
      </w:r>
      <w:r>
        <w:rPr>
          <w:rFonts w:ascii="Times New Roman" w:hAnsi="Times New Roman" w:cs="Times New Roman"/>
          <w:sz w:val="24"/>
          <w:szCs w:val="24"/>
        </w:rPr>
        <w:t xml:space="preserve">lack requisite </w:t>
      </w:r>
      <w:r>
        <w:rPr>
          <w:rFonts w:ascii="Times New Roman" w:hAnsi="Times New Roman" w:cs="Times New Roman"/>
          <w:spacing w:val="-4"/>
          <w:sz w:val="24"/>
          <w:szCs w:val="24"/>
        </w:rPr>
        <w:t xml:space="preserve">training </w:t>
      </w:r>
      <w:r>
        <w:rPr>
          <w:rFonts w:ascii="Times New Roman" w:hAnsi="Times New Roman" w:cs="Times New Roman"/>
          <w:sz w:val="24"/>
          <w:szCs w:val="24"/>
        </w:rPr>
        <w:t xml:space="preserve">or </w:t>
      </w:r>
      <w:r>
        <w:rPr>
          <w:rFonts w:ascii="Times New Roman" w:hAnsi="Times New Roman" w:cs="Times New Roman"/>
          <w:spacing w:val="-5"/>
          <w:sz w:val="24"/>
          <w:szCs w:val="24"/>
        </w:rPr>
        <w:t xml:space="preserve">the </w:t>
      </w:r>
      <w:r>
        <w:rPr>
          <w:rFonts w:ascii="Times New Roman" w:hAnsi="Times New Roman" w:cs="Times New Roman"/>
          <w:spacing w:val="-3"/>
          <w:sz w:val="24"/>
          <w:szCs w:val="24"/>
        </w:rPr>
        <w:t xml:space="preserve">financial </w:t>
      </w:r>
      <w:r>
        <w:rPr>
          <w:rFonts w:ascii="Times New Roman" w:hAnsi="Times New Roman" w:cs="Times New Roman"/>
          <w:sz w:val="24"/>
          <w:szCs w:val="24"/>
        </w:rPr>
        <w:t xml:space="preserve">sources </w:t>
      </w:r>
      <w:r>
        <w:rPr>
          <w:rFonts w:ascii="Times New Roman" w:hAnsi="Times New Roman" w:cs="Times New Roman"/>
          <w:spacing w:val="-5"/>
          <w:sz w:val="24"/>
          <w:szCs w:val="24"/>
        </w:rPr>
        <w:t xml:space="preserve">to implement  </w:t>
      </w:r>
      <w:r>
        <w:rPr>
          <w:rFonts w:ascii="Times New Roman" w:hAnsi="Times New Roman" w:cs="Times New Roman"/>
          <w:spacing w:val="-3"/>
          <w:sz w:val="24"/>
          <w:szCs w:val="24"/>
        </w:rPr>
        <w:t xml:space="preserve">such training </w:t>
      </w:r>
      <w:r>
        <w:rPr>
          <w:rFonts w:ascii="Times New Roman" w:hAnsi="Times New Roman" w:cs="Times New Roman"/>
          <w:spacing w:val="-4"/>
          <w:sz w:val="24"/>
          <w:szCs w:val="24"/>
        </w:rPr>
        <w:t xml:space="preserve">and </w:t>
      </w:r>
      <w:r>
        <w:rPr>
          <w:rFonts w:ascii="Times New Roman" w:hAnsi="Times New Roman" w:cs="Times New Roman"/>
          <w:sz w:val="24"/>
          <w:szCs w:val="24"/>
        </w:rPr>
        <w:t>auxiliary devices.</w:t>
      </w:r>
    </w:p>
    <w:p w:rsidR="002C5025" w:rsidRDefault="002C5025">
      <w:pPr>
        <w:pStyle w:val="BodyText"/>
        <w:kinsoku w:val="0"/>
        <w:overflowPunct w:val="0"/>
        <w:spacing w:before="2"/>
        <w:rPr>
          <w:rFonts w:ascii="Times New Roman" w:hAnsi="Times New Roman" w:cs="Times New Roman"/>
          <w:sz w:val="24"/>
          <w:szCs w:val="24"/>
        </w:rPr>
      </w:pPr>
    </w:p>
    <w:p w:rsidR="002C5025" w:rsidRDefault="002C5025">
      <w:pPr>
        <w:pStyle w:val="BodyText"/>
        <w:kinsoku w:val="0"/>
        <w:overflowPunct w:val="0"/>
        <w:ind w:left="119" w:right="252"/>
        <w:rPr>
          <w:rFonts w:ascii="Times New Roman" w:hAnsi="Times New Roman" w:cs="Times New Roman"/>
          <w:spacing w:val="-6"/>
          <w:sz w:val="24"/>
          <w:szCs w:val="24"/>
        </w:rPr>
      </w:pPr>
      <w:r>
        <w:rPr>
          <w:rFonts w:ascii="Times New Roman" w:hAnsi="Times New Roman" w:cs="Times New Roman"/>
          <w:spacing w:val="-6"/>
          <w:sz w:val="24"/>
          <w:szCs w:val="24"/>
        </w:rPr>
        <w:t xml:space="preserve">Although HLA </w:t>
      </w:r>
      <w:r>
        <w:rPr>
          <w:rFonts w:ascii="Times New Roman" w:hAnsi="Times New Roman" w:cs="Times New Roman"/>
          <w:spacing w:val="-3"/>
          <w:sz w:val="24"/>
          <w:szCs w:val="24"/>
        </w:rPr>
        <w:t xml:space="preserve">strongly supports </w:t>
      </w:r>
      <w:r>
        <w:rPr>
          <w:rFonts w:ascii="Times New Roman" w:hAnsi="Times New Roman" w:cs="Times New Roman"/>
          <w:spacing w:val="-5"/>
          <w:sz w:val="24"/>
          <w:szCs w:val="24"/>
        </w:rPr>
        <w:t xml:space="preserve">the </w:t>
      </w:r>
      <w:r>
        <w:rPr>
          <w:rFonts w:ascii="Times New Roman" w:hAnsi="Times New Roman" w:cs="Times New Roman"/>
          <w:spacing w:val="-3"/>
          <w:sz w:val="24"/>
          <w:szCs w:val="24"/>
        </w:rPr>
        <w:t xml:space="preserve">patient </w:t>
      </w:r>
      <w:r>
        <w:rPr>
          <w:rFonts w:ascii="Times New Roman" w:hAnsi="Times New Roman" w:cs="Times New Roman"/>
          <w:sz w:val="24"/>
          <w:szCs w:val="24"/>
        </w:rPr>
        <w:t xml:space="preserve">protections </w:t>
      </w:r>
      <w:r>
        <w:rPr>
          <w:rFonts w:ascii="Times New Roman" w:hAnsi="Times New Roman" w:cs="Times New Roman"/>
          <w:spacing w:val="-3"/>
          <w:sz w:val="24"/>
          <w:szCs w:val="24"/>
        </w:rPr>
        <w:t xml:space="preserve">and </w:t>
      </w:r>
      <w:r>
        <w:rPr>
          <w:rFonts w:ascii="Times New Roman" w:hAnsi="Times New Roman" w:cs="Times New Roman"/>
          <w:sz w:val="24"/>
          <w:szCs w:val="24"/>
        </w:rPr>
        <w:t xml:space="preserve">provider </w:t>
      </w:r>
      <w:r>
        <w:rPr>
          <w:rFonts w:ascii="Times New Roman" w:hAnsi="Times New Roman" w:cs="Times New Roman"/>
          <w:spacing w:val="-3"/>
          <w:sz w:val="24"/>
          <w:szCs w:val="24"/>
        </w:rPr>
        <w:t xml:space="preserve">financial </w:t>
      </w:r>
      <w:r>
        <w:rPr>
          <w:rFonts w:ascii="Times New Roman" w:hAnsi="Times New Roman" w:cs="Times New Roman"/>
          <w:sz w:val="24"/>
          <w:szCs w:val="24"/>
        </w:rPr>
        <w:t xml:space="preserve">assistance proposals </w:t>
      </w:r>
      <w:r>
        <w:rPr>
          <w:rFonts w:ascii="Times New Roman" w:hAnsi="Times New Roman" w:cs="Times New Roman"/>
          <w:spacing w:val="-5"/>
          <w:sz w:val="24"/>
          <w:szCs w:val="24"/>
        </w:rPr>
        <w:t xml:space="preserve">under </w:t>
      </w:r>
      <w:r>
        <w:rPr>
          <w:rFonts w:ascii="Times New Roman" w:hAnsi="Times New Roman" w:cs="Times New Roman"/>
          <w:spacing w:val="-4"/>
          <w:sz w:val="24"/>
          <w:szCs w:val="24"/>
        </w:rPr>
        <w:t xml:space="preserve">this </w:t>
      </w:r>
      <w:r>
        <w:rPr>
          <w:rFonts w:ascii="Times New Roman" w:hAnsi="Times New Roman" w:cs="Times New Roman"/>
          <w:sz w:val="24"/>
          <w:szCs w:val="24"/>
        </w:rPr>
        <w:t xml:space="preserve">section, we </w:t>
      </w:r>
      <w:r>
        <w:rPr>
          <w:rFonts w:ascii="Times New Roman" w:hAnsi="Times New Roman" w:cs="Times New Roman"/>
          <w:spacing w:val="-5"/>
          <w:sz w:val="24"/>
          <w:szCs w:val="24"/>
        </w:rPr>
        <w:t xml:space="preserve">further suggest  </w:t>
      </w:r>
      <w:r>
        <w:rPr>
          <w:rFonts w:ascii="Times New Roman" w:hAnsi="Times New Roman" w:cs="Times New Roman"/>
          <w:spacing w:val="-4"/>
          <w:sz w:val="24"/>
          <w:szCs w:val="24"/>
        </w:rPr>
        <w:t xml:space="preserve">that </w:t>
      </w:r>
      <w:r>
        <w:rPr>
          <w:rFonts w:ascii="Times New Roman" w:hAnsi="Times New Roman" w:cs="Times New Roman"/>
          <w:sz w:val="24"/>
          <w:szCs w:val="24"/>
        </w:rPr>
        <w:t xml:space="preserve">federal </w:t>
      </w:r>
      <w:r>
        <w:rPr>
          <w:rFonts w:ascii="Times New Roman" w:hAnsi="Times New Roman" w:cs="Times New Roman"/>
          <w:spacing w:val="-6"/>
          <w:sz w:val="24"/>
          <w:szCs w:val="24"/>
        </w:rPr>
        <w:t xml:space="preserve">funding  </w:t>
      </w:r>
      <w:r>
        <w:rPr>
          <w:rFonts w:ascii="Times New Roman" w:hAnsi="Times New Roman" w:cs="Times New Roman"/>
          <w:sz w:val="24"/>
          <w:szCs w:val="24"/>
        </w:rPr>
        <w:t xml:space="preserve">also include provider </w:t>
      </w:r>
      <w:r>
        <w:rPr>
          <w:rFonts w:ascii="Times New Roman" w:hAnsi="Times New Roman" w:cs="Times New Roman"/>
          <w:spacing w:val="-5"/>
          <w:sz w:val="24"/>
          <w:szCs w:val="24"/>
        </w:rPr>
        <w:t xml:space="preserve">trainings </w:t>
      </w:r>
      <w:r>
        <w:rPr>
          <w:rFonts w:ascii="Times New Roman" w:hAnsi="Times New Roman" w:cs="Times New Roman"/>
          <w:spacing w:val="-3"/>
          <w:sz w:val="24"/>
          <w:szCs w:val="24"/>
        </w:rPr>
        <w:t xml:space="preserve">to ensure </w:t>
      </w:r>
      <w:r>
        <w:rPr>
          <w:rFonts w:ascii="Times New Roman" w:hAnsi="Times New Roman" w:cs="Times New Roman"/>
          <w:spacing w:val="-4"/>
          <w:sz w:val="24"/>
          <w:szCs w:val="24"/>
        </w:rPr>
        <w:t xml:space="preserve">that </w:t>
      </w:r>
      <w:r>
        <w:rPr>
          <w:rFonts w:ascii="Times New Roman" w:hAnsi="Times New Roman" w:cs="Times New Roman"/>
          <w:spacing w:val="-3"/>
          <w:sz w:val="24"/>
          <w:szCs w:val="24"/>
        </w:rPr>
        <w:t xml:space="preserve">medical </w:t>
      </w:r>
      <w:r>
        <w:rPr>
          <w:rFonts w:ascii="Times New Roman" w:hAnsi="Times New Roman" w:cs="Times New Roman"/>
          <w:sz w:val="24"/>
          <w:szCs w:val="24"/>
        </w:rPr>
        <w:t xml:space="preserve">care is provided in an accessible </w:t>
      </w:r>
      <w:r>
        <w:rPr>
          <w:rFonts w:ascii="Times New Roman" w:hAnsi="Times New Roman" w:cs="Times New Roman"/>
          <w:spacing w:val="-7"/>
          <w:sz w:val="24"/>
          <w:szCs w:val="24"/>
        </w:rPr>
        <w:t xml:space="preserve">manner </w:t>
      </w:r>
      <w:r>
        <w:rPr>
          <w:rFonts w:ascii="Times New Roman" w:hAnsi="Times New Roman" w:cs="Times New Roman"/>
          <w:spacing w:val="-3"/>
          <w:sz w:val="24"/>
          <w:szCs w:val="24"/>
        </w:rPr>
        <w:t xml:space="preserve">to </w:t>
      </w:r>
      <w:r>
        <w:rPr>
          <w:rFonts w:ascii="Times New Roman" w:hAnsi="Times New Roman" w:cs="Times New Roman"/>
          <w:sz w:val="24"/>
          <w:szCs w:val="24"/>
        </w:rPr>
        <w:t xml:space="preserve">individuals with disabilities. </w:t>
      </w:r>
      <w:r>
        <w:rPr>
          <w:rFonts w:ascii="Times New Roman" w:hAnsi="Times New Roman" w:cs="Times New Roman"/>
          <w:spacing w:val="-3"/>
          <w:sz w:val="24"/>
          <w:szCs w:val="24"/>
        </w:rPr>
        <w:t xml:space="preserve">Additionally, </w:t>
      </w:r>
      <w:r>
        <w:rPr>
          <w:rFonts w:ascii="Times New Roman" w:hAnsi="Times New Roman" w:cs="Times New Roman"/>
          <w:sz w:val="24"/>
          <w:szCs w:val="24"/>
        </w:rPr>
        <w:t xml:space="preserve">each primary care clinician or </w:t>
      </w:r>
      <w:r>
        <w:rPr>
          <w:rFonts w:ascii="Times New Roman" w:hAnsi="Times New Roman" w:cs="Times New Roman"/>
          <w:spacing w:val="-3"/>
          <w:sz w:val="24"/>
          <w:szCs w:val="24"/>
        </w:rPr>
        <w:t xml:space="preserve">ACO should </w:t>
      </w:r>
      <w:r>
        <w:rPr>
          <w:rFonts w:ascii="Times New Roman" w:hAnsi="Times New Roman" w:cs="Times New Roman"/>
          <w:sz w:val="24"/>
          <w:szCs w:val="24"/>
        </w:rPr>
        <w:t xml:space="preserve">be required </w:t>
      </w:r>
      <w:r>
        <w:rPr>
          <w:rFonts w:ascii="Times New Roman" w:hAnsi="Times New Roman" w:cs="Times New Roman"/>
          <w:spacing w:val="-3"/>
          <w:sz w:val="24"/>
          <w:szCs w:val="24"/>
        </w:rPr>
        <w:t xml:space="preserve">to </w:t>
      </w:r>
      <w:r>
        <w:rPr>
          <w:rFonts w:ascii="Times New Roman" w:hAnsi="Times New Roman" w:cs="Times New Roman"/>
          <w:sz w:val="24"/>
          <w:szCs w:val="24"/>
        </w:rPr>
        <w:t xml:space="preserve">identify </w:t>
      </w:r>
      <w:r>
        <w:rPr>
          <w:rFonts w:ascii="Times New Roman" w:hAnsi="Times New Roman" w:cs="Times New Roman"/>
          <w:spacing w:val="-5"/>
          <w:sz w:val="24"/>
          <w:szCs w:val="24"/>
        </w:rPr>
        <w:t xml:space="preserve">and </w:t>
      </w:r>
      <w:r>
        <w:rPr>
          <w:rFonts w:ascii="Times New Roman" w:hAnsi="Times New Roman" w:cs="Times New Roman"/>
          <w:sz w:val="24"/>
          <w:szCs w:val="24"/>
        </w:rPr>
        <w:t xml:space="preserve">disclose </w:t>
      </w:r>
      <w:r>
        <w:rPr>
          <w:rFonts w:ascii="Times New Roman" w:hAnsi="Times New Roman" w:cs="Times New Roman"/>
          <w:spacing w:val="-3"/>
          <w:sz w:val="24"/>
          <w:szCs w:val="24"/>
        </w:rPr>
        <w:t xml:space="preserve">to </w:t>
      </w:r>
      <w:r>
        <w:rPr>
          <w:rFonts w:ascii="Times New Roman" w:hAnsi="Times New Roman" w:cs="Times New Roman"/>
          <w:sz w:val="24"/>
          <w:szCs w:val="24"/>
        </w:rPr>
        <w:t xml:space="preserve">its </w:t>
      </w:r>
      <w:r>
        <w:rPr>
          <w:rFonts w:ascii="Times New Roman" w:hAnsi="Times New Roman" w:cs="Times New Roman"/>
          <w:spacing w:val="-5"/>
          <w:sz w:val="24"/>
          <w:szCs w:val="24"/>
        </w:rPr>
        <w:t xml:space="preserve">members </w:t>
      </w:r>
      <w:r>
        <w:rPr>
          <w:rFonts w:ascii="Times New Roman" w:hAnsi="Times New Roman" w:cs="Times New Roman"/>
          <w:sz w:val="24"/>
          <w:szCs w:val="24"/>
        </w:rPr>
        <w:t xml:space="preserve">an </w:t>
      </w:r>
      <w:r>
        <w:rPr>
          <w:rFonts w:ascii="Times New Roman" w:hAnsi="Times New Roman" w:cs="Times New Roman"/>
          <w:spacing w:val="-4"/>
          <w:sz w:val="24"/>
          <w:szCs w:val="24"/>
        </w:rPr>
        <w:t xml:space="preserve">ADA </w:t>
      </w:r>
      <w:r>
        <w:rPr>
          <w:rFonts w:ascii="Times New Roman" w:hAnsi="Times New Roman" w:cs="Times New Roman"/>
          <w:spacing w:val="-3"/>
          <w:sz w:val="24"/>
          <w:szCs w:val="24"/>
        </w:rPr>
        <w:t xml:space="preserve">Compliance </w:t>
      </w:r>
      <w:r>
        <w:rPr>
          <w:rFonts w:ascii="Times New Roman" w:hAnsi="Times New Roman" w:cs="Times New Roman"/>
          <w:spacing w:val="-4"/>
          <w:sz w:val="24"/>
          <w:szCs w:val="24"/>
        </w:rPr>
        <w:t xml:space="preserve">Officer </w:t>
      </w:r>
      <w:r>
        <w:rPr>
          <w:rFonts w:ascii="Times New Roman" w:hAnsi="Times New Roman" w:cs="Times New Roman"/>
          <w:sz w:val="24"/>
          <w:szCs w:val="24"/>
        </w:rPr>
        <w:t xml:space="preserve">whose </w:t>
      </w:r>
      <w:r>
        <w:rPr>
          <w:rFonts w:ascii="Times New Roman" w:hAnsi="Times New Roman" w:cs="Times New Roman"/>
          <w:spacing w:val="-3"/>
          <w:sz w:val="24"/>
          <w:szCs w:val="24"/>
        </w:rPr>
        <w:t xml:space="preserve">duty </w:t>
      </w:r>
      <w:r>
        <w:rPr>
          <w:rFonts w:ascii="Times New Roman" w:hAnsi="Times New Roman" w:cs="Times New Roman"/>
          <w:sz w:val="24"/>
          <w:szCs w:val="24"/>
        </w:rPr>
        <w:t xml:space="preserve">is </w:t>
      </w:r>
      <w:r>
        <w:rPr>
          <w:rFonts w:ascii="Times New Roman" w:hAnsi="Times New Roman" w:cs="Times New Roman"/>
          <w:spacing w:val="-3"/>
          <w:sz w:val="24"/>
          <w:szCs w:val="24"/>
        </w:rPr>
        <w:t xml:space="preserve">to </w:t>
      </w:r>
      <w:r>
        <w:rPr>
          <w:rFonts w:ascii="Times New Roman" w:hAnsi="Times New Roman" w:cs="Times New Roman"/>
          <w:sz w:val="24"/>
          <w:szCs w:val="24"/>
        </w:rPr>
        <w:t xml:space="preserve">verify </w:t>
      </w:r>
      <w:r>
        <w:rPr>
          <w:rFonts w:ascii="Times New Roman" w:hAnsi="Times New Roman" w:cs="Times New Roman"/>
          <w:spacing w:val="-4"/>
          <w:sz w:val="24"/>
          <w:szCs w:val="24"/>
        </w:rPr>
        <w:t xml:space="preserve">that </w:t>
      </w:r>
      <w:r>
        <w:rPr>
          <w:rFonts w:ascii="Times New Roman" w:hAnsi="Times New Roman" w:cs="Times New Roman"/>
          <w:spacing w:val="-8"/>
          <w:sz w:val="24"/>
          <w:szCs w:val="24"/>
        </w:rPr>
        <w:t xml:space="preserve">the </w:t>
      </w:r>
      <w:r>
        <w:rPr>
          <w:rFonts w:ascii="Times New Roman" w:hAnsi="Times New Roman" w:cs="Times New Roman"/>
          <w:spacing w:val="-4"/>
          <w:sz w:val="24"/>
          <w:szCs w:val="24"/>
        </w:rPr>
        <w:t xml:space="preserve">organization’s programs and </w:t>
      </w:r>
      <w:r>
        <w:rPr>
          <w:rFonts w:ascii="Times New Roman" w:hAnsi="Times New Roman" w:cs="Times New Roman"/>
          <w:sz w:val="24"/>
          <w:szCs w:val="24"/>
        </w:rPr>
        <w:t xml:space="preserve">services are delivered in a </w:t>
      </w:r>
      <w:r>
        <w:rPr>
          <w:rFonts w:ascii="Times New Roman" w:hAnsi="Times New Roman" w:cs="Times New Roman"/>
          <w:spacing w:val="-7"/>
          <w:sz w:val="24"/>
          <w:szCs w:val="24"/>
        </w:rPr>
        <w:t xml:space="preserve">manner </w:t>
      </w:r>
      <w:r>
        <w:rPr>
          <w:rFonts w:ascii="Times New Roman" w:hAnsi="Times New Roman" w:cs="Times New Roman"/>
          <w:spacing w:val="-4"/>
          <w:sz w:val="24"/>
          <w:szCs w:val="24"/>
        </w:rPr>
        <w:t xml:space="preserve">that </w:t>
      </w:r>
      <w:r>
        <w:rPr>
          <w:rFonts w:ascii="Times New Roman" w:hAnsi="Times New Roman" w:cs="Times New Roman"/>
          <w:sz w:val="24"/>
          <w:szCs w:val="24"/>
        </w:rPr>
        <w:t xml:space="preserve">is </w:t>
      </w:r>
      <w:r>
        <w:rPr>
          <w:rFonts w:ascii="Times New Roman" w:hAnsi="Times New Roman" w:cs="Times New Roman"/>
          <w:spacing w:val="-3"/>
          <w:sz w:val="24"/>
          <w:szCs w:val="24"/>
        </w:rPr>
        <w:t xml:space="preserve">consistent </w:t>
      </w:r>
      <w:r>
        <w:rPr>
          <w:rFonts w:ascii="Times New Roman" w:hAnsi="Times New Roman" w:cs="Times New Roman"/>
          <w:sz w:val="24"/>
          <w:szCs w:val="24"/>
        </w:rPr>
        <w:t xml:space="preserve">with </w:t>
      </w:r>
      <w:r>
        <w:rPr>
          <w:rFonts w:ascii="Times New Roman" w:hAnsi="Times New Roman" w:cs="Times New Roman"/>
          <w:spacing w:val="-4"/>
          <w:sz w:val="24"/>
          <w:szCs w:val="24"/>
        </w:rPr>
        <w:t xml:space="preserve">the </w:t>
      </w:r>
      <w:r>
        <w:rPr>
          <w:rFonts w:ascii="Times New Roman" w:hAnsi="Times New Roman" w:cs="Times New Roman"/>
          <w:spacing w:val="-6"/>
          <w:sz w:val="24"/>
          <w:szCs w:val="24"/>
        </w:rPr>
        <w:t xml:space="preserve">ADA. </w:t>
      </w:r>
      <w:r>
        <w:rPr>
          <w:rFonts w:ascii="Times New Roman" w:hAnsi="Times New Roman" w:cs="Times New Roman"/>
          <w:spacing w:val="-3"/>
          <w:sz w:val="24"/>
          <w:szCs w:val="24"/>
        </w:rPr>
        <w:t xml:space="preserve">We </w:t>
      </w:r>
      <w:r>
        <w:rPr>
          <w:rFonts w:ascii="Times New Roman" w:hAnsi="Times New Roman" w:cs="Times New Roman"/>
          <w:spacing w:val="-5"/>
          <w:sz w:val="24"/>
          <w:szCs w:val="24"/>
        </w:rPr>
        <w:t xml:space="preserve">urge </w:t>
      </w:r>
      <w:r>
        <w:rPr>
          <w:rFonts w:ascii="Times New Roman" w:hAnsi="Times New Roman" w:cs="Times New Roman"/>
          <w:spacing w:val="-3"/>
          <w:sz w:val="24"/>
          <w:szCs w:val="24"/>
        </w:rPr>
        <w:t xml:space="preserve">MassHealth to </w:t>
      </w:r>
      <w:r>
        <w:rPr>
          <w:rFonts w:ascii="Times New Roman" w:hAnsi="Times New Roman" w:cs="Times New Roman"/>
          <w:spacing w:val="-4"/>
          <w:sz w:val="24"/>
          <w:szCs w:val="24"/>
        </w:rPr>
        <w:t xml:space="preserve">institute </w:t>
      </w:r>
      <w:r>
        <w:rPr>
          <w:rFonts w:ascii="Times New Roman" w:hAnsi="Times New Roman" w:cs="Times New Roman"/>
          <w:sz w:val="24"/>
          <w:szCs w:val="24"/>
        </w:rPr>
        <w:t xml:space="preserve">an </w:t>
      </w:r>
      <w:r>
        <w:rPr>
          <w:rFonts w:ascii="Times New Roman" w:hAnsi="Times New Roman" w:cs="Times New Roman"/>
          <w:spacing w:val="-3"/>
          <w:sz w:val="24"/>
          <w:szCs w:val="24"/>
        </w:rPr>
        <w:t xml:space="preserve">internal grievance </w:t>
      </w:r>
      <w:r>
        <w:rPr>
          <w:rFonts w:ascii="Times New Roman" w:hAnsi="Times New Roman" w:cs="Times New Roman"/>
          <w:sz w:val="24"/>
          <w:szCs w:val="24"/>
        </w:rPr>
        <w:t xml:space="preserve">procedure </w:t>
      </w:r>
      <w:r>
        <w:rPr>
          <w:rFonts w:ascii="Times New Roman" w:hAnsi="Times New Roman" w:cs="Times New Roman"/>
          <w:spacing w:val="-4"/>
          <w:sz w:val="24"/>
          <w:szCs w:val="24"/>
        </w:rPr>
        <w:t xml:space="preserve">that </w:t>
      </w:r>
      <w:r>
        <w:rPr>
          <w:rFonts w:ascii="Times New Roman" w:hAnsi="Times New Roman" w:cs="Times New Roman"/>
          <w:sz w:val="24"/>
          <w:szCs w:val="24"/>
        </w:rPr>
        <w:t xml:space="preserve">would provide </w:t>
      </w:r>
      <w:r>
        <w:rPr>
          <w:rFonts w:ascii="Times New Roman" w:hAnsi="Times New Roman" w:cs="Times New Roman"/>
          <w:spacing w:val="-3"/>
          <w:sz w:val="24"/>
          <w:szCs w:val="24"/>
        </w:rPr>
        <w:t xml:space="preserve">for </w:t>
      </w:r>
      <w:r>
        <w:rPr>
          <w:rFonts w:ascii="Times New Roman" w:hAnsi="Times New Roman" w:cs="Times New Roman"/>
          <w:spacing w:val="-8"/>
          <w:sz w:val="24"/>
          <w:szCs w:val="24"/>
        </w:rPr>
        <w:t xml:space="preserve">the </w:t>
      </w:r>
      <w:r>
        <w:rPr>
          <w:rFonts w:ascii="Times New Roman" w:hAnsi="Times New Roman" w:cs="Times New Roman"/>
          <w:spacing w:val="-4"/>
          <w:sz w:val="24"/>
          <w:szCs w:val="24"/>
        </w:rPr>
        <w:t xml:space="preserve">prompt, </w:t>
      </w:r>
      <w:r>
        <w:rPr>
          <w:rFonts w:ascii="Times New Roman" w:hAnsi="Times New Roman" w:cs="Times New Roman"/>
          <w:sz w:val="24"/>
          <w:szCs w:val="24"/>
        </w:rPr>
        <w:t xml:space="preserve">fair, </w:t>
      </w:r>
      <w:r>
        <w:rPr>
          <w:rFonts w:ascii="Times New Roman" w:hAnsi="Times New Roman" w:cs="Times New Roman"/>
          <w:spacing w:val="-4"/>
          <w:sz w:val="24"/>
          <w:szCs w:val="24"/>
        </w:rPr>
        <w:t xml:space="preserve">and </w:t>
      </w:r>
      <w:r>
        <w:rPr>
          <w:rFonts w:ascii="Times New Roman" w:hAnsi="Times New Roman" w:cs="Times New Roman"/>
          <w:sz w:val="24"/>
          <w:szCs w:val="24"/>
        </w:rPr>
        <w:t xml:space="preserve">equitable resolution of </w:t>
      </w:r>
      <w:r>
        <w:rPr>
          <w:rFonts w:ascii="Times New Roman" w:hAnsi="Times New Roman" w:cs="Times New Roman"/>
          <w:spacing w:val="-3"/>
          <w:sz w:val="24"/>
          <w:szCs w:val="24"/>
        </w:rPr>
        <w:t xml:space="preserve">patient grievances </w:t>
      </w:r>
      <w:r>
        <w:rPr>
          <w:rFonts w:ascii="Times New Roman" w:hAnsi="Times New Roman" w:cs="Times New Roman"/>
          <w:spacing w:val="-4"/>
          <w:sz w:val="24"/>
          <w:szCs w:val="24"/>
        </w:rPr>
        <w:t xml:space="preserve">that </w:t>
      </w:r>
      <w:r>
        <w:rPr>
          <w:rFonts w:ascii="Times New Roman" w:hAnsi="Times New Roman" w:cs="Times New Roman"/>
          <w:sz w:val="24"/>
          <w:szCs w:val="24"/>
        </w:rPr>
        <w:t xml:space="preserve">allege provider </w:t>
      </w:r>
      <w:r>
        <w:rPr>
          <w:rFonts w:ascii="Times New Roman" w:hAnsi="Times New Roman" w:cs="Times New Roman"/>
          <w:spacing w:val="-3"/>
          <w:sz w:val="24"/>
          <w:szCs w:val="24"/>
        </w:rPr>
        <w:t xml:space="preserve">actions </w:t>
      </w:r>
      <w:r>
        <w:rPr>
          <w:rFonts w:ascii="Times New Roman" w:hAnsi="Times New Roman" w:cs="Times New Roman"/>
          <w:sz w:val="24"/>
          <w:szCs w:val="24"/>
        </w:rPr>
        <w:t xml:space="preserve">otherwise prohibited </w:t>
      </w:r>
      <w:r>
        <w:rPr>
          <w:rFonts w:ascii="Times New Roman" w:hAnsi="Times New Roman" w:cs="Times New Roman"/>
          <w:spacing w:val="-5"/>
          <w:sz w:val="24"/>
          <w:szCs w:val="24"/>
        </w:rPr>
        <w:t xml:space="preserve">under </w:t>
      </w:r>
      <w:r>
        <w:rPr>
          <w:rFonts w:ascii="Times New Roman" w:hAnsi="Times New Roman" w:cs="Times New Roman"/>
          <w:sz w:val="24"/>
          <w:szCs w:val="24"/>
        </w:rPr>
        <w:t xml:space="preserve">Section 1557 of </w:t>
      </w:r>
      <w:r>
        <w:rPr>
          <w:rFonts w:ascii="Times New Roman" w:hAnsi="Times New Roman" w:cs="Times New Roman"/>
          <w:spacing w:val="-5"/>
          <w:sz w:val="24"/>
          <w:szCs w:val="24"/>
        </w:rPr>
        <w:t>the</w:t>
      </w:r>
      <w:r>
        <w:rPr>
          <w:rFonts w:ascii="Times New Roman" w:hAnsi="Times New Roman" w:cs="Times New Roman"/>
          <w:spacing w:val="18"/>
          <w:sz w:val="24"/>
          <w:szCs w:val="24"/>
        </w:rPr>
        <w:t xml:space="preserve"> </w:t>
      </w:r>
      <w:r>
        <w:rPr>
          <w:rFonts w:ascii="Times New Roman" w:hAnsi="Times New Roman" w:cs="Times New Roman"/>
          <w:spacing w:val="-6"/>
          <w:sz w:val="24"/>
          <w:szCs w:val="24"/>
        </w:rPr>
        <w:t>ACA.</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20"/>
        <w:rPr>
          <w:rFonts w:ascii="Times New Roman" w:hAnsi="Times New Roman" w:cs="Times New Roman"/>
          <w:sz w:val="24"/>
          <w:szCs w:val="24"/>
        </w:rPr>
      </w:pPr>
      <w:r>
        <w:rPr>
          <w:rFonts w:ascii="Times New Roman" w:hAnsi="Times New Roman" w:cs="Times New Roman"/>
          <w:sz w:val="24"/>
          <w:szCs w:val="24"/>
          <w:u w:val="single"/>
        </w:rPr>
        <w:t>Network Adequacy and Continuity of Care</w:t>
      </w:r>
    </w:p>
    <w:p w:rsidR="002C5025" w:rsidRDefault="002C5025">
      <w:pPr>
        <w:pStyle w:val="BodyText"/>
        <w:kinsoku w:val="0"/>
        <w:overflowPunct w:val="0"/>
        <w:ind w:left="119" w:right="411"/>
        <w:rPr>
          <w:rFonts w:ascii="Times New Roman" w:hAnsi="Times New Roman" w:cs="Times New Roman"/>
          <w:spacing w:val="-4"/>
          <w:sz w:val="24"/>
          <w:szCs w:val="24"/>
        </w:rPr>
      </w:pPr>
      <w:r>
        <w:rPr>
          <w:rFonts w:ascii="Times New Roman" w:hAnsi="Times New Roman" w:cs="Times New Roman"/>
          <w:spacing w:val="-6"/>
          <w:sz w:val="24"/>
          <w:szCs w:val="24"/>
        </w:rPr>
        <w:t xml:space="preserve">HLA </w:t>
      </w:r>
      <w:r>
        <w:rPr>
          <w:rFonts w:ascii="Times New Roman" w:hAnsi="Times New Roman" w:cs="Times New Roman"/>
          <w:spacing w:val="-4"/>
          <w:sz w:val="24"/>
          <w:szCs w:val="24"/>
        </w:rPr>
        <w:t xml:space="preserve">understands that </w:t>
      </w:r>
      <w:r>
        <w:rPr>
          <w:rFonts w:ascii="Times New Roman" w:hAnsi="Times New Roman" w:cs="Times New Roman"/>
          <w:sz w:val="24"/>
          <w:szCs w:val="24"/>
        </w:rPr>
        <w:t xml:space="preserve">delivery </w:t>
      </w:r>
      <w:r>
        <w:rPr>
          <w:rFonts w:ascii="Times New Roman" w:hAnsi="Times New Roman" w:cs="Times New Roman"/>
          <w:spacing w:val="-3"/>
          <w:sz w:val="24"/>
          <w:szCs w:val="24"/>
        </w:rPr>
        <w:t xml:space="preserve">system reforms </w:t>
      </w:r>
      <w:r>
        <w:rPr>
          <w:rFonts w:ascii="Times New Roman" w:hAnsi="Times New Roman" w:cs="Times New Roman"/>
          <w:sz w:val="24"/>
          <w:szCs w:val="24"/>
        </w:rPr>
        <w:t xml:space="preserve">will require </w:t>
      </w:r>
      <w:r>
        <w:rPr>
          <w:rFonts w:ascii="Times New Roman" w:hAnsi="Times New Roman" w:cs="Times New Roman"/>
          <w:spacing w:val="-3"/>
          <w:sz w:val="24"/>
          <w:szCs w:val="24"/>
        </w:rPr>
        <w:t xml:space="preserve">somewhat </w:t>
      </w:r>
      <w:r>
        <w:rPr>
          <w:rFonts w:ascii="Times New Roman" w:hAnsi="Times New Roman" w:cs="Times New Roman"/>
          <w:spacing w:val="-5"/>
          <w:sz w:val="24"/>
          <w:szCs w:val="24"/>
        </w:rPr>
        <w:t xml:space="preserve">bounded </w:t>
      </w:r>
      <w:r>
        <w:rPr>
          <w:rFonts w:ascii="Times New Roman" w:hAnsi="Times New Roman" w:cs="Times New Roman"/>
          <w:sz w:val="24"/>
          <w:szCs w:val="24"/>
        </w:rPr>
        <w:t xml:space="preserve">provider </w:t>
      </w:r>
      <w:r>
        <w:rPr>
          <w:rFonts w:ascii="Times New Roman" w:hAnsi="Times New Roman" w:cs="Times New Roman"/>
          <w:spacing w:val="-3"/>
          <w:sz w:val="24"/>
          <w:szCs w:val="24"/>
        </w:rPr>
        <w:t xml:space="preserve">networks </w:t>
      </w:r>
      <w:r>
        <w:rPr>
          <w:rFonts w:ascii="Times New Roman" w:hAnsi="Times New Roman" w:cs="Times New Roman"/>
          <w:spacing w:val="-4"/>
          <w:sz w:val="24"/>
          <w:szCs w:val="24"/>
        </w:rPr>
        <w:t xml:space="preserve">due </w:t>
      </w:r>
      <w:r>
        <w:rPr>
          <w:rFonts w:ascii="Times New Roman" w:hAnsi="Times New Roman" w:cs="Times New Roman"/>
          <w:spacing w:val="-3"/>
          <w:sz w:val="24"/>
          <w:szCs w:val="24"/>
        </w:rPr>
        <w:t xml:space="preserve">to ACOs’ </w:t>
      </w:r>
      <w:r>
        <w:rPr>
          <w:rFonts w:ascii="Times New Roman" w:hAnsi="Times New Roman" w:cs="Times New Roman"/>
          <w:spacing w:val="-4"/>
          <w:sz w:val="24"/>
          <w:szCs w:val="24"/>
        </w:rPr>
        <w:t xml:space="preserve">assumption </w:t>
      </w:r>
      <w:r>
        <w:rPr>
          <w:rFonts w:ascii="Times New Roman" w:hAnsi="Times New Roman" w:cs="Times New Roman"/>
          <w:sz w:val="24"/>
          <w:szCs w:val="24"/>
        </w:rPr>
        <w:t xml:space="preserve">of </w:t>
      </w:r>
      <w:r>
        <w:rPr>
          <w:rFonts w:ascii="Times New Roman" w:hAnsi="Times New Roman" w:cs="Times New Roman"/>
          <w:spacing w:val="-4"/>
          <w:sz w:val="24"/>
          <w:szCs w:val="24"/>
        </w:rPr>
        <w:t xml:space="preserve">financial </w:t>
      </w:r>
      <w:r>
        <w:rPr>
          <w:rFonts w:ascii="Times New Roman" w:hAnsi="Times New Roman" w:cs="Times New Roman"/>
          <w:sz w:val="24"/>
          <w:szCs w:val="24"/>
        </w:rPr>
        <w:t xml:space="preserve">risk </w:t>
      </w:r>
      <w:r>
        <w:rPr>
          <w:rFonts w:ascii="Times New Roman" w:hAnsi="Times New Roman" w:cs="Times New Roman"/>
          <w:spacing w:val="-3"/>
          <w:sz w:val="24"/>
          <w:szCs w:val="24"/>
        </w:rPr>
        <w:t xml:space="preserve">for </w:t>
      </w:r>
      <w:r>
        <w:rPr>
          <w:rFonts w:ascii="Times New Roman" w:hAnsi="Times New Roman" w:cs="Times New Roman"/>
          <w:spacing w:val="-6"/>
          <w:sz w:val="24"/>
          <w:szCs w:val="24"/>
        </w:rPr>
        <w:t xml:space="preserve">managing member </w:t>
      </w:r>
      <w:r>
        <w:rPr>
          <w:rFonts w:ascii="Times New Roman" w:hAnsi="Times New Roman" w:cs="Times New Roman"/>
          <w:sz w:val="24"/>
          <w:szCs w:val="24"/>
        </w:rPr>
        <w:t xml:space="preserve">care. However, we are </w:t>
      </w:r>
      <w:r>
        <w:rPr>
          <w:rFonts w:ascii="Times New Roman" w:hAnsi="Times New Roman" w:cs="Times New Roman"/>
          <w:spacing w:val="-3"/>
          <w:sz w:val="24"/>
          <w:szCs w:val="24"/>
        </w:rPr>
        <w:t xml:space="preserve">concerned about </w:t>
      </w:r>
      <w:r>
        <w:rPr>
          <w:rFonts w:ascii="Times New Roman" w:hAnsi="Times New Roman" w:cs="Times New Roman"/>
          <w:spacing w:val="-5"/>
          <w:sz w:val="24"/>
          <w:szCs w:val="24"/>
        </w:rPr>
        <w:t xml:space="preserve">the </w:t>
      </w:r>
      <w:r>
        <w:rPr>
          <w:rFonts w:ascii="Times New Roman" w:hAnsi="Times New Roman" w:cs="Times New Roman"/>
          <w:spacing w:val="-3"/>
          <w:sz w:val="24"/>
          <w:szCs w:val="24"/>
        </w:rPr>
        <w:t xml:space="preserve">impact </w:t>
      </w:r>
      <w:r>
        <w:rPr>
          <w:rFonts w:ascii="Times New Roman" w:hAnsi="Times New Roman" w:cs="Times New Roman"/>
          <w:sz w:val="24"/>
          <w:szCs w:val="24"/>
        </w:rPr>
        <w:t xml:space="preserve">of limited </w:t>
      </w:r>
      <w:r>
        <w:rPr>
          <w:rFonts w:ascii="Times New Roman" w:hAnsi="Times New Roman" w:cs="Times New Roman"/>
          <w:spacing w:val="-3"/>
          <w:sz w:val="24"/>
          <w:szCs w:val="24"/>
        </w:rPr>
        <w:t xml:space="preserve">networks </w:t>
      </w:r>
      <w:r>
        <w:rPr>
          <w:rFonts w:ascii="Times New Roman" w:hAnsi="Times New Roman" w:cs="Times New Roman"/>
          <w:sz w:val="24"/>
          <w:szCs w:val="24"/>
        </w:rPr>
        <w:t xml:space="preserve">on </w:t>
      </w:r>
      <w:r>
        <w:rPr>
          <w:rFonts w:ascii="Times New Roman" w:hAnsi="Times New Roman" w:cs="Times New Roman"/>
          <w:spacing w:val="-3"/>
          <w:sz w:val="24"/>
          <w:szCs w:val="24"/>
        </w:rPr>
        <w:t xml:space="preserve">MassHealth </w:t>
      </w:r>
      <w:r>
        <w:rPr>
          <w:rFonts w:ascii="Times New Roman" w:hAnsi="Times New Roman" w:cs="Times New Roman"/>
          <w:spacing w:val="-4"/>
          <w:sz w:val="24"/>
          <w:szCs w:val="24"/>
        </w:rPr>
        <w:t xml:space="preserve">members’ </w:t>
      </w:r>
      <w:r>
        <w:rPr>
          <w:rFonts w:ascii="Times New Roman" w:hAnsi="Times New Roman" w:cs="Times New Roman"/>
          <w:sz w:val="24"/>
          <w:szCs w:val="24"/>
        </w:rPr>
        <w:t xml:space="preserve">access </w:t>
      </w:r>
      <w:r>
        <w:rPr>
          <w:rFonts w:ascii="Times New Roman" w:hAnsi="Times New Roman" w:cs="Times New Roman"/>
          <w:spacing w:val="-5"/>
          <w:sz w:val="24"/>
          <w:szCs w:val="24"/>
        </w:rPr>
        <w:t xml:space="preserve">to </w:t>
      </w:r>
      <w:r>
        <w:rPr>
          <w:rFonts w:ascii="Times New Roman" w:hAnsi="Times New Roman" w:cs="Times New Roman"/>
          <w:sz w:val="24"/>
          <w:szCs w:val="24"/>
        </w:rPr>
        <w:t xml:space="preserve">medically necessary covered services. </w:t>
      </w:r>
      <w:r>
        <w:rPr>
          <w:rFonts w:ascii="Times New Roman" w:hAnsi="Times New Roman" w:cs="Times New Roman"/>
          <w:spacing w:val="-3"/>
          <w:sz w:val="24"/>
          <w:szCs w:val="24"/>
        </w:rPr>
        <w:t xml:space="preserve">MassHealth </w:t>
      </w:r>
      <w:r>
        <w:rPr>
          <w:rFonts w:ascii="Times New Roman" w:hAnsi="Times New Roman" w:cs="Times New Roman"/>
          <w:spacing w:val="-7"/>
          <w:sz w:val="24"/>
          <w:szCs w:val="24"/>
        </w:rPr>
        <w:t xml:space="preserve">must </w:t>
      </w:r>
      <w:r>
        <w:rPr>
          <w:rFonts w:ascii="Times New Roman" w:hAnsi="Times New Roman" w:cs="Times New Roman"/>
          <w:sz w:val="24"/>
          <w:szCs w:val="24"/>
        </w:rPr>
        <w:t xml:space="preserve">establish – with </w:t>
      </w:r>
      <w:r>
        <w:rPr>
          <w:rFonts w:ascii="Times New Roman" w:hAnsi="Times New Roman" w:cs="Times New Roman"/>
          <w:spacing w:val="-4"/>
          <w:sz w:val="24"/>
          <w:szCs w:val="24"/>
        </w:rPr>
        <w:t xml:space="preserve">input </w:t>
      </w:r>
      <w:r>
        <w:rPr>
          <w:rFonts w:ascii="Times New Roman" w:hAnsi="Times New Roman" w:cs="Times New Roman"/>
          <w:sz w:val="24"/>
          <w:szCs w:val="24"/>
        </w:rPr>
        <w:t xml:space="preserve">from </w:t>
      </w:r>
      <w:r>
        <w:rPr>
          <w:rFonts w:ascii="Times New Roman" w:hAnsi="Times New Roman" w:cs="Times New Roman"/>
          <w:spacing w:val="-4"/>
          <w:sz w:val="24"/>
          <w:szCs w:val="24"/>
        </w:rPr>
        <w:t xml:space="preserve">consumers and other </w:t>
      </w:r>
      <w:r>
        <w:rPr>
          <w:rFonts w:ascii="Times New Roman" w:hAnsi="Times New Roman" w:cs="Times New Roman"/>
          <w:spacing w:val="-3"/>
          <w:sz w:val="24"/>
          <w:szCs w:val="24"/>
        </w:rPr>
        <w:t xml:space="preserve">stakeholders </w:t>
      </w:r>
      <w:r>
        <w:rPr>
          <w:rFonts w:ascii="Times New Roman" w:hAnsi="Times New Roman" w:cs="Times New Roman"/>
          <w:sz w:val="24"/>
          <w:szCs w:val="24"/>
        </w:rPr>
        <w:t xml:space="preserve">– </w:t>
      </w:r>
      <w:r>
        <w:rPr>
          <w:rFonts w:ascii="Times New Roman" w:hAnsi="Times New Roman" w:cs="Times New Roman"/>
          <w:spacing w:val="-3"/>
          <w:sz w:val="24"/>
          <w:szCs w:val="24"/>
        </w:rPr>
        <w:t xml:space="preserve">transparent and </w:t>
      </w:r>
      <w:r>
        <w:rPr>
          <w:rFonts w:ascii="Times New Roman" w:hAnsi="Times New Roman" w:cs="Times New Roman"/>
          <w:sz w:val="24"/>
          <w:szCs w:val="24"/>
        </w:rPr>
        <w:t xml:space="preserve">publicly available </w:t>
      </w:r>
      <w:r>
        <w:rPr>
          <w:rFonts w:ascii="Times New Roman" w:hAnsi="Times New Roman" w:cs="Times New Roman"/>
          <w:spacing w:val="-3"/>
          <w:sz w:val="24"/>
          <w:szCs w:val="24"/>
        </w:rPr>
        <w:t xml:space="preserve">network </w:t>
      </w:r>
      <w:r>
        <w:rPr>
          <w:rFonts w:ascii="Times New Roman" w:hAnsi="Times New Roman" w:cs="Times New Roman"/>
          <w:sz w:val="24"/>
          <w:szCs w:val="24"/>
        </w:rPr>
        <w:t xml:space="preserve">adequacy standards. </w:t>
      </w:r>
      <w:r>
        <w:rPr>
          <w:rFonts w:ascii="Times New Roman" w:hAnsi="Times New Roman" w:cs="Times New Roman"/>
          <w:spacing w:val="-3"/>
          <w:sz w:val="24"/>
          <w:szCs w:val="24"/>
        </w:rPr>
        <w:t xml:space="preserve">These standards should </w:t>
      </w:r>
      <w:r>
        <w:rPr>
          <w:rFonts w:ascii="Times New Roman" w:hAnsi="Times New Roman" w:cs="Times New Roman"/>
          <w:spacing w:val="-4"/>
          <w:sz w:val="24"/>
          <w:szCs w:val="24"/>
        </w:rPr>
        <w:t>ensure:</w:t>
      </w:r>
    </w:p>
    <w:p w:rsidR="002C5025" w:rsidRDefault="002C5025">
      <w:pPr>
        <w:pStyle w:val="ListParagraph"/>
        <w:numPr>
          <w:ilvl w:val="0"/>
          <w:numId w:val="10"/>
        </w:numPr>
        <w:tabs>
          <w:tab w:val="left" w:pos="843"/>
        </w:tabs>
        <w:kinsoku w:val="0"/>
        <w:overflowPunct w:val="0"/>
        <w:spacing w:before="4"/>
        <w:ind w:hanging="362"/>
        <w:rPr>
          <w:spacing w:val="-3"/>
        </w:rPr>
      </w:pPr>
      <w:r>
        <w:t xml:space="preserve">Availability of providers who deliver each of </w:t>
      </w:r>
      <w:r>
        <w:rPr>
          <w:spacing w:val="-4"/>
        </w:rPr>
        <w:t xml:space="preserve">the </w:t>
      </w:r>
      <w:r>
        <w:t xml:space="preserve">covered services </w:t>
      </w:r>
      <w:r>
        <w:rPr>
          <w:spacing w:val="-5"/>
        </w:rPr>
        <w:t>under the</w:t>
      </w:r>
      <w:r>
        <w:rPr>
          <w:spacing w:val="-10"/>
        </w:rPr>
        <w:t xml:space="preserve"> </w:t>
      </w:r>
      <w:r>
        <w:rPr>
          <w:spacing w:val="-3"/>
        </w:rPr>
        <w:t>plan;</w:t>
      </w:r>
    </w:p>
    <w:p w:rsidR="002C5025" w:rsidRDefault="002C5025">
      <w:pPr>
        <w:pStyle w:val="ListParagraph"/>
        <w:numPr>
          <w:ilvl w:val="0"/>
          <w:numId w:val="10"/>
        </w:numPr>
        <w:tabs>
          <w:tab w:val="left" w:pos="843"/>
        </w:tabs>
        <w:kinsoku w:val="0"/>
        <w:overflowPunct w:val="0"/>
        <w:spacing w:before="1"/>
        <w:ind w:right="170" w:hanging="362"/>
      </w:pPr>
      <w:r>
        <w:t xml:space="preserve">Accessibility of providers within reasonable travel </w:t>
      </w:r>
      <w:r>
        <w:rPr>
          <w:spacing w:val="-5"/>
        </w:rPr>
        <w:t xml:space="preserve">time </w:t>
      </w:r>
      <w:r>
        <w:rPr>
          <w:spacing w:val="-3"/>
        </w:rPr>
        <w:t xml:space="preserve">and </w:t>
      </w:r>
      <w:r>
        <w:t xml:space="preserve">distance </w:t>
      </w:r>
      <w:r>
        <w:rPr>
          <w:spacing w:val="-3"/>
        </w:rPr>
        <w:t xml:space="preserve">measures. MassHealth </w:t>
      </w:r>
      <w:r>
        <w:t xml:space="preserve">is required to establish </w:t>
      </w:r>
      <w:r>
        <w:rPr>
          <w:spacing w:val="-3"/>
        </w:rPr>
        <w:t xml:space="preserve">such standards </w:t>
      </w:r>
      <w:r>
        <w:rPr>
          <w:spacing w:val="-5"/>
        </w:rPr>
        <w:t xml:space="preserve">under </w:t>
      </w:r>
      <w:r>
        <w:t xml:space="preserve">recently released federal </w:t>
      </w:r>
      <w:r>
        <w:rPr>
          <w:spacing w:val="-6"/>
        </w:rPr>
        <w:t xml:space="preserve">managed </w:t>
      </w:r>
      <w:r>
        <w:t xml:space="preserve">care </w:t>
      </w:r>
      <w:r>
        <w:rPr>
          <w:spacing w:val="-3"/>
        </w:rPr>
        <w:t xml:space="preserve">regulations for </w:t>
      </w:r>
      <w:r>
        <w:rPr>
          <w:spacing w:val="-5"/>
        </w:rPr>
        <w:t xml:space="preserve">the </w:t>
      </w:r>
      <w:r>
        <w:t>Medicaid program.</w:t>
      </w:r>
      <w:r>
        <w:rPr>
          <w:position w:val="8"/>
          <w:sz w:val="15"/>
          <w:szCs w:val="15"/>
        </w:rPr>
        <w:t xml:space="preserve">14 </w:t>
      </w:r>
      <w:r>
        <w:rPr>
          <w:spacing w:val="-3"/>
        </w:rPr>
        <w:t xml:space="preserve">These standards should </w:t>
      </w:r>
      <w:r>
        <w:t xml:space="preserve">be publicly available </w:t>
      </w:r>
      <w:r>
        <w:rPr>
          <w:spacing w:val="-6"/>
        </w:rPr>
        <w:t xml:space="preserve">through  </w:t>
      </w:r>
      <w:r>
        <w:rPr>
          <w:spacing w:val="-3"/>
        </w:rPr>
        <w:t>MassHealth’s</w:t>
      </w:r>
      <w:r>
        <w:rPr>
          <w:spacing w:val="-8"/>
        </w:rPr>
        <w:t xml:space="preserve"> </w:t>
      </w:r>
      <w:r>
        <w:t>website;</w:t>
      </w:r>
    </w:p>
    <w:p w:rsidR="002C5025" w:rsidRDefault="002C5025">
      <w:pPr>
        <w:pStyle w:val="ListParagraph"/>
        <w:numPr>
          <w:ilvl w:val="0"/>
          <w:numId w:val="10"/>
        </w:numPr>
        <w:tabs>
          <w:tab w:val="left" w:pos="843"/>
        </w:tabs>
        <w:kinsoku w:val="0"/>
        <w:overflowPunct w:val="0"/>
        <w:spacing w:before="30" w:line="272" w:lineRule="exact"/>
        <w:ind w:right="347" w:hanging="362"/>
      </w:pPr>
      <w:r>
        <w:t xml:space="preserve">Accessibility </w:t>
      </w:r>
      <w:r>
        <w:rPr>
          <w:spacing w:val="-3"/>
        </w:rPr>
        <w:t xml:space="preserve">and </w:t>
      </w:r>
      <w:r>
        <w:t xml:space="preserve">transparency of </w:t>
      </w:r>
      <w:r>
        <w:rPr>
          <w:spacing w:val="-3"/>
        </w:rPr>
        <w:t xml:space="preserve">information about </w:t>
      </w:r>
      <w:r>
        <w:t xml:space="preserve">in-network providers, </w:t>
      </w:r>
      <w:r>
        <w:rPr>
          <w:spacing w:val="-3"/>
        </w:rPr>
        <w:t xml:space="preserve">including </w:t>
      </w:r>
      <w:r>
        <w:t xml:space="preserve">location, </w:t>
      </w:r>
      <w:r>
        <w:rPr>
          <w:spacing w:val="-5"/>
        </w:rPr>
        <w:t xml:space="preserve">whether </w:t>
      </w:r>
      <w:r>
        <w:rPr>
          <w:spacing w:val="-3"/>
        </w:rPr>
        <w:t xml:space="preserve">they </w:t>
      </w:r>
      <w:r>
        <w:t xml:space="preserve">are accepting </w:t>
      </w:r>
      <w:r>
        <w:rPr>
          <w:spacing w:val="-3"/>
        </w:rPr>
        <w:t xml:space="preserve">new patients, </w:t>
      </w:r>
      <w:r>
        <w:t xml:space="preserve">referral </w:t>
      </w:r>
      <w:r>
        <w:rPr>
          <w:spacing w:val="-3"/>
        </w:rPr>
        <w:t xml:space="preserve">requirements, </w:t>
      </w:r>
      <w:r>
        <w:rPr>
          <w:spacing w:val="-4"/>
        </w:rPr>
        <w:t xml:space="preserve">and </w:t>
      </w:r>
      <w:r>
        <w:t xml:space="preserve">quality </w:t>
      </w:r>
      <w:r>
        <w:rPr>
          <w:spacing w:val="-3"/>
        </w:rPr>
        <w:t xml:space="preserve">ratings. This </w:t>
      </w:r>
      <w:r>
        <w:rPr>
          <w:spacing w:val="-4"/>
        </w:rPr>
        <w:t xml:space="preserve">information </w:t>
      </w:r>
      <w:r>
        <w:rPr>
          <w:spacing w:val="-3"/>
        </w:rPr>
        <w:t xml:space="preserve">should </w:t>
      </w:r>
      <w:r>
        <w:t xml:space="preserve">be posted on </w:t>
      </w:r>
      <w:r>
        <w:rPr>
          <w:spacing w:val="-5"/>
        </w:rPr>
        <w:t xml:space="preserve">the </w:t>
      </w:r>
      <w:r>
        <w:rPr>
          <w:spacing w:val="-3"/>
        </w:rPr>
        <w:t xml:space="preserve">ACOs’ </w:t>
      </w:r>
      <w:r>
        <w:t xml:space="preserve">websites </w:t>
      </w:r>
      <w:r>
        <w:rPr>
          <w:spacing w:val="-4"/>
        </w:rPr>
        <w:t xml:space="preserve">and </w:t>
      </w:r>
      <w:r>
        <w:t xml:space="preserve">available </w:t>
      </w:r>
      <w:r>
        <w:rPr>
          <w:spacing w:val="-6"/>
        </w:rPr>
        <w:t xml:space="preserve">through </w:t>
      </w:r>
      <w:r>
        <w:rPr>
          <w:spacing w:val="-3"/>
        </w:rPr>
        <w:t xml:space="preserve">telephone </w:t>
      </w:r>
      <w:r>
        <w:rPr>
          <w:spacing w:val="-4"/>
        </w:rPr>
        <w:t xml:space="preserve">hotlines and </w:t>
      </w:r>
      <w:r>
        <w:rPr>
          <w:spacing w:val="-6"/>
        </w:rPr>
        <w:t xml:space="preserve">member </w:t>
      </w:r>
      <w:r>
        <w:rPr>
          <w:spacing w:val="-3"/>
        </w:rPr>
        <w:t xml:space="preserve">enrollment </w:t>
      </w:r>
      <w:r>
        <w:rPr>
          <w:spacing w:val="41"/>
        </w:rPr>
        <w:t xml:space="preserve"> </w:t>
      </w:r>
      <w:r>
        <w:t>materials;</w:t>
      </w:r>
    </w:p>
    <w:p w:rsidR="002C5025" w:rsidRDefault="002C5025">
      <w:pPr>
        <w:pStyle w:val="ListParagraph"/>
        <w:numPr>
          <w:ilvl w:val="0"/>
          <w:numId w:val="10"/>
        </w:numPr>
        <w:tabs>
          <w:tab w:val="left" w:pos="843"/>
        </w:tabs>
        <w:kinsoku w:val="0"/>
        <w:overflowPunct w:val="0"/>
        <w:spacing w:before="28" w:line="274" w:lineRule="exact"/>
        <w:ind w:right="690" w:hanging="362"/>
        <w:rPr>
          <w:spacing w:val="-4"/>
        </w:rPr>
      </w:pPr>
      <w:r>
        <w:t xml:space="preserve">Ability of </w:t>
      </w:r>
      <w:r>
        <w:rPr>
          <w:spacing w:val="-5"/>
        </w:rPr>
        <w:t xml:space="preserve">ACOs </w:t>
      </w:r>
      <w:r>
        <w:rPr>
          <w:spacing w:val="-3"/>
        </w:rPr>
        <w:t xml:space="preserve">to </w:t>
      </w:r>
      <w:r>
        <w:rPr>
          <w:spacing w:val="-4"/>
        </w:rPr>
        <w:t xml:space="preserve">execute </w:t>
      </w:r>
      <w:r>
        <w:t xml:space="preserve">single case </w:t>
      </w:r>
      <w:r>
        <w:rPr>
          <w:spacing w:val="-5"/>
        </w:rPr>
        <w:t xml:space="preserve">agreements </w:t>
      </w:r>
      <w:r>
        <w:t xml:space="preserve">with providers </w:t>
      </w:r>
      <w:r>
        <w:rPr>
          <w:spacing w:val="-4"/>
        </w:rPr>
        <w:t xml:space="preserve">that </w:t>
      </w:r>
      <w:r>
        <w:rPr>
          <w:spacing w:val="-3"/>
        </w:rPr>
        <w:t xml:space="preserve">offer </w:t>
      </w:r>
      <w:r>
        <w:t xml:space="preserve">covered services </w:t>
      </w:r>
      <w:r>
        <w:rPr>
          <w:spacing w:val="-4"/>
        </w:rPr>
        <w:t xml:space="preserve">that </w:t>
      </w:r>
      <w:r>
        <w:t xml:space="preserve">are unavailable </w:t>
      </w:r>
      <w:r>
        <w:rPr>
          <w:spacing w:val="-6"/>
        </w:rPr>
        <w:t xml:space="preserve">through  </w:t>
      </w:r>
      <w:r>
        <w:rPr>
          <w:spacing w:val="-5"/>
        </w:rPr>
        <w:t xml:space="preserve">the </w:t>
      </w:r>
      <w:r>
        <w:t>plans’ provider</w:t>
      </w:r>
      <w:r>
        <w:rPr>
          <w:spacing w:val="-13"/>
        </w:rPr>
        <w:t xml:space="preserve"> </w:t>
      </w:r>
      <w:r>
        <w:rPr>
          <w:spacing w:val="-4"/>
        </w:rPr>
        <w:t>network;</w:t>
      </w:r>
    </w:p>
    <w:p w:rsidR="002C5025" w:rsidRDefault="00FB027C">
      <w:pPr>
        <w:pStyle w:val="BodyText"/>
        <w:kinsoku w:val="0"/>
        <w:overflowPunct w:val="0"/>
        <w:spacing w:before="10"/>
        <w:rPr>
          <w:rFonts w:ascii="Times New Roman" w:hAnsi="Times New Roman" w:cs="Times New Roman"/>
          <w:sz w:val="18"/>
          <w:szCs w:val="18"/>
        </w:rPr>
      </w:pPr>
      <w:r>
        <w:rPr>
          <w:noProof/>
        </w:rPr>
        <mc:AlternateContent>
          <mc:Choice Requires="wps">
            <w:drawing>
              <wp:anchor distT="0" distB="0" distL="0" distR="0" simplePos="0" relativeHeight="251678208" behindDoc="0" locked="0" layoutInCell="0" allowOverlap="1">
                <wp:simplePos x="0" y="0"/>
                <wp:positionH relativeFrom="page">
                  <wp:posOffset>2296795</wp:posOffset>
                </wp:positionH>
                <wp:positionV relativeFrom="paragraph">
                  <wp:posOffset>166370</wp:posOffset>
                </wp:positionV>
                <wp:extent cx="1830705" cy="12700"/>
                <wp:effectExtent l="0" t="0" r="0" b="0"/>
                <wp:wrapTopAndBottom/>
                <wp:docPr id="541" name="Freeform 4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30705" cy="12700"/>
                        </a:xfrm>
                        <a:custGeom>
                          <a:avLst/>
                          <a:gdLst>
                            <a:gd name="T0" fmla="*/ 0 w 2883"/>
                            <a:gd name="T1" fmla="*/ 0 h 20"/>
                            <a:gd name="T2" fmla="*/ 2883 w 2883"/>
                            <a:gd name="T3" fmla="*/ 0 h 20"/>
                          </a:gdLst>
                          <a:ahLst/>
                          <a:cxnLst>
                            <a:cxn ang="0">
                              <a:pos x="T0" y="T1"/>
                            </a:cxn>
                            <a:cxn ang="0">
                              <a:pos x="T2" y="T3"/>
                            </a:cxn>
                          </a:cxnLst>
                          <a:rect l="0" t="0" r="r" b="b"/>
                          <a:pathLst>
                            <a:path w="2883" h="20">
                              <a:moveTo>
                                <a:pt x="0" y="0"/>
                              </a:moveTo>
                              <a:lnTo>
                                <a:pt x="2883"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84" o:spid="_x0000_s1026" style="position:absolute;z-index:251678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80.85pt,13.1pt,325pt,13.1pt" coordsize="288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" o:allowincell="f" filled="f" strokeweight=".7pt">
                <v:path arrowok="t" o:connecttype="custom" o:connectlocs="0,0;1830705,0" o:connectangles="0,0"/>
                <w10:wrap type="topAndBottom" anchorx="page"/>
              </v:polyline>
            </w:pict>
          </mc:Fallback>
        </mc:AlternateContent>
      </w:r>
    </w:p>
    <w:p w:rsidR="002C5025" w:rsidRDefault="002C5025">
      <w:pPr>
        <w:pStyle w:val="BodyText"/>
        <w:kinsoku w:val="0"/>
        <w:overflowPunct w:val="0"/>
        <w:spacing w:before="64"/>
        <w:ind w:left="118" w:right="269" w:firstLine="1"/>
        <w:rPr>
          <w:rFonts w:ascii="Times New Roman" w:hAnsi="Times New Roman" w:cs="Times New Roman"/>
          <w:sz w:val="20"/>
          <w:szCs w:val="20"/>
        </w:rPr>
      </w:pPr>
      <w:r>
        <w:rPr>
          <w:rFonts w:ascii="Times New Roman" w:hAnsi="Times New Roman" w:cs="Times New Roman"/>
          <w:position w:val="6"/>
          <w:sz w:val="13"/>
          <w:szCs w:val="13"/>
        </w:rPr>
        <w:t xml:space="preserve">11 </w:t>
      </w:r>
      <w:r>
        <w:rPr>
          <w:rFonts w:ascii="Times New Roman" w:hAnsi="Times New Roman" w:cs="Times New Roman"/>
          <w:sz w:val="20"/>
          <w:szCs w:val="20"/>
        </w:rPr>
        <w:t>Section 1557 of the Affordable Care Act (ACA) of 2010 (stating that “[a]n individual shall not, on the ground prohibited under title VI of the Civil Rights Act of 1964, title IX of the Education Amendments of 1972, the Age Discrimination Act of 1975, or section 504 of the Rehabilitation Act of 1973, be excluded from participation in, be denied the benefits of, or be subjected to discrimination under, any health program or activity, any part of which is receiving Federal financial assistance”).</w:t>
      </w:r>
    </w:p>
    <w:p w:rsidR="002C5025" w:rsidRDefault="002C5025">
      <w:pPr>
        <w:pStyle w:val="BodyText"/>
        <w:kinsoku w:val="0"/>
        <w:overflowPunct w:val="0"/>
        <w:spacing w:before="9" w:line="229" w:lineRule="exact"/>
        <w:ind w:left="120" w:right="5427"/>
        <w:rPr>
          <w:rFonts w:ascii="Times New Roman" w:hAnsi="Times New Roman" w:cs="Times New Roman"/>
          <w:sz w:val="20"/>
          <w:szCs w:val="20"/>
        </w:rPr>
      </w:pPr>
      <w:r>
        <w:rPr>
          <w:rFonts w:ascii="Times New Roman" w:hAnsi="Times New Roman" w:cs="Times New Roman"/>
          <w:position w:val="6"/>
          <w:sz w:val="13"/>
          <w:szCs w:val="13"/>
        </w:rPr>
        <w:t xml:space="preserve">12  </w:t>
      </w:r>
      <w:r>
        <w:rPr>
          <w:rFonts w:ascii="Times New Roman" w:hAnsi="Times New Roman" w:cs="Times New Roman"/>
          <w:sz w:val="20"/>
          <w:szCs w:val="20"/>
        </w:rPr>
        <w:t>56 Fed. Reg. at 35565.</w:t>
      </w:r>
    </w:p>
    <w:p w:rsidR="002C5025" w:rsidRDefault="002C5025">
      <w:pPr>
        <w:pStyle w:val="BodyText"/>
        <w:kinsoku w:val="0"/>
        <w:overflowPunct w:val="0"/>
        <w:spacing w:line="229" w:lineRule="exact"/>
        <w:ind w:left="120" w:right="5427"/>
        <w:rPr>
          <w:rFonts w:ascii="Times New Roman" w:hAnsi="Times New Roman" w:cs="Times New Roman"/>
          <w:sz w:val="20"/>
          <w:szCs w:val="20"/>
        </w:rPr>
      </w:pPr>
      <w:r>
        <w:rPr>
          <w:rFonts w:ascii="Times New Roman" w:hAnsi="Times New Roman" w:cs="Times New Roman"/>
          <w:position w:val="6"/>
          <w:sz w:val="13"/>
          <w:szCs w:val="13"/>
        </w:rPr>
        <w:t xml:space="preserve">13  </w:t>
      </w:r>
      <w:r>
        <w:rPr>
          <w:rFonts w:ascii="Times New Roman" w:hAnsi="Times New Roman" w:cs="Times New Roman"/>
          <w:sz w:val="20"/>
          <w:szCs w:val="20"/>
        </w:rPr>
        <w:t>28 C.F.R. § 36.303(c).</w:t>
      </w:r>
    </w:p>
    <w:p w:rsidR="002C5025" w:rsidRDefault="002C5025">
      <w:pPr>
        <w:pStyle w:val="BodyText"/>
        <w:kinsoku w:val="0"/>
        <w:overflowPunct w:val="0"/>
        <w:spacing w:line="222" w:lineRule="exact"/>
        <w:ind w:left="120" w:right="5427"/>
        <w:rPr>
          <w:rFonts w:ascii="Times New Roman" w:hAnsi="Times New Roman" w:cs="Times New Roman"/>
          <w:sz w:val="20"/>
          <w:szCs w:val="20"/>
        </w:rPr>
      </w:pPr>
      <w:r>
        <w:rPr>
          <w:rFonts w:ascii="Times New Roman" w:hAnsi="Times New Roman" w:cs="Times New Roman"/>
          <w:position w:val="6"/>
          <w:sz w:val="13"/>
          <w:szCs w:val="13"/>
        </w:rPr>
        <w:t xml:space="preserve">14  </w:t>
      </w:r>
      <w:r>
        <w:rPr>
          <w:rFonts w:ascii="Times New Roman" w:hAnsi="Times New Roman" w:cs="Times New Roman"/>
          <w:sz w:val="20"/>
          <w:szCs w:val="20"/>
        </w:rPr>
        <w:t>42 C.F.R. § 438.68.</w:t>
      </w:r>
    </w:p>
    <w:p w:rsidR="002C5025" w:rsidRDefault="002C5025">
      <w:pPr>
        <w:pStyle w:val="BodyText"/>
        <w:kinsoku w:val="0"/>
        <w:overflowPunct w:val="0"/>
        <w:spacing w:line="268" w:lineRule="exact"/>
        <w:ind w:right="107"/>
        <w:jc w:val="right"/>
        <w:rPr>
          <w:rFonts w:ascii="Times New Roman" w:hAnsi="Times New Roman" w:cs="Times New Roman"/>
          <w:sz w:val="24"/>
          <w:szCs w:val="24"/>
        </w:rPr>
      </w:pPr>
      <w:r>
        <w:rPr>
          <w:rFonts w:ascii="Times New Roman" w:hAnsi="Times New Roman" w:cs="Times New Roman"/>
          <w:sz w:val="24"/>
          <w:szCs w:val="24"/>
        </w:rPr>
        <w:t>8</w:t>
      </w:r>
    </w:p>
    <w:p w:rsidR="002C5025" w:rsidRDefault="002C5025">
      <w:pPr>
        <w:pStyle w:val="BodyText"/>
        <w:kinsoku w:val="0"/>
        <w:overflowPunct w:val="0"/>
        <w:spacing w:line="268" w:lineRule="exact"/>
        <w:ind w:right="107"/>
        <w:jc w:val="right"/>
        <w:rPr>
          <w:rFonts w:ascii="Times New Roman" w:hAnsi="Times New Roman" w:cs="Times New Roman"/>
          <w:sz w:val="24"/>
          <w:szCs w:val="24"/>
        </w:rPr>
        <w:sectPr w:rsidR="002C5025">
          <w:pgSz w:w="12240" w:h="15840"/>
          <w:pgMar w:top="920" w:right="1320" w:bottom="280" w:left="1320" w:header="720" w:footer="720" w:gutter="0"/>
          <w:cols w:space="720"/>
          <w:noEndnote/>
        </w:sectPr>
      </w:pPr>
    </w:p>
    <w:p w:rsidR="002C5025" w:rsidRDefault="002C5025">
      <w:pPr>
        <w:pStyle w:val="ListParagraph"/>
        <w:numPr>
          <w:ilvl w:val="0"/>
          <w:numId w:val="10"/>
        </w:numPr>
        <w:tabs>
          <w:tab w:val="left" w:pos="843"/>
        </w:tabs>
        <w:kinsoku w:val="0"/>
        <w:overflowPunct w:val="0"/>
        <w:spacing w:before="35" w:line="293" w:lineRule="exact"/>
        <w:ind w:hanging="362"/>
      </w:pPr>
      <w:r>
        <w:lastRenderedPageBreak/>
        <w:t xml:space="preserve">Appeal </w:t>
      </w:r>
      <w:r>
        <w:rPr>
          <w:spacing w:val="-5"/>
        </w:rPr>
        <w:t xml:space="preserve">rights </w:t>
      </w:r>
      <w:r>
        <w:t xml:space="preserve">allowing </w:t>
      </w:r>
      <w:r>
        <w:rPr>
          <w:spacing w:val="-5"/>
        </w:rPr>
        <w:t xml:space="preserve">members  </w:t>
      </w:r>
      <w:r>
        <w:rPr>
          <w:spacing w:val="-3"/>
        </w:rPr>
        <w:t xml:space="preserve">to challenge ACOs’ </w:t>
      </w:r>
      <w:r>
        <w:t xml:space="preserve">denial </w:t>
      </w:r>
      <w:r>
        <w:rPr>
          <w:spacing w:val="3"/>
        </w:rPr>
        <w:t xml:space="preserve">of </w:t>
      </w:r>
      <w:r>
        <w:rPr>
          <w:spacing w:val="-4"/>
        </w:rPr>
        <w:t xml:space="preserve">out-of-network </w:t>
      </w:r>
      <w:r>
        <w:rPr>
          <w:spacing w:val="-2"/>
        </w:rPr>
        <w:t xml:space="preserve"> </w:t>
      </w:r>
      <w:r>
        <w:t>care;</w:t>
      </w:r>
    </w:p>
    <w:p w:rsidR="002C5025" w:rsidRDefault="002C5025">
      <w:pPr>
        <w:pStyle w:val="ListParagraph"/>
        <w:numPr>
          <w:ilvl w:val="0"/>
          <w:numId w:val="10"/>
        </w:numPr>
        <w:tabs>
          <w:tab w:val="left" w:pos="843"/>
        </w:tabs>
        <w:kinsoku w:val="0"/>
        <w:overflowPunct w:val="0"/>
        <w:ind w:right="182" w:hanging="362"/>
        <w:rPr>
          <w:spacing w:val="-3"/>
        </w:rPr>
      </w:pPr>
      <w:r>
        <w:rPr>
          <w:spacing w:val="-5"/>
        </w:rPr>
        <w:t xml:space="preserve">Continuity </w:t>
      </w:r>
      <w:r>
        <w:t xml:space="preserve">of care </w:t>
      </w:r>
      <w:r>
        <w:rPr>
          <w:spacing w:val="-3"/>
        </w:rPr>
        <w:t xml:space="preserve">for </w:t>
      </w:r>
      <w:r>
        <w:rPr>
          <w:spacing w:val="-5"/>
        </w:rPr>
        <w:t xml:space="preserve">members </w:t>
      </w:r>
      <w:r>
        <w:t xml:space="preserve">who join an </w:t>
      </w:r>
      <w:r>
        <w:rPr>
          <w:spacing w:val="-4"/>
        </w:rPr>
        <w:t xml:space="preserve">ACO </w:t>
      </w:r>
      <w:r>
        <w:t xml:space="preserve">with </w:t>
      </w:r>
      <w:r>
        <w:rPr>
          <w:spacing w:val="-5"/>
        </w:rPr>
        <w:t xml:space="preserve">existing, </w:t>
      </w:r>
      <w:r>
        <w:rPr>
          <w:spacing w:val="-3"/>
        </w:rPr>
        <w:t xml:space="preserve">and </w:t>
      </w:r>
      <w:r>
        <w:rPr>
          <w:spacing w:val="-4"/>
        </w:rPr>
        <w:t xml:space="preserve">sometimes </w:t>
      </w:r>
      <w:r>
        <w:t xml:space="preserve">long- </w:t>
      </w:r>
      <w:r>
        <w:rPr>
          <w:spacing w:val="-5"/>
        </w:rPr>
        <w:t xml:space="preserve">standing, </w:t>
      </w:r>
      <w:r>
        <w:t xml:space="preserve">provider relationships. Here, </w:t>
      </w:r>
      <w:r>
        <w:rPr>
          <w:spacing w:val="-5"/>
        </w:rPr>
        <w:t xml:space="preserve">the One </w:t>
      </w:r>
      <w:r>
        <w:t xml:space="preserve">Care </w:t>
      </w:r>
      <w:r>
        <w:rPr>
          <w:spacing w:val="-4"/>
        </w:rPr>
        <w:t xml:space="preserve">model </w:t>
      </w:r>
      <w:r>
        <w:t xml:space="preserve">is </w:t>
      </w:r>
      <w:r>
        <w:rPr>
          <w:spacing w:val="-3"/>
        </w:rPr>
        <w:t xml:space="preserve">instructive </w:t>
      </w:r>
      <w:r>
        <w:t xml:space="preserve">– </w:t>
      </w:r>
      <w:r>
        <w:rPr>
          <w:spacing w:val="-3"/>
        </w:rPr>
        <w:t xml:space="preserve">MassHealth should </w:t>
      </w:r>
      <w:r>
        <w:rPr>
          <w:spacing w:val="-5"/>
        </w:rPr>
        <w:t xml:space="preserve">institute </w:t>
      </w:r>
      <w:r>
        <w:t xml:space="preserve">a similar rule </w:t>
      </w:r>
      <w:r>
        <w:rPr>
          <w:spacing w:val="-3"/>
        </w:rPr>
        <w:t xml:space="preserve">about </w:t>
      </w:r>
      <w:r>
        <w:t xml:space="preserve">requiring </w:t>
      </w:r>
      <w:r>
        <w:rPr>
          <w:spacing w:val="-3"/>
        </w:rPr>
        <w:t xml:space="preserve">good faith </w:t>
      </w:r>
      <w:r>
        <w:t xml:space="preserve">efforts </w:t>
      </w:r>
      <w:r>
        <w:rPr>
          <w:spacing w:val="-3"/>
        </w:rPr>
        <w:t xml:space="preserve">to </w:t>
      </w:r>
      <w:r>
        <w:t xml:space="preserve">establish </w:t>
      </w:r>
      <w:r>
        <w:rPr>
          <w:spacing w:val="-3"/>
        </w:rPr>
        <w:t xml:space="preserve">contracts </w:t>
      </w:r>
      <w:r>
        <w:t xml:space="preserve">with </w:t>
      </w:r>
      <w:r>
        <w:rPr>
          <w:spacing w:val="-4"/>
        </w:rPr>
        <w:t xml:space="preserve">these members’ </w:t>
      </w:r>
      <w:r>
        <w:rPr>
          <w:spacing w:val="-3"/>
        </w:rPr>
        <w:t xml:space="preserve">existing </w:t>
      </w:r>
      <w:r>
        <w:t>providers.</w:t>
      </w:r>
      <w:r>
        <w:rPr>
          <w:position w:val="8"/>
          <w:sz w:val="15"/>
          <w:szCs w:val="15"/>
        </w:rPr>
        <w:t xml:space="preserve">15 </w:t>
      </w:r>
      <w:r>
        <w:rPr>
          <w:spacing w:val="-5"/>
        </w:rPr>
        <w:t xml:space="preserve">Sometimes, </w:t>
      </w:r>
      <w:r>
        <w:t xml:space="preserve">such </w:t>
      </w:r>
      <w:r>
        <w:rPr>
          <w:spacing w:val="-4"/>
        </w:rPr>
        <w:t xml:space="preserve">efforts </w:t>
      </w:r>
      <w:r>
        <w:t xml:space="preserve">are </w:t>
      </w:r>
      <w:r>
        <w:rPr>
          <w:spacing w:val="-5"/>
        </w:rPr>
        <w:t xml:space="preserve">unsuccessful </w:t>
      </w:r>
      <w:r>
        <w:rPr>
          <w:spacing w:val="-3"/>
        </w:rPr>
        <w:t xml:space="preserve">but </w:t>
      </w:r>
      <w:r>
        <w:rPr>
          <w:spacing w:val="-8"/>
        </w:rPr>
        <w:t xml:space="preserve">the </w:t>
      </w:r>
      <w:r>
        <w:t xml:space="preserve">provider relationship </w:t>
      </w:r>
      <w:r>
        <w:rPr>
          <w:spacing w:val="-4"/>
        </w:rPr>
        <w:t xml:space="preserve">remains </w:t>
      </w:r>
      <w:r>
        <w:t xml:space="preserve">critical </w:t>
      </w:r>
      <w:r>
        <w:rPr>
          <w:spacing w:val="-3"/>
        </w:rPr>
        <w:t xml:space="preserve">to </w:t>
      </w:r>
      <w:r>
        <w:rPr>
          <w:spacing w:val="-4"/>
        </w:rPr>
        <w:t xml:space="preserve">ensuring </w:t>
      </w:r>
      <w:r>
        <w:t xml:space="preserve">care </w:t>
      </w:r>
      <w:r>
        <w:rPr>
          <w:spacing w:val="-4"/>
        </w:rPr>
        <w:t xml:space="preserve">continuity  </w:t>
      </w:r>
      <w:r>
        <w:rPr>
          <w:spacing w:val="-3"/>
        </w:rPr>
        <w:t xml:space="preserve">due to </w:t>
      </w:r>
      <w:r>
        <w:rPr>
          <w:spacing w:val="-4"/>
        </w:rPr>
        <w:t xml:space="preserve">the </w:t>
      </w:r>
      <w:r>
        <w:t xml:space="preserve">particular </w:t>
      </w:r>
      <w:r>
        <w:rPr>
          <w:spacing w:val="-3"/>
        </w:rPr>
        <w:t xml:space="preserve">needs </w:t>
      </w:r>
      <w:r>
        <w:t xml:space="preserve">of </w:t>
      </w:r>
      <w:r>
        <w:rPr>
          <w:spacing w:val="-5"/>
        </w:rPr>
        <w:t xml:space="preserve">the </w:t>
      </w:r>
      <w:r>
        <w:rPr>
          <w:spacing w:val="-3"/>
        </w:rPr>
        <w:t xml:space="preserve">patient </w:t>
      </w:r>
      <w:r>
        <w:t xml:space="preserve">– </w:t>
      </w:r>
      <w:r>
        <w:rPr>
          <w:spacing w:val="-3"/>
        </w:rPr>
        <w:t xml:space="preserve">for example, </w:t>
      </w:r>
      <w:r>
        <w:t xml:space="preserve">where </w:t>
      </w:r>
      <w:r>
        <w:rPr>
          <w:spacing w:val="-5"/>
        </w:rPr>
        <w:t xml:space="preserve">the </w:t>
      </w:r>
      <w:r>
        <w:rPr>
          <w:spacing w:val="-6"/>
        </w:rPr>
        <w:t xml:space="preserve">member </w:t>
      </w:r>
      <w:r>
        <w:rPr>
          <w:spacing w:val="-3"/>
        </w:rPr>
        <w:t xml:space="preserve">has </w:t>
      </w:r>
      <w:r>
        <w:rPr>
          <w:spacing w:val="-6"/>
        </w:rPr>
        <w:t xml:space="preserve">mental </w:t>
      </w:r>
      <w:r>
        <w:t xml:space="preserve">illness </w:t>
      </w:r>
      <w:r>
        <w:rPr>
          <w:spacing w:val="-3"/>
        </w:rPr>
        <w:t xml:space="preserve">and </w:t>
      </w:r>
      <w:r>
        <w:rPr>
          <w:spacing w:val="-6"/>
        </w:rPr>
        <w:t xml:space="preserve">has  </w:t>
      </w:r>
      <w:r>
        <w:t xml:space="preserve">established a </w:t>
      </w:r>
      <w:r>
        <w:rPr>
          <w:spacing w:val="-4"/>
        </w:rPr>
        <w:t xml:space="preserve">successful therapeutic </w:t>
      </w:r>
      <w:r>
        <w:t xml:space="preserve">relationship with an </w:t>
      </w:r>
      <w:r>
        <w:rPr>
          <w:spacing w:val="-3"/>
        </w:rPr>
        <w:t xml:space="preserve">out-of-network </w:t>
      </w:r>
      <w:r>
        <w:t xml:space="preserve">provider. </w:t>
      </w:r>
      <w:r>
        <w:rPr>
          <w:spacing w:val="-4"/>
        </w:rPr>
        <w:t xml:space="preserve">In </w:t>
      </w:r>
      <w:r>
        <w:rPr>
          <w:spacing w:val="-5"/>
        </w:rPr>
        <w:t xml:space="preserve">this </w:t>
      </w:r>
      <w:r>
        <w:t xml:space="preserve">case, </w:t>
      </w:r>
      <w:r>
        <w:rPr>
          <w:spacing w:val="-5"/>
        </w:rPr>
        <w:t xml:space="preserve">the </w:t>
      </w:r>
      <w:r>
        <w:rPr>
          <w:spacing w:val="-4"/>
        </w:rPr>
        <w:t xml:space="preserve">ACO </w:t>
      </w:r>
      <w:r>
        <w:rPr>
          <w:spacing w:val="-3"/>
        </w:rPr>
        <w:t xml:space="preserve">should have </w:t>
      </w:r>
      <w:r>
        <w:t xml:space="preserve">flexibility </w:t>
      </w:r>
      <w:r>
        <w:rPr>
          <w:spacing w:val="-3"/>
        </w:rPr>
        <w:t xml:space="preserve">to contract </w:t>
      </w:r>
      <w:r>
        <w:t xml:space="preserve">with </w:t>
      </w:r>
      <w:r>
        <w:rPr>
          <w:spacing w:val="-5"/>
        </w:rPr>
        <w:t xml:space="preserve">the </w:t>
      </w:r>
      <w:r>
        <w:t xml:space="preserve">provider </w:t>
      </w:r>
      <w:r>
        <w:rPr>
          <w:spacing w:val="-3"/>
        </w:rPr>
        <w:t xml:space="preserve">for </w:t>
      </w:r>
      <w:r>
        <w:rPr>
          <w:spacing w:val="-5"/>
        </w:rPr>
        <w:t xml:space="preserve">the </w:t>
      </w:r>
      <w:r>
        <w:t xml:space="preserve">individual </w:t>
      </w:r>
      <w:r>
        <w:rPr>
          <w:spacing w:val="-6"/>
        </w:rPr>
        <w:t xml:space="preserve">member through  </w:t>
      </w:r>
      <w:r>
        <w:t xml:space="preserve">a single case </w:t>
      </w:r>
      <w:r>
        <w:rPr>
          <w:spacing w:val="-4"/>
        </w:rPr>
        <w:t xml:space="preserve">agreement  </w:t>
      </w:r>
      <w:r>
        <w:t xml:space="preserve">or </w:t>
      </w:r>
      <w:r>
        <w:rPr>
          <w:spacing w:val="-4"/>
        </w:rPr>
        <w:t xml:space="preserve">other </w:t>
      </w:r>
      <w:r>
        <w:rPr>
          <w:spacing w:val="-5"/>
        </w:rPr>
        <w:t xml:space="preserve">mechanism.  Where </w:t>
      </w:r>
      <w:r>
        <w:rPr>
          <w:spacing w:val="-4"/>
        </w:rPr>
        <w:t xml:space="preserve">the </w:t>
      </w:r>
      <w:r>
        <w:rPr>
          <w:spacing w:val="-3"/>
        </w:rPr>
        <w:t xml:space="preserve">ACO </w:t>
      </w:r>
      <w:r>
        <w:t xml:space="preserve">fails </w:t>
      </w:r>
      <w:r>
        <w:rPr>
          <w:spacing w:val="-5"/>
        </w:rPr>
        <w:t xml:space="preserve">to </w:t>
      </w:r>
      <w:r>
        <w:rPr>
          <w:spacing w:val="-4"/>
        </w:rPr>
        <w:t xml:space="preserve">take </w:t>
      </w:r>
      <w:r>
        <w:rPr>
          <w:spacing w:val="-3"/>
        </w:rPr>
        <w:t xml:space="preserve">such action, </w:t>
      </w:r>
      <w:r>
        <w:rPr>
          <w:spacing w:val="-5"/>
        </w:rPr>
        <w:t xml:space="preserve">the </w:t>
      </w:r>
      <w:r>
        <w:rPr>
          <w:spacing w:val="-6"/>
        </w:rPr>
        <w:t xml:space="preserve">member </w:t>
      </w:r>
      <w:r>
        <w:rPr>
          <w:spacing w:val="-3"/>
        </w:rPr>
        <w:t xml:space="preserve">should have </w:t>
      </w:r>
      <w:r>
        <w:rPr>
          <w:spacing w:val="-5"/>
        </w:rPr>
        <w:t xml:space="preserve">the </w:t>
      </w:r>
      <w:r>
        <w:rPr>
          <w:spacing w:val="-4"/>
        </w:rPr>
        <w:t xml:space="preserve">right </w:t>
      </w:r>
      <w:r>
        <w:rPr>
          <w:spacing w:val="-3"/>
        </w:rPr>
        <w:t xml:space="preserve">to </w:t>
      </w:r>
      <w:r>
        <w:t xml:space="preserve">appeal to </w:t>
      </w:r>
      <w:r>
        <w:rPr>
          <w:spacing w:val="-5"/>
        </w:rPr>
        <w:t xml:space="preserve">the </w:t>
      </w:r>
      <w:r>
        <w:rPr>
          <w:spacing w:val="-3"/>
        </w:rPr>
        <w:t xml:space="preserve">Office </w:t>
      </w:r>
      <w:r>
        <w:t>of Medicaid Board of</w:t>
      </w:r>
      <w:r>
        <w:rPr>
          <w:spacing w:val="2"/>
        </w:rPr>
        <w:t xml:space="preserve"> </w:t>
      </w:r>
      <w:r>
        <w:rPr>
          <w:spacing w:val="-3"/>
        </w:rPr>
        <w:t>Hearings.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20" w:right="8033"/>
        <w:rPr>
          <w:rFonts w:ascii="Times New Roman" w:hAnsi="Times New Roman" w:cs="Times New Roman"/>
          <w:sz w:val="24"/>
          <w:szCs w:val="24"/>
        </w:rPr>
      </w:pPr>
      <w:r>
        <w:rPr>
          <w:rFonts w:ascii="Times New Roman" w:hAnsi="Times New Roman" w:cs="Times New Roman"/>
          <w:sz w:val="24"/>
          <w:szCs w:val="24"/>
          <w:u w:val="single"/>
        </w:rPr>
        <w:t>Conclusion</w:t>
      </w:r>
    </w:p>
    <w:p w:rsidR="002C5025" w:rsidRDefault="002C5025">
      <w:pPr>
        <w:pStyle w:val="BodyText"/>
        <w:kinsoku w:val="0"/>
        <w:overflowPunct w:val="0"/>
        <w:ind w:left="119" w:right="126"/>
        <w:rPr>
          <w:rFonts w:ascii="Times New Roman" w:hAnsi="Times New Roman" w:cs="Times New Roman"/>
          <w:color w:val="000000"/>
          <w:sz w:val="24"/>
          <w:szCs w:val="24"/>
        </w:rPr>
      </w:pPr>
      <w:r>
        <w:rPr>
          <w:rFonts w:ascii="Times New Roman" w:hAnsi="Times New Roman" w:cs="Times New Roman"/>
          <w:sz w:val="24"/>
          <w:szCs w:val="24"/>
        </w:rPr>
        <w:t xml:space="preserve">Thank you for the opportunity to submit comments regarding the Commonwealth’s 1115 Waiver Request. HLA is eager to work together with EOHHS to ensure access to high quality care for all MassHealth members. If you have any questions about these comments, please do not hesitate to contact Staff Attorney Andrew P. Cohen by telephone at (617) 275-2891 or by email at </w:t>
      </w:r>
      <w:hyperlink r:id="rId373" w:history="1">
        <w:r>
          <w:rPr>
            <w:rFonts w:ascii="Times New Roman" w:hAnsi="Times New Roman" w:cs="Times New Roman"/>
            <w:color w:val="0000FF"/>
            <w:sz w:val="24"/>
            <w:szCs w:val="24"/>
            <w:u w:val="single"/>
          </w:rPr>
          <w:t>acohen@hla-inc.org</w:t>
        </w:r>
        <w:r>
          <w:rPr>
            <w:rFonts w:ascii="Times New Roman" w:hAnsi="Times New Roman" w:cs="Times New Roman"/>
            <w:color w:val="000000"/>
            <w:sz w:val="24"/>
            <w:szCs w:val="24"/>
          </w:rPr>
          <w:t>.</w:t>
        </w:r>
      </w:hyperlink>
      <w:r>
        <w:rPr>
          <w:rFonts w:ascii="Times New Roman" w:hAnsi="Times New Roman" w:cs="Times New Roman"/>
          <w:color w:val="000000"/>
          <w:sz w:val="24"/>
          <w:szCs w:val="24"/>
        </w:rPr>
        <w:t xml:space="preserve">  Thank  you again for your time and consideration.</w:t>
      </w:r>
    </w:p>
    <w:p w:rsidR="002C5025" w:rsidRDefault="002C5025">
      <w:pPr>
        <w:pStyle w:val="BodyText"/>
        <w:kinsoku w:val="0"/>
        <w:overflowPunct w:val="0"/>
        <w:spacing w:before="11"/>
        <w:rPr>
          <w:rFonts w:ascii="Times New Roman" w:hAnsi="Times New Roman" w:cs="Times New Roman"/>
          <w:sz w:val="17"/>
          <w:szCs w:val="17"/>
        </w:rPr>
      </w:pPr>
    </w:p>
    <w:p w:rsidR="002C5025" w:rsidRDefault="002C5025">
      <w:pPr>
        <w:pStyle w:val="BodyText"/>
        <w:kinsoku w:val="0"/>
        <w:overflowPunct w:val="0"/>
        <w:spacing w:before="69"/>
        <w:ind w:left="120" w:right="8033"/>
        <w:rPr>
          <w:rFonts w:ascii="Times New Roman" w:hAnsi="Times New Roman" w:cs="Times New Roman"/>
          <w:sz w:val="24"/>
          <w:szCs w:val="24"/>
        </w:rPr>
      </w:pPr>
      <w:r>
        <w:rPr>
          <w:rFonts w:ascii="Times New Roman" w:hAnsi="Times New Roman" w:cs="Times New Roman"/>
          <w:sz w:val="24"/>
          <w:szCs w:val="24"/>
        </w:rPr>
        <w:t>Sincerely,</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tabs>
          <w:tab w:val="left" w:pos="5164"/>
        </w:tabs>
        <w:kinsoku w:val="0"/>
        <w:overflowPunct w:val="0"/>
        <w:ind w:left="120"/>
        <w:rPr>
          <w:rFonts w:ascii="Times New Roman" w:hAnsi="Times New Roman" w:cs="Times New Roman"/>
          <w:spacing w:val="-8"/>
          <w:position w:val="8"/>
          <w:sz w:val="15"/>
          <w:szCs w:val="15"/>
        </w:rPr>
      </w:pPr>
      <w:r>
        <w:rPr>
          <w:rFonts w:ascii="Times New Roman" w:hAnsi="Times New Roman" w:cs="Times New Roman"/>
          <w:spacing w:val="-4"/>
          <w:sz w:val="24"/>
          <w:szCs w:val="24"/>
        </w:rPr>
        <w:t>Matt</w:t>
      </w:r>
      <w:r>
        <w:rPr>
          <w:rFonts w:ascii="Times New Roman" w:hAnsi="Times New Roman" w:cs="Times New Roman"/>
          <w:spacing w:val="14"/>
          <w:sz w:val="24"/>
          <w:szCs w:val="24"/>
        </w:rPr>
        <w:t xml:space="preserve"> </w:t>
      </w:r>
      <w:r>
        <w:rPr>
          <w:rFonts w:ascii="Times New Roman" w:hAnsi="Times New Roman" w:cs="Times New Roman"/>
          <w:sz w:val="24"/>
          <w:szCs w:val="24"/>
        </w:rPr>
        <w:t>Selig</w:t>
      </w:r>
      <w:r>
        <w:rPr>
          <w:rFonts w:ascii="Times New Roman" w:hAnsi="Times New Roman" w:cs="Times New Roman"/>
          <w:sz w:val="24"/>
          <w:szCs w:val="24"/>
        </w:rPr>
        <w:tab/>
      </w:r>
      <w:r>
        <w:rPr>
          <w:rFonts w:ascii="Times New Roman" w:hAnsi="Times New Roman" w:cs="Times New Roman"/>
          <w:spacing w:val="-3"/>
          <w:sz w:val="24"/>
          <w:szCs w:val="24"/>
        </w:rPr>
        <w:t xml:space="preserve">Andrew </w:t>
      </w:r>
      <w:r>
        <w:rPr>
          <w:rFonts w:ascii="Times New Roman" w:hAnsi="Times New Roman" w:cs="Times New Roman"/>
          <w:sz w:val="24"/>
          <w:szCs w:val="24"/>
        </w:rPr>
        <w:t>P.</w:t>
      </w:r>
      <w:r>
        <w:rPr>
          <w:rFonts w:ascii="Times New Roman" w:hAnsi="Times New Roman" w:cs="Times New Roman"/>
          <w:spacing w:val="28"/>
          <w:sz w:val="24"/>
          <w:szCs w:val="24"/>
        </w:rPr>
        <w:t xml:space="preserve"> </w:t>
      </w:r>
      <w:r>
        <w:rPr>
          <w:rFonts w:ascii="Times New Roman" w:hAnsi="Times New Roman" w:cs="Times New Roman"/>
          <w:spacing w:val="-8"/>
          <w:sz w:val="24"/>
          <w:szCs w:val="24"/>
        </w:rPr>
        <w:t>Cohen</w:t>
      </w:r>
      <w:r>
        <w:rPr>
          <w:rFonts w:ascii="Times New Roman" w:hAnsi="Times New Roman" w:cs="Times New Roman"/>
          <w:spacing w:val="-8"/>
          <w:position w:val="8"/>
          <w:sz w:val="15"/>
          <w:szCs w:val="15"/>
        </w:rPr>
        <w:t>16</w:t>
      </w:r>
    </w:p>
    <w:p w:rsidR="002C5025" w:rsidRDefault="002C5025">
      <w:pPr>
        <w:pStyle w:val="BodyText"/>
        <w:tabs>
          <w:tab w:val="left" w:pos="5164"/>
        </w:tabs>
        <w:kinsoku w:val="0"/>
        <w:overflowPunct w:val="0"/>
        <w:ind w:left="120"/>
        <w:rPr>
          <w:rFonts w:ascii="Times New Roman" w:hAnsi="Times New Roman" w:cs="Times New Roman"/>
          <w:spacing w:val="-4"/>
          <w:sz w:val="24"/>
          <w:szCs w:val="24"/>
        </w:rPr>
      </w:pPr>
      <w:r>
        <w:rPr>
          <w:rFonts w:ascii="Times New Roman" w:hAnsi="Times New Roman" w:cs="Times New Roman"/>
          <w:spacing w:val="-3"/>
          <w:sz w:val="24"/>
          <w:szCs w:val="24"/>
        </w:rPr>
        <w:t>Executive</w:t>
      </w:r>
      <w:r>
        <w:rPr>
          <w:rFonts w:ascii="Times New Roman" w:hAnsi="Times New Roman" w:cs="Times New Roman"/>
          <w:spacing w:val="16"/>
          <w:sz w:val="24"/>
          <w:szCs w:val="24"/>
        </w:rPr>
        <w:t xml:space="preserve"> </w:t>
      </w:r>
      <w:r>
        <w:rPr>
          <w:rFonts w:ascii="Times New Roman" w:hAnsi="Times New Roman" w:cs="Times New Roman"/>
          <w:sz w:val="24"/>
          <w:szCs w:val="24"/>
        </w:rPr>
        <w:t>Director</w:t>
      </w:r>
      <w:r>
        <w:rPr>
          <w:rFonts w:ascii="Times New Roman" w:hAnsi="Times New Roman" w:cs="Times New Roman"/>
          <w:sz w:val="24"/>
          <w:szCs w:val="24"/>
        </w:rPr>
        <w:tab/>
      </w:r>
      <w:r>
        <w:rPr>
          <w:rFonts w:ascii="Times New Roman" w:hAnsi="Times New Roman" w:cs="Times New Roman"/>
          <w:spacing w:val="-4"/>
          <w:sz w:val="24"/>
          <w:szCs w:val="24"/>
        </w:rPr>
        <w:t>Staff</w:t>
      </w:r>
      <w:r>
        <w:rPr>
          <w:rFonts w:ascii="Times New Roman" w:hAnsi="Times New Roman" w:cs="Times New Roman"/>
          <w:spacing w:val="15"/>
          <w:sz w:val="24"/>
          <w:szCs w:val="24"/>
        </w:rPr>
        <w:t xml:space="preserve"> </w:t>
      </w:r>
      <w:r>
        <w:rPr>
          <w:rFonts w:ascii="Times New Roman" w:hAnsi="Times New Roman" w:cs="Times New Roman"/>
          <w:spacing w:val="-4"/>
          <w:sz w:val="24"/>
          <w:szCs w:val="24"/>
        </w:rPr>
        <w:t>Attorney</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FB027C">
      <w:pPr>
        <w:pStyle w:val="BodyText"/>
        <w:kinsoku w:val="0"/>
        <w:overflowPunct w:val="0"/>
        <w:spacing w:before="9"/>
        <w:rPr>
          <w:rFonts w:ascii="Times New Roman" w:hAnsi="Times New Roman" w:cs="Times New Roman"/>
          <w:sz w:val="10"/>
          <w:szCs w:val="10"/>
        </w:rPr>
      </w:pPr>
      <w:r>
        <w:rPr>
          <w:noProof/>
        </w:rPr>
        <mc:AlternateContent>
          <mc:Choice Requires="wps">
            <w:drawing>
              <wp:anchor distT="0" distB="0" distL="0" distR="0" simplePos="0" relativeHeight="251679232" behindDoc="0" locked="0" layoutInCell="0" allowOverlap="1">
                <wp:simplePos x="0" y="0"/>
                <wp:positionH relativeFrom="page">
                  <wp:posOffset>2296795</wp:posOffset>
                </wp:positionH>
                <wp:positionV relativeFrom="paragraph">
                  <wp:posOffset>107950</wp:posOffset>
                </wp:positionV>
                <wp:extent cx="1830705" cy="12700"/>
                <wp:effectExtent l="0" t="0" r="0" b="0"/>
                <wp:wrapTopAndBottom/>
                <wp:docPr id="540" name="Freeform 4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30705" cy="12700"/>
                        </a:xfrm>
                        <a:custGeom>
                          <a:avLst/>
                          <a:gdLst>
                            <a:gd name="T0" fmla="*/ 0 w 2883"/>
                            <a:gd name="T1" fmla="*/ 0 h 20"/>
                            <a:gd name="T2" fmla="*/ 2883 w 2883"/>
                            <a:gd name="T3" fmla="*/ 0 h 20"/>
                          </a:gdLst>
                          <a:ahLst/>
                          <a:cxnLst>
                            <a:cxn ang="0">
                              <a:pos x="T0" y="T1"/>
                            </a:cxn>
                            <a:cxn ang="0">
                              <a:pos x="T2" y="T3"/>
                            </a:cxn>
                          </a:cxnLst>
                          <a:rect l="0" t="0" r="r" b="b"/>
                          <a:pathLst>
                            <a:path w="2883" h="20">
                              <a:moveTo>
                                <a:pt x="0" y="0"/>
                              </a:moveTo>
                              <a:lnTo>
                                <a:pt x="2883"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85" o:spid="_x0000_s1026" style="position:absolute;z-index:251679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80.85pt,8.5pt,325pt,8.5pt" coordsize="288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" o:allowincell="f" filled="f" strokeweight=".7pt">
                <v:path arrowok="t" o:connecttype="custom" o:connectlocs="0,0;1830705,0" o:connectangles="0,0"/>
                <w10:wrap type="topAndBottom" anchorx="page"/>
              </v:polyline>
            </w:pict>
          </mc:Fallback>
        </mc:AlternateContent>
      </w:r>
    </w:p>
    <w:p w:rsidR="002C5025" w:rsidRDefault="002C5025">
      <w:pPr>
        <w:pStyle w:val="BodyText"/>
        <w:kinsoku w:val="0"/>
        <w:overflowPunct w:val="0"/>
        <w:spacing w:before="62"/>
        <w:ind w:left="119" w:right="247"/>
        <w:jc w:val="both"/>
        <w:rPr>
          <w:rFonts w:ascii="Times New Roman" w:hAnsi="Times New Roman" w:cs="Times New Roman"/>
          <w:sz w:val="20"/>
          <w:szCs w:val="20"/>
        </w:rPr>
      </w:pPr>
      <w:r>
        <w:rPr>
          <w:rFonts w:ascii="Times New Roman" w:hAnsi="Times New Roman" w:cs="Times New Roman"/>
          <w:position w:val="6"/>
          <w:sz w:val="13"/>
          <w:szCs w:val="13"/>
        </w:rPr>
        <w:t xml:space="preserve">15 </w:t>
      </w:r>
      <w:r>
        <w:rPr>
          <w:rFonts w:ascii="Times New Roman" w:hAnsi="Times New Roman" w:cs="Times New Roman"/>
          <w:sz w:val="20"/>
          <w:szCs w:val="20"/>
        </w:rPr>
        <w:t xml:space="preserve">Section 2.7(A)(8) of the Three-Way Contract between </w:t>
      </w:r>
      <w:r>
        <w:rPr>
          <w:rFonts w:ascii="Times New Roman" w:hAnsi="Times New Roman" w:cs="Times New Roman"/>
          <w:spacing w:val="-4"/>
          <w:sz w:val="20"/>
          <w:szCs w:val="20"/>
        </w:rPr>
        <w:t xml:space="preserve">CMS, EOHHS, </w:t>
      </w:r>
      <w:r>
        <w:rPr>
          <w:rFonts w:ascii="Times New Roman" w:hAnsi="Times New Roman" w:cs="Times New Roman"/>
          <w:spacing w:val="-3"/>
          <w:sz w:val="20"/>
          <w:szCs w:val="20"/>
        </w:rPr>
        <w:t xml:space="preserve">and One Care </w:t>
      </w:r>
      <w:r>
        <w:rPr>
          <w:rFonts w:ascii="Times New Roman" w:hAnsi="Times New Roman" w:cs="Times New Roman"/>
          <w:sz w:val="20"/>
          <w:szCs w:val="20"/>
        </w:rPr>
        <w:t xml:space="preserve">Plans, December 28, 2015.  </w:t>
      </w:r>
      <w:r>
        <w:rPr>
          <w:rFonts w:ascii="Times New Roman" w:hAnsi="Times New Roman" w:cs="Times New Roman"/>
          <w:position w:val="6"/>
          <w:sz w:val="13"/>
          <w:szCs w:val="13"/>
        </w:rPr>
        <w:t xml:space="preserve">16 </w:t>
      </w:r>
      <w:r>
        <w:rPr>
          <w:rFonts w:ascii="Times New Roman" w:hAnsi="Times New Roman" w:cs="Times New Roman"/>
          <w:sz w:val="20"/>
          <w:szCs w:val="20"/>
        </w:rPr>
        <w:t xml:space="preserve">Health </w:t>
      </w:r>
      <w:r>
        <w:rPr>
          <w:rFonts w:ascii="Times New Roman" w:hAnsi="Times New Roman" w:cs="Times New Roman"/>
          <w:spacing w:val="-3"/>
          <w:sz w:val="20"/>
          <w:szCs w:val="20"/>
        </w:rPr>
        <w:t xml:space="preserve">Law Advocates </w:t>
      </w:r>
      <w:r>
        <w:rPr>
          <w:rFonts w:ascii="Times New Roman" w:hAnsi="Times New Roman" w:cs="Times New Roman"/>
          <w:sz w:val="20"/>
          <w:szCs w:val="20"/>
        </w:rPr>
        <w:t xml:space="preserve">attorneys </w:t>
      </w:r>
      <w:r>
        <w:rPr>
          <w:rFonts w:ascii="Times New Roman" w:hAnsi="Times New Roman" w:cs="Times New Roman"/>
          <w:spacing w:val="-3"/>
          <w:sz w:val="20"/>
          <w:szCs w:val="20"/>
        </w:rPr>
        <w:t xml:space="preserve">Clare </w:t>
      </w:r>
      <w:proofErr w:type="spellStart"/>
      <w:r>
        <w:rPr>
          <w:rFonts w:ascii="Times New Roman" w:hAnsi="Times New Roman" w:cs="Times New Roman"/>
          <w:sz w:val="20"/>
          <w:szCs w:val="20"/>
        </w:rPr>
        <w:t>McGorrian</w:t>
      </w:r>
      <w:proofErr w:type="spellEnd"/>
      <w:r>
        <w:rPr>
          <w:rFonts w:ascii="Times New Roman" w:hAnsi="Times New Roman" w:cs="Times New Roman"/>
          <w:sz w:val="20"/>
          <w:szCs w:val="20"/>
        </w:rPr>
        <w:t xml:space="preserve">, Caroline </w:t>
      </w:r>
      <w:r>
        <w:rPr>
          <w:rFonts w:ascii="Times New Roman" w:hAnsi="Times New Roman" w:cs="Times New Roman"/>
          <w:spacing w:val="-3"/>
          <w:sz w:val="20"/>
          <w:szCs w:val="20"/>
        </w:rPr>
        <w:t xml:space="preserve">Donahue, </w:t>
      </w:r>
      <w:r>
        <w:rPr>
          <w:rFonts w:ascii="Times New Roman" w:hAnsi="Times New Roman" w:cs="Times New Roman"/>
          <w:spacing w:val="-4"/>
          <w:sz w:val="20"/>
          <w:szCs w:val="20"/>
        </w:rPr>
        <w:t xml:space="preserve">and  </w:t>
      </w:r>
      <w:r>
        <w:rPr>
          <w:rFonts w:ascii="Times New Roman" w:hAnsi="Times New Roman" w:cs="Times New Roman"/>
          <w:sz w:val="20"/>
          <w:szCs w:val="20"/>
        </w:rPr>
        <w:t xml:space="preserve">Ashley Jones-Pierce also </w:t>
      </w:r>
      <w:r>
        <w:rPr>
          <w:rFonts w:ascii="Times New Roman" w:hAnsi="Times New Roman" w:cs="Times New Roman"/>
          <w:spacing w:val="-3"/>
          <w:sz w:val="20"/>
          <w:szCs w:val="20"/>
        </w:rPr>
        <w:t xml:space="preserve">contributed </w:t>
      </w:r>
      <w:r>
        <w:rPr>
          <w:rFonts w:ascii="Times New Roman" w:hAnsi="Times New Roman" w:cs="Times New Roman"/>
          <w:sz w:val="20"/>
          <w:szCs w:val="20"/>
        </w:rPr>
        <w:t>to these written</w:t>
      </w:r>
      <w:r>
        <w:rPr>
          <w:rFonts w:ascii="Times New Roman" w:hAnsi="Times New Roman" w:cs="Times New Roman"/>
          <w:spacing w:val="3"/>
          <w:sz w:val="20"/>
          <w:szCs w:val="20"/>
        </w:rPr>
        <w:t xml:space="preserve"> </w:t>
      </w:r>
      <w:r>
        <w:rPr>
          <w:rFonts w:ascii="Times New Roman" w:hAnsi="Times New Roman" w:cs="Times New Roman"/>
          <w:sz w:val="20"/>
          <w:szCs w:val="20"/>
        </w:rPr>
        <w:t>comments.</w:t>
      </w:r>
    </w:p>
    <w:p w:rsidR="002C5025" w:rsidRDefault="002C5025">
      <w:pPr>
        <w:pStyle w:val="BodyText"/>
        <w:kinsoku w:val="0"/>
        <w:overflowPunct w:val="0"/>
        <w:spacing w:line="263" w:lineRule="exact"/>
        <w:ind w:right="107"/>
        <w:jc w:val="right"/>
        <w:rPr>
          <w:rFonts w:ascii="Times New Roman" w:hAnsi="Times New Roman" w:cs="Times New Roman"/>
          <w:sz w:val="24"/>
          <w:szCs w:val="24"/>
        </w:rPr>
      </w:pPr>
      <w:r>
        <w:rPr>
          <w:rFonts w:ascii="Times New Roman" w:hAnsi="Times New Roman" w:cs="Times New Roman"/>
          <w:sz w:val="24"/>
          <w:szCs w:val="24"/>
        </w:rPr>
        <w:t>9</w:t>
      </w:r>
    </w:p>
    <w:p w:rsidR="002C5025" w:rsidRDefault="002C5025">
      <w:pPr>
        <w:pStyle w:val="BodyText"/>
        <w:kinsoku w:val="0"/>
        <w:overflowPunct w:val="0"/>
        <w:spacing w:line="263" w:lineRule="exact"/>
        <w:ind w:right="107"/>
        <w:jc w:val="right"/>
        <w:rPr>
          <w:rFonts w:ascii="Times New Roman" w:hAnsi="Times New Roman" w:cs="Times New Roman"/>
          <w:sz w:val="24"/>
          <w:szCs w:val="24"/>
        </w:rPr>
        <w:sectPr w:rsidR="002C5025">
          <w:pgSz w:w="12240" w:h="15840"/>
          <w:pgMar w:top="940" w:right="1320" w:bottom="280" w:left="1320" w:header="720" w:footer="720" w:gutter="0"/>
          <w:cols w:space="720"/>
          <w:noEndnote/>
        </w:sect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11"/>
        <w:rPr>
          <w:rFonts w:ascii="Times New Roman" w:hAnsi="Times New Roman" w:cs="Times New Roman"/>
          <w:sz w:val="15"/>
          <w:szCs w:val="15"/>
        </w:rPr>
      </w:pPr>
    </w:p>
    <w:p w:rsidR="002C5025" w:rsidRDefault="00FB027C">
      <w:pPr>
        <w:pStyle w:val="BodyText"/>
        <w:kinsoku w:val="0"/>
        <w:overflowPunct w:val="0"/>
        <w:ind w:left="140"/>
        <w:rPr>
          <w:rFonts w:ascii="Times New Roman" w:hAnsi="Times New Roman" w:cs="Times New Roman"/>
          <w:sz w:val="20"/>
          <w:szCs w:val="20"/>
        </w:rPr>
      </w:pPr>
      <w:r>
        <w:rPr>
          <w:rFonts w:ascii="Times New Roman" w:hAnsi="Times New Roman" w:cs="Times New Roman"/>
          <w:noProof/>
          <w:sz w:val="20"/>
          <w:szCs w:val="20"/>
        </w:rPr>
        <w:drawing>
          <wp:inline distT="0" distB="0" distL="0" distR="0">
            <wp:extent cx="1047750" cy="333375"/>
            <wp:effectExtent l="0" t="0" r="0" b="9525"/>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1047750" cy="333375"/>
                    </a:xfrm>
                    <a:prstGeom prst="rect">
                      <a:avLst/>
                    </a:prstGeom>
                    <a:noFill/>
                    <a:ln>
                      <a:noFill/>
                    </a:ln>
                  </pic:spPr>
                </pic:pic>
              </a:graphicData>
            </a:graphic>
          </wp:inline>
        </w:drawing>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5"/>
        <w:rPr>
          <w:rFonts w:ascii="Times New Roman" w:hAnsi="Times New Roman" w:cs="Times New Roman"/>
          <w:sz w:val="16"/>
          <w:szCs w:val="16"/>
        </w:rPr>
      </w:pPr>
    </w:p>
    <w:p w:rsidR="002C5025" w:rsidRDefault="002C5025">
      <w:pPr>
        <w:pStyle w:val="BodyText"/>
        <w:kinsoku w:val="0"/>
        <w:overflowPunct w:val="0"/>
        <w:spacing w:before="57"/>
        <w:ind w:left="140" w:right="254"/>
      </w:pPr>
      <w:bookmarkStart w:id="179" w:name="HMS_MA_1115_Waiver_Comments"/>
      <w:bookmarkEnd w:id="179"/>
      <w:r>
        <w:t>July 17, 2016</w:t>
      </w:r>
    </w:p>
    <w:p w:rsidR="002C5025" w:rsidRDefault="002C5025">
      <w:pPr>
        <w:pStyle w:val="BodyText"/>
        <w:kinsoku w:val="0"/>
        <w:overflowPunct w:val="0"/>
      </w:pPr>
    </w:p>
    <w:p w:rsidR="002C5025" w:rsidRDefault="002C5025">
      <w:pPr>
        <w:pStyle w:val="BodyText"/>
        <w:kinsoku w:val="0"/>
        <w:overflowPunct w:val="0"/>
        <w:spacing w:before="178"/>
        <w:ind w:left="139" w:right="254"/>
      </w:pPr>
      <w:r>
        <w:t>EOHHS Office of Medicaid</w:t>
      </w:r>
    </w:p>
    <w:p w:rsidR="002C5025" w:rsidRDefault="002C5025">
      <w:pPr>
        <w:pStyle w:val="BodyText"/>
        <w:kinsoku w:val="0"/>
        <w:overflowPunct w:val="0"/>
        <w:ind w:left="140" w:right="5959" w:hanging="1"/>
      </w:pPr>
      <w:r>
        <w:t>Attn: 1115 Demonstration Comments One Ashburton Place, 11th Floor Boston, MA 02108</w:t>
      </w:r>
    </w:p>
    <w:p w:rsidR="002C5025" w:rsidRDefault="002C5025">
      <w:pPr>
        <w:pStyle w:val="BodyText"/>
        <w:kinsoku w:val="0"/>
        <w:overflowPunct w:val="0"/>
      </w:pPr>
    </w:p>
    <w:p w:rsidR="002C5025" w:rsidRDefault="002C5025">
      <w:pPr>
        <w:pStyle w:val="BodyText"/>
        <w:kinsoku w:val="0"/>
        <w:overflowPunct w:val="0"/>
        <w:spacing w:before="180"/>
        <w:ind w:left="140" w:right="254"/>
      </w:pPr>
      <w:r>
        <w:t>Dear Secretary Sudders:</w:t>
      </w:r>
    </w:p>
    <w:p w:rsidR="002C5025" w:rsidRDefault="002C5025">
      <w:pPr>
        <w:pStyle w:val="BodyText"/>
        <w:kinsoku w:val="0"/>
        <w:overflowPunct w:val="0"/>
        <w:spacing w:before="185" w:line="256" w:lineRule="auto"/>
        <w:ind w:left="139" w:right="232"/>
        <w:rPr>
          <w:spacing w:val="-3"/>
        </w:rPr>
      </w:pPr>
      <w:r>
        <w:t xml:space="preserve">HMS thanks the Executive Office of Health and Human Services (EOHHS) for the opportunity to provide comments on the draft Section 1115 Demonstration Project Amendment and Extension Request. </w:t>
      </w:r>
      <w:r>
        <w:rPr>
          <w:spacing w:val="-2"/>
        </w:rPr>
        <w:t xml:space="preserve">HMS </w:t>
      </w:r>
      <w:r>
        <w:t xml:space="preserve">provides the broadest </w:t>
      </w:r>
      <w:r>
        <w:rPr>
          <w:spacing w:val="-3"/>
        </w:rPr>
        <w:t xml:space="preserve">suite </w:t>
      </w:r>
      <w:r>
        <w:t xml:space="preserve">of healthcare cost containment solutions to help payers improve performance. We deliver coordination of </w:t>
      </w:r>
      <w:r>
        <w:rPr>
          <w:spacing w:val="-3"/>
        </w:rPr>
        <w:t xml:space="preserve">benefits, </w:t>
      </w:r>
      <w:r>
        <w:t xml:space="preserve">payment integrity, and data solutions to state agencies, federal </w:t>
      </w:r>
      <w:r>
        <w:rPr>
          <w:spacing w:val="-3"/>
        </w:rPr>
        <w:t xml:space="preserve">programs, </w:t>
      </w:r>
      <w:r>
        <w:t xml:space="preserve">health </w:t>
      </w:r>
      <w:r>
        <w:rPr>
          <w:spacing w:val="-3"/>
        </w:rPr>
        <w:t xml:space="preserve">plans, </w:t>
      </w:r>
      <w:r>
        <w:t xml:space="preserve">and employers. Using innovative technology through powerful data services and analytics, we prevent improper payments related to fraud, waste, and abuse; and recover on inappropriately paid claims. As a </w:t>
      </w:r>
      <w:r>
        <w:rPr>
          <w:spacing w:val="-3"/>
        </w:rPr>
        <w:t xml:space="preserve">result </w:t>
      </w:r>
      <w:r>
        <w:t xml:space="preserve">of our services, customers recover billions of dollars every year and save billions more through </w:t>
      </w:r>
      <w:r>
        <w:rPr>
          <w:spacing w:val="-2"/>
        </w:rPr>
        <w:t xml:space="preserve">the </w:t>
      </w:r>
      <w:r>
        <w:t xml:space="preserve">prevention of erroneous </w:t>
      </w:r>
      <w:r>
        <w:rPr>
          <w:spacing w:val="-3"/>
        </w:rPr>
        <w:t>payments.</w:t>
      </w:r>
    </w:p>
    <w:p w:rsidR="002C5025" w:rsidRDefault="002C5025">
      <w:pPr>
        <w:pStyle w:val="BodyText"/>
        <w:kinsoku w:val="0"/>
        <w:overflowPunct w:val="0"/>
        <w:spacing w:before="161" w:line="259" w:lineRule="auto"/>
        <w:ind w:left="137" w:right="142" w:firstLine="2"/>
      </w:pPr>
      <w:r>
        <w:t>In the Commonwealth, HMS has enjoyed a trusted partnership with EOHHS and the University of Massachusetts Medical School (UMMS) since 1990. We are honored to assist the Commonwealth in ensuring that services provided are necessary and provided only to those who are eligible; and that claims are billed and paid appropriately by the responsibly party. In state fiscal year 2016 alone, HMS assisted the Commonwealth save and recover a combined total of $335 million. With that background in mind, HMS is pleased to submit comments on Massachusetts’ innovative 1115 waiver proposal that focus on:</w:t>
      </w:r>
    </w:p>
    <w:p w:rsidR="002C5025" w:rsidRDefault="002C5025">
      <w:pPr>
        <w:pStyle w:val="ListParagraph"/>
        <w:numPr>
          <w:ilvl w:val="0"/>
          <w:numId w:val="46"/>
        </w:numPr>
        <w:tabs>
          <w:tab w:val="left" w:pos="861"/>
        </w:tabs>
        <w:kinsoku w:val="0"/>
        <w:overflowPunct w:val="0"/>
        <w:spacing w:before="157"/>
        <w:ind w:hanging="360"/>
        <w:rPr>
          <w:rFonts w:ascii="Calibri" w:hAnsi="Calibri" w:cs="Calibri"/>
          <w:sz w:val="22"/>
          <w:szCs w:val="22"/>
        </w:rPr>
      </w:pPr>
      <w:r>
        <w:rPr>
          <w:rFonts w:ascii="Calibri" w:hAnsi="Calibri" w:cs="Calibri"/>
          <w:sz w:val="22"/>
          <w:szCs w:val="22"/>
        </w:rPr>
        <w:t>Leveraging</w:t>
      </w:r>
      <w:r>
        <w:rPr>
          <w:rFonts w:ascii="Calibri" w:hAnsi="Calibri" w:cs="Calibri"/>
          <w:spacing w:val="-9"/>
          <w:sz w:val="22"/>
          <w:szCs w:val="22"/>
        </w:rPr>
        <w:t xml:space="preserve"> </w:t>
      </w:r>
      <w:r>
        <w:rPr>
          <w:rFonts w:ascii="Calibri" w:hAnsi="Calibri" w:cs="Calibri"/>
          <w:sz w:val="22"/>
          <w:szCs w:val="22"/>
        </w:rPr>
        <w:t>Historical</w:t>
      </w:r>
      <w:r>
        <w:rPr>
          <w:rFonts w:ascii="Calibri" w:hAnsi="Calibri" w:cs="Calibri"/>
          <w:spacing w:val="-7"/>
          <w:sz w:val="22"/>
          <w:szCs w:val="22"/>
        </w:rPr>
        <w:t xml:space="preserve"> </w:t>
      </w:r>
      <w:r>
        <w:rPr>
          <w:rFonts w:ascii="Calibri" w:hAnsi="Calibri" w:cs="Calibri"/>
          <w:spacing w:val="-3"/>
          <w:sz w:val="22"/>
          <w:szCs w:val="22"/>
        </w:rPr>
        <w:t>Claims</w:t>
      </w:r>
      <w:r>
        <w:rPr>
          <w:rFonts w:ascii="Calibri" w:hAnsi="Calibri" w:cs="Calibri"/>
          <w:spacing w:val="-9"/>
          <w:sz w:val="22"/>
          <w:szCs w:val="22"/>
        </w:rPr>
        <w:t xml:space="preserve"> </w:t>
      </w:r>
      <w:r>
        <w:rPr>
          <w:rFonts w:ascii="Calibri" w:hAnsi="Calibri" w:cs="Calibri"/>
          <w:sz w:val="22"/>
          <w:szCs w:val="22"/>
        </w:rPr>
        <w:t>Data</w:t>
      </w:r>
      <w:r>
        <w:rPr>
          <w:rFonts w:ascii="Calibri" w:hAnsi="Calibri" w:cs="Calibri"/>
          <w:spacing w:val="-9"/>
          <w:sz w:val="22"/>
          <w:szCs w:val="22"/>
        </w:rPr>
        <w:t xml:space="preserve"> </w:t>
      </w:r>
      <w:r>
        <w:rPr>
          <w:rFonts w:ascii="Calibri" w:hAnsi="Calibri" w:cs="Calibri"/>
          <w:sz w:val="22"/>
          <w:szCs w:val="22"/>
        </w:rPr>
        <w:t>for</w:t>
      </w:r>
      <w:r>
        <w:rPr>
          <w:rFonts w:ascii="Calibri" w:hAnsi="Calibri" w:cs="Calibri"/>
          <w:spacing w:val="-11"/>
          <w:sz w:val="22"/>
          <w:szCs w:val="22"/>
        </w:rPr>
        <w:t xml:space="preserve"> </w:t>
      </w:r>
      <w:r>
        <w:rPr>
          <w:rFonts w:ascii="Calibri" w:hAnsi="Calibri" w:cs="Calibri"/>
          <w:sz w:val="22"/>
          <w:szCs w:val="22"/>
        </w:rPr>
        <w:t>Care</w:t>
      </w:r>
      <w:r>
        <w:rPr>
          <w:rFonts w:ascii="Calibri" w:hAnsi="Calibri" w:cs="Calibri"/>
          <w:spacing w:val="-10"/>
          <w:sz w:val="22"/>
          <w:szCs w:val="22"/>
        </w:rPr>
        <w:t xml:space="preserve"> </w:t>
      </w:r>
      <w:r>
        <w:rPr>
          <w:rFonts w:ascii="Calibri" w:hAnsi="Calibri" w:cs="Calibri"/>
          <w:sz w:val="22"/>
          <w:szCs w:val="22"/>
        </w:rPr>
        <w:t>Management</w:t>
      </w:r>
    </w:p>
    <w:p w:rsidR="002C5025" w:rsidRDefault="002C5025">
      <w:pPr>
        <w:pStyle w:val="ListParagraph"/>
        <w:numPr>
          <w:ilvl w:val="0"/>
          <w:numId w:val="46"/>
        </w:numPr>
        <w:tabs>
          <w:tab w:val="left" w:pos="860"/>
        </w:tabs>
        <w:kinsoku w:val="0"/>
        <w:overflowPunct w:val="0"/>
        <w:spacing w:before="19"/>
        <w:ind w:left="859" w:hanging="360"/>
        <w:rPr>
          <w:rFonts w:ascii="Calibri" w:hAnsi="Calibri" w:cs="Calibri"/>
          <w:sz w:val="22"/>
          <w:szCs w:val="22"/>
        </w:rPr>
      </w:pPr>
      <w:r>
        <w:rPr>
          <w:rFonts w:ascii="Calibri" w:hAnsi="Calibri" w:cs="Calibri"/>
          <w:sz w:val="22"/>
          <w:szCs w:val="22"/>
        </w:rPr>
        <w:t xml:space="preserve">Applying Payer of Last </w:t>
      </w:r>
      <w:r>
        <w:rPr>
          <w:rFonts w:ascii="Calibri" w:hAnsi="Calibri" w:cs="Calibri"/>
          <w:spacing w:val="-3"/>
          <w:sz w:val="22"/>
          <w:szCs w:val="22"/>
        </w:rPr>
        <w:t>Resort</w:t>
      </w:r>
      <w:r>
        <w:rPr>
          <w:rFonts w:ascii="Calibri" w:hAnsi="Calibri" w:cs="Calibri"/>
          <w:spacing w:val="-32"/>
          <w:sz w:val="22"/>
          <w:szCs w:val="22"/>
        </w:rPr>
        <w:t xml:space="preserve"> </w:t>
      </w:r>
      <w:r>
        <w:rPr>
          <w:rFonts w:ascii="Calibri" w:hAnsi="Calibri" w:cs="Calibri"/>
          <w:sz w:val="22"/>
          <w:szCs w:val="22"/>
        </w:rPr>
        <w:t>Principles</w:t>
      </w:r>
    </w:p>
    <w:p w:rsidR="002C5025" w:rsidRDefault="002C5025">
      <w:pPr>
        <w:pStyle w:val="ListParagraph"/>
        <w:numPr>
          <w:ilvl w:val="0"/>
          <w:numId w:val="46"/>
        </w:numPr>
        <w:tabs>
          <w:tab w:val="left" w:pos="860"/>
        </w:tabs>
        <w:kinsoku w:val="0"/>
        <w:overflowPunct w:val="0"/>
        <w:spacing w:before="24"/>
        <w:ind w:left="859" w:hanging="360"/>
        <w:rPr>
          <w:rFonts w:ascii="Calibri" w:hAnsi="Calibri" w:cs="Calibri"/>
          <w:sz w:val="22"/>
          <w:szCs w:val="22"/>
        </w:rPr>
      </w:pPr>
      <w:r>
        <w:rPr>
          <w:rFonts w:ascii="Calibri" w:hAnsi="Calibri" w:cs="Calibri"/>
          <w:sz w:val="22"/>
          <w:szCs w:val="22"/>
        </w:rPr>
        <w:t>Strengthening</w:t>
      </w:r>
      <w:r>
        <w:rPr>
          <w:rFonts w:ascii="Calibri" w:hAnsi="Calibri" w:cs="Calibri"/>
          <w:spacing w:val="-23"/>
          <w:sz w:val="22"/>
          <w:szCs w:val="22"/>
        </w:rPr>
        <w:t xml:space="preserve"> </w:t>
      </w:r>
      <w:r>
        <w:rPr>
          <w:rFonts w:ascii="Calibri" w:hAnsi="Calibri" w:cs="Calibri"/>
          <w:sz w:val="22"/>
          <w:szCs w:val="22"/>
        </w:rPr>
        <w:t>Premium</w:t>
      </w:r>
      <w:r>
        <w:rPr>
          <w:rFonts w:ascii="Calibri" w:hAnsi="Calibri" w:cs="Calibri"/>
          <w:spacing w:val="-20"/>
          <w:sz w:val="22"/>
          <w:szCs w:val="22"/>
        </w:rPr>
        <w:t xml:space="preserve"> </w:t>
      </w:r>
      <w:r>
        <w:rPr>
          <w:rFonts w:ascii="Calibri" w:hAnsi="Calibri" w:cs="Calibri"/>
          <w:sz w:val="22"/>
          <w:szCs w:val="22"/>
        </w:rPr>
        <w:t>Assistance</w:t>
      </w:r>
    </w:p>
    <w:p w:rsidR="002C5025" w:rsidRDefault="002C5025">
      <w:pPr>
        <w:pStyle w:val="ListParagraph"/>
        <w:numPr>
          <w:ilvl w:val="0"/>
          <w:numId w:val="46"/>
        </w:numPr>
        <w:tabs>
          <w:tab w:val="left" w:pos="860"/>
        </w:tabs>
        <w:kinsoku w:val="0"/>
        <w:overflowPunct w:val="0"/>
        <w:spacing w:before="21"/>
        <w:ind w:left="859" w:hanging="360"/>
        <w:rPr>
          <w:rFonts w:ascii="Calibri" w:hAnsi="Calibri" w:cs="Calibri"/>
          <w:sz w:val="22"/>
          <w:szCs w:val="22"/>
        </w:rPr>
      </w:pPr>
      <w:r>
        <w:rPr>
          <w:rFonts w:ascii="Calibri" w:hAnsi="Calibri" w:cs="Calibri"/>
          <w:sz w:val="22"/>
          <w:szCs w:val="22"/>
        </w:rPr>
        <w:t>A</w:t>
      </w:r>
      <w:r>
        <w:rPr>
          <w:rFonts w:ascii="Calibri" w:hAnsi="Calibri" w:cs="Calibri"/>
          <w:spacing w:val="-10"/>
          <w:sz w:val="22"/>
          <w:szCs w:val="22"/>
        </w:rPr>
        <w:t xml:space="preserve"> </w:t>
      </w:r>
      <w:r>
        <w:rPr>
          <w:rFonts w:ascii="Calibri" w:hAnsi="Calibri" w:cs="Calibri"/>
          <w:sz w:val="22"/>
          <w:szCs w:val="22"/>
        </w:rPr>
        <w:t>Principled</w:t>
      </w:r>
      <w:r>
        <w:rPr>
          <w:rFonts w:ascii="Calibri" w:hAnsi="Calibri" w:cs="Calibri"/>
          <w:spacing w:val="-12"/>
          <w:sz w:val="22"/>
          <w:szCs w:val="22"/>
        </w:rPr>
        <w:t xml:space="preserve"> </w:t>
      </w:r>
      <w:r>
        <w:rPr>
          <w:rFonts w:ascii="Calibri" w:hAnsi="Calibri" w:cs="Calibri"/>
          <w:sz w:val="22"/>
          <w:szCs w:val="22"/>
        </w:rPr>
        <w:t>Approach</w:t>
      </w:r>
      <w:r>
        <w:rPr>
          <w:rFonts w:ascii="Calibri" w:hAnsi="Calibri" w:cs="Calibri"/>
          <w:spacing w:val="-12"/>
          <w:sz w:val="22"/>
          <w:szCs w:val="22"/>
        </w:rPr>
        <w:t xml:space="preserve"> </w:t>
      </w:r>
      <w:r>
        <w:rPr>
          <w:rFonts w:ascii="Calibri" w:hAnsi="Calibri" w:cs="Calibri"/>
          <w:sz w:val="22"/>
          <w:szCs w:val="22"/>
        </w:rPr>
        <w:t>to</w:t>
      </w:r>
      <w:r>
        <w:rPr>
          <w:rFonts w:ascii="Calibri" w:hAnsi="Calibri" w:cs="Calibri"/>
          <w:spacing w:val="-13"/>
          <w:sz w:val="22"/>
          <w:szCs w:val="22"/>
        </w:rPr>
        <w:t xml:space="preserve"> </w:t>
      </w:r>
      <w:r>
        <w:rPr>
          <w:rFonts w:ascii="Calibri" w:hAnsi="Calibri" w:cs="Calibri"/>
          <w:sz w:val="22"/>
          <w:szCs w:val="22"/>
        </w:rPr>
        <w:t>Program</w:t>
      </w:r>
      <w:r>
        <w:rPr>
          <w:rFonts w:ascii="Calibri" w:hAnsi="Calibri" w:cs="Calibri"/>
          <w:spacing w:val="-12"/>
          <w:sz w:val="22"/>
          <w:szCs w:val="22"/>
        </w:rPr>
        <w:t xml:space="preserve"> </w:t>
      </w:r>
      <w:r>
        <w:rPr>
          <w:rFonts w:ascii="Calibri" w:hAnsi="Calibri" w:cs="Calibri"/>
          <w:sz w:val="22"/>
          <w:szCs w:val="22"/>
        </w:rPr>
        <w:t>Integrity</w:t>
      </w:r>
    </w:p>
    <w:p w:rsidR="002C5025" w:rsidRDefault="002C5025">
      <w:pPr>
        <w:pStyle w:val="BodyText"/>
        <w:kinsoku w:val="0"/>
        <w:overflowPunct w:val="0"/>
        <w:spacing w:before="1"/>
        <w:rPr>
          <w:sz w:val="21"/>
          <w:szCs w:val="21"/>
        </w:rPr>
      </w:pPr>
    </w:p>
    <w:p w:rsidR="002C5025" w:rsidRDefault="002C5025">
      <w:pPr>
        <w:pStyle w:val="Heading7"/>
        <w:kinsoku w:val="0"/>
        <w:overflowPunct w:val="0"/>
        <w:rPr>
          <w:color w:val="2D74B5"/>
        </w:rPr>
      </w:pPr>
      <w:bookmarkStart w:id="180" w:name="Leveraging_Claims_Data_for_Care_Manageme"/>
      <w:bookmarkEnd w:id="180"/>
      <w:r>
        <w:rPr>
          <w:color w:val="2D74B5"/>
        </w:rPr>
        <w:t>Leveraging Claims Data for Care Management</w:t>
      </w:r>
    </w:p>
    <w:p w:rsidR="002C5025" w:rsidRDefault="002C5025">
      <w:pPr>
        <w:pStyle w:val="BodyText"/>
        <w:kinsoku w:val="0"/>
        <w:overflowPunct w:val="0"/>
        <w:spacing w:before="33" w:line="256" w:lineRule="auto"/>
        <w:ind w:left="139" w:right="254"/>
      </w:pPr>
      <w:r>
        <w:t>Massachusetts’</w:t>
      </w:r>
      <w:r>
        <w:rPr>
          <w:spacing w:val="-12"/>
        </w:rPr>
        <w:t xml:space="preserve"> </w:t>
      </w:r>
      <w:r>
        <w:t>goals</w:t>
      </w:r>
      <w:r>
        <w:rPr>
          <w:spacing w:val="-14"/>
        </w:rPr>
        <w:t xml:space="preserve"> </w:t>
      </w:r>
      <w:r>
        <w:t>of</w:t>
      </w:r>
      <w:r>
        <w:rPr>
          <w:spacing w:val="-14"/>
        </w:rPr>
        <w:t xml:space="preserve"> </w:t>
      </w:r>
      <w:r>
        <w:t>creating</w:t>
      </w:r>
      <w:r>
        <w:rPr>
          <w:spacing w:val="-13"/>
        </w:rPr>
        <w:t xml:space="preserve"> </w:t>
      </w:r>
      <w:r>
        <w:t>and</w:t>
      </w:r>
      <w:r>
        <w:rPr>
          <w:spacing w:val="-13"/>
        </w:rPr>
        <w:t xml:space="preserve"> </w:t>
      </w:r>
      <w:r>
        <w:t>strengthening</w:t>
      </w:r>
      <w:r>
        <w:rPr>
          <w:spacing w:val="-13"/>
        </w:rPr>
        <w:t xml:space="preserve"> </w:t>
      </w:r>
      <w:r>
        <w:t>coordination</w:t>
      </w:r>
      <w:r>
        <w:rPr>
          <w:spacing w:val="-14"/>
        </w:rPr>
        <w:t xml:space="preserve"> </w:t>
      </w:r>
      <w:r>
        <w:t>among</w:t>
      </w:r>
      <w:r>
        <w:rPr>
          <w:spacing w:val="-13"/>
        </w:rPr>
        <w:t xml:space="preserve"> </w:t>
      </w:r>
      <w:r>
        <w:t>historically</w:t>
      </w:r>
      <w:r>
        <w:rPr>
          <w:spacing w:val="-11"/>
        </w:rPr>
        <w:t xml:space="preserve"> </w:t>
      </w:r>
      <w:r>
        <w:t>segregated</w:t>
      </w:r>
      <w:r>
        <w:rPr>
          <w:spacing w:val="-13"/>
        </w:rPr>
        <w:t xml:space="preserve"> </w:t>
      </w:r>
      <w:r>
        <w:t xml:space="preserve">health care delivery systems [medical, behavioral health, </w:t>
      </w:r>
      <w:r>
        <w:rPr>
          <w:spacing w:val="-3"/>
        </w:rPr>
        <w:t xml:space="preserve">long </w:t>
      </w:r>
      <w:r>
        <w:t xml:space="preserve">term care supports and services (LTSS)] and improving the member experience within and </w:t>
      </w:r>
      <w:r>
        <w:rPr>
          <w:spacing w:val="-3"/>
        </w:rPr>
        <w:t xml:space="preserve">between </w:t>
      </w:r>
      <w:r>
        <w:t xml:space="preserve">Managed Care Organizations </w:t>
      </w:r>
      <w:r>
        <w:rPr>
          <w:spacing w:val="-3"/>
        </w:rPr>
        <w:t xml:space="preserve">(MCOs), </w:t>
      </w:r>
      <w:r>
        <w:t>Accountable Care Organizations (ACOs), and Community Partners (CPs) can be advanced through aggregation</w:t>
      </w:r>
      <w:r>
        <w:rPr>
          <w:spacing w:val="-14"/>
        </w:rPr>
        <w:t xml:space="preserve"> </w:t>
      </w:r>
      <w:r>
        <w:t>of,</w:t>
      </w:r>
      <w:r>
        <w:rPr>
          <w:spacing w:val="-8"/>
        </w:rPr>
        <w:t xml:space="preserve"> </w:t>
      </w:r>
      <w:r>
        <w:t>and</w:t>
      </w:r>
      <w:r>
        <w:rPr>
          <w:spacing w:val="-11"/>
        </w:rPr>
        <w:t xml:space="preserve"> </w:t>
      </w:r>
      <w:r>
        <w:t>advanced</w:t>
      </w:r>
      <w:r>
        <w:rPr>
          <w:spacing w:val="-11"/>
        </w:rPr>
        <w:t xml:space="preserve"> </w:t>
      </w:r>
      <w:r>
        <w:t>analytics</w:t>
      </w:r>
      <w:r>
        <w:rPr>
          <w:spacing w:val="-12"/>
        </w:rPr>
        <w:t xml:space="preserve"> </w:t>
      </w:r>
      <w:r>
        <w:t>on,</w:t>
      </w:r>
      <w:r>
        <w:rPr>
          <w:spacing w:val="-12"/>
        </w:rPr>
        <w:t xml:space="preserve"> </w:t>
      </w:r>
      <w:r>
        <w:t>member</w:t>
      </w:r>
      <w:r>
        <w:rPr>
          <w:spacing w:val="-10"/>
        </w:rPr>
        <w:t xml:space="preserve"> </w:t>
      </w:r>
      <w:r>
        <w:t>specific</w:t>
      </w:r>
      <w:r>
        <w:rPr>
          <w:spacing w:val="-10"/>
        </w:rPr>
        <w:t xml:space="preserve"> </w:t>
      </w:r>
      <w:r>
        <w:t>historical</w:t>
      </w:r>
      <w:r>
        <w:rPr>
          <w:spacing w:val="-14"/>
        </w:rPr>
        <w:t xml:space="preserve"> </w:t>
      </w:r>
      <w:r>
        <w:t>claims</w:t>
      </w:r>
      <w:r>
        <w:rPr>
          <w:spacing w:val="-8"/>
        </w:rPr>
        <w:t xml:space="preserve"> </w:t>
      </w:r>
      <w:r>
        <w:t>data.</w:t>
      </w:r>
    </w:p>
    <w:p w:rsidR="002C5025" w:rsidRDefault="002C5025">
      <w:pPr>
        <w:pStyle w:val="BodyText"/>
        <w:kinsoku w:val="0"/>
        <w:overflowPunct w:val="0"/>
        <w:rPr>
          <w:sz w:val="20"/>
          <w:szCs w:val="20"/>
        </w:rPr>
      </w:pPr>
    </w:p>
    <w:p w:rsidR="002C5025" w:rsidRDefault="00FB027C">
      <w:pPr>
        <w:pStyle w:val="BodyText"/>
        <w:kinsoku w:val="0"/>
        <w:overflowPunct w:val="0"/>
        <w:spacing w:before="1"/>
        <w:rPr>
          <w:sz w:val="24"/>
          <w:szCs w:val="24"/>
        </w:rPr>
      </w:pPr>
      <w:r>
        <w:rPr>
          <w:noProof/>
        </w:rPr>
        <mc:AlternateContent>
          <mc:Choice Requires="wps">
            <w:drawing>
              <wp:anchor distT="0" distB="0" distL="0" distR="0" simplePos="0" relativeHeight="251680256" behindDoc="0" locked="0" layoutInCell="0" allowOverlap="1">
                <wp:simplePos x="0" y="0"/>
                <wp:positionH relativeFrom="page">
                  <wp:posOffset>895985</wp:posOffset>
                </wp:positionH>
                <wp:positionV relativeFrom="paragraph">
                  <wp:posOffset>215265</wp:posOffset>
                </wp:positionV>
                <wp:extent cx="5981065" cy="12700"/>
                <wp:effectExtent l="0" t="0" r="0" b="0"/>
                <wp:wrapTopAndBottom/>
                <wp:docPr id="539" name="Freeform 4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12700"/>
                        </a:xfrm>
                        <a:custGeom>
                          <a:avLst/>
                          <a:gdLst>
                            <a:gd name="T0" fmla="*/ 0 w 9419"/>
                            <a:gd name="T1" fmla="*/ 0 h 20"/>
                            <a:gd name="T2" fmla="*/ 9419 w 9419"/>
                            <a:gd name="T3" fmla="*/ 0 h 20"/>
                          </a:gdLst>
                          <a:ahLst/>
                          <a:cxnLst>
                            <a:cxn ang="0">
                              <a:pos x="T0" y="T1"/>
                            </a:cxn>
                            <a:cxn ang="0">
                              <a:pos x="T2" y="T3"/>
                            </a:cxn>
                          </a:cxnLst>
                          <a:rect l="0" t="0" r="r" b="b"/>
                          <a:pathLst>
                            <a:path w="9419" h="20">
                              <a:moveTo>
                                <a:pt x="0" y="0"/>
                              </a:moveTo>
                              <a:lnTo>
                                <a:pt x="9419" y="0"/>
                              </a:lnTo>
                            </a:path>
                          </a:pathLst>
                        </a:custGeom>
                        <a:noFill/>
                        <a:ln w="7365">
                          <a:solidFill>
                            <a:srgbClr val="DADAD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86" o:spid="_x0000_s1026" style="position:absolute;z-index:251680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0.55pt,16.95pt,541.5pt,16.95pt" coordsize="94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" o:allowincell="f" filled="f" strokecolor="#dadada" strokeweight=".20458mm">
                <v:path arrowok="t" o:connecttype="custom" o:connectlocs="0,0;5981065,0" o:connectangles="0,0"/>
                <w10:wrap type="topAndBottom" anchorx="page"/>
              </v:polyline>
            </w:pict>
          </mc:Fallback>
        </mc:AlternateContent>
      </w:r>
    </w:p>
    <w:p w:rsidR="002C5025" w:rsidRDefault="002C5025">
      <w:pPr>
        <w:pStyle w:val="ListParagraph"/>
        <w:numPr>
          <w:ilvl w:val="0"/>
          <w:numId w:val="45"/>
        </w:numPr>
        <w:tabs>
          <w:tab w:val="left" w:pos="304"/>
        </w:tabs>
        <w:kinsoku w:val="0"/>
        <w:overflowPunct w:val="0"/>
        <w:spacing w:before="1"/>
        <w:ind w:hanging="163"/>
        <w:rPr>
          <w:rFonts w:ascii="Calibri" w:hAnsi="Calibri" w:cs="Calibri"/>
          <w:color w:val="7F7F7F"/>
          <w:sz w:val="22"/>
          <w:szCs w:val="22"/>
        </w:rPr>
      </w:pPr>
      <w:r>
        <w:rPr>
          <w:rFonts w:ascii="Calibri" w:hAnsi="Calibri" w:cs="Calibri"/>
          <w:b/>
          <w:bCs/>
          <w:sz w:val="22"/>
          <w:szCs w:val="22"/>
        </w:rPr>
        <w:t xml:space="preserve">| </w:t>
      </w:r>
      <w:r>
        <w:rPr>
          <w:rFonts w:ascii="Calibri" w:hAnsi="Calibri" w:cs="Calibri"/>
          <w:color w:val="7F7F7F"/>
          <w:sz w:val="22"/>
          <w:szCs w:val="22"/>
        </w:rPr>
        <w:t>P a g</w:t>
      </w:r>
      <w:r>
        <w:rPr>
          <w:rFonts w:ascii="Calibri" w:hAnsi="Calibri" w:cs="Calibri"/>
          <w:color w:val="7F7F7F"/>
          <w:spacing w:val="24"/>
          <w:sz w:val="22"/>
          <w:szCs w:val="22"/>
        </w:rPr>
        <w:t xml:space="preserve"> </w:t>
      </w:r>
      <w:r>
        <w:rPr>
          <w:rFonts w:ascii="Calibri" w:hAnsi="Calibri" w:cs="Calibri"/>
          <w:color w:val="7F7F7F"/>
          <w:sz w:val="22"/>
          <w:szCs w:val="22"/>
        </w:rPr>
        <w:t>e</w:t>
      </w:r>
    </w:p>
    <w:p w:rsidR="002C5025" w:rsidRDefault="002C5025">
      <w:pPr>
        <w:pStyle w:val="ListParagraph"/>
        <w:numPr>
          <w:ilvl w:val="0"/>
          <w:numId w:val="45"/>
        </w:numPr>
        <w:tabs>
          <w:tab w:val="left" w:pos="304"/>
        </w:tabs>
        <w:kinsoku w:val="0"/>
        <w:overflowPunct w:val="0"/>
        <w:spacing w:before="1"/>
        <w:ind w:hanging="163"/>
        <w:rPr>
          <w:rFonts w:ascii="Calibri" w:hAnsi="Calibri" w:cs="Calibri"/>
          <w:color w:val="7F7F7F"/>
          <w:sz w:val="22"/>
          <w:szCs w:val="22"/>
        </w:rPr>
        <w:sectPr w:rsidR="002C5025">
          <w:pgSz w:w="12240" w:h="15840"/>
          <w:pgMar w:top="1500" w:right="1300" w:bottom="280" w:left="1300" w:header="720" w:footer="720" w:gutter="0"/>
          <w:cols w:space="720" w:equalWidth="0">
            <w:col w:w="9640"/>
          </w:cols>
          <w:noEndnote/>
        </w:sectPr>
      </w:pPr>
    </w:p>
    <w:p w:rsidR="002C5025" w:rsidRDefault="002C5025">
      <w:pPr>
        <w:pStyle w:val="BodyText"/>
        <w:kinsoku w:val="0"/>
        <w:overflowPunct w:val="0"/>
        <w:spacing w:before="34" w:line="259" w:lineRule="auto"/>
        <w:ind w:left="139" w:right="778"/>
        <w:jc w:val="both"/>
      </w:pPr>
      <w:r>
        <w:lastRenderedPageBreak/>
        <w:t>To this end, HMS recommends that Massachusetts model the Centers for Medicare and Medicaid Services (CMS) MCO regulations, specifically §438.62, which requires that MCOs and states share enrollee utilization data to smooth delivery system transitions.</w:t>
      </w:r>
    </w:p>
    <w:p w:rsidR="002C5025" w:rsidRDefault="002C5025">
      <w:pPr>
        <w:pStyle w:val="BodyText"/>
        <w:kinsoku w:val="0"/>
        <w:overflowPunct w:val="0"/>
        <w:spacing w:before="159" w:line="259" w:lineRule="auto"/>
        <w:ind w:left="139" w:right="162" w:firstLine="1"/>
      </w:pPr>
      <w:r>
        <w:t>This data sharing is a good first step towards care coordination, care management and population health. However, we urge the Commonwealth to go further by explicitly permitting claims data aggregation which would give MCOs, ACOs, CPs and their respective network providers a more comprehensive picture of a new member, including historical member diagnosis, and provider, medication, ancillary services and LTSS information. Providing comprehensive, decipherable member utilization data will aid care coordination, care management and population health services starting day one of enrollment and even before a member consumes services. Additionally, aggregated data would allow providers to quickly identify critical conditions, avoid paying for redundant testing or ineffectual treatments, and identify potential fraud, waste and abuse, such as drug-seeking behavior. The latter can assist MassHealth achieve the fifth goal of the waiver, by addressing the opioid addiction crisis.</w:t>
      </w:r>
    </w:p>
    <w:p w:rsidR="002C5025" w:rsidRDefault="002C5025">
      <w:pPr>
        <w:pStyle w:val="BodyText"/>
        <w:kinsoku w:val="0"/>
        <w:overflowPunct w:val="0"/>
        <w:spacing w:before="156" w:line="259" w:lineRule="auto"/>
        <w:ind w:left="137" w:right="250" w:firstLine="1"/>
      </w:pPr>
      <w:r>
        <w:t xml:space="preserve">Through application for Delivery System Reform Incentive Program (DSRIP) funds, the Commonwealth, among other objectives, seeks to support providers in building infrastructure and care coordination capabilities for </w:t>
      </w:r>
      <w:r>
        <w:rPr>
          <w:spacing w:val="-3"/>
        </w:rPr>
        <w:t xml:space="preserve">delivery </w:t>
      </w:r>
      <w:r>
        <w:rPr>
          <w:spacing w:val="-2"/>
        </w:rPr>
        <w:t xml:space="preserve">system </w:t>
      </w:r>
      <w:r>
        <w:t xml:space="preserve">reform. Part of </w:t>
      </w:r>
      <w:r>
        <w:rPr>
          <w:spacing w:val="-2"/>
        </w:rPr>
        <w:t xml:space="preserve">the </w:t>
      </w:r>
      <w:r>
        <w:t xml:space="preserve">infrastructure includes information technology that enables data sharing and provides tools to analyze the data shared. </w:t>
      </w:r>
      <w:r>
        <w:rPr>
          <w:spacing w:val="-2"/>
        </w:rPr>
        <w:t xml:space="preserve">HMS </w:t>
      </w:r>
      <w:r>
        <w:t xml:space="preserve">recommends that MassHealth seek to leverage some of the </w:t>
      </w:r>
      <w:r>
        <w:rPr>
          <w:spacing w:val="-3"/>
        </w:rPr>
        <w:t xml:space="preserve">DSRIP </w:t>
      </w:r>
      <w:r>
        <w:t>dollars or other funding to enable this historical claims data aggregation and analysis.</w:t>
      </w:r>
    </w:p>
    <w:p w:rsidR="002C5025" w:rsidRDefault="002C5025">
      <w:pPr>
        <w:pStyle w:val="BodyText"/>
        <w:kinsoku w:val="0"/>
        <w:overflowPunct w:val="0"/>
        <w:spacing w:before="7"/>
        <w:rPr>
          <w:sz w:val="19"/>
          <w:szCs w:val="19"/>
        </w:rPr>
      </w:pPr>
    </w:p>
    <w:p w:rsidR="002C5025" w:rsidRDefault="002C5025">
      <w:pPr>
        <w:pStyle w:val="Heading7"/>
        <w:kinsoku w:val="0"/>
        <w:overflowPunct w:val="0"/>
        <w:rPr>
          <w:color w:val="2D74B5"/>
        </w:rPr>
      </w:pPr>
      <w:bookmarkStart w:id="181" w:name="Applying_Payer_of_Last_Resort_Principles"/>
      <w:bookmarkEnd w:id="181"/>
      <w:r>
        <w:rPr>
          <w:color w:val="2D74B5"/>
        </w:rPr>
        <w:t>Applying Payer of Last Resort Principles</w:t>
      </w:r>
    </w:p>
    <w:p w:rsidR="002C5025" w:rsidRDefault="002C5025">
      <w:pPr>
        <w:pStyle w:val="BodyText"/>
        <w:kinsoku w:val="0"/>
        <w:overflowPunct w:val="0"/>
        <w:spacing w:before="31" w:line="259" w:lineRule="auto"/>
        <w:ind w:left="140" w:right="254" w:hanging="1"/>
      </w:pPr>
      <w:r>
        <w:t>HMS</w:t>
      </w:r>
      <w:r>
        <w:rPr>
          <w:spacing w:val="-7"/>
        </w:rPr>
        <w:t xml:space="preserve"> </w:t>
      </w:r>
      <w:r>
        <w:t>applauds</w:t>
      </w:r>
      <w:r>
        <w:rPr>
          <w:spacing w:val="-8"/>
        </w:rPr>
        <w:t xml:space="preserve"> </w:t>
      </w:r>
      <w:r>
        <w:t>MassHealth</w:t>
      </w:r>
      <w:r>
        <w:rPr>
          <w:spacing w:val="-11"/>
        </w:rPr>
        <w:t xml:space="preserve"> </w:t>
      </w:r>
      <w:r>
        <w:t>for</w:t>
      </w:r>
      <w:r>
        <w:rPr>
          <w:spacing w:val="-8"/>
        </w:rPr>
        <w:t xml:space="preserve"> </w:t>
      </w:r>
      <w:r>
        <w:t>their</w:t>
      </w:r>
      <w:r>
        <w:rPr>
          <w:spacing w:val="-8"/>
        </w:rPr>
        <w:t xml:space="preserve"> </w:t>
      </w:r>
      <w:r>
        <w:t>consideration</w:t>
      </w:r>
      <w:r>
        <w:rPr>
          <w:spacing w:val="-13"/>
        </w:rPr>
        <w:t xml:space="preserve"> </w:t>
      </w:r>
      <w:r>
        <w:t>of</w:t>
      </w:r>
      <w:r>
        <w:rPr>
          <w:spacing w:val="-6"/>
        </w:rPr>
        <w:t xml:space="preserve"> </w:t>
      </w:r>
      <w:r>
        <w:t>access</w:t>
      </w:r>
      <w:r>
        <w:rPr>
          <w:spacing w:val="-10"/>
        </w:rPr>
        <w:t xml:space="preserve"> </w:t>
      </w:r>
      <w:r>
        <w:t>to</w:t>
      </w:r>
      <w:r>
        <w:rPr>
          <w:spacing w:val="-7"/>
        </w:rPr>
        <w:t xml:space="preserve"> </w:t>
      </w:r>
      <w:r>
        <w:t>and</w:t>
      </w:r>
      <w:r>
        <w:rPr>
          <w:spacing w:val="-11"/>
        </w:rPr>
        <w:t xml:space="preserve"> </w:t>
      </w:r>
      <w:r>
        <w:t>enrollment</w:t>
      </w:r>
      <w:r>
        <w:rPr>
          <w:spacing w:val="-8"/>
        </w:rPr>
        <w:t xml:space="preserve"> </w:t>
      </w:r>
      <w:r>
        <w:t>in</w:t>
      </w:r>
      <w:r>
        <w:rPr>
          <w:spacing w:val="-11"/>
        </w:rPr>
        <w:t xml:space="preserve"> </w:t>
      </w:r>
      <w:r>
        <w:t>other</w:t>
      </w:r>
      <w:r>
        <w:rPr>
          <w:spacing w:val="-8"/>
        </w:rPr>
        <w:t xml:space="preserve"> </w:t>
      </w:r>
      <w:r>
        <w:t>health</w:t>
      </w:r>
      <w:r>
        <w:rPr>
          <w:spacing w:val="-9"/>
        </w:rPr>
        <w:t xml:space="preserve"> </w:t>
      </w:r>
      <w:r>
        <w:t xml:space="preserve">insurance coverage. </w:t>
      </w:r>
      <w:r>
        <w:rPr>
          <w:spacing w:val="-2"/>
        </w:rPr>
        <w:t xml:space="preserve">HMS </w:t>
      </w:r>
      <w:r>
        <w:t xml:space="preserve">agrees, that individuals enrolled in other health insurance </w:t>
      </w:r>
      <w:r>
        <w:rPr>
          <w:spacing w:val="-3"/>
        </w:rPr>
        <w:t xml:space="preserve">coverage </w:t>
      </w:r>
      <w:r>
        <w:t>should be excluded from</w:t>
      </w:r>
      <w:r>
        <w:rPr>
          <w:spacing w:val="-5"/>
        </w:rPr>
        <w:t xml:space="preserve"> </w:t>
      </w:r>
      <w:r>
        <w:t>participation</w:t>
      </w:r>
      <w:r>
        <w:rPr>
          <w:spacing w:val="-6"/>
        </w:rPr>
        <w:t xml:space="preserve"> </w:t>
      </w:r>
      <w:r>
        <w:t>in</w:t>
      </w:r>
      <w:r>
        <w:rPr>
          <w:spacing w:val="-6"/>
        </w:rPr>
        <w:t xml:space="preserve"> </w:t>
      </w:r>
      <w:r>
        <w:rPr>
          <w:spacing w:val="-2"/>
        </w:rPr>
        <w:t>the</w:t>
      </w:r>
      <w:r>
        <w:rPr>
          <w:spacing w:val="-9"/>
        </w:rPr>
        <w:t xml:space="preserve"> </w:t>
      </w:r>
      <w:r>
        <w:t>MCOs</w:t>
      </w:r>
      <w:r>
        <w:rPr>
          <w:spacing w:val="-4"/>
        </w:rPr>
        <w:t xml:space="preserve"> </w:t>
      </w:r>
      <w:r>
        <w:t>and</w:t>
      </w:r>
      <w:r>
        <w:rPr>
          <w:spacing w:val="-6"/>
        </w:rPr>
        <w:t xml:space="preserve"> </w:t>
      </w:r>
      <w:r>
        <w:t>ACOs,</w:t>
      </w:r>
      <w:r>
        <w:rPr>
          <w:spacing w:val="-7"/>
        </w:rPr>
        <w:t xml:space="preserve"> </w:t>
      </w:r>
      <w:r>
        <w:t>mostly</w:t>
      </w:r>
      <w:r>
        <w:rPr>
          <w:spacing w:val="-5"/>
        </w:rPr>
        <w:t xml:space="preserve"> </w:t>
      </w:r>
      <w:r>
        <w:t>out</w:t>
      </w:r>
      <w:r>
        <w:rPr>
          <w:spacing w:val="-7"/>
        </w:rPr>
        <w:t xml:space="preserve"> </w:t>
      </w:r>
      <w:r>
        <w:t>of</w:t>
      </w:r>
      <w:r>
        <w:rPr>
          <w:spacing w:val="-5"/>
        </w:rPr>
        <w:t xml:space="preserve"> </w:t>
      </w:r>
      <w:r>
        <w:t>concern</w:t>
      </w:r>
      <w:r>
        <w:rPr>
          <w:spacing w:val="-8"/>
        </w:rPr>
        <w:t xml:space="preserve"> </w:t>
      </w:r>
      <w:r>
        <w:t>that</w:t>
      </w:r>
      <w:r>
        <w:rPr>
          <w:spacing w:val="-7"/>
        </w:rPr>
        <w:t xml:space="preserve"> </w:t>
      </w:r>
      <w:r>
        <w:t>the</w:t>
      </w:r>
      <w:r>
        <w:rPr>
          <w:spacing w:val="-3"/>
        </w:rPr>
        <w:t xml:space="preserve"> </w:t>
      </w:r>
      <w:r>
        <w:rPr>
          <w:spacing w:val="-4"/>
        </w:rPr>
        <w:t>payment</w:t>
      </w:r>
      <w:r>
        <w:rPr>
          <w:spacing w:val="-5"/>
        </w:rPr>
        <w:t xml:space="preserve"> </w:t>
      </w:r>
      <w:r>
        <w:t>models</w:t>
      </w:r>
      <w:r>
        <w:rPr>
          <w:spacing w:val="-5"/>
        </w:rPr>
        <w:t xml:space="preserve"> </w:t>
      </w:r>
      <w:r>
        <w:t>between</w:t>
      </w:r>
      <w:r>
        <w:rPr>
          <w:spacing w:val="-6"/>
        </w:rPr>
        <w:t xml:space="preserve"> </w:t>
      </w:r>
      <w:r>
        <w:rPr>
          <w:spacing w:val="-3"/>
        </w:rPr>
        <w:t xml:space="preserve">the </w:t>
      </w:r>
      <w:r>
        <w:t xml:space="preserve">MCOs/ACOs and their respective Medicaid provider networks will be </w:t>
      </w:r>
      <w:r>
        <w:rPr>
          <w:spacing w:val="-3"/>
        </w:rPr>
        <w:t xml:space="preserve">substantially </w:t>
      </w:r>
      <w:r>
        <w:t>altered making coordination</w:t>
      </w:r>
      <w:r>
        <w:rPr>
          <w:spacing w:val="-13"/>
        </w:rPr>
        <w:t xml:space="preserve"> </w:t>
      </w:r>
      <w:r>
        <w:t>of</w:t>
      </w:r>
      <w:r>
        <w:rPr>
          <w:spacing w:val="-10"/>
        </w:rPr>
        <w:t xml:space="preserve"> </w:t>
      </w:r>
      <w:r>
        <w:t>benefits</w:t>
      </w:r>
      <w:r>
        <w:rPr>
          <w:spacing w:val="-11"/>
        </w:rPr>
        <w:t xml:space="preserve"> </w:t>
      </w:r>
      <w:r>
        <w:t>with,</w:t>
      </w:r>
      <w:r>
        <w:rPr>
          <w:spacing w:val="-8"/>
        </w:rPr>
        <w:t xml:space="preserve"> </w:t>
      </w:r>
      <w:r>
        <w:t>and</w:t>
      </w:r>
      <w:r>
        <w:rPr>
          <w:spacing w:val="-11"/>
        </w:rPr>
        <w:t xml:space="preserve"> </w:t>
      </w:r>
      <w:r>
        <w:t>reconciliation</w:t>
      </w:r>
      <w:r>
        <w:rPr>
          <w:spacing w:val="-14"/>
        </w:rPr>
        <w:t xml:space="preserve"> </w:t>
      </w:r>
      <w:r>
        <w:t>of</w:t>
      </w:r>
      <w:r>
        <w:rPr>
          <w:spacing w:val="-12"/>
        </w:rPr>
        <w:t xml:space="preserve"> </w:t>
      </w:r>
      <w:r>
        <w:t>Medicaid</w:t>
      </w:r>
      <w:r>
        <w:rPr>
          <w:spacing w:val="-13"/>
        </w:rPr>
        <w:t xml:space="preserve"> </w:t>
      </w:r>
      <w:r>
        <w:t>coverage</w:t>
      </w:r>
      <w:r>
        <w:rPr>
          <w:spacing w:val="-7"/>
        </w:rPr>
        <w:t xml:space="preserve"> </w:t>
      </w:r>
      <w:r>
        <w:t>to,</w:t>
      </w:r>
      <w:r>
        <w:rPr>
          <w:spacing w:val="-11"/>
        </w:rPr>
        <w:t xml:space="preserve"> </w:t>
      </w:r>
      <w:r>
        <w:t>commercial</w:t>
      </w:r>
      <w:r>
        <w:rPr>
          <w:spacing w:val="-11"/>
        </w:rPr>
        <w:t xml:space="preserve"> </w:t>
      </w:r>
      <w:r>
        <w:t>health</w:t>
      </w:r>
      <w:r>
        <w:rPr>
          <w:spacing w:val="-9"/>
        </w:rPr>
        <w:t xml:space="preserve"> </w:t>
      </w:r>
      <w:r>
        <w:t>insurance very difficult, if</w:t>
      </w:r>
      <w:r>
        <w:rPr>
          <w:spacing w:val="-37"/>
        </w:rPr>
        <w:t xml:space="preserve"> </w:t>
      </w:r>
      <w:r>
        <w:rPr>
          <w:spacing w:val="-2"/>
        </w:rPr>
        <w:t xml:space="preserve">not </w:t>
      </w:r>
      <w:r>
        <w:t>impossible.</w:t>
      </w:r>
    </w:p>
    <w:p w:rsidR="002C5025" w:rsidRDefault="002C5025">
      <w:pPr>
        <w:pStyle w:val="BodyText"/>
        <w:kinsoku w:val="0"/>
        <w:overflowPunct w:val="0"/>
        <w:spacing w:before="163" w:line="256" w:lineRule="auto"/>
        <w:ind w:left="138" w:right="285" w:firstLine="1"/>
      </w:pPr>
      <w:r>
        <w:t xml:space="preserve">In the waiver request, MassHealth proposes to require students to enroll in Student Health Insurance Plans when it is cost effective to do so, with premium and cost sharing assistance from MassHealth to ensure that students’ out-of-pocket costs are no </w:t>
      </w:r>
      <w:r>
        <w:rPr>
          <w:spacing w:val="-3"/>
        </w:rPr>
        <w:t xml:space="preserve">higher </w:t>
      </w:r>
      <w:r>
        <w:t xml:space="preserve">than they would be if they were enrolled in direct coverage from MassHealth. We further recommend that MassHealth explore student’s access to other health insurance coverage that may be provided through a guardian or parent given the Affordable </w:t>
      </w:r>
      <w:r>
        <w:rPr>
          <w:spacing w:val="-3"/>
        </w:rPr>
        <w:t xml:space="preserve">Care </w:t>
      </w:r>
      <w:r>
        <w:t xml:space="preserve">Act (ACA) mandate requiring insurers to </w:t>
      </w:r>
      <w:r>
        <w:rPr>
          <w:spacing w:val="-3"/>
        </w:rPr>
        <w:t xml:space="preserve">provide </w:t>
      </w:r>
      <w:r>
        <w:t xml:space="preserve">coverage to dependents up to </w:t>
      </w:r>
      <w:r>
        <w:rPr>
          <w:spacing w:val="-2"/>
        </w:rPr>
        <w:t xml:space="preserve">the </w:t>
      </w:r>
      <w:r>
        <w:t xml:space="preserve">age of 26. We also recommend that MassHealth investigate other health insurance </w:t>
      </w:r>
      <w:r>
        <w:rPr>
          <w:spacing w:val="-3"/>
        </w:rPr>
        <w:t xml:space="preserve">coverage </w:t>
      </w:r>
      <w:r>
        <w:t xml:space="preserve">options via spousal plans for those students </w:t>
      </w:r>
      <w:r>
        <w:rPr>
          <w:spacing w:val="-2"/>
        </w:rPr>
        <w:t xml:space="preserve">who </w:t>
      </w:r>
      <w:r>
        <w:t>are married. It is conceivable that parental and/or spousal coverage may be more cost effective than Student Health Insurance Plans.</w:t>
      </w:r>
    </w:p>
    <w:p w:rsidR="002C5025" w:rsidRDefault="002C5025">
      <w:pPr>
        <w:pStyle w:val="BodyText"/>
        <w:kinsoku w:val="0"/>
        <w:overflowPunct w:val="0"/>
        <w:spacing w:before="159" w:line="259" w:lineRule="auto"/>
        <w:ind w:left="136" w:right="320" w:firstLine="2"/>
      </w:pPr>
      <w:r>
        <w:t xml:space="preserve">HMS recommends that care provided to the uninsured and deemed “uncompensated care” be further reviewed at the claim and recipient level. Based upon HMS’s experience in another Mid-Atlantic </w:t>
      </w:r>
      <w:r>
        <w:rPr>
          <w:spacing w:val="-2"/>
        </w:rPr>
        <w:t xml:space="preserve">state, </w:t>
      </w:r>
      <w:r>
        <w:t xml:space="preserve">we identified approximately 10% of individuals who were deemed uninsured, but actually had other liable health insurance coverage that could </w:t>
      </w:r>
      <w:r>
        <w:rPr>
          <w:spacing w:val="-3"/>
        </w:rPr>
        <w:t xml:space="preserve">have </w:t>
      </w:r>
      <w:r>
        <w:t xml:space="preserve">been billed. Given that federal </w:t>
      </w:r>
      <w:r>
        <w:rPr>
          <w:spacing w:val="-3"/>
        </w:rPr>
        <w:t xml:space="preserve">and </w:t>
      </w:r>
      <w:r>
        <w:t>state funds to care for uninsured is diminishing, the Commonwealth can protect those limited dollars by instituting a recipient/claim review to identify other liable health insurance coverage.</w:t>
      </w:r>
    </w:p>
    <w:p w:rsidR="002C5025" w:rsidRDefault="00FB027C">
      <w:pPr>
        <w:pStyle w:val="BodyText"/>
        <w:kinsoku w:val="0"/>
        <w:overflowPunct w:val="0"/>
        <w:spacing w:before="10"/>
        <w:rPr>
          <w:sz w:val="16"/>
          <w:szCs w:val="16"/>
        </w:rPr>
      </w:pPr>
      <w:r>
        <w:rPr>
          <w:noProof/>
        </w:rPr>
        <mc:AlternateContent>
          <mc:Choice Requires="wps">
            <w:drawing>
              <wp:anchor distT="0" distB="0" distL="0" distR="0" simplePos="0" relativeHeight="251681280" behindDoc="0" locked="0" layoutInCell="0" allowOverlap="1">
                <wp:simplePos x="0" y="0"/>
                <wp:positionH relativeFrom="page">
                  <wp:posOffset>895985</wp:posOffset>
                </wp:positionH>
                <wp:positionV relativeFrom="paragraph">
                  <wp:posOffset>159385</wp:posOffset>
                </wp:positionV>
                <wp:extent cx="5981065" cy="12700"/>
                <wp:effectExtent l="0" t="0" r="0" b="0"/>
                <wp:wrapTopAndBottom/>
                <wp:docPr id="538" name="Freeform 4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12700"/>
                        </a:xfrm>
                        <a:custGeom>
                          <a:avLst/>
                          <a:gdLst>
                            <a:gd name="T0" fmla="*/ 0 w 9419"/>
                            <a:gd name="T1" fmla="*/ 0 h 20"/>
                            <a:gd name="T2" fmla="*/ 9419 w 9419"/>
                            <a:gd name="T3" fmla="*/ 0 h 20"/>
                          </a:gdLst>
                          <a:ahLst/>
                          <a:cxnLst>
                            <a:cxn ang="0">
                              <a:pos x="T0" y="T1"/>
                            </a:cxn>
                            <a:cxn ang="0">
                              <a:pos x="T2" y="T3"/>
                            </a:cxn>
                          </a:cxnLst>
                          <a:rect l="0" t="0" r="r" b="b"/>
                          <a:pathLst>
                            <a:path w="9419" h="20">
                              <a:moveTo>
                                <a:pt x="0" y="0"/>
                              </a:moveTo>
                              <a:lnTo>
                                <a:pt x="9419" y="0"/>
                              </a:lnTo>
                            </a:path>
                          </a:pathLst>
                        </a:custGeom>
                        <a:noFill/>
                        <a:ln w="7365">
                          <a:solidFill>
                            <a:srgbClr val="DADAD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87" o:spid="_x0000_s1026" style="position:absolute;z-index:251681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0.55pt,12.55pt,541.5pt,12.55pt" coordsize="94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" o:allowincell="f" filled="f" strokecolor="#dadada" strokeweight=".20458mm">
                <v:path arrowok="t" o:connecttype="custom" o:connectlocs="0,0;5981065,0" o:connectangles="0,0"/>
                <w10:wrap type="topAndBottom" anchorx="page"/>
              </v:polyline>
            </w:pict>
          </mc:Fallback>
        </mc:AlternateContent>
      </w:r>
    </w:p>
    <w:p w:rsidR="002C5025" w:rsidRDefault="002C5025">
      <w:pPr>
        <w:pStyle w:val="ListParagraph"/>
        <w:numPr>
          <w:ilvl w:val="0"/>
          <w:numId w:val="45"/>
        </w:numPr>
        <w:tabs>
          <w:tab w:val="left" w:pos="304"/>
        </w:tabs>
        <w:kinsoku w:val="0"/>
        <w:overflowPunct w:val="0"/>
        <w:spacing w:before="1"/>
        <w:ind w:hanging="163"/>
        <w:rPr>
          <w:rFonts w:ascii="Calibri" w:hAnsi="Calibri" w:cs="Calibri"/>
          <w:color w:val="7F7F7F"/>
          <w:sz w:val="22"/>
          <w:szCs w:val="22"/>
        </w:rPr>
      </w:pPr>
      <w:r>
        <w:rPr>
          <w:rFonts w:ascii="Calibri" w:hAnsi="Calibri" w:cs="Calibri"/>
          <w:b/>
          <w:bCs/>
          <w:sz w:val="22"/>
          <w:szCs w:val="22"/>
        </w:rPr>
        <w:t xml:space="preserve">| </w:t>
      </w:r>
      <w:r>
        <w:rPr>
          <w:rFonts w:ascii="Calibri" w:hAnsi="Calibri" w:cs="Calibri"/>
          <w:color w:val="7F7F7F"/>
          <w:sz w:val="22"/>
          <w:szCs w:val="22"/>
        </w:rPr>
        <w:t>P a g</w:t>
      </w:r>
      <w:r>
        <w:rPr>
          <w:rFonts w:ascii="Calibri" w:hAnsi="Calibri" w:cs="Calibri"/>
          <w:color w:val="7F7F7F"/>
          <w:spacing w:val="24"/>
          <w:sz w:val="22"/>
          <w:szCs w:val="22"/>
        </w:rPr>
        <w:t xml:space="preserve"> </w:t>
      </w:r>
      <w:r>
        <w:rPr>
          <w:rFonts w:ascii="Calibri" w:hAnsi="Calibri" w:cs="Calibri"/>
          <w:color w:val="7F7F7F"/>
          <w:sz w:val="22"/>
          <w:szCs w:val="22"/>
        </w:rPr>
        <w:t>e</w:t>
      </w:r>
    </w:p>
    <w:p w:rsidR="002C5025" w:rsidRDefault="002C5025">
      <w:pPr>
        <w:pStyle w:val="ListParagraph"/>
        <w:numPr>
          <w:ilvl w:val="0"/>
          <w:numId w:val="45"/>
        </w:numPr>
        <w:tabs>
          <w:tab w:val="left" w:pos="304"/>
        </w:tabs>
        <w:kinsoku w:val="0"/>
        <w:overflowPunct w:val="0"/>
        <w:spacing w:before="1"/>
        <w:ind w:hanging="163"/>
        <w:rPr>
          <w:rFonts w:ascii="Calibri" w:hAnsi="Calibri" w:cs="Calibri"/>
          <w:color w:val="7F7F7F"/>
          <w:sz w:val="22"/>
          <w:szCs w:val="22"/>
        </w:rPr>
        <w:sectPr w:rsidR="002C5025">
          <w:pgSz w:w="12240" w:h="15840"/>
          <w:pgMar w:top="1400" w:right="1300" w:bottom="280" w:left="1300" w:header="720" w:footer="720" w:gutter="0"/>
          <w:cols w:space="720"/>
          <w:noEndnote/>
        </w:sectPr>
      </w:pPr>
    </w:p>
    <w:p w:rsidR="002C5025" w:rsidRDefault="002C5025">
      <w:pPr>
        <w:pStyle w:val="Heading7"/>
        <w:kinsoku w:val="0"/>
        <w:overflowPunct w:val="0"/>
        <w:spacing w:before="17"/>
        <w:rPr>
          <w:color w:val="2D74B5"/>
        </w:rPr>
      </w:pPr>
      <w:bookmarkStart w:id="182" w:name="Strengthening_Premium_Assistance"/>
      <w:bookmarkEnd w:id="182"/>
      <w:r>
        <w:rPr>
          <w:color w:val="2D74B5"/>
        </w:rPr>
        <w:lastRenderedPageBreak/>
        <w:t>Strengthening Premium Assistance</w:t>
      </w:r>
    </w:p>
    <w:p w:rsidR="002C5025" w:rsidRDefault="002C5025">
      <w:pPr>
        <w:pStyle w:val="BodyText"/>
        <w:kinsoku w:val="0"/>
        <w:overflowPunct w:val="0"/>
        <w:spacing w:before="28" w:line="256" w:lineRule="auto"/>
        <w:ind w:left="139" w:right="254"/>
      </w:pPr>
      <w:r>
        <w:t>MassHealth provides supplemental coverage to approximately 44,000 working people who receive premium assistance to help pay for their employee share of health coverage through an employer.</w:t>
      </w:r>
    </w:p>
    <w:p w:rsidR="002C5025" w:rsidRDefault="002C5025">
      <w:pPr>
        <w:pStyle w:val="BodyText"/>
        <w:kinsoku w:val="0"/>
        <w:overflowPunct w:val="0"/>
        <w:spacing w:before="161" w:line="259" w:lineRule="auto"/>
        <w:ind w:left="139" w:right="128"/>
      </w:pPr>
      <w:r>
        <w:t>MassHealth’s</w:t>
      </w:r>
      <w:r>
        <w:rPr>
          <w:spacing w:val="-8"/>
        </w:rPr>
        <w:t xml:space="preserve"> </w:t>
      </w:r>
      <w:r>
        <w:t>premium</w:t>
      </w:r>
      <w:r>
        <w:rPr>
          <w:spacing w:val="-9"/>
        </w:rPr>
        <w:t xml:space="preserve"> </w:t>
      </w:r>
      <w:r>
        <w:t>assistance</w:t>
      </w:r>
      <w:r>
        <w:rPr>
          <w:spacing w:val="-9"/>
        </w:rPr>
        <w:t xml:space="preserve"> </w:t>
      </w:r>
      <w:r>
        <w:t>program</w:t>
      </w:r>
      <w:r>
        <w:rPr>
          <w:spacing w:val="-7"/>
        </w:rPr>
        <w:t xml:space="preserve"> </w:t>
      </w:r>
      <w:r>
        <w:t>helps</w:t>
      </w:r>
      <w:r>
        <w:rPr>
          <w:spacing w:val="-12"/>
        </w:rPr>
        <w:t xml:space="preserve"> </w:t>
      </w:r>
      <w:r>
        <w:t>Medicaid</w:t>
      </w:r>
      <w:r>
        <w:rPr>
          <w:spacing w:val="-10"/>
        </w:rPr>
        <w:t xml:space="preserve"> </w:t>
      </w:r>
      <w:r>
        <w:t>remain</w:t>
      </w:r>
      <w:r>
        <w:rPr>
          <w:spacing w:val="-12"/>
        </w:rPr>
        <w:t xml:space="preserve"> </w:t>
      </w:r>
      <w:r>
        <w:t>the</w:t>
      </w:r>
      <w:r>
        <w:rPr>
          <w:spacing w:val="-9"/>
        </w:rPr>
        <w:t xml:space="preserve"> </w:t>
      </w:r>
      <w:r>
        <w:t>payer</w:t>
      </w:r>
      <w:r>
        <w:rPr>
          <w:spacing w:val="-12"/>
        </w:rPr>
        <w:t xml:space="preserve"> </w:t>
      </w:r>
      <w:r>
        <w:t>of</w:t>
      </w:r>
      <w:r>
        <w:rPr>
          <w:spacing w:val="-12"/>
        </w:rPr>
        <w:t xml:space="preserve"> </w:t>
      </w:r>
      <w:r>
        <w:t>last</w:t>
      </w:r>
      <w:r>
        <w:rPr>
          <w:spacing w:val="-7"/>
        </w:rPr>
        <w:t xml:space="preserve"> </w:t>
      </w:r>
      <w:r>
        <w:t>resort</w:t>
      </w:r>
      <w:r>
        <w:rPr>
          <w:spacing w:val="-9"/>
        </w:rPr>
        <w:t xml:space="preserve"> </w:t>
      </w:r>
      <w:r>
        <w:t>by</w:t>
      </w:r>
      <w:r>
        <w:rPr>
          <w:spacing w:val="-13"/>
        </w:rPr>
        <w:t xml:space="preserve"> </w:t>
      </w:r>
      <w:r>
        <w:t>maximizing employer</w:t>
      </w:r>
      <w:r>
        <w:rPr>
          <w:spacing w:val="-8"/>
        </w:rPr>
        <w:t xml:space="preserve"> </w:t>
      </w:r>
      <w:r>
        <w:t>sponsored</w:t>
      </w:r>
      <w:r>
        <w:rPr>
          <w:spacing w:val="-9"/>
        </w:rPr>
        <w:t xml:space="preserve"> </w:t>
      </w:r>
      <w:r>
        <w:t>insurance</w:t>
      </w:r>
      <w:r>
        <w:rPr>
          <w:spacing w:val="-7"/>
        </w:rPr>
        <w:t xml:space="preserve"> </w:t>
      </w:r>
      <w:r>
        <w:t>(ESI).</w:t>
      </w:r>
      <w:r>
        <w:rPr>
          <w:spacing w:val="31"/>
        </w:rPr>
        <w:t xml:space="preserve"> </w:t>
      </w:r>
      <w:r>
        <w:t>While</w:t>
      </w:r>
      <w:r>
        <w:rPr>
          <w:spacing w:val="-8"/>
        </w:rPr>
        <w:t xml:space="preserve"> </w:t>
      </w:r>
      <w:r>
        <w:t>several</w:t>
      </w:r>
      <w:r>
        <w:rPr>
          <w:spacing w:val="-11"/>
        </w:rPr>
        <w:t xml:space="preserve"> </w:t>
      </w:r>
      <w:r>
        <w:t>studies,</w:t>
      </w:r>
      <w:r>
        <w:rPr>
          <w:spacing w:val="-8"/>
        </w:rPr>
        <w:t xml:space="preserve"> </w:t>
      </w:r>
      <w:r>
        <w:t>including</w:t>
      </w:r>
      <w:r>
        <w:rPr>
          <w:spacing w:val="-9"/>
        </w:rPr>
        <w:t xml:space="preserve"> </w:t>
      </w:r>
      <w:r>
        <w:t>a</w:t>
      </w:r>
      <w:r>
        <w:rPr>
          <w:spacing w:val="-8"/>
        </w:rPr>
        <w:t xml:space="preserve"> </w:t>
      </w:r>
      <w:r>
        <w:t>September</w:t>
      </w:r>
      <w:r>
        <w:rPr>
          <w:spacing w:val="-7"/>
        </w:rPr>
        <w:t xml:space="preserve"> </w:t>
      </w:r>
      <w:r>
        <w:t>2015</w:t>
      </w:r>
      <w:r>
        <w:rPr>
          <w:spacing w:val="-10"/>
        </w:rPr>
        <w:t xml:space="preserve"> </w:t>
      </w:r>
      <w:r>
        <w:t>Kaiser</w:t>
      </w:r>
      <w:r>
        <w:rPr>
          <w:spacing w:val="-7"/>
        </w:rPr>
        <w:t xml:space="preserve"> </w:t>
      </w:r>
      <w:r>
        <w:rPr>
          <w:spacing w:val="-3"/>
        </w:rPr>
        <w:t>survey</w:t>
      </w:r>
      <w:r>
        <w:rPr>
          <w:spacing w:val="-10"/>
        </w:rPr>
        <w:t xml:space="preserve"> </w:t>
      </w:r>
      <w:r>
        <w:t>of</w:t>
      </w:r>
    </w:p>
    <w:p w:rsidR="002C5025" w:rsidRDefault="002C5025">
      <w:pPr>
        <w:pStyle w:val="BodyText"/>
        <w:tabs>
          <w:tab w:val="left" w:pos="694"/>
        </w:tabs>
        <w:kinsoku w:val="0"/>
        <w:overflowPunct w:val="0"/>
        <w:spacing w:line="259" w:lineRule="auto"/>
        <w:ind w:left="138" w:right="358"/>
      </w:pPr>
      <w:r>
        <w:t>2.1</w:t>
      </w:r>
      <w:r>
        <w:tab/>
        <w:t>employers,</w:t>
      </w:r>
      <w:r>
        <w:rPr>
          <w:spacing w:val="-7"/>
        </w:rPr>
        <w:t xml:space="preserve"> </w:t>
      </w:r>
      <w:r>
        <w:t>indicate</w:t>
      </w:r>
      <w:r>
        <w:rPr>
          <w:spacing w:val="-9"/>
        </w:rPr>
        <w:t xml:space="preserve"> </w:t>
      </w:r>
      <w:r>
        <w:t>continuity</w:t>
      </w:r>
      <w:r>
        <w:rPr>
          <w:spacing w:val="-9"/>
        </w:rPr>
        <w:t xml:space="preserve"> </w:t>
      </w:r>
      <w:r>
        <w:t>in</w:t>
      </w:r>
      <w:r>
        <w:rPr>
          <w:spacing w:val="-12"/>
        </w:rPr>
        <w:t xml:space="preserve"> </w:t>
      </w:r>
      <w:r>
        <w:t>employer</w:t>
      </w:r>
      <w:r>
        <w:rPr>
          <w:spacing w:val="-9"/>
        </w:rPr>
        <w:t xml:space="preserve"> </w:t>
      </w:r>
      <w:r>
        <w:t>offer</w:t>
      </w:r>
      <w:r>
        <w:rPr>
          <w:spacing w:val="-9"/>
        </w:rPr>
        <w:t xml:space="preserve"> </w:t>
      </w:r>
      <w:r>
        <w:t>rates</w:t>
      </w:r>
      <w:r>
        <w:rPr>
          <w:spacing w:val="-11"/>
        </w:rPr>
        <w:t xml:space="preserve"> </w:t>
      </w:r>
      <w:r>
        <w:t>and</w:t>
      </w:r>
      <w:r>
        <w:rPr>
          <w:spacing w:val="-8"/>
        </w:rPr>
        <w:t xml:space="preserve"> </w:t>
      </w:r>
      <w:r>
        <w:t>employee</w:t>
      </w:r>
      <w:r>
        <w:rPr>
          <w:spacing w:val="-11"/>
        </w:rPr>
        <w:t xml:space="preserve"> </w:t>
      </w:r>
      <w:r>
        <w:t>take-up</w:t>
      </w:r>
      <w:r>
        <w:rPr>
          <w:spacing w:val="-8"/>
        </w:rPr>
        <w:t xml:space="preserve"> </w:t>
      </w:r>
      <w:r>
        <w:t>rates,</w:t>
      </w:r>
      <w:r>
        <w:rPr>
          <w:spacing w:val="-9"/>
        </w:rPr>
        <w:t xml:space="preserve"> </w:t>
      </w:r>
      <w:r>
        <w:t>there</w:t>
      </w:r>
      <w:r>
        <w:rPr>
          <w:spacing w:val="-11"/>
        </w:rPr>
        <w:t xml:space="preserve"> </w:t>
      </w:r>
      <w:r>
        <w:t>are</w:t>
      </w:r>
      <w:r>
        <w:rPr>
          <w:spacing w:val="-1"/>
        </w:rPr>
        <w:t xml:space="preserve"> </w:t>
      </w:r>
      <w:r>
        <w:t>some</w:t>
      </w:r>
      <w:r>
        <w:rPr>
          <w:spacing w:val="-8"/>
        </w:rPr>
        <w:t xml:space="preserve"> </w:t>
      </w:r>
      <w:r>
        <w:t>noteworthy</w:t>
      </w:r>
      <w:r>
        <w:rPr>
          <w:spacing w:val="-10"/>
        </w:rPr>
        <w:t xml:space="preserve"> </w:t>
      </w:r>
      <w:r>
        <w:t>ESI</w:t>
      </w:r>
      <w:r>
        <w:rPr>
          <w:spacing w:val="-11"/>
        </w:rPr>
        <w:t xml:space="preserve"> </w:t>
      </w:r>
      <w:r>
        <w:t>trends,</w:t>
      </w:r>
      <w:r>
        <w:rPr>
          <w:spacing w:val="-10"/>
        </w:rPr>
        <w:t xml:space="preserve"> </w:t>
      </w:r>
      <w:r>
        <w:t>particularly</w:t>
      </w:r>
      <w:r>
        <w:rPr>
          <w:spacing w:val="-12"/>
        </w:rPr>
        <w:t xml:space="preserve"> </w:t>
      </w:r>
      <w:r>
        <w:t>around</w:t>
      </w:r>
      <w:r>
        <w:rPr>
          <w:spacing w:val="-11"/>
        </w:rPr>
        <w:t xml:space="preserve"> </w:t>
      </w:r>
      <w:r>
        <w:t>increased</w:t>
      </w:r>
      <w:r>
        <w:rPr>
          <w:spacing w:val="-11"/>
        </w:rPr>
        <w:t xml:space="preserve"> </w:t>
      </w:r>
      <w:r>
        <w:t>employee</w:t>
      </w:r>
      <w:r>
        <w:rPr>
          <w:spacing w:val="-10"/>
        </w:rPr>
        <w:t xml:space="preserve"> </w:t>
      </w:r>
      <w:r>
        <w:t>costs,</w:t>
      </w:r>
      <w:r>
        <w:rPr>
          <w:spacing w:val="-10"/>
        </w:rPr>
        <w:t xml:space="preserve"> </w:t>
      </w:r>
      <w:r>
        <w:t>that</w:t>
      </w:r>
      <w:r>
        <w:rPr>
          <w:spacing w:val="-14"/>
        </w:rPr>
        <w:t xml:space="preserve"> </w:t>
      </w:r>
      <w:r>
        <w:t>may</w:t>
      </w:r>
      <w:r>
        <w:rPr>
          <w:spacing w:val="-10"/>
        </w:rPr>
        <w:t xml:space="preserve"> </w:t>
      </w:r>
      <w:r>
        <w:t>negatively</w:t>
      </w:r>
      <w:r>
        <w:rPr>
          <w:spacing w:val="-10"/>
        </w:rPr>
        <w:t xml:space="preserve"> </w:t>
      </w:r>
      <w:r>
        <w:t>impact an</w:t>
      </w:r>
      <w:r>
        <w:rPr>
          <w:spacing w:val="-6"/>
        </w:rPr>
        <w:t xml:space="preserve"> </w:t>
      </w:r>
      <w:r>
        <w:t>individual’s</w:t>
      </w:r>
      <w:r>
        <w:rPr>
          <w:spacing w:val="-7"/>
        </w:rPr>
        <w:t xml:space="preserve"> </w:t>
      </w:r>
      <w:r>
        <w:t>election</w:t>
      </w:r>
      <w:r>
        <w:rPr>
          <w:spacing w:val="-9"/>
        </w:rPr>
        <w:t xml:space="preserve"> </w:t>
      </w:r>
      <w:r>
        <w:t>in</w:t>
      </w:r>
      <w:r>
        <w:rPr>
          <w:spacing w:val="-6"/>
        </w:rPr>
        <w:t xml:space="preserve"> </w:t>
      </w:r>
      <w:r>
        <w:t>ESI</w:t>
      </w:r>
      <w:r>
        <w:rPr>
          <w:spacing w:val="-5"/>
        </w:rPr>
        <w:t xml:space="preserve"> </w:t>
      </w:r>
      <w:r>
        <w:t>in</w:t>
      </w:r>
      <w:r>
        <w:rPr>
          <w:spacing w:val="-8"/>
        </w:rPr>
        <w:t xml:space="preserve"> </w:t>
      </w:r>
      <w:r>
        <w:t>the</w:t>
      </w:r>
      <w:r>
        <w:rPr>
          <w:spacing w:val="-4"/>
        </w:rPr>
        <w:t xml:space="preserve"> </w:t>
      </w:r>
      <w:r>
        <w:rPr>
          <w:spacing w:val="-3"/>
        </w:rPr>
        <w:t>coming</w:t>
      </w:r>
      <w:r>
        <w:rPr>
          <w:spacing w:val="-8"/>
        </w:rPr>
        <w:t xml:space="preserve"> </w:t>
      </w:r>
      <w:r>
        <w:t>years.</w:t>
      </w:r>
    </w:p>
    <w:p w:rsidR="002C5025" w:rsidRDefault="002C5025">
      <w:pPr>
        <w:pStyle w:val="BodyText"/>
        <w:kinsoku w:val="0"/>
        <w:overflowPunct w:val="0"/>
        <w:spacing w:before="159" w:line="259" w:lineRule="auto"/>
        <w:ind w:left="135" w:right="189" w:firstLine="2"/>
        <w:rPr>
          <w:color w:val="090909"/>
        </w:rPr>
      </w:pPr>
      <w:r>
        <w:t xml:space="preserve">For example, the Kaiser survey found that premiums increased on average by 4% for both single and family coverage between </w:t>
      </w:r>
      <w:r>
        <w:rPr>
          <w:spacing w:val="-3"/>
        </w:rPr>
        <w:t xml:space="preserve">June </w:t>
      </w:r>
      <w:r>
        <w:t xml:space="preserve">2013 and March 2015. Additional cost sharing </w:t>
      </w:r>
      <w:r>
        <w:rPr>
          <w:spacing w:val="-3"/>
        </w:rPr>
        <w:t xml:space="preserve">such </w:t>
      </w:r>
      <w:r>
        <w:t xml:space="preserve">as deductibles, co- insurance and co-payments also increased during that same timeframe. Specifically, 81% of </w:t>
      </w:r>
      <w:r>
        <w:rPr>
          <w:spacing w:val="-2"/>
        </w:rPr>
        <w:t xml:space="preserve">employers </w:t>
      </w:r>
      <w:r>
        <w:t xml:space="preserve">imposed employee deductibles, up from </w:t>
      </w:r>
      <w:r>
        <w:rPr>
          <w:color w:val="090909"/>
        </w:rPr>
        <w:t xml:space="preserve">70% in 2010. At the same time employee deductible share </w:t>
      </w:r>
      <w:r>
        <w:rPr>
          <w:color w:val="090909"/>
          <w:spacing w:val="-3"/>
        </w:rPr>
        <w:t xml:space="preserve">rose </w:t>
      </w:r>
      <w:r>
        <w:rPr>
          <w:color w:val="090909"/>
        </w:rPr>
        <w:t xml:space="preserve">9% during the </w:t>
      </w:r>
      <w:r>
        <w:rPr>
          <w:color w:val="090909"/>
          <w:spacing w:val="-3"/>
        </w:rPr>
        <w:t xml:space="preserve">study </w:t>
      </w:r>
      <w:r>
        <w:rPr>
          <w:color w:val="090909"/>
        </w:rPr>
        <w:t>period.</w:t>
      </w:r>
    </w:p>
    <w:p w:rsidR="002C5025" w:rsidRDefault="002C5025">
      <w:pPr>
        <w:pStyle w:val="BodyText"/>
        <w:kinsoku w:val="0"/>
        <w:overflowPunct w:val="0"/>
        <w:spacing w:before="163" w:line="259" w:lineRule="auto"/>
        <w:ind w:left="136" w:right="254" w:hanging="1"/>
      </w:pPr>
      <w:r>
        <w:t>In</w:t>
      </w:r>
      <w:r>
        <w:rPr>
          <w:spacing w:val="-6"/>
        </w:rPr>
        <w:t xml:space="preserve"> </w:t>
      </w:r>
      <w:r>
        <w:t>addition,</w:t>
      </w:r>
      <w:r>
        <w:rPr>
          <w:spacing w:val="-5"/>
        </w:rPr>
        <w:t xml:space="preserve"> </w:t>
      </w:r>
      <w:r>
        <w:t>a</w:t>
      </w:r>
      <w:r>
        <w:rPr>
          <w:spacing w:val="-7"/>
        </w:rPr>
        <w:t xml:space="preserve"> </w:t>
      </w:r>
      <w:r>
        <w:t>large</w:t>
      </w:r>
      <w:r>
        <w:rPr>
          <w:spacing w:val="-9"/>
        </w:rPr>
        <w:t xml:space="preserve"> </w:t>
      </w:r>
      <w:r>
        <w:t>majority</w:t>
      </w:r>
      <w:r>
        <w:rPr>
          <w:spacing w:val="-6"/>
        </w:rPr>
        <w:t xml:space="preserve"> </w:t>
      </w:r>
      <w:r>
        <w:t>of</w:t>
      </w:r>
      <w:r>
        <w:rPr>
          <w:spacing w:val="-10"/>
        </w:rPr>
        <w:t xml:space="preserve"> </w:t>
      </w:r>
      <w:r>
        <w:t>employees</w:t>
      </w:r>
      <w:r>
        <w:rPr>
          <w:spacing w:val="-7"/>
        </w:rPr>
        <w:t xml:space="preserve"> </w:t>
      </w:r>
      <w:r>
        <w:t>also</w:t>
      </w:r>
      <w:r>
        <w:rPr>
          <w:spacing w:val="-4"/>
        </w:rPr>
        <w:t xml:space="preserve"> </w:t>
      </w:r>
      <w:r>
        <w:t>have</w:t>
      </w:r>
      <w:r>
        <w:rPr>
          <w:spacing w:val="-9"/>
        </w:rPr>
        <w:t xml:space="preserve"> </w:t>
      </w:r>
      <w:r>
        <w:t>to</w:t>
      </w:r>
      <w:r>
        <w:rPr>
          <w:spacing w:val="-6"/>
        </w:rPr>
        <w:t xml:space="preserve"> </w:t>
      </w:r>
      <w:r>
        <w:t>pay</w:t>
      </w:r>
      <w:r>
        <w:rPr>
          <w:spacing w:val="-6"/>
        </w:rPr>
        <w:t xml:space="preserve"> </w:t>
      </w:r>
      <w:r>
        <w:t>a</w:t>
      </w:r>
      <w:r>
        <w:rPr>
          <w:spacing w:val="-5"/>
        </w:rPr>
        <w:t xml:space="preserve"> </w:t>
      </w:r>
      <w:r>
        <w:t>portion</w:t>
      </w:r>
      <w:r>
        <w:rPr>
          <w:spacing w:val="-12"/>
        </w:rPr>
        <w:t xml:space="preserve"> </w:t>
      </w:r>
      <w:r>
        <w:t>of</w:t>
      </w:r>
      <w:r>
        <w:rPr>
          <w:spacing w:val="-10"/>
        </w:rPr>
        <w:t xml:space="preserve"> </w:t>
      </w:r>
      <w:r>
        <w:t>the</w:t>
      </w:r>
      <w:r>
        <w:rPr>
          <w:spacing w:val="-9"/>
        </w:rPr>
        <w:t xml:space="preserve"> </w:t>
      </w:r>
      <w:r>
        <w:t>cost</w:t>
      </w:r>
      <w:r>
        <w:rPr>
          <w:spacing w:val="-9"/>
        </w:rPr>
        <w:t xml:space="preserve"> </w:t>
      </w:r>
      <w:r>
        <w:t>of</w:t>
      </w:r>
      <w:r>
        <w:rPr>
          <w:spacing w:val="-7"/>
        </w:rPr>
        <w:t xml:space="preserve"> </w:t>
      </w:r>
      <w:r>
        <w:t>physician</w:t>
      </w:r>
      <w:r>
        <w:rPr>
          <w:spacing w:val="-11"/>
        </w:rPr>
        <w:t xml:space="preserve"> </w:t>
      </w:r>
      <w:r>
        <w:t>office</w:t>
      </w:r>
      <w:r>
        <w:rPr>
          <w:spacing w:val="-8"/>
        </w:rPr>
        <w:t xml:space="preserve"> </w:t>
      </w:r>
      <w:r>
        <w:t xml:space="preserve">visits. Almost 68% of covered employees </w:t>
      </w:r>
      <w:r>
        <w:rPr>
          <w:spacing w:val="-3"/>
        </w:rPr>
        <w:t xml:space="preserve">pay </w:t>
      </w:r>
      <w:r>
        <w:t xml:space="preserve">a copayment for office visits with a primary care provider or specialist, and almost a quarter of respondents reported additional coinsurance requirements for </w:t>
      </w:r>
      <w:r>
        <w:rPr>
          <w:spacing w:val="-4"/>
        </w:rPr>
        <w:t xml:space="preserve">the </w:t>
      </w:r>
      <w:r>
        <w:t>same</w:t>
      </w:r>
      <w:r>
        <w:rPr>
          <w:spacing w:val="-20"/>
        </w:rPr>
        <w:t xml:space="preserve"> </w:t>
      </w:r>
      <w:r>
        <w:t>providers.</w:t>
      </w:r>
    </w:p>
    <w:p w:rsidR="002C5025" w:rsidRDefault="002C5025">
      <w:pPr>
        <w:pStyle w:val="BodyText"/>
        <w:kinsoku w:val="0"/>
        <w:overflowPunct w:val="0"/>
        <w:spacing w:before="156" w:line="259" w:lineRule="auto"/>
        <w:ind w:left="134" w:right="309" w:firstLine="1"/>
      </w:pPr>
      <w:r>
        <w:t xml:space="preserve">MassHealth’s existing </w:t>
      </w:r>
      <w:r>
        <w:rPr>
          <w:spacing w:val="-3"/>
        </w:rPr>
        <w:t xml:space="preserve">premium </w:t>
      </w:r>
      <w:r>
        <w:t xml:space="preserve">assistance program proactively protects the Commonwealth </w:t>
      </w:r>
      <w:r>
        <w:rPr>
          <w:spacing w:val="-3"/>
        </w:rPr>
        <w:t xml:space="preserve">from </w:t>
      </w:r>
      <w:r>
        <w:t xml:space="preserve">a swell in Medicaid enrollment should employee uptake in ESI decrease. The current premium </w:t>
      </w:r>
      <w:r>
        <w:rPr>
          <w:spacing w:val="-3"/>
        </w:rPr>
        <w:t xml:space="preserve">assistance </w:t>
      </w:r>
      <w:r>
        <w:t xml:space="preserve">program identifies individuals who have access to ESI, but are not enrolled. Today’s program is a national model, requiring participation by both MassHealth members and employers. As </w:t>
      </w:r>
      <w:r>
        <w:rPr>
          <w:spacing w:val="-3"/>
        </w:rPr>
        <w:t xml:space="preserve">the </w:t>
      </w:r>
      <w:r>
        <w:t>Commonwealth</w:t>
      </w:r>
      <w:r>
        <w:rPr>
          <w:spacing w:val="-9"/>
        </w:rPr>
        <w:t xml:space="preserve"> </w:t>
      </w:r>
      <w:r>
        <w:t>seeks</w:t>
      </w:r>
      <w:r>
        <w:rPr>
          <w:spacing w:val="-8"/>
        </w:rPr>
        <w:t xml:space="preserve"> </w:t>
      </w:r>
      <w:r>
        <w:t>to</w:t>
      </w:r>
      <w:r>
        <w:rPr>
          <w:spacing w:val="-5"/>
        </w:rPr>
        <w:t xml:space="preserve"> </w:t>
      </w:r>
      <w:r>
        <w:t>amend</w:t>
      </w:r>
      <w:r>
        <w:rPr>
          <w:spacing w:val="-9"/>
        </w:rPr>
        <w:t xml:space="preserve"> </w:t>
      </w:r>
      <w:r>
        <w:t>and</w:t>
      </w:r>
      <w:r>
        <w:rPr>
          <w:spacing w:val="-13"/>
        </w:rPr>
        <w:t xml:space="preserve"> </w:t>
      </w:r>
      <w:r>
        <w:t>extend</w:t>
      </w:r>
      <w:r>
        <w:rPr>
          <w:spacing w:val="-9"/>
        </w:rPr>
        <w:t xml:space="preserve"> </w:t>
      </w:r>
      <w:r>
        <w:t>its</w:t>
      </w:r>
      <w:r>
        <w:rPr>
          <w:spacing w:val="-10"/>
        </w:rPr>
        <w:t xml:space="preserve"> </w:t>
      </w:r>
      <w:r>
        <w:t>1115</w:t>
      </w:r>
      <w:r>
        <w:rPr>
          <w:spacing w:val="-11"/>
        </w:rPr>
        <w:t xml:space="preserve"> </w:t>
      </w:r>
      <w:r>
        <w:t>waiver,</w:t>
      </w:r>
      <w:r>
        <w:rPr>
          <w:spacing w:val="-6"/>
        </w:rPr>
        <w:t xml:space="preserve"> </w:t>
      </w:r>
      <w:r>
        <w:t>HMS</w:t>
      </w:r>
      <w:r>
        <w:rPr>
          <w:spacing w:val="-11"/>
        </w:rPr>
        <w:t xml:space="preserve"> </w:t>
      </w:r>
      <w:r>
        <w:t>recommends</w:t>
      </w:r>
      <w:r>
        <w:rPr>
          <w:spacing w:val="-8"/>
        </w:rPr>
        <w:t xml:space="preserve"> </w:t>
      </w:r>
      <w:r>
        <w:t>that</w:t>
      </w:r>
      <w:r>
        <w:rPr>
          <w:spacing w:val="-5"/>
        </w:rPr>
        <w:t xml:space="preserve"> </w:t>
      </w:r>
      <w:r>
        <w:t>MassHealth</w:t>
      </w:r>
      <w:r>
        <w:rPr>
          <w:spacing w:val="-11"/>
        </w:rPr>
        <w:t xml:space="preserve"> </w:t>
      </w:r>
      <w:r>
        <w:t>look</w:t>
      </w:r>
      <w:r>
        <w:rPr>
          <w:spacing w:val="-8"/>
        </w:rPr>
        <w:t xml:space="preserve"> </w:t>
      </w:r>
      <w:r>
        <w:rPr>
          <w:spacing w:val="-3"/>
        </w:rPr>
        <w:t xml:space="preserve">at </w:t>
      </w:r>
      <w:r>
        <w:t xml:space="preserve">additional measures available to incent and/or </w:t>
      </w:r>
      <w:r>
        <w:rPr>
          <w:spacing w:val="-3"/>
        </w:rPr>
        <w:t xml:space="preserve">compel </w:t>
      </w:r>
      <w:r>
        <w:t>member response to MassHealth outreach intended to ascertain member’s access to ESI. This will strengthen today’s program and better protect MassHealth</w:t>
      </w:r>
      <w:r>
        <w:rPr>
          <w:spacing w:val="-14"/>
        </w:rPr>
        <w:t xml:space="preserve"> </w:t>
      </w:r>
      <w:r>
        <w:t>from</w:t>
      </w:r>
      <w:r>
        <w:rPr>
          <w:spacing w:val="-12"/>
        </w:rPr>
        <w:t xml:space="preserve"> </w:t>
      </w:r>
      <w:r>
        <w:t>potential,</w:t>
      </w:r>
      <w:r>
        <w:rPr>
          <w:spacing w:val="-15"/>
        </w:rPr>
        <w:t xml:space="preserve"> </w:t>
      </w:r>
      <w:r>
        <w:t>future</w:t>
      </w:r>
      <w:r>
        <w:rPr>
          <w:spacing w:val="-15"/>
        </w:rPr>
        <w:t xml:space="preserve"> </w:t>
      </w:r>
      <w:r>
        <w:t>changes.</w:t>
      </w:r>
    </w:p>
    <w:p w:rsidR="002C5025" w:rsidRDefault="002C5025">
      <w:pPr>
        <w:pStyle w:val="BodyText"/>
        <w:kinsoku w:val="0"/>
        <w:overflowPunct w:val="0"/>
        <w:spacing w:before="7"/>
        <w:rPr>
          <w:sz w:val="19"/>
          <w:szCs w:val="19"/>
        </w:rPr>
      </w:pPr>
    </w:p>
    <w:p w:rsidR="002C5025" w:rsidRDefault="002C5025">
      <w:pPr>
        <w:pStyle w:val="Heading7"/>
        <w:kinsoku w:val="0"/>
        <w:overflowPunct w:val="0"/>
        <w:rPr>
          <w:color w:val="2D74B5"/>
        </w:rPr>
      </w:pPr>
      <w:bookmarkStart w:id="183" w:name="A_Principled_Approach_to_Program_Integri"/>
      <w:bookmarkEnd w:id="183"/>
      <w:r>
        <w:rPr>
          <w:color w:val="2D74B5"/>
        </w:rPr>
        <w:t>A Principled Approach to Program Integrity</w:t>
      </w:r>
    </w:p>
    <w:p w:rsidR="002C5025" w:rsidRDefault="002C5025">
      <w:pPr>
        <w:pStyle w:val="BodyText"/>
        <w:kinsoku w:val="0"/>
        <w:overflowPunct w:val="0"/>
        <w:spacing w:before="31" w:line="259" w:lineRule="auto"/>
        <w:ind w:left="139" w:right="254"/>
      </w:pPr>
      <w:r>
        <w:t>In the waiver request, MassHealth announces its intent to re-procure for MCOs by the end of 2016. In May</w:t>
      </w:r>
      <w:r>
        <w:rPr>
          <w:spacing w:val="-10"/>
        </w:rPr>
        <w:t xml:space="preserve"> </w:t>
      </w:r>
      <w:r>
        <w:t>2016,</w:t>
      </w:r>
      <w:r>
        <w:rPr>
          <w:spacing w:val="-6"/>
        </w:rPr>
        <w:t xml:space="preserve"> </w:t>
      </w:r>
      <w:r>
        <w:t>CMS</w:t>
      </w:r>
      <w:r>
        <w:rPr>
          <w:spacing w:val="-9"/>
        </w:rPr>
        <w:t xml:space="preserve"> </w:t>
      </w:r>
      <w:r>
        <w:t>released</w:t>
      </w:r>
      <w:r>
        <w:rPr>
          <w:spacing w:val="-6"/>
        </w:rPr>
        <w:t xml:space="preserve"> </w:t>
      </w:r>
      <w:r>
        <w:t>updated</w:t>
      </w:r>
      <w:r>
        <w:rPr>
          <w:spacing w:val="-9"/>
        </w:rPr>
        <w:t xml:space="preserve"> </w:t>
      </w:r>
      <w:r>
        <w:t>regulations</w:t>
      </w:r>
      <w:r>
        <w:rPr>
          <w:spacing w:val="-6"/>
        </w:rPr>
        <w:t xml:space="preserve"> </w:t>
      </w:r>
      <w:r>
        <w:t>governing</w:t>
      </w:r>
      <w:r>
        <w:rPr>
          <w:spacing w:val="-9"/>
        </w:rPr>
        <w:t xml:space="preserve"> </w:t>
      </w:r>
      <w:r>
        <w:t>Medicaid</w:t>
      </w:r>
      <w:r>
        <w:rPr>
          <w:spacing w:val="-13"/>
        </w:rPr>
        <w:t xml:space="preserve"> </w:t>
      </w:r>
      <w:r>
        <w:t>managed</w:t>
      </w:r>
      <w:r>
        <w:rPr>
          <w:spacing w:val="-11"/>
        </w:rPr>
        <w:t xml:space="preserve"> </w:t>
      </w:r>
      <w:r>
        <w:t>care</w:t>
      </w:r>
      <w:r>
        <w:rPr>
          <w:spacing w:val="-10"/>
        </w:rPr>
        <w:t xml:space="preserve"> </w:t>
      </w:r>
      <w:r>
        <w:t>organizations</w:t>
      </w:r>
      <w:r>
        <w:rPr>
          <w:spacing w:val="-10"/>
        </w:rPr>
        <w:t xml:space="preserve"> </w:t>
      </w:r>
      <w:r>
        <w:rPr>
          <w:spacing w:val="-3"/>
        </w:rPr>
        <w:t xml:space="preserve">(MCOs). </w:t>
      </w:r>
      <w:r>
        <w:t xml:space="preserve">These </w:t>
      </w:r>
      <w:r>
        <w:rPr>
          <w:spacing w:val="-2"/>
        </w:rPr>
        <w:t xml:space="preserve">new </w:t>
      </w:r>
      <w:r>
        <w:t xml:space="preserve">regulations present a </w:t>
      </w:r>
      <w:r>
        <w:rPr>
          <w:spacing w:val="-3"/>
        </w:rPr>
        <w:t xml:space="preserve">host </w:t>
      </w:r>
      <w:r>
        <w:t xml:space="preserve">of </w:t>
      </w:r>
      <w:r>
        <w:rPr>
          <w:spacing w:val="-2"/>
        </w:rPr>
        <w:t xml:space="preserve">new </w:t>
      </w:r>
      <w:r>
        <w:t>program integrity responsibilities for states and MCOs alike. For example, MCOs have to report overpayments to the states within 60 days; states have to screen</w:t>
      </w:r>
      <w:r>
        <w:rPr>
          <w:spacing w:val="-8"/>
        </w:rPr>
        <w:t xml:space="preserve"> </w:t>
      </w:r>
      <w:r>
        <w:t>and</w:t>
      </w:r>
      <w:r>
        <w:rPr>
          <w:spacing w:val="-11"/>
        </w:rPr>
        <w:t xml:space="preserve"> </w:t>
      </w:r>
      <w:r>
        <w:t>enroll</w:t>
      </w:r>
      <w:r>
        <w:rPr>
          <w:spacing w:val="-11"/>
        </w:rPr>
        <w:t xml:space="preserve"> </w:t>
      </w:r>
      <w:r>
        <w:t>all</w:t>
      </w:r>
      <w:r>
        <w:rPr>
          <w:spacing w:val="-11"/>
        </w:rPr>
        <w:t xml:space="preserve"> </w:t>
      </w:r>
      <w:r>
        <w:t>MCO</w:t>
      </w:r>
      <w:r>
        <w:rPr>
          <w:spacing w:val="-9"/>
        </w:rPr>
        <w:t xml:space="preserve"> </w:t>
      </w:r>
      <w:r>
        <w:t>network</w:t>
      </w:r>
      <w:r>
        <w:rPr>
          <w:spacing w:val="-6"/>
        </w:rPr>
        <w:t xml:space="preserve"> </w:t>
      </w:r>
      <w:r>
        <w:t>providers,</w:t>
      </w:r>
      <w:r>
        <w:rPr>
          <w:spacing w:val="-7"/>
        </w:rPr>
        <w:t xml:space="preserve"> </w:t>
      </w:r>
      <w:r>
        <w:t>review</w:t>
      </w:r>
      <w:r>
        <w:rPr>
          <w:spacing w:val="-10"/>
        </w:rPr>
        <w:t xml:space="preserve"> </w:t>
      </w:r>
      <w:r>
        <w:t>the</w:t>
      </w:r>
      <w:r>
        <w:rPr>
          <w:spacing w:val="-6"/>
        </w:rPr>
        <w:t xml:space="preserve"> </w:t>
      </w:r>
      <w:r>
        <w:t>accuracy</w:t>
      </w:r>
      <w:r>
        <w:rPr>
          <w:spacing w:val="-8"/>
        </w:rPr>
        <w:t xml:space="preserve"> </w:t>
      </w:r>
      <w:r>
        <w:t>and</w:t>
      </w:r>
      <w:r>
        <w:rPr>
          <w:spacing w:val="-11"/>
        </w:rPr>
        <w:t xml:space="preserve"> </w:t>
      </w:r>
      <w:r>
        <w:t>completeness</w:t>
      </w:r>
      <w:r>
        <w:rPr>
          <w:spacing w:val="-9"/>
        </w:rPr>
        <w:t xml:space="preserve"> </w:t>
      </w:r>
      <w:r>
        <w:t>of</w:t>
      </w:r>
      <w:r>
        <w:rPr>
          <w:spacing w:val="-11"/>
        </w:rPr>
        <w:t xml:space="preserve"> </w:t>
      </w:r>
      <w:r>
        <w:t>encounter</w:t>
      </w:r>
      <w:r>
        <w:rPr>
          <w:spacing w:val="-11"/>
        </w:rPr>
        <w:t xml:space="preserve"> </w:t>
      </w:r>
      <w:r>
        <w:t>data, and</w:t>
      </w:r>
      <w:r>
        <w:rPr>
          <w:spacing w:val="-13"/>
        </w:rPr>
        <w:t xml:space="preserve"> </w:t>
      </w:r>
      <w:r>
        <w:t>validate</w:t>
      </w:r>
      <w:r>
        <w:rPr>
          <w:spacing w:val="-11"/>
        </w:rPr>
        <w:t xml:space="preserve"> </w:t>
      </w:r>
      <w:r>
        <w:t>medical</w:t>
      </w:r>
      <w:r>
        <w:rPr>
          <w:spacing w:val="-8"/>
        </w:rPr>
        <w:t xml:space="preserve"> </w:t>
      </w:r>
      <w:r>
        <w:t>loss</w:t>
      </w:r>
      <w:r>
        <w:rPr>
          <w:spacing w:val="-10"/>
        </w:rPr>
        <w:t xml:space="preserve"> </w:t>
      </w:r>
      <w:r>
        <w:t>ratio</w:t>
      </w:r>
      <w:r>
        <w:rPr>
          <w:spacing w:val="-9"/>
        </w:rPr>
        <w:t xml:space="preserve"> </w:t>
      </w:r>
      <w:r>
        <w:t>(MLR)</w:t>
      </w:r>
      <w:r>
        <w:rPr>
          <w:spacing w:val="-10"/>
        </w:rPr>
        <w:t xml:space="preserve"> </w:t>
      </w:r>
      <w:r>
        <w:t>annual</w:t>
      </w:r>
      <w:r>
        <w:rPr>
          <w:spacing w:val="-11"/>
        </w:rPr>
        <w:t xml:space="preserve"> </w:t>
      </w:r>
      <w:r>
        <w:t>reports.</w:t>
      </w:r>
    </w:p>
    <w:p w:rsidR="002C5025" w:rsidRDefault="002C5025">
      <w:pPr>
        <w:pStyle w:val="BodyText"/>
        <w:kinsoku w:val="0"/>
        <w:overflowPunct w:val="0"/>
        <w:spacing w:before="161" w:line="256" w:lineRule="auto"/>
        <w:ind w:left="138" w:right="254" w:firstLine="1"/>
      </w:pPr>
      <w:r>
        <w:t>At the same time, the final regulations provide significant flexibility to states to allow for state-specific customization. State are confronted with nuanced decision points with regard to the specific program integrity</w:t>
      </w:r>
      <w:r>
        <w:rPr>
          <w:spacing w:val="-9"/>
        </w:rPr>
        <w:t xml:space="preserve"> </w:t>
      </w:r>
      <w:r>
        <w:t>activities</w:t>
      </w:r>
      <w:r>
        <w:rPr>
          <w:spacing w:val="-11"/>
        </w:rPr>
        <w:t xml:space="preserve"> </w:t>
      </w:r>
      <w:r>
        <w:t>to</w:t>
      </w:r>
      <w:r>
        <w:rPr>
          <w:spacing w:val="-9"/>
        </w:rPr>
        <w:t xml:space="preserve"> </w:t>
      </w:r>
      <w:r>
        <w:t>undertake;</w:t>
      </w:r>
      <w:r>
        <w:rPr>
          <w:spacing w:val="-5"/>
        </w:rPr>
        <w:t xml:space="preserve"> </w:t>
      </w:r>
      <w:r>
        <w:t>the</w:t>
      </w:r>
      <w:r>
        <w:rPr>
          <w:spacing w:val="-10"/>
        </w:rPr>
        <w:t xml:space="preserve"> </w:t>
      </w:r>
      <w:r>
        <w:t>delineation</w:t>
      </w:r>
      <w:r>
        <w:rPr>
          <w:spacing w:val="-12"/>
        </w:rPr>
        <w:t xml:space="preserve"> </w:t>
      </w:r>
      <w:r>
        <w:t>of</w:t>
      </w:r>
      <w:r>
        <w:rPr>
          <w:spacing w:val="-10"/>
        </w:rPr>
        <w:t xml:space="preserve"> </w:t>
      </w:r>
      <w:r>
        <w:t>program</w:t>
      </w:r>
      <w:r>
        <w:rPr>
          <w:spacing w:val="-9"/>
        </w:rPr>
        <w:t xml:space="preserve"> </w:t>
      </w:r>
      <w:r>
        <w:t>integrity</w:t>
      </w:r>
      <w:r>
        <w:rPr>
          <w:spacing w:val="-9"/>
        </w:rPr>
        <w:t xml:space="preserve"> </w:t>
      </w:r>
      <w:r>
        <w:t>activity</w:t>
      </w:r>
      <w:r>
        <w:rPr>
          <w:spacing w:val="-9"/>
        </w:rPr>
        <w:t xml:space="preserve"> </w:t>
      </w:r>
      <w:r>
        <w:t>between</w:t>
      </w:r>
      <w:r>
        <w:rPr>
          <w:spacing w:val="-12"/>
        </w:rPr>
        <w:t xml:space="preserve"> </w:t>
      </w:r>
      <w:r>
        <w:t>the</w:t>
      </w:r>
      <w:r>
        <w:rPr>
          <w:spacing w:val="-10"/>
        </w:rPr>
        <w:t xml:space="preserve"> </w:t>
      </w:r>
      <w:r>
        <w:t>agency,</w:t>
      </w:r>
      <w:r>
        <w:rPr>
          <w:spacing w:val="-11"/>
        </w:rPr>
        <w:t xml:space="preserve"> </w:t>
      </w:r>
      <w:r>
        <w:rPr>
          <w:spacing w:val="-3"/>
        </w:rPr>
        <w:t xml:space="preserve">MCO </w:t>
      </w:r>
      <w:r>
        <w:t>and other state stakeholders; which contractual and financial levers to make available to all parties regarding</w:t>
      </w:r>
      <w:r>
        <w:rPr>
          <w:spacing w:val="-12"/>
        </w:rPr>
        <w:t xml:space="preserve"> </w:t>
      </w:r>
      <w:r>
        <w:t>program</w:t>
      </w:r>
      <w:r>
        <w:rPr>
          <w:spacing w:val="-12"/>
        </w:rPr>
        <w:t xml:space="preserve"> </w:t>
      </w:r>
      <w:r>
        <w:t>integrity</w:t>
      </w:r>
      <w:r>
        <w:rPr>
          <w:spacing w:val="-10"/>
        </w:rPr>
        <w:t xml:space="preserve"> </w:t>
      </w:r>
      <w:r>
        <w:t>and</w:t>
      </w:r>
      <w:r>
        <w:rPr>
          <w:spacing w:val="-13"/>
        </w:rPr>
        <w:t xml:space="preserve"> </w:t>
      </w:r>
      <w:r>
        <w:t>more.</w:t>
      </w:r>
    </w:p>
    <w:p w:rsidR="002C5025" w:rsidRDefault="002C5025">
      <w:pPr>
        <w:pStyle w:val="BodyText"/>
        <w:kinsoku w:val="0"/>
        <w:overflowPunct w:val="0"/>
        <w:spacing w:before="159" w:line="259" w:lineRule="auto"/>
        <w:ind w:left="138" w:right="254"/>
      </w:pPr>
      <w:r>
        <w:t>The regulations are complicated even in a traditional managed Medicaid environment, but in MassHealth’s</w:t>
      </w:r>
      <w:r>
        <w:rPr>
          <w:spacing w:val="-11"/>
        </w:rPr>
        <w:t xml:space="preserve"> </w:t>
      </w:r>
      <w:r>
        <w:t>1115</w:t>
      </w:r>
      <w:r>
        <w:rPr>
          <w:spacing w:val="-11"/>
        </w:rPr>
        <w:t xml:space="preserve"> </w:t>
      </w:r>
      <w:r>
        <w:t>waiver</w:t>
      </w:r>
      <w:r>
        <w:rPr>
          <w:spacing w:val="-12"/>
        </w:rPr>
        <w:t xml:space="preserve"> </w:t>
      </w:r>
      <w:r>
        <w:t>request</w:t>
      </w:r>
      <w:r>
        <w:rPr>
          <w:spacing w:val="-11"/>
        </w:rPr>
        <w:t xml:space="preserve"> </w:t>
      </w:r>
      <w:r>
        <w:t>which</w:t>
      </w:r>
      <w:r>
        <w:rPr>
          <w:spacing w:val="-10"/>
        </w:rPr>
        <w:t xml:space="preserve"> </w:t>
      </w:r>
      <w:r>
        <w:t>envisions</w:t>
      </w:r>
      <w:r>
        <w:rPr>
          <w:spacing w:val="-12"/>
        </w:rPr>
        <w:t xml:space="preserve"> </w:t>
      </w:r>
      <w:r>
        <w:rPr>
          <w:spacing w:val="-2"/>
        </w:rPr>
        <w:t>the</w:t>
      </w:r>
      <w:r>
        <w:rPr>
          <w:spacing w:val="-11"/>
        </w:rPr>
        <w:t xml:space="preserve"> </w:t>
      </w:r>
      <w:r>
        <w:t>use</w:t>
      </w:r>
      <w:r>
        <w:rPr>
          <w:spacing w:val="-9"/>
        </w:rPr>
        <w:t xml:space="preserve"> </w:t>
      </w:r>
      <w:r>
        <w:t>of</w:t>
      </w:r>
      <w:r>
        <w:rPr>
          <w:spacing w:val="-9"/>
        </w:rPr>
        <w:t xml:space="preserve"> </w:t>
      </w:r>
      <w:r>
        <w:t>ACOs</w:t>
      </w:r>
      <w:r>
        <w:rPr>
          <w:spacing w:val="-8"/>
        </w:rPr>
        <w:t xml:space="preserve"> </w:t>
      </w:r>
      <w:r>
        <w:t>and</w:t>
      </w:r>
      <w:r>
        <w:rPr>
          <w:spacing w:val="-13"/>
        </w:rPr>
        <w:t xml:space="preserve"> </w:t>
      </w:r>
      <w:r>
        <w:t>alternative</w:t>
      </w:r>
      <w:r>
        <w:rPr>
          <w:spacing w:val="-9"/>
        </w:rPr>
        <w:t xml:space="preserve"> </w:t>
      </w:r>
      <w:r>
        <w:t>payment</w:t>
      </w:r>
      <w:r>
        <w:rPr>
          <w:spacing w:val="-11"/>
        </w:rPr>
        <w:t xml:space="preserve"> </w:t>
      </w:r>
      <w:r>
        <w:t>models,</w:t>
      </w:r>
    </w:p>
    <w:p w:rsidR="002C5025" w:rsidRDefault="00FB027C">
      <w:pPr>
        <w:pStyle w:val="BodyText"/>
        <w:kinsoku w:val="0"/>
        <w:overflowPunct w:val="0"/>
        <w:rPr>
          <w:sz w:val="27"/>
          <w:szCs w:val="27"/>
        </w:rPr>
      </w:pPr>
      <w:r>
        <w:rPr>
          <w:noProof/>
        </w:rPr>
        <mc:AlternateContent>
          <mc:Choice Requires="wps">
            <w:drawing>
              <wp:anchor distT="0" distB="0" distL="0" distR="0" simplePos="0" relativeHeight="251682304" behindDoc="0" locked="0" layoutInCell="0" allowOverlap="1">
                <wp:simplePos x="0" y="0"/>
                <wp:positionH relativeFrom="page">
                  <wp:posOffset>895985</wp:posOffset>
                </wp:positionH>
                <wp:positionV relativeFrom="paragraph">
                  <wp:posOffset>238125</wp:posOffset>
                </wp:positionV>
                <wp:extent cx="5981065" cy="12700"/>
                <wp:effectExtent l="0" t="0" r="0" b="0"/>
                <wp:wrapTopAndBottom/>
                <wp:docPr id="537" name="Freeform 4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12700"/>
                        </a:xfrm>
                        <a:custGeom>
                          <a:avLst/>
                          <a:gdLst>
                            <a:gd name="T0" fmla="*/ 0 w 9419"/>
                            <a:gd name="T1" fmla="*/ 0 h 20"/>
                            <a:gd name="T2" fmla="*/ 9419 w 9419"/>
                            <a:gd name="T3" fmla="*/ 0 h 20"/>
                          </a:gdLst>
                          <a:ahLst/>
                          <a:cxnLst>
                            <a:cxn ang="0">
                              <a:pos x="T0" y="T1"/>
                            </a:cxn>
                            <a:cxn ang="0">
                              <a:pos x="T2" y="T3"/>
                            </a:cxn>
                          </a:cxnLst>
                          <a:rect l="0" t="0" r="r" b="b"/>
                          <a:pathLst>
                            <a:path w="9419" h="20">
                              <a:moveTo>
                                <a:pt x="0" y="0"/>
                              </a:moveTo>
                              <a:lnTo>
                                <a:pt x="9419" y="0"/>
                              </a:lnTo>
                            </a:path>
                          </a:pathLst>
                        </a:custGeom>
                        <a:noFill/>
                        <a:ln w="7365">
                          <a:solidFill>
                            <a:srgbClr val="DADAD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88" o:spid="_x0000_s1026" style="position:absolute;z-index:251682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0.55pt,18.75pt,541.5pt,18.75pt" coordsize="94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" o:allowincell="f" filled="f" strokecolor="#dadada" strokeweight=".20458mm">
                <v:path arrowok="t" o:connecttype="custom" o:connectlocs="0,0;5981065,0" o:connectangles="0,0"/>
                <w10:wrap type="topAndBottom" anchorx="page"/>
              </v:polyline>
            </w:pict>
          </mc:Fallback>
        </mc:AlternateContent>
      </w:r>
    </w:p>
    <w:p w:rsidR="002C5025" w:rsidRDefault="002C5025">
      <w:pPr>
        <w:pStyle w:val="ListParagraph"/>
        <w:numPr>
          <w:ilvl w:val="0"/>
          <w:numId w:val="45"/>
        </w:numPr>
        <w:tabs>
          <w:tab w:val="left" w:pos="304"/>
        </w:tabs>
        <w:kinsoku w:val="0"/>
        <w:overflowPunct w:val="0"/>
        <w:spacing w:before="1"/>
        <w:ind w:hanging="163"/>
        <w:rPr>
          <w:rFonts w:ascii="Calibri" w:hAnsi="Calibri" w:cs="Calibri"/>
          <w:color w:val="7F7F7F"/>
          <w:sz w:val="22"/>
          <w:szCs w:val="22"/>
        </w:rPr>
      </w:pPr>
      <w:r>
        <w:rPr>
          <w:rFonts w:ascii="Calibri" w:hAnsi="Calibri" w:cs="Calibri"/>
          <w:b/>
          <w:bCs/>
          <w:sz w:val="22"/>
          <w:szCs w:val="22"/>
        </w:rPr>
        <w:t xml:space="preserve">| </w:t>
      </w:r>
      <w:r>
        <w:rPr>
          <w:rFonts w:ascii="Calibri" w:hAnsi="Calibri" w:cs="Calibri"/>
          <w:color w:val="7F7F7F"/>
          <w:sz w:val="22"/>
          <w:szCs w:val="22"/>
        </w:rPr>
        <w:t>P a g</w:t>
      </w:r>
      <w:r>
        <w:rPr>
          <w:rFonts w:ascii="Calibri" w:hAnsi="Calibri" w:cs="Calibri"/>
          <w:color w:val="7F7F7F"/>
          <w:spacing w:val="24"/>
          <w:sz w:val="22"/>
          <w:szCs w:val="22"/>
        </w:rPr>
        <w:t xml:space="preserve"> </w:t>
      </w:r>
      <w:r>
        <w:rPr>
          <w:rFonts w:ascii="Calibri" w:hAnsi="Calibri" w:cs="Calibri"/>
          <w:color w:val="7F7F7F"/>
          <w:sz w:val="22"/>
          <w:szCs w:val="22"/>
        </w:rPr>
        <w:t>e</w:t>
      </w:r>
    </w:p>
    <w:p w:rsidR="002C5025" w:rsidRDefault="002C5025">
      <w:pPr>
        <w:pStyle w:val="ListParagraph"/>
        <w:numPr>
          <w:ilvl w:val="0"/>
          <w:numId w:val="45"/>
        </w:numPr>
        <w:tabs>
          <w:tab w:val="left" w:pos="304"/>
        </w:tabs>
        <w:kinsoku w:val="0"/>
        <w:overflowPunct w:val="0"/>
        <w:spacing w:before="1"/>
        <w:ind w:hanging="163"/>
        <w:rPr>
          <w:rFonts w:ascii="Calibri" w:hAnsi="Calibri" w:cs="Calibri"/>
          <w:color w:val="7F7F7F"/>
          <w:sz w:val="22"/>
          <w:szCs w:val="22"/>
        </w:rPr>
        <w:sectPr w:rsidR="002C5025">
          <w:pgSz w:w="12240" w:h="15840"/>
          <w:pgMar w:top="1420" w:right="1300" w:bottom="280" w:left="1300" w:header="720" w:footer="720" w:gutter="0"/>
          <w:cols w:space="720"/>
          <w:noEndnote/>
        </w:sectPr>
      </w:pPr>
    </w:p>
    <w:p w:rsidR="002C5025" w:rsidRDefault="002C5025">
      <w:pPr>
        <w:pStyle w:val="BodyText"/>
        <w:kinsoku w:val="0"/>
        <w:overflowPunct w:val="0"/>
        <w:spacing w:before="34" w:line="259" w:lineRule="auto"/>
        <w:ind w:left="140" w:right="254"/>
      </w:pPr>
      <w:r>
        <w:lastRenderedPageBreak/>
        <w:t>additional</w:t>
      </w:r>
      <w:r>
        <w:rPr>
          <w:spacing w:val="-9"/>
        </w:rPr>
        <w:t xml:space="preserve"> </w:t>
      </w:r>
      <w:r>
        <w:t>care</w:t>
      </w:r>
      <w:r>
        <w:rPr>
          <w:spacing w:val="-11"/>
        </w:rPr>
        <w:t xml:space="preserve"> </w:t>
      </w:r>
      <w:r>
        <w:t>must</w:t>
      </w:r>
      <w:r>
        <w:rPr>
          <w:spacing w:val="-7"/>
        </w:rPr>
        <w:t xml:space="preserve"> </w:t>
      </w:r>
      <w:r>
        <w:t>be</w:t>
      </w:r>
      <w:r>
        <w:rPr>
          <w:spacing w:val="-11"/>
        </w:rPr>
        <w:t xml:space="preserve"> </w:t>
      </w:r>
      <w:r>
        <w:t>taken</w:t>
      </w:r>
      <w:r>
        <w:rPr>
          <w:spacing w:val="-10"/>
        </w:rPr>
        <w:t xml:space="preserve"> </w:t>
      </w:r>
      <w:r>
        <w:t>to</w:t>
      </w:r>
      <w:r>
        <w:rPr>
          <w:spacing w:val="-10"/>
        </w:rPr>
        <w:t xml:space="preserve"> </w:t>
      </w:r>
      <w:r>
        <w:t>minimally</w:t>
      </w:r>
      <w:r>
        <w:rPr>
          <w:spacing w:val="-8"/>
        </w:rPr>
        <w:t xml:space="preserve"> </w:t>
      </w:r>
      <w:r>
        <w:t>ensure</w:t>
      </w:r>
      <w:r>
        <w:rPr>
          <w:spacing w:val="-9"/>
        </w:rPr>
        <w:t xml:space="preserve"> </w:t>
      </w:r>
      <w:r>
        <w:t>compliance,</w:t>
      </w:r>
      <w:r>
        <w:rPr>
          <w:spacing w:val="-8"/>
        </w:rPr>
        <w:t xml:space="preserve"> </w:t>
      </w:r>
      <w:r>
        <w:t>but</w:t>
      </w:r>
      <w:r>
        <w:rPr>
          <w:spacing w:val="-11"/>
        </w:rPr>
        <w:t xml:space="preserve"> </w:t>
      </w:r>
      <w:r>
        <w:t>maximally</w:t>
      </w:r>
      <w:r>
        <w:rPr>
          <w:spacing w:val="-8"/>
        </w:rPr>
        <w:t xml:space="preserve"> </w:t>
      </w:r>
      <w:r>
        <w:t>protect</w:t>
      </w:r>
      <w:r>
        <w:rPr>
          <w:spacing w:val="-9"/>
        </w:rPr>
        <w:t xml:space="preserve"> </w:t>
      </w:r>
      <w:r>
        <w:t>the</w:t>
      </w:r>
      <w:r>
        <w:rPr>
          <w:spacing w:val="-7"/>
        </w:rPr>
        <w:t xml:space="preserve"> </w:t>
      </w:r>
      <w:r>
        <w:t>program</w:t>
      </w:r>
      <w:r>
        <w:rPr>
          <w:spacing w:val="-8"/>
        </w:rPr>
        <w:t xml:space="preserve"> </w:t>
      </w:r>
      <w:r>
        <w:t>from fraud, waste and</w:t>
      </w:r>
      <w:r>
        <w:rPr>
          <w:spacing w:val="-28"/>
        </w:rPr>
        <w:t xml:space="preserve"> </w:t>
      </w:r>
      <w:r>
        <w:t>abuse.</w:t>
      </w:r>
    </w:p>
    <w:p w:rsidR="002C5025" w:rsidRDefault="002C5025">
      <w:pPr>
        <w:pStyle w:val="BodyText"/>
        <w:kinsoku w:val="0"/>
        <w:overflowPunct w:val="0"/>
        <w:spacing w:before="156"/>
        <w:ind w:left="139" w:right="254"/>
      </w:pPr>
      <w:r>
        <w:t>HMS, therefore recommends that Massachusetts seek consulting expertise that:</w:t>
      </w:r>
    </w:p>
    <w:p w:rsidR="002C5025" w:rsidRDefault="002C5025">
      <w:pPr>
        <w:pStyle w:val="ListParagraph"/>
        <w:numPr>
          <w:ilvl w:val="1"/>
          <w:numId w:val="45"/>
        </w:numPr>
        <w:tabs>
          <w:tab w:val="left" w:pos="860"/>
        </w:tabs>
        <w:kinsoku w:val="0"/>
        <w:overflowPunct w:val="0"/>
        <w:spacing w:before="185" w:line="256" w:lineRule="auto"/>
        <w:ind w:right="289" w:hanging="360"/>
        <w:rPr>
          <w:rFonts w:ascii="Calibri" w:hAnsi="Calibri" w:cs="Calibri"/>
          <w:sz w:val="22"/>
          <w:szCs w:val="22"/>
        </w:rPr>
      </w:pPr>
      <w:r>
        <w:rPr>
          <w:rFonts w:ascii="Calibri" w:hAnsi="Calibri" w:cs="Calibri"/>
          <w:sz w:val="22"/>
          <w:szCs w:val="22"/>
        </w:rPr>
        <w:t>Provides an assessment of program integrity activities and capabilities across contracted MCOs and</w:t>
      </w:r>
      <w:r>
        <w:rPr>
          <w:rFonts w:ascii="Calibri" w:hAnsi="Calibri" w:cs="Calibri"/>
          <w:spacing w:val="-11"/>
          <w:sz w:val="22"/>
          <w:szCs w:val="22"/>
        </w:rPr>
        <w:t xml:space="preserve"> </w:t>
      </w:r>
      <w:r>
        <w:rPr>
          <w:rFonts w:ascii="Calibri" w:hAnsi="Calibri" w:cs="Calibri"/>
          <w:sz w:val="22"/>
          <w:szCs w:val="22"/>
        </w:rPr>
        <w:t>MassHealth.</w:t>
      </w:r>
      <w:r>
        <w:rPr>
          <w:rFonts w:ascii="Calibri" w:hAnsi="Calibri" w:cs="Calibri"/>
          <w:spacing w:val="36"/>
          <w:sz w:val="22"/>
          <w:szCs w:val="22"/>
        </w:rPr>
        <w:t xml:space="preserve"> </w:t>
      </w:r>
      <w:r>
        <w:rPr>
          <w:rFonts w:ascii="Calibri" w:hAnsi="Calibri" w:cs="Calibri"/>
          <w:sz w:val="22"/>
          <w:szCs w:val="22"/>
        </w:rPr>
        <w:t>Consider</w:t>
      </w:r>
      <w:r>
        <w:rPr>
          <w:rFonts w:ascii="Calibri" w:hAnsi="Calibri" w:cs="Calibri"/>
          <w:spacing w:val="-12"/>
          <w:sz w:val="22"/>
          <w:szCs w:val="22"/>
        </w:rPr>
        <w:t xml:space="preserve"> </w:t>
      </w:r>
      <w:r>
        <w:rPr>
          <w:rFonts w:ascii="Calibri" w:hAnsi="Calibri" w:cs="Calibri"/>
          <w:sz w:val="22"/>
          <w:szCs w:val="22"/>
        </w:rPr>
        <w:t>similar</w:t>
      </w:r>
      <w:r>
        <w:rPr>
          <w:rFonts w:ascii="Calibri" w:hAnsi="Calibri" w:cs="Calibri"/>
          <w:spacing w:val="-8"/>
          <w:sz w:val="22"/>
          <w:szCs w:val="22"/>
        </w:rPr>
        <w:t xml:space="preserve"> </w:t>
      </w:r>
      <w:r>
        <w:rPr>
          <w:rFonts w:ascii="Calibri" w:hAnsi="Calibri" w:cs="Calibri"/>
          <w:sz w:val="22"/>
          <w:szCs w:val="22"/>
        </w:rPr>
        <w:t>assessments</w:t>
      </w:r>
      <w:r>
        <w:rPr>
          <w:rFonts w:ascii="Calibri" w:hAnsi="Calibri" w:cs="Calibri"/>
          <w:spacing w:val="-5"/>
          <w:sz w:val="22"/>
          <w:szCs w:val="22"/>
        </w:rPr>
        <w:t xml:space="preserve"> </w:t>
      </w:r>
      <w:r>
        <w:rPr>
          <w:rFonts w:ascii="Calibri" w:hAnsi="Calibri" w:cs="Calibri"/>
          <w:sz w:val="22"/>
          <w:szCs w:val="22"/>
        </w:rPr>
        <w:t>for</w:t>
      </w:r>
      <w:r>
        <w:rPr>
          <w:rFonts w:ascii="Calibri" w:hAnsi="Calibri" w:cs="Calibri"/>
          <w:spacing w:val="-8"/>
          <w:sz w:val="22"/>
          <w:szCs w:val="22"/>
        </w:rPr>
        <w:t xml:space="preserve"> </w:t>
      </w:r>
      <w:r>
        <w:rPr>
          <w:rFonts w:ascii="Calibri" w:hAnsi="Calibri" w:cs="Calibri"/>
          <w:sz w:val="22"/>
          <w:szCs w:val="22"/>
        </w:rPr>
        <w:t>the</w:t>
      </w:r>
      <w:r>
        <w:rPr>
          <w:rFonts w:ascii="Calibri" w:hAnsi="Calibri" w:cs="Calibri"/>
          <w:spacing w:val="-10"/>
          <w:sz w:val="22"/>
          <w:szCs w:val="22"/>
        </w:rPr>
        <w:t xml:space="preserve"> </w:t>
      </w:r>
      <w:r>
        <w:rPr>
          <w:rFonts w:ascii="Calibri" w:hAnsi="Calibri" w:cs="Calibri"/>
          <w:sz w:val="22"/>
          <w:szCs w:val="22"/>
        </w:rPr>
        <w:t>Offices</w:t>
      </w:r>
      <w:r>
        <w:rPr>
          <w:rFonts w:ascii="Calibri" w:hAnsi="Calibri" w:cs="Calibri"/>
          <w:spacing w:val="-10"/>
          <w:sz w:val="22"/>
          <w:szCs w:val="22"/>
        </w:rPr>
        <w:t xml:space="preserve"> </w:t>
      </w:r>
      <w:r>
        <w:rPr>
          <w:rFonts w:ascii="Calibri" w:hAnsi="Calibri" w:cs="Calibri"/>
          <w:sz w:val="22"/>
          <w:szCs w:val="22"/>
        </w:rPr>
        <w:t>of</w:t>
      </w:r>
      <w:r>
        <w:rPr>
          <w:rFonts w:ascii="Calibri" w:hAnsi="Calibri" w:cs="Calibri"/>
          <w:spacing w:val="-11"/>
          <w:sz w:val="22"/>
          <w:szCs w:val="22"/>
        </w:rPr>
        <w:t xml:space="preserve"> </w:t>
      </w:r>
      <w:r>
        <w:rPr>
          <w:rFonts w:ascii="Calibri" w:hAnsi="Calibri" w:cs="Calibri"/>
          <w:sz w:val="22"/>
          <w:szCs w:val="22"/>
        </w:rPr>
        <w:t>the</w:t>
      </w:r>
      <w:r>
        <w:rPr>
          <w:rFonts w:ascii="Calibri" w:hAnsi="Calibri" w:cs="Calibri"/>
          <w:spacing w:val="-8"/>
          <w:sz w:val="22"/>
          <w:szCs w:val="22"/>
        </w:rPr>
        <w:t xml:space="preserve"> </w:t>
      </w:r>
      <w:r>
        <w:rPr>
          <w:rFonts w:ascii="Calibri" w:hAnsi="Calibri" w:cs="Calibri"/>
          <w:sz w:val="22"/>
          <w:szCs w:val="22"/>
        </w:rPr>
        <w:t>State</w:t>
      </w:r>
      <w:r>
        <w:rPr>
          <w:rFonts w:ascii="Calibri" w:hAnsi="Calibri" w:cs="Calibri"/>
          <w:spacing w:val="-10"/>
          <w:sz w:val="22"/>
          <w:szCs w:val="22"/>
        </w:rPr>
        <w:t xml:space="preserve"> </w:t>
      </w:r>
      <w:r>
        <w:rPr>
          <w:rFonts w:ascii="Calibri" w:hAnsi="Calibri" w:cs="Calibri"/>
          <w:sz w:val="22"/>
          <w:szCs w:val="22"/>
        </w:rPr>
        <w:t>Auditor</w:t>
      </w:r>
      <w:r>
        <w:rPr>
          <w:rFonts w:ascii="Calibri" w:hAnsi="Calibri" w:cs="Calibri"/>
          <w:spacing w:val="-8"/>
          <w:sz w:val="22"/>
          <w:szCs w:val="22"/>
        </w:rPr>
        <w:t xml:space="preserve"> </w:t>
      </w:r>
      <w:r>
        <w:rPr>
          <w:rFonts w:ascii="Calibri" w:hAnsi="Calibri" w:cs="Calibri"/>
          <w:sz w:val="22"/>
          <w:szCs w:val="22"/>
        </w:rPr>
        <w:t>and</w:t>
      </w:r>
      <w:r>
        <w:rPr>
          <w:rFonts w:ascii="Calibri" w:hAnsi="Calibri" w:cs="Calibri"/>
          <w:spacing w:val="-9"/>
          <w:sz w:val="22"/>
          <w:szCs w:val="22"/>
        </w:rPr>
        <w:t xml:space="preserve"> </w:t>
      </w:r>
      <w:r>
        <w:rPr>
          <w:rFonts w:ascii="Calibri" w:hAnsi="Calibri" w:cs="Calibri"/>
          <w:sz w:val="22"/>
          <w:szCs w:val="22"/>
        </w:rPr>
        <w:t>Attorney General.</w:t>
      </w:r>
    </w:p>
    <w:p w:rsidR="002C5025" w:rsidRDefault="002C5025">
      <w:pPr>
        <w:pStyle w:val="ListParagraph"/>
        <w:numPr>
          <w:ilvl w:val="1"/>
          <w:numId w:val="45"/>
        </w:numPr>
        <w:tabs>
          <w:tab w:val="left" w:pos="861"/>
        </w:tabs>
        <w:kinsoku w:val="0"/>
        <w:overflowPunct w:val="0"/>
        <w:spacing w:before="3" w:line="256" w:lineRule="auto"/>
        <w:ind w:left="860" w:right="634" w:hanging="360"/>
        <w:rPr>
          <w:rFonts w:ascii="Calibri" w:hAnsi="Calibri" w:cs="Calibri"/>
          <w:sz w:val="22"/>
          <w:szCs w:val="22"/>
        </w:rPr>
      </w:pPr>
      <w:r>
        <w:rPr>
          <w:rFonts w:ascii="Calibri" w:hAnsi="Calibri" w:cs="Calibri"/>
          <w:sz w:val="22"/>
          <w:szCs w:val="22"/>
        </w:rPr>
        <w:t>Outlines</w:t>
      </w:r>
      <w:r>
        <w:rPr>
          <w:rFonts w:ascii="Calibri" w:hAnsi="Calibri" w:cs="Calibri"/>
          <w:spacing w:val="-9"/>
          <w:sz w:val="22"/>
          <w:szCs w:val="22"/>
        </w:rPr>
        <w:t xml:space="preserve"> </w:t>
      </w:r>
      <w:r>
        <w:rPr>
          <w:rFonts w:ascii="Calibri" w:hAnsi="Calibri" w:cs="Calibri"/>
          <w:sz w:val="22"/>
          <w:szCs w:val="22"/>
        </w:rPr>
        <w:t>requirements</w:t>
      </w:r>
      <w:r>
        <w:rPr>
          <w:rFonts w:ascii="Calibri" w:hAnsi="Calibri" w:cs="Calibri"/>
          <w:spacing w:val="-9"/>
          <w:sz w:val="22"/>
          <w:szCs w:val="22"/>
        </w:rPr>
        <w:t xml:space="preserve"> </w:t>
      </w:r>
      <w:r>
        <w:rPr>
          <w:rFonts w:ascii="Calibri" w:hAnsi="Calibri" w:cs="Calibri"/>
          <w:sz w:val="22"/>
          <w:szCs w:val="22"/>
        </w:rPr>
        <w:t>and</w:t>
      </w:r>
      <w:r>
        <w:rPr>
          <w:rFonts w:ascii="Calibri" w:hAnsi="Calibri" w:cs="Calibri"/>
          <w:spacing w:val="-11"/>
          <w:sz w:val="22"/>
          <w:szCs w:val="22"/>
        </w:rPr>
        <w:t xml:space="preserve"> </w:t>
      </w:r>
      <w:r>
        <w:rPr>
          <w:rFonts w:ascii="Calibri" w:hAnsi="Calibri" w:cs="Calibri"/>
          <w:sz w:val="22"/>
          <w:szCs w:val="22"/>
        </w:rPr>
        <w:t>decision</w:t>
      </w:r>
      <w:r>
        <w:rPr>
          <w:rFonts w:ascii="Calibri" w:hAnsi="Calibri" w:cs="Calibri"/>
          <w:spacing w:val="-10"/>
          <w:sz w:val="22"/>
          <w:szCs w:val="22"/>
        </w:rPr>
        <w:t xml:space="preserve"> </w:t>
      </w:r>
      <w:r>
        <w:rPr>
          <w:rFonts w:ascii="Calibri" w:hAnsi="Calibri" w:cs="Calibri"/>
          <w:sz w:val="22"/>
          <w:szCs w:val="22"/>
        </w:rPr>
        <w:t>points</w:t>
      </w:r>
      <w:r>
        <w:rPr>
          <w:rFonts w:ascii="Calibri" w:hAnsi="Calibri" w:cs="Calibri"/>
          <w:spacing w:val="-9"/>
          <w:sz w:val="22"/>
          <w:szCs w:val="22"/>
        </w:rPr>
        <w:t xml:space="preserve"> </w:t>
      </w:r>
      <w:r>
        <w:rPr>
          <w:rFonts w:ascii="Calibri" w:hAnsi="Calibri" w:cs="Calibri"/>
          <w:sz w:val="22"/>
          <w:szCs w:val="22"/>
        </w:rPr>
        <w:t>for</w:t>
      </w:r>
      <w:r>
        <w:rPr>
          <w:rFonts w:ascii="Calibri" w:hAnsi="Calibri" w:cs="Calibri"/>
          <w:spacing w:val="-11"/>
          <w:sz w:val="22"/>
          <w:szCs w:val="22"/>
        </w:rPr>
        <w:t xml:space="preserve"> </w:t>
      </w:r>
      <w:r>
        <w:rPr>
          <w:rFonts w:ascii="Calibri" w:hAnsi="Calibri" w:cs="Calibri"/>
          <w:sz w:val="22"/>
          <w:szCs w:val="22"/>
        </w:rPr>
        <w:t>MassHealth</w:t>
      </w:r>
      <w:r>
        <w:rPr>
          <w:rFonts w:ascii="Calibri" w:hAnsi="Calibri" w:cs="Calibri"/>
          <w:spacing w:val="-10"/>
          <w:sz w:val="22"/>
          <w:szCs w:val="22"/>
        </w:rPr>
        <w:t xml:space="preserve"> </w:t>
      </w:r>
      <w:r>
        <w:rPr>
          <w:rFonts w:ascii="Calibri" w:hAnsi="Calibri" w:cs="Calibri"/>
          <w:sz w:val="22"/>
          <w:szCs w:val="22"/>
        </w:rPr>
        <w:t>in</w:t>
      </w:r>
      <w:r>
        <w:rPr>
          <w:rFonts w:ascii="Calibri" w:hAnsi="Calibri" w:cs="Calibri"/>
          <w:spacing w:val="-8"/>
          <w:sz w:val="22"/>
          <w:szCs w:val="22"/>
        </w:rPr>
        <w:t xml:space="preserve"> </w:t>
      </w:r>
      <w:r>
        <w:rPr>
          <w:rFonts w:ascii="Calibri" w:hAnsi="Calibri" w:cs="Calibri"/>
          <w:sz w:val="22"/>
          <w:szCs w:val="22"/>
        </w:rPr>
        <w:t>accordance</w:t>
      </w:r>
      <w:r>
        <w:rPr>
          <w:rFonts w:ascii="Calibri" w:hAnsi="Calibri" w:cs="Calibri"/>
          <w:spacing w:val="-10"/>
          <w:sz w:val="22"/>
          <w:szCs w:val="22"/>
        </w:rPr>
        <w:t xml:space="preserve"> </w:t>
      </w:r>
      <w:r>
        <w:rPr>
          <w:rFonts w:ascii="Calibri" w:hAnsi="Calibri" w:cs="Calibri"/>
          <w:sz w:val="22"/>
          <w:szCs w:val="22"/>
        </w:rPr>
        <w:t>with</w:t>
      </w:r>
      <w:r>
        <w:rPr>
          <w:rFonts w:ascii="Calibri" w:hAnsi="Calibri" w:cs="Calibri"/>
          <w:spacing w:val="-10"/>
          <w:sz w:val="22"/>
          <w:szCs w:val="22"/>
        </w:rPr>
        <w:t xml:space="preserve"> </w:t>
      </w:r>
      <w:r>
        <w:rPr>
          <w:rFonts w:ascii="Calibri" w:hAnsi="Calibri" w:cs="Calibri"/>
          <w:sz w:val="22"/>
          <w:szCs w:val="22"/>
        </w:rPr>
        <w:t>the</w:t>
      </w:r>
      <w:r>
        <w:rPr>
          <w:rFonts w:ascii="Calibri" w:hAnsi="Calibri" w:cs="Calibri"/>
          <w:spacing w:val="-10"/>
          <w:sz w:val="22"/>
          <w:szCs w:val="22"/>
        </w:rPr>
        <w:t xml:space="preserve"> </w:t>
      </w:r>
      <w:r>
        <w:rPr>
          <w:rFonts w:ascii="Calibri" w:hAnsi="Calibri" w:cs="Calibri"/>
          <w:sz w:val="22"/>
          <w:szCs w:val="22"/>
        </w:rPr>
        <w:t>new</w:t>
      </w:r>
      <w:r>
        <w:rPr>
          <w:rFonts w:ascii="Calibri" w:hAnsi="Calibri" w:cs="Calibri"/>
          <w:spacing w:val="-12"/>
          <w:sz w:val="22"/>
          <w:szCs w:val="22"/>
        </w:rPr>
        <w:t xml:space="preserve"> </w:t>
      </w:r>
      <w:r>
        <w:rPr>
          <w:rFonts w:ascii="Calibri" w:hAnsi="Calibri" w:cs="Calibri"/>
          <w:sz w:val="22"/>
          <w:szCs w:val="22"/>
        </w:rPr>
        <w:t>MCO regulation.</w:t>
      </w:r>
    </w:p>
    <w:p w:rsidR="002C5025" w:rsidRDefault="002C5025">
      <w:pPr>
        <w:pStyle w:val="ListParagraph"/>
        <w:numPr>
          <w:ilvl w:val="1"/>
          <w:numId w:val="45"/>
        </w:numPr>
        <w:tabs>
          <w:tab w:val="left" w:pos="861"/>
        </w:tabs>
        <w:kinsoku w:val="0"/>
        <w:overflowPunct w:val="0"/>
        <w:spacing w:before="8"/>
        <w:ind w:left="860" w:hanging="360"/>
        <w:rPr>
          <w:rFonts w:ascii="Calibri" w:hAnsi="Calibri" w:cs="Calibri"/>
          <w:sz w:val="22"/>
          <w:szCs w:val="22"/>
        </w:rPr>
      </w:pPr>
      <w:r>
        <w:rPr>
          <w:rFonts w:ascii="Calibri" w:hAnsi="Calibri" w:cs="Calibri"/>
          <w:sz w:val="22"/>
          <w:szCs w:val="22"/>
        </w:rPr>
        <w:t>Highlights</w:t>
      </w:r>
      <w:r>
        <w:rPr>
          <w:rFonts w:ascii="Calibri" w:hAnsi="Calibri" w:cs="Calibri"/>
          <w:spacing w:val="-9"/>
          <w:sz w:val="22"/>
          <w:szCs w:val="22"/>
        </w:rPr>
        <w:t xml:space="preserve"> </w:t>
      </w:r>
      <w:r>
        <w:rPr>
          <w:rFonts w:ascii="Calibri" w:hAnsi="Calibri" w:cs="Calibri"/>
          <w:sz w:val="22"/>
          <w:szCs w:val="22"/>
        </w:rPr>
        <w:t>national</w:t>
      </w:r>
      <w:r>
        <w:rPr>
          <w:rFonts w:ascii="Calibri" w:hAnsi="Calibri" w:cs="Calibri"/>
          <w:spacing w:val="-9"/>
          <w:sz w:val="22"/>
          <w:szCs w:val="22"/>
        </w:rPr>
        <w:t xml:space="preserve"> </w:t>
      </w:r>
      <w:r>
        <w:rPr>
          <w:rFonts w:ascii="Calibri" w:hAnsi="Calibri" w:cs="Calibri"/>
          <w:sz w:val="22"/>
          <w:szCs w:val="22"/>
        </w:rPr>
        <w:t>best</w:t>
      </w:r>
      <w:r>
        <w:rPr>
          <w:rFonts w:ascii="Calibri" w:hAnsi="Calibri" w:cs="Calibri"/>
          <w:spacing w:val="-11"/>
          <w:sz w:val="22"/>
          <w:szCs w:val="22"/>
        </w:rPr>
        <w:t xml:space="preserve"> </w:t>
      </w:r>
      <w:r>
        <w:rPr>
          <w:rFonts w:ascii="Calibri" w:hAnsi="Calibri" w:cs="Calibri"/>
          <w:sz w:val="22"/>
          <w:szCs w:val="22"/>
        </w:rPr>
        <w:t>practices</w:t>
      </w:r>
      <w:r>
        <w:rPr>
          <w:rFonts w:ascii="Calibri" w:hAnsi="Calibri" w:cs="Calibri"/>
          <w:spacing w:val="-11"/>
          <w:sz w:val="22"/>
          <w:szCs w:val="22"/>
        </w:rPr>
        <w:t xml:space="preserve"> </w:t>
      </w:r>
      <w:r>
        <w:rPr>
          <w:rFonts w:ascii="Calibri" w:hAnsi="Calibri" w:cs="Calibri"/>
          <w:sz w:val="22"/>
          <w:szCs w:val="22"/>
        </w:rPr>
        <w:t>for</w:t>
      </w:r>
      <w:r>
        <w:rPr>
          <w:rFonts w:ascii="Calibri" w:hAnsi="Calibri" w:cs="Calibri"/>
          <w:spacing w:val="-13"/>
          <w:sz w:val="22"/>
          <w:szCs w:val="22"/>
        </w:rPr>
        <w:t xml:space="preserve"> </w:t>
      </w:r>
      <w:r>
        <w:rPr>
          <w:rFonts w:ascii="Calibri" w:hAnsi="Calibri" w:cs="Calibri"/>
          <w:sz w:val="22"/>
          <w:szCs w:val="22"/>
        </w:rPr>
        <w:t>program</w:t>
      </w:r>
      <w:r>
        <w:rPr>
          <w:rFonts w:ascii="Calibri" w:hAnsi="Calibri" w:cs="Calibri"/>
          <w:spacing w:val="-9"/>
          <w:sz w:val="22"/>
          <w:szCs w:val="22"/>
        </w:rPr>
        <w:t xml:space="preserve"> </w:t>
      </w:r>
      <w:r>
        <w:rPr>
          <w:rFonts w:ascii="Calibri" w:hAnsi="Calibri" w:cs="Calibri"/>
          <w:sz w:val="22"/>
          <w:szCs w:val="22"/>
        </w:rPr>
        <w:t>integrity</w:t>
      </w:r>
      <w:r>
        <w:rPr>
          <w:rFonts w:ascii="Calibri" w:hAnsi="Calibri" w:cs="Calibri"/>
          <w:spacing w:val="-10"/>
          <w:sz w:val="22"/>
          <w:szCs w:val="22"/>
        </w:rPr>
        <w:t xml:space="preserve"> </w:t>
      </w:r>
      <w:r>
        <w:rPr>
          <w:rFonts w:ascii="Calibri" w:hAnsi="Calibri" w:cs="Calibri"/>
          <w:sz w:val="22"/>
          <w:szCs w:val="22"/>
        </w:rPr>
        <w:t>in</w:t>
      </w:r>
      <w:r>
        <w:rPr>
          <w:rFonts w:ascii="Calibri" w:hAnsi="Calibri" w:cs="Calibri"/>
          <w:spacing w:val="-10"/>
          <w:sz w:val="22"/>
          <w:szCs w:val="22"/>
        </w:rPr>
        <w:t xml:space="preserve"> </w:t>
      </w:r>
      <w:r>
        <w:rPr>
          <w:rFonts w:ascii="Calibri" w:hAnsi="Calibri" w:cs="Calibri"/>
          <w:sz w:val="22"/>
          <w:szCs w:val="22"/>
        </w:rPr>
        <w:t>a</w:t>
      </w:r>
      <w:r>
        <w:rPr>
          <w:rFonts w:ascii="Calibri" w:hAnsi="Calibri" w:cs="Calibri"/>
          <w:spacing w:val="-11"/>
          <w:sz w:val="22"/>
          <w:szCs w:val="22"/>
        </w:rPr>
        <w:t xml:space="preserve"> </w:t>
      </w:r>
      <w:r>
        <w:rPr>
          <w:rFonts w:ascii="Calibri" w:hAnsi="Calibri" w:cs="Calibri"/>
          <w:sz w:val="22"/>
          <w:szCs w:val="22"/>
        </w:rPr>
        <w:t>managed</w:t>
      </w:r>
      <w:r>
        <w:rPr>
          <w:rFonts w:ascii="Calibri" w:hAnsi="Calibri" w:cs="Calibri"/>
          <w:spacing w:val="-12"/>
          <w:sz w:val="22"/>
          <w:szCs w:val="22"/>
        </w:rPr>
        <w:t xml:space="preserve"> </w:t>
      </w:r>
      <w:r>
        <w:rPr>
          <w:rFonts w:ascii="Calibri" w:hAnsi="Calibri" w:cs="Calibri"/>
          <w:sz w:val="22"/>
          <w:szCs w:val="22"/>
        </w:rPr>
        <w:t>Medicaid</w:t>
      </w:r>
      <w:r>
        <w:rPr>
          <w:rFonts w:ascii="Calibri" w:hAnsi="Calibri" w:cs="Calibri"/>
          <w:spacing w:val="-14"/>
          <w:sz w:val="22"/>
          <w:szCs w:val="22"/>
        </w:rPr>
        <w:t xml:space="preserve"> </w:t>
      </w:r>
      <w:r>
        <w:rPr>
          <w:rFonts w:ascii="Calibri" w:hAnsi="Calibri" w:cs="Calibri"/>
          <w:sz w:val="22"/>
          <w:szCs w:val="22"/>
        </w:rPr>
        <w:t>environment.</w:t>
      </w:r>
    </w:p>
    <w:p w:rsidR="002C5025" w:rsidRDefault="002C5025">
      <w:pPr>
        <w:pStyle w:val="ListParagraph"/>
        <w:numPr>
          <w:ilvl w:val="1"/>
          <w:numId w:val="45"/>
        </w:numPr>
        <w:tabs>
          <w:tab w:val="left" w:pos="861"/>
        </w:tabs>
        <w:kinsoku w:val="0"/>
        <w:overflowPunct w:val="0"/>
        <w:spacing w:before="14"/>
        <w:ind w:left="860"/>
        <w:rPr>
          <w:rFonts w:ascii="Calibri" w:hAnsi="Calibri" w:cs="Calibri"/>
          <w:sz w:val="22"/>
          <w:szCs w:val="22"/>
        </w:rPr>
      </w:pPr>
      <w:r>
        <w:rPr>
          <w:rFonts w:ascii="Calibri" w:hAnsi="Calibri" w:cs="Calibri"/>
          <w:sz w:val="22"/>
          <w:szCs w:val="22"/>
        </w:rPr>
        <w:t>Contemplates</w:t>
      </w:r>
      <w:r>
        <w:rPr>
          <w:rFonts w:ascii="Calibri" w:hAnsi="Calibri" w:cs="Calibri"/>
          <w:spacing w:val="-6"/>
          <w:sz w:val="22"/>
          <w:szCs w:val="22"/>
        </w:rPr>
        <w:t xml:space="preserve"> </w:t>
      </w:r>
      <w:r>
        <w:rPr>
          <w:rFonts w:ascii="Calibri" w:hAnsi="Calibri" w:cs="Calibri"/>
          <w:sz w:val="22"/>
          <w:szCs w:val="22"/>
        </w:rPr>
        <w:t>the</w:t>
      </w:r>
      <w:r>
        <w:rPr>
          <w:rFonts w:ascii="Calibri" w:hAnsi="Calibri" w:cs="Calibri"/>
          <w:spacing w:val="-6"/>
          <w:sz w:val="22"/>
          <w:szCs w:val="22"/>
        </w:rPr>
        <w:t xml:space="preserve"> </w:t>
      </w:r>
      <w:r>
        <w:rPr>
          <w:rFonts w:ascii="Calibri" w:hAnsi="Calibri" w:cs="Calibri"/>
          <w:sz w:val="22"/>
          <w:szCs w:val="22"/>
        </w:rPr>
        <w:t>role</w:t>
      </w:r>
      <w:r>
        <w:rPr>
          <w:rFonts w:ascii="Calibri" w:hAnsi="Calibri" w:cs="Calibri"/>
          <w:spacing w:val="-7"/>
          <w:sz w:val="22"/>
          <w:szCs w:val="22"/>
        </w:rPr>
        <w:t xml:space="preserve"> </w:t>
      </w:r>
      <w:r>
        <w:rPr>
          <w:rFonts w:ascii="Calibri" w:hAnsi="Calibri" w:cs="Calibri"/>
          <w:sz w:val="22"/>
          <w:szCs w:val="22"/>
        </w:rPr>
        <w:t>of</w:t>
      </w:r>
      <w:r>
        <w:rPr>
          <w:rFonts w:ascii="Calibri" w:hAnsi="Calibri" w:cs="Calibri"/>
          <w:spacing w:val="-8"/>
          <w:sz w:val="22"/>
          <w:szCs w:val="22"/>
        </w:rPr>
        <w:t xml:space="preserve"> </w:t>
      </w:r>
      <w:r>
        <w:rPr>
          <w:rFonts w:ascii="Calibri" w:hAnsi="Calibri" w:cs="Calibri"/>
          <w:sz w:val="22"/>
          <w:szCs w:val="22"/>
        </w:rPr>
        <w:t>Models</w:t>
      </w:r>
      <w:r>
        <w:rPr>
          <w:rFonts w:ascii="Calibri" w:hAnsi="Calibri" w:cs="Calibri"/>
          <w:spacing w:val="-4"/>
          <w:sz w:val="22"/>
          <w:szCs w:val="22"/>
        </w:rPr>
        <w:t xml:space="preserve"> </w:t>
      </w:r>
      <w:r>
        <w:rPr>
          <w:rFonts w:ascii="Calibri" w:hAnsi="Calibri" w:cs="Calibri"/>
          <w:sz w:val="22"/>
          <w:szCs w:val="22"/>
        </w:rPr>
        <w:t>A</w:t>
      </w:r>
      <w:r>
        <w:rPr>
          <w:rFonts w:ascii="Calibri" w:hAnsi="Calibri" w:cs="Calibri"/>
          <w:spacing w:val="-7"/>
          <w:sz w:val="22"/>
          <w:szCs w:val="22"/>
        </w:rPr>
        <w:t xml:space="preserve"> </w:t>
      </w:r>
      <w:r>
        <w:rPr>
          <w:rFonts w:ascii="Calibri" w:hAnsi="Calibri" w:cs="Calibri"/>
          <w:sz w:val="22"/>
          <w:szCs w:val="22"/>
        </w:rPr>
        <w:t>and</w:t>
      </w:r>
      <w:r>
        <w:rPr>
          <w:rFonts w:ascii="Calibri" w:hAnsi="Calibri" w:cs="Calibri"/>
          <w:spacing w:val="-7"/>
          <w:sz w:val="22"/>
          <w:szCs w:val="22"/>
        </w:rPr>
        <w:t xml:space="preserve"> </w:t>
      </w:r>
      <w:r>
        <w:rPr>
          <w:rFonts w:ascii="Calibri" w:hAnsi="Calibri" w:cs="Calibri"/>
          <w:sz w:val="22"/>
          <w:szCs w:val="22"/>
        </w:rPr>
        <w:t>C</w:t>
      </w:r>
      <w:r>
        <w:rPr>
          <w:rFonts w:ascii="Calibri" w:hAnsi="Calibri" w:cs="Calibri"/>
          <w:spacing w:val="-6"/>
          <w:sz w:val="22"/>
          <w:szCs w:val="22"/>
        </w:rPr>
        <w:t xml:space="preserve"> </w:t>
      </w:r>
      <w:r>
        <w:rPr>
          <w:rFonts w:ascii="Calibri" w:hAnsi="Calibri" w:cs="Calibri"/>
          <w:sz w:val="22"/>
          <w:szCs w:val="22"/>
        </w:rPr>
        <w:t>ACOs.</w:t>
      </w:r>
    </w:p>
    <w:p w:rsidR="002C5025" w:rsidRDefault="002C5025">
      <w:pPr>
        <w:pStyle w:val="ListParagraph"/>
        <w:numPr>
          <w:ilvl w:val="1"/>
          <w:numId w:val="45"/>
        </w:numPr>
        <w:tabs>
          <w:tab w:val="left" w:pos="861"/>
        </w:tabs>
        <w:kinsoku w:val="0"/>
        <w:overflowPunct w:val="0"/>
        <w:spacing w:before="24" w:line="259" w:lineRule="auto"/>
        <w:ind w:left="860" w:right="554"/>
        <w:rPr>
          <w:rFonts w:ascii="Calibri" w:hAnsi="Calibri" w:cs="Calibri"/>
          <w:sz w:val="22"/>
          <w:szCs w:val="22"/>
        </w:rPr>
      </w:pPr>
      <w:r>
        <w:rPr>
          <w:rFonts w:ascii="Calibri" w:hAnsi="Calibri" w:cs="Calibri"/>
          <w:sz w:val="22"/>
          <w:szCs w:val="22"/>
        </w:rPr>
        <w:t>Leverages</w:t>
      </w:r>
      <w:r>
        <w:rPr>
          <w:rFonts w:ascii="Calibri" w:hAnsi="Calibri" w:cs="Calibri"/>
          <w:spacing w:val="-9"/>
          <w:sz w:val="22"/>
          <w:szCs w:val="22"/>
        </w:rPr>
        <w:t xml:space="preserve"> </w:t>
      </w:r>
      <w:r>
        <w:rPr>
          <w:rFonts w:ascii="Calibri" w:hAnsi="Calibri" w:cs="Calibri"/>
          <w:sz w:val="22"/>
          <w:szCs w:val="22"/>
        </w:rPr>
        <w:t>the</w:t>
      </w:r>
      <w:r>
        <w:rPr>
          <w:rFonts w:ascii="Calibri" w:hAnsi="Calibri" w:cs="Calibri"/>
          <w:spacing w:val="-7"/>
          <w:sz w:val="22"/>
          <w:szCs w:val="22"/>
        </w:rPr>
        <w:t xml:space="preserve"> </w:t>
      </w:r>
      <w:r>
        <w:rPr>
          <w:rFonts w:ascii="Calibri" w:hAnsi="Calibri" w:cs="Calibri"/>
          <w:spacing w:val="-3"/>
          <w:sz w:val="22"/>
          <w:szCs w:val="22"/>
        </w:rPr>
        <w:t>above</w:t>
      </w:r>
      <w:r>
        <w:rPr>
          <w:rFonts w:ascii="Calibri" w:hAnsi="Calibri" w:cs="Calibri"/>
          <w:spacing w:val="-11"/>
          <w:sz w:val="22"/>
          <w:szCs w:val="22"/>
        </w:rPr>
        <w:t xml:space="preserve"> </w:t>
      </w:r>
      <w:r>
        <w:rPr>
          <w:rFonts w:ascii="Calibri" w:hAnsi="Calibri" w:cs="Calibri"/>
          <w:sz w:val="22"/>
          <w:szCs w:val="22"/>
        </w:rPr>
        <w:t>to</w:t>
      </w:r>
      <w:r>
        <w:rPr>
          <w:rFonts w:ascii="Calibri" w:hAnsi="Calibri" w:cs="Calibri"/>
          <w:spacing w:val="-7"/>
          <w:sz w:val="22"/>
          <w:szCs w:val="22"/>
        </w:rPr>
        <w:t xml:space="preserve"> </w:t>
      </w:r>
      <w:r>
        <w:rPr>
          <w:rFonts w:ascii="Calibri" w:hAnsi="Calibri" w:cs="Calibri"/>
          <w:sz w:val="22"/>
          <w:szCs w:val="22"/>
        </w:rPr>
        <w:t>build</w:t>
      </w:r>
      <w:r>
        <w:rPr>
          <w:rFonts w:ascii="Calibri" w:hAnsi="Calibri" w:cs="Calibri"/>
          <w:spacing w:val="-8"/>
          <w:sz w:val="22"/>
          <w:szCs w:val="22"/>
        </w:rPr>
        <w:t xml:space="preserve"> </w:t>
      </w:r>
      <w:r>
        <w:rPr>
          <w:rFonts w:ascii="Calibri" w:hAnsi="Calibri" w:cs="Calibri"/>
          <w:sz w:val="22"/>
          <w:szCs w:val="22"/>
        </w:rPr>
        <w:t>several</w:t>
      </w:r>
      <w:r>
        <w:rPr>
          <w:rFonts w:ascii="Calibri" w:hAnsi="Calibri" w:cs="Calibri"/>
          <w:spacing w:val="-10"/>
          <w:sz w:val="22"/>
          <w:szCs w:val="22"/>
        </w:rPr>
        <w:t xml:space="preserve"> </w:t>
      </w:r>
      <w:r>
        <w:rPr>
          <w:rFonts w:ascii="Calibri" w:hAnsi="Calibri" w:cs="Calibri"/>
          <w:sz w:val="22"/>
          <w:szCs w:val="22"/>
        </w:rPr>
        <w:t>program</w:t>
      </w:r>
      <w:r>
        <w:rPr>
          <w:rFonts w:ascii="Calibri" w:hAnsi="Calibri" w:cs="Calibri"/>
          <w:spacing w:val="-8"/>
          <w:sz w:val="22"/>
          <w:szCs w:val="22"/>
        </w:rPr>
        <w:t xml:space="preserve"> </w:t>
      </w:r>
      <w:r>
        <w:rPr>
          <w:rFonts w:ascii="Calibri" w:hAnsi="Calibri" w:cs="Calibri"/>
          <w:sz w:val="22"/>
          <w:szCs w:val="22"/>
        </w:rPr>
        <w:t>integrity</w:t>
      </w:r>
      <w:r>
        <w:rPr>
          <w:rFonts w:ascii="Calibri" w:hAnsi="Calibri" w:cs="Calibri"/>
          <w:spacing w:val="-10"/>
          <w:sz w:val="22"/>
          <w:szCs w:val="22"/>
        </w:rPr>
        <w:t xml:space="preserve"> </w:t>
      </w:r>
      <w:r>
        <w:rPr>
          <w:rFonts w:ascii="Calibri" w:hAnsi="Calibri" w:cs="Calibri"/>
          <w:sz w:val="22"/>
          <w:szCs w:val="22"/>
        </w:rPr>
        <w:t>models,</w:t>
      </w:r>
      <w:r>
        <w:rPr>
          <w:rFonts w:ascii="Calibri" w:hAnsi="Calibri" w:cs="Calibri"/>
          <w:spacing w:val="-7"/>
          <w:sz w:val="22"/>
          <w:szCs w:val="22"/>
        </w:rPr>
        <w:t xml:space="preserve"> </w:t>
      </w:r>
      <w:r>
        <w:rPr>
          <w:rFonts w:ascii="Calibri" w:hAnsi="Calibri" w:cs="Calibri"/>
          <w:sz w:val="22"/>
          <w:szCs w:val="22"/>
        </w:rPr>
        <w:t>including</w:t>
      </w:r>
      <w:r>
        <w:rPr>
          <w:rFonts w:ascii="Calibri" w:hAnsi="Calibri" w:cs="Calibri"/>
          <w:spacing w:val="-12"/>
          <w:sz w:val="22"/>
          <w:szCs w:val="22"/>
        </w:rPr>
        <w:t xml:space="preserve"> </w:t>
      </w:r>
      <w:r>
        <w:rPr>
          <w:rFonts w:ascii="Calibri" w:hAnsi="Calibri" w:cs="Calibri"/>
          <w:sz w:val="22"/>
          <w:szCs w:val="22"/>
        </w:rPr>
        <w:t>the</w:t>
      </w:r>
      <w:r>
        <w:rPr>
          <w:rFonts w:ascii="Calibri" w:hAnsi="Calibri" w:cs="Calibri"/>
          <w:spacing w:val="-7"/>
          <w:sz w:val="22"/>
          <w:szCs w:val="22"/>
        </w:rPr>
        <w:t xml:space="preserve"> </w:t>
      </w:r>
      <w:r>
        <w:rPr>
          <w:rFonts w:ascii="Calibri" w:hAnsi="Calibri" w:cs="Calibri"/>
          <w:sz w:val="22"/>
          <w:szCs w:val="22"/>
        </w:rPr>
        <w:t>advantages</w:t>
      </w:r>
      <w:r>
        <w:rPr>
          <w:rFonts w:ascii="Calibri" w:hAnsi="Calibri" w:cs="Calibri"/>
          <w:spacing w:val="-7"/>
          <w:sz w:val="22"/>
          <w:szCs w:val="22"/>
        </w:rPr>
        <w:t xml:space="preserve"> </w:t>
      </w:r>
      <w:r>
        <w:rPr>
          <w:rFonts w:ascii="Calibri" w:hAnsi="Calibri" w:cs="Calibri"/>
          <w:sz w:val="22"/>
          <w:szCs w:val="22"/>
        </w:rPr>
        <w:t>and disadvantages for</w:t>
      </w:r>
      <w:r>
        <w:rPr>
          <w:rFonts w:ascii="Calibri" w:hAnsi="Calibri" w:cs="Calibri"/>
          <w:spacing w:val="-26"/>
          <w:sz w:val="22"/>
          <w:szCs w:val="22"/>
        </w:rPr>
        <w:t xml:space="preserve"> </w:t>
      </w:r>
      <w:r>
        <w:rPr>
          <w:rFonts w:ascii="Calibri" w:hAnsi="Calibri" w:cs="Calibri"/>
          <w:sz w:val="22"/>
          <w:szCs w:val="22"/>
        </w:rPr>
        <w:t>each.</w:t>
      </w:r>
    </w:p>
    <w:p w:rsidR="002C5025" w:rsidRDefault="002C5025">
      <w:pPr>
        <w:pStyle w:val="BodyText"/>
        <w:kinsoku w:val="0"/>
        <w:overflowPunct w:val="0"/>
      </w:pPr>
    </w:p>
    <w:p w:rsidR="002C5025" w:rsidRDefault="002C5025">
      <w:pPr>
        <w:pStyle w:val="BodyText"/>
        <w:kinsoku w:val="0"/>
        <w:overflowPunct w:val="0"/>
        <w:spacing w:before="178" w:line="259" w:lineRule="auto"/>
        <w:ind w:left="138" w:right="217"/>
      </w:pPr>
      <w:r>
        <w:t xml:space="preserve">HMS applauds Massachusetts for their efforts on the current program and on this waiver. We hope </w:t>
      </w:r>
      <w:r>
        <w:rPr>
          <w:spacing w:val="-3"/>
        </w:rPr>
        <w:t xml:space="preserve">that </w:t>
      </w:r>
      <w:r>
        <w:t xml:space="preserve">our recommendations assist in developing a more meaningful and cost effective program. </w:t>
      </w:r>
      <w:r>
        <w:rPr>
          <w:spacing w:val="-2"/>
        </w:rPr>
        <w:t xml:space="preserve">HMS </w:t>
      </w:r>
      <w:r>
        <w:t xml:space="preserve">appreciates the opportunity to </w:t>
      </w:r>
      <w:r>
        <w:rPr>
          <w:spacing w:val="-3"/>
        </w:rPr>
        <w:t xml:space="preserve">comment </w:t>
      </w:r>
      <w:r>
        <w:t xml:space="preserve">on </w:t>
      </w:r>
      <w:r>
        <w:rPr>
          <w:spacing w:val="-2"/>
        </w:rPr>
        <w:t xml:space="preserve">the </w:t>
      </w:r>
      <w:r>
        <w:t xml:space="preserve">draft Section 1115 Demonstration Project </w:t>
      </w:r>
      <w:r>
        <w:rPr>
          <w:spacing w:val="-3"/>
        </w:rPr>
        <w:t xml:space="preserve">Amendment </w:t>
      </w:r>
      <w:r>
        <w:t xml:space="preserve">and Extension Request. Should you have questions, please do </w:t>
      </w:r>
      <w:r>
        <w:rPr>
          <w:spacing w:val="-2"/>
        </w:rPr>
        <w:t xml:space="preserve">not </w:t>
      </w:r>
      <w:r>
        <w:t>hesitate to contact Kristen Ballantine, Vice President, Government Relations a</w:t>
      </w:r>
      <w:hyperlink r:id="rId375" w:history="1">
        <w:r>
          <w:t>t kballantine@hms.com.</w:t>
        </w:r>
      </w:hyperlink>
    </w:p>
    <w:p w:rsidR="002C5025" w:rsidRDefault="002C5025">
      <w:pPr>
        <w:pStyle w:val="BodyText"/>
        <w:kinsoku w:val="0"/>
        <w:overflowPunct w:val="0"/>
      </w:pPr>
    </w:p>
    <w:p w:rsidR="002C5025" w:rsidRDefault="002C5025">
      <w:pPr>
        <w:pStyle w:val="BodyText"/>
        <w:kinsoku w:val="0"/>
        <w:overflowPunct w:val="0"/>
        <w:spacing w:before="157" w:line="450" w:lineRule="atLeast"/>
        <w:ind w:left="138" w:right="6770"/>
      </w:pPr>
      <w:r>
        <w:t>Respectfully Submitted, Kristen Ballantine</w:t>
      </w:r>
    </w:p>
    <w:p w:rsidR="002C5025" w:rsidRDefault="002C5025">
      <w:pPr>
        <w:pStyle w:val="BodyText"/>
        <w:kinsoku w:val="0"/>
        <w:overflowPunct w:val="0"/>
        <w:spacing w:before="24"/>
        <w:ind w:left="138" w:right="254"/>
      </w:pPr>
      <w:r>
        <w:t>Vice President, Government Relations</w:t>
      </w: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FB027C">
      <w:pPr>
        <w:pStyle w:val="BodyText"/>
        <w:kinsoku w:val="0"/>
        <w:overflowPunct w:val="0"/>
        <w:spacing w:before="11"/>
        <w:rPr>
          <w:sz w:val="12"/>
          <w:szCs w:val="12"/>
        </w:rPr>
      </w:pPr>
      <w:r>
        <w:rPr>
          <w:noProof/>
        </w:rPr>
        <mc:AlternateContent>
          <mc:Choice Requires="wps">
            <w:drawing>
              <wp:anchor distT="0" distB="0" distL="0" distR="0" simplePos="0" relativeHeight="251683328" behindDoc="0" locked="0" layoutInCell="0" allowOverlap="1">
                <wp:simplePos x="0" y="0"/>
                <wp:positionH relativeFrom="page">
                  <wp:posOffset>895985</wp:posOffset>
                </wp:positionH>
                <wp:positionV relativeFrom="paragraph">
                  <wp:posOffset>128905</wp:posOffset>
                </wp:positionV>
                <wp:extent cx="5981065" cy="12700"/>
                <wp:effectExtent l="0" t="0" r="0" b="0"/>
                <wp:wrapTopAndBottom/>
                <wp:docPr id="536" name="Freeform 4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12700"/>
                        </a:xfrm>
                        <a:custGeom>
                          <a:avLst/>
                          <a:gdLst>
                            <a:gd name="T0" fmla="*/ 0 w 9419"/>
                            <a:gd name="T1" fmla="*/ 0 h 20"/>
                            <a:gd name="T2" fmla="*/ 9419 w 9419"/>
                            <a:gd name="T3" fmla="*/ 0 h 20"/>
                          </a:gdLst>
                          <a:ahLst/>
                          <a:cxnLst>
                            <a:cxn ang="0">
                              <a:pos x="T0" y="T1"/>
                            </a:cxn>
                            <a:cxn ang="0">
                              <a:pos x="T2" y="T3"/>
                            </a:cxn>
                          </a:cxnLst>
                          <a:rect l="0" t="0" r="r" b="b"/>
                          <a:pathLst>
                            <a:path w="9419" h="20">
                              <a:moveTo>
                                <a:pt x="0" y="0"/>
                              </a:moveTo>
                              <a:lnTo>
                                <a:pt x="9419" y="0"/>
                              </a:lnTo>
                            </a:path>
                          </a:pathLst>
                        </a:custGeom>
                        <a:noFill/>
                        <a:ln w="7365">
                          <a:solidFill>
                            <a:srgbClr val="DADAD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89" o:spid="_x0000_s1026" style="position:absolute;z-index:251683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0.55pt,10.15pt,541.5pt,10.15pt" coordsize="94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" o:allowincell="f" filled="f" strokecolor="#dadada" strokeweight=".20458mm">
                <v:path arrowok="t" o:connecttype="custom" o:connectlocs="0,0;5981065,0" o:connectangles="0,0"/>
                <w10:wrap type="topAndBottom" anchorx="page"/>
              </v:polyline>
            </w:pict>
          </mc:Fallback>
        </mc:AlternateContent>
      </w:r>
    </w:p>
    <w:p w:rsidR="002C5025" w:rsidRDefault="002C5025">
      <w:pPr>
        <w:pStyle w:val="ListParagraph"/>
        <w:numPr>
          <w:ilvl w:val="0"/>
          <w:numId w:val="45"/>
        </w:numPr>
        <w:tabs>
          <w:tab w:val="left" w:pos="304"/>
        </w:tabs>
        <w:kinsoku w:val="0"/>
        <w:overflowPunct w:val="0"/>
        <w:spacing w:before="1"/>
        <w:ind w:hanging="163"/>
        <w:rPr>
          <w:rFonts w:ascii="Calibri" w:hAnsi="Calibri" w:cs="Calibri"/>
          <w:color w:val="7F7F7F"/>
          <w:sz w:val="22"/>
          <w:szCs w:val="22"/>
        </w:rPr>
      </w:pPr>
      <w:r>
        <w:rPr>
          <w:rFonts w:ascii="Calibri" w:hAnsi="Calibri" w:cs="Calibri"/>
          <w:b/>
          <w:bCs/>
          <w:sz w:val="22"/>
          <w:szCs w:val="22"/>
        </w:rPr>
        <w:t xml:space="preserve">| </w:t>
      </w:r>
      <w:r>
        <w:rPr>
          <w:rFonts w:ascii="Calibri" w:hAnsi="Calibri" w:cs="Calibri"/>
          <w:color w:val="7F7F7F"/>
          <w:sz w:val="22"/>
          <w:szCs w:val="22"/>
        </w:rPr>
        <w:t>P a g</w:t>
      </w:r>
      <w:r>
        <w:rPr>
          <w:rFonts w:ascii="Calibri" w:hAnsi="Calibri" w:cs="Calibri"/>
          <w:color w:val="7F7F7F"/>
          <w:spacing w:val="24"/>
          <w:sz w:val="22"/>
          <w:szCs w:val="22"/>
        </w:rPr>
        <w:t xml:space="preserve"> </w:t>
      </w:r>
      <w:r>
        <w:rPr>
          <w:rFonts w:ascii="Calibri" w:hAnsi="Calibri" w:cs="Calibri"/>
          <w:color w:val="7F7F7F"/>
          <w:sz w:val="22"/>
          <w:szCs w:val="22"/>
        </w:rPr>
        <w:t>e</w:t>
      </w:r>
    </w:p>
    <w:p w:rsidR="002C5025" w:rsidRDefault="002C5025">
      <w:pPr>
        <w:pStyle w:val="ListParagraph"/>
        <w:numPr>
          <w:ilvl w:val="0"/>
          <w:numId w:val="45"/>
        </w:numPr>
        <w:tabs>
          <w:tab w:val="left" w:pos="304"/>
        </w:tabs>
        <w:kinsoku w:val="0"/>
        <w:overflowPunct w:val="0"/>
        <w:spacing w:before="1"/>
        <w:ind w:hanging="163"/>
        <w:rPr>
          <w:rFonts w:ascii="Calibri" w:hAnsi="Calibri" w:cs="Calibri"/>
          <w:color w:val="7F7F7F"/>
          <w:sz w:val="22"/>
          <w:szCs w:val="22"/>
        </w:rPr>
        <w:sectPr w:rsidR="002C5025">
          <w:pgSz w:w="12240" w:h="15840"/>
          <w:pgMar w:top="1400" w:right="1300" w:bottom="280" w:left="1300" w:header="720" w:footer="720" w:gutter="0"/>
          <w:cols w:space="720"/>
          <w:noEndnote/>
        </w:sectPr>
      </w:pPr>
    </w:p>
    <w:p w:rsidR="002C5025" w:rsidRDefault="00FB027C">
      <w:pPr>
        <w:pStyle w:val="BodyText"/>
        <w:kinsoku w:val="0"/>
        <w:overflowPunct w:val="0"/>
        <w:ind w:left="4147"/>
        <w:rPr>
          <w:sz w:val="20"/>
          <w:szCs w:val="20"/>
        </w:rPr>
      </w:pPr>
      <w:r>
        <w:rPr>
          <w:noProof/>
          <w:sz w:val="20"/>
          <w:szCs w:val="20"/>
        </w:rPr>
        <w:lastRenderedPageBreak/>
        <w:drawing>
          <wp:inline distT="0" distB="0" distL="0" distR="0">
            <wp:extent cx="1362075" cy="457200"/>
            <wp:effectExtent l="0" t="0" r="9525"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1362075" cy="457200"/>
                    </a:xfrm>
                    <a:prstGeom prst="rect">
                      <a:avLst/>
                    </a:prstGeom>
                    <a:noFill/>
                    <a:ln>
                      <a:noFill/>
                    </a:ln>
                  </pic:spPr>
                </pic:pic>
              </a:graphicData>
            </a:graphic>
          </wp:inline>
        </w:drawing>
      </w:r>
    </w:p>
    <w:p w:rsidR="002C5025" w:rsidRDefault="002C5025">
      <w:pPr>
        <w:pStyle w:val="BodyText"/>
        <w:kinsoku w:val="0"/>
        <w:overflowPunct w:val="0"/>
        <w:spacing w:line="272" w:lineRule="exact"/>
        <w:ind w:left="107" w:right="3635"/>
        <w:rPr>
          <w:rFonts w:ascii="Times New Roman" w:hAnsi="Times New Roman" w:cs="Times New Roman"/>
          <w:sz w:val="24"/>
          <w:szCs w:val="24"/>
        </w:rPr>
      </w:pPr>
      <w:bookmarkStart w:id="184" w:name="HCAC_1115_Waiver_Application_Comments"/>
      <w:bookmarkEnd w:id="184"/>
      <w:r>
        <w:rPr>
          <w:rFonts w:ascii="Times New Roman" w:hAnsi="Times New Roman" w:cs="Times New Roman"/>
          <w:sz w:val="24"/>
          <w:szCs w:val="24"/>
        </w:rPr>
        <w:t>July 15, 2016</w:t>
      </w:r>
    </w:p>
    <w:p w:rsidR="002C5025" w:rsidRDefault="002C5025">
      <w:pPr>
        <w:pStyle w:val="BodyText"/>
        <w:kinsoku w:val="0"/>
        <w:overflowPunct w:val="0"/>
        <w:spacing w:before="4"/>
        <w:rPr>
          <w:rFonts w:ascii="Times New Roman" w:hAnsi="Times New Roman" w:cs="Times New Roman"/>
          <w:sz w:val="23"/>
          <w:szCs w:val="23"/>
        </w:rPr>
      </w:pPr>
    </w:p>
    <w:p w:rsidR="002C5025" w:rsidRDefault="002C5025">
      <w:pPr>
        <w:pStyle w:val="BodyText"/>
        <w:kinsoku w:val="0"/>
        <w:overflowPunct w:val="0"/>
        <w:ind w:left="107" w:right="3635"/>
        <w:rPr>
          <w:rFonts w:ascii="Times New Roman" w:hAnsi="Times New Roman" w:cs="Times New Roman"/>
          <w:color w:val="1B1B1B"/>
          <w:sz w:val="24"/>
          <w:szCs w:val="24"/>
        </w:rPr>
      </w:pPr>
      <w:r>
        <w:rPr>
          <w:rFonts w:ascii="Times New Roman" w:hAnsi="Times New Roman" w:cs="Times New Roman"/>
          <w:color w:val="1B1B1B"/>
          <w:sz w:val="24"/>
          <w:szCs w:val="24"/>
        </w:rPr>
        <w:t>Executive Office of Health and Human Services, Office of Medicaid Attn: 1115 Demonstration Comments</w:t>
      </w:r>
    </w:p>
    <w:p w:rsidR="002C5025" w:rsidRDefault="002C5025">
      <w:pPr>
        <w:pStyle w:val="BodyText"/>
        <w:kinsoku w:val="0"/>
        <w:overflowPunct w:val="0"/>
        <w:ind w:left="107" w:right="6353"/>
        <w:rPr>
          <w:rFonts w:ascii="Times New Roman" w:hAnsi="Times New Roman" w:cs="Times New Roman"/>
          <w:color w:val="1B1B1B"/>
          <w:sz w:val="24"/>
          <w:szCs w:val="24"/>
        </w:rPr>
      </w:pPr>
      <w:r>
        <w:rPr>
          <w:rFonts w:ascii="Times New Roman" w:hAnsi="Times New Roman" w:cs="Times New Roman"/>
          <w:color w:val="1B1B1B"/>
          <w:sz w:val="24"/>
          <w:szCs w:val="24"/>
        </w:rPr>
        <w:t>One Ashburton Place, 11th Floor Boston, MA 02108</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spacing w:line="480" w:lineRule="auto"/>
        <w:ind w:left="107" w:right="4893"/>
        <w:rPr>
          <w:rFonts w:ascii="Times New Roman" w:hAnsi="Times New Roman" w:cs="Times New Roman"/>
          <w:color w:val="000000"/>
          <w:sz w:val="24"/>
          <w:szCs w:val="24"/>
        </w:rPr>
      </w:pPr>
      <w:r>
        <w:rPr>
          <w:rFonts w:ascii="Times New Roman" w:hAnsi="Times New Roman" w:cs="Times New Roman"/>
          <w:sz w:val="24"/>
          <w:szCs w:val="24"/>
          <w:u w:val="single" w:color="000000"/>
        </w:rPr>
        <w:t xml:space="preserve">RE: </w:t>
      </w:r>
      <w:r>
        <w:rPr>
          <w:rFonts w:ascii="Times New Roman" w:hAnsi="Times New Roman" w:cs="Times New Roman"/>
          <w:color w:val="1B1B1B"/>
          <w:sz w:val="24"/>
          <w:szCs w:val="24"/>
          <w:u w:val="single" w:color="000000"/>
        </w:rPr>
        <w:t xml:space="preserve">Comments on Demonstration Extension Request </w:t>
      </w:r>
      <w:r>
        <w:rPr>
          <w:rFonts w:ascii="Times New Roman" w:hAnsi="Times New Roman" w:cs="Times New Roman"/>
          <w:color w:val="000000"/>
          <w:sz w:val="24"/>
          <w:szCs w:val="24"/>
        </w:rPr>
        <w:t>To Whom It May Concern,</w:t>
      </w:r>
    </w:p>
    <w:p w:rsidR="002C5025" w:rsidRDefault="002C5025">
      <w:pPr>
        <w:pStyle w:val="BodyText"/>
        <w:kinsoku w:val="0"/>
        <w:overflowPunct w:val="0"/>
        <w:spacing w:before="10"/>
        <w:ind w:left="107" w:right="356"/>
        <w:rPr>
          <w:rFonts w:ascii="Times New Roman" w:hAnsi="Times New Roman" w:cs="Times New Roman"/>
          <w:color w:val="000000"/>
          <w:sz w:val="24"/>
          <w:szCs w:val="24"/>
        </w:rPr>
      </w:pPr>
      <w:r>
        <w:rPr>
          <w:rFonts w:ascii="Times New Roman" w:hAnsi="Times New Roman" w:cs="Times New Roman"/>
          <w:sz w:val="24"/>
          <w:szCs w:val="24"/>
        </w:rPr>
        <w:t xml:space="preserve">I am writing to submit the following written comments regarding </w:t>
      </w:r>
      <w:r>
        <w:rPr>
          <w:rFonts w:ascii="Times New Roman" w:hAnsi="Times New Roman" w:cs="Times New Roman"/>
          <w:color w:val="1B1B1B"/>
          <w:sz w:val="24"/>
          <w:szCs w:val="24"/>
        </w:rPr>
        <w:t xml:space="preserve">the MassHealth Section 1115 Demonstration (“Request”) to the Centers for Medicare and Medicaid Services (CMS) </w:t>
      </w:r>
      <w:r>
        <w:rPr>
          <w:rFonts w:ascii="Times New Roman" w:hAnsi="Times New Roman" w:cs="Times New Roman"/>
          <w:color w:val="000000"/>
          <w:sz w:val="24"/>
          <w:szCs w:val="24"/>
        </w:rPr>
        <w:t>on behalf of the members of the Home Care Aide Council (Council).</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07" w:right="116"/>
        <w:rPr>
          <w:rFonts w:ascii="Times New Roman" w:hAnsi="Times New Roman" w:cs="Times New Roman"/>
          <w:sz w:val="24"/>
          <w:szCs w:val="24"/>
        </w:rPr>
      </w:pPr>
      <w:r>
        <w:rPr>
          <w:rFonts w:ascii="Times New Roman" w:hAnsi="Times New Roman" w:cs="Times New Roman"/>
          <w:sz w:val="24"/>
          <w:szCs w:val="24"/>
        </w:rPr>
        <w:t>For nearly fifty years, the Council has served as the voice for paraprofessional home care aide services in Massachusetts. Founded in 1967, we are a nonprofit trade association established to promote the growth of home care aide services, encourage the provision of quality care, and provide information about the service. Council membership includes over 150 non-profit and for-profit home care agencies that directly employ, supervise, and manage over 20,000 home care aides who provide personalized and supportive direct care services enabling elders and disabled individuals to reside in community-based settings.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07" w:right="62"/>
        <w:rPr>
          <w:rFonts w:ascii="Times New Roman" w:hAnsi="Times New Roman" w:cs="Times New Roman"/>
          <w:sz w:val="24"/>
          <w:szCs w:val="24"/>
        </w:rPr>
      </w:pPr>
      <w:r>
        <w:rPr>
          <w:rFonts w:ascii="Times New Roman" w:hAnsi="Times New Roman" w:cs="Times New Roman"/>
          <w:sz w:val="24"/>
          <w:szCs w:val="24"/>
        </w:rPr>
        <w:t>The Council applauds the inclusion of language supporting the enhancement of communication through the formation of interdisciplinary teams found throughout this proposal.  As our Council speaks with home care agencies throughout the Commonwealth, the challenge we hear most often related to providing care to clients with complex needs is the lack of coordination and communication between the medical community and long term care services and supports network. We also support all efforts to provide conflict-free, person-centered care coordination to all MassHealth members.</w:t>
      </w:r>
    </w:p>
    <w:p w:rsidR="002C5025" w:rsidRDefault="002C5025">
      <w:pPr>
        <w:pStyle w:val="BodyText"/>
        <w:kinsoku w:val="0"/>
        <w:overflowPunct w:val="0"/>
        <w:spacing w:before="2"/>
        <w:rPr>
          <w:rFonts w:ascii="Times New Roman" w:hAnsi="Times New Roman" w:cs="Times New Roman"/>
          <w:sz w:val="24"/>
          <w:szCs w:val="24"/>
        </w:rPr>
      </w:pPr>
    </w:p>
    <w:p w:rsidR="002C5025" w:rsidRDefault="002C5025">
      <w:pPr>
        <w:pStyle w:val="BodyText"/>
        <w:kinsoku w:val="0"/>
        <w:overflowPunct w:val="0"/>
        <w:spacing w:line="237" w:lineRule="auto"/>
        <w:ind w:left="107" w:right="115"/>
        <w:rPr>
          <w:rFonts w:ascii="Times New Roman" w:hAnsi="Times New Roman" w:cs="Times New Roman"/>
          <w:sz w:val="24"/>
          <w:szCs w:val="24"/>
        </w:rPr>
      </w:pPr>
      <w:r>
        <w:rPr>
          <w:rFonts w:ascii="Times New Roman" w:hAnsi="Times New Roman" w:cs="Times New Roman"/>
          <w:sz w:val="24"/>
          <w:szCs w:val="24"/>
        </w:rPr>
        <w:t>The Council also thanks the Office for including language within the Delivery Systems Reform Incentive Program (DSRIP) Investments to address scaling up statewide infrastructure necessary for reform, including targeted health care workforce development. Section 5.5.1 on pages 47 and 48 entitled “Healthcare Workforce Development and Training” begins to further define this investment stream. The current language in this section notes workforce shortages in primary care, behavioral health, and social work providers.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08" w:right="108"/>
        <w:rPr>
          <w:rFonts w:ascii="Times New Roman" w:hAnsi="Times New Roman" w:cs="Times New Roman"/>
          <w:sz w:val="24"/>
          <w:szCs w:val="24"/>
        </w:rPr>
      </w:pPr>
      <w:r>
        <w:rPr>
          <w:rFonts w:ascii="Times New Roman" w:hAnsi="Times New Roman" w:cs="Times New Roman"/>
          <w:sz w:val="24"/>
          <w:szCs w:val="24"/>
        </w:rPr>
        <w:t>We respectfully request that the Office consider adding language to this section noting the current and growing shortage of home care aides (including homemakers, personal care homemakers, and home health aides). If this waiver application is successful, we urge the Administration to consider appropriating a portion of these infrastructure investments to enhance and support this workforce through new wage and benefit initiatives and the continuation of evidence-based training models such as the Massachusetts Personal and Home Care Aide Training (PHCAST) Initiative.</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08" w:right="135"/>
        <w:rPr>
          <w:rFonts w:ascii="Times New Roman" w:hAnsi="Times New Roman" w:cs="Times New Roman"/>
          <w:sz w:val="24"/>
          <w:szCs w:val="24"/>
        </w:rPr>
      </w:pPr>
      <w:r>
        <w:rPr>
          <w:rFonts w:ascii="Times New Roman" w:hAnsi="Times New Roman" w:cs="Times New Roman"/>
          <w:sz w:val="24"/>
          <w:szCs w:val="24"/>
        </w:rPr>
        <w:t>Home care is widely acknowledged as a high-quality and cost-effective solution to caring for elders and disabled individuals. In the next decade, the number of people age 60 and older in Massachusetts will increase by more than a quarter of a million, to nearly 1.6 million people. It is estimated that at least two- thirds of these individuals will require assistance in meeting their long-term care support needs at some point in their lives.</w:t>
      </w:r>
    </w:p>
    <w:p w:rsidR="002C5025" w:rsidRDefault="002C5025">
      <w:pPr>
        <w:pStyle w:val="BodyText"/>
        <w:kinsoku w:val="0"/>
        <w:overflowPunct w:val="0"/>
        <w:ind w:left="108" w:right="135"/>
        <w:rPr>
          <w:rFonts w:ascii="Times New Roman" w:hAnsi="Times New Roman" w:cs="Times New Roman"/>
          <w:sz w:val="24"/>
          <w:szCs w:val="24"/>
        </w:rPr>
        <w:sectPr w:rsidR="002C5025">
          <w:pgSz w:w="12240" w:h="15840"/>
          <w:pgMar w:top="720" w:right="980" w:bottom="280" w:left="900" w:header="720" w:footer="720" w:gutter="0"/>
          <w:cols w:space="720" w:equalWidth="0">
            <w:col w:w="10360"/>
          </w:cols>
          <w:noEndnote/>
        </w:sectPr>
      </w:pPr>
    </w:p>
    <w:p w:rsidR="002C5025" w:rsidRDefault="002C5025">
      <w:pPr>
        <w:pStyle w:val="BodyText"/>
        <w:kinsoku w:val="0"/>
        <w:overflowPunct w:val="0"/>
        <w:spacing w:before="48"/>
        <w:ind w:left="107" w:right="150"/>
        <w:rPr>
          <w:rFonts w:ascii="Times New Roman" w:hAnsi="Times New Roman" w:cs="Times New Roman"/>
          <w:sz w:val="24"/>
          <w:szCs w:val="24"/>
        </w:rPr>
      </w:pPr>
      <w:r>
        <w:rPr>
          <w:rFonts w:ascii="Times New Roman" w:hAnsi="Times New Roman" w:cs="Times New Roman"/>
          <w:sz w:val="24"/>
          <w:szCs w:val="24"/>
        </w:rPr>
        <w:lastRenderedPageBreak/>
        <w:t>Massachusetts, like the rest of the nation, is already facing a shortage in the number of the home care aides needed to care for individuals in community-based settings. Addressing workforce challenges is important because home care aide employment in MA is expected to grow at a rate of 40% (2012 and 2020), due to the growth in the elder population and shift in policies supporting Home and Community Based Services (HCBS) (HCBS funding increased 61% between 2003-2008).</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07" w:right="150"/>
        <w:rPr>
          <w:rFonts w:ascii="Times New Roman" w:hAnsi="Times New Roman" w:cs="Times New Roman"/>
          <w:sz w:val="24"/>
          <w:szCs w:val="24"/>
        </w:rPr>
      </w:pPr>
      <w:r>
        <w:rPr>
          <w:rFonts w:ascii="Times New Roman" w:hAnsi="Times New Roman" w:cs="Times New Roman"/>
          <w:sz w:val="24"/>
          <w:szCs w:val="24"/>
        </w:rPr>
        <w:t>Home care aides are devoted to the clients they serve and are a key line of communication for clients, yet are regularly overlooked. Home care agencies face a workforce crisis fueled by low wages and benefits, the physical demands of the job, the isolated nature to the work, and the lack of adequate recognition for these essential workers. Most agencies lose 50-60% of their workforce within the first 6 months of employment.</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07" w:right="59"/>
        <w:rPr>
          <w:rFonts w:ascii="Times New Roman" w:hAnsi="Times New Roman" w:cs="Times New Roman"/>
          <w:sz w:val="24"/>
          <w:szCs w:val="24"/>
        </w:rPr>
      </w:pPr>
      <w:r>
        <w:rPr>
          <w:rFonts w:ascii="Times New Roman" w:hAnsi="Times New Roman" w:cs="Times New Roman"/>
          <w:sz w:val="24"/>
          <w:szCs w:val="24"/>
        </w:rPr>
        <w:t>As our health care system continues to shift to a model focused on coordinated, patient-centered care in the community, the home care network’s ability to recruit and retain a qualified and trained home care aide workforce will become even more important. With the advent of Accountable Care Organizations, Community-Based Care Transitions, and Patient-Centered Medical Homes, home care aides have and will continue to play an essential role as they assist with the monitoring of conditions and provide direct daily care to consumers. Home care aides will need both enhanced initial training to meet the more acute needs of today’s home care clients and continuing education to strengthen their skills, allowing them to both enhance care and to help reduce preventable hospitalizations.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07" w:right="101"/>
        <w:rPr>
          <w:rFonts w:ascii="Times New Roman" w:hAnsi="Times New Roman" w:cs="Times New Roman"/>
          <w:sz w:val="24"/>
          <w:szCs w:val="24"/>
        </w:rPr>
      </w:pPr>
      <w:r>
        <w:rPr>
          <w:rFonts w:ascii="Times New Roman" w:hAnsi="Times New Roman" w:cs="Times New Roman"/>
          <w:sz w:val="24"/>
          <w:szCs w:val="24"/>
        </w:rPr>
        <w:t xml:space="preserve">Adequately supporting these workers and preparing them to meet the needs of individuals in the community, particularly those who are most vulnerable due to their risk of nursing home placement, is beneficial to the home care aides, the clients they serve, as well as the agency that employs them. </w:t>
      </w:r>
      <w:r>
        <w:rPr>
          <w:rFonts w:ascii="Times New Roman" w:hAnsi="Times New Roman" w:cs="Times New Roman"/>
          <w:spacing w:val="3"/>
          <w:sz w:val="24"/>
          <w:szCs w:val="24"/>
        </w:rPr>
        <w:t xml:space="preserve">By </w:t>
      </w:r>
      <w:r>
        <w:rPr>
          <w:rFonts w:ascii="Times New Roman" w:hAnsi="Times New Roman" w:cs="Times New Roman"/>
          <w:sz w:val="24"/>
          <w:szCs w:val="24"/>
        </w:rPr>
        <w:t>giving</w:t>
      </w:r>
      <w:r>
        <w:rPr>
          <w:rFonts w:ascii="Times New Roman" w:hAnsi="Times New Roman" w:cs="Times New Roman"/>
          <w:spacing w:val="-7"/>
          <w:sz w:val="24"/>
          <w:szCs w:val="24"/>
        </w:rPr>
        <w:t xml:space="preserve"> </w:t>
      </w:r>
      <w:r>
        <w:rPr>
          <w:rFonts w:ascii="Times New Roman" w:hAnsi="Times New Roman" w:cs="Times New Roman"/>
          <w:sz w:val="24"/>
          <w:szCs w:val="24"/>
        </w:rPr>
        <w:t>the</w:t>
      </w:r>
      <w:r>
        <w:rPr>
          <w:rFonts w:ascii="Times New Roman" w:hAnsi="Times New Roman" w:cs="Times New Roman"/>
          <w:spacing w:val="-3"/>
          <w:sz w:val="24"/>
          <w:szCs w:val="24"/>
        </w:rPr>
        <w:t xml:space="preserve"> </w:t>
      </w:r>
      <w:r>
        <w:rPr>
          <w:rFonts w:ascii="Times New Roman" w:hAnsi="Times New Roman" w:cs="Times New Roman"/>
          <w:sz w:val="24"/>
          <w:szCs w:val="24"/>
        </w:rPr>
        <w:t>workers</w:t>
      </w:r>
      <w:r>
        <w:rPr>
          <w:rFonts w:ascii="Times New Roman" w:hAnsi="Times New Roman" w:cs="Times New Roman"/>
          <w:spacing w:val="-2"/>
          <w:sz w:val="24"/>
          <w:szCs w:val="24"/>
        </w:rPr>
        <w:t xml:space="preserve"> </w:t>
      </w:r>
      <w:r>
        <w:rPr>
          <w:rFonts w:ascii="Times New Roman" w:hAnsi="Times New Roman" w:cs="Times New Roman"/>
          <w:sz w:val="24"/>
          <w:szCs w:val="24"/>
        </w:rPr>
        <w:t>the</w:t>
      </w:r>
      <w:r>
        <w:rPr>
          <w:rFonts w:ascii="Times New Roman" w:hAnsi="Times New Roman" w:cs="Times New Roman"/>
          <w:spacing w:val="-3"/>
          <w:sz w:val="24"/>
          <w:szCs w:val="24"/>
        </w:rPr>
        <w:t xml:space="preserve"> </w:t>
      </w:r>
      <w:r>
        <w:rPr>
          <w:rFonts w:ascii="Times New Roman" w:hAnsi="Times New Roman" w:cs="Times New Roman"/>
          <w:sz w:val="24"/>
          <w:szCs w:val="24"/>
        </w:rPr>
        <w:t>skills</w:t>
      </w:r>
      <w:r>
        <w:rPr>
          <w:rFonts w:ascii="Times New Roman" w:hAnsi="Times New Roman" w:cs="Times New Roman"/>
          <w:spacing w:val="-2"/>
          <w:sz w:val="24"/>
          <w:szCs w:val="24"/>
        </w:rPr>
        <w:t xml:space="preserve"> </w:t>
      </w:r>
      <w:r>
        <w:rPr>
          <w:rFonts w:ascii="Times New Roman" w:hAnsi="Times New Roman" w:cs="Times New Roman"/>
          <w:sz w:val="24"/>
          <w:szCs w:val="24"/>
        </w:rPr>
        <w:t>they</w:t>
      </w:r>
      <w:r>
        <w:rPr>
          <w:rFonts w:ascii="Times New Roman" w:hAnsi="Times New Roman" w:cs="Times New Roman"/>
          <w:spacing w:val="-17"/>
          <w:sz w:val="24"/>
          <w:szCs w:val="24"/>
        </w:rPr>
        <w:t xml:space="preserve"> </w:t>
      </w:r>
      <w:r>
        <w:rPr>
          <w:rFonts w:ascii="Times New Roman" w:hAnsi="Times New Roman" w:cs="Times New Roman"/>
          <w:sz w:val="24"/>
          <w:szCs w:val="24"/>
        </w:rPr>
        <w:t>need</w:t>
      </w:r>
      <w:r>
        <w:rPr>
          <w:rFonts w:ascii="Times New Roman" w:hAnsi="Times New Roman" w:cs="Times New Roman"/>
          <w:spacing w:val="-2"/>
          <w:sz w:val="24"/>
          <w:szCs w:val="24"/>
        </w:rPr>
        <w:t xml:space="preserve"> </w:t>
      </w:r>
      <w:r>
        <w:rPr>
          <w:rFonts w:ascii="Times New Roman" w:hAnsi="Times New Roman" w:cs="Times New Roman"/>
          <w:sz w:val="24"/>
          <w:szCs w:val="24"/>
        </w:rPr>
        <w:t>to</w:t>
      </w:r>
      <w:r>
        <w:rPr>
          <w:rFonts w:ascii="Times New Roman" w:hAnsi="Times New Roman" w:cs="Times New Roman"/>
          <w:spacing w:val="-2"/>
          <w:sz w:val="24"/>
          <w:szCs w:val="24"/>
        </w:rPr>
        <w:t xml:space="preserve"> </w:t>
      </w:r>
      <w:r>
        <w:rPr>
          <w:rFonts w:ascii="Times New Roman" w:hAnsi="Times New Roman" w:cs="Times New Roman"/>
          <w:sz w:val="24"/>
          <w:szCs w:val="24"/>
        </w:rPr>
        <w:t>perform</w:t>
      </w:r>
      <w:r>
        <w:rPr>
          <w:rFonts w:ascii="Times New Roman" w:hAnsi="Times New Roman" w:cs="Times New Roman"/>
          <w:spacing w:val="-2"/>
          <w:sz w:val="24"/>
          <w:szCs w:val="24"/>
        </w:rPr>
        <w:t xml:space="preserve"> </w:t>
      </w:r>
      <w:r>
        <w:rPr>
          <w:rFonts w:ascii="Times New Roman" w:hAnsi="Times New Roman" w:cs="Times New Roman"/>
          <w:sz w:val="24"/>
          <w:szCs w:val="24"/>
        </w:rPr>
        <w:t>their</w:t>
      </w:r>
      <w:r>
        <w:rPr>
          <w:rFonts w:ascii="Times New Roman" w:hAnsi="Times New Roman" w:cs="Times New Roman"/>
          <w:spacing w:val="-3"/>
          <w:sz w:val="24"/>
          <w:szCs w:val="24"/>
        </w:rPr>
        <w:t xml:space="preserve"> </w:t>
      </w:r>
      <w:r>
        <w:rPr>
          <w:rFonts w:ascii="Times New Roman" w:hAnsi="Times New Roman" w:cs="Times New Roman"/>
          <w:sz w:val="24"/>
          <w:szCs w:val="24"/>
        </w:rPr>
        <w:t>job,</w:t>
      </w:r>
      <w:r>
        <w:rPr>
          <w:rFonts w:ascii="Times New Roman" w:hAnsi="Times New Roman" w:cs="Times New Roman"/>
          <w:spacing w:val="-2"/>
          <w:sz w:val="24"/>
          <w:szCs w:val="24"/>
        </w:rPr>
        <w:t xml:space="preserve"> </w:t>
      </w:r>
      <w:r>
        <w:rPr>
          <w:rFonts w:ascii="Times New Roman" w:hAnsi="Times New Roman" w:cs="Times New Roman"/>
          <w:sz w:val="24"/>
          <w:szCs w:val="24"/>
        </w:rPr>
        <w:t>the</w:t>
      </w:r>
      <w:r>
        <w:rPr>
          <w:rFonts w:ascii="Times New Roman" w:hAnsi="Times New Roman" w:cs="Times New Roman"/>
          <w:spacing w:val="-3"/>
          <w:sz w:val="24"/>
          <w:szCs w:val="24"/>
        </w:rPr>
        <w:t xml:space="preserve"> </w:t>
      </w:r>
      <w:r>
        <w:rPr>
          <w:rFonts w:ascii="Times New Roman" w:hAnsi="Times New Roman" w:cs="Times New Roman"/>
          <w:sz w:val="24"/>
          <w:szCs w:val="24"/>
        </w:rPr>
        <w:t>aides</w:t>
      </w:r>
      <w:r>
        <w:rPr>
          <w:rFonts w:ascii="Times New Roman" w:hAnsi="Times New Roman" w:cs="Times New Roman"/>
          <w:spacing w:val="-2"/>
          <w:sz w:val="24"/>
          <w:szCs w:val="24"/>
        </w:rPr>
        <w:t xml:space="preserve"> </w:t>
      </w:r>
      <w:r>
        <w:rPr>
          <w:rFonts w:ascii="Times New Roman" w:hAnsi="Times New Roman" w:cs="Times New Roman"/>
          <w:sz w:val="24"/>
          <w:szCs w:val="24"/>
        </w:rPr>
        <w:t>have</w:t>
      </w:r>
      <w:r>
        <w:rPr>
          <w:rFonts w:ascii="Times New Roman" w:hAnsi="Times New Roman" w:cs="Times New Roman"/>
          <w:spacing w:val="-3"/>
          <w:sz w:val="24"/>
          <w:szCs w:val="24"/>
        </w:rPr>
        <w:t xml:space="preserve"> </w:t>
      </w:r>
      <w:r>
        <w:rPr>
          <w:rFonts w:ascii="Times New Roman" w:hAnsi="Times New Roman" w:cs="Times New Roman"/>
          <w:sz w:val="24"/>
          <w:szCs w:val="24"/>
        </w:rPr>
        <w:t>more</w:t>
      </w:r>
      <w:r>
        <w:rPr>
          <w:rFonts w:ascii="Times New Roman" w:hAnsi="Times New Roman" w:cs="Times New Roman"/>
          <w:spacing w:val="-6"/>
          <w:sz w:val="24"/>
          <w:szCs w:val="24"/>
        </w:rPr>
        <w:t xml:space="preserve"> </w:t>
      </w:r>
      <w:r>
        <w:rPr>
          <w:rFonts w:ascii="Times New Roman" w:hAnsi="Times New Roman" w:cs="Times New Roman"/>
          <w:sz w:val="24"/>
          <w:szCs w:val="24"/>
        </w:rPr>
        <w:t>confidence</w:t>
      </w:r>
      <w:r>
        <w:rPr>
          <w:rFonts w:ascii="Times New Roman" w:hAnsi="Times New Roman" w:cs="Times New Roman"/>
          <w:spacing w:val="-3"/>
          <w:sz w:val="24"/>
          <w:szCs w:val="24"/>
        </w:rPr>
        <w:t xml:space="preserve"> </w:t>
      </w:r>
      <w:r>
        <w:rPr>
          <w:rFonts w:ascii="Times New Roman" w:hAnsi="Times New Roman" w:cs="Times New Roman"/>
          <w:sz w:val="24"/>
          <w:szCs w:val="24"/>
        </w:rPr>
        <w:t>in</w:t>
      </w:r>
      <w:r>
        <w:rPr>
          <w:rFonts w:ascii="Times New Roman" w:hAnsi="Times New Roman" w:cs="Times New Roman"/>
          <w:spacing w:val="-5"/>
          <w:sz w:val="24"/>
          <w:szCs w:val="24"/>
        </w:rPr>
        <w:t xml:space="preserve"> </w:t>
      </w:r>
      <w:r>
        <w:rPr>
          <w:rFonts w:ascii="Times New Roman" w:hAnsi="Times New Roman" w:cs="Times New Roman"/>
          <w:sz w:val="24"/>
          <w:szCs w:val="24"/>
        </w:rPr>
        <w:t>their</w:t>
      </w:r>
      <w:r>
        <w:rPr>
          <w:rFonts w:ascii="Times New Roman" w:hAnsi="Times New Roman" w:cs="Times New Roman"/>
          <w:spacing w:val="-6"/>
          <w:sz w:val="24"/>
          <w:szCs w:val="24"/>
        </w:rPr>
        <w:t xml:space="preserve"> </w:t>
      </w:r>
      <w:r>
        <w:rPr>
          <w:rFonts w:ascii="Times New Roman" w:hAnsi="Times New Roman" w:cs="Times New Roman"/>
          <w:sz w:val="24"/>
          <w:szCs w:val="24"/>
        </w:rPr>
        <w:t>ability to be successful while also being more prepared to confront the challenges they see out in the field. This in turn will improve client care and also result in lower turnover rates for agencies. These outcomes have been shown to be true in the literature, with greater training leading to better care outcomes for clients, higher</w:t>
      </w:r>
      <w:r>
        <w:rPr>
          <w:rFonts w:ascii="Times New Roman" w:hAnsi="Times New Roman" w:cs="Times New Roman"/>
          <w:spacing w:val="-5"/>
          <w:sz w:val="24"/>
          <w:szCs w:val="24"/>
        </w:rPr>
        <w:t xml:space="preserve"> </w:t>
      </w:r>
      <w:r>
        <w:rPr>
          <w:rFonts w:ascii="Times New Roman" w:hAnsi="Times New Roman" w:cs="Times New Roman"/>
          <w:sz w:val="24"/>
          <w:szCs w:val="24"/>
        </w:rPr>
        <w:t>job</w:t>
      </w:r>
      <w:r>
        <w:rPr>
          <w:rFonts w:ascii="Times New Roman" w:hAnsi="Times New Roman" w:cs="Times New Roman"/>
          <w:spacing w:val="-7"/>
          <w:sz w:val="24"/>
          <w:szCs w:val="24"/>
        </w:rPr>
        <w:t xml:space="preserve"> </w:t>
      </w:r>
      <w:r>
        <w:rPr>
          <w:rFonts w:ascii="Times New Roman" w:hAnsi="Times New Roman" w:cs="Times New Roman"/>
          <w:sz w:val="24"/>
          <w:szCs w:val="24"/>
        </w:rPr>
        <w:t>satisfaction</w:t>
      </w:r>
      <w:r>
        <w:rPr>
          <w:rFonts w:ascii="Times New Roman" w:hAnsi="Times New Roman" w:cs="Times New Roman"/>
          <w:spacing w:val="-4"/>
          <w:sz w:val="24"/>
          <w:szCs w:val="24"/>
        </w:rPr>
        <w:t xml:space="preserve"> </w:t>
      </w:r>
      <w:r>
        <w:rPr>
          <w:rFonts w:ascii="Times New Roman" w:hAnsi="Times New Roman" w:cs="Times New Roman"/>
          <w:sz w:val="24"/>
          <w:szCs w:val="24"/>
        </w:rPr>
        <w:t>for</w:t>
      </w:r>
      <w:r>
        <w:rPr>
          <w:rFonts w:ascii="Times New Roman" w:hAnsi="Times New Roman" w:cs="Times New Roman"/>
          <w:spacing w:val="-5"/>
          <w:sz w:val="24"/>
          <w:szCs w:val="24"/>
        </w:rPr>
        <w:t xml:space="preserve"> </w:t>
      </w:r>
      <w:r>
        <w:rPr>
          <w:rFonts w:ascii="Times New Roman" w:hAnsi="Times New Roman" w:cs="Times New Roman"/>
          <w:sz w:val="24"/>
          <w:szCs w:val="24"/>
        </w:rPr>
        <w:t>home</w:t>
      </w:r>
      <w:r>
        <w:rPr>
          <w:rFonts w:ascii="Times New Roman" w:hAnsi="Times New Roman" w:cs="Times New Roman"/>
          <w:spacing w:val="-8"/>
          <w:sz w:val="24"/>
          <w:szCs w:val="24"/>
        </w:rPr>
        <w:t xml:space="preserve"> </w:t>
      </w:r>
      <w:r>
        <w:rPr>
          <w:rFonts w:ascii="Times New Roman" w:hAnsi="Times New Roman" w:cs="Times New Roman"/>
          <w:sz w:val="24"/>
          <w:szCs w:val="24"/>
        </w:rPr>
        <w:t>care</w:t>
      </w:r>
      <w:r>
        <w:rPr>
          <w:rFonts w:ascii="Times New Roman" w:hAnsi="Times New Roman" w:cs="Times New Roman"/>
          <w:spacing w:val="-8"/>
          <w:sz w:val="24"/>
          <w:szCs w:val="24"/>
        </w:rPr>
        <w:t xml:space="preserve"> </w:t>
      </w:r>
      <w:r>
        <w:rPr>
          <w:rFonts w:ascii="Times New Roman" w:hAnsi="Times New Roman" w:cs="Times New Roman"/>
          <w:sz w:val="24"/>
          <w:szCs w:val="24"/>
        </w:rPr>
        <w:t>aides,</w:t>
      </w:r>
      <w:r>
        <w:rPr>
          <w:rFonts w:ascii="Times New Roman" w:hAnsi="Times New Roman" w:cs="Times New Roman"/>
          <w:spacing w:val="-4"/>
          <w:sz w:val="24"/>
          <w:szCs w:val="24"/>
        </w:rPr>
        <w:t xml:space="preserve"> </w:t>
      </w:r>
      <w:r>
        <w:rPr>
          <w:rFonts w:ascii="Times New Roman" w:hAnsi="Times New Roman" w:cs="Times New Roman"/>
          <w:sz w:val="24"/>
          <w:szCs w:val="24"/>
        </w:rPr>
        <w:t>and</w:t>
      </w:r>
      <w:r>
        <w:rPr>
          <w:rFonts w:ascii="Times New Roman" w:hAnsi="Times New Roman" w:cs="Times New Roman"/>
          <w:spacing w:val="-4"/>
          <w:sz w:val="24"/>
          <w:szCs w:val="24"/>
        </w:rPr>
        <w:t xml:space="preserve"> </w:t>
      </w:r>
      <w:r>
        <w:rPr>
          <w:rFonts w:ascii="Times New Roman" w:hAnsi="Times New Roman" w:cs="Times New Roman"/>
          <w:sz w:val="24"/>
          <w:szCs w:val="24"/>
        </w:rPr>
        <w:t>better</w:t>
      </w:r>
      <w:r>
        <w:rPr>
          <w:rFonts w:ascii="Times New Roman" w:hAnsi="Times New Roman" w:cs="Times New Roman"/>
          <w:spacing w:val="-5"/>
          <w:sz w:val="24"/>
          <w:szCs w:val="24"/>
        </w:rPr>
        <w:t xml:space="preserve"> </w:t>
      </w:r>
      <w:r>
        <w:rPr>
          <w:rFonts w:ascii="Times New Roman" w:hAnsi="Times New Roman" w:cs="Times New Roman"/>
          <w:sz w:val="24"/>
          <w:szCs w:val="24"/>
        </w:rPr>
        <w:t>retention</w:t>
      </w:r>
      <w:r>
        <w:rPr>
          <w:rFonts w:ascii="Times New Roman" w:hAnsi="Times New Roman" w:cs="Times New Roman"/>
          <w:spacing w:val="-4"/>
          <w:sz w:val="24"/>
          <w:szCs w:val="24"/>
        </w:rPr>
        <w:t xml:space="preserve"> </w:t>
      </w:r>
      <w:r>
        <w:rPr>
          <w:rFonts w:ascii="Times New Roman" w:hAnsi="Times New Roman" w:cs="Times New Roman"/>
          <w:sz w:val="24"/>
          <w:szCs w:val="24"/>
        </w:rPr>
        <w:t>of</w:t>
      </w:r>
      <w:r>
        <w:rPr>
          <w:rFonts w:ascii="Times New Roman" w:hAnsi="Times New Roman" w:cs="Times New Roman"/>
          <w:spacing w:val="-5"/>
          <w:sz w:val="24"/>
          <w:szCs w:val="24"/>
        </w:rPr>
        <w:t xml:space="preserve"> </w:t>
      </w:r>
      <w:r>
        <w:rPr>
          <w:rFonts w:ascii="Times New Roman" w:hAnsi="Times New Roman" w:cs="Times New Roman"/>
          <w:sz w:val="24"/>
          <w:szCs w:val="24"/>
        </w:rPr>
        <w:t>workers</w:t>
      </w:r>
      <w:r>
        <w:rPr>
          <w:rFonts w:ascii="Times New Roman" w:hAnsi="Times New Roman" w:cs="Times New Roman"/>
          <w:spacing w:val="-4"/>
          <w:sz w:val="24"/>
          <w:szCs w:val="24"/>
        </w:rPr>
        <w:t xml:space="preserve"> </w:t>
      </w:r>
      <w:r>
        <w:rPr>
          <w:rFonts w:ascii="Times New Roman" w:hAnsi="Times New Roman" w:cs="Times New Roman"/>
          <w:sz w:val="24"/>
          <w:szCs w:val="24"/>
        </w:rPr>
        <w:t>for</w:t>
      </w:r>
      <w:r>
        <w:rPr>
          <w:rFonts w:ascii="Times New Roman" w:hAnsi="Times New Roman" w:cs="Times New Roman"/>
          <w:spacing w:val="-8"/>
          <w:sz w:val="24"/>
          <w:szCs w:val="24"/>
        </w:rPr>
        <w:t xml:space="preserve"> </w:t>
      </w:r>
      <w:r>
        <w:rPr>
          <w:rFonts w:ascii="Times New Roman" w:hAnsi="Times New Roman" w:cs="Times New Roman"/>
          <w:sz w:val="24"/>
          <w:szCs w:val="24"/>
        </w:rPr>
        <w:t>the</w:t>
      </w:r>
      <w:r>
        <w:rPr>
          <w:rFonts w:ascii="Times New Roman" w:hAnsi="Times New Roman" w:cs="Times New Roman"/>
          <w:spacing w:val="-5"/>
          <w:sz w:val="24"/>
          <w:szCs w:val="24"/>
        </w:rPr>
        <w:t xml:space="preserve"> </w:t>
      </w:r>
      <w:r>
        <w:rPr>
          <w:rFonts w:ascii="Times New Roman" w:hAnsi="Times New Roman" w:cs="Times New Roman"/>
          <w:sz w:val="24"/>
          <w:szCs w:val="24"/>
        </w:rPr>
        <w:t>agency.</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07" w:right="287"/>
        <w:rPr>
          <w:rFonts w:ascii="Times New Roman" w:hAnsi="Times New Roman" w:cs="Times New Roman"/>
          <w:sz w:val="24"/>
          <w:szCs w:val="24"/>
        </w:rPr>
      </w:pPr>
      <w:r>
        <w:rPr>
          <w:rFonts w:ascii="Times New Roman" w:hAnsi="Times New Roman" w:cs="Times New Roman"/>
          <w:sz w:val="24"/>
          <w:szCs w:val="24"/>
        </w:rPr>
        <w:t>In conclusion, the Council would like to thank the Executive Office of Health and Human Services (EOHHS) for providing stakeholders with an opportunity to not only comment on this proposal but also participate in public forums and share their expertise on workgroups as the state planned for the restructuring of the MassHealth program. We stand ready to continue to work in collaboration with EOHHS and the Executive Office of Elder Affairs (EOEA) to address the workforce capacity issues the state will face as it works to redesign its care delivery system.</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07" w:right="261"/>
        <w:rPr>
          <w:rFonts w:ascii="Times New Roman" w:hAnsi="Times New Roman" w:cs="Times New Roman"/>
          <w:color w:val="000000"/>
          <w:sz w:val="24"/>
          <w:szCs w:val="24"/>
        </w:rPr>
      </w:pPr>
      <w:r>
        <w:rPr>
          <w:rFonts w:ascii="Times New Roman" w:hAnsi="Times New Roman" w:cs="Times New Roman"/>
          <w:sz w:val="24"/>
          <w:szCs w:val="24"/>
        </w:rPr>
        <w:t xml:space="preserve">If you have any questions regarding these comments, please feel free to contact me by telephone at 617- 744-6561 or by email at </w:t>
      </w:r>
      <w:hyperlink r:id="rId377" w:history="1">
        <w:r>
          <w:rPr>
            <w:rFonts w:ascii="Times New Roman" w:hAnsi="Times New Roman" w:cs="Times New Roman"/>
            <w:color w:val="0000FF"/>
            <w:sz w:val="24"/>
            <w:szCs w:val="24"/>
            <w:u w:val="single"/>
          </w:rPr>
          <w:t>lgurgone@hcacouncil.org</w:t>
        </w:r>
      </w:hyperlink>
      <w:r>
        <w:rPr>
          <w:rFonts w:ascii="Times New Roman" w:hAnsi="Times New Roman" w:cs="Times New Roman"/>
          <w:color w:val="000000"/>
          <w:sz w:val="24"/>
          <w:szCs w:val="24"/>
        </w:rPr>
        <w:t>.</w:t>
      </w:r>
    </w:p>
    <w:p w:rsidR="002C5025" w:rsidRDefault="002C5025">
      <w:pPr>
        <w:pStyle w:val="BodyText"/>
        <w:kinsoku w:val="0"/>
        <w:overflowPunct w:val="0"/>
        <w:spacing w:before="2"/>
        <w:rPr>
          <w:rFonts w:ascii="Times New Roman" w:hAnsi="Times New Roman" w:cs="Times New Roman"/>
          <w:sz w:val="18"/>
          <w:szCs w:val="18"/>
        </w:rPr>
      </w:pPr>
    </w:p>
    <w:p w:rsidR="002C5025" w:rsidRDefault="002C5025">
      <w:pPr>
        <w:pStyle w:val="BodyText"/>
        <w:kinsoku w:val="0"/>
        <w:overflowPunct w:val="0"/>
        <w:spacing w:before="69" w:after="8"/>
        <w:ind w:left="107" w:right="150"/>
        <w:rPr>
          <w:rFonts w:ascii="Times New Roman" w:hAnsi="Times New Roman" w:cs="Times New Roman"/>
          <w:sz w:val="24"/>
          <w:szCs w:val="24"/>
        </w:rPr>
      </w:pPr>
      <w:r>
        <w:rPr>
          <w:rFonts w:ascii="Times New Roman" w:hAnsi="Times New Roman" w:cs="Times New Roman"/>
          <w:sz w:val="24"/>
          <w:szCs w:val="24"/>
        </w:rPr>
        <w:t>Sincerely,</w:t>
      </w:r>
    </w:p>
    <w:p w:rsidR="002C5025" w:rsidRDefault="00FB027C">
      <w:pPr>
        <w:pStyle w:val="BodyText"/>
        <w:kinsoku w:val="0"/>
        <w:overflowPunct w:val="0"/>
        <w:ind w:left="111"/>
        <w:rPr>
          <w:rFonts w:ascii="Times New Roman" w:hAnsi="Times New Roman" w:cs="Times New Roman"/>
          <w:sz w:val="20"/>
          <w:szCs w:val="20"/>
        </w:rPr>
      </w:pPr>
      <w:r>
        <w:rPr>
          <w:rFonts w:ascii="Times New Roman" w:hAnsi="Times New Roman" w:cs="Times New Roman"/>
          <w:noProof/>
          <w:sz w:val="20"/>
          <w:szCs w:val="20"/>
        </w:rPr>
        <w:drawing>
          <wp:inline distT="0" distB="0" distL="0" distR="0">
            <wp:extent cx="1352550" cy="504825"/>
            <wp:effectExtent l="0" t="0" r="0" b="9525"/>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1352550" cy="504825"/>
                    </a:xfrm>
                    <a:prstGeom prst="rect">
                      <a:avLst/>
                    </a:prstGeom>
                    <a:noFill/>
                    <a:ln>
                      <a:noFill/>
                    </a:ln>
                  </pic:spPr>
                </pic:pic>
              </a:graphicData>
            </a:graphic>
          </wp:inline>
        </w:drawing>
      </w:r>
    </w:p>
    <w:p w:rsidR="002C5025" w:rsidRDefault="002C5025">
      <w:pPr>
        <w:pStyle w:val="BodyText"/>
        <w:kinsoku w:val="0"/>
        <w:overflowPunct w:val="0"/>
        <w:spacing w:before="1" w:line="274" w:lineRule="exact"/>
        <w:ind w:left="108" w:right="8019"/>
        <w:rPr>
          <w:rFonts w:ascii="Times New Roman" w:hAnsi="Times New Roman" w:cs="Times New Roman"/>
          <w:sz w:val="24"/>
          <w:szCs w:val="24"/>
        </w:rPr>
      </w:pPr>
      <w:r>
        <w:rPr>
          <w:rFonts w:ascii="Times New Roman" w:hAnsi="Times New Roman" w:cs="Times New Roman"/>
          <w:sz w:val="24"/>
          <w:szCs w:val="24"/>
        </w:rPr>
        <w:t>Lisa Gurgone Executive Director</w:t>
      </w:r>
    </w:p>
    <w:p w:rsidR="002C5025" w:rsidRDefault="002C5025">
      <w:pPr>
        <w:pStyle w:val="BodyText"/>
        <w:kinsoku w:val="0"/>
        <w:overflowPunct w:val="0"/>
        <w:spacing w:before="1" w:line="274" w:lineRule="exact"/>
        <w:ind w:left="108" w:right="8019"/>
        <w:rPr>
          <w:rFonts w:ascii="Times New Roman" w:hAnsi="Times New Roman" w:cs="Times New Roman"/>
          <w:sz w:val="24"/>
          <w:szCs w:val="24"/>
        </w:rPr>
        <w:sectPr w:rsidR="002C5025">
          <w:pgSz w:w="12240" w:h="15840"/>
          <w:pgMar w:top="1220" w:right="960" w:bottom="280" w:left="900" w:header="720" w:footer="720" w:gutter="0"/>
          <w:cols w:space="720" w:equalWidth="0">
            <w:col w:w="10380"/>
          </w:cols>
          <w:noEndnote/>
        </w:sect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9"/>
        <w:rPr>
          <w:rFonts w:ascii="Times New Roman" w:hAnsi="Times New Roman" w:cs="Times New Roman"/>
          <w:sz w:val="26"/>
          <w:szCs w:val="26"/>
        </w:rPr>
      </w:pPr>
    </w:p>
    <w:p w:rsidR="002C5025" w:rsidRDefault="002C5025">
      <w:pPr>
        <w:pStyle w:val="BodyText"/>
        <w:kinsoku w:val="0"/>
        <w:overflowPunct w:val="0"/>
        <w:spacing w:before="9"/>
        <w:rPr>
          <w:rFonts w:ascii="Times New Roman" w:hAnsi="Times New Roman" w:cs="Times New Roman"/>
          <w:sz w:val="26"/>
          <w:szCs w:val="26"/>
        </w:rPr>
        <w:sectPr w:rsidR="002C5025">
          <w:pgSz w:w="12240" w:h="15840"/>
          <w:pgMar w:top="640" w:right="1340" w:bottom="280" w:left="1340" w:header="720" w:footer="720" w:gutter="0"/>
          <w:cols w:space="720" w:equalWidth="0">
            <w:col w:w="9560"/>
          </w:cols>
          <w:noEndnote/>
        </w:sectPr>
      </w:pP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spacing w:before="3"/>
        <w:rPr>
          <w:rFonts w:ascii="Times New Roman" w:hAnsi="Times New Roman" w:cs="Times New Roman"/>
          <w:sz w:val="28"/>
          <w:szCs w:val="28"/>
        </w:rPr>
      </w:pPr>
    </w:p>
    <w:p w:rsidR="002C5025" w:rsidRDefault="00FB027C">
      <w:pPr>
        <w:pStyle w:val="BodyText"/>
        <w:kinsoku w:val="0"/>
        <w:overflowPunct w:val="0"/>
        <w:ind w:left="100" w:right="1937"/>
        <w:jc w:val="both"/>
        <w:rPr>
          <w:rFonts w:ascii="Times New Roman" w:hAnsi="Times New Roman" w:cs="Times New Roman"/>
        </w:rPr>
      </w:pPr>
      <w:r>
        <w:rPr>
          <w:noProof/>
        </w:rPr>
        <mc:AlternateContent>
          <mc:Choice Requires="wps">
            <w:drawing>
              <wp:anchor distT="0" distB="0" distL="114300" distR="114300" simplePos="0" relativeHeight="251684352" behindDoc="0" locked="0" layoutInCell="0" allowOverlap="1">
                <wp:simplePos x="0" y="0"/>
                <wp:positionH relativeFrom="page">
                  <wp:posOffset>914400</wp:posOffset>
                </wp:positionH>
                <wp:positionV relativeFrom="paragraph">
                  <wp:posOffset>-1313180</wp:posOffset>
                </wp:positionV>
                <wp:extent cx="1879600" cy="1270000"/>
                <wp:effectExtent l="0" t="0" r="0" b="0"/>
                <wp:wrapNone/>
                <wp:docPr id="535" name="Rectangle 4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9600" cy="127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2000" w:lineRule="atLeast"/>
                            </w:pPr>
                            <w:r>
                              <w:rPr>
                                <w:noProof/>
                              </w:rPr>
                              <w:drawing>
                                <wp:inline distT="0" distB="0" distL="0" distR="0">
                                  <wp:extent cx="1876425" cy="1266825"/>
                                  <wp:effectExtent l="0" t="0" r="9525"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1876425" cy="1266825"/>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0" o:spid="_x0000_s1185" style="position:absolute;left:0;text-align:left;margin-left:1in;margin-top:-103.4pt;width:148pt;height:100pt;z-index:251684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" o:allowincell="f" filled="f" stroked="f">
                <v:textbox inset="0,0,0,0">
                  <w:txbxContent>
                    <w:p w:rsidR="007B2B7B" w:rsidRDefault="007B2B7B">
                      <w:pPr>
                        <w:widowControl/>
                        <w:autoSpaceDE/>
                        <w:autoSpaceDN/>
                        <w:adjustRightInd/>
                        <w:spacing w:line="2000" w:lineRule="atLeast"/>
                      </w:pPr>
                      <w:r>
                        <w:rPr>
                          <w:noProof/>
                        </w:rPr>
                        <w:drawing>
                          <wp:inline distT="0" distB="0" distL="0" distR="0">
                            <wp:extent cx="1876425" cy="1266825"/>
                            <wp:effectExtent l="0" t="0" r="9525"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1876425" cy="1266825"/>
                                    </a:xfrm>
                                    <a:prstGeom prst="rect">
                                      <a:avLst/>
                                    </a:prstGeom>
                                    <a:noFill/>
                                    <a:ln>
                                      <a:noFill/>
                                    </a:ln>
                                  </pic:spPr>
                                </pic:pic>
                              </a:graphicData>
                            </a:graphic>
                          </wp:inline>
                        </w:drawing>
                      </w:r>
                    </w:p>
                    <w:p w:rsidR="007B2B7B" w:rsidRDefault="007B2B7B"/>
                  </w:txbxContent>
                </v:textbox>
                <w10:wrap anchorx="page"/>
              </v:rect>
            </w:pict>
          </mc:Fallback>
        </mc:AlternateContent>
      </w:r>
      <w:bookmarkStart w:id="185" w:name="Home_Care_Alliance"/>
      <w:bookmarkEnd w:id="185"/>
      <w:r w:rsidR="002C5025">
        <w:rPr>
          <w:rFonts w:ascii="Times New Roman" w:hAnsi="Times New Roman" w:cs="Times New Roman"/>
        </w:rPr>
        <w:t>Daniel Tsai, Assistant Secretary for MassHealth Executive Office of Health and Human Services 1 Ashburton Place, Room 1109</w:t>
      </w:r>
    </w:p>
    <w:p w:rsidR="002C5025" w:rsidRDefault="002C5025">
      <w:pPr>
        <w:pStyle w:val="BodyText"/>
        <w:kinsoku w:val="0"/>
        <w:overflowPunct w:val="0"/>
        <w:spacing w:line="252" w:lineRule="exact"/>
        <w:ind w:left="100"/>
        <w:jc w:val="both"/>
        <w:rPr>
          <w:rFonts w:ascii="Times New Roman" w:hAnsi="Times New Roman" w:cs="Times New Roman"/>
        </w:rPr>
      </w:pPr>
      <w:r>
        <w:rPr>
          <w:rFonts w:ascii="Times New Roman" w:hAnsi="Times New Roman" w:cs="Times New Roman"/>
        </w:rPr>
        <w:t>Boston, MA 02108</w:t>
      </w: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ind w:left="100"/>
        <w:jc w:val="both"/>
        <w:rPr>
          <w:rFonts w:ascii="Times New Roman" w:hAnsi="Times New Roman" w:cs="Times New Roman"/>
          <w:b/>
          <w:bCs/>
        </w:rPr>
      </w:pPr>
      <w:r>
        <w:rPr>
          <w:rFonts w:ascii="Times New Roman" w:hAnsi="Times New Roman" w:cs="Times New Roman"/>
        </w:rPr>
        <w:t xml:space="preserve">RE: </w:t>
      </w:r>
      <w:r>
        <w:rPr>
          <w:rFonts w:ascii="Times New Roman" w:hAnsi="Times New Roman" w:cs="Times New Roman"/>
          <w:b/>
          <w:bCs/>
        </w:rPr>
        <w:t>Comments on Section 1115 Demonstration Extension Request</w:t>
      </w:r>
    </w:p>
    <w:p w:rsidR="002C5025" w:rsidRDefault="002C5025">
      <w:pPr>
        <w:pStyle w:val="BodyText"/>
        <w:kinsoku w:val="0"/>
        <w:overflowPunct w:val="0"/>
        <w:spacing w:before="5"/>
        <w:rPr>
          <w:rFonts w:ascii="Times New Roman" w:hAnsi="Times New Roman" w:cs="Times New Roman"/>
          <w:b/>
          <w:bCs/>
          <w:sz w:val="17"/>
          <w:szCs w:val="17"/>
        </w:rPr>
      </w:pPr>
    </w:p>
    <w:p w:rsidR="002C5025" w:rsidRDefault="002C5025">
      <w:pPr>
        <w:pStyle w:val="BodyText"/>
        <w:kinsoku w:val="0"/>
        <w:overflowPunct w:val="0"/>
        <w:ind w:left="100"/>
        <w:jc w:val="both"/>
        <w:rPr>
          <w:rFonts w:ascii="Times New Roman" w:hAnsi="Times New Roman" w:cs="Times New Roman"/>
        </w:rPr>
      </w:pPr>
      <w:r>
        <w:rPr>
          <w:rFonts w:ascii="Times New Roman" w:hAnsi="Times New Roman" w:cs="Times New Roman"/>
        </w:rPr>
        <w:t>Dear Assistant Secretary Tsai:</w:t>
      </w:r>
    </w:p>
    <w:p w:rsidR="002C5025" w:rsidRDefault="002C5025">
      <w:pPr>
        <w:pStyle w:val="BodyText"/>
        <w:kinsoku w:val="0"/>
        <w:overflowPunct w:val="0"/>
        <w:spacing w:before="72"/>
        <w:ind w:left="100"/>
        <w:rPr>
          <w:rFonts w:ascii="Times New Roman" w:hAnsi="Times New Roman" w:cs="Times New Roman"/>
        </w:rPr>
      </w:pPr>
      <w:r>
        <w:rPr>
          <w:rFonts w:ascii="Times New Roman" w:hAnsi="Times New Roman" w:cs="Times New Roman"/>
          <w:sz w:val="24"/>
          <w:szCs w:val="24"/>
        </w:rPr>
        <w:br w:type="column"/>
      </w:r>
      <w:r>
        <w:rPr>
          <w:rFonts w:ascii="Times New Roman" w:hAnsi="Times New Roman" w:cs="Times New Roman"/>
        </w:rPr>
        <w:lastRenderedPageBreak/>
        <w:t>July 15, 2016</w:t>
      </w:r>
    </w:p>
    <w:p w:rsidR="002C5025" w:rsidRDefault="002C5025">
      <w:pPr>
        <w:pStyle w:val="BodyText"/>
        <w:kinsoku w:val="0"/>
        <w:overflowPunct w:val="0"/>
        <w:spacing w:before="72"/>
        <w:ind w:left="100"/>
        <w:rPr>
          <w:rFonts w:ascii="Times New Roman" w:hAnsi="Times New Roman" w:cs="Times New Roman"/>
        </w:rPr>
        <w:sectPr w:rsidR="002C5025">
          <w:type w:val="continuous"/>
          <w:pgSz w:w="12240" w:h="15840"/>
          <w:pgMar w:top="720" w:right="1340" w:bottom="280" w:left="1340" w:header="720" w:footer="720" w:gutter="0"/>
          <w:cols w:num="2" w:space="720" w:equalWidth="0">
            <w:col w:w="6294" w:space="908"/>
            <w:col w:w="2358"/>
          </w:cols>
          <w:noEndnote/>
        </w:sectPr>
      </w:pPr>
    </w:p>
    <w:p w:rsidR="002C5025" w:rsidRDefault="002C5025">
      <w:pPr>
        <w:pStyle w:val="BodyText"/>
        <w:kinsoku w:val="0"/>
        <w:overflowPunct w:val="0"/>
        <w:spacing w:before="1"/>
        <w:rPr>
          <w:rFonts w:ascii="Times New Roman" w:hAnsi="Times New Roman" w:cs="Times New Roman"/>
          <w:sz w:val="11"/>
          <w:szCs w:val="11"/>
        </w:rPr>
      </w:pPr>
    </w:p>
    <w:p w:rsidR="002C5025" w:rsidRDefault="002C5025">
      <w:pPr>
        <w:pStyle w:val="BodyText"/>
        <w:kinsoku w:val="0"/>
        <w:overflowPunct w:val="0"/>
        <w:spacing w:before="73"/>
        <w:ind w:left="100" w:right="114"/>
        <w:rPr>
          <w:rFonts w:ascii="Times New Roman" w:hAnsi="Times New Roman" w:cs="Times New Roman"/>
        </w:rPr>
      </w:pPr>
      <w:r>
        <w:rPr>
          <w:rFonts w:ascii="Times New Roman" w:hAnsi="Times New Roman" w:cs="Times New Roman"/>
        </w:rPr>
        <w:t>On behalf of the member home health care and private-pay home care agencies of the Home Care Alliance of Massachusetts, we submit the following comments on MassHealth’s request to the Centers for Medicare and Medicaid Services to extend the Commonwealth’s Section 1115 Demonstration Waiver.</w:t>
      </w:r>
    </w:p>
    <w:p w:rsidR="002C5025" w:rsidRDefault="002C5025">
      <w:pPr>
        <w:pStyle w:val="BodyText"/>
        <w:kinsoku w:val="0"/>
        <w:overflowPunct w:val="0"/>
        <w:spacing w:before="9"/>
        <w:rPr>
          <w:rFonts w:ascii="Times New Roman" w:hAnsi="Times New Roman" w:cs="Times New Roman"/>
          <w:sz w:val="17"/>
          <w:szCs w:val="17"/>
        </w:rPr>
      </w:pPr>
    </w:p>
    <w:p w:rsidR="002C5025" w:rsidRDefault="002C5025">
      <w:pPr>
        <w:pStyle w:val="BodyText"/>
        <w:kinsoku w:val="0"/>
        <w:overflowPunct w:val="0"/>
        <w:spacing w:before="1"/>
        <w:ind w:left="100" w:right="327"/>
        <w:rPr>
          <w:rFonts w:ascii="Times New Roman" w:hAnsi="Times New Roman" w:cs="Times New Roman"/>
          <w:b/>
          <w:bCs/>
        </w:rPr>
      </w:pPr>
      <w:r>
        <w:rPr>
          <w:rFonts w:ascii="Times New Roman" w:hAnsi="Times New Roman" w:cs="Times New Roman"/>
          <w:b/>
          <w:bCs/>
        </w:rPr>
        <w:t>General Comments:</w:t>
      </w:r>
    </w:p>
    <w:p w:rsidR="002C5025" w:rsidRDefault="002C5025">
      <w:pPr>
        <w:pStyle w:val="BodyText"/>
        <w:kinsoku w:val="0"/>
        <w:overflowPunct w:val="0"/>
        <w:spacing w:before="196"/>
        <w:ind w:left="100" w:right="256"/>
        <w:rPr>
          <w:rFonts w:ascii="Times New Roman" w:hAnsi="Times New Roman" w:cs="Times New Roman"/>
        </w:rPr>
      </w:pPr>
      <w:r>
        <w:rPr>
          <w:rFonts w:ascii="Times New Roman" w:hAnsi="Times New Roman" w:cs="Times New Roman"/>
        </w:rPr>
        <w:t>The Home Care Alliance applauds the effort of MassHealth leadership and staff to gather months of public input through various workgroups, listening sessions and meetings while also considering countless written comments and suggestions throughout the process. The extension request is a sensible, but bold proposal that will move providers towards value-based and accountable care.</w:t>
      </w:r>
    </w:p>
    <w:p w:rsidR="002C5025" w:rsidRDefault="002C5025">
      <w:pPr>
        <w:pStyle w:val="BodyText"/>
        <w:kinsoku w:val="0"/>
        <w:overflowPunct w:val="0"/>
        <w:spacing w:before="5"/>
        <w:rPr>
          <w:rFonts w:ascii="Times New Roman" w:hAnsi="Times New Roman" w:cs="Times New Roman"/>
          <w:sz w:val="17"/>
          <w:szCs w:val="17"/>
        </w:rPr>
      </w:pPr>
    </w:p>
    <w:p w:rsidR="002C5025" w:rsidRDefault="002C5025">
      <w:pPr>
        <w:pStyle w:val="BodyText"/>
        <w:kinsoku w:val="0"/>
        <w:overflowPunct w:val="0"/>
        <w:ind w:left="100" w:right="107"/>
        <w:rPr>
          <w:rFonts w:ascii="Times New Roman" w:hAnsi="Times New Roman" w:cs="Times New Roman"/>
        </w:rPr>
      </w:pPr>
      <w:r>
        <w:rPr>
          <w:rFonts w:ascii="Times New Roman" w:hAnsi="Times New Roman" w:cs="Times New Roman"/>
        </w:rPr>
        <w:t>In general, our organization is pleased with the emphasis on integrating Long Term Services and Supports (LTSS), as well as behavioral health, into the three models of care delivery. Home health care that offers in-home clinical services and home care that offers non-clinical supportive services have been underappreciated for their potential to reduce avoidable utilization and trim costs overall.</w:t>
      </w:r>
    </w:p>
    <w:p w:rsidR="002C5025" w:rsidRDefault="002C5025">
      <w:pPr>
        <w:pStyle w:val="BodyText"/>
        <w:kinsoku w:val="0"/>
        <w:overflowPunct w:val="0"/>
        <w:spacing w:before="5"/>
        <w:rPr>
          <w:rFonts w:ascii="Times New Roman" w:hAnsi="Times New Roman" w:cs="Times New Roman"/>
          <w:sz w:val="17"/>
          <w:szCs w:val="17"/>
        </w:rPr>
      </w:pPr>
    </w:p>
    <w:p w:rsidR="002C5025" w:rsidRDefault="002C5025">
      <w:pPr>
        <w:pStyle w:val="BodyText"/>
        <w:kinsoku w:val="0"/>
        <w:overflowPunct w:val="0"/>
        <w:ind w:left="100" w:right="263"/>
        <w:rPr>
          <w:rFonts w:ascii="Times New Roman" w:hAnsi="Times New Roman" w:cs="Times New Roman"/>
        </w:rPr>
      </w:pPr>
      <w:r>
        <w:rPr>
          <w:rFonts w:ascii="Times New Roman" w:hAnsi="Times New Roman" w:cs="Times New Roman"/>
        </w:rPr>
        <w:t>Throughout the stakeholder engagement process, there has been a persistent sentiment that MassHealth should avoid “over-medicalizing” LTSS. While we agree that the non-clinical side of LTSS carries huge potential if it is properly integrated, there are a substantial number of MassHealth members who require long-term clinical supports at least episodically, if not continuously. This Extension Request appears to follow that line of thought by working to ensure MassHealth members have the right care, at the right time, and in the most appropriate setting.</w:t>
      </w:r>
    </w:p>
    <w:p w:rsidR="002C5025" w:rsidRDefault="002C5025">
      <w:pPr>
        <w:pStyle w:val="BodyText"/>
        <w:kinsoku w:val="0"/>
        <w:overflowPunct w:val="0"/>
        <w:spacing w:before="5"/>
        <w:rPr>
          <w:rFonts w:ascii="Times New Roman" w:hAnsi="Times New Roman" w:cs="Times New Roman"/>
          <w:sz w:val="17"/>
          <w:szCs w:val="17"/>
        </w:rPr>
      </w:pPr>
    </w:p>
    <w:p w:rsidR="002C5025" w:rsidRDefault="002C5025">
      <w:pPr>
        <w:pStyle w:val="BodyText"/>
        <w:kinsoku w:val="0"/>
        <w:overflowPunct w:val="0"/>
        <w:ind w:left="100" w:right="112"/>
        <w:rPr>
          <w:rFonts w:ascii="Times New Roman" w:hAnsi="Times New Roman" w:cs="Times New Roman"/>
        </w:rPr>
      </w:pPr>
      <w:r>
        <w:rPr>
          <w:rFonts w:ascii="Times New Roman" w:hAnsi="Times New Roman" w:cs="Times New Roman"/>
        </w:rPr>
        <w:t>The Home Care Alliance joins many other organizations in full support of MassHealth’s drive to establish a Delivery System Reform Incentive Program (DSRIP) and further believe that it will serve as the financial incentive compelling Accountable Care Organizations (ACO) to partner with valuable community-based providers.</w:t>
      </w:r>
    </w:p>
    <w:p w:rsidR="002C5025" w:rsidRDefault="002C5025">
      <w:pPr>
        <w:pStyle w:val="BodyText"/>
        <w:kinsoku w:val="0"/>
        <w:overflowPunct w:val="0"/>
        <w:spacing w:before="5"/>
        <w:rPr>
          <w:rFonts w:ascii="Times New Roman" w:hAnsi="Times New Roman" w:cs="Times New Roman"/>
          <w:sz w:val="17"/>
          <w:szCs w:val="17"/>
        </w:rPr>
      </w:pPr>
    </w:p>
    <w:p w:rsidR="002C5025" w:rsidRDefault="002C5025">
      <w:pPr>
        <w:pStyle w:val="BodyText"/>
        <w:kinsoku w:val="0"/>
        <w:overflowPunct w:val="0"/>
        <w:ind w:left="100" w:right="327"/>
        <w:rPr>
          <w:rFonts w:ascii="Times New Roman" w:hAnsi="Times New Roman" w:cs="Times New Roman"/>
        </w:rPr>
      </w:pPr>
      <w:r>
        <w:rPr>
          <w:rFonts w:ascii="Times New Roman" w:hAnsi="Times New Roman" w:cs="Times New Roman"/>
        </w:rPr>
        <w:t>The following comments are broken down by section in the Extension Request.</w:t>
      </w:r>
    </w:p>
    <w:p w:rsidR="002C5025" w:rsidRDefault="002C5025">
      <w:pPr>
        <w:pStyle w:val="BodyText"/>
        <w:kinsoku w:val="0"/>
        <w:overflowPunct w:val="0"/>
        <w:spacing w:before="8"/>
        <w:rPr>
          <w:rFonts w:ascii="Times New Roman" w:hAnsi="Times New Roman" w:cs="Times New Roman"/>
          <w:sz w:val="17"/>
          <w:szCs w:val="17"/>
        </w:rPr>
      </w:pPr>
    </w:p>
    <w:p w:rsidR="002C5025" w:rsidRDefault="002C5025">
      <w:pPr>
        <w:pStyle w:val="BodyText"/>
        <w:kinsoku w:val="0"/>
        <w:overflowPunct w:val="0"/>
        <w:ind w:left="100" w:right="327"/>
        <w:rPr>
          <w:rFonts w:ascii="Times New Roman" w:hAnsi="Times New Roman" w:cs="Times New Roman"/>
          <w:b/>
          <w:bCs/>
        </w:rPr>
      </w:pPr>
      <w:r>
        <w:rPr>
          <w:rFonts w:ascii="Times New Roman" w:hAnsi="Times New Roman" w:cs="Times New Roman"/>
          <w:b/>
          <w:bCs/>
        </w:rPr>
        <w:t>Goals of the Demonstration: Progress and Plans</w:t>
      </w:r>
    </w:p>
    <w:p w:rsidR="002C5025" w:rsidRDefault="002C5025">
      <w:pPr>
        <w:pStyle w:val="BodyText"/>
        <w:kinsoku w:val="0"/>
        <w:overflowPunct w:val="0"/>
        <w:spacing w:before="196"/>
        <w:ind w:left="100" w:right="111"/>
        <w:rPr>
          <w:rFonts w:ascii="Times New Roman" w:hAnsi="Times New Roman" w:cs="Times New Roman"/>
        </w:rPr>
      </w:pPr>
      <w:r>
        <w:rPr>
          <w:rFonts w:ascii="Times New Roman" w:hAnsi="Times New Roman" w:cs="Times New Roman"/>
        </w:rPr>
        <w:t>The Home Care Alliance is pleased to see that some of the principles our organization advanced in the stakeholder process were highlighted in this section. Certainly, home health care providers are in a unique position to treat the whole person in the most comfortable setting possible. Merging physical and behavioral health needs is a goal that our members look forward to strengthening, especially.</w:t>
      </w:r>
    </w:p>
    <w:p w:rsidR="002C5025" w:rsidRDefault="002C5025">
      <w:pPr>
        <w:pStyle w:val="BodyText"/>
        <w:kinsoku w:val="0"/>
        <w:overflowPunct w:val="0"/>
        <w:spacing w:before="5"/>
        <w:rPr>
          <w:rFonts w:ascii="Times New Roman" w:hAnsi="Times New Roman" w:cs="Times New Roman"/>
          <w:sz w:val="17"/>
          <w:szCs w:val="17"/>
        </w:rPr>
      </w:pPr>
    </w:p>
    <w:p w:rsidR="002C5025" w:rsidRDefault="002C5025">
      <w:pPr>
        <w:pStyle w:val="BodyText"/>
        <w:kinsoku w:val="0"/>
        <w:overflowPunct w:val="0"/>
        <w:ind w:left="100" w:right="114"/>
        <w:rPr>
          <w:rFonts w:ascii="Times New Roman" w:hAnsi="Times New Roman" w:cs="Times New Roman"/>
        </w:rPr>
      </w:pPr>
      <w:r>
        <w:rPr>
          <w:rFonts w:ascii="Times New Roman" w:hAnsi="Times New Roman" w:cs="Times New Roman"/>
        </w:rPr>
        <w:t>MassHealth acknowledges that disjointed care coordination is often a barrier to integration and it is our hope that home care can be recognized as a solution for patients with both physical and behavioral health</w:t>
      </w:r>
    </w:p>
    <w:p w:rsidR="002C5025" w:rsidRDefault="002C5025">
      <w:pPr>
        <w:pStyle w:val="BodyText"/>
        <w:kinsoku w:val="0"/>
        <w:overflowPunct w:val="0"/>
        <w:ind w:left="100" w:right="114"/>
        <w:rPr>
          <w:rFonts w:ascii="Times New Roman" w:hAnsi="Times New Roman" w:cs="Times New Roman"/>
        </w:rPr>
        <w:sectPr w:rsidR="002C5025">
          <w:type w:val="continuous"/>
          <w:pgSz w:w="12240" w:h="15840"/>
          <w:pgMar w:top="720" w:right="1340" w:bottom="280" w:left="1340" w:header="720" w:footer="720" w:gutter="0"/>
          <w:cols w:space="720" w:equalWidth="0">
            <w:col w:w="9560"/>
          </w:cols>
          <w:noEndnote/>
        </w:sectPr>
      </w:pPr>
    </w:p>
    <w:p w:rsidR="002C5025" w:rsidRDefault="002C5025">
      <w:pPr>
        <w:pStyle w:val="BodyText"/>
        <w:kinsoku w:val="0"/>
        <w:overflowPunct w:val="0"/>
        <w:spacing w:before="54"/>
        <w:ind w:left="100" w:right="270"/>
        <w:rPr>
          <w:rFonts w:ascii="Times New Roman" w:hAnsi="Times New Roman" w:cs="Times New Roman"/>
        </w:rPr>
      </w:pPr>
      <w:r>
        <w:rPr>
          <w:rFonts w:ascii="Times New Roman" w:hAnsi="Times New Roman" w:cs="Times New Roman"/>
        </w:rPr>
        <w:lastRenderedPageBreak/>
        <w:t>needs. A specialty of our member agencies is placing patients on a path to self-management and the Alliance believes care coordinators should be encouraged to look to home health care to fulfill this goal.</w:t>
      </w:r>
    </w:p>
    <w:p w:rsidR="002C5025" w:rsidRDefault="002C5025">
      <w:pPr>
        <w:pStyle w:val="BodyText"/>
        <w:kinsoku w:val="0"/>
        <w:overflowPunct w:val="0"/>
        <w:spacing w:before="5"/>
        <w:rPr>
          <w:rFonts w:ascii="Times New Roman" w:hAnsi="Times New Roman" w:cs="Times New Roman"/>
          <w:sz w:val="17"/>
          <w:szCs w:val="17"/>
        </w:rPr>
      </w:pPr>
    </w:p>
    <w:p w:rsidR="002C5025" w:rsidRDefault="002C5025">
      <w:pPr>
        <w:pStyle w:val="BodyText"/>
        <w:kinsoku w:val="0"/>
        <w:overflowPunct w:val="0"/>
        <w:ind w:left="100" w:right="215"/>
        <w:rPr>
          <w:rFonts w:ascii="Times New Roman" w:hAnsi="Times New Roman" w:cs="Times New Roman"/>
        </w:rPr>
      </w:pPr>
      <w:r>
        <w:rPr>
          <w:rFonts w:ascii="Times New Roman" w:hAnsi="Times New Roman" w:cs="Times New Roman"/>
        </w:rPr>
        <w:t>With the Commonwealth’s vision that the Substance Use Disorder (SUD) treatment system should treat addiction as a chronic medical condition, the Alliance believes that home health could have an important role to play in ensuring success of initial addiction interventions and treatments in the longer term. A minority of home health agencies have specialties in treating individuals with SUD, but the success of those agencies displays that this could be yet another strength of home health in waiting.</w:t>
      </w:r>
    </w:p>
    <w:p w:rsidR="002C5025" w:rsidRDefault="002C5025">
      <w:pPr>
        <w:pStyle w:val="BodyText"/>
        <w:kinsoku w:val="0"/>
        <w:overflowPunct w:val="0"/>
        <w:spacing w:before="9"/>
        <w:rPr>
          <w:rFonts w:ascii="Times New Roman" w:hAnsi="Times New Roman" w:cs="Times New Roman"/>
          <w:sz w:val="17"/>
          <w:szCs w:val="17"/>
        </w:rPr>
      </w:pPr>
    </w:p>
    <w:p w:rsidR="002C5025" w:rsidRDefault="002C5025">
      <w:pPr>
        <w:pStyle w:val="BodyText"/>
        <w:kinsoku w:val="0"/>
        <w:overflowPunct w:val="0"/>
        <w:spacing w:before="1"/>
        <w:ind w:left="100" w:right="327"/>
        <w:rPr>
          <w:rFonts w:ascii="Times New Roman" w:hAnsi="Times New Roman" w:cs="Times New Roman"/>
          <w:b/>
          <w:bCs/>
        </w:rPr>
      </w:pPr>
      <w:r>
        <w:rPr>
          <w:rFonts w:ascii="Times New Roman" w:hAnsi="Times New Roman" w:cs="Times New Roman"/>
          <w:b/>
          <w:bCs/>
        </w:rPr>
        <w:t>MassHealth Payment and Care Delivery Reform Strategy</w:t>
      </w:r>
    </w:p>
    <w:p w:rsidR="002C5025" w:rsidRDefault="002C5025">
      <w:pPr>
        <w:pStyle w:val="BodyText"/>
        <w:kinsoku w:val="0"/>
        <w:overflowPunct w:val="0"/>
        <w:spacing w:before="193"/>
        <w:ind w:left="100" w:right="306"/>
        <w:rPr>
          <w:rFonts w:ascii="Times New Roman" w:hAnsi="Times New Roman" w:cs="Times New Roman"/>
        </w:rPr>
      </w:pPr>
      <w:r>
        <w:rPr>
          <w:rFonts w:ascii="Times New Roman" w:hAnsi="Times New Roman" w:cs="Times New Roman"/>
        </w:rPr>
        <w:t>The Home Care Alliance agrees with MassHealth’s proposal to allow for multiple models of ACOs that will go further towards nurturing the appropriate relationships and partnerships while accounting for different providers with different strong points across geographies.</w:t>
      </w:r>
    </w:p>
    <w:p w:rsidR="002C5025" w:rsidRDefault="002C5025">
      <w:pPr>
        <w:pStyle w:val="BodyText"/>
        <w:kinsoku w:val="0"/>
        <w:overflowPunct w:val="0"/>
        <w:spacing w:before="5"/>
        <w:rPr>
          <w:rFonts w:ascii="Times New Roman" w:hAnsi="Times New Roman" w:cs="Times New Roman"/>
          <w:sz w:val="17"/>
          <w:szCs w:val="17"/>
        </w:rPr>
      </w:pPr>
    </w:p>
    <w:p w:rsidR="002C5025" w:rsidRDefault="002C5025">
      <w:pPr>
        <w:pStyle w:val="BodyText"/>
        <w:kinsoku w:val="0"/>
        <w:overflowPunct w:val="0"/>
        <w:ind w:left="100" w:right="227"/>
        <w:rPr>
          <w:rFonts w:ascii="Times New Roman" w:hAnsi="Times New Roman" w:cs="Times New Roman"/>
        </w:rPr>
      </w:pPr>
      <w:r>
        <w:rPr>
          <w:rFonts w:ascii="Times New Roman" w:hAnsi="Times New Roman" w:cs="Times New Roman"/>
        </w:rPr>
        <w:t>MassHealth’s commitment to integrating behavioral health and LTSS is clear, and the Alliance realizes that accountability will be phased in over the course of the demonstration. Our organization stands ready to work with MassHealth to help develop proper accountability measures as the process progresses.</w:t>
      </w:r>
    </w:p>
    <w:p w:rsidR="002C5025" w:rsidRDefault="002C5025">
      <w:pPr>
        <w:pStyle w:val="BodyText"/>
        <w:kinsoku w:val="0"/>
        <w:overflowPunct w:val="0"/>
        <w:spacing w:before="2"/>
        <w:rPr>
          <w:rFonts w:ascii="Times New Roman" w:hAnsi="Times New Roman" w:cs="Times New Roman"/>
          <w:sz w:val="17"/>
          <w:szCs w:val="17"/>
        </w:rPr>
      </w:pPr>
    </w:p>
    <w:p w:rsidR="002C5025" w:rsidRDefault="002C5025">
      <w:pPr>
        <w:pStyle w:val="BodyText"/>
        <w:kinsoku w:val="0"/>
        <w:overflowPunct w:val="0"/>
        <w:ind w:left="100" w:right="453"/>
        <w:rPr>
          <w:rFonts w:ascii="Times New Roman" w:hAnsi="Times New Roman" w:cs="Times New Roman"/>
        </w:rPr>
      </w:pPr>
      <w:r>
        <w:rPr>
          <w:rFonts w:ascii="Times New Roman" w:hAnsi="Times New Roman" w:cs="Times New Roman"/>
        </w:rPr>
        <w:t>One concern is that there seems to be a varying level of obligation for LTSS integration. For example, below are what the Extension Request states of each ACO Model</w:t>
      </w:r>
    </w:p>
    <w:p w:rsidR="002C5025" w:rsidRDefault="002C5025">
      <w:pPr>
        <w:pStyle w:val="BodyText"/>
        <w:kinsoku w:val="0"/>
        <w:overflowPunct w:val="0"/>
        <w:spacing w:before="3"/>
        <w:rPr>
          <w:rFonts w:ascii="Times New Roman" w:hAnsi="Times New Roman" w:cs="Times New Roman"/>
          <w:sz w:val="17"/>
          <w:szCs w:val="17"/>
        </w:rPr>
      </w:pPr>
    </w:p>
    <w:p w:rsidR="002C5025" w:rsidRDefault="002C5025">
      <w:pPr>
        <w:pStyle w:val="ListParagraph"/>
        <w:numPr>
          <w:ilvl w:val="0"/>
          <w:numId w:val="9"/>
        </w:numPr>
        <w:tabs>
          <w:tab w:val="left" w:pos="821"/>
        </w:tabs>
        <w:kinsoku w:val="0"/>
        <w:overflowPunct w:val="0"/>
        <w:ind w:right="103"/>
        <w:rPr>
          <w:i/>
          <w:iCs/>
          <w:sz w:val="22"/>
          <w:szCs w:val="22"/>
        </w:rPr>
      </w:pPr>
      <w:r>
        <w:rPr>
          <w:sz w:val="22"/>
          <w:szCs w:val="22"/>
        </w:rPr>
        <w:t>Model A: “</w:t>
      </w:r>
      <w:r>
        <w:rPr>
          <w:i/>
          <w:iCs/>
          <w:sz w:val="22"/>
          <w:szCs w:val="22"/>
        </w:rPr>
        <w:t>Over time, Model A ACOs will have financial accountability for LTSS in their scope of covered services and accountability, subject to further stakeholder engagement and MassHealth evaluation.</w:t>
      </w:r>
    </w:p>
    <w:p w:rsidR="002C5025" w:rsidRDefault="002C5025">
      <w:pPr>
        <w:pStyle w:val="BodyText"/>
        <w:kinsoku w:val="0"/>
        <w:overflowPunct w:val="0"/>
        <w:rPr>
          <w:rFonts w:ascii="Times New Roman" w:hAnsi="Times New Roman" w:cs="Times New Roman"/>
          <w:i/>
          <w:iCs/>
        </w:rPr>
      </w:pPr>
    </w:p>
    <w:p w:rsidR="002C5025" w:rsidRDefault="002C5025">
      <w:pPr>
        <w:pStyle w:val="BodyText"/>
        <w:kinsoku w:val="0"/>
        <w:overflowPunct w:val="0"/>
        <w:ind w:left="820" w:right="1149"/>
        <w:rPr>
          <w:rFonts w:ascii="Times New Roman" w:hAnsi="Times New Roman" w:cs="Times New Roman"/>
          <w:i/>
          <w:iCs/>
        </w:rPr>
      </w:pPr>
      <w:r>
        <w:rPr>
          <w:rFonts w:ascii="Times New Roman" w:hAnsi="Times New Roman" w:cs="Times New Roman"/>
          <w:i/>
          <w:iCs/>
        </w:rPr>
        <w:t>A Model A ACO must demonstrate competencies and readiness in [independent living philosophy, wellness principles, and etc.] before it takes on accountability for LTSS”</w:t>
      </w:r>
    </w:p>
    <w:p w:rsidR="002C5025" w:rsidRDefault="002C5025">
      <w:pPr>
        <w:pStyle w:val="BodyText"/>
        <w:kinsoku w:val="0"/>
        <w:overflowPunct w:val="0"/>
        <w:spacing w:before="10"/>
        <w:rPr>
          <w:rFonts w:ascii="Times New Roman" w:hAnsi="Times New Roman" w:cs="Times New Roman"/>
          <w:i/>
          <w:iCs/>
          <w:sz w:val="21"/>
          <w:szCs w:val="21"/>
        </w:rPr>
      </w:pPr>
    </w:p>
    <w:p w:rsidR="002C5025" w:rsidRDefault="002C5025">
      <w:pPr>
        <w:pStyle w:val="ListParagraph"/>
        <w:numPr>
          <w:ilvl w:val="0"/>
          <w:numId w:val="9"/>
        </w:numPr>
        <w:tabs>
          <w:tab w:val="left" w:pos="821"/>
        </w:tabs>
        <w:kinsoku w:val="0"/>
        <w:overflowPunct w:val="0"/>
        <w:spacing w:before="1"/>
        <w:ind w:right="546"/>
        <w:rPr>
          <w:i/>
          <w:iCs/>
          <w:sz w:val="22"/>
          <w:szCs w:val="22"/>
        </w:rPr>
      </w:pPr>
      <w:r>
        <w:rPr>
          <w:sz w:val="22"/>
          <w:szCs w:val="22"/>
        </w:rPr>
        <w:t>Model B: “</w:t>
      </w:r>
      <w:r>
        <w:rPr>
          <w:i/>
          <w:iCs/>
          <w:sz w:val="22"/>
          <w:szCs w:val="22"/>
        </w:rPr>
        <w:t>The ACO is accountable for the total cost of care…and for additional contractual expectations of ACOs, including BH and LTSS integration through</w:t>
      </w:r>
      <w:r>
        <w:rPr>
          <w:i/>
          <w:iCs/>
          <w:spacing w:val="-18"/>
          <w:sz w:val="22"/>
          <w:szCs w:val="22"/>
        </w:rPr>
        <w:t xml:space="preserve"> </w:t>
      </w:r>
      <w:r>
        <w:rPr>
          <w:i/>
          <w:iCs/>
          <w:sz w:val="22"/>
          <w:szCs w:val="22"/>
        </w:rPr>
        <w:t>CPs”</w:t>
      </w:r>
    </w:p>
    <w:p w:rsidR="002C5025" w:rsidRDefault="002C5025">
      <w:pPr>
        <w:pStyle w:val="BodyText"/>
        <w:kinsoku w:val="0"/>
        <w:overflowPunct w:val="0"/>
        <w:spacing w:before="1"/>
        <w:rPr>
          <w:rFonts w:ascii="Times New Roman" w:hAnsi="Times New Roman" w:cs="Times New Roman"/>
          <w:i/>
          <w:iCs/>
        </w:rPr>
      </w:pPr>
    </w:p>
    <w:p w:rsidR="002C5025" w:rsidRDefault="002C5025">
      <w:pPr>
        <w:pStyle w:val="ListParagraph"/>
        <w:numPr>
          <w:ilvl w:val="0"/>
          <w:numId w:val="9"/>
        </w:numPr>
        <w:tabs>
          <w:tab w:val="left" w:pos="821"/>
        </w:tabs>
        <w:kinsoku w:val="0"/>
        <w:overflowPunct w:val="0"/>
        <w:rPr>
          <w:sz w:val="22"/>
          <w:szCs w:val="22"/>
        </w:rPr>
      </w:pPr>
      <w:r>
        <w:rPr>
          <w:sz w:val="22"/>
          <w:szCs w:val="22"/>
        </w:rPr>
        <w:t>Model C: No mention of LTSS</w:t>
      </w:r>
      <w:r>
        <w:rPr>
          <w:spacing w:val="-9"/>
          <w:sz w:val="22"/>
          <w:szCs w:val="22"/>
        </w:rPr>
        <w:t xml:space="preserve"> </w:t>
      </w:r>
      <w:r>
        <w:rPr>
          <w:sz w:val="22"/>
          <w:szCs w:val="22"/>
        </w:rPr>
        <w:t>integration.</w:t>
      </w:r>
    </w:p>
    <w:p w:rsidR="002C5025" w:rsidRDefault="002C5025">
      <w:pPr>
        <w:pStyle w:val="BodyText"/>
        <w:kinsoku w:val="0"/>
        <w:overflowPunct w:val="0"/>
        <w:spacing w:before="197"/>
        <w:ind w:left="100" w:right="349"/>
        <w:rPr>
          <w:rFonts w:ascii="Times New Roman" w:hAnsi="Times New Roman" w:cs="Times New Roman"/>
        </w:rPr>
      </w:pPr>
      <w:r>
        <w:rPr>
          <w:rFonts w:ascii="Times New Roman" w:hAnsi="Times New Roman" w:cs="Times New Roman"/>
        </w:rPr>
        <w:t>Granted, these are brief summaries of each model, but it still raises the question of the types of services and the level of services to which individuals will have access.</w:t>
      </w:r>
    </w:p>
    <w:p w:rsidR="002C5025" w:rsidRDefault="002C5025">
      <w:pPr>
        <w:pStyle w:val="BodyText"/>
        <w:kinsoku w:val="0"/>
        <w:overflowPunct w:val="0"/>
        <w:spacing w:before="5"/>
        <w:rPr>
          <w:rFonts w:ascii="Times New Roman" w:hAnsi="Times New Roman" w:cs="Times New Roman"/>
          <w:sz w:val="17"/>
          <w:szCs w:val="17"/>
        </w:rPr>
      </w:pPr>
    </w:p>
    <w:p w:rsidR="002C5025" w:rsidRDefault="002C5025">
      <w:pPr>
        <w:pStyle w:val="BodyText"/>
        <w:kinsoku w:val="0"/>
        <w:overflowPunct w:val="0"/>
        <w:ind w:left="100" w:right="172"/>
        <w:rPr>
          <w:rFonts w:ascii="Times New Roman" w:hAnsi="Times New Roman" w:cs="Times New Roman"/>
        </w:rPr>
      </w:pPr>
      <w:r>
        <w:rPr>
          <w:rFonts w:ascii="Times New Roman" w:hAnsi="Times New Roman" w:cs="Times New Roman"/>
        </w:rPr>
        <w:t>In terms of the priority domains for MassHealth’s quality measurement strategy, the Home Care Alliance once again emphasizes how these play into the strengths of quality home health care services. Avoidable utilization, chronic disease management, and enhancing the MassHealth member experience are all domains in which home health can play a major contributing role in the success of the ACO. If home health care could be allowed by the ACO to engage in prevention and wellness activities as well as become part of the team to help treat behavioral health and SUD needs, it would only serve to benefit the reformed model of care delivery.</w:t>
      </w:r>
    </w:p>
    <w:p w:rsidR="002C5025" w:rsidRDefault="002C5025">
      <w:pPr>
        <w:pStyle w:val="BodyText"/>
        <w:kinsoku w:val="0"/>
        <w:overflowPunct w:val="0"/>
        <w:spacing w:before="2"/>
        <w:rPr>
          <w:rFonts w:ascii="Times New Roman" w:hAnsi="Times New Roman" w:cs="Times New Roman"/>
          <w:sz w:val="17"/>
          <w:szCs w:val="17"/>
        </w:rPr>
      </w:pPr>
    </w:p>
    <w:p w:rsidR="002C5025" w:rsidRDefault="002C5025">
      <w:pPr>
        <w:pStyle w:val="BodyText"/>
        <w:kinsoku w:val="0"/>
        <w:overflowPunct w:val="0"/>
        <w:ind w:left="100" w:right="142"/>
        <w:rPr>
          <w:rFonts w:ascii="Times New Roman" w:hAnsi="Times New Roman" w:cs="Times New Roman"/>
        </w:rPr>
      </w:pPr>
      <w:r>
        <w:rPr>
          <w:rFonts w:ascii="Times New Roman" w:hAnsi="Times New Roman" w:cs="Times New Roman"/>
        </w:rPr>
        <w:t>Under the heading “Integration of physical health, behavioral health, long-term services and supports and health related social needs, and Community Partners strategy,” MassHealth commits to member access to an interdisciplinary care team that includes an LTSS representative where needed. The Home Care Alliance applauds the idea that the interdisciplinary care team must include existing community-based LTSS entities which collectively demonstrate expertise in all LTSS populations. This was a concern our organization has voiced throughout the stakeholder process and we are pleased that MassHealth heard the</w:t>
      </w:r>
    </w:p>
    <w:p w:rsidR="002C5025" w:rsidRDefault="002C5025">
      <w:pPr>
        <w:pStyle w:val="BodyText"/>
        <w:kinsoku w:val="0"/>
        <w:overflowPunct w:val="0"/>
        <w:ind w:left="100" w:right="142"/>
        <w:rPr>
          <w:rFonts w:ascii="Times New Roman" w:hAnsi="Times New Roman" w:cs="Times New Roman"/>
        </w:rPr>
        <w:sectPr w:rsidR="002C5025">
          <w:pgSz w:w="12240" w:h="15840"/>
          <w:pgMar w:top="1380" w:right="1340" w:bottom="280" w:left="1340" w:header="720" w:footer="720" w:gutter="0"/>
          <w:cols w:space="720"/>
          <w:noEndnote/>
        </w:sectPr>
      </w:pPr>
    </w:p>
    <w:p w:rsidR="002C5025" w:rsidRDefault="002C5025">
      <w:pPr>
        <w:pStyle w:val="BodyText"/>
        <w:kinsoku w:val="0"/>
        <w:overflowPunct w:val="0"/>
        <w:spacing w:before="54"/>
        <w:ind w:left="460" w:right="213"/>
        <w:rPr>
          <w:rFonts w:ascii="Times New Roman" w:hAnsi="Times New Roman" w:cs="Times New Roman"/>
        </w:rPr>
      </w:pPr>
      <w:r>
        <w:rPr>
          <w:rFonts w:ascii="Times New Roman" w:hAnsi="Times New Roman" w:cs="Times New Roman"/>
        </w:rPr>
        <w:lastRenderedPageBreak/>
        <w:t>suggestion that one individual from one LTSS provider likely would not the suitable level of expertise to serve the member.</w:t>
      </w:r>
    </w:p>
    <w:p w:rsidR="002C5025" w:rsidRDefault="002C5025">
      <w:pPr>
        <w:pStyle w:val="BodyText"/>
        <w:kinsoku w:val="0"/>
        <w:overflowPunct w:val="0"/>
        <w:spacing w:before="5"/>
        <w:rPr>
          <w:rFonts w:ascii="Times New Roman" w:hAnsi="Times New Roman" w:cs="Times New Roman"/>
          <w:sz w:val="17"/>
          <w:szCs w:val="17"/>
        </w:rPr>
      </w:pPr>
    </w:p>
    <w:p w:rsidR="002C5025" w:rsidRDefault="002C5025">
      <w:pPr>
        <w:pStyle w:val="BodyText"/>
        <w:kinsoku w:val="0"/>
        <w:overflowPunct w:val="0"/>
        <w:ind w:left="460" w:right="184"/>
        <w:rPr>
          <w:rFonts w:ascii="Times New Roman" w:hAnsi="Times New Roman" w:cs="Times New Roman"/>
        </w:rPr>
      </w:pPr>
      <w:r>
        <w:rPr>
          <w:rFonts w:ascii="Times New Roman" w:hAnsi="Times New Roman" w:cs="Times New Roman"/>
        </w:rPr>
        <w:t>Moving to the subject of Community Partners (CP), the Alliance sees the CP designation as an opportunity to establish a formal link between ACOs and home care. However, the Alliance is concerned that most of the CP responsibility will be for waiver services (i.e. ABI/TBI) or focused solely on serving populations with disabilities. While home health agencies certainly serve those populations, the Alliance believes home health has been underutilized by those populations and hope such services are readily available under the new system.</w:t>
      </w:r>
    </w:p>
    <w:p w:rsidR="002C5025" w:rsidRDefault="002C5025">
      <w:pPr>
        <w:pStyle w:val="BodyText"/>
        <w:kinsoku w:val="0"/>
        <w:overflowPunct w:val="0"/>
        <w:spacing w:before="5"/>
        <w:rPr>
          <w:rFonts w:ascii="Times New Roman" w:hAnsi="Times New Roman" w:cs="Times New Roman"/>
          <w:sz w:val="17"/>
          <w:szCs w:val="17"/>
        </w:rPr>
      </w:pPr>
    </w:p>
    <w:p w:rsidR="002C5025" w:rsidRDefault="002C5025">
      <w:pPr>
        <w:pStyle w:val="BodyText"/>
        <w:kinsoku w:val="0"/>
        <w:overflowPunct w:val="0"/>
        <w:ind w:left="460" w:right="244"/>
        <w:rPr>
          <w:rFonts w:ascii="Times New Roman" w:hAnsi="Times New Roman" w:cs="Times New Roman"/>
        </w:rPr>
      </w:pPr>
      <w:r>
        <w:rPr>
          <w:rFonts w:ascii="Times New Roman" w:hAnsi="Times New Roman" w:cs="Times New Roman"/>
        </w:rPr>
        <w:t>Later in the Extension Request, under the subheading “Phasing LTSS into MCO’s Scope of Services,” it is revealed that home health and private duty nursing will be integrated through the MCO’s requirement to demonstrate LTSS competencies. The Alliance hopes that this link will be just as strong as the CP arrangement to ensure that members get the LTSS they need to remain as healthy and independent as possible. The Alliance would also note the absence of hospice and palliative care under that list (under section 4.3.1.3). It is the Alliance’s hope that both would be available to MassHealth members and actively promoted by ACOs.</w:t>
      </w:r>
    </w:p>
    <w:p w:rsidR="002C5025" w:rsidRDefault="002C5025">
      <w:pPr>
        <w:pStyle w:val="BodyText"/>
        <w:kinsoku w:val="0"/>
        <w:overflowPunct w:val="0"/>
        <w:spacing w:before="9"/>
        <w:rPr>
          <w:rFonts w:ascii="Times New Roman" w:hAnsi="Times New Roman" w:cs="Times New Roman"/>
          <w:sz w:val="17"/>
          <w:szCs w:val="17"/>
        </w:rPr>
      </w:pPr>
    </w:p>
    <w:p w:rsidR="002C5025" w:rsidRDefault="002C5025">
      <w:pPr>
        <w:pStyle w:val="BodyText"/>
        <w:kinsoku w:val="0"/>
        <w:overflowPunct w:val="0"/>
        <w:spacing w:before="1"/>
        <w:ind w:left="460" w:right="241"/>
        <w:rPr>
          <w:rFonts w:ascii="Times New Roman" w:hAnsi="Times New Roman" w:cs="Times New Roman"/>
          <w:b/>
          <w:bCs/>
        </w:rPr>
      </w:pPr>
      <w:r>
        <w:rPr>
          <w:rFonts w:ascii="Times New Roman" w:hAnsi="Times New Roman" w:cs="Times New Roman"/>
          <w:b/>
          <w:bCs/>
        </w:rPr>
        <w:t>Delivery System Reform Incentive Program Investments</w:t>
      </w:r>
    </w:p>
    <w:p w:rsidR="002C5025" w:rsidRDefault="002C5025">
      <w:pPr>
        <w:pStyle w:val="BodyText"/>
        <w:kinsoku w:val="0"/>
        <w:overflowPunct w:val="0"/>
        <w:spacing w:before="196"/>
        <w:ind w:left="460" w:right="586"/>
        <w:rPr>
          <w:rFonts w:ascii="Times New Roman" w:hAnsi="Times New Roman" w:cs="Times New Roman"/>
        </w:rPr>
      </w:pPr>
      <w:r>
        <w:rPr>
          <w:rFonts w:ascii="Times New Roman" w:hAnsi="Times New Roman" w:cs="Times New Roman"/>
        </w:rPr>
        <w:t>This section moves further into defining CPs and, confusingly, the definition appears to expand. The Alliance requests clarification on CPs and what provider types could qualify as CPs.</w:t>
      </w:r>
    </w:p>
    <w:p w:rsidR="002C5025" w:rsidRDefault="002C5025">
      <w:pPr>
        <w:pStyle w:val="BodyText"/>
        <w:kinsoku w:val="0"/>
        <w:overflowPunct w:val="0"/>
        <w:spacing w:before="5"/>
        <w:rPr>
          <w:rFonts w:ascii="Times New Roman" w:hAnsi="Times New Roman" w:cs="Times New Roman"/>
          <w:sz w:val="17"/>
          <w:szCs w:val="17"/>
        </w:rPr>
      </w:pPr>
    </w:p>
    <w:p w:rsidR="002C5025" w:rsidRDefault="002C5025">
      <w:pPr>
        <w:pStyle w:val="BodyText"/>
        <w:kinsoku w:val="0"/>
        <w:overflowPunct w:val="0"/>
        <w:ind w:left="460" w:right="86"/>
        <w:rPr>
          <w:rFonts w:ascii="Times New Roman" w:hAnsi="Times New Roman" w:cs="Times New Roman"/>
        </w:rPr>
      </w:pPr>
      <w:r>
        <w:rPr>
          <w:rFonts w:ascii="Times New Roman" w:hAnsi="Times New Roman" w:cs="Times New Roman"/>
        </w:rPr>
        <w:t>The Alliance also suggests that MassHealth carry the “buy over build” philosophy when it comes to direct spending for traditionally non-reimbursed services to address health-related social needs (Section 5.3.2.3). Once again, this is an opportunity for ACO’s to maximize the expertize of home health for pre-acute in addition to post-acute services. With experience in falls prevention, nutrition assessment and counseling, and social work, home health agencies are ready and willing partners when it comes to addressing these and many other health-related social needs.</w:t>
      </w:r>
    </w:p>
    <w:p w:rsidR="002C5025" w:rsidRDefault="002C5025">
      <w:pPr>
        <w:pStyle w:val="BodyText"/>
        <w:kinsoku w:val="0"/>
        <w:overflowPunct w:val="0"/>
        <w:spacing w:before="5"/>
        <w:rPr>
          <w:rFonts w:ascii="Times New Roman" w:hAnsi="Times New Roman" w:cs="Times New Roman"/>
          <w:sz w:val="17"/>
          <w:szCs w:val="17"/>
        </w:rPr>
      </w:pPr>
    </w:p>
    <w:p w:rsidR="002C5025" w:rsidRDefault="002C5025">
      <w:pPr>
        <w:pStyle w:val="BodyText"/>
        <w:kinsoku w:val="0"/>
        <w:overflowPunct w:val="0"/>
        <w:ind w:left="460" w:right="122"/>
        <w:rPr>
          <w:rFonts w:ascii="Times New Roman" w:hAnsi="Times New Roman" w:cs="Times New Roman"/>
        </w:rPr>
      </w:pPr>
      <w:r>
        <w:rPr>
          <w:rFonts w:ascii="Times New Roman" w:hAnsi="Times New Roman" w:cs="Times New Roman"/>
        </w:rPr>
        <w:t>DSRIP funding streams for Health IT adoption and workforce adoption are of particular interest to an industry that did not receive any federal assistance through the HITECH ACT and struggles with recruitment and retention of all staff levels – from homemakers or clinicians. The Alliance supports these investments and hopes that community-based care will be a focus when it comes to assessing the needs of the Commonwealth’s health care infrastructure that will benefit members.</w:t>
      </w:r>
    </w:p>
    <w:p w:rsidR="002C5025" w:rsidRDefault="002C5025">
      <w:pPr>
        <w:pStyle w:val="BodyText"/>
        <w:kinsoku w:val="0"/>
        <w:overflowPunct w:val="0"/>
        <w:spacing w:before="9"/>
        <w:rPr>
          <w:rFonts w:ascii="Times New Roman" w:hAnsi="Times New Roman" w:cs="Times New Roman"/>
          <w:sz w:val="17"/>
          <w:szCs w:val="17"/>
        </w:rPr>
      </w:pPr>
    </w:p>
    <w:p w:rsidR="002C5025" w:rsidRDefault="002C5025">
      <w:pPr>
        <w:pStyle w:val="BodyText"/>
        <w:kinsoku w:val="0"/>
        <w:overflowPunct w:val="0"/>
        <w:spacing w:before="1"/>
        <w:ind w:left="460" w:right="241"/>
        <w:rPr>
          <w:rFonts w:ascii="Times New Roman" w:hAnsi="Times New Roman" w:cs="Times New Roman"/>
          <w:b/>
          <w:bCs/>
        </w:rPr>
      </w:pPr>
      <w:r>
        <w:rPr>
          <w:rFonts w:ascii="Times New Roman" w:hAnsi="Times New Roman" w:cs="Times New Roman"/>
          <w:b/>
          <w:bCs/>
        </w:rPr>
        <w:t>Conclusion</w:t>
      </w:r>
    </w:p>
    <w:p w:rsidR="002C5025" w:rsidRDefault="002C5025">
      <w:pPr>
        <w:pStyle w:val="BodyText"/>
        <w:kinsoku w:val="0"/>
        <w:overflowPunct w:val="0"/>
        <w:spacing w:before="196"/>
        <w:ind w:left="460" w:right="166"/>
        <w:rPr>
          <w:rFonts w:ascii="Times New Roman" w:hAnsi="Times New Roman" w:cs="Times New Roman"/>
        </w:rPr>
      </w:pPr>
      <w:r>
        <w:rPr>
          <w:rFonts w:ascii="Times New Roman" w:hAnsi="Times New Roman" w:cs="Times New Roman"/>
        </w:rPr>
        <w:t>The Home Care Alliance appreciates the engagement of MassHealth and looks forward to a more collaborative and coordinated process. Our organization has commented publicly on ACO proposals for many years and hopes that home care can finally display the potential for improving quality and reducing costs that alternative payments can offer.</w:t>
      </w:r>
    </w:p>
    <w:p w:rsidR="002C5025" w:rsidRDefault="002C5025">
      <w:pPr>
        <w:pStyle w:val="BodyText"/>
        <w:kinsoku w:val="0"/>
        <w:overflowPunct w:val="0"/>
        <w:spacing w:before="5"/>
        <w:rPr>
          <w:rFonts w:ascii="Times New Roman" w:hAnsi="Times New Roman" w:cs="Times New Roman"/>
          <w:sz w:val="17"/>
          <w:szCs w:val="17"/>
        </w:rPr>
      </w:pPr>
    </w:p>
    <w:p w:rsidR="002C5025" w:rsidRDefault="00FB027C">
      <w:pPr>
        <w:pStyle w:val="BodyText"/>
        <w:kinsoku w:val="0"/>
        <w:overflowPunct w:val="0"/>
        <w:ind w:left="460" w:right="826"/>
        <w:rPr>
          <w:rFonts w:ascii="Times New Roman" w:hAnsi="Times New Roman" w:cs="Times New Roman"/>
        </w:rPr>
      </w:pPr>
      <w:r>
        <w:rPr>
          <w:noProof/>
        </w:rPr>
        <mc:AlternateContent>
          <mc:Choice Requires="wps">
            <w:drawing>
              <wp:anchor distT="0" distB="0" distL="114300" distR="114300" simplePos="0" relativeHeight="251685376" behindDoc="1" locked="0" layoutInCell="0" allowOverlap="1">
                <wp:simplePos x="0" y="0"/>
                <wp:positionH relativeFrom="page">
                  <wp:posOffset>685800</wp:posOffset>
                </wp:positionH>
                <wp:positionV relativeFrom="paragraph">
                  <wp:posOffset>312420</wp:posOffset>
                </wp:positionV>
                <wp:extent cx="2247900" cy="1003300"/>
                <wp:effectExtent l="0" t="0" r="0" b="0"/>
                <wp:wrapNone/>
                <wp:docPr id="534" name="Rectangle 4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7900" cy="100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1580" w:lineRule="atLeast"/>
                            </w:pPr>
                            <w:r>
                              <w:rPr>
                                <w:noProof/>
                              </w:rPr>
                              <w:drawing>
                                <wp:inline distT="0" distB="0" distL="0" distR="0">
                                  <wp:extent cx="2228850" cy="1009650"/>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2228850" cy="1009650"/>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1" o:spid="_x0000_s1186" style="position:absolute;left:0;text-align:left;margin-left:54pt;margin-top:24.6pt;width:177pt;height:79pt;z-index:-251631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" o:allowincell="f" filled="f" stroked="f">
                <v:textbox inset="0,0,0,0">
                  <w:txbxContent>
                    <w:p w:rsidR="007B2B7B" w:rsidRDefault="007B2B7B">
                      <w:pPr>
                        <w:widowControl/>
                        <w:autoSpaceDE/>
                        <w:autoSpaceDN/>
                        <w:adjustRightInd/>
                        <w:spacing w:line="1580" w:lineRule="atLeast"/>
                      </w:pPr>
                      <w:r>
                        <w:rPr>
                          <w:noProof/>
                        </w:rPr>
                        <w:drawing>
                          <wp:inline distT="0" distB="0" distL="0" distR="0">
                            <wp:extent cx="2228850" cy="1009650"/>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2228850" cy="1009650"/>
                                    </a:xfrm>
                                    <a:prstGeom prst="rect">
                                      <a:avLst/>
                                    </a:prstGeom>
                                    <a:noFill/>
                                    <a:ln>
                                      <a:noFill/>
                                    </a:ln>
                                  </pic:spPr>
                                </pic:pic>
                              </a:graphicData>
                            </a:graphic>
                          </wp:inline>
                        </w:drawing>
                      </w:r>
                    </w:p>
                    <w:p w:rsidR="007B2B7B" w:rsidRDefault="007B2B7B"/>
                  </w:txbxContent>
                </v:textbox>
                <w10:wrap anchorx="page"/>
              </v:rect>
            </w:pict>
          </mc:Fallback>
        </mc:AlternateContent>
      </w:r>
      <w:r w:rsidR="002C5025">
        <w:rPr>
          <w:rFonts w:ascii="Times New Roman" w:hAnsi="Times New Roman" w:cs="Times New Roman"/>
        </w:rPr>
        <w:t>Again, we appreciate your collaboration and look forward to cooperatively improving care for the residents of the Commonwealth.</w:t>
      </w:r>
    </w:p>
    <w:p w:rsidR="002C5025" w:rsidRDefault="002C5025">
      <w:pPr>
        <w:pStyle w:val="BodyText"/>
        <w:kinsoku w:val="0"/>
        <w:overflowPunct w:val="0"/>
        <w:spacing w:before="5"/>
        <w:rPr>
          <w:rFonts w:ascii="Times New Roman" w:hAnsi="Times New Roman" w:cs="Times New Roman"/>
          <w:sz w:val="17"/>
          <w:szCs w:val="17"/>
        </w:rPr>
      </w:pPr>
    </w:p>
    <w:p w:rsidR="002C5025" w:rsidRDefault="002C5025">
      <w:pPr>
        <w:pStyle w:val="BodyText"/>
        <w:kinsoku w:val="0"/>
        <w:overflowPunct w:val="0"/>
        <w:ind w:left="460" w:right="241"/>
        <w:rPr>
          <w:rFonts w:ascii="Times New Roman" w:hAnsi="Times New Roman" w:cs="Times New Roman"/>
        </w:rPr>
      </w:pPr>
      <w:r>
        <w:rPr>
          <w:rFonts w:ascii="Times New Roman" w:hAnsi="Times New Roman" w:cs="Times New Roman"/>
        </w:rPr>
        <w:t>Thank you,</w:t>
      </w: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spacing w:before="146"/>
        <w:ind w:left="460" w:right="7772"/>
        <w:rPr>
          <w:rFonts w:ascii="Times New Roman" w:hAnsi="Times New Roman" w:cs="Times New Roman"/>
        </w:rPr>
      </w:pPr>
      <w:r>
        <w:rPr>
          <w:rFonts w:ascii="Times New Roman" w:hAnsi="Times New Roman" w:cs="Times New Roman"/>
        </w:rPr>
        <w:t>Patricia Kelleher Executive Director</w:t>
      </w:r>
    </w:p>
    <w:p w:rsidR="002C5025" w:rsidRDefault="002C5025">
      <w:pPr>
        <w:pStyle w:val="BodyText"/>
        <w:kinsoku w:val="0"/>
        <w:overflowPunct w:val="0"/>
        <w:spacing w:line="252" w:lineRule="exact"/>
        <w:ind w:left="460" w:right="241"/>
        <w:rPr>
          <w:rFonts w:ascii="Times New Roman" w:hAnsi="Times New Roman" w:cs="Times New Roman"/>
        </w:rPr>
      </w:pPr>
      <w:r>
        <w:rPr>
          <w:rFonts w:ascii="Times New Roman" w:hAnsi="Times New Roman" w:cs="Times New Roman"/>
        </w:rPr>
        <w:t>Home Care Alliance of MA</w:t>
      </w:r>
    </w:p>
    <w:p w:rsidR="002C5025" w:rsidRDefault="002C5025">
      <w:pPr>
        <w:pStyle w:val="BodyText"/>
        <w:kinsoku w:val="0"/>
        <w:overflowPunct w:val="0"/>
        <w:spacing w:line="252" w:lineRule="exact"/>
        <w:ind w:left="460" w:right="241"/>
        <w:rPr>
          <w:rFonts w:ascii="Times New Roman" w:hAnsi="Times New Roman" w:cs="Times New Roman"/>
        </w:rPr>
        <w:sectPr w:rsidR="002C5025">
          <w:pgSz w:w="12240" w:h="15840"/>
          <w:pgMar w:top="1380" w:right="1340" w:bottom="280" w:left="980" w:header="720" w:footer="720" w:gutter="0"/>
          <w:cols w:space="720" w:equalWidth="0">
            <w:col w:w="9920"/>
          </w:cols>
          <w:noEndnote/>
        </w:sectPr>
      </w:pPr>
    </w:p>
    <w:p w:rsidR="002C5025" w:rsidRDefault="002C5025">
      <w:pPr>
        <w:pStyle w:val="BodyText"/>
        <w:kinsoku w:val="0"/>
        <w:overflowPunct w:val="0"/>
        <w:spacing w:before="15"/>
        <w:ind w:left="191"/>
        <w:rPr>
          <w:rFonts w:ascii="Arial" w:hAnsi="Arial" w:cs="Arial"/>
          <w:w w:val="90"/>
          <w:sz w:val="50"/>
          <w:szCs w:val="50"/>
        </w:rPr>
      </w:pPr>
      <w:bookmarkStart w:id="186" w:name="Jane_Doe_Inc._Responses"/>
      <w:bookmarkEnd w:id="186"/>
      <w:r>
        <w:rPr>
          <w:rFonts w:ascii="Arial" w:hAnsi="Arial" w:cs="Arial"/>
          <w:w w:val="90"/>
          <w:sz w:val="50"/>
          <w:szCs w:val="50"/>
        </w:rPr>
        <w:lastRenderedPageBreak/>
        <w:t xml:space="preserve">Jane </w:t>
      </w:r>
      <w:proofErr w:type="spellStart"/>
      <w:r>
        <w:rPr>
          <w:rFonts w:ascii="Arial" w:hAnsi="Arial" w:cs="Arial"/>
          <w:w w:val="90"/>
          <w:sz w:val="50"/>
          <w:szCs w:val="50"/>
        </w:rPr>
        <w:t>DoeInc</w:t>
      </w:r>
      <w:proofErr w:type="spellEnd"/>
      <w:r>
        <w:rPr>
          <w:rFonts w:ascii="Arial" w:hAnsi="Arial" w:cs="Arial"/>
          <w:w w:val="90"/>
          <w:sz w:val="50"/>
          <w:szCs w:val="50"/>
        </w:rPr>
        <w:t>.</w:t>
      </w:r>
    </w:p>
    <w:p w:rsidR="002C5025" w:rsidRDefault="002C5025">
      <w:pPr>
        <w:pStyle w:val="BodyText"/>
        <w:kinsoku w:val="0"/>
        <w:overflowPunct w:val="0"/>
        <w:spacing w:before="9"/>
        <w:ind w:left="126"/>
        <w:rPr>
          <w:rFonts w:ascii="Arial" w:hAnsi="Arial" w:cs="Arial"/>
          <w:w w:val="75"/>
          <w:sz w:val="13"/>
          <w:szCs w:val="13"/>
        </w:rPr>
      </w:pPr>
      <w:r>
        <w:rPr>
          <w:rFonts w:ascii="Arial" w:hAnsi="Arial" w:cs="Arial"/>
          <w:w w:val="75"/>
          <w:sz w:val="13"/>
          <w:szCs w:val="13"/>
        </w:rPr>
        <w:t xml:space="preserve">The </w:t>
      </w:r>
      <w:proofErr w:type="spellStart"/>
      <w:r>
        <w:rPr>
          <w:rFonts w:ascii="Arial" w:hAnsi="Arial" w:cs="Arial"/>
          <w:w w:val="75"/>
          <w:sz w:val="13"/>
          <w:szCs w:val="13"/>
        </w:rPr>
        <w:t>Massacllusetts</w:t>
      </w:r>
      <w:proofErr w:type="spellEnd"/>
      <w:r>
        <w:rPr>
          <w:rFonts w:ascii="Arial" w:hAnsi="Arial" w:cs="Arial"/>
          <w:w w:val="75"/>
          <w:sz w:val="13"/>
          <w:szCs w:val="13"/>
        </w:rPr>
        <w:t xml:space="preserve"> Coalition Against Sexual Assault and Domestic Violence</w:t>
      </w:r>
    </w:p>
    <w:p w:rsidR="002C5025" w:rsidRDefault="00FB027C">
      <w:pPr>
        <w:pStyle w:val="BodyText"/>
        <w:kinsoku w:val="0"/>
        <w:overflowPunct w:val="0"/>
        <w:spacing w:before="1"/>
        <w:rPr>
          <w:rFonts w:ascii="Arial" w:hAnsi="Arial" w:cs="Arial"/>
          <w:sz w:val="16"/>
          <w:szCs w:val="16"/>
        </w:rPr>
      </w:pPr>
      <w:r>
        <w:rPr>
          <w:noProof/>
        </w:rPr>
        <mc:AlternateContent>
          <mc:Choice Requires="wps">
            <w:drawing>
              <wp:anchor distT="0" distB="0" distL="0" distR="0" simplePos="0" relativeHeight="251686400" behindDoc="0" locked="0" layoutInCell="0" allowOverlap="1">
                <wp:simplePos x="0" y="0"/>
                <wp:positionH relativeFrom="page">
                  <wp:posOffset>549910</wp:posOffset>
                </wp:positionH>
                <wp:positionV relativeFrom="paragraph">
                  <wp:posOffset>149225</wp:posOffset>
                </wp:positionV>
                <wp:extent cx="6348095" cy="12700"/>
                <wp:effectExtent l="0" t="0" r="0" b="0"/>
                <wp:wrapTopAndBottom/>
                <wp:docPr id="533" name="Freeform 4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48095" cy="12700"/>
                        </a:xfrm>
                        <a:custGeom>
                          <a:avLst/>
                          <a:gdLst>
                            <a:gd name="T0" fmla="*/ 0 w 9997"/>
                            <a:gd name="T1" fmla="*/ 0 h 20"/>
                            <a:gd name="T2" fmla="*/ 9997 w 9997"/>
                            <a:gd name="T3" fmla="*/ 0 h 20"/>
                          </a:gdLst>
                          <a:ahLst/>
                          <a:cxnLst>
                            <a:cxn ang="0">
                              <a:pos x="T0" y="T1"/>
                            </a:cxn>
                            <a:cxn ang="0">
                              <a:pos x="T2" y="T3"/>
                            </a:cxn>
                          </a:cxnLst>
                          <a:rect l="0" t="0" r="r" b="b"/>
                          <a:pathLst>
                            <a:path w="9997" h="20">
                              <a:moveTo>
                                <a:pt x="0" y="0"/>
                              </a:moveTo>
                              <a:lnTo>
                                <a:pt x="9997" y="0"/>
                              </a:lnTo>
                            </a:path>
                          </a:pathLst>
                        </a:custGeom>
                        <a:noFill/>
                        <a:ln w="13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92" o:spid="_x0000_s1026" style="position:absolute;z-index:251686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43.3pt,11.75pt,543.15pt,11.75pt" coordsize="999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" o:allowincell="f" filled="f" strokeweight=".37922mm">
                <v:path arrowok="t" o:connecttype="custom" o:connectlocs="0,0;6348095,0" o:connectangles="0,0"/>
                <w10:wrap type="topAndBottom" anchorx="page"/>
              </v:polyline>
            </w:pict>
          </mc:Fallback>
        </mc:AlternateContent>
      </w:r>
    </w:p>
    <w:p w:rsidR="002C5025" w:rsidRDefault="002C5025">
      <w:pPr>
        <w:pStyle w:val="BodyText"/>
        <w:tabs>
          <w:tab w:val="left" w:pos="6819"/>
          <w:tab w:val="left" w:pos="8094"/>
          <w:tab w:val="left" w:pos="9411"/>
        </w:tabs>
        <w:kinsoku w:val="0"/>
        <w:overflowPunct w:val="0"/>
        <w:spacing w:before="69"/>
        <w:ind w:left="2956"/>
        <w:rPr>
          <w:rFonts w:ascii="Arial" w:hAnsi="Arial" w:cs="Arial"/>
          <w:w w:val="95"/>
          <w:sz w:val="16"/>
          <w:szCs w:val="16"/>
        </w:rPr>
      </w:pPr>
      <w:r>
        <w:rPr>
          <w:rFonts w:ascii="Arial" w:hAnsi="Arial" w:cs="Arial"/>
          <w:w w:val="90"/>
          <w:sz w:val="16"/>
          <w:szCs w:val="16"/>
        </w:rPr>
        <w:t>14</w:t>
      </w:r>
      <w:r>
        <w:rPr>
          <w:rFonts w:ascii="Arial" w:hAnsi="Arial" w:cs="Arial"/>
          <w:spacing w:val="-34"/>
          <w:w w:val="90"/>
          <w:sz w:val="16"/>
          <w:szCs w:val="16"/>
        </w:rPr>
        <w:t xml:space="preserve"> </w:t>
      </w:r>
      <w:r>
        <w:rPr>
          <w:rFonts w:ascii="Arial" w:hAnsi="Arial" w:cs="Arial"/>
          <w:w w:val="90"/>
          <w:sz w:val="16"/>
          <w:szCs w:val="16"/>
        </w:rPr>
        <w:t>Beacon</w:t>
      </w:r>
      <w:r>
        <w:rPr>
          <w:rFonts w:ascii="Arial" w:hAnsi="Arial" w:cs="Arial"/>
          <w:spacing w:val="-29"/>
          <w:w w:val="90"/>
          <w:sz w:val="16"/>
          <w:szCs w:val="16"/>
        </w:rPr>
        <w:t xml:space="preserve"> </w:t>
      </w:r>
      <w:r>
        <w:rPr>
          <w:rFonts w:ascii="Arial" w:hAnsi="Arial" w:cs="Arial"/>
          <w:w w:val="90"/>
          <w:sz w:val="16"/>
          <w:szCs w:val="16"/>
        </w:rPr>
        <w:t>Street,</w:t>
      </w:r>
      <w:r>
        <w:rPr>
          <w:rFonts w:ascii="Arial" w:hAnsi="Arial" w:cs="Arial"/>
          <w:spacing w:val="-26"/>
          <w:w w:val="90"/>
          <w:sz w:val="16"/>
          <w:szCs w:val="16"/>
        </w:rPr>
        <w:t xml:space="preserve"> </w:t>
      </w:r>
      <w:r>
        <w:rPr>
          <w:rFonts w:ascii="Arial" w:hAnsi="Arial" w:cs="Arial"/>
          <w:w w:val="90"/>
          <w:sz w:val="16"/>
          <w:szCs w:val="16"/>
        </w:rPr>
        <w:t>Suite</w:t>
      </w:r>
      <w:r>
        <w:rPr>
          <w:rFonts w:ascii="Arial" w:hAnsi="Arial" w:cs="Arial"/>
          <w:spacing w:val="-28"/>
          <w:w w:val="90"/>
          <w:sz w:val="16"/>
          <w:szCs w:val="16"/>
        </w:rPr>
        <w:t xml:space="preserve"> </w:t>
      </w:r>
      <w:r>
        <w:rPr>
          <w:rFonts w:ascii="Arial" w:hAnsi="Arial" w:cs="Arial"/>
          <w:w w:val="90"/>
          <w:sz w:val="16"/>
          <w:szCs w:val="16"/>
        </w:rPr>
        <w:t>507</w:t>
      </w:r>
      <w:r>
        <w:rPr>
          <w:rFonts w:ascii="Arial" w:hAnsi="Arial" w:cs="Arial"/>
          <w:spacing w:val="28"/>
          <w:w w:val="90"/>
          <w:sz w:val="16"/>
          <w:szCs w:val="16"/>
        </w:rPr>
        <w:t xml:space="preserve"> </w:t>
      </w:r>
      <w:r>
        <w:rPr>
          <w:rFonts w:ascii="Arial" w:hAnsi="Arial" w:cs="Arial"/>
          <w:w w:val="90"/>
          <w:sz w:val="16"/>
          <w:szCs w:val="16"/>
        </w:rPr>
        <w:t>Boston,</w:t>
      </w:r>
      <w:r>
        <w:rPr>
          <w:rFonts w:ascii="Arial" w:hAnsi="Arial" w:cs="Arial"/>
          <w:spacing w:val="-27"/>
          <w:w w:val="90"/>
          <w:sz w:val="16"/>
          <w:szCs w:val="16"/>
        </w:rPr>
        <w:t xml:space="preserve"> </w:t>
      </w:r>
      <w:r>
        <w:rPr>
          <w:rFonts w:ascii="Arial" w:hAnsi="Arial" w:cs="Arial"/>
          <w:w w:val="90"/>
          <w:sz w:val="16"/>
          <w:szCs w:val="16"/>
        </w:rPr>
        <w:t>Massachusetts</w:t>
      </w:r>
      <w:r>
        <w:rPr>
          <w:rFonts w:ascii="Arial" w:hAnsi="Arial" w:cs="Arial"/>
          <w:spacing w:val="-23"/>
          <w:w w:val="90"/>
          <w:sz w:val="16"/>
          <w:szCs w:val="16"/>
        </w:rPr>
        <w:t xml:space="preserve"> </w:t>
      </w:r>
      <w:r>
        <w:rPr>
          <w:rFonts w:ascii="Arial" w:hAnsi="Arial" w:cs="Arial"/>
          <w:w w:val="90"/>
          <w:sz w:val="16"/>
          <w:szCs w:val="16"/>
        </w:rPr>
        <w:t>02108</w:t>
      </w:r>
      <w:r>
        <w:rPr>
          <w:rFonts w:ascii="Arial" w:hAnsi="Arial" w:cs="Arial"/>
          <w:w w:val="90"/>
          <w:sz w:val="16"/>
          <w:szCs w:val="16"/>
        </w:rPr>
        <w:tab/>
      </w:r>
      <w:r>
        <w:rPr>
          <w:rFonts w:ascii="Arial" w:hAnsi="Arial" w:cs="Arial"/>
          <w:w w:val="95"/>
          <w:sz w:val="16"/>
          <w:szCs w:val="16"/>
        </w:rPr>
        <w:t>Tel</w:t>
      </w:r>
      <w:r>
        <w:rPr>
          <w:rFonts w:ascii="Arial" w:hAnsi="Arial" w:cs="Arial"/>
          <w:spacing w:val="-30"/>
          <w:w w:val="95"/>
          <w:sz w:val="16"/>
          <w:szCs w:val="16"/>
        </w:rPr>
        <w:t xml:space="preserve"> </w:t>
      </w:r>
      <w:r>
        <w:rPr>
          <w:rFonts w:ascii="Arial" w:hAnsi="Arial" w:cs="Arial"/>
          <w:w w:val="95"/>
          <w:sz w:val="16"/>
          <w:szCs w:val="16"/>
        </w:rPr>
        <w:t>617</w:t>
      </w:r>
      <w:r>
        <w:rPr>
          <w:rFonts w:ascii="Arial" w:hAnsi="Arial" w:cs="Arial"/>
          <w:spacing w:val="-33"/>
          <w:w w:val="95"/>
          <w:sz w:val="16"/>
          <w:szCs w:val="16"/>
        </w:rPr>
        <w:t xml:space="preserve"> </w:t>
      </w:r>
      <w:r>
        <w:rPr>
          <w:rFonts w:ascii="Arial" w:hAnsi="Arial" w:cs="Arial"/>
          <w:w w:val="95"/>
          <w:sz w:val="16"/>
          <w:szCs w:val="16"/>
        </w:rPr>
        <w:t>248</w:t>
      </w:r>
      <w:r>
        <w:rPr>
          <w:rFonts w:ascii="Arial" w:hAnsi="Arial" w:cs="Arial"/>
          <w:spacing w:val="-30"/>
          <w:w w:val="95"/>
          <w:sz w:val="16"/>
          <w:szCs w:val="16"/>
        </w:rPr>
        <w:t xml:space="preserve"> </w:t>
      </w:r>
      <w:r>
        <w:rPr>
          <w:rFonts w:ascii="Arial" w:hAnsi="Arial" w:cs="Arial"/>
          <w:w w:val="95"/>
          <w:sz w:val="16"/>
          <w:szCs w:val="16"/>
        </w:rPr>
        <w:t>0922</w:t>
      </w:r>
      <w:r>
        <w:rPr>
          <w:rFonts w:ascii="Arial" w:hAnsi="Arial" w:cs="Arial"/>
          <w:w w:val="95"/>
          <w:sz w:val="16"/>
          <w:szCs w:val="16"/>
        </w:rPr>
        <w:tab/>
        <w:t>Fax</w:t>
      </w:r>
      <w:r>
        <w:rPr>
          <w:rFonts w:ascii="Arial" w:hAnsi="Arial" w:cs="Arial"/>
          <w:spacing w:val="-35"/>
          <w:w w:val="95"/>
          <w:sz w:val="16"/>
          <w:szCs w:val="16"/>
        </w:rPr>
        <w:t xml:space="preserve"> </w:t>
      </w:r>
      <w:r>
        <w:rPr>
          <w:rFonts w:ascii="Arial" w:hAnsi="Arial" w:cs="Arial"/>
          <w:w w:val="95"/>
          <w:sz w:val="16"/>
          <w:szCs w:val="16"/>
        </w:rPr>
        <w:t>617</w:t>
      </w:r>
      <w:r>
        <w:rPr>
          <w:rFonts w:ascii="Arial" w:hAnsi="Arial" w:cs="Arial"/>
          <w:spacing w:val="-36"/>
          <w:w w:val="95"/>
          <w:sz w:val="16"/>
          <w:szCs w:val="16"/>
        </w:rPr>
        <w:t xml:space="preserve"> </w:t>
      </w:r>
      <w:r>
        <w:rPr>
          <w:rFonts w:ascii="Arial" w:hAnsi="Arial" w:cs="Arial"/>
          <w:w w:val="95"/>
          <w:sz w:val="16"/>
          <w:szCs w:val="16"/>
        </w:rPr>
        <w:t>248</w:t>
      </w:r>
      <w:r>
        <w:rPr>
          <w:rFonts w:ascii="Arial" w:hAnsi="Arial" w:cs="Arial"/>
          <w:spacing w:val="-36"/>
          <w:w w:val="95"/>
          <w:sz w:val="16"/>
          <w:szCs w:val="16"/>
        </w:rPr>
        <w:t xml:space="preserve"> </w:t>
      </w:r>
      <w:r>
        <w:rPr>
          <w:rFonts w:ascii="Arial" w:hAnsi="Arial" w:cs="Arial"/>
          <w:w w:val="95"/>
          <w:sz w:val="16"/>
          <w:szCs w:val="16"/>
        </w:rPr>
        <w:t>0902</w:t>
      </w:r>
      <w:r>
        <w:rPr>
          <w:rFonts w:ascii="Arial" w:hAnsi="Arial" w:cs="Arial"/>
          <w:w w:val="95"/>
          <w:sz w:val="16"/>
          <w:szCs w:val="16"/>
        </w:rPr>
        <w:tab/>
      </w:r>
      <w:hyperlink r:id="rId383" w:history="1">
        <w:r>
          <w:rPr>
            <w:rFonts w:ascii="Arial" w:hAnsi="Arial" w:cs="Arial"/>
            <w:w w:val="95"/>
            <w:sz w:val="16"/>
            <w:szCs w:val="16"/>
          </w:rPr>
          <w:t>www.JaneDoe.org</w:t>
        </w:r>
      </w:hyperlink>
    </w:p>
    <w:p w:rsidR="002C5025" w:rsidRDefault="002C5025">
      <w:pPr>
        <w:pStyle w:val="BodyText"/>
        <w:kinsoku w:val="0"/>
        <w:overflowPunct w:val="0"/>
        <w:rPr>
          <w:rFonts w:ascii="Arial" w:hAnsi="Arial" w:cs="Arial"/>
          <w:sz w:val="16"/>
          <w:szCs w:val="16"/>
        </w:rPr>
      </w:pPr>
    </w:p>
    <w:p w:rsidR="002C5025" w:rsidRDefault="002C5025">
      <w:pPr>
        <w:pStyle w:val="BodyText"/>
        <w:kinsoku w:val="0"/>
        <w:overflowPunct w:val="0"/>
        <w:spacing w:before="6"/>
        <w:rPr>
          <w:rFonts w:ascii="Arial" w:hAnsi="Arial" w:cs="Arial"/>
          <w:sz w:val="13"/>
          <w:szCs w:val="13"/>
        </w:rPr>
      </w:pPr>
    </w:p>
    <w:p w:rsidR="002C5025" w:rsidRDefault="002C5025">
      <w:pPr>
        <w:pStyle w:val="BodyText"/>
        <w:kinsoku w:val="0"/>
        <w:overflowPunct w:val="0"/>
        <w:ind w:left="841"/>
        <w:rPr>
          <w:rFonts w:ascii="Times New Roman" w:hAnsi="Times New Roman" w:cs="Times New Roman"/>
          <w:sz w:val="23"/>
          <w:szCs w:val="23"/>
        </w:rPr>
      </w:pPr>
      <w:r>
        <w:rPr>
          <w:rFonts w:ascii="Times New Roman" w:hAnsi="Times New Roman" w:cs="Times New Roman"/>
          <w:i/>
          <w:iCs/>
          <w:sz w:val="24"/>
          <w:szCs w:val="24"/>
        </w:rPr>
        <w:t xml:space="preserve">Jul y </w:t>
      </w:r>
      <w:r>
        <w:rPr>
          <w:rFonts w:ascii="Times New Roman" w:hAnsi="Times New Roman" w:cs="Times New Roman"/>
          <w:sz w:val="23"/>
          <w:szCs w:val="23"/>
        </w:rPr>
        <w:t>15, 2016</w:t>
      </w:r>
    </w:p>
    <w:p w:rsidR="002C5025" w:rsidRDefault="002C5025">
      <w:pPr>
        <w:pStyle w:val="BodyText"/>
        <w:kinsoku w:val="0"/>
        <w:overflowPunct w:val="0"/>
        <w:spacing w:before="194" w:line="249" w:lineRule="auto"/>
        <w:ind w:left="834" w:right="6923" w:firstLine="14"/>
        <w:rPr>
          <w:rFonts w:ascii="Times New Roman" w:hAnsi="Times New Roman" w:cs="Times New Roman"/>
          <w:sz w:val="23"/>
          <w:szCs w:val="23"/>
        </w:rPr>
      </w:pPr>
      <w:r>
        <w:rPr>
          <w:rFonts w:ascii="Times New Roman" w:hAnsi="Times New Roman" w:cs="Times New Roman"/>
          <w:sz w:val="23"/>
          <w:szCs w:val="23"/>
        </w:rPr>
        <w:t>EOHHS Office of Medicaid One</w:t>
      </w:r>
      <w:r>
        <w:rPr>
          <w:rFonts w:ascii="Times New Roman" w:hAnsi="Times New Roman" w:cs="Times New Roman"/>
          <w:spacing w:val="-23"/>
          <w:sz w:val="23"/>
          <w:szCs w:val="23"/>
        </w:rPr>
        <w:t xml:space="preserve"> </w:t>
      </w:r>
      <w:r>
        <w:rPr>
          <w:rFonts w:ascii="Times New Roman" w:hAnsi="Times New Roman" w:cs="Times New Roman"/>
          <w:sz w:val="23"/>
          <w:szCs w:val="23"/>
        </w:rPr>
        <w:t>Ashburton</w:t>
      </w:r>
      <w:r>
        <w:rPr>
          <w:rFonts w:ascii="Times New Roman" w:hAnsi="Times New Roman" w:cs="Times New Roman"/>
          <w:spacing w:val="-10"/>
          <w:sz w:val="23"/>
          <w:szCs w:val="23"/>
        </w:rPr>
        <w:t xml:space="preserve"> </w:t>
      </w:r>
      <w:r>
        <w:rPr>
          <w:rFonts w:ascii="Times New Roman" w:hAnsi="Times New Roman" w:cs="Times New Roman"/>
          <w:sz w:val="23"/>
          <w:szCs w:val="23"/>
        </w:rPr>
        <w:t>Place,</w:t>
      </w:r>
      <w:r>
        <w:rPr>
          <w:rFonts w:ascii="Times New Roman" w:hAnsi="Times New Roman" w:cs="Times New Roman"/>
          <w:spacing w:val="-3"/>
          <w:sz w:val="23"/>
          <w:szCs w:val="23"/>
        </w:rPr>
        <w:t xml:space="preserve"> </w:t>
      </w:r>
      <w:r>
        <w:rPr>
          <w:rFonts w:ascii="Times New Roman" w:hAnsi="Times New Roman" w:cs="Times New Roman"/>
          <w:sz w:val="23"/>
          <w:szCs w:val="23"/>
        </w:rPr>
        <w:t>11th</w:t>
      </w:r>
      <w:r>
        <w:rPr>
          <w:rFonts w:ascii="Times New Roman" w:hAnsi="Times New Roman" w:cs="Times New Roman"/>
          <w:spacing w:val="-22"/>
          <w:sz w:val="23"/>
          <w:szCs w:val="23"/>
        </w:rPr>
        <w:t xml:space="preserve"> </w:t>
      </w:r>
      <w:r>
        <w:rPr>
          <w:rFonts w:ascii="Times New Roman" w:hAnsi="Times New Roman" w:cs="Times New Roman"/>
          <w:sz w:val="23"/>
          <w:szCs w:val="23"/>
        </w:rPr>
        <w:t>Floor Boston, MA</w:t>
      </w:r>
      <w:r>
        <w:rPr>
          <w:rFonts w:ascii="Times New Roman" w:hAnsi="Times New Roman" w:cs="Times New Roman"/>
          <w:spacing w:val="13"/>
          <w:sz w:val="23"/>
          <w:szCs w:val="23"/>
        </w:rPr>
        <w:t xml:space="preserve"> </w:t>
      </w:r>
      <w:r>
        <w:rPr>
          <w:rFonts w:ascii="Times New Roman" w:hAnsi="Times New Roman" w:cs="Times New Roman"/>
          <w:sz w:val="23"/>
          <w:szCs w:val="23"/>
        </w:rPr>
        <w:t>02108</w:t>
      </w:r>
    </w:p>
    <w:p w:rsidR="002C5025" w:rsidRDefault="002C5025">
      <w:pPr>
        <w:pStyle w:val="BodyText"/>
        <w:kinsoku w:val="0"/>
        <w:overflowPunct w:val="0"/>
        <w:spacing w:before="3"/>
        <w:ind w:left="834"/>
        <w:rPr>
          <w:rFonts w:ascii="Times New Roman" w:hAnsi="Times New Roman" w:cs="Times New Roman"/>
          <w:sz w:val="23"/>
          <w:szCs w:val="23"/>
        </w:rPr>
      </w:pPr>
      <w:r>
        <w:rPr>
          <w:rFonts w:ascii="Times New Roman" w:hAnsi="Times New Roman" w:cs="Times New Roman"/>
          <w:sz w:val="23"/>
          <w:szCs w:val="23"/>
        </w:rPr>
        <w:t>Attn: 1115 Demonstration Comments</w:t>
      </w:r>
    </w:p>
    <w:p w:rsidR="002C5025" w:rsidRDefault="002C5025">
      <w:pPr>
        <w:pStyle w:val="BodyText"/>
        <w:kinsoku w:val="0"/>
        <w:overflowPunct w:val="0"/>
        <w:spacing w:before="9"/>
        <w:rPr>
          <w:rFonts w:ascii="Times New Roman" w:hAnsi="Times New Roman" w:cs="Times New Roman"/>
          <w:sz w:val="24"/>
          <w:szCs w:val="24"/>
        </w:rPr>
      </w:pPr>
    </w:p>
    <w:p w:rsidR="002C5025" w:rsidRDefault="002C5025">
      <w:pPr>
        <w:pStyle w:val="BodyText"/>
        <w:kinsoku w:val="0"/>
        <w:overflowPunct w:val="0"/>
        <w:spacing w:line="501" w:lineRule="auto"/>
        <w:ind w:left="834" w:right="4791" w:hanging="1"/>
        <w:rPr>
          <w:rFonts w:ascii="Times New Roman" w:hAnsi="Times New Roman" w:cs="Times New Roman"/>
          <w:sz w:val="23"/>
          <w:szCs w:val="23"/>
        </w:rPr>
      </w:pPr>
      <w:r>
        <w:rPr>
          <w:rFonts w:ascii="Times New Roman" w:hAnsi="Times New Roman" w:cs="Times New Roman"/>
          <w:sz w:val="23"/>
          <w:szCs w:val="23"/>
        </w:rPr>
        <w:t xml:space="preserve">RE: Comments on Demonstration Extension Request To Whom  </w:t>
      </w:r>
      <w:r>
        <w:rPr>
          <w:rFonts w:ascii="Arial" w:hAnsi="Arial" w:cs="Arial"/>
        </w:rPr>
        <w:t xml:space="preserve">It </w:t>
      </w:r>
      <w:r>
        <w:rPr>
          <w:rFonts w:ascii="Times New Roman" w:hAnsi="Times New Roman" w:cs="Times New Roman"/>
          <w:sz w:val="23"/>
          <w:szCs w:val="23"/>
        </w:rPr>
        <w:t>May Concern:</w:t>
      </w:r>
    </w:p>
    <w:p w:rsidR="002C5025" w:rsidRDefault="002C5025">
      <w:pPr>
        <w:pStyle w:val="BodyText"/>
        <w:kinsoku w:val="0"/>
        <w:overflowPunct w:val="0"/>
        <w:spacing w:before="26" w:line="266" w:lineRule="auto"/>
        <w:ind w:left="816" w:right="1088" w:firstLine="10"/>
        <w:jc w:val="both"/>
        <w:rPr>
          <w:rFonts w:ascii="Times New Roman" w:hAnsi="Times New Roman" w:cs="Times New Roman"/>
          <w:sz w:val="23"/>
          <w:szCs w:val="23"/>
        </w:rPr>
      </w:pPr>
      <w:r>
        <w:rPr>
          <w:rFonts w:ascii="Times New Roman" w:hAnsi="Times New Roman" w:cs="Times New Roman"/>
          <w:sz w:val="23"/>
          <w:szCs w:val="23"/>
        </w:rPr>
        <w:t>On behalf of Jane Doe Inc. (JDI) and our 56 community-based member agencies that provide direct services to sexual and domestic violence survivors throughout Massachusetts, we thank you for the opportunity to offer comments with regard to the 1115 Demonstration  Extension.</w:t>
      </w:r>
    </w:p>
    <w:p w:rsidR="002C5025" w:rsidRDefault="002C5025">
      <w:pPr>
        <w:pStyle w:val="BodyText"/>
        <w:kinsoku w:val="0"/>
        <w:overflowPunct w:val="0"/>
        <w:spacing w:before="166" w:line="268" w:lineRule="auto"/>
        <w:ind w:left="815" w:right="1015" w:firstLine="14"/>
        <w:rPr>
          <w:rFonts w:ascii="Times New Roman" w:hAnsi="Times New Roman" w:cs="Times New Roman"/>
          <w:sz w:val="23"/>
          <w:szCs w:val="23"/>
        </w:rPr>
      </w:pPr>
      <w:r>
        <w:rPr>
          <w:rFonts w:ascii="Times New Roman" w:hAnsi="Times New Roman" w:cs="Times New Roman"/>
          <w:sz w:val="23"/>
          <w:szCs w:val="23"/>
        </w:rPr>
        <w:t xml:space="preserve">JDI, the Massachusetts Coalition Against Sexual Assault and Domestic Violence, is a social change organization  committed </w:t>
      </w:r>
      <w:r>
        <w:rPr>
          <w:rFonts w:ascii="Arial" w:hAnsi="Arial" w:cs="Arial"/>
          <w:sz w:val="20"/>
          <w:szCs w:val="20"/>
        </w:rPr>
        <w:t xml:space="preserve">to </w:t>
      </w:r>
      <w:r>
        <w:rPr>
          <w:rFonts w:ascii="Times New Roman" w:hAnsi="Times New Roman" w:cs="Times New Roman"/>
          <w:sz w:val="23"/>
          <w:szCs w:val="23"/>
        </w:rPr>
        <w:t xml:space="preserve">addressing the root causes of sexual and domestic violence and promoting justice, safety, and healing for survivors. JDI's member programs are part of a comprehensive network of sexual and domestic violence prevention and services organizations, meeting the needs of victims and survivors across the Commonwealth by providing free and confidential services to individuals, families and communities, including education, training and public awareness about these issues. As such, we direct our comments specifically to the  inclusion of flexible services to address health related social needs within Accountable Care Organizations, specifically sexual assault and domestic violence services, and request that  DSRIP funding be directed to support the work of these existing local programs as part of a referral network for regional Accountable Care </w:t>
      </w:r>
      <w:r>
        <w:rPr>
          <w:rFonts w:ascii="Times New Roman" w:hAnsi="Times New Roman" w:cs="Times New Roman"/>
          <w:spacing w:val="8"/>
          <w:sz w:val="23"/>
          <w:szCs w:val="23"/>
        </w:rPr>
        <w:t xml:space="preserve"> </w:t>
      </w:r>
      <w:r>
        <w:rPr>
          <w:rFonts w:ascii="Times New Roman" w:hAnsi="Times New Roman" w:cs="Times New Roman"/>
          <w:sz w:val="23"/>
          <w:szCs w:val="23"/>
        </w:rPr>
        <w:t>Organizations.</w:t>
      </w:r>
    </w:p>
    <w:p w:rsidR="002C5025" w:rsidRDefault="002C5025">
      <w:pPr>
        <w:pStyle w:val="BodyText"/>
        <w:kinsoku w:val="0"/>
        <w:overflowPunct w:val="0"/>
        <w:spacing w:before="165" w:line="271" w:lineRule="auto"/>
        <w:ind w:left="815" w:right="1015" w:firstLine="12"/>
        <w:rPr>
          <w:rFonts w:ascii="Times New Roman" w:hAnsi="Times New Roman" w:cs="Times New Roman"/>
          <w:sz w:val="23"/>
          <w:szCs w:val="23"/>
        </w:rPr>
      </w:pPr>
      <w:r>
        <w:rPr>
          <w:rFonts w:ascii="Times New Roman" w:hAnsi="Times New Roman" w:cs="Times New Roman"/>
          <w:sz w:val="23"/>
          <w:szCs w:val="23"/>
        </w:rPr>
        <w:t>Sexual and domestic violence continues to be a significant problem in MA and the connections between experiencing sexual and domestic violence and health outcomes has been well documented:</w:t>
      </w:r>
    </w:p>
    <w:p w:rsidR="002C5025" w:rsidRDefault="002C5025">
      <w:pPr>
        <w:pStyle w:val="ListParagraph"/>
        <w:numPr>
          <w:ilvl w:val="1"/>
          <w:numId w:val="9"/>
        </w:numPr>
        <w:tabs>
          <w:tab w:val="left" w:pos="1531"/>
        </w:tabs>
        <w:kinsoku w:val="0"/>
        <w:overflowPunct w:val="0"/>
        <w:spacing w:before="180" w:line="278" w:lineRule="auto"/>
        <w:ind w:right="790" w:hanging="343"/>
        <w:rPr>
          <w:spacing w:val="2"/>
          <w:position w:val="9"/>
          <w:sz w:val="16"/>
          <w:szCs w:val="16"/>
        </w:rPr>
      </w:pPr>
      <w:r>
        <w:rPr>
          <w:sz w:val="23"/>
          <w:szCs w:val="23"/>
        </w:rPr>
        <w:t>According to a 2010 study, nearly 1 in 3 women and 1 in 5 men in Massachusetts experienced rape, physical violence and/or stalking by an intimate partner; More than  1 in 7 women in Massachusetts  were</w:t>
      </w:r>
      <w:r>
        <w:rPr>
          <w:spacing w:val="-6"/>
          <w:sz w:val="23"/>
          <w:szCs w:val="23"/>
        </w:rPr>
        <w:t xml:space="preserve"> </w:t>
      </w:r>
      <w:r>
        <w:rPr>
          <w:spacing w:val="2"/>
          <w:sz w:val="23"/>
          <w:szCs w:val="23"/>
        </w:rPr>
        <w:t>raped.</w:t>
      </w:r>
      <w:r>
        <w:rPr>
          <w:spacing w:val="2"/>
          <w:position w:val="9"/>
          <w:sz w:val="16"/>
          <w:szCs w:val="16"/>
        </w:rPr>
        <w:t>1</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FB027C">
      <w:pPr>
        <w:pStyle w:val="BodyText"/>
        <w:kinsoku w:val="0"/>
        <w:overflowPunct w:val="0"/>
        <w:spacing w:before="9"/>
        <w:rPr>
          <w:rFonts w:ascii="Times New Roman" w:hAnsi="Times New Roman" w:cs="Times New Roman"/>
          <w:sz w:val="27"/>
          <w:szCs w:val="27"/>
        </w:rPr>
      </w:pPr>
      <w:r>
        <w:rPr>
          <w:noProof/>
        </w:rPr>
        <mc:AlternateContent>
          <mc:Choice Requires="wps">
            <w:drawing>
              <wp:anchor distT="0" distB="0" distL="0" distR="0" simplePos="0" relativeHeight="251687424" behindDoc="0" locked="0" layoutInCell="0" allowOverlap="1">
                <wp:simplePos x="0" y="0"/>
                <wp:positionH relativeFrom="page">
                  <wp:posOffset>982980</wp:posOffset>
                </wp:positionH>
                <wp:positionV relativeFrom="paragraph">
                  <wp:posOffset>234315</wp:posOffset>
                </wp:positionV>
                <wp:extent cx="1811020" cy="12700"/>
                <wp:effectExtent l="0" t="0" r="0" b="0"/>
                <wp:wrapTopAndBottom/>
                <wp:docPr id="532" name="Freeform 4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11020" cy="12700"/>
                        </a:xfrm>
                        <a:custGeom>
                          <a:avLst/>
                          <a:gdLst>
                            <a:gd name="T0" fmla="*/ 0 w 2852"/>
                            <a:gd name="T1" fmla="*/ 0 h 20"/>
                            <a:gd name="T2" fmla="*/ 2852 w 2852"/>
                            <a:gd name="T3" fmla="*/ 0 h 20"/>
                          </a:gdLst>
                          <a:ahLst/>
                          <a:cxnLst>
                            <a:cxn ang="0">
                              <a:pos x="T0" y="T1"/>
                            </a:cxn>
                            <a:cxn ang="0">
                              <a:pos x="T2" y="T3"/>
                            </a:cxn>
                          </a:cxnLst>
                          <a:rect l="0" t="0" r="r" b="b"/>
                          <a:pathLst>
                            <a:path w="2852" h="20">
                              <a:moveTo>
                                <a:pt x="0" y="0"/>
                              </a:moveTo>
                              <a:lnTo>
                                <a:pt x="2852" y="0"/>
                              </a:lnTo>
                            </a:path>
                          </a:pathLst>
                        </a:custGeom>
                        <a:noFill/>
                        <a:ln w="13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93" o:spid="_x0000_s1026" style="position:absolute;z-index:251687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7.4pt,18.45pt,220pt,18.45pt" coordsize="285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" o:allowincell="f" filled="f" strokeweight=".37922mm">
                <v:path arrowok="t" o:connecttype="custom" o:connectlocs="0,0;1811020,0" o:connectangles="0,0"/>
                <w10:wrap type="topAndBottom" anchorx="page"/>
              </v:polyline>
            </w:pict>
          </mc:Fallback>
        </mc:AlternateContent>
      </w:r>
    </w:p>
    <w:p w:rsidR="002C5025" w:rsidRDefault="002C5025">
      <w:pPr>
        <w:pStyle w:val="BodyText"/>
        <w:kinsoku w:val="0"/>
        <w:overflowPunct w:val="0"/>
        <w:spacing w:before="85" w:line="297" w:lineRule="auto"/>
        <w:ind w:left="805" w:right="580" w:firstLine="7"/>
        <w:rPr>
          <w:rFonts w:ascii="Arial" w:hAnsi="Arial" w:cs="Arial"/>
          <w:w w:val="105"/>
          <w:sz w:val="17"/>
          <w:szCs w:val="17"/>
        </w:rPr>
      </w:pPr>
      <w:r>
        <w:rPr>
          <w:rFonts w:ascii="Times New Roman" w:hAnsi="Times New Roman" w:cs="Times New Roman"/>
          <w:w w:val="105"/>
          <w:position w:val="6"/>
          <w:sz w:val="12"/>
          <w:szCs w:val="12"/>
        </w:rPr>
        <w:t>1</w:t>
      </w:r>
      <w:r>
        <w:rPr>
          <w:rFonts w:ascii="Arial" w:hAnsi="Arial" w:cs="Arial"/>
          <w:w w:val="105"/>
          <w:sz w:val="17"/>
          <w:szCs w:val="17"/>
        </w:rPr>
        <w:t xml:space="preserve">Black, M.C., </w:t>
      </w:r>
      <w:proofErr w:type="spellStart"/>
      <w:r>
        <w:rPr>
          <w:rFonts w:ascii="Arial" w:hAnsi="Arial" w:cs="Arial"/>
          <w:w w:val="105"/>
          <w:sz w:val="17"/>
          <w:szCs w:val="17"/>
        </w:rPr>
        <w:t>Basile</w:t>
      </w:r>
      <w:proofErr w:type="spellEnd"/>
      <w:r>
        <w:rPr>
          <w:rFonts w:ascii="Arial" w:hAnsi="Arial" w:cs="Arial"/>
          <w:w w:val="105"/>
          <w:sz w:val="17"/>
          <w:szCs w:val="17"/>
        </w:rPr>
        <w:t xml:space="preserve">, K.C., </w:t>
      </w:r>
      <w:proofErr w:type="spellStart"/>
      <w:r>
        <w:rPr>
          <w:rFonts w:ascii="Arial" w:hAnsi="Arial" w:cs="Arial"/>
          <w:w w:val="105"/>
          <w:sz w:val="17"/>
          <w:szCs w:val="17"/>
        </w:rPr>
        <w:t>Breiding</w:t>
      </w:r>
      <w:proofErr w:type="spellEnd"/>
      <w:r>
        <w:rPr>
          <w:rFonts w:ascii="Arial" w:hAnsi="Arial" w:cs="Arial"/>
          <w:w w:val="105"/>
          <w:sz w:val="17"/>
          <w:szCs w:val="17"/>
        </w:rPr>
        <w:t xml:space="preserve">, </w:t>
      </w:r>
      <w:proofErr w:type="spellStart"/>
      <w:r>
        <w:rPr>
          <w:rFonts w:ascii="Arial" w:hAnsi="Arial" w:cs="Arial"/>
          <w:w w:val="105"/>
          <w:sz w:val="17"/>
          <w:szCs w:val="17"/>
        </w:rPr>
        <w:t>M.J.,Smith</w:t>
      </w:r>
      <w:proofErr w:type="spellEnd"/>
      <w:r>
        <w:rPr>
          <w:rFonts w:ascii="Arial" w:hAnsi="Arial" w:cs="Arial"/>
          <w:w w:val="105"/>
          <w:sz w:val="17"/>
          <w:szCs w:val="17"/>
        </w:rPr>
        <w:t xml:space="preserve">, </w:t>
      </w:r>
      <w:proofErr w:type="spellStart"/>
      <w:r>
        <w:rPr>
          <w:rFonts w:ascii="Arial" w:hAnsi="Arial" w:cs="Arial"/>
          <w:w w:val="105"/>
          <w:sz w:val="17"/>
          <w:szCs w:val="17"/>
        </w:rPr>
        <w:t>S.G.,Walters</w:t>
      </w:r>
      <w:proofErr w:type="spellEnd"/>
      <w:r>
        <w:rPr>
          <w:rFonts w:ascii="Arial" w:hAnsi="Arial" w:cs="Arial"/>
          <w:w w:val="105"/>
          <w:sz w:val="17"/>
          <w:szCs w:val="17"/>
        </w:rPr>
        <w:t xml:space="preserve">, M.L., Merrick, </w:t>
      </w:r>
      <w:proofErr w:type="spellStart"/>
      <w:r>
        <w:rPr>
          <w:rFonts w:ascii="Arial" w:hAnsi="Arial" w:cs="Arial"/>
          <w:w w:val="105"/>
          <w:sz w:val="17"/>
          <w:szCs w:val="17"/>
        </w:rPr>
        <w:t>M.T.,Chen</w:t>
      </w:r>
      <w:proofErr w:type="spellEnd"/>
      <w:r>
        <w:rPr>
          <w:rFonts w:ascii="Arial" w:hAnsi="Arial" w:cs="Arial"/>
          <w:w w:val="105"/>
          <w:sz w:val="17"/>
          <w:szCs w:val="17"/>
        </w:rPr>
        <w:t>, J.,</w:t>
      </w:r>
      <w:r>
        <w:rPr>
          <w:rFonts w:ascii="Arial" w:hAnsi="Arial" w:cs="Arial"/>
          <w:w w:val="105"/>
          <w:sz w:val="18"/>
          <w:szCs w:val="18"/>
        </w:rPr>
        <w:t xml:space="preserve">&amp; </w:t>
      </w:r>
      <w:r>
        <w:rPr>
          <w:rFonts w:ascii="Arial" w:hAnsi="Arial" w:cs="Arial"/>
          <w:w w:val="105"/>
          <w:sz w:val="17"/>
          <w:szCs w:val="17"/>
        </w:rPr>
        <w:t>Stevens, M.R. (2011). The</w:t>
      </w:r>
    </w:p>
    <w:p w:rsidR="002C5025" w:rsidRDefault="002C5025">
      <w:pPr>
        <w:pStyle w:val="BodyText"/>
        <w:kinsoku w:val="0"/>
        <w:overflowPunct w:val="0"/>
        <w:spacing w:before="3" w:line="309" w:lineRule="auto"/>
        <w:ind w:left="822" w:right="1015"/>
        <w:rPr>
          <w:rFonts w:ascii="Arial" w:hAnsi="Arial" w:cs="Arial"/>
          <w:w w:val="105"/>
          <w:sz w:val="17"/>
          <w:szCs w:val="17"/>
        </w:rPr>
      </w:pPr>
      <w:r>
        <w:rPr>
          <w:rFonts w:ascii="Arial" w:hAnsi="Arial" w:cs="Arial"/>
          <w:w w:val="105"/>
          <w:sz w:val="17"/>
          <w:szCs w:val="17"/>
        </w:rPr>
        <w:t>National</w:t>
      </w:r>
      <w:r>
        <w:rPr>
          <w:rFonts w:ascii="Arial" w:hAnsi="Arial" w:cs="Arial"/>
          <w:spacing w:val="-4"/>
          <w:w w:val="105"/>
          <w:sz w:val="17"/>
          <w:szCs w:val="17"/>
        </w:rPr>
        <w:t xml:space="preserve"> </w:t>
      </w:r>
      <w:r>
        <w:rPr>
          <w:rFonts w:ascii="Arial" w:hAnsi="Arial" w:cs="Arial"/>
          <w:w w:val="105"/>
          <w:sz w:val="17"/>
          <w:szCs w:val="17"/>
        </w:rPr>
        <w:t>Intimate</w:t>
      </w:r>
      <w:r>
        <w:rPr>
          <w:rFonts w:ascii="Arial" w:hAnsi="Arial" w:cs="Arial"/>
          <w:spacing w:val="-9"/>
          <w:w w:val="105"/>
          <w:sz w:val="17"/>
          <w:szCs w:val="17"/>
        </w:rPr>
        <w:t xml:space="preserve"> </w:t>
      </w:r>
      <w:r>
        <w:rPr>
          <w:rFonts w:ascii="Arial" w:hAnsi="Arial" w:cs="Arial"/>
          <w:w w:val="105"/>
          <w:sz w:val="17"/>
          <w:szCs w:val="17"/>
        </w:rPr>
        <w:t>Partner</w:t>
      </w:r>
      <w:r>
        <w:rPr>
          <w:rFonts w:ascii="Arial" w:hAnsi="Arial" w:cs="Arial"/>
          <w:spacing w:val="-6"/>
          <w:w w:val="105"/>
          <w:sz w:val="17"/>
          <w:szCs w:val="17"/>
        </w:rPr>
        <w:t xml:space="preserve"> </w:t>
      </w:r>
      <w:r>
        <w:rPr>
          <w:rFonts w:ascii="Arial" w:hAnsi="Arial" w:cs="Arial"/>
          <w:w w:val="105"/>
          <w:sz w:val="17"/>
          <w:szCs w:val="17"/>
        </w:rPr>
        <w:t>and</w:t>
      </w:r>
      <w:r>
        <w:rPr>
          <w:rFonts w:ascii="Arial" w:hAnsi="Arial" w:cs="Arial"/>
          <w:spacing w:val="-18"/>
          <w:w w:val="105"/>
          <w:sz w:val="17"/>
          <w:szCs w:val="17"/>
        </w:rPr>
        <w:t xml:space="preserve"> </w:t>
      </w:r>
      <w:r>
        <w:rPr>
          <w:rFonts w:ascii="Arial" w:hAnsi="Arial" w:cs="Arial"/>
          <w:w w:val="105"/>
          <w:sz w:val="17"/>
          <w:szCs w:val="17"/>
        </w:rPr>
        <w:t>Sexual</w:t>
      </w:r>
      <w:r>
        <w:rPr>
          <w:rFonts w:ascii="Arial" w:hAnsi="Arial" w:cs="Arial"/>
          <w:spacing w:val="-13"/>
          <w:w w:val="105"/>
          <w:sz w:val="17"/>
          <w:szCs w:val="17"/>
        </w:rPr>
        <w:t xml:space="preserve"> </w:t>
      </w:r>
      <w:r>
        <w:rPr>
          <w:rFonts w:ascii="Arial" w:hAnsi="Arial" w:cs="Arial"/>
          <w:w w:val="105"/>
          <w:sz w:val="17"/>
          <w:szCs w:val="17"/>
        </w:rPr>
        <w:t>Violence</w:t>
      </w:r>
      <w:r>
        <w:rPr>
          <w:rFonts w:ascii="Arial" w:hAnsi="Arial" w:cs="Arial"/>
          <w:spacing w:val="-12"/>
          <w:w w:val="105"/>
          <w:sz w:val="17"/>
          <w:szCs w:val="17"/>
        </w:rPr>
        <w:t xml:space="preserve"> </w:t>
      </w:r>
      <w:r>
        <w:rPr>
          <w:rFonts w:ascii="Arial" w:hAnsi="Arial" w:cs="Arial"/>
          <w:w w:val="105"/>
          <w:sz w:val="17"/>
          <w:szCs w:val="17"/>
        </w:rPr>
        <w:t>Survey</w:t>
      </w:r>
      <w:r>
        <w:rPr>
          <w:rFonts w:ascii="Arial" w:hAnsi="Arial" w:cs="Arial"/>
          <w:spacing w:val="-9"/>
          <w:w w:val="105"/>
          <w:sz w:val="17"/>
          <w:szCs w:val="17"/>
        </w:rPr>
        <w:t xml:space="preserve"> </w:t>
      </w:r>
      <w:r>
        <w:rPr>
          <w:rFonts w:ascii="Arial" w:hAnsi="Arial" w:cs="Arial"/>
          <w:w w:val="105"/>
          <w:sz w:val="17"/>
          <w:szCs w:val="17"/>
        </w:rPr>
        <w:t>(NISVS):</w:t>
      </w:r>
      <w:r>
        <w:rPr>
          <w:rFonts w:ascii="Arial" w:hAnsi="Arial" w:cs="Arial"/>
          <w:spacing w:val="-11"/>
          <w:w w:val="105"/>
          <w:sz w:val="17"/>
          <w:szCs w:val="17"/>
        </w:rPr>
        <w:t xml:space="preserve"> </w:t>
      </w:r>
      <w:r>
        <w:rPr>
          <w:rFonts w:ascii="Arial" w:hAnsi="Arial" w:cs="Arial"/>
          <w:spacing w:val="-4"/>
          <w:w w:val="105"/>
          <w:sz w:val="17"/>
          <w:szCs w:val="17"/>
        </w:rPr>
        <w:t>2010</w:t>
      </w:r>
      <w:r>
        <w:rPr>
          <w:rFonts w:ascii="Arial" w:hAnsi="Arial" w:cs="Arial"/>
          <w:spacing w:val="-30"/>
          <w:w w:val="105"/>
          <w:sz w:val="17"/>
          <w:szCs w:val="17"/>
        </w:rPr>
        <w:t xml:space="preserve"> </w:t>
      </w:r>
      <w:r>
        <w:rPr>
          <w:rFonts w:ascii="Arial" w:hAnsi="Arial" w:cs="Arial"/>
          <w:w w:val="105"/>
          <w:sz w:val="17"/>
          <w:szCs w:val="17"/>
        </w:rPr>
        <w:t>Summary</w:t>
      </w:r>
      <w:r>
        <w:rPr>
          <w:rFonts w:ascii="Arial" w:hAnsi="Arial" w:cs="Arial"/>
          <w:spacing w:val="-3"/>
          <w:w w:val="105"/>
          <w:sz w:val="17"/>
          <w:szCs w:val="17"/>
        </w:rPr>
        <w:t xml:space="preserve"> </w:t>
      </w:r>
      <w:r>
        <w:rPr>
          <w:rFonts w:ascii="Arial" w:hAnsi="Arial" w:cs="Arial"/>
          <w:w w:val="105"/>
          <w:sz w:val="17"/>
          <w:szCs w:val="17"/>
        </w:rPr>
        <w:t>Report.</w:t>
      </w:r>
      <w:r>
        <w:rPr>
          <w:rFonts w:ascii="Arial" w:hAnsi="Arial" w:cs="Arial"/>
          <w:spacing w:val="-19"/>
          <w:w w:val="105"/>
          <w:sz w:val="17"/>
          <w:szCs w:val="17"/>
        </w:rPr>
        <w:t xml:space="preserve"> </w:t>
      </w:r>
      <w:r>
        <w:rPr>
          <w:rFonts w:ascii="Arial" w:hAnsi="Arial" w:cs="Arial"/>
          <w:w w:val="105"/>
          <w:sz w:val="17"/>
          <w:szCs w:val="17"/>
        </w:rPr>
        <w:t>Atlanta,</w:t>
      </w:r>
      <w:r>
        <w:rPr>
          <w:rFonts w:ascii="Arial" w:hAnsi="Arial" w:cs="Arial"/>
          <w:spacing w:val="-5"/>
          <w:w w:val="105"/>
          <w:sz w:val="17"/>
          <w:szCs w:val="17"/>
        </w:rPr>
        <w:t xml:space="preserve"> </w:t>
      </w:r>
      <w:r>
        <w:rPr>
          <w:rFonts w:ascii="Arial" w:hAnsi="Arial" w:cs="Arial"/>
          <w:w w:val="105"/>
          <w:sz w:val="17"/>
          <w:szCs w:val="17"/>
        </w:rPr>
        <w:t>GA:</w:t>
      </w:r>
      <w:r>
        <w:rPr>
          <w:rFonts w:ascii="Arial" w:hAnsi="Arial" w:cs="Arial"/>
          <w:spacing w:val="-8"/>
          <w:w w:val="105"/>
          <w:sz w:val="17"/>
          <w:szCs w:val="17"/>
        </w:rPr>
        <w:t xml:space="preserve"> </w:t>
      </w:r>
      <w:r>
        <w:rPr>
          <w:rFonts w:ascii="Arial" w:hAnsi="Arial" w:cs="Arial"/>
          <w:w w:val="105"/>
          <w:sz w:val="17"/>
          <w:szCs w:val="17"/>
        </w:rPr>
        <w:t>National Center for Injury Prevention and Control, Centers for Disease Control and Prevention.</w:t>
      </w:r>
    </w:p>
    <w:p w:rsidR="002C5025" w:rsidRDefault="002C5025">
      <w:pPr>
        <w:pStyle w:val="BodyText"/>
        <w:kinsoku w:val="0"/>
        <w:overflowPunct w:val="0"/>
        <w:spacing w:before="3" w:line="309" w:lineRule="auto"/>
        <w:ind w:left="822" w:right="1015"/>
        <w:rPr>
          <w:rFonts w:ascii="Arial" w:hAnsi="Arial" w:cs="Arial"/>
          <w:w w:val="105"/>
          <w:sz w:val="17"/>
          <w:szCs w:val="17"/>
        </w:rPr>
        <w:sectPr w:rsidR="002C5025">
          <w:pgSz w:w="12240" w:h="15840"/>
          <w:pgMar w:top="1280" w:right="740" w:bottom="280" w:left="740" w:header="720" w:footer="720" w:gutter="0"/>
          <w:cols w:space="720" w:equalWidth="0">
            <w:col w:w="10760"/>
          </w:cols>
          <w:noEndnote/>
        </w:sectPr>
      </w:pPr>
    </w:p>
    <w:p w:rsidR="002C5025" w:rsidRDefault="002C5025">
      <w:pPr>
        <w:pStyle w:val="ListParagraph"/>
        <w:numPr>
          <w:ilvl w:val="0"/>
          <w:numId w:val="44"/>
        </w:numPr>
        <w:tabs>
          <w:tab w:val="left" w:pos="892"/>
        </w:tabs>
        <w:kinsoku w:val="0"/>
        <w:overflowPunct w:val="0"/>
        <w:spacing w:before="92" w:line="278" w:lineRule="auto"/>
        <w:ind w:right="197"/>
        <w:rPr>
          <w:position w:val="9"/>
          <w:sz w:val="15"/>
          <w:szCs w:val="15"/>
        </w:rPr>
      </w:pPr>
      <w:r>
        <w:rPr>
          <w:sz w:val="23"/>
          <w:szCs w:val="23"/>
        </w:rPr>
        <w:lastRenderedPageBreak/>
        <w:t xml:space="preserve">Nationally, 81% of women and 35% of men who experienced rape, stalking, or physical violence by an intimate partner, reported significant short or long term impacts related to the violence such as Post Traumatic Stress Disorder symptoms and </w:t>
      </w:r>
      <w:r>
        <w:rPr>
          <w:spacing w:val="4"/>
          <w:sz w:val="23"/>
          <w:szCs w:val="23"/>
        </w:rPr>
        <w:t xml:space="preserve"> </w:t>
      </w:r>
      <w:r>
        <w:rPr>
          <w:sz w:val="23"/>
          <w:szCs w:val="23"/>
        </w:rPr>
        <w:t>injury.</w:t>
      </w:r>
      <w:r>
        <w:rPr>
          <w:position w:val="9"/>
          <w:sz w:val="15"/>
          <w:szCs w:val="15"/>
        </w:rPr>
        <w:t>2</w:t>
      </w:r>
    </w:p>
    <w:p w:rsidR="002C5025" w:rsidRDefault="002C5025">
      <w:pPr>
        <w:pStyle w:val="ListParagraph"/>
        <w:numPr>
          <w:ilvl w:val="0"/>
          <w:numId w:val="44"/>
        </w:numPr>
        <w:tabs>
          <w:tab w:val="left" w:pos="892"/>
        </w:tabs>
        <w:kinsoku w:val="0"/>
        <w:overflowPunct w:val="0"/>
        <w:spacing w:before="20" w:line="280" w:lineRule="auto"/>
        <w:ind w:right="268" w:hanging="336"/>
        <w:rPr>
          <w:position w:val="9"/>
          <w:sz w:val="15"/>
          <w:szCs w:val="15"/>
        </w:rPr>
      </w:pPr>
      <w:r>
        <w:rPr>
          <w:sz w:val="23"/>
          <w:szCs w:val="23"/>
        </w:rPr>
        <w:t>Women who had experienced rape or stalking by any person, or physical violence by an intimate partner were more likely to report having asthma, diabetes, and irritable bowel syndrome than those who had</w:t>
      </w:r>
      <w:r>
        <w:rPr>
          <w:spacing w:val="47"/>
          <w:sz w:val="23"/>
          <w:szCs w:val="23"/>
        </w:rPr>
        <w:t xml:space="preserve"> </w:t>
      </w:r>
      <w:r>
        <w:rPr>
          <w:sz w:val="23"/>
          <w:szCs w:val="23"/>
        </w:rPr>
        <w:t>not.</w:t>
      </w:r>
      <w:r>
        <w:rPr>
          <w:position w:val="9"/>
          <w:sz w:val="15"/>
          <w:szCs w:val="15"/>
        </w:rPr>
        <w:t>3</w:t>
      </w:r>
    </w:p>
    <w:p w:rsidR="002C5025" w:rsidRDefault="002C5025">
      <w:pPr>
        <w:pStyle w:val="BodyText"/>
        <w:kinsoku w:val="0"/>
        <w:overflowPunct w:val="0"/>
        <w:spacing w:before="205" w:line="268" w:lineRule="auto"/>
        <w:ind w:left="160" w:right="135" w:firstLine="19"/>
        <w:rPr>
          <w:rFonts w:ascii="Times New Roman" w:hAnsi="Times New Roman" w:cs="Times New Roman"/>
          <w:w w:val="105"/>
          <w:sz w:val="23"/>
          <w:szCs w:val="23"/>
        </w:rPr>
      </w:pPr>
      <w:r>
        <w:rPr>
          <w:rFonts w:ascii="Times New Roman" w:hAnsi="Times New Roman" w:cs="Times New Roman"/>
          <w:w w:val="105"/>
          <w:sz w:val="23"/>
          <w:szCs w:val="23"/>
        </w:rPr>
        <w:t>For</w:t>
      </w:r>
      <w:r>
        <w:rPr>
          <w:rFonts w:ascii="Times New Roman" w:hAnsi="Times New Roman" w:cs="Times New Roman"/>
          <w:spacing w:val="-27"/>
          <w:w w:val="105"/>
          <w:sz w:val="23"/>
          <w:szCs w:val="23"/>
        </w:rPr>
        <w:t xml:space="preserve"> </w:t>
      </w:r>
      <w:r>
        <w:rPr>
          <w:rFonts w:ascii="Times New Roman" w:hAnsi="Times New Roman" w:cs="Times New Roman"/>
          <w:w w:val="105"/>
          <w:sz w:val="23"/>
          <w:szCs w:val="23"/>
        </w:rPr>
        <w:t>survivors,</w:t>
      </w:r>
      <w:r>
        <w:rPr>
          <w:rFonts w:ascii="Times New Roman" w:hAnsi="Times New Roman" w:cs="Times New Roman"/>
          <w:spacing w:val="-24"/>
          <w:w w:val="105"/>
          <w:sz w:val="23"/>
          <w:szCs w:val="23"/>
        </w:rPr>
        <w:t xml:space="preserve"> </w:t>
      </w:r>
      <w:r>
        <w:rPr>
          <w:rFonts w:ascii="Times New Roman" w:hAnsi="Times New Roman" w:cs="Times New Roman"/>
          <w:w w:val="105"/>
          <w:sz w:val="23"/>
          <w:szCs w:val="23"/>
        </w:rPr>
        <w:t>health</w:t>
      </w:r>
      <w:r>
        <w:rPr>
          <w:rFonts w:ascii="Times New Roman" w:hAnsi="Times New Roman" w:cs="Times New Roman"/>
          <w:spacing w:val="-23"/>
          <w:w w:val="105"/>
          <w:sz w:val="23"/>
          <w:szCs w:val="23"/>
        </w:rPr>
        <w:t xml:space="preserve"> </w:t>
      </w:r>
      <w:r>
        <w:rPr>
          <w:rFonts w:ascii="Times New Roman" w:hAnsi="Times New Roman" w:cs="Times New Roman"/>
          <w:w w:val="105"/>
          <w:sz w:val="23"/>
          <w:szCs w:val="23"/>
        </w:rPr>
        <w:t>outcomes</w:t>
      </w:r>
      <w:r>
        <w:rPr>
          <w:rFonts w:ascii="Times New Roman" w:hAnsi="Times New Roman" w:cs="Times New Roman"/>
          <w:spacing w:val="-17"/>
          <w:w w:val="105"/>
          <w:sz w:val="23"/>
          <w:szCs w:val="23"/>
        </w:rPr>
        <w:t xml:space="preserve"> </w:t>
      </w:r>
      <w:r>
        <w:rPr>
          <w:rFonts w:ascii="Times New Roman" w:hAnsi="Times New Roman" w:cs="Times New Roman"/>
          <w:w w:val="105"/>
          <w:sz w:val="23"/>
          <w:szCs w:val="23"/>
        </w:rPr>
        <w:t>are</w:t>
      </w:r>
      <w:r>
        <w:rPr>
          <w:rFonts w:ascii="Times New Roman" w:hAnsi="Times New Roman" w:cs="Times New Roman"/>
          <w:spacing w:val="-33"/>
          <w:w w:val="105"/>
          <w:sz w:val="23"/>
          <w:szCs w:val="23"/>
        </w:rPr>
        <w:t xml:space="preserve"> </w:t>
      </w:r>
      <w:r>
        <w:rPr>
          <w:rFonts w:ascii="Times New Roman" w:hAnsi="Times New Roman" w:cs="Times New Roman"/>
          <w:w w:val="105"/>
          <w:sz w:val="23"/>
          <w:szCs w:val="23"/>
        </w:rPr>
        <w:t>related</w:t>
      </w:r>
      <w:r>
        <w:rPr>
          <w:rFonts w:ascii="Times New Roman" w:hAnsi="Times New Roman" w:cs="Times New Roman"/>
          <w:spacing w:val="-21"/>
          <w:w w:val="105"/>
          <w:sz w:val="23"/>
          <w:szCs w:val="23"/>
        </w:rPr>
        <w:t xml:space="preserve"> </w:t>
      </w:r>
      <w:r>
        <w:rPr>
          <w:rFonts w:ascii="Times New Roman" w:hAnsi="Times New Roman" w:cs="Times New Roman"/>
          <w:w w:val="105"/>
          <w:sz w:val="23"/>
          <w:szCs w:val="23"/>
        </w:rPr>
        <w:t>both</w:t>
      </w:r>
      <w:r>
        <w:rPr>
          <w:rFonts w:ascii="Times New Roman" w:hAnsi="Times New Roman" w:cs="Times New Roman"/>
          <w:spacing w:val="-21"/>
          <w:w w:val="105"/>
          <w:sz w:val="23"/>
          <w:szCs w:val="23"/>
        </w:rPr>
        <w:t xml:space="preserve"> </w:t>
      </w:r>
      <w:r>
        <w:rPr>
          <w:rFonts w:ascii="Times New Roman" w:hAnsi="Times New Roman" w:cs="Times New Roman"/>
          <w:w w:val="105"/>
          <w:sz w:val="23"/>
          <w:szCs w:val="23"/>
        </w:rPr>
        <w:t>the</w:t>
      </w:r>
      <w:r>
        <w:rPr>
          <w:rFonts w:ascii="Times New Roman" w:hAnsi="Times New Roman" w:cs="Times New Roman"/>
          <w:spacing w:val="-24"/>
          <w:w w:val="105"/>
          <w:sz w:val="23"/>
          <w:szCs w:val="23"/>
        </w:rPr>
        <w:t xml:space="preserve"> </w:t>
      </w:r>
      <w:r>
        <w:rPr>
          <w:rFonts w:ascii="Times New Roman" w:hAnsi="Times New Roman" w:cs="Times New Roman"/>
          <w:w w:val="105"/>
          <w:sz w:val="23"/>
          <w:szCs w:val="23"/>
        </w:rPr>
        <w:t>actual</w:t>
      </w:r>
      <w:r>
        <w:rPr>
          <w:rFonts w:ascii="Times New Roman" w:hAnsi="Times New Roman" w:cs="Times New Roman"/>
          <w:spacing w:val="-24"/>
          <w:w w:val="105"/>
          <w:sz w:val="23"/>
          <w:szCs w:val="23"/>
        </w:rPr>
        <w:t xml:space="preserve"> </w:t>
      </w:r>
      <w:r>
        <w:rPr>
          <w:rFonts w:ascii="Times New Roman" w:hAnsi="Times New Roman" w:cs="Times New Roman"/>
          <w:w w:val="105"/>
          <w:sz w:val="23"/>
          <w:szCs w:val="23"/>
        </w:rPr>
        <w:t>physical</w:t>
      </w:r>
      <w:r>
        <w:rPr>
          <w:rFonts w:ascii="Times New Roman" w:hAnsi="Times New Roman" w:cs="Times New Roman"/>
          <w:spacing w:val="-19"/>
          <w:w w:val="105"/>
          <w:sz w:val="23"/>
          <w:szCs w:val="23"/>
        </w:rPr>
        <w:t xml:space="preserve"> </w:t>
      </w:r>
      <w:r>
        <w:rPr>
          <w:rFonts w:ascii="Times New Roman" w:hAnsi="Times New Roman" w:cs="Times New Roman"/>
          <w:w w:val="105"/>
          <w:sz w:val="23"/>
          <w:szCs w:val="23"/>
        </w:rPr>
        <w:t>harm</w:t>
      </w:r>
      <w:r>
        <w:rPr>
          <w:rFonts w:ascii="Times New Roman" w:hAnsi="Times New Roman" w:cs="Times New Roman"/>
          <w:spacing w:val="-19"/>
          <w:w w:val="105"/>
          <w:sz w:val="23"/>
          <w:szCs w:val="23"/>
        </w:rPr>
        <w:t xml:space="preserve"> </w:t>
      </w:r>
      <w:r>
        <w:rPr>
          <w:rFonts w:ascii="Times New Roman" w:hAnsi="Times New Roman" w:cs="Times New Roman"/>
          <w:w w:val="105"/>
          <w:sz w:val="23"/>
          <w:szCs w:val="23"/>
        </w:rPr>
        <w:t>that</w:t>
      </w:r>
      <w:r>
        <w:rPr>
          <w:rFonts w:ascii="Times New Roman" w:hAnsi="Times New Roman" w:cs="Times New Roman"/>
          <w:spacing w:val="-21"/>
          <w:w w:val="105"/>
          <w:sz w:val="23"/>
          <w:szCs w:val="23"/>
        </w:rPr>
        <w:t xml:space="preserve"> </w:t>
      </w:r>
      <w:r>
        <w:rPr>
          <w:rFonts w:ascii="Times New Roman" w:hAnsi="Times New Roman" w:cs="Times New Roman"/>
          <w:w w:val="105"/>
          <w:sz w:val="23"/>
          <w:szCs w:val="23"/>
        </w:rPr>
        <w:t>they</w:t>
      </w:r>
      <w:r>
        <w:rPr>
          <w:rFonts w:ascii="Times New Roman" w:hAnsi="Times New Roman" w:cs="Times New Roman"/>
          <w:spacing w:val="-23"/>
          <w:w w:val="105"/>
          <w:sz w:val="23"/>
          <w:szCs w:val="23"/>
        </w:rPr>
        <w:t xml:space="preserve"> </w:t>
      </w:r>
      <w:r>
        <w:rPr>
          <w:rFonts w:ascii="Times New Roman" w:hAnsi="Times New Roman" w:cs="Times New Roman"/>
          <w:w w:val="105"/>
          <w:sz w:val="23"/>
          <w:szCs w:val="23"/>
        </w:rPr>
        <w:t>experience,</w:t>
      </w:r>
      <w:r>
        <w:rPr>
          <w:rFonts w:ascii="Times New Roman" w:hAnsi="Times New Roman" w:cs="Times New Roman"/>
          <w:spacing w:val="-14"/>
          <w:w w:val="105"/>
          <w:sz w:val="23"/>
          <w:szCs w:val="23"/>
        </w:rPr>
        <w:t xml:space="preserve"> </w:t>
      </w:r>
      <w:r>
        <w:rPr>
          <w:rFonts w:ascii="Times New Roman" w:hAnsi="Times New Roman" w:cs="Times New Roman"/>
          <w:spacing w:val="3"/>
          <w:w w:val="105"/>
          <w:sz w:val="23"/>
          <w:szCs w:val="23"/>
        </w:rPr>
        <w:t xml:space="preserve">as </w:t>
      </w:r>
      <w:r>
        <w:rPr>
          <w:rFonts w:ascii="Times New Roman" w:hAnsi="Times New Roman" w:cs="Times New Roman"/>
          <w:w w:val="105"/>
          <w:sz w:val="23"/>
          <w:szCs w:val="23"/>
        </w:rPr>
        <w:t xml:space="preserve">well </w:t>
      </w:r>
      <w:r>
        <w:rPr>
          <w:rFonts w:ascii="Times New Roman" w:hAnsi="Times New Roman" w:cs="Times New Roman"/>
          <w:spacing w:val="4"/>
          <w:w w:val="105"/>
          <w:sz w:val="23"/>
          <w:szCs w:val="23"/>
        </w:rPr>
        <w:t>as</w:t>
      </w:r>
      <w:r w:rsidR="00CF30C1">
        <w:rPr>
          <w:rFonts w:ascii="Times New Roman" w:hAnsi="Times New Roman" w:cs="Times New Roman"/>
          <w:spacing w:val="4"/>
          <w:w w:val="105"/>
          <w:sz w:val="23"/>
          <w:szCs w:val="23"/>
        </w:rPr>
        <w:t xml:space="preserve"> </w:t>
      </w:r>
      <w:r>
        <w:rPr>
          <w:rFonts w:ascii="Times New Roman" w:hAnsi="Times New Roman" w:cs="Times New Roman"/>
          <w:spacing w:val="4"/>
          <w:w w:val="105"/>
          <w:sz w:val="23"/>
          <w:szCs w:val="23"/>
        </w:rPr>
        <w:t>the</w:t>
      </w:r>
      <w:r w:rsidR="00CF30C1">
        <w:rPr>
          <w:rFonts w:ascii="Times New Roman" w:hAnsi="Times New Roman" w:cs="Times New Roman"/>
          <w:spacing w:val="4"/>
          <w:w w:val="105"/>
          <w:sz w:val="23"/>
          <w:szCs w:val="23"/>
        </w:rPr>
        <w:t xml:space="preserve"> </w:t>
      </w:r>
      <w:r>
        <w:rPr>
          <w:rFonts w:ascii="Times New Roman" w:hAnsi="Times New Roman" w:cs="Times New Roman"/>
          <w:spacing w:val="4"/>
          <w:w w:val="105"/>
          <w:sz w:val="23"/>
          <w:szCs w:val="23"/>
        </w:rPr>
        <w:t>other</w:t>
      </w:r>
      <w:r w:rsidR="00CF30C1">
        <w:rPr>
          <w:rFonts w:ascii="Times New Roman" w:hAnsi="Times New Roman" w:cs="Times New Roman"/>
          <w:spacing w:val="4"/>
          <w:w w:val="105"/>
          <w:sz w:val="23"/>
          <w:szCs w:val="23"/>
        </w:rPr>
        <w:t xml:space="preserve"> </w:t>
      </w:r>
      <w:r>
        <w:rPr>
          <w:rFonts w:ascii="Times New Roman" w:hAnsi="Times New Roman" w:cs="Times New Roman"/>
          <w:spacing w:val="4"/>
          <w:w w:val="105"/>
          <w:sz w:val="23"/>
          <w:szCs w:val="23"/>
        </w:rPr>
        <w:t>social</w:t>
      </w:r>
      <w:r w:rsidR="00CF30C1">
        <w:rPr>
          <w:rFonts w:ascii="Times New Roman" w:hAnsi="Times New Roman" w:cs="Times New Roman"/>
          <w:spacing w:val="4"/>
          <w:w w:val="105"/>
          <w:sz w:val="23"/>
          <w:szCs w:val="23"/>
        </w:rPr>
        <w:t xml:space="preserve"> </w:t>
      </w:r>
      <w:r>
        <w:rPr>
          <w:rFonts w:ascii="Times New Roman" w:hAnsi="Times New Roman" w:cs="Times New Roman"/>
          <w:spacing w:val="4"/>
          <w:w w:val="105"/>
          <w:sz w:val="23"/>
          <w:szCs w:val="23"/>
        </w:rPr>
        <w:t>determinants in</w:t>
      </w:r>
      <w:r w:rsidR="00CF30C1">
        <w:rPr>
          <w:rFonts w:ascii="Times New Roman" w:hAnsi="Times New Roman" w:cs="Times New Roman"/>
          <w:spacing w:val="4"/>
          <w:w w:val="105"/>
          <w:sz w:val="23"/>
          <w:szCs w:val="23"/>
        </w:rPr>
        <w:t xml:space="preserve"> </w:t>
      </w:r>
      <w:r>
        <w:rPr>
          <w:rFonts w:ascii="Times New Roman" w:hAnsi="Times New Roman" w:cs="Times New Roman"/>
          <w:spacing w:val="4"/>
          <w:w w:val="105"/>
          <w:sz w:val="23"/>
          <w:szCs w:val="23"/>
        </w:rPr>
        <w:t xml:space="preserve">their </w:t>
      </w:r>
      <w:r>
        <w:rPr>
          <w:rFonts w:ascii="Times New Roman" w:hAnsi="Times New Roman" w:cs="Times New Roman"/>
          <w:w w:val="105"/>
          <w:sz w:val="23"/>
          <w:szCs w:val="23"/>
        </w:rPr>
        <w:t xml:space="preserve">lives-which </w:t>
      </w:r>
      <w:r>
        <w:rPr>
          <w:rFonts w:ascii="Times New Roman" w:hAnsi="Times New Roman" w:cs="Times New Roman"/>
          <w:spacing w:val="4"/>
          <w:w w:val="105"/>
          <w:sz w:val="23"/>
          <w:szCs w:val="23"/>
        </w:rPr>
        <w:t>may</w:t>
      </w:r>
      <w:r w:rsidR="00CF30C1">
        <w:rPr>
          <w:rFonts w:ascii="Times New Roman" w:hAnsi="Times New Roman" w:cs="Times New Roman"/>
          <w:spacing w:val="4"/>
          <w:w w:val="105"/>
          <w:sz w:val="23"/>
          <w:szCs w:val="23"/>
        </w:rPr>
        <w:t xml:space="preserve"> </w:t>
      </w:r>
      <w:r>
        <w:rPr>
          <w:rFonts w:ascii="Times New Roman" w:hAnsi="Times New Roman" w:cs="Times New Roman"/>
          <w:spacing w:val="4"/>
          <w:w w:val="105"/>
          <w:sz w:val="23"/>
          <w:szCs w:val="23"/>
        </w:rPr>
        <w:t xml:space="preserve">include </w:t>
      </w:r>
      <w:r>
        <w:rPr>
          <w:rFonts w:ascii="Times New Roman" w:hAnsi="Times New Roman" w:cs="Times New Roman"/>
          <w:spacing w:val="5"/>
          <w:w w:val="105"/>
          <w:sz w:val="23"/>
          <w:szCs w:val="23"/>
        </w:rPr>
        <w:t>a</w:t>
      </w:r>
      <w:r w:rsidR="00CF30C1">
        <w:rPr>
          <w:rFonts w:ascii="Times New Roman" w:hAnsi="Times New Roman" w:cs="Times New Roman"/>
          <w:spacing w:val="5"/>
          <w:w w:val="105"/>
          <w:sz w:val="23"/>
          <w:szCs w:val="23"/>
        </w:rPr>
        <w:t xml:space="preserve"> </w:t>
      </w:r>
      <w:r>
        <w:rPr>
          <w:rFonts w:ascii="Times New Roman" w:hAnsi="Times New Roman" w:cs="Times New Roman"/>
          <w:spacing w:val="5"/>
          <w:w w:val="105"/>
          <w:sz w:val="23"/>
          <w:szCs w:val="23"/>
        </w:rPr>
        <w:t xml:space="preserve">lack </w:t>
      </w:r>
      <w:r>
        <w:rPr>
          <w:rFonts w:ascii="Times New Roman" w:hAnsi="Times New Roman" w:cs="Times New Roman"/>
          <w:spacing w:val="4"/>
          <w:w w:val="105"/>
          <w:sz w:val="23"/>
          <w:szCs w:val="23"/>
        </w:rPr>
        <w:t>of</w:t>
      </w:r>
      <w:r w:rsidR="00CF30C1">
        <w:rPr>
          <w:rFonts w:ascii="Times New Roman" w:hAnsi="Times New Roman" w:cs="Times New Roman"/>
          <w:spacing w:val="4"/>
          <w:w w:val="105"/>
          <w:sz w:val="23"/>
          <w:szCs w:val="23"/>
        </w:rPr>
        <w:t xml:space="preserve"> </w:t>
      </w:r>
      <w:r>
        <w:rPr>
          <w:rFonts w:ascii="Times New Roman" w:hAnsi="Times New Roman" w:cs="Times New Roman"/>
          <w:spacing w:val="4"/>
          <w:w w:val="105"/>
          <w:sz w:val="23"/>
          <w:szCs w:val="23"/>
        </w:rPr>
        <w:t xml:space="preserve">economic </w:t>
      </w:r>
      <w:r>
        <w:rPr>
          <w:rFonts w:ascii="Times New Roman" w:hAnsi="Times New Roman" w:cs="Times New Roman"/>
          <w:w w:val="105"/>
          <w:sz w:val="23"/>
          <w:szCs w:val="23"/>
        </w:rPr>
        <w:t>stability</w:t>
      </w:r>
      <w:r>
        <w:rPr>
          <w:rFonts w:ascii="Times New Roman" w:hAnsi="Times New Roman" w:cs="Times New Roman"/>
          <w:spacing w:val="-22"/>
          <w:w w:val="105"/>
          <w:sz w:val="23"/>
          <w:szCs w:val="23"/>
        </w:rPr>
        <w:t xml:space="preserve"> </w:t>
      </w:r>
      <w:r>
        <w:rPr>
          <w:rFonts w:ascii="Times New Roman" w:hAnsi="Times New Roman" w:cs="Times New Roman"/>
          <w:w w:val="105"/>
          <w:sz w:val="23"/>
          <w:szCs w:val="23"/>
        </w:rPr>
        <w:t>and,</w:t>
      </w:r>
      <w:r>
        <w:rPr>
          <w:rFonts w:ascii="Times New Roman" w:hAnsi="Times New Roman" w:cs="Times New Roman"/>
          <w:spacing w:val="-23"/>
          <w:w w:val="105"/>
          <w:sz w:val="23"/>
          <w:szCs w:val="23"/>
        </w:rPr>
        <w:t xml:space="preserve"> </w:t>
      </w:r>
      <w:r>
        <w:rPr>
          <w:rFonts w:ascii="Times New Roman" w:hAnsi="Times New Roman" w:cs="Times New Roman"/>
          <w:w w:val="105"/>
          <w:sz w:val="23"/>
          <w:szCs w:val="23"/>
        </w:rPr>
        <w:t>frequently,</w:t>
      </w:r>
      <w:r>
        <w:rPr>
          <w:rFonts w:ascii="Times New Roman" w:hAnsi="Times New Roman" w:cs="Times New Roman"/>
          <w:spacing w:val="-12"/>
          <w:w w:val="105"/>
          <w:sz w:val="23"/>
          <w:szCs w:val="23"/>
        </w:rPr>
        <w:t xml:space="preserve"> </w:t>
      </w:r>
      <w:r>
        <w:rPr>
          <w:rFonts w:ascii="Times New Roman" w:hAnsi="Times New Roman" w:cs="Times New Roman"/>
          <w:w w:val="105"/>
          <w:sz w:val="23"/>
          <w:szCs w:val="23"/>
        </w:rPr>
        <w:t>housing</w:t>
      </w:r>
      <w:r>
        <w:rPr>
          <w:rFonts w:ascii="Times New Roman" w:hAnsi="Times New Roman" w:cs="Times New Roman"/>
          <w:spacing w:val="-22"/>
          <w:w w:val="105"/>
          <w:sz w:val="23"/>
          <w:szCs w:val="23"/>
        </w:rPr>
        <w:t xml:space="preserve"> </w:t>
      </w:r>
      <w:r>
        <w:rPr>
          <w:rFonts w:ascii="Times New Roman" w:hAnsi="Times New Roman" w:cs="Times New Roman"/>
          <w:w w:val="105"/>
          <w:sz w:val="23"/>
          <w:szCs w:val="23"/>
        </w:rPr>
        <w:t>instability.</w:t>
      </w:r>
      <w:r>
        <w:rPr>
          <w:rFonts w:ascii="Times New Roman" w:hAnsi="Times New Roman" w:cs="Times New Roman"/>
          <w:spacing w:val="-8"/>
          <w:w w:val="105"/>
          <w:sz w:val="23"/>
          <w:szCs w:val="23"/>
        </w:rPr>
        <w:t xml:space="preserve"> </w:t>
      </w:r>
      <w:r>
        <w:rPr>
          <w:rFonts w:ascii="Times New Roman" w:hAnsi="Times New Roman" w:cs="Times New Roman"/>
          <w:w w:val="105"/>
          <w:sz w:val="23"/>
          <w:szCs w:val="23"/>
        </w:rPr>
        <w:t>Survivors</w:t>
      </w:r>
      <w:r>
        <w:rPr>
          <w:rFonts w:ascii="Times New Roman" w:hAnsi="Times New Roman" w:cs="Times New Roman"/>
          <w:spacing w:val="-20"/>
          <w:w w:val="105"/>
          <w:sz w:val="23"/>
          <w:szCs w:val="23"/>
        </w:rPr>
        <w:t xml:space="preserve"> </w:t>
      </w:r>
      <w:r>
        <w:rPr>
          <w:rFonts w:ascii="Times New Roman" w:hAnsi="Times New Roman" w:cs="Times New Roman"/>
          <w:w w:val="105"/>
          <w:sz w:val="23"/>
          <w:szCs w:val="23"/>
        </w:rPr>
        <w:t>ofte</w:t>
      </w:r>
      <w:r w:rsidR="00CF30C1">
        <w:rPr>
          <w:rFonts w:ascii="Times New Roman" w:hAnsi="Times New Roman" w:cs="Times New Roman"/>
          <w:w w:val="105"/>
          <w:sz w:val="23"/>
          <w:szCs w:val="23"/>
        </w:rPr>
        <w:t>n</w:t>
      </w:r>
      <w:r>
        <w:rPr>
          <w:rFonts w:ascii="Times New Roman" w:hAnsi="Times New Roman" w:cs="Times New Roman"/>
          <w:spacing w:val="-16"/>
          <w:w w:val="105"/>
          <w:sz w:val="23"/>
          <w:szCs w:val="23"/>
        </w:rPr>
        <w:t xml:space="preserve"> </w:t>
      </w:r>
      <w:r>
        <w:rPr>
          <w:rFonts w:ascii="Times New Roman" w:hAnsi="Times New Roman" w:cs="Times New Roman"/>
          <w:w w:val="105"/>
          <w:sz w:val="23"/>
          <w:szCs w:val="23"/>
        </w:rPr>
        <w:t>seek</w:t>
      </w:r>
      <w:r>
        <w:rPr>
          <w:rFonts w:ascii="Times New Roman" w:hAnsi="Times New Roman" w:cs="Times New Roman"/>
          <w:spacing w:val="-19"/>
          <w:w w:val="105"/>
          <w:sz w:val="23"/>
          <w:szCs w:val="23"/>
        </w:rPr>
        <w:t xml:space="preserve"> </w:t>
      </w:r>
      <w:r>
        <w:rPr>
          <w:rFonts w:ascii="Times New Roman" w:hAnsi="Times New Roman" w:cs="Times New Roman"/>
          <w:w w:val="105"/>
          <w:sz w:val="23"/>
          <w:szCs w:val="23"/>
        </w:rPr>
        <w:t>services</w:t>
      </w:r>
      <w:r>
        <w:rPr>
          <w:rFonts w:ascii="Times New Roman" w:hAnsi="Times New Roman" w:cs="Times New Roman"/>
          <w:spacing w:val="-18"/>
          <w:w w:val="105"/>
          <w:sz w:val="23"/>
          <w:szCs w:val="23"/>
        </w:rPr>
        <w:t xml:space="preserve"> </w:t>
      </w:r>
      <w:r>
        <w:rPr>
          <w:rFonts w:ascii="Times New Roman" w:hAnsi="Times New Roman" w:cs="Times New Roman"/>
          <w:w w:val="105"/>
          <w:sz w:val="23"/>
          <w:szCs w:val="23"/>
        </w:rPr>
        <w:t>first</w:t>
      </w:r>
      <w:r>
        <w:rPr>
          <w:rFonts w:ascii="Times New Roman" w:hAnsi="Times New Roman" w:cs="Times New Roman"/>
          <w:spacing w:val="-24"/>
          <w:w w:val="105"/>
          <w:sz w:val="23"/>
          <w:szCs w:val="23"/>
        </w:rPr>
        <w:t xml:space="preserve"> </w:t>
      </w:r>
      <w:r>
        <w:rPr>
          <w:rFonts w:ascii="Times New Roman" w:hAnsi="Times New Roman" w:cs="Times New Roman"/>
          <w:w w:val="105"/>
          <w:sz w:val="23"/>
          <w:szCs w:val="23"/>
        </w:rPr>
        <w:t>through</w:t>
      </w:r>
      <w:r>
        <w:rPr>
          <w:rFonts w:ascii="Times New Roman" w:hAnsi="Times New Roman" w:cs="Times New Roman"/>
          <w:spacing w:val="-16"/>
          <w:w w:val="105"/>
          <w:sz w:val="23"/>
          <w:szCs w:val="23"/>
        </w:rPr>
        <w:t xml:space="preserve"> </w:t>
      </w:r>
      <w:r>
        <w:rPr>
          <w:rFonts w:ascii="Times New Roman" w:hAnsi="Times New Roman" w:cs="Times New Roman"/>
          <w:w w:val="105"/>
          <w:sz w:val="23"/>
          <w:szCs w:val="23"/>
        </w:rPr>
        <w:t>the</w:t>
      </w:r>
      <w:r>
        <w:rPr>
          <w:rFonts w:ascii="Times New Roman" w:hAnsi="Times New Roman" w:cs="Times New Roman"/>
          <w:spacing w:val="-18"/>
          <w:w w:val="105"/>
          <w:sz w:val="23"/>
          <w:szCs w:val="23"/>
        </w:rPr>
        <w:t xml:space="preserve"> </w:t>
      </w:r>
      <w:r>
        <w:rPr>
          <w:rFonts w:ascii="Times New Roman" w:hAnsi="Times New Roman" w:cs="Times New Roman"/>
          <w:w w:val="105"/>
          <w:sz w:val="23"/>
          <w:szCs w:val="23"/>
        </w:rPr>
        <w:t>social services sector to begin to access the physical and mental health care that that is needed to address the trauma they have experienced-such as through a local, community based sexual and/or</w:t>
      </w:r>
      <w:r>
        <w:rPr>
          <w:rFonts w:ascii="Times New Roman" w:hAnsi="Times New Roman" w:cs="Times New Roman"/>
          <w:spacing w:val="-29"/>
          <w:w w:val="105"/>
          <w:sz w:val="23"/>
          <w:szCs w:val="23"/>
        </w:rPr>
        <w:t xml:space="preserve"> </w:t>
      </w:r>
      <w:r>
        <w:rPr>
          <w:rFonts w:ascii="Times New Roman" w:hAnsi="Times New Roman" w:cs="Times New Roman"/>
          <w:w w:val="105"/>
          <w:sz w:val="23"/>
          <w:szCs w:val="23"/>
        </w:rPr>
        <w:t>domestic</w:t>
      </w:r>
      <w:r>
        <w:rPr>
          <w:rFonts w:ascii="Times New Roman" w:hAnsi="Times New Roman" w:cs="Times New Roman"/>
          <w:spacing w:val="-28"/>
          <w:w w:val="105"/>
          <w:sz w:val="23"/>
          <w:szCs w:val="23"/>
        </w:rPr>
        <w:t xml:space="preserve"> </w:t>
      </w:r>
      <w:r>
        <w:rPr>
          <w:rFonts w:ascii="Times New Roman" w:hAnsi="Times New Roman" w:cs="Times New Roman"/>
          <w:w w:val="105"/>
          <w:sz w:val="23"/>
          <w:szCs w:val="23"/>
        </w:rPr>
        <w:t>violence</w:t>
      </w:r>
      <w:r>
        <w:rPr>
          <w:rFonts w:ascii="Times New Roman" w:hAnsi="Times New Roman" w:cs="Times New Roman"/>
          <w:spacing w:val="-24"/>
          <w:w w:val="105"/>
          <w:sz w:val="23"/>
          <w:szCs w:val="23"/>
        </w:rPr>
        <w:t xml:space="preserve"> </w:t>
      </w:r>
      <w:r>
        <w:rPr>
          <w:rFonts w:ascii="Times New Roman" w:hAnsi="Times New Roman" w:cs="Times New Roman"/>
          <w:w w:val="105"/>
          <w:sz w:val="23"/>
          <w:szCs w:val="23"/>
        </w:rPr>
        <w:t>program.</w:t>
      </w:r>
      <w:r>
        <w:rPr>
          <w:rFonts w:ascii="Times New Roman" w:hAnsi="Times New Roman" w:cs="Times New Roman"/>
          <w:spacing w:val="-17"/>
          <w:w w:val="105"/>
          <w:sz w:val="23"/>
          <w:szCs w:val="23"/>
        </w:rPr>
        <w:t xml:space="preserve"> </w:t>
      </w:r>
      <w:r>
        <w:rPr>
          <w:rFonts w:ascii="Times New Roman" w:hAnsi="Times New Roman" w:cs="Times New Roman"/>
          <w:w w:val="105"/>
          <w:sz w:val="23"/>
          <w:szCs w:val="23"/>
        </w:rPr>
        <w:t>The</w:t>
      </w:r>
      <w:r>
        <w:rPr>
          <w:rFonts w:ascii="Times New Roman" w:hAnsi="Times New Roman" w:cs="Times New Roman"/>
          <w:spacing w:val="-35"/>
          <w:w w:val="105"/>
          <w:sz w:val="23"/>
          <w:szCs w:val="23"/>
        </w:rPr>
        <w:t xml:space="preserve"> </w:t>
      </w:r>
      <w:r>
        <w:rPr>
          <w:rFonts w:ascii="Times New Roman" w:hAnsi="Times New Roman" w:cs="Times New Roman"/>
          <w:w w:val="105"/>
          <w:sz w:val="23"/>
          <w:szCs w:val="23"/>
        </w:rPr>
        <w:t>targeted</w:t>
      </w:r>
      <w:r>
        <w:rPr>
          <w:rFonts w:ascii="Times New Roman" w:hAnsi="Times New Roman" w:cs="Times New Roman"/>
          <w:spacing w:val="-13"/>
          <w:w w:val="105"/>
          <w:sz w:val="23"/>
          <w:szCs w:val="23"/>
        </w:rPr>
        <w:t xml:space="preserve"> </w:t>
      </w:r>
      <w:r>
        <w:rPr>
          <w:rFonts w:ascii="Times New Roman" w:hAnsi="Times New Roman" w:cs="Times New Roman"/>
          <w:w w:val="105"/>
          <w:sz w:val="23"/>
          <w:szCs w:val="23"/>
        </w:rPr>
        <w:t>clinical</w:t>
      </w:r>
      <w:r>
        <w:rPr>
          <w:rFonts w:ascii="Times New Roman" w:hAnsi="Times New Roman" w:cs="Times New Roman"/>
          <w:spacing w:val="-17"/>
          <w:w w:val="105"/>
          <w:sz w:val="23"/>
          <w:szCs w:val="23"/>
        </w:rPr>
        <w:t xml:space="preserve"> </w:t>
      </w:r>
      <w:r>
        <w:rPr>
          <w:rFonts w:ascii="Times New Roman" w:hAnsi="Times New Roman" w:cs="Times New Roman"/>
          <w:w w:val="105"/>
          <w:sz w:val="23"/>
          <w:szCs w:val="23"/>
        </w:rPr>
        <w:t>and</w:t>
      </w:r>
      <w:r>
        <w:rPr>
          <w:rFonts w:ascii="Times New Roman" w:hAnsi="Times New Roman" w:cs="Times New Roman"/>
          <w:spacing w:val="-24"/>
          <w:w w:val="105"/>
          <w:sz w:val="23"/>
          <w:szCs w:val="23"/>
        </w:rPr>
        <w:t xml:space="preserve"> </w:t>
      </w:r>
      <w:r>
        <w:rPr>
          <w:rFonts w:ascii="Times New Roman" w:hAnsi="Times New Roman" w:cs="Times New Roman"/>
          <w:w w:val="105"/>
          <w:sz w:val="23"/>
          <w:szCs w:val="23"/>
        </w:rPr>
        <w:t>advocacy</w:t>
      </w:r>
      <w:r>
        <w:rPr>
          <w:rFonts w:ascii="Times New Roman" w:hAnsi="Times New Roman" w:cs="Times New Roman"/>
          <w:spacing w:val="-19"/>
          <w:w w:val="105"/>
          <w:sz w:val="23"/>
          <w:szCs w:val="23"/>
        </w:rPr>
        <w:t xml:space="preserve"> </w:t>
      </w:r>
      <w:r>
        <w:rPr>
          <w:rFonts w:ascii="Times New Roman" w:hAnsi="Times New Roman" w:cs="Times New Roman"/>
          <w:w w:val="105"/>
          <w:sz w:val="23"/>
          <w:szCs w:val="23"/>
        </w:rPr>
        <w:t>support</w:t>
      </w:r>
      <w:r>
        <w:rPr>
          <w:rFonts w:ascii="Times New Roman" w:hAnsi="Times New Roman" w:cs="Times New Roman"/>
          <w:spacing w:val="-28"/>
          <w:w w:val="105"/>
          <w:sz w:val="23"/>
          <w:szCs w:val="23"/>
        </w:rPr>
        <w:t xml:space="preserve"> </w:t>
      </w:r>
      <w:r>
        <w:rPr>
          <w:rFonts w:ascii="Times New Roman" w:hAnsi="Times New Roman" w:cs="Times New Roman"/>
          <w:w w:val="105"/>
          <w:sz w:val="23"/>
          <w:szCs w:val="23"/>
        </w:rPr>
        <w:t>that</w:t>
      </w:r>
      <w:r>
        <w:rPr>
          <w:rFonts w:ascii="Times New Roman" w:hAnsi="Times New Roman" w:cs="Times New Roman"/>
          <w:spacing w:val="-28"/>
          <w:w w:val="105"/>
          <w:sz w:val="23"/>
          <w:szCs w:val="23"/>
        </w:rPr>
        <w:t xml:space="preserve"> </w:t>
      </w:r>
      <w:r>
        <w:rPr>
          <w:rFonts w:ascii="Times New Roman" w:hAnsi="Times New Roman" w:cs="Times New Roman"/>
          <w:w w:val="105"/>
          <w:sz w:val="23"/>
          <w:szCs w:val="23"/>
        </w:rPr>
        <w:t>is</w:t>
      </w:r>
      <w:r>
        <w:rPr>
          <w:rFonts w:ascii="Times New Roman" w:hAnsi="Times New Roman" w:cs="Times New Roman"/>
          <w:spacing w:val="-27"/>
          <w:w w:val="105"/>
          <w:sz w:val="23"/>
          <w:szCs w:val="23"/>
        </w:rPr>
        <w:t xml:space="preserve"> </w:t>
      </w:r>
      <w:r>
        <w:rPr>
          <w:rFonts w:ascii="Times New Roman" w:hAnsi="Times New Roman" w:cs="Times New Roman"/>
          <w:w w:val="105"/>
          <w:sz w:val="23"/>
          <w:szCs w:val="23"/>
        </w:rPr>
        <w:t>offered</w:t>
      </w:r>
      <w:r>
        <w:rPr>
          <w:rFonts w:ascii="Times New Roman" w:hAnsi="Times New Roman" w:cs="Times New Roman"/>
          <w:spacing w:val="-13"/>
          <w:w w:val="105"/>
          <w:sz w:val="23"/>
          <w:szCs w:val="23"/>
        </w:rPr>
        <w:t xml:space="preserve"> </w:t>
      </w:r>
      <w:r>
        <w:rPr>
          <w:rFonts w:ascii="Times New Roman" w:hAnsi="Times New Roman" w:cs="Times New Roman"/>
          <w:w w:val="105"/>
          <w:sz w:val="23"/>
          <w:szCs w:val="23"/>
        </w:rPr>
        <w:t>at local</w:t>
      </w:r>
      <w:r>
        <w:rPr>
          <w:rFonts w:ascii="Times New Roman" w:hAnsi="Times New Roman" w:cs="Times New Roman"/>
          <w:spacing w:val="-19"/>
          <w:w w:val="105"/>
          <w:sz w:val="23"/>
          <w:szCs w:val="23"/>
        </w:rPr>
        <w:t xml:space="preserve"> </w:t>
      </w:r>
      <w:r>
        <w:rPr>
          <w:rFonts w:ascii="Times New Roman" w:hAnsi="Times New Roman" w:cs="Times New Roman"/>
          <w:w w:val="105"/>
          <w:sz w:val="23"/>
          <w:szCs w:val="23"/>
        </w:rPr>
        <w:t>programs</w:t>
      </w:r>
      <w:r>
        <w:rPr>
          <w:rFonts w:ascii="Times New Roman" w:hAnsi="Times New Roman" w:cs="Times New Roman"/>
          <w:spacing w:val="-7"/>
          <w:w w:val="105"/>
          <w:sz w:val="23"/>
          <w:szCs w:val="23"/>
        </w:rPr>
        <w:t xml:space="preserve"> </w:t>
      </w:r>
      <w:r>
        <w:rPr>
          <w:rFonts w:ascii="Times New Roman" w:hAnsi="Times New Roman" w:cs="Times New Roman"/>
          <w:w w:val="105"/>
          <w:sz w:val="23"/>
          <w:szCs w:val="23"/>
        </w:rPr>
        <w:t>is</w:t>
      </w:r>
      <w:r>
        <w:rPr>
          <w:rFonts w:ascii="Times New Roman" w:hAnsi="Times New Roman" w:cs="Times New Roman"/>
          <w:spacing w:val="-16"/>
          <w:w w:val="105"/>
          <w:sz w:val="23"/>
          <w:szCs w:val="23"/>
        </w:rPr>
        <w:t xml:space="preserve"> </w:t>
      </w:r>
      <w:r>
        <w:rPr>
          <w:rFonts w:ascii="Times New Roman" w:hAnsi="Times New Roman" w:cs="Times New Roman"/>
          <w:w w:val="105"/>
          <w:sz w:val="23"/>
          <w:szCs w:val="23"/>
        </w:rPr>
        <w:t>critical</w:t>
      </w:r>
      <w:r>
        <w:rPr>
          <w:rFonts w:ascii="Times New Roman" w:hAnsi="Times New Roman" w:cs="Times New Roman"/>
          <w:spacing w:val="-11"/>
          <w:w w:val="105"/>
          <w:sz w:val="23"/>
          <w:szCs w:val="23"/>
        </w:rPr>
        <w:t xml:space="preserve"> </w:t>
      </w:r>
      <w:r>
        <w:rPr>
          <w:rFonts w:ascii="Times New Roman" w:hAnsi="Times New Roman" w:cs="Times New Roman"/>
          <w:w w:val="105"/>
          <w:sz w:val="23"/>
          <w:szCs w:val="23"/>
        </w:rPr>
        <w:t>to</w:t>
      </w:r>
      <w:r>
        <w:rPr>
          <w:rFonts w:ascii="Times New Roman" w:hAnsi="Times New Roman" w:cs="Times New Roman"/>
          <w:spacing w:val="-6"/>
          <w:w w:val="105"/>
          <w:sz w:val="23"/>
          <w:szCs w:val="23"/>
        </w:rPr>
        <w:t xml:space="preserve"> </w:t>
      </w:r>
      <w:r>
        <w:rPr>
          <w:rFonts w:ascii="Times New Roman" w:hAnsi="Times New Roman" w:cs="Times New Roman"/>
          <w:w w:val="105"/>
          <w:sz w:val="23"/>
          <w:szCs w:val="23"/>
        </w:rPr>
        <w:t>survivor</w:t>
      </w:r>
      <w:r>
        <w:rPr>
          <w:rFonts w:ascii="Times New Roman" w:hAnsi="Times New Roman" w:cs="Times New Roman"/>
          <w:spacing w:val="-19"/>
          <w:w w:val="105"/>
          <w:sz w:val="23"/>
          <w:szCs w:val="23"/>
        </w:rPr>
        <w:t xml:space="preserve"> </w:t>
      </w:r>
      <w:r>
        <w:rPr>
          <w:rFonts w:ascii="Times New Roman" w:hAnsi="Times New Roman" w:cs="Times New Roman"/>
          <w:w w:val="105"/>
          <w:sz w:val="23"/>
          <w:szCs w:val="23"/>
        </w:rPr>
        <w:t>healing.</w:t>
      </w:r>
      <w:r>
        <w:rPr>
          <w:rFonts w:ascii="Times New Roman" w:hAnsi="Times New Roman" w:cs="Times New Roman"/>
          <w:spacing w:val="2"/>
          <w:w w:val="105"/>
          <w:sz w:val="23"/>
          <w:szCs w:val="23"/>
        </w:rPr>
        <w:t xml:space="preserve"> </w:t>
      </w:r>
      <w:r>
        <w:rPr>
          <w:rFonts w:ascii="Arial" w:hAnsi="Arial" w:cs="Arial"/>
          <w:spacing w:val="6"/>
          <w:w w:val="105"/>
        </w:rPr>
        <w:t>In</w:t>
      </w:r>
      <w:r>
        <w:rPr>
          <w:rFonts w:ascii="Times New Roman" w:hAnsi="Times New Roman" w:cs="Times New Roman"/>
          <w:spacing w:val="6"/>
          <w:w w:val="105"/>
          <w:sz w:val="23"/>
          <w:szCs w:val="23"/>
        </w:rPr>
        <w:t>a</w:t>
      </w:r>
      <w:r>
        <w:rPr>
          <w:rFonts w:ascii="Times New Roman" w:hAnsi="Times New Roman" w:cs="Times New Roman"/>
          <w:spacing w:val="-23"/>
          <w:w w:val="105"/>
          <w:sz w:val="23"/>
          <w:szCs w:val="23"/>
        </w:rPr>
        <w:t xml:space="preserve"> </w:t>
      </w:r>
      <w:r>
        <w:rPr>
          <w:rFonts w:ascii="Times New Roman" w:hAnsi="Times New Roman" w:cs="Times New Roman"/>
          <w:w w:val="105"/>
          <w:sz w:val="23"/>
          <w:szCs w:val="23"/>
        </w:rPr>
        <w:t>2011 study</w:t>
      </w:r>
      <w:r>
        <w:rPr>
          <w:rFonts w:ascii="Times New Roman" w:hAnsi="Times New Roman" w:cs="Times New Roman"/>
          <w:spacing w:val="-22"/>
          <w:w w:val="105"/>
          <w:sz w:val="23"/>
          <w:szCs w:val="23"/>
        </w:rPr>
        <w:t xml:space="preserve"> </w:t>
      </w:r>
      <w:r>
        <w:rPr>
          <w:rFonts w:ascii="Times New Roman" w:hAnsi="Times New Roman" w:cs="Times New Roman"/>
          <w:w w:val="105"/>
          <w:sz w:val="23"/>
          <w:szCs w:val="23"/>
        </w:rPr>
        <w:t>in</w:t>
      </w:r>
      <w:r>
        <w:rPr>
          <w:rFonts w:ascii="Times New Roman" w:hAnsi="Times New Roman" w:cs="Times New Roman"/>
          <w:spacing w:val="-14"/>
          <w:w w:val="105"/>
          <w:sz w:val="23"/>
          <w:szCs w:val="23"/>
        </w:rPr>
        <w:t xml:space="preserve"> </w:t>
      </w:r>
      <w:r>
        <w:rPr>
          <w:rFonts w:ascii="Times New Roman" w:hAnsi="Times New Roman" w:cs="Times New Roman"/>
          <w:w w:val="105"/>
          <w:sz w:val="23"/>
          <w:szCs w:val="23"/>
        </w:rPr>
        <w:t>MA,</w:t>
      </w:r>
      <w:r>
        <w:rPr>
          <w:rFonts w:ascii="Times New Roman" w:hAnsi="Times New Roman" w:cs="Times New Roman"/>
          <w:spacing w:val="-9"/>
          <w:w w:val="105"/>
          <w:sz w:val="23"/>
          <w:szCs w:val="23"/>
        </w:rPr>
        <w:t xml:space="preserve"> </w:t>
      </w:r>
      <w:r>
        <w:rPr>
          <w:rFonts w:ascii="Times New Roman" w:hAnsi="Times New Roman" w:cs="Times New Roman"/>
          <w:w w:val="105"/>
          <w:sz w:val="23"/>
          <w:szCs w:val="23"/>
        </w:rPr>
        <w:t>94%</w:t>
      </w:r>
      <w:r>
        <w:rPr>
          <w:rFonts w:ascii="Times New Roman" w:hAnsi="Times New Roman" w:cs="Times New Roman"/>
          <w:spacing w:val="-14"/>
          <w:w w:val="105"/>
          <w:sz w:val="23"/>
          <w:szCs w:val="23"/>
        </w:rPr>
        <w:t xml:space="preserve"> </w:t>
      </w:r>
      <w:r>
        <w:rPr>
          <w:rFonts w:ascii="Times New Roman" w:hAnsi="Times New Roman" w:cs="Times New Roman"/>
          <w:w w:val="105"/>
          <w:sz w:val="23"/>
          <w:szCs w:val="23"/>
        </w:rPr>
        <w:t>of</w:t>
      </w:r>
      <w:r>
        <w:rPr>
          <w:rFonts w:ascii="Times New Roman" w:hAnsi="Times New Roman" w:cs="Times New Roman"/>
          <w:spacing w:val="-17"/>
          <w:w w:val="105"/>
          <w:sz w:val="23"/>
          <w:szCs w:val="23"/>
        </w:rPr>
        <w:t xml:space="preserve"> </w:t>
      </w:r>
      <w:r>
        <w:rPr>
          <w:rFonts w:ascii="Times New Roman" w:hAnsi="Times New Roman" w:cs="Times New Roman"/>
          <w:w w:val="105"/>
          <w:sz w:val="23"/>
          <w:szCs w:val="23"/>
        </w:rPr>
        <w:t>domestic</w:t>
      </w:r>
      <w:r>
        <w:rPr>
          <w:rFonts w:ascii="Times New Roman" w:hAnsi="Times New Roman" w:cs="Times New Roman"/>
          <w:spacing w:val="-13"/>
          <w:w w:val="105"/>
          <w:sz w:val="23"/>
          <w:szCs w:val="23"/>
        </w:rPr>
        <w:t xml:space="preserve"> </w:t>
      </w:r>
      <w:r>
        <w:rPr>
          <w:rFonts w:ascii="Times New Roman" w:hAnsi="Times New Roman" w:cs="Times New Roman"/>
          <w:w w:val="105"/>
          <w:sz w:val="23"/>
          <w:szCs w:val="23"/>
        </w:rPr>
        <w:t>violence survivors</w:t>
      </w:r>
      <w:r>
        <w:rPr>
          <w:rFonts w:ascii="Times New Roman" w:hAnsi="Times New Roman" w:cs="Times New Roman"/>
          <w:spacing w:val="-12"/>
          <w:w w:val="105"/>
          <w:sz w:val="23"/>
          <w:szCs w:val="23"/>
        </w:rPr>
        <w:t xml:space="preserve"> </w:t>
      </w:r>
      <w:r>
        <w:rPr>
          <w:rFonts w:ascii="Times New Roman" w:hAnsi="Times New Roman" w:cs="Times New Roman"/>
          <w:w w:val="105"/>
          <w:sz w:val="23"/>
          <w:szCs w:val="23"/>
        </w:rPr>
        <w:t>served</w:t>
      </w:r>
      <w:r>
        <w:rPr>
          <w:rFonts w:ascii="Times New Roman" w:hAnsi="Times New Roman" w:cs="Times New Roman"/>
          <w:spacing w:val="-21"/>
          <w:w w:val="105"/>
          <w:sz w:val="23"/>
          <w:szCs w:val="23"/>
        </w:rPr>
        <w:t xml:space="preserve"> </w:t>
      </w:r>
      <w:r>
        <w:rPr>
          <w:rFonts w:ascii="Times New Roman" w:hAnsi="Times New Roman" w:cs="Times New Roman"/>
          <w:w w:val="105"/>
          <w:sz w:val="23"/>
          <w:szCs w:val="23"/>
        </w:rPr>
        <w:t>by</w:t>
      </w:r>
      <w:r>
        <w:rPr>
          <w:rFonts w:ascii="Times New Roman" w:hAnsi="Times New Roman" w:cs="Times New Roman"/>
          <w:spacing w:val="-23"/>
          <w:w w:val="105"/>
          <w:sz w:val="23"/>
          <w:szCs w:val="23"/>
        </w:rPr>
        <w:t xml:space="preserve"> </w:t>
      </w:r>
      <w:r>
        <w:rPr>
          <w:rFonts w:ascii="Times New Roman" w:hAnsi="Times New Roman" w:cs="Times New Roman"/>
          <w:w w:val="105"/>
          <w:sz w:val="23"/>
          <w:szCs w:val="23"/>
        </w:rPr>
        <w:t>local</w:t>
      </w:r>
      <w:r>
        <w:rPr>
          <w:rFonts w:ascii="Times New Roman" w:hAnsi="Times New Roman" w:cs="Times New Roman"/>
          <w:spacing w:val="-19"/>
          <w:w w:val="105"/>
          <w:sz w:val="23"/>
          <w:szCs w:val="23"/>
        </w:rPr>
        <w:t xml:space="preserve"> </w:t>
      </w:r>
      <w:r>
        <w:rPr>
          <w:rFonts w:ascii="Times New Roman" w:hAnsi="Times New Roman" w:cs="Times New Roman"/>
          <w:w w:val="105"/>
          <w:sz w:val="23"/>
          <w:szCs w:val="23"/>
        </w:rPr>
        <w:t>programs</w:t>
      </w:r>
      <w:r>
        <w:rPr>
          <w:rFonts w:ascii="Times New Roman" w:hAnsi="Times New Roman" w:cs="Times New Roman"/>
          <w:spacing w:val="-14"/>
          <w:w w:val="105"/>
          <w:sz w:val="23"/>
          <w:szCs w:val="23"/>
        </w:rPr>
        <w:t xml:space="preserve"> </w:t>
      </w:r>
      <w:r>
        <w:rPr>
          <w:rFonts w:ascii="Times New Roman" w:hAnsi="Times New Roman" w:cs="Times New Roman"/>
          <w:w w:val="105"/>
          <w:sz w:val="23"/>
          <w:szCs w:val="23"/>
        </w:rPr>
        <w:t>indicated</w:t>
      </w:r>
      <w:r>
        <w:rPr>
          <w:rFonts w:ascii="Times New Roman" w:hAnsi="Times New Roman" w:cs="Times New Roman"/>
          <w:spacing w:val="-9"/>
          <w:w w:val="105"/>
          <w:sz w:val="23"/>
          <w:szCs w:val="23"/>
        </w:rPr>
        <w:t xml:space="preserve"> </w:t>
      </w:r>
      <w:r>
        <w:rPr>
          <w:rFonts w:ascii="Times New Roman" w:hAnsi="Times New Roman" w:cs="Times New Roman"/>
          <w:w w:val="105"/>
          <w:sz w:val="23"/>
          <w:szCs w:val="23"/>
        </w:rPr>
        <w:t>that</w:t>
      </w:r>
      <w:r>
        <w:rPr>
          <w:rFonts w:ascii="Times New Roman" w:hAnsi="Times New Roman" w:cs="Times New Roman"/>
          <w:spacing w:val="-19"/>
          <w:w w:val="105"/>
          <w:sz w:val="23"/>
          <w:szCs w:val="23"/>
        </w:rPr>
        <w:t xml:space="preserve"> </w:t>
      </w:r>
      <w:r>
        <w:rPr>
          <w:rFonts w:ascii="Times New Roman" w:hAnsi="Times New Roman" w:cs="Times New Roman"/>
          <w:w w:val="105"/>
          <w:sz w:val="23"/>
          <w:szCs w:val="23"/>
        </w:rPr>
        <w:t>they</w:t>
      </w:r>
      <w:r>
        <w:rPr>
          <w:rFonts w:ascii="Times New Roman" w:hAnsi="Times New Roman" w:cs="Times New Roman"/>
          <w:spacing w:val="-23"/>
          <w:w w:val="105"/>
          <w:sz w:val="23"/>
          <w:szCs w:val="23"/>
        </w:rPr>
        <w:t xml:space="preserve"> </w:t>
      </w:r>
      <w:r>
        <w:rPr>
          <w:rFonts w:ascii="Times New Roman" w:hAnsi="Times New Roman" w:cs="Times New Roman"/>
          <w:w w:val="105"/>
          <w:sz w:val="23"/>
          <w:szCs w:val="23"/>
        </w:rPr>
        <w:t>were</w:t>
      </w:r>
      <w:r>
        <w:rPr>
          <w:rFonts w:ascii="Times New Roman" w:hAnsi="Times New Roman" w:cs="Times New Roman"/>
          <w:spacing w:val="-22"/>
          <w:w w:val="105"/>
          <w:sz w:val="23"/>
          <w:szCs w:val="23"/>
        </w:rPr>
        <w:t xml:space="preserve"> </w:t>
      </w:r>
      <w:r>
        <w:rPr>
          <w:rFonts w:ascii="Times New Roman" w:hAnsi="Times New Roman" w:cs="Times New Roman"/>
          <w:w w:val="105"/>
          <w:sz w:val="23"/>
          <w:szCs w:val="23"/>
        </w:rPr>
        <w:t>more</w:t>
      </w:r>
      <w:r>
        <w:rPr>
          <w:rFonts w:ascii="Times New Roman" w:hAnsi="Times New Roman" w:cs="Times New Roman"/>
          <w:spacing w:val="-22"/>
          <w:w w:val="105"/>
          <w:sz w:val="23"/>
          <w:szCs w:val="23"/>
        </w:rPr>
        <w:t xml:space="preserve"> </w:t>
      </w:r>
      <w:r>
        <w:rPr>
          <w:rFonts w:ascii="Times New Roman" w:hAnsi="Times New Roman" w:cs="Times New Roman"/>
          <w:w w:val="105"/>
          <w:sz w:val="23"/>
          <w:szCs w:val="23"/>
        </w:rPr>
        <w:t>hopeful</w:t>
      </w:r>
      <w:r>
        <w:rPr>
          <w:rFonts w:ascii="Times New Roman" w:hAnsi="Times New Roman" w:cs="Times New Roman"/>
          <w:spacing w:val="-4"/>
          <w:w w:val="105"/>
          <w:sz w:val="23"/>
          <w:szCs w:val="23"/>
        </w:rPr>
        <w:t xml:space="preserve"> </w:t>
      </w:r>
      <w:r>
        <w:rPr>
          <w:rFonts w:ascii="Times New Roman" w:hAnsi="Times New Roman" w:cs="Times New Roman"/>
          <w:w w:val="105"/>
          <w:sz w:val="23"/>
          <w:szCs w:val="23"/>
        </w:rPr>
        <w:t>about</w:t>
      </w:r>
      <w:r>
        <w:rPr>
          <w:rFonts w:ascii="Times New Roman" w:hAnsi="Times New Roman" w:cs="Times New Roman"/>
          <w:spacing w:val="-16"/>
          <w:w w:val="105"/>
          <w:sz w:val="23"/>
          <w:szCs w:val="23"/>
        </w:rPr>
        <w:t xml:space="preserve"> </w:t>
      </w:r>
      <w:r>
        <w:rPr>
          <w:rFonts w:ascii="Times New Roman" w:hAnsi="Times New Roman" w:cs="Times New Roman"/>
          <w:w w:val="105"/>
          <w:sz w:val="23"/>
          <w:szCs w:val="23"/>
        </w:rPr>
        <w:t>the</w:t>
      </w:r>
      <w:r>
        <w:rPr>
          <w:rFonts w:ascii="Times New Roman" w:hAnsi="Times New Roman" w:cs="Times New Roman"/>
          <w:spacing w:val="-17"/>
          <w:w w:val="105"/>
          <w:sz w:val="23"/>
          <w:szCs w:val="23"/>
        </w:rPr>
        <w:t xml:space="preserve"> </w:t>
      </w:r>
      <w:r>
        <w:rPr>
          <w:rFonts w:ascii="Times New Roman" w:hAnsi="Times New Roman" w:cs="Times New Roman"/>
          <w:w w:val="105"/>
          <w:sz w:val="23"/>
          <w:szCs w:val="23"/>
        </w:rPr>
        <w:t>future</w:t>
      </w:r>
      <w:r>
        <w:rPr>
          <w:rFonts w:ascii="Times New Roman" w:hAnsi="Times New Roman" w:cs="Times New Roman"/>
          <w:spacing w:val="-16"/>
          <w:w w:val="105"/>
          <w:sz w:val="23"/>
          <w:szCs w:val="23"/>
        </w:rPr>
        <w:t xml:space="preserve"> </w:t>
      </w:r>
      <w:r>
        <w:rPr>
          <w:rFonts w:ascii="Times New Roman" w:hAnsi="Times New Roman" w:cs="Times New Roman"/>
          <w:w w:val="105"/>
          <w:sz w:val="23"/>
          <w:szCs w:val="23"/>
        </w:rPr>
        <w:t>after having received services</w:t>
      </w:r>
      <w:r>
        <w:rPr>
          <w:rFonts w:ascii="Arial" w:hAnsi="Arial" w:cs="Arial"/>
          <w:w w:val="105"/>
          <w:position w:val="9"/>
          <w:sz w:val="15"/>
          <w:szCs w:val="15"/>
        </w:rPr>
        <w:t xml:space="preserve">4 </w:t>
      </w:r>
      <w:r>
        <w:rPr>
          <w:rFonts w:ascii="Arial" w:hAnsi="Arial" w:cs="Arial"/>
          <w:w w:val="105"/>
          <w:sz w:val="15"/>
          <w:szCs w:val="15"/>
        </w:rPr>
        <w:t xml:space="preserve">• </w:t>
      </w:r>
      <w:r>
        <w:rPr>
          <w:rFonts w:ascii="Times New Roman" w:hAnsi="Times New Roman" w:cs="Times New Roman"/>
          <w:w w:val="105"/>
          <w:sz w:val="23"/>
          <w:szCs w:val="23"/>
        </w:rPr>
        <w:t xml:space="preserve">Hopefulness is considered </w:t>
      </w:r>
      <w:r>
        <w:rPr>
          <w:rFonts w:ascii="Times New Roman" w:hAnsi="Times New Roman" w:cs="Times New Roman"/>
          <w:w w:val="105"/>
          <w:sz w:val="23"/>
          <w:szCs w:val="23"/>
          <w:u w:val="thick"/>
        </w:rPr>
        <w:t xml:space="preserve">a foundation of recovery </w:t>
      </w:r>
      <w:r>
        <w:rPr>
          <w:rFonts w:ascii="Times New Roman" w:hAnsi="Times New Roman" w:cs="Times New Roman"/>
          <w:w w:val="105"/>
          <w:sz w:val="23"/>
          <w:szCs w:val="23"/>
        </w:rPr>
        <w:t>from traumatic experiences by SAMHSA. Local programs are also a critical partner for the health care community</w:t>
      </w:r>
      <w:r>
        <w:rPr>
          <w:rFonts w:ascii="Times New Roman" w:hAnsi="Times New Roman" w:cs="Times New Roman"/>
          <w:spacing w:val="-28"/>
          <w:w w:val="105"/>
          <w:sz w:val="23"/>
          <w:szCs w:val="23"/>
        </w:rPr>
        <w:t xml:space="preserve"> </w:t>
      </w:r>
      <w:r>
        <w:rPr>
          <w:rFonts w:ascii="Times New Roman" w:hAnsi="Times New Roman" w:cs="Times New Roman"/>
          <w:w w:val="105"/>
          <w:sz w:val="23"/>
          <w:szCs w:val="23"/>
        </w:rPr>
        <w:t>to</w:t>
      </w:r>
      <w:r>
        <w:rPr>
          <w:rFonts w:ascii="Times New Roman" w:hAnsi="Times New Roman" w:cs="Times New Roman"/>
          <w:spacing w:val="-30"/>
          <w:w w:val="105"/>
          <w:sz w:val="23"/>
          <w:szCs w:val="23"/>
        </w:rPr>
        <w:t xml:space="preserve"> </w:t>
      </w:r>
      <w:r>
        <w:rPr>
          <w:rFonts w:ascii="Times New Roman" w:hAnsi="Times New Roman" w:cs="Times New Roman"/>
          <w:w w:val="105"/>
          <w:sz w:val="23"/>
          <w:szCs w:val="23"/>
        </w:rPr>
        <w:t>collaborate</w:t>
      </w:r>
      <w:r>
        <w:rPr>
          <w:rFonts w:ascii="Times New Roman" w:hAnsi="Times New Roman" w:cs="Times New Roman"/>
          <w:spacing w:val="-26"/>
          <w:w w:val="105"/>
          <w:sz w:val="23"/>
          <w:szCs w:val="23"/>
        </w:rPr>
        <w:t xml:space="preserve"> </w:t>
      </w:r>
      <w:r>
        <w:rPr>
          <w:rFonts w:ascii="Times New Roman" w:hAnsi="Times New Roman" w:cs="Times New Roman"/>
          <w:w w:val="105"/>
          <w:sz w:val="23"/>
          <w:szCs w:val="23"/>
        </w:rPr>
        <w:t>on</w:t>
      </w:r>
      <w:r>
        <w:rPr>
          <w:rFonts w:ascii="Times New Roman" w:hAnsi="Times New Roman" w:cs="Times New Roman"/>
          <w:spacing w:val="-29"/>
          <w:w w:val="105"/>
          <w:sz w:val="23"/>
          <w:szCs w:val="23"/>
        </w:rPr>
        <w:t xml:space="preserve"> </w:t>
      </w:r>
      <w:r>
        <w:rPr>
          <w:rFonts w:ascii="Times New Roman" w:hAnsi="Times New Roman" w:cs="Times New Roman"/>
          <w:w w:val="105"/>
          <w:sz w:val="23"/>
          <w:szCs w:val="23"/>
        </w:rPr>
        <w:t>appropriate</w:t>
      </w:r>
      <w:r>
        <w:rPr>
          <w:rFonts w:ascii="Times New Roman" w:hAnsi="Times New Roman" w:cs="Times New Roman"/>
          <w:spacing w:val="-29"/>
          <w:w w:val="105"/>
          <w:sz w:val="23"/>
          <w:szCs w:val="23"/>
        </w:rPr>
        <w:t xml:space="preserve"> </w:t>
      </w:r>
      <w:r>
        <w:rPr>
          <w:rFonts w:ascii="Times New Roman" w:hAnsi="Times New Roman" w:cs="Times New Roman"/>
          <w:w w:val="105"/>
          <w:sz w:val="23"/>
          <w:szCs w:val="23"/>
        </w:rPr>
        <w:t>health</w:t>
      </w:r>
      <w:r>
        <w:rPr>
          <w:rFonts w:ascii="Times New Roman" w:hAnsi="Times New Roman" w:cs="Times New Roman"/>
          <w:spacing w:val="-27"/>
          <w:w w:val="105"/>
          <w:sz w:val="23"/>
          <w:szCs w:val="23"/>
        </w:rPr>
        <w:t xml:space="preserve"> </w:t>
      </w:r>
      <w:r>
        <w:rPr>
          <w:rFonts w:ascii="Times New Roman" w:hAnsi="Times New Roman" w:cs="Times New Roman"/>
          <w:w w:val="105"/>
          <w:sz w:val="23"/>
          <w:szCs w:val="23"/>
        </w:rPr>
        <w:t>care</w:t>
      </w:r>
      <w:r>
        <w:rPr>
          <w:rFonts w:ascii="Times New Roman" w:hAnsi="Times New Roman" w:cs="Times New Roman"/>
          <w:spacing w:val="-33"/>
          <w:w w:val="105"/>
          <w:sz w:val="23"/>
          <w:szCs w:val="23"/>
        </w:rPr>
        <w:t xml:space="preserve"> </w:t>
      </w:r>
      <w:r>
        <w:rPr>
          <w:rFonts w:ascii="Times New Roman" w:hAnsi="Times New Roman" w:cs="Times New Roman"/>
          <w:w w:val="105"/>
          <w:sz w:val="23"/>
          <w:szCs w:val="23"/>
        </w:rPr>
        <w:t>screening</w:t>
      </w:r>
      <w:r>
        <w:rPr>
          <w:rFonts w:ascii="Times New Roman" w:hAnsi="Times New Roman" w:cs="Times New Roman"/>
          <w:spacing w:val="-30"/>
          <w:w w:val="105"/>
          <w:sz w:val="23"/>
          <w:szCs w:val="23"/>
        </w:rPr>
        <w:t xml:space="preserve"> </w:t>
      </w:r>
      <w:r>
        <w:rPr>
          <w:rFonts w:ascii="Times New Roman" w:hAnsi="Times New Roman" w:cs="Times New Roman"/>
          <w:w w:val="105"/>
          <w:sz w:val="23"/>
          <w:szCs w:val="23"/>
        </w:rPr>
        <w:t>for</w:t>
      </w:r>
      <w:r>
        <w:rPr>
          <w:rFonts w:ascii="Times New Roman" w:hAnsi="Times New Roman" w:cs="Times New Roman"/>
          <w:spacing w:val="-34"/>
          <w:w w:val="105"/>
          <w:sz w:val="23"/>
          <w:szCs w:val="23"/>
        </w:rPr>
        <w:t xml:space="preserve"> </w:t>
      </w:r>
      <w:r>
        <w:rPr>
          <w:rFonts w:ascii="Times New Roman" w:hAnsi="Times New Roman" w:cs="Times New Roman"/>
          <w:w w:val="105"/>
          <w:sz w:val="23"/>
          <w:szCs w:val="23"/>
        </w:rPr>
        <w:t>domestic</w:t>
      </w:r>
      <w:r>
        <w:rPr>
          <w:rFonts w:ascii="Times New Roman" w:hAnsi="Times New Roman" w:cs="Times New Roman"/>
          <w:spacing w:val="-32"/>
          <w:w w:val="105"/>
          <w:sz w:val="23"/>
          <w:szCs w:val="23"/>
        </w:rPr>
        <w:t xml:space="preserve"> </w:t>
      </w:r>
      <w:r>
        <w:rPr>
          <w:rFonts w:ascii="Times New Roman" w:hAnsi="Times New Roman" w:cs="Times New Roman"/>
          <w:w w:val="105"/>
          <w:sz w:val="23"/>
          <w:szCs w:val="23"/>
        </w:rPr>
        <w:t>violence.</w:t>
      </w:r>
    </w:p>
    <w:p w:rsidR="002C5025" w:rsidRDefault="002C5025">
      <w:pPr>
        <w:pStyle w:val="BodyText"/>
        <w:kinsoku w:val="0"/>
        <w:overflowPunct w:val="0"/>
        <w:spacing w:before="9" w:line="268" w:lineRule="auto"/>
        <w:ind w:left="150" w:right="275" w:firstLine="7"/>
        <w:rPr>
          <w:rFonts w:ascii="Times New Roman" w:hAnsi="Times New Roman" w:cs="Times New Roman"/>
          <w:sz w:val="23"/>
          <w:szCs w:val="23"/>
        </w:rPr>
      </w:pPr>
      <w:r>
        <w:rPr>
          <w:rFonts w:ascii="Times New Roman" w:hAnsi="Times New Roman" w:cs="Times New Roman"/>
          <w:sz w:val="23"/>
          <w:szCs w:val="23"/>
        </w:rPr>
        <w:t>Massachusetts providers have the expertise and foundation for this work and are positioned to work</w:t>
      </w:r>
      <w:r w:rsidR="00CF30C1">
        <w:rPr>
          <w:rFonts w:ascii="Times New Roman" w:hAnsi="Times New Roman" w:cs="Times New Roman"/>
          <w:sz w:val="23"/>
          <w:szCs w:val="23"/>
        </w:rPr>
        <w:t xml:space="preserve"> with ACO's to build protocols </w:t>
      </w:r>
      <w:r>
        <w:rPr>
          <w:rFonts w:ascii="Times New Roman" w:hAnsi="Times New Roman" w:cs="Times New Roman"/>
          <w:sz w:val="23"/>
          <w:szCs w:val="23"/>
        </w:rPr>
        <w:t>and best practices  around</w:t>
      </w:r>
      <w:r w:rsidR="00CF30C1">
        <w:rPr>
          <w:rFonts w:ascii="Times New Roman" w:hAnsi="Times New Roman" w:cs="Times New Roman"/>
          <w:sz w:val="23"/>
          <w:szCs w:val="23"/>
        </w:rPr>
        <w:t xml:space="preserve"> screening and referral. While </w:t>
      </w:r>
      <w:r>
        <w:rPr>
          <w:rFonts w:ascii="Times New Roman" w:hAnsi="Times New Roman" w:cs="Times New Roman"/>
          <w:sz w:val="23"/>
          <w:szCs w:val="23"/>
        </w:rPr>
        <w:t>these systems already may interact and work well together, there are frequently limitations to the capacity of community based sexual and domestic violence programs to meet the needs of all survivors. Resources are needed to facilitate the building of these partnerships.</w:t>
      </w:r>
    </w:p>
    <w:p w:rsidR="002C5025" w:rsidRDefault="002C5025">
      <w:pPr>
        <w:pStyle w:val="BodyText"/>
        <w:kinsoku w:val="0"/>
        <w:overflowPunct w:val="0"/>
        <w:spacing w:before="165" w:line="268" w:lineRule="auto"/>
        <w:ind w:left="131" w:right="288" w:firstLine="12"/>
        <w:rPr>
          <w:rFonts w:ascii="Times New Roman" w:hAnsi="Times New Roman" w:cs="Times New Roman"/>
          <w:sz w:val="23"/>
          <w:szCs w:val="23"/>
        </w:rPr>
      </w:pPr>
      <w:r>
        <w:rPr>
          <w:rFonts w:ascii="Times New Roman" w:hAnsi="Times New Roman" w:cs="Times New Roman"/>
          <w:sz w:val="23"/>
          <w:szCs w:val="23"/>
        </w:rPr>
        <w:t>We are pleased to see the inclusion of sexual and domestic violence supports as part of the ACO funding purpose with regard to direct spending for traditionally non-reimbursed  flexible services  to address health-related social needs (section 5.3.2.3). As noted, local programs provide services free and confidentially and are significant presence in th</w:t>
      </w:r>
      <w:r w:rsidR="00CF30C1">
        <w:rPr>
          <w:rFonts w:ascii="Times New Roman" w:hAnsi="Times New Roman" w:cs="Times New Roman"/>
          <w:sz w:val="23"/>
          <w:szCs w:val="23"/>
        </w:rPr>
        <w:t xml:space="preserve">e communities in Massachusetts </w:t>
      </w:r>
      <w:r>
        <w:rPr>
          <w:rFonts w:ascii="Times New Roman" w:hAnsi="Times New Roman" w:cs="Times New Roman"/>
          <w:sz w:val="23"/>
          <w:szCs w:val="23"/>
        </w:rPr>
        <w:t xml:space="preserve">supporting the health and healing for individuals after having experienced significant trauma in their lives. As you work toward the implementation and distribution of DSRIP funds for this purpose, we strongly urge you to direct resources to the existing network of sexual and domestic violence </w:t>
      </w:r>
      <w:r w:rsidR="00CF30C1">
        <w:rPr>
          <w:rFonts w:ascii="Times New Roman" w:hAnsi="Times New Roman" w:cs="Times New Roman"/>
          <w:sz w:val="23"/>
          <w:szCs w:val="23"/>
        </w:rPr>
        <w:t xml:space="preserve">programs (see the enclosed map </w:t>
      </w:r>
      <w:r>
        <w:rPr>
          <w:rFonts w:ascii="Times New Roman" w:hAnsi="Times New Roman" w:cs="Times New Roman"/>
          <w:sz w:val="23"/>
          <w:szCs w:val="23"/>
        </w:rPr>
        <w:t>for a listing of the current network of providers in    MA). We encourage you to work with us and with the Department of Public Health, which has strong connections and funding relationships with local programs, in identifying the appropriate providers for ACOs to engage with regionally.</w:t>
      </w:r>
    </w:p>
    <w:p w:rsidR="002C5025" w:rsidRDefault="002C5025">
      <w:pPr>
        <w:pStyle w:val="BodyText"/>
        <w:kinsoku w:val="0"/>
        <w:overflowPunct w:val="0"/>
        <w:spacing w:before="170" w:line="271" w:lineRule="auto"/>
        <w:ind w:left="131" w:right="329"/>
        <w:rPr>
          <w:rFonts w:ascii="Times New Roman" w:hAnsi="Times New Roman" w:cs="Times New Roman"/>
          <w:sz w:val="23"/>
          <w:szCs w:val="23"/>
        </w:rPr>
      </w:pPr>
      <w:r>
        <w:rPr>
          <w:rFonts w:ascii="Times New Roman" w:hAnsi="Times New Roman" w:cs="Times New Roman"/>
          <w:sz w:val="23"/>
          <w:szCs w:val="23"/>
        </w:rPr>
        <w:t>Additionally, strongly support that flexible services recommended also include housing stabilization and support. The intersection of homelessness/housing instability and sexual and domestic violence is well documented. For many individuals and families, stable housing is a significant  factor in determining whether they will be able to achieve safety after violence  and</w:t>
      </w:r>
    </w:p>
    <w:p w:rsidR="002C5025" w:rsidRDefault="00FB027C">
      <w:pPr>
        <w:pStyle w:val="BodyText"/>
        <w:kinsoku w:val="0"/>
        <w:overflowPunct w:val="0"/>
        <w:spacing w:before="6"/>
        <w:rPr>
          <w:rFonts w:ascii="Times New Roman" w:hAnsi="Times New Roman" w:cs="Times New Roman"/>
          <w:sz w:val="11"/>
          <w:szCs w:val="11"/>
        </w:rPr>
      </w:pPr>
      <w:r>
        <w:rPr>
          <w:noProof/>
        </w:rPr>
        <mc:AlternateContent>
          <mc:Choice Requires="wps">
            <w:drawing>
              <wp:anchor distT="0" distB="0" distL="0" distR="0" simplePos="0" relativeHeight="251688448" behindDoc="0" locked="0" layoutInCell="0" allowOverlap="1">
                <wp:simplePos x="0" y="0"/>
                <wp:positionH relativeFrom="page">
                  <wp:posOffset>890905</wp:posOffset>
                </wp:positionH>
                <wp:positionV relativeFrom="paragraph">
                  <wp:posOffset>116205</wp:posOffset>
                </wp:positionV>
                <wp:extent cx="1819275" cy="12700"/>
                <wp:effectExtent l="0" t="0" r="0" b="0"/>
                <wp:wrapTopAndBottom/>
                <wp:docPr id="531" name="Freeform 4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19275" cy="12700"/>
                        </a:xfrm>
                        <a:custGeom>
                          <a:avLst/>
                          <a:gdLst>
                            <a:gd name="T0" fmla="*/ 0 w 2865"/>
                            <a:gd name="T1" fmla="*/ 0 h 20"/>
                            <a:gd name="T2" fmla="*/ 2865 w 2865"/>
                            <a:gd name="T3" fmla="*/ 0 h 20"/>
                          </a:gdLst>
                          <a:ahLst/>
                          <a:cxnLst>
                            <a:cxn ang="0">
                              <a:pos x="T0" y="T1"/>
                            </a:cxn>
                            <a:cxn ang="0">
                              <a:pos x="T2" y="T3"/>
                            </a:cxn>
                          </a:cxnLst>
                          <a:rect l="0" t="0" r="r" b="b"/>
                          <a:pathLst>
                            <a:path w="2865" h="20">
                              <a:moveTo>
                                <a:pt x="0" y="0"/>
                              </a:moveTo>
                              <a:lnTo>
                                <a:pt x="2865" y="0"/>
                              </a:lnTo>
                            </a:path>
                          </a:pathLst>
                        </a:custGeom>
                        <a:noFill/>
                        <a:ln w="1371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94" o:spid="_x0000_s1026" style="position:absolute;z-index:251688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0.15pt,9.15pt,213.4pt,9.15pt" coordsize="286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" o:allowincell="f" filled="f" strokeweight="1.08pt">
                <v:path arrowok="t" o:connecttype="custom" o:connectlocs="0,0;1819275,0" o:connectangles="0,0"/>
                <w10:wrap type="topAndBottom" anchorx="page"/>
              </v:polyline>
            </w:pict>
          </mc:Fallback>
        </mc:AlternateContent>
      </w:r>
    </w:p>
    <w:p w:rsidR="002C5025" w:rsidRDefault="002C5025">
      <w:pPr>
        <w:pStyle w:val="BodyText"/>
        <w:kinsoku w:val="0"/>
        <w:overflowPunct w:val="0"/>
        <w:spacing w:before="74"/>
        <w:ind w:left="131" w:right="5109"/>
        <w:rPr>
          <w:rFonts w:ascii="Arial" w:hAnsi="Arial" w:cs="Arial"/>
          <w:w w:val="110"/>
          <w:sz w:val="17"/>
          <w:szCs w:val="17"/>
        </w:rPr>
      </w:pPr>
      <w:r>
        <w:rPr>
          <w:rFonts w:ascii="Times New Roman" w:hAnsi="Times New Roman" w:cs="Times New Roman"/>
          <w:w w:val="110"/>
          <w:position w:val="6"/>
          <w:sz w:val="13"/>
          <w:szCs w:val="13"/>
        </w:rPr>
        <w:t xml:space="preserve">2 </w:t>
      </w:r>
      <w:r>
        <w:rPr>
          <w:rFonts w:ascii="Arial" w:hAnsi="Arial" w:cs="Arial"/>
          <w:w w:val="110"/>
          <w:sz w:val="17"/>
          <w:szCs w:val="17"/>
        </w:rPr>
        <w:t>Ibid.</w:t>
      </w:r>
    </w:p>
    <w:p w:rsidR="002C5025" w:rsidRDefault="002C5025">
      <w:pPr>
        <w:pStyle w:val="BodyText"/>
        <w:kinsoku w:val="0"/>
        <w:overflowPunct w:val="0"/>
        <w:spacing w:before="25"/>
        <w:ind w:left="131" w:right="5109"/>
        <w:rPr>
          <w:rFonts w:ascii="Arial" w:hAnsi="Arial" w:cs="Arial"/>
          <w:w w:val="115"/>
          <w:sz w:val="17"/>
          <w:szCs w:val="17"/>
        </w:rPr>
      </w:pPr>
      <w:r>
        <w:rPr>
          <w:rFonts w:ascii="Times New Roman" w:hAnsi="Times New Roman" w:cs="Times New Roman"/>
          <w:w w:val="115"/>
          <w:position w:val="6"/>
          <w:sz w:val="13"/>
          <w:szCs w:val="13"/>
        </w:rPr>
        <w:t xml:space="preserve">3 </w:t>
      </w:r>
      <w:r>
        <w:rPr>
          <w:rFonts w:ascii="Arial" w:hAnsi="Arial" w:cs="Arial"/>
          <w:w w:val="115"/>
          <w:sz w:val="17"/>
          <w:szCs w:val="17"/>
        </w:rPr>
        <w:t>Ibid.</w:t>
      </w:r>
    </w:p>
    <w:p w:rsidR="002C5025" w:rsidRDefault="002C5025">
      <w:pPr>
        <w:pStyle w:val="BodyText"/>
        <w:kinsoku w:val="0"/>
        <w:overflowPunct w:val="0"/>
        <w:spacing w:before="36" w:line="295" w:lineRule="auto"/>
        <w:ind w:left="135" w:right="208" w:hanging="15"/>
        <w:rPr>
          <w:rFonts w:ascii="Arial" w:hAnsi="Arial" w:cs="Arial"/>
          <w:w w:val="105"/>
          <w:sz w:val="17"/>
          <w:szCs w:val="17"/>
        </w:rPr>
      </w:pPr>
      <w:r>
        <w:rPr>
          <w:rFonts w:ascii="Times New Roman" w:hAnsi="Times New Roman" w:cs="Times New Roman"/>
          <w:w w:val="105"/>
          <w:position w:val="7"/>
          <w:sz w:val="12"/>
          <w:szCs w:val="12"/>
        </w:rPr>
        <w:t>4</w:t>
      </w:r>
      <w:r>
        <w:rPr>
          <w:rFonts w:ascii="Times New Roman" w:hAnsi="Times New Roman" w:cs="Times New Roman"/>
          <w:spacing w:val="4"/>
          <w:w w:val="105"/>
          <w:position w:val="7"/>
          <w:sz w:val="12"/>
          <w:szCs w:val="12"/>
        </w:rPr>
        <w:t xml:space="preserve"> </w:t>
      </w:r>
      <w:r>
        <w:rPr>
          <w:rFonts w:ascii="Arial" w:hAnsi="Arial" w:cs="Arial"/>
          <w:w w:val="105"/>
          <w:sz w:val="17"/>
          <w:szCs w:val="17"/>
        </w:rPr>
        <w:t>Lyon,</w:t>
      </w:r>
      <w:r>
        <w:rPr>
          <w:rFonts w:ascii="Arial" w:hAnsi="Arial" w:cs="Arial"/>
          <w:spacing w:val="-15"/>
          <w:w w:val="105"/>
          <w:sz w:val="17"/>
          <w:szCs w:val="17"/>
        </w:rPr>
        <w:t xml:space="preserve"> </w:t>
      </w:r>
      <w:r>
        <w:rPr>
          <w:rFonts w:ascii="Arial" w:hAnsi="Arial" w:cs="Arial"/>
          <w:w w:val="105"/>
          <w:sz w:val="17"/>
          <w:szCs w:val="17"/>
        </w:rPr>
        <w:t>E.,</w:t>
      </w:r>
      <w:r>
        <w:rPr>
          <w:rFonts w:ascii="Arial" w:hAnsi="Arial" w:cs="Arial"/>
          <w:spacing w:val="-21"/>
          <w:w w:val="105"/>
          <w:sz w:val="17"/>
          <w:szCs w:val="17"/>
        </w:rPr>
        <w:t xml:space="preserve"> </w:t>
      </w:r>
      <w:r>
        <w:rPr>
          <w:rFonts w:ascii="Arial" w:hAnsi="Arial" w:cs="Arial"/>
          <w:w w:val="105"/>
          <w:sz w:val="17"/>
          <w:szCs w:val="17"/>
        </w:rPr>
        <w:t>et</w:t>
      </w:r>
      <w:r>
        <w:rPr>
          <w:rFonts w:ascii="Arial" w:hAnsi="Arial" w:cs="Arial"/>
          <w:spacing w:val="-15"/>
          <w:w w:val="105"/>
          <w:sz w:val="17"/>
          <w:szCs w:val="17"/>
        </w:rPr>
        <w:t xml:space="preserve"> </w:t>
      </w:r>
      <w:r>
        <w:rPr>
          <w:rFonts w:ascii="Arial" w:hAnsi="Arial" w:cs="Arial"/>
          <w:w w:val="105"/>
          <w:sz w:val="17"/>
          <w:szCs w:val="17"/>
        </w:rPr>
        <w:t>al</w:t>
      </w:r>
      <w:r>
        <w:rPr>
          <w:rFonts w:ascii="Arial" w:hAnsi="Arial" w:cs="Arial"/>
          <w:spacing w:val="-11"/>
          <w:w w:val="105"/>
          <w:sz w:val="17"/>
          <w:szCs w:val="17"/>
        </w:rPr>
        <w:t xml:space="preserve"> </w:t>
      </w:r>
      <w:r>
        <w:rPr>
          <w:rFonts w:ascii="Arial" w:hAnsi="Arial" w:cs="Arial"/>
          <w:spacing w:val="-4"/>
          <w:w w:val="105"/>
          <w:sz w:val="17"/>
          <w:szCs w:val="17"/>
        </w:rPr>
        <w:t>(2011).</w:t>
      </w:r>
      <w:r>
        <w:rPr>
          <w:rFonts w:ascii="Arial" w:hAnsi="Arial" w:cs="Arial"/>
          <w:spacing w:val="-17"/>
          <w:w w:val="105"/>
          <w:sz w:val="17"/>
          <w:szCs w:val="17"/>
        </w:rPr>
        <w:t xml:space="preserve"> </w:t>
      </w:r>
      <w:r>
        <w:rPr>
          <w:rFonts w:ascii="Arial" w:hAnsi="Arial" w:cs="Arial"/>
          <w:w w:val="105"/>
          <w:sz w:val="17"/>
          <w:szCs w:val="17"/>
        </w:rPr>
        <w:t>Non-Residential</w:t>
      </w:r>
      <w:r>
        <w:rPr>
          <w:rFonts w:ascii="Arial" w:hAnsi="Arial" w:cs="Arial"/>
          <w:spacing w:val="-13"/>
          <w:w w:val="105"/>
          <w:sz w:val="17"/>
          <w:szCs w:val="17"/>
        </w:rPr>
        <w:t xml:space="preserve"> </w:t>
      </w:r>
      <w:r>
        <w:rPr>
          <w:rFonts w:ascii="Arial" w:hAnsi="Arial" w:cs="Arial"/>
          <w:w w:val="105"/>
          <w:sz w:val="17"/>
          <w:szCs w:val="17"/>
        </w:rPr>
        <w:t>Domestic</w:t>
      </w:r>
      <w:r>
        <w:rPr>
          <w:rFonts w:ascii="Arial" w:hAnsi="Arial" w:cs="Arial"/>
          <w:spacing w:val="-15"/>
          <w:w w:val="105"/>
          <w:sz w:val="17"/>
          <w:szCs w:val="17"/>
        </w:rPr>
        <w:t xml:space="preserve"> </w:t>
      </w:r>
      <w:r>
        <w:rPr>
          <w:rFonts w:ascii="Arial" w:hAnsi="Arial" w:cs="Arial"/>
          <w:w w:val="105"/>
          <w:sz w:val="17"/>
          <w:szCs w:val="17"/>
        </w:rPr>
        <w:t>Violence</w:t>
      </w:r>
      <w:r>
        <w:rPr>
          <w:rFonts w:ascii="Arial" w:hAnsi="Arial" w:cs="Arial"/>
          <w:spacing w:val="-9"/>
          <w:w w:val="105"/>
          <w:sz w:val="17"/>
          <w:szCs w:val="17"/>
        </w:rPr>
        <w:t xml:space="preserve"> </w:t>
      </w:r>
      <w:r>
        <w:rPr>
          <w:rFonts w:ascii="Arial" w:hAnsi="Arial" w:cs="Arial"/>
          <w:w w:val="105"/>
          <w:sz w:val="17"/>
          <w:szCs w:val="17"/>
        </w:rPr>
        <w:t>Services:</w:t>
      </w:r>
      <w:r>
        <w:rPr>
          <w:rFonts w:ascii="Arial" w:hAnsi="Arial" w:cs="Arial"/>
          <w:spacing w:val="-11"/>
          <w:w w:val="105"/>
          <w:sz w:val="17"/>
          <w:szCs w:val="17"/>
        </w:rPr>
        <w:t xml:space="preserve"> </w:t>
      </w:r>
      <w:r>
        <w:rPr>
          <w:rFonts w:ascii="Arial" w:hAnsi="Arial" w:cs="Arial"/>
          <w:w w:val="105"/>
          <w:sz w:val="17"/>
          <w:szCs w:val="17"/>
        </w:rPr>
        <w:t>Survivors'</w:t>
      </w:r>
      <w:r>
        <w:rPr>
          <w:rFonts w:ascii="Arial" w:hAnsi="Arial" w:cs="Arial"/>
          <w:spacing w:val="1"/>
          <w:w w:val="105"/>
          <w:sz w:val="17"/>
          <w:szCs w:val="17"/>
        </w:rPr>
        <w:t xml:space="preserve"> </w:t>
      </w:r>
      <w:r>
        <w:rPr>
          <w:rFonts w:ascii="Arial" w:hAnsi="Arial" w:cs="Arial"/>
          <w:w w:val="105"/>
          <w:sz w:val="17"/>
          <w:szCs w:val="17"/>
        </w:rPr>
        <w:t>Experiences.</w:t>
      </w:r>
      <w:r>
        <w:rPr>
          <w:rFonts w:ascii="Arial" w:hAnsi="Arial" w:cs="Arial"/>
          <w:spacing w:val="-13"/>
          <w:w w:val="105"/>
          <w:sz w:val="17"/>
          <w:szCs w:val="17"/>
        </w:rPr>
        <w:t xml:space="preserve"> </w:t>
      </w:r>
      <w:r>
        <w:rPr>
          <w:rFonts w:ascii="Arial" w:hAnsi="Arial" w:cs="Arial"/>
          <w:w w:val="105"/>
          <w:sz w:val="17"/>
          <w:szCs w:val="17"/>
        </w:rPr>
        <w:t>The</w:t>
      </w:r>
      <w:r>
        <w:rPr>
          <w:rFonts w:ascii="Arial" w:hAnsi="Arial" w:cs="Arial"/>
          <w:spacing w:val="-13"/>
          <w:w w:val="105"/>
          <w:sz w:val="17"/>
          <w:szCs w:val="17"/>
        </w:rPr>
        <w:t xml:space="preserve"> </w:t>
      </w:r>
      <w:r>
        <w:rPr>
          <w:rFonts w:ascii="Arial" w:hAnsi="Arial" w:cs="Arial"/>
          <w:w w:val="105"/>
          <w:sz w:val="17"/>
          <w:szCs w:val="17"/>
        </w:rPr>
        <w:t>Domestic</w:t>
      </w:r>
      <w:r>
        <w:rPr>
          <w:rFonts w:ascii="Arial" w:hAnsi="Arial" w:cs="Arial"/>
          <w:spacing w:val="-15"/>
          <w:w w:val="105"/>
          <w:sz w:val="17"/>
          <w:szCs w:val="17"/>
        </w:rPr>
        <w:t xml:space="preserve"> </w:t>
      </w:r>
      <w:r>
        <w:rPr>
          <w:rFonts w:ascii="Arial" w:hAnsi="Arial" w:cs="Arial"/>
          <w:w w:val="105"/>
          <w:sz w:val="17"/>
          <w:szCs w:val="17"/>
        </w:rPr>
        <w:t>Violence Non-Residential</w:t>
      </w:r>
      <w:r>
        <w:rPr>
          <w:rFonts w:ascii="Arial" w:hAnsi="Arial" w:cs="Arial"/>
          <w:spacing w:val="-13"/>
          <w:w w:val="105"/>
          <w:sz w:val="17"/>
          <w:szCs w:val="17"/>
        </w:rPr>
        <w:t xml:space="preserve"> </w:t>
      </w:r>
      <w:r>
        <w:rPr>
          <w:rFonts w:ascii="Arial" w:hAnsi="Arial" w:cs="Arial"/>
          <w:w w:val="105"/>
          <w:sz w:val="17"/>
          <w:szCs w:val="17"/>
        </w:rPr>
        <w:t>Services</w:t>
      </w:r>
      <w:r>
        <w:rPr>
          <w:rFonts w:ascii="Arial" w:hAnsi="Arial" w:cs="Arial"/>
          <w:spacing w:val="-20"/>
          <w:w w:val="105"/>
          <w:sz w:val="17"/>
          <w:szCs w:val="17"/>
        </w:rPr>
        <w:t xml:space="preserve"> </w:t>
      </w:r>
      <w:r>
        <w:rPr>
          <w:rFonts w:ascii="Arial" w:hAnsi="Arial" w:cs="Arial"/>
          <w:w w:val="105"/>
          <w:sz w:val="17"/>
          <w:szCs w:val="17"/>
        </w:rPr>
        <w:t>and</w:t>
      </w:r>
      <w:r>
        <w:rPr>
          <w:rFonts w:ascii="Arial" w:hAnsi="Arial" w:cs="Arial"/>
          <w:spacing w:val="-16"/>
          <w:w w:val="105"/>
          <w:sz w:val="17"/>
          <w:szCs w:val="17"/>
        </w:rPr>
        <w:t xml:space="preserve"> </w:t>
      </w:r>
      <w:r>
        <w:rPr>
          <w:rFonts w:ascii="Arial" w:hAnsi="Arial" w:cs="Arial"/>
          <w:w w:val="105"/>
          <w:sz w:val="17"/>
          <w:szCs w:val="17"/>
        </w:rPr>
        <w:t>Support</w:t>
      </w:r>
      <w:r>
        <w:rPr>
          <w:rFonts w:ascii="Arial" w:hAnsi="Arial" w:cs="Arial"/>
          <w:spacing w:val="-18"/>
          <w:w w:val="105"/>
          <w:sz w:val="17"/>
          <w:szCs w:val="17"/>
        </w:rPr>
        <w:t xml:space="preserve"> </w:t>
      </w:r>
      <w:r>
        <w:rPr>
          <w:rFonts w:ascii="Arial" w:hAnsi="Arial" w:cs="Arial"/>
          <w:w w:val="105"/>
          <w:sz w:val="17"/>
          <w:szCs w:val="17"/>
        </w:rPr>
        <w:t>Study.</w:t>
      </w:r>
      <w:r>
        <w:rPr>
          <w:rFonts w:ascii="Arial" w:hAnsi="Arial" w:cs="Arial"/>
          <w:spacing w:val="-14"/>
          <w:w w:val="105"/>
          <w:sz w:val="17"/>
          <w:szCs w:val="17"/>
        </w:rPr>
        <w:t xml:space="preserve"> </w:t>
      </w:r>
      <w:r>
        <w:rPr>
          <w:rFonts w:ascii="Arial" w:hAnsi="Arial" w:cs="Arial"/>
          <w:w w:val="105"/>
          <w:sz w:val="17"/>
          <w:szCs w:val="17"/>
        </w:rPr>
        <w:t>Massachusetts</w:t>
      </w:r>
      <w:r>
        <w:rPr>
          <w:rFonts w:ascii="Arial" w:hAnsi="Arial" w:cs="Arial"/>
          <w:spacing w:val="-12"/>
          <w:w w:val="105"/>
          <w:sz w:val="17"/>
          <w:szCs w:val="17"/>
        </w:rPr>
        <w:t xml:space="preserve"> </w:t>
      </w:r>
      <w:r>
        <w:rPr>
          <w:rFonts w:ascii="Arial" w:hAnsi="Arial" w:cs="Arial"/>
          <w:w w:val="105"/>
          <w:sz w:val="17"/>
          <w:szCs w:val="17"/>
        </w:rPr>
        <w:t>Overview.</w:t>
      </w:r>
    </w:p>
    <w:p w:rsidR="002C5025" w:rsidRDefault="002C5025">
      <w:pPr>
        <w:pStyle w:val="BodyText"/>
        <w:kinsoku w:val="0"/>
        <w:overflowPunct w:val="0"/>
        <w:spacing w:before="36" w:line="295" w:lineRule="auto"/>
        <w:ind w:left="135" w:right="208" w:hanging="15"/>
        <w:rPr>
          <w:rFonts w:ascii="Arial" w:hAnsi="Arial" w:cs="Arial"/>
          <w:w w:val="105"/>
          <w:sz w:val="17"/>
          <w:szCs w:val="17"/>
        </w:rPr>
        <w:sectPr w:rsidR="002C5025">
          <w:pgSz w:w="12240" w:h="15840"/>
          <w:pgMar w:top="1500" w:right="1540" w:bottom="280" w:left="1280" w:header="720" w:footer="720" w:gutter="0"/>
          <w:cols w:space="720" w:equalWidth="0">
            <w:col w:w="9420"/>
          </w:cols>
          <w:noEndnote/>
        </w:sectPr>
      </w:pPr>
    </w:p>
    <w:p w:rsidR="002C5025" w:rsidRDefault="002C5025">
      <w:pPr>
        <w:pStyle w:val="BodyText"/>
        <w:kinsoku w:val="0"/>
        <w:overflowPunct w:val="0"/>
        <w:spacing w:before="42" w:line="271" w:lineRule="auto"/>
        <w:ind w:left="139" w:right="182" w:hanging="8"/>
        <w:rPr>
          <w:rFonts w:ascii="Times New Roman" w:hAnsi="Times New Roman" w:cs="Times New Roman"/>
          <w:sz w:val="23"/>
          <w:szCs w:val="23"/>
        </w:rPr>
      </w:pPr>
      <w:r>
        <w:rPr>
          <w:rFonts w:ascii="Times New Roman" w:hAnsi="Times New Roman" w:cs="Times New Roman"/>
          <w:sz w:val="23"/>
          <w:szCs w:val="23"/>
        </w:rPr>
        <w:lastRenderedPageBreak/>
        <w:t>housing instability can put those families at further risk for both violence and other poor health outcomes.</w:t>
      </w:r>
    </w:p>
    <w:p w:rsidR="002C5025" w:rsidRDefault="002C5025">
      <w:pPr>
        <w:pStyle w:val="BodyText"/>
        <w:kinsoku w:val="0"/>
        <w:overflowPunct w:val="0"/>
        <w:spacing w:before="168" w:line="266" w:lineRule="auto"/>
        <w:ind w:left="124" w:right="182" w:firstLine="7"/>
        <w:rPr>
          <w:rFonts w:ascii="Times New Roman" w:hAnsi="Times New Roman" w:cs="Times New Roman"/>
          <w:sz w:val="23"/>
          <w:szCs w:val="23"/>
        </w:rPr>
      </w:pPr>
      <w:r>
        <w:rPr>
          <w:rFonts w:ascii="Times New Roman" w:hAnsi="Times New Roman" w:cs="Times New Roman"/>
          <w:sz w:val="23"/>
          <w:szCs w:val="23"/>
        </w:rPr>
        <w:t>We are excited about the opportunities presented by the development of ACOs and the inclusion of an approach which addresses the social determinants of health. We believe that the  relationship of ACO's with sexual and domestic violence providers will enhance positive health outcomes for victims and survivors in</w:t>
      </w:r>
      <w:r>
        <w:rPr>
          <w:rFonts w:ascii="Times New Roman" w:hAnsi="Times New Roman" w:cs="Times New Roman"/>
          <w:spacing w:val="16"/>
          <w:sz w:val="23"/>
          <w:szCs w:val="23"/>
        </w:rPr>
        <w:t xml:space="preserve"> </w:t>
      </w:r>
      <w:r>
        <w:rPr>
          <w:rFonts w:ascii="Times New Roman" w:hAnsi="Times New Roman" w:cs="Times New Roman"/>
          <w:sz w:val="23"/>
          <w:szCs w:val="23"/>
        </w:rPr>
        <w:t>Massachusetts.</w:t>
      </w:r>
    </w:p>
    <w:p w:rsidR="002C5025" w:rsidRDefault="002C5025">
      <w:pPr>
        <w:pStyle w:val="BodyText"/>
        <w:kinsoku w:val="0"/>
        <w:overflowPunct w:val="0"/>
        <w:spacing w:before="168" w:line="268" w:lineRule="auto"/>
        <w:ind w:left="124" w:right="182" w:hanging="1"/>
        <w:rPr>
          <w:rFonts w:ascii="Times New Roman" w:hAnsi="Times New Roman" w:cs="Times New Roman"/>
          <w:sz w:val="23"/>
          <w:szCs w:val="23"/>
        </w:rPr>
      </w:pPr>
      <w:r>
        <w:rPr>
          <w:rFonts w:ascii="Times New Roman" w:hAnsi="Times New Roman" w:cs="Times New Roman"/>
          <w:sz w:val="23"/>
          <w:szCs w:val="23"/>
        </w:rPr>
        <w:t>Please feel free to contact me if you have any further questions or require further information on this matter.</w:t>
      </w:r>
    </w:p>
    <w:p w:rsidR="002C5025" w:rsidRDefault="002C5025">
      <w:pPr>
        <w:pStyle w:val="BodyText"/>
        <w:kinsoku w:val="0"/>
        <w:overflowPunct w:val="0"/>
        <w:spacing w:before="163"/>
        <w:ind w:left="132" w:right="182"/>
        <w:rPr>
          <w:rFonts w:ascii="Times New Roman" w:hAnsi="Times New Roman" w:cs="Times New Roman"/>
          <w:sz w:val="23"/>
          <w:szCs w:val="23"/>
        </w:rPr>
      </w:pPr>
      <w:r>
        <w:rPr>
          <w:rFonts w:ascii="Times New Roman" w:hAnsi="Times New Roman" w:cs="Times New Roman"/>
          <w:sz w:val="23"/>
          <w:szCs w:val="23"/>
        </w:rPr>
        <w:t>Sincerely,</w:t>
      </w:r>
    </w:p>
    <w:p w:rsidR="002C5025" w:rsidRDefault="002C5025">
      <w:pPr>
        <w:pStyle w:val="BodyText"/>
        <w:kinsoku w:val="0"/>
        <w:overflowPunct w:val="0"/>
        <w:rPr>
          <w:rFonts w:ascii="Times New Roman" w:hAnsi="Times New Roman" w:cs="Times New Roman"/>
          <w:sz w:val="20"/>
          <w:szCs w:val="20"/>
        </w:rPr>
      </w:pPr>
    </w:p>
    <w:p w:rsidR="002C5025" w:rsidRDefault="00FB027C">
      <w:pPr>
        <w:pStyle w:val="BodyText"/>
        <w:kinsoku w:val="0"/>
        <w:overflowPunct w:val="0"/>
        <w:spacing w:before="7"/>
        <w:rPr>
          <w:rFonts w:ascii="Times New Roman" w:hAnsi="Times New Roman" w:cs="Times New Roman"/>
          <w:sz w:val="18"/>
          <w:szCs w:val="18"/>
        </w:rPr>
      </w:pPr>
      <w:r>
        <w:rPr>
          <w:noProof/>
        </w:rPr>
        <mc:AlternateContent>
          <mc:Choice Requires="wps">
            <w:drawing>
              <wp:anchor distT="0" distB="0" distL="0" distR="0" simplePos="0" relativeHeight="251689472" behindDoc="0" locked="0" layoutInCell="0" allowOverlap="1">
                <wp:simplePos x="0" y="0"/>
                <wp:positionH relativeFrom="page">
                  <wp:posOffset>1042035</wp:posOffset>
                </wp:positionH>
                <wp:positionV relativeFrom="paragraph">
                  <wp:posOffset>160655</wp:posOffset>
                </wp:positionV>
                <wp:extent cx="1320800" cy="330200"/>
                <wp:effectExtent l="0" t="0" r="0" b="0"/>
                <wp:wrapTopAndBottom/>
                <wp:docPr id="530" name="Rectangle 4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080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520" w:lineRule="atLeast"/>
                            </w:pPr>
                            <w:r>
                              <w:rPr>
                                <w:noProof/>
                              </w:rPr>
                              <w:drawing>
                                <wp:inline distT="0" distB="0" distL="0" distR="0">
                                  <wp:extent cx="1314450" cy="333375"/>
                                  <wp:effectExtent l="0" t="0" r="0" b="9525"/>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1314450" cy="333375"/>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5" o:spid="_x0000_s1187" style="position:absolute;margin-left:82.05pt;margin-top:12.65pt;width:104pt;height:26pt;z-index:251689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" o:allowincell="f" filled="f" stroked="f">
                <v:textbox inset="0,0,0,0">
                  <w:txbxContent>
                    <w:p w:rsidR="007B2B7B" w:rsidRDefault="007B2B7B">
                      <w:pPr>
                        <w:widowControl/>
                        <w:autoSpaceDE/>
                        <w:autoSpaceDN/>
                        <w:adjustRightInd/>
                        <w:spacing w:line="520" w:lineRule="atLeast"/>
                      </w:pPr>
                      <w:r>
                        <w:rPr>
                          <w:noProof/>
                        </w:rPr>
                        <w:drawing>
                          <wp:inline distT="0" distB="0" distL="0" distR="0">
                            <wp:extent cx="1314450" cy="333375"/>
                            <wp:effectExtent l="0" t="0" r="0" b="9525"/>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385">
                                      <a:extLst>
                                        <a:ext uri="{28A0092B-C50C-407E-A947-70E740481C1C}">
                                          <a14:useLocalDpi xmlns:a14="http://schemas.microsoft.com/office/drawing/2010/main" val="0"/>
                                        </a:ext>
                                      </a:extLst>
                                    </a:blip>
                                    <a:srcRect/>
                                    <a:stretch>
                                      <a:fillRect/>
                                    </a:stretch>
                                  </pic:blipFill>
                                  <pic:spPr bwMode="auto">
                                    <a:xfrm>
                                      <a:off x="0" y="0"/>
                                      <a:ext cx="1314450" cy="333375"/>
                                    </a:xfrm>
                                    <a:prstGeom prst="rect">
                                      <a:avLst/>
                                    </a:prstGeom>
                                    <a:noFill/>
                                    <a:ln>
                                      <a:noFill/>
                                    </a:ln>
                                  </pic:spPr>
                                </pic:pic>
                              </a:graphicData>
                            </a:graphic>
                          </wp:inline>
                        </w:drawing>
                      </w:r>
                    </w:p>
                    <w:p w:rsidR="007B2B7B" w:rsidRDefault="007B2B7B"/>
                  </w:txbxContent>
                </v:textbox>
                <w10:wrap type="topAndBottom" anchorx="page"/>
              </v:rect>
            </w:pict>
          </mc:Fallback>
        </mc:AlternateContent>
      </w:r>
    </w:p>
    <w:p w:rsidR="002C5025" w:rsidRDefault="002C5025">
      <w:pPr>
        <w:pStyle w:val="BodyText"/>
        <w:kinsoku w:val="0"/>
        <w:overflowPunct w:val="0"/>
        <w:spacing w:before="80" w:line="268" w:lineRule="auto"/>
        <w:ind w:left="124" w:right="6055" w:hanging="10"/>
        <w:rPr>
          <w:rFonts w:ascii="Times New Roman" w:hAnsi="Times New Roman" w:cs="Times New Roman"/>
          <w:sz w:val="23"/>
          <w:szCs w:val="23"/>
        </w:rPr>
      </w:pPr>
      <w:r>
        <w:rPr>
          <w:rFonts w:ascii="Times New Roman" w:hAnsi="Times New Roman" w:cs="Times New Roman"/>
          <w:sz w:val="23"/>
          <w:szCs w:val="23"/>
        </w:rPr>
        <w:t>Debra J. Robbin, Ed.M. Executive Director</w:t>
      </w:r>
    </w:p>
    <w:p w:rsidR="002C5025" w:rsidRDefault="002C5025">
      <w:pPr>
        <w:pStyle w:val="BodyText"/>
        <w:kinsoku w:val="0"/>
        <w:overflowPunct w:val="0"/>
        <w:spacing w:before="80" w:line="268" w:lineRule="auto"/>
        <w:ind w:left="124" w:right="6055" w:hanging="10"/>
        <w:rPr>
          <w:rFonts w:ascii="Times New Roman" w:hAnsi="Times New Roman" w:cs="Times New Roman"/>
          <w:sz w:val="23"/>
          <w:szCs w:val="23"/>
        </w:rPr>
        <w:sectPr w:rsidR="002C5025">
          <w:pgSz w:w="12240" w:h="15840"/>
          <w:pgMar w:top="1500" w:right="1600" w:bottom="280" w:left="1380" w:header="720" w:footer="720" w:gutter="0"/>
          <w:cols w:space="720" w:equalWidth="0">
            <w:col w:w="9260"/>
          </w:cols>
          <w:noEndnote/>
        </w:sect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9"/>
        <w:rPr>
          <w:rFonts w:ascii="Times New Roman" w:hAnsi="Times New Roman" w:cs="Times New Roman"/>
          <w:sz w:val="18"/>
          <w:szCs w:val="18"/>
        </w:rPr>
      </w:pPr>
    </w:p>
    <w:p w:rsidR="002C5025" w:rsidRDefault="002C5025">
      <w:pPr>
        <w:pStyle w:val="BodyText"/>
        <w:kinsoku w:val="0"/>
        <w:overflowPunct w:val="0"/>
        <w:spacing w:before="66"/>
        <w:ind w:left="2144"/>
        <w:rPr>
          <w:rFonts w:ascii="Arial" w:hAnsi="Arial" w:cs="Arial"/>
          <w:w w:val="90"/>
          <w:sz w:val="26"/>
          <w:szCs w:val="26"/>
        </w:rPr>
      </w:pPr>
      <w:r>
        <w:rPr>
          <w:rFonts w:ascii="Arial" w:hAnsi="Arial" w:cs="Arial"/>
          <w:w w:val="90"/>
          <w:sz w:val="26"/>
          <w:szCs w:val="26"/>
        </w:rPr>
        <w:t xml:space="preserve">NETWORK OFSEXUALASSAULT </w:t>
      </w:r>
      <w:r>
        <w:rPr>
          <w:rFonts w:ascii="Arial" w:hAnsi="Arial" w:cs="Arial"/>
          <w:w w:val="90"/>
          <w:sz w:val="25"/>
          <w:szCs w:val="25"/>
        </w:rPr>
        <w:t xml:space="preserve">&amp; </w:t>
      </w:r>
      <w:r>
        <w:rPr>
          <w:rFonts w:ascii="Arial" w:hAnsi="Arial" w:cs="Arial"/>
          <w:w w:val="90"/>
          <w:sz w:val="26"/>
          <w:szCs w:val="26"/>
        </w:rPr>
        <w:t>DOMESTICVIOLENCE SERVICE PROVIDERS INMASSACHUSETTS</w:t>
      </w:r>
    </w:p>
    <w:p w:rsidR="002C5025" w:rsidRDefault="002C5025">
      <w:pPr>
        <w:pStyle w:val="BodyText"/>
        <w:kinsoku w:val="0"/>
        <w:overflowPunct w:val="0"/>
        <w:rPr>
          <w:rFonts w:ascii="Arial" w:hAnsi="Arial" w:cs="Arial"/>
          <w:sz w:val="26"/>
          <w:szCs w:val="26"/>
        </w:rPr>
      </w:pPr>
    </w:p>
    <w:p w:rsidR="002C5025" w:rsidRDefault="00FB027C">
      <w:pPr>
        <w:pStyle w:val="BodyText"/>
        <w:tabs>
          <w:tab w:val="left" w:pos="2503"/>
          <w:tab w:val="left" w:pos="4163"/>
          <w:tab w:val="left" w:pos="6844"/>
        </w:tabs>
        <w:kinsoku w:val="0"/>
        <w:overflowPunct w:val="0"/>
        <w:spacing w:before="166" w:line="287" w:lineRule="exact"/>
        <w:ind w:right="5142"/>
        <w:jc w:val="center"/>
        <w:rPr>
          <w:rFonts w:ascii="Times New Roman" w:hAnsi="Times New Roman" w:cs="Times New Roman"/>
          <w:spacing w:val="-2"/>
          <w:w w:val="60"/>
          <w:position w:val="1"/>
          <w:sz w:val="16"/>
          <w:szCs w:val="16"/>
        </w:rPr>
      </w:pPr>
      <w:r>
        <w:rPr>
          <w:noProof/>
        </w:rPr>
        <mc:AlternateContent>
          <mc:Choice Requires="wpg">
            <w:drawing>
              <wp:anchor distT="0" distB="0" distL="114300" distR="114300" simplePos="0" relativeHeight="251690496" behindDoc="1" locked="0" layoutInCell="0" allowOverlap="1">
                <wp:simplePos x="0" y="0"/>
                <wp:positionH relativeFrom="page">
                  <wp:posOffset>349250</wp:posOffset>
                </wp:positionH>
                <wp:positionV relativeFrom="paragraph">
                  <wp:posOffset>99695</wp:posOffset>
                </wp:positionV>
                <wp:extent cx="9236710" cy="4643755"/>
                <wp:effectExtent l="0" t="0" r="0" b="0"/>
                <wp:wrapNone/>
                <wp:docPr id="435"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36710" cy="4643755"/>
                          <a:chOff x="550" y="157"/>
                          <a:chExt cx="14546" cy="7313"/>
                        </a:xfrm>
                      </wpg:grpSpPr>
                      <wps:wsp>
                        <wps:cNvPr id="436" name="Freeform 497"/>
                        <wps:cNvSpPr>
                          <a:spLocks/>
                        </wps:cNvSpPr>
                        <wps:spPr bwMode="auto">
                          <a:xfrm>
                            <a:off x="618" y="193"/>
                            <a:ext cx="295" cy="20"/>
                          </a:xfrm>
                          <a:custGeom>
                            <a:avLst/>
                            <a:gdLst>
                              <a:gd name="T0" fmla="*/ 0 w 295"/>
                              <a:gd name="T1" fmla="*/ 0 h 20"/>
                              <a:gd name="T2" fmla="*/ 295 w 295"/>
                              <a:gd name="T3" fmla="*/ 0 h 20"/>
                            </a:gdLst>
                            <a:ahLst/>
                            <a:cxnLst>
                              <a:cxn ang="0">
                                <a:pos x="T0" y="T1"/>
                              </a:cxn>
                              <a:cxn ang="0">
                                <a:pos x="T2" y="T3"/>
                              </a:cxn>
                            </a:cxnLst>
                            <a:rect l="0" t="0" r="r" b="b"/>
                            <a:pathLst>
                              <a:path w="295" h="20">
                                <a:moveTo>
                                  <a:pt x="0" y="0"/>
                                </a:moveTo>
                                <a:lnTo>
                                  <a:pt x="295"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7" name="Freeform 498"/>
                        <wps:cNvSpPr>
                          <a:spLocks/>
                        </wps:cNvSpPr>
                        <wps:spPr bwMode="auto">
                          <a:xfrm>
                            <a:off x="554" y="491"/>
                            <a:ext cx="330" cy="20"/>
                          </a:xfrm>
                          <a:custGeom>
                            <a:avLst/>
                            <a:gdLst>
                              <a:gd name="T0" fmla="*/ 0 w 330"/>
                              <a:gd name="T1" fmla="*/ 0 h 20"/>
                              <a:gd name="T2" fmla="*/ 330 w 330"/>
                              <a:gd name="T3" fmla="*/ 0 h 20"/>
                            </a:gdLst>
                            <a:ahLst/>
                            <a:cxnLst>
                              <a:cxn ang="0">
                                <a:pos x="T0" y="T1"/>
                              </a:cxn>
                              <a:cxn ang="0">
                                <a:pos x="T2" y="T3"/>
                              </a:cxn>
                            </a:cxnLst>
                            <a:rect l="0" t="0" r="r" b="b"/>
                            <a:pathLst>
                              <a:path w="330" h="20">
                                <a:moveTo>
                                  <a:pt x="0" y="0"/>
                                </a:moveTo>
                                <a:lnTo>
                                  <a:pt x="330"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8" name="Freeform 499"/>
                        <wps:cNvSpPr>
                          <a:spLocks/>
                        </wps:cNvSpPr>
                        <wps:spPr bwMode="auto">
                          <a:xfrm>
                            <a:off x="554" y="161"/>
                            <a:ext cx="20" cy="7305"/>
                          </a:xfrm>
                          <a:custGeom>
                            <a:avLst/>
                            <a:gdLst>
                              <a:gd name="T0" fmla="*/ 0 w 20"/>
                              <a:gd name="T1" fmla="*/ 7305 h 7305"/>
                              <a:gd name="T2" fmla="*/ 0 w 20"/>
                              <a:gd name="T3" fmla="*/ 0 h 7305"/>
                            </a:gdLst>
                            <a:ahLst/>
                            <a:cxnLst>
                              <a:cxn ang="0">
                                <a:pos x="T0" y="T1"/>
                              </a:cxn>
                              <a:cxn ang="0">
                                <a:pos x="T2" y="T3"/>
                              </a:cxn>
                            </a:cxnLst>
                            <a:rect l="0" t="0" r="r" b="b"/>
                            <a:pathLst>
                              <a:path w="20" h="7305">
                                <a:moveTo>
                                  <a:pt x="0" y="7305"/>
                                </a:moveTo>
                                <a:lnTo>
                                  <a:pt x="0"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9" name="Freeform 500"/>
                        <wps:cNvSpPr>
                          <a:spLocks/>
                        </wps:cNvSpPr>
                        <wps:spPr bwMode="auto">
                          <a:xfrm>
                            <a:off x="884" y="161"/>
                            <a:ext cx="9139" cy="20"/>
                          </a:xfrm>
                          <a:custGeom>
                            <a:avLst/>
                            <a:gdLst>
                              <a:gd name="T0" fmla="*/ 0 w 9139"/>
                              <a:gd name="T1" fmla="*/ 0 h 20"/>
                              <a:gd name="T2" fmla="*/ 9139 w 9139"/>
                              <a:gd name="T3" fmla="*/ 0 h 20"/>
                            </a:gdLst>
                            <a:ahLst/>
                            <a:cxnLst>
                              <a:cxn ang="0">
                                <a:pos x="T0" y="T1"/>
                              </a:cxn>
                              <a:cxn ang="0">
                                <a:pos x="T2" y="T3"/>
                              </a:cxn>
                            </a:cxnLst>
                            <a:rect l="0" t="0" r="r" b="b"/>
                            <a:pathLst>
                              <a:path w="9139" h="20">
                                <a:moveTo>
                                  <a:pt x="0" y="0"/>
                                </a:moveTo>
                                <a:lnTo>
                                  <a:pt x="9139"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0" name="Freeform 501"/>
                        <wps:cNvSpPr>
                          <a:spLocks/>
                        </wps:cNvSpPr>
                        <wps:spPr bwMode="auto">
                          <a:xfrm>
                            <a:off x="856" y="459"/>
                            <a:ext cx="3911" cy="20"/>
                          </a:xfrm>
                          <a:custGeom>
                            <a:avLst/>
                            <a:gdLst>
                              <a:gd name="T0" fmla="*/ 0 w 3911"/>
                              <a:gd name="T1" fmla="*/ 0 h 20"/>
                              <a:gd name="T2" fmla="*/ 3911 w 3911"/>
                              <a:gd name="T3" fmla="*/ 0 h 20"/>
                            </a:gdLst>
                            <a:ahLst/>
                            <a:cxnLst>
                              <a:cxn ang="0">
                                <a:pos x="T0" y="T1"/>
                              </a:cxn>
                              <a:cxn ang="0">
                                <a:pos x="T2" y="T3"/>
                              </a:cxn>
                            </a:cxnLst>
                            <a:rect l="0" t="0" r="r" b="b"/>
                            <a:pathLst>
                              <a:path w="3911" h="20">
                                <a:moveTo>
                                  <a:pt x="0" y="0"/>
                                </a:moveTo>
                                <a:lnTo>
                                  <a:pt x="3911" y="0"/>
                                </a:lnTo>
                              </a:path>
                            </a:pathLst>
                          </a:custGeom>
                          <a:noFill/>
                          <a:ln w="91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1" name="Freeform 502"/>
                        <wps:cNvSpPr>
                          <a:spLocks/>
                        </wps:cNvSpPr>
                        <wps:spPr bwMode="auto">
                          <a:xfrm>
                            <a:off x="4760" y="204"/>
                            <a:ext cx="20" cy="7204"/>
                          </a:xfrm>
                          <a:custGeom>
                            <a:avLst/>
                            <a:gdLst>
                              <a:gd name="T0" fmla="*/ 0 w 20"/>
                              <a:gd name="T1" fmla="*/ 7204 h 7204"/>
                              <a:gd name="T2" fmla="*/ 0 w 20"/>
                              <a:gd name="T3" fmla="*/ 0 h 7204"/>
                            </a:gdLst>
                            <a:ahLst/>
                            <a:cxnLst>
                              <a:cxn ang="0">
                                <a:pos x="T0" y="T1"/>
                              </a:cxn>
                              <a:cxn ang="0">
                                <a:pos x="T2" y="T3"/>
                              </a:cxn>
                            </a:cxnLst>
                            <a:rect l="0" t="0" r="r" b="b"/>
                            <a:pathLst>
                              <a:path w="20" h="7204">
                                <a:moveTo>
                                  <a:pt x="0" y="7204"/>
                                </a:moveTo>
                                <a:lnTo>
                                  <a:pt x="0" y="0"/>
                                </a:lnTo>
                              </a:path>
                            </a:pathLst>
                          </a:custGeom>
                          <a:noFill/>
                          <a:ln w="91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2" name="Freeform 503"/>
                        <wps:cNvSpPr>
                          <a:spLocks/>
                        </wps:cNvSpPr>
                        <wps:spPr bwMode="auto">
                          <a:xfrm>
                            <a:off x="4832" y="502"/>
                            <a:ext cx="2660" cy="20"/>
                          </a:xfrm>
                          <a:custGeom>
                            <a:avLst/>
                            <a:gdLst>
                              <a:gd name="T0" fmla="*/ 0 w 2660"/>
                              <a:gd name="T1" fmla="*/ 0 h 20"/>
                              <a:gd name="T2" fmla="*/ 2660 w 2660"/>
                              <a:gd name="T3" fmla="*/ 0 h 20"/>
                            </a:gdLst>
                            <a:ahLst/>
                            <a:cxnLst>
                              <a:cxn ang="0">
                                <a:pos x="T0" y="T1"/>
                              </a:cxn>
                              <a:cxn ang="0">
                                <a:pos x="T2" y="T3"/>
                              </a:cxn>
                            </a:cxnLst>
                            <a:rect l="0" t="0" r="r" b="b"/>
                            <a:pathLst>
                              <a:path w="2660" h="20">
                                <a:moveTo>
                                  <a:pt x="0" y="0"/>
                                </a:moveTo>
                                <a:lnTo>
                                  <a:pt x="2660" y="0"/>
                                </a:lnTo>
                              </a:path>
                            </a:pathLst>
                          </a:custGeom>
                          <a:noFill/>
                          <a:ln w="1370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3" name="Freeform 504"/>
                        <wps:cNvSpPr>
                          <a:spLocks/>
                        </wps:cNvSpPr>
                        <wps:spPr bwMode="auto">
                          <a:xfrm>
                            <a:off x="7520" y="470"/>
                            <a:ext cx="280" cy="20"/>
                          </a:xfrm>
                          <a:custGeom>
                            <a:avLst/>
                            <a:gdLst>
                              <a:gd name="T0" fmla="*/ 0 w 280"/>
                              <a:gd name="T1" fmla="*/ 0 h 20"/>
                              <a:gd name="T2" fmla="*/ 280 w 280"/>
                              <a:gd name="T3" fmla="*/ 0 h 20"/>
                            </a:gdLst>
                            <a:ahLst/>
                            <a:cxnLst>
                              <a:cxn ang="0">
                                <a:pos x="T0" y="T1"/>
                              </a:cxn>
                              <a:cxn ang="0">
                                <a:pos x="T2" y="T3"/>
                              </a:cxn>
                            </a:cxnLst>
                            <a:rect l="0" t="0" r="r" b="b"/>
                            <a:pathLst>
                              <a:path w="280" h="20">
                                <a:moveTo>
                                  <a:pt x="0" y="0"/>
                                </a:moveTo>
                                <a:lnTo>
                                  <a:pt x="280" y="0"/>
                                </a:lnTo>
                              </a:path>
                            </a:pathLst>
                          </a:custGeom>
                          <a:noFill/>
                          <a:ln w="91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4" name="Freeform 505"/>
                        <wps:cNvSpPr>
                          <a:spLocks/>
                        </wps:cNvSpPr>
                        <wps:spPr bwMode="auto">
                          <a:xfrm>
                            <a:off x="7744" y="480"/>
                            <a:ext cx="2279" cy="20"/>
                          </a:xfrm>
                          <a:custGeom>
                            <a:avLst/>
                            <a:gdLst>
                              <a:gd name="T0" fmla="*/ 0 w 2279"/>
                              <a:gd name="T1" fmla="*/ 0 h 20"/>
                              <a:gd name="T2" fmla="*/ 2279 w 2279"/>
                              <a:gd name="T3" fmla="*/ 0 h 20"/>
                            </a:gdLst>
                            <a:ahLst/>
                            <a:cxnLst>
                              <a:cxn ang="0">
                                <a:pos x="T0" y="T1"/>
                              </a:cxn>
                              <a:cxn ang="0">
                                <a:pos x="T2" y="T3"/>
                              </a:cxn>
                            </a:cxnLst>
                            <a:rect l="0" t="0" r="r" b="b"/>
                            <a:pathLst>
                              <a:path w="2279" h="20">
                                <a:moveTo>
                                  <a:pt x="0" y="0"/>
                                </a:moveTo>
                                <a:lnTo>
                                  <a:pt x="2279" y="0"/>
                                </a:lnTo>
                              </a:path>
                            </a:pathLst>
                          </a:custGeom>
                          <a:noFill/>
                          <a:ln w="91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5" name="Freeform 506"/>
                        <wps:cNvSpPr>
                          <a:spLocks/>
                        </wps:cNvSpPr>
                        <wps:spPr bwMode="auto">
                          <a:xfrm>
                            <a:off x="610" y="994"/>
                            <a:ext cx="4156" cy="20"/>
                          </a:xfrm>
                          <a:custGeom>
                            <a:avLst/>
                            <a:gdLst>
                              <a:gd name="T0" fmla="*/ 0 w 4156"/>
                              <a:gd name="T1" fmla="*/ 0 h 20"/>
                              <a:gd name="T2" fmla="*/ 4156 w 4156"/>
                              <a:gd name="T3" fmla="*/ 0 h 20"/>
                            </a:gdLst>
                            <a:ahLst/>
                            <a:cxnLst>
                              <a:cxn ang="0">
                                <a:pos x="T0" y="T1"/>
                              </a:cxn>
                              <a:cxn ang="0">
                                <a:pos x="T2" y="T3"/>
                              </a:cxn>
                            </a:cxnLst>
                            <a:rect l="0" t="0" r="r" b="b"/>
                            <a:pathLst>
                              <a:path w="4156" h="20">
                                <a:moveTo>
                                  <a:pt x="0" y="0"/>
                                </a:moveTo>
                                <a:lnTo>
                                  <a:pt x="4156" y="0"/>
                                </a:lnTo>
                              </a:path>
                            </a:pathLst>
                          </a:custGeom>
                          <a:noFill/>
                          <a:ln w="1370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6" name="Freeform 507"/>
                        <wps:cNvSpPr>
                          <a:spLocks/>
                        </wps:cNvSpPr>
                        <wps:spPr bwMode="auto">
                          <a:xfrm>
                            <a:off x="4832" y="1037"/>
                            <a:ext cx="2639" cy="20"/>
                          </a:xfrm>
                          <a:custGeom>
                            <a:avLst/>
                            <a:gdLst>
                              <a:gd name="T0" fmla="*/ 0 w 2639"/>
                              <a:gd name="T1" fmla="*/ 0 h 20"/>
                              <a:gd name="T2" fmla="*/ 2639 w 2639"/>
                              <a:gd name="T3" fmla="*/ 0 h 20"/>
                            </a:gdLst>
                            <a:ahLst/>
                            <a:cxnLst>
                              <a:cxn ang="0">
                                <a:pos x="T0" y="T1"/>
                              </a:cxn>
                              <a:cxn ang="0">
                                <a:pos x="T2" y="T3"/>
                              </a:cxn>
                            </a:cxnLst>
                            <a:rect l="0" t="0" r="r" b="b"/>
                            <a:pathLst>
                              <a:path w="2639" h="20">
                                <a:moveTo>
                                  <a:pt x="0" y="0"/>
                                </a:moveTo>
                                <a:lnTo>
                                  <a:pt x="2639" y="0"/>
                                </a:lnTo>
                              </a:path>
                            </a:pathLst>
                          </a:custGeom>
                          <a:noFill/>
                          <a:ln w="91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7" name="Freeform 508"/>
                        <wps:cNvSpPr>
                          <a:spLocks/>
                        </wps:cNvSpPr>
                        <wps:spPr bwMode="auto">
                          <a:xfrm>
                            <a:off x="7449" y="1008"/>
                            <a:ext cx="906" cy="20"/>
                          </a:xfrm>
                          <a:custGeom>
                            <a:avLst/>
                            <a:gdLst>
                              <a:gd name="T0" fmla="*/ 0 w 906"/>
                              <a:gd name="T1" fmla="*/ 0 h 20"/>
                              <a:gd name="T2" fmla="*/ 906 w 906"/>
                              <a:gd name="T3" fmla="*/ 0 h 20"/>
                            </a:gdLst>
                            <a:ahLst/>
                            <a:cxnLst>
                              <a:cxn ang="0">
                                <a:pos x="T0" y="T1"/>
                              </a:cxn>
                              <a:cxn ang="0">
                                <a:pos x="T2" y="T3"/>
                              </a:cxn>
                            </a:cxnLst>
                            <a:rect l="0" t="0" r="r" b="b"/>
                            <a:pathLst>
                              <a:path w="906" h="20">
                                <a:moveTo>
                                  <a:pt x="0" y="0"/>
                                </a:moveTo>
                                <a:lnTo>
                                  <a:pt x="906"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8" name="Freeform 509"/>
                        <wps:cNvSpPr>
                          <a:spLocks/>
                        </wps:cNvSpPr>
                        <wps:spPr bwMode="auto">
                          <a:xfrm>
                            <a:off x="8455" y="976"/>
                            <a:ext cx="1567" cy="20"/>
                          </a:xfrm>
                          <a:custGeom>
                            <a:avLst/>
                            <a:gdLst>
                              <a:gd name="T0" fmla="*/ 0 w 1567"/>
                              <a:gd name="T1" fmla="*/ 0 h 20"/>
                              <a:gd name="T2" fmla="*/ 1567 w 1567"/>
                              <a:gd name="T3" fmla="*/ 0 h 20"/>
                            </a:gdLst>
                            <a:ahLst/>
                            <a:cxnLst>
                              <a:cxn ang="0">
                                <a:pos x="T0" y="T1"/>
                              </a:cxn>
                              <a:cxn ang="0">
                                <a:pos x="T2" y="T3"/>
                              </a:cxn>
                            </a:cxnLst>
                            <a:rect l="0" t="0" r="r" b="b"/>
                            <a:pathLst>
                              <a:path w="1567" h="20">
                                <a:moveTo>
                                  <a:pt x="0" y="0"/>
                                </a:moveTo>
                                <a:lnTo>
                                  <a:pt x="1567"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9" name="Freeform 510"/>
                        <wps:cNvSpPr>
                          <a:spLocks/>
                        </wps:cNvSpPr>
                        <wps:spPr bwMode="auto">
                          <a:xfrm>
                            <a:off x="910" y="434"/>
                            <a:ext cx="20" cy="6199"/>
                          </a:xfrm>
                          <a:custGeom>
                            <a:avLst/>
                            <a:gdLst>
                              <a:gd name="T0" fmla="*/ 0 w 20"/>
                              <a:gd name="T1" fmla="*/ 6199 h 6199"/>
                              <a:gd name="T2" fmla="*/ 0 w 20"/>
                              <a:gd name="T3" fmla="*/ 0 h 6199"/>
                            </a:gdLst>
                            <a:ahLst/>
                            <a:cxnLst>
                              <a:cxn ang="0">
                                <a:pos x="T0" y="T1"/>
                              </a:cxn>
                              <a:cxn ang="0">
                                <a:pos x="T2" y="T3"/>
                              </a:cxn>
                            </a:cxnLst>
                            <a:rect l="0" t="0" r="r" b="b"/>
                            <a:pathLst>
                              <a:path w="20" h="6199">
                                <a:moveTo>
                                  <a:pt x="0" y="6199"/>
                                </a:moveTo>
                                <a:lnTo>
                                  <a:pt x="0" y="0"/>
                                </a:lnTo>
                              </a:path>
                            </a:pathLst>
                          </a:custGeom>
                          <a:noFill/>
                          <a:ln w="91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0" name="Freeform 511"/>
                        <wps:cNvSpPr>
                          <a:spLocks/>
                        </wps:cNvSpPr>
                        <wps:spPr bwMode="auto">
                          <a:xfrm>
                            <a:off x="2973" y="455"/>
                            <a:ext cx="20" cy="6961"/>
                          </a:xfrm>
                          <a:custGeom>
                            <a:avLst/>
                            <a:gdLst>
                              <a:gd name="T0" fmla="*/ 0 w 20"/>
                              <a:gd name="T1" fmla="*/ 6960 h 6961"/>
                              <a:gd name="T2" fmla="*/ 0 w 20"/>
                              <a:gd name="T3" fmla="*/ 0 h 6961"/>
                            </a:gdLst>
                            <a:ahLst/>
                            <a:cxnLst>
                              <a:cxn ang="0">
                                <a:pos x="T0" y="T1"/>
                              </a:cxn>
                              <a:cxn ang="0">
                                <a:pos x="T2" y="T3"/>
                              </a:cxn>
                            </a:cxnLst>
                            <a:rect l="0" t="0" r="r" b="b"/>
                            <a:pathLst>
                              <a:path w="20" h="6961">
                                <a:moveTo>
                                  <a:pt x="0" y="6960"/>
                                </a:moveTo>
                                <a:lnTo>
                                  <a:pt x="0" y="0"/>
                                </a:lnTo>
                              </a:path>
                            </a:pathLst>
                          </a:custGeom>
                          <a:noFill/>
                          <a:ln w="91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1" name="Freeform 512"/>
                        <wps:cNvSpPr>
                          <a:spLocks/>
                        </wps:cNvSpPr>
                        <wps:spPr bwMode="auto">
                          <a:xfrm>
                            <a:off x="2696" y="448"/>
                            <a:ext cx="20" cy="6968"/>
                          </a:xfrm>
                          <a:custGeom>
                            <a:avLst/>
                            <a:gdLst>
                              <a:gd name="T0" fmla="*/ 0 w 20"/>
                              <a:gd name="T1" fmla="*/ 6968 h 6968"/>
                              <a:gd name="T2" fmla="*/ 0 w 20"/>
                              <a:gd name="T3" fmla="*/ 0 h 6968"/>
                            </a:gdLst>
                            <a:ahLst/>
                            <a:cxnLst>
                              <a:cxn ang="0">
                                <a:pos x="T0" y="T1"/>
                              </a:cxn>
                              <a:cxn ang="0">
                                <a:pos x="T2" y="T3"/>
                              </a:cxn>
                            </a:cxnLst>
                            <a:rect l="0" t="0" r="r" b="b"/>
                            <a:pathLst>
                              <a:path w="20" h="6968">
                                <a:moveTo>
                                  <a:pt x="0" y="6968"/>
                                </a:moveTo>
                                <a:lnTo>
                                  <a:pt x="0" y="0"/>
                                </a:lnTo>
                              </a:path>
                            </a:pathLst>
                          </a:custGeom>
                          <a:noFill/>
                          <a:ln w="1370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2" name="Freeform 513"/>
                        <wps:cNvSpPr>
                          <a:spLocks/>
                        </wps:cNvSpPr>
                        <wps:spPr bwMode="auto">
                          <a:xfrm>
                            <a:off x="7800" y="462"/>
                            <a:ext cx="20" cy="5029"/>
                          </a:xfrm>
                          <a:custGeom>
                            <a:avLst/>
                            <a:gdLst>
                              <a:gd name="T0" fmla="*/ 0 w 20"/>
                              <a:gd name="T1" fmla="*/ 5028 h 5029"/>
                              <a:gd name="T2" fmla="*/ 0 w 20"/>
                              <a:gd name="T3" fmla="*/ 0 h 5029"/>
                            </a:gdLst>
                            <a:ahLst/>
                            <a:cxnLst>
                              <a:cxn ang="0">
                                <a:pos x="T0" y="T1"/>
                              </a:cxn>
                              <a:cxn ang="0">
                                <a:pos x="T2" y="T3"/>
                              </a:cxn>
                            </a:cxnLst>
                            <a:rect l="0" t="0" r="r" b="b"/>
                            <a:pathLst>
                              <a:path w="20" h="5029">
                                <a:moveTo>
                                  <a:pt x="0" y="5028"/>
                                </a:moveTo>
                                <a:lnTo>
                                  <a:pt x="0" y="0"/>
                                </a:lnTo>
                              </a:path>
                            </a:pathLst>
                          </a:custGeom>
                          <a:noFill/>
                          <a:ln w="91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3" name="Freeform 514"/>
                        <wps:cNvSpPr>
                          <a:spLocks/>
                        </wps:cNvSpPr>
                        <wps:spPr bwMode="auto">
                          <a:xfrm>
                            <a:off x="10009" y="233"/>
                            <a:ext cx="20" cy="5258"/>
                          </a:xfrm>
                          <a:custGeom>
                            <a:avLst/>
                            <a:gdLst>
                              <a:gd name="T0" fmla="*/ 0 w 20"/>
                              <a:gd name="T1" fmla="*/ 5258 h 5258"/>
                              <a:gd name="T2" fmla="*/ 0 w 20"/>
                              <a:gd name="T3" fmla="*/ 0 h 5258"/>
                            </a:gdLst>
                            <a:ahLst/>
                            <a:cxnLst>
                              <a:cxn ang="0">
                                <a:pos x="T0" y="T1"/>
                              </a:cxn>
                              <a:cxn ang="0">
                                <a:pos x="T2" y="T3"/>
                              </a:cxn>
                            </a:cxnLst>
                            <a:rect l="0" t="0" r="r" b="b"/>
                            <a:pathLst>
                              <a:path w="20" h="5258">
                                <a:moveTo>
                                  <a:pt x="0" y="5258"/>
                                </a:moveTo>
                                <a:lnTo>
                                  <a:pt x="0" y="0"/>
                                </a:lnTo>
                              </a:path>
                            </a:pathLst>
                          </a:custGeom>
                          <a:noFill/>
                          <a:ln w="91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4" name="Freeform 515"/>
                        <wps:cNvSpPr>
                          <a:spLocks/>
                        </wps:cNvSpPr>
                        <wps:spPr bwMode="auto">
                          <a:xfrm>
                            <a:off x="7449" y="1626"/>
                            <a:ext cx="331" cy="20"/>
                          </a:xfrm>
                          <a:custGeom>
                            <a:avLst/>
                            <a:gdLst>
                              <a:gd name="T0" fmla="*/ 0 w 331"/>
                              <a:gd name="T1" fmla="*/ 0 h 20"/>
                              <a:gd name="T2" fmla="*/ 331 w 331"/>
                              <a:gd name="T3" fmla="*/ 0 h 20"/>
                            </a:gdLst>
                            <a:ahLst/>
                            <a:cxnLst>
                              <a:cxn ang="0">
                                <a:pos x="T0" y="T1"/>
                              </a:cxn>
                              <a:cxn ang="0">
                                <a:pos x="T2" y="T3"/>
                              </a:cxn>
                            </a:cxnLst>
                            <a:rect l="0" t="0" r="r" b="b"/>
                            <a:pathLst>
                              <a:path w="331" h="20">
                                <a:moveTo>
                                  <a:pt x="0" y="0"/>
                                </a:moveTo>
                                <a:lnTo>
                                  <a:pt x="331"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5" name="Freeform 516"/>
                        <wps:cNvSpPr>
                          <a:spLocks/>
                        </wps:cNvSpPr>
                        <wps:spPr bwMode="auto">
                          <a:xfrm>
                            <a:off x="7772" y="1626"/>
                            <a:ext cx="582" cy="20"/>
                          </a:xfrm>
                          <a:custGeom>
                            <a:avLst/>
                            <a:gdLst>
                              <a:gd name="T0" fmla="*/ 0 w 582"/>
                              <a:gd name="T1" fmla="*/ 0 h 20"/>
                              <a:gd name="T2" fmla="*/ 582 w 582"/>
                              <a:gd name="T3" fmla="*/ 0 h 20"/>
                            </a:gdLst>
                            <a:ahLst/>
                            <a:cxnLst>
                              <a:cxn ang="0">
                                <a:pos x="T0" y="T1"/>
                              </a:cxn>
                              <a:cxn ang="0">
                                <a:pos x="T2" y="T3"/>
                              </a:cxn>
                            </a:cxnLst>
                            <a:rect l="0" t="0" r="r" b="b"/>
                            <a:pathLst>
                              <a:path w="582" h="20">
                                <a:moveTo>
                                  <a:pt x="0" y="0"/>
                                </a:moveTo>
                                <a:lnTo>
                                  <a:pt x="582" y="0"/>
                                </a:lnTo>
                              </a:path>
                            </a:pathLst>
                          </a:custGeom>
                          <a:noFill/>
                          <a:ln w="1370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6" name="Freeform 517"/>
                        <wps:cNvSpPr>
                          <a:spLocks/>
                        </wps:cNvSpPr>
                        <wps:spPr bwMode="auto">
                          <a:xfrm>
                            <a:off x="8355" y="1626"/>
                            <a:ext cx="1668" cy="20"/>
                          </a:xfrm>
                          <a:custGeom>
                            <a:avLst/>
                            <a:gdLst>
                              <a:gd name="T0" fmla="*/ 0 w 1668"/>
                              <a:gd name="T1" fmla="*/ 0 h 20"/>
                              <a:gd name="T2" fmla="*/ 1668 w 1668"/>
                              <a:gd name="T3" fmla="*/ 0 h 20"/>
                            </a:gdLst>
                            <a:ahLst/>
                            <a:cxnLst>
                              <a:cxn ang="0">
                                <a:pos x="T0" y="T1"/>
                              </a:cxn>
                              <a:cxn ang="0">
                                <a:pos x="T2" y="T3"/>
                              </a:cxn>
                            </a:cxnLst>
                            <a:rect l="0" t="0" r="r" b="b"/>
                            <a:pathLst>
                              <a:path w="1668" h="20">
                                <a:moveTo>
                                  <a:pt x="0" y="0"/>
                                </a:moveTo>
                                <a:lnTo>
                                  <a:pt x="1668"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7" name="Freeform 518"/>
                        <wps:cNvSpPr>
                          <a:spLocks/>
                        </wps:cNvSpPr>
                        <wps:spPr bwMode="auto">
                          <a:xfrm>
                            <a:off x="554" y="1842"/>
                            <a:ext cx="338" cy="20"/>
                          </a:xfrm>
                          <a:custGeom>
                            <a:avLst/>
                            <a:gdLst>
                              <a:gd name="T0" fmla="*/ 0 w 338"/>
                              <a:gd name="T1" fmla="*/ 0 h 20"/>
                              <a:gd name="T2" fmla="*/ 338 w 338"/>
                              <a:gd name="T3" fmla="*/ 0 h 20"/>
                            </a:gdLst>
                            <a:ahLst/>
                            <a:cxnLst>
                              <a:cxn ang="0">
                                <a:pos x="T0" y="T1"/>
                              </a:cxn>
                              <a:cxn ang="0">
                                <a:pos x="T2" y="T3"/>
                              </a:cxn>
                            </a:cxnLst>
                            <a:rect l="0" t="0" r="r" b="b"/>
                            <a:pathLst>
                              <a:path w="338" h="20">
                                <a:moveTo>
                                  <a:pt x="0" y="0"/>
                                </a:moveTo>
                                <a:lnTo>
                                  <a:pt x="338"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8" name="Freeform 519"/>
                        <wps:cNvSpPr>
                          <a:spLocks/>
                        </wps:cNvSpPr>
                        <wps:spPr bwMode="auto">
                          <a:xfrm>
                            <a:off x="2668" y="1842"/>
                            <a:ext cx="287" cy="20"/>
                          </a:xfrm>
                          <a:custGeom>
                            <a:avLst/>
                            <a:gdLst>
                              <a:gd name="T0" fmla="*/ 0 w 287"/>
                              <a:gd name="T1" fmla="*/ 0 h 20"/>
                              <a:gd name="T2" fmla="*/ 287 w 287"/>
                              <a:gd name="T3" fmla="*/ 0 h 20"/>
                            </a:gdLst>
                            <a:ahLst/>
                            <a:cxnLst>
                              <a:cxn ang="0">
                                <a:pos x="T0" y="T1"/>
                              </a:cxn>
                              <a:cxn ang="0">
                                <a:pos x="T2" y="T3"/>
                              </a:cxn>
                            </a:cxnLst>
                            <a:rect l="0" t="0" r="r" b="b"/>
                            <a:pathLst>
                              <a:path w="287" h="20">
                                <a:moveTo>
                                  <a:pt x="0" y="0"/>
                                </a:moveTo>
                                <a:lnTo>
                                  <a:pt x="287"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9" name="Freeform 520"/>
                        <wps:cNvSpPr>
                          <a:spLocks/>
                        </wps:cNvSpPr>
                        <wps:spPr bwMode="auto">
                          <a:xfrm>
                            <a:off x="4825" y="1813"/>
                            <a:ext cx="2638" cy="20"/>
                          </a:xfrm>
                          <a:custGeom>
                            <a:avLst/>
                            <a:gdLst>
                              <a:gd name="T0" fmla="*/ 0 w 2638"/>
                              <a:gd name="T1" fmla="*/ 0 h 20"/>
                              <a:gd name="T2" fmla="*/ 2638 w 2638"/>
                              <a:gd name="T3" fmla="*/ 0 h 20"/>
                            </a:gdLst>
                            <a:ahLst/>
                            <a:cxnLst>
                              <a:cxn ang="0">
                                <a:pos x="T0" y="T1"/>
                              </a:cxn>
                              <a:cxn ang="0">
                                <a:pos x="T2" y="T3"/>
                              </a:cxn>
                            </a:cxnLst>
                            <a:rect l="0" t="0" r="r" b="b"/>
                            <a:pathLst>
                              <a:path w="2638" h="20">
                                <a:moveTo>
                                  <a:pt x="0" y="0"/>
                                </a:moveTo>
                                <a:lnTo>
                                  <a:pt x="2638" y="0"/>
                                </a:lnTo>
                              </a:path>
                            </a:pathLst>
                          </a:custGeom>
                          <a:noFill/>
                          <a:ln w="91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0" name="Freeform 521"/>
                        <wps:cNvSpPr>
                          <a:spLocks/>
                        </wps:cNvSpPr>
                        <wps:spPr bwMode="auto">
                          <a:xfrm>
                            <a:off x="8355" y="2165"/>
                            <a:ext cx="1668" cy="20"/>
                          </a:xfrm>
                          <a:custGeom>
                            <a:avLst/>
                            <a:gdLst>
                              <a:gd name="T0" fmla="*/ 0 w 1668"/>
                              <a:gd name="T1" fmla="*/ 0 h 20"/>
                              <a:gd name="T2" fmla="*/ 1668 w 1668"/>
                              <a:gd name="T3" fmla="*/ 0 h 20"/>
                            </a:gdLst>
                            <a:ahLst/>
                            <a:cxnLst>
                              <a:cxn ang="0">
                                <a:pos x="T0" y="T1"/>
                              </a:cxn>
                              <a:cxn ang="0">
                                <a:pos x="T2" y="T3"/>
                              </a:cxn>
                            </a:cxnLst>
                            <a:rect l="0" t="0" r="r" b="b"/>
                            <a:pathLst>
                              <a:path w="1668" h="20">
                                <a:moveTo>
                                  <a:pt x="0" y="0"/>
                                </a:moveTo>
                                <a:lnTo>
                                  <a:pt x="1668"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1" name="Freeform 522"/>
                        <wps:cNvSpPr>
                          <a:spLocks/>
                        </wps:cNvSpPr>
                        <wps:spPr bwMode="auto">
                          <a:xfrm>
                            <a:off x="4767" y="2165"/>
                            <a:ext cx="496" cy="20"/>
                          </a:xfrm>
                          <a:custGeom>
                            <a:avLst/>
                            <a:gdLst>
                              <a:gd name="T0" fmla="*/ 0 w 496"/>
                              <a:gd name="T1" fmla="*/ 0 h 20"/>
                              <a:gd name="T2" fmla="*/ 496 w 496"/>
                              <a:gd name="T3" fmla="*/ 0 h 20"/>
                            </a:gdLst>
                            <a:ahLst/>
                            <a:cxnLst>
                              <a:cxn ang="0">
                                <a:pos x="T0" y="T1"/>
                              </a:cxn>
                              <a:cxn ang="0">
                                <a:pos x="T2" y="T3"/>
                              </a:cxn>
                            </a:cxnLst>
                            <a:rect l="0" t="0" r="r" b="b"/>
                            <a:pathLst>
                              <a:path w="496" h="20">
                                <a:moveTo>
                                  <a:pt x="0" y="0"/>
                                </a:moveTo>
                                <a:lnTo>
                                  <a:pt x="496"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2" name="Freeform 523"/>
                        <wps:cNvSpPr>
                          <a:spLocks/>
                        </wps:cNvSpPr>
                        <wps:spPr bwMode="auto">
                          <a:xfrm>
                            <a:off x="5227" y="2168"/>
                            <a:ext cx="568" cy="20"/>
                          </a:xfrm>
                          <a:custGeom>
                            <a:avLst/>
                            <a:gdLst>
                              <a:gd name="T0" fmla="*/ 0 w 568"/>
                              <a:gd name="T1" fmla="*/ 0 h 20"/>
                              <a:gd name="T2" fmla="*/ 568 w 568"/>
                              <a:gd name="T3" fmla="*/ 0 h 20"/>
                            </a:gdLst>
                            <a:ahLst/>
                            <a:cxnLst>
                              <a:cxn ang="0">
                                <a:pos x="T0" y="T1"/>
                              </a:cxn>
                              <a:cxn ang="0">
                                <a:pos x="T2" y="T3"/>
                              </a:cxn>
                            </a:cxnLst>
                            <a:rect l="0" t="0" r="r" b="b"/>
                            <a:pathLst>
                              <a:path w="568" h="20">
                                <a:moveTo>
                                  <a:pt x="0" y="0"/>
                                </a:moveTo>
                                <a:lnTo>
                                  <a:pt x="568" y="0"/>
                                </a:lnTo>
                              </a:path>
                            </a:pathLst>
                          </a:custGeom>
                          <a:noFill/>
                          <a:ln w="182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3" name="Freeform 524"/>
                        <wps:cNvSpPr>
                          <a:spLocks/>
                        </wps:cNvSpPr>
                        <wps:spPr bwMode="auto">
                          <a:xfrm>
                            <a:off x="5982" y="2165"/>
                            <a:ext cx="1798" cy="20"/>
                          </a:xfrm>
                          <a:custGeom>
                            <a:avLst/>
                            <a:gdLst>
                              <a:gd name="T0" fmla="*/ 0 w 1798"/>
                              <a:gd name="T1" fmla="*/ 0 h 20"/>
                              <a:gd name="T2" fmla="*/ 1798 w 1798"/>
                              <a:gd name="T3" fmla="*/ 0 h 20"/>
                            </a:gdLst>
                            <a:ahLst/>
                            <a:cxnLst>
                              <a:cxn ang="0">
                                <a:pos x="T0" y="T1"/>
                              </a:cxn>
                              <a:cxn ang="0">
                                <a:pos x="T2" y="T3"/>
                              </a:cxn>
                            </a:cxnLst>
                            <a:rect l="0" t="0" r="r" b="b"/>
                            <a:pathLst>
                              <a:path w="1798" h="20">
                                <a:moveTo>
                                  <a:pt x="0" y="0"/>
                                </a:moveTo>
                                <a:lnTo>
                                  <a:pt x="1798"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4" name="Freeform 525"/>
                        <wps:cNvSpPr>
                          <a:spLocks/>
                        </wps:cNvSpPr>
                        <wps:spPr bwMode="auto">
                          <a:xfrm>
                            <a:off x="610" y="2362"/>
                            <a:ext cx="4156" cy="20"/>
                          </a:xfrm>
                          <a:custGeom>
                            <a:avLst/>
                            <a:gdLst>
                              <a:gd name="T0" fmla="*/ 0 w 4156"/>
                              <a:gd name="T1" fmla="*/ 0 h 20"/>
                              <a:gd name="T2" fmla="*/ 4156 w 4156"/>
                              <a:gd name="T3" fmla="*/ 0 h 20"/>
                            </a:gdLst>
                            <a:ahLst/>
                            <a:cxnLst>
                              <a:cxn ang="0">
                                <a:pos x="T0" y="T1"/>
                              </a:cxn>
                              <a:cxn ang="0">
                                <a:pos x="T2" y="T3"/>
                              </a:cxn>
                            </a:cxnLst>
                            <a:rect l="0" t="0" r="r" b="b"/>
                            <a:pathLst>
                              <a:path w="4156" h="20">
                                <a:moveTo>
                                  <a:pt x="0" y="0"/>
                                </a:moveTo>
                                <a:lnTo>
                                  <a:pt x="4156" y="0"/>
                                </a:lnTo>
                              </a:path>
                            </a:pathLst>
                          </a:custGeom>
                          <a:noFill/>
                          <a:ln w="91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5" name="Freeform 526"/>
                        <wps:cNvSpPr>
                          <a:spLocks/>
                        </wps:cNvSpPr>
                        <wps:spPr bwMode="auto">
                          <a:xfrm>
                            <a:off x="610" y="2826"/>
                            <a:ext cx="4156" cy="20"/>
                          </a:xfrm>
                          <a:custGeom>
                            <a:avLst/>
                            <a:gdLst>
                              <a:gd name="T0" fmla="*/ 0 w 4156"/>
                              <a:gd name="T1" fmla="*/ 0 h 20"/>
                              <a:gd name="T2" fmla="*/ 4156 w 4156"/>
                              <a:gd name="T3" fmla="*/ 0 h 20"/>
                            </a:gdLst>
                            <a:ahLst/>
                            <a:cxnLst>
                              <a:cxn ang="0">
                                <a:pos x="T0" y="T1"/>
                              </a:cxn>
                              <a:cxn ang="0">
                                <a:pos x="T2" y="T3"/>
                              </a:cxn>
                            </a:cxnLst>
                            <a:rect l="0" t="0" r="r" b="b"/>
                            <a:pathLst>
                              <a:path w="4156" h="20">
                                <a:moveTo>
                                  <a:pt x="0" y="0"/>
                                </a:moveTo>
                                <a:lnTo>
                                  <a:pt x="4156" y="0"/>
                                </a:lnTo>
                              </a:path>
                            </a:pathLst>
                          </a:custGeom>
                          <a:noFill/>
                          <a:ln w="1370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6" name="Freeform 527"/>
                        <wps:cNvSpPr>
                          <a:spLocks/>
                        </wps:cNvSpPr>
                        <wps:spPr bwMode="auto">
                          <a:xfrm>
                            <a:off x="4832" y="2858"/>
                            <a:ext cx="2631" cy="20"/>
                          </a:xfrm>
                          <a:custGeom>
                            <a:avLst/>
                            <a:gdLst>
                              <a:gd name="T0" fmla="*/ 0 w 2631"/>
                              <a:gd name="T1" fmla="*/ 0 h 20"/>
                              <a:gd name="T2" fmla="*/ 2631 w 2631"/>
                              <a:gd name="T3" fmla="*/ 0 h 20"/>
                            </a:gdLst>
                            <a:ahLst/>
                            <a:cxnLst>
                              <a:cxn ang="0">
                                <a:pos x="T0" y="T1"/>
                              </a:cxn>
                              <a:cxn ang="0">
                                <a:pos x="T2" y="T3"/>
                              </a:cxn>
                            </a:cxnLst>
                            <a:rect l="0" t="0" r="r" b="b"/>
                            <a:pathLst>
                              <a:path w="2631" h="20">
                                <a:moveTo>
                                  <a:pt x="0" y="0"/>
                                </a:moveTo>
                                <a:lnTo>
                                  <a:pt x="2631"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7" name="Freeform 528"/>
                        <wps:cNvSpPr>
                          <a:spLocks/>
                        </wps:cNvSpPr>
                        <wps:spPr bwMode="auto">
                          <a:xfrm>
                            <a:off x="7449" y="2826"/>
                            <a:ext cx="331" cy="20"/>
                          </a:xfrm>
                          <a:custGeom>
                            <a:avLst/>
                            <a:gdLst>
                              <a:gd name="T0" fmla="*/ 0 w 331"/>
                              <a:gd name="T1" fmla="*/ 0 h 20"/>
                              <a:gd name="T2" fmla="*/ 331 w 331"/>
                              <a:gd name="T3" fmla="*/ 0 h 20"/>
                            </a:gdLst>
                            <a:ahLst/>
                            <a:cxnLst>
                              <a:cxn ang="0">
                                <a:pos x="T0" y="T1"/>
                              </a:cxn>
                              <a:cxn ang="0">
                                <a:pos x="T2" y="T3"/>
                              </a:cxn>
                            </a:cxnLst>
                            <a:rect l="0" t="0" r="r" b="b"/>
                            <a:pathLst>
                              <a:path w="331" h="20">
                                <a:moveTo>
                                  <a:pt x="0" y="0"/>
                                </a:moveTo>
                                <a:lnTo>
                                  <a:pt x="331"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8" name="Freeform 529"/>
                        <wps:cNvSpPr>
                          <a:spLocks/>
                        </wps:cNvSpPr>
                        <wps:spPr bwMode="auto">
                          <a:xfrm>
                            <a:off x="8355" y="2826"/>
                            <a:ext cx="1668" cy="20"/>
                          </a:xfrm>
                          <a:custGeom>
                            <a:avLst/>
                            <a:gdLst>
                              <a:gd name="T0" fmla="*/ 0 w 1668"/>
                              <a:gd name="T1" fmla="*/ 0 h 20"/>
                              <a:gd name="T2" fmla="*/ 1668 w 1668"/>
                              <a:gd name="T3" fmla="*/ 0 h 20"/>
                            </a:gdLst>
                            <a:ahLst/>
                            <a:cxnLst>
                              <a:cxn ang="0">
                                <a:pos x="T0" y="T1"/>
                              </a:cxn>
                              <a:cxn ang="0">
                                <a:pos x="T2" y="T3"/>
                              </a:cxn>
                            </a:cxnLst>
                            <a:rect l="0" t="0" r="r" b="b"/>
                            <a:pathLst>
                              <a:path w="1668" h="20">
                                <a:moveTo>
                                  <a:pt x="0" y="0"/>
                                </a:moveTo>
                                <a:lnTo>
                                  <a:pt x="1668"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9" name="Freeform 530"/>
                        <wps:cNvSpPr>
                          <a:spLocks/>
                        </wps:cNvSpPr>
                        <wps:spPr bwMode="auto">
                          <a:xfrm>
                            <a:off x="4832" y="3282"/>
                            <a:ext cx="2631" cy="20"/>
                          </a:xfrm>
                          <a:custGeom>
                            <a:avLst/>
                            <a:gdLst>
                              <a:gd name="T0" fmla="*/ 0 w 2631"/>
                              <a:gd name="T1" fmla="*/ 0 h 20"/>
                              <a:gd name="T2" fmla="*/ 2631 w 2631"/>
                              <a:gd name="T3" fmla="*/ 0 h 20"/>
                            </a:gdLst>
                            <a:ahLst/>
                            <a:cxnLst>
                              <a:cxn ang="0">
                                <a:pos x="T0" y="T1"/>
                              </a:cxn>
                              <a:cxn ang="0">
                                <a:pos x="T2" y="T3"/>
                              </a:cxn>
                            </a:cxnLst>
                            <a:rect l="0" t="0" r="r" b="b"/>
                            <a:pathLst>
                              <a:path w="2631" h="20">
                                <a:moveTo>
                                  <a:pt x="0" y="0"/>
                                </a:moveTo>
                                <a:lnTo>
                                  <a:pt x="2631"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0" name="Freeform 531"/>
                        <wps:cNvSpPr>
                          <a:spLocks/>
                        </wps:cNvSpPr>
                        <wps:spPr bwMode="auto">
                          <a:xfrm>
                            <a:off x="12734" y="2697"/>
                            <a:ext cx="20" cy="2844"/>
                          </a:xfrm>
                          <a:custGeom>
                            <a:avLst/>
                            <a:gdLst>
                              <a:gd name="T0" fmla="*/ 0 w 20"/>
                              <a:gd name="T1" fmla="*/ 2843 h 2844"/>
                              <a:gd name="T2" fmla="*/ 0 w 20"/>
                              <a:gd name="T3" fmla="*/ 0 h 2844"/>
                            </a:gdLst>
                            <a:ahLst/>
                            <a:cxnLst>
                              <a:cxn ang="0">
                                <a:pos x="T0" y="T1"/>
                              </a:cxn>
                              <a:cxn ang="0">
                                <a:pos x="T2" y="T3"/>
                              </a:cxn>
                            </a:cxnLst>
                            <a:rect l="0" t="0" r="r" b="b"/>
                            <a:pathLst>
                              <a:path w="20" h="2844">
                                <a:moveTo>
                                  <a:pt x="0" y="2843"/>
                                </a:moveTo>
                                <a:lnTo>
                                  <a:pt x="0"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1" name="Freeform 532"/>
                        <wps:cNvSpPr>
                          <a:spLocks/>
                        </wps:cNvSpPr>
                        <wps:spPr bwMode="auto">
                          <a:xfrm>
                            <a:off x="15078" y="2660"/>
                            <a:ext cx="20" cy="166"/>
                          </a:xfrm>
                          <a:custGeom>
                            <a:avLst/>
                            <a:gdLst>
                              <a:gd name="T0" fmla="*/ 0 w 20"/>
                              <a:gd name="T1" fmla="*/ 166 h 166"/>
                              <a:gd name="T2" fmla="*/ 0 w 20"/>
                              <a:gd name="T3" fmla="*/ 0 h 166"/>
                            </a:gdLst>
                            <a:ahLst/>
                            <a:cxnLst>
                              <a:cxn ang="0">
                                <a:pos x="T0" y="T1"/>
                              </a:cxn>
                              <a:cxn ang="0">
                                <a:pos x="T2" y="T3"/>
                              </a:cxn>
                            </a:cxnLst>
                            <a:rect l="0" t="0" r="r" b="b"/>
                            <a:pathLst>
                              <a:path w="20" h="166">
                                <a:moveTo>
                                  <a:pt x="0" y="166"/>
                                </a:moveTo>
                                <a:lnTo>
                                  <a:pt x="0"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2" name="Freeform 533"/>
                        <wps:cNvSpPr>
                          <a:spLocks/>
                        </wps:cNvSpPr>
                        <wps:spPr bwMode="auto">
                          <a:xfrm>
                            <a:off x="15045" y="2826"/>
                            <a:ext cx="20" cy="1206"/>
                          </a:xfrm>
                          <a:custGeom>
                            <a:avLst/>
                            <a:gdLst>
                              <a:gd name="T0" fmla="*/ 0 w 20"/>
                              <a:gd name="T1" fmla="*/ 1206 h 1206"/>
                              <a:gd name="T2" fmla="*/ 0 w 20"/>
                              <a:gd name="T3" fmla="*/ 0 h 1206"/>
                            </a:gdLst>
                            <a:ahLst/>
                            <a:cxnLst>
                              <a:cxn ang="0">
                                <a:pos x="T0" y="T1"/>
                              </a:cxn>
                              <a:cxn ang="0">
                                <a:pos x="T2" y="T3"/>
                              </a:cxn>
                            </a:cxnLst>
                            <a:rect l="0" t="0" r="r" b="b"/>
                            <a:pathLst>
                              <a:path w="20" h="1206">
                                <a:moveTo>
                                  <a:pt x="0" y="1206"/>
                                </a:moveTo>
                                <a:lnTo>
                                  <a:pt x="0"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3" name="Freeform 534"/>
                        <wps:cNvSpPr>
                          <a:spLocks/>
                        </wps:cNvSpPr>
                        <wps:spPr bwMode="auto">
                          <a:xfrm>
                            <a:off x="7442" y="3336"/>
                            <a:ext cx="7643" cy="20"/>
                          </a:xfrm>
                          <a:custGeom>
                            <a:avLst/>
                            <a:gdLst>
                              <a:gd name="T0" fmla="*/ 0 w 7643"/>
                              <a:gd name="T1" fmla="*/ 0 h 20"/>
                              <a:gd name="T2" fmla="*/ 7643 w 7643"/>
                              <a:gd name="T3" fmla="*/ 0 h 20"/>
                            </a:gdLst>
                            <a:ahLst/>
                            <a:cxnLst>
                              <a:cxn ang="0">
                                <a:pos x="T0" y="T1"/>
                              </a:cxn>
                              <a:cxn ang="0">
                                <a:pos x="T2" y="T3"/>
                              </a:cxn>
                            </a:cxnLst>
                            <a:rect l="0" t="0" r="r" b="b"/>
                            <a:pathLst>
                              <a:path w="7643" h="20">
                                <a:moveTo>
                                  <a:pt x="0" y="0"/>
                                </a:moveTo>
                                <a:lnTo>
                                  <a:pt x="7643"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4" name="Freeform 535"/>
                        <wps:cNvSpPr>
                          <a:spLocks/>
                        </wps:cNvSpPr>
                        <wps:spPr bwMode="auto">
                          <a:xfrm>
                            <a:off x="610" y="3763"/>
                            <a:ext cx="4156" cy="20"/>
                          </a:xfrm>
                          <a:custGeom>
                            <a:avLst/>
                            <a:gdLst>
                              <a:gd name="T0" fmla="*/ 0 w 4156"/>
                              <a:gd name="T1" fmla="*/ 0 h 20"/>
                              <a:gd name="T2" fmla="*/ 4156 w 4156"/>
                              <a:gd name="T3" fmla="*/ 0 h 20"/>
                            </a:gdLst>
                            <a:ahLst/>
                            <a:cxnLst>
                              <a:cxn ang="0">
                                <a:pos x="T0" y="T1"/>
                              </a:cxn>
                              <a:cxn ang="0">
                                <a:pos x="T2" y="T3"/>
                              </a:cxn>
                            </a:cxnLst>
                            <a:rect l="0" t="0" r="r" b="b"/>
                            <a:pathLst>
                              <a:path w="4156" h="20">
                                <a:moveTo>
                                  <a:pt x="0" y="0"/>
                                </a:moveTo>
                                <a:lnTo>
                                  <a:pt x="4156" y="0"/>
                                </a:lnTo>
                              </a:path>
                            </a:pathLst>
                          </a:custGeom>
                          <a:noFill/>
                          <a:ln w="91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5" name="Freeform 536"/>
                        <wps:cNvSpPr>
                          <a:spLocks/>
                        </wps:cNvSpPr>
                        <wps:spPr bwMode="auto">
                          <a:xfrm>
                            <a:off x="4767" y="3853"/>
                            <a:ext cx="3013" cy="20"/>
                          </a:xfrm>
                          <a:custGeom>
                            <a:avLst/>
                            <a:gdLst>
                              <a:gd name="T0" fmla="*/ 0 w 3013"/>
                              <a:gd name="T1" fmla="*/ 0 h 20"/>
                              <a:gd name="T2" fmla="*/ 3013 w 3013"/>
                              <a:gd name="T3" fmla="*/ 0 h 20"/>
                            </a:gdLst>
                            <a:ahLst/>
                            <a:cxnLst>
                              <a:cxn ang="0">
                                <a:pos x="T0" y="T1"/>
                              </a:cxn>
                              <a:cxn ang="0">
                                <a:pos x="T2" y="T3"/>
                              </a:cxn>
                            </a:cxnLst>
                            <a:rect l="0" t="0" r="r" b="b"/>
                            <a:pathLst>
                              <a:path w="3013" h="20">
                                <a:moveTo>
                                  <a:pt x="0" y="0"/>
                                </a:moveTo>
                                <a:lnTo>
                                  <a:pt x="3013"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6" name="Freeform 537"/>
                        <wps:cNvSpPr>
                          <a:spLocks/>
                        </wps:cNvSpPr>
                        <wps:spPr bwMode="auto">
                          <a:xfrm>
                            <a:off x="7679" y="3842"/>
                            <a:ext cx="777" cy="20"/>
                          </a:xfrm>
                          <a:custGeom>
                            <a:avLst/>
                            <a:gdLst>
                              <a:gd name="T0" fmla="*/ 0 w 777"/>
                              <a:gd name="T1" fmla="*/ 0 h 20"/>
                              <a:gd name="T2" fmla="*/ 777 w 777"/>
                              <a:gd name="T3" fmla="*/ 0 h 20"/>
                            </a:gdLst>
                            <a:ahLst/>
                            <a:cxnLst>
                              <a:cxn ang="0">
                                <a:pos x="T0" y="T1"/>
                              </a:cxn>
                              <a:cxn ang="0">
                                <a:pos x="T2" y="T3"/>
                              </a:cxn>
                            </a:cxnLst>
                            <a:rect l="0" t="0" r="r" b="b"/>
                            <a:pathLst>
                              <a:path w="777" h="20">
                                <a:moveTo>
                                  <a:pt x="0" y="0"/>
                                </a:moveTo>
                                <a:lnTo>
                                  <a:pt x="777" y="0"/>
                                </a:lnTo>
                              </a:path>
                            </a:pathLst>
                          </a:custGeom>
                          <a:noFill/>
                          <a:ln w="182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7" name="Freeform 538"/>
                        <wps:cNvSpPr>
                          <a:spLocks/>
                        </wps:cNvSpPr>
                        <wps:spPr bwMode="auto">
                          <a:xfrm>
                            <a:off x="8555" y="3853"/>
                            <a:ext cx="1467" cy="20"/>
                          </a:xfrm>
                          <a:custGeom>
                            <a:avLst/>
                            <a:gdLst>
                              <a:gd name="T0" fmla="*/ 0 w 1467"/>
                              <a:gd name="T1" fmla="*/ 0 h 20"/>
                              <a:gd name="T2" fmla="*/ 1467 w 1467"/>
                              <a:gd name="T3" fmla="*/ 0 h 20"/>
                            </a:gdLst>
                            <a:ahLst/>
                            <a:cxnLst>
                              <a:cxn ang="0">
                                <a:pos x="T0" y="T1"/>
                              </a:cxn>
                              <a:cxn ang="0">
                                <a:pos x="T2" y="T3"/>
                              </a:cxn>
                            </a:cxnLst>
                            <a:rect l="0" t="0" r="r" b="b"/>
                            <a:pathLst>
                              <a:path w="1467" h="20">
                                <a:moveTo>
                                  <a:pt x="0" y="0"/>
                                </a:moveTo>
                                <a:lnTo>
                                  <a:pt x="1467"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8" name="Freeform 539"/>
                        <wps:cNvSpPr>
                          <a:spLocks/>
                        </wps:cNvSpPr>
                        <wps:spPr bwMode="auto">
                          <a:xfrm>
                            <a:off x="12734" y="4054"/>
                            <a:ext cx="2351" cy="20"/>
                          </a:xfrm>
                          <a:custGeom>
                            <a:avLst/>
                            <a:gdLst>
                              <a:gd name="T0" fmla="*/ 0 w 2351"/>
                              <a:gd name="T1" fmla="*/ 0 h 20"/>
                              <a:gd name="T2" fmla="*/ 2351 w 2351"/>
                              <a:gd name="T3" fmla="*/ 0 h 20"/>
                            </a:gdLst>
                            <a:ahLst/>
                            <a:cxnLst>
                              <a:cxn ang="0">
                                <a:pos x="T0" y="T1"/>
                              </a:cxn>
                              <a:cxn ang="0">
                                <a:pos x="T2" y="T3"/>
                              </a:cxn>
                            </a:cxnLst>
                            <a:rect l="0" t="0" r="r" b="b"/>
                            <a:pathLst>
                              <a:path w="2351" h="20">
                                <a:moveTo>
                                  <a:pt x="0" y="0"/>
                                </a:moveTo>
                                <a:lnTo>
                                  <a:pt x="2351"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9" name="Freeform 540"/>
                        <wps:cNvSpPr>
                          <a:spLocks/>
                        </wps:cNvSpPr>
                        <wps:spPr bwMode="auto">
                          <a:xfrm>
                            <a:off x="15078" y="4054"/>
                            <a:ext cx="20" cy="402"/>
                          </a:xfrm>
                          <a:custGeom>
                            <a:avLst/>
                            <a:gdLst>
                              <a:gd name="T0" fmla="*/ 0 w 20"/>
                              <a:gd name="T1" fmla="*/ 402 h 402"/>
                              <a:gd name="T2" fmla="*/ 0 w 20"/>
                              <a:gd name="T3" fmla="*/ 0 h 402"/>
                            </a:gdLst>
                            <a:ahLst/>
                            <a:cxnLst>
                              <a:cxn ang="0">
                                <a:pos x="T0" y="T1"/>
                              </a:cxn>
                              <a:cxn ang="0">
                                <a:pos x="T2" y="T3"/>
                              </a:cxn>
                            </a:cxnLst>
                            <a:rect l="0" t="0" r="r" b="b"/>
                            <a:pathLst>
                              <a:path w="20" h="402">
                                <a:moveTo>
                                  <a:pt x="0" y="402"/>
                                </a:moveTo>
                                <a:lnTo>
                                  <a:pt x="0"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0" name="Freeform 541"/>
                        <wps:cNvSpPr>
                          <a:spLocks/>
                        </wps:cNvSpPr>
                        <wps:spPr bwMode="auto">
                          <a:xfrm>
                            <a:off x="10015" y="4291"/>
                            <a:ext cx="2725" cy="20"/>
                          </a:xfrm>
                          <a:custGeom>
                            <a:avLst/>
                            <a:gdLst>
                              <a:gd name="T0" fmla="*/ 0 w 2725"/>
                              <a:gd name="T1" fmla="*/ 0 h 20"/>
                              <a:gd name="T2" fmla="*/ 2725 w 2725"/>
                              <a:gd name="T3" fmla="*/ 0 h 20"/>
                            </a:gdLst>
                            <a:ahLst/>
                            <a:cxnLst>
                              <a:cxn ang="0">
                                <a:pos x="T0" y="T1"/>
                              </a:cxn>
                              <a:cxn ang="0">
                                <a:pos x="T2" y="T3"/>
                              </a:cxn>
                            </a:cxnLst>
                            <a:rect l="0" t="0" r="r" b="b"/>
                            <a:pathLst>
                              <a:path w="2725" h="20">
                                <a:moveTo>
                                  <a:pt x="0" y="0"/>
                                </a:moveTo>
                                <a:lnTo>
                                  <a:pt x="2725"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1" name="Freeform 542"/>
                        <wps:cNvSpPr>
                          <a:spLocks/>
                        </wps:cNvSpPr>
                        <wps:spPr bwMode="auto">
                          <a:xfrm>
                            <a:off x="610" y="4580"/>
                            <a:ext cx="4652" cy="20"/>
                          </a:xfrm>
                          <a:custGeom>
                            <a:avLst/>
                            <a:gdLst>
                              <a:gd name="T0" fmla="*/ 0 w 4652"/>
                              <a:gd name="T1" fmla="*/ 0 h 20"/>
                              <a:gd name="T2" fmla="*/ 4652 w 4652"/>
                              <a:gd name="T3" fmla="*/ 0 h 20"/>
                            </a:gdLst>
                            <a:ahLst/>
                            <a:cxnLst>
                              <a:cxn ang="0">
                                <a:pos x="T0" y="T1"/>
                              </a:cxn>
                              <a:cxn ang="0">
                                <a:pos x="T2" y="T3"/>
                              </a:cxn>
                            </a:cxnLst>
                            <a:rect l="0" t="0" r="r" b="b"/>
                            <a:pathLst>
                              <a:path w="4652" h="20">
                                <a:moveTo>
                                  <a:pt x="0" y="0"/>
                                </a:moveTo>
                                <a:lnTo>
                                  <a:pt x="4652" y="0"/>
                                </a:lnTo>
                              </a:path>
                            </a:pathLst>
                          </a:custGeom>
                          <a:noFill/>
                          <a:ln w="1597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2" name="Freeform 543"/>
                        <wps:cNvSpPr>
                          <a:spLocks/>
                        </wps:cNvSpPr>
                        <wps:spPr bwMode="auto">
                          <a:xfrm>
                            <a:off x="5233" y="4564"/>
                            <a:ext cx="597" cy="20"/>
                          </a:xfrm>
                          <a:custGeom>
                            <a:avLst/>
                            <a:gdLst>
                              <a:gd name="T0" fmla="*/ 0 w 597"/>
                              <a:gd name="T1" fmla="*/ 0 h 20"/>
                              <a:gd name="T2" fmla="*/ 597 w 597"/>
                              <a:gd name="T3" fmla="*/ 0 h 20"/>
                            </a:gdLst>
                            <a:ahLst/>
                            <a:cxnLst>
                              <a:cxn ang="0">
                                <a:pos x="T0" y="T1"/>
                              </a:cxn>
                              <a:cxn ang="0">
                                <a:pos x="T2" y="T3"/>
                              </a:cxn>
                            </a:cxnLst>
                            <a:rect l="0" t="0" r="r" b="b"/>
                            <a:pathLst>
                              <a:path w="597" h="20">
                                <a:moveTo>
                                  <a:pt x="0" y="0"/>
                                </a:moveTo>
                                <a:lnTo>
                                  <a:pt x="597" y="0"/>
                                </a:lnTo>
                              </a:path>
                            </a:pathLst>
                          </a:custGeom>
                          <a:noFill/>
                          <a:ln w="228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3" name="Freeform 544"/>
                        <wps:cNvSpPr>
                          <a:spLocks/>
                        </wps:cNvSpPr>
                        <wps:spPr bwMode="auto">
                          <a:xfrm>
                            <a:off x="5982" y="4571"/>
                            <a:ext cx="4041" cy="20"/>
                          </a:xfrm>
                          <a:custGeom>
                            <a:avLst/>
                            <a:gdLst>
                              <a:gd name="T0" fmla="*/ 0 w 4041"/>
                              <a:gd name="T1" fmla="*/ 0 h 20"/>
                              <a:gd name="T2" fmla="*/ 4041 w 4041"/>
                              <a:gd name="T3" fmla="*/ 0 h 20"/>
                            </a:gdLst>
                            <a:ahLst/>
                            <a:cxnLst>
                              <a:cxn ang="0">
                                <a:pos x="T0" y="T1"/>
                              </a:cxn>
                              <a:cxn ang="0">
                                <a:pos x="T2" y="T3"/>
                              </a:cxn>
                            </a:cxnLst>
                            <a:rect l="0" t="0" r="r" b="b"/>
                            <a:pathLst>
                              <a:path w="4041" h="20">
                                <a:moveTo>
                                  <a:pt x="0" y="0"/>
                                </a:moveTo>
                                <a:lnTo>
                                  <a:pt x="4041"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4" name="Freeform 545"/>
                        <wps:cNvSpPr>
                          <a:spLocks/>
                        </wps:cNvSpPr>
                        <wps:spPr bwMode="auto">
                          <a:xfrm>
                            <a:off x="15045" y="4427"/>
                            <a:ext cx="20" cy="446"/>
                          </a:xfrm>
                          <a:custGeom>
                            <a:avLst/>
                            <a:gdLst>
                              <a:gd name="T0" fmla="*/ 0 w 20"/>
                              <a:gd name="T1" fmla="*/ 446 h 446"/>
                              <a:gd name="T2" fmla="*/ 0 w 20"/>
                              <a:gd name="T3" fmla="*/ 0 h 446"/>
                            </a:gdLst>
                            <a:ahLst/>
                            <a:cxnLst>
                              <a:cxn ang="0">
                                <a:pos x="T0" y="T1"/>
                              </a:cxn>
                              <a:cxn ang="0">
                                <a:pos x="T2" y="T3"/>
                              </a:cxn>
                            </a:cxnLst>
                            <a:rect l="0" t="0" r="r" b="b"/>
                            <a:pathLst>
                              <a:path w="20" h="446">
                                <a:moveTo>
                                  <a:pt x="0" y="446"/>
                                </a:moveTo>
                                <a:lnTo>
                                  <a:pt x="0"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5" name="Freeform 546"/>
                        <wps:cNvSpPr>
                          <a:spLocks/>
                        </wps:cNvSpPr>
                        <wps:spPr bwMode="auto">
                          <a:xfrm>
                            <a:off x="10015" y="4858"/>
                            <a:ext cx="5069" cy="20"/>
                          </a:xfrm>
                          <a:custGeom>
                            <a:avLst/>
                            <a:gdLst>
                              <a:gd name="T0" fmla="*/ 0 w 5069"/>
                              <a:gd name="T1" fmla="*/ 0 h 20"/>
                              <a:gd name="T2" fmla="*/ 5069 w 5069"/>
                              <a:gd name="T3" fmla="*/ 0 h 20"/>
                            </a:gdLst>
                            <a:ahLst/>
                            <a:cxnLst>
                              <a:cxn ang="0">
                                <a:pos x="T0" y="T1"/>
                              </a:cxn>
                              <a:cxn ang="0">
                                <a:pos x="T2" y="T3"/>
                              </a:cxn>
                            </a:cxnLst>
                            <a:rect l="0" t="0" r="r" b="b"/>
                            <a:pathLst>
                              <a:path w="5069" h="20">
                                <a:moveTo>
                                  <a:pt x="0" y="0"/>
                                </a:moveTo>
                                <a:lnTo>
                                  <a:pt x="5069"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6" name="Freeform 547"/>
                        <wps:cNvSpPr>
                          <a:spLocks/>
                        </wps:cNvSpPr>
                        <wps:spPr bwMode="auto">
                          <a:xfrm>
                            <a:off x="554" y="4981"/>
                            <a:ext cx="338" cy="20"/>
                          </a:xfrm>
                          <a:custGeom>
                            <a:avLst/>
                            <a:gdLst>
                              <a:gd name="T0" fmla="*/ 0 w 338"/>
                              <a:gd name="T1" fmla="*/ 0 h 20"/>
                              <a:gd name="T2" fmla="*/ 338 w 338"/>
                              <a:gd name="T3" fmla="*/ 0 h 20"/>
                            </a:gdLst>
                            <a:ahLst/>
                            <a:cxnLst>
                              <a:cxn ang="0">
                                <a:pos x="T0" y="T1"/>
                              </a:cxn>
                              <a:cxn ang="0">
                                <a:pos x="T2" y="T3"/>
                              </a:cxn>
                            </a:cxnLst>
                            <a:rect l="0" t="0" r="r" b="b"/>
                            <a:pathLst>
                              <a:path w="338" h="20">
                                <a:moveTo>
                                  <a:pt x="0" y="0"/>
                                </a:moveTo>
                                <a:lnTo>
                                  <a:pt x="338"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7" name="Freeform 548"/>
                        <wps:cNvSpPr>
                          <a:spLocks/>
                        </wps:cNvSpPr>
                        <wps:spPr bwMode="auto">
                          <a:xfrm>
                            <a:off x="1545" y="4981"/>
                            <a:ext cx="5917" cy="20"/>
                          </a:xfrm>
                          <a:custGeom>
                            <a:avLst/>
                            <a:gdLst>
                              <a:gd name="T0" fmla="*/ 0 w 5917"/>
                              <a:gd name="T1" fmla="*/ 0 h 20"/>
                              <a:gd name="T2" fmla="*/ 5917 w 5917"/>
                              <a:gd name="T3" fmla="*/ 0 h 20"/>
                            </a:gdLst>
                            <a:ahLst/>
                            <a:cxnLst>
                              <a:cxn ang="0">
                                <a:pos x="T0" y="T1"/>
                              </a:cxn>
                              <a:cxn ang="0">
                                <a:pos x="T2" y="T3"/>
                              </a:cxn>
                            </a:cxnLst>
                            <a:rect l="0" t="0" r="r" b="b"/>
                            <a:pathLst>
                              <a:path w="5917" h="20">
                                <a:moveTo>
                                  <a:pt x="0" y="0"/>
                                </a:moveTo>
                                <a:lnTo>
                                  <a:pt x="5917"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8" name="Freeform 549"/>
                        <wps:cNvSpPr>
                          <a:spLocks/>
                        </wps:cNvSpPr>
                        <wps:spPr bwMode="auto">
                          <a:xfrm>
                            <a:off x="7455" y="211"/>
                            <a:ext cx="20" cy="6652"/>
                          </a:xfrm>
                          <a:custGeom>
                            <a:avLst/>
                            <a:gdLst>
                              <a:gd name="T0" fmla="*/ 0 w 20"/>
                              <a:gd name="T1" fmla="*/ 6652 h 6652"/>
                              <a:gd name="T2" fmla="*/ 0 w 20"/>
                              <a:gd name="T3" fmla="*/ 0 h 6652"/>
                            </a:gdLst>
                            <a:ahLst/>
                            <a:cxnLst>
                              <a:cxn ang="0">
                                <a:pos x="T0" y="T1"/>
                              </a:cxn>
                              <a:cxn ang="0">
                                <a:pos x="T2" y="T3"/>
                              </a:cxn>
                            </a:cxnLst>
                            <a:rect l="0" t="0" r="r" b="b"/>
                            <a:pathLst>
                              <a:path w="20" h="6652">
                                <a:moveTo>
                                  <a:pt x="0" y="6652"/>
                                </a:moveTo>
                                <a:lnTo>
                                  <a:pt x="0" y="0"/>
                                </a:lnTo>
                              </a:path>
                            </a:pathLst>
                          </a:custGeom>
                          <a:noFill/>
                          <a:ln w="91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9" name="Freeform 550"/>
                        <wps:cNvSpPr>
                          <a:spLocks/>
                        </wps:cNvSpPr>
                        <wps:spPr bwMode="auto">
                          <a:xfrm>
                            <a:off x="10724" y="2701"/>
                            <a:ext cx="20" cy="3544"/>
                          </a:xfrm>
                          <a:custGeom>
                            <a:avLst/>
                            <a:gdLst>
                              <a:gd name="T0" fmla="*/ 0 w 20"/>
                              <a:gd name="T1" fmla="*/ 3544 h 3544"/>
                              <a:gd name="T2" fmla="*/ 0 w 20"/>
                              <a:gd name="T3" fmla="*/ 0 h 3544"/>
                            </a:gdLst>
                            <a:ahLst/>
                            <a:cxnLst>
                              <a:cxn ang="0">
                                <a:pos x="T0" y="T1"/>
                              </a:cxn>
                              <a:cxn ang="0">
                                <a:pos x="T2" y="T3"/>
                              </a:cxn>
                            </a:cxnLst>
                            <a:rect l="0" t="0" r="r" b="b"/>
                            <a:pathLst>
                              <a:path w="20" h="3544">
                                <a:moveTo>
                                  <a:pt x="0" y="3544"/>
                                </a:moveTo>
                                <a:lnTo>
                                  <a:pt x="0" y="0"/>
                                </a:lnTo>
                              </a:path>
                            </a:pathLst>
                          </a:custGeom>
                          <a:noFill/>
                          <a:ln w="91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0" name="Freeform 551"/>
                        <wps:cNvSpPr>
                          <a:spLocks/>
                        </wps:cNvSpPr>
                        <wps:spPr bwMode="auto">
                          <a:xfrm>
                            <a:off x="13254" y="2697"/>
                            <a:ext cx="20" cy="3541"/>
                          </a:xfrm>
                          <a:custGeom>
                            <a:avLst/>
                            <a:gdLst>
                              <a:gd name="T0" fmla="*/ 0 w 20"/>
                              <a:gd name="T1" fmla="*/ 3541 h 3541"/>
                              <a:gd name="T2" fmla="*/ 0 w 20"/>
                              <a:gd name="T3" fmla="*/ 0 h 3541"/>
                            </a:gdLst>
                            <a:ahLst/>
                            <a:cxnLst>
                              <a:cxn ang="0">
                                <a:pos x="T0" y="T1"/>
                              </a:cxn>
                              <a:cxn ang="0">
                                <a:pos x="T2" y="T3"/>
                              </a:cxn>
                            </a:cxnLst>
                            <a:rect l="0" t="0" r="r" b="b"/>
                            <a:pathLst>
                              <a:path w="20" h="3541">
                                <a:moveTo>
                                  <a:pt x="0" y="3541"/>
                                </a:moveTo>
                                <a:lnTo>
                                  <a:pt x="0" y="0"/>
                                </a:lnTo>
                              </a:path>
                            </a:pathLst>
                          </a:custGeom>
                          <a:noFill/>
                          <a:ln w="91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1" name="Freeform 552"/>
                        <wps:cNvSpPr>
                          <a:spLocks/>
                        </wps:cNvSpPr>
                        <wps:spPr bwMode="auto">
                          <a:xfrm>
                            <a:off x="15038" y="4830"/>
                            <a:ext cx="20" cy="1429"/>
                          </a:xfrm>
                          <a:custGeom>
                            <a:avLst/>
                            <a:gdLst>
                              <a:gd name="T0" fmla="*/ 0 w 20"/>
                              <a:gd name="T1" fmla="*/ 1428 h 1429"/>
                              <a:gd name="T2" fmla="*/ 0 w 20"/>
                              <a:gd name="T3" fmla="*/ 0 h 1429"/>
                            </a:gdLst>
                            <a:ahLst/>
                            <a:cxnLst>
                              <a:cxn ang="0">
                                <a:pos x="T0" y="T1"/>
                              </a:cxn>
                              <a:cxn ang="0">
                                <a:pos x="T2" y="T3"/>
                              </a:cxn>
                            </a:cxnLst>
                            <a:rect l="0" t="0" r="r" b="b"/>
                            <a:pathLst>
                              <a:path w="20" h="1429">
                                <a:moveTo>
                                  <a:pt x="0" y="1428"/>
                                </a:moveTo>
                                <a:lnTo>
                                  <a:pt x="0"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2" name="Freeform 553"/>
                        <wps:cNvSpPr>
                          <a:spLocks/>
                        </wps:cNvSpPr>
                        <wps:spPr bwMode="auto">
                          <a:xfrm>
                            <a:off x="5237" y="462"/>
                            <a:ext cx="20" cy="6422"/>
                          </a:xfrm>
                          <a:custGeom>
                            <a:avLst/>
                            <a:gdLst>
                              <a:gd name="T0" fmla="*/ 0 w 20"/>
                              <a:gd name="T1" fmla="*/ 6422 h 6422"/>
                              <a:gd name="T2" fmla="*/ 0 w 20"/>
                              <a:gd name="T3" fmla="*/ 0 h 6422"/>
                            </a:gdLst>
                            <a:ahLst/>
                            <a:cxnLst>
                              <a:cxn ang="0">
                                <a:pos x="T0" y="T1"/>
                              </a:cxn>
                              <a:cxn ang="0">
                                <a:pos x="T2" y="T3"/>
                              </a:cxn>
                            </a:cxnLst>
                            <a:rect l="0" t="0" r="r" b="b"/>
                            <a:pathLst>
                              <a:path w="20" h="6422">
                                <a:moveTo>
                                  <a:pt x="0" y="6422"/>
                                </a:moveTo>
                                <a:lnTo>
                                  <a:pt x="0" y="0"/>
                                </a:lnTo>
                              </a:path>
                            </a:pathLst>
                          </a:custGeom>
                          <a:noFill/>
                          <a:ln w="91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3" name="Freeform 554"/>
                        <wps:cNvSpPr>
                          <a:spLocks/>
                        </wps:cNvSpPr>
                        <wps:spPr bwMode="auto">
                          <a:xfrm>
                            <a:off x="15078" y="4981"/>
                            <a:ext cx="20" cy="308"/>
                          </a:xfrm>
                          <a:custGeom>
                            <a:avLst/>
                            <a:gdLst>
                              <a:gd name="T0" fmla="*/ 0 w 20"/>
                              <a:gd name="T1" fmla="*/ 308 h 308"/>
                              <a:gd name="T2" fmla="*/ 0 w 20"/>
                              <a:gd name="T3" fmla="*/ 0 h 308"/>
                            </a:gdLst>
                            <a:ahLst/>
                            <a:cxnLst>
                              <a:cxn ang="0">
                                <a:pos x="T0" y="T1"/>
                              </a:cxn>
                              <a:cxn ang="0">
                                <a:pos x="T2" y="T3"/>
                              </a:cxn>
                            </a:cxnLst>
                            <a:rect l="0" t="0" r="r" b="b"/>
                            <a:pathLst>
                              <a:path w="20" h="308">
                                <a:moveTo>
                                  <a:pt x="0" y="308"/>
                                </a:moveTo>
                                <a:lnTo>
                                  <a:pt x="0"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4" name="Freeform 555"/>
                        <wps:cNvSpPr>
                          <a:spLocks/>
                        </wps:cNvSpPr>
                        <wps:spPr bwMode="auto">
                          <a:xfrm>
                            <a:off x="554" y="5361"/>
                            <a:ext cx="4709" cy="20"/>
                          </a:xfrm>
                          <a:custGeom>
                            <a:avLst/>
                            <a:gdLst>
                              <a:gd name="T0" fmla="*/ 0 w 4709"/>
                              <a:gd name="T1" fmla="*/ 0 h 20"/>
                              <a:gd name="T2" fmla="*/ 4709 w 4709"/>
                              <a:gd name="T3" fmla="*/ 0 h 20"/>
                            </a:gdLst>
                            <a:ahLst/>
                            <a:cxnLst>
                              <a:cxn ang="0">
                                <a:pos x="T0" y="T1"/>
                              </a:cxn>
                              <a:cxn ang="0">
                                <a:pos x="T2" y="T3"/>
                              </a:cxn>
                            </a:cxnLst>
                            <a:rect l="0" t="0" r="r" b="b"/>
                            <a:pathLst>
                              <a:path w="4709" h="20">
                                <a:moveTo>
                                  <a:pt x="0" y="0"/>
                                </a:moveTo>
                                <a:lnTo>
                                  <a:pt x="4709"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5" name="Freeform 556"/>
                        <wps:cNvSpPr>
                          <a:spLocks/>
                        </wps:cNvSpPr>
                        <wps:spPr bwMode="auto">
                          <a:xfrm>
                            <a:off x="5227" y="5361"/>
                            <a:ext cx="1791" cy="20"/>
                          </a:xfrm>
                          <a:custGeom>
                            <a:avLst/>
                            <a:gdLst>
                              <a:gd name="T0" fmla="*/ 0 w 1791"/>
                              <a:gd name="T1" fmla="*/ 0 h 20"/>
                              <a:gd name="T2" fmla="*/ 1791 w 1791"/>
                              <a:gd name="T3" fmla="*/ 0 h 20"/>
                            </a:gdLst>
                            <a:ahLst/>
                            <a:cxnLst>
                              <a:cxn ang="0">
                                <a:pos x="T0" y="T1"/>
                              </a:cxn>
                              <a:cxn ang="0">
                                <a:pos x="T2" y="T3"/>
                              </a:cxn>
                            </a:cxnLst>
                            <a:rect l="0" t="0" r="r" b="b"/>
                            <a:pathLst>
                              <a:path w="1791" h="20">
                                <a:moveTo>
                                  <a:pt x="0" y="0"/>
                                </a:moveTo>
                                <a:lnTo>
                                  <a:pt x="1791" y="0"/>
                                </a:lnTo>
                              </a:path>
                            </a:pathLst>
                          </a:custGeom>
                          <a:noFill/>
                          <a:ln w="182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6" name="Freeform 557"/>
                        <wps:cNvSpPr>
                          <a:spLocks/>
                        </wps:cNvSpPr>
                        <wps:spPr bwMode="auto">
                          <a:xfrm>
                            <a:off x="7449" y="5361"/>
                            <a:ext cx="3947" cy="20"/>
                          </a:xfrm>
                          <a:custGeom>
                            <a:avLst/>
                            <a:gdLst>
                              <a:gd name="T0" fmla="*/ 0 w 3947"/>
                              <a:gd name="T1" fmla="*/ 0 h 20"/>
                              <a:gd name="T2" fmla="*/ 3947 w 3947"/>
                              <a:gd name="T3" fmla="*/ 0 h 20"/>
                            </a:gdLst>
                            <a:ahLst/>
                            <a:cxnLst>
                              <a:cxn ang="0">
                                <a:pos x="T0" y="T1"/>
                              </a:cxn>
                              <a:cxn ang="0">
                                <a:pos x="T2" y="T3"/>
                              </a:cxn>
                            </a:cxnLst>
                            <a:rect l="0" t="0" r="r" b="b"/>
                            <a:pathLst>
                              <a:path w="3947" h="20">
                                <a:moveTo>
                                  <a:pt x="0" y="0"/>
                                </a:moveTo>
                                <a:lnTo>
                                  <a:pt x="3947"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7" name="Freeform 558"/>
                        <wps:cNvSpPr>
                          <a:spLocks/>
                        </wps:cNvSpPr>
                        <wps:spPr bwMode="auto">
                          <a:xfrm>
                            <a:off x="12734" y="5541"/>
                            <a:ext cx="2351" cy="20"/>
                          </a:xfrm>
                          <a:custGeom>
                            <a:avLst/>
                            <a:gdLst>
                              <a:gd name="T0" fmla="*/ 0 w 2351"/>
                              <a:gd name="T1" fmla="*/ 0 h 20"/>
                              <a:gd name="T2" fmla="*/ 2351 w 2351"/>
                              <a:gd name="T3" fmla="*/ 0 h 20"/>
                            </a:gdLst>
                            <a:ahLst/>
                            <a:cxnLst>
                              <a:cxn ang="0">
                                <a:pos x="T0" y="T1"/>
                              </a:cxn>
                              <a:cxn ang="0">
                                <a:pos x="T2" y="T3"/>
                              </a:cxn>
                            </a:cxnLst>
                            <a:rect l="0" t="0" r="r" b="b"/>
                            <a:pathLst>
                              <a:path w="2351" h="20">
                                <a:moveTo>
                                  <a:pt x="0" y="0"/>
                                </a:moveTo>
                                <a:lnTo>
                                  <a:pt x="2351"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8" name="Freeform 559"/>
                        <wps:cNvSpPr>
                          <a:spLocks/>
                        </wps:cNvSpPr>
                        <wps:spPr bwMode="auto">
                          <a:xfrm>
                            <a:off x="15078" y="5361"/>
                            <a:ext cx="20" cy="798"/>
                          </a:xfrm>
                          <a:custGeom>
                            <a:avLst/>
                            <a:gdLst>
                              <a:gd name="T0" fmla="*/ 0 w 20"/>
                              <a:gd name="T1" fmla="*/ 798 h 798"/>
                              <a:gd name="T2" fmla="*/ 0 w 20"/>
                              <a:gd name="T3" fmla="*/ 0 h 798"/>
                            </a:gdLst>
                            <a:ahLst/>
                            <a:cxnLst>
                              <a:cxn ang="0">
                                <a:pos x="T0" y="T1"/>
                              </a:cxn>
                              <a:cxn ang="0">
                                <a:pos x="T2" y="T3"/>
                              </a:cxn>
                            </a:cxnLst>
                            <a:rect l="0" t="0" r="r" b="b"/>
                            <a:pathLst>
                              <a:path w="20" h="798">
                                <a:moveTo>
                                  <a:pt x="0" y="798"/>
                                </a:moveTo>
                                <a:lnTo>
                                  <a:pt x="0"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9" name="Freeform 560"/>
                        <wps:cNvSpPr>
                          <a:spLocks/>
                        </wps:cNvSpPr>
                        <wps:spPr bwMode="auto">
                          <a:xfrm>
                            <a:off x="10015" y="5541"/>
                            <a:ext cx="20" cy="603"/>
                          </a:xfrm>
                          <a:custGeom>
                            <a:avLst/>
                            <a:gdLst>
                              <a:gd name="T0" fmla="*/ 0 w 20"/>
                              <a:gd name="T1" fmla="*/ 603 h 603"/>
                              <a:gd name="T2" fmla="*/ 0 w 20"/>
                              <a:gd name="T3" fmla="*/ 0 h 603"/>
                            </a:gdLst>
                            <a:ahLst/>
                            <a:cxnLst>
                              <a:cxn ang="0">
                                <a:pos x="T0" y="T1"/>
                              </a:cxn>
                              <a:cxn ang="0">
                                <a:pos x="T2" y="T3"/>
                              </a:cxn>
                            </a:cxnLst>
                            <a:rect l="0" t="0" r="r" b="b"/>
                            <a:pathLst>
                              <a:path w="20" h="603">
                                <a:moveTo>
                                  <a:pt x="0" y="603"/>
                                </a:moveTo>
                                <a:lnTo>
                                  <a:pt x="0"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0" name="Freeform 561"/>
                        <wps:cNvSpPr>
                          <a:spLocks/>
                        </wps:cNvSpPr>
                        <wps:spPr bwMode="auto">
                          <a:xfrm>
                            <a:off x="12734" y="5692"/>
                            <a:ext cx="20" cy="452"/>
                          </a:xfrm>
                          <a:custGeom>
                            <a:avLst/>
                            <a:gdLst>
                              <a:gd name="T0" fmla="*/ 0 w 20"/>
                              <a:gd name="T1" fmla="*/ 451 h 452"/>
                              <a:gd name="T2" fmla="*/ 0 w 20"/>
                              <a:gd name="T3" fmla="*/ 0 h 452"/>
                            </a:gdLst>
                            <a:ahLst/>
                            <a:cxnLst>
                              <a:cxn ang="0">
                                <a:pos x="T0" y="T1"/>
                              </a:cxn>
                              <a:cxn ang="0">
                                <a:pos x="T2" y="T3"/>
                              </a:cxn>
                            </a:cxnLst>
                            <a:rect l="0" t="0" r="r" b="b"/>
                            <a:pathLst>
                              <a:path w="20" h="452">
                                <a:moveTo>
                                  <a:pt x="0" y="451"/>
                                </a:moveTo>
                                <a:lnTo>
                                  <a:pt x="0"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1" name="Freeform 562"/>
                        <wps:cNvSpPr>
                          <a:spLocks/>
                        </wps:cNvSpPr>
                        <wps:spPr bwMode="auto">
                          <a:xfrm>
                            <a:off x="4832" y="5986"/>
                            <a:ext cx="2631" cy="20"/>
                          </a:xfrm>
                          <a:custGeom>
                            <a:avLst/>
                            <a:gdLst>
                              <a:gd name="T0" fmla="*/ 0 w 2631"/>
                              <a:gd name="T1" fmla="*/ 0 h 20"/>
                              <a:gd name="T2" fmla="*/ 2631 w 2631"/>
                              <a:gd name="T3" fmla="*/ 0 h 20"/>
                            </a:gdLst>
                            <a:ahLst/>
                            <a:cxnLst>
                              <a:cxn ang="0">
                                <a:pos x="T0" y="T1"/>
                              </a:cxn>
                              <a:cxn ang="0">
                                <a:pos x="T2" y="T3"/>
                              </a:cxn>
                            </a:cxnLst>
                            <a:rect l="0" t="0" r="r" b="b"/>
                            <a:pathLst>
                              <a:path w="2631" h="20">
                                <a:moveTo>
                                  <a:pt x="0" y="0"/>
                                </a:moveTo>
                                <a:lnTo>
                                  <a:pt x="2631" y="0"/>
                                </a:lnTo>
                              </a:path>
                            </a:pathLst>
                          </a:custGeom>
                          <a:noFill/>
                          <a:ln w="91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2" name="Freeform 563"/>
                        <wps:cNvSpPr>
                          <a:spLocks/>
                        </wps:cNvSpPr>
                        <wps:spPr bwMode="auto">
                          <a:xfrm>
                            <a:off x="610" y="6159"/>
                            <a:ext cx="4156" cy="20"/>
                          </a:xfrm>
                          <a:custGeom>
                            <a:avLst/>
                            <a:gdLst>
                              <a:gd name="T0" fmla="*/ 0 w 4156"/>
                              <a:gd name="T1" fmla="*/ 0 h 20"/>
                              <a:gd name="T2" fmla="*/ 4156 w 4156"/>
                              <a:gd name="T3" fmla="*/ 0 h 20"/>
                            </a:gdLst>
                            <a:ahLst/>
                            <a:cxnLst>
                              <a:cxn ang="0">
                                <a:pos x="T0" y="T1"/>
                              </a:cxn>
                              <a:cxn ang="0">
                                <a:pos x="T2" y="T3"/>
                              </a:cxn>
                            </a:cxnLst>
                            <a:rect l="0" t="0" r="r" b="b"/>
                            <a:pathLst>
                              <a:path w="4156" h="20">
                                <a:moveTo>
                                  <a:pt x="0" y="0"/>
                                </a:moveTo>
                                <a:lnTo>
                                  <a:pt x="4156" y="0"/>
                                </a:lnTo>
                              </a:path>
                            </a:pathLst>
                          </a:custGeom>
                          <a:noFill/>
                          <a:ln w="91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3" name="Freeform 564"/>
                        <wps:cNvSpPr>
                          <a:spLocks/>
                        </wps:cNvSpPr>
                        <wps:spPr bwMode="auto">
                          <a:xfrm>
                            <a:off x="12734" y="6144"/>
                            <a:ext cx="1136" cy="20"/>
                          </a:xfrm>
                          <a:custGeom>
                            <a:avLst/>
                            <a:gdLst>
                              <a:gd name="T0" fmla="*/ 0 w 1136"/>
                              <a:gd name="T1" fmla="*/ 0 h 20"/>
                              <a:gd name="T2" fmla="*/ 1136 w 1136"/>
                              <a:gd name="T3" fmla="*/ 0 h 20"/>
                            </a:gdLst>
                            <a:ahLst/>
                            <a:cxnLst>
                              <a:cxn ang="0">
                                <a:pos x="T0" y="T1"/>
                              </a:cxn>
                              <a:cxn ang="0">
                                <a:pos x="T2" y="T3"/>
                              </a:cxn>
                            </a:cxnLst>
                            <a:rect l="0" t="0" r="r" b="b"/>
                            <a:pathLst>
                              <a:path w="1136" h="20">
                                <a:moveTo>
                                  <a:pt x="0" y="0"/>
                                </a:moveTo>
                                <a:lnTo>
                                  <a:pt x="1136"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4" name="Freeform 565"/>
                        <wps:cNvSpPr>
                          <a:spLocks/>
                        </wps:cNvSpPr>
                        <wps:spPr bwMode="auto">
                          <a:xfrm>
                            <a:off x="13869" y="6144"/>
                            <a:ext cx="1215" cy="20"/>
                          </a:xfrm>
                          <a:custGeom>
                            <a:avLst/>
                            <a:gdLst>
                              <a:gd name="T0" fmla="*/ 0 w 1215"/>
                              <a:gd name="T1" fmla="*/ 0 h 20"/>
                              <a:gd name="T2" fmla="*/ 1215 w 1215"/>
                              <a:gd name="T3" fmla="*/ 0 h 20"/>
                            </a:gdLst>
                            <a:ahLst/>
                            <a:cxnLst>
                              <a:cxn ang="0">
                                <a:pos x="T0" y="T1"/>
                              </a:cxn>
                              <a:cxn ang="0">
                                <a:pos x="T2" y="T3"/>
                              </a:cxn>
                            </a:cxnLst>
                            <a:rect l="0" t="0" r="r" b="b"/>
                            <a:pathLst>
                              <a:path w="1215" h="20">
                                <a:moveTo>
                                  <a:pt x="0" y="0"/>
                                </a:moveTo>
                                <a:lnTo>
                                  <a:pt x="1215" y="0"/>
                                </a:lnTo>
                              </a:path>
                            </a:pathLst>
                          </a:custGeom>
                          <a:noFill/>
                          <a:ln w="1370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5" name="Freeform 566"/>
                        <wps:cNvSpPr>
                          <a:spLocks/>
                        </wps:cNvSpPr>
                        <wps:spPr bwMode="auto">
                          <a:xfrm>
                            <a:off x="7790" y="6532"/>
                            <a:ext cx="20" cy="783"/>
                          </a:xfrm>
                          <a:custGeom>
                            <a:avLst/>
                            <a:gdLst>
                              <a:gd name="T0" fmla="*/ 0 w 20"/>
                              <a:gd name="T1" fmla="*/ 783 h 783"/>
                              <a:gd name="T2" fmla="*/ 0 w 20"/>
                              <a:gd name="T3" fmla="*/ 0 h 783"/>
                            </a:gdLst>
                            <a:ahLst/>
                            <a:cxnLst>
                              <a:cxn ang="0">
                                <a:pos x="T0" y="T1"/>
                              </a:cxn>
                              <a:cxn ang="0">
                                <a:pos x="T2" y="T3"/>
                              </a:cxn>
                            </a:cxnLst>
                            <a:rect l="0" t="0" r="r" b="b"/>
                            <a:pathLst>
                              <a:path w="20" h="783">
                                <a:moveTo>
                                  <a:pt x="0" y="783"/>
                                </a:moveTo>
                                <a:lnTo>
                                  <a:pt x="0" y="0"/>
                                </a:lnTo>
                              </a:path>
                            </a:pathLst>
                          </a:custGeom>
                          <a:noFill/>
                          <a:ln w="182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6" name="Freeform 567"/>
                        <wps:cNvSpPr>
                          <a:spLocks/>
                        </wps:cNvSpPr>
                        <wps:spPr bwMode="auto">
                          <a:xfrm>
                            <a:off x="7772" y="6683"/>
                            <a:ext cx="1927" cy="20"/>
                          </a:xfrm>
                          <a:custGeom>
                            <a:avLst/>
                            <a:gdLst>
                              <a:gd name="T0" fmla="*/ 0 w 1927"/>
                              <a:gd name="T1" fmla="*/ 0 h 20"/>
                              <a:gd name="T2" fmla="*/ 1927 w 1927"/>
                              <a:gd name="T3" fmla="*/ 0 h 20"/>
                            </a:gdLst>
                            <a:ahLst/>
                            <a:cxnLst>
                              <a:cxn ang="0">
                                <a:pos x="T0" y="T1"/>
                              </a:cxn>
                              <a:cxn ang="0">
                                <a:pos x="T2" y="T3"/>
                              </a:cxn>
                            </a:cxnLst>
                            <a:rect l="0" t="0" r="r" b="b"/>
                            <a:pathLst>
                              <a:path w="1927" h="20">
                                <a:moveTo>
                                  <a:pt x="0" y="0"/>
                                </a:moveTo>
                                <a:lnTo>
                                  <a:pt x="1927" y="0"/>
                                </a:lnTo>
                              </a:path>
                            </a:pathLst>
                          </a:custGeom>
                          <a:noFill/>
                          <a:ln w="182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7" name="Freeform 568"/>
                        <wps:cNvSpPr>
                          <a:spLocks/>
                        </wps:cNvSpPr>
                        <wps:spPr bwMode="auto">
                          <a:xfrm>
                            <a:off x="10015" y="6690"/>
                            <a:ext cx="187" cy="20"/>
                          </a:xfrm>
                          <a:custGeom>
                            <a:avLst/>
                            <a:gdLst>
                              <a:gd name="T0" fmla="*/ 0 w 187"/>
                              <a:gd name="T1" fmla="*/ 0 h 20"/>
                              <a:gd name="T2" fmla="*/ 187 w 187"/>
                              <a:gd name="T3" fmla="*/ 0 h 20"/>
                            </a:gdLst>
                            <a:ahLst/>
                            <a:cxnLst>
                              <a:cxn ang="0">
                                <a:pos x="T0" y="T1"/>
                              </a:cxn>
                              <a:cxn ang="0">
                                <a:pos x="T2" y="T3"/>
                              </a:cxn>
                            </a:cxnLst>
                            <a:rect l="0" t="0" r="r" b="b"/>
                            <a:pathLst>
                              <a:path w="187" h="20">
                                <a:moveTo>
                                  <a:pt x="0" y="0"/>
                                </a:moveTo>
                                <a:lnTo>
                                  <a:pt x="187" y="0"/>
                                </a:lnTo>
                              </a:path>
                            </a:pathLst>
                          </a:custGeom>
                          <a:noFill/>
                          <a:ln w="1370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8" name="Freeform 569"/>
                        <wps:cNvSpPr>
                          <a:spLocks/>
                        </wps:cNvSpPr>
                        <wps:spPr bwMode="auto">
                          <a:xfrm>
                            <a:off x="10202" y="6690"/>
                            <a:ext cx="503" cy="20"/>
                          </a:xfrm>
                          <a:custGeom>
                            <a:avLst/>
                            <a:gdLst>
                              <a:gd name="T0" fmla="*/ 0 w 503"/>
                              <a:gd name="T1" fmla="*/ 0 h 20"/>
                              <a:gd name="T2" fmla="*/ 503 w 503"/>
                              <a:gd name="T3" fmla="*/ 0 h 20"/>
                            </a:gdLst>
                            <a:ahLst/>
                            <a:cxnLst>
                              <a:cxn ang="0">
                                <a:pos x="T0" y="T1"/>
                              </a:cxn>
                              <a:cxn ang="0">
                                <a:pos x="T2" y="T3"/>
                              </a:cxn>
                            </a:cxnLst>
                            <a:rect l="0" t="0" r="r" b="b"/>
                            <a:pathLst>
                              <a:path w="503" h="20">
                                <a:moveTo>
                                  <a:pt x="0" y="0"/>
                                </a:moveTo>
                                <a:lnTo>
                                  <a:pt x="503"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9" name="Freeform 570"/>
                        <wps:cNvSpPr>
                          <a:spLocks/>
                        </wps:cNvSpPr>
                        <wps:spPr bwMode="auto">
                          <a:xfrm>
                            <a:off x="10677" y="6683"/>
                            <a:ext cx="1841" cy="20"/>
                          </a:xfrm>
                          <a:custGeom>
                            <a:avLst/>
                            <a:gdLst>
                              <a:gd name="T0" fmla="*/ 0 w 1841"/>
                              <a:gd name="T1" fmla="*/ 0 h 20"/>
                              <a:gd name="T2" fmla="*/ 1841 w 1841"/>
                              <a:gd name="T3" fmla="*/ 0 h 20"/>
                            </a:gdLst>
                            <a:ahLst/>
                            <a:cxnLst>
                              <a:cxn ang="0">
                                <a:pos x="T0" y="T1"/>
                              </a:cxn>
                              <a:cxn ang="0">
                                <a:pos x="T2" y="T3"/>
                              </a:cxn>
                            </a:cxnLst>
                            <a:rect l="0" t="0" r="r" b="b"/>
                            <a:pathLst>
                              <a:path w="1841" h="20">
                                <a:moveTo>
                                  <a:pt x="0" y="0"/>
                                </a:moveTo>
                                <a:lnTo>
                                  <a:pt x="1841" y="0"/>
                                </a:lnTo>
                              </a:path>
                            </a:pathLst>
                          </a:custGeom>
                          <a:noFill/>
                          <a:ln w="2282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0" name="Freeform 571"/>
                        <wps:cNvSpPr>
                          <a:spLocks/>
                        </wps:cNvSpPr>
                        <wps:spPr bwMode="auto">
                          <a:xfrm>
                            <a:off x="12734" y="6561"/>
                            <a:ext cx="20" cy="618"/>
                          </a:xfrm>
                          <a:custGeom>
                            <a:avLst/>
                            <a:gdLst>
                              <a:gd name="T0" fmla="*/ 0 w 20"/>
                              <a:gd name="T1" fmla="*/ 618 h 618"/>
                              <a:gd name="T2" fmla="*/ 0 w 20"/>
                              <a:gd name="T3" fmla="*/ 0 h 618"/>
                            </a:gdLst>
                            <a:ahLst/>
                            <a:cxnLst>
                              <a:cxn ang="0">
                                <a:pos x="T0" y="T1"/>
                              </a:cxn>
                              <a:cxn ang="0">
                                <a:pos x="T2" y="T3"/>
                              </a:cxn>
                            </a:cxnLst>
                            <a:rect l="0" t="0" r="r" b="b"/>
                            <a:pathLst>
                              <a:path w="20" h="618">
                                <a:moveTo>
                                  <a:pt x="0" y="618"/>
                                </a:moveTo>
                                <a:lnTo>
                                  <a:pt x="0"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1" name="Freeform 572"/>
                        <wps:cNvSpPr>
                          <a:spLocks/>
                        </wps:cNvSpPr>
                        <wps:spPr bwMode="auto">
                          <a:xfrm>
                            <a:off x="554" y="6827"/>
                            <a:ext cx="2401" cy="20"/>
                          </a:xfrm>
                          <a:custGeom>
                            <a:avLst/>
                            <a:gdLst>
                              <a:gd name="T0" fmla="*/ 0 w 2401"/>
                              <a:gd name="T1" fmla="*/ 0 h 20"/>
                              <a:gd name="T2" fmla="*/ 2401 w 2401"/>
                              <a:gd name="T3" fmla="*/ 0 h 20"/>
                            </a:gdLst>
                            <a:ahLst/>
                            <a:cxnLst>
                              <a:cxn ang="0">
                                <a:pos x="T0" y="T1"/>
                              </a:cxn>
                              <a:cxn ang="0">
                                <a:pos x="T2" y="T3"/>
                              </a:cxn>
                            </a:cxnLst>
                            <a:rect l="0" t="0" r="r" b="b"/>
                            <a:pathLst>
                              <a:path w="2401" h="20">
                                <a:moveTo>
                                  <a:pt x="0" y="0"/>
                                </a:moveTo>
                                <a:lnTo>
                                  <a:pt x="2401"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2" name="Freeform 573"/>
                        <wps:cNvSpPr>
                          <a:spLocks/>
                        </wps:cNvSpPr>
                        <wps:spPr bwMode="auto">
                          <a:xfrm>
                            <a:off x="4773" y="6827"/>
                            <a:ext cx="489" cy="20"/>
                          </a:xfrm>
                          <a:custGeom>
                            <a:avLst/>
                            <a:gdLst>
                              <a:gd name="T0" fmla="*/ 0 w 489"/>
                              <a:gd name="T1" fmla="*/ 0 h 20"/>
                              <a:gd name="T2" fmla="*/ 489 w 489"/>
                              <a:gd name="T3" fmla="*/ 0 h 20"/>
                            </a:gdLst>
                            <a:ahLst/>
                            <a:cxnLst>
                              <a:cxn ang="0">
                                <a:pos x="T0" y="T1"/>
                              </a:cxn>
                              <a:cxn ang="0">
                                <a:pos x="T2" y="T3"/>
                              </a:cxn>
                            </a:cxnLst>
                            <a:rect l="0" t="0" r="r" b="b"/>
                            <a:pathLst>
                              <a:path w="489" h="20">
                                <a:moveTo>
                                  <a:pt x="0" y="0"/>
                                </a:moveTo>
                                <a:lnTo>
                                  <a:pt x="489"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3" name="Freeform 574"/>
                        <wps:cNvSpPr>
                          <a:spLocks/>
                        </wps:cNvSpPr>
                        <wps:spPr bwMode="auto">
                          <a:xfrm>
                            <a:off x="5233" y="6809"/>
                            <a:ext cx="727" cy="20"/>
                          </a:xfrm>
                          <a:custGeom>
                            <a:avLst/>
                            <a:gdLst>
                              <a:gd name="T0" fmla="*/ 0 w 727"/>
                              <a:gd name="T1" fmla="*/ 0 h 20"/>
                              <a:gd name="T2" fmla="*/ 727 w 727"/>
                              <a:gd name="T3" fmla="*/ 0 h 20"/>
                            </a:gdLst>
                            <a:ahLst/>
                            <a:cxnLst>
                              <a:cxn ang="0">
                                <a:pos x="T0" y="T1"/>
                              </a:cxn>
                              <a:cxn ang="0">
                                <a:pos x="T2" y="T3"/>
                              </a:cxn>
                            </a:cxnLst>
                            <a:rect l="0" t="0" r="r" b="b"/>
                            <a:pathLst>
                              <a:path w="727" h="20">
                                <a:moveTo>
                                  <a:pt x="0" y="0"/>
                                </a:moveTo>
                                <a:lnTo>
                                  <a:pt x="727" y="0"/>
                                </a:lnTo>
                              </a:path>
                            </a:pathLst>
                          </a:custGeom>
                          <a:noFill/>
                          <a:ln w="1370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4" name="Freeform 575"/>
                        <wps:cNvSpPr>
                          <a:spLocks/>
                        </wps:cNvSpPr>
                        <wps:spPr bwMode="auto">
                          <a:xfrm>
                            <a:off x="6270" y="6859"/>
                            <a:ext cx="1201" cy="20"/>
                          </a:xfrm>
                          <a:custGeom>
                            <a:avLst/>
                            <a:gdLst>
                              <a:gd name="T0" fmla="*/ 0 w 1201"/>
                              <a:gd name="T1" fmla="*/ 0 h 20"/>
                              <a:gd name="T2" fmla="*/ 1201 w 1201"/>
                              <a:gd name="T3" fmla="*/ 0 h 20"/>
                            </a:gdLst>
                            <a:ahLst/>
                            <a:cxnLst>
                              <a:cxn ang="0">
                                <a:pos x="T0" y="T1"/>
                              </a:cxn>
                              <a:cxn ang="0">
                                <a:pos x="T2" y="T3"/>
                              </a:cxn>
                            </a:cxnLst>
                            <a:rect l="0" t="0" r="r" b="b"/>
                            <a:pathLst>
                              <a:path w="1201" h="20">
                                <a:moveTo>
                                  <a:pt x="0" y="0"/>
                                </a:moveTo>
                                <a:lnTo>
                                  <a:pt x="1201"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5" name="Freeform 576"/>
                        <wps:cNvSpPr>
                          <a:spLocks/>
                        </wps:cNvSpPr>
                        <wps:spPr bwMode="auto">
                          <a:xfrm>
                            <a:off x="7772" y="6942"/>
                            <a:ext cx="582" cy="20"/>
                          </a:xfrm>
                          <a:custGeom>
                            <a:avLst/>
                            <a:gdLst>
                              <a:gd name="T0" fmla="*/ 0 w 582"/>
                              <a:gd name="T1" fmla="*/ 0 h 20"/>
                              <a:gd name="T2" fmla="*/ 582 w 582"/>
                              <a:gd name="T3" fmla="*/ 0 h 20"/>
                            </a:gdLst>
                            <a:ahLst/>
                            <a:cxnLst>
                              <a:cxn ang="0">
                                <a:pos x="T0" y="T1"/>
                              </a:cxn>
                              <a:cxn ang="0">
                                <a:pos x="T2" y="T3"/>
                              </a:cxn>
                            </a:cxnLst>
                            <a:rect l="0" t="0" r="r" b="b"/>
                            <a:pathLst>
                              <a:path w="582" h="20">
                                <a:moveTo>
                                  <a:pt x="0" y="0"/>
                                </a:moveTo>
                                <a:lnTo>
                                  <a:pt x="582"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6" name="Freeform 577"/>
                        <wps:cNvSpPr>
                          <a:spLocks/>
                        </wps:cNvSpPr>
                        <wps:spPr bwMode="auto">
                          <a:xfrm>
                            <a:off x="8355" y="6942"/>
                            <a:ext cx="201" cy="20"/>
                          </a:xfrm>
                          <a:custGeom>
                            <a:avLst/>
                            <a:gdLst>
                              <a:gd name="T0" fmla="*/ 0 w 201"/>
                              <a:gd name="T1" fmla="*/ 0 h 20"/>
                              <a:gd name="T2" fmla="*/ 201 w 201"/>
                              <a:gd name="T3" fmla="*/ 0 h 20"/>
                            </a:gdLst>
                            <a:ahLst/>
                            <a:cxnLst>
                              <a:cxn ang="0">
                                <a:pos x="T0" y="T1"/>
                              </a:cxn>
                              <a:cxn ang="0">
                                <a:pos x="T2" y="T3"/>
                              </a:cxn>
                            </a:cxnLst>
                            <a:rect l="0" t="0" r="r" b="b"/>
                            <a:pathLst>
                              <a:path w="201" h="20">
                                <a:moveTo>
                                  <a:pt x="0" y="0"/>
                                </a:moveTo>
                                <a:lnTo>
                                  <a:pt x="201" y="0"/>
                                </a:lnTo>
                              </a:path>
                            </a:pathLst>
                          </a:custGeom>
                          <a:noFill/>
                          <a:ln w="1370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7" name="Freeform 578"/>
                        <wps:cNvSpPr>
                          <a:spLocks/>
                        </wps:cNvSpPr>
                        <wps:spPr bwMode="auto">
                          <a:xfrm>
                            <a:off x="8555" y="6942"/>
                            <a:ext cx="2006" cy="20"/>
                          </a:xfrm>
                          <a:custGeom>
                            <a:avLst/>
                            <a:gdLst>
                              <a:gd name="T0" fmla="*/ 0 w 2006"/>
                              <a:gd name="T1" fmla="*/ 0 h 20"/>
                              <a:gd name="T2" fmla="*/ 2006 w 2006"/>
                              <a:gd name="T3" fmla="*/ 0 h 20"/>
                            </a:gdLst>
                            <a:ahLst/>
                            <a:cxnLst>
                              <a:cxn ang="0">
                                <a:pos x="T0" y="T1"/>
                              </a:cxn>
                              <a:cxn ang="0">
                                <a:pos x="T2" y="T3"/>
                              </a:cxn>
                            </a:cxnLst>
                            <a:rect l="0" t="0" r="r" b="b"/>
                            <a:pathLst>
                              <a:path w="2006" h="20">
                                <a:moveTo>
                                  <a:pt x="0" y="0"/>
                                </a:moveTo>
                                <a:lnTo>
                                  <a:pt x="2006"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8" name="Freeform 579"/>
                        <wps:cNvSpPr>
                          <a:spLocks/>
                        </wps:cNvSpPr>
                        <wps:spPr bwMode="auto">
                          <a:xfrm>
                            <a:off x="10562" y="6934"/>
                            <a:ext cx="2100" cy="20"/>
                          </a:xfrm>
                          <a:custGeom>
                            <a:avLst/>
                            <a:gdLst>
                              <a:gd name="T0" fmla="*/ 0 w 2100"/>
                              <a:gd name="T1" fmla="*/ 0 h 20"/>
                              <a:gd name="T2" fmla="*/ 2100 w 2100"/>
                              <a:gd name="T3" fmla="*/ 0 h 20"/>
                            </a:gdLst>
                            <a:ahLst/>
                            <a:cxnLst>
                              <a:cxn ang="0">
                                <a:pos x="T0" y="T1"/>
                              </a:cxn>
                              <a:cxn ang="0">
                                <a:pos x="T2" y="T3"/>
                              </a:cxn>
                            </a:cxnLst>
                            <a:rect l="0" t="0" r="r" b="b"/>
                            <a:pathLst>
                              <a:path w="2100" h="20">
                                <a:moveTo>
                                  <a:pt x="0" y="0"/>
                                </a:moveTo>
                                <a:lnTo>
                                  <a:pt x="2100" y="0"/>
                                </a:lnTo>
                              </a:path>
                            </a:pathLst>
                          </a:custGeom>
                          <a:noFill/>
                          <a:ln w="228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9" name="Freeform 580"/>
                        <wps:cNvSpPr>
                          <a:spLocks/>
                        </wps:cNvSpPr>
                        <wps:spPr bwMode="auto">
                          <a:xfrm>
                            <a:off x="917" y="6151"/>
                            <a:ext cx="20" cy="1265"/>
                          </a:xfrm>
                          <a:custGeom>
                            <a:avLst/>
                            <a:gdLst>
                              <a:gd name="T0" fmla="*/ 0 w 20"/>
                              <a:gd name="T1" fmla="*/ 1265 h 1265"/>
                              <a:gd name="T2" fmla="*/ 0 w 20"/>
                              <a:gd name="T3" fmla="*/ 0 h 1265"/>
                            </a:gdLst>
                            <a:ahLst/>
                            <a:cxnLst>
                              <a:cxn ang="0">
                                <a:pos x="T0" y="T1"/>
                              </a:cxn>
                              <a:cxn ang="0">
                                <a:pos x="T2" y="T3"/>
                              </a:cxn>
                            </a:cxnLst>
                            <a:rect l="0" t="0" r="r" b="b"/>
                            <a:pathLst>
                              <a:path w="20" h="1265">
                                <a:moveTo>
                                  <a:pt x="0" y="1265"/>
                                </a:moveTo>
                                <a:lnTo>
                                  <a:pt x="0" y="0"/>
                                </a:lnTo>
                              </a:path>
                            </a:pathLst>
                          </a:custGeom>
                          <a:noFill/>
                          <a:ln w="91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0" name="Freeform 581"/>
                        <wps:cNvSpPr>
                          <a:spLocks/>
                        </wps:cNvSpPr>
                        <wps:spPr bwMode="auto">
                          <a:xfrm>
                            <a:off x="7772" y="7171"/>
                            <a:ext cx="2243" cy="20"/>
                          </a:xfrm>
                          <a:custGeom>
                            <a:avLst/>
                            <a:gdLst>
                              <a:gd name="T0" fmla="*/ 0 w 2243"/>
                              <a:gd name="T1" fmla="*/ 0 h 20"/>
                              <a:gd name="T2" fmla="*/ 2243 w 2243"/>
                              <a:gd name="T3" fmla="*/ 0 h 20"/>
                            </a:gdLst>
                            <a:ahLst/>
                            <a:cxnLst>
                              <a:cxn ang="0">
                                <a:pos x="T0" y="T1"/>
                              </a:cxn>
                              <a:cxn ang="0">
                                <a:pos x="T2" y="T3"/>
                              </a:cxn>
                            </a:cxnLst>
                            <a:rect l="0" t="0" r="r" b="b"/>
                            <a:pathLst>
                              <a:path w="2243" h="20">
                                <a:moveTo>
                                  <a:pt x="0" y="0"/>
                                </a:moveTo>
                                <a:lnTo>
                                  <a:pt x="2243"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1" name="Freeform 582"/>
                        <wps:cNvSpPr>
                          <a:spLocks/>
                        </wps:cNvSpPr>
                        <wps:spPr bwMode="auto">
                          <a:xfrm>
                            <a:off x="9994" y="7189"/>
                            <a:ext cx="741" cy="20"/>
                          </a:xfrm>
                          <a:custGeom>
                            <a:avLst/>
                            <a:gdLst>
                              <a:gd name="T0" fmla="*/ 0 w 741"/>
                              <a:gd name="T1" fmla="*/ 0 h 20"/>
                              <a:gd name="T2" fmla="*/ 741 w 741"/>
                              <a:gd name="T3" fmla="*/ 0 h 20"/>
                            </a:gdLst>
                            <a:ahLst/>
                            <a:cxnLst>
                              <a:cxn ang="0">
                                <a:pos x="T0" y="T1"/>
                              </a:cxn>
                              <a:cxn ang="0">
                                <a:pos x="T2" y="T3"/>
                              </a:cxn>
                            </a:cxnLst>
                            <a:rect l="0" t="0" r="r" b="b"/>
                            <a:pathLst>
                              <a:path w="741" h="20">
                                <a:moveTo>
                                  <a:pt x="0" y="0"/>
                                </a:moveTo>
                                <a:lnTo>
                                  <a:pt x="741" y="0"/>
                                </a:lnTo>
                              </a:path>
                            </a:pathLst>
                          </a:custGeom>
                          <a:noFill/>
                          <a:ln w="228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2" name="Freeform 583"/>
                        <wps:cNvSpPr>
                          <a:spLocks/>
                        </wps:cNvSpPr>
                        <wps:spPr bwMode="auto">
                          <a:xfrm>
                            <a:off x="10705" y="7171"/>
                            <a:ext cx="2035" cy="20"/>
                          </a:xfrm>
                          <a:custGeom>
                            <a:avLst/>
                            <a:gdLst>
                              <a:gd name="T0" fmla="*/ 0 w 2035"/>
                              <a:gd name="T1" fmla="*/ 0 h 20"/>
                              <a:gd name="T2" fmla="*/ 2035 w 2035"/>
                              <a:gd name="T3" fmla="*/ 0 h 20"/>
                            </a:gdLst>
                            <a:ahLst/>
                            <a:cxnLst>
                              <a:cxn ang="0">
                                <a:pos x="T0" y="T1"/>
                              </a:cxn>
                              <a:cxn ang="0">
                                <a:pos x="T2" y="T3"/>
                              </a:cxn>
                            </a:cxnLst>
                            <a:rect l="0" t="0" r="r" b="b"/>
                            <a:pathLst>
                              <a:path w="2035" h="20">
                                <a:moveTo>
                                  <a:pt x="0" y="0"/>
                                </a:moveTo>
                                <a:lnTo>
                                  <a:pt x="2035"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3" name="Freeform 584"/>
                        <wps:cNvSpPr>
                          <a:spLocks/>
                        </wps:cNvSpPr>
                        <wps:spPr bwMode="auto">
                          <a:xfrm>
                            <a:off x="554" y="7459"/>
                            <a:ext cx="4227" cy="20"/>
                          </a:xfrm>
                          <a:custGeom>
                            <a:avLst/>
                            <a:gdLst>
                              <a:gd name="T0" fmla="*/ 0 w 4227"/>
                              <a:gd name="T1" fmla="*/ 0 h 20"/>
                              <a:gd name="T2" fmla="*/ 4227 w 4227"/>
                              <a:gd name="T3" fmla="*/ 0 h 20"/>
                            </a:gdLst>
                            <a:ahLst/>
                            <a:cxnLst>
                              <a:cxn ang="0">
                                <a:pos x="T0" y="T1"/>
                              </a:cxn>
                              <a:cxn ang="0">
                                <a:pos x="T2" y="T3"/>
                              </a:cxn>
                            </a:cxnLst>
                            <a:rect l="0" t="0" r="r" b="b"/>
                            <a:pathLst>
                              <a:path w="4227" h="20">
                                <a:moveTo>
                                  <a:pt x="0" y="0"/>
                                </a:moveTo>
                                <a:lnTo>
                                  <a:pt x="4227"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4" name="Freeform 585"/>
                        <wps:cNvSpPr>
                          <a:spLocks/>
                        </wps:cNvSpPr>
                        <wps:spPr bwMode="auto">
                          <a:xfrm>
                            <a:off x="11805" y="2548"/>
                            <a:ext cx="412" cy="120"/>
                          </a:xfrm>
                          <a:custGeom>
                            <a:avLst/>
                            <a:gdLst>
                              <a:gd name="T0" fmla="*/ 0 w 412"/>
                              <a:gd name="T1" fmla="*/ 0 h 120"/>
                              <a:gd name="T2" fmla="*/ 412 w 412"/>
                              <a:gd name="T3" fmla="*/ 0 h 120"/>
                              <a:gd name="T4" fmla="*/ 412 w 412"/>
                              <a:gd name="T5" fmla="*/ 120 h 120"/>
                              <a:gd name="T6" fmla="*/ 0 w 412"/>
                              <a:gd name="T7" fmla="*/ 120 h 120"/>
                              <a:gd name="T8" fmla="*/ 0 w 412"/>
                              <a:gd name="T9" fmla="*/ 0 h 120"/>
                            </a:gdLst>
                            <a:ahLst/>
                            <a:cxnLst>
                              <a:cxn ang="0">
                                <a:pos x="T0" y="T1"/>
                              </a:cxn>
                              <a:cxn ang="0">
                                <a:pos x="T2" y="T3"/>
                              </a:cxn>
                              <a:cxn ang="0">
                                <a:pos x="T4" y="T5"/>
                              </a:cxn>
                              <a:cxn ang="0">
                                <a:pos x="T6" y="T7"/>
                              </a:cxn>
                              <a:cxn ang="0">
                                <a:pos x="T8" y="T9"/>
                              </a:cxn>
                            </a:cxnLst>
                            <a:rect l="0" t="0" r="r" b="b"/>
                            <a:pathLst>
                              <a:path w="412" h="120">
                                <a:moveTo>
                                  <a:pt x="0" y="0"/>
                                </a:moveTo>
                                <a:lnTo>
                                  <a:pt x="412" y="0"/>
                                </a:lnTo>
                                <a:lnTo>
                                  <a:pt x="412" y="120"/>
                                </a:lnTo>
                                <a:lnTo>
                                  <a:pt x="0" y="12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5" name="Freeform 586"/>
                        <wps:cNvSpPr>
                          <a:spLocks/>
                        </wps:cNvSpPr>
                        <wps:spPr bwMode="auto">
                          <a:xfrm>
                            <a:off x="12219" y="2458"/>
                            <a:ext cx="2645" cy="239"/>
                          </a:xfrm>
                          <a:custGeom>
                            <a:avLst/>
                            <a:gdLst>
                              <a:gd name="T0" fmla="*/ 0 w 2645"/>
                              <a:gd name="T1" fmla="*/ 0 h 239"/>
                              <a:gd name="T2" fmla="*/ 2645 w 2645"/>
                              <a:gd name="T3" fmla="*/ 0 h 239"/>
                              <a:gd name="T4" fmla="*/ 2645 w 2645"/>
                              <a:gd name="T5" fmla="*/ 238 h 239"/>
                              <a:gd name="T6" fmla="*/ 0 w 2645"/>
                              <a:gd name="T7" fmla="*/ 238 h 239"/>
                              <a:gd name="T8" fmla="*/ 0 w 2645"/>
                              <a:gd name="T9" fmla="*/ 0 h 239"/>
                            </a:gdLst>
                            <a:ahLst/>
                            <a:cxnLst>
                              <a:cxn ang="0">
                                <a:pos x="T0" y="T1"/>
                              </a:cxn>
                              <a:cxn ang="0">
                                <a:pos x="T2" y="T3"/>
                              </a:cxn>
                              <a:cxn ang="0">
                                <a:pos x="T4" y="T5"/>
                              </a:cxn>
                              <a:cxn ang="0">
                                <a:pos x="T6" y="T7"/>
                              </a:cxn>
                              <a:cxn ang="0">
                                <a:pos x="T8" y="T9"/>
                              </a:cxn>
                            </a:cxnLst>
                            <a:rect l="0" t="0" r="r" b="b"/>
                            <a:pathLst>
                              <a:path w="2645" h="239">
                                <a:moveTo>
                                  <a:pt x="0" y="0"/>
                                </a:moveTo>
                                <a:lnTo>
                                  <a:pt x="2645" y="0"/>
                                </a:lnTo>
                                <a:lnTo>
                                  <a:pt x="2645" y="238"/>
                                </a:lnTo>
                                <a:lnTo>
                                  <a:pt x="0" y="23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26" name="Group 587"/>
                        <wpg:cNvGrpSpPr>
                          <a:grpSpLocks/>
                        </wpg:cNvGrpSpPr>
                        <wpg:grpSpPr bwMode="auto">
                          <a:xfrm>
                            <a:off x="998" y="1820"/>
                            <a:ext cx="6975" cy="1071"/>
                            <a:chOff x="998" y="1820"/>
                            <a:chExt cx="6975" cy="1071"/>
                          </a:xfrm>
                        </wpg:grpSpPr>
                        <wps:wsp>
                          <wps:cNvPr id="527" name="Freeform 588"/>
                          <wps:cNvSpPr>
                            <a:spLocks/>
                          </wps:cNvSpPr>
                          <wps:spPr bwMode="auto">
                            <a:xfrm>
                              <a:off x="998" y="1820"/>
                              <a:ext cx="6975" cy="1071"/>
                            </a:xfrm>
                            <a:custGeom>
                              <a:avLst/>
                              <a:gdLst>
                                <a:gd name="T0" fmla="*/ 0 w 6975"/>
                                <a:gd name="T1" fmla="*/ 0 h 1071"/>
                                <a:gd name="T2" fmla="*/ 1348 w 6975"/>
                                <a:gd name="T3" fmla="*/ 0 h 1071"/>
                              </a:gdLst>
                              <a:ahLst/>
                              <a:cxnLst>
                                <a:cxn ang="0">
                                  <a:pos x="T0" y="T1"/>
                                </a:cxn>
                                <a:cxn ang="0">
                                  <a:pos x="T2" y="T3"/>
                                </a:cxn>
                              </a:cxnLst>
                              <a:rect l="0" t="0" r="r" b="b"/>
                              <a:pathLst>
                                <a:path w="6975" h="1071">
                                  <a:moveTo>
                                    <a:pt x="0" y="0"/>
                                  </a:moveTo>
                                  <a:lnTo>
                                    <a:pt x="1348"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8" name="Freeform 589"/>
                          <wps:cNvSpPr>
                            <a:spLocks/>
                          </wps:cNvSpPr>
                          <wps:spPr bwMode="auto">
                            <a:xfrm>
                              <a:off x="998" y="1820"/>
                              <a:ext cx="6975" cy="1071"/>
                            </a:xfrm>
                            <a:custGeom>
                              <a:avLst/>
                              <a:gdLst>
                                <a:gd name="T0" fmla="*/ 6895 w 6975"/>
                                <a:gd name="T1" fmla="*/ 1070 h 1071"/>
                                <a:gd name="T2" fmla="*/ 6974 w 6975"/>
                                <a:gd name="T3" fmla="*/ 1070 h 1071"/>
                              </a:gdLst>
                              <a:ahLst/>
                              <a:cxnLst>
                                <a:cxn ang="0">
                                  <a:pos x="T0" y="T1"/>
                                </a:cxn>
                                <a:cxn ang="0">
                                  <a:pos x="T2" y="T3"/>
                                </a:cxn>
                              </a:cxnLst>
                              <a:rect l="0" t="0" r="r" b="b"/>
                              <a:pathLst>
                                <a:path w="6975" h="1071">
                                  <a:moveTo>
                                    <a:pt x="6895" y="1070"/>
                                  </a:moveTo>
                                  <a:lnTo>
                                    <a:pt x="6974" y="107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529" name="Freeform 590"/>
                        <wps:cNvSpPr>
                          <a:spLocks/>
                        </wps:cNvSpPr>
                        <wps:spPr bwMode="auto">
                          <a:xfrm>
                            <a:off x="11311" y="5356"/>
                            <a:ext cx="92" cy="20"/>
                          </a:xfrm>
                          <a:custGeom>
                            <a:avLst/>
                            <a:gdLst>
                              <a:gd name="T0" fmla="*/ 0 w 92"/>
                              <a:gd name="T1" fmla="*/ 0 h 20"/>
                              <a:gd name="T2" fmla="*/ 91 w 92"/>
                              <a:gd name="T3" fmla="*/ 0 h 20"/>
                            </a:gdLst>
                            <a:ahLst/>
                            <a:cxnLst>
                              <a:cxn ang="0">
                                <a:pos x="T0" y="T1"/>
                              </a:cxn>
                              <a:cxn ang="0">
                                <a:pos x="T2" y="T3"/>
                              </a:cxn>
                            </a:cxnLst>
                            <a:rect l="0" t="0" r="r" b="b"/>
                            <a:pathLst>
                              <a:path w="92" h="20">
                                <a:moveTo>
                                  <a:pt x="0" y="0"/>
                                </a:moveTo>
                                <a:lnTo>
                                  <a:pt x="91" y="0"/>
                                </a:lnTo>
                              </a:path>
                            </a:pathLst>
                          </a:custGeom>
                          <a:noFill/>
                          <a:ln w="76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96" o:spid="_x0000_s1026" style="position:absolute;margin-left:27.5pt;margin-top:7.85pt;width:727.3pt;height:365.65pt;z-index:-251625984;mso-position-horizontal-relative:page" coordorigin="550,157" coordsize="14546,7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" o:allowincell="f">
                <v:shape id="Freeform 497" o:spid="_x0000_s1027" style="position:absolute;left:618;top:193;width:295;height:20;visibility:visible;mso-wrap-style:square;v-text-anchor:top" coordsize="29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J4WcQA&#10;AADcAAAADwAAAGRycy9kb3ducmV2LnhtbESPS4vCMBSF9wP+h3AFd5r6QKRjFBEEB3ShFmeWd5pr&#10;W2xuOk209d8bQZjl4Tw+znzZmlLcqXaFZQXDQQSCOLW64ExBctr0ZyCcR9ZYWiYFD3KwXHQ+5hhr&#10;2/CB7kefiTDCLkYFufdVLKVLczLoBrYiDt7F1gZ9kHUmdY1NGDelHEXRVBosOBByrGidU3o93kzg&#10;prvL9vw3LEzz+7VPvid2c3M/SvW67eoThKfW/4ff7a1WMBlP4XUmHAG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SeFnEAAAA3AAAAA8AAAAAAAAAAAAAAAAAmAIAAGRycy9k&#10;b3ducmV2LnhtbFBLBQYAAAAABAAEAPUAAACJAwAAAAA=&#10;" path="m,l295,e" filled="f" strokeweight=".36pt">
                  <v:path arrowok="t" o:connecttype="custom" o:connectlocs="0,0;295,0" o:connectangles="0,0"/>
                </v:shape>
                <v:shape id="Freeform 498" o:spid="_x0000_s1028" style="position:absolute;left:554;top:491;width:330;height:20;visibility:visible;mso-wrap-style:square;v-text-anchor:top" coordsize="33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QGZsUA&#10;AADcAAAADwAAAGRycy9kb3ducmV2LnhtbESP0WrCQBRE3wv9h+UKfSm6qZYqMRtRiyD0QRr9gEv2&#10;mkSzd8PuGtO/7wqFPg4zc4bJVoNpRU/ON5YVvE0SEMSl1Q1XCk7H3XgBwgdkja1lUvBDHlb581OG&#10;qbZ3/qa+CJWIEPYpKqhD6FIpfVmTQT+xHXH0ztYZDFG6SmqH9wg3rZwmyYc02HBcqLGjbU3ltbgZ&#10;BZ9mfimqqdmtD7PXvrWbrw0vnFIvo2G9BBFoCP/hv/ZeK3ifzeFxJh4B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tAZmxQAAANwAAAAPAAAAAAAAAAAAAAAAAJgCAABkcnMv&#10;ZG93bnJldi54bWxQSwUGAAAAAAQABAD1AAAAigMAAAAA&#10;" path="m,l330,e" filled="f" strokeweight=".36pt">
                  <v:path arrowok="t" o:connecttype="custom" o:connectlocs="0,0;330,0" o:connectangles="0,0"/>
                </v:shape>
                <v:shape id="Freeform 499" o:spid="_x0000_s1029" style="position:absolute;left:554;top:161;width:20;height:7305;visibility:visible;mso-wrap-style:square;v-text-anchor:top" coordsize="20,7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P7+b8A&#10;AADcAAAADwAAAGRycy9kb3ducmV2LnhtbERPy2oCMRTdC/5DuAV3mrFK0alRpKVgl1VxfZ3ceTCT&#10;m5BEZ/z7ZiG4PJz3ZjeYTtzJh8aygvksA0FcWN1wpeB8+pmuQISIrLGzTAoeFGC3HY82mGvb8x/d&#10;j7ESKYRDjgrqGF0uZShqMhhm1hEnrrTeYEzQV1J77FO46eR7ln1Igw2nhhodfdVUtMebUXDF8rvs&#10;F+tzdZv7xyX8ts4tW6Umb8P+E0SkIb7ET/dBK1gu0tp0Jh0Buf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wk/v5vwAAANwAAAAPAAAAAAAAAAAAAAAAAJgCAABkcnMvZG93bnJl&#10;di54bWxQSwUGAAAAAAQABAD1AAAAhAMAAAAA&#10;" path="m,7305l,e" filled="f" strokeweight=".36pt">
                  <v:path arrowok="t" o:connecttype="custom" o:connectlocs="0,7305;0,0" o:connectangles="0,0"/>
                </v:shape>
                <v:shape id="Freeform 500" o:spid="_x0000_s1030" style="position:absolute;left:884;top:161;width:9139;height:20;visibility:visible;mso-wrap-style:square;v-text-anchor:top" coordsize="913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hGJsUA&#10;AADcAAAADwAAAGRycy9kb3ducmV2LnhtbESPW2vCQBSE3wv9D8sp+FY39Z7oKsFisVDE6/sxe5oE&#10;s2dDdqvx33eFQh+HmfmGmS1aU4krNa60rOCtG4EgzqwuOVdwPKxeJyCcR9ZYWSYFd3KwmD8/zTDR&#10;9sY7uu59LgKEXYIKCu/rREqXFWTQdW1NHLxv2xj0QTa51A3eAtxUshdFI2mw5LBQYE3LgrLL/sco&#10;qE6f53H8hR/x+2bST9PlZbcdHpXqvLTpFISn1v+H/9prrWDQj+FxJhwBO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yEYmxQAAANwAAAAPAAAAAAAAAAAAAAAAAJgCAABkcnMv&#10;ZG93bnJldi54bWxQSwUGAAAAAAQABAD1AAAAigMAAAAA&#10;" path="m,l9139,e" filled="f" strokeweight=".36pt">
                  <v:path arrowok="t" o:connecttype="custom" o:connectlocs="0,0;9139,0" o:connectangles="0,0"/>
                </v:shape>
                <v:shape id="Freeform 501" o:spid="_x0000_s1031" style="position:absolute;left:856;top:459;width:3911;height:20;visibility:visible;mso-wrap-style:square;v-text-anchor:top" coordsize="391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CU/8QA&#10;AADcAAAADwAAAGRycy9kb3ducmV2LnhtbERPXWvCMBR9F/wP4Q72MmaqlG1Uo4yhbMIQqkN8vDTX&#10;trO5KUnW1n9vHgY+Hs73YjWYRnTkfG1ZwXSSgCAurK65VPBz2Dy/gfABWWNjmRRcycNqOR4tMNO2&#10;55y6fShFDGGfoYIqhDaT0hcVGfQT2xJH7mydwRChK6V22Mdw08hZkrxIgzXHhgpb+qiouOz/jIKD&#10;/O13r/pzff02fpsXx+a0ftoo9fgwvM9BBBrCXfzv/tIK0jTOj2fiEZ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QlP/EAAAA3AAAAA8AAAAAAAAAAAAAAAAAmAIAAGRycy9k&#10;b3ducmV2LnhtbFBLBQYAAAAABAAEAPUAAACJAwAAAAA=&#10;" path="m,l3911,e" filled="f" strokeweight=".25364mm">
                  <v:path arrowok="t" o:connecttype="custom" o:connectlocs="0,0;3911,0" o:connectangles="0,0"/>
                </v:shape>
                <v:shape id="Freeform 502" o:spid="_x0000_s1032" style="position:absolute;left:4760;top:204;width:20;height:7204;visibility:visible;mso-wrap-style:square;v-text-anchor:top" coordsize="20,7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SgBsUA&#10;AADcAAAADwAAAGRycy9kb3ducmV2LnhtbESPT2vCQBTE7wW/w/KE3uomElqJrhLTPxR6MdGLt0f2&#10;mQSzb0N2o+m37xYKPQ4z8xtms5tMJ240uNaygngRgSCurG65VnA6vj+tQDiPrLGzTAq+ycFuO3vY&#10;YKrtnQu6lb4WAcIuRQWN930qpasaMugWticO3sUOBn2QQy31gPcAN51cRtGzNNhyWGiwp7yh6lqO&#10;RkGRHb5y6t/2L68nKj5ieeaxOyv1OJ+yNQhPk/8P/7U/tYIkieH3TDgCcv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FKAGxQAAANwAAAAPAAAAAAAAAAAAAAAAAJgCAABkcnMv&#10;ZG93bnJldi54bWxQSwUGAAAAAAQABAD1AAAAigMAAAAA&#10;" path="m,7204l,e" filled="f" strokeweight=".25364mm">
                  <v:path arrowok="t" o:connecttype="custom" o:connectlocs="0,7204;0,0" o:connectangles="0,0"/>
                </v:shape>
                <v:shape id="Freeform 503" o:spid="_x0000_s1033" style="position:absolute;left:4832;top:502;width:2660;height:20;visibility:visible;mso-wrap-style:square;v-text-anchor:top" coordsize="266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qR8UA&#10;AADcAAAADwAAAGRycy9kb3ducmV2LnhtbESPQWvCQBSE7wX/w/KEXorZVKRI6hpEKJbqpdoGj4/s&#10;azYx+zZktxr/vVsoeBxm5htmkQ+2FWfqfe1YwXOSgiAuna65UvB1eJvMQfiArLF1TAqu5CFfjh4W&#10;mGl34U8670MlIoR9hgpMCF0mpS8NWfSJ64ij9+N6iyHKvpK6x0uE21ZO0/RFWqw5LhjsaG2oPO1/&#10;rYItouGN3hUNPX1gcSr4+9hslHocD6tXEIGGcA//t9+1gtlsCn9n4h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KpHxQAAANwAAAAPAAAAAAAAAAAAAAAAAJgCAABkcnMv&#10;ZG93bnJldi54bWxQSwUGAAAAAAQABAD1AAAAigMAAAAA&#10;" path="m,l2660,e" filled="f" strokeweight=".38064mm">
                  <v:path arrowok="t" o:connecttype="custom" o:connectlocs="0,0;2660,0" o:connectangles="0,0"/>
                </v:shape>
                <v:shape id="Freeform 504" o:spid="_x0000_s1034" style="position:absolute;left:7520;top:470;width:280;height:20;visibility:visible;mso-wrap-style:square;v-text-anchor:top" coordsize="28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6V7MQA&#10;AADcAAAADwAAAGRycy9kb3ducmV2LnhtbESPQWsCMRSE74L/IbxCL1KzWlG7NYpYCvXoWnp+JM/s&#10;tpuXZRM1/fdNQfA4zMw3zGqTXCsu1IfGs4LJuABBrL1p2Cr4PL4/LUGEiGyw9UwKfinAZj0crLA0&#10;/soHulTRigzhUKKCOsaulDLomhyGse+Is3fyvcOYZW+l6fGa4a6V06KYS4cN54UaO9rVpH+qs1Og&#10;J7r5mif7Vnwvd3a0f1n4U1oo9fiQtq8gIqV4D9/aH0bBbPYM/2fyEZ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OlezEAAAA3AAAAA8AAAAAAAAAAAAAAAAAmAIAAGRycy9k&#10;b3ducmV2LnhtbFBLBQYAAAAABAAEAPUAAACJAwAAAAA=&#10;" path="m,l280,e" filled="f" strokeweight=".25364mm">
                  <v:path arrowok="t" o:connecttype="custom" o:connectlocs="0,0;280,0" o:connectangles="0,0"/>
                </v:shape>
                <v:shape id="Freeform 505" o:spid="_x0000_s1035" style="position:absolute;left:7744;top:480;width:2279;height:20;visibility:visible;mso-wrap-style:square;v-text-anchor:top" coordsize="227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kH9sQA&#10;AADcAAAADwAAAGRycy9kb3ducmV2LnhtbESPUWvCMBSF3wf7D+EOfNO0sw7pjCLCRBQGq/sBd81d&#10;2q25KU3U+O+NMNjj4ZzzHc5iFW0nzjT41rGCfJKBIK6dbtko+Dy+jecgfEDW2DkmBVfysFo+Piyw&#10;1O7CH3SughEJwr5EBU0IfSmlrxuy6CeuJ07etxsshiQHI/WAlwS3nXzOshdpseW00GBPm4bq3+pk&#10;FfCxPuTb+f59//PF1SxOTcyvRqnRU1y/gggUw3/4r73TCoqigPuZdAT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JB/bEAAAA3AAAAA8AAAAAAAAAAAAAAAAAmAIAAGRycy9k&#10;b3ducmV2LnhtbFBLBQYAAAAABAAEAPUAAACJAwAAAAA=&#10;" path="m,l2279,e" filled="f" strokeweight=".25364mm">
                  <v:path arrowok="t" o:connecttype="custom" o:connectlocs="0,0;2279,0" o:connectangles="0,0"/>
                </v:shape>
                <v:shape id="Freeform 506" o:spid="_x0000_s1036" style="position:absolute;left:610;top:994;width:4156;height:20;visibility:visible;mso-wrap-style:square;v-text-anchor:top" coordsize="415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G4u8QA&#10;AADcAAAADwAAAGRycy9kb3ducmV2LnhtbESPQWsCMRSE7wX/Q3iCt5q1bEW2RinKgvRSXD14fGxe&#10;N0s3L0uS6uqvbwTB4zAz3zDL9WA7cSYfWscKZtMMBHHtdMuNguOhfF2ACBFZY+eYFFwpwHo1elli&#10;od2F93SuYiMShEOBCkyMfSFlqA1ZDFPXEyfvx3mLMUnfSO3xkuC2k29ZNpcWW04LBnvaGKp/qz+r&#10;4Ivc6djOKn/tvk+3Mg/bcm5uSk3Gw+cHiEhDfIYf7Z1WkOfvcD+TjoB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RuLvEAAAA3AAAAA8AAAAAAAAAAAAAAAAAmAIAAGRycy9k&#10;b3ducmV2LnhtbFBLBQYAAAAABAAEAPUAAACJAwAAAAA=&#10;" path="m,l4156,e" filled="f" strokeweight=".38064mm">
                  <v:path arrowok="t" o:connecttype="custom" o:connectlocs="0,0;4156,0" o:connectangles="0,0"/>
                </v:shape>
                <v:shape id="Freeform 507" o:spid="_x0000_s1037" style="position:absolute;left:4832;top:1037;width:2639;height:20;visibility:visible;mso-wrap-style:square;v-text-anchor:top" coordsize="263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M4M8UA&#10;AADcAAAADwAAAGRycy9kb3ducmV2LnhtbESPQWvCQBSE70L/w/IKXqRulGDT1FWKUMxBEZN6f2Rf&#10;k9Ds25Ddavz3riB4HGbmG2a5HkwrztS7xrKC2TQCQVxa3XCl4Kf4fktAOI+ssbVMCq7kYL16GS0x&#10;1fbCRzrnvhIBwi5FBbX3XSqlK2sy6Ka2Iw7er+0N+iD7SuoeLwFuWjmPooU02HBYqLGjTU3lX/5v&#10;FGTlB0/2bScPp+1pv3PvSbFtnFLj1+HrE4SnwT/Dj3amFcTxAu5nwhG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0zgzxQAAANwAAAAPAAAAAAAAAAAAAAAAAJgCAABkcnMv&#10;ZG93bnJldi54bWxQSwUGAAAAAAQABAD1AAAAigMAAAAA&#10;" path="m,l2639,e" filled="f" strokeweight=".25364mm">
                  <v:path arrowok="t" o:connecttype="custom" o:connectlocs="0,0;2639,0" o:connectangles="0,0"/>
                </v:shape>
                <v:shape id="Freeform 508" o:spid="_x0000_s1038" style="position:absolute;left:7449;top:1008;width:906;height:20;visibility:visible;mso-wrap-style:square;v-text-anchor:top" coordsize="90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JJUcUA&#10;AADcAAAADwAAAGRycy9kb3ducmV2LnhtbESPQWvCQBSE74L/YXlCb7qxBK3RVYql0NKC1Chen9ln&#10;sph9G7Krpv++WxA8DjPzDbNYdbYWV2q9caxgPEpAEBdOGy4V7PL34QsIH5A11o5JwS95WC37vQVm&#10;2t34h67bUIoIYZ+hgiqEJpPSFxVZ9CPXEEfv5FqLIcq2lLrFW4TbWj4nyURaNBwXKmxoXVFx3l6s&#10;grWZHMtLvtl/nv3he2bevmyeTpV6GnSvcxCBuvAI39sfWkGaTuH/TDwC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0klRxQAAANwAAAAPAAAAAAAAAAAAAAAAAJgCAABkcnMv&#10;ZG93bnJldi54bWxQSwUGAAAAAAQABAD1AAAAigMAAAAA&#10;" path="m,l906,e" filled="f" strokeweight=".36pt">
                  <v:path arrowok="t" o:connecttype="custom" o:connectlocs="0,0;906,0" o:connectangles="0,0"/>
                </v:shape>
                <v:shape id="Freeform 509" o:spid="_x0000_s1039" style="position:absolute;left:8455;top:976;width:1567;height:20;visibility:visible;mso-wrap-style:square;v-text-anchor:top" coordsize="156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Y5cL4A&#10;AADcAAAADwAAAGRycy9kb3ducmV2LnhtbERPSwrCMBDdC94hjOBOU0VEqlFEEEREsX5wOTRjW2wm&#10;pYlab28WgsvH+88WjSnFi2pXWFYw6EcgiFOrC84UnE/r3gSE88gaS8uk4EMOFvN2a4axtm8+0ivx&#10;mQgh7GJUkHtfxVK6NCeDrm8r4sDdbW3QB1hnUtf4DuGmlMMoGkuDBYeGHCta5ZQ+kqdRoB+22d0v&#10;SbG9XpPbfnfQ6WXtlep2muUUhKfG/8U/90YrGI3C2nAmHAE5/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lGOXC+AAAA3AAAAA8AAAAAAAAAAAAAAAAAmAIAAGRycy9kb3ducmV2&#10;LnhtbFBLBQYAAAAABAAEAPUAAACDAwAAAAA=&#10;" path="m,l1567,e" filled="f" strokeweight=".36pt">
                  <v:path arrowok="t" o:connecttype="custom" o:connectlocs="0,0;1567,0" o:connectangles="0,0"/>
                </v:shape>
                <v:shape id="Freeform 510" o:spid="_x0000_s1040" style="position:absolute;left:910;top:434;width:20;height:6199;visibility:visible;mso-wrap-style:square;v-text-anchor:top" coordsize="20,61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aEV8UA&#10;AADcAAAADwAAAGRycy9kb3ducmV2LnhtbESPQWsCMRSE70L/Q3gFb5ooIu3WKLZg8eBBtwvF22Pz&#10;utm6eVk2qa7/3ggFj8PMfMMsVr1rxJm6UHvWMBkrEMSlNzVXGoqvzegFRIjIBhvPpOFKAVbLp8EC&#10;M+MvfKBzHiuRIBwy1GBjbDMpQ2nJYRj7ljh5P75zGJPsKmk6vCS4a+RUqbl0WHNasNjSh6XylP85&#10;Dap6z4vf/bc9qTY/bq9FOB4+d1oPn/v1G4hIfXyE/9tbo2E2e4X7mXQ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FoRXxQAAANwAAAAPAAAAAAAAAAAAAAAAAJgCAABkcnMv&#10;ZG93bnJldi54bWxQSwUGAAAAAAQABAD1AAAAigMAAAAA&#10;" path="m,6199l,e" filled="f" strokeweight=".25364mm">
                  <v:path arrowok="t" o:connecttype="custom" o:connectlocs="0,6199;0,0" o:connectangles="0,0"/>
                </v:shape>
                <v:shape id="Freeform 511" o:spid="_x0000_s1041" style="position:absolute;left:2973;top:455;width:20;height:6961;visibility:visible;mso-wrap-style:square;v-text-anchor:top" coordsize="20,6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wK8MA&#10;AADcAAAADwAAAGRycy9kb3ducmV2LnhtbERPTWvCQBC9C/6HZQRvummxpUbXIIKohR6Mbc9jdpqE&#10;ZGfT7Cam/757EDw+3vc6GUwtempdaVnB0zwCQZxZXXKu4POyn72BcB5ZY22ZFPyRg2QzHq0x1vbG&#10;Z+pTn4sQwi5GBYX3TSylywoy6Oa2IQ7cj20N+gDbXOoWbyHc1PI5il6lwZJDQ4EN7QrKqrQzCn6X&#10;78ZdL9XQfUXL73r7kR5OvFNqOhm2KxCeBv8Q391HrWDxEuaHM+EIyM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3+wK8MAAADcAAAADwAAAAAAAAAAAAAAAACYAgAAZHJzL2Rv&#10;d25yZXYueG1sUEsFBgAAAAAEAAQA9QAAAIgDAAAAAA==&#10;" path="m,6960l,e" filled="f" strokeweight=".25364mm">
                  <v:path arrowok="t" o:connecttype="custom" o:connectlocs="0,6960;0,0" o:connectangles="0,0"/>
                </v:shape>
                <v:shape id="Freeform 512" o:spid="_x0000_s1042" style="position:absolute;left:2696;top:448;width:20;height:6968;visibility:visible;mso-wrap-style:square;v-text-anchor:top" coordsize="20,69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840ccA&#10;AADcAAAADwAAAGRycy9kb3ducmV2LnhtbESPQWvCQBSE74X+h+UVvNWN1lRJXUWsohcpjYIeX7Ov&#10;SWj2bcyumvrr3YLQ4zAz3zDjaWsqcabGlZYV9LoRCOLM6pJzBbvt8nkEwnlkjZVlUvBLDqaTx4cx&#10;Jtpe+JPOqc9FgLBLUEHhfZ1I6bKCDLqurYmD920bgz7IJpe6wUuAm0r2o+hVGiw5LBRY07yg7Cc9&#10;GQXX+GOLg/hrdnxfLTc7O3yZHxZ7pTpP7ewNhKfW/4fv7bVWMIh78HcmHAE5u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IPONHHAAAA3AAAAA8AAAAAAAAAAAAAAAAAmAIAAGRy&#10;cy9kb3ducmV2LnhtbFBLBQYAAAAABAAEAPUAAACMAwAAAAA=&#10;" path="m,6968l,e" filled="f" strokeweight=".38064mm">
                  <v:path arrowok="t" o:connecttype="custom" o:connectlocs="0,6968;0,0" o:connectangles="0,0"/>
                </v:shape>
                <v:shape id="Freeform 513" o:spid="_x0000_s1043" style="position:absolute;left:7800;top:462;width:20;height:5029;visibility:visible;mso-wrap-style:square;v-text-anchor:top" coordsize="20,5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VbAMcA&#10;AADcAAAADwAAAGRycy9kb3ducmV2LnhtbESPQWvCQBSE74X+h+UVepG6qa0iqZuQFhR78GD00OMz&#10;+0xCs29Ddk3Sf+8KQo/DzHzDrNLRNKKnztWWFbxOIxDEhdU1lwqOh/XLEoTzyBoby6TgjxykyePD&#10;CmNtB95Tn/tSBAi7GBVU3rexlK6oyKCb2pY4eGfbGfRBdqXUHQ4Bbho5i6KFNFhzWKiwpa+Kit/8&#10;YhRE2fnthJfPyW6+yV12/N5iufhR6vlpzD5AeBr9f/je3moF7/MZ3M6EIyCT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a1WwDHAAAA3AAAAA8AAAAAAAAAAAAAAAAAmAIAAGRy&#10;cy9kb3ducmV2LnhtbFBLBQYAAAAABAAEAPUAAACMAwAAAAA=&#10;" path="m,5028l,e" filled="f" strokeweight=".25364mm">
                  <v:path arrowok="t" o:connecttype="custom" o:connectlocs="0,5028;0,0" o:connectangles="0,0"/>
                </v:shape>
                <v:shape id="Freeform 514" o:spid="_x0000_s1044" style="position:absolute;left:10009;top:233;width:20;height:5258;visibility:visible;mso-wrap-style:square;v-text-anchor:top" coordsize="20,5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Jsp8IA&#10;AADcAAAADwAAAGRycy9kb3ducmV2LnhtbESPQWsCMRSE7wX/Q3hCL6LZ1lZkNUpZkOrRtXp+JM/s&#10;4uZl2aS6/nsjFHocZuYbZrnuXSOu1IXas4K3SQaCWHtTs1Xwc9iM5yBCRDbYeCYFdwqwXg1elpgb&#10;f+M9XctoRYJwyFFBFWObSxl0RQ7DxLfEyTv7zmFMsrPSdHhLcNfI9yybSYc1p4UKWyoq0pfy1ynQ&#10;dhRsowseFdbuv+vy6HenjVKvw/5rASJSH//Df+2tUfDxOYXnmXQE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UmynwgAAANwAAAAPAAAAAAAAAAAAAAAAAJgCAABkcnMvZG93&#10;bnJldi54bWxQSwUGAAAAAAQABAD1AAAAhwMAAAAA&#10;" path="m,5258l,e" filled="f" strokeweight=".25364mm">
                  <v:path arrowok="t" o:connecttype="custom" o:connectlocs="0,5258;0,0" o:connectangles="0,0"/>
                </v:shape>
                <v:shape id="Freeform 515" o:spid="_x0000_s1045" style="position:absolute;left:7449;top:1626;width:331;height:20;visibility:visible;mso-wrap-style:square;v-text-anchor:top" coordsize="33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bQcQA&#10;AADcAAAADwAAAGRycy9kb3ducmV2LnhtbESPT2vCQBTE74LfYXlCb7qxjUXSbESEQhAv1dLza/Y1&#10;CWbfxuzmj9/eLRR6HGbmN0y6m0wjBupcbVnBehWBIC6srrlU8Hl5X25BOI+ssbFMCu7kYJfNZykm&#10;2o78QcPZlyJA2CWooPK+TaR0RUUG3cq2xMH7sZ1BH2RXSt3hGOCmkc9R9CoN1hwWKmzpUFFxPfdG&#10;wZffXoqN3Z9k6ab8aL7l7aUflHpaTPs3EJ4m/x/+a+daQbyJ4fdMOAIy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m0HEAAAA3AAAAA8AAAAAAAAAAAAAAAAAmAIAAGRycy9k&#10;b3ducmV2LnhtbFBLBQYAAAAABAAEAPUAAACJAwAAAAA=&#10;" path="m,l331,e" filled="f" strokeweight=".36pt">
                  <v:path arrowok="t" o:connecttype="custom" o:connectlocs="0,0;331,0" o:connectangles="0,0"/>
                </v:shape>
                <v:shape id="Freeform 516" o:spid="_x0000_s1046" style="position:absolute;left:7772;top:1626;width:582;height:20;visibility:visible;mso-wrap-style:square;v-text-anchor:top" coordsize="58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F7iMUA&#10;AADcAAAADwAAAGRycy9kb3ducmV2LnhtbESPQWvCQBSE7wX/w/IEb3WjxCLRVVSQeiqNevD4yD43&#10;0ezbkN1q9Nd3CwWPw8x8w8yXna3FjVpfOVYwGiYgiAunKzYKjoft+xSED8gaa8ek4EEelove2xwz&#10;7e6c020fjIgQ9hkqKENoMil9UZJFP3QNcfTOrrUYomyN1C3eI9zWcpwkH9JixXGhxIY2JRXX/Y9V&#10;8NyYr++L2R6eu5B/nmzapdN1rtSg361mIAJ14RX+b++0gnQygb8z8Qj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oXuIxQAAANwAAAAPAAAAAAAAAAAAAAAAAJgCAABkcnMv&#10;ZG93bnJldi54bWxQSwUGAAAAAAQABAD1AAAAigMAAAAA&#10;" path="m,l582,e" filled="f" strokeweight=".38064mm">
                  <v:path arrowok="t" o:connecttype="custom" o:connectlocs="0,0;582,0" o:connectangles="0,0"/>
                </v:shape>
                <v:shape id="Freeform 517" o:spid="_x0000_s1047" style="position:absolute;left:8355;top:1626;width:1668;height:20;visibility:visible;mso-wrap-style:square;v-text-anchor:top" coordsize="166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Jh7sYA&#10;AADcAAAADwAAAGRycy9kb3ducmV2LnhtbESPT2vCQBTE74V+h+UVetNNrYYS3UgoFKTgof6BHp/Z&#10;ZxKbfZvubjR++64g9DjMzG+YxXIwrTiT841lBS/jBARxaXXDlYLd9mP0BsIHZI2tZVJwJQ/L/PFh&#10;gZm2F/6i8yZUIkLYZ6igDqHLpPRlTQb92HbE0TtaZzBE6SqpHV4i3LRykiSpNNhwXKixo/eayp9N&#10;bxS430J3dj05Fa998amvtKoO+2+lnp+GYg4i0BD+w/f2SiuYzlK4nYlHQO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1Jh7sYAAADcAAAADwAAAAAAAAAAAAAAAACYAgAAZHJz&#10;L2Rvd25yZXYueG1sUEsFBgAAAAAEAAQA9QAAAIsDAAAAAA==&#10;" path="m,l1668,e" filled="f" strokeweight=".36pt">
                  <v:path arrowok="t" o:connecttype="custom" o:connectlocs="0,0;1668,0" o:connectangles="0,0"/>
                </v:shape>
                <v:shape id="Freeform 518" o:spid="_x0000_s1048" style="position:absolute;left:554;top:1842;width:338;height:20;visibility:visible;mso-wrap-style:square;v-text-anchor:top" coordsize="33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oqoccA&#10;AADcAAAADwAAAGRycy9kb3ducmV2LnhtbESPT2vCQBTE7wW/w/KEXkQ3ttaU1FX6B9FLD0YRe3tk&#10;X5Ng9m3Y3cb47bsFocdhZn7DLFa9aURHzteWFUwnCQjiwuqaSwWH/Xr8DMIHZI2NZVJwJQ+r5eBu&#10;gZm2F95Rl4dSRAj7DBVUIbSZlL6oyKCf2JY4et/WGQxRulJqh5cIN418SJK5NFhzXKiwpfeKinP+&#10;YxR8dn7ztvn6GFlL+eFxlqbN8eSUuh/2ry8gAvXhP3xrb7WC2VMKf2fiEZ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4qKqHHAAAA3AAAAA8AAAAAAAAAAAAAAAAAmAIAAGRy&#10;cy9kb3ducmV2LnhtbFBLBQYAAAAABAAEAPUAAACMAwAAAAA=&#10;" path="m,l338,e" filled="f" strokeweight=".36pt">
                  <v:path arrowok="t" o:connecttype="custom" o:connectlocs="0,0;338,0" o:connectangles="0,0"/>
                </v:shape>
                <v:shape id="Freeform 519" o:spid="_x0000_s1049" style="position:absolute;left:2668;top:1842;width:287;height:20;visibility:visible;mso-wrap-style:square;v-text-anchor:top" coordsize="28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9uxsIA&#10;AADcAAAADwAAAGRycy9kb3ducmV2LnhtbERPz2vCMBS+D/Y/hDfwNlPFDe2MIoOCFw914vnZvDXV&#10;5qUmme321y8HwePH93u5HmwrbuRD41jBZJyBIK6cbrhWcPgqXucgQkTW2DomBb8UYL16flpirl3P&#10;Jd32sRYphEOOCkyMXS5lqAxZDGPXESfu23mLMUFfS+2xT+G2ldMse5cWG04NBjv6NFRd9j9WQXEp&#10;F6fDlf3irzwWZrrd9edZVGr0Mmw+QEQa4kN8d2+1gtlbWpvOpCM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327GwgAAANwAAAAPAAAAAAAAAAAAAAAAAJgCAABkcnMvZG93&#10;bnJldi54bWxQSwUGAAAAAAQABAD1AAAAhwMAAAAA&#10;" path="m,l287,e" filled="f" strokeweight=".36pt">
                  <v:path arrowok="t" o:connecttype="custom" o:connectlocs="0,0;287,0" o:connectangles="0,0"/>
                </v:shape>
                <v:shape id="Freeform 520" o:spid="_x0000_s1050" style="position:absolute;left:4825;top:1813;width:2638;height:20;visibility:visible;mso-wrap-style:square;v-text-anchor:top" coordsize="263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SpEscA&#10;AADcAAAADwAAAGRycy9kb3ducmV2LnhtbESPT2sCMRTE74LfITzBm2ZbtHRXo2hFLHix/kG8PTav&#10;u9tuXpYk6rafvikUehxm5jfMdN6aWtzI+cqygodhAoI4t7riQsHxsB48g/ABWWNtmRR8kYf5rNuZ&#10;Yqbtnd/otg+FiBD2GSooQ2gyKX1ekkE/tA1x9N6tMxiidIXUDu8Rbmr5mCRP0mDFcaHEhl5Kyj/3&#10;V6Og3Z2X37vD4rI+pdvNNriVXx4/lOr32sUERKA2/If/2q9awWicwu+ZeATk7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w0qRLHAAAA3AAAAA8AAAAAAAAAAAAAAAAAmAIAAGRy&#10;cy9kb3ducmV2LnhtbFBLBQYAAAAABAAEAPUAAACMAwAAAAA=&#10;" path="m,l2638,e" filled="f" strokeweight=".25364mm">
                  <v:path arrowok="t" o:connecttype="custom" o:connectlocs="0,0;2638,0" o:connectangles="0,0"/>
                </v:shape>
                <v:shape id="Freeform 521" o:spid="_x0000_s1051" style="position:absolute;left:8355;top:2165;width:1668;height:20;visibility:visible;mso-wrap-style:square;v-text-anchor:top" coordsize="166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uWvMIA&#10;AADcAAAADwAAAGRycy9kb3ducmV2LnhtbERPz2vCMBS+D/Y/hCfstqY6kVGbShkIMthB58Djs3mm&#10;3ZqXmkSt//1yGOz48f0uV6PtxZV86BwrmGY5COLG6Y6Ngv3n+vkVRIjIGnvHpOBOAVbV40OJhXY3&#10;3tJ1F41IIRwKVNDGOBRShqYliyFzA3HiTs5bjAl6I7XHWwq3vZzl+UJa7Dg1tDjQW0vNz+5iFfhz&#10;rQf3MfuuXy71u77Txhy/Dko9TcZ6CSLSGP/Ff+6NVjBfpPnpTDoCsv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m5a8wgAAANwAAAAPAAAAAAAAAAAAAAAAAJgCAABkcnMvZG93&#10;bnJldi54bWxQSwUGAAAAAAQABAD1AAAAhwMAAAAA&#10;" path="m,l1668,e" filled="f" strokeweight=".36pt">
                  <v:path arrowok="t" o:connecttype="custom" o:connectlocs="0,0;1668,0" o:connectangles="0,0"/>
                </v:shape>
                <v:shape id="Freeform 522" o:spid="_x0000_s1052" style="position:absolute;left:4767;top:2165;width:496;height:20;visibility:visible;mso-wrap-style:square;v-text-anchor:top" coordsize="49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thlcQA&#10;AADcAAAADwAAAGRycy9kb3ducmV2LnhtbESPQUvEMBSE7wv+h/AEL4tNq0uQ2uwiiqAeVqx6fzTP&#10;ptq81Ca29d+bhQWPw8x8w1S7xfViojF0njUUWQ6CuPGm41bD2+v9+RWIEJEN9p5Jwy8F2G1PVhWW&#10;xs/8QlMdW5EgHErUYGMcSilDY8lhyPxAnLwPPzqMSY6tNCPOCe56eZHnSjrsOC1YHOjWUvNV/zgN&#10;w7uS6knt4yNefj7frfF7tq3S+ux0ubkGEWmJ/+Fj+8Fo2KgCDmfSEZD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bYZXEAAAA3AAAAA8AAAAAAAAAAAAAAAAAmAIAAGRycy9k&#10;b3ducmV2LnhtbFBLBQYAAAAABAAEAPUAAACJAwAAAAA=&#10;" path="m,l496,e" filled="f" strokeweight=".36pt">
                  <v:path arrowok="t" o:connecttype="custom" o:connectlocs="0,0;496,0" o:connectangles="0,0"/>
                </v:shape>
                <v:shape id="Freeform 523" o:spid="_x0000_s1053" style="position:absolute;left:5227;top:2168;width:568;height:20;visibility:visible;mso-wrap-style:square;v-text-anchor:top" coordsize="56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puW8MA&#10;AADcAAAADwAAAGRycy9kb3ducmV2LnhtbESP3WoCMRSE7wu+QziCdzW7IqKrUVSoSGkv/HmAY3Lc&#10;XdycLEnqbt++KRR6OczMN8xq09tGPMmH2rGCfJyBINbO1FwquF7eXucgQkQ22DgmBd8UYLMevKyw&#10;MK7jEz3PsRQJwqFABVWMbSFl0BVZDGPXEifv7rzFmKQvpfHYJbht5CTLZtJizWmhwpb2FenH+csq&#10;ODDqOd/050e7y7vcLvz7duGVGg377RJEpD7+h//aR6NgOpvA75l0BO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puW8MAAADcAAAADwAAAAAAAAAAAAAAAACYAgAAZHJzL2Rv&#10;d25yZXYueG1sUEsFBgAAAAAEAAQA9QAAAIgDAAAAAA==&#10;" path="m,l568,e" filled="f" strokeweight=".50728mm">
                  <v:path arrowok="t" o:connecttype="custom" o:connectlocs="0,0;568,0" o:connectangles="0,0"/>
                </v:shape>
                <v:shape id="Freeform 524" o:spid="_x0000_s1054" style="position:absolute;left:5982;top:2165;width:1798;height:20;visibility:visible;mso-wrap-style:square;v-text-anchor:top" coordsize="179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9L6cUA&#10;AADcAAAADwAAAGRycy9kb3ducmV2LnhtbESPQWvCQBSE74X+h+UVvBTdVINIdJU0IIieaovi7ZF9&#10;Jmmzb2N21fjvu4LgcZiZb5jZojO1uFDrKssKPgYRCOLc6ooLBT/fy/4EhPPIGmvLpOBGDhbz15cZ&#10;Jtpe+YsuW1+IAGGXoILS+yaR0uUlGXQD2xAH72hbgz7ItpC6xWuAm1oOo2gsDVYcFkpsKCsp/9ue&#10;jYI0/bWf74fdMN5kday77HTg/Vqp3luXTkF46vwz/GivtIJ4PIL7mXAE5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70vpxQAAANwAAAAPAAAAAAAAAAAAAAAAAJgCAABkcnMv&#10;ZG93bnJldi54bWxQSwUGAAAAAAQABAD1AAAAigMAAAAA&#10;" path="m,l1798,e" filled="f" strokeweight=".36pt">
                  <v:path arrowok="t" o:connecttype="custom" o:connectlocs="0,0;1798,0" o:connectangles="0,0"/>
                </v:shape>
                <v:shape id="Freeform 525" o:spid="_x0000_s1055" style="position:absolute;left:610;top:2362;width:4156;height:20;visibility:visible;mso-wrap-style:square;v-text-anchor:top" coordsize="415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7RzsYA&#10;AADcAAAADwAAAGRycy9kb3ducmV2LnhtbESP3WrCQBSE7wu+w3IK3pmNNWibuooECgVp0VS8Ps2e&#10;/JDs2ZDdanz7bkHo5TAz3zDr7Wg6caHBNZYVzKMYBHFhdcOVgtPX2+wZhPPIGjvLpOBGDrabycMa&#10;U22vfKRL7isRIOxSVFB736dSuqImgy6yPXHwSjsY9EEOldQDXgPcdPIpjpfSYMNhocaespqKNv8x&#10;CvRnk+0PMpsv2tv+5aPtvs+uXCk1fRx3ryA8jf4/fG+/awXJMoG/M+EIy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s7RzsYAAADcAAAADwAAAAAAAAAAAAAAAACYAgAAZHJz&#10;L2Rvd25yZXYueG1sUEsFBgAAAAAEAAQA9QAAAIsDAAAAAA==&#10;" path="m,l4156,e" filled="f" strokeweight=".25364mm">
                  <v:path arrowok="t" o:connecttype="custom" o:connectlocs="0,0;4156,0" o:connectangles="0,0"/>
                </v:shape>
                <v:shape id="Freeform 526" o:spid="_x0000_s1056" style="position:absolute;left:610;top:2826;width:4156;height:20;visibility:visible;mso-wrap-style:square;v-text-anchor:top" coordsize="415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Tk28QA&#10;AADcAAAADwAAAGRycy9kb3ducmV2LnhtbESPQWsCMRSE74L/ITyhN81a7CKrUaRloXgpXT14fGye&#10;m8XNy5KkuvrrTaHQ4zAz3zDr7WA7cSUfWscK5rMMBHHtdMuNguOhnC5BhIissXNMCu4UYLsZj9ZY&#10;aHfjb7pWsREJwqFABSbGvpAy1IYshpnriZN3dt5iTNI3Unu8Jbjt5GuW5dJiy2nBYE/vhupL9WMV&#10;7Mmdju288vfu6/QoF+GjzM1DqZfJsFuBiDTE//Bf+1MrWORv8HsmHQG5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8k5NvEAAAA3AAAAA8AAAAAAAAAAAAAAAAAmAIAAGRycy9k&#10;b3ducmV2LnhtbFBLBQYAAAAABAAEAPUAAACJAwAAAAA=&#10;" path="m,l4156,e" filled="f" strokeweight=".38064mm">
                  <v:path arrowok="t" o:connecttype="custom" o:connectlocs="0,0;4156,0" o:connectangles="0,0"/>
                </v:shape>
                <v:shape id="Freeform 527" o:spid="_x0000_s1057" style="position:absolute;left:4832;top:2858;width:2631;height:20;visibility:visible;mso-wrap-style:square;v-text-anchor:top" coordsize="263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dBMQA&#10;AADcAAAADwAAAGRycy9kb3ducmV2LnhtbESPQWvCQBSE74L/YXlCb7ppkLRNXUWEQg+9mHrw+Mi+&#10;ZlOzb8PuGtP+elcQPA4z8w2z2oy2EwP50DpW8LzIQBDXTrfcKDh8f8xfQYSIrLFzTAr+KMBmPZ2s&#10;sNTuwnsaqtiIBOFQogITY19KGWpDFsPC9cTJ+3HeYkzSN1J7vCS47WSeZYW02HJaMNjTzlB9qs5W&#10;gX8JDe/fjPv//ToOeX3aLfOqUuppNm7fQUQa4yN8b39qBcuigNuZdATk+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WnQTEAAAA3AAAAA8AAAAAAAAAAAAAAAAAmAIAAGRycy9k&#10;b3ducmV2LnhtbFBLBQYAAAAABAAEAPUAAACJAwAAAAA=&#10;" path="m,l2631,e" filled="f" strokeweight=".36pt">
                  <v:path arrowok="t" o:connecttype="custom" o:connectlocs="0,0;2631,0" o:connectangles="0,0"/>
                </v:shape>
                <v:shape id="Freeform 528" o:spid="_x0000_s1058" style="position:absolute;left:7449;top:2826;width:331;height:20;visibility:visible;mso-wrap-style:square;v-text-anchor:top" coordsize="33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HPi8QA&#10;AADcAAAADwAAAGRycy9kb3ducmV2LnhtbESPW2vCQBSE34X+h+UU+qabWm+kriJCIYgvRvH5NHua&#10;hGbPptnNpf/eFQQfh5n5hllvB1OJjhpXWlbwPolAEGdWl5wruJy/xisQziNrrCyTgn9ysN28jNYY&#10;a9vzibrU5yJA2MWooPC+jqV0WUEG3cTWxMH7sY1BH2STS91gH+CmktMoWkiDJYeFAmvaF5T9pq1R&#10;cPWrcza3u6PM3ZAczLf8+2g7pd5eh90nCE+Df4Yf7UQrmC2WcD8TjoD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Bz4vEAAAA3AAAAA8AAAAAAAAAAAAAAAAAmAIAAGRycy9k&#10;b3ducmV2LnhtbFBLBQYAAAAABAAEAPUAAACJAwAAAAA=&#10;" path="m,l331,e" filled="f" strokeweight=".36pt">
                  <v:path arrowok="t" o:connecttype="custom" o:connectlocs="0,0;331,0" o:connectangles="0,0"/>
                </v:shape>
                <v:shape id="Freeform 529" o:spid="_x0000_s1059" style="position:absolute;left:8355;top:2826;width:1668;height:20;visibility:visible;mso-wrap-style:square;v-text-anchor:top" coordsize="166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2ausIA&#10;AADcAAAADwAAAGRycy9kb3ducmV2LnhtbERPz2vCMBS+D/Y/hCfstqY6kVGbShkIMthB58Djs3mm&#10;3ZqXmkSt//1yGOz48f0uV6PtxZV86BwrmGY5COLG6Y6Ngv3n+vkVRIjIGnvHpOBOAVbV40OJhXY3&#10;3tJ1F41IIRwKVNDGOBRShqYliyFzA3HiTs5bjAl6I7XHWwq3vZzl+UJa7Dg1tDjQW0vNz+5iFfhz&#10;rQf3MfuuXy71u77Txhy/Dko9TcZ6CSLSGP/Ff+6NVjBfpLXpTDoCsv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7Zq6wgAAANwAAAAPAAAAAAAAAAAAAAAAAJgCAABkcnMvZG93&#10;bnJldi54bWxQSwUGAAAAAAQABAD1AAAAhwMAAAAA&#10;" path="m,l1668,e" filled="f" strokeweight=".36pt">
                  <v:path arrowok="t" o:connecttype="custom" o:connectlocs="0,0;1668,0" o:connectangles="0,0"/>
                </v:shape>
                <v:shape id="Freeform 530" o:spid="_x0000_s1060" style="position:absolute;left:4832;top:3282;width:2631;height:20;visibility:visible;mso-wrap-style:square;v-text-anchor:top" coordsize="263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kJdsQA&#10;AADcAAAADwAAAGRycy9kb3ducmV2LnhtbESPQWsCMRSE7wX/Q3iCt5rtIla3RhFB8ODFrQePj83r&#10;ZuvmZUniuvrrm0Khx2FmvmFWm8G2oicfGscK3qYZCOLK6YZrBefP/esCRIjIGlvHpOBBATbr0csK&#10;C+3ufKK+jLVIEA4FKjAxdoWUoTJkMUxdR5y8L+ctxiR9LbXHe4LbVuZZNpcWG04LBjvaGaqu5c0q&#10;8O+h5tPSuOf38dLn1XU3y8tSqcl42H6AiDTE//Bf+6AVzOZL+D2TjoB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JCXbEAAAA3AAAAA8AAAAAAAAAAAAAAAAAmAIAAGRycy9k&#10;b3ducmV2LnhtbFBLBQYAAAAABAAEAPUAAACJAwAAAAA=&#10;" path="m,l2631,e" filled="f" strokeweight=".36pt">
                  <v:path arrowok="t" o:connecttype="custom" o:connectlocs="0,0;2631,0" o:connectangles="0,0"/>
                </v:shape>
                <v:shape id="Freeform 531" o:spid="_x0000_s1061" style="position:absolute;left:12734;top:2697;width:20;height:2844;visibility:visible;mso-wrap-style:square;v-text-anchor:top" coordsize="20,2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4micEA&#10;AADcAAAADwAAAGRycy9kb3ducmV2LnhtbERPy4rCMBTdD/gP4QpuRNOKo1KNIjoDMrjxtb8017bY&#10;3NQmavXrzUKY5eG8Z4vGlOJOtSssK4j7EQji1OqCMwXHw29vAsJ5ZI2lZVLwJAeLeetrhom2D97R&#10;fe8zEULYJagg975KpHRpTgZd31bEgTvb2qAPsM6krvERwk0pB1E0kgYLDg05VrTKKb3sb0aBXR6K&#10;9fela3/+TtfXc7DbxuvYKdVpN8spCE+N/xd/3ButYDgO88OZcATk/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lOJonBAAAA3AAAAA8AAAAAAAAAAAAAAAAAmAIAAGRycy9kb3du&#10;cmV2LnhtbFBLBQYAAAAABAAEAPUAAACGAwAAAAA=&#10;" path="m,2843l,e" filled="f" strokeweight=".36pt">
                  <v:path arrowok="t" o:connecttype="custom" o:connectlocs="0,2843;0,0" o:connectangles="0,0"/>
                </v:shape>
                <v:shape id="Freeform 532" o:spid="_x0000_s1062" style="position:absolute;left:15078;top:2660;width:20;height:166;visibility:visible;mso-wrap-style:square;v-text-anchor:top" coordsize="20,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oOk8YA&#10;AADcAAAADwAAAGRycy9kb3ducmV2LnhtbESPT2vCQBTE74V+h+UVeqsbg2gaXaWNNBQPQm3B6yP7&#10;moRm34bs5o/f3i0IHoeZ+Q2z2U2mEQN1rrasYD6LQBAXVtdcKvj5/nhJQDiPrLGxTAou5GC3fXzY&#10;YKrtyF80nHwpAoRdigoq79tUSldUZNDNbEscvF/bGfRBdqXUHY4BbhoZR9FSGqw5LFTYUlZR8Xfq&#10;jYJz0k95+R7LY15H2XJ4PeTH/UGp56fpbQ3C0+Tv4Vv7UytYrObwfyYcAbm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uoOk8YAAADcAAAADwAAAAAAAAAAAAAAAACYAgAAZHJz&#10;L2Rvd25yZXYueG1sUEsFBgAAAAAEAAQA9QAAAIsDAAAAAA==&#10;" path="m,166l,e" filled="f" strokeweight=".36pt">
                  <v:path arrowok="t" o:connecttype="custom" o:connectlocs="0,166;0,0" o:connectangles="0,0"/>
                </v:shape>
                <v:shape id="Freeform 533" o:spid="_x0000_s1063" style="position:absolute;left:15045;top:2826;width:20;height:1206;visibility:visible;mso-wrap-style:square;v-text-anchor:top" coordsize="20,1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4iPMUA&#10;AADcAAAADwAAAGRycy9kb3ducmV2LnhtbESPQWvCQBSE70L/w/IKvelGW6xEN2ILpVUQrIrnR/aZ&#10;hGTfbrNbE/99tyB4HGa+GWax7E0jLtT6yrKC8SgBQZxbXXGh4Hj4GM5A+ICssbFMCq7kYZk9DBaY&#10;atvxN132oRCxhH2KCsoQXCqlz0sy6EfWEUfvbFuDIcq2kLrFLpabRk6SZCoNVhwXSnT0XlJe73+N&#10;gpfd1G3889asP08rdt1brX82R6WeHvvVHESgPtzDN/pLR+51Av9n4hG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3iI8xQAAANwAAAAPAAAAAAAAAAAAAAAAAJgCAABkcnMv&#10;ZG93bnJldi54bWxQSwUGAAAAAAQABAD1AAAAigMAAAAA&#10;" path="m,1206l,e" filled="f" strokeweight=".36pt">
                  <v:path arrowok="t" o:connecttype="custom" o:connectlocs="0,1206;0,0" o:connectangles="0,0"/>
                </v:shape>
                <v:shape id="Freeform 534" o:spid="_x0000_s1064" style="position:absolute;left:7442;top:3336;width:7643;height:20;visibility:visible;mso-wrap-style:square;v-text-anchor:top" coordsize="764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8b08QA&#10;AADcAAAADwAAAGRycy9kb3ducmV2LnhtbESP3YrCMBSE7xd8h3CEvdPUH1SqUURc9GJhtfoAx+bY&#10;FpuT0sTavr1ZWNjLYWa+YVab1pSiodoVlhWMhhEI4tTqgjMF18vXYAHCeWSNpWVS0JGDzbr3scJY&#10;2xefqUl8JgKEXYwKcu+rWEqX5mTQDW1FHLy7rQ36IOtM6hpfAW5KOY6imTRYcFjIsaJdTukjeRoF&#10;TXfKir1NcH/Vz+3N/0y+u/tBqc9+u12C8NT6//Bf+6gVTOcT+D0TjoBc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PG9PEAAAA3AAAAA8AAAAAAAAAAAAAAAAAmAIAAGRycy9k&#10;b3ducmV2LnhtbFBLBQYAAAAABAAEAPUAAACJAwAAAAA=&#10;" path="m,l7643,e" filled="f" strokeweight=".36pt">
                  <v:path arrowok="t" o:connecttype="custom" o:connectlocs="0,0;7643,0" o:connectangles="0,0"/>
                </v:shape>
                <v:shape id="Freeform 535" o:spid="_x0000_s1065" style="position:absolute;left:610;top:3763;width:4156;height:20;visibility:visible;mso-wrap-style:square;v-text-anchor:top" coordsize="415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dHE8QA&#10;AADcAAAADwAAAGRycy9kb3ducmV2LnhtbESPW4vCMBSE3xf8D+EIvq2prnipRpHCwoIo3vD52Bzb&#10;0uakNFHrv98IC/s4zMw3zGLVmko8qHGFZQWDfgSCOLW64EzB+fT9OQXhPLLGyjIpeJGD1bLzscBY&#10;2ycf6HH0mQgQdjEqyL2vYyldmpNB17c1cfButjHog2wyqRt8Brip5DCKxtJgwWEhx5qSnNLyeDcK&#10;9K5INnuZDL7K12a2Lavrxd0mSvW67XoOwlPr/8N/7R+tYDQZwftMO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8XRxPEAAAA3AAAAA8AAAAAAAAAAAAAAAAAmAIAAGRycy9k&#10;b3ducmV2LnhtbFBLBQYAAAAABAAEAPUAAACJAwAAAAA=&#10;" path="m,l4156,e" filled="f" strokeweight=".25364mm">
                  <v:path arrowok="t" o:connecttype="custom" o:connectlocs="0,0;4156,0" o:connectangles="0,0"/>
                </v:shape>
                <v:shape id="Freeform 536" o:spid="_x0000_s1066" style="position:absolute;left:4767;top:3853;width:3013;height:20;visibility:visible;mso-wrap-style:square;v-text-anchor:top" coordsize="301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2pdMUA&#10;AADcAAAADwAAAGRycy9kb3ducmV2LnhtbESP3YrCMBSE7xd8h3AE79ZUcVWqUUQQXYTFPxTvDs2x&#10;LTYnpcna7tubBcHLYWa+YabzxhTiQZXLLSvodSMQxInVOacKTsfV5xiE88gaC8uk4I8czGetjynG&#10;2ta8p8fBpyJA2MWoIPO+jKV0SUYGXdeWxMG72cqgD7JKpa6wDnBTyH4UDaXBnMNChiUtM0ruh1+j&#10;YHMsix9//d6ulw3vxqf6Up/va6U67WYxAeGp8e/wq73RCgajL/g/E46An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3al0xQAAANwAAAAPAAAAAAAAAAAAAAAAAJgCAABkcnMv&#10;ZG93bnJldi54bWxQSwUGAAAAAAQABAD1AAAAigMAAAAA&#10;" path="m,l3013,e" filled="f" strokeweight=".36pt">
                  <v:path arrowok="t" o:connecttype="custom" o:connectlocs="0,0;3013,0" o:connectangles="0,0"/>
                </v:shape>
                <v:shape id="Freeform 537" o:spid="_x0000_s1067" style="position:absolute;left:7679;top:3842;width:777;height:20;visibility:visible;mso-wrap-style:square;v-text-anchor:top" coordsize="77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5V/cYA&#10;AADcAAAADwAAAGRycy9kb3ducmV2LnhtbESPT2vCQBTE74LfYXlCb3UTKSrRVcQ/1Esrag56e2af&#10;STD7NmRXTb99t1DwOMzMb5jpvDWVeFDjSssK4n4EgjizuuRcQXrcvI9BOI+ssbJMCn7IwXzW7Uwx&#10;0fbJe3ocfC4ChF2CCgrv60RKlxVk0PVtTRy8q20M+iCbXOoGnwFuKjmIoqE0WHJYKLCmZUHZ7XA3&#10;Ckb372q1Pu3SOJXpZ3zOtl+X6KTUW69dTEB4av0r/N/eagUfoyH8nQlH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65V/cYAAADcAAAADwAAAAAAAAAAAAAAAACYAgAAZHJz&#10;L2Rvd25yZXYueG1sUEsFBgAAAAAEAAQA9QAAAIsDAAAAAA==&#10;" path="m,l777,e" filled="f" strokeweight=".50728mm">
                  <v:path arrowok="t" o:connecttype="custom" o:connectlocs="0,0;777,0" o:connectangles="0,0"/>
                </v:shape>
                <v:shape id="Freeform 538" o:spid="_x0000_s1068" style="position:absolute;left:8555;top:3853;width:1467;height:20;visibility:visible;mso-wrap-style:square;v-text-anchor:top" coordsize="146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Uq58UA&#10;AADcAAAADwAAAGRycy9kb3ducmV2LnhtbESPQWsCMRSE7wX/Q3hCbzWxLF1ZjSJiF6WnqoUeH5vn&#10;ZtvNy7JJdf33TaHgcZiZb5jFanCtuFAfGs8aphMFgrjypuFaw+n4+jQDESKywdYzabhRgNVy9LDA&#10;wvgrv9PlEGuRIBwK1GBj7AopQ2XJYZj4jjh5Z987jEn2tTQ9XhPctfJZqRfpsOG0YLGjjaXq+/Dj&#10;NIRyV24tfuxVrrK3vbp9ll+zTOvH8bCeg4g0xHv4v70zGrI8h78z6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5SrnxQAAANwAAAAPAAAAAAAAAAAAAAAAAJgCAABkcnMv&#10;ZG93bnJldi54bWxQSwUGAAAAAAQABAD1AAAAigMAAAAA&#10;" path="m,l1467,e" filled="f" strokeweight=".36pt">
                  <v:path arrowok="t" o:connecttype="custom" o:connectlocs="0,0;1467,0" o:connectangles="0,0"/>
                </v:shape>
                <v:shape id="Freeform 539" o:spid="_x0000_s1069" style="position:absolute;left:12734;top:4054;width:2351;height:20;visibility:visible;mso-wrap-style:square;v-text-anchor:top" coordsize="235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KRu8MA&#10;AADcAAAADwAAAGRycy9kb3ducmV2LnhtbERPz2vCMBS+D/wfwhN2GTZ1jCm1sYgwtsF2sOrB26N5&#10;tqXJS2myWv/75TDY8eP7nReTNWKkwbeOFSyTFARx5XTLtYLT8W2xBuEDskbjmBTcyUOxnT3kmGl3&#10;4wONZahFDGGfoYImhD6T0lcNWfSJ64kjd3WDxRDhUEs94C2GWyOf0/RVWmw5NjTY076hqit/rIKv&#10;1I3Hb/P0fj/zpTuZz73Ba6nU43zabUAEmsK/+M/9oRW8rOLaeCYeAbn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qKRu8MAAADcAAAADwAAAAAAAAAAAAAAAACYAgAAZHJzL2Rv&#10;d25yZXYueG1sUEsFBgAAAAAEAAQA9QAAAIgDAAAAAA==&#10;" path="m,l2351,e" filled="f" strokeweight=".36pt">
                  <v:path arrowok="t" o:connecttype="custom" o:connectlocs="0,0;2351,0" o:connectangles="0,0"/>
                </v:shape>
                <v:shape id="Freeform 540" o:spid="_x0000_s1070" style="position:absolute;left:15078;top:4054;width:20;height:402;visibility:visible;mso-wrap-style:square;v-text-anchor:top" coordsize="20,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X1OsUA&#10;AADcAAAADwAAAGRycy9kb3ducmV2LnhtbESPQWsCMRSE74L/ITyhF6lZa23rahQrFBQ8tNpLb4/N&#10;c7O4eVmSVLf+eiMUPA4z8w0zW7S2FifyoXKsYDjIQBAXTldcKvjefzy+gQgRWWPtmBT8UYDFvNuZ&#10;Ya7dmb/otIulSBAOOSowMTa5lKEwZDEMXEOcvIPzFmOSvpTa4znBbS2fsuxFWqw4LRhsaGWoOO5+&#10;rQL/7piXensYj2rzs//c0GWLfaUeeu1yCiJSG+/h//ZaK3h+ncDtTDo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lfU6xQAAANwAAAAPAAAAAAAAAAAAAAAAAJgCAABkcnMv&#10;ZG93bnJldi54bWxQSwUGAAAAAAQABAD1AAAAigMAAAAA&#10;" path="m,402l,e" filled="f" strokeweight=".36pt">
                  <v:path arrowok="t" o:connecttype="custom" o:connectlocs="0,402;0,0" o:connectangles="0,0"/>
                </v:shape>
                <v:shape id="Freeform 541" o:spid="_x0000_s1071" style="position:absolute;left:10015;top:4291;width:2725;height:20;visibility:visible;mso-wrap-style:square;v-text-anchor:top" coordsize="272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bp18EA&#10;AADcAAAADwAAAGRycy9kb3ducmV2LnhtbERPXWvCMBR9F/wP4Qp709QyRKpRVHCMMZhafb8017bY&#10;3JQma+O/Xx6EPR7O93obTCN66lxtWcF8loAgLqyuuVRwzY/TJQjnkTU2lknBkxxsN+PRGjNtBz5T&#10;f/GliCHsMlRQed9mUrqiIoNuZlviyN1tZ9BH2JVSdzjEcNPINEkW0mDNsaHClg4VFY/Lr1HQfJ2S&#10;gdPn4ft0C3P78bPP88dZqbdJ2K1AeAr+X/xyf2oF78s4P56JR0B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2W6dfBAAAA3AAAAA8AAAAAAAAAAAAAAAAAmAIAAGRycy9kb3du&#10;cmV2LnhtbFBLBQYAAAAABAAEAPUAAACGAwAAAAA=&#10;" path="m,l2725,e" filled="f" strokeweight=".36pt">
                  <v:path arrowok="t" o:connecttype="custom" o:connectlocs="0,0;2725,0" o:connectangles="0,0"/>
                </v:shape>
                <v:shape id="Freeform 542" o:spid="_x0000_s1072" style="position:absolute;left:610;top:4580;width:4652;height:20;visibility:visible;mso-wrap-style:square;v-text-anchor:top" coordsize="465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Dd6ccA&#10;AADcAAAADwAAAGRycy9kb3ducmV2LnhtbESPT2vCQBTE74V+h+UVetNNpH9CdJVSsfQixbSHentk&#10;n9lg9m3Irknsp3cFocdhZn7DLFajbURPna8dK0inCQji0umaKwU/35tJBsIHZI2NY1JwJg+r5f3d&#10;AnPtBt5RX4RKRAj7HBWYENpcSl8asuinriWO3sF1FkOUXSV1h0OE20bOkuRFWqw5Lhhs6d1QeSxO&#10;VsHH+jgM/txXJvv7et1ui/1v+rxX6vFhfJuDCDSG//Ct/akVPGUpXM/EI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YA3enHAAAA3AAAAA8AAAAAAAAAAAAAAAAAmAIAAGRy&#10;cy9kb3ducmV2LnhtbFBLBQYAAAAABAAEAPUAAACMAwAAAAA=&#10;" path="m,l4652,e" filled="f" strokeweight=".44378mm">
                  <v:path arrowok="t" o:connecttype="custom" o:connectlocs="0,0;4652,0" o:connectangles="0,0"/>
                </v:shape>
                <v:shape id="Freeform 543" o:spid="_x0000_s1073" style="position:absolute;left:5233;top:4564;width:597;height:20;visibility:visible;mso-wrap-style:square;v-text-anchor:top" coordsize="59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RBp8QA&#10;AADcAAAADwAAAGRycy9kb3ducmV2LnhtbESPQYvCMBSE74L/ITzBm03VZdXaKCIIgoel6sHjo3m2&#10;xealNFGrv94sLOxxmJlvmHTdmVo8qHWVZQXjKAZBnFtdcaHgfNqN5iCcR9ZYWyYFL3KwXvV7KSba&#10;Pjmjx9EXIkDYJaig9L5JpHR5SQZdZBvi4F1ta9AH2RZSt/gMcFPLSRx/S4MVh4USG9qWlN+Od6Pg&#10;J5tm720hD4d81hk31ePz4lIrNRx0myUIT53/D/+191rB13wCv2fCEZCr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kQafEAAAA3AAAAA8AAAAAAAAAAAAAAAAAmAIAAGRycy9k&#10;b3ducmV2LnhtbFBLBQYAAAAABAAEAPUAAACJAwAAAAA=&#10;" path="m,l597,e" filled="f" strokeweight=".63428mm">
                  <v:path arrowok="t" o:connecttype="custom" o:connectlocs="0,0;597,0" o:connectangles="0,0"/>
                </v:shape>
                <v:shape id="Freeform 544" o:spid="_x0000_s1074" style="position:absolute;left:5982;top:4571;width:4041;height:20;visibility:visible;mso-wrap-style:square;v-text-anchor:top" coordsize="404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8hscUA&#10;AADcAAAADwAAAGRycy9kb3ducmV2LnhtbESPQWvCQBSE7wX/w/IKvRTdaGoJMZsQpEIPPWgsnp/Z&#10;ZxKafRuyW03/fbcg9DjMzDdMVkymF1caXWdZwXIRgSCure64UfB53M0TEM4ja+wtk4IfclDks4cM&#10;U21vfKBr5RsRIOxSVNB6P6RSurolg25hB+LgXexo0Ac5NlKPeAtw08tVFL1Kgx2HhRYH2rZUf1Xf&#10;RgGvzuVJx3a703HVP7+Zj8t+7ZR6epzKDQhPk/8P39vvWsFLEsPfmXAEZP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yGxxQAAANwAAAAPAAAAAAAAAAAAAAAAAJgCAABkcnMv&#10;ZG93bnJldi54bWxQSwUGAAAAAAQABAD1AAAAigMAAAAA&#10;" path="m,l4041,e" filled="f" strokeweight=".36pt">
                  <v:path arrowok="t" o:connecttype="custom" o:connectlocs="0,0;4041,0" o:connectangles="0,0"/>
                </v:shape>
                <v:shape id="Freeform 545" o:spid="_x0000_s1075" style="position:absolute;left:15045;top:4427;width:20;height:446;visibility:visible;mso-wrap-style:square;v-text-anchor:top" coordsize="20,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X2DsQA&#10;AADcAAAADwAAAGRycy9kb3ducmV2LnhtbESPQWvCQBSE74X+h+UVvBTdKCFo6iqiKF48VEvPj+xr&#10;Esy+DdmNSfz1riD0OMzMN8xy3ZtK3KhxpWUF00kEgjizuuRcwc9lP56DcB5ZY2WZFAzkYL16f1ti&#10;qm3H33Q7+1wECLsUFRTe16mULivIoJvYmjh4f7Yx6INscqkb7ALcVHIWRYk0WHJYKLCmbUHZ9dwa&#10;BZchj+/XZDHsXNLySR/a7td+KjX66DdfIDz1/j/8ah+1gngew/NMOAJ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l9g7EAAAA3AAAAA8AAAAAAAAAAAAAAAAAmAIAAGRycy9k&#10;b3ducmV2LnhtbFBLBQYAAAAABAAEAPUAAACJAwAAAAA=&#10;" path="m,446l,e" filled="f" strokeweight=".36pt">
                  <v:path arrowok="t" o:connecttype="custom" o:connectlocs="0,446;0,0" o:connectangles="0,0"/>
                </v:shape>
                <v:shape id="Freeform 546" o:spid="_x0000_s1076" style="position:absolute;left:10015;top:4858;width:5069;height:20;visibility:visible;mso-wrap-style:square;v-text-anchor:top" coordsize="506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wMf8UA&#10;AADcAAAADwAAAGRycy9kb3ducmV2LnhtbESPQWvCQBSE7wX/w/IEb3XTWiVEVxGrUGgvaqHXZ/aZ&#10;Dc2+Ddk1if76bkHwOMzMN8xi1dtKtNT40rGCl3ECgjh3uuRCwfdx95yC8AFZY+WYFFzJw2o5eFpg&#10;pl3He2oPoRARwj5DBSaEOpPS54Ys+rGriaN3do3FEGVTSN1gF+G2kq9JMpMWS44LBmvaGMp/Dxer&#10;wLef6al7D+b087Wlye22lZN9otRo2K/nIAL14RG+tz+0grd0Cv9n4h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DAx/xQAAANwAAAAPAAAAAAAAAAAAAAAAAJgCAABkcnMv&#10;ZG93bnJldi54bWxQSwUGAAAAAAQABAD1AAAAigMAAAAA&#10;" path="m,l5069,e" filled="f" strokeweight=".36pt">
                  <v:path arrowok="t" o:connecttype="custom" o:connectlocs="0,0;5069,0" o:connectangles="0,0"/>
                </v:shape>
                <v:shape id="Freeform 547" o:spid="_x0000_s1077" style="position:absolute;left:554;top:4981;width:338;height:20;visibility:visible;mso-wrap-style:square;v-text-anchor:top" coordsize="33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ajfcYA&#10;AADcAAAADwAAAGRycy9kb3ducmV2LnhtbESPQWvCQBSE70L/w/IKvYhurGIkdZVaEXvx0FREb4/s&#10;axKafRt2tzH++26h4HGYmW+Y5bo3jejI+dqygsk4AUFcWF1zqeD4uRstQPiArLGxTApu5GG9ehgs&#10;MdP2yh/U5aEUEcI+QwVVCG0mpS8qMujHtiWO3pd1BkOUrpTa4TXCTSOfk2QuDdYcFyps6a2i4jv/&#10;MQoOnd9v9pft0FrKj9NZmjans1Pq6bF/fQERqA/38H/7XSuYLebwdyYe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wajfcYAAADcAAAADwAAAAAAAAAAAAAAAACYAgAAZHJz&#10;L2Rvd25yZXYueG1sUEsFBgAAAAAEAAQA9QAAAIsDAAAAAA==&#10;" path="m,l338,e" filled="f" strokeweight=".36pt">
                  <v:path arrowok="t" o:connecttype="custom" o:connectlocs="0,0;338,0" o:connectangles="0,0"/>
                </v:shape>
                <v:shape id="Freeform 548" o:spid="_x0000_s1078" style="position:absolute;left:1545;top:4981;width:5917;height:20;visibility:visible;mso-wrap-style:square;v-text-anchor:top" coordsize="591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A6W8UA&#10;AADcAAAADwAAAGRycy9kb3ducmV2LnhtbESPQWvCQBSE70L/w/IKvZmNIjGkrlIKBZGWYlJ6fs0+&#10;k9js25BdTfLvuwXB4zAz3zCb3WhacaXeNZYVLKIYBHFpdcOVgq/ibZ6CcB5ZY2uZFEzkYLd9mG0w&#10;03bgI11zX4kAYZehgtr7LpPSlTUZdJHtiIN3sr1BH2RfSd3jEOCmlcs4TqTBhsNCjR291lT+5hej&#10;gFcfxSG9vB8G7dLPxJzX39PiR6mnx/HlGYSn0d/Dt/ZeK1ila/g/E46A3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UDpbxQAAANwAAAAPAAAAAAAAAAAAAAAAAJgCAABkcnMv&#10;ZG93bnJldi54bWxQSwUGAAAAAAQABAD1AAAAigMAAAAA&#10;" path="m,l5917,e" filled="f" strokeweight=".36pt">
                  <v:path arrowok="t" o:connecttype="custom" o:connectlocs="0,0;5917,0" o:connectangles="0,0"/>
                </v:shape>
                <v:shape id="Freeform 549" o:spid="_x0000_s1079" style="position:absolute;left:7455;top:211;width:20;height:6652;visibility:visible;mso-wrap-style:square;v-text-anchor:top" coordsize="20,66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7ttsIA&#10;AADcAAAADwAAAGRycy9kb3ducmV2LnhtbERPy4rCMBTdC/5DuIIb0VTHR6lGcQRhtj427i7Ntak2&#10;N6XJ2DpfP1kMzPJw3ptdZyvxosaXjhVMJwkI4tzpkgsF18txnILwAVlj5ZgUvMnDbtvvbTDTruUT&#10;vc6hEDGEfYYKTAh1JqXPDVn0E1cTR+7uGoshwqaQusE2httKzpJkKS2WHBsM1nQwlD/P31bBRzt7&#10;Lh7pcTp65J/3VfKT3t7GKzUcdPs1iEBd+Bf/ub+0gnka18Yz8QjI7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7u22wgAAANwAAAAPAAAAAAAAAAAAAAAAAJgCAABkcnMvZG93&#10;bnJldi54bWxQSwUGAAAAAAQABAD1AAAAhwMAAAAA&#10;" path="m,6652l,e" filled="f" strokeweight=".25364mm">
                  <v:path arrowok="t" o:connecttype="custom" o:connectlocs="0,6652;0,0" o:connectangles="0,0"/>
                </v:shape>
                <v:shape id="Freeform 550" o:spid="_x0000_s1080" style="position:absolute;left:10724;top:2701;width:20;height:3544;visibility:visible;mso-wrap-style:square;v-text-anchor:top" coordsize="20,3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2AA8UA&#10;AADcAAAADwAAAGRycy9kb3ducmV2LnhtbESPUWvCMBSF3wf+h3AHexkz3XBSq1FkMJS9qO1+wLW5&#10;a4rNTUkyrf/eDIQ9Hs453+EsVoPtxJl8aB0reB1nIIhrp1tuFHxXny85iBCRNXaOScGVAqyWo4cF&#10;Ftpd+EDnMjYiQTgUqMDE2BdShtqQxTB2PXHyfpy3GJP0jdQeLwluO/mWZVNpseW0YLCnD0P1qfy1&#10;Crr3U8h2+aT8eqZZ3obKb/bmqNTT47Ceg4g0xP/wvb3VCib5DP7OpCM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PYADxQAAANwAAAAPAAAAAAAAAAAAAAAAAJgCAABkcnMv&#10;ZG93bnJldi54bWxQSwUGAAAAAAQABAD1AAAAigMAAAAA&#10;" path="m,3544l,e" filled="f" strokeweight=".25364mm">
                  <v:path arrowok="t" o:connecttype="custom" o:connectlocs="0,3544;0,0" o:connectangles="0,0"/>
                </v:shape>
                <v:shape id="Freeform 551" o:spid="_x0000_s1081" style="position:absolute;left:13254;top:2697;width:20;height:3541;visibility:visible;mso-wrap-style:square;v-text-anchor:top" coordsize="20,35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T9r8IA&#10;AADcAAAADwAAAGRycy9kb3ducmV2LnhtbERPz2vCMBS+D/wfwhN2m6lOhqtGkTHRgztUhV0fzbPp&#10;1ryUJNq6v345CB4/vt+LVW8bcSUfascKxqMMBHHpdM2VgtNx8zIDESKyxsYxKbhRgNVy8LTAXLuO&#10;C7oeYiVSCIccFZgY21zKUBqyGEauJU7c2XmLMUFfSe2xS+G2kZMse5MWa04NBlv6MFT+Hi5WwWT3&#10;+f2zf701X1lRtFvjOz/7q5R6HvbrOYhIfXyI7+6dVjB9T/PTmXQE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JP2vwgAAANwAAAAPAAAAAAAAAAAAAAAAAJgCAABkcnMvZG93&#10;bnJldi54bWxQSwUGAAAAAAQABAD1AAAAhwMAAAAA&#10;" path="m,3541l,e" filled="f" strokeweight=".25364mm">
                  <v:path arrowok="t" o:connecttype="custom" o:connectlocs="0,3541;0,0" o:connectangles="0,0"/>
                </v:shape>
                <v:shape id="Freeform 552" o:spid="_x0000_s1082" style="position:absolute;left:15038;top:4830;width:20;height:1429;visibility:visible;mso-wrap-style:square;v-text-anchor:top" coordsize="20,14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yKEMMA&#10;AADcAAAADwAAAGRycy9kb3ducmV2LnhtbESPQWvCQBSE74X+h+UVvDWbiFpNXUUCghfBWsHrM/tM&#10;0mbfhuw2if/eFQoeh5n5hlmuB1OLjlpXWVaQRDEI4tzqigsFp+/t+xyE88gaa8uk4EYO1qvXlyWm&#10;2vb8Rd3RFyJA2KWooPS+SaV0eUkGXWQb4uBdbWvQB9kWUrfYB7ip5TiOZ9JgxWGhxIaykvLf459R&#10;MD7MLslP0u2zTE8/NudeBoJUavQ2bD5BeBr8M/zf3mkFk0UCjzPhCMjV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byKEMMAAADcAAAADwAAAAAAAAAAAAAAAACYAgAAZHJzL2Rv&#10;d25yZXYueG1sUEsFBgAAAAAEAAQA9QAAAIgDAAAAAA==&#10;" path="m,1428l,e" filled="f" strokeweight=".36pt">
                  <v:path arrowok="t" o:connecttype="custom" o:connectlocs="0,1428;0,0" o:connectangles="0,0"/>
                </v:shape>
                <v:shape id="Freeform 553" o:spid="_x0000_s1083" style="position:absolute;left:5237;top:462;width:20;height:6422;visibility:visible;mso-wrap-style:square;v-text-anchor:top" coordsize="20,6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kDV8UA&#10;AADcAAAADwAAAGRycy9kb3ducmV2LnhtbESP3WrCQBSE7wXfYTlC73RTKaWJrlIEabFI8Qdze8ge&#10;k2D27JpdNX37riB4OczMN8x03plGXKn1tWUFr6MEBHFhdc2lgv1uOfwA4QOyxsYyKfgjD/NZvzfF&#10;TNsbb+i6DaWIEPYZKqhCcJmUvqjIoB9ZRxy9o20NhijbUuoWbxFuGjlOkndpsOa4UKGjRUXFaXsx&#10;Cha5S/JNevj9Oder4ovztetkqtTLoPucgAjUhWf40f7WCt7SMdzPxCMg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aQNXxQAAANwAAAAPAAAAAAAAAAAAAAAAAJgCAABkcnMv&#10;ZG93bnJldi54bWxQSwUGAAAAAAQABAD1AAAAigMAAAAA&#10;" path="m,6422l,e" filled="f" strokeweight=".25364mm">
                  <v:path arrowok="t" o:connecttype="custom" o:connectlocs="0,6422;0,0" o:connectangles="0,0"/>
                </v:shape>
                <v:shape id="Freeform 554" o:spid="_x0000_s1084" style="position:absolute;left:15078;top:4981;width:20;height:308;visibility:visible;mso-wrap-style:square;v-text-anchor:top" coordsize="20,3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xR08QA&#10;AADcAAAADwAAAGRycy9kb3ducmV2LnhtbESPT2sCMRTE70K/Q3hCb5rVitTVrFhpobQnrez5sXnu&#10;HzcvS5Ku67c3hYLHYWZ+w2y2g2lFT87XlhXMpgkI4sLqmksFp5+PySsIH5A1tpZJwY08bLOn0QZT&#10;ba98oP4YShEh7FNUUIXQpVL6oiKDfmo74uidrTMYonSl1A6vEW5aOU+SpTRYc1yosKN9RcXl+GsU&#10;NO/599elvPGua3IX+jfTt3Wu1PN42K1BBBrCI/zf/tQKFqsX+DsTj4DM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MUdPEAAAA3AAAAA8AAAAAAAAAAAAAAAAAmAIAAGRycy9k&#10;b3ducmV2LnhtbFBLBQYAAAAABAAEAPUAAACJAwAAAAA=&#10;" path="m,308l,e" filled="f" strokeweight=".36pt">
                  <v:path arrowok="t" o:connecttype="custom" o:connectlocs="0,308;0,0" o:connectangles="0,0"/>
                </v:shape>
                <v:shape id="Freeform 555" o:spid="_x0000_s1085" style="position:absolute;left:554;top:5361;width:4709;height:20;visibility:visible;mso-wrap-style:square;v-text-anchor:top" coordsize="470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AQsUA&#10;AADcAAAADwAAAGRycy9kb3ducmV2LnhtbESPT2sCMRTE74LfITzBi2i2IlK3Rin+Q/Ck7UFvj83r&#10;7uLmJW6irn76Rij0OMzMb5jpvDGVuFHtS8sK3gYJCOLM6pJzBd9f6/47CB+QNVaWScGDPMxn7dYU&#10;U23vvKfbIeQiQtinqKAIwaVS+qwgg35gHXH0fmxtMERZ51LXeI9wU8lhkoylwZLjQoGOFgVl58PV&#10;KHA76p16p9X5squewS7ccbN0R6W6nebzA0SgJvyH/9pbrWA0GcHrTDwC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EUBCxQAAANwAAAAPAAAAAAAAAAAAAAAAAJgCAABkcnMv&#10;ZG93bnJldi54bWxQSwUGAAAAAAQABAD1AAAAigMAAAAA&#10;" path="m,l4709,e" filled="f" strokeweight=".36pt">
                  <v:path arrowok="t" o:connecttype="custom" o:connectlocs="0,0;4709,0" o:connectangles="0,0"/>
                </v:shape>
                <v:shape id="Freeform 556" o:spid="_x0000_s1086" style="position:absolute;left:5227;top:5361;width:1791;height:20;visibility:visible;mso-wrap-style:square;v-text-anchor:top" coordsize="179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19cYA&#10;AADcAAAADwAAAGRycy9kb3ducmV2LnhtbESPQWsCMRSE7wX/Q3iCl6JZa6t2a5QiCJ4K3Yro7bF5&#10;3SxNXtZNdLf/vikUehxm5htmtemdFTdqQ+1ZwXSSgSAuva65UnD42I2XIEJE1mg9k4JvCrBZD+5W&#10;mGvf8TvdiliJBOGQowITY5NLGUpDDsPEN8TJ+/Stw5hkW0ndYpfgzsqHLJtLhzWnBYMNbQ2VX8XV&#10;KbhfXruLnr2ZfXM69/pYWHNaWKVGw/71BUSkPv6H/9p7reDx+Ql+z6QjI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H/19cYAAADcAAAADwAAAAAAAAAAAAAAAACYAgAAZHJz&#10;L2Rvd25yZXYueG1sUEsFBgAAAAAEAAQA9QAAAIsDAAAAAA==&#10;" path="m,l1791,e" filled="f" strokeweight=".50728mm">
                  <v:path arrowok="t" o:connecttype="custom" o:connectlocs="0,0;1791,0" o:connectangles="0,0"/>
                </v:shape>
                <v:shape id="Freeform 557" o:spid="_x0000_s1087" style="position:absolute;left:7449;top:5361;width:3947;height:20;visibility:visible;mso-wrap-style:square;v-text-anchor:top" coordsize="394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3UGMUA&#10;AADcAAAADwAAAGRycy9kb3ducmV2LnhtbESPQWvCQBSE7wX/w/IEL0U3DSXU6CoiFDzY0qrg9Zl9&#10;JsHs27C7JvHfdwuFHoeZ+YZZrgfTiI6cry0reJklIIgLq2suFZyO79M3ED4ga2wsk4IHeVivRk9L&#10;zLXt+Zu6QyhFhLDPUUEVQptL6YuKDPqZbYmjd7XOYIjSlVI77CPcNDJNkkwarDkuVNjStqLidrgb&#10;Bed7qjnrPtP2oysvV3z+2teuV2oyHjYLEIGG8B/+a++0gtd5Br9n4hG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zdQYxQAAANwAAAAPAAAAAAAAAAAAAAAAAJgCAABkcnMv&#10;ZG93bnJldi54bWxQSwUGAAAAAAQABAD1AAAAigMAAAAA&#10;" path="m,l3947,e" filled="f" strokeweight=".36pt">
                  <v:path arrowok="t" o:connecttype="custom" o:connectlocs="0,0;3947,0" o:connectangles="0,0"/>
                </v:shape>
                <v:shape id="Freeform 558" o:spid="_x0000_s1088" style="position:absolute;left:12734;top:5541;width:2351;height:20;visibility:visible;mso-wrap-style:square;v-text-anchor:top" coordsize="235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HjM8YA&#10;AADcAAAADwAAAGRycy9kb3ducmV2LnhtbESPQWvCQBSE74L/YXlCL0U3lmJtmlVEKK2gh0Z76O2R&#10;fSYhu29Ddhvjv+8KBY/DzHzDZOvBGtFT52vHCuazBARx4XTNpYLT8X26BOEDskbjmBRcycN6NR5l&#10;mGp34S/q81CKCGGfooIqhDaV0hcVWfQz1xJH7+w6iyHKrpS6w0uEWyOfkmQhLdYcFypsaVtR0eS/&#10;VsE+cf3xYB4/rt/805zMbmvwnCv1MBk2byACDeEe/m9/agXPry9wOxOP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zHjM8YAAADcAAAADwAAAAAAAAAAAAAAAACYAgAAZHJz&#10;L2Rvd25yZXYueG1sUEsFBgAAAAAEAAQA9QAAAIsDAAAAAA==&#10;" path="m,l2351,e" filled="f" strokeweight=".36pt">
                  <v:path arrowok="t" o:connecttype="custom" o:connectlocs="0,0;2351,0" o:connectangles="0,0"/>
                </v:shape>
                <v:shape id="Freeform 559" o:spid="_x0000_s1089" style="position:absolute;left:15078;top:5361;width:20;height:798;visibility:visible;mso-wrap-style:square;v-text-anchor:top" coordsize="20,7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CSSsMA&#10;AADcAAAADwAAAGRycy9kb3ducmV2LnhtbERPy2rCQBTdF/yH4Qru6kQpotFRRJTadtP6AnfXzDWJ&#10;Zu7EzNSkf+8sCi4P5z2ZNaYQd6pcbllBrxuBIE6szjlVsNuuXocgnEfWWFgmBX/kYDZtvUww1rbm&#10;H7pvfCpCCLsYFWTel7GULsnIoOvakjhwZ1sZ9AFWqdQV1iHcFLIfRQNpMOfQkGFJi4yS6+bXKKg/&#10;du+nQ2S+lp+X4Vyu0+/bcV8r1Wk38zEIT41/iv/da63gbRTWhjPhCMjp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CCSSsMAAADcAAAADwAAAAAAAAAAAAAAAACYAgAAZHJzL2Rv&#10;d25yZXYueG1sUEsFBgAAAAAEAAQA9QAAAIgDAAAAAA==&#10;" path="m,798l,e" filled="f" strokeweight=".36pt">
                  <v:path arrowok="t" o:connecttype="custom" o:connectlocs="0,798;0,0" o:connectangles="0,0"/>
                </v:shape>
                <v:shape id="Freeform 560" o:spid="_x0000_s1090" style="position:absolute;left:10015;top:5541;width:20;height:603;visibility:visible;mso-wrap-style:square;v-text-anchor:top" coordsize="20,6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j53cQA&#10;AADcAAAADwAAAGRycy9kb3ducmV2LnhtbESPT4vCMBTE7wv7HcJb8CKa6opoNcqq+Oeq3b0/mmda&#10;tnkpTdTqp98Iwh6HmfkNM1+2thJXanzpWMGgn4Agzp0u2Sj4zra9CQgfkDVWjknBnTwsF+9vc0y1&#10;u/GRrqdgRISwT1FBEUKdSunzgiz6vquJo3d2jcUQZWOkbvAW4baSwyQZS4slx4UCa1oXlP+eLlaB&#10;2e31pBtW5sfm7VCON4/PR5Yp1flov2YgArXhP/xqH7SC0XQKzzPxCM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4+d3EAAAA3AAAAA8AAAAAAAAAAAAAAAAAmAIAAGRycy9k&#10;b3ducmV2LnhtbFBLBQYAAAAABAAEAPUAAACJAwAAAAA=&#10;" path="m,603l,e" filled="f" strokeweight=".36pt">
                  <v:path arrowok="t" o:connecttype="custom" o:connectlocs="0,603;0,0" o:connectangles="0,0"/>
                </v:shape>
                <v:shape id="Freeform 561" o:spid="_x0000_s1091" style="position:absolute;left:12734;top:5692;width:20;height:452;visibility:visible;mso-wrap-style:square;v-text-anchor:top" coordsize="20,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jgMMA&#10;AADcAAAADwAAAGRycy9kb3ducmV2LnhtbERPz2vCMBS+D/Y/hDfYbSYbWLZqWmRM1OnBqRdvj+bZ&#10;FpuX0mRt/e+Xg7Djx/d7no+2ET11vnas4XWiQBAXztRcajgdly/vIHxANtg4Jg038pBnjw9zTI0b&#10;+If6QyhFDGGfooYqhDaV0hcVWfQT1xJH7uI6iyHCrpSmwyGG20a+KZVIizXHhgpb+qyouB5+rYat&#10;uvSr8ut7t/zYJPJWmP054UHr56dxMQMRaAz/4rt7bTRMVZwfz8Qj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yjgMMAAADcAAAADwAAAAAAAAAAAAAAAACYAgAAZHJzL2Rv&#10;d25yZXYueG1sUEsFBgAAAAAEAAQA9QAAAIgDAAAAAA==&#10;" path="m,451l,e" filled="f" strokeweight=".36pt">
                  <v:path arrowok="t" o:connecttype="custom" o:connectlocs="0,451;0,0" o:connectangles="0,0"/>
                </v:shape>
                <v:shape id="Freeform 562" o:spid="_x0000_s1092" style="position:absolute;left:4832;top:5986;width:2631;height:20;visibility:visible;mso-wrap-style:square;v-text-anchor:top" coordsize="263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y4LcQA&#10;AADcAAAADwAAAGRycy9kb3ducmV2LnhtbESPwWrDMBBE74X+g9hCLyGRU9IQHMshBAI9NNA6pefF&#10;Wlsm1spIamL/fRUo9DjMzBum2I22F1fyoXOsYLnIQBDXTnfcKvg6H+cbECEia+wdk4KJAuzKx4cC&#10;c+1u/EnXKrYiQTjkqMDEOORShtqQxbBwA3HyGuctxiR9K7XHW4LbXr5k2Vpa7DgtGBzoYKi+VD9W&#10;wWrdh++PxhxPjXF+NnufNK4mpZ6fxv0WRKQx/of/2m9awWu2hPuZdARk+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suC3EAAAA3AAAAA8AAAAAAAAAAAAAAAAAmAIAAGRycy9k&#10;b3ducmV2LnhtbFBLBQYAAAAABAAEAPUAAACJAwAAAAA=&#10;" path="m,l2631,e" filled="f" strokeweight=".25364mm">
                  <v:path arrowok="t" o:connecttype="custom" o:connectlocs="0,0;2631,0" o:connectangles="0,0"/>
                </v:shape>
                <v:shape id="Freeform 563" o:spid="_x0000_s1093" style="position:absolute;left:610;top:6159;width:4156;height:20;visibility:visible;mso-wrap-style:square;v-text-anchor:top" coordsize="415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UGHMUA&#10;AADcAAAADwAAAGRycy9kb3ducmV2LnhtbESPQWvCQBSE7wX/w/IEb3VjpLWNrkECQkEsrZaen9ln&#10;EpJ9G7LbJP77rlDocZiZb5hNOppG9NS5yrKCxTwCQZxbXXGh4Ou8f3wB4TyyxsYyKbiRg3Q7edhg&#10;ou3An9SffCEChF2CCkrv20RKl5dk0M1tSxy8q+0M+iC7QuoOhwA3jYyj6FkarDgslNhSVlJen36M&#10;Av1eZYcPmS2W9e3weqyby7e7rpSaTcfdGoSn0f+H/9pvWsFTFMP9TDgCcvs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VQYcxQAAANwAAAAPAAAAAAAAAAAAAAAAAJgCAABkcnMv&#10;ZG93bnJldi54bWxQSwUGAAAAAAQABAD1AAAAigMAAAAA&#10;" path="m,l4156,e" filled="f" strokeweight=".25364mm">
                  <v:path arrowok="t" o:connecttype="custom" o:connectlocs="0,0;4156,0" o:connectangles="0,0"/>
                </v:shape>
                <v:shape id="Freeform 564" o:spid="_x0000_s1094" style="position:absolute;left:12734;top:6144;width:1136;height:20;visibility:visible;mso-wrap-style:square;v-text-anchor:top" coordsize="113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DaJ8UA&#10;AADcAAAADwAAAGRycy9kb3ducmV2LnhtbESPT2sCMRTE7wW/Q3iCl6JJLRVZjSIVpYfS+hf09tg8&#10;dxc3L0uS6vbbN4VCj8PM/IaZzltbixv5UDnW8DRQIIhzZyouNBz2q/4YRIjIBmvHpOGbAsxnnYcp&#10;ZsbdeUu3XSxEgnDIUEMZY5NJGfKSLIaBa4iTd3HeYkzSF9J4vCe4reVQqZG0WHFaKLGh15Ly6+7L&#10;asD1SY386rD8eH+sEuy83hw/h1r3uu1iAiJSG//Df+03o+FFPcPvmXQE5O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4NonxQAAANwAAAAPAAAAAAAAAAAAAAAAAJgCAABkcnMv&#10;ZG93bnJldi54bWxQSwUGAAAAAAQABAD1AAAAigMAAAAA&#10;" path="m,l1136,e" filled="f" strokeweight=".36pt">
                  <v:path arrowok="t" o:connecttype="custom" o:connectlocs="0,0;1136,0" o:connectangles="0,0"/>
                </v:shape>
                <v:shape id="Freeform 565" o:spid="_x0000_s1095" style="position:absolute;left:13869;top:6144;width:1215;height:20;visibility:visible;mso-wrap-style:square;v-text-anchor:top" coordsize="121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Qc8QA&#10;AADcAAAADwAAAGRycy9kb3ducmV2LnhtbESPQWvCQBSE74L/YXmCF9GN0rQ2uooIhXrw0NSLt0f2&#10;NQlm38bsqtt/7wqCx2FmvmGW62AacaXO1ZYVTCcJCOLC6ppLBYffr/EchPPIGhvLpOCfHKxX/d4S&#10;M21v/EPX3JciQthlqKDyvs2kdEVFBt3EtsTR+7OdQR9lV0rd4S3CTSNnSfIuDdYcFypsaVtRccov&#10;RgHtjqN92GzTM57lZ15z+nEIR6WGg7BZgPAU/Cv8bH9rBWnyBo8z8Qj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1vkHPEAAAA3AAAAA8AAAAAAAAAAAAAAAAAmAIAAGRycy9k&#10;b3ducmV2LnhtbFBLBQYAAAAABAAEAPUAAACJAwAAAAA=&#10;" path="m,l1215,e" filled="f" strokeweight=".38064mm">
                  <v:path arrowok="t" o:connecttype="custom" o:connectlocs="0,0;1215,0" o:connectangles="0,0"/>
                </v:shape>
                <v:shape id="Freeform 566" o:spid="_x0000_s1096" style="position:absolute;left:7790;top:6532;width:20;height:783;visibility:visible;mso-wrap-style:square;v-text-anchor:top" coordsize="20,7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11TcYA&#10;AADcAAAADwAAAGRycy9kb3ducmV2LnhtbESPQWvCQBSE7wX/w/IKvRTd2JAQoquIUOyhCKaleHxk&#10;n0lo9m3MbpP033cFocdhZr5h1tvJtGKg3jWWFSwXEQji0uqGKwWfH6/zDITzyBpby6TglxxsN7OH&#10;NebajnyiofCVCBB2OSqove9yKV1Zk0G3sB1x8C62N+iD7CupexwD3LTyJYpSabDhsFBjR/uayu/i&#10;xyiIs2N6yHQbX8fnLH3fua/0cDZKPT1OuxUIT5P/D9/bb1pBEiVwOxOOgN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n11TcYAAADcAAAADwAAAAAAAAAAAAAAAACYAgAAZHJz&#10;L2Rvd25yZXYueG1sUEsFBgAAAAAEAAQA9QAAAIsDAAAAAA==&#10;" path="m,783l,e" filled="f" strokeweight=".50728mm">
                  <v:path arrowok="t" o:connecttype="custom" o:connectlocs="0,783;0,0" o:connectangles="0,0"/>
                </v:shape>
                <v:shape id="Freeform 567" o:spid="_x0000_s1097" style="position:absolute;left:7772;top:6683;width:1927;height:20;visibility:visible;mso-wrap-style:square;v-text-anchor:top" coordsize="19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o5asQA&#10;AADcAAAADwAAAGRycy9kb3ducmV2LnhtbESPQUsDMRSE74L/ITzBi7SJQovdNi1FEYRearX0+ti8&#10;bhY3LzGJ3e2/bwqCx2FmvmEWq8F14kQxtZ41PI4VCOLam5YbDV+fb6NnECkjG+w8k4YzJVgtb28W&#10;WBnf8weddrkRBcKpQg0251BJmWpLDtPYB+LiHX10mIuMjTQR+wJ3nXxSaiodtlwWLAZ6sVR/736d&#10;hp/Jw3rjQ5xJm/evgwrbTX/otb6/G9ZzEJmG/B/+a78bDRM1heuZcgTk8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6OWrEAAAA3AAAAA8AAAAAAAAAAAAAAAAAmAIAAGRycy9k&#10;b3ducmV2LnhtbFBLBQYAAAAABAAEAPUAAACJAwAAAAA=&#10;" path="m,l1927,e" filled="f" strokeweight=".50728mm">
                  <v:path arrowok="t" o:connecttype="custom" o:connectlocs="0,0;1927,0" o:connectangles="0,0"/>
                </v:shape>
                <v:shape id="Freeform 568" o:spid="_x0000_s1098" style="position:absolute;left:10015;top:6690;width:187;height:20;visibility:visible;mso-wrap-style:square;v-text-anchor:top" coordsize="18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G34MQA&#10;AADcAAAADwAAAGRycy9kb3ducmV2LnhtbESPQWvCQBSE70L/w/IKveluClaNbiQtbfGoqdDrI/tM&#10;QrNvY3araX+9Kwgeh5n5hlmtB9uKE/W+cawhmSgQxKUzDVca9l8f4zkIH5ANto5Jwx95WGcPoxWm&#10;xp15R6ciVCJC2KeooQ6hS6X0ZU0W/cR1xNE7uN5iiLKvpOnxHOG2lc9KvUiLDceFGjt6q6n8KX6t&#10;hsVR5e6Tj9/T//3WqdekWrzPc62fHod8CSLQEO7hW3tjNEzVDK5n4hGQ2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Bt+DEAAAA3AAAAA8AAAAAAAAAAAAAAAAAmAIAAGRycy9k&#10;b3ducmV2LnhtbFBLBQYAAAAABAAEAPUAAACJAwAAAAA=&#10;" path="m,l187,e" filled="f" strokeweight=".38064mm">
                  <v:path arrowok="t" o:connecttype="custom" o:connectlocs="0,0;187,0" o:connectangles="0,0"/>
                </v:shape>
                <v:shape id="Freeform 569" o:spid="_x0000_s1099" style="position:absolute;left:10202;top:6690;width:503;height:20;visibility:visible;mso-wrap-style:square;v-text-anchor:top" coordsize="50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lIIMEA&#10;AADcAAAADwAAAGRycy9kb3ducmV2LnhtbERPz2vCMBS+C/sfwht407QDrXRG0YqwHleF7fho3pqy&#10;5qU00db/fjkIO358v7f7yXbiToNvHStIlwkI4trplhsF18t5sQHhA7LGzjEpeJCH/e5ltsVcu5E/&#10;6V6FRsQQ9jkqMCH0uZS+NmTRL11PHLkfN1gMEQ6N1AOOMdx28i1J1tJiy7HBYE+Fofq3ulkFRaNP&#10;pUnTr2nTp8fSf2eHY5EpNX+dDu8gAk3hX/x0f2gFqySujWfiEZC7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85SCDBAAAA3AAAAA8AAAAAAAAAAAAAAAAAmAIAAGRycy9kb3du&#10;cmV2LnhtbFBLBQYAAAAABAAEAPUAAACGAwAAAAA=&#10;" path="m,l503,e" filled="f" strokeweight=".36pt">
                  <v:path arrowok="t" o:connecttype="custom" o:connectlocs="0,0;503,0" o:connectangles="0,0"/>
                </v:shape>
                <v:shape id="Freeform 570" o:spid="_x0000_s1100" style="position:absolute;left:10677;top:6683;width:1841;height:20;visibility:visible;mso-wrap-style:square;v-text-anchor:top" coordsize="184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oQ+8MA&#10;AADcAAAADwAAAGRycy9kb3ducmV2LnhtbESPQYvCMBSE7wv7H8Jb8LLYRMHFrUYRRfDgRa17fjTP&#10;tti8lCba+u+NIOxxmJlvmPmyt7W4U+srxxpGiQJBnDtTcaEhO22HUxA+IBusHZOGB3lYLj4/5pga&#10;1/GB7sdQiAhhn6KGMoQmldLnJVn0iWuIo3dxrcUQZVtI02IX4baWY6V+pMWK40KJDa1Lyq/Hm9Xg&#10;5F6dH12W11VhN9/j1S4Lf07rwVe/moEI1If/8Lu9Mxom6hdeZ+IRk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oQ+8MAAADcAAAADwAAAAAAAAAAAAAAAACYAgAAZHJzL2Rv&#10;d25yZXYueG1sUEsFBgAAAAAEAAQA9QAAAIgDAAAAAA==&#10;" path="m,l1841,e" filled="f" strokeweight=".63392mm">
                  <v:path arrowok="t" o:connecttype="custom" o:connectlocs="0,0;1841,0" o:connectangles="0,0"/>
                </v:shape>
                <v:shape id="Freeform 571" o:spid="_x0000_s1101" style="position:absolute;left:12734;top:6561;width:20;height:618;visibility:visible;mso-wrap-style:square;v-text-anchor:top" coordsize="20,6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OHQcAA&#10;AADcAAAADwAAAGRycy9kb3ducmV2LnhtbERPy4rCMBTdC/5DuII7TSvYkWoUdRBdzvgAl9fm2hab&#10;m04Ttf69WQy4PJz3bNGaSjyocaVlBfEwAkGcWV1yruB42AwmIJxH1lhZJgUvcrCYdzszTLV98i89&#10;9j4XIYRdigoK7+tUSpcVZNANbU0cuKttDPoAm1zqBp8h3FRyFEWJNFhyaCiwpnVB2W1/Nwq+d1Hs&#10;3U9y2b5Gq/PpL9HH7Esr1e+1yykIT63/iP/dO61gHIf54Uw4AnL+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DOHQcAAAADcAAAADwAAAAAAAAAAAAAAAACYAgAAZHJzL2Rvd25y&#10;ZXYueG1sUEsFBgAAAAAEAAQA9QAAAIUDAAAAAA==&#10;" path="m,618l,e" filled="f" strokeweight=".36pt">
                  <v:path arrowok="t" o:connecttype="custom" o:connectlocs="0,618;0,0" o:connectangles="0,0"/>
                </v:shape>
                <v:shape id="Freeform 572" o:spid="_x0000_s1102" style="position:absolute;left:554;top:6827;width:2401;height:20;visibility:visible;mso-wrap-style:square;v-text-anchor:top" coordsize="24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4zzMQA&#10;AADcAAAADwAAAGRycy9kb3ducmV2LnhtbESPT2sCMRTE7wW/Q3hCbzW7QqWuRhGhIghC/XPw9tg8&#10;N4ubl2WT7sZv3xQKPQ4z8xtmuY62ET11vnasIJ9kIIhLp2uuFFzOn28fIHxA1tg4JgVP8rBejV6W&#10;WGg38Bf1p1CJBGFfoAITQltI6UtDFv3EtcTJu7vOYkiyq6TucEhw28hpls2kxZrTgsGWtobKx+nb&#10;KnDDLqv6Y4zyeLj52dzQdXohpV7HcbMAESiG//Bfe68VvOc5/J5JR0C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M8zEAAAA3AAAAA8AAAAAAAAAAAAAAAAAmAIAAGRycy9k&#10;b3ducmV2LnhtbFBLBQYAAAAABAAEAPUAAACJAwAAAAA=&#10;" path="m,l2401,e" filled="f" strokeweight=".36pt">
                  <v:path arrowok="t" o:connecttype="custom" o:connectlocs="0,0;2401,0" o:connectangles="0,0"/>
                </v:shape>
                <v:shape id="Freeform 573" o:spid="_x0000_s1103" style="position:absolute;left:4773;top:6827;width:489;height:20;visibility:visible;mso-wrap-style:square;v-text-anchor:top" coordsize="48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NPq8UA&#10;AADcAAAADwAAAGRycy9kb3ducmV2LnhtbESPT2vCQBTE7wW/w/IKXkQ3UaqSuoq0ir30UP/0/Mg+&#10;k9Ds25B9avrtu4LQ4zAzv2EWq87V6kptqDwbSEcJKOLc24oLA8fDdjgHFQTZYu2ZDPxSgNWy97TA&#10;zPobf9F1L4WKEA4ZGihFmkzrkJfkMIx8Qxy9s28dSpRtoW2Ltwh3tR4nyVQ7rDgulNjQW0n5z/7i&#10;DCSb3SB8n86fs9ptJ8UplXcv1pj+c7d+BSXUyX/40f6wBl7SMdzPxCO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0+rxQAAANwAAAAPAAAAAAAAAAAAAAAAAJgCAABkcnMv&#10;ZG93bnJldi54bWxQSwUGAAAAAAQABAD1AAAAigMAAAAA&#10;" path="m,l489,e" filled="f" strokeweight=".36pt">
                  <v:path arrowok="t" o:connecttype="custom" o:connectlocs="0,0;489,0" o:connectangles="0,0"/>
                </v:shape>
                <v:shape id="Freeform 574" o:spid="_x0000_s1104" style="position:absolute;left:5233;top:6809;width:727;height:20;visibility:visible;mso-wrap-style:square;v-text-anchor:top" coordsize="7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jbjsUA&#10;AADcAAAADwAAAGRycy9kb3ducmV2LnhtbESPzWrDMBCE74W8g9hAbo2chJbgRjEhpeCE9pAfel6s&#10;re3aWhlJsZ23rwqFHoeZ+YbZZKNpRU/O15YVLOYJCOLC6ppLBdfL2+MahA/IGlvLpOBOHrLt5GGD&#10;qbYDn6g/h1JECPsUFVQhdKmUvqjIoJ/bjjh6X9YZDFG6UmqHQ4SbVi6T5FkarDkuVNjRvqKiOd+M&#10;gpA3h+Q2vh7v3un+u88/h/ePpVKz6bh7ARFoDP/hv3auFTwtVvB7Jh4Bu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2NuOxQAAANwAAAAPAAAAAAAAAAAAAAAAAJgCAABkcnMv&#10;ZG93bnJldi54bWxQSwUGAAAAAAQABAD1AAAAigMAAAAA&#10;" path="m,l727,e" filled="f" strokeweight=".38064mm">
                  <v:path arrowok="t" o:connecttype="custom" o:connectlocs="0,0;727,0" o:connectangles="0,0"/>
                </v:shape>
                <v:shape id="Freeform 575" o:spid="_x0000_s1105" style="position:absolute;left:6270;top:6859;width:1201;height:20;visibility:visible;mso-wrap-style:square;v-text-anchor:top" coordsize="12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GHDscA&#10;AADcAAAADwAAAGRycy9kb3ducmV2LnhtbESP3WrCQBSE7wt9h+UUelN0Y0mLxqxS/ClivdDoAxyy&#10;Jz+YPRuy25i+vVso9HKYmW+YdDmYRvTUudqygsk4AkGcW11zqeBy3o6mIJxH1thYJgU/5GC5eHxI&#10;MdH2xifqM1+KAGGXoILK+zaR0uUVGXRj2xIHr7CdQR9kV0rd4S3ATSNfo+hdGqw5LFTY0qqi/Jp9&#10;GwX9Z9zo4mW9Pn4dylkWXy8ru98o9fw0fMxBeBr8f/ivvdMK3iYx/J4JR0Au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xhw7HAAAA3AAAAA8AAAAAAAAAAAAAAAAAmAIAAGRy&#10;cy9kb3ducmV2LnhtbFBLBQYAAAAABAAEAPUAAACMAwAAAAA=&#10;" path="m,l1201,e" filled="f" strokeweight=".36pt">
                  <v:path arrowok="t" o:connecttype="custom" o:connectlocs="0,0;1201,0" o:connectangles="0,0"/>
                </v:shape>
                <v:shape id="Freeform 576" o:spid="_x0000_s1106" style="position:absolute;left:7772;top:6942;width:582;height:20;visibility:visible;mso-wrap-style:square;v-text-anchor:top" coordsize="58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GH8sMA&#10;AADcAAAADwAAAGRycy9kb3ducmV2LnhtbESPwWrDMBBE74X+g9hCL6WRXUgJbpRQAgm5xi0kx421&#10;tkWtlZE2ifv3VaHQ4zAzb5jlevKDulJMLrCBclaAIm6CddwZ+PzYPi9AJUG2OAQmA9+UYL26v1ti&#10;ZcOND3StpVMZwqlCA73IWGmdmp48plkYibPXhuhRsoydthFvGe4H/VIUr9qj47zQ40ibnpqv+uIN&#10;8O5Jn/ZyOm7bspV4CPXm7Jwxjw/T+xsooUn+w3/tvTUwL+fweyYfAb3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uGH8sMAAADcAAAADwAAAAAAAAAAAAAAAACYAgAAZHJzL2Rv&#10;d25yZXYueG1sUEsFBgAAAAAEAAQA9QAAAIgDAAAAAA==&#10;" path="m,l582,e" filled="f" strokeweight=".36pt">
                  <v:path arrowok="t" o:connecttype="custom" o:connectlocs="0,0;582,0" o:connectangles="0,0"/>
                </v:shape>
                <v:shape id="Freeform 577" o:spid="_x0000_s1107" style="position:absolute;left:8355;top:6942;width:201;height:20;visibility:visible;mso-wrap-style:square;v-text-anchor:top" coordsize="2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zTQcUA&#10;AADcAAAADwAAAGRycy9kb3ducmV2LnhtbESPQWsCMRSE74L/ITyht5pV6mK3RikFS4sU0aq9PjbP&#10;zeLmZUlSXf+9KRQ8DjPzDTNbdLYRZ/KhdqxgNMxAEJdO11wp2H0vH6cgQkTW2DgmBVcKsJj3ezMs&#10;tLvwhs7bWIkE4VCgAhNjW0gZSkMWw9C1xMk7Om8xJukrqT1eEtw2cpxlubRYc1ow2NKbofK0/bUK&#10;Gi+rcr8+PbvD1+rT/Bzd+y5/Uuph0L2+gIjUxXv4v/2hFUxGOfydS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fNNBxQAAANwAAAAPAAAAAAAAAAAAAAAAAJgCAABkcnMv&#10;ZG93bnJldi54bWxQSwUGAAAAAAQABAD1AAAAigMAAAAA&#10;" path="m,l201,e" filled="f" strokeweight=".38064mm">
                  <v:path arrowok="t" o:connecttype="custom" o:connectlocs="0,0;201,0" o:connectangles="0,0"/>
                </v:shape>
                <v:shape id="Freeform 578" o:spid="_x0000_s1108" style="position:absolute;left:8555;top:6942;width:2006;height:20;visibility:visible;mso-wrap-style:square;v-text-anchor:top" coordsize="200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Cbu8YA&#10;AADcAAAADwAAAGRycy9kb3ducmV2LnhtbESPS2sCMRSF94L/IdyCm1IzCtZhNEpbEEu78FERl5fJ&#10;7Uzs5GaYRB3/vREKLg/n8XGm89ZW4kyNN44VDPoJCOLcacOFgt3P4iUF4QOyxsoxKbiSh/ms25li&#10;pt2FN3TehkLEEfYZKihDqDMpfV6SRd93NXH0fl1jMUTZFFI3eInjtpLDJHmVFg1HQok1fZSU/21P&#10;NkJGh+M+vBtcpun6a7X6tvWzGSrVe2rfJiACteER/m9/agWjwRjuZ+IRk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WCbu8YAAADcAAAADwAAAAAAAAAAAAAAAACYAgAAZHJz&#10;L2Rvd25yZXYueG1sUEsFBgAAAAAEAAQA9QAAAIsDAAAAAA==&#10;" path="m,l2006,e" filled="f" strokeweight=".36pt">
                  <v:path arrowok="t" o:connecttype="custom" o:connectlocs="0,0;2006,0" o:connectangles="0,0"/>
                </v:shape>
                <v:shape id="Freeform 579" o:spid="_x0000_s1109" style="position:absolute;left:10562;top:6934;width:2100;height:20;visibility:visible;mso-wrap-style:square;v-text-anchor:top" coordsize="21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R52sIA&#10;AADcAAAADwAAAGRycy9kb3ducmV2LnhtbERPy2rCQBTdF/yH4Qrd1UkqEYmOIkKLpStfZHvJXJNo&#10;5k7ITJNpv76zKHR5OO/1NphWDNS7xrKCdJaAIC6tbrhScDm/vSxBOI+ssbVMCr7JwXYzeVpjru3I&#10;RxpOvhIxhF2OCmrvu1xKV9Zk0M1sRxy5m+0N+gj7SuoexxhuWvmaJAtpsOHYUGNH+5rKx+nLKHgP&#10;n8fwUaQ/xVWX4XqfF9kiY6Wep2G3AuEp+H/xn/ugFWRpXBvPxCM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dHnawgAAANwAAAAPAAAAAAAAAAAAAAAAAJgCAABkcnMvZG93&#10;bnJldi54bWxQSwUGAAAAAAQABAD1AAAAhwMAAAAA&#10;" path="m,l2100,e" filled="f" strokeweight=".63428mm">
                  <v:path arrowok="t" o:connecttype="custom" o:connectlocs="0,0;2100,0" o:connectangles="0,0"/>
                </v:shape>
                <v:shape id="Freeform 580" o:spid="_x0000_s1110" style="position:absolute;left:917;top:6151;width:20;height:1265;visibility:visible;mso-wrap-style:square;v-text-anchor:top" coordsize="20,1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PkMMQA&#10;AADcAAAADwAAAGRycy9kb3ducmV2LnhtbESPUWvCMBSF3wf7D+EO9iKaKsxpNcoYDAYiw0709dLc&#10;NsXmpiRZrf9+EQZ7PJxzvsNZbwfbip58aBwrmE4yEMSl0w3XCo7fH+MFiBCRNbaOScGNAmw3jw9r&#10;zLW78oH6ItYiQTjkqMDE2OVShtKQxTBxHXHyKuctxiR9LbXHa4LbVs6ybC4tNpwWDHb0bqi8FD9W&#10;wVeU1YixYNOfXrt2v5v56myVen4a3lYgIg3xP/zX/tQKXqZLuJ9JR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T5DDEAAAA3AAAAA8AAAAAAAAAAAAAAAAAmAIAAGRycy9k&#10;b3ducmV2LnhtbFBLBQYAAAAABAAEAPUAAACJAwAAAAA=&#10;" path="m,1265l,e" filled="f" strokeweight=".25364mm">
                  <v:path arrowok="t" o:connecttype="custom" o:connectlocs="0,1265;0,0" o:connectangles="0,0"/>
                </v:shape>
                <v:shape id="Freeform 581" o:spid="_x0000_s1111" style="position:absolute;left:7772;top:7171;width:2243;height:20;visibility:visible;mso-wrap-style:square;v-text-anchor:top" coordsize="224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yYwMMA&#10;AADcAAAADwAAAGRycy9kb3ducmV2LnhtbERPz2vCMBS+D/wfwhO8zVTBTTqjDEHQg4c5i+72bJ5t&#10;WfNSkrR2++vNQfD48f1erHpTi46crywrmIwTEMS51RUXCo7fm9c5CB+QNdaWScEfeVgtBy8LTLW9&#10;8Rd1h1CIGMI+RQVlCE0qpc9LMujHtiGO3NU6gyFCV0jt8BbDTS2nSfImDVYcG0psaF1S/ntojYLd&#10;cS/bLrjLJTtl+/P7/3X300qlRsP+8wNEoD48xQ/3ViuYTeP8eCYeAb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SyYwMMAAADcAAAADwAAAAAAAAAAAAAAAACYAgAAZHJzL2Rv&#10;d25yZXYueG1sUEsFBgAAAAAEAAQA9QAAAIgDAAAAAA==&#10;" path="m,l2243,e" filled="f" strokeweight=".36pt">
                  <v:path arrowok="t" o:connecttype="custom" o:connectlocs="0,0;2243,0" o:connectangles="0,0"/>
                </v:shape>
                <v:shape id="Freeform 582" o:spid="_x0000_s1112" style="position:absolute;left:9994;top:7189;width:741;height:20;visibility:visible;mso-wrap-style:square;v-text-anchor:top" coordsize="74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7/Z8QA&#10;AADcAAAADwAAAGRycy9kb3ducmV2LnhtbESPS2/CMBCE75X4D9YicSsOiGfAINSqVTn0EB73JV7i&#10;QLyOYhfSf18jIfU4mplvNMt1aytxo8aXjhUM+gkI4tzpkgsFh/3H6wyED8gaK8ek4Jc8rFedlyWm&#10;2t05o9suFCJC2KeowIRQp1L63JBF33c1cfTOrrEYomwKqRu8R7it5DBJJtJiyXHBYE1vhvLr7scq&#10;KOUx+0zwvbhMpTllo/F8W+tvpXrddrMAEagN/+Fn+0srGA8H8DgTj4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e/2fEAAAA3AAAAA8AAAAAAAAAAAAAAAAAmAIAAGRycy9k&#10;b3ducmV2LnhtbFBLBQYAAAAABAAEAPUAAACJAwAAAAA=&#10;" path="m,l741,e" filled="f" strokeweight=".63428mm">
                  <v:path arrowok="t" o:connecttype="custom" o:connectlocs="0,0;741,0" o:connectangles="0,0"/>
                </v:shape>
                <v:shape id="Freeform 583" o:spid="_x0000_s1113" style="position:absolute;left:10705;top:7171;width:2035;height:20;visibility:visible;mso-wrap-style:square;v-text-anchor:top" coordsize="203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XzdsYA&#10;AADcAAAADwAAAGRycy9kb3ducmV2LnhtbESPQWvCQBSE70L/w/IKvemmgapNXaUokXo0WqS31+xr&#10;NjT7Ns1uNf57VxA8DjPzDTNb9LYRR+p87VjB8ygBQVw6XXOlYL/Lh1MQPiBrbByTgjN5WMwfBjPM&#10;tDvxlo5FqESEsM9QgQmhzaT0pSGLfuRa4uj9uM5iiLKrpO7wFOG2kWmSjKXFmuOCwZaWhsrf4t8q&#10;cF/5d7GcvK4P6/Ph7zNZbVeb3Cj19Ni/v4EI1Id7+Nb+0Ape0hSuZ+IRkP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UXzdsYAAADcAAAADwAAAAAAAAAAAAAAAACYAgAAZHJz&#10;L2Rvd25yZXYueG1sUEsFBgAAAAAEAAQA9QAAAIsDAAAAAA==&#10;" path="m,l2035,e" filled="f" strokeweight=".36pt">
                  <v:path arrowok="t" o:connecttype="custom" o:connectlocs="0,0;2035,0" o:connectangles="0,0"/>
                </v:shape>
                <v:shape id="Freeform 584" o:spid="_x0000_s1114" style="position:absolute;left:554;top:7459;width:4227;height:20;visibility:visible;mso-wrap-style:square;v-text-anchor:top" coordsize="42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9U8YA&#10;AADcAAAADwAAAGRycy9kb3ducmV2LnhtbESPT2sCMRDF74LfIYzgTbMqW2RrFBEspYVS/x28DZvp&#10;7upmEjeprv30TaHg8fHm/d682aI1tbhS4yvLCkbDBARxbnXFhYL9bj2YgvABWWNtmRTcycNi3u3M&#10;MNP2xhu6bkMhIoR9hgrKEFwmpc9LMuiH1hFH78s2BkOUTSF1g7cIN7UcJ8mTNFhxbCjR0aqk/Lz9&#10;NvENx+9vH3deHU7+Uvy49PjymTql+r12+QwiUBsex//pV60gHU/gb0wk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X9U8YAAADcAAAADwAAAAAAAAAAAAAAAACYAgAAZHJz&#10;L2Rvd25yZXYueG1sUEsFBgAAAAAEAAQA9QAAAIsDAAAAAA==&#10;" path="m,l4227,e" filled="f" strokeweight=".36pt">
                  <v:path arrowok="t" o:connecttype="custom" o:connectlocs="0,0;4227,0" o:connectangles="0,0"/>
                </v:shape>
                <v:shape id="Freeform 585" o:spid="_x0000_s1115" style="position:absolute;left:11805;top:2548;width:412;height:120;visibility:visible;mso-wrap-style:square;v-text-anchor:top" coordsize="412,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2Jg8MA&#10;AADcAAAADwAAAGRycy9kb3ducmV2LnhtbESP3WrCQBCF7wu+wzKCd7oxta2kriJWoaVQqPUBhuyY&#10;pGZnQ3aM8e3dgtDLw/n5OItV72rVURsqzwamkwQUce5txYWBw89uPAcVBNli7ZkMXCnAajl4WGBm&#10;/YW/qdtLoeIIhwwNlCJNpnXIS3IYJr4hjt7Rtw4lyrbQtsVLHHe1TpPkWTusOBJKbGhTUn7an12E&#10;fG6sCD7q5O348bX7fTmlVbc1ZjTs16+ghHr5D9/b79bAUzqDvzPxCO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D2Jg8MAAADcAAAADwAAAAAAAAAAAAAAAACYAgAAZHJzL2Rv&#10;d25yZXYueG1sUEsFBgAAAAAEAAQA9QAAAIgDAAAAAA==&#10;" path="m,l412,r,120l,120,,xe" fillcolor="black" stroked="f">
                  <v:path arrowok="t" o:connecttype="custom" o:connectlocs="0,0;412,0;412,120;0,120;0,0" o:connectangles="0,0,0,0,0"/>
                </v:shape>
                <v:shape id="Freeform 586" o:spid="_x0000_s1116" style="position:absolute;left:12219;top:2458;width:2645;height:239;visibility:visible;mso-wrap-style:square;v-text-anchor:top" coordsize="2645,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DIf8YA&#10;AADcAAAADwAAAGRycy9kb3ducmV2LnhtbESPT2vCQBTE7wW/w/IKvdVNAxFJXcVaioIX/9Sen9ln&#10;kjb7NuxuY/z2riB4HGbmN8xk1ptGdOR8bVnB2zABQVxYXXOp4Hv/9ToG4QOyxsYyKbiQh9l08DTB&#10;XNszb6nbhVJECPscFVQhtLmUvqjIoB/aljh6J+sMhihdKbXDc4SbRqZJMpIGa44LFba0qKj42/0b&#10;Be7jd5keN4f0OPrJDtv15/zULUulXp77+TuIQH14hO/tlVaQpRnczsQjIK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NDIf8YAAADcAAAADwAAAAAAAAAAAAAAAACYAgAAZHJz&#10;L2Rvd25yZXYueG1sUEsFBgAAAAAEAAQA9QAAAIsDAAAAAA==&#10;" path="m,l2645,r,238l,238,,xe" fillcolor="black" stroked="f">
                  <v:path arrowok="t" o:connecttype="custom" o:connectlocs="0,0;2645,0;2645,238;0,238;0,0" o:connectangles="0,0,0,0,0"/>
                </v:shape>
                <v:group id="Group 587" o:spid="_x0000_s1117" style="position:absolute;left:998;top:1820;width:6975;height:1071" coordorigin="998,1820" coordsize="6975,10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tXysYAAADcAAAADwAAAGRycy9kb3ducmV2LnhtbESPQWuDQBSE74X+h+UV&#10;cmtWU5RisxEJbckhFGIKpbeH+6IS9624WzX/Phso5DjMzDfMOp9NJ0YaXGtZQbyMQBBXVrdcK/g+&#10;fjy/gnAeWWNnmRRcyEG+eXxYY6btxAcaS1+LAGGXoYLG+z6T0lUNGXRL2xMH72QHgz7IoZZ6wCnA&#10;TSdXUZRKgy2HhQZ72jZUncs/o+Bzwql4id/H/fm0vfwek6+ffUxKLZ7m4g2Ep9nfw//tnVaQrFK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7W1fKxgAAANwA&#10;AAAPAAAAAAAAAAAAAAAAAKoCAABkcnMvZG93bnJldi54bWxQSwUGAAAAAAQABAD6AAAAnQMAAAAA&#10;">
                  <v:shape id="Freeform 588" o:spid="_x0000_s1118" style="position:absolute;left:998;top:1820;width:6975;height:1071;visibility:visible;mso-wrap-style:square;v-text-anchor:top" coordsize="6975,10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lFfMUA&#10;AADcAAAADwAAAGRycy9kb3ducmV2LnhtbESPT2vCQBTE74V+h+UVvOnGf7WkrhIKohdBrRR6e2Sf&#10;SWz2bdhdTfz2riD0OMzMb5j5sjO1uJLzlWUFw0ECgji3uuJCwfF71f8A4QOyxtoyKbiRh+Xi9WWO&#10;qbYt7+l6CIWIEPYpKihDaFIpfV6SQT+wDXH0TtYZDFG6QmqHbYSbWo6S5F0arDgulNjQV0n53+Fi&#10;FPyOXT1dy53ncZdNmvPPbrjNWqV6b132CSJQF/7Dz/ZGK5iOZvA4E4+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yUV8xQAAANwAAAAPAAAAAAAAAAAAAAAAAJgCAABkcnMv&#10;ZG93bnJldi54bWxQSwUGAAAAAAQABAD1AAAAigMAAAAA&#10;" path="m,l1348,e" filled="f" strokeweight=".36pt">
                    <v:path arrowok="t" o:connecttype="custom" o:connectlocs="0,0;1348,0" o:connectangles="0,0"/>
                  </v:shape>
                  <v:shape id="Freeform 589" o:spid="_x0000_s1119" style="position:absolute;left:998;top:1820;width:6975;height:1071;visibility:visible;mso-wrap-style:square;v-text-anchor:top" coordsize="6975,10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bRDsEA&#10;AADcAAAADwAAAGRycy9kb3ducmV2LnhtbERPy4rCMBTdC/MP4Q6409TXINUoZUB0I/gYBHeX5trW&#10;aW5KEm39+8liwOXhvJfrztTiSc5XlhWMhgkI4tzqigsFP+fNYA7CB2SNtWVS8CIP69VHb4mpti0f&#10;6XkKhYgh7FNUUIbQpFL6vCSDfmgb4sjdrDMYInSF1A7bGG5qOU6SL2mw4thQYkPfJeW/p4dRcJ24&#10;eraVB8+TLps298thtM9apfqfXbYAEagLb/G/e6cVzMZxbTwTj4B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NW0Q7BAAAA3AAAAA8AAAAAAAAAAAAAAAAAmAIAAGRycy9kb3du&#10;cmV2LnhtbFBLBQYAAAAABAAEAPUAAACGAwAAAAA=&#10;" path="m6895,1070r79,e" filled="f" strokeweight=".36pt">
                    <v:path arrowok="t" o:connecttype="custom" o:connectlocs="6895,1070;6974,1070" o:connectangles="0,0"/>
                  </v:shape>
                </v:group>
                <v:shape id="Freeform 590" o:spid="_x0000_s1120" style="position:absolute;left:11311;top:5356;width:92;height:20;visibility:visible;mso-wrap-style:square;v-text-anchor:top" coordsize="9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vCMYA&#10;AADcAAAADwAAAGRycy9kb3ducmV2LnhtbESPQWvCQBSE7wX/w/IEb3XTiFWjq7QFSY+tiuLtmX1N&#10;gtm36e6q6b/vFgoeh5n5hlmsOtOIKzlfW1bwNExAEBdW11wq2G3Xj1MQPiBrbCyTgh/ysFr2HhaY&#10;aXvjT7puQikihH2GCqoQ2kxKX1Rk0A9tSxy9L+sMhihdKbXDW4SbRqZJ8iwN1hwXKmzpraLivLkY&#10;BaP2O/9Yn/PdKXk97p2dHGaTNFdq0O9e5iACdeEe/m+/awXjdAZ/Z+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evCMYAAADcAAAADwAAAAAAAAAAAAAAAACYAgAAZHJz&#10;L2Rvd25yZXYueG1sUEsFBgAAAAAEAAQA9QAAAIsDAAAAAA==&#10;" path="m,l91,e" filled="f" strokeweight=".21131mm">
                  <v:path arrowok="t" o:connecttype="custom" o:connectlocs="0,0;91,0" o:connectangles="0,0"/>
                </v:shape>
                <w10:wrap anchorx="page"/>
              </v:group>
            </w:pict>
          </mc:Fallback>
        </mc:AlternateContent>
      </w:r>
      <w:r>
        <w:rPr>
          <w:noProof/>
        </w:rPr>
        <mc:AlternateContent>
          <mc:Choice Requires="wps">
            <w:drawing>
              <wp:anchor distT="0" distB="0" distL="114300" distR="114300" simplePos="0" relativeHeight="251691520" behindDoc="0" locked="0" layoutInCell="0" allowOverlap="1">
                <wp:simplePos x="0" y="0"/>
                <wp:positionH relativeFrom="page">
                  <wp:posOffset>6472555</wp:posOffset>
                </wp:positionH>
                <wp:positionV relativeFrom="paragraph">
                  <wp:posOffset>100965</wp:posOffset>
                </wp:positionV>
                <wp:extent cx="3083560" cy="1277620"/>
                <wp:effectExtent l="0" t="0" r="0" b="0"/>
                <wp:wrapNone/>
                <wp:docPr id="434" name="Text Box 5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3560" cy="127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3" w:type="dxa"/>
                              <w:tblLayout w:type="fixed"/>
                              <w:tblCellMar>
                                <w:left w:w="0" w:type="dxa"/>
                                <w:right w:w="0" w:type="dxa"/>
                              </w:tblCellMar>
                              <w:tblLook w:val="0000" w:firstRow="0" w:lastRow="0" w:firstColumn="0" w:lastColumn="0" w:noHBand="0" w:noVBand="0"/>
                            </w:tblPr>
                            <w:tblGrid>
                              <w:gridCol w:w="377"/>
                              <w:gridCol w:w="2155"/>
                              <w:gridCol w:w="343"/>
                              <w:gridCol w:w="1973"/>
                            </w:tblGrid>
                            <w:tr w:rsidR="007B2B7B">
                              <w:trPr>
                                <w:trHeight w:hRule="exact" w:val="338"/>
                              </w:trPr>
                              <w:tc>
                                <w:tcPr>
                                  <w:tcW w:w="4848" w:type="dxa"/>
                                  <w:gridSpan w:val="4"/>
                                  <w:tcBorders>
                                    <w:top w:val="single" w:sz="2" w:space="0" w:color="000000"/>
                                    <w:left w:val="single" w:sz="2" w:space="0" w:color="000000"/>
                                    <w:bottom w:val="single" w:sz="4" w:space="0" w:color="000000"/>
                                    <w:right w:val="nil"/>
                                  </w:tcBorders>
                                </w:tcPr>
                                <w:p w:rsidR="007B2B7B" w:rsidRDefault="007B2B7B">
                                  <w:pPr>
                                    <w:pStyle w:val="TableParagraph"/>
                                    <w:tabs>
                                      <w:tab w:val="left" w:pos="688"/>
                                      <w:tab w:val="left" w:pos="2404"/>
                                    </w:tabs>
                                    <w:kinsoku w:val="0"/>
                                    <w:overflowPunct w:val="0"/>
                                    <w:spacing w:before="26"/>
                                    <w:ind w:left="283"/>
                                    <w:rPr>
                                      <w:rFonts w:ascii="Times New Roman" w:hAnsi="Times New Roman" w:cs="Times New Roman"/>
                                    </w:rPr>
                                  </w:pPr>
                                  <w:r>
                                    <w:rPr>
                                      <w:rFonts w:ascii="Times New Roman" w:hAnsi="Times New Roman" w:cs="Times New Roman"/>
                                      <w:w w:val="110"/>
                                      <w:sz w:val="26"/>
                                      <w:szCs w:val="26"/>
                                    </w:rPr>
                                    <w:t>i:</w:t>
                                  </w:r>
                                  <w:r>
                                    <w:rPr>
                                      <w:rFonts w:ascii="Times New Roman" w:hAnsi="Times New Roman" w:cs="Times New Roman"/>
                                      <w:w w:val="110"/>
                                      <w:sz w:val="26"/>
                                      <w:szCs w:val="26"/>
                                    </w:rPr>
                                    <w:tab/>
                                  </w:r>
                                  <w:r>
                                    <w:rPr>
                                      <w:rFonts w:ascii="Times New Roman" w:hAnsi="Times New Roman" w:cs="Times New Roman"/>
                                      <w:w w:val="410"/>
                                      <w:sz w:val="26"/>
                                      <w:szCs w:val="26"/>
                                    </w:rPr>
                                    <w:t>-</w:t>
                                  </w:r>
                                  <w:r>
                                    <w:rPr>
                                      <w:rFonts w:ascii="Times New Roman" w:hAnsi="Times New Roman" w:cs="Times New Roman"/>
                                      <w:w w:val="410"/>
                                      <w:sz w:val="26"/>
                                      <w:szCs w:val="26"/>
                                    </w:rPr>
                                    <w:tab/>
                                  </w:r>
                                  <w:proofErr w:type="spellStart"/>
                                  <w:r>
                                    <w:rPr>
                                      <w:rFonts w:ascii="Times New Roman" w:hAnsi="Times New Roman" w:cs="Times New Roman"/>
                                      <w:spacing w:val="-3"/>
                                      <w:w w:val="55"/>
                                      <w:sz w:val="26"/>
                                      <w:szCs w:val="26"/>
                                    </w:rPr>
                                    <w:t>ilfEfi</w:t>
                                  </w:r>
                                  <w:proofErr w:type="spellEnd"/>
                                  <w:r>
                                    <w:rPr>
                                      <w:rFonts w:ascii="Times New Roman" w:hAnsi="Times New Roman" w:cs="Times New Roman"/>
                                      <w:spacing w:val="-3"/>
                                      <w:w w:val="55"/>
                                      <w:sz w:val="26"/>
                                      <w:szCs w:val="26"/>
                                    </w:rPr>
                                    <w:t xml:space="preserve">   </w:t>
                                  </w:r>
                                  <w:proofErr w:type="spellStart"/>
                                  <w:r>
                                    <w:rPr>
                                      <w:rFonts w:ascii="Times New Roman" w:hAnsi="Times New Roman" w:cs="Times New Roman"/>
                                      <w:w w:val="55"/>
                                      <w:sz w:val="26"/>
                                      <w:szCs w:val="26"/>
                                    </w:rPr>
                                    <w:t>fiii.EJ</w:t>
                                  </w:r>
                                  <w:proofErr w:type="spellEnd"/>
                                  <w:r>
                                    <w:rPr>
                                      <w:rFonts w:ascii="Times New Roman" w:hAnsi="Times New Roman" w:cs="Times New Roman"/>
                                      <w:w w:val="55"/>
                                      <w:sz w:val="26"/>
                                      <w:szCs w:val="26"/>
                                    </w:rPr>
                                    <w:t xml:space="preserve"> </w:t>
                                  </w:r>
                                  <w:r>
                                    <w:rPr>
                                      <w:rFonts w:ascii="Times New Roman" w:hAnsi="Times New Roman" w:cs="Times New Roman"/>
                                      <w:spacing w:val="-10"/>
                                      <w:w w:val="55"/>
                                      <w:sz w:val="26"/>
                                      <w:szCs w:val="26"/>
                                    </w:rPr>
                                    <w:t>:/;.;:(_:;-:</w:t>
                                  </w:r>
                                  <w:proofErr w:type="spellStart"/>
                                  <w:r>
                                    <w:rPr>
                                      <w:rFonts w:ascii="Times New Roman" w:hAnsi="Times New Roman" w:cs="Times New Roman"/>
                                      <w:spacing w:val="-10"/>
                                      <w:w w:val="55"/>
                                      <w:sz w:val="26"/>
                                      <w:szCs w:val="26"/>
                                    </w:rPr>
                                    <w:t>i</w:t>
                                  </w:r>
                                  <w:proofErr w:type="spellEnd"/>
                                  <w:r>
                                    <w:rPr>
                                      <w:rFonts w:ascii="Times New Roman" w:hAnsi="Times New Roman" w:cs="Times New Roman"/>
                                      <w:spacing w:val="-10"/>
                                      <w:w w:val="55"/>
                                      <w:sz w:val="26"/>
                                      <w:szCs w:val="26"/>
                                    </w:rPr>
                                    <w:t xml:space="preserve">: </w:t>
                                  </w:r>
                                  <w:r>
                                    <w:rPr>
                                      <w:rFonts w:ascii="Times New Roman" w:hAnsi="Times New Roman" w:cs="Times New Roman"/>
                                      <w:w w:val="55"/>
                                      <w:sz w:val="26"/>
                                      <w:szCs w:val="26"/>
                                    </w:rPr>
                                    <w:t>-'1-,; -</w:t>
                                  </w:r>
                                  <w:r>
                                    <w:rPr>
                                      <w:rFonts w:ascii="Times New Roman" w:hAnsi="Times New Roman" w:cs="Times New Roman"/>
                                      <w:spacing w:val="1"/>
                                      <w:w w:val="55"/>
                                      <w:sz w:val="26"/>
                                      <w:szCs w:val="26"/>
                                    </w:rPr>
                                    <w:t xml:space="preserve"> </w:t>
                                  </w:r>
                                  <w:r>
                                    <w:rPr>
                                      <w:rFonts w:ascii="Times New Roman" w:hAnsi="Times New Roman" w:cs="Times New Roman"/>
                                      <w:w w:val="55"/>
                                      <w:sz w:val="26"/>
                                      <w:szCs w:val="26"/>
                                    </w:rPr>
                                    <w:t>.--</w:t>
                                  </w:r>
                                </w:p>
                              </w:tc>
                            </w:tr>
                            <w:tr w:rsidR="007B2B7B">
                              <w:trPr>
                                <w:trHeight w:hRule="exact" w:val="509"/>
                              </w:trPr>
                              <w:tc>
                                <w:tcPr>
                                  <w:tcW w:w="377" w:type="dxa"/>
                                  <w:tcBorders>
                                    <w:top w:val="single" w:sz="4" w:space="0" w:color="000000"/>
                                    <w:left w:val="single" w:sz="2" w:space="0" w:color="000000"/>
                                    <w:bottom w:val="single" w:sz="2" w:space="0" w:color="000000"/>
                                    <w:right w:val="single" w:sz="2" w:space="0" w:color="000000"/>
                                  </w:tcBorders>
                                </w:tcPr>
                                <w:p w:rsidR="007B2B7B" w:rsidRDefault="007B2B7B">
                                  <w:pPr>
                                    <w:pStyle w:val="TableParagraph"/>
                                    <w:kinsoku w:val="0"/>
                                    <w:overflowPunct w:val="0"/>
                                    <w:spacing w:before="71"/>
                                    <w:ind w:left="182"/>
                                    <w:rPr>
                                      <w:rFonts w:ascii="Times New Roman" w:hAnsi="Times New Roman" w:cs="Times New Roman"/>
                                    </w:rPr>
                                  </w:pPr>
                                  <w:r>
                                    <w:rPr>
                                      <w:rFonts w:ascii="Times New Roman" w:hAnsi="Times New Roman" w:cs="Times New Roman"/>
                                      <w:w w:val="160"/>
                                      <w:sz w:val="16"/>
                                      <w:szCs w:val="16"/>
                                    </w:rPr>
                                    <w:t>*</w:t>
                                  </w:r>
                                </w:p>
                              </w:tc>
                              <w:tc>
                                <w:tcPr>
                                  <w:tcW w:w="2155" w:type="dxa"/>
                                  <w:tcBorders>
                                    <w:top w:val="single" w:sz="4" w:space="0" w:color="000000"/>
                                    <w:left w:val="single" w:sz="2" w:space="0" w:color="000000"/>
                                    <w:bottom w:val="single" w:sz="2" w:space="0" w:color="000000"/>
                                    <w:right w:val="single" w:sz="2" w:space="0" w:color="000000"/>
                                  </w:tcBorders>
                                </w:tcPr>
                                <w:p w:rsidR="007B2B7B" w:rsidRDefault="007B2B7B">
                                  <w:pPr>
                                    <w:pStyle w:val="TableParagraph"/>
                                    <w:tabs>
                                      <w:tab w:val="left" w:pos="839"/>
                                    </w:tabs>
                                    <w:kinsoku w:val="0"/>
                                    <w:overflowPunct w:val="0"/>
                                    <w:spacing w:before="39" w:line="170" w:lineRule="exact"/>
                                    <w:ind w:left="107" w:right="125"/>
                                    <w:rPr>
                                      <w:w w:val="85"/>
                                      <w:sz w:val="15"/>
                                      <w:szCs w:val="15"/>
                                    </w:rPr>
                                  </w:pPr>
                                  <w:r>
                                    <w:rPr>
                                      <w:w w:val="95"/>
                                      <w:sz w:val="15"/>
                                      <w:szCs w:val="15"/>
                                    </w:rPr>
                                    <w:t>Center</w:t>
                                  </w:r>
                                  <w:r>
                                    <w:rPr>
                                      <w:spacing w:val="-25"/>
                                      <w:w w:val="95"/>
                                      <w:sz w:val="15"/>
                                      <w:szCs w:val="15"/>
                                    </w:rPr>
                                    <w:t xml:space="preserve"> </w:t>
                                  </w:r>
                                  <w:r>
                                    <w:rPr>
                                      <w:w w:val="95"/>
                                      <w:sz w:val="15"/>
                                      <w:szCs w:val="15"/>
                                    </w:rPr>
                                    <w:t>for</w:t>
                                  </w:r>
                                  <w:r>
                                    <w:rPr>
                                      <w:spacing w:val="-24"/>
                                      <w:w w:val="95"/>
                                      <w:sz w:val="15"/>
                                      <w:szCs w:val="15"/>
                                    </w:rPr>
                                    <w:t xml:space="preserve"> </w:t>
                                  </w:r>
                                  <w:r>
                                    <w:rPr>
                                      <w:spacing w:val="-3"/>
                                      <w:w w:val="95"/>
                                      <w:sz w:val="15"/>
                                      <w:szCs w:val="15"/>
                                    </w:rPr>
                                    <w:t>Women</w:t>
                                  </w:r>
                                  <w:r>
                                    <w:rPr>
                                      <w:spacing w:val="-23"/>
                                      <w:w w:val="95"/>
                                      <w:sz w:val="15"/>
                                      <w:szCs w:val="15"/>
                                    </w:rPr>
                                    <w:t xml:space="preserve"> </w:t>
                                  </w:r>
                                  <w:r>
                                    <w:rPr>
                                      <w:w w:val="95"/>
                                      <w:sz w:val="14"/>
                                      <w:szCs w:val="14"/>
                                    </w:rPr>
                                    <w:t>&amp;</w:t>
                                  </w:r>
                                  <w:r>
                                    <w:rPr>
                                      <w:spacing w:val="-26"/>
                                      <w:w w:val="95"/>
                                      <w:sz w:val="14"/>
                                      <w:szCs w:val="14"/>
                                    </w:rPr>
                                    <w:t xml:space="preserve"> </w:t>
                                  </w:r>
                                  <w:r>
                                    <w:rPr>
                                      <w:spacing w:val="-3"/>
                                      <w:w w:val="95"/>
                                      <w:sz w:val="15"/>
                                      <w:szCs w:val="15"/>
                                    </w:rPr>
                                    <w:t xml:space="preserve">Community </w:t>
                                  </w:r>
                                  <w:r>
                                    <w:rPr>
                                      <w:w w:val="90"/>
                                      <w:sz w:val="15"/>
                                      <w:szCs w:val="15"/>
                                    </w:rPr>
                                    <w:t>Amherst:</w:t>
                                  </w:r>
                                  <w:r>
                                    <w:rPr>
                                      <w:w w:val="90"/>
                                      <w:sz w:val="15"/>
                                      <w:szCs w:val="15"/>
                                    </w:rPr>
                                    <w:tab/>
                                  </w:r>
                                  <w:r>
                                    <w:rPr>
                                      <w:rFonts w:ascii="Times New Roman" w:hAnsi="Times New Roman" w:cs="Times New Roman"/>
                                      <w:w w:val="85"/>
                                      <w:sz w:val="16"/>
                                      <w:szCs w:val="16"/>
                                    </w:rPr>
                                    <w:t>413-545-0800</w:t>
                                  </w:r>
                                  <w:r>
                                    <w:rPr>
                                      <w:rFonts w:ascii="Times New Roman" w:hAnsi="Times New Roman" w:cs="Times New Roman"/>
                                      <w:spacing w:val="8"/>
                                      <w:w w:val="85"/>
                                      <w:sz w:val="16"/>
                                      <w:szCs w:val="16"/>
                                    </w:rPr>
                                    <w:t xml:space="preserve"> </w:t>
                                  </w:r>
                                  <w:r>
                                    <w:rPr>
                                      <w:w w:val="85"/>
                                      <w:sz w:val="15"/>
                                      <w:szCs w:val="15"/>
                                    </w:rPr>
                                    <w:t>&lt;</w:t>
                                  </w:r>
                                  <w:proofErr w:type="spellStart"/>
                                  <w:r>
                                    <w:rPr>
                                      <w:w w:val="85"/>
                                      <w:sz w:val="15"/>
                                      <w:szCs w:val="15"/>
                                    </w:rPr>
                                    <w:t>ll</w:t>
                                  </w:r>
                                  <w:proofErr w:type="spellEnd"/>
                                </w:p>
                                <w:p w:rsidR="007B2B7B" w:rsidRDefault="007B2B7B">
                                  <w:pPr>
                                    <w:pStyle w:val="TableParagraph"/>
                                    <w:kinsoku w:val="0"/>
                                    <w:overflowPunct w:val="0"/>
                                    <w:spacing w:line="133" w:lineRule="exact"/>
                                    <w:ind w:left="840" w:right="125"/>
                                    <w:rPr>
                                      <w:rFonts w:ascii="Times New Roman" w:hAnsi="Times New Roman" w:cs="Times New Roman"/>
                                    </w:rPr>
                                  </w:pPr>
                                  <w:r>
                                    <w:rPr>
                                      <w:rFonts w:ascii="Times New Roman" w:hAnsi="Times New Roman" w:cs="Times New Roman"/>
                                      <w:w w:val="80"/>
                                      <w:sz w:val="16"/>
                                      <w:szCs w:val="16"/>
                                    </w:rPr>
                                    <w:t>TTY: 413-577-0940</w:t>
                                  </w:r>
                                </w:p>
                              </w:tc>
                              <w:tc>
                                <w:tcPr>
                                  <w:tcW w:w="343" w:type="dxa"/>
                                  <w:tcBorders>
                                    <w:top w:val="single" w:sz="4" w:space="0" w:color="000000"/>
                                    <w:left w:val="single" w:sz="2" w:space="0" w:color="000000"/>
                                    <w:bottom w:val="single" w:sz="2" w:space="0" w:color="000000"/>
                                    <w:right w:val="single" w:sz="2" w:space="0" w:color="000000"/>
                                  </w:tcBorders>
                                </w:tcPr>
                                <w:p w:rsidR="007B2B7B" w:rsidRDefault="007B2B7B">
                                  <w:pPr>
                                    <w:pStyle w:val="TableParagraph"/>
                                    <w:kinsoku w:val="0"/>
                                    <w:overflowPunct w:val="0"/>
                                    <w:spacing w:before="57"/>
                                    <w:ind w:left="165"/>
                                    <w:rPr>
                                      <w:rFonts w:ascii="Times New Roman" w:hAnsi="Times New Roman" w:cs="Times New Roman"/>
                                      <w:w w:val="163"/>
                                      <w:sz w:val="16"/>
                                      <w:szCs w:val="16"/>
                                    </w:rPr>
                                  </w:pPr>
                                  <w:r>
                                    <w:rPr>
                                      <w:rFonts w:ascii="Times New Roman" w:hAnsi="Times New Roman" w:cs="Times New Roman"/>
                                      <w:w w:val="163"/>
                                      <w:sz w:val="16"/>
                                      <w:szCs w:val="16"/>
                                    </w:rPr>
                                    <w:t>0</w:t>
                                  </w:r>
                                </w:p>
                                <w:p w:rsidR="007B2B7B" w:rsidRDefault="007B2B7B">
                                  <w:pPr>
                                    <w:pStyle w:val="TableParagraph"/>
                                    <w:kinsoku w:val="0"/>
                                    <w:overflowPunct w:val="0"/>
                                    <w:spacing w:before="37"/>
                                    <w:ind w:left="151" w:right="-10"/>
                                    <w:rPr>
                                      <w:rFonts w:ascii="Times New Roman" w:hAnsi="Times New Roman" w:cs="Times New Roman"/>
                                    </w:rPr>
                                  </w:pPr>
                                  <w:r>
                                    <w:rPr>
                                      <w:rFonts w:ascii="Times New Roman" w:hAnsi="Times New Roman" w:cs="Times New Roman"/>
                                      <w:w w:val="95"/>
                                      <w:sz w:val="16"/>
                                      <w:szCs w:val="16"/>
                                    </w:rPr>
                                    <w:t>ES</w:t>
                                  </w:r>
                                </w:p>
                              </w:tc>
                              <w:tc>
                                <w:tcPr>
                                  <w:tcW w:w="1973" w:type="dxa"/>
                                  <w:tcBorders>
                                    <w:top w:val="single" w:sz="4" w:space="0" w:color="000000"/>
                                    <w:left w:val="single" w:sz="2" w:space="0" w:color="000000"/>
                                    <w:bottom w:val="single" w:sz="2" w:space="0" w:color="000000"/>
                                    <w:right w:val="single" w:sz="2" w:space="0" w:color="000000"/>
                                  </w:tcBorders>
                                </w:tcPr>
                                <w:p w:rsidR="007B2B7B" w:rsidRDefault="007B2B7B">
                                  <w:pPr>
                                    <w:pStyle w:val="TableParagraph"/>
                                    <w:kinsoku w:val="0"/>
                                    <w:overflowPunct w:val="0"/>
                                    <w:spacing w:before="41" w:line="164" w:lineRule="exact"/>
                                    <w:ind w:left="132"/>
                                    <w:rPr>
                                      <w:w w:val="85"/>
                                      <w:sz w:val="15"/>
                                      <w:szCs w:val="15"/>
                                    </w:rPr>
                                  </w:pPr>
                                  <w:r>
                                    <w:rPr>
                                      <w:w w:val="85"/>
                                      <w:sz w:val="15"/>
                                      <w:szCs w:val="15"/>
                                    </w:rPr>
                                    <w:t>Safe Passage</w:t>
                                  </w:r>
                                </w:p>
                                <w:p w:rsidR="007B2B7B" w:rsidRDefault="007B2B7B">
                                  <w:pPr>
                                    <w:pStyle w:val="TableParagraph"/>
                                    <w:kinsoku w:val="0"/>
                                    <w:overflowPunct w:val="0"/>
                                    <w:spacing w:line="149" w:lineRule="exact"/>
                                    <w:ind w:left="132"/>
                                    <w:rPr>
                                      <w:rFonts w:ascii="Times New Roman" w:hAnsi="Times New Roman" w:cs="Times New Roman"/>
                                      <w:w w:val="85"/>
                                      <w:sz w:val="16"/>
                                      <w:szCs w:val="16"/>
                                    </w:rPr>
                                  </w:pPr>
                                  <w:r>
                                    <w:rPr>
                                      <w:rFonts w:ascii="Times New Roman" w:hAnsi="Times New Roman" w:cs="Times New Roman"/>
                                      <w:w w:val="85"/>
                                      <w:sz w:val="16"/>
                                      <w:szCs w:val="16"/>
                                    </w:rPr>
                                    <w:t>Northampton: 888-345-5282 Ill</w:t>
                                  </w:r>
                                </w:p>
                                <w:p w:rsidR="007B2B7B" w:rsidRDefault="007B2B7B">
                                  <w:pPr>
                                    <w:pStyle w:val="TableParagraph"/>
                                    <w:kinsoku w:val="0"/>
                                    <w:overflowPunct w:val="0"/>
                                    <w:spacing w:line="158" w:lineRule="exact"/>
                                    <w:ind w:left="607"/>
                                    <w:rPr>
                                      <w:rFonts w:ascii="Times New Roman" w:hAnsi="Times New Roman" w:cs="Times New Roman"/>
                                    </w:rPr>
                                  </w:pPr>
                                  <w:r>
                                    <w:rPr>
                                      <w:rFonts w:ascii="Times New Roman" w:hAnsi="Times New Roman" w:cs="Times New Roman"/>
                                      <w:w w:val="85"/>
                                      <w:sz w:val="16"/>
                                      <w:szCs w:val="16"/>
                                    </w:rPr>
                                    <w:t xml:space="preserve">TTY: 413-585-6066 </w:t>
                                  </w:r>
                                  <w:r>
                                    <w:rPr>
                                      <w:w w:val="85"/>
                                      <w:sz w:val="15"/>
                                      <w:szCs w:val="15"/>
                                    </w:rPr>
                                    <w:t>&lt;</w:t>
                                  </w:r>
                                  <w:proofErr w:type="spellStart"/>
                                  <w:r>
                                    <w:rPr>
                                      <w:w w:val="85"/>
                                      <w:sz w:val="15"/>
                                      <w:szCs w:val="15"/>
                                    </w:rPr>
                                    <w:t>ll</w:t>
                                  </w:r>
                                  <w:proofErr w:type="spellEnd"/>
                                </w:p>
                              </w:tc>
                            </w:tr>
                            <w:tr w:rsidR="007B2B7B">
                              <w:trPr>
                                <w:trHeight w:hRule="exact" w:val="648"/>
                              </w:trPr>
                              <w:tc>
                                <w:tcPr>
                                  <w:tcW w:w="2532" w:type="dxa"/>
                                  <w:gridSpan w:val="2"/>
                                  <w:tcBorders>
                                    <w:top w:val="single" w:sz="2" w:space="0" w:color="000000"/>
                                    <w:left w:val="single" w:sz="2" w:space="0" w:color="000000"/>
                                    <w:bottom w:val="single" w:sz="4" w:space="0" w:color="000000"/>
                                    <w:right w:val="single" w:sz="2" w:space="0" w:color="000000"/>
                                  </w:tcBorders>
                                </w:tcPr>
                                <w:p w:rsidR="007B2B7B" w:rsidRDefault="007B2B7B">
                                  <w:pPr>
                                    <w:pStyle w:val="TableParagraph"/>
                                    <w:kinsoku w:val="0"/>
                                    <w:overflowPunct w:val="0"/>
                                    <w:spacing w:before="99" w:line="188" w:lineRule="exact"/>
                                    <w:ind w:left="96"/>
                                    <w:rPr>
                                      <w:sz w:val="15"/>
                                      <w:szCs w:val="15"/>
                                    </w:rPr>
                                  </w:pPr>
                                  <w:r>
                                    <w:rPr>
                                      <w:rFonts w:ascii="Times New Roman" w:hAnsi="Times New Roman" w:cs="Times New Roman"/>
                                      <w:position w:val="-3"/>
                                      <w:sz w:val="16"/>
                                      <w:szCs w:val="16"/>
                                    </w:rPr>
                                    <w:t xml:space="preserve">®* </w:t>
                                  </w:r>
                                  <w:proofErr w:type="spellStart"/>
                                  <w:r>
                                    <w:rPr>
                                      <w:sz w:val="15"/>
                                      <w:szCs w:val="15"/>
                                    </w:rPr>
                                    <w:t>ElizabethFreeman</w:t>
                                  </w:r>
                                  <w:proofErr w:type="spellEnd"/>
                                  <w:r>
                                    <w:rPr>
                                      <w:sz w:val="15"/>
                                      <w:szCs w:val="15"/>
                                    </w:rPr>
                                    <w:t xml:space="preserve"> Center</w:t>
                                  </w:r>
                                </w:p>
                                <w:p w:rsidR="007B2B7B" w:rsidRDefault="007B2B7B">
                                  <w:pPr>
                                    <w:pStyle w:val="TableParagraph"/>
                                    <w:tabs>
                                      <w:tab w:val="left" w:pos="1219"/>
                                    </w:tabs>
                                    <w:kinsoku w:val="0"/>
                                    <w:overflowPunct w:val="0"/>
                                    <w:spacing w:line="247" w:lineRule="exact"/>
                                    <w:ind w:left="146"/>
                                    <w:rPr>
                                      <w:rFonts w:ascii="Times New Roman" w:hAnsi="Times New Roman" w:cs="Times New Roman"/>
                                    </w:rPr>
                                  </w:pPr>
                                  <w:r>
                                    <w:rPr>
                                      <w:rFonts w:ascii="Times New Roman" w:hAnsi="Times New Roman" w:cs="Times New Roman"/>
                                      <w:position w:val="-8"/>
                                      <w:sz w:val="16"/>
                                      <w:szCs w:val="16"/>
                                    </w:rPr>
                                    <w:t>ES</w:t>
                                  </w:r>
                                  <w:r>
                                    <w:rPr>
                                      <w:rFonts w:ascii="Times New Roman" w:hAnsi="Times New Roman" w:cs="Times New Roman"/>
                                      <w:spacing w:val="25"/>
                                      <w:position w:val="-8"/>
                                      <w:sz w:val="16"/>
                                      <w:szCs w:val="16"/>
                                    </w:rPr>
                                    <w:t xml:space="preserve"> </w:t>
                                  </w:r>
                                  <w:r>
                                    <w:rPr>
                                      <w:rFonts w:ascii="Times New Roman" w:hAnsi="Times New Roman" w:cs="Times New Roman"/>
                                      <w:sz w:val="16"/>
                                      <w:szCs w:val="16"/>
                                    </w:rPr>
                                    <w:t>Pittsfield:</w:t>
                                  </w:r>
                                  <w:r>
                                    <w:rPr>
                                      <w:rFonts w:ascii="Times New Roman" w:hAnsi="Times New Roman" w:cs="Times New Roman"/>
                                      <w:sz w:val="16"/>
                                      <w:szCs w:val="16"/>
                                    </w:rPr>
                                    <w:tab/>
                                    <w:t>860401-24250&gt;</w:t>
                                  </w:r>
                                </w:p>
                              </w:tc>
                              <w:tc>
                                <w:tcPr>
                                  <w:tcW w:w="343" w:type="dxa"/>
                                  <w:tcBorders>
                                    <w:top w:val="single" w:sz="2" w:space="0" w:color="000000"/>
                                    <w:left w:val="single" w:sz="2" w:space="0" w:color="000000"/>
                                    <w:bottom w:val="single" w:sz="4" w:space="0" w:color="000000"/>
                                    <w:right w:val="single" w:sz="2" w:space="0" w:color="000000"/>
                                  </w:tcBorders>
                                </w:tcPr>
                                <w:p w:rsidR="007B2B7B" w:rsidRDefault="007B2B7B">
                                  <w:pPr>
                                    <w:pStyle w:val="TableParagraph"/>
                                    <w:kinsoku w:val="0"/>
                                    <w:overflowPunct w:val="0"/>
                                    <w:spacing w:before="117"/>
                                    <w:ind w:left="158"/>
                                    <w:rPr>
                                      <w:rFonts w:ascii="Times New Roman" w:hAnsi="Times New Roman" w:cs="Times New Roman"/>
                                      <w:w w:val="163"/>
                                      <w:sz w:val="16"/>
                                      <w:szCs w:val="16"/>
                                    </w:rPr>
                                  </w:pPr>
                                  <w:r>
                                    <w:rPr>
                                      <w:rFonts w:ascii="Times New Roman" w:hAnsi="Times New Roman" w:cs="Times New Roman"/>
                                      <w:w w:val="163"/>
                                      <w:sz w:val="16"/>
                                      <w:szCs w:val="16"/>
                                    </w:rPr>
                                    <w:t>0</w:t>
                                  </w:r>
                                </w:p>
                                <w:p w:rsidR="007B2B7B" w:rsidRDefault="007B2B7B">
                                  <w:pPr>
                                    <w:pStyle w:val="TableParagraph"/>
                                    <w:kinsoku w:val="0"/>
                                    <w:overflowPunct w:val="0"/>
                                    <w:spacing w:before="58"/>
                                    <w:ind w:left="143" w:right="-12"/>
                                    <w:rPr>
                                      <w:rFonts w:ascii="Times New Roman" w:hAnsi="Times New Roman" w:cs="Times New Roman"/>
                                    </w:rPr>
                                  </w:pPr>
                                  <w:r>
                                    <w:rPr>
                                      <w:rFonts w:ascii="Times New Roman" w:hAnsi="Times New Roman" w:cs="Times New Roman"/>
                                      <w:sz w:val="16"/>
                                      <w:szCs w:val="16"/>
                                    </w:rPr>
                                    <w:t>ES</w:t>
                                  </w:r>
                                </w:p>
                              </w:tc>
                              <w:tc>
                                <w:tcPr>
                                  <w:tcW w:w="1973" w:type="dxa"/>
                                  <w:tcBorders>
                                    <w:top w:val="single" w:sz="2" w:space="0" w:color="000000"/>
                                    <w:left w:val="single" w:sz="2" w:space="0" w:color="000000"/>
                                    <w:bottom w:val="single" w:sz="4" w:space="0" w:color="000000"/>
                                    <w:right w:val="single" w:sz="2" w:space="0" w:color="000000"/>
                                  </w:tcBorders>
                                </w:tcPr>
                                <w:p w:rsidR="007B2B7B" w:rsidRDefault="007B2B7B">
                                  <w:pPr>
                                    <w:pStyle w:val="TableParagraph"/>
                                    <w:tabs>
                                      <w:tab w:val="left" w:pos="873"/>
                                    </w:tabs>
                                    <w:kinsoku w:val="0"/>
                                    <w:overflowPunct w:val="0"/>
                                    <w:spacing w:before="105" w:line="180" w:lineRule="exact"/>
                                    <w:ind w:left="124" w:right="151" w:hanging="8"/>
                                    <w:rPr>
                                      <w:rFonts w:ascii="Times New Roman" w:hAnsi="Times New Roman" w:cs="Times New Roman"/>
                                    </w:rPr>
                                  </w:pPr>
                                  <w:proofErr w:type="spellStart"/>
                                  <w:r>
                                    <w:rPr>
                                      <w:w w:val="85"/>
                                      <w:sz w:val="15"/>
                                      <w:szCs w:val="15"/>
                                    </w:rPr>
                                    <w:t>Womanshelter</w:t>
                                  </w:r>
                                  <w:proofErr w:type="spellEnd"/>
                                  <w:r>
                                    <w:rPr>
                                      <w:w w:val="85"/>
                                      <w:sz w:val="15"/>
                                      <w:szCs w:val="15"/>
                                    </w:rPr>
                                    <w:t>/</w:t>
                                  </w:r>
                                  <w:proofErr w:type="spellStart"/>
                                  <w:r>
                                    <w:rPr>
                                      <w:w w:val="85"/>
                                      <w:sz w:val="15"/>
                                      <w:szCs w:val="15"/>
                                    </w:rPr>
                                    <w:t>Compar'ieras</w:t>
                                  </w:r>
                                  <w:proofErr w:type="spellEnd"/>
                                  <w:r>
                                    <w:rPr>
                                      <w:w w:val="85"/>
                                      <w:sz w:val="15"/>
                                      <w:szCs w:val="15"/>
                                    </w:rPr>
                                    <w:t xml:space="preserve"> </w:t>
                                  </w:r>
                                  <w:r>
                                    <w:rPr>
                                      <w:w w:val="90"/>
                                      <w:sz w:val="15"/>
                                      <w:szCs w:val="15"/>
                                    </w:rPr>
                                    <w:t>Holyoke:</w:t>
                                  </w:r>
                                  <w:r>
                                    <w:rPr>
                                      <w:w w:val="90"/>
                                      <w:sz w:val="15"/>
                                      <w:szCs w:val="15"/>
                                    </w:rPr>
                                    <w:tab/>
                                  </w:r>
                                  <w:r>
                                    <w:rPr>
                                      <w:rFonts w:ascii="Times New Roman" w:hAnsi="Times New Roman" w:cs="Times New Roman"/>
                                      <w:w w:val="85"/>
                                      <w:position w:val="1"/>
                                      <w:sz w:val="16"/>
                                      <w:szCs w:val="16"/>
                                    </w:rPr>
                                    <w:t>877-536-1628</w:t>
                                  </w:r>
                                  <w:r>
                                    <w:rPr>
                                      <w:rFonts w:ascii="Times New Roman" w:hAnsi="Times New Roman" w:cs="Times New Roman"/>
                                      <w:spacing w:val="-15"/>
                                      <w:w w:val="85"/>
                                      <w:position w:val="1"/>
                                      <w:sz w:val="16"/>
                                      <w:szCs w:val="16"/>
                                    </w:rPr>
                                    <w:t xml:space="preserve"> </w:t>
                                  </w:r>
                                  <w:r>
                                    <w:rPr>
                                      <w:spacing w:val="-2"/>
                                      <w:w w:val="85"/>
                                      <w:position w:val="1"/>
                                      <w:sz w:val="17"/>
                                      <w:szCs w:val="17"/>
                                    </w:rPr>
                                    <w:t>&lt;</w:t>
                                  </w:r>
                                  <w:proofErr w:type="spellStart"/>
                                  <w:r>
                                    <w:rPr>
                                      <w:spacing w:val="-2"/>
                                      <w:w w:val="85"/>
                                      <w:position w:val="1"/>
                                      <w:sz w:val="17"/>
                                      <w:szCs w:val="17"/>
                                    </w:rPr>
                                    <w:t>ll</w:t>
                                  </w:r>
                                  <w:proofErr w:type="spellEnd"/>
                                </w:p>
                              </w:tc>
                            </w:tr>
                            <w:tr w:rsidR="007B2B7B">
                              <w:trPr>
                                <w:trHeight w:hRule="exact" w:val="511"/>
                              </w:trPr>
                              <w:tc>
                                <w:tcPr>
                                  <w:tcW w:w="377" w:type="dxa"/>
                                  <w:tcBorders>
                                    <w:top w:val="single" w:sz="4" w:space="0" w:color="000000"/>
                                    <w:left w:val="single" w:sz="2" w:space="0" w:color="000000"/>
                                    <w:bottom w:val="single" w:sz="2" w:space="0" w:color="000000"/>
                                    <w:right w:val="single" w:sz="4" w:space="0" w:color="000000"/>
                                  </w:tcBorders>
                                </w:tcPr>
                                <w:p w:rsidR="007B2B7B" w:rsidRDefault="007B2B7B">
                                  <w:pPr>
                                    <w:pStyle w:val="TableParagraph"/>
                                    <w:kinsoku w:val="0"/>
                                    <w:overflowPunct w:val="0"/>
                                    <w:spacing w:before="71" w:line="290" w:lineRule="auto"/>
                                    <w:ind w:left="153" w:right="7" w:hanging="51"/>
                                    <w:rPr>
                                      <w:rFonts w:ascii="Times New Roman" w:hAnsi="Times New Roman" w:cs="Times New Roman"/>
                                    </w:rPr>
                                  </w:pPr>
                                  <w:r>
                                    <w:rPr>
                                      <w:rFonts w:ascii="Times New Roman" w:hAnsi="Times New Roman" w:cs="Times New Roman"/>
                                      <w:w w:val="105"/>
                                      <w:sz w:val="16"/>
                                      <w:szCs w:val="16"/>
                                    </w:rPr>
                                    <w:t xml:space="preserve">®* </w:t>
                                  </w:r>
                                  <w:r>
                                    <w:rPr>
                                      <w:rFonts w:ascii="Times New Roman" w:hAnsi="Times New Roman" w:cs="Times New Roman"/>
                                      <w:sz w:val="16"/>
                                      <w:szCs w:val="16"/>
                                    </w:rPr>
                                    <w:t>ES</w:t>
                                  </w:r>
                                </w:p>
                              </w:tc>
                              <w:tc>
                                <w:tcPr>
                                  <w:tcW w:w="2155" w:type="dxa"/>
                                  <w:tcBorders>
                                    <w:top w:val="single" w:sz="4" w:space="0" w:color="000000"/>
                                    <w:left w:val="single" w:sz="4" w:space="0" w:color="000000"/>
                                    <w:bottom w:val="single" w:sz="2" w:space="0" w:color="000000"/>
                                    <w:right w:val="single" w:sz="2" w:space="0" w:color="000000"/>
                                  </w:tcBorders>
                                </w:tcPr>
                                <w:p w:rsidR="007B2B7B" w:rsidRDefault="007B2B7B">
                                  <w:pPr>
                                    <w:pStyle w:val="TableParagraph"/>
                                    <w:kinsoku w:val="0"/>
                                    <w:overflowPunct w:val="0"/>
                                    <w:spacing w:before="40" w:line="182" w:lineRule="exact"/>
                                    <w:rPr>
                                      <w:rFonts w:ascii="Times New Roman" w:hAnsi="Times New Roman" w:cs="Times New Roman"/>
                                      <w:w w:val="95"/>
                                      <w:sz w:val="16"/>
                                      <w:szCs w:val="16"/>
                                    </w:rPr>
                                  </w:pPr>
                                  <w:r>
                                    <w:rPr>
                                      <w:rFonts w:ascii="Times New Roman" w:hAnsi="Times New Roman" w:cs="Times New Roman"/>
                                      <w:w w:val="95"/>
                                      <w:sz w:val="16"/>
                                      <w:szCs w:val="16"/>
                                    </w:rPr>
                                    <w:t>NELCWIT</w:t>
                                  </w:r>
                                </w:p>
                                <w:p w:rsidR="007B2B7B" w:rsidRDefault="007B2B7B">
                                  <w:pPr>
                                    <w:pStyle w:val="TableParagraph"/>
                                    <w:kinsoku w:val="0"/>
                                    <w:overflowPunct w:val="0"/>
                                    <w:spacing w:line="170" w:lineRule="exact"/>
                                    <w:rPr>
                                      <w:rFonts w:ascii="Times New Roman" w:hAnsi="Times New Roman" w:cs="Times New Roman"/>
                                    </w:rPr>
                                  </w:pPr>
                                  <w:r>
                                    <w:rPr>
                                      <w:w w:val="85"/>
                                      <w:sz w:val="15"/>
                                      <w:szCs w:val="15"/>
                                    </w:rPr>
                                    <w:t>Greenfield: 413-772-0806 &lt;I&gt;</w:t>
                                  </w:r>
                                </w:p>
                              </w:tc>
                              <w:tc>
                                <w:tcPr>
                                  <w:tcW w:w="343" w:type="dxa"/>
                                  <w:tcBorders>
                                    <w:top w:val="single" w:sz="4" w:space="0" w:color="000000"/>
                                    <w:left w:val="single" w:sz="2" w:space="0" w:color="000000"/>
                                    <w:bottom w:val="single" w:sz="2" w:space="0" w:color="000000"/>
                                    <w:right w:val="single" w:sz="2" w:space="0" w:color="000000"/>
                                  </w:tcBorders>
                                </w:tcPr>
                                <w:p w:rsidR="007B2B7B" w:rsidRDefault="007B2B7B">
                                  <w:pPr>
                                    <w:pStyle w:val="TableParagraph"/>
                                    <w:kinsoku w:val="0"/>
                                    <w:overflowPunct w:val="0"/>
                                    <w:spacing w:before="78" w:line="290" w:lineRule="auto"/>
                                    <w:ind w:left="143" w:right="-12" w:hanging="51"/>
                                    <w:rPr>
                                      <w:rFonts w:ascii="Times New Roman" w:hAnsi="Times New Roman" w:cs="Times New Roman"/>
                                    </w:rPr>
                                  </w:pPr>
                                  <w:r>
                                    <w:rPr>
                                      <w:rFonts w:ascii="Times New Roman" w:hAnsi="Times New Roman" w:cs="Times New Roman"/>
                                      <w:w w:val="105"/>
                                      <w:sz w:val="16"/>
                                      <w:szCs w:val="16"/>
                                    </w:rPr>
                                    <w:t xml:space="preserve">®* </w:t>
                                  </w:r>
                                  <w:r>
                                    <w:rPr>
                                      <w:rFonts w:ascii="Times New Roman" w:hAnsi="Times New Roman" w:cs="Times New Roman"/>
                                      <w:sz w:val="16"/>
                                      <w:szCs w:val="16"/>
                                    </w:rPr>
                                    <w:t>ES</w:t>
                                  </w:r>
                                </w:p>
                              </w:tc>
                              <w:tc>
                                <w:tcPr>
                                  <w:tcW w:w="1973" w:type="dxa"/>
                                  <w:tcBorders>
                                    <w:top w:val="single" w:sz="4" w:space="0" w:color="000000"/>
                                    <w:left w:val="single" w:sz="2" w:space="0" w:color="000000"/>
                                    <w:bottom w:val="single" w:sz="2" w:space="0" w:color="000000"/>
                                    <w:right w:val="single" w:sz="2" w:space="0" w:color="000000"/>
                                  </w:tcBorders>
                                </w:tcPr>
                                <w:p w:rsidR="007B2B7B" w:rsidRDefault="007B2B7B">
                                  <w:pPr>
                                    <w:pStyle w:val="TableParagraph"/>
                                    <w:kinsoku w:val="0"/>
                                    <w:overflowPunct w:val="0"/>
                                    <w:spacing w:before="59" w:line="172" w:lineRule="exact"/>
                                    <w:ind w:left="124"/>
                                    <w:rPr>
                                      <w:w w:val="85"/>
                                      <w:sz w:val="15"/>
                                      <w:szCs w:val="15"/>
                                    </w:rPr>
                                  </w:pPr>
                                  <w:r>
                                    <w:rPr>
                                      <w:w w:val="80"/>
                                      <w:sz w:val="15"/>
                                      <w:szCs w:val="15"/>
                                    </w:rPr>
                                    <w:t xml:space="preserve">YWCA Western Massachusetts </w:t>
                                  </w:r>
                                  <w:r>
                                    <w:rPr>
                                      <w:w w:val="85"/>
                                      <w:sz w:val="15"/>
                                      <w:szCs w:val="15"/>
                                    </w:rPr>
                                    <w:t xml:space="preserve">Springfield:  </w:t>
                                  </w:r>
                                  <w:r>
                                    <w:rPr>
                                      <w:rFonts w:ascii="Times New Roman" w:hAnsi="Times New Roman" w:cs="Times New Roman"/>
                                      <w:w w:val="85"/>
                                      <w:sz w:val="16"/>
                                      <w:szCs w:val="16"/>
                                    </w:rPr>
                                    <w:t xml:space="preserve">800-796-.1711 </w:t>
                                  </w:r>
                                  <w:r>
                                    <w:rPr>
                                      <w:w w:val="85"/>
                                      <w:sz w:val="15"/>
                                      <w:szCs w:val="15"/>
                                    </w:rPr>
                                    <w:t>&lt;</w:t>
                                  </w:r>
                                  <w:proofErr w:type="spellStart"/>
                                  <w:r>
                                    <w:rPr>
                                      <w:w w:val="85"/>
                                      <w:sz w:val="15"/>
                                      <w:szCs w:val="15"/>
                                    </w:rPr>
                                    <w:t>ll</w:t>
                                  </w:r>
                                  <w:proofErr w:type="spellEnd"/>
                                </w:p>
                                <w:p w:rsidR="007B2B7B" w:rsidRDefault="007B2B7B">
                                  <w:pPr>
                                    <w:pStyle w:val="TableParagraph"/>
                                    <w:kinsoku w:val="0"/>
                                    <w:overflowPunct w:val="0"/>
                                    <w:spacing w:line="111" w:lineRule="exact"/>
                                    <w:ind w:left="707"/>
                                    <w:rPr>
                                      <w:rFonts w:ascii="Times New Roman" w:hAnsi="Times New Roman" w:cs="Times New Roman"/>
                                    </w:rPr>
                                  </w:pPr>
                                  <w:r>
                                    <w:rPr>
                                      <w:rFonts w:ascii="Times New Roman" w:hAnsi="Times New Roman" w:cs="Times New Roman"/>
                                      <w:w w:val="80"/>
                                      <w:sz w:val="16"/>
                                      <w:szCs w:val="16"/>
                                    </w:rPr>
                                    <w:t>TTY: 413-733-7100</w:t>
                                  </w:r>
                                </w:p>
                              </w:tc>
                            </w:tr>
                          </w:tbl>
                          <w:p w:rsidR="007B2B7B" w:rsidRDefault="007B2B7B">
                            <w:pPr>
                              <w:pStyle w:val="BodyText"/>
                              <w:kinsoku w:val="0"/>
                              <w:overflowPunct w:val="0"/>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1" o:spid="_x0000_s1188" type="#_x0000_t202" style="position:absolute;left:0;text-align:left;margin-left:509.65pt;margin-top:7.95pt;width:242.8pt;height:100.6pt;z-index:251691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" o:allowincell="f" filled="f" stroked="f">
                <v:textbox inset="0,0,0,0">
                  <w:txbxContent>
                    <w:tbl>
                      <w:tblPr>
                        <w:tblW w:w="0" w:type="auto"/>
                        <w:tblInd w:w="3" w:type="dxa"/>
                        <w:tblLayout w:type="fixed"/>
                        <w:tblCellMar>
                          <w:left w:w="0" w:type="dxa"/>
                          <w:right w:w="0" w:type="dxa"/>
                        </w:tblCellMar>
                        <w:tblLook w:val="0000" w:firstRow="0" w:lastRow="0" w:firstColumn="0" w:lastColumn="0" w:noHBand="0" w:noVBand="0"/>
                      </w:tblPr>
                      <w:tblGrid>
                        <w:gridCol w:w="377"/>
                        <w:gridCol w:w="2155"/>
                        <w:gridCol w:w="343"/>
                        <w:gridCol w:w="1973"/>
                      </w:tblGrid>
                      <w:tr w:rsidR="007B2B7B">
                        <w:trPr>
                          <w:trHeight w:hRule="exact" w:val="338"/>
                        </w:trPr>
                        <w:tc>
                          <w:tcPr>
                            <w:tcW w:w="4848" w:type="dxa"/>
                            <w:gridSpan w:val="4"/>
                            <w:tcBorders>
                              <w:top w:val="single" w:sz="2" w:space="0" w:color="000000"/>
                              <w:left w:val="single" w:sz="2" w:space="0" w:color="000000"/>
                              <w:bottom w:val="single" w:sz="4" w:space="0" w:color="000000"/>
                              <w:right w:val="nil"/>
                            </w:tcBorders>
                          </w:tcPr>
                          <w:p w:rsidR="007B2B7B" w:rsidRDefault="007B2B7B">
                            <w:pPr>
                              <w:pStyle w:val="TableParagraph"/>
                              <w:tabs>
                                <w:tab w:val="left" w:pos="688"/>
                                <w:tab w:val="left" w:pos="2404"/>
                              </w:tabs>
                              <w:kinsoku w:val="0"/>
                              <w:overflowPunct w:val="0"/>
                              <w:spacing w:before="26"/>
                              <w:ind w:left="283"/>
                              <w:rPr>
                                <w:rFonts w:ascii="Times New Roman" w:hAnsi="Times New Roman" w:cs="Times New Roman"/>
                              </w:rPr>
                            </w:pPr>
                            <w:r>
                              <w:rPr>
                                <w:rFonts w:ascii="Times New Roman" w:hAnsi="Times New Roman" w:cs="Times New Roman"/>
                                <w:w w:val="110"/>
                                <w:sz w:val="26"/>
                                <w:szCs w:val="26"/>
                              </w:rPr>
                              <w:t>i:</w:t>
                            </w:r>
                            <w:r>
                              <w:rPr>
                                <w:rFonts w:ascii="Times New Roman" w:hAnsi="Times New Roman" w:cs="Times New Roman"/>
                                <w:w w:val="110"/>
                                <w:sz w:val="26"/>
                                <w:szCs w:val="26"/>
                              </w:rPr>
                              <w:tab/>
                            </w:r>
                            <w:r>
                              <w:rPr>
                                <w:rFonts w:ascii="Times New Roman" w:hAnsi="Times New Roman" w:cs="Times New Roman"/>
                                <w:w w:val="410"/>
                                <w:sz w:val="26"/>
                                <w:szCs w:val="26"/>
                              </w:rPr>
                              <w:t>-</w:t>
                            </w:r>
                            <w:r>
                              <w:rPr>
                                <w:rFonts w:ascii="Times New Roman" w:hAnsi="Times New Roman" w:cs="Times New Roman"/>
                                <w:w w:val="410"/>
                                <w:sz w:val="26"/>
                                <w:szCs w:val="26"/>
                              </w:rPr>
                              <w:tab/>
                            </w:r>
                            <w:proofErr w:type="spellStart"/>
                            <w:r>
                              <w:rPr>
                                <w:rFonts w:ascii="Times New Roman" w:hAnsi="Times New Roman" w:cs="Times New Roman"/>
                                <w:spacing w:val="-3"/>
                                <w:w w:val="55"/>
                                <w:sz w:val="26"/>
                                <w:szCs w:val="26"/>
                              </w:rPr>
                              <w:t>ilfEfi</w:t>
                            </w:r>
                            <w:proofErr w:type="spellEnd"/>
                            <w:r>
                              <w:rPr>
                                <w:rFonts w:ascii="Times New Roman" w:hAnsi="Times New Roman" w:cs="Times New Roman"/>
                                <w:spacing w:val="-3"/>
                                <w:w w:val="55"/>
                                <w:sz w:val="26"/>
                                <w:szCs w:val="26"/>
                              </w:rPr>
                              <w:t xml:space="preserve">   </w:t>
                            </w:r>
                            <w:proofErr w:type="spellStart"/>
                            <w:r>
                              <w:rPr>
                                <w:rFonts w:ascii="Times New Roman" w:hAnsi="Times New Roman" w:cs="Times New Roman"/>
                                <w:w w:val="55"/>
                                <w:sz w:val="26"/>
                                <w:szCs w:val="26"/>
                              </w:rPr>
                              <w:t>fiii.EJ</w:t>
                            </w:r>
                            <w:proofErr w:type="spellEnd"/>
                            <w:r>
                              <w:rPr>
                                <w:rFonts w:ascii="Times New Roman" w:hAnsi="Times New Roman" w:cs="Times New Roman"/>
                                <w:w w:val="55"/>
                                <w:sz w:val="26"/>
                                <w:szCs w:val="26"/>
                              </w:rPr>
                              <w:t xml:space="preserve"> </w:t>
                            </w:r>
                            <w:r>
                              <w:rPr>
                                <w:rFonts w:ascii="Times New Roman" w:hAnsi="Times New Roman" w:cs="Times New Roman"/>
                                <w:spacing w:val="-10"/>
                                <w:w w:val="55"/>
                                <w:sz w:val="26"/>
                                <w:szCs w:val="26"/>
                              </w:rPr>
                              <w:t>:/;.;:(_:;-:</w:t>
                            </w:r>
                            <w:proofErr w:type="spellStart"/>
                            <w:r>
                              <w:rPr>
                                <w:rFonts w:ascii="Times New Roman" w:hAnsi="Times New Roman" w:cs="Times New Roman"/>
                                <w:spacing w:val="-10"/>
                                <w:w w:val="55"/>
                                <w:sz w:val="26"/>
                                <w:szCs w:val="26"/>
                              </w:rPr>
                              <w:t>i</w:t>
                            </w:r>
                            <w:proofErr w:type="spellEnd"/>
                            <w:r>
                              <w:rPr>
                                <w:rFonts w:ascii="Times New Roman" w:hAnsi="Times New Roman" w:cs="Times New Roman"/>
                                <w:spacing w:val="-10"/>
                                <w:w w:val="55"/>
                                <w:sz w:val="26"/>
                                <w:szCs w:val="26"/>
                              </w:rPr>
                              <w:t xml:space="preserve">: </w:t>
                            </w:r>
                            <w:r>
                              <w:rPr>
                                <w:rFonts w:ascii="Times New Roman" w:hAnsi="Times New Roman" w:cs="Times New Roman"/>
                                <w:w w:val="55"/>
                                <w:sz w:val="26"/>
                                <w:szCs w:val="26"/>
                              </w:rPr>
                              <w:t>-'1-,; -</w:t>
                            </w:r>
                            <w:r>
                              <w:rPr>
                                <w:rFonts w:ascii="Times New Roman" w:hAnsi="Times New Roman" w:cs="Times New Roman"/>
                                <w:spacing w:val="1"/>
                                <w:w w:val="55"/>
                                <w:sz w:val="26"/>
                                <w:szCs w:val="26"/>
                              </w:rPr>
                              <w:t xml:space="preserve"> </w:t>
                            </w:r>
                            <w:r>
                              <w:rPr>
                                <w:rFonts w:ascii="Times New Roman" w:hAnsi="Times New Roman" w:cs="Times New Roman"/>
                                <w:w w:val="55"/>
                                <w:sz w:val="26"/>
                                <w:szCs w:val="26"/>
                              </w:rPr>
                              <w:t>.--</w:t>
                            </w:r>
                          </w:p>
                        </w:tc>
                      </w:tr>
                      <w:tr w:rsidR="007B2B7B">
                        <w:trPr>
                          <w:trHeight w:hRule="exact" w:val="509"/>
                        </w:trPr>
                        <w:tc>
                          <w:tcPr>
                            <w:tcW w:w="377" w:type="dxa"/>
                            <w:tcBorders>
                              <w:top w:val="single" w:sz="4" w:space="0" w:color="000000"/>
                              <w:left w:val="single" w:sz="2" w:space="0" w:color="000000"/>
                              <w:bottom w:val="single" w:sz="2" w:space="0" w:color="000000"/>
                              <w:right w:val="single" w:sz="2" w:space="0" w:color="000000"/>
                            </w:tcBorders>
                          </w:tcPr>
                          <w:p w:rsidR="007B2B7B" w:rsidRDefault="007B2B7B">
                            <w:pPr>
                              <w:pStyle w:val="TableParagraph"/>
                              <w:kinsoku w:val="0"/>
                              <w:overflowPunct w:val="0"/>
                              <w:spacing w:before="71"/>
                              <w:ind w:left="182"/>
                              <w:rPr>
                                <w:rFonts w:ascii="Times New Roman" w:hAnsi="Times New Roman" w:cs="Times New Roman"/>
                              </w:rPr>
                            </w:pPr>
                            <w:r>
                              <w:rPr>
                                <w:rFonts w:ascii="Times New Roman" w:hAnsi="Times New Roman" w:cs="Times New Roman"/>
                                <w:w w:val="160"/>
                                <w:sz w:val="16"/>
                                <w:szCs w:val="16"/>
                              </w:rPr>
                              <w:t>*</w:t>
                            </w:r>
                          </w:p>
                        </w:tc>
                        <w:tc>
                          <w:tcPr>
                            <w:tcW w:w="2155" w:type="dxa"/>
                            <w:tcBorders>
                              <w:top w:val="single" w:sz="4" w:space="0" w:color="000000"/>
                              <w:left w:val="single" w:sz="2" w:space="0" w:color="000000"/>
                              <w:bottom w:val="single" w:sz="2" w:space="0" w:color="000000"/>
                              <w:right w:val="single" w:sz="2" w:space="0" w:color="000000"/>
                            </w:tcBorders>
                          </w:tcPr>
                          <w:p w:rsidR="007B2B7B" w:rsidRDefault="007B2B7B">
                            <w:pPr>
                              <w:pStyle w:val="TableParagraph"/>
                              <w:tabs>
                                <w:tab w:val="left" w:pos="839"/>
                              </w:tabs>
                              <w:kinsoku w:val="0"/>
                              <w:overflowPunct w:val="0"/>
                              <w:spacing w:before="39" w:line="170" w:lineRule="exact"/>
                              <w:ind w:left="107" w:right="125"/>
                              <w:rPr>
                                <w:w w:val="85"/>
                                <w:sz w:val="15"/>
                                <w:szCs w:val="15"/>
                              </w:rPr>
                            </w:pPr>
                            <w:r>
                              <w:rPr>
                                <w:w w:val="95"/>
                                <w:sz w:val="15"/>
                                <w:szCs w:val="15"/>
                              </w:rPr>
                              <w:t>Center</w:t>
                            </w:r>
                            <w:r>
                              <w:rPr>
                                <w:spacing w:val="-25"/>
                                <w:w w:val="95"/>
                                <w:sz w:val="15"/>
                                <w:szCs w:val="15"/>
                              </w:rPr>
                              <w:t xml:space="preserve"> </w:t>
                            </w:r>
                            <w:r>
                              <w:rPr>
                                <w:w w:val="95"/>
                                <w:sz w:val="15"/>
                                <w:szCs w:val="15"/>
                              </w:rPr>
                              <w:t>for</w:t>
                            </w:r>
                            <w:r>
                              <w:rPr>
                                <w:spacing w:val="-24"/>
                                <w:w w:val="95"/>
                                <w:sz w:val="15"/>
                                <w:szCs w:val="15"/>
                              </w:rPr>
                              <w:t xml:space="preserve"> </w:t>
                            </w:r>
                            <w:r>
                              <w:rPr>
                                <w:spacing w:val="-3"/>
                                <w:w w:val="95"/>
                                <w:sz w:val="15"/>
                                <w:szCs w:val="15"/>
                              </w:rPr>
                              <w:t>Women</w:t>
                            </w:r>
                            <w:r>
                              <w:rPr>
                                <w:spacing w:val="-23"/>
                                <w:w w:val="95"/>
                                <w:sz w:val="15"/>
                                <w:szCs w:val="15"/>
                              </w:rPr>
                              <w:t xml:space="preserve"> </w:t>
                            </w:r>
                            <w:r>
                              <w:rPr>
                                <w:w w:val="95"/>
                                <w:sz w:val="14"/>
                                <w:szCs w:val="14"/>
                              </w:rPr>
                              <w:t>&amp;</w:t>
                            </w:r>
                            <w:r>
                              <w:rPr>
                                <w:spacing w:val="-26"/>
                                <w:w w:val="95"/>
                                <w:sz w:val="14"/>
                                <w:szCs w:val="14"/>
                              </w:rPr>
                              <w:t xml:space="preserve"> </w:t>
                            </w:r>
                            <w:r>
                              <w:rPr>
                                <w:spacing w:val="-3"/>
                                <w:w w:val="95"/>
                                <w:sz w:val="15"/>
                                <w:szCs w:val="15"/>
                              </w:rPr>
                              <w:t xml:space="preserve">Community </w:t>
                            </w:r>
                            <w:r>
                              <w:rPr>
                                <w:w w:val="90"/>
                                <w:sz w:val="15"/>
                                <w:szCs w:val="15"/>
                              </w:rPr>
                              <w:t>Amherst:</w:t>
                            </w:r>
                            <w:r>
                              <w:rPr>
                                <w:w w:val="90"/>
                                <w:sz w:val="15"/>
                                <w:szCs w:val="15"/>
                              </w:rPr>
                              <w:tab/>
                            </w:r>
                            <w:r>
                              <w:rPr>
                                <w:rFonts w:ascii="Times New Roman" w:hAnsi="Times New Roman" w:cs="Times New Roman"/>
                                <w:w w:val="85"/>
                                <w:sz w:val="16"/>
                                <w:szCs w:val="16"/>
                              </w:rPr>
                              <w:t>413-545-0800</w:t>
                            </w:r>
                            <w:r>
                              <w:rPr>
                                <w:rFonts w:ascii="Times New Roman" w:hAnsi="Times New Roman" w:cs="Times New Roman"/>
                                <w:spacing w:val="8"/>
                                <w:w w:val="85"/>
                                <w:sz w:val="16"/>
                                <w:szCs w:val="16"/>
                              </w:rPr>
                              <w:t xml:space="preserve"> </w:t>
                            </w:r>
                            <w:r>
                              <w:rPr>
                                <w:w w:val="85"/>
                                <w:sz w:val="15"/>
                                <w:szCs w:val="15"/>
                              </w:rPr>
                              <w:t>&lt;</w:t>
                            </w:r>
                            <w:proofErr w:type="spellStart"/>
                            <w:r>
                              <w:rPr>
                                <w:w w:val="85"/>
                                <w:sz w:val="15"/>
                                <w:szCs w:val="15"/>
                              </w:rPr>
                              <w:t>ll</w:t>
                            </w:r>
                            <w:proofErr w:type="spellEnd"/>
                          </w:p>
                          <w:p w:rsidR="007B2B7B" w:rsidRDefault="007B2B7B">
                            <w:pPr>
                              <w:pStyle w:val="TableParagraph"/>
                              <w:kinsoku w:val="0"/>
                              <w:overflowPunct w:val="0"/>
                              <w:spacing w:line="133" w:lineRule="exact"/>
                              <w:ind w:left="840" w:right="125"/>
                              <w:rPr>
                                <w:rFonts w:ascii="Times New Roman" w:hAnsi="Times New Roman" w:cs="Times New Roman"/>
                              </w:rPr>
                            </w:pPr>
                            <w:r>
                              <w:rPr>
                                <w:rFonts w:ascii="Times New Roman" w:hAnsi="Times New Roman" w:cs="Times New Roman"/>
                                <w:w w:val="80"/>
                                <w:sz w:val="16"/>
                                <w:szCs w:val="16"/>
                              </w:rPr>
                              <w:t>TTY: 413-577-0940</w:t>
                            </w:r>
                          </w:p>
                        </w:tc>
                        <w:tc>
                          <w:tcPr>
                            <w:tcW w:w="343" w:type="dxa"/>
                            <w:tcBorders>
                              <w:top w:val="single" w:sz="4" w:space="0" w:color="000000"/>
                              <w:left w:val="single" w:sz="2" w:space="0" w:color="000000"/>
                              <w:bottom w:val="single" w:sz="2" w:space="0" w:color="000000"/>
                              <w:right w:val="single" w:sz="2" w:space="0" w:color="000000"/>
                            </w:tcBorders>
                          </w:tcPr>
                          <w:p w:rsidR="007B2B7B" w:rsidRDefault="007B2B7B">
                            <w:pPr>
                              <w:pStyle w:val="TableParagraph"/>
                              <w:kinsoku w:val="0"/>
                              <w:overflowPunct w:val="0"/>
                              <w:spacing w:before="57"/>
                              <w:ind w:left="165"/>
                              <w:rPr>
                                <w:rFonts w:ascii="Times New Roman" w:hAnsi="Times New Roman" w:cs="Times New Roman"/>
                                <w:w w:val="163"/>
                                <w:sz w:val="16"/>
                                <w:szCs w:val="16"/>
                              </w:rPr>
                            </w:pPr>
                            <w:r>
                              <w:rPr>
                                <w:rFonts w:ascii="Times New Roman" w:hAnsi="Times New Roman" w:cs="Times New Roman"/>
                                <w:w w:val="163"/>
                                <w:sz w:val="16"/>
                                <w:szCs w:val="16"/>
                              </w:rPr>
                              <w:t>0</w:t>
                            </w:r>
                          </w:p>
                          <w:p w:rsidR="007B2B7B" w:rsidRDefault="007B2B7B">
                            <w:pPr>
                              <w:pStyle w:val="TableParagraph"/>
                              <w:kinsoku w:val="0"/>
                              <w:overflowPunct w:val="0"/>
                              <w:spacing w:before="37"/>
                              <w:ind w:left="151" w:right="-10"/>
                              <w:rPr>
                                <w:rFonts w:ascii="Times New Roman" w:hAnsi="Times New Roman" w:cs="Times New Roman"/>
                              </w:rPr>
                            </w:pPr>
                            <w:r>
                              <w:rPr>
                                <w:rFonts w:ascii="Times New Roman" w:hAnsi="Times New Roman" w:cs="Times New Roman"/>
                                <w:w w:val="95"/>
                                <w:sz w:val="16"/>
                                <w:szCs w:val="16"/>
                              </w:rPr>
                              <w:t>ES</w:t>
                            </w:r>
                          </w:p>
                        </w:tc>
                        <w:tc>
                          <w:tcPr>
                            <w:tcW w:w="1973" w:type="dxa"/>
                            <w:tcBorders>
                              <w:top w:val="single" w:sz="4" w:space="0" w:color="000000"/>
                              <w:left w:val="single" w:sz="2" w:space="0" w:color="000000"/>
                              <w:bottom w:val="single" w:sz="2" w:space="0" w:color="000000"/>
                              <w:right w:val="single" w:sz="2" w:space="0" w:color="000000"/>
                            </w:tcBorders>
                          </w:tcPr>
                          <w:p w:rsidR="007B2B7B" w:rsidRDefault="007B2B7B">
                            <w:pPr>
                              <w:pStyle w:val="TableParagraph"/>
                              <w:kinsoku w:val="0"/>
                              <w:overflowPunct w:val="0"/>
                              <w:spacing w:before="41" w:line="164" w:lineRule="exact"/>
                              <w:ind w:left="132"/>
                              <w:rPr>
                                <w:w w:val="85"/>
                                <w:sz w:val="15"/>
                                <w:szCs w:val="15"/>
                              </w:rPr>
                            </w:pPr>
                            <w:r>
                              <w:rPr>
                                <w:w w:val="85"/>
                                <w:sz w:val="15"/>
                                <w:szCs w:val="15"/>
                              </w:rPr>
                              <w:t>Safe Passage</w:t>
                            </w:r>
                          </w:p>
                          <w:p w:rsidR="007B2B7B" w:rsidRDefault="007B2B7B">
                            <w:pPr>
                              <w:pStyle w:val="TableParagraph"/>
                              <w:kinsoku w:val="0"/>
                              <w:overflowPunct w:val="0"/>
                              <w:spacing w:line="149" w:lineRule="exact"/>
                              <w:ind w:left="132"/>
                              <w:rPr>
                                <w:rFonts w:ascii="Times New Roman" w:hAnsi="Times New Roman" w:cs="Times New Roman"/>
                                <w:w w:val="85"/>
                                <w:sz w:val="16"/>
                                <w:szCs w:val="16"/>
                              </w:rPr>
                            </w:pPr>
                            <w:r>
                              <w:rPr>
                                <w:rFonts w:ascii="Times New Roman" w:hAnsi="Times New Roman" w:cs="Times New Roman"/>
                                <w:w w:val="85"/>
                                <w:sz w:val="16"/>
                                <w:szCs w:val="16"/>
                              </w:rPr>
                              <w:t>Northampton: 888-345-5282 Ill</w:t>
                            </w:r>
                          </w:p>
                          <w:p w:rsidR="007B2B7B" w:rsidRDefault="007B2B7B">
                            <w:pPr>
                              <w:pStyle w:val="TableParagraph"/>
                              <w:kinsoku w:val="0"/>
                              <w:overflowPunct w:val="0"/>
                              <w:spacing w:line="158" w:lineRule="exact"/>
                              <w:ind w:left="607"/>
                              <w:rPr>
                                <w:rFonts w:ascii="Times New Roman" w:hAnsi="Times New Roman" w:cs="Times New Roman"/>
                              </w:rPr>
                            </w:pPr>
                            <w:r>
                              <w:rPr>
                                <w:rFonts w:ascii="Times New Roman" w:hAnsi="Times New Roman" w:cs="Times New Roman"/>
                                <w:w w:val="85"/>
                                <w:sz w:val="16"/>
                                <w:szCs w:val="16"/>
                              </w:rPr>
                              <w:t xml:space="preserve">TTY: 413-585-6066 </w:t>
                            </w:r>
                            <w:r>
                              <w:rPr>
                                <w:w w:val="85"/>
                                <w:sz w:val="15"/>
                                <w:szCs w:val="15"/>
                              </w:rPr>
                              <w:t>&lt;</w:t>
                            </w:r>
                            <w:proofErr w:type="spellStart"/>
                            <w:r>
                              <w:rPr>
                                <w:w w:val="85"/>
                                <w:sz w:val="15"/>
                                <w:szCs w:val="15"/>
                              </w:rPr>
                              <w:t>ll</w:t>
                            </w:r>
                            <w:proofErr w:type="spellEnd"/>
                          </w:p>
                        </w:tc>
                      </w:tr>
                      <w:tr w:rsidR="007B2B7B">
                        <w:trPr>
                          <w:trHeight w:hRule="exact" w:val="648"/>
                        </w:trPr>
                        <w:tc>
                          <w:tcPr>
                            <w:tcW w:w="2532" w:type="dxa"/>
                            <w:gridSpan w:val="2"/>
                            <w:tcBorders>
                              <w:top w:val="single" w:sz="2" w:space="0" w:color="000000"/>
                              <w:left w:val="single" w:sz="2" w:space="0" w:color="000000"/>
                              <w:bottom w:val="single" w:sz="4" w:space="0" w:color="000000"/>
                              <w:right w:val="single" w:sz="2" w:space="0" w:color="000000"/>
                            </w:tcBorders>
                          </w:tcPr>
                          <w:p w:rsidR="007B2B7B" w:rsidRDefault="007B2B7B">
                            <w:pPr>
                              <w:pStyle w:val="TableParagraph"/>
                              <w:kinsoku w:val="0"/>
                              <w:overflowPunct w:val="0"/>
                              <w:spacing w:before="99" w:line="188" w:lineRule="exact"/>
                              <w:ind w:left="96"/>
                              <w:rPr>
                                <w:sz w:val="15"/>
                                <w:szCs w:val="15"/>
                              </w:rPr>
                            </w:pPr>
                            <w:r>
                              <w:rPr>
                                <w:rFonts w:ascii="Times New Roman" w:hAnsi="Times New Roman" w:cs="Times New Roman"/>
                                <w:position w:val="-3"/>
                                <w:sz w:val="16"/>
                                <w:szCs w:val="16"/>
                              </w:rPr>
                              <w:t xml:space="preserve">®* </w:t>
                            </w:r>
                            <w:proofErr w:type="spellStart"/>
                            <w:r>
                              <w:rPr>
                                <w:sz w:val="15"/>
                                <w:szCs w:val="15"/>
                              </w:rPr>
                              <w:t>ElizabethFreeman</w:t>
                            </w:r>
                            <w:proofErr w:type="spellEnd"/>
                            <w:r>
                              <w:rPr>
                                <w:sz w:val="15"/>
                                <w:szCs w:val="15"/>
                              </w:rPr>
                              <w:t xml:space="preserve"> Center</w:t>
                            </w:r>
                          </w:p>
                          <w:p w:rsidR="007B2B7B" w:rsidRDefault="007B2B7B">
                            <w:pPr>
                              <w:pStyle w:val="TableParagraph"/>
                              <w:tabs>
                                <w:tab w:val="left" w:pos="1219"/>
                              </w:tabs>
                              <w:kinsoku w:val="0"/>
                              <w:overflowPunct w:val="0"/>
                              <w:spacing w:line="247" w:lineRule="exact"/>
                              <w:ind w:left="146"/>
                              <w:rPr>
                                <w:rFonts w:ascii="Times New Roman" w:hAnsi="Times New Roman" w:cs="Times New Roman"/>
                              </w:rPr>
                            </w:pPr>
                            <w:r>
                              <w:rPr>
                                <w:rFonts w:ascii="Times New Roman" w:hAnsi="Times New Roman" w:cs="Times New Roman"/>
                                <w:position w:val="-8"/>
                                <w:sz w:val="16"/>
                                <w:szCs w:val="16"/>
                              </w:rPr>
                              <w:t>ES</w:t>
                            </w:r>
                            <w:r>
                              <w:rPr>
                                <w:rFonts w:ascii="Times New Roman" w:hAnsi="Times New Roman" w:cs="Times New Roman"/>
                                <w:spacing w:val="25"/>
                                <w:position w:val="-8"/>
                                <w:sz w:val="16"/>
                                <w:szCs w:val="16"/>
                              </w:rPr>
                              <w:t xml:space="preserve"> </w:t>
                            </w:r>
                            <w:r>
                              <w:rPr>
                                <w:rFonts w:ascii="Times New Roman" w:hAnsi="Times New Roman" w:cs="Times New Roman"/>
                                <w:sz w:val="16"/>
                                <w:szCs w:val="16"/>
                              </w:rPr>
                              <w:t>Pittsfield:</w:t>
                            </w:r>
                            <w:r>
                              <w:rPr>
                                <w:rFonts w:ascii="Times New Roman" w:hAnsi="Times New Roman" w:cs="Times New Roman"/>
                                <w:sz w:val="16"/>
                                <w:szCs w:val="16"/>
                              </w:rPr>
                              <w:tab/>
                              <w:t>860401-24250&gt;</w:t>
                            </w:r>
                          </w:p>
                        </w:tc>
                        <w:tc>
                          <w:tcPr>
                            <w:tcW w:w="343" w:type="dxa"/>
                            <w:tcBorders>
                              <w:top w:val="single" w:sz="2" w:space="0" w:color="000000"/>
                              <w:left w:val="single" w:sz="2" w:space="0" w:color="000000"/>
                              <w:bottom w:val="single" w:sz="4" w:space="0" w:color="000000"/>
                              <w:right w:val="single" w:sz="2" w:space="0" w:color="000000"/>
                            </w:tcBorders>
                          </w:tcPr>
                          <w:p w:rsidR="007B2B7B" w:rsidRDefault="007B2B7B">
                            <w:pPr>
                              <w:pStyle w:val="TableParagraph"/>
                              <w:kinsoku w:val="0"/>
                              <w:overflowPunct w:val="0"/>
                              <w:spacing w:before="117"/>
                              <w:ind w:left="158"/>
                              <w:rPr>
                                <w:rFonts w:ascii="Times New Roman" w:hAnsi="Times New Roman" w:cs="Times New Roman"/>
                                <w:w w:val="163"/>
                                <w:sz w:val="16"/>
                                <w:szCs w:val="16"/>
                              </w:rPr>
                            </w:pPr>
                            <w:r>
                              <w:rPr>
                                <w:rFonts w:ascii="Times New Roman" w:hAnsi="Times New Roman" w:cs="Times New Roman"/>
                                <w:w w:val="163"/>
                                <w:sz w:val="16"/>
                                <w:szCs w:val="16"/>
                              </w:rPr>
                              <w:t>0</w:t>
                            </w:r>
                          </w:p>
                          <w:p w:rsidR="007B2B7B" w:rsidRDefault="007B2B7B">
                            <w:pPr>
                              <w:pStyle w:val="TableParagraph"/>
                              <w:kinsoku w:val="0"/>
                              <w:overflowPunct w:val="0"/>
                              <w:spacing w:before="58"/>
                              <w:ind w:left="143" w:right="-12"/>
                              <w:rPr>
                                <w:rFonts w:ascii="Times New Roman" w:hAnsi="Times New Roman" w:cs="Times New Roman"/>
                              </w:rPr>
                            </w:pPr>
                            <w:r>
                              <w:rPr>
                                <w:rFonts w:ascii="Times New Roman" w:hAnsi="Times New Roman" w:cs="Times New Roman"/>
                                <w:sz w:val="16"/>
                                <w:szCs w:val="16"/>
                              </w:rPr>
                              <w:t>ES</w:t>
                            </w:r>
                          </w:p>
                        </w:tc>
                        <w:tc>
                          <w:tcPr>
                            <w:tcW w:w="1973" w:type="dxa"/>
                            <w:tcBorders>
                              <w:top w:val="single" w:sz="2" w:space="0" w:color="000000"/>
                              <w:left w:val="single" w:sz="2" w:space="0" w:color="000000"/>
                              <w:bottom w:val="single" w:sz="4" w:space="0" w:color="000000"/>
                              <w:right w:val="single" w:sz="2" w:space="0" w:color="000000"/>
                            </w:tcBorders>
                          </w:tcPr>
                          <w:p w:rsidR="007B2B7B" w:rsidRDefault="007B2B7B">
                            <w:pPr>
                              <w:pStyle w:val="TableParagraph"/>
                              <w:tabs>
                                <w:tab w:val="left" w:pos="873"/>
                              </w:tabs>
                              <w:kinsoku w:val="0"/>
                              <w:overflowPunct w:val="0"/>
                              <w:spacing w:before="105" w:line="180" w:lineRule="exact"/>
                              <w:ind w:left="124" w:right="151" w:hanging="8"/>
                              <w:rPr>
                                <w:rFonts w:ascii="Times New Roman" w:hAnsi="Times New Roman" w:cs="Times New Roman"/>
                              </w:rPr>
                            </w:pPr>
                            <w:proofErr w:type="spellStart"/>
                            <w:r>
                              <w:rPr>
                                <w:w w:val="85"/>
                                <w:sz w:val="15"/>
                                <w:szCs w:val="15"/>
                              </w:rPr>
                              <w:t>Womanshelter</w:t>
                            </w:r>
                            <w:proofErr w:type="spellEnd"/>
                            <w:r>
                              <w:rPr>
                                <w:w w:val="85"/>
                                <w:sz w:val="15"/>
                                <w:szCs w:val="15"/>
                              </w:rPr>
                              <w:t>/</w:t>
                            </w:r>
                            <w:proofErr w:type="spellStart"/>
                            <w:r>
                              <w:rPr>
                                <w:w w:val="85"/>
                                <w:sz w:val="15"/>
                                <w:szCs w:val="15"/>
                              </w:rPr>
                              <w:t>Compar'ieras</w:t>
                            </w:r>
                            <w:proofErr w:type="spellEnd"/>
                            <w:r>
                              <w:rPr>
                                <w:w w:val="85"/>
                                <w:sz w:val="15"/>
                                <w:szCs w:val="15"/>
                              </w:rPr>
                              <w:t xml:space="preserve"> </w:t>
                            </w:r>
                            <w:r>
                              <w:rPr>
                                <w:w w:val="90"/>
                                <w:sz w:val="15"/>
                                <w:szCs w:val="15"/>
                              </w:rPr>
                              <w:t>Holyoke:</w:t>
                            </w:r>
                            <w:r>
                              <w:rPr>
                                <w:w w:val="90"/>
                                <w:sz w:val="15"/>
                                <w:szCs w:val="15"/>
                              </w:rPr>
                              <w:tab/>
                            </w:r>
                            <w:r>
                              <w:rPr>
                                <w:rFonts w:ascii="Times New Roman" w:hAnsi="Times New Roman" w:cs="Times New Roman"/>
                                <w:w w:val="85"/>
                                <w:position w:val="1"/>
                                <w:sz w:val="16"/>
                                <w:szCs w:val="16"/>
                              </w:rPr>
                              <w:t>877-536-1628</w:t>
                            </w:r>
                            <w:r>
                              <w:rPr>
                                <w:rFonts w:ascii="Times New Roman" w:hAnsi="Times New Roman" w:cs="Times New Roman"/>
                                <w:spacing w:val="-15"/>
                                <w:w w:val="85"/>
                                <w:position w:val="1"/>
                                <w:sz w:val="16"/>
                                <w:szCs w:val="16"/>
                              </w:rPr>
                              <w:t xml:space="preserve"> </w:t>
                            </w:r>
                            <w:r>
                              <w:rPr>
                                <w:spacing w:val="-2"/>
                                <w:w w:val="85"/>
                                <w:position w:val="1"/>
                                <w:sz w:val="17"/>
                                <w:szCs w:val="17"/>
                              </w:rPr>
                              <w:t>&lt;</w:t>
                            </w:r>
                            <w:proofErr w:type="spellStart"/>
                            <w:r>
                              <w:rPr>
                                <w:spacing w:val="-2"/>
                                <w:w w:val="85"/>
                                <w:position w:val="1"/>
                                <w:sz w:val="17"/>
                                <w:szCs w:val="17"/>
                              </w:rPr>
                              <w:t>ll</w:t>
                            </w:r>
                            <w:proofErr w:type="spellEnd"/>
                          </w:p>
                        </w:tc>
                      </w:tr>
                      <w:tr w:rsidR="007B2B7B">
                        <w:trPr>
                          <w:trHeight w:hRule="exact" w:val="511"/>
                        </w:trPr>
                        <w:tc>
                          <w:tcPr>
                            <w:tcW w:w="377" w:type="dxa"/>
                            <w:tcBorders>
                              <w:top w:val="single" w:sz="4" w:space="0" w:color="000000"/>
                              <w:left w:val="single" w:sz="2" w:space="0" w:color="000000"/>
                              <w:bottom w:val="single" w:sz="2" w:space="0" w:color="000000"/>
                              <w:right w:val="single" w:sz="4" w:space="0" w:color="000000"/>
                            </w:tcBorders>
                          </w:tcPr>
                          <w:p w:rsidR="007B2B7B" w:rsidRDefault="007B2B7B">
                            <w:pPr>
                              <w:pStyle w:val="TableParagraph"/>
                              <w:kinsoku w:val="0"/>
                              <w:overflowPunct w:val="0"/>
                              <w:spacing w:before="71" w:line="290" w:lineRule="auto"/>
                              <w:ind w:left="153" w:right="7" w:hanging="51"/>
                              <w:rPr>
                                <w:rFonts w:ascii="Times New Roman" w:hAnsi="Times New Roman" w:cs="Times New Roman"/>
                              </w:rPr>
                            </w:pPr>
                            <w:r>
                              <w:rPr>
                                <w:rFonts w:ascii="Times New Roman" w:hAnsi="Times New Roman" w:cs="Times New Roman"/>
                                <w:w w:val="105"/>
                                <w:sz w:val="16"/>
                                <w:szCs w:val="16"/>
                              </w:rPr>
                              <w:t xml:space="preserve">®* </w:t>
                            </w:r>
                            <w:r>
                              <w:rPr>
                                <w:rFonts w:ascii="Times New Roman" w:hAnsi="Times New Roman" w:cs="Times New Roman"/>
                                <w:sz w:val="16"/>
                                <w:szCs w:val="16"/>
                              </w:rPr>
                              <w:t>ES</w:t>
                            </w:r>
                          </w:p>
                        </w:tc>
                        <w:tc>
                          <w:tcPr>
                            <w:tcW w:w="2155" w:type="dxa"/>
                            <w:tcBorders>
                              <w:top w:val="single" w:sz="4" w:space="0" w:color="000000"/>
                              <w:left w:val="single" w:sz="4" w:space="0" w:color="000000"/>
                              <w:bottom w:val="single" w:sz="2" w:space="0" w:color="000000"/>
                              <w:right w:val="single" w:sz="2" w:space="0" w:color="000000"/>
                            </w:tcBorders>
                          </w:tcPr>
                          <w:p w:rsidR="007B2B7B" w:rsidRDefault="007B2B7B">
                            <w:pPr>
                              <w:pStyle w:val="TableParagraph"/>
                              <w:kinsoku w:val="0"/>
                              <w:overflowPunct w:val="0"/>
                              <w:spacing w:before="40" w:line="182" w:lineRule="exact"/>
                              <w:rPr>
                                <w:rFonts w:ascii="Times New Roman" w:hAnsi="Times New Roman" w:cs="Times New Roman"/>
                                <w:w w:val="95"/>
                                <w:sz w:val="16"/>
                                <w:szCs w:val="16"/>
                              </w:rPr>
                            </w:pPr>
                            <w:r>
                              <w:rPr>
                                <w:rFonts w:ascii="Times New Roman" w:hAnsi="Times New Roman" w:cs="Times New Roman"/>
                                <w:w w:val="95"/>
                                <w:sz w:val="16"/>
                                <w:szCs w:val="16"/>
                              </w:rPr>
                              <w:t>NELCWIT</w:t>
                            </w:r>
                          </w:p>
                          <w:p w:rsidR="007B2B7B" w:rsidRDefault="007B2B7B">
                            <w:pPr>
                              <w:pStyle w:val="TableParagraph"/>
                              <w:kinsoku w:val="0"/>
                              <w:overflowPunct w:val="0"/>
                              <w:spacing w:line="170" w:lineRule="exact"/>
                              <w:rPr>
                                <w:rFonts w:ascii="Times New Roman" w:hAnsi="Times New Roman" w:cs="Times New Roman"/>
                              </w:rPr>
                            </w:pPr>
                            <w:r>
                              <w:rPr>
                                <w:w w:val="85"/>
                                <w:sz w:val="15"/>
                                <w:szCs w:val="15"/>
                              </w:rPr>
                              <w:t>Greenfield: 413-772-0806 &lt;I&gt;</w:t>
                            </w:r>
                          </w:p>
                        </w:tc>
                        <w:tc>
                          <w:tcPr>
                            <w:tcW w:w="343" w:type="dxa"/>
                            <w:tcBorders>
                              <w:top w:val="single" w:sz="4" w:space="0" w:color="000000"/>
                              <w:left w:val="single" w:sz="2" w:space="0" w:color="000000"/>
                              <w:bottom w:val="single" w:sz="2" w:space="0" w:color="000000"/>
                              <w:right w:val="single" w:sz="2" w:space="0" w:color="000000"/>
                            </w:tcBorders>
                          </w:tcPr>
                          <w:p w:rsidR="007B2B7B" w:rsidRDefault="007B2B7B">
                            <w:pPr>
                              <w:pStyle w:val="TableParagraph"/>
                              <w:kinsoku w:val="0"/>
                              <w:overflowPunct w:val="0"/>
                              <w:spacing w:before="78" w:line="290" w:lineRule="auto"/>
                              <w:ind w:left="143" w:right="-12" w:hanging="51"/>
                              <w:rPr>
                                <w:rFonts w:ascii="Times New Roman" w:hAnsi="Times New Roman" w:cs="Times New Roman"/>
                              </w:rPr>
                            </w:pPr>
                            <w:r>
                              <w:rPr>
                                <w:rFonts w:ascii="Times New Roman" w:hAnsi="Times New Roman" w:cs="Times New Roman"/>
                                <w:w w:val="105"/>
                                <w:sz w:val="16"/>
                                <w:szCs w:val="16"/>
                              </w:rPr>
                              <w:t xml:space="preserve">®* </w:t>
                            </w:r>
                            <w:r>
                              <w:rPr>
                                <w:rFonts w:ascii="Times New Roman" w:hAnsi="Times New Roman" w:cs="Times New Roman"/>
                                <w:sz w:val="16"/>
                                <w:szCs w:val="16"/>
                              </w:rPr>
                              <w:t>ES</w:t>
                            </w:r>
                          </w:p>
                        </w:tc>
                        <w:tc>
                          <w:tcPr>
                            <w:tcW w:w="1973" w:type="dxa"/>
                            <w:tcBorders>
                              <w:top w:val="single" w:sz="4" w:space="0" w:color="000000"/>
                              <w:left w:val="single" w:sz="2" w:space="0" w:color="000000"/>
                              <w:bottom w:val="single" w:sz="2" w:space="0" w:color="000000"/>
                              <w:right w:val="single" w:sz="2" w:space="0" w:color="000000"/>
                            </w:tcBorders>
                          </w:tcPr>
                          <w:p w:rsidR="007B2B7B" w:rsidRDefault="007B2B7B">
                            <w:pPr>
                              <w:pStyle w:val="TableParagraph"/>
                              <w:kinsoku w:val="0"/>
                              <w:overflowPunct w:val="0"/>
                              <w:spacing w:before="59" w:line="172" w:lineRule="exact"/>
                              <w:ind w:left="124"/>
                              <w:rPr>
                                <w:w w:val="85"/>
                                <w:sz w:val="15"/>
                                <w:szCs w:val="15"/>
                              </w:rPr>
                            </w:pPr>
                            <w:r>
                              <w:rPr>
                                <w:w w:val="80"/>
                                <w:sz w:val="15"/>
                                <w:szCs w:val="15"/>
                              </w:rPr>
                              <w:t xml:space="preserve">YWCA Western Massachusetts </w:t>
                            </w:r>
                            <w:r>
                              <w:rPr>
                                <w:w w:val="85"/>
                                <w:sz w:val="15"/>
                                <w:szCs w:val="15"/>
                              </w:rPr>
                              <w:t xml:space="preserve">Springfield:  </w:t>
                            </w:r>
                            <w:r>
                              <w:rPr>
                                <w:rFonts w:ascii="Times New Roman" w:hAnsi="Times New Roman" w:cs="Times New Roman"/>
                                <w:w w:val="85"/>
                                <w:sz w:val="16"/>
                                <w:szCs w:val="16"/>
                              </w:rPr>
                              <w:t xml:space="preserve">800-796-.1711 </w:t>
                            </w:r>
                            <w:r>
                              <w:rPr>
                                <w:w w:val="85"/>
                                <w:sz w:val="15"/>
                                <w:szCs w:val="15"/>
                              </w:rPr>
                              <w:t>&lt;</w:t>
                            </w:r>
                            <w:proofErr w:type="spellStart"/>
                            <w:r>
                              <w:rPr>
                                <w:w w:val="85"/>
                                <w:sz w:val="15"/>
                                <w:szCs w:val="15"/>
                              </w:rPr>
                              <w:t>ll</w:t>
                            </w:r>
                            <w:proofErr w:type="spellEnd"/>
                          </w:p>
                          <w:p w:rsidR="007B2B7B" w:rsidRDefault="007B2B7B">
                            <w:pPr>
                              <w:pStyle w:val="TableParagraph"/>
                              <w:kinsoku w:val="0"/>
                              <w:overflowPunct w:val="0"/>
                              <w:spacing w:line="111" w:lineRule="exact"/>
                              <w:ind w:left="707"/>
                              <w:rPr>
                                <w:rFonts w:ascii="Times New Roman" w:hAnsi="Times New Roman" w:cs="Times New Roman"/>
                              </w:rPr>
                            </w:pPr>
                            <w:r>
                              <w:rPr>
                                <w:rFonts w:ascii="Times New Roman" w:hAnsi="Times New Roman" w:cs="Times New Roman"/>
                                <w:w w:val="80"/>
                                <w:sz w:val="16"/>
                                <w:szCs w:val="16"/>
                              </w:rPr>
                              <w:t>TTY: 413-733-7100</w:t>
                            </w:r>
                          </w:p>
                        </w:tc>
                      </w:tr>
                    </w:tbl>
                    <w:p w:rsidR="007B2B7B" w:rsidRDefault="007B2B7B">
                      <w:pPr>
                        <w:pStyle w:val="BodyText"/>
                        <w:kinsoku w:val="0"/>
                        <w:overflowPunct w:val="0"/>
                        <w:rPr>
                          <w:rFonts w:ascii="Times New Roman" w:hAnsi="Times New Roman" w:cs="Times New Roman"/>
                          <w:sz w:val="24"/>
                          <w:szCs w:val="24"/>
                        </w:rPr>
                      </w:pPr>
                    </w:p>
                  </w:txbxContent>
                </v:textbox>
                <w10:wrap anchorx="page"/>
              </v:shape>
            </w:pict>
          </mc:Fallback>
        </mc:AlternateContent>
      </w:r>
      <w:r w:rsidR="002C5025">
        <w:rPr>
          <w:rFonts w:ascii="Arial" w:hAnsi="Arial" w:cs="Arial"/>
          <w:w w:val="95"/>
          <w:position w:val="2"/>
          <w:sz w:val="23"/>
          <w:szCs w:val="23"/>
        </w:rPr>
        <w:t>..</w:t>
      </w:r>
      <w:r w:rsidR="002C5025">
        <w:rPr>
          <w:rFonts w:ascii="Arial" w:hAnsi="Arial" w:cs="Arial"/>
          <w:spacing w:val="-43"/>
          <w:w w:val="95"/>
          <w:position w:val="2"/>
          <w:sz w:val="23"/>
          <w:szCs w:val="23"/>
        </w:rPr>
        <w:t xml:space="preserve"> </w:t>
      </w:r>
      <w:r w:rsidR="002C5025">
        <w:rPr>
          <w:rFonts w:ascii="Arial" w:hAnsi="Arial" w:cs="Arial"/>
          <w:spacing w:val="-7"/>
          <w:w w:val="95"/>
          <w:position w:val="2"/>
          <w:sz w:val="23"/>
          <w:szCs w:val="23"/>
        </w:rPr>
        <w:t>,:</w:t>
      </w:r>
      <w:r w:rsidR="002C5025">
        <w:rPr>
          <w:rFonts w:ascii="Arial" w:hAnsi="Arial" w:cs="Arial"/>
          <w:spacing w:val="-19"/>
          <w:w w:val="95"/>
          <w:position w:val="2"/>
          <w:sz w:val="23"/>
          <w:szCs w:val="23"/>
        </w:rPr>
        <w:t xml:space="preserve"> </w:t>
      </w:r>
      <w:r w:rsidR="002C5025">
        <w:rPr>
          <w:rFonts w:ascii="Arial" w:hAnsi="Arial" w:cs="Arial"/>
          <w:spacing w:val="-11"/>
          <w:w w:val="95"/>
          <w:position w:val="2"/>
          <w:sz w:val="23"/>
          <w:szCs w:val="23"/>
        </w:rPr>
        <w:t>.:</w:t>
      </w:r>
      <w:r w:rsidR="002C5025">
        <w:rPr>
          <w:rFonts w:ascii="Arial" w:hAnsi="Arial" w:cs="Arial"/>
          <w:spacing w:val="-30"/>
          <w:w w:val="95"/>
          <w:position w:val="2"/>
          <w:sz w:val="23"/>
          <w:szCs w:val="23"/>
        </w:rPr>
        <w:t xml:space="preserve"> </w:t>
      </w:r>
      <w:r w:rsidR="002C5025">
        <w:rPr>
          <w:rFonts w:ascii="Arial" w:hAnsi="Arial" w:cs="Arial"/>
          <w:spacing w:val="-12"/>
          <w:w w:val="95"/>
          <w:position w:val="2"/>
          <w:sz w:val="23"/>
          <w:szCs w:val="23"/>
        </w:rPr>
        <w:t>:j\:&gt;:/,:</w:t>
      </w:r>
      <w:r w:rsidR="002C5025">
        <w:rPr>
          <w:rFonts w:ascii="Arial" w:hAnsi="Arial" w:cs="Arial"/>
          <w:spacing w:val="-33"/>
          <w:w w:val="95"/>
          <w:position w:val="2"/>
          <w:sz w:val="23"/>
          <w:szCs w:val="23"/>
        </w:rPr>
        <w:t xml:space="preserve"> </w:t>
      </w:r>
      <w:r w:rsidR="002C5025">
        <w:rPr>
          <w:rFonts w:ascii="Arial" w:hAnsi="Arial" w:cs="Arial"/>
          <w:w w:val="85"/>
          <w:position w:val="2"/>
          <w:sz w:val="25"/>
          <w:szCs w:val="25"/>
        </w:rPr>
        <w:t>·</w:t>
      </w:r>
      <w:r w:rsidR="002C5025">
        <w:rPr>
          <w:rFonts w:ascii="Arial" w:hAnsi="Arial" w:cs="Arial"/>
          <w:spacing w:val="-32"/>
          <w:w w:val="85"/>
          <w:position w:val="2"/>
          <w:sz w:val="25"/>
          <w:szCs w:val="25"/>
        </w:rPr>
        <w:t xml:space="preserve"> </w:t>
      </w:r>
      <w:r w:rsidR="002C5025">
        <w:rPr>
          <w:rFonts w:ascii="Arial" w:hAnsi="Arial" w:cs="Arial"/>
          <w:w w:val="95"/>
          <w:position w:val="2"/>
          <w:sz w:val="25"/>
          <w:szCs w:val="25"/>
        </w:rPr>
        <w:t>:</w:t>
      </w:r>
      <w:r w:rsidR="002C5025">
        <w:rPr>
          <w:rFonts w:ascii="Arial" w:hAnsi="Arial" w:cs="Arial"/>
          <w:spacing w:val="-39"/>
          <w:w w:val="95"/>
          <w:position w:val="2"/>
          <w:sz w:val="25"/>
          <w:szCs w:val="25"/>
        </w:rPr>
        <w:t xml:space="preserve"> </w:t>
      </w:r>
      <w:r w:rsidR="002C5025">
        <w:rPr>
          <w:rFonts w:ascii="Arial" w:hAnsi="Arial" w:cs="Arial"/>
          <w:spacing w:val="-12"/>
          <w:w w:val="95"/>
          <w:position w:val="2"/>
          <w:sz w:val="25"/>
          <w:szCs w:val="25"/>
        </w:rPr>
        <w:t>,M</w:t>
      </w:r>
      <w:r w:rsidR="002C5025">
        <w:rPr>
          <w:rFonts w:ascii="Arial" w:hAnsi="Arial" w:cs="Arial"/>
          <w:spacing w:val="17"/>
          <w:w w:val="95"/>
          <w:position w:val="2"/>
          <w:sz w:val="25"/>
          <w:szCs w:val="25"/>
        </w:rPr>
        <w:t xml:space="preserve"> </w:t>
      </w:r>
      <w:r w:rsidR="002C5025">
        <w:rPr>
          <w:rFonts w:ascii="Arial" w:hAnsi="Arial" w:cs="Arial"/>
          <w:spacing w:val="-26"/>
          <w:position w:val="2"/>
          <w:sz w:val="25"/>
          <w:szCs w:val="25"/>
        </w:rPr>
        <w:t>fl0LBii]</w:t>
      </w:r>
      <w:proofErr w:type="spellStart"/>
      <w:r w:rsidR="002C5025">
        <w:rPr>
          <w:rFonts w:ascii="Arial" w:hAnsi="Arial" w:cs="Arial"/>
          <w:spacing w:val="-26"/>
          <w:position w:val="2"/>
          <w:sz w:val="25"/>
          <w:szCs w:val="25"/>
        </w:rPr>
        <w:t>iil</w:t>
      </w:r>
      <w:proofErr w:type="spellEnd"/>
      <w:r w:rsidR="002C5025">
        <w:rPr>
          <w:rFonts w:ascii="Arial" w:hAnsi="Arial" w:cs="Arial"/>
          <w:spacing w:val="-26"/>
          <w:position w:val="2"/>
          <w:sz w:val="25"/>
          <w:szCs w:val="25"/>
        </w:rPr>
        <w:tab/>
      </w:r>
      <w:r w:rsidR="002C5025">
        <w:rPr>
          <w:rFonts w:ascii="Arial" w:hAnsi="Arial" w:cs="Arial"/>
          <w:spacing w:val="-24"/>
          <w:w w:val="95"/>
          <w:position w:val="2"/>
          <w:sz w:val="25"/>
          <w:szCs w:val="25"/>
        </w:rPr>
        <w:t>ttI:fi'if221::</w:t>
      </w:r>
      <w:proofErr w:type="spellStart"/>
      <w:r w:rsidR="002C5025">
        <w:rPr>
          <w:rFonts w:ascii="Arial" w:hAnsi="Arial" w:cs="Arial"/>
          <w:spacing w:val="-24"/>
          <w:w w:val="95"/>
          <w:position w:val="2"/>
          <w:sz w:val="25"/>
          <w:szCs w:val="25"/>
        </w:rPr>
        <w:t>i</w:t>
      </w:r>
      <w:proofErr w:type="spellEnd"/>
      <w:r w:rsidR="002C5025">
        <w:rPr>
          <w:rFonts w:ascii="Arial" w:hAnsi="Arial" w:cs="Arial"/>
          <w:spacing w:val="-21"/>
          <w:w w:val="95"/>
          <w:position w:val="2"/>
          <w:sz w:val="25"/>
          <w:szCs w:val="25"/>
        </w:rPr>
        <w:t xml:space="preserve"> </w:t>
      </w:r>
      <w:proofErr w:type="spellStart"/>
      <w:r w:rsidR="002C5025">
        <w:rPr>
          <w:rFonts w:ascii="Arial" w:hAnsi="Arial" w:cs="Arial"/>
          <w:w w:val="135"/>
          <w:position w:val="2"/>
          <w:sz w:val="25"/>
          <w:szCs w:val="25"/>
        </w:rPr>
        <w:t>i</w:t>
      </w:r>
      <w:proofErr w:type="spellEnd"/>
      <w:r w:rsidR="002C5025">
        <w:rPr>
          <w:rFonts w:ascii="Arial" w:hAnsi="Arial" w:cs="Arial"/>
          <w:w w:val="135"/>
          <w:position w:val="2"/>
          <w:sz w:val="25"/>
          <w:szCs w:val="25"/>
        </w:rPr>
        <w:tab/>
      </w:r>
      <w:r w:rsidR="002C5025">
        <w:rPr>
          <w:rFonts w:ascii="Times New Roman" w:hAnsi="Times New Roman" w:cs="Times New Roman"/>
          <w:w w:val="85"/>
          <w:sz w:val="16"/>
          <w:szCs w:val="16"/>
        </w:rPr>
        <w:t xml:space="preserve">CENTW. </w:t>
      </w:r>
      <w:r w:rsidR="002C5025">
        <w:rPr>
          <w:rFonts w:ascii="Arial" w:hAnsi="Arial" w:cs="Arial"/>
          <w:w w:val="85"/>
          <w:sz w:val="16"/>
          <w:szCs w:val="16"/>
        </w:rPr>
        <w:t>&amp;</w:t>
      </w:r>
      <w:r w:rsidR="002C5025">
        <w:rPr>
          <w:rFonts w:ascii="Arial" w:hAnsi="Arial" w:cs="Arial"/>
          <w:spacing w:val="-19"/>
          <w:w w:val="85"/>
          <w:sz w:val="16"/>
          <w:szCs w:val="16"/>
        </w:rPr>
        <w:t xml:space="preserve"> </w:t>
      </w:r>
      <w:r w:rsidR="002C5025">
        <w:rPr>
          <w:rFonts w:ascii="Times New Roman" w:hAnsi="Times New Roman" w:cs="Times New Roman"/>
          <w:w w:val="85"/>
          <w:sz w:val="16"/>
          <w:szCs w:val="16"/>
        </w:rPr>
        <w:t>ME1'.ROWES1"</w:t>
      </w:r>
      <w:r w:rsidR="002C5025">
        <w:rPr>
          <w:rFonts w:ascii="Times New Roman" w:hAnsi="Times New Roman" w:cs="Times New Roman"/>
          <w:spacing w:val="-16"/>
          <w:w w:val="85"/>
          <w:sz w:val="16"/>
          <w:szCs w:val="16"/>
        </w:rPr>
        <w:t xml:space="preserve"> </w:t>
      </w:r>
      <w:r w:rsidR="002C5025">
        <w:rPr>
          <w:rFonts w:ascii="Times New Roman" w:hAnsi="Times New Roman" w:cs="Times New Roman"/>
          <w:w w:val="85"/>
          <w:sz w:val="16"/>
          <w:szCs w:val="16"/>
        </w:rPr>
        <w:t>..</w:t>
      </w:r>
      <w:r w:rsidR="002C5025">
        <w:rPr>
          <w:rFonts w:ascii="Times New Roman" w:hAnsi="Times New Roman" w:cs="Times New Roman"/>
          <w:w w:val="85"/>
          <w:sz w:val="16"/>
          <w:szCs w:val="16"/>
        </w:rPr>
        <w:tab/>
      </w:r>
      <w:r w:rsidR="002C5025">
        <w:rPr>
          <w:rFonts w:ascii="Times New Roman" w:hAnsi="Times New Roman" w:cs="Times New Roman"/>
          <w:spacing w:val="-3"/>
          <w:w w:val="60"/>
          <w:position w:val="1"/>
          <w:sz w:val="25"/>
          <w:szCs w:val="25"/>
        </w:rPr>
        <w:t>..NORTHEAST</w:t>
      </w:r>
      <w:r w:rsidR="002C5025">
        <w:rPr>
          <w:rFonts w:ascii="Times New Roman" w:hAnsi="Times New Roman" w:cs="Times New Roman"/>
          <w:spacing w:val="15"/>
          <w:w w:val="60"/>
          <w:position w:val="1"/>
          <w:sz w:val="25"/>
          <w:szCs w:val="25"/>
        </w:rPr>
        <w:t xml:space="preserve"> </w:t>
      </w:r>
      <w:r w:rsidR="002C5025">
        <w:rPr>
          <w:rFonts w:ascii="Times New Roman" w:hAnsi="Times New Roman" w:cs="Times New Roman"/>
          <w:spacing w:val="-2"/>
          <w:w w:val="60"/>
          <w:position w:val="1"/>
          <w:sz w:val="16"/>
          <w:szCs w:val="16"/>
        </w:rPr>
        <w:t>REGION</w:t>
      </w:r>
    </w:p>
    <w:p w:rsidR="002C5025" w:rsidRDefault="002C5025">
      <w:pPr>
        <w:pStyle w:val="BodyText"/>
        <w:tabs>
          <w:tab w:val="left" w:pos="2922"/>
          <w:tab w:val="left" w:pos="4847"/>
          <w:tab w:val="left" w:pos="5195"/>
          <w:tab w:val="left" w:pos="7479"/>
        </w:tabs>
        <w:kinsoku w:val="0"/>
        <w:overflowPunct w:val="0"/>
        <w:spacing w:line="224" w:lineRule="exact"/>
        <w:ind w:left="851"/>
        <w:rPr>
          <w:rFonts w:ascii="Arial" w:hAnsi="Arial" w:cs="Arial"/>
          <w:position w:val="2"/>
          <w:sz w:val="15"/>
          <w:szCs w:val="15"/>
        </w:rPr>
      </w:pPr>
      <w:r>
        <w:rPr>
          <w:rFonts w:ascii="Times New Roman" w:hAnsi="Times New Roman" w:cs="Times New Roman"/>
          <w:w w:val="90"/>
          <w:position w:val="7"/>
          <w:sz w:val="16"/>
          <w:szCs w:val="16"/>
        </w:rPr>
        <w:t>AWAKE</w:t>
      </w:r>
      <w:r>
        <w:rPr>
          <w:rFonts w:ascii="Times New Roman" w:hAnsi="Times New Roman" w:cs="Times New Roman"/>
          <w:spacing w:val="-24"/>
          <w:w w:val="90"/>
          <w:position w:val="7"/>
          <w:sz w:val="16"/>
          <w:szCs w:val="16"/>
        </w:rPr>
        <w:t xml:space="preserve"> </w:t>
      </w:r>
      <w:r>
        <w:rPr>
          <w:rFonts w:ascii="Times New Roman" w:hAnsi="Times New Roman" w:cs="Times New Roman"/>
          <w:w w:val="90"/>
          <w:position w:val="7"/>
          <w:sz w:val="16"/>
          <w:szCs w:val="16"/>
        </w:rPr>
        <w:t>Program</w:t>
      </w:r>
      <w:r>
        <w:rPr>
          <w:rFonts w:ascii="Times New Roman" w:hAnsi="Times New Roman" w:cs="Times New Roman"/>
          <w:w w:val="90"/>
          <w:position w:val="7"/>
          <w:sz w:val="16"/>
          <w:szCs w:val="16"/>
        </w:rPr>
        <w:tab/>
      </w:r>
      <w:r>
        <w:rPr>
          <w:rFonts w:ascii="Times New Roman" w:hAnsi="Times New Roman" w:cs="Times New Roman"/>
          <w:w w:val="90"/>
          <w:position w:val="6"/>
          <w:sz w:val="16"/>
          <w:szCs w:val="16"/>
        </w:rPr>
        <w:t>HAVEN</w:t>
      </w:r>
      <w:r>
        <w:rPr>
          <w:rFonts w:ascii="Times New Roman" w:hAnsi="Times New Roman" w:cs="Times New Roman"/>
          <w:spacing w:val="-26"/>
          <w:w w:val="90"/>
          <w:position w:val="6"/>
          <w:sz w:val="16"/>
          <w:szCs w:val="16"/>
        </w:rPr>
        <w:t xml:space="preserve"> </w:t>
      </w:r>
      <w:r>
        <w:rPr>
          <w:rFonts w:ascii="Times New Roman" w:hAnsi="Times New Roman" w:cs="Times New Roman"/>
          <w:w w:val="90"/>
          <w:position w:val="6"/>
          <w:sz w:val="16"/>
          <w:szCs w:val="16"/>
        </w:rPr>
        <w:t>at</w:t>
      </w:r>
      <w:r>
        <w:rPr>
          <w:rFonts w:ascii="Times New Roman" w:hAnsi="Times New Roman" w:cs="Times New Roman"/>
          <w:spacing w:val="-30"/>
          <w:w w:val="90"/>
          <w:position w:val="6"/>
          <w:sz w:val="16"/>
          <w:szCs w:val="16"/>
        </w:rPr>
        <w:t xml:space="preserve"> </w:t>
      </w:r>
      <w:r>
        <w:rPr>
          <w:rFonts w:ascii="Times New Roman" w:hAnsi="Times New Roman" w:cs="Times New Roman"/>
          <w:w w:val="90"/>
          <w:position w:val="6"/>
          <w:sz w:val="16"/>
          <w:szCs w:val="16"/>
        </w:rPr>
        <w:t>MGH</w:t>
      </w:r>
      <w:r>
        <w:rPr>
          <w:rFonts w:ascii="Times New Roman" w:hAnsi="Times New Roman" w:cs="Times New Roman"/>
          <w:w w:val="90"/>
          <w:position w:val="6"/>
          <w:sz w:val="16"/>
          <w:szCs w:val="16"/>
        </w:rPr>
        <w:tab/>
      </w:r>
      <w:r>
        <w:rPr>
          <w:rFonts w:ascii="Times New Roman" w:hAnsi="Times New Roman" w:cs="Times New Roman"/>
          <w:w w:val="105"/>
          <w:position w:val="-3"/>
          <w:sz w:val="16"/>
          <w:szCs w:val="16"/>
        </w:rPr>
        <w:t>0</w:t>
      </w:r>
      <w:r>
        <w:rPr>
          <w:rFonts w:ascii="Times New Roman" w:hAnsi="Times New Roman" w:cs="Times New Roman"/>
          <w:w w:val="105"/>
          <w:position w:val="-3"/>
          <w:sz w:val="16"/>
          <w:szCs w:val="16"/>
        </w:rPr>
        <w:tab/>
      </w:r>
      <w:r>
        <w:rPr>
          <w:rFonts w:ascii="Arial" w:hAnsi="Arial" w:cs="Arial"/>
          <w:spacing w:val="-3"/>
          <w:w w:val="95"/>
          <w:position w:val="2"/>
          <w:sz w:val="15"/>
          <w:szCs w:val="15"/>
        </w:rPr>
        <w:t>Domestic</w:t>
      </w:r>
      <w:r>
        <w:rPr>
          <w:rFonts w:ascii="Arial" w:hAnsi="Arial" w:cs="Arial"/>
          <w:spacing w:val="-32"/>
          <w:w w:val="95"/>
          <w:position w:val="2"/>
          <w:sz w:val="15"/>
          <w:szCs w:val="15"/>
        </w:rPr>
        <w:t xml:space="preserve"> </w:t>
      </w:r>
      <w:r>
        <w:rPr>
          <w:rFonts w:ascii="Arial" w:hAnsi="Arial" w:cs="Arial"/>
          <w:w w:val="95"/>
          <w:position w:val="2"/>
          <w:sz w:val="15"/>
          <w:szCs w:val="15"/>
        </w:rPr>
        <w:t>Violence</w:t>
      </w:r>
      <w:r>
        <w:rPr>
          <w:rFonts w:ascii="Arial" w:hAnsi="Arial" w:cs="Arial"/>
          <w:spacing w:val="-24"/>
          <w:w w:val="95"/>
          <w:position w:val="2"/>
          <w:sz w:val="15"/>
          <w:szCs w:val="15"/>
        </w:rPr>
        <w:t xml:space="preserve"> </w:t>
      </w:r>
      <w:r>
        <w:rPr>
          <w:rFonts w:ascii="Arial" w:hAnsi="Arial" w:cs="Arial"/>
          <w:spacing w:val="-3"/>
          <w:w w:val="95"/>
          <w:position w:val="2"/>
          <w:sz w:val="15"/>
          <w:szCs w:val="15"/>
        </w:rPr>
        <w:t>Services</w:t>
      </w:r>
      <w:r>
        <w:rPr>
          <w:rFonts w:ascii="Arial" w:hAnsi="Arial" w:cs="Arial"/>
          <w:spacing w:val="-3"/>
          <w:w w:val="95"/>
          <w:position w:val="2"/>
          <w:sz w:val="15"/>
          <w:szCs w:val="15"/>
        </w:rPr>
        <w:tab/>
      </w:r>
      <w:r>
        <w:rPr>
          <w:rFonts w:ascii="Times New Roman" w:hAnsi="Times New Roman" w:cs="Times New Roman"/>
          <w:w w:val="105"/>
          <w:sz w:val="16"/>
          <w:szCs w:val="16"/>
        </w:rPr>
        <w:t xml:space="preserve">0  </w:t>
      </w:r>
      <w:r>
        <w:rPr>
          <w:rFonts w:ascii="Arial" w:hAnsi="Arial" w:cs="Arial"/>
          <w:position w:val="2"/>
          <w:sz w:val="15"/>
          <w:szCs w:val="15"/>
        </w:rPr>
        <w:t>Alternative</w:t>
      </w:r>
      <w:r>
        <w:rPr>
          <w:rFonts w:ascii="Arial" w:hAnsi="Arial" w:cs="Arial"/>
          <w:spacing w:val="-23"/>
          <w:position w:val="2"/>
          <w:sz w:val="15"/>
          <w:szCs w:val="15"/>
        </w:rPr>
        <w:t xml:space="preserve"> </w:t>
      </w:r>
      <w:r>
        <w:rPr>
          <w:rFonts w:ascii="Arial" w:hAnsi="Arial" w:cs="Arial"/>
          <w:position w:val="2"/>
          <w:sz w:val="15"/>
          <w:szCs w:val="15"/>
        </w:rPr>
        <w:t>House</w:t>
      </w:r>
    </w:p>
    <w:p w:rsidR="002C5025" w:rsidRDefault="002C5025">
      <w:pPr>
        <w:pStyle w:val="BodyText"/>
        <w:tabs>
          <w:tab w:val="left" w:pos="2648"/>
          <w:tab w:val="left" w:pos="3546"/>
          <w:tab w:val="left" w:pos="5195"/>
          <w:tab w:val="left" w:pos="7760"/>
        </w:tabs>
        <w:kinsoku w:val="0"/>
        <w:overflowPunct w:val="0"/>
        <w:spacing w:line="145" w:lineRule="exact"/>
        <w:ind w:left="858"/>
        <w:rPr>
          <w:rFonts w:ascii="Arial" w:hAnsi="Arial" w:cs="Arial"/>
          <w:spacing w:val="-2"/>
          <w:w w:val="90"/>
          <w:position w:val="-5"/>
          <w:sz w:val="15"/>
          <w:szCs w:val="15"/>
        </w:rPr>
      </w:pPr>
      <w:r>
        <w:rPr>
          <w:rFonts w:ascii="Times New Roman" w:hAnsi="Times New Roman" w:cs="Times New Roman"/>
          <w:w w:val="95"/>
          <w:position w:val="1"/>
          <w:sz w:val="16"/>
          <w:szCs w:val="16"/>
        </w:rPr>
        <w:t>(Children's</w:t>
      </w:r>
      <w:r>
        <w:rPr>
          <w:rFonts w:ascii="Times New Roman" w:hAnsi="Times New Roman" w:cs="Times New Roman"/>
          <w:spacing w:val="-19"/>
          <w:w w:val="95"/>
          <w:position w:val="1"/>
          <w:sz w:val="16"/>
          <w:szCs w:val="16"/>
        </w:rPr>
        <w:t xml:space="preserve"> </w:t>
      </w:r>
      <w:r>
        <w:rPr>
          <w:rFonts w:ascii="Times New Roman" w:hAnsi="Times New Roman" w:cs="Times New Roman"/>
          <w:w w:val="95"/>
          <w:position w:val="1"/>
          <w:sz w:val="16"/>
          <w:szCs w:val="16"/>
        </w:rPr>
        <w:t>Hospital)</w:t>
      </w:r>
      <w:r>
        <w:rPr>
          <w:rFonts w:ascii="Times New Roman" w:hAnsi="Times New Roman" w:cs="Times New Roman"/>
          <w:w w:val="95"/>
          <w:position w:val="1"/>
          <w:sz w:val="16"/>
          <w:szCs w:val="16"/>
        </w:rPr>
        <w:tab/>
      </w:r>
      <w:r>
        <w:rPr>
          <w:rFonts w:ascii="Times New Roman" w:hAnsi="Times New Roman" w:cs="Times New Roman"/>
          <w:sz w:val="16"/>
          <w:szCs w:val="16"/>
        </w:rPr>
        <w:t>0</w:t>
      </w:r>
      <w:r>
        <w:rPr>
          <w:rFonts w:ascii="Times New Roman" w:hAnsi="Times New Roman" w:cs="Times New Roman"/>
          <w:spacing w:val="19"/>
          <w:sz w:val="16"/>
          <w:szCs w:val="16"/>
        </w:rPr>
        <w:t xml:space="preserve"> </w:t>
      </w:r>
      <w:r>
        <w:rPr>
          <w:rFonts w:ascii="Times New Roman" w:hAnsi="Times New Roman" w:cs="Times New Roman"/>
          <w:sz w:val="18"/>
          <w:szCs w:val="18"/>
        </w:rPr>
        <w:t>Boston:</w:t>
      </w:r>
      <w:r>
        <w:rPr>
          <w:rFonts w:ascii="Times New Roman" w:hAnsi="Times New Roman" w:cs="Times New Roman"/>
          <w:sz w:val="18"/>
          <w:szCs w:val="18"/>
        </w:rPr>
        <w:tab/>
      </w:r>
      <w:r>
        <w:rPr>
          <w:rFonts w:ascii="Times New Roman" w:hAnsi="Times New Roman" w:cs="Times New Roman"/>
          <w:w w:val="85"/>
          <w:position w:val="1"/>
          <w:sz w:val="16"/>
          <w:szCs w:val="16"/>
        </w:rPr>
        <w:t>617-724-0054</w:t>
      </w:r>
      <w:r>
        <w:rPr>
          <w:rFonts w:ascii="Times New Roman" w:hAnsi="Times New Roman" w:cs="Times New Roman"/>
          <w:w w:val="85"/>
          <w:position w:val="1"/>
          <w:sz w:val="16"/>
          <w:szCs w:val="16"/>
        </w:rPr>
        <w:tab/>
      </w:r>
      <w:r>
        <w:rPr>
          <w:rFonts w:ascii="Arial" w:hAnsi="Arial" w:cs="Arial"/>
          <w:w w:val="95"/>
          <w:position w:val="-3"/>
          <w:sz w:val="15"/>
          <w:szCs w:val="15"/>
        </w:rPr>
        <w:t>Network</w:t>
      </w:r>
      <w:r>
        <w:rPr>
          <w:rFonts w:ascii="Arial" w:hAnsi="Arial" w:cs="Arial"/>
          <w:w w:val="95"/>
          <w:position w:val="-3"/>
          <w:sz w:val="15"/>
          <w:szCs w:val="15"/>
        </w:rPr>
        <w:tab/>
      </w:r>
      <w:r>
        <w:rPr>
          <w:rFonts w:ascii="Arial" w:hAnsi="Arial" w:cs="Arial"/>
          <w:w w:val="90"/>
          <w:position w:val="-4"/>
          <w:sz w:val="15"/>
          <w:szCs w:val="15"/>
        </w:rPr>
        <w:t xml:space="preserve">Lowell:  </w:t>
      </w:r>
      <w:r>
        <w:rPr>
          <w:rFonts w:ascii="Times New Roman" w:hAnsi="Times New Roman" w:cs="Times New Roman"/>
          <w:w w:val="90"/>
          <w:position w:val="-5"/>
          <w:sz w:val="16"/>
          <w:szCs w:val="16"/>
        </w:rPr>
        <w:t>888-291-6228</w:t>
      </w:r>
      <w:r>
        <w:rPr>
          <w:rFonts w:ascii="Times New Roman" w:hAnsi="Times New Roman" w:cs="Times New Roman"/>
          <w:spacing w:val="-17"/>
          <w:w w:val="90"/>
          <w:position w:val="-5"/>
          <w:sz w:val="16"/>
          <w:szCs w:val="16"/>
        </w:rPr>
        <w:t xml:space="preserve"> </w:t>
      </w:r>
      <w:r>
        <w:rPr>
          <w:rFonts w:ascii="Arial" w:hAnsi="Arial" w:cs="Arial"/>
          <w:spacing w:val="-2"/>
          <w:w w:val="90"/>
          <w:position w:val="-5"/>
          <w:sz w:val="15"/>
          <w:szCs w:val="15"/>
        </w:rPr>
        <w:t>&lt;</w:t>
      </w:r>
      <w:proofErr w:type="spellStart"/>
      <w:r>
        <w:rPr>
          <w:rFonts w:ascii="Arial" w:hAnsi="Arial" w:cs="Arial"/>
          <w:spacing w:val="-2"/>
          <w:w w:val="90"/>
          <w:position w:val="-5"/>
          <w:sz w:val="15"/>
          <w:szCs w:val="15"/>
        </w:rPr>
        <w:t>ll</w:t>
      </w:r>
      <w:proofErr w:type="spellEnd"/>
    </w:p>
    <w:p w:rsidR="002C5025" w:rsidRDefault="002C5025">
      <w:pPr>
        <w:pStyle w:val="BodyText"/>
        <w:tabs>
          <w:tab w:val="left" w:pos="1475"/>
          <w:tab w:val="left" w:pos="5195"/>
          <w:tab w:val="left" w:pos="7458"/>
        </w:tabs>
        <w:kinsoku w:val="0"/>
        <w:overflowPunct w:val="0"/>
        <w:spacing w:line="191" w:lineRule="exact"/>
        <w:ind w:left="865"/>
        <w:rPr>
          <w:rFonts w:ascii="Times New Roman" w:hAnsi="Times New Roman" w:cs="Times New Roman"/>
          <w:position w:val="7"/>
          <w:sz w:val="16"/>
          <w:szCs w:val="16"/>
        </w:rPr>
      </w:pPr>
      <w:r>
        <w:rPr>
          <w:rFonts w:ascii="Times New Roman" w:hAnsi="Times New Roman" w:cs="Times New Roman"/>
          <w:w w:val="95"/>
          <w:position w:val="4"/>
          <w:sz w:val="16"/>
          <w:szCs w:val="16"/>
        </w:rPr>
        <w:t>Boston:</w:t>
      </w:r>
      <w:r>
        <w:rPr>
          <w:rFonts w:ascii="Times New Roman" w:hAnsi="Times New Roman" w:cs="Times New Roman"/>
          <w:w w:val="95"/>
          <w:position w:val="4"/>
          <w:sz w:val="16"/>
          <w:szCs w:val="16"/>
        </w:rPr>
        <w:tab/>
      </w:r>
      <w:r>
        <w:rPr>
          <w:rFonts w:ascii="Times New Roman" w:hAnsi="Times New Roman" w:cs="Times New Roman"/>
          <w:w w:val="85"/>
          <w:position w:val="4"/>
          <w:sz w:val="16"/>
          <w:szCs w:val="16"/>
        </w:rPr>
        <w:t>617-355-6369</w:t>
      </w:r>
      <w:r>
        <w:rPr>
          <w:rFonts w:ascii="Times New Roman" w:hAnsi="Times New Roman" w:cs="Times New Roman"/>
          <w:w w:val="85"/>
          <w:position w:val="4"/>
          <w:sz w:val="16"/>
          <w:szCs w:val="16"/>
        </w:rPr>
        <w:tab/>
      </w:r>
      <w:r>
        <w:rPr>
          <w:rFonts w:ascii="Arial" w:hAnsi="Arial" w:cs="Arial"/>
          <w:w w:val="95"/>
          <w:sz w:val="15"/>
          <w:szCs w:val="15"/>
        </w:rPr>
        <w:t>Concord:</w:t>
      </w:r>
      <w:r>
        <w:rPr>
          <w:rFonts w:ascii="Arial" w:hAnsi="Arial" w:cs="Arial"/>
          <w:spacing w:val="5"/>
          <w:w w:val="95"/>
          <w:sz w:val="15"/>
          <w:szCs w:val="15"/>
        </w:rPr>
        <w:t xml:space="preserve"> </w:t>
      </w:r>
      <w:r>
        <w:rPr>
          <w:rFonts w:ascii="Times New Roman" w:hAnsi="Times New Roman" w:cs="Times New Roman"/>
          <w:w w:val="95"/>
          <w:sz w:val="16"/>
          <w:szCs w:val="16"/>
        </w:rPr>
        <w:t>888-399-6111</w:t>
      </w:r>
      <w:r>
        <w:rPr>
          <w:rFonts w:ascii="Times New Roman" w:hAnsi="Times New Roman" w:cs="Times New Roman"/>
          <w:spacing w:val="-24"/>
          <w:w w:val="95"/>
          <w:sz w:val="16"/>
          <w:szCs w:val="16"/>
        </w:rPr>
        <w:t xml:space="preserve"> </w:t>
      </w:r>
      <w:r>
        <w:rPr>
          <w:rFonts w:ascii="Arial" w:hAnsi="Arial" w:cs="Arial"/>
          <w:w w:val="95"/>
          <w:sz w:val="15"/>
          <w:szCs w:val="15"/>
        </w:rPr>
        <w:t>&lt;</w:t>
      </w:r>
      <w:proofErr w:type="spellStart"/>
      <w:r>
        <w:rPr>
          <w:rFonts w:ascii="Arial" w:hAnsi="Arial" w:cs="Arial"/>
          <w:w w:val="95"/>
          <w:sz w:val="15"/>
          <w:szCs w:val="15"/>
        </w:rPr>
        <w:t>ll</w:t>
      </w:r>
      <w:proofErr w:type="spellEnd"/>
      <w:r>
        <w:rPr>
          <w:rFonts w:ascii="Arial" w:hAnsi="Arial" w:cs="Arial"/>
          <w:w w:val="95"/>
          <w:sz w:val="15"/>
          <w:szCs w:val="15"/>
        </w:rPr>
        <w:tab/>
      </w:r>
      <w:r>
        <w:rPr>
          <w:rFonts w:ascii="Times New Roman" w:hAnsi="Times New Roman" w:cs="Times New Roman"/>
          <w:position w:val="7"/>
          <w:sz w:val="16"/>
          <w:szCs w:val="16"/>
        </w:rPr>
        <w:t>ES</w:t>
      </w:r>
    </w:p>
    <w:p w:rsidR="002C5025" w:rsidRDefault="002C5025">
      <w:pPr>
        <w:pStyle w:val="BodyText"/>
        <w:tabs>
          <w:tab w:val="left" w:pos="2922"/>
          <w:tab w:val="left" w:pos="4775"/>
          <w:tab w:val="left" w:pos="7487"/>
        </w:tabs>
        <w:kinsoku w:val="0"/>
        <w:overflowPunct w:val="0"/>
        <w:spacing w:line="250" w:lineRule="exact"/>
        <w:ind w:left="865"/>
        <w:rPr>
          <w:rFonts w:ascii="Arial" w:hAnsi="Arial" w:cs="Arial"/>
          <w:position w:val="4"/>
          <w:sz w:val="15"/>
          <w:szCs w:val="15"/>
        </w:rPr>
      </w:pPr>
      <w:r>
        <w:rPr>
          <w:rFonts w:ascii="Arial" w:hAnsi="Arial" w:cs="Arial"/>
          <w:w w:val="95"/>
          <w:sz w:val="15"/>
          <w:szCs w:val="15"/>
        </w:rPr>
        <w:t>Boston</w:t>
      </w:r>
      <w:r>
        <w:rPr>
          <w:rFonts w:ascii="Arial" w:hAnsi="Arial" w:cs="Arial"/>
          <w:spacing w:val="-21"/>
          <w:w w:val="95"/>
          <w:sz w:val="15"/>
          <w:szCs w:val="15"/>
        </w:rPr>
        <w:t xml:space="preserve"> </w:t>
      </w:r>
      <w:r>
        <w:rPr>
          <w:rFonts w:ascii="Arial" w:hAnsi="Arial" w:cs="Arial"/>
          <w:spacing w:val="-3"/>
          <w:w w:val="95"/>
          <w:sz w:val="15"/>
          <w:szCs w:val="15"/>
        </w:rPr>
        <w:t>Medical</w:t>
      </w:r>
      <w:r>
        <w:rPr>
          <w:rFonts w:ascii="Arial" w:hAnsi="Arial" w:cs="Arial"/>
          <w:spacing w:val="-24"/>
          <w:w w:val="95"/>
          <w:sz w:val="15"/>
          <w:szCs w:val="15"/>
        </w:rPr>
        <w:t xml:space="preserve"> </w:t>
      </w:r>
      <w:r>
        <w:rPr>
          <w:rFonts w:ascii="Arial" w:hAnsi="Arial" w:cs="Arial"/>
          <w:w w:val="95"/>
          <w:sz w:val="15"/>
          <w:szCs w:val="15"/>
        </w:rPr>
        <w:t>Center</w:t>
      </w:r>
      <w:r>
        <w:rPr>
          <w:rFonts w:ascii="Arial" w:hAnsi="Arial" w:cs="Arial"/>
          <w:w w:val="95"/>
          <w:sz w:val="15"/>
          <w:szCs w:val="15"/>
        </w:rPr>
        <w:tab/>
      </w:r>
      <w:r>
        <w:rPr>
          <w:rFonts w:ascii="Arial" w:hAnsi="Arial" w:cs="Arial"/>
          <w:spacing w:val="-3"/>
          <w:sz w:val="15"/>
          <w:szCs w:val="15"/>
        </w:rPr>
        <w:t>International</w:t>
      </w:r>
      <w:r>
        <w:rPr>
          <w:rFonts w:ascii="Arial" w:hAnsi="Arial" w:cs="Arial"/>
          <w:spacing w:val="-26"/>
          <w:sz w:val="15"/>
          <w:szCs w:val="15"/>
        </w:rPr>
        <w:t xml:space="preserve"> </w:t>
      </w:r>
      <w:r>
        <w:rPr>
          <w:rFonts w:ascii="Arial" w:hAnsi="Arial" w:cs="Arial"/>
          <w:spacing w:val="-3"/>
          <w:sz w:val="15"/>
          <w:szCs w:val="15"/>
        </w:rPr>
        <w:t>Institute</w:t>
      </w:r>
      <w:r>
        <w:rPr>
          <w:rFonts w:ascii="Arial" w:hAnsi="Arial" w:cs="Arial"/>
          <w:spacing w:val="-30"/>
          <w:sz w:val="15"/>
          <w:szCs w:val="15"/>
        </w:rPr>
        <w:t xml:space="preserve"> </w:t>
      </w:r>
      <w:r>
        <w:rPr>
          <w:rFonts w:ascii="Arial" w:hAnsi="Arial" w:cs="Arial"/>
          <w:sz w:val="15"/>
          <w:szCs w:val="15"/>
        </w:rPr>
        <w:t>of</w:t>
      </w:r>
      <w:r>
        <w:rPr>
          <w:rFonts w:ascii="Arial" w:hAnsi="Arial" w:cs="Arial"/>
          <w:sz w:val="15"/>
          <w:szCs w:val="15"/>
        </w:rPr>
        <w:tab/>
      </w:r>
      <w:r>
        <w:rPr>
          <w:rFonts w:ascii="Times New Roman" w:hAnsi="Times New Roman" w:cs="Times New Roman"/>
          <w:position w:val="-6"/>
          <w:sz w:val="16"/>
          <w:szCs w:val="16"/>
        </w:rPr>
        <w:t xml:space="preserve">®* </w:t>
      </w:r>
      <w:r>
        <w:rPr>
          <w:rFonts w:ascii="Arial" w:hAnsi="Arial" w:cs="Arial"/>
          <w:position w:val="-3"/>
          <w:sz w:val="15"/>
          <w:szCs w:val="15"/>
        </w:rPr>
        <w:t>The</w:t>
      </w:r>
      <w:r>
        <w:rPr>
          <w:rFonts w:ascii="Arial" w:hAnsi="Arial" w:cs="Arial"/>
          <w:spacing w:val="-29"/>
          <w:position w:val="-3"/>
          <w:sz w:val="15"/>
          <w:szCs w:val="15"/>
        </w:rPr>
        <w:t xml:space="preserve"> </w:t>
      </w:r>
      <w:r>
        <w:rPr>
          <w:rFonts w:ascii="Arial" w:hAnsi="Arial" w:cs="Arial"/>
          <w:position w:val="-3"/>
          <w:sz w:val="15"/>
          <w:szCs w:val="15"/>
        </w:rPr>
        <w:t>Domestic</w:t>
      </w:r>
      <w:r>
        <w:rPr>
          <w:rFonts w:ascii="Arial" w:hAnsi="Arial" w:cs="Arial"/>
          <w:spacing w:val="-29"/>
          <w:position w:val="-3"/>
          <w:sz w:val="15"/>
          <w:szCs w:val="15"/>
        </w:rPr>
        <w:t xml:space="preserve"> </w:t>
      </w:r>
      <w:r>
        <w:rPr>
          <w:rFonts w:ascii="Arial" w:hAnsi="Arial" w:cs="Arial"/>
          <w:position w:val="-3"/>
          <w:sz w:val="15"/>
          <w:szCs w:val="15"/>
        </w:rPr>
        <w:t>Violence/Sexual</w:t>
      </w:r>
      <w:r>
        <w:rPr>
          <w:rFonts w:ascii="Arial" w:hAnsi="Arial" w:cs="Arial"/>
          <w:position w:val="-3"/>
          <w:sz w:val="15"/>
          <w:szCs w:val="15"/>
        </w:rPr>
        <w:tab/>
      </w:r>
      <w:r>
        <w:rPr>
          <w:rFonts w:ascii="Times New Roman" w:hAnsi="Times New Roman" w:cs="Times New Roman"/>
          <w:w w:val="115"/>
          <w:position w:val="-1"/>
          <w:sz w:val="16"/>
          <w:szCs w:val="16"/>
        </w:rPr>
        <w:t>*</w:t>
      </w:r>
      <w:r>
        <w:rPr>
          <w:rFonts w:ascii="Times New Roman" w:hAnsi="Times New Roman" w:cs="Times New Roman"/>
          <w:spacing w:val="17"/>
          <w:w w:val="115"/>
          <w:position w:val="-1"/>
          <w:sz w:val="16"/>
          <w:szCs w:val="16"/>
        </w:rPr>
        <w:t xml:space="preserve"> </w:t>
      </w:r>
      <w:r>
        <w:rPr>
          <w:rFonts w:ascii="Arial" w:hAnsi="Arial" w:cs="Arial"/>
          <w:position w:val="4"/>
          <w:sz w:val="15"/>
          <w:szCs w:val="15"/>
        </w:rPr>
        <w:t>Center</w:t>
      </w:r>
      <w:r>
        <w:rPr>
          <w:rFonts w:ascii="Arial" w:hAnsi="Arial" w:cs="Arial"/>
          <w:spacing w:val="-24"/>
          <w:position w:val="4"/>
          <w:sz w:val="15"/>
          <w:szCs w:val="15"/>
        </w:rPr>
        <w:t xml:space="preserve"> </w:t>
      </w:r>
      <w:r>
        <w:rPr>
          <w:rFonts w:ascii="Arial" w:hAnsi="Arial" w:cs="Arial"/>
          <w:position w:val="4"/>
          <w:sz w:val="15"/>
          <w:szCs w:val="15"/>
        </w:rPr>
        <w:t>for</w:t>
      </w:r>
      <w:r>
        <w:rPr>
          <w:rFonts w:ascii="Arial" w:hAnsi="Arial" w:cs="Arial"/>
          <w:spacing w:val="-24"/>
          <w:position w:val="4"/>
          <w:sz w:val="15"/>
          <w:szCs w:val="15"/>
        </w:rPr>
        <w:t xml:space="preserve"> </w:t>
      </w:r>
      <w:r>
        <w:rPr>
          <w:rFonts w:ascii="Arial" w:hAnsi="Arial" w:cs="Arial"/>
          <w:position w:val="4"/>
          <w:sz w:val="15"/>
          <w:szCs w:val="15"/>
        </w:rPr>
        <w:t>Hope&amp;</w:t>
      </w:r>
      <w:r>
        <w:rPr>
          <w:rFonts w:ascii="Arial" w:hAnsi="Arial" w:cs="Arial"/>
          <w:spacing w:val="-24"/>
          <w:position w:val="4"/>
          <w:sz w:val="15"/>
          <w:szCs w:val="15"/>
        </w:rPr>
        <w:t xml:space="preserve"> </w:t>
      </w:r>
      <w:r>
        <w:rPr>
          <w:rFonts w:ascii="Arial" w:hAnsi="Arial" w:cs="Arial"/>
          <w:position w:val="4"/>
          <w:sz w:val="15"/>
          <w:szCs w:val="15"/>
        </w:rPr>
        <w:t>Healing</w:t>
      </w:r>
    </w:p>
    <w:p w:rsidR="002C5025" w:rsidRDefault="00FB027C">
      <w:pPr>
        <w:pStyle w:val="BodyText"/>
        <w:tabs>
          <w:tab w:val="left" w:pos="2838"/>
          <w:tab w:val="left" w:pos="3539"/>
          <w:tab w:val="left" w:pos="5178"/>
          <w:tab w:val="left" w:pos="7753"/>
        </w:tabs>
        <w:kinsoku w:val="0"/>
        <w:overflowPunct w:val="0"/>
        <w:spacing w:before="43" w:line="136" w:lineRule="auto"/>
        <w:ind w:left="858" w:right="5957" w:hanging="154"/>
        <w:rPr>
          <w:rFonts w:ascii="Times New Roman" w:hAnsi="Times New Roman" w:cs="Times New Roman"/>
          <w:w w:val="95"/>
          <w:position w:val="4"/>
          <w:sz w:val="16"/>
          <w:szCs w:val="16"/>
        </w:rPr>
      </w:pPr>
      <w:r>
        <w:rPr>
          <w:noProof/>
        </w:rPr>
        <mc:AlternateContent>
          <mc:Choice Requires="wps">
            <w:drawing>
              <wp:anchor distT="0" distB="0" distL="114300" distR="114300" simplePos="0" relativeHeight="251692544" behindDoc="1" locked="0" layoutInCell="0" allowOverlap="1">
                <wp:simplePos x="0" y="0"/>
                <wp:positionH relativeFrom="page">
                  <wp:posOffset>450850</wp:posOffset>
                </wp:positionH>
                <wp:positionV relativeFrom="paragraph">
                  <wp:posOffset>57785</wp:posOffset>
                </wp:positionV>
                <wp:extent cx="1383665" cy="120650"/>
                <wp:effectExtent l="0" t="0" r="0" b="0"/>
                <wp:wrapNone/>
                <wp:docPr id="433" name="Text Box 5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3665"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pStyle w:val="BodyText"/>
                              <w:tabs>
                                <w:tab w:val="left" w:pos="2071"/>
                              </w:tabs>
                              <w:kinsoku w:val="0"/>
                              <w:overflowPunct w:val="0"/>
                              <w:spacing w:line="190" w:lineRule="exact"/>
                              <w:rPr>
                                <w:rFonts w:ascii="Times New Roman" w:hAnsi="Times New Roman" w:cs="Times New Roman"/>
                                <w:w w:val="115"/>
                                <w:sz w:val="16"/>
                                <w:szCs w:val="16"/>
                              </w:rPr>
                            </w:pPr>
                            <w:r>
                              <w:rPr>
                                <w:rFonts w:ascii="Times New Roman" w:hAnsi="Times New Roman" w:cs="Times New Roman"/>
                                <w:w w:val="115"/>
                                <w:position w:val="-3"/>
                                <w:sz w:val="16"/>
                                <w:szCs w:val="16"/>
                              </w:rPr>
                              <w:t>0</w:t>
                            </w:r>
                            <w:r>
                              <w:rPr>
                                <w:rFonts w:ascii="Times New Roman" w:hAnsi="Times New Roman" w:cs="Times New Roman"/>
                                <w:w w:val="115"/>
                                <w:position w:val="-3"/>
                                <w:sz w:val="16"/>
                                <w:szCs w:val="16"/>
                              </w:rPr>
                              <w:tab/>
                            </w:r>
                            <w:r>
                              <w:rPr>
                                <w:rFonts w:ascii="Times New Roman" w:hAnsi="Times New Roman" w:cs="Times New Roman"/>
                                <w:w w:val="115"/>
                                <w:sz w:val="16"/>
                                <w:szCs w:val="16"/>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2" o:spid="_x0000_s1189" type="#_x0000_t202" style="position:absolute;left:0;text-align:left;margin-left:35.5pt;margin-top:4.55pt;width:108.95pt;height:9.5pt;z-index:-251623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" o:allowincell="f" filled="f" stroked="f">
                <v:textbox inset="0,0,0,0">
                  <w:txbxContent>
                    <w:p w:rsidR="007B2B7B" w:rsidRDefault="007B2B7B">
                      <w:pPr>
                        <w:pStyle w:val="BodyText"/>
                        <w:tabs>
                          <w:tab w:val="left" w:pos="2071"/>
                        </w:tabs>
                        <w:kinsoku w:val="0"/>
                        <w:overflowPunct w:val="0"/>
                        <w:spacing w:line="190" w:lineRule="exact"/>
                        <w:rPr>
                          <w:rFonts w:ascii="Times New Roman" w:hAnsi="Times New Roman" w:cs="Times New Roman"/>
                          <w:w w:val="115"/>
                          <w:sz w:val="16"/>
                          <w:szCs w:val="16"/>
                        </w:rPr>
                      </w:pPr>
                      <w:r>
                        <w:rPr>
                          <w:rFonts w:ascii="Times New Roman" w:hAnsi="Times New Roman" w:cs="Times New Roman"/>
                          <w:w w:val="115"/>
                          <w:position w:val="-3"/>
                          <w:sz w:val="16"/>
                          <w:szCs w:val="16"/>
                        </w:rPr>
                        <w:t>0</w:t>
                      </w:r>
                      <w:r>
                        <w:rPr>
                          <w:rFonts w:ascii="Times New Roman" w:hAnsi="Times New Roman" w:cs="Times New Roman"/>
                          <w:w w:val="115"/>
                          <w:position w:val="-3"/>
                          <w:sz w:val="16"/>
                          <w:szCs w:val="16"/>
                        </w:rPr>
                        <w:tab/>
                      </w:r>
                      <w:r>
                        <w:rPr>
                          <w:rFonts w:ascii="Times New Roman" w:hAnsi="Times New Roman" w:cs="Times New Roman"/>
                          <w:w w:val="115"/>
                          <w:sz w:val="16"/>
                          <w:szCs w:val="16"/>
                        </w:rPr>
                        <w:t>0</w:t>
                      </w:r>
                    </w:p>
                  </w:txbxContent>
                </v:textbox>
                <w10:wrap anchorx="page"/>
              </v:shape>
            </w:pict>
          </mc:Fallback>
        </mc:AlternateContent>
      </w:r>
      <w:r w:rsidR="002C5025">
        <w:rPr>
          <w:rFonts w:ascii="Arial" w:hAnsi="Arial" w:cs="Arial"/>
          <w:w w:val="95"/>
          <w:position w:val="-3"/>
          <w:sz w:val="16"/>
          <w:szCs w:val="16"/>
        </w:rPr>
        <w:t>Domestic</w:t>
      </w:r>
      <w:r w:rsidR="002C5025">
        <w:rPr>
          <w:rFonts w:ascii="Arial" w:hAnsi="Arial" w:cs="Arial"/>
          <w:spacing w:val="-29"/>
          <w:w w:val="95"/>
          <w:position w:val="-3"/>
          <w:sz w:val="16"/>
          <w:szCs w:val="16"/>
        </w:rPr>
        <w:t xml:space="preserve"> </w:t>
      </w:r>
      <w:r w:rsidR="002C5025">
        <w:rPr>
          <w:rFonts w:ascii="Arial" w:hAnsi="Arial" w:cs="Arial"/>
          <w:w w:val="95"/>
          <w:position w:val="-3"/>
          <w:sz w:val="16"/>
          <w:szCs w:val="16"/>
        </w:rPr>
        <w:t>Violence</w:t>
      </w:r>
      <w:r w:rsidR="002C5025">
        <w:rPr>
          <w:rFonts w:ascii="Arial" w:hAnsi="Arial" w:cs="Arial"/>
          <w:w w:val="95"/>
          <w:position w:val="-3"/>
          <w:sz w:val="16"/>
          <w:szCs w:val="16"/>
        </w:rPr>
        <w:tab/>
        <w:t>Boston</w:t>
      </w:r>
      <w:r w:rsidR="002C5025">
        <w:rPr>
          <w:rFonts w:ascii="Arial" w:hAnsi="Arial" w:cs="Arial"/>
          <w:w w:val="95"/>
          <w:position w:val="-3"/>
          <w:sz w:val="16"/>
          <w:szCs w:val="16"/>
        </w:rPr>
        <w:tab/>
      </w:r>
      <w:r w:rsidR="002C5025">
        <w:rPr>
          <w:rFonts w:ascii="Arial" w:hAnsi="Arial" w:cs="Arial"/>
          <w:w w:val="95"/>
          <w:position w:val="-3"/>
          <w:sz w:val="16"/>
          <w:szCs w:val="16"/>
        </w:rPr>
        <w:tab/>
      </w:r>
      <w:r w:rsidR="002C5025">
        <w:rPr>
          <w:rFonts w:ascii="Arial" w:hAnsi="Arial" w:cs="Arial"/>
          <w:w w:val="90"/>
          <w:position w:val="-7"/>
          <w:sz w:val="16"/>
          <w:szCs w:val="16"/>
        </w:rPr>
        <w:t>Assault</w:t>
      </w:r>
      <w:r w:rsidR="002C5025">
        <w:rPr>
          <w:rFonts w:ascii="Arial" w:hAnsi="Arial" w:cs="Arial"/>
          <w:spacing w:val="-25"/>
          <w:w w:val="90"/>
          <w:position w:val="-7"/>
          <w:sz w:val="16"/>
          <w:szCs w:val="16"/>
        </w:rPr>
        <w:t xml:space="preserve"> </w:t>
      </w:r>
      <w:r w:rsidR="002C5025">
        <w:rPr>
          <w:rFonts w:ascii="Arial" w:hAnsi="Arial" w:cs="Arial"/>
          <w:w w:val="90"/>
          <w:position w:val="-7"/>
          <w:sz w:val="16"/>
          <w:szCs w:val="16"/>
        </w:rPr>
        <w:t>Program</w:t>
      </w:r>
      <w:r w:rsidR="002C5025">
        <w:rPr>
          <w:rFonts w:ascii="Arial" w:hAnsi="Arial" w:cs="Arial"/>
          <w:spacing w:val="-28"/>
          <w:w w:val="90"/>
          <w:position w:val="-7"/>
          <w:sz w:val="16"/>
          <w:szCs w:val="16"/>
        </w:rPr>
        <w:t xml:space="preserve"> </w:t>
      </w:r>
      <w:r w:rsidR="002C5025">
        <w:rPr>
          <w:rFonts w:ascii="Arial" w:hAnsi="Arial" w:cs="Arial"/>
          <w:w w:val="90"/>
          <w:position w:val="-7"/>
          <w:sz w:val="16"/>
          <w:szCs w:val="16"/>
        </w:rPr>
        <w:t>of</w:t>
      </w:r>
      <w:r w:rsidR="002C5025">
        <w:rPr>
          <w:rFonts w:ascii="Arial" w:hAnsi="Arial" w:cs="Arial"/>
          <w:spacing w:val="-26"/>
          <w:w w:val="90"/>
          <w:position w:val="-7"/>
          <w:sz w:val="16"/>
          <w:szCs w:val="16"/>
        </w:rPr>
        <w:t xml:space="preserve"> </w:t>
      </w:r>
      <w:r w:rsidR="002C5025">
        <w:rPr>
          <w:rFonts w:ascii="Arial" w:hAnsi="Arial" w:cs="Arial"/>
          <w:w w:val="90"/>
          <w:position w:val="-7"/>
          <w:sz w:val="16"/>
          <w:szCs w:val="16"/>
        </w:rPr>
        <w:t>Newton</w:t>
      </w:r>
      <w:r w:rsidR="002C5025">
        <w:rPr>
          <w:rFonts w:ascii="Arial" w:hAnsi="Arial" w:cs="Arial"/>
          <w:w w:val="90"/>
          <w:position w:val="-7"/>
          <w:sz w:val="16"/>
          <w:szCs w:val="16"/>
        </w:rPr>
        <w:tab/>
      </w:r>
      <w:r w:rsidR="002C5025">
        <w:rPr>
          <w:rFonts w:ascii="Arial" w:hAnsi="Arial" w:cs="Arial"/>
          <w:w w:val="85"/>
          <w:sz w:val="15"/>
          <w:szCs w:val="15"/>
        </w:rPr>
        <w:t>(Rape</w:t>
      </w:r>
      <w:r w:rsidR="002C5025">
        <w:rPr>
          <w:rFonts w:ascii="Arial" w:hAnsi="Arial" w:cs="Arial"/>
          <w:spacing w:val="-20"/>
          <w:w w:val="85"/>
          <w:sz w:val="15"/>
          <w:szCs w:val="15"/>
        </w:rPr>
        <w:t xml:space="preserve"> </w:t>
      </w:r>
      <w:r w:rsidR="002C5025">
        <w:rPr>
          <w:rFonts w:ascii="Arial" w:hAnsi="Arial" w:cs="Arial"/>
          <w:w w:val="85"/>
          <w:sz w:val="15"/>
          <w:szCs w:val="15"/>
        </w:rPr>
        <w:t>Crisis</w:t>
      </w:r>
      <w:r w:rsidR="002C5025">
        <w:rPr>
          <w:rFonts w:ascii="Arial" w:hAnsi="Arial" w:cs="Arial"/>
          <w:spacing w:val="-20"/>
          <w:w w:val="85"/>
          <w:sz w:val="15"/>
          <w:szCs w:val="15"/>
        </w:rPr>
        <w:t xml:space="preserve"> </w:t>
      </w:r>
      <w:r w:rsidR="002C5025">
        <w:rPr>
          <w:rFonts w:ascii="Arial" w:hAnsi="Arial" w:cs="Arial"/>
          <w:w w:val="85"/>
          <w:sz w:val="15"/>
          <w:szCs w:val="15"/>
        </w:rPr>
        <w:t>Services</w:t>
      </w:r>
      <w:r w:rsidR="002C5025">
        <w:rPr>
          <w:rFonts w:ascii="Arial" w:hAnsi="Arial" w:cs="Arial"/>
          <w:spacing w:val="-20"/>
          <w:w w:val="85"/>
          <w:sz w:val="15"/>
          <w:szCs w:val="15"/>
        </w:rPr>
        <w:t xml:space="preserve"> </w:t>
      </w:r>
      <w:r w:rsidR="002C5025">
        <w:rPr>
          <w:rFonts w:ascii="Arial" w:hAnsi="Arial" w:cs="Arial"/>
          <w:w w:val="85"/>
          <w:sz w:val="15"/>
          <w:szCs w:val="15"/>
        </w:rPr>
        <w:t>of</w:t>
      </w:r>
      <w:r w:rsidR="002C5025">
        <w:rPr>
          <w:rFonts w:ascii="Arial" w:hAnsi="Arial" w:cs="Arial"/>
          <w:spacing w:val="-23"/>
          <w:w w:val="85"/>
          <w:sz w:val="15"/>
          <w:szCs w:val="15"/>
        </w:rPr>
        <w:t xml:space="preserve"> </w:t>
      </w:r>
      <w:r w:rsidR="002C5025">
        <w:rPr>
          <w:rFonts w:ascii="Arial" w:hAnsi="Arial" w:cs="Arial"/>
          <w:w w:val="85"/>
          <w:sz w:val="15"/>
          <w:szCs w:val="15"/>
        </w:rPr>
        <w:t>Greater</w:t>
      </w:r>
      <w:r w:rsidR="002C5025">
        <w:rPr>
          <w:rFonts w:ascii="Arial" w:hAnsi="Arial" w:cs="Arial"/>
          <w:spacing w:val="-1"/>
          <w:w w:val="84"/>
          <w:sz w:val="15"/>
          <w:szCs w:val="15"/>
        </w:rPr>
        <w:t xml:space="preserve"> </w:t>
      </w:r>
      <w:r w:rsidR="002C5025">
        <w:rPr>
          <w:rFonts w:ascii="Arial" w:hAnsi="Arial" w:cs="Arial"/>
          <w:w w:val="95"/>
          <w:position w:val="1"/>
          <w:sz w:val="15"/>
          <w:szCs w:val="15"/>
        </w:rPr>
        <w:t>Program</w:t>
      </w:r>
      <w:r w:rsidR="002C5025">
        <w:rPr>
          <w:rFonts w:ascii="Arial" w:hAnsi="Arial" w:cs="Arial"/>
          <w:w w:val="95"/>
          <w:position w:val="1"/>
          <w:sz w:val="15"/>
          <w:szCs w:val="15"/>
        </w:rPr>
        <w:tab/>
      </w:r>
      <w:r w:rsidR="002C5025">
        <w:rPr>
          <w:rFonts w:ascii="Times New Roman" w:hAnsi="Times New Roman" w:cs="Times New Roman"/>
          <w:w w:val="95"/>
          <w:sz w:val="18"/>
          <w:szCs w:val="18"/>
        </w:rPr>
        <w:t>Boston:</w:t>
      </w:r>
      <w:r w:rsidR="002C5025">
        <w:rPr>
          <w:rFonts w:ascii="Times New Roman" w:hAnsi="Times New Roman" w:cs="Times New Roman"/>
          <w:w w:val="95"/>
          <w:sz w:val="18"/>
          <w:szCs w:val="18"/>
        </w:rPr>
        <w:tab/>
      </w:r>
      <w:r w:rsidR="002C5025">
        <w:rPr>
          <w:rFonts w:ascii="Times New Roman" w:hAnsi="Times New Roman" w:cs="Times New Roman"/>
          <w:w w:val="90"/>
          <w:position w:val="1"/>
          <w:sz w:val="16"/>
          <w:szCs w:val="16"/>
        </w:rPr>
        <w:t>617-695-9990</w:t>
      </w:r>
      <w:r w:rsidR="002C5025">
        <w:rPr>
          <w:rFonts w:ascii="Times New Roman" w:hAnsi="Times New Roman" w:cs="Times New Roman"/>
          <w:w w:val="90"/>
          <w:position w:val="1"/>
          <w:sz w:val="16"/>
          <w:szCs w:val="16"/>
        </w:rPr>
        <w:tab/>
      </w:r>
      <w:r w:rsidR="002C5025">
        <w:rPr>
          <w:rFonts w:ascii="Arial" w:hAnsi="Arial" w:cs="Arial"/>
          <w:w w:val="95"/>
          <w:position w:val="-3"/>
          <w:sz w:val="15"/>
          <w:szCs w:val="15"/>
        </w:rPr>
        <w:t>Wellesley</w:t>
      </w:r>
      <w:r w:rsidR="002C5025">
        <w:rPr>
          <w:rFonts w:ascii="Arial" w:hAnsi="Arial" w:cs="Arial"/>
          <w:spacing w:val="-10"/>
          <w:w w:val="95"/>
          <w:position w:val="-3"/>
          <w:sz w:val="15"/>
          <w:szCs w:val="15"/>
        </w:rPr>
        <w:t xml:space="preserve"> </w:t>
      </w:r>
      <w:r w:rsidR="002C5025">
        <w:rPr>
          <w:rFonts w:ascii="Arial" w:hAnsi="Arial" w:cs="Arial"/>
          <w:spacing w:val="-4"/>
          <w:w w:val="95"/>
          <w:position w:val="-3"/>
          <w:sz w:val="15"/>
          <w:szCs w:val="15"/>
        </w:rPr>
        <w:t>Hospital</w:t>
      </w:r>
      <w:r w:rsidR="002C5025">
        <w:rPr>
          <w:rFonts w:ascii="Arial" w:hAnsi="Arial" w:cs="Arial"/>
          <w:spacing w:val="-4"/>
          <w:w w:val="95"/>
          <w:position w:val="-3"/>
          <w:sz w:val="15"/>
          <w:szCs w:val="15"/>
        </w:rPr>
        <w:tab/>
      </w:r>
      <w:proofErr w:type="spellStart"/>
      <w:r w:rsidR="002C5025">
        <w:rPr>
          <w:rFonts w:ascii="Times New Roman" w:hAnsi="Times New Roman" w:cs="Times New Roman"/>
          <w:w w:val="95"/>
          <w:position w:val="4"/>
          <w:sz w:val="16"/>
          <w:szCs w:val="16"/>
        </w:rPr>
        <w:t>LowelQ</w:t>
      </w:r>
      <w:proofErr w:type="spellEnd"/>
    </w:p>
    <w:p w:rsidR="002C5025" w:rsidRDefault="002C5025">
      <w:pPr>
        <w:pStyle w:val="BodyText"/>
        <w:tabs>
          <w:tab w:val="left" w:pos="2838"/>
          <w:tab w:val="left" w:pos="3539"/>
          <w:tab w:val="left" w:pos="5178"/>
          <w:tab w:val="left" w:pos="7753"/>
        </w:tabs>
        <w:kinsoku w:val="0"/>
        <w:overflowPunct w:val="0"/>
        <w:spacing w:before="43" w:line="136" w:lineRule="auto"/>
        <w:ind w:left="858" w:right="5957" w:hanging="154"/>
        <w:rPr>
          <w:rFonts w:ascii="Times New Roman" w:hAnsi="Times New Roman" w:cs="Times New Roman"/>
          <w:w w:val="95"/>
          <w:position w:val="4"/>
          <w:sz w:val="16"/>
          <w:szCs w:val="16"/>
        </w:rPr>
        <w:sectPr w:rsidR="002C5025">
          <w:pgSz w:w="15840" w:h="12240" w:orient="landscape"/>
          <w:pgMar w:top="1140" w:right="220" w:bottom="280" w:left="140" w:header="720" w:footer="720" w:gutter="0"/>
          <w:cols w:space="720" w:equalWidth="0">
            <w:col w:w="15480"/>
          </w:cols>
          <w:noEndnote/>
        </w:sectPr>
      </w:pPr>
    </w:p>
    <w:p w:rsidR="002C5025" w:rsidRDefault="002C5025">
      <w:pPr>
        <w:pStyle w:val="BodyText"/>
        <w:kinsoku w:val="0"/>
        <w:overflowPunct w:val="0"/>
        <w:spacing w:line="186" w:lineRule="exact"/>
        <w:ind w:left="858" w:right="-1"/>
        <w:rPr>
          <w:rFonts w:ascii="Times New Roman" w:hAnsi="Times New Roman" w:cs="Times New Roman"/>
          <w:w w:val="80"/>
          <w:position w:val="6"/>
          <w:sz w:val="16"/>
          <w:szCs w:val="16"/>
        </w:rPr>
      </w:pPr>
      <w:r>
        <w:rPr>
          <w:rFonts w:ascii="Times New Roman" w:hAnsi="Times New Roman" w:cs="Times New Roman"/>
          <w:spacing w:val="-85"/>
          <w:w w:val="70"/>
          <w:position w:val="6"/>
          <w:sz w:val="18"/>
          <w:szCs w:val="18"/>
        </w:rPr>
        <w:lastRenderedPageBreak/>
        <w:t>B</w:t>
      </w:r>
      <w:r>
        <w:rPr>
          <w:rFonts w:ascii="Arial" w:hAnsi="Arial" w:cs="Arial"/>
          <w:spacing w:val="-1"/>
          <w:w w:val="84"/>
          <w:sz w:val="15"/>
          <w:szCs w:val="15"/>
        </w:rPr>
        <w:t>B</w:t>
      </w:r>
      <w:r>
        <w:rPr>
          <w:rFonts w:ascii="Arial" w:hAnsi="Arial" w:cs="Arial"/>
          <w:spacing w:val="-71"/>
          <w:w w:val="84"/>
          <w:sz w:val="15"/>
          <w:szCs w:val="15"/>
        </w:rPr>
        <w:t>o</w:t>
      </w:r>
      <w:proofErr w:type="spellStart"/>
      <w:r>
        <w:rPr>
          <w:rFonts w:ascii="Times New Roman" w:hAnsi="Times New Roman" w:cs="Times New Roman"/>
          <w:spacing w:val="-1"/>
          <w:w w:val="70"/>
          <w:position w:val="6"/>
          <w:sz w:val="18"/>
          <w:szCs w:val="18"/>
        </w:rPr>
        <w:t>o</w:t>
      </w:r>
      <w:r>
        <w:rPr>
          <w:rFonts w:ascii="Times New Roman" w:hAnsi="Times New Roman" w:cs="Times New Roman"/>
          <w:spacing w:val="-40"/>
          <w:w w:val="69"/>
          <w:position w:val="6"/>
          <w:sz w:val="18"/>
          <w:szCs w:val="18"/>
        </w:rPr>
        <w:t>s</w:t>
      </w:r>
      <w:proofErr w:type="spellEnd"/>
      <w:r>
        <w:rPr>
          <w:rFonts w:ascii="Arial" w:hAnsi="Arial" w:cs="Arial"/>
          <w:spacing w:val="-26"/>
          <w:w w:val="84"/>
          <w:sz w:val="15"/>
          <w:szCs w:val="15"/>
        </w:rPr>
        <w:t>s</w:t>
      </w:r>
      <w:r>
        <w:rPr>
          <w:rFonts w:ascii="Times New Roman" w:hAnsi="Times New Roman" w:cs="Times New Roman"/>
          <w:spacing w:val="-11"/>
          <w:w w:val="70"/>
          <w:position w:val="6"/>
          <w:sz w:val="18"/>
          <w:szCs w:val="18"/>
        </w:rPr>
        <w:t>t</w:t>
      </w:r>
      <w:proofErr w:type="spellStart"/>
      <w:r>
        <w:rPr>
          <w:rFonts w:ascii="Arial" w:hAnsi="Arial" w:cs="Arial"/>
          <w:spacing w:val="-24"/>
          <w:w w:val="84"/>
          <w:sz w:val="15"/>
          <w:szCs w:val="15"/>
        </w:rPr>
        <w:t>t</w:t>
      </w:r>
      <w:proofErr w:type="spellEnd"/>
      <w:r>
        <w:rPr>
          <w:rFonts w:ascii="Times New Roman" w:hAnsi="Times New Roman" w:cs="Times New Roman"/>
          <w:spacing w:val="-39"/>
          <w:w w:val="70"/>
          <w:position w:val="6"/>
          <w:sz w:val="18"/>
          <w:szCs w:val="18"/>
        </w:rPr>
        <w:t>o</w:t>
      </w:r>
      <w:proofErr w:type="spellStart"/>
      <w:r>
        <w:rPr>
          <w:rFonts w:ascii="Arial" w:hAnsi="Arial" w:cs="Arial"/>
          <w:spacing w:val="-33"/>
          <w:w w:val="84"/>
          <w:sz w:val="15"/>
          <w:szCs w:val="15"/>
        </w:rPr>
        <w:t>o</w:t>
      </w:r>
      <w:proofErr w:type="spellEnd"/>
      <w:r>
        <w:rPr>
          <w:rFonts w:ascii="Times New Roman" w:hAnsi="Times New Roman" w:cs="Times New Roman"/>
          <w:spacing w:val="-32"/>
          <w:w w:val="70"/>
          <w:position w:val="6"/>
          <w:sz w:val="18"/>
          <w:szCs w:val="18"/>
        </w:rPr>
        <w:t>n</w:t>
      </w:r>
      <w:proofErr w:type="spellStart"/>
      <w:r>
        <w:rPr>
          <w:rFonts w:ascii="Arial" w:hAnsi="Arial" w:cs="Arial"/>
          <w:spacing w:val="-40"/>
          <w:w w:val="84"/>
          <w:sz w:val="15"/>
          <w:szCs w:val="15"/>
        </w:rPr>
        <w:t>n</w:t>
      </w:r>
      <w:proofErr w:type="spellEnd"/>
      <w:r>
        <w:rPr>
          <w:rFonts w:ascii="Times New Roman" w:hAnsi="Times New Roman" w:cs="Times New Roman"/>
          <w:w w:val="70"/>
          <w:position w:val="6"/>
          <w:sz w:val="18"/>
          <w:szCs w:val="18"/>
        </w:rPr>
        <w:t>:</w:t>
      </w:r>
      <w:r>
        <w:rPr>
          <w:rFonts w:ascii="Times New Roman" w:hAnsi="Times New Roman" w:cs="Times New Roman"/>
          <w:spacing w:val="-23"/>
          <w:position w:val="6"/>
          <w:sz w:val="18"/>
          <w:szCs w:val="18"/>
        </w:rPr>
        <w:t xml:space="preserve"> </w:t>
      </w:r>
      <w:r>
        <w:rPr>
          <w:rFonts w:ascii="Arial" w:hAnsi="Arial" w:cs="Arial"/>
          <w:spacing w:val="-1"/>
          <w:w w:val="84"/>
          <w:sz w:val="15"/>
          <w:szCs w:val="15"/>
        </w:rPr>
        <w:t>A</w:t>
      </w:r>
      <w:r>
        <w:rPr>
          <w:rFonts w:ascii="Arial" w:hAnsi="Arial" w:cs="Arial"/>
          <w:w w:val="84"/>
          <w:sz w:val="15"/>
          <w:szCs w:val="15"/>
        </w:rPr>
        <w:t>r</w:t>
      </w:r>
      <w:r>
        <w:rPr>
          <w:rFonts w:ascii="Arial" w:hAnsi="Arial" w:cs="Arial"/>
          <w:spacing w:val="-1"/>
          <w:w w:val="84"/>
          <w:sz w:val="15"/>
          <w:szCs w:val="15"/>
        </w:rPr>
        <w:t>e</w:t>
      </w:r>
      <w:r>
        <w:rPr>
          <w:rFonts w:ascii="Arial" w:hAnsi="Arial" w:cs="Arial"/>
          <w:spacing w:val="-40"/>
          <w:w w:val="84"/>
          <w:sz w:val="15"/>
          <w:szCs w:val="15"/>
        </w:rPr>
        <w:t>a</w:t>
      </w:r>
      <w:r>
        <w:rPr>
          <w:rFonts w:ascii="Times New Roman" w:hAnsi="Times New Roman" w:cs="Times New Roman"/>
          <w:spacing w:val="-2"/>
          <w:w w:val="80"/>
          <w:position w:val="6"/>
          <w:sz w:val="16"/>
          <w:szCs w:val="16"/>
        </w:rPr>
        <w:t>6</w:t>
      </w:r>
      <w:r>
        <w:rPr>
          <w:rFonts w:ascii="Times New Roman" w:hAnsi="Times New Roman" w:cs="Times New Roman"/>
          <w:spacing w:val="-60"/>
          <w:w w:val="80"/>
          <w:position w:val="6"/>
          <w:sz w:val="16"/>
          <w:szCs w:val="16"/>
        </w:rPr>
        <w:t>1</w:t>
      </w:r>
      <w:r>
        <w:rPr>
          <w:rFonts w:ascii="Arial" w:hAnsi="Arial" w:cs="Arial"/>
          <w:spacing w:val="-32"/>
          <w:w w:val="84"/>
          <w:sz w:val="15"/>
          <w:szCs w:val="15"/>
        </w:rPr>
        <w:t>R</w:t>
      </w:r>
      <w:r>
        <w:rPr>
          <w:rFonts w:ascii="Times New Roman" w:hAnsi="Times New Roman" w:cs="Times New Roman"/>
          <w:spacing w:val="-31"/>
          <w:w w:val="80"/>
          <w:position w:val="6"/>
          <w:sz w:val="16"/>
          <w:szCs w:val="16"/>
        </w:rPr>
        <w:t>7</w:t>
      </w:r>
      <w:r>
        <w:rPr>
          <w:rFonts w:ascii="Arial" w:hAnsi="Arial" w:cs="Arial"/>
          <w:spacing w:val="-40"/>
          <w:w w:val="84"/>
          <w:sz w:val="15"/>
          <w:szCs w:val="15"/>
        </w:rPr>
        <w:t>a</w:t>
      </w:r>
      <w:r>
        <w:rPr>
          <w:rFonts w:ascii="Times New Roman" w:hAnsi="Times New Roman" w:cs="Times New Roman"/>
          <w:spacing w:val="-5"/>
          <w:w w:val="80"/>
          <w:position w:val="6"/>
          <w:sz w:val="16"/>
          <w:szCs w:val="16"/>
        </w:rPr>
        <w:t>-</w:t>
      </w:r>
      <w:r>
        <w:rPr>
          <w:rFonts w:ascii="Arial" w:hAnsi="Arial" w:cs="Arial"/>
          <w:spacing w:val="-69"/>
          <w:w w:val="84"/>
          <w:sz w:val="15"/>
          <w:szCs w:val="15"/>
        </w:rPr>
        <w:t>p</w:t>
      </w:r>
      <w:r>
        <w:rPr>
          <w:rFonts w:ascii="Times New Roman" w:hAnsi="Times New Roman" w:cs="Times New Roman"/>
          <w:w w:val="80"/>
          <w:position w:val="6"/>
          <w:sz w:val="16"/>
          <w:szCs w:val="16"/>
        </w:rPr>
        <w:t>4</w:t>
      </w:r>
      <w:r>
        <w:rPr>
          <w:rFonts w:ascii="Times New Roman" w:hAnsi="Times New Roman" w:cs="Times New Roman"/>
          <w:spacing w:val="-60"/>
          <w:w w:val="80"/>
          <w:position w:val="6"/>
          <w:sz w:val="16"/>
          <w:szCs w:val="16"/>
        </w:rPr>
        <w:t>1</w:t>
      </w:r>
      <w:r>
        <w:rPr>
          <w:rFonts w:ascii="Arial" w:hAnsi="Arial" w:cs="Arial"/>
          <w:spacing w:val="-11"/>
          <w:w w:val="84"/>
          <w:sz w:val="15"/>
          <w:szCs w:val="15"/>
        </w:rPr>
        <w:t>e</w:t>
      </w:r>
      <w:r>
        <w:rPr>
          <w:rFonts w:ascii="Times New Roman" w:hAnsi="Times New Roman" w:cs="Times New Roman"/>
          <w:spacing w:val="-38"/>
          <w:w w:val="80"/>
          <w:position w:val="6"/>
          <w:sz w:val="16"/>
          <w:szCs w:val="16"/>
        </w:rPr>
        <w:t>4</w:t>
      </w:r>
      <w:r>
        <w:rPr>
          <w:rFonts w:ascii="Arial" w:hAnsi="Arial" w:cs="Arial"/>
          <w:spacing w:val="-56"/>
          <w:w w:val="84"/>
          <w:sz w:val="15"/>
          <w:szCs w:val="15"/>
        </w:rPr>
        <w:t>C</w:t>
      </w:r>
      <w:r>
        <w:rPr>
          <w:rFonts w:ascii="Times New Roman" w:hAnsi="Times New Roman" w:cs="Times New Roman"/>
          <w:w w:val="80"/>
          <w:position w:val="6"/>
          <w:sz w:val="16"/>
          <w:szCs w:val="16"/>
        </w:rPr>
        <w:t>-</w:t>
      </w:r>
      <w:r>
        <w:rPr>
          <w:rFonts w:ascii="Times New Roman" w:hAnsi="Times New Roman" w:cs="Times New Roman"/>
          <w:spacing w:val="-50"/>
          <w:w w:val="80"/>
          <w:position w:val="6"/>
          <w:sz w:val="16"/>
          <w:szCs w:val="16"/>
        </w:rPr>
        <w:t>5</w:t>
      </w:r>
      <w:proofErr w:type="spellStart"/>
      <w:r>
        <w:rPr>
          <w:rFonts w:ascii="Arial" w:hAnsi="Arial" w:cs="Arial"/>
          <w:spacing w:val="-2"/>
          <w:w w:val="84"/>
          <w:sz w:val="15"/>
          <w:szCs w:val="15"/>
        </w:rPr>
        <w:t>r</w:t>
      </w:r>
      <w:r>
        <w:rPr>
          <w:rFonts w:ascii="Arial" w:hAnsi="Arial" w:cs="Arial"/>
          <w:spacing w:val="-19"/>
          <w:w w:val="84"/>
          <w:sz w:val="15"/>
          <w:szCs w:val="15"/>
        </w:rPr>
        <w:t>i</w:t>
      </w:r>
      <w:proofErr w:type="spellEnd"/>
      <w:r>
        <w:rPr>
          <w:rFonts w:ascii="Times New Roman" w:hAnsi="Times New Roman" w:cs="Times New Roman"/>
          <w:spacing w:val="-45"/>
          <w:w w:val="80"/>
          <w:position w:val="6"/>
          <w:sz w:val="16"/>
          <w:szCs w:val="16"/>
        </w:rPr>
        <w:t>4</w:t>
      </w:r>
      <w:r>
        <w:rPr>
          <w:rFonts w:ascii="Arial" w:hAnsi="Arial" w:cs="Arial"/>
          <w:spacing w:val="-21"/>
          <w:w w:val="84"/>
          <w:sz w:val="15"/>
          <w:szCs w:val="15"/>
        </w:rPr>
        <w:t>s</w:t>
      </w:r>
      <w:r>
        <w:rPr>
          <w:rFonts w:ascii="Times New Roman" w:hAnsi="Times New Roman" w:cs="Times New Roman"/>
          <w:spacing w:val="-45"/>
          <w:w w:val="80"/>
          <w:position w:val="6"/>
          <w:sz w:val="16"/>
          <w:szCs w:val="16"/>
        </w:rPr>
        <w:t>5</w:t>
      </w:r>
      <w:r>
        <w:rPr>
          <w:rFonts w:ascii="Arial" w:hAnsi="Arial" w:cs="Arial"/>
          <w:spacing w:val="3"/>
          <w:w w:val="84"/>
          <w:sz w:val="15"/>
          <w:szCs w:val="15"/>
        </w:rPr>
        <w:t>i</w:t>
      </w:r>
      <w:r>
        <w:rPr>
          <w:rFonts w:ascii="Arial" w:hAnsi="Arial" w:cs="Arial"/>
          <w:spacing w:val="-50"/>
          <w:w w:val="84"/>
          <w:sz w:val="15"/>
          <w:szCs w:val="15"/>
        </w:rPr>
        <w:t>s</w:t>
      </w:r>
      <w:r>
        <w:rPr>
          <w:rFonts w:ascii="Times New Roman" w:hAnsi="Times New Roman" w:cs="Times New Roman"/>
          <w:w w:val="80"/>
          <w:position w:val="6"/>
          <w:sz w:val="16"/>
          <w:szCs w:val="16"/>
        </w:rPr>
        <w:t>7</w:t>
      </w:r>
    </w:p>
    <w:p w:rsidR="002C5025" w:rsidRDefault="002C5025">
      <w:pPr>
        <w:pStyle w:val="BodyText"/>
        <w:kinsoku w:val="0"/>
        <w:overflowPunct w:val="0"/>
        <w:spacing w:before="64" w:line="121" w:lineRule="exact"/>
        <w:ind w:left="651" w:right="-9"/>
        <w:rPr>
          <w:rFonts w:ascii="Arial" w:hAnsi="Arial" w:cs="Arial"/>
          <w:spacing w:val="-3"/>
          <w:w w:val="90"/>
          <w:sz w:val="15"/>
          <w:szCs w:val="15"/>
        </w:rPr>
      </w:pPr>
      <w:r>
        <w:rPr>
          <w:rFonts w:ascii="Times New Roman" w:hAnsi="Times New Roman" w:cs="Times New Roman"/>
          <w:sz w:val="24"/>
          <w:szCs w:val="24"/>
        </w:rPr>
        <w:br w:type="column"/>
      </w:r>
      <w:r>
        <w:rPr>
          <w:rFonts w:ascii="Arial" w:hAnsi="Arial" w:cs="Arial"/>
          <w:strike/>
          <w:spacing w:val="-3"/>
          <w:w w:val="90"/>
          <w:sz w:val="15"/>
          <w:szCs w:val="15"/>
        </w:rPr>
        <w:lastRenderedPageBreak/>
        <w:t xml:space="preserve">Passageway </w:t>
      </w:r>
      <w:r>
        <w:rPr>
          <w:rFonts w:ascii="Arial" w:hAnsi="Arial" w:cs="Arial"/>
          <w:strike/>
          <w:w w:val="90"/>
          <w:sz w:val="15"/>
          <w:szCs w:val="15"/>
        </w:rPr>
        <w:t>at Brigham</w:t>
      </w:r>
      <w:r>
        <w:rPr>
          <w:rFonts w:ascii="Arial" w:hAnsi="Arial" w:cs="Arial"/>
          <w:strike/>
          <w:spacing w:val="-26"/>
          <w:w w:val="90"/>
          <w:sz w:val="15"/>
          <w:szCs w:val="15"/>
        </w:rPr>
        <w:t xml:space="preserve"> </w:t>
      </w:r>
      <w:r>
        <w:rPr>
          <w:rFonts w:ascii="Arial" w:hAnsi="Arial" w:cs="Arial"/>
          <w:strike/>
          <w:w w:val="90"/>
          <w:sz w:val="16"/>
          <w:szCs w:val="16"/>
        </w:rPr>
        <w:t>&amp;</w:t>
      </w:r>
    </w:p>
    <w:p w:rsidR="002C5025" w:rsidRDefault="002C5025">
      <w:pPr>
        <w:pStyle w:val="BodyText"/>
        <w:tabs>
          <w:tab w:val="left" w:pos="1351"/>
        </w:tabs>
        <w:kinsoku w:val="0"/>
        <w:overflowPunct w:val="0"/>
        <w:spacing w:before="31" w:line="154" w:lineRule="exact"/>
        <w:ind w:left="689"/>
        <w:rPr>
          <w:rFonts w:ascii="Times New Roman" w:hAnsi="Times New Roman" w:cs="Times New Roman"/>
          <w:w w:val="80"/>
          <w:sz w:val="16"/>
          <w:szCs w:val="16"/>
        </w:rPr>
      </w:pPr>
      <w:r>
        <w:rPr>
          <w:rFonts w:ascii="Times New Roman" w:hAnsi="Times New Roman" w:cs="Times New Roman"/>
          <w:sz w:val="24"/>
          <w:szCs w:val="24"/>
        </w:rPr>
        <w:br w:type="column"/>
      </w:r>
      <w:r>
        <w:rPr>
          <w:rFonts w:ascii="Arial" w:hAnsi="Arial" w:cs="Arial"/>
          <w:w w:val="90"/>
          <w:sz w:val="15"/>
          <w:szCs w:val="15"/>
        </w:rPr>
        <w:lastRenderedPageBreak/>
        <w:t>Newton:</w:t>
      </w:r>
      <w:r>
        <w:rPr>
          <w:rFonts w:ascii="Arial" w:hAnsi="Arial" w:cs="Arial"/>
          <w:w w:val="90"/>
          <w:sz w:val="15"/>
          <w:szCs w:val="15"/>
        </w:rPr>
        <w:tab/>
      </w:r>
      <w:r>
        <w:rPr>
          <w:rFonts w:ascii="Times New Roman" w:hAnsi="Times New Roman" w:cs="Times New Roman"/>
          <w:w w:val="80"/>
          <w:sz w:val="16"/>
          <w:szCs w:val="16"/>
        </w:rPr>
        <w:t>617-243-6521</w:t>
      </w:r>
    </w:p>
    <w:p w:rsidR="002C5025" w:rsidRDefault="002C5025">
      <w:pPr>
        <w:pStyle w:val="BodyText"/>
        <w:kinsoku w:val="0"/>
        <w:overflowPunct w:val="0"/>
        <w:spacing w:line="102" w:lineRule="exact"/>
        <w:ind w:left="865"/>
        <w:rPr>
          <w:rFonts w:ascii="Arial" w:hAnsi="Arial" w:cs="Arial"/>
          <w:w w:val="90"/>
          <w:sz w:val="15"/>
          <w:szCs w:val="15"/>
        </w:rPr>
      </w:pPr>
      <w:r>
        <w:rPr>
          <w:rFonts w:ascii="Times New Roman" w:hAnsi="Times New Roman" w:cs="Times New Roman"/>
          <w:sz w:val="24"/>
          <w:szCs w:val="24"/>
        </w:rPr>
        <w:br w:type="column"/>
      </w:r>
      <w:r>
        <w:rPr>
          <w:rFonts w:ascii="Arial" w:hAnsi="Arial" w:cs="Arial"/>
          <w:w w:val="90"/>
          <w:position w:val="1"/>
          <w:sz w:val="16"/>
          <w:szCs w:val="16"/>
        </w:rPr>
        <w:lastRenderedPageBreak/>
        <w:t xml:space="preserve">Lowell: </w:t>
      </w:r>
      <w:r>
        <w:rPr>
          <w:rFonts w:ascii="Times New Roman" w:hAnsi="Times New Roman" w:cs="Times New Roman"/>
          <w:w w:val="90"/>
          <w:sz w:val="16"/>
          <w:szCs w:val="16"/>
        </w:rPr>
        <w:t xml:space="preserve">800-542-5212 </w:t>
      </w:r>
      <w:r>
        <w:rPr>
          <w:rFonts w:ascii="Arial" w:hAnsi="Arial" w:cs="Arial"/>
          <w:w w:val="90"/>
          <w:sz w:val="15"/>
          <w:szCs w:val="15"/>
        </w:rPr>
        <w:t>&lt;</w:t>
      </w:r>
      <w:proofErr w:type="spellStart"/>
      <w:r>
        <w:rPr>
          <w:rFonts w:ascii="Arial" w:hAnsi="Arial" w:cs="Arial"/>
          <w:w w:val="90"/>
          <w:sz w:val="15"/>
          <w:szCs w:val="15"/>
        </w:rPr>
        <w:t>ll</w:t>
      </w:r>
      <w:proofErr w:type="spellEnd"/>
    </w:p>
    <w:p w:rsidR="002C5025" w:rsidRDefault="002C5025">
      <w:pPr>
        <w:pStyle w:val="BodyText"/>
        <w:kinsoku w:val="0"/>
        <w:overflowPunct w:val="0"/>
        <w:spacing w:line="83" w:lineRule="exact"/>
        <w:ind w:left="858"/>
        <w:rPr>
          <w:rFonts w:ascii="Arial" w:hAnsi="Arial" w:cs="Arial"/>
          <w:w w:val="90"/>
          <w:sz w:val="15"/>
          <w:szCs w:val="15"/>
        </w:rPr>
      </w:pPr>
      <w:r>
        <w:rPr>
          <w:rFonts w:ascii="Arial" w:hAnsi="Arial" w:cs="Arial"/>
          <w:w w:val="90"/>
          <w:sz w:val="15"/>
          <w:szCs w:val="15"/>
        </w:rPr>
        <w:t>Community Teamwork Inc.</w:t>
      </w:r>
    </w:p>
    <w:p w:rsidR="002C5025" w:rsidRDefault="002C5025">
      <w:pPr>
        <w:pStyle w:val="BodyText"/>
        <w:kinsoku w:val="0"/>
        <w:overflowPunct w:val="0"/>
        <w:spacing w:line="83" w:lineRule="exact"/>
        <w:ind w:left="858"/>
        <w:rPr>
          <w:rFonts w:ascii="Arial" w:hAnsi="Arial" w:cs="Arial"/>
          <w:w w:val="90"/>
          <w:sz w:val="15"/>
          <w:szCs w:val="15"/>
        </w:rPr>
        <w:sectPr w:rsidR="002C5025">
          <w:type w:val="continuous"/>
          <w:pgSz w:w="15840" w:h="12240" w:orient="landscape"/>
          <w:pgMar w:top="720" w:right="220" w:bottom="280" w:left="140" w:header="720" w:footer="720" w:gutter="0"/>
          <w:cols w:num="4" w:space="720" w:equalWidth="0">
            <w:col w:w="2224" w:space="40"/>
            <w:col w:w="2193" w:space="40"/>
            <w:col w:w="2120" w:space="272"/>
            <w:col w:w="8591"/>
          </w:cols>
          <w:noEndnote/>
        </w:sectPr>
      </w:pPr>
    </w:p>
    <w:p w:rsidR="002C5025" w:rsidRDefault="002C5025">
      <w:pPr>
        <w:pStyle w:val="BodyText"/>
        <w:tabs>
          <w:tab w:val="left" w:pos="2907"/>
          <w:tab w:val="left" w:pos="4849"/>
          <w:tab w:val="left" w:pos="5180"/>
          <w:tab w:val="left" w:pos="7475"/>
          <w:tab w:val="left" w:pos="8154"/>
        </w:tabs>
        <w:kinsoku w:val="0"/>
        <w:overflowPunct w:val="0"/>
        <w:spacing w:line="225" w:lineRule="exact"/>
        <w:ind w:left="851"/>
        <w:rPr>
          <w:rFonts w:ascii="Times New Roman" w:hAnsi="Times New Roman" w:cs="Times New Roman"/>
          <w:position w:val="9"/>
          <w:sz w:val="16"/>
          <w:szCs w:val="16"/>
        </w:rPr>
      </w:pPr>
      <w:r>
        <w:rPr>
          <w:rFonts w:ascii="Times New Roman" w:hAnsi="Times New Roman" w:cs="Times New Roman"/>
          <w:w w:val="90"/>
          <w:sz w:val="16"/>
          <w:szCs w:val="16"/>
        </w:rPr>
        <w:lastRenderedPageBreak/>
        <w:t>Center</w:t>
      </w:r>
      <w:r>
        <w:rPr>
          <w:rFonts w:ascii="Times New Roman" w:hAnsi="Times New Roman" w:cs="Times New Roman"/>
          <w:spacing w:val="-12"/>
          <w:w w:val="90"/>
          <w:sz w:val="16"/>
          <w:szCs w:val="16"/>
        </w:rPr>
        <w:t xml:space="preserve"> </w:t>
      </w:r>
      <w:r>
        <w:rPr>
          <w:rFonts w:ascii="Times New Roman" w:hAnsi="Times New Roman" w:cs="Times New Roman"/>
          <w:w w:val="90"/>
          <w:sz w:val="16"/>
          <w:szCs w:val="16"/>
        </w:rPr>
        <w:t>(BARCC)</w:t>
      </w:r>
      <w:r>
        <w:rPr>
          <w:rFonts w:ascii="Times New Roman" w:hAnsi="Times New Roman" w:cs="Times New Roman"/>
          <w:w w:val="90"/>
          <w:sz w:val="16"/>
          <w:szCs w:val="16"/>
        </w:rPr>
        <w:tab/>
      </w:r>
      <w:r>
        <w:rPr>
          <w:rFonts w:ascii="Arial" w:hAnsi="Arial" w:cs="Arial"/>
          <w:w w:val="90"/>
          <w:sz w:val="16"/>
          <w:szCs w:val="16"/>
        </w:rPr>
        <w:t>Women's</w:t>
      </w:r>
      <w:r>
        <w:rPr>
          <w:rFonts w:ascii="Arial" w:hAnsi="Arial" w:cs="Arial"/>
          <w:spacing w:val="-25"/>
          <w:w w:val="90"/>
          <w:sz w:val="16"/>
          <w:szCs w:val="16"/>
        </w:rPr>
        <w:t xml:space="preserve"> </w:t>
      </w:r>
      <w:r>
        <w:rPr>
          <w:rFonts w:ascii="Arial" w:hAnsi="Arial" w:cs="Arial"/>
          <w:w w:val="90"/>
          <w:sz w:val="16"/>
          <w:szCs w:val="16"/>
        </w:rPr>
        <w:t>Hospital</w:t>
      </w:r>
      <w:r>
        <w:rPr>
          <w:rFonts w:ascii="Arial" w:hAnsi="Arial" w:cs="Arial"/>
          <w:w w:val="90"/>
          <w:sz w:val="16"/>
          <w:szCs w:val="16"/>
        </w:rPr>
        <w:tab/>
      </w:r>
      <w:r>
        <w:rPr>
          <w:rFonts w:ascii="Times New Roman" w:hAnsi="Times New Roman" w:cs="Times New Roman"/>
          <w:position w:val="2"/>
          <w:sz w:val="16"/>
          <w:szCs w:val="16"/>
        </w:rPr>
        <w:t>®</w:t>
      </w:r>
      <w:r>
        <w:rPr>
          <w:rFonts w:ascii="Times New Roman" w:hAnsi="Times New Roman" w:cs="Times New Roman"/>
          <w:position w:val="2"/>
          <w:sz w:val="16"/>
          <w:szCs w:val="16"/>
        </w:rPr>
        <w:tab/>
      </w:r>
      <w:proofErr w:type="spellStart"/>
      <w:r>
        <w:rPr>
          <w:rFonts w:ascii="Times New Roman" w:hAnsi="Times New Roman" w:cs="Times New Roman"/>
          <w:position w:val="3"/>
          <w:sz w:val="16"/>
          <w:szCs w:val="16"/>
        </w:rPr>
        <w:t>Journey</w:t>
      </w:r>
      <w:r>
        <w:rPr>
          <w:rFonts w:ascii="Times New Roman" w:hAnsi="Times New Roman" w:cs="Times New Roman"/>
          <w:position w:val="3"/>
          <w:sz w:val="18"/>
          <w:szCs w:val="18"/>
        </w:rPr>
        <w:t>to</w:t>
      </w:r>
      <w:r>
        <w:rPr>
          <w:rFonts w:ascii="Times New Roman" w:hAnsi="Times New Roman" w:cs="Times New Roman"/>
          <w:position w:val="3"/>
          <w:sz w:val="16"/>
          <w:szCs w:val="16"/>
        </w:rPr>
        <w:t>Safety</w:t>
      </w:r>
      <w:proofErr w:type="spellEnd"/>
      <w:r>
        <w:rPr>
          <w:rFonts w:ascii="Times New Roman" w:hAnsi="Times New Roman" w:cs="Times New Roman"/>
          <w:position w:val="3"/>
          <w:sz w:val="16"/>
          <w:szCs w:val="16"/>
        </w:rPr>
        <w:t>(JFCS)</w:t>
      </w:r>
      <w:r>
        <w:rPr>
          <w:rFonts w:ascii="Times New Roman" w:hAnsi="Times New Roman" w:cs="Times New Roman"/>
          <w:position w:val="3"/>
          <w:sz w:val="16"/>
          <w:szCs w:val="16"/>
        </w:rPr>
        <w:tab/>
      </w:r>
      <w:r>
        <w:rPr>
          <w:rFonts w:ascii="Times New Roman" w:hAnsi="Times New Roman" w:cs="Times New Roman"/>
          <w:position w:val="9"/>
          <w:sz w:val="16"/>
          <w:szCs w:val="16"/>
        </w:rPr>
        <w:t xml:space="preserve">®   </w:t>
      </w:r>
      <w:r>
        <w:rPr>
          <w:rFonts w:ascii="Times New Roman" w:hAnsi="Times New Roman" w:cs="Times New Roman"/>
          <w:spacing w:val="-4"/>
          <w:position w:val="9"/>
          <w:sz w:val="16"/>
          <w:szCs w:val="16"/>
        </w:rPr>
        <w:t xml:space="preserve"> </w:t>
      </w:r>
      <w:r>
        <w:rPr>
          <w:rFonts w:ascii="Times New Roman" w:hAnsi="Times New Roman" w:cs="Times New Roman"/>
          <w:position w:val="9"/>
          <w:sz w:val="16"/>
          <w:szCs w:val="16"/>
          <w:u w:val="single"/>
        </w:rPr>
        <w:t xml:space="preserve"> </w:t>
      </w:r>
      <w:r>
        <w:rPr>
          <w:rFonts w:ascii="Times New Roman" w:hAnsi="Times New Roman" w:cs="Times New Roman"/>
          <w:position w:val="9"/>
          <w:sz w:val="16"/>
          <w:szCs w:val="16"/>
          <w:u w:val="single"/>
        </w:rPr>
        <w:tab/>
      </w:r>
    </w:p>
    <w:p w:rsidR="002C5025" w:rsidRDefault="00FB027C">
      <w:pPr>
        <w:pStyle w:val="BodyText"/>
        <w:tabs>
          <w:tab w:val="left" w:pos="5166"/>
          <w:tab w:val="left" w:pos="7753"/>
        </w:tabs>
        <w:kinsoku w:val="0"/>
        <w:overflowPunct w:val="0"/>
        <w:spacing w:line="233" w:lineRule="exact"/>
        <w:ind w:left="577"/>
        <w:rPr>
          <w:rFonts w:ascii="Times New Roman" w:hAnsi="Times New Roman" w:cs="Times New Roman"/>
          <w:w w:val="85"/>
          <w:position w:val="9"/>
          <w:sz w:val="16"/>
          <w:szCs w:val="16"/>
        </w:rPr>
      </w:pPr>
      <w:r>
        <w:rPr>
          <w:noProof/>
        </w:rPr>
        <mc:AlternateContent>
          <mc:Choice Requires="wps">
            <w:drawing>
              <wp:anchor distT="0" distB="0" distL="114300" distR="114300" simplePos="0" relativeHeight="251693568" behindDoc="1" locked="0" layoutInCell="0" allowOverlap="1">
                <wp:simplePos x="0" y="0"/>
                <wp:positionH relativeFrom="page">
                  <wp:posOffset>1939925</wp:posOffset>
                </wp:positionH>
                <wp:positionV relativeFrom="paragraph">
                  <wp:posOffset>100965</wp:posOffset>
                </wp:positionV>
                <wp:extent cx="952500" cy="106680"/>
                <wp:effectExtent l="0" t="0" r="0" b="0"/>
                <wp:wrapNone/>
                <wp:docPr id="432" name="Text Box 5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pStyle w:val="BodyText"/>
                              <w:tabs>
                                <w:tab w:val="left" w:pos="731"/>
                              </w:tabs>
                              <w:kinsoku w:val="0"/>
                              <w:overflowPunct w:val="0"/>
                              <w:spacing w:line="168" w:lineRule="exact"/>
                              <w:rPr>
                                <w:rFonts w:ascii="Times New Roman" w:hAnsi="Times New Roman" w:cs="Times New Roman"/>
                                <w:w w:val="80"/>
                                <w:position w:val="1"/>
                                <w:sz w:val="16"/>
                                <w:szCs w:val="16"/>
                              </w:rPr>
                            </w:pPr>
                            <w:r>
                              <w:rPr>
                                <w:rFonts w:ascii="Arial" w:hAnsi="Arial" w:cs="Arial"/>
                                <w:w w:val="90"/>
                                <w:sz w:val="15"/>
                                <w:szCs w:val="15"/>
                              </w:rPr>
                              <w:t>Boston:</w:t>
                            </w:r>
                            <w:r>
                              <w:rPr>
                                <w:rFonts w:ascii="Arial" w:hAnsi="Arial" w:cs="Arial"/>
                                <w:w w:val="90"/>
                                <w:sz w:val="15"/>
                                <w:szCs w:val="15"/>
                              </w:rPr>
                              <w:tab/>
                            </w:r>
                            <w:r>
                              <w:rPr>
                                <w:rFonts w:ascii="Times New Roman" w:hAnsi="Times New Roman" w:cs="Times New Roman"/>
                                <w:w w:val="80"/>
                                <w:position w:val="1"/>
                                <w:sz w:val="16"/>
                                <w:szCs w:val="16"/>
                              </w:rPr>
                              <w:t>617-732-8753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3" o:spid="_x0000_s1190" type="#_x0000_t202" style="position:absolute;left:0;text-align:left;margin-left:152.75pt;margin-top:7.95pt;width:75pt;height:8.4pt;z-index:-251622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nlfswIAALQ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" o:allowincell="f" filled="f" stroked="f">
                <v:textbox inset="0,0,0,0">
                  <w:txbxContent>
                    <w:p w:rsidR="007B2B7B" w:rsidRDefault="007B2B7B">
                      <w:pPr>
                        <w:pStyle w:val="BodyText"/>
                        <w:tabs>
                          <w:tab w:val="left" w:pos="731"/>
                        </w:tabs>
                        <w:kinsoku w:val="0"/>
                        <w:overflowPunct w:val="0"/>
                        <w:spacing w:line="168" w:lineRule="exact"/>
                        <w:rPr>
                          <w:rFonts w:ascii="Times New Roman" w:hAnsi="Times New Roman" w:cs="Times New Roman"/>
                          <w:w w:val="80"/>
                          <w:position w:val="1"/>
                          <w:sz w:val="16"/>
                          <w:szCs w:val="16"/>
                        </w:rPr>
                      </w:pPr>
                      <w:r>
                        <w:rPr>
                          <w:rFonts w:ascii="Arial" w:hAnsi="Arial" w:cs="Arial"/>
                          <w:w w:val="90"/>
                          <w:sz w:val="15"/>
                          <w:szCs w:val="15"/>
                        </w:rPr>
                        <w:t>Boston:</w:t>
                      </w:r>
                      <w:r>
                        <w:rPr>
                          <w:rFonts w:ascii="Arial" w:hAnsi="Arial" w:cs="Arial"/>
                          <w:w w:val="90"/>
                          <w:sz w:val="15"/>
                          <w:szCs w:val="15"/>
                        </w:rPr>
                        <w:tab/>
                      </w:r>
                      <w:r>
                        <w:rPr>
                          <w:rFonts w:ascii="Times New Roman" w:hAnsi="Times New Roman" w:cs="Times New Roman"/>
                          <w:w w:val="80"/>
                          <w:position w:val="1"/>
                          <w:sz w:val="16"/>
                          <w:szCs w:val="16"/>
                        </w:rPr>
                        <w:t>617-732-8753</w:t>
                      </w:r>
                    </w:p>
                  </w:txbxContent>
                </v:textbox>
                <w10:wrap anchorx="page"/>
              </v:shape>
            </w:pict>
          </mc:Fallback>
        </mc:AlternateContent>
      </w:r>
      <w:r w:rsidR="002C5025">
        <w:rPr>
          <w:rFonts w:ascii="Times New Roman" w:hAnsi="Times New Roman" w:cs="Times New Roman"/>
          <w:position w:val="9"/>
          <w:sz w:val="16"/>
          <w:szCs w:val="16"/>
        </w:rPr>
        <w:t>*</w:t>
      </w:r>
      <w:r w:rsidR="002C5025">
        <w:rPr>
          <w:rFonts w:ascii="Times New Roman" w:hAnsi="Times New Roman" w:cs="Times New Roman"/>
          <w:spacing w:val="-14"/>
          <w:position w:val="9"/>
          <w:sz w:val="16"/>
          <w:szCs w:val="16"/>
        </w:rPr>
        <w:t xml:space="preserve"> </w:t>
      </w:r>
      <w:r w:rsidR="002C5025">
        <w:rPr>
          <w:rFonts w:ascii="Arial" w:hAnsi="Arial" w:cs="Arial"/>
          <w:sz w:val="15"/>
          <w:szCs w:val="15"/>
        </w:rPr>
        <w:t>Cambridge:</w:t>
      </w:r>
      <w:r w:rsidR="002C5025">
        <w:rPr>
          <w:rFonts w:ascii="Arial" w:hAnsi="Arial" w:cs="Arial"/>
          <w:spacing w:val="-35"/>
          <w:sz w:val="15"/>
          <w:szCs w:val="15"/>
        </w:rPr>
        <w:t xml:space="preserve"> </w:t>
      </w:r>
      <w:r w:rsidR="002C5025">
        <w:rPr>
          <w:rFonts w:ascii="Arial" w:hAnsi="Arial" w:cs="Arial"/>
          <w:sz w:val="15"/>
          <w:szCs w:val="15"/>
        </w:rPr>
        <w:t>SOQ.841-8371&lt;</w:t>
      </w:r>
      <w:proofErr w:type="spellStart"/>
      <w:r w:rsidR="002C5025">
        <w:rPr>
          <w:rFonts w:ascii="Arial" w:hAnsi="Arial" w:cs="Arial"/>
          <w:sz w:val="15"/>
          <w:szCs w:val="15"/>
        </w:rPr>
        <w:t>ll</w:t>
      </w:r>
      <w:proofErr w:type="spellEnd"/>
      <w:r w:rsidR="002C5025">
        <w:rPr>
          <w:rFonts w:ascii="Arial" w:hAnsi="Arial" w:cs="Arial"/>
          <w:spacing w:val="-3"/>
          <w:sz w:val="15"/>
          <w:szCs w:val="15"/>
        </w:rPr>
        <w:t xml:space="preserve"> </w:t>
      </w:r>
      <w:r w:rsidR="002C5025">
        <w:rPr>
          <w:rFonts w:ascii="Times New Roman" w:hAnsi="Times New Roman" w:cs="Times New Roman"/>
          <w:position w:val="11"/>
          <w:sz w:val="16"/>
          <w:szCs w:val="16"/>
        </w:rPr>
        <w:t>®</w:t>
      </w:r>
      <w:r w:rsidR="002C5025">
        <w:rPr>
          <w:rFonts w:ascii="Times New Roman" w:hAnsi="Times New Roman" w:cs="Times New Roman"/>
          <w:position w:val="11"/>
          <w:sz w:val="16"/>
          <w:szCs w:val="16"/>
        </w:rPr>
        <w:tab/>
      </w:r>
      <w:r w:rsidR="002C5025">
        <w:rPr>
          <w:rFonts w:ascii="Arial" w:hAnsi="Arial" w:cs="Arial"/>
          <w:w w:val="95"/>
          <w:position w:val="5"/>
          <w:sz w:val="15"/>
          <w:szCs w:val="15"/>
        </w:rPr>
        <w:t>Waltham:</w:t>
      </w:r>
      <w:r w:rsidR="002C5025">
        <w:rPr>
          <w:rFonts w:ascii="Arial" w:hAnsi="Arial" w:cs="Arial"/>
          <w:spacing w:val="-4"/>
          <w:w w:val="95"/>
          <w:position w:val="5"/>
          <w:sz w:val="15"/>
          <w:szCs w:val="15"/>
        </w:rPr>
        <w:t xml:space="preserve"> </w:t>
      </w:r>
      <w:r w:rsidR="002C5025">
        <w:rPr>
          <w:rFonts w:ascii="Times New Roman" w:hAnsi="Times New Roman" w:cs="Times New Roman"/>
          <w:w w:val="95"/>
          <w:position w:val="5"/>
          <w:sz w:val="16"/>
          <w:szCs w:val="16"/>
        </w:rPr>
        <w:t>781-647-5327</w:t>
      </w:r>
      <w:r w:rsidR="002C5025">
        <w:rPr>
          <w:rFonts w:ascii="Times New Roman" w:hAnsi="Times New Roman" w:cs="Times New Roman"/>
          <w:w w:val="95"/>
          <w:position w:val="5"/>
          <w:sz w:val="16"/>
          <w:szCs w:val="16"/>
        </w:rPr>
        <w:tab/>
      </w:r>
      <w:r w:rsidR="002C5025">
        <w:rPr>
          <w:rFonts w:ascii="Times New Roman" w:hAnsi="Times New Roman" w:cs="Times New Roman"/>
          <w:w w:val="85"/>
          <w:position w:val="10"/>
          <w:sz w:val="16"/>
          <w:szCs w:val="16"/>
        </w:rPr>
        <w:t xml:space="preserve">Lowell: </w:t>
      </w:r>
      <w:r w:rsidR="002C5025">
        <w:rPr>
          <w:rFonts w:ascii="Times New Roman" w:hAnsi="Times New Roman" w:cs="Times New Roman"/>
          <w:spacing w:val="31"/>
          <w:w w:val="85"/>
          <w:position w:val="10"/>
          <w:sz w:val="16"/>
          <w:szCs w:val="16"/>
        </w:rPr>
        <w:t xml:space="preserve"> </w:t>
      </w:r>
      <w:r w:rsidR="002C5025">
        <w:rPr>
          <w:rFonts w:ascii="Times New Roman" w:hAnsi="Times New Roman" w:cs="Times New Roman"/>
          <w:w w:val="85"/>
          <w:position w:val="9"/>
          <w:sz w:val="16"/>
          <w:szCs w:val="16"/>
        </w:rPr>
        <w:t>978-459-0551</w:t>
      </w:r>
    </w:p>
    <w:p w:rsidR="002C5025" w:rsidRDefault="002C5025">
      <w:pPr>
        <w:pStyle w:val="BodyText"/>
        <w:tabs>
          <w:tab w:val="left" w:pos="2915"/>
          <w:tab w:val="left" w:pos="4777"/>
          <w:tab w:val="left" w:pos="7475"/>
        </w:tabs>
        <w:kinsoku w:val="0"/>
        <w:overflowPunct w:val="0"/>
        <w:spacing w:line="204" w:lineRule="exact"/>
        <w:ind w:left="577"/>
        <w:rPr>
          <w:rFonts w:ascii="Arial" w:hAnsi="Arial" w:cs="Arial"/>
          <w:position w:val="1"/>
          <w:sz w:val="15"/>
          <w:szCs w:val="15"/>
        </w:rPr>
      </w:pPr>
      <w:r>
        <w:rPr>
          <w:rFonts w:ascii="Times New Roman" w:hAnsi="Times New Roman" w:cs="Times New Roman"/>
          <w:position w:val="-3"/>
          <w:sz w:val="16"/>
          <w:szCs w:val="16"/>
        </w:rPr>
        <w:t>®</w:t>
      </w:r>
      <w:r>
        <w:rPr>
          <w:rFonts w:ascii="Times New Roman" w:hAnsi="Times New Roman" w:cs="Times New Roman"/>
          <w:spacing w:val="24"/>
          <w:position w:val="-3"/>
          <w:sz w:val="16"/>
          <w:szCs w:val="16"/>
        </w:rPr>
        <w:t xml:space="preserve"> </w:t>
      </w:r>
      <w:r>
        <w:rPr>
          <w:rFonts w:ascii="Arial" w:hAnsi="Arial" w:cs="Arial"/>
          <w:position w:val="-2"/>
          <w:sz w:val="15"/>
          <w:szCs w:val="15"/>
        </w:rPr>
        <w:t>Casa</w:t>
      </w:r>
      <w:r>
        <w:rPr>
          <w:rFonts w:ascii="Arial" w:hAnsi="Arial" w:cs="Arial"/>
          <w:spacing w:val="-25"/>
          <w:position w:val="-2"/>
          <w:sz w:val="15"/>
          <w:szCs w:val="15"/>
        </w:rPr>
        <w:t xml:space="preserve"> </w:t>
      </w:r>
      <w:r>
        <w:rPr>
          <w:rFonts w:ascii="Arial" w:hAnsi="Arial" w:cs="Arial"/>
          <w:position w:val="-2"/>
          <w:sz w:val="15"/>
          <w:szCs w:val="15"/>
        </w:rPr>
        <w:t>Myrna</w:t>
      </w:r>
      <w:r>
        <w:rPr>
          <w:rFonts w:ascii="Arial" w:hAnsi="Arial" w:cs="Arial"/>
          <w:position w:val="-2"/>
          <w:sz w:val="15"/>
          <w:szCs w:val="15"/>
        </w:rPr>
        <w:tab/>
      </w:r>
      <w:r>
        <w:rPr>
          <w:rFonts w:ascii="Arial" w:hAnsi="Arial" w:cs="Arial"/>
          <w:w w:val="95"/>
          <w:sz w:val="15"/>
          <w:szCs w:val="15"/>
        </w:rPr>
        <w:t>Portal</w:t>
      </w:r>
      <w:r>
        <w:rPr>
          <w:rFonts w:ascii="Arial" w:hAnsi="Arial" w:cs="Arial"/>
          <w:spacing w:val="-32"/>
          <w:w w:val="95"/>
          <w:sz w:val="15"/>
          <w:szCs w:val="15"/>
        </w:rPr>
        <w:t xml:space="preserve"> </w:t>
      </w:r>
      <w:r>
        <w:rPr>
          <w:rFonts w:ascii="Times New Roman" w:hAnsi="Times New Roman" w:cs="Times New Roman"/>
          <w:w w:val="95"/>
          <w:sz w:val="17"/>
          <w:szCs w:val="17"/>
        </w:rPr>
        <w:t>to</w:t>
      </w:r>
      <w:r>
        <w:rPr>
          <w:rFonts w:ascii="Times New Roman" w:hAnsi="Times New Roman" w:cs="Times New Roman"/>
          <w:spacing w:val="-28"/>
          <w:w w:val="95"/>
          <w:sz w:val="17"/>
          <w:szCs w:val="17"/>
        </w:rPr>
        <w:t xml:space="preserve"> </w:t>
      </w:r>
      <w:r>
        <w:rPr>
          <w:rFonts w:ascii="Arial" w:hAnsi="Arial" w:cs="Arial"/>
          <w:w w:val="95"/>
          <w:sz w:val="15"/>
          <w:szCs w:val="15"/>
        </w:rPr>
        <w:t>Hope</w:t>
      </w:r>
      <w:r>
        <w:rPr>
          <w:rFonts w:ascii="Arial" w:hAnsi="Arial" w:cs="Arial"/>
          <w:w w:val="95"/>
          <w:sz w:val="15"/>
          <w:szCs w:val="15"/>
        </w:rPr>
        <w:tab/>
      </w:r>
      <w:r>
        <w:rPr>
          <w:rFonts w:ascii="Times New Roman" w:hAnsi="Times New Roman" w:cs="Times New Roman"/>
          <w:position w:val="1"/>
          <w:sz w:val="16"/>
          <w:szCs w:val="16"/>
        </w:rPr>
        <w:t xml:space="preserve">®* </w:t>
      </w:r>
      <w:r>
        <w:rPr>
          <w:rFonts w:ascii="Arial" w:hAnsi="Arial" w:cs="Arial"/>
          <w:position w:val="5"/>
          <w:sz w:val="15"/>
          <w:szCs w:val="15"/>
        </w:rPr>
        <w:t>New</w:t>
      </w:r>
      <w:r>
        <w:rPr>
          <w:rFonts w:ascii="Arial" w:hAnsi="Arial" w:cs="Arial"/>
          <w:spacing w:val="-12"/>
          <w:position w:val="5"/>
          <w:sz w:val="15"/>
          <w:szCs w:val="15"/>
        </w:rPr>
        <w:t xml:space="preserve"> </w:t>
      </w:r>
      <w:r>
        <w:rPr>
          <w:rFonts w:ascii="Times New Roman" w:hAnsi="Times New Roman" w:cs="Times New Roman"/>
          <w:position w:val="5"/>
          <w:sz w:val="18"/>
          <w:szCs w:val="18"/>
        </w:rPr>
        <w:t>Hope,</w:t>
      </w:r>
      <w:r>
        <w:rPr>
          <w:rFonts w:ascii="Times New Roman" w:hAnsi="Times New Roman" w:cs="Times New Roman"/>
          <w:spacing w:val="-29"/>
          <w:position w:val="5"/>
          <w:sz w:val="18"/>
          <w:szCs w:val="18"/>
        </w:rPr>
        <w:t xml:space="preserve"> </w:t>
      </w:r>
      <w:r>
        <w:rPr>
          <w:rFonts w:ascii="Times New Roman" w:hAnsi="Times New Roman" w:cs="Times New Roman"/>
          <w:position w:val="5"/>
          <w:sz w:val="18"/>
          <w:szCs w:val="18"/>
        </w:rPr>
        <w:t>Inc.</w:t>
      </w:r>
      <w:r>
        <w:rPr>
          <w:rFonts w:ascii="Times New Roman" w:hAnsi="Times New Roman" w:cs="Times New Roman"/>
          <w:position w:val="5"/>
          <w:sz w:val="18"/>
          <w:szCs w:val="18"/>
        </w:rPr>
        <w:tab/>
      </w:r>
      <w:r>
        <w:rPr>
          <w:rFonts w:ascii="Times New Roman" w:hAnsi="Times New Roman" w:cs="Times New Roman"/>
          <w:sz w:val="16"/>
          <w:szCs w:val="16"/>
        </w:rPr>
        <w:t>®</w:t>
      </w:r>
      <w:r>
        <w:rPr>
          <w:rFonts w:ascii="Times New Roman" w:hAnsi="Times New Roman" w:cs="Times New Roman"/>
          <w:spacing w:val="2"/>
          <w:sz w:val="16"/>
          <w:szCs w:val="16"/>
        </w:rPr>
        <w:t xml:space="preserve"> </w:t>
      </w:r>
      <w:r>
        <w:rPr>
          <w:rFonts w:ascii="Arial" w:hAnsi="Arial" w:cs="Arial"/>
          <w:position w:val="1"/>
          <w:sz w:val="15"/>
          <w:szCs w:val="15"/>
        </w:rPr>
        <w:t>HAWC</w:t>
      </w:r>
      <w:r>
        <w:rPr>
          <w:rFonts w:ascii="Arial" w:hAnsi="Arial" w:cs="Arial"/>
          <w:spacing w:val="-35"/>
          <w:position w:val="1"/>
          <w:sz w:val="15"/>
          <w:szCs w:val="15"/>
        </w:rPr>
        <w:t xml:space="preserve"> </w:t>
      </w:r>
      <w:r>
        <w:rPr>
          <w:rFonts w:ascii="Arial" w:hAnsi="Arial" w:cs="Arial"/>
          <w:position w:val="1"/>
          <w:sz w:val="15"/>
          <w:szCs w:val="15"/>
        </w:rPr>
        <w:t>-</w:t>
      </w:r>
      <w:r>
        <w:rPr>
          <w:rFonts w:ascii="Arial" w:hAnsi="Arial" w:cs="Arial"/>
          <w:spacing w:val="-28"/>
          <w:position w:val="1"/>
          <w:sz w:val="15"/>
          <w:szCs w:val="15"/>
        </w:rPr>
        <w:t xml:space="preserve"> </w:t>
      </w:r>
      <w:r>
        <w:rPr>
          <w:rFonts w:ascii="Arial" w:hAnsi="Arial" w:cs="Arial"/>
          <w:position w:val="1"/>
          <w:sz w:val="15"/>
          <w:szCs w:val="15"/>
        </w:rPr>
        <w:t>Healing</w:t>
      </w:r>
      <w:r>
        <w:rPr>
          <w:rFonts w:ascii="Arial" w:hAnsi="Arial" w:cs="Arial"/>
          <w:spacing w:val="-36"/>
          <w:position w:val="1"/>
          <w:sz w:val="15"/>
          <w:szCs w:val="15"/>
        </w:rPr>
        <w:t xml:space="preserve"> </w:t>
      </w:r>
      <w:r>
        <w:rPr>
          <w:rFonts w:ascii="Arial" w:hAnsi="Arial" w:cs="Arial"/>
          <w:position w:val="1"/>
          <w:sz w:val="15"/>
          <w:szCs w:val="15"/>
        </w:rPr>
        <w:t>Abuse</w:t>
      </w:r>
      <w:r>
        <w:rPr>
          <w:rFonts w:ascii="Arial" w:hAnsi="Arial" w:cs="Arial"/>
          <w:spacing w:val="-34"/>
          <w:position w:val="1"/>
          <w:sz w:val="15"/>
          <w:szCs w:val="15"/>
        </w:rPr>
        <w:t xml:space="preserve"> </w:t>
      </w:r>
      <w:r>
        <w:rPr>
          <w:rFonts w:ascii="Arial" w:hAnsi="Arial" w:cs="Arial"/>
          <w:position w:val="1"/>
          <w:sz w:val="15"/>
          <w:szCs w:val="15"/>
        </w:rPr>
        <w:t>Working</w:t>
      </w:r>
    </w:p>
    <w:p w:rsidR="002C5025" w:rsidRDefault="002C5025">
      <w:pPr>
        <w:pStyle w:val="BodyText"/>
        <w:tabs>
          <w:tab w:val="left" w:pos="5171"/>
          <w:tab w:val="left" w:pos="7458"/>
        </w:tabs>
        <w:kinsoku w:val="0"/>
        <w:overflowPunct w:val="0"/>
        <w:spacing w:line="153" w:lineRule="exact"/>
        <w:ind w:left="2641"/>
        <w:rPr>
          <w:rFonts w:ascii="Arial" w:hAnsi="Arial" w:cs="Arial"/>
          <w:position w:val="8"/>
          <w:sz w:val="15"/>
          <w:szCs w:val="15"/>
        </w:rPr>
      </w:pPr>
      <w:r>
        <w:rPr>
          <w:rFonts w:ascii="Times New Roman" w:hAnsi="Times New Roman" w:cs="Times New Roman"/>
          <w:w w:val="95"/>
          <w:position w:val="9"/>
          <w:sz w:val="16"/>
          <w:szCs w:val="16"/>
        </w:rPr>
        <w:t>®</w:t>
      </w:r>
      <w:r>
        <w:rPr>
          <w:rFonts w:ascii="Times New Roman" w:hAnsi="Times New Roman" w:cs="Times New Roman"/>
          <w:spacing w:val="15"/>
          <w:w w:val="95"/>
          <w:position w:val="9"/>
          <w:sz w:val="16"/>
          <w:szCs w:val="16"/>
        </w:rPr>
        <w:t xml:space="preserve"> </w:t>
      </w:r>
      <w:r>
        <w:rPr>
          <w:rFonts w:ascii="Times New Roman" w:hAnsi="Times New Roman" w:cs="Times New Roman"/>
          <w:w w:val="95"/>
          <w:sz w:val="16"/>
          <w:szCs w:val="16"/>
        </w:rPr>
        <w:t>Salisbury:</w:t>
      </w:r>
      <w:r>
        <w:rPr>
          <w:rFonts w:ascii="Times New Roman" w:hAnsi="Times New Roman" w:cs="Times New Roman"/>
          <w:spacing w:val="-28"/>
          <w:w w:val="95"/>
          <w:sz w:val="16"/>
          <w:szCs w:val="16"/>
        </w:rPr>
        <w:t xml:space="preserve"> </w:t>
      </w:r>
      <w:r>
        <w:rPr>
          <w:rFonts w:ascii="Times New Roman" w:hAnsi="Times New Roman" w:cs="Times New Roman"/>
          <w:w w:val="95"/>
          <w:sz w:val="16"/>
          <w:szCs w:val="16"/>
        </w:rPr>
        <w:t>781-306-6678</w:t>
      </w:r>
      <w:r>
        <w:rPr>
          <w:rFonts w:ascii="Times New Roman" w:hAnsi="Times New Roman" w:cs="Times New Roman"/>
          <w:w w:val="95"/>
          <w:sz w:val="16"/>
          <w:szCs w:val="16"/>
        </w:rPr>
        <w:tab/>
      </w:r>
      <w:r>
        <w:rPr>
          <w:rFonts w:ascii="Arial" w:hAnsi="Arial" w:cs="Arial"/>
          <w:w w:val="90"/>
          <w:position w:val="4"/>
          <w:sz w:val="15"/>
          <w:szCs w:val="15"/>
        </w:rPr>
        <w:t>South</w:t>
      </w:r>
      <w:r>
        <w:rPr>
          <w:rFonts w:ascii="Arial" w:hAnsi="Arial" w:cs="Arial"/>
          <w:spacing w:val="-28"/>
          <w:w w:val="90"/>
          <w:position w:val="4"/>
          <w:sz w:val="15"/>
          <w:szCs w:val="15"/>
        </w:rPr>
        <w:t xml:space="preserve"> </w:t>
      </w:r>
      <w:r>
        <w:rPr>
          <w:rFonts w:ascii="Arial" w:hAnsi="Arial" w:cs="Arial"/>
          <w:w w:val="90"/>
          <w:position w:val="4"/>
          <w:sz w:val="15"/>
          <w:szCs w:val="15"/>
        </w:rPr>
        <w:t>County</w:t>
      </w:r>
      <w:r>
        <w:rPr>
          <w:rFonts w:ascii="Arial" w:hAnsi="Arial" w:cs="Arial"/>
          <w:spacing w:val="-28"/>
          <w:w w:val="90"/>
          <w:position w:val="4"/>
          <w:sz w:val="15"/>
          <w:szCs w:val="15"/>
        </w:rPr>
        <w:t xml:space="preserve"> </w:t>
      </w:r>
      <w:r>
        <w:rPr>
          <w:rFonts w:ascii="Arial" w:hAnsi="Arial" w:cs="Arial"/>
          <w:i/>
          <w:iCs/>
          <w:w w:val="90"/>
          <w:position w:val="4"/>
          <w:sz w:val="17"/>
          <w:szCs w:val="17"/>
        </w:rPr>
        <w:t>I</w:t>
      </w:r>
      <w:r>
        <w:rPr>
          <w:rFonts w:ascii="Arial" w:hAnsi="Arial" w:cs="Arial"/>
          <w:i/>
          <w:iCs/>
          <w:spacing w:val="-35"/>
          <w:w w:val="90"/>
          <w:position w:val="4"/>
          <w:sz w:val="17"/>
          <w:szCs w:val="17"/>
        </w:rPr>
        <w:t xml:space="preserve"> </w:t>
      </w:r>
      <w:r>
        <w:rPr>
          <w:rFonts w:ascii="Arial" w:hAnsi="Arial" w:cs="Arial"/>
          <w:w w:val="90"/>
          <w:position w:val="4"/>
          <w:sz w:val="15"/>
          <w:szCs w:val="15"/>
        </w:rPr>
        <w:t>Webster.</w:t>
      </w:r>
      <w:r>
        <w:rPr>
          <w:rFonts w:ascii="Arial" w:hAnsi="Arial" w:cs="Arial"/>
          <w:w w:val="90"/>
          <w:position w:val="4"/>
          <w:sz w:val="15"/>
          <w:szCs w:val="15"/>
        </w:rPr>
        <w:tab/>
      </w:r>
      <w:r>
        <w:rPr>
          <w:rFonts w:ascii="Times New Roman" w:hAnsi="Times New Roman" w:cs="Times New Roman"/>
          <w:sz w:val="16"/>
          <w:szCs w:val="16"/>
        </w:rPr>
        <w:t xml:space="preserve">ES </w:t>
      </w:r>
      <w:r>
        <w:rPr>
          <w:rFonts w:ascii="Arial" w:hAnsi="Arial" w:cs="Arial"/>
          <w:position w:val="8"/>
          <w:sz w:val="15"/>
          <w:szCs w:val="15"/>
        </w:rPr>
        <w:t>for</w:t>
      </w:r>
      <w:r>
        <w:rPr>
          <w:rFonts w:ascii="Arial" w:hAnsi="Arial" w:cs="Arial"/>
          <w:spacing w:val="-25"/>
          <w:position w:val="8"/>
          <w:sz w:val="15"/>
          <w:szCs w:val="15"/>
        </w:rPr>
        <w:t xml:space="preserve"> </w:t>
      </w:r>
      <w:r>
        <w:rPr>
          <w:rFonts w:ascii="Arial" w:hAnsi="Arial" w:cs="Arial"/>
          <w:position w:val="8"/>
          <w:sz w:val="15"/>
          <w:szCs w:val="15"/>
        </w:rPr>
        <w:t>Change</w:t>
      </w:r>
    </w:p>
    <w:p w:rsidR="002C5025" w:rsidRDefault="002C5025">
      <w:pPr>
        <w:pStyle w:val="BodyText"/>
        <w:kinsoku w:val="0"/>
        <w:overflowPunct w:val="0"/>
        <w:rPr>
          <w:rFonts w:ascii="Arial" w:hAnsi="Arial" w:cs="Arial"/>
          <w:sz w:val="18"/>
          <w:szCs w:val="18"/>
        </w:rPr>
      </w:pPr>
      <w:r>
        <w:rPr>
          <w:rFonts w:ascii="Times New Roman" w:hAnsi="Times New Roman" w:cs="Times New Roman"/>
          <w:sz w:val="24"/>
          <w:szCs w:val="24"/>
        </w:rPr>
        <w:br w:type="column"/>
      </w:r>
    </w:p>
    <w:p w:rsidR="002C5025" w:rsidRDefault="002C5025">
      <w:pPr>
        <w:pStyle w:val="BodyText"/>
        <w:kinsoku w:val="0"/>
        <w:overflowPunct w:val="0"/>
        <w:rPr>
          <w:rFonts w:ascii="Arial" w:hAnsi="Arial" w:cs="Arial"/>
          <w:sz w:val="18"/>
          <w:szCs w:val="18"/>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line="170" w:lineRule="exact"/>
        <w:ind w:left="577"/>
        <w:rPr>
          <w:rFonts w:ascii="Arial" w:hAnsi="Arial" w:cs="Arial"/>
          <w:color w:val="FFFFFF"/>
          <w:w w:val="299"/>
          <w:sz w:val="18"/>
          <w:szCs w:val="18"/>
        </w:rPr>
      </w:pPr>
      <w:r>
        <w:rPr>
          <w:rFonts w:ascii="Arial" w:hAnsi="Arial" w:cs="Arial"/>
          <w:i/>
          <w:iCs/>
          <w:color w:val="FFFFFF"/>
          <w:spacing w:val="1"/>
          <w:w w:val="101"/>
          <w:sz w:val="9"/>
          <w:szCs w:val="9"/>
        </w:rPr>
        <w:t>:</w:t>
      </w:r>
      <w:r>
        <w:rPr>
          <w:rFonts w:ascii="Arial" w:hAnsi="Arial" w:cs="Arial"/>
          <w:i/>
          <w:iCs/>
          <w:color w:val="FFFFFF"/>
          <w:spacing w:val="-1"/>
          <w:w w:val="101"/>
          <w:sz w:val="9"/>
          <w:szCs w:val="9"/>
        </w:rPr>
        <w:t>=</w:t>
      </w:r>
      <w:r>
        <w:rPr>
          <w:rFonts w:ascii="Arial" w:hAnsi="Arial" w:cs="Arial"/>
          <w:i/>
          <w:iCs/>
          <w:color w:val="FFFFFF"/>
          <w:spacing w:val="5"/>
          <w:w w:val="101"/>
          <w:sz w:val="9"/>
          <w:szCs w:val="9"/>
        </w:rPr>
        <w:t>:</w:t>
      </w:r>
      <w:r>
        <w:rPr>
          <w:rFonts w:ascii="Arial" w:hAnsi="Arial" w:cs="Arial"/>
          <w:color w:val="FFFFFF"/>
          <w:w w:val="441"/>
          <w:sz w:val="9"/>
          <w:szCs w:val="9"/>
        </w:rPr>
        <w:t>-</w:t>
      </w:r>
      <w:r>
        <w:rPr>
          <w:rFonts w:ascii="Arial" w:hAnsi="Arial" w:cs="Arial"/>
          <w:color w:val="FFFFFF"/>
          <w:spacing w:val="-14"/>
          <w:sz w:val="9"/>
          <w:szCs w:val="9"/>
        </w:rPr>
        <w:t xml:space="preserve"> </w:t>
      </w:r>
      <w:r>
        <w:rPr>
          <w:rFonts w:ascii="Arial" w:hAnsi="Arial" w:cs="Arial"/>
          <w:color w:val="FFFFFF"/>
          <w:spacing w:val="-55"/>
          <w:w w:val="269"/>
          <w:sz w:val="18"/>
          <w:szCs w:val="18"/>
        </w:rPr>
        <w:t>l</w:t>
      </w:r>
      <w:r>
        <w:rPr>
          <w:rFonts w:ascii="Arial" w:hAnsi="Arial" w:cs="Arial"/>
          <w:color w:val="FFFFFF"/>
          <w:w w:val="269"/>
          <w:sz w:val="18"/>
          <w:szCs w:val="18"/>
        </w:rPr>
        <w:t>;</w:t>
      </w:r>
      <w:r>
        <w:rPr>
          <w:rFonts w:ascii="Arial" w:hAnsi="Arial" w:cs="Arial"/>
          <w:color w:val="FFFFFF"/>
          <w:sz w:val="18"/>
          <w:szCs w:val="18"/>
        </w:rPr>
        <w:t xml:space="preserve">  </w:t>
      </w:r>
      <w:r>
        <w:rPr>
          <w:rFonts w:ascii="Arial" w:hAnsi="Arial" w:cs="Arial"/>
          <w:color w:val="FFFFFF"/>
          <w:spacing w:val="-24"/>
          <w:sz w:val="18"/>
          <w:szCs w:val="18"/>
        </w:rPr>
        <w:t xml:space="preserve"> </w:t>
      </w:r>
      <w:r>
        <w:rPr>
          <w:rFonts w:ascii="Arial" w:hAnsi="Arial" w:cs="Arial"/>
          <w:color w:val="FFFFFF"/>
          <w:w w:val="80"/>
          <w:sz w:val="18"/>
          <w:szCs w:val="18"/>
        </w:rPr>
        <w:t>.</w:t>
      </w:r>
      <w:r>
        <w:rPr>
          <w:rFonts w:ascii="Arial" w:hAnsi="Arial" w:cs="Arial"/>
          <w:color w:val="FFFFFF"/>
          <w:spacing w:val="-2"/>
          <w:w w:val="80"/>
          <w:sz w:val="18"/>
          <w:szCs w:val="18"/>
        </w:rPr>
        <w:t>:</w:t>
      </w:r>
      <w:r>
        <w:rPr>
          <w:rFonts w:ascii="Arial" w:hAnsi="Arial" w:cs="Arial"/>
          <w:color w:val="FFFFFF"/>
          <w:w w:val="80"/>
          <w:sz w:val="18"/>
          <w:szCs w:val="18"/>
        </w:rPr>
        <w:t>:</w:t>
      </w:r>
      <w:r>
        <w:rPr>
          <w:rFonts w:ascii="Arial" w:hAnsi="Arial" w:cs="Arial"/>
          <w:color w:val="FFFFFF"/>
          <w:sz w:val="18"/>
          <w:szCs w:val="18"/>
        </w:rPr>
        <w:t xml:space="preserve">   </w:t>
      </w:r>
      <w:r>
        <w:rPr>
          <w:rFonts w:ascii="Arial" w:hAnsi="Arial" w:cs="Arial"/>
          <w:color w:val="FFFFFF"/>
          <w:spacing w:val="-8"/>
          <w:sz w:val="18"/>
          <w:szCs w:val="18"/>
        </w:rPr>
        <w:t xml:space="preserve"> </w:t>
      </w:r>
      <w:r>
        <w:rPr>
          <w:rFonts w:ascii="Arial" w:hAnsi="Arial" w:cs="Arial"/>
          <w:i/>
          <w:iCs/>
          <w:color w:val="FFFFFF"/>
          <w:sz w:val="18"/>
          <w:szCs w:val="18"/>
        </w:rPr>
        <w:t xml:space="preserve">:_:_ </w:t>
      </w:r>
      <w:r>
        <w:rPr>
          <w:rFonts w:ascii="Arial" w:hAnsi="Arial" w:cs="Arial"/>
          <w:i/>
          <w:iCs/>
          <w:color w:val="FFFFFF"/>
          <w:spacing w:val="-11"/>
          <w:sz w:val="18"/>
          <w:szCs w:val="18"/>
        </w:rPr>
        <w:t xml:space="preserve"> </w:t>
      </w:r>
      <w:r>
        <w:rPr>
          <w:rFonts w:ascii="Arial" w:hAnsi="Arial" w:cs="Arial"/>
          <w:color w:val="FFFFFF"/>
          <w:sz w:val="18"/>
          <w:szCs w:val="18"/>
        </w:rPr>
        <w:t>-</w:t>
      </w:r>
      <w:r>
        <w:rPr>
          <w:rFonts w:ascii="Arial" w:hAnsi="Arial" w:cs="Arial"/>
          <w:color w:val="FFFFFF"/>
          <w:spacing w:val="-22"/>
          <w:sz w:val="18"/>
          <w:szCs w:val="18"/>
        </w:rPr>
        <w:t xml:space="preserve"> </w:t>
      </w:r>
      <w:r>
        <w:rPr>
          <w:rFonts w:ascii="Arial" w:hAnsi="Arial" w:cs="Arial"/>
          <w:color w:val="FFFFFF"/>
          <w:spacing w:val="25"/>
          <w:w w:val="209"/>
          <w:sz w:val="18"/>
          <w:szCs w:val="18"/>
        </w:rPr>
        <w:t>-</w:t>
      </w:r>
      <w:r>
        <w:rPr>
          <w:rFonts w:ascii="Arial" w:hAnsi="Arial" w:cs="Arial"/>
          <w:color w:val="FFFFFF"/>
          <w:spacing w:val="2"/>
          <w:w w:val="299"/>
          <w:sz w:val="18"/>
          <w:szCs w:val="18"/>
        </w:rPr>
        <w:t>-</w:t>
      </w:r>
      <w:r>
        <w:rPr>
          <w:rFonts w:ascii="Arial" w:hAnsi="Arial" w:cs="Arial"/>
          <w:color w:val="FFFFFF"/>
          <w:spacing w:val="-8"/>
          <w:w w:val="299"/>
          <w:sz w:val="18"/>
          <w:szCs w:val="18"/>
        </w:rPr>
        <w:t>-</w:t>
      </w:r>
      <w:r>
        <w:rPr>
          <w:rFonts w:ascii="Arial" w:hAnsi="Arial" w:cs="Arial"/>
          <w:color w:val="FFFFFF"/>
          <w:w w:val="299"/>
          <w:sz w:val="18"/>
          <w:szCs w:val="18"/>
        </w:rPr>
        <w:t>-</w:t>
      </w:r>
      <w:r>
        <w:rPr>
          <w:rFonts w:ascii="Arial" w:hAnsi="Arial" w:cs="Arial"/>
          <w:color w:val="FFFFFF"/>
          <w:spacing w:val="-31"/>
          <w:w w:val="299"/>
          <w:sz w:val="18"/>
          <w:szCs w:val="18"/>
        </w:rPr>
        <w:t>-</w:t>
      </w:r>
      <w:r>
        <w:rPr>
          <w:rFonts w:ascii="Arial" w:hAnsi="Arial" w:cs="Arial"/>
          <w:color w:val="FFFFFF"/>
          <w:w w:val="299"/>
          <w:sz w:val="18"/>
          <w:szCs w:val="18"/>
        </w:rPr>
        <w:t>-</w:t>
      </w:r>
      <w:r>
        <w:rPr>
          <w:rFonts w:ascii="Arial" w:hAnsi="Arial" w:cs="Arial"/>
          <w:color w:val="FFFFFF"/>
          <w:spacing w:val="-22"/>
          <w:w w:val="299"/>
          <w:sz w:val="18"/>
          <w:szCs w:val="18"/>
        </w:rPr>
        <w:t>-</w:t>
      </w:r>
      <w:r>
        <w:rPr>
          <w:rFonts w:ascii="Arial" w:hAnsi="Arial" w:cs="Arial"/>
          <w:color w:val="FFFFFF"/>
          <w:spacing w:val="-34"/>
          <w:w w:val="299"/>
          <w:sz w:val="18"/>
          <w:szCs w:val="18"/>
        </w:rPr>
        <w:t>-</w:t>
      </w:r>
      <w:r>
        <w:rPr>
          <w:rFonts w:ascii="Arial" w:hAnsi="Arial" w:cs="Arial"/>
          <w:color w:val="FFFFFF"/>
          <w:w w:val="299"/>
          <w:sz w:val="18"/>
          <w:szCs w:val="18"/>
        </w:rPr>
        <w:t>-</w:t>
      </w:r>
    </w:p>
    <w:p w:rsidR="002C5025" w:rsidRDefault="002C5025">
      <w:pPr>
        <w:pStyle w:val="BodyText"/>
        <w:kinsoku w:val="0"/>
        <w:overflowPunct w:val="0"/>
        <w:spacing w:line="170" w:lineRule="exact"/>
        <w:ind w:left="577"/>
        <w:rPr>
          <w:rFonts w:ascii="Arial" w:hAnsi="Arial" w:cs="Arial"/>
          <w:color w:val="FFFFFF"/>
          <w:w w:val="299"/>
          <w:sz w:val="18"/>
          <w:szCs w:val="18"/>
        </w:rPr>
        <w:sectPr w:rsidR="002C5025">
          <w:type w:val="continuous"/>
          <w:pgSz w:w="15840" w:h="12240" w:orient="landscape"/>
          <w:pgMar w:top="720" w:right="220" w:bottom="280" w:left="140" w:header="720" w:footer="720" w:gutter="0"/>
          <w:cols w:num="2" w:space="720" w:equalWidth="0">
            <w:col w:w="9681" w:space="1594"/>
            <w:col w:w="4205"/>
          </w:cols>
          <w:noEndnote/>
        </w:sectPr>
      </w:pPr>
    </w:p>
    <w:p w:rsidR="002C5025" w:rsidRDefault="00FB027C">
      <w:pPr>
        <w:pStyle w:val="BodyText"/>
        <w:tabs>
          <w:tab w:val="left" w:pos="2627"/>
          <w:tab w:val="left" w:pos="4835"/>
          <w:tab w:val="left" w:pos="7753"/>
          <w:tab w:val="left" w:pos="10163"/>
          <w:tab w:val="left" w:pos="10664"/>
          <w:tab w:val="left" w:pos="12771"/>
        </w:tabs>
        <w:kinsoku w:val="0"/>
        <w:overflowPunct w:val="0"/>
        <w:spacing w:line="291" w:lineRule="exact"/>
        <w:ind w:left="555"/>
        <w:rPr>
          <w:rFonts w:ascii="Arial" w:hAnsi="Arial" w:cs="Arial"/>
          <w:spacing w:val="-7"/>
          <w:w w:val="95"/>
          <w:sz w:val="16"/>
          <w:szCs w:val="16"/>
        </w:rPr>
      </w:pPr>
      <w:r>
        <w:rPr>
          <w:noProof/>
        </w:rPr>
        <w:lastRenderedPageBreak/>
        <mc:AlternateContent>
          <mc:Choice Requires="wps">
            <w:drawing>
              <wp:anchor distT="0" distB="0" distL="114300" distR="114300" simplePos="0" relativeHeight="251694592" behindDoc="1" locked="0" layoutInCell="0" allowOverlap="1">
                <wp:simplePos x="0" y="0"/>
                <wp:positionH relativeFrom="page">
                  <wp:posOffset>6428740</wp:posOffset>
                </wp:positionH>
                <wp:positionV relativeFrom="paragraph">
                  <wp:posOffset>-111760</wp:posOffset>
                </wp:positionV>
                <wp:extent cx="1031240" cy="149860"/>
                <wp:effectExtent l="0" t="0" r="0" b="0"/>
                <wp:wrapNone/>
                <wp:docPr id="431" name="Text Box 5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240" cy="1498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pStyle w:val="BodyText"/>
                              <w:kinsoku w:val="0"/>
                              <w:overflowPunct w:val="0"/>
                              <w:spacing w:before="16"/>
                              <w:ind w:left="287"/>
                              <w:rPr>
                                <w:rFonts w:ascii="Times New Roman" w:hAnsi="Times New Roman" w:cs="Times New Roman"/>
                                <w:color w:val="FFFFFF"/>
                                <w:sz w:val="18"/>
                                <w:szCs w:val="18"/>
                              </w:rPr>
                            </w:pPr>
                            <w:r>
                              <w:rPr>
                                <w:rFonts w:ascii="Times New Roman" w:hAnsi="Times New Roman" w:cs="Times New Roman"/>
                                <w:color w:val="FFFFFF"/>
                                <w:spacing w:val="-76"/>
                                <w:w w:val="269"/>
                                <w:sz w:val="18"/>
                                <w:szCs w:val="18"/>
                              </w:rPr>
                              <w:t>-</w:t>
                            </w:r>
                            <w:r>
                              <w:rPr>
                                <w:rFonts w:ascii="Times New Roman" w:hAnsi="Times New Roman" w:cs="Times New Roman"/>
                                <w:color w:val="FFFFFF"/>
                                <w:spacing w:val="-71"/>
                                <w:w w:val="269"/>
                                <w:sz w:val="18"/>
                                <w:szCs w:val="18"/>
                              </w:rPr>
                              <w:t>-</w:t>
                            </w:r>
                            <w:r>
                              <w:rPr>
                                <w:rFonts w:ascii="Times New Roman" w:hAnsi="Times New Roman" w:cs="Times New Roman"/>
                                <w:color w:val="FFFFFF"/>
                                <w:spacing w:val="-30"/>
                                <w:w w:val="269"/>
                                <w:sz w:val="18"/>
                                <w:szCs w:val="18"/>
                              </w:rPr>
                              <w:t>-</w:t>
                            </w:r>
                            <w:r>
                              <w:rPr>
                                <w:rFonts w:ascii="Times New Roman" w:hAnsi="Times New Roman" w:cs="Times New Roman"/>
                                <w:color w:val="FFFFFF"/>
                                <w:spacing w:val="-1"/>
                                <w:w w:val="269"/>
                                <w:sz w:val="18"/>
                                <w:szCs w:val="18"/>
                              </w:rPr>
                              <w:t>-</w:t>
                            </w:r>
                            <w:r>
                              <w:rPr>
                                <w:rFonts w:ascii="Times New Roman" w:hAnsi="Times New Roman" w:cs="Times New Roman"/>
                                <w:color w:val="FFFFFF"/>
                                <w:w w:val="269"/>
                                <w:sz w:val="18"/>
                                <w:szCs w:val="18"/>
                              </w:rPr>
                              <w:t>-</w:t>
                            </w:r>
                            <w:r>
                              <w:rPr>
                                <w:rFonts w:ascii="Times New Roman" w:hAnsi="Times New Roman" w:cs="Times New Roman"/>
                                <w:color w:val="FFFFFF"/>
                                <w:sz w:val="18"/>
                                <w:szCs w:val="18"/>
                              </w:rPr>
                              <w:t xml:space="preserve"> </w:t>
                            </w:r>
                            <w:r>
                              <w:rPr>
                                <w:rFonts w:ascii="Times New Roman" w:hAnsi="Times New Roman" w:cs="Times New Roman"/>
                                <w:color w:val="FFFFFF"/>
                                <w:spacing w:val="9"/>
                                <w:sz w:val="18"/>
                                <w:szCs w:val="18"/>
                              </w:rPr>
                              <w:t xml:space="preserve"> </w:t>
                            </w:r>
                            <w:r>
                              <w:rPr>
                                <w:rFonts w:ascii="Times New Roman" w:hAnsi="Times New Roman" w:cs="Times New Roman"/>
                                <w:color w:val="FFFFFF"/>
                                <w:spacing w:val="1"/>
                                <w:w w:val="269"/>
                                <w:sz w:val="18"/>
                                <w:szCs w:val="18"/>
                              </w:rPr>
                              <w:t>-</w:t>
                            </w:r>
                            <w:r>
                              <w:rPr>
                                <w:rFonts w:ascii="Times New Roman" w:hAnsi="Times New Roman" w:cs="Times New Roman"/>
                                <w:color w:val="FFFFFF"/>
                                <w:w w:val="269"/>
                                <w:sz w:val="18"/>
                                <w:szCs w:val="18"/>
                              </w:rPr>
                              <w:t>-</w:t>
                            </w:r>
                            <w:r>
                              <w:rPr>
                                <w:rFonts w:ascii="Times New Roman" w:hAnsi="Times New Roman" w:cs="Times New Roman"/>
                                <w:color w:val="FFFFFF"/>
                                <w:sz w:val="18"/>
                                <w:szCs w:val="18"/>
                              </w:rPr>
                              <w:t xml:space="preserve"> </w:t>
                            </w:r>
                            <w:r>
                              <w:rPr>
                                <w:rFonts w:ascii="Times New Roman" w:hAnsi="Times New Roman" w:cs="Times New Roman"/>
                                <w:color w:val="FFFFFF"/>
                                <w:spacing w:val="16"/>
                                <w:sz w:val="18"/>
                                <w:szCs w:val="18"/>
                              </w:rPr>
                              <w:t xml:space="preserve"> </w:t>
                            </w:r>
                            <w:r>
                              <w:rPr>
                                <w:rFonts w:ascii="Times New Roman" w:hAnsi="Times New Roman" w:cs="Times New Roman"/>
                                <w:color w:val="FFFFFF"/>
                                <w:sz w:val="18"/>
                                <w:szCs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4" o:spid="_x0000_s1191" type="#_x0000_t202" style="position:absolute;left:0;text-align:left;margin-left:506.2pt;margin-top:-8.8pt;width:81.2pt;height:11.8pt;z-index:-251621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" o:allowincell="f" fillcolor="black" stroked="f">
                <v:textbox inset="0,0,0,0">
                  <w:txbxContent>
                    <w:p w:rsidR="007B2B7B" w:rsidRDefault="007B2B7B">
                      <w:pPr>
                        <w:pStyle w:val="BodyText"/>
                        <w:kinsoku w:val="0"/>
                        <w:overflowPunct w:val="0"/>
                        <w:spacing w:before="16"/>
                        <w:ind w:left="287"/>
                        <w:rPr>
                          <w:rFonts w:ascii="Times New Roman" w:hAnsi="Times New Roman" w:cs="Times New Roman"/>
                          <w:color w:val="FFFFFF"/>
                          <w:sz w:val="18"/>
                          <w:szCs w:val="18"/>
                        </w:rPr>
                      </w:pPr>
                      <w:r>
                        <w:rPr>
                          <w:rFonts w:ascii="Times New Roman" w:hAnsi="Times New Roman" w:cs="Times New Roman"/>
                          <w:color w:val="FFFFFF"/>
                          <w:spacing w:val="-76"/>
                          <w:w w:val="269"/>
                          <w:sz w:val="18"/>
                          <w:szCs w:val="18"/>
                        </w:rPr>
                        <w:t>-</w:t>
                      </w:r>
                      <w:r>
                        <w:rPr>
                          <w:rFonts w:ascii="Times New Roman" w:hAnsi="Times New Roman" w:cs="Times New Roman"/>
                          <w:color w:val="FFFFFF"/>
                          <w:spacing w:val="-71"/>
                          <w:w w:val="269"/>
                          <w:sz w:val="18"/>
                          <w:szCs w:val="18"/>
                        </w:rPr>
                        <w:t>-</w:t>
                      </w:r>
                      <w:r>
                        <w:rPr>
                          <w:rFonts w:ascii="Times New Roman" w:hAnsi="Times New Roman" w:cs="Times New Roman"/>
                          <w:color w:val="FFFFFF"/>
                          <w:spacing w:val="-30"/>
                          <w:w w:val="269"/>
                          <w:sz w:val="18"/>
                          <w:szCs w:val="18"/>
                        </w:rPr>
                        <w:t>-</w:t>
                      </w:r>
                      <w:r>
                        <w:rPr>
                          <w:rFonts w:ascii="Times New Roman" w:hAnsi="Times New Roman" w:cs="Times New Roman"/>
                          <w:color w:val="FFFFFF"/>
                          <w:spacing w:val="-1"/>
                          <w:w w:val="269"/>
                          <w:sz w:val="18"/>
                          <w:szCs w:val="18"/>
                        </w:rPr>
                        <w:t>-</w:t>
                      </w:r>
                      <w:r>
                        <w:rPr>
                          <w:rFonts w:ascii="Times New Roman" w:hAnsi="Times New Roman" w:cs="Times New Roman"/>
                          <w:color w:val="FFFFFF"/>
                          <w:w w:val="269"/>
                          <w:sz w:val="18"/>
                          <w:szCs w:val="18"/>
                        </w:rPr>
                        <w:t>-</w:t>
                      </w:r>
                      <w:r>
                        <w:rPr>
                          <w:rFonts w:ascii="Times New Roman" w:hAnsi="Times New Roman" w:cs="Times New Roman"/>
                          <w:color w:val="FFFFFF"/>
                          <w:sz w:val="18"/>
                          <w:szCs w:val="18"/>
                        </w:rPr>
                        <w:t xml:space="preserve"> </w:t>
                      </w:r>
                      <w:r>
                        <w:rPr>
                          <w:rFonts w:ascii="Times New Roman" w:hAnsi="Times New Roman" w:cs="Times New Roman"/>
                          <w:color w:val="FFFFFF"/>
                          <w:spacing w:val="9"/>
                          <w:sz w:val="18"/>
                          <w:szCs w:val="18"/>
                        </w:rPr>
                        <w:t xml:space="preserve"> </w:t>
                      </w:r>
                      <w:r>
                        <w:rPr>
                          <w:rFonts w:ascii="Times New Roman" w:hAnsi="Times New Roman" w:cs="Times New Roman"/>
                          <w:color w:val="FFFFFF"/>
                          <w:spacing w:val="1"/>
                          <w:w w:val="269"/>
                          <w:sz w:val="18"/>
                          <w:szCs w:val="18"/>
                        </w:rPr>
                        <w:t>-</w:t>
                      </w:r>
                      <w:r>
                        <w:rPr>
                          <w:rFonts w:ascii="Times New Roman" w:hAnsi="Times New Roman" w:cs="Times New Roman"/>
                          <w:color w:val="FFFFFF"/>
                          <w:w w:val="269"/>
                          <w:sz w:val="18"/>
                          <w:szCs w:val="18"/>
                        </w:rPr>
                        <w:t>-</w:t>
                      </w:r>
                      <w:r>
                        <w:rPr>
                          <w:rFonts w:ascii="Times New Roman" w:hAnsi="Times New Roman" w:cs="Times New Roman"/>
                          <w:color w:val="FFFFFF"/>
                          <w:sz w:val="18"/>
                          <w:szCs w:val="18"/>
                        </w:rPr>
                        <w:t xml:space="preserve"> </w:t>
                      </w:r>
                      <w:r>
                        <w:rPr>
                          <w:rFonts w:ascii="Times New Roman" w:hAnsi="Times New Roman" w:cs="Times New Roman"/>
                          <w:color w:val="FFFFFF"/>
                          <w:spacing w:val="16"/>
                          <w:sz w:val="18"/>
                          <w:szCs w:val="18"/>
                        </w:rPr>
                        <w:t xml:space="preserve"> </w:t>
                      </w:r>
                      <w:r>
                        <w:rPr>
                          <w:rFonts w:ascii="Times New Roman" w:hAnsi="Times New Roman" w:cs="Times New Roman"/>
                          <w:color w:val="FFFFFF"/>
                          <w:sz w:val="18"/>
                          <w:szCs w:val="18"/>
                        </w:rPr>
                        <w:t>-</w:t>
                      </w:r>
                    </w:p>
                  </w:txbxContent>
                </v:textbox>
                <w10:wrap anchorx="page"/>
              </v:shape>
            </w:pict>
          </mc:Fallback>
        </mc:AlternateContent>
      </w:r>
      <w:r w:rsidR="002C5025">
        <w:rPr>
          <w:rFonts w:ascii="Times New Roman" w:hAnsi="Times New Roman" w:cs="Times New Roman"/>
          <w:w w:val="95"/>
          <w:position w:val="8"/>
          <w:sz w:val="16"/>
          <w:szCs w:val="16"/>
        </w:rPr>
        <w:t xml:space="preserve">ES </w:t>
      </w:r>
      <w:r w:rsidR="002C5025">
        <w:rPr>
          <w:rFonts w:ascii="Times New Roman" w:hAnsi="Times New Roman" w:cs="Times New Roman"/>
          <w:w w:val="95"/>
          <w:position w:val="11"/>
          <w:sz w:val="16"/>
          <w:szCs w:val="16"/>
        </w:rPr>
        <w:t>Boston:</w:t>
      </w:r>
      <w:r w:rsidR="002C5025">
        <w:rPr>
          <w:rFonts w:ascii="Times New Roman" w:hAnsi="Times New Roman" w:cs="Times New Roman"/>
          <w:spacing w:val="-21"/>
          <w:w w:val="95"/>
          <w:position w:val="11"/>
          <w:sz w:val="16"/>
          <w:szCs w:val="16"/>
        </w:rPr>
        <w:t xml:space="preserve"> </w:t>
      </w:r>
      <w:r w:rsidR="002C5025">
        <w:rPr>
          <w:rFonts w:ascii="Times New Roman" w:hAnsi="Times New Roman" w:cs="Times New Roman"/>
          <w:w w:val="95"/>
          <w:position w:val="11"/>
          <w:sz w:val="16"/>
          <w:szCs w:val="16"/>
        </w:rPr>
        <w:t>877-785-2020</w:t>
      </w:r>
      <w:r w:rsidR="002C5025">
        <w:rPr>
          <w:rFonts w:ascii="Times New Roman" w:hAnsi="Times New Roman" w:cs="Times New Roman"/>
          <w:spacing w:val="-23"/>
          <w:w w:val="95"/>
          <w:position w:val="11"/>
          <w:sz w:val="16"/>
          <w:szCs w:val="16"/>
        </w:rPr>
        <w:t xml:space="preserve"> </w:t>
      </w:r>
      <w:r w:rsidR="002C5025">
        <w:rPr>
          <w:rFonts w:ascii="Arial" w:hAnsi="Arial" w:cs="Arial"/>
          <w:w w:val="95"/>
          <w:position w:val="11"/>
          <w:sz w:val="17"/>
          <w:szCs w:val="17"/>
        </w:rPr>
        <w:t>&lt;</w:t>
      </w:r>
      <w:proofErr w:type="spellStart"/>
      <w:r w:rsidR="002C5025">
        <w:rPr>
          <w:rFonts w:ascii="Arial" w:hAnsi="Arial" w:cs="Arial"/>
          <w:w w:val="95"/>
          <w:position w:val="11"/>
          <w:sz w:val="17"/>
          <w:szCs w:val="17"/>
        </w:rPr>
        <w:t>ll</w:t>
      </w:r>
      <w:proofErr w:type="spellEnd"/>
      <w:r w:rsidR="002C5025">
        <w:rPr>
          <w:rFonts w:ascii="Arial" w:hAnsi="Arial" w:cs="Arial"/>
          <w:w w:val="95"/>
          <w:position w:val="11"/>
          <w:sz w:val="17"/>
          <w:szCs w:val="17"/>
        </w:rPr>
        <w:tab/>
      </w:r>
      <w:r w:rsidR="002C5025">
        <w:rPr>
          <w:rFonts w:ascii="Times New Roman" w:hAnsi="Times New Roman" w:cs="Times New Roman"/>
          <w:position w:val="7"/>
          <w:sz w:val="16"/>
          <w:szCs w:val="16"/>
        </w:rPr>
        <w:t>ES</w:t>
      </w:r>
      <w:r w:rsidR="002C5025">
        <w:rPr>
          <w:rFonts w:ascii="Times New Roman" w:hAnsi="Times New Roman" w:cs="Times New Roman"/>
          <w:position w:val="7"/>
          <w:sz w:val="16"/>
          <w:szCs w:val="16"/>
        </w:rPr>
        <w:tab/>
      </w:r>
      <w:proofErr w:type="spellStart"/>
      <w:r w:rsidR="002C5025">
        <w:rPr>
          <w:rFonts w:ascii="Times New Roman" w:hAnsi="Times New Roman" w:cs="Times New Roman"/>
          <w:position w:val="11"/>
          <w:sz w:val="16"/>
          <w:szCs w:val="16"/>
        </w:rPr>
        <w:t>ES</w:t>
      </w:r>
      <w:proofErr w:type="spellEnd"/>
      <w:r w:rsidR="002C5025">
        <w:rPr>
          <w:rFonts w:ascii="Times New Roman" w:hAnsi="Times New Roman" w:cs="Times New Roman"/>
          <w:spacing w:val="2"/>
          <w:position w:val="11"/>
          <w:sz w:val="16"/>
          <w:szCs w:val="16"/>
        </w:rPr>
        <w:t xml:space="preserve"> </w:t>
      </w:r>
      <w:r w:rsidR="002C5025">
        <w:rPr>
          <w:rFonts w:ascii="Times New Roman" w:hAnsi="Times New Roman" w:cs="Times New Roman"/>
          <w:position w:val="3"/>
          <w:sz w:val="16"/>
          <w:szCs w:val="16"/>
        </w:rPr>
        <w:t>800-323-4673</w:t>
      </w:r>
      <w:r w:rsidR="002C5025">
        <w:rPr>
          <w:rFonts w:ascii="Times New Roman" w:hAnsi="Times New Roman" w:cs="Times New Roman"/>
          <w:spacing w:val="-29"/>
          <w:position w:val="3"/>
          <w:sz w:val="16"/>
          <w:szCs w:val="16"/>
        </w:rPr>
        <w:t xml:space="preserve"> </w:t>
      </w:r>
      <w:r w:rsidR="002C5025">
        <w:rPr>
          <w:rFonts w:ascii="Arial" w:hAnsi="Arial" w:cs="Arial"/>
          <w:position w:val="3"/>
          <w:sz w:val="17"/>
          <w:szCs w:val="17"/>
        </w:rPr>
        <w:t>&lt;</w:t>
      </w:r>
      <w:proofErr w:type="spellStart"/>
      <w:r w:rsidR="002C5025">
        <w:rPr>
          <w:rFonts w:ascii="Arial" w:hAnsi="Arial" w:cs="Arial"/>
          <w:position w:val="3"/>
          <w:sz w:val="17"/>
          <w:szCs w:val="17"/>
        </w:rPr>
        <w:t>ll</w:t>
      </w:r>
      <w:proofErr w:type="spellEnd"/>
      <w:r w:rsidR="002C5025">
        <w:rPr>
          <w:rFonts w:ascii="Arial" w:hAnsi="Arial" w:cs="Arial"/>
          <w:position w:val="3"/>
          <w:sz w:val="17"/>
          <w:szCs w:val="17"/>
        </w:rPr>
        <w:tab/>
      </w:r>
      <w:r w:rsidR="002C5025">
        <w:rPr>
          <w:rFonts w:ascii="Times New Roman" w:hAnsi="Times New Roman" w:cs="Times New Roman"/>
          <w:position w:val="2"/>
          <w:sz w:val="16"/>
          <w:szCs w:val="16"/>
        </w:rPr>
        <w:t>Salem:</w:t>
      </w:r>
      <w:r w:rsidR="002C5025">
        <w:rPr>
          <w:rFonts w:ascii="Times New Roman" w:hAnsi="Times New Roman" w:cs="Times New Roman"/>
          <w:spacing w:val="-4"/>
          <w:position w:val="2"/>
          <w:sz w:val="16"/>
          <w:szCs w:val="16"/>
        </w:rPr>
        <w:t xml:space="preserve"> </w:t>
      </w:r>
      <w:r w:rsidR="002C5025">
        <w:rPr>
          <w:rFonts w:ascii="Times New Roman" w:hAnsi="Times New Roman" w:cs="Times New Roman"/>
          <w:position w:val="1"/>
          <w:sz w:val="16"/>
          <w:szCs w:val="16"/>
        </w:rPr>
        <w:t>978-744-6841</w:t>
      </w:r>
      <w:r w:rsidR="002C5025">
        <w:rPr>
          <w:rFonts w:ascii="Times New Roman" w:hAnsi="Times New Roman" w:cs="Times New Roman"/>
          <w:spacing w:val="-29"/>
          <w:position w:val="1"/>
          <w:sz w:val="16"/>
          <w:szCs w:val="16"/>
        </w:rPr>
        <w:t xml:space="preserve"> </w:t>
      </w:r>
      <w:r w:rsidR="002C5025">
        <w:rPr>
          <w:rFonts w:ascii="Arial" w:hAnsi="Arial" w:cs="Arial"/>
          <w:position w:val="1"/>
          <w:sz w:val="17"/>
          <w:szCs w:val="17"/>
        </w:rPr>
        <w:t>&lt;</w:t>
      </w:r>
      <w:proofErr w:type="spellStart"/>
      <w:r w:rsidR="002C5025">
        <w:rPr>
          <w:rFonts w:ascii="Arial" w:hAnsi="Arial" w:cs="Arial"/>
          <w:position w:val="1"/>
          <w:sz w:val="17"/>
          <w:szCs w:val="17"/>
        </w:rPr>
        <w:t>ll</w:t>
      </w:r>
      <w:proofErr w:type="spellEnd"/>
      <w:r w:rsidR="002C5025">
        <w:rPr>
          <w:rFonts w:ascii="Arial" w:hAnsi="Arial" w:cs="Arial"/>
          <w:position w:val="1"/>
          <w:sz w:val="17"/>
          <w:szCs w:val="17"/>
        </w:rPr>
        <w:tab/>
      </w:r>
      <w:r w:rsidR="002C5025">
        <w:rPr>
          <w:rFonts w:ascii="Times New Roman" w:hAnsi="Times New Roman" w:cs="Times New Roman"/>
          <w:position w:val="-3"/>
          <w:sz w:val="16"/>
          <w:szCs w:val="16"/>
        </w:rPr>
        <w:t>®*</w:t>
      </w:r>
      <w:r w:rsidR="002C5025">
        <w:rPr>
          <w:rFonts w:ascii="Times New Roman" w:hAnsi="Times New Roman" w:cs="Times New Roman"/>
          <w:position w:val="-3"/>
          <w:sz w:val="16"/>
          <w:szCs w:val="16"/>
        </w:rPr>
        <w:tab/>
      </w:r>
      <w:r w:rsidR="002C5025">
        <w:rPr>
          <w:rFonts w:ascii="Times New Roman" w:hAnsi="Times New Roman" w:cs="Times New Roman"/>
          <w:sz w:val="16"/>
          <w:szCs w:val="16"/>
        </w:rPr>
        <w:t>A</w:t>
      </w:r>
      <w:r w:rsidR="002C5025">
        <w:rPr>
          <w:rFonts w:ascii="Times New Roman" w:hAnsi="Times New Roman" w:cs="Times New Roman"/>
          <w:spacing w:val="-30"/>
          <w:sz w:val="16"/>
          <w:szCs w:val="16"/>
        </w:rPr>
        <w:t xml:space="preserve"> </w:t>
      </w:r>
      <w:r w:rsidR="002C5025">
        <w:rPr>
          <w:rFonts w:ascii="Times New Roman" w:hAnsi="Times New Roman" w:cs="Times New Roman"/>
          <w:sz w:val="16"/>
          <w:szCs w:val="16"/>
        </w:rPr>
        <w:t>New</w:t>
      </w:r>
      <w:r w:rsidR="002C5025">
        <w:rPr>
          <w:rFonts w:ascii="Times New Roman" w:hAnsi="Times New Roman" w:cs="Times New Roman"/>
          <w:spacing w:val="-15"/>
          <w:sz w:val="16"/>
          <w:szCs w:val="16"/>
        </w:rPr>
        <w:t xml:space="preserve"> </w:t>
      </w:r>
      <w:r w:rsidR="002C5025">
        <w:rPr>
          <w:rFonts w:ascii="Times New Roman" w:hAnsi="Times New Roman" w:cs="Times New Roman"/>
          <w:sz w:val="16"/>
          <w:szCs w:val="16"/>
        </w:rPr>
        <w:t>Day/Penelope's</w:t>
      </w:r>
      <w:r w:rsidR="002C5025">
        <w:rPr>
          <w:rFonts w:ascii="Times New Roman" w:hAnsi="Times New Roman" w:cs="Times New Roman"/>
          <w:spacing w:val="-23"/>
          <w:sz w:val="16"/>
          <w:szCs w:val="16"/>
        </w:rPr>
        <w:t xml:space="preserve"> </w:t>
      </w:r>
      <w:r w:rsidR="002C5025">
        <w:rPr>
          <w:rFonts w:ascii="Times New Roman" w:hAnsi="Times New Roman" w:cs="Times New Roman"/>
          <w:sz w:val="16"/>
          <w:szCs w:val="16"/>
        </w:rPr>
        <w:t>Place</w:t>
      </w:r>
      <w:r w:rsidR="002C5025">
        <w:rPr>
          <w:rFonts w:ascii="Times New Roman" w:hAnsi="Times New Roman" w:cs="Times New Roman"/>
          <w:sz w:val="16"/>
          <w:szCs w:val="16"/>
        </w:rPr>
        <w:tab/>
      </w:r>
      <w:r w:rsidR="002C5025">
        <w:rPr>
          <w:rFonts w:ascii="Times New Roman" w:hAnsi="Times New Roman" w:cs="Times New Roman"/>
          <w:w w:val="95"/>
          <w:position w:val="-3"/>
          <w:sz w:val="16"/>
          <w:szCs w:val="16"/>
        </w:rPr>
        <w:t xml:space="preserve">® * </w:t>
      </w:r>
      <w:r w:rsidR="002C5025">
        <w:rPr>
          <w:rFonts w:ascii="Arial" w:hAnsi="Arial" w:cs="Arial"/>
          <w:spacing w:val="-3"/>
          <w:w w:val="95"/>
          <w:sz w:val="16"/>
          <w:szCs w:val="16"/>
        </w:rPr>
        <w:t xml:space="preserve">Independence </w:t>
      </w:r>
      <w:r w:rsidR="002C5025">
        <w:rPr>
          <w:rFonts w:ascii="Arial" w:hAnsi="Arial" w:cs="Arial"/>
          <w:w w:val="95"/>
          <w:sz w:val="16"/>
          <w:szCs w:val="16"/>
        </w:rPr>
        <w:t>House,</w:t>
      </w:r>
      <w:r w:rsidR="002C5025">
        <w:rPr>
          <w:rFonts w:ascii="Arial" w:hAnsi="Arial" w:cs="Arial"/>
          <w:spacing w:val="-31"/>
          <w:w w:val="95"/>
          <w:sz w:val="16"/>
          <w:szCs w:val="16"/>
        </w:rPr>
        <w:t xml:space="preserve"> </w:t>
      </w:r>
      <w:r w:rsidR="002C5025">
        <w:rPr>
          <w:rFonts w:ascii="Arial" w:hAnsi="Arial" w:cs="Arial"/>
          <w:spacing w:val="-7"/>
          <w:w w:val="95"/>
          <w:sz w:val="16"/>
          <w:szCs w:val="16"/>
        </w:rPr>
        <w:t>Inc.</w:t>
      </w:r>
    </w:p>
    <w:p w:rsidR="002C5025" w:rsidRDefault="002C5025">
      <w:pPr>
        <w:pStyle w:val="BodyText"/>
        <w:tabs>
          <w:tab w:val="left" w:pos="2915"/>
          <w:tab w:val="left" w:pos="4748"/>
          <w:tab w:val="left" w:pos="7472"/>
          <w:tab w:val="left" w:pos="10211"/>
          <w:tab w:val="left" w:pos="10671"/>
          <w:tab w:val="left" w:pos="13196"/>
        </w:tabs>
        <w:kinsoku w:val="0"/>
        <w:overflowPunct w:val="0"/>
        <w:spacing w:line="91" w:lineRule="exact"/>
        <w:ind w:left="851"/>
        <w:rPr>
          <w:rFonts w:ascii="Times New Roman" w:hAnsi="Times New Roman" w:cs="Times New Roman"/>
          <w:w w:val="80"/>
          <w:position w:val="1"/>
          <w:sz w:val="15"/>
          <w:szCs w:val="15"/>
        </w:rPr>
      </w:pPr>
      <w:r>
        <w:rPr>
          <w:rFonts w:ascii="Arial" w:hAnsi="Arial" w:cs="Arial"/>
          <w:sz w:val="15"/>
          <w:szCs w:val="15"/>
        </w:rPr>
        <w:t>Center</w:t>
      </w:r>
      <w:r>
        <w:rPr>
          <w:rFonts w:ascii="Arial" w:hAnsi="Arial" w:cs="Arial"/>
          <w:spacing w:val="-32"/>
          <w:sz w:val="15"/>
          <w:szCs w:val="15"/>
        </w:rPr>
        <w:t xml:space="preserve"> </w:t>
      </w:r>
      <w:r>
        <w:rPr>
          <w:rFonts w:ascii="Arial" w:hAnsi="Arial" w:cs="Arial"/>
          <w:sz w:val="15"/>
          <w:szCs w:val="15"/>
        </w:rPr>
        <w:t>for</w:t>
      </w:r>
      <w:r>
        <w:rPr>
          <w:rFonts w:ascii="Arial" w:hAnsi="Arial" w:cs="Arial"/>
          <w:spacing w:val="-31"/>
          <w:sz w:val="15"/>
          <w:szCs w:val="15"/>
        </w:rPr>
        <w:t xml:space="preserve"> </w:t>
      </w:r>
      <w:r>
        <w:rPr>
          <w:rFonts w:ascii="Arial" w:hAnsi="Arial" w:cs="Arial"/>
          <w:spacing w:val="-3"/>
          <w:sz w:val="15"/>
          <w:szCs w:val="15"/>
        </w:rPr>
        <w:t>Violence</w:t>
      </w:r>
      <w:r>
        <w:rPr>
          <w:rFonts w:ascii="Arial" w:hAnsi="Arial" w:cs="Arial"/>
          <w:spacing w:val="-3"/>
          <w:sz w:val="15"/>
          <w:szCs w:val="15"/>
        </w:rPr>
        <w:tab/>
      </w:r>
      <w:r>
        <w:rPr>
          <w:rFonts w:ascii="Arial" w:hAnsi="Arial" w:cs="Arial"/>
          <w:w w:val="95"/>
          <w:sz w:val="15"/>
          <w:szCs w:val="15"/>
        </w:rPr>
        <w:t>Renewal</w:t>
      </w:r>
      <w:r>
        <w:rPr>
          <w:rFonts w:ascii="Arial" w:hAnsi="Arial" w:cs="Arial"/>
          <w:spacing w:val="-31"/>
          <w:w w:val="95"/>
          <w:sz w:val="15"/>
          <w:szCs w:val="15"/>
        </w:rPr>
        <w:t xml:space="preserve"> </w:t>
      </w:r>
      <w:r>
        <w:rPr>
          <w:rFonts w:ascii="Arial" w:hAnsi="Arial" w:cs="Arial"/>
          <w:w w:val="95"/>
          <w:sz w:val="15"/>
          <w:szCs w:val="15"/>
        </w:rPr>
        <w:t>House</w:t>
      </w:r>
      <w:r>
        <w:rPr>
          <w:rFonts w:ascii="Arial" w:hAnsi="Arial" w:cs="Arial"/>
          <w:w w:val="95"/>
          <w:sz w:val="15"/>
          <w:szCs w:val="15"/>
        </w:rPr>
        <w:tab/>
      </w:r>
      <w:r>
        <w:rPr>
          <w:rFonts w:ascii="Times New Roman" w:hAnsi="Times New Roman" w:cs="Times New Roman"/>
          <w:w w:val="95"/>
          <w:position w:val="-5"/>
          <w:sz w:val="16"/>
          <w:szCs w:val="16"/>
        </w:rPr>
        <w:t>®</w:t>
      </w:r>
      <w:r>
        <w:rPr>
          <w:rFonts w:ascii="Times New Roman" w:hAnsi="Times New Roman" w:cs="Times New Roman"/>
          <w:spacing w:val="-23"/>
          <w:w w:val="95"/>
          <w:position w:val="-5"/>
          <w:sz w:val="16"/>
          <w:szCs w:val="16"/>
        </w:rPr>
        <w:t xml:space="preserve"> </w:t>
      </w:r>
      <w:r>
        <w:rPr>
          <w:rFonts w:ascii="Times New Roman" w:hAnsi="Times New Roman" w:cs="Times New Roman"/>
          <w:w w:val="95"/>
          <w:position w:val="-5"/>
          <w:sz w:val="16"/>
          <w:szCs w:val="16"/>
        </w:rPr>
        <w:t>ES</w:t>
      </w:r>
      <w:r>
        <w:rPr>
          <w:rFonts w:ascii="Times New Roman" w:hAnsi="Times New Roman" w:cs="Times New Roman"/>
          <w:spacing w:val="8"/>
          <w:w w:val="95"/>
          <w:position w:val="-5"/>
          <w:sz w:val="16"/>
          <w:szCs w:val="16"/>
        </w:rPr>
        <w:t xml:space="preserve"> </w:t>
      </w:r>
      <w:r>
        <w:rPr>
          <w:rFonts w:ascii="Arial" w:hAnsi="Arial" w:cs="Arial"/>
          <w:w w:val="95"/>
          <w:position w:val="1"/>
          <w:sz w:val="15"/>
          <w:szCs w:val="15"/>
        </w:rPr>
        <w:t>REACH</w:t>
      </w:r>
      <w:r>
        <w:rPr>
          <w:rFonts w:ascii="Arial" w:hAnsi="Arial" w:cs="Arial"/>
          <w:spacing w:val="-23"/>
          <w:w w:val="95"/>
          <w:position w:val="1"/>
          <w:sz w:val="15"/>
          <w:szCs w:val="15"/>
        </w:rPr>
        <w:t xml:space="preserve"> </w:t>
      </w:r>
      <w:r>
        <w:rPr>
          <w:rFonts w:ascii="Arial" w:hAnsi="Arial" w:cs="Arial"/>
          <w:spacing w:val="-2"/>
          <w:w w:val="95"/>
          <w:position w:val="1"/>
          <w:sz w:val="15"/>
          <w:szCs w:val="15"/>
        </w:rPr>
        <w:t>Beyond</w:t>
      </w:r>
      <w:r>
        <w:rPr>
          <w:rFonts w:ascii="Arial" w:hAnsi="Arial" w:cs="Arial"/>
          <w:spacing w:val="-27"/>
          <w:w w:val="95"/>
          <w:position w:val="1"/>
          <w:sz w:val="15"/>
          <w:szCs w:val="15"/>
        </w:rPr>
        <w:t xml:space="preserve"> </w:t>
      </w:r>
      <w:r>
        <w:rPr>
          <w:rFonts w:ascii="Arial" w:hAnsi="Arial" w:cs="Arial"/>
          <w:w w:val="95"/>
          <w:position w:val="1"/>
          <w:sz w:val="15"/>
          <w:szCs w:val="15"/>
        </w:rPr>
        <w:t>Domestic</w:t>
      </w:r>
      <w:r>
        <w:rPr>
          <w:rFonts w:ascii="Arial" w:hAnsi="Arial" w:cs="Arial"/>
          <w:spacing w:val="-24"/>
          <w:w w:val="95"/>
          <w:position w:val="1"/>
          <w:sz w:val="15"/>
          <w:szCs w:val="15"/>
        </w:rPr>
        <w:t xml:space="preserve"> </w:t>
      </w:r>
      <w:r>
        <w:rPr>
          <w:rFonts w:ascii="Arial" w:hAnsi="Arial" w:cs="Arial"/>
          <w:w w:val="95"/>
          <w:position w:val="1"/>
          <w:sz w:val="15"/>
          <w:szCs w:val="15"/>
        </w:rPr>
        <w:t>Violence</w:t>
      </w:r>
      <w:r>
        <w:rPr>
          <w:rFonts w:ascii="Arial" w:hAnsi="Arial" w:cs="Arial"/>
          <w:w w:val="95"/>
          <w:position w:val="1"/>
          <w:sz w:val="15"/>
          <w:szCs w:val="15"/>
        </w:rPr>
        <w:tab/>
      </w:r>
      <w:r>
        <w:rPr>
          <w:rFonts w:ascii="Times New Roman" w:hAnsi="Times New Roman" w:cs="Times New Roman"/>
          <w:position w:val="-5"/>
          <w:sz w:val="16"/>
          <w:szCs w:val="16"/>
        </w:rPr>
        <w:t>®</w:t>
      </w:r>
      <w:r>
        <w:rPr>
          <w:rFonts w:ascii="Times New Roman" w:hAnsi="Times New Roman" w:cs="Times New Roman"/>
          <w:spacing w:val="12"/>
          <w:position w:val="-5"/>
          <w:sz w:val="16"/>
          <w:szCs w:val="16"/>
        </w:rPr>
        <w:t xml:space="preserve"> </w:t>
      </w:r>
      <w:r>
        <w:rPr>
          <w:rFonts w:ascii="Arial" w:hAnsi="Arial" w:cs="Arial"/>
          <w:position w:val="-3"/>
          <w:sz w:val="15"/>
          <w:szCs w:val="15"/>
        </w:rPr>
        <w:t>Jeanne</w:t>
      </w:r>
      <w:r>
        <w:rPr>
          <w:rFonts w:ascii="Arial" w:hAnsi="Arial" w:cs="Arial"/>
          <w:spacing w:val="-31"/>
          <w:position w:val="-3"/>
          <w:sz w:val="15"/>
          <w:szCs w:val="15"/>
        </w:rPr>
        <w:t xml:space="preserve"> </w:t>
      </w:r>
      <w:r>
        <w:rPr>
          <w:rFonts w:ascii="Arial" w:hAnsi="Arial" w:cs="Arial"/>
          <w:position w:val="-3"/>
          <w:sz w:val="15"/>
          <w:szCs w:val="15"/>
        </w:rPr>
        <w:t>Geiger</w:t>
      </w:r>
      <w:r>
        <w:rPr>
          <w:rFonts w:ascii="Arial" w:hAnsi="Arial" w:cs="Arial"/>
          <w:spacing w:val="-31"/>
          <w:position w:val="-3"/>
          <w:sz w:val="15"/>
          <w:szCs w:val="15"/>
        </w:rPr>
        <w:t xml:space="preserve"> </w:t>
      </w:r>
      <w:r>
        <w:rPr>
          <w:rFonts w:ascii="Arial" w:hAnsi="Arial" w:cs="Arial"/>
          <w:position w:val="-3"/>
          <w:sz w:val="15"/>
          <w:szCs w:val="15"/>
        </w:rPr>
        <w:t>Crisis</w:t>
      </w:r>
      <w:r>
        <w:rPr>
          <w:rFonts w:ascii="Arial" w:hAnsi="Arial" w:cs="Arial"/>
          <w:spacing w:val="-33"/>
          <w:position w:val="-3"/>
          <w:sz w:val="15"/>
          <w:szCs w:val="15"/>
        </w:rPr>
        <w:t xml:space="preserve"> </w:t>
      </w:r>
      <w:r>
        <w:rPr>
          <w:rFonts w:ascii="Arial" w:hAnsi="Arial" w:cs="Arial"/>
          <w:position w:val="-3"/>
          <w:sz w:val="15"/>
          <w:szCs w:val="15"/>
        </w:rPr>
        <w:t>Center</w:t>
      </w:r>
      <w:r>
        <w:rPr>
          <w:rFonts w:ascii="Arial" w:hAnsi="Arial" w:cs="Arial"/>
          <w:position w:val="-3"/>
          <w:sz w:val="15"/>
          <w:szCs w:val="15"/>
        </w:rPr>
        <w:tab/>
      </w:r>
      <w:r>
        <w:rPr>
          <w:rFonts w:ascii="Times New Roman" w:hAnsi="Times New Roman" w:cs="Times New Roman"/>
          <w:position w:val="-6"/>
          <w:sz w:val="16"/>
          <w:szCs w:val="16"/>
        </w:rPr>
        <w:t>ES</w:t>
      </w:r>
      <w:r>
        <w:rPr>
          <w:rFonts w:ascii="Times New Roman" w:hAnsi="Times New Roman" w:cs="Times New Roman"/>
          <w:position w:val="-6"/>
          <w:sz w:val="16"/>
          <w:szCs w:val="16"/>
        </w:rPr>
        <w:tab/>
      </w:r>
      <w:r>
        <w:rPr>
          <w:rFonts w:ascii="Arial" w:hAnsi="Arial" w:cs="Arial"/>
          <w:w w:val="95"/>
          <w:position w:val="1"/>
          <w:sz w:val="15"/>
          <w:szCs w:val="15"/>
        </w:rPr>
        <w:t>(Health</w:t>
      </w:r>
      <w:r>
        <w:rPr>
          <w:rFonts w:ascii="Arial" w:hAnsi="Arial" w:cs="Arial"/>
          <w:spacing w:val="-32"/>
          <w:w w:val="95"/>
          <w:position w:val="1"/>
          <w:sz w:val="15"/>
          <w:szCs w:val="15"/>
        </w:rPr>
        <w:t xml:space="preserve"> </w:t>
      </w:r>
      <w:r>
        <w:rPr>
          <w:rFonts w:ascii="Arial" w:hAnsi="Arial" w:cs="Arial"/>
          <w:spacing w:val="-4"/>
          <w:w w:val="95"/>
          <w:position w:val="1"/>
          <w:sz w:val="15"/>
          <w:szCs w:val="15"/>
        </w:rPr>
        <w:t>Imperatives)</w:t>
      </w:r>
      <w:r>
        <w:rPr>
          <w:rFonts w:ascii="Arial" w:hAnsi="Arial" w:cs="Arial"/>
          <w:spacing w:val="-4"/>
          <w:w w:val="95"/>
          <w:position w:val="1"/>
          <w:sz w:val="15"/>
          <w:szCs w:val="15"/>
        </w:rPr>
        <w:tab/>
      </w:r>
      <w:r>
        <w:rPr>
          <w:rFonts w:ascii="Arial" w:hAnsi="Arial" w:cs="Arial"/>
          <w:w w:val="80"/>
          <w:position w:val="1"/>
          <w:sz w:val="15"/>
          <w:szCs w:val="15"/>
        </w:rPr>
        <w:t>Hyannis: 800-439-6507</w:t>
      </w:r>
      <w:r>
        <w:rPr>
          <w:rFonts w:ascii="Arial" w:hAnsi="Arial" w:cs="Arial"/>
          <w:spacing w:val="-21"/>
          <w:w w:val="80"/>
          <w:position w:val="1"/>
          <w:sz w:val="15"/>
          <w:szCs w:val="15"/>
        </w:rPr>
        <w:t xml:space="preserve"> </w:t>
      </w:r>
      <w:r>
        <w:rPr>
          <w:rFonts w:ascii="Times New Roman" w:hAnsi="Times New Roman" w:cs="Times New Roman"/>
          <w:w w:val="80"/>
          <w:position w:val="1"/>
          <w:sz w:val="15"/>
          <w:szCs w:val="15"/>
        </w:rPr>
        <w:t>&lt;I&gt;</w:t>
      </w:r>
    </w:p>
    <w:p w:rsidR="002C5025" w:rsidRDefault="002C5025">
      <w:pPr>
        <w:pStyle w:val="BodyText"/>
        <w:tabs>
          <w:tab w:val="left" w:pos="2915"/>
          <w:tab w:val="left" w:pos="4748"/>
          <w:tab w:val="left" w:pos="7472"/>
          <w:tab w:val="left" w:pos="10211"/>
          <w:tab w:val="left" w:pos="10671"/>
          <w:tab w:val="left" w:pos="13196"/>
        </w:tabs>
        <w:kinsoku w:val="0"/>
        <w:overflowPunct w:val="0"/>
        <w:spacing w:line="91" w:lineRule="exact"/>
        <w:ind w:left="851"/>
        <w:rPr>
          <w:rFonts w:ascii="Times New Roman" w:hAnsi="Times New Roman" w:cs="Times New Roman"/>
          <w:w w:val="80"/>
          <w:position w:val="1"/>
          <w:sz w:val="15"/>
          <w:szCs w:val="15"/>
        </w:rPr>
        <w:sectPr w:rsidR="002C5025">
          <w:type w:val="continuous"/>
          <w:pgSz w:w="15840" w:h="12240" w:orient="landscape"/>
          <w:pgMar w:top="720" w:right="220" w:bottom="280" w:left="140" w:header="720" w:footer="720" w:gutter="0"/>
          <w:cols w:space="720" w:equalWidth="0">
            <w:col w:w="15480"/>
          </w:cols>
          <w:noEndnote/>
        </w:sectPr>
      </w:pPr>
    </w:p>
    <w:p w:rsidR="002C5025" w:rsidRDefault="00FB027C">
      <w:pPr>
        <w:pStyle w:val="BodyText"/>
        <w:kinsoku w:val="0"/>
        <w:overflowPunct w:val="0"/>
        <w:spacing w:before="51" w:line="172" w:lineRule="exact"/>
        <w:ind w:left="786" w:right="-5" w:firstLine="72"/>
        <w:rPr>
          <w:rFonts w:ascii="Arial" w:hAnsi="Arial" w:cs="Arial"/>
          <w:w w:val="95"/>
          <w:sz w:val="15"/>
          <w:szCs w:val="15"/>
        </w:rPr>
      </w:pPr>
      <w:r>
        <w:rPr>
          <w:noProof/>
        </w:rPr>
        <w:lastRenderedPageBreak/>
        <mc:AlternateContent>
          <mc:Choice Requires="wps">
            <w:drawing>
              <wp:anchor distT="0" distB="0" distL="114300" distR="114300" simplePos="0" relativeHeight="251695616" behindDoc="0" locked="0" layoutInCell="0" allowOverlap="1">
                <wp:simplePos x="0" y="0"/>
                <wp:positionH relativeFrom="page">
                  <wp:posOffset>455930</wp:posOffset>
                </wp:positionH>
                <wp:positionV relativeFrom="paragraph">
                  <wp:posOffset>102870</wp:posOffset>
                </wp:positionV>
                <wp:extent cx="73660" cy="102235"/>
                <wp:effectExtent l="0" t="0" r="0" b="0"/>
                <wp:wrapNone/>
                <wp:docPr id="430" name="Text Box 5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pStyle w:val="BodyText"/>
                              <w:kinsoku w:val="0"/>
                              <w:overflowPunct w:val="0"/>
                              <w:spacing w:line="161" w:lineRule="exact"/>
                              <w:rPr>
                                <w:rFonts w:ascii="Times New Roman" w:hAnsi="Times New Roman" w:cs="Times New Roman"/>
                                <w:w w:val="94"/>
                                <w:sz w:val="16"/>
                                <w:szCs w:val="16"/>
                              </w:rPr>
                            </w:pPr>
                            <w:r>
                              <w:rPr>
                                <w:rFonts w:ascii="Times New Roman" w:hAnsi="Times New Roman" w:cs="Times New Roman"/>
                                <w:w w:val="94"/>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5" o:spid="_x0000_s1192" type="#_x0000_t202" style="position:absolute;left:0;text-align:left;margin-left:35.9pt;margin-top:8.1pt;width:5.8pt;height:8.05pt;z-index:251695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" o:allowincell="f" filled="f" stroked="f">
                <v:textbox inset="0,0,0,0">
                  <w:txbxContent>
                    <w:p w:rsidR="007B2B7B" w:rsidRDefault="007B2B7B">
                      <w:pPr>
                        <w:pStyle w:val="BodyText"/>
                        <w:kinsoku w:val="0"/>
                        <w:overflowPunct w:val="0"/>
                        <w:spacing w:line="161" w:lineRule="exact"/>
                        <w:rPr>
                          <w:rFonts w:ascii="Times New Roman" w:hAnsi="Times New Roman" w:cs="Times New Roman"/>
                          <w:w w:val="94"/>
                          <w:sz w:val="16"/>
                          <w:szCs w:val="16"/>
                        </w:rPr>
                      </w:pPr>
                      <w:r>
                        <w:rPr>
                          <w:rFonts w:ascii="Times New Roman" w:hAnsi="Times New Roman" w:cs="Times New Roman"/>
                          <w:w w:val="94"/>
                          <w:sz w:val="16"/>
                          <w:szCs w:val="16"/>
                        </w:rPr>
                        <w:t>®</w:t>
                      </w:r>
                    </w:p>
                  </w:txbxContent>
                </v:textbox>
                <w10:wrap anchorx="page"/>
              </v:shape>
            </w:pict>
          </mc:Fallback>
        </mc:AlternateContent>
      </w:r>
      <w:r w:rsidR="002C5025">
        <w:rPr>
          <w:rFonts w:ascii="Arial" w:hAnsi="Arial" w:cs="Arial"/>
          <w:spacing w:val="-1"/>
          <w:w w:val="90"/>
          <w:sz w:val="15"/>
          <w:szCs w:val="15"/>
        </w:rPr>
        <w:t>Prevention</w:t>
      </w:r>
      <w:r w:rsidR="002C5025">
        <w:rPr>
          <w:rFonts w:ascii="Arial" w:hAnsi="Arial" w:cs="Arial"/>
          <w:spacing w:val="-19"/>
          <w:w w:val="90"/>
          <w:sz w:val="15"/>
          <w:szCs w:val="15"/>
        </w:rPr>
        <w:t xml:space="preserve"> </w:t>
      </w:r>
      <w:r w:rsidR="002C5025">
        <w:rPr>
          <w:rFonts w:ascii="Arial" w:hAnsi="Arial" w:cs="Arial"/>
          <w:w w:val="90"/>
          <w:sz w:val="15"/>
          <w:szCs w:val="15"/>
        </w:rPr>
        <w:t>and</w:t>
      </w:r>
      <w:r w:rsidR="002C5025">
        <w:rPr>
          <w:rFonts w:ascii="Arial" w:hAnsi="Arial" w:cs="Arial"/>
          <w:spacing w:val="-16"/>
          <w:w w:val="90"/>
          <w:sz w:val="15"/>
          <w:szCs w:val="15"/>
        </w:rPr>
        <w:t xml:space="preserve"> </w:t>
      </w:r>
      <w:r w:rsidR="002C5025">
        <w:rPr>
          <w:rFonts w:ascii="Arial" w:hAnsi="Arial" w:cs="Arial"/>
          <w:w w:val="90"/>
          <w:sz w:val="15"/>
          <w:szCs w:val="15"/>
        </w:rPr>
        <w:t xml:space="preserve">Recovery </w:t>
      </w:r>
      <w:r w:rsidR="002C5025">
        <w:rPr>
          <w:rFonts w:ascii="Arial" w:hAnsi="Arial" w:cs="Arial"/>
          <w:w w:val="95"/>
          <w:sz w:val="15"/>
          <w:szCs w:val="15"/>
        </w:rPr>
        <w:t xml:space="preserve">at </w:t>
      </w:r>
      <w:proofErr w:type="spellStart"/>
      <w:r w:rsidR="002C5025">
        <w:rPr>
          <w:rFonts w:ascii="Times New Roman" w:hAnsi="Times New Roman" w:cs="Times New Roman"/>
          <w:spacing w:val="-4"/>
          <w:w w:val="95"/>
          <w:sz w:val="16"/>
          <w:szCs w:val="16"/>
        </w:rPr>
        <w:t>Beth</w:t>
      </w:r>
      <w:r w:rsidR="002C5025">
        <w:rPr>
          <w:rFonts w:ascii="Arial" w:hAnsi="Arial" w:cs="Arial"/>
          <w:spacing w:val="-4"/>
          <w:w w:val="95"/>
          <w:sz w:val="15"/>
          <w:szCs w:val="15"/>
        </w:rPr>
        <w:t>Israel</w:t>
      </w:r>
      <w:proofErr w:type="spellEnd"/>
      <w:r w:rsidR="002C5025">
        <w:rPr>
          <w:rFonts w:ascii="Arial" w:hAnsi="Arial" w:cs="Arial"/>
          <w:spacing w:val="-31"/>
          <w:w w:val="95"/>
          <w:sz w:val="15"/>
          <w:szCs w:val="15"/>
        </w:rPr>
        <w:t xml:space="preserve"> </w:t>
      </w:r>
      <w:r w:rsidR="002C5025">
        <w:rPr>
          <w:rFonts w:ascii="Arial" w:hAnsi="Arial" w:cs="Arial"/>
          <w:w w:val="95"/>
          <w:sz w:val="15"/>
          <w:szCs w:val="15"/>
        </w:rPr>
        <w:t>Deaconess</w:t>
      </w:r>
    </w:p>
    <w:p w:rsidR="002C5025" w:rsidRDefault="002C5025">
      <w:pPr>
        <w:pStyle w:val="BodyText"/>
        <w:tabs>
          <w:tab w:val="left" w:pos="2780"/>
          <w:tab w:val="left" w:pos="5370"/>
          <w:tab w:val="left" w:pos="8296"/>
        </w:tabs>
        <w:kinsoku w:val="0"/>
        <w:overflowPunct w:val="0"/>
        <w:spacing w:line="240" w:lineRule="exact"/>
        <w:ind w:left="258"/>
        <w:rPr>
          <w:rFonts w:ascii="Arial" w:hAnsi="Arial" w:cs="Arial"/>
          <w:w w:val="85"/>
          <w:position w:val="6"/>
          <w:sz w:val="15"/>
          <w:szCs w:val="15"/>
        </w:rPr>
      </w:pPr>
      <w:r>
        <w:rPr>
          <w:rFonts w:ascii="Times New Roman" w:hAnsi="Times New Roman" w:cs="Times New Roman"/>
          <w:sz w:val="24"/>
          <w:szCs w:val="24"/>
        </w:rPr>
        <w:br w:type="column"/>
      </w:r>
      <w:r>
        <w:rPr>
          <w:rFonts w:ascii="Times New Roman" w:hAnsi="Times New Roman" w:cs="Times New Roman"/>
          <w:w w:val="95"/>
          <w:position w:val="-7"/>
          <w:sz w:val="16"/>
          <w:szCs w:val="16"/>
        </w:rPr>
        <w:lastRenderedPageBreak/>
        <w:t xml:space="preserve">®   </w:t>
      </w:r>
      <w:r>
        <w:rPr>
          <w:rFonts w:ascii="Arial" w:hAnsi="Arial" w:cs="Arial"/>
          <w:w w:val="95"/>
          <w:position w:val="4"/>
          <w:sz w:val="15"/>
          <w:szCs w:val="15"/>
        </w:rPr>
        <w:t>Roxbury</w:t>
      </w:r>
      <w:r>
        <w:rPr>
          <w:rFonts w:ascii="Arial" w:hAnsi="Arial" w:cs="Arial"/>
          <w:spacing w:val="-35"/>
          <w:w w:val="95"/>
          <w:position w:val="4"/>
          <w:sz w:val="15"/>
          <w:szCs w:val="15"/>
        </w:rPr>
        <w:t xml:space="preserve"> </w:t>
      </w:r>
      <w:r>
        <w:rPr>
          <w:rFonts w:ascii="Arial" w:hAnsi="Arial" w:cs="Arial"/>
          <w:i/>
          <w:iCs/>
          <w:w w:val="95"/>
          <w:position w:val="4"/>
          <w:sz w:val="17"/>
          <w:szCs w:val="17"/>
        </w:rPr>
        <w:t>I</w:t>
      </w:r>
      <w:r>
        <w:rPr>
          <w:rFonts w:ascii="Arial" w:hAnsi="Arial" w:cs="Arial"/>
          <w:i/>
          <w:iCs/>
          <w:spacing w:val="-31"/>
          <w:w w:val="95"/>
          <w:position w:val="4"/>
          <w:sz w:val="17"/>
          <w:szCs w:val="17"/>
        </w:rPr>
        <w:t xml:space="preserve"> </w:t>
      </w:r>
      <w:r>
        <w:rPr>
          <w:rFonts w:ascii="Arial" w:hAnsi="Arial" w:cs="Arial"/>
          <w:w w:val="95"/>
          <w:position w:val="4"/>
          <w:sz w:val="15"/>
          <w:szCs w:val="15"/>
        </w:rPr>
        <w:t>Boston:</w:t>
      </w:r>
      <w:r>
        <w:rPr>
          <w:rFonts w:ascii="Arial" w:hAnsi="Arial" w:cs="Arial"/>
          <w:w w:val="95"/>
          <w:position w:val="4"/>
          <w:sz w:val="15"/>
          <w:szCs w:val="15"/>
        </w:rPr>
        <w:tab/>
      </w:r>
      <w:r>
        <w:rPr>
          <w:rFonts w:ascii="Arial" w:hAnsi="Arial" w:cs="Arial"/>
          <w:w w:val="95"/>
          <w:position w:val="1"/>
          <w:sz w:val="15"/>
          <w:szCs w:val="15"/>
        </w:rPr>
        <w:t>Waltham:</w:t>
      </w:r>
      <w:r>
        <w:rPr>
          <w:rFonts w:ascii="Arial" w:hAnsi="Arial" w:cs="Arial"/>
          <w:spacing w:val="11"/>
          <w:w w:val="95"/>
          <w:position w:val="1"/>
          <w:sz w:val="15"/>
          <w:szCs w:val="15"/>
        </w:rPr>
        <w:t xml:space="preserve"> </w:t>
      </w:r>
      <w:r>
        <w:rPr>
          <w:rFonts w:ascii="Times New Roman" w:hAnsi="Times New Roman" w:cs="Times New Roman"/>
          <w:w w:val="95"/>
          <w:position w:val="1"/>
          <w:sz w:val="16"/>
          <w:szCs w:val="16"/>
        </w:rPr>
        <w:t>800-899-4000</w:t>
      </w:r>
      <w:r>
        <w:rPr>
          <w:rFonts w:ascii="Times New Roman" w:hAnsi="Times New Roman" w:cs="Times New Roman"/>
          <w:spacing w:val="-23"/>
          <w:w w:val="95"/>
          <w:position w:val="1"/>
          <w:sz w:val="16"/>
          <w:szCs w:val="16"/>
        </w:rPr>
        <w:t xml:space="preserve"> </w:t>
      </w:r>
      <w:r>
        <w:rPr>
          <w:rFonts w:ascii="Arial" w:hAnsi="Arial" w:cs="Arial"/>
          <w:w w:val="95"/>
          <w:position w:val="1"/>
          <w:sz w:val="15"/>
          <w:szCs w:val="15"/>
        </w:rPr>
        <w:t>&lt;</w:t>
      </w:r>
      <w:proofErr w:type="spellStart"/>
      <w:r>
        <w:rPr>
          <w:rFonts w:ascii="Arial" w:hAnsi="Arial" w:cs="Arial"/>
          <w:w w:val="95"/>
          <w:position w:val="1"/>
          <w:sz w:val="15"/>
          <w:szCs w:val="15"/>
        </w:rPr>
        <w:t>ll</w:t>
      </w:r>
      <w:proofErr w:type="spellEnd"/>
      <w:r>
        <w:rPr>
          <w:rFonts w:ascii="Arial" w:hAnsi="Arial" w:cs="Arial"/>
          <w:w w:val="95"/>
          <w:position w:val="1"/>
          <w:sz w:val="15"/>
          <w:szCs w:val="15"/>
        </w:rPr>
        <w:tab/>
      </w:r>
      <w:r>
        <w:rPr>
          <w:rFonts w:ascii="Arial" w:hAnsi="Arial" w:cs="Arial"/>
          <w:w w:val="85"/>
          <w:sz w:val="15"/>
          <w:szCs w:val="15"/>
        </w:rPr>
        <w:t>Newburyport</w:t>
      </w:r>
      <w:r>
        <w:rPr>
          <w:rFonts w:ascii="Arial" w:hAnsi="Arial" w:cs="Arial"/>
          <w:spacing w:val="-2"/>
          <w:w w:val="85"/>
          <w:sz w:val="15"/>
          <w:szCs w:val="15"/>
        </w:rPr>
        <w:t xml:space="preserve"> </w:t>
      </w:r>
      <w:r>
        <w:rPr>
          <w:rFonts w:ascii="Arial" w:hAnsi="Arial" w:cs="Arial"/>
          <w:i/>
          <w:iCs/>
          <w:w w:val="85"/>
          <w:sz w:val="16"/>
          <w:szCs w:val="16"/>
        </w:rPr>
        <w:t>I</w:t>
      </w:r>
      <w:r>
        <w:rPr>
          <w:rFonts w:ascii="Arial" w:hAnsi="Arial" w:cs="Arial"/>
          <w:i/>
          <w:iCs/>
          <w:spacing w:val="-17"/>
          <w:w w:val="85"/>
          <w:sz w:val="16"/>
          <w:szCs w:val="16"/>
        </w:rPr>
        <w:t xml:space="preserve"> </w:t>
      </w:r>
      <w:r>
        <w:rPr>
          <w:rFonts w:ascii="Arial" w:hAnsi="Arial" w:cs="Arial"/>
          <w:w w:val="85"/>
          <w:sz w:val="15"/>
          <w:szCs w:val="15"/>
        </w:rPr>
        <w:t>Amesbury:</w:t>
      </w:r>
      <w:r>
        <w:rPr>
          <w:rFonts w:ascii="Arial" w:hAnsi="Arial" w:cs="Arial"/>
          <w:w w:val="85"/>
          <w:sz w:val="15"/>
          <w:szCs w:val="15"/>
        </w:rPr>
        <w:tab/>
      </w:r>
      <w:r>
        <w:rPr>
          <w:rFonts w:ascii="Arial" w:hAnsi="Arial" w:cs="Arial"/>
          <w:w w:val="85"/>
          <w:position w:val="6"/>
          <w:sz w:val="15"/>
          <w:szCs w:val="15"/>
        </w:rPr>
        <w:t>Brockton</w:t>
      </w:r>
      <w:r>
        <w:rPr>
          <w:rFonts w:ascii="Arial" w:hAnsi="Arial" w:cs="Arial"/>
          <w:spacing w:val="-25"/>
          <w:w w:val="85"/>
          <w:position w:val="6"/>
          <w:sz w:val="15"/>
          <w:szCs w:val="15"/>
        </w:rPr>
        <w:t xml:space="preserve"> </w:t>
      </w:r>
      <w:r>
        <w:rPr>
          <w:rFonts w:ascii="Arial" w:hAnsi="Arial" w:cs="Arial"/>
          <w:i/>
          <w:iCs/>
          <w:w w:val="85"/>
          <w:position w:val="6"/>
          <w:sz w:val="17"/>
          <w:szCs w:val="17"/>
        </w:rPr>
        <w:t>I</w:t>
      </w:r>
      <w:r>
        <w:rPr>
          <w:rFonts w:ascii="Arial" w:hAnsi="Arial" w:cs="Arial"/>
          <w:i/>
          <w:iCs/>
          <w:spacing w:val="-31"/>
          <w:w w:val="85"/>
          <w:position w:val="6"/>
          <w:sz w:val="17"/>
          <w:szCs w:val="17"/>
        </w:rPr>
        <w:t xml:space="preserve"> </w:t>
      </w:r>
      <w:r>
        <w:rPr>
          <w:rFonts w:ascii="Arial" w:hAnsi="Arial" w:cs="Arial"/>
          <w:w w:val="85"/>
          <w:position w:val="6"/>
          <w:sz w:val="15"/>
          <w:szCs w:val="15"/>
        </w:rPr>
        <w:t>Quincy:</w:t>
      </w:r>
    </w:p>
    <w:p w:rsidR="002C5025" w:rsidRDefault="002C5025">
      <w:pPr>
        <w:pStyle w:val="BodyText"/>
        <w:tabs>
          <w:tab w:val="left" w:pos="5370"/>
          <w:tab w:val="left" w:pos="9023"/>
        </w:tabs>
        <w:kinsoku w:val="0"/>
        <w:overflowPunct w:val="0"/>
        <w:spacing w:line="162" w:lineRule="exact"/>
        <w:ind w:left="992"/>
        <w:rPr>
          <w:rFonts w:ascii="Arial" w:hAnsi="Arial" w:cs="Arial"/>
          <w:w w:val="95"/>
          <w:position w:val="1"/>
          <w:sz w:val="15"/>
          <w:szCs w:val="15"/>
        </w:rPr>
      </w:pPr>
      <w:r>
        <w:rPr>
          <w:rFonts w:ascii="Times New Roman" w:hAnsi="Times New Roman" w:cs="Times New Roman"/>
          <w:w w:val="90"/>
          <w:sz w:val="16"/>
          <w:szCs w:val="16"/>
        </w:rPr>
        <w:t>617-566-6881</w:t>
      </w:r>
      <w:r>
        <w:rPr>
          <w:rFonts w:ascii="Times New Roman" w:hAnsi="Times New Roman" w:cs="Times New Roman"/>
          <w:spacing w:val="-4"/>
          <w:w w:val="90"/>
          <w:sz w:val="16"/>
          <w:szCs w:val="16"/>
        </w:rPr>
        <w:t xml:space="preserve"> </w:t>
      </w:r>
      <w:r>
        <w:rPr>
          <w:rFonts w:ascii="Arial" w:hAnsi="Arial" w:cs="Arial"/>
          <w:w w:val="90"/>
          <w:sz w:val="15"/>
          <w:szCs w:val="15"/>
        </w:rPr>
        <w:t>&lt;</w:t>
      </w:r>
      <w:proofErr w:type="spellStart"/>
      <w:r>
        <w:rPr>
          <w:rFonts w:ascii="Arial" w:hAnsi="Arial" w:cs="Arial"/>
          <w:w w:val="90"/>
          <w:sz w:val="15"/>
          <w:szCs w:val="15"/>
        </w:rPr>
        <w:t>ll</w:t>
      </w:r>
      <w:proofErr w:type="spellEnd"/>
      <w:r>
        <w:rPr>
          <w:rFonts w:ascii="Arial" w:hAnsi="Arial" w:cs="Arial"/>
          <w:w w:val="90"/>
          <w:sz w:val="15"/>
          <w:szCs w:val="15"/>
        </w:rPr>
        <w:tab/>
      </w:r>
      <w:r>
        <w:rPr>
          <w:rFonts w:ascii="Times New Roman" w:hAnsi="Times New Roman" w:cs="Times New Roman"/>
          <w:w w:val="90"/>
          <w:position w:val="-3"/>
          <w:sz w:val="16"/>
          <w:szCs w:val="16"/>
        </w:rPr>
        <w:t>978-388-1888</w:t>
      </w:r>
      <w:r>
        <w:rPr>
          <w:rFonts w:ascii="Times New Roman" w:hAnsi="Times New Roman" w:cs="Times New Roman"/>
          <w:spacing w:val="-9"/>
          <w:w w:val="90"/>
          <w:position w:val="-3"/>
          <w:sz w:val="16"/>
          <w:szCs w:val="16"/>
        </w:rPr>
        <w:t xml:space="preserve"> </w:t>
      </w:r>
      <w:r>
        <w:rPr>
          <w:rFonts w:ascii="Arial" w:hAnsi="Arial" w:cs="Arial"/>
          <w:w w:val="90"/>
          <w:position w:val="-3"/>
          <w:sz w:val="15"/>
          <w:szCs w:val="15"/>
        </w:rPr>
        <w:t>&lt;</w:t>
      </w:r>
      <w:proofErr w:type="spellStart"/>
      <w:r>
        <w:rPr>
          <w:rFonts w:ascii="Arial" w:hAnsi="Arial" w:cs="Arial"/>
          <w:w w:val="90"/>
          <w:position w:val="-3"/>
          <w:sz w:val="15"/>
          <w:szCs w:val="15"/>
        </w:rPr>
        <w:t>ll</w:t>
      </w:r>
      <w:proofErr w:type="spellEnd"/>
      <w:r>
        <w:rPr>
          <w:rFonts w:ascii="Arial" w:hAnsi="Arial" w:cs="Arial"/>
          <w:w w:val="90"/>
          <w:position w:val="-3"/>
          <w:sz w:val="15"/>
          <w:szCs w:val="15"/>
        </w:rPr>
        <w:tab/>
      </w:r>
      <w:r>
        <w:rPr>
          <w:rFonts w:ascii="Times New Roman" w:hAnsi="Times New Roman" w:cs="Times New Roman"/>
          <w:w w:val="95"/>
          <w:position w:val="1"/>
          <w:sz w:val="16"/>
          <w:szCs w:val="16"/>
        </w:rPr>
        <w:t>508-588-8255</w:t>
      </w:r>
      <w:r>
        <w:rPr>
          <w:rFonts w:ascii="Times New Roman" w:hAnsi="Times New Roman" w:cs="Times New Roman"/>
          <w:spacing w:val="-16"/>
          <w:w w:val="95"/>
          <w:position w:val="1"/>
          <w:sz w:val="16"/>
          <w:szCs w:val="16"/>
        </w:rPr>
        <w:t xml:space="preserve"> </w:t>
      </w:r>
      <w:r>
        <w:rPr>
          <w:rFonts w:ascii="Times New Roman" w:hAnsi="Times New Roman" w:cs="Times New Roman"/>
          <w:w w:val="95"/>
          <w:position w:val="1"/>
          <w:sz w:val="16"/>
          <w:szCs w:val="16"/>
        </w:rPr>
        <w:t>*</w:t>
      </w:r>
      <w:r>
        <w:rPr>
          <w:rFonts w:ascii="Arial" w:hAnsi="Arial" w:cs="Arial"/>
          <w:w w:val="95"/>
          <w:position w:val="1"/>
          <w:sz w:val="15"/>
          <w:szCs w:val="15"/>
        </w:rPr>
        <w:t>&lt;</w:t>
      </w:r>
      <w:proofErr w:type="spellStart"/>
      <w:r>
        <w:rPr>
          <w:rFonts w:ascii="Arial" w:hAnsi="Arial" w:cs="Arial"/>
          <w:w w:val="95"/>
          <w:position w:val="1"/>
          <w:sz w:val="15"/>
          <w:szCs w:val="15"/>
        </w:rPr>
        <w:t>ll</w:t>
      </w:r>
      <w:proofErr w:type="spellEnd"/>
    </w:p>
    <w:p w:rsidR="002C5025" w:rsidRDefault="002C5025">
      <w:pPr>
        <w:pStyle w:val="BodyText"/>
        <w:tabs>
          <w:tab w:val="left" w:pos="5370"/>
          <w:tab w:val="left" w:pos="9023"/>
        </w:tabs>
        <w:kinsoku w:val="0"/>
        <w:overflowPunct w:val="0"/>
        <w:spacing w:line="162" w:lineRule="exact"/>
        <w:ind w:left="992"/>
        <w:rPr>
          <w:rFonts w:ascii="Arial" w:hAnsi="Arial" w:cs="Arial"/>
          <w:w w:val="95"/>
          <w:position w:val="1"/>
          <w:sz w:val="15"/>
          <w:szCs w:val="15"/>
        </w:rPr>
        <w:sectPr w:rsidR="002C5025">
          <w:type w:val="continuous"/>
          <w:pgSz w:w="15840" w:h="12240" w:orient="landscape"/>
          <w:pgMar w:top="720" w:right="220" w:bottom="280" w:left="140" w:header="720" w:footer="720" w:gutter="0"/>
          <w:cols w:num="2" w:space="720" w:equalWidth="0">
            <w:col w:w="2344" w:space="40"/>
            <w:col w:w="13096"/>
          </w:cols>
          <w:noEndnote/>
        </w:sectPr>
      </w:pPr>
    </w:p>
    <w:p w:rsidR="002C5025" w:rsidRDefault="00FB027C">
      <w:pPr>
        <w:pStyle w:val="BodyText"/>
        <w:tabs>
          <w:tab w:val="left" w:pos="2627"/>
          <w:tab w:val="left" w:pos="4856"/>
          <w:tab w:val="left" w:pos="11413"/>
        </w:tabs>
        <w:kinsoku w:val="0"/>
        <w:overflowPunct w:val="0"/>
        <w:spacing w:line="214" w:lineRule="exact"/>
        <w:ind w:left="584"/>
        <w:rPr>
          <w:rFonts w:ascii="Arial" w:hAnsi="Arial" w:cs="Arial"/>
          <w:w w:val="90"/>
          <w:position w:val="-3"/>
          <w:sz w:val="15"/>
          <w:szCs w:val="15"/>
        </w:rPr>
      </w:pPr>
      <w:r>
        <w:rPr>
          <w:noProof/>
        </w:rPr>
        <w:lastRenderedPageBreak/>
        <mc:AlternateContent>
          <mc:Choice Requires="wps">
            <w:drawing>
              <wp:anchor distT="0" distB="0" distL="114300" distR="114300" simplePos="0" relativeHeight="251696640" behindDoc="1" locked="0" layoutInCell="0" allowOverlap="1">
                <wp:simplePos x="0" y="0"/>
                <wp:positionH relativeFrom="page">
                  <wp:posOffset>633730</wp:posOffset>
                </wp:positionH>
                <wp:positionV relativeFrom="paragraph">
                  <wp:posOffset>123190</wp:posOffset>
                </wp:positionV>
                <wp:extent cx="8400415" cy="173990"/>
                <wp:effectExtent l="0" t="0" r="0" b="0"/>
                <wp:wrapNone/>
                <wp:docPr id="429" name="Text Box 5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041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pStyle w:val="BodyText"/>
                              <w:tabs>
                                <w:tab w:val="left" w:pos="633"/>
                                <w:tab w:val="left" w:pos="6614"/>
                                <w:tab w:val="left" w:pos="9304"/>
                                <w:tab w:val="left" w:pos="9791"/>
                                <w:tab w:val="left" w:pos="11942"/>
                              </w:tabs>
                              <w:kinsoku w:val="0"/>
                              <w:overflowPunct w:val="0"/>
                              <w:spacing w:line="274" w:lineRule="exact"/>
                              <w:rPr>
                                <w:rFonts w:ascii="Arial" w:hAnsi="Arial" w:cs="Arial"/>
                                <w:spacing w:val="-7"/>
                                <w:sz w:val="15"/>
                                <w:szCs w:val="15"/>
                              </w:rPr>
                            </w:pPr>
                            <w:r>
                              <w:rPr>
                                <w:rFonts w:ascii="Times New Roman" w:hAnsi="Times New Roman" w:cs="Times New Roman"/>
                                <w:w w:val="85"/>
                                <w:position w:val="3"/>
                                <w:sz w:val="18"/>
                                <w:szCs w:val="18"/>
                              </w:rPr>
                              <w:t>Boston:</w:t>
                            </w:r>
                            <w:r>
                              <w:rPr>
                                <w:rFonts w:ascii="Times New Roman" w:hAnsi="Times New Roman" w:cs="Times New Roman"/>
                                <w:w w:val="85"/>
                                <w:position w:val="3"/>
                                <w:sz w:val="18"/>
                                <w:szCs w:val="18"/>
                              </w:rPr>
                              <w:tab/>
                            </w:r>
                            <w:r>
                              <w:rPr>
                                <w:rFonts w:ascii="Times New Roman" w:hAnsi="Times New Roman" w:cs="Times New Roman"/>
                                <w:w w:val="90"/>
                                <w:position w:val="3"/>
                                <w:sz w:val="16"/>
                                <w:szCs w:val="16"/>
                              </w:rPr>
                              <w:t>617-667-8141</w:t>
                            </w:r>
                            <w:r>
                              <w:rPr>
                                <w:rFonts w:ascii="Times New Roman" w:hAnsi="Times New Roman" w:cs="Times New Roman"/>
                                <w:w w:val="90"/>
                                <w:position w:val="3"/>
                                <w:sz w:val="16"/>
                                <w:szCs w:val="16"/>
                              </w:rPr>
                              <w:tab/>
                            </w:r>
                            <w:r>
                              <w:rPr>
                                <w:rFonts w:ascii="Times New Roman" w:hAnsi="Times New Roman" w:cs="Times New Roman"/>
                                <w:w w:val="110"/>
                                <w:position w:val="7"/>
                                <w:sz w:val="16"/>
                                <w:szCs w:val="16"/>
                              </w:rPr>
                              <w:t xml:space="preserve">0  </w:t>
                            </w:r>
                            <w:r>
                              <w:rPr>
                                <w:rFonts w:ascii="Arial" w:hAnsi="Arial" w:cs="Arial"/>
                                <w:position w:val="8"/>
                                <w:sz w:val="15"/>
                                <w:szCs w:val="15"/>
                              </w:rPr>
                              <w:t>Supportive</w:t>
                            </w:r>
                            <w:r>
                              <w:rPr>
                                <w:rFonts w:ascii="Arial" w:hAnsi="Arial" w:cs="Arial"/>
                                <w:spacing w:val="-34"/>
                                <w:position w:val="8"/>
                                <w:sz w:val="15"/>
                                <w:szCs w:val="15"/>
                              </w:rPr>
                              <w:t xml:space="preserve"> </w:t>
                            </w:r>
                            <w:r>
                              <w:rPr>
                                <w:rFonts w:ascii="Arial" w:hAnsi="Arial" w:cs="Arial"/>
                                <w:position w:val="8"/>
                                <w:sz w:val="15"/>
                                <w:szCs w:val="15"/>
                              </w:rPr>
                              <w:t>Care,</w:t>
                            </w:r>
                            <w:r>
                              <w:rPr>
                                <w:rFonts w:ascii="Arial" w:hAnsi="Arial" w:cs="Arial"/>
                                <w:spacing w:val="-21"/>
                                <w:position w:val="8"/>
                                <w:sz w:val="15"/>
                                <w:szCs w:val="15"/>
                              </w:rPr>
                              <w:t xml:space="preserve"> </w:t>
                            </w:r>
                            <w:r>
                              <w:rPr>
                                <w:rFonts w:ascii="Arial" w:hAnsi="Arial" w:cs="Arial"/>
                                <w:spacing w:val="-7"/>
                                <w:position w:val="8"/>
                                <w:sz w:val="15"/>
                                <w:szCs w:val="15"/>
                              </w:rPr>
                              <w:t>Inc.</w:t>
                            </w:r>
                            <w:r>
                              <w:rPr>
                                <w:rFonts w:ascii="Arial" w:hAnsi="Arial" w:cs="Arial"/>
                                <w:spacing w:val="-7"/>
                                <w:position w:val="8"/>
                                <w:sz w:val="15"/>
                                <w:szCs w:val="15"/>
                              </w:rPr>
                              <w:tab/>
                            </w:r>
                            <w:r>
                              <w:rPr>
                                <w:rFonts w:ascii="Times New Roman" w:hAnsi="Times New Roman" w:cs="Times New Roman"/>
                                <w:w w:val="110"/>
                                <w:position w:val="-4"/>
                                <w:sz w:val="16"/>
                                <w:szCs w:val="16"/>
                              </w:rPr>
                              <w:t>®*</w:t>
                            </w:r>
                            <w:r>
                              <w:rPr>
                                <w:rFonts w:ascii="Times New Roman" w:hAnsi="Times New Roman" w:cs="Times New Roman"/>
                                <w:w w:val="110"/>
                                <w:position w:val="-4"/>
                                <w:sz w:val="16"/>
                                <w:szCs w:val="16"/>
                              </w:rPr>
                              <w:tab/>
                            </w:r>
                            <w:proofErr w:type="spellStart"/>
                            <w:r>
                              <w:rPr>
                                <w:rFonts w:ascii="Times New Roman" w:hAnsi="Times New Roman" w:cs="Times New Roman"/>
                                <w:spacing w:val="2"/>
                                <w:sz w:val="16"/>
                                <w:szCs w:val="16"/>
                              </w:rPr>
                              <w:t>ASafe</w:t>
                            </w:r>
                            <w:proofErr w:type="spellEnd"/>
                            <w:r>
                              <w:rPr>
                                <w:rFonts w:ascii="Times New Roman" w:hAnsi="Times New Roman" w:cs="Times New Roman"/>
                                <w:spacing w:val="-30"/>
                                <w:sz w:val="16"/>
                                <w:szCs w:val="16"/>
                              </w:rPr>
                              <w:t xml:space="preserve"> </w:t>
                            </w:r>
                            <w:r>
                              <w:rPr>
                                <w:rFonts w:ascii="Times New Roman" w:hAnsi="Times New Roman" w:cs="Times New Roman"/>
                                <w:sz w:val="16"/>
                                <w:szCs w:val="16"/>
                              </w:rPr>
                              <w:t>Place</w:t>
                            </w:r>
                            <w:r>
                              <w:rPr>
                                <w:rFonts w:ascii="Times New Roman" w:hAnsi="Times New Roman" w:cs="Times New Roman"/>
                                <w:sz w:val="16"/>
                                <w:szCs w:val="16"/>
                              </w:rPr>
                              <w:tab/>
                            </w:r>
                            <w:r>
                              <w:rPr>
                                <w:rFonts w:ascii="Times New Roman" w:hAnsi="Times New Roman" w:cs="Times New Roman"/>
                                <w:w w:val="110"/>
                                <w:position w:val="-4"/>
                                <w:sz w:val="16"/>
                                <w:szCs w:val="16"/>
                              </w:rPr>
                              <w:t xml:space="preserve">®*  </w:t>
                            </w:r>
                            <w:r>
                              <w:rPr>
                                <w:rFonts w:ascii="Arial" w:hAnsi="Arial" w:cs="Arial"/>
                                <w:sz w:val="15"/>
                                <w:szCs w:val="15"/>
                              </w:rPr>
                              <w:t>New Hope,</w:t>
                            </w:r>
                            <w:r>
                              <w:rPr>
                                <w:rFonts w:ascii="Arial" w:hAnsi="Arial" w:cs="Arial"/>
                                <w:spacing w:val="-32"/>
                                <w:sz w:val="15"/>
                                <w:szCs w:val="15"/>
                              </w:rPr>
                              <w:t xml:space="preserve"> </w:t>
                            </w:r>
                            <w:r>
                              <w:rPr>
                                <w:rFonts w:ascii="Arial" w:hAnsi="Arial" w:cs="Arial"/>
                                <w:spacing w:val="-7"/>
                                <w:sz w:val="15"/>
                                <w:szCs w:val="15"/>
                              </w:rPr>
                              <w:t>Inc.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6" o:spid="_x0000_s1193" type="#_x0000_t202" style="position:absolute;left:0;text-align:left;margin-left:49.9pt;margin-top:9.7pt;width:661.45pt;height:13.7pt;z-index:-251619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" o:allowincell="f" filled="f" stroked="f">
                <v:textbox inset="0,0,0,0">
                  <w:txbxContent>
                    <w:p w:rsidR="007B2B7B" w:rsidRDefault="007B2B7B">
                      <w:pPr>
                        <w:pStyle w:val="BodyText"/>
                        <w:tabs>
                          <w:tab w:val="left" w:pos="633"/>
                          <w:tab w:val="left" w:pos="6614"/>
                          <w:tab w:val="left" w:pos="9304"/>
                          <w:tab w:val="left" w:pos="9791"/>
                          <w:tab w:val="left" w:pos="11942"/>
                        </w:tabs>
                        <w:kinsoku w:val="0"/>
                        <w:overflowPunct w:val="0"/>
                        <w:spacing w:line="274" w:lineRule="exact"/>
                        <w:rPr>
                          <w:rFonts w:ascii="Arial" w:hAnsi="Arial" w:cs="Arial"/>
                          <w:spacing w:val="-7"/>
                          <w:sz w:val="15"/>
                          <w:szCs w:val="15"/>
                        </w:rPr>
                      </w:pPr>
                      <w:r>
                        <w:rPr>
                          <w:rFonts w:ascii="Times New Roman" w:hAnsi="Times New Roman" w:cs="Times New Roman"/>
                          <w:w w:val="85"/>
                          <w:position w:val="3"/>
                          <w:sz w:val="18"/>
                          <w:szCs w:val="18"/>
                        </w:rPr>
                        <w:t>Boston:</w:t>
                      </w:r>
                      <w:r>
                        <w:rPr>
                          <w:rFonts w:ascii="Times New Roman" w:hAnsi="Times New Roman" w:cs="Times New Roman"/>
                          <w:w w:val="85"/>
                          <w:position w:val="3"/>
                          <w:sz w:val="18"/>
                          <w:szCs w:val="18"/>
                        </w:rPr>
                        <w:tab/>
                      </w:r>
                      <w:r>
                        <w:rPr>
                          <w:rFonts w:ascii="Times New Roman" w:hAnsi="Times New Roman" w:cs="Times New Roman"/>
                          <w:w w:val="90"/>
                          <w:position w:val="3"/>
                          <w:sz w:val="16"/>
                          <w:szCs w:val="16"/>
                        </w:rPr>
                        <w:t>617-667-8141</w:t>
                      </w:r>
                      <w:r>
                        <w:rPr>
                          <w:rFonts w:ascii="Times New Roman" w:hAnsi="Times New Roman" w:cs="Times New Roman"/>
                          <w:w w:val="90"/>
                          <w:position w:val="3"/>
                          <w:sz w:val="16"/>
                          <w:szCs w:val="16"/>
                        </w:rPr>
                        <w:tab/>
                      </w:r>
                      <w:r>
                        <w:rPr>
                          <w:rFonts w:ascii="Times New Roman" w:hAnsi="Times New Roman" w:cs="Times New Roman"/>
                          <w:w w:val="110"/>
                          <w:position w:val="7"/>
                          <w:sz w:val="16"/>
                          <w:szCs w:val="16"/>
                        </w:rPr>
                        <w:t xml:space="preserve">0  </w:t>
                      </w:r>
                      <w:r>
                        <w:rPr>
                          <w:rFonts w:ascii="Arial" w:hAnsi="Arial" w:cs="Arial"/>
                          <w:position w:val="8"/>
                          <w:sz w:val="15"/>
                          <w:szCs w:val="15"/>
                        </w:rPr>
                        <w:t>Supportive</w:t>
                      </w:r>
                      <w:r>
                        <w:rPr>
                          <w:rFonts w:ascii="Arial" w:hAnsi="Arial" w:cs="Arial"/>
                          <w:spacing w:val="-34"/>
                          <w:position w:val="8"/>
                          <w:sz w:val="15"/>
                          <w:szCs w:val="15"/>
                        </w:rPr>
                        <w:t xml:space="preserve"> </w:t>
                      </w:r>
                      <w:r>
                        <w:rPr>
                          <w:rFonts w:ascii="Arial" w:hAnsi="Arial" w:cs="Arial"/>
                          <w:position w:val="8"/>
                          <w:sz w:val="15"/>
                          <w:szCs w:val="15"/>
                        </w:rPr>
                        <w:t>Care,</w:t>
                      </w:r>
                      <w:r>
                        <w:rPr>
                          <w:rFonts w:ascii="Arial" w:hAnsi="Arial" w:cs="Arial"/>
                          <w:spacing w:val="-21"/>
                          <w:position w:val="8"/>
                          <w:sz w:val="15"/>
                          <w:szCs w:val="15"/>
                        </w:rPr>
                        <w:t xml:space="preserve"> </w:t>
                      </w:r>
                      <w:r>
                        <w:rPr>
                          <w:rFonts w:ascii="Arial" w:hAnsi="Arial" w:cs="Arial"/>
                          <w:spacing w:val="-7"/>
                          <w:position w:val="8"/>
                          <w:sz w:val="15"/>
                          <w:szCs w:val="15"/>
                        </w:rPr>
                        <w:t>Inc.</w:t>
                      </w:r>
                      <w:r>
                        <w:rPr>
                          <w:rFonts w:ascii="Arial" w:hAnsi="Arial" w:cs="Arial"/>
                          <w:spacing w:val="-7"/>
                          <w:position w:val="8"/>
                          <w:sz w:val="15"/>
                          <w:szCs w:val="15"/>
                        </w:rPr>
                        <w:tab/>
                      </w:r>
                      <w:r>
                        <w:rPr>
                          <w:rFonts w:ascii="Times New Roman" w:hAnsi="Times New Roman" w:cs="Times New Roman"/>
                          <w:w w:val="110"/>
                          <w:position w:val="-4"/>
                          <w:sz w:val="16"/>
                          <w:szCs w:val="16"/>
                        </w:rPr>
                        <w:t>®*</w:t>
                      </w:r>
                      <w:r>
                        <w:rPr>
                          <w:rFonts w:ascii="Times New Roman" w:hAnsi="Times New Roman" w:cs="Times New Roman"/>
                          <w:w w:val="110"/>
                          <w:position w:val="-4"/>
                          <w:sz w:val="16"/>
                          <w:szCs w:val="16"/>
                        </w:rPr>
                        <w:tab/>
                      </w:r>
                      <w:r>
                        <w:rPr>
                          <w:rFonts w:ascii="Times New Roman" w:hAnsi="Times New Roman" w:cs="Times New Roman"/>
                          <w:spacing w:val="2"/>
                          <w:sz w:val="16"/>
                          <w:szCs w:val="16"/>
                        </w:rPr>
                        <w:t>ASafe</w:t>
                      </w:r>
                      <w:r>
                        <w:rPr>
                          <w:rFonts w:ascii="Times New Roman" w:hAnsi="Times New Roman" w:cs="Times New Roman"/>
                          <w:spacing w:val="-30"/>
                          <w:sz w:val="16"/>
                          <w:szCs w:val="16"/>
                        </w:rPr>
                        <w:t xml:space="preserve"> </w:t>
                      </w:r>
                      <w:r>
                        <w:rPr>
                          <w:rFonts w:ascii="Times New Roman" w:hAnsi="Times New Roman" w:cs="Times New Roman"/>
                          <w:sz w:val="16"/>
                          <w:szCs w:val="16"/>
                        </w:rPr>
                        <w:t>Place</w:t>
                      </w:r>
                      <w:r>
                        <w:rPr>
                          <w:rFonts w:ascii="Times New Roman" w:hAnsi="Times New Roman" w:cs="Times New Roman"/>
                          <w:sz w:val="16"/>
                          <w:szCs w:val="16"/>
                        </w:rPr>
                        <w:tab/>
                      </w:r>
                      <w:r>
                        <w:rPr>
                          <w:rFonts w:ascii="Times New Roman" w:hAnsi="Times New Roman" w:cs="Times New Roman"/>
                          <w:w w:val="110"/>
                          <w:position w:val="-4"/>
                          <w:sz w:val="16"/>
                          <w:szCs w:val="16"/>
                        </w:rPr>
                        <w:t xml:space="preserve">®*  </w:t>
                      </w:r>
                      <w:r>
                        <w:rPr>
                          <w:rFonts w:ascii="Arial" w:hAnsi="Arial" w:cs="Arial"/>
                          <w:sz w:val="15"/>
                          <w:szCs w:val="15"/>
                        </w:rPr>
                        <w:t>New Hope,</w:t>
                      </w:r>
                      <w:r>
                        <w:rPr>
                          <w:rFonts w:ascii="Arial" w:hAnsi="Arial" w:cs="Arial"/>
                          <w:spacing w:val="-32"/>
                          <w:sz w:val="15"/>
                          <w:szCs w:val="15"/>
                        </w:rPr>
                        <w:t xml:space="preserve"> </w:t>
                      </w:r>
                      <w:r>
                        <w:rPr>
                          <w:rFonts w:ascii="Arial" w:hAnsi="Arial" w:cs="Arial"/>
                          <w:spacing w:val="-7"/>
                          <w:sz w:val="15"/>
                          <w:szCs w:val="15"/>
                        </w:rPr>
                        <w:t>Inc.</w:t>
                      </w:r>
                    </w:p>
                  </w:txbxContent>
                </v:textbox>
                <w10:wrap anchorx="page"/>
              </v:shape>
            </w:pict>
          </mc:Fallback>
        </mc:AlternateContent>
      </w:r>
      <w:r>
        <w:rPr>
          <w:noProof/>
        </w:rPr>
        <mc:AlternateContent>
          <mc:Choice Requires="wps">
            <w:drawing>
              <wp:anchor distT="0" distB="0" distL="114300" distR="114300" simplePos="0" relativeHeight="251697664" behindDoc="1" locked="0" layoutInCell="0" allowOverlap="1">
                <wp:simplePos x="0" y="0"/>
                <wp:positionH relativeFrom="page">
                  <wp:posOffset>633730</wp:posOffset>
                </wp:positionH>
                <wp:positionV relativeFrom="paragraph">
                  <wp:posOffset>73025</wp:posOffset>
                </wp:positionV>
                <wp:extent cx="561340" cy="96520"/>
                <wp:effectExtent l="0" t="0" r="0" b="0"/>
                <wp:wrapNone/>
                <wp:docPr id="428" name="Text Box 5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96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pStyle w:val="BodyText"/>
                              <w:kinsoku w:val="0"/>
                              <w:overflowPunct w:val="0"/>
                              <w:spacing w:line="151" w:lineRule="exact"/>
                              <w:ind w:right="-12"/>
                              <w:rPr>
                                <w:rFonts w:ascii="Arial" w:hAnsi="Arial" w:cs="Arial"/>
                                <w:spacing w:val="-3"/>
                                <w:w w:val="90"/>
                                <w:sz w:val="15"/>
                                <w:szCs w:val="15"/>
                              </w:rPr>
                            </w:pPr>
                            <w:r>
                              <w:rPr>
                                <w:rFonts w:ascii="Arial" w:hAnsi="Arial" w:cs="Arial"/>
                                <w:w w:val="90"/>
                                <w:sz w:val="15"/>
                                <w:szCs w:val="15"/>
                              </w:rPr>
                              <w:t>Medical</w:t>
                            </w:r>
                            <w:r>
                              <w:rPr>
                                <w:rFonts w:ascii="Arial" w:hAnsi="Arial" w:cs="Arial"/>
                                <w:spacing w:val="-14"/>
                                <w:w w:val="90"/>
                                <w:sz w:val="15"/>
                                <w:szCs w:val="15"/>
                              </w:rPr>
                              <w:t xml:space="preserve"> </w:t>
                            </w:r>
                            <w:r>
                              <w:rPr>
                                <w:rFonts w:ascii="Arial" w:hAnsi="Arial" w:cs="Arial"/>
                                <w:spacing w:val="-3"/>
                                <w:w w:val="90"/>
                                <w:sz w:val="15"/>
                                <w:szCs w:val="15"/>
                              </w:rPr>
                              <w:t>Center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7" o:spid="_x0000_s1194" type="#_x0000_t202" style="position:absolute;left:0;text-align:left;margin-left:49.9pt;margin-top:5.75pt;width:44.2pt;height:7.6pt;z-index:-251618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" o:allowincell="f" filled="f" stroked="f">
                <v:textbox inset="0,0,0,0">
                  <w:txbxContent>
                    <w:p w:rsidR="007B2B7B" w:rsidRDefault="007B2B7B">
                      <w:pPr>
                        <w:pStyle w:val="BodyText"/>
                        <w:kinsoku w:val="0"/>
                        <w:overflowPunct w:val="0"/>
                        <w:spacing w:line="151" w:lineRule="exact"/>
                        <w:ind w:right="-12"/>
                        <w:rPr>
                          <w:rFonts w:ascii="Arial" w:hAnsi="Arial" w:cs="Arial"/>
                          <w:spacing w:val="-3"/>
                          <w:w w:val="90"/>
                          <w:sz w:val="15"/>
                          <w:szCs w:val="15"/>
                        </w:rPr>
                      </w:pPr>
                      <w:r>
                        <w:rPr>
                          <w:rFonts w:ascii="Arial" w:hAnsi="Arial" w:cs="Arial"/>
                          <w:w w:val="90"/>
                          <w:sz w:val="15"/>
                          <w:szCs w:val="15"/>
                        </w:rPr>
                        <w:t>Medical</w:t>
                      </w:r>
                      <w:r>
                        <w:rPr>
                          <w:rFonts w:ascii="Arial" w:hAnsi="Arial" w:cs="Arial"/>
                          <w:spacing w:val="-14"/>
                          <w:w w:val="90"/>
                          <w:sz w:val="15"/>
                          <w:szCs w:val="15"/>
                        </w:rPr>
                        <w:t xml:space="preserve"> </w:t>
                      </w:r>
                      <w:r>
                        <w:rPr>
                          <w:rFonts w:ascii="Arial" w:hAnsi="Arial" w:cs="Arial"/>
                          <w:spacing w:val="-3"/>
                          <w:w w:val="90"/>
                          <w:sz w:val="15"/>
                          <w:szCs w:val="15"/>
                        </w:rPr>
                        <w:t>Center</w:t>
                      </w:r>
                    </w:p>
                  </w:txbxContent>
                </v:textbox>
                <w10:wrap anchorx="page"/>
              </v:shape>
            </w:pict>
          </mc:Fallback>
        </mc:AlternateContent>
      </w:r>
      <w:r w:rsidR="002C5025">
        <w:rPr>
          <w:rFonts w:ascii="Times New Roman" w:hAnsi="Times New Roman" w:cs="Times New Roman"/>
          <w:w w:val="145"/>
          <w:position w:val="5"/>
          <w:sz w:val="16"/>
          <w:szCs w:val="16"/>
        </w:rPr>
        <w:t>*</w:t>
      </w:r>
      <w:r w:rsidR="002C5025">
        <w:rPr>
          <w:rFonts w:ascii="Times New Roman" w:hAnsi="Times New Roman" w:cs="Times New Roman"/>
          <w:w w:val="145"/>
          <w:position w:val="5"/>
          <w:sz w:val="16"/>
          <w:szCs w:val="16"/>
        </w:rPr>
        <w:tab/>
      </w:r>
      <w:r w:rsidR="002C5025">
        <w:rPr>
          <w:rFonts w:ascii="Times New Roman" w:hAnsi="Times New Roman" w:cs="Times New Roman"/>
          <w:position w:val="1"/>
          <w:sz w:val="16"/>
          <w:szCs w:val="16"/>
        </w:rPr>
        <w:t>ES</w:t>
      </w:r>
      <w:r w:rsidR="002C5025">
        <w:rPr>
          <w:rFonts w:ascii="Times New Roman" w:hAnsi="Times New Roman" w:cs="Times New Roman"/>
          <w:position w:val="1"/>
          <w:sz w:val="16"/>
          <w:szCs w:val="16"/>
        </w:rPr>
        <w:tab/>
      </w:r>
      <w:r w:rsidR="002C5025">
        <w:rPr>
          <w:rFonts w:ascii="Times New Roman" w:hAnsi="Times New Roman" w:cs="Times New Roman"/>
          <w:position w:val="-4"/>
          <w:sz w:val="16"/>
          <w:szCs w:val="16"/>
        </w:rPr>
        <w:t>*</w:t>
      </w:r>
      <w:r w:rsidR="002C5025">
        <w:rPr>
          <w:rFonts w:ascii="Times New Roman" w:hAnsi="Times New Roman" w:cs="Times New Roman"/>
          <w:spacing w:val="32"/>
          <w:position w:val="-4"/>
          <w:sz w:val="16"/>
          <w:szCs w:val="16"/>
        </w:rPr>
        <w:t xml:space="preserve"> </w:t>
      </w:r>
      <w:proofErr w:type="spellStart"/>
      <w:r w:rsidR="002C5025">
        <w:rPr>
          <w:rFonts w:ascii="Arial" w:hAnsi="Arial" w:cs="Arial"/>
          <w:sz w:val="15"/>
          <w:szCs w:val="15"/>
        </w:rPr>
        <w:t>Pathwaysfor</w:t>
      </w:r>
      <w:proofErr w:type="spellEnd"/>
      <w:r w:rsidR="002C5025">
        <w:rPr>
          <w:rFonts w:ascii="Arial" w:hAnsi="Arial" w:cs="Arial"/>
          <w:spacing w:val="-28"/>
          <w:sz w:val="15"/>
          <w:szCs w:val="15"/>
        </w:rPr>
        <w:t xml:space="preserve"> </w:t>
      </w:r>
      <w:r w:rsidR="002C5025">
        <w:rPr>
          <w:rFonts w:ascii="Arial" w:hAnsi="Arial" w:cs="Arial"/>
          <w:sz w:val="15"/>
          <w:szCs w:val="15"/>
        </w:rPr>
        <w:t>Change</w:t>
      </w:r>
      <w:r w:rsidR="002C5025">
        <w:rPr>
          <w:rFonts w:ascii="Arial" w:hAnsi="Arial" w:cs="Arial"/>
          <w:sz w:val="15"/>
          <w:szCs w:val="15"/>
        </w:rPr>
        <w:tab/>
      </w:r>
      <w:r w:rsidR="002C5025">
        <w:rPr>
          <w:rFonts w:ascii="Times New Roman" w:hAnsi="Times New Roman" w:cs="Times New Roman"/>
          <w:w w:val="90"/>
          <w:position w:val="-3"/>
          <w:sz w:val="16"/>
          <w:szCs w:val="16"/>
        </w:rPr>
        <w:t>508-588-2041</w:t>
      </w:r>
      <w:r w:rsidR="002C5025">
        <w:rPr>
          <w:rFonts w:ascii="Times New Roman" w:hAnsi="Times New Roman" w:cs="Times New Roman"/>
          <w:spacing w:val="-5"/>
          <w:w w:val="90"/>
          <w:position w:val="-3"/>
          <w:sz w:val="16"/>
          <w:szCs w:val="16"/>
        </w:rPr>
        <w:t xml:space="preserve"> </w:t>
      </w:r>
      <w:r w:rsidR="002C5025">
        <w:rPr>
          <w:rFonts w:ascii="Times New Roman" w:hAnsi="Times New Roman" w:cs="Times New Roman"/>
          <w:w w:val="90"/>
          <w:position w:val="-3"/>
          <w:sz w:val="16"/>
          <w:szCs w:val="16"/>
        </w:rPr>
        <w:t>®</w:t>
      </w:r>
      <w:r w:rsidR="002C5025">
        <w:rPr>
          <w:rFonts w:ascii="Arial" w:hAnsi="Arial" w:cs="Arial"/>
          <w:w w:val="90"/>
          <w:position w:val="-3"/>
          <w:sz w:val="15"/>
          <w:szCs w:val="15"/>
        </w:rPr>
        <w:t>&lt;</w:t>
      </w:r>
      <w:proofErr w:type="spellStart"/>
      <w:r w:rsidR="002C5025">
        <w:rPr>
          <w:rFonts w:ascii="Arial" w:hAnsi="Arial" w:cs="Arial"/>
          <w:w w:val="90"/>
          <w:position w:val="-3"/>
          <w:sz w:val="15"/>
          <w:szCs w:val="15"/>
        </w:rPr>
        <w:t>ll</w:t>
      </w:r>
      <w:proofErr w:type="spellEnd"/>
    </w:p>
    <w:p w:rsidR="002C5025" w:rsidRDefault="002C5025">
      <w:pPr>
        <w:pStyle w:val="BodyText"/>
        <w:kinsoku w:val="0"/>
        <w:overflowPunct w:val="0"/>
        <w:spacing w:line="77" w:lineRule="exact"/>
        <w:ind w:right="3481"/>
        <w:jc w:val="center"/>
        <w:rPr>
          <w:rFonts w:ascii="Arial" w:hAnsi="Arial" w:cs="Arial"/>
          <w:w w:val="85"/>
          <w:sz w:val="15"/>
          <w:szCs w:val="15"/>
        </w:rPr>
      </w:pPr>
      <w:r>
        <w:rPr>
          <w:rFonts w:ascii="Arial" w:hAnsi="Arial" w:cs="Arial"/>
          <w:w w:val="85"/>
          <w:sz w:val="15"/>
          <w:szCs w:val="15"/>
        </w:rPr>
        <w:t>(Rape Crisis Center of Central</w:t>
      </w:r>
    </w:p>
    <w:p w:rsidR="002C5025" w:rsidRDefault="002C5025">
      <w:pPr>
        <w:pStyle w:val="BodyText"/>
        <w:tabs>
          <w:tab w:val="left" w:pos="7458"/>
          <w:tab w:val="left" w:pos="8559"/>
          <w:tab w:val="left" w:pos="10659"/>
          <w:tab w:val="left" w:pos="13196"/>
        </w:tabs>
        <w:kinsoku w:val="0"/>
        <w:overflowPunct w:val="0"/>
        <w:spacing w:line="86" w:lineRule="exact"/>
        <w:ind w:left="5180"/>
        <w:rPr>
          <w:rFonts w:ascii="Arial" w:hAnsi="Arial" w:cs="Arial"/>
          <w:spacing w:val="-3"/>
          <w:sz w:val="15"/>
          <w:szCs w:val="15"/>
        </w:rPr>
      </w:pPr>
      <w:r>
        <w:rPr>
          <w:rFonts w:ascii="Arial" w:hAnsi="Arial" w:cs="Arial"/>
          <w:w w:val="85"/>
          <w:position w:val="10"/>
          <w:sz w:val="15"/>
          <w:szCs w:val="15"/>
        </w:rPr>
        <w:t>Massachusetts)</w:t>
      </w:r>
      <w:r>
        <w:rPr>
          <w:rFonts w:ascii="Arial" w:hAnsi="Arial" w:cs="Arial"/>
          <w:w w:val="85"/>
          <w:position w:val="10"/>
          <w:sz w:val="15"/>
          <w:szCs w:val="15"/>
        </w:rPr>
        <w:tab/>
      </w:r>
      <w:r>
        <w:rPr>
          <w:rFonts w:ascii="Times New Roman" w:hAnsi="Times New Roman" w:cs="Times New Roman"/>
          <w:position w:val="1"/>
          <w:sz w:val="16"/>
          <w:szCs w:val="16"/>
        </w:rPr>
        <w:t>ES</w:t>
      </w:r>
      <w:r>
        <w:rPr>
          <w:rFonts w:ascii="Times New Roman" w:hAnsi="Times New Roman" w:cs="Times New Roman"/>
          <w:spacing w:val="-1"/>
          <w:position w:val="1"/>
          <w:sz w:val="16"/>
          <w:szCs w:val="16"/>
        </w:rPr>
        <w:t xml:space="preserve"> </w:t>
      </w:r>
      <w:r>
        <w:rPr>
          <w:rFonts w:ascii="Arial" w:hAnsi="Arial" w:cs="Arial"/>
          <w:spacing w:val="-3"/>
          <w:position w:val="5"/>
          <w:sz w:val="15"/>
          <w:szCs w:val="15"/>
        </w:rPr>
        <w:t>Lawrence:</w:t>
      </w:r>
      <w:r>
        <w:rPr>
          <w:rFonts w:ascii="Arial" w:hAnsi="Arial" w:cs="Arial"/>
          <w:spacing w:val="-3"/>
          <w:position w:val="5"/>
          <w:sz w:val="15"/>
          <w:szCs w:val="15"/>
        </w:rPr>
        <w:tab/>
      </w:r>
      <w:r>
        <w:rPr>
          <w:rFonts w:ascii="Times New Roman" w:hAnsi="Times New Roman" w:cs="Times New Roman"/>
          <w:w w:val="85"/>
          <w:position w:val="5"/>
          <w:sz w:val="16"/>
          <w:szCs w:val="16"/>
        </w:rPr>
        <w:t>978-686-1300</w:t>
      </w:r>
      <w:r>
        <w:rPr>
          <w:rFonts w:ascii="Times New Roman" w:hAnsi="Times New Roman" w:cs="Times New Roman"/>
          <w:w w:val="85"/>
          <w:position w:val="5"/>
          <w:sz w:val="16"/>
          <w:szCs w:val="16"/>
        </w:rPr>
        <w:tab/>
      </w:r>
      <w:r>
        <w:rPr>
          <w:rFonts w:ascii="Arial" w:hAnsi="Arial" w:cs="Arial"/>
          <w:w w:val="95"/>
          <w:position w:val="1"/>
          <w:sz w:val="15"/>
          <w:szCs w:val="15"/>
        </w:rPr>
        <w:t>Nantucket:</w:t>
      </w:r>
      <w:r>
        <w:rPr>
          <w:rFonts w:ascii="Arial" w:hAnsi="Arial" w:cs="Arial"/>
          <w:spacing w:val="-3"/>
          <w:w w:val="95"/>
          <w:position w:val="1"/>
          <w:sz w:val="15"/>
          <w:szCs w:val="15"/>
        </w:rPr>
        <w:t xml:space="preserve"> </w:t>
      </w:r>
      <w:r>
        <w:rPr>
          <w:rFonts w:ascii="Times New Roman" w:hAnsi="Times New Roman" w:cs="Times New Roman"/>
          <w:w w:val="95"/>
          <w:position w:val="1"/>
          <w:sz w:val="16"/>
          <w:szCs w:val="16"/>
        </w:rPr>
        <w:t>508-228-2111</w:t>
      </w:r>
      <w:r>
        <w:rPr>
          <w:rFonts w:ascii="Times New Roman" w:hAnsi="Times New Roman" w:cs="Times New Roman"/>
          <w:spacing w:val="-25"/>
          <w:w w:val="95"/>
          <w:position w:val="1"/>
          <w:sz w:val="16"/>
          <w:szCs w:val="16"/>
        </w:rPr>
        <w:t xml:space="preserve"> </w:t>
      </w:r>
      <w:r>
        <w:rPr>
          <w:rFonts w:ascii="Arial" w:hAnsi="Arial" w:cs="Arial"/>
          <w:w w:val="95"/>
          <w:position w:val="1"/>
          <w:sz w:val="15"/>
          <w:szCs w:val="15"/>
        </w:rPr>
        <w:t>&lt;</w:t>
      </w:r>
      <w:proofErr w:type="spellStart"/>
      <w:r>
        <w:rPr>
          <w:rFonts w:ascii="Arial" w:hAnsi="Arial" w:cs="Arial"/>
          <w:w w:val="95"/>
          <w:position w:val="1"/>
          <w:sz w:val="15"/>
          <w:szCs w:val="15"/>
        </w:rPr>
        <w:t>ll</w:t>
      </w:r>
      <w:proofErr w:type="spellEnd"/>
      <w:r>
        <w:rPr>
          <w:rFonts w:ascii="Arial" w:hAnsi="Arial" w:cs="Arial"/>
          <w:w w:val="95"/>
          <w:position w:val="1"/>
          <w:sz w:val="15"/>
          <w:szCs w:val="15"/>
        </w:rPr>
        <w:tab/>
      </w:r>
      <w:proofErr w:type="spellStart"/>
      <w:r>
        <w:rPr>
          <w:rFonts w:ascii="Arial" w:hAnsi="Arial" w:cs="Arial"/>
          <w:spacing w:val="-3"/>
          <w:sz w:val="15"/>
          <w:szCs w:val="15"/>
        </w:rPr>
        <w:t>Attlebororraunton</w:t>
      </w:r>
      <w:proofErr w:type="spellEnd"/>
      <w:r>
        <w:rPr>
          <w:rFonts w:ascii="Arial" w:hAnsi="Arial" w:cs="Arial"/>
          <w:spacing w:val="-3"/>
          <w:sz w:val="15"/>
          <w:szCs w:val="15"/>
        </w:rPr>
        <w:t>:</w:t>
      </w:r>
    </w:p>
    <w:p w:rsidR="002C5025" w:rsidRDefault="002C5025">
      <w:pPr>
        <w:pStyle w:val="BodyText"/>
        <w:tabs>
          <w:tab w:val="left" w:pos="7458"/>
          <w:tab w:val="left" w:pos="8559"/>
          <w:tab w:val="left" w:pos="10659"/>
          <w:tab w:val="left" w:pos="13196"/>
        </w:tabs>
        <w:kinsoku w:val="0"/>
        <w:overflowPunct w:val="0"/>
        <w:spacing w:line="86" w:lineRule="exact"/>
        <w:ind w:left="5180"/>
        <w:rPr>
          <w:rFonts w:ascii="Arial" w:hAnsi="Arial" w:cs="Arial"/>
          <w:spacing w:val="-3"/>
          <w:sz w:val="15"/>
          <w:szCs w:val="15"/>
        </w:rPr>
        <w:sectPr w:rsidR="002C5025">
          <w:type w:val="continuous"/>
          <w:pgSz w:w="15840" w:h="12240" w:orient="landscape"/>
          <w:pgMar w:top="720" w:right="220" w:bottom="280" w:left="140" w:header="720" w:footer="720" w:gutter="0"/>
          <w:cols w:space="720" w:equalWidth="0">
            <w:col w:w="15480"/>
          </w:cols>
          <w:noEndnote/>
        </w:sectPr>
      </w:pPr>
    </w:p>
    <w:p w:rsidR="002C5025" w:rsidRDefault="002C5025">
      <w:pPr>
        <w:pStyle w:val="BodyText"/>
        <w:tabs>
          <w:tab w:val="left" w:pos="2922"/>
        </w:tabs>
        <w:kinsoku w:val="0"/>
        <w:overflowPunct w:val="0"/>
        <w:spacing w:line="164" w:lineRule="exact"/>
        <w:ind w:left="858"/>
        <w:rPr>
          <w:rFonts w:ascii="Times New Roman" w:hAnsi="Times New Roman" w:cs="Times New Roman"/>
          <w:w w:val="85"/>
          <w:sz w:val="16"/>
          <w:szCs w:val="16"/>
        </w:rPr>
      </w:pPr>
      <w:r>
        <w:rPr>
          <w:rFonts w:ascii="Arial" w:hAnsi="Arial" w:cs="Arial"/>
          <w:w w:val="90"/>
          <w:sz w:val="15"/>
          <w:szCs w:val="15"/>
        </w:rPr>
        <w:lastRenderedPageBreak/>
        <w:t>Community</w:t>
      </w:r>
      <w:r>
        <w:rPr>
          <w:rFonts w:ascii="Arial" w:hAnsi="Arial" w:cs="Arial"/>
          <w:spacing w:val="-19"/>
          <w:w w:val="90"/>
          <w:sz w:val="15"/>
          <w:szCs w:val="15"/>
        </w:rPr>
        <w:t xml:space="preserve"> </w:t>
      </w:r>
      <w:r>
        <w:rPr>
          <w:rFonts w:ascii="Arial" w:hAnsi="Arial" w:cs="Arial"/>
          <w:w w:val="90"/>
          <w:sz w:val="15"/>
          <w:szCs w:val="15"/>
        </w:rPr>
        <w:t>Advocacy</w:t>
      </w:r>
      <w:r>
        <w:rPr>
          <w:rFonts w:ascii="Arial" w:hAnsi="Arial" w:cs="Arial"/>
          <w:w w:val="90"/>
          <w:sz w:val="15"/>
          <w:szCs w:val="15"/>
        </w:rPr>
        <w:tab/>
      </w:r>
      <w:r>
        <w:rPr>
          <w:rFonts w:ascii="Times New Roman" w:hAnsi="Times New Roman" w:cs="Times New Roman"/>
          <w:w w:val="85"/>
          <w:sz w:val="16"/>
          <w:szCs w:val="16"/>
        </w:rPr>
        <w:t>RESPOND</w:t>
      </w:r>
      <w:r>
        <w:rPr>
          <w:rFonts w:ascii="Times New Roman" w:hAnsi="Times New Roman" w:cs="Times New Roman"/>
          <w:spacing w:val="-15"/>
          <w:w w:val="85"/>
          <w:sz w:val="16"/>
          <w:szCs w:val="16"/>
        </w:rPr>
        <w:t xml:space="preserve"> </w:t>
      </w:r>
      <w:r>
        <w:rPr>
          <w:rFonts w:ascii="Times New Roman" w:hAnsi="Times New Roman" w:cs="Times New Roman"/>
          <w:w w:val="85"/>
          <w:sz w:val="16"/>
          <w:szCs w:val="16"/>
        </w:rPr>
        <w:t>Inc.</w:t>
      </w:r>
    </w:p>
    <w:p w:rsidR="002C5025" w:rsidRDefault="002C5025">
      <w:pPr>
        <w:pStyle w:val="BodyText"/>
        <w:tabs>
          <w:tab w:val="left" w:pos="8538"/>
        </w:tabs>
        <w:kinsoku w:val="0"/>
        <w:overflowPunct w:val="0"/>
        <w:spacing w:before="58" w:line="113" w:lineRule="exact"/>
        <w:ind w:left="858"/>
        <w:rPr>
          <w:rFonts w:ascii="Times New Roman" w:hAnsi="Times New Roman" w:cs="Times New Roman"/>
          <w:w w:val="95"/>
          <w:sz w:val="16"/>
          <w:szCs w:val="16"/>
        </w:rPr>
      </w:pPr>
      <w:r>
        <w:rPr>
          <w:rFonts w:ascii="Times New Roman" w:hAnsi="Times New Roman" w:cs="Times New Roman"/>
          <w:sz w:val="24"/>
          <w:szCs w:val="24"/>
        </w:rPr>
        <w:br w:type="column"/>
      </w:r>
      <w:r>
        <w:rPr>
          <w:rFonts w:ascii="Arial" w:hAnsi="Arial" w:cs="Arial"/>
          <w:w w:val="85"/>
          <w:position w:val="1"/>
          <w:sz w:val="15"/>
          <w:szCs w:val="15"/>
        </w:rPr>
        <w:lastRenderedPageBreak/>
        <w:t>Worcester:</w:t>
      </w:r>
      <w:r>
        <w:rPr>
          <w:rFonts w:ascii="Arial" w:hAnsi="Arial" w:cs="Arial"/>
          <w:spacing w:val="-23"/>
          <w:w w:val="85"/>
          <w:position w:val="1"/>
          <w:sz w:val="15"/>
          <w:szCs w:val="15"/>
        </w:rPr>
        <w:t xml:space="preserve"> </w:t>
      </w:r>
      <w:r>
        <w:rPr>
          <w:rFonts w:ascii="Arial" w:hAnsi="Arial" w:cs="Arial"/>
          <w:w w:val="85"/>
          <w:position w:val="1"/>
          <w:sz w:val="15"/>
          <w:szCs w:val="15"/>
        </w:rPr>
        <w:t>800-870-5905</w:t>
      </w:r>
      <w:r>
        <w:rPr>
          <w:rFonts w:ascii="Arial" w:hAnsi="Arial" w:cs="Arial"/>
          <w:spacing w:val="-15"/>
          <w:w w:val="85"/>
          <w:position w:val="1"/>
          <w:sz w:val="15"/>
          <w:szCs w:val="15"/>
        </w:rPr>
        <w:t xml:space="preserve"> </w:t>
      </w:r>
      <w:r>
        <w:rPr>
          <w:rFonts w:ascii="Arial" w:hAnsi="Arial" w:cs="Arial"/>
          <w:w w:val="85"/>
          <w:position w:val="1"/>
          <w:sz w:val="15"/>
          <w:szCs w:val="15"/>
        </w:rPr>
        <w:t>&lt;</w:t>
      </w:r>
      <w:proofErr w:type="spellStart"/>
      <w:r>
        <w:rPr>
          <w:rFonts w:ascii="Arial" w:hAnsi="Arial" w:cs="Arial"/>
          <w:w w:val="85"/>
          <w:position w:val="1"/>
          <w:sz w:val="15"/>
          <w:szCs w:val="15"/>
        </w:rPr>
        <w:t>ll</w:t>
      </w:r>
      <w:proofErr w:type="spellEnd"/>
      <w:r>
        <w:rPr>
          <w:rFonts w:ascii="Arial" w:hAnsi="Arial" w:cs="Arial"/>
          <w:w w:val="85"/>
          <w:position w:val="1"/>
          <w:sz w:val="15"/>
          <w:szCs w:val="15"/>
        </w:rPr>
        <w:tab/>
      </w:r>
      <w:r>
        <w:rPr>
          <w:rFonts w:ascii="Times New Roman" w:hAnsi="Times New Roman" w:cs="Times New Roman"/>
          <w:w w:val="95"/>
          <w:sz w:val="16"/>
          <w:szCs w:val="16"/>
        </w:rPr>
        <w:t>ES</w:t>
      </w:r>
    </w:p>
    <w:p w:rsidR="002C5025" w:rsidRDefault="002C5025">
      <w:pPr>
        <w:pStyle w:val="BodyText"/>
        <w:tabs>
          <w:tab w:val="left" w:pos="8538"/>
        </w:tabs>
        <w:kinsoku w:val="0"/>
        <w:overflowPunct w:val="0"/>
        <w:spacing w:before="58" w:line="113" w:lineRule="exact"/>
        <w:ind w:left="858"/>
        <w:rPr>
          <w:rFonts w:ascii="Times New Roman" w:hAnsi="Times New Roman" w:cs="Times New Roman"/>
          <w:w w:val="95"/>
          <w:sz w:val="16"/>
          <w:szCs w:val="16"/>
        </w:rPr>
        <w:sectPr w:rsidR="002C5025">
          <w:type w:val="continuous"/>
          <w:pgSz w:w="15840" w:h="12240" w:orient="landscape"/>
          <w:pgMar w:top="720" w:right="220" w:bottom="280" w:left="140" w:header="720" w:footer="720" w:gutter="0"/>
          <w:cols w:num="2" w:space="720" w:equalWidth="0">
            <w:col w:w="3775" w:space="540"/>
            <w:col w:w="11165"/>
          </w:cols>
          <w:noEndnote/>
        </w:sectPr>
      </w:pPr>
    </w:p>
    <w:p w:rsidR="002C5025" w:rsidRDefault="002C5025">
      <w:pPr>
        <w:pStyle w:val="BodyText"/>
        <w:kinsoku w:val="0"/>
        <w:overflowPunct w:val="0"/>
        <w:spacing w:before="65" w:line="215" w:lineRule="exact"/>
        <w:ind w:left="580"/>
        <w:rPr>
          <w:rFonts w:ascii="Arial" w:hAnsi="Arial" w:cs="Arial"/>
          <w:sz w:val="15"/>
          <w:szCs w:val="15"/>
        </w:rPr>
      </w:pPr>
      <w:r>
        <w:rPr>
          <w:rFonts w:ascii="Times New Roman" w:hAnsi="Times New Roman" w:cs="Times New Roman"/>
          <w:position w:val="-6"/>
          <w:sz w:val="16"/>
          <w:szCs w:val="16"/>
        </w:rPr>
        <w:lastRenderedPageBreak/>
        <w:t xml:space="preserve">® </w:t>
      </w:r>
      <w:r>
        <w:rPr>
          <w:rFonts w:ascii="Arial" w:hAnsi="Arial" w:cs="Arial"/>
          <w:sz w:val="15"/>
          <w:szCs w:val="15"/>
        </w:rPr>
        <w:t>Program</w:t>
      </w:r>
    </w:p>
    <w:p w:rsidR="002C5025" w:rsidRDefault="002C5025">
      <w:pPr>
        <w:pStyle w:val="BodyText"/>
        <w:kinsoku w:val="0"/>
        <w:overflowPunct w:val="0"/>
        <w:spacing w:before="90" w:line="190" w:lineRule="exact"/>
        <w:ind w:left="580"/>
        <w:rPr>
          <w:rFonts w:ascii="Arial" w:hAnsi="Arial" w:cs="Arial"/>
          <w:w w:val="90"/>
          <w:sz w:val="15"/>
          <w:szCs w:val="15"/>
        </w:rPr>
      </w:pPr>
      <w:r>
        <w:rPr>
          <w:rFonts w:ascii="Times New Roman" w:hAnsi="Times New Roman" w:cs="Times New Roman"/>
          <w:sz w:val="24"/>
          <w:szCs w:val="24"/>
        </w:rPr>
        <w:br w:type="column"/>
      </w:r>
      <w:r>
        <w:rPr>
          <w:rFonts w:ascii="Times New Roman" w:hAnsi="Times New Roman" w:cs="Times New Roman"/>
          <w:w w:val="90"/>
          <w:position w:val="-3"/>
          <w:sz w:val="16"/>
          <w:szCs w:val="16"/>
        </w:rPr>
        <w:lastRenderedPageBreak/>
        <w:t xml:space="preserve">® </w:t>
      </w:r>
      <w:r>
        <w:rPr>
          <w:rFonts w:ascii="Times New Roman" w:hAnsi="Times New Roman" w:cs="Times New Roman"/>
          <w:w w:val="90"/>
          <w:sz w:val="16"/>
          <w:szCs w:val="16"/>
        </w:rPr>
        <w:t xml:space="preserve">Somerville: 617-623-5900 </w:t>
      </w:r>
      <w:r>
        <w:rPr>
          <w:rFonts w:ascii="Arial" w:hAnsi="Arial" w:cs="Arial"/>
          <w:w w:val="90"/>
          <w:sz w:val="15"/>
          <w:szCs w:val="15"/>
        </w:rPr>
        <w:t>&lt;</w:t>
      </w:r>
      <w:proofErr w:type="spellStart"/>
      <w:r>
        <w:rPr>
          <w:rFonts w:ascii="Arial" w:hAnsi="Arial" w:cs="Arial"/>
          <w:w w:val="90"/>
          <w:sz w:val="15"/>
          <w:szCs w:val="15"/>
        </w:rPr>
        <w:t>ll</w:t>
      </w:r>
      <w:proofErr w:type="spellEnd"/>
    </w:p>
    <w:p w:rsidR="002C5025" w:rsidRDefault="002C5025">
      <w:pPr>
        <w:pStyle w:val="BodyText"/>
        <w:tabs>
          <w:tab w:val="left" w:pos="2929"/>
        </w:tabs>
        <w:kinsoku w:val="0"/>
        <w:overflowPunct w:val="0"/>
        <w:spacing w:before="25" w:line="255" w:lineRule="exact"/>
        <w:ind w:left="296"/>
        <w:rPr>
          <w:rFonts w:ascii="Arial" w:hAnsi="Arial" w:cs="Arial"/>
          <w:w w:val="95"/>
          <w:position w:val="10"/>
          <w:sz w:val="15"/>
          <w:szCs w:val="15"/>
        </w:rPr>
      </w:pPr>
      <w:r>
        <w:rPr>
          <w:rFonts w:ascii="Times New Roman" w:hAnsi="Times New Roman" w:cs="Times New Roman"/>
          <w:sz w:val="24"/>
          <w:szCs w:val="24"/>
        </w:rPr>
        <w:br w:type="column"/>
      </w:r>
      <w:r>
        <w:rPr>
          <w:rFonts w:ascii="Times New Roman" w:hAnsi="Times New Roman" w:cs="Times New Roman"/>
          <w:w w:val="105"/>
          <w:sz w:val="16"/>
          <w:szCs w:val="16"/>
        </w:rPr>
        <w:lastRenderedPageBreak/>
        <w:t xml:space="preserve">0  </w:t>
      </w:r>
      <w:r>
        <w:rPr>
          <w:rFonts w:ascii="Arial" w:hAnsi="Arial" w:cs="Arial"/>
          <w:w w:val="105"/>
          <w:position w:val="1"/>
          <w:sz w:val="15"/>
          <w:szCs w:val="15"/>
        </w:rPr>
        <w:t>Project</w:t>
      </w:r>
      <w:r>
        <w:rPr>
          <w:rFonts w:ascii="Arial" w:hAnsi="Arial" w:cs="Arial"/>
          <w:spacing w:val="-10"/>
          <w:w w:val="105"/>
          <w:position w:val="1"/>
          <w:sz w:val="15"/>
          <w:szCs w:val="15"/>
        </w:rPr>
        <w:t xml:space="preserve"> </w:t>
      </w:r>
      <w:proofErr w:type="spellStart"/>
      <w:r>
        <w:rPr>
          <w:rFonts w:ascii="Arial" w:hAnsi="Arial" w:cs="Arial"/>
          <w:w w:val="105"/>
          <w:position w:val="1"/>
          <w:sz w:val="15"/>
          <w:szCs w:val="15"/>
        </w:rPr>
        <w:t>WeCanTalkAbout</w:t>
      </w:r>
      <w:proofErr w:type="spellEnd"/>
      <w:r>
        <w:rPr>
          <w:rFonts w:ascii="Arial" w:hAnsi="Arial" w:cs="Arial"/>
          <w:spacing w:val="-28"/>
          <w:w w:val="105"/>
          <w:position w:val="1"/>
          <w:sz w:val="15"/>
          <w:szCs w:val="15"/>
        </w:rPr>
        <w:t xml:space="preserve"> </w:t>
      </w:r>
      <w:r>
        <w:rPr>
          <w:rFonts w:ascii="Times New Roman" w:hAnsi="Times New Roman" w:cs="Times New Roman"/>
          <w:w w:val="105"/>
          <w:position w:val="1"/>
          <w:sz w:val="18"/>
          <w:szCs w:val="18"/>
        </w:rPr>
        <w:t>It",</w:t>
      </w:r>
      <w:r>
        <w:rPr>
          <w:rFonts w:ascii="Times New Roman" w:hAnsi="Times New Roman" w:cs="Times New Roman"/>
          <w:w w:val="105"/>
          <w:position w:val="1"/>
          <w:sz w:val="18"/>
          <w:szCs w:val="18"/>
        </w:rPr>
        <w:tab/>
      </w:r>
      <w:r>
        <w:rPr>
          <w:rFonts w:ascii="Times New Roman" w:hAnsi="Times New Roman" w:cs="Times New Roman"/>
          <w:w w:val="95"/>
          <w:position w:val="7"/>
          <w:sz w:val="16"/>
          <w:szCs w:val="16"/>
        </w:rPr>
        <w:t>®</w:t>
      </w:r>
      <w:r>
        <w:rPr>
          <w:rFonts w:ascii="Times New Roman" w:hAnsi="Times New Roman" w:cs="Times New Roman"/>
          <w:spacing w:val="16"/>
          <w:w w:val="95"/>
          <w:position w:val="7"/>
          <w:sz w:val="16"/>
          <w:szCs w:val="16"/>
        </w:rPr>
        <w:t xml:space="preserve"> </w:t>
      </w:r>
      <w:r>
        <w:rPr>
          <w:rFonts w:ascii="Arial" w:hAnsi="Arial" w:cs="Arial"/>
          <w:w w:val="95"/>
          <w:position w:val="10"/>
          <w:sz w:val="15"/>
          <w:szCs w:val="15"/>
        </w:rPr>
        <w:t>YWCA</w:t>
      </w:r>
      <w:r>
        <w:rPr>
          <w:rFonts w:ascii="Arial" w:hAnsi="Arial" w:cs="Arial"/>
          <w:spacing w:val="-27"/>
          <w:w w:val="95"/>
          <w:position w:val="10"/>
          <w:sz w:val="15"/>
          <w:szCs w:val="15"/>
        </w:rPr>
        <w:t xml:space="preserve"> </w:t>
      </w:r>
      <w:r>
        <w:rPr>
          <w:rFonts w:ascii="Arial" w:hAnsi="Arial" w:cs="Arial"/>
          <w:w w:val="95"/>
          <w:position w:val="10"/>
          <w:sz w:val="15"/>
          <w:szCs w:val="15"/>
        </w:rPr>
        <w:t>of</w:t>
      </w:r>
      <w:r>
        <w:rPr>
          <w:rFonts w:ascii="Arial" w:hAnsi="Arial" w:cs="Arial"/>
          <w:spacing w:val="-27"/>
          <w:w w:val="95"/>
          <w:position w:val="10"/>
          <w:sz w:val="15"/>
          <w:szCs w:val="15"/>
        </w:rPr>
        <w:t xml:space="preserve"> </w:t>
      </w:r>
      <w:r>
        <w:rPr>
          <w:rFonts w:ascii="Arial" w:hAnsi="Arial" w:cs="Arial"/>
          <w:w w:val="95"/>
          <w:position w:val="10"/>
          <w:sz w:val="15"/>
          <w:szCs w:val="15"/>
        </w:rPr>
        <w:t>Greater</w:t>
      </w:r>
      <w:r>
        <w:rPr>
          <w:rFonts w:ascii="Arial" w:hAnsi="Arial" w:cs="Arial"/>
          <w:spacing w:val="-25"/>
          <w:w w:val="95"/>
          <w:position w:val="10"/>
          <w:sz w:val="15"/>
          <w:szCs w:val="15"/>
        </w:rPr>
        <w:t xml:space="preserve"> </w:t>
      </w:r>
      <w:r>
        <w:rPr>
          <w:rFonts w:ascii="Arial" w:hAnsi="Arial" w:cs="Arial"/>
          <w:w w:val="95"/>
          <w:position w:val="10"/>
          <w:sz w:val="15"/>
          <w:szCs w:val="15"/>
        </w:rPr>
        <w:t>Lawrence</w:t>
      </w:r>
    </w:p>
    <w:p w:rsidR="002C5025" w:rsidRDefault="002C5025">
      <w:pPr>
        <w:pStyle w:val="BodyText"/>
        <w:kinsoku w:val="0"/>
        <w:overflowPunct w:val="0"/>
        <w:spacing w:line="164" w:lineRule="exact"/>
        <w:ind w:left="580" w:right="-13"/>
        <w:rPr>
          <w:rFonts w:ascii="Times New Roman" w:hAnsi="Times New Roman" w:cs="Times New Roman"/>
          <w:w w:val="85"/>
          <w:sz w:val="16"/>
          <w:szCs w:val="16"/>
        </w:rPr>
      </w:pPr>
      <w:r>
        <w:rPr>
          <w:rFonts w:ascii="Times New Roman" w:hAnsi="Times New Roman" w:cs="Times New Roman"/>
          <w:sz w:val="24"/>
          <w:szCs w:val="24"/>
        </w:rPr>
        <w:br w:type="column"/>
      </w:r>
      <w:r>
        <w:rPr>
          <w:rFonts w:ascii="Times New Roman" w:hAnsi="Times New Roman" w:cs="Times New Roman"/>
          <w:w w:val="85"/>
          <w:sz w:val="16"/>
          <w:szCs w:val="16"/>
        </w:rPr>
        <w:lastRenderedPageBreak/>
        <w:t>TTY:</w:t>
      </w:r>
      <w:r>
        <w:rPr>
          <w:rFonts w:ascii="Times New Roman" w:hAnsi="Times New Roman" w:cs="Times New Roman"/>
          <w:spacing w:val="-12"/>
          <w:w w:val="85"/>
          <w:sz w:val="16"/>
          <w:szCs w:val="16"/>
        </w:rPr>
        <w:t xml:space="preserve"> </w:t>
      </w:r>
      <w:r>
        <w:rPr>
          <w:rFonts w:ascii="Times New Roman" w:hAnsi="Times New Roman" w:cs="Times New Roman"/>
          <w:w w:val="85"/>
          <w:sz w:val="16"/>
          <w:szCs w:val="16"/>
        </w:rPr>
        <w:t>508-228-7095</w:t>
      </w:r>
    </w:p>
    <w:p w:rsidR="002C5025" w:rsidRDefault="002C5025">
      <w:pPr>
        <w:pStyle w:val="BodyText"/>
        <w:kinsoku w:val="0"/>
        <w:overflowPunct w:val="0"/>
        <w:spacing w:line="164" w:lineRule="exact"/>
        <w:ind w:left="580"/>
        <w:rPr>
          <w:rFonts w:ascii="Arial" w:hAnsi="Arial" w:cs="Arial"/>
          <w:w w:val="85"/>
          <w:sz w:val="15"/>
          <w:szCs w:val="15"/>
        </w:rPr>
      </w:pPr>
      <w:r>
        <w:rPr>
          <w:rFonts w:ascii="Times New Roman" w:hAnsi="Times New Roman" w:cs="Times New Roman"/>
          <w:sz w:val="24"/>
          <w:szCs w:val="24"/>
        </w:rPr>
        <w:br w:type="column"/>
      </w:r>
      <w:r>
        <w:rPr>
          <w:rFonts w:ascii="Times New Roman" w:hAnsi="Times New Roman" w:cs="Times New Roman"/>
          <w:w w:val="85"/>
          <w:sz w:val="16"/>
          <w:szCs w:val="16"/>
        </w:rPr>
        <w:lastRenderedPageBreak/>
        <w:t xml:space="preserve">800-323-4673 </w:t>
      </w:r>
      <w:r>
        <w:rPr>
          <w:rFonts w:ascii="Arial" w:hAnsi="Arial" w:cs="Arial"/>
          <w:w w:val="85"/>
          <w:sz w:val="15"/>
          <w:szCs w:val="15"/>
        </w:rPr>
        <w:t>&lt;</w:t>
      </w:r>
      <w:proofErr w:type="spellStart"/>
      <w:r>
        <w:rPr>
          <w:rFonts w:ascii="Arial" w:hAnsi="Arial" w:cs="Arial"/>
          <w:w w:val="85"/>
          <w:sz w:val="15"/>
          <w:szCs w:val="15"/>
        </w:rPr>
        <w:t>ll</w:t>
      </w:r>
      <w:proofErr w:type="spellEnd"/>
    </w:p>
    <w:p w:rsidR="002C5025" w:rsidRDefault="002C5025">
      <w:pPr>
        <w:pStyle w:val="BodyText"/>
        <w:kinsoku w:val="0"/>
        <w:overflowPunct w:val="0"/>
        <w:spacing w:line="164" w:lineRule="exact"/>
        <w:ind w:left="580"/>
        <w:rPr>
          <w:rFonts w:ascii="Arial" w:hAnsi="Arial" w:cs="Arial"/>
          <w:w w:val="85"/>
          <w:sz w:val="15"/>
          <w:szCs w:val="15"/>
        </w:rPr>
        <w:sectPr w:rsidR="002C5025">
          <w:type w:val="continuous"/>
          <w:pgSz w:w="15840" w:h="12240" w:orient="landscape"/>
          <w:pgMar w:top="720" w:right="220" w:bottom="280" w:left="140" w:header="720" w:footer="720" w:gutter="0"/>
          <w:cols w:num="5" w:space="720" w:equalWidth="0">
            <w:col w:w="1355" w:space="714"/>
            <w:col w:w="2445" w:space="40"/>
            <w:col w:w="4800" w:space="1455"/>
            <w:col w:w="1682" w:space="718"/>
            <w:col w:w="2271"/>
          </w:cols>
          <w:noEndnote/>
        </w:sectPr>
      </w:pPr>
    </w:p>
    <w:p w:rsidR="002C5025" w:rsidRDefault="002C5025">
      <w:pPr>
        <w:pStyle w:val="BodyText"/>
        <w:tabs>
          <w:tab w:val="left" w:pos="2627"/>
          <w:tab w:val="left" w:pos="5163"/>
          <w:tab w:val="left" w:pos="7479"/>
          <w:tab w:val="left" w:pos="8415"/>
          <w:tab w:val="left" w:pos="10223"/>
          <w:tab w:val="left" w:pos="10652"/>
          <w:tab w:val="left" w:pos="12865"/>
          <w:tab w:val="left" w:pos="13170"/>
        </w:tabs>
        <w:kinsoku w:val="0"/>
        <w:overflowPunct w:val="0"/>
        <w:spacing w:before="72" w:line="105" w:lineRule="auto"/>
        <w:ind w:left="858" w:right="743"/>
        <w:rPr>
          <w:rFonts w:ascii="Arial" w:hAnsi="Arial" w:cs="Arial"/>
          <w:w w:val="85"/>
          <w:position w:val="8"/>
          <w:sz w:val="15"/>
          <w:szCs w:val="15"/>
        </w:rPr>
      </w:pPr>
      <w:r>
        <w:rPr>
          <w:rFonts w:ascii="Arial" w:hAnsi="Arial" w:cs="Arial"/>
          <w:w w:val="95"/>
          <w:sz w:val="15"/>
          <w:szCs w:val="15"/>
        </w:rPr>
        <w:lastRenderedPageBreak/>
        <w:t>of</w:t>
      </w:r>
      <w:r>
        <w:rPr>
          <w:rFonts w:ascii="Arial" w:hAnsi="Arial" w:cs="Arial"/>
          <w:spacing w:val="-26"/>
          <w:w w:val="95"/>
          <w:sz w:val="15"/>
          <w:szCs w:val="15"/>
        </w:rPr>
        <w:t xml:space="preserve"> </w:t>
      </w:r>
      <w:r>
        <w:rPr>
          <w:rFonts w:ascii="Times New Roman" w:hAnsi="Times New Roman" w:cs="Times New Roman"/>
          <w:w w:val="95"/>
          <w:sz w:val="16"/>
          <w:szCs w:val="16"/>
        </w:rPr>
        <w:t>CCHERS</w:t>
      </w:r>
      <w:r>
        <w:rPr>
          <w:rFonts w:ascii="Times New Roman" w:hAnsi="Times New Roman" w:cs="Times New Roman"/>
          <w:w w:val="95"/>
          <w:sz w:val="16"/>
          <w:szCs w:val="16"/>
        </w:rPr>
        <w:tab/>
      </w:r>
      <w:r>
        <w:rPr>
          <w:rFonts w:ascii="Times New Roman" w:hAnsi="Times New Roman" w:cs="Times New Roman"/>
          <w:position w:val="-3"/>
          <w:sz w:val="16"/>
          <w:szCs w:val="16"/>
        </w:rPr>
        <w:t>ES</w:t>
      </w:r>
      <w:r>
        <w:rPr>
          <w:rFonts w:ascii="Times New Roman" w:hAnsi="Times New Roman" w:cs="Times New Roman"/>
          <w:position w:val="-3"/>
          <w:sz w:val="16"/>
          <w:szCs w:val="16"/>
        </w:rPr>
        <w:tab/>
      </w:r>
      <w:r>
        <w:rPr>
          <w:rFonts w:ascii="Arial" w:hAnsi="Arial" w:cs="Arial"/>
          <w:spacing w:val="-4"/>
          <w:position w:val="-2"/>
          <w:sz w:val="15"/>
          <w:szCs w:val="15"/>
        </w:rPr>
        <w:t>Children's</w:t>
      </w:r>
      <w:r>
        <w:rPr>
          <w:rFonts w:ascii="Arial" w:hAnsi="Arial" w:cs="Arial"/>
          <w:spacing w:val="-27"/>
          <w:position w:val="-2"/>
          <w:sz w:val="15"/>
          <w:szCs w:val="15"/>
        </w:rPr>
        <w:t xml:space="preserve"> </w:t>
      </w:r>
      <w:r>
        <w:rPr>
          <w:rFonts w:ascii="Arial" w:hAnsi="Arial" w:cs="Arial"/>
          <w:position w:val="-2"/>
          <w:sz w:val="15"/>
          <w:szCs w:val="15"/>
        </w:rPr>
        <w:t>Charter</w:t>
      </w:r>
      <w:r>
        <w:rPr>
          <w:rFonts w:ascii="Arial" w:hAnsi="Arial" w:cs="Arial"/>
          <w:position w:val="-2"/>
          <w:sz w:val="15"/>
          <w:szCs w:val="15"/>
        </w:rPr>
        <w:tab/>
      </w:r>
      <w:r>
        <w:rPr>
          <w:rFonts w:ascii="Times New Roman" w:hAnsi="Times New Roman" w:cs="Times New Roman"/>
          <w:position w:val="-3"/>
          <w:sz w:val="16"/>
          <w:szCs w:val="16"/>
        </w:rPr>
        <w:t xml:space="preserve">* </w:t>
      </w:r>
      <w:r>
        <w:rPr>
          <w:rFonts w:ascii="Times New Roman" w:hAnsi="Times New Roman" w:cs="Times New Roman"/>
          <w:position w:val="1"/>
          <w:sz w:val="16"/>
          <w:szCs w:val="16"/>
        </w:rPr>
        <w:t>Lawrence:</w:t>
      </w:r>
      <w:r>
        <w:rPr>
          <w:rFonts w:ascii="Times New Roman" w:hAnsi="Times New Roman" w:cs="Times New Roman"/>
          <w:spacing w:val="16"/>
          <w:position w:val="1"/>
          <w:sz w:val="16"/>
          <w:szCs w:val="16"/>
        </w:rPr>
        <w:t xml:space="preserve"> </w:t>
      </w:r>
      <w:r>
        <w:rPr>
          <w:rFonts w:ascii="Times New Roman" w:hAnsi="Times New Roman" w:cs="Times New Roman"/>
          <w:position w:val="1"/>
          <w:sz w:val="16"/>
          <w:szCs w:val="16"/>
        </w:rPr>
        <w:t>*877-509-9922</w:t>
      </w:r>
      <w:r>
        <w:rPr>
          <w:rFonts w:ascii="Times New Roman" w:hAnsi="Times New Roman" w:cs="Times New Roman"/>
          <w:spacing w:val="-17"/>
          <w:position w:val="1"/>
          <w:sz w:val="16"/>
          <w:szCs w:val="16"/>
        </w:rPr>
        <w:t xml:space="preserve"> </w:t>
      </w:r>
      <w:r>
        <w:rPr>
          <w:rFonts w:ascii="Arial" w:hAnsi="Arial" w:cs="Arial"/>
          <w:position w:val="1"/>
          <w:sz w:val="17"/>
          <w:szCs w:val="17"/>
        </w:rPr>
        <w:t>&lt;</w:t>
      </w:r>
      <w:proofErr w:type="spellStart"/>
      <w:r>
        <w:rPr>
          <w:rFonts w:ascii="Arial" w:hAnsi="Arial" w:cs="Arial"/>
          <w:position w:val="1"/>
          <w:sz w:val="17"/>
          <w:szCs w:val="17"/>
        </w:rPr>
        <w:t>ll</w:t>
      </w:r>
      <w:proofErr w:type="spellEnd"/>
      <w:r>
        <w:rPr>
          <w:rFonts w:ascii="Arial" w:hAnsi="Arial" w:cs="Arial"/>
          <w:position w:val="1"/>
          <w:sz w:val="17"/>
          <w:szCs w:val="17"/>
        </w:rPr>
        <w:tab/>
      </w:r>
      <w:r>
        <w:rPr>
          <w:rFonts w:ascii="Arial" w:hAnsi="Arial" w:cs="Arial"/>
          <w:position w:val="1"/>
          <w:sz w:val="17"/>
          <w:szCs w:val="17"/>
        </w:rPr>
        <w:tab/>
      </w:r>
      <w:r>
        <w:rPr>
          <w:rFonts w:ascii="Arial" w:hAnsi="Arial" w:cs="Arial"/>
          <w:position w:val="1"/>
          <w:sz w:val="17"/>
          <w:szCs w:val="17"/>
        </w:rPr>
        <w:tab/>
      </w:r>
      <w:r>
        <w:rPr>
          <w:rFonts w:ascii="Times New Roman" w:hAnsi="Times New Roman" w:cs="Times New Roman"/>
          <w:sz w:val="16"/>
          <w:szCs w:val="16"/>
        </w:rPr>
        <w:t xml:space="preserve">® </w:t>
      </w:r>
      <w:r>
        <w:rPr>
          <w:rFonts w:ascii="Arial" w:hAnsi="Arial" w:cs="Arial"/>
          <w:position w:val="3"/>
          <w:sz w:val="15"/>
          <w:szCs w:val="15"/>
        </w:rPr>
        <w:t>South</w:t>
      </w:r>
      <w:r>
        <w:rPr>
          <w:rFonts w:ascii="Arial" w:hAnsi="Arial" w:cs="Arial"/>
          <w:spacing w:val="-32"/>
          <w:position w:val="3"/>
          <w:sz w:val="15"/>
          <w:szCs w:val="15"/>
        </w:rPr>
        <w:t xml:space="preserve"> </w:t>
      </w:r>
      <w:r>
        <w:rPr>
          <w:rFonts w:ascii="Arial" w:hAnsi="Arial" w:cs="Arial"/>
          <w:position w:val="3"/>
          <w:sz w:val="15"/>
          <w:szCs w:val="15"/>
        </w:rPr>
        <w:t>Shore</w:t>
      </w:r>
      <w:r>
        <w:rPr>
          <w:rFonts w:ascii="Arial" w:hAnsi="Arial" w:cs="Arial"/>
          <w:spacing w:val="-35"/>
          <w:position w:val="3"/>
          <w:sz w:val="15"/>
          <w:szCs w:val="15"/>
        </w:rPr>
        <w:t xml:space="preserve"> </w:t>
      </w:r>
      <w:r>
        <w:rPr>
          <w:rFonts w:ascii="Arial" w:hAnsi="Arial" w:cs="Arial"/>
          <w:position w:val="3"/>
          <w:sz w:val="15"/>
          <w:szCs w:val="15"/>
        </w:rPr>
        <w:t>Women's</w:t>
      </w:r>
      <w:r>
        <w:rPr>
          <w:rFonts w:ascii="Arial" w:hAnsi="Arial" w:cs="Arial"/>
          <w:w w:val="95"/>
          <w:position w:val="3"/>
          <w:sz w:val="15"/>
          <w:szCs w:val="15"/>
        </w:rPr>
        <w:t xml:space="preserve"> </w:t>
      </w:r>
      <w:r>
        <w:rPr>
          <w:rFonts w:ascii="Arial" w:hAnsi="Arial" w:cs="Arial"/>
          <w:w w:val="95"/>
          <w:position w:val="7"/>
          <w:sz w:val="15"/>
          <w:szCs w:val="15"/>
        </w:rPr>
        <w:t>Boston:</w:t>
      </w:r>
      <w:r>
        <w:rPr>
          <w:rFonts w:ascii="Arial" w:hAnsi="Arial" w:cs="Arial"/>
          <w:spacing w:val="-1"/>
          <w:w w:val="95"/>
          <w:position w:val="7"/>
          <w:sz w:val="15"/>
          <w:szCs w:val="15"/>
        </w:rPr>
        <w:t xml:space="preserve"> </w:t>
      </w:r>
      <w:r>
        <w:rPr>
          <w:rFonts w:ascii="Times New Roman" w:hAnsi="Times New Roman" w:cs="Times New Roman"/>
          <w:w w:val="95"/>
          <w:position w:val="7"/>
          <w:sz w:val="16"/>
          <w:szCs w:val="16"/>
        </w:rPr>
        <w:t>617-373-4591</w:t>
      </w:r>
      <w:r>
        <w:rPr>
          <w:rFonts w:ascii="Times New Roman" w:hAnsi="Times New Roman" w:cs="Times New Roman"/>
          <w:w w:val="95"/>
          <w:position w:val="7"/>
          <w:sz w:val="16"/>
          <w:szCs w:val="16"/>
        </w:rPr>
        <w:tab/>
      </w:r>
      <w:r>
        <w:rPr>
          <w:rFonts w:ascii="Times New Roman" w:hAnsi="Times New Roman" w:cs="Times New Roman"/>
          <w:w w:val="95"/>
          <w:position w:val="7"/>
          <w:sz w:val="16"/>
          <w:szCs w:val="16"/>
        </w:rPr>
        <w:tab/>
      </w:r>
      <w:r>
        <w:rPr>
          <w:rFonts w:ascii="Arial" w:hAnsi="Arial" w:cs="Arial"/>
          <w:w w:val="95"/>
          <w:position w:val="1"/>
          <w:sz w:val="15"/>
          <w:szCs w:val="15"/>
        </w:rPr>
        <w:t>Waltham:</w:t>
      </w:r>
      <w:r>
        <w:rPr>
          <w:rFonts w:ascii="Arial" w:hAnsi="Arial" w:cs="Arial"/>
          <w:spacing w:val="8"/>
          <w:w w:val="95"/>
          <w:position w:val="1"/>
          <w:sz w:val="15"/>
          <w:szCs w:val="15"/>
        </w:rPr>
        <w:t xml:space="preserve"> </w:t>
      </w:r>
      <w:r>
        <w:rPr>
          <w:rFonts w:ascii="Times New Roman" w:hAnsi="Times New Roman" w:cs="Times New Roman"/>
          <w:w w:val="95"/>
          <w:position w:val="2"/>
          <w:sz w:val="16"/>
          <w:szCs w:val="16"/>
        </w:rPr>
        <w:t>781-894-4307</w:t>
      </w:r>
      <w:r>
        <w:rPr>
          <w:rFonts w:ascii="Times New Roman" w:hAnsi="Times New Roman" w:cs="Times New Roman"/>
          <w:w w:val="95"/>
          <w:position w:val="2"/>
          <w:sz w:val="16"/>
          <w:szCs w:val="16"/>
        </w:rPr>
        <w:tab/>
      </w:r>
      <w:r>
        <w:rPr>
          <w:rFonts w:ascii="Times New Roman" w:hAnsi="Times New Roman" w:cs="Times New Roman"/>
          <w:w w:val="95"/>
          <w:position w:val="2"/>
          <w:sz w:val="16"/>
          <w:szCs w:val="16"/>
        </w:rPr>
        <w:tab/>
      </w:r>
      <w:r>
        <w:rPr>
          <w:rFonts w:ascii="Times New Roman" w:hAnsi="Times New Roman" w:cs="Times New Roman"/>
          <w:position w:val="1"/>
          <w:sz w:val="16"/>
          <w:szCs w:val="16"/>
        </w:rPr>
        <w:t>0</w:t>
      </w:r>
      <w:r>
        <w:rPr>
          <w:rFonts w:ascii="Times New Roman" w:hAnsi="Times New Roman" w:cs="Times New Roman"/>
          <w:spacing w:val="-34"/>
          <w:position w:val="1"/>
          <w:sz w:val="16"/>
          <w:szCs w:val="16"/>
        </w:rPr>
        <w:t xml:space="preserve"> </w:t>
      </w:r>
      <w:r>
        <w:rPr>
          <w:rFonts w:ascii="Times New Roman" w:hAnsi="Times New Roman" w:cs="Times New Roman"/>
          <w:position w:val="1"/>
          <w:sz w:val="16"/>
          <w:szCs w:val="16"/>
        </w:rPr>
        <w:t>844-372-9922</w:t>
      </w:r>
      <w:r>
        <w:rPr>
          <w:rFonts w:ascii="Times New Roman" w:hAnsi="Times New Roman" w:cs="Times New Roman"/>
          <w:spacing w:val="-24"/>
          <w:position w:val="1"/>
          <w:sz w:val="16"/>
          <w:szCs w:val="16"/>
        </w:rPr>
        <w:t xml:space="preserve"> </w:t>
      </w:r>
      <w:r>
        <w:rPr>
          <w:rFonts w:ascii="Arial" w:hAnsi="Arial" w:cs="Arial"/>
          <w:position w:val="1"/>
          <w:sz w:val="17"/>
          <w:szCs w:val="17"/>
        </w:rPr>
        <w:t>&lt;</w:t>
      </w:r>
      <w:proofErr w:type="spellStart"/>
      <w:r>
        <w:rPr>
          <w:rFonts w:ascii="Arial" w:hAnsi="Arial" w:cs="Arial"/>
          <w:position w:val="1"/>
          <w:sz w:val="17"/>
          <w:szCs w:val="17"/>
        </w:rPr>
        <w:t>ll</w:t>
      </w:r>
      <w:proofErr w:type="spellEnd"/>
      <w:r>
        <w:rPr>
          <w:rFonts w:ascii="Arial" w:hAnsi="Arial" w:cs="Arial"/>
          <w:position w:val="1"/>
          <w:sz w:val="17"/>
          <w:szCs w:val="17"/>
        </w:rPr>
        <w:tab/>
      </w:r>
      <w:r>
        <w:rPr>
          <w:rFonts w:ascii="Times New Roman" w:hAnsi="Times New Roman" w:cs="Times New Roman"/>
          <w:sz w:val="16"/>
          <w:szCs w:val="16"/>
        </w:rPr>
        <w:t>®</w:t>
      </w:r>
      <w:r>
        <w:rPr>
          <w:rFonts w:ascii="Times New Roman" w:hAnsi="Times New Roman" w:cs="Times New Roman"/>
          <w:sz w:val="16"/>
          <w:szCs w:val="16"/>
        </w:rPr>
        <w:tab/>
      </w:r>
      <w:r>
        <w:rPr>
          <w:rFonts w:ascii="Arial" w:hAnsi="Arial" w:cs="Arial"/>
          <w:w w:val="95"/>
          <w:position w:val="1"/>
          <w:sz w:val="15"/>
          <w:szCs w:val="15"/>
        </w:rPr>
        <w:t>Cape</w:t>
      </w:r>
      <w:r>
        <w:rPr>
          <w:rFonts w:ascii="Arial" w:hAnsi="Arial" w:cs="Arial"/>
          <w:spacing w:val="-31"/>
          <w:w w:val="95"/>
          <w:position w:val="1"/>
          <w:sz w:val="15"/>
          <w:szCs w:val="15"/>
        </w:rPr>
        <w:t xml:space="preserve"> </w:t>
      </w:r>
      <w:r>
        <w:rPr>
          <w:rFonts w:ascii="Arial" w:hAnsi="Arial" w:cs="Arial"/>
          <w:w w:val="95"/>
          <w:position w:val="1"/>
          <w:sz w:val="15"/>
          <w:szCs w:val="15"/>
        </w:rPr>
        <w:t>Cod</w:t>
      </w:r>
      <w:r>
        <w:rPr>
          <w:rFonts w:ascii="Arial" w:hAnsi="Arial" w:cs="Arial"/>
          <w:spacing w:val="-32"/>
          <w:w w:val="95"/>
          <w:position w:val="1"/>
          <w:sz w:val="15"/>
          <w:szCs w:val="15"/>
        </w:rPr>
        <w:t xml:space="preserve"> </w:t>
      </w:r>
      <w:r>
        <w:rPr>
          <w:rFonts w:ascii="Arial" w:hAnsi="Arial" w:cs="Arial"/>
          <w:w w:val="95"/>
          <w:position w:val="1"/>
          <w:sz w:val="15"/>
          <w:szCs w:val="15"/>
        </w:rPr>
        <w:t>Center</w:t>
      </w:r>
      <w:r>
        <w:rPr>
          <w:rFonts w:ascii="Arial" w:hAnsi="Arial" w:cs="Arial"/>
          <w:spacing w:val="-26"/>
          <w:w w:val="95"/>
          <w:position w:val="1"/>
          <w:sz w:val="15"/>
          <w:szCs w:val="15"/>
        </w:rPr>
        <w:t xml:space="preserve"> </w:t>
      </w:r>
      <w:proofErr w:type="spellStart"/>
      <w:r>
        <w:rPr>
          <w:rFonts w:ascii="Arial" w:hAnsi="Arial" w:cs="Arial"/>
          <w:w w:val="95"/>
          <w:position w:val="1"/>
          <w:sz w:val="15"/>
          <w:szCs w:val="15"/>
        </w:rPr>
        <w:t>ForWomen</w:t>
      </w:r>
      <w:proofErr w:type="spellEnd"/>
      <w:r>
        <w:rPr>
          <w:rFonts w:ascii="Arial" w:hAnsi="Arial" w:cs="Arial"/>
          <w:w w:val="95"/>
          <w:position w:val="1"/>
          <w:sz w:val="15"/>
          <w:szCs w:val="15"/>
        </w:rPr>
        <w:tab/>
      </w:r>
      <w:r>
        <w:rPr>
          <w:rFonts w:ascii="Arial" w:hAnsi="Arial" w:cs="Arial"/>
          <w:w w:val="95"/>
          <w:position w:val="1"/>
          <w:sz w:val="15"/>
          <w:szCs w:val="15"/>
        </w:rPr>
        <w:tab/>
      </w:r>
      <w:r>
        <w:rPr>
          <w:rFonts w:ascii="Arial" w:hAnsi="Arial" w:cs="Arial"/>
          <w:w w:val="85"/>
          <w:position w:val="8"/>
          <w:sz w:val="15"/>
          <w:szCs w:val="15"/>
        </w:rPr>
        <w:t>Resource</w:t>
      </w:r>
      <w:r>
        <w:rPr>
          <w:rFonts w:ascii="Arial" w:hAnsi="Arial" w:cs="Arial"/>
          <w:spacing w:val="25"/>
          <w:w w:val="85"/>
          <w:position w:val="8"/>
          <w:sz w:val="15"/>
          <w:szCs w:val="15"/>
        </w:rPr>
        <w:t xml:space="preserve"> </w:t>
      </w:r>
      <w:r>
        <w:rPr>
          <w:rFonts w:ascii="Arial" w:hAnsi="Arial" w:cs="Arial"/>
          <w:w w:val="85"/>
          <w:position w:val="8"/>
          <w:sz w:val="15"/>
          <w:szCs w:val="15"/>
        </w:rPr>
        <w:t>Center</w:t>
      </w:r>
    </w:p>
    <w:p w:rsidR="002C5025" w:rsidRDefault="002C5025">
      <w:pPr>
        <w:pStyle w:val="BodyText"/>
        <w:tabs>
          <w:tab w:val="left" w:pos="2915"/>
          <w:tab w:val="left" w:pos="10667"/>
          <w:tab w:val="left" w:pos="11413"/>
          <w:tab w:val="left" w:pos="13182"/>
        </w:tabs>
        <w:kinsoku w:val="0"/>
        <w:overflowPunct w:val="0"/>
        <w:spacing w:line="180" w:lineRule="exact"/>
        <w:ind w:left="858"/>
        <w:rPr>
          <w:rFonts w:ascii="Arial" w:hAnsi="Arial" w:cs="Arial"/>
          <w:w w:val="85"/>
          <w:position w:val="2"/>
          <w:sz w:val="15"/>
          <w:szCs w:val="15"/>
        </w:rPr>
      </w:pPr>
      <w:proofErr w:type="spellStart"/>
      <w:r>
        <w:rPr>
          <w:rFonts w:ascii="Arial" w:hAnsi="Arial" w:cs="Arial"/>
          <w:w w:val="95"/>
          <w:sz w:val="15"/>
          <w:szCs w:val="15"/>
        </w:rPr>
        <w:t>Crittenton</w:t>
      </w:r>
      <w:proofErr w:type="spellEnd"/>
      <w:r>
        <w:rPr>
          <w:rFonts w:ascii="Arial" w:hAnsi="Arial" w:cs="Arial"/>
          <w:spacing w:val="-25"/>
          <w:w w:val="95"/>
          <w:sz w:val="15"/>
          <w:szCs w:val="15"/>
        </w:rPr>
        <w:t xml:space="preserve"> </w:t>
      </w:r>
      <w:r>
        <w:rPr>
          <w:rFonts w:ascii="Arial" w:hAnsi="Arial" w:cs="Arial"/>
          <w:w w:val="95"/>
          <w:sz w:val="15"/>
          <w:szCs w:val="15"/>
        </w:rPr>
        <w:t>Women's</w:t>
      </w:r>
      <w:r>
        <w:rPr>
          <w:rFonts w:ascii="Arial" w:hAnsi="Arial" w:cs="Arial"/>
          <w:spacing w:val="-18"/>
          <w:w w:val="95"/>
          <w:sz w:val="15"/>
          <w:szCs w:val="15"/>
        </w:rPr>
        <w:t xml:space="preserve"> </w:t>
      </w:r>
      <w:r>
        <w:rPr>
          <w:rFonts w:ascii="Arial" w:hAnsi="Arial" w:cs="Arial"/>
          <w:w w:val="95"/>
          <w:sz w:val="15"/>
          <w:szCs w:val="15"/>
        </w:rPr>
        <w:t>Union</w:t>
      </w:r>
      <w:r>
        <w:rPr>
          <w:rFonts w:ascii="Arial" w:hAnsi="Arial" w:cs="Arial"/>
          <w:w w:val="95"/>
          <w:sz w:val="15"/>
          <w:szCs w:val="15"/>
        </w:rPr>
        <w:tab/>
      </w:r>
      <w:r>
        <w:rPr>
          <w:rFonts w:ascii="Arial" w:hAnsi="Arial" w:cs="Arial"/>
          <w:w w:val="95"/>
          <w:position w:val="2"/>
          <w:sz w:val="15"/>
          <w:szCs w:val="15"/>
        </w:rPr>
        <w:t>Safe</w:t>
      </w:r>
      <w:r>
        <w:rPr>
          <w:rFonts w:ascii="Arial" w:hAnsi="Arial" w:cs="Arial"/>
          <w:spacing w:val="-20"/>
          <w:w w:val="95"/>
          <w:position w:val="2"/>
          <w:sz w:val="15"/>
          <w:szCs w:val="15"/>
        </w:rPr>
        <w:t xml:space="preserve"> </w:t>
      </w:r>
      <w:r>
        <w:rPr>
          <w:rFonts w:ascii="Arial" w:hAnsi="Arial" w:cs="Arial"/>
          <w:spacing w:val="-2"/>
          <w:w w:val="95"/>
          <w:position w:val="2"/>
          <w:sz w:val="15"/>
          <w:szCs w:val="15"/>
        </w:rPr>
        <w:t>Havens</w:t>
      </w:r>
      <w:r>
        <w:rPr>
          <w:rFonts w:ascii="Arial" w:hAnsi="Arial" w:cs="Arial"/>
          <w:spacing w:val="-17"/>
          <w:w w:val="95"/>
          <w:position w:val="2"/>
          <w:sz w:val="15"/>
          <w:szCs w:val="15"/>
        </w:rPr>
        <w:t xml:space="preserve"> </w:t>
      </w:r>
      <w:r>
        <w:rPr>
          <w:rFonts w:ascii="Arial" w:hAnsi="Arial" w:cs="Arial"/>
          <w:spacing w:val="-3"/>
          <w:w w:val="95"/>
          <w:position w:val="2"/>
          <w:sz w:val="15"/>
          <w:szCs w:val="15"/>
        </w:rPr>
        <w:t>Interfaith</w:t>
      </w:r>
      <w:r>
        <w:rPr>
          <w:rFonts w:ascii="Arial" w:hAnsi="Arial" w:cs="Arial"/>
          <w:spacing w:val="-3"/>
          <w:w w:val="95"/>
          <w:position w:val="2"/>
          <w:sz w:val="15"/>
          <w:szCs w:val="15"/>
        </w:rPr>
        <w:tab/>
      </w:r>
      <w:proofErr w:type="spellStart"/>
      <w:r>
        <w:rPr>
          <w:rFonts w:ascii="Arial" w:hAnsi="Arial" w:cs="Arial"/>
          <w:w w:val="85"/>
          <w:position w:val="1"/>
          <w:sz w:val="15"/>
          <w:szCs w:val="15"/>
        </w:rPr>
        <w:t>Falmooth</w:t>
      </w:r>
      <w:proofErr w:type="spellEnd"/>
      <w:r>
        <w:rPr>
          <w:rFonts w:ascii="Arial" w:hAnsi="Arial" w:cs="Arial"/>
          <w:w w:val="85"/>
          <w:position w:val="1"/>
          <w:sz w:val="15"/>
          <w:szCs w:val="15"/>
        </w:rPr>
        <w:t>:</w:t>
      </w:r>
      <w:r>
        <w:rPr>
          <w:rFonts w:ascii="Arial" w:hAnsi="Arial" w:cs="Arial"/>
          <w:w w:val="85"/>
          <w:position w:val="1"/>
          <w:sz w:val="15"/>
          <w:szCs w:val="15"/>
        </w:rPr>
        <w:tab/>
      </w:r>
      <w:r>
        <w:rPr>
          <w:rFonts w:ascii="Times New Roman" w:hAnsi="Times New Roman" w:cs="Times New Roman"/>
          <w:w w:val="90"/>
          <w:position w:val="1"/>
          <w:sz w:val="16"/>
          <w:szCs w:val="16"/>
        </w:rPr>
        <w:t>508-564-7233</w:t>
      </w:r>
      <w:r>
        <w:rPr>
          <w:rFonts w:ascii="Times New Roman" w:hAnsi="Times New Roman" w:cs="Times New Roman"/>
          <w:spacing w:val="-10"/>
          <w:w w:val="90"/>
          <w:position w:val="1"/>
          <w:sz w:val="16"/>
          <w:szCs w:val="16"/>
        </w:rPr>
        <w:t xml:space="preserve"> </w:t>
      </w:r>
      <w:r>
        <w:rPr>
          <w:rFonts w:ascii="Arial" w:hAnsi="Arial" w:cs="Arial"/>
          <w:w w:val="90"/>
          <w:position w:val="1"/>
          <w:sz w:val="15"/>
          <w:szCs w:val="15"/>
        </w:rPr>
        <w:t>&lt;</w:t>
      </w:r>
      <w:proofErr w:type="spellStart"/>
      <w:r>
        <w:rPr>
          <w:rFonts w:ascii="Arial" w:hAnsi="Arial" w:cs="Arial"/>
          <w:w w:val="90"/>
          <w:position w:val="1"/>
          <w:sz w:val="15"/>
          <w:szCs w:val="15"/>
        </w:rPr>
        <w:t>ll</w:t>
      </w:r>
      <w:proofErr w:type="spellEnd"/>
      <w:r>
        <w:rPr>
          <w:rFonts w:ascii="Arial" w:hAnsi="Arial" w:cs="Arial"/>
          <w:w w:val="90"/>
          <w:position w:val="1"/>
          <w:sz w:val="15"/>
          <w:szCs w:val="15"/>
        </w:rPr>
        <w:tab/>
      </w:r>
      <w:r>
        <w:rPr>
          <w:rFonts w:ascii="Times New Roman" w:hAnsi="Times New Roman" w:cs="Times New Roman"/>
          <w:w w:val="85"/>
          <w:position w:val="2"/>
          <w:sz w:val="16"/>
          <w:szCs w:val="16"/>
        </w:rPr>
        <w:t>Plymouth: 508-746-2664</w:t>
      </w:r>
      <w:r>
        <w:rPr>
          <w:rFonts w:ascii="Times New Roman" w:hAnsi="Times New Roman" w:cs="Times New Roman"/>
          <w:spacing w:val="6"/>
          <w:w w:val="85"/>
          <w:position w:val="2"/>
          <w:sz w:val="16"/>
          <w:szCs w:val="16"/>
        </w:rPr>
        <w:t xml:space="preserve"> </w:t>
      </w:r>
      <w:r>
        <w:rPr>
          <w:rFonts w:ascii="Arial" w:hAnsi="Arial" w:cs="Arial"/>
          <w:w w:val="85"/>
          <w:position w:val="2"/>
          <w:sz w:val="15"/>
          <w:szCs w:val="15"/>
        </w:rPr>
        <w:t>&lt;</w:t>
      </w:r>
      <w:proofErr w:type="spellStart"/>
      <w:r>
        <w:rPr>
          <w:rFonts w:ascii="Arial" w:hAnsi="Arial" w:cs="Arial"/>
          <w:w w:val="85"/>
          <w:position w:val="2"/>
          <w:sz w:val="15"/>
          <w:szCs w:val="15"/>
        </w:rPr>
        <w:t>ll</w:t>
      </w:r>
      <w:proofErr w:type="spellEnd"/>
    </w:p>
    <w:p w:rsidR="002C5025" w:rsidRDefault="002C5025">
      <w:pPr>
        <w:pStyle w:val="BodyText"/>
        <w:tabs>
          <w:tab w:val="left" w:pos="2915"/>
          <w:tab w:val="left" w:pos="10667"/>
          <w:tab w:val="left" w:pos="11413"/>
          <w:tab w:val="left" w:pos="13182"/>
        </w:tabs>
        <w:kinsoku w:val="0"/>
        <w:overflowPunct w:val="0"/>
        <w:spacing w:line="180" w:lineRule="exact"/>
        <w:ind w:left="858"/>
        <w:rPr>
          <w:rFonts w:ascii="Arial" w:hAnsi="Arial" w:cs="Arial"/>
          <w:w w:val="85"/>
          <w:position w:val="2"/>
          <w:sz w:val="15"/>
          <w:szCs w:val="15"/>
        </w:rPr>
        <w:sectPr w:rsidR="002C5025">
          <w:type w:val="continuous"/>
          <w:pgSz w:w="15840" w:h="12240" w:orient="landscape"/>
          <w:pgMar w:top="720" w:right="220" w:bottom="280" w:left="140" w:header="720" w:footer="720" w:gutter="0"/>
          <w:cols w:space="720" w:equalWidth="0">
            <w:col w:w="15480"/>
          </w:cols>
          <w:noEndnote/>
        </w:sectPr>
      </w:pPr>
    </w:p>
    <w:p w:rsidR="002C5025" w:rsidRDefault="002C5025">
      <w:pPr>
        <w:pStyle w:val="BodyText"/>
        <w:tabs>
          <w:tab w:val="left" w:pos="2641"/>
        </w:tabs>
        <w:kinsoku w:val="0"/>
        <w:overflowPunct w:val="0"/>
        <w:spacing w:before="20" w:line="143" w:lineRule="exact"/>
        <w:ind w:left="570"/>
        <w:rPr>
          <w:rFonts w:ascii="Arial" w:hAnsi="Arial" w:cs="Arial"/>
          <w:position w:val="5"/>
          <w:sz w:val="15"/>
          <w:szCs w:val="15"/>
        </w:rPr>
      </w:pPr>
      <w:r>
        <w:rPr>
          <w:rFonts w:ascii="Times New Roman" w:hAnsi="Times New Roman" w:cs="Times New Roman"/>
          <w:w w:val="105"/>
          <w:position w:val="1"/>
          <w:sz w:val="16"/>
          <w:szCs w:val="16"/>
        </w:rPr>
        <w:lastRenderedPageBreak/>
        <w:t>0</w:t>
      </w:r>
      <w:r>
        <w:rPr>
          <w:rFonts w:ascii="Times New Roman" w:hAnsi="Times New Roman" w:cs="Times New Roman"/>
          <w:spacing w:val="-6"/>
          <w:w w:val="105"/>
          <w:position w:val="1"/>
          <w:sz w:val="16"/>
          <w:szCs w:val="16"/>
        </w:rPr>
        <w:t xml:space="preserve"> </w:t>
      </w:r>
      <w:r>
        <w:rPr>
          <w:rFonts w:ascii="Arial" w:hAnsi="Arial" w:cs="Arial"/>
          <w:w w:val="105"/>
          <w:sz w:val="15"/>
          <w:szCs w:val="15"/>
        </w:rPr>
        <w:t>B</w:t>
      </w:r>
      <w:r>
        <w:rPr>
          <w:rFonts w:ascii="Arial" w:hAnsi="Arial" w:cs="Arial"/>
          <w:w w:val="105"/>
          <w:sz w:val="15"/>
          <w:szCs w:val="15"/>
          <w:u w:val="single" w:color="000000"/>
        </w:rPr>
        <w:t>oston:</w:t>
      </w:r>
      <w:r>
        <w:rPr>
          <w:rFonts w:ascii="Arial" w:hAnsi="Arial" w:cs="Arial"/>
          <w:spacing w:val="-9"/>
          <w:w w:val="105"/>
          <w:sz w:val="15"/>
          <w:szCs w:val="15"/>
          <w:u w:val="single" w:color="000000"/>
        </w:rPr>
        <w:t xml:space="preserve"> </w:t>
      </w:r>
      <w:r>
        <w:rPr>
          <w:rFonts w:ascii="Times New Roman" w:hAnsi="Times New Roman" w:cs="Times New Roman"/>
          <w:w w:val="105"/>
          <w:sz w:val="16"/>
          <w:szCs w:val="16"/>
        </w:rPr>
        <w:t>617-296-2452</w:t>
      </w:r>
      <w:r>
        <w:rPr>
          <w:rFonts w:ascii="Times New Roman" w:hAnsi="Times New Roman" w:cs="Times New Roman"/>
          <w:w w:val="105"/>
          <w:sz w:val="16"/>
          <w:szCs w:val="16"/>
        </w:rPr>
        <w:tab/>
      </w:r>
      <w:r>
        <w:rPr>
          <w:rFonts w:ascii="Times New Roman" w:hAnsi="Times New Roman" w:cs="Times New Roman"/>
          <w:position w:val="1"/>
          <w:sz w:val="16"/>
          <w:szCs w:val="16"/>
        </w:rPr>
        <w:t>®</w:t>
      </w:r>
      <w:r>
        <w:rPr>
          <w:rFonts w:ascii="Times New Roman" w:hAnsi="Times New Roman" w:cs="Times New Roman"/>
          <w:spacing w:val="23"/>
          <w:position w:val="1"/>
          <w:sz w:val="16"/>
          <w:szCs w:val="16"/>
        </w:rPr>
        <w:t xml:space="preserve"> </w:t>
      </w:r>
      <w:r>
        <w:rPr>
          <w:rFonts w:ascii="Arial" w:hAnsi="Arial" w:cs="Arial"/>
          <w:position w:val="5"/>
          <w:sz w:val="15"/>
          <w:szCs w:val="15"/>
        </w:rPr>
        <w:t>Partnership</w:t>
      </w:r>
    </w:p>
    <w:p w:rsidR="002C5025" w:rsidRDefault="002C5025">
      <w:pPr>
        <w:pStyle w:val="BodyText"/>
        <w:tabs>
          <w:tab w:val="left" w:pos="901"/>
          <w:tab w:val="left" w:pos="3210"/>
          <w:tab w:val="left" w:pos="5934"/>
          <w:tab w:val="left" w:pos="9522"/>
        </w:tabs>
        <w:kinsoku w:val="0"/>
        <w:overflowPunct w:val="0"/>
        <w:spacing w:line="163" w:lineRule="exact"/>
        <w:ind w:left="570"/>
        <w:rPr>
          <w:rFonts w:ascii="Arial" w:hAnsi="Arial" w:cs="Arial"/>
          <w:w w:val="80"/>
          <w:position w:val="2"/>
          <w:sz w:val="15"/>
          <w:szCs w:val="15"/>
        </w:rPr>
      </w:pPr>
      <w:r>
        <w:rPr>
          <w:rFonts w:ascii="Times New Roman" w:hAnsi="Times New Roman" w:cs="Times New Roman"/>
          <w:sz w:val="24"/>
          <w:szCs w:val="24"/>
        </w:rPr>
        <w:br w:type="column"/>
      </w:r>
      <w:r>
        <w:rPr>
          <w:rFonts w:ascii="Times New Roman" w:hAnsi="Times New Roman" w:cs="Times New Roman"/>
          <w:sz w:val="16"/>
          <w:szCs w:val="16"/>
        </w:rPr>
        <w:lastRenderedPageBreak/>
        <w:t>®</w:t>
      </w:r>
      <w:r>
        <w:rPr>
          <w:rFonts w:ascii="Times New Roman" w:hAnsi="Times New Roman" w:cs="Times New Roman"/>
          <w:sz w:val="16"/>
          <w:szCs w:val="16"/>
        </w:rPr>
        <w:tab/>
      </w:r>
      <w:proofErr w:type="spellStart"/>
      <w:r>
        <w:rPr>
          <w:rFonts w:ascii="Arial" w:hAnsi="Arial" w:cs="Arial"/>
          <w:w w:val="95"/>
          <w:position w:val="1"/>
          <w:sz w:val="15"/>
          <w:szCs w:val="15"/>
        </w:rPr>
        <w:t>SpanishAmerican</w:t>
      </w:r>
      <w:proofErr w:type="spellEnd"/>
      <w:r>
        <w:rPr>
          <w:rFonts w:ascii="Arial" w:hAnsi="Arial" w:cs="Arial"/>
          <w:spacing w:val="-32"/>
          <w:w w:val="95"/>
          <w:position w:val="1"/>
          <w:sz w:val="15"/>
          <w:szCs w:val="15"/>
        </w:rPr>
        <w:t xml:space="preserve"> </w:t>
      </w:r>
      <w:r>
        <w:rPr>
          <w:rFonts w:ascii="Arial" w:hAnsi="Arial" w:cs="Arial"/>
          <w:w w:val="95"/>
          <w:position w:val="1"/>
          <w:sz w:val="15"/>
          <w:szCs w:val="15"/>
        </w:rPr>
        <w:t>Center</w:t>
      </w:r>
      <w:r>
        <w:rPr>
          <w:rFonts w:ascii="Arial" w:hAnsi="Arial" w:cs="Arial"/>
          <w:w w:val="95"/>
          <w:position w:val="1"/>
          <w:sz w:val="15"/>
          <w:szCs w:val="15"/>
        </w:rPr>
        <w:tab/>
      </w:r>
      <w:r>
        <w:rPr>
          <w:rFonts w:ascii="Times New Roman" w:hAnsi="Times New Roman" w:cs="Times New Roman"/>
          <w:position w:val="-2"/>
          <w:sz w:val="16"/>
          <w:szCs w:val="16"/>
        </w:rPr>
        <w:t>*</w:t>
      </w:r>
      <w:r>
        <w:rPr>
          <w:rFonts w:ascii="Times New Roman" w:hAnsi="Times New Roman" w:cs="Times New Roman"/>
          <w:spacing w:val="11"/>
          <w:position w:val="-2"/>
          <w:sz w:val="16"/>
          <w:szCs w:val="16"/>
        </w:rPr>
        <w:t xml:space="preserve"> </w:t>
      </w:r>
      <w:r>
        <w:rPr>
          <w:rFonts w:ascii="Arial" w:hAnsi="Arial" w:cs="Arial"/>
          <w:position w:val="2"/>
          <w:sz w:val="15"/>
          <w:szCs w:val="15"/>
        </w:rPr>
        <w:t>YWCA</w:t>
      </w:r>
      <w:r>
        <w:rPr>
          <w:rFonts w:ascii="Arial" w:hAnsi="Arial" w:cs="Arial"/>
          <w:spacing w:val="-26"/>
          <w:position w:val="2"/>
          <w:sz w:val="15"/>
          <w:szCs w:val="15"/>
        </w:rPr>
        <w:t xml:space="preserve"> </w:t>
      </w:r>
      <w:proofErr w:type="spellStart"/>
      <w:r>
        <w:rPr>
          <w:rFonts w:ascii="Arial" w:hAnsi="Arial" w:cs="Arial"/>
          <w:position w:val="2"/>
          <w:sz w:val="15"/>
          <w:szCs w:val="15"/>
        </w:rPr>
        <w:t>NorthShore</w:t>
      </w:r>
      <w:r>
        <w:rPr>
          <w:rFonts w:ascii="Times New Roman" w:hAnsi="Times New Roman" w:cs="Times New Roman"/>
          <w:position w:val="2"/>
          <w:sz w:val="16"/>
          <w:szCs w:val="16"/>
        </w:rPr>
        <w:t>Rape</w:t>
      </w:r>
      <w:r>
        <w:rPr>
          <w:rFonts w:ascii="Arial" w:hAnsi="Arial" w:cs="Arial"/>
          <w:position w:val="2"/>
          <w:sz w:val="15"/>
          <w:szCs w:val="15"/>
        </w:rPr>
        <w:t>Crisis</w:t>
      </w:r>
      <w:proofErr w:type="spellEnd"/>
      <w:r>
        <w:rPr>
          <w:rFonts w:ascii="Arial" w:hAnsi="Arial" w:cs="Arial"/>
          <w:position w:val="2"/>
          <w:sz w:val="15"/>
          <w:szCs w:val="15"/>
        </w:rPr>
        <w:tab/>
      </w:r>
      <w:r>
        <w:rPr>
          <w:rFonts w:ascii="Times New Roman" w:hAnsi="Times New Roman" w:cs="Times New Roman"/>
          <w:position w:val="2"/>
          <w:sz w:val="16"/>
          <w:szCs w:val="16"/>
        </w:rPr>
        <w:t>ES</w:t>
      </w:r>
      <w:r>
        <w:rPr>
          <w:rFonts w:ascii="Times New Roman" w:hAnsi="Times New Roman" w:cs="Times New Roman"/>
          <w:position w:val="2"/>
          <w:sz w:val="16"/>
          <w:szCs w:val="16"/>
        </w:rPr>
        <w:tab/>
      </w:r>
      <w:r>
        <w:rPr>
          <w:rFonts w:ascii="Times New Roman" w:hAnsi="Times New Roman" w:cs="Times New Roman"/>
          <w:w w:val="80"/>
          <w:position w:val="2"/>
          <w:sz w:val="16"/>
          <w:szCs w:val="16"/>
        </w:rPr>
        <w:t>888-746-2664</w:t>
      </w:r>
      <w:r>
        <w:rPr>
          <w:rFonts w:ascii="Times New Roman" w:hAnsi="Times New Roman" w:cs="Times New Roman"/>
          <w:spacing w:val="13"/>
          <w:w w:val="80"/>
          <w:position w:val="2"/>
          <w:sz w:val="16"/>
          <w:szCs w:val="16"/>
        </w:rPr>
        <w:t xml:space="preserve"> </w:t>
      </w:r>
      <w:r>
        <w:rPr>
          <w:rFonts w:ascii="Arial" w:hAnsi="Arial" w:cs="Arial"/>
          <w:w w:val="80"/>
          <w:position w:val="2"/>
          <w:sz w:val="15"/>
          <w:szCs w:val="15"/>
        </w:rPr>
        <w:t>&lt;</w:t>
      </w:r>
      <w:proofErr w:type="spellStart"/>
      <w:r>
        <w:rPr>
          <w:rFonts w:ascii="Arial" w:hAnsi="Arial" w:cs="Arial"/>
          <w:w w:val="80"/>
          <w:position w:val="2"/>
          <w:sz w:val="15"/>
          <w:szCs w:val="15"/>
        </w:rPr>
        <w:t>ll</w:t>
      </w:r>
      <w:proofErr w:type="spellEnd"/>
    </w:p>
    <w:p w:rsidR="002C5025" w:rsidRDefault="002C5025">
      <w:pPr>
        <w:pStyle w:val="BodyText"/>
        <w:tabs>
          <w:tab w:val="left" w:pos="901"/>
          <w:tab w:val="left" w:pos="3210"/>
          <w:tab w:val="left" w:pos="5934"/>
          <w:tab w:val="left" w:pos="9522"/>
        </w:tabs>
        <w:kinsoku w:val="0"/>
        <w:overflowPunct w:val="0"/>
        <w:spacing w:line="163" w:lineRule="exact"/>
        <w:ind w:left="570"/>
        <w:rPr>
          <w:rFonts w:ascii="Arial" w:hAnsi="Arial" w:cs="Arial"/>
          <w:w w:val="80"/>
          <w:position w:val="2"/>
          <w:sz w:val="15"/>
          <w:szCs w:val="15"/>
        </w:rPr>
        <w:sectPr w:rsidR="002C5025">
          <w:type w:val="continuous"/>
          <w:pgSz w:w="15840" w:h="12240" w:orient="landscape"/>
          <w:pgMar w:top="720" w:right="220" w:bottom="280" w:left="140" w:header="720" w:footer="720" w:gutter="0"/>
          <w:cols w:num="2" w:space="720" w:equalWidth="0">
            <w:col w:w="3602" w:space="677"/>
            <w:col w:w="11201"/>
          </w:cols>
          <w:noEndnote/>
        </w:sectPr>
      </w:pPr>
    </w:p>
    <w:p w:rsidR="002C5025" w:rsidRDefault="002C5025">
      <w:pPr>
        <w:pStyle w:val="BodyText"/>
        <w:tabs>
          <w:tab w:val="left" w:pos="623"/>
        </w:tabs>
        <w:kinsoku w:val="0"/>
        <w:overflowPunct w:val="0"/>
        <w:spacing w:line="144" w:lineRule="exact"/>
        <w:jc w:val="right"/>
        <w:rPr>
          <w:rFonts w:ascii="Times New Roman" w:hAnsi="Times New Roman" w:cs="Times New Roman"/>
          <w:w w:val="80"/>
          <w:sz w:val="16"/>
          <w:szCs w:val="16"/>
        </w:rPr>
      </w:pPr>
      <w:r>
        <w:rPr>
          <w:rFonts w:ascii="Arial" w:hAnsi="Arial" w:cs="Arial"/>
          <w:w w:val="90"/>
          <w:sz w:val="15"/>
          <w:szCs w:val="15"/>
        </w:rPr>
        <w:lastRenderedPageBreak/>
        <w:t>Boston:</w:t>
      </w:r>
      <w:r>
        <w:rPr>
          <w:rFonts w:ascii="Arial" w:hAnsi="Arial" w:cs="Arial"/>
          <w:w w:val="90"/>
          <w:sz w:val="15"/>
          <w:szCs w:val="15"/>
        </w:rPr>
        <w:tab/>
      </w:r>
      <w:r>
        <w:rPr>
          <w:rFonts w:ascii="Times New Roman" w:hAnsi="Times New Roman" w:cs="Times New Roman"/>
          <w:w w:val="80"/>
          <w:sz w:val="16"/>
          <w:szCs w:val="16"/>
        </w:rPr>
        <w:t>617-951-3980</w:t>
      </w:r>
    </w:p>
    <w:p w:rsidR="002C5025" w:rsidRDefault="002C5025">
      <w:pPr>
        <w:pStyle w:val="BodyText"/>
        <w:tabs>
          <w:tab w:val="left" w:pos="3380"/>
        </w:tabs>
        <w:kinsoku w:val="0"/>
        <w:overflowPunct w:val="0"/>
        <w:spacing w:line="144" w:lineRule="exact"/>
        <w:ind w:left="805"/>
        <w:rPr>
          <w:rFonts w:ascii="Arial" w:hAnsi="Arial" w:cs="Arial"/>
          <w:spacing w:val="-1"/>
          <w:position w:val="1"/>
          <w:sz w:val="15"/>
          <w:szCs w:val="15"/>
        </w:rPr>
      </w:pPr>
      <w:r>
        <w:rPr>
          <w:rFonts w:ascii="Times New Roman" w:hAnsi="Times New Roman" w:cs="Times New Roman"/>
          <w:sz w:val="24"/>
          <w:szCs w:val="24"/>
        </w:rPr>
        <w:br w:type="column"/>
      </w:r>
      <w:r>
        <w:rPr>
          <w:rFonts w:ascii="Arial" w:hAnsi="Arial" w:cs="Arial"/>
          <w:w w:val="85"/>
          <w:sz w:val="15"/>
          <w:szCs w:val="15"/>
        </w:rPr>
        <w:lastRenderedPageBreak/>
        <w:t>Leominster:</w:t>
      </w:r>
      <w:r>
        <w:rPr>
          <w:rFonts w:ascii="Arial" w:hAnsi="Arial" w:cs="Arial"/>
          <w:spacing w:val="-20"/>
          <w:w w:val="85"/>
          <w:sz w:val="15"/>
          <w:szCs w:val="15"/>
        </w:rPr>
        <w:t xml:space="preserve"> </w:t>
      </w:r>
      <w:r>
        <w:rPr>
          <w:rFonts w:ascii="Arial" w:hAnsi="Arial" w:cs="Arial"/>
          <w:w w:val="85"/>
          <w:sz w:val="15"/>
          <w:szCs w:val="15"/>
        </w:rPr>
        <w:t>978-534-3145</w:t>
      </w:r>
      <w:r>
        <w:rPr>
          <w:rFonts w:ascii="Arial" w:hAnsi="Arial" w:cs="Arial"/>
          <w:w w:val="85"/>
          <w:sz w:val="15"/>
          <w:szCs w:val="15"/>
        </w:rPr>
        <w:tab/>
      </w:r>
      <w:r>
        <w:rPr>
          <w:rFonts w:ascii="Arial" w:hAnsi="Arial" w:cs="Arial"/>
          <w:spacing w:val="-1"/>
          <w:position w:val="1"/>
          <w:sz w:val="15"/>
          <w:szCs w:val="15"/>
        </w:rPr>
        <w:t>Center</w:t>
      </w:r>
    </w:p>
    <w:p w:rsidR="002C5025" w:rsidRDefault="002C5025">
      <w:pPr>
        <w:pStyle w:val="BodyText"/>
        <w:tabs>
          <w:tab w:val="left" w:pos="4932"/>
        </w:tabs>
        <w:kinsoku w:val="0"/>
        <w:overflowPunct w:val="0"/>
        <w:spacing w:before="94" w:line="50" w:lineRule="exact"/>
        <w:ind w:left="2424"/>
        <w:rPr>
          <w:rFonts w:ascii="Arial" w:hAnsi="Arial" w:cs="Arial"/>
          <w:w w:val="85"/>
          <w:sz w:val="15"/>
          <w:szCs w:val="15"/>
        </w:rPr>
      </w:pPr>
      <w:r>
        <w:rPr>
          <w:rFonts w:ascii="Times New Roman" w:hAnsi="Times New Roman" w:cs="Times New Roman"/>
          <w:sz w:val="24"/>
          <w:szCs w:val="24"/>
        </w:rPr>
        <w:br w:type="column"/>
      </w:r>
      <w:r>
        <w:rPr>
          <w:rFonts w:ascii="Arial" w:hAnsi="Arial" w:cs="Arial"/>
          <w:w w:val="90"/>
          <w:sz w:val="15"/>
          <w:szCs w:val="15"/>
        </w:rPr>
        <w:lastRenderedPageBreak/>
        <w:t>CONNECT to</w:t>
      </w:r>
      <w:r>
        <w:rPr>
          <w:rFonts w:ascii="Arial" w:hAnsi="Arial" w:cs="Arial"/>
          <w:spacing w:val="-29"/>
          <w:w w:val="90"/>
          <w:sz w:val="15"/>
          <w:szCs w:val="15"/>
        </w:rPr>
        <w:t xml:space="preserve"> </w:t>
      </w:r>
      <w:r>
        <w:rPr>
          <w:rFonts w:ascii="Arial" w:hAnsi="Arial" w:cs="Arial"/>
          <w:w w:val="90"/>
          <w:sz w:val="15"/>
          <w:szCs w:val="15"/>
        </w:rPr>
        <w:t>End</w:t>
      </w:r>
      <w:r>
        <w:rPr>
          <w:rFonts w:ascii="Arial" w:hAnsi="Arial" w:cs="Arial"/>
          <w:spacing w:val="-26"/>
          <w:w w:val="90"/>
          <w:sz w:val="15"/>
          <w:szCs w:val="15"/>
        </w:rPr>
        <w:t xml:space="preserve"> </w:t>
      </w:r>
      <w:r>
        <w:rPr>
          <w:rFonts w:ascii="Arial" w:hAnsi="Arial" w:cs="Arial"/>
          <w:w w:val="90"/>
          <w:sz w:val="15"/>
          <w:szCs w:val="15"/>
        </w:rPr>
        <w:t>Violence</w:t>
      </w:r>
      <w:r>
        <w:rPr>
          <w:rFonts w:ascii="Arial" w:hAnsi="Arial" w:cs="Arial"/>
          <w:w w:val="90"/>
          <w:sz w:val="15"/>
          <w:szCs w:val="15"/>
        </w:rPr>
        <w:tab/>
      </w:r>
      <w:r>
        <w:rPr>
          <w:rFonts w:ascii="Arial" w:hAnsi="Arial" w:cs="Arial"/>
          <w:w w:val="85"/>
          <w:sz w:val="15"/>
          <w:szCs w:val="15"/>
        </w:rPr>
        <w:t>SSTAR Women's</w:t>
      </w:r>
      <w:r>
        <w:rPr>
          <w:rFonts w:ascii="Arial" w:hAnsi="Arial" w:cs="Arial"/>
          <w:spacing w:val="-1"/>
          <w:w w:val="85"/>
          <w:sz w:val="15"/>
          <w:szCs w:val="15"/>
        </w:rPr>
        <w:t xml:space="preserve"> </w:t>
      </w:r>
      <w:r>
        <w:rPr>
          <w:rFonts w:ascii="Arial" w:hAnsi="Arial" w:cs="Arial"/>
          <w:w w:val="85"/>
          <w:sz w:val="15"/>
          <w:szCs w:val="15"/>
        </w:rPr>
        <w:t>Center</w:t>
      </w:r>
    </w:p>
    <w:p w:rsidR="002C5025" w:rsidRDefault="002C5025">
      <w:pPr>
        <w:pStyle w:val="BodyText"/>
        <w:tabs>
          <w:tab w:val="left" w:pos="4932"/>
        </w:tabs>
        <w:kinsoku w:val="0"/>
        <w:overflowPunct w:val="0"/>
        <w:spacing w:before="94" w:line="50" w:lineRule="exact"/>
        <w:ind w:left="2424"/>
        <w:rPr>
          <w:rFonts w:ascii="Arial" w:hAnsi="Arial" w:cs="Arial"/>
          <w:w w:val="85"/>
          <w:sz w:val="15"/>
          <w:szCs w:val="15"/>
        </w:rPr>
        <w:sectPr w:rsidR="002C5025">
          <w:type w:val="continuous"/>
          <w:pgSz w:w="15840" w:h="12240" w:orient="landscape"/>
          <w:pgMar w:top="720" w:right="220" w:bottom="280" w:left="140" w:header="720" w:footer="720" w:gutter="0"/>
          <w:cols w:num="3" w:space="720" w:equalWidth="0">
            <w:col w:w="4329" w:space="40"/>
            <w:col w:w="3834" w:space="40"/>
            <w:col w:w="7237"/>
          </w:cols>
          <w:noEndnote/>
        </w:sectPr>
      </w:pPr>
    </w:p>
    <w:p w:rsidR="002C5025" w:rsidRDefault="002C5025">
      <w:pPr>
        <w:pStyle w:val="BodyText"/>
        <w:tabs>
          <w:tab w:val="left" w:pos="2907"/>
        </w:tabs>
        <w:kinsoku w:val="0"/>
        <w:overflowPunct w:val="0"/>
        <w:spacing w:before="110"/>
        <w:ind w:left="577"/>
        <w:rPr>
          <w:rFonts w:ascii="Arial" w:hAnsi="Arial" w:cs="Arial"/>
          <w:w w:val="90"/>
          <w:sz w:val="15"/>
          <w:szCs w:val="15"/>
        </w:rPr>
      </w:pPr>
      <w:r>
        <w:rPr>
          <w:rFonts w:ascii="Times New Roman" w:hAnsi="Times New Roman" w:cs="Times New Roman"/>
          <w:sz w:val="16"/>
          <w:szCs w:val="16"/>
        </w:rPr>
        <w:lastRenderedPageBreak/>
        <w:t xml:space="preserve">® </w:t>
      </w:r>
      <w:r>
        <w:rPr>
          <w:rFonts w:ascii="Times New Roman" w:hAnsi="Times New Roman" w:cs="Times New Roman"/>
          <w:spacing w:val="23"/>
          <w:sz w:val="16"/>
          <w:szCs w:val="16"/>
        </w:rPr>
        <w:t xml:space="preserve"> </w:t>
      </w:r>
      <w:r>
        <w:rPr>
          <w:rFonts w:ascii="Arial" w:hAnsi="Arial" w:cs="Arial"/>
          <w:position w:val="1"/>
          <w:sz w:val="15"/>
          <w:szCs w:val="15"/>
        </w:rPr>
        <w:t>DOVE</w:t>
      </w:r>
      <w:r>
        <w:rPr>
          <w:rFonts w:ascii="Arial" w:hAnsi="Arial" w:cs="Arial"/>
          <w:spacing w:val="-21"/>
          <w:position w:val="1"/>
          <w:sz w:val="15"/>
          <w:szCs w:val="15"/>
        </w:rPr>
        <w:t xml:space="preserve"> </w:t>
      </w:r>
      <w:r>
        <w:rPr>
          <w:rFonts w:ascii="Arial" w:hAnsi="Arial" w:cs="Arial"/>
          <w:spacing w:val="-7"/>
          <w:position w:val="1"/>
          <w:sz w:val="15"/>
          <w:szCs w:val="15"/>
        </w:rPr>
        <w:t>Inc.</w:t>
      </w:r>
      <w:r>
        <w:rPr>
          <w:rFonts w:ascii="Arial" w:hAnsi="Arial" w:cs="Arial"/>
          <w:spacing w:val="-7"/>
          <w:position w:val="1"/>
          <w:sz w:val="15"/>
          <w:szCs w:val="15"/>
        </w:rPr>
        <w:tab/>
      </w:r>
      <w:r>
        <w:rPr>
          <w:rFonts w:ascii="Arial" w:hAnsi="Arial" w:cs="Arial"/>
          <w:w w:val="90"/>
          <w:sz w:val="15"/>
          <w:szCs w:val="15"/>
        </w:rPr>
        <w:t xml:space="preserve">The </w:t>
      </w:r>
      <w:r>
        <w:rPr>
          <w:rFonts w:ascii="Arial" w:hAnsi="Arial" w:cs="Arial"/>
          <w:spacing w:val="-2"/>
          <w:w w:val="90"/>
          <w:sz w:val="15"/>
          <w:szCs w:val="15"/>
        </w:rPr>
        <w:t>Second</w:t>
      </w:r>
      <w:r>
        <w:rPr>
          <w:rFonts w:ascii="Arial" w:hAnsi="Arial" w:cs="Arial"/>
          <w:spacing w:val="-11"/>
          <w:w w:val="90"/>
          <w:sz w:val="15"/>
          <w:szCs w:val="15"/>
        </w:rPr>
        <w:t xml:space="preserve"> </w:t>
      </w:r>
      <w:r>
        <w:rPr>
          <w:rFonts w:ascii="Arial" w:hAnsi="Arial" w:cs="Arial"/>
          <w:w w:val="90"/>
          <w:sz w:val="15"/>
          <w:szCs w:val="15"/>
        </w:rPr>
        <w:t>step</w:t>
      </w:r>
    </w:p>
    <w:p w:rsidR="002C5025" w:rsidRDefault="002C5025">
      <w:pPr>
        <w:pStyle w:val="BodyText"/>
        <w:tabs>
          <w:tab w:val="left" w:pos="3553"/>
        </w:tabs>
        <w:kinsoku w:val="0"/>
        <w:overflowPunct w:val="0"/>
        <w:spacing w:before="18"/>
        <w:ind w:left="577"/>
        <w:rPr>
          <w:rFonts w:ascii="Arial" w:hAnsi="Arial" w:cs="Arial"/>
          <w:spacing w:val="-1"/>
          <w:w w:val="80"/>
          <w:position w:val="4"/>
          <w:sz w:val="15"/>
          <w:szCs w:val="15"/>
        </w:rPr>
      </w:pPr>
      <w:r>
        <w:rPr>
          <w:rFonts w:ascii="Times New Roman" w:hAnsi="Times New Roman" w:cs="Times New Roman"/>
          <w:sz w:val="24"/>
          <w:szCs w:val="24"/>
        </w:rPr>
        <w:br w:type="column"/>
      </w:r>
      <w:r>
        <w:rPr>
          <w:rFonts w:ascii="Times New Roman" w:hAnsi="Times New Roman" w:cs="Times New Roman"/>
          <w:position w:val="-4"/>
          <w:sz w:val="16"/>
          <w:szCs w:val="16"/>
        </w:rPr>
        <w:lastRenderedPageBreak/>
        <w:t xml:space="preserve">®*  </w:t>
      </w:r>
      <w:r>
        <w:rPr>
          <w:rFonts w:ascii="Arial" w:hAnsi="Arial" w:cs="Arial"/>
          <w:sz w:val="15"/>
          <w:szCs w:val="15"/>
        </w:rPr>
        <w:t>Voices</w:t>
      </w:r>
      <w:r>
        <w:rPr>
          <w:rFonts w:ascii="Arial" w:hAnsi="Arial" w:cs="Arial"/>
          <w:spacing w:val="-22"/>
          <w:sz w:val="15"/>
          <w:szCs w:val="15"/>
        </w:rPr>
        <w:t xml:space="preserve"> </w:t>
      </w:r>
      <w:r>
        <w:rPr>
          <w:rFonts w:ascii="Arial" w:hAnsi="Arial" w:cs="Arial"/>
          <w:sz w:val="15"/>
          <w:szCs w:val="15"/>
        </w:rPr>
        <w:t>Against</w:t>
      </w:r>
      <w:r>
        <w:rPr>
          <w:rFonts w:ascii="Arial" w:hAnsi="Arial" w:cs="Arial"/>
          <w:spacing w:val="-28"/>
          <w:sz w:val="15"/>
          <w:szCs w:val="15"/>
        </w:rPr>
        <w:t xml:space="preserve"> </w:t>
      </w:r>
      <w:r>
        <w:rPr>
          <w:rFonts w:ascii="Arial" w:hAnsi="Arial" w:cs="Arial"/>
          <w:sz w:val="15"/>
          <w:szCs w:val="15"/>
        </w:rPr>
        <w:t>Violence</w:t>
      </w:r>
      <w:r>
        <w:rPr>
          <w:rFonts w:ascii="Arial" w:hAnsi="Arial" w:cs="Arial"/>
          <w:sz w:val="15"/>
          <w:szCs w:val="15"/>
        </w:rPr>
        <w:tab/>
      </w:r>
      <w:r>
        <w:rPr>
          <w:rFonts w:ascii="Arial" w:hAnsi="Arial" w:cs="Arial"/>
          <w:spacing w:val="-1"/>
          <w:w w:val="80"/>
          <w:position w:val="4"/>
          <w:sz w:val="15"/>
          <w:szCs w:val="15"/>
        </w:rPr>
        <w:t>Lynn:</w:t>
      </w:r>
    </w:p>
    <w:p w:rsidR="002C5025" w:rsidRDefault="002C5025">
      <w:pPr>
        <w:pStyle w:val="BodyText"/>
        <w:tabs>
          <w:tab w:val="left" w:pos="1930"/>
        </w:tabs>
        <w:kinsoku w:val="0"/>
        <w:overflowPunct w:val="0"/>
        <w:spacing w:line="225" w:lineRule="exact"/>
        <w:ind w:left="327"/>
        <w:rPr>
          <w:rFonts w:ascii="Times New Roman" w:hAnsi="Times New Roman" w:cs="Times New Roman"/>
          <w:spacing w:val="-1"/>
          <w:w w:val="95"/>
          <w:position w:val="6"/>
          <w:sz w:val="16"/>
          <w:szCs w:val="16"/>
        </w:rPr>
      </w:pPr>
      <w:r>
        <w:rPr>
          <w:rFonts w:ascii="Times New Roman" w:hAnsi="Times New Roman" w:cs="Times New Roman"/>
          <w:sz w:val="24"/>
          <w:szCs w:val="24"/>
        </w:rPr>
        <w:br w:type="column"/>
      </w:r>
      <w:r>
        <w:rPr>
          <w:rFonts w:ascii="Times New Roman" w:hAnsi="Times New Roman" w:cs="Times New Roman"/>
          <w:w w:val="90"/>
          <w:sz w:val="16"/>
          <w:szCs w:val="16"/>
        </w:rPr>
        <w:lastRenderedPageBreak/>
        <w:t>800-922-8772</w:t>
      </w:r>
      <w:r>
        <w:rPr>
          <w:rFonts w:ascii="Times New Roman" w:hAnsi="Times New Roman" w:cs="Times New Roman"/>
          <w:spacing w:val="-15"/>
          <w:w w:val="90"/>
          <w:sz w:val="16"/>
          <w:szCs w:val="16"/>
        </w:rPr>
        <w:t xml:space="preserve"> </w:t>
      </w:r>
      <w:r>
        <w:rPr>
          <w:rFonts w:ascii="Arial" w:hAnsi="Arial" w:cs="Arial"/>
          <w:w w:val="90"/>
          <w:sz w:val="17"/>
          <w:szCs w:val="17"/>
        </w:rPr>
        <w:t>&lt;</w:t>
      </w:r>
      <w:proofErr w:type="spellStart"/>
      <w:r>
        <w:rPr>
          <w:rFonts w:ascii="Arial" w:hAnsi="Arial" w:cs="Arial"/>
          <w:w w:val="90"/>
          <w:sz w:val="17"/>
          <w:szCs w:val="17"/>
        </w:rPr>
        <w:t>ll</w:t>
      </w:r>
      <w:proofErr w:type="spellEnd"/>
      <w:r>
        <w:rPr>
          <w:rFonts w:ascii="Arial" w:hAnsi="Arial" w:cs="Arial"/>
          <w:w w:val="90"/>
          <w:sz w:val="17"/>
          <w:szCs w:val="17"/>
        </w:rPr>
        <w:tab/>
      </w:r>
      <w:r>
        <w:rPr>
          <w:rFonts w:ascii="Times New Roman" w:hAnsi="Times New Roman" w:cs="Times New Roman"/>
          <w:spacing w:val="-1"/>
          <w:w w:val="95"/>
          <w:position w:val="6"/>
          <w:sz w:val="16"/>
          <w:szCs w:val="16"/>
        </w:rPr>
        <w:t>®*</w:t>
      </w:r>
    </w:p>
    <w:p w:rsidR="002C5025" w:rsidRDefault="002C5025">
      <w:pPr>
        <w:pStyle w:val="BodyText"/>
        <w:kinsoku w:val="0"/>
        <w:overflowPunct w:val="0"/>
        <w:spacing w:before="108"/>
        <w:ind w:left="376" w:right="-5"/>
        <w:rPr>
          <w:rFonts w:ascii="Arial" w:hAnsi="Arial" w:cs="Arial"/>
          <w:w w:val="85"/>
          <w:sz w:val="15"/>
          <w:szCs w:val="15"/>
        </w:rPr>
      </w:pPr>
      <w:r>
        <w:rPr>
          <w:rFonts w:ascii="Times New Roman" w:hAnsi="Times New Roman" w:cs="Times New Roman"/>
          <w:sz w:val="24"/>
          <w:szCs w:val="24"/>
        </w:rPr>
        <w:br w:type="column"/>
      </w:r>
      <w:r>
        <w:rPr>
          <w:rFonts w:ascii="Arial" w:hAnsi="Arial" w:cs="Arial"/>
          <w:w w:val="85"/>
          <w:sz w:val="15"/>
          <w:szCs w:val="15"/>
        </w:rPr>
        <w:lastRenderedPageBreak/>
        <w:t xml:space="preserve">Vineyard Haven: </w:t>
      </w:r>
      <w:r>
        <w:rPr>
          <w:rFonts w:ascii="Arial" w:hAnsi="Arial" w:cs="Arial"/>
          <w:w w:val="85"/>
          <w:sz w:val="15"/>
          <w:szCs w:val="15"/>
          <w:u w:val="single" w:color="000000"/>
        </w:rPr>
        <w:t xml:space="preserve">508-696-7233 </w:t>
      </w:r>
      <w:r>
        <w:rPr>
          <w:rFonts w:ascii="Arial" w:hAnsi="Arial" w:cs="Arial"/>
          <w:w w:val="85"/>
          <w:sz w:val="15"/>
          <w:szCs w:val="15"/>
        </w:rPr>
        <w:t>&lt;</w:t>
      </w:r>
      <w:proofErr w:type="spellStart"/>
      <w:r>
        <w:rPr>
          <w:rFonts w:ascii="Arial" w:hAnsi="Arial" w:cs="Arial"/>
          <w:w w:val="85"/>
          <w:sz w:val="15"/>
          <w:szCs w:val="15"/>
        </w:rPr>
        <w:t>ll</w:t>
      </w:r>
      <w:proofErr w:type="spellEnd"/>
    </w:p>
    <w:p w:rsidR="002C5025" w:rsidRDefault="002C5025">
      <w:pPr>
        <w:pStyle w:val="BodyText"/>
        <w:kinsoku w:val="0"/>
        <w:overflowPunct w:val="0"/>
        <w:spacing w:line="127" w:lineRule="exact"/>
        <w:ind w:left="222"/>
        <w:rPr>
          <w:rFonts w:ascii="Times New Roman" w:hAnsi="Times New Roman" w:cs="Times New Roman"/>
          <w:sz w:val="16"/>
          <w:szCs w:val="16"/>
        </w:rPr>
      </w:pPr>
      <w:r>
        <w:rPr>
          <w:rFonts w:ascii="Times New Roman" w:hAnsi="Times New Roman" w:cs="Times New Roman"/>
          <w:sz w:val="24"/>
          <w:szCs w:val="24"/>
        </w:rPr>
        <w:br w:type="column"/>
      </w:r>
      <w:r>
        <w:rPr>
          <w:rFonts w:ascii="Times New Roman" w:hAnsi="Times New Roman" w:cs="Times New Roman"/>
          <w:sz w:val="16"/>
          <w:szCs w:val="16"/>
        </w:rPr>
        <w:lastRenderedPageBreak/>
        <w:t>®</w:t>
      </w:r>
    </w:p>
    <w:p w:rsidR="002C5025" w:rsidRDefault="002C5025">
      <w:pPr>
        <w:pStyle w:val="BodyText"/>
        <w:kinsoku w:val="0"/>
        <w:overflowPunct w:val="0"/>
        <w:spacing w:line="147" w:lineRule="exact"/>
        <w:ind w:left="546"/>
        <w:rPr>
          <w:rFonts w:ascii="Arial" w:hAnsi="Arial" w:cs="Arial"/>
          <w:w w:val="85"/>
          <w:sz w:val="15"/>
          <w:szCs w:val="15"/>
        </w:rPr>
      </w:pPr>
      <w:r>
        <w:rPr>
          <w:rFonts w:ascii="Times New Roman" w:hAnsi="Times New Roman" w:cs="Times New Roman"/>
          <w:w w:val="85"/>
          <w:sz w:val="16"/>
          <w:szCs w:val="16"/>
        </w:rPr>
        <w:t xml:space="preserve">Fall River: 508-675-0087 </w:t>
      </w:r>
      <w:r>
        <w:rPr>
          <w:rFonts w:ascii="Arial" w:hAnsi="Arial" w:cs="Arial"/>
          <w:w w:val="85"/>
          <w:sz w:val="15"/>
          <w:szCs w:val="15"/>
        </w:rPr>
        <w:t>&lt;</w:t>
      </w:r>
      <w:proofErr w:type="spellStart"/>
      <w:r>
        <w:rPr>
          <w:rFonts w:ascii="Arial" w:hAnsi="Arial" w:cs="Arial"/>
          <w:w w:val="85"/>
          <w:sz w:val="15"/>
          <w:szCs w:val="15"/>
        </w:rPr>
        <w:t>ll</w:t>
      </w:r>
      <w:proofErr w:type="spellEnd"/>
    </w:p>
    <w:p w:rsidR="002C5025" w:rsidRDefault="002C5025">
      <w:pPr>
        <w:pStyle w:val="BodyText"/>
        <w:kinsoku w:val="0"/>
        <w:overflowPunct w:val="0"/>
        <w:spacing w:line="147" w:lineRule="exact"/>
        <w:ind w:left="546"/>
        <w:rPr>
          <w:rFonts w:ascii="Arial" w:hAnsi="Arial" w:cs="Arial"/>
          <w:w w:val="85"/>
          <w:sz w:val="15"/>
          <w:szCs w:val="15"/>
        </w:rPr>
        <w:sectPr w:rsidR="002C5025">
          <w:type w:val="continuous"/>
          <w:pgSz w:w="15840" w:h="12240" w:orient="landscape"/>
          <w:pgMar w:top="720" w:right="220" w:bottom="280" w:left="140" w:header="720" w:footer="720" w:gutter="0"/>
          <w:cols w:num="5" w:space="720" w:equalWidth="0">
            <w:col w:w="3914" w:space="286"/>
            <w:col w:w="3849" w:space="40"/>
            <w:col w:w="2132" w:space="40"/>
            <w:col w:w="2330" w:space="40"/>
            <w:col w:w="2849"/>
          </w:cols>
          <w:noEndnote/>
        </w:sectPr>
      </w:pPr>
    </w:p>
    <w:p w:rsidR="002C5025" w:rsidRDefault="002C5025">
      <w:pPr>
        <w:pStyle w:val="BodyText"/>
        <w:tabs>
          <w:tab w:val="left" w:pos="2643"/>
          <w:tab w:val="left" w:pos="4830"/>
          <w:tab w:val="left" w:pos="7748"/>
          <w:tab w:val="left" w:pos="11365"/>
        </w:tabs>
        <w:kinsoku w:val="0"/>
        <w:overflowPunct w:val="0"/>
        <w:spacing w:line="231" w:lineRule="exact"/>
        <w:ind w:left="577"/>
        <w:rPr>
          <w:rFonts w:ascii="Times New Roman" w:hAnsi="Times New Roman" w:cs="Times New Roman"/>
          <w:w w:val="85"/>
          <w:sz w:val="16"/>
          <w:szCs w:val="16"/>
        </w:rPr>
      </w:pPr>
      <w:r>
        <w:rPr>
          <w:rFonts w:ascii="Times New Roman" w:hAnsi="Times New Roman" w:cs="Times New Roman"/>
          <w:w w:val="90"/>
          <w:sz w:val="16"/>
          <w:szCs w:val="16"/>
        </w:rPr>
        <w:lastRenderedPageBreak/>
        <w:t>ES</w:t>
      </w:r>
      <w:r>
        <w:rPr>
          <w:rFonts w:ascii="Times New Roman" w:hAnsi="Times New Roman" w:cs="Times New Roman"/>
          <w:spacing w:val="16"/>
          <w:w w:val="90"/>
          <w:sz w:val="16"/>
          <w:szCs w:val="16"/>
        </w:rPr>
        <w:t xml:space="preserve"> </w:t>
      </w:r>
      <w:r>
        <w:rPr>
          <w:rFonts w:ascii="Times New Roman" w:hAnsi="Times New Roman" w:cs="Times New Roman"/>
          <w:w w:val="90"/>
          <w:sz w:val="16"/>
          <w:szCs w:val="16"/>
        </w:rPr>
        <w:t>Quincy:</w:t>
      </w:r>
      <w:r>
        <w:rPr>
          <w:rFonts w:ascii="Times New Roman" w:hAnsi="Times New Roman" w:cs="Times New Roman"/>
          <w:spacing w:val="-2"/>
          <w:w w:val="90"/>
          <w:sz w:val="16"/>
          <w:szCs w:val="16"/>
        </w:rPr>
        <w:t xml:space="preserve"> </w:t>
      </w:r>
      <w:r>
        <w:rPr>
          <w:rFonts w:ascii="Times New Roman" w:hAnsi="Times New Roman" w:cs="Times New Roman"/>
          <w:w w:val="90"/>
          <w:sz w:val="16"/>
          <w:szCs w:val="16"/>
        </w:rPr>
        <w:t>888-314-36830&gt;</w:t>
      </w:r>
      <w:r>
        <w:rPr>
          <w:rFonts w:ascii="Times New Roman" w:hAnsi="Times New Roman" w:cs="Times New Roman"/>
          <w:w w:val="90"/>
          <w:sz w:val="16"/>
          <w:szCs w:val="16"/>
        </w:rPr>
        <w:tab/>
      </w:r>
      <w:r>
        <w:rPr>
          <w:rFonts w:ascii="Times New Roman" w:hAnsi="Times New Roman" w:cs="Times New Roman"/>
          <w:w w:val="95"/>
          <w:position w:val="5"/>
          <w:sz w:val="16"/>
          <w:szCs w:val="16"/>
        </w:rPr>
        <w:t>®</w:t>
      </w:r>
      <w:r>
        <w:rPr>
          <w:rFonts w:ascii="Times New Roman" w:hAnsi="Times New Roman" w:cs="Times New Roman"/>
          <w:spacing w:val="33"/>
          <w:w w:val="95"/>
          <w:position w:val="5"/>
          <w:sz w:val="16"/>
          <w:szCs w:val="16"/>
        </w:rPr>
        <w:t xml:space="preserve"> </w:t>
      </w:r>
      <w:r>
        <w:rPr>
          <w:rFonts w:ascii="Arial" w:hAnsi="Arial" w:cs="Arial"/>
          <w:w w:val="95"/>
          <w:position w:val="-1"/>
          <w:sz w:val="15"/>
          <w:szCs w:val="15"/>
        </w:rPr>
        <w:t xml:space="preserve">Newton: </w:t>
      </w:r>
      <w:r>
        <w:rPr>
          <w:rFonts w:ascii="Arial" w:hAnsi="Arial" w:cs="Arial"/>
          <w:spacing w:val="9"/>
          <w:w w:val="95"/>
          <w:position w:val="-1"/>
          <w:sz w:val="15"/>
          <w:szCs w:val="15"/>
        </w:rPr>
        <w:t xml:space="preserve"> </w:t>
      </w:r>
      <w:r>
        <w:rPr>
          <w:rFonts w:ascii="Times New Roman" w:hAnsi="Times New Roman" w:cs="Times New Roman"/>
          <w:w w:val="95"/>
          <w:sz w:val="16"/>
          <w:szCs w:val="16"/>
        </w:rPr>
        <w:t>617-966-3999</w:t>
      </w:r>
      <w:r>
        <w:rPr>
          <w:rFonts w:ascii="Times New Roman" w:hAnsi="Times New Roman" w:cs="Times New Roman"/>
          <w:w w:val="95"/>
          <w:sz w:val="16"/>
          <w:szCs w:val="16"/>
        </w:rPr>
        <w:tab/>
      </w:r>
      <w:r>
        <w:rPr>
          <w:rFonts w:ascii="Times New Roman" w:hAnsi="Times New Roman" w:cs="Times New Roman"/>
          <w:w w:val="90"/>
          <w:position w:val="-3"/>
          <w:sz w:val="16"/>
          <w:szCs w:val="16"/>
        </w:rPr>
        <w:t xml:space="preserve">ES   </w:t>
      </w:r>
      <w:r>
        <w:rPr>
          <w:rFonts w:ascii="Arial" w:hAnsi="Arial" w:cs="Arial"/>
          <w:w w:val="90"/>
          <w:position w:val="4"/>
          <w:sz w:val="15"/>
          <w:szCs w:val="15"/>
        </w:rPr>
        <w:t>Framingham:</w:t>
      </w:r>
      <w:r>
        <w:rPr>
          <w:rFonts w:ascii="Arial" w:hAnsi="Arial" w:cs="Arial"/>
          <w:spacing w:val="-18"/>
          <w:w w:val="90"/>
          <w:position w:val="4"/>
          <w:sz w:val="15"/>
          <w:szCs w:val="15"/>
        </w:rPr>
        <w:t xml:space="preserve"> </w:t>
      </w:r>
      <w:r>
        <w:rPr>
          <w:rFonts w:ascii="Arial" w:hAnsi="Arial" w:cs="Arial"/>
          <w:w w:val="90"/>
          <w:position w:val="4"/>
          <w:sz w:val="15"/>
          <w:szCs w:val="15"/>
        </w:rPr>
        <w:t>800-593-1125</w:t>
      </w:r>
      <w:r>
        <w:rPr>
          <w:rFonts w:ascii="Arial" w:hAnsi="Arial" w:cs="Arial"/>
          <w:spacing w:val="-23"/>
          <w:w w:val="90"/>
          <w:position w:val="4"/>
          <w:sz w:val="15"/>
          <w:szCs w:val="15"/>
        </w:rPr>
        <w:t xml:space="preserve"> </w:t>
      </w:r>
      <w:r>
        <w:rPr>
          <w:rFonts w:ascii="Arial" w:hAnsi="Arial" w:cs="Arial"/>
          <w:w w:val="90"/>
          <w:position w:val="4"/>
          <w:sz w:val="15"/>
          <w:szCs w:val="15"/>
        </w:rPr>
        <w:t>&lt;</w:t>
      </w:r>
      <w:proofErr w:type="spellStart"/>
      <w:r>
        <w:rPr>
          <w:rFonts w:ascii="Arial" w:hAnsi="Arial" w:cs="Arial"/>
          <w:w w:val="90"/>
          <w:position w:val="4"/>
          <w:sz w:val="15"/>
          <w:szCs w:val="15"/>
        </w:rPr>
        <w:t>ll</w:t>
      </w:r>
      <w:proofErr w:type="spellEnd"/>
      <w:r>
        <w:rPr>
          <w:rFonts w:ascii="Arial" w:hAnsi="Arial" w:cs="Arial"/>
          <w:w w:val="90"/>
          <w:position w:val="4"/>
          <w:sz w:val="15"/>
          <w:szCs w:val="15"/>
        </w:rPr>
        <w:tab/>
      </w:r>
      <w:r>
        <w:rPr>
          <w:rFonts w:ascii="Times New Roman" w:hAnsi="Times New Roman" w:cs="Times New Roman"/>
          <w:w w:val="95"/>
          <w:position w:val="3"/>
          <w:sz w:val="16"/>
          <w:szCs w:val="16"/>
        </w:rPr>
        <w:t>TTY:</w:t>
      </w:r>
      <w:r>
        <w:rPr>
          <w:rFonts w:ascii="Times New Roman" w:hAnsi="Times New Roman" w:cs="Times New Roman"/>
          <w:spacing w:val="-7"/>
          <w:w w:val="95"/>
          <w:position w:val="3"/>
          <w:sz w:val="16"/>
          <w:szCs w:val="16"/>
        </w:rPr>
        <w:t xml:space="preserve"> </w:t>
      </w:r>
      <w:r>
        <w:rPr>
          <w:rFonts w:ascii="Times New Roman" w:hAnsi="Times New Roman" w:cs="Times New Roman"/>
          <w:w w:val="95"/>
          <w:position w:val="3"/>
          <w:sz w:val="16"/>
          <w:szCs w:val="16"/>
        </w:rPr>
        <w:t>781-477-2315</w:t>
      </w:r>
      <w:r>
        <w:rPr>
          <w:rFonts w:ascii="Times New Roman" w:hAnsi="Times New Roman" w:cs="Times New Roman"/>
          <w:w w:val="95"/>
          <w:position w:val="3"/>
          <w:sz w:val="16"/>
          <w:szCs w:val="16"/>
        </w:rPr>
        <w:tab/>
      </w:r>
      <w:r>
        <w:rPr>
          <w:rFonts w:ascii="Times New Roman" w:hAnsi="Times New Roman" w:cs="Times New Roman"/>
          <w:w w:val="85"/>
          <w:sz w:val="16"/>
          <w:szCs w:val="16"/>
        </w:rPr>
        <w:t>TTY:</w:t>
      </w:r>
      <w:r>
        <w:rPr>
          <w:rFonts w:ascii="Times New Roman" w:hAnsi="Times New Roman" w:cs="Times New Roman"/>
          <w:spacing w:val="-12"/>
          <w:w w:val="85"/>
          <w:sz w:val="16"/>
          <w:szCs w:val="16"/>
        </w:rPr>
        <w:t xml:space="preserve"> </w:t>
      </w:r>
      <w:r>
        <w:rPr>
          <w:rFonts w:ascii="Times New Roman" w:hAnsi="Times New Roman" w:cs="Times New Roman"/>
          <w:w w:val="85"/>
          <w:sz w:val="16"/>
          <w:szCs w:val="16"/>
        </w:rPr>
        <w:t>774-549-9659</w:t>
      </w:r>
    </w:p>
    <w:p w:rsidR="002C5025" w:rsidRDefault="002C5025">
      <w:pPr>
        <w:pStyle w:val="BodyText"/>
        <w:tabs>
          <w:tab w:val="left" w:pos="4859"/>
          <w:tab w:val="left" w:pos="10227"/>
          <w:tab w:val="left" w:pos="10674"/>
        </w:tabs>
        <w:kinsoku w:val="0"/>
        <w:overflowPunct w:val="0"/>
        <w:spacing w:line="238" w:lineRule="exact"/>
        <w:ind w:left="577"/>
        <w:rPr>
          <w:rFonts w:ascii="Arial" w:hAnsi="Arial" w:cs="Arial"/>
          <w:spacing w:val="-3"/>
          <w:w w:val="90"/>
          <w:position w:val="6"/>
          <w:sz w:val="15"/>
          <w:szCs w:val="15"/>
        </w:rPr>
      </w:pPr>
      <w:r>
        <w:rPr>
          <w:rFonts w:ascii="Times New Roman" w:hAnsi="Times New Roman" w:cs="Times New Roman"/>
          <w:position w:val="-5"/>
          <w:sz w:val="16"/>
          <w:szCs w:val="16"/>
        </w:rPr>
        <w:t xml:space="preserve">® </w:t>
      </w:r>
      <w:r>
        <w:rPr>
          <w:rFonts w:ascii="Arial" w:hAnsi="Arial" w:cs="Arial"/>
          <w:sz w:val="15"/>
          <w:szCs w:val="15"/>
        </w:rPr>
        <w:t xml:space="preserve">The Elizabeth stone House   </w:t>
      </w:r>
      <w:r>
        <w:rPr>
          <w:rFonts w:ascii="Times New Roman" w:hAnsi="Times New Roman" w:cs="Times New Roman"/>
          <w:position w:val="-4"/>
          <w:sz w:val="16"/>
          <w:szCs w:val="16"/>
        </w:rPr>
        <w:t>®</w:t>
      </w:r>
      <w:r>
        <w:rPr>
          <w:rFonts w:ascii="Times New Roman" w:hAnsi="Times New Roman" w:cs="Times New Roman"/>
          <w:spacing w:val="9"/>
          <w:position w:val="-4"/>
          <w:sz w:val="16"/>
          <w:szCs w:val="16"/>
        </w:rPr>
        <w:t xml:space="preserve"> </w:t>
      </w:r>
      <w:r>
        <w:rPr>
          <w:rFonts w:ascii="Arial" w:hAnsi="Arial" w:cs="Arial"/>
          <w:position w:val="1"/>
          <w:sz w:val="15"/>
          <w:szCs w:val="15"/>
        </w:rPr>
        <w:t>Transition</w:t>
      </w:r>
      <w:r>
        <w:rPr>
          <w:rFonts w:ascii="Arial" w:hAnsi="Arial" w:cs="Arial"/>
          <w:spacing w:val="-29"/>
          <w:position w:val="1"/>
          <w:sz w:val="15"/>
          <w:szCs w:val="15"/>
        </w:rPr>
        <w:t xml:space="preserve"> </w:t>
      </w:r>
      <w:r>
        <w:rPr>
          <w:rFonts w:ascii="Arial" w:hAnsi="Arial" w:cs="Arial"/>
          <w:position w:val="1"/>
          <w:sz w:val="15"/>
          <w:szCs w:val="15"/>
        </w:rPr>
        <w:t>House</w:t>
      </w:r>
      <w:r>
        <w:rPr>
          <w:rFonts w:ascii="Arial" w:hAnsi="Arial" w:cs="Arial"/>
          <w:position w:val="1"/>
          <w:sz w:val="15"/>
          <w:szCs w:val="15"/>
        </w:rPr>
        <w:tab/>
      </w:r>
      <w:r>
        <w:rPr>
          <w:rFonts w:ascii="Times New Roman" w:hAnsi="Times New Roman" w:cs="Times New Roman"/>
          <w:w w:val="95"/>
          <w:position w:val="-4"/>
          <w:sz w:val="16"/>
          <w:szCs w:val="16"/>
        </w:rPr>
        <w:t>*</w:t>
      </w:r>
      <w:r>
        <w:rPr>
          <w:rFonts w:ascii="Times New Roman" w:hAnsi="Times New Roman" w:cs="Times New Roman"/>
          <w:spacing w:val="35"/>
          <w:w w:val="95"/>
          <w:position w:val="-4"/>
          <w:sz w:val="16"/>
          <w:szCs w:val="16"/>
        </w:rPr>
        <w:t xml:space="preserve"> </w:t>
      </w:r>
      <w:r>
        <w:rPr>
          <w:rFonts w:ascii="Arial" w:hAnsi="Arial" w:cs="Arial"/>
          <w:w w:val="95"/>
          <w:position w:val="1"/>
          <w:sz w:val="15"/>
          <w:szCs w:val="15"/>
        </w:rPr>
        <w:t>Wayside</w:t>
      </w:r>
      <w:r>
        <w:rPr>
          <w:rFonts w:ascii="Arial" w:hAnsi="Arial" w:cs="Arial"/>
          <w:spacing w:val="-25"/>
          <w:w w:val="95"/>
          <w:position w:val="1"/>
          <w:sz w:val="15"/>
          <w:szCs w:val="15"/>
        </w:rPr>
        <w:t xml:space="preserve"> </w:t>
      </w:r>
      <w:r>
        <w:rPr>
          <w:rFonts w:ascii="Arial" w:hAnsi="Arial" w:cs="Arial"/>
          <w:w w:val="95"/>
          <w:position w:val="1"/>
          <w:sz w:val="15"/>
          <w:szCs w:val="15"/>
        </w:rPr>
        <w:t>Valley</w:t>
      </w:r>
      <w:r>
        <w:rPr>
          <w:rFonts w:ascii="Arial" w:hAnsi="Arial" w:cs="Arial"/>
          <w:spacing w:val="-21"/>
          <w:w w:val="95"/>
          <w:position w:val="1"/>
          <w:sz w:val="15"/>
          <w:szCs w:val="15"/>
        </w:rPr>
        <w:t xml:space="preserve"> </w:t>
      </w:r>
      <w:r>
        <w:rPr>
          <w:rFonts w:ascii="Arial" w:hAnsi="Arial" w:cs="Arial"/>
          <w:w w:val="95"/>
          <w:position w:val="1"/>
          <w:sz w:val="15"/>
          <w:szCs w:val="15"/>
        </w:rPr>
        <w:t>Rape</w:t>
      </w:r>
      <w:r>
        <w:rPr>
          <w:rFonts w:ascii="Arial" w:hAnsi="Arial" w:cs="Arial"/>
          <w:spacing w:val="-28"/>
          <w:w w:val="95"/>
          <w:position w:val="1"/>
          <w:sz w:val="15"/>
          <w:szCs w:val="15"/>
        </w:rPr>
        <w:t xml:space="preserve"> </w:t>
      </w:r>
      <w:r>
        <w:rPr>
          <w:rFonts w:ascii="Arial" w:hAnsi="Arial" w:cs="Arial"/>
          <w:w w:val="95"/>
          <w:position w:val="1"/>
          <w:sz w:val="15"/>
          <w:szCs w:val="15"/>
        </w:rPr>
        <w:t>Crisis</w:t>
      </w:r>
      <w:r>
        <w:rPr>
          <w:rFonts w:ascii="Arial" w:hAnsi="Arial" w:cs="Arial"/>
          <w:spacing w:val="-27"/>
          <w:w w:val="95"/>
          <w:position w:val="1"/>
          <w:sz w:val="15"/>
          <w:szCs w:val="15"/>
        </w:rPr>
        <w:t xml:space="preserve"> </w:t>
      </w:r>
      <w:r>
        <w:rPr>
          <w:rFonts w:ascii="Arial" w:hAnsi="Arial" w:cs="Arial"/>
          <w:w w:val="95"/>
          <w:position w:val="1"/>
          <w:sz w:val="15"/>
          <w:szCs w:val="15"/>
        </w:rPr>
        <w:t>Program</w:t>
      </w:r>
      <w:r>
        <w:rPr>
          <w:rFonts w:ascii="Arial" w:hAnsi="Arial" w:cs="Arial"/>
          <w:w w:val="95"/>
          <w:position w:val="1"/>
          <w:sz w:val="15"/>
          <w:szCs w:val="15"/>
        </w:rPr>
        <w:tab/>
      </w:r>
      <w:r>
        <w:rPr>
          <w:rFonts w:ascii="Times New Roman" w:hAnsi="Times New Roman" w:cs="Times New Roman"/>
          <w:position w:val="5"/>
          <w:sz w:val="16"/>
          <w:szCs w:val="16"/>
        </w:rPr>
        <w:t>®</w:t>
      </w:r>
      <w:r>
        <w:rPr>
          <w:rFonts w:ascii="Times New Roman" w:hAnsi="Times New Roman" w:cs="Times New Roman"/>
          <w:position w:val="5"/>
          <w:sz w:val="16"/>
          <w:szCs w:val="16"/>
        </w:rPr>
        <w:tab/>
      </w:r>
      <w:r>
        <w:rPr>
          <w:rFonts w:ascii="Arial" w:hAnsi="Arial" w:cs="Arial"/>
          <w:spacing w:val="-3"/>
          <w:w w:val="90"/>
          <w:position w:val="6"/>
          <w:sz w:val="15"/>
          <w:szCs w:val="15"/>
        </w:rPr>
        <w:t xml:space="preserve">Family  </w:t>
      </w:r>
      <w:r>
        <w:rPr>
          <w:rFonts w:ascii="Arial" w:hAnsi="Arial" w:cs="Arial"/>
          <w:w w:val="90"/>
          <w:position w:val="6"/>
          <w:sz w:val="16"/>
          <w:szCs w:val="16"/>
        </w:rPr>
        <w:t xml:space="preserve">&amp; </w:t>
      </w:r>
      <w:r>
        <w:rPr>
          <w:rFonts w:ascii="Arial" w:hAnsi="Arial" w:cs="Arial"/>
          <w:w w:val="90"/>
          <w:position w:val="6"/>
          <w:sz w:val="15"/>
          <w:szCs w:val="15"/>
        </w:rPr>
        <w:t>Community</w:t>
      </w:r>
      <w:r>
        <w:rPr>
          <w:rFonts w:ascii="Arial" w:hAnsi="Arial" w:cs="Arial"/>
          <w:spacing w:val="-19"/>
          <w:w w:val="90"/>
          <w:position w:val="6"/>
          <w:sz w:val="15"/>
          <w:szCs w:val="15"/>
        </w:rPr>
        <w:t xml:space="preserve"> </w:t>
      </w:r>
      <w:r>
        <w:rPr>
          <w:rFonts w:ascii="Arial" w:hAnsi="Arial" w:cs="Arial"/>
          <w:spacing w:val="-3"/>
          <w:w w:val="90"/>
          <w:position w:val="6"/>
          <w:sz w:val="15"/>
          <w:szCs w:val="15"/>
        </w:rPr>
        <w:t>Resources</w:t>
      </w:r>
    </w:p>
    <w:p w:rsidR="002C5025" w:rsidRDefault="002C5025">
      <w:pPr>
        <w:pStyle w:val="BodyText"/>
        <w:tabs>
          <w:tab w:val="left" w:pos="2063"/>
          <w:tab w:val="left" w:pos="4327"/>
          <w:tab w:val="left" w:pos="5025"/>
          <w:tab w:val="left" w:pos="9808"/>
          <w:tab w:val="left" w:pos="10591"/>
          <w:tab w:val="left" w:pos="11937"/>
        </w:tabs>
        <w:kinsoku w:val="0"/>
        <w:overflowPunct w:val="0"/>
        <w:spacing w:line="155" w:lineRule="exact"/>
        <w:ind w:right="206"/>
        <w:jc w:val="center"/>
        <w:rPr>
          <w:rFonts w:ascii="Arial" w:hAnsi="Arial" w:cs="Arial"/>
          <w:w w:val="95"/>
          <w:position w:val="1"/>
          <w:sz w:val="15"/>
          <w:szCs w:val="15"/>
        </w:rPr>
      </w:pPr>
      <w:r>
        <w:rPr>
          <w:rFonts w:ascii="Arial" w:hAnsi="Arial" w:cs="Arial"/>
          <w:w w:val="90"/>
          <w:sz w:val="15"/>
          <w:szCs w:val="15"/>
        </w:rPr>
        <w:t>Jamaica</w:t>
      </w:r>
      <w:r>
        <w:rPr>
          <w:rFonts w:ascii="Arial" w:hAnsi="Arial" w:cs="Arial"/>
          <w:spacing w:val="-20"/>
          <w:w w:val="90"/>
          <w:sz w:val="15"/>
          <w:szCs w:val="15"/>
        </w:rPr>
        <w:t xml:space="preserve"> </w:t>
      </w:r>
      <w:r>
        <w:rPr>
          <w:rFonts w:ascii="Arial" w:hAnsi="Arial" w:cs="Arial"/>
          <w:w w:val="90"/>
          <w:sz w:val="15"/>
          <w:szCs w:val="15"/>
        </w:rPr>
        <w:t>Plain</w:t>
      </w:r>
      <w:r>
        <w:rPr>
          <w:rFonts w:ascii="Arial" w:hAnsi="Arial" w:cs="Arial"/>
          <w:spacing w:val="-28"/>
          <w:w w:val="90"/>
          <w:sz w:val="15"/>
          <w:szCs w:val="15"/>
        </w:rPr>
        <w:t xml:space="preserve"> </w:t>
      </w:r>
      <w:r>
        <w:rPr>
          <w:rFonts w:ascii="Arial" w:hAnsi="Arial" w:cs="Arial"/>
          <w:i/>
          <w:iCs/>
          <w:w w:val="90"/>
          <w:sz w:val="15"/>
          <w:szCs w:val="15"/>
        </w:rPr>
        <w:t>I</w:t>
      </w:r>
      <w:r>
        <w:rPr>
          <w:rFonts w:ascii="Arial" w:hAnsi="Arial" w:cs="Arial"/>
          <w:i/>
          <w:iCs/>
          <w:spacing w:val="-23"/>
          <w:w w:val="90"/>
          <w:sz w:val="15"/>
          <w:szCs w:val="15"/>
        </w:rPr>
        <w:t xml:space="preserve"> </w:t>
      </w:r>
      <w:r>
        <w:rPr>
          <w:rFonts w:ascii="Arial" w:hAnsi="Arial" w:cs="Arial"/>
          <w:w w:val="90"/>
          <w:sz w:val="15"/>
          <w:szCs w:val="15"/>
        </w:rPr>
        <w:t>Boston:</w:t>
      </w:r>
      <w:r>
        <w:rPr>
          <w:rFonts w:ascii="Arial" w:hAnsi="Arial" w:cs="Arial"/>
          <w:w w:val="90"/>
          <w:sz w:val="15"/>
          <w:szCs w:val="15"/>
        </w:rPr>
        <w:tab/>
      </w:r>
      <w:proofErr w:type="spellStart"/>
      <w:r>
        <w:rPr>
          <w:rFonts w:ascii="Times New Roman" w:hAnsi="Times New Roman" w:cs="Times New Roman"/>
          <w:w w:val="90"/>
          <w:position w:val="1"/>
          <w:sz w:val="16"/>
          <w:szCs w:val="16"/>
        </w:rPr>
        <w:t>Cambndge</w:t>
      </w:r>
      <w:proofErr w:type="spellEnd"/>
      <w:r>
        <w:rPr>
          <w:rFonts w:ascii="Times New Roman" w:hAnsi="Times New Roman" w:cs="Times New Roman"/>
          <w:w w:val="90"/>
          <w:position w:val="1"/>
          <w:sz w:val="16"/>
          <w:szCs w:val="16"/>
        </w:rPr>
        <w:t>:</w:t>
      </w:r>
      <w:r>
        <w:rPr>
          <w:rFonts w:ascii="Times New Roman" w:hAnsi="Times New Roman" w:cs="Times New Roman"/>
          <w:spacing w:val="-17"/>
          <w:w w:val="90"/>
          <w:position w:val="1"/>
          <w:sz w:val="16"/>
          <w:szCs w:val="16"/>
        </w:rPr>
        <w:t xml:space="preserve"> </w:t>
      </w:r>
      <w:r>
        <w:rPr>
          <w:rFonts w:ascii="Times New Roman" w:hAnsi="Times New Roman" w:cs="Times New Roman"/>
          <w:w w:val="90"/>
          <w:position w:val="1"/>
          <w:sz w:val="16"/>
          <w:szCs w:val="16"/>
        </w:rPr>
        <w:t>617-661-7203</w:t>
      </w:r>
      <w:r>
        <w:rPr>
          <w:rFonts w:ascii="Times New Roman" w:hAnsi="Times New Roman" w:cs="Times New Roman"/>
          <w:w w:val="90"/>
          <w:position w:val="1"/>
          <w:sz w:val="16"/>
          <w:szCs w:val="16"/>
        </w:rPr>
        <w:tab/>
      </w:r>
      <w:r>
        <w:rPr>
          <w:rFonts w:ascii="Arial" w:hAnsi="Arial" w:cs="Arial"/>
          <w:w w:val="90"/>
          <w:position w:val="1"/>
          <w:sz w:val="15"/>
          <w:szCs w:val="15"/>
        </w:rPr>
        <w:t>Milford:</w:t>
      </w:r>
      <w:r>
        <w:rPr>
          <w:rFonts w:ascii="Arial" w:hAnsi="Arial" w:cs="Arial"/>
          <w:w w:val="90"/>
          <w:position w:val="1"/>
          <w:sz w:val="15"/>
          <w:szCs w:val="15"/>
        </w:rPr>
        <w:tab/>
      </w:r>
      <w:r>
        <w:rPr>
          <w:rFonts w:ascii="Times New Roman" w:hAnsi="Times New Roman" w:cs="Times New Roman"/>
          <w:w w:val="90"/>
          <w:position w:val="1"/>
          <w:sz w:val="16"/>
          <w:szCs w:val="16"/>
        </w:rPr>
        <w:t>800-511-5070</w:t>
      </w:r>
      <w:r>
        <w:rPr>
          <w:rFonts w:ascii="Times New Roman" w:hAnsi="Times New Roman" w:cs="Times New Roman"/>
          <w:spacing w:val="-5"/>
          <w:w w:val="90"/>
          <w:position w:val="1"/>
          <w:sz w:val="16"/>
          <w:szCs w:val="16"/>
        </w:rPr>
        <w:t xml:space="preserve"> </w:t>
      </w:r>
      <w:r>
        <w:rPr>
          <w:rFonts w:ascii="Arial" w:hAnsi="Arial" w:cs="Arial"/>
          <w:w w:val="90"/>
          <w:position w:val="1"/>
          <w:sz w:val="15"/>
          <w:szCs w:val="15"/>
        </w:rPr>
        <w:t>&lt;</w:t>
      </w:r>
      <w:proofErr w:type="spellStart"/>
      <w:r>
        <w:rPr>
          <w:rFonts w:ascii="Arial" w:hAnsi="Arial" w:cs="Arial"/>
          <w:w w:val="90"/>
          <w:position w:val="1"/>
          <w:sz w:val="15"/>
          <w:szCs w:val="15"/>
        </w:rPr>
        <w:t>ll</w:t>
      </w:r>
      <w:proofErr w:type="spellEnd"/>
      <w:r>
        <w:rPr>
          <w:rFonts w:ascii="Arial" w:hAnsi="Arial" w:cs="Arial"/>
          <w:w w:val="90"/>
          <w:position w:val="1"/>
          <w:sz w:val="15"/>
          <w:szCs w:val="15"/>
        </w:rPr>
        <w:tab/>
        <w:t>Brockton:</w:t>
      </w:r>
      <w:r>
        <w:rPr>
          <w:rFonts w:ascii="Arial" w:hAnsi="Arial" w:cs="Arial"/>
          <w:w w:val="90"/>
          <w:position w:val="1"/>
          <w:sz w:val="15"/>
          <w:szCs w:val="15"/>
        </w:rPr>
        <w:tab/>
      </w:r>
      <w:r>
        <w:rPr>
          <w:rFonts w:ascii="Times New Roman" w:hAnsi="Times New Roman" w:cs="Times New Roman"/>
          <w:w w:val="90"/>
          <w:position w:val="1"/>
          <w:sz w:val="16"/>
          <w:szCs w:val="16"/>
        </w:rPr>
        <w:t>800-281-6498</w:t>
      </w:r>
      <w:r>
        <w:rPr>
          <w:rFonts w:ascii="Times New Roman" w:hAnsi="Times New Roman" w:cs="Times New Roman"/>
          <w:spacing w:val="-10"/>
          <w:w w:val="90"/>
          <w:position w:val="1"/>
          <w:sz w:val="16"/>
          <w:szCs w:val="16"/>
        </w:rPr>
        <w:t xml:space="preserve"> </w:t>
      </w:r>
      <w:r>
        <w:rPr>
          <w:rFonts w:ascii="Arial" w:hAnsi="Arial" w:cs="Arial"/>
          <w:w w:val="90"/>
          <w:position w:val="1"/>
          <w:sz w:val="15"/>
          <w:szCs w:val="15"/>
        </w:rPr>
        <w:t>&lt;</w:t>
      </w:r>
      <w:proofErr w:type="spellStart"/>
      <w:r>
        <w:rPr>
          <w:rFonts w:ascii="Arial" w:hAnsi="Arial" w:cs="Arial"/>
          <w:w w:val="90"/>
          <w:position w:val="1"/>
          <w:sz w:val="15"/>
          <w:szCs w:val="15"/>
        </w:rPr>
        <w:t>ll</w:t>
      </w:r>
      <w:proofErr w:type="spellEnd"/>
      <w:r>
        <w:rPr>
          <w:rFonts w:ascii="Arial" w:hAnsi="Arial" w:cs="Arial"/>
          <w:w w:val="90"/>
          <w:position w:val="1"/>
          <w:sz w:val="15"/>
          <w:szCs w:val="15"/>
        </w:rPr>
        <w:tab/>
      </w:r>
      <w:r>
        <w:rPr>
          <w:rFonts w:ascii="Times New Roman" w:hAnsi="Times New Roman" w:cs="Times New Roman"/>
          <w:w w:val="95"/>
          <w:position w:val="-2"/>
          <w:sz w:val="16"/>
          <w:szCs w:val="16"/>
        </w:rPr>
        <w:t xml:space="preserve">®*   </w:t>
      </w:r>
      <w:proofErr w:type="spellStart"/>
      <w:r>
        <w:rPr>
          <w:rFonts w:ascii="Arial" w:hAnsi="Arial" w:cs="Arial"/>
          <w:w w:val="95"/>
          <w:position w:val="1"/>
          <w:sz w:val="15"/>
          <w:szCs w:val="15"/>
        </w:rPr>
        <w:t>TheWomen's</w:t>
      </w:r>
      <w:proofErr w:type="spellEnd"/>
      <w:r>
        <w:rPr>
          <w:rFonts w:ascii="Arial" w:hAnsi="Arial" w:cs="Arial"/>
          <w:spacing w:val="12"/>
          <w:w w:val="95"/>
          <w:position w:val="1"/>
          <w:sz w:val="15"/>
          <w:szCs w:val="15"/>
        </w:rPr>
        <w:t xml:space="preserve"> </w:t>
      </w:r>
      <w:r>
        <w:rPr>
          <w:rFonts w:ascii="Arial" w:hAnsi="Arial" w:cs="Arial"/>
          <w:w w:val="95"/>
          <w:position w:val="1"/>
          <w:sz w:val="15"/>
          <w:szCs w:val="15"/>
        </w:rPr>
        <w:t>Center</w:t>
      </w:r>
    </w:p>
    <w:p w:rsidR="002C5025" w:rsidRDefault="00FB027C">
      <w:pPr>
        <w:pStyle w:val="BodyText"/>
        <w:tabs>
          <w:tab w:val="left" w:pos="1319"/>
          <w:tab w:val="left" w:pos="2627"/>
          <w:tab w:val="left" w:pos="4883"/>
          <w:tab w:val="left" w:pos="12836"/>
          <w:tab w:val="left" w:pos="13211"/>
        </w:tabs>
        <w:kinsoku w:val="0"/>
        <w:overflowPunct w:val="0"/>
        <w:spacing w:line="239" w:lineRule="exact"/>
        <w:ind w:left="555"/>
        <w:rPr>
          <w:rFonts w:ascii="Arial" w:hAnsi="Arial" w:cs="Arial"/>
          <w:spacing w:val="-3"/>
          <w:w w:val="85"/>
          <w:position w:val="9"/>
          <w:sz w:val="15"/>
          <w:szCs w:val="15"/>
        </w:rPr>
      </w:pPr>
      <w:r>
        <w:rPr>
          <w:noProof/>
        </w:rPr>
        <mc:AlternateContent>
          <mc:Choice Requires="wps">
            <w:drawing>
              <wp:anchor distT="0" distB="0" distL="114300" distR="114300" simplePos="0" relativeHeight="251698688" behindDoc="1" locked="0" layoutInCell="0" allowOverlap="1">
                <wp:simplePos x="0" y="0"/>
                <wp:positionH relativeFrom="page">
                  <wp:posOffset>8830310</wp:posOffset>
                </wp:positionH>
                <wp:positionV relativeFrom="paragraph">
                  <wp:posOffset>67945</wp:posOffset>
                </wp:positionV>
                <wp:extent cx="621665" cy="102235"/>
                <wp:effectExtent l="0" t="0" r="0" b="0"/>
                <wp:wrapNone/>
                <wp:docPr id="427" name="Text Box 5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66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pStyle w:val="BodyText"/>
                              <w:kinsoku w:val="0"/>
                              <w:overflowPunct w:val="0"/>
                              <w:spacing w:line="161" w:lineRule="exact"/>
                              <w:ind w:right="-11"/>
                              <w:rPr>
                                <w:rFonts w:ascii="Arial" w:hAnsi="Arial" w:cs="Arial"/>
                                <w:w w:val="85"/>
                                <w:sz w:val="15"/>
                                <w:szCs w:val="15"/>
                              </w:rPr>
                            </w:pPr>
                            <w:r>
                              <w:rPr>
                                <w:rFonts w:ascii="Times New Roman" w:hAnsi="Times New Roman" w:cs="Times New Roman"/>
                                <w:w w:val="85"/>
                                <w:sz w:val="16"/>
                                <w:szCs w:val="16"/>
                              </w:rPr>
                              <w:t xml:space="preserve">888-839-6636  </w:t>
                            </w:r>
                            <w:r>
                              <w:rPr>
                                <w:rFonts w:ascii="Arial" w:hAnsi="Arial" w:cs="Arial"/>
                                <w:w w:val="85"/>
                                <w:sz w:val="15"/>
                                <w:szCs w:val="15"/>
                              </w:rPr>
                              <w:t>&lt;</w:t>
                            </w:r>
                            <w:proofErr w:type="spellStart"/>
                            <w:r>
                              <w:rPr>
                                <w:rFonts w:ascii="Arial" w:hAnsi="Arial" w:cs="Arial"/>
                                <w:w w:val="85"/>
                                <w:sz w:val="15"/>
                                <w:szCs w:val="15"/>
                              </w:rPr>
                              <w:t>ll</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8" o:spid="_x0000_s1195" type="#_x0000_t202" style="position:absolute;left:0;text-align:left;margin-left:695.3pt;margin-top:5.35pt;width:48.95pt;height:8.05pt;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CMzswIAALQ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" o:allowincell="f" filled="f" stroked="f">
                <v:textbox inset="0,0,0,0">
                  <w:txbxContent>
                    <w:p w:rsidR="007B2B7B" w:rsidRDefault="007B2B7B">
                      <w:pPr>
                        <w:pStyle w:val="BodyText"/>
                        <w:kinsoku w:val="0"/>
                        <w:overflowPunct w:val="0"/>
                        <w:spacing w:line="161" w:lineRule="exact"/>
                        <w:ind w:right="-11"/>
                        <w:rPr>
                          <w:rFonts w:ascii="Arial" w:hAnsi="Arial" w:cs="Arial"/>
                          <w:w w:val="85"/>
                          <w:sz w:val="15"/>
                          <w:szCs w:val="15"/>
                        </w:rPr>
                      </w:pPr>
                      <w:r>
                        <w:rPr>
                          <w:rFonts w:ascii="Times New Roman" w:hAnsi="Times New Roman" w:cs="Times New Roman"/>
                          <w:w w:val="85"/>
                          <w:sz w:val="16"/>
                          <w:szCs w:val="16"/>
                        </w:rPr>
                        <w:t xml:space="preserve">888-839-6636  </w:t>
                      </w:r>
                      <w:r>
                        <w:rPr>
                          <w:rFonts w:ascii="Arial" w:hAnsi="Arial" w:cs="Arial"/>
                          <w:w w:val="85"/>
                          <w:sz w:val="15"/>
                          <w:szCs w:val="15"/>
                        </w:rPr>
                        <w:t>&lt;ll</w:t>
                      </w:r>
                    </w:p>
                  </w:txbxContent>
                </v:textbox>
                <w10:wrap anchorx="page"/>
              </v:shape>
            </w:pict>
          </mc:Fallback>
        </mc:AlternateContent>
      </w:r>
      <w:r w:rsidR="002C5025">
        <w:rPr>
          <w:rFonts w:ascii="Times New Roman" w:hAnsi="Times New Roman" w:cs="Times New Roman"/>
          <w:position w:val="6"/>
          <w:sz w:val="16"/>
          <w:szCs w:val="16"/>
        </w:rPr>
        <w:t>ES</w:t>
      </w:r>
      <w:r w:rsidR="002C5025">
        <w:rPr>
          <w:rFonts w:ascii="Times New Roman" w:hAnsi="Times New Roman" w:cs="Times New Roman"/>
          <w:position w:val="6"/>
          <w:sz w:val="16"/>
          <w:szCs w:val="16"/>
        </w:rPr>
        <w:tab/>
      </w:r>
      <w:r w:rsidR="002C5025">
        <w:rPr>
          <w:rFonts w:ascii="Times New Roman" w:hAnsi="Times New Roman" w:cs="Times New Roman"/>
          <w:w w:val="95"/>
          <w:position w:val="2"/>
          <w:sz w:val="16"/>
          <w:szCs w:val="16"/>
        </w:rPr>
        <w:t>617-427-9801</w:t>
      </w:r>
      <w:r w:rsidR="002C5025">
        <w:rPr>
          <w:rFonts w:ascii="Times New Roman" w:hAnsi="Times New Roman" w:cs="Times New Roman"/>
          <w:spacing w:val="-14"/>
          <w:w w:val="95"/>
          <w:position w:val="2"/>
          <w:sz w:val="16"/>
          <w:szCs w:val="16"/>
        </w:rPr>
        <w:t xml:space="preserve"> </w:t>
      </w:r>
      <w:r w:rsidR="002C5025">
        <w:rPr>
          <w:rFonts w:ascii="Arial" w:hAnsi="Arial" w:cs="Arial"/>
          <w:w w:val="95"/>
          <w:position w:val="2"/>
          <w:sz w:val="15"/>
          <w:szCs w:val="15"/>
        </w:rPr>
        <w:t>&lt;</w:t>
      </w:r>
      <w:proofErr w:type="spellStart"/>
      <w:r w:rsidR="002C5025">
        <w:rPr>
          <w:rFonts w:ascii="Arial" w:hAnsi="Arial" w:cs="Arial"/>
          <w:w w:val="95"/>
          <w:position w:val="2"/>
          <w:sz w:val="15"/>
          <w:szCs w:val="15"/>
        </w:rPr>
        <w:t>ll</w:t>
      </w:r>
      <w:proofErr w:type="spellEnd"/>
      <w:r w:rsidR="002C5025">
        <w:rPr>
          <w:rFonts w:ascii="Arial" w:hAnsi="Arial" w:cs="Arial"/>
          <w:w w:val="95"/>
          <w:position w:val="2"/>
          <w:sz w:val="15"/>
          <w:szCs w:val="15"/>
        </w:rPr>
        <w:tab/>
      </w:r>
      <w:r w:rsidR="002C5025">
        <w:rPr>
          <w:rFonts w:ascii="Times New Roman" w:hAnsi="Times New Roman" w:cs="Times New Roman"/>
          <w:position w:val="6"/>
          <w:sz w:val="16"/>
          <w:szCs w:val="16"/>
        </w:rPr>
        <w:t xml:space="preserve">ES </w:t>
      </w:r>
      <w:r w:rsidR="002C5025">
        <w:rPr>
          <w:rFonts w:ascii="Times New Roman" w:hAnsi="Times New Roman" w:cs="Times New Roman"/>
          <w:spacing w:val="7"/>
          <w:position w:val="6"/>
          <w:sz w:val="16"/>
          <w:szCs w:val="16"/>
        </w:rPr>
        <w:t xml:space="preserve"> </w:t>
      </w:r>
      <w:r w:rsidR="002C5025">
        <w:rPr>
          <w:rFonts w:ascii="Arial" w:hAnsi="Arial" w:cs="Arial"/>
          <w:position w:val="3"/>
          <w:sz w:val="15"/>
          <w:szCs w:val="15"/>
        </w:rPr>
        <w:t>&lt;</w:t>
      </w:r>
      <w:proofErr w:type="spellStart"/>
      <w:r w:rsidR="002C5025">
        <w:rPr>
          <w:rFonts w:ascii="Arial" w:hAnsi="Arial" w:cs="Arial"/>
          <w:position w:val="3"/>
          <w:sz w:val="15"/>
          <w:szCs w:val="15"/>
        </w:rPr>
        <w:t>ll</w:t>
      </w:r>
      <w:proofErr w:type="spellEnd"/>
      <w:r w:rsidR="002C5025">
        <w:rPr>
          <w:rFonts w:ascii="Arial" w:hAnsi="Arial" w:cs="Arial"/>
          <w:position w:val="3"/>
          <w:sz w:val="15"/>
          <w:szCs w:val="15"/>
        </w:rPr>
        <w:tab/>
      </w:r>
      <w:r w:rsidR="002C5025">
        <w:rPr>
          <w:rFonts w:ascii="Times New Roman" w:hAnsi="Times New Roman" w:cs="Times New Roman"/>
          <w:position w:val="-6"/>
          <w:sz w:val="16"/>
          <w:szCs w:val="16"/>
        </w:rPr>
        <w:t xml:space="preserve">® </w:t>
      </w:r>
      <w:r w:rsidR="002C5025">
        <w:rPr>
          <w:rFonts w:ascii="Arial" w:hAnsi="Arial" w:cs="Arial"/>
          <w:sz w:val="15"/>
          <w:szCs w:val="15"/>
        </w:rPr>
        <w:t>YWCA</w:t>
      </w:r>
      <w:r w:rsidR="002C5025">
        <w:rPr>
          <w:rFonts w:ascii="Arial" w:hAnsi="Arial" w:cs="Arial"/>
          <w:spacing w:val="-27"/>
          <w:sz w:val="15"/>
          <w:szCs w:val="15"/>
        </w:rPr>
        <w:t xml:space="preserve"> </w:t>
      </w:r>
      <w:r w:rsidR="002C5025">
        <w:rPr>
          <w:rFonts w:ascii="Arial" w:hAnsi="Arial" w:cs="Arial"/>
          <w:sz w:val="15"/>
          <w:szCs w:val="15"/>
        </w:rPr>
        <w:t>Central</w:t>
      </w:r>
      <w:r w:rsidR="002C5025">
        <w:rPr>
          <w:rFonts w:ascii="Arial" w:hAnsi="Arial" w:cs="Arial"/>
          <w:spacing w:val="-32"/>
          <w:sz w:val="15"/>
          <w:szCs w:val="15"/>
        </w:rPr>
        <w:t xml:space="preserve"> </w:t>
      </w:r>
      <w:r w:rsidR="002C5025">
        <w:rPr>
          <w:rFonts w:ascii="Arial" w:hAnsi="Arial" w:cs="Arial"/>
          <w:sz w:val="15"/>
          <w:szCs w:val="15"/>
        </w:rPr>
        <w:t>Massachusetts</w:t>
      </w:r>
      <w:r w:rsidR="002C5025">
        <w:rPr>
          <w:rFonts w:ascii="Arial" w:hAnsi="Arial" w:cs="Arial"/>
          <w:sz w:val="15"/>
          <w:szCs w:val="15"/>
        </w:rPr>
        <w:tab/>
      </w:r>
      <w:r w:rsidR="002C5025">
        <w:rPr>
          <w:rFonts w:ascii="Times New Roman" w:hAnsi="Times New Roman" w:cs="Times New Roman"/>
          <w:sz w:val="16"/>
          <w:szCs w:val="16"/>
        </w:rPr>
        <w:t>ES</w:t>
      </w:r>
      <w:r w:rsidR="002C5025">
        <w:rPr>
          <w:rFonts w:ascii="Times New Roman" w:hAnsi="Times New Roman" w:cs="Times New Roman"/>
          <w:sz w:val="16"/>
          <w:szCs w:val="16"/>
        </w:rPr>
        <w:tab/>
      </w:r>
      <w:r w:rsidR="002C5025">
        <w:rPr>
          <w:rFonts w:ascii="Arial" w:hAnsi="Arial" w:cs="Arial"/>
          <w:w w:val="85"/>
          <w:position w:val="9"/>
          <w:sz w:val="15"/>
          <w:szCs w:val="15"/>
        </w:rPr>
        <w:t>New</w:t>
      </w:r>
      <w:r w:rsidR="002C5025">
        <w:rPr>
          <w:rFonts w:ascii="Arial" w:hAnsi="Arial" w:cs="Arial"/>
          <w:spacing w:val="-7"/>
          <w:w w:val="85"/>
          <w:position w:val="9"/>
          <w:sz w:val="15"/>
          <w:szCs w:val="15"/>
        </w:rPr>
        <w:t xml:space="preserve"> </w:t>
      </w:r>
      <w:r w:rsidR="002C5025">
        <w:rPr>
          <w:rFonts w:ascii="Arial" w:hAnsi="Arial" w:cs="Arial"/>
          <w:w w:val="85"/>
          <w:position w:val="9"/>
          <w:sz w:val="15"/>
          <w:szCs w:val="15"/>
        </w:rPr>
        <w:t>Bedford</w:t>
      </w:r>
      <w:r w:rsidR="002C5025">
        <w:rPr>
          <w:rFonts w:ascii="Arial" w:hAnsi="Arial" w:cs="Arial"/>
          <w:spacing w:val="-15"/>
          <w:w w:val="85"/>
          <w:position w:val="9"/>
          <w:sz w:val="15"/>
          <w:szCs w:val="15"/>
        </w:rPr>
        <w:t xml:space="preserve"> </w:t>
      </w:r>
      <w:r w:rsidR="002C5025">
        <w:rPr>
          <w:rFonts w:ascii="Arial" w:hAnsi="Arial" w:cs="Arial"/>
          <w:i/>
          <w:iCs/>
          <w:w w:val="85"/>
          <w:position w:val="9"/>
          <w:sz w:val="15"/>
          <w:szCs w:val="15"/>
        </w:rPr>
        <w:t>I</w:t>
      </w:r>
      <w:r w:rsidR="002C5025">
        <w:rPr>
          <w:rFonts w:ascii="Arial" w:hAnsi="Arial" w:cs="Arial"/>
          <w:i/>
          <w:iCs/>
          <w:spacing w:val="-6"/>
          <w:w w:val="85"/>
          <w:position w:val="9"/>
          <w:sz w:val="15"/>
          <w:szCs w:val="15"/>
        </w:rPr>
        <w:t xml:space="preserve"> </w:t>
      </w:r>
      <w:r w:rsidR="002C5025">
        <w:rPr>
          <w:rFonts w:ascii="Arial" w:hAnsi="Arial" w:cs="Arial"/>
          <w:w w:val="85"/>
          <w:position w:val="9"/>
          <w:sz w:val="15"/>
          <w:szCs w:val="15"/>
        </w:rPr>
        <w:t>Fall</w:t>
      </w:r>
      <w:r w:rsidR="002C5025">
        <w:rPr>
          <w:rFonts w:ascii="Arial" w:hAnsi="Arial" w:cs="Arial"/>
          <w:spacing w:val="-9"/>
          <w:w w:val="85"/>
          <w:position w:val="9"/>
          <w:sz w:val="15"/>
          <w:szCs w:val="15"/>
        </w:rPr>
        <w:t xml:space="preserve"> </w:t>
      </w:r>
      <w:r w:rsidR="002C5025">
        <w:rPr>
          <w:rFonts w:ascii="Arial" w:hAnsi="Arial" w:cs="Arial"/>
          <w:spacing w:val="-3"/>
          <w:w w:val="85"/>
          <w:position w:val="9"/>
          <w:sz w:val="15"/>
          <w:szCs w:val="15"/>
        </w:rPr>
        <w:t>River;</w:t>
      </w:r>
    </w:p>
    <w:p w:rsidR="002C5025" w:rsidRDefault="002C5025">
      <w:pPr>
        <w:pStyle w:val="BodyText"/>
        <w:tabs>
          <w:tab w:val="left" w:pos="1319"/>
          <w:tab w:val="left" w:pos="2627"/>
          <w:tab w:val="left" w:pos="4883"/>
          <w:tab w:val="left" w:pos="12836"/>
          <w:tab w:val="left" w:pos="13211"/>
        </w:tabs>
        <w:kinsoku w:val="0"/>
        <w:overflowPunct w:val="0"/>
        <w:spacing w:line="239" w:lineRule="exact"/>
        <w:ind w:left="555"/>
        <w:rPr>
          <w:rFonts w:ascii="Arial" w:hAnsi="Arial" w:cs="Arial"/>
          <w:spacing w:val="-3"/>
          <w:w w:val="85"/>
          <w:position w:val="9"/>
          <w:sz w:val="15"/>
          <w:szCs w:val="15"/>
        </w:rPr>
        <w:sectPr w:rsidR="002C5025">
          <w:type w:val="continuous"/>
          <w:pgSz w:w="15840" w:h="12240" w:orient="landscape"/>
          <w:pgMar w:top="720" w:right="220" w:bottom="280" w:left="140" w:header="720" w:footer="720" w:gutter="0"/>
          <w:cols w:space="720" w:equalWidth="0">
            <w:col w:w="15480"/>
          </w:cols>
          <w:noEndnote/>
        </w:sectPr>
      </w:pPr>
    </w:p>
    <w:p w:rsidR="002C5025" w:rsidRDefault="002C5025">
      <w:pPr>
        <w:pStyle w:val="BodyText"/>
        <w:tabs>
          <w:tab w:val="left" w:pos="2915"/>
        </w:tabs>
        <w:kinsoku w:val="0"/>
        <w:overflowPunct w:val="0"/>
        <w:spacing w:before="34" w:line="179" w:lineRule="exact"/>
        <w:ind w:left="865"/>
        <w:rPr>
          <w:rFonts w:ascii="Arial" w:hAnsi="Arial" w:cs="Arial"/>
          <w:w w:val="80"/>
          <w:position w:val="1"/>
          <w:sz w:val="15"/>
          <w:szCs w:val="15"/>
        </w:rPr>
      </w:pPr>
      <w:proofErr w:type="spellStart"/>
      <w:r>
        <w:rPr>
          <w:rFonts w:ascii="Arial" w:hAnsi="Arial" w:cs="Arial"/>
          <w:spacing w:val="-3"/>
          <w:w w:val="95"/>
          <w:sz w:val="15"/>
          <w:szCs w:val="15"/>
        </w:rPr>
        <w:lastRenderedPageBreak/>
        <w:t>FINEXHouse</w:t>
      </w:r>
      <w:proofErr w:type="spellEnd"/>
      <w:r>
        <w:rPr>
          <w:rFonts w:ascii="Arial" w:hAnsi="Arial" w:cs="Arial"/>
          <w:spacing w:val="-3"/>
          <w:w w:val="95"/>
          <w:sz w:val="15"/>
          <w:szCs w:val="15"/>
        </w:rPr>
        <w:tab/>
      </w:r>
      <w:r>
        <w:rPr>
          <w:rFonts w:ascii="Arial" w:hAnsi="Arial" w:cs="Arial"/>
          <w:w w:val="80"/>
          <w:position w:val="1"/>
          <w:sz w:val="15"/>
          <w:szCs w:val="15"/>
        </w:rPr>
        <w:t>Violence  Recovery</w:t>
      </w:r>
      <w:r>
        <w:rPr>
          <w:rFonts w:ascii="Arial" w:hAnsi="Arial" w:cs="Arial"/>
          <w:spacing w:val="1"/>
          <w:w w:val="80"/>
          <w:position w:val="1"/>
          <w:sz w:val="15"/>
          <w:szCs w:val="15"/>
        </w:rPr>
        <w:t xml:space="preserve"> </w:t>
      </w:r>
      <w:r>
        <w:rPr>
          <w:rFonts w:ascii="Arial" w:hAnsi="Arial" w:cs="Arial"/>
          <w:w w:val="80"/>
          <w:position w:val="1"/>
          <w:sz w:val="15"/>
          <w:szCs w:val="15"/>
        </w:rPr>
        <w:t>Program</w:t>
      </w:r>
    </w:p>
    <w:p w:rsidR="002C5025" w:rsidRDefault="002C5025">
      <w:pPr>
        <w:pStyle w:val="BodyText"/>
        <w:tabs>
          <w:tab w:val="left" w:pos="2648"/>
        </w:tabs>
        <w:kinsoku w:val="0"/>
        <w:overflowPunct w:val="0"/>
        <w:spacing w:line="157" w:lineRule="exact"/>
        <w:ind w:left="577" w:right="51"/>
        <w:rPr>
          <w:rFonts w:ascii="Arial" w:hAnsi="Arial" w:cs="Arial"/>
          <w:w w:val="95"/>
          <w:position w:val="1"/>
          <w:sz w:val="15"/>
          <w:szCs w:val="15"/>
        </w:rPr>
      </w:pPr>
      <w:r>
        <w:rPr>
          <w:rFonts w:ascii="Times New Roman" w:hAnsi="Times New Roman" w:cs="Times New Roman"/>
          <w:sz w:val="16"/>
          <w:szCs w:val="16"/>
        </w:rPr>
        <w:t xml:space="preserve">0 </w:t>
      </w:r>
      <w:r>
        <w:rPr>
          <w:rFonts w:ascii="Arial" w:hAnsi="Arial" w:cs="Arial"/>
          <w:position w:val="1"/>
          <w:sz w:val="15"/>
          <w:szCs w:val="15"/>
        </w:rPr>
        <w:t>Jamaica</w:t>
      </w:r>
      <w:r>
        <w:rPr>
          <w:rFonts w:ascii="Arial" w:hAnsi="Arial" w:cs="Arial"/>
          <w:spacing w:val="-11"/>
          <w:position w:val="1"/>
          <w:sz w:val="15"/>
          <w:szCs w:val="15"/>
        </w:rPr>
        <w:t xml:space="preserve"> </w:t>
      </w:r>
      <w:proofErr w:type="spellStart"/>
      <w:r>
        <w:rPr>
          <w:rFonts w:ascii="Arial" w:hAnsi="Arial" w:cs="Arial"/>
          <w:position w:val="1"/>
          <w:sz w:val="15"/>
          <w:szCs w:val="15"/>
        </w:rPr>
        <w:t>Plain</w:t>
      </w:r>
      <w:r>
        <w:rPr>
          <w:rFonts w:ascii="Arial" w:hAnsi="Arial" w:cs="Arial"/>
          <w:i/>
          <w:iCs/>
          <w:position w:val="1"/>
          <w:sz w:val="15"/>
          <w:szCs w:val="15"/>
        </w:rPr>
        <w:t>I</w:t>
      </w:r>
      <w:proofErr w:type="spellEnd"/>
      <w:r>
        <w:rPr>
          <w:rFonts w:ascii="Arial" w:hAnsi="Arial" w:cs="Arial"/>
          <w:i/>
          <w:iCs/>
          <w:spacing w:val="-29"/>
          <w:position w:val="1"/>
          <w:sz w:val="15"/>
          <w:szCs w:val="15"/>
        </w:rPr>
        <w:t xml:space="preserve"> </w:t>
      </w:r>
      <w:r>
        <w:rPr>
          <w:rFonts w:ascii="Arial" w:hAnsi="Arial" w:cs="Arial"/>
          <w:position w:val="1"/>
          <w:sz w:val="15"/>
          <w:szCs w:val="15"/>
        </w:rPr>
        <w:t>Boston:</w:t>
      </w:r>
      <w:r>
        <w:rPr>
          <w:rFonts w:ascii="Arial" w:hAnsi="Arial" w:cs="Arial"/>
          <w:position w:val="1"/>
          <w:sz w:val="15"/>
          <w:szCs w:val="15"/>
        </w:rPr>
        <w:tab/>
      </w:r>
      <w:r>
        <w:rPr>
          <w:rFonts w:ascii="Times New Roman" w:hAnsi="Times New Roman" w:cs="Times New Roman"/>
          <w:w w:val="95"/>
          <w:sz w:val="16"/>
          <w:szCs w:val="16"/>
        </w:rPr>
        <w:t xml:space="preserve">® </w:t>
      </w:r>
      <w:r>
        <w:rPr>
          <w:rFonts w:ascii="Arial" w:hAnsi="Arial" w:cs="Arial"/>
          <w:w w:val="95"/>
          <w:position w:val="1"/>
          <w:sz w:val="15"/>
          <w:szCs w:val="15"/>
        </w:rPr>
        <w:t>(Fenway</w:t>
      </w:r>
      <w:r>
        <w:rPr>
          <w:rFonts w:ascii="Arial" w:hAnsi="Arial" w:cs="Arial"/>
          <w:spacing w:val="-34"/>
          <w:w w:val="95"/>
          <w:position w:val="1"/>
          <w:sz w:val="15"/>
          <w:szCs w:val="15"/>
        </w:rPr>
        <w:t xml:space="preserve"> </w:t>
      </w:r>
      <w:r>
        <w:rPr>
          <w:rFonts w:ascii="Arial" w:hAnsi="Arial" w:cs="Arial"/>
          <w:w w:val="95"/>
          <w:position w:val="1"/>
          <w:sz w:val="15"/>
          <w:szCs w:val="15"/>
        </w:rPr>
        <w:t>Health)</w:t>
      </w:r>
    </w:p>
    <w:p w:rsidR="002C5025" w:rsidRDefault="002C5025">
      <w:pPr>
        <w:pStyle w:val="BodyText"/>
        <w:tabs>
          <w:tab w:val="left" w:pos="2648"/>
        </w:tabs>
        <w:kinsoku w:val="0"/>
        <w:overflowPunct w:val="0"/>
        <w:spacing w:line="182" w:lineRule="exact"/>
        <w:ind w:left="563" w:right="51"/>
        <w:rPr>
          <w:rFonts w:ascii="Arial" w:hAnsi="Arial" w:cs="Arial"/>
          <w:w w:val="95"/>
          <w:position w:val="1"/>
          <w:sz w:val="15"/>
          <w:szCs w:val="15"/>
        </w:rPr>
      </w:pPr>
      <w:r>
        <w:rPr>
          <w:rFonts w:ascii="Times New Roman" w:hAnsi="Times New Roman" w:cs="Times New Roman"/>
          <w:w w:val="95"/>
          <w:sz w:val="16"/>
          <w:szCs w:val="16"/>
        </w:rPr>
        <w:t>ES</w:t>
      </w:r>
      <w:r>
        <w:rPr>
          <w:rFonts w:ascii="Times New Roman" w:hAnsi="Times New Roman" w:cs="Times New Roman"/>
          <w:spacing w:val="-17"/>
          <w:w w:val="95"/>
          <w:sz w:val="16"/>
          <w:szCs w:val="16"/>
        </w:rPr>
        <w:t xml:space="preserve"> </w:t>
      </w:r>
      <w:r>
        <w:rPr>
          <w:rFonts w:ascii="Times New Roman" w:hAnsi="Times New Roman" w:cs="Times New Roman"/>
          <w:w w:val="95"/>
          <w:sz w:val="16"/>
          <w:szCs w:val="16"/>
        </w:rPr>
        <w:t>617-288-1054</w:t>
      </w:r>
      <w:r>
        <w:rPr>
          <w:rFonts w:ascii="Times New Roman" w:hAnsi="Times New Roman" w:cs="Times New Roman"/>
          <w:spacing w:val="-30"/>
          <w:w w:val="95"/>
          <w:sz w:val="16"/>
          <w:szCs w:val="16"/>
        </w:rPr>
        <w:t xml:space="preserve"> </w:t>
      </w:r>
      <w:r>
        <w:rPr>
          <w:rFonts w:ascii="Times New Roman" w:hAnsi="Times New Roman" w:cs="Times New Roman"/>
          <w:w w:val="95"/>
          <w:sz w:val="16"/>
          <w:szCs w:val="16"/>
        </w:rPr>
        <w:t>(Also</w:t>
      </w:r>
      <w:r>
        <w:rPr>
          <w:rFonts w:ascii="Times New Roman" w:hAnsi="Times New Roman" w:cs="Times New Roman"/>
          <w:spacing w:val="-33"/>
          <w:w w:val="95"/>
          <w:sz w:val="16"/>
          <w:szCs w:val="16"/>
        </w:rPr>
        <w:t xml:space="preserve"> </w:t>
      </w:r>
      <w:r>
        <w:rPr>
          <w:rFonts w:ascii="Times New Roman" w:hAnsi="Times New Roman" w:cs="Times New Roman"/>
          <w:w w:val="95"/>
          <w:sz w:val="16"/>
          <w:szCs w:val="16"/>
        </w:rPr>
        <w:t>TTY)</w:t>
      </w:r>
      <w:r>
        <w:rPr>
          <w:rFonts w:ascii="Times New Roman" w:hAnsi="Times New Roman" w:cs="Times New Roman"/>
          <w:spacing w:val="-31"/>
          <w:w w:val="95"/>
          <w:sz w:val="16"/>
          <w:szCs w:val="16"/>
        </w:rPr>
        <w:t xml:space="preserve"> </w:t>
      </w:r>
      <w:r>
        <w:rPr>
          <w:rFonts w:ascii="Arial" w:hAnsi="Arial" w:cs="Arial"/>
          <w:w w:val="95"/>
          <w:sz w:val="15"/>
          <w:szCs w:val="15"/>
        </w:rPr>
        <w:t>&lt;</w:t>
      </w:r>
      <w:proofErr w:type="spellStart"/>
      <w:r>
        <w:rPr>
          <w:rFonts w:ascii="Arial" w:hAnsi="Arial" w:cs="Arial"/>
          <w:w w:val="95"/>
          <w:sz w:val="15"/>
          <w:szCs w:val="15"/>
        </w:rPr>
        <w:t>ll</w:t>
      </w:r>
      <w:proofErr w:type="spellEnd"/>
      <w:r>
        <w:rPr>
          <w:rFonts w:ascii="Arial" w:hAnsi="Arial" w:cs="Arial"/>
          <w:w w:val="95"/>
          <w:sz w:val="15"/>
          <w:szCs w:val="15"/>
        </w:rPr>
        <w:tab/>
      </w:r>
      <w:r>
        <w:rPr>
          <w:rFonts w:ascii="Times New Roman" w:hAnsi="Times New Roman" w:cs="Times New Roman"/>
          <w:w w:val="95"/>
          <w:position w:val="-3"/>
          <w:sz w:val="16"/>
          <w:szCs w:val="16"/>
        </w:rPr>
        <w:t xml:space="preserve">* </w:t>
      </w:r>
      <w:r>
        <w:rPr>
          <w:rFonts w:ascii="Arial" w:hAnsi="Arial" w:cs="Arial"/>
          <w:w w:val="95"/>
          <w:position w:val="1"/>
          <w:sz w:val="15"/>
          <w:szCs w:val="15"/>
        </w:rPr>
        <w:t>Greater</w:t>
      </w:r>
      <w:r>
        <w:rPr>
          <w:rFonts w:ascii="Arial" w:hAnsi="Arial" w:cs="Arial"/>
          <w:spacing w:val="5"/>
          <w:w w:val="95"/>
          <w:position w:val="1"/>
          <w:sz w:val="15"/>
          <w:szCs w:val="15"/>
        </w:rPr>
        <w:t xml:space="preserve"> </w:t>
      </w:r>
      <w:r>
        <w:rPr>
          <w:rFonts w:ascii="Arial" w:hAnsi="Arial" w:cs="Arial"/>
          <w:w w:val="95"/>
          <w:position w:val="1"/>
          <w:sz w:val="15"/>
          <w:szCs w:val="15"/>
        </w:rPr>
        <w:t>Boston:</w:t>
      </w:r>
    </w:p>
    <w:p w:rsidR="002C5025" w:rsidRDefault="002C5025">
      <w:pPr>
        <w:pStyle w:val="BodyText"/>
        <w:kinsoku w:val="0"/>
        <w:overflowPunct w:val="0"/>
        <w:spacing w:line="131" w:lineRule="exact"/>
        <w:ind w:left="684"/>
        <w:rPr>
          <w:rFonts w:ascii="Arial" w:hAnsi="Arial" w:cs="Arial"/>
          <w:w w:val="90"/>
          <w:sz w:val="15"/>
          <w:szCs w:val="15"/>
        </w:rPr>
      </w:pPr>
      <w:r>
        <w:rPr>
          <w:rFonts w:ascii="Times New Roman" w:hAnsi="Times New Roman" w:cs="Times New Roman"/>
          <w:sz w:val="24"/>
          <w:szCs w:val="24"/>
        </w:rPr>
        <w:br w:type="column"/>
      </w:r>
      <w:r>
        <w:rPr>
          <w:rFonts w:ascii="Arial" w:hAnsi="Arial" w:cs="Arial"/>
          <w:w w:val="90"/>
          <w:sz w:val="15"/>
          <w:szCs w:val="15"/>
        </w:rPr>
        <w:lastRenderedPageBreak/>
        <w:t>Domestic Violence Services:</w:t>
      </w:r>
    </w:p>
    <w:p w:rsidR="002C5025" w:rsidRDefault="002C5025">
      <w:pPr>
        <w:pStyle w:val="BodyText"/>
        <w:kinsoku w:val="0"/>
        <w:overflowPunct w:val="0"/>
        <w:spacing w:line="194" w:lineRule="exact"/>
        <w:ind w:left="367"/>
        <w:rPr>
          <w:rFonts w:ascii="Arial" w:hAnsi="Arial" w:cs="Arial"/>
          <w:w w:val="95"/>
          <w:sz w:val="15"/>
          <w:szCs w:val="15"/>
        </w:rPr>
      </w:pPr>
      <w:r>
        <w:rPr>
          <w:rFonts w:ascii="Times New Roman" w:hAnsi="Times New Roman" w:cs="Times New Roman"/>
          <w:w w:val="95"/>
          <w:position w:val="4"/>
          <w:sz w:val="16"/>
          <w:szCs w:val="16"/>
        </w:rPr>
        <w:t xml:space="preserve">ES  </w:t>
      </w:r>
      <w:proofErr w:type="spellStart"/>
      <w:r>
        <w:rPr>
          <w:rFonts w:ascii="Arial" w:hAnsi="Arial" w:cs="Arial"/>
          <w:w w:val="95"/>
          <w:sz w:val="15"/>
          <w:szCs w:val="15"/>
        </w:rPr>
        <w:t>BWRand</w:t>
      </w:r>
      <w:proofErr w:type="spellEnd"/>
      <w:r>
        <w:rPr>
          <w:rFonts w:ascii="Arial" w:hAnsi="Arial" w:cs="Arial"/>
          <w:w w:val="95"/>
          <w:sz w:val="15"/>
          <w:szCs w:val="15"/>
        </w:rPr>
        <w:t xml:space="preserve"> Daybreak</w:t>
      </w:r>
    </w:p>
    <w:p w:rsidR="002C5025" w:rsidRDefault="002C5025">
      <w:pPr>
        <w:pStyle w:val="BodyText"/>
        <w:tabs>
          <w:tab w:val="left" w:pos="1793"/>
        </w:tabs>
        <w:kinsoku w:val="0"/>
        <w:overflowPunct w:val="0"/>
        <w:spacing w:line="187" w:lineRule="exact"/>
        <w:ind w:left="677"/>
        <w:rPr>
          <w:rFonts w:ascii="Arial" w:hAnsi="Arial" w:cs="Arial"/>
          <w:w w:val="85"/>
          <w:position w:val="1"/>
          <w:sz w:val="15"/>
          <w:szCs w:val="15"/>
        </w:rPr>
      </w:pPr>
      <w:r>
        <w:rPr>
          <w:rFonts w:ascii="Arial" w:hAnsi="Arial" w:cs="Arial"/>
          <w:w w:val="85"/>
          <w:sz w:val="15"/>
          <w:szCs w:val="15"/>
        </w:rPr>
        <w:t>Worcester:</w:t>
      </w:r>
      <w:r>
        <w:rPr>
          <w:rFonts w:ascii="Arial" w:hAnsi="Arial" w:cs="Arial"/>
          <w:w w:val="85"/>
          <w:sz w:val="15"/>
          <w:szCs w:val="15"/>
        </w:rPr>
        <w:tab/>
      </w:r>
      <w:r>
        <w:rPr>
          <w:rFonts w:ascii="Times New Roman" w:hAnsi="Times New Roman" w:cs="Times New Roman"/>
          <w:w w:val="85"/>
          <w:position w:val="1"/>
          <w:sz w:val="16"/>
          <w:szCs w:val="16"/>
        </w:rPr>
        <w:t>508-755-9030</w:t>
      </w:r>
      <w:r>
        <w:rPr>
          <w:rFonts w:ascii="Times New Roman" w:hAnsi="Times New Roman" w:cs="Times New Roman"/>
          <w:spacing w:val="1"/>
          <w:w w:val="85"/>
          <w:position w:val="1"/>
          <w:sz w:val="16"/>
          <w:szCs w:val="16"/>
        </w:rPr>
        <w:t xml:space="preserve"> </w:t>
      </w:r>
      <w:r>
        <w:rPr>
          <w:rFonts w:ascii="Arial" w:hAnsi="Arial" w:cs="Arial"/>
          <w:w w:val="85"/>
          <w:position w:val="1"/>
          <w:sz w:val="15"/>
          <w:szCs w:val="15"/>
        </w:rPr>
        <w:t>&lt;</w:t>
      </w:r>
      <w:proofErr w:type="spellStart"/>
      <w:r>
        <w:rPr>
          <w:rFonts w:ascii="Arial" w:hAnsi="Arial" w:cs="Arial"/>
          <w:w w:val="85"/>
          <w:position w:val="1"/>
          <w:sz w:val="15"/>
          <w:szCs w:val="15"/>
        </w:rPr>
        <w:t>ll</w:t>
      </w:r>
      <w:proofErr w:type="spellEnd"/>
    </w:p>
    <w:p w:rsidR="002C5025" w:rsidRDefault="002C5025">
      <w:pPr>
        <w:pStyle w:val="BodyText"/>
        <w:tabs>
          <w:tab w:val="left" w:pos="1793"/>
        </w:tabs>
        <w:kinsoku w:val="0"/>
        <w:overflowPunct w:val="0"/>
        <w:spacing w:line="187" w:lineRule="exact"/>
        <w:ind w:left="677"/>
        <w:rPr>
          <w:rFonts w:ascii="Arial" w:hAnsi="Arial" w:cs="Arial"/>
          <w:w w:val="85"/>
          <w:position w:val="1"/>
          <w:sz w:val="15"/>
          <w:szCs w:val="15"/>
        </w:rPr>
        <w:sectPr w:rsidR="002C5025">
          <w:type w:val="continuous"/>
          <w:pgSz w:w="15840" w:h="12240" w:orient="landscape"/>
          <w:pgMar w:top="720" w:right="220" w:bottom="280" w:left="140" w:header="720" w:footer="720" w:gutter="0"/>
          <w:cols w:num="2" w:space="720" w:equalWidth="0">
            <w:col w:w="4457" w:space="40"/>
            <w:col w:w="10983"/>
          </w:cols>
          <w:noEndnote/>
        </w:sectPr>
      </w:pPr>
    </w:p>
    <w:p w:rsidR="002C5025" w:rsidRDefault="002C5025">
      <w:pPr>
        <w:pStyle w:val="BodyText"/>
        <w:kinsoku w:val="0"/>
        <w:overflowPunct w:val="0"/>
        <w:spacing w:before="8"/>
        <w:rPr>
          <w:rFonts w:ascii="Arial" w:hAnsi="Arial" w:cs="Arial"/>
          <w:sz w:val="23"/>
          <w:szCs w:val="23"/>
        </w:rPr>
      </w:pPr>
    </w:p>
    <w:p w:rsidR="002C5025" w:rsidRDefault="002C5025">
      <w:pPr>
        <w:pStyle w:val="BodyText"/>
        <w:kinsoku w:val="0"/>
        <w:overflowPunct w:val="0"/>
        <w:spacing w:line="191" w:lineRule="exact"/>
        <w:ind w:left="584" w:right="-7"/>
        <w:rPr>
          <w:rFonts w:ascii="Times New Roman" w:hAnsi="Times New Roman" w:cs="Times New Roman"/>
          <w:w w:val="95"/>
          <w:sz w:val="16"/>
          <w:szCs w:val="16"/>
        </w:rPr>
      </w:pPr>
      <w:r>
        <w:rPr>
          <w:rFonts w:ascii="Times New Roman" w:hAnsi="Times New Roman" w:cs="Times New Roman"/>
          <w:w w:val="95"/>
          <w:position w:val="-3"/>
          <w:sz w:val="16"/>
          <w:szCs w:val="16"/>
        </w:rPr>
        <w:t xml:space="preserve">® </w:t>
      </w:r>
      <w:proofErr w:type="spellStart"/>
      <w:r>
        <w:rPr>
          <w:rFonts w:ascii="Times New Roman" w:hAnsi="Times New Roman" w:cs="Times New Roman"/>
          <w:w w:val="95"/>
          <w:sz w:val="16"/>
          <w:szCs w:val="16"/>
        </w:rPr>
        <w:t>HarborCOV</w:t>
      </w:r>
      <w:proofErr w:type="spellEnd"/>
    </w:p>
    <w:p w:rsidR="002C5025" w:rsidRDefault="00FB027C">
      <w:pPr>
        <w:pStyle w:val="BodyText"/>
        <w:kinsoku w:val="0"/>
        <w:overflowPunct w:val="0"/>
        <w:spacing w:line="161" w:lineRule="exact"/>
        <w:ind w:left="563" w:right="-7"/>
        <w:rPr>
          <w:rFonts w:ascii="Arial" w:hAnsi="Arial" w:cs="Arial"/>
          <w:w w:val="95"/>
          <w:sz w:val="15"/>
          <w:szCs w:val="15"/>
        </w:rPr>
      </w:pPr>
      <w:r>
        <w:rPr>
          <w:noProof/>
        </w:rPr>
        <mc:AlternateContent>
          <mc:Choice Requires="wps">
            <w:drawing>
              <wp:anchor distT="0" distB="0" distL="114300" distR="114300" simplePos="0" relativeHeight="251699712" behindDoc="1" locked="0" layoutInCell="0" allowOverlap="1">
                <wp:simplePos x="0" y="0"/>
                <wp:positionH relativeFrom="page">
                  <wp:posOffset>160020</wp:posOffset>
                </wp:positionH>
                <wp:positionV relativeFrom="paragraph">
                  <wp:posOffset>356235</wp:posOffset>
                </wp:positionV>
                <wp:extent cx="9683750" cy="12700"/>
                <wp:effectExtent l="0" t="0" r="0" b="0"/>
                <wp:wrapNone/>
                <wp:docPr id="426" name="Freeform 5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83750" cy="12700"/>
                        </a:xfrm>
                        <a:custGeom>
                          <a:avLst/>
                          <a:gdLst>
                            <a:gd name="T0" fmla="*/ 0 w 15250"/>
                            <a:gd name="T1" fmla="*/ 0 h 20"/>
                            <a:gd name="T2" fmla="*/ 15250 w 15250"/>
                            <a:gd name="T3" fmla="*/ 0 h 20"/>
                          </a:gdLst>
                          <a:ahLst/>
                          <a:cxnLst>
                            <a:cxn ang="0">
                              <a:pos x="T0" y="T1"/>
                            </a:cxn>
                            <a:cxn ang="0">
                              <a:pos x="T2" y="T3"/>
                            </a:cxn>
                          </a:cxnLst>
                          <a:rect l="0" t="0" r="r" b="b"/>
                          <a:pathLst>
                            <a:path w="15250" h="20">
                              <a:moveTo>
                                <a:pt x="0" y="0"/>
                              </a:moveTo>
                              <a:lnTo>
                                <a:pt x="15250" y="0"/>
                              </a:lnTo>
                            </a:path>
                          </a:pathLst>
                        </a:custGeom>
                        <a:noFill/>
                        <a:ln w="91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599" o:spid="_x0000_s1026" style="position:absolute;z-index:-251616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2.6pt,28.05pt,775.1pt,28.05pt" coordsize="152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" o:allowincell="f" filled="f" strokeweight=".25364mm">
                <v:path arrowok="t" o:connecttype="custom" o:connectlocs="0,0;9683750,0" o:connectangles="0,0"/>
                <w10:wrap anchorx="page"/>
              </v:polyline>
            </w:pict>
          </mc:Fallback>
        </mc:AlternateContent>
      </w:r>
      <w:r w:rsidR="002C5025">
        <w:rPr>
          <w:rFonts w:ascii="Times New Roman" w:hAnsi="Times New Roman" w:cs="Times New Roman"/>
          <w:w w:val="95"/>
          <w:sz w:val="16"/>
          <w:szCs w:val="16"/>
        </w:rPr>
        <w:t xml:space="preserve">ES  </w:t>
      </w:r>
      <w:proofErr w:type="spellStart"/>
      <w:r w:rsidR="002C5025">
        <w:rPr>
          <w:rFonts w:ascii="Times New Roman" w:hAnsi="Times New Roman" w:cs="Times New Roman"/>
          <w:w w:val="95"/>
          <w:sz w:val="16"/>
          <w:szCs w:val="16"/>
        </w:rPr>
        <w:t>Chsea</w:t>
      </w:r>
      <w:proofErr w:type="spellEnd"/>
      <w:r w:rsidR="002C5025">
        <w:rPr>
          <w:rFonts w:ascii="Times New Roman" w:hAnsi="Times New Roman" w:cs="Times New Roman"/>
          <w:w w:val="95"/>
          <w:sz w:val="16"/>
          <w:szCs w:val="16"/>
        </w:rPr>
        <w:t>: 617..184-9909</w:t>
      </w:r>
      <w:r w:rsidR="002C5025">
        <w:rPr>
          <w:rFonts w:ascii="Times New Roman" w:hAnsi="Times New Roman" w:cs="Times New Roman"/>
          <w:spacing w:val="-25"/>
          <w:w w:val="95"/>
          <w:sz w:val="16"/>
          <w:szCs w:val="16"/>
        </w:rPr>
        <w:t xml:space="preserve"> </w:t>
      </w:r>
      <w:r w:rsidR="002C5025">
        <w:rPr>
          <w:rFonts w:ascii="Arial" w:hAnsi="Arial" w:cs="Arial"/>
          <w:w w:val="95"/>
          <w:sz w:val="15"/>
          <w:szCs w:val="15"/>
        </w:rPr>
        <w:t>&lt;</w:t>
      </w:r>
      <w:proofErr w:type="spellStart"/>
      <w:r w:rsidR="002C5025">
        <w:rPr>
          <w:rFonts w:ascii="Arial" w:hAnsi="Arial" w:cs="Arial"/>
          <w:w w:val="95"/>
          <w:sz w:val="15"/>
          <w:szCs w:val="15"/>
        </w:rPr>
        <w:t>ll</w:t>
      </w:r>
      <w:proofErr w:type="spellEnd"/>
    </w:p>
    <w:p w:rsidR="002C5025" w:rsidRDefault="002C5025">
      <w:pPr>
        <w:pStyle w:val="BodyText"/>
        <w:tabs>
          <w:tab w:val="left" w:pos="2812"/>
          <w:tab w:val="left" w:pos="3876"/>
        </w:tabs>
        <w:kinsoku w:val="0"/>
        <w:overflowPunct w:val="0"/>
        <w:spacing w:line="204" w:lineRule="exact"/>
        <w:ind w:left="547"/>
        <w:rPr>
          <w:rFonts w:ascii="Arial" w:hAnsi="Arial" w:cs="Arial"/>
          <w:w w:val="85"/>
          <w:position w:val="1"/>
          <w:sz w:val="15"/>
          <w:szCs w:val="15"/>
        </w:rPr>
      </w:pPr>
      <w:r>
        <w:rPr>
          <w:rFonts w:ascii="Times New Roman" w:hAnsi="Times New Roman" w:cs="Times New Roman"/>
          <w:sz w:val="24"/>
          <w:szCs w:val="24"/>
        </w:rPr>
        <w:br w:type="column"/>
      </w:r>
      <w:r>
        <w:rPr>
          <w:rFonts w:ascii="Times New Roman" w:hAnsi="Times New Roman" w:cs="Times New Roman"/>
          <w:w w:val="85"/>
          <w:position w:val="-3"/>
          <w:sz w:val="16"/>
          <w:szCs w:val="16"/>
        </w:rPr>
        <w:lastRenderedPageBreak/>
        <w:t>617-927-6250</w:t>
      </w:r>
      <w:r>
        <w:rPr>
          <w:rFonts w:ascii="Times New Roman" w:hAnsi="Times New Roman" w:cs="Times New Roman"/>
          <w:w w:val="85"/>
          <w:position w:val="-3"/>
          <w:sz w:val="16"/>
          <w:szCs w:val="16"/>
        </w:rPr>
        <w:tab/>
      </w:r>
      <w:r>
        <w:rPr>
          <w:rFonts w:ascii="Arial" w:hAnsi="Arial" w:cs="Arial"/>
          <w:w w:val="85"/>
          <w:sz w:val="15"/>
          <w:szCs w:val="15"/>
        </w:rPr>
        <w:t>Leominster:</w:t>
      </w:r>
      <w:r>
        <w:rPr>
          <w:rFonts w:ascii="Arial" w:hAnsi="Arial" w:cs="Arial"/>
          <w:w w:val="85"/>
          <w:sz w:val="15"/>
          <w:szCs w:val="15"/>
        </w:rPr>
        <w:tab/>
      </w:r>
      <w:r>
        <w:rPr>
          <w:rFonts w:ascii="Times New Roman" w:hAnsi="Times New Roman" w:cs="Times New Roman"/>
          <w:w w:val="85"/>
          <w:position w:val="1"/>
          <w:sz w:val="16"/>
          <w:szCs w:val="16"/>
        </w:rPr>
        <w:t xml:space="preserve">508-756-9030 </w:t>
      </w:r>
      <w:r>
        <w:rPr>
          <w:rFonts w:ascii="Times New Roman" w:hAnsi="Times New Roman" w:cs="Times New Roman"/>
          <w:spacing w:val="3"/>
          <w:w w:val="85"/>
          <w:position w:val="1"/>
          <w:sz w:val="16"/>
          <w:szCs w:val="16"/>
        </w:rPr>
        <w:t xml:space="preserve"> </w:t>
      </w:r>
      <w:r>
        <w:rPr>
          <w:rFonts w:ascii="Arial" w:hAnsi="Arial" w:cs="Arial"/>
          <w:w w:val="85"/>
          <w:position w:val="1"/>
          <w:sz w:val="15"/>
          <w:szCs w:val="15"/>
        </w:rPr>
        <w:t>&lt;</w:t>
      </w:r>
      <w:proofErr w:type="spellStart"/>
      <w:r>
        <w:rPr>
          <w:rFonts w:ascii="Arial" w:hAnsi="Arial" w:cs="Arial"/>
          <w:w w:val="85"/>
          <w:position w:val="1"/>
          <w:sz w:val="15"/>
          <w:szCs w:val="15"/>
        </w:rPr>
        <w:t>ll</w:t>
      </w:r>
      <w:proofErr w:type="spellEnd"/>
    </w:p>
    <w:p w:rsidR="002C5025" w:rsidRDefault="002C5025">
      <w:pPr>
        <w:pStyle w:val="BodyText"/>
        <w:tabs>
          <w:tab w:val="left" w:pos="5689"/>
        </w:tabs>
        <w:kinsoku w:val="0"/>
        <w:overflowPunct w:val="0"/>
        <w:spacing w:before="73"/>
        <w:ind w:left="563"/>
        <w:rPr>
          <w:rFonts w:ascii="Times New Roman" w:hAnsi="Times New Roman" w:cs="Times New Roman"/>
          <w:w w:val="85"/>
          <w:sz w:val="86"/>
          <w:szCs w:val="86"/>
        </w:rPr>
      </w:pPr>
      <w:r>
        <w:rPr>
          <w:rFonts w:ascii="Times New Roman" w:hAnsi="Times New Roman" w:cs="Times New Roman"/>
          <w:sz w:val="24"/>
          <w:szCs w:val="24"/>
        </w:rPr>
        <w:br w:type="column"/>
      </w:r>
      <w:r>
        <w:rPr>
          <w:rFonts w:ascii="Arial" w:hAnsi="Arial" w:cs="Arial"/>
          <w:position w:val="1"/>
          <w:sz w:val="18"/>
          <w:szCs w:val="18"/>
        </w:rPr>
        <w:lastRenderedPageBreak/>
        <w:t>See</w:t>
      </w:r>
      <w:r>
        <w:rPr>
          <w:rFonts w:ascii="Arial" w:hAnsi="Arial" w:cs="Arial"/>
          <w:spacing w:val="-34"/>
          <w:position w:val="1"/>
          <w:sz w:val="18"/>
          <w:szCs w:val="18"/>
        </w:rPr>
        <w:t xml:space="preserve"> </w:t>
      </w:r>
      <w:r>
        <w:rPr>
          <w:rFonts w:ascii="Arial" w:hAnsi="Arial" w:cs="Arial"/>
          <w:position w:val="1"/>
          <w:sz w:val="18"/>
          <w:szCs w:val="18"/>
        </w:rPr>
        <w:t>other</w:t>
      </w:r>
      <w:r>
        <w:rPr>
          <w:rFonts w:ascii="Arial" w:hAnsi="Arial" w:cs="Arial"/>
          <w:spacing w:val="-34"/>
          <w:position w:val="1"/>
          <w:sz w:val="18"/>
          <w:szCs w:val="18"/>
        </w:rPr>
        <w:t xml:space="preserve"> </w:t>
      </w:r>
      <w:r>
        <w:rPr>
          <w:rFonts w:ascii="Arial" w:hAnsi="Arial" w:cs="Arial"/>
          <w:spacing w:val="-3"/>
          <w:position w:val="1"/>
          <w:sz w:val="18"/>
          <w:szCs w:val="18"/>
        </w:rPr>
        <w:t>side</w:t>
      </w:r>
      <w:r>
        <w:rPr>
          <w:rFonts w:ascii="Arial" w:hAnsi="Arial" w:cs="Arial"/>
          <w:spacing w:val="-37"/>
          <w:position w:val="1"/>
          <w:sz w:val="18"/>
          <w:szCs w:val="18"/>
        </w:rPr>
        <w:t xml:space="preserve"> </w:t>
      </w:r>
      <w:r>
        <w:rPr>
          <w:rFonts w:ascii="Arial" w:hAnsi="Arial" w:cs="Arial"/>
          <w:position w:val="1"/>
          <w:sz w:val="18"/>
          <w:szCs w:val="18"/>
        </w:rPr>
        <w:t>for</w:t>
      </w:r>
      <w:r>
        <w:rPr>
          <w:rFonts w:ascii="Arial" w:hAnsi="Arial" w:cs="Arial"/>
          <w:spacing w:val="-36"/>
          <w:position w:val="1"/>
          <w:sz w:val="18"/>
          <w:szCs w:val="18"/>
        </w:rPr>
        <w:t xml:space="preserve"> </w:t>
      </w:r>
      <w:r>
        <w:rPr>
          <w:rFonts w:ascii="Arial" w:hAnsi="Arial" w:cs="Arial"/>
          <w:position w:val="1"/>
          <w:sz w:val="18"/>
          <w:szCs w:val="18"/>
        </w:rPr>
        <w:t>a</w:t>
      </w:r>
      <w:r>
        <w:rPr>
          <w:rFonts w:ascii="Arial" w:hAnsi="Arial" w:cs="Arial"/>
          <w:spacing w:val="-35"/>
          <w:position w:val="1"/>
          <w:sz w:val="18"/>
          <w:szCs w:val="18"/>
        </w:rPr>
        <w:t xml:space="preserve"> </w:t>
      </w:r>
      <w:r>
        <w:rPr>
          <w:rFonts w:ascii="Arial" w:hAnsi="Arial" w:cs="Arial"/>
          <w:position w:val="1"/>
          <w:sz w:val="18"/>
          <w:szCs w:val="18"/>
        </w:rPr>
        <w:t>list</w:t>
      </w:r>
      <w:r>
        <w:rPr>
          <w:rFonts w:ascii="Arial" w:hAnsi="Arial" w:cs="Arial"/>
          <w:spacing w:val="-39"/>
          <w:position w:val="1"/>
          <w:sz w:val="18"/>
          <w:szCs w:val="18"/>
        </w:rPr>
        <w:t xml:space="preserve"> </w:t>
      </w:r>
      <w:r>
        <w:rPr>
          <w:rFonts w:ascii="Arial" w:hAnsi="Arial" w:cs="Arial"/>
          <w:position w:val="1"/>
          <w:sz w:val="18"/>
          <w:szCs w:val="18"/>
        </w:rPr>
        <w:t>of</w:t>
      </w:r>
      <w:r>
        <w:rPr>
          <w:rFonts w:ascii="Arial" w:hAnsi="Arial" w:cs="Arial"/>
          <w:spacing w:val="-34"/>
          <w:position w:val="1"/>
          <w:sz w:val="18"/>
          <w:szCs w:val="18"/>
        </w:rPr>
        <w:t xml:space="preserve"> </w:t>
      </w:r>
      <w:r>
        <w:rPr>
          <w:rFonts w:ascii="Arial" w:hAnsi="Arial" w:cs="Arial"/>
          <w:position w:val="1"/>
          <w:sz w:val="18"/>
          <w:szCs w:val="18"/>
        </w:rPr>
        <w:t>statewide</w:t>
      </w:r>
      <w:r>
        <w:rPr>
          <w:rFonts w:ascii="Arial" w:hAnsi="Arial" w:cs="Arial"/>
          <w:spacing w:val="-32"/>
          <w:position w:val="1"/>
          <w:sz w:val="18"/>
          <w:szCs w:val="18"/>
        </w:rPr>
        <w:t xml:space="preserve"> </w:t>
      </w:r>
      <w:r>
        <w:rPr>
          <w:rFonts w:ascii="Arial" w:hAnsi="Arial" w:cs="Arial"/>
          <w:position w:val="1"/>
          <w:sz w:val="18"/>
          <w:szCs w:val="18"/>
        </w:rPr>
        <w:t>programs</w:t>
      </w:r>
      <w:r>
        <w:rPr>
          <w:rFonts w:ascii="Arial" w:hAnsi="Arial" w:cs="Arial"/>
          <w:spacing w:val="-32"/>
          <w:position w:val="1"/>
          <w:sz w:val="18"/>
          <w:szCs w:val="18"/>
        </w:rPr>
        <w:t xml:space="preserve"> </w:t>
      </w:r>
      <w:r>
        <w:rPr>
          <w:rFonts w:ascii="Arial" w:hAnsi="Arial" w:cs="Arial"/>
          <w:position w:val="1"/>
          <w:sz w:val="18"/>
          <w:szCs w:val="18"/>
        </w:rPr>
        <w:t>and</w:t>
      </w:r>
      <w:r>
        <w:rPr>
          <w:rFonts w:ascii="Arial" w:hAnsi="Arial" w:cs="Arial"/>
          <w:spacing w:val="-35"/>
          <w:position w:val="1"/>
          <w:sz w:val="18"/>
          <w:szCs w:val="18"/>
        </w:rPr>
        <w:t xml:space="preserve"> </w:t>
      </w:r>
      <w:r>
        <w:rPr>
          <w:rFonts w:ascii="Arial" w:hAnsi="Arial" w:cs="Arial"/>
          <w:position w:val="1"/>
          <w:sz w:val="18"/>
          <w:szCs w:val="18"/>
        </w:rPr>
        <w:t>much</w:t>
      </w:r>
      <w:r>
        <w:rPr>
          <w:rFonts w:ascii="Arial" w:hAnsi="Arial" w:cs="Arial"/>
          <w:spacing w:val="-30"/>
          <w:position w:val="1"/>
          <w:sz w:val="18"/>
          <w:szCs w:val="18"/>
        </w:rPr>
        <w:t xml:space="preserve"> </w:t>
      </w:r>
      <w:r>
        <w:rPr>
          <w:rFonts w:ascii="Arial" w:hAnsi="Arial" w:cs="Arial"/>
          <w:position w:val="1"/>
          <w:sz w:val="18"/>
          <w:szCs w:val="18"/>
        </w:rPr>
        <w:t>more.</w:t>
      </w:r>
      <w:r>
        <w:rPr>
          <w:rFonts w:ascii="Arial" w:hAnsi="Arial" w:cs="Arial"/>
          <w:position w:val="1"/>
          <w:sz w:val="18"/>
          <w:szCs w:val="18"/>
        </w:rPr>
        <w:tab/>
      </w:r>
      <w:r>
        <w:rPr>
          <w:rFonts w:ascii="Times New Roman" w:hAnsi="Times New Roman" w:cs="Times New Roman"/>
          <w:w w:val="85"/>
          <w:sz w:val="86"/>
          <w:szCs w:val="86"/>
        </w:rPr>
        <w:t>......</w:t>
      </w:r>
    </w:p>
    <w:p w:rsidR="002C5025" w:rsidRDefault="002C5025">
      <w:pPr>
        <w:pStyle w:val="BodyText"/>
        <w:tabs>
          <w:tab w:val="left" w:pos="5689"/>
        </w:tabs>
        <w:kinsoku w:val="0"/>
        <w:overflowPunct w:val="0"/>
        <w:spacing w:before="73"/>
        <w:ind w:left="563"/>
        <w:rPr>
          <w:rFonts w:ascii="Times New Roman" w:hAnsi="Times New Roman" w:cs="Times New Roman"/>
          <w:w w:val="85"/>
          <w:sz w:val="86"/>
          <w:szCs w:val="86"/>
        </w:rPr>
        <w:sectPr w:rsidR="002C5025">
          <w:type w:val="continuous"/>
          <w:pgSz w:w="15840" w:h="12240" w:orient="landscape"/>
          <w:pgMar w:top="720" w:right="220" w:bottom="280" w:left="140" w:header="720" w:footer="720" w:gutter="0"/>
          <w:cols w:num="3" w:space="720" w:equalWidth="0">
            <w:col w:w="2328" w:space="40"/>
            <w:col w:w="4855" w:space="1393"/>
            <w:col w:w="6864"/>
          </w:cols>
          <w:noEndnote/>
        </w:sect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8"/>
        <w:rPr>
          <w:rFonts w:ascii="Times New Roman" w:hAnsi="Times New Roman" w:cs="Times New Roman"/>
          <w:sz w:val="26"/>
          <w:szCs w:val="26"/>
        </w:rPr>
      </w:pPr>
    </w:p>
    <w:p w:rsidR="002C5025" w:rsidRDefault="00FB027C">
      <w:pPr>
        <w:pStyle w:val="BodyText"/>
        <w:kinsoku w:val="0"/>
        <w:overflowPunct w:val="0"/>
        <w:spacing w:before="65"/>
        <w:ind w:left="2279"/>
        <w:rPr>
          <w:rFonts w:ascii="Arial" w:hAnsi="Arial" w:cs="Arial"/>
          <w:w w:val="80"/>
          <w:sz w:val="28"/>
          <w:szCs w:val="28"/>
        </w:rPr>
      </w:pPr>
      <w:r>
        <w:rPr>
          <w:noProof/>
        </w:rPr>
        <mc:AlternateContent>
          <mc:Choice Requires="wps">
            <w:drawing>
              <wp:anchor distT="0" distB="0" distL="114300" distR="114300" simplePos="0" relativeHeight="251700736" behindDoc="0" locked="0" layoutInCell="0" allowOverlap="1">
                <wp:simplePos x="0" y="0"/>
                <wp:positionH relativeFrom="page">
                  <wp:posOffset>4476115</wp:posOffset>
                </wp:positionH>
                <wp:positionV relativeFrom="paragraph">
                  <wp:posOffset>357505</wp:posOffset>
                </wp:positionV>
                <wp:extent cx="5181600" cy="1617345"/>
                <wp:effectExtent l="0" t="0" r="0" b="0"/>
                <wp:wrapNone/>
                <wp:docPr id="425" name="Text Box 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161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8" w:type="dxa"/>
                              <w:tblLayout w:type="fixed"/>
                              <w:tblCellMar>
                                <w:left w:w="0" w:type="dxa"/>
                                <w:right w:w="0" w:type="dxa"/>
                              </w:tblCellMar>
                              <w:tblLook w:val="0000" w:firstRow="0" w:lastRow="0" w:firstColumn="0" w:lastColumn="0" w:noHBand="0" w:noVBand="0"/>
                            </w:tblPr>
                            <w:tblGrid>
                              <w:gridCol w:w="2838"/>
                              <w:gridCol w:w="133"/>
                              <w:gridCol w:w="1283"/>
                              <w:gridCol w:w="1266"/>
                              <w:gridCol w:w="713"/>
                              <w:gridCol w:w="1903"/>
                            </w:tblGrid>
                            <w:tr w:rsidR="007B2B7B">
                              <w:trPr>
                                <w:trHeight w:hRule="exact" w:val="202"/>
                              </w:trPr>
                              <w:tc>
                                <w:tcPr>
                                  <w:tcW w:w="8136" w:type="dxa"/>
                                  <w:gridSpan w:val="6"/>
                                  <w:tcBorders>
                                    <w:top w:val="single" w:sz="4" w:space="0" w:color="000000"/>
                                    <w:left w:val="single" w:sz="6" w:space="0" w:color="000000"/>
                                    <w:bottom w:val="single" w:sz="4" w:space="0" w:color="000000"/>
                                    <w:right w:val="single" w:sz="4" w:space="0" w:color="000000"/>
                                  </w:tcBorders>
                                </w:tcPr>
                                <w:p w:rsidR="007B2B7B" w:rsidRDefault="007B2B7B">
                                  <w:pPr>
                                    <w:pStyle w:val="TableParagraph"/>
                                    <w:tabs>
                                      <w:tab w:val="left" w:pos="1067"/>
                                      <w:tab w:val="left" w:pos="2083"/>
                                      <w:tab w:val="left" w:pos="4019"/>
                                    </w:tabs>
                                    <w:kinsoku w:val="0"/>
                                    <w:overflowPunct w:val="0"/>
                                    <w:spacing w:line="193" w:lineRule="exact"/>
                                    <w:ind w:left="127"/>
                                    <w:rPr>
                                      <w:rFonts w:ascii="Times New Roman" w:hAnsi="Times New Roman" w:cs="Times New Roman"/>
                                    </w:rPr>
                                  </w:pPr>
                                  <w:r>
                                    <w:rPr>
                                      <w:sz w:val="21"/>
                                      <w:szCs w:val="21"/>
                                    </w:rPr>
                                    <w:t>1:</w:t>
                                  </w:r>
                                  <w:r>
                                    <w:rPr>
                                      <w:sz w:val="21"/>
                                      <w:szCs w:val="21"/>
                                    </w:rPr>
                                    <w:tab/>
                                  </w:r>
                                  <w:r>
                                    <w:rPr>
                                      <w:spacing w:val="-52"/>
                                      <w:w w:val="149"/>
                                      <w:sz w:val="21"/>
                                      <w:szCs w:val="21"/>
                                    </w:rPr>
                                    <w:t>Y</w:t>
                                  </w:r>
                                  <w:r>
                                    <w:rPr>
                                      <w:spacing w:val="-49"/>
                                      <w:w w:val="149"/>
                                      <w:sz w:val="21"/>
                                      <w:szCs w:val="21"/>
                                    </w:rPr>
                                    <w:t>S</w:t>
                                  </w:r>
                                  <w:r>
                                    <w:rPr>
                                      <w:w w:val="149"/>
                                      <w:sz w:val="21"/>
                                      <w:szCs w:val="21"/>
                                    </w:rPr>
                                    <w:t>1</w:t>
                                  </w:r>
                                  <w:r>
                                    <w:rPr>
                                      <w:sz w:val="21"/>
                                      <w:szCs w:val="21"/>
                                    </w:rPr>
                                    <w:tab/>
                                  </w:r>
                                  <w:r>
                                    <w:rPr>
                                      <w:spacing w:val="-2"/>
                                      <w:w w:val="91"/>
                                      <w:sz w:val="21"/>
                                      <w:szCs w:val="21"/>
                                    </w:rPr>
                                    <w:t>4</w:t>
                                  </w:r>
                                  <w:r>
                                    <w:rPr>
                                      <w:w w:val="91"/>
                                      <w:sz w:val="21"/>
                                      <w:szCs w:val="21"/>
                                    </w:rPr>
                                    <w:t>;</w:t>
                                  </w:r>
                                  <w:r>
                                    <w:rPr>
                                      <w:sz w:val="21"/>
                                      <w:szCs w:val="21"/>
                                    </w:rPr>
                                    <w:tab/>
                                  </w:r>
                                  <w:r>
                                    <w:rPr>
                                      <w:spacing w:val="-94"/>
                                      <w:w w:val="477"/>
                                      <w:sz w:val="21"/>
                                      <w:szCs w:val="21"/>
                                    </w:rPr>
                                    <w:t>-</w:t>
                                  </w:r>
                                  <w:proofErr w:type="spellStart"/>
                                  <w:r>
                                    <w:rPr>
                                      <w:spacing w:val="18"/>
                                      <w:w w:val="476"/>
                                      <w:sz w:val="21"/>
                                      <w:szCs w:val="21"/>
                                    </w:rPr>
                                    <w:t>g</w:t>
                                  </w:r>
                                  <w:r>
                                    <w:rPr>
                                      <w:spacing w:val="-2"/>
                                      <w:w w:val="65"/>
                                      <w:sz w:val="21"/>
                                      <w:szCs w:val="21"/>
                                    </w:rPr>
                                    <w:t>J</w:t>
                                  </w:r>
                                  <w:proofErr w:type="spellEnd"/>
                                  <w:r>
                                    <w:rPr>
                                      <w:w w:val="65"/>
                                      <w:sz w:val="21"/>
                                      <w:szCs w:val="21"/>
                                    </w:rPr>
                                    <w:t>'.if</w:t>
                                  </w:r>
                                  <w:r>
                                    <w:rPr>
                                      <w:spacing w:val="-8"/>
                                      <w:sz w:val="21"/>
                                      <w:szCs w:val="21"/>
                                    </w:rPr>
                                    <w:t xml:space="preserve"> </w:t>
                                  </w:r>
                                  <w:r>
                                    <w:rPr>
                                      <w:spacing w:val="-18"/>
                                      <w:sz w:val="21"/>
                                      <w:szCs w:val="21"/>
                                    </w:rPr>
                                    <w:t>{</w:t>
                                  </w:r>
                                  <w:r>
                                    <w:rPr>
                                      <w:spacing w:val="-57"/>
                                      <w:sz w:val="21"/>
                                      <w:szCs w:val="21"/>
                                    </w:rPr>
                                    <w:t>:</w:t>
                                  </w:r>
                                  <w:r>
                                    <w:rPr>
                                      <w:spacing w:val="-68"/>
                                      <w:sz w:val="21"/>
                                      <w:szCs w:val="21"/>
                                    </w:rPr>
                                    <w:t>1</w:t>
                                  </w:r>
                                  <w:r>
                                    <w:rPr>
                                      <w:spacing w:val="1"/>
                                      <w:sz w:val="21"/>
                                      <w:szCs w:val="21"/>
                                    </w:rPr>
                                    <w:t>R</w:t>
                                  </w:r>
                                  <w:r>
                                    <w:rPr>
                                      <w:sz w:val="21"/>
                                      <w:szCs w:val="21"/>
                                    </w:rPr>
                                    <w:t>S</w:t>
                                  </w:r>
                                  <w:r>
                                    <w:rPr>
                                      <w:spacing w:val="-31"/>
                                      <w:sz w:val="21"/>
                                      <w:szCs w:val="21"/>
                                    </w:rPr>
                                    <w:t>'</w:t>
                                  </w:r>
                                  <w:r>
                                    <w:rPr>
                                      <w:spacing w:val="-47"/>
                                      <w:sz w:val="21"/>
                                      <w:szCs w:val="21"/>
                                    </w:rPr>
                                    <w:t>:</w:t>
                                  </w:r>
                                  <w:r>
                                    <w:rPr>
                                      <w:sz w:val="21"/>
                                      <w:szCs w:val="21"/>
                                    </w:rPr>
                                    <w:t>2</w:t>
                                  </w:r>
                                  <w:r>
                                    <w:rPr>
                                      <w:spacing w:val="-26"/>
                                      <w:sz w:val="21"/>
                                      <w:szCs w:val="21"/>
                                    </w:rPr>
                                    <w:t>;</w:t>
                                  </w:r>
                                  <w:r>
                                    <w:rPr>
                                      <w:spacing w:val="-40"/>
                                      <w:w w:val="83"/>
                                      <w:sz w:val="21"/>
                                      <w:szCs w:val="21"/>
                                    </w:rPr>
                                    <w:t>·</w:t>
                                  </w:r>
                                  <w:r>
                                    <w:rPr>
                                      <w:spacing w:val="6"/>
                                      <w:sz w:val="21"/>
                                      <w:szCs w:val="21"/>
                                    </w:rPr>
                                    <w:t>,</w:t>
                                  </w:r>
                                  <w:r>
                                    <w:rPr>
                                      <w:spacing w:val="-10"/>
                                      <w:w w:val="65"/>
                                      <w:sz w:val="21"/>
                                      <w:szCs w:val="21"/>
                                    </w:rPr>
                                    <w:t>;</w:t>
                                  </w:r>
                                  <w:r>
                                    <w:rPr>
                                      <w:w w:val="65"/>
                                      <w:sz w:val="21"/>
                                      <w:szCs w:val="21"/>
                                    </w:rPr>
                                    <w:t>.</w:t>
                                  </w:r>
                                  <w:r>
                                    <w:rPr>
                                      <w:spacing w:val="-20"/>
                                      <w:w w:val="65"/>
                                      <w:sz w:val="21"/>
                                      <w:szCs w:val="21"/>
                                    </w:rPr>
                                    <w:t>:</w:t>
                                  </w:r>
                                  <w:r>
                                    <w:rPr>
                                      <w:spacing w:val="-14"/>
                                      <w:w w:val="65"/>
                                      <w:sz w:val="21"/>
                                      <w:szCs w:val="21"/>
                                    </w:rPr>
                                    <w:t>J</w:t>
                                  </w:r>
                                  <w:r>
                                    <w:rPr>
                                      <w:w w:val="65"/>
                                      <w:sz w:val="21"/>
                                      <w:szCs w:val="21"/>
                                    </w:rPr>
                                    <w:t>.</w:t>
                                  </w:r>
                                  <w:r>
                                    <w:rPr>
                                      <w:spacing w:val="9"/>
                                      <w:w w:val="65"/>
                                      <w:sz w:val="21"/>
                                      <w:szCs w:val="21"/>
                                    </w:rPr>
                                    <w:t>;</w:t>
                                  </w:r>
                                  <w:r>
                                    <w:rPr>
                                      <w:w w:val="65"/>
                                      <w:sz w:val="21"/>
                                      <w:szCs w:val="21"/>
                                    </w:rPr>
                                    <w:t>..</w:t>
                                  </w:r>
                                  <w:r>
                                    <w:rPr>
                                      <w:spacing w:val="-37"/>
                                      <w:sz w:val="21"/>
                                      <w:szCs w:val="21"/>
                                    </w:rPr>
                                    <w:t xml:space="preserve"> </w:t>
                                  </w:r>
                                  <w:r>
                                    <w:rPr>
                                      <w:spacing w:val="-2"/>
                                      <w:sz w:val="21"/>
                                      <w:szCs w:val="21"/>
                                    </w:rPr>
                                    <w:t>,</w:t>
                                  </w:r>
                                  <w:r>
                                    <w:rPr>
                                      <w:spacing w:val="-14"/>
                                      <w:sz w:val="21"/>
                                      <w:szCs w:val="21"/>
                                    </w:rPr>
                                    <w:t>;</w:t>
                                  </w:r>
                                  <w:r>
                                    <w:rPr>
                                      <w:w w:val="83"/>
                                      <w:sz w:val="21"/>
                                      <w:szCs w:val="21"/>
                                    </w:rPr>
                                    <w:t>·</w:t>
                                  </w:r>
                                </w:p>
                              </w:tc>
                            </w:tr>
                            <w:tr w:rsidR="007B2B7B">
                              <w:trPr>
                                <w:trHeight w:hRule="exact" w:val="614"/>
                              </w:trPr>
                              <w:tc>
                                <w:tcPr>
                                  <w:tcW w:w="4254" w:type="dxa"/>
                                  <w:gridSpan w:val="3"/>
                                  <w:tcBorders>
                                    <w:top w:val="single" w:sz="4" w:space="0" w:color="000000"/>
                                    <w:left w:val="single" w:sz="6" w:space="0" w:color="000000"/>
                                    <w:bottom w:val="single" w:sz="10" w:space="0" w:color="000000"/>
                                    <w:right w:val="single" w:sz="8" w:space="0" w:color="000000"/>
                                  </w:tcBorders>
                                </w:tcPr>
                                <w:p w:rsidR="007B2B7B" w:rsidRDefault="007B2B7B">
                                  <w:pPr>
                                    <w:pStyle w:val="TableParagraph"/>
                                    <w:kinsoku w:val="0"/>
                                    <w:overflowPunct w:val="0"/>
                                    <w:spacing w:before="101" w:line="242" w:lineRule="exact"/>
                                    <w:ind w:left="1788" w:right="344" w:hanging="1342"/>
                                    <w:rPr>
                                      <w:rFonts w:ascii="Times New Roman" w:hAnsi="Times New Roman" w:cs="Times New Roman"/>
                                    </w:rPr>
                                  </w:pPr>
                                  <w:proofErr w:type="spellStart"/>
                                  <w:r>
                                    <w:rPr>
                                      <w:w w:val="95"/>
                                      <w:sz w:val="19"/>
                                      <w:szCs w:val="19"/>
                                    </w:rPr>
                                    <w:t>If</w:t>
                                  </w:r>
                                  <w:r>
                                    <w:rPr>
                                      <w:w w:val="95"/>
                                      <w:sz w:val="22"/>
                                      <w:szCs w:val="22"/>
                                    </w:rPr>
                                    <w:t>you</w:t>
                                  </w:r>
                                  <w:proofErr w:type="spellEnd"/>
                                  <w:r>
                                    <w:rPr>
                                      <w:w w:val="95"/>
                                      <w:sz w:val="22"/>
                                      <w:szCs w:val="22"/>
                                    </w:rPr>
                                    <w:t xml:space="preserve"> are </w:t>
                                  </w:r>
                                  <w:proofErr w:type="spellStart"/>
                                  <w:r>
                                    <w:rPr>
                                      <w:w w:val="95"/>
                                      <w:sz w:val="22"/>
                                      <w:szCs w:val="22"/>
                                    </w:rPr>
                                    <w:t>notsurewhere</w:t>
                                  </w:r>
                                  <w:proofErr w:type="spellEnd"/>
                                  <w:r>
                                    <w:rPr>
                                      <w:w w:val="95"/>
                                      <w:sz w:val="22"/>
                                      <w:szCs w:val="22"/>
                                    </w:rPr>
                                    <w:t xml:space="preserve"> </w:t>
                                  </w:r>
                                  <w:proofErr w:type="spellStart"/>
                                  <w:r>
                                    <w:rPr>
                                      <w:w w:val="95"/>
                                      <w:sz w:val="22"/>
                                      <w:szCs w:val="22"/>
                                    </w:rPr>
                                    <w:t>tocallfor</w:t>
                                  </w:r>
                                  <w:proofErr w:type="spellEnd"/>
                                  <w:r>
                                    <w:rPr>
                                      <w:w w:val="95"/>
                                      <w:sz w:val="22"/>
                                      <w:szCs w:val="22"/>
                                    </w:rPr>
                                    <w:t xml:space="preserve"> help, </w:t>
                                  </w:r>
                                  <w:r>
                                    <w:rPr>
                                      <w:w w:val="90"/>
                                      <w:sz w:val="22"/>
                                      <w:szCs w:val="22"/>
                                    </w:rPr>
                                    <w:t>call 411.</w:t>
                                  </w:r>
                                </w:p>
                              </w:tc>
                              <w:tc>
                                <w:tcPr>
                                  <w:tcW w:w="3882" w:type="dxa"/>
                                  <w:gridSpan w:val="3"/>
                                  <w:tcBorders>
                                    <w:top w:val="single" w:sz="4" w:space="0" w:color="000000"/>
                                    <w:left w:val="single" w:sz="8" w:space="0" w:color="000000"/>
                                    <w:bottom w:val="single" w:sz="10" w:space="0" w:color="000000"/>
                                    <w:right w:val="single" w:sz="4" w:space="0" w:color="000000"/>
                                  </w:tcBorders>
                                </w:tcPr>
                                <w:p w:rsidR="007B2B7B" w:rsidRDefault="007B2B7B">
                                  <w:pPr>
                                    <w:pStyle w:val="TableParagraph"/>
                                    <w:kinsoku w:val="0"/>
                                    <w:overflowPunct w:val="0"/>
                                    <w:spacing w:before="29" w:line="172" w:lineRule="exact"/>
                                    <w:ind w:left="0" w:right="24"/>
                                    <w:jc w:val="center"/>
                                    <w:rPr>
                                      <w:rFonts w:ascii="Times New Roman" w:hAnsi="Times New Roman" w:cs="Times New Roman"/>
                                      <w:w w:val="105"/>
                                      <w:sz w:val="15"/>
                                      <w:szCs w:val="15"/>
                                    </w:rPr>
                                  </w:pPr>
                                  <w:r>
                                    <w:rPr>
                                      <w:w w:val="105"/>
                                      <w:sz w:val="15"/>
                                      <w:szCs w:val="15"/>
                                    </w:rPr>
                                    <w:t xml:space="preserve">® </w:t>
                                  </w:r>
                                  <w:proofErr w:type="spellStart"/>
                                  <w:r>
                                    <w:rPr>
                                      <w:rFonts w:ascii="Times New Roman" w:hAnsi="Times New Roman" w:cs="Times New Roman"/>
                                      <w:w w:val="105"/>
                                      <w:sz w:val="15"/>
                                      <w:szCs w:val="15"/>
                                    </w:rPr>
                                    <w:t>Safelink</w:t>
                                  </w:r>
                                  <w:proofErr w:type="spellEnd"/>
                                </w:p>
                                <w:p w:rsidR="007B2B7B" w:rsidRDefault="007B2B7B">
                                  <w:pPr>
                                    <w:pStyle w:val="TableParagraph"/>
                                    <w:kinsoku w:val="0"/>
                                    <w:overflowPunct w:val="0"/>
                                    <w:spacing w:line="171" w:lineRule="exact"/>
                                    <w:ind w:left="0" w:right="166"/>
                                    <w:jc w:val="center"/>
                                    <w:rPr>
                                      <w:w w:val="85"/>
                                      <w:sz w:val="15"/>
                                      <w:szCs w:val="15"/>
                                    </w:rPr>
                                  </w:pPr>
                                  <w:r>
                                    <w:rPr>
                                      <w:w w:val="85"/>
                                      <w:sz w:val="15"/>
                                      <w:szCs w:val="15"/>
                                    </w:rPr>
                                    <w:t>Toll-free Statewide Domestic Violence Hotline</w:t>
                                  </w:r>
                                </w:p>
                                <w:p w:rsidR="007B2B7B" w:rsidRDefault="007B2B7B">
                                  <w:pPr>
                                    <w:pStyle w:val="TableParagraph"/>
                                    <w:tabs>
                                      <w:tab w:val="left" w:pos="1576"/>
                                    </w:tabs>
                                    <w:kinsoku w:val="0"/>
                                    <w:overflowPunct w:val="0"/>
                                    <w:spacing w:before="29"/>
                                    <w:ind w:left="0" w:right="35"/>
                                    <w:jc w:val="center"/>
                                    <w:rPr>
                                      <w:rFonts w:ascii="Times New Roman" w:hAnsi="Times New Roman" w:cs="Times New Roman"/>
                                    </w:rPr>
                                  </w:pPr>
                                  <w:r>
                                    <w:rPr>
                                      <w:rFonts w:ascii="Times New Roman" w:hAnsi="Times New Roman" w:cs="Times New Roman"/>
                                      <w:w w:val="85"/>
                                      <w:sz w:val="16"/>
                                      <w:szCs w:val="16"/>
                                    </w:rPr>
                                    <w:t>PH:</w:t>
                                  </w:r>
                                  <w:r>
                                    <w:rPr>
                                      <w:rFonts w:ascii="Times New Roman" w:hAnsi="Times New Roman" w:cs="Times New Roman"/>
                                      <w:spacing w:val="-16"/>
                                      <w:w w:val="85"/>
                                      <w:sz w:val="16"/>
                                      <w:szCs w:val="16"/>
                                    </w:rPr>
                                    <w:t xml:space="preserve"> </w:t>
                                  </w:r>
                                  <w:r>
                                    <w:rPr>
                                      <w:rFonts w:ascii="Times New Roman" w:hAnsi="Times New Roman" w:cs="Times New Roman"/>
                                      <w:w w:val="85"/>
                                      <w:sz w:val="16"/>
                                      <w:szCs w:val="16"/>
                                    </w:rPr>
                                    <w:t>877-785-2020</w:t>
                                  </w:r>
                                  <w:r>
                                    <w:rPr>
                                      <w:rFonts w:ascii="Times New Roman" w:hAnsi="Times New Roman" w:cs="Times New Roman"/>
                                      <w:spacing w:val="-6"/>
                                      <w:w w:val="85"/>
                                      <w:sz w:val="16"/>
                                      <w:szCs w:val="16"/>
                                    </w:rPr>
                                    <w:t xml:space="preserve"> </w:t>
                                  </w:r>
                                  <w:r>
                                    <w:rPr>
                                      <w:w w:val="85"/>
                                      <w:sz w:val="16"/>
                                      <w:szCs w:val="16"/>
                                    </w:rPr>
                                    <w:t>&lt;l&gt;</w:t>
                                  </w:r>
                                  <w:r>
                                    <w:rPr>
                                      <w:w w:val="85"/>
                                      <w:sz w:val="16"/>
                                      <w:szCs w:val="16"/>
                                    </w:rPr>
                                    <w:tab/>
                                  </w:r>
                                  <w:r>
                                    <w:rPr>
                                      <w:rFonts w:ascii="Times New Roman" w:hAnsi="Times New Roman" w:cs="Times New Roman"/>
                                      <w:w w:val="85"/>
                                      <w:sz w:val="16"/>
                                      <w:szCs w:val="16"/>
                                    </w:rPr>
                                    <w:t>ITT:</w:t>
                                  </w:r>
                                  <w:r>
                                    <w:rPr>
                                      <w:rFonts w:ascii="Times New Roman" w:hAnsi="Times New Roman" w:cs="Times New Roman"/>
                                      <w:spacing w:val="-19"/>
                                      <w:w w:val="85"/>
                                      <w:sz w:val="16"/>
                                      <w:szCs w:val="16"/>
                                    </w:rPr>
                                    <w:t xml:space="preserve"> </w:t>
                                  </w:r>
                                  <w:r>
                                    <w:rPr>
                                      <w:rFonts w:ascii="Times New Roman" w:hAnsi="Times New Roman" w:cs="Times New Roman"/>
                                      <w:w w:val="85"/>
                                      <w:sz w:val="16"/>
                                      <w:szCs w:val="16"/>
                                    </w:rPr>
                                    <w:t>877-521·2601</w:t>
                                  </w:r>
                                  <w:r>
                                    <w:rPr>
                                      <w:rFonts w:ascii="Times New Roman" w:hAnsi="Times New Roman" w:cs="Times New Roman"/>
                                      <w:spacing w:val="-16"/>
                                      <w:w w:val="85"/>
                                      <w:sz w:val="16"/>
                                      <w:szCs w:val="16"/>
                                    </w:rPr>
                                    <w:t xml:space="preserve"> </w:t>
                                  </w:r>
                                  <w:r>
                                    <w:rPr>
                                      <w:w w:val="85"/>
                                      <w:sz w:val="16"/>
                                      <w:szCs w:val="16"/>
                                    </w:rPr>
                                    <w:t>&lt;l&gt;</w:t>
                                  </w:r>
                                </w:p>
                              </w:tc>
                            </w:tr>
                            <w:tr w:rsidR="007B2B7B">
                              <w:trPr>
                                <w:trHeight w:hRule="exact" w:val="706"/>
                              </w:trPr>
                              <w:tc>
                                <w:tcPr>
                                  <w:tcW w:w="2838" w:type="dxa"/>
                                  <w:tcBorders>
                                    <w:top w:val="single" w:sz="10" w:space="0" w:color="000000"/>
                                    <w:left w:val="single" w:sz="6" w:space="0" w:color="000000"/>
                                    <w:bottom w:val="single" w:sz="4" w:space="0" w:color="000000"/>
                                    <w:right w:val="single" w:sz="8" w:space="0" w:color="000000"/>
                                  </w:tcBorders>
                                </w:tcPr>
                                <w:p w:rsidR="007B2B7B" w:rsidRDefault="007B2B7B">
                                  <w:pPr>
                                    <w:pStyle w:val="TableParagraph"/>
                                    <w:kinsoku w:val="0"/>
                                    <w:overflowPunct w:val="0"/>
                                    <w:spacing w:before="3" w:line="170" w:lineRule="exact"/>
                                    <w:ind w:left="252" w:right="248"/>
                                    <w:jc w:val="center"/>
                                    <w:rPr>
                                      <w:w w:val="85"/>
                                      <w:sz w:val="15"/>
                                      <w:szCs w:val="15"/>
                                    </w:rPr>
                                  </w:pPr>
                                  <w:r>
                                    <w:rPr>
                                      <w:w w:val="95"/>
                                      <w:sz w:val="15"/>
                                      <w:szCs w:val="15"/>
                                    </w:rPr>
                                    <w:t xml:space="preserve">® </w:t>
                                  </w:r>
                                  <w:proofErr w:type="spellStart"/>
                                  <w:r>
                                    <w:rPr>
                                      <w:w w:val="95"/>
                                      <w:sz w:val="15"/>
                                      <w:szCs w:val="15"/>
                                    </w:rPr>
                                    <w:t>AsianTaskForceAgainst</w:t>
                                  </w:r>
                                  <w:proofErr w:type="spellEnd"/>
                                  <w:r>
                                    <w:rPr>
                                      <w:w w:val="95"/>
                                      <w:sz w:val="15"/>
                                      <w:szCs w:val="15"/>
                                    </w:rPr>
                                    <w:t xml:space="preserve"> Domestic </w:t>
                                  </w:r>
                                  <w:r>
                                    <w:rPr>
                                      <w:w w:val="85"/>
                                      <w:sz w:val="15"/>
                                      <w:szCs w:val="15"/>
                                    </w:rPr>
                                    <w:t>Violence (ATASK)</w:t>
                                  </w:r>
                                </w:p>
                                <w:p w:rsidR="007B2B7B" w:rsidRDefault="007B2B7B">
                                  <w:pPr>
                                    <w:pStyle w:val="TableParagraph"/>
                                    <w:kinsoku w:val="0"/>
                                    <w:overflowPunct w:val="0"/>
                                    <w:spacing w:line="168" w:lineRule="exact"/>
                                    <w:ind w:left="252" w:right="233"/>
                                    <w:jc w:val="center"/>
                                    <w:rPr>
                                      <w:w w:val="80"/>
                                      <w:sz w:val="15"/>
                                      <w:szCs w:val="15"/>
                                    </w:rPr>
                                  </w:pPr>
                                  <w:r>
                                    <w:rPr>
                                      <w:w w:val="80"/>
                                      <w:sz w:val="15"/>
                                      <w:szCs w:val="15"/>
                                    </w:rPr>
                                    <w:t>24-Hour  Multilingual Helpline</w:t>
                                  </w:r>
                                </w:p>
                                <w:p w:rsidR="007B2B7B" w:rsidRDefault="007B2B7B">
                                  <w:pPr>
                                    <w:pStyle w:val="TableParagraph"/>
                                    <w:kinsoku w:val="0"/>
                                    <w:overflowPunct w:val="0"/>
                                    <w:spacing w:line="180" w:lineRule="exact"/>
                                    <w:ind w:left="250" w:right="248"/>
                                    <w:jc w:val="center"/>
                                    <w:rPr>
                                      <w:rFonts w:ascii="Times New Roman" w:hAnsi="Times New Roman" w:cs="Times New Roman"/>
                                    </w:rPr>
                                  </w:pPr>
                                  <w:r>
                                    <w:rPr>
                                      <w:rFonts w:ascii="Times New Roman" w:hAnsi="Times New Roman" w:cs="Times New Roman"/>
                                      <w:w w:val="85"/>
                                      <w:sz w:val="16"/>
                                      <w:szCs w:val="16"/>
                                    </w:rPr>
                                    <w:t xml:space="preserve">617-338-2355 </w:t>
                                  </w:r>
                                  <w:r>
                                    <w:rPr>
                                      <w:w w:val="85"/>
                                      <w:sz w:val="16"/>
                                      <w:szCs w:val="16"/>
                                    </w:rPr>
                                    <w:t xml:space="preserve">&lt;l&gt; </w:t>
                                  </w:r>
                                  <w:r>
                                    <w:rPr>
                                      <w:rFonts w:ascii="Times New Roman" w:hAnsi="Times New Roman" w:cs="Times New Roman"/>
                                      <w:w w:val="85"/>
                                      <w:sz w:val="16"/>
                                      <w:szCs w:val="16"/>
                                    </w:rPr>
                                    <w:t>ES</w:t>
                                  </w:r>
                                </w:p>
                              </w:tc>
                              <w:tc>
                                <w:tcPr>
                                  <w:tcW w:w="2682" w:type="dxa"/>
                                  <w:gridSpan w:val="3"/>
                                  <w:tcBorders>
                                    <w:top w:val="single" w:sz="10" w:space="0" w:color="000000"/>
                                    <w:left w:val="single" w:sz="8" w:space="0" w:color="000000"/>
                                    <w:bottom w:val="single" w:sz="4" w:space="0" w:color="000000"/>
                                    <w:right w:val="single" w:sz="4" w:space="0" w:color="000000"/>
                                  </w:tcBorders>
                                </w:tcPr>
                                <w:p w:rsidR="007B2B7B" w:rsidRDefault="007B2B7B">
                                  <w:pPr>
                                    <w:pStyle w:val="TableParagraph"/>
                                    <w:kinsoku w:val="0"/>
                                    <w:overflowPunct w:val="0"/>
                                    <w:spacing w:line="293" w:lineRule="exact"/>
                                    <w:ind w:left="642" w:right="623"/>
                                    <w:jc w:val="center"/>
                                    <w:rPr>
                                      <w:spacing w:val="-1"/>
                                      <w:w w:val="84"/>
                                      <w:sz w:val="15"/>
                                      <w:szCs w:val="15"/>
                                    </w:rPr>
                                  </w:pPr>
                                  <w:r>
                                    <w:rPr>
                                      <w:spacing w:val="14"/>
                                      <w:w w:val="85"/>
                                      <w:sz w:val="34"/>
                                      <w:szCs w:val="34"/>
                                    </w:rPr>
                                    <w:t>*</w:t>
                                  </w:r>
                                  <w:proofErr w:type="spellStart"/>
                                  <w:r>
                                    <w:rPr>
                                      <w:spacing w:val="-1"/>
                                      <w:w w:val="84"/>
                                      <w:sz w:val="15"/>
                                      <w:szCs w:val="15"/>
                                    </w:rPr>
                                    <w:t>L</w:t>
                                  </w:r>
                                  <w:r>
                                    <w:rPr>
                                      <w:spacing w:val="3"/>
                                      <w:w w:val="84"/>
                                      <w:sz w:val="15"/>
                                      <w:szCs w:val="15"/>
                                    </w:rPr>
                                    <w:t>l</w:t>
                                  </w:r>
                                  <w:r>
                                    <w:rPr>
                                      <w:spacing w:val="-2"/>
                                      <w:w w:val="84"/>
                                      <w:sz w:val="15"/>
                                      <w:szCs w:val="15"/>
                                    </w:rPr>
                                    <w:t>f:</w:t>
                                  </w:r>
                                  <w:r>
                                    <w:rPr>
                                      <w:spacing w:val="3"/>
                                      <w:w w:val="84"/>
                                      <w:sz w:val="15"/>
                                      <w:szCs w:val="15"/>
                                    </w:rPr>
                                    <w:t>l</w:t>
                                  </w:r>
                                  <w:r>
                                    <w:rPr>
                                      <w:spacing w:val="-1"/>
                                      <w:w w:val="84"/>
                                      <w:sz w:val="15"/>
                                      <w:szCs w:val="15"/>
                                    </w:rPr>
                                    <w:t>m</w:t>
                                  </w:r>
                                  <w:r>
                                    <w:rPr>
                                      <w:spacing w:val="1"/>
                                      <w:w w:val="84"/>
                                      <w:sz w:val="15"/>
                                      <w:szCs w:val="15"/>
                                    </w:rPr>
                                    <w:t>a</w:t>
                                  </w:r>
                                  <w:r>
                                    <w:rPr>
                                      <w:spacing w:val="-1"/>
                                      <w:w w:val="84"/>
                                      <w:sz w:val="15"/>
                                      <w:szCs w:val="15"/>
                                    </w:rPr>
                                    <w:t>n</w:t>
                                  </w:r>
                                  <w:r>
                                    <w:rPr>
                                      <w:spacing w:val="1"/>
                                      <w:w w:val="84"/>
                                      <w:sz w:val="15"/>
                                      <w:szCs w:val="15"/>
                                    </w:rPr>
                                    <w:t>o</w:t>
                                  </w:r>
                                  <w:r>
                                    <w:rPr>
                                      <w:w w:val="84"/>
                                      <w:sz w:val="15"/>
                                      <w:szCs w:val="15"/>
                                    </w:rPr>
                                    <w:t>s</w:t>
                                  </w:r>
                                  <w:proofErr w:type="spellEnd"/>
                                  <w:r>
                                    <w:rPr>
                                      <w:spacing w:val="-26"/>
                                      <w:sz w:val="15"/>
                                      <w:szCs w:val="15"/>
                                    </w:rPr>
                                    <w:t xml:space="preserve"> </w:t>
                                  </w:r>
                                  <w:proofErr w:type="spellStart"/>
                                  <w:r>
                                    <w:rPr>
                                      <w:rFonts w:ascii="Times New Roman" w:hAnsi="Times New Roman" w:cs="Times New Roman"/>
                                      <w:spacing w:val="14"/>
                                      <w:w w:val="84"/>
                                      <w:sz w:val="17"/>
                                      <w:szCs w:val="17"/>
                                    </w:rPr>
                                    <w:t>y</w:t>
                                  </w:r>
                                  <w:r>
                                    <w:rPr>
                                      <w:spacing w:val="1"/>
                                      <w:w w:val="84"/>
                                      <w:sz w:val="15"/>
                                      <w:szCs w:val="15"/>
                                    </w:rPr>
                                    <w:t>h</w:t>
                                  </w:r>
                                  <w:r>
                                    <w:rPr>
                                      <w:spacing w:val="-1"/>
                                      <w:w w:val="84"/>
                                      <w:sz w:val="15"/>
                                      <w:szCs w:val="15"/>
                                    </w:rPr>
                                    <w:t>ab</w:t>
                                  </w:r>
                                  <w:r>
                                    <w:rPr>
                                      <w:spacing w:val="3"/>
                                      <w:w w:val="84"/>
                                      <w:sz w:val="15"/>
                                      <w:szCs w:val="15"/>
                                    </w:rPr>
                                    <w:t>l</w:t>
                                  </w:r>
                                  <w:r>
                                    <w:rPr>
                                      <w:spacing w:val="1"/>
                                      <w:w w:val="84"/>
                                      <w:sz w:val="15"/>
                                      <w:szCs w:val="15"/>
                                    </w:rPr>
                                    <w:t>e</w:t>
                                  </w:r>
                                  <w:r>
                                    <w:rPr>
                                      <w:spacing w:val="-1"/>
                                      <w:w w:val="84"/>
                                      <w:sz w:val="15"/>
                                      <w:szCs w:val="15"/>
                                    </w:rPr>
                                    <w:t>mos</w:t>
                                  </w:r>
                                  <w:proofErr w:type="spellEnd"/>
                                </w:p>
                                <w:p w:rsidR="007B2B7B" w:rsidRDefault="007B2B7B">
                                  <w:pPr>
                                    <w:pStyle w:val="TableParagraph"/>
                                    <w:kinsoku w:val="0"/>
                                    <w:overflowPunct w:val="0"/>
                                    <w:spacing w:line="160" w:lineRule="exact"/>
                                    <w:ind w:left="163"/>
                                    <w:rPr>
                                      <w:w w:val="80"/>
                                      <w:sz w:val="16"/>
                                      <w:szCs w:val="16"/>
                                    </w:rPr>
                                  </w:pPr>
                                  <w:r>
                                    <w:rPr>
                                      <w:w w:val="80"/>
                                      <w:sz w:val="16"/>
                                      <w:szCs w:val="16"/>
                                    </w:rPr>
                                    <w:t>Toll-free Spanish Sexual Assault Helpline</w:t>
                                  </w:r>
                                </w:p>
                                <w:p w:rsidR="007B2B7B" w:rsidRDefault="007B2B7B">
                                  <w:pPr>
                                    <w:pStyle w:val="TableParagraph"/>
                                    <w:kinsoku w:val="0"/>
                                    <w:overflowPunct w:val="0"/>
                                    <w:spacing w:line="179" w:lineRule="exact"/>
                                    <w:ind w:left="642" w:right="501"/>
                                    <w:jc w:val="center"/>
                                    <w:rPr>
                                      <w:rFonts w:ascii="Times New Roman" w:hAnsi="Times New Roman" w:cs="Times New Roman"/>
                                    </w:rPr>
                                  </w:pPr>
                                  <w:r>
                                    <w:rPr>
                                      <w:rFonts w:ascii="Times New Roman" w:hAnsi="Times New Roman" w:cs="Times New Roman"/>
                                      <w:sz w:val="16"/>
                                      <w:szCs w:val="16"/>
                                    </w:rPr>
                                    <w:t>800-223-5001</w:t>
                                  </w:r>
                                </w:p>
                              </w:tc>
                              <w:tc>
                                <w:tcPr>
                                  <w:tcW w:w="2616" w:type="dxa"/>
                                  <w:gridSpan w:val="2"/>
                                  <w:tcBorders>
                                    <w:top w:val="single" w:sz="10" w:space="0" w:color="000000"/>
                                    <w:left w:val="single" w:sz="4" w:space="0" w:color="000000"/>
                                    <w:bottom w:val="single" w:sz="4" w:space="0" w:color="000000"/>
                                    <w:right w:val="single" w:sz="4" w:space="0" w:color="000000"/>
                                  </w:tcBorders>
                                </w:tcPr>
                                <w:p w:rsidR="007B2B7B" w:rsidRDefault="007B2B7B">
                                  <w:pPr>
                                    <w:pStyle w:val="TableParagraph"/>
                                    <w:kinsoku w:val="0"/>
                                    <w:overflowPunct w:val="0"/>
                                    <w:spacing w:before="4"/>
                                    <w:ind w:left="0"/>
                                    <w:rPr>
                                      <w:rFonts w:ascii="Times New Roman" w:hAnsi="Times New Roman" w:cs="Times New Roman"/>
                                      <w:sz w:val="12"/>
                                      <w:szCs w:val="12"/>
                                    </w:rPr>
                                  </w:pPr>
                                </w:p>
                                <w:p w:rsidR="007B2B7B" w:rsidRDefault="007B2B7B">
                                  <w:pPr>
                                    <w:pStyle w:val="TableParagraph"/>
                                    <w:kinsoku w:val="0"/>
                                    <w:overflowPunct w:val="0"/>
                                    <w:ind w:left="96" w:right="104"/>
                                    <w:jc w:val="center"/>
                                    <w:rPr>
                                      <w:w w:val="95"/>
                                      <w:sz w:val="15"/>
                                      <w:szCs w:val="15"/>
                                    </w:rPr>
                                  </w:pPr>
                                  <w:r>
                                    <w:rPr>
                                      <w:w w:val="95"/>
                                      <w:sz w:val="15"/>
                                      <w:szCs w:val="15"/>
                                    </w:rPr>
                                    <w:t>0MAAlliance of Portuguese Speakers</w:t>
                                  </w:r>
                                </w:p>
                                <w:p w:rsidR="007B2B7B" w:rsidRDefault="007B2B7B">
                                  <w:pPr>
                                    <w:pStyle w:val="TableParagraph"/>
                                    <w:kinsoku w:val="0"/>
                                    <w:overflowPunct w:val="0"/>
                                    <w:spacing w:before="39"/>
                                    <w:ind w:left="96" w:right="89"/>
                                    <w:jc w:val="center"/>
                                    <w:rPr>
                                      <w:rFonts w:ascii="Times New Roman" w:hAnsi="Times New Roman" w:cs="Times New Roman"/>
                                    </w:rPr>
                                  </w:pPr>
                                  <w:r>
                                    <w:rPr>
                                      <w:rFonts w:ascii="Times New Roman" w:hAnsi="Times New Roman" w:cs="Times New Roman"/>
                                      <w:sz w:val="16"/>
                                      <w:szCs w:val="16"/>
                                    </w:rPr>
                                    <w:t>617-864-7600</w:t>
                                  </w:r>
                                </w:p>
                              </w:tc>
                            </w:tr>
                            <w:tr w:rsidR="007B2B7B">
                              <w:trPr>
                                <w:trHeight w:hRule="exact" w:val="1009"/>
                              </w:trPr>
                              <w:tc>
                                <w:tcPr>
                                  <w:tcW w:w="2971" w:type="dxa"/>
                                  <w:gridSpan w:val="2"/>
                                  <w:tcBorders>
                                    <w:top w:val="single" w:sz="4" w:space="0" w:color="000000"/>
                                    <w:left w:val="single" w:sz="6" w:space="0" w:color="000000"/>
                                    <w:bottom w:val="nil"/>
                                    <w:right w:val="single" w:sz="4" w:space="0" w:color="000000"/>
                                  </w:tcBorders>
                                </w:tcPr>
                                <w:p w:rsidR="007B2B7B" w:rsidRDefault="007B2B7B">
                                  <w:pPr>
                                    <w:pStyle w:val="TableParagraph"/>
                                    <w:kinsoku w:val="0"/>
                                    <w:overflowPunct w:val="0"/>
                                    <w:spacing w:before="2"/>
                                    <w:ind w:left="0"/>
                                    <w:rPr>
                                      <w:rFonts w:ascii="Times New Roman" w:hAnsi="Times New Roman" w:cs="Times New Roman"/>
                                      <w:sz w:val="20"/>
                                      <w:szCs w:val="20"/>
                                    </w:rPr>
                                  </w:pPr>
                                </w:p>
                                <w:p w:rsidR="007B2B7B" w:rsidRDefault="007B2B7B">
                                  <w:pPr>
                                    <w:pStyle w:val="TableParagraph"/>
                                    <w:kinsoku w:val="0"/>
                                    <w:overflowPunct w:val="0"/>
                                    <w:spacing w:line="172" w:lineRule="exact"/>
                                    <w:ind w:left="643" w:right="230" w:firstLine="259"/>
                                    <w:rPr>
                                      <w:rFonts w:ascii="Times New Roman" w:hAnsi="Times New Roman" w:cs="Times New Roman"/>
                                    </w:rPr>
                                  </w:pPr>
                                  <w:r>
                                    <w:rPr>
                                      <w:w w:val="90"/>
                                      <w:sz w:val="15"/>
                                      <w:szCs w:val="15"/>
                                    </w:rPr>
                                    <w:t xml:space="preserve">0Our Deaf Survivors Center </w:t>
                                  </w:r>
                                  <w:r>
                                    <w:rPr>
                                      <w:w w:val="80"/>
                                      <w:sz w:val="16"/>
                                      <w:szCs w:val="16"/>
                                    </w:rPr>
                                    <w:t xml:space="preserve">Hours: 5pm Monday -9am Saturday </w:t>
                                  </w:r>
                                  <w:r>
                                    <w:rPr>
                                      <w:w w:val="80"/>
                                      <w:sz w:val="15"/>
                                      <w:szCs w:val="15"/>
                                    </w:rPr>
                                    <w:t>1-844-0DSC·SAFE   (1-844-637·2723)</w:t>
                                  </w:r>
                                </w:p>
                              </w:tc>
                              <w:tc>
                                <w:tcPr>
                                  <w:tcW w:w="3262" w:type="dxa"/>
                                  <w:gridSpan w:val="3"/>
                                  <w:tcBorders>
                                    <w:top w:val="single" w:sz="4" w:space="0" w:color="000000"/>
                                    <w:left w:val="single" w:sz="4" w:space="0" w:color="000000"/>
                                    <w:bottom w:val="single" w:sz="6" w:space="0" w:color="000000"/>
                                    <w:right w:val="single" w:sz="4" w:space="0" w:color="000000"/>
                                  </w:tcBorders>
                                </w:tcPr>
                                <w:p w:rsidR="007B2B7B" w:rsidRDefault="007B2B7B">
                                  <w:pPr>
                                    <w:pStyle w:val="TableParagraph"/>
                                    <w:kinsoku w:val="0"/>
                                    <w:overflowPunct w:val="0"/>
                                    <w:spacing w:before="32" w:line="170" w:lineRule="exact"/>
                                    <w:ind w:left="243" w:right="210"/>
                                    <w:jc w:val="center"/>
                                    <w:rPr>
                                      <w:sz w:val="15"/>
                                      <w:szCs w:val="15"/>
                                    </w:rPr>
                                  </w:pPr>
                                  <w:r>
                                    <w:rPr>
                                      <w:sz w:val="15"/>
                                      <w:szCs w:val="15"/>
                                    </w:rPr>
                                    <w:t xml:space="preserve">0 The </w:t>
                                  </w:r>
                                  <w:proofErr w:type="spellStart"/>
                                  <w:r>
                                    <w:rPr>
                                      <w:sz w:val="15"/>
                                      <w:szCs w:val="15"/>
                                    </w:rPr>
                                    <w:t>Networklla</w:t>
                                  </w:r>
                                  <w:proofErr w:type="spellEnd"/>
                                  <w:r>
                                    <w:rPr>
                                      <w:sz w:val="15"/>
                                      <w:szCs w:val="15"/>
                                    </w:rPr>
                                    <w:t xml:space="preserve"> Red</w:t>
                                  </w:r>
                                </w:p>
                                <w:p w:rsidR="007B2B7B" w:rsidRDefault="007B2B7B">
                                  <w:pPr>
                                    <w:pStyle w:val="TableParagraph"/>
                                    <w:kinsoku w:val="0"/>
                                    <w:overflowPunct w:val="0"/>
                                    <w:spacing w:line="168" w:lineRule="exact"/>
                                    <w:ind w:left="243" w:right="278"/>
                                    <w:jc w:val="center"/>
                                    <w:rPr>
                                      <w:w w:val="85"/>
                                      <w:sz w:val="15"/>
                                      <w:szCs w:val="15"/>
                                    </w:rPr>
                                  </w:pPr>
                                  <w:r>
                                    <w:rPr>
                                      <w:w w:val="85"/>
                                      <w:sz w:val="15"/>
                                      <w:szCs w:val="15"/>
                                    </w:rPr>
                                    <w:t>Ending partner abuse in LGBQIT, SM, and Poly</w:t>
                                  </w:r>
                                </w:p>
                                <w:p w:rsidR="007B2B7B" w:rsidRDefault="007B2B7B">
                                  <w:pPr>
                                    <w:pStyle w:val="TableParagraph"/>
                                    <w:kinsoku w:val="0"/>
                                    <w:overflowPunct w:val="0"/>
                                    <w:spacing w:line="182" w:lineRule="exact"/>
                                    <w:ind w:left="143" w:right="278"/>
                                    <w:jc w:val="center"/>
                                    <w:rPr>
                                      <w:w w:val="95"/>
                                      <w:sz w:val="16"/>
                                      <w:szCs w:val="16"/>
                                    </w:rPr>
                                  </w:pPr>
                                  <w:r>
                                    <w:rPr>
                                      <w:w w:val="95"/>
                                      <w:sz w:val="16"/>
                                      <w:szCs w:val="16"/>
                                    </w:rPr>
                                    <w:t>Communities</w:t>
                                  </w:r>
                                </w:p>
                                <w:p w:rsidR="007B2B7B" w:rsidRDefault="007B2B7B">
                                  <w:pPr>
                                    <w:pStyle w:val="TableParagraph"/>
                                    <w:tabs>
                                      <w:tab w:val="left" w:pos="1106"/>
                                      <w:tab w:val="left" w:pos="1363"/>
                                    </w:tabs>
                                    <w:kinsoku w:val="0"/>
                                    <w:overflowPunct w:val="0"/>
                                    <w:spacing w:before="22" w:line="290" w:lineRule="auto"/>
                                    <w:ind w:left="693" w:right="703" w:hanging="33"/>
                                    <w:jc w:val="center"/>
                                    <w:rPr>
                                      <w:rFonts w:ascii="Times New Roman" w:hAnsi="Times New Roman" w:cs="Times New Roman"/>
                                    </w:rPr>
                                  </w:pPr>
                                  <w:r>
                                    <w:rPr>
                                      <w:rFonts w:ascii="Times New Roman" w:hAnsi="Times New Roman" w:cs="Times New Roman"/>
                                      <w:w w:val="95"/>
                                      <w:sz w:val="16"/>
                                      <w:szCs w:val="16"/>
                                    </w:rPr>
                                    <w:t>PH:</w:t>
                                  </w:r>
                                  <w:r>
                                    <w:rPr>
                                      <w:rFonts w:ascii="Times New Roman" w:hAnsi="Times New Roman" w:cs="Times New Roman"/>
                                      <w:w w:val="95"/>
                                      <w:sz w:val="16"/>
                                      <w:szCs w:val="16"/>
                                    </w:rPr>
                                    <w:tab/>
                                  </w:r>
                                  <w:r>
                                    <w:rPr>
                                      <w:rFonts w:ascii="Times New Roman" w:hAnsi="Times New Roman" w:cs="Times New Roman"/>
                                      <w:w w:val="85"/>
                                      <w:sz w:val="16"/>
                                      <w:szCs w:val="16"/>
                                    </w:rPr>
                                    <w:t>617-742-4911</w:t>
                                  </w:r>
                                  <w:r>
                                    <w:rPr>
                                      <w:rFonts w:ascii="Times New Roman" w:hAnsi="Times New Roman" w:cs="Times New Roman"/>
                                      <w:spacing w:val="5"/>
                                      <w:w w:val="85"/>
                                      <w:sz w:val="16"/>
                                      <w:szCs w:val="16"/>
                                    </w:rPr>
                                    <w:t xml:space="preserve"> </w:t>
                                  </w:r>
                                  <w:r>
                                    <w:rPr>
                                      <w:w w:val="85"/>
                                      <w:sz w:val="16"/>
                                      <w:szCs w:val="16"/>
                                    </w:rPr>
                                    <w:t>&lt;l&gt;</w:t>
                                  </w:r>
                                  <w:r>
                                    <w:rPr>
                                      <w:spacing w:val="-20"/>
                                      <w:w w:val="85"/>
                                      <w:sz w:val="16"/>
                                      <w:szCs w:val="16"/>
                                    </w:rPr>
                                    <w:t xml:space="preserve"> </w:t>
                                  </w:r>
                                  <w:r>
                                    <w:rPr>
                                      <w:rFonts w:ascii="Times New Roman" w:hAnsi="Times New Roman" w:cs="Times New Roman"/>
                                      <w:w w:val="85"/>
                                      <w:sz w:val="16"/>
                                      <w:szCs w:val="16"/>
                                    </w:rPr>
                                    <w:t>ES</w:t>
                                  </w:r>
                                  <w:r>
                                    <w:rPr>
                                      <w:rFonts w:ascii="Times New Roman" w:hAnsi="Times New Roman" w:cs="Times New Roman"/>
                                      <w:spacing w:val="2"/>
                                      <w:w w:val="83"/>
                                      <w:sz w:val="16"/>
                                      <w:szCs w:val="16"/>
                                    </w:rPr>
                                    <w:t xml:space="preserve"> </w:t>
                                  </w:r>
                                  <w:r>
                                    <w:rPr>
                                      <w:rFonts w:ascii="Times New Roman" w:hAnsi="Times New Roman" w:cs="Times New Roman"/>
                                      <w:w w:val="95"/>
                                      <w:sz w:val="16"/>
                                      <w:szCs w:val="16"/>
                                    </w:rPr>
                                    <w:t>ITT:</w:t>
                                  </w:r>
                                  <w:r>
                                    <w:rPr>
                                      <w:rFonts w:ascii="Times New Roman" w:hAnsi="Times New Roman" w:cs="Times New Roman"/>
                                      <w:w w:val="95"/>
                                      <w:sz w:val="16"/>
                                      <w:szCs w:val="16"/>
                                    </w:rPr>
                                    <w:tab/>
                                  </w:r>
                                  <w:r>
                                    <w:rPr>
                                      <w:rFonts w:ascii="Times New Roman" w:hAnsi="Times New Roman" w:cs="Times New Roman"/>
                                      <w:w w:val="95"/>
                                      <w:sz w:val="16"/>
                                      <w:szCs w:val="16"/>
                                    </w:rPr>
                                    <w:tab/>
                                  </w:r>
                                  <w:r>
                                    <w:rPr>
                                      <w:rFonts w:ascii="Times New Roman" w:hAnsi="Times New Roman" w:cs="Times New Roman"/>
                                      <w:w w:val="80"/>
                                      <w:sz w:val="16"/>
                                      <w:szCs w:val="16"/>
                                    </w:rPr>
                                    <w:t xml:space="preserve">617-338-SAFE </w:t>
                                  </w:r>
                                  <w:r>
                                    <w:rPr>
                                      <w:rFonts w:ascii="Times New Roman" w:hAnsi="Times New Roman" w:cs="Times New Roman"/>
                                      <w:spacing w:val="7"/>
                                      <w:w w:val="80"/>
                                      <w:sz w:val="16"/>
                                      <w:szCs w:val="16"/>
                                    </w:rPr>
                                    <w:t xml:space="preserve"> </w:t>
                                  </w:r>
                                  <w:r>
                                    <w:rPr>
                                      <w:rFonts w:ascii="Times New Roman" w:hAnsi="Times New Roman" w:cs="Times New Roman"/>
                                      <w:w w:val="80"/>
                                      <w:sz w:val="16"/>
                                      <w:szCs w:val="16"/>
                                    </w:rPr>
                                    <w:t>{7833</w:t>
                                  </w:r>
                                </w:p>
                              </w:tc>
                              <w:tc>
                                <w:tcPr>
                                  <w:tcW w:w="1903" w:type="dxa"/>
                                  <w:tcBorders>
                                    <w:top w:val="single" w:sz="4" w:space="0" w:color="000000"/>
                                    <w:left w:val="single" w:sz="4" w:space="0" w:color="000000"/>
                                    <w:bottom w:val="single" w:sz="6" w:space="0" w:color="000000"/>
                                    <w:right w:val="single" w:sz="4" w:space="0" w:color="000000"/>
                                  </w:tcBorders>
                                </w:tcPr>
                                <w:p w:rsidR="007B2B7B" w:rsidRDefault="007B2B7B">
                                  <w:pPr>
                                    <w:pStyle w:val="TableParagraph"/>
                                    <w:kinsoku w:val="0"/>
                                    <w:overflowPunct w:val="0"/>
                                    <w:ind w:left="0"/>
                                    <w:rPr>
                                      <w:rFonts w:ascii="Times New Roman" w:hAnsi="Times New Roman" w:cs="Times New Roman"/>
                                      <w:sz w:val="14"/>
                                      <w:szCs w:val="14"/>
                                    </w:rPr>
                                  </w:pPr>
                                </w:p>
                                <w:p w:rsidR="007B2B7B" w:rsidRDefault="007B2B7B">
                                  <w:pPr>
                                    <w:pStyle w:val="TableParagraph"/>
                                    <w:kinsoku w:val="0"/>
                                    <w:overflowPunct w:val="0"/>
                                    <w:spacing w:before="87" w:line="169" w:lineRule="exact"/>
                                    <w:ind w:left="147" w:right="124"/>
                                    <w:jc w:val="center"/>
                                    <w:rPr>
                                      <w:w w:val="95"/>
                                      <w:sz w:val="15"/>
                                      <w:szCs w:val="15"/>
                                    </w:rPr>
                                  </w:pPr>
                                  <w:r>
                                    <w:rPr>
                                      <w:w w:val="95"/>
                                      <w:sz w:val="15"/>
                                      <w:szCs w:val="15"/>
                                    </w:rPr>
                                    <w:t>0 SAHEL : Friendship for</w:t>
                                  </w:r>
                                </w:p>
                                <w:p w:rsidR="007B2B7B" w:rsidRDefault="007B2B7B">
                                  <w:pPr>
                                    <w:pStyle w:val="TableParagraph"/>
                                    <w:kinsoku w:val="0"/>
                                    <w:overflowPunct w:val="0"/>
                                    <w:spacing w:line="175" w:lineRule="exact"/>
                                    <w:ind w:left="64" w:right="124"/>
                                    <w:jc w:val="center"/>
                                    <w:rPr>
                                      <w:w w:val="85"/>
                                      <w:sz w:val="16"/>
                                      <w:szCs w:val="16"/>
                                    </w:rPr>
                                  </w:pPr>
                                  <w:r>
                                    <w:rPr>
                                      <w:w w:val="85"/>
                                      <w:sz w:val="16"/>
                                      <w:szCs w:val="16"/>
                                    </w:rPr>
                                    <w:t>South Asian Women</w:t>
                                  </w:r>
                                </w:p>
                                <w:p w:rsidR="007B2B7B" w:rsidRDefault="007B2B7B">
                                  <w:pPr>
                                    <w:pStyle w:val="TableParagraph"/>
                                    <w:kinsoku w:val="0"/>
                                    <w:overflowPunct w:val="0"/>
                                    <w:spacing w:line="179" w:lineRule="exact"/>
                                    <w:ind w:left="138" w:right="124"/>
                                    <w:jc w:val="center"/>
                                    <w:rPr>
                                      <w:rFonts w:ascii="Times New Roman" w:hAnsi="Times New Roman" w:cs="Times New Roman"/>
                                    </w:rPr>
                                  </w:pPr>
                                  <w:r>
                                    <w:rPr>
                                      <w:rFonts w:ascii="Times New Roman" w:hAnsi="Times New Roman" w:cs="Times New Roman"/>
                                      <w:sz w:val="16"/>
                                      <w:szCs w:val="16"/>
                                    </w:rPr>
                                    <w:t>866-472-4354</w:t>
                                  </w:r>
                                </w:p>
                              </w:tc>
                            </w:tr>
                          </w:tbl>
                          <w:p w:rsidR="007B2B7B" w:rsidRDefault="007B2B7B">
                            <w:pPr>
                              <w:pStyle w:val="BodyText"/>
                              <w:kinsoku w:val="0"/>
                              <w:overflowPunct w:val="0"/>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0" o:spid="_x0000_s1196" type="#_x0000_t202" style="position:absolute;left:0;text-align:left;margin-left:352.45pt;margin-top:28.15pt;width:408pt;height:127.35pt;z-index:251700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C4tQIAALY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" o:allowincell="f" filled="f" stroked="f">
                <v:textbox inset="0,0,0,0">
                  <w:txbxContent>
                    <w:tbl>
                      <w:tblPr>
                        <w:tblW w:w="0" w:type="auto"/>
                        <w:tblInd w:w="8" w:type="dxa"/>
                        <w:tblLayout w:type="fixed"/>
                        <w:tblCellMar>
                          <w:left w:w="0" w:type="dxa"/>
                          <w:right w:w="0" w:type="dxa"/>
                        </w:tblCellMar>
                        <w:tblLook w:val="0000" w:firstRow="0" w:lastRow="0" w:firstColumn="0" w:lastColumn="0" w:noHBand="0" w:noVBand="0"/>
                      </w:tblPr>
                      <w:tblGrid>
                        <w:gridCol w:w="2838"/>
                        <w:gridCol w:w="133"/>
                        <w:gridCol w:w="1283"/>
                        <w:gridCol w:w="1266"/>
                        <w:gridCol w:w="713"/>
                        <w:gridCol w:w="1903"/>
                      </w:tblGrid>
                      <w:tr w:rsidR="007B2B7B">
                        <w:trPr>
                          <w:trHeight w:hRule="exact" w:val="202"/>
                        </w:trPr>
                        <w:tc>
                          <w:tcPr>
                            <w:tcW w:w="8136" w:type="dxa"/>
                            <w:gridSpan w:val="6"/>
                            <w:tcBorders>
                              <w:top w:val="single" w:sz="4" w:space="0" w:color="000000"/>
                              <w:left w:val="single" w:sz="6" w:space="0" w:color="000000"/>
                              <w:bottom w:val="single" w:sz="4" w:space="0" w:color="000000"/>
                              <w:right w:val="single" w:sz="4" w:space="0" w:color="000000"/>
                            </w:tcBorders>
                          </w:tcPr>
                          <w:p w:rsidR="007B2B7B" w:rsidRDefault="007B2B7B">
                            <w:pPr>
                              <w:pStyle w:val="TableParagraph"/>
                              <w:tabs>
                                <w:tab w:val="left" w:pos="1067"/>
                                <w:tab w:val="left" w:pos="2083"/>
                                <w:tab w:val="left" w:pos="4019"/>
                              </w:tabs>
                              <w:kinsoku w:val="0"/>
                              <w:overflowPunct w:val="0"/>
                              <w:spacing w:line="193" w:lineRule="exact"/>
                              <w:ind w:left="127"/>
                              <w:rPr>
                                <w:rFonts w:ascii="Times New Roman" w:hAnsi="Times New Roman" w:cs="Times New Roman"/>
                              </w:rPr>
                            </w:pPr>
                            <w:r>
                              <w:rPr>
                                <w:sz w:val="21"/>
                                <w:szCs w:val="21"/>
                              </w:rPr>
                              <w:t>1:</w:t>
                            </w:r>
                            <w:r>
                              <w:rPr>
                                <w:sz w:val="21"/>
                                <w:szCs w:val="21"/>
                              </w:rPr>
                              <w:tab/>
                            </w:r>
                            <w:r>
                              <w:rPr>
                                <w:spacing w:val="-52"/>
                                <w:w w:val="149"/>
                                <w:sz w:val="21"/>
                                <w:szCs w:val="21"/>
                              </w:rPr>
                              <w:t>Y</w:t>
                            </w:r>
                            <w:r>
                              <w:rPr>
                                <w:spacing w:val="-49"/>
                                <w:w w:val="149"/>
                                <w:sz w:val="21"/>
                                <w:szCs w:val="21"/>
                              </w:rPr>
                              <w:t>S</w:t>
                            </w:r>
                            <w:r>
                              <w:rPr>
                                <w:w w:val="149"/>
                                <w:sz w:val="21"/>
                                <w:szCs w:val="21"/>
                              </w:rPr>
                              <w:t>1</w:t>
                            </w:r>
                            <w:r>
                              <w:rPr>
                                <w:sz w:val="21"/>
                                <w:szCs w:val="21"/>
                              </w:rPr>
                              <w:tab/>
                            </w:r>
                            <w:r>
                              <w:rPr>
                                <w:spacing w:val="-2"/>
                                <w:w w:val="91"/>
                                <w:sz w:val="21"/>
                                <w:szCs w:val="21"/>
                              </w:rPr>
                              <w:t>4</w:t>
                            </w:r>
                            <w:r>
                              <w:rPr>
                                <w:w w:val="91"/>
                                <w:sz w:val="21"/>
                                <w:szCs w:val="21"/>
                              </w:rPr>
                              <w:t>;</w:t>
                            </w:r>
                            <w:r>
                              <w:rPr>
                                <w:sz w:val="21"/>
                                <w:szCs w:val="21"/>
                              </w:rPr>
                              <w:tab/>
                            </w:r>
                            <w:r>
                              <w:rPr>
                                <w:spacing w:val="-94"/>
                                <w:w w:val="477"/>
                                <w:sz w:val="21"/>
                                <w:szCs w:val="21"/>
                              </w:rPr>
                              <w:t>-</w:t>
                            </w:r>
                            <w:proofErr w:type="spellStart"/>
                            <w:r>
                              <w:rPr>
                                <w:spacing w:val="18"/>
                                <w:w w:val="476"/>
                                <w:sz w:val="21"/>
                                <w:szCs w:val="21"/>
                              </w:rPr>
                              <w:t>g</w:t>
                            </w:r>
                            <w:r>
                              <w:rPr>
                                <w:spacing w:val="-2"/>
                                <w:w w:val="65"/>
                                <w:sz w:val="21"/>
                                <w:szCs w:val="21"/>
                              </w:rPr>
                              <w:t>J</w:t>
                            </w:r>
                            <w:proofErr w:type="spellEnd"/>
                            <w:r>
                              <w:rPr>
                                <w:w w:val="65"/>
                                <w:sz w:val="21"/>
                                <w:szCs w:val="21"/>
                              </w:rPr>
                              <w:t>'.if</w:t>
                            </w:r>
                            <w:r>
                              <w:rPr>
                                <w:spacing w:val="-8"/>
                                <w:sz w:val="21"/>
                                <w:szCs w:val="21"/>
                              </w:rPr>
                              <w:t xml:space="preserve"> </w:t>
                            </w:r>
                            <w:r>
                              <w:rPr>
                                <w:spacing w:val="-18"/>
                                <w:sz w:val="21"/>
                                <w:szCs w:val="21"/>
                              </w:rPr>
                              <w:t>{</w:t>
                            </w:r>
                            <w:r>
                              <w:rPr>
                                <w:spacing w:val="-57"/>
                                <w:sz w:val="21"/>
                                <w:szCs w:val="21"/>
                              </w:rPr>
                              <w:t>:</w:t>
                            </w:r>
                            <w:r>
                              <w:rPr>
                                <w:spacing w:val="-68"/>
                                <w:sz w:val="21"/>
                                <w:szCs w:val="21"/>
                              </w:rPr>
                              <w:t>1</w:t>
                            </w:r>
                            <w:r>
                              <w:rPr>
                                <w:spacing w:val="1"/>
                                <w:sz w:val="21"/>
                                <w:szCs w:val="21"/>
                              </w:rPr>
                              <w:t>R</w:t>
                            </w:r>
                            <w:r>
                              <w:rPr>
                                <w:sz w:val="21"/>
                                <w:szCs w:val="21"/>
                              </w:rPr>
                              <w:t>S</w:t>
                            </w:r>
                            <w:r>
                              <w:rPr>
                                <w:spacing w:val="-31"/>
                                <w:sz w:val="21"/>
                                <w:szCs w:val="21"/>
                              </w:rPr>
                              <w:t>'</w:t>
                            </w:r>
                            <w:r>
                              <w:rPr>
                                <w:spacing w:val="-47"/>
                                <w:sz w:val="21"/>
                                <w:szCs w:val="21"/>
                              </w:rPr>
                              <w:t>:</w:t>
                            </w:r>
                            <w:r>
                              <w:rPr>
                                <w:sz w:val="21"/>
                                <w:szCs w:val="21"/>
                              </w:rPr>
                              <w:t>2</w:t>
                            </w:r>
                            <w:r>
                              <w:rPr>
                                <w:spacing w:val="-26"/>
                                <w:sz w:val="21"/>
                                <w:szCs w:val="21"/>
                              </w:rPr>
                              <w:t>;</w:t>
                            </w:r>
                            <w:r>
                              <w:rPr>
                                <w:spacing w:val="-40"/>
                                <w:w w:val="83"/>
                                <w:sz w:val="21"/>
                                <w:szCs w:val="21"/>
                              </w:rPr>
                              <w:t>·</w:t>
                            </w:r>
                            <w:r>
                              <w:rPr>
                                <w:spacing w:val="6"/>
                                <w:sz w:val="21"/>
                                <w:szCs w:val="21"/>
                              </w:rPr>
                              <w:t>,</w:t>
                            </w:r>
                            <w:r>
                              <w:rPr>
                                <w:spacing w:val="-10"/>
                                <w:w w:val="65"/>
                                <w:sz w:val="21"/>
                                <w:szCs w:val="21"/>
                              </w:rPr>
                              <w:t>;</w:t>
                            </w:r>
                            <w:r>
                              <w:rPr>
                                <w:w w:val="65"/>
                                <w:sz w:val="21"/>
                                <w:szCs w:val="21"/>
                              </w:rPr>
                              <w:t>.</w:t>
                            </w:r>
                            <w:r>
                              <w:rPr>
                                <w:spacing w:val="-20"/>
                                <w:w w:val="65"/>
                                <w:sz w:val="21"/>
                                <w:szCs w:val="21"/>
                              </w:rPr>
                              <w:t>:</w:t>
                            </w:r>
                            <w:r>
                              <w:rPr>
                                <w:spacing w:val="-14"/>
                                <w:w w:val="65"/>
                                <w:sz w:val="21"/>
                                <w:szCs w:val="21"/>
                              </w:rPr>
                              <w:t>J</w:t>
                            </w:r>
                            <w:r>
                              <w:rPr>
                                <w:w w:val="65"/>
                                <w:sz w:val="21"/>
                                <w:szCs w:val="21"/>
                              </w:rPr>
                              <w:t>.</w:t>
                            </w:r>
                            <w:r>
                              <w:rPr>
                                <w:spacing w:val="9"/>
                                <w:w w:val="65"/>
                                <w:sz w:val="21"/>
                                <w:szCs w:val="21"/>
                              </w:rPr>
                              <w:t>;</w:t>
                            </w:r>
                            <w:r>
                              <w:rPr>
                                <w:w w:val="65"/>
                                <w:sz w:val="21"/>
                                <w:szCs w:val="21"/>
                              </w:rPr>
                              <w:t>..</w:t>
                            </w:r>
                            <w:r>
                              <w:rPr>
                                <w:spacing w:val="-37"/>
                                <w:sz w:val="21"/>
                                <w:szCs w:val="21"/>
                              </w:rPr>
                              <w:t xml:space="preserve"> </w:t>
                            </w:r>
                            <w:r>
                              <w:rPr>
                                <w:spacing w:val="-2"/>
                                <w:sz w:val="21"/>
                                <w:szCs w:val="21"/>
                              </w:rPr>
                              <w:t>,</w:t>
                            </w:r>
                            <w:r>
                              <w:rPr>
                                <w:spacing w:val="-14"/>
                                <w:sz w:val="21"/>
                                <w:szCs w:val="21"/>
                              </w:rPr>
                              <w:t>;</w:t>
                            </w:r>
                            <w:r>
                              <w:rPr>
                                <w:w w:val="83"/>
                                <w:sz w:val="21"/>
                                <w:szCs w:val="21"/>
                              </w:rPr>
                              <w:t>·</w:t>
                            </w:r>
                          </w:p>
                        </w:tc>
                      </w:tr>
                      <w:tr w:rsidR="007B2B7B">
                        <w:trPr>
                          <w:trHeight w:hRule="exact" w:val="614"/>
                        </w:trPr>
                        <w:tc>
                          <w:tcPr>
                            <w:tcW w:w="4254" w:type="dxa"/>
                            <w:gridSpan w:val="3"/>
                            <w:tcBorders>
                              <w:top w:val="single" w:sz="4" w:space="0" w:color="000000"/>
                              <w:left w:val="single" w:sz="6" w:space="0" w:color="000000"/>
                              <w:bottom w:val="single" w:sz="10" w:space="0" w:color="000000"/>
                              <w:right w:val="single" w:sz="8" w:space="0" w:color="000000"/>
                            </w:tcBorders>
                          </w:tcPr>
                          <w:p w:rsidR="007B2B7B" w:rsidRDefault="007B2B7B">
                            <w:pPr>
                              <w:pStyle w:val="TableParagraph"/>
                              <w:kinsoku w:val="0"/>
                              <w:overflowPunct w:val="0"/>
                              <w:spacing w:before="101" w:line="242" w:lineRule="exact"/>
                              <w:ind w:left="1788" w:right="344" w:hanging="1342"/>
                              <w:rPr>
                                <w:rFonts w:ascii="Times New Roman" w:hAnsi="Times New Roman" w:cs="Times New Roman"/>
                              </w:rPr>
                            </w:pPr>
                            <w:proofErr w:type="spellStart"/>
                            <w:r>
                              <w:rPr>
                                <w:w w:val="95"/>
                                <w:sz w:val="19"/>
                                <w:szCs w:val="19"/>
                              </w:rPr>
                              <w:t>If</w:t>
                            </w:r>
                            <w:r>
                              <w:rPr>
                                <w:w w:val="95"/>
                                <w:sz w:val="22"/>
                                <w:szCs w:val="22"/>
                              </w:rPr>
                              <w:t>you</w:t>
                            </w:r>
                            <w:proofErr w:type="spellEnd"/>
                            <w:r>
                              <w:rPr>
                                <w:w w:val="95"/>
                                <w:sz w:val="22"/>
                                <w:szCs w:val="22"/>
                              </w:rPr>
                              <w:t xml:space="preserve"> are </w:t>
                            </w:r>
                            <w:proofErr w:type="spellStart"/>
                            <w:r>
                              <w:rPr>
                                <w:w w:val="95"/>
                                <w:sz w:val="22"/>
                                <w:szCs w:val="22"/>
                              </w:rPr>
                              <w:t>notsurewhere</w:t>
                            </w:r>
                            <w:proofErr w:type="spellEnd"/>
                            <w:r>
                              <w:rPr>
                                <w:w w:val="95"/>
                                <w:sz w:val="22"/>
                                <w:szCs w:val="22"/>
                              </w:rPr>
                              <w:t xml:space="preserve"> </w:t>
                            </w:r>
                            <w:proofErr w:type="spellStart"/>
                            <w:r>
                              <w:rPr>
                                <w:w w:val="95"/>
                                <w:sz w:val="22"/>
                                <w:szCs w:val="22"/>
                              </w:rPr>
                              <w:t>tocallfor</w:t>
                            </w:r>
                            <w:proofErr w:type="spellEnd"/>
                            <w:r>
                              <w:rPr>
                                <w:w w:val="95"/>
                                <w:sz w:val="22"/>
                                <w:szCs w:val="22"/>
                              </w:rPr>
                              <w:t xml:space="preserve"> help, </w:t>
                            </w:r>
                            <w:r>
                              <w:rPr>
                                <w:w w:val="90"/>
                                <w:sz w:val="22"/>
                                <w:szCs w:val="22"/>
                              </w:rPr>
                              <w:t>call 411.</w:t>
                            </w:r>
                          </w:p>
                        </w:tc>
                        <w:tc>
                          <w:tcPr>
                            <w:tcW w:w="3882" w:type="dxa"/>
                            <w:gridSpan w:val="3"/>
                            <w:tcBorders>
                              <w:top w:val="single" w:sz="4" w:space="0" w:color="000000"/>
                              <w:left w:val="single" w:sz="8" w:space="0" w:color="000000"/>
                              <w:bottom w:val="single" w:sz="10" w:space="0" w:color="000000"/>
                              <w:right w:val="single" w:sz="4" w:space="0" w:color="000000"/>
                            </w:tcBorders>
                          </w:tcPr>
                          <w:p w:rsidR="007B2B7B" w:rsidRDefault="007B2B7B">
                            <w:pPr>
                              <w:pStyle w:val="TableParagraph"/>
                              <w:kinsoku w:val="0"/>
                              <w:overflowPunct w:val="0"/>
                              <w:spacing w:before="29" w:line="172" w:lineRule="exact"/>
                              <w:ind w:left="0" w:right="24"/>
                              <w:jc w:val="center"/>
                              <w:rPr>
                                <w:rFonts w:ascii="Times New Roman" w:hAnsi="Times New Roman" w:cs="Times New Roman"/>
                                <w:w w:val="105"/>
                                <w:sz w:val="15"/>
                                <w:szCs w:val="15"/>
                              </w:rPr>
                            </w:pPr>
                            <w:r>
                              <w:rPr>
                                <w:w w:val="105"/>
                                <w:sz w:val="15"/>
                                <w:szCs w:val="15"/>
                              </w:rPr>
                              <w:t xml:space="preserve">® </w:t>
                            </w:r>
                            <w:proofErr w:type="spellStart"/>
                            <w:r>
                              <w:rPr>
                                <w:rFonts w:ascii="Times New Roman" w:hAnsi="Times New Roman" w:cs="Times New Roman"/>
                                <w:w w:val="105"/>
                                <w:sz w:val="15"/>
                                <w:szCs w:val="15"/>
                              </w:rPr>
                              <w:t>Safelink</w:t>
                            </w:r>
                            <w:proofErr w:type="spellEnd"/>
                          </w:p>
                          <w:p w:rsidR="007B2B7B" w:rsidRDefault="007B2B7B">
                            <w:pPr>
                              <w:pStyle w:val="TableParagraph"/>
                              <w:kinsoku w:val="0"/>
                              <w:overflowPunct w:val="0"/>
                              <w:spacing w:line="171" w:lineRule="exact"/>
                              <w:ind w:left="0" w:right="166"/>
                              <w:jc w:val="center"/>
                              <w:rPr>
                                <w:w w:val="85"/>
                                <w:sz w:val="15"/>
                                <w:szCs w:val="15"/>
                              </w:rPr>
                            </w:pPr>
                            <w:r>
                              <w:rPr>
                                <w:w w:val="85"/>
                                <w:sz w:val="15"/>
                                <w:szCs w:val="15"/>
                              </w:rPr>
                              <w:t>Toll-free Statewide Domestic Violence Hotline</w:t>
                            </w:r>
                          </w:p>
                          <w:p w:rsidR="007B2B7B" w:rsidRDefault="007B2B7B">
                            <w:pPr>
                              <w:pStyle w:val="TableParagraph"/>
                              <w:tabs>
                                <w:tab w:val="left" w:pos="1576"/>
                              </w:tabs>
                              <w:kinsoku w:val="0"/>
                              <w:overflowPunct w:val="0"/>
                              <w:spacing w:before="29"/>
                              <w:ind w:left="0" w:right="35"/>
                              <w:jc w:val="center"/>
                              <w:rPr>
                                <w:rFonts w:ascii="Times New Roman" w:hAnsi="Times New Roman" w:cs="Times New Roman"/>
                              </w:rPr>
                            </w:pPr>
                            <w:r>
                              <w:rPr>
                                <w:rFonts w:ascii="Times New Roman" w:hAnsi="Times New Roman" w:cs="Times New Roman"/>
                                <w:w w:val="85"/>
                                <w:sz w:val="16"/>
                                <w:szCs w:val="16"/>
                              </w:rPr>
                              <w:t>PH:</w:t>
                            </w:r>
                            <w:r>
                              <w:rPr>
                                <w:rFonts w:ascii="Times New Roman" w:hAnsi="Times New Roman" w:cs="Times New Roman"/>
                                <w:spacing w:val="-16"/>
                                <w:w w:val="85"/>
                                <w:sz w:val="16"/>
                                <w:szCs w:val="16"/>
                              </w:rPr>
                              <w:t xml:space="preserve"> </w:t>
                            </w:r>
                            <w:r>
                              <w:rPr>
                                <w:rFonts w:ascii="Times New Roman" w:hAnsi="Times New Roman" w:cs="Times New Roman"/>
                                <w:w w:val="85"/>
                                <w:sz w:val="16"/>
                                <w:szCs w:val="16"/>
                              </w:rPr>
                              <w:t>877-785-2020</w:t>
                            </w:r>
                            <w:r>
                              <w:rPr>
                                <w:rFonts w:ascii="Times New Roman" w:hAnsi="Times New Roman" w:cs="Times New Roman"/>
                                <w:spacing w:val="-6"/>
                                <w:w w:val="85"/>
                                <w:sz w:val="16"/>
                                <w:szCs w:val="16"/>
                              </w:rPr>
                              <w:t xml:space="preserve"> </w:t>
                            </w:r>
                            <w:r>
                              <w:rPr>
                                <w:w w:val="85"/>
                                <w:sz w:val="16"/>
                                <w:szCs w:val="16"/>
                              </w:rPr>
                              <w:t>&lt;l&gt;</w:t>
                            </w:r>
                            <w:r>
                              <w:rPr>
                                <w:w w:val="85"/>
                                <w:sz w:val="16"/>
                                <w:szCs w:val="16"/>
                              </w:rPr>
                              <w:tab/>
                            </w:r>
                            <w:r>
                              <w:rPr>
                                <w:rFonts w:ascii="Times New Roman" w:hAnsi="Times New Roman" w:cs="Times New Roman"/>
                                <w:w w:val="85"/>
                                <w:sz w:val="16"/>
                                <w:szCs w:val="16"/>
                              </w:rPr>
                              <w:t>ITT:</w:t>
                            </w:r>
                            <w:r>
                              <w:rPr>
                                <w:rFonts w:ascii="Times New Roman" w:hAnsi="Times New Roman" w:cs="Times New Roman"/>
                                <w:spacing w:val="-19"/>
                                <w:w w:val="85"/>
                                <w:sz w:val="16"/>
                                <w:szCs w:val="16"/>
                              </w:rPr>
                              <w:t xml:space="preserve"> </w:t>
                            </w:r>
                            <w:r>
                              <w:rPr>
                                <w:rFonts w:ascii="Times New Roman" w:hAnsi="Times New Roman" w:cs="Times New Roman"/>
                                <w:w w:val="85"/>
                                <w:sz w:val="16"/>
                                <w:szCs w:val="16"/>
                              </w:rPr>
                              <w:t>877-521·2601</w:t>
                            </w:r>
                            <w:r>
                              <w:rPr>
                                <w:rFonts w:ascii="Times New Roman" w:hAnsi="Times New Roman" w:cs="Times New Roman"/>
                                <w:spacing w:val="-16"/>
                                <w:w w:val="85"/>
                                <w:sz w:val="16"/>
                                <w:szCs w:val="16"/>
                              </w:rPr>
                              <w:t xml:space="preserve"> </w:t>
                            </w:r>
                            <w:r>
                              <w:rPr>
                                <w:w w:val="85"/>
                                <w:sz w:val="16"/>
                                <w:szCs w:val="16"/>
                              </w:rPr>
                              <w:t>&lt;l&gt;</w:t>
                            </w:r>
                          </w:p>
                        </w:tc>
                      </w:tr>
                      <w:tr w:rsidR="007B2B7B">
                        <w:trPr>
                          <w:trHeight w:hRule="exact" w:val="706"/>
                        </w:trPr>
                        <w:tc>
                          <w:tcPr>
                            <w:tcW w:w="2838" w:type="dxa"/>
                            <w:tcBorders>
                              <w:top w:val="single" w:sz="10" w:space="0" w:color="000000"/>
                              <w:left w:val="single" w:sz="6" w:space="0" w:color="000000"/>
                              <w:bottom w:val="single" w:sz="4" w:space="0" w:color="000000"/>
                              <w:right w:val="single" w:sz="8" w:space="0" w:color="000000"/>
                            </w:tcBorders>
                          </w:tcPr>
                          <w:p w:rsidR="007B2B7B" w:rsidRDefault="007B2B7B">
                            <w:pPr>
                              <w:pStyle w:val="TableParagraph"/>
                              <w:kinsoku w:val="0"/>
                              <w:overflowPunct w:val="0"/>
                              <w:spacing w:before="3" w:line="170" w:lineRule="exact"/>
                              <w:ind w:left="252" w:right="248"/>
                              <w:jc w:val="center"/>
                              <w:rPr>
                                <w:w w:val="85"/>
                                <w:sz w:val="15"/>
                                <w:szCs w:val="15"/>
                              </w:rPr>
                            </w:pPr>
                            <w:r>
                              <w:rPr>
                                <w:w w:val="95"/>
                                <w:sz w:val="15"/>
                                <w:szCs w:val="15"/>
                              </w:rPr>
                              <w:t xml:space="preserve">® </w:t>
                            </w:r>
                            <w:proofErr w:type="spellStart"/>
                            <w:r>
                              <w:rPr>
                                <w:w w:val="95"/>
                                <w:sz w:val="15"/>
                                <w:szCs w:val="15"/>
                              </w:rPr>
                              <w:t>AsianTaskForceAgainst</w:t>
                            </w:r>
                            <w:proofErr w:type="spellEnd"/>
                            <w:r>
                              <w:rPr>
                                <w:w w:val="95"/>
                                <w:sz w:val="15"/>
                                <w:szCs w:val="15"/>
                              </w:rPr>
                              <w:t xml:space="preserve"> Domestic </w:t>
                            </w:r>
                            <w:r>
                              <w:rPr>
                                <w:w w:val="85"/>
                                <w:sz w:val="15"/>
                                <w:szCs w:val="15"/>
                              </w:rPr>
                              <w:t>Violence (ATASK)</w:t>
                            </w:r>
                          </w:p>
                          <w:p w:rsidR="007B2B7B" w:rsidRDefault="007B2B7B">
                            <w:pPr>
                              <w:pStyle w:val="TableParagraph"/>
                              <w:kinsoku w:val="0"/>
                              <w:overflowPunct w:val="0"/>
                              <w:spacing w:line="168" w:lineRule="exact"/>
                              <w:ind w:left="252" w:right="233"/>
                              <w:jc w:val="center"/>
                              <w:rPr>
                                <w:w w:val="80"/>
                                <w:sz w:val="15"/>
                                <w:szCs w:val="15"/>
                              </w:rPr>
                            </w:pPr>
                            <w:r>
                              <w:rPr>
                                <w:w w:val="80"/>
                                <w:sz w:val="15"/>
                                <w:szCs w:val="15"/>
                              </w:rPr>
                              <w:t>24-Hour  Multilingual Helpline</w:t>
                            </w:r>
                          </w:p>
                          <w:p w:rsidR="007B2B7B" w:rsidRDefault="007B2B7B">
                            <w:pPr>
                              <w:pStyle w:val="TableParagraph"/>
                              <w:kinsoku w:val="0"/>
                              <w:overflowPunct w:val="0"/>
                              <w:spacing w:line="180" w:lineRule="exact"/>
                              <w:ind w:left="250" w:right="248"/>
                              <w:jc w:val="center"/>
                              <w:rPr>
                                <w:rFonts w:ascii="Times New Roman" w:hAnsi="Times New Roman" w:cs="Times New Roman"/>
                              </w:rPr>
                            </w:pPr>
                            <w:r>
                              <w:rPr>
                                <w:rFonts w:ascii="Times New Roman" w:hAnsi="Times New Roman" w:cs="Times New Roman"/>
                                <w:w w:val="85"/>
                                <w:sz w:val="16"/>
                                <w:szCs w:val="16"/>
                              </w:rPr>
                              <w:t xml:space="preserve">617-338-2355 </w:t>
                            </w:r>
                            <w:r>
                              <w:rPr>
                                <w:w w:val="85"/>
                                <w:sz w:val="16"/>
                                <w:szCs w:val="16"/>
                              </w:rPr>
                              <w:t xml:space="preserve">&lt;l&gt; </w:t>
                            </w:r>
                            <w:r>
                              <w:rPr>
                                <w:rFonts w:ascii="Times New Roman" w:hAnsi="Times New Roman" w:cs="Times New Roman"/>
                                <w:w w:val="85"/>
                                <w:sz w:val="16"/>
                                <w:szCs w:val="16"/>
                              </w:rPr>
                              <w:t>ES</w:t>
                            </w:r>
                          </w:p>
                        </w:tc>
                        <w:tc>
                          <w:tcPr>
                            <w:tcW w:w="2682" w:type="dxa"/>
                            <w:gridSpan w:val="3"/>
                            <w:tcBorders>
                              <w:top w:val="single" w:sz="10" w:space="0" w:color="000000"/>
                              <w:left w:val="single" w:sz="8" w:space="0" w:color="000000"/>
                              <w:bottom w:val="single" w:sz="4" w:space="0" w:color="000000"/>
                              <w:right w:val="single" w:sz="4" w:space="0" w:color="000000"/>
                            </w:tcBorders>
                          </w:tcPr>
                          <w:p w:rsidR="007B2B7B" w:rsidRDefault="007B2B7B">
                            <w:pPr>
                              <w:pStyle w:val="TableParagraph"/>
                              <w:kinsoku w:val="0"/>
                              <w:overflowPunct w:val="0"/>
                              <w:spacing w:line="293" w:lineRule="exact"/>
                              <w:ind w:left="642" w:right="623"/>
                              <w:jc w:val="center"/>
                              <w:rPr>
                                <w:spacing w:val="-1"/>
                                <w:w w:val="84"/>
                                <w:sz w:val="15"/>
                                <w:szCs w:val="15"/>
                              </w:rPr>
                            </w:pPr>
                            <w:r>
                              <w:rPr>
                                <w:spacing w:val="14"/>
                                <w:w w:val="85"/>
                                <w:sz w:val="34"/>
                                <w:szCs w:val="34"/>
                              </w:rPr>
                              <w:t>*</w:t>
                            </w:r>
                            <w:proofErr w:type="spellStart"/>
                            <w:r>
                              <w:rPr>
                                <w:spacing w:val="-1"/>
                                <w:w w:val="84"/>
                                <w:sz w:val="15"/>
                                <w:szCs w:val="15"/>
                              </w:rPr>
                              <w:t>L</w:t>
                            </w:r>
                            <w:r>
                              <w:rPr>
                                <w:spacing w:val="3"/>
                                <w:w w:val="84"/>
                                <w:sz w:val="15"/>
                                <w:szCs w:val="15"/>
                              </w:rPr>
                              <w:t>l</w:t>
                            </w:r>
                            <w:r>
                              <w:rPr>
                                <w:spacing w:val="-2"/>
                                <w:w w:val="84"/>
                                <w:sz w:val="15"/>
                                <w:szCs w:val="15"/>
                              </w:rPr>
                              <w:t>f:</w:t>
                            </w:r>
                            <w:r>
                              <w:rPr>
                                <w:spacing w:val="3"/>
                                <w:w w:val="84"/>
                                <w:sz w:val="15"/>
                                <w:szCs w:val="15"/>
                              </w:rPr>
                              <w:t>l</w:t>
                            </w:r>
                            <w:r>
                              <w:rPr>
                                <w:spacing w:val="-1"/>
                                <w:w w:val="84"/>
                                <w:sz w:val="15"/>
                                <w:szCs w:val="15"/>
                              </w:rPr>
                              <w:t>m</w:t>
                            </w:r>
                            <w:r>
                              <w:rPr>
                                <w:spacing w:val="1"/>
                                <w:w w:val="84"/>
                                <w:sz w:val="15"/>
                                <w:szCs w:val="15"/>
                              </w:rPr>
                              <w:t>a</w:t>
                            </w:r>
                            <w:r>
                              <w:rPr>
                                <w:spacing w:val="-1"/>
                                <w:w w:val="84"/>
                                <w:sz w:val="15"/>
                                <w:szCs w:val="15"/>
                              </w:rPr>
                              <w:t>n</w:t>
                            </w:r>
                            <w:r>
                              <w:rPr>
                                <w:spacing w:val="1"/>
                                <w:w w:val="84"/>
                                <w:sz w:val="15"/>
                                <w:szCs w:val="15"/>
                              </w:rPr>
                              <w:t>o</w:t>
                            </w:r>
                            <w:r>
                              <w:rPr>
                                <w:w w:val="84"/>
                                <w:sz w:val="15"/>
                                <w:szCs w:val="15"/>
                              </w:rPr>
                              <w:t>s</w:t>
                            </w:r>
                            <w:proofErr w:type="spellEnd"/>
                            <w:r>
                              <w:rPr>
                                <w:spacing w:val="-26"/>
                                <w:sz w:val="15"/>
                                <w:szCs w:val="15"/>
                              </w:rPr>
                              <w:t xml:space="preserve"> </w:t>
                            </w:r>
                            <w:proofErr w:type="spellStart"/>
                            <w:r>
                              <w:rPr>
                                <w:rFonts w:ascii="Times New Roman" w:hAnsi="Times New Roman" w:cs="Times New Roman"/>
                                <w:spacing w:val="14"/>
                                <w:w w:val="84"/>
                                <w:sz w:val="17"/>
                                <w:szCs w:val="17"/>
                              </w:rPr>
                              <w:t>y</w:t>
                            </w:r>
                            <w:r>
                              <w:rPr>
                                <w:spacing w:val="1"/>
                                <w:w w:val="84"/>
                                <w:sz w:val="15"/>
                                <w:szCs w:val="15"/>
                              </w:rPr>
                              <w:t>h</w:t>
                            </w:r>
                            <w:r>
                              <w:rPr>
                                <w:spacing w:val="-1"/>
                                <w:w w:val="84"/>
                                <w:sz w:val="15"/>
                                <w:szCs w:val="15"/>
                              </w:rPr>
                              <w:t>ab</w:t>
                            </w:r>
                            <w:r>
                              <w:rPr>
                                <w:spacing w:val="3"/>
                                <w:w w:val="84"/>
                                <w:sz w:val="15"/>
                                <w:szCs w:val="15"/>
                              </w:rPr>
                              <w:t>l</w:t>
                            </w:r>
                            <w:r>
                              <w:rPr>
                                <w:spacing w:val="1"/>
                                <w:w w:val="84"/>
                                <w:sz w:val="15"/>
                                <w:szCs w:val="15"/>
                              </w:rPr>
                              <w:t>e</w:t>
                            </w:r>
                            <w:r>
                              <w:rPr>
                                <w:spacing w:val="-1"/>
                                <w:w w:val="84"/>
                                <w:sz w:val="15"/>
                                <w:szCs w:val="15"/>
                              </w:rPr>
                              <w:t>mos</w:t>
                            </w:r>
                            <w:proofErr w:type="spellEnd"/>
                          </w:p>
                          <w:p w:rsidR="007B2B7B" w:rsidRDefault="007B2B7B">
                            <w:pPr>
                              <w:pStyle w:val="TableParagraph"/>
                              <w:kinsoku w:val="0"/>
                              <w:overflowPunct w:val="0"/>
                              <w:spacing w:line="160" w:lineRule="exact"/>
                              <w:ind w:left="163"/>
                              <w:rPr>
                                <w:w w:val="80"/>
                                <w:sz w:val="16"/>
                                <w:szCs w:val="16"/>
                              </w:rPr>
                            </w:pPr>
                            <w:r>
                              <w:rPr>
                                <w:w w:val="80"/>
                                <w:sz w:val="16"/>
                                <w:szCs w:val="16"/>
                              </w:rPr>
                              <w:t>Toll-free Spanish Sexual Assault Helpline</w:t>
                            </w:r>
                          </w:p>
                          <w:p w:rsidR="007B2B7B" w:rsidRDefault="007B2B7B">
                            <w:pPr>
                              <w:pStyle w:val="TableParagraph"/>
                              <w:kinsoku w:val="0"/>
                              <w:overflowPunct w:val="0"/>
                              <w:spacing w:line="179" w:lineRule="exact"/>
                              <w:ind w:left="642" w:right="501"/>
                              <w:jc w:val="center"/>
                              <w:rPr>
                                <w:rFonts w:ascii="Times New Roman" w:hAnsi="Times New Roman" w:cs="Times New Roman"/>
                              </w:rPr>
                            </w:pPr>
                            <w:r>
                              <w:rPr>
                                <w:rFonts w:ascii="Times New Roman" w:hAnsi="Times New Roman" w:cs="Times New Roman"/>
                                <w:sz w:val="16"/>
                                <w:szCs w:val="16"/>
                              </w:rPr>
                              <w:t>800-223-5001</w:t>
                            </w:r>
                          </w:p>
                        </w:tc>
                        <w:tc>
                          <w:tcPr>
                            <w:tcW w:w="2616" w:type="dxa"/>
                            <w:gridSpan w:val="2"/>
                            <w:tcBorders>
                              <w:top w:val="single" w:sz="10" w:space="0" w:color="000000"/>
                              <w:left w:val="single" w:sz="4" w:space="0" w:color="000000"/>
                              <w:bottom w:val="single" w:sz="4" w:space="0" w:color="000000"/>
                              <w:right w:val="single" w:sz="4" w:space="0" w:color="000000"/>
                            </w:tcBorders>
                          </w:tcPr>
                          <w:p w:rsidR="007B2B7B" w:rsidRDefault="007B2B7B">
                            <w:pPr>
                              <w:pStyle w:val="TableParagraph"/>
                              <w:kinsoku w:val="0"/>
                              <w:overflowPunct w:val="0"/>
                              <w:spacing w:before="4"/>
                              <w:ind w:left="0"/>
                              <w:rPr>
                                <w:rFonts w:ascii="Times New Roman" w:hAnsi="Times New Roman" w:cs="Times New Roman"/>
                                <w:sz w:val="12"/>
                                <w:szCs w:val="12"/>
                              </w:rPr>
                            </w:pPr>
                          </w:p>
                          <w:p w:rsidR="007B2B7B" w:rsidRDefault="007B2B7B">
                            <w:pPr>
                              <w:pStyle w:val="TableParagraph"/>
                              <w:kinsoku w:val="0"/>
                              <w:overflowPunct w:val="0"/>
                              <w:ind w:left="96" w:right="104"/>
                              <w:jc w:val="center"/>
                              <w:rPr>
                                <w:w w:val="95"/>
                                <w:sz w:val="15"/>
                                <w:szCs w:val="15"/>
                              </w:rPr>
                            </w:pPr>
                            <w:r>
                              <w:rPr>
                                <w:w w:val="95"/>
                                <w:sz w:val="15"/>
                                <w:szCs w:val="15"/>
                              </w:rPr>
                              <w:t>0MAAlliance of Portuguese Speakers</w:t>
                            </w:r>
                          </w:p>
                          <w:p w:rsidR="007B2B7B" w:rsidRDefault="007B2B7B">
                            <w:pPr>
                              <w:pStyle w:val="TableParagraph"/>
                              <w:kinsoku w:val="0"/>
                              <w:overflowPunct w:val="0"/>
                              <w:spacing w:before="39"/>
                              <w:ind w:left="96" w:right="89"/>
                              <w:jc w:val="center"/>
                              <w:rPr>
                                <w:rFonts w:ascii="Times New Roman" w:hAnsi="Times New Roman" w:cs="Times New Roman"/>
                              </w:rPr>
                            </w:pPr>
                            <w:r>
                              <w:rPr>
                                <w:rFonts w:ascii="Times New Roman" w:hAnsi="Times New Roman" w:cs="Times New Roman"/>
                                <w:sz w:val="16"/>
                                <w:szCs w:val="16"/>
                              </w:rPr>
                              <w:t>617-864-7600</w:t>
                            </w:r>
                          </w:p>
                        </w:tc>
                      </w:tr>
                      <w:tr w:rsidR="007B2B7B">
                        <w:trPr>
                          <w:trHeight w:hRule="exact" w:val="1009"/>
                        </w:trPr>
                        <w:tc>
                          <w:tcPr>
                            <w:tcW w:w="2971" w:type="dxa"/>
                            <w:gridSpan w:val="2"/>
                            <w:tcBorders>
                              <w:top w:val="single" w:sz="4" w:space="0" w:color="000000"/>
                              <w:left w:val="single" w:sz="6" w:space="0" w:color="000000"/>
                              <w:bottom w:val="nil"/>
                              <w:right w:val="single" w:sz="4" w:space="0" w:color="000000"/>
                            </w:tcBorders>
                          </w:tcPr>
                          <w:p w:rsidR="007B2B7B" w:rsidRDefault="007B2B7B">
                            <w:pPr>
                              <w:pStyle w:val="TableParagraph"/>
                              <w:kinsoku w:val="0"/>
                              <w:overflowPunct w:val="0"/>
                              <w:spacing w:before="2"/>
                              <w:ind w:left="0"/>
                              <w:rPr>
                                <w:rFonts w:ascii="Times New Roman" w:hAnsi="Times New Roman" w:cs="Times New Roman"/>
                                <w:sz w:val="20"/>
                                <w:szCs w:val="20"/>
                              </w:rPr>
                            </w:pPr>
                          </w:p>
                          <w:p w:rsidR="007B2B7B" w:rsidRDefault="007B2B7B">
                            <w:pPr>
                              <w:pStyle w:val="TableParagraph"/>
                              <w:kinsoku w:val="0"/>
                              <w:overflowPunct w:val="0"/>
                              <w:spacing w:line="172" w:lineRule="exact"/>
                              <w:ind w:left="643" w:right="230" w:firstLine="259"/>
                              <w:rPr>
                                <w:rFonts w:ascii="Times New Roman" w:hAnsi="Times New Roman" w:cs="Times New Roman"/>
                              </w:rPr>
                            </w:pPr>
                            <w:r>
                              <w:rPr>
                                <w:w w:val="90"/>
                                <w:sz w:val="15"/>
                                <w:szCs w:val="15"/>
                              </w:rPr>
                              <w:t xml:space="preserve">0Our Deaf Survivors Center </w:t>
                            </w:r>
                            <w:r>
                              <w:rPr>
                                <w:w w:val="80"/>
                                <w:sz w:val="16"/>
                                <w:szCs w:val="16"/>
                              </w:rPr>
                              <w:t xml:space="preserve">Hours: 5pm Monday -9am Saturday </w:t>
                            </w:r>
                            <w:r>
                              <w:rPr>
                                <w:w w:val="80"/>
                                <w:sz w:val="15"/>
                                <w:szCs w:val="15"/>
                              </w:rPr>
                              <w:t>1-844-0DSC·SAFE   (1-844-637·2723)</w:t>
                            </w:r>
                          </w:p>
                        </w:tc>
                        <w:tc>
                          <w:tcPr>
                            <w:tcW w:w="3262" w:type="dxa"/>
                            <w:gridSpan w:val="3"/>
                            <w:tcBorders>
                              <w:top w:val="single" w:sz="4" w:space="0" w:color="000000"/>
                              <w:left w:val="single" w:sz="4" w:space="0" w:color="000000"/>
                              <w:bottom w:val="single" w:sz="6" w:space="0" w:color="000000"/>
                              <w:right w:val="single" w:sz="4" w:space="0" w:color="000000"/>
                            </w:tcBorders>
                          </w:tcPr>
                          <w:p w:rsidR="007B2B7B" w:rsidRDefault="007B2B7B">
                            <w:pPr>
                              <w:pStyle w:val="TableParagraph"/>
                              <w:kinsoku w:val="0"/>
                              <w:overflowPunct w:val="0"/>
                              <w:spacing w:before="32" w:line="170" w:lineRule="exact"/>
                              <w:ind w:left="243" w:right="210"/>
                              <w:jc w:val="center"/>
                              <w:rPr>
                                <w:sz w:val="15"/>
                                <w:szCs w:val="15"/>
                              </w:rPr>
                            </w:pPr>
                            <w:r>
                              <w:rPr>
                                <w:sz w:val="15"/>
                                <w:szCs w:val="15"/>
                              </w:rPr>
                              <w:t xml:space="preserve">0 The </w:t>
                            </w:r>
                            <w:proofErr w:type="spellStart"/>
                            <w:r>
                              <w:rPr>
                                <w:sz w:val="15"/>
                                <w:szCs w:val="15"/>
                              </w:rPr>
                              <w:t>Networklla</w:t>
                            </w:r>
                            <w:proofErr w:type="spellEnd"/>
                            <w:r>
                              <w:rPr>
                                <w:sz w:val="15"/>
                                <w:szCs w:val="15"/>
                              </w:rPr>
                              <w:t xml:space="preserve"> Red</w:t>
                            </w:r>
                          </w:p>
                          <w:p w:rsidR="007B2B7B" w:rsidRDefault="007B2B7B">
                            <w:pPr>
                              <w:pStyle w:val="TableParagraph"/>
                              <w:kinsoku w:val="0"/>
                              <w:overflowPunct w:val="0"/>
                              <w:spacing w:line="168" w:lineRule="exact"/>
                              <w:ind w:left="243" w:right="278"/>
                              <w:jc w:val="center"/>
                              <w:rPr>
                                <w:w w:val="85"/>
                                <w:sz w:val="15"/>
                                <w:szCs w:val="15"/>
                              </w:rPr>
                            </w:pPr>
                            <w:r>
                              <w:rPr>
                                <w:w w:val="85"/>
                                <w:sz w:val="15"/>
                                <w:szCs w:val="15"/>
                              </w:rPr>
                              <w:t>Ending partner abuse in LGBQIT, SM, and Poly</w:t>
                            </w:r>
                          </w:p>
                          <w:p w:rsidR="007B2B7B" w:rsidRDefault="007B2B7B">
                            <w:pPr>
                              <w:pStyle w:val="TableParagraph"/>
                              <w:kinsoku w:val="0"/>
                              <w:overflowPunct w:val="0"/>
                              <w:spacing w:line="182" w:lineRule="exact"/>
                              <w:ind w:left="143" w:right="278"/>
                              <w:jc w:val="center"/>
                              <w:rPr>
                                <w:w w:val="95"/>
                                <w:sz w:val="16"/>
                                <w:szCs w:val="16"/>
                              </w:rPr>
                            </w:pPr>
                            <w:r>
                              <w:rPr>
                                <w:w w:val="95"/>
                                <w:sz w:val="16"/>
                                <w:szCs w:val="16"/>
                              </w:rPr>
                              <w:t>Communities</w:t>
                            </w:r>
                          </w:p>
                          <w:p w:rsidR="007B2B7B" w:rsidRDefault="007B2B7B">
                            <w:pPr>
                              <w:pStyle w:val="TableParagraph"/>
                              <w:tabs>
                                <w:tab w:val="left" w:pos="1106"/>
                                <w:tab w:val="left" w:pos="1363"/>
                              </w:tabs>
                              <w:kinsoku w:val="0"/>
                              <w:overflowPunct w:val="0"/>
                              <w:spacing w:before="22" w:line="290" w:lineRule="auto"/>
                              <w:ind w:left="693" w:right="703" w:hanging="33"/>
                              <w:jc w:val="center"/>
                              <w:rPr>
                                <w:rFonts w:ascii="Times New Roman" w:hAnsi="Times New Roman" w:cs="Times New Roman"/>
                              </w:rPr>
                            </w:pPr>
                            <w:r>
                              <w:rPr>
                                <w:rFonts w:ascii="Times New Roman" w:hAnsi="Times New Roman" w:cs="Times New Roman"/>
                                <w:w w:val="95"/>
                                <w:sz w:val="16"/>
                                <w:szCs w:val="16"/>
                              </w:rPr>
                              <w:t>PH:</w:t>
                            </w:r>
                            <w:r>
                              <w:rPr>
                                <w:rFonts w:ascii="Times New Roman" w:hAnsi="Times New Roman" w:cs="Times New Roman"/>
                                <w:w w:val="95"/>
                                <w:sz w:val="16"/>
                                <w:szCs w:val="16"/>
                              </w:rPr>
                              <w:tab/>
                            </w:r>
                            <w:r>
                              <w:rPr>
                                <w:rFonts w:ascii="Times New Roman" w:hAnsi="Times New Roman" w:cs="Times New Roman"/>
                                <w:w w:val="85"/>
                                <w:sz w:val="16"/>
                                <w:szCs w:val="16"/>
                              </w:rPr>
                              <w:t>617-742-4911</w:t>
                            </w:r>
                            <w:r>
                              <w:rPr>
                                <w:rFonts w:ascii="Times New Roman" w:hAnsi="Times New Roman" w:cs="Times New Roman"/>
                                <w:spacing w:val="5"/>
                                <w:w w:val="85"/>
                                <w:sz w:val="16"/>
                                <w:szCs w:val="16"/>
                              </w:rPr>
                              <w:t xml:space="preserve"> </w:t>
                            </w:r>
                            <w:r>
                              <w:rPr>
                                <w:w w:val="85"/>
                                <w:sz w:val="16"/>
                                <w:szCs w:val="16"/>
                              </w:rPr>
                              <w:t>&lt;l&gt;</w:t>
                            </w:r>
                            <w:r>
                              <w:rPr>
                                <w:spacing w:val="-20"/>
                                <w:w w:val="85"/>
                                <w:sz w:val="16"/>
                                <w:szCs w:val="16"/>
                              </w:rPr>
                              <w:t xml:space="preserve"> </w:t>
                            </w:r>
                            <w:r>
                              <w:rPr>
                                <w:rFonts w:ascii="Times New Roman" w:hAnsi="Times New Roman" w:cs="Times New Roman"/>
                                <w:w w:val="85"/>
                                <w:sz w:val="16"/>
                                <w:szCs w:val="16"/>
                              </w:rPr>
                              <w:t>ES</w:t>
                            </w:r>
                            <w:r>
                              <w:rPr>
                                <w:rFonts w:ascii="Times New Roman" w:hAnsi="Times New Roman" w:cs="Times New Roman"/>
                                <w:spacing w:val="2"/>
                                <w:w w:val="83"/>
                                <w:sz w:val="16"/>
                                <w:szCs w:val="16"/>
                              </w:rPr>
                              <w:t xml:space="preserve"> </w:t>
                            </w:r>
                            <w:r>
                              <w:rPr>
                                <w:rFonts w:ascii="Times New Roman" w:hAnsi="Times New Roman" w:cs="Times New Roman"/>
                                <w:w w:val="95"/>
                                <w:sz w:val="16"/>
                                <w:szCs w:val="16"/>
                              </w:rPr>
                              <w:t>ITT:</w:t>
                            </w:r>
                            <w:r>
                              <w:rPr>
                                <w:rFonts w:ascii="Times New Roman" w:hAnsi="Times New Roman" w:cs="Times New Roman"/>
                                <w:w w:val="95"/>
                                <w:sz w:val="16"/>
                                <w:szCs w:val="16"/>
                              </w:rPr>
                              <w:tab/>
                            </w:r>
                            <w:r>
                              <w:rPr>
                                <w:rFonts w:ascii="Times New Roman" w:hAnsi="Times New Roman" w:cs="Times New Roman"/>
                                <w:w w:val="95"/>
                                <w:sz w:val="16"/>
                                <w:szCs w:val="16"/>
                              </w:rPr>
                              <w:tab/>
                            </w:r>
                            <w:r>
                              <w:rPr>
                                <w:rFonts w:ascii="Times New Roman" w:hAnsi="Times New Roman" w:cs="Times New Roman"/>
                                <w:w w:val="80"/>
                                <w:sz w:val="16"/>
                                <w:szCs w:val="16"/>
                              </w:rPr>
                              <w:t xml:space="preserve">617-338-SAFE </w:t>
                            </w:r>
                            <w:r>
                              <w:rPr>
                                <w:rFonts w:ascii="Times New Roman" w:hAnsi="Times New Roman" w:cs="Times New Roman"/>
                                <w:spacing w:val="7"/>
                                <w:w w:val="80"/>
                                <w:sz w:val="16"/>
                                <w:szCs w:val="16"/>
                              </w:rPr>
                              <w:t xml:space="preserve"> </w:t>
                            </w:r>
                            <w:r>
                              <w:rPr>
                                <w:rFonts w:ascii="Times New Roman" w:hAnsi="Times New Roman" w:cs="Times New Roman"/>
                                <w:w w:val="80"/>
                                <w:sz w:val="16"/>
                                <w:szCs w:val="16"/>
                              </w:rPr>
                              <w:t>{7833</w:t>
                            </w:r>
                          </w:p>
                        </w:tc>
                        <w:tc>
                          <w:tcPr>
                            <w:tcW w:w="1903" w:type="dxa"/>
                            <w:tcBorders>
                              <w:top w:val="single" w:sz="4" w:space="0" w:color="000000"/>
                              <w:left w:val="single" w:sz="4" w:space="0" w:color="000000"/>
                              <w:bottom w:val="single" w:sz="6" w:space="0" w:color="000000"/>
                              <w:right w:val="single" w:sz="4" w:space="0" w:color="000000"/>
                            </w:tcBorders>
                          </w:tcPr>
                          <w:p w:rsidR="007B2B7B" w:rsidRDefault="007B2B7B">
                            <w:pPr>
                              <w:pStyle w:val="TableParagraph"/>
                              <w:kinsoku w:val="0"/>
                              <w:overflowPunct w:val="0"/>
                              <w:ind w:left="0"/>
                              <w:rPr>
                                <w:rFonts w:ascii="Times New Roman" w:hAnsi="Times New Roman" w:cs="Times New Roman"/>
                                <w:sz w:val="14"/>
                                <w:szCs w:val="14"/>
                              </w:rPr>
                            </w:pPr>
                          </w:p>
                          <w:p w:rsidR="007B2B7B" w:rsidRDefault="007B2B7B">
                            <w:pPr>
                              <w:pStyle w:val="TableParagraph"/>
                              <w:kinsoku w:val="0"/>
                              <w:overflowPunct w:val="0"/>
                              <w:spacing w:before="87" w:line="169" w:lineRule="exact"/>
                              <w:ind w:left="147" w:right="124"/>
                              <w:jc w:val="center"/>
                              <w:rPr>
                                <w:w w:val="95"/>
                                <w:sz w:val="15"/>
                                <w:szCs w:val="15"/>
                              </w:rPr>
                            </w:pPr>
                            <w:r>
                              <w:rPr>
                                <w:w w:val="95"/>
                                <w:sz w:val="15"/>
                                <w:szCs w:val="15"/>
                              </w:rPr>
                              <w:t>0 SAHEL : Friendship for</w:t>
                            </w:r>
                          </w:p>
                          <w:p w:rsidR="007B2B7B" w:rsidRDefault="007B2B7B">
                            <w:pPr>
                              <w:pStyle w:val="TableParagraph"/>
                              <w:kinsoku w:val="0"/>
                              <w:overflowPunct w:val="0"/>
                              <w:spacing w:line="175" w:lineRule="exact"/>
                              <w:ind w:left="64" w:right="124"/>
                              <w:jc w:val="center"/>
                              <w:rPr>
                                <w:w w:val="85"/>
                                <w:sz w:val="16"/>
                                <w:szCs w:val="16"/>
                              </w:rPr>
                            </w:pPr>
                            <w:r>
                              <w:rPr>
                                <w:w w:val="85"/>
                                <w:sz w:val="16"/>
                                <w:szCs w:val="16"/>
                              </w:rPr>
                              <w:t>South Asian Women</w:t>
                            </w:r>
                          </w:p>
                          <w:p w:rsidR="007B2B7B" w:rsidRDefault="007B2B7B">
                            <w:pPr>
                              <w:pStyle w:val="TableParagraph"/>
                              <w:kinsoku w:val="0"/>
                              <w:overflowPunct w:val="0"/>
                              <w:spacing w:line="179" w:lineRule="exact"/>
                              <w:ind w:left="138" w:right="124"/>
                              <w:jc w:val="center"/>
                              <w:rPr>
                                <w:rFonts w:ascii="Times New Roman" w:hAnsi="Times New Roman" w:cs="Times New Roman"/>
                              </w:rPr>
                            </w:pPr>
                            <w:r>
                              <w:rPr>
                                <w:rFonts w:ascii="Times New Roman" w:hAnsi="Times New Roman" w:cs="Times New Roman"/>
                                <w:sz w:val="16"/>
                                <w:szCs w:val="16"/>
                              </w:rPr>
                              <w:t>866-472-4354</w:t>
                            </w:r>
                          </w:p>
                        </w:tc>
                      </w:tr>
                    </w:tbl>
                    <w:p w:rsidR="007B2B7B" w:rsidRDefault="007B2B7B">
                      <w:pPr>
                        <w:pStyle w:val="BodyText"/>
                        <w:kinsoku w:val="0"/>
                        <w:overflowPunct w:val="0"/>
                        <w:rPr>
                          <w:rFonts w:ascii="Times New Roman" w:hAnsi="Times New Roman" w:cs="Times New Roman"/>
                          <w:sz w:val="24"/>
                          <w:szCs w:val="24"/>
                        </w:rPr>
                      </w:pPr>
                    </w:p>
                  </w:txbxContent>
                </v:textbox>
                <w10:wrap anchorx="page"/>
              </v:shape>
            </w:pict>
          </mc:Fallback>
        </mc:AlternateContent>
      </w:r>
      <w:r w:rsidR="002C5025">
        <w:rPr>
          <w:rFonts w:ascii="Arial" w:hAnsi="Arial" w:cs="Arial"/>
          <w:w w:val="80"/>
          <w:sz w:val="28"/>
          <w:szCs w:val="28"/>
        </w:rPr>
        <w:t>NETWORK OF SEXUAL ASSAULT  &amp; DOMESTIC VIOLENCE SERVICE PROVIDERS IN  MASSACHUSETTS</w:t>
      </w:r>
    </w:p>
    <w:p w:rsidR="002C5025" w:rsidRDefault="002C5025">
      <w:pPr>
        <w:pStyle w:val="BodyText"/>
        <w:kinsoku w:val="0"/>
        <w:overflowPunct w:val="0"/>
        <w:spacing w:before="11"/>
        <w:rPr>
          <w:rFonts w:ascii="Arial" w:hAnsi="Arial" w:cs="Arial"/>
          <w:sz w:val="40"/>
          <w:szCs w:val="40"/>
        </w:rPr>
      </w:pPr>
    </w:p>
    <w:p w:rsidR="002C5025" w:rsidRDefault="002C5025">
      <w:pPr>
        <w:pStyle w:val="BodyText"/>
        <w:kinsoku w:val="0"/>
        <w:overflowPunct w:val="0"/>
        <w:spacing w:line="244" w:lineRule="auto"/>
        <w:ind w:left="1359" w:right="10221" w:firstLine="17"/>
        <w:jc w:val="center"/>
        <w:rPr>
          <w:rFonts w:ascii="Arial" w:hAnsi="Arial" w:cs="Arial"/>
          <w:w w:val="95"/>
        </w:rPr>
      </w:pPr>
      <w:r>
        <w:rPr>
          <w:rFonts w:ascii="Arial" w:hAnsi="Arial" w:cs="Arial"/>
        </w:rPr>
        <w:t>Use</w:t>
      </w:r>
      <w:r>
        <w:rPr>
          <w:rFonts w:ascii="Arial" w:hAnsi="Arial" w:cs="Arial"/>
          <w:spacing w:val="-47"/>
        </w:rPr>
        <w:t xml:space="preserve"> </w:t>
      </w:r>
      <w:r>
        <w:rPr>
          <w:rFonts w:ascii="Arial" w:hAnsi="Arial" w:cs="Arial"/>
        </w:rPr>
        <w:t>this</w:t>
      </w:r>
      <w:r>
        <w:rPr>
          <w:rFonts w:ascii="Arial" w:hAnsi="Arial" w:cs="Arial"/>
          <w:spacing w:val="-36"/>
        </w:rPr>
        <w:t xml:space="preserve"> </w:t>
      </w:r>
      <w:r>
        <w:rPr>
          <w:rFonts w:ascii="Arial" w:hAnsi="Arial" w:cs="Arial"/>
        </w:rPr>
        <w:t>map</w:t>
      </w:r>
      <w:r>
        <w:rPr>
          <w:rFonts w:ascii="Arial" w:hAnsi="Arial" w:cs="Arial"/>
          <w:spacing w:val="-46"/>
        </w:rPr>
        <w:t xml:space="preserve"> </w:t>
      </w:r>
      <w:r>
        <w:rPr>
          <w:rFonts w:ascii="Arial" w:hAnsi="Arial" w:cs="Arial"/>
        </w:rPr>
        <w:t>to</w:t>
      </w:r>
      <w:r>
        <w:rPr>
          <w:rFonts w:ascii="Arial" w:hAnsi="Arial" w:cs="Arial"/>
          <w:spacing w:val="-40"/>
        </w:rPr>
        <w:t xml:space="preserve"> </w:t>
      </w:r>
      <w:r>
        <w:rPr>
          <w:rFonts w:ascii="Arial" w:hAnsi="Arial" w:cs="Arial"/>
        </w:rPr>
        <w:t>find</w:t>
      </w:r>
      <w:r>
        <w:rPr>
          <w:rFonts w:ascii="Arial" w:hAnsi="Arial" w:cs="Arial"/>
          <w:spacing w:val="-39"/>
        </w:rPr>
        <w:t xml:space="preserve"> </w:t>
      </w:r>
      <w:r>
        <w:rPr>
          <w:rFonts w:ascii="Arial" w:hAnsi="Arial" w:cs="Arial"/>
        </w:rPr>
        <w:t>free</w:t>
      </w:r>
      <w:r>
        <w:rPr>
          <w:rFonts w:ascii="Arial" w:hAnsi="Arial" w:cs="Arial"/>
          <w:spacing w:val="-36"/>
        </w:rPr>
        <w:t xml:space="preserve"> </w:t>
      </w:r>
      <w:r>
        <w:rPr>
          <w:rFonts w:ascii="Arial" w:hAnsi="Arial" w:cs="Arial"/>
        </w:rPr>
        <w:t>and</w:t>
      </w:r>
      <w:r>
        <w:rPr>
          <w:rFonts w:ascii="Arial" w:hAnsi="Arial" w:cs="Arial"/>
          <w:spacing w:val="-37"/>
        </w:rPr>
        <w:t xml:space="preserve"> </w:t>
      </w:r>
      <w:r>
        <w:rPr>
          <w:rFonts w:ascii="Arial" w:hAnsi="Arial" w:cs="Arial"/>
        </w:rPr>
        <w:t xml:space="preserve">confidential </w:t>
      </w:r>
      <w:r>
        <w:rPr>
          <w:rFonts w:ascii="Arial" w:hAnsi="Arial" w:cs="Arial"/>
          <w:w w:val="95"/>
        </w:rPr>
        <w:t>support</w:t>
      </w:r>
      <w:r>
        <w:rPr>
          <w:rFonts w:ascii="Arial" w:hAnsi="Arial" w:cs="Arial"/>
          <w:spacing w:val="-17"/>
          <w:w w:val="95"/>
        </w:rPr>
        <w:t xml:space="preserve"> </w:t>
      </w:r>
      <w:r>
        <w:rPr>
          <w:rFonts w:ascii="Arial" w:hAnsi="Arial" w:cs="Arial"/>
          <w:w w:val="95"/>
        </w:rPr>
        <w:t>and</w:t>
      </w:r>
      <w:r>
        <w:rPr>
          <w:rFonts w:ascii="Arial" w:hAnsi="Arial" w:cs="Arial"/>
          <w:spacing w:val="-26"/>
          <w:w w:val="95"/>
        </w:rPr>
        <w:t xml:space="preserve"> </w:t>
      </w:r>
      <w:r>
        <w:rPr>
          <w:rFonts w:ascii="Arial" w:hAnsi="Arial" w:cs="Arial"/>
          <w:w w:val="95"/>
        </w:rPr>
        <w:t>services</w:t>
      </w:r>
      <w:r>
        <w:rPr>
          <w:rFonts w:ascii="Arial" w:hAnsi="Arial" w:cs="Arial"/>
          <w:spacing w:val="-24"/>
          <w:w w:val="95"/>
        </w:rPr>
        <w:t xml:space="preserve"> </w:t>
      </w:r>
      <w:r>
        <w:rPr>
          <w:rFonts w:ascii="Arial" w:hAnsi="Arial" w:cs="Arial"/>
          <w:w w:val="95"/>
        </w:rPr>
        <w:t>at</w:t>
      </w:r>
      <w:r>
        <w:rPr>
          <w:rFonts w:ascii="Arial" w:hAnsi="Arial" w:cs="Arial"/>
          <w:spacing w:val="-28"/>
          <w:w w:val="95"/>
        </w:rPr>
        <w:t xml:space="preserve"> </w:t>
      </w:r>
      <w:r>
        <w:rPr>
          <w:rFonts w:ascii="Arial" w:hAnsi="Arial" w:cs="Arial"/>
          <w:w w:val="95"/>
        </w:rPr>
        <w:t>a</w:t>
      </w:r>
      <w:r>
        <w:rPr>
          <w:rFonts w:ascii="Arial" w:hAnsi="Arial" w:cs="Arial"/>
          <w:spacing w:val="-32"/>
          <w:w w:val="95"/>
        </w:rPr>
        <w:t xml:space="preserve"> </w:t>
      </w:r>
      <w:r>
        <w:rPr>
          <w:rFonts w:ascii="Arial" w:hAnsi="Arial" w:cs="Arial"/>
          <w:w w:val="95"/>
        </w:rPr>
        <w:t>sexual</w:t>
      </w:r>
      <w:r>
        <w:rPr>
          <w:rFonts w:ascii="Arial" w:hAnsi="Arial" w:cs="Arial"/>
          <w:spacing w:val="-26"/>
          <w:w w:val="95"/>
        </w:rPr>
        <w:t xml:space="preserve"> </w:t>
      </w:r>
      <w:r>
        <w:rPr>
          <w:rFonts w:ascii="Arial" w:hAnsi="Arial" w:cs="Arial"/>
          <w:w w:val="95"/>
        </w:rPr>
        <w:t>or</w:t>
      </w:r>
      <w:r>
        <w:rPr>
          <w:rFonts w:ascii="Arial" w:hAnsi="Arial" w:cs="Arial"/>
          <w:spacing w:val="-23"/>
          <w:w w:val="95"/>
        </w:rPr>
        <w:t xml:space="preserve"> </w:t>
      </w:r>
      <w:r>
        <w:rPr>
          <w:rFonts w:ascii="Arial" w:hAnsi="Arial" w:cs="Arial"/>
          <w:w w:val="95"/>
        </w:rPr>
        <w:t>domestic violence</w:t>
      </w:r>
      <w:r>
        <w:rPr>
          <w:rFonts w:ascii="Arial" w:hAnsi="Arial" w:cs="Arial"/>
          <w:spacing w:val="-31"/>
          <w:w w:val="95"/>
        </w:rPr>
        <w:t xml:space="preserve"> </w:t>
      </w:r>
      <w:r>
        <w:rPr>
          <w:rFonts w:ascii="Arial" w:hAnsi="Arial" w:cs="Arial"/>
          <w:w w:val="95"/>
        </w:rPr>
        <w:t>program</w:t>
      </w:r>
      <w:r>
        <w:rPr>
          <w:rFonts w:ascii="Arial" w:hAnsi="Arial" w:cs="Arial"/>
          <w:spacing w:val="-27"/>
          <w:w w:val="95"/>
        </w:rPr>
        <w:t xml:space="preserve"> </w:t>
      </w:r>
      <w:r>
        <w:rPr>
          <w:rFonts w:ascii="Arial" w:hAnsi="Arial" w:cs="Arial"/>
          <w:w w:val="95"/>
        </w:rPr>
        <w:t>near</w:t>
      </w:r>
      <w:r>
        <w:rPr>
          <w:rFonts w:ascii="Arial" w:hAnsi="Arial" w:cs="Arial"/>
          <w:spacing w:val="-36"/>
          <w:w w:val="95"/>
        </w:rPr>
        <w:t xml:space="preserve"> </w:t>
      </w:r>
      <w:r>
        <w:rPr>
          <w:rFonts w:ascii="Arial" w:hAnsi="Arial" w:cs="Arial"/>
          <w:w w:val="95"/>
        </w:rPr>
        <w:t>you.</w:t>
      </w:r>
    </w:p>
    <w:p w:rsidR="002C5025" w:rsidRDefault="002C5025">
      <w:pPr>
        <w:pStyle w:val="BodyText"/>
        <w:kinsoku w:val="0"/>
        <w:overflowPunct w:val="0"/>
        <w:spacing w:before="6"/>
        <w:rPr>
          <w:rFonts w:ascii="Arial" w:hAnsi="Arial" w:cs="Arial"/>
          <w:sz w:val="23"/>
          <w:szCs w:val="23"/>
        </w:rPr>
      </w:pPr>
    </w:p>
    <w:p w:rsidR="002C5025" w:rsidRDefault="002C5025">
      <w:pPr>
        <w:pStyle w:val="BodyText"/>
        <w:kinsoku w:val="0"/>
        <w:overflowPunct w:val="0"/>
        <w:spacing w:line="225" w:lineRule="auto"/>
        <w:ind w:left="1611" w:right="10456" w:hanging="8"/>
        <w:jc w:val="center"/>
        <w:rPr>
          <w:rFonts w:ascii="Arial" w:hAnsi="Arial" w:cs="Arial"/>
          <w:w w:val="80"/>
        </w:rPr>
      </w:pPr>
      <w:r>
        <w:rPr>
          <w:rFonts w:ascii="Arial" w:hAnsi="Arial" w:cs="Arial"/>
          <w:w w:val="90"/>
        </w:rPr>
        <w:t xml:space="preserve">You can also find programs </w:t>
      </w:r>
      <w:proofErr w:type="spellStart"/>
      <w:r>
        <w:rPr>
          <w:rFonts w:ascii="Arial" w:hAnsi="Arial" w:cs="Arial"/>
          <w:w w:val="90"/>
        </w:rPr>
        <w:t>byvisiting</w:t>
      </w:r>
      <w:proofErr w:type="spellEnd"/>
      <w:r>
        <w:rPr>
          <w:rFonts w:ascii="Arial" w:hAnsi="Arial" w:cs="Arial"/>
          <w:w w:val="90"/>
        </w:rPr>
        <w:t xml:space="preserve"> </w:t>
      </w:r>
      <w:hyperlink r:id="rId386" w:history="1">
        <w:r>
          <w:rPr>
            <w:rFonts w:ascii="Arial" w:hAnsi="Arial" w:cs="Arial"/>
            <w:w w:val="85"/>
          </w:rPr>
          <w:t>www.janedoe.org/find</w:t>
        </w:r>
      </w:hyperlink>
      <w:r>
        <w:rPr>
          <w:rFonts w:ascii="Arial" w:hAnsi="Arial" w:cs="Arial"/>
          <w:spacing w:val="-13"/>
          <w:w w:val="85"/>
        </w:rPr>
        <w:t xml:space="preserve"> </w:t>
      </w:r>
      <w:r>
        <w:rPr>
          <w:rFonts w:ascii="Arial" w:hAnsi="Arial" w:cs="Arial"/>
          <w:w w:val="85"/>
        </w:rPr>
        <w:t>help/search</w:t>
      </w:r>
      <w:r>
        <w:rPr>
          <w:rFonts w:ascii="Arial" w:hAnsi="Arial" w:cs="Arial"/>
          <w:spacing w:val="-24"/>
          <w:w w:val="85"/>
        </w:rPr>
        <w:t xml:space="preserve"> </w:t>
      </w:r>
      <w:r>
        <w:rPr>
          <w:rFonts w:ascii="Arial" w:hAnsi="Arial" w:cs="Arial"/>
          <w:w w:val="85"/>
        </w:rPr>
        <w:t>for</w:t>
      </w:r>
      <w:r>
        <w:rPr>
          <w:rFonts w:ascii="Arial" w:hAnsi="Arial" w:cs="Arial"/>
          <w:spacing w:val="-37"/>
          <w:w w:val="85"/>
        </w:rPr>
        <w:t xml:space="preserve"> </w:t>
      </w:r>
      <w:r>
        <w:rPr>
          <w:rFonts w:ascii="Arial" w:hAnsi="Arial" w:cs="Arial"/>
          <w:w w:val="85"/>
        </w:rPr>
        <w:t xml:space="preserve">an </w:t>
      </w:r>
      <w:r>
        <w:rPr>
          <w:rFonts w:ascii="Arial" w:hAnsi="Arial" w:cs="Arial"/>
          <w:w w:val="80"/>
        </w:rPr>
        <w:t>interactive</w:t>
      </w:r>
      <w:r>
        <w:rPr>
          <w:rFonts w:ascii="Arial" w:hAnsi="Arial" w:cs="Arial"/>
          <w:spacing w:val="-13"/>
          <w:w w:val="80"/>
        </w:rPr>
        <w:t xml:space="preserve"> </w:t>
      </w:r>
      <w:r>
        <w:rPr>
          <w:rFonts w:ascii="Arial" w:hAnsi="Arial" w:cs="Arial"/>
          <w:w w:val="80"/>
        </w:rPr>
        <w:t>search</w:t>
      </w:r>
      <w:r>
        <w:rPr>
          <w:rFonts w:ascii="Arial" w:hAnsi="Arial" w:cs="Arial"/>
          <w:spacing w:val="-7"/>
          <w:w w:val="80"/>
        </w:rPr>
        <w:t xml:space="preserve"> </w:t>
      </w:r>
      <w:r>
        <w:rPr>
          <w:rFonts w:ascii="Arial" w:hAnsi="Arial" w:cs="Arial"/>
          <w:w w:val="80"/>
        </w:rPr>
        <w:t>engine</w:t>
      </w:r>
      <w:r>
        <w:rPr>
          <w:rFonts w:ascii="Arial" w:hAnsi="Arial" w:cs="Arial"/>
          <w:spacing w:val="-6"/>
          <w:w w:val="80"/>
        </w:rPr>
        <w:t xml:space="preserve"> </w:t>
      </w:r>
      <w:r>
        <w:rPr>
          <w:rFonts w:ascii="Arial" w:hAnsi="Arial" w:cs="Arial"/>
          <w:w w:val="80"/>
        </w:rPr>
        <w:t>which</w:t>
      </w:r>
      <w:r>
        <w:rPr>
          <w:rFonts w:ascii="Arial" w:hAnsi="Arial" w:cs="Arial"/>
          <w:spacing w:val="1"/>
          <w:w w:val="80"/>
        </w:rPr>
        <w:t xml:space="preserve"> </w:t>
      </w:r>
      <w:r>
        <w:rPr>
          <w:rFonts w:ascii="Arial" w:hAnsi="Arial" w:cs="Arial"/>
          <w:w w:val="80"/>
        </w:rPr>
        <w:t>allows</w:t>
      </w:r>
      <w:r>
        <w:rPr>
          <w:rFonts w:ascii="Arial" w:hAnsi="Arial" w:cs="Arial"/>
          <w:spacing w:val="-13"/>
          <w:w w:val="80"/>
        </w:rPr>
        <w:t xml:space="preserve"> </w:t>
      </w:r>
      <w:r>
        <w:rPr>
          <w:rFonts w:ascii="Arial" w:hAnsi="Arial" w:cs="Arial"/>
          <w:w w:val="80"/>
        </w:rPr>
        <w:t>you</w:t>
      </w:r>
      <w:r>
        <w:rPr>
          <w:rFonts w:ascii="Arial" w:hAnsi="Arial" w:cs="Arial"/>
          <w:spacing w:val="-13"/>
          <w:w w:val="80"/>
        </w:rPr>
        <w:t xml:space="preserve"> </w:t>
      </w:r>
      <w:r>
        <w:rPr>
          <w:rFonts w:ascii="Arial" w:hAnsi="Arial" w:cs="Arial"/>
          <w:w w:val="80"/>
        </w:rPr>
        <w:t>to</w:t>
      </w:r>
    </w:p>
    <w:p w:rsidR="002C5025" w:rsidRDefault="00FB027C">
      <w:pPr>
        <w:pStyle w:val="BodyText"/>
        <w:tabs>
          <w:tab w:val="left" w:pos="6267"/>
        </w:tabs>
        <w:kinsoku w:val="0"/>
        <w:overflowPunct w:val="0"/>
        <w:spacing w:line="243" w:lineRule="exact"/>
        <w:ind w:left="1991"/>
        <w:rPr>
          <w:rFonts w:ascii="Arial" w:hAnsi="Arial" w:cs="Arial"/>
          <w:w w:val="95"/>
          <w:position w:val="1"/>
          <w:sz w:val="12"/>
          <w:szCs w:val="12"/>
        </w:rPr>
      </w:pPr>
      <w:r>
        <w:rPr>
          <w:noProof/>
        </w:rPr>
        <mc:AlternateContent>
          <mc:Choice Requires="wpg">
            <w:drawing>
              <wp:anchor distT="0" distB="0" distL="114300" distR="114300" simplePos="0" relativeHeight="251701760" behindDoc="1" locked="0" layoutInCell="0" allowOverlap="1">
                <wp:simplePos x="0" y="0"/>
                <wp:positionH relativeFrom="page">
                  <wp:posOffset>694055</wp:posOffset>
                </wp:positionH>
                <wp:positionV relativeFrom="paragraph">
                  <wp:posOffset>193675</wp:posOffset>
                </wp:positionV>
                <wp:extent cx="8979535" cy="2816225"/>
                <wp:effectExtent l="0" t="0" r="0" b="0"/>
                <wp:wrapNone/>
                <wp:docPr id="408" name="Group 6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79535" cy="2816225"/>
                          <a:chOff x="1093" y="305"/>
                          <a:chExt cx="14141" cy="4435"/>
                        </a:xfrm>
                      </wpg:grpSpPr>
                      <pic:pic xmlns:pic="http://schemas.openxmlformats.org/drawingml/2006/picture">
                        <pic:nvPicPr>
                          <pic:cNvPr id="409" name="Picture 602"/>
                          <pic:cNvPicPr>
                            <a:picLocks noChangeAspect="1" noChangeArrowheads="1"/>
                          </pic:cNvPicPr>
                        </pic:nvPicPr>
                        <pic:blipFill>
                          <a:blip r:embed="rId387">
                            <a:extLst>
                              <a:ext uri="{28A0092B-C50C-407E-A947-70E740481C1C}">
                                <a14:useLocalDpi xmlns:a14="http://schemas.microsoft.com/office/drawing/2010/main" val="0"/>
                              </a:ext>
                            </a:extLst>
                          </a:blip>
                          <a:srcRect/>
                          <a:stretch>
                            <a:fillRect/>
                          </a:stretch>
                        </pic:blipFill>
                        <pic:spPr bwMode="auto">
                          <a:xfrm>
                            <a:off x="5501" y="306"/>
                            <a:ext cx="9740" cy="4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0" name="Picture 603"/>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1094" y="709"/>
                            <a:ext cx="860" cy="1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1" name="Freeform 604"/>
                        <wps:cNvSpPr>
                          <a:spLocks/>
                        </wps:cNvSpPr>
                        <wps:spPr bwMode="auto">
                          <a:xfrm>
                            <a:off x="1670" y="773"/>
                            <a:ext cx="3831" cy="20"/>
                          </a:xfrm>
                          <a:custGeom>
                            <a:avLst/>
                            <a:gdLst>
                              <a:gd name="T0" fmla="*/ 0 w 3831"/>
                              <a:gd name="T1" fmla="*/ 0 h 20"/>
                              <a:gd name="T2" fmla="*/ 3831 w 3831"/>
                              <a:gd name="T3" fmla="*/ 0 h 20"/>
                            </a:gdLst>
                            <a:ahLst/>
                            <a:cxnLst>
                              <a:cxn ang="0">
                                <a:pos x="T0" y="T1"/>
                              </a:cxn>
                              <a:cxn ang="0">
                                <a:pos x="T2" y="T3"/>
                              </a:cxn>
                            </a:cxnLst>
                            <a:rect l="0" t="0" r="r" b="b"/>
                            <a:pathLst>
                              <a:path w="3831" h="20">
                                <a:moveTo>
                                  <a:pt x="0" y="0"/>
                                </a:moveTo>
                                <a:lnTo>
                                  <a:pt x="3831" y="0"/>
                                </a:lnTo>
                              </a:path>
                            </a:pathLst>
                          </a:custGeom>
                          <a:noFill/>
                          <a:ln w="1371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2" name="Freeform 605"/>
                        <wps:cNvSpPr>
                          <a:spLocks/>
                        </wps:cNvSpPr>
                        <wps:spPr bwMode="auto">
                          <a:xfrm>
                            <a:off x="9072" y="752"/>
                            <a:ext cx="20" cy="1116"/>
                          </a:xfrm>
                          <a:custGeom>
                            <a:avLst/>
                            <a:gdLst>
                              <a:gd name="T0" fmla="*/ 0 w 20"/>
                              <a:gd name="T1" fmla="*/ 1116 h 1116"/>
                              <a:gd name="T2" fmla="*/ 0 w 20"/>
                              <a:gd name="T3" fmla="*/ 0 h 1116"/>
                            </a:gdLst>
                            <a:ahLst/>
                            <a:cxnLst>
                              <a:cxn ang="0">
                                <a:pos x="T0" y="T1"/>
                              </a:cxn>
                              <a:cxn ang="0">
                                <a:pos x="T2" y="T3"/>
                              </a:cxn>
                            </a:cxnLst>
                            <a:rect l="0" t="0" r="r" b="b"/>
                            <a:pathLst>
                              <a:path w="20" h="1116">
                                <a:moveTo>
                                  <a:pt x="0" y="1116"/>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3" name="Freeform 606"/>
                        <wps:cNvSpPr>
                          <a:spLocks/>
                        </wps:cNvSpPr>
                        <wps:spPr bwMode="auto">
                          <a:xfrm>
                            <a:off x="9445" y="1212"/>
                            <a:ext cx="5775" cy="20"/>
                          </a:xfrm>
                          <a:custGeom>
                            <a:avLst/>
                            <a:gdLst>
                              <a:gd name="T0" fmla="*/ 0 w 5775"/>
                              <a:gd name="T1" fmla="*/ 0 h 20"/>
                              <a:gd name="T2" fmla="*/ 5775 w 5775"/>
                              <a:gd name="T3" fmla="*/ 0 h 20"/>
                            </a:gdLst>
                            <a:ahLst/>
                            <a:cxnLst>
                              <a:cxn ang="0">
                                <a:pos x="T0" y="T1"/>
                              </a:cxn>
                              <a:cxn ang="0">
                                <a:pos x="T2" y="T3"/>
                              </a:cxn>
                            </a:cxnLst>
                            <a:rect l="0" t="0" r="r" b="b"/>
                            <a:pathLst>
                              <a:path w="5775" h="20">
                                <a:moveTo>
                                  <a:pt x="0" y="0"/>
                                </a:moveTo>
                                <a:lnTo>
                                  <a:pt x="5775"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4" name="Freeform 607"/>
                        <wps:cNvSpPr>
                          <a:spLocks/>
                        </wps:cNvSpPr>
                        <wps:spPr bwMode="auto">
                          <a:xfrm>
                            <a:off x="15205" y="996"/>
                            <a:ext cx="20" cy="879"/>
                          </a:xfrm>
                          <a:custGeom>
                            <a:avLst/>
                            <a:gdLst>
                              <a:gd name="T0" fmla="*/ 0 w 20"/>
                              <a:gd name="T1" fmla="*/ 878 h 879"/>
                              <a:gd name="T2" fmla="*/ 0 w 20"/>
                              <a:gd name="T3" fmla="*/ 0 h 879"/>
                            </a:gdLst>
                            <a:ahLst/>
                            <a:cxnLst>
                              <a:cxn ang="0">
                                <a:pos x="T0" y="T1"/>
                              </a:cxn>
                              <a:cxn ang="0">
                                <a:pos x="T2" y="T3"/>
                              </a:cxn>
                            </a:cxnLst>
                            <a:rect l="0" t="0" r="r" b="b"/>
                            <a:pathLst>
                              <a:path w="20" h="879">
                                <a:moveTo>
                                  <a:pt x="0" y="878"/>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5" name="Freeform 608"/>
                        <wps:cNvSpPr>
                          <a:spLocks/>
                        </wps:cNvSpPr>
                        <wps:spPr bwMode="auto">
                          <a:xfrm>
                            <a:off x="9065" y="1641"/>
                            <a:ext cx="6149" cy="20"/>
                          </a:xfrm>
                          <a:custGeom>
                            <a:avLst/>
                            <a:gdLst>
                              <a:gd name="T0" fmla="*/ 0 w 6149"/>
                              <a:gd name="T1" fmla="*/ 0 h 20"/>
                              <a:gd name="T2" fmla="*/ 6149 w 6149"/>
                              <a:gd name="T3" fmla="*/ 0 h 20"/>
                            </a:gdLst>
                            <a:ahLst/>
                            <a:cxnLst>
                              <a:cxn ang="0">
                                <a:pos x="T0" y="T1"/>
                              </a:cxn>
                              <a:cxn ang="0">
                                <a:pos x="T2" y="T3"/>
                              </a:cxn>
                            </a:cxnLst>
                            <a:rect l="0" t="0" r="r" b="b"/>
                            <a:pathLst>
                              <a:path w="6149" h="20">
                                <a:moveTo>
                                  <a:pt x="0" y="0"/>
                                </a:moveTo>
                                <a:lnTo>
                                  <a:pt x="6149" y="0"/>
                                </a:lnTo>
                              </a:path>
                            </a:pathLst>
                          </a:custGeom>
                          <a:noFill/>
                          <a:ln w="1371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7" name="Freeform 609"/>
                        <wps:cNvSpPr>
                          <a:spLocks/>
                        </wps:cNvSpPr>
                        <wps:spPr bwMode="auto">
                          <a:xfrm>
                            <a:off x="9065" y="1864"/>
                            <a:ext cx="6149" cy="20"/>
                          </a:xfrm>
                          <a:custGeom>
                            <a:avLst/>
                            <a:gdLst>
                              <a:gd name="T0" fmla="*/ 0 w 6149"/>
                              <a:gd name="T1" fmla="*/ 0 h 20"/>
                              <a:gd name="T2" fmla="*/ 6149 w 6149"/>
                              <a:gd name="T3" fmla="*/ 0 h 20"/>
                            </a:gdLst>
                            <a:ahLst/>
                            <a:cxnLst>
                              <a:cxn ang="0">
                                <a:pos x="T0" y="T1"/>
                              </a:cxn>
                              <a:cxn ang="0">
                                <a:pos x="T2" y="T3"/>
                              </a:cxn>
                            </a:cxnLst>
                            <a:rect l="0" t="0" r="r" b="b"/>
                            <a:pathLst>
                              <a:path w="6149" h="20">
                                <a:moveTo>
                                  <a:pt x="0" y="0"/>
                                </a:moveTo>
                                <a:lnTo>
                                  <a:pt x="6149"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8" name="Freeform 610"/>
                        <wps:cNvSpPr>
                          <a:spLocks/>
                        </wps:cNvSpPr>
                        <wps:spPr bwMode="auto">
                          <a:xfrm>
                            <a:off x="3031" y="2699"/>
                            <a:ext cx="1829" cy="20"/>
                          </a:xfrm>
                          <a:custGeom>
                            <a:avLst/>
                            <a:gdLst>
                              <a:gd name="T0" fmla="*/ 0 w 1829"/>
                              <a:gd name="T1" fmla="*/ 0 h 20"/>
                              <a:gd name="T2" fmla="*/ 1829 w 1829"/>
                              <a:gd name="T3" fmla="*/ 0 h 20"/>
                            </a:gdLst>
                            <a:ahLst/>
                            <a:cxnLst>
                              <a:cxn ang="0">
                                <a:pos x="T0" y="T1"/>
                              </a:cxn>
                              <a:cxn ang="0">
                                <a:pos x="T2" y="T3"/>
                              </a:cxn>
                            </a:cxnLst>
                            <a:rect l="0" t="0" r="r" b="b"/>
                            <a:pathLst>
                              <a:path w="1829" h="20">
                                <a:moveTo>
                                  <a:pt x="0" y="0"/>
                                </a:moveTo>
                                <a:lnTo>
                                  <a:pt x="1829" y="0"/>
                                </a:lnTo>
                              </a:path>
                            </a:pathLst>
                          </a:custGeom>
                          <a:noFill/>
                          <a:ln w="1371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9" name="Freeform 611"/>
                        <wps:cNvSpPr>
                          <a:spLocks/>
                        </wps:cNvSpPr>
                        <wps:spPr bwMode="auto">
                          <a:xfrm>
                            <a:off x="9993" y="2796"/>
                            <a:ext cx="1814" cy="20"/>
                          </a:xfrm>
                          <a:custGeom>
                            <a:avLst/>
                            <a:gdLst>
                              <a:gd name="T0" fmla="*/ 0 w 1814"/>
                              <a:gd name="T1" fmla="*/ 0 h 20"/>
                              <a:gd name="T2" fmla="*/ 1814 w 1814"/>
                              <a:gd name="T3" fmla="*/ 0 h 20"/>
                            </a:gdLst>
                            <a:ahLst/>
                            <a:cxnLst>
                              <a:cxn ang="0">
                                <a:pos x="T0" y="T1"/>
                              </a:cxn>
                              <a:cxn ang="0">
                                <a:pos x="T2" y="T3"/>
                              </a:cxn>
                            </a:cxnLst>
                            <a:rect l="0" t="0" r="r" b="b"/>
                            <a:pathLst>
                              <a:path w="1814" h="20">
                                <a:moveTo>
                                  <a:pt x="0" y="0"/>
                                </a:moveTo>
                                <a:lnTo>
                                  <a:pt x="1814" y="0"/>
                                </a:lnTo>
                              </a:path>
                            </a:pathLst>
                          </a:custGeom>
                          <a:noFill/>
                          <a:ln w="274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0" name="Freeform 612"/>
                        <wps:cNvSpPr>
                          <a:spLocks/>
                        </wps:cNvSpPr>
                        <wps:spPr bwMode="auto">
                          <a:xfrm>
                            <a:off x="10030" y="2753"/>
                            <a:ext cx="20" cy="778"/>
                          </a:xfrm>
                          <a:custGeom>
                            <a:avLst/>
                            <a:gdLst>
                              <a:gd name="T0" fmla="*/ 0 w 20"/>
                              <a:gd name="T1" fmla="*/ 778 h 778"/>
                              <a:gd name="T2" fmla="*/ 0 w 20"/>
                              <a:gd name="T3" fmla="*/ 0 h 778"/>
                            </a:gdLst>
                            <a:ahLst/>
                            <a:cxnLst>
                              <a:cxn ang="0">
                                <a:pos x="T0" y="T1"/>
                              </a:cxn>
                              <a:cxn ang="0">
                                <a:pos x="T2" y="T3"/>
                              </a:cxn>
                            </a:cxnLst>
                            <a:rect l="0" t="0" r="r" b="b"/>
                            <a:pathLst>
                              <a:path w="20" h="778">
                                <a:moveTo>
                                  <a:pt x="0" y="778"/>
                                </a:moveTo>
                                <a:lnTo>
                                  <a:pt x="0" y="0"/>
                                </a:lnTo>
                              </a:path>
                            </a:pathLst>
                          </a:custGeom>
                          <a:noFill/>
                          <a:ln w="274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1" name="Freeform 613"/>
                        <wps:cNvSpPr>
                          <a:spLocks/>
                        </wps:cNvSpPr>
                        <wps:spPr bwMode="auto">
                          <a:xfrm>
                            <a:off x="11749" y="2753"/>
                            <a:ext cx="20" cy="778"/>
                          </a:xfrm>
                          <a:custGeom>
                            <a:avLst/>
                            <a:gdLst>
                              <a:gd name="T0" fmla="*/ 0 w 20"/>
                              <a:gd name="T1" fmla="*/ 778 h 778"/>
                              <a:gd name="T2" fmla="*/ 0 w 20"/>
                              <a:gd name="T3" fmla="*/ 0 h 778"/>
                            </a:gdLst>
                            <a:ahLst/>
                            <a:cxnLst>
                              <a:cxn ang="0">
                                <a:pos x="T0" y="T1"/>
                              </a:cxn>
                              <a:cxn ang="0">
                                <a:pos x="T2" y="T3"/>
                              </a:cxn>
                            </a:cxnLst>
                            <a:rect l="0" t="0" r="r" b="b"/>
                            <a:pathLst>
                              <a:path w="20" h="778">
                                <a:moveTo>
                                  <a:pt x="0" y="778"/>
                                </a:moveTo>
                                <a:lnTo>
                                  <a:pt x="0" y="0"/>
                                </a:lnTo>
                              </a:path>
                            </a:pathLst>
                          </a:custGeom>
                          <a:noFill/>
                          <a:ln w="320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2" name="Freeform 614"/>
                        <wps:cNvSpPr>
                          <a:spLocks/>
                        </wps:cNvSpPr>
                        <wps:spPr bwMode="auto">
                          <a:xfrm>
                            <a:off x="10000" y="3495"/>
                            <a:ext cx="1785" cy="20"/>
                          </a:xfrm>
                          <a:custGeom>
                            <a:avLst/>
                            <a:gdLst>
                              <a:gd name="T0" fmla="*/ 0 w 1785"/>
                              <a:gd name="T1" fmla="*/ 0 h 20"/>
                              <a:gd name="T2" fmla="*/ 1785 w 1785"/>
                              <a:gd name="T3" fmla="*/ 0 h 20"/>
                            </a:gdLst>
                            <a:ahLst/>
                            <a:cxnLst>
                              <a:cxn ang="0">
                                <a:pos x="T0" y="T1"/>
                              </a:cxn>
                              <a:cxn ang="0">
                                <a:pos x="T2" y="T3"/>
                              </a:cxn>
                            </a:cxnLst>
                            <a:rect l="0" t="0" r="r" b="b"/>
                            <a:pathLst>
                              <a:path w="1785" h="20">
                                <a:moveTo>
                                  <a:pt x="0" y="0"/>
                                </a:moveTo>
                                <a:lnTo>
                                  <a:pt x="1785" y="0"/>
                                </a:lnTo>
                              </a:path>
                            </a:pathLst>
                          </a:custGeom>
                          <a:noFill/>
                          <a:ln w="320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3" name="Text Box 615"/>
                        <wps:cNvSpPr txBox="1">
                          <a:spLocks noChangeArrowheads="1"/>
                        </wps:cNvSpPr>
                        <wps:spPr bwMode="auto">
                          <a:xfrm>
                            <a:off x="9187" y="1104"/>
                            <a:ext cx="281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pStyle w:val="BodyText"/>
                                <w:kinsoku w:val="0"/>
                                <w:overflowPunct w:val="0"/>
                                <w:spacing w:line="360" w:lineRule="exact"/>
                                <w:ind w:right="-2"/>
                                <w:rPr>
                                  <w:rFonts w:ascii="Arial" w:hAnsi="Arial" w:cs="Arial"/>
                                  <w:w w:val="90"/>
                                  <w:sz w:val="18"/>
                                  <w:szCs w:val="18"/>
                                </w:rPr>
                              </w:pPr>
                              <w:r>
                                <w:rPr>
                                  <w:rFonts w:ascii="Arial" w:hAnsi="Arial" w:cs="Arial"/>
                                  <w:w w:val="90"/>
                                  <w:sz w:val="36"/>
                                  <w:szCs w:val="36"/>
                                </w:rPr>
                                <w:t>*</w:t>
                              </w:r>
                              <w:r>
                                <w:rPr>
                                  <w:rFonts w:ascii="Arial" w:hAnsi="Arial" w:cs="Arial"/>
                                  <w:spacing w:val="-64"/>
                                  <w:w w:val="90"/>
                                  <w:sz w:val="36"/>
                                  <w:szCs w:val="36"/>
                                </w:rPr>
                                <w:t xml:space="preserve"> </w:t>
                              </w:r>
                              <w:r>
                                <w:rPr>
                                  <w:rFonts w:ascii="Arial" w:hAnsi="Arial" w:cs="Arial"/>
                                  <w:w w:val="90"/>
                                  <w:position w:val="-3"/>
                                  <w:sz w:val="14"/>
                                  <w:szCs w:val="14"/>
                                </w:rPr>
                                <w:t>1</w:t>
                              </w:r>
                              <w:r>
                                <w:rPr>
                                  <w:rFonts w:ascii="Arial" w:hAnsi="Arial" w:cs="Arial"/>
                                  <w:spacing w:val="-16"/>
                                  <w:w w:val="90"/>
                                  <w:position w:val="-3"/>
                                  <w:sz w:val="14"/>
                                  <w:szCs w:val="14"/>
                                </w:rPr>
                                <w:t xml:space="preserve"> </w:t>
                              </w:r>
                              <w:r>
                                <w:rPr>
                                  <w:rFonts w:ascii="Arial" w:hAnsi="Arial" w:cs="Arial"/>
                                  <w:w w:val="90"/>
                                  <w:sz w:val="18"/>
                                  <w:szCs w:val="18"/>
                                </w:rPr>
                                <w:t>Sexual</w:t>
                              </w:r>
                              <w:r>
                                <w:rPr>
                                  <w:rFonts w:ascii="Arial" w:hAnsi="Arial" w:cs="Arial"/>
                                  <w:spacing w:val="-30"/>
                                  <w:w w:val="90"/>
                                  <w:sz w:val="18"/>
                                  <w:szCs w:val="18"/>
                                </w:rPr>
                                <w:t xml:space="preserve"> </w:t>
                              </w:r>
                              <w:r>
                                <w:rPr>
                                  <w:rFonts w:ascii="Arial" w:hAnsi="Arial" w:cs="Arial"/>
                                  <w:w w:val="90"/>
                                  <w:sz w:val="18"/>
                                  <w:szCs w:val="18"/>
                                </w:rPr>
                                <w:t>Assault</w:t>
                              </w:r>
                              <w:r>
                                <w:rPr>
                                  <w:rFonts w:ascii="Arial" w:hAnsi="Arial" w:cs="Arial"/>
                                  <w:spacing w:val="-32"/>
                                  <w:w w:val="90"/>
                                  <w:sz w:val="18"/>
                                  <w:szCs w:val="18"/>
                                </w:rPr>
                                <w:t xml:space="preserve"> </w:t>
                              </w:r>
                              <w:r>
                                <w:rPr>
                                  <w:rFonts w:ascii="Arial" w:hAnsi="Arial" w:cs="Arial"/>
                                  <w:i/>
                                  <w:iCs/>
                                  <w:w w:val="90"/>
                                  <w:sz w:val="19"/>
                                  <w:szCs w:val="19"/>
                                </w:rPr>
                                <w:t>I</w:t>
                              </w:r>
                              <w:r>
                                <w:rPr>
                                  <w:rFonts w:ascii="Arial" w:hAnsi="Arial" w:cs="Arial"/>
                                  <w:i/>
                                  <w:iCs/>
                                  <w:spacing w:val="-31"/>
                                  <w:w w:val="90"/>
                                  <w:sz w:val="19"/>
                                  <w:szCs w:val="19"/>
                                </w:rPr>
                                <w:t xml:space="preserve"> </w:t>
                              </w:r>
                              <w:proofErr w:type="spellStart"/>
                              <w:r>
                                <w:rPr>
                                  <w:rFonts w:ascii="Arial" w:hAnsi="Arial" w:cs="Arial"/>
                                  <w:w w:val="90"/>
                                  <w:sz w:val="18"/>
                                  <w:szCs w:val="18"/>
                                </w:rPr>
                                <w:t>RapeCrisis</w:t>
                              </w:r>
                              <w:proofErr w:type="spellEnd"/>
                              <w:r>
                                <w:rPr>
                                  <w:rFonts w:ascii="Arial" w:hAnsi="Arial" w:cs="Arial"/>
                                  <w:spacing w:val="-27"/>
                                  <w:w w:val="90"/>
                                  <w:sz w:val="18"/>
                                  <w:szCs w:val="18"/>
                                </w:rPr>
                                <w:t xml:space="preserve"> </w:t>
                              </w:r>
                              <w:r>
                                <w:rPr>
                                  <w:rFonts w:ascii="Arial" w:hAnsi="Arial" w:cs="Arial"/>
                                  <w:w w:val="90"/>
                                  <w:sz w:val="18"/>
                                  <w:szCs w:val="18"/>
                                </w:rPr>
                                <w:t>Program</w:t>
                              </w:r>
                            </w:p>
                          </w:txbxContent>
                        </wps:txbx>
                        <wps:bodyPr rot="0" vert="horz" wrap="square" lIns="0" tIns="0" rIns="0" bIns="0" anchor="t" anchorCtr="0" upright="1">
                          <a:noAutofit/>
                        </wps:bodyPr>
                      </wps:wsp>
                      <wps:wsp>
                        <wps:cNvPr id="424" name="Text Box 616"/>
                        <wps:cNvSpPr txBox="1">
                          <a:spLocks noChangeArrowheads="1"/>
                        </wps:cNvSpPr>
                        <wps:spPr bwMode="auto">
                          <a:xfrm>
                            <a:off x="12610" y="1246"/>
                            <a:ext cx="2022" cy="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pStyle w:val="BodyText"/>
                                <w:kinsoku w:val="0"/>
                                <w:overflowPunct w:val="0"/>
                                <w:spacing w:line="184" w:lineRule="exact"/>
                                <w:ind w:left="4" w:right="-3"/>
                                <w:rPr>
                                  <w:rFonts w:ascii="Arial" w:hAnsi="Arial" w:cs="Arial"/>
                                  <w:w w:val="80"/>
                                  <w:sz w:val="18"/>
                                  <w:szCs w:val="18"/>
                                </w:rPr>
                              </w:pPr>
                              <w:r>
                                <w:rPr>
                                  <w:rFonts w:ascii="Arial" w:hAnsi="Arial" w:cs="Arial"/>
                                  <w:w w:val="80"/>
                                  <w:sz w:val="18"/>
                                  <w:szCs w:val="18"/>
                                </w:rPr>
                                <w:t>Emergency  Domestic Violence</w:t>
                              </w:r>
                            </w:p>
                            <w:p w:rsidR="007B2B7B" w:rsidRDefault="007B2B7B">
                              <w:pPr>
                                <w:pStyle w:val="BodyText"/>
                                <w:kinsoku w:val="0"/>
                                <w:overflowPunct w:val="0"/>
                                <w:spacing w:before="2" w:line="203" w:lineRule="exact"/>
                                <w:ind w:right="-3"/>
                                <w:rPr>
                                  <w:rFonts w:ascii="Arial" w:hAnsi="Arial" w:cs="Arial"/>
                                  <w:sz w:val="18"/>
                                  <w:szCs w:val="18"/>
                                </w:rPr>
                              </w:pPr>
                              <w:r>
                                <w:rPr>
                                  <w:rFonts w:ascii="Arial" w:hAnsi="Arial" w:cs="Arial"/>
                                  <w:sz w:val="18"/>
                                  <w:szCs w:val="18"/>
                                </w:rPr>
                                <w:t>Shelter</w:t>
                              </w:r>
                            </w:p>
                          </w:txbxContent>
                        </wps:txbx>
                        <wps:bodyPr rot="0" vert="horz" wrap="square" lIns="0" tIns="0" rIns="0" bIns="0" anchor="t" anchorCtr="0" upright="1">
                          <a:noAutofit/>
                        </wps:bodyPr>
                      </wps:wsp>
                      <wps:wsp>
                        <wps:cNvPr id="384" name="Text Box 617"/>
                        <wps:cNvSpPr txBox="1">
                          <a:spLocks noChangeArrowheads="1"/>
                        </wps:cNvSpPr>
                        <wps:spPr bwMode="auto">
                          <a:xfrm>
                            <a:off x="9072" y="1642"/>
                            <a:ext cx="6134"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pStyle w:val="BodyText"/>
                                <w:kinsoku w:val="0"/>
                                <w:overflowPunct w:val="0"/>
                                <w:spacing w:before="7"/>
                                <w:ind w:left="2260" w:right="2265"/>
                                <w:jc w:val="center"/>
                                <w:rPr>
                                  <w:rFonts w:ascii="Arial" w:hAnsi="Arial" w:cs="Arial"/>
                                  <w:w w:val="95"/>
                                  <w:sz w:val="18"/>
                                  <w:szCs w:val="18"/>
                                </w:rPr>
                              </w:pPr>
                              <w:r>
                                <w:rPr>
                                  <w:rFonts w:ascii="Arial" w:hAnsi="Arial" w:cs="Arial"/>
                                  <w:w w:val="95"/>
                                  <w:sz w:val="18"/>
                                  <w:szCs w:val="18"/>
                                </w:rPr>
                                <w:t>JDI members in bold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1" o:spid="_x0000_s1197" style="position:absolute;left:0;text-align:left;margin-left:54.65pt;margin-top:15.25pt;width:707.05pt;height:221.75pt;z-index:-251614720;mso-position-horizontal-relative:page;mso-position-vertical-relative:text" coordorigin="1093,305" coordsize="14141,4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" o:allowincell="f">
                <v:shape id="Picture 602" o:spid="_x0000_s1198" type="#_x0000_t75" style="position:absolute;left:5501;top:306;width:9740;height:44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OrzAAAAA3AAAAA8AAABkcnMvZG93bnJldi54bWxEj0GLwjAUhO8L/ofwhL2tqWURrUYRwcWr&#10;Vu+P5tkWm5eaRFv31xtB8DjMzDfMYtWbRtzJ+dqygvEoAUFcWF1zqeCYb3+mIHxA1thYJgUP8rBa&#10;Dr4WmGnb8Z7uh1CKCGGfoYIqhDaT0hcVGfQj2xJH72ydwRClK6V22EW4aWSaJBNpsOa4UGFLm4qK&#10;y+FmFOBfnp523cNtmn1u8/9JarprqtT3sF/PQQTqwyf8bu+0gt9kBq8z8QjI5R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7H86vMAAAADcAAAADwAAAAAAAAAAAAAAAACfAgAA&#10;ZHJzL2Rvd25yZXYueG1sUEsFBgAAAAAEAAQA9wAAAIwDAAAAAA==&#10;">
                  <v:imagedata r:id="rId389" o:title=""/>
                </v:shape>
                <v:shape id="Picture 603" o:spid="_x0000_s1199" type="#_x0000_t75" style="position:absolute;left:1094;top:709;width:860;height:19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NE+lrAAAAA3AAAAA8AAABkcnMvZG93bnJldi54bWxET02LwjAQvQv7H8IseNO0IuJ2jUW6LHht&#10;9aC3oRmbYjMpTar135vDwh4f73uXT7YTDxp861hBukxAENdOt9woOJ9+F1sQPiBr7ByTghd5yPcf&#10;sx1m2j25pEcVGhFD2GeowITQZ1L62pBFv3Q9ceRubrAYIhwaqQd8xnDbyVWSbKTFlmODwZ4KQ/W9&#10;Gq2Cr1dddeZS2vT6sxqL7Vje5HlSav45Hb5BBJrCv/jPfdQK1mmcH8/EIyD3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k0T6WsAAAADcAAAADwAAAAAAAAAAAAAAAACfAgAA&#10;ZHJzL2Rvd25yZXYueG1sUEsFBgAAAAAEAAQA9wAAAIwDAAAAAA==&#10;">
                  <v:imagedata r:id="rId390" o:title=""/>
                </v:shape>
                <v:shape id="Freeform 604" o:spid="_x0000_s1200" style="position:absolute;left:1670;top:773;width:3831;height:20;visibility:visible;mso-wrap-style:square;v-text-anchor:top" coordsize="383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9xAcYA&#10;AADcAAAADwAAAGRycy9kb3ducmV2LnhtbESPQWsCMRSE7wX/Q3hCL6Vmt5SybI0igiLetC3o7TV5&#10;7i7dvKxJ1LW/3giFHoeZ+YYZT3vbijP50DhWkI8yEMTamYYrBZ8fi+cCRIjIBlvHpOBKAaaTwcMY&#10;S+MuvKHzNlYiQTiUqKCOsSulDLomi2HkOuLkHZy3GJP0lTQeLwluW/mSZW/SYsNpocaO5jXpn+3J&#10;KtBfp6v9bnfHJ31c/C69Lw7rfaHU47CfvYOI1Mf/8F97ZRS85jncz6QjIC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V9xAcYAAADcAAAADwAAAAAAAAAAAAAAAACYAgAAZHJz&#10;L2Rvd25yZXYueG1sUEsFBgAAAAAEAAQA9QAAAIsDAAAAAA==&#10;" path="m,l3831,e" filled="f" strokeweight="1.08pt">
                  <v:path arrowok="t" o:connecttype="custom" o:connectlocs="0,0;3831,0" o:connectangles="0,0"/>
                </v:shape>
                <v:shape id="Freeform 605" o:spid="_x0000_s1201" style="position:absolute;left:9072;top:752;width:20;height:1116;visibility:visible;mso-wrap-style:square;v-text-anchor:top" coordsize="20,1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BtsQA&#10;AADcAAAADwAAAGRycy9kb3ducmV2LnhtbESP3WrCQBSE74W+w3IKvdONf6lEV5FCS/WiUOsDHLLH&#10;JJo9G3bXJH17VxC8HGbmG2a16U0tWnK+sqxgPEpAEOdWV1woOP59DhcgfEDWWFsmBf/kYbN+Gaww&#10;07bjX2oPoRARwj5DBWUITSalz0sy6Ee2IY7eyTqDIUpXSO2wi3BTy0mSpNJgxXGhxIY+Ssovh6tR&#10;8O66vdn6s5y2i6/pPJU/uLtclXp77bdLEIH68Aw/2t9awWw8gfuZeATk+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5QbbEAAAA3AAAAA8AAAAAAAAAAAAAAAAAmAIAAGRycy9k&#10;b3ducmV2LnhtbFBLBQYAAAAABAAEAPUAAACJAwAAAAA=&#10;" path="m,1116l,e" filled="f" strokeweight=".72pt">
                  <v:path arrowok="t" o:connecttype="custom" o:connectlocs="0,1116;0,0" o:connectangles="0,0"/>
                </v:shape>
                <v:shape id="Freeform 606" o:spid="_x0000_s1202" style="position:absolute;left:9445;top:1212;width:5775;height:20;visibility:visible;mso-wrap-style:square;v-text-anchor:top" coordsize="577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G+DsMA&#10;AADcAAAADwAAAGRycy9kb3ducmV2LnhtbESP0WrCQBRE3wv+w3IF3+ombakSXUMoBAoFseoHXLLX&#10;JLh7N2Y3Jv59t1Do4zAzZ5htPlkj7tT71rGCdJmAIK6cbrlWcD6Vz2sQPiBrNI5JwYM85LvZ0xYz&#10;7Ub+pvsx1CJC2GeooAmhy6T0VUMW/dJ1xNG7uN5iiLKvpe5xjHBr5EuSvEuLLceFBjv6aKi6Hger&#10;4OtwKwxO12IVhgr13oz7Eg9KLeZTsQERaAr/4b/2p1bwlr7C75l4BOTu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DG+DsMAAADcAAAADwAAAAAAAAAAAAAAAACYAgAAZHJzL2Rv&#10;d25yZXYueG1sUEsFBgAAAAAEAAQA9QAAAIgDAAAAAA==&#10;" path="m,l5775,e" filled="f" strokeweight=".72pt">
                  <v:path arrowok="t" o:connecttype="custom" o:connectlocs="0,0;5775,0" o:connectangles="0,0"/>
                </v:shape>
                <v:shape id="Freeform 607" o:spid="_x0000_s1203" style="position:absolute;left:15205;top:996;width:20;height:879;visibility:visible;mso-wrap-style:square;v-text-anchor:top" coordsize="20,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ZMi8UA&#10;AADcAAAADwAAAGRycy9kb3ducmV2LnhtbESPQWvCQBSE74L/YXmF3nSTIiWJrhKkQtFTVOj1NftM&#10;QrNvQ3Y10V/vFgo9DjPzDbPajKYVN+pdY1lBPI9AEJdWN1wpOJ92swSE88gaW8uk4E4ONuvpZIWZ&#10;tgMXdDv6SgQIuwwV1N53mZSurMmgm9uOOHgX2xv0QfaV1D0OAW5a+RZF79Jgw2Ghxo62NZU/x6tR&#10;8PhIH9diHyfJVxsfil06yPw7V+r1ZcyXIDyN/j/81/7UChbxAn7PhCMg1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tkyLxQAAANwAAAAPAAAAAAAAAAAAAAAAAJgCAABkcnMv&#10;ZG93bnJldi54bWxQSwUGAAAAAAQABAD1AAAAigMAAAAA&#10;" path="m,878l,e" filled="f" strokeweight=".72pt">
                  <v:path arrowok="t" o:connecttype="custom" o:connectlocs="0,878;0,0" o:connectangles="0,0"/>
                </v:shape>
                <v:shape id="Freeform 608" o:spid="_x0000_s1204" style="position:absolute;left:9065;top:1641;width:6149;height:20;visibility:visible;mso-wrap-style:square;v-text-anchor:top" coordsize="614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Cu8YA&#10;AADcAAAADwAAAGRycy9kb3ducmV2LnhtbESPzWrDMBCE74W+g9hCb7Gc0vw5loMpBJKeGqcQelus&#10;rW1qrYylxE6evioEehxm5hsm3YymFRfqXWNZwTSKQRCXVjdcKfg8bidLEM4ja2wtk4IrOdhkjw8p&#10;JtoOfKBL4SsRIOwSVFB73yVSurImgy6yHXHwvm1v0AfZV1L3OAS4aeVLHM+lwYbDQo0dvdVU/hRn&#10;o2B/O42Ip7KYL2Yf1fvwlS/dKlfq+WnM1yA8jf4/fG/vtILX6Qz+zoQjI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bCu8YAAADcAAAADwAAAAAAAAAAAAAAAACYAgAAZHJz&#10;L2Rvd25yZXYueG1sUEsFBgAAAAAEAAQA9QAAAIsDAAAAAA==&#10;" path="m,l6149,e" filled="f" strokeweight="1.08pt">
                  <v:path arrowok="t" o:connecttype="custom" o:connectlocs="0,0;6149,0" o:connectangles="0,0"/>
                </v:shape>
                <v:shape id="Freeform 609" o:spid="_x0000_s1205" style="position:absolute;left:9065;top:1864;width:6149;height:20;visibility:visible;mso-wrap-style:square;v-text-anchor:top" coordsize="614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8N5MIA&#10;AADcAAAADwAAAGRycy9kb3ducmV2LnhtbESP0YrCMBRE3wX/IVzBN00rolKNIoLii0K1H3Bprm2x&#10;uSlNrHW/fiMs7OMwM2eYza43teiodZVlBfE0AkGcW11xoSC7HycrEM4ja6wtk4IPOdhth4MNJtq+&#10;OaXu5gsRIOwSVFB63yRSurwkg25qG+LgPWxr0AfZFlK3+A5wU8tZFC2kwYrDQokNHUrKn7eXUfCo&#10;XJ3N0u6ann6O9hIvs+ti/1RqPOr3axCeev8f/muftYJ5vITvmXAE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w3kwgAAANwAAAAPAAAAAAAAAAAAAAAAAJgCAABkcnMvZG93&#10;bnJldi54bWxQSwUGAAAAAAQABAD1AAAAhwMAAAAA&#10;" path="m,l6149,e" filled="f" strokeweight=".72pt">
                  <v:path arrowok="t" o:connecttype="custom" o:connectlocs="0,0;6149,0" o:connectangles="0,0"/>
                </v:shape>
                <v:shape id="Freeform 610" o:spid="_x0000_s1206" style="position:absolute;left:3031;top:2699;width:1829;height:20;visibility:visible;mso-wrap-style:square;v-text-anchor:top" coordsize="18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lyccAA&#10;AADcAAAADwAAAGRycy9kb3ducmV2LnhtbERPzYrCMBC+C75DmIW9aaosW7drFFEEPVp9gLEZ27DN&#10;pCRRq09vDgseP77/+bK3rbiRD8axgsk4A0FcOW24VnA6bkczECEia2wdk4IHBVguhoM5Ftrd+UC3&#10;MtYihXAoUEETY1dIGaqGLIax64gTd3HeYkzQ11J7vKdw28ppln1Li4ZTQ4MdrRuq/sqrVeA3V3Pe&#10;Pp77vPS7fP9jztnmkiv1+dGvfkFE6uNb/O/eaQVfk7Q2nUlHQC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PlyccAAAADcAAAADwAAAAAAAAAAAAAAAACYAgAAZHJzL2Rvd25y&#10;ZXYueG1sUEsFBgAAAAAEAAQA9QAAAIUDAAAAAA==&#10;" path="m,l1829,e" filled="f" strokeweight="1.08pt">
                  <v:path arrowok="t" o:connecttype="custom" o:connectlocs="0,0;1829,0" o:connectangles="0,0"/>
                </v:shape>
                <v:shape id="Freeform 611" o:spid="_x0000_s1207" style="position:absolute;left:9993;top:2796;width:1814;height:20;visibility:visible;mso-wrap-style:square;v-text-anchor:top" coordsize="181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xM8UA&#10;AADcAAAADwAAAGRycy9kb3ducmV2LnhtbESPQWvCQBSE7wX/w/KE3upGqaWNriJKQNAKmh56fGSf&#10;2Wj2bciuGv313UKhx2FmvmGm887W4kqtrxwrGA4SEMSF0xWXCr7y7OUdhA/IGmvHpOBOHuaz3tMU&#10;U+1uvKfrIZQiQtinqMCE0KRS+sKQRT9wDXH0jq61GKJsS6lbvEW4reUoSd6kxYrjgsGGloaK8+Fi&#10;I4VP+ffnhptxVnqzzraPXbXKlXrud4sJiEBd+A//tddawevwA37PxCMgZ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z7EzxQAAANwAAAAPAAAAAAAAAAAAAAAAAJgCAABkcnMv&#10;ZG93bnJldi54bWxQSwUGAAAAAAQABAD1AAAAigMAAAAA&#10;" path="m,l1814,e" filled="f" strokeweight="2.16pt">
                  <v:path arrowok="t" o:connecttype="custom" o:connectlocs="0,0;1814,0" o:connectangles="0,0"/>
                </v:shape>
                <v:shape id="Freeform 612" o:spid="_x0000_s1208" style="position:absolute;left:10030;top:2753;width:20;height:778;visibility:visible;mso-wrap-style:square;v-text-anchor:top" coordsize="20,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BbRcIA&#10;AADcAAAADwAAAGRycy9kb3ducmV2LnhtbERPu2rDMBTdC/kHcQPdGjmmpMGNEpKaQpaC62ToeLFu&#10;bVPrykjyI39fDYGMh/PeHWbTiZGcby0rWK8SEMSV1S3XCq6Xz5ctCB+QNXaWScGNPBz2i6cdZtpO&#10;/E1jGWoRQ9hnqKAJoc+k9FVDBv3K9sSR+7XOYIjQ1VI7nGK46WSaJBtpsOXY0GBPHw1Vf+VgFCT5&#10;LX8bNg6Hr+PJtXVZ/BTnQqnn5Xx8BxFoDg/x3X3WCl7TOD+eiUdA7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UFtFwgAAANwAAAAPAAAAAAAAAAAAAAAAAJgCAABkcnMvZG93&#10;bnJldi54bWxQSwUGAAAAAAQABAD1AAAAhwMAAAAA&#10;" path="m,778l,e" filled="f" strokeweight="2.16pt">
                  <v:path arrowok="t" o:connecttype="custom" o:connectlocs="0,778;0,0" o:connectangles="0,0"/>
                </v:shape>
                <v:shape id="Freeform 613" o:spid="_x0000_s1209" style="position:absolute;left:11749;top:2753;width:20;height:778;visibility:visible;mso-wrap-style:square;v-text-anchor:top" coordsize="20,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e+isYA&#10;AADcAAAADwAAAGRycy9kb3ducmV2LnhtbESPQWvCQBSE7wX/w/IK3uomIZYSXUXEQBV6qC3o8ZF9&#10;ZkOzb0N2G6O/vlso9DjMzDfMcj3aVgzU+8axgnSWgCCunG64VvD5UT69gPABWWPrmBTcyMN6NXlY&#10;YqHdld9pOIZaRAj7AhWYELpCSl8ZsuhnriOO3sX1FkOUfS11j9cIt63MkuRZWmw4LhjsaGuo+jp+&#10;WwXDfZ8fWlvLt3G3Cafcp+ftvFRq+jhuFiACjeE//Nd+1QryLIXfM/EIy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Ne+isYAAADcAAAADwAAAAAAAAAAAAAAAACYAgAAZHJz&#10;L2Rvd25yZXYueG1sUEsFBgAAAAAEAAQA9QAAAIsDAAAAAA==&#10;" path="m,778l,e" filled="f" strokeweight="2.52pt">
                  <v:path arrowok="t" o:connecttype="custom" o:connectlocs="0,778;0,0" o:connectangles="0,0"/>
                </v:shape>
                <v:shape id="Freeform 614" o:spid="_x0000_s1210" style="position:absolute;left:10000;top:3495;width:1785;height:20;visibility:visible;mso-wrap-style:square;v-text-anchor:top" coordsize="178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8568QA&#10;AADcAAAADwAAAGRycy9kb3ducmV2LnhtbESPQYvCMBSE74L/ITzBm6ZbXZGuUaog6MGF7a73R/Ns&#10;i81LbaLWf28EYY/DzHzDLFadqcWNWldZVvAxjkAQ51ZXXCj4+92O5iCcR9ZYWyYFD3KwWvZ7C0y0&#10;vfMP3TJfiABhl6CC0vsmkdLlJRl0Y9sQB+9kW4M+yLaQusV7gJtaxlE0kwYrDgslNrQpKT9nV6Og&#10;OJ3ddHa8puvHPq0m35P95VB/KjUcdOkXCE+d/w+/2zutYBrH8DoTjoB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POevEAAAA3AAAAA8AAAAAAAAAAAAAAAAAmAIAAGRycy9k&#10;b3ducmV2LnhtbFBLBQYAAAAABAAEAPUAAACJAwAAAAA=&#10;" path="m,l1785,e" filled="f" strokeweight="2.52pt">
                  <v:path arrowok="t" o:connecttype="custom" o:connectlocs="0,0;1785,0" o:connectangles="0,0"/>
                </v:shape>
                <v:shape id="Text Box 615" o:spid="_x0000_s1211" type="#_x0000_t202" style="position:absolute;left:9187;top:1104;width:281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cwfMYA&#10;AADcAAAADwAAAGRycy9kb3ducmV2LnhtbESPQWvCQBSE70L/w/IK3nRTLVLTrCKlBaFQGuPB4zP7&#10;kixm36bZVeO/dwuFHoeZ+YbJ1oNtxYV6bxwreJomIIhLpw3XCvbFx+QFhA/IGlvHpOBGHtarh1GG&#10;qXZXzumyC7WIEPYpKmhC6FIpfdmQRT91HXH0KtdbDFH2tdQ9XiPctnKWJAtp0XBcaLCjt4bK0+5s&#10;FWwOnL+bn6/jd17lpiiWCX8uTkqNH4fNK4hAQ/gP/7W3WsHzbA6/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9cwfMYAAADcAAAADwAAAAAAAAAAAAAAAACYAgAAZHJz&#10;L2Rvd25yZXYueG1sUEsFBgAAAAAEAAQA9QAAAIsDAAAAAA==&#10;" filled="f" stroked="f">
                  <v:textbox inset="0,0,0,0">
                    <w:txbxContent>
                      <w:p w:rsidR="007B2B7B" w:rsidRDefault="007B2B7B">
                        <w:pPr>
                          <w:pStyle w:val="BodyText"/>
                          <w:kinsoku w:val="0"/>
                          <w:overflowPunct w:val="0"/>
                          <w:spacing w:line="360" w:lineRule="exact"/>
                          <w:ind w:right="-2"/>
                          <w:rPr>
                            <w:rFonts w:ascii="Arial" w:hAnsi="Arial" w:cs="Arial"/>
                            <w:w w:val="90"/>
                            <w:sz w:val="18"/>
                            <w:szCs w:val="18"/>
                          </w:rPr>
                        </w:pPr>
                        <w:r>
                          <w:rPr>
                            <w:rFonts w:ascii="Arial" w:hAnsi="Arial" w:cs="Arial"/>
                            <w:w w:val="90"/>
                            <w:sz w:val="36"/>
                            <w:szCs w:val="36"/>
                          </w:rPr>
                          <w:t>*</w:t>
                        </w:r>
                        <w:r>
                          <w:rPr>
                            <w:rFonts w:ascii="Arial" w:hAnsi="Arial" w:cs="Arial"/>
                            <w:spacing w:val="-64"/>
                            <w:w w:val="90"/>
                            <w:sz w:val="36"/>
                            <w:szCs w:val="36"/>
                          </w:rPr>
                          <w:t xml:space="preserve"> </w:t>
                        </w:r>
                        <w:r>
                          <w:rPr>
                            <w:rFonts w:ascii="Arial" w:hAnsi="Arial" w:cs="Arial"/>
                            <w:w w:val="90"/>
                            <w:position w:val="-3"/>
                            <w:sz w:val="14"/>
                            <w:szCs w:val="14"/>
                          </w:rPr>
                          <w:t>1</w:t>
                        </w:r>
                        <w:r>
                          <w:rPr>
                            <w:rFonts w:ascii="Arial" w:hAnsi="Arial" w:cs="Arial"/>
                            <w:spacing w:val="-16"/>
                            <w:w w:val="90"/>
                            <w:position w:val="-3"/>
                            <w:sz w:val="14"/>
                            <w:szCs w:val="14"/>
                          </w:rPr>
                          <w:t xml:space="preserve"> </w:t>
                        </w:r>
                        <w:r>
                          <w:rPr>
                            <w:rFonts w:ascii="Arial" w:hAnsi="Arial" w:cs="Arial"/>
                            <w:w w:val="90"/>
                            <w:sz w:val="18"/>
                            <w:szCs w:val="18"/>
                          </w:rPr>
                          <w:t>Sexual</w:t>
                        </w:r>
                        <w:r>
                          <w:rPr>
                            <w:rFonts w:ascii="Arial" w:hAnsi="Arial" w:cs="Arial"/>
                            <w:spacing w:val="-30"/>
                            <w:w w:val="90"/>
                            <w:sz w:val="18"/>
                            <w:szCs w:val="18"/>
                          </w:rPr>
                          <w:t xml:space="preserve"> </w:t>
                        </w:r>
                        <w:r>
                          <w:rPr>
                            <w:rFonts w:ascii="Arial" w:hAnsi="Arial" w:cs="Arial"/>
                            <w:w w:val="90"/>
                            <w:sz w:val="18"/>
                            <w:szCs w:val="18"/>
                          </w:rPr>
                          <w:t>Assault</w:t>
                        </w:r>
                        <w:r>
                          <w:rPr>
                            <w:rFonts w:ascii="Arial" w:hAnsi="Arial" w:cs="Arial"/>
                            <w:spacing w:val="-32"/>
                            <w:w w:val="90"/>
                            <w:sz w:val="18"/>
                            <w:szCs w:val="18"/>
                          </w:rPr>
                          <w:t xml:space="preserve"> </w:t>
                        </w:r>
                        <w:r>
                          <w:rPr>
                            <w:rFonts w:ascii="Arial" w:hAnsi="Arial" w:cs="Arial"/>
                            <w:i/>
                            <w:iCs/>
                            <w:w w:val="90"/>
                            <w:sz w:val="19"/>
                            <w:szCs w:val="19"/>
                          </w:rPr>
                          <w:t>I</w:t>
                        </w:r>
                        <w:r>
                          <w:rPr>
                            <w:rFonts w:ascii="Arial" w:hAnsi="Arial" w:cs="Arial"/>
                            <w:i/>
                            <w:iCs/>
                            <w:spacing w:val="-31"/>
                            <w:w w:val="90"/>
                            <w:sz w:val="19"/>
                            <w:szCs w:val="19"/>
                          </w:rPr>
                          <w:t xml:space="preserve"> </w:t>
                        </w:r>
                        <w:r>
                          <w:rPr>
                            <w:rFonts w:ascii="Arial" w:hAnsi="Arial" w:cs="Arial"/>
                            <w:w w:val="90"/>
                            <w:sz w:val="18"/>
                            <w:szCs w:val="18"/>
                          </w:rPr>
                          <w:t>RapeCrisis</w:t>
                        </w:r>
                        <w:r>
                          <w:rPr>
                            <w:rFonts w:ascii="Arial" w:hAnsi="Arial" w:cs="Arial"/>
                            <w:spacing w:val="-27"/>
                            <w:w w:val="90"/>
                            <w:sz w:val="18"/>
                            <w:szCs w:val="18"/>
                          </w:rPr>
                          <w:t xml:space="preserve"> </w:t>
                        </w:r>
                        <w:r>
                          <w:rPr>
                            <w:rFonts w:ascii="Arial" w:hAnsi="Arial" w:cs="Arial"/>
                            <w:w w:val="90"/>
                            <w:sz w:val="18"/>
                            <w:szCs w:val="18"/>
                          </w:rPr>
                          <w:t>Program</w:t>
                        </w:r>
                      </w:p>
                    </w:txbxContent>
                  </v:textbox>
                </v:shape>
                <v:shape id="Text Box 616" o:spid="_x0000_s1212" type="#_x0000_t202" style="position:absolute;left:12610;top:1246;width:2022;height: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6oCMUA&#10;AADcAAAADwAAAGRycy9kb3ducmV2LnhtbESPQWvCQBSE70L/w/IKvZlNRcSmbkRKCwVBjOmhx9fs&#10;M1mSfZtmtxr/vSsIPQ4z8w2zWo+2EycavHGs4DlJQRBXThuuFXyVH9MlCB+QNXaOScGFPKzzh8kK&#10;M+3OXNDpEGoRIewzVNCE0GdS+qohiz5xPXH0jm6wGKIcaqkHPEe47eQsTRfSouG40GBPbw1V7eHP&#10;Kth8c/Fufnc/++JYmLJ8SXm7aJV6ehw3ryACjeE/fG9/agXz2RxuZ+IRk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PqgIxQAAANwAAAAPAAAAAAAAAAAAAAAAAJgCAABkcnMv&#10;ZG93bnJldi54bWxQSwUGAAAAAAQABAD1AAAAigMAAAAA&#10;" filled="f" stroked="f">
                  <v:textbox inset="0,0,0,0">
                    <w:txbxContent>
                      <w:p w:rsidR="007B2B7B" w:rsidRDefault="007B2B7B">
                        <w:pPr>
                          <w:pStyle w:val="BodyText"/>
                          <w:kinsoku w:val="0"/>
                          <w:overflowPunct w:val="0"/>
                          <w:spacing w:line="184" w:lineRule="exact"/>
                          <w:ind w:left="4" w:right="-3"/>
                          <w:rPr>
                            <w:rFonts w:ascii="Arial" w:hAnsi="Arial" w:cs="Arial"/>
                            <w:w w:val="80"/>
                            <w:sz w:val="18"/>
                            <w:szCs w:val="18"/>
                          </w:rPr>
                        </w:pPr>
                        <w:r>
                          <w:rPr>
                            <w:rFonts w:ascii="Arial" w:hAnsi="Arial" w:cs="Arial"/>
                            <w:w w:val="80"/>
                            <w:sz w:val="18"/>
                            <w:szCs w:val="18"/>
                          </w:rPr>
                          <w:t>Emergency  Domestic Violence</w:t>
                        </w:r>
                      </w:p>
                      <w:p w:rsidR="007B2B7B" w:rsidRDefault="007B2B7B">
                        <w:pPr>
                          <w:pStyle w:val="BodyText"/>
                          <w:kinsoku w:val="0"/>
                          <w:overflowPunct w:val="0"/>
                          <w:spacing w:before="2" w:line="203" w:lineRule="exact"/>
                          <w:ind w:right="-3"/>
                          <w:rPr>
                            <w:rFonts w:ascii="Arial" w:hAnsi="Arial" w:cs="Arial"/>
                            <w:sz w:val="18"/>
                            <w:szCs w:val="18"/>
                          </w:rPr>
                        </w:pPr>
                        <w:r>
                          <w:rPr>
                            <w:rFonts w:ascii="Arial" w:hAnsi="Arial" w:cs="Arial"/>
                            <w:sz w:val="18"/>
                            <w:szCs w:val="18"/>
                          </w:rPr>
                          <w:t>Shelter</w:t>
                        </w:r>
                      </w:p>
                    </w:txbxContent>
                  </v:textbox>
                </v:shape>
                <v:shape id="Text Box 617" o:spid="_x0000_s1213" type="#_x0000_t202" style="position:absolute;left:9072;top:1642;width:6134;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I6V8UA&#10;AADcAAAADwAAAGRycy9kb3ducmV2LnhtbESPQWvCQBSE7wX/w/IEb3WjLaLRVURaEARpjAePz+wz&#10;Wcy+TbOrpv/eLRR6HGbmG2ax6mwt7tR641jBaJiAIC6cNlwqOOafr1MQPiBrrB2Tgh/ysFr2XhaY&#10;avfgjO6HUIoIYZ+igiqEJpXSFxVZ9EPXEEfv4lqLIcq2lLrFR4TbWo6TZCItGo4LFTa0qai4Hm5W&#10;wfrE2Yf53p+/sktm8nyW8G5yVWrQ79ZzEIG68B/+a2+1grfpO/yeiUdAL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8jpXxQAAANwAAAAPAAAAAAAAAAAAAAAAAJgCAABkcnMv&#10;ZG93bnJldi54bWxQSwUGAAAAAAQABAD1AAAAigMAAAAA&#10;" filled="f" stroked="f">
                  <v:textbox inset="0,0,0,0">
                    <w:txbxContent>
                      <w:p w:rsidR="007B2B7B" w:rsidRDefault="007B2B7B">
                        <w:pPr>
                          <w:pStyle w:val="BodyText"/>
                          <w:kinsoku w:val="0"/>
                          <w:overflowPunct w:val="0"/>
                          <w:spacing w:before="7"/>
                          <w:ind w:left="2260" w:right="2265"/>
                          <w:jc w:val="center"/>
                          <w:rPr>
                            <w:rFonts w:ascii="Arial" w:hAnsi="Arial" w:cs="Arial"/>
                            <w:w w:val="95"/>
                            <w:sz w:val="18"/>
                            <w:szCs w:val="18"/>
                          </w:rPr>
                        </w:pPr>
                        <w:r>
                          <w:rPr>
                            <w:rFonts w:ascii="Arial" w:hAnsi="Arial" w:cs="Arial"/>
                            <w:w w:val="95"/>
                            <w:sz w:val="18"/>
                            <w:szCs w:val="18"/>
                          </w:rPr>
                          <w:t>JDI members in bold</w:t>
                        </w:r>
                      </w:p>
                    </w:txbxContent>
                  </v:textbox>
                </v:shape>
                <w10:wrap anchorx="page"/>
              </v:group>
            </w:pict>
          </mc:Fallback>
        </mc:AlternateContent>
      </w:r>
      <w:r w:rsidR="002C5025">
        <w:rPr>
          <w:rFonts w:ascii="Arial" w:hAnsi="Arial" w:cs="Arial"/>
          <w:spacing w:val="-4"/>
          <w:w w:val="85"/>
        </w:rPr>
        <w:t>locate</w:t>
      </w:r>
      <w:r w:rsidR="002C5025">
        <w:rPr>
          <w:rFonts w:ascii="Arial" w:hAnsi="Arial" w:cs="Arial"/>
          <w:spacing w:val="-31"/>
          <w:w w:val="85"/>
        </w:rPr>
        <w:t xml:space="preserve"> </w:t>
      </w:r>
      <w:r w:rsidR="002C5025">
        <w:rPr>
          <w:rFonts w:ascii="Arial" w:hAnsi="Arial" w:cs="Arial"/>
          <w:w w:val="85"/>
        </w:rPr>
        <w:t>programs</w:t>
      </w:r>
      <w:r w:rsidR="002C5025">
        <w:rPr>
          <w:rFonts w:ascii="Arial" w:hAnsi="Arial" w:cs="Arial"/>
          <w:spacing w:val="-25"/>
          <w:w w:val="85"/>
        </w:rPr>
        <w:t xml:space="preserve"> </w:t>
      </w:r>
      <w:proofErr w:type="spellStart"/>
      <w:r w:rsidR="002C5025">
        <w:rPr>
          <w:rFonts w:ascii="Arial" w:hAnsi="Arial" w:cs="Arial"/>
          <w:spacing w:val="2"/>
          <w:w w:val="85"/>
        </w:rPr>
        <w:t>bycity</w:t>
      </w:r>
      <w:proofErr w:type="spellEnd"/>
      <w:r w:rsidR="002C5025">
        <w:rPr>
          <w:rFonts w:ascii="Arial" w:hAnsi="Arial" w:cs="Arial"/>
          <w:spacing w:val="-36"/>
          <w:w w:val="85"/>
        </w:rPr>
        <w:t xml:space="preserve"> </w:t>
      </w:r>
      <w:r w:rsidR="002C5025">
        <w:rPr>
          <w:rFonts w:ascii="Arial" w:hAnsi="Arial" w:cs="Arial"/>
          <w:w w:val="85"/>
        </w:rPr>
        <w:t>or</w:t>
      </w:r>
      <w:r w:rsidR="002C5025">
        <w:rPr>
          <w:rFonts w:ascii="Arial" w:hAnsi="Arial" w:cs="Arial"/>
          <w:spacing w:val="-36"/>
          <w:w w:val="85"/>
        </w:rPr>
        <w:t xml:space="preserve"> </w:t>
      </w:r>
      <w:proofErr w:type="spellStart"/>
      <w:r w:rsidR="002C5025">
        <w:rPr>
          <w:rFonts w:ascii="Arial" w:hAnsi="Arial" w:cs="Arial"/>
          <w:spacing w:val="2"/>
          <w:w w:val="85"/>
        </w:rPr>
        <w:t>zipcode</w:t>
      </w:r>
      <w:proofErr w:type="spellEnd"/>
      <w:r w:rsidR="002C5025">
        <w:rPr>
          <w:rFonts w:ascii="Arial" w:hAnsi="Arial" w:cs="Arial"/>
          <w:spacing w:val="2"/>
          <w:w w:val="85"/>
        </w:rPr>
        <w:t>.</w:t>
      </w:r>
      <w:r w:rsidR="002C5025">
        <w:rPr>
          <w:rFonts w:ascii="Arial" w:hAnsi="Arial" w:cs="Arial"/>
          <w:spacing w:val="2"/>
          <w:w w:val="85"/>
        </w:rPr>
        <w:tab/>
      </w:r>
      <w:r w:rsidR="002C5025">
        <w:rPr>
          <w:rFonts w:ascii="Arial" w:hAnsi="Arial" w:cs="Arial"/>
          <w:w w:val="95"/>
          <w:position w:val="1"/>
          <w:sz w:val="12"/>
          <w:szCs w:val="12"/>
        </w:rPr>
        <w:t>Amesbury</w:t>
      </w:r>
    </w:p>
    <w:p w:rsidR="002C5025" w:rsidRDefault="002C5025">
      <w:pPr>
        <w:pStyle w:val="BodyText"/>
        <w:kinsoku w:val="0"/>
        <w:overflowPunct w:val="0"/>
        <w:rPr>
          <w:rFonts w:ascii="Arial" w:hAnsi="Arial" w:cs="Arial"/>
        </w:rPr>
      </w:pPr>
    </w:p>
    <w:p w:rsidR="002C5025" w:rsidRDefault="002C5025">
      <w:pPr>
        <w:pStyle w:val="BodyText"/>
        <w:kinsoku w:val="0"/>
        <w:overflowPunct w:val="0"/>
        <w:spacing w:before="10"/>
        <w:rPr>
          <w:rFonts w:ascii="Arial" w:hAnsi="Arial" w:cs="Arial"/>
          <w:sz w:val="30"/>
          <w:szCs w:val="30"/>
        </w:rPr>
      </w:pPr>
    </w:p>
    <w:p w:rsidR="002C5025" w:rsidRDefault="002C5025">
      <w:pPr>
        <w:pStyle w:val="BodyText"/>
        <w:kinsoku w:val="0"/>
        <w:overflowPunct w:val="0"/>
        <w:spacing w:before="1" w:line="100" w:lineRule="exact"/>
        <w:ind w:left="2780"/>
        <w:rPr>
          <w:rFonts w:ascii="Arial" w:hAnsi="Arial" w:cs="Arial"/>
          <w:w w:val="177"/>
          <w:sz w:val="12"/>
          <w:szCs w:val="12"/>
        </w:rPr>
      </w:pPr>
      <w:r>
        <w:rPr>
          <w:rFonts w:ascii="Arial" w:hAnsi="Arial" w:cs="Arial"/>
          <w:w w:val="177"/>
          <w:sz w:val="12"/>
          <w:szCs w:val="12"/>
        </w:rPr>
        <w:t>0</w:t>
      </w:r>
    </w:p>
    <w:p w:rsidR="002C5025" w:rsidRDefault="002C5025">
      <w:pPr>
        <w:pStyle w:val="BodyText"/>
        <w:tabs>
          <w:tab w:val="left" w:pos="3997"/>
          <w:tab w:val="left" w:pos="9380"/>
          <w:tab w:val="left" w:pos="12467"/>
        </w:tabs>
        <w:kinsoku w:val="0"/>
        <w:overflowPunct w:val="0"/>
        <w:spacing w:line="167" w:lineRule="exact"/>
        <w:ind w:left="2603"/>
        <w:rPr>
          <w:rFonts w:ascii="Arial" w:hAnsi="Arial" w:cs="Arial"/>
          <w:w w:val="85"/>
          <w:sz w:val="18"/>
          <w:szCs w:val="18"/>
        </w:rPr>
      </w:pPr>
      <w:r>
        <w:rPr>
          <w:rFonts w:ascii="Arial" w:hAnsi="Arial" w:cs="Arial"/>
          <w:w w:val="90"/>
          <w:position w:val="1"/>
          <w:sz w:val="12"/>
          <w:szCs w:val="12"/>
        </w:rPr>
        <w:t>Greenfield</w:t>
      </w:r>
      <w:r>
        <w:rPr>
          <w:rFonts w:ascii="Arial" w:hAnsi="Arial" w:cs="Arial"/>
          <w:w w:val="90"/>
          <w:position w:val="1"/>
          <w:sz w:val="12"/>
          <w:szCs w:val="12"/>
        </w:rPr>
        <w:tab/>
      </w:r>
      <w:r>
        <w:rPr>
          <w:rFonts w:ascii="Arial" w:hAnsi="Arial" w:cs="Arial"/>
          <w:w w:val="95"/>
          <w:sz w:val="12"/>
          <w:szCs w:val="12"/>
        </w:rPr>
        <w:t>Fitchburg</w:t>
      </w:r>
      <w:r>
        <w:rPr>
          <w:rFonts w:ascii="Arial" w:hAnsi="Arial" w:cs="Arial"/>
          <w:spacing w:val="-10"/>
          <w:w w:val="95"/>
          <w:sz w:val="12"/>
          <w:szCs w:val="12"/>
        </w:rPr>
        <w:t xml:space="preserve"> </w:t>
      </w:r>
      <w:r>
        <w:rPr>
          <w:rFonts w:ascii="Arial" w:hAnsi="Arial" w:cs="Arial"/>
          <w:w w:val="95"/>
          <w:sz w:val="12"/>
          <w:szCs w:val="12"/>
        </w:rPr>
        <w:t>0</w:t>
      </w:r>
      <w:r>
        <w:rPr>
          <w:rFonts w:ascii="Arial" w:hAnsi="Arial" w:cs="Arial"/>
          <w:w w:val="95"/>
          <w:sz w:val="12"/>
          <w:szCs w:val="12"/>
        </w:rPr>
        <w:tab/>
      </w:r>
      <w:r>
        <w:rPr>
          <w:rFonts w:ascii="Arial" w:hAnsi="Arial" w:cs="Arial"/>
          <w:w w:val="85"/>
          <w:sz w:val="18"/>
          <w:szCs w:val="18"/>
        </w:rPr>
        <w:t>Domestic</w:t>
      </w:r>
      <w:r>
        <w:rPr>
          <w:rFonts w:ascii="Arial" w:hAnsi="Arial" w:cs="Arial"/>
          <w:spacing w:val="-19"/>
          <w:w w:val="85"/>
          <w:sz w:val="18"/>
          <w:szCs w:val="18"/>
        </w:rPr>
        <w:t xml:space="preserve"> </w:t>
      </w:r>
      <w:r>
        <w:rPr>
          <w:rFonts w:ascii="Arial" w:hAnsi="Arial" w:cs="Arial"/>
          <w:w w:val="85"/>
          <w:sz w:val="18"/>
          <w:szCs w:val="18"/>
        </w:rPr>
        <w:t>Violence</w:t>
      </w:r>
      <w:r>
        <w:rPr>
          <w:rFonts w:ascii="Arial" w:hAnsi="Arial" w:cs="Arial"/>
          <w:spacing w:val="-10"/>
          <w:w w:val="85"/>
          <w:sz w:val="18"/>
          <w:szCs w:val="18"/>
        </w:rPr>
        <w:t xml:space="preserve"> </w:t>
      </w:r>
      <w:proofErr w:type="spellStart"/>
      <w:r>
        <w:rPr>
          <w:rFonts w:ascii="Arial" w:hAnsi="Arial" w:cs="Arial"/>
          <w:w w:val="85"/>
          <w:sz w:val="18"/>
          <w:szCs w:val="18"/>
        </w:rPr>
        <w:t>Proaram</w:t>
      </w:r>
      <w:proofErr w:type="spellEnd"/>
      <w:r>
        <w:rPr>
          <w:rFonts w:ascii="Arial" w:hAnsi="Arial" w:cs="Arial"/>
          <w:w w:val="85"/>
          <w:sz w:val="18"/>
          <w:szCs w:val="18"/>
        </w:rPr>
        <w:tab/>
        <w:t>24</w:t>
      </w:r>
      <w:r>
        <w:rPr>
          <w:rFonts w:ascii="Arial" w:hAnsi="Arial" w:cs="Arial"/>
          <w:spacing w:val="-14"/>
          <w:w w:val="85"/>
          <w:sz w:val="18"/>
          <w:szCs w:val="18"/>
        </w:rPr>
        <w:t xml:space="preserve"> </w:t>
      </w:r>
      <w:r>
        <w:rPr>
          <w:rFonts w:ascii="Arial" w:hAnsi="Arial" w:cs="Arial"/>
          <w:w w:val="85"/>
          <w:sz w:val="18"/>
          <w:szCs w:val="18"/>
        </w:rPr>
        <w:t>Hour</w:t>
      </w:r>
      <w:r>
        <w:rPr>
          <w:rFonts w:ascii="Arial" w:hAnsi="Arial" w:cs="Arial"/>
          <w:spacing w:val="-15"/>
          <w:w w:val="85"/>
          <w:sz w:val="18"/>
          <w:szCs w:val="18"/>
        </w:rPr>
        <w:t xml:space="preserve"> </w:t>
      </w:r>
      <w:r>
        <w:rPr>
          <w:rFonts w:ascii="Arial" w:hAnsi="Arial" w:cs="Arial"/>
          <w:w w:val="85"/>
          <w:sz w:val="18"/>
          <w:szCs w:val="18"/>
        </w:rPr>
        <w:t>Free</w:t>
      </w:r>
      <w:r>
        <w:rPr>
          <w:rFonts w:ascii="Arial" w:hAnsi="Arial" w:cs="Arial"/>
          <w:spacing w:val="-17"/>
          <w:w w:val="85"/>
          <w:sz w:val="18"/>
          <w:szCs w:val="18"/>
        </w:rPr>
        <w:t xml:space="preserve"> </w:t>
      </w:r>
      <w:r>
        <w:rPr>
          <w:rFonts w:ascii="Arial" w:hAnsi="Arial" w:cs="Arial"/>
          <w:w w:val="85"/>
          <w:sz w:val="18"/>
          <w:szCs w:val="18"/>
        </w:rPr>
        <w:t>&amp;</w:t>
      </w:r>
      <w:r>
        <w:rPr>
          <w:rFonts w:ascii="Arial" w:hAnsi="Arial" w:cs="Arial"/>
          <w:spacing w:val="-21"/>
          <w:w w:val="85"/>
          <w:sz w:val="18"/>
          <w:szCs w:val="18"/>
        </w:rPr>
        <w:t xml:space="preserve"> </w:t>
      </w:r>
      <w:r>
        <w:rPr>
          <w:rFonts w:ascii="Arial" w:hAnsi="Arial" w:cs="Arial"/>
          <w:w w:val="85"/>
          <w:sz w:val="18"/>
          <w:szCs w:val="18"/>
        </w:rPr>
        <w:t>Confidential</w:t>
      </w:r>
      <w:r>
        <w:rPr>
          <w:rFonts w:ascii="Arial" w:hAnsi="Arial" w:cs="Arial"/>
          <w:spacing w:val="-4"/>
          <w:w w:val="85"/>
          <w:sz w:val="18"/>
          <w:szCs w:val="18"/>
        </w:rPr>
        <w:t xml:space="preserve"> </w:t>
      </w:r>
      <w:r>
        <w:rPr>
          <w:rFonts w:ascii="Arial" w:hAnsi="Arial" w:cs="Arial"/>
          <w:w w:val="85"/>
          <w:sz w:val="18"/>
          <w:szCs w:val="18"/>
        </w:rPr>
        <w:t>Hotline</w:t>
      </w:r>
    </w:p>
    <w:p w:rsidR="002C5025" w:rsidRDefault="002C5025">
      <w:pPr>
        <w:pStyle w:val="BodyText"/>
        <w:kinsoku w:val="0"/>
        <w:overflowPunct w:val="0"/>
        <w:spacing w:line="143" w:lineRule="exact"/>
        <w:ind w:right="6410"/>
        <w:jc w:val="center"/>
        <w:rPr>
          <w:rFonts w:ascii="Times New Roman" w:hAnsi="Times New Roman" w:cs="Times New Roman"/>
          <w:w w:val="163"/>
          <w:sz w:val="13"/>
          <w:szCs w:val="13"/>
        </w:rPr>
      </w:pPr>
      <w:r>
        <w:rPr>
          <w:rFonts w:ascii="Times New Roman" w:hAnsi="Times New Roman" w:cs="Times New Roman"/>
          <w:w w:val="163"/>
          <w:sz w:val="13"/>
          <w:szCs w:val="13"/>
        </w:rPr>
        <w:t>0</w:t>
      </w:r>
    </w:p>
    <w:p w:rsidR="002C5025" w:rsidRDefault="002C5025">
      <w:pPr>
        <w:pStyle w:val="BodyText"/>
        <w:kinsoku w:val="0"/>
        <w:overflowPunct w:val="0"/>
        <w:spacing w:line="156" w:lineRule="exact"/>
        <w:ind w:left="4280" w:right="10699"/>
        <w:jc w:val="center"/>
        <w:rPr>
          <w:rFonts w:ascii="Times New Roman" w:hAnsi="Times New Roman" w:cs="Times New Roman"/>
          <w:w w:val="95"/>
          <w:sz w:val="14"/>
          <w:szCs w:val="14"/>
        </w:rPr>
      </w:pPr>
      <w:proofErr w:type="spellStart"/>
      <w:r>
        <w:rPr>
          <w:rFonts w:ascii="Times New Roman" w:hAnsi="Times New Roman" w:cs="Times New Roman"/>
          <w:w w:val="95"/>
          <w:sz w:val="14"/>
          <w:szCs w:val="14"/>
        </w:rPr>
        <w:t>loomilster</w:t>
      </w:r>
      <w:proofErr w:type="spellEnd"/>
    </w:p>
    <w:p w:rsidR="002C5025" w:rsidRDefault="002C5025">
      <w:pPr>
        <w:pStyle w:val="BodyText"/>
        <w:kinsoku w:val="0"/>
        <w:overflowPunct w:val="0"/>
        <w:spacing w:line="156" w:lineRule="exact"/>
        <w:ind w:left="4280" w:right="10699"/>
        <w:jc w:val="center"/>
        <w:rPr>
          <w:rFonts w:ascii="Times New Roman" w:hAnsi="Times New Roman" w:cs="Times New Roman"/>
          <w:w w:val="95"/>
          <w:sz w:val="14"/>
          <w:szCs w:val="14"/>
        </w:rPr>
        <w:sectPr w:rsidR="002C5025">
          <w:pgSz w:w="15840" w:h="12240" w:orient="landscape"/>
          <w:pgMar w:top="1140" w:right="140" w:bottom="280" w:left="140" w:header="720" w:footer="720" w:gutter="0"/>
          <w:cols w:space="720" w:equalWidth="0">
            <w:col w:w="15560"/>
          </w:cols>
          <w:noEndnote/>
        </w:sectPr>
      </w:pPr>
    </w:p>
    <w:p w:rsidR="002C5025" w:rsidRDefault="002C5025">
      <w:pPr>
        <w:pStyle w:val="BodyText"/>
        <w:kinsoku w:val="0"/>
        <w:overflowPunct w:val="0"/>
        <w:rPr>
          <w:rFonts w:ascii="Times New Roman" w:hAnsi="Times New Roman" w:cs="Times New Roman"/>
          <w:sz w:val="12"/>
          <w:szCs w:val="12"/>
        </w:rPr>
      </w:pPr>
    </w:p>
    <w:p w:rsidR="002C5025" w:rsidRDefault="002C5025">
      <w:pPr>
        <w:pStyle w:val="BodyText"/>
        <w:kinsoku w:val="0"/>
        <w:overflowPunct w:val="0"/>
        <w:spacing w:before="3"/>
        <w:rPr>
          <w:rFonts w:ascii="Times New Roman" w:hAnsi="Times New Roman" w:cs="Times New Roman"/>
          <w:sz w:val="11"/>
          <w:szCs w:val="11"/>
        </w:rPr>
      </w:pPr>
    </w:p>
    <w:p w:rsidR="002C5025" w:rsidRDefault="002C5025">
      <w:pPr>
        <w:pStyle w:val="BodyText"/>
        <w:kinsoku w:val="0"/>
        <w:overflowPunct w:val="0"/>
        <w:spacing w:before="1" w:line="143" w:lineRule="exact"/>
        <w:ind w:right="213"/>
        <w:jc w:val="right"/>
        <w:rPr>
          <w:rFonts w:ascii="Times New Roman" w:hAnsi="Times New Roman" w:cs="Times New Roman"/>
          <w:w w:val="163"/>
          <w:sz w:val="13"/>
          <w:szCs w:val="13"/>
        </w:rPr>
      </w:pPr>
      <w:r>
        <w:rPr>
          <w:rFonts w:ascii="Times New Roman" w:hAnsi="Times New Roman" w:cs="Times New Roman"/>
          <w:w w:val="163"/>
          <w:sz w:val="13"/>
          <w:szCs w:val="13"/>
        </w:rPr>
        <w:t>0</w:t>
      </w:r>
    </w:p>
    <w:p w:rsidR="002C5025" w:rsidRDefault="002C5025">
      <w:pPr>
        <w:pStyle w:val="BodyText"/>
        <w:kinsoku w:val="0"/>
        <w:overflowPunct w:val="0"/>
        <w:spacing w:line="150" w:lineRule="exact"/>
        <w:ind w:right="5"/>
        <w:jc w:val="right"/>
        <w:rPr>
          <w:rFonts w:ascii="Times New Roman" w:hAnsi="Times New Roman" w:cs="Times New Roman"/>
          <w:w w:val="70"/>
          <w:sz w:val="14"/>
          <w:szCs w:val="14"/>
        </w:rPr>
      </w:pPr>
      <w:r>
        <w:rPr>
          <w:rFonts w:ascii="Times New Roman" w:hAnsi="Times New Roman" w:cs="Times New Roman"/>
          <w:w w:val="70"/>
          <w:sz w:val="14"/>
          <w:szCs w:val="14"/>
        </w:rPr>
        <w:t>Northampton</w:t>
      </w:r>
    </w:p>
    <w:p w:rsidR="002C5025" w:rsidRDefault="002C5025">
      <w:pPr>
        <w:pStyle w:val="BodyText"/>
        <w:kinsoku w:val="0"/>
        <w:overflowPunct w:val="0"/>
        <w:spacing w:line="156" w:lineRule="exact"/>
        <w:jc w:val="right"/>
        <w:rPr>
          <w:rFonts w:ascii="Times New Roman" w:hAnsi="Times New Roman" w:cs="Times New Roman"/>
          <w:w w:val="146"/>
          <w:sz w:val="14"/>
          <w:szCs w:val="14"/>
        </w:rPr>
      </w:pPr>
      <w:r>
        <w:rPr>
          <w:rFonts w:ascii="Times New Roman" w:hAnsi="Times New Roman" w:cs="Times New Roman"/>
          <w:w w:val="146"/>
          <w:sz w:val="14"/>
          <w:szCs w:val="14"/>
        </w:rPr>
        <w:t>0</w:t>
      </w:r>
    </w:p>
    <w:p w:rsidR="002C5025" w:rsidRDefault="002C5025">
      <w:pPr>
        <w:pStyle w:val="BodyText"/>
        <w:kinsoku w:val="0"/>
        <w:overflowPunct w:val="0"/>
        <w:spacing w:before="5"/>
        <w:rPr>
          <w:rFonts w:ascii="Times New Roman" w:hAnsi="Times New Roman" w:cs="Times New Roman"/>
          <w:sz w:val="9"/>
          <w:szCs w:val="9"/>
        </w:rPr>
      </w:pPr>
      <w:r>
        <w:rPr>
          <w:rFonts w:ascii="Times New Roman" w:hAnsi="Times New Roman" w:cs="Times New Roman"/>
          <w:sz w:val="24"/>
          <w:szCs w:val="24"/>
        </w:rPr>
        <w:br w:type="column"/>
      </w:r>
    </w:p>
    <w:p w:rsidR="002C5025" w:rsidRDefault="002C5025">
      <w:pPr>
        <w:pStyle w:val="BodyText"/>
        <w:tabs>
          <w:tab w:val="left" w:pos="1469"/>
        </w:tabs>
        <w:kinsoku w:val="0"/>
        <w:overflowPunct w:val="0"/>
        <w:spacing w:before="1" w:line="149" w:lineRule="exact"/>
        <w:ind w:left="1"/>
        <w:rPr>
          <w:rFonts w:ascii="Times New Roman" w:hAnsi="Times New Roman" w:cs="Times New Roman"/>
          <w:w w:val="105"/>
          <w:sz w:val="13"/>
          <w:szCs w:val="13"/>
        </w:rPr>
      </w:pPr>
      <w:proofErr w:type="spellStart"/>
      <w:r>
        <w:rPr>
          <w:rFonts w:ascii="Arial" w:hAnsi="Arial" w:cs="Arial"/>
          <w:w w:val="85"/>
          <w:sz w:val="13"/>
          <w:szCs w:val="13"/>
        </w:rPr>
        <w:t>OAmhernt</w:t>
      </w:r>
      <w:proofErr w:type="spellEnd"/>
      <w:r>
        <w:rPr>
          <w:rFonts w:ascii="Times New Roman" w:hAnsi="Times New Roman" w:cs="Times New Roman"/>
          <w:w w:val="85"/>
          <w:sz w:val="13"/>
          <w:szCs w:val="13"/>
        </w:rPr>
        <w:tab/>
      </w:r>
      <w:r>
        <w:rPr>
          <w:rFonts w:ascii="Times New Roman" w:hAnsi="Times New Roman" w:cs="Times New Roman"/>
          <w:w w:val="105"/>
          <w:sz w:val="13"/>
          <w:szCs w:val="13"/>
        </w:rPr>
        <w:t>0</w:t>
      </w:r>
    </w:p>
    <w:p w:rsidR="002C5025" w:rsidRDefault="002C5025">
      <w:pPr>
        <w:pStyle w:val="BodyText"/>
        <w:kinsoku w:val="0"/>
        <w:overflowPunct w:val="0"/>
        <w:spacing w:line="171" w:lineRule="exact"/>
        <w:jc w:val="right"/>
        <w:rPr>
          <w:rFonts w:ascii="Times New Roman" w:hAnsi="Times New Roman" w:cs="Times New Roman"/>
          <w:w w:val="85"/>
          <w:sz w:val="15"/>
          <w:szCs w:val="15"/>
        </w:rPr>
      </w:pPr>
      <w:r>
        <w:rPr>
          <w:rFonts w:ascii="Times New Roman" w:hAnsi="Times New Roman" w:cs="Times New Roman"/>
          <w:w w:val="85"/>
          <w:sz w:val="15"/>
          <w:szCs w:val="15"/>
        </w:rPr>
        <w:t>Worcester</w:t>
      </w:r>
    </w:p>
    <w:p w:rsidR="002C5025" w:rsidRDefault="002C5025">
      <w:pPr>
        <w:pStyle w:val="BodyText"/>
        <w:kinsoku w:val="0"/>
        <w:overflowPunct w:val="0"/>
        <w:rPr>
          <w:rFonts w:ascii="Times New Roman" w:hAnsi="Times New Roman" w:cs="Times New Roman"/>
          <w:sz w:val="14"/>
          <w:szCs w:val="14"/>
        </w:rPr>
      </w:pPr>
      <w:r>
        <w:rPr>
          <w:rFonts w:ascii="Times New Roman" w:hAnsi="Times New Roman" w:cs="Times New Roman"/>
          <w:sz w:val="24"/>
          <w:szCs w:val="24"/>
        </w:rPr>
        <w:br w:type="column"/>
      </w:r>
    </w:p>
    <w:p w:rsidR="002C5025" w:rsidRDefault="002C5025">
      <w:pPr>
        <w:pStyle w:val="BodyText"/>
        <w:kinsoku w:val="0"/>
        <w:overflowPunct w:val="0"/>
        <w:rPr>
          <w:rFonts w:ascii="Times New Roman" w:hAnsi="Times New Roman" w:cs="Times New Roman"/>
          <w:sz w:val="14"/>
          <w:szCs w:val="14"/>
        </w:rPr>
      </w:pPr>
    </w:p>
    <w:p w:rsidR="002C5025" w:rsidRDefault="002C5025">
      <w:pPr>
        <w:pStyle w:val="BodyText"/>
        <w:kinsoku w:val="0"/>
        <w:overflowPunct w:val="0"/>
        <w:spacing w:before="2"/>
        <w:rPr>
          <w:rFonts w:ascii="Times New Roman" w:hAnsi="Times New Roman" w:cs="Times New Roman"/>
          <w:sz w:val="20"/>
          <w:szCs w:val="20"/>
        </w:rPr>
      </w:pPr>
    </w:p>
    <w:p w:rsidR="002C5025" w:rsidRDefault="002C5025">
      <w:pPr>
        <w:pStyle w:val="BodyText"/>
        <w:kinsoku w:val="0"/>
        <w:overflowPunct w:val="0"/>
        <w:ind w:left="402"/>
        <w:rPr>
          <w:rFonts w:ascii="Times New Roman" w:hAnsi="Times New Roman" w:cs="Times New Roman"/>
          <w:w w:val="85"/>
          <w:sz w:val="14"/>
          <w:szCs w:val="14"/>
        </w:rPr>
      </w:pPr>
      <w:r>
        <w:rPr>
          <w:rFonts w:ascii="Times New Roman" w:hAnsi="Times New Roman" w:cs="Times New Roman"/>
          <w:w w:val="85"/>
          <w:sz w:val="14"/>
          <w:szCs w:val="14"/>
        </w:rPr>
        <w:t>Framingham</w:t>
      </w:r>
    </w:p>
    <w:p w:rsidR="002C5025" w:rsidRDefault="002C5025">
      <w:pPr>
        <w:pStyle w:val="BodyText"/>
        <w:kinsoku w:val="0"/>
        <w:overflowPunct w:val="0"/>
        <w:ind w:left="402"/>
        <w:rPr>
          <w:rFonts w:ascii="Times New Roman" w:hAnsi="Times New Roman" w:cs="Times New Roman"/>
          <w:w w:val="85"/>
          <w:sz w:val="14"/>
          <w:szCs w:val="14"/>
        </w:rPr>
        <w:sectPr w:rsidR="002C5025">
          <w:type w:val="continuous"/>
          <w:pgSz w:w="15840" w:h="12240" w:orient="landscape"/>
          <w:pgMar w:top="720" w:right="140" w:bottom="280" w:left="140" w:header="720" w:footer="720" w:gutter="0"/>
          <w:cols w:num="3" w:space="720" w:equalWidth="0">
            <w:col w:w="2863" w:space="40"/>
            <w:col w:w="1808" w:space="40"/>
            <w:col w:w="10809"/>
          </w:cols>
          <w:noEndnote/>
        </w:sectPr>
      </w:pPr>
    </w:p>
    <w:p w:rsidR="002C5025" w:rsidRDefault="002C5025">
      <w:pPr>
        <w:pStyle w:val="BodyText"/>
        <w:kinsoku w:val="0"/>
        <w:overflowPunct w:val="0"/>
        <w:spacing w:line="142" w:lineRule="exact"/>
        <w:ind w:right="222"/>
        <w:jc w:val="right"/>
        <w:rPr>
          <w:rFonts w:ascii="Arial" w:hAnsi="Arial" w:cs="Arial"/>
          <w:w w:val="85"/>
          <w:sz w:val="13"/>
          <w:szCs w:val="13"/>
        </w:rPr>
      </w:pPr>
      <w:r>
        <w:rPr>
          <w:rFonts w:ascii="Arial" w:hAnsi="Arial" w:cs="Arial"/>
          <w:w w:val="85"/>
          <w:sz w:val="13"/>
          <w:szCs w:val="13"/>
        </w:rPr>
        <w:lastRenderedPageBreak/>
        <w:t>Westfield0  Holyoke</w:t>
      </w:r>
    </w:p>
    <w:p w:rsidR="002C5025" w:rsidRDefault="002C5025">
      <w:pPr>
        <w:pStyle w:val="BodyText"/>
        <w:kinsoku w:val="0"/>
        <w:overflowPunct w:val="0"/>
        <w:spacing w:line="132" w:lineRule="exact"/>
        <w:ind w:right="164"/>
        <w:jc w:val="right"/>
        <w:rPr>
          <w:rFonts w:ascii="Arial" w:hAnsi="Arial" w:cs="Arial"/>
          <w:w w:val="172"/>
          <w:sz w:val="12"/>
          <w:szCs w:val="12"/>
        </w:rPr>
      </w:pPr>
      <w:r>
        <w:rPr>
          <w:rFonts w:ascii="Arial" w:hAnsi="Arial" w:cs="Arial"/>
          <w:w w:val="172"/>
          <w:sz w:val="12"/>
          <w:szCs w:val="12"/>
        </w:rPr>
        <w:t>0</w:t>
      </w:r>
    </w:p>
    <w:p w:rsidR="002C5025" w:rsidRDefault="002C5025">
      <w:pPr>
        <w:pStyle w:val="BodyText"/>
        <w:kinsoku w:val="0"/>
        <w:overflowPunct w:val="0"/>
        <w:spacing w:line="145" w:lineRule="exact"/>
        <w:jc w:val="right"/>
        <w:rPr>
          <w:rFonts w:ascii="Arial" w:hAnsi="Arial" w:cs="Arial"/>
          <w:w w:val="70"/>
          <w:sz w:val="13"/>
          <w:szCs w:val="13"/>
        </w:rPr>
      </w:pPr>
      <w:r>
        <w:rPr>
          <w:rFonts w:ascii="Arial" w:hAnsi="Arial" w:cs="Arial"/>
          <w:w w:val="70"/>
          <w:sz w:val="13"/>
          <w:szCs w:val="13"/>
        </w:rPr>
        <w:t>Springfield</w:t>
      </w:r>
    </w:p>
    <w:p w:rsidR="002C5025" w:rsidRDefault="002C5025">
      <w:pPr>
        <w:pStyle w:val="BodyText"/>
        <w:kinsoku w:val="0"/>
        <w:overflowPunct w:val="0"/>
        <w:rPr>
          <w:rFonts w:ascii="Arial" w:hAnsi="Arial" w:cs="Arial"/>
          <w:sz w:val="14"/>
          <w:szCs w:val="14"/>
        </w:rPr>
      </w:pPr>
      <w:r>
        <w:rPr>
          <w:rFonts w:ascii="Times New Roman" w:hAnsi="Times New Roman" w:cs="Times New Roman"/>
          <w:sz w:val="24"/>
          <w:szCs w:val="24"/>
        </w:rPr>
        <w:br w:type="column"/>
      </w:r>
    </w:p>
    <w:p w:rsidR="002C5025" w:rsidRDefault="002C5025">
      <w:pPr>
        <w:pStyle w:val="BodyText"/>
        <w:kinsoku w:val="0"/>
        <w:overflowPunct w:val="0"/>
        <w:spacing w:before="107"/>
        <w:jc w:val="right"/>
        <w:rPr>
          <w:rFonts w:ascii="Times New Roman" w:hAnsi="Times New Roman" w:cs="Times New Roman"/>
          <w:w w:val="90"/>
          <w:sz w:val="14"/>
          <w:szCs w:val="14"/>
        </w:rPr>
      </w:pPr>
      <w:r>
        <w:rPr>
          <w:rFonts w:ascii="Times New Roman" w:hAnsi="Times New Roman" w:cs="Times New Roman"/>
          <w:w w:val="90"/>
          <w:sz w:val="14"/>
          <w:szCs w:val="14"/>
        </w:rPr>
        <w:t>0 Webster</w:t>
      </w:r>
    </w:p>
    <w:p w:rsidR="002C5025" w:rsidRDefault="002C5025">
      <w:pPr>
        <w:pStyle w:val="BodyText"/>
        <w:kinsoku w:val="0"/>
        <w:overflowPunct w:val="0"/>
        <w:spacing w:before="15"/>
        <w:ind w:left="184" w:right="-19"/>
        <w:rPr>
          <w:rFonts w:ascii="Arial" w:hAnsi="Arial" w:cs="Arial"/>
          <w:w w:val="105"/>
          <w:sz w:val="11"/>
          <w:szCs w:val="11"/>
        </w:rPr>
      </w:pPr>
      <w:r>
        <w:rPr>
          <w:rFonts w:ascii="Times New Roman" w:hAnsi="Times New Roman" w:cs="Times New Roman"/>
          <w:sz w:val="24"/>
          <w:szCs w:val="24"/>
        </w:rPr>
        <w:br w:type="column"/>
      </w:r>
      <w:proofErr w:type="spellStart"/>
      <w:r>
        <w:rPr>
          <w:rFonts w:ascii="Arial" w:hAnsi="Arial" w:cs="Arial"/>
          <w:w w:val="105"/>
          <w:sz w:val="11"/>
          <w:szCs w:val="11"/>
        </w:rPr>
        <w:lastRenderedPageBreak/>
        <w:t>OMilford</w:t>
      </w:r>
      <w:proofErr w:type="spellEnd"/>
    </w:p>
    <w:p w:rsidR="002C5025" w:rsidRDefault="002C5025">
      <w:pPr>
        <w:pStyle w:val="BodyText"/>
        <w:kinsoku w:val="0"/>
        <w:overflowPunct w:val="0"/>
        <w:spacing w:before="309" w:line="1100" w:lineRule="exact"/>
        <w:ind w:left="1996"/>
        <w:rPr>
          <w:rFonts w:ascii="Times New Roman" w:hAnsi="Times New Roman" w:cs="Times New Roman"/>
          <w:w w:val="55"/>
          <w:position w:val="19"/>
          <w:sz w:val="86"/>
          <w:szCs w:val="86"/>
        </w:rPr>
      </w:pPr>
      <w:r>
        <w:rPr>
          <w:rFonts w:ascii="Times New Roman" w:hAnsi="Times New Roman" w:cs="Times New Roman"/>
          <w:sz w:val="24"/>
          <w:szCs w:val="24"/>
        </w:rPr>
        <w:br w:type="column"/>
      </w:r>
      <w:r>
        <w:rPr>
          <w:rFonts w:ascii="Arial" w:hAnsi="Arial" w:cs="Arial"/>
          <w:w w:val="55"/>
          <w:sz w:val="59"/>
          <w:szCs w:val="59"/>
        </w:rPr>
        <w:lastRenderedPageBreak/>
        <w:t>----</w:t>
      </w:r>
      <w:proofErr w:type="spellStart"/>
      <w:r>
        <w:rPr>
          <w:rFonts w:ascii="Arial" w:hAnsi="Arial" w:cs="Arial"/>
          <w:w w:val="55"/>
          <w:sz w:val="59"/>
          <w:szCs w:val="59"/>
        </w:rPr>
        <w:t>nl</w:t>
      </w:r>
      <w:proofErr w:type="spellEnd"/>
      <w:r>
        <w:rPr>
          <w:rFonts w:ascii="Arial" w:hAnsi="Arial" w:cs="Arial"/>
          <w:w w:val="55"/>
          <w:sz w:val="59"/>
          <w:szCs w:val="59"/>
        </w:rPr>
        <w:t xml:space="preserve">-&gt;l&gt;ill CI </w:t>
      </w:r>
      <w:r>
        <w:rPr>
          <w:rFonts w:ascii="Times New Roman" w:hAnsi="Times New Roman" w:cs="Times New Roman"/>
          <w:w w:val="55"/>
          <w:position w:val="19"/>
          <w:sz w:val="86"/>
          <w:szCs w:val="86"/>
        </w:rPr>
        <w:t>1</w:t>
      </w:r>
    </w:p>
    <w:p w:rsidR="002C5025" w:rsidRDefault="002C5025">
      <w:pPr>
        <w:pStyle w:val="BodyText"/>
        <w:kinsoku w:val="0"/>
        <w:overflowPunct w:val="0"/>
        <w:spacing w:before="309" w:line="1100" w:lineRule="exact"/>
        <w:ind w:left="1996"/>
        <w:rPr>
          <w:rFonts w:ascii="Times New Roman" w:hAnsi="Times New Roman" w:cs="Times New Roman"/>
          <w:w w:val="55"/>
          <w:position w:val="19"/>
          <w:sz w:val="86"/>
          <w:szCs w:val="86"/>
        </w:rPr>
        <w:sectPr w:rsidR="002C5025">
          <w:type w:val="continuous"/>
          <w:pgSz w:w="15840" w:h="12240" w:orient="landscape"/>
          <w:pgMar w:top="720" w:right="140" w:bottom="280" w:left="140" w:header="720" w:footer="720" w:gutter="0"/>
          <w:cols w:num="4" w:space="720" w:equalWidth="0">
            <w:col w:w="3207" w:space="40"/>
            <w:col w:w="1508" w:space="40"/>
            <w:col w:w="622" w:space="4625"/>
            <w:col w:w="5518"/>
          </w:cols>
          <w:noEndnote/>
        </w:sectPr>
      </w:pPr>
    </w:p>
    <w:p w:rsidR="002C5025" w:rsidRDefault="00FB027C">
      <w:pPr>
        <w:pStyle w:val="BodyText"/>
        <w:tabs>
          <w:tab w:val="left" w:pos="8631"/>
          <w:tab w:val="left" w:pos="10559"/>
        </w:tabs>
        <w:kinsoku w:val="0"/>
        <w:overflowPunct w:val="0"/>
        <w:spacing w:line="350" w:lineRule="exact"/>
        <w:ind w:left="731"/>
        <w:rPr>
          <w:rFonts w:ascii="Arial" w:hAnsi="Arial" w:cs="Arial"/>
          <w:spacing w:val="-4"/>
          <w:w w:val="90"/>
          <w:sz w:val="15"/>
          <w:szCs w:val="15"/>
        </w:rPr>
      </w:pPr>
      <w:r>
        <w:rPr>
          <w:noProof/>
        </w:rPr>
        <w:lastRenderedPageBreak/>
        <mc:AlternateContent>
          <mc:Choice Requires="wps">
            <w:drawing>
              <wp:anchor distT="0" distB="0" distL="114300" distR="114300" simplePos="0" relativeHeight="251702784" behindDoc="0" locked="0" layoutInCell="0" allowOverlap="1">
                <wp:simplePos x="0" y="0"/>
                <wp:positionH relativeFrom="page">
                  <wp:posOffset>6369050</wp:posOffset>
                </wp:positionH>
                <wp:positionV relativeFrom="paragraph">
                  <wp:posOffset>-473710</wp:posOffset>
                </wp:positionV>
                <wp:extent cx="1092200" cy="443865"/>
                <wp:effectExtent l="0" t="0" r="0" b="0"/>
                <wp:wrapNone/>
                <wp:docPr id="407" name="Text Box 6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2200" cy="443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pStyle w:val="BodyText"/>
                              <w:kinsoku w:val="0"/>
                              <w:overflowPunct w:val="0"/>
                              <w:spacing w:before="2"/>
                              <w:rPr>
                                <w:rFonts w:ascii="Times New Roman" w:hAnsi="Times New Roman" w:cs="Times New Roman"/>
                                <w:sz w:val="15"/>
                                <w:szCs w:val="15"/>
                              </w:rPr>
                            </w:pPr>
                          </w:p>
                          <w:p w:rsidR="007B2B7B" w:rsidRDefault="007B2B7B">
                            <w:pPr>
                              <w:pStyle w:val="BodyText"/>
                              <w:kinsoku w:val="0"/>
                              <w:overflowPunct w:val="0"/>
                              <w:ind w:left="177"/>
                              <w:rPr>
                                <w:rFonts w:ascii="Arial" w:hAnsi="Arial" w:cs="Arial"/>
                                <w:w w:val="75"/>
                                <w:sz w:val="18"/>
                                <w:szCs w:val="18"/>
                              </w:rPr>
                            </w:pPr>
                            <w:r>
                              <w:rPr>
                                <w:rFonts w:ascii="Arial" w:hAnsi="Arial" w:cs="Arial"/>
                                <w:w w:val="75"/>
                                <w:sz w:val="18"/>
                                <w:szCs w:val="18"/>
                              </w:rPr>
                              <w:t>VISIT OUR WEBSITE:</w:t>
                            </w:r>
                          </w:p>
                          <w:p w:rsidR="007B2B7B" w:rsidRDefault="00FD19EE">
                            <w:pPr>
                              <w:pStyle w:val="BodyText"/>
                              <w:kinsoku w:val="0"/>
                              <w:overflowPunct w:val="0"/>
                              <w:spacing w:before="1"/>
                              <w:ind w:left="208"/>
                              <w:rPr>
                                <w:rFonts w:ascii="Arial" w:hAnsi="Arial" w:cs="Arial"/>
                                <w:sz w:val="17"/>
                                <w:szCs w:val="17"/>
                              </w:rPr>
                            </w:pPr>
                            <w:hyperlink r:id="rId391" w:history="1">
                              <w:r w:rsidR="007B2B7B">
                                <w:rPr>
                                  <w:rFonts w:ascii="Arial" w:hAnsi="Arial" w:cs="Arial"/>
                                  <w:sz w:val="17"/>
                                  <w:szCs w:val="17"/>
                                </w:rPr>
                                <w:t>www.JaneDoe.org</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8" o:spid="_x0000_s1214" type="#_x0000_t202" style="position:absolute;left:0;text-align:left;margin-left:501.5pt;margin-top:-37.3pt;width:86pt;height:34.95pt;z-index:251702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rqwswIAALU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" o:allowincell="f" filled="f" stroked="f">
                <v:textbox inset="0,0,0,0">
                  <w:txbxContent>
                    <w:p w:rsidR="007B2B7B" w:rsidRDefault="007B2B7B">
                      <w:pPr>
                        <w:pStyle w:val="BodyText"/>
                        <w:kinsoku w:val="0"/>
                        <w:overflowPunct w:val="0"/>
                        <w:spacing w:before="2"/>
                        <w:rPr>
                          <w:rFonts w:ascii="Times New Roman" w:hAnsi="Times New Roman" w:cs="Times New Roman"/>
                          <w:sz w:val="15"/>
                          <w:szCs w:val="15"/>
                        </w:rPr>
                      </w:pPr>
                    </w:p>
                    <w:p w:rsidR="007B2B7B" w:rsidRDefault="007B2B7B">
                      <w:pPr>
                        <w:pStyle w:val="BodyText"/>
                        <w:kinsoku w:val="0"/>
                        <w:overflowPunct w:val="0"/>
                        <w:ind w:left="177"/>
                        <w:rPr>
                          <w:rFonts w:ascii="Arial" w:hAnsi="Arial" w:cs="Arial"/>
                          <w:w w:val="75"/>
                          <w:sz w:val="18"/>
                          <w:szCs w:val="18"/>
                        </w:rPr>
                      </w:pPr>
                      <w:r>
                        <w:rPr>
                          <w:rFonts w:ascii="Arial" w:hAnsi="Arial" w:cs="Arial"/>
                          <w:w w:val="75"/>
                          <w:sz w:val="18"/>
                          <w:szCs w:val="18"/>
                        </w:rPr>
                        <w:t>VISIT OUR WEBSITE:</w:t>
                      </w:r>
                    </w:p>
                    <w:p w:rsidR="007B2B7B" w:rsidRDefault="007B2B7B">
                      <w:pPr>
                        <w:pStyle w:val="BodyText"/>
                        <w:kinsoku w:val="0"/>
                        <w:overflowPunct w:val="0"/>
                        <w:spacing w:before="1"/>
                        <w:ind w:left="208"/>
                        <w:rPr>
                          <w:rFonts w:ascii="Arial" w:hAnsi="Arial" w:cs="Arial"/>
                          <w:sz w:val="17"/>
                          <w:szCs w:val="17"/>
                        </w:rPr>
                      </w:pPr>
                      <w:hyperlink r:id="rId392" w:history="1">
                        <w:r>
                          <w:rPr>
                            <w:rFonts w:ascii="Arial" w:hAnsi="Arial" w:cs="Arial"/>
                            <w:sz w:val="17"/>
                            <w:szCs w:val="17"/>
                          </w:rPr>
                          <w:t>www.JaneDoe.org</w:t>
                        </w:r>
                      </w:hyperlink>
                    </w:p>
                  </w:txbxContent>
                </v:textbox>
                <w10:wrap anchorx="page"/>
              </v:shape>
            </w:pict>
          </mc:Fallback>
        </mc:AlternateContent>
      </w:r>
      <w:r w:rsidR="002C5025">
        <w:rPr>
          <w:rFonts w:ascii="Arial" w:hAnsi="Arial" w:cs="Arial"/>
          <w:w w:val="90"/>
          <w:position w:val="2"/>
        </w:rPr>
        <w:t>There</w:t>
      </w:r>
      <w:r w:rsidR="002C5025">
        <w:rPr>
          <w:rFonts w:ascii="Arial" w:hAnsi="Arial" w:cs="Arial"/>
          <w:spacing w:val="-25"/>
          <w:w w:val="90"/>
          <w:position w:val="2"/>
        </w:rPr>
        <w:t xml:space="preserve"> </w:t>
      </w:r>
      <w:r w:rsidR="002C5025">
        <w:rPr>
          <w:rFonts w:ascii="Arial" w:hAnsi="Arial" w:cs="Arial"/>
          <w:w w:val="90"/>
          <w:position w:val="2"/>
        </w:rPr>
        <w:t>are</w:t>
      </w:r>
      <w:r w:rsidR="002C5025">
        <w:rPr>
          <w:rFonts w:ascii="Arial" w:hAnsi="Arial" w:cs="Arial"/>
          <w:spacing w:val="-32"/>
          <w:w w:val="90"/>
          <w:position w:val="2"/>
        </w:rPr>
        <w:t xml:space="preserve"> </w:t>
      </w:r>
      <w:r w:rsidR="002C5025">
        <w:rPr>
          <w:rFonts w:ascii="Arial" w:hAnsi="Arial" w:cs="Arial"/>
          <w:w w:val="90"/>
          <w:position w:val="2"/>
        </w:rPr>
        <w:t>over</w:t>
      </w:r>
      <w:r w:rsidR="002C5025">
        <w:rPr>
          <w:rFonts w:ascii="Arial" w:hAnsi="Arial" w:cs="Arial"/>
          <w:spacing w:val="-24"/>
          <w:w w:val="90"/>
          <w:position w:val="2"/>
        </w:rPr>
        <w:t xml:space="preserve"> </w:t>
      </w:r>
      <w:r w:rsidR="002C5025">
        <w:rPr>
          <w:rFonts w:ascii="Arial" w:hAnsi="Arial" w:cs="Arial"/>
          <w:w w:val="90"/>
          <w:position w:val="2"/>
        </w:rPr>
        <w:t>60</w:t>
      </w:r>
      <w:r w:rsidR="002C5025">
        <w:rPr>
          <w:rFonts w:ascii="Arial" w:hAnsi="Arial" w:cs="Arial"/>
          <w:spacing w:val="-37"/>
          <w:w w:val="90"/>
          <w:position w:val="2"/>
        </w:rPr>
        <w:t xml:space="preserve"> </w:t>
      </w:r>
      <w:r w:rsidR="002C5025">
        <w:rPr>
          <w:rFonts w:ascii="Arial" w:hAnsi="Arial" w:cs="Arial"/>
          <w:w w:val="90"/>
          <w:position w:val="2"/>
        </w:rPr>
        <w:t>community-based</w:t>
      </w:r>
      <w:r w:rsidR="002C5025">
        <w:rPr>
          <w:rFonts w:ascii="Arial" w:hAnsi="Arial" w:cs="Arial"/>
          <w:spacing w:val="-25"/>
          <w:w w:val="90"/>
          <w:position w:val="2"/>
        </w:rPr>
        <w:t xml:space="preserve"> </w:t>
      </w:r>
      <w:r w:rsidR="002C5025">
        <w:rPr>
          <w:rFonts w:ascii="Arial" w:hAnsi="Arial" w:cs="Arial"/>
          <w:w w:val="90"/>
          <w:position w:val="2"/>
        </w:rPr>
        <w:t>sexual</w:t>
      </w:r>
      <w:r w:rsidR="002C5025">
        <w:rPr>
          <w:rFonts w:ascii="Arial" w:hAnsi="Arial" w:cs="Arial"/>
          <w:spacing w:val="-29"/>
          <w:w w:val="90"/>
          <w:position w:val="2"/>
        </w:rPr>
        <w:t xml:space="preserve"> </w:t>
      </w:r>
      <w:r w:rsidR="002C5025">
        <w:rPr>
          <w:rFonts w:ascii="Arial" w:hAnsi="Arial" w:cs="Arial"/>
          <w:w w:val="90"/>
          <w:position w:val="2"/>
        </w:rPr>
        <w:t>assault</w:t>
      </w:r>
      <w:r w:rsidR="002C5025">
        <w:rPr>
          <w:rFonts w:ascii="Arial" w:hAnsi="Arial" w:cs="Arial"/>
          <w:spacing w:val="-33"/>
          <w:w w:val="90"/>
          <w:position w:val="2"/>
        </w:rPr>
        <w:t xml:space="preserve"> </w:t>
      </w:r>
      <w:r w:rsidR="002C5025">
        <w:rPr>
          <w:rFonts w:ascii="Arial" w:hAnsi="Arial" w:cs="Arial"/>
          <w:w w:val="90"/>
          <w:position w:val="2"/>
        </w:rPr>
        <w:t>and</w:t>
      </w:r>
      <w:r w:rsidR="002C5025">
        <w:rPr>
          <w:rFonts w:ascii="Arial" w:hAnsi="Arial" w:cs="Arial"/>
          <w:w w:val="90"/>
          <w:position w:val="2"/>
        </w:rPr>
        <w:tab/>
      </w:r>
      <w:r w:rsidR="002C5025">
        <w:rPr>
          <w:rFonts w:ascii="Arial" w:hAnsi="Arial" w:cs="Arial"/>
          <w:i/>
          <w:iCs/>
          <w:w w:val="135"/>
          <w:position w:val="-3"/>
          <w:sz w:val="41"/>
          <w:szCs w:val="41"/>
        </w:rPr>
        <w:t>I</w:t>
      </w:r>
      <w:r w:rsidR="002C5025">
        <w:rPr>
          <w:rFonts w:ascii="Arial" w:hAnsi="Arial" w:cs="Arial"/>
          <w:i/>
          <w:iCs/>
          <w:w w:val="135"/>
          <w:position w:val="-3"/>
          <w:sz w:val="41"/>
          <w:szCs w:val="41"/>
        </w:rPr>
        <w:tab/>
      </w:r>
      <w:r w:rsidR="002C5025">
        <w:rPr>
          <w:rFonts w:ascii="Arial" w:hAnsi="Arial" w:cs="Arial"/>
          <w:w w:val="90"/>
          <w:sz w:val="15"/>
          <w:szCs w:val="15"/>
        </w:rPr>
        <w:t>14Beacon</w:t>
      </w:r>
      <w:r w:rsidR="002C5025">
        <w:rPr>
          <w:rFonts w:ascii="Arial" w:hAnsi="Arial" w:cs="Arial"/>
          <w:spacing w:val="-12"/>
          <w:w w:val="90"/>
          <w:sz w:val="15"/>
          <w:szCs w:val="15"/>
        </w:rPr>
        <w:t xml:space="preserve"> </w:t>
      </w:r>
      <w:r w:rsidR="002C5025">
        <w:rPr>
          <w:rFonts w:ascii="Arial" w:hAnsi="Arial" w:cs="Arial"/>
          <w:w w:val="90"/>
          <w:sz w:val="15"/>
          <w:szCs w:val="15"/>
        </w:rPr>
        <w:t>Street,</w:t>
      </w:r>
      <w:r w:rsidR="002C5025">
        <w:rPr>
          <w:rFonts w:ascii="Arial" w:hAnsi="Arial" w:cs="Arial"/>
          <w:spacing w:val="-16"/>
          <w:w w:val="90"/>
          <w:sz w:val="15"/>
          <w:szCs w:val="15"/>
        </w:rPr>
        <w:t xml:space="preserve"> </w:t>
      </w:r>
      <w:r w:rsidR="002C5025">
        <w:rPr>
          <w:rFonts w:ascii="Arial" w:hAnsi="Arial" w:cs="Arial"/>
          <w:w w:val="90"/>
          <w:sz w:val="15"/>
          <w:szCs w:val="15"/>
        </w:rPr>
        <w:t>Suite</w:t>
      </w:r>
      <w:r w:rsidR="002C5025">
        <w:rPr>
          <w:rFonts w:ascii="Arial" w:hAnsi="Arial" w:cs="Arial"/>
          <w:spacing w:val="-16"/>
          <w:w w:val="90"/>
          <w:sz w:val="15"/>
          <w:szCs w:val="15"/>
        </w:rPr>
        <w:t xml:space="preserve"> </w:t>
      </w:r>
      <w:r w:rsidR="002C5025">
        <w:rPr>
          <w:rFonts w:ascii="Arial" w:hAnsi="Arial" w:cs="Arial"/>
          <w:spacing w:val="-3"/>
          <w:w w:val="90"/>
          <w:sz w:val="15"/>
          <w:szCs w:val="15"/>
        </w:rPr>
        <w:t>507,</w:t>
      </w:r>
      <w:r w:rsidR="002C5025">
        <w:rPr>
          <w:rFonts w:ascii="Arial" w:hAnsi="Arial" w:cs="Arial"/>
          <w:spacing w:val="-6"/>
          <w:w w:val="90"/>
          <w:sz w:val="15"/>
          <w:szCs w:val="15"/>
        </w:rPr>
        <w:t xml:space="preserve"> </w:t>
      </w:r>
      <w:r w:rsidR="002C5025">
        <w:rPr>
          <w:rFonts w:ascii="Arial" w:hAnsi="Arial" w:cs="Arial"/>
          <w:w w:val="90"/>
          <w:sz w:val="15"/>
          <w:szCs w:val="15"/>
        </w:rPr>
        <w:t>Boston,</w:t>
      </w:r>
      <w:r w:rsidR="002C5025">
        <w:rPr>
          <w:rFonts w:ascii="Arial" w:hAnsi="Arial" w:cs="Arial"/>
          <w:spacing w:val="-10"/>
          <w:w w:val="90"/>
          <w:sz w:val="15"/>
          <w:szCs w:val="15"/>
        </w:rPr>
        <w:t xml:space="preserve"> </w:t>
      </w:r>
      <w:r w:rsidR="002C5025">
        <w:rPr>
          <w:rFonts w:ascii="Arial" w:hAnsi="Arial" w:cs="Arial"/>
          <w:w w:val="90"/>
          <w:sz w:val="15"/>
          <w:szCs w:val="15"/>
        </w:rPr>
        <w:t>MA</w:t>
      </w:r>
      <w:r w:rsidR="002C5025">
        <w:rPr>
          <w:rFonts w:ascii="Arial" w:hAnsi="Arial" w:cs="Arial"/>
          <w:spacing w:val="-17"/>
          <w:w w:val="90"/>
          <w:sz w:val="15"/>
          <w:szCs w:val="15"/>
        </w:rPr>
        <w:t xml:space="preserve"> </w:t>
      </w:r>
      <w:r w:rsidR="002C5025">
        <w:rPr>
          <w:rFonts w:ascii="Arial" w:hAnsi="Arial" w:cs="Arial"/>
          <w:spacing w:val="-4"/>
          <w:w w:val="90"/>
          <w:sz w:val="15"/>
          <w:szCs w:val="15"/>
        </w:rPr>
        <w:t>02108</w:t>
      </w:r>
    </w:p>
    <w:p w:rsidR="002C5025" w:rsidRDefault="002C5025">
      <w:pPr>
        <w:pStyle w:val="BodyText"/>
        <w:tabs>
          <w:tab w:val="left" w:pos="8631"/>
          <w:tab w:val="left" w:pos="10559"/>
        </w:tabs>
        <w:kinsoku w:val="0"/>
        <w:overflowPunct w:val="0"/>
        <w:spacing w:line="350" w:lineRule="exact"/>
        <w:ind w:left="731"/>
        <w:rPr>
          <w:rFonts w:ascii="Arial" w:hAnsi="Arial" w:cs="Arial"/>
          <w:spacing w:val="-4"/>
          <w:w w:val="90"/>
          <w:sz w:val="15"/>
          <w:szCs w:val="15"/>
        </w:rPr>
        <w:sectPr w:rsidR="002C5025">
          <w:type w:val="continuous"/>
          <w:pgSz w:w="15840" w:h="12240" w:orient="landscape"/>
          <w:pgMar w:top="720" w:right="140" w:bottom="280" w:left="140" w:header="720" w:footer="720" w:gutter="0"/>
          <w:cols w:space="720" w:equalWidth="0">
            <w:col w:w="15560"/>
          </w:cols>
          <w:noEndnote/>
        </w:sectPr>
      </w:pPr>
    </w:p>
    <w:p w:rsidR="002C5025" w:rsidRDefault="002C5025">
      <w:pPr>
        <w:pStyle w:val="BodyText"/>
        <w:kinsoku w:val="0"/>
        <w:overflowPunct w:val="0"/>
        <w:spacing w:line="226" w:lineRule="exact"/>
        <w:ind w:left="554"/>
        <w:jc w:val="center"/>
        <w:rPr>
          <w:rFonts w:ascii="Arial" w:hAnsi="Arial" w:cs="Arial"/>
          <w:w w:val="90"/>
        </w:rPr>
      </w:pPr>
      <w:r>
        <w:rPr>
          <w:rFonts w:ascii="Arial" w:hAnsi="Arial" w:cs="Arial"/>
          <w:w w:val="90"/>
        </w:rPr>
        <w:lastRenderedPageBreak/>
        <w:t xml:space="preserve">domestic violence service providers </w:t>
      </w:r>
      <w:proofErr w:type="spellStart"/>
      <w:r>
        <w:rPr>
          <w:rFonts w:ascii="Arial" w:hAnsi="Arial" w:cs="Arial"/>
          <w:w w:val="90"/>
        </w:rPr>
        <w:t>inthe</w:t>
      </w:r>
      <w:proofErr w:type="spellEnd"/>
      <w:r>
        <w:rPr>
          <w:rFonts w:ascii="Arial" w:hAnsi="Arial" w:cs="Arial"/>
          <w:w w:val="90"/>
        </w:rPr>
        <w:t xml:space="preserve"> state of</w:t>
      </w:r>
    </w:p>
    <w:p w:rsidR="002C5025" w:rsidRDefault="002C5025">
      <w:pPr>
        <w:pStyle w:val="BodyText"/>
        <w:kinsoku w:val="0"/>
        <w:overflowPunct w:val="0"/>
        <w:spacing w:before="4" w:line="244" w:lineRule="auto"/>
        <w:ind w:left="560"/>
        <w:jc w:val="center"/>
        <w:rPr>
          <w:rFonts w:ascii="Arial" w:hAnsi="Arial" w:cs="Arial"/>
          <w:w w:val="85"/>
        </w:rPr>
      </w:pPr>
      <w:r>
        <w:rPr>
          <w:rFonts w:ascii="Arial" w:hAnsi="Arial" w:cs="Arial"/>
          <w:w w:val="85"/>
        </w:rPr>
        <w:t>Massachusetts.</w:t>
      </w:r>
      <w:r>
        <w:rPr>
          <w:rFonts w:ascii="Arial" w:hAnsi="Arial" w:cs="Arial"/>
          <w:spacing w:val="7"/>
          <w:w w:val="85"/>
        </w:rPr>
        <w:t xml:space="preserve"> </w:t>
      </w:r>
      <w:r>
        <w:rPr>
          <w:rFonts w:ascii="Arial" w:hAnsi="Arial" w:cs="Arial"/>
          <w:w w:val="85"/>
        </w:rPr>
        <w:t>They</w:t>
      </w:r>
      <w:r>
        <w:rPr>
          <w:rFonts w:ascii="Arial" w:hAnsi="Arial" w:cs="Arial"/>
          <w:spacing w:val="-12"/>
          <w:w w:val="85"/>
        </w:rPr>
        <w:t xml:space="preserve"> </w:t>
      </w:r>
      <w:r>
        <w:rPr>
          <w:rFonts w:ascii="Arial" w:hAnsi="Arial" w:cs="Arial"/>
          <w:w w:val="85"/>
        </w:rPr>
        <w:t>advocate</w:t>
      </w:r>
      <w:r>
        <w:rPr>
          <w:rFonts w:ascii="Arial" w:hAnsi="Arial" w:cs="Arial"/>
          <w:spacing w:val="-2"/>
          <w:w w:val="85"/>
        </w:rPr>
        <w:t xml:space="preserve"> </w:t>
      </w:r>
      <w:r>
        <w:rPr>
          <w:rFonts w:ascii="Arial" w:hAnsi="Arial" w:cs="Arial"/>
          <w:w w:val="85"/>
        </w:rPr>
        <w:t>on</w:t>
      </w:r>
      <w:r>
        <w:rPr>
          <w:rFonts w:ascii="Arial" w:hAnsi="Arial" w:cs="Arial"/>
          <w:spacing w:val="-7"/>
          <w:w w:val="85"/>
        </w:rPr>
        <w:t xml:space="preserve"> </w:t>
      </w:r>
      <w:r>
        <w:rPr>
          <w:rFonts w:ascii="Arial" w:hAnsi="Arial" w:cs="Arial"/>
          <w:w w:val="85"/>
        </w:rPr>
        <w:t>behalf</w:t>
      </w:r>
      <w:r>
        <w:rPr>
          <w:rFonts w:ascii="Arial" w:hAnsi="Arial" w:cs="Arial"/>
          <w:spacing w:val="-16"/>
          <w:w w:val="85"/>
        </w:rPr>
        <w:t xml:space="preserve"> </w:t>
      </w:r>
      <w:r>
        <w:rPr>
          <w:rFonts w:ascii="Arial" w:hAnsi="Arial" w:cs="Arial"/>
          <w:w w:val="85"/>
        </w:rPr>
        <w:t>of</w:t>
      </w:r>
      <w:r>
        <w:rPr>
          <w:rFonts w:ascii="Arial" w:hAnsi="Arial" w:cs="Arial"/>
          <w:spacing w:val="-23"/>
          <w:w w:val="85"/>
        </w:rPr>
        <w:t xml:space="preserve"> </w:t>
      </w:r>
      <w:r>
        <w:rPr>
          <w:rFonts w:ascii="Arial" w:hAnsi="Arial" w:cs="Arial"/>
          <w:w w:val="85"/>
        </w:rPr>
        <w:t>victims</w:t>
      </w:r>
      <w:r>
        <w:rPr>
          <w:rFonts w:ascii="Arial" w:hAnsi="Arial" w:cs="Arial"/>
          <w:spacing w:val="-8"/>
          <w:w w:val="85"/>
        </w:rPr>
        <w:t xml:space="preserve"> </w:t>
      </w:r>
      <w:r>
        <w:rPr>
          <w:rFonts w:ascii="Arial" w:hAnsi="Arial" w:cs="Arial"/>
          <w:w w:val="85"/>
        </w:rPr>
        <w:t>and</w:t>
      </w:r>
      <w:r>
        <w:rPr>
          <w:rFonts w:ascii="Arial" w:hAnsi="Arial" w:cs="Arial"/>
          <w:spacing w:val="-13"/>
          <w:w w:val="85"/>
        </w:rPr>
        <w:t xml:space="preserve"> </w:t>
      </w:r>
      <w:r>
        <w:rPr>
          <w:rFonts w:ascii="Arial" w:hAnsi="Arial" w:cs="Arial"/>
          <w:w w:val="85"/>
        </w:rPr>
        <w:t xml:space="preserve">offer </w:t>
      </w:r>
      <w:r>
        <w:rPr>
          <w:rFonts w:ascii="Arial" w:hAnsi="Arial" w:cs="Arial"/>
          <w:w w:val="90"/>
        </w:rPr>
        <w:t>confidential,</w:t>
      </w:r>
      <w:r>
        <w:rPr>
          <w:rFonts w:ascii="Arial" w:hAnsi="Arial" w:cs="Arial"/>
          <w:spacing w:val="-46"/>
          <w:w w:val="90"/>
        </w:rPr>
        <w:t xml:space="preserve"> </w:t>
      </w:r>
      <w:r>
        <w:rPr>
          <w:rFonts w:ascii="Arial" w:hAnsi="Arial" w:cs="Arial"/>
          <w:w w:val="90"/>
        </w:rPr>
        <w:t>crisis</w:t>
      </w:r>
      <w:r>
        <w:rPr>
          <w:rFonts w:ascii="Arial" w:hAnsi="Arial" w:cs="Arial"/>
          <w:spacing w:val="-31"/>
          <w:w w:val="90"/>
        </w:rPr>
        <w:t xml:space="preserve"> </w:t>
      </w:r>
      <w:r>
        <w:rPr>
          <w:rFonts w:ascii="Arial" w:hAnsi="Arial" w:cs="Arial"/>
          <w:w w:val="90"/>
        </w:rPr>
        <w:t>and</w:t>
      </w:r>
      <w:r>
        <w:rPr>
          <w:rFonts w:ascii="Arial" w:hAnsi="Arial" w:cs="Arial"/>
          <w:spacing w:val="-35"/>
          <w:w w:val="90"/>
        </w:rPr>
        <w:t xml:space="preserve"> </w:t>
      </w:r>
      <w:r>
        <w:rPr>
          <w:rFonts w:ascii="Arial" w:hAnsi="Arial" w:cs="Arial"/>
          <w:w w:val="90"/>
        </w:rPr>
        <w:t>long-term</w:t>
      </w:r>
      <w:r>
        <w:rPr>
          <w:rFonts w:ascii="Arial" w:hAnsi="Arial" w:cs="Arial"/>
          <w:spacing w:val="-32"/>
          <w:w w:val="90"/>
        </w:rPr>
        <w:t xml:space="preserve"> </w:t>
      </w:r>
      <w:r>
        <w:rPr>
          <w:rFonts w:ascii="Arial" w:hAnsi="Arial" w:cs="Arial"/>
          <w:w w:val="90"/>
        </w:rPr>
        <w:t>support</w:t>
      </w:r>
      <w:r>
        <w:rPr>
          <w:rFonts w:ascii="Arial" w:hAnsi="Arial" w:cs="Arial"/>
          <w:spacing w:val="-28"/>
          <w:w w:val="90"/>
        </w:rPr>
        <w:t xml:space="preserve"> </w:t>
      </w:r>
      <w:r>
        <w:rPr>
          <w:rFonts w:ascii="Arial" w:hAnsi="Arial" w:cs="Arial"/>
          <w:w w:val="90"/>
        </w:rPr>
        <w:t>and</w:t>
      </w:r>
      <w:r>
        <w:rPr>
          <w:rFonts w:ascii="Arial" w:hAnsi="Arial" w:cs="Arial"/>
          <w:spacing w:val="-35"/>
          <w:w w:val="90"/>
        </w:rPr>
        <w:t xml:space="preserve"> </w:t>
      </w:r>
      <w:r>
        <w:rPr>
          <w:rFonts w:ascii="Arial" w:hAnsi="Arial" w:cs="Arial"/>
          <w:w w:val="90"/>
        </w:rPr>
        <w:t>services</w:t>
      </w:r>
      <w:r>
        <w:rPr>
          <w:rFonts w:ascii="Arial" w:hAnsi="Arial" w:cs="Arial"/>
          <w:spacing w:val="-32"/>
          <w:w w:val="90"/>
        </w:rPr>
        <w:t xml:space="preserve"> </w:t>
      </w:r>
      <w:r>
        <w:rPr>
          <w:rFonts w:ascii="Arial" w:hAnsi="Arial" w:cs="Arial"/>
          <w:w w:val="90"/>
        </w:rPr>
        <w:t>to tens-of-thousands</w:t>
      </w:r>
      <w:r>
        <w:rPr>
          <w:rFonts w:ascii="Arial" w:hAnsi="Arial" w:cs="Arial"/>
          <w:spacing w:val="-24"/>
          <w:w w:val="90"/>
        </w:rPr>
        <w:t xml:space="preserve"> </w:t>
      </w:r>
      <w:r>
        <w:rPr>
          <w:rFonts w:ascii="Arial" w:hAnsi="Arial" w:cs="Arial"/>
          <w:w w:val="90"/>
        </w:rPr>
        <w:t>of</w:t>
      </w:r>
      <w:r>
        <w:rPr>
          <w:rFonts w:ascii="Arial" w:hAnsi="Arial" w:cs="Arial"/>
          <w:spacing w:val="-36"/>
          <w:w w:val="90"/>
        </w:rPr>
        <w:t xml:space="preserve"> </w:t>
      </w:r>
      <w:r>
        <w:rPr>
          <w:rFonts w:ascii="Arial" w:hAnsi="Arial" w:cs="Arial"/>
          <w:w w:val="90"/>
        </w:rPr>
        <w:t>victims</w:t>
      </w:r>
      <w:r>
        <w:rPr>
          <w:rFonts w:ascii="Arial" w:hAnsi="Arial" w:cs="Arial"/>
          <w:spacing w:val="-29"/>
          <w:w w:val="90"/>
        </w:rPr>
        <w:t xml:space="preserve"> </w:t>
      </w:r>
      <w:r>
        <w:rPr>
          <w:rFonts w:ascii="Arial" w:hAnsi="Arial" w:cs="Arial"/>
          <w:w w:val="90"/>
        </w:rPr>
        <w:t>and</w:t>
      </w:r>
      <w:r>
        <w:rPr>
          <w:rFonts w:ascii="Arial" w:hAnsi="Arial" w:cs="Arial"/>
          <w:spacing w:val="-34"/>
          <w:w w:val="90"/>
        </w:rPr>
        <w:t xml:space="preserve"> </w:t>
      </w:r>
      <w:r>
        <w:rPr>
          <w:rFonts w:ascii="Arial" w:hAnsi="Arial" w:cs="Arial"/>
          <w:w w:val="90"/>
        </w:rPr>
        <w:t>survivors</w:t>
      </w:r>
      <w:r>
        <w:rPr>
          <w:rFonts w:ascii="Arial" w:hAnsi="Arial" w:cs="Arial"/>
          <w:spacing w:val="-34"/>
          <w:w w:val="90"/>
        </w:rPr>
        <w:t xml:space="preserve"> </w:t>
      </w:r>
      <w:r>
        <w:rPr>
          <w:rFonts w:ascii="Arial" w:hAnsi="Arial" w:cs="Arial"/>
          <w:w w:val="90"/>
        </w:rPr>
        <w:t>of</w:t>
      </w:r>
      <w:r>
        <w:rPr>
          <w:rFonts w:ascii="Arial" w:hAnsi="Arial" w:cs="Arial"/>
          <w:spacing w:val="-40"/>
          <w:w w:val="90"/>
        </w:rPr>
        <w:t xml:space="preserve"> </w:t>
      </w:r>
      <w:r>
        <w:rPr>
          <w:rFonts w:ascii="Arial" w:hAnsi="Arial" w:cs="Arial"/>
          <w:w w:val="90"/>
        </w:rPr>
        <w:t>sexual</w:t>
      </w:r>
      <w:r>
        <w:rPr>
          <w:rFonts w:ascii="Arial" w:hAnsi="Arial" w:cs="Arial"/>
          <w:spacing w:val="-32"/>
          <w:w w:val="90"/>
        </w:rPr>
        <w:t xml:space="preserve"> </w:t>
      </w:r>
      <w:r>
        <w:rPr>
          <w:rFonts w:ascii="Arial" w:hAnsi="Arial" w:cs="Arial"/>
          <w:w w:val="90"/>
        </w:rPr>
        <w:t xml:space="preserve">and </w:t>
      </w:r>
      <w:r>
        <w:rPr>
          <w:rFonts w:ascii="Arial" w:hAnsi="Arial" w:cs="Arial"/>
          <w:w w:val="85"/>
        </w:rPr>
        <w:t>domestic</w:t>
      </w:r>
      <w:r>
        <w:rPr>
          <w:rFonts w:ascii="Arial" w:hAnsi="Arial" w:cs="Arial"/>
          <w:spacing w:val="-7"/>
          <w:w w:val="85"/>
        </w:rPr>
        <w:t xml:space="preserve"> </w:t>
      </w:r>
      <w:r>
        <w:rPr>
          <w:rFonts w:ascii="Arial" w:hAnsi="Arial" w:cs="Arial"/>
          <w:w w:val="85"/>
        </w:rPr>
        <w:t>violence</w:t>
      </w:r>
      <w:r>
        <w:rPr>
          <w:rFonts w:ascii="Arial" w:hAnsi="Arial" w:cs="Arial"/>
          <w:spacing w:val="-2"/>
          <w:w w:val="85"/>
        </w:rPr>
        <w:t xml:space="preserve"> </w:t>
      </w:r>
      <w:r>
        <w:rPr>
          <w:rFonts w:ascii="Arial" w:hAnsi="Arial" w:cs="Arial"/>
          <w:w w:val="85"/>
        </w:rPr>
        <w:t>and</w:t>
      </w:r>
      <w:r>
        <w:rPr>
          <w:rFonts w:ascii="Arial" w:hAnsi="Arial" w:cs="Arial"/>
          <w:spacing w:val="-16"/>
          <w:w w:val="85"/>
        </w:rPr>
        <w:t xml:space="preserve"> </w:t>
      </w:r>
      <w:r>
        <w:rPr>
          <w:rFonts w:ascii="Arial" w:hAnsi="Arial" w:cs="Arial"/>
          <w:w w:val="85"/>
        </w:rPr>
        <w:t>their</w:t>
      </w:r>
      <w:r>
        <w:rPr>
          <w:rFonts w:ascii="Arial" w:hAnsi="Arial" w:cs="Arial"/>
          <w:spacing w:val="-13"/>
          <w:w w:val="85"/>
        </w:rPr>
        <w:t xml:space="preserve"> </w:t>
      </w:r>
      <w:r>
        <w:rPr>
          <w:rFonts w:ascii="Arial" w:hAnsi="Arial" w:cs="Arial"/>
          <w:w w:val="85"/>
        </w:rPr>
        <w:t>families</w:t>
      </w:r>
      <w:r>
        <w:rPr>
          <w:rFonts w:ascii="Arial" w:hAnsi="Arial" w:cs="Arial"/>
          <w:spacing w:val="1"/>
          <w:w w:val="85"/>
        </w:rPr>
        <w:t xml:space="preserve"> </w:t>
      </w:r>
      <w:r>
        <w:rPr>
          <w:rFonts w:ascii="Arial" w:hAnsi="Arial" w:cs="Arial"/>
          <w:w w:val="85"/>
        </w:rPr>
        <w:t>each</w:t>
      </w:r>
      <w:r>
        <w:rPr>
          <w:rFonts w:ascii="Arial" w:hAnsi="Arial" w:cs="Arial"/>
          <w:spacing w:val="-9"/>
          <w:w w:val="85"/>
        </w:rPr>
        <w:t xml:space="preserve"> </w:t>
      </w:r>
      <w:r>
        <w:rPr>
          <w:rFonts w:ascii="Arial" w:hAnsi="Arial" w:cs="Arial"/>
          <w:w w:val="85"/>
        </w:rPr>
        <w:t>year.</w:t>
      </w:r>
    </w:p>
    <w:p w:rsidR="002C5025" w:rsidRDefault="002C5025">
      <w:pPr>
        <w:pStyle w:val="BodyText"/>
        <w:kinsoku w:val="0"/>
        <w:overflowPunct w:val="0"/>
        <w:spacing w:before="72"/>
        <w:ind w:left="685"/>
        <w:rPr>
          <w:rFonts w:ascii="Times New Roman" w:hAnsi="Times New Roman" w:cs="Times New Roman"/>
          <w:w w:val="95"/>
          <w:sz w:val="16"/>
          <w:szCs w:val="16"/>
        </w:rPr>
      </w:pPr>
      <w:r>
        <w:rPr>
          <w:rFonts w:ascii="Times New Roman" w:hAnsi="Times New Roman" w:cs="Times New Roman"/>
          <w:sz w:val="24"/>
          <w:szCs w:val="24"/>
        </w:rPr>
        <w:br w:type="column"/>
      </w:r>
      <w:r>
        <w:rPr>
          <w:rFonts w:ascii="Times New Roman" w:hAnsi="Times New Roman" w:cs="Times New Roman"/>
          <w:w w:val="95"/>
          <w:sz w:val="16"/>
          <w:szCs w:val="16"/>
        </w:rPr>
        <w:lastRenderedPageBreak/>
        <w:t>TEL: 617 248·0922 ITT: 617 263 22-00 FAX: 617·248·0902</w:t>
      </w:r>
    </w:p>
    <w:p w:rsidR="002C5025" w:rsidRDefault="002C5025">
      <w:pPr>
        <w:pStyle w:val="BodyText"/>
        <w:kinsoku w:val="0"/>
        <w:overflowPunct w:val="0"/>
        <w:rPr>
          <w:rFonts w:ascii="Times New Roman" w:hAnsi="Times New Roman" w:cs="Times New Roman"/>
          <w:sz w:val="16"/>
          <w:szCs w:val="16"/>
        </w:rPr>
      </w:pPr>
    </w:p>
    <w:p w:rsidR="002C5025" w:rsidRDefault="002C5025">
      <w:pPr>
        <w:pStyle w:val="BodyText"/>
        <w:kinsoku w:val="0"/>
        <w:overflowPunct w:val="0"/>
        <w:rPr>
          <w:rFonts w:ascii="Times New Roman" w:hAnsi="Times New Roman" w:cs="Times New Roman"/>
          <w:sz w:val="16"/>
          <w:szCs w:val="16"/>
        </w:rPr>
      </w:pPr>
    </w:p>
    <w:p w:rsidR="002C5025" w:rsidRDefault="002C5025">
      <w:pPr>
        <w:pStyle w:val="BodyText"/>
        <w:kinsoku w:val="0"/>
        <w:overflowPunct w:val="0"/>
        <w:rPr>
          <w:rFonts w:ascii="Times New Roman" w:hAnsi="Times New Roman" w:cs="Times New Roman"/>
          <w:sz w:val="16"/>
          <w:szCs w:val="16"/>
        </w:rPr>
      </w:pPr>
    </w:p>
    <w:p w:rsidR="002C5025" w:rsidRDefault="002C5025">
      <w:pPr>
        <w:pStyle w:val="BodyText"/>
        <w:kinsoku w:val="0"/>
        <w:overflowPunct w:val="0"/>
        <w:rPr>
          <w:rFonts w:ascii="Times New Roman" w:hAnsi="Times New Roman" w:cs="Times New Roman"/>
          <w:sz w:val="16"/>
          <w:szCs w:val="16"/>
        </w:rPr>
      </w:pPr>
    </w:p>
    <w:p w:rsidR="002C5025" w:rsidRDefault="002C5025">
      <w:pPr>
        <w:pStyle w:val="BodyText"/>
        <w:kinsoku w:val="0"/>
        <w:overflowPunct w:val="0"/>
        <w:spacing w:before="6"/>
        <w:rPr>
          <w:rFonts w:ascii="Times New Roman" w:hAnsi="Times New Roman" w:cs="Times New Roman"/>
          <w:sz w:val="14"/>
          <w:szCs w:val="14"/>
        </w:rPr>
      </w:pPr>
    </w:p>
    <w:p w:rsidR="002C5025" w:rsidRDefault="002C5025">
      <w:pPr>
        <w:pStyle w:val="BodyText"/>
        <w:kinsoku w:val="0"/>
        <w:overflowPunct w:val="0"/>
        <w:ind w:left="560"/>
        <w:rPr>
          <w:rFonts w:ascii="Arial" w:hAnsi="Arial" w:cs="Arial"/>
          <w:sz w:val="18"/>
          <w:szCs w:val="18"/>
        </w:rPr>
      </w:pPr>
      <w:r>
        <w:rPr>
          <w:rFonts w:ascii="Arial" w:hAnsi="Arial" w:cs="Arial"/>
          <w:sz w:val="18"/>
          <w:szCs w:val="18"/>
        </w:rPr>
        <w:t>See other side for a list of programs by region.</w:t>
      </w:r>
    </w:p>
    <w:p w:rsidR="002C5025" w:rsidRDefault="002C5025">
      <w:pPr>
        <w:pStyle w:val="BodyText"/>
        <w:kinsoku w:val="0"/>
        <w:overflowPunct w:val="0"/>
        <w:rPr>
          <w:rFonts w:ascii="Arial" w:hAnsi="Arial" w:cs="Arial"/>
          <w:sz w:val="18"/>
          <w:szCs w:val="18"/>
        </w:rPr>
      </w:pPr>
    </w:p>
    <w:p w:rsidR="002C5025" w:rsidRDefault="002C5025">
      <w:pPr>
        <w:pStyle w:val="BodyText"/>
        <w:kinsoku w:val="0"/>
        <w:overflowPunct w:val="0"/>
        <w:rPr>
          <w:rFonts w:ascii="Arial" w:hAnsi="Arial" w:cs="Arial"/>
          <w:sz w:val="18"/>
          <w:szCs w:val="18"/>
        </w:rPr>
      </w:pPr>
    </w:p>
    <w:p w:rsidR="002C5025" w:rsidRDefault="002C5025">
      <w:pPr>
        <w:pStyle w:val="BodyText"/>
        <w:kinsoku w:val="0"/>
        <w:overflowPunct w:val="0"/>
        <w:spacing w:before="7"/>
        <w:rPr>
          <w:rFonts w:ascii="Arial" w:hAnsi="Arial" w:cs="Arial"/>
          <w:sz w:val="18"/>
          <w:szCs w:val="18"/>
        </w:rPr>
      </w:pPr>
    </w:p>
    <w:p w:rsidR="002C5025" w:rsidRDefault="00FB027C">
      <w:pPr>
        <w:pStyle w:val="BodyText"/>
        <w:kinsoku w:val="0"/>
        <w:overflowPunct w:val="0"/>
        <w:ind w:right="955"/>
        <w:jc w:val="right"/>
        <w:rPr>
          <w:rFonts w:ascii="Times New Roman" w:hAnsi="Times New Roman" w:cs="Times New Roman"/>
          <w:w w:val="80"/>
          <w:sz w:val="16"/>
          <w:szCs w:val="16"/>
        </w:rPr>
      </w:pPr>
      <w:r>
        <w:rPr>
          <w:noProof/>
        </w:rPr>
        <mc:AlternateContent>
          <mc:Choice Requires="wps">
            <w:drawing>
              <wp:anchor distT="0" distB="0" distL="114300" distR="114300" simplePos="0" relativeHeight="251703808" behindDoc="0" locked="0" layoutInCell="0" allowOverlap="1">
                <wp:simplePos x="0" y="0"/>
                <wp:positionH relativeFrom="page">
                  <wp:posOffset>163830</wp:posOffset>
                </wp:positionH>
                <wp:positionV relativeFrom="paragraph">
                  <wp:posOffset>-33655</wp:posOffset>
                </wp:positionV>
                <wp:extent cx="9729470" cy="12700"/>
                <wp:effectExtent l="0" t="0" r="0" b="0"/>
                <wp:wrapNone/>
                <wp:docPr id="406" name="Freeform 6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29470" cy="12700"/>
                        </a:xfrm>
                        <a:custGeom>
                          <a:avLst/>
                          <a:gdLst>
                            <a:gd name="T0" fmla="*/ 0 w 15322"/>
                            <a:gd name="T1" fmla="*/ 0 h 20"/>
                            <a:gd name="T2" fmla="*/ 15322 w 15322"/>
                            <a:gd name="T3" fmla="*/ 0 h 20"/>
                          </a:gdLst>
                          <a:ahLst/>
                          <a:cxnLst>
                            <a:cxn ang="0">
                              <a:pos x="T0" y="T1"/>
                            </a:cxn>
                            <a:cxn ang="0">
                              <a:pos x="T2" y="T3"/>
                            </a:cxn>
                          </a:cxnLst>
                          <a:rect l="0" t="0" r="r" b="b"/>
                          <a:pathLst>
                            <a:path w="15322" h="20">
                              <a:moveTo>
                                <a:pt x="0" y="0"/>
                              </a:moveTo>
                              <a:lnTo>
                                <a:pt x="15322"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19" o:spid="_x0000_s1026" style="position:absolute;z-index:251703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2.9pt,-2.65pt,779pt,-2.65pt" coordsize="1532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" o:allowincell="f" filled="f" strokeweight=".72pt">
                <v:path arrowok="t" o:connecttype="custom" o:connectlocs="0,0;9729470,0" o:connectangles="0,0"/>
                <w10:wrap anchorx="page"/>
              </v:polyline>
            </w:pict>
          </mc:Fallback>
        </mc:AlternateContent>
      </w:r>
      <w:r w:rsidR="002C5025">
        <w:rPr>
          <w:rFonts w:ascii="Times New Roman" w:hAnsi="Times New Roman" w:cs="Times New Roman"/>
          <w:w w:val="80"/>
          <w:sz w:val="16"/>
          <w:szCs w:val="16"/>
        </w:rPr>
        <w:t>Updated  11412016</w:t>
      </w:r>
    </w:p>
    <w:p w:rsidR="002C5025" w:rsidRDefault="002C5025">
      <w:pPr>
        <w:pStyle w:val="BodyText"/>
        <w:kinsoku w:val="0"/>
        <w:overflowPunct w:val="0"/>
        <w:ind w:right="955"/>
        <w:jc w:val="right"/>
        <w:rPr>
          <w:rFonts w:ascii="Times New Roman" w:hAnsi="Times New Roman" w:cs="Times New Roman"/>
          <w:w w:val="80"/>
          <w:sz w:val="16"/>
          <w:szCs w:val="16"/>
        </w:rPr>
        <w:sectPr w:rsidR="002C5025">
          <w:type w:val="continuous"/>
          <w:pgSz w:w="15840" w:h="12240" w:orient="landscape"/>
          <w:pgMar w:top="720" w:right="140" w:bottom="280" w:left="140" w:header="720" w:footer="720" w:gutter="0"/>
          <w:cols w:num="2" w:space="720" w:equalWidth="0">
            <w:col w:w="5541" w:space="3966"/>
            <w:col w:w="6053"/>
          </w:cols>
          <w:noEndnote/>
        </w:sectPr>
      </w:pPr>
    </w:p>
    <w:p w:rsidR="002C5025" w:rsidRDefault="002C5025">
      <w:pPr>
        <w:pStyle w:val="BodyText"/>
        <w:kinsoku w:val="0"/>
        <w:overflowPunct w:val="0"/>
        <w:spacing w:before="48"/>
        <w:ind w:left="100" w:right="241"/>
        <w:rPr>
          <w:rFonts w:ascii="Trebuchet MS" w:hAnsi="Trebuchet MS" w:cs="Trebuchet MS"/>
        </w:rPr>
      </w:pPr>
      <w:bookmarkStart w:id="187" w:name="Leanne_DiDomenico"/>
      <w:bookmarkEnd w:id="187"/>
      <w:r>
        <w:rPr>
          <w:rFonts w:ascii="Trebuchet MS" w:hAnsi="Trebuchet MS" w:cs="Trebuchet MS"/>
        </w:rPr>
        <w:lastRenderedPageBreak/>
        <w:t>To Whom it May Concern,</w:t>
      </w:r>
    </w:p>
    <w:p w:rsidR="002C5025" w:rsidRDefault="002C5025">
      <w:pPr>
        <w:pStyle w:val="BodyText"/>
        <w:kinsoku w:val="0"/>
        <w:overflowPunct w:val="0"/>
        <w:rPr>
          <w:rFonts w:ascii="Trebuchet MS" w:hAnsi="Trebuchet MS" w:cs="Trebuchet MS"/>
        </w:rPr>
      </w:pPr>
    </w:p>
    <w:p w:rsidR="002C5025" w:rsidRDefault="002C5025">
      <w:pPr>
        <w:pStyle w:val="BodyText"/>
        <w:kinsoku w:val="0"/>
        <w:overflowPunct w:val="0"/>
        <w:ind w:left="100" w:right="272"/>
        <w:rPr>
          <w:rFonts w:ascii="Trebuchet MS" w:hAnsi="Trebuchet MS" w:cs="Trebuchet MS"/>
        </w:rPr>
      </w:pPr>
      <w:r>
        <w:rPr>
          <w:rFonts w:ascii="Trebuchet MS" w:hAnsi="Trebuchet MS" w:cs="Trebuchet MS"/>
        </w:rPr>
        <w:t>I am writing in opposition to the 1115 waiver proposal to restructure Mass Health and create ACOs. ACOs do not do a good job in controlling the cost of healthcare</w:t>
      </w:r>
    </w:p>
    <w:p w:rsidR="002C5025" w:rsidRDefault="002C5025">
      <w:pPr>
        <w:pStyle w:val="BodyText"/>
        <w:kinsoku w:val="0"/>
        <w:overflowPunct w:val="0"/>
        <w:spacing w:before="1"/>
        <w:ind w:left="100" w:right="196"/>
        <w:rPr>
          <w:rFonts w:ascii="Trebuchet MS" w:hAnsi="Trebuchet MS" w:cs="Trebuchet MS"/>
          <w:color w:val="000000"/>
        </w:rPr>
      </w:pPr>
      <w:r>
        <w:rPr>
          <w:rFonts w:ascii="Trebuchet MS" w:hAnsi="Trebuchet MS" w:cs="Trebuchet MS"/>
        </w:rPr>
        <w:t xml:space="preserve">(see </w:t>
      </w:r>
      <w:hyperlink r:id="rId393" w:history="1">
        <w:r>
          <w:rPr>
            <w:rFonts w:ascii="Trebuchet MS" w:hAnsi="Trebuchet MS" w:cs="Trebuchet MS"/>
            <w:color w:val="0563C1"/>
            <w:u w:val="single"/>
          </w:rPr>
          <w:t>http://pnhp.org/blog/2015/09/14/medicare-yet-to-save-money-through-acos/</w:t>
        </w:r>
      </w:hyperlink>
      <w:r>
        <w:rPr>
          <w:rFonts w:ascii="Trebuchet MS" w:hAnsi="Trebuchet MS" w:cs="Trebuchet MS"/>
          <w:color w:val="000000"/>
        </w:rPr>
        <w:t>). What’s worse is that ACOs pull patients away from doctors they have a long-standing relationship with and force them to build new relationships with providers far from home and too busy to appropriately form a meaningful doctor-patient relationship.</w:t>
      </w:r>
    </w:p>
    <w:p w:rsidR="002C5025" w:rsidRDefault="002C5025">
      <w:pPr>
        <w:pStyle w:val="BodyText"/>
        <w:kinsoku w:val="0"/>
        <w:overflowPunct w:val="0"/>
        <w:rPr>
          <w:rFonts w:ascii="Trebuchet MS" w:hAnsi="Trebuchet MS" w:cs="Trebuchet MS"/>
        </w:rPr>
      </w:pPr>
    </w:p>
    <w:p w:rsidR="002C5025" w:rsidRDefault="002C5025">
      <w:pPr>
        <w:pStyle w:val="BodyText"/>
        <w:kinsoku w:val="0"/>
        <w:overflowPunct w:val="0"/>
        <w:ind w:left="100" w:right="241"/>
        <w:rPr>
          <w:rFonts w:ascii="Trebuchet MS" w:hAnsi="Trebuchet MS" w:cs="Trebuchet MS"/>
        </w:rPr>
      </w:pPr>
      <w:r>
        <w:rPr>
          <w:rFonts w:ascii="Trebuchet MS" w:hAnsi="Trebuchet MS" w:cs="Trebuchet MS"/>
        </w:rPr>
        <w:t>Not only do I feel strongly that ACOs are wrong for our patients, I know it will be disastrous for my 12-year-old son my husband and I adopted from foster care when he was 5 years old.</w:t>
      </w:r>
    </w:p>
    <w:p w:rsidR="002C5025" w:rsidRDefault="002C5025">
      <w:pPr>
        <w:pStyle w:val="BodyText"/>
        <w:kinsoku w:val="0"/>
        <w:overflowPunct w:val="0"/>
        <w:rPr>
          <w:rFonts w:ascii="Trebuchet MS" w:hAnsi="Trebuchet MS" w:cs="Trebuchet MS"/>
        </w:rPr>
      </w:pPr>
    </w:p>
    <w:p w:rsidR="002C5025" w:rsidRDefault="002C5025">
      <w:pPr>
        <w:pStyle w:val="BodyText"/>
        <w:kinsoku w:val="0"/>
        <w:overflowPunct w:val="0"/>
        <w:ind w:left="100" w:right="106"/>
        <w:rPr>
          <w:rFonts w:ascii="Trebuchet MS" w:hAnsi="Trebuchet MS" w:cs="Trebuchet MS"/>
        </w:rPr>
      </w:pPr>
      <w:r>
        <w:rPr>
          <w:rFonts w:ascii="Trebuchet MS" w:hAnsi="Trebuchet MS" w:cs="Trebuchet MS"/>
        </w:rPr>
        <w:t>My son, Andrew, spent the first three years of his life in an abusive birth home followed by 18 months in three different foster homes leaving him with a number of behavioral health issues including PTSD and reactive attachment disorder (RAD). Over the past seven years my husband and I have worked hard alongside Andrew’s primary care provider and various therapists to help Andrew to heal and develop the tools he needs to live a full, productive life in spite of his mental health issues. If/when Andrew is transitioned to an ACO, I have no confidence that we will be able to keep the professionals we currently have in place that are working well for</w:t>
      </w:r>
      <w:r>
        <w:rPr>
          <w:rFonts w:ascii="Trebuchet MS" w:hAnsi="Trebuchet MS" w:cs="Trebuchet MS"/>
          <w:spacing w:val="-11"/>
        </w:rPr>
        <w:t xml:space="preserve"> </w:t>
      </w:r>
      <w:r>
        <w:rPr>
          <w:rFonts w:ascii="Trebuchet MS" w:hAnsi="Trebuchet MS" w:cs="Trebuchet MS"/>
        </w:rPr>
        <w:t>Andrew.</w:t>
      </w:r>
    </w:p>
    <w:p w:rsidR="002C5025" w:rsidRDefault="002C5025">
      <w:pPr>
        <w:pStyle w:val="BodyText"/>
        <w:kinsoku w:val="0"/>
        <w:overflowPunct w:val="0"/>
        <w:rPr>
          <w:rFonts w:ascii="Trebuchet MS" w:hAnsi="Trebuchet MS" w:cs="Trebuchet MS"/>
        </w:rPr>
      </w:pPr>
    </w:p>
    <w:p w:rsidR="002C5025" w:rsidRDefault="002C5025">
      <w:pPr>
        <w:pStyle w:val="BodyText"/>
        <w:kinsoku w:val="0"/>
        <w:overflowPunct w:val="0"/>
        <w:ind w:left="100" w:right="405"/>
        <w:rPr>
          <w:rFonts w:ascii="Trebuchet MS" w:hAnsi="Trebuchet MS" w:cs="Trebuchet MS"/>
          <w:color w:val="000000"/>
        </w:rPr>
      </w:pPr>
      <w:r>
        <w:rPr>
          <w:rFonts w:ascii="Trebuchet MS" w:hAnsi="Trebuchet MS" w:cs="Trebuchet MS"/>
        </w:rPr>
        <w:t>As healthcare professionals we know that the costs of healthcare must be controlled, but ACOs and health insurance are not the answer. I am a member of Physicians for a national Health Plan (</w:t>
      </w:r>
      <w:hyperlink r:id="rId394" w:history="1">
        <w:r>
          <w:rPr>
            <w:rFonts w:ascii="Trebuchet MS" w:hAnsi="Trebuchet MS" w:cs="Trebuchet MS"/>
            <w:color w:val="0563C1"/>
            <w:u w:val="single"/>
          </w:rPr>
          <w:t>http://pnhp.org</w:t>
        </w:r>
      </w:hyperlink>
      <w:r>
        <w:rPr>
          <w:rFonts w:ascii="Trebuchet MS" w:hAnsi="Trebuchet MS" w:cs="Trebuchet MS"/>
          <w:color w:val="000000"/>
        </w:rPr>
        <w:t>) and an advocate for a Medicare-for-All, single-payer system. Medicare-for-All is the best option for providing affordable healthcare to all patients.</w:t>
      </w:r>
    </w:p>
    <w:p w:rsidR="002C5025" w:rsidRDefault="002C5025">
      <w:pPr>
        <w:pStyle w:val="BodyText"/>
        <w:kinsoku w:val="0"/>
        <w:overflowPunct w:val="0"/>
        <w:rPr>
          <w:rFonts w:ascii="Trebuchet MS" w:hAnsi="Trebuchet MS" w:cs="Trebuchet MS"/>
        </w:rPr>
      </w:pPr>
    </w:p>
    <w:p w:rsidR="002C5025" w:rsidRDefault="002C5025">
      <w:pPr>
        <w:pStyle w:val="BodyText"/>
        <w:kinsoku w:val="0"/>
        <w:overflowPunct w:val="0"/>
        <w:ind w:left="100" w:right="8615"/>
        <w:rPr>
          <w:rFonts w:ascii="Trebuchet MS" w:hAnsi="Trebuchet MS" w:cs="Trebuchet MS"/>
        </w:rPr>
      </w:pPr>
      <w:r>
        <w:rPr>
          <w:rFonts w:ascii="Trebuchet MS" w:hAnsi="Trebuchet MS" w:cs="Trebuchet MS"/>
        </w:rPr>
        <w:t>Be well, Leann</w:t>
      </w:r>
    </w:p>
    <w:p w:rsidR="002C5025" w:rsidRDefault="002C5025">
      <w:pPr>
        <w:pStyle w:val="BodyText"/>
        <w:kinsoku w:val="0"/>
        <w:overflowPunct w:val="0"/>
        <w:spacing w:before="1"/>
        <w:rPr>
          <w:rFonts w:ascii="Trebuchet MS" w:hAnsi="Trebuchet MS" w:cs="Trebuchet MS"/>
          <w:sz w:val="24"/>
          <w:szCs w:val="24"/>
        </w:rPr>
      </w:pPr>
    </w:p>
    <w:p w:rsidR="002C5025" w:rsidRDefault="002C5025">
      <w:pPr>
        <w:pStyle w:val="BodyText"/>
        <w:kinsoku w:val="0"/>
        <w:overflowPunct w:val="0"/>
        <w:ind w:left="100" w:right="6780"/>
        <w:rPr>
          <w:rFonts w:ascii="Comic Sans MS" w:hAnsi="Comic Sans MS" w:cs="Comic Sans MS"/>
          <w:color w:val="424242"/>
          <w:sz w:val="20"/>
          <w:szCs w:val="20"/>
        </w:rPr>
      </w:pPr>
      <w:r>
        <w:rPr>
          <w:rFonts w:ascii="Comic Sans MS" w:hAnsi="Comic Sans MS" w:cs="Comic Sans MS"/>
          <w:color w:val="424242"/>
          <w:sz w:val="20"/>
          <w:szCs w:val="20"/>
        </w:rPr>
        <w:t xml:space="preserve">Leann </w:t>
      </w:r>
      <w:proofErr w:type="spellStart"/>
      <w:r>
        <w:rPr>
          <w:rFonts w:ascii="Comic Sans MS" w:hAnsi="Comic Sans MS" w:cs="Comic Sans MS"/>
          <w:color w:val="424242"/>
          <w:sz w:val="20"/>
          <w:szCs w:val="20"/>
        </w:rPr>
        <w:t>DiDomenico</w:t>
      </w:r>
      <w:proofErr w:type="spellEnd"/>
      <w:r>
        <w:rPr>
          <w:rFonts w:ascii="Comic Sans MS" w:hAnsi="Comic Sans MS" w:cs="Comic Sans MS"/>
          <w:color w:val="424242"/>
          <w:sz w:val="20"/>
          <w:szCs w:val="20"/>
        </w:rPr>
        <w:t>, MBA Administrative Director Performance Pediatrics, LLC</w:t>
      </w:r>
    </w:p>
    <w:p w:rsidR="002C5025" w:rsidRDefault="002C5025">
      <w:pPr>
        <w:pStyle w:val="BodyText"/>
        <w:kinsoku w:val="0"/>
        <w:overflowPunct w:val="0"/>
        <w:spacing w:line="284" w:lineRule="exact"/>
        <w:ind w:left="100" w:right="241"/>
        <w:rPr>
          <w:rFonts w:ascii="Comic Sans MS" w:hAnsi="Comic Sans MS" w:cs="Comic Sans MS"/>
          <w:i/>
          <w:iCs/>
          <w:color w:val="424242"/>
          <w:w w:val="95"/>
          <w:sz w:val="21"/>
          <w:szCs w:val="21"/>
        </w:rPr>
      </w:pPr>
      <w:r>
        <w:rPr>
          <w:rFonts w:ascii="Comic Sans MS" w:hAnsi="Comic Sans MS" w:cs="Comic Sans MS"/>
          <w:i/>
          <w:iCs/>
          <w:color w:val="424242"/>
          <w:w w:val="95"/>
          <w:sz w:val="21"/>
          <w:szCs w:val="21"/>
        </w:rPr>
        <w:t>Partnering with Families through Childhood Milestones</w:t>
      </w:r>
    </w:p>
    <w:p w:rsidR="002C5025" w:rsidRDefault="002C5025">
      <w:pPr>
        <w:pStyle w:val="BodyText"/>
        <w:kinsoku w:val="0"/>
        <w:overflowPunct w:val="0"/>
        <w:spacing w:before="10"/>
        <w:rPr>
          <w:rFonts w:ascii="Comic Sans MS" w:hAnsi="Comic Sans MS" w:cs="Comic Sans MS"/>
          <w:i/>
          <w:iCs/>
          <w:sz w:val="19"/>
          <w:szCs w:val="19"/>
        </w:rPr>
      </w:pPr>
    </w:p>
    <w:p w:rsidR="002C5025" w:rsidRDefault="00FD19EE">
      <w:pPr>
        <w:pStyle w:val="BodyText"/>
        <w:kinsoku w:val="0"/>
        <w:overflowPunct w:val="0"/>
        <w:spacing w:line="279" w:lineRule="exact"/>
        <w:ind w:left="100" w:right="241"/>
        <w:rPr>
          <w:rFonts w:ascii="Comic Sans MS" w:hAnsi="Comic Sans MS" w:cs="Comic Sans MS"/>
          <w:color w:val="8C5940"/>
          <w:sz w:val="20"/>
          <w:szCs w:val="20"/>
        </w:rPr>
      </w:pPr>
      <w:hyperlink r:id="rId395" w:history="1">
        <w:r w:rsidR="002C5025">
          <w:rPr>
            <w:rFonts w:ascii="Comic Sans MS" w:hAnsi="Comic Sans MS" w:cs="Comic Sans MS"/>
            <w:color w:val="8C5940"/>
            <w:sz w:val="20"/>
            <w:szCs w:val="20"/>
            <w:u w:val="single"/>
          </w:rPr>
          <w:t>www.PerformancePediatrics.com</w:t>
        </w:r>
      </w:hyperlink>
    </w:p>
    <w:p w:rsidR="002C5025" w:rsidRDefault="002C5025">
      <w:pPr>
        <w:pStyle w:val="BodyText"/>
        <w:kinsoku w:val="0"/>
        <w:overflowPunct w:val="0"/>
        <w:ind w:left="159" w:right="241"/>
        <w:rPr>
          <w:rFonts w:ascii="Comic Sans MS" w:hAnsi="Comic Sans MS" w:cs="Comic Sans MS"/>
          <w:color w:val="0000FF"/>
          <w:sz w:val="20"/>
          <w:szCs w:val="20"/>
        </w:rPr>
      </w:pPr>
      <w:r>
        <w:rPr>
          <w:rFonts w:ascii="Comic Sans MS" w:hAnsi="Comic Sans MS" w:cs="Comic Sans MS"/>
          <w:color w:val="424242"/>
          <w:sz w:val="20"/>
          <w:szCs w:val="20"/>
        </w:rPr>
        <w:t xml:space="preserve">Follow my blog: </w:t>
      </w:r>
      <w:hyperlink r:id="rId396" w:history="1">
        <w:r>
          <w:rPr>
            <w:rFonts w:ascii="Comic Sans MS" w:hAnsi="Comic Sans MS" w:cs="Comic Sans MS"/>
            <w:color w:val="0000FF"/>
            <w:sz w:val="20"/>
            <w:szCs w:val="20"/>
            <w:u w:val="single"/>
          </w:rPr>
          <w:t>http://www.physicianspractice.com/authors/leann-didomenico-mcallister</w:t>
        </w:r>
      </w:hyperlink>
    </w:p>
    <w:p w:rsidR="002C5025" w:rsidRDefault="002C5025">
      <w:pPr>
        <w:pStyle w:val="BodyText"/>
        <w:kinsoku w:val="0"/>
        <w:overflowPunct w:val="0"/>
        <w:spacing w:before="4"/>
        <w:rPr>
          <w:rFonts w:ascii="Comic Sans MS" w:hAnsi="Comic Sans MS" w:cs="Comic Sans MS"/>
          <w:sz w:val="17"/>
          <w:szCs w:val="17"/>
        </w:rPr>
      </w:pPr>
    </w:p>
    <w:p w:rsidR="002C5025" w:rsidRDefault="002C5025">
      <w:pPr>
        <w:pStyle w:val="BodyText"/>
        <w:kinsoku w:val="0"/>
        <w:overflowPunct w:val="0"/>
        <w:spacing w:before="37"/>
        <w:ind w:left="100" w:right="94"/>
        <w:rPr>
          <w:rFonts w:ascii="Comic Sans MS" w:hAnsi="Comic Sans MS" w:cs="Comic Sans MS"/>
          <w:color w:val="424242"/>
          <w:sz w:val="20"/>
          <w:szCs w:val="20"/>
        </w:rPr>
      </w:pPr>
      <w:r>
        <w:rPr>
          <w:rFonts w:ascii="Comic Sans MS" w:hAnsi="Comic Sans MS" w:cs="Comic Sans MS"/>
          <w:color w:val="424242"/>
          <w:sz w:val="20"/>
          <w:szCs w:val="20"/>
        </w:rPr>
        <w:t>CONFIDENTIALITY NOTICE: This e-mail message, including attachments, is for the sole use of the intended recipient(s) and may contain confidential and privileged information. Any unauthorized review, use, disclosure or distribution is prohibited. If you are not the intended recipient, please contact the sender by reply e-mail and destroy all copies of the original message.</w:t>
      </w:r>
    </w:p>
    <w:p w:rsidR="002C5025" w:rsidRDefault="002C5025">
      <w:pPr>
        <w:pStyle w:val="BodyText"/>
        <w:kinsoku w:val="0"/>
        <w:overflowPunct w:val="0"/>
        <w:spacing w:before="13"/>
        <w:rPr>
          <w:rFonts w:ascii="Comic Sans MS" w:hAnsi="Comic Sans MS" w:cs="Comic Sans MS"/>
          <w:sz w:val="19"/>
          <w:szCs w:val="19"/>
        </w:rPr>
      </w:pPr>
    </w:p>
    <w:p w:rsidR="002C5025" w:rsidRDefault="002C5025">
      <w:pPr>
        <w:pStyle w:val="BodyText"/>
        <w:kinsoku w:val="0"/>
        <w:overflowPunct w:val="0"/>
        <w:ind w:left="100" w:right="149"/>
        <w:rPr>
          <w:rFonts w:ascii="Comic Sans MS" w:hAnsi="Comic Sans MS" w:cs="Comic Sans MS"/>
          <w:color w:val="424242"/>
          <w:sz w:val="20"/>
          <w:szCs w:val="20"/>
        </w:rPr>
      </w:pPr>
      <w:r>
        <w:rPr>
          <w:rFonts w:ascii="Comic Sans MS" w:hAnsi="Comic Sans MS" w:cs="Comic Sans MS"/>
          <w:color w:val="424242"/>
          <w:sz w:val="20"/>
          <w:szCs w:val="20"/>
        </w:rPr>
        <w:t>E-MAIL POLICY: Performance Pediatrics does not use e-mail to conduct patient care. Please do not send patient information via e-mail. New and established patients may contact us by phone to discuss any concerns at 508-747-8277.</w:t>
      </w:r>
    </w:p>
    <w:p w:rsidR="002C5025" w:rsidRDefault="002C5025">
      <w:pPr>
        <w:pStyle w:val="BodyText"/>
        <w:kinsoku w:val="0"/>
        <w:overflowPunct w:val="0"/>
        <w:ind w:left="100" w:right="149"/>
        <w:rPr>
          <w:rFonts w:ascii="Comic Sans MS" w:hAnsi="Comic Sans MS" w:cs="Comic Sans MS"/>
          <w:color w:val="424242"/>
          <w:sz w:val="20"/>
          <w:szCs w:val="20"/>
        </w:rPr>
        <w:sectPr w:rsidR="002C5025">
          <w:pgSz w:w="12240" w:h="15840"/>
          <w:pgMar w:top="1380" w:right="1360" w:bottom="280" w:left="1340" w:header="720" w:footer="720" w:gutter="0"/>
          <w:cols w:space="720" w:equalWidth="0">
            <w:col w:w="9540"/>
          </w:cols>
          <w:noEndnote/>
        </w:sectPr>
      </w:pPr>
    </w:p>
    <w:p w:rsidR="002C5025" w:rsidRDefault="002C5025">
      <w:pPr>
        <w:pStyle w:val="BodyText"/>
        <w:kinsoku w:val="0"/>
        <w:overflowPunct w:val="0"/>
        <w:spacing w:before="37"/>
        <w:ind w:left="120" w:right="327"/>
        <w:rPr>
          <w:sz w:val="21"/>
          <w:szCs w:val="21"/>
        </w:rPr>
      </w:pPr>
      <w:bookmarkStart w:id="188" w:name="Lynch_Associates"/>
      <w:bookmarkEnd w:id="188"/>
      <w:r>
        <w:rPr>
          <w:sz w:val="21"/>
          <w:szCs w:val="21"/>
        </w:rPr>
        <w:lastRenderedPageBreak/>
        <w:t>Hi Monique,</w:t>
      </w:r>
    </w:p>
    <w:p w:rsidR="002C5025" w:rsidRDefault="002C5025">
      <w:pPr>
        <w:pStyle w:val="BodyText"/>
        <w:kinsoku w:val="0"/>
        <w:overflowPunct w:val="0"/>
        <w:rPr>
          <w:sz w:val="21"/>
          <w:szCs w:val="21"/>
        </w:rPr>
      </w:pPr>
    </w:p>
    <w:p w:rsidR="002C5025" w:rsidRDefault="002C5025">
      <w:pPr>
        <w:pStyle w:val="BodyText"/>
        <w:kinsoku w:val="0"/>
        <w:overflowPunct w:val="0"/>
        <w:spacing w:before="1"/>
        <w:ind w:left="120" w:right="327"/>
        <w:rPr>
          <w:sz w:val="21"/>
          <w:szCs w:val="21"/>
        </w:rPr>
      </w:pPr>
      <w:r>
        <w:rPr>
          <w:sz w:val="21"/>
          <w:szCs w:val="21"/>
        </w:rPr>
        <w:t>I hope this finds you well.</w:t>
      </w:r>
    </w:p>
    <w:p w:rsidR="002C5025" w:rsidRDefault="002C5025">
      <w:pPr>
        <w:pStyle w:val="BodyText"/>
        <w:kinsoku w:val="0"/>
        <w:overflowPunct w:val="0"/>
        <w:spacing w:before="10"/>
        <w:rPr>
          <w:sz w:val="20"/>
          <w:szCs w:val="20"/>
        </w:rPr>
      </w:pPr>
    </w:p>
    <w:p w:rsidR="002C5025" w:rsidRDefault="002C5025">
      <w:pPr>
        <w:pStyle w:val="BodyText"/>
        <w:kinsoku w:val="0"/>
        <w:overflowPunct w:val="0"/>
        <w:spacing w:before="1"/>
        <w:ind w:left="119" w:right="106"/>
        <w:rPr>
          <w:sz w:val="21"/>
          <w:szCs w:val="21"/>
        </w:rPr>
      </w:pPr>
      <w:r>
        <w:rPr>
          <w:sz w:val="21"/>
          <w:szCs w:val="21"/>
        </w:rPr>
        <w:t xml:space="preserve">I was wondering if there was someone at MassHealth who might be able to clarify a question on the 1115 Wavier Proposal. I have a very specific question about eye glass coverage – I am wondering if the reference to excluding coverage for eye glasses in the PCC plans refers to just the elimination of the coverage for the </w:t>
      </w:r>
      <w:r>
        <w:rPr>
          <w:i/>
          <w:iCs/>
          <w:sz w:val="21"/>
          <w:szCs w:val="21"/>
        </w:rPr>
        <w:t xml:space="preserve">hardware </w:t>
      </w:r>
      <w:r>
        <w:rPr>
          <w:sz w:val="21"/>
          <w:szCs w:val="21"/>
        </w:rPr>
        <w:t xml:space="preserve">of the eyeglasses or if this refers to eliminating coverage for the eyeglass </w:t>
      </w:r>
      <w:r>
        <w:rPr>
          <w:i/>
          <w:iCs/>
          <w:sz w:val="21"/>
          <w:szCs w:val="21"/>
        </w:rPr>
        <w:t xml:space="preserve">services </w:t>
      </w:r>
      <w:r>
        <w:rPr>
          <w:sz w:val="21"/>
          <w:szCs w:val="21"/>
        </w:rPr>
        <w:t>as well (i.e. vision exam, fitting, dispensing, etc.). I am going to submit a formal comment prior to the deadline, but was hoping to clarify this one point just to be sure the comment is relevant to the proposal. Any help clarifying would be greatly</w:t>
      </w:r>
      <w:r>
        <w:rPr>
          <w:spacing w:val="-9"/>
          <w:sz w:val="21"/>
          <w:szCs w:val="21"/>
        </w:rPr>
        <w:t xml:space="preserve"> </w:t>
      </w:r>
      <w:r>
        <w:rPr>
          <w:sz w:val="21"/>
          <w:szCs w:val="21"/>
        </w:rPr>
        <w:t>appreciated.</w:t>
      </w:r>
    </w:p>
    <w:p w:rsidR="002C5025" w:rsidRDefault="002C5025">
      <w:pPr>
        <w:pStyle w:val="BodyText"/>
        <w:kinsoku w:val="0"/>
        <w:overflowPunct w:val="0"/>
        <w:rPr>
          <w:sz w:val="21"/>
          <w:szCs w:val="21"/>
        </w:rPr>
      </w:pPr>
    </w:p>
    <w:p w:rsidR="002C5025" w:rsidRDefault="002C5025">
      <w:pPr>
        <w:pStyle w:val="BodyText"/>
        <w:kinsoku w:val="0"/>
        <w:overflowPunct w:val="0"/>
        <w:spacing w:before="1"/>
        <w:ind w:left="119" w:right="8485"/>
        <w:rPr>
          <w:sz w:val="21"/>
          <w:szCs w:val="21"/>
        </w:rPr>
      </w:pPr>
      <w:r>
        <w:rPr>
          <w:sz w:val="21"/>
          <w:szCs w:val="21"/>
        </w:rPr>
        <w:t>Thank you, Kim</w:t>
      </w:r>
    </w:p>
    <w:p w:rsidR="002C5025" w:rsidRDefault="002C5025">
      <w:pPr>
        <w:pStyle w:val="BodyText"/>
        <w:kinsoku w:val="0"/>
        <w:overflowPunct w:val="0"/>
        <w:rPr>
          <w:sz w:val="21"/>
          <w:szCs w:val="21"/>
        </w:rPr>
      </w:pPr>
    </w:p>
    <w:p w:rsidR="002C5025" w:rsidRDefault="002C5025">
      <w:pPr>
        <w:pStyle w:val="BodyText"/>
        <w:kinsoku w:val="0"/>
        <w:overflowPunct w:val="0"/>
        <w:ind w:left="119" w:right="7239"/>
        <w:rPr>
          <w:sz w:val="24"/>
          <w:szCs w:val="24"/>
        </w:rPr>
      </w:pPr>
      <w:r>
        <w:rPr>
          <w:sz w:val="24"/>
          <w:szCs w:val="24"/>
        </w:rPr>
        <w:t>Kimberly Sullivan, Esq. Senior Counsel</w:t>
      </w:r>
    </w:p>
    <w:p w:rsidR="002C5025" w:rsidRDefault="002C5025">
      <w:pPr>
        <w:pStyle w:val="BodyText"/>
        <w:kinsoku w:val="0"/>
        <w:overflowPunct w:val="0"/>
        <w:ind w:left="119" w:right="327"/>
        <w:rPr>
          <w:sz w:val="24"/>
          <w:szCs w:val="24"/>
        </w:rPr>
      </w:pPr>
      <w:r>
        <w:rPr>
          <w:sz w:val="24"/>
          <w:szCs w:val="24"/>
        </w:rPr>
        <w:t>Lynch Associates, Inc.</w:t>
      </w:r>
    </w:p>
    <w:p w:rsidR="002C5025" w:rsidRDefault="002C5025">
      <w:pPr>
        <w:pStyle w:val="BodyText"/>
        <w:kinsoku w:val="0"/>
        <w:overflowPunct w:val="0"/>
        <w:ind w:left="120" w:right="6514"/>
        <w:rPr>
          <w:sz w:val="24"/>
          <w:szCs w:val="24"/>
        </w:rPr>
      </w:pPr>
      <w:r>
        <w:rPr>
          <w:sz w:val="24"/>
          <w:szCs w:val="24"/>
        </w:rPr>
        <w:t>12 Post Office Sq., 6th floor Boston, Massachusetts 02109</w:t>
      </w:r>
    </w:p>
    <w:p w:rsidR="002C5025" w:rsidRDefault="002C5025">
      <w:pPr>
        <w:pStyle w:val="BodyText"/>
        <w:kinsoku w:val="0"/>
        <w:overflowPunct w:val="0"/>
        <w:spacing w:before="2"/>
        <w:ind w:left="120" w:right="327"/>
        <w:rPr>
          <w:sz w:val="24"/>
          <w:szCs w:val="24"/>
        </w:rPr>
      </w:pPr>
      <w:r>
        <w:rPr>
          <w:sz w:val="24"/>
          <w:szCs w:val="24"/>
        </w:rPr>
        <w:t>p: 617.574.3399</w:t>
      </w:r>
    </w:p>
    <w:p w:rsidR="002C5025" w:rsidRDefault="002C5025">
      <w:pPr>
        <w:pStyle w:val="BodyText"/>
        <w:kinsoku w:val="0"/>
        <w:overflowPunct w:val="0"/>
        <w:ind w:left="119" w:right="327"/>
        <w:rPr>
          <w:sz w:val="24"/>
          <w:szCs w:val="24"/>
        </w:rPr>
      </w:pPr>
      <w:r>
        <w:rPr>
          <w:sz w:val="24"/>
          <w:szCs w:val="24"/>
        </w:rPr>
        <w:t>f: 617-695-0173</w:t>
      </w:r>
    </w:p>
    <w:p w:rsidR="002C5025" w:rsidRDefault="002C5025">
      <w:pPr>
        <w:pStyle w:val="BodyText"/>
        <w:kinsoku w:val="0"/>
        <w:overflowPunct w:val="0"/>
        <w:ind w:left="120" w:right="6131"/>
        <w:rPr>
          <w:color w:val="0000FF"/>
          <w:sz w:val="24"/>
          <w:szCs w:val="24"/>
        </w:rPr>
      </w:pPr>
      <w:r>
        <w:rPr>
          <w:sz w:val="24"/>
          <w:szCs w:val="24"/>
        </w:rPr>
        <w:t xml:space="preserve">e: </w:t>
      </w:r>
      <w:hyperlink r:id="rId397" w:history="1">
        <w:r>
          <w:rPr>
            <w:color w:val="0000FF"/>
            <w:sz w:val="24"/>
            <w:szCs w:val="24"/>
            <w:u w:val="single"/>
          </w:rPr>
          <w:t>ksullivan@lynchassociates.com</w:t>
        </w:r>
      </w:hyperlink>
      <w:r>
        <w:rPr>
          <w:color w:val="0000FF"/>
          <w:sz w:val="24"/>
          <w:szCs w:val="24"/>
          <w:u w:val="single"/>
        </w:rPr>
        <w:t xml:space="preserve"> </w:t>
      </w:r>
      <w:r>
        <w:rPr>
          <w:color w:val="000000"/>
          <w:sz w:val="24"/>
          <w:szCs w:val="24"/>
        </w:rPr>
        <w:t xml:space="preserve">w: </w:t>
      </w:r>
      <w:hyperlink r:id="rId398" w:history="1">
        <w:r>
          <w:rPr>
            <w:color w:val="0000FF"/>
            <w:sz w:val="24"/>
            <w:szCs w:val="24"/>
            <w:u w:val="single"/>
          </w:rPr>
          <w:t>www.lynchassociates.com</w:t>
        </w:r>
      </w:hyperlink>
    </w:p>
    <w:p w:rsidR="002C5025" w:rsidRDefault="002C5025">
      <w:pPr>
        <w:pStyle w:val="BodyText"/>
        <w:kinsoku w:val="0"/>
        <w:overflowPunct w:val="0"/>
        <w:ind w:left="120" w:right="6131"/>
        <w:rPr>
          <w:color w:val="0000FF"/>
          <w:sz w:val="24"/>
          <w:szCs w:val="24"/>
        </w:rPr>
        <w:sectPr w:rsidR="002C5025">
          <w:pgSz w:w="12240" w:h="15840"/>
          <w:pgMar w:top="1400" w:right="1360" w:bottom="280" w:left="1320" w:header="720" w:footer="720" w:gutter="0"/>
          <w:cols w:space="720" w:equalWidth="0">
            <w:col w:w="9560"/>
          </w:cols>
          <w:noEndnote/>
        </w:sectPr>
      </w:pPr>
    </w:p>
    <w:p w:rsidR="002C5025" w:rsidRDefault="002C5025">
      <w:pPr>
        <w:pStyle w:val="BodyText"/>
        <w:kinsoku w:val="0"/>
        <w:overflowPunct w:val="0"/>
        <w:spacing w:before="103"/>
        <w:ind w:left="120" w:right="241"/>
        <w:rPr>
          <w:rFonts w:ascii="Times New Roman" w:hAnsi="Times New Roman" w:cs="Times New Roman"/>
          <w:sz w:val="20"/>
          <w:szCs w:val="20"/>
        </w:rPr>
      </w:pPr>
      <w:bookmarkStart w:id="189" w:name="Nehring_Tufts_Dental_Comments_mm"/>
      <w:bookmarkEnd w:id="189"/>
      <w:r>
        <w:rPr>
          <w:rFonts w:ascii="Times New Roman" w:hAnsi="Times New Roman" w:cs="Times New Roman"/>
          <w:sz w:val="20"/>
          <w:szCs w:val="20"/>
        </w:rPr>
        <w:lastRenderedPageBreak/>
        <w:t xml:space="preserve">Mark E. </w:t>
      </w:r>
      <w:proofErr w:type="spellStart"/>
      <w:r>
        <w:rPr>
          <w:rFonts w:ascii="Times New Roman" w:hAnsi="Times New Roman" w:cs="Times New Roman"/>
          <w:sz w:val="20"/>
          <w:szCs w:val="20"/>
        </w:rPr>
        <w:t>Nehring</w:t>
      </w:r>
      <w:proofErr w:type="spellEnd"/>
      <w:r>
        <w:rPr>
          <w:rFonts w:ascii="Times New Roman" w:hAnsi="Times New Roman" w:cs="Times New Roman"/>
          <w:sz w:val="20"/>
          <w:szCs w:val="20"/>
        </w:rPr>
        <w:t xml:space="preserve">, Chair, </w:t>
      </w:r>
      <w:proofErr w:type="spellStart"/>
      <w:r>
        <w:rPr>
          <w:rFonts w:ascii="Times New Roman" w:hAnsi="Times New Roman" w:cs="Times New Roman"/>
          <w:sz w:val="20"/>
          <w:szCs w:val="20"/>
        </w:rPr>
        <w:t>Dept</w:t>
      </w:r>
      <w:proofErr w:type="spellEnd"/>
      <w:r>
        <w:rPr>
          <w:rFonts w:ascii="Times New Roman" w:hAnsi="Times New Roman" w:cs="Times New Roman"/>
          <w:sz w:val="20"/>
          <w:szCs w:val="20"/>
        </w:rPr>
        <w:t xml:space="preserve"> of Public Health and Community Service, Tufts School Dental Medicine</w:t>
      </w:r>
    </w:p>
    <w:p w:rsidR="002C5025" w:rsidRDefault="002C5025">
      <w:pPr>
        <w:pStyle w:val="BodyText"/>
        <w:kinsoku w:val="0"/>
        <w:overflowPunct w:val="0"/>
        <w:spacing w:before="3"/>
        <w:rPr>
          <w:rFonts w:ascii="Times New Roman" w:hAnsi="Times New Roman" w:cs="Times New Roman"/>
          <w:sz w:val="23"/>
          <w:szCs w:val="23"/>
        </w:rPr>
      </w:pPr>
    </w:p>
    <w:p w:rsidR="002C5025" w:rsidRDefault="002C5025">
      <w:pPr>
        <w:pStyle w:val="BodyText"/>
        <w:kinsoku w:val="0"/>
        <w:overflowPunct w:val="0"/>
        <w:ind w:left="120" w:right="241"/>
        <w:rPr>
          <w:rFonts w:ascii="Times New Roman" w:hAnsi="Times New Roman" w:cs="Times New Roman"/>
          <w:b/>
          <w:bCs/>
          <w:sz w:val="24"/>
          <w:szCs w:val="24"/>
        </w:rPr>
      </w:pPr>
      <w:r>
        <w:rPr>
          <w:rFonts w:ascii="Times New Roman" w:hAnsi="Times New Roman" w:cs="Times New Roman"/>
          <w:b/>
          <w:bCs/>
          <w:sz w:val="24"/>
          <w:szCs w:val="24"/>
          <w:u w:val="thick" w:color="000000"/>
        </w:rPr>
        <w:t>ACO- Design</w:t>
      </w:r>
    </w:p>
    <w:p w:rsidR="002C5025" w:rsidRDefault="002C5025">
      <w:pPr>
        <w:pStyle w:val="BodyText"/>
        <w:kinsoku w:val="0"/>
        <w:overflowPunct w:val="0"/>
        <w:spacing w:before="9"/>
        <w:rPr>
          <w:rFonts w:ascii="Times New Roman" w:hAnsi="Times New Roman" w:cs="Times New Roman"/>
          <w:b/>
          <w:bCs/>
          <w:sz w:val="15"/>
          <w:szCs w:val="15"/>
        </w:rPr>
      </w:pPr>
    </w:p>
    <w:p w:rsidR="002C5025" w:rsidRDefault="002C5025">
      <w:pPr>
        <w:pStyle w:val="BodyText"/>
        <w:kinsoku w:val="0"/>
        <w:overflowPunct w:val="0"/>
        <w:spacing w:before="85" w:line="225" w:lineRule="auto"/>
        <w:ind w:left="119" w:right="20"/>
        <w:rPr>
          <w:rFonts w:ascii="Times New Roman" w:hAnsi="Times New Roman" w:cs="Times New Roman"/>
          <w:sz w:val="20"/>
          <w:szCs w:val="20"/>
        </w:rPr>
      </w:pPr>
      <w:r>
        <w:rPr>
          <w:rFonts w:ascii="Times New Roman" w:hAnsi="Times New Roman" w:cs="Times New Roman"/>
          <w:sz w:val="20"/>
          <w:szCs w:val="20"/>
        </w:rPr>
        <w:t xml:space="preserve">Mounting evidence shows more causal and growing associations between poor oral health and systemic (rest of the body) diseases. [many examples in letter of evidence that cost of treating systemic disease is reduced with oral health care] … </w:t>
      </w:r>
      <w:r>
        <w:rPr>
          <w:rFonts w:ascii="Times New Roman" w:hAnsi="Times New Roman" w:cs="Times New Roman"/>
          <w:i/>
          <w:iCs/>
          <w:sz w:val="20"/>
          <w:szCs w:val="20"/>
        </w:rPr>
        <w:t>Oral health needs to be integrated into the 1115 Waiver Amendment request</w:t>
      </w:r>
      <w:r>
        <w:rPr>
          <w:rFonts w:ascii="Times New Roman" w:hAnsi="Times New Roman" w:cs="Times New Roman"/>
          <w:sz w:val="20"/>
          <w:szCs w:val="20"/>
        </w:rPr>
        <w:t>. Those most vulnerable to disease need the knowledge base, and access to coordinated health care to: maintain health (including a healthy dentition), eat, speak, become employed and maintain dignity within social interactions.</w:t>
      </w:r>
    </w:p>
    <w:p w:rsidR="002C5025" w:rsidRDefault="002C5025">
      <w:pPr>
        <w:pStyle w:val="BodyText"/>
        <w:kinsoku w:val="0"/>
        <w:overflowPunct w:val="0"/>
        <w:spacing w:before="11"/>
        <w:rPr>
          <w:rFonts w:ascii="Times New Roman" w:hAnsi="Times New Roman" w:cs="Times New Roman"/>
          <w:sz w:val="18"/>
          <w:szCs w:val="18"/>
        </w:rPr>
      </w:pPr>
    </w:p>
    <w:p w:rsidR="002C5025" w:rsidRDefault="002C5025">
      <w:pPr>
        <w:pStyle w:val="BodyText"/>
        <w:kinsoku w:val="0"/>
        <w:overflowPunct w:val="0"/>
        <w:spacing w:line="216" w:lineRule="exact"/>
        <w:ind w:left="120" w:right="508" w:hanging="1"/>
        <w:rPr>
          <w:rFonts w:ascii="Times New Roman" w:hAnsi="Times New Roman" w:cs="Times New Roman"/>
          <w:sz w:val="20"/>
          <w:szCs w:val="20"/>
        </w:rPr>
      </w:pPr>
      <w:r>
        <w:rPr>
          <w:rFonts w:ascii="Times New Roman" w:hAnsi="Times New Roman" w:cs="Times New Roman"/>
          <w:i/>
          <w:iCs/>
          <w:sz w:val="20"/>
          <w:szCs w:val="20"/>
        </w:rPr>
        <w:t>Suggest a committee be convened composed of primary care and oral health providers, as well as stakeholders including consumer representatives, to identify necessary metrics for evaluating oral health outcomes</w:t>
      </w:r>
      <w:r>
        <w:rPr>
          <w:rFonts w:ascii="Times New Roman" w:hAnsi="Times New Roman" w:cs="Times New Roman"/>
          <w:sz w:val="20"/>
          <w:szCs w:val="20"/>
        </w:rPr>
        <w:t>.</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9"/>
        <w:rPr>
          <w:rFonts w:ascii="Times New Roman" w:hAnsi="Times New Roman" w:cs="Times New Roman"/>
          <w:sz w:val="17"/>
          <w:szCs w:val="17"/>
        </w:rPr>
      </w:pPr>
    </w:p>
    <w:p w:rsidR="002C5025" w:rsidRDefault="002C5025">
      <w:pPr>
        <w:pStyle w:val="BodyText"/>
        <w:kinsoku w:val="0"/>
        <w:overflowPunct w:val="0"/>
        <w:ind w:left="120" w:right="241"/>
        <w:rPr>
          <w:rFonts w:ascii="Arial" w:hAnsi="Arial" w:cs="Arial"/>
          <w:sz w:val="16"/>
          <w:szCs w:val="16"/>
        </w:rPr>
      </w:pPr>
      <w:r>
        <w:rPr>
          <w:rFonts w:ascii="Arial" w:hAnsi="Arial" w:cs="Arial"/>
          <w:sz w:val="16"/>
          <w:szCs w:val="16"/>
        </w:rPr>
        <w:t xml:space="preserve">1 Kneeland Street, Suite 1534, Boston, MA 02111 |  </w:t>
      </w:r>
      <w:r>
        <w:rPr>
          <w:rFonts w:ascii="Arial" w:hAnsi="Arial" w:cs="Arial"/>
          <w:sz w:val="11"/>
          <w:szCs w:val="11"/>
        </w:rPr>
        <w:t xml:space="preserve">TEL: </w:t>
      </w:r>
      <w:r>
        <w:rPr>
          <w:rFonts w:ascii="Arial" w:hAnsi="Arial" w:cs="Arial"/>
          <w:sz w:val="16"/>
          <w:szCs w:val="16"/>
        </w:rPr>
        <w:t xml:space="preserve">(617) 636-3683 |  </w:t>
      </w:r>
      <w:r>
        <w:rPr>
          <w:rFonts w:ascii="Arial" w:hAnsi="Arial" w:cs="Arial"/>
          <w:sz w:val="11"/>
          <w:szCs w:val="11"/>
        </w:rPr>
        <w:t xml:space="preserve">FAX: </w:t>
      </w:r>
      <w:r>
        <w:rPr>
          <w:rFonts w:ascii="Arial" w:hAnsi="Arial" w:cs="Arial"/>
          <w:sz w:val="16"/>
          <w:szCs w:val="16"/>
        </w:rPr>
        <w:t>(617) 636-2965</w:t>
      </w:r>
    </w:p>
    <w:p w:rsidR="002C5025" w:rsidRDefault="002C5025">
      <w:pPr>
        <w:pStyle w:val="BodyText"/>
        <w:kinsoku w:val="0"/>
        <w:overflowPunct w:val="0"/>
        <w:ind w:left="120" w:right="241"/>
        <w:rPr>
          <w:rFonts w:ascii="Arial" w:hAnsi="Arial" w:cs="Arial"/>
          <w:sz w:val="16"/>
          <w:szCs w:val="16"/>
        </w:rPr>
        <w:sectPr w:rsidR="002C5025">
          <w:pgSz w:w="12240" w:h="15840"/>
          <w:pgMar w:top="1500" w:right="1380" w:bottom="280" w:left="1320" w:header="720" w:footer="720" w:gutter="0"/>
          <w:cols w:space="720" w:equalWidth="0">
            <w:col w:w="9540"/>
          </w:cols>
          <w:noEndnote/>
        </w:sectPr>
      </w:pPr>
    </w:p>
    <w:p w:rsidR="007B2B7B" w:rsidRDefault="007B2B7B"/>
    <w:p w:rsidR="007B2B7B" w:rsidRPr="006E2F20" w:rsidRDefault="007B2B7B" w:rsidP="007B2B7B">
      <w:pPr>
        <w:rPr>
          <w:rFonts w:eastAsia="Times New Roman"/>
        </w:rPr>
      </w:pPr>
      <w:r>
        <w:rPr>
          <w:rFonts w:eastAsia="Times New Roman"/>
          <w:noProof/>
          <w:color w:val="0000FF"/>
        </w:rPr>
        <w:drawing>
          <wp:inline distT="0" distB="0" distL="0" distR="0">
            <wp:extent cx="6420395" cy="1157667"/>
            <wp:effectExtent l="0" t="0" r="0" b="4445"/>
            <wp:docPr id="1173" name="Picture 1173" descr="Mass Home Care">
              <a:hlinkClick xmlns:a="http://schemas.openxmlformats.org/drawingml/2006/main" r:id="rId399" tooltip="&quot;Mass Home Car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ss Home Care">
                      <a:hlinkClick r:id="rId399" tooltip="&quot;Mass Home Care&quot;"/>
                    </pic:cNvPr>
                    <pic:cNvPicPr>
                      <a:picLocks noChangeAspect="1"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0" y="0"/>
                      <a:ext cx="6417165" cy="1157085"/>
                    </a:xfrm>
                    <a:prstGeom prst="rect">
                      <a:avLst/>
                    </a:prstGeom>
                    <a:noFill/>
                    <a:ln>
                      <a:noFill/>
                    </a:ln>
                  </pic:spPr>
                </pic:pic>
              </a:graphicData>
            </a:graphic>
          </wp:inline>
        </w:drawing>
      </w:r>
    </w:p>
    <w:p w:rsidR="007B2B7B" w:rsidRPr="00453F28" w:rsidRDefault="007B2B7B" w:rsidP="007B2B7B">
      <w:pPr>
        <w:rPr>
          <w:b/>
          <w:sz w:val="28"/>
          <w:szCs w:val="28"/>
        </w:rPr>
      </w:pPr>
    </w:p>
    <w:p w:rsidR="007B2B7B" w:rsidRDefault="007B2B7B" w:rsidP="007B2B7B">
      <w:pPr>
        <w:jc w:val="center"/>
        <w:rPr>
          <w:b/>
          <w:sz w:val="28"/>
          <w:szCs w:val="28"/>
        </w:rPr>
      </w:pPr>
      <w:r w:rsidRPr="00453F28">
        <w:rPr>
          <w:b/>
          <w:sz w:val="28"/>
          <w:szCs w:val="28"/>
        </w:rPr>
        <w:t xml:space="preserve">Preliminary Testimony Regarding </w:t>
      </w:r>
    </w:p>
    <w:p w:rsidR="007B2B7B" w:rsidRPr="00453F28" w:rsidRDefault="007B2B7B" w:rsidP="007B2B7B">
      <w:pPr>
        <w:jc w:val="center"/>
        <w:rPr>
          <w:b/>
          <w:sz w:val="28"/>
          <w:szCs w:val="28"/>
        </w:rPr>
      </w:pPr>
      <w:r>
        <w:rPr>
          <w:b/>
          <w:sz w:val="28"/>
          <w:szCs w:val="28"/>
        </w:rPr>
        <w:t>T</w:t>
      </w:r>
      <w:r w:rsidRPr="00453F28">
        <w:rPr>
          <w:b/>
          <w:sz w:val="28"/>
          <w:szCs w:val="28"/>
        </w:rPr>
        <w:t>he MassHealth Section 1115 Demonstration Project And Extension Request</w:t>
      </w:r>
    </w:p>
    <w:p w:rsidR="007B2B7B" w:rsidRPr="00453F28" w:rsidRDefault="007B2B7B" w:rsidP="007B2B7B">
      <w:pPr>
        <w:jc w:val="center"/>
        <w:rPr>
          <w:b/>
          <w:sz w:val="28"/>
          <w:szCs w:val="28"/>
        </w:rPr>
      </w:pPr>
    </w:p>
    <w:p w:rsidR="007B2B7B" w:rsidRPr="00453F28" w:rsidRDefault="007B2B7B" w:rsidP="007B2B7B">
      <w:pPr>
        <w:jc w:val="center"/>
        <w:rPr>
          <w:b/>
          <w:sz w:val="28"/>
          <w:szCs w:val="28"/>
        </w:rPr>
      </w:pPr>
      <w:r w:rsidRPr="00453F28">
        <w:rPr>
          <w:b/>
          <w:sz w:val="28"/>
          <w:szCs w:val="28"/>
        </w:rPr>
        <w:t>Prepared by the Mass Home Care Association</w:t>
      </w:r>
    </w:p>
    <w:p w:rsidR="007B2B7B" w:rsidRPr="00453F28" w:rsidRDefault="007B2B7B" w:rsidP="007B2B7B">
      <w:pPr>
        <w:jc w:val="center"/>
        <w:rPr>
          <w:b/>
          <w:sz w:val="28"/>
          <w:szCs w:val="28"/>
        </w:rPr>
      </w:pPr>
      <w:r w:rsidRPr="00453F28">
        <w:rPr>
          <w:b/>
          <w:sz w:val="28"/>
          <w:szCs w:val="28"/>
        </w:rPr>
        <w:t>June 24, 2016</w:t>
      </w:r>
    </w:p>
    <w:p w:rsidR="007B2B7B" w:rsidRDefault="007B2B7B" w:rsidP="007B2B7B">
      <w:pPr>
        <w:jc w:val="both"/>
      </w:pPr>
    </w:p>
    <w:p w:rsidR="007B2B7B" w:rsidRPr="00453F28" w:rsidRDefault="007B2B7B" w:rsidP="007B2B7B">
      <w:pPr>
        <w:jc w:val="both"/>
      </w:pPr>
    </w:p>
    <w:p w:rsidR="007B2B7B" w:rsidRPr="006E2F20" w:rsidRDefault="007B2B7B" w:rsidP="007B2B7B">
      <w:pPr>
        <w:jc w:val="center"/>
        <w:rPr>
          <w:b/>
        </w:rPr>
      </w:pPr>
      <w:r w:rsidRPr="006E2F20">
        <w:rPr>
          <w:b/>
        </w:rPr>
        <w:t>Introduction</w:t>
      </w:r>
    </w:p>
    <w:p w:rsidR="007B2B7B" w:rsidRPr="006E2F20" w:rsidRDefault="007B2B7B" w:rsidP="007B2B7B">
      <w:pPr>
        <w:jc w:val="center"/>
      </w:pPr>
    </w:p>
    <w:p w:rsidR="007B2B7B" w:rsidRPr="006E2F20" w:rsidRDefault="007B2B7B" w:rsidP="007B2B7B">
      <w:pPr>
        <w:ind w:firstLine="720"/>
        <w:jc w:val="both"/>
      </w:pPr>
      <w:r w:rsidRPr="006E2F20">
        <w:t>The Mass Home Care Association is a network of 26 state-designated Aging Services Access Points (ASAPs) and twenty-two federally designated Are</w:t>
      </w:r>
      <w:r>
        <w:t>a Agencies on Aging (AAAs), The ASAP, pursuant to state law,</w:t>
      </w:r>
      <w:r w:rsidRPr="006E2F20">
        <w:t xml:space="preserve"> provide independent care coordination services in the </w:t>
      </w:r>
      <w:r>
        <w:t>pre- and post-</w:t>
      </w:r>
      <w:r w:rsidRPr="006E2F20">
        <w:t>acute setting to the elderly and individuals</w:t>
      </w:r>
      <w:r>
        <w:t xml:space="preserve"> with disabilities, under </w:t>
      </w:r>
      <w:r w:rsidRPr="006E2F20">
        <w:t xml:space="preserve">contracts with the Executive Office of Elder Affairs, MassHealth, Senior Care Organizations, One Care plans, Medicare Advantage plans, and other </w:t>
      </w:r>
      <w:r>
        <w:t xml:space="preserve">health care entities and </w:t>
      </w:r>
      <w:r w:rsidRPr="006E2F20">
        <w:t xml:space="preserve">insurers. </w:t>
      </w:r>
    </w:p>
    <w:p w:rsidR="007B2B7B" w:rsidRPr="006E2F20" w:rsidRDefault="007B2B7B" w:rsidP="007B2B7B">
      <w:pPr>
        <w:jc w:val="both"/>
      </w:pPr>
      <w:r w:rsidRPr="006E2F20">
        <w:tab/>
        <w:t xml:space="preserve">Under the provisions of Chapter 19A, 4B, Chapters 118E, s. 9D and 9F, the ASAPs act as ‘independent agents’ as </w:t>
      </w:r>
      <w:r>
        <w:t xml:space="preserve">this term is </w:t>
      </w:r>
      <w:r w:rsidRPr="006E2F20">
        <w:t>defin</w:t>
      </w:r>
      <w:r>
        <w:t xml:space="preserve">ed by </w:t>
      </w:r>
      <w:r w:rsidRPr="006E2F20">
        <w:t>CMS. Our mission is to keep individuals living in the least restrictive setting possible, at their highest level of functioning pos</w:t>
      </w:r>
      <w:r>
        <w:t>sible, for as long as possible.</w:t>
      </w:r>
    </w:p>
    <w:p w:rsidR="007B2B7B" w:rsidRPr="006E2F20" w:rsidRDefault="007B2B7B" w:rsidP="007B2B7B">
      <w:pPr>
        <w:jc w:val="both"/>
        <w:rPr>
          <w:b/>
        </w:rPr>
      </w:pPr>
    </w:p>
    <w:p w:rsidR="007B2B7B" w:rsidRPr="006E2F20" w:rsidRDefault="007B2B7B" w:rsidP="007B2B7B">
      <w:pPr>
        <w:jc w:val="center"/>
        <w:rPr>
          <w:b/>
          <w:sz w:val="28"/>
          <w:szCs w:val="28"/>
        </w:rPr>
      </w:pPr>
      <w:r w:rsidRPr="006E2F20">
        <w:rPr>
          <w:b/>
          <w:sz w:val="28"/>
          <w:szCs w:val="28"/>
        </w:rPr>
        <w:t>I. Comments on the 1115 Plan</w:t>
      </w:r>
    </w:p>
    <w:p w:rsidR="007B2B7B" w:rsidRPr="006E2F20" w:rsidRDefault="007B2B7B" w:rsidP="007B2B7B">
      <w:pPr>
        <w:jc w:val="both"/>
        <w:rPr>
          <w:b/>
        </w:rPr>
      </w:pPr>
    </w:p>
    <w:p w:rsidR="007B2B7B" w:rsidRPr="006E2F20" w:rsidRDefault="007B2B7B" w:rsidP="007B2B7B">
      <w:pPr>
        <w:jc w:val="both"/>
      </w:pPr>
    </w:p>
    <w:p w:rsidR="007B2B7B" w:rsidRPr="006E2F20" w:rsidRDefault="007B2B7B" w:rsidP="007B2B7B">
      <w:pPr>
        <w:jc w:val="both"/>
      </w:pPr>
      <w:r w:rsidRPr="006E2F20">
        <w:tab/>
        <w:t>On June 15</w:t>
      </w:r>
      <w:r w:rsidRPr="006E2F20">
        <w:rPr>
          <w:vertAlign w:val="superscript"/>
        </w:rPr>
        <w:t>th</w:t>
      </w:r>
      <w:r w:rsidRPr="006E2F20">
        <w:t xml:space="preserve">, Mass Health released </w:t>
      </w:r>
      <w:r w:rsidRPr="006E2F20">
        <w:rPr>
          <w:rFonts w:eastAsia="Times New Roman"/>
        </w:rPr>
        <w:t xml:space="preserve">its request to amend and extend the MassHealth Section 1115 Demonstration (“Request”) to the Centers for Medicare and Medicaid Services. </w:t>
      </w:r>
    </w:p>
    <w:p w:rsidR="007B2B7B" w:rsidRPr="006E2F20" w:rsidRDefault="007B2B7B" w:rsidP="007B2B7B">
      <w:pPr>
        <w:ind w:firstLine="720"/>
        <w:jc w:val="both"/>
        <w:rPr>
          <w:rFonts w:eastAsia="Times New Roman"/>
        </w:rPr>
      </w:pPr>
      <w:r w:rsidRPr="006E2F20">
        <w:rPr>
          <w:rFonts w:eastAsia="Times New Roman"/>
        </w:rPr>
        <w:t xml:space="preserve">The MassHealth 1115 Demonstration provides federal authority for Massachusetts to expand eligibility to individuals who are not otherwise Medicaid or CHIP eligible, offer services that are not typically covered by Medicaid, and use innovative service delivery systems that improve care, increase efficiency, and reduce costs as a part of MassHealth restructuring.  </w:t>
      </w:r>
    </w:p>
    <w:p w:rsidR="007B2B7B" w:rsidRPr="006E2F20" w:rsidRDefault="007B2B7B" w:rsidP="007B2B7B">
      <w:pPr>
        <w:ind w:firstLine="720"/>
        <w:jc w:val="both"/>
        <w:rPr>
          <w:rFonts w:eastAsia="Times New Roman"/>
        </w:rPr>
      </w:pPr>
    </w:p>
    <w:p w:rsidR="007B2B7B" w:rsidRPr="006E2F20" w:rsidRDefault="007B2B7B" w:rsidP="007B2B7B">
      <w:pPr>
        <w:jc w:val="both"/>
        <w:rPr>
          <w:b/>
        </w:rPr>
      </w:pPr>
      <w:r w:rsidRPr="006E2F20">
        <w:rPr>
          <w:b/>
        </w:rPr>
        <w:t>Integration of Care Is An Important Goal</w:t>
      </w:r>
    </w:p>
    <w:p w:rsidR="007B2B7B" w:rsidRPr="006E2F20" w:rsidRDefault="007B2B7B" w:rsidP="007B2B7B">
      <w:pPr>
        <w:jc w:val="both"/>
        <w:rPr>
          <w:rFonts w:eastAsia="Times New Roman"/>
        </w:rPr>
      </w:pPr>
    </w:p>
    <w:p w:rsidR="007B2B7B" w:rsidRPr="006E2F20" w:rsidRDefault="007B2B7B" w:rsidP="007B2B7B">
      <w:pPr>
        <w:ind w:firstLine="720"/>
        <w:jc w:val="both"/>
        <w:rPr>
          <w:rFonts w:eastAsia="Times New Roman"/>
        </w:rPr>
      </w:pPr>
      <w:r w:rsidRPr="006E2F20">
        <w:rPr>
          <w:rFonts w:eastAsia="Times New Roman"/>
        </w:rPr>
        <w:t>Mass Home Care agrees fully with MassHealth that “improving integration and delivery of care for members with behavioral health needs and those with dual diagnoses of substance abuse disorder; as well as integration of long term services and supports and health-related social services,” is an important goal to pursue. We were involved with the writing of state law regarding two earlier managed care demonstrations: The SCO plan, and the One Care plan. Each of these managed car</w:t>
      </w:r>
      <w:r>
        <w:rPr>
          <w:rFonts w:eastAsia="Times New Roman"/>
        </w:rPr>
        <w:t>e plans has</w:t>
      </w:r>
      <w:r w:rsidRPr="006E2F20">
        <w:rPr>
          <w:rFonts w:eastAsia="Times New Roman"/>
        </w:rPr>
        <w:t xml:space="preserve"> provisions requiring the use of independent LTSS coordinators.</w:t>
      </w:r>
    </w:p>
    <w:p w:rsidR="007B2B7B" w:rsidRPr="006E2F20" w:rsidRDefault="007B2B7B" w:rsidP="007B2B7B">
      <w:pPr>
        <w:ind w:firstLine="720"/>
        <w:jc w:val="both"/>
        <w:rPr>
          <w:rFonts w:eastAsia="Times New Roman"/>
        </w:rPr>
      </w:pPr>
    </w:p>
    <w:p w:rsidR="007B2B7B" w:rsidRPr="006E2F20" w:rsidRDefault="007B2B7B" w:rsidP="007B2B7B">
      <w:pPr>
        <w:jc w:val="both"/>
        <w:rPr>
          <w:rFonts w:eastAsia="Times New Roman"/>
          <w:b/>
        </w:rPr>
      </w:pPr>
      <w:r w:rsidRPr="006E2F20">
        <w:rPr>
          <w:rFonts w:eastAsia="Times New Roman"/>
          <w:b/>
        </w:rPr>
        <w:t>Mass Home Care Supports The Goals Of This Project</w:t>
      </w:r>
    </w:p>
    <w:p w:rsidR="007B2B7B" w:rsidRPr="006E2F20" w:rsidRDefault="007B2B7B" w:rsidP="007B2B7B">
      <w:pPr>
        <w:jc w:val="both"/>
        <w:rPr>
          <w:rFonts w:eastAsia="Times New Roman"/>
        </w:rPr>
      </w:pPr>
    </w:p>
    <w:p w:rsidR="007B2B7B" w:rsidRPr="006E2F20" w:rsidRDefault="007B2B7B" w:rsidP="007B2B7B">
      <w:pPr>
        <w:jc w:val="both"/>
        <w:rPr>
          <w:rFonts w:eastAsia="Times New Roman"/>
        </w:rPr>
      </w:pPr>
      <w:r w:rsidRPr="006E2F20">
        <w:rPr>
          <w:rFonts w:eastAsia="Times New Roman"/>
          <w:noProof/>
        </w:rPr>
        <w:lastRenderedPageBreak/>
        <w:drawing>
          <wp:inline distT="0" distB="0" distL="0" distR="0" wp14:anchorId="59C13CA3" wp14:editId="65402D6D">
            <wp:extent cx="5943600" cy="1601686"/>
            <wp:effectExtent l="0" t="0" r="0" b="0"/>
            <wp:docPr id="1174" name="Picture 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1">
                      <a:extLst>
                        <a:ext uri="{28A0092B-C50C-407E-A947-70E740481C1C}">
                          <a14:useLocalDpi xmlns:a14="http://schemas.microsoft.com/office/drawing/2010/main" val="0"/>
                        </a:ext>
                      </a:extLst>
                    </a:blip>
                    <a:srcRect/>
                    <a:stretch>
                      <a:fillRect/>
                    </a:stretch>
                  </pic:blipFill>
                  <pic:spPr bwMode="auto">
                    <a:xfrm>
                      <a:off x="0" y="0"/>
                      <a:ext cx="5943600" cy="1601686"/>
                    </a:xfrm>
                    <a:prstGeom prst="rect">
                      <a:avLst/>
                    </a:prstGeom>
                    <a:noFill/>
                    <a:ln>
                      <a:noFill/>
                    </a:ln>
                  </pic:spPr>
                </pic:pic>
              </a:graphicData>
            </a:graphic>
          </wp:inline>
        </w:drawing>
      </w:r>
    </w:p>
    <w:p w:rsidR="007B2B7B" w:rsidRPr="006E2F20" w:rsidRDefault="007B2B7B" w:rsidP="007B2B7B">
      <w:pPr>
        <w:ind w:firstLine="720"/>
        <w:jc w:val="both"/>
        <w:rPr>
          <w:rFonts w:eastAsia="Times New Roman"/>
        </w:rPr>
      </w:pPr>
    </w:p>
    <w:p w:rsidR="007B2B7B" w:rsidRDefault="007B2B7B" w:rsidP="007B2B7B">
      <w:pPr>
        <w:jc w:val="both"/>
        <w:rPr>
          <w:rFonts w:eastAsia="Times New Roman"/>
          <w:b/>
        </w:rPr>
      </w:pPr>
      <w:r w:rsidRPr="006E2F20">
        <w:rPr>
          <w:rFonts w:eastAsia="Times New Roman"/>
          <w:b/>
        </w:rPr>
        <w:t>Creation of “Community Partners Is An Innovative Approach</w:t>
      </w:r>
    </w:p>
    <w:p w:rsidR="007B2B7B" w:rsidRPr="006E2F20" w:rsidRDefault="007B2B7B" w:rsidP="007B2B7B">
      <w:pPr>
        <w:jc w:val="both"/>
        <w:rPr>
          <w:rFonts w:eastAsia="Times New Roman"/>
          <w:b/>
        </w:rPr>
      </w:pPr>
    </w:p>
    <w:p w:rsidR="007B2B7B" w:rsidRPr="006E2F20" w:rsidRDefault="007B2B7B" w:rsidP="007B2B7B">
      <w:pPr>
        <w:ind w:firstLine="720"/>
        <w:jc w:val="both"/>
        <w:rPr>
          <w:rFonts w:eastAsia="Times New Roman"/>
        </w:rPr>
      </w:pPr>
      <w:r w:rsidRPr="006E2F20">
        <w:rPr>
          <w:rFonts w:eastAsia="Times New Roman"/>
        </w:rPr>
        <w:t xml:space="preserve">From a high level, the 1115 Demonstration is a plan that gives Medicare and Medicaid per member per month capitations covering a wide range of acute and </w:t>
      </w:r>
      <w:proofErr w:type="spellStart"/>
      <w:r w:rsidRPr="006E2F20">
        <w:rPr>
          <w:rFonts w:eastAsia="Times New Roman"/>
        </w:rPr>
        <w:t>post acute</w:t>
      </w:r>
      <w:proofErr w:type="spellEnd"/>
      <w:r w:rsidRPr="006E2F20">
        <w:rPr>
          <w:rFonts w:eastAsia="Times New Roman"/>
        </w:rPr>
        <w:t xml:space="preserve"> services, along with behavioral health and substance abuse services, to networks of acute care providers who have less experience in the </w:t>
      </w:r>
      <w:proofErr w:type="spellStart"/>
      <w:r w:rsidRPr="006E2F20">
        <w:rPr>
          <w:rFonts w:eastAsia="Times New Roman"/>
        </w:rPr>
        <w:t>post acute</w:t>
      </w:r>
      <w:proofErr w:type="spellEnd"/>
      <w:r w:rsidRPr="006E2F20">
        <w:rPr>
          <w:rFonts w:eastAsia="Times New Roman"/>
        </w:rPr>
        <w:t xml:space="preserve"> </w:t>
      </w:r>
      <w:r>
        <w:rPr>
          <w:rFonts w:eastAsia="Times New Roman"/>
        </w:rPr>
        <w:t xml:space="preserve">and LTSS </w:t>
      </w:r>
      <w:r w:rsidRPr="006E2F20">
        <w:rPr>
          <w:rFonts w:eastAsia="Times New Roman"/>
        </w:rPr>
        <w:t>setting</w:t>
      </w:r>
      <w:r>
        <w:rPr>
          <w:rFonts w:eastAsia="Times New Roman"/>
        </w:rPr>
        <w:t>s</w:t>
      </w:r>
      <w:r w:rsidRPr="006E2F20">
        <w:rPr>
          <w:rFonts w:eastAsia="Times New Roman"/>
        </w:rPr>
        <w:t>. We agree with the MassHealth statement that "ACOs do not have all the core capabilities needed  to serve MassHealth Members." That is certainly true for LTSS.</w:t>
      </w:r>
    </w:p>
    <w:p w:rsidR="007B2B7B" w:rsidRPr="006E2F20" w:rsidRDefault="007B2B7B" w:rsidP="007B2B7B">
      <w:pPr>
        <w:ind w:firstLine="720"/>
        <w:jc w:val="both"/>
        <w:rPr>
          <w:rFonts w:eastAsia="Times New Roman"/>
        </w:rPr>
      </w:pPr>
      <w:r w:rsidRPr="006E2F20">
        <w:rPr>
          <w:rFonts w:eastAsia="Times New Roman"/>
        </w:rPr>
        <w:t xml:space="preserve">We applaud MassHealth’s proposal to create incentives for the Accountable Care Organizations—which are acute care networks of hospitals and physicians---to work with “community partners” to integrate BH and </w:t>
      </w:r>
      <w:proofErr w:type="spellStart"/>
      <w:r w:rsidRPr="006E2F20">
        <w:rPr>
          <w:rFonts w:eastAsia="Times New Roman"/>
        </w:rPr>
        <w:t>post acute</w:t>
      </w:r>
      <w:proofErr w:type="spellEnd"/>
      <w:r w:rsidRPr="006E2F20">
        <w:rPr>
          <w:rFonts w:eastAsia="Times New Roman"/>
        </w:rPr>
        <w:t xml:space="preserve"> with acute services. </w:t>
      </w:r>
      <w:r>
        <w:rPr>
          <w:rFonts w:eastAsia="Times New Roman"/>
        </w:rPr>
        <w:t xml:space="preserve">This is a constructive way to bring these two very different cultures together into one plan. </w:t>
      </w:r>
    </w:p>
    <w:p w:rsidR="007B2B7B" w:rsidRPr="006E2F20" w:rsidRDefault="007B2B7B" w:rsidP="007B2B7B">
      <w:pPr>
        <w:jc w:val="both"/>
        <w:rPr>
          <w:rFonts w:eastAsia="Times New Roman"/>
        </w:rPr>
      </w:pPr>
    </w:p>
    <w:p w:rsidR="007B2B7B" w:rsidRPr="006E2F20" w:rsidRDefault="007B2B7B" w:rsidP="007B2B7B">
      <w:pPr>
        <w:jc w:val="both"/>
        <w:rPr>
          <w:rFonts w:eastAsia="Times New Roman"/>
          <w:b/>
        </w:rPr>
      </w:pPr>
      <w:r w:rsidRPr="006E2F20">
        <w:rPr>
          <w:rFonts w:eastAsia="Times New Roman"/>
          <w:b/>
        </w:rPr>
        <w:t>We Support Proposed Uses of DSRIP Funds &amp; Incentives</w:t>
      </w:r>
    </w:p>
    <w:p w:rsidR="007B2B7B" w:rsidRPr="006E2F20" w:rsidRDefault="007B2B7B" w:rsidP="007B2B7B">
      <w:pPr>
        <w:jc w:val="both"/>
        <w:rPr>
          <w:rFonts w:eastAsia="Times New Roman"/>
        </w:rPr>
      </w:pPr>
    </w:p>
    <w:p w:rsidR="007B2B7B" w:rsidRPr="006E2F20" w:rsidRDefault="007B2B7B" w:rsidP="007B2B7B">
      <w:pPr>
        <w:ind w:firstLine="720"/>
        <w:jc w:val="both"/>
        <w:rPr>
          <w:rFonts w:eastAsia="Times New Roman"/>
        </w:rPr>
      </w:pPr>
      <w:r w:rsidRPr="006E2F20">
        <w:rPr>
          <w:rFonts w:eastAsia="Times New Roman"/>
        </w:rPr>
        <w:t xml:space="preserve">The plan to commit DSRIP funds to these community partners is an innovative and substantive approach. We support the use of DSRIP funds for the 3 primary purposes listed: </w:t>
      </w:r>
    </w:p>
    <w:p w:rsidR="007B2B7B" w:rsidRPr="006E2F20" w:rsidRDefault="007B2B7B" w:rsidP="007B2B7B">
      <w:pPr>
        <w:ind w:firstLine="720"/>
        <w:jc w:val="both"/>
        <w:rPr>
          <w:rFonts w:eastAsia="Times New Roman"/>
        </w:rPr>
      </w:pPr>
      <w:r w:rsidRPr="006E2F20">
        <w:rPr>
          <w:rFonts w:eastAsia="Times New Roman"/>
        </w:rPr>
        <w:t>1. to address social determinants of health</w:t>
      </w:r>
    </w:p>
    <w:p w:rsidR="007B2B7B" w:rsidRPr="006E2F20" w:rsidRDefault="007B2B7B" w:rsidP="007B2B7B">
      <w:pPr>
        <w:ind w:firstLine="720"/>
        <w:jc w:val="both"/>
        <w:rPr>
          <w:rFonts w:eastAsia="Times New Roman"/>
        </w:rPr>
      </w:pPr>
      <w:r w:rsidRPr="006E2F20">
        <w:rPr>
          <w:rFonts w:eastAsia="Times New Roman"/>
        </w:rPr>
        <w:t>2. to support infrastructure and capacity building for improve LTSS integration</w:t>
      </w:r>
    </w:p>
    <w:p w:rsidR="007B2B7B" w:rsidRPr="006E2F20" w:rsidRDefault="007B2B7B" w:rsidP="007B2B7B">
      <w:pPr>
        <w:ind w:firstLine="720"/>
        <w:jc w:val="both"/>
        <w:rPr>
          <w:rFonts w:eastAsia="Times New Roman"/>
        </w:rPr>
      </w:pPr>
      <w:r w:rsidRPr="006E2F20">
        <w:rPr>
          <w:rFonts w:eastAsia="Times New Roman"/>
        </w:rPr>
        <w:t>3. to invest in targeted health care workforce development</w:t>
      </w:r>
    </w:p>
    <w:p w:rsidR="007B2B7B" w:rsidRPr="006E2F20" w:rsidRDefault="007B2B7B" w:rsidP="007B2B7B">
      <w:pPr>
        <w:ind w:firstLine="720"/>
        <w:jc w:val="both"/>
        <w:rPr>
          <w:rFonts w:eastAsia="Times New Roman"/>
        </w:rPr>
      </w:pPr>
      <w:r w:rsidRPr="006E2F20">
        <w:rPr>
          <w:rFonts w:eastAsia="Times New Roman"/>
        </w:rPr>
        <w:t xml:space="preserve">DSRIP investments “will be contingent upon an ACO partnering with BH and LTSS Community Partners.” MassHealth should require ACOs to demonstrate that they are building on existing LTSS infrastructure, and not building redundant systems. </w:t>
      </w:r>
    </w:p>
    <w:p w:rsidR="007B2B7B" w:rsidRPr="006E2F20" w:rsidRDefault="007B2B7B" w:rsidP="007B2B7B">
      <w:pPr>
        <w:ind w:firstLine="720"/>
        <w:jc w:val="both"/>
        <w:rPr>
          <w:rFonts w:eastAsia="Times New Roman"/>
        </w:rPr>
      </w:pPr>
    </w:p>
    <w:p w:rsidR="007B2B7B" w:rsidRPr="006E2F20" w:rsidRDefault="007B2B7B" w:rsidP="007B2B7B">
      <w:pPr>
        <w:ind w:firstLine="720"/>
        <w:jc w:val="both"/>
        <w:rPr>
          <w:rFonts w:eastAsia="Times New Roman"/>
        </w:rPr>
      </w:pPr>
      <w:r w:rsidRPr="006E2F20">
        <w:rPr>
          <w:rFonts w:eastAsia="Times New Roman"/>
        </w:rPr>
        <w:t>Mass Home Care strongly endorses the use of DSRIP funds “for care management, coordination, assessments and counseling…and funding to provide independent assessments…LTSS CPs will also receive funding for their participat</w:t>
      </w:r>
      <w:r>
        <w:rPr>
          <w:rFonts w:eastAsia="Times New Roman"/>
        </w:rPr>
        <w:t>i</w:t>
      </w:r>
      <w:r w:rsidRPr="006E2F20">
        <w:rPr>
          <w:rFonts w:eastAsia="Times New Roman"/>
        </w:rPr>
        <w:t>on on the member’s care team…”</w:t>
      </w:r>
    </w:p>
    <w:p w:rsidR="007B2B7B" w:rsidRPr="006E2F20" w:rsidRDefault="007B2B7B" w:rsidP="007B2B7B">
      <w:pPr>
        <w:ind w:firstLine="720"/>
        <w:jc w:val="both"/>
        <w:rPr>
          <w:rFonts w:eastAsia="Times New Roman"/>
        </w:rPr>
      </w:pPr>
    </w:p>
    <w:p w:rsidR="007B2B7B" w:rsidRPr="006E2F20" w:rsidRDefault="007B2B7B" w:rsidP="007B2B7B">
      <w:pPr>
        <w:jc w:val="both"/>
        <w:rPr>
          <w:rFonts w:eastAsia="Times New Roman"/>
          <w:b/>
        </w:rPr>
      </w:pPr>
      <w:r w:rsidRPr="006E2F20">
        <w:rPr>
          <w:rFonts w:eastAsia="Times New Roman"/>
          <w:b/>
        </w:rPr>
        <w:t>Ensuring LTSS care is not ‘over-medicalized.”</w:t>
      </w:r>
    </w:p>
    <w:p w:rsidR="007B2B7B" w:rsidRPr="006E2F20" w:rsidRDefault="007B2B7B" w:rsidP="007B2B7B">
      <w:pPr>
        <w:jc w:val="both"/>
        <w:rPr>
          <w:rFonts w:eastAsia="Times New Roman"/>
        </w:rPr>
      </w:pPr>
    </w:p>
    <w:p w:rsidR="007B2B7B" w:rsidRPr="006E2F20" w:rsidRDefault="007B2B7B" w:rsidP="007B2B7B">
      <w:pPr>
        <w:jc w:val="both"/>
        <w:rPr>
          <w:rFonts w:eastAsia="Times New Roman"/>
        </w:rPr>
      </w:pPr>
      <w:r w:rsidRPr="006E2F20">
        <w:rPr>
          <w:rFonts w:eastAsia="Times New Roman"/>
        </w:rPr>
        <w:tab/>
        <w:t xml:space="preserve">Mass Home Care recommends using independent agents for LTSS to prevent the over-medicalization of community supports. </w:t>
      </w:r>
    </w:p>
    <w:p w:rsidR="007B2B7B" w:rsidRPr="006E2F20" w:rsidRDefault="007B2B7B" w:rsidP="007B2B7B">
      <w:pPr>
        <w:jc w:val="both"/>
        <w:rPr>
          <w:rFonts w:eastAsia="Times New Roman"/>
        </w:rPr>
      </w:pPr>
    </w:p>
    <w:p w:rsidR="007B2B7B" w:rsidRPr="006E2F20" w:rsidRDefault="007B2B7B" w:rsidP="007B2B7B">
      <w:pPr>
        <w:jc w:val="both"/>
        <w:rPr>
          <w:rFonts w:eastAsia="Times New Roman"/>
          <w:b/>
        </w:rPr>
      </w:pPr>
      <w:r w:rsidRPr="006E2F20">
        <w:rPr>
          <w:rFonts w:eastAsia="Times New Roman"/>
          <w:b/>
        </w:rPr>
        <w:t>Home Care Services Should be Added To Current State Plan Services</w:t>
      </w:r>
    </w:p>
    <w:p w:rsidR="007B2B7B" w:rsidRPr="006E2F20" w:rsidRDefault="007B2B7B" w:rsidP="007B2B7B">
      <w:pPr>
        <w:jc w:val="both"/>
        <w:rPr>
          <w:rFonts w:eastAsia="Times New Roman"/>
        </w:rPr>
      </w:pPr>
    </w:p>
    <w:p w:rsidR="007B2B7B" w:rsidRPr="006E2F20" w:rsidRDefault="007B2B7B" w:rsidP="007B2B7B">
      <w:pPr>
        <w:jc w:val="both"/>
        <w:rPr>
          <w:rFonts w:eastAsia="Times New Roman"/>
        </w:rPr>
      </w:pPr>
      <w:r w:rsidRPr="006E2F20">
        <w:rPr>
          <w:rFonts w:eastAsia="Times New Roman"/>
        </w:rPr>
        <w:tab/>
        <w:t>The list of 14 “current state plan services” to be provided by MCOs includes nursing facility care, home health care, adult foster care, adult day care, and personal care services---but not home care aide services, meals, and other cost-effective home care services. MassHealth says it is “exploring avenues to potentially expand the availability of enhanced benefits...” These home care services must be the kind of “enhanced services” needed in any LTSS scope of benefits.</w:t>
      </w:r>
    </w:p>
    <w:p w:rsidR="007B2B7B" w:rsidRPr="006E2F20" w:rsidRDefault="007B2B7B" w:rsidP="007B2B7B">
      <w:pPr>
        <w:jc w:val="both"/>
        <w:rPr>
          <w:rFonts w:eastAsia="Times New Roman"/>
        </w:rPr>
      </w:pPr>
    </w:p>
    <w:p w:rsidR="007B2B7B" w:rsidRPr="006E2F20" w:rsidRDefault="007B2B7B" w:rsidP="007B2B7B">
      <w:pPr>
        <w:jc w:val="both"/>
        <w:rPr>
          <w:rFonts w:eastAsia="Times New Roman"/>
          <w:b/>
        </w:rPr>
      </w:pPr>
      <w:r w:rsidRPr="006E2F20">
        <w:rPr>
          <w:rFonts w:eastAsia="Times New Roman"/>
          <w:b/>
        </w:rPr>
        <w:lastRenderedPageBreak/>
        <w:t>Keeping Frail Elder Waiver Services Outside Of The ACO  Plan</w:t>
      </w:r>
    </w:p>
    <w:p w:rsidR="007B2B7B" w:rsidRPr="006E2F20" w:rsidRDefault="007B2B7B" w:rsidP="007B2B7B">
      <w:pPr>
        <w:jc w:val="both"/>
        <w:rPr>
          <w:rFonts w:eastAsia="Times New Roman"/>
        </w:rPr>
      </w:pPr>
    </w:p>
    <w:p w:rsidR="007B2B7B" w:rsidRPr="006E2F20" w:rsidRDefault="007B2B7B" w:rsidP="007B2B7B">
      <w:pPr>
        <w:jc w:val="both"/>
        <w:rPr>
          <w:rFonts w:eastAsia="Times New Roman"/>
        </w:rPr>
      </w:pPr>
      <w:r w:rsidRPr="006E2F20">
        <w:rPr>
          <w:rFonts w:eastAsia="Times New Roman"/>
        </w:rPr>
        <w:tab/>
        <w:t>Mass Home Care supports MassHealth’s plan to provide FEW services “outside of ACO s</w:t>
      </w:r>
      <w:r>
        <w:rPr>
          <w:rFonts w:eastAsia="Times New Roman"/>
        </w:rPr>
        <w:t>c</w:t>
      </w:r>
      <w:r w:rsidRPr="006E2F20">
        <w:rPr>
          <w:rFonts w:eastAsia="Times New Roman"/>
        </w:rPr>
        <w:t>ope and budgets.”</w:t>
      </w:r>
    </w:p>
    <w:p w:rsidR="007B2B7B" w:rsidRPr="006E2F20" w:rsidRDefault="007B2B7B" w:rsidP="007B2B7B">
      <w:pPr>
        <w:jc w:val="both"/>
        <w:rPr>
          <w:rFonts w:eastAsia="Times New Roman"/>
        </w:rPr>
      </w:pPr>
    </w:p>
    <w:p w:rsidR="007B2B7B" w:rsidRPr="006E2F20" w:rsidRDefault="007B2B7B" w:rsidP="007B2B7B">
      <w:pPr>
        <w:jc w:val="both"/>
        <w:rPr>
          <w:rFonts w:eastAsia="Times New Roman"/>
          <w:b/>
        </w:rPr>
      </w:pPr>
      <w:r w:rsidRPr="006E2F20">
        <w:rPr>
          <w:rFonts w:eastAsia="Times New Roman"/>
          <w:b/>
        </w:rPr>
        <w:t>LTSS Partners Should Not Have To Meet All Needs For All Members</w:t>
      </w:r>
    </w:p>
    <w:p w:rsidR="007B2B7B" w:rsidRPr="006E2F20" w:rsidRDefault="007B2B7B" w:rsidP="007B2B7B">
      <w:pPr>
        <w:jc w:val="both"/>
        <w:rPr>
          <w:rFonts w:eastAsia="Times New Roman"/>
        </w:rPr>
      </w:pPr>
    </w:p>
    <w:p w:rsidR="007B2B7B" w:rsidRPr="006E2F20" w:rsidRDefault="007B2B7B" w:rsidP="007B2B7B">
      <w:pPr>
        <w:rPr>
          <w:rFonts w:eastAsia="Times New Roman"/>
        </w:rPr>
      </w:pPr>
      <w:r w:rsidRPr="006E2F20">
        <w:rPr>
          <w:rFonts w:eastAsia="Times New Roman"/>
        </w:rPr>
        <w:tab/>
        <w:t>The ACO IDT should be able to “collectively demonstrate expertise in all LTSS populations, but any individual LTSS entity should be able to specialize in one or more populations. To encourage all entities to serve all populations would be duplicative and wasteful</w:t>
      </w:r>
      <w:r>
        <w:rPr>
          <w:rFonts w:eastAsia="Times New Roman"/>
        </w:rPr>
        <w:t>.</w:t>
      </w:r>
    </w:p>
    <w:p w:rsidR="007B2B7B" w:rsidRPr="006E2F20" w:rsidRDefault="007B2B7B" w:rsidP="007B2B7B">
      <w:pPr>
        <w:rPr>
          <w:rFonts w:eastAsia="Times New Roman"/>
        </w:rPr>
      </w:pPr>
    </w:p>
    <w:p w:rsidR="007B2B7B" w:rsidRPr="006E2F20" w:rsidRDefault="007B2B7B" w:rsidP="007B2B7B">
      <w:pPr>
        <w:rPr>
          <w:rFonts w:eastAsia="Times New Roman"/>
          <w:b/>
        </w:rPr>
      </w:pPr>
      <w:r w:rsidRPr="006E2F20">
        <w:rPr>
          <w:rFonts w:eastAsia="Times New Roman"/>
          <w:b/>
        </w:rPr>
        <w:t>LTSS CP Domains</w:t>
      </w:r>
    </w:p>
    <w:p w:rsidR="007B2B7B" w:rsidRPr="006E2F20" w:rsidRDefault="007B2B7B" w:rsidP="007B2B7B">
      <w:pPr>
        <w:rPr>
          <w:rFonts w:eastAsia="Times New Roman"/>
        </w:rPr>
      </w:pPr>
    </w:p>
    <w:p w:rsidR="007B2B7B" w:rsidRDefault="007B2B7B" w:rsidP="007B2B7B">
      <w:pPr>
        <w:rPr>
          <w:rFonts w:eastAsia="Times New Roman"/>
        </w:rPr>
      </w:pPr>
      <w:r w:rsidRPr="006E2F20">
        <w:rPr>
          <w:rFonts w:eastAsia="Times New Roman"/>
        </w:rPr>
        <w:tab/>
        <w:t>Mass Home Care supports the 6 certification domains spelled out in the plan</w:t>
      </w:r>
      <w:r>
        <w:rPr>
          <w:rFonts w:eastAsia="Times New Roman"/>
        </w:rPr>
        <w:t>:</w:t>
      </w:r>
    </w:p>
    <w:p w:rsidR="007B2B7B" w:rsidRPr="006E2F20" w:rsidRDefault="007B2B7B" w:rsidP="007B2B7B">
      <w:pPr>
        <w:rPr>
          <w:rFonts w:eastAsia="Times New Roman"/>
        </w:rPr>
      </w:pPr>
    </w:p>
    <w:p w:rsidR="007B2B7B" w:rsidRPr="006E2F20" w:rsidRDefault="007B2B7B" w:rsidP="007B2B7B">
      <w:pPr>
        <w:rPr>
          <w:rFonts w:eastAsia="Times New Roman"/>
        </w:rPr>
      </w:pPr>
      <w:r w:rsidRPr="006E2F20">
        <w:rPr>
          <w:rFonts w:eastAsia="Times New Roman"/>
        </w:rPr>
        <w:t xml:space="preserve">1 ability to collect and analyze </w:t>
      </w:r>
      <w:proofErr w:type="spellStart"/>
      <w:r w:rsidRPr="006E2F20">
        <w:rPr>
          <w:rFonts w:eastAsia="Times New Roman"/>
        </w:rPr>
        <w:t>date</w:t>
      </w:r>
      <w:proofErr w:type="spellEnd"/>
      <w:r w:rsidRPr="006E2F20">
        <w:rPr>
          <w:rFonts w:eastAsia="Times New Roman"/>
        </w:rPr>
        <w:t xml:space="preserve"> electronically</w:t>
      </w:r>
    </w:p>
    <w:p w:rsidR="007B2B7B" w:rsidRPr="006E2F20" w:rsidRDefault="007B2B7B" w:rsidP="007B2B7B">
      <w:pPr>
        <w:rPr>
          <w:rFonts w:eastAsia="Times New Roman"/>
        </w:rPr>
      </w:pPr>
      <w:r w:rsidRPr="006E2F20">
        <w:rPr>
          <w:rFonts w:eastAsia="Times New Roman"/>
        </w:rPr>
        <w:t>2. care management and coordination</w:t>
      </w:r>
    </w:p>
    <w:p w:rsidR="007B2B7B" w:rsidRPr="006E2F20" w:rsidRDefault="007B2B7B" w:rsidP="007B2B7B">
      <w:pPr>
        <w:rPr>
          <w:rFonts w:eastAsia="Times New Roman"/>
        </w:rPr>
      </w:pPr>
      <w:r w:rsidRPr="006E2F20">
        <w:rPr>
          <w:rFonts w:eastAsia="Times New Roman"/>
        </w:rPr>
        <w:t>3. staff exper</w:t>
      </w:r>
      <w:r w:rsidR="00CF30C1">
        <w:rPr>
          <w:rFonts w:eastAsia="Times New Roman"/>
        </w:rPr>
        <w:t>t</w:t>
      </w:r>
      <w:r w:rsidRPr="006E2F20">
        <w:rPr>
          <w:rFonts w:eastAsia="Times New Roman"/>
        </w:rPr>
        <w:t>ise and training</w:t>
      </w:r>
    </w:p>
    <w:p w:rsidR="007B2B7B" w:rsidRPr="006E2F20" w:rsidRDefault="00CF30C1" w:rsidP="007B2B7B">
      <w:pPr>
        <w:rPr>
          <w:rFonts w:eastAsia="Times New Roman"/>
        </w:rPr>
      </w:pPr>
      <w:r>
        <w:rPr>
          <w:rFonts w:eastAsia="Times New Roman"/>
        </w:rPr>
        <w:t>4. relati</w:t>
      </w:r>
      <w:r w:rsidR="007B2B7B" w:rsidRPr="006E2F20">
        <w:rPr>
          <w:rFonts w:eastAsia="Times New Roman"/>
        </w:rPr>
        <w:t>onships with social service providers</w:t>
      </w:r>
    </w:p>
    <w:p w:rsidR="007B2B7B" w:rsidRPr="006E2F20" w:rsidRDefault="007B2B7B" w:rsidP="007B2B7B">
      <w:pPr>
        <w:rPr>
          <w:rFonts w:eastAsia="Times New Roman"/>
        </w:rPr>
      </w:pPr>
      <w:r w:rsidRPr="006E2F20">
        <w:rPr>
          <w:rFonts w:eastAsia="Times New Roman"/>
        </w:rPr>
        <w:t>5. quality measurements and reporting</w:t>
      </w:r>
    </w:p>
    <w:p w:rsidR="007B2B7B" w:rsidRPr="006E2F20" w:rsidRDefault="007B2B7B" w:rsidP="007B2B7B">
      <w:pPr>
        <w:rPr>
          <w:rFonts w:eastAsia="Times New Roman"/>
        </w:rPr>
      </w:pPr>
      <w:r w:rsidRPr="006E2F20">
        <w:rPr>
          <w:rFonts w:eastAsia="Times New Roman"/>
        </w:rPr>
        <w:t>6. cultural competency</w:t>
      </w:r>
    </w:p>
    <w:p w:rsidR="007B2B7B" w:rsidRPr="006E2F20" w:rsidRDefault="007B2B7B" w:rsidP="007B2B7B">
      <w:pPr>
        <w:rPr>
          <w:rFonts w:eastAsia="Times New Roman"/>
        </w:rPr>
      </w:pPr>
    </w:p>
    <w:p w:rsidR="007B2B7B" w:rsidRPr="006E2F20" w:rsidRDefault="007B2B7B" w:rsidP="007B2B7B">
      <w:pPr>
        <w:rPr>
          <w:rFonts w:eastAsia="Times New Roman"/>
        </w:rPr>
      </w:pPr>
      <w:r w:rsidRPr="006E2F20">
        <w:rPr>
          <w:rFonts w:eastAsia="Times New Roman"/>
        </w:rPr>
        <w:t>To this list we would add a 7</w:t>
      </w:r>
      <w:r w:rsidRPr="006E2F20">
        <w:rPr>
          <w:rFonts w:eastAsia="Times New Roman"/>
          <w:vertAlign w:val="superscript"/>
        </w:rPr>
        <w:t>th</w:t>
      </w:r>
      <w:r w:rsidRPr="006E2F20">
        <w:rPr>
          <w:rFonts w:eastAsia="Times New Roman"/>
        </w:rPr>
        <w:t xml:space="preserve"> domain:</w:t>
      </w:r>
    </w:p>
    <w:p w:rsidR="007B2B7B" w:rsidRPr="006E2F20" w:rsidRDefault="007B2B7B" w:rsidP="007B2B7B">
      <w:pPr>
        <w:rPr>
          <w:rFonts w:eastAsia="Times New Roman"/>
        </w:rPr>
      </w:pPr>
    </w:p>
    <w:p w:rsidR="007B2B7B" w:rsidRPr="006E2F20" w:rsidRDefault="007B2B7B" w:rsidP="007B2B7B">
      <w:pPr>
        <w:rPr>
          <w:rFonts w:eastAsia="Times New Roman"/>
        </w:rPr>
      </w:pPr>
      <w:r w:rsidRPr="006E2F20">
        <w:rPr>
          <w:rFonts w:eastAsia="Times New Roman"/>
        </w:rPr>
        <w:t>7.capacity to conduct independent assessments and care planning</w:t>
      </w:r>
    </w:p>
    <w:p w:rsidR="007B2B7B" w:rsidRPr="006E2F20" w:rsidRDefault="007B2B7B" w:rsidP="007B2B7B">
      <w:pPr>
        <w:rPr>
          <w:rFonts w:eastAsia="Times New Roman"/>
        </w:rPr>
      </w:pPr>
    </w:p>
    <w:p w:rsidR="007B2B7B" w:rsidRPr="006E2F20" w:rsidRDefault="007B2B7B" w:rsidP="007B2B7B">
      <w:pPr>
        <w:jc w:val="both"/>
        <w:rPr>
          <w:rFonts w:eastAsia="Times New Roman"/>
        </w:rPr>
      </w:pPr>
    </w:p>
    <w:p w:rsidR="007B2B7B" w:rsidRPr="006E2F20" w:rsidRDefault="007B2B7B" w:rsidP="007B2B7B">
      <w:pPr>
        <w:jc w:val="both"/>
        <w:rPr>
          <w:rFonts w:eastAsia="Times New Roman"/>
          <w:b/>
        </w:rPr>
      </w:pPr>
      <w:r w:rsidRPr="006E2F20">
        <w:rPr>
          <w:rFonts w:eastAsia="Times New Roman"/>
          <w:b/>
        </w:rPr>
        <w:t>ACOs Must Delegate Authority to LTSS CPs</w:t>
      </w:r>
    </w:p>
    <w:p w:rsidR="007B2B7B" w:rsidRPr="006E2F20" w:rsidRDefault="007B2B7B" w:rsidP="007B2B7B">
      <w:pPr>
        <w:jc w:val="both"/>
        <w:rPr>
          <w:rFonts w:eastAsia="Times New Roman"/>
        </w:rPr>
      </w:pPr>
    </w:p>
    <w:p w:rsidR="007B2B7B" w:rsidRPr="006E2F20" w:rsidRDefault="007B2B7B" w:rsidP="007B2B7B">
      <w:pPr>
        <w:jc w:val="both"/>
        <w:rPr>
          <w:rFonts w:eastAsia="Times New Roman"/>
        </w:rPr>
      </w:pPr>
      <w:r w:rsidRPr="006E2F20">
        <w:rPr>
          <w:rFonts w:eastAsia="Times New Roman"/>
        </w:rPr>
        <w:tab/>
        <w:t>Mass Home Care agrees that ACOs must “be required by MassHealth to delegate certain responsibilities to LTSS CPs, which will include counsel</w:t>
      </w:r>
      <w:r>
        <w:rPr>
          <w:rFonts w:eastAsia="Times New Roman"/>
        </w:rPr>
        <w:t>i</w:t>
      </w:r>
      <w:r w:rsidRPr="006E2F20">
        <w:rPr>
          <w:rFonts w:eastAsia="Times New Roman"/>
        </w:rPr>
        <w:t xml:space="preserve">ng and decision support on service options, LTSS and social needs assessments, patient and family support, and certain referral and navigation services for LTSS or community care.” But MassHealth must require this and monitor this---something it has not done with the One Care program. And LTSS CPs must be conflict free, as discussed below. </w:t>
      </w:r>
    </w:p>
    <w:p w:rsidR="007B2B7B" w:rsidRPr="006E2F20" w:rsidRDefault="007B2B7B" w:rsidP="007B2B7B">
      <w:pPr>
        <w:jc w:val="both"/>
        <w:rPr>
          <w:rFonts w:eastAsia="Times New Roman"/>
        </w:rPr>
      </w:pPr>
    </w:p>
    <w:p w:rsidR="007B2B7B" w:rsidRPr="006E2F20" w:rsidRDefault="007B2B7B" w:rsidP="007B2B7B">
      <w:pPr>
        <w:jc w:val="both"/>
        <w:rPr>
          <w:rFonts w:eastAsia="Times New Roman"/>
          <w:b/>
        </w:rPr>
      </w:pPr>
      <w:r w:rsidRPr="006E2F20">
        <w:rPr>
          <w:rFonts w:eastAsia="Times New Roman"/>
          <w:b/>
        </w:rPr>
        <w:t>Preserving Conflict-Free Principles</w:t>
      </w:r>
    </w:p>
    <w:p w:rsidR="007B2B7B" w:rsidRPr="006E2F20" w:rsidRDefault="007B2B7B" w:rsidP="007B2B7B">
      <w:pPr>
        <w:ind w:firstLine="720"/>
        <w:jc w:val="both"/>
        <w:rPr>
          <w:rFonts w:eastAsia="Times New Roman"/>
          <w:b/>
        </w:rPr>
      </w:pPr>
    </w:p>
    <w:p w:rsidR="007B2B7B" w:rsidRDefault="007B2B7B" w:rsidP="007B2B7B">
      <w:pPr>
        <w:ind w:firstLine="720"/>
        <w:jc w:val="both"/>
        <w:rPr>
          <w:rFonts w:eastAsia="Times New Roman"/>
        </w:rPr>
      </w:pPr>
      <w:r w:rsidRPr="006E2F20">
        <w:rPr>
          <w:rFonts w:eastAsia="Times New Roman"/>
        </w:rPr>
        <w:t xml:space="preserve">In an earlier version of the 1115 demonstration released in </w:t>
      </w:r>
      <w:proofErr w:type="spellStart"/>
      <w:r w:rsidRPr="006E2F20">
        <w:rPr>
          <w:rFonts w:eastAsia="Times New Roman"/>
        </w:rPr>
        <w:t>mid April</w:t>
      </w:r>
      <w:proofErr w:type="spellEnd"/>
      <w:r w:rsidRPr="006E2F20">
        <w:rPr>
          <w:rFonts w:eastAsia="Times New Roman"/>
        </w:rPr>
        <w:t>,  MassHealth said that one of the goals of the Community Partners (CP) was to "preserve conflict-free principles, including consideration of care options for consumers, and limitation on self-referrals." We support this concept, and want to see it strengthened. Massachusetts has had a long-standing relationship with the concept of ‘conflict free care coordinators.” The home care system by law is operated by regional, non-profit agencies which are not allowed to own direct services, with a fe</w:t>
      </w:r>
      <w:r>
        <w:rPr>
          <w:rFonts w:eastAsia="Times New Roman"/>
        </w:rPr>
        <w:t xml:space="preserve">w minor exceptions. </w:t>
      </w:r>
      <w:r w:rsidRPr="006E2F20">
        <w:rPr>
          <w:rFonts w:eastAsia="Times New Roman"/>
        </w:rPr>
        <w:t xml:space="preserve">Senior Care Organizations </w:t>
      </w:r>
      <w:r>
        <w:rPr>
          <w:rFonts w:eastAsia="Times New Roman"/>
        </w:rPr>
        <w:t xml:space="preserve">(SCOs) </w:t>
      </w:r>
      <w:r w:rsidRPr="006E2F20">
        <w:rPr>
          <w:rFonts w:eastAsia="Times New Roman"/>
        </w:rPr>
        <w:t xml:space="preserve">are required by law to have independent Geriatric Support Services Coordinators, and the One Care program is required by law to have independent LTSS coordinators. </w:t>
      </w:r>
    </w:p>
    <w:p w:rsidR="007B2B7B" w:rsidRPr="006E2F20" w:rsidRDefault="007B2B7B" w:rsidP="007B2B7B">
      <w:pPr>
        <w:ind w:firstLine="720"/>
        <w:jc w:val="both"/>
        <w:rPr>
          <w:rFonts w:eastAsia="Times New Roman"/>
        </w:rPr>
      </w:pPr>
      <w:r w:rsidRPr="006E2F20">
        <w:rPr>
          <w:rFonts w:eastAsia="Times New Roman"/>
        </w:rPr>
        <w:t>The federal CMS rules for the provision of home and community based services requires assessments be performed by “conflict free” entities. The theory behind independent assessments is that the person who d</w:t>
      </w:r>
      <w:r>
        <w:rPr>
          <w:rFonts w:eastAsia="Times New Roman"/>
        </w:rPr>
        <w:t>etermines your need for care, should</w:t>
      </w:r>
      <w:r w:rsidRPr="006E2F20">
        <w:rPr>
          <w:rFonts w:eastAsia="Times New Roman"/>
        </w:rPr>
        <w:t xml:space="preserve"> not </w:t>
      </w:r>
      <w:r>
        <w:rPr>
          <w:rFonts w:eastAsia="Times New Roman"/>
        </w:rPr>
        <w:t xml:space="preserve">be </w:t>
      </w:r>
      <w:r w:rsidRPr="006E2F20">
        <w:rPr>
          <w:rFonts w:eastAsia="Times New Roman"/>
        </w:rPr>
        <w:t xml:space="preserve">the same person who provides it---so there is no financial conflict of interest or self-dealing. </w:t>
      </w:r>
    </w:p>
    <w:p w:rsidR="007B2B7B" w:rsidRPr="006E2F20" w:rsidRDefault="007B2B7B" w:rsidP="007B2B7B">
      <w:pPr>
        <w:ind w:firstLine="720"/>
        <w:jc w:val="both"/>
        <w:rPr>
          <w:rFonts w:eastAsia="Times New Roman"/>
        </w:rPr>
      </w:pPr>
      <w:r>
        <w:rPr>
          <w:rFonts w:eastAsia="Times New Roman"/>
        </w:rPr>
        <w:t xml:space="preserve">In </w:t>
      </w:r>
      <w:proofErr w:type="spellStart"/>
      <w:r>
        <w:rPr>
          <w:rFonts w:eastAsia="Times New Roman"/>
        </w:rPr>
        <w:t>it</w:t>
      </w:r>
      <w:proofErr w:type="spellEnd"/>
      <w:r>
        <w:rPr>
          <w:rFonts w:eastAsia="Times New Roman"/>
        </w:rPr>
        <w:t xml:space="preserve"> Final R</w:t>
      </w:r>
      <w:r w:rsidRPr="006E2F20">
        <w:rPr>
          <w:rFonts w:eastAsia="Times New Roman"/>
        </w:rPr>
        <w:t xml:space="preserve">ule for the provision of home and community-based services, CMS says: </w:t>
      </w:r>
    </w:p>
    <w:p w:rsidR="007B2B7B" w:rsidRPr="006E2F20" w:rsidRDefault="007B2B7B" w:rsidP="007B2B7B">
      <w:pPr>
        <w:ind w:firstLine="720"/>
        <w:jc w:val="both"/>
        <w:rPr>
          <w:rFonts w:eastAsia="Times New Roman"/>
        </w:rPr>
      </w:pPr>
      <w:r w:rsidRPr="006E2F20">
        <w:rPr>
          <w:noProof/>
        </w:rPr>
        <w:lastRenderedPageBreak/>
        <w:drawing>
          <wp:inline distT="0" distB="0" distL="0" distR="0" wp14:anchorId="44C8D23F" wp14:editId="6736A103">
            <wp:extent cx="5127171" cy="3797174"/>
            <wp:effectExtent l="0" t="0" r="0" b="0"/>
            <wp:docPr id="1175" name="Picture 1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0" y="0"/>
                      <a:ext cx="5127171" cy="3797174"/>
                    </a:xfrm>
                    <a:prstGeom prst="rect">
                      <a:avLst/>
                    </a:prstGeom>
                    <a:noFill/>
                    <a:ln>
                      <a:noFill/>
                    </a:ln>
                  </pic:spPr>
                </pic:pic>
              </a:graphicData>
            </a:graphic>
          </wp:inline>
        </w:drawing>
      </w:r>
    </w:p>
    <w:p w:rsidR="007B2B7B" w:rsidRPr="006E2F20" w:rsidRDefault="007B2B7B" w:rsidP="007B2B7B">
      <w:pPr>
        <w:jc w:val="both"/>
        <w:rPr>
          <w:rFonts w:eastAsia="Times New Roman"/>
          <w:b/>
        </w:rPr>
      </w:pPr>
      <w:r w:rsidRPr="006E2F20">
        <w:rPr>
          <w:rFonts w:eastAsia="Times New Roman"/>
          <w:b/>
        </w:rPr>
        <w:t>Conflict of Interest Standards Should Follow Federal Rules</w:t>
      </w:r>
    </w:p>
    <w:p w:rsidR="007B2B7B" w:rsidRPr="006E2F20" w:rsidRDefault="007B2B7B" w:rsidP="007B2B7B">
      <w:pPr>
        <w:jc w:val="both"/>
        <w:rPr>
          <w:rFonts w:eastAsia="Times New Roman"/>
        </w:rPr>
      </w:pPr>
    </w:p>
    <w:p w:rsidR="007B2B7B" w:rsidRPr="006E2F20" w:rsidRDefault="007B2B7B" w:rsidP="007B2B7B">
      <w:pPr>
        <w:ind w:firstLine="720"/>
        <w:jc w:val="both"/>
        <w:rPr>
          <w:rFonts w:eastAsia="Times New Roman"/>
        </w:rPr>
      </w:pPr>
      <w:r w:rsidRPr="006E2F20">
        <w:rPr>
          <w:rFonts w:eastAsia="Times New Roman"/>
        </w:rPr>
        <w:t>As part of its state plan to provide home and community-based services for individual</w:t>
      </w:r>
      <w:r>
        <w:rPr>
          <w:rFonts w:eastAsia="Times New Roman"/>
        </w:rPr>
        <w:t>s with disabilities, states are required to</w:t>
      </w:r>
      <w:r w:rsidRPr="006E2F20">
        <w:rPr>
          <w:rFonts w:eastAsia="Times New Roman"/>
        </w:rPr>
        <w:t xml:space="preserve"> define conflict of interest standards: </w:t>
      </w:r>
    </w:p>
    <w:p w:rsidR="007B2B7B" w:rsidRPr="006E2F20" w:rsidRDefault="007B2B7B" w:rsidP="007B2B7B">
      <w:pPr>
        <w:ind w:firstLine="720"/>
        <w:jc w:val="both"/>
        <w:rPr>
          <w:rFonts w:eastAsia="Times New Roman"/>
        </w:rPr>
      </w:pPr>
      <w:r w:rsidRPr="006E2F20">
        <w:rPr>
          <w:noProof/>
        </w:rPr>
        <w:drawing>
          <wp:inline distT="0" distB="0" distL="0" distR="0" wp14:anchorId="35CBE009" wp14:editId="695E7AFB">
            <wp:extent cx="4550327" cy="3422468"/>
            <wp:effectExtent l="0" t="0" r="3175" b="6985"/>
            <wp:docPr id="1176" name="Picture 1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0" y="0"/>
                      <a:ext cx="4553284" cy="3424692"/>
                    </a:xfrm>
                    <a:prstGeom prst="rect">
                      <a:avLst/>
                    </a:prstGeom>
                    <a:noFill/>
                    <a:ln>
                      <a:noFill/>
                    </a:ln>
                  </pic:spPr>
                </pic:pic>
              </a:graphicData>
            </a:graphic>
          </wp:inline>
        </w:drawing>
      </w:r>
    </w:p>
    <w:p w:rsidR="007B2B7B" w:rsidRPr="006E2F20" w:rsidRDefault="007B2B7B" w:rsidP="007B2B7B">
      <w:pPr>
        <w:ind w:firstLine="720"/>
      </w:pPr>
      <w:r w:rsidRPr="006E2F20">
        <w:t xml:space="preserve">On May 6, 2016, CMS issued its Medicaid Managed Care Final Rule, which requires that for assessments, states “must use appropriate providers or individuals meeting LTSS service coordination requirements of the state.” 438.208 (C) (2). Treatment plans must be “developed by an </w:t>
      </w:r>
      <w:proofErr w:type="spellStart"/>
      <w:r w:rsidRPr="006E2F20">
        <w:t>individuals</w:t>
      </w:r>
      <w:proofErr w:type="spellEnd"/>
      <w:r w:rsidRPr="006E2F20">
        <w:t xml:space="preserve"> meeting LTSS service coordination requirements with enrollee participation and in consultation with any providers caring for the enrollee.” In a comment note, CMS says: “</w:t>
      </w:r>
      <w:r w:rsidRPr="006E2F20">
        <w:rPr>
          <w:u w:val="single"/>
        </w:rPr>
        <w:t xml:space="preserve">States have the flexibility to contract with an </w:t>
      </w:r>
      <w:r w:rsidRPr="006E2F20">
        <w:rPr>
          <w:u w:val="single"/>
        </w:rPr>
        <w:lastRenderedPageBreak/>
        <w:t>independent assessment entity</w:t>
      </w:r>
      <w:r w:rsidRPr="006E2F20">
        <w:t>, but such arrangements are not required under this regulation.”</w:t>
      </w:r>
    </w:p>
    <w:p w:rsidR="007B2B7B" w:rsidRPr="006E2F20" w:rsidRDefault="007B2B7B" w:rsidP="007B2B7B">
      <w:pPr>
        <w:ind w:firstLine="720"/>
      </w:pPr>
    </w:p>
    <w:p w:rsidR="007B2B7B" w:rsidRPr="006E2F20" w:rsidRDefault="007B2B7B" w:rsidP="007B2B7B">
      <w:pPr>
        <w:ind w:firstLine="720"/>
      </w:pPr>
      <w:r w:rsidRPr="006E2F20">
        <w:t>Mass</w:t>
      </w:r>
      <w:r>
        <w:t xml:space="preserve">Health has not yet published </w:t>
      </w:r>
      <w:r w:rsidRPr="006E2F20">
        <w:t xml:space="preserve">“LTSS service coordinator requirements,” </w:t>
      </w:r>
      <w:r>
        <w:t>but we believe these standards should reflect strong conflict-free provisions, similar to those EOHHS has agreed to as part of its commitment to the federal Balancing Incentive Payment program:</w:t>
      </w:r>
    </w:p>
    <w:p w:rsidR="007B2B7B" w:rsidRPr="006E2F20" w:rsidRDefault="007B2B7B" w:rsidP="007B2B7B">
      <w:pPr>
        <w:ind w:firstLine="720"/>
      </w:pPr>
    </w:p>
    <w:p w:rsidR="007B2B7B" w:rsidRDefault="007B2B7B" w:rsidP="007B2B7B">
      <w:pPr>
        <w:ind w:firstLine="720"/>
        <w:jc w:val="both"/>
      </w:pPr>
      <w:r w:rsidRPr="006E2F20">
        <w:t>On January 31, 2014, Massachusetts applied to CMS for BIP funding, and as part of this application, the State agreed to make the structural changes to ensure MassHealth members receive c</w:t>
      </w:r>
      <w:r w:rsidRPr="006E2F20">
        <w:rPr>
          <w:color w:val="000000"/>
        </w:rPr>
        <w:t>onflict-fre</w:t>
      </w:r>
      <w:r w:rsidRPr="006E2F20">
        <w:t xml:space="preserve">e case management services: “Massachusetts is committed to working with our many community partners and stakeholders in a collaborative fashion to achieve the goals of this initiative and to build upon the supports that Massachusetts currently has in place to…ensure a conflict-free case management system.” </w:t>
      </w:r>
    </w:p>
    <w:p w:rsidR="007B2B7B" w:rsidRPr="006E2F20" w:rsidRDefault="007B2B7B" w:rsidP="007B2B7B">
      <w:pPr>
        <w:ind w:firstLine="720"/>
        <w:jc w:val="both"/>
        <w:rPr>
          <w:rFonts w:eastAsia="Times New Roman"/>
        </w:rPr>
      </w:pPr>
      <w:r w:rsidRPr="006E2F20">
        <w:rPr>
          <w:rFonts w:eastAsia="Times New Roman"/>
        </w:rPr>
        <w:t>As part of its agreement with CMS to receive more than $130 million in Balancing Incentive Payments (BIP) funding, the Commonwealth agreed to ensure that an “an individual’s plan of care must be created independently from the availability of funding to provide services,” and to make structural changes to ensure “conflict free care management services.”</w:t>
      </w:r>
    </w:p>
    <w:p w:rsidR="007B2B7B" w:rsidRPr="006E2F20" w:rsidRDefault="007B2B7B" w:rsidP="007B2B7B">
      <w:pPr>
        <w:ind w:firstLine="720"/>
        <w:jc w:val="both"/>
      </w:pPr>
      <w:r w:rsidRPr="006E2F20">
        <w:rPr>
          <w:color w:val="000000"/>
        </w:rPr>
        <w:t xml:space="preserve">CMS explains that the “design of services, rate establishment, payment methodologies, and methods of administration by the State Medicaid agency may all contribute to potential conflicts of interest. These contributing factors can include obvious conflicts such as incentives for either over- or under-utilization of services; subtle problems such as interest in retaining the individual as a client rather than promoting independence; or issues that focus on the convenience of the agent </w:t>
      </w:r>
      <w:r w:rsidRPr="006E2F20">
        <w:t>or service provider rather than being person-centered. “To mitigate any explicit or implicit conflicts of interest,” CMS writes, “the independent agent should not be influenced by variations in available funding, either locally or from the State. The plan of care must offer each individual all of the LTSS that are covered by the State that the individual qualifies for, and that are demonstrated to be necessary through the evaluation and assessment process. The plan of care must be based only on medical necessity (for example, needs-based criteria), not on available funding. “</w:t>
      </w:r>
    </w:p>
    <w:p w:rsidR="007B2B7B" w:rsidRPr="006E2F20" w:rsidRDefault="007B2B7B" w:rsidP="007B2B7B">
      <w:pPr>
        <w:ind w:firstLine="720"/>
        <w:jc w:val="both"/>
      </w:pPr>
      <w:r w:rsidRPr="006E2F20">
        <w:rPr>
          <w:u w:val="single"/>
        </w:rPr>
        <w:t>“Conflict-free case management.” CMS continues, “prohibits certain types of referrals for services when there is a financial relationship between the referring entity and the service provider rather than being person-centered…</w:t>
      </w:r>
      <w:r w:rsidRPr="006E2F20">
        <w:t>Payment to the independent agent for evaluation and assessment, or qualifications to be an independent agent, cannot be based on the cost of the resulting care plans.</w:t>
      </w:r>
      <w:r w:rsidRPr="006E2F20">
        <w:rPr>
          <w:color w:val="000000"/>
        </w:rPr>
        <w:t xml:space="preserve"> CMS recognizes that the development of appropriate plans of care often requires the inclusion of individuals with expertise in the provision of long-term services and supports or the delivery of acute care medical services. As discussed previously, </w:t>
      </w:r>
      <w:r w:rsidRPr="006E2F20">
        <w:rPr>
          <w:color w:val="000000"/>
          <w:u w:val="single"/>
        </w:rPr>
        <w:t>this is not intended to prevent providers from participating in these functions, but to ensure that an independent agent retains the final responsibility for the evaluation, assessment, and plan of care functions.</w:t>
      </w:r>
      <w:r w:rsidRPr="006E2F20">
        <w:rPr>
          <w:color w:val="000000"/>
        </w:rPr>
        <w:t xml:space="preserve"> </w:t>
      </w:r>
      <w:r w:rsidRPr="006E2F20">
        <w:t xml:space="preserve">The State must ensure the independence of persons performing evaluations, assessments, and plans of care. Written conflict-free case management ensures, at a minimum, that persons performing these functions are not: </w:t>
      </w:r>
    </w:p>
    <w:p w:rsidR="007B2B7B" w:rsidRPr="006E2F20" w:rsidRDefault="007B2B7B" w:rsidP="007B2B7B">
      <w:pPr>
        <w:jc w:val="both"/>
        <w:rPr>
          <w:color w:val="000000"/>
        </w:rPr>
      </w:pPr>
      <w:r w:rsidRPr="006E2F20">
        <w:rPr>
          <w:color w:val="000000"/>
        </w:rPr>
        <w:t xml:space="preserve">--related by blood or marriage to the individual, </w:t>
      </w:r>
    </w:p>
    <w:p w:rsidR="007B2B7B" w:rsidRPr="006E2F20" w:rsidRDefault="007B2B7B" w:rsidP="007B2B7B">
      <w:pPr>
        <w:jc w:val="both"/>
        <w:rPr>
          <w:color w:val="000000"/>
        </w:rPr>
      </w:pPr>
      <w:r w:rsidRPr="006E2F20">
        <w:rPr>
          <w:color w:val="000000"/>
        </w:rPr>
        <w:t xml:space="preserve">--related by blood or marriage to any paid caregiver of the individual, </w:t>
      </w:r>
    </w:p>
    <w:p w:rsidR="007B2B7B" w:rsidRPr="006E2F20" w:rsidRDefault="007B2B7B" w:rsidP="007B2B7B">
      <w:pPr>
        <w:jc w:val="both"/>
        <w:rPr>
          <w:color w:val="000000"/>
        </w:rPr>
      </w:pPr>
      <w:r w:rsidRPr="006E2F20">
        <w:rPr>
          <w:color w:val="000000"/>
        </w:rPr>
        <w:t xml:space="preserve">--financially responsible for the individual </w:t>
      </w:r>
    </w:p>
    <w:p w:rsidR="007B2B7B" w:rsidRPr="006E2F20" w:rsidRDefault="007B2B7B" w:rsidP="007B2B7B">
      <w:pPr>
        <w:jc w:val="both"/>
        <w:rPr>
          <w:color w:val="000000"/>
        </w:rPr>
      </w:pPr>
      <w:r w:rsidRPr="006E2F20">
        <w:rPr>
          <w:color w:val="000000"/>
        </w:rPr>
        <w:t xml:space="preserve">--empowered to make financial or health-related decisions on behalf of the individual, </w:t>
      </w:r>
    </w:p>
    <w:p w:rsidR="007B2B7B" w:rsidRPr="006E2F20" w:rsidRDefault="007B2B7B" w:rsidP="007B2B7B">
      <w:pPr>
        <w:jc w:val="both"/>
        <w:rPr>
          <w:color w:val="000000"/>
        </w:rPr>
      </w:pPr>
      <w:r w:rsidRPr="006E2F20">
        <w:rPr>
          <w:color w:val="000000"/>
        </w:rPr>
        <w:t>--</w:t>
      </w:r>
      <w:r w:rsidRPr="006E2F20">
        <w:rPr>
          <w:color w:val="000000"/>
          <w:u w:val="single"/>
        </w:rPr>
        <w:t>providers of State plan LTSS for the individual, or those who have interest in or are employed by a provider of State plan LTSS</w:t>
      </w:r>
      <w:r w:rsidRPr="006E2F20">
        <w:rPr>
          <w:color w:val="000000"/>
        </w:rPr>
        <w:t>;  except, at the option of the State, when providers are given responsibility to perform assessments and plans of care because such individuals are the only willing and qualified provider in a geographic area, and the State devises conflict of interest protections.”</w:t>
      </w:r>
    </w:p>
    <w:p w:rsidR="007B2B7B" w:rsidRPr="006E2F20" w:rsidRDefault="007B2B7B" w:rsidP="007B2B7B">
      <w:pPr>
        <w:ind w:firstLine="720"/>
        <w:jc w:val="both"/>
      </w:pPr>
      <w:r w:rsidRPr="006E2F20">
        <w:rPr>
          <w:color w:val="000000"/>
        </w:rPr>
        <w:t>In an August, 2015 report on the use of Balancing Incentive Payment Program (BIP) fun</w:t>
      </w:r>
      <w:r w:rsidRPr="006E2F20">
        <w:t>ds in Massachusetts, CMS wrote: “As outlined in the ASAP Law, ASAPs may not directly provide waiver services beyond nutritional services. ASAPs may provide other Medicaid community-based LTSS that may be included in a participant’s care plan (e.g., Adult Foster Care, and Personal Care Management services).  Those agencies must apply to MassHealth and receive a waiver from EOEA to provide these services.”</w:t>
      </w:r>
    </w:p>
    <w:p w:rsidR="007B2B7B" w:rsidRPr="006E2F20" w:rsidRDefault="007B2B7B" w:rsidP="007B2B7B">
      <w:pPr>
        <w:ind w:firstLine="720"/>
        <w:jc w:val="both"/>
        <w:rPr>
          <w:b/>
        </w:rPr>
      </w:pPr>
    </w:p>
    <w:p w:rsidR="007B2B7B" w:rsidRPr="006E2F20" w:rsidRDefault="007B2B7B" w:rsidP="007B2B7B">
      <w:pPr>
        <w:jc w:val="both"/>
        <w:rPr>
          <w:b/>
        </w:rPr>
      </w:pPr>
      <w:r w:rsidRPr="006E2F20">
        <w:rPr>
          <w:b/>
        </w:rPr>
        <w:t>Implementing Independent Agents in the ACO Plan</w:t>
      </w:r>
    </w:p>
    <w:p w:rsidR="007B2B7B" w:rsidRPr="006E2F20" w:rsidRDefault="007B2B7B" w:rsidP="007B2B7B">
      <w:pPr>
        <w:jc w:val="both"/>
      </w:pPr>
    </w:p>
    <w:p w:rsidR="007B2B7B" w:rsidRDefault="007B2B7B" w:rsidP="007B2B7B">
      <w:pPr>
        <w:ind w:firstLine="720"/>
        <w:jc w:val="both"/>
      </w:pPr>
      <w:r w:rsidRPr="006E2F20">
        <w:t xml:space="preserve">In January of 2016, Mass </w:t>
      </w:r>
      <w:r>
        <w:t>Home Care proposed a straight-forward</w:t>
      </w:r>
      <w:r w:rsidRPr="006E2F20">
        <w:t xml:space="preserve"> process </w:t>
      </w:r>
      <w:r>
        <w:t>f</w:t>
      </w:r>
      <w:r w:rsidRPr="006E2F20">
        <w:t>or implementing conflict free agents in the ACO plan:</w:t>
      </w:r>
    </w:p>
    <w:p w:rsidR="007B2B7B" w:rsidRPr="006E2F20" w:rsidRDefault="007B2B7B" w:rsidP="007B2B7B">
      <w:pPr>
        <w:ind w:firstLine="720"/>
        <w:jc w:val="both"/>
      </w:pPr>
    </w:p>
    <w:p w:rsidR="007B2B7B" w:rsidRDefault="007B2B7B" w:rsidP="007B2B7B">
      <w:pPr>
        <w:pStyle w:val="Default"/>
        <w:jc w:val="both"/>
        <w:rPr>
          <w:rFonts w:asciiTheme="minorHAnsi" w:hAnsiTheme="minorHAnsi"/>
        </w:rPr>
      </w:pPr>
      <w:r w:rsidRPr="006E2F20">
        <w:rPr>
          <w:rFonts w:asciiTheme="minorHAnsi" w:hAnsiTheme="minorHAnsi"/>
        </w:rPr>
        <w:t>1. Each state line agency develops its independent agent protocols for the agencie</w:t>
      </w:r>
      <w:r>
        <w:rPr>
          <w:rFonts w:asciiTheme="minorHAnsi" w:hAnsiTheme="minorHAnsi"/>
        </w:rPr>
        <w:t xml:space="preserve">s under its domain. </w:t>
      </w:r>
    </w:p>
    <w:p w:rsidR="007B2B7B" w:rsidRPr="006E2F20" w:rsidRDefault="007B2B7B" w:rsidP="007B2B7B">
      <w:pPr>
        <w:pStyle w:val="Default"/>
        <w:jc w:val="both"/>
        <w:rPr>
          <w:rFonts w:asciiTheme="minorHAnsi" w:hAnsiTheme="minorHAnsi"/>
        </w:rPr>
      </w:pPr>
    </w:p>
    <w:p w:rsidR="007B2B7B" w:rsidRDefault="007B2B7B" w:rsidP="007B2B7B">
      <w:pPr>
        <w:jc w:val="both"/>
      </w:pPr>
      <w:r w:rsidRPr="006E2F20">
        <w:t xml:space="preserve">2. Each line agency then issues an RFP for entities to become designated as an “independent agent” and not “providers” to work with MassHealth members, managed care plans, ACOs, etc. The line agencies, subject to EOHHS approval, develop the specifications and requirements for being designated as an independent agent in their domain,  and the subject matter expertise an agent entity must demonstrate in order to be designated. </w:t>
      </w:r>
    </w:p>
    <w:p w:rsidR="007B2B7B" w:rsidRPr="006E2F20" w:rsidRDefault="007B2B7B" w:rsidP="007B2B7B">
      <w:pPr>
        <w:jc w:val="both"/>
      </w:pPr>
    </w:p>
    <w:p w:rsidR="007B2B7B" w:rsidRDefault="007B2B7B" w:rsidP="007B2B7B">
      <w:pPr>
        <w:jc w:val="both"/>
      </w:pPr>
      <w:r w:rsidRPr="006E2F20">
        <w:t xml:space="preserve">3. Only “designated  agencies” are entered onto the list of independent agent agencies which can enter into contracts to provide independent LTSS assessment and care coordination as part of an interdisciplinary care team in either a FFS or managed care model. ACOs would be required to offer, as a standard member benefit, access to an independent LTSS agent for assessment and care coordination. </w:t>
      </w:r>
    </w:p>
    <w:p w:rsidR="007B2B7B" w:rsidRPr="006E2F20" w:rsidRDefault="007B2B7B" w:rsidP="007B2B7B">
      <w:pPr>
        <w:jc w:val="both"/>
      </w:pPr>
    </w:p>
    <w:p w:rsidR="007B2B7B" w:rsidRDefault="007B2B7B" w:rsidP="007B2B7B">
      <w:pPr>
        <w:jc w:val="both"/>
      </w:pPr>
      <w:r w:rsidRPr="006E2F20">
        <w:t xml:space="preserve">4. An independent agent  LTSS entity can apply to be designated as independent agents for one or more line agencies, based on its demonstrated areas of subject matter expertise, e.g. LTSS with specialized BH expertise. </w:t>
      </w:r>
    </w:p>
    <w:p w:rsidR="007B2B7B" w:rsidRPr="006E2F20" w:rsidRDefault="007B2B7B" w:rsidP="007B2B7B">
      <w:pPr>
        <w:jc w:val="both"/>
      </w:pPr>
      <w:r w:rsidRPr="006E2F20">
        <w:t xml:space="preserve"> </w:t>
      </w:r>
    </w:p>
    <w:p w:rsidR="007B2B7B" w:rsidRDefault="007B2B7B" w:rsidP="007B2B7B">
      <w:pPr>
        <w:jc w:val="both"/>
      </w:pPr>
      <w:r w:rsidRPr="006E2F20">
        <w:t>5. The conflict free entity can subcontract with local providers of BH, LTSS, DD/ID, ABI for their subject matter expertise during the assessment process, then incorporate those recommendations into the care plans submitted to the ACO</w:t>
      </w:r>
      <w:r>
        <w:t xml:space="preserve"> for integration</w:t>
      </w:r>
      <w:r w:rsidRPr="006E2F20">
        <w:t>. The ACO issues the care plan, which can include local providers. I</w:t>
      </w:r>
      <w:r>
        <w:t>n this way, the providers play</w:t>
      </w:r>
      <w:r w:rsidRPr="006E2F20">
        <w:t xml:space="preserve"> a role in the a</w:t>
      </w:r>
      <w:r>
        <w:t>ssessment process, and then can be</w:t>
      </w:r>
      <w:r w:rsidRPr="006E2F20">
        <w:t xml:space="preserve"> selected at arm’s length by the ACO, which does not own the providers.</w:t>
      </w:r>
    </w:p>
    <w:p w:rsidR="007B2B7B" w:rsidRPr="006E2F20" w:rsidRDefault="007B2B7B" w:rsidP="007B2B7B">
      <w:pPr>
        <w:jc w:val="both"/>
      </w:pPr>
    </w:p>
    <w:p w:rsidR="007B2B7B" w:rsidRPr="006E2F20" w:rsidRDefault="007B2B7B" w:rsidP="007B2B7B">
      <w:pPr>
        <w:jc w:val="both"/>
      </w:pPr>
      <w:r>
        <w:tab/>
        <w:t xml:space="preserve">Below </w:t>
      </w:r>
      <w:r w:rsidRPr="006E2F20">
        <w:t xml:space="preserve"> is a </w:t>
      </w:r>
      <w:r>
        <w:t xml:space="preserve">graphic </w:t>
      </w:r>
      <w:r w:rsidRPr="006E2F20">
        <w:t xml:space="preserve">representation of this care planning process: </w:t>
      </w:r>
    </w:p>
    <w:p w:rsidR="007B2B7B" w:rsidRPr="006E2F20" w:rsidRDefault="007B2B7B" w:rsidP="007B2B7B">
      <w:pPr>
        <w:jc w:val="both"/>
      </w:pPr>
    </w:p>
    <w:p w:rsidR="007B2B7B" w:rsidRPr="006E2F20" w:rsidRDefault="007B2B7B" w:rsidP="007B2B7B">
      <w:r w:rsidRPr="006E2F20">
        <w:t xml:space="preserve">            LTSS Community Partners  Assessment and Care Plan Process In An ACO Plan</w:t>
      </w:r>
    </w:p>
    <w:p w:rsidR="007B2B7B" w:rsidRPr="006E2F20" w:rsidRDefault="007B2B7B" w:rsidP="007B2B7B">
      <w:pPr>
        <w:jc w:val="center"/>
        <w:rPr>
          <w:sz w:val="20"/>
          <w:szCs w:val="20"/>
        </w:rPr>
      </w:pPr>
      <w:r w:rsidRPr="006E2F20">
        <w:t xml:space="preserve">Assessments are done on a conflict-free basis, with providers brought in </w:t>
      </w:r>
      <w:r>
        <w:t>as SME assessors, but also serving as  direct service providers. This a</w:t>
      </w:r>
      <w:r w:rsidRPr="006E2F20">
        <w:t xml:space="preserve">llows providers to play a role in assessments on a conflict free basis.  </w:t>
      </w:r>
      <w:r>
        <w:t xml:space="preserve">The ACO integrates and coordinates the overall </w:t>
      </w:r>
      <w:r w:rsidRPr="006E2F20">
        <w:t>care plan, which  include</w:t>
      </w:r>
      <w:r>
        <w:t>s</w:t>
      </w:r>
      <w:r w:rsidRPr="006E2F20">
        <w:t xml:space="preserve"> service provided. Services and assessments functions are firewalled, with</w:t>
      </w:r>
      <w:r>
        <w:t xml:space="preserve"> the</w:t>
      </w:r>
      <w:r w:rsidRPr="006E2F20">
        <w:t xml:space="preserve"> ACO deciding on care plans content based on LTSS needs and enrollee requests for care.</w:t>
      </w:r>
    </w:p>
    <w:p w:rsidR="007B2B7B" w:rsidRPr="006E2F20" w:rsidRDefault="007B2B7B" w:rsidP="007B2B7B">
      <w:pPr>
        <w:jc w:val="center"/>
        <w:rPr>
          <w:b/>
          <w:sz w:val="20"/>
          <w:szCs w:val="20"/>
        </w:rPr>
      </w:pPr>
    </w:p>
    <w:p w:rsidR="007B2B7B" w:rsidRPr="006E2F20" w:rsidRDefault="007B2B7B" w:rsidP="007B2B7B">
      <w:pPr>
        <w:jc w:val="center"/>
        <w:rPr>
          <w:sz w:val="20"/>
          <w:szCs w:val="20"/>
        </w:rPr>
      </w:pPr>
      <w:r w:rsidRPr="006E2F20">
        <w:rPr>
          <w:noProof/>
          <w:sz w:val="20"/>
          <w:szCs w:val="20"/>
        </w:rPr>
        <mc:AlternateContent>
          <mc:Choice Requires="wps">
            <w:drawing>
              <wp:anchor distT="0" distB="0" distL="114300" distR="114300" simplePos="0" relativeHeight="251841024" behindDoc="0" locked="0" layoutInCell="1" allowOverlap="1" wp14:anchorId="3A1C7B06" wp14:editId="71A86CEB">
                <wp:simplePos x="0" y="0"/>
                <wp:positionH relativeFrom="column">
                  <wp:posOffset>2363470</wp:posOffset>
                </wp:positionH>
                <wp:positionV relativeFrom="paragraph">
                  <wp:posOffset>816</wp:posOffset>
                </wp:positionV>
                <wp:extent cx="2155190" cy="851535"/>
                <wp:effectExtent l="0" t="0" r="16510" b="24765"/>
                <wp:wrapNone/>
                <wp:docPr id="1150" name="Text Box 1150"/>
                <wp:cNvGraphicFramePr/>
                <a:graphic xmlns:a="http://schemas.openxmlformats.org/drawingml/2006/main">
                  <a:graphicData uri="http://schemas.microsoft.com/office/word/2010/wordprocessingShape">
                    <wps:wsp>
                      <wps:cNvSpPr txBox="1"/>
                      <wps:spPr>
                        <a:xfrm>
                          <a:off x="0" y="0"/>
                          <a:ext cx="2155190" cy="8515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2B7B" w:rsidRPr="00453F28" w:rsidRDefault="007B2B7B" w:rsidP="007B2B7B">
                            <w:pPr>
                              <w:rPr>
                                <w:b/>
                                <w:sz w:val="20"/>
                                <w:szCs w:val="20"/>
                              </w:rPr>
                            </w:pPr>
                            <w:r w:rsidRPr="00705177">
                              <w:rPr>
                                <w:b/>
                              </w:rPr>
                              <w:t xml:space="preserve">                   </w:t>
                            </w:r>
                            <w:r>
                              <w:rPr>
                                <w:b/>
                              </w:rPr>
                              <w:t xml:space="preserve">   </w:t>
                            </w:r>
                            <w:r w:rsidRPr="00705177">
                              <w:rPr>
                                <w:b/>
                                <w:sz w:val="32"/>
                                <w:szCs w:val="32"/>
                              </w:rPr>
                              <w:t xml:space="preserve"> </w:t>
                            </w:r>
                            <w:r w:rsidRPr="00453F28">
                              <w:rPr>
                                <w:b/>
                                <w:sz w:val="20"/>
                                <w:szCs w:val="20"/>
                              </w:rPr>
                              <w:t>EOHHS</w:t>
                            </w:r>
                          </w:p>
                          <w:p w:rsidR="007B2B7B" w:rsidRPr="00453F28" w:rsidRDefault="007B2B7B" w:rsidP="007B2B7B">
                            <w:pPr>
                              <w:jc w:val="center"/>
                              <w:rPr>
                                <w:b/>
                                <w:sz w:val="20"/>
                                <w:szCs w:val="20"/>
                              </w:rPr>
                            </w:pPr>
                            <w:r w:rsidRPr="00453F28">
                              <w:rPr>
                                <w:b/>
                                <w:sz w:val="20"/>
                                <w:szCs w:val="20"/>
                              </w:rPr>
                              <w:t>Issues  domains for  designation of Community Partners</w:t>
                            </w:r>
                          </w:p>
                          <w:p w:rsidR="007B2B7B" w:rsidRPr="00705177" w:rsidRDefault="007B2B7B" w:rsidP="007B2B7B">
                            <w:pPr>
                              <w:jc w:val="center"/>
                              <w:rPr>
                                <w:b/>
                              </w:rPr>
                            </w:pPr>
                            <w:r w:rsidRPr="00453F28">
                              <w:rPr>
                                <w:b/>
                                <w:sz w:val="20"/>
                                <w:szCs w:val="20"/>
                              </w:rPr>
                              <w:t>Certifies LTSS Community</w:t>
                            </w:r>
                            <w:r>
                              <w:rPr>
                                <w:b/>
                              </w:rPr>
                              <w:t xml:space="preserve"> </w:t>
                            </w:r>
                            <w:r w:rsidRPr="00453F28">
                              <w:rPr>
                                <w:b/>
                                <w:sz w:val="20"/>
                                <w:szCs w:val="20"/>
                              </w:rPr>
                              <w:t>Partners</w:t>
                            </w:r>
                          </w:p>
                          <w:p w:rsidR="007B2B7B" w:rsidRPr="00705177" w:rsidRDefault="007B2B7B" w:rsidP="007B2B7B">
                            <w:pPr>
                              <w:rPr>
                                <w:b/>
                              </w:rPr>
                            </w:pPr>
                          </w:p>
                          <w:p w:rsidR="007B2B7B" w:rsidRPr="00705177" w:rsidRDefault="007B2B7B" w:rsidP="007B2B7B">
                            <w:pPr>
                              <w:rPr>
                                <w:b/>
                              </w:rPr>
                            </w:pPr>
                          </w:p>
                          <w:p w:rsidR="007B2B7B" w:rsidRPr="00705177" w:rsidRDefault="007B2B7B" w:rsidP="007B2B7B">
                            <w:pPr>
                              <w:rPr>
                                <w:b/>
                              </w:rPr>
                            </w:pPr>
                            <w:r w:rsidRPr="00705177">
                              <w:rPr>
                                <w:b/>
                              </w:rPr>
                              <w:t>O</w:t>
                            </w:r>
                          </w:p>
                          <w:p w:rsidR="007B2B7B" w:rsidRPr="00705177" w:rsidRDefault="007B2B7B" w:rsidP="007B2B7B">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50" o:spid="_x0000_s1215" type="#_x0000_t202" style="position:absolute;left:0;text-align:left;margin-left:186.1pt;margin-top:.05pt;width:169.7pt;height:67.05pt;z-index:25184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" fillcolor="white [3201]" strokeweight=".5pt">
                <v:textbox>
                  <w:txbxContent>
                    <w:p w:rsidR="007B2B7B" w:rsidRPr="00453F28" w:rsidRDefault="007B2B7B" w:rsidP="007B2B7B">
                      <w:pPr>
                        <w:rPr>
                          <w:b/>
                          <w:sz w:val="20"/>
                          <w:szCs w:val="20"/>
                        </w:rPr>
                      </w:pPr>
                      <w:r w:rsidRPr="00705177">
                        <w:rPr>
                          <w:b/>
                        </w:rPr>
                        <w:t xml:space="preserve">                   </w:t>
                      </w:r>
                      <w:r>
                        <w:rPr>
                          <w:b/>
                        </w:rPr>
                        <w:t xml:space="preserve">   </w:t>
                      </w:r>
                      <w:r w:rsidRPr="00705177">
                        <w:rPr>
                          <w:b/>
                          <w:sz w:val="32"/>
                          <w:szCs w:val="32"/>
                        </w:rPr>
                        <w:t xml:space="preserve"> </w:t>
                      </w:r>
                      <w:r w:rsidRPr="00453F28">
                        <w:rPr>
                          <w:b/>
                          <w:sz w:val="20"/>
                          <w:szCs w:val="20"/>
                        </w:rPr>
                        <w:t>EOHHS</w:t>
                      </w:r>
                    </w:p>
                    <w:p w:rsidR="007B2B7B" w:rsidRPr="00453F28" w:rsidRDefault="007B2B7B" w:rsidP="007B2B7B">
                      <w:pPr>
                        <w:jc w:val="center"/>
                        <w:rPr>
                          <w:b/>
                          <w:sz w:val="20"/>
                          <w:szCs w:val="20"/>
                        </w:rPr>
                      </w:pPr>
                      <w:r w:rsidRPr="00453F28">
                        <w:rPr>
                          <w:b/>
                          <w:sz w:val="20"/>
                          <w:szCs w:val="20"/>
                        </w:rPr>
                        <w:t>Issues  domains for  designation of Community Partners</w:t>
                      </w:r>
                    </w:p>
                    <w:p w:rsidR="007B2B7B" w:rsidRPr="00705177" w:rsidRDefault="007B2B7B" w:rsidP="007B2B7B">
                      <w:pPr>
                        <w:jc w:val="center"/>
                        <w:rPr>
                          <w:b/>
                        </w:rPr>
                      </w:pPr>
                      <w:r w:rsidRPr="00453F28">
                        <w:rPr>
                          <w:b/>
                          <w:sz w:val="20"/>
                          <w:szCs w:val="20"/>
                        </w:rPr>
                        <w:t>Certifies LTSS Community</w:t>
                      </w:r>
                      <w:r>
                        <w:rPr>
                          <w:b/>
                        </w:rPr>
                        <w:t xml:space="preserve"> </w:t>
                      </w:r>
                      <w:r w:rsidRPr="00453F28">
                        <w:rPr>
                          <w:b/>
                          <w:sz w:val="20"/>
                          <w:szCs w:val="20"/>
                        </w:rPr>
                        <w:t>Partners</w:t>
                      </w:r>
                    </w:p>
                    <w:p w:rsidR="007B2B7B" w:rsidRPr="00705177" w:rsidRDefault="007B2B7B" w:rsidP="007B2B7B">
                      <w:pPr>
                        <w:rPr>
                          <w:b/>
                        </w:rPr>
                      </w:pPr>
                    </w:p>
                    <w:p w:rsidR="007B2B7B" w:rsidRPr="00705177" w:rsidRDefault="007B2B7B" w:rsidP="007B2B7B">
                      <w:pPr>
                        <w:rPr>
                          <w:b/>
                        </w:rPr>
                      </w:pPr>
                    </w:p>
                    <w:p w:rsidR="007B2B7B" w:rsidRPr="00705177" w:rsidRDefault="007B2B7B" w:rsidP="007B2B7B">
                      <w:pPr>
                        <w:rPr>
                          <w:b/>
                        </w:rPr>
                      </w:pPr>
                      <w:r w:rsidRPr="00705177">
                        <w:rPr>
                          <w:b/>
                        </w:rPr>
                        <w:t>O</w:t>
                      </w:r>
                    </w:p>
                    <w:p w:rsidR="007B2B7B" w:rsidRPr="00705177" w:rsidRDefault="007B2B7B" w:rsidP="007B2B7B">
                      <w:pPr>
                        <w:rPr>
                          <w:b/>
                        </w:rPr>
                      </w:pPr>
                    </w:p>
                  </w:txbxContent>
                </v:textbox>
              </v:shape>
            </w:pict>
          </mc:Fallback>
        </mc:AlternateContent>
      </w:r>
    </w:p>
    <w:p w:rsidR="007B2B7B" w:rsidRPr="006E2F20" w:rsidRDefault="007B2B7B" w:rsidP="007B2B7B">
      <w:pPr>
        <w:ind w:firstLine="720"/>
        <w:jc w:val="center"/>
        <w:rPr>
          <w:color w:val="000000"/>
          <w:sz w:val="20"/>
          <w:szCs w:val="20"/>
        </w:rPr>
      </w:pPr>
    </w:p>
    <w:p w:rsidR="007B2B7B" w:rsidRPr="006E2F20" w:rsidRDefault="007B2B7B" w:rsidP="007B2B7B">
      <w:pPr>
        <w:jc w:val="center"/>
        <w:rPr>
          <w:color w:val="000000"/>
          <w:sz w:val="20"/>
          <w:szCs w:val="20"/>
        </w:rPr>
      </w:pPr>
    </w:p>
    <w:p w:rsidR="007B2B7B" w:rsidRPr="006E2F20" w:rsidRDefault="007B2B7B" w:rsidP="007B2B7B">
      <w:pPr>
        <w:jc w:val="center"/>
        <w:rPr>
          <w:b/>
          <w:sz w:val="20"/>
          <w:szCs w:val="20"/>
        </w:rPr>
      </w:pPr>
    </w:p>
    <w:p w:rsidR="007B2B7B" w:rsidRPr="006E2F20" w:rsidRDefault="007B2B7B" w:rsidP="007B2B7B">
      <w:pPr>
        <w:jc w:val="center"/>
        <w:rPr>
          <w:rFonts w:eastAsia="Times New Roman"/>
          <w:sz w:val="20"/>
          <w:szCs w:val="20"/>
        </w:rPr>
      </w:pPr>
      <w:r w:rsidRPr="006E2F20">
        <w:rPr>
          <w:noProof/>
          <w:sz w:val="20"/>
          <w:szCs w:val="20"/>
        </w:rPr>
        <mc:AlternateContent>
          <mc:Choice Requires="wps">
            <w:drawing>
              <wp:anchor distT="0" distB="0" distL="114300" distR="114300" simplePos="0" relativeHeight="251847168" behindDoc="0" locked="0" layoutInCell="1" allowOverlap="1" wp14:anchorId="6567681B" wp14:editId="4B11D3DC">
                <wp:simplePos x="0" y="0"/>
                <wp:positionH relativeFrom="column">
                  <wp:posOffset>3522980</wp:posOffset>
                </wp:positionH>
                <wp:positionV relativeFrom="paragraph">
                  <wp:posOffset>100965</wp:posOffset>
                </wp:positionV>
                <wp:extent cx="54610" cy="504825"/>
                <wp:effectExtent l="19050" t="0" r="40640" b="47625"/>
                <wp:wrapNone/>
                <wp:docPr id="1151" name="Down Arrow 1151"/>
                <wp:cNvGraphicFramePr/>
                <a:graphic xmlns:a="http://schemas.openxmlformats.org/drawingml/2006/main">
                  <a:graphicData uri="http://schemas.microsoft.com/office/word/2010/wordprocessingShape">
                    <wps:wsp>
                      <wps:cNvSpPr/>
                      <wps:spPr>
                        <a:xfrm>
                          <a:off x="0" y="0"/>
                          <a:ext cx="54610" cy="5048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151" o:spid="_x0000_s1026" type="#_x0000_t67" style="position:absolute;margin-left:277.4pt;margin-top:7.95pt;width:4.3pt;height:39.75pt;z-index:25184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" adj="20432" fillcolor="#4f81bd [3204]" strokecolor="#243f60 [1604]" strokeweight="2pt"/>
            </w:pict>
          </mc:Fallback>
        </mc:AlternateContent>
      </w:r>
    </w:p>
    <w:p w:rsidR="007B2B7B" w:rsidRPr="006E2F20" w:rsidRDefault="007B2B7B" w:rsidP="007B2B7B">
      <w:pPr>
        <w:ind w:firstLine="720"/>
        <w:jc w:val="center"/>
        <w:rPr>
          <w:rFonts w:eastAsia="Times New Roman"/>
          <w:sz w:val="20"/>
          <w:szCs w:val="20"/>
        </w:rPr>
      </w:pPr>
    </w:p>
    <w:p w:rsidR="007B2B7B" w:rsidRPr="006E2F20" w:rsidRDefault="007B2B7B" w:rsidP="007B2B7B">
      <w:pPr>
        <w:ind w:firstLine="720"/>
        <w:jc w:val="center"/>
        <w:rPr>
          <w:rFonts w:eastAsia="Times New Roman"/>
          <w:sz w:val="20"/>
          <w:szCs w:val="20"/>
        </w:rPr>
      </w:pPr>
      <w:r w:rsidRPr="006E2F20">
        <w:rPr>
          <w:noProof/>
          <w:sz w:val="20"/>
          <w:szCs w:val="20"/>
        </w:rPr>
        <mc:AlternateContent>
          <mc:Choice Requires="wps">
            <w:drawing>
              <wp:anchor distT="0" distB="0" distL="114300" distR="114300" simplePos="0" relativeHeight="251860480" behindDoc="0" locked="0" layoutInCell="1" allowOverlap="1" wp14:anchorId="05F98906" wp14:editId="510A6672">
                <wp:simplePos x="0" y="0"/>
                <wp:positionH relativeFrom="column">
                  <wp:posOffset>202474</wp:posOffset>
                </wp:positionH>
                <wp:positionV relativeFrom="paragraph">
                  <wp:posOffset>116205</wp:posOffset>
                </wp:positionV>
                <wp:extent cx="1162050" cy="921657"/>
                <wp:effectExtent l="0" t="0" r="19050" b="12065"/>
                <wp:wrapNone/>
                <wp:docPr id="1152" name="Text Box 1152"/>
                <wp:cNvGraphicFramePr/>
                <a:graphic xmlns:a="http://schemas.openxmlformats.org/drawingml/2006/main">
                  <a:graphicData uri="http://schemas.microsoft.com/office/word/2010/wordprocessingShape">
                    <wps:wsp>
                      <wps:cNvSpPr txBox="1"/>
                      <wps:spPr>
                        <a:xfrm>
                          <a:off x="0" y="0"/>
                          <a:ext cx="1162050" cy="92165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2B7B" w:rsidRPr="00453F28" w:rsidRDefault="007B2B7B" w:rsidP="007B2B7B">
                            <w:pPr>
                              <w:jc w:val="center"/>
                              <w:rPr>
                                <w:b/>
                                <w:sz w:val="20"/>
                                <w:szCs w:val="20"/>
                              </w:rPr>
                            </w:pPr>
                            <w:r w:rsidRPr="00453F28">
                              <w:rPr>
                                <w:b/>
                                <w:sz w:val="20"/>
                                <w:szCs w:val="20"/>
                              </w:rPr>
                              <w:t>ACO</w:t>
                            </w:r>
                          </w:p>
                          <w:p w:rsidR="007B2B7B" w:rsidRPr="00453F28" w:rsidRDefault="007B2B7B" w:rsidP="007B2B7B">
                            <w:pPr>
                              <w:jc w:val="center"/>
                              <w:rPr>
                                <w:b/>
                                <w:sz w:val="20"/>
                                <w:szCs w:val="20"/>
                              </w:rPr>
                            </w:pPr>
                            <w:r w:rsidRPr="00453F28">
                              <w:rPr>
                                <w:b/>
                                <w:sz w:val="20"/>
                                <w:szCs w:val="20"/>
                              </w:rPr>
                              <w:t>Approves integrated care plan and purchases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52" o:spid="_x0000_s1216" type="#_x0000_t202" style="position:absolute;left:0;text-align:left;margin-left:15.95pt;margin-top:9.15pt;width:91.5pt;height:72.55pt;z-index:25186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" fillcolor="white [3201]" strokeweight=".5pt">
                <v:textbox>
                  <w:txbxContent>
                    <w:p w:rsidR="007B2B7B" w:rsidRPr="00453F28" w:rsidRDefault="007B2B7B" w:rsidP="007B2B7B">
                      <w:pPr>
                        <w:jc w:val="center"/>
                        <w:rPr>
                          <w:b/>
                          <w:sz w:val="20"/>
                          <w:szCs w:val="20"/>
                        </w:rPr>
                      </w:pPr>
                      <w:r w:rsidRPr="00453F28">
                        <w:rPr>
                          <w:b/>
                          <w:sz w:val="20"/>
                          <w:szCs w:val="20"/>
                        </w:rPr>
                        <w:t>ACO</w:t>
                      </w:r>
                    </w:p>
                    <w:p w:rsidR="007B2B7B" w:rsidRPr="00453F28" w:rsidRDefault="007B2B7B" w:rsidP="007B2B7B">
                      <w:pPr>
                        <w:jc w:val="center"/>
                        <w:rPr>
                          <w:b/>
                          <w:sz w:val="20"/>
                          <w:szCs w:val="20"/>
                        </w:rPr>
                      </w:pPr>
                      <w:r w:rsidRPr="00453F28">
                        <w:rPr>
                          <w:b/>
                          <w:sz w:val="20"/>
                          <w:szCs w:val="20"/>
                        </w:rPr>
                        <w:t>Approves integrated care plan and purchases services</w:t>
                      </w:r>
                    </w:p>
                  </w:txbxContent>
                </v:textbox>
              </v:shape>
            </w:pict>
          </mc:Fallback>
        </mc:AlternateContent>
      </w:r>
    </w:p>
    <w:p w:rsidR="007B2B7B" w:rsidRPr="006E2F20" w:rsidRDefault="007B2B7B" w:rsidP="007B2B7B">
      <w:pPr>
        <w:ind w:firstLine="720"/>
        <w:jc w:val="center"/>
        <w:rPr>
          <w:rFonts w:eastAsia="Times New Roman"/>
          <w:sz w:val="20"/>
          <w:szCs w:val="20"/>
        </w:rPr>
      </w:pPr>
    </w:p>
    <w:p w:rsidR="007B2B7B" w:rsidRPr="006E2F20" w:rsidRDefault="007B2B7B" w:rsidP="007B2B7B">
      <w:pPr>
        <w:ind w:firstLine="720"/>
        <w:jc w:val="center"/>
        <w:rPr>
          <w:rFonts w:eastAsia="Times New Roman"/>
          <w:sz w:val="20"/>
          <w:szCs w:val="20"/>
        </w:rPr>
      </w:pPr>
      <w:r w:rsidRPr="006E2F20">
        <w:rPr>
          <w:noProof/>
          <w:sz w:val="20"/>
          <w:szCs w:val="20"/>
        </w:rPr>
        <mc:AlternateContent>
          <mc:Choice Requires="wps">
            <w:drawing>
              <wp:anchor distT="0" distB="0" distL="114300" distR="114300" simplePos="0" relativeHeight="251859456" behindDoc="0" locked="0" layoutInCell="1" allowOverlap="1" wp14:anchorId="17091742" wp14:editId="52CDEB69">
                <wp:simplePos x="0" y="0"/>
                <wp:positionH relativeFrom="column">
                  <wp:posOffset>4819650</wp:posOffset>
                </wp:positionH>
                <wp:positionV relativeFrom="paragraph">
                  <wp:posOffset>127635</wp:posOffset>
                </wp:positionV>
                <wp:extent cx="1558925" cy="486410"/>
                <wp:effectExtent l="0" t="0" r="22225" b="27940"/>
                <wp:wrapNone/>
                <wp:docPr id="1153" name="Text Box 1153"/>
                <wp:cNvGraphicFramePr/>
                <a:graphic xmlns:a="http://schemas.openxmlformats.org/drawingml/2006/main">
                  <a:graphicData uri="http://schemas.microsoft.com/office/word/2010/wordprocessingShape">
                    <wps:wsp>
                      <wps:cNvSpPr txBox="1"/>
                      <wps:spPr>
                        <a:xfrm>
                          <a:off x="0" y="0"/>
                          <a:ext cx="1558925" cy="4864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2B7B" w:rsidRPr="00453F28" w:rsidRDefault="007B2B7B" w:rsidP="007B2B7B">
                            <w:pPr>
                              <w:jc w:val="center"/>
                              <w:rPr>
                                <w:b/>
                                <w:sz w:val="20"/>
                                <w:szCs w:val="20"/>
                              </w:rPr>
                            </w:pPr>
                            <w:r w:rsidRPr="00453F28">
                              <w:rPr>
                                <w:b/>
                                <w:sz w:val="20"/>
                                <w:szCs w:val="20"/>
                              </w:rPr>
                              <w:t xml:space="preserve">ASSESSMENT </w:t>
                            </w:r>
                            <w:r>
                              <w:rPr>
                                <w:b/>
                                <w:sz w:val="20"/>
                                <w:szCs w:val="20"/>
                              </w:rPr>
                              <w:t xml:space="preserve">SME </w:t>
                            </w:r>
                            <w:r w:rsidRPr="00453F28">
                              <w:rPr>
                                <w:b/>
                                <w:sz w:val="20"/>
                                <w:szCs w:val="20"/>
                              </w:rPr>
                              <w:t>CONTRACTS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53" o:spid="_x0000_s1217" type="#_x0000_t202" style="position:absolute;left:0;text-align:left;margin-left:379.5pt;margin-top:10.05pt;width:122.75pt;height:38.3pt;z-index:25185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" fillcolor="white [3201]" strokeweight=".5pt">
                <v:textbox>
                  <w:txbxContent>
                    <w:p w:rsidR="007B2B7B" w:rsidRPr="00453F28" w:rsidRDefault="007B2B7B" w:rsidP="007B2B7B">
                      <w:pPr>
                        <w:jc w:val="center"/>
                        <w:rPr>
                          <w:b/>
                          <w:sz w:val="20"/>
                          <w:szCs w:val="20"/>
                        </w:rPr>
                      </w:pPr>
                      <w:r w:rsidRPr="00453F28">
                        <w:rPr>
                          <w:b/>
                          <w:sz w:val="20"/>
                          <w:szCs w:val="20"/>
                        </w:rPr>
                        <w:t xml:space="preserve">ASSESSMENT </w:t>
                      </w:r>
                      <w:r>
                        <w:rPr>
                          <w:b/>
                          <w:sz w:val="20"/>
                          <w:szCs w:val="20"/>
                        </w:rPr>
                        <w:t xml:space="preserve">SME </w:t>
                      </w:r>
                      <w:r w:rsidRPr="00453F28">
                        <w:rPr>
                          <w:b/>
                          <w:sz w:val="20"/>
                          <w:szCs w:val="20"/>
                        </w:rPr>
                        <w:t>CONTRACTS</w:t>
                      </w:r>
                    </w:p>
                  </w:txbxContent>
                </v:textbox>
              </v:shape>
            </w:pict>
          </mc:Fallback>
        </mc:AlternateContent>
      </w:r>
      <w:r w:rsidRPr="006E2F20">
        <w:rPr>
          <w:noProof/>
          <w:sz w:val="20"/>
          <w:szCs w:val="20"/>
        </w:rPr>
        <mc:AlternateContent>
          <mc:Choice Requires="wps">
            <w:drawing>
              <wp:anchor distT="0" distB="0" distL="114300" distR="114300" simplePos="0" relativeHeight="251842048" behindDoc="0" locked="0" layoutInCell="1" allowOverlap="1" wp14:anchorId="40CCE9F8" wp14:editId="1038AC3C">
                <wp:simplePos x="0" y="0"/>
                <wp:positionH relativeFrom="column">
                  <wp:posOffset>2795452</wp:posOffset>
                </wp:positionH>
                <wp:positionV relativeFrom="paragraph">
                  <wp:posOffset>130810</wp:posOffset>
                </wp:positionV>
                <wp:extent cx="1534795" cy="614771"/>
                <wp:effectExtent l="0" t="0" r="27305" b="13970"/>
                <wp:wrapNone/>
                <wp:docPr id="1154" name="Text Box 1154"/>
                <wp:cNvGraphicFramePr/>
                <a:graphic xmlns:a="http://schemas.openxmlformats.org/drawingml/2006/main">
                  <a:graphicData uri="http://schemas.microsoft.com/office/word/2010/wordprocessingShape">
                    <wps:wsp>
                      <wps:cNvSpPr txBox="1"/>
                      <wps:spPr>
                        <a:xfrm>
                          <a:off x="0" y="0"/>
                          <a:ext cx="1534795" cy="61477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2B7B" w:rsidRPr="00453F28" w:rsidRDefault="007B2B7B" w:rsidP="007B2B7B">
                            <w:pPr>
                              <w:jc w:val="center"/>
                              <w:rPr>
                                <w:b/>
                                <w:sz w:val="20"/>
                                <w:szCs w:val="20"/>
                              </w:rPr>
                            </w:pPr>
                            <w:r>
                              <w:rPr>
                                <w:b/>
                                <w:sz w:val="20"/>
                                <w:szCs w:val="20"/>
                              </w:rPr>
                              <w:t xml:space="preserve">Independent </w:t>
                            </w:r>
                            <w:r w:rsidRPr="00453F28">
                              <w:rPr>
                                <w:b/>
                                <w:sz w:val="20"/>
                                <w:szCs w:val="20"/>
                              </w:rPr>
                              <w:t xml:space="preserve">LTSS Certified </w:t>
                            </w:r>
                            <w:r>
                              <w:rPr>
                                <w:b/>
                                <w:sz w:val="20"/>
                                <w:szCs w:val="20"/>
                              </w:rPr>
                              <w:t>Community Partners</w:t>
                            </w:r>
                          </w:p>
                          <w:p w:rsidR="007B2B7B" w:rsidRPr="00453F28" w:rsidRDefault="007B2B7B" w:rsidP="007B2B7B">
                            <w:pPr>
                              <w:jc w:val="center"/>
                              <w:rPr>
                                <w:b/>
                                <w:sz w:val="20"/>
                                <w:szCs w:val="20"/>
                              </w:rPr>
                            </w:pPr>
                            <w:r w:rsidRPr="00453F28">
                              <w:rPr>
                                <w:b/>
                                <w:sz w:val="20"/>
                                <w:szCs w:val="20"/>
                              </w:rPr>
                              <w:t>Community Partners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54" o:spid="_x0000_s1218" type="#_x0000_t202" style="position:absolute;left:0;text-align:left;margin-left:220.1pt;margin-top:10.3pt;width:120.85pt;height:48.4pt;z-index:25184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" fillcolor="white [3201]" strokeweight=".5pt">
                <v:textbox>
                  <w:txbxContent>
                    <w:p w:rsidR="007B2B7B" w:rsidRPr="00453F28" w:rsidRDefault="007B2B7B" w:rsidP="007B2B7B">
                      <w:pPr>
                        <w:jc w:val="center"/>
                        <w:rPr>
                          <w:b/>
                          <w:sz w:val="20"/>
                          <w:szCs w:val="20"/>
                        </w:rPr>
                      </w:pPr>
                      <w:r>
                        <w:rPr>
                          <w:b/>
                          <w:sz w:val="20"/>
                          <w:szCs w:val="20"/>
                        </w:rPr>
                        <w:t xml:space="preserve">Independent </w:t>
                      </w:r>
                      <w:r w:rsidRPr="00453F28">
                        <w:rPr>
                          <w:b/>
                          <w:sz w:val="20"/>
                          <w:szCs w:val="20"/>
                        </w:rPr>
                        <w:t xml:space="preserve">LTSS Certified </w:t>
                      </w:r>
                      <w:r>
                        <w:rPr>
                          <w:b/>
                          <w:sz w:val="20"/>
                          <w:szCs w:val="20"/>
                        </w:rPr>
                        <w:t>Community Partners</w:t>
                      </w:r>
                    </w:p>
                    <w:p w:rsidR="007B2B7B" w:rsidRPr="00453F28" w:rsidRDefault="007B2B7B" w:rsidP="007B2B7B">
                      <w:pPr>
                        <w:jc w:val="center"/>
                        <w:rPr>
                          <w:b/>
                          <w:sz w:val="20"/>
                          <w:szCs w:val="20"/>
                        </w:rPr>
                      </w:pPr>
                      <w:r w:rsidRPr="00453F28">
                        <w:rPr>
                          <w:b/>
                          <w:sz w:val="20"/>
                          <w:szCs w:val="20"/>
                        </w:rPr>
                        <w:t>Community Partners</w:t>
                      </w:r>
                    </w:p>
                  </w:txbxContent>
                </v:textbox>
              </v:shape>
            </w:pict>
          </mc:Fallback>
        </mc:AlternateContent>
      </w:r>
    </w:p>
    <w:p w:rsidR="007B2B7B" w:rsidRPr="006E2F20" w:rsidRDefault="007B2B7B" w:rsidP="007B2B7B">
      <w:pPr>
        <w:ind w:firstLine="720"/>
        <w:jc w:val="center"/>
        <w:rPr>
          <w:rFonts w:eastAsia="Times New Roman"/>
          <w:sz w:val="20"/>
          <w:szCs w:val="20"/>
        </w:rPr>
      </w:pPr>
    </w:p>
    <w:p w:rsidR="007B2B7B" w:rsidRPr="006E2F20" w:rsidRDefault="007B2B7B" w:rsidP="007B2B7B">
      <w:pPr>
        <w:ind w:firstLine="720"/>
        <w:jc w:val="center"/>
        <w:rPr>
          <w:rFonts w:eastAsia="Times New Roman"/>
          <w:sz w:val="20"/>
          <w:szCs w:val="20"/>
        </w:rPr>
      </w:pPr>
      <w:r>
        <w:rPr>
          <w:noProof/>
          <w:sz w:val="20"/>
          <w:szCs w:val="20"/>
        </w:rPr>
        <mc:AlternateContent>
          <mc:Choice Requires="wps">
            <w:drawing>
              <wp:anchor distT="0" distB="0" distL="114300" distR="114300" simplePos="0" relativeHeight="251864576" behindDoc="0" locked="0" layoutInCell="1" allowOverlap="1" wp14:anchorId="693424CE" wp14:editId="1074D6B8">
                <wp:simplePos x="0" y="0"/>
                <wp:positionH relativeFrom="column">
                  <wp:posOffset>4362994</wp:posOffset>
                </wp:positionH>
                <wp:positionV relativeFrom="paragraph">
                  <wp:posOffset>65043</wp:posOffset>
                </wp:positionV>
                <wp:extent cx="374832" cy="85544"/>
                <wp:effectExtent l="0" t="19050" r="44450" b="29210"/>
                <wp:wrapNone/>
                <wp:docPr id="1155" name="Right Arrow 1155"/>
                <wp:cNvGraphicFramePr/>
                <a:graphic xmlns:a="http://schemas.openxmlformats.org/drawingml/2006/main">
                  <a:graphicData uri="http://schemas.microsoft.com/office/word/2010/wordprocessingShape">
                    <wps:wsp>
                      <wps:cNvSpPr/>
                      <wps:spPr>
                        <a:xfrm flipV="1">
                          <a:off x="0" y="0"/>
                          <a:ext cx="374832" cy="85544"/>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155" o:spid="_x0000_s1026" type="#_x0000_t13" style="position:absolute;margin-left:343.55pt;margin-top:5.1pt;width:29.5pt;height:6.75pt;flip:y;z-index:251864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" adj="19135" fillcolor="#4f81bd [3204]" strokecolor="#243f60 [1604]" strokeweight="2pt"/>
            </w:pict>
          </mc:Fallback>
        </mc:AlternateContent>
      </w:r>
      <w:r w:rsidRPr="006E2F20">
        <w:rPr>
          <w:noProof/>
          <w:sz w:val="20"/>
          <w:szCs w:val="20"/>
        </w:rPr>
        <mc:AlternateContent>
          <mc:Choice Requires="wps">
            <w:drawing>
              <wp:anchor distT="0" distB="0" distL="114300" distR="114300" simplePos="0" relativeHeight="251861504" behindDoc="0" locked="0" layoutInCell="1" allowOverlap="1" wp14:anchorId="6D5E0930" wp14:editId="4B93670E">
                <wp:simplePos x="0" y="0"/>
                <wp:positionH relativeFrom="column">
                  <wp:posOffset>1364615</wp:posOffset>
                </wp:positionH>
                <wp:positionV relativeFrom="paragraph">
                  <wp:posOffset>21590</wp:posOffset>
                </wp:positionV>
                <wp:extent cx="1273175" cy="45085"/>
                <wp:effectExtent l="0" t="0" r="22225" b="12065"/>
                <wp:wrapNone/>
                <wp:docPr id="1156" name="Left Arrow 1156"/>
                <wp:cNvGraphicFramePr/>
                <a:graphic xmlns:a="http://schemas.openxmlformats.org/drawingml/2006/main">
                  <a:graphicData uri="http://schemas.microsoft.com/office/word/2010/wordprocessingShape">
                    <wps:wsp>
                      <wps:cNvSpPr/>
                      <wps:spPr>
                        <a:xfrm>
                          <a:off x="0" y="0"/>
                          <a:ext cx="1273175" cy="4508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1156" o:spid="_x0000_s1026" type="#_x0000_t66" style="position:absolute;margin-left:107.45pt;margin-top:1.7pt;width:100.25pt;height:3.55pt;z-index:251861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" adj="382" fillcolor="#4f81bd [3204]" strokecolor="#243f60 [1604]" strokeweight="2pt"/>
            </w:pict>
          </mc:Fallback>
        </mc:AlternateContent>
      </w:r>
    </w:p>
    <w:p w:rsidR="007B2B7B" w:rsidRPr="006E2F20" w:rsidRDefault="007B2B7B" w:rsidP="007B2B7B">
      <w:pPr>
        <w:ind w:firstLine="720"/>
        <w:jc w:val="center"/>
        <w:rPr>
          <w:rFonts w:eastAsia="Times New Roman"/>
          <w:sz w:val="20"/>
          <w:szCs w:val="20"/>
        </w:rPr>
      </w:pPr>
    </w:p>
    <w:p w:rsidR="007B2B7B" w:rsidRPr="006E2F20" w:rsidRDefault="007B2B7B" w:rsidP="007B2B7B">
      <w:pPr>
        <w:ind w:firstLine="720"/>
        <w:jc w:val="center"/>
        <w:rPr>
          <w:rFonts w:eastAsia="Times New Roman"/>
          <w:sz w:val="20"/>
          <w:szCs w:val="20"/>
        </w:rPr>
      </w:pPr>
      <w:r>
        <w:rPr>
          <w:rFonts w:eastAsia="Times New Roman"/>
          <w:noProof/>
          <w:sz w:val="20"/>
          <w:szCs w:val="20"/>
        </w:rPr>
        <mc:AlternateContent>
          <mc:Choice Requires="wps">
            <w:drawing>
              <wp:anchor distT="0" distB="0" distL="114300" distR="114300" simplePos="0" relativeHeight="251865600" behindDoc="0" locked="0" layoutInCell="1" allowOverlap="1" wp14:anchorId="70E55E39" wp14:editId="2A5C9E41">
                <wp:simplePos x="0" y="0"/>
                <wp:positionH relativeFrom="column">
                  <wp:posOffset>5629910</wp:posOffset>
                </wp:positionH>
                <wp:positionV relativeFrom="paragraph">
                  <wp:posOffset>122828</wp:posOffset>
                </wp:positionV>
                <wp:extent cx="71846" cy="349704"/>
                <wp:effectExtent l="19050" t="0" r="42545" b="31750"/>
                <wp:wrapNone/>
                <wp:docPr id="1157" name="Down Arrow 1157"/>
                <wp:cNvGraphicFramePr/>
                <a:graphic xmlns:a="http://schemas.openxmlformats.org/drawingml/2006/main">
                  <a:graphicData uri="http://schemas.microsoft.com/office/word/2010/wordprocessingShape">
                    <wps:wsp>
                      <wps:cNvSpPr/>
                      <wps:spPr>
                        <a:xfrm>
                          <a:off x="0" y="0"/>
                          <a:ext cx="71846" cy="349704"/>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1157" o:spid="_x0000_s1026" type="#_x0000_t67" style="position:absolute;margin-left:443.3pt;margin-top:9.65pt;width:5.65pt;height:27.55pt;z-index:251865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" adj="19381" fillcolor="#4f81bd [3204]" strokecolor="#243f60 [1604]" strokeweight="2pt"/>
            </w:pict>
          </mc:Fallback>
        </mc:AlternateContent>
      </w:r>
    </w:p>
    <w:p w:rsidR="007B2B7B" w:rsidRPr="006E2F20" w:rsidRDefault="007B2B7B" w:rsidP="007B2B7B">
      <w:pPr>
        <w:ind w:firstLine="720"/>
        <w:jc w:val="center"/>
        <w:rPr>
          <w:rFonts w:eastAsia="Times New Roman"/>
          <w:sz w:val="20"/>
          <w:szCs w:val="20"/>
        </w:rPr>
      </w:pPr>
      <w:r w:rsidRPr="006E2F20">
        <w:rPr>
          <w:noProof/>
          <w:sz w:val="20"/>
          <w:szCs w:val="20"/>
        </w:rPr>
        <mc:AlternateContent>
          <mc:Choice Requires="wps">
            <w:drawing>
              <wp:anchor distT="0" distB="0" distL="114300" distR="114300" simplePos="0" relativeHeight="251848192" behindDoc="0" locked="0" layoutInCell="1" allowOverlap="1" wp14:anchorId="3E2FEC85" wp14:editId="4F917A0A">
                <wp:simplePos x="0" y="0"/>
                <wp:positionH relativeFrom="column">
                  <wp:posOffset>3522345</wp:posOffset>
                </wp:positionH>
                <wp:positionV relativeFrom="paragraph">
                  <wp:posOffset>24130</wp:posOffset>
                </wp:positionV>
                <wp:extent cx="54610" cy="219075"/>
                <wp:effectExtent l="19050" t="0" r="40640" b="47625"/>
                <wp:wrapNone/>
                <wp:docPr id="1158" name="Down Arrow 1158"/>
                <wp:cNvGraphicFramePr/>
                <a:graphic xmlns:a="http://schemas.openxmlformats.org/drawingml/2006/main">
                  <a:graphicData uri="http://schemas.microsoft.com/office/word/2010/wordprocessingShape">
                    <wps:wsp>
                      <wps:cNvSpPr/>
                      <wps:spPr>
                        <a:xfrm>
                          <a:off x="0" y="0"/>
                          <a:ext cx="54610" cy="2190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1158" o:spid="_x0000_s1026" type="#_x0000_t67" style="position:absolute;margin-left:277.35pt;margin-top:1.9pt;width:4.3pt;height:17.25pt;z-index:25184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" adj="18908" fillcolor="#4f81bd [3204]" strokecolor="#243f60 [1604]" strokeweight="2pt"/>
            </w:pict>
          </mc:Fallback>
        </mc:AlternateContent>
      </w:r>
    </w:p>
    <w:p w:rsidR="007B2B7B" w:rsidRPr="006E2F20" w:rsidRDefault="007B2B7B" w:rsidP="007B2B7B">
      <w:pPr>
        <w:ind w:firstLine="720"/>
        <w:jc w:val="center"/>
        <w:rPr>
          <w:rFonts w:eastAsia="Times New Roman"/>
          <w:sz w:val="20"/>
          <w:szCs w:val="20"/>
        </w:rPr>
      </w:pPr>
    </w:p>
    <w:p w:rsidR="007B2B7B" w:rsidRPr="006E2F20" w:rsidRDefault="007B2B7B" w:rsidP="007B2B7B">
      <w:pPr>
        <w:ind w:firstLine="720"/>
        <w:jc w:val="center"/>
        <w:rPr>
          <w:rFonts w:eastAsia="Times New Roman"/>
          <w:sz w:val="20"/>
          <w:szCs w:val="20"/>
        </w:rPr>
      </w:pPr>
      <w:r w:rsidRPr="006E2F20">
        <w:rPr>
          <w:noProof/>
          <w:sz w:val="20"/>
          <w:szCs w:val="20"/>
        </w:rPr>
        <mc:AlternateContent>
          <mc:Choice Requires="wps">
            <w:drawing>
              <wp:anchor distT="0" distB="0" distL="114300" distR="114300" simplePos="0" relativeHeight="251858432" behindDoc="0" locked="0" layoutInCell="1" allowOverlap="1" wp14:anchorId="1B03B5AA" wp14:editId="785D010A">
                <wp:simplePos x="0" y="0"/>
                <wp:positionH relativeFrom="column">
                  <wp:posOffset>163286</wp:posOffset>
                </wp:positionH>
                <wp:positionV relativeFrom="paragraph">
                  <wp:posOffset>61687</wp:posOffset>
                </wp:positionV>
                <wp:extent cx="1025434" cy="390162"/>
                <wp:effectExtent l="0" t="0" r="22860" b="10160"/>
                <wp:wrapNone/>
                <wp:docPr id="1159" name="Text Box 1159"/>
                <wp:cNvGraphicFramePr/>
                <a:graphic xmlns:a="http://schemas.openxmlformats.org/drawingml/2006/main">
                  <a:graphicData uri="http://schemas.microsoft.com/office/word/2010/wordprocessingShape">
                    <wps:wsp>
                      <wps:cNvSpPr txBox="1"/>
                      <wps:spPr>
                        <a:xfrm>
                          <a:off x="0" y="0"/>
                          <a:ext cx="1025434" cy="39016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2B7B" w:rsidRPr="00453F28" w:rsidRDefault="007B2B7B" w:rsidP="007B2B7B">
                            <w:pPr>
                              <w:jc w:val="center"/>
                              <w:rPr>
                                <w:b/>
                                <w:sz w:val="20"/>
                                <w:szCs w:val="20"/>
                              </w:rPr>
                            </w:pPr>
                            <w:r>
                              <w:rPr>
                                <w:b/>
                                <w:sz w:val="20"/>
                                <w:szCs w:val="20"/>
                              </w:rPr>
                              <w:t xml:space="preserve">Care Plan </w:t>
                            </w:r>
                            <w:r w:rsidRPr="00453F28">
                              <w:rPr>
                                <w:b/>
                                <w:sz w:val="20"/>
                                <w:szCs w:val="20"/>
                              </w:rPr>
                              <w:t>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59" o:spid="_x0000_s1219" type="#_x0000_t202" style="position:absolute;left:0;text-align:left;margin-left:12.85pt;margin-top:4.85pt;width:80.75pt;height:30.7pt;z-index:25185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" fillcolor="white [3201]" strokeweight=".5pt">
                <v:textbox>
                  <w:txbxContent>
                    <w:p w:rsidR="007B2B7B" w:rsidRPr="00453F28" w:rsidRDefault="007B2B7B" w:rsidP="007B2B7B">
                      <w:pPr>
                        <w:jc w:val="center"/>
                        <w:rPr>
                          <w:b/>
                          <w:sz w:val="20"/>
                          <w:szCs w:val="20"/>
                        </w:rPr>
                      </w:pPr>
                      <w:r>
                        <w:rPr>
                          <w:b/>
                          <w:sz w:val="20"/>
                          <w:szCs w:val="20"/>
                        </w:rPr>
                        <w:t xml:space="preserve">Care Plan </w:t>
                      </w:r>
                      <w:r w:rsidRPr="00453F28">
                        <w:rPr>
                          <w:b/>
                          <w:sz w:val="20"/>
                          <w:szCs w:val="20"/>
                        </w:rPr>
                        <w:t>SERVICES</w:t>
                      </w:r>
                    </w:p>
                  </w:txbxContent>
                </v:textbox>
              </v:shape>
            </w:pict>
          </mc:Fallback>
        </mc:AlternateContent>
      </w:r>
      <w:r w:rsidRPr="006E2F20">
        <w:rPr>
          <w:noProof/>
          <w:sz w:val="20"/>
          <w:szCs w:val="20"/>
        </w:rPr>
        <mc:AlternateContent>
          <mc:Choice Requires="wps">
            <w:drawing>
              <wp:anchor distT="0" distB="0" distL="114300" distR="114300" simplePos="0" relativeHeight="251844096" behindDoc="0" locked="0" layoutInCell="1" allowOverlap="1" wp14:anchorId="22FDC503" wp14:editId="7C7BB89C">
                <wp:simplePos x="0" y="0"/>
                <wp:positionH relativeFrom="column">
                  <wp:posOffset>4956175</wp:posOffset>
                </wp:positionH>
                <wp:positionV relativeFrom="paragraph">
                  <wp:posOffset>22225</wp:posOffset>
                </wp:positionV>
                <wp:extent cx="1344930" cy="238125"/>
                <wp:effectExtent l="0" t="0" r="26670" b="28575"/>
                <wp:wrapNone/>
                <wp:docPr id="8" name="Text Box 8"/>
                <wp:cNvGraphicFramePr/>
                <a:graphic xmlns:a="http://schemas.openxmlformats.org/drawingml/2006/main">
                  <a:graphicData uri="http://schemas.microsoft.com/office/word/2010/wordprocessingShape">
                    <wps:wsp>
                      <wps:cNvSpPr txBox="1"/>
                      <wps:spPr>
                        <a:xfrm>
                          <a:off x="0" y="0"/>
                          <a:ext cx="1344930"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2B7B" w:rsidRPr="00453F28" w:rsidRDefault="007B2B7B" w:rsidP="007B2B7B">
                            <w:pPr>
                              <w:jc w:val="center"/>
                              <w:rPr>
                                <w:b/>
                                <w:sz w:val="20"/>
                                <w:szCs w:val="20"/>
                              </w:rPr>
                            </w:pPr>
                            <w:r w:rsidRPr="00453F28">
                              <w:rPr>
                                <w:b/>
                                <w:sz w:val="20"/>
                                <w:szCs w:val="20"/>
                              </w:rPr>
                              <w:t>BH Providers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8" o:spid="_x0000_s1220" type="#_x0000_t202" style="position:absolute;left:0;text-align:left;margin-left:390.25pt;margin-top:1.75pt;width:105.9pt;height:18.75pt;z-index:251844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" fillcolor="white [3201]" strokeweight=".5pt">
                <v:textbox>
                  <w:txbxContent>
                    <w:p w:rsidR="007B2B7B" w:rsidRPr="00453F28" w:rsidRDefault="007B2B7B" w:rsidP="007B2B7B">
                      <w:pPr>
                        <w:jc w:val="center"/>
                        <w:rPr>
                          <w:b/>
                          <w:sz w:val="20"/>
                          <w:szCs w:val="20"/>
                        </w:rPr>
                      </w:pPr>
                      <w:r w:rsidRPr="00453F28">
                        <w:rPr>
                          <w:b/>
                          <w:sz w:val="20"/>
                          <w:szCs w:val="20"/>
                        </w:rPr>
                        <w:t>BH Providers</w:t>
                      </w:r>
                    </w:p>
                  </w:txbxContent>
                </v:textbox>
              </v:shape>
            </w:pict>
          </mc:Fallback>
        </mc:AlternateContent>
      </w:r>
      <w:r w:rsidRPr="006E2F20">
        <w:rPr>
          <w:noProof/>
          <w:sz w:val="20"/>
          <w:szCs w:val="20"/>
        </w:rPr>
        <mc:AlternateContent>
          <mc:Choice Requires="wps">
            <w:drawing>
              <wp:anchor distT="0" distB="0" distL="114300" distR="114300" simplePos="0" relativeHeight="251843072" behindDoc="0" locked="0" layoutInCell="1" allowOverlap="1" wp14:anchorId="3166458A" wp14:editId="3B868531">
                <wp:simplePos x="0" y="0"/>
                <wp:positionH relativeFrom="column">
                  <wp:posOffset>2762431</wp:posOffset>
                </wp:positionH>
                <wp:positionV relativeFrom="paragraph">
                  <wp:posOffset>20320</wp:posOffset>
                </wp:positionV>
                <wp:extent cx="1597660" cy="756285"/>
                <wp:effectExtent l="0" t="0" r="21590" b="24765"/>
                <wp:wrapNone/>
                <wp:docPr id="1160" name="Text Box 1160"/>
                <wp:cNvGraphicFramePr/>
                <a:graphic xmlns:a="http://schemas.openxmlformats.org/drawingml/2006/main">
                  <a:graphicData uri="http://schemas.microsoft.com/office/word/2010/wordprocessingShape">
                    <wps:wsp>
                      <wps:cNvSpPr txBox="1"/>
                      <wps:spPr>
                        <a:xfrm>
                          <a:off x="0" y="0"/>
                          <a:ext cx="1597660" cy="7562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2B7B" w:rsidRPr="00453F28" w:rsidRDefault="007B2B7B" w:rsidP="007B2B7B">
                            <w:pPr>
                              <w:jc w:val="center"/>
                              <w:rPr>
                                <w:b/>
                                <w:sz w:val="20"/>
                                <w:szCs w:val="20"/>
                              </w:rPr>
                            </w:pPr>
                            <w:r w:rsidRPr="00453F28">
                              <w:rPr>
                                <w:b/>
                                <w:sz w:val="20"/>
                                <w:szCs w:val="20"/>
                              </w:rPr>
                              <w:t>ASSESSMENT TEAM</w:t>
                            </w:r>
                          </w:p>
                          <w:p w:rsidR="007B2B7B" w:rsidRPr="00453F28" w:rsidRDefault="007B2B7B" w:rsidP="007B2B7B">
                            <w:pPr>
                              <w:jc w:val="center"/>
                              <w:rPr>
                                <w:b/>
                                <w:sz w:val="20"/>
                                <w:szCs w:val="20"/>
                              </w:rPr>
                            </w:pPr>
                            <w:r w:rsidRPr="00453F28">
                              <w:rPr>
                                <w:b/>
                                <w:sz w:val="20"/>
                                <w:szCs w:val="20"/>
                              </w:rPr>
                              <w:t>LTSS CPs subcontract for Subject Matter Expertise for  assessments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60" o:spid="_x0000_s1221" type="#_x0000_t202" style="position:absolute;left:0;text-align:left;margin-left:217.5pt;margin-top:1.6pt;width:125.8pt;height:59.55pt;z-index:25184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" fillcolor="white [3201]" strokeweight=".5pt">
                <v:textbox>
                  <w:txbxContent>
                    <w:p w:rsidR="007B2B7B" w:rsidRPr="00453F28" w:rsidRDefault="007B2B7B" w:rsidP="007B2B7B">
                      <w:pPr>
                        <w:jc w:val="center"/>
                        <w:rPr>
                          <w:b/>
                          <w:sz w:val="20"/>
                          <w:szCs w:val="20"/>
                        </w:rPr>
                      </w:pPr>
                      <w:r w:rsidRPr="00453F28">
                        <w:rPr>
                          <w:b/>
                          <w:sz w:val="20"/>
                          <w:szCs w:val="20"/>
                        </w:rPr>
                        <w:t>ASSESSMENT TEAM</w:t>
                      </w:r>
                    </w:p>
                    <w:p w:rsidR="007B2B7B" w:rsidRPr="00453F28" w:rsidRDefault="007B2B7B" w:rsidP="007B2B7B">
                      <w:pPr>
                        <w:jc w:val="center"/>
                        <w:rPr>
                          <w:b/>
                          <w:sz w:val="20"/>
                          <w:szCs w:val="20"/>
                        </w:rPr>
                      </w:pPr>
                      <w:r w:rsidRPr="00453F28">
                        <w:rPr>
                          <w:b/>
                          <w:sz w:val="20"/>
                          <w:szCs w:val="20"/>
                        </w:rPr>
                        <w:t>LTSS CPs subcontract for Subject Matter Expertise for  assessments</w:t>
                      </w:r>
                    </w:p>
                  </w:txbxContent>
                </v:textbox>
              </v:shape>
            </w:pict>
          </mc:Fallback>
        </mc:AlternateContent>
      </w:r>
    </w:p>
    <w:p w:rsidR="007B2B7B" w:rsidRPr="006E2F20" w:rsidRDefault="007B2B7B" w:rsidP="007B2B7B">
      <w:pPr>
        <w:ind w:firstLine="720"/>
        <w:jc w:val="center"/>
        <w:rPr>
          <w:rFonts w:eastAsia="Times New Roman"/>
          <w:sz w:val="20"/>
          <w:szCs w:val="20"/>
        </w:rPr>
      </w:pPr>
    </w:p>
    <w:p w:rsidR="007B2B7B" w:rsidRPr="006E2F20" w:rsidRDefault="007B2B7B" w:rsidP="007B2B7B">
      <w:pPr>
        <w:ind w:firstLine="720"/>
        <w:jc w:val="center"/>
        <w:rPr>
          <w:rFonts w:eastAsia="Times New Roman"/>
          <w:sz w:val="20"/>
          <w:szCs w:val="20"/>
        </w:rPr>
      </w:pPr>
      <w:r w:rsidRPr="006E2F20">
        <w:rPr>
          <w:noProof/>
          <w:sz w:val="20"/>
          <w:szCs w:val="20"/>
        </w:rPr>
        <mc:AlternateContent>
          <mc:Choice Requires="wps">
            <w:drawing>
              <wp:anchor distT="0" distB="0" distL="114300" distR="114300" simplePos="0" relativeHeight="251845120" behindDoc="0" locked="0" layoutInCell="1" allowOverlap="1" wp14:anchorId="32B07C46" wp14:editId="379C4A3E">
                <wp:simplePos x="0" y="0"/>
                <wp:positionH relativeFrom="column">
                  <wp:posOffset>4956810</wp:posOffset>
                </wp:positionH>
                <wp:positionV relativeFrom="paragraph">
                  <wp:posOffset>57150</wp:posOffset>
                </wp:positionV>
                <wp:extent cx="1306195" cy="263525"/>
                <wp:effectExtent l="0" t="0" r="27305" b="22225"/>
                <wp:wrapNone/>
                <wp:docPr id="1161" name="Text Box 1161"/>
                <wp:cNvGraphicFramePr/>
                <a:graphic xmlns:a="http://schemas.openxmlformats.org/drawingml/2006/main">
                  <a:graphicData uri="http://schemas.microsoft.com/office/word/2010/wordprocessingShape">
                    <wps:wsp>
                      <wps:cNvSpPr txBox="1"/>
                      <wps:spPr>
                        <a:xfrm>
                          <a:off x="0" y="0"/>
                          <a:ext cx="1306195" cy="263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2B7B" w:rsidRPr="00453F28" w:rsidRDefault="007B2B7B" w:rsidP="007B2B7B">
                            <w:pPr>
                              <w:jc w:val="center"/>
                              <w:rPr>
                                <w:b/>
                                <w:sz w:val="20"/>
                                <w:szCs w:val="20"/>
                              </w:rPr>
                            </w:pPr>
                            <w:r w:rsidRPr="00453F28">
                              <w:rPr>
                                <w:b/>
                                <w:sz w:val="20"/>
                                <w:szCs w:val="20"/>
                              </w:rPr>
                              <w:t>ID/DD Providers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61" o:spid="_x0000_s1222" type="#_x0000_t202" style="position:absolute;left:0;text-align:left;margin-left:390.3pt;margin-top:4.5pt;width:102.85pt;height:20.75pt;z-index:25184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" fillcolor="white [3201]" strokeweight=".5pt">
                <v:textbox>
                  <w:txbxContent>
                    <w:p w:rsidR="007B2B7B" w:rsidRPr="00453F28" w:rsidRDefault="007B2B7B" w:rsidP="007B2B7B">
                      <w:pPr>
                        <w:jc w:val="center"/>
                        <w:rPr>
                          <w:b/>
                          <w:sz w:val="20"/>
                          <w:szCs w:val="20"/>
                        </w:rPr>
                      </w:pPr>
                      <w:r w:rsidRPr="00453F28">
                        <w:rPr>
                          <w:b/>
                          <w:sz w:val="20"/>
                          <w:szCs w:val="20"/>
                        </w:rPr>
                        <w:t>ID/DD Providers</w:t>
                      </w:r>
                    </w:p>
                  </w:txbxContent>
                </v:textbox>
              </v:shape>
            </w:pict>
          </mc:Fallback>
        </mc:AlternateContent>
      </w:r>
      <w:r w:rsidRPr="006E2F20">
        <w:rPr>
          <w:noProof/>
          <w:sz w:val="20"/>
          <w:szCs w:val="20"/>
        </w:rPr>
        <mc:AlternateContent>
          <mc:Choice Requires="wps">
            <w:drawing>
              <wp:anchor distT="0" distB="0" distL="114300" distR="114300" simplePos="0" relativeHeight="251862528" behindDoc="0" locked="0" layoutInCell="1" allowOverlap="1" wp14:anchorId="01D90AF0" wp14:editId="7E854791">
                <wp:simplePos x="0" y="0"/>
                <wp:positionH relativeFrom="column">
                  <wp:posOffset>4428490</wp:posOffset>
                </wp:positionH>
                <wp:positionV relativeFrom="paragraph">
                  <wp:posOffset>18415</wp:posOffset>
                </wp:positionV>
                <wp:extent cx="430530" cy="45085"/>
                <wp:effectExtent l="0" t="0" r="26670" b="12065"/>
                <wp:wrapNone/>
                <wp:docPr id="1162" name="Left Arrow 1162"/>
                <wp:cNvGraphicFramePr/>
                <a:graphic xmlns:a="http://schemas.openxmlformats.org/drawingml/2006/main">
                  <a:graphicData uri="http://schemas.microsoft.com/office/word/2010/wordprocessingShape">
                    <wps:wsp>
                      <wps:cNvSpPr/>
                      <wps:spPr>
                        <a:xfrm>
                          <a:off x="0" y="0"/>
                          <a:ext cx="430530" cy="4508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 Arrow 1162" o:spid="_x0000_s1026" type="#_x0000_t66" style="position:absolute;margin-left:348.7pt;margin-top:1.45pt;width:33.9pt;height:3.55pt;z-index:251862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" adj="1131" fillcolor="#4f81bd [3204]" strokecolor="#243f60 [1604]" strokeweight="2pt"/>
            </w:pict>
          </mc:Fallback>
        </mc:AlternateContent>
      </w:r>
    </w:p>
    <w:p w:rsidR="007B2B7B" w:rsidRPr="006E2F20" w:rsidRDefault="007B2B7B" w:rsidP="007B2B7B">
      <w:pPr>
        <w:ind w:firstLine="720"/>
        <w:jc w:val="center"/>
        <w:rPr>
          <w:rFonts w:eastAsia="Times New Roman"/>
          <w:sz w:val="20"/>
          <w:szCs w:val="20"/>
        </w:rPr>
      </w:pPr>
      <w:r w:rsidRPr="006E2F20">
        <w:rPr>
          <w:noProof/>
          <w:sz w:val="20"/>
          <w:szCs w:val="20"/>
        </w:rPr>
        <w:lastRenderedPageBreak/>
        <mc:AlternateContent>
          <mc:Choice Requires="wps">
            <w:drawing>
              <wp:anchor distT="0" distB="0" distL="114300" distR="114300" simplePos="0" relativeHeight="251856384" behindDoc="0" locked="0" layoutInCell="1" allowOverlap="1" wp14:anchorId="5A17703A" wp14:editId="503936B6">
                <wp:simplePos x="0" y="0"/>
                <wp:positionH relativeFrom="column">
                  <wp:posOffset>-34652</wp:posOffset>
                </wp:positionH>
                <wp:positionV relativeFrom="paragraph">
                  <wp:posOffset>93980</wp:posOffset>
                </wp:positionV>
                <wp:extent cx="1400175" cy="244112"/>
                <wp:effectExtent l="0" t="0" r="28575" b="22860"/>
                <wp:wrapNone/>
                <wp:docPr id="1163" name="Text Box 1163"/>
                <wp:cNvGraphicFramePr/>
                <a:graphic xmlns:a="http://schemas.openxmlformats.org/drawingml/2006/main">
                  <a:graphicData uri="http://schemas.microsoft.com/office/word/2010/wordprocessingShape">
                    <wps:wsp>
                      <wps:cNvSpPr txBox="1"/>
                      <wps:spPr>
                        <a:xfrm>
                          <a:off x="0" y="0"/>
                          <a:ext cx="1400175" cy="24411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2B7B" w:rsidRPr="00453F28" w:rsidRDefault="007B2B7B" w:rsidP="007B2B7B">
                            <w:pPr>
                              <w:rPr>
                                <w:b/>
                                <w:sz w:val="20"/>
                                <w:szCs w:val="20"/>
                              </w:rPr>
                            </w:pPr>
                            <w:r>
                              <w:rPr>
                                <w:b/>
                                <w:sz w:val="20"/>
                                <w:szCs w:val="20"/>
                              </w:rPr>
                              <w:t xml:space="preserve">    </w:t>
                            </w:r>
                            <w:r w:rsidRPr="00453F28">
                              <w:rPr>
                                <w:b/>
                                <w:sz w:val="20"/>
                                <w:szCs w:val="20"/>
                              </w:rPr>
                              <w:t>Disability Providers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63" o:spid="_x0000_s1223" type="#_x0000_t202" style="position:absolute;left:0;text-align:left;margin-left:-2.75pt;margin-top:7.4pt;width:110.25pt;height:19.2pt;z-index:25185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" fillcolor="white [3201]" strokeweight=".5pt">
                <v:textbox>
                  <w:txbxContent>
                    <w:p w:rsidR="007B2B7B" w:rsidRPr="00453F28" w:rsidRDefault="007B2B7B" w:rsidP="007B2B7B">
                      <w:pPr>
                        <w:rPr>
                          <w:b/>
                          <w:sz w:val="20"/>
                          <w:szCs w:val="20"/>
                        </w:rPr>
                      </w:pPr>
                      <w:r>
                        <w:rPr>
                          <w:b/>
                          <w:sz w:val="20"/>
                          <w:szCs w:val="20"/>
                        </w:rPr>
                        <w:t xml:space="preserve">    </w:t>
                      </w:r>
                      <w:r w:rsidRPr="00453F28">
                        <w:rPr>
                          <w:b/>
                          <w:sz w:val="20"/>
                          <w:szCs w:val="20"/>
                        </w:rPr>
                        <w:t>Disability Providers</w:t>
                      </w:r>
                    </w:p>
                  </w:txbxContent>
                </v:textbox>
              </v:shape>
            </w:pict>
          </mc:Fallback>
        </mc:AlternateContent>
      </w:r>
    </w:p>
    <w:p w:rsidR="007B2B7B" w:rsidRPr="006E2F20" w:rsidRDefault="007B2B7B" w:rsidP="007B2B7B">
      <w:pPr>
        <w:ind w:firstLine="720"/>
        <w:jc w:val="center"/>
        <w:rPr>
          <w:rFonts w:eastAsia="Times New Roman"/>
          <w:sz w:val="20"/>
          <w:szCs w:val="20"/>
        </w:rPr>
      </w:pPr>
    </w:p>
    <w:p w:rsidR="007B2B7B" w:rsidRPr="006E2F20" w:rsidRDefault="007B2B7B" w:rsidP="007B2B7B">
      <w:pPr>
        <w:ind w:firstLine="720"/>
        <w:jc w:val="center"/>
        <w:rPr>
          <w:rFonts w:eastAsia="Times New Roman"/>
          <w:sz w:val="20"/>
          <w:szCs w:val="20"/>
        </w:rPr>
      </w:pPr>
      <w:r w:rsidRPr="006E2F20">
        <w:rPr>
          <w:noProof/>
          <w:sz w:val="20"/>
          <w:szCs w:val="20"/>
        </w:rPr>
        <mc:AlternateContent>
          <mc:Choice Requires="wps">
            <w:drawing>
              <wp:anchor distT="0" distB="0" distL="114300" distR="114300" simplePos="0" relativeHeight="251853312" behindDoc="0" locked="0" layoutInCell="1" allowOverlap="1" wp14:anchorId="3DF4D58F" wp14:editId="74B1A8EF">
                <wp:simplePos x="0" y="0"/>
                <wp:positionH relativeFrom="column">
                  <wp:posOffset>-38100</wp:posOffset>
                </wp:positionH>
                <wp:positionV relativeFrom="paragraph">
                  <wp:posOffset>108585</wp:posOffset>
                </wp:positionV>
                <wp:extent cx="1304925" cy="276225"/>
                <wp:effectExtent l="0" t="0" r="28575" b="28575"/>
                <wp:wrapNone/>
                <wp:docPr id="1164" name="Text Box 1164"/>
                <wp:cNvGraphicFramePr/>
                <a:graphic xmlns:a="http://schemas.openxmlformats.org/drawingml/2006/main">
                  <a:graphicData uri="http://schemas.microsoft.com/office/word/2010/wordprocessingShape">
                    <wps:wsp>
                      <wps:cNvSpPr txBox="1"/>
                      <wps:spPr>
                        <a:xfrm>
                          <a:off x="0" y="0"/>
                          <a:ext cx="1304925"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2B7B" w:rsidRPr="00453F28" w:rsidRDefault="007B2B7B" w:rsidP="007B2B7B">
                            <w:pPr>
                              <w:rPr>
                                <w:b/>
                                <w:sz w:val="20"/>
                                <w:szCs w:val="20"/>
                              </w:rPr>
                            </w:pPr>
                            <w:r>
                              <w:rPr>
                                <w:b/>
                                <w:sz w:val="20"/>
                                <w:szCs w:val="20"/>
                              </w:rPr>
                              <w:t xml:space="preserve">          </w:t>
                            </w:r>
                            <w:r w:rsidRPr="00453F28">
                              <w:rPr>
                                <w:b/>
                                <w:sz w:val="20"/>
                                <w:szCs w:val="20"/>
                              </w:rPr>
                              <w:t>BH providers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164" o:spid="_x0000_s1224" type="#_x0000_t202" style="position:absolute;left:0;text-align:left;margin-left:-3pt;margin-top:8.55pt;width:102.75pt;height:21.75pt;z-index:251853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" fillcolor="white [3201]" strokeweight=".5pt">
                <v:textbox>
                  <w:txbxContent>
                    <w:p w:rsidR="007B2B7B" w:rsidRPr="00453F28" w:rsidRDefault="007B2B7B" w:rsidP="007B2B7B">
                      <w:pPr>
                        <w:rPr>
                          <w:b/>
                          <w:sz w:val="20"/>
                          <w:szCs w:val="20"/>
                        </w:rPr>
                      </w:pPr>
                      <w:r>
                        <w:rPr>
                          <w:b/>
                          <w:sz w:val="20"/>
                          <w:szCs w:val="20"/>
                        </w:rPr>
                        <w:t xml:space="preserve">          </w:t>
                      </w:r>
                      <w:r w:rsidRPr="00453F28">
                        <w:rPr>
                          <w:b/>
                          <w:sz w:val="20"/>
                          <w:szCs w:val="20"/>
                        </w:rPr>
                        <w:t>BH providers</w:t>
                      </w:r>
                    </w:p>
                  </w:txbxContent>
                </v:textbox>
              </v:shape>
            </w:pict>
          </mc:Fallback>
        </mc:AlternateContent>
      </w:r>
      <w:r w:rsidRPr="006E2F20">
        <w:rPr>
          <w:noProof/>
          <w:sz w:val="20"/>
          <w:szCs w:val="20"/>
        </w:rPr>
        <mc:AlternateContent>
          <mc:Choice Requires="wps">
            <w:drawing>
              <wp:anchor distT="0" distB="0" distL="114300" distR="114300" simplePos="0" relativeHeight="251850240" behindDoc="0" locked="0" layoutInCell="1" allowOverlap="1" wp14:anchorId="5EAADECB" wp14:editId="5C320941">
                <wp:simplePos x="0" y="0"/>
                <wp:positionH relativeFrom="column">
                  <wp:posOffset>3520349</wp:posOffset>
                </wp:positionH>
                <wp:positionV relativeFrom="paragraph">
                  <wp:posOffset>115842</wp:posOffset>
                </wp:positionV>
                <wp:extent cx="45085" cy="327025"/>
                <wp:effectExtent l="19050" t="0" r="31115" b="34925"/>
                <wp:wrapNone/>
                <wp:docPr id="1165" name="Down Arrow 1165"/>
                <wp:cNvGraphicFramePr/>
                <a:graphic xmlns:a="http://schemas.openxmlformats.org/drawingml/2006/main">
                  <a:graphicData uri="http://schemas.microsoft.com/office/word/2010/wordprocessingShape">
                    <wps:wsp>
                      <wps:cNvSpPr/>
                      <wps:spPr>
                        <a:xfrm flipH="1">
                          <a:off x="0" y="0"/>
                          <a:ext cx="45085" cy="3270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Down Arrow 1165" o:spid="_x0000_s1026" type="#_x0000_t67" style="position:absolute;margin-left:277.2pt;margin-top:9.1pt;width:3.55pt;height:25.75pt;flip:x;z-index:251850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" adj="20111" fillcolor="#4f81bd [3204]" strokecolor="#243f60 [1604]" strokeweight="2pt"/>
            </w:pict>
          </mc:Fallback>
        </mc:AlternateContent>
      </w:r>
      <w:r w:rsidRPr="006E2F20">
        <w:rPr>
          <w:noProof/>
          <w:sz w:val="20"/>
          <w:szCs w:val="20"/>
        </w:rPr>
        <mc:AlternateContent>
          <mc:Choice Requires="wps">
            <w:drawing>
              <wp:anchor distT="0" distB="0" distL="114300" distR="114300" simplePos="0" relativeHeight="251846144" behindDoc="0" locked="0" layoutInCell="1" allowOverlap="1" wp14:anchorId="0699F7F4" wp14:editId="5BCA1059">
                <wp:simplePos x="0" y="0"/>
                <wp:positionH relativeFrom="column">
                  <wp:posOffset>4956991</wp:posOffset>
                </wp:positionH>
                <wp:positionV relativeFrom="paragraph">
                  <wp:posOffset>38735</wp:posOffset>
                </wp:positionV>
                <wp:extent cx="1306286" cy="234315"/>
                <wp:effectExtent l="0" t="0" r="27305" b="13335"/>
                <wp:wrapNone/>
                <wp:docPr id="10" name="Text Box 10"/>
                <wp:cNvGraphicFramePr/>
                <a:graphic xmlns:a="http://schemas.openxmlformats.org/drawingml/2006/main">
                  <a:graphicData uri="http://schemas.microsoft.com/office/word/2010/wordprocessingShape">
                    <wps:wsp>
                      <wps:cNvSpPr txBox="1"/>
                      <wps:spPr>
                        <a:xfrm>
                          <a:off x="0" y="0"/>
                          <a:ext cx="1306286" cy="2343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2B7B" w:rsidRPr="00F851D6" w:rsidRDefault="007B2B7B" w:rsidP="007B2B7B">
                            <w:pPr>
                              <w:jc w:val="center"/>
                              <w:rPr>
                                <w:b/>
                              </w:rPr>
                            </w:pPr>
                            <w:r w:rsidRPr="00453F28">
                              <w:rPr>
                                <w:b/>
                                <w:sz w:val="20"/>
                                <w:szCs w:val="20"/>
                              </w:rPr>
                              <w:t>Physically Disabled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225" type="#_x0000_t202" style="position:absolute;left:0;text-align:left;margin-left:390.3pt;margin-top:3.05pt;width:102.85pt;height:18.45pt;z-index:25184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" fillcolor="white [3201]" strokeweight=".5pt">
                <v:textbox>
                  <w:txbxContent>
                    <w:p w:rsidR="007B2B7B" w:rsidRPr="00F851D6" w:rsidRDefault="007B2B7B" w:rsidP="007B2B7B">
                      <w:pPr>
                        <w:jc w:val="center"/>
                        <w:rPr>
                          <w:b/>
                        </w:rPr>
                      </w:pPr>
                      <w:r w:rsidRPr="00453F28">
                        <w:rPr>
                          <w:b/>
                          <w:sz w:val="20"/>
                          <w:szCs w:val="20"/>
                        </w:rPr>
                        <w:t>Physically Disabled</w:t>
                      </w:r>
                    </w:p>
                  </w:txbxContent>
                </v:textbox>
              </v:shape>
            </w:pict>
          </mc:Fallback>
        </mc:AlternateContent>
      </w:r>
    </w:p>
    <w:p w:rsidR="007B2B7B" w:rsidRPr="006E2F20" w:rsidRDefault="007B2B7B" w:rsidP="007B2B7B">
      <w:pPr>
        <w:ind w:firstLine="720"/>
        <w:jc w:val="center"/>
        <w:rPr>
          <w:rFonts w:eastAsia="Times New Roman"/>
          <w:sz w:val="20"/>
          <w:szCs w:val="20"/>
        </w:rPr>
      </w:pPr>
    </w:p>
    <w:p w:rsidR="007B2B7B" w:rsidRPr="006E2F20" w:rsidRDefault="007B2B7B" w:rsidP="007B2B7B">
      <w:pPr>
        <w:ind w:firstLine="720"/>
        <w:jc w:val="center"/>
        <w:rPr>
          <w:rFonts w:eastAsia="Times New Roman"/>
          <w:sz w:val="20"/>
          <w:szCs w:val="20"/>
        </w:rPr>
      </w:pPr>
      <w:r w:rsidRPr="006E2F20">
        <w:rPr>
          <w:noProof/>
          <w:sz w:val="20"/>
          <w:szCs w:val="20"/>
        </w:rPr>
        <mc:AlternateContent>
          <mc:Choice Requires="wps">
            <w:drawing>
              <wp:anchor distT="0" distB="0" distL="114300" distR="114300" simplePos="0" relativeHeight="251851264" behindDoc="0" locked="0" layoutInCell="1" allowOverlap="1" wp14:anchorId="6325D168" wp14:editId="3CDF5CD8">
                <wp:simplePos x="0" y="0"/>
                <wp:positionH relativeFrom="column">
                  <wp:posOffset>1697990</wp:posOffset>
                </wp:positionH>
                <wp:positionV relativeFrom="paragraph">
                  <wp:posOffset>5715</wp:posOffset>
                </wp:positionV>
                <wp:extent cx="887730" cy="955040"/>
                <wp:effectExtent l="0" t="0" r="26670" b="16510"/>
                <wp:wrapNone/>
                <wp:docPr id="1166" name="Text Box 1166"/>
                <wp:cNvGraphicFramePr/>
                <a:graphic xmlns:a="http://schemas.openxmlformats.org/drawingml/2006/main">
                  <a:graphicData uri="http://schemas.microsoft.com/office/word/2010/wordprocessingShape">
                    <wps:wsp>
                      <wps:cNvSpPr txBox="1"/>
                      <wps:spPr>
                        <a:xfrm>
                          <a:off x="0" y="0"/>
                          <a:ext cx="887730" cy="9550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2B7B" w:rsidRPr="00453F28" w:rsidRDefault="007B2B7B" w:rsidP="007B2B7B">
                            <w:pPr>
                              <w:jc w:val="center"/>
                              <w:rPr>
                                <w:b/>
                                <w:sz w:val="20"/>
                                <w:szCs w:val="20"/>
                              </w:rPr>
                            </w:pPr>
                            <w:r w:rsidRPr="00453F28">
                              <w:rPr>
                                <w:b/>
                                <w:sz w:val="20"/>
                                <w:szCs w:val="20"/>
                              </w:rPr>
                              <w:t>ENROLLEES</w:t>
                            </w:r>
                          </w:p>
                          <w:p w:rsidR="007B2B7B" w:rsidRPr="00453F28" w:rsidRDefault="007B2B7B" w:rsidP="007B2B7B">
                            <w:pPr>
                              <w:jc w:val="center"/>
                              <w:rPr>
                                <w:b/>
                                <w:sz w:val="20"/>
                                <w:szCs w:val="20"/>
                              </w:rPr>
                            </w:pPr>
                            <w:r w:rsidRPr="00453F28">
                              <w:rPr>
                                <w:b/>
                                <w:sz w:val="20"/>
                                <w:szCs w:val="20"/>
                              </w:rPr>
                              <w:t>given 3 referrals for all service options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66" o:spid="_x0000_s1226" type="#_x0000_t202" style="position:absolute;left:0;text-align:left;margin-left:133.7pt;margin-top:.45pt;width:69.9pt;height:75.2pt;z-index:25185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" fillcolor="white [3201]" strokeweight=".5pt">
                <v:textbox>
                  <w:txbxContent>
                    <w:p w:rsidR="007B2B7B" w:rsidRPr="00453F28" w:rsidRDefault="007B2B7B" w:rsidP="007B2B7B">
                      <w:pPr>
                        <w:jc w:val="center"/>
                        <w:rPr>
                          <w:b/>
                          <w:sz w:val="20"/>
                          <w:szCs w:val="20"/>
                        </w:rPr>
                      </w:pPr>
                      <w:r w:rsidRPr="00453F28">
                        <w:rPr>
                          <w:b/>
                          <w:sz w:val="20"/>
                          <w:szCs w:val="20"/>
                        </w:rPr>
                        <w:t>ENROLLEES</w:t>
                      </w:r>
                    </w:p>
                    <w:p w:rsidR="007B2B7B" w:rsidRPr="00453F28" w:rsidRDefault="007B2B7B" w:rsidP="007B2B7B">
                      <w:pPr>
                        <w:jc w:val="center"/>
                        <w:rPr>
                          <w:b/>
                          <w:sz w:val="20"/>
                          <w:szCs w:val="20"/>
                        </w:rPr>
                      </w:pPr>
                      <w:r w:rsidRPr="00453F28">
                        <w:rPr>
                          <w:b/>
                          <w:sz w:val="20"/>
                          <w:szCs w:val="20"/>
                        </w:rPr>
                        <w:t>given 3 referrals for all service options</w:t>
                      </w:r>
                    </w:p>
                  </w:txbxContent>
                </v:textbox>
              </v:shape>
            </w:pict>
          </mc:Fallback>
        </mc:AlternateContent>
      </w:r>
    </w:p>
    <w:p w:rsidR="007B2B7B" w:rsidRPr="006E2F20" w:rsidRDefault="007B2B7B" w:rsidP="007B2B7B">
      <w:pPr>
        <w:ind w:firstLine="720"/>
        <w:jc w:val="center"/>
        <w:rPr>
          <w:rFonts w:eastAsia="Times New Roman"/>
          <w:sz w:val="20"/>
          <w:szCs w:val="20"/>
        </w:rPr>
      </w:pPr>
      <w:r w:rsidRPr="006E2F20">
        <w:rPr>
          <w:noProof/>
          <w:sz w:val="20"/>
          <w:szCs w:val="20"/>
        </w:rPr>
        <mc:AlternateContent>
          <mc:Choice Requires="wps">
            <w:drawing>
              <wp:anchor distT="0" distB="0" distL="114300" distR="114300" simplePos="0" relativeHeight="251854336" behindDoc="0" locked="0" layoutInCell="1" allowOverlap="1" wp14:anchorId="1C922BD3" wp14:editId="2EA80C7A">
                <wp:simplePos x="0" y="0"/>
                <wp:positionH relativeFrom="column">
                  <wp:posOffset>-39189</wp:posOffset>
                </wp:positionH>
                <wp:positionV relativeFrom="paragraph">
                  <wp:posOffset>74930</wp:posOffset>
                </wp:positionV>
                <wp:extent cx="1304925" cy="300355"/>
                <wp:effectExtent l="0" t="0" r="28575" b="23495"/>
                <wp:wrapNone/>
                <wp:docPr id="1167" name="Text Box 1167"/>
                <wp:cNvGraphicFramePr/>
                <a:graphic xmlns:a="http://schemas.openxmlformats.org/drawingml/2006/main">
                  <a:graphicData uri="http://schemas.microsoft.com/office/word/2010/wordprocessingShape">
                    <wps:wsp>
                      <wps:cNvSpPr txBox="1"/>
                      <wps:spPr>
                        <a:xfrm>
                          <a:off x="0" y="0"/>
                          <a:ext cx="1304925" cy="3003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2B7B" w:rsidRPr="00453F28" w:rsidRDefault="007B2B7B" w:rsidP="007B2B7B">
                            <w:pPr>
                              <w:rPr>
                                <w:b/>
                                <w:sz w:val="20"/>
                                <w:szCs w:val="20"/>
                              </w:rPr>
                            </w:pPr>
                            <w:r>
                              <w:rPr>
                                <w:b/>
                                <w:szCs w:val="20"/>
                                <w:u w:val="single"/>
                              </w:rPr>
                              <w:t xml:space="preserve">     </w:t>
                            </w:r>
                            <w:r w:rsidRPr="006E2F20">
                              <w:rPr>
                                <w:b/>
                                <w:szCs w:val="20"/>
                                <w:u w:val="single"/>
                              </w:rPr>
                              <w:t>ID/DD</w:t>
                            </w:r>
                            <w:r w:rsidRPr="006E2F20">
                              <w:rPr>
                                <w:b/>
                                <w:szCs w:val="20"/>
                              </w:rPr>
                              <w:t xml:space="preserve"> </w:t>
                            </w:r>
                            <w:r w:rsidRPr="00453F28">
                              <w:rPr>
                                <w:b/>
                                <w:sz w:val="20"/>
                                <w:szCs w:val="20"/>
                              </w:rPr>
                              <w:t>providers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67" o:spid="_x0000_s1227" type="#_x0000_t202" style="position:absolute;left:0;text-align:left;margin-left:-3.1pt;margin-top:5.9pt;width:102.75pt;height:23.65pt;z-index:25185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" fillcolor="white [3201]" strokeweight=".5pt">
                <v:textbox>
                  <w:txbxContent>
                    <w:p w:rsidR="007B2B7B" w:rsidRPr="00453F28" w:rsidRDefault="007B2B7B" w:rsidP="007B2B7B">
                      <w:pPr>
                        <w:rPr>
                          <w:b/>
                          <w:sz w:val="20"/>
                          <w:szCs w:val="20"/>
                        </w:rPr>
                      </w:pPr>
                      <w:r>
                        <w:rPr>
                          <w:b/>
                          <w:szCs w:val="20"/>
                          <w:u w:val="single"/>
                        </w:rPr>
                        <w:t xml:space="preserve">     </w:t>
                      </w:r>
                      <w:r w:rsidRPr="006E2F20">
                        <w:rPr>
                          <w:b/>
                          <w:szCs w:val="20"/>
                          <w:u w:val="single"/>
                        </w:rPr>
                        <w:t>ID/DD</w:t>
                      </w:r>
                      <w:r w:rsidRPr="006E2F20">
                        <w:rPr>
                          <w:b/>
                          <w:szCs w:val="20"/>
                        </w:rPr>
                        <w:t xml:space="preserve"> </w:t>
                      </w:r>
                      <w:r w:rsidRPr="00453F28">
                        <w:rPr>
                          <w:b/>
                          <w:sz w:val="20"/>
                          <w:szCs w:val="20"/>
                        </w:rPr>
                        <w:t>providers</w:t>
                      </w:r>
                    </w:p>
                  </w:txbxContent>
                </v:textbox>
              </v:shape>
            </w:pict>
          </mc:Fallback>
        </mc:AlternateContent>
      </w:r>
      <w:r w:rsidRPr="006E2F20">
        <w:rPr>
          <w:noProof/>
          <w:sz w:val="20"/>
          <w:szCs w:val="20"/>
        </w:rPr>
        <mc:AlternateContent>
          <mc:Choice Requires="wps">
            <w:drawing>
              <wp:anchor distT="0" distB="0" distL="114300" distR="114300" simplePos="0" relativeHeight="251849216" behindDoc="0" locked="0" layoutInCell="1" allowOverlap="1" wp14:anchorId="6AD6A931" wp14:editId="4825A480">
                <wp:simplePos x="0" y="0"/>
                <wp:positionH relativeFrom="column">
                  <wp:posOffset>2919095</wp:posOffset>
                </wp:positionH>
                <wp:positionV relativeFrom="paragraph">
                  <wp:posOffset>36830</wp:posOffset>
                </wp:positionV>
                <wp:extent cx="1169035" cy="541655"/>
                <wp:effectExtent l="0" t="0" r="12065" b="10795"/>
                <wp:wrapNone/>
                <wp:docPr id="1168" name="Text Box 1168"/>
                <wp:cNvGraphicFramePr/>
                <a:graphic xmlns:a="http://schemas.openxmlformats.org/drawingml/2006/main">
                  <a:graphicData uri="http://schemas.microsoft.com/office/word/2010/wordprocessingShape">
                    <wps:wsp>
                      <wps:cNvSpPr txBox="1"/>
                      <wps:spPr>
                        <a:xfrm>
                          <a:off x="0" y="0"/>
                          <a:ext cx="1169035" cy="5416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2B7B" w:rsidRPr="00453F28" w:rsidRDefault="007B2B7B" w:rsidP="007B2B7B">
                            <w:pPr>
                              <w:jc w:val="center"/>
                              <w:rPr>
                                <w:b/>
                                <w:sz w:val="20"/>
                                <w:szCs w:val="20"/>
                              </w:rPr>
                            </w:pPr>
                            <w:r w:rsidRPr="00453F28">
                              <w:rPr>
                                <w:b/>
                                <w:sz w:val="20"/>
                                <w:szCs w:val="20"/>
                              </w:rPr>
                              <w:t>Person-Centered Care  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68" o:spid="_x0000_s1228" type="#_x0000_t202" style="position:absolute;left:0;text-align:left;margin-left:229.85pt;margin-top:2.9pt;width:92.05pt;height:42.65pt;z-index:25184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" fillcolor="white [3201]" strokeweight=".5pt">
                <v:textbox>
                  <w:txbxContent>
                    <w:p w:rsidR="007B2B7B" w:rsidRPr="00453F28" w:rsidRDefault="007B2B7B" w:rsidP="007B2B7B">
                      <w:pPr>
                        <w:jc w:val="center"/>
                        <w:rPr>
                          <w:b/>
                          <w:sz w:val="20"/>
                          <w:szCs w:val="20"/>
                        </w:rPr>
                      </w:pPr>
                      <w:r w:rsidRPr="00453F28">
                        <w:rPr>
                          <w:b/>
                          <w:sz w:val="20"/>
                          <w:szCs w:val="20"/>
                        </w:rPr>
                        <w:t>Person-Centered Care  plan</w:t>
                      </w:r>
                    </w:p>
                  </w:txbxContent>
                </v:textbox>
              </v:shape>
            </w:pict>
          </mc:Fallback>
        </mc:AlternateContent>
      </w:r>
      <w:r w:rsidRPr="006E2F20">
        <w:rPr>
          <w:noProof/>
          <w:sz w:val="20"/>
          <w:szCs w:val="20"/>
        </w:rPr>
        <mc:AlternateContent>
          <mc:Choice Requires="wps">
            <w:drawing>
              <wp:anchor distT="0" distB="0" distL="114300" distR="114300" simplePos="0" relativeHeight="251863552" behindDoc="0" locked="0" layoutInCell="1" allowOverlap="1" wp14:anchorId="6724AB53" wp14:editId="04CD6D6B">
                <wp:simplePos x="0" y="0"/>
                <wp:positionH relativeFrom="column">
                  <wp:posOffset>4956810</wp:posOffset>
                </wp:positionH>
                <wp:positionV relativeFrom="paragraph">
                  <wp:posOffset>68580</wp:posOffset>
                </wp:positionV>
                <wp:extent cx="1305560" cy="250190"/>
                <wp:effectExtent l="0" t="0" r="27940" b="16510"/>
                <wp:wrapNone/>
                <wp:docPr id="1169" name="Text Box 1169"/>
                <wp:cNvGraphicFramePr/>
                <a:graphic xmlns:a="http://schemas.openxmlformats.org/drawingml/2006/main">
                  <a:graphicData uri="http://schemas.microsoft.com/office/word/2010/wordprocessingShape">
                    <wps:wsp>
                      <wps:cNvSpPr txBox="1"/>
                      <wps:spPr>
                        <a:xfrm>
                          <a:off x="0" y="0"/>
                          <a:ext cx="1305560" cy="2501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2B7B" w:rsidRPr="00453F28" w:rsidRDefault="007B2B7B" w:rsidP="007B2B7B">
                            <w:pPr>
                              <w:jc w:val="center"/>
                              <w:rPr>
                                <w:b/>
                                <w:sz w:val="20"/>
                                <w:szCs w:val="20"/>
                              </w:rPr>
                            </w:pPr>
                            <w:r w:rsidRPr="00453F28">
                              <w:rPr>
                                <w:b/>
                                <w:sz w:val="20"/>
                                <w:szCs w:val="20"/>
                              </w:rPr>
                              <w:t>Elder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169" o:spid="_x0000_s1229" type="#_x0000_t202" style="position:absolute;left:0;text-align:left;margin-left:390.3pt;margin-top:5.4pt;width:102.8pt;height:19.7pt;z-index:251863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" fillcolor="white [3201]" strokeweight=".5pt">
                <v:textbox>
                  <w:txbxContent>
                    <w:p w:rsidR="007B2B7B" w:rsidRPr="00453F28" w:rsidRDefault="007B2B7B" w:rsidP="007B2B7B">
                      <w:pPr>
                        <w:jc w:val="center"/>
                        <w:rPr>
                          <w:b/>
                          <w:sz w:val="20"/>
                          <w:szCs w:val="20"/>
                        </w:rPr>
                      </w:pPr>
                      <w:r w:rsidRPr="00453F28">
                        <w:rPr>
                          <w:b/>
                          <w:sz w:val="20"/>
                          <w:szCs w:val="20"/>
                        </w:rPr>
                        <w:t>Elder Services</w:t>
                      </w:r>
                    </w:p>
                  </w:txbxContent>
                </v:textbox>
              </v:shape>
            </w:pict>
          </mc:Fallback>
        </mc:AlternateContent>
      </w:r>
      <w:r w:rsidRPr="006E2F20">
        <w:rPr>
          <w:noProof/>
          <w:sz w:val="20"/>
          <w:szCs w:val="20"/>
        </w:rPr>
        <mc:AlternateContent>
          <mc:Choice Requires="wps">
            <w:drawing>
              <wp:anchor distT="0" distB="0" distL="114300" distR="114300" simplePos="0" relativeHeight="251857408" behindDoc="0" locked="0" layoutInCell="1" allowOverlap="1" wp14:anchorId="57EB4250" wp14:editId="775BE9D9">
                <wp:simplePos x="0" y="0"/>
                <wp:positionH relativeFrom="column">
                  <wp:posOffset>1364615</wp:posOffset>
                </wp:positionH>
                <wp:positionV relativeFrom="paragraph">
                  <wp:posOffset>134529</wp:posOffset>
                </wp:positionV>
                <wp:extent cx="285750" cy="45085"/>
                <wp:effectExtent l="0" t="19050" r="38100" b="31115"/>
                <wp:wrapNone/>
                <wp:docPr id="1170" name="Right Arrow 1170"/>
                <wp:cNvGraphicFramePr/>
                <a:graphic xmlns:a="http://schemas.openxmlformats.org/drawingml/2006/main">
                  <a:graphicData uri="http://schemas.microsoft.com/office/word/2010/wordprocessingShape">
                    <wps:wsp>
                      <wps:cNvSpPr/>
                      <wps:spPr>
                        <a:xfrm>
                          <a:off x="0" y="0"/>
                          <a:ext cx="285750" cy="4508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Right Arrow 1170" o:spid="_x0000_s1026" type="#_x0000_t13" style="position:absolute;margin-left:107.45pt;margin-top:10.6pt;width:22.5pt;height:3.55pt;z-index:251857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" adj="19896" fillcolor="#4f81bd [3204]" strokecolor="#243f60 [1604]" strokeweight="2pt"/>
            </w:pict>
          </mc:Fallback>
        </mc:AlternateContent>
      </w:r>
    </w:p>
    <w:p w:rsidR="007B2B7B" w:rsidRPr="006E2F20" w:rsidRDefault="007B2B7B" w:rsidP="007B2B7B">
      <w:pPr>
        <w:ind w:firstLine="720"/>
        <w:jc w:val="both"/>
        <w:rPr>
          <w:rFonts w:eastAsia="Times New Roman"/>
        </w:rPr>
      </w:pPr>
      <w:r w:rsidRPr="006E2F20">
        <w:rPr>
          <w:noProof/>
          <w:sz w:val="20"/>
          <w:szCs w:val="20"/>
        </w:rPr>
        <mc:AlternateContent>
          <mc:Choice Requires="wps">
            <w:drawing>
              <wp:anchor distT="0" distB="0" distL="114300" distR="114300" simplePos="0" relativeHeight="251852288" behindDoc="0" locked="0" layoutInCell="1" allowOverlap="1" wp14:anchorId="1C273487" wp14:editId="2716DAEA">
                <wp:simplePos x="0" y="0"/>
                <wp:positionH relativeFrom="column">
                  <wp:posOffset>2677886</wp:posOffset>
                </wp:positionH>
                <wp:positionV relativeFrom="paragraph">
                  <wp:posOffset>126002</wp:posOffset>
                </wp:positionV>
                <wp:extent cx="241663" cy="47625"/>
                <wp:effectExtent l="0" t="0" r="25400" b="28575"/>
                <wp:wrapNone/>
                <wp:docPr id="1171" name="Left Arrow 1171"/>
                <wp:cNvGraphicFramePr/>
                <a:graphic xmlns:a="http://schemas.openxmlformats.org/drawingml/2006/main">
                  <a:graphicData uri="http://schemas.microsoft.com/office/word/2010/wordprocessingShape">
                    <wps:wsp>
                      <wps:cNvSpPr/>
                      <wps:spPr>
                        <a:xfrm>
                          <a:off x="0" y="0"/>
                          <a:ext cx="241663" cy="4762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 Arrow 1171" o:spid="_x0000_s1026" type="#_x0000_t66" style="position:absolute;margin-left:210.85pt;margin-top:9.9pt;width:19.05pt;height:3.75pt;z-index:251852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" adj="2128" fillcolor="#4f81bd [3204]" strokecolor="#243f60 [1604]" strokeweight="2pt"/>
            </w:pict>
          </mc:Fallback>
        </mc:AlternateContent>
      </w:r>
    </w:p>
    <w:p w:rsidR="007B2B7B" w:rsidRPr="006E2F20" w:rsidRDefault="007B2B7B" w:rsidP="007B2B7B">
      <w:pPr>
        <w:ind w:firstLine="720"/>
        <w:jc w:val="both"/>
        <w:rPr>
          <w:rFonts w:eastAsia="Times New Roman"/>
        </w:rPr>
      </w:pPr>
    </w:p>
    <w:p w:rsidR="007B2B7B" w:rsidRPr="006E2F20" w:rsidRDefault="007B2B7B" w:rsidP="007B2B7B">
      <w:pPr>
        <w:ind w:firstLine="720"/>
        <w:jc w:val="both"/>
        <w:rPr>
          <w:rFonts w:eastAsia="Times New Roman"/>
        </w:rPr>
      </w:pPr>
      <w:r w:rsidRPr="006E2F20">
        <w:rPr>
          <w:noProof/>
          <w:sz w:val="20"/>
          <w:szCs w:val="20"/>
        </w:rPr>
        <mc:AlternateContent>
          <mc:Choice Requires="wps">
            <w:drawing>
              <wp:anchor distT="0" distB="0" distL="114300" distR="114300" simplePos="0" relativeHeight="251855360" behindDoc="0" locked="0" layoutInCell="1" allowOverlap="1" wp14:anchorId="32D8FB81" wp14:editId="49355C0E">
                <wp:simplePos x="0" y="0"/>
                <wp:positionH relativeFrom="column">
                  <wp:posOffset>-84909</wp:posOffset>
                </wp:positionH>
                <wp:positionV relativeFrom="paragraph">
                  <wp:posOffset>10614</wp:posOffset>
                </wp:positionV>
                <wp:extent cx="1350645" cy="304800"/>
                <wp:effectExtent l="0" t="0" r="20955" b="19050"/>
                <wp:wrapNone/>
                <wp:docPr id="1172" name="Text Box 1172"/>
                <wp:cNvGraphicFramePr/>
                <a:graphic xmlns:a="http://schemas.openxmlformats.org/drawingml/2006/main">
                  <a:graphicData uri="http://schemas.microsoft.com/office/word/2010/wordprocessingShape">
                    <wps:wsp>
                      <wps:cNvSpPr txBox="1"/>
                      <wps:spPr>
                        <a:xfrm>
                          <a:off x="0" y="0"/>
                          <a:ext cx="1350645"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2B7B" w:rsidRPr="00453F28" w:rsidRDefault="007B2B7B" w:rsidP="007B2B7B">
                            <w:pPr>
                              <w:rPr>
                                <w:b/>
                                <w:sz w:val="20"/>
                                <w:szCs w:val="20"/>
                              </w:rPr>
                            </w:pPr>
                            <w:r>
                              <w:rPr>
                                <w:b/>
                                <w:sz w:val="20"/>
                                <w:szCs w:val="20"/>
                              </w:rPr>
                              <w:t xml:space="preserve">  </w:t>
                            </w:r>
                            <w:r w:rsidRPr="00453F28">
                              <w:rPr>
                                <w:b/>
                                <w:sz w:val="20"/>
                                <w:szCs w:val="20"/>
                              </w:rPr>
                              <w:t>Elder</w:t>
                            </w:r>
                            <w:r>
                              <w:rPr>
                                <w:b/>
                                <w:sz w:val="20"/>
                                <w:szCs w:val="20"/>
                              </w:rPr>
                              <w:t xml:space="preserve"> care</w:t>
                            </w:r>
                            <w:r w:rsidRPr="00453F28">
                              <w:rPr>
                                <w:b/>
                                <w:sz w:val="20"/>
                                <w:szCs w:val="20"/>
                              </w:rPr>
                              <w:t xml:space="preserve"> Providers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172" o:spid="_x0000_s1230" type="#_x0000_t202" style="position:absolute;left:0;text-align:left;margin-left:-6.7pt;margin-top:.85pt;width:106.35pt;height:24pt;z-index:251855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" fillcolor="white [3201]" strokeweight=".5pt">
                <v:textbox>
                  <w:txbxContent>
                    <w:p w:rsidR="007B2B7B" w:rsidRPr="00453F28" w:rsidRDefault="007B2B7B" w:rsidP="007B2B7B">
                      <w:pPr>
                        <w:rPr>
                          <w:b/>
                          <w:sz w:val="20"/>
                          <w:szCs w:val="20"/>
                        </w:rPr>
                      </w:pPr>
                      <w:r>
                        <w:rPr>
                          <w:b/>
                          <w:sz w:val="20"/>
                          <w:szCs w:val="20"/>
                        </w:rPr>
                        <w:t xml:space="preserve">  </w:t>
                      </w:r>
                      <w:r w:rsidRPr="00453F28">
                        <w:rPr>
                          <w:b/>
                          <w:sz w:val="20"/>
                          <w:szCs w:val="20"/>
                        </w:rPr>
                        <w:t>Elder</w:t>
                      </w:r>
                      <w:r>
                        <w:rPr>
                          <w:b/>
                          <w:sz w:val="20"/>
                          <w:szCs w:val="20"/>
                        </w:rPr>
                        <w:t xml:space="preserve"> care</w:t>
                      </w:r>
                      <w:r w:rsidRPr="00453F28">
                        <w:rPr>
                          <w:b/>
                          <w:sz w:val="20"/>
                          <w:szCs w:val="20"/>
                        </w:rPr>
                        <w:t xml:space="preserve"> Providers</w:t>
                      </w:r>
                    </w:p>
                  </w:txbxContent>
                </v:textbox>
              </v:shape>
            </w:pict>
          </mc:Fallback>
        </mc:AlternateContent>
      </w:r>
    </w:p>
    <w:p w:rsidR="007B2B7B" w:rsidRPr="006E2F20" w:rsidRDefault="007B2B7B" w:rsidP="007B2B7B">
      <w:pPr>
        <w:jc w:val="both"/>
        <w:rPr>
          <w:rFonts w:eastAsia="Times New Roman"/>
        </w:rPr>
      </w:pPr>
    </w:p>
    <w:p w:rsidR="007B2B7B" w:rsidRPr="006E2F20" w:rsidRDefault="007B2B7B" w:rsidP="007B2B7B">
      <w:pPr>
        <w:jc w:val="both"/>
        <w:rPr>
          <w:rFonts w:eastAsia="Times New Roman"/>
        </w:rPr>
      </w:pPr>
    </w:p>
    <w:p w:rsidR="007B2B7B" w:rsidRPr="006E2F20" w:rsidRDefault="007B2B7B" w:rsidP="007B2B7B">
      <w:pPr>
        <w:ind w:firstLine="720"/>
        <w:jc w:val="both"/>
        <w:rPr>
          <w:rFonts w:eastAsia="Times New Roman"/>
        </w:rPr>
      </w:pPr>
    </w:p>
    <w:p w:rsidR="007B2B7B" w:rsidRPr="006E2F20" w:rsidRDefault="007B2B7B" w:rsidP="007B2B7B">
      <w:pPr>
        <w:ind w:firstLine="720"/>
        <w:jc w:val="both"/>
        <w:rPr>
          <w:rFonts w:eastAsia="Times New Roman"/>
          <w:b/>
        </w:rPr>
      </w:pPr>
    </w:p>
    <w:p w:rsidR="007B2B7B" w:rsidRPr="006E2F20" w:rsidRDefault="007B2B7B" w:rsidP="007B2B7B">
      <w:pPr>
        <w:jc w:val="center"/>
        <w:rPr>
          <w:rFonts w:eastAsia="Times New Roman"/>
          <w:b/>
          <w:sz w:val="28"/>
          <w:szCs w:val="28"/>
        </w:rPr>
      </w:pPr>
      <w:r w:rsidRPr="006E2F20">
        <w:rPr>
          <w:rFonts w:eastAsia="Times New Roman"/>
          <w:b/>
          <w:sz w:val="28"/>
          <w:szCs w:val="28"/>
        </w:rPr>
        <w:t>II. Other Issues/Questions:</w:t>
      </w:r>
    </w:p>
    <w:p w:rsidR="007B2B7B" w:rsidRPr="006E2F20" w:rsidRDefault="007B2B7B" w:rsidP="007B2B7B">
      <w:pPr>
        <w:jc w:val="both"/>
        <w:rPr>
          <w:rFonts w:eastAsia="Times New Roman"/>
          <w:b/>
        </w:rPr>
      </w:pPr>
    </w:p>
    <w:p w:rsidR="007B2B7B" w:rsidRPr="006E2F20" w:rsidRDefault="007B2B7B" w:rsidP="007B2B7B">
      <w:pPr>
        <w:jc w:val="both"/>
        <w:rPr>
          <w:rFonts w:eastAsia="Times New Roman"/>
          <w:b/>
        </w:rPr>
      </w:pPr>
      <w:r w:rsidRPr="006E2F20">
        <w:rPr>
          <w:rFonts w:eastAsia="Times New Roman"/>
          <w:b/>
        </w:rPr>
        <w:t>Direct Service Providers Doing Self-Referrals</w:t>
      </w:r>
    </w:p>
    <w:p w:rsidR="007B2B7B" w:rsidRPr="006E2F20" w:rsidRDefault="007B2B7B" w:rsidP="007B2B7B">
      <w:pPr>
        <w:jc w:val="both"/>
        <w:rPr>
          <w:rFonts w:eastAsia="Times New Roman"/>
        </w:rPr>
      </w:pPr>
    </w:p>
    <w:p w:rsidR="007B2B7B" w:rsidRPr="006E2F20" w:rsidRDefault="007B2B7B" w:rsidP="007B2B7B">
      <w:pPr>
        <w:ind w:firstLine="720"/>
        <w:jc w:val="both"/>
        <w:rPr>
          <w:rFonts w:eastAsia="Times New Roman"/>
        </w:rPr>
      </w:pPr>
      <w:r w:rsidRPr="006E2F20">
        <w:rPr>
          <w:rFonts w:eastAsia="Times New Roman"/>
        </w:rPr>
        <w:t xml:space="preserve">MassHealth has proposed that "A Community </w:t>
      </w:r>
      <w:r>
        <w:rPr>
          <w:rFonts w:eastAsia="Times New Roman"/>
        </w:rPr>
        <w:t xml:space="preserve">Partner </w:t>
      </w:r>
      <w:r w:rsidRPr="006E2F20">
        <w:rPr>
          <w:rFonts w:eastAsia="Times New Roman"/>
        </w:rPr>
        <w:t>can be a direct services provider but will have a limit on self-referrals." CPs must demonstrate the ability to "conduct independent assessments." But CP will be also be allowed to self-refer.”  MassHealth says  there will be "checks and balances to avoid inappropriate self-referrals." It is not explained what an "appropriate self-referral" would be, but it appears that LTSS direct providers can apply to be CPs and refer to their own services, which weakens their ability to act in the capacity that CMS has called “independent agents” for the consumer. No specific plans have been revealed to limit self-referrals, so we cannot comment on such proposals. Mass Home Care has suggested above a model for engag</w:t>
      </w:r>
      <w:r>
        <w:rPr>
          <w:rFonts w:eastAsia="Times New Roman"/>
        </w:rPr>
        <w:t>ing LTSS providers in the assess</w:t>
      </w:r>
      <w:r w:rsidRPr="006E2F20">
        <w:rPr>
          <w:rFonts w:eastAsia="Times New Roman"/>
        </w:rPr>
        <w:t>ment process, without creating a self-</w:t>
      </w:r>
      <w:proofErr w:type="spellStart"/>
      <w:r w:rsidRPr="006E2F20">
        <w:rPr>
          <w:rFonts w:eastAsia="Times New Roman"/>
        </w:rPr>
        <w:t>referal</w:t>
      </w:r>
      <w:proofErr w:type="spellEnd"/>
      <w:r w:rsidRPr="006E2F20">
        <w:rPr>
          <w:rFonts w:eastAsia="Times New Roman"/>
        </w:rPr>
        <w:t xml:space="preserve"> conflict. </w:t>
      </w:r>
    </w:p>
    <w:p w:rsidR="007B2B7B" w:rsidRPr="006E2F20" w:rsidRDefault="007B2B7B" w:rsidP="007B2B7B">
      <w:pPr>
        <w:ind w:firstLine="720"/>
        <w:jc w:val="both"/>
        <w:rPr>
          <w:rFonts w:eastAsia="Times New Roman"/>
        </w:rPr>
      </w:pPr>
    </w:p>
    <w:p w:rsidR="007B2B7B" w:rsidRPr="006E2F20" w:rsidRDefault="007B2B7B" w:rsidP="007B2B7B">
      <w:pPr>
        <w:jc w:val="both"/>
        <w:rPr>
          <w:rFonts w:eastAsia="Times New Roman"/>
          <w:b/>
        </w:rPr>
      </w:pPr>
      <w:r w:rsidRPr="006E2F20">
        <w:rPr>
          <w:rFonts w:eastAsia="Times New Roman"/>
          <w:b/>
        </w:rPr>
        <w:t>Lock-In Periods</w:t>
      </w:r>
    </w:p>
    <w:p w:rsidR="007B2B7B" w:rsidRPr="006E2F20" w:rsidRDefault="007B2B7B" w:rsidP="007B2B7B">
      <w:pPr>
        <w:jc w:val="both"/>
        <w:rPr>
          <w:rFonts w:eastAsia="Times New Roman"/>
        </w:rPr>
      </w:pPr>
    </w:p>
    <w:p w:rsidR="007B2B7B" w:rsidRPr="006E2F20" w:rsidRDefault="007B2B7B" w:rsidP="007B2B7B">
      <w:pPr>
        <w:ind w:firstLine="720"/>
        <w:jc w:val="both"/>
        <w:rPr>
          <w:rFonts w:eastAsia="Times New Roman"/>
        </w:rPr>
      </w:pPr>
      <w:r w:rsidRPr="006E2F20">
        <w:rPr>
          <w:rFonts w:eastAsia="Times New Roman"/>
        </w:rPr>
        <w:t xml:space="preserve">Mass Home Care continues to raise concerns over “lock </w:t>
      </w:r>
      <w:r>
        <w:rPr>
          <w:rFonts w:eastAsia="Times New Roman"/>
        </w:rPr>
        <w:t>in periods” for the ACO plans.  Members should have freedom of choice</w:t>
      </w:r>
      <w:r w:rsidRPr="006E2F20">
        <w:rPr>
          <w:rFonts w:eastAsia="Times New Roman"/>
        </w:rPr>
        <w:t xml:space="preserve"> to switch ACO plans, or be enrolled in Traditional Medicare, if that is the choice that they prefer. We agree that fixed enrollment periods should be appealable, but no criteria for such appeals has yet been listed. </w:t>
      </w:r>
    </w:p>
    <w:p w:rsidR="007B2B7B" w:rsidRPr="006E2F20" w:rsidRDefault="007B2B7B" w:rsidP="007B2B7B">
      <w:pPr>
        <w:ind w:firstLine="720"/>
        <w:jc w:val="both"/>
        <w:rPr>
          <w:rFonts w:eastAsia="Times New Roman"/>
        </w:rPr>
      </w:pPr>
      <w:r w:rsidRPr="006E2F20">
        <w:rPr>
          <w:rFonts w:eastAsia="Times New Roman"/>
        </w:rPr>
        <w:t xml:space="preserve">The Senior Care Options (SCO) plan has demonstrated that insurers can be financially successful without resorting to fixed enrollment periods. </w:t>
      </w:r>
      <w:r>
        <w:rPr>
          <w:rFonts w:eastAsia="Times New Roman"/>
        </w:rPr>
        <w:t xml:space="preserve">By state law, the SCO plan is voluntary. Enrollment in the SCO plan is now larger than the state’s home care program. </w:t>
      </w:r>
      <w:r w:rsidRPr="006E2F20">
        <w:rPr>
          <w:rFonts w:eastAsia="Times New Roman"/>
        </w:rPr>
        <w:t xml:space="preserve">The One Care plan, which serves younger people on Medicare and Medicaid, has used “passive enrollment” to build membership—but that plan has experienced very high “opt outs” in its three year history. </w:t>
      </w:r>
    </w:p>
    <w:p w:rsidR="007B2B7B" w:rsidRPr="006E2F20" w:rsidRDefault="007B2B7B" w:rsidP="007B2B7B">
      <w:pPr>
        <w:ind w:firstLine="720"/>
        <w:jc w:val="both"/>
        <w:rPr>
          <w:rFonts w:eastAsia="Times New Roman"/>
        </w:rPr>
      </w:pPr>
    </w:p>
    <w:p w:rsidR="007B2B7B" w:rsidRPr="006E2F20" w:rsidRDefault="007B2B7B" w:rsidP="007B2B7B">
      <w:pPr>
        <w:jc w:val="both"/>
        <w:rPr>
          <w:rFonts w:eastAsia="Times New Roman"/>
          <w:b/>
        </w:rPr>
      </w:pPr>
      <w:r w:rsidRPr="006E2F20">
        <w:rPr>
          <w:rFonts w:eastAsia="Times New Roman"/>
          <w:b/>
        </w:rPr>
        <w:t>Moving SCO</w:t>
      </w:r>
      <w:r>
        <w:rPr>
          <w:rFonts w:eastAsia="Times New Roman"/>
          <w:b/>
        </w:rPr>
        <w:t>s and One Care into ACOs</w:t>
      </w:r>
    </w:p>
    <w:p w:rsidR="007B2B7B" w:rsidRPr="006E2F20" w:rsidRDefault="007B2B7B" w:rsidP="007B2B7B">
      <w:pPr>
        <w:ind w:firstLine="720"/>
        <w:jc w:val="both"/>
        <w:rPr>
          <w:rFonts w:eastAsia="Times New Roman"/>
        </w:rPr>
      </w:pPr>
    </w:p>
    <w:p w:rsidR="007B2B7B" w:rsidRPr="006E2F20" w:rsidRDefault="007B2B7B" w:rsidP="007B2B7B">
      <w:pPr>
        <w:pStyle w:val="ListParagraph"/>
        <w:jc w:val="both"/>
        <w:rPr>
          <w:rFonts w:eastAsia="Times New Roman"/>
        </w:rPr>
      </w:pPr>
      <w:r w:rsidRPr="006E2F20">
        <w:rPr>
          <w:rFonts w:eastAsia="Times New Roman"/>
        </w:rPr>
        <w:t>MassHealth says it plans to "move SCO and One are enrollees into ACOs." We would like clarification of what this means.</w:t>
      </w:r>
    </w:p>
    <w:p w:rsidR="007B2B7B" w:rsidRPr="006E2F20" w:rsidRDefault="007B2B7B" w:rsidP="007B2B7B">
      <w:pPr>
        <w:pStyle w:val="ListParagraph"/>
        <w:jc w:val="both"/>
        <w:rPr>
          <w:rFonts w:eastAsia="Times New Roman"/>
        </w:rPr>
      </w:pPr>
    </w:p>
    <w:p w:rsidR="007B2B7B" w:rsidRPr="006E2F20" w:rsidRDefault="007B2B7B" w:rsidP="007B2B7B">
      <w:pPr>
        <w:jc w:val="both"/>
        <w:rPr>
          <w:rFonts w:eastAsia="Times New Roman"/>
          <w:b/>
        </w:rPr>
      </w:pPr>
      <w:r w:rsidRPr="006E2F20">
        <w:rPr>
          <w:rFonts w:eastAsia="Times New Roman"/>
          <w:b/>
        </w:rPr>
        <w:t>Enrollment Counseling</w:t>
      </w:r>
    </w:p>
    <w:p w:rsidR="007B2B7B" w:rsidRPr="006E2F20" w:rsidRDefault="007B2B7B" w:rsidP="007B2B7B">
      <w:pPr>
        <w:jc w:val="both"/>
        <w:rPr>
          <w:rFonts w:eastAsia="Times New Roman"/>
        </w:rPr>
      </w:pPr>
    </w:p>
    <w:p w:rsidR="007B2B7B" w:rsidRPr="006E2F20" w:rsidRDefault="007B2B7B" w:rsidP="007B2B7B">
      <w:pPr>
        <w:ind w:firstLine="720"/>
        <w:jc w:val="both"/>
        <w:rPr>
          <w:rFonts w:eastAsia="Times New Roman"/>
        </w:rPr>
      </w:pPr>
      <w:r w:rsidRPr="006E2F20">
        <w:rPr>
          <w:rFonts w:eastAsia="Times New Roman"/>
        </w:rPr>
        <w:t xml:space="preserve">Enrollees need counseling to be able to pick an ACO or MCO plan, but MassHealth is not planning to use the infrastructure of the SHINE program. "MassHealth will enhance its own customer service.” The Commonwealth should scale up the SHINE program to add counseling for ACO plans to their portfolio. This is an independent and free service to the consumer. </w:t>
      </w:r>
    </w:p>
    <w:p w:rsidR="007B2B7B" w:rsidRPr="006E2F20" w:rsidRDefault="007B2B7B" w:rsidP="007B2B7B">
      <w:pPr>
        <w:ind w:firstLine="720"/>
        <w:jc w:val="both"/>
        <w:rPr>
          <w:rFonts w:eastAsia="Times New Roman"/>
        </w:rPr>
      </w:pPr>
    </w:p>
    <w:p w:rsidR="007B2B7B" w:rsidRPr="006E2F20" w:rsidRDefault="007B2B7B" w:rsidP="007B2B7B">
      <w:pPr>
        <w:jc w:val="both"/>
        <w:rPr>
          <w:rFonts w:eastAsia="Times New Roman"/>
          <w:b/>
        </w:rPr>
      </w:pPr>
      <w:r w:rsidRPr="006E2F20">
        <w:rPr>
          <w:rFonts w:eastAsia="Times New Roman"/>
          <w:b/>
        </w:rPr>
        <w:lastRenderedPageBreak/>
        <w:t>Independent LTSS Coordinator on the Team</w:t>
      </w:r>
    </w:p>
    <w:p w:rsidR="007B2B7B" w:rsidRPr="006E2F20" w:rsidRDefault="007B2B7B" w:rsidP="007B2B7B">
      <w:pPr>
        <w:ind w:firstLine="720"/>
        <w:jc w:val="both"/>
        <w:rPr>
          <w:rFonts w:eastAsia="Times New Roman"/>
        </w:rPr>
      </w:pPr>
    </w:p>
    <w:p w:rsidR="007B2B7B" w:rsidRPr="006E2F20" w:rsidRDefault="007B2B7B" w:rsidP="007B2B7B">
      <w:pPr>
        <w:ind w:firstLine="360"/>
        <w:jc w:val="both"/>
        <w:rPr>
          <w:rFonts w:eastAsia="Times New Roman"/>
        </w:rPr>
      </w:pPr>
      <w:r w:rsidRPr="006E2F20">
        <w:rPr>
          <w:rFonts w:eastAsia="Times New Roman"/>
        </w:rPr>
        <w:t xml:space="preserve">Members will have access to an LTSS representative "where needed." The Interdisciplinary Care Team </w:t>
      </w:r>
      <w:r>
        <w:rPr>
          <w:rFonts w:eastAsia="Times New Roman"/>
        </w:rPr>
        <w:t>should include an independent LTSS coordinator with the same status as other teams members. If</w:t>
      </w:r>
      <w:r w:rsidRPr="006E2F20">
        <w:rPr>
          <w:rFonts w:eastAsia="Times New Roman"/>
        </w:rPr>
        <w:t xml:space="preserve"> such staff w</w:t>
      </w:r>
      <w:r>
        <w:rPr>
          <w:rFonts w:eastAsia="Times New Roman"/>
        </w:rPr>
        <w:t xml:space="preserve">ill only get on the team if invited by the ACO, it suggests that LTSS is an ancillary service of lesser status to the overall well-being of the member. </w:t>
      </w:r>
      <w:r w:rsidRPr="006E2F20">
        <w:rPr>
          <w:rFonts w:eastAsia="Times New Roman"/>
        </w:rPr>
        <w:t xml:space="preserve">All members when they join an ACO should have a baseline assessment </w:t>
      </w:r>
      <w:r>
        <w:rPr>
          <w:rFonts w:eastAsia="Times New Roman"/>
        </w:rPr>
        <w:t xml:space="preserve">conducted </w:t>
      </w:r>
      <w:r w:rsidRPr="006E2F20">
        <w:rPr>
          <w:rFonts w:eastAsia="Times New Roman"/>
        </w:rPr>
        <w:t xml:space="preserve">of LTSS functioning, including social determinate factors This is as critical to well-being as an initial medical examination. At a minimum, all members with “complex LTSS needs” should have </w:t>
      </w:r>
      <w:r>
        <w:rPr>
          <w:rFonts w:eastAsia="Times New Roman"/>
        </w:rPr>
        <w:t>an ILTSS present on their team, just as certain as the presence of the PCP.</w:t>
      </w:r>
    </w:p>
    <w:p w:rsidR="007B2B7B" w:rsidRPr="006E2F20" w:rsidRDefault="007B2B7B" w:rsidP="007B2B7B">
      <w:pPr>
        <w:jc w:val="both"/>
        <w:rPr>
          <w:rFonts w:eastAsia="Times New Roman"/>
        </w:rPr>
      </w:pPr>
    </w:p>
    <w:p w:rsidR="007B2B7B" w:rsidRPr="006E2F20" w:rsidRDefault="007B2B7B" w:rsidP="007B2B7B">
      <w:pPr>
        <w:jc w:val="both"/>
        <w:rPr>
          <w:rFonts w:eastAsia="Times New Roman"/>
          <w:b/>
        </w:rPr>
      </w:pPr>
      <w:r w:rsidRPr="006E2F20">
        <w:rPr>
          <w:rFonts w:eastAsia="Times New Roman"/>
          <w:b/>
        </w:rPr>
        <w:t>Functions of the Independent LTSS Coordinator: Continuity of Care</w:t>
      </w:r>
    </w:p>
    <w:p w:rsidR="007B2B7B" w:rsidRPr="006E2F20" w:rsidRDefault="007B2B7B" w:rsidP="007B2B7B">
      <w:pPr>
        <w:jc w:val="both"/>
        <w:rPr>
          <w:rFonts w:eastAsia="Times New Roman"/>
        </w:rPr>
      </w:pPr>
    </w:p>
    <w:p w:rsidR="007B2B7B" w:rsidRPr="006E2F20" w:rsidRDefault="007B2B7B" w:rsidP="007B2B7B">
      <w:pPr>
        <w:ind w:firstLine="720"/>
        <w:jc w:val="both"/>
        <w:rPr>
          <w:rFonts w:eastAsia="Times New Roman"/>
        </w:rPr>
      </w:pPr>
      <w:r w:rsidRPr="006E2F20">
        <w:rPr>
          <w:rFonts w:eastAsia="Times New Roman"/>
        </w:rPr>
        <w:t>The plan says “The</w:t>
      </w:r>
      <w:r>
        <w:rPr>
          <w:rFonts w:eastAsia="Times New Roman"/>
        </w:rPr>
        <w:t xml:space="preserve"> LTSS Community Partner </w:t>
      </w:r>
      <w:r w:rsidRPr="006E2F20">
        <w:rPr>
          <w:rFonts w:eastAsia="Times New Roman"/>
        </w:rPr>
        <w:t>will</w:t>
      </w:r>
      <w:r>
        <w:rPr>
          <w:rFonts w:eastAsia="Times New Roman"/>
        </w:rPr>
        <w:t xml:space="preserve"> be on </w:t>
      </w:r>
      <w:r w:rsidRPr="006E2F20">
        <w:rPr>
          <w:rFonts w:eastAsia="Times New Roman"/>
        </w:rPr>
        <w:t xml:space="preserve">the interdisciplinary care team (where needed), and do care management, </w:t>
      </w:r>
      <w:proofErr w:type="spellStart"/>
      <w:r w:rsidRPr="006E2F20">
        <w:rPr>
          <w:rFonts w:eastAsia="Times New Roman"/>
        </w:rPr>
        <w:t>careplanning</w:t>
      </w:r>
      <w:proofErr w:type="spellEnd"/>
      <w:r w:rsidRPr="006E2F20">
        <w:rPr>
          <w:rFonts w:eastAsia="Times New Roman"/>
        </w:rPr>
        <w:t xml:space="preserve">, functional assessment, care coordination, care transition, and health promotion, counseling and decision support on service options.” This is a good list of the functions of the ILTSS member of the ICT. The independent agent should not be limited to the assessment phase only. </w:t>
      </w:r>
      <w:r>
        <w:rPr>
          <w:rFonts w:eastAsia="Times New Roman"/>
        </w:rPr>
        <w:t>Any member with complex LTSS needs should have an independent agent on their team.</w:t>
      </w:r>
    </w:p>
    <w:p w:rsidR="007B2B7B" w:rsidRPr="006E2F20" w:rsidRDefault="007B2B7B" w:rsidP="007B2B7B">
      <w:pPr>
        <w:ind w:firstLine="720"/>
        <w:jc w:val="both"/>
        <w:rPr>
          <w:rFonts w:eastAsia="Times New Roman"/>
        </w:rPr>
      </w:pPr>
      <w:r w:rsidRPr="006E2F20">
        <w:rPr>
          <w:rFonts w:eastAsia="Times New Roman"/>
        </w:rPr>
        <w:t xml:space="preserve">The plan says Community Partners “will demonstrate expertise in care management, care coordination, and navigation to BH care and LTSS services.” Mass Home Care supports this continuity of care functions to be performed by the independent agents on the team. The role of assessor and care manager should not be fragmented. </w:t>
      </w:r>
    </w:p>
    <w:p w:rsidR="007B2B7B" w:rsidRPr="006E2F20" w:rsidRDefault="007B2B7B" w:rsidP="007B2B7B">
      <w:pPr>
        <w:ind w:firstLine="720"/>
        <w:jc w:val="both"/>
        <w:rPr>
          <w:rFonts w:eastAsia="Times New Roman"/>
        </w:rPr>
      </w:pPr>
    </w:p>
    <w:p w:rsidR="007B2B7B" w:rsidRPr="006E2F20" w:rsidRDefault="007B2B7B" w:rsidP="007B2B7B">
      <w:pPr>
        <w:jc w:val="both"/>
        <w:rPr>
          <w:rFonts w:eastAsia="Times New Roman"/>
          <w:b/>
        </w:rPr>
      </w:pPr>
      <w:r w:rsidRPr="006E2F20">
        <w:rPr>
          <w:rFonts w:eastAsia="Times New Roman"/>
          <w:b/>
        </w:rPr>
        <w:t>Independent Agents for Members Remaining in FFS</w:t>
      </w:r>
    </w:p>
    <w:p w:rsidR="007B2B7B" w:rsidRPr="006E2F20" w:rsidRDefault="007B2B7B" w:rsidP="007B2B7B">
      <w:pPr>
        <w:jc w:val="both"/>
        <w:rPr>
          <w:rFonts w:eastAsia="Times New Roman"/>
        </w:rPr>
      </w:pPr>
    </w:p>
    <w:p w:rsidR="007B2B7B" w:rsidRDefault="007B2B7B" w:rsidP="007B2B7B">
      <w:pPr>
        <w:ind w:firstLine="360"/>
        <w:jc w:val="both"/>
        <w:rPr>
          <w:rFonts w:eastAsia="Times New Roman"/>
        </w:rPr>
      </w:pPr>
      <w:r w:rsidRPr="006E2F20">
        <w:rPr>
          <w:rFonts w:eastAsia="Times New Roman"/>
        </w:rPr>
        <w:t xml:space="preserve">The plan </w:t>
      </w:r>
      <w:r>
        <w:rPr>
          <w:rFonts w:eastAsia="Times New Roman"/>
        </w:rPr>
        <w:t xml:space="preserve">also </w:t>
      </w:r>
      <w:r w:rsidRPr="006E2F20">
        <w:rPr>
          <w:rFonts w:eastAsia="Times New Roman"/>
        </w:rPr>
        <w:t xml:space="preserve">says Community Partners may at some point be able to serve members who are not in ACOs, which is important, because by the final year 5 of this proposal, MassHealth estimates that 40% of the MassHealth members will still be in fee for service. </w:t>
      </w:r>
    </w:p>
    <w:p w:rsidR="007B2B7B" w:rsidRPr="006E2F20" w:rsidRDefault="007B2B7B" w:rsidP="007B2B7B">
      <w:pPr>
        <w:ind w:firstLine="360"/>
        <w:jc w:val="both"/>
        <w:rPr>
          <w:rFonts w:eastAsia="Times New Roman"/>
        </w:rPr>
      </w:pPr>
      <w:r w:rsidRPr="006E2F20">
        <w:rPr>
          <w:rFonts w:eastAsia="Times New Roman"/>
        </w:rPr>
        <w:t>Just because a memb</w:t>
      </w:r>
      <w:r>
        <w:rPr>
          <w:rFonts w:eastAsia="Times New Roman"/>
        </w:rPr>
        <w:t xml:space="preserve">er is in FFS/PCC, there is no reason why their care cannot be managed, including the deployment of an independent </w:t>
      </w:r>
      <w:r w:rsidRPr="006E2F20">
        <w:rPr>
          <w:rFonts w:eastAsia="Times New Roman"/>
        </w:rPr>
        <w:t xml:space="preserve">LTSS care coordinator to make sure their LTSS needs are being met, and </w:t>
      </w:r>
      <w:r>
        <w:rPr>
          <w:rFonts w:eastAsia="Times New Roman"/>
        </w:rPr>
        <w:t xml:space="preserve">that </w:t>
      </w:r>
      <w:r w:rsidRPr="006E2F20">
        <w:rPr>
          <w:rFonts w:eastAsia="Times New Roman"/>
        </w:rPr>
        <w:t>they are being care</w:t>
      </w:r>
      <w:r>
        <w:rPr>
          <w:rFonts w:eastAsia="Times New Roman"/>
        </w:rPr>
        <w:t>d</w:t>
      </w:r>
      <w:r w:rsidRPr="006E2F20">
        <w:rPr>
          <w:rFonts w:eastAsia="Times New Roman"/>
        </w:rPr>
        <w:t xml:space="preserve"> for in the least restrictive setting. The state’s home care program is an example of a successful managed FFS program. </w:t>
      </w:r>
    </w:p>
    <w:p w:rsidR="007B2B7B" w:rsidRPr="006E2F20" w:rsidRDefault="007B2B7B" w:rsidP="007B2B7B">
      <w:pPr>
        <w:ind w:firstLine="360"/>
        <w:jc w:val="both"/>
        <w:rPr>
          <w:rFonts w:eastAsia="Times New Roman"/>
        </w:rPr>
      </w:pPr>
    </w:p>
    <w:p w:rsidR="007B2B7B" w:rsidRPr="006E2F20" w:rsidRDefault="007B2B7B" w:rsidP="007B2B7B">
      <w:pPr>
        <w:jc w:val="both"/>
        <w:rPr>
          <w:rFonts w:eastAsia="Times New Roman"/>
          <w:b/>
        </w:rPr>
      </w:pPr>
      <w:r>
        <w:rPr>
          <w:rFonts w:eastAsia="Times New Roman"/>
          <w:b/>
        </w:rPr>
        <w:t>Shared Governance</w:t>
      </w:r>
    </w:p>
    <w:p w:rsidR="007B2B7B" w:rsidRPr="006E2F20" w:rsidRDefault="007B2B7B" w:rsidP="007B2B7B">
      <w:pPr>
        <w:ind w:firstLine="360"/>
        <w:jc w:val="both"/>
        <w:rPr>
          <w:rFonts w:eastAsia="Times New Roman"/>
        </w:rPr>
      </w:pPr>
    </w:p>
    <w:p w:rsidR="007B2B7B" w:rsidRPr="006E2F20" w:rsidRDefault="007B2B7B" w:rsidP="007B2B7B">
      <w:pPr>
        <w:ind w:firstLine="360"/>
        <w:jc w:val="both"/>
        <w:rPr>
          <w:rFonts w:eastAsia="Times New Roman"/>
        </w:rPr>
      </w:pPr>
      <w:r w:rsidRPr="006E2F20">
        <w:rPr>
          <w:rFonts w:eastAsia="Times New Roman"/>
        </w:rPr>
        <w:t xml:space="preserve">MassHealth says that ACOs and CPs will have "shared decision-making and governance." We know they have to </w:t>
      </w:r>
      <w:r>
        <w:rPr>
          <w:rFonts w:eastAsia="Times New Roman"/>
        </w:rPr>
        <w:t xml:space="preserve">have MOUs, but it is not clear </w:t>
      </w:r>
      <w:r w:rsidRPr="006E2F20">
        <w:rPr>
          <w:rFonts w:eastAsia="Times New Roman"/>
        </w:rPr>
        <w:t xml:space="preserve">what MassHealth expects in term of shared governance. Please clarify. </w:t>
      </w:r>
    </w:p>
    <w:p w:rsidR="007B2B7B" w:rsidRPr="006E2F20" w:rsidRDefault="007B2B7B" w:rsidP="007B2B7B">
      <w:pPr>
        <w:ind w:firstLine="360"/>
        <w:jc w:val="both"/>
        <w:rPr>
          <w:rFonts w:eastAsia="Times New Roman"/>
        </w:rPr>
      </w:pPr>
    </w:p>
    <w:p w:rsidR="007B2B7B" w:rsidRPr="006E2F20" w:rsidRDefault="007B2B7B" w:rsidP="007B2B7B">
      <w:pPr>
        <w:jc w:val="both"/>
        <w:rPr>
          <w:rFonts w:eastAsia="Times New Roman"/>
          <w:b/>
        </w:rPr>
      </w:pPr>
      <w:r w:rsidRPr="006E2F20">
        <w:rPr>
          <w:rFonts w:eastAsia="Times New Roman"/>
          <w:b/>
        </w:rPr>
        <w:t>Funding For Independent Assessments/Care Team/HIT Investments</w:t>
      </w:r>
    </w:p>
    <w:p w:rsidR="007B2B7B" w:rsidRPr="006E2F20" w:rsidRDefault="007B2B7B" w:rsidP="007B2B7B">
      <w:pPr>
        <w:jc w:val="both"/>
        <w:rPr>
          <w:rFonts w:eastAsia="Times New Roman"/>
        </w:rPr>
      </w:pPr>
    </w:p>
    <w:p w:rsidR="007B2B7B" w:rsidRPr="006E2F20" w:rsidRDefault="007B2B7B" w:rsidP="007B2B7B">
      <w:pPr>
        <w:ind w:firstLine="720"/>
        <w:jc w:val="both"/>
        <w:rPr>
          <w:rFonts w:eastAsia="Times New Roman"/>
        </w:rPr>
      </w:pPr>
      <w:r w:rsidRPr="006E2F20">
        <w:rPr>
          <w:rFonts w:eastAsia="Times New Roman"/>
        </w:rPr>
        <w:t>Mass Home Care supports the intention of MassHealth to provide funding for independent assessments...and funding for participation on the care team."  Federal funds can also be used to expand workforce capacity and for Health Information Technology (HIT) investments and data analytics. These are all helpful initiatives.</w:t>
      </w:r>
    </w:p>
    <w:p w:rsidR="007B2B7B" w:rsidRPr="006E2F20" w:rsidRDefault="007B2B7B" w:rsidP="007B2B7B">
      <w:pPr>
        <w:jc w:val="both"/>
        <w:rPr>
          <w:rFonts w:eastAsia="Times New Roman"/>
          <w:b/>
        </w:rPr>
      </w:pPr>
    </w:p>
    <w:p w:rsidR="007B2B7B" w:rsidRPr="006E2F20" w:rsidRDefault="007B2B7B" w:rsidP="007B2B7B">
      <w:pPr>
        <w:jc w:val="both"/>
        <w:rPr>
          <w:rFonts w:eastAsia="Times New Roman"/>
          <w:b/>
        </w:rPr>
      </w:pPr>
      <w:r w:rsidRPr="006E2F20">
        <w:rPr>
          <w:rFonts w:eastAsia="Times New Roman"/>
          <w:b/>
        </w:rPr>
        <w:t>Lack of Meaningful LTSS Metrics</w:t>
      </w:r>
    </w:p>
    <w:p w:rsidR="007B2B7B" w:rsidRPr="006E2F20" w:rsidRDefault="007B2B7B" w:rsidP="007B2B7B">
      <w:pPr>
        <w:jc w:val="both"/>
        <w:rPr>
          <w:rFonts w:eastAsia="Times New Roman"/>
        </w:rPr>
      </w:pPr>
    </w:p>
    <w:p w:rsidR="007B2B7B" w:rsidRPr="006E2F20" w:rsidRDefault="007B2B7B" w:rsidP="007B2B7B">
      <w:pPr>
        <w:ind w:firstLine="720"/>
        <w:jc w:val="both"/>
        <w:rPr>
          <w:rFonts w:eastAsia="Times New Roman"/>
        </w:rPr>
      </w:pPr>
      <w:r w:rsidRPr="006E2F20">
        <w:rPr>
          <w:rFonts w:eastAsia="Times New Roman"/>
        </w:rPr>
        <w:t xml:space="preserve">The 1115 Demonstration seeks </w:t>
      </w:r>
      <w:r>
        <w:rPr>
          <w:rFonts w:eastAsia="Times New Roman"/>
        </w:rPr>
        <w:t xml:space="preserve">to reduce per member per month </w:t>
      </w:r>
      <w:r w:rsidRPr="006E2F20">
        <w:rPr>
          <w:rFonts w:eastAsia="Times New Roman"/>
        </w:rPr>
        <w:t xml:space="preserve">medical expenditures, and reduce hospital admissions and readmissions. There are no meaningful LTSS metrics  yet for this initiative. Metrics like community tenure, reducing length of stay in institutions, and reducing the number of acute care discharges to </w:t>
      </w:r>
      <w:proofErr w:type="spellStart"/>
      <w:r w:rsidRPr="006E2F20">
        <w:rPr>
          <w:rFonts w:eastAsia="Times New Roman"/>
        </w:rPr>
        <w:t>post acute</w:t>
      </w:r>
      <w:proofErr w:type="spellEnd"/>
      <w:r w:rsidRPr="006E2F20">
        <w:rPr>
          <w:rFonts w:eastAsia="Times New Roman"/>
        </w:rPr>
        <w:t xml:space="preserve"> institutions, should all b</w:t>
      </w:r>
      <w:r>
        <w:rPr>
          <w:rFonts w:eastAsia="Times New Roman"/>
        </w:rPr>
        <w:t xml:space="preserve">e incorporated into the plan before implementation. </w:t>
      </w:r>
    </w:p>
    <w:p w:rsidR="007B2B7B" w:rsidRPr="006E2F20" w:rsidRDefault="007B2B7B" w:rsidP="007B2B7B">
      <w:pPr>
        <w:jc w:val="both"/>
        <w:rPr>
          <w:rFonts w:eastAsia="Times New Roman"/>
          <w:b/>
        </w:rPr>
      </w:pPr>
    </w:p>
    <w:p w:rsidR="007B2B7B" w:rsidRPr="006E2F20" w:rsidRDefault="007B2B7B" w:rsidP="007B2B7B">
      <w:pPr>
        <w:jc w:val="both"/>
        <w:rPr>
          <w:rFonts w:eastAsia="Times New Roman"/>
          <w:b/>
        </w:rPr>
      </w:pPr>
      <w:r w:rsidRPr="006E2F20">
        <w:rPr>
          <w:rFonts w:eastAsia="Times New Roman"/>
          <w:b/>
        </w:rPr>
        <w:t>Need To Keep FFS System in Place &amp; Not Discriminate In Scope of Benefits</w:t>
      </w:r>
    </w:p>
    <w:p w:rsidR="007B2B7B" w:rsidRPr="006E2F20" w:rsidRDefault="007B2B7B" w:rsidP="007B2B7B">
      <w:pPr>
        <w:jc w:val="both"/>
        <w:rPr>
          <w:rFonts w:eastAsia="Times New Roman"/>
        </w:rPr>
      </w:pPr>
    </w:p>
    <w:p w:rsidR="007B2B7B" w:rsidRPr="006E2F20" w:rsidRDefault="007B2B7B" w:rsidP="007B2B7B">
      <w:pPr>
        <w:ind w:firstLine="720"/>
        <w:jc w:val="both"/>
        <w:rPr>
          <w:rFonts w:eastAsia="Times New Roman"/>
        </w:rPr>
      </w:pPr>
      <w:r w:rsidRPr="006E2F20">
        <w:rPr>
          <w:rFonts w:eastAsia="Times New Roman"/>
        </w:rPr>
        <w:t xml:space="preserve">MassHealth </w:t>
      </w:r>
      <w:r>
        <w:rPr>
          <w:rFonts w:eastAsia="Times New Roman"/>
        </w:rPr>
        <w:t xml:space="preserve">is projecting </w:t>
      </w:r>
      <w:r w:rsidRPr="006E2F20">
        <w:rPr>
          <w:rFonts w:eastAsia="Times New Roman"/>
        </w:rPr>
        <w:t>that 60% of MassHealth members will be enrolled in ACOs by year 5, which means 40% will still be in FFS. Mass Home Care does not support leaving the PCC program with “fewer covered benefits” for members---who for whatever reason---prefer to stay in the PCC plan. People who choose the PCC plan should not lose chiropractic services, eye glasses and hearing aids. These members deserve a decent health care plan, and should not get inferior benefits because they are not choosing to be in a managed care plan. Similarly, we do not support forcing low-income members who choose the PCC plan to pay higher copayments.</w:t>
      </w:r>
    </w:p>
    <w:p w:rsidR="007B2B7B" w:rsidRPr="006E2F20" w:rsidRDefault="007B2B7B" w:rsidP="007B2B7B">
      <w:pPr>
        <w:ind w:firstLine="720"/>
        <w:jc w:val="both"/>
        <w:rPr>
          <w:rFonts w:eastAsia="Times New Roman"/>
        </w:rPr>
      </w:pPr>
    </w:p>
    <w:p w:rsidR="007B2B7B" w:rsidRPr="006E2F20" w:rsidRDefault="007B2B7B" w:rsidP="007B2B7B">
      <w:pPr>
        <w:jc w:val="both"/>
        <w:rPr>
          <w:rFonts w:eastAsia="Times New Roman"/>
          <w:b/>
        </w:rPr>
      </w:pPr>
      <w:r w:rsidRPr="006E2F20">
        <w:rPr>
          <w:rFonts w:eastAsia="Times New Roman"/>
          <w:b/>
        </w:rPr>
        <w:t>Members Under 65 Living In A Nursing Facility &amp; CommonHealth for Working Elders</w:t>
      </w:r>
    </w:p>
    <w:p w:rsidR="007B2B7B" w:rsidRPr="006E2F20" w:rsidRDefault="007B2B7B" w:rsidP="007B2B7B">
      <w:pPr>
        <w:jc w:val="both"/>
        <w:rPr>
          <w:rFonts w:eastAsia="Times New Roman"/>
        </w:rPr>
      </w:pPr>
    </w:p>
    <w:p w:rsidR="007B2B7B" w:rsidRPr="006E2F20" w:rsidRDefault="007B2B7B" w:rsidP="007B2B7B">
      <w:pPr>
        <w:jc w:val="both"/>
        <w:rPr>
          <w:rFonts w:eastAsia="Times New Roman"/>
        </w:rPr>
      </w:pPr>
      <w:r w:rsidRPr="006E2F20">
        <w:rPr>
          <w:rFonts w:eastAsia="Times New Roman"/>
        </w:rPr>
        <w:tab/>
        <w:t>Mass Home Care supports allowing members under age 65 residing in a nursing facility to be enrolled in the demonstration program, and to extend Common</w:t>
      </w:r>
      <w:r w:rsidR="00CF30C1">
        <w:rPr>
          <w:rFonts w:eastAsia="Times New Roman"/>
        </w:rPr>
        <w:t xml:space="preserve"> </w:t>
      </w:r>
      <w:r w:rsidRPr="006E2F20">
        <w:rPr>
          <w:rFonts w:eastAsia="Times New Roman"/>
        </w:rPr>
        <w:t>health eligibility to adults age 65 and older who are still working.</w:t>
      </w:r>
    </w:p>
    <w:p w:rsidR="007B2B7B" w:rsidRPr="006E2F20" w:rsidRDefault="007B2B7B" w:rsidP="007B2B7B">
      <w:pPr>
        <w:ind w:firstLine="720"/>
        <w:jc w:val="both"/>
        <w:rPr>
          <w:rFonts w:eastAsia="Times New Roman"/>
        </w:rPr>
      </w:pPr>
    </w:p>
    <w:p w:rsidR="007B2B7B" w:rsidRPr="006E2F20" w:rsidRDefault="007B2B7B" w:rsidP="007B2B7B">
      <w:pPr>
        <w:jc w:val="both"/>
        <w:rPr>
          <w:rFonts w:eastAsia="Times New Roman"/>
          <w:b/>
          <w:noProof/>
        </w:rPr>
      </w:pPr>
      <w:r w:rsidRPr="006E2F20">
        <w:rPr>
          <w:rFonts w:eastAsia="Times New Roman"/>
          <w:b/>
          <w:noProof/>
        </w:rPr>
        <w:t xml:space="preserve">                                                             Conclusion</w:t>
      </w:r>
    </w:p>
    <w:p w:rsidR="007B2B7B" w:rsidRPr="006E2F20" w:rsidRDefault="007B2B7B" w:rsidP="007B2B7B">
      <w:pPr>
        <w:jc w:val="both"/>
        <w:rPr>
          <w:rFonts w:eastAsia="Times New Roman"/>
          <w:noProof/>
        </w:rPr>
      </w:pPr>
    </w:p>
    <w:p w:rsidR="007B2B7B" w:rsidRPr="006E2F20" w:rsidRDefault="007B2B7B" w:rsidP="007B2B7B">
      <w:pPr>
        <w:ind w:firstLine="720"/>
        <w:jc w:val="both"/>
        <w:rPr>
          <w:rFonts w:eastAsia="Times New Roman"/>
          <w:noProof/>
        </w:rPr>
      </w:pPr>
      <w:r w:rsidRPr="006E2F20">
        <w:rPr>
          <w:rFonts w:eastAsia="Times New Roman"/>
          <w:noProof/>
        </w:rPr>
        <w:t>There are many thoughtful aspects of this plan that should commend it to CMS and to MassHealth members. Mass Home Care supports many of the design elements in this June 16</w:t>
      </w:r>
      <w:r w:rsidRPr="006E2F20">
        <w:rPr>
          <w:rFonts w:eastAsia="Times New Roman"/>
          <w:noProof/>
          <w:vertAlign w:val="superscript"/>
        </w:rPr>
        <w:t>th</w:t>
      </w:r>
      <w:r w:rsidRPr="006E2F20">
        <w:rPr>
          <w:rFonts w:eastAsia="Times New Roman"/>
          <w:noProof/>
        </w:rPr>
        <w:t xml:space="preserve"> version of the plan. We remain concerned that the post acute care aspects of the plan seem less thought out than the acute care components; that LTSS outcomes are not in place; that the role of the “independent agent” o</w:t>
      </w:r>
      <w:r>
        <w:rPr>
          <w:rFonts w:eastAsia="Times New Roman"/>
          <w:noProof/>
        </w:rPr>
        <w:t xml:space="preserve">n the care team should be </w:t>
      </w:r>
      <w:r w:rsidRPr="006E2F20">
        <w:rPr>
          <w:rFonts w:eastAsia="Times New Roman"/>
          <w:noProof/>
        </w:rPr>
        <w:t xml:space="preserve">more defined and stronger; that the use of home care supports should be centrally included; and that enrollment in the PCC plan should not leave members with costlier, second class inferior care. </w:t>
      </w:r>
    </w:p>
    <w:p w:rsidR="007B2B7B" w:rsidRPr="006E2F20" w:rsidRDefault="007B2B7B" w:rsidP="007B2B7B">
      <w:pPr>
        <w:ind w:firstLine="720"/>
        <w:jc w:val="both"/>
        <w:rPr>
          <w:rFonts w:eastAsia="Times New Roman"/>
          <w:noProof/>
        </w:rPr>
      </w:pPr>
    </w:p>
    <w:p w:rsidR="007B2B7B" w:rsidRPr="006E2F20" w:rsidRDefault="007B2B7B" w:rsidP="007B2B7B">
      <w:pPr>
        <w:ind w:firstLine="720"/>
        <w:jc w:val="both"/>
        <w:rPr>
          <w:rFonts w:eastAsia="Times New Roman"/>
          <w:noProof/>
        </w:rPr>
      </w:pPr>
      <w:r w:rsidRPr="006E2F20">
        <w:rPr>
          <w:rFonts w:eastAsia="Times New Roman"/>
          <w:noProof/>
        </w:rPr>
        <w:t>We thank MassHelath for giving us the opportunity to submit these comments and questions.</w:t>
      </w:r>
    </w:p>
    <w:p w:rsidR="007B2B7B" w:rsidRPr="006E2F20" w:rsidRDefault="007B2B7B" w:rsidP="007B2B7B">
      <w:pPr>
        <w:ind w:firstLine="720"/>
        <w:jc w:val="both"/>
        <w:rPr>
          <w:rFonts w:eastAsia="Times New Roman"/>
          <w:noProof/>
        </w:rPr>
      </w:pPr>
    </w:p>
    <w:p w:rsidR="007B2B7B" w:rsidRPr="006E2F20" w:rsidRDefault="007B2B7B" w:rsidP="007B2B7B">
      <w:pPr>
        <w:ind w:firstLine="720"/>
        <w:jc w:val="both"/>
        <w:rPr>
          <w:rFonts w:eastAsia="Times New Roman"/>
          <w:noProof/>
        </w:rPr>
      </w:pPr>
    </w:p>
    <w:p w:rsidR="007B2B7B" w:rsidRPr="006E2F20" w:rsidRDefault="007B2B7B" w:rsidP="007B2B7B">
      <w:pPr>
        <w:jc w:val="both"/>
        <w:rPr>
          <w:rFonts w:eastAsia="Times New Roman"/>
          <w:b/>
          <w:noProof/>
        </w:rPr>
      </w:pPr>
      <w:r w:rsidRPr="006E2F20">
        <w:rPr>
          <w:rFonts w:eastAsia="Times New Roman"/>
          <w:b/>
          <w:noProof/>
        </w:rPr>
        <w:t>Mass Home Care</w:t>
      </w:r>
    </w:p>
    <w:p w:rsidR="007B2B7B" w:rsidRPr="006E2F20" w:rsidRDefault="007B2B7B" w:rsidP="007B2B7B">
      <w:pPr>
        <w:jc w:val="both"/>
        <w:rPr>
          <w:rFonts w:eastAsia="Times New Roman"/>
          <w:b/>
          <w:noProof/>
        </w:rPr>
      </w:pPr>
      <w:r w:rsidRPr="006E2F20">
        <w:rPr>
          <w:rFonts w:eastAsia="Times New Roman"/>
          <w:b/>
          <w:noProof/>
        </w:rPr>
        <w:t>June 24, 2016</w:t>
      </w:r>
    </w:p>
    <w:p w:rsidR="007B2B7B" w:rsidRPr="006E2F20" w:rsidRDefault="007B2B7B" w:rsidP="007B2B7B">
      <w:pPr>
        <w:ind w:firstLine="720"/>
        <w:jc w:val="both"/>
        <w:rPr>
          <w:rFonts w:eastAsia="Times New Roman"/>
        </w:rPr>
      </w:pPr>
    </w:p>
    <w:p w:rsidR="007B2B7B" w:rsidRPr="006E2F20" w:rsidRDefault="007B2B7B" w:rsidP="007B2B7B">
      <w:pPr>
        <w:ind w:firstLine="720"/>
        <w:jc w:val="both"/>
        <w:rPr>
          <w:rFonts w:eastAsia="Times New Roman"/>
        </w:rPr>
      </w:pPr>
    </w:p>
    <w:p w:rsidR="007B2B7B" w:rsidRDefault="007B2B7B">
      <w:pPr>
        <w:widowControl/>
        <w:autoSpaceDE/>
        <w:autoSpaceDN/>
        <w:adjustRightInd/>
        <w:spacing w:after="200" w:line="276" w:lineRule="auto"/>
        <w:rPr>
          <w:rFonts w:eastAsia="Times New Roman"/>
        </w:rPr>
      </w:pPr>
      <w:r>
        <w:rPr>
          <w:rFonts w:eastAsia="Times New Roman"/>
        </w:rPr>
        <w:br w:type="page"/>
      </w:r>
    </w:p>
    <w:p w:rsidR="007B2B7B" w:rsidRPr="006E2F20" w:rsidRDefault="007B2B7B" w:rsidP="007B2B7B">
      <w:pPr>
        <w:ind w:firstLine="720"/>
        <w:jc w:val="both"/>
        <w:rPr>
          <w:rFonts w:eastAsia="Times New Roman"/>
        </w:rPr>
      </w:pPr>
    </w:p>
    <w:p w:rsidR="007B2B7B" w:rsidRPr="006E2F20" w:rsidRDefault="007B2B7B" w:rsidP="007B2B7B">
      <w:pPr>
        <w:ind w:firstLine="720"/>
        <w:jc w:val="both"/>
        <w:rPr>
          <w:rFonts w:eastAsia="Times New Roman"/>
        </w:rPr>
      </w:pPr>
    </w:p>
    <w:p w:rsidR="007B2B7B" w:rsidRPr="006E2F20" w:rsidRDefault="007B2B7B" w:rsidP="007B2B7B"/>
    <w:p w:rsidR="002C5025" w:rsidRDefault="00FB027C">
      <w:pPr>
        <w:pStyle w:val="BodyText"/>
        <w:kinsoku w:val="0"/>
        <w:overflowPunct w:val="0"/>
        <w:ind w:left="101"/>
        <w:rPr>
          <w:rFonts w:ascii="Arial" w:hAnsi="Arial" w:cs="Arial"/>
          <w:sz w:val="20"/>
          <w:szCs w:val="20"/>
        </w:rPr>
      </w:pPr>
      <w:r>
        <w:rPr>
          <w:rFonts w:ascii="Arial" w:hAnsi="Arial" w:cs="Arial"/>
          <w:noProof/>
          <w:sz w:val="20"/>
          <w:szCs w:val="20"/>
        </w:rPr>
        <w:drawing>
          <wp:inline distT="0" distB="0" distL="0" distR="0">
            <wp:extent cx="6419850" cy="1076325"/>
            <wp:effectExtent l="0" t="0" r="0" b="9525"/>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404">
                      <a:extLst>
                        <a:ext uri="{28A0092B-C50C-407E-A947-70E740481C1C}">
                          <a14:useLocalDpi xmlns:a14="http://schemas.microsoft.com/office/drawing/2010/main" val="0"/>
                        </a:ext>
                      </a:extLst>
                    </a:blip>
                    <a:srcRect/>
                    <a:stretch>
                      <a:fillRect/>
                    </a:stretch>
                  </pic:blipFill>
                  <pic:spPr bwMode="auto">
                    <a:xfrm>
                      <a:off x="0" y="0"/>
                      <a:ext cx="6419850" cy="1076325"/>
                    </a:xfrm>
                    <a:prstGeom prst="rect">
                      <a:avLst/>
                    </a:prstGeom>
                    <a:noFill/>
                    <a:ln>
                      <a:noFill/>
                    </a:ln>
                  </pic:spPr>
                </pic:pic>
              </a:graphicData>
            </a:graphic>
          </wp:inline>
        </w:drawing>
      </w:r>
    </w:p>
    <w:p w:rsidR="002C5025" w:rsidRDefault="002C5025">
      <w:pPr>
        <w:pStyle w:val="BodyText"/>
        <w:kinsoku w:val="0"/>
        <w:overflowPunct w:val="0"/>
        <w:spacing w:before="53" w:line="280" w:lineRule="auto"/>
        <w:ind w:left="2031" w:right="110" w:hanging="1390"/>
        <w:rPr>
          <w:rFonts w:ascii="Arial" w:hAnsi="Arial" w:cs="Arial"/>
          <w:b/>
          <w:bCs/>
          <w:w w:val="95"/>
          <w:sz w:val="32"/>
          <w:szCs w:val="32"/>
        </w:rPr>
      </w:pPr>
      <w:bookmarkStart w:id="190" w:name="Mass_Home_Care"/>
      <w:bookmarkEnd w:id="190"/>
      <w:r>
        <w:rPr>
          <w:rFonts w:ascii="Arial" w:hAnsi="Arial" w:cs="Arial"/>
          <w:b/>
          <w:bCs/>
          <w:sz w:val="32"/>
          <w:szCs w:val="32"/>
        </w:rPr>
        <w:t xml:space="preserve">Statement Regarding the </w:t>
      </w:r>
      <w:r>
        <w:rPr>
          <w:rFonts w:ascii="Arial" w:hAnsi="Arial" w:cs="Arial"/>
          <w:b/>
          <w:bCs/>
          <w:spacing w:val="-56"/>
          <w:w w:val="110"/>
          <w:sz w:val="32"/>
          <w:szCs w:val="32"/>
        </w:rPr>
        <w:t xml:space="preserve">1115 </w:t>
      </w:r>
      <w:r>
        <w:rPr>
          <w:rFonts w:ascii="Arial" w:hAnsi="Arial" w:cs="Arial"/>
          <w:b/>
          <w:bCs/>
          <w:sz w:val="32"/>
          <w:szCs w:val="32"/>
        </w:rPr>
        <w:t xml:space="preserve">ACO Demonstration Waiver </w:t>
      </w:r>
      <w:r>
        <w:rPr>
          <w:rFonts w:ascii="Arial" w:hAnsi="Arial" w:cs="Arial"/>
          <w:b/>
          <w:bCs/>
          <w:w w:val="95"/>
          <w:sz w:val="32"/>
          <w:szCs w:val="32"/>
        </w:rPr>
        <w:t>Gregory Giuliano,</w:t>
      </w:r>
      <w:r>
        <w:rPr>
          <w:rFonts w:ascii="Arial" w:hAnsi="Arial" w:cs="Arial"/>
          <w:b/>
          <w:bCs/>
          <w:spacing w:val="-67"/>
          <w:w w:val="95"/>
          <w:sz w:val="32"/>
          <w:szCs w:val="32"/>
        </w:rPr>
        <w:t xml:space="preserve"> </w:t>
      </w:r>
      <w:r>
        <w:rPr>
          <w:rFonts w:ascii="Arial" w:hAnsi="Arial" w:cs="Arial"/>
          <w:b/>
          <w:bCs/>
          <w:w w:val="95"/>
          <w:sz w:val="32"/>
          <w:szCs w:val="32"/>
        </w:rPr>
        <w:t>President, Mass Home Care</w:t>
      </w:r>
    </w:p>
    <w:p w:rsidR="002C5025" w:rsidRDefault="002C5025">
      <w:pPr>
        <w:pStyle w:val="BodyText"/>
        <w:kinsoku w:val="0"/>
        <w:overflowPunct w:val="0"/>
        <w:spacing w:before="1" w:line="300" w:lineRule="auto"/>
        <w:ind w:left="101" w:right="110" w:firstLine="7"/>
        <w:rPr>
          <w:rFonts w:ascii="Arial" w:hAnsi="Arial" w:cs="Arial"/>
          <w:w w:val="105"/>
          <w:sz w:val="23"/>
          <w:szCs w:val="23"/>
        </w:rPr>
      </w:pPr>
      <w:r>
        <w:rPr>
          <w:rFonts w:ascii="Arial" w:hAnsi="Arial" w:cs="Arial"/>
          <w:w w:val="105"/>
          <w:sz w:val="23"/>
          <w:szCs w:val="23"/>
        </w:rPr>
        <w:t xml:space="preserve">On Friday, June 24th, Mass Home Care submitted a statement at the first listening session on the </w:t>
      </w:r>
      <w:r>
        <w:rPr>
          <w:rFonts w:ascii="Arial" w:hAnsi="Arial" w:cs="Arial"/>
          <w:spacing w:val="-65"/>
          <w:w w:val="125"/>
          <w:sz w:val="23"/>
          <w:szCs w:val="23"/>
        </w:rPr>
        <w:t xml:space="preserve">1115 </w:t>
      </w:r>
      <w:r>
        <w:rPr>
          <w:rFonts w:ascii="Arial" w:hAnsi="Arial" w:cs="Arial"/>
          <w:w w:val="105"/>
          <w:sz w:val="23"/>
          <w:szCs w:val="23"/>
        </w:rPr>
        <w:t xml:space="preserve">ACO Demonstration plan. As the President-elect of Mass Home Care, I wish to share with MassHealth  the </w:t>
      </w:r>
      <w:r>
        <w:rPr>
          <w:rFonts w:ascii="Arial" w:hAnsi="Arial" w:cs="Arial"/>
          <w:spacing w:val="2"/>
          <w:w w:val="105"/>
          <w:sz w:val="23"/>
          <w:szCs w:val="23"/>
        </w:rPr>
        <w:t xml:space="preserve">following </w:t>
      </w:r>
      <w:r>
        <w:rPr>
          <w:rFonts w:ascii="Arial" w:hAnsi="Arial" w:cs="Arial"/>
          <w:w w:val="105"/>
          <w:sz w:val="23"/>
          <w:szCs w:val="23"/>
        </w:rPr>
        <w:t>request regarding the need for "independent LTSS  agents":</w:t>
      </w:r>
    </w:p>
    <w:p w:rsidR="002C5025" w:rsidRDefault="002C5025">
      <w:pPr>
        <w:pStyle w:val="BodyText"/>
        <w:kinsoku w:val="0"/>
        <w:overflowPunct w:val="0"/>
        <w:spacing w:before="4"/>
        <w:rPr>
          <w:rFonts w:ascii="Arial" w:hAnsi="Arial" w:cs="Arial"/>
          <w:sz w:val="28"/>
          <w:szCs w:val="28"/>
        </w:rPr>
      </w:pPr>
    </w:p>
    <w:p w:rsidR="002C5025" w:rsidRDefault="002C5025">
      <w:pPr>
        <w:pStyle w:val="BodyText"/>
        <w:kinsoku w:val="0"/>
        <w:overflowPunct w:val="0"/>
        <w:spacing w:line="297" w:lineRule="auto"/>
        <w:ind w:left="101" w:right="444" w:firstLine="7"/>
        <w:rPr>
          <w:rFonts w:ascii="Arial" w:hAnsi="Arial" w:cs="Arial"/>
          <w:w w:val="105"/>
          <w:sz w:val="23"/>
          <w:szCs w:val="23"/>
        </w:rPr>
      </w:pPr>
      <w:r>
        <w:rPr>
          <w:rFonts w:ascii="Arial" w:hAnsi="Arial" w:cs="Arial"/>
          <w:w w:val="106"/>
          <w:sz w:val="23"/>
          <w:szCs w:val="23"/>
        </w:rPr>
        <w:t xml:space="preserve">MassHealth </w:t>
      </w:r>
      <w:r>
        <w:rPr>
          <w:rFonts w:ascii="Arial" w:hAnsi="Arial" w:cs="Arial"/>
          <w:w w:val="97"/>
          <w:sz w:val="23"/>
          <w:szCs w:val="23"/>
        </w:rPr>
        <w:t xml:space="preserve">has </w:t>
      </w:r>
      <w:r>
        <w:rPr>
          <w:rFonts w:ascii="Arial" w:hAnsi="Arial" w:cs="Arial"/>
          <w:w w:val="102"/>
          <w:sz w:val="23"/>
          <w:szCs w:val="23"/>
        </w:rPr>
        <w:t xml:space="preserve">been given </w:t>
      </w:r>
      <w:r>
        <w:rPr>
          <w:rFonts w:ascii="Arial" w:hAnsi="Arial" w:cs="Arial"/>
          <w:w w:val="106"/>
          <w:sz w:val="23"/>
          <w:szCs w:val="23"/>
        </w:rPr>
        <w:t xml:space="preserve">ample </w:t>
      </w:r>
      <w:r>
        <w:rPr>
          <w:rFonts w:ascii="Arial" w:hAnsi="Arial" w:cs="Arial"/>
          <w:w w:val="102"/>
          <w:sz w:val="23"/>
          <w:szCs w:val="23"/>
        </w:rPr>
        <w:t xml:space="preserve">evidence </w:t>
      </w:r>
      <w:r>
        <w:rPr>
          <w:rFonts w:ascii="Arial" w:hAnsi="Arial" w:cs="Arial"/>
          <w:w w:val="111"/>
          <w:sz w:val="23"/>
          <w:szCs w:val="23"/>
        </w:rPr>
        <w:t xml:space="preserve">that </w:t>
      </w:r>
      <w:r>
        <w:rPr>
          <w:rFonts w:ascii="Arial" w:hAnsi="Arial" w:cs="Arial"/>
          <w:w w:val="107"/>
          <w:sz w:val="23"/>
          <w:szCs w:val="23"/>
        </w:rPr>
        <w:t xml:space="preserve">there </w:t>
      </w:r>
      <w:r>
        <w:rPr>
          <w:rFonts w:ascii="Arial" w:hAnsi="Arial" w:cs="Arial"/>
          <w:w w:val="130"/>
          <w:sz w:val="23"/>
          <w:szCs w:val="23"/>
        </w:rPr>
        <w:t xml:space="preserve">is </w:t>
      </w:r>
      <w:r>
        <w:rPr>
          <w:rFonts w:ascii="Arial" w:hAnsi="Arial" w:cs="Arial"/>
          <w:w w:val="104"/>
          <w:sz w:val="23"/>
          <w:szCs w:val="23"/>
        </w:rPr>
        <w:t xml:space="preserve">widespread </w:t>
      </w:r>
      <w:r>
        <w:rPr>
          <w:rFonts w:ascii="Arial" w:hAnsi="Arial" w:cs="Arial"/>
          <w:w w:val="105"/>
          <w:sz w:val="23"/>
          <w:szCs w:val="23"/>
        </w:rPr>
        <w:t xml:space="preserve">support </w:t>
      </w:r>
      <w:r>
        <w:rPr>
          <w:rFonts w:ascii="Arial" w:hAnsi="Arial" w:cs="Arial"/>
          <w:w w:val="106"/>
          <w:sz w:val="23"/>
          <w:szCs w:val="23"/>
        </w:rPr>
        <w:t xml:space="preserve">among </w:t>
      </w:r>
      <w:r>
        <w:rPr>
          <w:rFonts w:ascii="Arial" w:hAnsi="Arial" w:cs="Arial"/>
          <w:w w:val="105"/>
          <w:sz w:val="23"/>
          <w:szCs w:val="23"/>
        </w:rPr>
        <w:t>community-based organizations who work with the elderly and disabled for the ACO plan to include an "independent agent" for LTSS on the interdisciplinary  care  team:</w:t>
      </w:r>
    </w:p>
    <w:p w:rsidR="002C5025" w:rsidRDefault="002C5025">
      <w:pPr>
        <w:pStyle w:val="BodyText"/>
        <w:kinsoku w:val="0"/>
        <w:overflowPunct w:val="0"/>
        <w:spacing w:before="2"/>
        <w:rPr>
          <w:rFonts w:ascii="Arial" w:hAnsi="Arial" w:cs="Arial"/>
          <w:sz w:val="29"/>
          <w:szCs w:val="29"/>
        </w:rPr>
      </w:pPr>
    </w:p>
    <w:p w:rsidR="002C5025" w:rsidRDefault="002C5025">
      <w:pPr>
        <w:pStyle w:val="ListParagraph"/>
        <w:numPr>
          <w:ilvl w:val="0"/>
          <w:numId w:val="8"/>
        </w:numPr>
        <w:tabs>
          <w:tab w:val="left" w:pos="815"/>
        </w:tabs>
        <w:kinsoku w:val="0"/>
        <w:overflowPunct w:val="0"/>
        <w:spacing w:line="300" w:lineRule="auto"/>
        <w:ind w:right="375" w:hanging="339"/>
        <w:rPr>
          <w:rFonts w:ascii="Arial" w:hAnsi="Arial" w:cs="Arial"/>
          <w:color w:val="000000"/>
          <w:w w:val="110"/>
          <w:sz w:val="23"/>
          <w:szCs w:val="23"/>
        </w:rPr>
      </w:pPr>
      <w:r>
        <w:rPr>
          <w:rFonts w:ascii="Arial" w:hAnsi="Arial" w:cs="Arial"/>
          <w:sz w:val="23"/>
          <w:szCs w:val="23"/>
        </w:rPr>
        <w:t xml:space="preserve">On </w:t>
      </w:r>
      <w:r>
        <w:rPr>
          <w:rFonts w:ascii="Arial" w:hAnsi="Arial" w:cs="Arial"/>
          <w:w w:val="105"/>
          <w:sz w:val="23"/>
          <w:szCs w:val="23"/>
        </w:rPr>
        <w:t xml:space="preserve">October </w:t>
      </w:r>
      <w:r>
        <w:rPr>
          <w:rFonts w:ascii="Arial" w:hAnsi="Arial" w:cs="Arial"/>
          <w:spacing w:val="-17"/>
          <w:w w:val="128"/>
          <w:sz w:val="23"/>
          <w:szCs w:val="23"/>
        </w:rPr>
        <w:t>1,2015,</w:t>
      </w:r>
      <w:r>
        <w:rPr>
          <w:rFonts w:ascii="Arial" w:hAnsi="Arial" w:cs="Arial"/>
          <w:w w:val="128"/>
          <w:sz w:val="23"/>
          <w:szCs w:val="23"/>
        </w:rPr>
        <w:t xml:space="preserve"> </w:t>
      </w:r>
      <w:r>
        <w:rPr>
          <w:rFonts w:ascii="Arial" w:hAnsi="Arial" w:cs="Arial"/>
          <w:spacing w:val="-57"/>
          <w:w w:val="147"/>
          <w:sz w:val="23"/>
          <w:szCs w:val="23"/>
        </w:rPr>
        <w:t>112</w:t>
      </w:r>
      <w:r>
        <w:rPr>
          <w:rFonts w:ascii="Arial" w:hAnsi="Arial" w:cs="Arial"/>
          <w:w w:val="147"/>
          <w:sz w:val="23"/>
          <w:szCs w:val="23"/>
        </w:rPr>
        <w:t xml:space="preserve"> </w:t>
      </w:r>
      <w:r>
        <w:rPr>
          <w:rFonts w:ascii="Arial" w:hAnsi="Arial" w:cs="Arial"/>
          <w:w w:val="105"/>
          <w:sz w:val="23"/>
          <w:szCs w:val="23"/>
        </w:rPr>
        <w:t xml:space="preserve">community-based </w:t>
      </w:r>
      <w:r>
        <w:rPr>
          <w:rFonts w:ascii="Arial" w:hAnsi="Arial" w:cs="Arial"/>
          <w:w w:val="103"/>
          <w:sz w:val="23"/>
          <w:szCs w:val="23"/>
        </w:rPr>
        <w:t xml:space="preserve">groups </w:t>
      </w:r>
      <w:r>
        <w:rPr>
          <w:rFonts w:ascii="Arial" w:hAnsi="Arial" w:cs="Arial"/>
          <w:w w:val="102"/>
          <w:sz w:val="23"/>
          <w:szCs w:val="23"/>
        </w:rPr>
        <w:t xml:space="preserve">sent </w:t>
      </w:r>
      <w:r>
        <w:rPr>
          <w:rFonts w:ascii="Arial" w:hAnsi="Arial" w:cs="Arial"/>
          <w:w w:val="82"/>
          <w:sz w:val="23"/>
          <w:szCs w:val="23"/>
        </w:rPr>
        <w:t xml:space="preserve">a </w:t>
      </w:r>
      <w:r>
        <w:rPr>
          <w:rFonts w:ascii="Arial" w:hAnsi="Arial" w:cs="Arial"/>
          <w:w w:val="114"/>
          <w:sz w:val="23"/>
          <w:szCs w:val="23"/>
        </w:rPr>
        <w:t xml:space="preserve">letter </w:t>
      </w:r>
      <w:r>
        <w:rPr>
          <w:rFonts w:ascii="Arial" w:hAnsi="Arial" w:cs="Arial"/>
          <w:w w:val="113"/>
          <w:sz w:val="23"/>
          <w:szCs w:val="23"/>
        </w:rPr>
        <w:t xml:space="preserve">to </w:t>
      </w:r>
      <w:r>
        <w:rPr>
          <w:rFonts w:ascii="Arial" w:hAnsi="Arial" w:cs="Arial"/>
          <w:w w:val="104"/>
          <w:sz w:val="23"/>
          <w:szCs w:val="23"/>
        </w:rPr>
        <w:t xml:space="preserve">Governor </w:t>
      </w:r>
      <w:r>
        <w:rPr>
          <w:rFonts w:ascii="Arial" w:hAnsi="Arial" w:cs="Arial"/>
          <w:w w:val="98"/>
          <w:sz w:val="23"/>
          <w:szCs w:val="23"/>
        </w:rPr>
        <w:t xml:space="preserve">Baker </w:t>
      </w:r>
      <w:r>
        <w:rPr>
          <w:rFonts w:ascii="Arial" w:hAnsi="Arial" w:cs="Arial"/>
          <w:w w:val="110"/>
          <w:sz w:val="23"/>
          <w:szCs w:val="23"/>
        </w:rPr>
        <w:t>saying</w:t>
      </w:r>
      <w:r>
        <w:rPr>
          <w:rFonts w:ascii="Arial" w:hAnsi="Arial" w:cs="Arial"/>
          <w:spacing w:val="-37"/>
          <w:w w:val="110"/>
          <w:sz w:val="23"/>
          <w:szCs w:val="23"/>
        </w:rPr>
        <w:t xml:space="preserve"> </w:t>
      </w:r>
      <w:r>
        <w:rPr>
          <w:rFonts w:ascii="Arial" w:hAnsi="Arial" w:cs="Arial"/>
          <w:w w:val="110"/>
          <w:sz w:val="23"/>
          <w:szCs w:val="23"/>
        </w:rPr>
        <w:t>"Whatever</w:t>
      </w:r>
      <w:r>
        <w:rPr>
          <w:rFonts w:ascii="Arial" w:hAnsi="Arial" w:cs="Arial"/>
          <w:spacing w:val="-25"/>
          <w:w w:val="110"/>
          <w:sz w:val="23"/>
          <w:szCs w:val="23"/>
        </w:rPr>
        <w:t xml:space="preserve"> </w:t>
      </w:r>
      <w:r>
        <w:rPr>
          <w:rFonts w:ascii="Arial" w:hAnsi="Arial" w:cs="Arial"/>
          <w:w w:val="110"/>
          <w:sz w:val="23"/>
          <w:szCs w:val="23"/>
        </w:rPr>
        <w:t>plan</w:t>
      </w:r>
      <w:r>
        <w:rPr>
          <w:rFonts w:ascii="Arial" w:hAnsi="Arial" w:cs="Arial"/>
          <w:spacing w:val="-42"/>
          <w:w w:val="110"/>
          <w:sz w:val="23"/>
          <w:szCs w:val="23"/>
        </w:rPr>
        <w:t xml:space="preserve"> </w:t>
      </w:r>
      <w:r>
        <w:rPr>
          <w:rFonts w:ascii="Arial" w:hAnsi="Arial" w:cs="Arial"/>
          <w:w w:val="110"/>
          <w:sz w:val="23"/>
          <w:szCs w:val="23"/>
        </w:rPr>
        <w:t>emerges</w:t>
      </w:r>
      <w:r>
        <w:rPr>
          <w:rFonts w:ascii="Arial" w:hAnsi="Arial" w:cs="Arial"/>
          <w:spacing w:val="-35"/>
          <w:w w:val="110"/>
          <w:sz w:val="23"/>
          <w:szCs w:val="23"/>
        </w:rPr>
        <w:t xml:space="preserve"> </w:t>
      </w:r>
      <w:r>
        <w:rPr>
          <w:rFonts w:ascii="Arial" w:hAnsi="Arial" w:cs="Arial"/>
          <w:w w:val="110"/>
          <w:sz w:val="23"/>
          <w:szCs w:val="23"/>
        </w:rPr>
        <w:t>from</w:t>
      </w:r>
      <w:r>
        <w:rPr>
          <w:rFonts w:ascii="Arial" w:hAnsi="Arial" w:cs="Arial"/>
          <w:spacing w:val="-38"/>
          <w:w w:val="110"/>
          <w:sz w:val="23"/>
          <w:szCs w:val="23"/>
        </w:rPr>
        <w:t xml:space="preserve"> </w:t>
      </w:r>
      <w:r>
        <w:rPr>
          <w:rFonts w:ascii="Arial" w:hAnsi="Arial" w:cs="Arial"/>
          <w:w w:val="110"/>
          <w:sz w:val="23"/>
          <w:szCs w:val="23"/>
        </w:rPr>
        <w:t>the</w:t>
      </w:r>
      <w:r>
        <w:rPr>
          <w:rFonts w:ascii="Arial" w:hAnsi="Arial" w:cs="Arial"/>
          <w:spacing w:val="-34"/>
          <w:w w:val="110"/>
          <w:sz w:val="23"/>
          <w:szCs w:val="23"/>
        </w:rPr>
        <w:t xml:space="preserve"> </w:t>
      </w:r>
      <w:r>
        <w:rPr>
          <w:rFonts w:ascii="Arial" w:hAnsi="Arial" w:cs="Arial"/>
          <w:w w:val="110"/>
          <w:sz w:val="23"/>
          <w:szCs w:val="23"/>
        </w:rPr>
        <w:t>MassHealth</w:t>
      </w:r>
      <w:r>
        <w:rPr>
          <w:rFonts w:ascii="Arial" w:hAnsi="Arial" w:cs="Arial"/>
          <w:spacing w:val="-32"/>
          <w:w w:val="110"/>
          <w:sz w:val="23"/>
          <w:szCs w:val="23"/>
        </w:rPr>
        <w:t xml:space="preserve"> </w:t>
      </w:r>
      <w:r>
        <w:rPr>
          <w:rFonts w:ascii="Arial" w:hAnsi="Arial" w:cs="Arial"/>
          <w:w w:val="110"/>
          <w:sz w:val="23"/>
          <w:szCs w:val="23"/>
        </w:rPr>
        <w:t>reform</w:t>
      </w:r>
      <w:r>
        <w:rPr>
          <w:rFonts w:ascii="Arial" w:hAnsi="Arial" w:cs="Arial"/>
          <w:spacing w:val="-35"/>
          <w:w w:val="110"/>
          <w:sz w:val="23"/>
          <w:szCs w:val="23"/>
        </w:rPr>
        <w:t xml:space="preserve"> </w:t>
      </w:r>
      <w:r>
        <w:rPr>
          <w:rFonts w:ascii="Arial" w:hAnsi="Arial" w:cs="Arial"/>
          <w:w w:val="110"/>
          <w:sz w:val="23"/>
          <w:szCs w:val="23"/>
        </w:rPr>
        <w:t>discussions,</w:t>
      </w:r>
      <w:r>
        <w:rPr>
          <w:rFonts w:ascii="Arial" w:hAnsi="Arial" w:cs="Arial"/>
          <w:spacing w:val="-39"/>
          <w:w w:val="110"/>
          <w:sz w:val="23"/>
          <w:szCs w:val="23"/>
        </w:rPr>
        <w:t xml:space="preserve"> </w:t>
      </w:r>
      <w:r>
        <w:rPr>
          <w:rFonts w:ascii="Arial" w:hAnsi="Arial" w:cs="Arial"/>
          <w:w w:val="110"/>
          <w:sz w:val="23"/>
          <w:szCs w:val="23"/>
        </w:rPr>
        <w:t>we</w:t>
      </w:r>
      <w:r>
        <w:rPr>
          <w:rFonts w:ascii="Arial" w:hAnsi="Arial" w:cs="Arial"/>
          <w:spacing w:val="-32"/>
          <w:w w:val="110"/>
          <w:sz w:val="23"/>
          <w:szCs w:val="23"/>
        </w:rPr>
        <w:t xml:space="preserve"> </w:t>
      </w:r>
      <w:r>
        <w:rPr>
          <w:rFonts w:ascii="Arial" w:hAnsi="Arial" w:cs="Arial"/>
          <w:w w:val="110"/>
          <w:sz w:val="23"/>
          <w:szCs w:val="23"/>
        </w:rPr>
        <w:t>urge</w:t>
      </w:r>
      <w:r>
        <w:rPr>
          <w:rFonts w:ascii="Arial" w:hAnsi="Arial" w:cs="Arial"/>
          <w:spacing w:val="-40"/>
          <w:w w:val="110"/>
          <w:sz w:val="23"/>
          <w:szCs w:val="23"/>
        </w:rPr>
        <w:t xml:space="preserve"> </w:t>
      </w:r>
      <w:r>
        <w:rPr>
          <w:rFonts w:ascii="Arial" w:hAnsi="Arial" w:cs="Arial"/>
          <w:w w:val="110"/>
          <w:sz w:val="23"/>
          <w:szCs w:val="23"/>
        </w:rPr>
        <w:t>you to</w:t>
      </w:r>
      <w:r>
        <w:rPr>
          <w:rFonts w:ascii="Arial" w:hAnsi="Arial" w:cs="Arial"/>
          <w:spacing w:val="-43"/>
          <w:w w:val="110"/>
          <w:sz w:val="23"/>
          <w:szCs w:val="23"/>
        </w:rPr>
        <w:t xml:space="preserve"> </w:t>
      </w:r>
      <w:r>
        <w:rPr>
          <w:rFonts w:ascii="Arial" w:hAnsi="Arial" w:cs="Arial"/>
          <w:w w:val="110"/>
          <w:sz w:val="23"/>
          <w:szCs w:val="23"/>
        </w:rPr>
        <w:t>guarantee</w:t>
      </w:r>
      <w:r>
        <w:rPr>
          <w:rFonts w:ascii="Arial" w:hAnsi="Arial" w:cs="Arial"/>
          <w:spacing w:val="-38"/>
          <w:w w:val="110"/>
          <w:sz w:val="23"/>
          <w:szCs w:val="23"/>
        </w:rPr>
        <w:t xml:space="preserve"> </w:t>
      </w:r>
      <w:r>
        <w:rPr>
          <w:rFonts w:ascii="Arial" w:hAnsi="Arial" w:cs="Arial"/>
          <w:w w:val="110"/>
          <w:sz w:val="23"/>
          <w:szCs w:val="23"/>
        </w:rPr>
        <w:t>that</w:t>
      </w:r>
      <w:r>
        <w:rPr>
          <w:rFonts w:ascii="Arial" w:hAnsi="Arial" w:cs="Arial"/>
          <w:spacing w:val="-34"/>
          <w:w w:val="110"/>
          <w:sz w:val="23"/>
          <w:szCs w:val="23"/>
        </w:rPr>
        <w:t xml:space="preserve"> </w:t>
      </w:r>
      <w:r>
        <w:rPr>
          <w:rFonts w:ascii="Arial" w:hAnsi="Arial" w:cs="Arial"/>
          <w:w w:val="110"/>
          <w:sz w:val="23"/>
          <w:szCs w:val="23"/>
        </w:rPr>
        <w:t>all</w:t>
      </w:r>
      <w:r>
        <w:rPr>
          <w:rFonts w:ascii="Arial" w:hAnsi="Arial" w:cs="Arial"/>
          <w:spacing w:val="-35"/>
          <w:w w:val="110"/>
          <w:sz w:val="23"/>
          <w:szCs w:val="23"/>
        </w:rPr>
        <w:t xml:space="preserve"> </w:t>
      </w:r>
      <w:r>
        <w:rPr>
          <w:rFonts w:ascii="Arial" w:hAnsi="Arial" w:cs="Arial"/>
          <w:w w:val="110"/>
          <w:sz w:val="23"/>
          <w:szCs w:val="23"/>
        </w:rPr>
        <w:t>managed</w:t>
      </w:r>
      <w:r>
        <w:rPr>
          <w:rFonts w:ascii="Arial" w:hAnsi="Arial" w:cs="Arial"/>
          <w:spacing w:val="-40"/>
          <w:w w:val="110"/>
          <w:sz w:val="23"/>
          <w:szCs w:val="23"/>
        </w:rPr>
        <w:t xml:space="preserve"> </w:t>
      </w:r>
      <w:r>
        <w:rPr>
          <w:rFonts w:ascii="Arial" w:hAnsi="Arial" w:cs="Arial"/>
          <w:w w:val="110"/>
          <w:sz w:val="23"/>
          <w:szCs w:val="23"/>
        </w:rPr>
        <w:t>care</w:t>
      </w:r>
      <w:r>
        <w:rPr>
          <w:rFonts w:ascii="Arial" w:hAnsi="Arial" w:cs="Arial"/>
          <w:spacing w:val="-40"/>
          <w:w w:val="110"/>
          <w:sz w:val="23"/>
          <w:szCs w:val="23"/>
        </w:rPr>
        <w:t xml:space="preserve"> </w:t>
      </w:r>
      <w:r>
        <w:rPr>
          <w:rFonts w:ascii="Arial" w:hAnsi="Arial" w:cs="Arial"/>
          <w:w w:val="110"/>
          <w:sz w:val="23"/>
          <w:szCs w:val="23"/>
        </w:rPr>
        <w:t>organizations</w:t>
      </w:r>
      <w:r>
        <w:rPr>
          <w:rFonts w:ascii="Arial" w:hAnsi="Arial" w:cs="Arial"/>
          <w:spacing w:val="-31"/>
          <w:w w:val="110"/>
          <w:sz w:val="23"/>
          <w:szCs w:val="23"/>
        </w:rPr>
        <w:t xml:space="preserve"> </w:t>
      </w:r>
      <w:r>
        <w:rPr>
          <w:rFonts w:ascii="Arial" w:hAnsi="Arial" w:cs="Arial"/>
          <w:w w:val="110"/>
          <w:sz w:val="23"/>
          <w:szCs w:val="23"/>
        </w:rPr>
        <w:t>covering</w:t>
      </w:r>
      <w:r>
        <w:rPr>
          <w:rFonts w:ascii="Arial" w:hAnsi="Arial" w:cs="Arial"/>
          <w:spacing w:val="-41"/>
          <w:w w:val="110"/>
          <w:sz w:val="23"/>
          <w:szCs w:val="23"/>
        </w:rPr>
        <w:t xml:space="preserve"> </w:t>
      </w:r>
      <w:r>
        <w:rPr>
          <w:rFonts w:ascii="Arial" w:hAnsi="Arial" w:cs="Arial"/>
          <w:w w:val="105"/>
          <w:sz w:val="23"/>
          <w:szCs w:val="23"/>
        </w:rPr>
        <w:t>LTSS</w:t>
      </w:r>
      <w:r>
        <w:rPr>
          <w:rFonts w:ascii="Arial" w:hAnsi="Arial" w:cs="Arial"/>
          <w:spacing w:val="-36"/>
          <w:w w:val="105"/>
          <w:sz w:val="23"/>
          <w:szCs w:val="23"/>
        </w:rPr>
        <w:t xml:space="preserve"> </w:t>
      </w:r>
      <w:r>
        <w:rPr>
          <w:rFonts w:ascii="Arial" w:hAnsi="Arial" w:cs="Arial"/>
          <w:w w:val="110"/>
          <w:sz w:val="23"/>
          <w:szCs w:val="23"/>
        </w:rPr>
        <w:t>provide</w:t>
      </w:r>
      <w:r>
        <w:rPr>
          <w:rFonts w:ascii="Arial" w:hAnsi="Arial" w:cs="Arial"/>
          <w:spacing w:val="-41"/>
          <w:w w:val="110"/>
          <w:sz w:val="23"/>
          <w:szCs w:val="23"/>
        </w:rPr>
        <w:t xml:space="preserve"> </w:t>
      </w:r>
      <w:r>
        <w:rPr>
          <w:rFonts w:ascii="Arial" w:hAnsi="Arial" w:cs="Arial"/>
          <w:w w:val="110"/>
          <w:sz w:val="23"/>
          <w:szCs w:val="23"/>
        </w:rPr>
        <w:t>as</w:t>
      </w:r>
      <w:r>
        <w:rPr>
          <w:rFonts w:ascii="Arial" w:hAnsi="Arial" w:cs="Arial"/>
          <w:spacing w:val="-41"/>
          <w:w w:val="110"/>
          <w:sz w:val="23"/>
          <w:szCs w:val="23"/>
        </w:rPr>
        <w:t xml:space="preserve"> </w:t>
      </w:r>
      <w:r>
        <w:rPr>
          <w:rFonts w:ascii="Arial" w:hAnsi="Arial" w:cs="Arial"/>
          <w:w w:val="110"/>
          <w:sz w:val="23"/>
          <w:szCs w:val="23"/>
        </w:rPr>
        <w:t>a</w:t>
      </w:r>
      <w:r>
        <w:rPr>
          <w:rFonts w:ascii="Arial" w:hAnsi="Arial" w:cs="Arial"/>
          <w:spacing w:val="-38"/>
          <w:w w:val="110"/>
          <w:sz w:val="23"/>
          <w:szCs w:val="23"/>
        </w:rPr>
        <w:t xml:space="preserve"> </w:t>
      </w:r>
      <w:r>
        <w:rPr>
          <w:rFonts w:ascii="Arial" w:hAnsi="Arial" w:cs="Arial"/>
          <w:w w:val="110"/>
          <w:sz w:val="23"/>
          <w:szCs w:val="23"/>
        </w:rPr>
        <w:t>standard benefit</w:t>
      </w:r>
      <w:r>
        <w:rPr>
          <w:rFonts w:ascii="Arial" w:hAnsi="Arial" w:cs="Arial"/>
          <w:spacing w:val="-26"/>
          <w:w w:val="110"/>
          <w:sz w:val="23"/>
          <w:szCs w:val="23"/>
        </w:rPr>
        <w:t xml:space="preserve"> </w:t>
      </w:r>
      <w:r>
        <w:rPr>
          <w:rFonts w:ascii="Arial" w:hAnsi="Arial" w:cs="Arial"/>
          <w:w w:val="110"/>
          <w:sz w:val="23"/>
          <w:szCs w:val="23"/>
        </w:rPr>
        <w:t>for</w:t>
      </w:r>
      <w:r>
        <w:rPr>
          <w:rFonts w:ascii="Arial" w:hAnsi="Arial" w:cs="Arial"/>
          <w:spacing w:val="-18"/>
          <w:w w:val="110"/>
          <w:sz w:val="23"/>
          <w:szCs w:val="23"/>
        </w:rPr>
        <w:t xml:space="preserve"> </w:t>
      </w:r>
      <w:r>
        <w:rPr>
          <w:rFonts w:ascii="Arial" w:hAnsi="Arial" w:cs="Arial"/>
          <w:w w:val="110"/>
          <w:sz w:val="23"/>
          <w:szCs w:val="23"/>
        </w:rPr>
        <w:t>their</w:t>
      </w:r>
      <w:r>
        <w:rPr>
          <w:rFonts w:ascii="Arial" w:hAnsi="Arial" w:cs="Arial"/>
          <w:spacing w:val="-7"/>
          <w:w w:val="110"/>
          <w:sz w:val="23"/>
          <w:szCs w:val="23"/>
        </w:rPr>
        <w:t xml:space="preserve"> </w:t>
      </w:r>
      <w:r>
        <w:rPr>
          <w:rFonts w:ascii="Arial" w:hAnsi="Arial" w:cs="Arial"/>
          <w:w w:val="110"/>
          <w:sz w:val="23"/>
          <w:szCs w:val="23"/>
        </w:rPr>
        <w:t>members</w:t>
      </w:r>
      <w:r>
        <w:rPr>
          <w:rFonts w:ascii="Arial" w:hAnsi="Arial" w:cs="Arial"/>
          <w:spacing w:val="-18"/>
          <w:w w:val="110"/>
          <w:sz w:val="23"/>
          <w:szCs w:val="23"/>
        </w:rPr>
        <w:t xml:space="preserve"> </w:t>
      </w:r>
      <w:r>
        <w:rPr>
          <w:rFonts w:ascii="Arial" w:hAnsi="Arial" w:cs="Arial"/>
          <w:w w:val="110"/>
          <w:sz w:val="23"/>
          <w:szCs w:val="23"/>
        </w:rPr>
        <w:t>access</w:t>
      </w:r>
      <w:r>
        <w:rPr>
          <w:rFonts w:ascii="Arial" w:hAnsi="Arial" w:cs="Arial"/>
          <w:spacing w:val="-21"/>
          <w:w w:val="110"/>
          <w:sz w:val="23"/>
          <w:szCs w:val="23"/>
        </w:rPr>
        <w:t xml:space="preserve"> </w:t>
      </w:r>
      <w:r>
        <w:rPr>
          <w:rFonts w:ascii="Arial" w:hAnsi="Arial" w:cs="Arial"/>
          <w:w w:val="110"/>
          <w:sz w:val="23"/>
          <w:szCs w:val="23"/>
        </w:rPr>
        <w:t>to</w:t>
      </w:r>
      <w:r>
        <w:rPr>
          <w:rFonts w:ascii="Arial" w:hAnsi="Arial" w:cs="Arial"/>
          <w:spacing w:val="33"/>
          <w:w w:val="110"/>
          <w:sz w:val="23"/>
          <w:szCs w:val="23"/>
        </w:rPr>
        <w:t xml:space="preserve"> </w:t>
      </w:r>
      <w:r>
        <w:rPr>
          <w:rFonts w:ascii="Arial" w:hAnsi="Arial" w:cs="Arial"/>
          <w:spacing w:val="-3"/>
          <w:w w:val="110"/>
          <w:sz w:val="23"/>
          <w:szCs w:val="23"/>
        </w:rPr>
        <w:t>independent</w:t>
      </w:r>
      <w:r>
        <w:rPr>
          <w:rFonts w:ascii="Arial" w:hAnsi="Arial" w:cs="Arial"/>
          <w:spacing w:val="-12"/>
          <w:w w:val="110"/>
          <w:sz w:val="23"/>
          <w:szCs w:val="23"/>
        </w:rPr>
        <w:t xml:space="preserve"> </w:t>
      </w:r>
      <w:r>
        <w:rPr>
          <w:rFonts w:ascii="Arial" w:hAnsi="Arial" w:cs="Arial"/>
          <w:w w:val="110"/>
          <w:sz w:val="23"/>
          <w:szCs w:val="23"/>
        </w:rPr>
        <w:t>conflict-free</w:t>
      </w:r>
      <w:r>
        <w:rPr>
          <w:rFonts w:ascii="Arial" w:hAnsi="Arial" w:cs="Arial"/>
          <w:spacing w:val="-12"/>
          <w:w w:val="110"/>
          <w:sz w:val="23"/>
          <w:szCs w:val="23"/>
        </w:rPr>
        <w:t xml:space="preserve"> </w:t>
      </w:r>
      <w:r>
        <w:rPr>
          <w:rFonts w:ascii="Arial" w:hAnsi="Arial" w:cs="Arial"/>
          <w:w w:val="110"/>
          <w:sz w:val="23"/>
          <w:szCs w:val="23"/>
        </w:rPr>
        <w:t>care</w:t>
      </w:r>
      <w:r>
        <w:rPr>
          <w:rFonts w:ascii="Arial" w:hAnsi="Arial" w:cs="Arial"/>
          <w:spacing w:val="-13"/>
          <w:w w:val="110"/>
          <w:sz w:val="23"/>
          <w:szCs w:val="23"/>
        </w:rPr>
        <w:t xml:space="preserve"> </w:t>
      </w:r>
      <w:r>
        <w:rPr>
          <w:rFonts w:ascii="Arial" w:hAnsi="Arial" w:cs="Arial"/>
          <w:w w:val="110"/>
          <w:sz w:val="23"/>
          <w:szCs w:val="23"/>
        </w:rPr>
        <w:t>coordination."</w:t>
      </w:r>
    </w:p>
    <w:p w:rsidR="002C5025" w:rsidRDefault="002C5025">
      <w:pPr>
        <w:pStyle w:val="ListParagraph"/>
        <w:numPr>
          <w:ilvl w:val="0"/>
          <w:numId w:val="8"/>
        </w:numPr>
        <w:tabs>
          <w:tab w:val="left" w:pos="808"/>
        </w:tabs>
        <w:kinsoku w:val="0"/>
        <w:overflowPunct w:val="0"/>
        <w:spacing w:line="297" w:lineRule="auto"/>
        <w:ind w:right="320" w:hanging="346"/>
        <w:rPr>
          <w:rFonts w:ascii="Arial" w:hAnsi="Arial" w:cs="Arial"/>
          <w:color w:val="000000"/>
          <w:w w:val="105"/>
          <w:sz w:val="23"/>
          <w:szCs w:val="23"/>
        </w:rPr>
      </w:pPr>
      <w:r>
        <w:rPr>
          <w:rFonts w:ascii="Arial" w:hAnsi="Arial" w:cs="Arial"/>
          <w:w w:val="105"/>
          <w:sz w:val="23"/>
          <w:szCs w:val="23"/>
        </w:rPr>
        <w:t>On</w:t>
      </w:r>
      <w:r>
        <w:rPr>
          <w:rFonts w:ascii="Arial" w:hAnsi="Arial" w:cs="Arial"/>
          <w:spacing w:val="-15"/>
          <w:w w:val="105"/>
          <w:sz w:val="23"/>
          <w:szCs w:val="23"/>
        </w:rPr>
        <w:t xml:space="preserve"> </w:t>
      </w:r>
      <w:r>
        <w:rPr>
          <w:rFonts w:ascii="Arial" w:hAnsi="Arial" w:cs="Arial"/>
          <w:w w:val="105"/>
          <w:sz w:val="23"/>
          <w:szCs w:val="23"/>
        </w:rPr>
        <w:t>December</w:t>
      </w:r>
      <w:r>
        <w:rPr>
          <w:rFonts w:ascii="Arial" w:hAnsi="Arial" w:cs="Arial"/>
          <w:spacing w:val="-5"/>
          <w:w w:val="105"/>
          <w:sz w:val="23"/>
          <w:szCs w:val="23"/>
        </w:rPr>
        <w:t xml:space="preserve"> </w:t>
      </w:r>
      <w:r>
        <w:rPr>
          <w:rFonts w:ascii="Arial" w:hAnsi="Arial" w:cs="Arial"/>
          <w:w w:val="105"/>
          <w:sz w:val="23"/>
          <w:szCs w:val="23"/>
        </w:rPr>
        <w:t>7,</w:t>
      </w:r>
      <w:r>
        <w:rPr>
          <w:rFonts w:ascii="Arial" w:hAnsi="Arial" w:cs="Arial"/>
          <w:spacing w:val="-24"/>
          <w:w w:val="105"/>
          <w:sz w:val="23"/>
          <w:szCs w:val="23"/>
        </w:rPr>
        <w:t xml:space="preserve"> </w:t>
      </w:r>
      <w:r>
        <w:rPr>
          <w:rFonts w:ascii="Arial" w:hAnsi="Arial" w:cs="Arial"/>
          <w:spacing w:val="-6"/>
          <w:w w:val="105"/>
          <w:sz w:val="23"/>
          <w:szCs w:val="23"/>
        </w:rPr>
        <w:t>2015,</w:t>
      </w:r>
      <w:r>
        <w:rPr>
          <w:rFonts w:ascii="Arial" w:hAnsi="Arial" w:cs="Arial"/>
          <w:spacing w:val="29"/>
          <w:w w:val="105"/>
          <w:sz w:val="23"/>
          <w:szCs w:val="23"/>
        </w:rPr>
        <w:t xml:space="preserve"> </w:t>
      </w:r>
      <w:r>
        <w:rPr>
          <w:rFonts w:ascii="Arial" w:hAnsi="Arial" w:cs="Arial"/>
          <w:w w:val="105"/>
          <w:sz w:val="23"/>
          <w:szCs w:val="23"/>
        </w:rPr>
        <w:t>Disability</w:t>
      </w:r>
      <w:r>
        <w:rPr>
          <w:rFonts w:ascii="Arial" w:hAnsi="Arial" w:cs="Arial"/>
          <w:spacing w:val="-17"/>
          <w:w w:val="105"/>
          <w:sz w:val="23"/>
          <w:szCs w:val="23"/>
        </w:rPr>
        <w:t xml:space="preserve"> </w:t>
      </w:r>
      <w:r>
        <w:rPr>
          <w:rFonts w:ascii="Arial" w:hAnsi="Arial" w:cs="Arial"/>
          <w:w w:val="105"/>
          <w:sz w:val="23"/>
          <w:szCs w:val="23"/>
        </w:rPr>
        <w:t>Advocates</w:t>
      </w:r>
      <w:r>
        <w:rPr>
          <w:rFonts w:ascii="Arial" w:hAnsi="Arial" w:cs="Arial"/>
          <w:spacing w:val="-3"/>
          <w:w w:val="105"/>
          <w:sz w:val="23"/>
          <w:szCs w:val="23"/>
        </w:rPr>
        <w:t xml:space="preserve"> </w:t>
      </w:r>
      <w:r>
        <w:rPr>
          <w:rFonts w:ascii="Arial" w:hAnsi="Arial" w:cs="Arial"/>
          <w:w w:val="105"/>
          <w:sz w:val="23"/>
          <w:szCs w:val="23"/>
        </w:rPr>
        <w:t>Advancing</w:t>
      </w:r>
      <w:r>
        <w:rPr>
          <w:rFonts w:ascii="Arial" w:hAnsi="Arial" w:cs="Arial"/>
          <w:spacing w:val="-6"/>
          <w:w w:val="105"/>
          <w:sz w:val="23"/>
          <w:szCs w:val="23"/>
        </w:rPr>
        <w:t xml:space="preserve"> </w:t>
      </w:r>
      <w:r>
        <w:rPr>
          <w:rFonts w:ascii="Arial" w:hAnsi="Arial" w:cs="Arial"/>
          <w:w w:val="105"/>
          <w:sz w:val="23"/>
          <w:szCs w:val="23"/>
        </w:rPr>
        <w:t>our</w:t>
      </w:r>
      <w:r>
        <w:rPr>
          <w:rFonts w:ascii="Arial" w:hAnsi="Arial" w:cs="Arial"/>
          <w:spacing w:val="-1"/>
          <w:w w:val="105"/>
          <w:sz w:val="23"/>
          <w:szCs w:val="23"/>
        </w:rPr>
        <w:t xml:space="preserve"> </w:t>
      </w:r>
      <w:r>
        <w:rPr>
          <w:rFonts w:ascii="Arial" w:hAnsi="Arial" w:cs="Arial"/>
          <w:w w:val="105"/>
          <w:sz w:val="23"/>
          <w:szCs w:val="23"/>
        </w:rPr>
        <w:t>Health</w:t>
      </w:r>
      <w:r>
        <w:rPr>
          <w:rFonts w:ascii="Arial" w:hAnsi="Arial" w:cs="Arial"/>
          <w:spacing w:val="-24"/>
          <w:w w:val="105"/>
          <w:sz w:val="23"/>
          <w:szCs w:val="23"/>
        </w:rPr>
        <w:t xml:space="preserve"> </w:t>
      </w:r>
      <w:r>
        <w:rPr>
          <w:rFonts w:ascii="Arial" w:hAnsi="Arial" w:cs="Arial"/>
          <w:w w:val="105"/>
          <w:sz w:val="23"/>
          <w:szCs w:val="23"/>
        </w:rPr>
        <w:t>Care</w:t>
      </w:r>
      <w:r>
        <w:rPr>
          <w:rFonts w:ascii="Arial" w:hAnsi="Arial" w:cs="Arial"/>
          <w:spacing w:val="-7"/>
          <w:w w:val="105"/>
          <w:sz w:val="23"/>
          <w:szCs w:val="23"/>
        </w:rPr>
        <w:t xml:space="preserve"> </w:t>
      </w:r>
      <w:r>
        <w:rPr>
          <w:rFonts w:ascii="Arial" w:hAnsi="Arial" w:cs="Arial"/>
          <w:w w:val="105"/>
          <w:sz w:val="23"/>
          <w:szCs w:val="23"/>
        </w:rPr>
        <w:t>Rights</w:t>
      </w:r>
      <w:r>
        <w:rPr>
          <w:rFonts w:ascii="Arial" w:hAnsi="Arial" w:cs="Arial"/>
          <w:spacing w:val="-16"/>
          <w:w w:val="105"/>
          <w:sz w:val="23"/>
          <w:szCs w:val="23"/>
        </w:rPr>
        <w:t xml:space="preserve"> </w:t>
      </w:r>
      <w:r>
        <w:rPr>
          <w:rFonts w:ascii="Arial" w:hAnsi="Arial" w:cs="Arial"/>
          <w:w w:val="105"/>
          <w:sz w:val="23"/>
          <w:szCs w:val="23"/>
        </w:rPr>
        <w:t xml:space="preserve">(DAAHR) sent MassHealth a letter asking that the ACO plan "protect consumer choice by </w:t>
      </w:r>
      <w:r>
        <w:rPr>
          <w:rFonts w:ascii="Arial" w:hAnsi="Arial" w:cs="Arial"/>
          <w:spacing w:val="-6"/>
          <w:w w:val="105"/>
          <w:sz w:val="23"/>
          <w:szCs w:val="23"/>
        </w:rPr>
        <w:t xml:space="preserve">including...an </w:t>
      </w:r>
      <w:r>
        <w:rPr>
          <w:rFonts w:ascii="Arial" w:hAnsi="Arial" w:cs="Arial"/>
          <w:spacing w:val="-3"/>
          <w:w w:val="105"/>
          <w:sz w:val="23"/>
          <w:szCs w:val="23"/>
        </w:rPr>
        <w:t xml:space="preserve">independent, </w:t>
      </w:r>
      <w:r>
        <w:rPr>
          <w:rFonts w:ascii="Arial" w:hAnsi="Arial" w:cs="Arial"/>
          <w:w w:val="105"/>
          <w:sz w:val="23"/>
          <w:szCs w:val="23"/>
        </w:rPr>
        <w:t>conflict=free case manager or service coordinator for all enrollees in ACOs and health</w:t>
      </w:r>
      <w:r>
        <w:rPr>
          <w:rFonts w:ascii="Arial" w:hAnsi="Arial" w:cs="Arial"/>
          <w:spacing w:val="3"/>
          <w:w w:val="105"/>
          <w:sz w:val="23"/>
          <w:szCs w:val="23"/>
        </w:rPr>
        <w:t xml:space="preserve"> </w:t>
      </w:r>
      <w:r>
        <w:rPr>
          <w:rFonts w:ascii="Arial" w:hAnsi="Arial" w:cs="Arial"/>
          <w:w w:val="105"/>
          <w:sz w:val="23"/>
          <w:szCs w:val="23"/>
        </w:rPr>
        <w:t>homes."</w:t>
      </w:r>
    </w:p>
    <w:p w:rsidR="002C5025" w:rsidRDefault="002C5025">
      <w:pPr>
        <w:pStyle w:val="ListParagraph"/>
        <w:numPr>
          <w:ilvl w:val="0"/>
          <w:numId w:val="8"/>
        </w:numPr>
        <w:tabs>
          <w:tab w:val="left" w:pos="793"/>
        </w:tabs>
        <w:kinsoku w:val="0"/>
        <w:overflowPunct w:val="0"/>
        <w:spacing w:before="5" w:line="295" w:lineRule="auto"/>
        <w:ind w:left="785" w:right="278" w:hanging="338"/>
        <w:rPr>
          <w:rFonts w:ascii="Arial" w:hAnsi="Arial" w:cs="Arial"/>
          <w:color w:val="000000"/>
          <w:sz w:val="23"/>
          <w:szCs w:val="23"/>
        </w:rPr>
      </w:pPr>
      <w:r>
        <w:rPr>
          <w:rFonts w:ascii="Arial" w:hAnsi="Arial" w:cs="Arial"/>
          <w:w w:val="103"/>
          <w:sz w:val="23"/>
          <w:szCs w:val="23"/>
        </w:rPr>
        <w:t xml:space="preserve">On </w:t>
      </w:r>
      <w:r>
        <w:rPr>
          <w:rFonts w:ascii="Arial" w:hAnsi="Arial" w:cs="Arial"/>
          <w:w w:val="105"/>
          <w:sz w:val="23"/>
          <w:szCs w:val="23"/>
        </w:rPr>
        <w:t xml:space="preserve">March </w:t>
      </w:r>
      <w:r>
        <w:rPr>
          <w:rFonts w:ascii="Arial" w:hAnsi="Arial" w:cs="Arial"/>
          <w:spacing w:val="-39"/>
          <w:w w:val="154"/>
          <w:sz w:val="23"/>
          <w:szCs w:val="23"/>
        </w:rPr>
        <w:t>10,</w:t>
      </w:r>
      <w:r>
        <w:rPr>
          <w:rFonts w:ascii="Arial" w:hAnsi="Arial" w:cs="Arial"/>
          <w:w w:val="154"/>
          <w:sz w:val="23"/>
          <w:szCs w:val="23"/>
        </w:rPr>
        <w:t xml:space="preserve"> </w:t>
      </w:r>
      <w:r>
        <w:rPr>
          <w:rFonts w:ascii="Arial" w:hAnsi="Arial" w:cs="Arial"/>
          <w:spacing w:val="-6"/>
          <w:w w:val="105"/>
          <w:sz w:val="23"/>
          <w:szCs w:val="23"/>
        </w:rPr>
        <w:t>2016,</w:t>
      </w:r>
      <w:r>
        <w:rPr>
          <w:rFonts w:ascii="Arial" w:hAnsi="Arial" w:cs="Arial"/>
          <w:w w:val="105"/>
          <w:sz w:val="23"/>
          <w:szCs w:val="23"/>
        </w:rPr>
        <w:t xml:space="preserve"> </w:t>
      </w:r>
      <w:r>
        <w:rPr>
          <w:rFonts w:ascii="Arial" w:hAnsi="Arial" w:cs="Arial"/>
          <w:spacing w:val="-47"/>
          <w:w w:val="140"/>
          <w:sz w:val="23"/>
          <w:szCs w:val="23"/>
        </w:rPr>
        <w:t>1199</w:t>
      </w:r>
      <w:r>
        <w:rPr>
          <w:rFonts w:ascii="Arial" w:hAnsi="Arial" w:cs="Arial"/>
          <w:w w:val="140"/>
          <w:sz w:val="23"/>
          <w:szCs w:val="23"/>
        </w:rPr>
        <w:t xml:space="preserve"> </w:t>
      </w:r>
      <w:r>
        <w:rPr>
          <w:rFonts w:ascii="Arial" w:hAnsi="Arial" w:cs="Arial"/>
          <w:w w:val="88"/>
          <w:sz w:val="23"/>
          <w:szCs w:val="23"/>
        </w:rPr>
        <w:t xml:space="preserve">SEIU </w:t>
      </w:r>
      <w:r>
        <w:rPr>
          <w:rFonts w:ascii="Arial" w:hAnsi="Arial" w:cs="Arial"/>
          <w:w w:val="106"/>
          <w:sz w:val="23"/>
          <w:szCs w:val="23"/>
        </w:rPr>
        <w:t xml:space="preserve">presented </w:t>
      </w:r>
      <w:r>
        <w:rPr>
          <w:rFonts w:ascii="Arial" w:hAnsi="Arial" w:cs="Arial"/>
          <w:w w:val="102"/>
          <w:sz w:val="23"/>
          <w:szCs w:val="23"/>
        </w:rPr>
        <w:t xml:space="preserve">MassHealth </w:t>
      </w:r>
      <w:r>
        <w:rPr>
          <w:rFonts w:ascii="Arial" w:hAnsi="Arial" w:cs="Arial"/>
          <w:w w:val="113"/>
          <w:sz w:val="23"/>
          <w:szCs w:val="23"/>
        </w:rPr>
        <w:t xml:space="preserve">with </w:t>
      </w:r>
      <w:r>
        <w:rPr>
          <w:rFonts w:ascii="Arial" w:hAnsi="Arial" w:cs="Arial"/>
          <w:w w:val="95"/>
          <w:sz w:val="23"/>
          <w:szCs w:val="23"/>
        </w:rPr>
        <w:t xml:space="preserve">a </w:t>
      </w:r>
      <w:r>
        <w:rPr>
          <w:rFonts w:ascii="Arial" w:hAnsi="Arial" w:cs="Arial"/>
          <w:w w:val="106"/>
          <w:sz w:val="23"/>
          <w:szCs w:val="23"/>
        </w:rPr>
        <w:t xml:space="preserve">statement </w:t>
      </w:r>
      <w:r>
        <w:rPr>
          <w:rFonts w:ascii="Arial" w:hAnsi="Arial" w:cs="Arial"/>
          <w:w w:val="104"/>
          <w:sz w:val="23"/>
          <w:szCs w:val="23"/>
        </w:rPr>
        <w:t xml:space="preserve">endorsing </w:t>
      </w:r>
      <w:r>
        <w:rPr>
          <w:rFonts w:ascii="Arial" w:hAnsi="Arial" w:cs="Arial"/>
          <w:w w:val="108"/>
          <w:sz w:val="23"/>
          <w:szCs w:val="23"/>
        </w:rPr>
        <w:t xml:space="preserve">the </w:t>
      </w:r>
      <w:r>
        <w:rPr>
          <w:rFonts w:ascii="Arial" w:hAnsi="Arial" w:cs="Arial"/>
          <w:sz w:val="23"/>
          <w:szCs w:val="23"/>
        </w:rPr>
        <w:t xml:space="preserve">need for an "independent Long Term Support Services  </w:t>
      </w:r>
      <w:proofErr w:type="spellStart"/>
      <w:r>
        <w:rPr>
          <w:rFonts w:ascii="Arial" w:hAnsi="Arial" w:cs="Arial"/>
          <w:sz w:val="23"/>
          <w:szCs w:val="23"/>
        </w:rPr>
        <w:t>Coordinator..mirroring</w:t>
      </w:r>
      <w:proofErr w:type="spellEnd"/>
      <w:r>
        <w:rPr>
          <w:rFonts w:ascii="Arial" w:hAnsi="Arial" w:cs="Arial"/>
          <w:sz w:val="23"/>
          <w:szCs w:val="23"/>
        </w:rPr>
        <w:t xml:space="preserve">  language from MassHealth's recent One Care demonstration proposal that establishes a LTSS coordinator  </w:t>
      </w:r>
      <w:r>
        <w:rPr>
          <w:rFonts w:ascii="Arial" w:hAnsi="Arial" w:cs="Arial"/>
          <w:spacing w:val="63"/>
          <w:sz w:val="23"/>
          <w:szCs w:val="23"/>
        </w:rPr>
        <w:t xml:space="preserve"> </w:t>
      </w:r>
      <w:r>
        <w:rPr>
          <w:rFonts w:ascii="Arial" w:hAnsi="Arial" w:cs="Arial"/>
          <w:sz w:val="23"/>
          <w:szCs w:val="23"/>
        </w:rPr>
        <w:t>role."</w:t>
      </w:r>
    </w:p>
    <w:p w:rsidR="002C5025" w:rsidRDefault="002C5025">
      <w:pPr>
        <w:pStyle w:val="ListParagraph"/>
        <w:numPr>
          <w:ilvl w:val="0"/>
          <w:numId w:val="8"/>
        </w:numPr>
        <w:tabs>
          <w:tab w:val="left" w:pos="779"/>
        </w:tabs>
        <w:kinsoku w:val="0"/>
        <w:overflowPunct w:val="0"/>
        <w:spacing w:before="15" w:line="300" w:lineRule="auto"/>
        <w:ind w:left="778" w:right="254" w:hanging="338"/>
        <w:rPr>
          <w:rFonts w:ascii="Arial" w:hAnsi="Arial" w:cs="Arial"/>
          <w:color w:val="000000"/>
          <w:w w:val="105"/>
          <w:sz w:val="23"/>
          <w:szCs w:val="23"/>
        </w:rPr>
      </w:pPr>
      <w:r>
        <w:rPr>
          <w:rFonts w:ascii="Arial" w:hAnsi="Arial" w:cs="Arial"/>
          <w:w w:val="101"/>
          <w:sz w:val="23"/>
          <w:szCs w:val="23"/>
        </w:rPr>
        <w:t xml:space="preserve">The </w:t>
      </w:r>
      <w:r>
        <w:rPr>
          <w:rFonts w:ascii="Arial" w:hAnsi="Arial" w:cs="Arial"/>
          <w:w w:val="106"/>
          <w:sz w:val="23"/>
          <w:szCs w:val="23"/>
        </w:rPr>
        <w:t xml:space="preserve">home </w:t>
      </w:r>
      <w:r>
        <w:rPr>
          <w:rFonts w:ascii="Arial" w:hAnsi="Arial" w:cs="Arial"/>
          <w:w w:val="101"/>
          <w:sz w:val="23"/>
          <w:szCs w:val="23"/>
        </w:rPr>
        <w:t xml:space="preserve">care </w:t>
      </w:r>
      <w:r>
        <w:rPr>
          <w:rFonts w:ascii="Arial" w:hAnsi="Arial" w:cs="Arial"/>
          <w:w w:val="106"/>
          <w:sz w:val="23"/>
          <w:szCs w:val="23"/>
        </w:rPr>
        <w:t xml:space="preserve">program </w:t>
      </w:r>
      <w:r>
        <w:rPr>
          <w:rFonts w:ascii="Arial" w:hAnsi="Arial" w:cs="Arial"/>
          <w:w w:val="98"/>
          <w:sz w:val="23"/>
          <w:szCs w:val="23"/>
        </w:rPr>
        <w:t xml:space="preserve">(Ch. </w:t>
      </w:r>
      <w:r>
        <w:rPr>
          <w:rFonts w:ascii="Arial" w:hAnsi="Arial" w:cs="Arial"/>
          <w:spacing w:val="-26"/>
          <w:w w:val="121"/>
          <w:sz w:val="23"/>
          <w:szCs w:val="23"/>
        </w:rPr>
        <w:t>19A,</w:t>
      </w:r>
      <w:r>
        <w:rPr>
          <w:rFonts w:ascii="Arial" w:hAnsi="Arial" w:cs="Arial"/>
          <w:w w:val="121"/>
          <w:sz w:val="23"/>
          <w:szCs w:val="23"/>
        </w:rPr>
        <w:t xml:space="preserve"> </w:t>
      </w:r>
      <w:r>
        <w:rPr>
          <w:rFonts w:ascii="Arial" w:hAnsi="Arial" w:cs="Arial"/>
          <w:w w:val="97"/>
          <w:sz w:val="23"/>
          <w:szCs w:val="23"/>
        </w:rPr>
        <w:t xml:space="preserve">s4B}, </w:t>
      </w:r>
      <w:r>
        <w:rPr>
          <w:rFonts w:ascii="Arial" w:hAnsi="Arial" w:cs="Arial"/>
          <w:w w:val="110"/>
          <w:sz w:val="23"/>
          <w:szCs w:val="23"/>
        </w:rPr>
        <w:t xml:space="preserve">the </w:t>
      </w:r>
      <w:r>
        <w:rPr>
          <w:rFonts w:ascii="Arial" w:hAnsi="Arial" w:cs="Arial"/>
          <w:w w:val="101"/>
          <w:sz w:val="23"/>
          <w:szCs w:val="23"/>
        </w:rPr>
        <w:t xml:space="preserve">Senior </w:t>
      </w:r>
      <w:r>
        <w:rPr>
          <w:rFonts w:ascii="Arial" w:hAnsi="Arial" w:cs="Arial"/>
          <w:w w:val="97"/>
          <w:sz w:val="23"/>
          <w:szCs w:val="23"/>
        </w:rPr>
        <w:t xml:space="preserve">Care </w:t>
      </w:r>
      <w:r>
        <w:rPr>
          <w:rFonts w:ascii="Arial" w:hAnsi="Arial" w:cs="Arial"/>
          <w:w w:val="105"/>
          <w:sz w:val="23"/>
          <w:szCs w:val="23"/>
        </w:rPr>
        <w:t xml:space="preserve">Options </w:t>
      </w:r>
      <w:r>
        <w:rPr>
          <w:rFonts w:ascii="Arial" w:hAnsi="Arial" w:cs="Arial"/>
          <w:w w:val="101"/>
          <w:sz w:val="23"/>
          <w:szCs w:val="23"/>
        </w:rPr>
        <w:t xml:space="preserve">managed </w:t>
      </w:r>
      <w:r>
        <w:rPr>
          <w:rFonts w:ascii="Arial" w:hAnsi="Arial" w:cs="Arial"/>
          <w:w w:val="99"/>
          <w:sz w:val="23"/>
          <w:szCs w:val="23"/>
        </w:rPr>
        <w:t xml:space="preserve">care </w:t>
      </w:r>
      <w:r>
        <w:rPr>
          <w:rFonts w:ascii="Arial" w:hAnsi="Arial" w:cs="Arial"/>
          <w:w w:val="104"/>
          <w:sz w:val="23"/>
          <w:szCs w:val="23"/>
        </w:rPr>
        <w:t xml:space="preserve">program </w:t>
      </w:r>
      <w:r>
        <w:rPr>
          <w:rFonts w:ascii="Arial" w:hAnsi="Arial" w:cs="Arial"/>
          <w:w w:val="105"/>
          <w:sz w:val="23"/>
          <w:szCs w:val="23"/>
        </w:rPr>
        <w:t xml:space="preserve">(Ch. </w:t>
      </w:r>
      <w:r>
        <w:rPr>
          <w:rFonts w:ascii="Arial" w:hAnsi="Arial" w:cs="Arial"/>
          <w:spacing w:val="-34"/>
          <w:w w:val="105"/>
          <w:sz w:val="23"/>
          <w:szCs w:val="23"/>
        </w:rPr>
        <w:t xml:space="preserve">118E, </w:t>
      </w:r>
      <w:r>
        <w:rPr>
          <w:rFonts w:ascii="Arial" w:hAnsi="Arial" w:cs="Arial"/>
          <w:w w:val="105"/>
          <w:sz w:val="23"/>
          <w:szCs w:val="23"/>
        </w:rPr>
        <w:t xml:space="preserve">9D} and the One Care managed care model (Ch. </w:t>
      </w:r>
      <w:r>
        <w:rPr>
          <w:rFonts w:ascii="Arial" w:hAnsi="Arial" w:cs="Arial"/>
          <w:spacing w:val="-34"/>
          <w:w w:val="105"/>
          <w:sz w:val="23"/>
          <w:szCs w:val="23"/>
        </w:rPr>
        <w:t xml:space="preserve">118E, </w:t>
      </w:r>
      <w:r>
        <w:rPr>
          <w:rFonts w:ascii="Arial" w:hAnsi="Arial" w:cs="Arial"/>
          <w:w w:val="105"/>
          <w:sz w:val="23"/>
          <w:szCs w:val="23"/>
        </w:rPr>
        <w:t>9F}, all contain clear statutory  language  regarding the  use of conflict-free</w:t>
      </w:r>
      <w:r>
        <w:rPr>
          <w:rFonts w:ascii="Arial" w:hAnsi="Arial" w:cs="Arial"/>
          <w:spacing w:val="-33"/>
          <w:w w:val="105"/>
          <w:sz w:val="23"/>
          <w:szCs w:val="23"/>
        </w:rPr>
        <w:t xml:space="preserve"> </w:t>
      </w:r>
      <w:r>
        <w:rPr>
          <w:rFonts w:ascii="Arial" w:hAnsi="Arial" w:cs="Arial"/>
          <w:w w:val="105"/>
          <w:sz w:val="23"/>
          <w:szCs w:val="23"/>
        </w:rPr>
        <w:t>coordinators.</w:t>
      </w:r>
    </w:p>
    <w:p w:rsidR="002C5025" w:rsidRDefault="002C5025">
      <w:pPr>
        <w:pStyle w:val="BodyText"/>
        <w:kinsoku w:val="0"/>
        <w:overflowPunct w:val="0"/>
        <w:rPr>
          <w:rFonts w:ascii="Arial" w:hAnsi="Arial" w:cs="Arial"/>
          <w:sz w:val="29"/>
          <w:szCs w:val="29"/>
        </w:rPr>
      </w:pPr>
    </w:p>
    <w:p w:rsidR="002C5025" w:rsidRDefault="002C5025">
      <w:pPr>
        <w:pStyle w:val="BodyText"/>
        <w:kinsoku w:val="0"/>
        <w:overflowPunct w:val="0"/>
        <w:spacing w:line="300" w:lineRule="auto"/>
        <w:ind w:left="411" w:right="110" w:firstLine="7"/>
        <w:rPr>
          <w:rFonts w:ascii="Arial" w:hAnsi="Arial" w:cs="Arial"/>
          <w:w w:val="110"/>
          <w:sz w:val="23"/>
          <w:szCs w:val="23"/>
        </w:rPr>
      </w:pPr>
      <w:r>
        <w:rPr>
          <w:rFonts w:ascii="Arial" w:hAnsi="Arial" w:cs="Arial"/>
          <w:w w:val="105"/>
          <w:sz w:val="23"/>
          <w:szCs w:val="23"/>
        </w:rPr>
        <w:t xml:space="preserve">There </w:t>
      </w:r>
      <w:r>
        <w:rPr>
          <w:rFonts w:ascii="Arial" w:hAnsi="Arial" w:cs="Arial"/>
          <w:spacing w:val="-17"/>
          <w:w w:val="130"/>
          <w:sz w:val="23"/>
          <w:szCs w:val="23"/>
        </w:rPr>
        <w:t>is</w:t>
      </w:r>
      <w:r>
        <w:rPr>
          <w:rFonts w:ascii="Arial" w:hAnsi="Arial" w:cs="Arial"/>
          <w:w w:val="130"/>
          <w:sz w:val="23"/>
          <w:szCs w:val="23"/>
        </w:rPr>
        <w:t xml:space="preserve"> </w:t>
      </w:r>
      <w:r>
        <w:rPr>
          <w:rFonts w:ascii="Arial" w:hAnsi="Arial" w:cs="Arial"/>
          <w:w w:val="82"/>
          <w:sz w:val="23"/>
          <w:szCs w:val="23"/>
        </w:rPr>
        <w:t xml:space="preserve">a </w:t>
      </w:r>
      <w:r>
        <w:rPr>
          <w:rFonts w:ascii="Arial" w:hAnsi="Arial" w:cs="Arial"/>
          <w:spacing w:val="-5"/>
          <w:w w:val="115"/>
          <w:sz w:val="23"/>
          <w:szCs w:val="23"/>
        </w:rPr>
        <w:t>rich</w:t>
      </w:r>
      <w:r>
        <w:rPr>
          <w:rFonts w:ascii="Arial" w:hAnsi="Arial" w:cs="Arial"/>
          <w:w w:val="115"/>
          <w:sz w:val="23"/>
          <w:szCs w:val="23"/>
        </w:rPr>
        <w:t xml:space="preserve"> </w:t>
      </w:r>
      <w:r>
        <w:rPr>
          <w:rFonts w:ascii="Arial" w:hAnsi="Arial" w:cs="Arial"/>
          <w:w w:val="113"/>
          <w:sz w:val="23"/>
          <w:szCs w:val="23"/>
        </w:rPr>
        <w:t xml:space="preserve">tradition </w:t>
      </w:r>
      <w:r>
        <w:rPr>
          <w:rFonts w:ascii="Arial" w:hAnsi="Arial" w:cs="Arial"/>
          <w:w w:val="114"/>
          <w:sz w:val="23"/>
          <w:szCs w:val="23"/>
        </w:rPr>
        <w:t xml:space="preserve">in </w:t>
      </w:r>
      <w:r>
        <w:rPr>
          <w:rFonts w:ascii="Arial" w:hAnsi="Arial" w:cs="Arial"/>
          <w:w w:val="102"/>
          <w:sz w:val="23"/>
          <w:szCs w:val="23"/>
        </w:rPr>
        <w:t xml:space="preserve">Massachusetts </w:t>
      </w:r>
      <w:r>
        <w:rPr>
          <w:rFonts w:ascii="Arial" w:hAnsi="Arial" w:cs="Arial"/>
          <w:w w:val="109"/>
          <w:sz w:val="23"/>
          <w:szCs w:val="23"/>
        </w:rPr>
        <w:t xml:space="preserve">of </w:t>
      </w:r>
      <w:r>
        <w:rPr>
          <w:rFonts w:ascii="Arial" w:hAnsi="Arial" w:cs="Arial"/>
          <w:spacing w:val="-5"/>
          <w:w w:val="121"/>
          <w:sz w:val="23"/>
          <w:szCs w:val="23"/>
        </w:rPr>
        <w:t>'independent</w:t>
      </w:r>
      <w:r>
        <w:rPr>
          <w:rFonts w:ascii="Arial" w:hAnsi="Arial" w:cs="Arial"/>
          <w:w w:val="121"/>
          <w:sz w:val="23"/>
          <w:szCs w:val="23"/>
        </w:rPr>
        <w:t xml:space="preserve"> </w:t>
      </w:r>
      <w:r>
        <w:rPr>
          <w:rFonts w:ascii="Arial" w:hAnsi="Arial" w:cs="Arial"/>
          <w:w w:val="104"/>
          <w:sz w:val="23"/>
          <w:szCs w:val="23"/>
        </w:rPr>
        <w:t xml:space="preserve">agents" </w:t>
      </w:r>
      <w:r>
        <w:rPr>
          <w:rFonts w:ascii="Arial" w:hAnsi="Arial" w:cs="Arial"/>
          <w:spacing w:val="-13"/>
          <w:w w:val="142"/>
          <w:sz w:val="23"/>
          <w:szCs w:val="23"/>
        </w:rPr>
        <w:t>in</w:t>
      </w:r>
      <w:r>
        <w:rPr>
          <w:rFonts w:ascii="Arial" w:hAnsi="Arial" w:cs="Arial"/>
          <w:w w:val="142"/>
          <w:sz w:val="23"/>
          <w:szCs w:val="23"/>
        </w:rPr>
        <w:t xml:space="preserve"> </w:t>
      </w:r>
      <w:r>
        <w:rPr>
          <w:rFonts w:ascii="Arial" w:hAnsi="Arial" w:cs="Arial"/>
          <w:w w:val="110"/>
          <w:sz w:val="23"/>
          <w:szCs w:val="23"/>
        </w:rPr>
        <w:t xml:space="preserve">the </w:t>
      </w:r>
      <w:r>
        <w:rPr>
          <w:rFonts w:ascii="Arial" w:hAnsi="Arial" w:cs="Arial"/>
          <w:w w:val="81"/>
          <w:sz w:val="23"/>
          <w:szCs w:val="23"/>
        </w:rPr>
        <w:t xml:space="preserve">LTSS </w:t>
      </w:r>
      <w:r>
        <w:rPr>
          <w:rFonts w:ascii="Arial" w:hAnsi="Arial" w:cs="Arial"/>
          <w:w w:val="107"/>
          <w:sz w:val="23"/>
          <w:szCs w:val="23"/>
        </w:rPr>
        <w:t xml:space="preserve">field. </w:t>
      </w:r>
      <w:r>
        <w:rPr>
          <w:rFonts w:ascii="Arial" w:hAnsi="Arial" w:cs="Arial"/>
          <w:w w:val="95"/>
          <w:sz w:val="23"/>
          <w:szCs w:val="23"/>
        </w:rPr>
        <w:t xml:space="preserve">The </w:t>
      </w:r>
      <w:r>
        <w:rPr>
          <w:rFonts w:ascii="Arial" w:hAnsi="Arial" w:cs="Arial"/>
          <w:w w:val="110"/>
          <w:sz w:val="23"/>
          <w:szCs w:val="23"/>
        </w:rPr>
        <w:t>Centers</w:t>
      </w:r>
      <w:r>
        <w:rPr>
          <w:rFonts w:ascii="Arial" w:hAnsi="Arial" w:cs="Arial"/>
          <w:spacing w:val="-34"/>
          <w:w w:val="110"/>
          <w:sz w:val="23"/>
          <w:szCs w:val="23"/>
        </w:rPr>
        <w:t xml:space="preserve"> </w:t>
      </w:r>
      <w:r>
        <w:rPr>
          <w:rFonts w:ascii="Arial" w:hAnsi="Arial" w:cs="Arial"/>
          <w:w w:val="110"/>
          <w:sz w:val="23"/>
          <w:szCs w:val="23"/>
        </w:rPr>
        <w:t>for</w:t>
      </w:r>
      <w:r>
        <w:rPr>
          <w:rFonts w:ascii="Arial" w:hAnsi="Arial" w:cs="Arial"/>
          <w:spacing w:val="-25"/>
          <w:w w:val="110"/>
          <w:sz w:val="23"/>
          <w:szCs w:val="23"/>
        </w:rPr>
        <w:t xml:space="preserve"> </w:t>
      </w:r>
      <w:r>
        <w:rPr>
          <w:rFonts w:ascii="Arial" w:hAnsi="Arial" w:cs="Arial"/>
          <w:w w:val="110"/>
          <w:sz w:val="23"/>
          <w:szCs w:val="23"/>
        </w:rPr>
        <w:t>Medicare</w:t>
      </w:r>
      <w:r>
        <w:rPr>
          <w:rFonts w:ascii="Arial" w:hAnsi="Arial" w:cs="Arial"/>
          <w:spacing w:val="-34"/>
          <w:w w:val="110"/>
          <w:sz w:val="23"/>
          <w:szCs w:val="23"/>
        </w:rPr>
        <w:t xml:space="preserve"> </w:t>
      </w:r>
      <w:r>
        <w:rPr>
          <w:rFonts w:ascii="Arial" w:hAnsi="Arial" w:cs="Arial"/>
          <w:w w:val="110"/>
          <w:sz w:val="23"/>
          <w:szCs w:val="23"/>
        </w:rPr>
        <w:t>and</w:t>
      </w:r>
      <w:r>
        <w:rPr>
          <w:rFonts w:ascii="Arial" w:hAnsi="Arial" w:cs="Arial"/>
          <w:spacing w:val="-27"/>
          <w:w w:val="110"/>
          <w:sz w:val="23"/>
          <w:szCs w:val="23"/>
        </w:rPr>
        <w:t xml:space="preserve"> </w:t>
      </w:r>
      <w:r>
        <w:rPr>
          <w:rFonts w:ascii="Arial" w:hAnsi="Arial" w:cs="Arial"/>
          <w:w w:val="110"/>
          <w:sz w:val="23"/>
          <w:szCs w:val="23"/>
        </w:rPr>
        <w:t>Medicaid</w:t>
      </w:r>
      <w:r>
        <w:rPr>
          <w:rFonts w:ascii="Arial" w:hAnsi="Arial" w:cs="Arial"/>
          <w:spacing w:val="-37"/>
          <w:w w:val="110"/>
          <w:sz w:val="23"/>
          <w:szCs w:val="23"/>
        </w:rPr>
        <w:t xml:space="preserve"> </w:t>
      </w:r>
      <w:r>
        <w:rPr>
          <w:rFonts w:ascii="Arial" w:hAnsi="Arial" w:cs="Arial"/>
          <w:w w:val="110"/>
          <w:sz w:val="23"/>
          <w:szCs w:val="23"/>
        </w:rPr>
        <w:t>Services</w:t>
      </w:r>
      <w:r>
        <w:rPr>
          <w:rFonts w:ascii="Arial" w:hAnsi="Arial" w:cs="Arial"/>
          <w:spacing w:val="-26"/>
          <w:w w:val="110"/>
          <w:sz w:val="23"/>
          <w:szCs w:val="23"/>
        </w:rPr>
        <w:t xml:space="preserve"> </w:t>
      </w:r>
      <w:r>
        <w:rPr>
          <w:rFonts w:ascii="Arial" w:hAnsi="Arial" w:cs="Arial"/>
          <w:w w:val="110"/>
          <w:sz w:val="23"/>
          <w:szCs w:val="23"/>
        </w:rPr>
        <w:t>(CMS)</w:t>
      </w:r>
      <w:r>
        <w:rPr>
          <w:rFonts w:ascii="Arial" w:hAnsi="Arial" w:cs="Arial"/>
          <w:spacing w:val="-24"/>
          <w:w w:val="110"/>
          <w:sz w:val="23"/>
          <w:szCs w:val="23"/>
        </w:rPr>
        <w:t xml:space="preserve"> </w:t>
      </w:r>
      <w:r>
        <w:rPr>
          <w:rFonts w:ascii="Arial" w:hAnsi="Arial" w:cs="Arial"/>
          <w:spacing w:val="-13"/>
          <w:w w:val="115"/>
          <w:sz w:val="23"/>
          <w:szCs w:val="23"/>
        </w:rPr>
        <w:t>in</w:t>
      </w:r>
      <w:r>
        <w:rPr>
          <w:rFonts w:ascii="Arial" w:hAnsi="Arial" w:cs="Arial"/>
          <w:spacing w:val="-50"/>
          <w:w w:val="115"/>
          <w:sz w:val="23"/>
          <w:szCs w:val="23"/>
        </w:rPr>
        <w:t xml:space="preserve"> </w:t>
      </w:r>
      <w:r>
        <w:rPr>
          <w:rFonts w:ascii="Arial" w:hAnsi="Arial" w:cs="Arial"/>
          <w:w w:val="110"/>
          <w:sz w:val="23"/>
          <w:szCs w:val="23"/>
        </w:rPr>
        <w:t>the</w:t>
      </w:r>
      <w:r>
        <w:rPr>
          <w:rFonts w:ascii="Arial" w:hAnsi="Arial" w:cs="Arial"/>
          <w:spacing w:val="-37"/>
          <w:w w:val="110"/>
          <w:sz w:val="23"/>
          <w:szCs w:val="23"/>
        </w:rPr>
        <w:t xml:space="preserve"> </w:t>
      </w:r>
      <w:r>
        <w:rPr>
          <w:rFonts w:ascii="Arial" w:hAnsi="Arial" w:cs="Arial"/>
          <w:w w:val="110"/>
          <w:sz w:val="23"/>
          <w:szCs w:val="23"/>
        </w:rPr>
        <w:t>final</w:t>
      </w:r>
      <w:r>
        <w:rPr>
          <w:rFonts w:ascii="Arial" w:hAnsi="Arial" w:cs="Arial"/>
          <w:spacing w:val="-23"/>
          <w:w w:val="110"/>
          <w:sz w:val="23"/>
          <w:szCs w:val="23"/>
        </w:rPr>
        <w:t xml:space="preserve"> </w:t>
      </w:r>
      <w:r>
        <w:rPr>
          <w:rFonts w:ascii="Arial" w:hAnsi="Arial" w:cs="Arial"/>
          <w:w w:val="110"/>
          <w:sz w:val="23"/>
          <w:szCs w:val="23"/>
        </w:rPr>
        <w:t>rule</w:t>
      </w:r>
      <w:r>
        <w:rPr>
          <w:rFonts w:ascii="Arial" w:hAnsi="Arial" w:cs="Arial"/>
          <w:spacing w:val="-31"/>
          <w:w w:val="110"/>
          <w:sz w:val="23"/>
          <w:szCs w:val="23"/>
        </w:rPr>
        <w:t xml:space="preserve"> </w:t>
      </w:r>
      <w:r>
        <w:rPr>
          <w:rFonts w:ascii="Arial" w:hAnsi="Arial" w:cs="Arial"/>
          <w:w w:val="110"/>
          <w:sz w:val="23"/>
          <w:szCs w:val="23"/>
        </w:rPr>
        <w:t>regarding</w:t>
      </w:r>
      <w:r>
        <w:rPr>
          <w:rFonts w:ascii="Arial" w:hAnsi="Arial" w:cs="Arial"/>
          <w:spacing w:val="-31"/>
          <w:w w:val="110"/>
          <w:sz w:val="23"/>
          <w:szCs w:val="23"/>
        </w:rPr>
        <w:t xml:space="preserve"> </w:t>
      </w:r>
      <w:r>
        <w:rPr>
          <w:rFonts w:ascii="Arial" w:hAnsi="Arial" w:cs="Arial"/>
          <w:w w:val="110"/>
          <w:sz w:val="23"/>
          <w:szCs w:val="23"/>
        </w:rPr>
        <w:t>managed</w:t>
      </w:r>
      <w:r>
        <w:rPr>
          <w:rFonts w:ascii="Arial" w:hAnsi="Arial" w:cs="Arial"/>
          <w:spacing w:val="-32"/>
          <w:w w:val="110"/>
          <w:sz w:val="23"/>
          <w:szCs w:val="23"/>
        </w:rPr>
        <w:t xml:space="preserve"> </w:t>
      </w:r>
      <w:r>
        <w:rPr>
          <w:rFonts w:ascii="Arial" w:hAnsi="Arial" w:cs="Arial"/>
          <w:w w:val="110"/>
          <w:sz w:val="23"/>
          <w:szCs w:val="23"/>
        </w:rPr>
        <w:t>care plans,</w:t>
      </w:r>
      <w:r>
        <w:rPr>
          <w:rFonts w:ascii="Arial" w:hAnsi="Arial" w:cs="Arial"/>
          <w:spacing w:val="-29"/>
          <w:w w:val="110"/>
          <w:sz w:val="23"/>
          <w:szCs w:val="23"/>
        </w:rPr>
        <w:t xml:space="preserve"> </w:t>
      </w:r>
      <w:r>
        <w:rPr>
          <w:rFonts w:ascii="Arial" w:hAnsi="Arial" w:cs="Arial"/>
          <w:w w:val="110"/>
          <w:sz w:val="23"/>
          <w:szCs w:val="23"/>
        </w:rPr>
        <w:t>give</w:t>
      </w:r>
      <w:r>
        <w:rPr>
          <w:rFonts w:ascii="Arial" w:hAnsi="Arial" w:cs="Arial"/>
          <w:spacing w:val="-24"/>
          <w:w w:val="110"/>
          <w:sz w:val="23"/>
          <w:szCs w:val="23"/>
        </w:rPr>
        <w:t xml:space="preserve"> </w:t>
      </w:r>
      <w:r>
        <w:rPr>
          <w:rFonts w:ascii="Arial" w:hAnsi="Arial" w:cs="Arial"/>
          <w:w w:val="110"/>
          <w:sz w:val="23"/>
          <w:szCs w:val="23"/>
        </w:rPr>
        <w:t>states</w:t>
      </w:r>
      <w:r>
        <w:rPr>
          <w:rFonts w:ascii="Arial" w:hAnsi="Arial" w:cs="Arial"/>
          <w:spacing w:val="-25"/>
          <w:w w:val="110"/>
          <w:sz w:val="23"/>
          <w:szCs w:val="23"/>
        </w:rPr>
        <w:t xml:space="preserve"> </w:t>
      </w:r>
      <w:r>
        <w:rPr>
          <w:rFonts w:ascii="Arial" w:hAnsi="Arial" w:cs="Arial"/>
          <w:w w:val="110"/>
          <w:sz w:val="23"/>
          <w:szCs w:val="23"/>
        </w:rPr>
        <w:t>the</w:t>
      </w:r>
      <w:r>
        <w:rPr>
          <w:rFonts w:ascii="Arial" w:hAnsi="Arial" w:cs="Arial"/>
          <w:spacing w:val="-29"/>
          <w:w w:val="110"/>
          <w:sz w:val="23"/>
          <w:szCs w:val="23"/>
        </w:rPr>
        <w:t xml:space="preserve"> </w:t>
      </w:r>
      <w:r>
        <w:rPr>
          <w:rFonts w:ascii="Arial" w:hAnsi="Arial" w:cs="Arial"/>
          <w:w w:val="110"/>
          <w:sz w:val="23"/>
          <w:szCs w:val="23"/>
        </w:rPr>
        <w:t>flexibility</w:t>
      </w:r>
      <w:r>
        <w:rPr>
          <w:rFonts w:ascii="Arial" w:hAnsi="Arial" w:cs="Arial"/>
          <w:spacing w:val="-33"/>
          <w:w w:val="110"/>
          <w:sz w:val="23"/>
          <w:szCs w:val="23"/>
        </w:rPr>
        <w:t xml:space="preserve"> </w:t>
      </w:r>
      <w:r>
        <w:rPr>
          <w:rFonts w:ascii="Arial" w:hAnsi="Arial" w:cs="Arial"/>
          <w:w w:val="110"/>
          <w:sz w:val="23"/>
          <w:szCs w:val="23"/>
        </w:rPr>
        <w:t>to</w:t>
      </w:r>
      <w:r>
        <w:rPr>
          <w:rFonts w:ascii="Arial" w:hAnsi="Arial" w:cs="Arial"/>
          <w:spacing w:val="-20"/>
          <w:w w:val="110"/>
          <w:sz w:val="23"/>
          <w:szCs w:val="23"/>
        </w:rPr>
        <w:t xml:space="preserve"> </w:t>
      </w:r>
      <w:r>
        <w:rPr>
          <w:rFonts w:ascii="Arial" w:hAnsi="Arial" w:cs="Arial"/>
          <w:w w:val="110"/>
          <w:sz w:val="23"/>
          <w:szCs w:val="23"/>
        </w:rPr>
        <w:t>provide</w:t>
      </w:r>
      <w:r>
        <w:rPr>
          <w:rFonts w:ascii="Arial" w:hAnsi="Arial" w:cs="Arial"/>
          <w:spacing w:val="-28"/>
          <w:w w:val="110"/>
          <w:sz w:val="23"/>
          <w:szCs w:val="23"/>
        </w:rPr>
        <w:t xml:space="preserve"> </w:t>
      </w:r>
      <w:r>
        <w:rPr>
          <w:rFonts w:ascii="Arial" w:hAnsi="Arial" w:cs="Arial"/>
          <w:w w:val="110"/>
          <w:sz w:val="23"/>
          <w:szCs w:val="23"/>
        </w:rPr>
        <w:t>conflict</w:t>
      </w:r>
      <w:r>
        <w:rPr>
          <w:rFonts w:ascii="Arial" w:hAnsi="Arial" w:cs="Arial"/>
          <w:spacing w:val="-19"/>
          <w:w w:val="110"/>
          <w:sz w:val="23"/>
          <w:szCs w:val="23"/>
        </w:rPr>
        <w:t xml:space="preserve"> </w:t>
      </w:r>
      <w:r>
        <w:rPr>
          <w:rFonts w:ascii="Arial" w:hAnsi="Arial" w:cs="Arial"/>
          <w:w w:val="110"/>
          <w:sz w:val="23"/>
          <w:szCs w:val="23"/>
        </w:rPr>
        <w:t>free</w:t>
      </w:r>
      <w:r>
        <w:rPr>
          <w:rFonts w:ascii="Arial" w:hAnsi="Arial" w:cs="Arial"/>
          <w:spacing w:val="-16"/>
          <w:w w:val="110"/>
          <w:sz w:val="23"/>
          <w:szCs w:val="23"/>
        </w:rPr>
        <w:t xml:space="preserve"> </w:t>
      </w:r>
      <w:r>
        <w:rPr>
          <w:rFonts w:ascii="Arial" w:hAnsi="Arial" w:cs="Arial"/>
          <w:w w:val="110"/>
          <w:sz w:val="23"/>
          <w:szCs w:val="23"/>
        </w:rPr>
        <w:t>assessments</w:t>
      </w:r>
      <w:r>
        <w:rPr>
          <w:rFonts w:ascii="Arial" w:hAnsi="Arial" w:cs="Arial"/>
          <w:spacing w:val="-16"/>
          <w:w w:val="110"/>
          <w:sz w:val="23"/>
          <w:szCs w:val="23"/>
        </w:rPr>
        <w:t xml:space="preserve"> </w:t>
      </w:r>
      <w:r>
        <w:rPr>
          <w:rFonts w:ascii="Arial" w:hAnsi="Arial" w:cs="Arial"/>
          <w:w w:val="110"/>
          <w:sz w:val="23"/>
          <w:szCs w:val="23"/>
        </w:rPr>
        <w:t>and</w:t>
      </w:r>
      <w:r>
        <w:rPr>
          <w:rFonts w:ascii="Arial" w:hAnsi="Arial" w:cs="Arial"/>
          <w:spacing w:val="-25"/>
          <w:w w:val="110"/>
          <w:sz w:val="23"/>
          <w:szCs w:val="23"/>
        </w:rPr>
        <w:t xml:space="preserve"> </w:t>
      </w:r>
      <w:r>
        <w:rPr>
          <w:rFonts w:ascii="Arial" w:hAnsi="Arial" w:cs="Arial"/>
          <w:w w:val="110"/>
          <w:sz w:val="23"/>
          <w:szCs w:val="23"/>
        </w:rPr>
        <w:t>care</w:t>
      </w:r>
      <w:r>
        <w:rPr>
          <w:rFonts w:ascii="Arial" w:hAnsi="Arial" w:cs="Arial"/>
          <w:spacing w:val="-19"/>
          <w:w w:val="110"/>
          <w:sz w:val="23"/>
          <w:szCs w:val="23"/>
        </w:rPr>
        <w:t xml:space="preserve"> </w:t>
      </w:r>
      <w:r>
        <w:rPr>
          <w:rFonts w:ascii="Arial" w:hAnsi="Arial" w:cs="Arial"/>
          <w:w w:val="110"/>
          <w:sz w:val="23"/>
          <w:szCs w:val="23"/>
        </w:rPr>
        <w:t>coordination.</w:t>
      </w:r>
      <w:r>
        <w:rPr>
          <w:rFonts w:ascii="Arial" w:hAnsi="Arial" w:cs="Arial"/>
          <w:spacing w:val="-7"/>
          <w:w w:val="110"/>
          <w:sz w:val="23"/>
          <w:szCs w:val="23"/>
        </w:rPr>
        <w:t xml:space="preserve"> </w:t>
      </w:r>
      <w:r>
        <w:rPr>
          <w:rFonts w:ascii="Arial" w:hAnsi="Arial" w:cs="Arial"/>
          <w:w w:val="110"/>
          <w:sz w:val="23"/>
          <w:szCs w:val="23"/>
        </w:rPr>
        <w:t>I urge</w:t>
      </w:r>
      <w:r>
        <w:rPr>
          <w:rFonts w:ascii="Arial" w:hAnsi="Arial" w:cs="Arial"/>
          <w:spacing w:val="-31"/>
          <w:w w:val="110"/>
          <w:sz w:val="23"/>
          <w:szCs w:val="23"/>
        </w:rPr>
        <w:t xml:space="preserve"> </w:t>
      </w:r>
      <w:r>
        <w:rPr>
          <w:rFonts w:ascii="Arial" w:hAnsi="Arial" w:cs="Arial"/>
          <w:w w:val="110"/>
          <w:sz w:val="23"/>
          <w:szCs w:val="23"/>
        </w:rPr>
        <w:t>you</w:t>
      </w:r>
      <w:r>
        <w:rPr>
          <w:rFonts w:ascii="Arial" w:hAnsi="Arial" w:cs="Arial"/>
          <w:spacing w:val="-21"/>
          <w:w w:val="110"/>
          <w:sz w:val="23"/>
          <w:szCs w:val="23"/>
        </w:rPr>
        <w:t xml:space="preserve"> </w:t>
      </w:r>
      <w:r>
        <w:rPr>
          <w:rFonts w:ascii="Arial" w:hAnsi="Arial" w:cs="Arial"/>
          <w:w w:val="110"/>
          <w:sz w:val="23"/>
          <w:szCs w:val="23"/>
        </w:rPr>
        <w:t>to</w:t>
      </w:r>
      <w:r>
        <w:rPr>
          <w:rFonts w:ascii="Arial" w:hAnsi="Arial" w:cs="Arial"/>
          <w:spacing w:val="-12"/>
          <w:w w:val="110"/>
          <w:sz w:val="23"/>
          <w:szCs w:val="23"/>
        </w:rPr>
        <w:t xml:space="preserve"> </w:t>
      </w:r>
      <w:r>
        <w:rPr>
          <w:rFonts w:ascii="Arial" w:hAnsi="Arial" w:cs="Arial"/>
          <w:w w:val="110"/>
          <w:sz w:val="23"/>
          <w:szCs w:val="23"/>
        </w:rPr>
        <w:t>review</w:t>
      </w:r>
      <w:r>
        <w:rPr>
          <w:rFonts w:ascii="Arial" w:hAnsi="Arial" w:cs="Arial"/>
          <w:spacing w:val="-24"/>
          <w:w w:val="110"/>
          <w:sz w:val="23"/>
          <w:szCs w:val="23"/>
        </w:rPr>
        <w:t xml:space="preserve"> </w:t>
      </w:r>
      <w:r>
        <w:rPr>
          <w:rFonts w:ascii="Arial" w:hAnsi="Arial" w:cs="Arial"/>
          <w:w w:val="110"/>
          <w:sz w:val="23"/>
          <w:szCs w:val="23"/>
        </w:rPr>
        <w:t>the</w:t>
      </w:r>
      <w:r>
        <w:rPr>
          <w:rFonts w:ascii="Arial" w:hAnsi="Arial" w:cs="Arial"/>
          <w:spacing w:val="-12"/>
          <w:w w:val="110"/>
          <w:sz w:val="23"/>
          <w:szCs w:val="23"/>
        </w:rPr>
        <w:t xml:space="preserve"> </w:t>
      </w:r>
      <w:r>
        <w:rPr>
          <w:rFonts w:ascii="Arial" w:hAnsi="Arial" w:cs="Arial"/>
          <w:w w:val="110"/>
          <w:sz w:val="23"/>
          <w:szCs w:val="23"/>
        </w:rPr>
        <w:t>attached</w:t>
      </w:r>
      <w:r>
        <w:rPr>
          <w:rFonts w:ascii="Arial" w:hAnsi="Arial" w:cs="Arial"/>
          <w:spacing w:val="-13"/>
          <w:w w:val="110"/>
          <w:sz w:val="23"/>
          <w:szCs w:val="23"/>
        </w:rPr>
        <w:t xml:space="preserve"> </w:t>
      </w:r>
      <w:r>
        <w:rPr>
          <w:rFonts w:ascii="Arial" w:hAnsi="Arial" w:cs="Arial"/>
          <w:w w:val="110"/>
          <w:sz w:val="23"/>
          <w:szCs w:val="23"/>
        </w:rPr>
        <w:t>documents,</w:t>
      </w:r>
      <w:r>
        <w:rPr>
          <w:rFonts w:ascii="Arial" w:hAnsi="Arial" w:cs="Arial"/>
          <w:spacing w:val="-10"/>
          <w:w w:val="110"/>
          <w:sz w:val="23"/>
          <w:szCs w:val="23"/>
        </w:rPr>
        <w:t xml:space="preserve"> </w:t>
      </w:r>
      <w:r>
        <w:rPr>
          <w:rFonts w:ascii="Arial" w:hAnsi="Arial" w:cs="Arial"/>
          <w:w w:val="110"/>
          <w:sz w:val="23"/>
          <w:szCs w:val="23"/>
        </w:rPr>
        <w:t>and</w:t>
      </w:r>
      <w:r>
        <w:rPr>
          <w:rFonts w:ascii="Arial" w:hAnsi="Arial" w:cs="Arial"/>
          <w:spacing w:val="-17"/>
          <w:w w:val="110"/>
          <w:sz w:val="23"/>
          <w:szCs w:val="23"/>
        </w:rPr>
        <w:t xml:space="preserve"> </w:t>
      </w:r>
      <w:r>
        <w:rPr>
          <w:rFonts w:ascii="Arial" w:hAnsi="Arial" w:cs="Arial"/>
          <w:w w:val="110"/>
          <w:sz w:val="23"/>
          <w:szCs w:val="23"/>
        </w:rPr>
        <w:t>strengthen</w:t>
      </w:r>
      <w:r>
        <w:rPr>
          <w:rFonts w:ascii="Arial" w:hAnsi="Arial" w:cs="Arial"/>
          <w:spacing w:val="-15"/>
          <w:w w:val="110"/>
          <w:sz w:val="23"/>
          <w:szCs w:val="23"/>
        </w:rPr>
        <w:t xml:space="preserve"> </w:t>
      </w:r>
      <w:r>
        <w:rPr>
          <w:rFonts w:ascii="Arial" w:hAnsi="Arial" w:cs="Arial"/>
          <w:w w:val="110"/>
          <w:sz w:val="23"/>
          <w:szCs w:val="23"/>
        </w:rPr>
        <w:t>the</w:t>
      </w:r>
      <w:r>
        <w:rPr>
          <w:rFonts w:ascii="Arial" w:hAnsi="Arial" w:cs="Arial"/>
          <w:spacing w:val="-11"/>
          <w:w w:val="110"/>
          <w:sz w:val="23"/>
          <w:szCs w:val="23"/>
        </w:rPr>
        <w:t xml:space="preserve"> </w:t>
      </w:r>
      <w:r>
        <w:rPr>
          <w:rFonts w:ascii="Arial" w:hAnsi="Arial" w:cs="Arial"/>
          <w:w w:val="110"/>
          <w:sz w:val="23"/>
          <w:szCs w:val="23"/>
        </w:rPr>
        <w:t>role</w:t>
      </w:r>
      <w:r>
        <w:rPr>
          <w:rFonts w:ascii="Arial" w:hAnsi="Arial" w:cs="Arial"/>
          <w:spacing w:val="-24"/>
          <w:w w:val="110"/>
          <w:sz w:val="23"/>
          <w:szCs w:val="23"/>
        </w:rPr>
        <w:t xml:space="preserve"> </w:t>
      </w:r>
      <w:r>
        <w:rPr>
          <w:rFonts w:ascii="Arial" w:hAnsi="Arial" w:cs="Arial"/>
          <w:w w:val="110"/>
          <w:sz w:val="23"/>
          <w:szCs w:val="23"/>
        </w:rPr>
        <w:t>and</w:t>
      </w:r>
      <w:r>
        <w:rPr>
          <w:rFonts w:ascii="Arial" w:hAnsi="Arial" w:cs="Arial"/>
          <w:spacing w:val="-12"/>
          <w:w w:val="110"/>
          <w:sz w:val="23"/>
          <w:szCs w:val="23"/>
        </w:rPr>
        <w:t xml:space="preserve"> </w:t>
      </w:r>
      <w:r>
        <w:rPr>
          <w:rFonts w:ascii="Arial" w:hAnsi="Arial" w:cs="Arial"/>
          <w:w w:val="110"/>
          <w:sz w:val="23"/>
          <w:szCs w:val="23"/>
        </w:rPr>
        <w:t>responsibilities</w:t>
      </w:r>
      <w:r>
        <w:rPr>
          <w:rFonts w:ascii="Arial" w:hAnsi="Arial" w:cs="Arial"/>
          <w:spacing w:val="-3"/>
          <w:w w:val="110"/>
          <w:sz w:val="23"/>
          <w:szCs w:val="23"/>
        </w:rPr>
        <w:t xml:space="preserve"> </w:t>
      </w:r>
      <w:r>
        <w:rPr>
          <w:rFonts w:ascii="Arial" w:hAnsi="Arial" w:cs="Arial"/>
          <w:w w:val="110"/>
          <w:sz w:val="23"/>
          <w:szCs w:val="23"/>
        </w:rPr>
        <w:t>of the</w:t>
      </w:r>
      <w:r>
        <w:rPr>
          <w:rFonts w:ascii="Arial" w:hAnsi="Arial" w:cs="Arial"/>
          <w:spacing w:val="-15"/>
          <w:w w:val="110"/>
          <w:sz w:val="23"/>
          <w:szCs w:val="23"/>
        </w:rPr>
        <w:t xml:space="preserve"> </w:t>
      </w:r>
      <w:r>
        <w:rPr>
          <w:rFonts w:ascii="Arial" w:hAnsi="Arial" w:cs="Arial"/>
          <w:spacing w:val="-3"/>
          <w:w w:val="110"/>
          <w:sz w:val="23"/>
          <w:szCs w:val="23"/>
        </w:rPr>
        <w:t>independent,</w:t>
      </w:r>
      <w:r>
        <w:rPr>
          <w:rFonts w:ascii="Arial" w:hAnsi="Arial" w:cs="Arial"/>
          <w:spacing w:val="-7"/>
          <w:w w:val="110"/>
          <w:sz w:val="23"/>
          <w:szCs w:val="23"/>
        </w:rPr>
        <w:t xml:space="preserve"> </w:t>
      </w:r>
      <w:r>
        <w:rPr>
          <w:rFonts w:ascii="Arial" w:hAnsi="Arial" w:cs="Arial"/>
          <w:w w:val="110"/>
          <w:sz w:val="23"/>
          <w:szCs w:val="23"/>
        </w:rPr>
        <w:t>conflict</w:t>
      </w:r>
      <w:r>
        <w:rPr>
          <w:rFonts w:ascii="Arial" w:hAnsi="Arial" w:cs="Arial"/>
          <w:spacing w:val="-30"/>
          <w:w w:val="110"/>
          <w:sz w:val="23"/>
          <w:szCs w:val="23"/>
        </w:rPr>
        <w:t xml:space="preserve"> </w:t>
      </w:r>
      <w:r>
        <w:rPr>
          <w:rFonts w:ascii="Arial" w:hAnsi="Arial" w:cs="Arial"/>
          <w:w w:val="110"/>
          <w:sz w:val="23"/>
          <w:szCs w:val="23"/>
        </w:rPr>
        <w:t>free</w:t>
      </w:r>
      <w:r>
        <w:rPr>
          <w:rFonts w:ascii="Arial" w:hAnsi="Arial" w:cs="Arial"/>
          <w:spacing w:val="-10"/>
          <w:w w:val="110"/>
          <w:sz w:val="23"/>
          <w:szCs w:val="23"/>
        </w:rPr>
        <w:t xml:space="preserve"> </w:t>
      </w:r>
      <w:r>
        <w:rPr>
          <w:rFonts w:ascii="Arial" w:hAnsi="Arial" w:cs="Arial"/>
          <w:w w:val="110"/>
          <w:sz w:val="23"/>
          <w:szCs w:val="23"/>
        </w:rPr>
        <w:t>agents</w:t>
      </w:r>
      <w:r>
        <w:rPr>
          <w:rFonts w:ascii="Arial" w:hAnsi="Arial" w:cs="Arial"/>
          <w:spacing w:val="-11"/>
          <w:w w:val="110"/>
          <w:sz w:val="23"/>
          <w:szCs w:val="23"/>
        </w:rPr>
        <w:t xml:space="preserve"> </w:t>
      </w:r>
      <w:r>
        <w:rPr>
          <w:rFonts w:ascii="Arial" w:hAnsi="Arial" w:cs="Arial"/>
          <w:w w:val="110"/>
          <w:sz w:val="23"/>
          <w:szCs w:val="23"/>
        </w:rPr>
        <w:t>as</w:t>
      </w:r>
      <w:r>
        <w:rPr>
          <w:rFonts w:ascii="Arial" w:hAnsi="Arial" w:cs="Arial"/>
          <w:spacing w:val="-21"/>
          <w:w w:val="110"/>
          <w:sz w:val="23"/>
          <w:szCs w:val="23"/>
        </w:rPr>
        <w:t xml:space="preserve"> </w:t>
      </w:r>
      <w:r>
        <w:rPr>
          <w:rFonts w:ascii="Arial" w:hAnsi="Arial" w:cs="Arial"/>
          <w:w w:val="110"/>
          <w:sz w:val="23"/>
          <w:szCs w:val="23"/>
        </w:rPr>
        <w:t>a</w:t>
      </w:r>
      <w:r>
        <w:rPr>
          <w:rFonts w:ascii="Arial" w:hAnsi="Arial" w:cs="Arial"/>
          <w:spacing w:val="-17"/>
          <w:w w:val="110"/>
          <w:sz w:val="23"/>
          <w:szCs w:val="23"/>
        </w:rPr>
        <w:t xml:space="preserve"> </w:t>
      </w:r>
      <w:r>
        <w:rPr>
          <w:rFonts w:ascii="Arial" w:hAnsi="Arial" w:cs="Arial"/>
          <w:w w:val="110"/>
          <w:sz w:val="23"/>
          <w:szCs w:val="23"/>
        </w:rPr>
        <w:t>consumer</w:t>
      </w:r>
      <w:r>
        <w:rPr>
          <w:rFonts w:ascii="Arial" w:hAnsi="Arial" w:cs="Arial"/>
          <w:spacing w:val="8"/>
          <w:w w:val="110"/>
          <w:sz w:val="23"/>
          <w:szCs w:val="23"/>
        </w:rPr>
        <w:t xml:space="preserve"> </w:t>
      </w:r>
      <w:r>
        <w:rPr>
          <w:rFonts w:ascii="Arial" w:hAnsi="Arial" w:cs="Arial"/>
          <w:w w:val="110"/>
          <w:sz w:val="23"/>
          <w:szCs w:val="23"/>
        </w:rPr>
        <w:t>protection</w:t>
      </w:r>
      <w:r>
        <w:rPr>
          <w:rFonts w:ascii="Arial" w:hAnsi="Arial" w:cs="Arial"/>
          <w:spacing w:val="-10"/>
          <w:w w:val="110"/>
          <w:sz w:val="23"/>
          <w:szCs w:val="23"/>
        </w:rPr>
        <w:t xml:space="preserve"> </w:t>
      </w:r>
      <w:r>
        <w:rPr>
          <w:rFonts w:ascii="Arial" w:hAnsi="Arial" w:cs="Arial"/>
          <w:spacing w:val="-13"/>
          <w:w w:val="115"/>
          <w:sz w:val="23"/>
          <w:szCs w:val="23"/>
        </w:rPr>
        <w:t>in</w:t>
      </w:r>
      <w:r>
        <w:rPr>
          <w:rFonts w:ascii="Arial" w:hAnsi="Arial" w:cs="Arial"/>
          <w:spacing w:val="-40"/>
          <w:w w:val="115"/>
          <w:sz w:val="23"/>
          <w:szCs w:val="23"/>
        </w:rPr>
        <w:t xml:space="preserve"> </w:t>
      </w:r>
      <w:r>
        <w:rPr>
          <w:rFonts w:ascii="Arial" w:hAnsi="Arial" w:cs="Arial"/>
          <w:w w:val="110"/>
          <w:sz w:val="23"/>
          <w:szCs w:val="23"/>
        </w:rPr>
        <w:t>the</w:t>
      </w:r>
      <w:r>
        <w:rPr>
          <w:rFonts w:ascii="Arial" w:hAnsi="Arial" w:cs="Arial"/>
          <w:spacing w:val="-19"/>
          <w:w w:val="110"/>
          <w:sz w:val="23"/>
          <w:szCs w:val="23"/>
        </w:rPr>
        <w:t xml:space="preserve"> </w:t>
      </w:r>
      <w:r>
        <w:rPr>
          <w:rFonts w:ascii="Arial" w:hAnsi="Arial" w:cs="Arial"/>
          <w:w w:val="105"/>
          <w:sz w:val="23"/>
          <w:szCs w:val="23"/>
        </w:rPr>
        <w:t>ACO</w:t>
      </w:r>
      <w:r>
        <w:rPr>
          <w:rFonts w:ascii="Arial" w:hAnsi="Arial" w:cs="Arial"/>
          <w:spacing w:val="-1"/>
          <w:w w:val="105"/>
          <w:sz w:val="23"/>
          <w:szCs w:val="23"/>
        </w:rPr>
        <w:t xml:space="preserve"> </w:t>
      </w:r>
      <w:r>
        <w:rPr>
          <w:rFonts w:ascii="Arial" w:hAnsi="Arial" w:cs="Arial"/>
          <w:w w:val="110"/>
          <w:sz w:val="23"/>
          <w:szCs w:val="23"/>
        </w:rPr>
        <w:t>plan.</w:t>
      </w:r>
    </w:p>
    <w:p w:rsidR="002C5025" w:rsidRDefault="002C5025">
      <w:pPr>
        <w:pStyle w:val="BodyText"/>
        <w:kinsoku w:val="0"/>
        <w:overflowPunct w:val="0"/>
        <w:spacing w:before="3"/>
        <w:rPr>
          <w:rFonts w:ascii="Arial" w:hAnsi="Arial" w:cs="Arial"/>
          <w:sz w:val="28"/>
          <w:szCs w:val="28"/>
        </w:rPr>
      </w:pPr>
    </w:p>
    <w:p w:rsidR="002C5025" w:rsidRDefault="002C5025">
      <w:pPr>
        <w:pStyle w:val="BodyText"/>
        <w:kinsoku w:val="0"/>
        <w:overflowPunct w:val="0"/>
        <w:spacing w:before="1"/>
        <w:ind w:left="5264"/>
        <w:rPr>
          <w:rFonts w:ascii="Arial" w:hAnsi="Arial" w:cs="Arial"/>
          <w:w w:val="105"/>
          <w:sz w:val="20"/>
          <w:szCs w:val="20"/>
        </w:rPr>
      </w:pPr>
      <w:r>
        <w:rPr>
          <w:rFonts w:ascii="Arial" w:hAnsi="Arial" w:cs="Arial"/>
          <w:w w:val="105"/>
          <w:sz w:val="20"/>
          <w:szCs w:val="20"/>
        </w:rPr>
        <w:t>Submitted: June 27, 2016 Fitchburg Listening  Session.</w:t>
      </w:r>
    </w:p>
    <w:p w:rsidR="002C5025" w:rsidRDefault="002C5025">
      <w:pPr>
        <w:pStyle w:val="BodyText"/>
        <w:kinsoku w:val="0"/>
        <w:overflowPunct w:val="0"/>
        <w:spacing w:before="1"/>
        <w:ind w:left="5264"/>
        <w:rPr>
          <w:rFonts w:ascii="Arial" w:hAnsi="Arial" w:cs="Arial"/>
          <w:w w:val="105"/>
          <w:sz w:val="20"/>
          <w:szCs w:val="20"/>
        </w:rPr>
        <w:sectPr w:rsidR="002C5025">
          <w:pgSz w:w="12240" w:h="15840"/>
          <w:pgMar w:top="1460" w:right="940" w:bottom="280" w:left="820" w:header="720" w:footer="720" w:gutter="0"/>
          <w:cols w:space="720" w:equalWidth="0">
            <w:col w:w="10480"/>
          </w:cols>
          <w:noEndnote/>
        </w:sect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5"/>
        <w:rPr>
          <w:rFonts w:ascii="Arial" w:hAnsi="Arial" w:cs="Arial"/>
          <w:sz w:val="16"/>
          <w:szCs w:val="16"/>
        </w:rPr>
      </w:pPr>
    </w:p>
    <w:p w:rsidR="002C5025" w:rsidRDefault="002C5025">
      <w:pPr>
        <w:pStyle w:val="BodyText"/>
        <w:kinsoku w:val="0"/>
        <w:overflowPunct w:val="0"/>
        <w:spacing w:before="72"/>
        <w:ind w:left="150" w:right="110"/>
        <w:rPr>
          <w:rFonts w:ascii="Arial" w:hAnsi="Arial" w:cs="Arial"/>
          <w:w w:val="94"/>
        </w:rPr>
      </w:pPr>
      <w:r>
        <w:rPr>
          <w:rFonts w:ascii="Arial" w:hAnsi="Arial" w:cs="Arial"/>
          <w:w w:val="108"/>
        </w:rPr>
        <w:t>October</w:t>
      </w:r>
      <w:r>
        <w:rPr>
          <w:rFonts w:ascii="Arial" w:hAnsi="Arial" w:cs="Arial"/>
          <w:spacing w:val="22"/>
        </w:rPr>
        <w:t xml:space="preserve"> </w:t>
      </w:r>
      <w:r>
        <w:rPr>
          <w:rFonts w:ascii="Arial" w:hAnsi="Arial" w:cs="Arial"/>
          <w:spacing w:val="-87"/>
          <w:w w:val="158"/>
        </w:rPr>
        <w:t>1</w:t>
      </w:r>
      <w:r>
        <w:rPr>
          <w:rFonts w:ascii="Arial" w:hAnsi="Arial" w:cs="Arial"/>
          <w:spacing w:val="-8"/>
          <w:w w:val="213"/>
        </w:rPr>
        <w:t>,</w:t>
      </w:r>
      <w:r>
        <w:rPr>
          <w:rFonts w:ascii="Arial" w:hAnsi="Arial" w:cs="Arial"/>
          <w:w w:val="107"/>
        </w:rPr>
        <w:t>20</w:t>
      </w:r>
      <w:r>
        <w:rPr>
          <w:rFonts w:ascii="Arial" w:hAnsi="Arial" w:cs="Arial"/>
          <w:spacing w:val="-22"/>
          <w:w w:val="107"/>
        </w:rPr>
        <w:t>1</w:t>
      </w:r>
      <w:r>
        <w:rPr>
          <w:rFonts w:ascii="Arial" w:hAnsi="Arial" w:cs="Arial"/>
          <w:w w:val="94"/>
        </w:rPr>
        <w:t>5</w:t>
      </w:r>
    </w:p>
    <w:p w:rsidR="002C5025" w:rsidRDefault="002C5025">
      <w:pPr>
        <w:pStyle w:val="BodyText"/>
        <w:kinsoku w:val="0"/>
        <w:overflowPunct w:val="0"/>
        <w:spacing w:before="8"/>
        <w:rPr>
          <w:rFonts w:ascii="Arial" w:hAnsi="Arial" w:cs="Arial"/>
          <w:sz w:val="18"/>
          <w:szCs w:val="18"/>
        </w:rPr>
      </w:pPr>
    </w:p>
    <w:p w:rsidR="002C5025" w:rsidRDefault="002C5025">
      <w:pPr>
        <w:pStyle w:val="BodyText"/>
        <w:kinsoku w:val="0"/>
        <w:overflowPunct w:val="0"/>
        <w:spacing w:before="8"/>
        <w:rPr>
          <w:rFonts w:ascii="Arial" w:hAnsi="Arial" w:cs="Arial"/>
          <w:sz w:val="18"/>
          <w:szCs w:val="18"/>
        </w:rPr>
        <w:sectPr w:rsidR="002C5025">
          <w:pgSz w:w="12240" w:h="15840"/>
          <w:pgMar w:top="1500" w:right="960" w:bottom="280" w:left="800" w:header="720" w:footer="720" w:gutter="0"/>
          <w:cols w:space="720"/>
          <w:noEndnote/>
        </w:sectPr>
      </w:pPr>
    </w:p>
    <w:p w:rsidR="002C5025" w:rsidRDefault="002C5025">
      <w:pPr>
        <w:pStyle w:val="BodyText"/>
        <w:kinsoku w:val="0"/>
        <w:overflowPunct w:val="0"/>
        <w:spacing w:before="72" w:line="290" w:lineRule="auto"/>
        <w:ind w:left="150"/>
        <w:jc w:val="both"/>
        <w:rPr>
          <w:rFonts w:ascii="Arial" w:hAnsi="Arial" w:cs="Arial"/>
          <w:spacing w:val="-7"/>
          <w:w w:val="105"/>
        </w:rPr>
      </w:pPr>
      <w:r>
        <w:rPr>
          <w:rFonts w:ascii="Arial" w:hAnsi="Arial" w:cs="Arial"/>
          <w:w w:val="105"/>
        </w:rPr>
        <w:lastRenderedPageBreak/>
        <w:t>Governor Charlie</w:t>
      </w:r>
      <w:r>
        <w:rPr>
          <w:rFonts w:ascii="Arial" w:hAnsi="Arial" w:cs="Arial"/>
          <w:spacing w:val="-22"/>
          <w:w w:val="105"/>
        </w:rPr>
        <w:t xml:space="preserve"> </w:t>
      </w:r>
      <w:r>
        <w:rPr>
          <w:rFonts w:ascii="Arial" w:hAnsi="Arial" w:cs="Arial"/>
          <w:w w:val="105"/>
        </w:rPr>
        <w:t>Baker State</w:t>
      </w:r>
      <w:r>
        <w:rPr>
          <w:rFonts w:ascii="Arial" w:hAnsi="Arial" w:cs="Arial"/>
          <w:spacing w:val="-10"/>
          <w:w w:val="105"/>
        </w:rPr>
        <w:t xml:space="preserve"> </w:t>
      </w:r>
      <w:r>
        <w:rPr>
          <w:rFonts w:ascii="Arial" w:hAnsi="Arial" w:cs="Arial"/>
          <w:w w:val="105"/>
        </w:rPr>
        <w:t>House,</w:t>
      </w:r>
      <w:r>
        <w:rPr>
          <w:rFonts w:ascii="Arial" w:hAnsi="Arial" w:cs="Arial"/>
          <w:spacing w:val="-24"/>
          <w:w w:val="105"/>
        </w:rPr>
        <w:t xml:space="preserve"> </w:t>
      </w:r>
      <w:r>
        <w:rPr>
          <w:rFonts w:ascii="Arial" w:hAnsi="Arial" w:cs="Arial"/>
          <w:w w:val="105"/>
        </w:rPr>
        <w:t>Room</w:t>
      </w:r>
      <w:r>
        <w:rPr>
          <w:rFonts w:ascii="Arial" w:hAnsi="Arial" w:cs="Arial"/>
          <w:spacing w:val="-25"/>
          <w:w w:val="105"/>
        </w:rPr>
        <w:t xml:space="preserve"> </w:t>
      </w:r>
      <w:r>
        <w:rPr>
          <w:rFonts w:ascii="Arial" w:hAnsi="Arial" w:cs="Arial"/>
          <w:w w:val="105"/>
        </w:rPr>
        <w:t xml:space="preserve">280 </w:t>
      </w:r>
      <w:proofErr w:type="spellStart"/>
      <w:r>
        <w:rPr>
          <w:rFonts w:ascii="Arial" w:hAnsi="Arial" w:cs="Arial"/>
          <w:spacing w:val="-4"/>
          <w:w w:val="105"/>
        </w:rPr>
        <w:t>Boston,MA</w:t>
      </w:r>
      <w:proofErr w:type="spellEnd"/>
      <w:r>
        <w:rPr>
          <w:rFonts w:ascii="Arial" w:hAnsi="Arial" w:cs="Arial"/>
          <w:spacing w:val="-4"/>
          <w:w w:val="105"/>
        </w:rPr>
        <w:t xml:space="preserve">  </w:t>
      </w:r>
      <w:r>
        <w:rPr>
          <w:rFonts w:ascii="Arial" w:hAnsi="Arial" w:cs="Arial"/>
          <w:spacing w:val="13"/>
          <w:w w:val="105"/>
        </w:rPr>
        <w:t xml:space="preserve"> </w:t>
      </w:r>
      <w:r>
        <w:rPr>
          <w:rFonts w:ascii="Arial" w:hAnsi="Arial" w:cs="Arial"/>
          <w:spacing w:val="-7"/>
          <w:w w:val="105"/>
        </w:rPr>
        <w:t>02133</w:t>
      </w:r>
    </w:p>
    <w:p w:rsidR="002C5025" w:rsidRDefault="002C5025">
      <w:pPr>
        <w:pStyle w:val="BodyText"/>
        <w:kinsoku w:val="0"/>
        <w:overflowPunct w:val="0"/>
        <w:spacing w:before="79" w:line="290" w:lineRule="auto"/>
        <w:ind w:left="150" w:right="-18"/>
        <w:rPr>
          <w:rFonts w:ascii="Arial" w:hAnsi="Arial" w:cs="Arial"/>
          <w:spacing w:val="-6"/>
          <w:w w:val="105"/>
        </w:rPr>
      </w:pPr>
      <w:r>
        <w:rPr>
          <w:rFonts w:ascii="Times New Roman" w:hAnsi="Times New Roman" w:cs="Times New Roman"/>
          <w:sz w:val="24"/>
          <w:szCs w:val="24"/>
        </w:rPr>
        <w:br w:type="column"/>
      </w:r>
      <w:r>
        <w:rPr>
          <w:rFonts w:ascii="Arial" w:hAnsi="Arial" w:cs="Arial"/>
          <w:w w:val="105"/>
        </w:rPr>
        <w:lastRenderedPageBreak/>
        <w:t xml:space="preserve">Speaker Robert </w:t>
      </w:r>
      <w:proofErr w:type="spellStart"/>
      <w:r>
        <w:rPr>
          <w:rFonts w:ascii="Arial" w:hAnsi="Arial" w:cs="Arial"/>
          <w:spacing w:val="-4"/>
          <w:w w:val="105"/>
        </w:rPr>
        <w:t>Deleo</w:t>
      </w:r>
      <w:proofErr w:type="spellEnd"/>
      <w:r>
        <w:rPr>
          <w:rFonts w:ascii="Arial" w:hAnsi="Arial" w:cs="Arial"/>
          <w:spacing w:val="-4"/>
          <w:w w:val="105"/>
        </w:rPr>
        <w:t xml:space="preserve"> </w:t>
      </w:r>
      <w:r>
        <w:rPr>
          <w:rFonts w:ascii="Arial" w:hAnsi="Arial" w:cs="Arial"/>
          <w:w w:val="105"/>
        </w:rPr>
        <w:t>State</w:t>
      </w:r>
      <w:r>
        <w:rPr>
          <w:rFonts w:ascii="Arial" w:hAnsi="Arial" w:cs="Arial"/>
          <w:spacing w:val="-27"/>
          <w:w w:val="105"/>
        </w:rPr>
        <w:t xml:space="preserve"> </w:t>
      </w:r>
      <w:r>
        <w:rPr>
          <w:rFonts w:ascii="Arial" w:hAnsi="Arial" w:cs="Arial"/>
          <w:w w:val="105"/>
        </w:rPr>
        <w:t>House,</w:t>
      </w:r>
      <w:r>
        <w:rPr>
          <w:rFonts w:ascii="Arial" w:hAnsi="Arial" w:cs="Arial"/>
          <w:spacing w:val="-30"/>
          <w:w w:val="105"/>
        </w:rPr>
        <w:t xml:space="preserve"> </w:t>
      </w:r>
      <w:r>
        <w:rPr>
          <w:rFonts w:ascii="Arial" w:hAnsi="Arial" w:cs="Arial"/>
          <w:w w:val="105"/>
        </w:rPr>
        <w:t>Room</w:t>
      </w:r>
      <w:r>
        <w:rPr>
          <w:rFonts w:ascii="Arial" w:hAnsi="Arial" w:cs="Arial"/>
          <w:spacing w:val="-31"/>
          <w:w w:val="105"/>
        </w:rPr>
        <w:t xml:space="preserve"> </w:t>
      </w:r>
      <w:r>
        <w:rPr>
          <w:rFonts w:ascii="Arial" w:hAnsi="Arial" w:cs="Arial"/>
          <w:w w:val="105"/>
        </w:rPr>
        <w:t>356</w:t>
      </w:r>
      <w:r>
        <w:rPr>
          <w:rFonts w:ascii="Arial" w:hAnsi="Arial" w:cs="Arial"/>
          <w:w w:val="98"/>
        </w:rPr>
        <w:t xml:space="preserve"> </w:t>
      </w:r>
      <w:r>
        <w:rPr>
          <w:rFonts w:ascii="Arial" w:hAnsi="Arial" w:cs="Arial"/>
          <w:w w:val="105"/>
        </w:rPr>
        <w:t>Boston, MA</w:t>
      </w:r>
      <w:r>
        <w:rPr>
          <w:rFonts w:ascii="Arial" w:hAnsi="Arial" w:cs="Arial"/>
          <w:spacing w:val="7"/>
          <w:w w:val="105"/>
        </w:rPr>
        <w:t xml:space="preserve"> </w:t>
      </w:r>
      <w:r>
        <w:rPr>
          <w:rFonts w:ascii="Arial" w:hAnsi="Arial" w:cs="Arial"/>
          <w:spacing w:val="-6"/>
          <w:w w:val="105"/>
        </w:rPr>
        <w:t>02133</w:t>
      </w:r>
    </w:p>
    <w:p w:rsidR="002C5025" w:rsidRDefault="002C5025">
      <w:pPr>
        <w:pStyle w:val="BodyText"/>
        <w:kinsoku w:val="0"/>
        <w:overflowPunct w:val="0"/>
        <w:spacing w:before="79" w:line="290" w:lineRule="auto"/>
        <w:ind w:left="150" w:right="1089" w:firstLine="14"/>
        <w:rPr>
          <w:rFonts w:ascii="Arial" w:hAnsi="Arial" w:cs="Arial"/>
          <w:w w:val="105"/>
        </w:rPr>
      </w:pPr>
      <w:r>
        <w:rPr>
          <w:rFonts w:ascii="Times New Roman" w:hAnsi="Times New Roman" w:cs="Times New Roman"/>
          <w:sz w:val="24"/>
          <w:szCs w:val="24"/>
        </w:rPr>
        <w:br w:type="column"/>
      </w:r>
      <w:r>
        <w:rPr>
          <w:rFonts w:ascii="Arial" w:hAnsi="Arial" w:cs="Arial"/>
        </w:rPr>
        <w:lastRenderedPageBreak/>
        <w:t xml:space="preserve">President Stan Rosenberg </w:t>
      </w:r>
      <w:r>
        <w:rPr>
          <w:rFonts w:ascii="Arial" w:hAnsi="Arial" w:cs="Arial"/>
          <w:w w:val="105"/>
        </w:rPr>
        <w:t>State House, Room 332 Boston, MA 02133</w:t>
      </w:r>
    </w:p>
    <w:p w:rsidR="002C5025" w:rsidRDefault="002C5025">
      <w:pPr>
        <w:pStyle w:val="BodyText"/>
        <w:kinsoku w:val="0"/>
        <w:overflowPunct w:val="0"/>
        <w:spacing w:before="79" w:line="290" w:lineRule="auto"/>
        <w:ind w:left="150" w:right="1089" w:firstLine="14"/>
        <w:rPr>
          <w:rFonts w:ascii="Arial" w:hAnsi="Arial" w:cs="Arial"/>
          <w:w w:val="105"/>
        </w:rPr>
        <w:sectPr w:rsidR="002C5025">
          <w:type w:val="continuous"/>
          <w:pgSz w:w="12240" w:h="15840"/>
          <w:pgMar w:top="720" w:right="960" w:bottom="280" w:left="800" w:header="720" w:footer="720" w:gutter="0"/>
          <w:cols w:num="3" w:space="720" w:equalWidth="0">
            <w:col w:w="2559" w:space="458"/>
            <w:col w:w="2530" w:space="580"/>
            <w:col w:w="4353"/>
          </w:cols>
          <w:noEndnote/>
        </w:sectPr>
      </w:pPr>
    </w:p>
    <w:p w:rsidR="002C5025" w:rsidRDefault="002C5025">
      <w:pPr>
        <w:pStyle w:val="BodyText"/>
        <w:kinsoku w:val="0"/>
        <w:overflowPunct w:val="0"/>
        <w:spacing w:before="5"/>
        <w:rPr>
          <w:rFonts w:ascii="Arial" w:hAnsi="Arial" w:cs="Arial"/>
          <w:sz w:val="20"/>
          <w:szCs w:val="20"/>
        </w:rPr>
      </w:pPr>
    </w:p>
    <w:p w:rsidR="002C5025" w:rsidRDefault="002C5025">
      <w:pPr>
        <w:pStyle w:val="BodyText"/>
        <w:kinsoku w:val="0"/>
        <w:overflowPunct w:val="0"/>
        <w:spacing w:before="72"/>
        <w:ind w:left="150" w:right="110"/>
        <w:rPr>
          <w:rFonts w:ascii="Arial" w:hAnsi="Arial" w:cs="Arial"/>
          <w:w w:val="105"/>
        </w:rPr>
      </w:pPr>
      <w:r>
        <w:rPr>
          <w:rFonts w:ascii="Arial" w:hAnsi="Arial" w:cs="Arial"/>
          <w:w w:val="105"/>
        </w:rPr>
        <w:t xml:space="preserve">Dear Governor Baker, Speaker </w:t>
      </w:r>
      <w:proofErr w:type="spellStart"/>
      <w:r>
        <w:rPr>
          <w:rFonts w:ascii="Arial" w:hAnsi="Arial" w:cs="Arial"/>
          <w:w w:val="105"/>
        </w:rPr>
        <w:t>Deleo</w:t>
      </w:r>
      <w:proofErr w:type="spellEnd"/>
      <w:r>
        <w:rPr>
          <w:rFonts w:ascii="Arial" w:hAnsi="Arial" w:cs="Arial"/>
          <w:w w:val="105"/>
        </w:rPr>
        <w:t>, and President Rosenberg,</w:t>
      </w:r>
    </w:p>
    <w:p w:rsidR="002C5025" w:rsidRDefault="002C5025">
      <w:pPr>
        <w:pStyle w:val="BodyText"/>
        <w:kinsoku w:val="0"/>
        <w:overflowPunct w:val="0"/>
        <w:spacing w:before="11"/>
        <w:rPr>
          <w:rFonts w:ascii="Arial" w:hAnsi="Arial" w:cs="Arial"/>
          <w:sz w:val="24"/>
          <w:szCs w:val="24"/>
        </w:rPr>
      </w:pPr>
    </w:p>
    <w:p w:rsidR="002C5025" w:rsidRDefault="002C5025">
      <w:pPr>
        <w:pStyle w:val="BodyText"/>
        <w:kinsoku w:val="0"/>
        <w:overflowPunct w:val="0"/>
        <w:spacing w:line="333" w:lineRule="auto"/>
        <w:ind w:left="143" w:right="110" w:firstLine="7"/>
        <w:rPr>
          <w:rFonts w:ascii="Arial" w:hAnsi="Arial" w:cs="Arial"/>
          <w:w w:val="115"/>
        </w:rPr>
      </w:pPr>
      <w:r>
        <w:rPr>
          <w:rFonts w:ascii="Arial" w:hAnsi="Arial" w:cs="Arial"/>
          <w:spacing w:val="-1"/>
          <w:w w:val="107"/>
        </w:rPr>
        <w:t>MassHealth</w:t>
      </w:r>
      <w:r>
        <w:rPr>
          <w:rFonts w:ascii="Arial" w:hAnsi="Arial" w:cs="Arial"/>
          <w:spacing w:val="-13"/>
          <w:w w:val="107"/>
        </w:rPr>
        <w:t xml:space="preserve"> </w:t>
      </w:r>
      <w:r>
        <w:rPr>
          <w:rFonts w:ascii="Arial" w:hAnsi="Arial" w:cs="Arial"/>
          <w:spacing w:val="-17"/>
          <w:w w:val="136"/>
        </w:rPr>
        <w:t>is</w:t>
      </w:r>
      <w:r>
        <w:rPr>
          <w:rFonts w:ascii="Arial" w:hAnsi="Arial" w:cs="Arial"/>
          <w:spacing w:val="-35"/>
          <w:w w:val="136"/>
        </w:rPr>
        <w:t xml:space="preserve"> </w:t>
      </w:r>
      <w:r>
        <w:rPr>
          <w:rFonts w:ascii="Arial" w:hAnsi="Arial" w:cs="Arial"/>
          <w:spacing w:val="-1"/>
          <w:w w:val="108"/>
        </w:rPr>
        <w:t>currently</w:t>
      </w:r>
      <w:r>
        <w:rPr>
          <w:rFonts w:ascii="Arial" w:hAnsi="Arial" w:cs="Arial"/>
          <w:spacing w:val="-11"/>
          <w:w w:val="108"/>
        </w:rPr>
        <w:t xml:space="preserve"> </w:t>
      </w:r>
      <w:r>
        <w:rPr>
          <w:rFonts w:ascii="Arial" w:hAnsi="Arial" w:cs="Arial"/>
        </w:rPr>
        <w:t>engaged</w:t>
      </w:r>
      <w:r>
        <w:rPr>
          <w:rFonts w:ascii="Arial" w:hAnsi="Arial" w:cs="Arial"/>
          <w:spacing w:val="3"/>
        </w:rPr>
        <w:t xml:space="preserve"> </w:t>
      </w:r>
      <w:r>
        <w:rPr>
          <w:rFonts w:ascii="Arial" w:hAnsi="Arial" w:cs="Arial"/>
          <w:spacing w:val="-17"/>
          <w:w w:val="149"/>
        </w:rPr>
        <w:t>in</w:t>
      </w:r>
      <w:r>
        <w:rPr>
          <w:rFonts w:ascii="Arial" w:hAnsi="Arial" w:cs="Arial"/>
          <w:spacing w:val="-50"/>
          <w:w w:val="149"/>
        </w:rPr>
        <w:t xml:space="preserve"> </w:t>
      </w:r>
      <w:r>
        <w:rPr>
          <w:rFonts w:ascii="Arial" w:hAnsi="Arial" w:cs="Arial"/>
          <w:w w:val="98"/>
        </w:rPr>
        <w:t>an</w:t>
      </w:r>
      <w:r>
        <w:rPr>
          <w:rFonts w:ascii="Arial" w:hAnsi="Arial" w:cs="Arial"/>
          <w:spacing w:val="1"/>
          <w:w w:val="98"/>
        </w:rPr>
        <w:t xml:space="preserve"> </w:t>
      </w:r>
      <w:r>
        <w:rPr>
          <w:rFonts w:ascii="Arial" w:hAnsi="Arial" w:cs="Arial"/>
          <w:spacing w:val="-4"/>
          <w:w w:val="119"/>
        </w:rPr>
        <w:t>important</w:t>
      </w:r>
      <w:r>
        <w:rPr>
          <w:rFonts w:ascii="Arial" w:hAnsi="Arial" w:cs="Arial"/>
          <w:spacing w:val="-13"/>
          <w:w w:val="119"/>
        </w:rPr>
        <w:t xml:space="preserve"> </w:t>
      </w:r>
      <w:r>
        <w:rPr>
          <w:rFonts w:ascii="Arial" w:hAnsi="Arial" w:cs="Arial"/>
          <w:w w:val="113"/>
        </w:rPr>
        <w:t>effort</w:t>
      </w:r>
      <w:r>
        <w:rPr>
          <w:rFonts w:ascii="Arial" w:hAnsi="Arial" w:cs="Arial"/>
          <w:spacing w:val="-13"/>
          <w:w w:val="113"/>
        </w:rPr>
        <w:t xml:space="preserve"> </w:t>
      </w:r>
      <w:r>
        <w:rPr>
          <w:rFonts w:ascii="Arial" w:hAnsi="Arial" w:cs="Arial"/>
          <w:w w:val="123"/>
        </w:rPr>
        <w:t>to</w:t>
      </w:r>
      <w:r>
        <w:rPr>
          <w:rFonts w:ascii="Arial" w:hAnsi="Arial" w:cs="Arial"/>
          <w:spacing w:val="-21"/>
          <w:w w:val="123"/>
        </w:rPr>
        <w:t xml:space="preserve"> </w:t>
      </w:r>
      <w:r>
        <w:rPr>
          <w:rFonts w:ascii="Arial" w:hAnsi="Arial" w:cs="Arial"/>
          <w:spacing w:val="-1"/>
          <w:w w:val="99"/>
        </w:rPr>
        <w:t>design</w:t>
      </w:r>
      <w:r>
        <w:rPr>
          <w:rFonts w:ascii="Arial" w:hAnsi="Arial" w:cs="Arial"/>
          <w:spacing w:val="2"/>
          <w:w w:val="99"/>
        </w:rPr>
        <w:t xml:space="preserve"> </w:t>
      </w:r>
      <w:r>
        <w:rPr>
          <w:rFonts w:ascii="Arial" w:hAnsi="Arial" w:cs="Arial"/>
          <w:w w:val="93"/>
        </w:rPr>
        <w:t>a</w:t>
      </w:r>
      <w:r>
        <w:rPr>
          <w:rFonts w:ascii="Arial" w:hAnsi="Arial" w:cs="Arial"/>
          <w:spacing w:val="1"/>
          <w:w w:val="93"/>
        </w:rPr>
        <w:t xml:space="preserve"> </w:t>
      </w:r>
      <w:r>
        <w:rPr>
          <w:rFonts w:ascii="Arial" w:hAnsi="Arial" w:cs="Arial"/>
          <w:w w:val="102"/>
        </w:rPr>
        <w:t>managed</w:t>
      </w:r>
      <w:r>
        <w:rPr>
          <w:rFonts w:ascii="Arial" w:hAnsi="Arial" w:cs="Arial"/>
          <w:spacing w:val="-6"/>
          <w:w w:val="102"/>
        </w:rPr>
        <w:t xml:space="preserve"> </w:t>
      </w:r>
      <w:r>
        <w:rPr>
          <w:rFonts w:ascii="Arial" w:hAnsi="Arial" w:cs="Arial"/>
          <w:w w:val="97"/>
        </w:rPr>
        <w:t>care</w:t>
      </w:r>
      <w:r>
        <w:rPr>
          <w:rFonts w:ascii="Arial" w:hAnsi="Arial" w:cs="Arial"/>
          <w:spacing w:val="-3"/>
          <w:w w:val="97"/>
        </w:rPr>
        <w:t xml:space="preserve"> </w:t>
      </w:r>
      <w:r>
        <w:rPr>
          <w:rFonts w:ascii="Arial" w:hAnsi="Arial" w:cs="Arial"/>
          <w:w w:val="108"/>
        </w:rPr>
        <w:t>model</w:t>
      </w:r>
      <w:r>
        <w:rPr>
          <w:rFonts w:ascii="Arial" w:hAnsi="Arial" w:cs="Arial"/>
          <w:spacing w:val="-26"/>
          <w:w w:val="108"/>
        </w:rPr>
        <w:t xml:space="preserve"> </w:t>
      </w:r>
      <w:r>
        <w:rPr>
          <w:rFonts w:ascii="Arial" w:hAnsi="Arial" w:cs="Arial"/>
          <w:w w:val="115"/>
        </w:rPr>
        <w:t>that</w:t>
      </w:r>
      <w:r>
        <w:rPr>
          <w:rFonts w:ascii="Arial" w:hAnsi="Arial" w:cs="Arial"/>
          <w:spacing w:val="-13"/>
          <w:w w:val="115"/>
        </w:rPr>
        <w:t xml:space="preserve"> </w:t>
      </w:r>
      <w:r>
        <w:rPr>
          <w:rFonts w:ascii="Arial" w:hAnsi="Arial" w:cs="Arial"/>
          <w:w w:val="116"/>
        </w:rPr>
        <w:t xml:space="preserve">will </w:t>
      </w:r>
      <w:r>
        <w:rPr>
          <w:rFonts w:ascii="Arial" w:hAnsi="Arial" w:cs="Arial"/>
          <w:w w:val="115"/>
        </w:rPr>
        <w:t>result</w:t>
      </w:r>
      <w:r>
        <w:rPr>
          <w:rFonts w:ascii="Arial" w:hAnsi="Arial" w:cs="Arial"/>
          <w:spacing w:val="-29"/>
          <w:w w:val="115"/>
        </w:rPr>
        <w:t xml:space="preserve"> </w:t>
      </w:r>
      <w:r>
        <w:rPr>
          <w:rFonts w:ascii="Arial" w:hAnsi="Arial" w:cs="Arial"/>
          <w:spacing w:val="-17"/>
          <w:w w:val="120"/>
        </w:rPr>
        <w:t>in</w:t>
      </w:r>
      <w:r>
        <w:rPr>
          <w:rFonts w:ascii="Arial" w:hAnsi="Arial" w:cs="Arial"/>
          <w:spacing w:val="-49"/>
          <w:w w:val="120"/>
        </w:rPr>
        <w:t xml:space="preserve"> </w:t>
      </w:r>
      <w:r>
        <w:rPr>
          <w:rFonts w:ascii="Arial" w:hAnsi="Arial" w:cs="Arial"/>
          <w:w w:val="115"/>
        </w:rPr>
        <w:t>a</w:t>
      </w:r>
      <w:r>
        <w:rPr>
          <w:rFonts w:ascii="Arial" w:hAnsi="Arial" w:cs="Arial"/>
          <w:spacing w:val="-29"/>
          <w:w w:val="115"/>
        </w:rPr>
        <w:t xml:space="preserve"> </w:t>
      </w:r>
      <w:r>
        <w:rPr>
          <w:rFonts w:ascii="Arial" w:hAnsi="Arial" w:cs="Arial"/>
          <w:spacing w:val="-5"/>
          <w:w w:val="115"/>
        </w:rPr>
        <w:t>plan</w:t>
      </w:r>
      <w:r>
        <w:rPr>
          <w:rFonts w:ascii="Arial" w:hAnsi="Arial" w:cs="Arial"/>
          <w:spacing w:val="-42"/>
          <w:w w:val="115"/>
        </w:rPr>
        <w:t xml:space="preserve"> </w:t>
      </w:r>
      <w:r>
        <w:rPr>
          <w:rFonts w:ascii="Arial" w:hAnsi="Arial" w:cs="Arial"/>
          <w:w w:val="115"/>
        </w:rPr>
        <w:t>that</w:t>
      </w:r>
      <w:r>
        <w:rPr>
          <w:rFonts w:ascii="Arial" w:hAnsi="Arial" w:cs="Arial"/>
          <w:spacing w:val="-29"/>
          <w:w w:val="115"/>
        </w:rPr>
        <w:t xml:space="preserve"> </w:t>
      </w:r>
      <w:r>
        <w:rPr>
          <w:rFonts w:ascii="Arial" w:hAnsi="Arial" w:cs="Arial"/>
          <w:w w:val="115"/>
        </w:rPr>
        <w:t>could</w:t>
      </w:r>
      <w:r>
        <w:rPr>
          <w:rFonts w:ascii="Arial" w:hAnsi="Arial" w:cs="Arial"/>
          <w:spacing w:val="-36"/>
          <w:w w:val="115"/>
        </w:rPr>
        <w:t xml:space="preserve"> </w:t>
      </w:r>
      <w:r>
        <w:rPr>
          <w:rFonts w:ascii="Arial" w:hAnsi="Arial" w:cs="Arial"/>
          <w:spacing w:val="-3"/>
          <w:w w:val="115"/>
        </w:rPr>
        <w:t>ultimately</w:t>
      </w:r>
      <w:r>
        <w:rPr>
          <w:rFonts w:ascii="Arial" w:hAnsi="Arial" w:cs="Arial"/>
          <w:spacing w:val="-31"/>
          <w:w w:val="115"/>
        </w:rPr>
        <w:t xml:space="preserve"> </w:t>
      </w:r>
      <w:r>
        <w:rPr>
          <w:rFonts w:ascii="Arial" w:hAnsi="Arial" w:cs="Arial"/>
          <w:spacing w:val="-4"/>
          <w:w w:val="115"/>
        </w:rPr>
        <w:t>integrate</w:t>
      </w:r>
      <w:r>
        <w:rPr>
          <w:rFonts w:ascii="Arial" w:hAnsi="Arial" w:cs="Arial"/>
          <w:spacing w:val="-25"/>
          <w:w w:val="115"/>
        </w:rPr>
        <w:t xml:space="preserve"> </w:t>
      </w:r>
      <w:r>
        <w:rPr>
          <w:rFonts w:ascii="Arial" w:hAnsi="Arial" w:cs="Arial"/>
          <w:w w:val="115"/>
        </w:rPr>
        <w:t>health</w:t>
      </w:r>
      <w:r>
        <w:rPr>
          <w:rFonts w:ascii="Arial" w:hAnsi="Arial" w:cs="Arial"/>
          <w:spacing w:val="-33"/>
          <w:w w:val="115"/>
        </w:rPr>
        <w:t xml:space="preserve"> </w:t>
      </w:r>
      <w:r>
        <w:rPr>
          <w:rFonts w:ascii="Arial" w:hAnsi="Arial" w:cs="Arial"/>
          <w:w w:val="115"/>
        </w:rPr>
        <w:t>care</w:t>
      </w:r>
      <w:r>
        <w:rPr>
          <w:rFonts w:ascii="Arial" w:hAnsi="Arial" w:cs="Arial"/>
          <w:spacing w:val="-32"/>
          <w:w w:val="115"/>
        </w:rPr>
        <w:t xml:space="preserve"> </w:t>
      </w:r>
      <w:r>
        <w:rPr>
          <w:rFonts w:ascii="Arial" w:hAnsi="Arial" w:cs="Arial"/>
          <w:w w:val="115"/>
        </w:rPr>
        <w:t>with</w:t>
      </w:r>
      <w:r>
        <w:rPr>
          <w:rFonts w:ascii="Arial" w:hAnsi="Arial" w:cs="Arial"/>
          <w:spacing w:val="-32"/>
          <w:w w:val="115"/>
        </w:rPr>
        <w:t xml:space="preserve"> </w:t>
      </w:r>
      <w:r>
        <w:rPr>
          <w:rFonts w:ascii="Arial" w:hAnsi="Arial" w:cs="Arial"/>
          <w:w w:val="115"/>
        </w:rPr>
        <w:t>behavioral</w:t>
      </w:r>
      <w:r>
        <w:rPr>
          <w:rFonts w:ascii="Arial" w:hAnsi="Arial" w:cs="Arial"/>
          <w:spacing w:val="-32"/>
          <w:w w:val="115"/>
        </w:rPr>
        <w:t xml:space="preserve"> </w:t>
      </w:r>
      <w:r>
        <w:rPr>
          <w:rFonts w:ascii="Arial" w:hAnsi="Arial" w:cs="Arial"/>
          <w:w w:val="115"/>
        </w:rPr>
        <w:t>health</w:t>
      </w:r>
      <w:r>
        <w:rPr>
          <w:rFonts w:ascii="Arial" w:hAnsi="Arial" w:cs="Arial"/>
          <w:spacing w:val="-32"/>
          <w:w w:val="115"/>
        </w:rPr>
        <w:t xml:space="preserve"> </w:t>
      </w:r>
      <w:r>
        <w:rPr>
          <w:rFonts w:ascii="Arial" w:hAnsi="Arial" w:cs="Arial"/>
          <w:w w:val="115"/>
        </w:rPr>
        <w:t>and</w:t>
      </w:r>
      <w:r>
        <w:rPr>
          <w:rFonts w:ascii="Arial" w:hAnsi="Arial" w:cs="Arial"/>
          <w:spacing w:val="-32"/>
          <w:w w:val="115"/>
        </w:rPr>
        <w:t xml:space="preserve"> </w:t>
      </w:r>
      <w:r>
        <w:rPr>
          <w:rFonts w:ascii="Arial" w:hAnsi="Arial" w:cs="Arial"/>
          <w:spacing w:val="-9"/>
          <w:w w:val="115"/>
        </w:rPr>
        <w:t>long</w:t>
      </w:r>
      <w:r>
        <w:rPr>
          <w:rFonts w:ascii="Arial" w:hAnsi="Arial" w:cs="Arial"/>
          <w:spacing w:val="-43"/>
          <w:w w:val="115"/>
        </w:rPr>
        <w:t xml:space="preserve"> </w:t>
      </w:r>
      <w:r>
        <w:rPr>
          <w:rFonts w:ascii="Arial" w:hAnsi="Arial" w:cs="Arial"/>
          <w:w w:val="115"/>
        </w:rPr>
        <w:t xml:space="preserve">term </w:t>
      </w:r>
      <w:r>
        <w:rPr>
          <w:rFonts w:ascii="Arial" w:hAnsi="Arial" w:cs="Arial"/>
          <w:w w:val="104"/>
        </w:rPr>
        <w:t xml:space="preserve">services and supports </w:t>
      </w:r>
      <w:r w:rsidR="00CF30C1">
        <w:rPr>
          <w:rFonts w:ascii="Arial" w:hAnsi="Arial" w:cs="Arial"/>
          <w:spacing w:val="-8"/>
          <w:w w:val="111"/>
        </w:rPr>
        <w:t>(L</w:t>
      </w:r>
      <w:r>
        <w:rPr>
          <w:rFonts w:ascii="Arial" w:hAnsi="Arial" w:cs="Arial"/>
          <w:spacing w:val="-8"/>
          <w:w w:val="111"/>
        </w:rPr>
        <w:t>TSS),</w:t>
      </w:r>
      <w:r>
        <w:rPr>
          <w:rFonts w:ascii="Arial" w:hAnsi="Arial" w:cs="Arial"/>
          <w:w w:val="111"/>
        </w:rPr>
        <w:t xml:space="preserve"> </w:t>
      </w:r>
      <w:r>
        <w:rPr>
          <w:rFonts w:ascii="Arial" w:hAnsi="Arial" w:cs="Arial"/>
          <w:w w:val="108"/>
        </w:rPr>
        <w:t xml:space="preserve">controlled </w:t>
      </w:r>
      <w:r>
        <w:rPr>
          <w:rFonts w:ascii="Arial" w:hAnsi="Arial" w:cs="Arial"/>
          <w:w w:val="110"/>
        </w:rPr>
        <w:t xml:space="preserve">by </w:t>
      </w:r>
      <w:r>
        <w:rPr>
          <w:rFonts w:ascii="Arial" w:hAnsi="Arial" w:cs="Arial"/>
          <w:w w:val="102"/>
        </w:rPr>
        <w:t xml:space="preserve">large </w:t>
      </w:r>
      <w:r>
        <w:rPr>
          <w:rFonts w:ascii="Arial" w:hAnsi="Arial" w:cs="Arial"/>
          <w:spacing w:val="-1"/>
          <w:w w:val="107"/>
        </w:rPr>
        <w:t>provider</w:t>
      </w:r>
      <w:r>
        <w:rPr>
          <w:rFonts w:ascii="Arial" w:hAnsi="Arial" w:cs="Arial"/>
          <w:w w:val="107"/>
        </w:rPr>
        <w:t xml:space="preserve"> </w:t>
      </w:r>
      <w:r>
        <w:rPr>
          <w:rFonts w:ascii="Arial" w:hAnsi="Arial" w:cs="Arial"/>
          <w:w w:val="106"/>
        </w:rPr>
        <w:t xml:space="preserve">networks called </w:t>
      </w:r>
      <w:proofErr w:type="spellStart"/>
      <w:r>
        <w:rPr>
          <w:rFonts w:ascii="Arial" w:hAnsi="Arial" w:cs="Arial"/>
          <w:w w:val="102"/>
        </w:rPr>
        <w:t>Accountabl</w:t>
      </w:r>
      <w:proofErr w:type="spellEnd"/>
      <w:r>
        <w:rPr>
          <w:rFonts w:ascii="Arial" w:hAnsi="Arial" w:cs="Arial"/>
          <w:w w:val="102"/>
        </w:rPr>
        <w:t xml:space="preserve"> </w:t>
      </w:r>
      <w:r>
        <w:rPr>
          <w:rFonts w:ascii="Arial" w:hAnsi="Arial" w:cs="Arial"/>
          <w:w w:val="107"/>
        </w:rPr>
        <w:t xml:space="preserve">e </w:t>
      </w:r>
      <w:r>
        <w:rPr>
          <w:rFonts w:ascii="Arial" w:hAnsi="Arial" w:cs="Arial"/>
          <w:w w:val="95"/>
        </w:rPr>
        <w:t xml:space="preserve">Care </w:t>
      </w:r>
      <w:r>
        <w:rPr>
          <w:rFonts w:ascii="Arial" w:hAnsi="Arial" w:cs="Arial"/>
          <w:w w:val="115"/>
        </w:rPr>
        <w:t>Organizations.</w:t>
      </w:r>
    </w:p>
    <w:p w:rsidR="002C5025" w:rsidRDefault="002C5025">
      <w:pPr>
        <w:pStyle w:val="BodyText"/>
        <w:kinsoku w:val="0"/>
        <w:overflowPunct w:val="0"/>
        <w:spacing w:before="2"/>
        <w:rPr>
          <w:rFonts w:ascii="Arial" w:hAnsi="Arial" w:cs="Arial"/>
          <w:sz w:val="17"/>
          <w:szCs w:val="17"/>
        </w:rPr>
      </w:pPr>
    </w:p>
    <w:p w:rsidR="002C5025" w:rsidRDefault="002C5025">
      <w:pPr>
        <w:pStyle w:val="BodyText"/>
        <w:kinsoku w:val="0"/>
        <w:overflowPunct w:val="0"/>
        <w:spacing w:before="1" w:line="333" w:lineRule="auto"/>
        <w:ind w:left="135" w:right="110"/>
        <w:rPr>
          <w:rFonts w:ascii="Arial" w:hAnsi="Arial" w:cs="Arial"/>
          <w:spacing w:val="-7"/>
          <w:w w:val="121"/>
        </w:rPr>
      </w:pPr>
      <w:r>
        <w:rPr>
          <w:rFonts w:ascii="Arial" w:hAnsi="Arial" w:cs="Arial"/>
          <w:w w:val="110"/>
        </w:rPr>
        <w:t>The</w:t>
      </w:r>
      <w:r>
        <w:rPr>
          <w:rFonts w:ascii="Arial" w:hAnsi="Arial" w:cs="Arial"/>
          <w:spacing w:val="57"/>
          <w:w w:val="110"/>
        </w:rPr>
        <w:t xml:space="preserve"> </w:t>
      </w:r>
      <w:r>
        <w:rPr>
          <w:rFonts w:ascii="Arial" w:hAnsi="Arial" w:cs="Arial"/>
          <w:w w:val="110"/>
        </w:rPr>
        <w:t>TSS</w:t>
      </w:r>
      <w:r>
        <w:rPr>
          <w:rFonts w:ascii="Arial" w:hAnsi="Arial" w:cs="Arial"/>
          <w:spacing w:val="-29"/>
          <w:w w:val="110"/>
        </w:rPr>
        <w:t xml:space="preserve"> </w:t>
      </w:r>
      <w:r>
        <w:rPr>
          <w:rFonts w:ascii="Arial" w:hAnsi="Arial" w:cs="Arial"/>
          <w:w w:val="110"/>
        </w:rPr>
        <w:t>goal</w:t>
      </w:r>
      <w:r>
        <w:rPr>
          <w:rFonts w:ascii="Arial" w:hAnsi="Arial" w:cs="Arial"/>
          <w:spacing w:val="-21"/>
          <w:w w:val="110"/>
        </w:rPr>
        <w:t xml:space="preserve"> </w:t>
      </w:r>
      <w:r>
        <w:rPr>
          <w:rFonts w:ascii="Arial" w:hAnsi="Arial" w:cs="Arial"/>
          <w:w w:val="110"/>
        </w:rPr>
        <w:t>of</w:t>
      </w:r>
      <w:r>
        <w:rPr>
          <w:rFonts w:ascii="Arial" w:hAnsi="Arial" w:cs="Arial"/>
          <w:spacing w:val="-34"/>
          <w:w w:val="110"/>
        </w:rPr>
        <w:t xml:space="preserve"> </w:t>
      </w:r>
      <w:r>
        <w:rPr>
          <w:rFonts w:ascii="Arial" w:hAnsi="Arial" w:cs="Arial"/>
          <w:w w:val="110"/>
        </w:rPr>
        <w:t>this</w:t>
      </w:r>
      <w:r>
        <w:rPr>
          <w:rFonts w:ascii="Arial" w:hAnsi="Arial" w:cs="Arial"/>
          <w:spacing w:val="-29"/>
          <w:w w:val="110"/>
        </w:rPr>
        <w:t xml:space="preserve"> </w:t>
      </w:r>
      <w:r>
        <w:rPr>
          <w:rFonts w:ascii="Arial" w:hAnsi="Arial" w:cs="Arial"/>
          <w:w w:val="110"/>
        </w:rPr>
        <w:t>reform</w:t>
      </w:r>
      <w:r>
        <w:rPr>
          <w:rFonts w:ascii="Arial" w:hAnsi="Arial" w:cs="Arial"/>
          <w:spacing w:val="-21"/>
          <w:w w:val="110"/>
        </w:rPr>
        <w:t xml:space="preserve"> </w:t>
      </w:r>
      <w:r>
        <w:rPr>
          <w:rFonts w:ascii="Arial" w:hAnsi="Arial" w:cs="Arial"/>
          <w:w w:val="110"/>
        </w:rPr>
        <w:t>should</w:t>
      </w:r>
      <w:r>
        <w:rPr>
          <w:rFonts w:ascii="Arial" w:hAnsi="Arial" w:cs="Arial"/>
          <w:spacing w:val="-26"/>
          <w:w w:val="110"/>
        </w:rPr>
        <w:t xml:space="preserve"> </w:t>
      </w:r>
      <w:r>
        <w:rPr>
          <w:rFonts w:ascii="Arial" w:hAnsi="Arial" w:cs="Arial"/>
          <w:w w:val="110"/>
        </w:rPr>
        <w:t>be</w:t>
      </w:r>
      <w:r>
        <w:rPr>
          <w:rFonts w:ascii="Arial" w:hAnsi="Arial" w:cs="Arial"/>
          <w:spacing w:val="-35"/>
          <w:w w:val="110"/>
        </w:rPr>
        <w:t xml:space="preserve"> </w:t>
      </w:r>
      <w:r>
        <w:rPr>
          <w:rFonts w:ascii="Arial" w:hAnsi="Arial" w:cs="Arial"/>
          <w:w w:val="110"/>
        </w:rPr>
        <w:t>to</w:t>
      </w:r>
      <w:r>
        <w:rPr>
          <w:rFonts w:ascii="Arial" w:hAnsi="Arial" w:cs="Arial"/>
          <w:spacing w:val="-27"/>
          <w:w w:val="110"/>
        </w:rPr>
        <w:t xml:space="preserve"> </w:t>
      </w:r>
      <w:r>
        <w:rPr>
          <w:rFonts w:ascii="Arial" w:hAnsi="Arial" w:cs="Arial"/>
          <w:w w:val="110"/>
        </w:rPr>
        <w:t>guarantee</w:t>
      </w:r>
      <w:r>
        <w:rPr>
          <w:rFonts w:ascii="Arial" w:hAnsi="Arial" w:cs="Arial"/>
          <w:spacing w:val="-15"/>
          <w:w w:val="110"/>
        </w:rPr>
        <w:t xml:space="preserve"> </w:t>
      </w:r>
      <w:r>
        <w:rPr>
          <w:rFonts w:ascii="Arial" w:hAnsi="Arial" w:cs="Arial"/>
          <w:w w:val="110"/>
        </w:rPr>
        <w:t>that</w:t>
      </w:r>
      <w:r>
        <w:rPr>
          <w:rFonts w:ascii="Arial" w:hAnsi="Arial" w:cs="Arial"/>
          <w:spacing w:val="-15"/>
          <w:w w:val="110"/>
        </w:rPr>
        <w:t xml:space="preserve"> </w:t>
      </w:r>
      <w:r>
        <w:rPr>
          <w:rFonts w:ascii="Arial" w:hAnsi="Arial" w:cs="Arial"/>
          <w:w w:val="110"/>
        </w:rPr>
        <w:t>all</w:t>
      </w:r>
      <w:r>
        <w:rPr>
          <w:rFonts w:ascii="Arial" w:hAnsi="Arial" w:cs="Arial"/>
          <w:spacing w:val="-25"/>
          <w:w w:val="110"/>
        </w:rPr>
        <w:t xml:space="preserve"> </w:t>
      </w:r>
      <w:r>
        <w:rPr>
          <w:rFonts w:ascii="Arial" w:hAnsi="Arial" w:cs="Arial"/>
          <w:w w:val="110"/>
        </w:rPr>
        <w:t>MassHealth</w:t>
      </w:r>
      <w:r>
        <w:rPr>
          <w:rFonts w:ascii="Arial" w:hAnsi="Arial" w:cs="Arial"/>
          <w:spacing w:val="-25"/>
          <w:w w:val="110"/>
        </w:rPr>
        <w:t xml:space="preserve"> </w:t>
      </w:r>
      <w:r>
        <w:rPr>
          <w:rFonts w:ascii="Arial" w:hAnsi="Arial" w:cs="Arial"/>
          <w:w w:val="110"/>
        </w:rPr>
        <w:t>members</w:t>
      </w:r>
      <w:r>
        <w:rPr>
          <w:rFonts w:ascii="Arial" w:hAnsi="Arial" w:cs="Arial"/>
          <w:spacing w:val="-28"/>
          <w:w w:val="110"/>
        </w:rPr>
        <w:t xml:space="preserve"> </w:t>
      </w:r>
      <w:r>
        <w:rPr>
          <w:rFonts w:ascii="Arial" w:hAnsi="Arial" w:cs="Arial"/>
          <w:w w:val="110"/>
        </w:rPr>
        <w:t>are</w:t>
      </w:r>
      <w:r>
        <w:rPr>
          <w:rFonts w:ascii="Arial" w:hAnsi="Arial" w:cs="Arial"/>
          <w:spacing w:val="-25"/>
          <w:w w:val="110"/>
        </w:rPr>
        <w:t xml:space="preserve"> </w:t>
      </w:r>
      <w:r>
        <w:rPr>
          <w:rFonts w:ascii="Arial" w:hAnsi="Arial" w:cs="Arial"/>
          <w:w w:val="110"/>
        </w:rPr>
        <w:t>able</w:t>
      </w:r>
      <w:r>
        <w:rPr>
          <w:rFonts w:ascii="Arial" w:hAnsi="Arial" w:cs="Arial"/>
          <w:spacing w:val="-28"/>
          <w:w w:val="110"/>
        </w:rPr>
        <w:t xml:space="preserve"> </w:t>
      </w:r>
      <w:r>
        <w:rPr>
          <w:rFonts w:ascii="Arial" w:hAnsi="Arial" w:cs="Arial"/>
          <w:w w:val="110"/>
        </w:rPr>
        <w:t>to</w:t>
      </w:r>
      <w:r>
        <w:rPr>
          <w:rFonts w:ascii="Arial" w:hAnsi="Arial" w:cs="Arial"/>
          <w:spacing w:val="-24"/>
          <w:w w:val="110"/>
        </w:rPr>
        <w:t xml:space="preserve"> </w:t>
      </w:r>
      <w:r>
        <w:rPr>
          <w:rFonts w:ascii="Arial" w:hAnsi="Arial" w:cs="Arial"/>
          <w:spacing w:val="-9"/>
          <w:w w:val="110"/>
        </w:rPr>
        <w:t>live</w:t>
      </w:r>
      <w:r>
        <w:rPr>
          <w:rFonts w:ascii="Arial" w:hAnsi="Arial" w:cs="Arial"/>
          <w:spacing w:val="-11"/>
          <w:w w:val="110"/>
        </w:rPr>
        <w:t xml:space="preserve"> </w:t>
      </w:r>
      <w:r>
        <w:rPr>
          <w:rFonts w:ascii="Arial" w:hAnsi="Arial" w:cs="Arial"/>
          <w:w w:val="110"/>
        </w:rPr>
        <w:t xml:space="preserve">at their </w:t>
      </w:r>
      <w:r>
        <w:rPr>
          <w:rFonts w:ascii="Arial" w:hAnsi="Arial" w:cs="Arial"/>
          <w:spacing w:val="-4"/>
          <w:w w:val="110"/>
        </w:rPr>
        <w:t xml:space="preserve">highest </w:t>
      </w:r>
      <w:r>
        <w:rPr>
          <w:rFonts w:ascii="Arial" w:hAnsi="Arial" w:cs="Arial"/>
          <w:spacing w:val="-7"/>
          <w:w w:val="110"/>
        </w:rPr>
        <w:t xml:space="preserve">level </w:t>
      </w:r>
      <w:r>
        <w:rPr>
          <w:rFonts w:ascii="Arial" w:hAnsi="Arial" w:cs="Arial"/>
          <w:w w:val="110"/>
        </w:rPr>
        <w:t xml:space="preserve">of functioning possible, </w:t>
      </w:r>
      <w:r>
        <w:rPr>
          <w:rFonts w:ascii="Arial" w:hAnsi="Arial" w:cs="Arial"/>
          <w:spacing w:val="-13"/>
          <w:w w:val="120"/>
        </w:rPr>
        <w:t xml:space="preserve">in </w:t>
      </w:r>
      <w:r>
        <w:rPr>
          <w:rFonts w:ascii="Arial" w:hAnsi="Arial" w:cs="Arial"/>
          <w:w w:val="110"/>
        </w:rPr>
        <w:t xml:space="preserve">the </w:t>
      </w:r>
      <w:r>
        <w:rPr>
          <w:rFonts w:ascii="Arial" w:hAnsi="Arial" w:cs="Arial"/>
          <w:spacing w:val="-8"/>
          <w:w w:val="110"/>
        </w:rPr>
        <w:t xml:space="preserve">least </w:t>
      </w:r>
      <w:r>
        <w:rPr>
          <w:rFonts w:ascii="Arial" w:hAnsi="Arial" w:cs="Arial"/>
          <w:w w:val="110"/>
        </w:rPr>
        <w:t xml:space="preserve">restrictive setting possible. We </w:t>
      </w:r>
      <w:r>
        <w:rPr>
          <w:rFonts w:ascii="Arial" w:hAnsi="Arial" w:cs="Arial"/>
          <w:spacing w:val="-6"/>
          <w:w w:val="110"/>
        </w:rPr>
        <w:t xml:space="preserve">believe </w:t>
      </w:r>
      <w:r>
        <w:rPr>
          <w:rFonts w:ascii="Arial" w:hAnsi="Arial" w:cs="Arial"/>
          <w:w w:val="110"/>
        </w:rPr>
        <w:t xml:space="preserve">an </w:t>
      </w:r>
      <w:r>
        <w:rPr>
          <w:rFonts w:ascii="Arial" w:hAnsi="Arial" w:cs="Arial"/>
          <w:spacing w:val="-2"/>
          <w:w w:val="113"/>
        </w:rPr>
        <w:t>integrated,</w:t>
      </w:r>
      <w:r w:rsidR="00CF30C1">
        <w:rPr>
          <w:rFonts w:ascii="Arial" w:hAnsi="Arial" w:cs="Arial"/>
          <w:spacing w:val="-2"/>
          <w:w w:val="113"/>
        </w:rPr>
        <w:t xml:space="preserve"> </w:t>
      </w:r>
      <w:r>
        <w:rPr>
          <w:rFonts w:ascii="Arial" w:hAnsi="Arial" w:cs="Arial"/>
          <w:spacing w:val="-2"/>
          <w:w w:val="113"/>
        </w:rPr>
        <w:t>person-centered</w:t>
      </w:r>
      <w:r>
        <w:rPr>
          <w:rFonts w:ascii="Arial" w:hAnsi="Arial" w:cs="Arial"/>
          <w:w w:val="113"/>
        </w:rPr>
        <w:t xml:space="preserve"> </w:t>
      </w:r>
      <w:r>
        <w:rPr>
          <w:rFonts w:ascii="Arial" w:hAnsi="Arial" w:cs="Arial"/>
          <w:w w:val="102"/>
        </w:rPr>
        <w:t xml:space="preserve">care </w:t>
      </w:r>
      <w:r>
        <w:rPr>
          <w:rFonts w:ascii="Arial" w:hAnsi="Arial" w:cs="Arial"/>
          <w:spacing w:val="-3"/>
          <w:w w:val="108"/>
        </w:rPr>
        <w:t>plan</w:t>
      </w:r>
      <w:r>
        <w:rPr>
          <w:rFonts w:ascii="Arial" w:hAnsi="Arial" w:cs="Arial"/>
          <w:w w:val="108"/>
        </w:rPr>
        <w:t xml:space="preserve"> </w:t>
      </w:r>
      <w:r>
        <w:rPr>
          <w:rFonts w:ascii="Arial" w:hAnsi="Arial" w:cs="Arial"/>
          <w:w w:val="107"/>
        </w:rPr>
        <w:t xml:space="preserve">must </w:t>
      </w:r>
      <w:r>
        <w:rPr>
          <w:rFonts w:ascii="Arial" w:hAnsi="Arial" w:cs="Arial"/>
          <w:spacing w:val="-1"/>
          <w:w w:val="101"/>
        </w:rPr>
        <w:t>balance</w:t>
      </w:r>
      <w:r>
        <w:rPr>
          <w:rFonts w:ascii="Arial" w:hAnsi="Arial" w:cs="Arial"/>
          <w:w w:val="101"/>
        </w:rPr>
        <w:t xml:space="preserve"> </w:t>
      </w:r>
      <w:r>
        <w:rPr>
          <w:rFonts w:ascii="Arial" w:hAnsi="Arial" w:cs="Arial"/>
          <w:spacing w:val="-1"/>
          <w:w w:val="105"/>
        </w:rPr>
        <w:t>medical</w:t>
      </w:r>
      <w:r>
        <w:rPr>
          <w:rFonts w:ascii="Arial" w:hAnsi="Arial" w:cs="Arial"/>
          <w:w w:val="105"/>
        </w:rPr>
        <w:t xml:space="preserve"> </w:t>
      </w:r>
      <w:r>
        <w:rPr>
          <w:rFonts w:ascii="Arial" w:hAnsi="Arial" w:cs="Arial"/>
          <w:w w:val="99"/>
        </w:rPr>
        <w:t xml:space="preserve">care </w:t>
      </w:r>
      <w:r>
        <w:rPr>
          <w:rFonts w:ascii="Arial" w:hAnsi="Arial" w:cs="Arial"/>
          <w:spacing w:val="-2"/>
          <w:w w:val="123"/>
        </w:rPr>
        <w:t>with</w:t>
      </w:r>
      <w:r>
        <w:rPr>
          <w:rFonts w:ascii="Arial" w:hAnsi="Arial" w:cs="Arial"/>
          <w:w w:val="123"/>
        </w:rPr>
        <w:t xml:space="preserve"> </w:t>
      </w:r>
      <w:r>
        <w:rPr>
          <w:rFonts w:ascii="Arial" w:hAnsi="Arial" w:cs="Arial"/>
          <w:w w:val="104"/>
        </w:rPr>
        <w:t xml:space="preserve">non-medical </w:t>
      </w:r>
      <w:r>
        <w:rPr>
          <w:rFonts w:ascii="Arial" w:hAnsi="Arial" w:cs="Arial"/>
          <w:w w:val="109"/>
        </w:rPr>
        <w:t xml:space="preserve">functional </w:t>
      </w:r>
      <w:r>
        <w:rPr>
          <w:rFonts w:ascii="Arial" w:hAnsi="Arial" w:cs="Arial"/>
          <w:w w:val="107"/>
        </w:rPr>
        <w:t>supports</w:t>
      </w:r>
      <w:r>
        <w:rPr>
          <w:rFonts w:ascii="Arial" w:hAnsi="Arial" w:cs="Arial"/>
          <w:spacing w:val="-24"/>
          <w:w w:val="107"/>
        </w:rPr>
        <w:t xml:space="preserve"> </w:t>
      </w:r>
      <w:r>
        <w:rPr>
          <w:rFonts w:ascii="Arial" w:hAnsi="Arial" w:cs="Arial"/>
          <w:w w:val="114"/>
        </w:rPr>
        <w:t>for</w:t>
      </w:r>
      <w:r>
        <w:rPr>
          <w:rFonts w:ascii="Arial" w:hAnsi="Arial" w:cs="Arial"/>
          <w:spacing w:val="-25"/>
          <w:w w:val="114"/>
        </w:rPr>
        <w:t xml:space="preserve"> </w:t>
      </w:r>
      <w:r>
        <w:rPr>
          <w:rFonts w:ascii="Arial" w:hAnsi="Arial" w:cs="Arial"/>
          <w:w w:val="110"/>
        </w:rPr>
        <w:t>the</w:t>
      </w:r>
      <w:r>
        <w:rPr>
          <w:rFonts w:ascii="Arial" w:hAnsi="Arial" w:cs="Arial"/>
          <w:spacing w:val="-28"/>
          <w:w w:val="110"/>
        </w:rPr>
        <w:t xml:space="preserve"> </w:t>
      </w:r>
      <w:r>
        <w:rPr>
          <w:rFonts w:ascii="Arial" w:hAnsi="Arial" w:cs="Arial"/>
          <w:spacing w:val="-1"/>
          <w:w w:val="109"/>
        </w:rPr>
        <w:t>elderly,</w:t>
      </w:r>
      <w:r>
        <w:rPr>
          <w:rFonts w:ascii="Arial" w:hAnsi="Arial" w:cs="Arial"/>
          <w:spacing w:val="-32"/>
          <w:w w:val="109"/>
        </w:rPr>
        <w:t xml:space="preserve"> </w:t>
      </w:r>
      <w:r>
        <w:rPr>
          <w:rFonts w:ascii="Arial" w:hAnsi="Arial" w:cs="Arial"/>
          <w:w w:val="104"/>
        </w:rPr>
        <w:t>and</w:t>
      </w:r>
      <w:r>
        <w:rPr>
          <w:rFonts w:ascii="Arial" w:hAnsi="Arial" w:cs="Arial"/>
          <w:spacing w:val="-22"/>
          <w:w w:val="104"/>
        </w:rPr>
        <w:t xml:space="preserve"> </w:t>
      </w:r>
      <w:r>
        <w:rPr>
          <w:rFonts w:ascii="Arial" w:hAnsi="Arial" w:cs="Arial"/>
          <w:spacing w:val="-6"/>
          <w:w w:val="119"/>
        </w:rPr>
        <w:t>individuals</w:t>
      </w:r>
      <w:r>
        <w:rPr>
          <w:rFonts w:ascii="Arial" w:hAnsi="Arial" w:cs="Arial"/>
          <w:spacing w:val="-36"/>
          <w:w w:val="119"/>
        </w:rPr>
        <w:t xml:space="preserve"> </w:t>
      </w:r>
      <w:r>
        <w:rPr>
          <w:rFonts w:ascii="Arial" w:hAnsi="Arial" w:cs="Arial"/>
          <w:spacing w:val="-1"/>
          <w:w w:val="121"/>
        </w:rPr>
        <w:t>with</w:t>
      </w:r>
      <w:r>
        <w:rPr>
          <w:rFonts w:ascii="Arial" w:hAnsi="Arial" w:cs="Arial"/>
          <w:spacing w:val="-33"/>
          <w:w w:val="121"/>
        </w:rPr>
        <w:t xml:space="preserve"> </w:t>
      </w:r>
      <w:r>
        <w:rPr>
          <w:rFonts w:ascii="Arial" w:hAnsi="Arial" w:cs="Arial"/>
          <w:spacing w:val="-7"/>
          <w:w w:val="121"/>
        </w:rPr>
        <w:t>disabilities.</w:t>
      </w:r>
    </w:p>
    <w:p w:rsidR="002C5025" w:rsidRDefault="002C5025">
      <w:pPr>
        <w:pStyle w:val="BodyText"/>
        <w:kinsoku w:val="0"/>
        <w:overflowPunct w:val="0"/>
        <w:spacing w:before="191" w:line="333" w:lineRule="auto"/>
        <w:ind w:left="121" w:right="110" w:firstLine="21"/>
        <w:rPr>
          <w:rFonts w:ascii="Arial" w:hAnsi="Arial" w:cs="Arial"/>
          <w:w w:val="115"/>
        </w:rPr>
      </w:pPr>
      <w:r>
        <w:rPr>
          <w:rFonts w:ascii="Arial" w:hAnsi="Arial" w:cs="Arial"/>
          <w:w w:val="102"/>
        </w:rPr>
        <w:t xml:space="preserve">Massachusetts </w:t>
      </w:r>
      <w:r>
        <w:rPr>
          <w:rFonts w:ascii="Arial" w:hAnsi="Arial" w:cs="Arial"/>
          <w:spacing w:val="-17"/>
          <w:w w:val="132"/>
        </w:rPr>
        <w:t>is</w:t>
      </w:r>
      <w:r>
        <w:rPr>
          <w:rFonts w:ascii="Arial" w:hAnsi="Arial" w:cs="Arial"/>
          <w:w w:val="132"/>
        </w:rPr>
        <w:t xml:space="preserve"> </w:t>
      </w:r>
      <w:r>
        <w:rPr>
          <w:rFonts w:ascii="Arial" w:hAnsi="Arial" w:cs="Arial"/>
          <w:spacing w:val="-1"/>
          <w:w w:val="108"/>
        </w:rPr>
        <w:t>currently</w:t>
      </w:r>
      <w:r>
        <w:rPr>
          <w:rFonts w:ascii="Arial" w:hAnsi="Arial" w:cs="Arial"/>
          <w:w w:val="108"/>
        </w:rPr>
        <w:t xml:space="preserve"> </w:t>
      </w:r>
      <w:r>
        <w:rPr>
          <w:rFonts w:ascii="Arial" w:hAnsi="Arial" w:cs="Arial"/>
          <w:spacing w:val="-1"/>
          <w:w w:val="112"/>
        </w:rPr>
        <w:t>running</w:t>
      </w:r>
      <w:r>
        <w:rPr>
          <w:rFonts w:ascii="Arial" w:hAnsi="Arial" w:cs="Arial"/>
          <w:w w:val="112"/>
        </w:rPr>
        <w:t xml:space="preserve"> </w:t>
      </w:r>
      <w:r>
        <w:rPr>
          <w:rFonts w:ascii="Arial" w:hAnsi="Arial" w:cs="Arial"/>
          <w:w w:val="117"/>
        </w:rPr>
        <w:t xml:space="preserve">two </w:t>
      </w:r>
      <w:r>
        <w:rPr>
          <w:rFonts w:ascii="Arial" w:hAnsi="Arial" w:cs="Arial"/>
          <w:w w:val="108"/>
        </w:rPr>
        <w:t xml:space="preserve">major </w:t>
      </w:r>
      <w:r>
        <w:rPr>
          <w:rFonts w:ascii="Arial" w:hAnsi="Arial" w:cs="Arial"/>
        </w:rPr>
        <w:t xml:space="preserve">managed </w:t>
      </w:r>
      <w:r>
        <w:rPr>
          <w:rFonts w:ascii="Arial" w:hAnsi="Arial" w:cs="Arial"/>
          <w:w w:val="101"/>
        </w:rPr>
        <w:t xml:space="preserve">care </w:t>
      </w:r>
      <w:r>
        <w:rPr>
          <w:rFonts w:ascii="Arial" w:hAnsi="Arial" w:cs="Arial"/>
          <w:spacing w:val="-7"/>
          <w:w w:val="123"/>
        </w:rPr>
        <w:t>initiatives</w:t>
      </w:r>
      <w:r>
        <w:rPr>
          <w:rFonts w:ascii="Arial" w:hAnsi="Arial" w:cs="Arial"/>
          <w:w w:val="123"/>
        </w:rPr>
        <w:t xml:space="preserve"> </w:t>
      </w:r>
      <w:r>
        <w:rPr>
          <w:rFonts w:ascii="Arial" w:hAnsi="Arial" w:cs="Arial"/>
          <w:w w:val="112"/>
        </w:rPr>
        <w:t xml:space="preserve">for </w:t>
      </w:r>
      <w:r>
        <w:rPr>
          <w:rFonts w:ascii="Arial" w:hAnsi="Arial" w:cs="Arial"/>
          <w:spacing w:val="-2"/>
          <w:w w:val="103"/>
        </w:rPr>
        <w:t>55,000</w:t>
      </w:r>
      <w:r>
        <w:rPr>
          <w:rFonts w:ascii="Arial" w:hAnsi="Arial" w:cs="Arial"/>
          <w:w w:val="103"/>
        </w:rPr>
        <w:t xml:space="preserve"> </w:t>
      </w:r>
      <w:r>
        <w:rPr>
          <w:rFonts w:ascii="Arial" w:hAnsi="Arial" w:cs="Arial"/>
          <w:spacing w:val="-6"/>
          <w:w w:val="118"/>
        </w:rPr>
        <w:t>individuals</w:t>
      </w:r>
      <w:r>
        <w:rPr>
          <w:rFonts w:ascii="Arial" w:hAnsi="Arial" w:cs="Arial"/>
          <w:w w:val="118"/>
        </w:rPr>
        <w:t xml:space="preserve"> </w:t>
      </w:r>
      <w:r>
        <w:rPr>
          <w:rFonts w:ascii="Arial" w:hAnsi="Arial" w:cs="Arial"/>
          <w:w w:val="101"/>
        </w:rPr>
        <w:t xml:space="preserve">on </w:t>
      </w:r>
      <w:r>
        <w:rPr>
          <w:rFonts w:ascii="Arial" w:hAnsi="Arial" w:cs="Arial"/>
          <w:w w:val="110"/>
        </w:rPr>
        <w:t>Medicare</w:t>
      </w:r>
      <w:r>
        <w:rPr>
          <w:rFonts w:ascii="Arial" w:hAnsi="Arial" w:cs="Arial"/>
          <w:spacing w:val="-34"/>
          <w:w w:val="110"/>
        </w:rPr>
        <w:t xml:space="preserve"> </w:t>
      </w:r>
      <w:r>
        <w:rPr>
          <w:rFonts w:ascii="Arial" w:hAnsi="Arial" w:cs="Arial"/>
          <w:w w:val="110"/>
        </w:rPr>
        <w:t>and</w:t>
      </w:r>
      <w:r>
        <w:rPr>
          <w:rFonts w:ascii="Arial" w:hAnsi="Arial" w:cs="Arial"/>
          <w:spacing w:val="-24"/>
          <w:w w:val="110"/>
        </w:rPr>
        <w:t xml:space="preserve"> </w:t>
      </w:r>
      <w:r>
        <w:rPr>
          <w:rFonts w:ascii="Arial" w:hAnsi="Arial" w:cs="Arial"/>
          <w:w w:val="110"/>
        </w:rPr>
        <w:t>Medicaid.</w:t>
      </w:r>
      <w:r>
        <w:rPr>
          <w:rFonts w:ascii="Arial" w:hAnsi="Arial" w:cs="Arial"/>
          <w:spacing w:val="-38"/>
          <w:w w:val="110"/>
        </w:rPr>
        <w:t xml:space="preserve"> </w:t>
      </w:r>
      <w:r>
        <w:rPr>
          <w:rFonts w:ascii="Arial" w:hAnsi="Arial" w:cs="Arial"/>
          <w:w w:val="110"/>
        </w:rPr>
        <w:t>The</w:t>
      </w:r>
      <w:r>
        <w:rPr>
          <w:rFonts w:ascii="Arial" w:hAnsi="Arial" w:cs="Arial"/>
          <w:spacing w:val="-32"/>
          <w:w w:val="110"/>
        </w:rPr>
        <w:t xml:space="preserve"> </w:t>
      </w:r>
      <w:r>
        <w:rPr>
          <w:rFonts w:ascii="Arial" w:hAnsi="Arial" w:cs="Arial"/>
          <w:w w:val="110"/>
        </w:rPr>
        <w:t>Senior</w:t>
      </w:r>
      <w:r>
        <w:rPr>
          <w:rFonts w:ascii="Arial" w:hAnsi="Arial" w:cs="Arial"/>
          <w:spacing w:val="-27"/>
          <w:w w:val="110"/>
        </w:rPr>
        <w:t xml:space="preserve"> </w:t>
      </w:r>
      <w:r>
        <w:rPr>
          <w:rFonts w:ascii="Arial" w:hAnsi="Arial" w:cs="Arial"/>
          <w:w w:val="110"/>
        </w:rPr>
        <w:t>Care</w:t>
      </w:r>
      <w:r>
        <w:rPr>
          <w:rFonts w:ascii="Arial" w:hAnsi="Arial" w:cs="Arial"/>
          <w:spacing w:val="-28"/>
          <w:w w:val="110"/>
        </w:rPr>
        <w:t xml:space="preserve"> </w:t>
      </w:r>
      <w:r>
        <w:rPr>
          <w:rFonts w:ascii="Arial" w:hAnsi="Arial" w:cs="Arial"/>
          <w:w w:val="110"/>
        </w:rPr>
        <w:t>Organizations</w:t>
      </w:r>
      <w:r>
        <w:rPr>
          <w:rFonts w:ascii="Arial" w:hAnsi="Arial" w:cs="Arial"/>
          <w:spacing w:val="-28"/>
          <w:w w:val="110"/>
        </w:rPr>
        <w:t xml:space="preserve"> </w:t>
      </w:r>
      <w:r>
        <w:rPr>
          <w:rFonts w:ascii="Arial" w:hAnsi="Arial" w:cs="Arial"/>
          <w:w w:val="110"/>
        </w:rPr>
        <w:t>and</w:t>
      </w:r>
      <w:r>
        <w:rPr>
          <w:rFonts w:ascii="Arial" w:hAnsi="Arial" w:cs="Arial"/>
          <w:spacing w:val="-38"/>
          <w:w w:val="110"/>
        </w:rPr>
        <w:t xml:space="preserve"> </w:t>
      </w:r>
      <w:r>
        <w:rPr>
          <w:rFonts w:ascii="Arial" w:hAnsi="Arial" w:cs="Arial"/>
          <w:w w:val="110"/>
        </w:rPr>
        <w:t>the</w:t>
      </w:r>
      <w:r>
        <w:rPr>
          <w:rFonts w:ascii="Arial" w:hAnsi="Arial" w:cs="Arial"/>
          <w:spacing w:val="-32"/>
          <w:w w:val="110"/>
        </w:rPr>
        <w:t xml:space="preserve"> </w:t>
      </w:r>
      <w:r>
        <w:rPr>
          <w:rFonts w:ascii="Arial" w:hAnsi="Arial" w:cs="Arial"/>
          <w:w w:val="110"/>
        </w:rPr>
        <w:t>One</w:t>
      </w:r>
      <w:r>
        <w:rPr>
          <w:rFonts w:ascii="Arial" w:hAnsi="Arial" w:cs="Arial"/>
          <w:spacing w:val="-31"/>
          <w:w w:val="110"/>
        </w:rPr>
        <w:t xml:space="preserve"> </w:t>
      </w:r>
      <w:r>
        <w:rPr>
          <w:rFonts w:ascii="Arial" w:hAnsi="Arial" w:cs="Arial"/>
          <w:w w:val="110"/>
        </w:rPr>
        <w:t>Care</w:t>
      </w:r>
      <w:r>
        <w:rPr>
          <w:rFonts w:ascii="Arial" w:hAnsi="Arial" w:cs="Arial"/>
          <w:spacing w:val="-25"/>
          <w:w w:val="110"/>
        </w:rPr>
        <w:t xml:space="preserve"> </w:t>
      </w:r>
      <w:r>
        <w:rPr>
          <w:rFonts w:ascii="Arial" w:hAnsi="Arial" w:cs="Arial"/>
          <w:spacing w:val="-4"/>
          <w:w w:val="110"/>
        </w:rPr>
        <w:t>plans</w:t>
      </w:r>
      <w:r>
        <w:rPr>
          <w:rFonts w:ascii="Arial" w:hAnsi="Arial" w:cs="Arial"/>
          <w:spacing w:val="-28"/>
          <w:w w:val="110"/>
        </w:rPr>
        <w:t xml:space="preserve"> </w:t>
      </w:r>
      <w:r>
        <w:rPr>
          <w:rFonts w:ascii="Arial" w:hAnsi="Arial" w:cs="Arial"/>
          <w:w w:val="110"/>
        </w:rPr>
        <w:t>both</w:t>
      </w:r>
      <w:r>
        <w:rPr>
          <w:rFonts w:ascii="Arial" w:hAnsi="Arial" w:cs="Arial"/>
          <w:spacing w:val="-34"/>
          <w:w w:val="110"/>
        </w:rPr>
        <w:t xml:space="preserve"> </w:t>
      </w:r>
      <w:r>
        <w:rPr>
          <w:rFonts w:ascii="Arial" w:hAnsi="Arial" w:cs="Arial"/>
          <w:w w:val="110"/>
        </w:rPr>
        <w:t>have</w:t>
      </w:r>
      <w:r>
        <w:rPr>
          <w:rFonts w:ascii="Arial" w:hAnsi="Arial" w:cs="Arial"/>
          <w:spacing w:val="-32"/>
          <w:w w:val="110"/>
        </w:rPr>
        <w:t xml:space="preserve"> </w:t>
      </w:r>
      <w:r>
        <w:rPr>
          <w:rFonts w:ascii="Arial" w:hAnsi="Arial" w:cs="Arial"/>
          <w:w w:val="110"/>
        </w:rPr>
        <w:t xml:space="preserve">one </w:t>
      </w:r>
      <w:r>
        <w:rPr>
          <w:rFonts w:ascii="Arial" w:hAnsi="Arial" w:cs="Arial"/>
          <w:w w:val="111"/>
        </w:rPr>
        <w:t>feature</w:t>
      </w:r>
      <w:r>
        <w:rPr>
          <w:rFonts w:ascii="Arial" w:hAnsi="Arial" w:cs="Arial"/>
          <w:spacing w:val="-4"/>
          <w:w w:val="111"/>
        </w:rPr>
        <w:t xml:space="preserve"> </w:t>
      </w:r>
      <w:r>
        <w:rPr>
          <w:rFonts w:ascii="Arial" w:hAnsi="Arial" w:cs="Arial"/>
          <w:spacing w:val="-17"/>
          <w:w w:val="149"/>
        </w:rPr>
        <w:t>in</w:t>
      </w:r>
      <w:r>
        <w:rPr>
          <w:rFonts w:ascii="Arial" w:hAnsi="Arial" w:cs="Arial"/>
          <w:spacing w:val="-52"/>
          <w:w w:val="149"/>
        </w:rPr>
        <w:t xml:space="preserve"> </w:t>
      </w:r>
      <w:r>
        <w:rPr>
          <w:rFonts w:ascii="Arial" w:hAnsi="Arial" w:cs="Arial"/>
          <w:w w:val="105"/>
        </w:rPr>
        <w:t>common</w:t>
      </w:r>
      <w:r>
        <w:rPr>
          <w:rFonts w:ascii="Arial" w:hAnsi="Arial" w:cs="Arial"/>
          <w:spacing w:val="-17"/>
          <w:w w:val="105"/>
        </w:rPr>
        <w:t xml:space="preserve"> </w:t>
      </w:r>
      <w:r>
        <w:rPr>
          <w:rFonts w:ascii="Arial" w:hAnsi="Arial" w:cs="Arial"/>
          <w:w w:val="104"/>
        </w:rPr>
        <w:t>when</w:t>
      </w:r>
      <w:r>
        <w:rPr>
          <w:rFonts w:ascii="Arial" w:hAnsi="Arial" w:cs="Arial"/>
          <w:spacing w:val="-1"/>
          <w:w w:val="104"/>
        </w:rPr>
        <w:t xml:space="preserve"> </w:t>
      </w:r>
      <w:r>
        <w:rPr>
          <w:rFonts w:ascii="Arial" w:hAnsi="Arial" w:cs="Arial"/>
          <w:spacing w:val="-20"/>
          <w:w w:val="161"/>
        </w:rPr>
        <w:t>it</w:t>
      </w:r>
      <w:r>
        <w:rPr>
          <w:rFonts w:ascii="Arial" w:hAnsi="Arial" w:cs="Arial"/>
          <w:spacing w:val="-49"/>
          <w:w w:val="161"/>
        </w:rPr>
        <w:t xml:space="preserve"> </w:t>
      </w:r>
      <w:r>
        <w:rPr>
          <w:rFonts w:ascii="Arial" w:hAnsi="Arial" w:cs="Arial"/>
          <w:w w:val="102"/>
        </w:rPr>
        <w:t>comes</w:t>
      </w:r>
      <w:r>
        <w:rPr>
          <w:rFonts w:ascii="Arial" w:hAnsi="Arial" w:cs="Arial"/>
          <w:spacing w:val="-13"/>
          <w:w w:val="102"/>
        </w:rPr>
        <w:t xml:space="preserve"> </w:t>
      </w:r>
      <w:r>
        <w:rPr>
          <w:rFonts w:ascii="Arial" w:hAnsi="Arial" w:cs="Arial"/>
          <w:w w:val="119"/>
        </w:rPr>
        <w:t>to</w:t>
      </w:r>
      <w:r>
        <w:rPr>
          <w:rFonts w:ascii="Arial" w:hAnsi="Arial" w:cs="Arial"/>
          <w:spacing w:val="59"/>
          <w:w w:val="119"/>
        </w:rPr>
        <w:t xml:space="preserve"> </w:t>
      </w:r>
      <w:r>
        <w:rPr>
          <w:rFonts w:ascii="Arial" w:hAnsi="Arial" w:cs="Arial"/>
          <w:w w:val="85"/>
        </w:rPr>
        <w:t>TSS:</w:t>
      </w:r>
      <w:r>
        <w:rPr>
          <w:rFonts w:ascii="Arial" w:hAnsi="Arial" w:cs="Arial"/>
          <w:spacing w:val="1"/>
          <w:w w:val="85"/>
        </w:rPr>
        <w:t xml:space="preserve"> </w:t>
      </w:r>
      <w:r>
        <w:rPr>
          <w:rFonts w:ascii="Arial" w:hAnsi="Arial" w:cs="Arial"/>
          <w:w w:val="113"/>
        </w:rPr>
        <w:t>the</w:t>
      </w:r>
      <w:r>
        <w:rPr>
          <w:rFonts w:ascii="Arial" w:hAnsi="Arial" w:cs="Arial"/>
          <w:spacing w:val="-24"/>
          <w:w w:val="113"/>
        </w:rPr>
        <w:t xml:space="preserve"> </w:t>
      </w:r>
      <w:r>
        <w:rPr>
          <w:rFonts w:ascii="Arial" w:hAnsi="Arial" w:cs="Arial"/>
          <w:w w:val="109"/>
        </w:rPr>
        <w:t>statutory</w:t>
      </w:r>
      <w:r>
        <w:rPr>
          <w:rFonts w:ascii="Arial" w:hAnsi="Arial" w:cs="Arial"/>
          <w:spacing w:val="-5"/>
          <w:w w:val="109"/>
        </w:rPr>
        <w:t xml:space="preserve"> </w:t>
      </w:r>
      <w:r>
        <w:rPr>
          <w:rFonts w:ascii="Arial" w:hAnsi="Arial" w:cs="Arial"/>
          <w:spacing w:val="-4"/>
          <w:w w:val="116"/>
        </w:rPr>
        <w:t>inclusion</w:t>
      </w:r>
      <w:r>
        <w:rPr>
          <w:rFonts w:ascii="Arial" w:hAnsi="Arial" w:cs="Arial"/>
          <w:spacing w:val="-21"/>
          <w:w w:val="116"/>
        </w:rPr>
        <w:t xml:space="preserve"> </w:t>
      </w:r>
      <w:r>
        <w:rPr>
          <w:rFonts w:ascii="Arial" w:hAnsi="Arial" w:cs="Arial"/>
          <w:w w:val="107"/>
        </w:rPr>
        <w:t>of</w:t>
      </w:r>
      <w:r>
        <w:rPr>
          <w:rFonts w:ascii="Arial" w:hAnsi="Arial" w:cs="Arial"/>
          <w:spacing w:val="-8"/>
          <w:w w:val="107"/>
        </w:rPr>
        <w:t xml:space="preserve"> </w:t>
      </w:r>
      <w:r>
        <w:rPr>
          <w:rFonts w:ascii="Arial" w:hAnsi="Arial" w:cs="Arial"/>
          <w:w w:val="104"/>
        </w:rPr>
        <w:t>an</w:t>
      </w:r>
      <w:r>
        <w:rPr>
          <w:rFonts w:ascii="Arial" w:hAnsi="Arial" w:cs="Arial"/>
          <w:spacing w:val="-14"/>
          <w:w w:val="104"/>
        </w:rPr>
        <w:t xml:space="preserve"> </w:t>
      </w:r>
      <w:r>
        <w:rPr>
          <w:rFonts w:ascii="Arial" w:hAnsi="Arial" w:cs="Arial"/>
          <w:spacing w:val="-4"/>
          <w:w w:val="116"/>
        </w:rPr>
        <w:t>independent,</w:t>
      </w:r>
      <w:r>
        <w:rPr>
          <w:rFonts w:ascii="Arial" w:hAnsi="Arial" w:cs="Arial"/>
          <w:spacing w:val="-21"/>
          <w:w w:val="116"/>
        </w:rPr>
        <w:t xml:space="preserve"> </w:t>
      </w:r>
      <w:r>
        <w:rPr>
          <w:rFonts w:ascii="Arial" w:hAnsi="Arial" w:cs="Arial"/>
          <w:w w:val="108"/>
        </w:rPr>
        <w:t xml:space="preserve">conflict-free </w:t>
      </w:r>
      <w:r>
        <w:rPr>
          <w:rFonts w:ascii="Arial" w:hAnsi="Arial" w:cs="Arial"/>
          <w:w w:val="115"/>
        </w:rPr>
        <w:t>care</w:t>
      </w:r>
      <w:r>
        <w:rPr>
          <w:rFonts w:ascii="Arial" w:hAnsi="Arial" w:cs="Arial"/>
          <w:spacing w:val="-36"/>
          <w:w w:val="115"/>
        </w:rPr>
        <w:t xml:space="preserve"> </w:t>
      </w:r>
      <w:r>
        <w:rPr>
          <w:rFonts w:ascii="Arial" w:hAnsi="Arial" w:cs="Arial"/>
          <w:w w:val="115"/>
        </w:rPr>
        <w:t>coordinator</w:t>
      </w:r>
      <w:r>
        <w:rPr>
          <w:rFonts w:ascii="Arial" w:hAnsi="Arial" w:cs="Arial"/>
          <w:spacing w:val="-40"/>
          <w:w w:val="115"/>
        </w:rPr>
        <w:t xml:space="preserve"> </w:t>
      </w:r>
      <w:r>
        <w:rPr>
          <w:rFonts w:ascii="Arial" w:hAnsi="Arial" w:cs="Arial"/>
          <w:w w:val="115"/>
        </w:rPr>
        <w:t>on</w:t>
      </w:r>
      <w:r>
        <w:rPr>
          <w:rFonts w:ascii="Arial" w:hAnsi="Arial" w:cs="Arial"/>
          <w:spacing w:val="-49"/>
          <w:w w:val="115"/>
        </w:rPr>
        <w:t xml:space="preserve"> </w:t>
      </w:r>
      <w:r>
        <w:rPr>
          <w:rFonts w:ascii="Arial" w:hAnsi="Arial" w:cs="Arial"/>
          <w:w w:val="115"/>
        </w:rPr>
        <w:t>the</w:t>
      </w:r>
      <w:r>
        <w:rPr>
          <w:rFonts w:ascii="Arial" w:hAnsi="Arial" w:cs="Arial"/>
          <w:spacing w:val="-40"/>
          <w:w w:val="115"/>
        </w:rPr>
        <w:t xml:space="preserve"> </w:t>
      </w:r>
      <w:r>
        <w:rPr>
          <w:rFonts w:ascii="Arial" w:hAnsi="Arial" w:cs="Arial"/>
          <w:w w:val="115"/>
        </w:rPr>
        <w:t>member's</w:t>
      </w:r>
      <w:r>
        <w:rPr>
          <w:rFonts w:ascii="Arial" w:hAnsi="Arial" w:cs="Arial"/>
          <w:spacing w:val="-42"/>
          <w:w w:val="115"/>
        </w:rPr>
        <w:t xml:space="preserve"> </w:t>
      </w:r>
      <w:r>
        <w:rPr>
          <w:rFonts w:ascii="Arial" w:hAnsi="Arial" w:cs="Arial"/>
          <w:w w:val="115"/>
        </w:rPr>
        <w:t>care</w:t>
      </w:r>
      <w:r>
        <w:rPr>
          <w:rFonts w:ascii="Arial" w:hAnsi="Arial" w:cs="Arial"/>
          <w:spacing w:val="-44"/>
          <w:w w:val="115"/>
        </w:rPr>
        <w:t xml:space="preserve"> </w:t>
      </w:r>
      <w:r>
        <w:rPr>
          <w:rFonts w:ascii="Arial" w:hAnsi="Arial" w:cs="Arial"/>
          <w:w w:val="115"/>
        </w:rPr>
        <w:t>team.</w:t>
      </w:r>
      <w:r>
        <w:rPr>
          <w:rFonts w:ascii="Arial" w:hAnsi="Arial" w:cs="Arial"/>
          <w:spacing w:val="-43"/>
          <w:w w:val="115"/>
        </w:rPr>
        <w:t xml:space="preserve"> </w:t>
      </w:r>
      <w:r>
        <w:rPr>
          <w:rFonts w:ascii="Arial" w:hAnsi="Arial" w:cs="Arial"/>
          <w:w w:val="115"/>
        </w:rPr>
        <w:t>This</w:t>
      </w:r>
      <w:r>
        <w:rPr>
          <w:rFonts w:ascii="Arial" w:hAnsi="Arial" w:cs="Arial"/>
          <w:spacing w:val="-45"/>
          <w:w w:val="115"/>
        </w:rPr>
        <w:t xml:space="preserve"> </w:t>
      </w:r>
      <w:r>
        <w:rPr>
          <w:rFonts w:ascii="Arial" w:hAnsi="Arial" w:cs="Arial"/>
          <w:spacing w:val="-4"/>
          <w:w w:val="115"/>
        </w:rPr>
        <w:t>"agent"</w:t>
      </w:r>
      <w:r>
        <w:rPr>
          <w:rFonts w:ascii="Arial" w:hAnsi="Arial" w:cs="Arial"/>
          <w:spacing w:val="-43"/>
          <w:w w:val="115"/>
        </w:rPr>
        <w:t xml:space="preserve"> </w:t>
      </w:r>
      <w:r>
        <w:rPr>
          <w:rFonts w:ascii="Arial" w:hAnsi="Arial" w:cs="Arial"/>
          <w:w w:val="115"/>
        </w:rPr>
        <w:t>for</w:t>
      </w:r>
      <w:r>
        <w:rPr>
          <w:rFonts w:ascii="Arial" w:hAnsi="Arial" w:cs="Arial"/>
          <w:spacing w:val="-40"/>
          <w:w w:val="115"/>
        </w:rPr>
        <w:t xml:space="preserve"> </w:t>
      </w:r>
      <w:r>
        <w:rPr>
          <w:rFonts w:ascii="Arial" w:hAnsi="Arial" w:cs="Arial"/>
          <w:w w:val="115"/>
        </w:rPr>
        <w:t>the</w:t>
      </w:r>
      <w:r>
        <w:rPr>
          <w:rFonts w:ascii="Arial" w:hAnsi="Arial" w:cs="Arial"/>
          <w:spacing w:val="-36"/>
          <w:w w:val="115"/>
        </w:rPr>
        <w:t xml:space="preserve"> </w:t>
      </w:r>
      <w:r>
        <w:rPr>
          <w:rFonts w:ascii="Arial" w:hAnsi="Arial" w:cs="Arial"/>
          <w:w w:val="115"/>
        </w:rPr>
        <w:t>member</w:t>
      </w:r>
      <w:r>
        <w:rPr>
          <w:rFonts w:ascii="Arial" w:hAnsi="Arial" w:cs="Arial"/>
          <w:spacing w:val="-39"/>
          <w:w w:val="115"/>
        </w:rPr>
        <w:t xml:space="preserve"> </w:t>
      </w:r>
      <w:r>
        <w:rPr>
          <w:rFonts w:ascii="Arial" w:hAnsi="Arial" w:cs="Arial"/>
          <w:w w:val="115"/>
        </w:rPr>
        <w:t>serves</w:t>
      </w:r>
      <w:r>
        <w:rPr>
          <w:rFonts w:ascii="Arial" w:hAnsi="Arial" w:cs="Arial"/>
          <w:spacing w:val="-37"/>
          <w:w w:val="115"/>
        </w:rPr>
        <w:t xml:space="preserve"> </w:t>
      </w:r>
      <w:r>
        <w:rPr>
          <w:rFonts w:ascii="Arial" w:hAnsi="Arial" w:cs="Arial"/>
          <w:w w:val="115"/>
        </w:rPr>
        <w:t>several</w:t>
      </w:r>
      <w:r>
        <w:rPr>
          <w:rFonts w:ascii="Arial" w:hAnsi="Arial" w:cs="Arial"/>
          <w:spacing w:val="-37"/>
          <w:w w:val="115"/>
        </w:rPr>
        <w:t xml:space="preserve"> </w:t>
      </w:r>
      <w:r>
        <w:rPr>
          <w:rFonts w:ascii="Arial" w:hAnsi="Arial" w:cs="Arial"/>
          <w:w w:val="115"/>
        </w:rPr>
        <w:t>key functions:</w:t>
      </w:r>
    </w:p>
    <w:p w:rsidR="002C5025" w:rsidRDefault="002C5025">
      <w:pPr>
        <w:pStyle w:val="BodyText"/>
        <w:kinsoku w:val="0"/>
        <w:overflowPunct w:val="0"/>
        <w:spacing w:before="2"/>
        <w:rPr>
          <w:rFonts w:ascii="Arial" w:hAnsi="Arial" w:cs="Arial"/>
          <w:sz w:val="17"/>
          <w:szCs w:val="17"/>
        </w:rPr>
      </w:pPr>
    </w:p>
    <w:p w:rsidR="002C5025" w:rsidRDefault="002C5025">
      <w:pPr>
        <w:pStyle w:val="ListParagraph"/>
        <w:numPr>
          <w:ilvl w:val="0"/>
          <w:numId w:val="8"/>
        </w:numPr>
        <w:tabs>
          <w:tab w:val="left" w:pos="842"/>
        </w:tabs>
        <w:kinsoku w:val="0"/>
        <w:overflowPunct w:val="0"/>
        <w:spacing w:before="1"/>
        <w:ind w:left="841"/>
        <w:rPr>
          <w:rFonts w:ascii="Arial" w:hAnsi="Arial" w:cs="Arial"/>
          <w:color w:val="000000"/>
          <w:w w:val="105"/>
          <w:sz w:val="22"/>
          <w:szCs w:val="22"/>
        </w:rPr>
      </w:pPr>
      <w:r>
        <w:rPr>
          <w:rFonts w:ascii="Arial" w:hAnsi="Arial" w:cs="Arial"/>
          <w:w w:val="105"/>
          <w:sz w:val="22"/>
          <w:szCs w:val="22"/>
        </w:rPr>
        <w:t xml:space="preserve">Determine the necessary </w:t>
      </w:r>
      <w:r>
        <w:rPr>
          <w:rFonts w:ascii="Arial" w:hAnsi="Arial" w:cs="Arial"/>
          <w:spacing w:val="-7"/>
          <w:w w:val="105"/>
          <w:sz w:val="22"/>
          <w:szCs w:val="22"/>
        </w:rPr>
        <w:t xml:space="preserve">level </w:t>
      </w:r>
      <w:r>
        <w:rPr>
          <w:rFonts w:ascii="Arial" w:hAnsi="Arial" w:cs="Arial"/>
          <w:w w:val="105"/>
          <w:sz w:val="22"/>
          <w:szCs w:val="22"/>
        </w:rPr>
        <w:t>of  TSS to be</w:t>
      </w:r>
      <w:r>
        <w:rPr>
          <w:rFonts w:ascii="Arial" w:hAnsi="Arial" w:cs="Arial"/>
          <w:spacing w:val="5"/>
          <w:w w:val="105"/>
          <w:sz w:val="22"/>
          <w:szCs w:val="22"/>
        </w:rPr>
        <w:t xml:space="preserve"> </w:t>
      </w:r>
      <w:r>
        <w:rPr>
          <w:rFonts w:ascii="Arial" w:hAnsi="Arial" w:cs="Arial"/>
          <w:w w:val="105"/>
          <w:sz w:val="22"/>
          <w:szCs w:val="22"/>
        </w:rPr>
        <w:t>provided</w:t>
      </w:r>
    </w:p>
    <w:p w:rsidR="002C5025" w:rsidRDefault="002C5025">
      <w:pPr>
        <w:pStyle w:val="ListParagraph"/>
        <w:numPr>
          <w:ilvl w:val="0"/>
          <w:numId w:val="8"/>
        </w:numPr>
        <w:tabs>
          <w:tab w:val="left" w:pos="842"/>
        </w:tabs>
        <w:kinsoku w:val="0"/>
        <w:overflowPunct w:val="0"/>
        <w:spacing w:before="100"/>
        <w:ind w:left="841"/>
        <w:rPr>
          <w:rFonts w:ascii="Arial" w:hAnsi="Arial" w:cs="Arial"/>
          <w:color w:val="000000"/>
          <w:w w:val="105"/>
          <w:sz w:val="22"/>
          <w:szCs w:val="22"/>
        </w:rPr>
      </w:pPr>
      <w:r>
        <w:rPr>
          <w:rFonts w:ascii="Arial" w:hAnsi="Arial" w:cs="Arial"/>
          <w:w w:val="105"/>
          <w:sz w:val="22"/>
          <w:szCs w:val="22"/>
        </w:rPr>
        <w:t xml:space="preserve">Prevent the provision of unnecessary or </w:t>
      </w:r>
      <w:r>
        <w:rPr>
          <w:rFonts w:ascii="Arial" w:hAnsi="Arial" w:cs="Arial"/>
          <w:spacing w:val="-3"/>
          <w:w w:val="105"/>
          <w:sz w:val="22"/>
          <w:szCs w:val="22"/>
        </w:rPr>
        <w:t xml:space="preserve">inappropriate </w:t>
      </w:r>
      <w:r>
        <w:rPr>
          <w:rFonts w:ascii="Arial" w:hAnsi="Arial" w:cs="Arial"/>
          <w:spacing w:val="14"/>
          <w:w w:val="105"/>
          <w:sz w:val="22"/>
          <w:szCs w:val="22"/>
        </w:rPr>
        <w:t xml:space="preserve"> </w:t>
      </w:r>
      <w:r>
        <w:rPr>
          <w:rFonts w:ascii="Arial" w:hAnsi="Arial" w:cs="Arial"/>
          <w:w w:val="105"/>
          <w:sz w:val="22"/>
          <w:szCs w:val="22"/>
        </w:rPr>
        <w:t>care</w:t>
      </w:r>
    </w:p>
    <w:p w:rsidR="002C5025" w:rsidRDefault="002C5025">
      <w:pPr>
        <w:pStyle w:val="ListParagraph"/>
        <w:numPr>
          <w:ilvl w:val="0"/>
          <w:numId w:val="8"/>
        </w:numPr>
        <w:tabs>
          <w:tab w:val="left" w:pos="842"/>
        </w:tabs>
        <w:kinsoku w:val="0"/>
        <w:overflowPunct w:val="0"/>
        <w:spacing w:before="100"/>
        <w:ind w:left="841"/>
        <w:rPr>
          <w:rFonts w:ascii="Arial" w:hAnsi="Arial" w:cs="Arial"/>
          <w:color w:val="000000"/>
          <w:spacing w:val="-3"/>
          <w:w w:val="110"/>
          <w:sz w:val="22"/>
          <w:szCs w:val="22"/>
        </w:rPr>
      </w:pPr>
      <w:r>
        <w:rPr>
          <w:rFonts w:ascii="Arial" w:hAnsi="Arial" w:cs="Arial"/>
          <w:spacing w:val="-4"/>
          <w:w w:val="110"/>
          <w:sz w:val="22"/>
          <w:szCs w:val="22"/>
        </w:rPr>
        <w:t>Establish</w:t>
      </w:r>
      <w:r>
        <w:rPr>
          <w:rFonts w:ascii="Arial" w:hAnsi="Arial" w:cs="Arial"/>
          <w:spacing w:val="-17"/>
          <w:w w:val="110"/>
          <w:sz w:val="22"/>
          <w:szCs w:val="22"/>
        </w:rPr>
        <w:t xml:space="preserve"> </w:t>
      </w:r>
      <w:r>
        <w:rPr>
          <w:rFonts w:ascii="Arial" w:hAnsi="Arial" w:cs="Arial"/>
          <w:w w:val="110"/>
          <w:sz w:val="22"/>
          <w:szCs w:val="22"/>
        </w:rPr>
        <w:t>a</w:t>
      </w:r>
      <w:r>
        <w:rPr>
          <w:rFonts w:ascii="Arial" w:hAnsi="Arial" w:cs="Arial"/>
          <w:spacing w:val="-14"/>
          <w:w w:val="110"/>
          <w:sz w:val="22"/>
          <w:szCs w:val="22"/>
        </w:rPr>
        <w:t xml:space="preserve"> </w:t>
      </w:r>
      <w:r>
        <w:rPr>
          <w:rFonts w:ascii="Arial" w:hAnsi="Arial" w:cs="Arial"/>
          <w:w w:val="110"/>
          <w:sz w:val="22"/>
          <w:szCs w:val="22"/>
        </w:rPr>
        <w:t>written</w:t>
      </w:r>
      <w:r>
        <w:rPr>
          <w:rFonts w:ascii="Arial" w:hAnsi="Arial" w:cs="Arial"/>
          <w:spacing w:val="-16"/>
          <w:w w:val="110"/>
          <w:sz w:val="22"/>
          <w:szCs w:val="22"/>
        </w:rPr>
        <w:t xml:space="preserve"> </w:t>
      </w:r>
      <w:r>
        <w:rPr>
          <w:rFonts w:ascii="Arial" w:hAnsi="Arial" w:cs="Arial"/>
          <w:spacing w:val="-4"/>
          <w:w w:val="110"/>
          <w:sz w:val="22"/>
          <w:szCs w:val="22"/>
        </w:rPr>
        <w:t>individualized</w:t>
      </w:r>
      <w:r>
        <w:rPr>
          <w:rFonts w:ascii="Arial" w:hAnsi="Arial" w:cs="Arial"/>
          <w:spacing w:val="-17"/>
          <w:w w:val="110"/>
          <w:sz w:val="22"/>
          <w:szCs w:val="22"/>
        </w:rPr>
        <w:t xml:space="preserve"> </w:t>
      </w:r>
      <w:r>
        <w:rPr>
          <w:rFonts w:ascii="Arial" w:hAnsi="Arial" w:cs="Arial"/>
          <w:w w:val="110"/>
          <w:sz w:val="22"/>
          <w:szCs w:val="22"/>
        </w:rPr>
        <w:t>care</w:t>
      </w:r>
      <w:r>
        <w:rPr>
          <w:rFonts w:ascii="Arial" w:hAnsi="Arial" w:cs="Arial"/>
          <w:spacing w:val="-11"/>
          <w:w w:val="110"/>
          <w:sz w:val="22"/>
          <w:szCs w:val="22"/>
        </w:rPr>
        <w:t xml:space="preserve"> </w:t>
      </w:r>
      <w:r>
        <w:rPr>
          <w:rFonts w:ascii="Arial" w:hAnsi="Arial" w:cs="Arial"/>
          <w:spacing w:val="-3"/>
          <w:w w:val="110"/>
          <w:sz w:val="22"/>
          <w:szCs w:val="22"/>
        </w:rPr>
        <w:t>plan</w:t>
      </w:r>
    </w:p>
    <w:p w:rsidR="002C5025" w:rsidRDefault="002C5025">
      <w:pPr>
        <w:pStyle w:val="BodyText"/>
        <w:kinsoku w:val="0"/>
        <w:overflowPunct w:val="0"/>
        <w:spacing w:before="100"/>
        <w:ind w:left="1669" w:right="110"/>
        <w:rPr>
          <w:rFonts w:ascii="Arial" w:hAnsi="Arial" w:cs="Arial"/>
          <w:w w:val="99"/>
        </w:rPr>
      </w:pPr>
      <w:r>
        <w:rPr>
          <w:rFonts w:ascii="Arial" w:hAnsi="Arial" w:cs="Arial"/>
          <w:b/>
          <w:bCs/>
          <w:w w:val="84"/>
        </w:rPr>
        <w:t>(CFR</w:t>
      </w:r>
      <w:r>
        <w:rPr>
          <w:rFonts w:ascii="Arial" w:hAnsi="Arial" w:cs="Arial"/>
          <w:b/>
          <w:bCs/>
          <w:spacing w:val="3"/>
        </w:rPr>
        <w:t xml:space="preserve"> </w:t>
      </w:r>
      <w:r>
        <w:rPr>
          <w:rFonts w:ascii="Arial" w:hAnsi="Arial" w:cs="Arial"/>
          <w:w w:val="99"/>
        </w:rPr>
        <w:t>T</w:t>
      </w:r>
      <w:r>
        <w:rPr>
          <w:rFonts w:ascii="Arial" w:hAnsi="Arial" w:cs="Arial"/>
          <w:spacing w:val="-4"/>
          <w:w w:val="99"/>
        </w:rPr>
        <w:t>i</w:t>
      </w:r>
      <w:r>
        <w:rPr>
          <w:rFonts w:ascii="Arial" w:hAnsi="Arial" w:cs="Arial"/>
          <w:w w:val="140"/>
        </w:rPr>
        <w:t>t</w:t>
      </w:r>
      <w:r>
        <w:rPr>
          <w:rFonts w:ascii="Arial" w:hAnsi="Arial" w:cs="Arial"/>
          <w:spacing w:val="-4"/>
          <w:w w:val="140"/>
        </w:rPr>
        <w:t>l</w:t>
      </w:r>
      <w:r>
        <w:rPr>
          <w:rFonts w:ascii="Arial" w:hAnsi="Arial" w:cs="Arial"/>
          <w:w w:val="93"/>
        </w:rPr>
        <w:t>e</w:t>
      </w:r>
      <w:r>
        <w:rPr>
          <w:rFonts w:ascii="Arial" w:hAnsi="Arial" w:cs="Arial"/>
          <w:spacing w:val="-11"/>
        </w:rPr>
        <w:t xml:space="preserve"> </w:t>
      </w:r>
      <w:r>
        <w:rPr>
          <w:rFonts w:ascii="Arial" w:hAnsi="Arial" w:cs="Arial"/>
          <w:w w:val="104"/>
        </w:rPr>
        <w:t>42,</w:t>
      </w:r>
      <w:r>
        <w:rPr>
          <w:rFonts w:ascii="Arial" w:hAnsi="Arial" w:cs="Arial"/>
          <w:spacing w:val="-8"/>
        </w:rPr>
        <w:t xml:space="preserve"> </w:t>
      </w:r>
      <w:r>
        <w:rPr>
          <w:rFonts w:ascii="Arial" w:hAnsi="Arial" w:cs="Arial"/>
          <w:w w:val="102"/>
        </w:rPr>
        <w:t>Chapter</w:t>
      </w:r>
      <w:r>
        <w:rPr>
          <w:rFonts w:ascii="Arial" w:hAnsi="Arial" w:cs="Arial"/>
          <w:spacing w:val="25"/>
        </w:rPr>
        <w:t xml:space="preserve"> </w:t>
      </w:r>
      <w:r>
        <w:rPr>
          <w:rFonts w:ascii="Arial" w:hAnsi="Arial" w:cs="Arial"/>
          <w:spacing w:val="-54"/>
          <w:w w:val="169"/>
        </w:rPr>
        <w:t>I</w:t>
      </w:r>
      <w:r>
        <w:rPr>
          <w:rFonts w:ascii="Arial" w:hAnsi="Arial" w:cs="Arial"/>
          <w:w w:val="101"/>
        </w:rPr>
        <w:t>V,</w:t>
      </w:r>
      <w:r>
        <w:rPr>
          <w:rFonts w:ascii="Arial" w:hAnsi="Arial" w:cs="Arial"/>
          <w:spacing w:val="-7"/>
        </w:rPr>
        <w:t xml:space="preserve"> </w:t>
      </w:r>
      <w:r>
        <w:rPr>
          <w:rFonts w:ascii="Arial" w:hAnsi="Arial" w:cs="Arial"/>
          <w:w w:val="101"/>
        </w:rPr>
        <w:t>Subchapter</w:t>
      </w:r>
      <w:r>
        <w:rPr>
          <w:rFonts w:ascii="Arial" w:hAnsi="Arial" w:cs="Arial"/>
          <w:spacing w:val="22"/>
        </w:rPr>
        <w:t xml:space="preserve"> </w:t>
      </w:r>
      <w:r>
        <w:rPr>
          <w:rFonts w:ascii="Arial" w:hAnsi="Arial" w:cs="Arial"/>
          <w:w w:val="88"/>
        </w:rPr>
        <w:t>C,</w:t>
      </w:r>
      <w:r>
        <w:rPr>
          <w:rFonts w:ascii="Arial" w:hAnsi="Arial" w:cs="Arial"/>
          <w:spacing w:val="-5"/>
        </w:rPr>
        <w:t xml:space="preserve"> </w:t>
      </w:r>
      <w:r>
        <w:rPr>
          <w:rFonts w:ascii="Arial" w:hAnsi="Arial" w:cs="Arial"/>
          <w:b/>
          <w:bCs/>
          <w:w w:val="99"/>
        </w:rPr>
        <w:t>Part</w:t>
      </w:r>
      <w:r>
        <w:rPr>
          <w:rFonts w:ascii="Arial" w:hAnsi="Arial" w:cs="Arial"/>
          <w:b/>
          <w:bCs/>
          <w:spacing w:val="-7"/>
        </w:rPr>
        <w:t xml:space="preserve"> </w:t>
      </w:r>
      <w:r>
        <w:rPr>
          <w:rFonts w:ascii="Arial" w:hAnsi="Arial" w:cs="Arial"/>
          <w:w w:val="108"/>
        </w:rPr>
        <w:t>44</w:t>
      </w:r>
      <w:r>
        <w:rPr>
          <w:rFonts w:ascii="Arial" w:hAnsi="Arial" w:cs="Arial"/>
          <w:spacing w:val="-33"/>
          <w:w w:val="108"/>
        </w:rPr>
        <w:t>1</w:t>
      </w:r>
      <w:r>
        <w:rPr>
          <w:rFonts w:ascii="Arial" w:hAnsi="Arial" w:cs="Arial"/>
          <w:spacing w:val="-16"/>
          <w:w w:val="213"/>
        </w:rPr>
        <w:t>,</w:t>
      </w:r>
      <w:r>
        <w:rPr>
          <w:rFonts w:ascii="Arial" w:hAnsi="Arial" w:cs="Arial"/>
          <w:w w:val="105"/>
        </w:rPr>
        <w:t>Subpart</w:t>
      </w:r>
      <w:r>
        <w:rPr>
          <w:rFonts w:ascii="Arial" w:hAnsi="Arial" w:cs="Arial"/>
          <w:spacing w:val="15"/>
        </w:rPr>
        <w:t xml:space="preserve"> </w:t>
      </w:r>
      <w:r>
        <w:rPr>
          <w:rFonts w:ascii="Arial" w:hAnsi="Arial" w:cs="Arial"/>
          <w:spacing w:val="-17"/>
          <w:w w:val="122"/>
        </w:rPr>
        <w:t>M</w:t>
      </w:r>
      <w:r>
        <w:rPr>
          <w:rFonts w:ascii="Arial" w:hAnsi="Arial" w:cs="Arial"/>
          <w:spacing w:val="-8"/>
          <w:w w:val="213"/>
        </w:rPr>
        <w:t>,</w:t>
      </w:r>
      <w:r>
        <w:rPr>
          <w:rFonts w:ascii="Arial" w:hAnsi="Arial" w:cs="Arial"/>
          <w:w w:val="96"/>
        </w:rPr>
        <w:t>s</w:t>
      </w:r>
      <w:r>
        <w:rPr>
          <w:rFonts w:ascii="Arial" w:hAnsi="Arial" w:cs="Arial"/>
          <w:spacing w:val="-8"/>
          <w:w w:val="96"/>
        </w:rPr>
        <w:t>.</w:t>
      </w:r>
      <w:r>
        <w:rPr>
          <w:rFonts w:ascii="Arial" w:hAnsi="Arial" w:cs="Arial"/>
          <w:w w:val="99"/>
        </w:rPr>
        <w:t>441.720)</w:t>
      </w:r>
    </w:p>
    <w:p w:rsidR="002C5025" w:rsidRDefault="002C5025">
      <w:pPr>
        <w:pStyle w:val="BodyText"/>
        <w:kinsoku w:val="0"/>
        <w:overflowPunct w:val="0"/>
        <w:spacing w:before="6"/>
        <w:rPr>
          <w:rFonts w:ascii="Arial" w:hAnsi="Arial" w:cs="Arial"/>
          <w:sz w:val="25"/>
          <w:szCs w:val="25"/>
        </w:rPr>
      </w:pPr>
    </w:p>
    <w:p w:rsidR="002C5025" w:rsidRDefault="002C5025">
      <w:pPr>
        <w:pStyle w:val="BodyText"/>
        <w:kinsoku w:val="0"/>
        <w:overflowPunct w:val="0"/>
        <w:spacing w:line="333" w:lineRule="auto"/>
        <w:ind w:left="114" w:right="231" w:firstLine="7"/>
        <w:rPr>
          <w:rFonts w:ascii="Arial" w:hAnsi="Arial" w:cs="Arial"/>
          <w:w w:val="110"/>
        </w:rPr>
      </w:pPr>
      <w:r>
        <w:rPr>
          <w:rFonts w:ascii="Arial" w:hAnsi="Arial" w:cs="Arial"/>
          <w:spacing w:val="1"/>
          <w:w w:val="102"/>
        </w:rPr>
        <w:t>This</w:t>
      </w:r>
      <w:r>
        <w:rPr>
          <w:rFonts w:ascii="Arial" w:hAnsi="Arial" w:cs="Arial"/>
          <w:w w:val="102"/>
        </w:rPr>
        <w:t xml:space="preserve"> </w:t>
      </w:r>
      <w:r>
        <w:rPr>
          <w:rFonts w:ascii="Arial" w:hAnsi="Arial" w:cs="Arial"/>
          <w:spacing w:val="-5"/>
          <w:w w:val="123"/>
        </w:rPr>
        <w:t>important</w:t>
      </w:r>
      <w:r>
        <w:rPr>
          <w:rFonts w:ascii="Arial" w:hAnsi="Arial" w:cs="Arial"/>
          <w:w w:val="123"/>
        </w:rPr>
        <w:t xml:space="preserve"> </w:t>
      </w:r>
      <w:r>
        <w:rPr>
          <w:rFonts w:ascii="Arial" w:hAnsi="Arial" w:cs="Arial"/>
          <w:w w:val="101"/>
        </w:rPr>
        <w:t xml:space="preserve">consumer </w:t>
      </w:r>
      <w:r>
        <w:rPr>
          <w:rFonts w:ascii="Arial" w:hAnsi="Arial" w:cs="Arial"/>
          <w:spacing w:val="-1"/>
          <w:w w:val="113"/>
        </w:rPr>
        <w:t>protection</w:t>
      </w:r>
      <w:r>
        <w:rPr>
          <w:rFonts w:ascii="Arial" w:hAnsi="Arial" w:cs="Arial"/>
          <w:w w:val="113"/>
        </w:rPr>
        <w:t xml:space="preserve"> </w:t>
      </w:r>
      <w:r>
        <w:rPr>
          <w:rFonts w:ascii="Arial" w:hAnsi="Arial" w:cs="Arial"/>
          <w:spacing w:val="-27"/>
          <w:w w:val="154"/>
        </w:rPr>
        <w:t>is</w:t>
      </w:r>
      <w:r>
        <w:rPr>
          <w:rFonts w:ascii="Arial" w:hAnsi="Arial" w:cs="Arial"/>
          <w:w w:val="154"/>
        </w:rPr>
        <w:t xml:space="preserve"> </w:t>
      </w:r>
      <w:r>
        <w:rPr>
          <w:rFonts w:ascii="Arial" w:hAnsi="Arial" w:cs="Arial"/>
          <w:spacing w:val="1"/>
          <w:w w:val="109"/>
        </w:rPr>
        <w:t>defined</w:t>
      </w:r>
      <w:r>
        <w:rPr>
          <w:rFonts w:ascii="Arial" w:hAnsi="Arial" w:cs="Arial"/>
          <w:w w:val="109"/>
        </w:rPr>
        <w:t xml:space="preserve"> </w:t>
      </w:r>
      <w:r>
        <w:rPr>
          <w:rFonts w:ascii="Arial" w:hAnsi="Arial" w:cs="Arial"/>
          <w:spacing w:val="-22"/>
          <w:w w:val="167"/>
        </w:rPr>
        <w:t>in</w:t>
      </w:r>
      <w:r>
        <w:rPr>
          <w:rFonts w:ascii="Arial" w:hAnsi="Arial" w:cs="Arial"/>
          <w:w w:val="167"/>
        </w:rPr>
        <w:t xml:space="preserve"> </w:t>
      </w:r>
      <w:r>
        <w:rPr>
          <w:rFonts w:ascii="Arial" w:hAnsi="Arial" w:cs="Arial"/>
          <w:w w:val="110"/>
        </w:rPr>
        <w:t xml:space="preserve">the </w:t>
      </w:r>
      <w:r>
        <w:rPr>
          <w:rFonts w:ascii="Arial" w:hAnsi="Arial" w:cs="Arial"/>
          <w:spacing w:val="1"/>
          <w:w w:val="108"/>
        </w:rPr>
        <w:t>Affordable</w:t>
      </w:r>
      <w:r>
        <w:rPr>
          <w:rFonts w:ascii="Arial" w:hAnsi="Arial" w:cs="Arial"/>
          <w:w w:val="108"/>
        </w:rPr>
        <w:t xml:space="preserve"> </w:t>
      </w:r>
      <w:r>
        <w:rPr>
          <w:rFonts w:ascii="Arial" w:hAnsi="Arial" w:cs="Arial"/>
          <w:w w:val="98"/>
        </w:rPr>
        <w:t xml:space="preserve">Care </w:t>
      </w:r>
      <w:r>
        <w:rPr>
          <w:rFonts w:ascii="Arial" w:hAnsi="Arial" w:cs="Arial"/>
          <w:spacing w:val="-1"/>
          <w:w w:val="121"/>
        </w:rPr>
        <w:t>Act,</w:t>
      </w:r>
      <w:r w:rsidR="00CF30C1">
        <w:rPr>
          <w:rFonts w:ascii="Arial" w:hAnsi="Arial" w:cs="Arial"/>
          <w:spacing w:val="-1"/>
          <w:w w:val="121"/>
        </w:rPr>
        <w:t xml:space="preserve"> </w:t>
      </w:r>
      <w:r>
        <w:rPr>
          <w:rFonts w:ascii="Arial" w:hAnsi="Arial" w:cs="Arial"/>
          <w:spacing w:val="-1"/>
          <w:w w:val="121"/>
        </w:rPr>
        <w:t>and</w:t>
      </w:r>
      <w:r>
        <w:rPr>
          <w:rFonts w:ascii="Arial" w:hAnsi="Arial" w:cs="Arial"/>
          <w:w w:val="121"/>
        </w:rPr>
        <w:t xml:space="preserve"> </w:t>
      </w:r>
      <w:r>
        <w:rPr>
          <w:rFonts w:ascii="Arial" w:hAnsi="Arial" w:cs="Arial"/>
          <w:spacing w:val="-27"/>
          <w:w w:val="154"/>
        </w:rPr>
        <w:t>is</w:t>
      </w:r>
      <w:r>
        <w:rPr>
          <w:rFonts w:ascii="Arial" w:hAnsi="Arial" w:cs="Arial"/>
          <w:w w:val="154"/>
        </w:rPr>
        <w:t xml:space="preserve"> </w:t>
      </w:r>
      <w:r>
        <w:rPr>
          <w:rFonts w:ascii="Arial" w:hAnsi="Arial" w:cs="Arial"/>
          <w:w w:val="112"/>
        </w:rPr>
        <w:t xml:space="preserve">part </w:t>
      </w:r>
      <w:r>
        <w:rPr>
          <w:rFonts w:ascii="Arial" w:hAnsi="Arial" w:cs="Arial"/>
          <w:w w:val="111"/>
        </w:rPr>
        <w:t xml:space="preserve">of </w:t>
      </w:r>
      <w:r>
        <w:rPr>
          <w:rFonts w:ascii="Arial" w:hAnsi="Arial" w:cs="Arial"/>
          <w:w w:val="108"/>
        </w:rPr>
        <w:t xml:space="preserve">the </w:t>
      </w:r>
      <w:r>
        <w:rPr>
          <w:rFonts w:ascii="Arial" w:hAnsi="Arial" w:cs="Arial"/>
          <w:w w:val="110"/>
        </w:rPr>
        <w:t>regulatory</w:t>
      </w:r>
      <w:r>
        <w:rPr>
          <w:rFonts w:ascii="Arial" w:hAnsi="Arial" w:cs="Arial"/>
          <w:spacing w:val="-30"/>
          <w:w w:val="110"/>
        </w:rPr>
        <w:t xml:space="preserve"> </w:t>
      </w:r>
      <w:r>
        <w:rPr>
          <w:rFonts w:ascii="Arial" w:hAnsi="Arial" w:cs="Arial"/>
          <w:w w:val="110"/>
        </w:rPr>
        <w:t>framework</w:t>
      </w:r>
      <w:r>
        <w:rPr>
          <w:rFonts w:ascii="Arial" w:hAnsi="Arial" w:cs="Arial"/>
          <w:spacing w:val="-13"/>
          <w:w w:val="110"/>
        </w:rPr>
        <w:t xml:space="preserve"> </w:t>
      </w:r>
      <w:r>
        <w:rPr>
          <w:rFonts w:ascii="Arial" w:hAnsi="Arial" w:cs="Arial"/>
          <w:w w:val="110"/>
        </w:rPr>
        <w:t>that</w:t>
      </w:r>
      <w:r>
        <w:rPr>
          <w:rFonts w:ascii="Arial" w:hAnsi="Arial" w:cs="Arial"/>
          <w:spacing w:val="-23"/>
          <w:w w:val="110"/>
        </w:rPr>
        <w:t xml:space="preserve"> </w:t>
      </w:r>
      <w:r>
        <w:rPr>
          <w:rFonts w:ascii="Arial" w:hAnsi="Arial" w:cs="Arial"/>
          <w:w w:val="110"/>
        </w:rPr>
        <w:t>CMS</w:t>
      </w:r>
      <w:r>
        <w:rPr>
          <w:rFonts w:ascii="Arial" w:hAnsi="Arial" w:cs="Arial"/>
          <w:spacing w:val="-23"/>
          <w:w w:val="110"/>
        </w:rPr>
        <w:t xml:space="preserve"> </w:t>
      </w:r>
      <w:r>
        <w:rPr>
          <w:rFonts w:ascii="Arial" w:hAnsi="Arial" w:cs="Arial"/>
          <w:w w:val="110"/>
        </w:rPr>
        <w:t>has</w:t>
      </w:r>
      <w:r>
        <w:rPr>
          <w:rFonts w:ascii="Arial" w:hAnsi="Arial" w:cs="Arial"/>
          <w:spacing w:val="-29"/>
          <w:w w:val="110"/>
        </w:rPr>
        <w:t xml:space="preserve"> </w:t>
      </w:r>
      <w:r>
        <w:rPr>
          <w:rFonts w:ascii="Arial" w:hAnsi="Arial" w:cs="Arial"/>
          <w:w w:val="110"/>
        </w:rPr>
        <w:t>created</w:t>
      </w:r>
      <w:r>
        <w:rPr>
          <w:rFonts w:ascii="Arial" w:hAnsi="Arial" w:cs="Arial"/>
          <w:spacing w:val="-33"/>
          <w:w w:val="110"/>
        </w:rPr>
        <w:t xml:space="preserve"> </w:t>
      </w:r>
      <w:r>
        <w:rPr>
          <w:rFonts w:ascii="Arial" w:hAnsi="Arial" w:cs="Arial"/>
          <w:w w:val="110"/>
        </w:rPr>
        <w:t>for</w:t>
      </w:r>
      <w:r>
        <w:rPr>
          <w:rFonts w:ascii="Arial" w:hAnsi="Arial" w:cs="Arial"/>
          <w:spacing w:val="-14"/>
          <w:w w:val="110"/>
        </w:rPr>
        <w:t xml:space="preserve"> </w:t>
      </w:r>
      <w:r>
        <w:rPr>
          <w:rFonts w:ascii="Arial" w:hAnsi="Arial" w:cs="Arial"/>
          <w:w w:val="110"/>
        </w:rPr>
        <w:t>home</w:t>
      </w:r>
      <w:r>
        <w:rPr>
          <w:rFonts w:ascii="Arial" w:hAnsi="Arial" w:cs="Arial"/>
          <w:spacing w:val="-29"/>
          <w:w w:val="110"/>
        </w:rPr>
        <w:t xml:space="preserve"> </w:t>
      </w:r>
      <w:r>
        <w:rPr>
          <w:rFonts w:ascii="Arial" w:hAnsi="Arial" w:cs="Arial"/>
          <w:w w:val="110"/>
        </w:rPr>
        <w:t>and</w:t>
      </w:r>
      <w:r>
        <w:rPr>
          <w:rFonts w:ascii="Arial" w:hAnsi="Arial" w:cs="Arial"/>
          <w:spacing w:val="-26"/>
          <w:w w:val="110"/>
        </w:rPr>
        <w:t xml:space="preserve"> </w:t>
      </w:r>
      <w:r>
        <w:rPr>
          <w:rFonts w:ascii="Arial" w:hAnsi="Arial" w:cs="Arial"/>
          <w:w w:val="110"/>
        </w:rPr>
        <w:t>community</w:t>
      </w:r>
      <w:r>
        <w:rPr>
          <w:rFonts w:ascii="Arial" w:hAnsi="Arial" w:cs="Arial"/>
          <w:spacing w:val="-16"/>
          <w:w w:val="110"/>
        </w:rPr>
        <w:t xml:space="preserve"> </w:t>
      </w:r>
      <w:r>
        <w:rPr>
          <w:rFonts w:ascii="Arial" w:hAnsi="Arial" w:cs="Arial"/>
          <w:w w:val="110"/>
        </w:rPr>
        <w:t>based</w:t>
      </w:r>
      <w:r>
        <w:rPr>
          <w:rFonts w:ascii="Arial" w:hAnsi="Arial" w:cs="Arial"/>
          <w:spacing w:val="-34"/>
          <w:w w:val="110"/>
        </w:rPr>
        <w:t xml:space="preserve"> </w:t>
      </w:r>
      <w:r>
        <w:rPr>
          <w:rFonts w:ascii="Arial" w:hAnsi="Arial" w:cs="Arial"/>
          <w:w w:val="110"/>
        </w:rPr>
        <w:t>services.</w:t>
      </w:r>
      <w:r>
        <w:rPr>
          <w:rFonts w:ascii="Arial" w:hAnsi="Arial" w:cs="Arial"/>
          <w:spacing w:val="-23"/>
          <w:w w:val="110"/>
        </w:rPr>
        <w:t xml:space="preserve"> </w:t>
      </w:r>
      <w:r>
        <w:rPr>
          <w:rFonts w:ascii="Arial" w:hAnsi="Arial" w:cs="Arial"/>
          <w:spacing w:val="-27"/>
          <w:w w:val="140"/>
        </w:rPr>
        <w:t>It</w:t>
      </w:r>
      <w:r>
        <w:rPr>
          <w:rFonts w:ascii="Arial" w:hAnsi="Arial" w:cs="Arial"/>
          <w:spacing w:val="-41"/>
          <w:w w:val="140"/>
        </w:rPr>
        <w:t xml:space="preserve"> </w:t>
      </w:r>
      <w:r>
        <w:rPr>
          <w:rFonts w:ascii="Arial" w:hAnsi="Arial" w:cs="Arial"/>
          <w:w w:val="110"/>
        </w:rPr>
        <w:t>builds</w:t>
      </w:r>
      <w:r>
        <w:rPr>
          <w:rFonts w:ascii="Arial" w:hAnsi="Arial" w:cs="Arial"/>
          <w:spacing w:val="-30"/>
          <w:w w:val="110"/>
        </w:rPr>
        <w:t xml:space="preserve"> </w:t>
      </w:r>
      <w:r>
        <w:rPr>
          <w:rFonts w:ascii="Arial" w:hAnsi="Arial" w:cs="Arial"/>
          <w:w w:val="110"/>
        </w:rPr>
        <w:t>a firewall</w:t>
      </w:r>
      <w:r>
        <w:rPr>
          <w:rFonts w:ascii="Arial" w:hAnsi="Arial" w:cs="Arial"/>
          <w:spacing w:val="-33"/>
          <w:w w:val="110"/>
        </w:rPr>
        <w:t xml:space="preserve"> </w:t>
      </w:r>
      <w:r>
        <w:rPr>
          <w:rFonts w:ascii="Arial" w:hAnsi="Arial" w:cs="Arial"/>
          <w:w w:val="110"/>
        </w:rPr>
        <w:t>between</w:t>
      </w:r>
      <w:r>
        <w:rPr>
          <w:rFonts w:ascii="Arial" w:hAnsi="Arial" w:cs="Arial"/>
          <w:spacing w:val="-35"/>
          <w:w w:val="110"/>
        </w:rPr>
        <w:t xml:space="preserve"> </w:t>
      </w:r>
      <w:r>
        <w:rPr>
          <w:rFonts w:ascii="Arial" w:hAnsi="Arial" w:cs="Arial"/>
          <w:w w:val="110"/>
        </w:rPr>
        <w:t>the</w:t>
      </w:r>
      <w:r>
        <w:rPr>
          <w:rFonts w:ascii="Arial" w:hAnsi="Arial" w:cs="Arial"/>
          <w:spacing w:val="-24"/>
          <w:w w:val="110"/>
        </w:rPr>
        <w:t xml:space="preserve"> </w:t>
      </w:r>
      <w:r>
        <w:rPr>
          <w:rFonts w:ascii="Arial" w:hAnsi="Arial" w:cs="Arial"/>
          <w:w w:val="110"/>
        </w:rPr>
        <w:t>person</w:t>
      </w:r>
      <w:r>
        <w:rPr>
          <w:rFonts w:ascii="Arial" w:hAnsi="Arial" w:cs="Arial"/>
          <w:spacing w:val="-29"/>
          <w:w w:val="110"/>
        </w:rPr>
        <w:t xml:space="preserve"> </w:t>
      </w:r>
      <w:r>
        <w:rPr>
          <w:rFonts w:ascii="Arial" w:hAnsi="Arial" w:cs="Arial"/>
          <w:w w:val="110"/>
        </w:rPr>
        <w:t>who</w:t>
      </w:r>
      <w:r>
        <w:rPr>
          <w:rFonts w:ascii="Arial" w:hAnsi="Arial" w:cs="Arial"/>
          <w:spacing w:val="-25"/>
          <w:w w:val="110"/>
        </w:rPr>
        <w:t xml:space="preserve"> </w:t>
      </w:r>
      <w:r>
        <w:rPr>
          <w:rFonts w:ascii="Arial" w:hAnsi="Arial" w:cs="Arial"/>
          <w:w w:val="110"/>
        </w:rPr>
        <w:t>helps</w:t>
      </w:r>
      <w:r>
        <w:rPr>
          <w:rFonts w:ascii="Arial" w:hAnsi="Arial" w:cs="Arial"/>
          <w:spacing w:val="-39"/>
          <w:w w:val="110"/>
        </w:rPr>
        <w:t xml:space="preserve"> </w:t>
      </w:r>
      <w:r>
        <w:rPr>
          <w:rFonts w:ascii="Arial" w:hAnsi="Arial" w:cs="Arial"/>
          <w:w w:val="110"/>
        </w:rPr>
        <w:t>assess</w:t>
      </w:r>
      <w:r>
        <w:rPr>
          <w:rFonts w:ascii="Arial" w:hAnsi="Arial" w:cs="Arial"/>
          <w:spacing w:val="-34"/>
          <w:w w:val="110"/>
        </w:rPr>
        <w:t xml:space="preserve"> </w:t>
      </w:r>
      <w:r>
        <w:rPr>
          <w:rFonts w:ascii="Arial" w:hAnsi="Arial" w:cs="Arial"/>
          <w:w w:val="110"/>
        </w:rPr>
        <w:t>your</w:t>
      </w:r>
      <w:r>
        <w:rPr>
          <w:rFonts w:ascii="Arial" w:hAnsi="Arial" w:cs="Arial"/>
          <w:spacing w:val="-24"/>
          <w:w w:val="110"/>
        </w:rPr>
        <w:t xml:space="preserve"> </w:t>
      </w:r>
      <w:r>
        <w:rPr>
          <w:rFonts w:ascii="Arial" w:hAnsi="Arial" w:cs="Arial"/>
          <w:w w:val="110"/>
        </w:rPr>
        <w:t>needs,</w:t>
      </w:r>
      <w:r>
        <w:rPr>
          <w:rFonts w:ascii="Arial" w:hAnsi="Arial" w:cs="Arial"/>
          <w:spacing w:val="-34"/>
          <w:w w:val="110"/>
        </w:rPr>
        <w:t xml:space="preserve"> </w:t>
      </w:r>
      <w:r>
        <w:rPr>
          <w:rFonts w:ascii="Arial" w:hAnsi="Arial" w:cs="Arial"/>
          <w:w w:val="110"/>
        </w:rPr>
        <w:t>and</w:t>
      </w:r>
      <w:r>
        <w:rPr>
          <w:rFonts w:ascii="Arial" w:hAnsi="Arial" w:cs="Arial"/>
          <w:spacing w:val="-39"/>
          <w:w w:val="110"/>
        </w:rPr>
        <w:t xml:space="preserve"> </w:t>
      </w:r>
      <w:r>
        <w:rPr>
          <w:rFonts w:ascii="Arial" w:hAnsi="Arial" w:cs="Arial"/>
          <w:w w:val="110"/>
        </w:rPr>
        <w:t>the</w:t>
      </w:r>
      <w:r>
        <w:rPr>
          <w:rFonts w:ascii="Arial" w:hAnsi="Arial" w:cs="Arial"/>
          <w:spacing w:val="-25"/>
          <w:w w:val="110"/>
        </w:rPr>
        <w:t xml:space="preserve"> </w:t>
      </w:r>
      <w:r>
        <w:rPr>
          <w:rFonts w:ascii="Arial" w:hAnsi="Arial" w:cs="Arial"/>
          <w:w w:val="110"/>
        </w:rPr>
        <w:t>person</w:t>
      </w:r>
      <w:r>
        <w:rPr>
          <w:rFonts w:ascii="Arial" w:hAnsi="Arial" w:cs="Arial"/>
          <w:spacing w:val="-37"/>
          <w:w w:val="110"/>
        </w:rPr>
        <w:t xml:space="preserve"> </w:t>
      </w:r>
      <w:r>
        <w:rPr>
          <w:rFonts w:ascii="Arial" w:hAnsi="Arial" w:cs="Arial"/>
          <w:w w:val="110"/>
        </w:rPr>
        <w:t>who</w:t>
      </w:r>
      <w:r>
        <w:rPr>
          <w:rFonts w:ascii="Arial" w:hAnsi="Arial" w:cs="Arial"/>
          <w:spacing w:val="-19"/>
          <w:w w:val="110"/>
        </w:rPr>
        <w:t xml:space="preserve"> </w:t>
      </w:r>
      <w:r>
        <w:rPr>
          <w:rFonts w:ascii="Arial" w:hAnsi="Arial" w:cs="Arial"/>
          <w:w w:val="110"/>
        </w:rPr>
        <w:t>provides</w:t>
      </w:r>
      <w:r>
        <w:rPr>
          <w:rFonts w:ascii="Arial" w:hAnsi="Arial" w:cs="Arial"/>
          <w:spacing w:val="-38"/>
          <w:w w:val="110"/>
        </w:rPr>
        <w:t xml:space="preserve"> </w:t>
      </w:r>
      <w:r>
        <w:rPr>
          <w:rFonts w:ascii="Arial" w:hAnsi="Arial" w:cs="Arial"/>
          <w:w w:val="110"/>
        </w:rPr>
        <w:t>your</w:t>
      </w:r>
      <w:r>
        <w:rPr>
          <w:rFonts w:ascii="Arial" w:hAnsi="Arial" w:cs="Arial"/>
          <w:spacing w:val="-24"/>
          <w:w w:val="110"/>
        </w:rPr>
        <w:t xml:space="preserve"> </w:t>
      </w:r>
      <w:r>
        <w:rPr>
          <w:rFonts w:ascii="Arial" w:hAnsi="Arial" w:cs="Arial"/>
          <w:w w:val="110"/>
        </w:rPr>
        <w:t>care. The</w:t>
      </w:r>
      <w:r>
        <w:rPr>
          <w:rFonts w:ascii="Arial" w:hAnsi="Arial" w:cs="Arial"/>
          <w:spacing w:val="-25"/>
          <w:w w:val="110"/>
        </w:rPr>
        <w:t xml:space="preserve"> </w:t>
      </w:r>
      <w:r>
        <w:rPr>
          <w:rFonts w:ascii="Arial" w:hAnsi="Arial" w:cs="Arial"/>
          <w:w w:val="110"/>
        </w:rPr>
        <w:t>Commonwealth</w:t>
      </w:r>
      <w:r>
        <w:rPr>
          <w:rFonts w:ascii="Arial" w:hAnsi="Arial" w:cs="Arial"/>
          <w:spacing w:val="-29"/>
          <w:w w:val="110"/>
        </w:rPr>
        <w:t xml:space="preserve"> </w:t>
      </w:r>
      <w:r>
        <w:rPr>
          <w:rFonts w:ascii="Arial" w:hAnsi="Arial" w:cs="Arial"/>
          <w:w w:val="110"/>
        </w:rPr>
        <w:t>has</w:t>
      </w:r>
      <w:r>
        <w:rPr>
          <w:rFonts w:ascii="Arial" w:hAnsi="Arial" w:cs="Arial"/>
          <w:spacing w:val="-35"/>
          <w:w w:val="110"/>
        </w:rPr>
        <w:t xml:space="preserve"> </w:t>
      </w:r>
      <w:r>
        <w:rPr>
          <w:rFonts w:ascii="Arial" w:hAnsi="Arial" w:cs="Arial"/>
          <w:w w:val="110"/>
        </w:rPr>
        <w:t>already</w:t>
      </w:r>
      <w:r>
        <w:rPr>
          <w:rFonts w:ascii="Arial" w:hAnsi="Arial" w:cs="Arial"/>
          <w:spacing w:val="-28"/>
          <w:w w:val="110"/>
        </w:rPr>
        <w:t xml:space="preserve"> </w:t>
      </w:r>
      <w:r>
        <w:rPr>
          <w:rFonts w:ascii="Arial" w:hAnsi="Arial" w:cs="Arial"/>
          <w:w w:val="110"/>
        </w:rPr>
        <w:t>agreed</w:t>
      </w:r>
      <w:r>
        <w:rPr>
          <w:rFonts w:ascii="Arial" w:hAnsi="Arial" w:cs="Arial"/>
          <w:spacing w:val="-30"/>
          <w:w w:val="110"/>
        </w:rPr>
        <w:t xml:space="preserve"> </w:t>
      </w:r>
      <w:r>
        <w:rPr>
          <w:rFonts w:ascii="Arial" w:hAnsi="Arial" w:cs="Arial"/>
          <w:w w:val="110"/>
        </w:rPr>
        <w:t>to</w:t>
      </w:r>
      <w:r>
        <w:rPr>
          <w:rFonts w:ascii="Arial" w:hAnsi="Arial" w:cs="Arial"/>
          <w:spacing w:val="-32"/>
          <w:w w:val="110"/>
        </w:rPr>
        <w:t xml:space="preserve"> </w:t>
      </w:r>
      <w:r>
        <w:rPr>
          <w:rFonts w:ascii="Arial" w:hAnsi="Arial" w:cs="Arial"/>
          <w:w w:val="110"/>
        </w:rPr>
        <w:t>accept</w:t>
      </w:r>
      <w:r>
        <w:rPr>
          <w:rFonts w:ascii="Arial" w:hAnsi="Arial" w:cs="Arial"/>
          <w:spacing w:val="-18"/>
          <w:w w:val="110"/>
        </w:rPr>
        <w:t xml:space="preserve"> </w:t>
      </w:r>
      <w:r>
        <w:rPr>
          <w:rFonts w:ascii="Arial" w:hAnsi="Arial" w:cs="Arial"/>
          <w:w w:val="110"/>
        </w:rPr>
        <w:t>independent,</w:t>
      </w:r>
      <w:r w:rsidR="00CF30C1">
        <w:rPr>
          <w:rFonts w:ascii="Arial" w:hAnsi="Arial" w:cs="Arial"/>
          <w:w w:val="110"/>
        </w:rPr>
        <w:t xml:space="preserve"> </w:t>
      </w:r>
      <w:r>
        <w:rPr>
          <w:rFonts w:ascii="Arial" w:hAnsi="Arial" w:cs="Arial"/>
          <w:w w:val="110"/>
        </w:rPr>
        <w:t>conflict-free</w:t>
      </w:r>
      <w:r>
        <w:rPr>
          <w:rFonts w:ascii="Arial" w:hAnsi="Arial" w:cs="Arial"/>
          <w:spacing w:val="-21"/>
          <w:w w:val="110"/>
        </w:rPr>
        <w:t xml:space="preserve"> </w:t>
      </w:r>
      <w:r>
        <w:rPr>
          <w:rFonts w:ascii="Arial" w:hAnsi="Arial" w:cs="Arial"/>
          <w:w w:val="110"/>
        </w:rPr>
        <w:t>care</w:t>
      </w:r>
      <w:r>
        <w:rPr>
          <w:rFonts w:ascii="Arial" w:hAnsi="Arial" w:cs="Arial"/>
          <w:spacing w:val="-26"/>
          <w:w w:val="110"/>
        </w:rPr>
        <w:t xml:space="preserve"> </w:t>
      </w:r>
      <w:r>
        <w:rPr>
          <w:rFonts w:ascii="Arial" w:hAnsi="Arial" w:cs="Arial"/>
          <w:w w:val="110"/>
        </w:rPr>
        <w:t>coordination</w:t>
      </w:r>
      <w:r>
        <w:rPr>
          <w:rFonts w:ascii="Arial" w:hAnsi="Arial" w:cs="Arial"/>
          <w:spacing w:val="-33"/>
          <w:w w:val="110"/>
        </w:rPr>
        <w:t xml:space="preserve"> </w:t>
      </w:r>
      <w:r>
        <w:rPr>
          <w:rFonts w:ascii="Arial" w:hAnsi="Arial" w:cs="Arial"/>
          <w:spacing w:val="-17"/>
          <w:w w:val="140"/>
        </w:rPr>
        <w:t xml:space="preserve">in </w:t>
      </w:r>
      <w:r>
        <w:rPr>
          <w:rFonts w:ascii="Arial" w:hAnsi="Arial" w:cs="Arial"/>
          <w:w w:val="110"/>
        </w:rPr>
        <w:t>return</w:t>
      </w:r>
      <w:r>
        <w:rPr>
          <w:rFonts w:ascii="Arial" w:hAnsi="Arial" w:cs="Arial"/>
          <w:spacing w:val="-22"/>
          <w:w w:val="110"/>
        </w:rPr>
        <w:t xml:space="preserve"> </w:t>
      </w:r>
      <w:r>
        <w:rPr>
          <w:rFonts w:ascii="Arial" w:hAnsi="Arial" w:cs="Arial"/>
          <w:w w:val="110"/>
        </w:rPr>
        <w:t>for</w:t>
      </w:r>
      <w:r>
        <w:rPr>
          <w:rFonts w:ascii="Arial" w:hAnsi="Arial" w:cs="Arial"/>
          <w:spacing w:val="1"/>
          <w:w w:val="110"/>
        </w:rPr>
        <w:t xml:space="preserve"> </w:t>
      </w:r>
      <w:r>
        <w:rPr>
          <w:rFonts w:ascii="Arial" w:hAnsi="Arial" w:cs="Arial"/>
          <w:spacing w:val="-10"/>
          <w:w w:val="110"/>
        </w:rPr>
        <w:t>$135</w:t>
      </w:r>
      <w:r>
        <w:rPr>
          <w:rFonts w:ascii="Arial" w:hAnsi="Arial" w:cs="Arial"/>
          <w:spacing w:val="-12"/>
          <w:w w:val="110"/>
        </w:rPr>
        <w:t xml:space="preserve"> </w:t>
      </w:r>
      <w:r>
        <w:rPr>
          <w:rFonts w:ascii="Arial" w:hAnsi="Arial" w:cs="Arial"/>
          <w:w w:val="110"/>
        </w:rPr>
        <w:t>million</w:t>
      </w:r>
      <w:r>
        <w:rPr>
          <w:rFonts w:ascii="Arial" w:hAnsi="Arial" w:cs="Arial"/>
          <w:spacing w:val="-10"/>
          <w:w w:val="110"/>
        </w:rPr>
        <w:t xml:space="preserve"> </w:t>
      </w:r>
      <w:r>
        <w:rPr>
          <w:rFonts w:ascii="Arial" w:hAnsi="Arial" w:cs="Arial"/>
          <w:spacing w:val="-17"/>
          <w:w w:val="140"/>
        </w:rPr>
        <w:t>in</w:t>
      </w:r>
      <w:r>
        <w:rPr>
          <w:rFonts w:ascii="Arial" w:hAnsi="Arial" w:cs="Arial"/>
          <w:spacing w:val="-55"/>
          <w:w w:val="140"/>
        </w:rPr>
        <w:t xml:space="preserve"> </w:t>
      </w:r>
      <w:r>
        <w:rPr>
          <w:rFonts w:ascii="Arial" w:hAnsi="Arial" w:cs="Arial"/>
          <w:w w:val="110"/>
        </w:rPr>
        <w:t>federal</w:t>
      </w:r>
      <w:r>
        <w:rPr>
          <w:rFonts w:ascii="Arial" w:hAnsi="Arial" w:cs="Arial"/>
          <w:spacing w:val="4"/>
          <w:w w:val="110"/>
        </w:rPr>
        <w:t xml:space="preserve"> </w:t>
      </w:r>
      <w:r>
        <w:rPr>
          <w:rFonts w:ascii="Arial" w:hAnsi="Arial" w:cs="Arial"/>
          <w:w w:val="110"/>
        </w:rPr>
        <w:t>Balancing</w:t>
      </w:r>
      <w:r>
        <w:rPr>
          <w:rFonts w:ascii="Arial" w:hAnsi="Arial" w:cs="Arial"/>
          <w:spacing w:val="-9"/>
          <w:w w:val="110"/>
        </w:rPr>
        <w:t xml:space="preserve"> </w:t>
      </w:r>
      <w:r>
        <w:rPr>
          <w:rFonts w:ascii="Arial" w:hAnsi="Arial" w:cs="Arial"/>
          <w:spacing w:val="-6"/>
          <w:w w:val="110"/>
        </w:rPr>
        <w:t xml:space="preserve">Incentive </w:t>
      </w:r>
      <w:r>
        <w:rPr>
          <w:rFonts w:ascii="Arial" w:hAnsi="Arial" w:cs="Arial"/>
          <w:w w:val="110"/>
        </w:rPr>
        <w:t>Payments</w:t>
      </w:r>
      <w:r>
        <w:rPr>
          <w:rFonts w:ascii="Arial" w:hAnsi="Arial" w:cs="Arial"/>
          <w:spacing w:val="-18"/>
          <w:w w:val="110"/>
        </w:rPr>
        <w:t xml:space="preserve"> </w:t>
      </w:r>
      <w:r>
        <w:rPr>
          <w:rFonts w:ascii="Arial" w:hAnsi="Arial" w:cs="Arial"/>
          <w:w w:val="110"/>
        </w:rPr>
        <w:t>funding.</w:t>
      </w:r>
    </w:p>
    <w:p w:rsidR="002C5025" w:rsidRDefault="002C5025">
      <w:pPr>
        <w:pStyle w:val="BodyText"/>
        <w:kinsoku w:val="0"/>
        <w:overflowPunct w:val="0"/>
        <w:spacing w:before="2"/>
        <w:rPr>
          <w:rFonts w:ascii="Arial" w:hAnsi="Arial" w:cs="Arial"/>
          <w:sz w:val="17"/>
          <w:szCs w:val="17"/>
        </w:rPr>
      </w:pPr>
    </w:p>
    <w:p w:rsidR="002C5025" w:rsidRDefault="002C5025">
      <w:pPr>
        <w:pStyle w:val="BodyText"/>
        <w:kinsoku w:val="0"/>
        <w:overflowPunct w:val="0"/>
        <w:spacing w:before="1" w:line="331" w:lineRule="auto"/>
        <w:ind w:left="114" w:right="110"/>
        <w:rPr>
          <w:rFonts w:ascii="Arial" w:hAnsi="Arial" w:cs="Arial"/>
          <w:w w:val="105"/>
        </w:rPr>
      </w:pPr>
      <w:r>
        <w:rPr>
          <w:rFonts w:ascii="Arial" w:hAnsi="Arial" w:cs="Arial"/>
          <w:w w:val="105"/>
        </w:rPr>
        <w:t>Whatever plan emerges from the MassHealth reform discussions, we urge you to guarantee that all managed care organizations covering  TSS provide as a standard benefit for their members access to   independent  conflict-free  care coordination.</w:t>
      </w:r>
    </w:p>
    <w:p w:rsidR="002C5025" w:rsidRDefault="002C5025">
      <w:pPr>
        <w:pStyle w:val="BodyText"/>
        <w:kinsoku w:val="0"/>
        <w:overflowPunct w:val="0"/>
        <w:spacing w:before="1" w:line="331" w:lineRule="auto"/>
        <w:ind w:left="114" w:right="110"/>
        <w:rPr>
          <w:rFonts w:ascii="Arial" w:hAnsi="Arial" w:cs="Arial"/>
          <w:w w:val="105"/>
        </w:rPr>
        <w:sectPr w:rsidR="002C5025">
          <w:type w:val="continuous"/>
          <w:pgSz w:w="12240" w:h="15840"/>
          <w:pgMar w:top="720" w:right="960" w:bottom="280" w:left="800" w:header="720" w:footer="720" w:gutter="0"/>
          <w:cols w:space="720" w:equalWidth="0">
            <w:col w:w="10480"/>
          </w:cols>
          <w:noEndnote/>
        </w:sectPr>
      </w:pPr>
    </w:p>
    <w:p w:rsidR="002C5025" w:rsidRDefault="002C5025">
      <w:pPr>
        <w:pStyle w:val="BodyText"/>
        <w:kinsoku w:val="0"/>
        <w:overflowPunct w:val="0"/>
        <w:spacing w:before="72"/>
        <w:ind w:left="149"/>
        <w:rPr>
          <w:rFonts w:ascii="Arial" w:hAnsi="Arial" w:cs="Arial"/>
          <w:w w:val="120"/>
        </w:rPr>
      </w:pPr>
      <w:r>
        <w:rPr>
          <w:rFonts w:ascii="Arial" w:hAnsi="Arial" w:cs="Arial"/>
          <w:w w:val="120"/>
        </w:rPr>
        <w:lastRenderedPageBreak/>
        <w:t>Signed,</w:t>
      </w:r>
    </w:p>
    <w:p w:rsidR="002C5025" w:rsidRDefault="00FB027C">
      <w:pPr>
        <w:pStyle w:val="BodyText"/>
        <w:kinsoku w:val="0"/>
        <w:overflowPunct w:val="0"/>
        <w:spacing w:before="2"/>
        <w:rPr>
          <w:rFonts w:ascii="Arial" w:hAnsi="Arial" w:cs="Arial"/>
          <w:sz w:val="13"/>
          <w:szCs w:val="13"/>
        </w:rPr>
      </w:pPr>
      <w:r>
        <w:rPr>
          <w:noProof/>
        </w:rPr>
        <mc:AlternateContent>
          <mc:Choice Requires="wps">
            <w:drawing>
              <wp:anchor distT="0" distB="0" distL="0" distR="0" simplePos="0" relativeHeight="251704832" behindDoc="0" locked="0" layoutInCell="0" allowOverlap="1">
                <wp:simplePos x="0" y="0"/>
                <wp:positionH relativeFrom="page">
                  <wp:posOffset>548640</wp:posOffset>
                </wp:positionH>
                <wp:positionV relativeFrom="paragraph">
                  <wp:posOffset>121285</wp:posOffset>
                </wp:positionV>
                <wp:extent cx="1206500" cy="622300"/>
                <wp:effectExtent l="0" t="0" r="0" b="0"/>
                <wp:wrapTopAndBottom/>
                <wp:docPr id="405" name="Rectangle 6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0" cy="622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980" w:lineRule="atLeast"/>
                            </w:pPr>
                            <w:r>
                              <w:rPr>
                                <w:noProof/>
                              </w:rPr>
                              <w:drawing>
                                <wp:inline distT="0" distB="0" distL="0" distR="0">
                                  <wp:extent cx="1209675" cy="619125"/>
                                  <wp:effectExtent l="0" t="0" r="9525" b="9525"/>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1209675" cy="619125"/>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0" o:spid="_x0000_s1231" style="position:absolute;margin-left:43.2pt;margin-top:9.55pt;width:95pt;height:49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" o:allowincell="f" filled="f" stroked="f">
                <v:textbox inset="0,0,0,0">
                  <w:txbxContent>
                    <w:p w:rsidR="007B2B7B" w:rsidRDefault="007B2B7B">
                      <w:pPr>
                        <w:widowControl/>
                        <w:autoSpaceDE/>
                        <w:autoSpaceDN/>
                        <w:adjustRightInd/>
                        <w:spacing w:line="980" w:lineRule="atLeast"/>
                      </w:pPr>
                      <w:r>
                        <w:rPr>
                          <w:noProof/>
                        </w:rPr>
                        <w:drawing>
                          <wp:inline distT="0" distB="0" distL="0" distR="0">
                            <wp:extent cx="1209675" cy="619125"/>
                            <wp:effectExtent l="0" t="0" r="9525" b="9525"/>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1209675" cy="619125"/>
                                    </a:xfrm>
                                    <a:prstGeom prst="rect">
                                      <a:avLst/>
                                    </a:prstGeom>
                                    <a:noFill/>
                                    <a:ln>
                                      <a:noFill/>
                                    </a:ln>
                                  </pic:spPr>
                                </pic:pic>
                              </a:graphicData>
                            </a:graphic>
                          </wp:inline>
                        </w:drawing>
                      </w:r>
                    </w:p>
                    <w:p w:rsidR="007B2B7B" w:rsidRDefault="007B2B7B"/>
                  </w:txbxContent>
                </v:textbox>
                <w10:wrap type="topAndBottom" anchorx="page"/>
              </v:rect>
            </w:pict>
          </mc:Fallback>
        </mc:AlternateContent>
      </w:r>
    </w:p>
    <w:p w:rsidR="002C5025" w:rsidRDefault="002C5025">
      <w:pPr>
        <w:pStyle w:val="BodyText"/>
        <w:kinsoku w:val="0"/>
        <w:overflowPunct w:val="0"/>
        <w:spacing w:before="11"/>
        <w:rPr>
          <w:rFonts w:ascii="Arial" w:hAnsi="Arial" w:cs="Arial"/>
          <w:sz w:val="8"/>
          <w:szCs w:val="8"/>
        </w:rPr>
      </w:pPr>
    </w:p>
    <w:p w:rsidR="002C5025" w:rsidRDefault="002C5025">
      <w:pPr>
        <w:pStyle w:val="BodyText"/>
        <w:kinsoku w:val="0"/>
        <w:overflowPunct w:val="0"/>
        <w:spacing w:before="72"/>
        <w:ind w:left="2439"/>
        <w:rPr>
          <w:rFonts w:ascii="Arial" w:hAnsi="Arial" w:cs="Arial"/>
        </w:rPr>
      </w:pPr>
      <w:r>
        <w:rPr>
          <w:rFonts w:ascii="Arial" w:hAnsi="Arial" w:cs="Arial"/>
        </w:rPr>
        <w:t>Dan O'Leary</w:t>
      </w:r>
    </w:p>
    <w:p w:rsidR="002C5025" w:rsidRDefault="002C5025">
      <w:pPr>
        <w:pStyle w:val="BodyText"/>
        <w:kinsoku w:val="0"/>
        <w:overflowPunct w:val="0"/>
        <w:spacing w:before="31"/>
        <w:ind w:left="156"/>
        <w:rPr>
          <w:rFonts w:ascii="Times New Roman" w:hAnsi="Times New Roman" w:cs="Times New Roman"/>
          <w:sz w:val="24"/>
          <w:szCs w:val="24"/>
        </w:rPr>
      </w:pPr>
      <w:r>
        <w:rPr>
          <w:rFonts w:ascii="Arial" w:hAnsi="Arial" w:cs="Arial"/>
        </w:rPr>
        <w:t xml:space="preserve">Mass Home Care </w:t>
      </w:r>
      <w:r>
        <w:rPr>
          <w:rFonts w:ascii="Times New Roman" w:hAnsi="Times New Roman" w:cs="Times New Roman"/>
          <w:sz w:val="24"/>
          <w:szCs w:val="24"/>
        </w:rPr>
        <w:t>&amp;</w:t>
      </w:r>
    </w:p>
    <w:p w:rsidR="002C5025" w:rsidRDefault="002C5025">
      <w:pPr>
        <w:pStyle w:val="BodyText"/>
        <w:kinsoku w:val="0"/>
        <w:overflowPunct w:val="0"/>
        <w:spacing w:before="51"/>
        <w:ind w:left="149"/>
        <w:rPr>
          <w:rFonts w:ascii="Arial" w:hAnsi="Arial" w:cs="Arial"/>
          <w:w w:val="105"/>
        </w:rPr>
      </w:pPr>
      <w:r>
        <w:rPr>
          <w:rFonts w:ascii="Arial" w:hAnsi="Arial" w:cs="Arial"/>
          <w:w w:val="105"/>
        </w:rPr>
        <w:t>Mystic Valley Elder Services</w:t>
      </w:r>
    </w:p>
    <w:p w:rsidR="002C5025" w:rsidRDefault="002C5025">
      <w:pPr>
        <w:pStyle w:val="BodyText"/>
        <w:kinsoku w:val="0"/>
        <w:overflowPunct w:val="0"/>
        <w:spacing w:before="11"/>
        <w:rPr>
          <w:rFonts w:ascii="Arial" w:hAnsi="Arial" w:cs="Arial"/>
          <w:sz w:val="24"/>
          <w:szCs w:val="24"/>
        </w:rPr>
      </w:pPr>
    </w:p>
    <w:p w:rsidR="002C5025" w:rsidRDefault="002C5025">
      <w:pPr>
        <w:pStyle w:val="BodyText"/>
        <w:kinsoku w:val="0"/>
        <w:overflowPunct w:val="0"/>
        <w:spacing w:before="11"/>
        <w:rPr>
          <w:rFonts w:ascii="Arial" w:hAnsi="Arial" w:cs="Arial"/>
          <w:sz w:val="24"/>
          <w:szCs w:val="24"/>
        </w:rPr>
        <w:sectPr w:rsidR="002C5025">
          <w:pgSz w:w="12240" w:h="15840"/>
          <w:pgMar w:top="1500" w:right="1720" w:bottom="280" w:left="700" w:header="720" w:footer="720" w:gutter="0"/>
          <w:cols w:space="720" w:equalWidth="0">
            <w:col w:w="9820"/>
          </w:cols>
          <w:noEndnote/>
        </w:sectPr>
      </w:pPr>
    </w:p>
    <w:p w:rsidR="002C5025" w:rsidRDefault="002C5025">
      <w:pPr>
        <w:pStyle w:val="BodyText"/>
        <w:kinsoku w:val="0"/>
        <w:overflowPunct w:val="0"/>
        <w:spacing w:before="72" w:line="290" w:lineRule="auto"/>
        <w:ind w:left="142" w:right="1309" w:firstLine="7"/>
        <w:jc w:val="both"/>
        <w:rPr>
          <w:rFonts w:ascii="Arial" w:hAnsi="Arial" w:cs="Arial"/>
          <w:w w:val="105"/>
        </w:rPr>
      </w:pPr>
      <w:r>
        <w:rPr>
          <w:rFonts w:ascii="Arial" w:hAnsi="Arial" w:cs="Arial"/>
          <w:w w:val="110"/>
        </w:rPr>
        <w:lastRenderedPageBreak/>
        <w:t>Dennis</w:t>
      </w:r>
      <w:r>
        <w:rPr>
          <w:rFonts w:ascii="Arial" w:hAnsi="Arial" w:cs="Arial"/>
          <w:spacing w:val="-47"/>
          <w:w w:val="110"/>
        </w:rPr>
        <w:t xml:space="preserve"> </w:t>
      </w:r>
      <w:r>
        <w:rPr>
          <w:rFonts w:ascii="Arial" w:hAnsi="Arial" w:cs="Arial"/>
          <w:w w:val="110"/>
        </w:rPr>
        <w:t>G.</w:t>
      </w:r>
      <w:r>
        <w:rPr>
          <w:rFonts w:ascii="Arial" w:hAnsi="Arial" w:cs="Arial"/>
          <w:spacing w:val="-46"/>
          <w:w w:val="110"/>
        </w:rPr>
        <w:t xml:space="preserve"> </w:t>
      </w:r>
      <w:proofErr w:type="spellStart"/>
      <w:r>
        <w:rPr>
          <w:rFonts w:ascii="Arial" w:hAnsi="Arial" w:cs="Arial"/>
          <w:w w:val="110"/>
        </w:rPr>
        <w:t>Heaphy</w:t>
      </w:r>
      <w:proofErr w:type="spellEnd"/>
      <w:r>
        <w:rPr>
          <w:rFonts w:ascii="Arial" w:hAnsi="Arial" w:cs="Arial"/>
          <w:w w:val="110"/>
        </w:rPr>
        <w:t>,</w:t>
      </w:r>
      <w:r>
        <w:rPr>
          <w:rFonts w:ascii="Arial" w:hAnsi="Arial" w:cs="Arial"/>
          <w:spacing w:val="-46"/>
          <w:w w:val="110"/>
        </w:rPr>
        <w:t xml:space="preserve"> </w:t>
      </w:r>
      <w:r>
        <w:rPr>
          <w:rFonts w:ascii="Arial" w:hAnsi="Arial" w:cs="Arial"/>
          <w:w w:val="110"/>
        </w:rPr>
        <w:t>Bill</w:t>
      </w:r>
      <w:r>
        <w:rPr>
          <w:rFonts w:ascii="Arial" w:hAnsi="Arial" w:cs="Arial"/>
          <w:spacing w:val="-45"/>
          <w:w w:val="110"/>
        </w:rPr>
        <w:t xml:space="preserve"> </w:t>
      </w:r>
      <w:r>
        <w:rPr>
          <w:rFonts w:ascii="Arial" w:hAnsi="Arial" w:cs="Arial"/>
          <w:w w:val="110"/>
        </w:rPr>
        <w:t xml:space="preserve">Henning </w:t>
      </w:r>
      <w:r>
        <w:rPr>
          <w:rFonts w:ascii="Arial" w:hAnsi="Arial" w:cs="Arial"/>
          <w:spacing w:val="-15"/>
          <w:w w:val="130"/>
        </w:rPr>
        <w:t>Disability</w:t>
      </w:r>
      <w:r>
        <w:rPr>
          <w:rFonts w:ascii="Arial" w:hAnsi="Arial" w:cs="Arial"/>
          <w:spacing w:val="-57"/>
          <w:w w:val="130"/>
        </w:rPr>
        <w:t xml:space="preserve"> </w:t>
      </w:r>
      <w:r>
        <w:rPr>
          <w:rFonts w:ascii="Arial" w:hAnsi="Arial" w:cs="Arial"/>
          <w:w w:val="101"/>
        </w:rPr>
        <w:t xml:space="preserve">Advocates </w:t>
      </w:r>
      <w:r>
        <w:rPr>
          <w:rFonts w:ascii="Arial" w:hAnsi="Arial" w:cs="Arial"/>
          <w:w w:val="102"/>
        </w:rPr>
        <w:t xml:space="preserve">Advancing </w:t>
      </w:r>
      <w:r>
        <w:rPr>
          <w:rFonts w:ascii="Arial" w:hAnsi="Arial" w:cs="Arial"/>
          <w:w w:val="105"/>
        </w:rPr>
        <w:t>Our</w:t>
      </w:r>
      <w:r>
        <w:rPr>
          <w:rFonts w:ascii="Arial" w:hAnsi="Arial" w:cs="Arial"/>
          <w:spacing w:val="-20"/>
          <w:w w:val="105"/>
        </w:rPr>
        <w:t xml:space="preserve"> </w:t>
      </w:r>
      <w:r>
        <w:rPr>
          <w:rFonts w:ascii="Arial" w:hAnsi="Arial" w:cs="Arial"/>
          <w:w w:val="105"/>
        </w:rPr>
        <w:t>Healthcare</w:t>
      </w:r>
      <w:r>
        <w:rPr>
          <w:rFonts w:ascii="Arial" w:hAnsi="Arial" w:cs="Arial"/>
          <w:spacing w:val="-21"/>
          <w:w w:val="105"/>
        </w:rPr>
        <w:t xml:space="preserve"> </w:t>
      </w:r>
      <w:r>
        <w:rPr>
          <w:rFonts w:ascii="Arial" w:hAnsi="Arial" w:cs="Arial"/>
          <w:spacing w:val="-3"/>
          <w:w w:val="105"/>
        </w:rPr>
        <w:t>Rights</w:t>
      </w:r>
      <w:r>
        <w:rPr>
          <w:rFonts w:ascii="Arial" w:hAnsi="Arial" w:cs="Arial"/>
          <w:spacing w:val="-29"/>
          <w:w w:val="105"/>
        </w:rPr>
        <w:t xml:space="preserve"> </w:t>
      </w:r>
      <w:r>
        <w:rPr>
          <w:rFonts w:ascii="Arial" w:hAnsi="Arial" w:cs="Arial"/>
          <w:w w:val="105"/>
        </w:rPr>
        <w:t>(DAAHR}</w:t>
      </w:r>
    </w:p>
    <w:p w:rsidR="002C5025" w:rsidRDefault="002C5025">
      <w:pPr>
        <w:pStyle w:val="BodyText"/>
        <w:kinsoku w:val="0"/>
        <w:overflowPunct w:val="0"/>
        <w:spacing w:before="8"/>
        <w:rPr>
          <w:rFonts w:ascii="Arial" w:hAnsi="Arial" w:cs="Arial"/>
          <w:sz w:val="26"/>
          <w:szCs w:val="26"/>
        </w:rPr>
      </w:pPr>
    </w:p>
    <w:p w:rsidR="002C5025" w:rsidRDefault="002C5025">
      <w:pPr>
        <w:pStyle w:val="BodyText"/>
        <w:kinsoku w:val="0"/>
        <w:overflowPunct w:val="0"/>
        <w:ind w:left="149"/>
        <w:jc w:val="both"/>
        <w:rPr>
          <w:rFonts w:ascii="Arial" w:hAnsi="Arial" w:cs="Arial"/>
          <w:w w:val="105"/>
        </w:rPr>
      </w:pPr>
      <w:r>
        <w:rPr>
          <w:rFonts w:ascii="Arial" w:hAnsi="Arial" w:cs="Arial"/>
          <w:w w:val="105"/>
        </w:rPr>
        <w:t>Barbara Mann</w:t>
      </w:r>
    </w:p>
    <w:p w:rsidR="002C5025" w:rsidRDefault="002C5025">
      <w:pPr>
        <w:pStyle w:val="BodyText"/>
        <w:kinsoku w:val="0"/>
        <w:overflowPunct w:val="0"/>
        <w:spacing w:before="49"/>
        <w:ind w:left="149"/>
        <w:jc w:val="both"/>
        <w:rPr>
          <w:rFonts w:ascii="Arial" w:hAnsi="Arial" w:cs="Arial"/>
          <w:w w:val="105"/>
        </w:rPr>
      </w:pPr>
      <w:r>
        <w:rPr>
          <w:rFonts w:ascii="Arial" w:hAnsi="Arial" w:cs="Arial"/>
          <w:w w:val="105"/>
        </w:rPr>
        <w:t>Mass Senior Action Council</w:t>
      </w:r>
    </w:p>
    <w:p w:rsidR="002C5025" w:rsidRDefault="002C5025">
      <w:pPr>
        <w:pStyle w:val="BodyText"/>
        <w:kinsoku w:val="0"/>
        <w:overflowPunct w:val="0"/>
        <w:spacing w:before="2"/>
        <w:rPr>
          <w:rFonts w:ascii="Arial" w:hAnsi="Arial" w:cs="Arial"/>
          <w:sz w:val="31"/>
          <w:szCs w:val="31"/>
        </w:rPr>
      </w:pPr>
    </w:p>
    <w:p w:rsidR="002C5025" w:rsidRDefault="002C5025">
      <w:pPr>
        <w:pStyle w:val="BodyText"/>
        <w:kinsoku w:val="0"/>
        <w:overflowPunct w:val="0"/>
        <w:ind w:left="135"/>
        <w:jc w:val="both"/>
        <w:rPr>
          <w:rFonts w:ascii="Arial" w:hAnsi="Arial" w:cs="Arial"/>
          <w:w w:val="105"/>
        </w:rPr>
      </w:pPr>
      <w:r>
        <w:rPr>
          <w:rFonts w:ascii="Arial" w:hAnsi="Arial" w:cs="Arial"/>
          <w:w w:val="105"/>
        </w:rPr>
        <w:t xml:space="preserve">Chet </w:t>
      </w:r>
      <w:proofErr w:type="spellStart"/>
      <w:r>
        <w:rPr>
          <w:rFonts w:ascii="Arial" w:hAnsi="Arial" w:cs="Arial"/>
          <w:w w:val="105"/>
        </w:rPr>
        <w:t>Jakubiak</w:t>
      </w:r>
      <w:proofErr w:type="spellEnd"/>
    </w:p>
    <w:p w:rsidR="002C5025" w:rsidRDefault="002C5025">
      <w:pPr>
        <w:pStyle w:val="BodyText"/>
        <w:kinsoku w:val="0"/>
        <w:overflowPunct w:val="0"/>
        <w:spacing w:before="49"/>
        <w:ind w:left="142"/>
        <w:jc w:val="both"/>
        <w:rPr>
          <w:rFonts w:ascii="Arial" w:hAnsi="Arial" w:cs="Arial"/>
          <w:w w:val="105"/>
        </w:rPr>
      </w:pPr>
      <w:r>
        <w:rPr>
          <w:rFonts w:ascii="Arial" w:hAnsi="Arial" w:cs="Arial"/>
          <w:w w:val="105"/>
        </w:rPr>
        <w:t>Mass. Association of Older Americans</w:t>
      </w:r>
    </w:p>
    <w:p w:rsidR="002C5025" w:rsidRDefault="002C5025">
      <w:pPr>
        <w:pStyle w:val="BodyText"/>
        <w:kinsoku w:val="0"/>
        <w:overflowPunct w:val="0"/>
        <w:spacing w:before="2"/>
        <w:rPr>
          <w:rFonts w:ascii="Arial" w:hAnsi="Arial" w:cs="Arial"/>
          <w:sz w:val="31"/>
          <w:szCs w:val="31"/>
        </w:rPr>
      </w:pPr>
    </w:p>
    <w:p w:rsidR="002C5025" w:rsidRDefault="002C5025">
      <w:pPr>
        <w:pStyle w:val="BodyText"/>
        <w:kinsoku w:val="0"/>
        <w:overflowPunct w:val="0"/>
        <w:ind w:left="142"/>
        <w:jc w:val="both"/>
        <w:rPr>
          <w:rFonts w:ascii="Arial" w:hAnsi="Arial" w:cs="Arial"/>
        </w:rPr>
      </w:pPr>
      <w:r>
        <w:rPr>
          <w:rFonts w:ascii="Arial" w:hAnsi="Arial" w:cs="Arial"/>
        </w:rPr>
        <w:t>Larry Spencer</w:t>
      </w:r>
    </w:p>
    <w:p w:rsidR="002C5025" w:rsidRDefault="002C5025">
      <w:pPr>
        <w:pStyle w:val="BodyText"/>
        <w:kinsoku w:val="0"/>
        <w:overflowPunct w:val="0"/>
        <w:spacing w:before="49"/>
        <w:ind w:left="135"/>
        <w:jc w:val="both"/>
        <w:rPr>
          <w:rFonts w:ascii="Arial" w:hAnsi="Arial" w:cs="Arial"/>
          <w:w w:val="105"/>
        </w:rPr>
      </w:pPr>
      <w:r>
        <w:rPr>
          <w:rFonts w:ascii="Arial" w:hAnsi="Arial" w:cs="Arial"/>
          <w:w w:val="105"/>
        </w:rPr>
        <w:t>Cerebral Palsy of Massachusetts, Inc.</w:t>
      </w:r>
    </w:p>
    <w:p w:rsidR="002C5025" w:rsidRDefault="002C5025">
      <w:pPr>
        <w:pStyle w:val="BodyText"/>
        <w:kinsoku w:val="0"/>
        <w:overflowPunct w:val="0"/>
        <w:spacing w:before="2"/>
        <w:rPr>
          <w:rFonts w:ascii="Arial" w:hAnsi="Arial" w:cs="Arial"/>
          <w:sz w:val="31"/>
          <w:szCs w:val="31"/>
        </w:rPr>
      </w:pPr>
    </w:p>
    <w:p w:rsidR="002C5025" w:rsidRDefault="002C5025">
      <w:pPr>
        <w:pStyle w:val="BodyText"/>
        <w:kinsoku w:val="0"/>
        <w:overflowPunct w:val="0"/>
        <w:ind w:left="142"/>
        <w:jc w:val="both"/>
        <w:rPr>
          <w:rFonts w:ascii="Arial" w:hAnsi="Arial" w:cs="Arial"/>
          <w:w w:val="105"/>
        </w:rPr>
      </w:pPr>
      <w:r>
        <w:rPr>
          <w:rFonts w:ascii="Arial" w:hAnsi="Arial" w:cs="Arial"/>
          <w:w w:val="105"/>
        </w:rPr>
        <w:t>Linda Andrade</w:t>
      </w:r>
    </w:p>
    <w:p w:rsidR="002C5025" w:rsidRDefault="002C5025">
      <w:pPr>
        <w:pStyle w:val="BodyText"/>
        <w:kinsoku w:val="0"/>
        <w:overflowPunct w:val="0"/>
        <w:spacing w:before="56"/>
        <w:ind w:left="142"/>
        <w:jc w:val="both"/>
        <w:rPr>
          <w:rFonts w:ascii="Arial" w:hAnsi="Arial" w:cs="Arial"/>
          <w:w w:val="105"/>
        </w:rPr>
      </w:pPr>
      <w:r>
        <w:rPr>
          <w:rFonts w:ascii="Arial" w:hAnsi="Arial" w:cs="Arial"/>
          <w:w w:val="105"/>
        </w:rPr>
        <w:t>Massachusetts Council for Adult Foster</w:t>
      </w:r>
      <w:r>
        <w:rPr>
          <w:rFonts w:ascii="Arial" w:hAnsi="Arial" w:cs="Arial"/>
          <w:spacing w:val="-47"/>
          <w:w w:val="105"/>
        </w:rPr>
        <w:t xml:space="preserve"> </w:t>
      </w:r>
      <w:r>
        <w:rPr>
          <w:rFonts w:ascii="Arial" w:hAnsi="Arial" w:cs="Arial"/>
          <w:w w:val="105"/>
        </w:rPr>
        <w:t>Care</w:t>
      </w:r>
    </w:p>
    <w:p w:rsidR="002C5025" w:rsidRDefault="002C5025">
      <w:pPr>
        <w:pStyle w:val="BodyText"/>
        <w:kinsoku w:val="0"/>
        <w:overflowPunct w:val="0"/>
        <w:spacing w:before="6"/>
        <w:rPr>
          <w:rFonts w:ascii="Arial" w:hAnsi="Arial" w:cs="Arial"/>
          <w:sz w:val="30"/>
          <w:szCs w:val="30"/>
        </w:rPr>
      </w:pPr>
    </w:p>
    <w:p w:rsidR="002C5025" w:rsidRDefault="002C5025">
      <w:pPr>
        <w:pStyle w:val="BodyText"/>
        <w:kinsoku w:val="0"/>
        <w:overflowPunct w:val="0"/>
        <w:spacing w:before="1"/>
        <w:ind w:left="120"/>
        <w:jc w:val="both"/>
        <w:rPr>
          <w:rFonts w:ascii="Arial" w:hAnsi="Arial" w:cs="Arial"/>
          <w:w w:val="110"/>
        </w:rPr>
      </w:pPr>
      <w:r>
        <w:rPr>
          <w:rFonts w:ascii="Arial" w:hAnsi="Arial" w:cs="Arial"/>
          <w:w w:val="110"/>
        </w:rPr>
        <w:t xml:space="preserve">Julius </w:t>
      </w:r>
      <w:proofErr w:type="spellStart"/>
      <w:r>
        <w:rPr>
          <w:rFonts w:ascii="Arial" w:hAnsi="Arial" w:cs="Arial"/>
          <w:w w:val="110"/>
        </w:rPr>
        <w:t>Britto</w:t>
      </w:r>
      <w:proofErr w:type="spellEnd"/>
    </w:p>
    <w:p w:rsidR="002C5025" w:rsidRDefault="002C5025">
      <w:pPr>
        <w:pStyle w:val="BodyText"/>
        <w:kinsoku w:val="0"/>
        <w:overflowPunct w:val="0"/>
        <w:spacing w:before="56"/>
        <w:ind w:left="127"/>
        <w:jc w:val="both"/>
        <w:rPr>
          <w:rFonts w:ascii="Arial" w:hAnsi="Arial" w:cs="Arial"/>
          <w:w w:val="110"/>
        </w:rPr>
      </w:pPr>
      <w:r>
        <w:rPr>
          <w:rFonts w:ascii="Arial" w:hAnsi="Arial" w:cs="Arial"/>
          <w:w w:val="110"/>
        </w:rPr>
        <w:t>Attentive Home Care, Inc.</w:t>
      </w:r>
    </w:p>
    <w:p w:rsidR="002C5025" w:rsidRDefault="002C5025">
      <w:pPr>
        <w:pStyle w:val="BodyText"/>
        <w:kinsoku w:val="0"/>
        <w:overflowPunct w:val="0"/>
        <w:rPr>
          <w:rFonts w:ascii="Arial" w:hAnsi="Arial" w:cs="Arial"/>
        </w:rPr>
      </w:pPr>
    </w:p>
    <w:p w:rsidR="002C5025" w:rsidRDefault="002C5025">
      <w:pPr>
        <w:pStyle w:val="BodyText"/>
        <w:kinsoku w:val="0"/>
        <w:overflowPunct w:val="0"/>
        <w:rPr>
          <w:rFonts w:ascii="Arial" w:hAnsi="Arial" w:cs="Arial"/>
        </w:rPr>
      </w:pPr>
    </w:p>
    <w:p w:rsidR="002C5025" w:rsidRDefault="002C5025">
      <w:pPr>
        <w:pStyle w:val="BodyText"/>
        <w:kinsoku w:val="0"/>
        <w:overflowPunct w:val="0"/>
        <w:spacing w:before="155"/>
        <w:ind w:left="120"/>
        <w:jc w:val="both"/>
        <w:rPr>
          <w:rFonts w:ascii="Arial" w:hAnsi="Arial" w:cs="Arial"/>
        </w:rPr>
      </w:pPr>
      <w:r>
        <w:rPr>
          <w:rFonts w:ascii="Arial" w:hAnsi="Arial" w:cs="Arial"/>
        </w:rPr>
        <w:t>Joanne Collins</w:t>
      </w:r>
    </w:p>
    <w:p w:rsidR="002C5025" w:rsidRDefault="002C5025">
      <w:pPr>
        <w:pStyle w:val="BodyText"/>
        <w:kinsoku w:val="0"/>
        <w:overflowPunct w:val="0"/>
        <w:spacing w:before="56"/>
        <w:ind w:left="120"/>
        <w:jc w:val="both"/>
        <w:rPr>
          <w:rFonts w:ascii="Arial" w:hAnsi="Arial" w:cs="Arial"/>
          <w:w w:val="110"/>
        </w:rPr>
      </w:pPr>
      <w:r>
        <w:rPr>
          <w:rFonts w:ascii="Arial" w:hAnsi="Arial" w:cs="Arial"/>
          <w:w w:val="110"/>
        </w:rPr>
        <w:t xml:space="preserve">Woburn </w:t>
      </w:r>
      <w:proofErr w:type="spellStart"/>
      <w:r>
        <w:rPr>
          <w:rFonts w:ascii="Arial" w:hAnsi="Arial" w:cs="Arial"/>
          <w:w w:val="110"/>
        </w:rPr>
        <w:t>Councilon</w:t>
      </w:r>
      <w:proofErr w:type="spellEnd"/>
      <w:r>
        <w:rPr>
          <w:rFonts w:ascii="Arial" w:hAnsi="Arial" w:cs="Arial"/>
          <w:w w:val="110"/>
        </w:rPr>
        <w:t xml:space="preserve"> Aging</w:t>
      </w:r>
    </w:p>
    <w:p w:rsidR="002C5025" w:rsidRDefault="002C5025">
      <w:pPr>
        <w:pStyle w:val="BodyText"/>
        <w:kinsoku w:val="0"/>
        <w:overflowPunct w:val="0"/>
        <w:rPr>
          <w:rFonts w:ascii="Arial" w:hAnsi="Arial" w:cs="Arial"/>
        </w:rPr>
      </w:pPr>
    </w:p>
    <w:p w:rsidR="002C5025" w:rsidRDefault="002C5025">
      <w:pPr>
        <w:pStyle w:val="BodyText"/>
        <w:kinsoku w:val="0"/>
        <w:overflowPunct w:val="0"/>
        <w:rPr>
          <w:rFonts w:ascii="Arial" w:hAnsi="Arial" w:cs="Arial"/>
        </w:rPr>
      </w:pPr>
    </w:p>
    <w:p w:rsidR="002C5025" w:rsidRDefault="002C5025">
      <w:pPr>
        <w:pStyle w:val="BodyText"/>
        <w:kinsoku w:val="0"/>
        <w:overflowPunct w:val="0"/>
        <w:spacing w:before="155"/>
        <w:ind w:left="127"/>
        <w:jc w:val="both"/>
        <w:rPr>
          <w:rFonts w:ascii="Arial" w:hAnsi="Arial" w:cs="Arial"/>
          <w:w w:val="105"/>
        </w:rPr>
      </w:pPr>
      <w:r>
        <w:rPr>
          <w:rFonts w:ascii="Arial" w:hAnsi="Arial" w:cs="Arial"/>
          <w:w w:val="105"/>
        </w:rPr>
        <w:t>Paul Spooner</w:t>
      </w:r>
    </w:p>
    <w:p w:rsidR="002C5025" w:rsidRDefault="002C5025">
      <w:pPr>
        <w:pStyle w:val="BodyText"/>
        <w:kinsoku w:val="0"/>
        <w:overflowPunct w:val="0"/>
        <w:spacing w:before="56"/>
        <w:ind w:left="127"/>
        <w:jc w:val="both"/>
        <w:rPr>
          <w:rFonts w:ascii="Arial" w:hAnsi="Arial" w:cs="Arial"/>
          <w:w w:val="110"/>
        </w:rPr>
      </w:pPr>
      <w:proofErr w:type="spellStart"/>
      <w:r>
        <w:rPr>
          <w:rFonts w:ascii="Arial" w:hAnsi="Arial" w:cs="Arial"/>
          <w:w w:val="110"/>
        </w:rPr>
        <w:t>Metrowest</w:t>
      </w:r>
      <w:proofErr w:type="spellEnd"/>
      <w:r>
        <w:rPr>
          <w:rFonts w:ascii="Arial" w:hAnsi="Arial" w:cs="Arial"/>
          <w:w w:val="110"/>
        </w:rPr>
        <w:t xml:space="preserve"> Center for Independent Living</w:t>
      </w:r>
    </w:p>
    <w:p w:rsidR="002C5025" w:rsidRDefault="002C5025">
      <w:pPr>
        <w:pStyle w:val="BodyText"/>
        <w:kinsoku w:val="0"/>
        <w:overflowPunct w:val="0"/>
        <w:spacing w:before="2"/>
        <w:rPr>
          <w:rFonts w:ascii="Arial" w:hAnsi="Arial" w:cs="Arial"/>
          <w:sz w:val="31"/>
          <w:szCs w:val="31"/>
        </w:rPr>
      </w:pPr>
    </w:p>
    <w:p w:rsidR="002C5025" w:rsidRDefault="002C5025">
      <w:pPr>
        <w:pStyle w:val="BodyText"/>
        <w:kinsoku w:val="0"/>
        <w:overflowPunct w:val="0"/>
        <w:ind w:left="127"/>
        <w:jc w:val="both"/>
        <w:rPr>
          <w:rFonts w:ascii="Arial" w:hAnsi="Arial" w:cs="Arial"/>
          <w:w w:val="105"/>
        </w:rPr>
      </w:pPr>
      <w:r>
        <w:rPr>
          <w:rFonts w:ascii="Arial" w:hAnsi="Arial" w:cs="Arial"/>
          <w:w w:val="105"/>
        </w:rPr>
        <w:t>Paul Crowley</w:t>
      </w:r>
    </w:p>
    <w:p w:rsidR="002C5025" w:rsidRDefault="002C5025">
      <w:pPr>
        <w:pStyle w:val="BodyText"/>
        <w:kinsoku w:val="0"/>
        <w:overflowPunct w:val="0"/>
        <w:spacing w:before="56"/>
        <w:ind w:left="120"/>
        <w:jc w:val="both"/>
        <w:rPr>
          <w:rFonts w:ascii="Arial" w:hAnsi="Arial" w:cs="Arial"/>
        </w:rPr>
      </w:pPr>
      <w:r>
        <w:rPr>
          <w:rFonts w:ascii="Arial" w:hAnsi="Arial" w:cs="Arial"/>
        </w:rPr>
        <w:t>Greater  Lynn Senior Services</w:t>
      </w:r>
    </w:p>
    <w:p w:rsidR="002C5025" w:rsidRDefault="002C5025">
      <w:pPr>
        <w:pStyle w:val="BodyText"/>
        <w:kinsoku w:val="0"/>
        <w:overflowPunct w:val="0"/>
        <w:spacing w:before="2"/>
        <w:rPr>
          <w:rFonts w:ascii="Arial" w:hAnsi="Arial" w:cs="Arial"/>
          <w:sz w:val="31"/>
          <w:szCs w:val="31"/>
        </w:rPr>
      </w:pPr>
    </w:p>
    <w:p w:rsidR="002C5025" w:rsidRDefault="002C5025">
      <w:pPr>
        <w:pStyle w:val="BodyText"/>
        <w:kinsoku w:val="0"/>
        <w:overflowPunct w:val="0"/>
        <w:ind w:left="127"/>
        <w:jc w:val="both"/>
        <w:rPr>
          <w:rFonts w:ascii="Arial" w:hAnsi="Arial" w:cs="Arial"/>
        </w:rPr>
      </w:pPr>
      <w:r>
        <w:rPr>
          <w:rFonts w:ascii="Arial" w:hAnsi="Arial" w:cs="Arial"/>
        </w:rPr>
        <w:t>Lou Swan</w:t>
      </w:r>
    </w:p>
    <w:p w:rsidR="002C5025" w:rsidRDefault="002C5025">
      <w:pPr>
        <w:pStyle w:val="BodyText"/>
        <w:kinsoku w:val="0"/>
        <w:overflowPunct w:val="0"/>
        <w:spacing w:before="49" w:line="580" w:lineRule="auto"/>
        <w:ind w:left="106" w:right="1128" w:firstLine="14"/>
        <w:rPr>
          <w:rFonts w:ascii="Arial" w:hAnsi="Arial" w:cs="Arial"/>
          <w:w w:val="105"/>
        </w:rPr>
      </w:pPr>
      <w:r>
        <w:rPr>
          <w:rFonts w:ascii="Arial" w:hAnsi="Arial" w:cs="Arial"/>
          <w:w w:val="105"/>
        </w:rPr>
        <w:t>Elder Services of Worcester Area John O'Neill</w:t>
      </w:r>
    </w:p>
    <w:p w:rsidR="002C5025" w:rsidRDefault="002C5025">
      <w:pPr>
        <w:pStyle w:val="BodyText"/>
        <w:kinsoku w:val="0"/>
        <w:overflowPunct w:val="0"/>
        <w:spacing w:before="79"/>
        <w:ind w:left="127" w:right="1851"/>
        <w:rPr>
          <w:rFonts w:ascii="Arial" w:hAnsi="Arial" w:cs="Arial"/>
        </w:rPr>
      </w:pPr>
      <w:r>
        <w:rPr>
          <w:rFonts w:ascii="Times New Roman" w:hAnsi="Times New Roman" w:cs="Times New Roman"/>
          <w:sz w:val="24"/>
          <w:szCs w:val="24"/>
        </w:rPr>
        <w:br w:type="column"/>
      </w:r>
      <w:r>
        <w:rPr>
          <w:rFonts w:ascii="Arial" w:hAnsi="Arial" w:cs="Arial"/>
        </w:rPr>
        <w:lastRenderedPageBreak/>
        <w:t xml:space="preserve">Michael E. </w:t>
      </w:r>
      <w:proofErr w:type="spellStart"/>
      <w:r>
        <w:rPr>
          <w:rFonts w:ascii="Arial" w:hAnsi="Arial" w:cs="Arial"/>
        </w:rPr>
        <w:t>Festa</w:t>
      </w:r>
      <w:proofErr w:type="spellEnd"/>
    </w:p>
    <w:p w:rsidR="002C5025" w:rsidRDefault="002C5025">
      <w:pPr>
        <w:pStyle w:val="BodyText"/>
        <w:kinsoku w:val="0"/>
        <w:overflowPunct w:val="0"/>
        <w:spacing w:before="49"/>
        <w:ind w:left="113" w:right="1851"/>
        <w:rPr>
          <w:rFonts w:ascii="Arial" w:hAnsi="Arial" w:cs="Arial"/>
        </w:rPr>
      </w:pPr>
      <w:r>
        <w:rPr>
          <w:rFonts w:ascii="Arial" w:hAnsi="Arial" w:cs="Arial"/>
          <w:b/>
          <w:bCs/>
          <w:sz w:val="21"/>
          <w:szCs w:val="21"/>
        </w:rPr>
        <w:t xml:space="preserve">AARP </w:t>
      </w:r>
      <w:r>
        <w:rPr>
          <w:rFonts w:ascii="Arial" w:hAnsi="Arial" w:cs="Arial"/>
        </w:rPr>
        <w:t>Massachusetts</w:t>
      </w:r>
    </w:p>
    <w:p w:rsidR="002C5025" w:rsidRDefault="002C5025">
      <w:pPr>
        <w:pStyle w:val="BodyText"/>
        <w:kinsoku w:val="0"/>
        <w:overflowPunct w:val="0"/>
        <w:rPr>
          <w:rFonts w:ascii="Arial" w:hAnsi="Arial" w:cs="Arial"/>
        </w:rPr>
      </w:pPr>
    </w:p>
    <w:p w:rsidR="002C5025" w:rsidRDefault="002C5025">
      <w:pPr>
        <w:pStyle w:val="BodyText"/>
        <w:kinsoku w:val="0"/>
        <w:overflowPunct w:val="0"/>
        <w:rPr>
          <w:rFonts w:ascii="Arial" w:hAnsi="Arial" w:cs="Arial"/>
        </w:rPr>
      </w:pPr>
    </w:p>
    <w:p w:rsidR="002C5025" w:rsidRDefault="002C5025">
      <w:pPr>
        <w:pStyle w:val="BodyText"/>
        <w:kinsoku w:val="0"/>
        <w:overflowPunct w:val="0"/>
        <w:spacing w:before="162"/>
        <w:ind w:left="127" w:right="1851"/>
        <w:rPr>
          <w:rFonts w:ascii="Arial" w:hAnsi="Arial" w:cs="Arial"/>
        </w:rPr>
      </w:pPr>
      <w:r>
        <w:rPr>
          <w:rFonts w:ascii="Arial" w:hAnsi="Arial" w:cs="Arial"/>
        </w:rPr>
        <w:t>David P. Stevens</w:t>
      </w:r>
    </w:p>
    <w:p w:rsidR="002C5025" w:rsidRDefault="002C5025">
      <w:pPr>
        <w:pStyle w:val="BodyText"/>
        <w:kinsoku w:val="0"/>
        <w:overflowPunct w:val="0"/>
        <w:spacing w:before="49"/>
        <w:ind w:left="127" w:right="1851"/>
        <w:rPr>
          <w:rFonts w:ascii="Arial" w:hAnsi="Arial" w:cs="Arial"/>
          <w:w w:val="105"/>
        </w:rPr>
      </w:pPr>
      <w:r>
        <w:rPr>
          <w:rFonts w:ascii="Arial" w:hAnsi="Arial" w:cs="Arial"/>
          <w:w w:val="105"/>
        </w:rPr>
        <w:t>Mass Councils on Aging</w:t>
      </w:r>
    </w:p>
    <w:p w:rsidR="002C5025" w:rsidRDefault="002C5025">
      <w:pPr>
        <w:pStyle w:val="BodyText"/>
        <w:kinsoku w:val="0"/>
        <w:overflowPunct w:val="0"/>
        <w:spacing w:before="2"/>
        <w:rPr>
          <w:rFonts w:ascii="Arial" w:hAnsi="Arial" w:cs="Arial"/>
          <w:sz w:val="31"/>
          <w:szCs w:val="31"/>
        </w:rPr>
      </w:pPr>
    </w:p>
    <w:p w:rsidR="002C5025" w:rsidRDefault="002C5025">
      <w:pPr>
        <w:pStyle w:val="BodyText"/>
        <w:kinsoku w:val="0"/>
        <w:overflowPunct w:val="0"/>
        <w:ind w:left="127" w:right="1851"/>
        <w:rPr>
          <w:rFonts w:ascii="Arial" w:hAnsi="Arial" w:cs="Arial"/>
        </w:rPr>
      </w:pPr>
      <w:r>
        <w:rPr>
          <w:rFonts w:ascii="Arial" w:hAnsi="Arial" w:cs="Arial"/>
        </w:rPr>
        <w:t>Lisa Gurgone</w:t>
      </w:r>
    </w:p>
    <w:p w:rsidR="002C5025" w:rsidRDefault="002C5025">
      <w:pPr>
        <w:pStyle w:val="BodyText"/>
        <w:kinsoku w:val="0"/>
        <w:overflowPunct w:val="0"/>
        <w:spacing w:before="49"/>
        <w:ind w:left="127" w:right="1851"/>
        <w:rPr>
          <w:rFonts w:ascii="Arial" w:hAnsi="Arial" w:cs="Arial"/>
        </w:rPr>
      </w:pPr>
      <w:r>
        <w:rPr>
          <w:rFonts w:ascii="Arial" w:hAnsi="Arial" w:cs="Arial"/>
        </w:rPr>
        <w:t>Home Care Aide Council</w:t>
      </w:r>
    </w:p>
    <w:p w:rsidR="002C5025" w:rsidRDefault="002C5025">
      <w:pPr>
        <w:pStyle w:val="BodyText"/>
        <w:kinsoku w:val="0"/>
        <w:overflowPunct w:val="0"/>
        <w:spacing w:before="2"/>
        <w:rPr>
          <w:rFonts w:ascii="Arial" w:hAnsi="Arial" w:cs="Arial"/>
          <w:sz w:val="31"/>
          <w:szCs w:val="31"/>
        </w:rPr>
      </w:pPr>
    </w:p>
    <w:p w:rsidR="002C5025" w:rsidRDefault="002C5025">
      <w:pPr>
        <w:pStyle w:val="BodyText"/>
        <w:kinsoku w:val="0"/>
        <w:overflowPunct w:val="0"/>
        <w:spacing w:line="292" w:lineRule="auto"/>
        <w:ind w:left="113" w:right="2508" w:firstLine="7"/>
        <w:rPr>
          <w:rFonts w:ascii="Arial" w:hAnsi="Arial" w:cs="Arial"/>
        </w:rPr>
      </w:pPr>
      <w:r>
        <w:rPr>
          <w:rFonts w:ascii="Arial" w:hAnsi="Arial" w:cs="Arial"/>
          <w:w w:val="105"/>
        </w:rPr>
        <w:t xml:space="preserve">Mike  Trigilio </w:t>
      </w:r>
      <w:r>
        <w:rPr>
          <w:rFonts w:ascii="Arial" w:hAnsi="Arial" w:cs="Arial"/>
        </w:rPr>
        <w:t>Associated Home Care</w:t>
      </w:r>
    </w:p>
    <w:p w:rsidR="002C5025" w:rsidRDefault="002C5025">
      <w:pPr>
        <w:pStyle w:val="BodyText"/>
        <w:kinsoku w:val="0"/>
        <w:overflowPunct w:val="0"/>
        <w:spacing w:before="5"/>
        <w:rPr>
          <w:rFonts w:ascii="Arial" w:hAnsi="Arial" w:cs="Arial"/>
          <w:sz w:val="26"/>
          <w:szCs w:val="26"/>
        </w:rPr>
      </w:pPr>
    </w:p>
    <w:p w:rsidR="002C5025" w:rsidRDefault="002C5025">
      <w:pPr>
        <w:pStyle w:val="BodyText"/>
        <w:kinsoku w:val="0"/>
        <w:overflowPunct w:val="0"/>
        <w:spacing w:before="1"/>
        <w:ind w:left="120" w:right="1851"/>
        <w:rPr>
          <w:rFonts w:ascii="Arial" w:hAnsi="Arial" w:cs="Arial"/>
          <w:w w:val="105"/>
        </w:rPr>
      </w:pPr>
      <w:r>
        <w:rPr>
          <w:rFonts w:ascii="Arial" w:hAnsi="Arial" w:cs="Arial"/>
          <w:w w:val="105"/>
        </w:rPr>
        <w:t xml:space="preserve">Diana </w:t>
      </w:r>
      <w:proofErr w:type="spellStart"/>
      <w:r>
        <w:rPr>
          <w:rFonts w:ascii="Arial" w:hAnsi="Arial" w:cs="Arial"/>
          <w:w w:val="105"/>
        </w:rPr>
        <w:t>DiGiorgi</w:t>
      </w:r>
      <w:proofErr w:type="spellEnd"/>
    </w:p>
    <w:p w:rsidR="002C5025" w:rsidRDefault="002C5025">
      <w:pPr>
        <w:pStyle w:val="BodyText"/>
        <w:kinsoku w:val="0"/>
        <w:overflowPunct w:val="0"/>
        <w:spacing w:before="49"/>
        <w:ind w:left="178" w:right="1851"/>
        <w:rPr>
          <w:rFonts w:ascii="Arial" w:hAnsi="Arial" w:cs="Arial"/>
        </w:rPr>
      </w:pPr>
      <w:r>
        <w:rPr>
          <w:rFonts w:ascii="Arial" w:hAnsi="Arial" w:cs="Arial"/>
        </w:rPr>
        <w:t>Old Colony Elder Services</w:t>
      </w:r>
    </w:p>
    <w:p w:rsidR="002C5025" w:rsidRDefault="002C5025">
      <w:pPr>
        <w:pStyle w:val="BodyText"/>
        <w:kinsoku w:val="0"/>
        <w:overflowPunct w:val="0"/>
        <w:spacing w:before="2"/>
        <w:rPr>
          <w:rFonts w:ascii="Arial" w:hAnsi="Arial" w:cs="Arial"/>
          <w:sz w:val="31"/>
          <w:szCs w:val="31"/>
        </w:rPr>
      </w:pPr>
    </w:p>
    <w:p w:rsidR="002C5025" w:rsidRDefault="002C5025">
      <w:pPr>
        <w:pStyle w:val="BodyText"/>
        <w:kinsoku w:val="0"/>
        <w:overflowPunct w:val="0"/>
        <w:ind w:left="120" w:right="1851"/>
        <w:rPr>
          <w:rFonts w:ascii="Arial" w:hAnsi="Arial" w:cs="Arial"/>
          <w:w w:val="105"/>
        </w:rPr>
      </w:pPr>
      <w:r>
        <w:rPr>
          <w:rFonts w:ascii="Arial" w:hAnsi="Arial" w:cs="Arial"/>
          <w:w w:val="105"/>
        </w:rPr>
        <w:t xml:space="preserve">Emily </w:t>
      </w:r>
      <w:proofErr w:type="spellStart"/>
      <w:r>
        <w:rPr>
          <w:rFonts w:ascii="Arial" w:hAnsi="Arial" w:cs="Arial"/>
          <w:w w:val="105"/>
        </w:rPr>
        <w:t>Shea</w:t>
      </w:r>
      <w:proofErr w:type="spellEnd"/>
    </w:p>
    <w:p w:rsidR="002C5025" w:rsidRDefault="002C5025">
      <w:pPr>
        <w:pStyle w:val="BodyText"/>
        <w:kinsoku w:val="0"/>
        <w:overflowPunct w:val="0"/>
        <w:spacing w:before="49" w:line="292" w:lineRule="auto"/>
        <w:ind w:left="106" w:right="1851" w:firstLine="14"/>
        <w:rPr>
          <w:rFonts w:ascii="Arial" w:hAnsi="Arial" w:cs="Arial"/>
          <w:w w:val="105"/>
        </w:rPr>
      </w:pPr>
      <w:r>
        <w:rPr>
          <w:rFonts w:ascii="Arial" w:hAnsi="Arial" w:cs="Arial"/>
          <w:w w:val="105"/>
        </w:rPr>
        <w:t>Boston Commission on Affairs of the Elderly</w:t>
      </w:r>
    </w:p>
    <w:p w:rsidR="002C5025" w:rsidRDefault="002C5025">
      <w:pPr>
        <w:pStyle w:val="BodyText"/>
        <w:kinsoku w:val="0"/>
        <w:overflowPunct w:val="0"/>
        <w:spacing w:before="5"/>
        <w:rPr>
          <w:rFonts w:ascii="Arial" w:hAnsi="Arial" w:cs="Arial"/>
          <w:sz w:val="26"/>
          <w:szCs w:val="26"/>
        </w:rPr>
      </w:pPr>
    </w:p>
    <w:p w:rsidR="002C5025" w:rsidRDefault="002C5025">
      <w:pPr>
        <w:pStyle w:val="BodyText"/>
        <w:kinsoku w:val="0"/>
        <w:overflowPunct w:val="0"/>
        <w:spacing w:before="1" w:line="290" w:lineRule="auto"/>
        <w:ind w:left="106" w:right="2508"/>
        <w:rPr>
          <w:rFonts w:ascii="Arial" w:hAnsi="Arial" w:cs="Arial"/>
        </w:rPr>
      </w:pPr>
      <w:r>
        <w:rPr>
          <w:rFonts w:ascii="Arial" w:hAnsi="Arial" w:cs="Arial"/>
        </w:rPr>
        <w:t>Amy Vogel Waters Worcester Commission On  Elder Affairs</w:t>
      </w:r>
    </w:p>
    <w:p w:rsidR="002C5025" w:rsidRDefault="002C5025">
      <w:pPr>
        <w:pStyle w:val="BodyText"/>
        <w:kinsoku w:val="0"/>
        <w:overflowPunct w:val="0"/>
        <w:spacing w:before="8"/>
        <w:rPr>
          <w:rFonts w:ascii="Arial" w:hAnsi="Arial" w:cs="Arial"/>
          <w:sz w:val="26"/>
          <w:szCs w:val="26"/>
        </w:rPr>
      </w:pPr>
    </w:p>
    <w:p w:rsidR="002C5025" w:rsidRDefault="002C5025">
      <w:pPr>
        <w:pStyle w:val="BodyText"/>
        <w:kinsoku w:val="0"/>
        <w:overflowPunct w:val="0"/>
        <w:ind w:left="113" w:right="1851"/>
        <w:rPr>
          <w:rFonts w:ascii="Arial" w:hAnsi="Arial" w:cs="Arial"/>
          <w:w w:val="105"/>
        </w:rPr>
      </w:pPr>
      <w:r>
        <w:rPr>
          <w:rFonts w:ascii="Arial" w:hAnsi="Arial" w:cs="Arial"/>
          <w:w w:val="105"/>
        </w:rPr>
        <w:t xml:space="preserve">Carolyn </w:t>
      </w:r>
      <w:proofErr w:type="spellStart"/>
      <w:r>
        <w:rPr>
          <w:rFonts w:ascii="Arial" w:hAnsi="Arial" w:cs="Arial"/>
          <w:w w:val="105"/>
        </w:rPr>
        <w:t>Lightburn</w:t>
      </w:r>
      <w:proofErr w:type="spellEnd"/>
    </w:p>
    <w:p w:rsidR="002C5025" w:rsidRDefault="002C5025">
      <w:pPr>
        <w:pStyle w:val="BodyText"/>
        <w:kinsoku w:val="0"/>
        <w:overflowPunct w:val="0"/>
        <w:spacing w:before="49"/>
        <w:ind w:left="113" w:right="433"/>
        <w:rPr>
          <w:rFonts w:ascii="Arial" w:hAnsi="Arial" w:cs="Arial"/>
          <w:w w:val="105"/>
        </w:rPr>
      </w:pPr>
      <w:r>
        <w:rPr>
          <w:rFonts w:ascii="Arial" w:hAnsi="Arial" w:cs="Arial"/>
          <w:w w:val="105"/>
        </w:rPr>
        <w:t>Director of Everett Human Services</w:t>
      </w:r>
    </w:p>
    <w:p w:rsidR="002C5025" w:rsidRDefault="002C5025">
      <w:pPr>
        <w:pStyle w:val="BodyText"/>
        <w:kinsoku w:val="0"/>
        <w:overflowPunct w:val="0"/>
        <w:spacing w:before="9"/>
        <w:rPr>
          <w:rFonts w:ascii="Arial" w:hAnsi="Arial" w:cs="Arial"/>
          <w:sz w:val="31"/>
          <w:szCs w:val="31"/>
        </w:rPr>
      </w:pPr>
    </w:p>
    <w:p w:rsidR="002C5025" w:rsidRDefault="002C5025">
      <w:pPr>
        <w:pStyle w:val="BodyText"/>
        <w:kinsoku w:val="0"/>
        <w:overflowPunct w:val="0"/>
        <w:ind w:left="113" w:right="1851"/>
        <w:rPr>
          <w:rFonts w:ascii="Arial" w:hAnsi="Arial" w:cs="Arial"/>
        </w:rPr>
      </w:pPr>
      <w:r>
        <w:rPr>
          <w:rFonts w:ascii="Arial" w:hAnsi="Arial" w:cs="Arial"/>
        </w:rPr>
        <w:t xml:space="preserve">Paul </w:t>
      </w:r>
      <w:proofErr w:type="spellStart"/>
      <w:r>
        <w:rPr>
          <w:rFonts w:ascii="Arial" w:hAnsi="Arial" w:cs="Arial"/>
        </w:rPr>
        <w:t>Lanzikos</w:t>
      </w:r>
      <w:proofErr w:type="spellEnd"/>
    </w:p>
    <w:p w:rsidR="002C5025" w:rsidRDefault="002C5025">
      <w:pPr>
        <w:pStyle w:val="BodyText"/>
        <w:kinsoku w:val="0"/>
        <w:overflowPunct w:val="0"/>
        <w:spacing w:before="49"/>
        <w:ind w:left="113" w:right="1851"/>
        <w:rPr>
          <w:rFonts w:ascii="Arial" w:hAnsi="Arial" w:cs="Arial"/>
        </w:rPr>
      </w:pPr>
      <w:r>
        <w:rPr>
          <w:rFonts w:ascii="Arial" w:hAnsi="Arial" w:cs="Arial"/>
        </w:rPr>
        <w:t>North Shore Elder</w:t>
      </w:r>
      <w:r>
        <w:rPr>
          <w:rFonts w:ascii="Arial" w:hAnsi="Arial" w:cs="Arial"/>
          <w:spacing w:val="54"/>
        </w:rPr>
        <w:t xml:space="preserve"> </w:t>
      </w:r>
      <w:r>
        <w:rPr>
          <w:rFonts w:ascii="Arial" w:hAnsi="Arial" w:cs="Arial"/>
        </w:rPr>
        <w:t>Services</w:t>
      </w:r>
    </w:p>
    <w:p w:rsidR="002C5025" w:rsidRDefault="002C5025">
      <w:pPr>
        <w:pStyle w:val="BodyText"/>
        <w:kinsoku w:val="0"/>
        <w:overflowPunct w:val="0"/>
        <w:spacing w:before="2"/>
        <w:rPr>
          <w:rFonts w:ascii="Arial" w:hAnsi="Arial" w:cs="Arial"/>
          <w:sz w:val="31"/>
          <w:szCs w:val="31"/>
        </w:rPr>
      </w:pPr>
    </w:p>
    <w:p w:rsidR="002C5025" w:rsidRDefault="002C5025">
      <w:pPr>
        <w:pStyle w:val="BodyText"/>
        <w:kinsoku w:val="0"/>
        <w:overflowPunct w:val="0"/>
        <w:ind w:left="106" w:right="1851"/>
        <w:rPr>
          <w:rFonts w:ascii="Arial" w:hAnsi="Arial" w:cs="Arial"/>
          <w:w w:val="105"/>
        </w:rPr>
      </w:pPr>
      <w:r>
        <w:rPr>
          <w:rFonts w:ascii="Arial" w:hAnsi="Arial" w:cs="Arial"/>
          <w:w w:val="105"/>
        </w:rPr>
        <w:t>Gregory Giuliano</w:t>
      </w:r>
    </w:p>
    <w:p w:rsidR="002C5025" w:rsidRDefault="002C5025">
      <w:pPr>
        <w:pStyle w:val="BodyText"/>
        <w:kinsoku w:val="0"/>
        <w:overflowPunct w:val="0"/>
        <w:spacing w:before="56" w:line="580" w:lineRule="auto"/>
        <w:ind w:left="113" w:right="433"/>
        <w:rPr>
          <w:rFonts w:ascii="Arial" w:hAnsi="Arial" w:cs="Arial"/>
          <w:w w:val="110"/>
        </w:rPr>
      </w:pPr>
      <w:proofErr w:type="spellStart"/>
      <w:r>
        <w:rPr>
          <w:rFonts w:ascii="Arial" w:hAnsi="Arial" w:cs="Arial"/>
          <w:w w:val="105"/>
        </w:rPr>
        <w:t>Montachusett</w:t>
      </w:r>
      <w:proofErr w:type="spellEnd"/>
      <w:r>
        <w:rPr>
          <w:rFonts w:ascii="Arial" w:hAnsi="Arial" w:cs="Arial"/>
          <w:w w:val="105"/>
        </w:rPr>
        <w:t xml:space="preserve"> Home Care Corporation </w:t>
      </w:r>
      <w:r>
        <w:rPr>
          <w:rFonts w:ascii="Arial" w:hAnsi="Arial" w:cs="Arial"/>
          <w:w w:val="110"/>
        </w:rPr>
        <w:t xml:space="preserve">Irene </w:t>
      </w:r>
      <w:proofErr w:type="spellStart"/>
      <w:r>
        <w:rPr>
          <w:rFonts w:ascii="Arial" w:hAnsi="Arial" w:cs="Arial"/>
          <w:w w:val="110"/>
        </w:rPr>
        <w:t>M.O'Brien</w:t>
      </w:r>
      <w:proofErr w:type="spellEnd"/>
    </w:p>
    <w:p w:rsidR="002C5025" w:rsidRDefault="002C5025">
      <w:pPr>
        <w:pStyle w:val="BodyText"/>
        <w:kinsoku w:val="0"/>
        <w:overflowPunct w:val="0"/>
        <w:spacing w:before="56" w:line="580" w:lineRule="auto"/>
        <w:ind w:left="113" w:right="433"/>
        <w:rPr>
          <w:rFonts w:ascii="Arial" w:hAnsi="Arial" w:cs="Arial"/>
          <w:w w:val="110"/>
        </w:rPr>
        <w:sectPr w:rsidR="002C5025">
          <w:type w:val="continuous"/>
          <w:pgSz w:w="12240" w:h="15840"/>
          <w:pgMar w:top="720" w:right="1720" w:bottom="280" w:left="700" w:header="720" w:footer="720" w:gutter="0"/>
          <w:cols w:num="2" w:space="720" w:equalWidth="0">
            <w:col w:w="4683" w:space="156"/>
            <w:col w:w="4981"/>
          </w:cols>
          <w:noEndnote/>
        </w:sectPr>
      </w:pPr>
    </w:p>
    <w:p w:rsidR="002C5025" w:rsidRDefault="002C5025">
      <w:pPr>
        <w:pStyle w:val="BodyText"/>
        <w:kinsoku w:val="0"/>
        <w:overflowPunct w:val="0"/>
        <w:spacing w:before="61" w:line="292" w:lineRule="auto"/>
        <w:ind w:left="162" w:right="2099" w:hanging="8"/>
        <w:rPr>
          <w:rFonts w:ascii="Arial" w:hAnsi="Arial" w:cs="Arial"/>
        </w:rPr>
      </w:pPr>
      <w:r>
        <w:rPr>
          <w:rFonts w:ascii="Arial" w:hAnsi="Arial" w:cs="Arial"/>
          <w:w w:val="105"/>
        </w:rPr>
        <w:lastRenderedPageBreak/>
        <w:t xml:space="preserve">Somerville Cambridge </w:t>
      </w:r>
      <w:r>
        <w:rPr>
          <w:rFonts w:ascii="Arial" w:hAnsi="Arial" w:cs="Arial"/>
        </w:rPr>
        <w:t>Elder Services</w:t>
      </w:r>
    </w:p>
    <w:p w:rsidR="002C5025" w:rsidRDefault="002C5025">
      <w:pPr>
        <w:pStyle w:val="BodyText"/>
        <w:kinsoku w:val="0"/>
        <w:overflowPunct w:val="0"/>
        <w:spacing w:before="10"/>
        <w:rPr>
          <w:rFonts w:ascii="Arial" w:hAnsi="Arial" w:cs="Arial"/>
          <w:sz w:val="25"/>
          <w:szCs w:val="25"/>
        </w:rPr>
      </w:pPr>
    </w:p>
    <w:p w:rsidR="002C5025" w:rsidRDefault="002C5025">
      <w:pPr>
        <w:pStyle w:val="BodyText"/>
        <w:kinsoku w:val="0"/>
        <w:overflowPunct w:val="0"/>
        <w:ind w:left="162" w:right="2099"/>
        <w:rPr>
          <w:rFonts w:ascii="Arial" w:hAnsi="Arial" w:cs="Arial"/>
          <w:w w:val="105"/>
        </w:rPr>
      </w:pPr>
      <w:r>
        <w:rPr>
          <w:rFonts w:ascii="Arial" w:hAnsi="Arial" w:cs="Arial"/>
          <w:w w:val="105"/>
        </w:rPr>
        <w:t>Paula Shiner</w:t>
      </w:r>
    </w:p>
    <w:p w:rsidR="002C5025" w:rsidRDefault="002C5025">
      <w:pPr>
        <w:pStyle w:val="BodyText"/>
        <w:kinsoku w:val="0"/>
        <w:overflowPunct w:val="0"/>
        <w:spacing w:before="56"/>
        <w:ind w:left="147" w:right="-1"/>
        <w:rPr>
          <w:rFonts w:ascii="Arial" w:hAnsi="Arial" w:cs="Arial"/>
        </w:rPr>
      </w:pPr>
      <w:r>
        <w:rPr>
          <w:rFonts w:ascii="Arial" w:hAnsi="Arial" w:cs="Arial"/>
        </w:rPr>
        <w:t>Coastline  Elder Services</w:t>
      </w:r>
    </w:p>
    <w:p w:rsidR="002C5025" w:rsidRDefault="002C5025">
      <w:pPr>
        <w:pStyle w:val="BodyText"/>
        <w:kinsoku w:val="0"/>
        <w:overflowPunct w:val="0"/>
        <w:spacing w:before="2"/>
        <w:rPr>
          <w:rFonts w:ascii="Arial" w:hAnsi="Arial" w:cs="Arial"/>
          <w:sz w:val="31"/>
          <w:szCs w:val="31"/>
        </w:rPr>
      </w:pPr>
    </w:p>
    <w:p w:rsidR="002C5025" w:rsidRDefault="002C5025">
      <w:pPr>
        <w:pStyle w:val="BodyText"/>
        <w:kinsoku w:val="0"/>
        <w:overflowPunct w:val="0"/>
        <w:ind w:left="140" w:right="2099"/>
        <w:rPr>
          <w:rFonts w:ascii="Arial" w:hAnsi="Arial" w:cs="Arial"/>
          <w:w w:val="105"/>
        </w:rPr>
      </w:pPr>
      <w:r>
        <w:rPr>
          <w:rFonts w:ascii="Arial" w:hAnsi="Arial" w:cs="Arial"/>
          <w:w w:val="105"/>
        </w:rPr>
        <w:t>John Lutz</w:t>
      </w:r>
    </w:p>
    <w:p w:rsidR="002C5025" w:rsidRDefault="002C5025">
      <w:pPr>
        <w:pStyle w:val="BodyText"/>
        <w:kinsoku w:val="0"/>
        <w:overflowPunct w:val="0"/>
        <w:spacing w:before="49"/>
        <w:ind w:left="155" w:right="-1"/>
        <w:rPr>
          <w:rFonts w:ascii="Arial" w:hAnsi="Arial" w:cs="Arial"/>
          <w:w w:val="105"/>
        </w:rPr>
      </w:pPr>
      <w:r>
        <w:rPr>
          <w:rFonts w:ascii="Arial" w:hAnsi="Arial" w:cs="Arial"/>
          <w:w w:val="105"/>
        </w:rPr>
        <w:t>Elder Services of Berkshire County</w:t>
      </w:r>
    </w:p>
    <w:p w:rsidR="002C5025" w:rsidRDefault="002C5025">
      <w:pPr>
        <w:pStyle w:val="BodyText"/>
        <w:kinsoku w:val="0"/>
        <w:overflowPunct w:val="0"/>
        <w:spacing w:before="2"/>
        <w:rPr>
          <w:rFonts w:ascii="Arial" w:hAnsi="Arial" w:cs="Arial"/>
          <w:sz w:val="31"/>
          <w:szCs w:val="31"/>
        </w:rPr>
      </w:pPr>
    </w:p>
    <w:p w:rsidR="002C5025" w:rsidRDefault="002C5025">
      <w:pPr>
        <w:pStyle w:val="BodyText"/>
        <w:kinsoku w:val="0"/>
        <w:overflowPunct w:val="0"/>
        <w:spacing w:line="288" w:lineRule="auto"/>
        <w:ind w:left="140" w:right="2099" w:firstLine="14"/>
        <w:rPr>
          <w:rFonts w:ascii="Arial" w:hAnsi="Arial" w:cs="Arial"/>
          <w:w w:val="105"/>
        </w:rPr>
      </w:pPr>
      <w:r>
        <w:rPr>
          <w:rFonts w:ascii="Arial" w:hAnsi="Arial" w:cs="Arial"/>
          <w:w w:val="105"/>
        </w:rPr>
        <w:t xml:space="preserve">Priscilla Chalmers </w:t>
      </w:r>
      <w:proofErr w:type="spellStart"/>
      <w:r>
        <w:rPr>
          <w:rFonts w:ascii="Arial" w:hAnsi="Arial" w:cs="Arial"/>
          <w:w w:val="105"/>
        </w:rPr>
        <w:t>WestMass</w:t>
      </w:r>
      <w:proofErr w:type="spellEnd"/>
      <w:r>
        <w:rPr>
          <w:rFonts w:ascii="Arial" w:hAnsi="Arial" w:cs="Arial"/>
          <w:w w:val="105"/>
        </w:rPr>
        <w:t xml:space="preserve"> </w:t>
      </w:r>
      <w:proofErr w:type="spellStart"/>
      <w:r>
        <w:rPr>
          <w:rFonts w:ascii="Arial" w:hAnsi="Arial" w:cs="Arial"/>
          <w:w w:val="105"/>
        </w:rPr>
        <w:t>ElderCare</w:t>
      </w:r>
      <w:proofErr w:type="spellEnd"/>
    </w:p>
    <w:p w:rsidR="002C5025" w:rsidRDefault="002C5025">
      <w:pPr>
        <w:pStyle w:val="BodyText"/>
        <w:kinsoku w:val="0"/>
        <w:overflowPunct w:val="0"/>
        <w:spacing w:before="10"/>
        <w:rPr>
          <w:rFonts w:ascii="Arial" w:hAnsi="Arial" w:cs="Arial"/>
          <w:sz w:val="26"/>
          <w:szCs w:val="26"/>
        </w:rPr>
      </w:pPr>
    </w:p>
    <w:p w:rsidR="002C5025" w:rsidRDefault="002C5025">
      <w:pPr>
        <w:pStyle w:val="BodyText"/>
        <w:kinsoku w:val="0"/>
        <w:overflowPunct w:val="0"/>
        <w:spacing w:before="1"/>
        <w:ind w:left="140" w:right="2099"/>
        <w:rPr>
          <w:rFonts w:ascii="Arial" w:hAnsi="Arial" w:cs="Arial"/>
          <w:w w:val="110"/>
        </w:rPr>
      </w:pPr>
      <w:r>
        <w:rPr>
          <w:rFonts w:ascii="Arial" w:hAnsi="Arial" w:cs="Arial"/>
          <w:w w:val="110"/>
        </w:rPr>
        <w:t xml:space="preserve">Vin </w:t>
      </w:r>
      <w:proofErr w:type="spellStart"/>
      <w:r>
        <w:rPr>
          <w:rFonts w:ascii="Arial" w:hAnsi="Arial" w:cs="Arial"/>
          <w:w w:val="110"/>
        </w:rPr>
        <w:t>Marinaro</w:t>
      </w:r>
      <w:proofErr w:type="spellEnd"/>
    </w:p>
    <w:p w:rsidR="002C5025" w:rsidRDefault="002C5025">
      <w:pPr>
        <w:pStyle w:val="BodyText"/>
        <w:kinsoku w:val="0"/>
        <w:overflowPunct w:val="0"/>
        <w:spacing w:before="56"/>
        <w:ind w:left="155" w:right="-1"/>
        <w:rPr>
          <w:rFonts w:ascii="Arial" w:hAnsi="Arial" w:cs="Arial"/>
          <w:w w:val="104"/>
        </w:rPr>
      </w:pPr>
      <w:r>
        <w:rPr>
          <w:rFonts w:ascii="Arial" w:hAnsi="Arial" w:cs="Arial"/>
          <w:w w:val="107"/>
        </w:rPr>
        <w:t>P</w:t>
      </w:r>
      <w:r>
        <w:rPr>
          <w:rFonts w:ascii="Arial" w:hAnsi="Arial" w:cs="Arial"/>
          <w:spacing w:val="-17"/>
          <w:w w:val="107"/>
        </w:rPr>
        <w:t>i</w:t>
      </w:r>
      <w:r>
        <w:rPr>
          <w:rFonts w:ascii="Arial" w:hAnsi="Arial" w:cs="Arial"/>
          <w:w w:val="119"/>
        </w:rPr>
        <w:t>ttsfie</w:t>
      </w:r>
      <w:r>
        <w:rPr>
          <w:rFonts w:ascii="Arial" w:hAnsi="Arial" w:cs="Arial"/>
          <w:spacing w:val="11"/>
          <w:w w:val="119"/>
        </w:rPr>
        <w:t>l</w:t>
      </w:r>
      <w:r>
        <w:rPr>
          <w:rFonts w:ascii="Arial" w:hAnsi="Arial" w:cs="Arial"/>
          <w:w w:val="106"/>
        </w:rPr>
        <w:t>d</w:t>
      </w:r>
      <w:r>
        <w:rPr>
          <w:rFonts w:ascii="Arial" w:hAnsi="Arial" w:cs="Arial"/>
          <w:spacing w:val="-5"/>
        </w:rPr>
        <w:t xml:space="preserve"> </w:t>
      </w:r>
      <w:r>
        <w:rPr>
          <w:rFonts w:ascii="Arial" w:hAnsi="Arial" w:cs="Arial"/>
        </w:rPr>
        <w:t>Council</w:t>
      </w:r>
      <w:r>
        <w:rPr>
          <w:rFonts w:ascii="Arial" w:hAnsi="Arial" w:cs="Arial"/>
          <w:spacing w:val="-3"/>
        </w:rPr>
        <w:t xml:space="preserve"> </w:t>
      </w:r>
      <w:r>
        <w:rPr>
          <w:rFonts w:ascii="Arial" w:hAnsi="Arial" w:cs="Arial"/>
          <w:w w:val="110"/>
        </w:rPr>
        <w:t>on</w:t>
      </w:r>
      <w:r>
        <w:rPr>
          <w:rFonts w:ascii="Arial" w:hAnsi="Arial" w:cs="Arial"/>
          <w:spacing w:val="-16"/>
        </w:rPr>
        <w:t xml:space="preserve"> </w:t>
      </w:r>
      <w:r>
        <w:rPr>
          <w:rFonts w:ascii="Arial" w:hAnsi="Arial" w:cs="Arial"/>
          <w:w w:val="99"/>
        </w:rPr>
        <w:t>A</w:t>
      </w:r>
      <w:r>
        <w:rPr>
          <w:rFonts w:ascii="Arial" w:hAnsi="Arial" w:cs="Arial"/>
          <w:spacing w:val="-3"/>
          <w:w w:val="99"/>
        </w:rPr>
        <w:t>g</w:t>
      </w:r>
      <w:r>
        <w:rPr>
          <w:rFonts w:ascii="Arial" w:hAnsi="Arial" w:cs="Arial"/>
          <w:spacing w:val="-44"/>
          <w:w w:val="220"/>
        </w:rPr>
        <w:t>i</w:t>
      </w:r>
      <w:r>
        <w:rPr>
          <w:rFonts w:ascii="Arial" w:hAnsi="Arial" w:cs="Arial"/>
          <w:w w:val="104"/>
        </w:rPr>
        <w:t>ng</w:t>
      </w:r>
    </w:p>
    <w:p w:rsidR="002C5025" w:rsidRDefault="002C5025">
      <w:pPr>
        <w:pStyle w:val="BodyText"/>
        <w:kinsoku w:val="0"/>
        <w:overflowPunct w:val="0"/>
        <w:rPr>
          <w:rFonts w:ascii="Arial" w:hAnsi="Arial" w:cs="Arial"/>
        </w:rPr>
      </w:pPr>
    </w:p>
    <w:p w:rsidR="002C5025" w:rsidRDefault="002C5025">
      <w:pPr>
        <w:pStyle w:val="BodyText"/>
        <w:kinsoku w:val="0"/>
        <w:overflowPunct w:val="0"/>
        <w:rPr>
          <w:rFonts w:ascii="Arial" w:hAnsi="Arial" w:cs="Arial"/>
        </w:rPr>
      </w:pPr>
    </w:p>
    <w:p w:rsidR="002C5025" w:rsidRDefault="002C5025">
      <w:pPr>
        <w:pStyle w:val="BodyText"/>
        <w:kinsoku w:val="0"/>
        <w:overflowPunct w:val="0"/>
        <w:spacing w:before="155"/>
        <w:ind w:left="147" w:right="2099"/>
        <w:rPr>
          <w:rFonts w:ascii="Arial" w:hAnsi="Arial" w:cs="Arial"/>
        </w:rPr>
      </w:pPr>
      <w:r>
        <w:rPr>
          <w:rFonts w:ascii="Arial" w:hAnsi="Arial" w:cs="Arial"/>
        </w:rPr>
        <w:t xml:space="preserve">Leslie </w:t>
      </w:r>
      <w:proofErr w:type="spellStart"/>
      <w:r>
        <w:rPr>
          <w:rFonts w:ascii="Arial" w:hAnsi="Arial" w:cs="Arial"/>
        </w:rPr>
        <w:t>Scheer</w:t>
      </w:r>
      <w:proofErr w:type="spellEnd"/>
    </w:p>
    <w:p w:rsidR="002C5025" w:rsidRDefault="002C5025">
      <w:pPr>
        <w:pStyle w:val="BodyText"/>
        <w:kinsoku w:val="0"/>
        <w:overflowPunct w:val="0"/>
        <w:spacing w:before="56"/>
        <w:ind w:left="147" w:right="-1"/>
        <w:rPr>
          <w:rFonts w:ascii="Arial" w:hAnsi="Arial" w:cs="Arial"/>
          <w:spacing w:val="-7"/>
          <w:w w:val="105"/>
        </w:rPr>
      </w:pPr>
      <w:r>
        <w:rPr>
          <w:rFonts w:ascii="Arial" w:hAnsi="Arial" w:cs="Arial"/>
          <w:w w:val="105"/>
        </w:rPr>
        <w:t>Elder</w:t>
      </w:r>
      <w:r>
        <w:rPr>
          <w:rFonts w:ascii="Arial" w:hAnsi="Arial" w:cs="Arial"/>
          <w:spacing w:val="-16"/>
          <w:w w:val="105"/>
        </w:rPr>
        <w:t xml:space="preserve"> </w:t>
      </w:r>
      <w:r>
        <w:rPr>
          <w:rFonts w:ascii="Arial" w:hAnsi="Arial" w:cs="Arial"/>
          <w:w w:val="105"/>
        </w:rPr>
        <w:t>Services</w:t>
      </w:r>
      <w:r>
        <w:rPr>
          <w:rFonts w:ascii="Arial" w:hAnsi="Arial" w:cs="Arial"/>
          <w:spacing w:val="-17"/>
          <w:w w:val="105"/>
        </w:rPr>
        <w:t xml:space="preserve"> </w:t>
      </w:r>
      <w:r>
        <w:rPr>
          <w:rFonts w:ascii="Arial" w:hAnsi="Arial" w:cs="Arial"/>
          <w:w w:val="105"/>
        </w:rPr>
        <w:t>of</w:t>
      </w:r>
      <w:r>
        <w:rPr>
          <w:rFonts w:ascii="Arial" w:hAnsi="Arial" w:cs="Arial"/>
          <w:spacing w:val="-12"/>
          <w:w w:val="105"/>
        </w:rPr>
        <w:t xml:space="preserve"> </w:t>
      </w:r>
      <w:r>
        <w:rPr>
          <w:rFonts w:ascii="Arial" w:hAnsi="Arial" w:cs="Arial"/>
          <w:w w:val="105"/>
        </w:rPr>
        <w:t>Cape</w:t>
      </w:r>
      <w:r>
        <w:rPr>
          <w:rFonts w:ascii="Arial" w:hAnsi="Arial" w:cs="Arial"/>
          <w:spacing w:val="-17"/>
          <w:w w:val="105"/>
        </w:rPr>
        <w:t xml:space="preserve"> </w:t>
      </w:r>
      <w:r>
        <w:rPr>
          <w:rFonts w:ascii="Arial" w:hAnsi="Arial" w:cs="Arial"/>
          <w:w w:val="105"/>
        </w:rPr>
        <w:t>Cod</w:t>
      </w:r>
      <w:r>
        <w:rPr>
          <w:rFonts w:ascii="Arial" w:hAnsi="Arial" w:cs="Arial"/>
          <w:spacing w:val="-11"/>
          <w:w w:val="105"/>
        </w:rPr>
        <w:t xml:space="preserve"> </w:t>
      </w:r>
      <w:r>
        <w:rPr>
          <w:rFonts w:ascii="Arial" w:hAnsi="Arial" w:cs="Arial"/>
          <w:w w:val="105"/>
        </w:rPr>
        <w:t>and</w:t>
      </w:r>
      <w:r>
        <w:rPr>
          <w:rFonts w:ascii="Arial" w:hAnsi="Arial" w:cs="Arial"/>
          <w:spacing w:val="24"/>
          <w:w w:val="105"/>
        </w:rPr>
        <w:t xml:space="preserve"> </w:t>
      </w:r>
      <w:r>
        <w:rPr>
          <w:rFonts w:ascii="Arial" w:hAnsi="Arial" w:cs="Arial"/>
          <w:w w:val="105"/>
        </w:rPr>
        <w:t>the</w:t>
      </w:r>
      <w:r>
        <w:rPr>
          <w:rFonts w:ascii="Arial" w:hAnsi="Arial" w:cs="Arial"/>
          <w:spacing w:val="-4"/>
          <w:w w:val="105"/>
        </w:rPr>
        <w:t xml:space="preserve"> </w:t>
      </w:r>
      <w:r>
        <w:rPr>
          <w:rFonts w:ascii="Arial" w:hAnsi="Arial" w:cs="Arial"/>
          <w:spacing w:val="-7"/>
          <w:w w:val="105"/>
        </w:rPr>
        <w:t>Islands</w:t>
      </w:r>
    </w:p>
    <w:p w:rsidR="002C5025" w:rsidRDefault="002C5025">
      <w:pPr>
        <w:pStyle w:val="BodyText"/>
        <w:kinsoku w:val="0"/>
        <w:overflowPunct w:val="0"/>
        <w:rPr>
          <w:rFonts w:ascii="Arial" w:hAnsi="Arial" w:cs="Arial"/>
        </w:rPr>
      </w:pPr>
    </w:p>
    <w:p w:rsidR="002C5025" w:rsidRDefault="002C5025">
      <w:pPr>
        <w:pStyle w:val="BodyText"/>
        <w:kinsoku w:val="0"/>
        <w:overflowPunct w:val="0"/>
        <w:rPr>
          <w:rFonts w:ascii="Arial" w:hAnsi="Arial" w:cs="Arial"/>
        </w:rPr>
      </w:pPr>
    </w:p>
    <w:p w:rsidR="002C5025" w:rsidRDefault="002C5025">
      <w:pPr>
        <w:pStyle w:val="BodyText"/>
        <w:kinsoku w:val="0"/>
        <w:overflowPunct w:val="0"/>
        <w:spacing w:before="155" w:line="292" w:lineRule="auto"/>
        <w:ind w:left="126" w:right="2099" w:firstLine="14"/>
        <w:rPr>
          <w:rFonts w:ascii="Arial" w:hAnsi="Arial" w:cs="Arial"/>
          <w:w w:val="105"/>
        </w:rPr>
      </w:pPr>
      <w:r>
        <w:rPr>
          <w:rFonts w:ascii="Arial" w:hAnsi="Arial" w:cs="Arial"/>
          <w:w w:val="110"/>
        </w:rPr>
        <w:t xml:space="preserve">Scott </w:t>
      </w:r>
      <w:proofErr w:type="spellStart"/>
      <w:r>
        <w:rPr>
          <w:rFonts w:ascii="Arial" w:hAnsi="Arial" w:cs="Arial"/>
          <w:w w:val="110"/>
        </w:rPr>
        <w:t>M.Trenti</w:t>
      </w:r>
      <w:proofErr w:type="spellEnd"/>
      <w:r>
        <w:rPr>
          <w:rFonts w:ascii="Arial" w:hAnsi="Arial" w:cs="Arial"/>
          <w:w w:val="110"/>
        </w:rPr>
        <w:t xml:space="preserve"> </w:t>
      </w:r>
      <w:proofErr w:type="spellStart"/>
      <w:r>
        <w:rPr>
          <w:rFonts w:ascii="Arial" w:hAnsi="Arial" w:cs="Arial"/>
          <w:w w:val="105"/>
        </w:rPr>
        <w:t>SeniorCare</w:t>
      </w:r>
      <w:proofErr w:type="spellEnd"/>
      <w:r>
        <w:rPr>
          <w:rFonts w:ascii="Arial" w:hAnsi="Arial" w:cs="Arial"/>
          <w:w w:val="105"/>
        </w:rPr>
        <w:t xml:space="preserve"> </w:t>
      </w:r>
      <w:proofErr w:type="spellStart"/>
      <w:r>
        <w:rPr>
          <w:rFonts w:ascii="Arial" w:hAnsi="Arial" w:cs="Arial"/>
          <w:w w:val="105"/>
        </w:rPr>
        <w:t>Inc</w:t>
      </w:r>
      <w:proofErr w:type="spellEnd"/>
    </w:p>
    <w:p w:rsidR="002C5025" w:rsidRDefault="002C5025">
      <w:pPr>
        <w:pStyle w:val="BodyText"/>
        <w:kinsoku w:val="0"/>
        <w:overflowPunct w:val="0"/>
        <w:spacing w:before="10"/>
        <w:rPr>
          <w:rFonts w:ascii="Arial" w:hAnsi="Arial" w:cs="Arial"/>
          <w:sz w:val="25"/>
          <w:szCs w:val="25"/>
        </w:rPr>
      </w:pPr>
    </w:p>
    <w:p w:rsidR="002C5025" w:rsidRDefault="002C5025">
      <w:pPr>
        <w:pStyle w:val="BodyText"/>
        <w:kinsoku w:val="0"/>
        <w:overflowPunct w:val="0"/>
        <w:ind w:left="126" w:right="2099"/>
        <w:rPr>
          <w:rFonts w:ascii="Arial" w:hAnsi="Arial" w:cs="Arial"/>
          <w:w w:val="105"/>
        </w:rPr>
      </w:pPr>
      <w:r>
        <w:rPr>
          <w:rFonts w:ascii="Arial" w:hAnsi="Arial" w:cs="Arial"/>
          <w:w w:val="105"/>
        </w:rPr>
        <w:t xml:space="preserve">Jennifer </w:t>
      </w:r>
      <w:proofErr w:type="spellStart"/>
      <w:r>
        <w:rPr>
          <w:rFonts w:ascii="Arial" w:hAnsi="Arial" w:cs="Arial"/>
          <w:w w:val="105"/>
        </w:rPr>
        <w:t>Goewey</w:t>
      </w:r>
      <w:proofErr w:type="spellEnd"/>
      <w:r>
        <w:rPr>
          <w:rFonts w:ascii="Arial" w:hAnsi="Arial" w:cs="Arial"/>
          <w:w w:val="105"/>
        </w:rPr>
        <w:t>,</w:t>
      </w:r>
    </w:p>
    <w:p w:rsidR="002C5025" w:rsidRDefault="002C5025">
      <w:pPr>
        <w:pStyle w:val="BodyText"/>
        <w:kinsoku w:val="0"/>
        <w:overflowPunct w:val="0"/>
        <w:spacing w:before="39"/>
        <w:ind w:left="133" w:right="-12"/>
        <w:rPr>
          <w:rFonts w:ascii="Arial" w:hAnsi="Arial" w:cs="Arial"/>
          <w:spacing w:val="3"/>
          <w:w w:val="105"/>
        </w:rPr>
      </w:pPr>
      <w:r>
        <w:rPr>
          <w:rFonts w:ascii="Arial" w:hAnsi="Arial" w:cs="Arial"/>
          <w:w w:val="105"/>
        </w:rPr>
        <w:t>Sheffield</w:t>
      </w:r>
      <w:r>
        <w:rPr>
          <w:rFonts w:ascii="Arial" w:hAnsi="Arial" w:cs="Arial"/>
          <w:spacing w:val="-22"/>
          <w:w w:val="105"/>
        </w:rPr>
        <w:t xml:space="preserve"> </w:t>
      </w:r>
      <w:r>
        <w:rPr>
          <w:rFonts w:ascii="Arial" w:hAnsi="Arial" w:cs="Arial"/>
          <w:w w:val="105"/>
        </w:rPr>
        <w:t>Senior</w:t>
      </w:r>
      <w:r>
        <w:rPr>
          <w:rFonts w:ascii="Arial" w:hAnsi="Arial" w:cs="Arial"/>
          <w:spacing w:val="-6"/>
          <w:w w:val="105"/>
        </w:rPr>
        <w:t xml:space="preserve"> </w:t>
      </w:r>
      <w:r>
        <w:rPr>
          <w:rFonts w:ascii="Arial" w:hAnsi="Arial" w:cs="Arial"/>
          <w:w w:val="105"/>
        </w:rPr>
        <w:t>Center</w:t>
      </w:r>
      <w:r>
        <w:rPr>
          <w:rFonts w:ascii="Arial" w:hAnsi="Arial" w:cs="Arial"/>
          <w:spacing w:val="-3"/>
          <w:w w:val="105"/>
        </w:rPr>
        <w:t xml:space="preserve"> </w:t>
      </w:r>
      <w:r>
        <w:rPr>
          <w:rFonts w:ascii="Times New Roman" w:hAnsi="Times New Roman" w:cs="Times New Roman"/>
          <w:w w:val="105"/>
          <w:sz w:val="24"/>
          <w:szCs w:val="24"/>
        </w:rPr>
        <w:t>&amp;</w:t>
      </w:r>
      <w:r>
        <w:rPr>
          <w:rFonts w:ascii="Times New Roman" w:hAnsi="Times New Roman" w:cs="Times New Roman"/>
          <w:spacing w:val="-9"/>
          <w:w w:val="105"/>
          <w:sz w:val="24"/>
          <w:szCs w:val="24"/>
        </w:rPr>
        <w:t xml:space="preserve"> </w:t>
      </w:r>
      <w:r>
        <w:rPr>
          <w:rFonts w:ascii="Arial" w:hAnsi="Arial" w:cs="Arial"/>
          <w:w w:val="105"/>
        </w:rPr>
        <w:t>Council</w:t>
      </w:r>
      <w:r>
        <w:rPr>
          <w:rFonts w:ascii="Arial" w:hAnsi="Arial" w:cs="Arial"/>
          <w:spacing w:val="-5"/>
          <w:w w:val="105"/>
        </w:rPr>
        <w:t xml:space="preserve"> </w:t>
      </w:r>
      <w:r>
        <w:rPr>
          <w:rFonts w:ascii="Arial" w:hAnsi="Arial" w:cs="Arial"/>
          <w:w w:val="105"/>
        </w:rPr>
        <w:t>on</w:t>
      </w:r>
      <w:r>
        <w:rPr>
          <w:rFonts w:ascii="Arial" w:hAnsi="Arial" w:cs="Arial"/>
          <w:spacing w:val="-24"/>
          <w:w w:val="105"/>
        </w:rPr>
        <w:t xml:space="preserve"> </w:t>
      </w:r>
      <w:r>
        <w:rPr>
          <w:rFonts w:ascii="Arial" w:hAnsi="Arial" w:cs="Arial"/>
          <w:spacing w:val="3"/>
          <w:w w:val="105"/>
        </w:rPr>
        <w:t>Aging</w:t>
      </w:r>
    </w:p>
    <w:p w:rsidR="002C5025" w:rsidRDefault="002C5025">
      <w:pPr>
        <w:pStyle w:val="BodyText"/>
        <w:kinsoku w:val="0"/>
        <w:overflowPunct w:val="0"/>
        <w:spacing w:before="1"/>
        <w:rPr>
          <w:rFonts w:ascii="Arial" w:hAnsi="Arial" w:cs="Arial"/>
          <w:sz w:val="30"/>
          <w:szCs w:val="30"/>
        </w:rPr>
      </w:pPr>
    </w:p>
    <w:p w:rsidR="002C5025" w:rsidRDefault="002C5025">
      <w:pPr>
        <w:pStyle w:val="BodyText"/>
        <w:kinsoku w:val="0"/>
        <w:overflowPunct w:val="0"/>
        <w:spacing w:line="292" w:lineRule="auto"/>
        <w:ind w:left="140" w:right="2223"/>
        <w:rPr>
          <w:rFonts w:ascii="Arial" w:hAnsi="Arial" w:cs="Arial"/>
          <w:w w:val="105"/>
        </w:rPr>
      </w:pPr>
      <w:r>
        <w:rPr>
          <w:rFonts w:ascii="Arial" w:hAnsi="Arial" w:cs="Arial"/>
          <w:w w:val="105"/>
        </w:rPr>
        <w:t xml:space="preserve">Nancy Munson Bristol </w:t>
      </w:r>
      <w:r>
        <w:rPr>
          <w:rFonts w:ascii="Arial" w:hAnsi="Arial" w:cs="Arial"/>
          <w:spacing w:val="-3"/>
          <w:w w:val="105"/>
        </w:rPr>
        <w:t xml:space="preserve">Elder </w:t>
      </w:r>
      <w:r>
        <w:rPr>
          <w:rFonts w:ascii="Arial" w:hAnsi="Arial" w:cs="Arial"/>
          <w:w w:val="105"/>
        </w:rPr>
        <w:t>Services</w:t>
      </w:r>
    </w:p>
    <w:p w:rsidR="002C5025" w:rsidRDefault="002C5025">
      <w:pPr>
        <w:pStyle w:val="BodyText"/>
        <w:kinsoku w:val="0"/>
        <w:overflowPunct w:val="0"/>
        <w:spacing w:before="5"/>
        <w:rPr>
          <w:rFonts w:ascii="Arial" w:hAnsi="Arial" w:cs="Arial"/>
          <w:sz w:val="26"/>
          <w:szCs w:val="26"/>
        </w:rPr>
      </w:pPr>
    </w:p>
    <w:p w:rsidR="002C5025" w:rsidRDefault="002C5025">
      <w:pPr>
        <w:pStyle w:val="BodyText"/>
        <w:kinsoku w:val="0"/>
        <w:overflowPunct w:val="0"/>
        <w:spacing w:before="1"/>
        <w:ind w:left="140" w:right="2099"/>
        <w:rPr>
          <w:rFonts w:ascii="Arial" w:hAnsi="Arial" w:cs="Arial"/>
          <w:w w:val="105"/>
        </w:rPr>
      </w:pPr>
      <w:r>
        <w:rPr>
          <w:rFonts w:ascii="Arial" w:hAnsi="Arial" w:cs="Arial"/>
          <w:w w:val="105"/>
        </w:rPr>
        <w:t>Rosanne Distefano</w:t>
      </w:r>
    </w:p>
    <w:p w:rsidR="002C5025" w:rsidRDefault="002C5025">
      <w:pPr>
        <w:pStyle w:val="BodyText"/>
        <w:kinsoku w:val="0"/>
        <w:overflowPunct w:val="0"/>
        <w:spacing w:before="49"/>
        <w:ind w:left="140" w:right="-1"/>
        <w:rPr>
          <w:rFonts w:ascii="Arial" w:hAnsi="Arial" w:cs="Arial"/>
          <w:w w:val="105"/>
        </w:rPr>
      </w:pPr>
      <w:r>
        <w:rPr>
          <w:rFonts w:ascii="Arial" w:hAnsi="Arial" w:cs="Arial"/>
          <w:w w:val="105"/>
        </w:rPr>
        <w:t>Elder Services of Merrimack Valley</w:t>
      </w:r>
    </w:p>
    <w:p w:rsidR="002C5025" w:rsidRDefault="002C5025">
      <w:pPr>
        <w:pStyle w:val="BodyText"/>
        <w:kinsoku w:val="0"/>
        <w:overflowPunct w:val="0"/>
        <w:spacing w:before="9"/>
        <w:rPr>
          <w:rFonts w:ascii="Arial" w:hAnsi="Arial" w:cs="Arial"/>
          <w:sz w:val="31"/>
          <w:szCs w:val="31"/>
        </w:rPr>
      </w:pPr>
    </w:p>
    <w:p w:rsidR="002C5025" w:rsidRDefault="002C5025">
      <w:pPr>
        <w:pStyle w:val="BodyText"/>
        <w:kinsoku w:val="0"/>
        <w:overflowPunct w:val="0"/>
        <w:ind w:left="140" w:right="2099"/>
        <w:rPr>
          <w:rFonts w:ascii="Arial" w:hAnsi="Arial" w:cs="Arial"/>
          <w:w w:val="105"/>
        </w:rPr>
      </w:pPr>
      <w:proofErr w:type="spellStart"/>
      <w:r>
        <w:rPr>
          <w:rFonts w:ascii="Arial" w:hAnsi="Arial" w:cs="Arial"/>
          <w:w w:val="105"/>
        </w:rPr>
        <w:t>Foluso</w:t>
      </w:r>
      <w:proofErr w:type="spellEnd"/>
      <w:r>
        <w:rPr>
          <w:rFonts w:ascii="Arial" w:hAnsi="Arial" w:cs="Arial"/>
          <w:w w:val="105"/>
        </w:rPr>
        <w:t xml:space="preserve"> </w:t>
      </w:r>
      <w:proofErr w:type="spellStart"/>
      <w:r>
        <w:rPr>
          <w:rFonts w:ascii="Arial" w:hAnsi="Arial" w:cs="Arial"/>
          <w:w w:val="105"/>
        </w:rPr>
        <w:t>Olubanjo</w:t>
      </w:r>
      <w:proofErr w:type="spellEnd"/>
    </w:p>
    <w:p w:rsidR="002C5025" w:rsidRDefault="002C5025">
      <w:pPr>
        <w:pStyle w:val="BodyText"/>
        <w:kinsoku w:val="0"/>
        <w:overflowPunct w:val="0"/>
        <w:spacing w:before="49"/>
        <w:ind w:left="126" w:right="-1"/>
        <w:rPr>
          <w:rFonts w:ascii="Arial" w:hAnsi="Arial" w:cs="Arial"/>
          <w:w w:val="105"/>
        </w:rPr>
      </w:pPr>
      <w:r>
        <w:rPr>
          <w:rFonts w:ascii="Arial" w:hAnsi="Arial" w:cs="Arial"/>
          <w:w w:val="105"/>
        </w:rPr>
        <w:t>Seraphic Springs Health Care</w:t>
      </w:r>
    </w:p>
    <w:p w:rsidR="002C5025" w:rsidRDefault="002C5025">
      <w:pPr>
        <w:pStyle w:val="BodyText"/>
        <w:kinsoku w:val="0"/>
        <w:overflowPunct w:val="0"/>
        <w:spacing w:before="2"/>
        <w:rPr>
          <w:rFonts w:ascii="Arial" w:hAnsi="Arial" w:cs="Arial"/>
          <w:sz w:val="31"/>
          <w:szCs w:val="31"/>
        </w:rPr>
      </w:pPr>
    </w:p>
    <w:p w:rsidR="002C5025" w:rsidRDefault="002C5025">
      <w:pPr>
        <w:pStyle w:val="BodyText"/>
        <w:kinsoku w:val="0"/>
        <w:overflowPunct w:val="0"/>
        <w:ind w:left="140" w:right="2099"/>
        <w:rPr>
          <w:rFonts w:ascii="Arial" w:hAnsi="Arial" w:cs="Arial"/>
          <w:w w:val="105"/>
        </w:rPr>
      </w:pPr>
      <w:r>
        <w:rPr>
          <w:rFonts w:ascii="Arial" w:hAnsi="Arial" w:cs="Arial"/>
          <w:w w:val="105"/>
        </w:rPr>
        <w:t>Lorna Gayle</w:t>
      </w:r>
    </w:p>
    <w:p w:rsidR="002C5025" w:rsidRDefault="002C5025">
      <w:pPr>
        <w:pStyle w:val="BodyText"/>
        <w:kinsoku w:val="0"/>
        <w:overflowPunct w:val="0"/>
        <w:spacing w:before="56"/>
        <w:ind w:left="133" w:right="-1"/>
        <w:rPr>
          <w:rFonts w:ascii="Arial" w:hAnsi="Arial" w:cs="Arial"/>
          <w:w w:val="105"/>
        </w:rPr>
      </w:pPr>
      <w:proofErr w:type="spellStart"/>
      <w:r>
        <w:rPr>
          <w:rFonts w:ascii="Arial" w:hAnsi="Arial" w:cs="Arial"/>
          <w:w w:val="105"/>
        </w:rPr>
        <w:t>Lanesborough</w:t>
      </w:r>
      <w:proofErr w:type="spellEnd"/>
      <w:r>
        <w:rPr>
          <w:rFonts w:ascii="Arial" w:hAnsi="Arial" w:cs="Arial"/>
          <w:w w:val="105"/>
        </w:rPr>
        <w:t xml:space="preserve"> </w:t>
      </w:r>
      <w:proofErr w:type="spellStart"/>
      <w:r>
        <w:rPr>
          <w:rFonts w:ascii="Arial" w:hAnsi="Arial" w:cs="Arial"/>
          <w:w w:val="105"/>
        </w:rPr>
        <w:t>Councilon</w:t>
      </w:r>
      <w:proofErr w:type="spellEnd"/>
      <w:r>
        <w:rPr>
          <w:rFonts w:ascii="Arial" w:hAnsi="Arial" w:cs="Arial"/>
          <w:w w:val="105"/>
        </w:rPr>
        <w:t xml:space="preserve"> Aging</w:t>
      </w:r>
    </w:p>
    <w:p w:rsidR="002C5025" w:rsidRDefault="002C5025">
      <w:pPr>
        <w:pStyle w:val="BodyText"/>
        <w:kinsoku w:val="0"/>
        <w:overflowPunct w:val="0"/>
        <w:spacing w:before="6"/>
        <w:rPr>
          <w:rFonts w:ascii="Arial" w:hAnsi="Arial" w:cs="Arial"/>
          <w:sz w:val="30"/>
          <w:szCs w:val="30"/>
        </w:rPr>
      </w:pPr>
    </w:p>
    <w:p w:rsidR="002C5025" w:rsidRDefault="002C5025">
      <w:pPr>
        <w:pStyle w:val="BodyText"/>
        <w:kinsoku w:val="0"/>
        <w:overflowPunct w:val="0"/>
        <w:spacing w:before="1" w:line="292" w:lineRule="auto"/>
        <w:ind w:left="133" w:right="2099"/>
        <w:rPr>
          <w:rFonts w:ascii="Arial" w:hAnsi="Arial" w:cs="Arial"/>
          <w:w w:val="105"/>
        </w:rPr>
      </w:pPr>
      <w:r>
        <w:rPr>
          <w:rFonts w:ascii="Arial" w:hAnsi="Arial" w:cs="Arial"/>
          <w:w w:val="105"/>
        </w:rPr>
        <w:t>Mary Jean McDermott HESSCO</w:t>
      </w:r>
    </w:p>
    <w:p w:rsidR="002C5025" w:rsidRDefault="002C5025">
      <w:pPr>
        <w:pStyle w:val="BodyText"/>
        <w:kinsoku w:val="0"/>
        <w:overflowPunct w:val="0"/>
        <w:spacing w:before="7"/>
        <w:rPr>
          <w:rFonts w:ascii="Arial" w:hAnsi="Arial" w:cs="Arial"/>
          <w:sz w:val="24"/>
          <w:szCs w:val="24"/>
        </w:rPr>
      </w:pPr>
    </w:p>
    <w:p w:rsidR="002C5025" w:rsidRDefault="002C5025">
      <w:pPr>
        <w:pStyle w:val="BodyText"/>
        <w:kinsoku w:val="0"/>
        <w:overflowPunct w:val="0"/>
        <w:ind w:left="133" w:right="2099"/>
        <w:rPr>
          <w:rFonts w:ascii="Arial" w:hAnsi="Arial" w:cs="Arial"/>
          <w:w w:val="105"/>
        </w:rPr>
      </w:pPr>
      <w:r>
        <w:rPr>
          <w:rFonts w:ascii="Arial" w:hAnsi="Arial" w:cs="Arial"/>
          <w:w w:val="105"/>
        </w:rPr>
        <w:t xml:space="preserve">David </w:t>
      </w:r>
      <w:proofErr w:type="spellStart"/>
      <w:r>
        <w:rPr>
          <w:rFonts w:ascii="Arial" w:hAnsi="Arial" w:cs="Arial"/>
          <w:w w:val="105"/>
        </w:rPr>
        <w:t>Hedison</w:t>
      </w:r>
      <w:proofErr w:type="spellEnd"/>
    </w:p>
    <w:p w:rsidR="002C5025" w:rsidRDefault="002C5025">
      <w:pPr>
        <w:pStyle w:val="BodyText"/>
        <w:kinsoku w:val="0"/>
        <w:overflowPunct w:val="0"/>
        <w:spacing w:before="49" w:line="580" w:lineRule="auto"/>
        <w:ind w:left="119" w:right="747" w:firstLine="7"/>
        <w:rPr>
          <w:rFonts w:ascii="Arial" w:hAnsi="Arial" w:cs="Arial"/>
        </w:rPr>
      </w:pPr>
      <w:r>
        <w:rPr>
          <w:rFonts w:ascii="Arial" w:hAnsi="Arial" w:cs="Arial"/>
          <w:w w:val="105"/>
        </w:rPr>
        <w:t xml:space="preserve">Chelmsford Housing Authority </w:t>
      </w:r>
      <w:r>
        <w:rPr>
          <w:rFonts w:ascii="Arial" w:hAnsi="Arial" w:cs="Arial"/>
        </w:rPr>
        <w:t xml:space="preserve">Susan </w:t>
      </w:r>
      <w:proofErr w:type="spellStart"/>
      <w:r>
        <w:rPr>
          <w:rFonts w:ascii="Arial" w:hAnsi="Arial" w:cs="Arial"/>
        </w:rPr>
        <w:t>Schwager</w:t>
      </w:r>
      <w:proofErr w:type="spellEnd"/>
    </w:p>
    <w:p w:rsidR="002C5025" w:rsidRDefault="002C5025">
      <w:pPr>
        <w:pStyle w:val="BodyText"/>
        <w:kinsoku w:val="0"/>
        <w:overflowPunct w:val="0"/>
        <w:spacing w:before="68"/>
        <w:ind w:left="183" w:right="1669"/>
        <w:rPr>
          <w:rFonts w:ascii="Arial" w:hAnsi="Arial" w:cs="Arial"/>
          <w:w w:val="105"/>
        </w:rPr>
      </w:pPr>
      <w:r>
        <w:rPr>
          <w:rFonts w:ascii="Times New Roman" w:hAnsi="Times New Roman" w:cs="Times New Roman"/>
          <w:sz w:val="24"/>
          <w:szCs w:val="24"/>
        </w:rPr>
        <w:br w:type="column"/>
      </w:r>
      <w:r>
        <w:rPr>
          <w:rFonts w:ascii="Arial" w:hAnsi="Arial" w:cs="Arial"/>
          <w:w w:val="105"/>
        </w:rPr>
        <w:lastRenderedPageBreak/>
        <w:t>North Andover Senior Center</w:t>
      </w:r>
    </w:p>
    <w:p w:rsidR="002C5025" w:rsidRDefault="002C5025">
      <w:pPr>
        <w:pStyle w:val="BodyText"/>
        <w:kinsoku w:val="0"/>
        <w:overflowPunct w:val="0"/>
        <w:rPr>
          <w:rFonts w:ascii="Arial" w:hAnsi="Arial" w:cs="Arial"/>
        </w:rPr>
      </w:pPr>
    </w:p>
    <w:p w:rsidR="002C5025" w:rsidRDefault="002C5025">
      <w:pPr>
        <w:pStyle w:val="BodyText"/>
        <w:kinsoku w:val="0"/>
        <w:overflowPunct w:val="0"/>
        <w:rPr>
          <w:rFonts w:ascii="Arial" w:hAnsi="Arial" w:cs="Arial"/>
        </w:rPr>
      </w:pPr>
    </w:p>
    <w:p w:rsidR="002C5025" w:rsidRDefault="002C5025">
      <w:pPr>
        <w:pStyle w:val="BodyText"/>
        <w:kinsoku w:val="0"/>
        <w:overflowPunct w:val="0"/>
        <w:spacing w:before="155"/>
        <w:ind w:left="256" w:right="3349"/>
        <w:jc w:val="center"/>
        <w:rPr>
          <w:rFonts w:ascii="Arial" w:hAnsi="Arial" w:cs="Arial"/>
        </w:rPr>
      </w:pPr>
      <w:r>
        <w:rPr>
          <w:rFonts w:ascii="Arial" w:hAnsi="Arial" w:cs="Arial"/>
        </w:rPr>
        <w:t>Jennifer Claro</w:t>
      </w:r>
    </w:p>
    <w:p w:rsidR="002C5025" w:rsidRDefault="002C5025">
      <w:pPr>
        <w:pStyle w:val="BodyText"/>
        <w:kinsoku w:val="0"/>
        <w:overflowPunct w:val="0"/>
        <w:spacing w:before="56"/>
        <w:ind w:left="140" w:right="1669"/>
        <w:rPr>
          <w:rFonts w:ascii="Arial" w:hAnsi="Arial" w:cs="Arial"/>
          <w:w w:val="105"/>
        </w:rPr>
      </w:pPr>
      <w:r>
        <w:rPr>
          <w:rFonts w:ascii="Arial" w:hAnsi="Arial" w:cs="Arial"/>
          <w:w w:val="105"/>
        </w:rPr>
        <w:t>Westfield Council On Aging</w:t>
      </w:r>
    </w:p>
    <w:p w:rsidR="002C5025" w:rsidRDefault="002C5025">
      <w:pPr>
        <w:pStyle w:val="BodyText"/>
        <w:kinsoku w:val="0"/>
        <w:overflowPunct w:val="0"/>
        <w:spacing w:before="2"/>
        <w:rPr>
          <w:rFonts w:ascii="Arial" w:hAnsi="Arial" w:cs="Arial"/>
          <w:sz w:val="31"/>
          <w:szCs w:val="31"/>
        </w:rPr>
      </w:pPr>
    </w:p>
    <w:p w:rsidR="002C5025" w:rsidRDefault="002C5025">
      <w:pPr>
        <w:pStyle w:val="BodyText"/>
        <w:kinsoku w:val="0"/>
        <w:overflowPunct w:val="0"/>
        <w:spacing w:line="288" w:lineRule="auto"/>
        <w:ind w:left="155" w:right="1669"/>
        <w:rPr>
          <w:rFonts w:ascii="Arial" w:hAnsi="Arial" w:cs="Arial"/>
          <w:w w:val="105"/>
        </w:rPr>
      </w:pPr>
      <w:r>
        <w:rPr>
          <w:rFonts w:ascii="Arial" w:hAnsi="Arial" w:cs="Arial"/>
          <w:w w:val="105"/>
        </w:rPr>
        <w:t xml:space="preserve">Roseann </w:t>
      </w:r>
      <w:proofErr w:type="spellStart"/>
      <w:r>
        <w:rPr>
          <w:rFonts w:ascii="Arial" w:hAnsi="Arial" w:cs="Arial"/>
          <w:w w:val="105"/>
        </w:rPr>
        <w:t>Robillard</w:t>
      </w:r>
      <w:proofErr w:type="spellEnd"/>
      <w:r>
        <w:rPr>
          <w:rFonts w:ascii="Arial" w:hAnsi="Arial" w:cs="Arial"/>
          <w:w w:val="105"/>
        </w:rPr>
        <w:t xml:space="preserve"> Newburyport Council On Aging</w:t>
      </w:r>
    </w:p>
    <w:p w:rsidR="002C5025" w:rsidRDefault="002C5025">
      <w:pPr>
        <w:pStyle w:val="BodyText"/>
        <w:kinsoku w:val="0"/>
        <w:overflowPunct w:val="0"/>
        <w:spacing w:before="10"/>
        <w:rPr>
          <w:rFonts w:ascii="Arial" w:hAnsi="Arial" w:cs="Arial"/>
          <w:sz w:val="26"/>
          <w:szCs w:val="26"/>
        </w:rPr>
      </w:pPr>
    </w:p>
    <w:p w:rsidR="002C5025" w:rsidRDefault="002C5025">
      <w:pPr>
        <w:pStyle w:val="BodyText"/>
        <w:kinsoku w:val="0"/>
        <w:overflowPunct w:val="0"/>
        <w:spacing w:before="1" w:line="288" w:lineRule="auto"/>
        <w:ind w:left="147" w:right="2075" w:firstLine="7"/>
        <w:rPr>
          <w:rFonts w:ascii="Arial" w:hAnsi="Arial" w:cs="Arial"/>
          <w:w w:val="105"/>
        </w:rPr>
      </w:pPr>
      <w:r>
        <w:rPr>
          <w:rFonts w:ascii="Arial" w:hAnsi="Arial" w:cs="Arial"/>
          <w:w w:val="105"/>
        </w:rPr>
        <w:t xml:space="preserve">Roseann </w:t>
      </w:r>
      <w:proofErr w:type="spellStart"/>
      <w:r>
        <w:rPr>
          <w:rFonts w:ascii="Arial" w:hAnsi="Arial" w:cs="Arial"/>
          <w:w w:val="105"/>
        </w:rPr>
        <w:t>Martoccia</w:t>
      </w:r>
      <w:proofErr w:type="spellEnd"/>
      <w:r>
        <w:rPr>
          <w:rFonts w:ascii="Arial" w:hAnsi="Arial" w:cs="Arial"/>
          <w:w w:val="105"/>
        </w:rPr>
        <w:t xml:space="preserve"> </w:t>
      </w:r>
      <w:r>
        <w:rPr>
          <w:rFonts w:ascii="Arial" w:hAnsi="Arial" w:cs="Arial"/>
          <w:spacing w:val="-3"/>
          <w:w w:val="105"/>
        </w:rPr>
        <w:t>Franklin</w:t>
      </w:r>
      <w:r>
        <w:rPr>
          <w:rFonts w:ascii="Arial" w:hAnsi="Arial" w:cs="Arial"/>
          <w:spacing w:val="-32"/>
          <w:w w:val="105"/>
        </w:rPr>
        <w:t xml:space="preserve"> </w:t>
      </w:r>
      <w:r>
        <w:rPr>
          <w:rFonts w:ascii="Arial" w:hAnsi="Arial" w:cs="Arial"/>
          <w:w w:val="105"/>
        </w:rPr>
        <w:t>County</w:t>
      </w:r>
      <w:r>
        <w:rPr>
          <w:rFonts w:ascii="Arial" w:hAnsi="Arial" w:cs="Arial"/>
          <w:spacing w:val="-8"/>
          <w:w w:val="105"/>
        </w:rPr>
        <w:t xml:space="preserve"> </w:t>
      </w:r>
      <w:r>
        <w:rPr>
          <w:rFonts w:ascii="Arial" w:hAnsi="Arial" w:cs="Arial"/>
          <w:w w:val="105"/>
        </w:rPr>
        <w:t>Home</w:t>
      </w:r>
      <w:r>
        <w:rPr>
          <w:rFonts w:ascii="Arial" w:hAnsi="Arial" w:cs="Arial"/>
          <w:spacing w:val="-26"/>
          <w:w w:val="105"/>
        </w:rPr>
        <w:t xml:space="preserve"> </w:t>
      </w:r>
      <w:r>
        <w:rPr>
          <w:rFonts w:ascii="Arial" w:hAnsi="Arial" w:cs="Arial"/>
          <w:w w:val="105"/>
        </w:rPr>
        <w:t>Care</w:t>
      </w:r>
    </w:p>
    <w:p w:rsidR="002C5025" w:rsidRDefault="002C5025">
      <w:pPr>
        <w:pStyle w:val="BodyText"/>
        <w:kinsoku w:val="0"/>
        <w:overflowPunct w:val="0"/>
        <w:spacing w:before="10"/>
        <w:rPr>
          <w:rFonts w:ascii="Arial" w:hAnsi="Arial" w:cs="Arial"/>
          <w:sz w:val="26"/>
          <w:szCs w:val="26"/>
        </w:rPr>
      </w:pPr>
    </w:p>
    <w:p w:rsidR="002C5025" w:rsidRDefault="002C5025">
      <w:pPr>
        <w:pStyle w:val="BodyText"/>
        <w:kinsoku w:val="0"/>
        <w:overflowPunct w:val="0"/>
        <w:spacing w:before="1"/>
        <w:ind w:left="147" w:right="1669"/>
        <w:rPr>
          <w:rFonts w:ascii="Arial" w:hAnsi="Arial" w:cs="Arial"/>
          <w:w w:val="105"/>
        </w:rPr>
      </w:pPr>
      <w:r>
        <w:rPr>
          <w:rFonts w:ascii="Arial" w:hAnsi="Arial" w:cs="Arial"/>
          <w:w w:val="105"/>
        </w:rPr>
        <w:t>Lynne Stanton</w:t>
      </w:r>
    </w:p>
    <w:p w:rsidR="002C5025" w:rsidRDefault="002C5025">
      <w:pPr>
        <w:pStyle w:val="BodyText"/>
        <w:kinsoku w:val="0"/>
        <w:overflowPunct w:val="0"/>
        <w:spacing w:before="56"/>
        <w:ind w:left="140" w:right="1669"/>
        <w:rPr>
          <w:rFonts w:ascii="Arial" w:hAnsi="Arial" w:cs="Arial"/>
          <w:w w:val="105"/>
        </w:rPr>
      </w:pPr>
      <w:r>
        <w:rPr>
          <w:rFonts w:ascii="Arial" w:hAnsi="Arial" w:cs="Arial"/>
          <w:w w:val="105"/>
        </w:rPr>
        <w:t>Groveland Council On Aging</w:t>
      </w:r>
    </w:p>
    <w:p w:rsidR="002C5025" w:rsidRDefault="002C5025">
      <w:pPr>
        <w:pStyle w:val="BodyText"/>
        <w:kinsoku w:val="0"/>
        <w:overflowPunct w:val="0"/>
        <w:rPr>
          <w:rFonts w:ascii="Arial" w:hAnsi="Arial" w:cs="Arial"/>
        </w:rPr>
      </w:pPr>
    </w:p>
    <w:p w:rsidR="002C5025" w:rsidRDefault="002C5025">
      <w:pPr>
        <w:pStyle w:val="BodyText"/>
        <w:kinsoku w:val="0"/>
        <w:overflowPunct w:val="0"/>
        <w:rPr>
          <w:rFonts w:ascii="Arial" w:hAnsi="Arial" w:cs="Arial"/>
        </w:rPr>
      </w:pPr>
    </w:p>
    <w:p w:rsidR="002C5025" w:rsidRDefault="002C5025">
      <w:pPr>
        <w:pStyle w:val="BodyText"/>
        <w:kinsoku w:val="0"/>
        <w:overflowPunct w:val="0"/>
        <w:spacing w:before="155" w:line="292" w:lineRule="auto"/>
        <w:ind w:left="147" w:right="2075"/>
        <w:rPr>
          <w:rFonts w:ascii="Arial" w:hAnsi="Arial" w:cs="Arial"/>
          <w:w w:val="105"/>
        </w:rPr>
      </w:pPr>
      <w:r>
        <w:rPr>
          <w:rFonts w:ascii="Arial" w:hAnsi="Arial" w:cs="Arial"/>
          <w:w w:val="105"/>
        </w:rPr>
        <w:t>Robert Schaeffer Multicultural Home Care</w:t>
      </w:r>
    </w:p>
    <w:p w:rsidR="002C5025" w:rsidRDefault="002C5025">
      <w:pPr>
        <w:pStyle w:val="BodyText"/>
        <w:kinsoku w:val="0"/>
        <w:overflowPunct w:val="0"/>
        <w:rPr>
          <w:rFonts w:ascii="Arial" w:hAnsi="Arial" w:cs="Arial"/>
        </w:rPr>
      </w:pPr>
    </w:p>
    <w:p w:rsidR="002C5025" w:rsidRDefault="002C5025">
      <w:pPr>
        <w:pStyle w:val="BodyText"/>
        <w:kinsoku w:val="0"/>
        <w:overflowPunct w:val="0"/>
        <w:spacing w:before="9"/>
        <w:rPr>
          <w:rFonts w:ascii="Arial" w:hAnsi="Arial" w:cs="Arial"/>
          <w:sz w:val="30"/>
          <w:szCs w:val="30"/>
        </w:rPr>
      </w:pPr>
    </w:p>
    <w:p w:rsidR="002C5025" w:rsidRDefault="002C5025">
      <w:pPr>
        <w:pStyle w:val="BodyText"/>
        <w:kinsoku w:val="0"/>
        <w:overflowPunct w:val="0"/>
        <w:spacing w:line="292" w:lineRule="auto"/>
        <w:ind w:left="147" w:right="3526"/>
        <w:rPr>
          <w:rFonts w:ascii="Arial" w:hAnsi="Arial" w:cs="Arial"/>
          <w:w w:val="105"/>
        </w:rPr>
      </w:pPr>
      <w:r>
        <w:rPr>
          <w:rFonts w:ascii="Arial" w:hAnsi="Arial" w:cs="Arial"/>
          <w:w w:val="105"/>
        </w:rPr>
        <w:t>Dale Mitchell Ethos</w:t>
      </w:r>
    </w:p>
    <w:p w:rsidR="002C5025" w:rsidRDefault="002C5025">
      <w:pPr>
        <w:pStyle w:val="BodyText"/>
        <w:kinsoku w:val="0"/>
        <w:overflowPunct w:val="0"/>
        <w:spacing w:before="10"/>
        <w:rPr>
          <w:rFonts w:ascii="Arial" w:hAnsi="Arial" w:cs="Arial"/>
          <w:sz w:val="25"/>
          <w:szCs w:val="25"/>
        </w:rPr>
      </w:pPr>
    </w:p>
    <w:p w:rsidR="002C5025" w:rsidRDefault="002C5025">
      <w:pPr>
        <w:pStyle w:val="BodyText"/>
        <w:kinsoku w:val="0"/>
        <w:overflowPunct w:val="0"/>
        <w:ind w:left="140" w:right="1669"/>
        <w:rPr>
          <w:rFonts w:ascii="Arial" w:hAnsi="Arial" w:cs="Arial"/>
        </w:rPr>
      </w:pPr>
      <w:proofErr w:type="spellStart"/>
      <w:r>
        <w:rPr>
          <w:rFonts w:ascii="Arial" w:hAnsi="Arial" w:cs="Arial"/>
        </w:rPr>
        <w:t>Rosaleen</w:t>
      </w:r>
      <w:proofErr w:type="spellEnd"/>
      <w:r>
        <w:rPr>
          <w:rFonts w:ascii="Arial" w:hAnsi="Arial" w:cs="Arial"/>
        </w:rPr>
        <w:t xml:space="preserve"> Doherty</w:t>
      </w:r>
    </w:p>
    <w:p w:rsidR="002C5025" w:rsidRDefault="002C5025">
      <w:pPr>
        <w:pStyle w:val="BodyText"/>
        <w:kinsoku w:val="0"/>
        <w:overflowPunct w:val="0"/>
        <w:spacing w:before="56"/>
        <w:ind w:left="140"/>
        <w:rPr>
          <w:rFonts w:ascii="Arial" w:hAnsi="Arial" w:cs="Arial"/>
          <w:w w:val="105"/>
        </w:rPr>
      </w:pPr>
      <w:r>
        <w:rPr>
          <w:rFonts w:ascii="Arial" w:hAnsi="Arial" w:cs="Arial"/>
          <w:w w:val="105"/>
        </w:rPr>
        <w:t>Right at Home Boston and North</w:t>
      </w:r>
    </w:p>
    <w:p w:rsidR="002C5025" w:rsidRDefault="002C5025">
      <w:pPr>
        <w:pStyle w:val="BodyText"/>
        <w:kinsoku w:val="0"/>
        <w:overflowPunct w:val="0"/>
        <w:spacing w:before="2"/>
        <w:rPr>
          <w:rFonts w:ascii="Arial" w:hAnsi="Arial" w:cs="Arial"/>
          <w:sz w:val="31"/>
          <w:szCs w:val="31"/>
        </w:rPr>
      </w:pPr>
    </w:p>
    <w:p w:rsidR="002C5025" w:rsidRDefault="002C5025">
      <w:pPr>
        <w:pStyle w:val="BodyText"/>
        <w:kinsoku w:val="0"/>
        <w:overflowPunct w:val="0"/>
        <w:ind w:left="133" w:right="1669"/>
        <w:rPr>
          <w:rFonts w:ascii="Arial" w:hAnsi="Arial" w:cs="Arial"/>
        </w:rPr>
      </w:pPr>
      <w:proofErr w:type="spellStart"/>
      <w:r>
        <w:rPr>
          <w:rFonts w:ascii="Arial" w:hAnsi="Arial" w:cs="Arial"/>
        </w:rPr>
        <w:t>Annmary</w:t>
      </w:r>
      <w:proofErr w:type="spellEnd"/>
      <w:r>
        <w:rPr>
          <w:rFonts w:ascii="Arial" w:hAnsi="Arial" w:cs="Arial"/>
          <w:spacing w:val="58"/>
        </w:rPr>
        <w:t xml:space="preserve"> </w:t>
      </w:r>
      <w:r>
        <w:rPr>
          <w:rFonts w:ascii="Arial" w:hAnsi="Arial" w:cs="Arial"/>
        </w:rPr>
        <w:t>Connor</w:t>
      </w:r>
    </w:p>
    <w:p w:rsidR="002C5025" w:rsidRDefault="002C5025">
      <w:pPr>
        <w:pStyle w:val="BodyText"/>
        <w:kinsoku w:val="0"/>
        <w:overflowPunct w:val="0"/>
        <w:spacing w:before="49"/>
        <w:ind w:left="126" w:right="1669"/>
        <w:rPr>
          <w:rFonts w:ascii="Arial" w:hAnsi="Arial" w:cs="Arial"/>
          <w:w w:val="105"/>
        </w:rPr>
      </w:pPr>
      <w:r>
        <w:rPr>
          <w:rFonts w:ascii="Arial" w:hAnsi="Arial" w:cs="Arial"/>
          <w:w w:val="105"/>
        </w:rPr>
        <w:t>Amesbury Council on Aging</w:t>
      </w:r>
    </w:p>
    <w:p w:rsidR="002C5025" w:rsidRDefault="002C5025">
      <w:pPr>
        <w:pStyle w:val="BodyText"/>
        <w:kinsoku w:val="0"/>
        <w:overflowPunct w:val="0"/>
        <w:spacing w:before="2"/>
        <w:rPr>
          <w:rFonts w:ascii="Arial" w:hAnsi="Arial" w:cs="Arial"/>
          <w:sz w:val="31"/>
          <w:szCs w:val="31"/>
        </w:rPr>
      </w:pPr>
    </w:p>
    <w:p w:rsidR="002C5025" w:rsidRDefault="002C5025">
      <w:pPr>
        <w:pStyle w:val="BodyText"/>
        <w:kinsoku w:val="0"/>
        <w:overflowPunct w:val="0"/>
        <w:ind w:left="140" w:right="1669"/>
        <w:rPr>
          <w:rFonts w:ascii="Arial" w:hAnsi="Arial" w:cs="Arial"/>
          <w:w w:val="105"/>
        </w:rPr>
      </w:pPr>
      <w:r>
        <w:rPr>
          <w:rFonts w:ascii="Arial" w:hAnsi="Arial" w:cs="Arial"/>
          <w:w w:val="105"/>
        </w:rPr>
        <w:t xml:space="preserve">Donna M. </w:t>
      </w:r>
      <w:proofErr w:type="spellStart"/>
      <w:r>
        <w:rPr>
          <w:rFonts w:ascii="Arial" w:hAnsi="Arial" w:cs="Arial"/>
          <w:w w:val="105"/>
        </w:rPr>
        <w:t>Bys</w:t>
      </w:r>
      <w:proofErr w:type="spellEnd"/>
    </w:p>
    <w:p w:rsidR="002C5025" w:rsidRDefault="002C5025">
      <w:pPr>
        <w:pStyle w:val="BodyText"/>
        <w:kinsoku w:val="0"/>
        <w:overflowPunct w:val="0"/>
        <w:spacing w:before="49"/>
        <w:ind w:left="140"/>
        <w:rPr>
          <w:rFonts w:ascii="Arial" w:hAnsi="Arial" w:cs="Arial"/>
          <w:w w:val="105"/>
        </w:rPr>
      </w:pPr>
      <w:r>
        <w:rPr>
          <w:rFonts w:ascii="Arial" w:hAnsi="Arial" w:cs="Arial"/>
          <w:w w:val="105"/>
        </w:rPr>
        <w:t>Professional Medical Services, Inc.</w:t>
      </w:r>
    </w:p>
    <w:p w:rsidR="002C5025" w:rsidRDefault="002C5025">
      <w:pPr>
        <w:pStyle w:val="BodyText"/>
        <w:kinsoku w:val="0"/>
        <w:overflowPunct w:val="0"/>
        <w:spacing w:before="9"/>
        <w:rPr>
          <w:rFonts w:ascii="Arial" w:hAnsi="Arial" w:cs="Arial"/>
          <w:sz w:val="31"/>
          <w:szCs w:val="31"/>
        </w:rPr>
      </w:pPr>
    </w:p>
    <w:p w:rsidR="002C5025" w:rsidRDefault="002C5025">
      <w:pPr>
        <w:pStyle w:val="BodyText"/>
        <w:kinsoku w:val="0"/>
        <w:overflowPunct w:val="0"/>
        <w:spacing w:line="288" w:lineRule="auto"/>
        <w:ind w:left="119" w:right="2823"/>
        <w:rPr>
          <w:rFonts w:ascii="Arial" w:hAnsi="Arial" w:cs="Arial"/>
          <w:w w:val="105"/>
        </w:rPr>
      </w:pPr>
      <w:r>
        <w:rPr>
          <w:rFonts w:ascii="Arial" w:hAnsi="Arial" w:cs="Arial"/>
          <w:w w:val="105"/>
        </w:rPr>
        <w:t>Jonathan Morin Intercity Home Care</w:t>
      </w:r>
    </w:p>
    <w:p w:rsidR="002C5025" w:rsidRDefault="002C5025">
      <w:pPr>
        <w:pStyle w:val="BodyText"/>
        <w:kinsoku w:val="0"/>
        <w:overflowPunct w:val="0"/>
        <w:spacing w:before="6"/>
        <w:rPr>
          <w:rFonts w:ascii="Arial" w:hAnsi="Arial" w:cs="Arial"/>
          <w:sz w:val="27"/>
          <w:szCs w:val="27"/>
        </w:rPr>
      </w:pPr>
    </w:p>
    <w:p w:rsidR="002C5025" w:rsidRDefault="002C5025">
      <w:pPr>
        <w:pStyle w:val="BodyText"/>
        <w:kinsoku w:val="0"/>
        <w:overflowPunct w:val="0"/>
        <w:ind w:left="119" w:right="1669"/>
        <w:rPr>
          <w:rFonts w:ascii="Arial" w:hAnsi="Arial" w:cs="Arial"/>
          <w:w w:val="105"/>
        </w:rPr>
      </w:pPr>
      <w:r>
        <w:rPr>
          <w:rFonts w:ascii="Arial" w:hAnsi="Arial" w:cs="Arial"/>
          <w:w w:val="105"/>
        </w:rPr>
        <w:t>Joan Butler</w:t>
      </w:r>
    </w:p>
    <w:p w:rsidR="002C5025" w:rsidRDefault="002C5025">
      <w:pPr>
        <w:pStyle w:val="BodyText"/>
        <w:kinsoku w:val="0"/>
        <w:overflowPunct w:val="0"/>
        <w:spacing w:before="49"/>
        <w:ind w:left="133" w:right="1669"/>
        <w:rPr>
          <w:rFonts w:ascii="Arial" w:hAnsi="Arial" w:cs="Arial"/>
          <w:w w:val="105"/>
        </w:rPr>
      </w:pPr>
      <w:r>
        <w:rPr>
          <w:rFonts w:ascii="Arial" w:hAnsi="Arial" w:cs="Arial"/>
          <w:w w:val="105"/>
        </w:rPr>
        <w:t>Minuteman Senior Services</w:t>
      </w:r>
    </w:p>
    <w:p w:rsidR="002C5025" w:rsidRDefault="002C5025">
      <w:pPr>
        <w:pStyle w:val="BodyText"/>
        <w:kinsoku w:val="0"/>
        <w:overflowPunct w:val="0"/>
        <w:spacing w:before="2"/>
        <w:rPr>
          <w:rFonts w:ascii="Arial" w:hAnsi="Arial" w:cs="Arial"/>
          <w:sz w:val="31"/>
          <w:szCs w:val="31"/>
        </w:rPr>
      </w:pPr>
    </w:p>
    <w:p w:rsidR="002C5025" w:rsidRDefault="002C5025">
      <w:pPr>
        <w:pStyle w:val="BodyText"/>
        <w:kinsoku w:val="0"/>
        <w:overflowPunct w:val="0"/>
        <w:spacing w:line="288" w:lineRule="auto"/>
        <w:ind w:left="126" w:right="1669" w:firstLine="7"/>
        <w:rPr>
          <w:rFonts w:ascii="Arial" w:hAnsi="Arial" w:cs="Arial"/>
          <w:w w:val="105"/>
        </w:rPr>
      </w:pPr>
      <w:r>
        <w:rPr>
          <w:rFonts w:ascii="Arial" w:hAnsi="Arial" w:cs="Arial"/>
        </w:rPr>
        <w:t>Ruth Beckerman-</w:t>
      </w:r>
      <w:proofErr w:type="spellStart"/>
      <w:r>
        <w:rPr>
          <w:rFonts w:ascii="Arial" w:hAnsi="Arial" w:cs="Arial"/>
        </w:rPr>
        <w:t>Rodau</w:t>
      </w:r>
      <w:proofErr w:type="spellEnd"/>
      <w:r>
        <w:rPr>
          <w:rFonts w:ascii="Arial" w:hAnsi="Arial" w:cs="Arial"/>
        </w:rPr>
        <w:t xml:space="preserve"> </w:t>
      </w:r>
      <w:proofErr w:type="spellStart"/>
      <w:r>
        <w:rPr>
          <w:rFonts w:ascii="Arial" w:hAnsi="Arial" w:cs="Arial"/>
          <w:w w:val="105"/>
        </w:rPr>
        <w:t>Springwell</w:t>
      </w:r>
      <w:proofErr w:type="spellEnd"/>
    </w:p>
    <w:p w:rsidR="002C5025" w:rsidRDefault="002C5025">
      <w:pPr>
        <w:pStyle w:val="BodyText"/>
        <w:kinsoku w:val="0"/>
        <w:overflowPunct w:val="0"/>
        <w:rPr>
          <w:rFonts w:ascii="Arial" w:hAnsi="Arial" w:cs="Arial"/>
          <w:sz w:val="25"/>
          <w:szCs w:val="25"/>
        </w:rPr>
      </w:pPr>
    </w:p>
    <w:p w:rsidR="002C5025" w:rsidRDefault="002C5025">
      <w:pPr>
        <w:pStyle w:val="BodyText"/>
        <w:kinsoku w:val="0"/>
        <w:overflowPunct w:val="0"/>
        <w:ind w:left="126" w:right="1669"/>
        <w:rPr>
          <w:rFonts w:ascii="Arial" w:hAnsi="Arial" w:cs="Arial"/>
        </w:rPr>
      </w:pPr>
      <w:r>
        <w:rPr>
          <w:rFonts w:ascii="Arial" w:hAnsi="Arial" w:cs="Arial"/>
        </w:rPr>
        <w:t xml:space="preserve">Sharon </w:t>
      </w:r>
      <w:proofErr w:type="spellStart"/>
      <w:r>
        <w:rPr>
          <w:rFonts w:ascii="Arial" w:hAnsi="Arial" w:cs="Arial"/>
        </w:rPr>
        <w:t>Lally</w:t>
      </w:r>
      <w:proofErr w:type="spellEnd"/>
    </w:p>
    <w:p w:rsidR="002C5025" w:rsidRDefault="002C5025">
      <w:pPr>
        <w:pStyle w:val="BodyText"/>
        <w:kinsoku w:val="0"/>
        <w:overflowPunct w:val="0"/>
        <w:spacing w:before="56" w:line="580" w:lineRule="auto"/>
        <w:ind w:left="119" w:right="1669" w:firstLine="14"/>
        <w:rPr>
          <w:rFonts w:ascii="Arial" w:hAnsi="Arial" w:cs="Arial"/>
        </w:rPr>
      </w:pPr>
      <w:r>
        <w:rPr>
          <w:rFonts w:ascii="Arial" w:hAnsi="Arial" w:cs="Arial"/>
        </w:rPr>
        <w:t>Rochester Council on Aging Anne Sylvia</w:t>
      </w:r>
    </w:p>
    <w:p w:rsidR="002C5025" w:rsidRDefault="002C5025">
      <w:pPr>
        <w:pStyle w:val="BodyText"/>
        <w:kinsoku w:val="0"/>
        <w:overflowPunct w:val="0"/>
        <w:spacing w:before="56" w:line="580" w:lineRule="auto"/>
        <w:ind w:left="119" w:right="1669" w:firstLine="14"/>
        <w:rPr>
          <w:rFonts w:ascii="Arial" w:hAnsi="Arial" w:cs="Arial"/>
        </w:rPr>
        <w:sectPr w:rsidR="002C5025">
          <w:pgSz w:w="12240" w:h="15840"/>
          <w:pgMar w:top="1000" w:right="1720" w:bottom="280" w:left="680" w:header="720" w:footer="720" w:gutter="0"/>
          <w:cols w:num="2" w:space="720" w:equalWidth="0">
            <w:col w:w="4546" w:space="278"/>
            <w:col w:w="5016"/>
          </w:cols>
          <w:noEndnote/>
        </w:sectPr>
      </w:pPr>
    </w:p>
    <w:p w:rsidR="002C5025" w:rsidRDefault="002C5025">
      <w:pPr>
        <w:pStyle w:val="BodyText"/>
        <w:kinsoku w:val="0"/>
        <w:overflowPunct w:val="0"/>
        <w:spacing w:before="45"/>
        <w:ind w:left="160"/>
        <w:rPr>
          <w:rFonts w:ascii="Arial" w:hAnsi="Arial" w:cs="Arial"/>
          <w:w w:val="110"/>
        </w:rPr>
      </w:pPr>
      <w:r>
        <w:rPr>
          <w:rFonts w:ascii="Arial" w:hAnsi="Arial" w:cs="Arial"/>
          <w:w w:val="110"/>
        </w:rPr>
        <w:lastRenderedPageBreak/>
        <w:t>Marion Council on Aging</w:t>
      </w:r>
    </w:p>
    <w:p w:rsidR="002C5025" w:rsidRDefault="002C5025">
      <w:pPr>
        <w:pStyle w:val="BodyText"/>
        <w:kinsoku w:val="0"/>
        <w:overflowPunct w:val="0"/>
        <w:spacing w:before="6"/>
        <w:rPr>
          <w:rFonts w:ascii="Arial" w:hAnsi="Arial" w:cs="Arial"/>
          <w:sz w:val="30"/>
          <w:szCs w:val="30"/>
        </w:rPr>
      </w:pPr>
    </w:p>
    <w:p w:rsidR="002C5025" w:rsidRDefault="002C5025">
      <w:pPr>
        <w:pStyle w:val="BodyText"/>
        <w:kinsoku w:val="0"/>
        <w:overflowPunct w:val="0"/>
        <w:spacing w:before="1"/>
        <w:ind w:left="138"/>
        <w:rPr>
          <w:rFonts w:ascii="Arial" w:hAnsi="Arial" w:cs="Arial"/>
        </w:rPr>
      </w:pPr>
      <w:r>
        <w:rPr>
          <w:rFonts w:ascii="Arial" w:hAnsi="Arial" w:cs="Arial"/>
        </w:rPr>
        <w:t>Janice Long</w:t>
      </w:r>
    </w:p>
    <w:p w:rsidR="002C5025" w:rsidRDefault="002C5025">
      <w:pPr>
        <w:pStyle w:val="BodyText"/>
        <w:kinsoku w:val="0"/>
        <w:overflowPunct w:val="0"/>
        <w:spacing w:before="56"/>
        <w:ind w:left="152"/>
        <w:rPr>
          <w:rFonts w:ascii="Arial" w:hAnsi="Arial" w:cs="Arial"/>
          <w:w w:val="105"/>
        </w:rPr>
      </w:pPr>
      <w:r>
        <w:rPr>
          <w:rFonts w:ascii="Arial" w:hAnsi="Arial" w:cs="Arial"/>
          <w:w w:val="105"/>
        </w:rPr>
        <w:t>Hudson Council on Aging</w:t>
      </w:r>
    </w:p>
    <w:p w:rsidR="002C5025" w:rsidRDefault="002C5025">
      <w:pPr>
        <w:pStyle w:val="BodyText"/>
        <w:kinsoku w:val="0"/>
        <w:overflowPunct w:val="0"/>
        <w:spacing w:before="2"/>
        <w:rPr>
          <w:rFonts w:ascii="Arial" w:hAnsi="Arial" w:cs="Arial"/>
          <w:sz w:val="31"/>
          <w:szCs w:val="31"/>
        </w:rPr>
      </w:pPr>
    </w:p>
    <w:p w:rsidR="002C5025" w:rsidRDefault="002C5025">
      <w:pPr>
        <w:pStyle w:val="BodyText"/>
        <w:kinsoku w:val="0"/>
        <w:overflowPunct w:val="0"/>
        <w:ind w:left="152"/>
        <w:rPr>
          <w:rFonts w:ascii="Arial" w:hAnsi="Arial" w:cs="Arial"/>
          <w:w w:val="105"/>
        </w:rPr>
      </w:pPr>
      <w:r>
        <w:rPr>
          <w:rFonts w:ascii="Arial" w:hAnsi="Arial" w:cs="Arial"/>
          <w:w w:val="105"/>
        </w:rPr>
        <w:t xml:space="preserve">Elaine </w:t>
      </w:r>
      <w:proofErr w:type="spellStart"/>
      <w:r>
        <w:rPr>
          <w:rFonts w:ascii="Arial" w:hAnsi="Arial" w:cs="Arial"/>
          <w:w w:val="105"/>
        </w:rPr>
        <w:t>Massery</w:t>
      </w:r>
      <w:proofErr w:type="spellEnd"/>
    </w:p>
    <w:p w:rsidR="002C5025" w:rsidRDefault="002C5025">
      <w:pPr>
        <w:pStyle w:val="BodyText"/>
        <w:kinsoku w:val="0"/>
        <w:overflowPunct w:val="0"/>
        <w:spacing w:before="49"/>
        <w:ind w:left="145"/>
        <w:rPr>
          <w:rFonts w:ascii="Arial" w:hAnsi="Arial" w:cs="Arial"/>
          <w:w w:val="105"/>
        </w:rPr>
      </w:pPr>
      <w:r>
        <w:rPr>
          <w:rFonts w:ascii="Arial" w:hAnsi="Arial" w:cs="Arial"/>
          <w:w w:val="105"/>
        </w:rPr>
        <w:t>Greater Springfield Senior Services, Inc.</w:t>
      </w:r>
    </w:p>
    <w:p w:rsidR="002C5025" w:rsidRDefault="002C5025">
      <w:pPr>
        <w:pStyle w:val="BodyText"/>
        <w:kinsoku w:val="0"/>
        <w:overflowPunct w:val="0"/>
        <w:rPr>
          <w:rFonts w:ascii="Arial" w:hAnsi="Arial" w:cs="Arial"/>
        </w:rPr>
      </w:pPr>
    </w:p>
    <w:p w:rsidR="002C5025" w:rsidRDefault="002C5025">
      <w:pPr>
        <w:pStyle w:val="BodyText"/>
        <w:kinsoku w:val="0"/>
        <w:overflowPunct w:val="0"/>
        <w:rPr>
          <w:rFonts w:ascii="Arial" w:hAnsi="Arial" w:cs="Arial"/>
        </w:rPr>
      </w:pPr>
    </w:p>
    <w:p w:rsidR="002C5025" w:rsidRDefault="002C5025">
      <w:pPr>
        <w:pStyle w:val="BodyText"/>
        <w:kinsoku w:val="0"/>
        <w:overflowPunct w:val="0"/>
        <w:spacing w:before="155" w:line="292" w:lineRule="auto"/>
        <w:ind w:left="145" w:right="2591" w:hanging="15"/>
        <w:rPr>
          <w:rFonts w:ascii="Arial" w:hAnsi="Arial" w:cs="Arial"/>
          <w:w w:val="105"/>
        </w:rPr>
      </w:pPr>
      <w:r>
        <w:rPr>
          <w:rFonts w:ascii="Arial" w:hAnsi="Arial" w:cs="Arial"/>
          <w:w w:val="105"/>
        </w:rPr>
        <w:t>Joanne Walsh Home Staff</w:t>
      </w:r>
    </w:p>
    <w:p w:rsidR="002C5025" w:rsidRDefault="002C5025">
      <w:pPr>
        <w:pStyle w:val="BodyText"/>
        <w:kinsoku w:val="0"/>
        <w:overflowPunct w:val="0"/>
        <w:spacing w:before="5"/>
        <w:rPr>
          <w:rFonts w:ascii="Arial" w:hAnsi="Arial" w:cs="Arial"/>
          <w:sz w:val="26"/>
          <w:szCs w:val="26"/>
        </w:rPr>
      </w:pPr>
    </w:p>
    <w:p w:rsidR="002C5025" w:rsidRDefault="002C5025">
      <w:pPr>
        <w:pStyle w:val="BodyText"/>
        <w:kinsoku w:val="0"/>
        <w:overflowPunct w:val="0"/>
        <w:spacing w:before="1"/>
        <w:ind w:left="145"/>
        <w:rPr>
          <w:rFonts w:ascii="Arial" w:hAnsi="Arial" w:cs="Arial"/>
          <w:w w:val="105"/>
        </w:rPr>
      </w:pPr>
      <w:r>
        <w:rPr>
          <w:rFonts w:ascii="Arial" w:hAnsi="Arial" w:cs="Arial"/>
          <w:w w:val="105"/>
        </w:rPr>
        <w:t>Nancy Fillers</w:t>
      </w:r>
    </w:p>
    <w:p w:rsidR="002C5025" w:rsidRDefault="002C5025">
      <w:pPr>
        <w:pStyle w:val="BodyText"/>
        <w:kinsoku w:val="0"/>
        <w:overflowPunct w:val="0"/>
        <w:spacing w:before="49"/>
        <w:ind w:left="145"/>
        <w:rPr>
          <w:rFonts w:ascii="Arial" w:hAnsi="Arial" w:cs="Arial"/>
          <w:w w:val="110"/>
        </w:rPr>
      </w:pPr>
      <w:proofErr w:type="spellStart"/>
      <w:r>
        <w:rPr>
          <w:rFonts w:ascii="Arial" w:hAnsi="Arial" w:cs="Arial"/>
          <w:w w:val="110"/>
        </w:rPr>
        <w:t>Montachusett</w:t>
      </w:r>
      <w:proofErr w:type="spellEnd"/>
      <w:r>
        <w:rPr>
          <w:rFonts w:ascii="Arial" w:hAnsi="Arial" w:cs="Arial"/>
          <w:w w:val="110"/>
        </w:rPr>
        <w:t xml:space="preserve"> Opportunity Council/Nutrition</w:t>
      </w:r>
    </w:p>
    <w:p w:rsidR="002C5025" w:rsidRDefault="002C5025">
      <w:pPr>
        <w:pStyle w:val="BodyText"/>
        <w:kinsoku w:val="0"/>
        <w:overflowPunct w:val="0"/>
        <w:rPr>
          <w:rFonts w:ascii="Arial" w:hAnsi="Arial" w:cs="Arial"/>
        </w:rPr>
      </w:pPr>
    </w:p>
    <w:p w:rsidR="002C5025" w:rsidRDefault="002C5025">
      <w:pPr>
        <w:pStyle w:val="BodyText"/>
        <w:kinsoku w:val="0"/>
        <w:overflowPunct w:val="0"/>
        <w:rPr>
          <w:rFonts w:ascii="Arial" w:hAnsi="Arial" w:cs="Arial"/>
        </w:rPr>
      </w:pPr>
    </w:p>
    <w:p w:rsidR="002C5025" w:rsidRDefault="002C5025">
      <w:pPr>
        <w:pStyle w:val="BodyText"/>
        <w:kinsoku w:val="0"/>
        <w:overflowPunct w:val="0"/>
        <w:spacing w:before="162"/>
        <w:ind w:left="145"/>
        <w:rPr>
          <w:rFonts w:ascii="Arial" w:hAnsi="Arial" w:cs="Arial"/>
          <w:w w:val="105"/>
        </w:rPr>
      </w:pPr>
      <w:r>
        <w:rPr>
          <w:rFonts w:ascii="Arial" w:hAnsi="Arial" w:cs="Arial"/>
          <w:w w:val="105"/>
        </w:rPr>
        <w:t xml:space="preserve">Raphael </w:t>
      </w:r>
      <w:proofErr w:type="spellStart"/>
      <w:r>
        <w:rPr>
          <w:rFonts w:ascii="Arial" w:hAnsi="Arial" w:cs="Arial"/>
          <w:w w:val="105"/>
        </w:rPr>
        <w:t>Bibiu</w:t>
      </w:r>
      <w:proofErr w:type="spellEnd"/>
    </w:p>
    <w:p w:rsidR="002C5025" w:rsidRDefault="002C5025">
      <w:pPr>
        <w:pStyle w:val="BodyText"/>
        <w:kinsoku w:val="0"/>
        <w:overflowPunct w:val="0"/>
        <w:spacing w:before="49"/>
        <w:ind w:left="131"/>
        <w:rPr>
          <w:rFonts w:ascii="Arial" w:hAnsi="Arial" w:cs="Arial"/>
        </w:rPr>
      </w:pPr>
      <w:r>
        <w:rPr>
          <w:rFonts w:ascii="Arial" w:hAnsi="Arial" w:cs="Arial"/>
        </w:rPr>
        <w:t>Ace  Medical Services</w:t>
      </w:r>
    </w:p>
    <w:p w:rsidR="002C5025" w:rsidRDefault="002C5025">
      <w:pPr>
        <w:pStyle w:val="BodyText"/>
        <w:kinsoku w:val="0"/>
        <w:overflowPunct w:val="0"/>
        <w:spacing w:before="2"/>
        <w:rPr>
          <w:rFonts w:ascii="Arial" w:hAnsi="Arial" w:cs="Arial"/>
          <w:sz w:val="31"/>
          <w:szCs w:val="31"/>
        </w:rPr>
      </w:pPr>
    </w:p>
    <w:p w:rsidR="002C5025" w:rsidRDefault="002C5025">
      <w:pPr>
        <w:pStyle w:val="BodyText"/>
        <w:kinsoku w:val="0"/>
        <w:overflowPunct w:val="0"/>
        <w:ind w:left="131"/>
        <w:rPr>
          <w:rFonts w:ascii="Arial" w:hAnsi="Arial" w:cs="Arial"/>
          <w:w w:val="105"/>
        </w:rPr>
      </w:pPr>
      <w:r>
        <w:rPr>
          <w:rFonts w:ascii="Arial" w:hAnsi="Arial" w:cs="Arial"/>
          <w:w w:val="105"/>
        </w:rPr>
        <w:t>Catherine Hardaway</w:t>
      </w:r>
    </w:p>
    <w:p w:rsidR="002C5025" w:rsidRDefault="002C5025">
      <w:pPr>
        <w:pStyle w:val="BodyText"/>
        <w:kinsoku w:val="0"/>
        <w:overflowPunct w:val="0"/>
        <w:spacing w:before="49"/>
        <w:ind w:left="131"/>
        <w:rPr>
          <w:rFonts w:ascii="Arial" w:hAnsi="Arial" w:cs="Arial"/>
          <w:w w:val="105"/>
        </w:rPr>
      </w:pPr>
      <w:r>
        <w:rPr>
          <w:rFonts w:ascii="Arial" w:hAnsi="Arial" w:cs="Arial"/>
          <w:w w:val="105"/>
        </w:rPr>
        <w:t>Central Boston Elder Services</w:t>
      </w:r>
    </w:p>
    <w:p w:rsidR="002C5025" w:rsidRDefault="002C5025">
      <w:pPr>
        <w:pStyle w:val="BodyText"/>
        <w:kinsoku w:val="0"/>
        <w:overflowPunct w:val="0"/>
        <w:spacing w:before="2"/>
        <w:rPr>
          <w:rFonts w:ascii="Arial" w:hAnsi="Arial" w:cs="Arial"/>
          <w:sz w:val="31"/>
          <w:szCs w:val="31"/>
        </w:rPr>
      </w:pPr>
    </w:p>
    <w:p w:rsidR="002C5025" w:rsidRDefault="002C5025">
      <w:pPr>
        <w:pStyle w:val="BodyText"/>
        <w:kinsoku w:val="0"/>
        <w:overflowPunct w:val="0"/>
        <w:spacing w:line="288" w:lineRule="auto"/>
        <w:ind w:left="138" w:right="1596"/>
        <w:rPr>
          <w:rFonts w:ascii="Arial" w:hAnsi="Arial" w:cs="Arial"/>
          <w:spacing w:val="-10"/>
          <w:w w:val="127"/>
        </w:rPr>
      </w:pPr>
      <w:r>
        <w:rPr>
          <w:rFonts w:ascii="Arial" w:hAnsi="Arial" w:cs="Arial"/>
          <w:spacing w:val="-4"/>
          <w:w w:val="110"/>
        </w:rPr>
        <w:t xml:space="preserve">Dianna </w:t>
      </w:r>
      <w:r>
        <w:rPr>
          <w:rFonts w:ascii="Arial" w:hAnsi="Arial" w:cs="Arial"/>
          <w:w w:val="110"/>
        </w:rPr>
        <w:t xml:space="preserve">Morrison </w:t>
      </w:r>
      <w:proofErr w:type="spellStart"/>
      <w:r>
        <w:rPr>
          <w:rFonts w:ascii="Arial" w:hAnsi="Arial" w:cs="Arial"/>
          <w:spacing w:val="-1"/>
          <w:w w:val="110"/>
        </w:rPr>
        <w:t>Baldwinville</w:t>
      </w:r>
      <w:proofErr w:type="spellEnd"/>
      <w:r>
        <w:rPr>
          <w:rFonts w:ascii="Arial" w:hAnsi="Arial" w:cs="Arial"/>
          <w:spacing w:val="-35"/>
          <w:w w:val="110"/>
        </w:rPr>
        <w:t xml:space="preserve"> </w:t>
      </w:r>
      <w:r>
        <w:rPr>
          <w:rFonts w:ascii="Arial" w:hAnsi="Arial" w:cs="Arial"/>
        </w:rPr>
        <w:t>Council</w:t>
      </w:r>
      <w:r>
        <w:rPr>
          <w:rFonts w:ascii="Arial" w:hAnsi="Arial" w:cs="Arial"/>
          <w:spacing w:val="-27"/>
        </w:rPr>
        <w:t xml:space="preserve"> </w:t>
      </w:r>
      <w:r>
        <w:rPr>
          <w:rFonts w:ascii="Arial" w:hAnsi="Arial" w:cs="Arial"/>
          <w:w w:val="110"/>
        </w:rPr>
        <w:t>on</w:t>
      </w:r>
      <w:r>
        <w:rPr>
          <w:rFonts w:ascii="Arial" w:hAnsi="Arial" w:cs="Arial"/>
          <w:spacing w:val="-37"/>
          <w:w w:val="110"/>
        </w:rPr>
        <w:t xml:space="preserve"> </w:t>
      </w:r>
      <w:r>
        <w:rPr>
          <w:rFonts w:ascii="Arial" w:hAnsi="Arial" w:cs="Arial"/>
          <w:spacing w:val="-10"/>
          <w:w w:val="127"/>
        </w:rPr>
        <w:t>Aging</w:t>
      </w:r>
    </w:p>
    <w:p w:rsidR="002C5025" w:rsidRDefault="002C5025">
      <w:pPr>
        <w:pStyle w:val="BodyText"/>
        <w:kinsoku w:val="0"/>
        <w:overflowPunct w:val="0"/>
        <w:spacing w:before="10"/>
        <w:rPr>
          <w:rFonts w:ascii="Arial" w:hAnsi="Arial" w:cs="Arial"/>
          <w:sz w:val="26"/>
          <w:szCs w:val="26"/>
        </w:rPr>
      </w:pPr>
    </w:p>
    <w:p w:rsidR="002C5025" w:rsidRDefault="002C5025">
      <w:pPr>
        <w:pStyle w:val="BodyText"/>
        <w:kinsoku w:val="0"/>
        <w:overflowPunct w:val="0"/>
        <w:spacing w:before="1"/>
        <w:ind w:left="138"/>
        <w:rPr>
          <w:rFonts w:ascii="Arial" w:hAnsi="Arial" w:cs="Arial"/>
          <w:w w:val="105"/>
        </w:rPr>
      </w:pPr>
      <w:r>
        <w:rPr>
          <w:rFonts w:ascii="Arial" w:hAnsi="Arial" w:cs="Arial"/>
          <w:w w:val="105"/>
        </w:rPr>
        <w:t xml:space="preserve">Harriet </w:t>
      </w:r>
      <w:proofErr w:type="spellStart"/>
      <w:r>
        <w:rPr>
          <w:rFonts w:ascii="Arial" w:hAnsi="Arial" w:cs="Arial"/>
          <w:w w:val="105"/>
        </w:rPr>
        <w:t>Klayman</w:t>
      </w:r>
      <w:proofErr w:type="spellEnd"/>
    </w:p>
    <w:p w:rsidR="002C5025" w:rsidRDefault="002C5025">
      <w:pPr>
        <w:pStyle w:val="BodyText"/>
        <w:kinsoku w:val="0"/>
        <w:overflowPunct w:val="0"/>
        <w:spacing w:before="56"/>
        <w:ind w:left="124"/>
        <w:rPr>
          <w:rFonts w:ascii="Arial" w:hAnsi="Arial" w:cs="Arial"/>
          <w:w w:val="105"/>
        </w:rPr>
      </w:pPr>
      <w:r>
        <w:rPr>
          <w:rFonts w:ascii="Arial" w:hAnsi="Arial" w:cs="Arial"/>
          <w:w w:val="105"/>
        </w:rPr>
        <w:t>The Highlands  Adult Day Health</w:t>
      </w:r>
    </w:p>
    <w:p w:rsidR="002C5025" w:rsidRDefault="002C5025">
      <w:pPr>
        <w:pStyle w:val="BodyText"/>
        <w:kinsoku w:val="0"/>
        <w:overflowPunct w:val="0"/>
        <w:spacing w:before="2"/>
        <w:rPr>
          <w:rFonts w:ascii="Arial" w:hAnsi="Arial" w:cs="Arial"/>
          <w:sz w:val="31"/>
          <w:szCs w:val="31"/>
        </w:rPr>
      </w:pPr>
    </w:p>
    <w:p w:rsidR="002C5025" w:rsidRDefault="002C5025">
      <w:pPr>
        <w:pStyle w:val="BodyText"/>
        <w:kinsoku w:val="0"/>
        <w:overflowPunct w:val="0"/>
        <w:ind w:left="131"/>
        <w:rPr>
          <w:rFonts w:ascii="Arial" w:hAnsi="Arial" w:cs="Arial"/>
          <w:w w:val="105"/>
        </w:rPr>
      </w:pPr>
      <w:r>
        <w:rPr>
          <w:rFonts w:ascii="Arial" w:hAnsi="Arial" w:cs="Arial"/>
          <w:w w:val="105"/>
        </w:rPr>
        <w:t>Marge McDonald</w:t>
      </w:r>
    </w:p>
    <w:p w:rsidR="002C5025" w:rsidRDefault="002C5025">
      <w:pPr>
        <w:pStyle w:val="BodyText"/>
        <w:kinsoku w:val="0"/>
        <w:overflowPunct w:val="0"/>
        <w:spacing w:before="49"/>
        <w:ind w:left="131"/>
        <w:rPr>
          <w:rFonts w:ascii="Arial" w:hAnsi="Arial" w:cs="Arial"/>
          <w:w w:val="107"/>
        </w:rPr>
      </w:pPr>
      <w:r>
        <w:rPr>
          <w:rFonts w:ascii="Arial" w:hAnsi="Arial" w:cs="Arial"/>
          <w:w w:val="109"/>
        </w:rPr>
        <w:t>Bur</w:t>
      </w:r>
      <w:r>
        <w:rPr>
          <w:rFonts w:ascii="Arial" w:hAnsi="Arial" w:cs="Arial"/>
          <w:spacing w:val="-6"/>
          <w:w w:val="109"/>
        </w:rPr>
        <w:t>l</w:t>
      </w:r>
      <w:r>
        <w:rPr>
          <w:rFonts w:ascii="Arial" w:hAnsi="Arial" w:cs="Arial"/>
          <w:spacing w:val="-36"/>
          <w:w w:val="220"/>
        </w:rPr>
        <w:t>i</w:t>
      </w:r>
      <w:r>
        <w:rPr>
          <w:rFonts w:ascii="Arial" w:hAnsi="Arial" w:cs="Arial"/>
          <w:w w:val="108"/>
        </w:rPr>
        <w:t>ngton</w:t>
      </w:r>
      <w:r>
        <w:rPr>
          <w:rFonts w:ascii="Arial" w:hAnsi="Arial" w:cs="Arial"/>
          <w:spacing w:val="-6"/>
        </w:rPr>
        <w:t xml:space="preserve"> </w:t>
      </w:r>
      <w:r>
        <w:rPr>
          <w:rFonts w:ascii="Arial" w:hAnsi="Arial" w:cs="Arial"/>
        </w:rPr>
        <w:t>Council</w:t>
      </w:r>
      <w:r>
        <w:rPr>
          <w:rFonts w:ascii="Arial" w:hAnsi="Arial" w:cs="Arial"/>
          <w:spacing w:val="4"/>
        </w:rPr>
        <w:t xml:space="preserve"> </w:t>
      </w:r>
      <w:r>
        <w:rPr>
          <w:rFonts w:ascii="Arial" w:hAnsi="Arial" w:cs="Arial"/>
          <w:w w:val="104"/>
        </w:rPr>
        <w:t>on</w:t>
      </w:r>
      <w:r>
        <w:rPr>
          <w:rFonts w:ascii="Arial" w:hAnsi="Arial" w:cs="Arial"/>
          <w:spacing w:val="-2"/>
        </w:rPr>
        <w:t xml:space="preserve"> </w:t>
      </w:r>
      <w:r>
        <w:rPr>
          <w:rFonts w:ascii="Arial" w:hAnsi="Arial" w:cs="Arial"/>
          <w:w w:val="102"/>
        </w:rPr>
        <w:t>Ag</w:t>
      </w:r>
      <w:r>
        <w:rPr>
          <w:rFonts w:ascii="Arial" w:hAnsi="Arial" w:cs="Arial"/>
          <w:spacing w:val="11"/>
          <w:w w:val="102"/>
        </w:rPr>
        <w:t>i</w:t>
      </w:r>
      <w:r>
        <w:rPr>
          <w:rFonts w:ascii="Arial" w:hAnsi="Arial" w:cs="Arial"/>
          <w:w w:val="107"/>
        </w:rPr>
        <w:t>ng</w:t>
      </w:r>
    </w:p>
    <w:p w:rsidR="002C5025" w:rsidRDefault="002C5025">
      <w:pPr>
        <w:pStyle w:val="BodyText"/>
        <w:kinsoku w:val="0"/>
        <w:overflowPunct w:val="0"/>
        <w:rPr>
          <w:rFonts w:ascii="Arial" w:hAnsi="Arial" w:cs="Arial"/>
        </w:rPr>
      </w:pPr>
    </w:p>
    <w:p w:rsidR="002C5025" w:rsidRDefault="002C5025">
      <w:pPr>
        <w:pStyle w:val="BodyText"/>
        <w:kinsoku w:val="0"/>
        <w:overflowPunct w:val="0"/>
        <w:rPr>
          <w:rFonts w:ascii="Arial" w:hAnsi="Arial" w:cs="Arial"/>
        </w:rPr>
      </w:pPr>
    </w:p>
    <w:p w:rsidR="002C5025" w:rsidRDefault="002C5025">
      <w:pPr>
        <w:pStyle w:val="BodyText"/>
        <w:kinsoku w:val="0"/>
        <w:overflowPunct w:val="0"/>
        <w:spacing w:before="162" w:line="288" w:lineRule="auto"/>
        <w:ind w:left="109" w:right="1908" w:firstLine="21"/>
        <w:rPr>
          <w:rFonts w:ascii="Arial" w:hAnsi="Arial" w:cs="Arial"/>
          <w:w w:val="103"/>
        </w:rPr>
      </w:pPr>
      <w:r>
        <w:rPr>
          <w:rFonts w:ascii="Arial" w:hAnsi="Arial" w:cs="Arial"/>
          <w:w w:val="105"/>
        </w:rPr>
        <w:t xml:space="preserve">Rev Robert Stetson </w:t>
      </w:r>
      <w:r>
        <w:rPr>
          <w:rFonts w:ascii="Arial" w:hAnsi="Arial" w:cs="Arial"/>
          <w:w w:val="115"/>
        </w:rPr>
        <w:t xml:space="preserve">Littleton </w:t>
      </w:r>
      <w:proofErr w:type="spellStart"/>
      <w:r>
        <w:rPr>
          <w:rFonts w:ascii="Arial" w:hAnsi="Arial" w:cs="Arial"/>
          <w:w w:val="115"/>
        </w:rPr>
        <w:t>Councilon</w:t>
      </w:r>
      <w:proofErr w:type="spellEnd"/>
      <w:r>
        <w:rPr>
          <w:rFonts w:ascii="Arial" w:hAnsi="Arial" w:cs="Arial"/>
          <w:w w:val="115"/>
        </w:rPr>
        <w:t xml:space="preserve"> </w:t>
      </w:r>
      <w:r>
        <w:rPr>
          <w:rFonts w:ascii="Arial" w:hAnsi="Arial" w:cs="Arial"/>
          <w:w w:val="103"/>
        </w:rPr>
        <w:t>Aging</w:t>
      </w:r>
    </w:p>
    <w:p w:rsidR="002C5025" w:rsidRDefault="002C5025">
      <w:pPr>
        <w:pStyle w:val="BodyText"/>
        <w:kinsoku w:val="0"/>
        <w:overflowPunct w:val="0"/>
        <w:spacing w:before="10"/>
        <w:rPr>
          <w:rFonts w:ascii="Arial" w:hAnsi="Arial" w:cs="Arial"/>
          <w:sz w:val="26"/>
          <w:szCs w:val="26"/>
        </w:rPr>
      </w:pPr>
    </w:p>
    <w:p w:rsidR="002C5025" w:rsidRDefault="002C5025">
      <w:pPr>
        <w:pStyle w:val="BodyText"/>
        <w:kinsoku w:val="0"/>
        <w:overflowPunct w:val="0"/>
        <w:spacing w:before="1"/>
        <w:ind w:left="109"/>
        <w:rPr>
          <w:rFonts w:ascii="Arial" w:hAnsi="Arial" w:cs="Arial"/>
        </w:rPr>
      </w:pPr>
      <w:r>
        <w:rPr>
          <w:rFonts w:ascii="Arial" w:hAnsi="Arial" w:cs="Arial"/>
        </w:rPr>
        <w:t>Judy Luciano</w:t>
      </w:r>
    </w:p>
    <w:p w:rsidR="002C5025" w:rsidRDefault="002C5025">
      <w:pPr>
        <w:pStyle w:val="BodyText"/>
        <w:kinsoku w:val="0"/>
        <w:overflowPunct w:val="0"/>
        <w:spacing w:before="49"/>
        <w:ind w:left="116"/>
        <w:rPr>
          <w:rFonts w:ascii="Arial" w:hAnsi="Arial" w:cs="Arial"/>
          <w:w w:val="110"/>
        </w:rPr>
      </w:pPr>
      <w:r>
        <w:rPr>
          <w:rFonts w:ascii="Arial" w:hAnsi="Arial" w:cs="Arial"/>
          <w:w w:val="110"/>
        </w:rPr>
        <w:t>Wakefield Council on Aging</w:t>
      </w:r>
    </w:p>
    <w:p w:rsidR="002C5025" w:rsidRDefault="002C5025">
      <w:pPr>
        <w:pStyle w:val="BodyText"/>
        <w:kinsoku w:val="0"/>
        <w:overflowPunct w:val="0"/>
        <w:spacing w:before="2"/>
        <w:rPr>
          <w:rFonts w:ascii="Arial" w:hAnsi="Arial" w:cs="Arial"/>
          <w:sz w:val="31"/>
          <w:szCs w:val="31"/>
        </w:rPr>
      </w:pPr>
    </w:p>
    <w:p w:rsidR="002C5025" w:rsidRDefault="002C5025">
      <w:pPr>
        <w:pStyle w:val="BodyText"/>
        <w:kinsoku w:val="0"/>
        <w:overflowPunct w:val="0"/>
        <w:ind w:left="109"/>
        <w:rPr>
          <w:rFonts w:ascii="Arial" w:hAnsi="Arial" w:cs="Arial"/>
          <w:w w:val="105"/>
        </w:rPr>
      </w:pPr>
      <w:r>
        <w:rPr>
          <w:rFonts w:ascii="Arial" w:hAnsi="Arial" w:cs="Arial"/>
          <w:w w:val="105"/>
        </w:rPr>
        <w:t xml:space="preserve">Jodi </w:t>
      </w:r>
      <w:proofErr w:type="spellStart"/>
      <w:r>
        <w:rPr>
          <w:rFonts w:ascii="Arial" w:hAnsi="Arial" w:cs="Arial"/>
          <w:w w:val="105"/>
        </w:rPr>
        <w:t>Gibeley</w:t>
      </w:r>
      <w:proofErr w:type="spellEnd"/>
    </w:p>
    <w:p w:rsidR="002C5025" w:rsidRDefault="002C5025">
      <w:pPr>
        <w:pStyle w:val="BodyText"/>
        <w:kinsoku w:val="0"/>
        <w:overflowPunct w:val="0"/>
        <w:spacing w:before="56"/>
        <w:ind w:left="109"/>
        <w:rPr>
          <w:rFonts w:ascii="Arial" w:hAnsi="Arial" w:cs="Arial"/>
          <w:w w:val="105"/>
        </w:rPr>
      </w:pPr>
      <w:r>
        <w:rPr>
          <w:rFonts w:ascii="Arial" w:hAnsi="Arial" w:cs="Arial"/>
          <w:w w:val="105"/>
        </w:rPr>
        <w:t>Topsfield Council on Aging</w:t>
      </w:r>
    </w:p>
    <w:p w:rsidR="002C5025" w:rsidRDefault="002C5025">
      <w:pPr>
        <w:pStyle w:val="BodyText"/>
        <w:kinsoku w:val="0"/>
        <w:overflowPunct w:val="0"/>
        <w:spacing w:before="2"/>
        <w:rPr>
          <w:rFonts w:ascii="Arial" w:hAnsi="Arial" w:cs="Arial"/>
          <w:sz w:val="31"/>
          <w:szCs w:val="31"/>
        </w:rPr>
      </w:pPr>
    </w:p>
    <w:p w:rsidR="002C5025" w:rsidRDefault="002C5025">
      <w:pPr>
        <w:pStyle w:val="BodyText"/>
        <w:kinsoku w:val="0"/>
        <w:overflowPunct w:val="0"/>
        <w:ind w:left="124"/>
        <w:rPr>
          <w:rFonts w:ascii="Arial" w:hAnsi="Arial" w:cs="Arial"/>
          <w:w w:val="105"/>
        </w:rPr>
      </w:pPr>
      <w:r>
        <w:rPr>
          <w:rFonts w:ascii="Arial" w:hAnsi="Arial" w:cs="Arial"/>
          <w:w w:val="105"/>
        </w:rPr>
        <w:t xml:space="preserve">Mary </w:t>
      </w:r>
      <w:proofErr w:type="spellStart"/>
      <w:r>
        <w:rPr>
          <w:rFonts w:ascii="Arial" w:hAnsi="Arial" w:cs="Arial"/>
          <w:w w:val="105"/>
        </w:rPr>
        <w:t>Prenney</w:t>
      </w:r>
      <w:proofErr w:type="spellEnd"/>
    </w:p>
    <w:p w:rsidR="002C5025" w:rsidRDefault="002C5025">
      <w:pPr>
        <w:pStyle w:val="BodyText"/>
        <w:kinsoku w:val="0"/>
        <w:overflowPunct w:val="0"/>
        <w:spacing w:before="56" w:line="580" w:lineRule="auto"/>
        <w:ind w:left="116" w:right="1595" w:firstLine="7"/>
        <w:rPr>
          <w:rFonts w:ascii="Arial" w:hAnsi="Arial" w:cs="Arial"/>
          <w:w w:val="105"/>
        </w:rPr>
      </w:pPr>
      <w:r>
        <w:rPr>
          <w:rFonts w:ascii="Arial" w:hAnsi="Arial" w:cs="Arial"/>
          <w:w w:val="105"/>
        </w:rPr>
        <w:t>North Reading Elder Services Heather Sylvia</w:t>
      </w:r>
    </w:p>
    <w:p w:rsidR="002C5025" w:rsidRDefault="002C5025">
      <w:pPr>
        <w:pStyle w:val="BodyText"/>
        <w:kinsoku w:val="0"/>
        <w:overflowPunct w:val="0"/>
        <w:spacing w:before="52"/>
        <w:ind w:left="127"/>
        <w:rPr>
          <w:rFonts w:ascii="Arial" w:hAnsi="Arial" w:cs="Arial"/>
          <w:w w:val="105"/>
        </w:rPr>
      </w:pPr>
      <w:r>
        <w:rPr>
          <w:rFonts w:ascii="Times New Roman" w:hAnsi="Times New Roman" w:cs="Times New Roman"/>
          <w:sz w:val="24"/>
          <w:szCs w:val="24"/>
        </w:rPr>
        <w:br w:type="column"/>
      </w:r>
      <w:r>
        <w:rPr>
          <w:rFonts w:ascii="Arial" w:hAnsi="Arial" w:cs="Arial"/>
          <w:w w:val="105"/>
        </w:rPr>
        <w:lastRenderedPageBreak/>
        <w:t>Fairhaven Council on Aging</w:t>
      </w:r>
    </w:p>
    <w:p w:rsidR="002C5025" w:rsidRDefault="002C5025">
      <w:pPr>
        <w:pStyle w:val="BodyText"/>
        <w:kinsoku w:val="0"/>
        <w:overflowPunct w:val="0"/>
        <w:spacing w:before="2"/>
        <w:rPr>
          <w:rFonts w:ascii="Arial" w:hAnsi="Arial" w:cs="Arial"/>
          <w:sz w:val="31"/>
          <w:szCs w:val="31"/>
        </w:rPr>
      </w:pPr>
    </w:p>
    <w:p w:rsidR="002C5025" w:rsidRDefault="002C5025">
      <w:pPr>
        <w:pStyle w:val="BodyText"/>
        <w:kinsoku w:val="0"/>
        <w:overflowPunct w:val="0"/>
        <w:spacing w:line="288" w:lineRule="auto"/>
        <w:ind w:left="113" w:right="2727" w:firstLine="14"/>
        <w:rPr>
          <w:rFonts w:ascii="Arial" w:hAnsi="Arial" w:cs="Arial"/>
          <w:w w:val="110"/>
        </w:rPr>
      </w:pPr>
      <w:r>
        <w:rPr>
          <w:rFonts w:ascii="Arial" w:hAnsi="Arial" w:cs="Arial"/>
          <w:w w:val="110"/>
        </w:rPr>
        <w:t xml:space="preserve">Marilyn L. </w:t>
      </w:r>
      <w:proofErr w:type="spellStart"/>
      <w:r>
        <w:rPr>
          <w:rFonts w:ascii="Arial" w:hAnsi="Arial" w:cs="Arial"/>
          <w:w w:val="110"/>
        </w:rPr>
        <w:t>Travinski</w:t>
      </w:r>
      <w:proofErr w:type="spellEnd"/>
      <w:r>
        <w:rPr>
          <w:rFonts w:ascii="Arial" w:hAnsi="Arial" w:cs="Arial"/>
          <w:w w:val="110"/>
        </w:rPr>
        <w:t xml:space="preserve"> Tri Valley, Inc.</w:t>
      </w:r>
    </w:p>
    <w:p w:rsidR="002C5025" w:rsidRDefault="002C5025">
      <w:pPr>
        <w:pStyle w:val="BodyText"/>
        <w:kinsoku w:val="0"/>
        <w:overflowPunct w:val="0"/>
        <w:spacing w:before="10"/>
        <w:rPr>
          <w:rFonts w:ascii="Arial" w:hAnsi="Arial" w:cs="Arial"/>
          <w:sz w:val="26"/>
          <w:szCs w:val="26"/>
        </w:rPr>
      </w:pPr>
    </w:p>
    <w:p w:rsidR="002C5025" w:rsidRDefault="002C5025">
      <w:pPr>
        <w:pStyle w:val="BodyText"/>
        <w:kinsoku w:val="0"/>
        <w:overflowPunct w:val="0"/>
        <w:spacing w:before="1"/>
        <w:ind w:left="113"/>
        <w:rPr>
          <w:rFonts w:ascii="Arial" w:hAnsi="Arial" w:cs="Arial"/>
        </w:rPr>
      </w:pPr>
      <w:r>
        <w:rPr>
          <w:rFonts w:ascii="Arial" w:hAnsi="Arial" w:cs="Arial"/>
        </w:rPr>
        <w:t>Sandra Lindsey</w:t>
      </w:r>
    </w:p>
    <w:p w:rsidR="002C5025" w:rsidRDefault="002C5025">
      <w:pPr>
        <w:pStyle w:val="BodyText"/>
        <w:kinsoku w:val="0"/>
        <w:overflowPunct w:val="0"/>
        <w:spacing w:before="49"/>
        <w:ind w:left="113"/>
        <w:rPr>
          <w:rFonts w:ascii="Arial" w:hAnsi="Arial" w:cs="Arial"/>
        </w:rPr>
      </w:pPr>
      <w:r>
        <w:rPr>
          <w:rFonts w:ascii="Arial" w:hAnsi="Arial" w:cs="Arial"/>
        </w:rPr>
        <w:t>South Shore Elder Services</w:t>
      </w:r>
    </w:p>
    <w:p w:rsidR="002C5025" w:rsidRDefault="002C5025">
      <w:pPr>
        <w:pStyle w:val="BodyText"/>
        <w:kinsoku w:val="0"/>
        <w:overflowPunct w:val="0"/>
        <w:rPr>
          <w:rFonts w:ascii="Arial" w:hAnsi="Arial" w:cs="Arial"/>
        </w:rPr>
      </w:pPr>
    </w:p>
    <w:p w:rsidR="002C5025" w:rsidRDefault="002C5025">
      <w:pPr>
        <w:pStyle w:val="BodyText"/>
        <w:kinsoku w:val="0"/>
        <w:overflowPunct w:val="0"/>
        <w:rPr>
          <w:rFonts w:ascii="Arial" w:hAnsi="Arial" w:cs="Arial"/>
        </w:rPr>
      </w:pPr>
    </w:p>
    <w:p w:rsidR="002C5025" w:rsidRDefault="002C5025">
      <w:pPr>
        <w:pStyle w:val="BodyText"/>
        <w:kinsoku w:val="0"/>
        <w:overflowPunct w:val="0"/>
        <w:spacing w:before="155"/>
        <w:ind w:left="113"/>
        <w:rPr>
          <w:rFonts w:ascii="Arial" w:hAnsi="Arial" w:cs="Arial"/>
        </w:rPr>
      </w:pPr>
      <w:r>
        <w:rPr>
          <w:rFonts w:ascii="Arial" w:hAnsi="Arial" w:cs="Arial"/>
        </w:rPr>
        <w:t>Trish Pope</w:t>
      </w:r>
    </w:p>
    <w:p w:rsidR="002C5025" w:rsidRDefault="002C5025">
      <w:pPr>
        <w:pStyle w:val="BodyText"/>
        <w:kinsoku w:val="0"/>
        <w:overflowPunct w:val="0"/>
        <w:spacing w:before="56"/>
        <w:ind w:left="120"/>
        <w:rPr>
          <w:rFonts w:ascii="Arial" w:hAnsi="Arial" w:cs="Arial"/>
          <w:w w:val="105"/>
        </w:rPr>
      </w:pPr>
      <w:r>
        <w:rPr>
          <w:rFonts w:ascii="Arial" w:hAnsi="Arial" w:cs="Arial"/>
          <w:w w:val="105"/>
        </w:rPr>
        <w:t>Marlborough Council on Aging</w:t>
      </w:r>
    </w:p>
    <w:p w:rsidR="002C5025" w:rsidRDefault="002C5025">
      <w:pPr>
        <w:pStyle w:val="BodyText"/>
        <w:kinsoku w:val="0"/>
        <w:overflowPunct w:val="0"/>
        <w:spacing w:before="2"/>
        <w:rPr>
          <w:rFonts w:ascii="Arial" w:hAnsi="Arial" w:cs="Arial"/>
          <w:sz w:val="31"/>
          <w:szCs w:val="31"/>
        </w:rPr>
      </w:pPr>
    </w:p>
    <w:p w:rsidR="002C5025" w:rsidRDefault="002C5025">
      <w:pPr>
        <w:pStyle w:val="BodyText"/>
        <w:kinsoku w:val="0"/>
        <w:overflowPunct w:val="0"/>
        <w:ind w:left="113"/>
        <w:rPr>
          <w:rFonts w:ascii="Arial" w:hAnsi="Arial" w:cs="Arial"/>
        </w:rPr>
      </w:pPr>
      <w:r>
        <w:rPr>
          <w:rFonts w:ascii="Arial" w:hAnsi="Arial" w:cs="Arial"/>
        </w:rPr>
        <w:t>Sandra Lamb</w:t>
      </w:r>
    </w:p>
    <w:p w:rsidR="002C5025" w:rsidRDefault="002C5025">
      <w:pPr>
        <w:pStyle w:val="BodyText"/>
        <w:kinsoku w:val="0"/>
        <w:overflowPunct w:val="0"/>
        <w:spacing w:before="49"/>
        <w:ind w:left="243"/>
        <w:rPr>
          <w:rFonts w:ascii="Arial" w:hAnsi="Arial" w:cs="Arial"/>
          <w:w w:val="107"/>
        </w:rPr>
      </w:pPr>
      <w:r>
        <w:rPr>
          <w:rFonts w:ascii="Arial" w:hAnsi="Arial" w:cs="Arial"/>
          <w:w w:val="112"/>
        </w:rPr>
        <w:t>North</w:t>
      </w:r>
      <w:r>
        <w:rPr>
          <w:rFonts w:ascii="Arial" w:hAnsi="Arial" w:cs="Arial"/>
          <w:spacing w:val="-21"/>
        </w:rPr>
        <w:t xml:space="preserve"> </w:t>
      </w:r>
      <w:r>
        <w:rPr>
          <w:rFonts w:ascii="Arial" w:hAnsi="Arial" w:cs="Arial"/>
          <w:w w:val="99"/>
        </w:rPr>
        <w:t>Adams</w:t>
      </w:r>
      <w:r>
        <w:rPr>
          <w:rFonts w:ascii="Arial" w:hAnsi="Arial" w:cs="Arial"/>
          <w:spacing w:val="17"/>
        </w:rPr>
        <w:t xml:space="preserve"> </w:t>
      </w:r>
      <w:r>
        <w:rPr>
          <w:rFonts w:ascii="Arial" w:hAnsi="Arial" w:cs="Arial"/>
          <w:w w:val="102"/>
        </w:rPr>
        <w:t>Council</w:t>
      </w:r>
      <w:r>
        <w:rPr>
          <w:rFonts w:ascii="Arial" w:hAnsi="Arial" w:cs="Arial"/>
          <w:spacing w:val="-3"/>
        </w:rPr>
        <w:t xml:space="preserve"> </w:t>
      </w:r>
      <w:r>
        <w:rPr>
          <w:rFonts w:ascii="Arial" w:hAnsi="Arial" w:cs="Arial"/>
          <w:w w:val="107"/>
        </w:rPr>
        <w:t>on</w:t>
      </w:r>
      <w:r>
        <w:rPr>
          <w:rFonts w:ascii="Arial" w:hAnsi="Arial" w:cs="Arial"/>
          <w:spacing w:val="-16"/>
        </w:rPr>
        <w:t xml:space="preserve"> </w:t>
      </w:r>
      <w:r>
        <w:rPr>
          <w:rFonts w:ascii="Arial" w:hAnsi="Arial" w:cs="Arial"/>
          <w:w w:val="102"/>
        </w:rPr>
        <w:t>A</w:t>
      </w:r>
      <w:r>
        <w:rPr>
          <w:rFonts w:ascii="Arial" w:hAnsi="Arial" w:cs="Arial"/>
          <w:spacing w:val="-4"/>
          <w:w w:val="102"/>
        </w:rPr>
        <w:t>g</w:t>
      </w:r>
      <w:r>
        <w:rPr>
          <w:rFonts w:ascii="Arial" w:hAnsi="Arial" w:cs="Arial"/>
          <w:spacing w:val="-44"/>
          <w:w w:val="220"/>
        </w:rPr>
        <w:t>i</w:t>
      </w:r>
      <w:r>
        <w:rPr>
          <w:rFonts w:ascii="Arial" w:hAnsi="Arial" w:cs="Arial"/>
          <w:w w:val="107"/>
        </w:rPr>
        <w:t>ng</w:t>
      </w:r>
    </w:p>
    <w:p w:rsidR="002C5025" w:rsidRDefault="002C5025">
      <w:pPr>
        <w:pStyle w:val="BodyText"/>
        <w:kinsoku w:val="0"/>
        <w:overflowPunct w:val="0"/>
        <w:rPr>
          <w:rFonts w:ascii="Arial" w:hAnsi="Arial" w:cs="Arial"/>
        </w:rPr>
      </w:pPr>
    </w:p>
    <w:p w:rsidR="002C5025" w:rsidRDefault="002C5025">
      <w:pPr>
        <w:pStyle w:val="BodyText"/>
        <w:kinsoku w:val="0"/>
        <w:overflowPunct w:val="0"/>
        <w:rPr>
          <w:rFonts w:ascii="Arial" w:hAnsi="Arial" w:cs="Arial"/>
        </w:rPr>
      </w:pPr>
    </w:p>
    <w:p w:rsidR="002C5025" w:rsidRDefault="002C5025">
      <w:pPr>
        <w:pStyle w:val="BodyText"/>
        <w:kinsoku w:val="0"/>
        <w:overflowPunct w:val="0"/>
        <w:spacing w:before="162" w:line="288" w:lineRule="auto"/>
        <w:ind w:left="120" w:right="2417" w:hanging="8"/>
        <w:rPr>
          <w:rFonts w:ascii="Arial" w:hAnsi="Arial" w:cs="Arial"/>
          <w:w w:val="105"/>
        </w:rPr>
      </w:pPr>
      <w:r>
        <w:rPr>
          <w:rFonts w:ascii="Arial" w:hAnsi="Arial" w:cs="Arial"/>
          <w:w w:val="105"/>
        </w:rPr>
        <w:t xml:space="preserve">Christine Alessandro </w:t>
      </w:r>
      <w:proofErr w:type="spellStart"/>
      <w:r>
        <w:rPr>
          <w:rFonts w:ascii="Arial" w:hAnsi="Arial" w:cs="Arial"/>
          <w:w w:val="105"/>
        </w:rPr>
        <w:t>Baypath</w:t>
      </w:r>
      <w:proofErr w:type="spellEnd"/>
      <w:r>
        <w:rPr>
          <w:rFonts w:ascii="Arial" w:hAnsi="Arial" w:cs="Arial"/>
          <w:w w:val="105"/>
        </w:rPr>
        <w:t xml:space="preserve"> Elder Services</w:t>
      </w:r>
    </w:p>
    <w:p w:rsidR="002C5025" w:rsidRDefault="002C5025">
      <w:pPr>
        <w:pStyle w:val="BodyText"/>
        <w:kinsoku w:val="0"/>
        <w:overflowPunct w:val="0"/>
        <w:spacing w:before="10"/>
        <w:rPr>
          <w:rFonts w:ascii="Arial" w:hAnsi="Arial" w:cs="Arial"/>
          <w:sz w:val="26"/>
          <w:szCs w:val="26"/>
        </w:rPr>
      </w:pPr>
    </w:p>
    <w:p w:rsidR="002C5025" w:rsidRDefault="002C5025">
      <w:pPr>
        <w:pStyle w:val="BodyText"/>
        <w:kinsoku w:val="0"/>
        <w:overflowPunct w:val="0"/>
        <w:spacing w:before="1" w:line="288" w:lineRule="auto"/>
        <w:ind w:left="99" w:right="1694" w:firstLine="698"/>
        <w:rPr>
          <w:rFonts w:ascii="Arial" w:hAnsi="Arial" w:cs="Arial"/>
          <w:w w:val="105"/>
        </w:rPr>
      </w:pPr>
      <w:r>
        <w:rPr>
          <w:rFonts w:ascii="Arial" w:hAnsi="Arial" w:cs="Arial"/>
          <w:w w:val="105"/>
        </w:rPr>
        <w:t>Susan Doherty Lunenburg Council on Aging</w:t>
      </w:r>
    </w:p>
    <w:p w:rsidR="002C5025" w:rsidRDefault="002C5025">
      <w:pPr>
        <w:pStyle w:val="BodyText"/>
        <w:kinsoku w:val="0"/>
        <w:overflowPunct w:val="0"/>
        <w:spacing w:before="10"/>
        <w:rPr>
          <w:rFonts w:ascii="Arial" w:hAnsi="Arial" w:cs="Arial"/>
          <w:sz w:val="26"/>
          <w:szCs w:val="26"/>
        </w:rPr>
      </w:pPr>
    </w:p>
    <w:p w:rsidR="002C5025" w:rsidRDefault="002C5025">
      <w:pPr>
        <w:pStyle w:val="BodyText"/>
        <w:kinsoku w:val="0"/>
        <w:overflowPunct w:val="0"/>
        <w:spacing w:before="1" w:line="288" w:lineRule="auto"/>
        <w:ind w:left="99" w:right="3131"/>
        <w:rPr>
          <w:rFonts w:ascii="Arial" w:hAnsi="Arial" w:cs="Arial"/>
          <w:w w:val="110"/>
        </w:rPr>
      </w:pPr>
      <w:r>
        <w:rPr>
          <w:rFonts w:ascii="Arial" w:hAnsi="Arial" w:cs="Arial"/>
          <w:w w:val="110"/>
        </w:rPr>
        <w:t>Tim Riley Action, Inc.</w:t>
      </w:r>
    </w:p>
    <w:p w:rsidR="002C5025" w:rsidRDefault="002C5025">
      <w:pPr>
        <w:pStyle w:val="BodyText"/>
        <w:kinsoku w:val="0"/>
        <w:overflowPunct w:val="0"/>
        <w:spacing w:before="10"/>
        <w:rPr>
          <w:rFonts w:ascii="Arial" w:hAnsi="Arial" w:cs="Arial"/>
          <w:sz w:val="26"/>
          <w:szCs w:val="26"/>
        </w:rPr>
      </w:pPr>
    </w:p>
    <w:p w:rsidR="002C5025" w:rsidRDefault="002C5025">
      <w:pPr>
        <w:pStyle w:val="BodyText"/>
        <w:kinsoku w:val="0"/>
        <w:overflowPunct w:val="0"/>
        <w:spacing w:before="1" w:line="292" w:lineRule="auto"/>
        <w:ind w:left="113" w:right="2136"/>
        <w:rPr>
          <w:rFonts w:ascii="Arial" w:hAnsi="Arial" w:cs="Arial"/>
          <w:w w:val="105"/>
        </w:rPr>
      </w:pPr>
      <w:r>
        <w:rPr>
          <w:rFonts w:ascii="Arial" w:hAnsi="Arial" w:cs="Arial"/>
          <w:w w:val="105"/>
        </w:rPr>
        <w:t>Margaret M. Hogan Boston Senior Home Care</w:t>
      </w:r>
    </w:p>
    <w:p w:rsidR="002C5025" w:rsidRDefault="002C5025">
      <w:pPr>
        <w:pStyle w:val="BodyText"/>
        <w:kinsoku w:val="0"/>
        <w:overflowPunct w:val="0"/>
        <w:spacing w:before="8"/>
        <w:rPr>
          <w:rFonts w:ascii="Arial" w:hAnsi="Arial" w:cs="Arial"/>
          <w:sz w:val="27"/>
          <w:szCs w:val="27"/>
        </w:rPr>
      </w:pPr>
    </w:p>
    <w:p w:rsidR="002C5025" w:rsidRDefault="002C5025">
      <w:pPr>
        <w:pStyle w:val="BodyText"/>
        <w:kinsoku w:val="0"/>
        <w:overflowPunct w:val="0"/>
        <w:spacing w:before="1" w:line="273" w:lineRule="auto"/>
        <w:ind w:left="99" w:right="2239" w:firstLine="14"/>
        <w:rPr>
          <w:rFonts w:ascii="Arial" w:hAnsi="Arial" w:cs="Arial"/>
          <w:spacing w:val="-10"/>
          <w:w w:val="127"/>
        </w:rPr>
      </w:pPr>
      <w:r>
        <w:rPr>
          <w:rFonts w:ascii="Arial" w:hAnsi="Arial" w:cs="Arial"/>
          <w:w w:val="110"/>
        </w:rPr>
        <w:t xml:space="preserve">Deborah Thompson </w:t>
      </w:r>
      <w:r>
        <w:rPr>
          <w:rFonts w:ascii="Arial" w:hAnsi="Arial" w:cs="Arial"/>
          <w:w w:val="105"/>
        </w:rPr>
        <w:t>Harvard</w:t>
      </w:r>
      <w:r>
        <w:rPr>
          <w:rFonts w:ascii="Arial" w:hAnsi="Arial" w:cs="Arial"/>
          <w:spacing w:val="-39"/>
          <w:w w:val="105"/>
        </w:rPr>
        <w:t xml:space="preserve"> </w:t>
      </w:r>
      <w:r>
        <w:rPr>
          <w:rFonts w:ascii="Arial" w:hAnsi="Arial" w:cs="Arial"/>
          <w:w w:val="101"/>
        </w:rPr>
        <w:t>Council</w:t>
      </w:r>
      <w:r>
        <w:rPr>
          <w:rFonts w:ascii="Arial" w:hAnsi="Arial" w:cs="Arial"/>
          <w:spacing w:val="-31"/>
          <w:w w:val="101"/>
        </w:rPr>
        <w:t xml:space="preserve"> </w:t>
      </w:r>
      <w:r>
        <w:rPr>
          <w:rFonts w:ascii="Arial" w:hAnsi="Arial" w:cs="Arial"/>
          <w:w w:val="110"/>
        </w:rPr>
        <w:t>on</w:t>
      </w:r>
      <w:r>
        <w:rPr>
          <w:rFonts w:ascii="Arial" w:hAnsi="Arial" w:cs="Arial"/>
          <w:spacing w:val="-40"/>
          <w:w w:val="110"/>
        </w:rPr>
        <w:t xml:space="preserve"> </w:t>
      </w:r>
      <w:r>
        <w:rPr>
          <w:rFonts w:ascii="Arial" w:hAnsi="Arial" w:cs="Arial"/>
          <w:spacing w:val="-10"/>
          <w:w w:val="127"/>
        </w:rPr>
        <w:t>Aging</w:t>
      </w:r>
    </w:p>
    <w:p w:rsidR="002C5025" w:rsidRDefault="002C5025">
      <w:pPr>
        <w:pStyle w:val="BodyText"/>
        <w:kinsoku w:val="0"/>
        <w:overflowPunct w:val="0"/>
        <w:rPr>
          <w:rFonts w:ascii="Arial" w:hAnsi="Arial" w:cs="Arial"/>
        </w:rPr>
      </w:pPr>
    </w:p>
    <w:p w:rsidR="002C5025" w:rsidRDefault="002C5025">
      <w:pPr>
        <w:pStyle w:val="BodyText"/>
        <w:kinsoku w:val="0"/>
        <w:overflowPunct w:val="0"/>
        <w:rPr>
          <w:rFonts w:ascii="Arial" w:hAnsi="Arial" w:cs="Arial"/>
        </w:rPr>
      </w:pPr>
    </w:p>
    <w:p w:rsidR="002C5025" w:rsidRDefault="002C5025">
      <w:pPr>
        <w:pStyle w:val="BodyText"/>
        <w:kinsoku w:val="0"/>
        <w:overflowPunct w:val="0"/>
        <w:spacing w:before="128"/>
        <w:ind w:left="99"/>
        <w:rPr>
          <w:rFonts w:ascii="Arial" w:hAnsi="Arial" w:cs="Arial"/>
          <w:w w:val="105"/>
        </w:rPr>
      </w:pPr>
      <w:r>
        <w:rPr>
          <w:rFonts w:ascii="Arial" w:hAnsi="Arial" w:cs="Arial"/>
          <w:w w:val="105"/>
        </w:rPr>
        <w:t>Carolyn Brennan</w:t>
      </w:r>
    </w:p>
    <w:p w:rsidR="002C5025" w:rsidRDefault="002C5025">
      <w:pPr>
        <w:pStyle w:val="BodyText"/>
        <w:kinsoku w:val="0"/>
        <w:overflowPunct w:val="0"/>
        <w:spacing w:before="56"/>
        <w:ind w:left="106"/>
        <w:rPr>
          <w:rFonts w:ascii="Arial" w:hAnsi="Arial" w:cs="Arial"/>
          <w:w w:val="105"/>
        </w:rPr>
      </w:pPr>
      <w:r>
        <w:rPr>
          <w:rFonts w:ascii="Arial" w:hAnsi="Arial" w:cs="Arial"/>
          <w:w w:val="105"/>
        </w:rPr>
        <w:t>East Longmeadow Council on Aging</w:t>
      </w:r>
    </w:p>
    <w:p w:rsidR="002C5025" w:rsidRDefault="002C5025">
      <w:pPr>
        <w:pStyle w:val="BodyText"/>
        <w:kinsoku w:val="0"/>
        <w:overflowPunct w:val="0"/>
        <w:spacing w:before="6"/>
        <w:rPr>
          <w:rFonts w:ascii="Arial" w:hAnsi="Arial" w:cs="Arial"/>
          <w:sz w:val="30"/>
          <w:szCs w:val="30"/>
        </w:rPr>
      </w:pPr>
    </w:p>
    <w:p w:rsidR="002C5025" w:rsidRDefault="002C5025">
      <w:pPr>
        <w:pStyle w:val="BodyText"/>
        <w:kinsoku w:val="0"/>
        <w:overflowPunct w:val="0"/>
        <w:spacing w:before="1"/>
        <w:ind w:left="106"/>
        <w:rPr>
          <w:rFonts w:ascii="Arial" w:hAnsi="Arial" w:cs="Arial"/>
        </w:rPr>
      </w:pPr>
      <w:r>
        <w:rPr>
          <w:rFonts w:ascii="Arial" w:hAnsi="Arial" w:cs="Arial"/>
        </w:rPr>
        <w:t>Nancy Levine</w:t>
      </w:r>
    </w:p>
    <w:p w:rsidR="002C5025" w:rsidRDefault="002C5025">
      <w:pPr>
        <w:pStyle w:val="BodyText"/>
        <w:kinsoku w:val="0"/>
        <w:overflowPunct w:val="0"/>
        <w:spacing w:before="56"/>
        <w:ind w:left="106"/>
        <w:rPr>
          <w:rFonts w:ascii="Arial" w:hAnsi="Arial" w:cs="Arial"/>
          <w:w w:val="110"/>
        </w:rPr>
      </w:pPr>
      <w:r>
        <w:rPr>
          <w:rFonts w:ascii="Arial" w:hAnsi="Arial" w:cs="Arial"/>
          <w:w w:val="110"/>
        </w:rPr>
        <w:t>Friends of the Littleton Council on Aging</w:t>
      </w:r>
    </w:p>
    <w:p w:rsidR="002C5025" w:rsidRDefault="002C5025">
      <w:pPr>
        <w:pStyle w:val="BodyText"/>
        <w:kinsoku w:val="0"/>
        <w:overflowPunct w:val="0"/>
        <w:spacing w:before="2"/>
        <w:rPr>
          <w:rFonts w:ascii="Arial" w:hAnsi="Arial" w:cs="Arial"/>
          <w:sz w:val="31"/>
          <w:szCs w:val="31"/>
        </w:rPr>
      </w:pPr>
    </w:p>
    <w:p w:rsidR="002C5025" w:rsidRDefault="002C5025">
      <w:pPr>
        <w:pStyle w:val="BodyText"/>
        <w:kinsoku w:val="0"/>
        <w:overflowPunct w:val="0"/>
        <w:ind w:left="91"/>
        <w:rPr>
          <w:rFonts w:ascii="Arial" w:hAnsi="Arial" w:cs="Arial"/>
          <w:w w:val="105"/>
        </w:rPr>
      </w:pPr>
      <w:r>
        <w:rPr>
          <w:rFonts w:ascii="Arial" w:hAnsi="Arial" w:cs="Arial"/>
          <w:w w:val="105"/>
        </w:rPr>
        <w:t xml:space="preserve">Tracy </w:t>
      </w:r>
      <w:proofErr w:type="spellStart"/>
      <w:r>
        <w:rPr>
          <w:rFonts w:ascii="Arial" w:hAnsi="Arial" w:cs="Arial"/>
          <w:w w:val="105"/>
        </w:rPr>
        <w:t>Nowicki</w:t>
      </w:r>
      <w:proofErr w:type="spellEnd"/>
    </w:p>
    <w:p w:rsidR="002C5025" w:rsidRDefault="002C5025">
      <w:pPr>
        <w:pStyle w:val="BodyText"/>
        <w:kinsoku w:val="0"/>
        <w:overflowPunct w:val="0"/>
        <w:spacing w:before="49"/>
        <w:ind w:left="99"/>
        <w:rPr>
          <w:rFonts w:ascii="Arial" w:hAnsi="Arial" w:cs="Arial"/>
        </w:rPr>
      </w:pPr>
      <w:r>
        <w:rPr>
          <w:rFonts w:ascii="Arial" w:hAnsi="Arial" w:cs="Arial"/>
        </w:rPr>
        <w:t>Chelsea Council on Aging</w:t>
      </w:r>
    </w:p>
    <w:p w:rsidR="002C5025" w:rsidRDefault="002C5025">
      <w:pPr>
        <w:pStyle w:val="BodyText"/>
        <w:kinsoku w:val="0"/>
        <w:overflowPunct w:val="0"/>
        <w:spacing w:before="9"/>
        <w:rPr>
          <w:rFonts w:ascii="Arial" w:hAnsi="Arial" w:cs="Arial"/>
          <w:sz w:val="31"/>
          <w:szCs w:val="31"/>
        </w:rPr>
      </w:pPr>
    </w:p>
    <w:p w:rsidR="002C5025" w:rsidRDefault="002C5025">
      <w:pPr>
        <w:pStyle w:val="BodyText"/>
        <w:kinsoku w:val="0"/>
        <w:overflowPunct w:val="0"/>
        <w:ind w:left="106"/>
        <w:rPr>
          <w:rFonts w:ascii="Arial" w:hAnsi="Arial" w:cs="Arial"/>
        </w:rPr>
      </w:pPr>
      <w:r>
        <w:rPr>
          <w:rFonts w:ascii="Arial" w:hAnsi="Arial" w:cs="Arial"/>
        </w:rPr>
        <w:t>Rev. Debra Lee</w:t>
      </w:r>
    </w:p>
    <w:p w:rsidR="002C5025" w:rsidRDefault="002C5025">
      <w:pPr>
        <w:pStyle w:val="BodyText"/>
        <w:kinsoku w:val="0"/>
        <w:overflowPunct w:val="0"/>
        <w:spacing w:before="56" w:line="580" w:lineRule="auto"/>
        <w:ind w:left="84" w:right="1694" w:firstLine="14"/>
        <w:rPr>
          <w:rFonts w:ascii="Arial" w:hAnsi="Arial" w:cs="Arial"/>
          <w:w w:val="105"/>
        </w:rPr>
      </w:pPr>
      <w:r>
        <w:rPr>
          <w:rFonts w:ascii="Arial" w:hAnsi="Arial" w:cs="Arial"/>
          <w:w w:val="105"/>
        </w:rPr>
        <w:t>New Bedford Council on Aging Judith A. O'Connor</w:t>
      </w:r>
    </w:p>
    <w:p w:rsidR="002C5025" w:rsidRDefault="002C5025">
      <w:pPr>
        <w:pStyle w:val="BodyText"/>
        <w:kinsoku w:val="0"/>
        <w:overflowPunct w:val="0"/>
        <w:spacing w:before="56" w:line="580" w:lineRule="auto"/>
        <w:ind w:left="84" w:right="1694" w:firstLine="14"/>
        <w:rPr>
          <w:rFonts w:ascii="Arial" w:hAnsi="Arial" w:cs="Arial"/>
          <w:w w:val="105"/>
        </w:rPr>
        <w:sectPr w:rsidR="002C5025">
          <w:pgSz w:w="12240" w:h="15840"/>
          <w:pgMar w:top="980" w:right="1720" w:bottom="280" w:left="740" w:header="720" w:footer="720" w:gutter="0"/>
          <w:cols w:num="2" w:space="720" w:equalWidth="0">
            <w:col w:w="4781" w:space="40"/>
            <w:col w:w="4959"/>
          </w:cols>
          <w:noEndnote/>
        </w:sectPr>
      </w:pPr>
    </w:p>
    <w:p w:rsidR="002C5025" w:rsidRDefault="002C5025">
      <w:pPr>
        <w:pStyle w:val="BodyText"/>
        <w:kinsoku w:val="0"/>
        <w:overflowPunct w:val="0"/>
        <w:spacing w:before="48"/>
        <w:ind w:left="165" w:right="-17"/>
        <w:rPr>
          <w:rFonts w:ascii="Arial" w:hAnsi="Arial" w:cs="Arial"/>
          <w:sz w:val="23"/>
          <w:szCs w:val="23"/>
        </w:rPr>
      </w:pPr>
      <w:r>
        <w:rPr>
          <w:rFonts w:ascii="Arial" w:hAnsi="Arial" w:cs="Arial"/>
          <w:sz w:val="23"/>
          <w:szCs w:val="23"/>
        </w:rPr>
        <w:lastRenderedPageBreak/>
        <w:t>Dartmouth COA</w:t>
      </w:r>
    </w:p>
    <w:p w:rsidR="002C5025" w:rsidRDefault="002C5025">
      <w:pPr>
        <w:pStyle w:val="BodyText"/>
        <w:kinsoku w:val="0"/>
        <w:overflowPunct w:val="0"/>
        <w:spacing w:before="2"/>
        <w:rPr>
          <w:rFonts w:ascii="Arial" w:hAnsi="Arial" w:cs="Arial"/>
          <w:sz w:val="30"/>
          <w:szCs w:val="30"/>
        </w:rPr>
      </w:pPr>
    </w:p>
    <w:p w:rsidR="002C5025" w:rsidRDefault="002C5025">
      <w:pPr>
        <w:pStyle w:val="BodyText"/>
        <w:kinsoku w:val="0"/>
        <w:overflowPunct w:val="0"/>
        <w:ind w:left="144" w:right="-17"/>
        <w:rPr>
          <w:rFonts w:ascii="Arial" w:hAnsi="Arial" w:cs="Arial"/>
          <w:sz w:val="23"/>
          <w:szCs w:val="23"/>
        </w:rPr>
      </w:pPr>
      <w:r>
        <w:rPr>
          <w:rFonts w:ascii="Arial" w:hAnsi="Arial" w:cs="Arial"/>
          <w:sz w:val="23"/>
          <w:szCs w:val="23"/>
        </w:rPr>
        <w:t xml:space="preserve">Jackie </w:t>
      </w:r>
      <w:proofErr w:type="spellStart"/>
      <w:r>
        <w:rPr>
          <w:rFonts w:ascii="Arial" w:hAnsi="Arial" w:cs="Arial"/>
          <w:sz w:val="23"/>
          <w:szCs w:val="23"/>
        </w:rPr>
        <w:t>Coucci</w:t>
      </w:r>
      <w:proofErr w:type="spellEnd"/>
    </w:p>
    <w:p w:rsidR="002C5025" w:rsidRDefault="002C5025">
      <w:pPr>
        <w:pStyle w:val="BodyText"/>
        <w:kinsoku w:val="0"/>
        <w:overflowPunct w:val="0"/>
        <w:spacing w:before="38"/>
        <w:ind w:left="158" w:right="-17"/>
        <w:rPr>
          <w:rFonts w:ascii="Arial" w:hAnsi="Arial" w:cs="Arial"/>
          <w:sz w:val="23"/>
          <w:szCs w:val="23"/>
        </w:rPr>
      </w:pPr>
      <w:r>
        <w:rPr>
          <w:rFonts w:ascii="Arial" w:hAnsi="Arial" w:cs="Arial"/>
          <w:sz w:val="23"/>
          <w:szCs w:val="23"/>
        </w:rPr>
        <w:t>Mattapoisett Council  on Aging</w:t>
      </w:r>
    </w:p>
    <w:p w:rsidR="002C5025" w:rsidRDefault="002C5025">
      <w:pPr>
        <w:pStyle w:val="BodyText"/>
        <w:kinsoku w:val="0"/>
        <w:overflowPunct w:val="0"/>
        <w:spacing w:before="6"/>
        <w:rPr>
          <w:rFonts w:ascii="Arial" w:hAnsi="Arial" w:cs="Arial"/>
          <w:sz w:val="29"/>
          <w:szCs w:val="29"/>
        </w:rPr>
      </w:pPr>
    </w:p>
    <w:p w:rsidR="002C5025" w:rsidRDefault="002C5025">
      <w:pPr>
        <w:pStyle w:val="BodyText"/>
        <w:kinsoku w:val="0"/>
        <w:overflowPunct w:val="0"/>
        <w:spacing w:before="1"/>
        <w:ind w:left="144" w:right="-17"/>
        <w:rPr>
          <w:rFonts w:ascii="Arial" w:hAnsi="Arial" w:cs="Arial"/>
          <w:w w:val="105"/>
          <w:sz w:val="23"/>
          <w:szCs w:val="23"/>
        </w:rPr>
      </w:pPr>
      <w:r>
        <w:rPr>
          <w:rFonts w:ascii="Arial" w:hAnsi="Arial" w:cs="Arial"/>
          <w:w w:val="105"/>
          <w:sz w:val="23"/>
          <w:szCs w:val="23"/>
        </w:rPr>
        <w:t>Anne Shattuck</w:t>
      </w:r>
    </w:p>
    <w:p w:rsidR="002C5025" w:rsidRDefault="002C5025">
      <w:pPr>
        <w:pStyle w:val="BodyText"/>
        <w:kinsoku w:val="0"/>
        <w:overflowPunct w:val="0"/>
        <w:spacing w:before="45"/>
        <w:ind w:left="144" w:right="-17"/>
        <w:rPr>
          <w:rFonts w:ascii="Arial" w:hAnsi="Arial" w:cs="Arial"/>
          <w:sz w:val="23"/>
          <w:szCs w:val="23"/>
        </w:rPr>
      </w:pPr>
      <w:r>
        <w:rPr>
          <w:rFonts w:ascii="Arial" w:hAnsi="Arial" w:cs="Arial"/>
          <w:sz w:val="23"/>
          <w:szCs w:val="23"/>
        </w:rPr>
        <w:t>Specialty Home Care Services</w:t>
      </w:r>
    </w:p>
    <w:p w:rsidR="002C5025" w:rsidRDefault="002C5025">
      <w:pPr>
        <w:pStyle w:val="BodyText"/>
        <w:kinsoku w:val="0"/>
        <w:overflowPunct w:val="0"/>
        <w:spacing w:before="2"/>
        <w:rPr>
          <w:rFonts w:ascii="Arial" w:hAnsi="Arial" w:cs="Arial"/>
          <w:sz w:val="30"/>
          <w:szCs w:val="30"/>
        </w:rPr>
      </w:pPr>
    </w:p>
    <w:p w:rsidR="002C5025" w:rsidRDefault="002C5025">
      <w:pPr>
        <w:pStyle w:val="BodyText"/>
        <w:kinsoku w:val="0"/>
        <w:overflowPunct w:val="0"/>
        <w:ind w:left="136" w:right="-17"/>
        <w:rPr>
          <w:rFonts w:ascii="Arial" w:hAnsi="Arial" w:cs="Arial"/>
          <w:sz w:val="23"/>
          <w:szCs w:val="23"/>
        </w:rPr>
      </w:pPr>
      <w:r>
        <w:rPr>
          <w:rFonts w:ascii="Arial" w:hAnsi="Arial" w:cs="Arial"/>
          <w:sz w:val="23"/>
          <w:szCs w:val="23"/>
        </w:rPr>
        <w:t xml:space="preserve">June Cowen </w:t>
      </w:r>
      <w:proofErr w:type="spellStart"/>
      <w:r>
        <w:rPr>
          <w:rFonts w:ascii="Arial" w:hAnsi="Arial" w:cs="Arial"/>
          <w:sz w:val="23"/>
          <w:szCs w:val="23"/>
        </w:rPr>
        <w:t>Sauvageau</w:t>
      </w:r>
      <w:proofErr w:type="spellEnd"/>
    </w:p>
    <w:p w:rsidR="002C5025" w:rsidRDefault="002C5025">
      <w:pPr>
        <w:pStyle w:val="BodyText"/>
        <w:kinsoku w:val="0"/>
        <w:overflowPunct w:val="0"/>
        <w:spacing w:before="45"/>
        <w:ind w:left="158" w:right="-17"/>
        <w:rPr>
          <w:rFonts w:ascii="Arial" w:hAnsi="Arial" w:cs="Arial"/>
          <w:spacing w:val="-12"/>
          <w:w w:val="105"/>
          <w:sz w:val="23"/>
          <w:szCs w:val="23"/>
        </w:rPr>
      </w:pPr>
      <w:r>
        <w:rPr>
          <w:rFonts w:ascii="Arial" w:hAnsi="Arial" w:cs="Arial"/>
          <w:w w:val="105"/>
          <w:sz w:val="23"/>
          <w:szCs w:val="23"/>
        </w:rPr>
        <w:t xml:space="preserve">Northeast </w:t>
      </w:r>
      <w:r>
        <w:rPr>
          <w:rFonts w:ascii="Arial" w:hAnsi="Arial" w:cs="Arial"/>
          <w:spacing w:val="-4"/>
          <w:w w:val="105"/>
          <w:sz w:val="23"/>
          <w:szCs w:val="23"/>
        </w:rPr>
        <w:t xml:space="preserve">Independent </w:t>
      </w:r>
      <w:r>
        <w:rPr>
          <w:rFonts w:ascii="Arial" w:hAnsi="Arial" w:cs="Arial"/>
          <w:w w:val="105"/>
          <w:sz w:val="23"/>
          <w:szCs w:val="23"/>
        </w:rPr>
        <w:t xml:space="preserve">Living Program, </w:t>
      </w:r>
      <w:r>
        <w:rPr>
          <w:rFonts w:ascii="Arial" w:hAnsi="Arial" w:cs="Arial"/>
          <w:spacing w:val="-12"/>
          <w:w w:val="105"/>
          <w:sz w:val="23"/>
          <w:szCs w:val="23"/>
        </w:rPr>
        <w:t>Inc.</w:t>
      </w:r>
    </w:p>
    <w:p w:rsidR="002C5025" w:rsidRDefault="002C5025">
      <w:pPr>
        <w:pStyle w:val="BodyText"/>
        <w:kinsoku w:val="0"/>
        <w:overflowPunct w:val="0"/>
        <w:rPr>
          <w:rFonts w:ascii="Arial" w:hAnsi="Arial" w:cs="Arial"/>
        </w:rPr>
      </w:pPr>
    </w:p>
    <w:p w:rsidR="002C5025" w:rsidRDefault="002C5025">
      <w:pPr>
        <w:pStyle w:val="BodyText"/>
        <w:kinsoku w:val="0"/>
        <w:overflowPunct w:val="0"/>
        <w:rPr>
          <w:rFonts w:ascii="Arial" w:hAnsi="Arial" w:cs="Arial"/>
        </w:rPr>
      </w:pPr>
    </w:p>
    <w:p w:rsidR="002C5025" w:rsidRDefault="002C5025">
      <w:pPr>
        <w:pStyle w:val="BodyText"/>
        <w:kinsoku w:val="0"/>
        <w:overflowPunct w:val="0"/>
        <w:spacing w:before="144"/>
        <w:ind w:left="151" w:right="-17"/>
        <w:rPr>
          <w:rFonts w:ascii="Arial" w:hAnsi="Arial" w:cs="Arial"/>
          <w:w w:val="105"/>
          <w:sz w:val="23"/>
          <w:szCs w:val="23"/>
        </w:rPr>
      </w:pPr>
      <w:r>
        <w:rPr>
          <w:rFonts w:ascii="Arial" w:hAnsi="Arial" w:cs="Arial"/>
          <w:w w:val="105"/>
          <w:sz w:val="23"/>
          <w:szCs w:val="23"/>
        </w:rPr>
        <w:t>Mary Margaret Moore</w:t>
      </w:r>
    </w:p>
    <w:p w:rsidR="002C5025" w:rsidRDefault="002C5025">
      <w:pPr>
        <w:pStyle w:val="BodyText"/>
        <w:kinsoku w:val="0"/>
        <w:overflowPunct w:val="0"/>
        <w:spacing w:before="38" w:line="280" w:lineRule="auto"/>
        <w:ind w:left="136" w:right="-17" w:firstLine="14"/>
        <w:rPr>
          <w:rFonts w:ascii="Arial" w:hAnsi="Arial" w:cs="Arial"/>
          <w:sz w:val="23"/>
          <w:szCs w:val="23"/>
        </w:rPr>
      </w:pPr>
      <w:r>
        <w:rPr>
          <w:rFonts w:ascii="Arial" w:hAnsi="Arial" w:cs="Arial"/>
          <w:sz w:val="23"/>
          <w:szCs w:val="23"/>
        </w:rPr>
        <w:t>Independent Living Center of North Shore And Cape Ann</w:t>
      </w:r>
    </w:p>
    <w:p w:rsidR="002C5025" w:rsidRDefault="002C5025">
      <w:pPr>
        <w:pStyle w:val="BodyText"/>
        <w:kinsoku w:val="0"/>
        <w:overflowPunct w:val="0"/>
        <w:spacing w:before="4"/>
        <w:rPr>
          <w:rFonts w:ascii="Arial" w:hAnsi="Arial" w:cs="Arial"/>
          <w:sz w:val="26"/>
          <w:szCs w:val="26"/>
        </w:rPr>
      </w:pPr>
    </w:p>
    <w:p w:rsidR="002C5025" w:rsidRDefault="002C5025">
      <w:pPr>
        <w:pStyle w:val="BodyText"/>
        <w:kinsoku w:val="0"/>
        <w:overflowPunct w:val="0"/>
        <w:spacing w:before="1"/>
        <w:ind w:left="136" w:right="-17"/>
        <w:rPr>
          <w:rFonts w:ascii="Arial" w:hAnsi="Arial" w:cs="Arial"/>
          <w:sz w:val="23"/>
          <w:szCs w:val="23"/>
        </w:rPr>
      </w:pPr>
      <w:r>
        <w:rPr>
          <w:rFonts w:ascii="Arial" w:hAnsi="Arial" w:cs="Arial"/>
          <w:sz w:val="23"/>
          <w:szCs w:val="23"/>
        </w:rPr>
        <w:t>Trevor R.</w:t>
      </w:r>
      <w:r>
        <w:rPr>
          <w:rFonts w:ascii="Arial" w:hAnsi="Arial" w:cs="Arial"/>
          <w:spacing w:val="-50"/>
          <w:sz w:val="23"/>
          <w:szCs w:val="23"/>
        </w:rPr>
        <w:t xml:space="preserve"> </w:t>
      </w:r>
      <w:proofErr w:type="spellStart"/>
      <w:r>
        <w:rPr>
          <w:rFonts w:ascii="Arial" w:hAnsi="Arial" w:cs="Arial"/>
          <w:sz w:val="23"/>
          <w:szCs w:val="23"/>
        </w:rPr>
        <w:t>Ruggles</w:t>
      </w:r>
      <w:proofErr w:type="spellEnd"/>
    </w:p>
    <w:p w:rsidR="002C5025" w:rsidRDefault="002C5025">
      <w:pPr>
        <w:pStyle w:val="BodyText"/>
        <w:kinsoku w:val="0"/>
        <w:overflowPunct w:val="0"/>
        <w:spacing w:before="38"/>
        <w:ind w:left="151" w:right="-17"/>
        <w:rPr>
          <w:rFonts w:ascii="Arial" w:hAnsi="Arial" w:cs="Arial"/>
          <w:sz w:val="23"/>
          <w:szCs w:val="23"/>
        </w:rPr>
      </w:pPr>
      <w:r>
        <w:rPr>
          <w:rFonts w:ascii="Arial" w:hAnsi="Arial" w:cs="Arial"/>
          <w:sz w:val="23"/>
          <w:szCs w:val="23"/>
        </w:rPr>
        <w:t>Independence  Healthcare Corporation</w:t>
      </w:r>
    </w:p>
    <w:p w:rsidR="002C5025" w:rsidRDefault="002C5025">
      <w:pPr>
        <w:pStyle w:val="BodyText"/>
        <w:kinsoku w:val="0"/>
        <w:overflowPunct w:val="0"/>
        <w:spacing w:before="2"/>
        <w:rPr>
          <w:rFonts w:ascii="Arial" w:hAnsi="Arial" w:cs="Arial"/>
          <w:sz w:val="30"/>
          <w:szCs w:val="30"/>
        </w:rPr>
      </w:pPr>
    </w:p>
    <w:p w:rsidR="002C5025" w:rsidRDefault="002C5025">
      <w:pPr>
        <w:pStyle w:val="BodyText"/>
        <w:kinsoku w:val="0"/>
        <w:overflowPunct w:val="0"/>
        <w:spacing w:line="273" w:lineRule="auto"/>
        <w:ind w:left="144" w:right="2383"/>
        <w:rPr>
          <w:rFonts w:ascii="Arial" w:hAnsi="Arial" w:cs="Arial"/>
          <w:sz w:val="23"/>
          <w:szCs w:val="23"/>
        </w:rPr>
      </w:pPr>
      <w:r>
        <w:rPr>
          <w:rFonts w:ascii="Arial" w:hAnsi="Arial" w:cs="Arial"/>
          <w:sz w:val="23"/>
          <w:szCs w:val="23"/>
        </w:rPr>
        <w:t xml:space="preserve">Karen A. </w:t>
      </w:r>
      <w:proofErr w:type="spellStart"/>
      <w:r>
        <w:rPr>
          <w:rFonts w:ascii="Arial" w:hAnsi="Arial" w:cs="Arial"/>
          <w:sz w:val="23"/>
          <w:szCs w:val="23"/>
        </w:rPr>
        <w:t>Hulette</w:t>
      </w:r>
      <w:proofErr w:type="spellEnd"/>
      <w:r>
        <w:rPr>
          <w:rFonts w:ascii="Arial" w:hAnsi="Arial" w:cs="Arial"/>
          <w:sz w:val="23"/>
          <w:szCs w:val="23"/>
        </w:rPr>
        <w:t xml:space="preserve"> MOC</w:t>
      </w:r>
      <w:r>
        <w:rPr>
          <w:rFonts w:ascii="Arial" w:hAnsi="Arial" w:cs="Arial"/>
          <w:spacing w:val="-42"/>
          <w:sz w:val="23"/>
          <w:szCs w:val="23"/>
        </w:rPr>
        <w:t xml:space="preserve"> </w:t>
      </w:r>
      <w:r>
        <w:rPr>
          <w:rFonts w:ascii="Arial" w:hAnsi="Arial" w:cs="Arial"/>
          <w:sz w:val="23"/>
          <w:szCs w:val="23"/>
        </w:rPr>
        <w:t>Energy</w:t>
      </w:r>
      <w:r>
        <w:rPr>
          <w:rFonts w:ascii="Arial" w:hAnsi="Arial" w:cs="Arial"/>
          <w:spacing w:val="-44"/>
          <w:sz w:val="23"/>
          <w:szCs w:val="23"/>
        </w:rPr>
        <w:t xml:space="preserve"> </w:t>
      </w:r>
      <w:r>
        <w:rPr>
          <w:rFonts w:ascii="Arial" w:hAnsi="Arial" w:cs="Arial"/>
          <w:sz w:val="23"/>
          <w:szCs w:val="23"/>
        </w:rPr>
        <w:t>Services</w:t>
      </w:r>
    </w:p>
    <w:p w:rsidR="002C5025" w:rsidRDefault="002C5025">
      <w:pPr>
        <w:pStyle w:val="BodyText"/>
        <w:kinsoku w:val="0"/>
        <w:overflowPunct w:val="0"/>
        <w:spacing w:before="1"/>
        <w:rPr>
          <w:rFonts w:ascii="Arial" w:hAnsi="Arial" w:cs="Arial"/>
          <w:sz w:val="27"/>
          <w:szCs w:val="27"/>
        </w:rPr>
      </w:pPr>
    </w:p>
    <w:p w:rsidR="002C5025" w:rsidRDefault="002C5025">
      <w:pPr>
        <w:pStyle w:val="BodyText"/>
        <w:kinsoku w:val="0"/>
        <w:overflowPunct w:val="0"/>
        <w:ind w:left="144" w:right="-17"/>
        <w:rPr>
          <w:rFonts w:ascii="Arial" w:hAnsi="Arial" w:cs="Arial"/>
          <w:sz w:val="23"/>
          <w:szCs w:val="23"/>
        </w:rPr>
      </w:pPr>
      <w:r>
        <w:rPr>
          <w:rFonts w:ascii="Arial" w:hAnsi="Arial" w:cs="Arial"/>
          <w:sz w:val="23"/>
          <w:szCs w:val="23"/>
        </w:rPr>
        <w:t>Linda Ravenscroft</w:t>
      </w:r>
    </w:p>
    <w:p w:rsidR="002C5025" w:rsidRDefault="002C5025">
      <w:pPr>
        <w:pStyle w:val="BodyText"/>
        <w:kinsoku w:val="0"/>
        <w:overflowPunct w:val="0"/>
        <w:spacing w:before="45"/>
        <w:ind w:left="136" w:right="-12"/>
        <w:rPr>
          <w:rFonts w:ascii="Arial" w:hAnsi="Arial" w:cs="Arial"/>
          <w:w w:val="105"/>
          <w:sz w:val="23"/>
          <w:szCs w:val="23"/>
        </w:rPr>
      </w:pPr>
      <w:r>
        <w:rPr>
          <w:rFonts w:ascii="Arial" w:hAnsi="Arial" w:cs="Arial"/>
          <w:w w:val="105"/>
          <w:sz w:val="23"/>
          <w:szCs w:val="23"/>
        </w:rPr>
        <w:t>Capital</w:t>
      </w:r>
      <w:r>
        <w:rPr>
          <w:rFonts w:ascii="Arial" w:hAnsi="Arial" w:cs="Arial"/>
          <w:spacing w:val="-28"/>
          <w:w w:val="105"/>
          <w:sz w:val="23"/>
          <w:szCs w:val="23"/>
        </w:rPr>
        <w:t xml:space="preserve"> </w:t>
      </w:r>
      <w:r>
        <w:rPr>
          <w:rFonts w:ascii="Arial" w:hAnsi="Arial" w:cs="Arial"/>
          <w:spacing w:val="-4"/>
          <w:w w:val="105"/>
          <w:sz w:val="23"/>
          <w:szCs w:val="23"/>
        </w:rPr>
        <w:t>International</w:t>
      </w:r>
      <w:r>
        <w:rPr>
          <w:rFonts w:ascii="Arial" w:hAnsi="Arial" w:cs="Arial"/>
          <w:spacing w:val="-30"/>
          <w:w w:val="105"/>
          <w:sz w:val="23"/>
          <w:szCs w:val="23"/>
        </w:rPr>
        <w:t xml:space="preserve"> </w:t>
      </w:r>
      <w:r>
        <w:rPr>
          <w:rFonts w:ascii="Arial" w:hAnsi="Arial" w:cs="Arial"/>
          <w:w w:val="105"/>
          <w:sz w:val="23"/>
          <w:szCs w:val="23"/>
        </w:rPr>
        <w:t>&amp;Home</w:t>
      </w:r>
      <w:r>
        <w:rPr>
          <w:rFonts w:ascii="Arial" w:hAnsi="Arial" w:cs="Arial"/>
          <w:spacing w:val="-22"/>
          <w:w w:val="105"/>
          <w:sz w:val="23"/>
          <w:szCs w:val="23"/>
        </w:rPr>
        <w:t xml:space="preserve"> </w:t>
      </w:r>
      <w:r>
        <w:rPr>
          <w:rFonts w:ascii="Arial" w:hAnsi="Arial" w:cs="Arial"/>
          <w:spacing w:val="-3"/>
          <w:w w:val="105"/>
          <w:sz w:val="23"/>
          <w:szCs w:val="23"/>
        </w:rPr>
        <w:t>Health</w:t>
      </w:r>
      <w:r>
        <w:rPr>
          <w:rFonts w:ascii="Arial" w:hAnsi="Arial" w:cs="Arial"/>
          <w:spacing w:val="-36"/>
          <w:w w:val="105"/>
          <w:sz w:val="23"/>
          <w:szCs w:val="23"/>
        </w:rPr>
        <w:t xml:space="preserve"> </w:t>
      </w:r>
      <w:r>
        <w:rPr>
          <w:rFonts w:ascii="Arial" w:hAnsi="Arial" w:cs="Arial"/>
          <w:w w:val="105"/>
          <w:sz w:val="23"/>
          <w:szCs w:val="23"/>
        </w:rPr>
        <w:t>Services</w:t>
      </w:r>
    </w:p>
    <w:p w:rsidR="002C5025" w:rsidRDefault="002C5025">
      <w:pPr>
        <w:pStyle w:val="BodyText"/>
        <w:kinsoku w:val="0"/>
        <w:overflowPunct w:val="0"/>
        <w:spacing w:before="55"/>
        <w:ind w:left="172" w:right="704"/>
        <w:rPr>
          <w:rFonts w:ascii="Arial" w:hAnsi="Arial" w:cs="Arial"/>
          <w:sz w:val="23"/>
          <w:szCs w:val="23"/>
        </w:rPr>
      </w:pPr>
      <w:r>
        <w:rPr>
          <w:rFonts w:ascii="Times New Roman" w:hAnsi="Times New Roman" w:cs="Times New Roman"/>
          <w:sz w:val="24"/>
          <w:szCs w:val="24"/>
        </w:rPr>
        <w:br w:type="column"/>
      </w:r>
      <w:r>
        <w:rPr>
          <w:rFonts w:ascii="Arial" w:hAnsi="Arial" w:cs="Arial"/>
          <w:sz w:val="23"/>
          <w:szCs w:val="23"/>
        </w:rPr>
        <w:lastRenderedPageBreak/>
        <w:t>Millbury Council on Aging</w:t>
      </w:r>
    </w:p>
    <w:p w:rsidR="002C5025" w:rsidRDefault="002C5025">
      <w:pPr>
        <w:pStyle w:val="BodyText"/>
        <w:kinsoku w:val="0"/>
        <w:overflowPunct w:val="0"/>
        <w:spacing w:before="2"/>
        <w:rPr>
          <w:rFonts w:ascii="Arial" w:hAnsi="Arial" w:cs="Arial"/>
          <w:sz w:val="30"/>
          <w:szCs w:val="30"/>
        </w:rPr>
      </w:pPr>
    </w:p>
    <w:p w:rsidR="002C5025" w:rsidRDefault="002C5025">
      <w:pPr>
        <w:pStyle w:val="BodyText"/>
        <w:kinsoku w:val="0"/>
        <w:overflowPunct w:val="0"/>
        <w:ind w:left="158" w:right="704"/>
        <w:rPr>
          <w:rFonts w:ascii="Arial" w:hAnsi="Arial" w:cs="Arial"/>
          <w:sz w:val="23"/>
          <w:szCs w:val="23"/>
        </w:rPr>
      </w:pPr>
      <w:r>
        <w:rPr>
          <w:rFonts w:ascii="Arial" w:hAnsi="Arial" w:cs="Arial"/>
          <w:sz w:val="23"/>
          <w:szCs w:val="23"/>
        </w:rPr>
        <w:t>Ann Ruder</w:t>
      </w:r>
    </w:p>
    <w:p w:rsidR="002C5025" w:rsidRDefault="002C5025">
      <w:pPr>
        <w:pStyle w:val="BodyText"/>
        <w:kinsoku w:val="0"/>
        <w:overflowPunct w:val="0"/>
        <w:spacing w:before="38"/>
        <w:ind w:left="158" w:right="704"/>
        <w:rPr>
          <w:rFonts w:ascii="Arial" w:hAnsi="Arial" w:cs="Arial"/>
          <w:sz w:val="23"/>
          <w:szCs w:val="23"/>
        </w:rPr>
      </w:pPr>
      <w:r>
        <w:rPr>
          <w:rFonts w:ascii="Arial" w:hAnsi="Arial" w:cs="Arial"/>
          <w:sz w:val="23"/>
          <w:szCs w:val="23"/>
        </w:rPr>
        <w:t>Center for Living</w:t>
      </w:r>
      <w:r>
        <w:rPr>
          <w:rFonts w:ascii="Arial" w:hAnsi="Arial" w:cs="Arial"/>
          <w:spacing w:val="-54"/>
          <w:sz w:val="23"/>
          <w:szCs w:val="23"/>
        </w:rPr>
        <w:t xml:space="preserve"> </w:t>
      </w:r>
      <w:r>
        <w:rPr>
          <w:rFonts w:ascii="Arial" w:hAnsi="Arial" w:cs="Arial"/>
          <w:sz w:val="23"/>
          <w:szCs w:val="23"/>
        </w:rPr>
        <w:t>Y Work</w:t>
      </w:r>
    </w:p>
    <w:p w:rsidR="002C5025" w:rsidRDefault="002C5025">
      <w:pPr>
        <w:pStyle w:val="BodyText"/>
        <w:kinsoku w:val="0"/>
        <w:overflowPunct w:val="0"/>
        <w:spacing w:before="2"/>
        <w:rPr>
          <w:rFonts w:ascii="Arial" w:hAnsi="Arial" w:cs="Arial"/>
          <w:sz w:val="30"/>
          <w:szCs w:val="30"/>
        </w:rPr>
      </w:pPr>
    </w:p>
    <w:p w:rsidR="002C5025" w:rsidRDefault="002C5025">
      <w:pPr>
        <w:pStyle w:val="BodyText"/>
        <w:kinsoku w:val="0"/>
        <w:overflowPunct w:val="0"/>
        <w:ind w:left="151" w:right="704"/>
        <w:rPr>
          <w:rFonts w:ascii="Arial" w:hAnsi="Arial" w:cs="Arial"/>
          <w:sz w:val="23"/>
          <w:szCs w:val="23"/>
        </w:rPr>
      </w:pPr>
      <w:r>
        <w:rPr>
          <w:rFonts w:ascii="Arial" w:hAnsi="Arial" w:cs="Arial"/>
          <w:sz w:val="23"/>
          <w:szCs w:val="23"/>
        </w:rPr>
        <w:t>Amy Tobin</w:t>
      </w:r>
    </w:p>
    <w:p w:rsidR="002C5025" w:rsidRDefault="002C5025">
      <w:pPr>
        <w:pStyle w:val="BodyText"/>
        <w:kinsoku w:val="0"/>
        <w:overflowPunct w:val="0"/>
        <w:spacing w:before="45"/>
        <w:ind w:left="158" w:right="704"/>
        <w:rPr>
          <w:rFonts w:ascii="Arial" w:hAnsi="Arial" w:cs="Arial"/>
          <w:sz w:val="23"/>
          <w:szCs w:val="23"/>
        </w:rPr>
      </w:pPr>
      <w:r>
        <w:rPr>
          <w:rFonts w:ascii="Arial" w:hAnsi="Arial" w:cs="Arial"/>
          <w:sz w:val="23"/>
          <w:szCs w:val="23"/>
        </w:rPr>
        <w:t>Southeastern Mass Home Health Aides</w:t>
      </w:r>
    </w:p>
    <w:p w:rsidR="002C5025" w:rsidRDefault="002C5025">
      <w:pPr>
        <w:pStyle w:val="BodyText"/>
        <w:kinsoku w:val="0"/>
        <w:overflowPunct w:val="0"/>
        <w:spacing w:before="2"/>
        <w:rPr>
          <w:rFonts w:ascii="Arial" w:hAnsi="Arial" w:cs="Arial"/>
          <w:sz w:val="30"/>
          <w:szCs w:val="30"/>
        </w:rPr>
      </w:pPr>
    </w:p>
    <w:p w:rsidR="002C5025" w:rsidRDefault="002C5025">
      <w:pPr>
        <w:pStyle w:val="BodyText"/>
        <w:kinsoku w:val="0"/>
        <w:overflowPunct w:val="0"/>
        <w:ind w:left="151" w:right="704"/>
        <w:rPr>
          <w:rFonts w:ascii="Arial" w:hAnsi="Arial" w:cs="Arial"/>
          <w:spacing w:val="2"/>
          <w:sz w:val="23"/>
          <w:szCs w:val="23"/>
        </w:rPr>
      </w:pPr>
      <w:r>
        <w:rPr>
          <w:rFonts w:ascii="Arial" w:hAnsi="Arial" w:cs="Arial"/>
          <w:sz w:val="23"/>
          <w:szCs w:val="23"/>
        </w:rPr>
        <w:t>Teresa Gove</w:t>
      </w:r>
      <w:r>
        <w:rPr>
          <w:rFonts w:ascii="Arial" w:hAnsi="Arial" w:cs="Arial"/>
          <w:spacing w:val="-53"/>
          <w:sz w:val="23"/>
          <w:szCs w:val="23"/>
        </w:rPr>
        <w:t xml:space="preserve"> </w:t>
      </w:r>
      <w:r>
        <w:rPr>
          <w:rFonts w:ascii="Arial" w:hAnsi="Arial" w:cs="Arial"/>
          <w:spacing w:val="2"/>
          <w:sz w:val="23"/>
          <w:szCs w:val="23"/>
        </w:rPr>
        <w:t>Arnold</w:t>
      </w:r>
    </w:p>
    <w:p w:rsidR="002C5025" w:rsidRDefault="002C5025">
      <w:pPr>
        <w:pStyle w:val="BodyText"/>
        <w:kinsoku w:val="0"/>
        <w:overflowPunct w:val="0"/>
        <w:spacing w:before="29" w:line="276" w:lineRule="auto"/>
        <w:ind w:left="151" w:right="704"/>
        <w:rPr>
          <w:rFonts w:ascii="Arial" w:hAnsi="Arial" w:cs="Arial"/>
          <w:sz w:val="23"/>
          <w:szCs w:val="23"/>
        </w:rPr>
      </w:pPr>
      <w:r>
        <w:rPr>
          <w:rFonts w:ascii="Arial" w:hAnsi="Arial" w:cs="Arial"/>
          <w:sz w:val="23"/>
          <w:szCs w:val="23"/>
        </w:rPr>
        <w:t xml:space="preserve">Aging </w:t>
      </w:r>
      <w:r>
        <w:rPr>
          <w:rFonts w:ascii="Times New Roman" w:hAnsi="Times New Roman" w:cs="Times New Roman"/>
          <w:sz w:val="24"/>
          <w:szCs w:val="24"/>
        </w:rPr>
        <w:t xml:space="preserve">&amp; </w:t>
      </w:r>
      <w:r>
        <w:rPr>
          <w:rFonts w:ascii="Arial" w:hAnsi="Arial" w:cs="Arial"/>
          <w:sz w:val="23"/>
          <w:szCs w:val="23"/>
        </w:rPr>
        <w:t>Disability Resource Consortium Of the Greater North Shore</w:t>
      </w:r>
    </w:p>
    <w:p w:rsidR="002C5025" w:rsidRDefault="002C5025">
      <w:pPr>
        <w:pStyle w:val="BodyText"/>
        <w:kinsoku w:val="0"/>
        <w:overflowPunct w:val="0"/>
        <w:spacing w:before="10"/>
        <w:rPr>
          <w:rFonts w:ascii="Arial" w:hAnsi="Arial" w:cs="Arial"/>
          <w:sz w:val="26"/>
          <w:szCs w:val="26"/>
        </w:rPr>
      </w:pPr>
    </w:p>
    <w:p w:rsidR="002C5025" w:rsidRDefault="002C5025">
      <w:pPr>
        <w:pStyle w:val="BodyText"/>
        <w:kinsoku w:val="0"/>
        <w:overflowPunct w:val="0"/>
        <w:ind w:left="158" w:right="704"/>
        <w:rPr>
          <w:rFonts w:ascii="Arial" w:hAnsi="Arial" w:cs="Arial"/>
          <w:w w:val="95"/>
          <w:sz w:val="23"/>
          <w:szCs w:val="23"/>
        </w:rPr>
      </w:pPr>
      <w:r>
        <w:rPr>
          <w:rFonts w:ascii="Arial" w:hAnsi="Arial" w:cs="Arial"/>
          <w:w w:val="95"/>
          <w:sz w:val="23"/>
          <w:szCs w:val="23"/>
        </w:rPr>
        <w:t xml:space="preserve">Donna </w:t>
      </w:r>
      <w:proofErr w:type="spellStart"/>
      <w:r>
        <w:rPr>
          <w:rFonts w:ascii="Arial" w:hAnsi="Arial" w:cs="Arial"/>
          <w:w w:val="95"/>
          <w:sz w:val="23"/>
          <w:szCs w:val="23"/>
        </w:rPr>
        <w:t>Sbardella</w:t>
      </w:r>
      <w:proofErr w:type="spellEnd"/>
    </w:p>
    <w:p w:rsidR="002C5025" w:rsidRDefault="002C5025">
      <w:pPr>
        <w:pStyle w:val="BodyText"/>
        <w:kinsoku w:val="0"/>
        <w:overflowPunct w:val="0"/>
        <w:spacing w:before="38"/>
        <w:ind w:left="143" w:right="704"/>
        <w:rPr>
          <w:rFonts w:ascii="Arial" w:hAnsi="Arial" w:cs="Arial"/>
          <w:sz w:val="23"/>
          <w:szCs w:val="23"/>
        </w:rPr>
      </w:pPr>
      <w:r>
        <w:rPr>
          <w:rFonts w:ascii="Arial" w:hAnsi="Arial" w:cs="Arial"/>
          <w:sz w:val="23"/>
          <w:szCs w:val="23"/>
        </w:rPr>
        <w:t>Anodyne Homemaker Services</w:t>
      </w:r>
    </w:p>
    <w:p w:rsidR="002C5025" w:rsidRDefault="002C5025">
      <w:pPr>
        <w:pStyle w:val="BodyText"/>
        <w:kinsoku w:val="0"/>
        <w:overflowPunct w:val="0"/>
        <w:rPr>
          <w:rFonts w:ascii="Arial" w:hAnsi="Arial" w:cs="Arial"/>
        </w:rPr>
      </w:pPr>
    </w:p>
    <w:p w:rsidR="002C5025" w:rsidRDefault="002C5025">
      <w:pPr>
        <w:pStyle w:val="BodyText"/>
        <w:kinsoku w:val="0"/>
        <w:overflowPunct w:val="0"/>
        <w:rPr>
          <w:rFonts w:ascii="Arial" w:hAnsi="Arial" w:cs="Arial"/>
        </w:rPr>
      </w:pPr>
    </w:p>
    <w:p w:rsidR="002C5025" w:rsidRDefault="002C5025">
      <w:pPr>
        <w:pStyle w:val="BodyText"/>
        <w:kinsoku w:val="0"/>
        <w:overflowPunct w:val="0"/>
        <w:spacing w:before="151" w:line="273" w:lineRule="auto"/>
        <w:ind w:left="143" w:right="3358" w:hanging="8"/>
        <w:rPr>
          <w:rFonts w:ascii="Arial" w:hAnsi="Arial" w:cs="Arial"/>
          <w:sz w:val="23"/>
          <w:szCs w:val="23"/>
        </w:rPr>
      </w:pPr>
      <w:r>
        <w:rPr>
          <w:rFonts w:ascii="Arial" w:hAnsi="Arial" w:cs="Arial"/>
          <w:sz w:val="23"/>
          <w:szCs w:val="23"/>
        </w:rPr>
        <w:t>Jim Kruidenier Stavros</w:t>
      </w:r>
    </w:p>
    <w:p w:rsidR="002C5025" w:rsidRDefault="002C5025">
      <w:pPr>
        <w:pStyle w:val="BodyText"/>
        <w:kinsoku w:val="0"/>
        <w:overflowPunct w:val="0"/>
        <w:spacing w:before="1"/>
        <w:rPr>
          <w:rFonts w:ascii="Arial" w:hAnsi="Arial" w:cs="Arial"/>
          <w:sz w:val="27"/>
          <w:szCs w:val="27"/>
        </w:rPr>
      </w:pPr>
    </w:p>
    <w:p w:rsidR="002C5025" w:rsidRDefault="002C5025">
      <w:pPr>
        <w:pStyle w:val="BodyText"/>
        <w:kinsoku w:val="0"/>
        <w:overflowPunct w:val="0"/>
        <w:spacing w:line="273" w:lineRule="auto"/>
        <w:ind w:left="136" w:right="2642"/>
        <w:rPr>
          <w:rFonts w:ascii="Arial" w:hAnsi="Arial" w:cs="Arial"/>
          <w:sz w:val="23"/>
          <w:szCs w:val="23"/>
        </w:rPr>
      </w:pPr>
      <w:r>
        <w:rPr>
          <w:rFonts w:ascii="Arial" w:hAnsi="Arial" w:cs="Arial"/>
          <w:sz w:val="23"/>
          <w:szCs w:val="23"/>
        </w:rPr>
        <w:t>Alecia Lombard Active Home Care</w:t>
      </w:r>
    </w:p>
    <w:p w:rsidR="002C5025" w:rsidRDefault="002C5025">
      <w:pPr>
        <w:pStyle w:val="BodyText"/>
        <w:kinsoku w:val="0"/>
        <w:overflowPunct w:val="0"/>
        <w:spacing w:before="1"/>
        <w:rPr>
          <w:rFonts w:ascii="Arial" w:hAnsi="Arial" w:cs="Arial"/>
          <w:sz w:val="27"/>
          <w:szCs w:val="27"/>
        </w:rPr>
      </w:pPr>
    </w:p>
    <w:p w:rsidR="002C5025" w:rsidRDefault="002C5025">
      <w:pPr>
        <w:pStyle w:val="BodyText"/>
        <w:kinsoku w:val="0"/>
        <w:overflowPunct w:val="0"/>
        <w:spacing w:line="280" w:lineRule="auto"/>
        <w:ind w:left="208" w:right="2095" w:hanging="65"/>
        <w:rPr>
          <w:rFonts w:ascii="Arial" w:hAnsi="Arial" w:cs="Arial"/>
          <w:sz w:val="23"/>
          <w:szCs w:val="23"/>
        </w:rPr>
      </w:pPr>
      <w:r>
        <w:rPr>
          <w:rFonts w:ascii="Arial" w:hAnsi="Arial" w:cs="Arial"/>
          <w:sz w:val="23"/>
          <w:szCs w:val="23"/>
        </w:rPr>
        <w:t>Pamela Woodbury Spencer Council on Aging</w:t>
      </w:r>
    </w:p>
    <w:p w:rsidR="002C5025" w:rsidRDefault="002C5025">
      <w:pPr>
        <w:pStyle w:val="BodyText"/>
        <w:kinsoku w:val="0"/>
        <w:overflowPunct w:val="0"/>
        <w:spacing w:line="280" w:lineRule="auto"/>
        <w:ind w:left="208" w:right="2095" w:hanging="65"/>
        <w:rPr>
          <w:rFonts w:ascii="Arial" w:hAnsi="Arial" w:cs="Arial"/>
          <w:sz w:val="23"/>
          <w:szCs w:val="23"/>
        </w:rPr>
        <w:sectPr w:rsidR="002C5025">
          <w:pgSz w:w="12240" w:h="15840"/>
          <w:pgMar w:top="960" w:right="1720" w:bottom="280" w:left="720" w:header="720" w:footer="720" w:gutter="0"/>
          <w:cols w:num="2" w:space="720" w:equalWidth="0">
            <w:col w:w="4737" w:space="80"/>
            <w:col w:w="4983"/>
          </w:cols>
          <w:noEndnote/>
        </w:sect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10"/>
        <w:rPr>
          <w:rFonts w:ascii="Arial" w:hAnsi="Arial" w:cs="Arial"/>
          <w:sz w:val="23"/>
          <w:szCs w:val="23"/>
        </w:rPr>
      </w:pPr>
    </w:p>
    <w:p w:rsidR="002C5025" w:rsidRDefault="002C5025">
      <w:pPr>
        <w:pStyle w:val="BodyText"/>
        <w:tabs>
          <w:tab w:val="left" w:pos="4946"/>
          <w:tab w:val="left" w:pos="5284"/>
        </w:tabs>
        <w:kinsoku w:val="0"/>
        <w:overflowPunct w:val="0"/>
        <w:spacing w:before="68" w:line="256" w:lineRule="auto"/>
        <w:ind w:left="144" w:right="2066" w:hanging="8"/>
        <w:rPr>
          <w:rFonts w:ascii="Arial" w:hAnsi="Arial" w:cs="Arial"/>
          <w:w w:val="115"/>
          <w:sz w:val="23"/>
          <w:szCs w:val="23"/>
        </w:rPr>
      </w:pPr>
      <w:r>
        <w:rPr>
          <w:rFonts w:ascii="Arial" w:hAnsi="Arial" w:cs="Arial"/>
          <w:w w:val="115"/>
          <w:sz w:val="23"/>
          <w:szCs w:val="23"/>
        </w:rPr>
        <w:t>Stephen</w:t>
      </w:r>
      <w:r>
        <w:rPr>
          <w:rFonts w:ascii="Arial" w:hAnsi="Arial" w:cs="Arial"/>
          <w:spacing w:val="17"/>
          <w:w w:val="115"/>
          <w:sz w:val="23"/>
          <w:szCs w:val="23"/>
        </w:rPr>
        <w:t xml:space="preserve"> </w:t>
      </w:r>
      <w:r>
        <w:rPr>
          <w:rFonts w:ascii="Arial" w:hAnsi="Arial" w:cs="Arial"/>
          <w:spacing w:val="-3"/>
          <w:w w:val="115"/>
          <w:sz w:val="23"/>
          <w:szCs w:val="23"/>
        </w:rPr>
        <w:t>Pitcher</w:t>
      </w:r>
      <w:r>
        <w:rPr>
          <w:rFonts w:ascii="Arial" w:hAnsi="Arial" w:cs="Arial"/>
          <w:spacing w:val="-3"/>
          <w:w w:val="115"/>
          <w:sz w:val="23"/>
          <w:szCs w:val="23"/>
        </w:rPr>
        <w:tab/>
      </w:r>
      <w:r>
        <w:rPr>
          <w:rFonts w:ascii="Arial" w:hAnsi="Arial" w:cs="Arial"/>
          <w:spacing w:val="-4"/>
          <w:w w:val="115"/>
          <w:sz w:val="23"/>
          <w:szCs w:val="23"/>
        </w:rPr>
        <w:t xml:space="preserve">Julius </w:t>
      </w:r>
      <w:r>
        <w:rPr>
          <w:rFonts w:ascii="Arial" w:hAnsi="Arial" w:cs="Arial"/>
          <w:w w:val="115"/>
          <w:sz w:val="25"/>
          <w:szCs w:val="25"/>
        </w:rPr>
        <w:t>&amp;</w:t>
      </w:r>
      <w:r>
        <w:rPr>
          <w:rFonts w:ascii="Arial" w:hAnsi="Arial" w:cs="Arial"/>
          <w:spacing w:val="25"/>
          <w:w w:val="115"/>
          <w:sz w:val="25"/>
          <w:szCs w:val="25"/>
        </w:rPr>
        <w:t xml:space="preserve"> </w:t>
      </w:r>
      <w:r>
        <w:rPr>
          <w:rFonts w:ascii="Arial" w:hAnsi="Arial" w:cs="Arial"/>
          <w:w w:val="115"/>
          <w:sz w:val="23"/>
          <w:szCs w:val="23"/>
        </w:rPr>
        <w:t>Sandra</w:t>
      </w:r>
      <w:r>
        <w:rPr>
          <w:rFonts w:ascii="Arial" w:hAnsi="Arial" w:cs="Arial"/>
          <w:spacing w:val="51"/>
          <w:w w:val="115"/>
          <w:sz w:val="23"/>
          <w:szCs w:val="23"/>
        </w:rPr>
        <w:t xml:space="preserve"> </w:t>
      </w:r>
      <w:proofErr w:type="spellStart"/>
      <w:r>
        <w:rPr>
          <w:rFonts w:ascii="Arial" w:hAnsi="Arial" w:cs="Arial"/>
          <w:spacing w:val="-4"/>
          <w:w w:val="115"/>
          <w:sz w:val="23"/>
          <w:szCs w:val="23"/>
        </w:rPr>
        <w:t>Britto</w:t>
      </w:r>
      <w:proofErr w:type="spellEnd"/>
      <w:r>
        <w:rPr>
          <w:rFonts w:ascii="Arial" w:hAnsi="Arial" w:cs="Arial"/>
          <w:w w:val="124"/>
          <w:sz w:val="23"/>
          <w:szCs w:val="23"/>
        </w:rPr>
        <w:t xml:space="preserve"> </w:t>
      </w:r>
      <w:r>
        <w:rPr>
          <w:rFonts w:ascii="Arial" w:hAnsi="Arial" w:cs="Arial"/>
          <w:spacing w:val="-3"/>
          <w:w w:val="115"/>
          <w:sz w:val="23"/>
          <w:szCs w:val="23"/>
        </w:rPr>
        <w:t xml:space="preserve">Family </w:t>
      </w:r>
      <w:r>
        <w:rPr>
          <w:rFonts w:ascii="Arial" w:hAnsi="Arial" w:cs="Arial"/>
          <w:w w:val="115"/>
          <w:sz w:val="23"/>
          <w:szCs w:val="23"/>
        </w:rPr>
        <w:t>Services of</w:t>
      </w:r>
      <w:r>
        <w:rPr>
          <w:rFonts w:ascii="Arial" w:hAnsi="Arial" w:cs="Arial"/>
          <w:spacing w:val="22"/>
          <w:w w:val="115"/>
          <w:sz w:val="23"/>
          <w:szCs w:val="23"/>
        </w:rPr>
        <w:t xml:space="preserve"> </w:t>
      </w:r>
      <w:r>
        <w:rPr>
          <w:rFonts w:ascii="Arial" w:hAnsi="Arial" w:cs="Arial"/>
          <w:w w:val="115"/>
          <w:sz w:val="23"/>
          <w:szCs w:val="23"/>
        </w:rPr>
        <w:t>Central</w:t>
      </w:r>
      <w:r>
        <w:rPr>
          <w:rFonts w:ascii="Arial" w:hAnsi="Arial" w:cs="Arial"/>
          <w:spacing w:val="10"/>
          <w:w w:val="115"/>
          <w:sz w:val="23"/>
          <w:szCs w:val="23"/>
        </w:rPr>
        <w:t xml:space="preserve"> </w:t>
      </w:r>
      <w:r>
        <w:rPr>
          <w:rFonts w:ascii="Arial" w:hAnsi="Arial" w:cs="Arial"/>
          <w:w w:val="115"/>
          <w:sz w:val="23"/>
          <w:szCs w:val="23"/>
        </w:rPr>
        <w:t>Massachusetts</w:t>
      </w:r>
      <w:r>
        <w:rPr>
          <w:rFonts w:ascii="Arial" w:hAnsi="Arial" w:cs="Arial"/>
          <w:w w:val="115"/>
          <w:sz w:val="23"/>
          <w:szCs w:val="23"/>
        </w:rPr>
        <w:tab/>
        <w:t>Attentive Home</w:t>
      </w:r>
      <w:r>
        <w:rPr>
          <w:rFonts w:ascii="Arial" w:hAnsi="Arial" w:cs="Arial"/>
          <w:spacing w:val="-10"/>
          <w:w w:val="115"/>
          <w:sz w:val="23"/>
          <w:szCs w:val="23"/>
        </w:rPr>
        <w:t xml:space="preserve"> </w:t>
      </w:r>
      <w:r>
        <w:rPr>
          <w:rFonts w:ascii="Arial" w:hAnsi="Arial" w:cs="Arial"/>
          <w:w w:val="115"/>
          <w:sz w:val="23"/>
          <w:szCs w:val="23"/>
        </w:rPr>
        <w:t>Care</w:t>
      </w: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9"/>
        <w:rPr>
          <w:rFonts w:ascii="Arial" w:hAnsi="Arial" w:cs="Arial"/>
          <w:sz w:val="23"/>
          <w:szCs w:val="23"/>
        </w:rPr>
      </w:pPr>
    </w:p>
    <w:p w:rsidR="002C5025" w:rsidRDefault="002C5025">
      <w:pPr>
        <w:pStyle w:val="BodyText"/>
        <w:kinsoku w:val="0"/>
        <w:overflowPunct w:val="0"/>
        <w:spacing w:before="9"/>
        <w:rPr>
          <w:rFonts w:ascii="Arial" w:hAnsi="Arial" w:cs="Arial"/>
          <w:sz w:val="23"/>
          <w:szCs w:val="23"/>
        </w:rPr>
        <w:sectPr w:rsidR="002C5025">
          <w:type w:val="continuous"/>
          <w:pgSz w:w="12240" w:h="15840"/>
          <w:pgMar w:top="720" w:right="1720" w:bottom="280" w:left="720" w:header="720" w:footer="720" w:gutter="0"/>
          <w:cols w:space="720" w:equalWidth="0">
            <w:col w:w="9800"/>
          </w:cols>
          <w:noEndnote/>
        </w:sectPr>
      </w:pPr>
    </w:p>
    <w:p w:rsidR="002C5025" w:rsidRDefault="002C5025">
      <w:pPr>
        <w:pStyle w:val="BodyText"/>
        <w:kinsoku w:val="0"/>
        <w:overflowPunct w:val="0"/>
        <w:spacing w:before="71"/>
        <w:ind w:left="122" w:right="-17"/>
        <w:rPr>
          <w:rFonts w:ascii="Arial" w:hAnsi="Arial" w:cs="Arial"/>
          <w:w w:val="120"/>
          <w:sz w:val="23"/>
          <w:szCs w:val="23"/>
        </w:rPr>
      </w:pPr>
      <w:r>
        <w:rPr>
          <w:rFonts w:ascii="Arial" w:hAnsi="Arial" w:cs="Arial"/>
          <w:w w:val="120"/>
          <w:sz w:val="23"/>
          <w:szCs w:val="23"/>
        </w:rPr>
        <w:lastRenderedPageBreak/>
        <w:t xml:space="preserve">William </w:t>
      </w:r>
      <w:proofErr w:type="spellStart"/>
      <w:r>
        <w:rPr>
          <w:rFonts w:ascii="Arial" w:hAnsi="Arial" w:cs="Arial"/>
          <w:w w:val="120"/>
          <w:sz w:val="23"/>
          <w:szCs w:val="23"/>
        </w:rPr>
        <w:t>Anjos</w:t>
      </w:r>
      <w:proofErr w:type="spellEnd"/>
    </w:p>
    <w:p w:rsidR="002C5025" w:rsidRDefault="002C5025">
      <w:pPr>
        <w:pStyle w:val="BodyText"/>
        <w:kinsoku w:val="0"/>
        <w:overflowPunct w:val="0"/>
        <w:spacing w:before="23"/>
        <w:ind w:left="136" w:right="-17"/>
        <w:rPr>
          <w:rFonts w:ascii="Arial" w:hAnsi="Arial" w:cs="Arial"/>
          <w:w w:val="115"/>
          <w:sz w:val="23"/>
          <w:szCs w:val="23"/>
        </w:rPr>
      </w:pPr>
      <w:r>
        <w:rPr>
          <w:rFonts w:ascii="Arial" w:hAnsi="Arial" w:cs="Arial"/>
          <w:w w:val="115"/>
          <w:sz w:val="23"/>
          <w:szCs w:val="23"/>
        </w:rPr>
        <w:t>Interim HealthCare</w:t>
      </w:r>
    </w:p>
    <w:p w:rsidR="002C5025" w:rsidRDefault="002C5025">
      <w:pPr>
        <w:pStyle w:val="BodyText"/>
        <w:kinsoku w:val="0"/>
        <w:overflowPunct w:val="0"/>
        <w:spacing w:before="8"/>
        <w:rPr>
          <w:rFonts w:ascii="Arial" w:hAnsi="Arial" w:cs="Arial"/>
          <w:sz w:val="27"/>
          <w:szCs w:val="27"/>
        </w:rPr>
      </w:pPr>
    </w:p>
    <w:p w:rsidR="002C5025" w:rsidRDefault="002C5025">
      <w:pPr>
        <w:pStyle w:val="BodyText"/>
        <w:kinsoku w:val="0"/>
        <w:overflowPunct w:val="0"/>
        <w:ind w:left="129" w:right="-17"/>
        <w:rPr>
          <w:rFonts w:ascii="Arial" w:hAnsi="Arial" w:cs="Arial"/>
          <w:w w:val="95"/>
          <w:sz w:val="23"/>
          <w:szCs w:val="23"/>
        </w:rPr>
      </w:pPr>
      <w:r>
        <w:rPr>
          <w:rFonts w:ascii="Arial" w:hAnsi="Arial" w:cs="Arial"/>
          <w:w w:val="95"/>
          <w:sz w:val="23"/>
          <w:szCs w:val="23"/>
        </w:rPr>
        <w:t>Susan Pacheco</w:t>
      </w:r>
    </w:p>
    <w:p w:rsidR="002C5025" w:rsidRDefault="002C5025">
      <w:pPr>
        <w:pStyle w:val="BodyText"/>
        <w:kinsoku w:val="0"/>
        <w:overflowPunct w:val="0"/>
        <w:spacing w:before="38"/>
        <w:ind w:left="129" w:right="-17"/>
        <w:rPr>
          <w:rFonts w:ascii="Arial" w:hAnsi="Arial" w:cs="Arial"/>
          <w:w w:val="154"/>
          <w:sz w:val="23"/>
          <w:szCs w:val="23"/>
        </w:rPr>
      </w:pPr>
      <w:r>
        <w:rPr>
          <w:rFonts w:ascii="Arial" w:hAnsi="Arial" w:cs="Arial"/>
          <w:w w:val="101"/>
          <w:sz w:val="23"/>
          <w:szCs w:val="23"/>
        </w:rPr>
        <w:t>Cambr</w:t>
      </w:r>
      <w:r>
        <w:rPr>
          <w:rFonts w:ascii="Arial" w:hAnsi="Arial" w:cs="Arial"/>
          <w:spacing w:val="7"/>
          <w:w w:val="101"/>
          <w:sz w:val="23"/>
          <w:szCs w:val="23"/>
        </w:rPr>
        <w:t>i</w:t>
      </w:r>
      <w:r>
        <w:rPr>
          <w:rFonts w:ascii="Arial" w:hAnsi="Arial" w:cs="Arial"/>
          <w:w w:val="93"/>
          <w:sz w:val="23"/>
          <w:szCs w:val="23"/>
        </w:rPr>
        <w:t>dge</w:t>
      </w:r>
      <w:r>
        <w:rPr>
          <w:rFonts w:ascii="Arial" w:hAnsi="Arial" w:cs="Arial"/>
          <w:sz w:val="23"/>
          <w:szCs w:val="23"/>
        </w:rPr>
        <w:t xml:space="preserve"> </w:t>
      </w:r>
      <w:r>
        <w:rPr>
          <w:rFonts w:ascii="Arial" w:hAnsi="Arial" w:cs="Arial"/>
          <w:w w:val="96"/>
          <w:sz w:val="23"/>
          <w:szCs w:val="23"/>
        </w:rPr>
        <w:t>Council</w:t>
      </w:r>
      <w:r>
        <w:rPr>
          <w:rFonts w:ascii="Arial" w:hAnsi="Arial" w:cs="Arial"/>
          <w:spacing w:val="5"/>
          <w:sz w:val="23"/>
          <w:szCs w:val="23"/>
        </w:rPr>
        <w:t xml:space="preserve"> </w:t>
      </w:r>
      <w:r>
        <w:rPr>
          <w:rFonts w:ascii="Arial" w:hAnsi="Arial" w:cs="Arial"/>
          <w:w w:val="102"/>
          <w:sz w:val="23"/>
          <w:szCs w:val="23"/>
        </w:rPr>
        <w:t>on</w:t>
      </w:r>
      <w:r>
        <w:rPr>
          <w:rFonts w:ascii="Arial" w:hAnsi="Arial" w:cs="Arial"/>
          <w:spacing w:val="-18"/>
          <w:sz w:val="23"/>
          <w:szCs w:val="23"/>
        </w:rPr>
        <w:t xml:space="preserve"> </w:t>
      </w:r>
      <w:r>
        <w:rPr>
          <w:rFonts w:ascii="Arial" w:hAnsi="Arial" w:cs="Arial"/>
          <w:w w:val="97"/>
          <w:sz w:val="23"/>
          <w:szCs w:val="23"/>
        </w:rPr>
        <w:t>A</w:t>
      </w:r>
      <w:r>
        <w:rPr>
          <w:rFonts w:ascii="Arial" w:hAnsi="Arial" w:cs="Arial"/>
          <w:spacing w:val="-2"/>
          <w:w w:val="97"/>
          <w:sz w:val="23"/>
          <w:szCs w:val="23"/>
        </w:rPr>
        <w:t>g</w:t>
      </w:r>
      <w:r>
        <w:rPr>
          <w:rFonts w:ascii="Arial" w:hAnsi="Arial" w:cs="Arial"/>
          <w:spacing w:val="-43"/>
          <w:w w:val="210"/>
          <w:sz w:val="23"/>
          <w:szCs w:val="23"/>
        </w:rPr>
        <w:t>i</w:t>
      </w:r>
      <w:r>
        <w:rPr>
          <w:rFonts w:ascii="Arial" w:hAnsi="Arial" w:cs="Arial"/>
          <w:w w:val="96"/>
          <w:sz w:val="23"/>
          <w:szCs w:val="23"/>
        </w:rPr>
        <w:t>n</w:t>
      </w:r>
      <w:r>
        <w:rPr>
          <w:rFonts w:ascii="Arial" w:hAnsi="Arial" w:cs="Arial"/>
          <w:spacing w:val="-11"/>
          <w:w w:val="96"/>
          <w:sz w:val="23"/>
          <w:szCs w:val="23"/>
        </w:rPr>
        <w:t>g</w:t>
      </w:r>
      <w:r>
        <w:rPr>
          <w:rFonts w:ascii="Arial" w:hAnsi="Arial" w:cs="Arial"/>
          <w:w w:val="154"/>
          <w:sz w:val="23"/>
          <w:szCs w:val="23"/>
        </w:rPr>
        <w:t>.</w:t>
      </w:r>
    </w:p>
    <w:p w:rsidR="002C5025" w:rsidRDefault="002C5025">
      <w:pPr>
        <w:pStyle w:val="BodyText"/>
        <w:kinsoku w:val="0"/>
        <w:overflowPunct w:val="0"/>
        <w:rPr>
          <w:rFonts w:ascii="Arial" w:hAnsi="Arial" w:cs="Arial"/>
        </w:rPr>
      </w:pPr>
    </w:p>
    <w:p w:rsidR="002C5025" w:rsidRDefault="002C5025">
      <w:pPr>
        <w:pStyle w:val="BodyText"/>
        <w:kinsoku w:val="0"/>
        <w:overflowPunct w:val="0"/>
        <w:spacing w:before="4"/>
        <w:rPr>
          <w:rFonts w:ascii="Arial" w:hAnsi="Arial" w:cs="Arial"/>
          <w:sz w:val="31"/>
          <w:szCs w:val="31"/>
        </w:rPr>
      </w:pPr>
    </w:p>
    <w:p w:rsidR="002C5025" w:rsidRDefault="002C5025">
      <w:pPr>
        <w:pStyle w:val="BodyText"/>
        <w:kinsoku w:val="0"/>
        <w:overflowPunct w:val="0"/>
        <w:ind w:left="129" w:right="-17"/>
        <w:rPr>
          <w:rFonts w:ascii="Arial" w:hAnsi="Arial" w:cs="Arial"/>
          <w:sz w:val="23"/>
          <w:szCs w:val="23"/>
        </w:rPr>
      </w:pPr>
      <w:r>
        <w:rPr>
          <w:rFonts w:ascii="Arial" w:hAnsi="Arial" w:cs="Arial"/>
          <w:sz w:val="23"/>
          <w:szCs w:val="23"/>
        </w:rPr>
        <w:t>Linda S. Cornell</w:t>
      </w:r>
    </w:p>
    <w:p w:rsidR="002C5025" w:rsidRDefault="002C5025">
      <w:pPr>
        <w:pStyle w:val="BodyText"/>
        <w:kinsoku w:val="0"/>
        <w:overflowPunct w:val="0"/>
        <w:spacing w:before="85"/>
        <w:ind w:left="143"/>
        <w:rPr>
          <w:rFonts w:ascii="Arial" w:hAnsi="Arial" w:cs="Arial"/>
          <w:w w:val="120"/>
          <w:sz w:val="23"/>
          <w:szCs w:val="23"/>
        </w:rPr>
      </w:pPr>
      <w:r>
        <w:rPr>
          <w:rFonts w:ascii="Times New Roman" w:hAnsi="Times New Roman" w:cs="Times New Roman"/>
          <w:sz w:val="24"/>
          <w:szCs w:val="24"/>
        </w:rPr>
        <w:br w:type="column"/>
      </w:r>
      <w:r>
        <w:rPr>
          <w:rFonts w:ascii="Arial" w:hAnsi="Arial" w:cs="Arial"/>
          <w:w w:val="120"/>
          <w:sz w:val="23"/>
          <w:szCs w:val="23"/>
        </w:rPr>
        <w:lastRenderedPageBreak/>
        <w:t xml:space="preserve">Lisa </w:t>
      </w:r>
      <w:proofErr w:type="spellStart"/>
      <w:r>
        <w:rPr>
          <w:rFonts w:ascii="Arial" w:hAnsi="Arial" w:cs="Arial"/>
          <w:w w:val="120"/>
          <w:sz w:val="23"/>
          <w:szCs w:val="23"/>
        </w:rPr>
        <w:t>Krinksy</w:t>
      </w:r>
      <w:proofErr w:type="spellEnd"/>
    </w:p>
    <w:p w:rsidR="002C5025" w:rsidRDefault="002C5025">
      <w:pPr>
        <w:pStyle w:val="BodyText"/>
        <w:kinsoku w:val="0"/>
        <w:overflowPunct w:val="0"/>
        <w:spacing w:before="23"/>
        <w:ind w:left="143"/>
        <w:rPr>
          <w:rFonts w:ascii="Arial" w:hAnsi="Arial" w:cs="Arial"/>
          <w:w w:val="115"/>
          <w:sz w:val="23"/>
          <w:szCs w:val="23"/>
        </w:rPr>
      </w:pPr>
      <w:r>
        <w:rPr>
          <w:rFonts w:ascii="Arial" w:hAnsi="Arial" w:cs="Arial"/>
          <w:w w:val="115"/>
          <w:sz w:val="23"/>
          <w:szCs w:val="23"/>
        </w:rPr>
        <w:t>LGBT Aging Project</w:t>
      </w:r>
    </w:p>
    <w:p w:rsidR="002C5025" w:rsidRDefault="002C5025">
      <w:pPr>
        <w:pStyle w:val="BodyText"/>
        <w:kinsoku w:val="0"/>
        <w:overflowPunct w:val="0"/>
        <w:spacing w:before="8"/>
        <w:rPr>
          <w:rFonts w:ascii="Arial" w:hAnsi="Arial" w:cs="Arial"/>
          <w:sz w:val="27"/>
          <w:szCs w:val="27"/>
        </w:rPr>
      </w:pPr>
    </w:p>
    <w:p w:rsidR="002C5025" w:rsidRDefault="002C5025">
      <w:pPr>
        <w:pStyle w:val="BodyText"/>
        <w:kinsoku w:val="0"/>
        <w:overflowPunct w:val="0"/>
        <w:ind w:left="122"/>
        <w:rPr>
          <w:rFonts w:ascii="Arial" w:hAnsi="Arial" w:cs="Arial"/>
          <w:w w:val="95"/>
          <w:sz w:val="23"/>
          <w:szCs w:val="23"/>
        </w:rPr>
      </w:pPr>
      <w:r>
        <w:rPr>
          <w:rFonts w:ascii="Arial" w:hAnsi="Arial" w:cs="Arial"/>
          <w:w w:val="95"/>
          <w:sz w:val="23"/>
          <w:szCs w:val="23"/>
        </w:rPr>
        <w:t>John Keegan</w:t>
      </w:r>
    </w:p>
    <w:p w:rsidR="002C5025" w:rsidRDefault="002C5025">
      <w:pPr>
        <w:pStyle w:val="BodyText"/>
        <w:kinsoku w:val="0"/>
        <w:overflowPunct w:val="0"/>
        <w:spacing w:before="38"/>
        <w:ind w:left="143"/>
        <w:rPr>
          <w:rFonts w:ascii="Arial" w:hAnsi="Arial" w:cs="Arial"/>
          <w:sz w:val="23"/>
          <w:szCs w:val="23"/>
        </w:rPr>
      </w:pPr>
      <w:r>
        <w:rPr>
          <w:rFonts w:ascii="Arial" w:hAnsi="Arial" w:cs="Arial"/>
          <w:sz w:val="23"/>
          <w:szCs w:val="23"/>
        </w:rPr>
        <w:t>Door2 Door Transportation by SCM</w:t>
      </w:r>
    </w:p>
    <w:p w:rsidR="002C5025" w:rsidRDefault="002C5025">
      <w:pPr>
        <w:pStyle w:val="BodyText"/>
        <w:kinsoku w:val="0"/>
        <w:overflowPunct w:val="0"/>
        <w:rPr>
          <w:rFonts w:ascii="Arial" w:hAnsi="Arial" w:cs="Arial"/>
        </w:rPr>
      </w:pPr>
    </w:p>
    <w:p w:rsidR="002C5025" w:rsidRDefault="002C5025">
      <w:pPr>
        <w:pStyle w:val="BodyText"/>
        <w:kinsoku w:val="0"/>
        <w:overflowPunct w:val="0"/>
        <w:rPr>
          <w:rFonts w:ascii="Arial" w:hAnsi="Arial" w:cs="Arial"/>
          <w:sz w:val="32"/>
          <w:szCs w:val="32"/>
        </w:rPr>
      </w:pPr>
    </w:p>
    <w:p w:rsidR="002C5025" w:rsidRDefault="002C5025">
      <w:pPr>
        <w:pStyle w:val="BodyText"/>
        <w:kinsoku w:val="0"/>
        <w:overflowPunct w:val="0"/>
        <w:ind w:left="129"/>
        <w:rPr>
          <w:rFonts w:ascii="Arial" w:hAnsi="Arial" w:cs="Arial"/>
          <w:sz w:val="23"/>
          <w:szCs w:val="23"/>
        </w:rPr>
      </w:pPr>
      <w:r>
        <w:rPr>
          <w:rFonts w:ascii="Arial" w:hAnsi="Arial" w:cs="Arial"/>
          <w:sz w:val="23"/>
          <w:szCs w:val="23"/>
        </w:rPr>
        <w:t>Carol Nagle</w:t>
      </w:r>
    </w:p>
    <w:p w:rsidR="002C5025" w:rsidRDefault="002C5025">
      <w:pPr>
        <w:pStyle w:val="BodyText"/>
        <w:kinsoku w:val="0"/>
        <w:overflowPunct w:val="0"/>
        <w:ind w:left="129"/>
        <w:rPr>
          <w:rFonts w:ascii="Arial" w:hAnsi="Arial" w:cs="Arial"/>
          <w:sz w:val="23"/>
          <w:szCs w:val="23"/>
        </w:rPr>
        <w:sectPr w:rsidR="002C5025">
          <w:type w:val="continuous"/>
          <w:pgSz w:w="12240" w:h="15840"/>
          <w:pgMar w:top="720" w:right="1720" w:bottom="280" w:left="720" w:header="720" w:footer="720" w:gutter="0"/>
          <w:cols w:num="2" w:space="720" w:equalWidth="0">
            <w:col w:w="3116" w:space="1694"/>
            <w:col w:w="4990"/>
          </w:cols>
          <w:noEndnote/>
        </w:sectPr>
      </w:pPr>
    </w:p>
    <w:p w:rsidR="002C5025" w:rsidRDefault="002C5025">
      <w:pPr>
        <w:pStyle w:val="BodyText"/>
        <w:tabs>
          <w:tab w:val="left" w:pos="4946"/>
        </w:tabs>
        <w:kinsoku w:val="0"/>
        <w:overflowPunct w:val="0"/>
        <w:spacing w:before="30" w:line="280" w:lineRule="auto"/>
        <w:ind w:left="122" w:right="2302"/>
        <w:rPr>
          <w:rFonts w:ascii="Arial" w:hAnsi="Arial" w:cs="Arial"/>
          <w:w w:val="105"/>
          <w:sz w:val="23"/>
          <w:szCs w:val="23"/>
        </w:rPr>
      </w:pPr>
      <w:r>
        <w:rPr>
          <w:rFonts w:ascii="Arial" w:hAnsi="Arial" w:cs="Arial"/>
          <w:w w:val="105"/>
          <w:sz w:val="23"/>
          <w:szCs w:val="23"/>
        </w:rPr>
        <w:lastRenderedPageBreak/>
        <w:t>VNA</w:t>
      </w:r>
      <w:r>
        <w:rPr>
          <w:rFonts w:ascii="Arial" w:hAnsi="Arial" w:cs="Arial"/>
          <w:spacing w:val="-41"/>
          <w:w w:val="105"/>
          <w:sz w:val="23"/>
          <w:szCs w:val="23"/>
        </w:rPr>
        <w:t xml:space="preserve"> </w:t>
      </w:r>
      <w:r>
        <w:rPr>
          <w:rFonts w:ascii="Arial" w:hAnsi="Arial" w:cs="Arial"/>
          <w:w w:val="105"/>
          <w:sz w:val="23"/>
          <w:szCs w:val="23"/>
        </w:rPr>
        <w:t>of</w:t>
      </w:r>
      <w:r>
        <w:rPr>
          <w:rFonts w:ascii="Arial" w:hAnsi="Arial" w:cs="Arial"/>
          <w:spacing w:val="-47"/>
          <w:w w:val="105"/>
          <w:sz w:val="23"/>
          <w:szCs w:val="23"/>
        </w:rPr>
        <w:t xml:space="preserve"> </w:t>
      </w:r>
      <w:r>
        <w:rPr>
          <w:rFonts w:ascii="Arial" w:hAnsi="Arial" w:cs="Arial"/>
          <w:w w:val="105"/>
          <w:sz w:val="23"/>
          <w:szCs w:val="23"/>
        </w:rPr>
        <w:t>Eastern</w:t>
      </w:r>
      <w:r>
        <w:rPr>
          <w:rFonts w:ascii="Arial" w:hAnsi="Arial" w:cs="Arial"/>
          <w:spacing w:val="-47"/>
          <w:w w:val="105"/>
          <w:sz w:val="23"/>
          <w:szCs w:val="23"/>
        </w:rPr>
        <w:t xml:space="preserve"> </w:t>
      </w:r>
      <w:r>
        <w:rPr>
          <w:rFonts w:ascii="Arial" w:hAnsi="Arial" w:cs="Arial"/>
          <w:w w:val="105"/>
          <w:sz w:val="23"/>
          <w:szCs w:val="23"/>
        </w:rPr>
        <w:t>Massachusetts</w:t>
      </w:r>
      <w:r>
        <w:rPr>
          <w:rFonts w:ascii="Arial" w:hAnsi="Arial" w:cs="Arial"/>
          <w:w w:val="105"/>
          <w:sz w:val="23"/>
          <w:szCs w:val="23"/>
        </w:rPr>
        <w:tab/>
      </w:r>
      <w:r>
        <w:rPr>
          <w:rFonts w:ascii="Arial" w:hAnsi="Arial" w:cs="Arial"/>
          <w:sz w:val="23"/>
          <w:szCs w:val="23"/>
        </w:rPr>
        <w:t xml:space="preserve">Fall </w:t>
      </w:r>
      <w:r>
        <w:rPr>
          <w:rFonts w:ascii="Arial" w:hAnsi="Arial" w:cs="Arial"/>
          <w:spacing w:val="-4"/>
          <w:sz w:val="23"/>
          <w:szCs w:val="23"/>
        </w:rPr>
        <w:t>River</w:t>
      </w:r>
      <w:r>
        <w:rPr>
          <w:rFonts w:ascii="Arial" w:hAnsi="Arial" w:cs="Arial"/>
          <w:spacing w:val="-21"/>
          <w:sz w:val="23"/>
          <w:szCs w:val="23"/>
        </w:rPr>
        <w:t xml:space="preserve"> </w:t>
      </w:r>
      <w:r>
        <w:rPr>
          <w:rFonts w:ascii="Arial" w:hAnsi="Arial" w:cs="Arial"/>
          <w:spacing w:val="-8"/>
          <w:sz w:val="23"/>
          <w:szCs w:val="23"/>
        </w:rPr>
        <w:t>Family</w:t>
      </w:r>
      <w:r>
        <w:rPr>
          <w:rFonts w:ascii="Arial" w:hAnsi="Arial" w:cs="Arial"/>
          <w:spacing w:val="-22"/>
          <w:sz w:val="23"/>
          <w:szCs w:val="23"/>
        </w:rPr>
        <w:t xml:space="preserve"> </w:t>
      </w:r>
      <w:r>
        <w:rPr>
          <w:rFonts w:ascii="Arial" w:hAnsi="Arial" w:cs="Arial"/>
          <w:sz w:val="23"/>
          <w:szCs w:val="23"/>
        </w:rPr>
        <w:t>Services</w:t>
      </w:r>
      <w:r>
        <w:rPr>
          <w:rFonts w:ascii="Arial" w:hAnsi="Arial" w:cs="Arial"/>
          <w:w w:val="93"/>
          <w:sz w:val="23"/>
          <w:szCs w:val="23"/>
        </w:rPr>
        <w:t xml:space="preserve"> </w:t>
      </w:r>
      <w:r>
        <w:rPr>
          <w:rFonts w:ascii="Arial" w:hAnsi="Arial" w:cs="Arial"/>
          <w:w w:val="105"/>
          <w:sz w:val="23"/>
          <w:szCs w:val="23"/>
        </w:rPr>
        <w:t>Visiting</w:t>
      </w:r>
      <w:r>
        <w:rPr>
          <w:rFonts w:ascii="Arial" w:hAnsi="Arial" w:cs="Arial"/>
          <w:spacing w:val="-53"/>
          <w:w w:val="105"/>
          <w:sz w:val="23"/>
          <w:szCs w:val="23"/>
        </w:rPr>
        <w:t xml:space="preserve"> </w:t>
      </w:r>
      <w:r>
        <w:rPr>
          <w:rFonts w:ascii="Arial" w:hAnsi="Arial" w:cs="Arial"/>
          <w:w w:val="105"/>
          <w:sz w:val="23"/>
          <w:szCs w:val="23"/>
        </w:rPr>
        <w:t>Nurse</w:t>
      </w:r>
      <w:r>
        <w:rPr>
          <w:rFonts w:ascii="Arial" w:hAnsi="Arial" w:cs="Arial"/>
          <w:spacing w:val="-49"/>
          <w:w w:val="105"/>
          <w:sz w:val="23"/>
          <w:szCs w:val="23"/>
        </w:rPr>
        <w:t xml:space="preserve"> </w:t>
      </w:r>
      <w:r>
        <w:rPr>
          <w:rFonts w:ascii="Arial" w:hAnsi="Arial" w:cs="Arial"/>
          <w:w w:val="105"/>
          <w:sz w:val="23"/>
          <w:szCs w:val="23"/>
        </w:rPr>
        <w:t>Assisted</w:t>
      </w:r>
      <w:r>
        <w:rPr>
          <w:rFonts w:ascii="Arial" w:hAnsi="Arial" w:cs="Arial"/>
          <w:spacing w:val="-45"/>
          <w:w w:val="105"/>
          <w:sz w:val="23"/>
          <w:szCs w:val="23"/>
        </w:rPr>
        <w:t xml:space="preserve"> </w:t>
      </w:r>
      <w:r>
        <w:rPr>
          <w:rFonts w:ascii="Arial" w:hAnsi="Arial" w:cs="Arial"/>
          <w:w w:val="105"/>
          <w:sz w:val="23"/>
          <w:szCs w:val="23"/>
        </w:rPr>
        <w:t>&amp;</w:t>
      </w:r>
      <w:r>
        <w:rPr>
          <w:rFonts w:ascii="Arial" w:hAnsi="Arial" w:cs="Arial"/>
          <w:spacing w:val="-47"/>
          <w:w w:val="105"/>
          <w:sz w:val="23"/>
          <w:szCs w:val="23"/>
        </w:rPr>
        <w:t xml:space="preserve"> </w:t>
      </w:r>
      <w:r>
        <w:rPr>
          <w:rFonts w:ascii="Arial" w:hAnsi="Arial" w:cs="Arial"/>
          <w:w w:val="105"/>
          <w:sz w:val="23"/>
          <w:szCs w:val="23"/>
        </w:rPr>
        <w:t>Senior</w:t>
      </w:r>
      <w:r>
        <w:rPr>
          <w:rFonts w:ascii="Arial" w:hAnsi="Arial" w:cs="Arial"/>
          <w:spacing w:val="-43"/>
          <w:w w:val="105"/>
          <w:sz w:val="23"/>
          <w:szCs w:val="23"/>
        </w:rPr>
        <w:t xml:space="preserve"> </w:t>
      </w:r>
      <w:r>
        <w:rPr>
          <w:rFonts w:ascii="Arial" w:hAnsi="Arial" w:cs="Arial"/>
          <w:w w:val="105"/>
          <w:sz w:val="23"/>
          <w:szCs w:val="23"/>
        </w:rPr>
        <w:t>Living</w:t>
      </w:r>
      <w:r>
        <w:rPr>
          <w:rFonts w:ascii="Arial" w:hAnsi="Arial" w:cs="Arial"/>
          <w:spacing w:val="-55"/>
          <w:w w:val="105"/>
          <w:sz w:val="23"/>
          <w:szCs w:val="23"/>
        </w:rPr>
        <w:t xml:space="preserve"> </w:t>
      </w:r>
      <w:r>
        <w:rPr>
          <w:rFonts w:ascii="Arial" w:hAnsi="Arial" w:cs="Arial"/>
          <w:w w:val="105"/>
          <w:sz w:val="23"/>
          <w:szCs w:val="23"/>
        </w:rPr>
        <w:t>Communities</w:t>
      </w:r>
    </w:p>
    <w:p w:rsidR="002C5025" w:rsidRDefault="002C5025">
      <w:pPr>
        <w:pStyle w:val="BodyText"/>
        <w:kinsoku w:val="0"/>
        <w:overflowPunct w:val="0"/>
        <w:spacing w:before="7"/>
        <w:rPr>
          <w:rFonts w:ascii="Arial" w:hAnsi="Arial" w:cs="Arial"/>
          <w:sz w:val="19"/>
          <w:szCs w:val="19"/>
        </w:rPr>
      </w:pPr>
    </w:p>
    <w:p w:rsidR="002C5025" w:rsidRDefault="002C5025">
      <w:pPr>
        <w:pStyle w:val="BodyText"/>
        <w:kinsoku w:val="0"/>
        <w:overflowPunct w:val="0"/>
        <w:spacing w:before="7"/>
        <w:rPr>
          <w:rFonts w:ascii="Arial" w:hAnsi="Arial" w:cs="Arial"/>
          <w:sz w:val="19"/>
          <w:szCs w:val="19"/>
        </w:rPr>
        <w:sectPr w:rsidR="002C5025">
          <w:type w:val="continuous"/>
          <w:pgSz w:w="12240" w:h="15840"/>
          <w:pgMar w:top="720" w:right="1720" w:bottom="280" w:left="720" w:header="720" w:footer="720" w:gutter="0"/>
          <w:cols w:space="720" w:equalWidth="0">
            <w:col w:w="9800"/>
          </w:cols>
          <w:noEndnote/>
        </w:sectPr>
      </w:pPr>
    </w:p>
    <w:p w:rsidR="002C5025" w:rsidRDefault="002C5025">
      <w:pPr>
        <w:pStyle w:val="BodyText"/>
        <w:kinsoku w:val="0"/>
        <w:overflowPunct w:val="0"/>
        <w:spacing w:before="71"/>
        <w:ind w:left="129" w:right="-18"/>
        <w:rPr>
          <w:rFonts w:ascii="Arial" w:hAnsi="Arial" w:cs="Arial"/>
          <w:w w:val="95"/>
          <w:sz w:val="23"/>
          <w:szCs w:val="23"/>
        </w:rPr>
      </w:pPr>
      <w:r>
        <w:rPr>
          <w:rFonts w:ascii="Arial" w:hAnsi="Arial" w:cs="Arial"/>
          <w:w w:val="95"/>
          <w:sz w:val="23"/>
          <w:szCs w:val="23"/>
        </w:rPr>
        <w:lastRenderedPageBreak/>
        <w:t xml:space="preserve">Lisa </w:t>
      </w:r>
      <w:proofErr w:type="spellStart"/>
      <w:r>
        <w:rPr>
          <w:rFonts w:ascii="Arial" w:hAnsi="Arial" w:cs="Arial"/>
          <w:w w:val="95"/>
          <w:sz w:val="23"/>
          <w:szCs w:val="23"/>
        </w:rPr>
        <w:t>Yauch-Cadden</w:t>
      </w:r>
      <w:proofErr w:type="spellEnd"/>
    </w:p>
    <w:p w:rsidR="002C5025" w:rsidRDefault="002C5025">
      <w:pPr>
        <w:pStyle w:val="BodyText"/>
        <w:kinsoku w:val="0"/>
        <w:overflowPunct w:val="0"/>
        <w:spacing w:before="88" w:line="633" w:lineRule="auto"/>
        <w:ind w:left="115" w:right="-18" w:firstLine="14"/>
        <w:rPr>
          <w:rFonts w:ascii="Arial" w:hAnsi="Arial" w:cs="Arial"/>
          <w:sz w:val="23"/>
          <w:szCs w:val="23"/>
        </w:rPr>
      </w:pPr>
      <w:r>
        <w:rPr>
          <w:rFonts w:ascii="Arial" w:hAnsi="Arial" w:cs="Arial"/>
          <w:w w:val="95"/>
          <w:sz w:val="23"/>
          <w:szCs w:val="23"/>
        </w:rPr>
        <w:t>Buzzards Bay Speech</w:t>
      </w:r>
      <w:r>
        <w:rPr>
          <w:rFonts w:ascii="Arial" w:hAnsi="Arial" w:cs="Arial"/>
          <w:spacing w:val="-8"/>
          <w:w w:val="95"/>
          <w:sz w:val="23"/>
          <w:szCs w:val="23"/>
        </w:rPr>
        <w:t xml:space="preserve"> </w:t>
      </w:r>
      <w:r>
        <w:rPr>
          <w:rFonts w:ascii="Arial" w:hAnsi="Arial" w:cs="Arial"/>
          <w:w w:val="95"/>
          <w:sz w:val="23"/>
          <w:szCs w:val="23"/>
        </w:rPr>
        <w:t xml:space="preserve">Therapy </w:t>
      </w:r>
      <w:r>
        <w:rPr>
          <w:rFonts w:ascii="Arial" w:hAnsi="Arial" w:cs="Arial"/>
          <w:sz w:val="23"/>
          <w:szCs w:val="23"/>
        </w:rPr>
        <w:t>Gail</w:t>
      </w:r>
      <w:r>
        <w:rPr>
          <w:rFonts w:ascii="Arial" w:hAnsi="Arial" w:cs="Arial"/>
          <w:spacing w:val="1"/>
          <w:sz w:val="23"/>
          <w:szCs w:val="23"/>
        </w:rPr>
        <w:t xml:space="preserve"> </w:t>
      </w:r>
      <w:r>
        <w:rPr>
          <w:rFonts w:ascii="Arial" w:hAnsi="Arial" w:cs="Arial"/>
          <w:sz w:val="23"/>
          <w:szCs w:val="23"/>
        </w:rPr>
        <w:t>Fortes</w:t>
      </w:r>
    </w:p>
    <w:p w:rsidR="002C5025" w:rsidRDefault="002C5025">
      <w:pPr>
        <w:pStyle w:val="BodyText"/>
        <w:kinsoku w:val="0"/>
        <w:overflowPunct w:val="0"/>
        <w:spacing w:before="85"/>
        <w:ind w:left="122" w:right="704"/>
        <w:rPr>
          <w:rFonts w:ascii="Arial" w:hAnsi="Arial" w:cs="Arial"/>
          <w:w w:val="95"/>
          <w:sz w:val="23"/>
          <w:szCs w:val="23"/>
        </w:rPr>
      </w:pPr>
      <w:r>
        <w:rPr>
          <w:rFonts w:ascii="Times New Roman" w:hAnsi="Times New Roman" w:cs="Times New Roman"/>
          <w:sz w:val="24"/>
          <w:szCs w:val="24"/>
        </w:rPr>
        <w:br w:type="column"/>
      </w:r>
      <w:r>
        <w:rPr>
          <w:rFonts w:ascii="Arial" w:hAnsi="Arial" w:cs="Arial"/>
          <w:w w:val="95"/>
          <w:sz w:val="23"/>
          <w:szCs w:val="23"/>
        </w:rPr>
        <w:lastRenderedPageBreak/>
        <w:t>Helena Hughes</w:t>
      </w:r>
    </w:p>
    <w:p w:rsidR="002C5025" w:rsidRDefault="002C5025">
      <w:pPr>
        <w:pStyle w:val="BodyText"/>
        <w:kinsoku w:val="0"/>
        <w:overflowPunct w:val="0"/>
        <w:spacing w:before="88" w:line="640" w:lineRule="auto"/>
        <w:ind w:left="115" w:right="931" w:firstLine="7"/>
        <w:rPr>
          <w:rFonts w:ascii="Arial" w:hAnsi="Arial" w:cs="Arial"/>
          <w:sz w:val="23"/>
          <w:szCs w:val="23"/>
        </w:rPr>
      </w:pPr>
      <w:r>
        <w:rPr>
          <w:rFonts w:ascii="Arial" w:hAnsi="Arial" w:cs="Arial"/>
          <w:sz w:val="23"/>
          <w:szCs w:val="23"/>
        </w:rPr>
        <w:t>Immigrants Assistance Center Deborah Harrington</w:t>
      </w:r>
    </w:p>
    <w:p w:rsidR="002C5025" w:rsidRDefault="002C5025">
      <w:pPr>
        <w:pStyle w:val="BodyText"/>
        <w:kinsoku w:val="0"/>
        <w:overflowPunct w:val="0"/>
        <w:spacing w:before="88" w:line="640" w:lineRule="auto"/>
        <w:ind w:left="115" w:right="931" w:firstLine="7"/>
        <w:rPr>
          <w:rFonts w:ascii="Arial" w:hAnsi="Arial" w:cs="Arial"/>
          <w:sz w:val="23"/>
          <w:szCs w:val="23"/>
        </w:rPr>
        <w:sectPr w:rsidR="002C5025">
          <w:type w:val="continuous"/>
          <w:pgSz w:w="12240" w:h="15840"/>
          <w:pgMar w:top="720" w:right="1720" w:bottom="280" w:left="720" w:header="720" w:footer="720" w:gutter="0"/>
          <w:cols w:num="2" w:space="720" w:equalWidth="0">
            <w:col w:w="3136" w:space="1681"/>
            <w:col w:w="4983"/>
          </w:cols>
          <w:noEndnote/>
        </w:sectPr>
      </w:pPr>
    </w:p>
    <w:p w:rsidR="002C5025" w:rsidRDefault="002C5025">
      <w:pPr>
        <w:pStyle w:val="BodyText"/>
        <w:tabs>
          <w:tab w:val="left" w:pos="5023"/>
        </w:tabs>
        <w:kinsoku w:val="0"/>
        <w:overflowPunct w:val="0"/>
        <w:spacing w:before="58"/>
        <w:ind w:left="163" w:right="355"/>
        <w:rPr>
          <w:rFonts w:ascii="Arial" w:hAnsi="Arial" w:cs="Arial"/>
          <w:b/>
          <w:bCs/>
          <w:w w:val="90"/>
          <w:sz w:val="23"/>
          <w:szCs w:val="23"/>
        </w:rPr>
      </w:pPr>
      <w:r>
        <w:rPr>
          <w:rFonts w:ascii="Arial" w:hAnsi="Arial" w:cs="Arial"/>
          <w:b/>
          <w:bCs/>
          <w:position w:val="1"/>
          <w:sz w:val="23"/>
          <w:szCs w:val="23"/>
        </w:rPr>
        <w:lastRenderedPageBreak/>
        <w:t>YWCA</w:t>
      </w:r>
      <w:r>
        <w:rPr>
          <w:rFonts w:ascii="Arial" w:hAnsi="Arial" w:cs="Arial"/>
          <w:b/>
          <w:bCs/>
          <w:spacing w:val="-34"/>
          <w:position w:val="1"/>
          <w:sz w:val="23"/>
          <w:szCs w:val="23"/>
        </w:rPr>
        <w:t xml:space="preserve"> </w:t>
      </w:r>
      <w:r>
        <w:rPr>
          <w:rFonts w:ascii="Arial" w:hAnsi="Arial" w:cs="Arial"/>
          <w:b/>
          <w:bCs/>
          <w:position w:val="1"/>
          <w:sz w:val="23"/>
          <w:szCs w:val="23"/>
        </w:rPr>
        <w:t>Southeastern</w:t>
      </w:r>
      <w:r>
        <w:rPr>
          <w:rFonts w:ascii="Arial" w:hAnsi="Arial" w:cs="Arial"/>
          <w:b/>
          <w:bCs/>
          <w:spacing w:val="-28"/>
          <w:position w:val="1"/>
          <w:sz w:val="23"/>
          <w:szCs w:val="23"/>
        </w:rPr>
        <w:t xml:space="preserve"> </w:t>
      </w:r>
      <w:r>
        <w:rPr>
          <w:rFonts w:ascii="Arial" w:hAnsi="Arial" w:cs="Arial"/>
          <w:b/>
          <w:bCs/>
          <w:position w:val="1"/>
          <w:sz w:val="23"/>
          <w:szCs w:val="23"/>
        </w:rPr>
        <w:t>MA</w:t>
      </w:r>
      <w:r>
        <w:rPr>
          <w:rFonts w:ascii="Arial" w:hAnsi="Arial" w:cs="Arial"/>
          <w:b/>
          <w:bCs/>
          <w:position w:val="1"/>
          <w:sz w:val="23"/>
          <w:szCs w:val="23"/>
        </w:rPr>
        <w:tab/>
      </w:r>
      <w:r>
        <w:rPr>
          <w:rFonts w:ascii="Arial" w:hAnsi="Arial" w:cs="Arial"/>
          <w:b/>
          <w:bCs/>
          <w:w w:val="90"/>
          <w:sz w:val="23"/>
          <w:szCs w:val="23"/>
        </w:rPr>
        <w:t>Homemaker Services,</w:t>
      </w:r>
      <w:r>
        <w:rPr>
          <w:rFonts w:ascii="Arial" w:hAnsi="Arial" w:cs="Arial"/>
          <w:b/>
          <w:bCs/>
          <w:spacing w:val="54"/>
          <w:w w:val="90"/>
          <w:sz w:val="23"/>
          <w:szCs w:val="23"/>
        </w:rPr>
        <w:t xml:space="preserve"> </w:t>
      </w:r>
      <w:r>
        <w:rPr>
          <w:rFonts w:ascii="Arial" w:hAnsi="Arial" w:cs="Arial"/>
          <w:b/>
          <w:bCs/>
          <w:w w:val="90"/>
          <w:sz w:val="23"/>
          <w:szCs w:val="23"/>
        </w:rPr>
        <w:t>Inc.</w:t>
      </w:r>
    </w:p>
    <w:p w:rsidR="002C5025" w:rsidRDefault="002C5025">
      <w:pPr>
        <w:pStyle w:val="BodyText"/>
        <w:kinsoku w:val="0"/>
        <w:overflowPunct w:val="0"/>
        <w:spacing w:before="2"/>
        <w:rPr>
          <w:rFonts w:ascii="Arial" w:hAnsi="Arial" w:cs="Arial"/>
          <w:b/>
          <w:bCs/>
          <w:sz w:val="17"/>
          <w:szCs w:val="17"/>
        </w:rPr>
      </w:pPr>
    </w:p>
    <w:p w:rsidR="002C5025" w:rsidRDefault="002C5025">
      <w:pPr>
        <w:pStyle w:val="BodyText"/>
        <w:kinsoku w:val="0"/>
        <w:overflowPunct w:val="0"/>
        <w:spacing w:before="2"/>
        <w:rPr>
          <w:rFonts w:ascii="Arial" w:hAnsi="Arial" w:cs="Arial"/>
          <w:b/>
          <w:bCs/>
          <w:sz w:val="17"/>
          <w:szCs w:val="17"/>
        </w:rPr>
        <w:sectPr w:rsidR="002C5025">
          <w:pgSz w:w="12240" w:h="15840"/>
          <w:pgMar w:top="940" w:right="960" w:bottom="280" w:left="780" w:header="720" w:footer="720" w:gutter="0"/>
          <w:cols w:space="720" w:equalWidth="0">
            <w:col w:w="10500"/>
          </w:cols>
          <w:noEndnote/>
        </w:sectPr>
      </w:pPr>
    </w:p>
    <w:p w:rsidR="002C5025" w:rsidRDefault="002C5025">
      <w:pPr>
        <w:pStyle w:val="BodyText"/>
        <w:kinsoku w:val="0"/>
        <w:overflowPunct w:val="0"/>
        <w:spacing w:before="71"/>
        <w:ind w:left="170" w:right="-16"/>
        <w:rPr>
          <w:rFonts w:ascii="Arial" w:hAnsi="Arial" w:cs="Arial"/>
          <w:b/>
          <w:bCs/>
          <w:w w:val="95"/>
          <w:sz w:val="23"/>
          <w:szCs w:val="23"/>
        </w:rPr>
      </w:pPr>
      <w:r>
        <w:rPr>
          <w:rFonts w:ascii="Arial" w:hAnsi="Arial" w:cs="Arial"/>
          <w:b/>
          <w:bCs/>
          <w:w w:val="95"/>
          <w:sz w:val="23"/>
          <w:szCs w:val="23"/>
        </w:rPr>
        <w:lastRenderedPageBreak/>
        <w:t xml:space="preserve">Karen </w:t>
      </w:r>
      <w:proofErr w:type="spellStart"/>
      <w:r>
        <w:rPr>
          <w:rFonts w:ascii="Arial" w:hAnsi="Arial" w:cs="Arial"/>
          <w:b/>
          <w:bCs/>
          <w:w w:val="95"/>
          <w:sz w:val="23"/>
          <w:szCs w:val="23"/>
        </w:rPr>
        <w:t>Maciulewicz</w:t>
      </w:r>
      <w:proofErr w:type="spellEnd"/>
    </w:p>
    <w:p w:rsidR="002C5025" w:rsidRDefault="002C5025">
      <w:pPr>
        <w:pStyle w:val="BodyText"/>
        <w:kinsoku w:val="0"/>
        <w:overflowPunct w:val="0"/>
        <w:spacing w:before="38"/>
        <w:ind w:left="163" w:right="-16"/>
        <w:rPr>
          <w:rFonts w:ascii="Arial" w:hAnsi="Arial" w:cs="Arial"/>
          <w:b/>
          <w:bCs/>
          <w:sz w:val="23"/>
          <w:szCs w:val="23"/>
        </w:rPr>
      </w:pPr>
      <w:r>
        <w:rPr>
          <w:rFonts w:ascii="Arial" w:hAnsi="Arial" w:cs="Arial"/>
          <w:b/>
          <w:bCs/>
          <w:sz w:val="23"/>
          <w:szCs w:val="23"/>
        </w:rPr>
        <w:t>Greater</w:t>
      </w:r>
      <w:r>
        <w:rPr>
          <w:rFonts w:ascii="Arial" w:hAnsi="Arial" w:cs="Arial"/>
          <w:b/>
          <w:bCs/>
          <w:spacing w:val="-33"/>
          <w:sz w:val="23"/>
          <w:szCs w:val="23"/>
        </w:rPr>
        <w:t xml:space="preserve"> </w:t>
      </w:r>
      <w:r>
        <w:rPr>
          <w:rFonts w:ascii="Arial" w:hAnsi="Arial" w:cs="Arial"/>
          <w:b/>
          <w:bCs/>
          <w:sz w:val="23"/>
          <w:szCs w:val="23"/>
        </w:rPr>
        <w:t>New</w:t>
      </w:r>
      <w:r>
        <w:rPr>
          <w:rFonts w:ascii="Arial" w:hAnsi="Arial" w:cs="Arial"/>
          <w:b/>
          <w:bCs/>
          <w:spacing w:val="-43"/>
          <w:sz w:val="23"/>
          <w:szCs w:val="23"/>
        </w:rPr>
        <w:t xml:space="preserve"> </w:t>
      </w:r>
      <w:r>
        <w:rPr>
          <w:rFonts w:ascii="Arial" w:hAnsi="Arial" w:cs="Arial"/>
          <w:b/>
          <w:bCs/>
          <w:sz w:val="23"/>
          <w:szCs w:val="23"/>
        </w:rPr>
        <w:t>Bedford</w:t>
      </w:r>
      <w:r>
        <w:rPr>
          <w:rFonts w:ascii="Arial" w:hAnsi="Arial" w:cs="Arial"/>
          <w:b/>
          <w:bCs/>
          <w:spacing w:val="-42"/>
          <w:sz w:val="23"/>
          <w:szCs w:val="23"/>
        </w:rPr>
        <w:t xml:space="preserve"> </w:t>
      </w:r>
      <w:r>
        <w:rPr>
          <w:rFonts w:ascii="Arial" w:hAnsi="Arial" w:cs="Arial"/>
          <w:b/>
          <w:bCs/>
          <w:sz w:val="23"/>
          <w:szCs w:val="23"/>
        </w:rPr>
        <w:t>Adult</w:t>
      </w:r>
      <w:r>
        <w:rPr>
          <w:rFonts w:ascii="Arial" w:hAnsi="Arial" w:cs="Arial"/>
          <w:b/>
          <w:bCs/>
          <w:spacing w:val="-34"/>
          <w:sz w:val="23"/>
          <w:szCs w:val="23"/>
        </w:rPr>
        <w:t xml:space="preserve"> </w:t>
      </w:r>
      <w:r>
        <w:rPr>
          <w:rFonts w:ascii="Arial" w:hAnsi="Arial" w:cs="Arial"/>
          <w:b/>
          <w:bCs/>
          <w:sz w:val="23"/>
          <w:szCs w:val="23"/>
        </w:rPr>
        <w:t>Day</w:t>
      </w:r>
      <w:r>
        <w:rPr>
          <w:rFonts w:ascii="Arial" w:hAnsi="Arial" w:cs="Arial"/>
          <w:b/>
          <w:bCs/>
          <w:spacing w:val="-41"/>
          <w:sz w:val="23"/>
          <w:szCs w:val="23"/>
        </w:rPr>
        <w:t xml:space="preserve"> </w:t>
      </w:r>
      <w:r>
        <w:rPr>
          <w:rFonts w:ascii="Arial" w:hAnsi="Arial" w:cs="Arial"/>
          <w:b/>
          <w:bCs/>
          <w:sz w:val="23"/>
          <w:szCs w:val="23"/>
        </w:rPr>
        <w:t>Health</w:t>
      </w:r>
    </w:p>
    <w:p w:rsidR="002C5025" w:rsidRDefault="002C5025">
      <w:pPr>
        <w:pStyle w:val="BodyText"/>
        <w:kinsoku w:val="0"/>
        <w:overflowPunct w:val="0"/>
        <w:rPr>
          <w:rFonts w:ascii="Arial" w:hAnsi="Arial" w:cs="Arial"/>
          <w:b/>
          <w:bCs/>
        </w:rPr>
      </w:pPr>
    </w:p>
    <w:p w:rsidR="002C5025" w:rsidRDefault="002C5025">
      <w:pPr>
        <w:pStyle w:val="BodyText"/>
        <w:kinsoku w:val="0"/>
        <w:overflowPunct w:val="0"/>
        <w:rPr>
          <w:rFonts w:ascii="Arial" w:hAnsi="Arial" w:cs="Arial"/>
          <w:b/>
          <w:bCs/>
        </w:rPr>
      </w:pPr>
    </w:p>
    <w:p w:rsidR="002C5025" w:rsidRDefault="002C5025">
      <w:pPr>
        <w:pStyle w:val="BodyText"/>
        <w:kinsoku w:val="0"/>
        <w:overflowPunct w:val="0"/>
        <w:spacing w:before="151"/>
        <w:ind w:left="170" w:right="-16"/>
        <w:rPr>
          <w:rFonts w:ascii="Arial" w:hAnsi="Arial" w:cs="Arial"/>
          <w:b/>
          <w:bCs/>
          <w:w w:val="95"/>
          <w:sz w:val="23"/>
          <w:szCs w:val="23"/>
        </w:rPr>
      </w:pPr>
      <w:r>
        <w:rPr>
          <w:rFonts w:ascii="Arial" w:hAnsi="Arial" w:cs="Arial"/>
          <w:b/>
          <w:bCs/>
          <w:w w:val="95"/>
          <w:sz w:val="23"/>
          <w:szCs w:val="23"/>
        </w:rPr>
        <w:t>Kevin Hunter</w:t>
      </w:r>
    </w:p>
    <w:p w:rsidR="002C5025" w:rsidRDefault="002C5025">
      <w:pPr>
        <w:pStyle w:val="BodyText"/>
        <w:kinsoku w:val="0"/>
        <w:overflowPunct w:val="0"/>
        <w:spacing w:before="38"/>
        <w:ind w:left="155" w:right="-16"/>
        <w:rPr>
          <w:rFonts w:ascii="Arial" w:hAnsi="Arial" w:cs="Arial"/>
          <w:b/>
          <w:bCs/>
          <w:w w:val="95"/>
          <w:sz w:val="23"/>
          <w:szCs w:val="23"/>
        </w:rPr>
      </w:pPr>
      <w:r>
        <w:rPr>
          <w:rFonts w:ascii="Arial" w:hAnsi="Arial" w:cs="Arial"/>
          <w:b/>
          <w:bCs/>
          <w:w w:val="95"/>
          <w:sz w:val="23"/>
          <w:szCs w:val="23"/>
        </w:rPr>
        <w:t>Anodyne Homemaker Services</w:t>
      </w:r>
    </w:p>
    <w:p w:rsidR="002C5025" w:rsidRDefault="002C5025">
      <w:pPr>
        <w:pStyle w:val="BodyText"/>
        <w:kinsoku w:val="0"/>
        <w:overflowPunct w:val="0"/>
        <w:spacing w:before="78"/>
        <w:ind w:left="163" w:right="2613"/>
        <w:rPr>
          <w:rFonts w:ascii="Arial" w:hAnsi="Arial" w:cs="Arial"/>
          <w:b/>
          <w:bCs/>
          <w:w w:val="90"/>
          <w:sz w:val="23"/>
          <w:szCs w:val="23"/>
        </w:rPr>
      </w:pPr>
      <w:r>
        <w:rPr>
          <w:rFonts w:ascii="Times New Roman" w:hAnsi="Times New Roman" w:cs="Times New Roman"/>
          <w:sz w:val="24"/>
          <w:szCs w:val="24"/>
        </w:rPr>
        <w:br w:type="column"/>
      </w:r>
      <w:r>
        <w:rPr>
          <w:rFonts w:ascii="Arial" w:hAnsi="Arial" w:cs="Arial"/>
          <w:b/>
          <w:bCs/>
          <w:w w:val="90"/>
          <w:sz w:val="23"/>
          <w:szCs w:val="23"/>
        </w:rPr>
        <w:lastRenderedPageBreak/>
        <w:t>Eartha</w:t>
      </w:r>
      <w:r>
        <w:rPr>
          <w:rFonts w:ascii="Arial" w:hAnsi="Arial" w:cs="Arial"/>
          <w:b/>
          <w:bCs/>
          <w:spacing w:val="57"/>
          <w:w w:val="90"/>
          <w:sz w:val="23"/>
          <w:szCs w:val="23"/>
        </w:rPr>
        <w:t xml:space="preserve"> </w:t>
      </w:r>
      <w:r>
        <w:rPr>
          <w:rFonts w:ascii="Arial" w:hAnsi="Arial" w:cs="Arial"/>
          <w:b/>
          <w:bCs/>
          <w:w w:val="90"/>
          <w:sz w:val="23"/>
          <w:szCs w:val="23"/>
        </w:rPr>
        <w:t>Harrington</w:t>
      </w:r>
    </w:p>
    <w:p w:rsidR="002C5025" w:rsidRDefault="002C5025">
      <w:pPr>
        <w:pStyle w:val="BodyText"/>
        <w:kinsoku w:val="0"/>
        <w:overflowPunct w:val="0"/>
        <w:spacing w:before="45"/>
        <w:ind w:left="163" w:right="2613"/>
        <w:rPr>
          <w:rFonts w:ascii="Arial" w:hAnsi="Arial" w:cs="Arial"/>
          <w:b/>
          <w:bCs/>
          <w:w w:val="95"/>
          <w:sz w:val="23"/>
          <w:szCs w:val="23"/>
        </w:rPr>
      </w:pPr>
      <w:r>
        <w:rPr>
          <w:rFonts w:ascii="Arial" w:hAnsi="Arial" w:cs="Arial"/>
          <w:b/>
          <w:bCs/>
          <w:w w:val="95"/>
          <w:sz w:val="23"/>
          <w:szCs w:val="23"/>
        </w:rPr>
        <w:t>Help Services Network, Inc.</w:t>
      </w:r>
    </w:p>
    <w:p w:rsidR="002C5025" w:rsidRDefault="002C5025">
      <w:pPr>
        <w:pStyle w:val="BodyText"/>
        <w:kinsoku w:val="0"/>
        <w:overflowPunct w:val="0"/>
        <w:rPr>
          <w:rFonts w:ascii="Arial" w:hAnsi="Arial" w:cs="Arial"/>
          <w:b/>
          <w:bCs/>
        </w:rPr>
      </w:pPr>
    </w:p>
    <w:p w:rsidR="002C5025" w:rsidRDefault="002C5025">
      <w:pPr>
        <w:pStyle w:val="BodyText"/>
        <w:kinsoku w:val="0"/>
        <w:overflowPunct w:val="0"/>
        <w:rPr>
          <w:rFonts w:ascii="Arial" w:hAnsi="Arial" w:cs="Arial"/>
          <w:b/>
          <w:bCs/>
        </w:rPr>
      </w:pPr>
    </w:p>
    <w:p w:rsidR="002C5025" w:rsidRDefault="002C5025">
      <w:pPr>
        <w:pStyle w:val="BodyText"/>
        <w:kinsoku w:val="0"/>
        <w:overflowPunct w:val="0"/>
        <w:spacing w:before="144" w:line="280" w:lineRule="auto"/>
        <w:ind w:left="156" w:right="2613"/>
        <w:rPr>
          <w:rFonts w:ascii="Arial" w:hAnsi="Arial" w:cs="Arial"/>
          <w:b/>
          <w:bCs/>
          <w:w w:val="90"/>
          <w:sz w:val="23"/>
          <w:szCs w:val="23"/>
        </w:rPr>
      </w:pPr>
      <w:r>
        <w:rPr>
          <w:rFonts w:ascii="Arial" w:hAnsi="Arial" w:cs="Arial"/>
          <w:b/>
          <w:bCs/>
          <w:sz w:val="23"/>
          <w:szCs w:val="23"/>
        </w:rPr>
        <w:t xml:space="preserve">Margaret </w:t>
      </w:r>
      <w:proofErr w:type="spellStart"/>
      <w:r>
        <w:rPr>
          <w:rFonts w:ascii="Arial" w:hAnsi="Arial" w:cs="Arial"/>
          <w:b/>
          <w:bCs/>
          <w:sz w:val="23"/>
          <w:szCs w:val="23"/>
        </w:rPr>
        <w:t>Fenander</w:t>
      </w:r>
      <w:proofErr w:type="spellEnd"/>
      <w:r>
        <w:rPr>
          <w:rFonts w:ascii="Arial" w:hAnsi="Arial" w:cs="Arial"/>
          <w:b/>
          <w:bCs/>
          <w:sz w:val="23"/>
          <w:szCs w:val="23"/>
        </w:rPr>
        <w:t xml:space="preserve"> </w:t>
      </w:r>
      <w:r>
        <w:rPr>
          <w:rFonts w:ascii="Arial" w:hAnsi="Arial" w:cs="Arial"/>
          <w:b/>
          <w:bCs/>
          <w:w w:val="90"/>
          <w:sz w:val="23"/>
          <w:szCs w:val="23"/>
        </w:rPr>
        <w:t>Hancock Council on Aging</w:t>
      </w:r>
    </w:p>
    <w:p w:rsidR="002C5025" w:rsidRDefault="002C5025">
      <w:pPr>
        <w:pStyle w:val="BodyText"/>
        <w:kinsoku w:val="0"/>
        <w:overflowPunct w:val="0"/>
        <w:spacing w:before="144" w:line="280" w:lineRule="auto"/>
        <w:ind w:left="156" w:right="2613"/>
        <w:rPr>
          <w:rFonts w:ascii="Arial" w:hAnsi="Arial" w:cs="Arial"/>
          <w:b/>
          <w:bCs/>
          <w:w w:val="90"/>
          <w:sz w:val="23"/>
          <w:szCs w:val="23"/>
        </w:rPr>
        <w:sectPr w:rsidR="002C5025">
          <w:type w:val="continuous"/>
          <w:pgSz w:w="12240" w:h="15840"/>
          <w:pgMar w:top="720" w:right="960" w:bottom="280" w:left="780" w:header="720" w:footer="720" w:gutter="0"/>
          <w:cols w:num="2" w:space="720" w:equalWidth="0">
            <w:col w:w="4179" w:space="638"/>
            <w:col w:w="5683"/>
          </w:cols>
          <w:noEndnote/>
        </w:sectPr>
      </w:pPr>
    </w:p>
    <w:p w:rsidR="002C5025" w:rsidRDefault="002C5025">
      <w:pPr>
        <w:pStyle w:val="BodyText"/>
        <w:kinsoku w:val="0"/>
        <w:overflowPunct w:val="0"/>
        <w:rPr>
          <w:rFonts w:ascii="Arial" w:hAnsi="Arial" w:cs="Arial"/>
          <w:b/>
          <w:bCs/>
          <w:sz w:val="19"/>
          <w:szCs w:val="19"/>
        </w:rPr>
      </w:pPr>
    </w:p>
    <w:p w:rsidR="002C5025" w:rsidRDefault="002C5025">
      <w:pPr>
        <w:pStyle w:val="BodyText"/>
        <w:kinsoku w:val="0"/>
        <w:overflowPunct w:val="0"/>
        <w:rPr>
          <w:rFonts w:ascii="Arial" w:hAnsi="Arial" w:cs="Arial"/>
          <w:b/>
          <w:bCs/>
          <w:sz w:val="19"/>
          <w:szCs w:val="19"/>
        </w:rPr>
        <w:sectPr w:rsidR="002C5025">
          <w:type w:val="continuous"/>
          <w:pgSz w:w="12240" w:h="15840"/>
          <w:pgMar w:top="720" w:right="960" w:bottom="280" w:left="780" w:header="720" w:footer="720" w:gutter="0"/>
          <w:cols w:space="720" w:equalWidth="0">
            <w:col w:w="10500"/>
          </w:cols>
          <w:noEndnote/>
        </w:sectPr>
      </w:pPr>
    </w:p>
    <w:p w:rsidR="002C5025" w:rsidRDefault="002C5025">
      <w:pPr>
        <w:pStyle w:val="BodyText"/>
        <w:kinsoku w:val="0"/>
        <w:overflowPunct w:val="0"/>
        <w:spacing w:before="71" w:line="273" w:lineRule="auto"/>
        <w:ind w:left="148" w:right="1460" w:firstLine="14"/>
        <w:rPr>
          <w:rFonts w:ascii="Arial" w:hAnsi="Arial" w:cs="Arial"/>
          <w:b/>
          <w:bCs/>
          <w:w w:val="95"/>
          <w:sz w:val="23"/>
          <w:szCs w:val="23"/>
        </w:rPr>
      </w:pPr>
      <w:r>
        <w:rPr>
          <w:rFonts w:ascii="Arial" w:hAnsi="Arial" w:cs="Arial"/>
          <w:b/>
          <w:bCs/>
          <w:sz w:val="23"/>
          <w:szCs w:val="23"/>
        </w:rPr>
        <w:lastRenderedPageBreak/>
        <w:t xml:space="preserve">Marjorie Hess </w:t>
      </w:r>
      <w:r>
        <w:rPr>
          <w:rFonts w:ascii="Arial" w:hAnsi="Arial" w:cs="Arial"/>
          <w:b/>
          <w:bCs/>
          <w:w w:val="95"/>
          <w:sz w:val="23"/>
          <w:szCs w:val="23"/>
        </w:rPr>
        <w:t>Arcadia New England</w:t>
      </w:r>
    </w:p>
    <w:p w:rsidR="002C5025" w:rsidRDefault="002C5025">
      <w:pPr>
        <w:pStyle w:val="BodyText"/>
        <w:kinsoku w:val="0"/>
        <w:overflowPunct w:val="0"/>
        <w:spacing w:before="8"/>
        <w:rPr>
          <w:rFonts w:ascii="Arial" w:hAnsi="Arial" w:cs="Arial"/>
          <w:b/>
          <w:bCs/>
          <w:sz w:val="27"/>
          <w:szCs w:val="27"/>
        </w:rPr>
      </w:pPr>
    </w:p>
    <w:p w:rsidR="002C5025" w:rsidRDefault="002C5025">
      <w:pPr>
        <w:pStyle w:val="BodyText"/>
        <w:kinsoku w:val="0"/>
        <w:overflowPunct w:val="0"/>
        <w:ind w:left="163" w:right="1460"/>
        <w:rPr>
          <w:rFonts w:ascii="Arial" w:hAnsi="Arial" w:cs="Arial"/>
          <w:b/>
          <w:bCs/>
          <w:w w:val="95"/>
          <w:sz w:val="23"/>
          <w:szCs w:val="23"/>
        </w:rPr>
      </w:pPr>
      <w:proofErr w:type="spellStart"/>
      <w:r>
        <w:rPr>
          <w:rFonts w:ascii="Arial" w:hAnsi="Arial" w:cs="Arial"/>
          <w:b/>
          <w:bCs/>
          <w:w w:val="95"/>
          <w:sz w:val="23"/>
          <w:szCs w:val="23"/>
        </w:rPr>
        <w:t>Elana</w:t>
      </w:r>
      <w:proofErr w:type="spellEnd"/>
      <w:r>
        <w:rPr>
          <w:rFonts w:ascii="Arial" w:hAnsi="Arial" w:cs="Arial"/>
          <w:b/>
          <w:bCs/>
          <w:w w:val="95"/>
          <w:sz w:val="23"/>
          <w:szCs w:val="23"/>
        </w:rPr>
        <w:t xml:space="preserve"> Margolis</w:t>
      </w:r>
    </w:p>
    <w:p w:rsidR="002C5025" w:rsidRDefault="002C5025">
      <w:pPr>
        <w:pStyle w:val="BodyText"/>
        <w:kinsoku w:val="0"/>
        <w:overflowPunct w:val="0"/>
        <w:spacing w:before="38" w:line="273" w:lineRule="auto"/>
        <w:ind w:left="148" w:hanging="8"/>
        <w:rPr>
          <w:rFonts w:ascii="Arial" w:hAnsi="Arial" w:cs="Arial"/>
          <w:b/>
          <w:bCs/>
          <w:w w:val="95"/>
          <w:sz w:val="23"/>
          <w:szCs w:val="23"/>
        </w:rPr>
      </w:pPr>
      <w:r>
        <w:rPr>
          <w:rFonts w:ascii="Arial" w:hAnsi="Arial" w:cs="Arial"/>
          <w:b/>
          <w:bCs/>
          <w:w w:val="90"/>
          <w:sz w:val="23"/>
          <w:szCs w:val="23"/>
        </w:rPr>
        <w:t xml:space="preserve">Jewish Community Relations Council </w:t>
      </w:r>
      <w:r>
        <w:rPr>
          <w:rFonts w:ascii="Arial" w:hAnsi="Arial" w:cs="Arial"/>
          <w:b/>
          <w:bCs/>
          <w:w w:val="95"/>
          <w:sz w:val="23"/>
          <w:szCs w:val="23"/>
        </w:rPr>
        <w:t>Of Greater Boston</w:t>
      </w:r>
    </w:p>
    <w:p w:rsidR="002C5025" w:rsidRDefault="002C5025">
      <w:pPr>
        <w:pStyle w:val="BodyText"/>
        <w:kinsoku w:val="0"/>
        <w:overflowPunct w:val="0"/>
        <w:spacing w:before="85"/>
        <w:ind w:left="141" w:right="2613"/>
        <w:rPr>
          <w:rFonts w:ascii="Arial" w:hAnsi="Arial" w:cs="Arial"/>
          <w:b/>
          <w:bCs/>
          <w:w w:val="90"/>
          <w:sz w:val="23"/>
          <w:szCs w:val="23"/>
        </w:rPr>
      </w:pPr>
      <w:r>
        <w:rPr>
          <w:rFonts w:ascii="Times New Roman" w:hAnsi="Times New Roman" w:cs="Times New Roman"/>
          <w:sz w:val="24"/>
          <w:szCs w:val="24"/>
        </w:rPr>
        <w:br w:type="column"/>
      </w:r>
      <w:r>
        <w:rPr>
          <w:rFonts w:ascii="Arial" w:hAnsi="Arial" w:cs="Arial"/>
          <w:b/>
          <w:bCs/>
          <w:w w:val="90"/>
          <w:sz w:val="23"/>
          <w:szCs w:val="23"/>
        </w:rPr>
        <w:lastRenderedPageBreak/>
        <w:t>Jacob Waah</w:t>
      </w:r>
    </w:p>
    <w:p w:rsidR="002C5025" w:rsidRDefault="002C5025">
      <w:pPr>
        <w:pStyle w:val="BodyText"/>
        <w:kinsoku w:val="0"/>
        <w:overflowPunct w:val="0"/>
        <w:spacing w:before="38"/>
        <w:ind w:left="141" w:right="2613"/>
        <w:rPr>
          <w:rFonts w:ascii="Arial" w:hAnsi="Arial" w:cs="Arial"/>
          <w:b/>
          <w:bCs/>
          <w:w w:val="95"/>
          <w:sz w:val="23"/>
          <w:szCs w:val="23"/>
        </w:rPr>
      </w:pPr>
      <w:r>
        <w:rPr>
          <w:rFonts w:ascii="Arial" w:hAnsi="Arial" w:cs="Arial"/>
          <w:b/>
          <w:bCs/>
          <w:w w:val="95"/>
          <w:sz w:val="23"/>
          <w:szCs w:val="23"/>
        </w:rPr>
        <w:t>Victory Home Health, Inc.</w:t>
      </w:r>
    </w:p>
    <w:p w:rsidR="002C5025" w:rsidRDefault="002C5025">
      <w:pPr>
        <w:pStyle w:val="BodyText"/>
        <w:kinsoku w:val="0"/>
        <w:overflowPunct w:val="0"/>
        <w:spacing w:before="38"/>
        <w:ind w:left="141" w:right="2613"/>
        <w:rPr>
          <w:rFonts w:ascii="Arial" w:hAnsi="Arial" w:cs="Arial"/>
          <w:b/>
          <w:bCs/>
          <w:w w:val="95"/>
          <w:sz w:val="23"/>
          <w:szCs w:val="23"/>
        </w:rPr>
        <w:sectPr w:rsidR="002C5025">
          <w:type w:val="continuous"/>
          <w:pgSz w:w="12240" w:h="15840"/>
          <w:pgMar w:top="720" w:right="960" w:bottom="280" w:left="780" w:header="720" w:footer="720" w:gutter="0"/>
          <w:cols w:num="2" w:space="720" w:equalWidth="0">
            <w:col w:w="3913" w:space="904"/>
            <w:col w:w="5683"/>
          </w:cols>
          <w:noEndnote/>
        </w:sectPr>
      </w:pPr>
    </w:p>
    <w:p w:rsidR="002C5025" w:rsidRDefault="002C5025">
      <w:pPr>
        <w:pStyle w:val="BodyText"/>
        <w:kinsoku w:val="0"/>
        <w:overflowPunct w:val="0"/>
        <w:rPr>
          <w:rFonts w:ascii="Arial" w:hAnsi="Arial" w:cs="Arial"/>
          <w:b/>
          <w:bCs/>
          <w:sz w:val="20"/>
          <w:szCs w:val="20"/>
        </w:rPr>
      </w:pPr>
    </w:p>
    <w:p w:rsidR="002C5025" w:rsidRDefault="002C5025">
      <w:pPr>
        <w:pStyle w:val="BodyText"/>
        <w:kinsoku w:val="0"/>
        <w:overflowPunct w:val="0"/>
        <w:rPr>
          <w:rFonts w:ascii="Arial" w:hAnsi="Arial" w:cs="Arial"/>
          <w:b/>
          <w:bCs/>
          <w:sz w:val="20"/>
          <w:szCs w:val="20"/>
        </w:rPr>
      </w:pPr>
    </w:p>
    <w:p w:rsidR="002C5025" w:rsidRDefault="002C5025">
      <w:pPr>
        <w:pStyle w:val="BodyText"/>
        <w:kinsoku w:val="0"/>
        <w:overflowPunct w:val="0"/>
        <w:rPr>
          <w:rFonts w:ascii="Arial" w:hAnsi="Arial" w:cs="Arial"/>
          <w:b/>
          <w:bCs/>
          <w:sz w:val="20"/>
          <w:szCs w:val="20"/>
        </w:rPr>
      </w:pPr>
    </w:p>
    <w:p w:rsidR="002C5025" w:rsidRDefault="002C5025">
      <w:pPr>
        <w:pStyle w:val="BodyText"/>
        <w:kinsoku w:val="0"/>
        <w:overflowPunct w:val="0"/>
        <w:spacing w:before="204"/>
        <w:ind w:left="904" w:right="355"/>
        <w:rPr>
          <w:rFonts w:ascii="Arial" w:hAnsi="Arial" w:cs="Arial"/>
          <w:b/>
          <w:bCs/>
          <w:i/>
          <w:iCs/>
          <w:sz w:val="33"/>
          <w:szCs w:val="33"/>
        </w:rPr>
      </w:pPr>
      <w:r>
        <w:rPr>
          <w:rFonts w:ascii="Arial" w:hAnsi="Arial" w:cs="Arial"/>
          <w:b/>
          <w:bCs/>
          <w:i/>
          <w:iCs/>
          <w:sz w:val="33"/>
          <w:szCs w:val="33"/>
        </w:rPr>
        <w:t>Disability Advocates  Advancing  our Healthcare</w:t>
      </w:r>
      <w:r>
        <w:rPr>
          <w:rFonts w:ascii="Arial" w:hAnsi="Arial" w:cs="Arial"/>
          <w:b/>
          <w:bCs/>
          <w:i/>
          <w:iCs/>
          <w:spacing w:val="69"/>
          <w:sz w:val="33"/>
          <w:szCs w:val="33"/>
        </w:rPr>
        <w:t xml:space="preserve"> </w:t>
      </w:r>
      <w:r>
        <w:rPr>
          <w:rFonts w:ascii="Arial" w:hAnsi="Arial" w:cs="Arial"/>
          <w:b/>
          <w:bCs/>
          <w:i/>
          <w:iCs/>
          <w:sz w:val="33"/>
          <w:szCs w:val="33"/>
        </w:rPr>
        <w:t>Rights</w:t>
      </w:r>
    </w:p>
    <w:p w:rsidR="002C5025" w:rsidRDefault="002C5025">
      <w:pPr>
        <w:pStyle w:val="BodyText"/>
        <w:kinsoku w:val="0"/>
        <w:overflowPunct w:val="0"/>
        <w:rPr>
          <w:rFonts w:ascii="Arial" w:hAnsi="Arial" w:cs="Arial"/>
          <w:b/>
          <w:bCs/>
          <w:i/>
          <w:iCs/>
          <w:sz w:val="32"/>
          <w:szCs w:val="32"/>
        </w:rPr>
      </w:pPr>
    </w:p>
    <w:p w:rsidR="002C5025" w:rsidRDefault="002C5025">
      <w:pPr>
        <w:pStyle w:val="BodyText"/>
        <w:kinsoku w:val="0"/>
        <w:overflowPunct w:val="0"/>
        <w:spacing w:before="3"/>
        <w:rPr>
          <w:rFonts w:ascii="Arial" w:hAnsi="Arial" w:cs="Arial"/>
          <w:b/>
          <w:bCs/>
          <w:i/>
          <w:iCs/>
          <w:sz w:val="33"/>
          <w:szCs w:val="33"/>
        </w:rPr>
      </w:pPr>
    </w:p>
    <w:p w:rsidR="002C5025" w:rsidRDefault="002C5025">
      <w:pPr>
        <w:pStyle w:val="BodyText"/>
        <w:kinsoku w:val="0"/>
        <w:overflowPunct w:val="0"/>
        <w:spacing w:line="487" w:lineRule="auto"/>
        <w:ind w:left="148" w:right="8604"/>
        <w:rPr>
          <w:rFonts w:ascii="Arial" w:hAnsi="Arial" w:cs="Arial"/>
          <w:w w:val="105"/>
          <w:sz w:val="20"/>
          <w:szCs w:val="20"/>
        </w:rPr>
      </w:pPr>
      <w:r>
        <w:rPr>
          <w:rFonts w:ascii="Arial" w:hAnsi="Arial" w:cs="Arial"/>
          <w:w w:val="105"/>
          <w:sz w:val="20"/>
          <w:szCs w:val="20"/>
        </w:rPr>
        <w:t>December 7, 2015 Daniel Tsai</w:t>
      </w:r>
    </w:p>
    <w:p w:rsidR="002C5025" w:rsidRDefault="002C5025">
      <w:pPr>
        <w:pStyle w:val="BodyText"/>
        <w:kinsoku w:val="0"/>
        <w:overflowPunct w:val="0"/>
        <w:spacing w:before="22" w:line="480" w:lineRule="auto"/>
        <w:ind w:left="134" w:right="4758" w:firstLine="14"/>
        <w:rPr>
          <w:rFonts w:ascii="Arial" w:hAnsi="Arial" w:cs="Arial"/>
          <w:w w:val="105"/>
          <w:sz w:val="20"/>
          <w:szCs w:val="20"/>
        </w:rPr>
      </w:pPr>
      <w:r>
        <w:rPr>
          <w:rFonts w:ascii="Arial" w:hAnsi="Arial" w:cs="Arial"/>
          <w:w w:val="105"/>
          <w:sz w:val="20"/>
          <w:szCs w:val="20"/>
        </w:rPr>
        <w:t>EOHHS Assistant Secretary and Director of MassHealth One Ashburton Place</w:t>
      </w:r>
    </w:p>
    <w:p w:rsidR="002C5025" w:rsidRDefault="002C5025">
      <w:pPr>
        <w:pStyle w:val="BodyText"/>
        <w:kinsoku w:val="0"/>
        <w:overflowPunct w:val="0"/>
        <w:spacing w:before="21"/>
        <w:ind w:left="141" w:right="355"/>
        <w:rPr>
          <w:rFonts w:ascii="Arial" w:hAnsi="Arial" w:cs="Arial"/>
          <w:w w:val="105"/>
          <w:sz w:val="20"/>
          <w:szCs w:val="20"/>
        </w:rPr>
      </w:pPr>
      <w:r>
        <w:rPr>
          <w:rFonts w:ascii="Arial" w:hAnsi="Arial" w:cs="Arial"/>
          <w:w w:val="105"/>
          <w:sz w:val="20"/>
          <w:szCs w:val="20"/>
        </w:rPr>
        <w:t>Boston, MA 02108</w:t>
      </w: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rPr>
      </w:pPr>
    </w:p>
    <w:p w:rsidR="002C5025" w:rsidRDefault="002C5025">
      <w:pPr>
        <w:pStyle w:val="BodyText"/>
        <w:kinsoku w:val="0"/>
        <w:overflowPunct w:val="0"/>
        <w:ind w:left="141" w:right="355"/>
        <w:rPr>
          <w:rFonts w:ascii="Arial" w:hAnsi="Arial" w:cs="Arial"/>
          <w:w w:val="105"/>
          <w:sz w:val="20"/>
          <w:szCs w:val="20"/>
        </w:rPr>
      </w:pPr>
      <w:r>
        <w:rPr>
          <w:rFonts w:ascii="Arial" w:hAnsi="Arial" w:cs="Arial"/>
          <w:w w:val="105"/>
          <w:sz w:val="20"/>
          <w:szCs w:val="20"/>
        </w:rPr>
        <w:t>Dear Assistant Secretary Tsai:</w:t>
      </w: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10"/>
        <w:rPr>
          <w:rFonts w:ascii="Arial" w:hAnsi="Arial" w:cs="Arial"/>
          <w:sz w:val="23"/>
          <w:szCs w:val="23"/>
        </w:rPr>
      </w:pPr>
    </w:p>
    <w:p w:rsidR="002C5025" w:rsidRDefault="002C5025">
      <w:pPr>
        <w:pStyle w:val="BodyText"/>
        <w:kinsoku w:val="0"/>
        <w:overflowPunct w:val="0"/>
        <w:spacing w:line="290" w:lineRule="auto"/>
        <w:ind w:left="127" w:right="355" w:firstLine="7"/>
        <w:rPr>
          <w:rFonts w:ascii="Arial" w:hAnsi="Arial" w:cs="Arial"/>
          <w:sz w:val="20"/>
          <w:szCs w:val="20"/>
        </w:rPr>
      </w:pPr>
      <w:r>
        <w:rPr>
          <w:rFonts w:ascii="Arial" w:hAnsi="Arial" w:cs="Arial"/>
          <w:sz w:val="20"/>
          <w:szCs w:val="20"/>
        </w:rPr>
        <w:t>Disability Advocates Advancing Our Healthcare Rights (DAAHR) wishes to thank you for your commitment to building a healthcare delivery system that better meets the needs of the poorest residents of Massachusetts, including people with complex physical and behavioral health disabilities, intellectual and developmental disabilities, and a variety of other chronic health conditions. We support the state's intention to secure performance incentive payments within CMS's Delivery System Reform Incentive Payment (DSRIP) program under the  broad authority  of the  1115 Waiver to transform  the  health  care delivery  system.</w:t>
      </w: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6"/>
        <w:rPr>
          <w:rFonts w:ascii="Arial" w:hAnsi="Arial" w:cs="Arial"/>
          <w:sz w:val="18"/>
          <w:szCs w:val="18"/>
        </w:rPr>
      </w:pPr>
    </w:p>
    <w:p w:rsidR="002C5025" w:rsidRDefault="002C5025">
      <w:pPr>
        <w:pStyle w:val="BodyText"/>
        <w:kinsoku w:val="0"/>
        <w:overflowPunct w:val="0"/>
        <w:spacing w:line="292" w:lineRule="auto"/>
        <w:ind w:left="112" w:right="93"/>
        <w:rPr>
          <w:rFonts w:ascii="Arial" w:hAnsi="Arial" w:cs="Arial"/>
          <w:w w:val="110"/>
          <w:sz w:val="20"/>
          <w:szCs w:val="20"/>
        </w:rPr>
      </w:pPr>
      <w:r>
        <w:rPr>
          <w:rFonts w:ascii="Arial" w:hAnsi="Arial" w:cs="Arial"/>
          <w:w w:val="110"/>
          <w:sz w:val="20"/>
          <w:szCs w:val="20"/>
        </w:rPr>
        <w:t>The</w:t>
      </w:r>
      <w:r>
        <w:rPr>
          <w:rFonts w:ascii="Arial" w:hAnsi="Arial" w:cs="Arial"/>
          <w:spacing w:val="-25"/>
          <w:w w:val="110"/>
          <w:sz w:val="20"/>
          <w:szCs w:val="20"/>
        </w:rPr>
        <w:t xml:space="preserve"> </w:t>
      </w:r>
      <w:r>
        <w:rPr>
          <w:rFonts w:ascii="Arial" w:hAnsi="Arial" w:cs="Arial"/>
          <w:w w:val="110"/>
          <w:sz w:val="20"/>
          <w:szCs w:val="20"/>
        </w:rPr>
        <w:t>purpose</w:t>
      </w:r>
      <w:r>
        <w:rPr>
          <w:rFonts w:ascii="Arial" w:hAnsi="Arial" w:cs="Arial"/>
          <w:spacing w:val="-29"/>
          <w:w w:val="110"/>
          <w:sz w:val="20"/>
          <w:szCs w:val="20"/>
        </w:rPr>
        <w:t xml:space="preserve"> </w:t>
      </w:r>
      <w:r>
        <w:rPr>
          <w:rFonts w:ascii="Arial" w:hAnsi="Arial" w:cs="Arial"/>
          <w:w w:val="110"/>
          <w:sz w:val="20"/>
          <w:szCs w:val="20"/>
        </w:rPr>
        <w:t>of</w:t>
      </w:r>
      <w:r>
        <w:rPr>
          <w:rFonts w:ascii="Arial" w:hAnsi="Arial" w:cs="Arial"/>
          <w:spacing w:val="-33"/>
          <w:w w:val="110"/>
          <w:sz w:val="20"/>
          <w:szCs w:val="20"/>
        </w:rPr>
        <w:t xml:space="preserve"> </w:t>
      </w:r>
      <w:r>
        <w:rPr>
          <w:rFonts w:ascii="Arial" w:hAnsi="Arial" w:cs="Arial"/>
          <w:w w:val="110"/>
          <w:sz w:val="20"/>
          <w:szCs w:val="20"/>
        </w:rPr>
        <w:t>this</w:t>
      </w:r>
      <w:r>
        <w:rPr>
          <w:rFonts w:ascii="Arial" w:hAnsi="Arial" w:cs="Arial"/>
          <w:spacing w:val="-19"/>
          <w:w w:val="110"/>
          <w:sz w:val="20"/>
          <w:szCs w:val="20"/>
        </w:rPr>
        <w:t xml:space="preserve"> </w:t>
      </w:r>
      <w:r>
        <w:rPr>
          <w:rFonts w:ascii="Arial" w:hAnsi="Arial" w:cs="Arial"/>
          <w:spacing w:val="-5"/>
          <w:w w:val="110"/>
          <w:sz w:val="20"/>
          <w:szCs w:val="20"/>
        </w:rPr>
        <w:t>letter</w:t>
      </w:r>
      <w:r>
        <w:rPr>
          <w:rFonts w:ascii="Arial" w:hAnsi="Arial" w:cs="Arial"/>
          <w:spacing w:val="-22"/>
          <w:w w:val="110"/>
          <w:sz w:val="20"/>
          <w:szCs w:val="20"/>
        </w:rPr>
        <w:t xml:space="preserve"> </w:t>
      </w:r>
      <w:r>
        <w:rPr>
          <w:rFonts w:ascii="Arial" w:hAnsi="Arial" w:cs="Arial"/>
          <w:spacing w:val="-15"/>
          <w:w w:val="110"/>
          <w:sz w:val="20"/>
          <w:szCs w:val="20"/>
        </w:rPr>
        <w:t>is</w:t>
      </w:r>
      <w:r>
        <w:rPr>
          <w:rFonts w:ascii="Arial" w:hAnsi="Arial" w:cs="Arial"/>
          <w:spacing w:val="-30"/>
          <w:w w:val="110"/>
          <w:sz w:val="20"/>
          <w:szCs w:val="20"/>
        </w:rPr>
        <w:t xml:space="preserve"> </w:t>
      </w:r>
      <w:r>
        <w:rPr>
          <w:rFonts w:ascii="Arial" w:hAnsi="Arial" w:cs="Arial"/>
          <w:w w:val="110"/>
          <w:sz w:val="20"/>
          <w:szCs w:val="20"/>
        </w:rPr>
        <w:t>to</w:t>
      </w:r>
      <w:r>
        <w:rPr>
          <w:rFonts w:ascii="Arial" w:hAnsi="Arial" w:cs="Arial"/>
          <w:spacing w:val="-24"/>
          <w:w w:val="110"/>
          <w:sz w:val="20"/>
          <w:szCs w:val="20"/>
        </w:rPr>
        <w:t xml:space="preserve"> </w:t>
      </w:r>
      <w:r>
        <w:rPr>
          <w:rFonts w:ascii="Arial" w:hAnsi="Arial" w:cs="Arial"/>
          <w:w w:val="110"/>
          <w:sz w:val="20"/>
          <w:szCs w:val="20"/>
        </w:rPr>
        <w:t>ask</w:t>
      </w:r>
      <w:r>
        <w:rPr>
          <w:rFonts w:ascii="Arial" w:hAnsi="Arial" w:cs="Arial"/>
          <w:spacing w:val="-29"/>
          <w:w w:val="110"/>
          <w:sz w:val="20"/>
          <w:szCs w:val="20"/>
        </w:rPr>
        <w:t xml:space="preserve"> </w:t>
      </w:r>
      <w:r>
        <w:rPr>
          <w:rFonts w:ascii="Arial" w:hAnsi="Arial" w:cs="Arial"/>
          <w:w w:val="110"/>
          <w:sz w:val="20"/>
          <w:szCs w:val="20"/>
        </w:rPr>
        <w:t>you</w:t>
      </w:r>
      <w:r>
        <w:rPr>
          <w:rFonts w:ascii="Arial" w:hAnsi="Arial" w:cs="Arial"/>
          <w:spacing w:val="-28"/>
          <w:w w:val="110"/>
          <w:sz w:val="20"/>
          <w:szCs w:val="20"/>
        </w:rPr>
        <w:t xml:space="preserve"> </w:t>
      </w:r>
      <w:r>
        <w:rPr>
          <w:rFonts w:ascii="Arial" w:hAnsi="Arial" w:cs="Arial"/>
          <w:w w:val="110"/>
          <w:sz w:val="20"/>
          <w:szCs w:val="20"/>
        </w:rPr>
        <w:t>to</w:t>
      </w:r>
      <w:r>
        <w:rPr>
          <w:rFonts w:ascii="Arial" w:hAnsi="Arial" w:cs="Arial"/>
          <w:spacing w:val="-24"/>
          <w:w w:val="110"/>
          <w:sz w:val="20"/>
          <w:szCs w:val="20"/>
        </w:rPr>
        <w:t xml:space="preserve"> </w:t>
      </w:r>
      <w:r>
        <w:rPr>
          <w:rFonts w:ascii="Arial" w:hAnsi="Arial" w:cs="Arial"/>
          <w:w w:val="110"/>
          <w:sz w:val="20"/>
          <w:szCs w:val="20"/>
        </w:rPr>
        <w:t>consider</w:t>
      </w:r>
      <w:r>
        <w:rPr>
          <w:rFonts w:ascii="Arial" w:hAnsi="Arial" w:cs="Arial"/>
          <w:spacing w:val="-20"/>
          <w:w w:val="110"/>
          <w:sz w:val="20"/>
          <w:szCs w:val="20"/>
        </w:rPr>
        <w:t xml:space="preserve"> </w:t>
      </w:r>
      <w:r>
        <w:rPr>
          <w:rFonts w:ascii="Arial" w:hAnsi="Arial" w:cs="Arial"/>
          <w:w w:val="110"/>
          <w:sz w:val="20"/>
          <w:szCs w:val="20"/>
        </w:rPr>
        <w:t>DAARHR's</w:t>
      </w:r>
      <w:r>
        <w:rPr>
          <w:rFonts w:ascii="Arial" w:hAnsi="Arial" w:cs="Arial"/>
          <w:spacing w:val="-19"/>
          <w:w w:val="110"/>
          <w:sz w:val="20"/>
          <w:szCs w:val="20"/>
        </w:rPr>
        <w:t xml:space="preserve"> </w:t>
      </w:r>
      <w:r>
        <w:rPr>
          <w:rFonts w:ascii="Arial" w:hAnsi="Arial" w:cs="Arial"/>
          <w:w w:val="110"/>
          <w:sz w:val="20"/>
          <w:szCs w:val="20"/>
        </w:rPr>
        <w:t>recommendations</w:t>
      </w:r>
      <w:r>
        <w:rPr>
          <w:rFonts w:ascii="Arial" w:hAnsi="Arial" w:cs="Arial"/>
          <w:spacing w:val="-22"/>
          <w:w w:val="110"/>
          <w:sz w:val="20"/>
          <w:szCs w:val="20"/>
        </w:rPr>
        <w:t xml:space="preserve"> </w:t>
      </w:r>
      <w:r>
        <w:rPr>
          <w:rFonts w:ascii="Arial" w:hAnsi="Arial" w:cs="Arial"/>
          <w:w w:val="110"/>
          <w:sz w:val="20"/>
          <w:szCs w:val="20"/>
        </w:rPr>
        <w:t>for</w:t>
      </w:r>
      <w:r>
        <w:rPr>
          <w:rFonts w:ascii="Arial" w:hAnsi="Arial" w:cs="Arial"/>
          <w:spacing w:val="-25"/>
          <w:w w:val="110"/>
          <w:sz w:val="20"/>
          <w:szCs w:val="20"/>
        </w:rPr>
        <w:t xml:space="preserve"> </w:t>
      </w:r>
      <w:r>
        <w:rPr>
          <w:rFonts w:ascii="Arial" w:hAnsi="Arial" w:cs="Arial"/>
          <w:w w:val="110"/>
          <w:sz w:val="20"/>
          <w:szCs w:val="20"/>
        </w:rPr>
        <w:t>transforming</w:t>
      </w:r>
      <w:r>
        <w:rPr>
          <w:rFonts w:ascii="Arial" w:hAnsi="Arial" w:cs="Arial"/>
          <w:spacing w:val="-34"/>
          <w:w w:val="110"/>
          <w:sz w:val="20"/>
          <w:szCs w:val="20"/>
        </w:rPr>
        <w:t xml:space="preserve"> </w:t>
      </w:r>
      <w:r>
        <w:rPr>
          <w:rFonts w:ascii="Arial" w:hAnsi="Arial" w:cs="Arial"/>
          <w:w w:val="110"/>
          <w:sz w:val="20"/>
          <w:szCs w:val="20"/>
        </w:rPr>
        <w:t>the</w:t>
      </w:r>
      <w:r>
        <w:rPr>
          <w:rFonts w:ascii="Arial" w:hAnsi="Arial" w:cs="Arial"/>
          <w:spacing w:val="-23"/>
          <w:w w:val="110"/>
          <w:sz w:val="20"/>
          <w:szCs w:val="20"/>
        </w:rPr>
        <w:t xml:space="preserve"> </w:t>
      </w:r>
      <w:r>
        <w:rPr>
          <w:rFonts w:ascii="Arial" w:hAnsi="Arial" w:cs="Arial"/>
          <w:w w:val="110"/>
          <w:sz w:val="20"/>
          <w:szCs w:val="20"/>
        </w:rPr>
        <w:t>system</w:t>
      </w:r>
      <w:r>
        <w:rPr>
          <w:rFonts w:ascii="Arial" w:hAnsi="Arial" w:cs="Arial"/>
          <w:spacing w:val="-15"/>
          <w:w w:val="110"/>
          <w:sz w:val="20"/>
          <w:szCs w:val="20"/>
        </w:rPr>
        <w:t xml:space="preserve"> </w:t>
      </w:r>
      <w:r>
        <w:rPr>
          <w:rFonts w:ascii="Arial" w:hAnsi="Arial" w:cs="Arial"/>
          <w:spacing w:val="-11"/>
          <w:w w:val="110"/>
          <w:sz w:val="20"/>
          <w:szCs w:val="20"/>
        </w:rPr>
        <w:t xml:space="preserve">in </w:t>
      </w:r>
      <w:r>
        <w:rPr>
          <w:rFonts w:ascii="Arial" w:hAnsi="Arial" w:cs="Arial"/>
          <w:w w:val="110"/>
          <w:sz w:val="20"/>
          <w:szCs w:val="20"/>
        </w:rPr>
        <w:t>order</w:t>
      </w:r>
      <w:r>
        <w:rPr>
          <w:rFonts w:ascii="Arial" w:hAnsi="Arial" w:cs="Arial"/>
          <w:spacing w:val="-30"/>
          <w:w w:val="110"/>
          <w:sz w:val="20"/>
          <w:szCs w:val="20"/>
        </w:rPr>
        <w:t xml:space="preserve"> </w:t>
      </w:r>
      <w:r>
        <w:rPr>
          <w:rFonts w:ascii="Arial" w:hAnsi="Arial" w:cs="Arial"/>
          <w:w w:val="110"/>
          <w:sz w:val="20"/>
          <w:szCs w:val="20"/>
        </w:rPr>
        <w:t>to</w:t>
      </w:r>
      <w:r>
        <w:rPr>
          <w:rFonts w:ascii="Arial" w:hAnsi="Arial" w:cs="Arial"/>
          <w:spacing w:val="-29"/>
          <w:w w:val="110"/>
          <w:sz w:val="20"/>
          <w:szCs w:val="20"/>
        </w:rPr>
        <w:t xml:space="preserve"> </w:t>
      </w:r>
      <w:r>
        <w:rPr>
          <w:rFonts w:ascii="Arial" w:hAnsi="Arial" w:cs="Arial"/>
          <w:w w:val="110"/>
          <w:sz w:val="20"/>
          <w:szCs w:val="20"/>
        </w:rPr>
        <w:t>build</w:t>
      </w:r>
      <w:r>
        <w:rPr>
          <w:rFonts w:ascii="Arial" w:hAnsi="Arial" w:cs="Arial"/>
          <w:spacing w:val="-36"/>
          <w:w w:val="110"/>
          <w:sz w:val="20"/>
          <w:szCs w:val="20"/>
        </w:rPr>
        <w:t xml:space="preserve"> </w:t>
      </w:r>
      <w:r>
        <w:rPr>
          <w:rFonts w:ascii="Arial" w:hAnsi="Arial" w:cs="Arial"/>
          <w:w w:val="110"/>
          <w:sz w:val="20"/>
          <w:szCs w:val="20"/>
        </w:rPr>
        <w:t>a</w:t>
      </w:r>
      <w:r>
        <w:rPr>
          <w:rFonts w:ascii="Arial" w:hAnsi="Arial" w:cs="Arial"/>
          <w:spacing w:val="-36"/>
          <w:w w:val="110"/>
          <w:sz w:val="20"/>
          <w:szCs w:val="20"/>
        </w:rPr>
        <w:t xml:space="preserve"> </w:t>
      </w:r>
      <w:r>
        <w:rPr>
          <w:rFonts w:ascii="Arial" w:hAnsi="Arial" w:cs="Arial"/>
          <w:w w:val="110"/>
          <w:sz w:val="20"/>
          <w:szCs w:val="20"/>
        </w:rPr>
        <w:t>sustainable</w:t>
      </w:r>
      <w:r>
        <w:rPr>
          <w:rFonts w:ascii="Arial" w:hAnsi="Arial" w:cs="Arial"/>
          <w:spacing w:val="-33"/>
          <w:w w:val="110"/>
          <w:sz w:val="20"/>
          <w:szCs w:val="20"/>
        </w:rPr>
        <w:t xml:space="preserve"> </w:t>
      </w:r>
      <w:r>
        <w:rPr>
          <w:rFonts w:ascii="Arial" w:hAnsi="Arial" w:cs="Arial"/>
          <w:w w:val="110"/>
          <w:sz w:val="20"/>
          <w:szCs w:val="20"/>
        </w:rPr>
        <w:t>infrastructure,</w:t>
      </w:r>
      <w:r>
        <w:rPr>
          <w:rFonts w:ascii="Arial" w:hAnsi="Arial" w:cs="Arial"/>
          <w:spacing w:val="-27"/>
          <w:w w:val="110"/>
          <w:sz w:val="20"/>
          <w:szCs w:val="20"/>
        </w:rPr>
        <w:t xml:space="preserve"> </w:t>
      </w:r>
      <w:r>
        <w:rPr>
          <w:rFonts w:ascii="Arial" w:hAnsi="Arial" w:cs="Arial"/>
          <w:w w:val="110"/>
          <w:sz w:val="20"/>
          <w:szCs w:val="20"/>
        </w:rPr>
        <w:t>with</w:t>
      </w:r>
      <w:r>
        <w:rPr>
          <w:rFonts w:ascii="Arial" w:hAnsi="Arial" w:cs="Arial"/>
          <w:spacing w:val="-25"/>
          <w:w w:val="110"/>
          <w:sz w:val="20"/>
          <w:szCs w:val="20"/>
        </w:rPr>
        <w:t xml:space="preserve"> </w:t>
      </w:r>
      <w:r>
        <w:rPr>
          <w:rFonts w:ascii="Arial" w:hAnsi="Arial" w:cs="Arial"/>
          <w:w w:val="110"/>
          <w:sz w:val="20"/>
          <w:szCs w:val="20"/>
        </w:rPr>
        <w:t>an</w:t>
      </w:r>
      <w:r>
        <w:rPr>
          <w:rFonts w:ascii="Arial" w:hAnsi="Arial" w:cs="Arial"/>
          <w:spacing w:val="-30"/>
          <w:w w:val="110"/>
          <w:sz w:val="20"/>
          <w:szCs w:val="20"/>
        </w:rPr>
        <w:t xml:space="preserve"> </w:t>
      </w:r>
      <w:r>
        <w:rPr>
          <w:rFonts w:ascii="Arial" w:hAnsi="Arial" w:cs="Arial"/>
          <w:w w:val="110"/>
          <w:sz w:val="20"/>
          <w:szCs w:val="20"/>
        </w:rPr>
        <w:t>emphasis</w:t>
      </w:r>
      <w:r>
        <w:rPr>
          <w:rFonts w:ascii="Arial" w:hAnsi="Arial" w:cs="Arial"/>
          <w:spacing w:val="-22"/>
          <w:w w:val="110"/>
          <w:sz w:val="20"/>
          <w:szCs w:val="20"/>
        </w:rPr>
        <w:t xml:space="preserve"> </w:t>
      </w:r>
      <w:r>
        <w:rPr>
          <w:rFonts w:ascii="Arial" w:hAnsi="Arial" w:cs="Arial"/>
          <w:w w:val="110"/>
          <w:sz w:val="20"/>
          <w:szCs w:val="20"/>
        </w:rPr>
        <w:t>on</w:t>
      </w:r>
      <w:r>
        <w:rPr>
          <w:rFonts w:ascii="Arial" w:hAnsi="Arial" w:cs="Arial"/>
          <w:spacing w:val="-30"/>
          <w:w w:val="110"/>
          <w:sz w:val="20"/>
          <w:szCs w:val="20"/>
        </w:rPr>
        <w:t xml:space="preserve"> </w:t>
      </w:r>
      <w:r>
        <w:rPr>
          <w:rFonts w:ascii="Arial" w:hAnsi="Arial" w:cs="Arial"/>
          <w:w w:val="110"/>
          <w:sz w:val="20"/>
          <w:szCs w:val="20"/>
        </w:rPr>
        <w:t>quality-of-life</w:t>
      </w:r>
      <w:r>
        <w:rPr>
          <w:rFonts w:ascii="Arial" w:hAnsi="Arial" w:cs="Arial"/>
          <w:spacing w:val="-28"/>
          <w:w w:val="110"/>
          <w:sz w:val="20"/>
          <w:szCs w:val="20"/>
        </w:rPr>
        <w:t xml:space="preserve"> </w:t>
      </w:r>
      <w:r>
        <w:rPr>
          <w:rFonts w:ascii="Arial" w:hAnsi="Arial" w:cs="Arial"/>
          <w:w w:val="110"/>
          <w:sz w:val="20"/>
          <w:szCs w:val="20"/>
        </w:rPr>
        <w:t>goals,</w:t>
      </w:r>
      <w:r>
        <w:rPr>
          <w:rFonts w:ascii="Arial" w:hAnsi="Arial" w:cs="Arial"/>
          <w:spacing w:val="-33"/>
          <w:w w:val="110"/>
          <w:sz w:val="20"/>
          <w:szCs w:val="20"/>
        </w:rPr>
        <w:t xml:space="preserve"> </w:t>
      </w:r>
      <w:r>
        <w:rPr>
          <w:rFonts w:ascii="Arial" w:hAnsi="Arial" w:cs="Arial"/>
          <w:w w:val="110"/>
          <w:sz w:val="20"/>
          <w:szCs w:val="20"/>
        </w:rPr>
        <w:t>to</w:t>
      </w:r>
      <w:r>
        <w:rPr>
          <w:rFonts w:ascii="Arial" w:hAnsi="Arial" w:cs="Arial"/>
          <w:spacing w:val="-26"/>
          <w:w w:val="110"/>
          <w:sz w:val="20"/>
          <w:szCs w:val="20"/>
        </w:rPr>
        <w:t xml:space="preserve"> </w:t>
      </w:r>
      <w:r>
        <w:rPr>
          <w:rFonts w:ascii="Arial" w:hAnsi="Arial" w:cs="Arial"/>
          <w:w w:val="110"/>
          <w:sz w:val="20"/>
          <w:szCs w:val="20"/>
        </w:rPr>
        <w:t>best</w:t>
      </w:r>
      <w:r>
        <w:rPr>
          <w:rFonts w:ascii="Arial" w:hAnsi="Arial" w:cs="Arial"/>
          <w:spacing w:val="-36"/>
          <w:w w:val="110"/>
          <w:sz w:val="20"/>
          <w:szCs w:val="20"/>
        </w:rPr>
        <w:t xml:space="preserve"> </w:t>
      </w:r>
      <w:r>
        <w:rPr>
          <w:rFonts w:ascii="Arial" w:hAnsi="Arial" w:cs="Arial"/>
          <w:w w:val="110"/>
          <w:sz w:val="20"/>
          <w:szCs w:val="20"/>
        </w:rPr>
        <w:t>serve</w:t>
      </w:r>
      <w:r>
        <w:rPr>
          <w:rFonts w:ascii="Arial" w:hAnsi="Arial" w:cs="Arial"/>
          <w:spacing w:val="-25"/>
          <w:w w:val="110"/>
          <w:sz w:val="20"/>
          <w:szCs w:val="20"/>
        </w:rPr>
        <w:t xml:space="preserve"> </w:t>
      </w:r>
      <w:r>
        <w:rPr>
          <w:rFonts w:ascii="Arial" w:hAnsi="Arial" w:cs="Arial"/>
          <w:w w:val="110"/>
          <w:sz w:val="20"/>
          <w:szCs w:val="20"/>
        </w:rPr>
        <w:t xml:space="preserve">MassHealth members with </w:t>
      </w:r>
      <w:r>
        <w:rPr>
          <w:rFonts w:ascii="Arial" w:hAnsi="Arial" w:cs="Arial"/>
          <w:spacing w:val="-5"/>
          <w:w w:val="110"/>
          <w:sz w:val="20"/>
          <w:szCs w:val="20"/>
        </w:rPr>
        <w:t xml:space="preserve">disabilities. </w:t>
      </w:r>
      <w:r>
        <w:rPr>
          <w:rFonts w:ascii="Arial" w:hAnsi="Arial" w:cs="Arial"/>
          <w:w w:val="110"/>
          <w:sz w:val="20"/>
          <w:szCs w:val="20"/>
        </w:rPr>
        <w:t>We also want to state our appreciation for the many recent steps your office has taken</w:t>
      </w:r>
      <w:r>
        <w:rPr>
          <w:rFonts w:ascii="Arial" w:hAnsi="Arial" w:cs="Arial"/>
          <w:spacing w:val="-35"/>
          <w:w w:val="110"/>
          <w:sz w:val="20"/>
          <w:szCs w:val="20"/>
        </w:rPr>
        <w:t xml:space="preserve"> </w:t>
      </w:r>
      <w:r>
        <w:rPr>
          <w:rFonts w:ascii="Arial" w:hAnsi="Arial" w:cs="Arial"/>
          <w:w w:val="110"/>
          <w:sz w:val="20"/>
          <w:szCs w:val="20"/>
        </w:rPr>
        <w:t>to</w:t>
      </w:r>
      <w:r>
        <w:rPr>
          <w:rFonts w:ascii="Arial" w:hAnsi="Arial" w:cs="Arial"/>
          <w:spacing w:val="-38"/>
          <w:w w:val="110"/>
          <w:sz w:val="20"/>
          <w:szCs w:val="20"/>
        </w:rPr>
        <w:t xml:space="preserve"> </w:t>
      </w:r>
      <w:r>
        <w:rPr>
          <w:rFonts w:ascii="Arial" w:hAnsi="Arial" w:cs="Arial"/>
          <w:w w:val="110"/>
          <w:sz w:val="20"/>
          <w:szCs w:val="20"/>
        </w:rPr>
        <w:t>support</w:t>
      </w:r>
      <w:r>
        <w:rPr>
          <w:rFonts w:ascii="Arial" w:hAnsi="Arial" w:cs="Arial"/>
          <w:spacing w:val="-32"/>
          <w:w w:val="110"/>
          <w:sz w:val="20"/>
          <w:szCs w:val="20"/>
        </w:rPr>
        <w:t xml:space="preserve"> </w:t>
      </w:r>
      <w:r>
        <w:rPr>
          <w:rFonts w:ascii="Arial" w:hAnsi="Arial" w:cs="Arial"/>
          <w:spacing w:val="-3"/>
          <w:w w:val="110"/>
          <w:sz w:val="20"/>
          <w:szCs w:val="20"/>
        </w:rPr>
        <w:t>innovative</w:t>
      </w:r>
      <w:r>
        <w:rPr>
          <w:rFonts w:ascii="Arial" w:hAnsi="Arial" w:cs="Arial"/>
          <w:spacing w:val="-34"/>
          <w:w w:val="110"/>
          <w:sz w:val="20"/>
          <w:szCs w:val="20"/>
        </w:rPr>
        <w:t xml:space="preserve"> </w:t>
      </w:r>
      <w:r>
        <w:rPr>
          <w:rFonts w:ascii="Arial" w:hAnsi="Arial" w:cs="Arial"/>
          <w:w w:val="110"/>
          <w:sz w:val="20"/>
          <w:szCs w:val="20"/>
        </w:rPr>
        <w:t>healthcare,</w:t>
      </w:r>
      <w:r>
        <w:rPr>
          <w:rFonts w:ascii="Arial" w:hAnsi="Arial" w:cs="Arial"/>
          <w:spacing w:val="-31"/>
          <w:w w:val="110"/>
          <w:sz w:val="20"/>
          <w:szCs w:val="20"/>
        </w:rPr>
        <w:t xml:space="preserve"> </w:t>
      </w:r>
      <w:r>
        <w:rPr>
          <w:rFonts w:ascii="Arial" w:hAnsi="Arial" w:cs="Arial"/>
          <w:spacing w:val="-4"/>
          <w:w w:val="110"/>
          <w:sz w:val="20"/>
          <w:szCs w:val="20"/>
        </w:rPr>
        <w:t>including</w:t>
      </w:r>
      <w:r>
        <w:rPr>
          <w:rFonts w:ascii="Arial" w:hAnsi="Arial" w:cs="Arial"/>
          <w:spacing w:val="-36"/>
          <w:w w:val="110"/>
          <w:sz w:val="20"/>
          <w:szCs w:val="20"/>
        </w:rPr>
        <w:t xml:space="preserve"> </w:t>
      </w:r>
      <w:r>
        <w:rPr>
          <w:rFonts w:ascii="Arial" w:hAnsi="Arial" w:cs="Arial"/>
          <w:w w:val="110"/>
          <w:sz w:val="20"/>
          <w:szCs w:val="20"/>
        </w:rPr>
        <w:t>continuation</w:t>
      </w:r>
      <w:r>
        <w:rPr>
          <w:rFonts w:ascii="Arial" w:hAnsi="Arial" w:cs="Arial"/>
          <w:spacing w:val="-27"/>
          <w:w w:val="110"/>
          <w:sz w:val="20"/>
          <w:szCs w:val="20"/>
        </w:rPr>
        <w:t xml:space="preserve"> </w:t>
      </w:r>
      <w:r>
        <w:rPr>
          <w:rFonts w:ascii="Arial" w:hAnsi="Arial" w:cs="Arial"/>
          <w:w w:val="110"/>
          <w:sz w:val="20"/>
          <w:szCs w:val="20"/>
        </w:rPr>
        <w:t>of</w:t>
      </w:r>
      <w:r>
        <w:rPr>
          <w:rFonts w:ascii="Arial" w:hAnsi="Arial" w:cs="Arial"/>
          <w:spacing w:val="-39"/>
          <w:w w:val="110"/>
          <w:sz w:val="20"/>
          <w:szCs w:val="20"/>
        </w:rPr>
        <w:t xml:space="preserve"> </w:t>
      </w:r>
      <w:r>
        <w:rPr>
          <w:rFonts w:ascii="Arial" w:hAnsi="Arial" w:cs="Arial"/>
          <w:w w:val="110"/>
          <w:sz w:val="20"/>
          <w:szCs w:val="20"/>
        </w:rPr>
        <w:t>the</w:t>
      </w:r>
      <w:r>
        <w:rPr>
          <w:rFonts w:ascii="Arial" w:hAnsi="Arial" w:cs="Arial"/>
          <w:spacing w:val="-34"/>
          <w:w w:val="110"/>
          <w:sz w:val="20"/>
          <w:szCs w:val="20"/>
        </w:rPr>
        <w:t xml:space="preserve"> </w:t>
      </w:r>
      <w:r>
        <w:rPr>
          <w:rFonts w:ascii="Arial" w:hAnsi="Arial" w:cs="Arial"/>
          <w:w w:val="110"/>
          <w:sz w:val="20"/>
          <w:szCs w:val="20"/>
        </w:rPr>
        <w:t>One</w:t>
      </w:r>
      <w:r>
        <w:rPr>
          <w:rFonts w:ascii="Arial" w:hAnsi="Arial" w:cs="Arial"/>
          <w:spacing w:val="-33"/>
          <w:w w:val="110"/>
          <w:sz w:val="20"/>
          <w:szCs w:val="20"/>
        </w:rPr>
        <w:t xml:space="preserve"> </w:t>
      </w:r>
      <w:r>
        <w:rPr>
          <w:rFonts w:ascii="Arial" w:hAnsi="Arial" w:cs="Arial"/>
          <w:w w:val="110"/>
          <w:sz w:val="20"/>
          <w:szCs w:val="20"/>
        </w:rPr>
        <w:t>Care</w:t>
      </w:r>
      <w:r>
        <w:rPr>
          <w:rFonts w:ascii="Arial" w:hAnsi="Arial" w:cs="Arial"/>
          <w:spacing w:val="-39"/>
          <w:w w:val="110"/>
          <w:sz w:val="20"/>
          <w:szCs w:val="20"/>
        </w:rPr>
        <w:t xml:space="preserve"> </w:t>
      </w:r>
      <w:r>
        <w:rPr>
          <w:rFonts w:ascii="Arial" w:hAnsi="Arial" w:cs="Arial"/>
          <w:w w:val="110"/>
          <w:sz w:val="20"/>
          <w:szCs w:val="20"/>
        </w:rPr>
        <w:t>demonstration</w:t>
      </w:r>
      <w:r>
        <w:rPr>
          <w:rFonts w:ascii="Arial" w:hAnsi="Arial" w:cs="Arial"/>
          <w:spacing w:val="-23"/>
          <w:w w:val="110"/>
          <w:sz w:val="20"/>
          <w:szCs w:val="20"/>
        </w:rPr>
        <w:t xml:space="preserve"> </w:t>
      </w:r>
      <w:r>
        <w:rPr>
          <w:rFonts w:ascii="Arial" w:hAnsi="Arial" w:cs="Arial"/>
          <w:w w:val="110"/>
          <w:sz w:val="20"/>
          <w:szCs w:val="20"/>
        </w:rPr>
        <w:t>and</w:t>
      </w:r>
      <w:r>
        <w:rPr>
          <w:rFonts w:ascii="Arial" w:hAnsi="Arial" w:cs="Arial"/>
          <w:spacing w:val="-35"/>
          <w:w w:val="110"/>
          <w:sz w:val="20"/>
          <w:szCs w:val="20"/>
        </w:rPr>
        <w:t xml:space="preserve"> </w:t>
      </w:r>
      <w:r>
        <w:rPr>
          <w:rFonts w:ascii="Arial" w:hAnsi="Arial" w:cs="Arial"/>
          <w:w w:val="110"/>
          <w:sz w:val="20"/>
          <w:szCs w:val="20"/>
        </w:rPr>
        <w:t>by</w:t>
      </w:r>
      <w:r>
        <w:rPr>
          <w:rFonts w:ascii="Arial" w:hAnsi="Arial" w:cs="Arial"/>
          <w:spacing w:val="-39"/>
          <w:w w:val="110"/>
          <w:sz w:val="20"/>
          <w:szCs w:val="20"/>
        </w:rPr>
        <w:t xml:space="preserve"> </w:t>
      </w:r>
      <w:r>
        <w:rPr>
          <w:rFonts w:ascii="Arial" w:hAnsi="Arial" w:cs="Arial"/>
          <w:w w:val="110"/>
          <w:sz w:val="20"/>
          <w:szCs w:val="20"/>
        </w:rPr>
        <w:t>delaying</w:t>
      </w:r>
    </w:p>
    <w:p w:rsidR="002C5025" w:rsidRDefault="002C5025">
      <w:pPr>
        <w:pStyle w:val="BodyText"/>
        <w:kinsoku w:val="0"/>
        <w:overflowPunct w:val="0"/>
        <w:spacing w:line="292" w:lineRule="auto"/>
        <w:ind w:left="112" w:right="93"/>
        <w:rPr>
          <w:rFonts w:ascii="Arial" w:hAnsi="Arial" w:cs="Arial"/>
          <w:w w:val="110"/>
          <w:sz w:val="20"/>
          <w:szCs w:val="20"/>
        </w:rPr>
        <w:sectPr w:rsidR="002C5025">
          <w:type w:val="continuous"/>
          <w:pgSz w:w="12240" w:h="15840"/>
          <w:pgMar w:top="720" w:right="960" w:bottom="280" w:left="780" w:header="720" w:footer="720" w:gutter="0"/>
          <w:cols w:space="720" w:equalWidth="0">
            <w:col w:w="10500"/>
          </w:cols>
          <w:noEndnote/>
        </w:sectPr>
      </w:pPr>
    </w:p>
    <w:p w:rsidR="002C5025" w:rsidRDefault="002C5025">
      <w:pPr>
        <w:pStyle w:val="BodyText"/>
        <w:kinsoku w:val="0"/>
        <w:overflowPunct w:val="0"/>
        <w:spacing w:before="55" w:line="285" w:lineRule="auto"/>
        <w:ind w:left="124" w:right="355" w:hanging="8"/>
        <w:rPr>
          <w:rFonts w:ascii="Arial" w:hAnsi="Arial" w:cs="Arial"/>
          <w:w w:val="105"/>
          <w:sz w:val="20"/>
          <w:szCs w:val="20"/>
        </w:rPr>
      </w:pPr>
      <w:r>
        <w:rPr>
          <w:rFonts w:ascii="Arial" w:hAnsi="Arial" w:cs="Arial"/>
          <w:w w:val="105"/>
          <w:sz w:val="20"/>
          <w:szCs w:val="20"/>
        </w:rPr>
        <w:lastRenderedPageBreak/>
        <w:t>the inclusion of long-term services and supports (LTSS) and home and community-based services and supports (HCBS) into the ACO program currently under development.</w:t>
      </w: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11"/>
        <w:rPr>
          <w:rFonts w:ascii="Arial" w:hAnsi="Arial" w:cs="Arial"/>
          <w:sz w:val="18"/>
          <w:szCs w:val="18"/>
        </w:rPr>
      </w:pPr>
    </w:p>
    <w:p w:rsidR="002C5025" w:rsidRDefault="002C5025">
      <w:pPr>
        <w:pStyle w:val="BodyText"/>
        <w:kinsoku w:val="0"/>
        <w:overflowPunct w:val="0"/>
        <w:spacing w:line="292" w:lineRule="auto"/>
        <w:ind w:left="109" w:right="180" w:firstLine="7"/>
        <w:rPr>
          <w:rFonts w:ascii="Arial" w:hAnsi="Arial" w:cs="Arial"/>
          <w:w w:val="105"/>
          <w:sz w:val="20"/>
          <w:szCs w:val="20"/>
        </w:rPr>
      </w:pPr>
      <w:r>
        <w:rPr>
          <w:rFonts w:ascii="Arial" w:hAnsi="Arial" w:cs="Arial"/>
          <w:w w:val="105"/>
          <w:sz w:val="20"/>
          <w:szCs w:val="20"/>
        </w:rPr>
        <w:t>Transformation of the service and care system for MassHealth members with disabilities requires careful design and implementation to prevent perpetuating the status quo, creating new but only marginally improved systems, or worse yet, causing harm to members. Throughout this effort, MassHealth faces a number of challenges, including ones pertaining to politics, policy priorities, and analytics. Addressing the social determinants of health by linking payments to meaningful metrics and outcomes will be essential to the reform effort. MassHealth must raise the bar for clinical care while tackling the issue of over medicalization to ensure that resources are directed to total health and wellness. Within this framework, enrollee choice will be vital.</w:t>
      </w: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4"/>
        <w:rPr>
          <w:rFonts w:ascii="Arial" w:hAnsi="Arial" w:cs="Arial"/>
          <w:sz w:val="18"/>
          <w:szCs w:val="18"/>
        </w:rPr>
      </w:pPr>
    </w:p>
    <w:p w:rsidR="002C5025" w:rsidRDefault="002C5025">
      <w:pPr>
        <w:pStyle w:val="BodyText"/>
        <w:kinsoku w:val="0"/>
        <w:overflowPunct w:val="0"/>
        <w:spacing w:line="290" w:lineRule="auto"/>
        <w:ind w:left="109" w:right="355" w:firstLine="14"/>
        <w:rPr>
          <w:rFonts w:ascii="Arial" w:hAnsi="Arial" w:cs="Arial"/>
          <w:w w:val="105"/>
          <w:sz w:val="20"/>
          <w:szCs w:val="20"/>
        </w:rPr>
      </w:pPr>
      <w:r>
        <w:rPr>
          <w:rFonts w:ascii="Arial" w:hAnsi="Arial" w:cs="Arial"/>
          <w:w w:val="105"/>
          <w:sz w:val="20"/>
          <w:szCs w:val="20"/>
        </w:rPr>
        <w:t>Large systems may seek control over the flow of resources and extended control over the broader service delivery system, which can seriously dilute person-centered care and jeopardize existing community-based care and services.</w:t>
      </w: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6"/>
        <w:rPr>
          <w:rFonts w:ascii="Arial" w:hAnsi="Arial" w:cs="Arial"/>
          <w:sz w:val="18"/>
          <w:szCs w:val="18"/>
        </w:rPr>
      </w:pPr>
    </w:p>
    <w:p w:rsidR="002C5025" w:rsidRDefault="002C5025">
      <w:pPr>
        <w:pStyle w:val="BodyText"/>
        <w:kinsoku w:val="0"/>
        <w:overflowPunct w:val="0"/>
        <w:spacing w:line="292" w:lineRule="auto"/>
        <w:ind w:left="102" w:right="93" w:firstLine="7"/>
        <w:rPr>
          <w:rFonts w:ascii="Arial" w:hAnsi="Arial" w:cs="Arial"/>
          <w:w w:val="105"/>
          <w:sz w:val="20"/>
          <w:szCs w:val="20"/>
        </w:rPr>
      </w:pPr>
      <w:r>
        <w:rPr>
          <w:rFonts w:ascii="Arial" w:hAnsi="Arial" w:cs="Arial"/>
          <w:w w:val="105"/>
          <w:sz w:val="20"/>
          <w:szCs w:val="20"/>
        </w:rPr>
        <w:t>Cost and value, of course, must support the vision for improved person-centered care built around total health and wellness. DAAHR asks that MassHealth use DSRIP funds to support a community-based delivery system with a strong infrastructure, investing in information technology (including provider compatibility) and workforce development, including community health workers, peer specialists and other care providers.</w:t>
      </w:r>
    </w:p>
    <w:p w:rsidR="002C5025" w:rsidRDefault="002C5025">
      <w:pPr>
        <w:pStyle w:val="BodyText"/>
        <w:kinsoku w:val="0"/>
        <w:overflowPunct w:val="0"/>
        <w:spacing w:before="4"/>
        <w:rPr>
          <w:rFonts w:ascii="Arial" w:hAnsi="Arial" w:cs="Arial"/>
          <w:sz w:val="16"/>
          <w:szCs w:val="16"/>
        </w:rPr>
      </w:pPr>
    </w:p>
    <w:p w:rsidR="002C5025" w:rsidRDefault="002C5025">
      <w:pPr>
        <w:pStyle w:val="BodyText"/>
        <w:kinsoku w:val="0"/>
        <w:overflowPunct w:val="0"/>
        <w:spacing w:before="1" w:line="290" w:lineRule="auto"/>
        <w:ind w:left="109" w:right="93" w:hanging="8"/>
        <w:rPr>
          <w:rFonts w:ascii="Arial" w:hAnsi="Arial" w:cs="Arial"/>
          <w:w w:val="105"/>
          <w:sz w:val="20"/>
          <w:szCs w:val="20"/>
        </w:rPr>
      </w:pPr>
      <w:r>
        <w:rPr>
          <w:rFonts w:ascii="Arial" w:hAnsi="Arial" w:cs="Arial"/>
          <w:w w:val="105"/>
          <w:sz w:val="20"/>
          <w:szCs w:val="20"/>
        </w:rPr>
        <w:t>The administration's efforts to better compensate PCAs exhibits a commitment to community-based services and person-centered LTSS that should be replicated. CBOs must not be put in the position of balancing the books on the backs of their staff.</w:t>
      </w: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6"/>
        <w:rPr>
          <w:rFonts w:ascii="Arial" w:hAnsi="Arial" w:cs="Arial"/>
          <w:sz w:val="18"/>
          <w:szCs w:val="18"/>
        </w:rPr>
      </w:pPr>
    </w:p>
    <w:p w:rsidR="002C5025" w:rsidRDefault="002C5025">
      <w:pPr>
        <w:pStyle w:val="BodyText"/>
        <w:kinsoku w:val="0"/>
        <w:overflowPunct w:val="0"/>
        <w:ind w:left="174" w:right="355"/>
        <w:rPr>
          <w:rFonts w:ascii="Arial" w:hAnsi="Arial" w:cs="Arial"/>
          <w:w w:val="110"/>
          <w:sz w:val="20"/>
          <w:szCs w:val="20"/>
        </w:rPr>
      </w:pPr>
      <w:r>
        <w:rPr>
          <w:rFonts w:ascii="Arial" w:hAnsi="Arial" w:cs="Arial"/>
          <w:w w:val="110"/>
          <w:sz w:val="20"/>
          <w:szCs w:val="20"/>
        </w:rPr>
        <w:t>It is critical that this transformation effort include the points below.</w:t>
      </w: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7"/>
        <w:rPr>
          <w:rFonts w:ascii="Arial" w:hAnsi="Arial" w:cs="Arial"/>
        </w:rPr>
      </w:pPr>
    </w:p>
    <w:p w:rsidR="002C5025" w:rsidRDefault="002C5025">
      <w:pPr>
        <w:pStyle w:val="BodyText"/>
        <w:kinsoku w:val="0"/>
        <w:overflowPunct w:val="0"/>
        <w:spacing w:line="292" w:lineRule="auto"/>
        <w:ind w:left="109" w:right="533"/>
        <w:rPr>
          <w:rFonts w:ascii="Arial" w:hAnsi="Arial" w:cs="Arial"/>
          <w:b/>
          <w:bCs/>
          <w:w w:val="105"/>
          <w:sz w:val="20"/>
          <w:szCs w:val="20"/>
        </w:rPr>
      </w:pPr>
      <w:r>
        <w:rPr>
          <w:rFonts w:ascii="Arial" w:hAnsi="Arial" w:cs="Arial"/>
          <w:b/>
          <w:bCs/>
          <w:w w:val="105"/>
          <w:sz w:val="20"/>
          <w:szCs w:val="20"/>
        </w:rPr>
        <w:t>DSRIP dollars should be used to support integration of service delivery systems that are central to reducing tertiary care and associated high costs. This includes ensuring that MassHealth:</w:t>
      </w:r>
    </w:p>
    <w:p w:rsidR="002C5025" w:rsidRDefault="002C5025">
      <w:pPr>
        <w:pStyle w:val="BodyText"/>
        <w:kinsoku w:val="0"/>
        <w:overflowPunct w:val="0"/>
        <w:rPr>
          <w:rFonts w:ascii="Arial" w:hAnsi="Arial" w:cs="Arial"/>
          <w:b/>
          <w:bCs/>
          <w:sz w:val="20"/>
          <w:szCs w:val="20"/>
        </w:rPr>
      </w:pPr>
    </w:p>
    <w:p w:rsidR="002C5025" w:rsidRDefault="002C5025">
      <w:pPr>
        <w:pStyle w:val="BodyText"/>
        <w:kinsoku w:val="0"/>
        <w:overflowPunct w:val="0"/>
        <w:rPr>
          <w:rFonts w:ascii="Arial" w:hAnsi="Arial" w:cs="Arial"/>
          <w:b/>
          <w:bCs/>
          <w:sz w:val="20"/>
          <w:szCs w:val="20"/>
        </w:rPr>
      </w:pPr>
    </w:p>
    <w:p w:rsidR="002C5025" w:rsidRDefault="002C5025">
      <w:pPr>
        <w:pStyle w:val="BodyText"/>
        <w:kinsoku w:val="0"/>
        <w:overflowPunct w:val="0"/>
        <w:spacing w:before="4"/>
        <w:rPr>
          <w:rFonts w:ascii="Arial" w:hAnsi="Arial" w:cs="Arial"/>
          <w:b/>
          <w:bCs/>
          <w:sz w:val="18"/>
          <w:szCs w:val="18"/>
        </w:rPr>
      </w:pPr>
    </w:p>
    <w:p w:rsidR="002C5025" w:rsidRDefault="002C5025">
      <w:pPr>
        <w:pStyle w:val="ListParagraph"/>
        <w:numPr>
          <w:ilvl w:val="0"/>
          <w:numId w:val="43"/>
        </w:numPr>
        <w:tabs>
          <w:tab w:val="left" w:pos="988"/>
        </w:tabs>
        <w:kinsoku w:val="0"/>
        <w:overflowPunct w:val="0"/>
        <w:spacing w:line="285" w:lineRule="auto"/>
        <w:ind w:right="249" w:hanging="324"/>
        <w:rPr>
          <w:rFonts w:ascii="Arial" w:hAnsi="Arial" w:cs="Arial"/>
          <w:w w:val="105"/>
          <w:sz w:val="20"/>
          <w:szCs w:val="20"/>
        </w:rPr>
      </w:pPr>
      <w:r>
        <w:rPr>
          <w:rFonts w:ascii="Arial" w:hAnsi="Arial" w:cs="Arial"/>
          <w:w w:val="105"/>
          <w:sz w:val="20"/>
          <w:szCs w:val="20"/>
        </w:rPr>
        <w:t>Distribute</w:t>
      </w:r>
      <w:r>
        <w:rPr>
          <w:rFonts w:ascii="Arial" w:hAnsi="Arial" w:cs="Arial"/>
          <w:spacing w:val="9"/>
          <w:w w:val="105"/>
          <w:sz w:val="20"/>
          <w:szCs w:val="20"/>
        </w:rPr>
        <w:t xml:space="preserve"> </w:t>
      </w:r>
      <w:r>
        <w:rPr>
          <w:rFonts w:ascii="Arial" w:hAnsi="Arial" w:cs="Arial"/>
          <w:w w:val="105"/>
          <w:sz w:val="20"/>
          <w:szCs w:val="20"/>
        </w:rPr>
        <w:t>DSRIP</w:t>
      </w:r>
      <w:r>
        <w:rPr>
          <w:rFonts w:ascii="Arial" w:hAnsi="Arial" w:cs="Arial"/>
          <w:spacing w:val="-23"/>
          <w:w w:val="105"/>
          <w:sz w:val="20"/>
          <w:szCs w:val="20"/>
        </w:rPr>
        <w:t xml:space="preserve"> </w:t>
      </w:r>
      <w:r>
        <w:rPr>
          <w:rFonts w:ascii="Arial" w:hAnsi="Arial" w:cs="Arial"/>
          <w:w w:val="105"/>
          <w:sz w:val="20"/>
          <w:szCs w:val="20"/>
        </w:rPr>
        <w:t>funds to</w:t>
      </w:r>
      <w:r>
        <w:rPr>
          <w:rFonts w:ascii="Arial" w:hAnsi="Arial" w:cs="Arial"/>
          <w:spacing w:val="-5"/>
          <w:w w:val="105"/>
          <w:sz w:val="20"/>
          <w:szCs w:val="20"/>
        </w:rPr>
        <w:t xml:space="preserve"> </w:t>
      </w:r>
      <w:r>
        <w:rPr>
          <w:rFonts w:ascii="Arial" w:hAnsi="Arial" w:cs="Arial"/>
          <w:w w:val="105"/>
          <w:sz w:val="20"/>
          <w:szCs w:val="20"/>
        </w:rPr>
        <w:t>both</w:t>
      </w:r>
      <w:r>
        <w:rPr>
          <w:rFonts w:ascii="Arial" w:hAnsi="Arial" w:cs="Arial"/>
          <w:spacing w:val="-21"/>
          <w:w w:val="105"/>
          <w:sz w:val="20"/>
          <w:szCs w:val="20"/>
        </w:rPr>
        <w:t xml:space="preserve"> </w:t>
      </w:r>
      <w:r>
        <w:rPr>
          <w:rFonts w:ascii="Arial" w:hAnsi="Arial" w:cs="Arial"/>
          <w:w w:val="105"/>
          <w:sz w:val="20"/>
          <w:szCs w:val="20"/>
        </w:rPr>
        <w:t>ACOs</w:t>
      </w:r>
      <w:r>
        <w:rPr>
          <w:rFonts w:ascii="Arial" w:hAnsi="Arial" w:cs="Arial"/>
          <w:spacing w:val="4"/>
          <w:w w:val="105"/>
          <w:sz w:val="20"/>
          <w:szCs w:val="20"/>
        </w:rPr>
        <w:t xml:space="preserve"> </w:t>
      </w:r>
      <w:r>
        <w:rPr>
          <w:rFonts w:ascii="Arial" w:hAnsi="Arial" w:cs="Arial"/>
          <w:w w:val="105"/>
          <w:sz w:val="20"/>
          <w:szCs w:val="20"/>
        </w:rPr>
        <w:t>and</w:t>
      </w:r>
      <w:r>
        <w:rPr>
          <w:rFonts w:ascii="Arial" w:hAnsi="Arial" w:cs="Arial"/>
          <w:spacing w:val="-12"/>
          <w:w w:val="105"/>
          <w:sz w:val="20"/>
          <w:szCs w:val="20"/>
        </w:rPr>
        <w:t xml:space="preserve"> </w:t>
      </w:r>
      <w:r>
        <w:rPr>
          <w:rFonts w:ascii="Arial" w:hAnsi="Arial" w:cs="Arial"/>
          <w:w w:val="105"/>
          <w:sz w:val="20"/>
          <w:szCs w:val="20"/>
        </w:rPr>
        <w:t>community-based</w:t>
      </w:r>
      <w:r>
        <w:rPr>
          <w:rFonts w:ascii="Arial" w:hAnsi="Arial" w:cs="Arial"/>
          <w:spacing w:val="4"/>
          <w:w w:val="105"/>
          <w:sz w:val="20"/>
          <w:szCs w:val="20"/>
        </w:rPr>
        <w:t xml:space="preserve"> </w:t>
      </w:r>
      <w:r>
        <w:rPr>
          <w:rFonts w:ascii="Arial" w:hAnsi="Arial" w:cs="Arial"/>
          <w:w w:val="105"/>
          <w:sz w:val="20"/>
          <w:szCs w:val="20"/>
        </w:rPr>
        <w:t>organizations;</w:t>
      </w:r>
      <w:r>
        <w:rPr>
          <w:rFonts w:ascii="Arial" w:hAnsi="Arial" w:cs="Arial"/>
          <w:spacing w:val="-3"/>
          <w:w w:val="105"/>
          <w:sz w:val="20"/>
          <w:szCs w:val="20"/>
        </w:rPr>
        <w:t xml:space="preserve"> </w:t>
      </w:r>
      <w:r>
        <w:rPr>
          <w:rFonts w:ascii="Arial" w:hAnsi="Arial" w:cs="Arial"/>
          <w:w w:val="105"/>
          <w:sz w:val="20"/>
          <w:szCs w:val="20"/>
        </w:rPr>
        <w:t>funds</w:t>
      </w:r>
      <w:r>
        <w:rPr>
          <w:rFonts w:ascii="Arial" w:hAnsi="Arial" w:cs="Arial"/>
          <w:spacing w:val="2"/>
          <w:w w:val="105"/>
          <w:sz w:val="20"/>
          <w:szCs w:val="20"/>
        </w:rPr>
        <w:t xml:space="preserve"> </w:t>
      </w:r>
      <w:r>
        <w:rPr>
          <w:rFonts w:ascii="Arial" w:hAnsi="Arial" w:cs="Arial"/>
          <w:w w:val="105"/>
          <w:sz w:val="20"/>
          <w:szCs w:val="20"/>
        </w:rPr>
        <w:t>should</w:t>
      </w:r>
      <w:r>
        <w:rPr>
          <w:rFonts w:ascii="Arial" w:hAnsi="Arial" w:cs="Arial"/>
          <w:spacing w:val="1"/>
          <w:w w:val="105"/>
          <w:sz w:val="20"/>
          <w:szCs w:val="20"/>
        </w:rPr>
        <w:t xml:space="preserve"> </w:t>
      </w:r>
      <w:r>
        <w:rPr>
          <w:rFonts w:ascii="Arial" w:hAnsi="Arial" w:cs="Arial"/>
          <w:w w:val="105"/>
          <w:sz w:val="20"/>
          <w:szCs w:val="20"/>
        </w:rPr>
        <w:t>not</w:t>
      </w:r>
      <w:r>
        <w:rPr>
          <w:rFonts w:ascii="Arial" w:hAnsi="Arial" w:cs="Arial"/>
          <w:spacing w:val="-13"/>
          <w:w w:val="105"/>
          <w:sz w:val="20"/>
          <w:szCs w:val="20"/>
        </w:rPr>
        <w:t xml:space="preserve"> </w:t>
      </w:r>
      <w:r>
        <w:rPr>
          <w:rFonts w:ascii="Arial" w:hAnsi="Arial" w:cs="Arial"/>
          <w:w w:val="105"/>
          <w:sz w:val="20"/>
          <w:szCs w:val="20"/>
        </w:rPr>
        <w:t>have</w:t>
      </w:r>
      <w:r>
        <w:rPr>
          <w:rFonts w:ascii="Arial" w:hAnsi="Arial" w:cs="Arial"/>
          <w:spacing w:val="-11"/>
          <w:w w:val="105"/>
          <w:sz w:val="20"/>
          <w:szCs w:val="20"/>
        </w:rPr>
        <w:t xml:space="preserve"> </w:t>
      </w:r>
      <w:r>
        <w:rPr>
          <w:rFonts w:ascii="Arial" w:hAnsi="Arial" w:cs="Arial"/>
          <w:w w:val="105"/>
          <w:sz w:val="20"/>
          <w:szCs w:val="20"/>
        </w:rPr>
        <w:t>to flow exclusively through</w:t>
      </w:r>
      <w:r>
        <w:rPr>
          <w:rFonts w:ascii="Arial" w:hAnsi="Arial" w:cs="Arial"/>
          <w:spacing w:val="-24"/>
          <w:w w:val="105"/>
          <w:sz w:val="20"/>
          <w:szCs w:val="20"/>
        </w:rPr>
        <w:t xml:space="preserve"> </w:t>
      </w:r>
      <w:r>
        <w:rPr>
          <w:rFonts w:ascii="Arial" w:hAnsi="Arial" w:cs="Arial"/>
          <w:w w:val="105"/>
          <w:sz w:val="20"/>
          <w:szCs w:val="20"/>
        </w:rPr>
        <w:t>ACOs.</w:t>
      </w: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rPr>
      </w:pPr>
    </w:p>
    <w:p w:rsidR="002C5025" w:rsidRDefault="002C5025">
      <w:pPr>
        <w:pStyle w:val="ListParagraph"/>
        <w:numPr>
          <w:ilvl w:val="0"/>
          <w:numId w:val="43"/>
        </w:numPr>
        <w:tabs>
          <w:tab w:val="left" w:pos="988"/>
        </w:tabs>
        <w:kinsoku w:val="0"/>
        <w:overflowPunct w:val="0"/>
        <w:spacing w:line="290" w:lineRule="auto"/>
        <w:ind w:right="473" w:hanging="345"/>
        <w:jc w:val="both"/>
        <w:rPr>
          <w:rFonts w:ascii="Arial" w:hAnsi="Arial" w:cs="Arial"/>
          <w:w w:val="105"/>
          <w:sz w:val="20"/>
          <w:szCs w:val="20"/>
        </w:rPr>
      </w:pPr>
      <w:r>
        <w:rPr>
          <w:rFonts w:ascii="Arial" w:hAnsi="Arial" w:cs="Arial"/>
          <w:w w:val="105"/>
          <w:sz w:val="20"/>
          <w:szCs w:val="20"/>
        </w:rPr>
        <w:t>Invest</w:t>
      </w:r>
      <w:r>
        <w:rPr>
          <w:rFonts w:ascii="Arial" w:hAnsi="Arial" w:cs="Arial"/>
          <w:spacing w:val="-7"/>
          <w:w w:val="105"/>
          <w:sz w:val="20"/>
          <w:szCs w:val="20"/>
        </w:rPr>
        <w:t xml:space="preserve"> </w:t>
      </w:r>
      <w:r>
        <w:rPr>
          <w:rFonts w:ascii="Arial" w:hAnsi="Arial" w:cs="Arial"/>
          <w:w w:val="105"/>
          <w:sz w:val="20"/>
          <w:szCs w:val="20"/>
        </w:rPr>
        <w:t>DSRIP</w:t>
      </w:r>
      <w:r>
        <w:rPr>
          <w:rFonts w:ascii="Arial" w:hAnsi="Arial" w:cs="Arial"/>
          <w:spacing w:val="-19"/>
          <w:w w:val="105"/>
          <w:sz w:val="20"/>
          <w:szCs w:val="20"/>
        </w:rPr>
        <w:t xml:space="preserve"> </w:t>
      </w:r>
      <w:r>
        <w:rPr>
          <w:rFonts w:ascii="Arial" w:hAnsi="Arial" w:cs="Arial"/>
          <w:w w:val="105"/>
          <w:sz w:val="20"/>
          <w:szCs w:val="20"/>
        </w:rPr>
        <w:t>funds</w:t>
      </w:r>
      <w:r>
        <w:rPr>
          <w:rFonts w:ascii="Arial" w:hAnsi="Arial" w:cs="Arial"/>
          <w:spacing w:val="6"/>
          <w:w w:val="105"/>
          <w:sz w:val="20"/>
          <w:szCs w:val="20"/>
        </w:rPr>
        <w:t xml:space="preserve"> </w:t>
      </w:r>
      <w:r>
        <w:rPr>
          <w:rFonts w:ascii="Arial" w:hAnsi="Arial" w:cs="Arial"/>
          <w:w w:val="105"/>
          <w:sz w:val="20"/>
          <w:szCs w:val="20"/>
        </w:rPr>
        <w:t>into</w:t>
      </w:r>
      <w:r>
        <w:rPr>
          <w:rFonts w:ascii="Arial" w:hAnsi="Arial" w:cs="Arial"/>
          <w:spacing w:val="-12"/>
          <w:w w:val="105"/>
          <w:sz w:val="20"/>
          <w:szCs w:val="20"/>
        </w:rPr>
        <w:t xml:space="preserve"> </w:t>
      </w:r>
      <w:r>
        <w:rPr>
          <w:rFonts w:ascii="Arial" w:hAnsi="Arial" w:cs="Arial"/>
          <w:w w:val="105"/>
          <w:sz w:val="20"/>
          <w:szCs w:val="20"/>
        </w:rPr>
        <w:t>building</w:t>
      </w:r>
      <w:r>
        <w:rPr>
          <w:rFonts w:ascii="Arial" w:hAnsi="Arial" w:cs="Arial"/>
          <w:spacing w:val="-7"/>
          <w:w w:val="105"/>
          <w:sz w:val="20"/>
          <w:szCs w:val="20"/>
        </w:rPr>
        <w:t xml:space="preserve"> </w:t>
      </w:r>
      <w:r>
        <w:rPr>
          <w:rFonts w:ascii="Arial" w:hAnsi="Arial" w:cs="Arial"/>
          <w:w w:val="105"/>
          <w:sz w:val="20"/>
          <w:szCs w:val="20"/>
        </w:rPr>
        <w:t>provider</w:t>
      </w:r>
      <w:r>
        <w:rPr>
          <w:rFonts w:ascii="Arial" w:hAnsi="Arial" w:cs="Arial"/>
          <w:spacing w:val="-3"/>
          <w:w w:val="105"/>
          <w:sz w:val="20"/>
          <w:szCs w:val="20"/>
        </w:rPr>
        <w:t xml:space="preserve"> </w:t>
      </w:r>
      <w:r>
        <w:rPr>
          <w:rFonts w:ascii="Arial" w:hAnsi="Arial" w:cs="Arial"/>
          <w:w w:val="105"/>
          <w:sz w:val="20"/>
          <w:szCs w:val="20"/>
        </w:rPr>
        <w:t>capacity</w:t>
      </w:r>
      <w:r>
        <w:rPr>
          <w:rFonts w:ascii="Arial" w:hAnsi="Arial" w:cs="Arial"/>
          <w:spacing w:val="1"/>
          <w:w w:val="105"/>
          <w:sz w:val="20"/>
          <w:szCs w:val="20"/>
        </w:rPr>
        <w:t xml:space="preserve"> </w:t>
      </w:r>
      <w:r>
        <w:rPr>
          <w:rFonts w:ascii="Arial" w:hAnsi="Arial" w:cs="Arial"/>
          <w:w w:val="105"/>
          <w:sz w:val="20"/>
          <w:szCs w:val="20"/>
        </w:rPr>
        <w:t>to</w:t>
      </w:r>
      <w:r>
        <w:rPr>
          <w:rFonts w:ascii="Arial" w:hAnsi="Arial" w:cs="Arial"/>
          <w:spacing w:val="-7"/>
          <w:w w:val="105"/>
          <w:sz w:val="20"/>
          <w:szCs w:val="20"/>
        </w:rPr>
        <w:t xml:space="preserve"> </w:t>
      </w:r>
      <w:r>
        <w:rPr>
          <w:rFonts w:ascii="Arial" w:hAnsi="Arial" w:cs="Arial"/>
          <w:w w:val="105"/>
          <w:sz w:val="20"/>
          <w:szCs w:val="20"/>
        </w:rPr>
        <w:t>comply</w:t>
      </w:r>
      <w:r>
        <w:rPr>
          <w:rFonts w:ascii="Arial" w:hAnsi="Arial" w:cs="Arial"/>
          <w:spacing w:val="-21"/>
          <w:w w:val="105"/>
          <w:sz w:val="20"/>
          <w:szCs w:val="20"/>
        </w:rPr>
        <w:t xml:space="preserve"> </w:t>
      </w:r>
      <w:r>
        <w:rPr>
          <w:rFonts w:ascii="Arial" w:hAnsi="Arial" w:cs="Arial"/>
          <w:w w:val="105"/>
          <w:sz w:val="20"/>
          <w:szCs w:val="20"/>
        </w:rPr>
        <w:t>with</w:t>
      </w:r>
      <w:r>
        <w:rPr>
          <w:rFonts w:ascii="Arial" w:hAnsi="Arial" w:cs="Arial"/>
          <w:spacing w:val="-8"/>
          <w:w w:val="105"/>
          <w:sz w:val="20"/>
          <w:szCs w:val="20"/>
        </w:rPr>
        <w:t xml:space="preserve"> </w:t>
      </w:r>
      <w:r>
        <w:rPr>
          <w:rFonts w:ascii="Arial" w:hAnsi="Arial" w:cs="Arial"/>
          <w:w w:val="105"/>
          <w:sz w:val="20"/>
          <w:szCs w:val="20"/>
        </w:rPr>
        <w:t>the</w:t>
      </w:r>
      <w:r>
        <w:rPr>
          <w:rFonts w:ascii="Arial" w:hAnsi="Arial" w:cs="Arial"/>
          <w:spacing w:val="-12"/>
          <w:w w:val="105"/>
          <w:sz w:val="20"/>
          <w:szCs w:val="20"/>
        </w:rPr>
        <w:t xml:space="preserve"> </w:t>
      </w:r>
      <w:r>
        <w:rPr>
          <w:rFonts w:ascii="Arial" w:hAnsi="Arial" w:cs="Arial"/>
          <w:w w:val="105"/>
          <w:sz w:val="20"/>
          <w:szCs w:val="20"/>
        </w:rPr>
        <w:t>ADA,</w:t>
      </w:r>
      <w:r>
        <w:rPr>
          <w:rFonts w:ascii="Arial" w:hAnsi="Arial" w:cs="Arial"/>
          <w:spacing w:val="4"/>
          <w:w w:val="105"/>
          <w:sz w:val="20"/>
          <w:szCs w:val="20"/>
        </w:rPr>
        <w:t xml:space="preserve"> </w:t>
      </w:r>
      <w:r>
        <w:rPr>
          <w:rFonts w:ascii="Arial" w:hAnsi="Arial" w:cs="Arial"/>
          <w:w w:val="105"/>
          <w:sz w:val="20"/>
          <w:szCs w:val="20"/>
        </w:rPr>
        <w:t>including</w:t>
      </w:r>
      <w:r>
        <w:rPr>
          <w:rFonts w:ascii="Arial" w:hAnsi="Arial" w:cs="Arial"/>
          <w:spacing w:val="-8"/>
          <w:w w:val="105"/>
          <w:sz w:val="20"/>
          <w:szCs w:val="20"/>
        </w:rPr>
        <w:t xml:space="preserve"> </w:t>
      </w:r>
      <w:r>
        <w:rPr>
          <w:rFonts w:ascii="Arial" w:hAnsi="Arial" w:cs="Arial"/>
          <w:w w:val="105"/>
          <w:sz w:val="20"/>
          <w:szCs w:val="20"/>
        </w:rPr>
        <w:t xml:space="preserve">guaranteeing that facilities and medical equipment are accessible, with complementary </w:t>
      </w:r>
      <w:r>
        <w:rPr>
          <w:rFonts w:ascii="Arial" w:hAnsi="Arial" w:cs="Arial"/>
          <w:spacing w:val="-5"/>
          <w:w w:val="105"/>
          <w:sz w:val="20"/>
          <w:szCs w:val="20"/>
        </w:rPr>
        <w:t xml:space="preserve">policies </w:t>
      </w:r>
      <w:r>
        <w:rPr>
          <w:rFonts w:ascii="Arial" w:hAnsi="Arial" w:cs="Arial"/>
          <w:w w:val="105"/>
          <w:sz w:val="20"/>
          <w:szCs w:val="20"/>
        </w:rPr>
        <w:t>and</w:t>
      </w:r>
      <w:r>
        <w:rPr>
          <w:rFonts w:ascii="Arial" w:hAnsi="Arial" w:cs="Arial"/>
          <w:spacing w:val="-18"/>
          <w:w w:val="105"/>
          <w:sz w:val="20"/>
          <w:szCs w:val="20"/>
        </w:rPr>
        <w:t xml:space="preserve"> </w:t>
      </w:r>
      <w:r>
        <w:rPr>
          <w:rFonts w:ascii="Arial" w:hAnsi="Arial" w:cs="Arial"/>
          <w:w w:val="105"/>
          <w:sz w:val="20"/>
          <w:szCs w:val="20"/>
        </w:rPr>
        <w:t xml:space="preserve">procedures. We can no </w:t>
      </w:r>
      <w:r>
        <w:rPr>
          <w:rFonts w:ascii="Arial" w:hAnsi="Arial" w:cs="Arial"/>
          <w:spacing w:val="-5"/>
          <w:w w:val="105"/>
          <w:sz w:val="20"/>
          <w:szCs w:val="20"/>
        </w:rPr>
        <w:t xml:space="preserve">longer </w:t>
      </w:r>
      <w:r>
        <w:rPr>
          <w:rFonts w:ascii="Arial" w:hAnsi="Arial" w:cs="Arial"/>
          <w:w w:val="105"/>
          <w:sz w:val="20"/>
          <w:szCs w:val="20"/>
        </w:rPr>
        <w:t xml:space="preserve">embark on system transformation of healthcare for people with disabilities if the system </w:t>
      </w:r>
      <w:r>
        <w:rPr>
          <w:rFonts w:ascii="Arial" w:hAnsi="Arial" w:cs="Arial"/>
          <w:spacing w:val="-6"/>
          <w:w w:val="105"/>
          <w:sz w:val="20"/>
          <w:szCs w:val="20"/>
        </w:rPr>
        <w:t xml:space="preserve">itself </w:t>
      </w:r>
      <w:r>
        <w:rPr>
          <w:rFonts w:ascii="Arial" w:hAnsi="Arial" w:cs="Arial"/>
          <w:w w:val="105"/>
          <w:sz w:val="20"/>
          <w:szCs w:val="20"/>
        </w:rPr>
        <w:t>is allowed to be</w:t>
      </w:r>
      <w:r>
        <w:rPr>
          <w:rFonts w:ascii="Arial" w:hAnsi="Arial" w:cs="Arial"/>
          <w:spacing w:val="34"/>
          <w:w w:val="105"/>
          <w:sz w:val="20"/>
          <w:szCs w:val="20"/>
        </w:rPr>
        <w:t xml:space="preserve"> </w:t>
      </w:r>
      <w:r>
        <w:rPr>
          <w:rFonts w:ascii="Arial" w:hAnsi="Arial" w:cs="Arial"/>
          <w:w w:val="105"/>
          <w:sz w:val="20"/>
          <w:szCs w:val="20"/>
        </w:rPr>
        <w:t>inaccessible.</w:t>
      </w:r>
    </w:p>
    <w:p w:rsidR="002C5025" w:rsidRDefault="002C5025">
      <w:pPr>
        <w:pStyle w:val="BodyText"/>
        <w:kinsoku w:val="0"/>
        <w:overflowPunct w:val="0"/>
        <w:rPr>
          <w:rFonts w:ascii="Arial" w:hAnsi="Arial" w:cs="Arial"/>
          <w:sz w:val="26"/>
          <w:szCs w:val="26"/>
        </w:rPr>
      </w:pPr>
    </w:p>
    <w:p w:rsidR="002C5025" w:rsidRDefault="002C5025">
      <w:pPr>
        <w:pStyle w:val="ListParagraph"/>
        <w:numPr>
          <w:ilvl w:val="0"/>
          <w:numId w:val="43"/>
        </w:numPr>
        <w:tabs>
          <w:tab w:val="left" w:pos="981"/>
        </w:tabs>
        <w:kinsoku w:val="0"/>
        <w:overflowPunct w:val="0"/>
        <w:spacing w:line="285" w:lineRule="auto"/>
        <w:ind w:left="959" w:right="566"/>
        <w:rPr>
          <w:rFonts w:ascii="Arial" w:hAnsi="Arial" w:cs="Arial"/>
          <w:w w:val="105"/>
          <w:sz w:val="20"/>
          <w:szCs w:val="20"/>
        </w:rPr>
      </w:pPr>
      <w:r>
        <w:rPr>
          <w:rFonts w:ascii="Arial" w:hAnsi="Arial" w:cs="Arial"/>
          <w:w w:val="105"/>
          <w:sz w:val="20"/>
          <w:szCs w:val="20"/>
        </w:rPr>
        <w:t xml:space="preserve">Invest DSRIP funds upfront into non-clinical services "beyond the </w:t>
      </w:r>
      <w:r>
        <w:rPr>
          <w:rFonts w:ascii="Arial" w:hAnsi="Arial" w:cs="Arial"/>
          <w:spacing w:val="-3"/>
          <w:w w:val="105"/>
          <w:sz w:val="20"/>
          <w:szCs w:val="20"/>
        </w:rPr>
        <w:t xml:space="preserve">clinic </w:t>
      </w:r>
      <w:r>
        <w:rPr>
          <w:rFonts w:ascii="Arial" w:hAnsi="Arial" w:cs="Arial"/>
          <w:w w:val="105"/>
          <w:sz w:val="20"/>
          <w:szCs w:val="20"/>
        </w:rPr>
        <w:t xml:space="preserve">walls" to reduce negative social determinants of </w:t>
      </w:r>
      <w:r>
        <w:rPr>
          <w:rFonts w:ascii="Arial" w:hAnsi="Arial" w:cs="Arial"/>
          <w:spacing w:val="-3"/>
          <w:w w:val="105"/>
          <w:sz w:val="20"/>
          <w:szCs w:val="20"/>
        </w:rPr>
        <w:t xml:space="preserve">health, </w:t>
      </w:r>
      <w:r>
        <w:rPr>
          <w:rFonts w:ascii="Arial" w:hAnsi="Arial" w:cs="Arial"/>
          <w:w w:val="105"/>
          <w:sz w:val="20"/>
          <w:szCs w:val="20"/>
        </w:rPr>
        <w:t xml:space="preserve">food instability, homelessness, housing instability, </w:t>
      </w:r>
      <w:r>
        <w:rPr>
          <w:rFonts w:ascii="Arial" w:hAnsi="Arial" w:cs="Arial"/>
          <w:spacing w:val="-8"/>
          <w:w w:val="105"/>
          <w:sz w:val="20"/>
          <w:szCs w:val="20"/>
        </w:rPr>
        <w:t xml:space="preserve">lack </w:t>
      </w:r>
      <w:r>
        <w:rPr>
          <w:rFonts w:ascii="Arial" w:hAnsi="Arial" w:cs="Arial"/>
          <w:w w:val="105"/>
          <w:sz w:val="20"/>
          <w:szCs w:val="20"/>
        </w:rPr>
        <w:t>of access to transportation, and</w:t>
      </w:r>
      <w:r>
        <w:rPr>
          <w:rFonts w:ascii="Arial" w:hAnsi="Arial" w:cs="Arial"/>
          <w:spacing w:val="-4"/>
          <w:w w:val="105"/>
          <w:sz w:val="20"/>
          <w:szCs w:val="20"/>
        </w:rPr>
        <w:t xml:space="preserve"> </w:t>
      </w:r>
      <w:r>
        <w:rPr>
          <w:rFonts w:ascii="Arial" w:hAnsi="Arial" w:cs="Arial"/>
          <w:w w:val="105"/>
          <w:sz w:val="20"/>
          <w:szCs w:val="20"/>
        </w:rPr>
        <w:t>underemployment.</w:t>
      </w:r>
    </w:p>
    <w:p w:rsidR="002C5025" w:rsidRDefault="002C5025">
      <w:pPr>
        <w:pStyle w:val="ListParagraph"/>
        <w:numPr>
          <w:ilvl w:val="0"/>
          <w:numId w:val="43"/>
        </w:numPr>
        <w:tabs>
          <w:tab w:val="left" w:pos="981"/>
        </w:tabs>
        <w:kinsoku w:val="0"/>
        <w:overflowPunct w:val="0"/>
        <w:spacing w:line="285" w:lineRule="auto"/>
        <w:ind w:left="959" w:right="566"/>
        <w:rPr>
          <w:rFonts w:ascii="Arial" w:hAnsi="Arial" w:cs="Arial"/>
          <w:w w:val="105"/>
          <w:sz w:val="20"/>
          <w:szCs w:val="20"/>
        </w:rPr>
        <w:sectPr w:rsidR="002C5025">
          <w:pgSz w:w="12240" w:h="15840"/>
          <w:pgMar w:top="960" w:right="1000" w:bottom="280" w:left="740" w:header="720" w:footer="720" w:gutter="0"/>
          <w:cols w:space="720"/>
          <w:noEndnote/>
        </w:sectPr>
      </w:pPr>
    </w:p>
    <w:p w:rsidR="002C5025" w:rsidRDefault="002C5025">
      <w:pPr>
        <w:pStyle w:val="ListParagraph"/>
        <w:numPr>
          <w:ilvl w:val="0"/>
          <w:numId w:val="43"/>
        </w:numPr>
        <w:tabs>
          <w:tab w:val="left" w:pos="1044"/>
        </w:tabs>
        <w:kinsoku w:val="0"/>
        <w:overflowPunct w:val="0"/>
        <w:spacing w:before="47" w:line="290" w:lineRule="auto"/>
        <w:ind w:left="1029" w:right="372" w:hanging="338"/>
        <w:rPr>
          <w:rFonts w:ascii="Arial" w:hAnsi="Arial" w:cs="Arial"/>
          <w:w w:val="105"/>
          <w:sz w:val="20"/>
          <w:szCs w:val="20"/>
        </w:rPr>
      </w:pPr>
      <w:r>
        <w:rPr>
          <w:rFonts w:ascii="Arial" w:hAnsi="Arial" w:cs="Arial"/>
          <w:spacing w:val="-6"/>
          <w:w w:val="105"/>
          <w:sz w:val="20"/>
          <w:szCs w:val="20"/>
        </w:rPr>
        <w:lastRenderedPageBreak/>
        <w:t xml:space="preserve">Invest </w:t>
      </w:r>
      <w:r>
        <w:rPr>
          <w:rFonts w:ascii="Arial" w:hAnsi="Arial" w:cs="Arial"/>
          <w:w w:val="105"/>
          <w:sz w:val="20"/>
          <w:szCs w:val="20"/>
        </w:rPr>
        <w:t>DSRIP funds to provide adequate compensation to CBOs, especially their staff, to ensure capacity and</w:t>
      </w:r>
      <w:r>
        <w:rPr>
          <w:rFonts w:ascii="Arial" w:hAnsi="Arial" w:cs="Arial"/>
          <w:spacing w:val="-12"/>
          <w:w w:val="105"/>
          <w:sz w:val="20"/>
          <w:szCs w:val="20"/>
        </w:rPr>
        <w:t xml:space="preserve"> </w:t>
      </w:r>
      <w:r>
        <w:rPr>
          <w:rFonts w:ascii="Arial" w:hAnsi="Arial" w:cs="Arial"/>
          <w:w w:val="105"/>
          <w:sz w:val="20"/>
          <w:szCs w:val="20"/>
        </w:rPr>
        <w:t>competency</w:t>
      </w:r>
      <w:r>
        <w:rPr>
          <w:rFonts w:ascii="Arial" w:hAnsi="Arial" w:cs="Arial"/>
          <w:spacing w:val="7"/>
          <w:w w:val="105"/>
          <w:sz w:val="20"/>
          <w:szCs w:val="20"/>
        </w:rPr>
        <w:t xml:space="preserve"> </w:t>
      </w:r>
      <w:r>
        <w:rPr>
          <w:rFonts w:ascii="Arial" w:hAnsi="Arial" w:cs="Arial"/>
          <w:w w:val="105"/>
          <w:sz w:val="20"/>
          <w:szCs w:val="20"/>
        </w:rPr>
        <w:t>in</w:t>
      </w:r>
      <w:r>
        <w:rPr>
          <w:rFonts w:ascii="Arial" w:hAnsi="Arial" w:cs="Arial"/>
          <w:spacing w:val="-19"/>
          <w:w w:val="105"/>
          <w:sz w:val="20"/>
          <w:szCs w:val="20"/>
        </w:rPr>
        <w:t xml:space="preserve"> </w:t>
      </w:r>
      <w:r>
        <w:rPr>
          <w:rFonts w:ascii="Arial" w:hAnsi="Arial" w:cs="Arial"/>
          <w:w w:val="105"/>
          <w:sz w:val="20"/>
          <w:szCs w:val="20"/>
        </w:rPr>
        <w:t>service</w:t>
      </w:r>
      <w:r>
        <w:rPr>
          <w:rFonts w:ascii="Arial" w:hAnsi="Arial" w:cs="Arial"/>
          <w:spacing w:val="-14"/>
          <w:w w:val="105"/>
          <w:sz w:val="20"/>
          <w:szCs w:val="20"/>
        </w:rPr>
        <w:t xml:space="preserve"> </w:t>
      </w:r>
      <w:r>
        <w:rPr>
          <w:rFonts w:ascii="Arial" w:hAnsi="Arial" w:cs="Arial"/>
          <w:w w:val="105"/>
          <w:sz w:val="20"/>
          <w:szCs w:val="20"/>
        </w:rPr>
        <w:t>delivery.</w:t>
      </w:r>
      <w:r>
        <w:rPr>
          <w:rFonts w:ascii="Arial" w:hAnsi="Arial" w:cs="Arial"/>
          <w:spacing w:val="-8"/>
          <w:w w:val="105"/>
          <w:sz w:val="20"/>
          <w:szCs w:val="20"/>
        </w:rPr>
        <w:t xml:space="preserve"> </w:t>
      </w:r>
      <w:r>
        <w:rPr>
          <w:rFonts w:ascii="Arial" w:hAnsi="Arial" w:cs="Arial"/>
          <w:w w:val="105"/>
          <w:sz w:val="20"/>
          <w:szCs w:val="20"/>
        </w:rPr>
        <w:t>Value-based</w:t>
      </w:r>
      <w:r>
        <w:rPr>
          <w:rFonts w:ascii="Arial" w:hAnsi="Arial" w:cs="Arial"/>
          <w:spacing w:val="-6"/>
          <w:w w:val="105"/>
          <w:sz w:val="20"/>
          <w:szCs w:val="20"/>
        </w:rPr>
        <w:t xml:space="preserve"> </w:t>
      </w:r>
      <w:r>
        <w:rPr>
          <w:rFonts w:ascii="Arial" w:hAnsi="Arial" w:cs="Arial"/>
          <w:w w:val="105"/>
          <w:sz w:val="20"/>
          <w:szCs w:val="20"/>
        </w:rPr>
        <w:t>purchasing</w:t>
      </w:r>
      <w:r>
        <w:rPr>
          <w:rFonts w:ascii="Arial" w:hAnsi="Arial" w:cs="Arial"/>
          <w:spacing w:val="-9"/>
          <w:w w:val="105"/>
          <w:sz w:val="20"/>
          <w:szCs w:val="20"/>
        </w:rPr>
        <w:t xml:space="preserve"> </w:t>
      </w:r>
      <w:r>
        <w:rPr>
          <w:rFonts w:ascii="Arial" w:hAnsi="Arial" w:cs="Arial"/>
          <w:w w:val="105"/>
          <w:sz w:val="20"/>
          <w:szCs w:val="20"/>
        </w:rPr>
        <w:t>arrangements</w:t>
      </w:r>
      <w:r>
        <w:rPr>
          <w:rFonts w:ascii="Arial" w:hAnsi="Arial" w:cs="Arial"/>
          <w:spacing w:val="1"/>
          <w:w w:val="105"/>
          <w:sz w:val="20"/>
          <w:szCs w:val="20"/>
        </w:rPr>
        <w:t xml:space="preserve"> </w:t>
      </w:r>
      <w:r>
        <w:rPr>
          <w:rFonts w:ascii="Arial" w:hAnsi="Arial" w:cs="Arial"/>
          <w:w w:val="105"/>
          <w:sz w:val="20"/>
          <w:szCs w:val="20"/>
        </w:rPr>
        <w:t>should</w:t>
      </w:r>
      <w:r>
        <w:rPr>
          <w:rFonts w:ascii="Arial" w:hAnsi="Arial" w:cs="Arial"/>
          <w:spacing w:val="2"/>
          <w:w w:val="105"/>
          <w:sz w:val="20"/>
          <w:szCs w:val="20"/>
        </w:rPr>
        <w:t xml:space="preserve"> </w:t>
      </w:r>
      <w:r>
        <w:rPr>
          <w:rFonts w:ascii="Arial" w:hAnsi="Arial" w:cs="Arial"/>
          <w:w w:val="105"/>
          <w:sz w:val="20"/>
          <w:szCs w:val="20"/>
        </w:rPr>
        <w:t>reflect this</w:t>
      </w:r>
      <w:r>
        <w:rPr>
          <w:rFonts w:ascii="Arial" w:hAnsi="Arial" w:cs="Arial"/>
          <w:spacing w:val="-17"/>
          <w:w w:val="105"/>
          <w:sz w:val="20"/>
          <w:szCs w:val="20"/>
        </w:rPr>
        <w:t xml:space="preserve"> </w:t>
      </w:r>
      <w:r>
        <w:rPr>
          <w:rFonts w:ascii="Arial" w:hAnsi="Arial" w:cs="Arial"/>
          <w:w w:val="105"/>
          <w:sz w:val="20"/>
          <w:szCs w:val="20"/>
        </w:rPr>
        <w:t>commitment.</w:t>
      </w: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7"/>
        <w:rPr>
          <w:rFonts w:ascii="Arial" w:hAnsi="Arial" w:cs="Arial"/>
          <w:sz w:val="21"/>
          <w:szCs w:val="21"/>
        </w:rPr>
      </w:pPr>
    </w:p>
    <w:p w:rsidR="002C5025" w:rsidRDefault="002C5025">
      <w:pPr>
        <w:pStyle w:val="BodyText"/>
        <w:kinsoku w:val="0"/>
        <w:overflowPunct w:val="0"/>
        <w:spacing w:line="290" w:lineRule="auto"/>
        <w:ind w:left="129" w:right="281"/>
        <w:rPr>
          <w:rFonts w:ascii="Arial" w:hAnsi="Arial" w:cs="Arial"/>
          <w:b/>
          <w:bCs/>
          <w:w w:val="105"/>
          <w:sz w:val="20"/>
          <w:szCs w:val="20"/>
        </w:rPr>
      </w:pPr>
      <w:r>
        <w:rPr>
          <w:rFonts w:ascii="Arial" w:hAnsi="Arial" w:cs="Arial"/>
          <w:b/>
          <w:bCs/>
          <w:w w:val="105"/>
          <w:sz w:val="20"/>
          <w:szCs w:val="20"/>
        </w:rPr>
        <w:t>ACO should have the flexibility and Infrastructure to support innovation while also being guided by a defined set of incentives and outcome requirements to protect MassHealth enrollees. It is requested that MassHealth:</w:t>
      </w:r>
    </w:p>
    <w:p w:rsidR="002C5025" w:rsidRDefault="002C5025">
      <w:pPr>
        <w:pStyle w:val="BodyText"/>
        <w:kinsoku w:val="0"/>
        <w:overflowPunct w:val="0"/>
        <w:rPr>
          <w:rFonts w:ascii="Arial" w:hAnsi="Arial" w:cs="Arial"/>
          <w:b/>
          <w:bCs/>
          <w:sz w:val="20"/>
          <w:szCs w:val="20"/>
        </w:rPr>
      </w:pPr>
    </w:p>
    <w:p w:rsidR="002C5025" w:rsidRDefault="002C5025">
      <w:pPr>
        <w:pStyle w:val="BodyText"/>
        <w:kinsoku w:val="0"/>
        <w:overflowPunct w:val="0"/>
        <w:rPr>
          <w:rFonts w:ascii="Arial" w:hAnsi="Arial" w:cs="Arial"/>
          <w:b/>
          <w:bCs/>
          <w:sz w:val="20"/>
          <w:szCs w:val="20"/>
        </w:rPr>
      </w:pPr>
    </w:p>
    <w:p w:rsidR="002C5025" w:rsidRDefault="002C5025">
      <w:pPr>
        <w:pStyle w:val="BodyText"/>
        <w:kinsoku w:val="0"/>
        <w:overflowPunct w:val="0"/>
        <w:spacing w:before="6"/>
        <w:rPr>
          <w:rFonts w:ascii="Arial" w:hAnsi="Arial" w:cs="Arial"/>
          <w:b/>
          <w:bCs/>
          <w:sz w:val="18"/>
          <w:szCs w:val="18"/>
        </w:rPr>
      </w:pPr>
    </w:p>
    <w:p w:rsidR="002C5025" w:rsidRDefault="002C5025">
      <w:pPr>
        <w:pStyle w:val="ListParagraph"/>
        <w:numPr>
          <w:ilvl w:val="0"/>
          <w:numId w:val="43"/>
        </w:numPr>
        <w:tabs>
          <w:tab w:val="left" w:pos="1030"/>
        </w:tabs>
        <w:kinsoku w:val="0"/>
        <w:overflowPunct w:val="0"/>
        <w:spacing w:line="290" w:lineRule="auto"/>
        <w:ind w:left="1022" w:right="318" w:hanging="346"/>
        <w:rPr>
          <w:rFonts w:ascii="Arial" w:hAnsi="Arial" w:cs="Arial"/>
          <w:sz w:val="20"/>
          <w:szCs w:val="20"/>
        </w:rPr>
      </w:pPr>
      <w:r>
        <w:rPr>
          <w:rFonts w:ascii="Arial" w:hAnsi="Arial" w:cs="Arial"/>
          <w:sz w:val="20"/>
          <w:szCs w:val="20"/>
        </w:rPr>
        <w:t xml:space="preserve">Establish requirements that ACOs are led by a diversity of entities and that governance committees </w:t>
      </w:r>
      <w:r>
        <w:rPr>
          <w:rFonts w:ascii="Arial" w:hAnsi="Arial" w:cs="Arial"/>
          <w:spacing w:val="-5"/>
          <w:sz w:val="20"/>
          <w:szCs w:val="20"/>
        </w:rPr>
        <w:t xml:space="preserve">include </w:t>
      </w:r>
      <w:r>
        <w:rPr>
          <w:rFonts w:ascii="Arial" w:hAnsi="Arial" w:cs="Arial"/>
          <w:sz w:val="20"/>
          <w:szCs w:val="20"/>
        </w:rPr>
        <w:t xml:space="preserve">consumers and community-based providers. AGO boards must be comprised of at </w:t>
      </w:r>
      <w:r>
        <w:rPr>
          <w:rFonts w:ascii="Arial" w:hAnsi="Arial" w:cs="Arial"/>
          <w:spacing w:val="-6"/>
          <w:sz w:val="20"/>
          <w:szCs w:val="20"/>
        </w:rPr>
        <w:t xml:space="preserve">least </w:t>
      </w:r>
      <w:r>
        <w:rPr>
          <w:rFonts w:ascii="Arial" w:hAnsi="Arial" w:cs="Arial"/>
          <w:sz w:val="20"/>
          <w:szCs w:val="20"/>
        </w:rPr>
        <w:t>50 percent non-hospital entities. The definition of "risk bearing" should be broad to allow for the most inclusive  governance  structures  within</w:t>
      </w:r>
      <w:r>
        <w:rPr>
          <w:rFonts w:ascii="Arial" w:hAnsi="Arial" w:cs="Arial"/>
          <w:spacing w:val="-19"/>
          <w:sz w:val="20"/>
          <w:szCs w:val="20"/>
        </w:rPr>
        <w:t xml:space="preserve"> </w:t>
      </w:r>
      <w:r>
        <w:rPr>
          <w:rFonts w:ascii="Arial" w:hAnsi="Arial" w:cs="Arial"/>
          <w:sz w:val="20"/>
          <w:szCs w:val="20"/>
        </w:rPr>
        <w:t>ACOs.</w:t>
      </w: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3"/>
        <w:rPr>
          <w:rFonts w:ascii="Arial" w:hAnsi="Arial" w:cs="Arial"/>
        </w:rPr>
      </w:pPr>
    </w:p>
    <w:p w:rsidR="002C5025" w:rsidRDefault="002C5025">
      <w:pPr>
        <w:pStyle w:val="ListParagraph"/>
        <w:numPr>
          <w:ilvl w:val="0"/>
          <w:numId w:val="43"/>
        </w:numPr>
        <w:tabs>
          <w:tab w:val="left" w:pos="1016"/>
        </w:tabs>
        <w:kinsoku w:val="0"/>
        <w:overflowPunct w:val="0"/>
        <w:spacing w:line="292" w:lineRule="auto"/>
        <w:ind w:left="1008" w:right="233"/>
        <w:rPr>
          <w:rFonts w:ascii="Arial" w:hAnsi="Arial" w:cs="Arial"/>
          <w:w w:val="105"/>
          <w:sz w:val="20"/>
          <w:szCs w:val="20"/>
        </w:rPr>
      </w:pPr>
      <w:r>
        <w:rPr>
          <w:rFonts w:ascii="Arial" w:hAnsi="Arial" w:cs="Arial"/>
          <w:w w:val="105"/>
          <w:sz w:val="20"/>
          <w:szCs w:val="20"/>
        </w:rPr>
        <w:t>Create</w:t>
      </w:r>
      <w:r>
        <w:rPr>
          <w:rFonts w:ascii="Arial" w:hAnsi="Arial" w:cs="Arial"/>
          <w:spacing w:val="-9"/>
          <w:w w:val="105"/>
          <w:sz w:val="20"/>
          <w:szCs w:val="20"/>
        </w:rPr>
        <w:t xml:space="preserve"> </w:t>
      </w:r>
      <w:r>
        <w:rPr>
          <w:rFonts w:ascii="Arial" w:hAnsi="Arial" w:cs="Arial"/>
          <w:w w:val="105"/>
          <w:sz w:val="20"/>
          <w:szCs w:val="20"/>
        </w:rPr>
        <w:t>a</w:t>
      </w:r>
      <w:r>
        <w:rPr>
          <w:rFonts w:ascii="Arial" w:hAnsi="Arial" w:cs="Arial"/>
          <w:spacing w:val="-10"/>
          <w:w w:val="105"/>
          <w:sz w:val="20"/>
          <w:szCs w:val="20"/>
        </w:rPr>
        <w:t xml:space="preserve"> </w:t>
      </w:r>
      <w:r>
        <w:rPr>
          <w:rFonts w:ascii="Arial" w:hAnsi="Arial" w:cs="Arial"/>
          <w:w w:val="105"/>
          <w:sz w:val="20"/>
          <w:szCs w:val="20"/>
        </w:rPr>
        <w:t>glide</w:t>
      </w:r>
      <w:r>
        <w:rPr>
          <w:rFonts w:ascii="Arial" w:hAnsi="Arial" w:cs="Arial"/>
          <w:spacing w:val="-6"/>
          <w:w w:val="105"/>
          <w:sz w:val="20"/>
          <w:szCs w:val="20"/>
        </w:rPr>
        <w:t xml:space="preserve"> </w:t>
      </w:r>
      <w:r>
        <w:rPr>
          <w:rFonts w:ascii="Arial" w:hAnsi="Arial" w:cs="Arial"/>
          <w:w w:val="105"/>
          <w:sz w:val="20"/>
          <w:szCs w:val="20"/>
        </w:rPr>
        <w:t>path</w:t>
      </w:r>
      <w:r>
        <w:rPr>
          <w:rFonts w:ascii="Arial" w:hAnsi="Arial" w:cs="Arial"/>
          <w:spacing w:val="-15"/>
          <w:w w:val="105"/>
          <w:sz w:val="20"/>
          <w:szCs w:val="20"/>
        </w:rPr>
        <w:t xml:space="preserve"> </w:t>
      </w:r>
      <w:r>
        <w:rPr>
          <w:rFonts w:ascii="Arial" w:hAnsi="Arial" w:cs="Arial"/>
          <w:w w:val="105"/>
          <w:sz w:val="20"/>
          <w:szCs w:val="20"/>
        </w:rPr>
        <w:t>to</w:t>
      </w:r>
      <w:r>
        <w:rPr>
          <w:rFonts w:ascii="Arial" w:hAnsi="Arial" w:cs="Arial"/>
          <w:spacing w:val="-5"/>
          <w:w w:val="105"/>
          <w:sz w:val="20"/>
          <w:szCs w:val="20"/>
        </w:rPr>
        <w:t xml:space="preserve"> </w:t>
      </w:r>
      <w:r>
        <w:rPr>
          <w:rFonts w:ascii="Arial" w:hAnsi="Arial" w:cs="Arial"/>
          <w:w w:val="105"/>
          <w:sz w:val="20"/>
          <w:szCs w:val="20"/>
        </w:rPr>
        <w:t>support</w:t>
      </w:r>
      <w:r>
        <w:rPr>
          <w:rFonts w:ascii="Arial" w:hAnsi="Arial" w:cs="Arial"/>
          <w:spacing w:val="-8"/>
          <w:w w:val="105"/>
          <w:sz w:val="20"/>
          <w:szCs w:val="20"/>
        </w:rPr>
        <w:t xml:space="preserve"> </w:t>
      </w:r>
      <w:r>
        <w:rPr>
          <w:rFonts w:ascii="Arial" w:hAnsi="Arial" w:cs="Arial"/>
          <w:w w:val="105"/>
          <w:sz w:val="20"/>
          <w:szCs w:val="20"/>
        </w:rPr>
        <w:t>the</w:t>
      </w:r>
      <w:r>
        <w:rPr>
          <w:rFonts w:ascii="Arial" w:hAnsi="Arial" w:cs="Arial"/>
          <w:spacing w:val="-4"/>
          <w:w w:val="105"/>
          <w:sz w:val="20"/>
          <w:szCs w:val="20"/>
        </w:rPr>
        <w:t xml:space="preserve"> </w:t>
      </w:r>
      <w:r>
        <w:rPr>
          <w:rFonts w:ascii="Arial" w:hAnsi="Arial" w:cs="Arial"/>
          <w:w w:val="105"/>
          <w:sz w:val="20"/>
          <w:szCs w:val="20"/>
        </w:rPr>
        <w:t>creation</w:t>
      </w:r>
      <w:r>
        <w:rPr>
          <w:rFonts w:ascii="Arial" w:hAnsi="Arial" w:cs="Arial"/>
          <w:spacing w:val="3"/>
          <w:w w:val="105"/>
          <w:sz w:val="20"/>
          <w:szCs w:val="20"/>
        </w:rPr>
        <w:t xml:space="preserve"> </w:t>
      </w:r>
      <w:r>
        <w:rPr>
          <w:rFonts w:ascii="Arial" w:hAnsi="Arial" w:cs="Arial"/>
          <w:w w:val="105"/>
          <w:sz w:val="20"/>
          <w:szCs w:val="20"/>
        </w:rPr>
        <w:t>of</w:t>
      </w:r>
      <w:r>
        <w:rPr>
          <w:rFonts w:ascii="Arial" w:hAnsi="Arial" w:cs="Arial"/>
          <w:spacing w:val="-8"/>
          <w:w w:val="105"/>
          <w:sz w:val="20"/>
          <w:szCs w:val="20"/>
        </w:rPr>
        <w:t xml:space="preserve"> </w:t>
      </w:r>
      <w:r>
        <w:rPr>
          <w:rFonts w:ascii="Arial" w:hAnsi="Arial" w:cs="Arial"/>
          <w:w w:val="105"/>
          <w:sz w:val="20"/>
          <w:szCs w:val="20"/>
        </w:rPr>
        <w:t>alternatives</w:t>
      </w:r>
      <w:r>
        <w:rPr>
          <w:rFonts w:ascii="Arial" w:hAnsi="Arial" w:cs="Arial"/>
          <w:spacing w:val="-3"/>
          <w:w w:val="105"/>
          <w:sz w:val="20"/>
          <w:szCs w:val="20"/>
        </w:rPr>
        <w:t xml:space="preserve"> </w:t>
      </w:r>
      <w:r>
        <w:rPr>
          <w:rFonts w:ascii="Arial" w:hAnsi="Arial" w:cs="Arial"/>
          <w:w w:val="105"/>
          <w:sz w:val="20"/>
          <w:szCs w:val="20"/>
        </w:rPr>
        <w:t>to</w:t>
      </w:r>
      <w:r>
        <w:rPr>
          <w:rFonts w:ascii="Arial" w:hAnsi="Arial" w:cs="Arial"/>
          <w:spacing w:val="1"/>
          <w:w w:val="105"/>
          <w:sz w:val="20"/>
          <w:szCs w:val="20"/>
        </w:rPr>
        <w:t xml:space="preserve"> </w:t>
      </w:r>
      <w:r>
        <w:rPr>
          <w:rFonts w:ascii="Arial" w:hAnsi="Arial" w:cs="Arial"/>
          <w:w w:val="105"/>
          <w:sz w:val="20"/>
          <w:szCs w:val="20"/>
        </w:rPr>
        <w:t>medically-driven AGO</w:t>
      </w:r>
      <w:r>
        <w:rPr>
          <w:rFonts w:ascii="Arial" w:hAnsi="Arial" w:cs="Arial"/>
          <w:spacing w:val="8"/>
          <w:w w:val="105"/>
          <w:sz w:val="20"/>
          <w:szCs w:val="20"/>
        </w:rPr>
        <w:t xml:space="preserve"> </w:t>
      </w:r>
      <w:r>
        <w:rPr>
          <w:rFonts w:ascii="Arial" w:hAnsi="Arial" w:cs="Arial"/>
          <w:w w:val="105"/>
          <w:sz w:val="20"/>
          <w:szCs w:val="20"/>
        </w:rPr>
        <w:t>models;</w:t>
      </w:r>
      <w:r>
        <w:rPr>
          <w:rFonts w:ascii="Arial" w:hAnsi="Arial" w:cs="Arial"/>
          <w:spacing w:val="-7"/>
          <w:w w:val="105"/>
          <w:sz w:val="20"/>
          <w:szCs w:val="20"/>
        </w:rPr>
        <w:t xml:space="preserve"> </w:t>
      </w:r>
      <w:r>
        <w:rPr>
          <w:rFonts w:ascii="Arial" w:hAnsi="Arial" w:cs="Arial"/>
          <w:w w:val="105"/>
          <w:sz w:val="20"/>
          <w:szCs w:val="20"/>
        </w:rPr>
        <w:t xml:space="preserve">consider investing </w:t>
      </w:r>
      <w:r>
        <w:rPr>
          <w:rFonts w:ascii="Arial" w:hAnsi="Arial" w:cs="Arial"/>
          <w:spacing w:val="-11"/>
          <w:w w:val="105"/>
          <w:sz w:val="20"/>
          <w:szCs w:val="20"/>
        </w:rPr>
        <w:t xml:space="preserve">in </w:t>
      </w:r>
      <w:r>
        <w:rPr>
          <w:rFonts w:ascii="Arial" w:hAnsi="Arial" w:cs="Arial"/>
          <w:w w:val="105"/>
          <w:sz w:val="20"/>
          <w:szCs w:val="20"/>
        </w:rPr>
        <w:t xml:space="preserve">behavioral </w:t>
      </w:r>
      <w:r>
        <w:rPr>
          <w:rFonts w:ascii="Arial" w:hAnsi="Arial" w:cs="Arial"/>
          <w:spacing w:val="-3"/>
          <w:w w:val="105"/>
          <w:sz w:val="20"/>
          <w:szCs w:val="20"/>
        </w:rPr>
        <w:t xml:space="preserve">health, </w:t>
      </w:r>
      <w:r>
        <w:rPr>
          <w:rFonts w:ascii="Arial" w:hAnsi="Arial" w:cs="Arial"/>
          <w:w w:val="105"/>
          <w:sz w:val="20"/>
          <w:szCs w:val="20"/>
        </w:rPr>
        <w:t xml:space="preserve">disability and other community organizations that address social determinants of health, with a </w:t>
      </w:r>
      <w:r>
        <w:rPr>
          <w:rFonts w:ascii="Arial" w:hAnsi="Arial" w:cs="Arial"/>
          <w:spacing w:val="-3"/>
          <w:w w:val="105"/>
          <w:sz w:val="20"/>
          <w:szCs w:val="20"/>
        </w:rPr>
        <w:t xml:space="preserve">longer-term </w:t>
      </w:r>
      <w:r>
        <w:rPr>
          <w:rFonts w:ascii="Arial" w:hAnsi="Arial" w:cs="Arial"/>
          <w:w w:val="105"/>
          <w:sz w:val="20"/>
          <w:szCs w:val="20"/>
        </w:rPr>
        <w:t>commitment to bring them to suitable scale and</w:t>
      </w:r>
      <w:r>
        <w:rPr>
          <w:rFonts w:ascii="Arial" w:hAnsi="Arial" w:cs="Arial"/>
          <w:spacing w:val="-19"/>
          <w:w w:val="105"/>
          <w:sz w:val="20"/>
          <w:szCs w:val="20"/>
        </w:rPr>
        <w:t xml:space="preserve"> </w:t>
      </w:r>
      <w:r>
        <w:rPr>
          <w:rFonts w:ascii="Arial" w:hAnsi="Arial" w:cs="Arial"/>
          <w:w w:val="105"/>
          <w:sz w:val="20"/>
          <w:szCs w:val="20"/>
        </w:rPr>
        <w:t>expertise.</w:t>
      </w:r>
    </w:p>
    <w:p w:rsidR="002C5025" w:rsidRDefault="002C5025">
      <w:pPr>
        <w:pStyle w:val="BodyText"/>
        <w:kinsoku w:val="0"/>
        <w:overflowPunct w:val="0"/>
        <w:spacing w:before="10"/>
        <w:rPr>
          <w:rFonts w:ascii="Arial" w:hAnsi="Arial" w:cs="Arial"/>
          <w:sz w:val="23"/>
          <w:szCs w:val="23"/>
        </w:rPr>
      </w:pPr>
    </w:p>
    <w:p w:rsidR="002C5025" w:rsidRDefault="002C5025">
      <w:pPr>
        <w:pStyle w:val="ListParagraph"/>
        <w:numPr>
          <w:ilvl w:val="0"/>
          <w:numId w:val="43"/>
        </w:numPr>
        <w:tabs>
          <w:tab w:val="left" w:pos="1016"/>
        </w:tabs>
        <w:kinsoku w:val="0"/>
        <w:overflowPunct w:val="0"/>
        <w:ind w:left="1015" w:hanging="353"/>
        <w:rPr>
          <w:rFonts w:ascii="Arial" w:hAnsi="Arial" w:cs="Arial"/>
          <w:w w:val="105"/>
          <w:sz w:val="20"/>
          <w:szCs w:val="20"/>
        </w:rPr>
      </w:pPr>
      <w:r>
        <w:rPr>
          <w:rFonts w:ascii="Arial" w:hAnsi="Arial" w:cs="Arial"/>
          <w:spacing w:val="-4"/>
          <w:w w:val="105"/>
          <w:sz w:val="20"/>
          <w:szCs w:val="20"/>
        </w:rPr>
        <w:t xml:space="preserve">Establish </w:t>
      </w:r>
      <w:r>
        <w:rPr>
          <w:rFonts w:ascii="Arial" w:hAnsi="Arial" w:cs="Arial"/>
          <w:w w:val="105"/>
          <w:sz w:val="20"/>
          <w:szCs w:val="20"/>
        </w:rPr>
        <w:t>a risk-adjustment approach that accounts for social, cultural, and economic factors so</w:t>
      </w:r>
      <w:r>
        <w:rPr>
          <w:rFonts w:ascii="Arial" w:hAnsi="Arial" w:cs="Arial"/>
          <w:spacing w:val="-25"/>
          <w:w w:val="105"/>
          <w:sz w:val="20"/>
          <w:szCs w:val="20"/>
        </w:rPr>
        <w:t xml:space="preserve"> </w:t>
      </w:r>
      <w:r>
        <w:rPr>
          <w:rFonts w:ascii="Arial" w:hAnsi="Arial" w:cs="Arial"/>
          <w:w w:val="105"/>
          <w:sz w:val="20"/>
          <w:szCs w:val="20"/>
        </w:rPr>
        <w:t>that:</w:t>
      </w:r>
    </w:p>
    <w:p w:rsidR="002C5025" w:rsidRDefault="002C5025">
      <w:pPr>
        <w:pStyle w:val="BodyText"/>
        <w:kinsoku w:val="0"/>
        <w:overflowPunct w:val="0"/>
        <w:spacing w:before="9"/>
        <w:rPr>
          <w:rFonts w:ascii="Arial" w:hAnsi="Arial" w:cs="Arial"/>
          <w:sz w:val="28"/>
          <w:szCs w:val="28"/>
        </w:rPr>
      </w:pPr>
    </w:p>
    <w:p w:rsidR="002C5025" w:rsidRDefault="002C5025">
      <w:pPr>
        <w:pStyle w:val="ListParagraph"/>
        <w:numPr>
          <w:ilvl w:val="1"/>
          <w:numId w:val="43"/>
        </w:numPr>
        <w:tabs>
          <w:tab w:val="left" w:pos="1520"/>
        </w:tabs>
        <w:kinsoku w:val="0"/>
        <w:overflowPunct w:val="0"/>
        <w:spacing w:line="292" w:lineRule="auto"/>
        <w:ind w:right="286"/>
        <w:rPr>
          <w:rFonts w:ascii="Arial" w:hAnsi="Arial" w:cs="Arial"/>
          <w:w w:val="105"/>
          <w:sz w:val="20"/>
          <w:szCs w:val="20"/>
        </w:rPr>
      </w:pPr>
      <w:r>
        <w:rPr>
          <w:rFonts w:ascii="Arial" w:hAnsi="Arial" w:cs="Arial"/>
          <w:w w:val="105"/>
          <w:sz w:val="20"/>
          <w:szCs w:val="20"/>
        </w:rPr>
        <w:t xml:space="preserve">Resources are available to provide culturally and </w:t>
      </w:r>
      <w:r>
        <w:rPr>
          <w:rFonts w:ascii="Arial" w:hAnsi="Arial" w:cs="Arial"/>
          <w:spacing w:val="-3"/>
          <w:w w:val="105"/>
          <w:sz w:val="20"/>
          <w:szCs w:val="20"/>
        </w:rPr>
        <w:t xml:space="preserve">linguistically </w:t>
      </w:r>
      <w:r>
        <w:rPr>
          <w:rFonts w:ascii="Arial" w:hAnsi="Arial" w:cs="Arial"/>
          <w:w w:val="105"/>
          <w:sz w:val="20"/>
          <w:szCs w:val="20"/>
        </w:rPr>
        <w:t>appropriate medical services</w:t>
      </w:r>
      <w:r>
        <w:rPr>
          <w:rFonts w:ascii="Arial" w:hAnsi="Arial" w:cs="Arial"/>
          <w:spacing w:val="-17"/>
          <w:w w:val="105"/>
          <w:sz w:val="20"/>
          <w:szCs w:val="20"/>
        </w:rPr>
        <w:t xml:space="preserve"> </w:t>
      </w:r>
      <w:r>
        <w:rPr>
          <w:rFonts w:ascii="Arial" w:hAnsi="Arial" w:cs="Arial"/>
          <w:w w:val="105"/>
          <w:sz w:val="20"/>
          <w:szCs w:val="20"/>
        </w:rPr>
        <w:t xml:space="preserve">for people who are poor, are homeless, have difficulties with </w:t>
      </w:r>
      <w:r>
        <w:rPr>
          <w:rFonts w:ascii="Arial" w:hAnsi="Arial" w:cs="Arial"/>
          <w:spacing w:val="-5"/>
          <w:w w:val="105"/>
          <w:sz w:val="20"/>
          <w:szCs w:val="20"/>
        </w:rPr>
        <w:t xml:space="preserve">English, </w:t>
      </w:r>
      <w:r>
        <w:rPr>
          <w:rFonts w:ascii="Arial" w:hAnsi="Arial" w:cs="Arial"/>
          <w:w w:val="105"/>
          <w:sz w:val="20"/>
          <w:szCs w:val="20"/>
        </w:rPr>
        <w:t xml:space="preserve">are from ethnic and/or minority populations, and have physical, mental </w:t>
      </w:r>
      <w:r>
        <w:rPr>
          <w:rFonts w:ascii="Arial" w:hAnsi="Arial" w:cs="Arial"/>
          <w:spacing w:val="-3"/>
          <w:w w:val="105"/>
          <w:sz w:val="20"/>
          <w:szCs w:val="20"/>
        </w:rPr>
        <w:t xml:space="preserve">health, intellectual </w:t>
      </w:r>
      <w:r>
        <w:rPr>
          <w:rFonts w:ascii="Arial" w:hAnsi="Arial" w:cs="Arial"/>
          <w:w w:val="105"/>
          <w:sz w:val="20"/>
          <w:szCs w:val="20"/>
        </w:rPr>
        <w:t>or sensory</w:t>
      </w:r>
      <w:r>
        <w:rPr>
          <w:rFonts w:ascii="Arial" w:hAnsi="Arial" w:cs="Arial"/>
          <w:spacing w:val="3"/>
          <w:w w:val="105"/>
          <w:sz w:val="20"/>
          <w:szCs w:val="20"/>
        </w:rPr>
        <w:t xml:space="preserve"> </w:t>
      </w:r>
      <w:r>
        <w:rPr>
          <w:rFonts w:ascii="Arial" w:hAnsi="Arial" w:cs="Arial"/>
          <w:w w:val="105"/>
          <w:sz w:val="20"/>
          <w:szCs w:val="20"/>
        </w:rPr>
        <w:t>disabilities.</w:t>
      </w:r>
    </w:p>
    <w:p w:rsidR="002C5025" w:rsidRDefault="002C5025">
      <w:pPr>
        <w:pStyle w:val="ListParagraph"/>
        <w:numPr>
          <w:ilvl w:val="1"/>
          <w:numId w:val="43"/>
        </w:numPr>
        <w:tabs>
          <w:tab w:val="left" w:pos="1520"/>
        </w:tabs>
        <w:kinsoku w:val="0"/>
        <w:overflowPunct w:val="0"/>
        <w:spacing w:before="1" w:line="290" w:lineRule="auto"/>
        <w:ind w:left="1504" w:right="182" w:hanging="331"/>
        <w:rPr>
          <w:rFonts w:ascii="Arial" w:hAnsi="Arial" w:cs="Arial"/>
          <w:w w:val="105"/>
          <w:sz w:val="20"/>
          <w:szCs w:val="20"/>
        </w:rPr>
      </w:pPr>
      <w:r>
        <w:rPr>
          <w:rFonts w:ascii="Arial" w:hAnsi="Arial" w:cs="Arial"/>
          <w:w w:val="105"/>
          <w:sz w:val="20"/>
          <w:szCs w:val="20"/>
        </w:rPr>
        <w:t>Resources are available to address social determinants of health, including need for food, fuel assistance,</w:t>
      </w:r>
      <w:r>
        <w:rPr>
          <w:rFonts w:ascii="Arial" w:hAnsi="Arial" w:cs="Arial"/>
          <w:spacing w:val="-2"/>
          <w:w w:val="105"/>
          <w:sz w:val="20"/>
          <w:szCs w:val="20"/>
        </w:rPr>
        <w:t xml:space="preserve"> </w:t>
      </w:r>
      <w:r>
        <w:rPr>
          <w:rFonts w:ascii="Arial" w:hAnsi="Arial" w:cs="Arial"/>
          <w:w w:val="105"/>
          <w:sz w:val="20"/>
          <w:szCs w:val="20"/>
        </w:rPr>
        <w:t>and</w:t>
      </w:r>
      <w:r>
        <w:rPr>
          <w:rFonts w:ascii="Arial" w:hAnsi="Arial" w:cs="Arial"/>
          <w:spacing w:val="-8"/>
          <w:w w:val="105"/>
          <w:sz w:val="20"/>
          <w:szCs w:val="20"/>
        </w:rPr>
        <w:t xml:space="preserve"> </w:t>
      </w:r>
      <w:r>
        <w:rPr>
          <w:rFonts w:ascii="Arial" w:hAnsi="Arial" w:cs="Arial"/>
          <w:w w:val="105"/>
          <w:sz w:val="20"/>
          <w:szCs w:val="20"/>
        </w:rPr>
        <w:t>housing</w:t>
      </w:r>
      <w:r>
        <w:rPr>
          <w:rFonts w:ascii="Arial" w:hAnsi="Arial" w:cs="Arial"/>
          <w:spacing w:val="-8"/>
          <w:w w:val="105"/>
          <w:sz w:val="20"/>
          <w:szCs w:val="20"/>
        </w:rPr>
        <w:t xml:space="preserve"> </w:t>
      </w:r>
      <w:r>
        <w:rPr>
          <w:rFonts w:ascii="Arial" w:hAnsi="Arial" w:cs="Arial"/>
          <w:w w:val="105"/>
          <w:sz w:val="20"/>
          <w:szCs w:val="20"/>
        </w:rPr>
        <w:t>assistance,</w:t>
      </w:r>
      <w:r>
        <w:rPr>
          <w:rFonts w:ascii="Arial" w:hAnsi="Arial" w:cs="Arial"/>
          <w:spacing w:val="-3"/>
          <w:w w:val="105"/>
          <w:sz w:val="20"/>
          <w:szCs w:val="20"/>
        </w:rPr>
        <w:t xml:space="preserve"> </w:t>
      </w:r>
      <w:r>
        <w:rPr>
          <w:rFonts w:ascii="Arial" w:hAnsi="Arial" w:cs="Arial"/>
          <w:w w:val="105"/>
          <w:sz w:val="20"/>
          <w:szCs w:val="20"/>
        </w:rPr>
        <w:t>with</w:t>
      </w:r>
      <w:r>
        <w:rPr>
          <w:rFonts w:ascii="Arial" w:hAnsi="Arial" w:cs="Arial"/>
          <w:spacing w:val="-9"/>
          <w:w w:val="105"/>
          <w:sz w:val="20"/>
          <w:szCs w:val="20"/>
        </w:rPr>
        <w:t xml:space="preserve"> </w:t>
      </w:r>
      <w:r>
        <w:rPr>
          <w:rFonts w:ascii="Arial" w:hAnsi="Arial" w:cs="Arial"/>
          <w:w w:val="105"/>
          <w:sz w:val="20"/>
          <w:szCs w:val="20"/>
        </w:rPr>
        <w:t>maximized</w:t>
      </w:r>
      <w:r>
        <w:rPr>
          <w:rFonts w:ascii="Arial" w:hAnsi="Arial" w:cs="Arial"/>
          <w:spacing w:val="-10"/>
          <w:w w:val="105"/>
          <w:sz w:val="20"/>
          <w:szCs w:val="20"/>
        </w:rPr>
        <w:t xml:space="preserve"> </w:t>
      </w:r>
      <w:r>
        <w:rPr>
          <w:rFonts w:ascii="Arial" w:hAnsi="Arial" w:cs="Arial"/>
          <w:w w:val="105"/>
          <w:sz w:val="20"/>
          <w:szCs w:val="20"/>
        </w:rPr>
        <w:t>opportunity</w:t>
      </w:r>
      <w:r>
        <w:rPr>
          <w:rFonts w:ascii="Arial" w:hAnsi="Arial" w:cs="Arial"/>
          <w:spacing w:val="4"/>
          <w:w w:val="105"/>
          <w:sz w:val="20"/>
          <w:szCs w:val="20"/>
        </w:rPr>
        <w:t xml:space="preserve"> </w:t>
      </w:r>
      <w:r>
        <w:rPr>
          <w:rFonts w:ascii="Arial" w:hAnsi="Arial" w:cs="Arial"/>
          <w:w w:val="105"/>
          <w:sz w:val="20"/>
          <w:szCs w:val="20"/>
        </w:rPr>
        <w:t>to</w:t>
      </w:r>
      <w:r>
        <w:rPr>
          <w:rFonts w:ascii="Arial" w:hAnsi="Arial" w:cs="Arial"/>
          <w:spacing w:val="-8"/>
          <w:w w:val="105"/>
          <w:sz w:val="20"/>
          <w:szCs w:val="20"/>
        </w:rPr>
        <w:t xml:space="preserve"> </w:t>
      </w:r>
      <w:r>
        <w:rPr>
          <w:rFonts w:ascii="Arial" w:hAnsi="Arial" w:cs="Arial"/>
          <w:w w:val="105"/>
          <w:sz w:val="20"/>
          <w:szCs w:val="20"/>
        </w:rPr>
        <w:t>collaborate</w:t>
      </w:r>
      <w:r>
        <w:rPr>
          <w:rFonts w:ascii="Arial" w:hAnsi="Arial" w:cs="Arial"/>
          <w:spacing w:val="-8"/>
          <w:w w:val="105"/>
          <w:sz w:val="20"/>
          <w:szCs w:val="20"/>
        </w:rPr>
        <w:t xml:space="preserve"> </w:t>
      </w:r>
      <w:r>
        <w:rPr>
          <w:rFonts w:ascii="Arial" w:hAnsi="Arial" w:cs="Arial"/>
          <w:w w:val="105"/>
          <w:sz w:val="20"/>
          <w:szCs w:val="20"/>
        </w:rPr>
        <w:t xml:space="preserve">with community­ based providers such as WIG, immigration organizations, and housing authorities to </w:t>
      </w:r>
      <w:r>
        <w:rPr>
          <w:rFonts w:ascii="Arial" w:hAnsi="Arial" w:cs="Arial"/>
          <w:spacing w:val="-3"/>
          <w:w w:val="105"/>
          <w:sz w:val="20"/>
          <w:szCs w:val="20"/>
        </w:rPr>
        <w:t xml:space="preserve">increase </w:t>
      </w:r>
      <w:r>
        <w:rPr>
          <w:rFonts w:ascii="Arial" w:hAnsi="Arial" w:cs="Arial"/>
          <w:w w:val="105"/>
          <w:sz w:val="20"/>
          <w:szCs w:val="20"/>
        </w:rPr>
        <w:t>quality of care and support nutrition and housing</w:t>
      </w:r>
      <w:r>
        <w:rPr>
          <w:rFonts w:ascii="Arial" w:hAnsi="Arial" w:cs="Arial"/>
          <w:spacing w:val="-40"/>
          <w:w w:val="105"/>
          <w:sz w:val="20"/>
          <w:szCs w:val="20"/>
        </w:rPr>
        <w:t xml:space="preserve"> </w:t>
      </w:r>
      <w:r>
        <w:rPr>
          <w:rFonts w:ascii="Arial" w:hAnsi="Arial" w:cs="Arial"/>
          <w:w w:val="105"/>
          <w:sz w:val="20"/>
          <w:szCs w:val="20"/>
        </w:rPr>
        <w:t>security.</w:t>
      </w: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7"/>
        <w:rPr>
          <w:rFonts w:ascii="Arial" w:hAnsi="Arial" w:cs="Arial"/>
          <w:sz w:val="21"/>
          <w:szCs w:val="21"/>
        </w:rPr>
      </w:pPr>
    </w:p>
    <w:p w:rsidR="002C5025" w:rsidRDefault="002C5025">
      <w:pPr>
        <w:pStyle w:val="BodyText"/>
        <w:kinsoku w:val="0"/>
        <w:overflowPunct w:val="0"/>
        <w:spacing w:line="285" w:lineRule="auto"/>
        <w:ind w:left="107" w:right="93"/>
        <w:rPr>
          <w:rFonts w:ascii="Arial" w:hAnsi="Arial" w:cs="Arial"/>
          <w:b/>
          <w:bCs/>
          <w:w w:val="105"/>
          <w:sz w:val="20"/>
          <w:szCs w:val="20"/>
        </w:rPr>
      </w:pPr>
      <w:r>
        <w:rPr>
          <w:rFonts w:ascii="Arial" w:hAnsi="Arial" w:cs="Arial"/>
          <w:b/>
          <w:bCs/>
          <w:w w:val="105"/>
          <w:sz w:val="20"/>
          <w:szCs w:val="20"/>
        </w:rPr>
        <w:t>The 1115 waiver must support person-centered care and protect MassHealth beneficiaries from harm. This can be done by ensuring that MassHealth:</w:t>
      </w:r>
    </w:p>
    <w:p w:rsidR="002C5025" w:rsidRDefault="002C5025">
      <w:pPr>
        <w:pStyle w:val="BodyText"/>
        <w:kinsoku w:val="0"/>
        <w:overflowPunct w:val="0"/>
        <w:rPr>
          <w:rFonts w:ascii="Arial" w:hAnsi="Arial" w:cs="Arial"/>
          <w:b/>
          <w:bCs/>
          <w:sz w:val="20"/>
          <w:szCs w:val="20"/>
        </w:rPr>
      </w:pPr>
    </w:p>
    <w:p w:rsidR="002C5025" w:rsidRDefault="002C5025">
      <w:pPr>
        <w:pStyle w:val="BodyText"/>
        <w:kinsoku w:val="0"/>
        <w:overflowPunct w:val="0"/>
        <w:rPr>
          <w:rFonts w:ascii="Arial" w:hAnsi="Arial" w:cs="Arial"/>
          <w:b/>
          <w:bCs/>
          <w:sz w:val="20"/>
          <w:szCs w:val="20"/>
        </w:rPr>
      </w:pPr>
    </w:p>
    <w:p w:rsidR="002C5025" w:rsidRDefault="002C5025">
      <w:pPr>
        <w:pStyle w:val="BodyText"/>
        <w:kinsoku w:val="0"/>
        <w:overflowPunct w:val="0"/>
        <w:spacing w:before="6"/>
        <w:rPr>
          <w:rFonts w:ascii="Arial" w:hAnsi="Arial" w:cs="Arial"/>
          <w:b/>
          <w:bCs/>
          <w:sz w:val="19"/>
          <w:szCs w:val="19"/>
        </w:rPr>
      </w:pPr>
    </w:p>
    <w:p w:rsidR="002C5025" w:rsidRDefault="002C5025">
      <w:pPr>
        <w:pStyle w:val="ListParagraph"/>
        <w:numPr>
          <w:ilvl w:val="0"/>
          <w:numId w:val="43"/>
        </w:numPr>
        <w:tabs>
          <w:tab w:val="left" w:pos="987"/>
        </w:tabs>
        <w:kinsoku w:val="0"/>
        <w:overflowPunct w:val="0"/>
        <w:spacing w:line="290" w:lineRule="auto"/>
        <w:ind w:left="972" w:right="206"/>
        <w:rPr>
          <w:rFonts w:ascii="Arial" w:hAnsi="Arial" w:cs="Arial"/>
          <w:w w:val="105"/>
          <w:sz w:val="20"/>
          <w:szCs w:val="20"/>
        </w:rPr>
      </w:pPr>
      <w:r>
        <w:rPr>
          <w:rFonts w:ascii="Arial" w:hAnsi="Arial" w:cs="Arial"/>
          <w:w w:val="105"/>
          <w:sz w:val="20"/>
          <w:szCs w:val="20"/>
        </w:rPr>
        <w:t xml:space="preserve">Maintain the independence of </w:t>
      </w:r>
      <w:r>
        <w:rPr>
          <w:rFonts w:ascii="Arial" w:hAnsi="Arial" w:cs="Arial"/>
          <w:spacing w:val="-4"/>
          <w:w w:val="105"/>
          <w:sz w:val="20"/>
          <w:szCs w:val="20"/>
        </w:rPr>
        <w:t xml:space="preserve">LTSS </w:t>
      </w:r>
      <w:r>
        <w:rPr>
          <w:rFonts w:ascii="Arial" w:hAnsi="Arial" w:cs="Arial"/>
          <w:w w:val="105"/>
          <w:sz w:val="20"/>
          <w:szCs w:val="20"/>
        </w:rPr>
        <w:t>for a minimum of the first two years of the initiative, with integration occurring only after a transparent review of the suitability of integration. All ACOs must</w:t>
      </w:r>
      <w:r>
        <w:rPr>
          <w:rFonts w:ascii="Arial" w:hAnsi="Arial" w:cs="Arial"/>
          <w:spacing w:val="-37"/>
          <w:w w:val="105"/>
          <w:sz w:val="20"/>
          <w:szCs w:val="20"/>
        </w:rPr>
        <w:t xml:space="preserve"> </w:t>
      </w:r>
      <w:r>
        <w:rPr>
          <w:rFonts w:ascii="Arial" w:hAnsi="Arial" w:cs="Arial"/>
          <w:w w:val="105"/>
          <w:sz w:val="20"/>
          <w:szCs w:val="20"/>
        </w:rPr>
        <w:t xml:space="preserve">be required to create a plan for integrating community-based </w:t>
      </w:r>
      <w:r>
        <w:rPr>
          <w:rFonts w:ascii="Arial" w:hAnsi="Arial" w:cs="Arial"/>
          <w:spacing w:val="-4"/>
          <w:w w:val="105"/>
          <w:sz w:val="20"/>
          <w:szCs w:val="20"/>
        </w:rPr>
        <w:t xml:space="preserve">LTSS </w:t>
      </w:r>
      <w:r>
        <w:rPr>
          <w:rFonts w:ascii="Arial" w:hAnsi="Arial" w:cs="Arial"/>
          <w:w w:val="105"/>
          <w:sz w:val="20"/>
          <w:szCs w:val="20"/>
        </w:rPr>
        <w:t xml:space="preserve">into their system, with participation from LTSS providers, users of </w:t>
      </w:r>
      <w:r>
        <w:rPr>
          <w:rFonts w:ascii="Arial" w:hAnsi="Arial" w:cs="Arial"/>
          <w:spacing w:val="-3"/>
          <w:w w:val="105"/>
          <w:sz w:val="20"/>
          <w:szCs w:val="20"/>
        </w:rPr>
        <w:t xml:space="preserve">LTSS, </w:t>
      </w:r>
      <w:r>
        <w:rPr>
          <w:rFonts w:ascii="Arial" w:hAnsi="Arial" w:cs="Arial"/>
          <w:w w:val="105"/>
          <w:sz w:val="20"/>
          <w:szCs w:val="20"/>
        </w:rPr>
        <w:t xml:space="preserve">and advocates that must be approved by vote of an </w:t>
      </w:r>
      <w:r>
        <w:rPr>
          <w:rFonts w:ascii="Arial" w:hAnsi="Arial" w:cs="Arial"/>
          <w:spacing w:val="-4"/>
          <w:w w:val="105"/>
          <w:sz w:val="20"/>
          <w:szCs w:val="20"/>
        </w:rPr>
        <w:t xml:space="preserve">implementation  </w:t>
      </w:r>
      <w:r>
        <w:rPr>
          <w:rFonts w:ascii="Arial" w:hAnsi="Arial" w:cs="Arial"/>
          <w:w w:val="105"/>
          <w:sz w:val="20"/>
          <w:szCs w:val="20"/>
        </w:rPr>
        <w:t xml:space="preserve">council established for the </w:t>
      </w:r>
      <w:r>
        <w:rPr>
          <w:rFonts w:ascii="Arial" w:hAnsi="Arial" w:cs="Arial"/>
          <w:spacing w:val="-3"/>
          <w:w w:val="105"/>
          <w:sz w:val="20"/>
          <w:szCs w:val="20"/>
        </w:rPr>
        <w:t xml:space="preserve">initiative </w:t>
      </w:r>
      <w:r>
        <w:rPr>
          <w:rFonts w:ascii="Arial" w:hAnsi="Arial" w:cs="Arial"/>
          <w:w w:val="105"/>
          <w:sz w:val="20"/>
          <w:szCs w:val="20"/>
        </w:rPr>
        <w:t>(see</w:t>
      </w:r>
      <w:r>
        <w:rPr>
          <w:rFonts w:ascii="Arial" w:hAnsi="Arial" w:cs="Arial"/>
          <w:spacing w:val="14"/>
          <w:w w:val="105"/>
          <w:sz w:val="20"/>
          <w:szCs w:val="20"/>
        </w:rPr>
        <w:t xml:space="preserve"> </w:t>
      </w:r>
      <w:r>
        <w:rPr>
          <w:rFonts w:ascii="Arial" w:hAnsi="Arial" w:cs="Arial"/>
          <w:w w:val="105"/>
          <w:sz w:val="20"/>
          <w:szCs w:val="20"/>
        </w:rPr>
        <w:t>below).</w:t>
      </w:r>
    </w:p>
    <w:p w:rsidR="002C5025" w:rsidRDefault="002C5025">
      <w:pPr>
        <w:pStyle w:val="BodyText"/>
        <w:kinsoku w:val="0"/>
        <w:overflowPunct w:val="0"/>
        <w:spacing w:before="4"/>
        <w:rPr>
          <w:rFonts w:ascii="Arial" w:hAnsi="Arial" w:cs="Arial"/>
          <w:sz w:val="25"/>
          <w:szCs w:val="25"/>
        </w:rPr>
      </w:pPr>
    </w:p>
    <w:p w:rsidR="002C5025" w:rsidRDefault="002C5025">
      <w:pPr>
        <w:pStyle w:val="ListParagraph"/>
        <w:numPr>
          <w:ilvl w:val="0"/>
          <w:numId w:val="43"/>
        </w:numPr>
        <w:tabs>
          <w:tab w:val="left" w:pos="980"/>
        </w:tabs>
        <w:kinsoku w:val="0"/>
        <w:overflowPunct w:val="0"/>
        <w:spacing w:line="292" w:lineRule="auto"/>
        <w:ind w:left="957" w:right="236" w:hanging="338"/>
        <w:rPr>
          <w:rFonts w:ascii="Arial" w:hAnsi="Arial" w:cs="Arial"/>
          <w:w w:val="105"/>
          <w:sz w:val="20"/>
          <w:szCs w:val="20"/>
        </w:rPr>
      </w:pPr>
      <w:r>
        <w:rPr>
          <w:rFonts w:ascii="Arial" w:hAnsi="Arial" w:cs="Arial"/>
          <w:w w:val="105"/>
          <w:sz w:val="20"/>
          <w:szCs w:val="20"/>
        </w:rPr>
        <w:t xml:space="preserve">Keep auto assignments to ACOs or </w:t>
      </w:r>
      <w:r>
        <w:rPr>
          <w:rFonts w:ascii="Arial" w:hAnsi="Arial" w:cs="Arial"/>
          <w:spacing w:val="-3"/>
          <w:w w:val="105"/>
          <w:sz w:val="20"/>
          <w:szCs w:val="20"/>
        </w:rPr>
        <w:t xml:space="preserve">health </w:t>
      </w:r>
      <w:r>
        <w:rPr>
          <w:rFonts w:ascii="Arial" w:hAnsi="Arial" w:cs="Arial"/>
          <w:w w:val="105"/>
          <w:sz w:val="20"/>
          <w:szCs w:val="20"/>
        </w:rPr>
        <w:t xml:space="preserve">homes to low numbers, and any successive assignments should be informed by performance data. The salient lesson of One Care </w:t>
      </w:r>
      <w:r>
        <w:rPr>
          <w:rFonts w:ascii="Arial" w:hAnsi="Arial" w:cs="Arial"/>
          <w:spacing w:val="-15"/>
          <w:w w:val="110"/>
          <w:sz w:val="20"/>
          <w:szCs w:val="20"/>
        </w:rPr>
        <w:t xml:space="preserve">is </w:t>
      </w:r>
      <w:r>
        <w:rPr>
          <w:rFonts w:ascii="Arial" w:hAnsi="Arial" w:cs="Arial"/>
          <w:w w:val="105"/>
          <w:sz w:val="20"/>
          <w:szCs w:val="20"/>
        </w:rPr>
        <w:t xml:space="preserve">that initiatives for people with complex service and healthcare needs should be allowed to grow to scale, not be forced to do so. Enrollment </w:t>
      </w:r>
      <w:r>
        <w:rPr>
          <w:rFonts w:ascii="Arial" w:hAnsi="Arial" w:cs="Arial"/>
          <w:spacing w:val="-11"/>
          <w:w w:val="110"/>
          <w:sz w:val="20"/>
          <w:szCs w:val="20"/>
        </w:rPr>
        <w:t xml:space="preserve">in </w:t>
      </w:r>
      <w:r>
        <w:rPr>
          <w:rFonts w:ascii="Arial" w:hAnsi="Arial" w:cs="Arial"/>
          <w:w w:val="105"/>
          <w:sz w:val="20"/>
          <w:szCs w:val="20"/>
        </w:rPr>
        <w:t xml:space="preserve">an AGO or </w:t>
      </w:r>
      <w:r>
        <w:rPr>
          <w:rFonts w:ascii="Arial" w:hAnsi="Arial" w:cs="Arial"/>
          <w:spacing w:val="-3"/>
          <w:w w:val="105"/>
          <w:sz w:val="20"/>
          <w:szCs w:val="20"/>
        </w:rPr>
        <w:t xml:space="preserve">health </w:t>
      </w:r>
      <w:r>
        <w:rPr>
          <w:rFonts w:ascii="Arial" w:hAnsi="Arial" w:cs="Arial"/>
          <w:w w:val="105"/>
          <w:sz w:val="20"/>
          <w:szCs w:val="20"/>
        </w:rPr>
        <w:t>home must be intentional on the part of</w:t>
      </w:r>
      <w:r>
        <w:rPr>
          <w:rFonts w:ascii="Arial" w:hAnsi="Arial" w:cs="Arial"/>
          <w:spacing w:val="14"/>
          <w:w w:val="105"/>
          <w:sz w:val="20"/>
          <w:szCs w:val="20"/>
        </w:rPr>
        <w:t xml:space="preserve"> </w:t>
      </w:r>
      <w:r>
        <w:rPr>
          <w:rFonts w:ascii="Arial" w:hAnsi="Arial" w:cs="Arial"/>
          <w:w w:val="105"/>
          <w:sz w:val="20"/>
          <w:szCs w:val="20"/>
        </w:rPr>
        <w:t>members.</w:t>
      </w:r>
    </w:p>
    <w:p w:rsidR="002C5025" w:rsidRDefault="002C5025">
      <w:pPr>
        <w:pStyle w:val="BodyText"/>
        <w:kinsoku w:val="0"/>
        <w:overflowPunct w:val="0"/>
        <w:spacing w:before="6"/>
        <w:rPr>
          <w:rFonts w:ascii="Arial" w:hAnsi="Arial" w:cs="Arial"/>
          <w:sz w:val="24"/>
          <w:szCs w:val="24"/>
        </w:rPr>
      </w:pPr>
    </w:p>
    <w:p w:rsidR="002C5025" w:rsidRDefault="002C5025">
      <w:pPr>
        <w:pStyle w:val="BodyText"/>
        <w:kinsoku w:val="0"/>
        <w:overflowPunct w:val="0"/>
        <w:spacing w:line="172" w:lineRule="exact"/>
        <w:ind w:left="604"/>
        <w:rPr>
          <w:rFonts w:ascii="Arial" w:hAnsi="Arial" w:cs="Arial"/>
          <w:b/>
          <w:bCs/>
          <w:w w:val="60"/>
          <w:sz w:val="20"/>
          <w:szCs w:val="20"/>
        </w:rPr>
      </w:pPr>
      <w:r>
        <w:rPr>
          <w:rFonts w:ascii="Arial" w:hAnsi="Arial" w:cs="Arial"/>
          <w:b/>
          <w:bCs/>
          <w:spacing w:val="-10"/>
          <w:sz w:val="20"/>
          <w:szCs w:val="20"/>
        </w:rPr>
        <w:t xml:space="preserve">:10. </w:t>
      </w:r>
      <w:proofErr w:type="spellStart"/>
      <w:r>
        <w:rPr>
          <w:rFonts w:ascii="Arial" w:hAnsi="Arial" w:cs="Arial"/>
          <w:b/>
          <w:bCs/>
          <w:sz w:val="20"/>
          <w:szCs w:val="20"/>
        </w:rPr>
        <w:t>flrotect</w:t>
      </w:r>
      <w:proofErr w:type="spellEnd"/>
      <w:r>
        <w:rPr>
          <w:rFonts w:ascii="Arial" w:hAnsi="Arial" w:cs="Arial"/>
          <w:b/>
          <w:bCs/>
          <w:sz w:val="20"/>
          <w:szCs w:val="20"/>
        </w:rPr>
        <w:t xml:space="preserve"> consumer  choice  by </w:t>
      </w:r>
      <w:r>
        <w:rPr>
          <w:rFonts w:ascii="Arial" w:hAnsi="Arial" w:cs="Arial"/>
          <w:b/>
          <w:bCs/>
          <w:spacing w:val="-4"/>
          <w:sz w:val="20"/>
          <w:szCs w:val="20"/>
        </w:rPr>
        <w:t xml:space="preserve">including </w:t>
      </w:r>
      <w:r>
        <w:rPr>
          <w:rFonts w:ascii="Arial" w:hAnsi="Arial" w:cs="Arial"/>
          <w:b/>
          <w:bCs/>
          <w:sz w:val="20"/>
          <w:szCs w:val="20"/>
        </w:rPr>
        <w:t xml:space="preserve">choice &lt;&gt;f  plans, services, and coordination.   Consumer </w:t>
      </w:r>
      <w:r>
        <w:rPr>
          <w:rFonts w:ascii="Arial" w:hAnsi="Arial" w:cs="Arial"/>
          <w:b/>
          <w:bCs/>
          <w:spacing w:val="54"/>
          <w:sz w:val="20"/>
          <w:szCs w:val="20"/>
        </w:rPr>
        <w:t xml:space="preserve"> </w:t>
      </w:r>
      <w:r>
        <w:rPr>
          <w:rFonts w:ascii="Arial" w:hAnsi="Arial" w:cs="Arial"/>
          <w:b/>
          <w:bCs/>
          <w:w w:val="60"/>
          <w:sz w:val="20"/>
          <w:szCs w:val="20"/>
        </w:rPr>
        <w:t>,</w:t>
      </w:r>
    </w:p>
    <w:p w:rsidR="002C5025" w:rsidRDefault="002C5025">
      <w:pPr>
        <w:pStyle w:val="BodyText"/>
        <w:tabs>
          <w:tab w:val="left" w:pos="2296"/>
          <w:tab w:val="left" w:pos="4053"/>
          <w:tab w:val="left" w:pos="5644"/>
          <w:tab w:val="left" w:pos="7934"/>
        </w:tabs>
        <w:kinsoku w:val="0"/>
        <w:overflowPunct w:val="0"/>
        <w:spacing w:line="129" w:lineRule="exact"/>
        <w:ind w:left="957" w:right="355"/>
        <w:rPr>
          <w:rFonts w:ascii="Times New Roman" w:hAnsi="Times New Roman" w:cs="Times New Roman"/>
          <w:w w:val="50"/>
          <w:sz w:val="18"/>
          <w:szCs w:val="18"/>
        </w:rPr>
      </w:pPr>
      <w:r>
        <w:rPr>
          <w:rFonts w:ascii="Times New Roman" w:hAnsi="Times New Roman" w:cs="Times New Roman"/>
          <w:w w:val="50"/>
          <w:sz w:val="18"/>
          <w:szCs w:val="18"/>
        </w:rPr>
        <w:t xml:space="preserve">r-·-    </w:t>
      </w:r>
      <w:r>
        <w:rPr>
          <w:rFonts w:ascii="Times New Roman" w:hAnsi="Times New Roman" w:cs="Times New Roman"/>
          <w:spacing w:val="9"/>
          <w:w w:val="50"/>
          <w:sz w:val="18"/>
          <w:szCs w:val="18"/>
        </w:rPr>
        <w:t xml:space="preserve"> </w:t>
      </w:r>
      <w:r>
        <w:rPr>
          <w:rFonts w:ascii="Times New Roman" w:hAnsi="Times New Roman" w:cs="Times New Roman"/>
          <w:w w:val="50"/>
          <w:sz w:val="18"/>
          <w:szCs w:val="18"/>
        </w:rPr>
        <w:t>-</w:t>
      </w:r>
      <w:r>
        <w:rPr>
          <w:rFonts w:ascii="Times New Roman" w:hAnsi="Times New Roman" w:cs="Times New Roman"/>
          <w:w w:val="50"/>
          <w:sz w:val="18"/>
          <w:szCs w:val="18"/>
        </w:rPr>
        <w:tab/>
        <w:t>------    -</w:t>
      </w:r>
      <w:r>
        <w:rPr>
          <w:rFonts w:ascii="Times New Roman" w:hAnsi="Times New Roman" w:cs="Times New Roman"/>
          <w:spacing w:val="22"/>
          <w:w w:val="50"/>
          <w:sz w:val="18"/>
          <w:szCs w:val="18"/>
        </w:rPr>
        <w:t xml:space="preserve"> </w:t>
      </w:r>
      <w:r>
        <w:rPr>
          <w:rFonts w:ascii="Times New Roman" w:hAnsi="Times New Roman" w:cs="Times New Roman"/>
          <w:w w:val="50"/>
          <w:sz w:val="18"/>
          <w:szCs w:val="18"/>
        </w:rPr>
        <w:t>- - ---</w:t>
      </w:r>
      <w:r>
        <w:rPr>
          <w:rFonts w:ascii="Times New Roman" w:hAnsi="Times New Roman" w:cs="Times New Roman"/>
          <w:spacing w:val="20"/>
          <w:w w:val="50"/>
          <w:sz w:val="18"/>
          <w:szCs w:val="18"/>
        </w:rPr>
        <w:t xml:space="preserve"> </w:t>
      </w:r>
      <w:r>
        <w:rPr>
          <w:rFonts w:ascii="Times New Roman" w:hAnsi="Times New Roman" w:cs="Times New Roman"/>
          <w:w w:val="50"/>
          <w:sz w:val="18"/>
          <w:szCs w:val="18"/>
        </w:rPr>
        <w:t xml:space="preserve">- </w:t>
      </w:r>
      <w:r>
        <w:rPr>
          <w:rFonts w:ascii="Times New Roman" w:hAnsi="Times New Roman" w:cs="Times New Roman"/>
          <w:spacing w:val="11"/>
          <w:w w:val="50"/>
          <w:sz w:val="18"/>
          <w:szCs w:val="18"/>
        </w:rPr>
        <w:t xml:space="preserve"> </w:t>
      </w:r>
      <w:r>
        <w:rPr>
          <w:rFonts w:ascii="Times New Roman" w:hAnsi="Times New Roman" w:cs="Times New Roman"/>
          <w:w w:val="50"/>
          <w:sz w:val="18"/>
          <w:szCs w:val="18"/>
        </w:rPr>
        <w:t>--</w:t>
      </w:r>
      <w:r>
        <w:rPr>
          <w:rFonts w:ascii="Times New Roman" w:hAnsi="Times New Roman" w:cs="Times New Roman"/>
          <w:w w:val="50"/>
          <w:sz w:val="18"/>
          <w:szCs w:val="18"/>
        </w:rPr>
        <w:tab/>
        <w:t xml:space="preserve">-     --   -       </w:t>
      </w:r>
      <w:r>
        <w:rPr>
          <w:rFonts w:ascii="Times New Roman" w:hAnsi="Times New Roman" w:cs="Times New Roman"/>
          <w:spacing w:val="2"/>
          <w:w w:val="50"/>
          <w:sz w:val="18"/>
          <w:szCs w:val="18"/>
        </w:rPr>
        <w:t xml:space="preserve"> </w:t>
      </w:r>
      <w:r>
        <w:rPr>
          <w:rFonts w:ascii="Times New Roman" w:hAnsi="Times New Roman" w:cs="Times New Roman"/>
          <w:w w:val="50"/>
          <w:sz w:val="18"/>
          <w:szCs w:val="18"/>
        </w:rPr>
        <w:t xml:space="preserve">-      </w:t>
      </w:r>
      <w:r>
        <w:rPr>
          <w:rFonts w:ascii="Times New Roman" w:hAnsi="Times New Roman" w:cs="Times New Roman"/>
          <w:spacing w:val="3"/>
          <w:w w:val="50"/>
          <w:sz w:val="18"/>
          <w:szCs w:val="18"/>
        </w:rPr>
        <w:t xml:space="preserve"> </w:t>
      </w:r>
      <w:r>
        <w:rPr>
          <w:rFonts w:ascii="Times New Roman" w:hAnsi="Times New Roman" w:cs="Times New Roman"/>
          <w:w w:val="50"/>
          <w:sz w:val="18"/>
          <w:szCs w:val="18"/>
        </w:rPr>
        <w:t>-</w:t>
      </w:r>
      <w:r>
        <w:rPr>
          <w:rFonts w:ascii="Times New Roman" w:hAnsi="Times New Roman" w:cs="Times New Roman"/>
          <w:w w:val="50"/>
          <w:sz w:val="18"/>
          <w:szCs w:val="18"/>
        </w:rPr>
        <w:tab/>
        <w:t>-       -     -    -</w:t>
      </w:r>
      <w:r>
        <w:rPr>
          <w:rFonts w:ascii="Times New Roman" w:hAnsi="Times New Roman" w:cs="Times New Roman"/>
          <w:spacing w:val="22"/>
          <w:w w:val="50"/>
          <w:sz w:val="18"/>
          <w:szCs w:val="18"/>
        </w:rPr>
        <w:t xml:space="preserve"> </w:t>
      </w:r>
      <w:r>
        <w:rPr>
          <w:rFonts w:ascii="Times New Roman" w:hAnsi="Times New Roman" w:cs="Times New Roman"/>
          <w:w w:val="50"/>
          <w:sz w:val="18"/>
          <w:szCs w:val="18"/>
        </w:rPr>
        <w:t xml:space="preserve">- </w:t>
      </w:r>
      <w:r>
        <w:rPr>
          <w:rFonts w:ascii="Times New Roman" w:hAnsi="Times New Roman" w:cs="Times New Roman"/>
          <w:spacing w:val="20"/>
          <w:w w:val="50"/>
          <w:sz w:val="18"/>
          <w:szCs w:val="18"/>
        </w:rPr>
        <w:t xml:space="preserve"> </w:t>
      </w:r>
      <w:r>
        <w:rPr>
          <w:rFonts w:ascii="Times New Roman" w:hAnsi="Times New Roman" w:cs="Times New Roman"/>
          <w:w w:val="50"/>
          <w:sz w:val="18"/>
          <w:szCs w:val="18"/>
        </w:rPr>
        <w:t xml:space="preserve">-    </w:t>
      </w:r>
      <w:r>
        <w:rPr>
          <w:rFonts w:ascii="Times New Roman" w:hAnsi="Times New Roman" w:cs="Times New Roman"/>
          <w:spacing w:val="5"/>
          <w:w w:val="50"/>
          <w:sz w:val="18"/>
          <w:szCs w:val="18"/>
        </w:rPr>
        <w:t xml:space="preserve"> </w:t>
      </w:r>
      <w:r>
        <w:rPr>
          <w:rFonts w:ascii="Times New Roman" w:hAnsi="Times New Roman" w:cs="Times New Roman"/>
          <w:w w:val="50"/>
          <w:sz w:val="18"/>
          <w:szCs w:val="18"/>
        </w:rPr>
        <w:t>-</w:t>
      </w:r>
      <w:r>
        <w:rPr>
          <w:rFonts w:ascii="Times New Roman" w:hAnsi="Times New Roman" w:cs="Times New Roman"/>
          <w:w w:val="50"/>
          <w:sz w:val="18"/>
          <w:szCs w:val="18"/>
        </w:rPr>
        <w:tab/>
        <w:t>,</w:t>
      </w:r>
    </w:p>
    <w:p w:rsidR="002C5025" w:rsidRDefault="002C5025">
      <w:pPr>
        <w:pStyle w:val="BodyText"/>
        <w:kinsoku w:val="0"/>
        <w:overflowPunct w:val="0"/>
        <w:spacing w:line="210" w:lineRule="exact"/>
        <w:ind w:left="957" w:right="355"/>
        <w:rPr>
          <w:rFonts w:ascii="Arial" w:hAnsi="Arial" w:cs="Arial"/>
          <w:b/>
          <w:bCs/>
          <w:w w:val="21"/>
          <w:sz w:val="20"/>
          <w:szCs w:val="20"/>
        </w:rPr>
      </w:pPr>
      <w:proofErr w:type="spellStart"/>
      <w:r>
        <w:rPr>
          <w:rFonts w:ascii="Arial" w:hAnsi="Arial" w:cs="Arial"/>
          <w:b/>
          <w:bCs/>
          <w:w w:val="129"/>
          <w:sz w:val="20"/>
          <w:szCs w:val="20"/>
        </w:rPr>
        <w:t>i</w:t>
      </w:r>
      <w:r>
        <w:rPr>
          <w:rFonts w:ascii="Arial" w:hAnsi="Arial" w:cs="Arial"/>
          <w:b/>
          <w:bCs/>
          <w:spacing w:val="-29"/>
          <w:w w:val="129"/>
          <w:sz w:val="20"/>
          <w:szCs w:val="20"/>
        </w:rPr>
        <w:t>;</w:t>
      </w:r>
      <w:r>
        <w:rPr>
          <w:rFonts w:ascii="Arial" w:hAnsi="Arial" w:cs="Arial"/>
          <w:b/>
          <w:bCs/>
          <w:w w:val="104"/>
          <w:sz w:val="20"/>
          <w:szCs w:val="20"/>
        </w:rPr>
        <w:t>hoice</w:t>
      </w:r>
      <w:proofErr w:type="spellEnd"/>
      <w:r>
        <w:rPr>
          <w:rFonts w:ascii="Arial" w:hAnsi="Arial" w:cs="Arial"/>
          <w:b/>
          <w:bCs/>
          <w:spacing w:val="1"/>
          <w:sz w:val="20"/>
          <w:szCs w:val="20"/>
        </w:rPr>
        <w:t xml:space="preserve"> </w:t>
      </w:r>
      <w:r>
        <w:rPr>
          <w:rFonts w:ascii="Arial" w:hAnsi="Arial" w:cs="Arial"/>
          <w:b/>
          <w:bCs/>
          <w:w w:val="103"/>
          <w:sz w:val="20"/>
          <w:szCs w:val="20"/>
        </w:rPr>
        <w:t>is</w:t>
      </w:r>
      <w:r>
        <w:rPr>
          <w:rFonts w:ascii="Arial" w:hAnsi="Arial" w:cs="Arial"/>
          <w:b/>
          <w:bCs/>
          <w:spacing w:val="-13"/>
          <w:sz w:val="20"/>
          <w:szCs w:val="20"/>
        </w:rPr>
        <w:t xml:space="preserve"> </w:t>
      </w:r>
      <w:r>
        <w:rPr>
          <w:rFonts w:ascii="Arial" w:hAnsi="Arial" w:cs="Arial"/>
          <w:b/>
          <w:bCs/>
          <w:w w:val="91"/>
          <w:sz w:val="20"/>
          <w:szCs w:val="20"/>
        </w:rPr>
        <w:t>vital._</w:t>
      </w:r>
      <w:r>
        <w:rPr>
          <w:rFonts w:ascii="Arial" w:hAnsi="Arial" w:cs="Arial"/>
          <w:b/>
          <w:bCs/>
          <w:spacing w:val="-30"/>
          <w:sz w:val="20"/>
          <w:szCs w:val="20"/>
        </w:rPr>
        <w:t xml:space="preserve"> </w:t>
      </w:r>
      <w:r>
        <w:rPr>
          <w:rFonts w:ascii="Arial" w:hAnsi="Arial" w:cs="Arial"/>
          <w:b/>
          <w:bCs/>
          <w:w w:val="107"/>
          <w:sz w:val="20"/>
          <w:szCs w:val="20"/>
        </w:rPr>
        <w:t>Th</w:t>
      </w:r>
      <w:r>
        <w:rPr>
          <w:rFonts w:ascii="Arial" w:hAnsi="Arial" w:cs="Arial"/>
          <w:b/>
          <w:bCs/>
          <w:spacing w:val="-7"/>
          <w:w w:val="107"/>
          <w:sz w:val="20"/>
          <w:szCs w:val="20"/>
        </w:rPr>
        <w:t>i</w:t>
      </w:r>
      <w:r>
        <w:rPr>
          <w:rFonts w:ascii="Arial" w:hAnsi="Arial" w:cs="Arial"/>
          <w:b/>
          <w:bCs/>
          <w:w w:val="127"/>
          <w:sz w:val="20"/>
          <w:szCs w:val="20"/>
        </w:rPr>
        <w:t>ll</w:t>
      </w:r>
      <w:r>
        <w:rPr>
          <w:rFonts w:ascii="Arial" w:hAnsi="Arial" w:cs="Arial"/>
          <w:b/>
          <w:bCs/>
          <w:spacing w:val="-11"/>
          <w:sz w:val="20"/>
          <w:szCs w:val="20"/>
        </w:rPr>
        <w:t xml:space="preserve"> </w:t>
      </w:r>
      <w:r>
        <w:rPr>
          <w:rFonts w:ascii="Arial" w:hAnsi="Arial" w:cs="Arial"/>
          <w:b/>
          <w:bCs/>
          <w:w w:val="101"/>
          <w:sz w:val="20"/>
          <w:szCs w:val="20"/>
        </w:rPr>
        <w:t>includes</w:t>
      </w:r>
      <w:r>
        <w:rPr>
          <w:rFonts w:ascii="Arial" w:hAnsi="Arial" w:cs="Arial"/>
          <w:b/>
          <w:bCs/>
          <w:spacing w:val="17"/>
          <w:sz w:val="20"/>
          <w:szCs w:val="20"/>
        </w:rPr>
        <w:t xml:space="preserve"> </w:t>
      </w:r>
      <w:r>
        <w:rPr>
          <w:rFonts w:ascii="Arial" w:hAnsi="Arial" w:cs="Arial"/>
          <w:b/>
          <w:bCs/>
          <w:w w:val="106"/>
          <w:sz w:val="20"/>
          <w:szCs w:val="20"/>
        </w:rPr>
        <w:t>b</w:t>
      </w:r>
      <w:r>
        <w:rPr>
          <w:rFonts w:ascii="Arial" w:hAnsi="Arial" w:cs="Arial"/>
          <w:b/>
          <w:bCs/>
          <w:spacing w:val="-31"/>
          <w:w w:val="106"/>
          <w:sz w:val="20"/>
          <w:szCs w:val="20"/>
        </w:rPr>
        <w:t>u</w:t>
      </w:r>
      <w:r>
        <w:rPr>
          <w:rFonts w:ascii="Arial" w:hAnsi="Arial" w:cs="Arial"/>
          <w:b/>
          <w:bCs/>
          <w:w w:val="162"/>
          <w:sz w:val="20"/>
          <w:szCs w:val="20"/>
        </w:rPr>
        <w:t>t</w:t>
      </w:r>
      <w:r>
        <w:rPr>
          <w:rFonts w:ascii="Arial" w:hAnsi="Arial" w:cs="Arial"/>
          <w:b/>
          <w:bCs/>
          <w:spacing w:val="-6"/>
          <w:sz w:val="20"/>
          <w:szCs w:val="20"/>
        </w:rPr>
        <w:t xml:space="preserve"> </w:t>
      </w:r>
      <w:r>
        <w:rPr>
          <w:rFonts w:ascii="Arial" w:hAnsi="Arial" w:cs="Arial"/>
          <w:b/>
          <w:bCs/>
          <w:w w:val="103"/>
          <w:sz w:val="20"/>
          <w:szCs w:val="20"/>
        </w:rPr>
        <w:t>is</w:t>
      </w:r>
      <w:r>
        <w:rPr>
          <w:rFonts w:ascii="Arial" w:hAnsi="Arial" w:cs="Arial"/>
          <w:b/>
          <w:bCs/>
          <w:spacing w:val="1"/>
          <w:sz w:val="20"/>
          <w:szCs w:val="20"/>
        </w:rPr>
        <w:t xml:space="preserve"> </w:t>
      </w:r>
      <w:r>
        <w:rPr>
          <w:rFonts w:ascii="Arial" w:hAnsi="Arial" w:cs="Arial"/>
          <w:b/>
          <w:bCs/>
          <w:w w:val="102"/>
          <w:sz w:val="20"/>
          <w:szCs w:val="20"/>
        </w:rPr>
        <w:t>not</w:t>
      </w:r>
      <w:r>
        <w:rPr>
          <w:rFonts w:ascii="Arial" w:hAnsi="Arial" w:cs="Arial"/>
          <w:b/>
          <w:bCs/>
          <w:spacing w:val="-2"/>
          <w:sz w:val="20"/>
          <w:szCs w:val="20"/>
        </w:rPr>
        <w:t xml:space="preserve"> </w:t>
      </w:r>
      <w:r>
        <w:rPr>
          <w:rFonts w:ascii="Arial" w:hAnsi="Arial" w:cs="Arial"/>
          <w:b/>
          <w:bCs/>
          <w:w w:val="104"/>
          <w:sz w:val="20"/>
          <w:szCs w:val="20"/>
        </w:rPr>
        <w:t>limited</w:t>
      </w:r>
      <w:r>
        <w:rPr>
          <w:rFonts w:ascii="Arial" w:hAnsi="Arial" w:cs="Arial"/>
          <w:b/>
          <w:bCs/>
          <w:spacing w:val="2"/>
          <w:sz w:val="20"/>
          <w:szCs w:val="20"/>
        </w:rPr>
        <w:t xml:space="preserve"> </w:t>
      </w:r>
      <w:r>
        <w:rPr>
          <w:rFonts w:ascii="Arial" w:hAnsi="Arial" w:cs="Arial"/>
          <w:b/>
          <w:bCs/>
          <w:w w:val="106"/>
          <w:sz w:val="20"/>
          <w:szCs w:val="20"/>
        </w:rPr>
        <w:t>to</w:t>
      </w:r>
      <w:r>
        <w:rPr>
          <w:rFonts w:ascii="Arial" w:hAnsi="Arial" w:cs="Arial"/>
          <w:b/>
          <w:bCs/>
          <w:spacing w:val="1"/>
          <w:sz w:val="20"/>
          <w:szCs w:val="20"/>
        </w:rPr>
        <w:t xml:space="preserve"> </w:t>
      </w:r>
      <w:r>
        <w:rPr>
          <w:rFonts w:ascii="Arial" w:hAnsi="Arial" w:cs="Arial"/>
          <w:b/>
          <w:bCs/>
          <w:w w:val="104"/>
          <w:sz w:val="20"/>
          <w:szCs w:val="20"/>
        </w:rPr>
        <w:t>cons</w:t>
      </w:r>
      <w:r>
        <w:rPr>
          <w:rFonts w:ascii="Arial" w:hAnsi="Arial" w:cs="Arial"/>
          <w:b/>
          <w:bCs/>
          <w:spacing w:val="-28"/>
          <w:w w:val="104"/>
          <w:sz w:val="20"/>
          <w:szCs w:val="20"/>
        </w:rPr>
        <w:t>u</w:t>
      </w:r>
      <w:r>
        <w:rPr>
          <w:rFonts w:ascii="Arial" w:hAnsi="Arial" w:cs="Arial"/>
          <w:b/>
          <w:bCs/>
          <w:w w:val="114"/>
          <w:sz w:val="20"/>
          <w:szCs w:val="20"/>
        </w:rPr>
        <w:t>mer</w:t>
      </w:r>
      <w:r>
        <w:rPr>
          <w:rFonts w:ascii="Arial" w:hAnsi="Arial" w:cs="Arial"/>
          <w:b/>
          <w:bCs/>
          <w:spacing w:val="-3"/>
          <w:sz w:val="20"/>
          <w:szCs w:val="20"/>
        </w:rPr>
        <w:t xml:space="preserve"> </w:t>
      </w:r>
      <w:r>
        <w:rPr>
          <w:rFonts w:ascii="Arial" w:hAnsi="Arial" w:cs="Arial"/>
          <w:b/>
          <w:bCs/>
          <w:w w:val="102"/>
          <w:sz w:val="20"/>
          <w:szCs w:val="20"/>
        </w:rPr>
        <w:t>access</w:t>
      </w:r>
      <w:r>
        <w:rPr>
          <w:rFonts w:ascii="Arial" w:hAnsi="Arial" w:cs="Arial"/>
          <w:b/>
          <w:bCs/>
          <w:spacing w:val="6"/>
          <w:sz w:val="20"/>
          <w:szCs w:val="20"/>
        </w:rPr>
        <w:t xml:space="preserve"> </w:t>
      </w:r>
      <w:r>
        <w:rPr>
          <w:rFonts w:ascii="Arial" w:hAnsi="Arial" w:cs="Arial"/>
          <w:b/>
          <w:bCs/>
          <w:w w:val="105"/>
          <w:sz w:val="20"/>
          <w:szCs w:val="20"/>
        </w:rPr>
        <w:t>to</w:t>
      </w:r>
      <w:r>
        <w:rPr>
          <w:rFonts w:ascii="Arial" w:hAnsi="Arial" w:cs="Arial"/>
          <w:b/>
          <w:bCs/>
          <w:spacing w:val="3"/>
          <w:w w:val="105"/>
          <w:sz w:val="20"/>
          <w:szCs w:val="20"/>
        </w:rPr>
        <w:t>:</w:t>
      </w:r>
      <w:r>
        <w:rPr>
          <w:rFonts w:ascii="Arial" w:hAnsi="Arial" w:cs="Arial"/>
          <w:b/>
          <w:bCs/>
          <w:w w:val="21"/>
          <w:sz w:val="20"/>
          <w:szCs w:val="20"/>
        </w:rPr>
        <w:t>!</w:t>
      </w:r>
    </w:p>
    <w:p w:rsidR="002C5025" w:rsidRDefault="002C5025">
      <w:pPr>
        <w:pStyle w:val="BodyText"/>
        <w:kinsoku w:val="0"/>
        <w:overflowPunct w:val="0"/>
        <w:spacing w:line="210" w:lineRule="exact"/>
        <w:ind w:left="957" w:right="355"/>
        <w:rPr>
          <w:rFonts w:ascii="Arial" w:hAnsi="Arial" w:cs="Arial"/>
          <w:b/>
          <w:bCs/>
          <w:w w:val="21"/>
          <w:sz w:val="20"/>
          <w:szCs w:val="20"/>
        </w:rPr>
        <w:sectPr w:rsidR="002C5025">
          <w:pgSz w:w="12240" w:h="15840"/>
          <w:pgMar w:top="960" w:right="1020" w:bottom="280" w:left="720" w:header="720" w:footer="720" w:gutter="0"/>
          <w:cols w:space="720"/>
          <w:noEndnote/>
        </w:sectPr>
      </w:pPr>
    </w:p>
    <w:p w:rsidR="002C5025" w:rsidRDefault="002C5025">
      <w:pPr>
        <w:pStyle w:val="ListParagraph"/>
        <w:numPr>
          <w:ilvl w:val="1"/>
          <w:numId w:val="43"/>
        </w:numPr>
        <w:tabs>
          <w:tab w:val="left" w:pos="1534"/>
        </w:tabs>
        <w:kinsoku w:val="0"/>
        <w:overflowPunct w:val="0"/>
        <w:spacing w:before="53" w:line="292" w:lineRule="auto"/>
        <w:ind w:left="1540" w:right="804" w:hanging="331"/>
        <w:rPr>
          <w:rFonts w:ascii="Arial" w:hAnsi="Arial" w:cs="Arial"/>
          <w:sz w:val="20"/>
          <w:szCs w:val="20"/>
        </w:rPr>
      </w:pPr>
      <w:r>
        <w:rPr>
          <w:rFonts w:ascii="Arial" w:hAnsi="Arial" w:cs="Arial"/>
          <w:sz w:val="20"/>
          <w:szCs w:val="20"/>
        </w:rPr>
        <w:lastRenderedPageBreak/>
        <w:t>A delivery system that is equitable, population-based, and person-centered with services provided to consumers  based on  identified  need,  not</w:t>
      </w:r>
      <w:r>
        <w:rPr>
          <w:rFonts w:ascii="Arial" w:hAnsi="Arial" w:cs="Arial"/>
          <w:spacing w:val="-23"/>
          <w:sz w:val="20"/>
          <w:szCs w:val="20"/>
        </w:rPr>
        <w:t xml:space="preserve"> </w:t>
      </w:r>
      <w:r>
        <w:rPr>
          <w:rFonts w:ascii="Arial" w:hAnsi="Arial" w:cs="Arial"/>
          <w:sz w:val="20"/>
          <w:szCs w:val="20"/>
        </w:rPr>
        <w:t>payer.</w:t>
      </w:r>
    </w:p>
    <w:p w:rsidR="002C5025" w:rsidRDefault="002C5025">
      <w:pPr>
        <w:pStyle w:val="ListParagraph"/>
        <w:numPr>
          <w:ilvl w:val="1"/>
          <w:numId w:val="43"/>
        </w:numPr>
        <w:tabs>
          <w:tab w:val="left" w:pos="1527"/>
        </w:tabs>
        <w:kinsoku w:val="0"/>
        <w:overflowPunct w:val="0"/>
        <w:spacing w:before="1" w:line="292" w:lineRule="auto"/>
        <w:ind w:right="359" w:hanging="310"/>
        <w:rPr>
          <w:rFonts w:ascii="Arial" w:hAnsi="Arial" w:cs="Arial"/>
          <w:w w:val="105"/>
          <w:sz w:val="20"/>
          <w:szCs w:val="20"/>
        </w:rPr>
      </w:pPr>
      <w:r>
        <w:rPr>
          <w:rFonts w:ascii="Arial" w:hAnsi="Arial" w:cs="Arial"/>
          <w:w w:val="105"/>
          <w:sz w:val="20"/>
          <w:szCs w:val="20"/>
        </w:rPr>
        <w:t>An</w:t>
      </w:r>
      <w:r>
        <w:rPr>
          <w:rFonts w:ascii="Arial" w:hAnsi="Arial" w:cs="Arial"/>
          <w:spacing w:val="3"/>
          <w:w w:val="105"/>
          <w:sz w:val="20"/>
          <w:szCs w:val="20"/>
        </w:rPr>
        <w:t xml:space="preserve"> </w:t>
      </w:r>
      <w:r>
        <w:rPr>
          <w:rFonts w:ascii="Arial" w:hAnsi="Arial" w:cs="Arial"/>
          <w:w w:val="105"/>
          <w:sz w:val="20"/>
          <w:szCs w:val="20"/>
        </w:rPr>
        <w:t>"opt</w:t>
      </w:r>
      <w:r>
        <w:rPr>
          <w:rFonts w:ascii="Arial" w:hAnsi="Arial" w:cs="Arial"/>
          <w:spacing w:val="-13"/>
          <w:w w:val="105"/>
          <w:sz w:val="20"/>
          <w:szCs w:val="20"/>
        </w:rPr>
        <w:t xml:space="preserve"> </w:t>
      </w:r>
      <w:r>
        <w:rPr>
          <w:rFonts w:ascii="Arial" w:hAnsi="Arial" w:cs="Arial"/>
          <w:w w:val="105"/>
          <w:sz w:val="20"/>
          <w:szCs w:val="20"/>
        </w:rPr>
        <w:t>out"</w:t>
      </w:r>
      <w:r>
        <w:rPr>
          <w:rFonts w:ascii="Arial" w:hAnsi="Arial" w:cs="Arial"/>
          <w:spacing w:val="-4"/>
          <w:w w:val="105"/>
          <w:sz w:val="20"/>
          <w:szCs w:val="20"/>
        </w:rPr>
        <w:t xml:space="preserve"> </w:t>
      </w:r>
      <w:r>
        <w:rPr>
          <w:rFonts w:ascii="Arial" w:hAnsi="Arial" w:cs="Arial"/>
          <w:w w:val="105"/>
          <w:sz w:val="20"/>
          <w:szCs w:val="20"/>
        </w:rPr>
        <w:t>provision</w:t>
      </w:r>
      <w:r>
        <w:rPr>
          <w:rFonts w:ascii="Arial" w:hAnsi="Arial" w:cs="Arial"/>
          <w:spacing w:val="-5"/>
          <w:w w:val="105"/>
          <w:sz w:val="20"/>
          <w:szCs w:val="20"/>
        </w:rPr>
        <w:t xml:space="preserve"> </w:t>
      </w:r>
      <w:r>
        <w:rPr>
          <w:rFonts w:ascii="Arial" w:hAnsi="Arial" w:cs="Arial"/>
          <w:w w:val="105"/>
          <w:sz w:val="20"/>
          <w:szCs w:val="20"/>
        </w:rPr>
        <w:t>for</w:t>
      </w:r>
      <w:r>
        <w:rPr>
          <w:rFonts w:ascii="Arial" w:hAnsi="Arial" w:cs="Arial"/>
          <w:spacing w:val="-4"/>
          <w:w w:val="105"/>
          <w:sz w:val="20"/>
          <w:szCs w:val="20"/>
        </w:rPr>
        <w:t xml:space="preserve"> </w:t>
      </w:r>
      <w:r>
        <w:rPr>
          <w:rFonts w:ascii="Arial" w:hAnsi="Arial" w:cs="Arial"/>
          <w:w w:val="105"/>
          <w:sz w:val="20"/>
          <w:szCs w:val="20"/>
        </w:rPr>
        <w:t>enrollees</w:t>
      </w:r>
      <w:r>
        <w:rPr>
          <w:rFonts w:ascii="Arial" w:hAnsi="Arial" w:cs="Arial"/>
          <w:spacing w:val="5"/>
          <w:w w:val="105"/>
          <w:sz w:val="20"/>
          <w:szCs w:val="20"/>
        </w:rPr>
        <w:t xml:space="preserve"> </w:t>
      </w:r>
      <w:r>
        <w:rPr>
          <w:rFonts w:ascii="Arial" w:hAnsi="Arial" w:cs="Arial"/>
          <w:w w:val="105"/>
          <w:sz w:val="20"/>
          <w:szCs w:val="20"/>
        </w:rPr>
        <w:t>of</w:t>
      </w:r>
      <w:r>
        <w:rPr>
          <w:rFonts w:ascii="Arial" w:hAnsi="Arial" w:cs="Arial"/>
          <w:spacing w:val="-11"/>
          <w:w w:val="105"/>
          <w:sz w:val="20"/>
          <w:szCs w:val="20"/>
        </w:rPr>
        <w:t xml:space="preserve"> </w:t>
      </w:r>
      <w:r>
        <w:rPr>
          <w:rFonts w:ascii="Arial" w:hAnsi="Arial" w:cs="Arial"/>
          <w:w w:val="105"/>
          <w:sz w:val="20"/>
          <w:szCs w:val="20"/>
        </w:rPr>
        <w:t>ACOs</w:t>
      </w:r>
      <w:r>
        <w:rPr>
          <w:rFonts w:ascii="Arial" w:hAnsi="Arial" w:cs="Arial"/>
          <w:spacing w:val="1"/>
          <w:w w:val="105"/>
          <w:sz w:val="20"/>
          <w:szCs w:val="20"/>
        </w:rPr>
        <w:t xml:space="preserve"> </w:t>
      </w:r>
      <w:r>
        <w:rPr>
          <w:rFonts w:ascii="Arial" w:hAnsi="Arial" w:cs="Arial"/>
          <w:w w:val="105"/>
          <w:sz w:val="20"/>
          <w:szCs w:val="20"/>
        </w:rPr>
        <w:t>so</w:t>
      </w:r>
      <w:r>
        <w:rPr>
          <w:rFonts w:ascii="Arial" w:hAnsi="Arial" w:cs="Arial"/>
          <w:spacing w:val="-10"/>
          <w:w w:val="105"/>
          <w:sz w:val="20"/>
          <w:szCs w:val="20"/>
        </w:rPr>
        <w:t xml:space="preserve"> </w:t>
      </w:r>
      <w:r>
        <w:rPr>
          <w:rFonts w:ascii="Arial" w:hAnsi="Arial" w:cs="Arial"/>
          <w:w w:val="105"/>
          <w:sz w:val="20"/>
          <w:szCs w:val="20"/>
        </w:rPr>
        <w:t>they</w:t>
      </w:r>
      <w:r>
        <w:rPr>
          <w:rFonts w:ascii="Arial" w:hAnsi="Arial" w:cs="Arial"/>
          <w:spacing w:val="7"/>
          <w:w w:val="105"/>
          <w:sz w:val="20"/>
          <w:szCs w:val="20"/>
        </w:rPr>
        <w:t xml:space="preserve"> </w:t>
      </w:r>
      <w:r>
        <w:rPr>
          <w:rFonts w:ascii="Arial" w:hAnsi="Arial" w:cs="Arial"/>
          <w:w w:val="105"/>
          <w:sz w:val="20"/>
          <w:szCs w:val="20"/>
        </w:rPr>
        <w:t>can,</w:t>
      </w:r>
      <w:r>
        <w:rPr>
          <w:rFonts w:ascii="Arial" w:hAnsi="Arial" w:cs="Arial"/>
          <w:spacing w:val="2"/>
          <w:w w:val="105"/>
          <w:sz w:val="20"/>
          <w:szCs w:val="20"/>
        </w:rPr>
        <w:t xml:space="preserve"> </w:t>
      </w:r>
      <w:r>
        <w:rPr>
          <w:rFonts w:ascii="Arial" w:hAnsi="Arial" w:cs="Arial"/>
          <w:w w:val="105"/>
          <w:sz w:val="20"/>
          <w:szCs w:val="20"/>
        </w:rPr>
        <w:t>at</w:t>
      </w:r>
      <w:r>
        <w:rPr>
          <w:rFonts w:ascii="Arial" w:hAnsi="Arial" w:cs="Arial"/>
          <w:spacing w:val="-21"/>
          <w:w w:val="105"/>
          <w:sz w:val="20"/>
          <w:szCs w:val="20"/>
        </w:rPr>
        <w:t xml:space="preserve"> </w:t>
      </w:r>
      <w:r>
        <w:rPr>
          <w:rFonts w:ascii="Arial" w:hAnsi="Arial" w:cs="Arial"/>
          <w:w w:val="105"/>
          <w:sz w:val="20"/>
          <w:szCs w:val="20"/>
        </w:rPr>
        <w:t>the</w:t>
      </w:r>
      <w:r>
        <w:rPr>
          <w:rFonts w:ascii="Arial" w:hAnsi="Arial" w:cs="Arial"/>
          <w:spacing w:val="-7"/>
          <w:w w:val="105"/>
          <w:sz w:val="20"/>
          <w:szCs w:val="20"/>
        </w:rPr>
        <w:t xml:space="preserve"> </w:t>
      </w:r>
      <w:r>
        <w:rPr>
          <w:rFonts w:ascii="Arial" w:hAnsi="Arial" w:cs="Arial"/>
          <w:w w:val="105"/>
          <w:sz w:val="20"/>
          <w:szCs w:val="20"/>
        </w:rPr>
        <w:t>end</w:t>
      </w:r>
      <w:r>
        <w:rPr>
          <w:rFonts w:ascii="Arial" w:hAnsi="Arial" w:cs="Arial"/>
          <w:spacing w:val="-5"/>
          <w:w w:val="105"/>
          <w:sz w:val="20"/>
          <w:szCs w:val="20"/>
        </w:rPr>
        <w:t xml:space="preserve"> </w:t>
      </w:r>
      <w:r>
        <w:rPr>
          <w:rFonts w:ascii="Arial" w:hAnsi="Arial" w:cs="Arial"/>
          <w:w w:val="105"/>
          <w:sz w:val="20"/>
          <w:szCs w:val="20"/>
        </w:rPr>
        <w:t>of</w:t>
      </w:r>
      <w:r>
        <w:rPr>
          <w:rFonts w:ascii="Arial" w:hAnsi="Arial" w:cs="Arial"/>
          <w:spacing w:val="-4"/>
          <w:w w:val="105"/>
          <w:sz w:val="20"/>
          <w:szCs w:val="20"/>
        </w:rPr>
        <w:t xml:space="preserve"> </w:t>
      </w:r>
      <w:r>
        <w:rPr>
          <w:rFonts w:ascii="Arial" w:hAnsi="Arial" w:cs="Arial"/>
          <w:w w:val="105"/>
          <w:sz w:val="20"/>
          <w:szCs w:val="20"/>
        </w:rPr>
        <w:t>each</w:t>
      </w:r>
      <w:r>
        <w:rPr>
          <w:rFonts w:ascii="Arial" w:hAnsi="Arial" w:cs="Arial"/>
          <w:spacing w:val="-1"/>
          <w:w w:val="105"/>
          <w:sz w:val="20"/>
          <w:szCs w:val="20"/>
        </w:rPr>
        <w:t xml:space="preserve"> </w:t>
      </w:r>
      <w:r>
        <w:rPr>
          <w:rFonts w:ascii="Arial" w:hAnsi="Arial" w:cs="Arial"/>
          <w:w w:val="105"/>
          <w:sz w:val="20"/>
          <w:szCs w:val="20"/>
        </w:rPr>
        <w:t>month,</w:t>
      </w:r>
      <w:r>
        <w:rPr>
          <w:rFonts w:ascii="Arial" w:hAnsi="Arial" w:cs="Arial"/>
          <w:spacing w:val="7"/>
          <w:w w:val="105"/>
          <w:sz w:val="20"/>
          <w:szCs w:val="20"/>
        </w:rPr>
        <w:t xml:space="preserve"> </w:t>
      </w:r>
      <w:r>
        <w:rPr>
          <w:rFonts w:ascii="Arial" w:hAnsi="Arial" w:cs="Arial"/>
          <w:w w:val="105"/>
          <w:sz w:val="20"/>
          <w:szCs w:val="20"/>
        </w:rPr>
        <w:t>be</w:t>
      </w:r>
      <w:r>
        <w:rPr>
          <w:rFonts w:ascii="Arial" w:hAnsi="Arial" w:cs="Arial"/>
          <w:spacing w:val="-14"/>
          <w:w w:val="105"/>
          <w:sz w:val="20"/>
          <w:szCs w:val="20"/>
        </w:rPr>
        <w:t xml:space="preserve"> </w:t>
      </w:r>
      <w:r>
        <w:rPr>
          <w:rFonts w:ascii="Arial" w:hAnsi="Arial" w:cs="Arial"/>
          <w:w w:val="105"/>
          <w:sz w:val="20"/>
          <w:szCs w:val="20"/>
        </w:rPr>
        <w:t>able</w:t>
      </w:r>
      <w:r>
        <w:rPr>
          <w:rFonts w:ascii="Arial" w:hAnsi="Arial" w:cs="Arial"/>
          <w:spacing w:val="-15"/>
          <w:w w:val="105"/>
          <w:sz w:val="20"/>
          <w:szCs w:val="20"/>
        </w:rPr>
        <w:t xml:space="preserve"> </w:t>
      </w:r>
      <w:r>
        <w:rPr>
          <w:rFonts w:ascii="Arial" w:hAnsi="Arial" w:cs="Arial"/>
          <w:w w:val="105"/>
          <w:sz w:val="20"/>
          <w:szCs w:val="20"/>
        </w:rPr>
        <w:t xml:space="preserve">to </w:t>
      </w:r>
      <w:r>
        <w:rPr>
          <w:rFonts w:ascii="Arial" w:hAnsi="Arial" w:cs="Arial"/>
          <w:spacing w:val="5"/>
          <w:w w:val="105"/>
          <w:sz w:val="20"/>
          <w:szCs w:val="20"/>
        </w:rPr>
        <w:t xml:space="preserve">join </w:t>
      </w:r>
      <w:r>
        <w:rPr>
          <w:rFonts w:ascii="Arial" w:hAnsi="Arial" w:cs="Arial"/>
          <w:w w:val="105"/>
          <w:sz w:val="20"/>
          <w:szCs w:val="20"/>
        </w:rPr>
        <w:t>another ACO or leave the ACO system and receive services through the fee-for-service system.</w:t>
      </w:r>
    </w:p>
    <w:p w:rsidR="002C5025" w:rsidRDefault="002C5025">
      <w:pPr>
        <w:pStyle w:val="BodyText"/>
        <w:kinsoku w:val="0"/>
        <w:overflowPunct w:val="0"/>
        <w:spacing w:line="236" w:lineRule="exact"/>
        <w:ind w:left="1195" w:right="355"/>
        <w:rPr>
          <w:rFonts w:ascii="Arial" w:hAnsi="Arial" w:cs="Arial"/>
        </w:rPr>
      </w:pPr>
      <w:r>
        <w:rPr>
          <w:rFonts w:ascii="Arial" w:hAnsi="Arial" w:cs="Arial"/>
          <w:b/>
          <w:bCs/>
        </w:rPr>
        <w:t>,c.</w:t>
      </w:r>
      <w:r>
        <w:rPr>
          <w:rFonts w:ascii="Arial" w:hAnsi="Arial" w:cs="Arial"/>
          <w:b/>
          <w:bCs/>
          <w:spacing w:val="-7"/>
        </w:rPr>
        <w:t xml:space="preserve"> </w:t>
      </w:r>
      <w:r>
        <w:rPr>
          <w:rFonts w:ascii="Arial" w:hAnsi="Arial" w:cs="Arial"/>
          <w:b/>
          <w:bCs/>
        </w:rPr>
        <w:t>An</w:t>
      </w:r>
      <w:r>
        <w:rPr>
          <w:rFonts w:ascii="Arial" w:hAnsi="Arial" w:cs="Arial"/>
          <w:b/>
          <w:bCs/>
          <w:spacing w:val="-35"/>
        </w:rPr>
        <w:t xml:space="preserve"> </w:t>
      </w:r>
      <w:r>
        <w:rPr>
          <w:rFonts w:ascii="Arial" w:hAnsi="Arial" w:cs="Arial"/>
          <w:b/>
          <w:bCs/>
        </w:rPr>
        <w:t>independent,</w:t>
      </w:r>
      <w:r>
        <w:rPr>
          <w:rFonts w:ascii="Arial" w:hAnsi="Arial" w:cs="Arial"/>
          <w:b/>
          <w:bCs/>
          <w:spacing w:val="-33"/>
        </w:rPr>
        <w:t xml:space="preserve"> </w:t>
      </w:r>
      <w:r>
        <w:rPr>
          <w:rFonts w:ascii="Arial" w:hAnsi="Arial" w:cs="Arial"/>
          <w:b/>
          <w:bCs/>
        </w:rPr>
        <w:t>conflict-free</w:t>
      </w:r>
      <w:r>
        <w:rPr>
          <w:rFonts w:ascii="Arial" w:hAnsi="Arial" w:cs="Arial"/>
          <w:b/>
          <w:bCs/>
          <w:spacing w:val="-33"/>
        </w:rPr>
        <w:t xml:space="preserve"> </w:t>
      </w:r>
      <w:r>
        <w:rPr>
          <w:rFonts w:ascii="Arial" w:hAnsi="Arial" w:cs="Arial"/>
          <w:b/>
          <w:bCs/>
        </w:rPr>
        <w:t>case</w:t>
      </w:r>
      <w:r>
        <w:rPr>
          <w:rFonts w:ascii="Arial" w:hAnsi="Arial" w:cs="Arial"/>
          <w:b/>
          <w:bCs/>
          <w:spacing w:val="-42"/>
        </w:rPr>
        <w:t xml:space="preserve"> </w:t>
      </w:r>
      <w:r>
        <w:rPr>
          <w:rFonts w:ascii="Arial" w:hAnsi="Arial" w:cs="Arial"/>
          <w:b/>
          <w:bCs/>
        </w:rPr>
        <w:t>manager</w:t>
      </w:r>
      <w:r>
        <w:rPr>
          <w:rFonts w:ascii="Arial" w:hAnsi="Arial" w:cs="Arial"/>
          <w:b/>
          <w:bCs/>
          <w:spacing w:val="-40"/>
        </w:rPr>
        <w:t xml:space="preserve"> </w:t>
      </w:r>
      <w:r>
        <w:rPr>
          <w:rFonts w:ascii="Arial" w:hAnsi="Arial" w:cs="Arial"/>
          <w:b/>
          <w:bCs/>
        </w:rPr>
        <w:t>or</w:t>
      </w:r>
      <w:r>
        <w:rPr>
          <w:rFonts w:ascii="Arial" w:hAnsi="Arial" w:cs="Arial"/>
          <w:b/>
          <w:bCs/>
          <w:spacing w:val="-42"/>
        </w:rPr>
        <w:t xml:space="preserve"> </w:t>
      </w:r>
      <w:r>
        <w:rPr>
          <w:rFonts w:ascii="Arial" w:hAnsi="Arial" w:cs="Arial"/>
          <w:b/>
          <w:bCs/>
        </w:rPr>
        <w:t>service</w:t>
      </w:r>
      <w:r>
        <w:rPr>
          <w:rFonts w:ascii="Arial" w:hAnsi="Arial" w:cs="Arial"/>
          <w:b/>
          <w:bCs/>
          <w:spacing w:val="-39"/>
        </w:rPr>
        <w:t xml:space="preserve"> </w:t>
      </w:r>
      <w:r>
        <w:rPr>
          <w:rFonts w:ascii="Arial" w:hAnsi="Arial" w:cs="Arial"/>
          <w:b/>
          <w:bCs/>
        </w:rPr>
        <w:t>coordinator</w:t>
      </w:r>
      <w:r>
        <w:rPr>
          <w:rFonts w:ascii="Arial" w:hAnsi="Arial" w:cs="Arial"/>
          <w:b/>
          <w:bCs/>
          <w:spacing w:val="-39"/>
        </w:rPr>
        <w:t xml:space="preserve"> </w:t>
      </w:r>
      <w:r>
        <w:rPr>
          <w:rFonts w:ascii="Arial" w:hAnsi="Arial" w:cs="Arial"/>
          <w:b/>
          <w:bCs/>
        </w:rPr>
        <w:t>for</w:t>
      </w:r>
      <w:r>
        <w:rPr>
          <w:rFonts w:ascii="Arial" w:hAnsi="Arial" w:cs="Arial"/>
          <w:b/>
          <w:bCs/>
          <w:spacing w:val="-40"/>
        </w:rPr>
        <w:t xml:space="preserve"> </w:t>
      </w:r>
      <w:r>
        <w:rPr>
          <w:rFonts w:ascii="Arial" w:hAnsi="Arial" w:cs="Arial"/>
          <w:b/>
          <w:bCs/>
          <w:spacing w:val="-7"/>
        </w:rPr>
        <w:t>an</w:t>
      </w:r>
      <w:r>
        <w:rPr>
          <w:rFonts w:ascii="Arial" w:hAnsi="Arial" w:cs="Arial"/>
          <w:b/>
          <w:bCs/>
          <w:spacing w:val="-47"/>
        </w:rPr>
        <w:t xml:space="preserve"> </w:t>
      </w:r>
      <w:r>
        <w:rPr>
          <w:rFonts w:ascii="Arial" w:hAnsi="Arial" w:cs="Arial"/>
          <w:b/>
          <w:bCs/>
        </w:rPr>
        <w:t>enrollees</w:t>
      </w:r>
      <w:r>
        <w:rPr>
          <w:rFonts w:ascii="Arial" w:hAnsi="Arial" w:cs="Arial"/>
          <w:b/>
          <w:bCs/>
          <w:spacing w:val="-33"/>
        </w:rPr>
        <w:t xml:space="preserve"> </w:t>
      </w:r>
      <w:r>
        <w:rPr>
          <w:rFonts w:ascii="Arial" w:hAnsi="Arial" w:cs="Arial"/>
          <w:b/>
          <w:bCs/>
        </w:rPr>
        <w:t>in</w:t>
      </w:r>
      <w:r>
        <w:rPr>
          <w:rFonts w:ascii="Arial" w:hAnsi="Arial" w:cs="Arial"/>
          <w:b/>
          <w:bCs/>
          <w:spacing w:val="-46"/>
        </w:rPr>
        <w:t xml:space="preserve"> </w:t>
      </w:r>
      <w:r>
        <w:rPr>
          <w:rFonts w:ascii="Arial" w:hAnsi="Arial" w:cs="Arial"/>
        </w:rPr>
        <w:t>.</w:t>
      </w:r>
    </w:p>
    <w:p w:rsidR="002C5025" w:rsidRDefault="002C5025">
      <w:pPr>
        <w:pStyle w:val="BodyText"/>
        <w:kinsoku w:val="0"/>
        <w:overflowPunct w:val="0"/>
        <w:spacing w:before="28"/>
        <w:ind w:left="1526" w:right="355"/>
        <w:rPr>
          <w:rFonts w:ascii="Arial" w:hAnsi="Arial" w:cs="Arial"/>
          <w:w w:val="70"/>
        </w:rPr>
      </w:pPr>
      <w:r>
        <w:rPr>
          <w:rFonts w:ascii="Arial" w:hAnsi="Arial" w:cs="Arial"/>
          <w:b/>
          <w:bCs/>
          <w:w w:val="90"/>
        </w:rPr>
        <w:t xml:space="preserve">AC:Q_s </w:t>
      </w:r>
      <w:r>
        <w:rPr>
          <w:rFonts w:ascii="Arial" w:hAnsi="Arial" w:cs="Arial"/>
          <w:b/>
          <w:bCs/>
        </w:rPr>
        <w:t xml:space="preserve">,md </w:t>
      </w:r>
      <w:r>
        <w:rPr>
          <w:rFonts w:ascii="Arial" w:hAnsi="Arial" w:cs="Arial"/>
          <w:b/>
          <w:bCs/>
          <w:w w:val="90"/>
        </w:rPr>
        <w:t xml:space="preserve">health homes. </w:t>
      </w:r>
      <w:r>
        <w:rPr>
          <w:rFonts w:ascii="Arial" w:hAnsi="Arial" w:cs="Arial"/>
          <w:w w:val="70"/>
        </w:rPr>
        <w:t>:</w:t>
      </w:r>
    </w:p>
    <w:p w:rsidR="002C5025" w:rsidRDefault="002C5025">
      <w:pPr>
        <w:pStyle w:val="ListParagraph"/>
        <w:numPr>
          <w:ilvl w:val="0"/>
          <w:numId w:val="42"/>
        </w:numPr>
        <w:tabs>
          <w:tab w:val="left" w:pos="1527"/>
        </w:tabs>
        <w:kinsoku w:val="0"/>
        <w:overflowPunct w:val="0"/>
        <w:spacing w:before="46" w:line="285" w:lineRule="auto"/>
        <w:ind w:right="545" w:hanging="345"/>
        <w:rPr>
          <w:rFonts w:ascii="Arial" w:hAnsi="Arial" w:cs="Arial"/>
          <w:w w:val="105"/>
          <w:sz w:val="20"/>
          <w:szCs w:val="20"/>
        </w:rPr>
      </w:pPr>
      <w:r>
        <w:rPr>
          <w:rFonts w:ascii="Arial" w:hAnsi="Arial" w:cs="Arial"/>
          <w:w w:val="105"/>
          <w:sz w:val="20"/>
          <w:szCs w:val="20"/>
        </w:rPr>
        <w:t>A care coordinator function carried out by the person of the consumer's choosing- and not necessarily</w:t>
      </w:r>
      <w:r>
        <w:rPr>
          <w:rFonts w:ascii="Arial" w:hAnsi="Arial" w:cs="Arial"/>
          <w:spacing w:val="-21"/>
          <w:w w:val="105"/>
          <w:sz w:val="20"/>
          <w:szCs w:val="20"/>
        </w:rPr>
        <w:t xml:space="preserve"> </w:t>
      </w:r>
      <w:r>
        <w:rPr>
          <w:rFonts w:ascii="Arial" w:hAnsi="Arial" w:cs="Arial"/>
          <w:w w:val="105"/>
          <w:sz w:val="20"/>
          <w:szCs w:val="20"/>
        </w:rPr>
        <w:t>a</w:t>
      </w:r>
      <w:r>
        <w:rPr>
          <w:rFonts w:ascii="Arial" w:hAnsi="Arial" w:cs="Arial"/>
          <w:spacing w:val="-12"/>
          <w:w w:val="105"/>
          <w:sz w:val="20"/>
          <w:szCs w:val="20"/>
        </w:rPr>
        <w:t xml:space="preserve"> </w:t>
      </w:r>
      <w:r>
        <w:rPr>
          <w:rFonts w:ascii="Arial" w:hAnsi="Arial" w:cs="Arial"/>
          <w:w w:val="105"/>
          <w:sz w:val="20"/>
          <w:szCs w:val="20"/>
        </w:rPr>
        <w:t>primary</w:t>
      </w:r>
      <w:r>
        <w:rPr>
          <w:rFonts w:ascii="Arial" w:hAnsi="Arial" w:cs="Arial"/>
          <w:spacing w:val="-9"/>
          <w:w w:val="105"/>
          <w:sz w:val="20"/>
          <w:szCs w:val="20"/>
        </w:rPr>
        <w:t xml:space="preserve"> </w:t>
      </w:r>
      <w:r>
        <w:rPr>
          <w:rFonts w:ascii="Arial" w:hAnsi="Arial" w:cs="Arial"/>
          <w:w w:val="105"/>
          <w:sz w:val="20"/>
          <w:szCs w:val="20"/>
        </w:rPr>
        <w:t>care</w:t>
      </w:r>
      <w:r>
        <w:rPr>
          <w:rFonts w:ascii="Arial" w:hAnsi="Arial" w:cs="Arial"/>
          <w:spacing w:val="-13"/>
          <w:w w:val="105"/>
          <w:sz w:val="20"/>
          <w:szCs w:val="20"/>
        </w:rPr>
        <w:t xml:space="preserve"> </w:t>
      </w:r>
      <w:r>
        <w:rPr>
          <w:rFonts w:ascii="Arial" w:hAnsi="Arial" w:cs="Arial"/>
          <w:w w:val="105"/>
          <w:sz w:val="20"/>
          <w:szCs w:val="20"/>
        </w:rPr>
        <w:t>doctor.</w:t>
      </w:r>
    </w:p>
    <w:p w:rsidR="002C5025" w:rsidRDefault="002C5025">
      <w:pPr>
        <w:pStyle w:val="ListParagraph"/>
        <w:numPr>
          <w:ilvl w:val="0"/>
          <w:numId w:val="42"/>
        </w:numPr>
        <w:tabs>
          <w:tab w:val="left" w:pos="1527"/>
        </w:tabs>
        <w:kinsoku w:val="0"/>
        <w:overflowPunct w:val="0"/>
        <w:spacing w:before="8" w:line="292" w:lineRule="auto"/>
        <w:ind w:left="1533" w:right="112" w:hanging="338"/>
        <w:rPr>
          <w:rFonts w:ascii="Arial" w:hAnsi="Arial" w:cs="Arial"/>
          <w:w w:val="105"/>
          <w:sz w:val="20"/>
          <w:szCs w:val="20"/>
        </w:rPr>
      </w:pPr>
      <w:r>
        <w:rPr>
          <w:rFonts w:ascii="Arial" w:hAnsi="Arial" w:cs="Arial"/>
          <w:w w:val="105"/>
          <w:sz w:val="20"/>
          <w:szCs w:val="20"/>
        </w:rPr>
        <w:t>All providers outside the ACO network through single-case agreements to support continuity of care</w:t>
      </w:r>
      <w:r>
        <w:rPr>
          <w:rFonts w:ascii="Arial" w:hAnsi="Arial" w:cs="Arial"/>
          <w:spacing w:val="2"/>
          <w:w w:val="105"/>
          <w:sz w:val="20"/>
          <w:szCs w:val="20"/>
        </w:rPr>
        <w:t xml:space="preserve"> </w:t>
      </w:r>
      <w:r>
        <w:rPr>
          <w:rFonts w:ascii="Arial" w:hAnsi="Arial" w:cs="Arial"/>
          <w:w w:val="105"/>
          <w:sz w:val="20"/>
          <w:szCs w:val="20"/>
        </w:rPr>
        <w:t>and</w:t>
      </w:r>
      <w:r>
        <w:rPr>
          <w:rFonts w:ascii="Arial" w:hAnsi="Arial" w:cs="Arial"/>
          <w:spacing w:val="-5"/>
          <w:w w:val="105"/>
          <w:sz w:val="20"/>
          <w:szCs w:val="20"/>
        </w:rPr>
        <w:t xml:space="preserve"> </w:t>
      </w:r>
      <w:r>
        <w:rPr>
          <w:rFonts w:ascii="Arial" w:hAnsi="Arial" w:cs="Arial"/>
          <w:w w:val="105"/>
          <w:sz w:val="20"/>
          <w:szCs w:val="20"/>
        </w:rPr>
        <w:t>access</w:t>
      </w:r>
      <w:r>
        <w:rPr>
          <w:rFonts w:ascii="Arial" w:hAnsi="Arial" w:cs="Arial"/>
          <w:spacing w:val="-5"/>
          <w:w w:val="105"/>
          <w:sz w:val="20"/>
          <w:szCs w:val="20"/>
        </w:rPr>
        <w:t xml:space="preserve"> </w:t>
      </w:r>
      <w:r>
        <w:rPr>
          <w:rFonts w:ascii="Arial" w:hAnsi="Arial" w:cs="Arial"/>
          <w:w w:val="105"/>
          <w:sz w:val="20"/>
          <w:szCs w:val="20"/>
        </w:rPr>
        <w:t>to</w:t>
      </w:r>
      <w:r>
        <w:rPr>
          <w:rFonts w:ascii="Arial" w:hAnsi="Arial" w:cs="Arial"/>
          <w:spacing w:val="-4"/>
          <w:w w:val="105"/>
          <w:sz w:val="20"/>
          <w:szCs w:val="20"/>
        </w:rPr>
        <w:t xml:space="preserve"> </w:t>
      </w:r>
      <w:r>
        <w:rPr>
          <w:rFonts w:ascii="Arial" w:hAnsi="Arial" w:cs="Arial"/>
          <w:w w:val="105"/>
          <w:sz w:val="20"/>
          <w:szCs w:val="20"/>
        </w:rPr>
        <w:t>expertise</w:t>
      </w:r>
      <w:r>
        <w:rPr>
          <w:rFonts w:ascii="Arial" w:hAnsi="Arial" w:cs="Arial"/>
          <w:spacing w:val="-4"/>
          <w:w w:val="105"/>
          <w:sz w:val="20"/>
          <w:szCs w:val="20"/>
        </w:rPr>
        <w:t xml:space="preserve"> </w:t>
      </w:r>
      <w:r>
        <w:rPr>
          <w:rFonts w:ascii="Arial" w:hAnsi="Arial" w:cs="Arial"/>
          <w:w w:val="105"/>
          <w:sz w:val="20"/>
          <w:szCs w:val="20"/>
        </w:rPr>
        <w:t>that</w:t>
      </w:r>
      <w:r>
        <w:rPr>
          <w:rFonts w:ascii="Arial" w:hAnsi="Arial" w:cs="Arial"/>
          <w:spacing w:val="4"/>
          <w:w w:val="105"/>
          <w:sz w:val="20"/>
          <w:szCs w:val="20"/>
        </w:rPr>
        <w:t xml:space="preserve"> </w:t>
      </w:r>
      <w:r>
        <w:rPr>
          <w:rFonts w:ascii="Arial" w:hAnsi="Arial" w:cs="Arial"/>
          <w:w w:val="105"/>
          <w:sz w:val="20"/>
          <w:szCs w:val="20"/>
        </w:rPr>
        <w:t>may</w:t>
      </w:r>
      <w:r>
        <w:rPr>
          <w:rFonts w:ascii="Arial" w:hAnsi="Arial" w:cs="Arial"/>
          <w:spacing w:val="-4"/>
          <w:w w:val="105"/>
          <w:sz w:val="20"/>
          <w:szCs w:val="20"/>
        </w:rPr>
        <w:t xml:space="preserve"> </w:t>
      </w:r>
      <w:r>
        <w:rPr>
          <w:rFonts w:ascii="Arial" w:hAnsi="Arial" w:cs="Arial"/>
          <w:w w:val="105"/>
          <w:sz w:val="20"/>
          <w:szCs w:val="20"/>
        </w:rPr>
        <w:t>not</w:t>
      </w:r>
      <w:r>
        <w:rPr>
          <w:rFonts w:ascii="Arial" w:hAnsi="Arial" w:cs="Arial"/>
          <w:spacing w:val="-19"/>
          <w:w w:val="105"/>
          <w:sz w:val="20"/>
          <w:szCs w:val="20"/>
        </w:rPr>
        <w:t xml:space="preserve"> </w:t>
      </w:r>
      <w:r>
        <w:rPr>
          <w:rFonts w:ascii="Arial" w:hAnsi="Arial" w:cs="Arial"/>
          <w:w w:val="105"/>
          <w:sz w:val="20"/>
          <w:szCs w:val="20"/>
        </w:rPr>
        <w:t>exist</w:t>
      </w:r>
      <w:r>
        <w:rPr>
          <w:rFonts w:ascii="Arial" w:hAnsi="Arial" w:cs="Arial"/>
          <w:spacing w:val="-17"/>
          <w:w w:val="105"/>
          <w:sz w:val="20"/>
          <w:szCs w:val="20"/>
        </w:rPr>
        <w:t xml:space="preserve"> </w:t>
      </w:r>
      <w:r>
        <w:rPr>
          <w:rFonts w:ascii="Arial" w:hAnsi="Arial" w:cs="Arial"/>
          <w:w w:val="105"/>
          <w:sz w:val="20"/>
          <w:szCs w:val="20"/>
        </w:rPr>
        <w:t>within</w:t>
      </w:r>
      <w:r>
        <w:rPr>
          <w:rFonts w:ascii="Arial" w:hAnsi="Arial" w:cs="Arial"/>
          <w:spacing w:val="5"/>
          <w:w w:val="105"/>
          <w:sz w:val="20"/>
          <w:szCs w:val="20"/>
        </w:rPr>
        <w:t xml:space="preserve"> </w:t>
      </w:r>
      <w:r>
        <w:rPr>
          <w:rFonts w:ascii="Arial" w:hAnsi="Arial" w:cs="Arial"/>
          <w:w w:val="105"/>
          <w:sz w:val="20"/>
          <w:szCs w:val="20"/>
        </w:rPr>
        <w:t>a</w:t>
      </w:r>
      <w:r>
        <w:rPr>
          <w:rFonts w:ascii="Arial" w:hAnsi="Arial" w:cs="Arial"/>
          <w:spacing w:val="-10"/>
          <w:w w:val="105"/>
          <w:sz w:val="20"/>
          <w:szCs w:val="20"/>
        </w:rPr>
        <w:t xml:space="preserve"> </w:t>
      </w:r>
      <w:r>
        <w:rPr>
          <w:rFonts w:ascii="Arial" w:hAnsi="Arial" w:cs="Arial"/>
          <w:w w:val="105"/>
          <w:sz w:val="20"/>
          <w:szCs w:val="20"/>
        </w:rPr>
        <w:t>network,</w:t>
      </w:r>
      <w:r>
        <w:rPr>
          <w:rFonts w:ascii="Arial" w:hAnsi="Arial" w:cs="Arial"/>
          <w:spacing w:val="2"/>
          <w:w w:val="105"/>
          <w:sz w:val="20"/>
          <w:szCs w:val="20"/>
        </w:rPr>
        <w:t xml:space="preserve"> </w:t>
      </w:r>
      <w:r>
        <w:rPr>
          <w:rFonts w:ascii="Arial" w:hAnsi="Arial" w:cs="Arial"/>
          <w:w w:val="105"/>
          <w:sz w:val="20"/>
          <w:szCs w:val="20"/>
        </w:rPr>
        <w:t>ensuring</w:t>
      </w:r>
      <w:r>
        <w:rPr>
          <w:rFonts w:ascii="Arial" w:hAnsi="Arial" w:cs="Arial"/>
          <w:spacing w:val="-2"/>
          <w:w w:val="105"/>
          <w:sz w:val="20"/>
          <w:szCs w:val="20"/>
        </w:rPr>
        <w:t xml:space="preserve"> </w:t>
      </w:r>
      <w:r>
        <w:rPr>
          <w:rFonts w:ascii="Arial" w:hAnsi="Arial" w:cs="Arial"/>
          <w:w w:val="105"/>
          <w:sz w:val="20"/>
          <w:szCs w:val="20"/>
        </w:rPr>
        <w:t>that</w:t>
      </w:r>
      <w:r>
        <w:rPr>
          <w:rFonts w:ascii="Arial" w:hAnsi="Arial" w:cs="Arial"/>
          <w:spacing w:val="-9"/>
          <w:w w:val="105"/>
          <w:sz w:val="20"/>
          <w:szCs w:val="20"/>
        </w:rPr>
        <w:t xml:space="preserve"> </w:t>
      </w:r>
      <w:r>
        <w:rPr>
          <w:rFonts w:ascii="Arial" w:hAnsi="Arial" w:cs="Arial"/>
          <w:w w:val="105"/>
          <w:sz w:val="20"/>
          <w:szCs w:val="20"/>
        </w:rPr>
        <w:t>the</w:t>
      </w:r>
      <w:r>
        <w:rPr>
          <w:rFonts w:ascii="Arial" w:hAnsi="Arial" w:cs="Arial"/>
          <w:spacing w:val="-4"/>
          <w:w w:val="105"/>
          <w:sz w:val="20"/>
          <w:szCs w:val="20"/>
        </w:rPr>
        <w:t xml:space="preserve"> </w:t>
      </w:r>
      <w:r>
        <w:rPr>
          <w:rFonts w:ascii="Arial" w:hAnsi="Arial" w:cs="Arial"/>
          <w:w w:val="105"/>
          <w:sz w:val="20"/>
          <w:szCs w:val="20"/>
        </w:rPr>
        <w:t>complexity</w:t>
      </w:r>
      <w:r>
        <w:rPr>
          <w:rFonts w:ascii="Arial" w:hAnsi="Arial" w:cs="Arial"/>
          <w:spacing w:val="1"/>
          <w:w w:val="105"/>
          <w:sz w:val="20"/>
          <w:szCs w:val="20"/>
        </w:rPr>
        <w:t xml:space="preserve"> </w:t>
      </w:r>
      <w:r>
        <w:rPr>
          <w:rFonts w:ascii="Arial" w:hAnsi="Arial" w:cs="Arial"/>
          <w:w w:val="105"/>
          <w:sz w:val="20"/>
          <w:szCs w:val="20"/>
        </w:rPr>
        <w:t xml:space="preserve">of a person's needs and/or </w:t>
      </w:r>
      <w:r>
        <w:rPr>
          <w:rFonts w:ascii="Arial" w:hAnsi="Arial" w:cs="Arial"/>
          <w:spacing w:val="-8"/>
          <w:w w:val="105"/>
          <w:sz w:val="20"/>
          <w:szCs w:val="20"/>
        </w:rPr>
        <w:t xml:space="preserve">lack </w:t>
      </w:r>
      <w:r>
        <w:rPr>
          <w:rFonts w:ascii="Arial" w:hAnsi="Arial" w:cs="Arial"/>
          <w:w w:val="105"/>
          <w:sz w:val="20"/>
          <w:szCs w:val="20"/>
        </w:rPr>
        <w:t xml:space="preserve">of choice of specialists within a geographic area </w:t>
      </w:r>
      <w:r>
        <w:rPr>
          <w:rFonts w:ascii="Arial" w:hAnsi="Arial" w:cs="Arial"/>
          <w:spacing w:val="-15"/>
          <w:w w:val="105"/>
          <w:sz w:val="20"/>
          <w:szCs w:val="20"/>
        </w:rPr>
        <w:t xml:space="preserve">is </w:t>
      </w:r>
      <w:r>
        <w:rPr>
          <w:rFonts w:ascii="Arial" w:hAnsi="Arial" w:cs="Arial"/>
          <w:w w:val="105"/>
          <w:sz w:val="20"/>
          <w:szCs w:val="20"/>
        </w:rPr>
        <w:t>not a barrier to care or</w:t>
      </w:r>
      <w:r>
        <w:rPr>
          <w:rFonts w:ascii="Arial" w:hAnsi="Arial" w:cs="Arial"/>
          <w:spacing w:val="-29"/>
          <w:w w:val="105"/>
          <w:sz w:val="20"/>
          <w:szCs w:val="20"/>
        </w:rPr>
        <w:t xml:space="preserve"> </w:t>
      </w:r>
      <w:r>
        <w:rPr>
          <w:rFonts w:ascii="Arial" w:hAnsi="Arial" w:cs="Arial"/>
          <w:w w:val="105"/>
          <w:sz w:val="20"/>
          <w:szCs w:val="20"/>
        </w:rPr>
        <w:t>service.</w:t>
      </w:r>
    </w:p>
    <w:p w:rsidR="002C5025" w:rsidRDefault="002C5025">
      <w:pPr>
        <w:pStyle w:val="ListParagraph"/>
        <w:numPr>
          <w:ilvl w:val="0"/>
          <w:numId w:val="42"/>
        </w:numPr>
        <w:tabs>
          <w:tab w:val="left" w:pos="1534"/>
        </w:tabs>
        <w:kinsoku w:val="0"/>
        <w:overflowPunct w:val="0"/>
        <w:spacing w:before="1" w:line="290" w:lineRule="auto"/>
        <w:ind w:left="1526" w:right="128" w:hanging="338"/>
        <w:rPr>
          <w:rFonts w:ascii="Arial" w:hAnsi="Arial" w:cs="Arial"/>
          <w:w w:val="105"/>
          <w:sz w:val="20"/>
          <w:szCs w:val="20"/>
        </w:rPr>
      </w:pPr>
      <w:r>
        <w:rPr>
          <w:rFonts w:ascii="Arial" w:hAnsi="Arial" w:cs="Arial"/>
          <w:w w:val="105"/>
          <w:sz w:val="20"/>
          <w:szCs w:val="20"/>
        </w:rPr>
        <w:t>In-person</w:t>
      </w:r>
      <w:r>
        <w:rPr>
          <w:rFonts w:ascii="Arial" w:hAnsi="Arial" w:cs="Arial"/>
          <w:spacing w:val="-5"/>
          <w:w w:val="105"/>
          <w:sz w:val="20"/>
          <w:szCs w:val="20"/>
        </w:rPr>
        <w:t xml:space="preserve"> </w:t>
      </w:r>
      <w:r>
        <w:rPr>
          <w:rFonts w:ascii="Arial" w:hAnsi="Arial" w:cs="Arial"/>
          <w:w w:val="105"/>
          <w:sz w:val="20"/>
          <w:szCs w:val="20"/>
        </w:rPr>
        <w:t>comprehensive</w:t>
      </w:r>
      <w:r>
        <w:rPr>
          <w:rFonts w:ascii="Arial" w:hAnsi="Arial" w:cs="Arial"/>
          <w:spacing w:val="-6"/>
          <w:w w:val="105"/>
          <w:sz w:val="20"/>
          <w:szCs w:val="20"/>
        </w:rPr>
        <w:t xml:space="preserve"> </w:t>
      </w:r>
      <w:r>
        <w:rPr>
          <w:rFonts w:ascii="Arial" w:hAnsi="Arial" w:cs="Arial"/>
          <w:w w:val="105"/>
          <w:sz w:val="20"/>
          <w:szCs w:val="20"/>
        </w:rPr>
        <w:t>assessment</w:t>
      </w:r>
      <w:r>
        <w:rPr>
          <w:rFonts w:ascii="Arial" w:hAnsi="Arial" w:cs="Arial"/>
          <w:spacing w:val="5"/>
          <w:w w:val="105"/>
          <w:sz w:val="20"/>
          <w:szCs w:val="20"/>
        </w:rPr>
        <w:t xml:space="preserve"> </w:t>
      </w:r>
      <w:r>
        <w:rPr>
          <w:rFonts w:ascii="Arial" w:hAnsi="Arial" w:cs="Arial"/>
          <w:w w:val="105"/>
          <w:sz w:val="20"/>
          <w:szCs w:val="20"/>
        </w:rPr>
        <w:t>of</w:t>
      </w:r>
      <w:r>
        <w:rPr>
          <w:rFonts w:ascii="Arial" w:hAnsi="Arial" w:cs="Arial"/>
          <w:spacing w:val="-8"/>
          <w:w w:val="105"/>
          <w:sz w:val="20"/>
          <w:szCs w:val="20"/>
        </w:rPr>
        <w:t xml:space="preserve"> </w:t>
      </w:r>
      <w:r>
        <w:rPr>
          <w:rFonts w:ascii="Arial" w:hAnsi="Arial" w:cs="Arial"/>
          <w:w w:val="105"/>
          <w:sz w:val="20"/>
          <w:szCs w:val="20"/>
        </w:rPr>
        <w:t>enrollee</w:t>
      </w:r>
      <w:r>
        <w:rPr>
          <w:rFonts w:ascii="Arial" w:hAnsi="Arial" w:cs="Arial"/>
          <w:spacing w:val="2"/>
          <w:w w:val="105"/>
          <w:sz w:val="20"/>
          <w:szCs w:val="20"/>
        </w:rPr>
        <w:t xml:space="preserve"> </w:t>
      </w:r>
      <w:r>
        <w:rPr>
          <w:rFonts w:ascii="Arial" w:hAnsi="Arial" w:cs="Arial"/>
          <w:w w:val="105"/>
          <w:sz w:val="20"/>
          <w:szCs w:val="20"/>
        </w:rPr>
        <w:t>needs</w:t>
      </w:r>
      <w:r>
        <w:rPr>
          <w:rFonts w:ascii="Arial" w:hAnsi="Arial" w:cs="Arial"/>
          <w:spacing w:val="-13"/>
          <w:w w:val="105"/>
          <w:sz w:val="20"/>
          <w:szCs w:val="20"/>
        </w:rPr>
        <w:t xml:space="preserve"> </w:t>
      </w:r>
      <w:r>
        <w:rPr>
          <w:rFonts w:ascii="Arial" w:hAnsi="Arial" w:cs="Arial"/>
          <w:w w:val="105"/>
          <w:sz w:val="20"/>
          <w:szCs w:val="20"/>
        </w:rPr>
        <w:t>within</w:t>
      </w:r>
      <w:r>
        <w:rPr>
          <w:rFonts w:ascii="Arial" w:hAnsi="Arial" w:cs="Arial"/>
          <w:spacing w:val="-5"/>
          <w:w w:val="105"/>
          <w:sz w:val="20"/>
          <w:szCs w:val="20"/>
        </w:rPr>
        <w:t xml:space="preserve"> </w:t>
      </w:r>
      <w:r>
        <w:rPr>
          <w:rFonts w:ascii="Arial" w:hAnsi="Arial" w:cs="Arial"/>
          <w:w w:val="105"/>
          <w:sz w:val="20"/>
          <w:szCs w:val="20"/>
        </w:rPr>
        <w:t>30</w:t>
      </w:r>
      <w:r>
        <w:rPr>
          <w:rFonts w:ascii="Arial" w:hAnsi="Arial" w:cs="Arial"/>
          <w:spacing w:val="-12"/>
          <w:w w:val="105"/>
          <w:sz w:val="20"/>
          <w:szCs w:val="20"/>
        </w:rPr>
        <w:t xml:space="preserve"> </w:t>
      </w:r>
      <w:r>
        <w:rPr>
          <w:rFonts w:ascii="Arial" w:hAnsi="Arial" w:cs="Arial"/>
          <w:w w:val="105"/>
          <w:sz w:val="20"/>
          <w:szCs w:val="20"/>
        </w:rPr>
        <w:t>days</w:t>
      </w:r>
      <w:r>
        <w:rPr>
          <w:rFonts w:ascii="Arial" w:hAnsi="Arial" w:cs="Arial"/>
          <w:spacing w:val="-6"/>
          <w:w w:val="105"/>
          <w:sz w:val="20"/>
          <w:szCs w:val="20"/>
        </w:rPr>
        <w:t xml:space="preserve"> </w:t>
      </w:r>
      <w:r>
        <w:rPr>
          <w:rFonts w:ascii="Arial" w:hAnsi="Arial" w:cs="Arial"/>
          <w:w w:val="105"/>
          <w:sz w:val="20"/>
          <w:szCs w:val="20"/>
        </w:rPr>
        <w:t>of</w:t>
      </w:r>
      <w:r>
        <w:rPr>
          <w:rFonts w:ascii="Arial" w:hAnsi="Arial" w:cs="Arial"/>
          <w:spacing w:val="-14"/>
          <w:w w:val="105"/>
          <w:sz w:val="20"/>
          <w:szCs w:val="20"/>
        </w:rPr>
        <w:t xml:space="preserve"> </w:t>
      </w:r>
      <w:r>
        <w:rPr>
          <w:rFonts w:ascii="Arial" w:hAnsi="Arial" w:cs="Arial"/>
          <w:w w:val="105"/>
          <w:sz w:val="20"/>
          <w:szCs w:val="20"/>
        </w:rPr>
        <w:t>enrollment</w:t>
      </w:r>
      <w:r>
        <w:rPr>
          <w:rFonts w:ascii="Arial" w:hAnsi="Arial" w:cs="Arial"/>
          <w:spacing w:val="7"/>
          <w:w w:val="105"/>
          <w:sz w:val="20"/>
          <w:szCs w:val="20"/>
        </w:rPr>
        <w:t xml:space="preserve"> </w:t>
      </w:r>
      <w:r>
        <w:rPr>
          <w:rFonts w:ascii="Arial" w:hAnsi="Arial" w:cs="Arial"/>
          <w:w w:val="105"/>
          <w:sz w:val="20"/>
          <w:szCs w:val="20"/>
        </w:rPr>
        <w:t>in</w:t>
      </w:r>
      <w:r>
        <w:rPr>
          <w:rFonts w:ascii="Arial" w:hAnsi="Arial" w:cs="Arial"/>
          <w:spacing w:val="-8"/>
          <w:w w:val="105"/>
          <w:sz w:val="20"/>
          <w:szCs w:val="20"/>
        </w:rPr>
        <w:t xml:space="preserve"> </w:t>
      </w:r>
      <w:r>
        <w:rPr>
          <w:rFonts w:ascii="Arial" w:hAnsi="Arial" w:cs="Arial"/>
          <w:w w:val="105"/>
          <w:sz w:val="20"/>
          <w:szCs w:val="20"/>
        </w:rPr>
        <w:t>an</w:t>
      </w:r>
      <w:r>
        <w:rPr>
          <w:rFonts w:ascii="Arial" w:hAnsi="Arial" w:cs="Arial"/>
          <w:spacing w:val="-20"/>
          <w:w w:val="105"/>
          <w:sz w:val="20"/>
          <w:szCs w:val="20"/>
        </w:rPr>
        <w:t xml:space="preserve"> </w:t>
      </w:r>
      <w:r>
        <w:rPr>
          <w:rFonts w:ascii="Arial" w:hAnsi="Arial" w:cs="Arial"/>
          <w:w w:val="105"/>
          <w:sz w:val="20"/>
          <w:szCs w:val="20"/>
        </w:rPr>
        <w:t xml:space="preserve">ACO at a </w:t>
      </w:r>
      <w:r>
        <w:rPr>
          <w:rFonts w:ascii="Arial" w:hAnsi="Arial" w:cs="Arial"/>
          <w:spacing w:val="-3"/>
          <w:w w:val="105"/>
          <w:sz w:val="20"/>
          <w:szCs w:val="20"/>
        </w:rPr>
        <w:t xml:space="preserve">place </w:t>
      </w:r>
      <w:r>
        <w:rPr>
          <w:rFonts w:ascii="Arial" w:hAnsi="Arial" w:cs="Arial"/>
          <w:w w:val="105"/>
          <w:sz w:val="20"/>
          <w:szCs w:val="20"/>
        </w:rPr>
        <w:t>of the enrollee's choosing, with preference given to assessments being done in the enrollee's</w:t>
      </w:r>
      <w:r>
        <w:rPr>
          <w:rFonts w:ascii="Arial" w:hAnsi="Arial" w:cs="Arial"/>
          <w:spacing w:val="-11"/>
          <w:w w:val="105"/>
          <w:sz w:val="20"/>
          <w:szCs w:val="20"/>
        </w:rPr>
        <w:t xml:space="preserve"> </w:t>
      </w:r>
      <w:r>
        <w:rPr>
          <w:rFonts w:ascii="Arial" w:hAnsi="Arial" w:cs="Arial"/>
          <w:w w:val="105"/>
          <w:sz w:val="20"/>
          <w:szCs w:val="20"/>
        </w:rPr>
        <w:t>home.</w:t>
      </w:r>
    </w:p>
    <w:p w:rsidR="002C5025" w:rsidRDefault="002C5025">
      <w:pPr>
        <w:pStyle w:val="ListParagraph"/>
        <w:numPr>
          <w:ilvl w:val="0"/>
          <w:numId w:val="42"/>
        </w:numPr>
        <w:tabs>
          <w:tab w:val="left" w:pos="1534"/>
        </w:tabs>
        <w:kinsoku w:val="0"/>
        <w:overflowPunct w:val="0"/>
        <w:spacing w:before="11" w:line="292" w:lineRule="auto"/>
        <w:ind w:left="1526" w:right="880" w:hanging="338"/>
        <w:rPr>
          <w:rFonts w:ascii="Arial" w:hAnsi="Arial" w:cs="Arial"/>
          <w:spacing w:val="-3"/>
          <w:w w:val="105"/>
          <w:sz w:val="20"/>
          <w:szCs w:val="20"/>
        </w:rPr>
      </w:pPr>
      <w:r>
        <w:rPr>
          <w:rFonts w:ascii="Arial" w:hAnsi="Arial" w:cs="Arial"/>
          <w:w w:val="105"/>
          <w:sz w:val="20"/>
          <w:szCs w:val="20"/>
        </w:rPr>
        <w:t xml:space="preserve">Measurable integration of recovery principles and independent </w:t>
      </w:r>
      <w:r>
        <w:rPr>
          <w:rFonts w:ascii="Arial" w:hAnsi="Arial" w:cs="Arial"/>
          <w:spacing w:val="-6"/>
          <w:w w:val="105"/>
          <w:sz w:val="20"/>
          <w:szCs w:val="20"/>
        </w:rPr>
        <w:t xml:space="preserve">living </w:t>
      </w:r>
      <w:r>
        <w:rPr>
          <w:rFonts w:ascii="Arial" w:hAnsi="Arial" w:cs="Arial"/>
          <w:w w:val="105"/>
          <w:sz w:val="20"/>
          <w:szCs w:val="20"/>
        </w:rPr>
        <w:t>philosophy into</w:t>
      </w:r>
      <w:r>
        <w:rPr>
          <w:rFonts w:ascii="Arial" w:hAnsi="Arial" w:cs="Arial"/>
          <w:spacing w:val="-28"/>
          <w:w w:val="105"/>
          <w:sz w:val="20"/>
          <w:szCs w:val="20"/>
        </w:rPr>
        <w:t xml:space="preserve"> </w:t>
      </w:r>
      <w:r>
        <w:rPr>
          <w:rFonts w:ascii="Arial" w:hAnsi="Arial" w:cs="Arial"/>
          <w:w w:val="105"/>
          <w:sz w:val="20"/>
          <w:szCs w:val="20"/>
        </w:rPr>
        <w:t>the development and implementation of care</w:t>
      </w:r>
      <w:r>
        <w:rPr>
          <w:rFonts w:ascii="Arial" w:hAnsi="Arial" w:cs="Arial"/>
          <w:spacing w:val="-32"/>
          <w:w w:val="105"/>
          <w:sz w:val="20"/>
          <w:szCs w:val="20"/>
        </w:rPr>
        <w:t xml:space="preserve"> </w:t>
      </w:r>
      <w:r>
        <w:rPr>
          <w:rFonts w:ascii="Arial" w:hAnsi="Arial" w:cs="Arial"/>
          <w:spacing w:val="-3"/>
          <w:w w:val="105"/>
          <w:sz w:val="20"/>
          <w:szCs w:val="20"/>
        </w:rPr>
        <w:t>plans.</w:t>
      </w:r>
    </w:p>
    <w:p w:rsidR="002C5025" w:rsidRDefault="002C5025">
      <w:pPr>
        <w:pStyle w:val="ListParagraph"/>
        <w:numPr>
          <w:ilvl w:val="0"/>
          <w:numId w:val="42"/>
        </w:numPr>
        <w:tabs>
          <w:tab w:val="left" w:pos="1527"/>
        </w:tabs>
        <w:kinsoku w:val="0"/>
        <w:overflowPunct w:val="0"/>
        <w:spacing w:before="1" w:line="290" w:lineRule="auto"/>
        <w:ind w:left="1526" w:right="545" w:hanging="331"/>
        <w:rPr>
          <w:rFonts w:ascii="Arial" w:hAnsi="Arial" w:cs="Arial"/>
          <w:w w:val="105"/>
          <w:sz w:val="20"/>
          <w:szCs w:val="20"/>
        </w:rPr>
      </w:pPr>
      <w:r>
        <w:rPr>
          <w:rFonts w:ascii="Arial" w:hAnsi="Arial" w:cs="Arial"/>
          <w:w w:val="105"/>
          <w:sz w:val="20"/>
          <w:szCs w:val="20"/>
        </w:rPr>
        <w:t>Control over medical records, including determination of who has access to a consumer's medical</w:t>
      </w:r>
      <w:r>
        <w:rPr>
          <w:rFonts w:ascii="Arial" w:hAnsi="Arial" w:cs="Arial"/>
          <w:spacing w:val="-6"/>
          <w:w w:val="105"/>
          <w:sz w:val="20"/>
          <w:szCs w:val="20"/>
        </w:rPr>
        <w:t xml:space="preserve"> </w:t>
      </w:r>
      <w:r>
        <w:rPr>
          <w:rFonts w:ascii="Arial" w:hAnsi="Arial" w:cs="Arial"/>
          <w:w w:val="105"/>
          <w:sz w:val="20"/>
          <w:szCs w:val="20"/>
        </w:rPr>
        <w:t>records</w:t>
      </w:r>
      <w:r>
        <w:rPr>
          <w:rFonts w:ascii="Arial" w:hAnsi="Arial" w:cs="Arial"/>
          <w:spacing w:val="-6"/>
          <w:w w:val="105"/>
          <w:sz w:val="20"/>
          <w:szCs w:val="20"/>
        </w:rPr>
        <w:t xml:space="preserve"> </w:t>
      </w:r>
      <w:r>
        <w:rPr>
          <w:rFonts w:ascii="Arial" w:hAnsi="Arial" w:cs="Arial"/>
          <w:w w:val="105"/>
          <w:sz w:val="20"/>
          <w:szCs w:val="20"/>
        </w:rPr>
        <w:t>and</w:t>
      </w:r>
      <w:r>
        <w:rPr>
          <w:rFonts w:ascii="Arial" w:hAnsi="Arial" w:cs="Arial"/>
          <w:spacing w:val="-11"/>
          <w:w w:val="105"/>
          <w:sz w:val="20"/>
          <w:szCs w:val="20"/>
        </w:rPr>
        <w:t xml:space="preserve"> </w:t>
      </w:r>
      <w:r>
        <w:rPr>
          <w:rFonts w:ascii="Arial" w:hAnsi="Arial" w:cs="Arial"/>
          <w:w w:val="105"/>
          <w:sz w:val="20"/>
          <w:szCs w:val="20"/>
        </w:rPr>
        <w:t>the</w:t>
      </w:r>
      <w:r>
        <w:rPr>
          <w:rFonts w:ascii="Arial" w:hAnsi="Arial" w:cs="Arial"/>
          <w:spacing w:val="-3"/>
          <w:w w:val="105"/>
          <w:sz w:val="20"/>
          <w:szCs w:val="20"/>
        </w:rPr>
        <w:t xml:space="preserve"> </w:t>
      </w:r>
      <w:r>
        <w:rPr>
          <w:rFonts w:ascii="Arial" w:hAnsi="Arial" w:cs="Arial"/>
          <w:w w:val="105"/>
          <w:sz w:val="20"/>
          <w:szCs w:val="20"/>
        </w:rPr>
        <w:t>right</w:t>
      </w:r>
      <w:r>
        <w:rPr>
          <w:rFonts w:ascii="Arial" w:hAnsi="Arial" w:cs="Arial"/>
          <w:spacing w:val="-10"/>
          <w:w w:val="105"/>
          <w:sz w:val="20"/>
          <w:szCs w:val="20"/>
        </w:rPr>
        <w:t xml:space="preserve"> </w:t>
      </w:r>
      <w:r>
        <w:rPr>
          <w:rFonts w:ascii="Arial" w:hAnsi="Arial" w:cs="Arial"/>
          <w:w w:val="105"/>
          <w:sz w:val="20"/>
          <w:szCs w:val="20"/>
        </w:rPr>
        <w:t>of</w:t>
      </w:r>
      <w:r>
        <w:rPr>
          <w:rFonts w:ascii="Arial" w:hAnsi="Arial" w:cs="Arial"/>
          <w:spacing w:val="-19"/>
          <w:w w:val="105"/>
          <w:sz w:val="20"/>
          <w:szCs w:val="20"/>
        </w:rPr>
        <w:t xml:space="preserve"> </w:t>
      </w:r>
      <w:r>
        <w:rPr>
          <w:rFonts w:ascii="Arial" w:hAnsi="Arial" w:cs="Arial"/>
          <w:w w:val="105"/>
          <w:sz w:val="20"/>
          <w:szCs w:val="20"/>
        </w:rPr>
        <w:t>the</w:t>
      </w:r>
      <w:r>
        <w:rPr>
          <w:rFonts w:ascii="Arial" w:hAnsi="Arial" w:cs="Arial"/>
          <w:spacing w:val="-3"/>
          <w:w w:val="105"/>
          <w:sz w:val="20"/>
          <w:szCs w:val="20"/>
        </w:rPr>
        <w:t xml:space="preserve"> </w:t>
      </w:r>
      <w:r>
        <w:rPr>
          <w:rFonts w:ascii="Arial" w:hAnsi="Arial" w:cs="Arial"/>
          <w:w w:val="105"/>
          <w:sz w:val="20"/>
          <w:szCs w:val="20"/>
        </w:rPr>
        <w:t>consumer to</w:t>
      </w:r>
      <w:r>
        <w:rPr>
          <w:rFonts w:ascii="Arial" w:hAnsi="Arial" w:cs="Arial"/>
          <w:spacing w:val="2"/>
          <w:w w:val="105"/>
          <w:sz w:val="20"/>
          <w:szCs w:val="20"/>
        </w:rPr>
        <w:t xml:space="preserve"> </w:t>
      </w:r>
      <w:r>
        <w:rPr>
          <w:rFonts w:ascii="Arial" w:hAnsi="Arial" w:cs="Arial"/>
          <w:w w:val="105"/>
          <w:sz w:val="20"/>
          <w:szCs w:val="20"/>
        </w:rPr>
        <w:t>have</w:t>
      </w:r>
      <w:r>
        <w:rPr>
          <w:rFonts w:ascii="Arial" w:hAnsi="Arial" w:cs="Arial"/>
          <w:spacing w:val="-14"/>
          <w:w w:val="105"/>
          <w:sz w:val="20"/>
          <w:szCs w:val="20"/>
        </w:rPr>
        <w:t xml:space="preserve"> </w:t>
      </w:r>
      <w:r>
        <w:rPr>
          <w:rFonts w:ascii="Arial" w:hAnsi="Arial" w:cs="Arial"/>
          <w:w w:val="105"/>
          <w:sz w:val="20"/>
          <w:szCs w:val="20"/>
        </w:rPr>
        <w:t>access</w:t>
      </w:r>
      <w:r>
        <w:rPr>
          <w:rFonts w:ascii="Arial" w:hAnsi="Arial" w:cs="Arial"/>
          <w:spacing w:val="-4"/>
          <w:w w:val="105"/>
          <w:sz w:val="20"/>
          <w:szCs w:val="20"/>
        </w:rPr>
        <w:t xml:space="preserve"> </w:t>
      </w:r>
      <w:r>
        <w:rPr>
          <w:rFonts w:ascii="Arial" w:hAnsi="Arial" w:cs="Arial"/>
          <w:w w:val="105"/>
          <w:sz w:val="20"/>
          <w:szCs w:val="20"/>
        </w:rPr>
        <w:t>to</w:t>
      </w:r>
      <w:r>
        <w:rPr>
          <w:rFonts w:ascii="Arial" w:hAnsi="Arial" w:cs="Arial"/>
          <w:spacing w:val="2"/>
          <w:w w:val="105"/>
          <w:sz w:val="20"/>
          <w:szCs w:val="20"/>
        </w:rPr>
        <w:t xml:space="preserve"> </w:t>
      </w:r>
      <w:r>
        <w:rPr>
          <w:rFonts w:ascii="Arial" w:hAnsi="Arial" w:cs="Arial"/>
          <w:w w:val="105"/>
          <w:sz w:val="20"/>
          <w:szCs w:val="20"/>
        </w:rPr>
        <w:t>her</w:t>
      </w:r>
      <w:r>
        <w:rPr>
          <w:rFonts w:ascii="Arial" w:hAnsi="Arial" w:cs="Arial"/>
          <w:spacing w:val="-8"/>
          <w:w w:val="105"/>
          <w:sz w:val="20"/>
          <w:szCs w:val="20"/>
        </w:rPr>
        <w:t xml:space="preserve"> </w:t>
      </w:r>
      <w:r>
        <w:rPr>
          <w:rFonts w:ascii="Arial" w:hAnsi="Arial" w:cs="Arial"/>
          <w:w w:val="105"/>
          <w:sz w:val="20"/>
          <w:szCs w:val="20"/>
        </w:rPr>
        <w:t>or</w:t>
      </w:r>
      <w:r>
        <w:rPr>
          <w:rFonts w:ascii="Arial" w:hAnsi="Arial" w:cs="Arial"/>
          <w:spacing w:val="3"/>
          <w:w w:val="105"/>
          <w:sz w:val="20"/>
          <w:szCs w:val="20"/>
        </w:rPr>
        <w:t xml:space="preserve"> </w:t>
      </w:r>
      <w:r>
        <w:rPr>
          <w:rFonts w:ascii="Arial" w:hAnsi="Arial" w:cs="Arial"/>
          <w:w w:val="105"/>
          <w:sz w:val="20"/>
          <w:szCs w:val="20"/>
        </w:rPr>
        <w:t>his</w:t>
      </w:r>
      <w:r>
        <w:rPr>
          <w:rFonts w:ascii="Arial" w:hAnsi="Arial" w:cs="Arial"/>
          <w:spacing w:val="-11"/>
          <w:w w:val="105"/>
          <w:sz w:val="20"/>
          <w:szCs w:val="20"/>
        </w:rPr>
        <w:t xml:space="preserve"> </w:t>
      </w:r>
      <w:r>
        <w:rPr>
          <w:rFonts w:ascii="Arial" w:hAnsi="Arial" w:cs="Arial"/>
          <w:w w:val="105"/>
          <w:sz w:val="20"/>
          <w:szCs w:val="20"/>
        </w:rPr>
        <w:t>medical</w:t>
      </w:r>
      <w:r>
        <w:rPr>
          <w:rFonts w:ascii="Arial" w:hAnsi="Arial" w:cs="Arial"/>
          <w:spacing w:val="-1"/>
          <w:w w:val="105"/>
          <w:sz w:val="20"/>
          <w:szCs w:val="20"/>
        </w:rPr>
        <w:t xml:space="preserve"> </w:t>
      </w:r>
      <w:r>
        <w:rPr>
          <w:rFonts w:ascii="Arial" w:hAnsi="Arial" w:cs="Arial"/>
          <w:w w:val="105"/>
          <w:sz w:val="20"/>
          <w:szCs w:val="20"/>
        </w:rPr>
        <w:t>records, including medical</w:t>
      </w:r>
      <w:r>
        <w:rPr>
          <w:rFonts w:ascii="Arial" w:hAnsi="Arial" w:cs="Arial"/>
          <w:spacing w:val="-21"/>
          <w:w w:val="105"/>
          <w:sz w:val="20"/>
          <w:szCs w:val="20"/>
        </w:rPr>
        <w:t xml:space="preserve"> </w:t>
      </w:r>
      <w:r>
        <w:rPr>
          <w:rFonts w:ascii="Arial" w:hAnsi="Arial" w:cs="Arial"/>
          <w:w w:val="105"/>
          <w:sz w:val="20"/>
          <w:szCs w:val="20"/>
        </w:rPr>
        <w:t>notes.</w:t>
      </w:r>
    </w:p>
    <w:p w:rsidR="002C5025" w:rsidRDefault="002C5025">
      <w:pPr>
        <w:pStyle w:val="BodyText"/>
        <w:kinsoku w:val="0"/>
        <w:overflowPunct w:val="0"/>
        <w:spacing w:before="8"/>
        <w:rPr>
          <w:rFonts w:ascii="Arial" w:hAnsi="Arial" w:cs="Arial"/>
          <w:sz w:val="24"/>
          <w:szCs w:val="24"/>
        </w:rPr>
      </w:pPr>
    </w:p>
    <w:p w:rsidR="002C5025" w:rsidRDefault="002C5025">
      <w:pPr>
        <w:pStyle w:val="BodyText"/>
        <w:kinsoku w:val="0"/>
        <w:overflowPunct w:val="0"/>
        <w:spacing w:line="292" w:lineRule="auto"/>
        <w:ind w:left="842" w:right="355" w:hanging="8"/>
        <w:rPr>
          <w:rFonts w:ascii="Arial" w:hAnsi="Arial" w:cs="Arial"/>
          <w:w w:val="105"/>
          <w:sz w:val="20"/>
          <w:szCs w:val="20"/>
        </w:rPr>
      </w:pPr>
      <w:r>
        <w:rPr>
          <w:rFonts w:ascii="Arial" w:hAnsi="Arial" w:cs="Arial"/>
          <w:w w:val="105"/>
          <w:sz w:val="20"/>
          <w:szCs w:val="20"/>
        </w:rPr>
        <w:t>There also must be strict monitoring and enforcement of the requirement that ACOs not discriminate against those who request to join the group.</w:t>
      </w:r>
    </w:p>
    <w:p w:rsidR="002C5025" w:rsidRDefault="002C5025">
      <w:pPr>
        <w:pStyle w:val="BodyText"/>
        <w:kinsoku w:val="0"/>
        <w:overflowPunct w:val="0"/>
        <w:spacing w:before="6"/>
        <w:rPr>
          <w:rFonts w:ascii="Arial" w:hAnsi="Arial" w:cs="Arial"/>
          <w:sz w:val="24"/>
          <w:szCs w:val="24"/>
        </w:rPr>
      </w:pPr>
    </w:p>
    <w:p w:rsidR="002C5025" w:rsidRDefault="002C5025">
      <w:pPr>
        <w:pStyle w:val="ListParagraph"/>
        <w:numPr>
          <w:ilvl w:val="0"/>
          <w:numId w:val="41"/>
        </w:numPr>
        <w:tabs>
          <w:tab w:val="left" w:pos="1023"/>
        </w:tabs>
        <w:kinsoku w:val="0"/>
        <w:overflowPunct w:val="0"/>
        <w:spacing w:line="290" w:lineRule="auto"/>
        <w:ind w:right="236" w:hanging="332"/>
        <w:rPr>
          <w:rFonts w:ascii="Arial" w:hAnsi="Arial" w:cs="Arial"/>
          <w:w w:val="105"/>
          <w:sz w:val="20"/>
          <w:szCs w:val="20"/>
        </w:rPr>
      </w:pPr>
      <w:r>
        <w:rPr>
          <w:rFonts w:ascii="Arial" w:hAnsi="Arial" w:cs="Arial"/>
          <w:w w:val="105"/>
          <w:sz w:val="20"/>
          <w:szCs w:val="20"/>
        </w:rPr>
        <w:t xml:space="preserve">Establish an implementation council or similar MassHealth consumer-majority body. </w:t>
      </w:r>
      <w:r>
        <w:rPr>
          <w:rFonts w:ascii="Arial" w:hAnsi="Arial" w:cs="Arial"/>
          <w:spacing w:val="-14"/>
          <w:w w:val="105"/>
          <w:sz w:val="20"/>
          <w:szCs w:val="20"/>
        </w:rPr>
        <w:t xml:space="preserve">Its </w:t>
      </w:r>
      <w:r>
        <w:rPr>
          <w:rFonts w:ascii="Arial" w:hAnsi="Arial" w:cs="Arial"/>
          <w:spacing w:val="-3"/>
          <w:w w:val="105"/>
          <w:sz w:val="20"/>
          <w:szCs w:val="20"/>
        </w:rPr>
        <w:t xml:space="preserve">role </w:t>
      </w:r>
      <w:r>
        <w:rPr>
          <w:rFonts w:ascii="Arial" w:hAnsi="Arial" w:cs="Arial"/>
          <w:w w:val="105"/>
          <w:sz w:val="20"/>
          <w:szCs w:val="20"/>
        </w:rPr>
        <w:t xml:space="preserve">should </w:t>
      </w:r>
      <w:r>
        <w:rPr>
          <w:rFonts w:ascii="Arial" w:hAnsi="Arial" w:cs="Arial"/>
          <w:spacing w:val="-5"/>
          <w:w w:val="105"/>
          <w:sz w:val="20"/>
          <w:szCs w:val="20"/>
        </w:rPr>
        <w:t xml:space="preserve">include </w:t>
      </w:r>
      <w:r>
        <w:rPr>
          <w:rFonts w:ascii="Arial" w:hAnsi="Arial" w:cs="Arial"/>
          <w:w w:val="105"/>
          <w:sz w:val="20"/>
          <w:szCs w:val="20"/>
        </w:rPr>
        <w:t xml:space="preserve">guiding the overall growth and implementation of the waiver, </w:t>
      </w:r>
      <w:r>
        <w:rPr>
          <w:rFonts w:ascii="Arial" w:hAnsi="Arial" w:cs="Arial"/>
          <w:spacing w:val="-4"/>
          <w:w w:val="105"/>
          <w:sz w:val="20"/>
          <w:szCs w:val="20"/>
        </w:rPr>
        <w:t xml:space="preserve">including </w:t>
      </w:r>
      <w:r>
        <w:rPr>
          <w:rFonts w:ascii="Arial" w:hAnsi="Arial" w:cs="Arial"/>
          <w:w w:val="105"/>
          <w:sz w:val="20"/>
          <w:szCs w:val="20"/>
        </w:rPr>
        <w:t>the review of systemic trends in collaboration with MassHealth, CMS, the various plans and providers, and an ombudsman office.</w:t>
      </w:r>
      <w:r>
        <w:rPr>
          <w:rFonts w:ascii="Arial" w:hAnsi="Arial" w:cs="Arial"/>
          <w:spacing w:val="-9"/>
          <w:w w:val="105"/>
          <w:sz w:val="20"/>
          <w:szCs w:val="20"/>
        </w:rPr>
        <w:t xml:space="preserve"> </w:t>
      </w:r>
      <w:r>
        <w:rPr>
          <w:rFonts w:ascii="Arial" w:hAnsi="Arial" w:cs="Arial"/>
          <w:w w:val="105"/>
          <w:sz w:val="20"/>
          <w:szCs w:val="20"/>
        </w:rPr>
        <w:t>The</w:t>
      </w:r>
      <w:r>
        <w:rPr>
          <w:rFonts w:ascii="Arial" w:hAnsi="Arial" w:cs="Arial"/>
          <w:spacing w:val="1"/>
          <w:w w:val="105"/>
          <w:sz w:val="20"/>
          <w:szCs w:val="20"/>
        </w:rPr>
        <w:t xml:space="preserve"> </w:t>
      </w:r>
      <w:r>
        <w:rPr>
          <w:rFonts w:ascii="Arial" w:hAnsi="Arial" w:cs="Arial"/>
          <w:w w:val="105"/>
          <w:sz w:val="20"/>
          <w:szCs w:val="20"/>
        </w:rPr>
        <w:t>council</w:t>
      </w:r>
      <w:r>
        <w:rPr>
          <w:rFonts w:ascii="Arial" w:hAnsi="Arial" w:cs="Arial"/>
          <w:spacing w:val="-7"/>
          <w:w w:val="105"/>
          <w:sz w:val="20"/>
          <w:szCs w:val="20"/>
        </w:rPr>
        <w:t xml:space="preserve"> </w:t>
      </w:r>
      <w:r>
        <w:rPr>
          <w:rFonts w:ascii="Arial" w:hAnsi="Arial" w:cs="Arial"/>
          <w:w w:val="105"/>
          <w:sz w:val="20"/>
          <w:szCs w:val="20"/>
        </w:rPr>
        <w:t>should</w:t>
      </w:r>
      <w:r>
        <w:rPr>
          <w:rFonts w:ascii="Arial" w:hAnsi="Arial" w:cs="Arial"/>
          <w:spacing w:val="-1"/>
          <w:w w:val="105"/>
          <w:sz w:val="20"/>
          <w:szCs w:val="20"/>
        </w:rPr>
        <w:t xml:space="preserve"> </w:t>
      </w:r>
      <w:r>
        <w:rPr>
          <w:rFonts w:ascii="Arial" w:hAnsi="Arial" w:cs="Arial"/>
          <w:w w:val="105"/>
          <w:sz w:val="20"/>
          <w:szCs w:val="20"/>
        </w:rPr>
        <w:t>have</w:t>
      </w:r>
      <w:r>
        <w:rPr>
          <w:rFonts w:ascii="Arial" w:hAnsi="Arial" w:cs="Arial"/>
          <w:spacing w:val="-9"/>
          <w:w w:val="105"/>
          <w:sz w:val="20"/>
          <w:szCs w:val="20"/>
        </w:rPr>
        <w:t xml:space="preserve"> </w:t>
      </w:r>
      <w:r>
        <w:rPr>
          <w:rFonts w:ascii="Arial" w:hAnsi="Arial" w:cs="Arial"/>
          <w:w w:val="105"/>
          <w:sz w:val="20"/>
          <w:szCs w:val="20"/>
        </w:rPr>
        <w:t>access</w:t>
      </w:r>
      <w:r>
        <w:rPr>
          <w:rFonts w:ascii="Arial" w:hAnsi="Arial" w:cs="Arial"/>
          <w:spacing w:val="-2"/>
          <w:w w:val="105"/>
          <w:sz w:val="20"/>
          <w:szCs w:val="20"/>
        </w:rPr>
        <w:t xml:space="preserve"> </w:t>
      </w:r>
      <w:r>
        <w:rPr>
          <w:rFonts w:ascii="Arial" w:hAnsi="Arial" w:cs="Arial"/>
          <w:w w:val="105"/>
          <w:sz w:val="20"/>
          <w:szCs w:val="20"/>
        </w:rPr>
        <w:t>to</w:t>
      </w:r>
      <w:r>
        <w:rPr>
          <w:rFonts w:ascii="Arial" w:hAnsi="Arial" w:cs="Arial"/>
          <w:spacing w:val="-2"/>
          <w:w w:val="105"/>
          <w:sz w:val="20"/>
          <w:szCs w:val="20"/>
        </w:rPr>
        <w:t xml:space="preserve"> </w:t>
      </w:r>
      <w:r>
        <w:rPr>
          <w:rFonts w:ascii="Arial" w:hAnsi="Arial" w:cs="Arial"/>
          <w:w w:val="105"/>
          <w:sz w:val="20"/>
          <w:szCs w:val="20"/>
        </w:rPr>
        <w:t>and</w:t>
      </w:r>
      <w:r>
        <w:rPr>
          <w:rFonts w:ascii="Arial" w:hAnsi="Arial" w:cs="Arial"/>
          <w:spacing w:val="-9"/>
          <w:w w:val="105"/>
          <w:sz w:val="20"/>
          <w:szCs w:val="20"/>
        </w:rPr>
        <w:t xml:space="preserve"> </w:t>
      </w:r>
      <w:r>
        <w:rPr>
          <w:rFonts w:ascii="Arial" w:hAnsi="Arial" w:cs="Arial"/>
          <w:w w:val="105"/>
          <w:sz w:val="20"/>
          <w:szCs w:val="20"/>
        </w:rPr>
        <w:t>control</w:t>
      </w:r>
      <w:r>
        <w:rPr>
          <w:rFonts w:ascii="Arial" w:hAnsi="Arial" w:cs="Arial"/>
          <w:spacing w:val="-6"/>
          <w:w w:val="105"/>
          <w:sz w:val="20"/>
          <w:szCs w:val="20"/>
        </w:rPr>
        <w:t xml:space="preserve"> </w:t>
      </w:r>
      <w:r>
        <w:rPr>
          <w:rFonts w:ascii="Arial" w:hAnsi="Arial" w:cs="Arial"/>
          <w:w w:val="105"/>
          <w:sz w:val="20"/>
          <w:szCs w:val="20"/>
        </w:rPr>
        <w:t>over</w:t>
      </w:r>
      <w:r>
        <w:rPr>
          <w:rFonts w:ascii="Arial" w:hAnsi="Arial" w:cs="Arial"/>
          <w:spacing w:val="8"/>
          <w:w w:val="105"/>
          <w:sz w:val="20"/>
          <w:szCs w:val="20"/>
        </w:rPr>
        <w:t xml:space="preserve"> </w:t>
      </w:r>
      <w:r>
        <w:rPr>
          <w:rFonts w:ascii="Arial" w:hAnsi="Arial" w:cs="Arial"/>
          <w:w w:val="105"/>
          <w:sz w:val="20"/>
          <w:szCs w:val="20"/>
        </w:rPr>
        <w:t>its</w:t>
      </w:r>
      <w:r>
        <w:rPr>
          <w:rFonts w:ascii="Arial" w:hAnsi="Arial" w:cs="Arial"/>
          <w:spacing w:val="-18"/>
          <w:w w:val="105"/>
          <w:sz w:val="20"/>
          <w:szCs w:val="20"/>
        </w:rPr>
        <w:t xml:space="preserve"> </w:t>
      </w:r>
      <w:r>
        <w:rPr>
          <w:rFonts w:ascii="Arial" w:hAnsi="Arial" w:cs="Arial"/>
          <w:w w:val="105"/>
          <w:sz w:val="20"/>
          <w:szCs w:val="20"/>
        </w:rPr>
        <w:t>own</w:t>
      </w:r>
      <w:r>
        <w:rPr>
          <w:rFonts w:ascii="Arial" w:hAnsi="Arial" w:cs="Arial"/>
          <w:spacing w:val="-1"/>
          <w:w w:val="105"/>
          <w:sz w:val="20"/>
          <w:szCs w:val="20"/>
        </w:rPr>
        <w:t xml:space="preserve"> </w:t>
      </w:r>
      <w:r>
        <w:rPr>
          <w:rFonts w:ascii="Arial" w:hAnsi="Arial" w:cs="Arial"/>
          <w:w w:val="105"/>
          <w:sz w:val="20"/>
          <w:szCs w:val="20"/>
        </w:rPr>
        <w:t>budget.</w:t>
      </w:r>
    </w:p>
    <w:p w:rsidR="002C5025" w:rsidRDefault="002C5025">
      <w:pPr>
        <w:pStyle w:val="BodyText"/>
        <w:kinsoku w:val="0"/>
        <w:overflowPunct w:val="0"/>
        <w:spacing w:before="8"/>
        <w:rPr>
          <w:rFonts w:ascii="Arial" w:hAnsi="Arial" w:cs="Arial"/>
          <w:sz w:val="24"/>
          <w:szCs w:val="24"/>
        </w:rPr>
      </w:pPr>
    </w:p>
    <w:p w:rsidR="002C5025" w:rsidRDefault="002C5025">
      <w:pPr>
        <w:pStyle w:val="ListParagraph"/>
        <w:numPr>
          <w:ilvl w:val="0"/>
          <w:numId w:val="41"/>
        </w:numPr>
        <w:tabs>
          <w:tab w:val="left" w:pos="1016"/>
        </w:tabs>
        <w:kinsoku w:val="0"/>
        <w:overflowPunct w:val="0"/>
        <w:spacing w:line="292" w:lineRule="auto"/>
        <w:ind w:right="483" w:hanging="339"/>
        <w:rPr>
          <w:rFonts w:ascii="Arial" w:hAnsi="Arial" w:cs="Arial"/>
          <w:w w:val="105"/>
          <w:sz w:val="20"/>
          <w:szCs w:val="20"/>
        </w:rPr>
      </w:pPr>
      <w:r>
        <w:rPr>
          <w:rFonts w:ascii="Arial" w:hAnsi="Arial" w:cs="Arial"/>
          <w:w w:val="105"/>
          <w:sz w:val="20"/>
          <w:szCs w:val="20"/>
        </w:rPr>
        <w:t>Establish an independent ombudsman office similar to what exists for One Care to support innovation,</w:t>
      </w:r>
      <w:r>
        <w:rPr>
          <w:rFonts w:ascii="Arial" w:hAnsi="Arial" w:cs="Arial"/>
          <w:spacing w:val="-4"/>
          <w:w w:val="105"/>
          <w:sz w:val="20"/>
          <w:szCs w:val="20"/>
        </w:rPr>
        <w:t xml:space="preserve"> </w:t>
      </w:r>
      <w:r>
        <w:rPr>
          <w:rFonts w:ascii="Arial" w:hAnsi="Arial" w:cs="Arial"/>
          <w:w w:val="105"/>
          <w:sz w:val="20"/>
          <w:szCs w:val="20"/>
        </w:rPr>
        <w:t>protect</w:t>
      </w:r>
      <w:r>
        <w:rPr>
          <w:rFonts w:ascii="Arial" w:hAnsi="Arial" w:cs="Arial"/>
          <w:spacing w:val="-6"/>
          <w:w w:val="105"/>
          <w:sz w:val="20"/>
          <w:szCs w:val="20"/>
        </w:rPr>
        <w:t xml:space="preserve"> </w:t>
      </w:r>
      <w:r>
        <w:rPr>
          <w:rFonts w:ascii="Arial" w:hAnsi="Arial" w:cs="Arial"/>
          <w:w w:val="105"/>
          <w:sz w:val="20"/>
          <w:szCs w:val="20"/>
        </w:rPr>
        <w:t>members</w:t>
      </w:r>
      <w:r>
        <w:rPr>
          <w:rFonts w:ascii="Arial" w:hAnsi="Arial" w:cs="Arial"/>
          <w:spacing w:val="-5"/>
          <w:w w:val="105"/>
          <w:sz w:val="20"/>
          <w:szCs w:val="20"/>
        </w:rPr>
        <w:t xml:space="preserve"> </w:t>
      </w:r>
      <w:r>
        <w:rPr>
          <w:rFonts w:ascii="Arial" w:hAnsi="Arial" w:cs="Arial"/>
          <w:w w:val="105"/>
          <w:sz w:val="20"/>
          <w:szCs w:val="20"/>
        </w:rPr>
        <w:t>on</w:t>
      </w:r>
      <w:r>
        <w:rPr>
          <w:rFonts w:ascii="Arial" w:hAnsi="Arial" w:cs="Arial"/>
          <w:spacing w:val="-11"/>
          <w:w w:val="105"/>
          <w:sz w:val="20"/>
          <w:szCs w:val="20"/>
        </w:rPr>
        <w:t xml:space="preserve"> </w:t>
      </w:r>
      <w:r>
        <w:rPr>
          <w:rFonts w:ascii="Arial" w:hAnsi="Arial" w:cs="Arial"/>
          <w:w w:val="105"/>
          <w:sz w:val="20"/>
          <w:szCs w:val="20"/>
        </w:rPr>
        <w:t>an</w:t>
      </w:r>
      <w:r>
        <w:rPr>
          <w:rFonts w:ascii="Arial" w:hAnsi="Arial" w:cs="Arial"/>
          <w:spacing w:val="-12"/>
          <w:w w:val="105"/>
          <w:sz w:val="20"/>
          <w:szCs w:val="20"/>
        </w:rPr>
        <w:t xml:space="preserve"> </w:t>
      </w:r>
      <w:r>
        <w:rPr>
          <w:rFonts w:ascii="Arial" w:hAnsi="Arial" w:cs="Arial"/>
          <w:w w:val="105"/>
          <w:sz w:val="20"/>
          <w:szCs w:val="20"/>
        </w:rPr>
        <w:t>individual</w:t>
      </w:r>
      <w:r>
        <w:rPr>
          <w:rFonts w:ascii="Arial" w:hAnsi="Arial" w:cs="Arial"/>
          <w:spacing w:val="-4"/>
          <w:w w:val="105"/>
          <w:sz w:val="20"/>
          <w:szCs w:val="20"/>
        </w:rPr>
        <w:t xml:space="preserve"> </w:t>
      </w:r>
      <w:r>
        <w:rPr>
          <w:rFonts w:ascii="Arial" w:hAnsi="Arial" w:cs="Arial"/>
          <w:w w:val="105"/>
          <w:sz w:val="20"/>
          <w:szCs w:val="20"/>
        </w:rPr>
        <w:t>basis,</w:t>
      </w:r>
      <w:r>
        <w:rPr>
          <w:rFonts w:ascii="Arial" w:hAnsi="Arial" w:cs="Arial"/>
          <w:spacing w:val="-14"/>
          <w:w w:val="105"/>
          <w:sz w:val="20"/>
          <w:szCs w:val="20"/>
        </w:rPr>
        <w:t xml:space="preserve"> </w:t>
      </w:r>
      <w:r>
        <w:rPr>
          <w:rFonts w:ascii="Arial" w:hAnsi="Arial" w:cs="Arial"/>
          <w:w w:val="105"/>
          <w:sz w:val="20"/>
          <w:szCs w:val="20"/>
        </w:rPr>
        <w:t>and</w:t>
      </w:r>
      <w:r>
        <w:rPr>
          <w:rFonts w:ascii="Arial" w:hAnsi="Arial" w:cs="Arial"/>
          <w:spacing w:val="-4"/>
          <w:w w:val="105"/>
          <w:sz w:val="20"/>
          <w:szCs w:val="20"/>
        </w:rPr>
        <w:t xml:space="preserve"> </w:t>
      </w:r>
      <w:r>
        <w:rPr>
          <w:rFonts w:ascii="Arial" w:hAnsi="Arial" w:cs="Arial"/>
          <w:w w:val="105"/>
          <w:sz w:val="20"/>
          <w:szCs w:val="20"/>
        </w:rPr>
        <w:t>address</w:t>
      </w:r>
      <w:r>
        <w:rPr>
          <w:rFonts w:ascii="Arial" w:hAnsi="Arial" w:cs="Arial"/>
          <w:spacing w:val="-2"/>
          <w:w w:val="105"/>
          <w:sz w:val="20"/>
          <w:szCs w:val="20"/>
        </w:rPr>
        <w:t xml:space="preserve"> </w:t>
      </w:r>
      <w:r>
        <w:rPr>
          <w:rFonts w:ascii="Arial" w:hAnsi="Arial" w:cs="Arial"/>
          <w:w w:val="105"/>
          <w:sz w:val="20"/>
          <w:szCs w:val="20"/>
        </w:rPr>
        <w:t>systemic</w:t>
      </w:r>
      <w:r>
        <w:rPr>
          <w:rFonts w:ascii="Arial" w:hAnsi="Arial" w:cs="Arial"/>
          <w:spacing w:val="1"/>
          <w:w w:val="105"/>
          <w:sz w:val="20"/>
          <w:szCs w:val="20"/>
        </w:rPr>
        <w:t xml:space="preserve"> </w:t>
      </w:r>
      <w:r>
        <w:rPr>
          <w:rFonts w:ascii="Arial" w:hAnsi="Arial" w:cs="Arial"/>
          <w:w w:val="105"/>
          <w:sz w:val="20"/>
          <w:szCs w:val="20"/>
        </w:rPr>
        <w:t>concerns</w:t>
      </w:r>
      <w:r>
        <w:rPr>
          <w:rFonts w:ascii="Arial" w:hAnsi="Arial" w:cs="Arial"/>
          <w:spacing w:val="-4"/>
          <w:w w:val="105"/>
          <w:sz w:val="20"/>
          <w:szCs w:val="20"/>
        </w:rPr>
        <w:t xml:space="preserve"> </w:t>
      </w:r>
      <w:r>
        <w:rPr>
          <w:rFonts w:ascii="Arial" w:hAnsi="Arial" w:cs="Arial"/>
          <w:w w:val="105"/>
          <w:sz w:val="20"/>
          <w:szCs w:val="20"/>
        </w:rPr>
        <w:t>as</w:t>
      </w:r>
      <w:r>
        <w:rPr>
          <w:rFonts w:ascii="Arial" w:hAnsi="Arial" w:cs="Arial"/>
          <w:spacing w:val="-18"/>
          <w:w w:val="105"/>
          <w:sz w:val="20"/>
          <w:szCs w:val="20"/>
        </w:rPr>
        <w:t xml:space="preserve"> </w:t>
      </w:r>
      <w:r>
        <w:rPr>
          <w:rFonts w:ascii="Arial" w:hAnsi="Arial" w:cs="Arial"/>
          <w:w w:val="105"/>
          <w:sz w:val="20"/>
          <w:szCs w:val="20"/>
        </w:rPr>
        <w:t>they</w:t>
      </w:r>
      <w:r>
        <w:rPr>
          <w:rFonts w:ascii="Arial" w:hAnsi="Arial" w:cs="Arial"/>
          <w:spacing w:val="-7"/>
          <w:w w:val="105"/>
          <w:sz w:val="20"/>
          <w:szCs w:val="20"/>
        </w:rPr>
        <w:t xml:space="preserve"> </w:t>
      </w:r>
      <w:r>
        <w:rPr>
          <w:rFonts w:ascii="Arial" w:hAnsi="Arial" w:cs="Arial"/>
          <w:w w:val="105"/>
          <w:sz w:val="20"/>
          <w:szCs w:val="20"/>
        </w:rPr>
        <w:t>arise. Other</w:t>
      </w:r>
      <w:r>
        <w:rPr>
          <w:rFonts w:ascii="Arial" w:hAnsi="Arial" w:cs="Arial"/>
          <w:spacing w:val="-11"/>
          <w:w w:val="105"/>
          <w:sz w:val="20"/>
          <w:szCs w:val="20"/>
        </w:rPr>
        <w:t xml:space="preserve"> </w:t>
      </w:r>
      <w:r>
        <w:rPr>
          <w:rFonts w:ascii="Arial" w:hAnsi="Arial" w:cs="Arial"/>
          <w:w w:val="105"/>
          <w:sz w:val="20"/>
          <w:szCs w:val="20"/>
        </w:rPr>
        <w:t>consumer</w:t>
      </w:r>
      <w:r>
        <w:rPr>
          <w:rFonts w:ascii="Arial" w:hAnsi="Arial" w:cs="Arial"/>
          <w:spacing w:val="1"/>
          <w:w w:val="105"/>
          <w:sz w:val="20"/>
          <w:szCs w:val="20"/>
        </w:rPr>
        <w:t xml:space="preserve"> </w:t>
      </w:r>
      <w:r>
        <w:rPr>
          <w:rFonts w:ascii="Arial" w:hAnsi="Arial" w:cs="Arial"/>
          <w:w w:val="105"/>
          <w:sz w:val="20"/>
          <w:szCs w:val="20"/>
        </w:rPr>
        <w:t>protections,</w:t>
      </w:r>
      <w:r>
        <w:rPr>
          <w:rFonts w:ascii="Arial" w:hAnsi="Arial" w:cs="Arial"/>
          <w:spacing w:val="1"/>
          <w:w w:val="105"/>
          <w:sz w:val="20"/>
          <w:szCs w:val="20"/>
        </w:rPr>
        <w:t xml:space="preserve"> </w:t>
      </w:r>
      <w:r>
        <w:rPr>
          <w:rFonts w:ascii="Arial" w:hAnsi="Arial" w:cs="Arial"/>
          <w:w w:val="105"/>
          <w:sz w:val="20"/>
          <w:szCs w:val="20"/>
        </w:rPr>
        <w:t>such</w:t>
      </w:r>
      <w:r>
        <w:rPr>
          <w:rFonts w:ascii="Arial" w:hAnsi="Arial" w:cs="Arial"/>
          <w:spacing w:val="-5"/>
          <w:w w:val="105"/>
          <w:sz w:val="20"/>
          <w:szCs w:val="20"/>
        </w:rPr>
        <w:t xml:space="preserve"> </w:t>
      </w:r>
      <w:r>
        <w:rPr>
          <w:rFonts w:ascii="Arial" w:hAnsi="Arial" w:cs="Arial"/>
          <w:w w:val="105"/>
          <w:sz w:val="20"/>
          <w:szCs w:val="20"/>
        </w:rPr>
        <w:t>as</w:t>
      </w:r>
      <w:r>
        <w:rPr>
          <w:rFonts w:ascii="Arial" w:hAnsi="Arial" w:cs="Arial"/>
          <w:spacing w:val="-9"/>
          <w:w w:val="105"/>
          <w:sz w:val="20"/>
          <w:szCs w:val="20"/>
        </w:rPr>
        <w:t xml:space="preserve"> </w:t>
      </w:r>
      <w:r>
        <w:rPr>
          <w:rFonts w:ascii="Arial" w:hAnsi="Arial" w:cs="Arial"/>
          <w:spacing w:val="-3"/>
          <w:w w:val="105"/>
          <w:sz w:val="20"/>
          <w:szCs w:val="20"/>
        </w:rPr>
        <w:t>rights</w:t>
      </w:r>
      <w:r>
        <w:rPr>
          <w:rFonts w:ascii="Arial" w:hAnsi="Arial" w:cs="Arial"/>
          <w:spacing w:val="-12"/>
          <w:w w:val="105"/>
          <w:sz w:val="20"/>
          <w:szCs w:val="20"/>
        </w:rPr>
        <w:t xml:space="preserve"> </w:t>
      </w:r>
      <w:r>
        <w:rPr>
          <w:rFonts w:ascii="Arial" w:hAnsi="Arial" w:cs="Arial"/>
          <w:w w:val="105"/>
          <w:sz w:val="20"/>
          <w:szCs w:val="20"/>
        </w:rPr>
        <w:t>to</w:t>
      </w:r>
      <w:r>
        <w:rPr>
          <w:rFonts w:ascii="Arial" w:hAnsi="Arial" w:cs="Arial"/>
          <w:spacing w:val="-7"/>
          <w:w w:val="105"/>
          <w:sz w:val="20"/>
          <w:szCs w:val="20"/>
        </w:rPr>
        <w:t xml:space="preserve"> </w:t>
      </w:r>
      <w:r>
        <w:rPr>
          <w:rFonts w:ascii="Arial" w:hAnsi="Arial" w:cs="Arial"/>
          <w:w w:val="105"/>
          <w:sz w:val="20"/>
          <w:szCs w:val="20"/>
        </w:rPr>
        <w:t>appeal</w:t>
      </w:r>
      <w:r>
        <w:rPr>
          <w:rFonts w:ascii="Arial" w:hAnsi="Arial" w:cs="Arial"/>
          <w:spacing w:val="-7"/>
          <w:w w:val="105"/>
          <w:sz w:val="20"/>
          <w:szCs w:val="20"/>
        </w:rPr>
        <w:t xml:space="preserve"> </w:t>
      </w:r>
      <w:r>
        <w:rPr>
          <w:rFonts w:ascii="Arial" w:hAnsi="Arial" w:cs="Arial"/>
          <w:w w:val="105"/>
          <w:sz w:val="20"/>
          <w:szCs w:val="20"/>
        </w:rPr>
        <w:t>services,</w:t>
      </w:r>
      <w:r>
        <w:rPr>
          <w:rFonts w:ascii="Arial" w:hAnsi="Arial" w:cs="Arial"/>
          <w:spacing w:val="13"/>
          <w:w w:val="105"/>
          <w:sz w:val="20"/>
          <w:szCs w:val="20"/>
        </w:rPr>
        <w:t xml:space="preserve"> </w:t>
      </w:r>
      <w:r>
        <w:rPr>
          <w:rFonts w:ascii="Arial" w:hAnsi="Arial" w:cs="Arial"/>
          <w:w w:val="105"/>
          <w:sz w:val="20"/>
          <w:szCs w:val="20"/>
        </w:rPr>
        <w:t>must</w:t>
      </w:r>
      <w:r>
        <w:rPr>
          <w:rFonts w:ascii="Arial" w:hAnsi="Arial" w:cs="Arial"/>
          <w:spacing w:val="-5"/>
          <w:w w:val="105"/>
          <w:sz w:val="20"/>
          <w:szCs w:val="20"/>
        </w:rPr>
        <w:t xml:space="preserve"> </w:t>
      </w:r>
      <w:r>
        <w:rPr>
          <w:rFonts w:ascii="Arial" w:hAnsi="Arial" w:cs="Arial"/>
          <w:w w:val="105"/>
          <w:sz w:val="20"/>
          <w:szCs w:val="20"/>
        </w:rPr>
        <w:t>be</w:t>
      </w:r>
      <w:r>
        <w:rPr>
          <w:rFonts w:ascii="Arial" w:hAnsi="Arial" w:cs="Arial"/>
          <w:spacing w:val="-16"/>
          <w:w w:val="105"/>
          <w:sz w:val="20"/>
          <w:szCs w:val="20"/>
        </w:rPr>
        <w:t xml:space="preserve"> </w:t>
      </w:r>
      <w:r>
        <w:rPr>
          <w:rFonts w:ascii="Arial" w:hAnsi="Arial" w:cs="Arial"/>
          <w:w w:val="105"/>
          <w:sz w:val="20"/>
          <w:szCs w:val="20"/>
        </w:rPr>
        <w:t>established.</w:t>
      </w:r>
    </w:p>
    <w:p w:rsidR="002C5025" w:rsidRDefault="002C5025">
      <w:pPr>
        <w:pStyle w:val="BodyText"/>
        <w:kinsoku w:val="0"/>
        <w:overflowPunct w:val="0"/>
        <w:spacing w:before="6"/>
        <w:rPr>
          <w:rFonts w:ascii="Arial" w:hAnsi="Arial" w:cs="Arial"/>
          <w:sz w:val="24"/>
          <w:szCs w:val="24"/>
        </w:rPr>
      </w:pPr>
    </w:p>
    <w:p w:rsidR="002C5025" w:rsidRDefault="002C5025">
      <w:pPr>
        <w:pStyle w:val="ListParagraph"/>
        <w:numPr>
          <w:ilvl w:val="0"/>
          <w:numId w:val="41"/>
        </w:numPr>
        <w:tabs>
          <w:tab w:val="left" w:pos="1008"/>
        </w:tabs>
        <w:kinsoku w:val="0"/>
        <w:overflowPunct w:val="0"/>
        <w:spacing w:line="292" w:lineRule="auto"/>
        <w:ind w:right="473"/>
        <w:rPr>
          <w:rFonts w:ascii="Arial" w:hAnsi="Arial" w:cs="Arial"/>
          <w:w w:val="105"/>
          <w:sz w:val="20"/>
          <w:szCs w:val="20"/>
        </w:rPr>
      </w:pPr>
      <w:r>
        <w:rPr>
          <w:rFonts w:ascii="Arial" w:hAnsi="Arial" w:cs="Arial"/>
          <w:w w:val="105"/>
          <w:sz w:val="20"/>
          <w:szCs w:val="20"/>
        </w:rPr>
        <w:t>Extend enhanced benefits available to One Care enrollees to ACO enrollees. This includes the integration</w:t>
      </w:r>
      <w:r>
        <w:rPr>
          <w:rFonts w:ascii="Arial" w:hAnsi="Arial" w:cs="Arial"/>
          <w:spacing w:val="-6"/>
          <w:w w:val="105"/>
          <w:sz w:val="20"/>
          <w:szCs w:val="20"/>
        </w:rPr>
        <w:t xml:space="preserve"> </w:t>
      </w:r>
      <w:r>
        <w:rPr>
          <w:rFonts w:ascii="Arial" w:hAnsi="Arial" w:cs="Arial"/>
          <w:w w:val="105"/>
          <w:sz w:val="20"/>
          <w:szCs w:val="20"/>
        </w:rPr>
        <w:t>of</w:t>
      </w:r>
      <w:r>
        <w:rPr>
          <w:rFonts w:ascii="Arial" w:hAnsi="Arial" w:cs="Arial"/>
          <w:spacing w:val="-6"/>
          <w:w w:val="105"/>
          <w:sz w:val="20"/>
          <w:szCs w:val="20"/>
        </w:rPr>
        <w:t xml:space="preserve"> </w:t>
      </w:r>
      <w:r>
        <w:rPr>
          <w:rFonts w:ascii="Arial" w:hAnsi="Arial" w:cs="Arial"/>
          <w:w w:val="105"/>
          <w:sz w:val="20"/>
          <w:szCs w:val="20"/>
        </w:rPr>
        <w:t>oral</w:t>
      </w:r>
      <w:r>
        <w:rPr>
          <w:rFonts w:ascii="Arial" w:hAnsi="Arial" w:cs="Arial"/>
          <w:spacing w:val="-4"/>
          <w:w w:val="105"/>
          <w:sz w:val="20"/>
          <w:szCs w:val="20"/>
        </w:rPr>
        <w:t xml:space="preserve"> </w:t>
      </w:r>
      <w:r>
        <w:rPr>
          <w:rFonts w:ascii="Arial" w:hAnsi="Arial" w:cs="Arial"/>
          <w:spacing w:val="-3"/>
          <w:w w:val="105"/>
          <w:sz w:val="20"/>
          <w:szCs w:val="20"/>
        </w:rPr>
        <w:t>health</w:t>
      </w:r>
      <w:r>
        <w:rPr>
          <w:rFonts w:ascii="Arial" w:hAnsi="Arial" w:cs="Arial"/>
          <w:spacing w:val="-11"/>
          <w:w w:val="105"/>
          <w:sz w:val="20"/>
          <w:szCs w:val="20"/>
        </w:rPr>
        <w:t xml:space="preserve"> </w:t>
      </w:r>
      <w:r>
        <w:rPr>
          <w:rFonts w:ascii="Arial" w:hAnsi="Arial" w:cs="Arial"/>
          <w:w w:val="105"/>
          <w:sz w:val="20"/>
          <w:szCs w:val="20"/>
        </w:rPr>
        <w:t>through</w:t>
      </w:r>
      <w:r>
        <w:rPr>
          <w:rFonts w:ascii="Arial" w:hAnsi="Arial" w:cs="Arial"/>
          <w:spacing w:val="4"/>
          <w:w w:val="105"/>
          <w:sz w:val="20"/>
          <w:szCs w:val="20"/>
        </w:rPr>
        <w:t xml:space="preserve"> </w:t>
      </w:r>
      <w:r>
        <w:rPr>
          <w:rFonts w:ascii="Arial" w:hAnsi="Arial" w:cs="Arial"/>
          <w:w w:val="105"/>
          <w:sz w:val="20"/>
          <w:szCs w:val="20"/>
        </w:rPr>
        <w:t>provision of</w:t>
      </w:r>
      <w:r>
        <w:rPr>
          <w:rFonts w:ascii="Arial" w:hAnsi="Arial" w:cs="Arial"/>
          <w:spacing w:val="-12"/>
          <w:w w:val="105"/>
          <w:sz w:val="20"/>
          <w:szCs w:val="20"/>
        </w:rPr>
        <w:t xml:space="preserve"> </w:t>
      </w:r>
      <w:r>
        <w:rPr>
          <w:rFonts w:ascii="Arial" w:hAnsi="Arial" w:cs="Arial"/>
          <w:w w:val="105"/>
          <w:sz w:val="20"/>
          <w:szCs w:val="20"/>
        </w:rPr>
        <w:t>full</w:t>
      </w:r>
      <w:r>
        <w:rPr>
          <w:rFonts w:ascii="Arial" w:hAnsi="Arial" w:cs="Arial"/>
          <w:spacing w:val="-6"/>
          <w:w w:val="105"/>
          <w:sz w:val="20"/>
          <w:szCs w:val="20"/>
        </w:rPr>
        <w:t xml:space="preserve"> </w:t>
      </w:r>
      <w:r>
        <w:rPr>
          <w:rFonts w:ascii="Arial" w:hAnsi="Arial" w:cs="Arial"/>
          <w:w w:val="105"/>
          <w:sz w:val="20"/>
          <w:szCs w:val="20"/>
        </w:rPr>
        <w:t>dental</w:t>
      </w:r>
      <w:r>
        <w:rPr>
          <w:rFonts w:ascii="Arial" w:hAnsi="Arial" w:cs="Arial"/>
          <w:spacing w:val="-1"/>
          <w:w w:val="105"/>
          <w:sz w:val="20"/>
          <w:szCs w:val="20"/>
        </w:rPr>
        <w:t xml:space="preserve"> </w:t>
      </w:r>
      <w:r>
        <w:rPr>
          <w:rFonts w:ascii="Arial" w:hAnsi="Arial" w:cs="Arial"/>
          <w:w w:val="105"/>
          <w:sz w:val="20"/>
          <w:szCs w:val="20"/>
        </w:rPr>
        <w:t>benefits</w:t>
      </w:r>
      <w:r>
        <w:rPr>
          <w:rFonts w:ascii="Arial" w:hAnsi="Arial" w:cs="Arial"/>
          <w:spacing w:val="-10"/>
          <w:w w:val="105"/>
          <w:sz w:val="20"/>
          <w:szCs w:val="20"/>
        </w:rPr>
        <w:t xml:space="preserve"> </w:t>
      </w:r>
      <w:r>
        <w:rPr>
          <w:rFonts w:ascii="Arial" w:hAnsi="Arial" w:cs="Arial"/>
          <w:w w:val="105"/>
          <w:sz w:val="20"/>
          <w:szCs w:val="20"/>
        </w:rPr>
        <w:t>for enrollees</w:t>
      </w:r>
      <w:r>
        <w:rPr>
          <w:rFonts w:ascii="Arial" w:hAnsi="Arial" w:cs="Arial"/>
          <w:spacing w:val="1"/>
          <w:w w:val="105"/>
          <w:sz w:val="20"/>
          <w:szCs w:val="20"/>
        </w:rPr>
        <w:t xml:space="preserve"> </w:t>
      </w:r>
      <w:r>
        <w:rPr>
          <w:rFonts w:ascii="Arial" w:hAnsi="Arial" w:cs="Arial"/>
          <w:w w:val="105"/>
          <w:sz w:val="20"/>
          <w:szCs w:val="20"/>
        </w:rPr>
        <w:t>and</w:t>
      </w:r>
      <w:r>
        <w:rPr>
          <w:rFonts w:ascii="Arial" w:hAnsi="Arial" w:cs="Arial"/>
          <w:spacing w:val="-11"/>
          <w:w w:val="105"/>
          <w:sz w:val="20"/>
          <w:szCs w:val="20"/>
        </w:rPr>
        <w:t xml:space="preserve"> </w:t>
      </w:r>
      <w:r>
        <w:rPr>
          <w:rFonts w:ascii="Arial" w:hAnsi="Arial" w:cs="Arial"/>
          <w:w w:val="105"/>
          <w:sz w:val="20"/>
          <w:szCs w:val="20"/>
        </w:rPr>
        <w:t>zero</w:t>
      </w:r>
      <w:r>
        <w:rPr>
          <w:rFonts w:ascii="Arial" w:hAnsi="Arial" w:cs="Arial"/>
          <w:spacing w:val="-1"/>
          <w:w w:val="105"/>
          <w:sz w:val="20"/>
          <w:szCs w:val="20"/>
        </w:rPr>
        <w:t xml:space="preserve"> </w:t>
      </w:r>
      <w:r>
        <w:rPr>
          <w:rFonts w:ascii="Arial" w:hAnsi="Arial" w:cs="Arial"/>
          <w:w w:val="105"/>
          <w:sz w:val="20"/>
          <w:szCs w:val="20"/>
        </w:rPr>
        <w:t>co-pays</w:t>
      </w:r>
      <w:r>
        <w:rPr>
          <w:rFonts w:ascii="Arial" w:hAnsi="Arial" w:cs="Arial"/>
          <w:spacing w:val="-11"/>
          <w:w w:val="105"/>
          <w:sz w:val="20"/>
          <w:szCs w:val="20"/>
        </w:rPr>
        <w:t xml:space="preserve"> </w:t>
      </w:r>
      <w:r>
        <w:rPr>
          <w:rFonts w:ascii="Arial" w:hAnsi="Arial" w:cs="Arial"/>
          <w:w w:val="105"/>
          <w:sz w:val="20"/>
          <w:szCs w:val="20"/>
        </w:rPr>
        <w:t>for prescriptions and all other</w:t>
      </w:r>
      <w:r>
        <w:rPr>
          <w:rFonts w:ascii="Arial" w:hAnsi="Arial" w:cs="Arial"/>
          <w:spacing w:val="-30"/>
          <w:w w:val="105"/>
          <w:sz w:val="20"/>
          <w:szCs w:val="20"/>
        </w:rPr>
        <w:t xml:space="preserve"> </w:t>
      </w:r>
      <w:r>
        <w:rPr>
          <w:rFonts w:ascii="Arial" w:hAnsi="Arial" w:cs="Arial"/>
          <w:w w:val="105"/>
          <w:sz w:val="20"/>
          <w:szCs w:val="20"/>
        </w:rPr>
        <w:t>services.</w:t>
      </w: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9"/>
        <w:rPr>
          <w:rFonts w:ascii="Arial" w:hAnsi="Arial" w:cs="Arial"/>
          <w:sz w:val="19"/>
          <w:szCs w:val="19"/>
        </w:rPr>
      </w:pPr>
    </w:p>
    <w:p w:rsidR="002C5025" w:rsidRDefault="002C5025">
      <w:pPr>
        <w:pStyle w:val="BodyText"/>
        <w:kinsoku w:val="0"/>
        <w:overflowPunct w:val="0"/>
        <w:spacing w:line="259" w:lineRule="auto"/>
        <w:ind w:left="115" w:right="355"/>
        <w:rPr>
          <w:rFonts w:ascii="Arial" w:hAnsi="Arial" w:cs="Arial"/>
          <w:b/>
          <w:bCs/>
          <w:w w:val="95"/>
        </w:rPr>
      </w:pPr>
      <w:r>
        <w:rPr>
          <w:rFonts w:ascii="Arial" w:hAnsi="Arial" w:cs="Arial"/>
          <w:b/>
          <w:bCs/>
          <w:w w:val="95"/>
        </w:rPr>
        <w:t>Put in place systems that support innovation in value-based purchasing and creation of transparent quality metrics:</w:t>
      </w:r>
    </w:p>
    <w:p w:rsidR="002C5025" w:rsidRDefault="002C5025">
      <w:pPr>
        <w:pStyle w:val="BodyText"/>
        <w:kinsoku w:val="0"/>
        <w:overflowPunct w:val="0"/>
        <w:rPr>
          <w:rFonts w:ascii="Arial" w:hAnsi="Arial" w:cs="Arial"/>
          <w:b/>
          <w:bCs/>
        </w:rPr>
      </w:pPr>
    </w:p>
    <w:p w:rsidR="002C5025" w:rsidRDefault="002C5025">
      <w:pPr>
        <w:pStyle w:val="BodyText"/>
        <w:kinsoku w:val="0"/>
        <w:overflowPunct w:val="0"/>
        <w:rPr>
          <w:rFonts w:ascii="Arial" w:hAnsi="Arial" w:cs="Arial"/>
          <w:b/>
          <w:bCs/>
        </w:rPr>
      </w:pPr>
    </w:p>
    <w:p w:rsidR="002C5025" w:rsidRDefault="002C5025">
      <w:pPr>
        <w:pStyle w:val="ListParagraph"/>
        <w:numPr>
          <w:ilvl w:val="0"/>
          <w:numId w:val="41"/>
        </w:numPr>
        <w:tabs>
          <w:tab w:val="left" w:pos="1001"/>
        </w:tabs>
        <w:kinsoku w:val="0"/>
        <w:overflowPunct w:val="0"/>
        <w:spacing w:before="197" w:line="290" w:lineRule="auto"/>
        <w:ind w:left="993" w:right="313" w:hanging="345"/>
        <w:rPr>
          <w:rFonts w:ascii="Arial" w:hAnsi="Arial" w:cs="Arial"/>
          <w:w w:val="105"/>
          <w:sz w:val="20"/>
          <w:szCs w:val="20"/>
        </w:rPr>
      </w:pPr>
      <w:r>
        <w:rPr>
          <w:rFonts w:ascii="Arial" w:hAnsi="Arial" w:cs="Arial"/>
          <w:w w:val="105"/>
          <w:sz w:val="20"/>
          <w:szCs w:val="20"/>
        </w:rPr>
        <w:t>Develop outcome measures reflecting consumer values such as independence, self-direction, employment, and integration, documenting rebalancing of spending and use of a</w:t>
      </w:r>
      <w:r>
        <w:rPr>
          <w:rFonts w:ascii="Arial" w:hAnsi="Arial" w:cs="Arial"/>
          <w:spacing w:val="-43"/>
          <w:w w:val="105"/>
          <w:sz w:val="20"/>
          <w:szCs w:val="20"/>
        </w:rPr>
        <w:t xml:space="preserve"> </w:t>
      </w:r>
      <w:r>
        <w:rPr>
          <w:rFonts w:ascii="Arial" w:hAnsi="Arial" w:cs="Arial"/>
          <w:w w:val="105"/>
          <w:sz w:val="20"/>
          <w:szCs w:val="20"/>
        </w:rPr>
        <w:t xml:space="preserve">variety of </w:t>
      </w:r>
      <w:r>
        <w:rPr>
          <w:rFonts w:ascii="Arial" w:hAnsi="Arial" w:cs="Arial"/>
          <w:spacing w:val="-4"/>
          <w:w w:val="105"/>
          <w:sz w:val="20"/>
          <w:szCs w:val="20"/>
        </w:rPr>
        <w:t xml:space="preserve">LTSS </w:t>
      </w:r>
      <w:r>
        <w:rPr>
          <w:rFonts w:ascii="Arial" w:hAnsi="Arial" w:cs="Arial"/>
          <w:w w:val="105"/>
          <w:sz w:val="20"/>
          <w:szCs w:val="20"/>
        </w:rPr>
        <w:t xml:space="preserve">by consumers. To be effective a value-based purchasing system must include incentives that may not </w:t>
      </w:r>
      <w:r>
        <w:rPr>
          <w:rFonts w:ascii="Arial" w:hAnsi="Arial" w:cs="Arial"/>
          <w:spacing w:val="-3"/>
          <w:w w:val="105"/>
          <w:sz w:val="20"/>
          <w:szCs w:val="20"/>
        </w:rPr>
        <w:t xml:space="preserve">result </w:t>
      </w:r>
      <w:r>
        <w:rPr>
          <w:rFonts w:ascii="Arial" w:hAnsi="Arial" w:cs="Arial"/>
          <w:w w:val="105"/>
          <w:sz w:val="20"/>
          <w:szCs w:val="20"/>
        </w:rPr>
        <w:t xml:space="preserve">in direct savings but will </w:t>
      </w:r>
      <w:r>
        <w:rPr>
          <w:rFonts w:ascii="Arial" w:hAnsi="Arial" w:cs="Arial"/>
          <w:spacing w:val="-8"/>
          <w:w w:val="105"/>
          <w:sz w:val="20"/>
          <w:szCs w:val="20"/>
        </w:rPr>
        <w:t xml:space="preserve">lead </w:t>
      </w:r>
      <w:r>
        <w:rPr>
          <w:rFonts w:ascii="Arial" w:hAnsi="Arial" w:cs="Arial"/>
          <w:w w:val="105"/>
          <w:sz w:val="20"/>
          <w:szCs w:val="20"/>
        </w:rPr>
        <w:t>to overall enrollee</w:t>
      </w:r>
      <w:r>
        <w:rPr>
          <w:rFonts w:ascii="Arial" w:hAnsi="Arial" w:cs="Arial"/>
          <w:spacing w:val="16"/>
          <w:w w:val="105"/>
          <w:sz w:val="20"/>
          <w:szCs w:val="20"/>
        </w:rPr>
        <w:t xml:space="preserve"> </w:t>
      </w:r>
      <w:r>
        <w:rPr>
          <w:rFonts w:ascii="Arial" w:hAnsi="Arial" w:cs="Arial"/>
          <w:w w:val="105"/>
          <w:sz w:val="20"/>
          <w:szCs w:val="20"/>
        </w:rPr>
        <w:t>wellness.</w:t>
      </w:r>
    </w:p>
    <w:p w:rsidR="002C5025" w:rsidRDefault="002C5025">
      <w:pPr>
        <w:pStyle w:val="ListParagraph"/>
        <w:numPr>
          <w:ilvl w:val="0"/>
          <w:numId w:val="41"/>
        </w:numPr>
        <w:tabs>
          <w:tab w:val="left" w:pos="1001"/>
        </w:tabs>
        <w:kinsoku w:val="0"/>
        <w:overflowPunct w:val="0"/>
        <w:spacing w:before="197" w:line="290" w:lineRule="auto"/>
        <w:ind w:left="993" w:right="313" w:hanging="345"/>
        <w:rPr>
          <w:rFonts w:ascii="Arial" w:hAnsi="Arial" w:cs="Arial"/>
          <w:w w:val="105"/>
          <w:sz w:val="20"/>
          <w:szCs w:val="20"/>
        </w:rPr>
        <w:sectPr w:rsidR="002C5025">
          <w:pgSz w:w="12240" w:h="15840"/>
          <w:pgMar w:top="940" w:right="1020" w:bottom="280" w:left="720" w:header="720" w:footer="720" w:gutter="0"/>
          <w:cols w:space="720"/>
          <w:noEndnote/>
        </w:sectPr>
      </w:pPr>
    </w:p>
    <w:p w:rsidR="002C5025" w:rsidRDefault="002C5025">
      <w:pPr>
        <w:pStyle w:val="ListParagraph"/>
        <w:numPr>
          <w:ilvl w:val="0"/>
          <w:numId w:val="41"/>
        </w:numPr>
        <w:tabs>
          <w:tab w:val="left" w:pos="1024"/>
        </w:tabs>
        <w:kinsoku w:val="0"/>
        <w:overflowPunct w:val="0"/>
        <w:spacing w:before="51" w:line="290" w:lineRule="auto"/>
        <w:ind w:left="1009" w:right="113" w:hanging="317"/>
        <w:rPr>
          <w:rFonts w:ascii="Arial" w:hAnsi="Arial" w:cs="Arial"/>
          <w:w w:val="105"/>
          <w:sz w:val="20"/>
          <w:szCs w:val="20"/>
        </w:rPr>
      </w:pPr>
      <w:r>
        <w:rPr>
          <w:rFonts w:ascii="Arial" w:hAnsi="Arial" w:cs="Arial"/>
          <w:w w:val="105"/>
          <w:sz w:val="20"/>
          <w:szCs w:val="20"/>
        </w:rPr>
        <w:lastRenderedPageBreak/>
        <w:t>Create a public-facing dashboard that includes population-specific metrics and a star rating system. The</w:t>
      </w:r>
      <w:r>
        <w:rPr>
          <w:rFonts w:ascii="Arial" w:hAnsi="Arial" w:cs="Arial"/>
          <w:spacing w:val="-2"/>
          <w:w w:val="105"/>
          <w:sz w:val="20"/>
          <w:szCs w:val="20"/>
        </w:rPr>
        <w:t xml:space="preserve"> </w:t>
      </w:r>
      <w:r>
        <w:rPr>
          <w:rFonts w:ascii="Arial" w:hAnsi="Arial" w:cs="Arial"/>
          <w:w w:val="105"/>
          <w:sz w:val="20"/>
          <w:szCs w:val="20"/>
        </w:rPr>
        <w:t>dashboard</w:t>
      </w:r>
      <w:r>
        <w:rPr>
          <w:rFonts w:ascii="Arial" w:hAnsi="Arial" w:cs="Arial"/>
          <w:spacing w:val="11"/>
          <w:w w:val="105"/>
          <w:sz w:val="20"/>
          <w:szCs w:val="20"/>
        </w:rPr>
        <w:t xml:space="preserve"> </w:t>
      </w:r>
      <w:r>
        <w:rPr>
          <w:rFonts w:ascii="Arial" w:hAnsi="Arial" w:cs="Arial"/>
          <w:w w:val="105"/>
          <w:sz w:val="20"/>
          <w:szCs w:val="20"/>
        </w:rPr>
        <w:t>should</w:t>
      </w:r>
      <w:r>
        <w:rPr>
          <w:rFonts w:ascii="Arial" w:hAnsi="Arial" w:cs="Arial"/>
          <w:spacing w:val="-8"/>
          <w:w w:val="105"/>
          <w:sz w:val="20"/>
          <w:szCs w:val="20"/>
        </w:rPr>
        <w:t xml:space="preserve"> </w:t>
      </w:r>
      <w:r>
        <w:rPr>
          <w:rFonts w:ascii="Arial" w:hAnsi="Arial" w:cs="Arial"/>
          <w:spacing w:val="-4"/>
          <w:w w:val="105"/>
          <w:sz w:val="20"/>
          <w:szCs w:val="20"/>
        </w:rPr>
        <w:t>include</w:t>
      </w:r>
      <w:r>
        <w:rPr>
          <w:rFonts w:ascii="Arial" w:hAnsi="Arial" w:cs="Arial"/>
          <w:spacing w:val="-10"/>
          <w:w w:val="105"/>
          <w:sz w:val="20"/>
          <w:szCs w:val="20"/>
        </w:rPr>
        <w:t xml:space="preserve"> </w:t>
      </w:r>
      <w:r>
        <w:rPr>
          <w:rFonts w:ascii="Arial" w:hAnsi="Arial" w:cs="Arial"/>
          <w:w w:val="105"/>
          <w:sz w:val="20"/>
          <w:szCs w:val="20"/>
        </w:rPr>
        <w:t>current</w:t>
      </w:r>
      <w:r>
        <w:rPr>
          <w:rFonts w:ascii="Arial" w:hAnsi="Arial" w:cs="Arial"/>
          <w:spacing w:val="1"/>
          <w:w w:val="105"/>
          <w:sz w:val="20"/>
          <w:szCs w:val="20"/>
        </w:rPr>
        <w:t xml:space="preserve"> </w:t>
      </w:r>
      <w:r>
        <w:rPr>
          <w:rFonts w:ascii="Arial" w:hAnsi="Arial" w:cs="Arial"/>
          <w:w w:val="105"/>
          <w:sz w:val="20"/>
          <w:szCs w:val="20"/>
        </w:rPr>
        <w:t>quality</w:t>
      </w:r>
      <w:r>
        <w:rPr>
          <w:rFonts w:ascii="Arial" w:hAnsi="Arial" w:cs="Arial"/>
          <w:spacing w:val="-6"/>
          <w:w w:val="105"/>
          <w:sz w:val="20"/>
          <w:szCs w:val="20"/>
        </w:rPr>
        <w:t xml:space="preserve"> </w:t>
      </w:r>
      <w:r>
        <w:rPr>
          <w:rFonts w:ascii="Arial" w:hAnsi="Arial" w:cs="Arial"/>
          <w:w w:val="105"/>
          <w:sz w:val="20"/>
          <w:szCs w:val="20"/>
        </w:rPr>
        <w:t>metrics</w:t>
      </w:r>
      <w:r>
        <w:rPr>
          <w:rFonts w:ascii="Arial" w:hAnsi="Arial" w:cs="Arial"/>
          <w:spacing w:val="-5"/>
          <w:w w:val="105"/>
          <w:sz w:val="20"/>
          <w:szCs w:val="20"/>
        </w:rPr>
        <w:t xml:space="preserve"> </w:t>
      </w:r>
      <w:r>
        <w:rPr>
          <w:rFonts w:ascii="Arial" w:hAnsi="Arial" w:cs="Arial"/>
          <w:w w:val="105"/>
          <w:sz w:val="20"/>
          <w:szCs w:val="20"/>
        </w:rPr>
        <w:t>and</w:t>
      </w:r>
      <w:r>
        <w:rPr>
          <w:rFonts w:ascii="Arial" w:hAnsi="Arial" w:cs="Arial"/>
          <w:spacing w:val="-6"/>
          <w:w w:val="105"/>
          <w:sz w:val="20"/>
          <w:szCs w:val="20"/>
        </w:rPr>
        <w:t xml:space="preserve"> </w:t>
      </w:r>
      <w:r>
        <w:rPr>
          <w:rFonts w:ascii="Arial" w:hAnsi="Arial" w:cs="Arial"/>
          <w:w w:val="105"/>
          <w:sz w:val="20"/>
          <w:szCs w:val="20"/>
        </w:rPr>
        <w:t>metrics</w:t>
      </w:r>
      <w:r>
        <w:rPr>
          <w:rFonts w:ascii="Arial" w:hAnsi="Arial" w:cs="Arial"/>
          <w:spacing w:val="-13"/>
          <w:w w:val="105"/>
          <w:sz w:val="20"/>
          <w:szCs w:val="20"/>
        </w:rPr>
        <w:t xml:space="preserve"> </w:t>
      </w:r>
      <w:r>
        <w:rPr>
          <w:rFonts w:ascii="Arial" w:hAnsi="Arial" w:cs="Arial"/>
          <w:w w:val="105"/>
          <w:sz w:val="20"/>
          <w:szCs w:val="20"/>
        </w:rPr>
        <w:t>to</w:t>
      </w:r>
      <w:r>
        <w:rPr>
          <w:rFonts w:ascii="Arial" w:hAnsi="Arial" w:cs="Arial"/>
          <w:spacing w:val="-3"/>
          <w:w w:val="105"/>
          <w:sz w:val="20"/>
          <w:szCs w:val="20"/>
        </w:rPr>
        <w:t xml:space="preserve"> </w:t>
      </w:r>
      <w:r>
        <w:rPr>
          <w:rFonts w:ascii="Arial" w:hAnsi="Arial" w:cs="Arial"/>
          <w:w w:val="105"/>
          <w:sz w:val="20"/>
          <w:szCs w:val="20"/>
        </w:rPr>
        <w:t>be</w:t>
      </w:r>
      <w:r>
        <w:rPr>
          <w:rFonts w:ascii="Arial" w:hAnsi="Arial" w:cs="Arial"/>
          <w:spacing w:val="-5"/>
          <w:w w:val="105"/>
          <w:sz w:val="20"/>
          <w:szCs w:val="20"/>
        </w:rPr>
        <w:t xml:space="preserve"> </w:t>
      </w:r>
      <w:r>
        <w:rPr>
          <w:rFonts w:ascii="Arial" w:hAnsi="Arial" w:cs="Arial"/>
          <w:w w:val="105"/>
          <w:sz w:val="20"/>
          <w:szCs w:val="20"/>
        </w:rPr>
        <w:t>piloted</w:t>
      </w:r>
      <w:r>
        <w:rPr>
          <w:rFonts w:ascii="Arial" w:hAnsi="Arial" w:cs="Arial"/>
          <w:spacing w:val="-3"/>
          <w:w w:val="105"/>
          <w:sz w:val="20"/>
          <w:szCs w:val="20"/>
        </w:rPr>
        <w:t xml:space="preserve"> </w:t>
      </w:r>
      <w:r>
        <w:rPr>
          <w:rFonts w:ascii="Arial" w:hAnsi="Arial" w:cs="Arial"/>
          <w:w w:val="105"/>
          <w:sz w:val="20"/>
          <w:szCs w:val="20"/>
        </w:rPr>
        <w:t>over</w:t>
      </w:r>
      <w:r>
        <w:rPr>
          <w:rFonts w:ascii="Arial" w:hAnsi="Arial" w:cs="Arial"/>
          <w:spacing w:val="-6"/>
          <w:w w:val="105"/>
          <w:sz w:val="20"/>
          <w:szCs w:val="20"/>
        </w:rPr>
        <w:t xml:space="preserve"> </w:t>
      </w:r>
      <w:r>
        <w:rPr>
          <w:rFonts w:ascii="Arial" w:hAnsi="Arial" w:cs="Arial"/>
          <w:w w:val="105"/>
          <w:sz w:val="20"/>
          <w:szCs w:val="20"/>
        </w:rPr>
        <w:t>the</w:t>
      </w:r>
      <w:r>
        <w:rPr>
          <w:rFonts w:ascii="Arial" w:hAnsi="Arial" w:cs="Arial"/>
          <w:spacing w:val="5"/>
          <w:w w:val="105"/>
          <w:sz w:val="20"/>
          <w:szCs w:val="20"/>
        </w:rPr>
        <w:t xml:space="preserve"> </w:t>
      </w:r>
      <w:r>
        <w:rPr>
          <w:rFonts w:ascii="Arial" w:hAnsi="Arial" w:cs="Arial"/>
          <w:w w:val="105"/>
          <w:sz w:val="20"/>
          <w:szCs w:val="20"/>
        </w:rPr>
        <w:t>course of</w:t>
      </w:r>
      <w:r>
        <w:rPr>
          <w:rFonts w:ascii="Arial" w:hAnsi="Arial" w:cs="Arial"/>
          <w:spacing w:val="-12"/>
          <w:w w:val="105"/>
          <w:sz w:val="20"/>
          <w:szCs w:val="20"/>
        </w:rPr>
        <w:t xml:space="preserve"> </w:t>
      </w:r>
      <w:r>
        <w:rPr>
          <w:rFonts w:ascii="Arial" w:hAnsi="Arial" w:cs="Arial"/>
          <w:w w:val="105"/>
          <w:sz w:val="20"/>
          <w:szCs w:val="20"/>
        </w:rPr>
        <w:t xml:space="preserve">the five-year waiver. Community involvement in the determination of ACO performance criteria and transparency </w:t>
      </w:r>
      <w:r>
        <w:rPr>
          <w:rFonts w:ascii="Arial" w:hAnsi="Arial" w:cs="Arial"/>
          <w:spacing w:val="-15"/>
          <w:w w:val="105"/>
          <w:sz w:val="20"/>
          <w:szCs w:val="20"/>
        </w:rPr>
        <w:t xml:space="preserve">is </w:t>
      </w:r>
      <w:r>
        <w:rPr>
          <w:rFonts w:ascii="Arial" w:hAnsi="Arial" w:cs="Arial"/>
          <w:w w:val="105"/>
          <w:sz w:val="20"/>
          <w:szCs w:val="20"/>
        </w:rPr>
        <w:t xml:space="preserve">fundamental. The dashboard should </w:t>
      </w:r>
      <w:r>
        <w:rPr>
          <w:rFonts w:ascii="Arial" w:hAnsi="Arial" w:cs="Arial"/>
          <w:spacing w:val="-4"/>
          <w:w w:val="105"/>
          <w:sz w:val="20"/>
          <w:szCs w:val="20"/>
        </w:rPr>
        <w:t xml:space="preserve">include </w:t>
      </w:r>
      <w:r>
        <w:rPr>
          <w:rFonts w:ascii="Arial" w:hAnsi="Arial" w:cs="Arial"/>
          <w:w w:val="105"/>
          <w:sz w:val="20"/>
          <w:szCs w:val="20"/>
        </w:rPr>
        <w:t>objective metrics that assist consumers to</w:t>
      </w:r>
      <w:r>
        <w:rPr>
          <w:rFonts w:ascii="Arial" w:hAnsi="Arial" w:cs="Arial"/>
          <w:spacing w:val="-2"/>
          <w:w w:val="105"/>
          <w:sz w:val="20"/>
          <w:szCs w:val="20"/>
        </w:rPr>
        <w:t xml:space="preserve"> </w:t>
      </w:r>
      <w:r>
        <w:rPr>
          <w:rFonts w:ascii="Arial" w:hAnsi="Arial" w:cs="Arial"/>
          <w:w w:val="105"/>
          <w:sz w:val="20"/>
          <w:szCs w:val="20"/>
        </w:rPr>
        <w:t>make</w:t>
      </w:r>
      <w:r>
        <w:rPr>
          <w:rFonts w:ascii="Arial" w:hAnsi="Arial" w:cs="Arial"/>
          <w:spacing w:val="-11"/>
          <w:w w:val="105"/>
          <w:sz w:val="20"/>
          <w:szCs w:val="20"/>
        </w:rPr>
        <w:t xml:space="preserve"> </w:t>
      </w:r>
      <w:r>
        <w:rPr>
          <w:rFonts w:ascii="Arial" w:hAnsi="Arial" w:cs="Arial"/>
          <w:w w:val="105"/>
          <w:sz w:val="20"/>
          <w:szCs w:val="20"/>
        </w:rPr>
        <w:t>an</w:t>
      </w:r>
      <w:r>
        <w:rPr>
          <w:rFonts w:ascii="Arial" w:hAnsi="Arial" w:cs="Arial"/>
          <w:spacing w:val="-3"/>
          <w:w w:val="105"/>
          <w:sz w:val="20"/>
          <w:szCs w:val="20"/>
        </w:rPr>
        <w:t xml:space="preserve"> informed</w:t>
      </w:r>
      <w:r>
        <w:rPr>
          <w:rFonts w:ascii="Arial" w:hAnsi="Arial" w:cs="Arial"/>
          <w:spacing w:val="-6"/>
          <w:w w:val="105"/>
          <w:sz w:val="20"/>
          <w:szCs w:val="20"/>
        </w:rPr>
        <w:t xml:space="preserve"> </w:t>
      </w:r>
      <w:r>
        <w:rPr>
          <w:rFonts w:ascii="Arial" w:hAnsi="Arial" w:cs="Arial"/>
          <w:w w:val="105"/>
          <w:sz w:val="20"/>
          <w:szCs w:val="20"/>
        </w:rPr>
        <w:t>choice</w:t>
      </w:r>
      <w:r>
        <w:rPr>
          <w:rFonts w:ascii="Arial" w:hAnsi="Arial" w:cs="Arial"/>
          <w:spacing w:val="-17"/>
          <w:w w:val="105"/>
          <w:sz w:val="20"/>
          <w:szCs w:val="20"/>
        </w:rPr>
        <w:t xml:space="preserve"> </w:t>
      </w:r>
      <w:r>
        <w:rPr>
          <w:rFonts w:ascii="Arial" w:hAnsi="Arial" w:cs="Arial"/>
          <w:w w:val="105"/>
          <w:sz w:val="20"/>
          <w:szCs w:val="20"/>
        </w:rPr>
        <w:t>when</w:t>
      </w:r>
      <w:r>
        <w:rPr>
          <w:rFonts w:ascii="Arial" w:hAnsi="Arial" w:cs="Arial"/>
          <w:spacing w:val="1"/>
          <w:w w:val="105"/>
          <w:sz w:val="20"/>
          <w:szCs w:val="20"/>
        </w:rPr>
        <w:t xml:space="preserve"> </w:t>
      </w:r>
      <w:r>
        <w:rPr>
          <w:rFonts w:ascii="Arial" w:hAnsi="Arial" w:cs="Arial"/>
          <w:w w:val="105"/>
          <w:sz w:val="20"/>
          <w:szCs w:val="20"/>
        </w:rPr>
        <w:t>choosing</w:t>
      </w:r>
      <w:r>
        <w:rPr>
          <w:rFonts w:ascii="Arial" w:hAnsi="Arial" w:cs="Arial"/>
          <w:spacing w:val="2"/>
          <w:w w:val="105"/>
          <w:sz w:val="20"/>
          <w:szCs w:val="20"/>
        </w:rPr>
        <w:t xml:space="preserve"> </w:t>
      </w:r>
      <w:r>
        <w:rPr>
          <w:rFonts w:ascii="Arial" w:hAnsi="Arial" w:cs="Arial"/>
          <w:w w:val="105"/>
          <w:sz w:val="20"/>
          <w:szCs w:val="20"/>
        </w:rPr>
        <w:t>an</w:t>
      </w:r>
      <w:r>
        <w:rPr>
          <w:rFonts w:ascii="Arial" w:hAnsi="Arial" w:cs="Arial"/>
          <w:spacing w:val="-21"/>
          <w:w w:val="105"/>
          <w:sz w:val="20"/>
          <w:szCs w:val="20"/>
        </w:rPr>
        <w:t xml:space="preserve"> </w:t>
      </w:r>
      <w:r>
        <w:rPr>
          <w:rFonts w:ascii="Arial" w:hAnsi="Arial" w:cs="Arial"/>
          <w:w w:val="105"/>
          <w:sz w:val="20"/>
          <w:szCs w:val="20"/>
        </w:rPr>
        <w:t>ACO.</w:t>
      </w: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7"/>
        <w:rPr>
          <w:rFonts w:ascii="Arial" w:hAnsi="Arial" w:cs="Arial"/>
          <w:sz w:val="21"/>
          <w:szCs w:val="21"/>
        </w:rPr>
      </w:pPr>
    </w:p>
    <w:p w:rsidR="002C5025" w:rsidRDefault="002C5025">
      <w:pPr>
        <w:pStyle w:val="BodyText"/>
        <w:kinsoku w:val="0"/>
        <w:overflowPunct w:val="0"/>
        <w:spacing w:line="285" w:lineRule="auto"/>
        <w:ind w:left="102" w:right="159" w:firstLine="7"/>
        <w:rPr>
          <w:rFonts w:ascii="Arial" w:hAnsi="Arial" w:cs="Arial"/>
          <w:w w:val="105"/>
          <w:sz w:val="20"/>
          <w:szCs w:val="20"/>
        </w:rPr>
      </w:pPr>
      <w:r>
        <w:rPr>
          <w:rFonts w:ascii="Arial" w:hAnsi="Arial" w:cs="Arial"/>
          <w:w w:val="105"/>
          <w:sz w:val="20"/>
          <w:szCs w:val="20"/>
        </w:rPr>
        <w:t>We thank you very much for your consideration of our concerns and the exhaustive work that you and your team have undertaken to engage the disability community in health reform.</w:t>
      </w:r>
    </w:p>
    <w:p w:rsidR="002C5025" w:rsidRDefault="002C5025">
      <w:pPr>
        <w:pStyle w:val="BodyText"/>
        <w:kinsoku w:val="0"/>
        <w:overflowPunct w:val="0"/>
        <w:spacing w:before="7"/>
        <w:rPr>
          <w:rFonts w:ascii="Arial" w:hAnsi="Arial" w:cs="Arial"/>
          <w:sz w:val="17"/>
          <w:szCs w:val="17"/>
        </w:rPr>
      </w:pPr>
    </w:p>
    <w:p w:rsidR="002C5025" w:rsidRDefault="002C5025">
      <w:pPr>
        <w:pStyle w:val="BodyText"/>
        <w:kinsoku w:val="0"/>
        <w:overflowPunct w:val="0"/>
        <w:ind w:left="109" w:right="159"/>
        <w:rPr>
          <w:rFonts w:ascii="Arial" w:hAnsi="Arial" w:cs="Arial"/>
          <w:w w:val="110"/>
          <w:sz w:val="20"/>
          <w:szCs w:val="20"/>
        </w:rPr>
      </w:pPr>
      <w:r>
        <w:rPr>
          <w:rFonts w:ascii="Arial" w:hAnsi="Arial" w:cs="Arial"/>
          <w:w w:val="110"/>
          <w:sz w:val="20"/>
          <w:szCs w:val="20"/>
        </w:rPr>
        <w:t>Sincerely,</w:t>
      </w:r>
    </w:p>
    <w:p w:rsidR="002C5025" w:rsidRDefault="002C5025">
      <w:pPr>
        <w:pStyle w:val="BodyText"/>
        <w:kinsoku w:val="0"/>
        <w:overflowPunct w:val="0"/>
        <w:spacing w:before="3"/>
        <w:rPr>
          <w:rFonts w:ascii="Arial" w:hAnsi="Arial" w:cs="Arial"/>
          <w:sz w:val="21"/>
          <w:szCs w:val="21"/>
        </w:rPr>
      </w:pPr>
    </w:p>
    <w:p w:rsidR="002C5025" w:rsidRDefault="002C5025">
      <w:pPr>
        <w:pStyle w:val="BodyText"/>
        <w:kinsoku w:val="0"/>
        <w:overflowPunct w:val="0"/>
        <w:spacing w:line="491" w:lineRule="auto"/>
        <w:ind w:left="109" w:right="6634" w:firstLine="7"/>
        <w:rPr>
          <w:rFonts w:ascii="Arial" w:hAnsi="Arial" w:cs="Arial"/>
          <w:w w:val="105"/>
          <w:sz w:val="20"/>
          <w:szCs w:val="20"/>
        </w:rPr>
      </w:pPr>
      <w:r>
        <w:rPr>
          <w:rFonts w:ascii="Arial" w:hAnsi="Arial" w:cs="Arial"/>
          <w:w w:val="105"/>
          <w:sz w:val="20"/>
          <w:szCs w:val="20"/>
        </w:rPr>
        <w:t xml:space="preserve">Dennis </w:t>
      </w:r>
      <w:proofErr w:type="spellStart"/>
      <w:r>
        <w:rPr>
          <w:rFonts w:ascii="Arial" w:hAnsi="Arial" w:cs="Arial"/>
          <w:w w:val="105"/>
          <w:sz w:val="20"/>
          <w:szCs w:val="20"/>
        </w:rPr>
        <w:t>Heaphy</w:t>
      </w:r>
      <w:proofErr w:type="spellEnd"/>
      <w:r>
        <w:rPr>
          <w:rFonts w:ascii="Arial" w:hAnsi="Arial" w:cs="Arial"/>
          <w:w w:val="105"/>
          <w:sz w:val="20"/>
          <w:szCs w:val="20"/>
        </w:rPr>
        <w:t>, DAAHR co-chair, DPC Bill Henning, DAAHR co-chair, BCIL Cc: Secretary Marylou Sudders</w:t>
      </w: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8"/>
        <w:rPr>
          <w:rFonts w:ascii="Arial" w:hAnsi="Arial" w:cs="Arial"/>
          <w:sz w:val="21"/>
          <w:szCs w:val="21"/>
        </w:rPr>
      </w:pPr>
    </w:p>
    <w:p w:rsidR="002C5025" w:rsidRDefault="002C5025">
      <w:pPr>
        <w:pStyle w:val="BodyText"/>
        <w:kinsoku w:val="0"/>
        <w:overflowPunct w:val="0"/>
        <w:spacing w:line="651" w:lineRule="exact"/>
        <w:ind w:left="3845" w:right="3577"/>
        <w:jc w:val="center"/>
        <w:rPr>
          <w:rFonts w:ascii="Arial" w:hAnsi="Arial" w:cs="Arial"/>
          <w:b/>
          <w:bCs/>
          <w:i/>
          <w:iCs/>
          <w:spacing w:val="-50"/>
          <w:w w:val="115"/>
          <w:sz w:val="63"/>
          <w:szCs w:val="63"/>
        </w:rPr>
      </w:pPr>
      <w:r>
        <w:rPr>
          <w:rFonts w:ascii="Arial" w:hAnsi="Arial" w:cs="Arial"/>
          <w:b/>
          <w:bCs/>
          <w:i/>
          <w:iCs/>
          <w:spacing w:val="-50"/>
          <w:w w:val="115"/>
          <w:sz w:val="63"/>
          <w:szCs w:val="63"/>
        </w:rPr>
        <w:t>1199SEIU</w:t>
      </w:r>
    </w:p>
    <w:p w:rsidR="002C5025" w:rsidRDefault="00CF30C1">
      <w:pPr>
        <w:pStyle w:val="BodyText"/>
        <w:kinsoku w:val="0"/>
        <w:overflowPunct w:val="0"/>
        <w:spacing w:line="191" w:lineRule="exact"/>
        <w:ind w:left="3872" w:right="3554"/>
        <w:jc w:val="center"/>
        <w:rPr>
          <w:rFonts w:ascii="Arial" w:hAnsi="Arial" w:cs="Arial"/>
          <w:sz w:val="20"/>
          <w:szCs w:val="20"/>
        </w:rPr>
      </w:pPr>
      <w:r>
        <w:rPr>
          <w:rFonts w:ascii="Times New Roman" w:hAnsi="Times New Roman" w:cs="Times New Roman"/>
          <w:sz w:val="23"/>
          <w:szCs w:val="23"/>
        </w:rPr>
        <w:t>Unit</w:t>
      </w:r>
      <w:r w:rsidR="002C5025">
        <w:rPr>
          <w:rFonts w:ascii="Times New Roman" w:hAnsi="Times New Roman" w:cs="Times New Roman"/>
          <w:sz w:val="23"/>
          <w:szCs w:val="23"/>
        </w:rPr>
        <w:t xml:space="preserve">ed </w:t>
      </w:r>
      <w:r w:rsidR="002C5025">
        <w:rPr>
          <w:rFonts w:ascii="Arial" w:hAnsi="Arial" w:cs="Arial"/>
          <w:sz w:val="20"/>
          <w:szCs w:val="20"/>
        </w:rPr>
        <w:t>H</w:t>
      </w:r>
      <w:r w:rsidR="002C5025">
        <w:rPr>
          <w:rFonts w:ascii="Arial" w:hAnsi="Arial" w:cs="Arial"/>
          <w:sz w:val="20"/>
          <w:szCs w:val="20"/>
          <w:u w:val="thick" w:color="000000"/>
        </w:rPr>
        <w:t>ealthcare Wo</w:t>
      </w:r>
      <w:r w:rsidR="002C5025">
        <w:rPr>
          <w:rFonts w:ascii="Arial" w:hAnsi="Arial" w:cs="Arial"/>
          <w:sz w:val="20"/>
          <w:szCs w:val="20"/>
        </w:rPr>
        <w:t>rkers East</w:t>
      </w:r>
    </w:p>
    <w:p w:rsidR="002C5025" w:rsidRDefault="002C5025">
      <w:pPr>
        <w:pStyle w:val="BodyText"/>
        <w:kinsoku w:val="0"/>
        <w:overflowPunct w:val="0"/>
        <w:spacing w:line="191" w:lineRule="exact"/>
        <w:ind w:left="3872" w:right="3554"/>
        <w:jc w:val="center"/>
        <w:rPr>
          <w:rFonts w:ascii="Arial" w:hAnsi="Arial" w:cs="Arial"/>
          <w:sz w:val="20"/>
          <w:szCs w:val="20"/>
        </w:rPr>
        <w:sectPr w:rsidR="002C5025">
          <w:pgSz w:w="12240" w:h="15840"/>
          <w:pgMar w:top="920" w:right="1080" w:bottom="280" w:left="740" w:header="720" w:footer="720" w:gutter="0"/>
          <w:cols w:space="720" w:equalWidth="0">
            <w:col w:w="10420"/>
          </w:cols>
          <w:noEndnote/>
        </w:sectPr>
      </w:pPr>
    </w:p>
    <w:p w:rsidR="002C5025" w:rsidRDefault="002C5025">
      <w:pPr>
        <w:pStyle w:val="BodyText"/>
        <w:kinsoku w:val="0"/>
        <w:overflowPunct w:val="0"/>
        <w:spacing w:before="47"/>
        <w:ind w:left="131" w:right="701"/>
        <w:rPr>
          <w:rFonts w:ascii="Arial" w:hAnsi="Arial" w:cs="Arial"/>
          <w:spacing w:val="-7"/>
          <w:sz w:val="20"/>
          <w:szCs w:val="20"/>
        </w:rPr>
      </w:pPr>
      <w:r>
        <w:rPr>
          <w:rFonts w:ascii="Arial" w:hAnsi="Arial" w:cs="Arial"/>
          <w:spacing w:val="-104"/>
          <w:sz w:val="20"/>
          <w:szCs w:val="20"/>
        </w:rPr>
        <w:lastRenderedPageBreak/>
        <w:t>I</w:t>
      </w:r>
      <w:r>
        <w:rPr>
          <w:rFonts w:ascii="Arial" w:hAnsi="Arial" w:cs="Arial"/>
          <w:spacing w:val="-7"/>
          <w:sz w:val="20"/>
          <w:szCs w:val="20"/>
          <w:u w:val="thick" w:color="000000"/>
        </w:rPr>
        <w:t xml:space="preserve">ndependent </w:t>
      </w:r>
      <w:r>
        <w:rPr>
          <w:rFonts w:ascii="Arial" w:hAnsi="Arial" w:cs="Arial"/>
          <w:sz w:val="20"/>
          <w:szCs w:val="20"/>
          <w:u w:val="thick" w:color="000000"/>
        </w:rPr>
        <w:t xml:space="preserve">Long </w:t>
      </w:r>
      <w:r>
        <w:rPr>
          <w:rFonts w:ascii="Arial" w:hAnsi="Arial" w:cs="Arial"/>
          <w:spacing w:val="-3"/>
          <w:sz w:val="20"/>
          <w:szCs w:val="20"/>
          <w:u w:val="thick" w:color="000000"/>
        </w:rPr>
        <w:t xml:space="preserve">Term </w:t>
      </w:r>
      <w:r>
        <w:rPr>
          <w:rFonts w:ascii="Arial" w:hAnsi="Arial" w:cs="Arial"/>
          <w:sz w:val="20"/>
          <w:szCs w:val="20"/>
          <w:u w:val="thick" w:color="000000"/>
        </w:rPr>
        <w:t xml:space="preserve">Supports </w:t>
      </w:r>
      <w:r>
        <w:rPr>
          <w:rFonts w:ascii="Arial" w:hAnsi="Arial" w:cs="Arial"/>
          <w:spacing w:val="-7"/>
          <w:sz w:val="20"/>
          <w:szCs w:val="20"/>
          <w:u w:val="thick" w:color="000000"/>
        </w:rPr>
        <w:t xml:space="preserve">and </w:t>
      </w:r>
      <w:proofErr w:type="spellStart"/>
      <w:r>
        <w:rPr>
          <w:rFonts w:ascii="Arial" w:hAnsi="Arial" w:cs="Arial"/>
          <w:sz w:val="20"/>
          <w:szCs w:val="20"/>
          <w:u w:val="thick" w:color="000000"/>
        </w:rPr>
        <w:t>Serl</w:t>
      </w:r>
      <w:proofErr w:type="spellEnd"/>
      <w:r>
        <w:rPr>
          <w:rFonts w:ascii="Arial" w:hAnsi="Arial" w:cs="Arial"/>
          <w:sz w:val="20"/>
          <w:szCs w:val="20"/>
          <w:u w:val="thick" w:color="000000"/>
        </w:rPr>
        <w:t>/lees Coordinator</w:t>
      </w:r>
    </w:p>
    <w:p w:rsidR="002C5025" w:rsidRDefault="002C5025">
      <w:pPr>
        <w:pStyle w:val="BodyText"/>
        <w:kinsoku w:val="0"/>
        <w:overflowPunct w:val="0"/>
        <w:spacing w:before="5"/>
        <w:rPr>
          <w:rFonts w:ascii="Arial" w:hAnsi="Arial" w:cs="Arial"/>
          <w:sz w:val="24"/>
          <w:szCs w:val="24"/>
        </w:rPr>
      </w:pPr>
    </w:p>
    <w:p w:rsidR="002C5025" w:rsidRDefault="00B92FCC">
      <w:pPr>
        <w:pStyle w:val="BodyText"/>
        <w:kinsoku w:val="0"/>
        <w:overflowPunct w:val="0"/>
        <w:spacing w:line="264" w:lineRule="auto"/>
        <w:ind w:left="131" w:right="701"/>
        <w:rPr>
          <w:rFonts w:ascii="Arial" w:hAnsi="Arial" w:cs="Arial"/>
          <w:i/>
          <w:iCs/>
          <w:w w:val="95"/>
          <w:sz w:val="20"/>
          <w:szCs w:val="20"/>
        </w:rPr>
      </w:pPr>
      <w:r>
        <w:rPr>
          <w:rFonts w:ascii="Arial" w:hAnsi="Arial" w:cs="Arial"/>
          <w:i/>
          <w:iCs/>
          <w:sz w:val="20"/>
          <w:szCs w:val="20"/>
        </w:rPr>
        <w:t>Utilizing</w:t>
      </w:r>
      <w:r w:rsidR="002C5025">
        <w:rPr>
          <w:rFonts w:ascii="Arial" w:hAnsi="Arial" w:cs="Arial"/>
          <w:i/>
          <w:iCs/>
          <w:spacing w:val="-37"/>
          <w:sz w:val="20"/>
          <w:szCs w:val="20"/>
        </w:rPr>
        <w:t xml:space="preserve"> </w:t>
      </w:r>
      <w:r w:rsidR="002C5025">
        <w:rPr>
          <w:rFonts w:ascii="Arial" w:hAnsi="Arial" w:cs="Arial"/>
          <w:i/>
          <w:iCs/>
          <w:sz w:val="20"/>
          <w:szCs w:val="20"/>
        </w:rPr>
        <w:t>and</w:t>
      </w:r>
      <w:r w:rsidR="002C5025">
        <w:rPr>
          <w:rFonts w:ascii="Arial" w:hAnsi="Arial" w:cs="Arial"/>
          <w:i/>
          <w:iCs/>
          <w:spacing w:val="-33"/>
          <w:sz w:val="20"/>
          <w:szCs w:val="20"/>
        </w:rPr>
        <w:t xml:space="preserve"> </w:t>
      </w:r>
      <w:r w:rsidR="002C5025">
        <w:rPr>
          <w:rFonts w:ascii="Arial" w:hAnsi="Arial" w:cs="Arial"/>
          <w:i/>
          <w:iCs/>
          <w:sz w:val="20"/>
          <w:szCs w:val="20"/>
        </w:rPr>
        <w:t>mirroring</w:t>
      </w:r>
      <w:r w:rsidR="002C5025">
        <w:rPr>
          <w:rFonts w:ascii="Arial" w:hAnsi="Arial" w:cs="Arial"/>
          <w:i/>
          <w:iCs/>
          <w:spacing w:val="-36"/>
          <w:sz w:val="20"/>
          <w:szCs w:val="20"/>
        </w:rPr>
        <w:t xml:space="preserve"> </w:t>
      </w:r>
      <w:r>
        <w:rPr>
          <w:rFonts w:ascii="Arial" w:hAnsi="Arial" w:cs="Arial"/>
          <w:i/>
          <w:iCs/>
          <w:sz w:val="20"/>
          <w:szCs w:val="20"/>
        </w:rPr>
        <w:t xml:space="preserve">language </w:t>
      </w:r>
      <w:r w:rsidR="002C5025">
        <w:rPr>
          <w:rFonts w:ascii="Arial" w:hAnsi="Arial" w:cs="Arial"/>
          <w:i/>
          <w:iCs/>
          <w:sz w:val="20"/>
          <w:szCs w:val="20"/>
        </w:rPr>
        <w:t>from</w:t>
      </w:r>
      <w:r w:rsidR="002C5025">
        <w:rPr>
          <w:rFonts w:ascii="Arial" w:hAnsi="Arial" w:cs="Arial"/>
          <w:i/>
          <w:iCs/>
          <w:spacing w:val="-32"/>
          <w:sz w:val="20"/>
          <w:szCs w:val="20"/>
        </w:rPr>
        <w:t xml:space="preserve"> </w:t>
      </w:r>
      <w:proofErr w:type="spellStart"/>
      <w:r>
        <w:rPr>
          <w:rFonts w:ascii="Arial" w:hAnsi="Arial" w:cs="Arial"/>
          <w:i/>
          <w:iCs/>
          <w:sz w:val="20"/>
          <w:szCs w:val="20"/>
        </w:rPr>
        <w:t>Ma</w:t>
      </w:r>
      <w:r w:rsidR="002C5025">
        <w:rPr>
          <w:rFonts w:ascii="Arial" w:hAnsi="Arial" w:cs="Arial"/>
          <w:i/>
          <w:iCs/>
          <w:sz w:val="20"/>
          <w:szCs w:val="20"/>
        </w:rPr>
        <w:t>ssHea!th's</w:t>
      </w:r>
      <w:proofErr w:type="spellEnd"/>
      <w:r w:rsidR="002C5025">
        <w:rPr>
          <w:rFonts w:ascii="Arial" w:hAnsi="Arial" w:cs="Arial"/>
          <w:i/>
          <w:iCs/>
          <w:spacing w:val="-40"/>
          <w:sz w:val="20"/>
          <w:szCs w:val="20"/>
        </w:rPr>
        <w:t xml:space="preserve"> </w:t>
      </w:r>
      <w:r w:rsidR="002C5025">
        <w:rPr>
          <w:rFonts w:ascii="Arial" w:hAnsi="Arial" w:cs="Arial"/>
          <w:i/>
          <w:iCs/>
          <w:sz w:val="20"/>
          <w:szCs w:val="20"/>
        </w:rPr>
        <w:t>recent</w:t>
      </w:r>
      <w:r w:rsidR="002C5025">
        <w:rPr>
          <w:rFonts w:ascii="Arial" w:hAnsi="Arial" w:cs="Arial"/>
          <w:i/>
          <w:iCs/>
          <w:spacing w:val="-35"/>
          <w:sz w:val="20"/>
          <w:szCs w:val="20"/>
        </w:rPr>
        <w:t xml:space="preserve"> </w:t>
      </w:r>
      <w:r w:rsidR="002C5025">
        <w:rPr>
          <w:rFonts w:ascii="Arial" w:hAnsi="Arial" w:cs="Arial"/>
          <w:i/>
          <w:iCs/>
          <w:sz w:val="20"/>
          <w:szCs w:val="20"/>
        </w:rPr>
        <w:t>One</w:t>
      </w:r>
      <w:r w:rsidR="002C5025">
        <w:rPr>
          <w:rFonts w:ascii="Arial" w:hAnsi="Arial" w:cs="Arial"/>
          <w:i/>
          <w:iCs/>
          <w:spacing w:val="-40"/>
          <w:sz w:val="20"/>
          <w:szCs w:val="20"/>
        </w:rPr>
        <w:t xml:space="preserve"> </w:t>
      </w:r>
      <w:r w:rsidR="002C5025">
        <w:rPr>
          <w:rFonts w:ascii="Arial" w:hAnsi="Arial" w:cs="Arial"/>
          <w:i/>
          <w:iCs/>
          <w:spacing w:val="-9"/>
          <w:sz w:val="20"/>
          <w:szCs w:val="20"/>
        </w:rPr>
        <w:t>Care</w:t>
      </w:r>
      <w:r w:rsidR="002C5025">
        <w:rPr>
          <w:rFonts w:ascii="Arial" w:hAnsi="Arial" w:cs="Arial"/>
          <w:i/>
          <w:iCs/>
          <w:spacing w:val="-38"/>
          <w:sz w:val="20"/>
          <w:szCs w:val="20"/>
        </w:rPr>
        <w:t xml:space="preserve"> </w:t>
      </w:r>
      <w:r w:rsidR="002C5025">
        <w:rPr>
          <w:rFonts w:ascii="Arial" w:hAnsi="Arial" w:cs="Arial"/>
          <w:i/>
          <w:iCs/>
          <w:sz w:val="20"/>
          <w:szCs w:val="20"/>
        </w:rPr>
        <w:t>Demonstration</w:t>
      </w:r>
      <w:r w:rsidR="002C5025">
        <w:rPr>
          <w:rFonts w:ascii="Arial" w:hAnsi="Arial" w:cs="Arial"/>
          <w:i/>
          <w:iCs/>
          <w:spacing w:val="-32"/>
          <w:sz w:val="20"/>
          <w:szCs w:val="20"/>
        </w:rPr>
        <w:t xml:space="preserve"> </w:t>
      </w:r>
      <w:r w:rsidR="002C5025">
        <w:rPr>
          <w:rFonts w:ascii="Arial" w:hAnsi="Arial" w:cs="Arial"/>
          <w:i/>
          <w:iCs/>
          <w:sz w:val="20"/>
          <w:szCs w:val="20"/>
        </w:rPr>
        <w:t>Proposal</w:t>
      </w:r>
      <w:r w:rsidR="002C5025">
        <w:rPr>
          <w:rFonts w:ascii="Arial" w:hAnsi="Arial" w:cs="Arial"/>
          <w:i/>
          <w:iCs/>
          <w:spacing w:val="-31"/>
          <w:sz w:val="20"/>
          <w:szCs w:val="20"/>
        </w:rPr>
        <w:t xml:space="preserve"> </w:t>
      </w:r>
      <w:r w:rsidR="002C5025">
        <w:rPr>
          <w:rFonts w:ascii="Arial" w:hAnsi="Arial" w:cs="Arial"/>
          <w:i/>
          <w:iCs/>
          <w:sz w:val="20"/>
          <w:szCs w:val="20"/>
        </w:rPr>
        <w:t xml:space="preserve">that </w:t>
      </w:r>
      <w:r w:rsidR="002C5025">
        <w:rPr>
          <w:rFonts w:ascii="Arial" w:hAnsi="Arial" w:cs="Arial"/>
          <w:i/>
          <w:iCs/>
          <w:w w:val="95"/>
          <w:sz w:val="20"/>
          <w:szCs w:val="20"/>
        </w:rPr>
        <w:t>establishes</w:t>
      </w:r>
      <w:r w:rsidR="002C5025">
        <w:rPr>
          <w:rFonts w:ascii="Arial" w:hAnsi="Arial" w:cs="Arial"/>
          <w:i/>
          <w:iCs/>
          <w:spacing w:val="-22"/>
          <w:w w:val="95"/>
          <w:sz w:val="20"/>
          <w:szCs w:val="20"/>
        </w:rPr>
        <w:t xml:space="preserve"> </w:t>
      </w:r>
      <w:r w:rsidR="002C5025">
        <w:rPr>
          <w:rFonts w:ascii="Arial" w:hAnsi="Arial" w:cs="Arial"/>
          <w:i/>
          <w:iCs/>
          <w:w w:val="95"/>
          <w:sz w:val="20"/>
          <w:szCs w:val="20"/>
        </w:rPr>
        <w:t>an</w:t>
      </w:r>
      <w:r w:rsidR="002C5025">
        <w:rPr>
          <w:rFonts w:ascii="Arial" w:hAnsi="Arial" w:cs="Arial"/>
          <w:i/>
          <w:iCs/>
          <w:spacing w:val="-38"/>
          <w:w w:val="95"/>
          <w:sz w:val="20"/>
          <w:szCs w:val="20"/>
        </w:rPr>
        <w:t xml:space="preserve"> </w:t>
      </w:r>
      <w:r w:rsidR="002C5025">
        <w:rPr>
          <w:rFonts w:ascii="Arial" w:hAnsi="Arial" w:cs="Arial"/>
          <w:i/>
          <w:iCs/>
          <w:w w:val="95"/>
          <w:sz w:val="20"/>
          <w:szCs w:val="20"/>
        </w:rPr>
        <w:t>ILTSS</w:t>
      </w:r>
      <w:r w:rsidR="002C5025">
        <w:rPr>
          <w:rFonts w:ascii="Arial" w:hAnsi="Arial" w:cs="Arial"/>
          <w:i/>
          <w:iCs/>
          <w:spacing w:val="-35"/>
          <w:w w:val="95"/>
          <w:sz w:val="20"/>
          <w:szCs w:val="20"/>
        </w:rPr>
        <w:t xml:space="preserve"> </w:t>
      </w:r>
      <w:r w:rsidR="002C5025">
        <w:rPr>
          <w:rFonts w:ascii="Arial" w:hAnsi="Arial" w:cs="Arial"/>
          <w:i/>
          <w:iCs/>
          <w:w w:val="95"/>
          <w:sz w:val="20"/>
          <w:szCs w:val="20"/>
        </w:rPr>
        <w:t>Coordinator</w:t>
      </w:r>
      <w:r w:rsidR="002C5025">
        <w:rPr>
          <w:rFonts w:ascii="Arial" w:hAnsi="Arial" w:cs="Arial"/>
          <w:i/>
          <w:iCs/>
          <w:spacing w:val="-30"/>
          <w:w w:val="95"/>
          <w:sz w:val="20"/>
          <w:szCs w:val="20"/>
        </w:rPr>
        <w:t xml:space="preserve"> </w:t>
      </w:r>
      <w:r w:rsidR="002C5025">
        <w:rPr>
          <w:rFonts w:ascii="Arial" w:hAnsi="Arial" w:cs="Arial"/>
          <w:i/>
          <w:iCs/>
          <w:w w:val="95"/>
          <w:sz w:val="20"/>
          <w:szCs w:val="20"/>
        </w:rPr>
        <w:t>role:</w:t>
      </w:r>
    </w:p>
    <w:p w:rsidR="002C5025" w:rsidRDefault="002C5025">
      <w:pPr>
        <w:pStyle w:val="BodyText"/>
        <w:kinsoku w:val="0"/>
        <w:overflowPunct w:val="0"/>
        <w:spacing w:before="5"/>
        <w:rPr>
          <w:rFonts w:ascii="Arial" w:hAnsi="Arial" w:cs="Arial"/>
          <w:i/>
          <w:iCs/>
        </w:rPr>
      </w:pPr>
    </w:p>
    <w:p w:rsidR="002C5025" w:rsidRDefault="002C5025">
      <w:pPr>
        <w:pStyle w:val="BodyText"/>
        <w:kinsoku w:val="0"/>
        <w:overflowPunct w:val="0"/>
        <w:spacing w:before="1" w:line="247" w:lineRule="auto"/>
        <w:ind w:left="124" w:right="224" w:firstLine="7"/>
        <w:rPr>
          <w:rFonts w:ascii="Arial" w:hAnsi="Arial" w:cs="Arial"/>
          <w:sz w:val="19"/>
          <w:szCs w:val="19"/>
        </w:rPr>
      </w:pPr>
      <w:r>
        <w:rPr>
          <w:rFonts w:ascii="Arial" w:hAnsi="Arial" w:cs="Arial"/>
          <w:w w:val="95"/>
          <w:sz w:val="20"/>
          <w:szCs w:val="20"/>
        </w:rPr>
        <w:t xml:space="preserve">Home </w:t>
      </w:r>
      <w:r>
        <w:rPr>
          <w:rFonts w:ascii="Arial" w:hAnsi="Arial" w:cs="Arial"/>
          <w:w w:val="94"/>
          <w:sz w:val="20"/>
          <w:szCs w:val="20"/>
        </w:rPr>
        <w:t xml:space="preserve">and </w:t>
      </w:r>
      <w:r>
        <w:rPr>
          <w:rFonts w:ascii="Arial" w:hAnsi="Arial" w:cs="Arial"/>
          <w:w w:val="97"/>
          <w:sz w:val="20"/>
          <w:szCs w:val="20"/>
        </w:rPr>
        <w:t xml:space="preserve">community </w:t>
      </w:r>
      <w:r>
        <w:rPr>
          <w:rFonts w:ascii="Arial" w:hAnsi="Arial" w:cs="Arial"/>
          <w:w w:val="90"/>
          <w:sz w:val="20"/>
          <w:szCs w:val="20"/>
        </w:rPr>
        <w:t xml:space="preserve">based </w:t>
      </w:r>
      <w:r>
        <w:rPr>
          <w:rFonts w:ascii="Arial" w:hAnsi="Arial" w:cs="Arial"/>
          <w:spacing w:val="-14"/>
          <w:w w:val="126"/>
          <w:sz w:val="20"/>
          <w:szCs w:val="20"/>
        </w:rPr>
        <w:t xml:space="preserve">long </w:t>
      </w:r>
      <w:r>
        <w:rPr>
          <w:rFonts w:ascii="Arial" w:hAnsi="Arial" w:cs="Arial"/>
          <w:spacing w:val="-14"/>
          <w:w w:val="102"/>
          <w:sz w:val="20"/>
          <w:szCs w:val="20"/>
        </w:rPr>
        <w:t xml:space="preserve">term </w:t>
      </w:r>
      <w:r>
        <w:rPr>
          <w:rFonts w:ascii="Arial" w:hAnsi="Arial" w:cs="Arial"/>
          <w:spacing w:val="-2"/>
          <w:w w:val="106"/>
          <w:sz w:val="19"/>
          <w:szCs w:val="19"/>
        </w:rPr>
        <w:t xml:space="preserve">support </w:t>
      </w:r>
      <w:r>
        <w:rPr>
          <w:rFonts w:ascii="Arial" w:hAnsi="Arial" w:cs="Arial"/>
          <w:spacing w:val="-2"/>
          <w:w w:val="89"/>
          <w:sz w:val="20"/>
          <w:szCs w:val="20"/>
        </w:rPr>
        <w:t xml:space="preserve">and </w:t>
      </w:r>
      <w:r>
        <w:rPr>
          <w:rFonts w:ascii="Times New Roman" w:hAnsi="Times New Roman" w:cs="Times New Roman"/>
          <w:spacing w:val="-2"/>
          <w:w w:val="99"/>
          <w:sz w:val="20"/>
          <w:szCs w:val="20"/>
        </w:rPr>
        <w:t xml:space="preserve">services </w:t>
      </w:r>
      <w:r>
        <w:rPr>
          <w:rFonts w:ascii="Arial" w:hAnsi="Arial" w:cs="Arial"/>
          <w:spacing w:val="-2"/>
          <w:w w:val="77"/>
          <w:sz w:val="20"/>
          <w:szCs w:val="20"/>
        </w:rPr>
        <w:t xml:space="preserve">(LTSS) </w:t>
      </w:r>
      <w:r>
        <w:rPr>
          <w:rFonts w:ascii="Arial" w:hAnsi="Arial" w:cs="Arial"/>
          <w:spacing w:val="-2"/>
          <w:w w:val="89"/>
          <w:sz w:val="20"/>
          <w:szCs w:val="20"/>
        </w:rPr>
        <w:t xml:space="preserve">are </w:t>
      </w:r>
      <w:r>
        <w:rPr>
          <w:rFonts w:ascii="Arial" w:hAnsi="Arial" w:cs="Arial"/>
          <w:spacing w:val="-4"/>
          <w:w w:val="106"/>
          <w:sz w:val="20"/>
          <w:szCs w:val="20"/>
        </w:rPr>
        <w:t xml:space="preserve">critical </w:t>
      </w:r>
      <w:r>
        <w:rPr>
          <w:rFonts w:ascii="Arial" w:hAnsi="Arial" w:cs="Arial"/>
          <w:spacing w:val="-4"/>
          <w:w w:val="114"/>
          <w:sz w:val="19"/>
          <w:szCs w:val="19"/>
        </w:rPr>
        <w:t xml:space="preserve">to </w:t>
      </w:r>
      <w:r>
        <w:rPr>
          <w:rFonts w:ascii="Arial" w:hAnsi="Arial" w:cs="Arial"/>
          <w:spacing w:val="-1"/>
          <w:w w:val="96"/>
          <w:sz w:val="20"/>
          <w:szCs w:val="20"/>
        </w:rPr>
        <w:t xml:space="preserve">enabling people </w:t>
      </w:r>
      <w:r>
        <w:rPr>
          <w:rFonts w:ascii="Arial" w:hAnsi="Arial" w:cs="Arial"/>
          <w:spacing w:val="-1"/>
          <w:w w:val="118"/>
          <w:sz w:val="19"/>
          <w:szCs w:val="19"/>
        </w:rPr>
        <w:t xml:space="preserve">to </w:t>
      </w:r>
      <w:r>
        <w:rPr>
          <w:rFonts w:ascii="Arial" w:hAnsi="Arial" w:cs="Arial"/>
          <w:spacing w:val="-1"/>
          <w:w w:val="103"/>
          <w:sz w:val="20"/>
          <w:szCs w:val="20"/>
        </w:rPr>
        <w:t>live</w:t>
      </w:r>
      <w:r>
        <w:rPr>
          <w:rFonts w:ascii="Arial" w:hAnsi="Arial" w:cs="Arial"/>
          <w:w w:val="103"/>
          <w:sz w:val="20"/>
          <w:szCs w:val="20"/>
        </w:rPr>
        <w:t xml:space="preserve"> </w:t>
      </w:r>
      <w:r>
        <w:rPr>
          <w:rFonts w:ascii="Arial" w:hAnsi="Arial" w:cs="Arial"/>
          <w:spacing w:val="-4"/>
          <w:w w:val="106"/>
          <w:sz w:val="20"/>
          <w:szCs w:val="20"/>
        </w:rPr>
        <w:t xml:space="preserve">independently </w:t>
      </w:r>
      <w:r>
        <w:rPr>
          <w:rFonts w:ascii="Arial" w:hAnsi="Arial" w:cs="Arial"/>
          <w:w w:val="89"/>
          <w:sz w:val="20"/>
          <w:szCs w:val="20"/>
        </w:rPr>
        <w:t xml:space="preserve">and </w:t>
      </w:r>
      <w:r>
        <w:rPr>
          <w:rFonts w:ascii="Times New Roman" w:hAnsi="Times New Roman" w:cs="Times New Roman"/>
          <w:w w:val="95"/>
          <w:sz w:val="23"/>
          <w:szCs w:val="23"/>
        </w:rPr>
        <w:t xml:space="preserve">to </w:t>
      </w:r>
      <w:r>
        <w:rPr>
          <w:rFonts w:ascii="Times New Roman" w:hAnsi="Times New Roman" w:cs="Times New Roman"/>
          <w:w w:val="94"/>
        </w:rPr>
        <w:t xml:space="preserve">remain </w:t>
      </w:r>
      <w:r>
        <w:rPr>
          <w:rFonts w:ascii="Arial" w:hAnsi="Arial" w:cs="Arial"/>
          <w:spacing w:val="-15"/>
          <w:w w:val="135"/>
          <w:sz w:val="20"/>
          <w:szCs w:val="20"/>
        </w:rPr>
        <w:t xml:space="preserve">in </w:t>
      </w:r>
      <w:r w:rsidR="00B92FCC">
        <w:rPr>
          <w:rFonts w:ascii="Times New Roman" w:hAnsi="Times New Roman" w:cs="Times New Roman"/>
          <w:w w:val="99"/>
        </w:rPr>
        <w:t>thei</w:t>
      </w:r>
      <w:r>
        <w:rPr>
          <w:rFonts w:ascii="Times New Roman" w:hAnsi="Times New Roman" w:cs="Times New Roman"/>
          <w:w w:val="99"/>
        </w:rPr>
        <w:t xml:space="preserve">r </w:t>
      </w:r>
      <w:r>
        <w:rPr>
          <w:rFonts w:ascii="Arial" w:hAnsi="Arial" w:cs="Arial"/>
          <w:w w:val="99"/>
          <w:sz w:val="19"/>
          <w:szCs w:val="19"/>
        </w:rPr>
        <w:t xml:space="preserve">homes </w:t>
      </w:r>
      <w:r>
        <w:rPr>
          <w:rFonts w:ascii="Arial" w:hAnsi="Arial" w:cs="Arial"/>
          <w:w w:val="89"/>
          <w:sz w:val="20"/>
          <w:szCs w:val="20"/>
        </w:rPr>
        <w:t xml:space="preserve">and </w:t>
      </w:r>
      <w:r>
        <w:rPr>
          <w:rFonts w:ascii="Arial" w:hAnsi="Arial" w:cs="Arial"/>
          <w:spacing w:val="1"/>
          <w:w w:val="96"/>
          <w:sz w:val="20"/>
          <w:szCs w:val="20"/>
        </w:rPr>
        <w:t xml:space="preserve">communities. </w:t>
      </w:r>
      <w:r>
        <w:rPr>
          <w:rFonts w:ascii="Times New Roman" w:hAnsi="Times New Roman" w:cs="Times New Roman"/>
          <w:w w:val="75"/>
        </w:rPr>
        <w:t xml:space="preserve">It </w:t>
      </w:r>
      <w:r w:rsidR="00B92FCC">
        <w:rPr>
          <w:rFonts w:ascii="Times New Roman" w:hAnsi="Times New Roman" w:cs="Times New Roman"/>
          <w:w w:val="95"/>
        </w:rPr>
        <w:t>i</w:t>
      </w:r>
      <w:r>
        <w:rPr>
          <w:rFonts w:ascii="Times New Roman" w:hAnsi="Times New Roman" w:cs="Times New Roman"/>
          <w:w w:val="95"/>
        </w:rPr>
        <w:t xml:space="preserve">s </w:t>
      </w:r>
      <w:r>
        <w:rPr>
          <w:rFonts w:ascii="Arial" w:hAnsi="Arial" w:cs="Arial"/>
          <w:spacing w:val="2"/>
          <w:w w:val="99"/>
          <w:sz w:val="20"/>
          <w:szCs w:val="20"/>
        </w:rPr>
        <w:t>essential</w:t>
      </w:r>
      <w:r w:rsidR="00B92FCC">
        <w:rPr>
          <w:rFonts w:ascii="Arial" w:hAnsi="Arial" w:cs="Arial"/>
          <w:spacing w:val="2"/>
          <w:w w:val="99"/>
          <w:sz w:val="20"/>
          <w:szCs w:val="20"/>
        </w:rPr>
        <w:t xml:space="preserve"> th</w:t>
      </w:r>
      <w:r>
        <w:rPr>
          <w:rFonts w:ascii="Arial" w:hAnsi="Arial" w:cs="Arial"/>
          <w:spacing w:val="2"/>
          <w:w w:val="99"/>
          <w:sz w:val="20"/>
          <w:szCs w:val="20"/>
        </w:rPr>
        <w:t xml:space="preserve">at </w:t>
      </w:r>
      <w:r>
        <w:rPr>
          <w:rFonts w:ascii="Arial" w:hAnsi="Arial" w:cs="Arial"/>
          <w:w w:val="90"/>
          <w:sz w:val="20"/>
          <w:szCs w:val="20"/>
        </w:rPr>
        <w:t xml:space="preserve">MassHealth </w:t>
      </w:r>
      <w:r>
        <w:rPr>
          <w:rFonts w:ascii="Times New Roman" w:hAnsi="Times New Roman" w:cs="Times New Roman"/>
          <w:w w:val="79"/>
        </w:rPr>
        <w:t xml:space="preserve">ACO </w:t>
      </w:r>
      <w:r>
        <w:rPr>
          <w:rFonts w:ascii="Arial" w:hAnsi="Arial" w:cs="Arial"/>
          <w:w w:val="94"/>
          <w:sz w:val="20"/>
          <w:szCs w:val="20"/>
        </w:rPr>
        <w:t xml:space="preserve">care </w:t>
      </w:r>
      <w:r>
        <w:rPr>
          <w:rFonts w:ascii="Arial" w:hAnsi="Arial" w:cs="Arial"/>
          <w:w w:val="102"/>
          <w:sz w:val="19"/>
          <w:szCs w:val="19"/>
        </w:rPr>
        <w:t xml:space="preserve">teams </w:t>
      </w:r>
      <w:r>
        <w:rPr>
          <w:rFonts w:ascii="Arial" w:hAnsi="Arial" w:cs="Arial"/>
          <w:w w:val="90"/>
          <w:sz w:val="21"/>
          <w:szCs w:val="21"/>
        </w:rPr>
        <w:t xml:space="preserve">have </w:t>
      </w:r>
      <w:r>
        <w:rPr>
          <w:rFonts w:ascii="Arial" w:hAnsi="Arial" w:cs="Arial"/>
          <w:w w:val="83"/>
          <w:sz w:val="21"/>
          <w:szCs w:val="21"/>
        </w:rPr>
        <w:t xml:space="preserve">a </w:t>
      </w:r>
      <w:r>
        <w:rPr>
          <w:rFonts w:ascii="Arial" w:hAnsi="Arial" w:cs="Arial"/>
          <w:spacing w:val="-1"/>
          <w:w w:val="92"/>
          <w:sz w:val="20"/>
          <w:szCs w:val="20"/>
        </w:rPr>
        <w:t xml:space="preserve">designated </w:t>
      </w:r>
      <w:r>
        <w:rPr>
          <w:rFonts w:ascii="Arial" w:hAnsi="Arial" w:cs="Arial"/>
          <w:spacing w:val="-1"/>
          <w:w w:val="93"/>
          <w:sz w:val="20"/>
          <w:szCs w:val="20"/>
        </w:rPr>
        <w:t xml:space="preserve">resource </w:t>
      </w:r>
      <w:r>
        <w:rPr>
          <w:rFonts w:ascii="Arial" w:hAnsi="Arial" w:cs="Arial"/>
          <w:spacing w:val="-1"/>
          <w:w w:val="96"/>
          <w:sz w:val="21"/>
          <w:szCs w:val="21"/>
        </w:rPr>
        <w:t xml:space="preserve">with </w:t>
      </w:r>
      <w:r>
        <w:rPr>
          <w:rFonts w:ascii="Arial" w:hAnsi="Arial" w:cs="Arial"/>
          <w:spacing w:val="-2"/>
          <w:w w:val="97"/>
          <w:sz w:val="20"/>
          <w:szCs w:val="20"/>
        </w:rPr>
        <w:t xml:space="preserve">expertise </w:t>
      </w:r>
      <w:r>
        <w:rPr>
          <w:rFonts w:ascii="Arial" w:hAnsi="Arial" w:cs="Arial"/>
          <w:spacing w:val="-27"/>
          <w:w w:val="155"/>
          <w:sz w:val="20"/>
          <w:szCs w:val="20"/>
        </w:rPr>
        <w:t xml:space="preserve">in </w:t>
      </w:r>
      <w:r>
        <w:rPr>
          <w:rFonts w:ascii="Arial" w:hAnsi="Arial" w:cs="Arial"/>
          <w:spacing w:val="-2"/>
          <w:w w:val="104"/>
          <w:sz w:val="20"/>
          <w:szCs w:val="20"/>
        </w:rPr>
        <w:t>understanding</w:t>
      </w:r>
      <w:r w:rsidR="00B92FCC">
        <w:rPr>
          <w:rFonts w:ascii="Arial" w:hAnsi="Arial" w:cs="Arial"/>
          <w:spacing w:val="-2"/>
          <w:w w:val="104"/>
          <w:sz w:val="20"/>
          <w:szCs w:val="20"/>
        </w:rPr>
        <w:t xml:space="preserve"> </w:t>
      </w:r>
      <w:r>
        <w:rPr>
          <w:rFonts w:ascii="Arial" w:hAnsi="Arial" w:cs="Arial"/>
          <w:spacing w:val="-2"/>
          <w:w w:val="104"/>
          <w:sz w:val="20"/>
          <w:szCs w:val="20"/>
        </w:rPr>
        <w:t xml:space="preserve">different </w:t>
      </w:r>
      <w:r>
        <w:rPr>
          <w:rFonts w:ascii="Arial" w:hAnsi="Arial" w:cs="Arial"/>
          <w:spacing w:val="-3"/>
          <w:w w:val="95"/>
          <w:sz w:val="20"/>
          <w:szCs w:val="20"/>
        </w:rPr>
        <w:t xml:space="preserve">kinds </w:t>
      </w:r>
      <w:r>
        <w:rPr>
          <w:rFonts w:ascii="Arial" w:hAnsi="Arial" w:cs="Arial"/>
          <w:spacing w:val="-3"/>
          <w:w w:val="96"/>
          <w:sz w:val="21"/>
          <w:szCs w:val="21"/>
        </w:rPr>
        <w:t xml:space="preserve">of </w:t>
      </w:r>
      <w:r>
        <w:rPr>
          <w:rFonts w:ascii="Arial" w:hAnsi="Arial" w:cs="Arial"/>
          <w:spacing w:val="-3"/>
          <w:w w:val="73"/>
          <w:sz w:val="20"/>
          <w:szCs w:val="20"/>
        </w:rPr>
        <w:t xml:space="preserve">LTSS </w:t>
      </w:r>
      <w:r>
        <w:rPr>
          <w:rFonts w:ascii="Arial" w:hAnsi="Arial" w:cs="Arial"/>
          <w:spacing w:val="-3"/>
          <w:w w:val="96"/>
          <w:sz w:val="20"/>
          <w:szCs w:val="20"/>
        </w:rPr>
        <w:t xml:space="preserve">needs </w:t>
      </w:r>
      <w:r>
        <w:rPr>
          <w:rFonts w:ascii="Arial" w:hAnsi="Arial" w:cs="Arial"/>
          <w:spacing w:val="-3"/>
          <w:sz w:val="20"/>
          <w:szCs w:val="20"/>
        </w:rPr>
        <w:t>and</w:t>
      </w:r>
      <w:r>
        <w:rPr>
          <w:rFonts w:ascii="Arial" w:hAnsi="Arial" w:cs="Arial"/>
          <w:sz w:val="20"/>
          <w:szCs w:val="20"/>
        </w:rPr>
        <w:t xml:space="preserve"> the </w:t>
      </w:r>
      <w:r>
        <w:rPr>
          <w:rFonts w:ascii="Arial" w:hAnsi="Arial" w:cs="Arial"/>
          <w:sz w:val="19"/>
          <w:szCs w:val="19"/>
        </w:rPr>
        <w:t xml:space="preserve">resources </w:t>
      </w:r>
      <w:r>
        <w:rPr>
          <w:rFonts w:ascii="Arial" w:hAnsi="Arial" w:cs="Arial"/>
          <w:sz w:val="20"/>
          <w:szCs w:val="20"/>
        </w:rPr>
        <w:t xml:space="preserve">available </w:t>
      </w:r>
      <w:r>
        <w:rPr>
          <w:rFonts w:ascii="Arial" w:hAnsi="Arial" w:cs="Arial"/>
          <w:spacing w:val="-17"/>
          <w:w w:val="125"/>
          <w:sz w:val="20"/>
          <w:szCs w:val="20"/>
        </w:rPr>
        <w:t xml:space="preserve">In </w:t>
      </w:r>
      <w:r>
        <w:rPr>
          <w:rFonts w:ascii="Arial" w:hAnsi="Arial" w:cs="Arial"/>
          <w:sz w:val="20"/>
          <w:szCs w:val="20"/>
        </w:rPr>
        <w:t xml:space="preserve">the </w:t>
      </w:r>
      <w:r>
        <w:rPr>
          <w:rFonts w:ascii="Arial" w:hAnsi="Arial" w:cs="Arial"/>
          <w:spacing w:val="-3"/>
          <w:sz w:val="19"/>
          <w:szCs w:val="19"/>
        </w:rPr>
        <w:t xml:space="preserve">community </w:t>
      </w:r>
      <w:r>
        <w:rPr>
          <w:rFonts w:ascii="Arial" w:hAnsi="Arial" w:cs="Arial"/>
          <w:w w:val="125"/>
          <w:sz w:val="19"/>
          <w:szCs w:val="19"/>
        </w:rPr>
        <w:t xml:space="preserve">to </w:t>
      </w:r>
      <w:r w:rsidR="00B92FCC">
        <w:rPr>
          <w:rFonts w:ascii="Arial" w:hAnsi="Arial" w:cs="Arial"/>
          <w:sz w:val="19"/>
          <w:szCs w:val="19"/>
        </w:rPr>
        <w:t>a</w:t>
      </w:r>
      <w:r>
        <w:rPr>
          <w:rFonts w:ascii="Arial" w:hAnsi="Arial" w:cs="Arial"/>
          <w:sz w:val="19"/>
          <w:szCs w:val="19"/>
        </w:rPr>
        <w:t>ddress them.</w:t>
      </w:r>
    </w:p>
    <w:p w:rsidR="002C5025" w:rsidRDefault="002C5025">
      <w:pPr>
        <w:pStyle w:val="BodyText"/>
        <w:kinsoku w:val="0"/>
        <w:overflowPunct w:val="0"/>
        <w:spacing w:before="10"/>
        <w:rPr>
          <w:rFonts w:ascii="Arial" w:hAnsi="Arial" w:cs="Arial"/>
          <w:sz w:val="23"/>
          <w:szCs w:val="23"/>
        </w:rPr>
      </w:pPr>
    </w:p>
    <w:p w:rsidR="002C5025" w:rsidRDefault="002C5025">
      <w:pPr>
        <w:pStyle w:val="BodyText"/>
        <w:kinsoku w:val="0"/>
        <w:overflowPunct w:val="0"/>
        <w:spacing w:line="259" w:lineRule="auto"/>
        <w:ind w:left="124" w:right="315" w:firstLine="7"/>
        <w:rPr>
          <w:rFonts w:ascii="Arial" w:hAnsi="Arial" w:cs="Arial"/>
          <w:w w:val="94"/>
          <w:sz w:val="20"/>
          <w:szCs w:val="20"/>
        </w:rPr>
      </w:pPr>
      <w:r>
        <w:rPr>
          <w:rFonts w:ascii="Arial" w:hAnsi="Arial" w:cs="Arial"/>
          <w:w w:val="87"/>
          <w:sz w:val="20"/>
          <w:szCs w:val="20"/>
        </w:rPr>
        <w:t xml:space="preserve">Each </w:t>
      </w:r>
      <w:r>
        <w:rPr>
          <w:rFonts w:ascii="Arial" w:hAnsi="Arial" w:cs="Arial"/>
          <w:spacing w:val="-2"/>
          <w:w w:val="97"/>
          <w:sz w:val="20"/>
          <w:szCs w:val="20"/>
        </w:rPr>
        <w:t>MassHealth</w:t>
      </w:r>
      <w:r>
        <w:rPr>
          <w:rFonts w:ascii="Arial" w:hAnsi="Arial" w:cs="Arial"/>
          <w:w w:val="97"/>
          <w:sz w:val="20"/>
          <w:szCs w:val="20"/>
        </w:rPr>
        <w:t xml:space="preserve"> </w:t>
      </w:r>
      <w:r>
        <w:rPr>
          <w:rFonts w:ascii="Arial" w:hAnsi="Arial" w:cs="Arial"/>
          <w:w w:val="78"/>
          <w:sz w:val="20"/>
          <w:szCs w:val="20"/>
        </w:rPr>
        <w:t xml:space="preserve">ACO </w:t>
      </w:r>
      <w:r w:rsidR="00B92FCC">
        <w:rPr>
          <w:rFonts w:ascii="Arial" w:hAnsi="Arial" w:cs="Arial"/>
          <w:spacing w:val="-3"/>
          <w:w w:val="92"/>
          <w:sz w:val="20"/>
          <w:szCs w:val="20"/>
        </w:rPr>
        <w:t>appl</w:t>
      </w:r>
      <w:r>
        <w:rPr>
          <w:rFonts w:ascii="Arial" w:hAnsi="Arial" w:cs="Arial"/>
          <w:spacing w:val="-3"/>
          <w:w w:val="92"/>
          <w:sz w:val="20"/>
          <w:szCs w:val="20"/>
        </w:rPr>
        <w:t>ying</w:t>
      </w:r>
      <w:r>
        <w:rPr>
          <w:rFonts w:ascii="Arial" w:hAnsi="Arial" w:cs="Arial"/>
          <w:w w:val="92"/>
          <w:sz w:val="20"/>
          <w:szCs w:val="20"/>
        </w:rPr>
        <w:t xml:space="preserve"> </w:t>
      </w:r>
      <w:r>
        <w:rPr>
          <w:rFonts w:ascii="Arial" w:hAnsi="Arial" w:cs="Arial"/>
          <w:w w:val="102"/>
          <w:sz w:val="20"/>
          <w:szCs w:val="20"/>
        </w:rPr>
        <w:t xml:space="preserve">for </w:t>
      </w:r>
      <w:r>
        <w:rPr>
          <w:rFonts w:ascii="Arial" w:hAnsi="Arial" w:cs="Arial"/>
          <w:w w:val="79"/>
          <w:sz w:val="20"/>
          <w:szCs w:val="20"/>
        </w:rPr>
        <w:t xml:space="preserve">DSRIP </w:t>
      </w:r>
      <w:r>
        <w:rPr>
          <w:rFonts w:ascii="Arial" w:hAnsi="Arial" w:cs="Arial"/>
          <w:spacing w:val="-6"/>
          <w:w w:val="109"/>
          <w:sz w:val="20"/>
          <w:szCs w:val="20"/>
        </w:rPr>
        <w:t>incentive</w:t>
      </w:r>
      <w:r>
        <w:rPr>
          <w:rFonts w:ascii="Arial" w:hAnsi="Arial" w:cs="Arial"/>
          <w:w w:val="109"/>
          <w:sz w:val="20"/>
          <w:szCs w:val="20"/>
        </w:rPr>
        <w:t xml:space="preserve"> </w:t>
      </w:r>
      <w:r>
        <w:rPr>
          <w:rFonts w:ascii="Arial" w:hAnsi="Arial" w:cs="Arial"/>
          <w:w w:val="91"/>
          <w:sz w:val="20"/>
          <w:szCs w:val="20"/>
        </w:rPr>
        <w:t xml:space="preserve">payments </w:t>
      </w:r>
      <w:r>
        <w:rPr>
          <w:rFonts w:ascii="Arial" w:hAnsi="Arial" w:cs="Arial"/>
          <w:spacing w:val="1"/>
          <w:w w:val="110"/>
          <w:sz w:val="20"/>
          <w:szCs w:val="20"/>
        </w:rPr>
        <w:t>will</w:t>
      </w:r>
      <w:r w:rsidR="00B92FCC">
        <w:rPr>
          <w:rFonts w:ascii="Arial" w:hAnsi="Arial" w:cs="Arial"/>
          <w:spacing w:val="1"/>
          <w:w w:val="110"/>
          <w:sz w:val="20"/>
          <w:szCs w:val="20"/>
        </w:rPr>
        <w:t xml:space="preserve"> </w:t>
      </w:r>
      <w:r>
        <w:rPr>
          <w:rFonts w:ascii="Arial" w:hAnsi="Arial" w:cs="Arial"/>
          <w:spacing w:val="1"/>
          <w:w w:val="110"/>
          <w:sz w:val="19"/>
          <w:szCs w:val="19"/>
        </w:rPr>
        <w:t>contract</w:t>
      </w:r>
      <w:r>
        <w:rPr>
          <w:rFonts w:ascii="Arial" w:hAnsi="Arial" w:cs="Arial"/>
          <w:w w:val="110"/>
          <w:sz w:val="19"/>
          <w:szCs w:val="19"/>
        </w:rPr>
        <w:t xml:space="preserve"> </w:t>
      </w:r>
      <w:r>
        <w:rPr>
          <w:rFonts w:ascii="Arial" w:hAnsi="Arial" w:cs="Arial"/>
          <w:w w:val="103"/>
          <w:sz w:val="20"/>
          <w:szCs w:val="20"/>
        </w:rPr>
        <w:t xml:space="preserve">with </w:t>
      </w:r>
      <w:r w:rsidR="00B92FCC">
        <w:rPr>
          <w:rFonts w:ascii="Arial" w:hAnsi="Arial" w:cs="Arial"/>
          <w:w w:val="91"/>
          <w:sz w:val="20"/>
          <w:szCs w:val="20"/>
        </w:rPr>
        <w:t>a</w:t>
      </w:r>
      <w:r>
        <w:rPr>
          <w:rFonts w:ascii="Arial" w:hAnsi="Arial" w:cs="Arial"/>
          <w:w w:val="91"/>
          <w:sz w:val="20"/>
          <w:szCs w:val="20"/>
        </w:rPr>
        <w:t xml:space="preserve">n </w:t>
      </w:r>
      <w:r>
        <w:rPr>
          <w:rFonts w:ascii="Arial" w:hAnsi="Arial" w:cs="Arial"/>
          <w:spacing w:val="-4"/>
          <w:w w:val="114"/>
          <w:sz w:val="20"/>
          <w:szCs w:val="20"/>
        </w:rPr>
        <w:t>independent,</w:t>
      </w:r>
      <w:r>
        <w:rPr>
          <w:rFonts w:ascii="Arial" w:hAnsi="Arial" w:cs="Arial"/>
          <w:w w:val="114"/>
          <w:sz w:val="20"/>
          <w:szCs w:val="20"/>
        </w:rPr>
        <w:t xml:space="preserve"> </w:t>
      </w:r>
      <w:r>
        <w:rPr>
          <w:rFonts w:ascii="Arial" w:hAnsi="Arial" w:cs="Arial"/>
          <w:w w:val="108"/>
          <w:sz w:val="19"/>
          <w:szCs w:val="19"/>
        </w:rPr>
        <w:t xml:space="preserve">qualified </w:t>
      </w:r>
      <w:r w:rsidR="00B92FCC">
        <w:rPr>
          <w:rFonts w:ascii="Arial" w:hAnsi="Arial" w:cs="Arial"/>
          <w:w w:val="88"/>
          <w:sz w:val="20"/>
          <w:szCs w:val="20"/>
        </w:rPr>
        <w:t>L</w:t>
      </w:r>
      <w:r>
        <w:rPr>
          <w:rFonts w:ascii="Arial" w:hAnsi="Arial" w:cs="Arial"/>
          <w:w w:val="88"/>
          <w:sz w:val="20"/>
          <w:szCs w:val="20"/>
        </w:rPr>
        <w:t xml:space="preserve">TSS </w:t>
      </w:r>
      <w:r>
        <w:rPr>
          <w:rFonts w:ascii="Arial" w:hAnsi="Arial" w:cs="Arial"/>
          <w:w w:val="99"/>
          <w:sz w:val="19"/>
          <w:szCs w:val="19"/>
        </w:rPr>
        <w:t xml:space="preserve">Coordinator </w:t>
      </w:r>
      <w:r w:rsidR="00B92FCC">
        <w:rPr>
          <w:rFonts w:ascii="Arial" w:hAnsi="Arial" w:cs="Arial"/>
          <w:w w:val="110"/>
          <w:sz w:val="19"/>
          <w:szCs w:val="19"/>
        </w:rPr>
        <w:t>fro</w:t>
      </w:r>
      <w:r>
        <w:rPr>
          <w:rFonts w:ascii="Arial" w:hAnsi="Arial" w:cs="Arial"/>
          <w:w w:val="110"/>
          <w:sz w:val="19"/>
          <w:szCs w:val="19"/>
        </w:rPr>
        <w:t xml:space="preserve">m </w:t>
      </w:r>
      <w:r>
        <w:rPr>
          <w:rFonts w:ascii="Times New Roman" w:hAnsi="Times New Roman" w:cs="Times New Roman"/>
          <w:w w:val="85"/>
        </w:rPr>
        <w:t xml:space="preserve">a </w:t>
      </w:r>
      <w:r>
        <w:rPr>
          <w:rFonts w:ascii="Arial" w:hAnsi="Arial" w:cs="Arial"/>
          <w:spacing w:val="-3"/>
          <w:w w:val="103"/>
          <w:sz w:val="19"/>
          <w:szCs w:val="19"/>
        </w:rPr>
        <w:t>community-based</w:t>
      </w:r>
      <w:r>
        <w:rPr>
          <w:rFonts w:ascii="Arial" w:hAnsi="Arial" w:cs="Arial"/>
          <w:w w:val="103"/>
          <w:sz w:val="19"/>
          <w:szCs w:val="19"/>
        </w:rPr>
        <w:t xml:space="preserve"> </w:t>
      </w:r>
      <w:r>
        <w:rPr>
          <w:rFonts w:ascii="Arial" w:hAnsi="Arial" w:cs="Arial"/>
          <w:spacing w:val="1"/>
          <w:w w:val="98"/>
          <w:sz w:val="19"/>
          <w:szCs w:val="19"/>
        </w:rPr>
        <w:t>organization</w:t>
      </w:r>
      <w:r>
        <w:rPr>
          <w:rFonts w:ascii="Arial" w:hAnsi="Arial" w:cs="Arial"/>
          <w:w w:val="98"/>
          <w:sz w:val="19"/>
          <w:szCs w:val="19"/>
        </w:rPr>
        <w:t xml:space="preserve"> </w:t>
      </w:r>
      <w:r>
        <w:rPr>
          <w:rFonts w:ascii="Arial" w:hAnsi="Arial" w:cs="Arial"/>
          <w:w w:val="85"/>
          <w:sz w:val="20"/>
          <w:szCs w:val="20"/>
        </w:rPr>
        <w:t xml:space="preserve">(CBO) </w:t>
      </w:r>
      <w:r>
        <w:rPr>
          <w:rFonts w:ascii="Arial" w:hAnsi="Arial" w:cs="Arial"/>
          <w:w w:val="93"/>
          <w:sz w:val="19"/>
          <w:szCs w:val="19"/>
        </w:rPr>
        <w:t xml:space="preserve">such </w:t>
      </w:r>
      <w:r>
        <w:rPr>
          <w:rFonts w:ascii="Arial" w:hAnsi="Arial" w:cs="Arial"/>
          <w:w w:val="89"/>
          <w:sz w:val="20"/>
          <w:szCs w:val="20"/>
        </w:rPr>
        <w:t xml:space="preserve">as </w:t>
      </w:r>
      <w:r>
        <w:rPr>
          <w:rFonts w:ascii="Arial" w:hAnsi="Arial" w:cs="Arial"/>
          <w:w w:val="95"/>
          <w:sz w:val="19"/>
          <w:szCs w:val="19"/>
        </w:rPr>
        <w:t xml:space="preserve">an </w:t>
      </w:r>
      <w:r>
        <w:rPr>
          <w:rFonts w:ascii="Arial" w:hAnsi="Arial" w:cs="Arial"/>
          <w:spacing w:val="-5"/>
          <w:w w:val="106"/>
          <w:sz w:val="19"/>
          <w:szCs w:val="19"/>
        </w:rPr>
        <w:t>Independent</w:t>
      </w:r>
      <w:r>
        <w:rPr>
          <w:rFonts w:ascii="Arial" w:hAnsi="Arial" w:cs="Arial"/>
          <w:spacing w:val="-22"/>
          <w:w w:val="106"/>
          <w:sz w:val="19"/>
          <w:szCs w:val="19"/>
        </w:rPr>
        <w:t xml:space="preserve"> </w:t>
      </w:r>
      <w:r>
        <w:rPr>
          <w:rFonts w:ascii="Times New Roman" w:hAnsi="Times New Roman" w:cs="Times New Roman"/>
          <w:w w:val="84"/>
        </w:rPr>
        <w:t xml:space="preserve">Living </w:t>
      </w:r>
      <w:r>
        <w:rPr>
          <w:rFonts w:ascii="Arial" w:hAnsi="Arial" w:cs="Arial"/>
          <w:w w:val="99"/>
          <w:sz w:val="19"/>
          <w:szCs w:val="19"/>
        </w:rPr>
        <w:t>Center</w:t>
      </w:r>
      <w:r>
        <w:rPr>
          <w:rFonts w:ascii="Arial" w:hAnsi="Arial" w:cs="Arial"/>
          <w:spacing w:val="-1"/>
          <w:w w:val="99"/>
          <w:sz w:val="19"/>
          <w:szCs w:val="19"/>
        </w:rPr>
        <w:t xml:space="preserve"> </w:t>
      </w:r>
      <w:r>
        <w:rPr>
          <w:rFonts w:ascii="Arial" w:hAnsi="Arial" w:cs="Arial"/>
          <w:spacing w:val="-6"/>
          <w:w w:val="93"/>
          <w:sz w:val="20"/>
          <w:szCs w:val="20"/>
        </w:rPr>
        <w:t>(ILC),</w:t>
      </w:r>
      <w:r>
        <w:rPr>
          <w:rFonts w:ascii="Arial" w:hAnsi="Arial" w:cs="Arial"/>
          <w:spacing w:val="-20"/>
          <w:w w:val="93"/>
          <w:sz w:val="20"/>
          <w:szCs w:val="20"/>
        </w:rPr>
        <w:t xml:space="preserve"> </w:t>
      </w:r>
      <w:r>
        <w:rPr>
          <w:rFonts w:ascii="Times New Roman" w:hAnsi="Times New Roman" w:cs="Times New Roman"/>
          <w:w w:val="112"/>
          <w:sz w:val="20"/>
          <w:szCs w:val="20"/>
        </w:rPr>
        <w:t>a</w:t>
      </w:r>
      <w:r>
        <w:rPr>
          <w:rFonts w:ascii="Times New Roman" w:hAnsi="Times New Roman" w:cs="Times New Roman"/>
          <w:spacing w:val="-9"/>
          <w:w w:val="112"/>
          <w:sz w:val="20"/>
          <w:szCs w:val="20"/>
        </w:rPr>
        <w:t xml:space="preserve"> </w:t>
      </w:r>
      <w:r>
        <w:rPr>
          <w:rFonts w:ascii="Arial" w:hAnsi="Arial" w:cs="Arial"/>
          <w:w w:val="88"/>
          <w:sz w:val="20"/>
          <w:szCs w:val="20"/>
        </w:rPr>
        <w:t>Recovery</w:t>
      </w:r>
      <w:r>
        <w:rPr>
          <w:rFonts w:ascii="Arial" w:hAnsi="Arial" w:cs="Arial"/>
          <w:spacing w:val="1"/>
          <w:w w:val="88"/>
          <w:sz w:val="20"/>
          <w:szCs w:val="20"/>
        </w:rPr>
        <w:t xml:space="preserve"> </w:t>
      </w:r>
      <w:proofErr w:type="spellStart"/>
      <w:r>
        <w:rPr>
          <w:rFonts w:ascii="Arial" w:hAnsi="Arial" w:cs="Arial"/>
          <w:spacing w:val="-5"/>
          <w:sz w:val="20"/>
          <w:szCs w:val="20"/>
        </w:rPr>
        <w:t>Leaming</w:t>
      </w:r>
      <w:proofErr w:type="spellEnd"/>
      <w:r>
        <w:rPr>
          <w:rFonts w:ascii="Arial" w:hAnsi="Arial" w:cs="Arial"/>
          <w:spacing w:val="-31"/>
          <w:sz w:val="20"/>
          <w:szCs w:val="20"/>
        </w:rPr>
        <w:t xml:space="preserve"> </w:t>
      </w:r>
      <w:r>
        <w:rPr>
          <w:rFonts w:ascii="Arial" w:hAnsi="Arial" w:cs="Arial"/>
          <w:spacing w:val="-7"/>
          <w:w w:val="109"/>
          <w:sz w:val="20"/>
          <w:szCs w:val="20"/>
        </w:rPr>
        <w:t>Community</w:t>
      </w:r>
      <w:r>
        <w:rPr>
          <w:rFonts w:ascii="Arial" w:hAnsi="Arial" w:cs="Arial"/>
          <w:spacing w:val="-16"/>
          <w:w w:val="109"/>
          <w:sz w:val="20"/>
          <w:szCs w:val="20"/>
        </w:rPr>
        <w:t xml:space="preserve"> </w:t>
      </w:r>
      <w:r>
        <w:rPr>
          <w:rFonts w:ascii="Arial" w:hAnsi="Arial" w:cs="Arial"/>
          <w:w w:val="81"/>
          <w:sz w:val="20"/>
          <w:szCs w:val="20"/>
        </w:rPr>
        <w:t>(RLC),</w:t>
      </w:r>
      <w:r>
        <w:rPr>
          <w:rFonts w:ascii="Arial" w:hAnsi="Arial" w:cs="Arial"/>
          <w:spacing w:val="-11"/>
          <w:w w:val="81"/>
          <w:sz w:val="20"/>
          <w:szCs w:val="20"/>
        </w:rPr>
        <w:t xml:space="preserve"> </w:t>
      </w:r>
      <w:r>
        <w:rPr>
          <w:rFonts w:ascii="Arial" w:hAnsi="Arial" w:cs="Arial"/>
          <w:w w:val="94"/>
          <w:sz w:val="20"/>
          <w:szCs w:val="20"/>
        </w:rPr>
        <w:t>an</w:t>
      </w:r>
      <w:r>
        <w:rPr>
          <w:rFonts w:ascii="Arial" w:hAnsi="Arial" w:cs="Arial"/>
          <w:spacing w:val="-20"/>
          <w:w w:val="94"/>
          <w:sz w:val="20"/>
          <w:szCs w:val="20"/>
        </w:rPr>
        <w:t xml:space="preserve"> </w:t>
      </w:r>
      <w:r>
        <w:rPr>
          <w:rFonts w:ascii="Arial" w:hAnsi="Arial" w:cs="Arial"/>
          <w:spacing w:val="1"/>
          <w:w w:val="92"/>
          <w:sz w:val="20"/>
          <w:szCs w:val="20"/>
        </w:rPr>
        <w:t>Aging</w:t>
      </w:r>
      <w:r>
        <w:rPr>
          <w:rFonts w:ascii="Arial" w:hAnsi="Arial" w:cs="Arial"/>
          <w:spacing w:val="-34"/>
          <w:w w:val="92"/>
          <w:sz w:val="20"/>
          <w:szCs w:val="20"/>
        </w:rPr>
        <w:t xml:space="preserve"> </w:t>
      </w:r>
      <w:r>
        <w:rPr>
          <w:rFonts w:ascii="Times New Roman" w:hAnsi="Times New Roman" w:cs="Times New Roman"/>
          <w:w w:val="102"/>
          <w:sz w:val="20"/>
          <w:szCs w:val="20"/>
        </w:rPr>
        <w:t>Services</w:t>
      </w:r>
      <w:r>
        <w:rPr>
          <w:rFonts w:ascii="Times New Roman" w:hAnsi="Times New Roman" w:cs="Times New Roman"/>
          <w:spacing w:val="-21"/>
          <w:w w:val="102"/>
          <w:sz w:val="20"/>
          <w:szCs w:val="20"/>
        </w:rPr>
        <w:t xml:space="preserve"> </w:t>
      </w:r>
      <w:r>
        <w:rPr>
          <w:rFonts w:ascii="Arial" w:hAnsi="Arial" w:cs="Arial"/>
          <w:w w:val="85"/>
          <w:sz w:val="20"/>
          <w:szCs w:val="20"/>
        </w:rPr>
        <w:t>Access</w:t>
      </w:r>
      <w:r>
        <w:rPr>
          <w:rFonts w:ascii="Arial" w:hAnsi="Arial" w:cs="Arial"/>
          <w:spacing w:val="5"/>
          <w:w w:val="85"/>
          <w:sz w:val="20"/>
          <w:szCs w:val="20"/>
        </w:rPr>
        <w:t xml:space="preserve"> </w:t>
      </w:r>
      <w:r>
        <w:rPr>
          <w:rFonts w:ascii="Arial" w:hAnsi="Arial" w:cs="Arial"/>
          <w:spacing w:val="-2"/>
          <w:w w:val="107"/>
          <w:sz w:val="19"/>
          <w:szCs w:val="19"/>
        </w:rPr>
        <w:t>Point</w:t>
      </w:r>
      <w:r>
        <w:rPr>
          <w:rFonts w:ascii="Arial" w:hAnsi="Arial" w:cs="Arial"/>
          <w:spacing w:val="-27"/>
          <w:w w:val="107"/>
          <w:sz w:val="19"/>
          <w:szCs w:val="19"/>
        </w:rPr>
        <w:t xml:space="preserve"> </w:t>
      </w:r>
      <w:r>
        <w:rPr>
          <w:rFonts w:ascii="Arial" w:hAnsi="Arial" w:cs="Arial"/>
          <w:spacing w:val="-3"/>
          <w:w w:val="99"/>
          <w:sz w:val="20"/>
          <w:szCs w:val="20"/>
        </w:rPr>
        <w:t>(ASAP),Deaf</w:t>
      </w:r>
      <w:r>
        <w:rPr>
          <w:rFonts w:ascii="Arial" w:hAnsi="Arial" w:cs="Arial"/>
          <w:spacing w:val="-20"/>
          <w:w w:val="99"/>
          <w:sz w:val="20"/>
          <w:szCs w:val="20"/>
        </w:rPr>
        <w:t xml:space="preserve"> </w:t>
      </w:r>
      <w:r>
        <w:rPr>
          <w:rFonts w:ascii="Arial" w:hAnsi="Arial" w:cs="Arial"/>
          <w:w w:val="96"/>
          <w:sz w:val="20"/>
          <w:szCs w:val="20"/>
        </w:rPr>
        <w:t xml:space="preserve">and </w:t>
      </w:r>
      <w:r>
        <w:rPr>
          <w:rFonts w:ascii="Arial" w:hAnsi="Arial" w:cs="Arial"/>
          <w:w w:val="94"/>
          <w:sz w:val="20"/>
          <w:szCs w:val="20"/>
        </w:rPr>
        <w:t xml:space="preserve">Hard </w:t>
      </w:r>
      <w:r>
        <w:rPr>
          <w:rFonts w:ascii="Arial" w:hAnsi="Arial" w:cs="Arial"/>
          <w:sz w:val="20"/>
          <w:szCs w:val="20"/>
        </w:rPr>
        <w:t xml:space="preserve">of </w:t>
      </w:r>
      <w:r>
        <w:rPr>
          <w:rFonts w:ascii="Arial" w:hAnsi="Arial" w:cs="Arial"/>
          <w:spacing w:val="-2"/>
          <w:w w:val="98"/>
          <w:sz w:val="20"/>
          <w:szCs w:val="20"/>
        </w:rPr>
        <w:t>Hearing</w:t>
      </w:r>
      <w:r>
        <w:rPr>
          <w:rFonts w:ascii="Arial" w:hAnsi="Arial" w:cs="Arial"/>
          <w:w w:val="98"/>
          <w:sz w:val="20"/>
          <w:szCs w:val="20"/>
        </w:rPr>
        <w:t xml:space="preserve"> </w:t>
      </w:r>
      <w:r>
        <w:rPr>
          <w:rFonts w:ascii="Arial" w:hAnsi="Arial" w:cs="Arial"/>
          <w:spacing w:val="-4"/>
          <w:w w:val="99"/>
          <w:sz w:val="20"/>
          <w:szCs w:val="20"/>
        </w:rPr>
        <w:t>Independent</w:t>
      </w:r>
      <w:r>
        <w:rPr>
          <w:rFonts w:ascii="Arial" w:hAnsi="Arial" w:cs="Arial"/>
          <w:w w:val="99"/>
          <w:sz w:val="20"/>
          <w:szCs w:val="20"/>
        </w:rPr>
        <w:t xml:space="preserve"> </w:t>
      </w:r>
      <w:proofErr w:type="spellStart"/>
      <w:r>
        <w:rPr>
          <w:rFonts w:ascii="Arial" w:hAnsi="Arial" w:cs="Arial"/>
          <w:w w:val="101"/>
          <w:sz w:val="20"/>
          <w:szCs w:val="20"/>
        </w:rPr>
        <w:t>Living</w:t>
      </w:r>
      <w:r>
        <w:rPr>
          <w:rFonts w:ascii="Times New Roman" w:hAnsi="Times New Roman" w:cs="Times New Roman"/>
          <w:w w:val="101"/>
          <w:sz w:val="20"/>
          <w:szCs w:val="20"/>
        </w:rPr>
        <w:t>Services</w:t>
      </w:r>
      <w:proofErr w:type="spellEnd"/>
      <w:r>
        <w:rPr>
          <w:rFonts w:ascii="Times New Roman" w:hAnsi="Times New Roman" w:cs="Times New Roman"/>
          <w:w w:val="101"/>
          <w:sz w:val="20"/>
          <w:szCs w:val="20"/>
        </w:rPr>
        <w:t xml:space="preserve"> </w:t>
      </w:r>
      <w:r>
        <w:rPr>
          <w:rFonts w:ascii="Arial" w:hAnsi="Arial" w:cs="Arial"/>
          <w:w w:val="92"/>
          <w:sz w:val="20"/>
          <w:szCs w:val="20"/>
        </w:rPr>
        <w:t xml:space="preserve">programs, </w:t>
      </w:r>
      <w:r>
        <w:rPr>
          <w:rFonts w:ascii="Arial" w:hAnsi="Arial" w:cs="Arial"/>
          <w:w w:val="86"/>
          <w:sz w:val="20"/>
          <w:szCs w:val="20"/>
        </w:rPr>
        <w:t xml:space="preserve">The </w:t>
      </w:r>
      <w:r>
        <w:rPr>
          <w:rFonts w:ascii="Arial" w:hAnsi="Arial" w:cs="Arial"/>
          <w:w w:val="80"/>
          <w:sz w:val="20"/>
          <w:szCs w:val="20"/>
        </w:rPr>
        <w:t xml:space="preserve">ARC, </w:t>
      </w:r>
      <w:r>
        <w:rPr>
          <w:rFonts w:ascii="Arial" w:hAnsi="Arial" w:cs="Arial"/>
          <w:w w:val="96"/>
          <w:sz w:val="20"/>
          <w:szCs w:val="20"/>
        </w:rPr>
        <w:t xml:space="preserve">or </w:t>
      </w:r>
      <w:r>
        <w:rPr>
          <w:rFonts w:ascii="Arial" w:hAnsi="Arial" w:cs="Arial"/>
          <w:w w:val="101"/>
          <w:sz w:val="20"/>
          <w:szCs w:val="20"/>
        </w:rPr>
        <w:t xml:space="preserve">other </w:t>
      </w:r>
      <w:r>
        <w:rPr>
          <w:rFonts w:ascii="Arial" w:hAnsi="Arial" w:cs="Arial"/>
          <w:w w:val="87"/>
          <w:sz w:val="20"/>
          <w:szCs w:val="20"/>
        </w:rPr>
        <w:t xml:space="preserve">key </w:t>
      </w:r>
      <w:r>
        <w:rPr>
          <w:rFonts w:ascii="Arial" w:hAnsi="Arial" w:cs="Arial"/>
          <w:spacing w:val="-1"/>
          <w:w w:val="93"/>
          <w:sz w:val="20"/>
          <w:szCs w:val="20"/>
        </w:rPr>
        <w:t>organizations</w:t>
      </w:r>
      <w:r>
        <w:rPr>
          <w:rFonts w:ascii="Arial" w:hAnsi="Arial" w:cs="Arial"/>
          <w:w w:val="93"/>
          <w:sz w:val="20"/>
          <w:szCs w:val="20"/>
        </w:rPr>
        <w:t xml:space="preserve"> </w:t>
      </w:r>
      <w:proofErr w:type="spellStart"/>
      <w:r>
        <w:rPr>
          <w:rFonts w:ascii="Arial" w:hAnsi="Arial" w:cs="Arial"/>
          <w:spacing w:val="-14"/>
          <w:w w:val="116"/>
          <w:sz w:val="20"/>
          <w:szCs w:val="20"/>
        </w:rPr>
        <w:t>expertIn</w:t>
      </w:r>
      <w:proofErr w:type="spellEnd"/>
      <w:r>
        <w:rPr>
          <w:rFonts w:ascii="Arial" w:hAnsi="Arial" w:cs="Arial"/>
          <w:w w:val="116"/>
          <w:sz w:val="20"/>
          <w:szCs w:val="20"/>
        </w:rPr>
        <w:t xml:space="preserve"> </w:t>
      </w:r>
      <w:r>
        <w:rPr>
          <w:rFonts w:ascii="Arial" w:hAnsi="Arial" w:cs="Arial"/>
          <w:sz w:val="20"/>
          <w:szCs w:val="20"/>
        </w:rPr>
        <w:t>working</w:t>
      </w:r>
      <w:r>
        <w:rPr>
          <w:rFonts w:ascii="Arial" w:hAnsi="Arial" w:cs="Arial"/>
          <w:spacing w:val="-36"/>
          <w:sz w:val="20"/>
          <w:szCs w:val="20"/>
        </w:rPr>
        <w:t xml:space="preserve"> </w:t>
      </w:r>
      <w:r>
        <w:rPr>
          <w:rFonts w:ascii="Arial" w:hAnsi="Arial" w:cs="Arial"/>
          <w:sz w:val="20"/>
          <w:szCs w:val="20"/>
        </w:rPr>
        <w:t>with</w:t>
      </w:r>
      <w:r>
        <w:rPr>
          <w:rFonts w:ascii="Arial" w:hAnsi="Arial" w:cs="Arial"/>
          <w:spacing w:val="-26"/>
          <w:sz w:val="20"/>
          <w:szCs w:val="20"/>
        </w:rPr>
        <w:t xml:space="preserve"> </w:t>
      </w:r>
      <w:r>
        <w:rPr>
          <w:rFonts w:ascii="Arial" w:hAnsi="Arial" w:cs="Arial"/>
          <w:sz w:val="20"/>
          <w:szCs w:val="20"/>
        </w:rPr>
        <w:t>people</w:t>
      </w:r>
      <w:r>
        <w:rPr>
          <w:rFonts w:ascii="Arial" w:hAnsi="Arial" w:cs="Arial"/>
          <w:spacing w:val="-22"/>
          <w:sz w:val="20"/>
          <w:szCs w:val="20"/>
        </w:rPr>
        <w:t xml:space="preserve"> </w:t>
      </w:r>
      <w:r w:rsidR="00B92FCC">
        <w:rPr>
          <w:rFonts w:ascii="Arial" w:hAnsi="Arial" w:cs="Arial"/>
          <w:sz w:val="20"/>
          <w:szCs w:val="20"/>
        </w:rPr>
        <w:t>with</w:t>
      </w:r>
      <w:r>
        <w:rPr>
          <w:rFonts w:ascii="Arial" w:hAnsi="Arial" w:cs="Arial"/>
          <w:spacing w:val="-18"/>
          <w:sz w:val="20"/>
          <w:szCs w:val="20"/>
        </w:rPr>
        <w:t xml:space="preserve"> </w:t>
      </w:r>
      <w:r>
        <w:rPr>
          <w:rFonts w:ascii="Arial" w:hAnsi="Arial" w:cs="Arial"/>
          <w:sz w:val="20"/>
          <w:szCs w:val="20"/>
        </w:rPr>
        <w:t>disabilities.</w:t>
      </w:r>
      <w:r>
        <w:rPr>
          <w:rFonts w:ascii="Arial" w:hAnsi="Arial" w:cs="Arial"/>
          <w:spacing w:val="-10"/>
          <w:sz w:val="20"/>
          <w:szCs w:val="20"/>
        </w:rPr>
        <w:t xml:space="preserve"> </w:t>
      </w:r>
      <w:r>
        <w:rPr>
          <w:rFonts w:ascii="Arial" w:hAnsi="Arial" w:cs="Arial"/>
          <w:sz w:val="20"/>
          <w:szCs w:val="20"/>
        </w:rPr>
        <w:t>MassHealth</w:t>
      </w:r>
      <w:r>
        <w:rPr>
          <w:rFonts w:ascii="Arial" w:hAnsi="Arial" w:cs="Arial"/>
          <w:spacing w:val="-19"/>
          <w:sz w:val="20"/>
          <w:szCs w:val="20"/>
        </w:rPr>
        <w:t xml:space="preserve"> </w:t>
      </w:r>
      <w:r>
        <w:rPr>
          <w:rFonts w:ascii="Arial" w:hAnsi="Arial" w:cs="Arial"/>
          <w:sz w:val="20"/>
          <w:szCs w:val="20"/>
        </w:rPr>
        <w:t>ACOs</w:t>
      </w:r>
      <w:r>
        <w:rPr>
          <w:rFonts w:ascii="Arial" w:hAnsi="Arial" w:cs="Arial"/>
          <w:spacing w:val="-20"/>
          <w:sz w:val="20"/>
          <w:szCs w:val="20"/>
        </w:rPr>
        <w:t xml:space="preserve"> </w:t>
      </w:r>
      <w:r>
        <w:rPr>
          <w:rFonts w:ascii="Arial" w:hAnsi="Arial" w:cs="Arial"/>
          <w:spacing w:val="2"/>
          <w:sz w:val="20"/>
          <w:szCs w:val="20"/>
        </w:rPr>
        <w:t>will</w:t>
      </w:r>
      <w:r w:rsidR="00B92FCC">
        <w:rPr>
          <w:rFonts w:ascii="Arial" w:hAnsi="Arial" w:cs="Arial"/>
          <w:spacing w:val="2"/>
          <w:sz w:val="20"/>
          <w:szCs w:val="20"/>
        </w:rPr>
        <w:t xml:space="preserve"> </w:t>
      </w:r>
      <w:r>
        <w:rPr>
          <w:rFonts w:ascii="Arial" w:hAnsi="Arial" w:cs="Arial"/>
          <w:spacing w:val="2"/>
          <w:sz w:val="20"/>
          <w:szCs w:val="20"/>
        </w:rPr>
        <w:t>contract</w:t>
      </w:r>
      <w:r>
        <w:rPr>
          <w:rFonts w:ascii="Arial" w:hAnsi="Arial" w:cs="Arial"/>
          <w:spacing w:val="-16"/>
          <w:sz w:val="20"/>
          <w:szCs w:val="20"/>
        </w:rPr>
        <w:t xml:space="preserve"> </w:t>
      </w:r>
      <w:r>
        <w:rPr>
          <w:rFonts w:ascii="Arial" w:hAnsi="Arial" w:cs="Arial"/>
          <w:sz w:val="20"/>
          <w:szCs w:val="20"/>
        </w:rPr>
        <w:t>with</w:t>
      </w:r>
      <w:r>
        <w:rPr>
          <w:rFonts w:ascii="Arial" w:hAnsi="Arial" w:cs="Arial"/>
          <w:spacing w:val="-19"/>
          <w:sz w:val="20"/>
          <w:szCs w:val="20"/>
        </w:rPr>
        <w:t xml:space="preserve"> </w:t>
      </w:r>
      <w:r>
        <w:rPr>
          <w:rFonts w:ascii="Arial" w:hAnsi="Arial" w:cs="Arial"/>
          <w:sz w:val="20"/>
          <w:szCs w:val="20"/>
        </w:rPr>
        <w:t>these</w:t>
      </w:r>
      <w:r>
        <w:rPr>
          <w:rFonts w:ascii="Arial" w:hAnsi="Arial" w:cs="Arial"/>
          <w:spacing w:val="-15"/>
          <w:sz w:val="20"/>
          <w:szCs w:val="20"/>
        </w:rPr>
        <w:t xml:space="preserve"> </w:t>
      </w:r>
      <w:r>
        <w:rPr>
          <w:rFonts w:ascii="Arial" w:hAnsi="Arial" w:cs="Arial"/>
          <w:sz w:val="20"/>
          <w:szCs w:val="20"/>
        </w:rPr>
        <w:t>CB0s</w:t>
      </w:r>
      <w:r>
        <w:rPr>
          <w:rFonts w:ascii="Arial" w:hAnsi="Arial" w:cs="Arial"/>
          <w:spacing w:val="-27"/>
          <w:sz w:val="20"/>
          <w:szCs w:val="20"/>
        </w:rPr>
        <w:t xml:space="preserve"> </w:t>
      </w:r>
      <w:r>
        <w:rPr>
          <w:rFonts w:ascii="Arial" w:hAnsi="Arial" w:cs="Arial"/>
          <w:sz w:val="19"/>
          <w:szCs w:val="19"/>
        </w:rPr>
        <w:t>to</w:t>
      </w:r>
      <w:r>
        <w:rPr>
          <w:rFonts w:ascii="Arial" w:hAnsi="Arial" w:cs="Arial"/>
          <w:spacing w:val="-16"/>
          <w:sz w:val="19"/>
          <w:szCs w:val="19"/>
        </w:rPr>
        <w:t xml:space="preserve"> </w:t>
      </w:r>
      <w:r>
        <w:rPr>
          <w:rFonts w:ascii="Arial" w:hAnsi="Arial" w:cs="Arial"/>
          <w:sz w:val="20"/>
          <w:szCs w:val="20"/>
        </w:rPr>
        <w:t>provide</w:t>
      </w:r>
      <w:r>
        <w:rPr>
          <w:rFonts w:ascii="Arial" w:hAnsi="Arial" w:cs="Arial"/>
          <w:spacing w:val="-19"/>
          <w:sz w:val="20"/>
          <w:szCs w:val="20"/>
        </w:rPr>
        <w:t xml:space="preserve"> </w:t>
      </w:r>
      <w:r>
        <w:rPr>
          <w:rFonts w:ascii="Arial" w:hAnsi="Arial" w:cs="Arial"/>
          <w:spacing w:val="-6"/>
          <w:sz w:val="20"/>
          <w:szCs w:val="20"/>
        </w:rPr>
        <w:t xml:space="preserve">staff </w:t>
      </w:r>
      <w:r>
        <w:rPr>
          <w:rFonts w:ascii="Arial" w:hAnsi="Arial" w:cs="Arial"/>
          <w:w w:val="93"/>
          <w:sz w:val="20"/>
          <w:szCs w:val="20"/>
        </w:rPr>
        <w:t>specifically</w:t>
      </w:r>
      <w:r>
        <w:rPr>
          <w:rFonts w:ascii="Arial" w:hAnsi="Arial" w:cs="Arial"/>
          <w:spacing w:val="4"/>
          <w:w w:val="93"/>
          <w:sz w:val="20"/>
          <w:szCs w:val="20"/>
        </w:rPr>
        <w:t xml:space="preserve"> </w:t>
      </w:r>
      <w:r>
        <w:rPr>
          <w:rFonts w:ascii="Arial" w:hAnsi="Arial" w:cs="Arial"/>
          <w:w w:val="102"/>
          <w:sz w:val="20"/>
          <w:szCs w:val="20"/>
        </w:rPr>
        <w:t>trained</w:t>
      </w:r>
      <w:r>
        <w:rPr>
          <w:rFonts w:ascii="Arial" w:hAnsi="Arial" w:cs="Arial"/>
          <w:spacing w:val="-34"/>
          <w:w w:val="102"/>
          <w:sz w:val="20"/>
          <w:szCs w:val="20"/>
        </w:rPr>
        <w:t xml:space="preserve"> </w:t>
      </w:r>
      <w:r>
        <w:rPr>
          <w:rFonts w:ascii="Arial" w:hAnsi="Arial" w:cs="Arial"/>
          <w:w w:val="112"/>
          <w:sz w:val="20"/>
          <w:szCs w:val="20"/>
        </w:rPr>
        <w:t>to</w:t>
      </w:r>
      <w:r>
        <w:rPr>
          <w:rFonts w:ascii="Arial" w:hAnsi="Arial" w:cs="Arial"/>
          <w:spacing w:val="-24"/>
          <w:w w:val="112"/>
          <w:sz w:val="20"/>
          <w:szCs w:val="20"/>
        </w:rPr>
        <w:t xml:space="preserve"> </w:t>
      </w:r>
      <w:r>
        <w:rPr>
          <w:rFonts w:ascii="Arial" w:hAnsi="Arial" w:cs="Arial"/>
          <w:w w:val="88"/>
          <w:sz w:val="20"/>
          <w:szCs w:val="20"/>
        </w:rPr>
        <w:t>serve</w:t>
      </w:r>
      <w:r>
        <w:rPr>
          <w:rFonts w:ascii="Arial" w:hAnsi="Arial" w:cs="Arial"/>
          <w:spacing w:val="-7"/>
          <w:w w:val="88"/>
          <w:sz w:val="20"/>
          <w:szCs w:val="20"/>
        </w:rPr>
        <w:t xml:space="preserve"> </w:t>
      </w:r>
      <w:r>
        <w:rPr>
          <w:rFonts w:ascii="Arial" w:hAnsi="Arial" w:cs="Arial"/>
          <w:w w:val="85"/>
          <w:sz w:val="20"/>
          <w:szCs w:val="20"/>
        </w:rPr>
        <w:t>as</w:t>
      </w:r>
      <w:r>
        <w:rPr>
          <w:rFonts w:ascii="Arial" w:hAnsi="Arial" w:cs="Arial"/>
          <w:spacing w:val="-9"/>
          <w:w w:val="85"/>
          <w:sz w:val="20"/>
          <w:szCs w:val="20"/>
        </w:rPr>
        <w:t xml:space="preserve"> </w:t>
      </w:r>
      <w:r>
        <w:rPr>
          <w:rFonts w:ascii="Arial" w:hAnsi="Arial" w:cs="Arial"/>
          <w:spacing w:val="-5"/>
          <w:w w:val="111"/>
          <w:sz w:val="20"/>
          <w:szCs w:val="20"/>
        </w:rPr>
        <w:t>independent</w:t>
      </w:r>
      <w:r>
        <w:rPr>
          <w:rFonts w:ascii="Arial" w:hAnsi="Arial" w:cs="Arial"/>
          <w:spacing w:val="-21"/>
          <w:w w:val="111"/>
          <w:sz w:val="20"/>
          <w:szCs w:val="20"/>
        </w:rPr>
        <w:t xml:space="preserve"> </w:t>
      </w:r>
      <w:r>
        <w:rPr>
          <w:rFonts w:ascii="Arial" w:hAnsi="Arial" w:cs="Arial"/>
          <w:spacing w:val="-5"/>
          <w:w w:val="79"/>
          <w:sz w:val="20"/>
          <w:szCs w:val="20"/>
        </w:rPr>
        <w:t>LTSS</w:t>
      </w:r>
      <w:r>
        <w:rPr>
          <w:rFonts w:ascii="Arial" w:hAnsi="Arial" w:cs="Arial"/>
          <w:spacing w:val="-8"/>
          <w:w w:val="79"/>
          <w:sz w:val="20"/>
          <w:szCs w:val="20"/>
        </w:rPr>
        <w:t xml:space="preserve"> </w:t>
      </w:r>
      <w:r>
        <w:rPr>
          <w:rFonts w:ascii="Arial" w:hAnsi="Arial" w:cs="Arial"/>
          <w:w w:val="94"/>
          <w:sz w:val="20"/>
          <w:szCs w:val="20"/>
        </w:rPr>
        <w:t>Coordinators</w:t>
      </w:r>
      <w:r>
        <w:rPr>
          <w:rFonts w:ascii="Arial" w:hAnsi="Arial" w:cs="Arial"/>
          <w:spacing w:val="-25"/>
          <w:w w:val="94"/>
          <w:sz w:val="20"/>
          <w:szCs w:val="20"/>
        </w:rPr>
        <w:t xml:space="preserve"> </w:t>
      </w:r>
      <w:r>
        <w:rPr>
          <w:rFonts w:ascii="Arial" w:hAnsi="Arial" w:cs="Arial"/>
          <w:w w:val="108"/>
          <w:sz w:val="20"/>
          <w:szCs w:val="20"/>
        </w:rPr>
        <w:t>for</w:t>
      </w:r>
      <w:r>
        <w:rPr>
          <w:rFonts w:ascii="Arial" w:hAnsi="Arial" w:cs="Arial"/>
          <w:spacing w:val="-23"/>
          <w:w w:val="108"/>
          <w:sz w:val="20"/>
          <w:szCs w:val="20"/>
        </w:rPr>
        <w:t xml:space="preserve"> </w:t>
      </w:r>
      <w:r>
        <w:rPr>
          <w:rFonts w:ascii="Arial" w:hAnsi="Arial" w:cs="Arial"/>
          <w:spacing w:val="1"/>
          <w:w w:val="106"/>
          <w:sz w:val="20"/>
          <w:szCs w:val="20"/>
        </w:rPr>
        <w:t>their</w:t>
      </w:r>
      <w:r>
        <w:rPr>
          <w:rFonts w:ascii="Arial" w:hAnsi="Arial" w:cs="Arial"/>
          <w:spacing w:val="-24"/>
          <w:w w:val="106"/>
          <w:sz w:val="20"/>
          <w:szCs w:val="20"/>
        </w:rPr>
        <w:t xml:space="preserve"> </w:t>
      </w:r>
      <w:r>
        <w:rPr>
          <w:rFonts w:ascii="Arial" w:hAnsi="Arial" w:cs="Arial"/>
          <w:w w:val="94"/>
          <w:sz w:val="20"/>
          <w:szCs w:val="20"/>
        </w:rPr>
        <w:t>enrollees.</w:t>
      </w:r>
    </w:p>
    <w:p w:rsidR="002C5025" w:rsidRDefault="002C5025">
      <w:pPr>
        <w:pStyle w:val="BodyText"/>
        <w:kinsoku w:val="0"/>
        <w:overflowPunct w:val="0"/>
        <w:spacing w:before="4"/>
        <w:rPr>
          <w:rFonts w:ascii="Arial" w:hAnsi="Arial" w:cs="Arial"/>
          <w:sz w:val="21"/>
          <w:szCs w:val="21"/>
        </w:rPr>
      </w:pPr>
    </w:p>
    <w:p w:rsidR="002C5025" w:rsidRDefault="002C5025">
      <w:pPr>
        <w:pStyle w:val="BodyText"/>
        <w:kinsoku w:val="0"/>
        <w:overflowPunct w:val="0"/>
        <w:spacing w:line="249" w:lineRule="auto"/>
        <w:ind w:left="124" w:right="224" w:firstLine="14"/>
        <w:rPr>
          <w:rFonts w:ascii="Arial" w:hAnsi="Arial" w:cs="Arial"/>
          <w:w w:val="103"/>
          <w:sz w:val="19"/>
          <w:szCs w:val="19"/>
        </w:rPr>
      </w:pPr>
      <w:r>
        <w:rPr>
          <w:rFonts w:ascii="Arial" w:hAnsi="Arial" w:cs="Arial"/>
          <w:sz w:val="20"/>
          <w:szCs w:val="20"/>
        </w:rPr>
        <w:t xml:space="preserve">MassHealth ACOs </w:t>
      </w:r>
      <w:r w:rsidR="00B92FCC">
        <w:rPr>
          <w:rFonts w:ascii="Arial" w:hAnsi="Arial" w:cs="Arial"/>
          <w:sz w:val="21"/>
          <w:szCs w:val="21"/>
        </w:rPr>
        <w:t>wi</w:t>
      </w:r>
      <w:r>
        <w:rPr>
          <w:rFonts w:ascii="Arial" w:hAnsi="Arial" w:cs="Arial"/>
          <w:sz w:val="21"/>
          <w:szCs w:val="21"/>
        </w:rPr>
        <w:t xml:space="preserve">ll be </w:t>
      </w:r>
      <w:r>
        <w:rPr>
          <w:rFonts w:ascii="Arial" w:hAnsi="Arial" w:cs="Arial"/>
          <w:sz w:val="20"/>
          <w:szCs w:val="20"/>
        </w:rPr>
        <w:t xml:space="preserve">required </w:t>
      </w:r>
      <w:r>
        <w:rPr>
          <w:rFonts w:ascii="Times New Roman" w:hAnsi="Times New Roman" w:cs="Times New Roman"/>
        </w:rPr>
        <w:t xml:space="preserve">to </w:t>
      </w:r>
      <w:r>
        <w:rPr>
          <w:rFonts w:ascii="Arial" w:hAnsi="Arial" w:cs="Arial"/>
          <w:sz w:val="20"/>
          <w:szCs w:val="20"/>
        </w:rPr>
        <w:t xml:space="preserve">maintain contractual agreements with CBOs that have </w:t>
      </w:r>
      <w:r>
        <w:rPr>
          <w:rFonts w:ascii="Arial" w:hAnsi="Arial" w:cs="Arial"/>
          <w:sz w:val="21"/>
          <w:szCs w:val="21"/>
        </w:rPr>
        <w:t xml:space="preserve">the </w:t>
      </w:r>
      <w:r>
        <w:rPr>
          <w:rFonts w:ascii="Arial" w:hAnsi="Arial" w:cs="Arial"/>
          <w:sz w:val="20"/>
          <w:szCs w:val="20"/>
        </w:rPr>
        <w:t>capacity</w:t>
      </w:r>
      <w:r>
        <w:rPr>
          <w:rFonts w:ascii="Arial" w:hAnsi="Arial" w:cs="Arial"/>
          <w:spacing w:val="-34"/>
          <w:sz w:val="20"/>
          <w:szCs w:val="20"/>
        </w:rPr>
        <w:t xml:space="preserve"> </w:t>
      </w:r>
      <w:r>
        <w:rPr>
          <w:rFonts w:ascii="Arial" w:hAnsi="Arial" w:cs="Arial"/>
          <w:sz w:val="20"/>
          <w:szCs w:val="20"/>
        </w:rPr>
        <w:t>and</w:t>
      </w:r>
      <w:r>
        <w:rPr>
          <w:rFonts w:ascii="Arial" w:hAnsi="Arial" w:cs="Arial"/>
          <w:spacing w:val="-33"/>
          <w:sz w:val="20"/>
          <w:szCs w:val="20"/>
        </w:rPr>
        <w:t xml:space="preserve"> </w:t>
      </w:r>
      <w:r>
        <w:rPr>
          <w:rFonts w:ascii="Arial" w:hAnsi="Arial" w:cs="Arial"/>
          <w:sz w:val="20"/>
          <w:szCs w:val="20"/>
        </w:rPr>
        <w:t>expertise</w:t>
      </w:r>
      <w:r>
        <w:rPr>
          <w:rFonts w:ascii="Arial" w:hAnsi="Arial" w:cs="Arial"/>
          <w:spacing w:val="-36"/>
          <w:sz w:val="20"/>
          <w:szCs w:val="20"/>
        </w:rPr>
        <w:t xml:space="preserve"> </w:t>
      </w:r>
      <w:r>
        <w:rPr>
          <w:rFonts w:ascii="Arial" w:hAnsi="Arial" w:cs="Arial"/>
          <w:sz w:val="20"/>
          <w:szCs w:val="20"/>
        </w:rPr>
        <w:t>to</w:t>
      </w:r>
      <w:r>
        <w:rPr>
          <w:rFonts w:ascii="Arial" w:hAnsi="Arial" w:cs="Arial"/>
          <w:spacing w:val="-30"/>
          <w:sz w:val="20"/>
          <w:szCs w:val="20"/>
        </w:rPr>
        <w:t xml:space="preserve"> </w:t>
      </w:r>
      <w:r>
        <w:rPr>
          <w:rFonts w:ascii="Arial" w:hAnsi="Arial" w:cs="Arial"/>
          <w:sz w:val="20"/>
          <w:szCs w:val="20"/>
        </w:rPr>
        <w:t>provide</w:t>
      </w:r>
      <w:r>
        <w:rPr>
          <w:rFonts w:ascii="Arial" w:hAnsi="Arial" w:cs="Arial"/>
          <w:spacing w:val="-32"/>
          <w:sz w:val="20"/>
          <w:szCs w:val="20"/>
        </w:rPr>
        <w:t xml:space="preserve"> </w:t>
      </w:r>
      <w:r>
        <w:rPr>
          <w:rFonts w:ascii="Arial" w:hAnsi="Arial" w:cs="Arial"/>
          <w:sz w:val="20"/>
          <w:szCs w:val="20"/>
        </w:rPr>
        <w:t>LTSS</w:t>
      </w:r>
      <w:r>
        <w:rPr>
          <w:rFonts w:ascii="Arial" w:hAnsi="Arial" w:cs="Arial"/>
          <w:spacing w:val="-34"/>
          <w:sz w:val="20"/>
          <w:szCs w:val="20"/>
        </w:rPr>
        <w:t xml:space="preserve"> </w:t>
      </w:r>
      <w:r>
        <w:rPr>
          <w:rFonts w:ascii="Arial" w:hAnsi="Arial" w:cs="Arial"/>
          <w:sz w:val="20"/>
          <w:szCs w:val="20"/>
        </w:rPr>
        <w:t>coordinators</w:t>
      </w:r>
      <w:r>
        <w:rPr>
          <w:rFonts w:ascii="Arial" w:hAnsi="Arial" w:cs="Arial"/>
          <w:spacing w:val="-35"/>
          <w:sz w:val="20"/>
          <w:szCs w:val="20"/>
        </w:rPr>
        <w:t xml:space="preserve"> </w:t>
      </w:r>
      <w:r>
        <w:rPr>
          <w:rFonts w:ascii="Arial" w:hAnsi="Arial" w:cs="Arial"/>
          <w:sz w:val="19"/>
          <w:szCs w:val="19"/>
        </w:rPr>
        <w:t>and</w:t>
      </w:r>
      <w:r>
        <w:rPr>
          <w:rFonts w:ascii="Arial" w:hAnsi="Arial" w:cs="Arial"/>
          <w:spacing w:val="-30"/>
          <w:sz w:val="19"/>
          <w:szCs w:val="19"/>
        </w:rPr>
        <w:t xml:space="preserve"> </w:t>
      </w:r>
      <w:r>
        <w:rPr>
          <w:rFonts w:ascii="Arial" w:hAnsi="Arial" w:cs="Arial"/>
          <w:sz w:val="20"/>
          <w:szCs w:val="20"/>
        </w:rPr>
        <w:t>to</w:t>
      </w:r>
      <w:r>
        <w:rPr>
          <w:rFonts w:ascii="Arial" w:hAnsi="Arial" w:cs="Arial"/>
          <w:spacing w:val="-33"/>
          <w:sz w:val="20"/>
          <w:szCs w:val="20"/>
        </w:rPr>
        <w:t xml:space="preserve"> </w:t>
      </w:r>
      <w:r>
        <w:rPr>
          <w:rFonts w:ascii="Arial" w:hAnsi="Arial" w:cs="Arial"/>
          <w:sz w:val="20"/>
          <w:szCs w:val="20"/>
        </w:rPr>
        <w:t>oversee</w:t>
      </w:r>
      <w:r>
        <w:rPr>
          <w:rFonts w:ascii="Arial" w:hAnsi="Arial" w:cs="Arial"/>
          <w:spacing w:val="-36"/>
          <w:sz w:val="20"/>
          <w:szCs w:val="20"/>
        </w:rPr>
        <w:t xml:space="preserve"> </w:t>
      </w:r>
      <w:r>
        <w:rPr>
          <w:rFonts w:ascii="Arial" w:hAnsi="Arial" w:cs="Arial"/>
          <w:sz w:val="20"/>
          <w:szCs w:val="20"/>
        </w:rPr>
        <w:t>the</w:t>
      </w:r>
      <w:r>
        <w:rPr>
          <w:rFonts w:ascii="Arial" w:hAnsi="Arial" w:cs="Arial"/>
          <w:spacing w:val="-32"/>
          <w:sz w:val="20"/>
          <w:szCs w:val="20"/>
        </w:rPr>
        <w:t xml:space="preserve"> </w:t>
      </w:r>
      <w:r>
        <w:rPr>
          <w:rFonts w:ascii="Arial" w:hAnsi="Arial" w:cs="Arial"/>
          <w:sz w:val="20"/>
          <w:szCs w:val="20"/>
        </w:rPr>
        <w:t>evaluation,</w:t>
      </w:r>
      <w:r w:rsidR="00B92FCC">
        <w:rPr>
          <w:rFonts w:ascii="Arial" w:hAnsi="Arial" w:cs="Arial"/>
          <w:sz w:val="20"/>
          <w:szCs w:val="20"/>
        </w:rPr>
        <w:t xml:space="preserve"> </w:t>
      </w:r>
      <w:r>
        <w:rPr>
          <w:rFonts w:ascii="Arial" w:hAnsi="Arial" w:cs="Arial"/>
          <w:sz w:val="20"/>
          <w:szCs w:val="20"/>
        </w:rPr>
        <w:t>assessment,</w:t>
      </w:r>
      <w:r>
        <w:rPr>
          <w:rFonts w:ascii="Arial" w:hAnsi="Arial" w:cs="Arial"/>
          <w:spacing w:val="-25"/>
          <w:sz w:val="20"/>
          <w:szCs w:val="20"/>
        </w:rPr>
        <w:t xml:space="preserve"> </w:t>
      </w:r>
      <w:r>
        <w:rPr>
          <w:rFonts w:ascii="Arial" w:hAnsi="Arial" w:cs="Arial"/>
          <w:sz w:val="20"/>
          <w:szCs w:val="20"/>
        </w:rPr>
        <w:t xml:space="preserve">and </w:t>
      </w:r>
      <w:r w:rsidR="00B92FCC">
        <w:rPr>
          <w:rFonts w:ascii="Times New Roman" w:hAnsi="Times New Roman" w:cs="Times New Roman"/>
          <w:sz w:val="23"/>
          <w:szCs w:val="23"/>
        </w:rPr>
        <w:t>plan</w:t>
      </w:r>
      <w:r>
        <w:rPr>
          <w:rFonts w:ascii="Times New Roman" w:hAnsi="Times New Roman" w:cs="Times New Roman"/>
          <w:spacing w:val="-31"/>
          <w:sz w:val="23"/>
          <w:szCs w:val="23"/>
        </w:rPr>
        <w:t xml:space="preserve"> </w:t>
      </w:r>
      <w:r>
        <w:rPr>
          <w:rFonts w:ascii="Arial" w:hAnsi="Arial" w:cs="Arial"/>
          <w:sz w:val="19"/>
          <w:szCs w:val="19"/>
        </w:rPr>
        <w:t>of</w:t>
      </w:r>
      <w:r>
        <w:rPr>
          <w:rFonts w:ascii="Arial" w:hAnsi="Arial" w:cs="Arial"/>
          <w:spacing w:val="-29"/>
          <w:sz w:val="19"/>
          <w:szCs w:val="19"/>
        </w:rPr>
        <w:t xml:space="preserve"> </w:t>
      </w:r>
      <w:r>
        <w:rPr>
          <w:rFonts w:ascii="Times New Roman" w:hAnsi="Times New Roman" w:cs="Times New Roman"/>
          <w:sz w:val="23"/>
          <w:szCs w:val="23"/>
        </w:rPr>
        <w:t>care</w:t>
      </w:r>
      <w:r>
        <w:rPr>
          <w:rFonts w:ascii="Times New Roman" w:hAnsi="Times New Roman" w:cs="Times New Roman"/>
          <w:spacing w:val="-35"/>
          <w:sz w:val="23"/>
          <w:szCs w:val="23"/>
        </w:rPr>
        <w:t xml:space="preserve"> </w:t>
      </w:r>
      <w:r>
        <w:rPr>
          <w:rFonts w:ascii="Arial" w:hAnsi="Arial" w:cs="Arial"/>
          <w:sz w:val="20"/>
          <w:szCs w:val="20"/>
        </w:rPr>
        <w:t>functions</w:t>
      </w:r>
      <w:r>
        <w:rPr>
          <w:rFonts w:ascii="Arial" w:hAnsi="Arial" w:cs="Arial"/>
          <w:spacing w:val="-25"/>
          <w:sz w:val="20"/>
          <w:szCs w:val="20"/>
        </w:rPr>
        <w:t xml:space="preserve"> </w:t>
      </w:r>
      <w:r>
        <w:rPr>
          <w:rFonts w:ascii="Times New Roman" w:hAnsi="Times New Roman" w:cs="Times New Roman"/>
          <w:sz w:val="23"/>
          <w:szCs w:val="23"/>
        </w:rPr>
        <w:t>to</w:t>
      </w:r>
      <w:r>
        <w:rPr>
          <w:rFonts w:ascii="Times New Roman" w:hAnsi="Times New Roman" w:cs="Times New Roman"/>
          <w:spacing w:val="-31"/>
          <w:sz w:val="23"/>
          <w:szCs w:val="23"/>
        </w:rPr>
        <w:t xml:space="preserve"> </w:t>
      </w:r>
      <w:r>
        <w:rPr>
          <w:rFonts w:ascii="Arial" w:hAnsi="Arial" w:cs="Arial"/>
          <w:sz w:val="20"/>
          <w:szCs w:val="20"/>
        </w:rPr>
        <w:t>assure</w:t>
      </w:r>
      <w:r>
        <w:rPr>
          <w:rFonts w:ascii="Arial" w:hAnsi="Arial" w:cs="Arial"/>
          <w:spacing w:val="-28"/>
          <w:sz w:val="20"/>
          <w:szCs w:val="20"/>
        </w:rPr>
        <w:t xml:space="preserve"> </w:t>
      </w:r>
      <w:r>
        <w:rPr>
          <w:rFonts w:ascii="Times New Roman" w:hAnsi="Times New Roman" w:cs="Times New Roman"/>
          <w:sz w:val="23"/>
          <w:szCs w:val="23"/>
        </w:rPr>
        <w:t>that</w:t>
      </w:r>
      <w:r>
        <w:rPr>
          <w:rFonts w:ascii="Times New Roman" w:hAnsi="Times New Roman" w:cs="Times New Roman"/>
          <w:spacing w:val="-26"/>
          <w:sz w:val="23"/>
          <w:szCs w:val="23"/>
        </w:rPr>
        <w:t xml:space="preserve"> </w:t>
      </w:r>
      <w:r>
        <w:rPr>
          <w:rFonts w:ascii="Arial" w:hAnsi="Arial" w:cs="Arial"/>
          <w:sz w:val="20"/>
          <w:szCs w:val="20"/>
        </w:rPr>
        <w:t>services</w:t>
      </w:r>
      <w:r>
        <w:rPr>
          <w:rFonts w:ascii="Arial" w:hAnsi="Arial" w:cs="Arial"/>
          <w:spacing w:val="-31"/>
          <w:sz w:val="20"/>
          <w:szCs w:val="20"/>
        </w:rPr>
        <w:t xml:space="preserve"> </w:t>
      </w:r>
      <w:r>
        <w:rPr>
          <w:rFonts w:ascii="Arial" w:hAnsi="Arial" w:cs="Arial"/>
          <w:sz w:val="20"/>
          <w:szCs w:val="20"/>
        </w:rPr>
        <w:t>and</w:t>
      </w:r>
      <w:r>
        <w:rPr>
          <w:rFonts w:ascii="Arial" w:hAnsi="Arial" w:cs="Arial"/>
          <w:spacing w:val="-37"/>
          <w:sz w:val="20"/>
          <w:szCs w:val="20"/>
        </w:rPr>
        <w:t xml:space="preserve"> </w:t>
      </w:r>
      <w:r>
        <w:rPr>
          <w:rFonts w:ascii="Arial" w:hAnsi="Arial" w:cs="Arial"/>
          <w:sz w:val="20"/>
          <w:szCs w:val="20"/>
        </w:rPr>
        <w:t>supports</w:t>
      </w:r>
      <w:r>
        <w:rPr>
          <w:rFonts w:ascii="Arial" w:hAnsi="Arial" w:cs="Arial"/>
          <w:spacing w:val="-26"/>
          <w:sz w:val="20"/>
          <w:szCs w:val="20"/>
        </w:rPr>
        <w:t xml:space="preserve"> </w:t>
      </w:r>
      <w:r>
        <w:rPr>
          <w:rFonts w:ascii="Times New Roman" w:hAnsi="Times New Roman" w:cs="Times New Roman"/>
          <w:sz w:val="23"/>
          <w:szCs w:val="23"/>
        </w:rPr>
        <w:t>are</w:t>
      </w:r>
      <w:r>
        <w:rPr>
          <w:rFonts w:ascii="Times New Roman" w:hAnsi="Times New Roman" w:cs="Times New Roman"/>
          <w:spacing w:val="-32"/>
          <w:sz w:val="23"/>
          <w:szCs w:val="23"/>
        </w:rPr>
        <w:t xml:space="preserve"> </w:t>
      </w:r>
      <w:r>
        <w:rPr>
          <w:rFonts w:ascii="Arial" w:hAnsi="Arial" w:cs="Arial"/>
          <w:sz w:val="20"/>
          <w:szCs w:val="20"/>
        </w:rPr>
        <w:t>delivered</w:t>
      </w:r>
      <w:r>
        <w:rPr>
          <w:rFonts w:ascii="Arial" w:hAnsi="Arial" w:cs="Arial"/>
          <w:spacing w:val="-29"/>
          <w:sz w:val="20"/>
          <w:szCs w:val="20"/>
        </w:rPr>
        <w:t xml:space="preserve"> </w:t>
      </w:r>
      <w:r>
        <w:rPr>
          <w:rFonts w:ascii="Times New Roman" w:hAnsi="Times New Roman" w:cs="Times New Roman"/>
          <w:sz w:val="23"/>
          <w:szCs w:val="23"/>
        </w:rPr>
        <w:t>to</w:t>
      </w:r>
      <w:r>
        <w:rPr>
          <w:rFonts w:ascii="Times New Roman" w:hAnsi="Times New Roman" w:cs="Times New Roman"/>
          <w:spacing w:val="-24"/>
          <w:sz w:val="23"/>
          <w:szCs w:val="23"/>
        </w:rPr>
        <w:t xml:space="preserve"> </w:t>
      </w:r>
      <w:r>
        <w:rPr>
          <w:rFonts w:ascii="Times New Roman" w:hAnsi="Times New Roman" w:cs="Times New Roman"/>
          <w:sz w:val="23"/>
          <w:szCs w:val="23"/>
        </w:rPr>
        <w:t>meet</w:t>
      </w:r>
      <w:r>
        <w:rPr>
          <w:rFonts w:ascii="Times New Roman" w:hAnsi="Times New Roman" w:cs="Times New Roman"/>
          <w:spacing w:val="-27"/>
          <w:sz w:val="23"/>
          <w:szCs w:val="23"/>
        </w:rPr>
        <w:t xml:space="preserve"> </w:t>
      </w:r>
      <w:r>
        <w:rPr>
          <w:rFonts w:ascii="Times New Roman" w:hAnsi="Times New Roman" w:cs="Times New Roman"/>
          <w:sz w:val="23"/>
          <w:szCs w:val="23"/>
        </w:rPr>
        <w:t>the</w:t>
      </w:r>
      <w:r>
        <w:rPr>
          <w:rFonts w:ascii="Times New Roman" w:hAnsi="Times New Roman" w:cs="Times New Roman"/>
          <w:spacing w:val="-38"/>
          <w:sz w:val="23"/>
          <w:szCs w:val="23"/>
        </w:rPr>
        <w:t xml:space="preserve"> </w:t>
      </w:r>
      <w:r>
        <w:rPr>
          <w:rFonts w:ascii="Arial" w:hAnsi="Arial" w:cs="Arial"/>
          <w:sz w:val="20"/>
          <w:szCs w:val="20"/>
        </w:rPr>
        <w:t>enrollees'</w:t>
      </w:r>
      <w:r>
        <w:rPr>
          <w:rFonts w:ascii="Arial" w:hAnsi="Arial" w:cs="Arial"/>
          <w:spacing w:val="-30"/>
          <w:sz w:val="20"/>
          <w:szCs w:val="20"/>
        </w:rPr>
        <w:t xml:space="preserve"> </w:t>
      </w:r>
      <w:r>
        <w:rPr>
          <w:rFonts w:ascii="Arial" w:hAnsi="Arial" w:cs="Arial"/>
          <w:sz w:val="20"/>
          <w:szCs w:val="20"/>
        </w:rPr>
        <w:t xml:space="preserve">needs </w:t>
      </w:r>
      <w:r>
        <w:rPr>
          <w:rFonts w:ascii="Arial" w:hAnsi="Arial" w:cs="Arial"/>
          <w:w w:val="101"/>
          <w:sz w:val="20"/>
          <w:szCs w:val="20"/>
        </w:rPr>
        <w:t xml:space="preserve">and </w:t>
      </w:r>
      <w:r>
        <w:rPr>
          <w:rFonts w:ascii="Arial" w:hAnsi="Arial" w:cs="Arial"/>
          <w:w w:val="95"/>
          <w:sz w:val="20"/>
          <w:szCs w:val="20"/>
        </w:rPr>
        <w:t xml:space="preserve">achieve intended outcomes. </w:t>
      </w:r>
      <w:r>
        <w:rPr>
          <w:rFonts w:ascii="Arial" w:hAnsi="Arial" w:cs="Arial"/>
          <w:w w:val="90"/>
          <w:sz w:val="20"/>
          <w:szCs w:val="20"/>
        </w:rPr>
        <w:t xml:space="preserve">The </w:t>
      </w:r>
      <w:r>
        <w:rPr>
          <w:rFonts w:ascii="Arial" w:hAnsi="Arial" w:cs="Arial"/>
          <w:w w:val="92"/>
          <w:sz w:val="20"/>
          <w:szCs w:val="20"/>
        </w:rPr>
        <w:t xml:space="preserve">MassHealth </w:t>
      </w:r>
      <w:r>
        <w:rPr>
          <w:rFonts w:ascii="Arial" w:hAnsi="Arial" w:cs="Arial"/>
          <w:w w:val="82"/>
          <w:sz w:val="20"/>
          <w:szCs w:val="20"/>
        </w:rPr>
        <w:t xml:space="preserve">ACO </w:t>
      </w:r>
      <w:r>
        <w:rPr>
          <w:rFonts w:ascii="Arial" w:hAnsi="Arial" w:cs="Arial"/>
          <w:w w:val="109"/>
          <w:sz w:val="20"/>
          <w:szCs w:val="20"/>
        </w:rPr>
        <w:t>shall</w:t>
      </w:r>
      <w:r w:rsidR="00B92FCC">
        <w:rPr>
          <w:rFonts w:ascii="Arial" w:hAnsi="Arial" w:cs="Arial"/>
          <w:w w:val="109"/>
          <w:sz w:val="20"/>
          <w:szCs w:val="20"/>
        </w:rPr>
        <w:t xml:space="preserve"> </w:t>
      </w:r>
      <w:r>
        <w:rPr>
          <w:rFonts w:ascii="Arial" w:hAnsi="Arial" w:cs="Arial"/>
          <w:w w:val="109"/>
          <w:sz w:val="20"/>
          <w:szCs w:val="20"/>
        </w:rPr>
        <w:t xml:space="preserve">not </w:t>
      </w:r>
      <w:r>
        <w:rPr>
          <w:rFonts w:ascii="Arial" w:hAnsi="Arial" w:cs="Arial"/>
          <w:w w:val="87"/>
          <w:sz w:val="21"/>
          <w:szCs w:val="21"/>
        </w:rPr>
        <w:t xml:space="preserve">have </w:t>
      </w:r>
      <w:r>
        <w:rPr>
          <w:rFonts w:ascii="Arial" w:hAnsi="Arial" w:cs="Arial"/>
          <w:w w:val="83"/>
          <w:sz w:val="21"/>
          <w:szCs w:val="21"/>
        </w:rPr>
        <w:t xml:space="preserve">a </w:t>
      </w:r>
      <w:r>
        <w:rPr>
          <w:rFonts w:ascii="Arial" w:hAnsi="Arial" w:cs="Arial"/>
          <w:w w:val="97"/>
          <w:sz w:val="20"/>
          <w:szCs w:val="20"/>
        </w:rPr>
        <w:t xml:space="preserve">direct </w:t>
      </w:r>
      <w:r>
        <w:rPr>
          <w:rFonts w:ascii="Arial" w:hAnsi="Arial" w:cs="Arial"/>
          <w:w w:val="115"/>
          <w:sz w:val="19"/>
          <w:szCs w:val="19"/>
        </w:rPr>
        <w:t xml:space="preserve">or </w:t>
      </w:r>
      <w:r>
        <w:rPr>
          <w:rFonts w:ascii="Arial" w:hAnsi="Arial" w:cs="Arial"/>
          <w:spacing w:val="-5"/>
          <w:w w:val="106"/>
          <w:sz w:val="20"/>
          <w:szCs w:val="20"/>
        </w:rPr>
        <w:t>indirect</w:t>
      </w:r>
      <w:r>
        <w:rPr>
          <w:rFonts w:ascii="Arial" w:hAnsi="Arial" w:cs="Arial"/>
          <w:w w:val="106"/>
          <w:sz w:val="20"/>
          <w:szCs w:val="20"/>
        </w:rPr>
        <w:t xml:space="preserve"> </w:t>
      </w:r>
      <w:r>
        <w:rPr>
          <w:rFonts w:ascii="Arial" w:hAnsi="Arial" w:cs="Arial"/>
          <w:w w:val="93"/>
          <w:sz w:val="20"/>
          <w:szCs w:val="20"/>
        </w:rPr>
        <w:t xml:space="preserve">financial </w:t>
      </w:r>
      <w:r>
        <w:rPr>
          <w:rFonts w:ascii="Arial" w:hAnsi="Arial" w:cs="Arial"/>
          <w:spacing w:val="-1"/>
          <w:w w:val="99"/>
          <w:sz w:val="20"/>
          <w:szCs w:val="20"/>
        </w:rPr>
        <w:t>ownership</w:t>
      </w:r>
      <w:r>
        <w:rPr>
          <w:rFonts w:ascii="Arial" w:hAnsi="Arial" w:cs="Arial"/>
          <w:spacing w:val="-39"/>
          <w:w w:val="99"/>
          <w:sz w:val="20"/>
          <w:szCs w:val="20"/>
        </w:rPr>
        <w:t xml:space="preserve"> </w:t>
      </w:r>
      <w:r>
        <w:rPr>
          <w:rFonts w:ascii="Arial" w:hAnsi="Arial" w:cs="Arial"/>
          <w:spacing w:val="-9"/>
          <w:w w:val="121"/>
          <w:sz w:val="19"/>
          <w:szCs w:val="19"/>
        </w:rPr>
        <w:t>interest</w:t>
      </w:r>
      <w:r>
        <w:rPr>
          <w:rFonts w:ascii="Arial" w:hAnsi="Arial" w:cs="Arial"/>
          <w:spacing w:val="-26"/>
          <w:w w:val="121"/>
          <w:sz w:val="19"/>
          <w:szCs w:val="19"/>
        </w:rPr>
        <w:t xml:space="preserve"> </w:t>
      </w:r>
      <w:r>
        <w:rPr>
          <w:rFonts w:ascii="Arial" w:hAnsi="Arial" w:cs="Arial"/>
          <w:spacing w:val="-20"/>
          <w:w w:val="159"/>
          <w:sz w:val="19"/>
          <w:szCs w:val="19"/>
        </w:rPr>
        <w:t>in</w:t>
      </w:r>
      <w:r>
        <w:rPr>
          <w:rFonts w:ascii="Arial" w:hAnsi="Arial" w:cs="Arial"/>
          <w:spacing w:val="-53"/>
          <w:w w:val="159"/>
          <w:sz w:val="19"/>
          <w:szCs w:val="19"/>
        </w:rPr>
        <w:t xml:space="preserve"> </w:t>
      </w:r>
      <w:r>
        <w:rPr>
          <w:rFonts w:ascii="Arial" w:hAnsi="Arial" w:cs="Arial"/>
          <w:w w:val="86"/>
          <w:sz w:val="20"/>
          <w:szCs w:val="20"/>
        </w:rPr>
        <w:t>an</w:t>
      </w:r>
      <w:r>
        <w:rPr>
          <w:rFonts w:ascii="Arial" w:hAnsi="Arial" w:cs="Arial"/>
          <w:spacing w:val="-23"/>
          <w:w w:val="86"/>
          <w:sz w:val="20"/>
          <w:szCs w:val="20"/>
        </w:rPr>
        <w:t xml:space="preserve"> </w:t>
      </w:r>
      <w:r>
        <w:rPr>
          <w:rFonts w:ascii="Arial" w:hAnsi="Arial" w:cs="Arial"/>
          <w:w w:val="110"/>
          <w:sz w:val="19"/>
          <w:szCs w:val="19"/>
        </w:rPr>
        <w:t>entity</w:t>
      </w:r>
      <w:r>
        <w:rPr>
          <w:rFonts w:ascii="Arial" w:hAnsi="Arial" w:cs="Arial"/>
          <w:spacing w:val="-29"/>
          <w:w w:val="110"/>
          <w:sz w:val="19"/>
          <w:szCs w:val="19"/>
        </w:rPr>
        <w:t xml:space="preserve"> </w:t>
      </w:r>
      <w:r>
        <w:rPr>
          <w:rFonts w:ascii="Arial" w:hAnsi="Arial" w:cs="Arial"/>
          <w:spacing w:val="-9"/>
          <w:w w:val="120"/>
          <w:sz w:val="20"/>
          <w:szCs w:val="20"/>
        </w:rPr>
        <w:t>which</w:t>
      </w:r>
      <w:r>
        <w:rPr>
          <w:rFonts w:ascii="Arial" w:hAnsi="Arial" w:cs="Arial"/>
          <w:spacing w:val="-39"/>
          <w:w w:val="120"/>
          <w:sz w:val="20"/>
          <w:szCs w:val="20"/>
        </w:rPr>
        <w:t xml:space="preserve"> </w:t>
      </w:r>
      <w:r>
        <w:rPr>
          <w:rFonts w:ascii="Arial" w:hAnsi="Arial" w:cs="Arial"/>
          <w:spacing w:val="-1"/>
          <w:w w:val="103"/>
          <w:sz w:val="19"/>
          <w:szCs w:val="19"/>
        </w:rPr>
        <w:t>provides</w:t>
      </w:r>
      <w:r>
        <w:rPr>
          <w:rFonts w:ascii="Arial" w:hAnsi="Arial" w:cs="Arial"/>
          <w:spacing w:val="-26"/>
          <w:w w:val="103"/>
          <w:sz w:val="19"/>
          <w:szCs w:val="19"/>
        </w:rPr>
        <w:t xml:space="preserve"> </w:t>
      </w:r>
      <w:r>
        <w:rPr>
          <w:rFonts w:ascii="Arial" w:hAnsi="Arial" w:cs="Arial"/>
          <w:w w:val="97"/>
          <w:sz w:val="20"/>
          <w:szCs w:val="20"/>
        </w:rPr>
        <w:t>an</w:t>
      </w:r>
      <w:r>
        <w:rPr>
          <w:rFonts w:ascii="Arial" w:hAnsi="Arial" w:cs="Arial"/>
          <w:spacing w:val="24"/>
          <w:w w:val="97"/>
          <w:sz w:val="20"/>
          <w:szCs w:val="20"/>
        </w:rPr>
        <w:t xml:space="preserve"> </w:t>
      </w:r>
      <w:r w:rsidR="00B92FCC">
        <w:rPr>
          <w:rFonts w:ascii="Times New Roman" w:hAnsi="Times New Roman" w:cs="Times New Roman"/>
          <w:w w:val="102"/>
          <w:sz w:val="21"/>
          <w:szCs w:val="21"/>
        </w:rPr>
        <w:t>LT</w:t>
      </w:r>
      <w:r>
        <w:rPr>
          <w:rFonts w:ascii="Times New Roman" w:hAnsi="Times New Roman" w:cs="Times New Roman"/>
          <w:w w:val="102"/>
          <w:sz w:val="21"/>
          <w:szCs w:val="21"/>
        </w:rPr>
        <w:t>SS</w:t>
      </w:r>
      <w:r>
        <w:rPr>
          <w:rFonts w:ascii="Times New Roman" w:hAnsi="Times New Roman" w:cs="Times New Roman"/>
          <w:spacing w:val="-23"/>
          <w:w w:val="102"/>
          <w:sz w:val="21"/>
          <w:szCs w:val="21"/>
        </w:rPr>
        <w:t xml:space="preserve"> </w:t>
      </w:r>
      <w:r>
        <w:rPr>
          <w:rFonts w:ascii="Arial" w:hAnsi="Arial" w:cs="Arial"/>
          <w:w w:val="103"/>
          <w:sz w:val="19"/>
          <w:szCs w:val="19"/>
        </w:rPr>
        <w:t>Coordinator.</w:t>
      </w:r>
    </w:p>
    <w:p w:rsidR="002C5025" w:rsidRDefault="002C5025">
      <w:pPr>
        <w:pStyle w:val="BodyText"/>
        <w:kinsoku w:val="0"/>
        <w:overflowPunct w:val="0"/>
        <w:spacing w:before="8"/>
        <w:rPr>
          <w:rFonts w:ascii="Arial" w:hAnsi="Arial" w:cs="Arial"/>
        </w:rPr>
      </w:pPr>
    </w:p>
    <w:p w:rsidR="002C5025" w:rsidRDefault="002C5025">
      <w:pPr>
        <w:pStyle w:val="BodyText"/>
        <w:kinsoku w:val="0"/>
        <w:overflowPunct w:val="0"/>
        <w:spacing w:line="266" w:lineRule="auto"/>
        <w:ind w:left="116" w:right="224"/>
        <w:rPr>
          <w:rFonts w:ascii="Arial" w:hAnsi="Arial" w:cs="Arial"/>
          <w:spacing w:val="-7"/>
          <w:w w:val="114"/>
          <w:sz w:val="20"/>
          <w:szCs w:val="20"/>
        </w:rPr>
      </w:pPr>
      <w:r>
        <w:rPr>
          <w:rFonts w:ascii="Arial" w:hAnsi="Arial" w:cs="Arial"/>
          <w:w w:val="97"/>
          <w:sz w:val="20"/>
          <w:szCs w:val="20"/>
        </w:rPr>
        <w:t>The</w:t>
      </w:r>
      <w:r>
        <w:rPr>
          <w:rFonts w:ascii="Arial" w:hAnsi="Arial" w:cs="Arial"/>
          <w:spacing w:val="-16"/>
          <w:w w:val="97"/>
          <w:sz w:val="20"/>
          <w:szCs w:val="20"/>
        </w:rPr>
        <w:t xml:space="preserve"> </w:t>
      </w:r>
      <w:r>
        <w:rPr>
          <w:rFonts w:ascii="Arial" w:hAnsi="Arial" w:cs="Arial"/>
          <w:spacing w:val="-4"/>
          <w:w w:val="105"/>
          <w:sz w:val="20"/>
          <w:szCs w:val="20"/>
        </w:rPr>
        <w:t>independent</w:t>
      </w:r>
      <w:r>
        <w:rPr>
          <w:rFonts w:ascii="Arial" w:hAnsi="Arial" w:cs="Arial"/>
          <w:spacing w:val="5"/>
          <w:w w:val="105"/>
          <w:sz w:val="20"/>
          <w:szCs w:val="20"/>
        </w:rPr>
        <w:t xml:space="preserve"> </w:t>
      </w:r>
      <w:r>
        <w:rPr>
          <w:rFonts w:ascii="Arial" w:hAnsi="Arial" w:cs="Arial"/>
          <w:w w:val="74"/>
          <w:sz w:val="20"/>
          <w:szCs w:val="20"/>
        </w:rPr>
        <w:t>LTSS</w:t>
      </w:r>
      <w:r>
        <w:rPr>
          <w:rFonts w:ascii="Arial" w:hAnsi="Arial" w:cs="Arial"/>
          <w:spacing w:val="2"/>
          <w:w w:val="74"/>
          <w:sz w:val="20"/>
          <w:szCs w:val="20"/>
        </w:rPr>
        <w:t xml:space="preserve"> </w:t>
      </w:r>
      <w:r>
        <w:rPr>
          <w:rFonts w:ascii="Arial" w:hAnsi="Arial" w:cs="Arial"/>
          <w:w w:val="97"/>
          <w:sz w:val="20"/>
          <w:szCs w:val="20"/>
        </w:rPr>
        <w:t>Coordinator</w:t>
      </w:r>
      <w:r>
        <w:rPr>
          <w:rFonts w:ascii="Arial" w:hAnsi="Arial" w:cs="Arial"/>
          <w:spacing w:val="-21"/>
          <w:w w:val="97"/>
          <w:sz w:val="20"/>
          <w:szCs w:val="20"/>
        </w:rPr>
        <w:t xml:space="preserve"> </w:t>
      </w:r>
      <w:r>
        <w:rPr>
          <w:rFonts w:ascii="Arial" w:hAnsi="Arial" w:cs="Arial"/>
          <w:w w:val="93"/>
          <w:sz w:val="20"/>
          <w:szCs w:val="20"/>
        </w:rPr>
        <w:t xml:space="preserve">shall </w:t>
      </w:r>
      <w:r>
        <w:rPr>
          <w:rFonts w:ascii="Arial" w:hAnsi="Arial" w:cs="Arial"/>
          <w:w w:val="94"/>
          <w:sz w:val="20"/>
          <w:szCs w:val="20"/>
        </w:rPr>
        <w:t>be</w:t>
      </w:r>
      <w:r>
        <w:rPr>
          <w:rFonts w:ascii="Arial" w:hAnsi="Arial" w:cs="Arial"/>
          <w:spacing w:val="-17"/>
          <w:w w:val="94"/>
          <w:sz w:val="20"/>
          <w:szCs w:val="20"/>
        </w:rPr>
        <w:t xml:space="preserve"> </w:t>
      </w:r>
      <w:r>
        <w:rPr>
          <w:rFonts w:ascii="Arial" w:hAnsi="Arial" w:cs="Arial"/>
          <w:w w:val="95"/>
          <w:sz w:val="20"/>
          <w:szCs w:val="20"/>
        </w:rPr>
        <w:t>a</w:t>
      </w:r>
      <w:r>
        <w:rPr>
          <w:rFonts w:ascii="Arial" w:hAnsi="Arial" w:cs="Arial"/>
          <w:spacing w:val="-15"/>
          <w:w w:val="95"/>
          <w:sz w:val="20"/>
          <w:szCs w:val="20"/>
        </w:rPr>
        <w:t xml:space="preserve"> </w:t>
      </w:r>
      <w:r>
        <w:rPr>
          <w:rFonts w:ascii="Arial" w:hAnsi="Arial" w:cs="Arial"/>
          <w:w w:val="102"/>
          <w:sz w:val="20"/>
          <w:szCs w:val="20"/>
        </w:rPr>
        <w:t>full</w:t>
      </w:r>
      <w:r>
        <w:rPr>
          <w:rFonts w:ascii="Arial" w:hAnsi="Arial" w:cs="Arial"/>
          <w:spacing w:val="-4"/>
          <w:w w:val="102"/>
          <w:sz w:val="20"/>
          <w:szCs w:val="20"/>
        </w:rPr>
        <w:t xml:space="preserve"> </w:t>
      </w:r>
      <w:r>
        <w:rPr>
          <w:rFonts w:ascii="Arial" w:hAnsi="Arial" w:cs="Arial"/>
          <w:w w:val="97"/>
          <w:sz w:val="19"/>
          <w:szCs w:val="19"/>
        </w:rPr>
        <w:t xml:space="preserve">member </w:t>
      </w:r>
      <w:r>
        <w:rPr>
          <w:rFonts w:ascii="Arial" w:hAnsi="Arial" w:cs="Arial"/>
          <w:w w:val="96"/>
          <w:sz w:val="20"/>
          <w:szCs w:val="20"/>
        </w:rPr>
        <w:t xml:space="preserve">of </w:t>
      </w:r>
      <w:r>
        <w:rPr>
          <w:rFonts w:ascii="Arial" w:hAnsi="Arial" w:cs="Arial"/>
          <w:sz w:val="20"/>
          <w:szCs w:val="20"/>
        </w:rPr>
        <w:t>the</w:t>
      </w:r>
      <w:r>
        <w:rPr>
          <w:rFonts w:ascii="Arial" w:hAnsi="Arial" w:cs="Arial"/>
          <w:spacing w:val="-12"/>
          <w:sz w:val="20"/>
          <w:szCs w:val="20"/>
        </w:rPr>
        <w:t xml:space="preserve"> </w:t>
      </w:r>
      <w:r w:rsidR="00B92FCC">
        <w:rPr>
          <w:rFonts w:ascii="Arial" w:hAnsi="Arial" w:cs="Arial"/>
          <w:w w:val="89"/>
          <w:sz w:val="20"/>
          <w:szCs w:val="20"/>
        </w:rPr>
        <w:t>c</w:t>
      </w:r>
      <w:r>
        <w:rPr>
          <w:rFonts w:ascii="Arial" w:hAnsi="Arial" w:cs="Arial"/>
          <w:w w:val="89"/>
          <w:sz w:val="20"/>
          <w:szCs w:val="20"/>
        </w:rPr>
        <w:t>are</w:t>
      </w:r>
      <w:r>
        <w:rPr>
          <w:rFonts w:ascii="Arial" w:hAnsi="Arial" w:cs="Arial"/>
          <w:spacing w:val="-13"/>
          <w:w w:val="89"/>
          <w:sz w:val="20"/>
          <w:szCs w:val="20"/>
        </w:rPr>
        <w:t xml:space="preserve"> </w:t>
      </w:r>
      <w:r>
        <w:rPr>
          <w:rFonts w:ascii="Arial" w:hAnsi="Arial" w:cs="Arial"/>
          <w:spacing w:val="-1"/>
          <w:w w:val="108"/>
          <w:sz w:val="19"/>
          <w:szCs w:val="19"/>
        </w:rPr>
        <w:t>team,</w:t>
      </w:r>
      <w:r w:rsidR="00B92FCC">
        <w:rPr>
          <w:rFonts w:ascii="Arial" w:hAnsi="Arial" w:cs="Arial"/>
          <w:spacing w:val="-1"/>
          <w:w w:val="108"/>
          <w:sz w:val="19"/>
          <w:szCs w:val="19"/>
        </w:rPr>
        <w:t xml:space="preserve"> </w:t>
      </w:r>
      <w:r>
        <w:rPr>
          <w:rFonts w:ascii="Arial" w:hAnsi="Arial" w:cs="Arial"/>
          <w:spacing w:val="-1"/>
          <w:w w:val="108"/>
          <w:sz w:val="20"/>
          <w:szCs w:val="20"/>
        </w:rPr>
        <w:t>serving</w:t>
      </w:r>
      <w:r>
        <w:rPr>
          <w:rFonts w:ascii="Arial" w:hAnsi="Arial" w:cs="Arial"/>
          <w:spacing w:val="-29"/>
          <w:w w:val="108"/>
          <w:sz w:val="20"/>
          <w:szCs w:val="20"/>
        </w:rPr>
        <w:t xml:space="preserve"> </w:t>
      </w:r>
      <w:r>
        <w:rPr>
          <w:rFonts w:ascii="Arial" w:hAnsi="Arial" w:cs="Arial"/>
          <w:w w:val="102"/>
          <w:sz w:val="20"/>
          <w:szCs w:val="20"/>
        </w:rPr>
        <w:t>at</w:t>
      </w:r>
      <w:r>
        <w:rPr>
          <w:rFonts w:ascii="Arial" w:hAnsi="Arial" w:cs="Arial"/>
          <w:spacing w:val="-25"/>
          <w:w w:val="102"/>
          <w:sz w:val="20"/>
          <w:szCs w:val="20"/>
        </w:rPr>
        <w:t xml:space="preserve"> </w:t>
      </w:r>
      <w:r>
        <w:rPr>
          <w:rFonts w:ascii="Arial" w:hAnsi="Arial" w:cs="Arial"/>
          <w:sz w:val="20"/>
          <w:szCs w:val="20"/>
        </w:rPr>
        <w:t>the</w:t>
      </w:r>
      <w:r>
        <w:rPr>
          <w:rFonts w:ascii="Arial" w:hAnsi="Arial" w:cs="Arial"/>
          <w:spacing w:val="-12"/>
          <w:sz w:val="20"/>
          <w:szCs w:val="20"/>
        </w:rPr>
        <w:t xml:space="preserve"> </w:t>
      </w:r>
      <w:r>
        <w:rPr>
          <w:rFonts w:ascii="Arial" w:hAnsi="Arial" w:cs="Arial"/>
          <w:spacing w:val="-2"/>
          <w:w w:val="98"/>
          <w:sz w:val="20"/>
          <w:szCs w:val="20"/>
        </w:rPr>
        <w:t>discretion</w:t>
      </w:r>
      <w:r>
        <w:rPr>
          <w:rFonts w:ascii="Arial" w:hAnsi="Arial" w:cs="Arial"/>
          <w:spacing w:val="-13"/>
          <w:w w:val="98"/>
          <w:sz w:val="20"/>
          <w:szCs w:val="20"/>
        </w:rPr>
        <w:t xml:space="preserve"> </w:t>
      </w:r>
      <w:r>
        <w:rPr>
          <w:rFonts w:ascii="Arial" w:hAnsi="Arial" w:cs="Arial"/>
          <w:w w:val="105"/>
          <w:sz w:val="20"/>
          <w:szCs w:val="20"/>
        </w:rPr>
        <w:t xml:space="preserve">of </w:t>
      </w:r>
      <w:r>
        <w:rPr>
          <w:rFonts w:ascii="Arial" w:hAnsi="Arial" w:cs="Arial"/>
          <w:w w:val="108"/>
          <w:sz w:val="20"/>
          <w:szCs w:val="20"/>
        </w:rPr>
        <w:t xml:space="preserve">the </w:t>
      </w:r>
      <w:r>
        <w:rPr>
          <w:rFonts w:ascii="Arial" w:hAnsi="Arial" w:cs="Arial"/>
          <w:w w:val="84"/>
          <w:sz w:val="20"/>
          <w:szCs w:val="20"/>
        </w:rPr>
        <w:t xml:space="preserve">ACO </w:t>
      </w:r>
      <w:r>
        <w:rPr>
          <w:rFonts w:ascii="Arial" w:hAnsi="Arial" w:cs="Arial"/>
          <w:spacing w:val="-2"/>
          <w:w w:val="99"/>
          <w:sz w:val="20"/>
          <w:szCs w:val="20"/>
        </w:rPr>
        <w:t>enrollee.</w:t>
      </w:r>
      <w:r>
        <w:rPr>
          <w:rFonts w:ascii="Arial" w:hAnsi="Arial" w:cs="Arial"/>
          <w:w w:val="99"/>
          <w:sz w:val="20"/>
          <w:szCs w:val="20"/>
        </w:rPr>
        <w:t xml:space="preserve"> </w:t>
      </w:r>
      <w:r>
        <w:rPr>
          <w:rFonts w:ascii="Arial" w:hAnsi="Arial" w:cs="Arial"/>
          <w:w w:val="90"/>
          <w:sz w:val="20"/>
          <w:szCs w:val="20"/>
        </w:rPr>
        <w:t xml:space="preserve">For </w:t>
      </w:r>
      <w:r w:rsidR="00B92FCC">
        <w:rPr>
          <w:rFonts w:ascii="Arial" w:hAnsi="Arial" w:cs="Arial"/>
          <w:w w:val="92"/>
          <w:sz w:val="20"/>
          <w:szCs w:val="20"/>
        </w:rPr>
        <w:t>enroll</w:t>
      </w:r>
      <w:r>
        <w:rPr>
          <w:rFonts w:ascii="Arial" w:hAnsi="Arial" w:cs="Arial"/>
          <w:w w:val="92"/>
          <w:sz w:val="20"/>
          <w:szCs w:val="20"/>
        </w:rPr>
        <w:t xml:space="preserve">ees </w:t>
      </w:r>
      <w:r>
        <w:rPr>
          <w:rFonts w:ascii="Arial" w:hAnsi="Arial" w:cs="Arial"/>
          <w:w w:val="102"/>
          <w:sz w:val="20"/>
          <w:szCs w:val="20"/>
        </w:rPr>
        <w:t xml:space="preserve">without </w:t>
      </w:r>
      <w:r>
        <w:rPr>
          <w:rFonts w:ascii="Arial" w:hAnsi="Arial" w:cs="Arial"/>
          <w:w w:val="74"/>
          <w:sz w:val="20"/>
          <w:szCs w:val="20"/>
        </w:rPr>
        <w:t xml:space="preserve">LTSS </w:t>
      </w:r>
      <w:r>
        <w:rPr>
          <w:rFonts w:ascii="Arial" w:hAnsi="Arial" w:cs="Arial"/>
          <w:spacing w:val="-3"/>
          <w:w w:val="107"/>
          <w:sz w:val="20"/>
          <w:szCs w:val="20"/>
        </w:rPr>
        <w:t>needs,</w:t>
      </w:r>
      <w:r w:rsidR="00B92FCC">
        <w:rPr>
          <w:rFonts w:ascii="Arial" w:hAnsi="Arial" w:cs="Arial"/>
          <w:spacing w:val="-3"/>
          <w:w w:val="107"/>
          <w:sz w:val="20"/>
          <w:szCs w:val="20"/>
        </w:rPr>
        <w:t xml:space="preserve"> </w:t>
      </w:r>
      <w:r>
        <w:rPr>
          <w:rFonts w:ascii="Arial" w:hAnsi="Arial" w:cs="Arial"/>
          <w:spacing w:val="-3"/>
          <w:w w:val="107"/>
          <w:sz w:val="20"/>
          <w:szCs w:val="20"/>
        </w:rPr>
        <w:t>the</w:t>
      </w:r>
      <w:r>
        <w:rPr>
          <w:rFonts w:ascii="Arial" w:hAnsi="Arial" w:cs="Arial"/>
          <w:w w:val="107"/>
          <w:sz w:val="20"/>
          <w:szCs w:val="20"/>
        </w:rPr>
        <w:t xml:space="preserve"> </w:t>
      </w:r>
      <w:r>
        <w:rPr>
          <w:rFonts w:ascii="Arial" w:hAnsi="Arial" w:cs="Arial"/>
          <w:w w:val="73"/>
          <w:sz w:val="20"/>
          <w:szCs w:val="20"/>
        </w:rPr>
        <w:t xml:space="preserve">LTSS </w:t>
      </w:r>
      <w:r>
        <w:rPr>
          <w:rFonts w:ascii="Arial" w:hAnsi="Arial" w:cs="Arial"/>
          <w:w w:val="98"/>
          <w:sz w:val="20"/>
          <w:szCs w:val="20"/>
        </w:rPr>
        <w:t xml:space="preserve">Coordinator </w:t>
      </w:r>
      <w:r>
        <w:rPr>
          <w:rFonts w:ascii="Arial" w:hAnsi="Arial" w:cs="Arial"/>
          <w:w w:val="95"/>
          <w:sz w:val="20"/>
          <w:szCs w:val="20"/>
        </w:rPr>
        <w:t xml:space="preserve">need </w:t>
      </w:r>
      <w:r>
        <w:rPr>
          <w:rFonts w:ascii="Arial" w:hAnsi="Arial" w:cs="Arial"/>
          <w:w w:val="104"/>
          <w:sz w:val="20"/>
          <w:szCs w:val="20"/>
        </w:rPr>
        <w:t xml:space="preserve">not </w:t>
      </w:r>
      <w:r>
        <w:rPr>
          <w:rFonts w:ascii="Arial" w:hAnsi="Arial" w:cs="Arial"/>
          <w:spacing w:val="-1"/>
          <w:w w:val="96"/>
          <w:sz w:val="20"/>
          <w:szCs w:val="20"/>
        </w:rPr>
        <w:t>continue</w:t>
      </w:r>
      <w:r>
        <w:rPr>
          <w:rFonts w:ascii="Arial" w:hAnsi="Arial" w:cs="Arial"/>
          <w:w w:val="96"/>
          <w:sz w:val="20"/>
          <w:szCs w:val="20"/>
        </w:rPr>
        <w:t xml:space="preserve"> </w:t>
      </w:r>
      <w:r>
        <w:rPr>
          <w:rFonts w:ascii="Arial" w:hAnsi="Arial" w:cs="Arial"/>
          <w:w w:val="102"/>
          <w:sz w:val="19"/>
          <w:szCs w:val="19"/>
        </w:rPr>
        <w:t xml:space="preserve">on </w:t>
      </w:r>
      <w:r>
        <w:rPr>
          <w:rFonts w:ascii="Arial" w:hAnsi="Arial" w:cs="Arial"/>
          <w:w w:val="102"/>
          <w:sz w:val="20"/>
          <w:szCs w:val="20"/>
        </w:rPr>
        <w:t xml:space="preserve">the </w:t>
      </w:r>
      <w:r>
        <w:rPr>
          <w:rFonts w:ascii="Arial" w:hAnsi="Arial" w:cs="Arial"/>
          <w:sz w:val="20"/>
          <w:szCs w:val="20"/>
        </w:rPr>
        <w:t>care</w:t>
      </w:r>
      <w:r>
        <w:rPr>
          <w:rFonts w:ascii="Arial" w:hAnsi="Arial" w:cs="Arial"/>
          <w:spacing w:val="-17"/>
          <w:sz w:val="20"/>
          <w:szCs w:val="20"/>
        </w:rPr>
        <w:t xml:space="preserve"> </w:t>
      </w:r>
      <w:r>
        <w:rPr>
          <w:rFonts w:ascii="Arial" w:hAnsi="Arial" w:cs="Arial"/>
          <w:sz w:val="20"/>
          <w:szCs w:val="20"/>
        </w:rPr>
        <w:t>team;</w:t>
      </w:r>
      <w:r>
        <w:rPr>
          <w:rFonts w:ascii="Arial" w:hAnsi="Arial" w:cs="Arial"/>
          <w:spacing w:val="-2"/>
          <w:sz w:val="20"/>
          <w:szCs w:val="20"/>
        </w:rPr>
        <w:t xml:space="preserve"> </w:t>
      </w:r>
      <w:r>
        <w:rPr>
          <w:rFonts w:ascii="Arial" w:hAnsi="Arial" w:cs="Arial"/>
          <w:sz w:val="20"/>
          <w:szCs w:val="20"/>
        </w:rPr>
        <w:t>however,</w:t>
      </w:r>
      <w:r>
        <w:rPr>
          <w:rFonts w:ascii="Arial" w:hAnsi="Arial" w:cs="Arial"/>
          <w:spacing w:val="-33"/>
          <w:sz w:val="20"/>
          <w:szCs w:val="20"/>
        </w:rPr>
        <w:t xml:space="preserve"> </w:t>
      </w:r>
      <w:r>
        <w:rPr>
          <w:rFonts w:ascii="Arial" w:hAnsi="Arial" w:cs="Arial"/>
          <w:sz w:val="20"/>
          <w:szCs w:val="20"/>
        </w:rPr>
        <w:t>the</w:t>
      </w:r>
      <w:r>
        <w:rPr>
          <w:rFonts w:ascii="Arial" w:hAnsi="Arial" w:cs="Arial"/>
          <w:spacing w:val="-24"/>
          <w:sz w:val="20"/>
          <w:szCs w:val="20"/>
        </w:rPr>
        <w:t xml:space="preserve"> </w:t>
      </w:r>
      <w:r>
        <w:rPr>
          <w:rFonts w:ascii="Arial" w:hAnsi="Arial" w:cs="Arial"/>
          <w:w w:val="75"/>
          <w:sz w:val="20"/>
          <w:szCs w:val="20"/>
        </w:rPr>
        <w:t>ACO</w:t>
      </w:r>
      <w:r>
        <w:rPr>
          <w:rFonts w:ascii="Arial" w:hAnsi="Arial" w:cs="Arial"/>
          <w:spacing w:val="21"/>
          <w:w w:val="75"/>
          <w:sz w:val="20"/>
          <w:szCs w:val="20"/>
        </w:rPr>
        <w:t xml:space="preserve"> </w:t>
      </w:r>
      <w:r>
        <w:rPr>
          <w:rFonts w:ascii="Arial" w:hAnsi="Arial" w:cs="Arial"/>
          <w:sz w:val="20"/>
          <w:szCs w:val="20"/>
        </w:rPr>
        <w:t>must</w:t>
      </w:r>
      <w:r>
        <w:rPr>
          <w:rFonts w:ascii="Arial" w:hAnsi="Arial" w:cs="Arial"/>
          <w:spacing w:val="-4"/>
          <w:sz w:val="20"/>
          <w:szCs w:val="20"/>
        </w:rPr>
        <w:t xml:space="preserve"> </w:t>
      </w:r>
      <w:r>
        <w:rPr>
          <w:rFonts w:ascii="Arial" w:hAnsi="Arial" w:cs="Arial"/>
          <w:sz w:val="20"/>
          <w:szCs w:val="20"/>
        </w:rPr>
        <w:t>make</w:t>
      </w:r>
      <w:r>
        <w:rPr>
          <w:rFonts w:ascii="Arial" w:hAnsi="Arial" w:cs="Arial"/>
          <w:spacing w:val="-23"/>
          <w:sz w:val="20"/>
          <w:szCs w:val="20"/>
        </w:rPr>
        <w:t xml:space="preserve"> </w:t>
      </w:r>
      <w:r>
        <w:rPr>
          <w:rFonts w:ascii="Arial" w:hAnsi="Arial" w:cs="Arial"/>
          <w:sz w:val="20"/>
          <w:szCs w:val="20"/>
        </w:rPr>
        <w:t>an</w:t>
      </w:r>
      <w:r>
        <w:rPr>
          <w:rFonts w:ascii="Arial" w:hAnsi="Arial" w:cs="Arial"/>
          <w:spacing w:val="-6"/>
          <w:sz w:val="20"/>
          <w:szCs w:val="20"/>
        </w:rPr>
        <w:t xml:space="preserve"> </w:t>
      </w:r>
      <w:r>
        <w:rPr>
          <w:rFonts w:ascii="Arial" w:hAnsi="Arial" w:cs="Arial"/>
          <w:spacing w:val="-5"/>
          <w:w w:val="75"/>
          <w:sz w:val="20"/>
          <w:szCs w:val="20"/>
        </w:rPr>
        <w:t>LTSS</w:t>
      </w:r>
      <w:r>
        <w:rPr>
          <w:rFonts w:ascii="Arial" w:hAnsi="Arial" w:cs="Arial"/>
          <w:spacing w:val="-2"/>
          <w:w w:val="75"/>
          <w:sz w:val="20"/>
          <w:szCs w:val="20"/>
        </w:rPr>
        <w:t xml:space="preserve"> </w:t>
      </w:r>
      <w:r>
        <w:rPr>
          <w:rFonts w:ascii="Arial" w:hAnsi="Arial" w:cs="Arial"/>
          <w:sz w:val="20"/>
          <w:szCs w:val="20"/>
        </w:rPr>
        <w:t>Coordinator</w:t>
      </w:r>
      <w:r>
        <w:rPr>
          <w:rFonts w:ascii="Arial" w:hAnsi="Arial" w:cs="Arial"/>
          <w:spacing w:val="-20"/>
          <w:sz w:val="20"/>
          <w:szCs w:val="20"/>
        </w:rPr>
        <w:t xml:space="preserve"> </w:t>
      </w:r>
      <w:r>
        <w:rPr>
          <w:rFonts w:ascii="Arial" w:hAnsi="Arial" w:cs="Arial"/>
          <w:sz w:val="20"/>
          <w:szCs w:val="20"/>
        </w:rPr>
        <w:t>available</w:t>
      </w:r>
      <w:r>
        <w:rPr>
          <w:rFonts w:ascii="Arial" w:hAnsi="Arial" w:cs="Arial"/>
          <w:spacing w:val="-11"/>
          <w:sz w:val="20"/>
          <w:szCs w:val="20"/>
        </w:rPr>
        <w:t xml:space="preserve"> </w:t>
      </w:r>
      <w:r>
        <w:rPr>
          <w:rFonts w:ascii="Arial" w:hAnsi="Arial" w:cs="Arial"/>
          <w:sz w:val="20"/>
          <w:szCs w:val="20"/>
        </w:rPr>
        <w:t>at</w:t>
      </w:r>
      <w:r>
        <w:rPr>
          <w:rFonts w:ascii="Arial" w:hAnsi="Arial" w:cs="Arial"/>
          <w:spacing w:val="-16"/>
          <w:sz w:val="20"/>
          <w:szCs w:val="20"/>
        </w:rPr>
        <w:t xml:space="preserve"> </w:t>
      </w:r>
      <w:r>
        <w:rPr>
          <w:rFonts w:ascii="Arial" w:hAnsi="Arial" w:cs="Arial"/>
          <w:sz w:val="20"/>
          <w:szCs w:val="20"/>
        </w:rPr>
        <w:t>any</w:t>
      </w:r>
      <w:r>
        <w:rPr>
          <w:rFonts w:ascii="Arial" w:hAnsi="Arial" w:cs="Arial"/>
          <w:spacing w:val="-19"/>
          <w:sz w:val="20"/>
          <w:szCs w:val="20"/>
        </w:rPr>
        <w:t xml:space="preserve"> </w:t>
      </w:r>
      <w:r>
        <w:rPr>
          <w:rFonts w:ascii="Arial" w:hAnsi="Arial" w:cs="Arial"/>
          <w:sz w:val="20"/>
          <w:szCs w:val="20"/>
        </w:rPr>
        <w:t>time</w:t>
      </w:r>
      <w:r>
        <w:rPr>
          <w:rFonts w:ascii="Arial" w:hAnsi="Arial" w:cs="Arial"/>
          <w:spacing w:val="-25"/>
          <w:sz w:val="20"/>
          <w:szCs w:val="20"/>
        </w:rPr>
        <w:t xml:space="preserve"> </w:t>
      </w:r>
      <w:r>
        <w:rPr>
          <w:rFonts w:ascii="Arial" w:hAnsi="Arial" w:cs="Arial"/>
          <w:sz w:val="20"/>
          <w:szCs w:val="20"/>
        </w:rPr>
        <w:t>at</w:t>
      </w:r>
      <w:r>
        <w:rPr>
          <w:rFonts w:ascii="Arial" w:hAnsi="Arial" w:cs="Arial"/>
          <w:spacing w:val="-10"/>
          <w:sz w:val="20"/>
          <w:szCs w:val="20"/>
        </w:rPr>
        <w:t xml:space="preserve"> </w:t>
      </w:r>
      <w:r>
        <w:rPr>
          <w:rFonts w:ascii="Arial" w:hAnsi="Arial" w:cs="Arial"/>
          <w:sz w:val="20"/>
          <w:szCs w:val="20"/>
        </w:rPr>
        <w:t>the</w:t>
      </w:r>
      <w:r>
        <w:rPr>
          <w:rFonts w:ascii="Arial" w:hAnsi="Arial" w:cs="Arial"/>
          <w:spacing w:val="-11"/>
          <w:sz w:val="20"/>
          <w:szCs w:val="20"/>
        </w:rPr>
        <w:t xml:space="preserve"> </w:t>
      </w:r>
      <w:r>
        <w:rPr>
          <w:rFonts w:ascii="Arial" w:hAnsi="Arial" w:cs="Arial"/>
          <w:sz w:val="20"/>
          <w:szCs w:val="20"/>
        </w:rPr>
        <w:t>request</w:t>
      </w:r>
      <w:r>
        <w:rPr>
          <w:rFonts w:ascii="Arial" w:hAnsi="Arial" w:cs="Arial"/>
          <w:spacing w:val="-23"/>
          <w:sz w:val="20"/>
          <w:szCs w:val="20"/>
        </w:rPr>
        <w:t xml:space="preserve"> </w:t>
      </w:r>
      <w:r>
        <w:rPr>
          <w:rFonts w:ascii="Times New Roman" w:hAnsi="Times New Roman" w:cs="Times New Roman"/>
          <w:sz w:val="20"/>
          <w:szCs w:val="20"/>
        </w:rPr>
        <w:t xml:space="preserve">of </w:t>
      </w:r>
      <w:r>
        <w:rPr>
          <w:rFonts w:ascii="Arial" w:hAnsi="Arial" w:cs="Arial"/>
          <w:w w:val="114"/>
          <w:sz w:val="19"/>
          <w:szCs w:val="19"/>
        </w:rPr>
        <w:t>the</w:t>
      </w:r>
      <w:r>
        <w:rPr>
          <w:rFonts w:ascii="Arial" w:hAnsi="Arial" w:cs="Arial"/>
          <w:spacing w:val="-19"/>
          <w:w w:val="114"/>
          <w:sz w:val="19"/>
          <w:szCs w:val="19"/>
        </w:rPr>
        <w:t xml:space="preserve"> </w:t>
      </w:r>
      <w:r>
        <w:rPr>
          <w:rFonts w:ascii="Arial" w:hAnsi="Arial" w:cs="Arial"/>
          <w:spacing w:val="-3"/>
          <w:w w:val="108"/>
          <w:sz w:val="20"/>
          <w:szCs w:val="20"/>
        </w:rPr>
        <w:t>enrollee,</w:t>
      </w:r>
      <w:r w:rsidR="00B92FCC">
        <w:rPr>
          <w:rFonts w:ascii="Arial" w:hAnsi="Arial" w:cs="Arial"/>
          <w:spacing w:val="-3"/>
          <w:w w:val="108"/>
          <w:sz w:val="20"/>
          <w:szCs w:val="20"/>
        </w:rPr>
        <w:t xml:space="preserve"> </w:t>
      </w:r>
      <w:r>
        <w:rPr>
          <w:rFonts w:ascii="Arial" w:hAnsi="Arial" w:cs="Arial"/>
          <w:spacing w:val="-3"/>
          <w:w w:val="108"/>
          <w:sz w:val="20"/>
          <w:szCs w:val="20"/>
        </w:rPr>
        <w:t>and</w:t>
      </w:r>
      <w:r>
        <w:rPr>
          <w:rFonts w:ascii="Arial" w:hAnsi="Arial" w:cs="Arial"/>
          <w:spacing w:val="-28"/>
          <w:w w:val="108"/>
          <w:sz w:val="20"/>
          <w:szCs w:val="20"/>
        </w:rPr>
        <w:t xml:space="preserve"> </w:t>
      </w:r>
      <w:r>
        <w:rPr>
          <w:rFonts w:ascii="Arial" w:hAnsi="Arial" w:cs="Arial"/>
          <w:spacing w:val="-27"/>
          <w:w w:val="155"/>
          <w:sz w:val="20"/>
          <w:szCs w:val="20"/>
        </w:rPr>
        <w:t>in</w:t>
      </w:r>
      <w:r>
        <w:rPr>
          <w:rFonts w:ascii="Arial" w:hAnsi="Arial" w:cs="Arial"/>
          <w:spacing w:val="-61"/>
          <w:w w:val="155"/>
          <w:sz w:val="20"/>
          <w:szCs w:val="20"/>
        </w:rPr>
        <w:t xml:space="preserve"> </w:t>
      </w:r>
      <w:r>
        <w:rPr>
          <w:rFonts w:ascii="Arial" w:hAnsi="Arial" w:cs="Arial"/>
          <w:w w:val="108"/>
          <w:sz w:val="19"/>
          <w:szCs w:val="19"/>
        </w:rPr>
        <w:t>the</w:t>
      </w:r>
      <w:r>
        <w:rPr>
          <w:rFonts w:ascii="Arial" w:hAnsi="Arial" w:cs="Arial"/>
          <w:spacing w:val="-27"/>
          <w:w w:val="108"/>
          <w:sz w:val="19"/>
          <w:szCs w:val="19"/>
        </w:rPr>
        <w:t xml:space="preserve"> </w:t>
      </w:r>
      <w:r>
        <w:rPr>
          <w:rFonts w:ascii="Arial" w:hAnsi="Arial" w:cs="Arial"/>
          <w:w w:val="97"/>
          <w:sz w:val="20"/>
          <w:szCs w:val="20"/>
        </w:rPr>
        <w:t>event</w:t>
      </w:r>
      <w:r>
        <w:rPr>
          <w:rFonts w:ascii="Arial" w:hAnsi="Arial" w:cs="Arial"/>
          <w:spacing w:val="-15"/>
          <w:w w:val="97"/>
          <w:sz w:val="20"/>
          <w:szCs w:val="20"/>
        </w:rPr>
        <w:t xml:space="preserve"> </w:t>
      </w:r>
      <w:r>
        <w:rPr>
          <w:rFonts w:ascii="Arial" w:hAnsi="Arial" w:cs="Arial"/>
          <w:w w:val="120"/>
          <w:sz w:val="19"/>
          <w:szCs w:val="19"/>
        </w:rPr>
        <w:t>of</w:t>
      </w:r>
      <w:r>
        <w:rPr>
          <w:rFonts w:ascii="Arial" w:hAnsi="Arial" w:cs="Arial"/>
          <w:spacing w:val="-25"/>
          <w:w w:val="120"/>
          <w:sz w:val="19"/>
          <w:szCs w:val="19"/>
        </w:rPr>
        <w:t xml:space="preserve"> </w:t>
      </w:r>
      <w:r>
        <w:rPr>
          <w:rFonts w:ascii="Arial" w:hAnsi="Arial" w:cs="Arial"/>
          <w:w w:val="93"/>
          <w:sz w:val="20"/>
          <w:szCs w:val="20"/>
        </w:rPr>
        <w:t>any</w:t>
      </w:r>
      <w:r>
        <w:rPr>
          <w:rFonts w:ascii="Arial" w:hAnsi="Arial" w:cs="Arial"/>
          <w:spacing w:val="-17"/>
          <w:w w:val="93"/>
          <w:sz w:val="20"/>
          <w:szCs w:val="20"/>
        </w:rPr>
        <w:t xml:space="preserve"> </w:t>
      </w:r>
      <w:r>
        <w:rPr>
          <w:rFonts w:ascii="Arial" w:hAnsi="Arial" w:cs="Arial"/>
          <w:w w:val="98"/>
          <w:sz w:val="20"/>
          <w:szCs w:val="20"/>
        </w:rPr>
        <w:t>contemplated</w:t>
      </w:r>
      <w:r>
        <w:rPr>
          <w:rFonts w:ascii="Arial" w:hAnsi="Arial" w:cs="Arial"/>
          <w:spacing w:val="-5"/>
          <w:w w:val="98"/>
          <w:sz w:val="20"/>
          <w:szCs w:val="20"/>
        </w:rPr>
        <w:t xml:space="preserve"> </w:t>
      </w:r>
      <w:r>
        <w:rPr>
          <w:rFonts w:ascii="Arial" w:hAnsi="Arial" w:cs="Arial"/>
          <w:spacing w:val="2"/>
          <w:w w:val="98"/>
          <w:sz w:val="20"/>
          <w:szCs w:val="20"/>
        </w:rPr>
        <w:t>admission</w:t>
      </w:r>
      <w:r w:rsidR="00B92FCC">
        <w:rPr>
          <w:rFonts w:ascii="Arial" w:hAnsi="Arial" w:cs="Arial"/>
          <w:spacing w:val="2"/>
          <w:w w:val="98"/>
          <w:sz w:val="20"/>
          <w:szCs w:val="20"/>
        </w:rPr>
        <w:t xml:space="preserve"> </w:t>
      </w:r>
      <w:r>
        <w:rPr>
          <w:rFonts w:ascii="Arial" w:hAnsi="Arial" w:cs="Arial"/>
          <w:spacing w:val="2"/>
          <w:w w:val="98"/>
          <w:sz w:val="19"/>
          <w:szCs w:val="19"/>
        </w:rPr>
        <w:t>to</w:t>
      </w:r>
      <w:r>
        <w:rPr>
          <w:rFonts w:ascii="Arial" w:hAnsi="Arial" w:cs="Arial"/>
          <w:spacing w:val="12"/>
          <w:w w:val="98"/>
          <w:sz w:val="19"/>
          <w:szCs w:val="19"/>
        </w:rPr>
        <w:t xml:space="preserve"> </w:t>
      </w:r>
      <w:r>
        <w:rPr>
          <w:rFonts w:ascii="Arial" w:hAnsi="Arial" w:cs="Arial"/>
          <w:w w:val="35"/>
          <w:sz w:val="19"/>
          <w:szCs w:val="19"/>
        </w:rPr>
        <w:t>·</w:t>
      </w:r>
      <w:r>
        <w:rPr>
          <w:rFonts w:ascii="Arial" w:hAnsi="Arial" w:cs="Arial"/>
          <w:spacing w:val="17"/>
          <w:w w:val="35"/>
          <w:sz w:val="19"/>
          <w:szCs w:val="19"/>
        </w:rPr>
        <w:t xml:space="preserve"> </w:t>
      </w:r>
      <w:r>
        <w:rPr>
          <w:rFonts w:ascii="Arial" w:hAnsi="Arial" w:cs="Arial"/>
          <w:sz w:val="20"/>
          <w:szCs w:val="20"/>
        </w:rPr>
        <w:t>nursing</w:t>
      </w:r>
      <w:r w:rsidR="00B92FCC">
        <w:rPr>
          <w:rFonts w:ascii="Arial" w:hAnsi="Arial" w:cs="Arial"/>
          <w:sz w:val="20"/>
          <w:szCs w:val="20"/>
        </w:rPr>
        <w:t xml:space="preserve"> </w:t>
      </w:r>
      <w:r>
        <w:rPr>
          <w:rFonts w:ascii="Arial" w:hAnsi="Arial" w:cs="Arial"/>
          <w:sz w:val="20"/>
          <w:szCs w:val="20"/>
        </w:rPr>
        <w:t>facility,</w:t>
      </w:r>
      <w:r>
        <w:rPr>
          <w:rFonts w:ascii="Arial" w:hAnsi="Arial" w:cs="Arial"/>
          <w:spacing w:val="-5"/>
          <w:sz w:val="20"/>
          <w:szCs w:val="20"/>
        </w:rPr>
        <w:t xml:space="preserve"> </w:t>
      </w:r>
      <w:r>
        <w:rPr>
          <w:rFonts w:ascii="Arial" w:hAnsi="Arial" w:cs="Arial"/>
          <w:spacing w:val="-1"/>
          <w:w w:val="93"/>
          <w:sz w:val="20"/>
          <w:szCs w:val="20"/>
        </w:rPr>
        <w:t>psychiatric</w:t>
      </w:r>
      <w:r>
        <w:rPr>
          <w:rFonts w:ascii="Arial" w:hAnsi="Arial" w:cs="Arial"/>
          <w:spacing w:val="-15"/>
          <w:w w:val="93"/>
          <w:sz w:val="20"/>
          <w:szCs w:val="20"/>
        </w:rPr>
        <w:t xml:space="preserve"> </w:t>
      </w:r>
      <w:r>
        <w:rPr>
          <w:rFonts w:ascii="Arial" w:hAnsi="Arial" w:cs="Arial"/>
          <w:spacing w:val="-4"/>
          <w:w w:val="111"/>
          <w:sz w:val="20"/>
          <w:szCs w:val="20"/>
        </w:rPr>
        <w:t>hospital,</w:t>
      </w:r>
      <w:r>
        <w:rPr>
          <w:rFonts w:ascii="Arial" w:hAnsi="Arial" w:cs="Arial"/>
          <w:w w:val="111"/>
          <w:sz w:val="20"/>
          <w:szCs w:val="20"/>
        </w:rPr>
        <w:t xml:space="preserve"> </w:t>
      </w:r>
      <w:r>
        <w:rPr>
          <w:rFonts w:ascii="Arial" w:hAnsi="Arial" w:cs="Arial"/>
          <w:w w:val="109"/>
          <w:sz w:val="20"/>
          <w:szCs w:val="20"/>
        </w:rPr>
        <w:t>or</w:t>
      </w:r>
      <w:r>
        <w:rPr>
          <w:rFonts w:ascii="Arial" w:hAnsi="Arial" w:cs="Arial"/>
          <w:spacing w:val="-49"/>
          <w:w w:val="109"/>
          <w:sz w:val="20"/>
          <w:szCs w:val="20"/>
        </w:rPr>
        <w:t xml:space="preserve"> </w:t>
      </w:r>
      <w:r>
        <w:rPr>
          <w:rFonts w:ascii="Arial" w:hAnsi="Arial" w:cs="Arial"/>
          <w:w w:val="101"/>
          <w:sz w:val="20"/>
          <w:szCs w:val="20"/>
        </w:rPr>
        <w:t>other</w:t>
      </w:r>
      <w:r>
        <w:rPr>
          <w:rFonts w:ascii="Arial" w:hAnsi="Arial" w:cs="Arial"/>
          <w:spacing w:val="-46"/>
          <w:w w:val="101"/>
          <w:sz w:val="20"/>
          <w:szCs w:val="20"/>
        </w:rPr>
        <w:t xml:space="preserve"> </w:t>
      </w:r>
      <w:r>
        <w:rPr>
          <w:rFonts w:ascii="Arial" w:hAnsi="Arial" w:cs="Arial"/>
          <w:spacing w:val="-7"/>
          <w:w w:val="114"/>
          <w:sz w:val="20"/>
          <w:szCs w:val="20"/>
        </w:rPr>
        <w:t>institution.</w:t>
      </w:r>
    </w:p>
    <w:p w:rsidR="002C5025" w:rsidRDefault="002C5025">
      <w:pPr>
        <w:pStyle w:val="BodyText"/>
        <w:kinsoku w:val="0"/>
        <w:overflowPunct w:val="0"/>
        <w:spacing w:before="7"/>
        <w:rPr>
          <w:rFonts w:ascii="Arial" w:hAnsi="Arial" w:cs="Arial"/>
          <w:sz w:val="21"/>
          <w:szCs w:val="21"/>
        </w:rPr>
      </w:pPr>
    </w:p>
    <w:p w:rsidR="002C5025" w:rsidRDefault="002C5025">
      <w:pPr>
        <w:pStyle w:val="BodyText"/>
        <w:kinsoku w:val="0"/>
        <w:overflowPunct w:val="0"/>
        <w:spacing w:before="1" w:line="271" w:lineRule="auto"/>
        <w:ind w:left="116" w:right="224" w:firstLine="14"/>
        <w:rPr>
          <w:rFonts w:ascii="Arial" w:hAnsi="Arial" w:cs="Arial"/>
          <w:w w:val="99"/>
          <w:sz w:val="19"/>
          <w:szCs w:val="19"/>
        </w:rPr>
      </w:pPr>
      <w:r>
        <w:rPr>
          <w:rFonts w:ascii="Arial" w:hAnsi="Arial" w:cs="Arial"/>
          <w:w w:val="97"/>
          <w:sz w:val="20"/>
          <w:szCs w:val="20"/>
        </w:rPr>
        <w:t>Follow</w:t>
      </w:r>
      <w:r>
        <w:rPr>
          <w:rFonts w:ascii="Arial" w:hAnsi="Arial" w:cs="Arial"/>
          <w:spacing w:val="-5"/>
          <w:w w:val="97"/>
          <w:sz w:val="20"/>
          <w:szCs w:val="20"/>
        </w:rPr>
        <w:t>i</w:t>
      </w:r>
      <w:r>
        <w:rPr>
          <w:rFonts w:ascii="Arial" w:hAnsi="Arial" w:cs="Arial"/>
          <w:w w:val="107"/>
          <w:sz w:val="20"/>
          <w:szCs w:val="20"/>
        </w:rPr>
        <w:t>n</w:t>
      </w:r>
      <w:r>
        <w:rPr>
          <w:rFonts w:ascii="Arial" w:hAnsi="Arial" w:cs="Arial"/>
          <w:spacing w:val="19"/>
          <w:w w:val="107"/>
          <w:sz w:val="20"/>
          <w:szCs w:val="20"/>
        </w:rPr>
        <w:t>g</w:t>
      </w:r>
      <w:r w:rsidR="00B92FCC">
        <w:rPr>
          <w:rFonts w:ascii="Arial" w:hAnsi="Arial" w:cs="Arial"/>
          <w:spacing w:val="19"/>
          <w:w w:val="107"/>
          <w:sz w:val="20"/>
          <w:szCs w:val="20"/>
        </w:rPr>
        <w:t xml:space="preserve"> </w:t>
      </w:r>
      <w:r>
        <w:rPr>
          <w:rFonts w:ascii="Arial" w:hAnsi="Arial" w:cs="Arial"/>
          <w:sz w:val="20"/>
          <w:szCs w:val="20"/>
        </w:rPr>
        <w:t>the</w:t>
      </w:r>
      <w:r>
        <w:rPr>
          <w:rFonts w:ascii="Arial" w:hAnsi="Arial" w:cs="Arial"/>
          <w:spacing w:val="9"/>
          <w:sz w:val="20"/>
          <w:szCs w:val="20"/>
        </w:rPr>
        <w:t xml:space="preserve"> </w:t>
      </w:r>
      <w:r>
        <w:rPr>
          <w:rFonts w:ascii="Arial" w:hAnsi="Arial" w:cs="Arial"/>
          <w:w w:val="105"/>
          <w:sz w:val="20"/>
          <w:szCs w:val="20"/>
        </w:rPr>
        <w:t>in</w:t>
      </w:r>
      <w:r>
        <w:rPr>
          <w:rFonts w:ascii="Arial" w:hAnsi="Arial" w:cs="Arial"/>
          <w:spacing w:val="-18"/>
          <w:w w:val="105"/>
          <w:sz w:val="20"/>
          <w:szCs w:val="20"/>
        </w:rPr>
        <w:t>i</w:t>
      </w:r>
      <w:r>
        <w:rPr>
          <w:rFonts w:ascii="Arial" w:hAnsi="Arial" w:cs="Arial"/>
          <w:w w:val="127"/>
          <w:sz w:val="20"/>
          <w:szCs w:val="20"/>
        </w:rPr>
        <w:t>t</w:t>
      </w:r>
      <w:r>
        <w:rPr>
          <w:rFonts w:ascii="Arial" w:hAnsi="Arial" w:cs="Arial"/>
          <w:spacing w:val="-6"/>
          <w:w w:val="127"/>
          <w:sz w:val="20"/>
          <w:szCs w:val="20"/>
        </w:rPr>
        <w:t>i</w:t>
      </w:r>
      <w:r>
        <w:rPr>
          <w:rFonts w:ascii="Arial" w:hAnsi="Arial" w:cs="Arial"/>
          <w:w w:val="88"/>
          <w:sz w:val="20"/>
          <w:szCs w:val="20"/>
        </w:rPr>
        <w:t>al</w:t>
      </w:r>
      <w:r>
        <w:rPr>
          <w:rFonts w:ascii="Arial" w:hAnsi="Arial" w:cs="Arial"/>
          <w:sz w:val="20"/>
          <w:szCs w:val="20"/>
        </w:rPr>
        <w:t xml:space="preserve"> </w:t>
      </w:r>
      <w:r>
        <w:rPr>
          <w:rFonts w:ascii="Arial" w:hAnsi="Arial" w:cs="Arial"/>
          <w:w w:val="89"/>
          <w:sz w:val="20"/>
          <w:szCs w:val="20"/>
        </w:rPr>
        <w:t>assessment,</w:t>
      </w:r>
      <w:r>
        <w:rPr>
          <w:rFonts w:ascii="Arial" w:hAnsi="Arial" w:cs="Arial"/>
          <w:spacing w:val="7"/>
          <w:sz w:val="20"/>
          <w:szCs w:val="20"/>
        </w:rPr>
        <w:t xml:space="preserve"> </w:t>
      </w:r>
      <w:r>
        <w:rPr>
          <w:rFonts w:ascii="Arial" w:hAnsi="Arial" w:cs="Arial"/>
          <w:sz w:val="20"/>
          <w:szCs w:val="20"/>
        </w:rPr>
        <w:t>the</w:t>
      </w:r>
      <w:r>
        <w:rPr>
          <w:rFonts w:ascii="Arial" w:hAnsi="Arial" w:cs="Arial"/>
          <w:spacing w:val="-5"/>
          <w:sz w:val="20"/>
          <w:szCs w:val="20"/>
        </w:rPr>
        <w:t xml:space="preserve"> </w:t>
      </w:r>
      <w:r>
        <w:rPr>
          <w:rFonts w:ascii="Arial" w:hAnsi="Arial" w:cs="Arial"/>
          <w:w w:val="76"/>
          <w:sz w:val="20"/>
          <w:szCs w:val="20"/>
        </w:rPr>
        <w:t>LTSS</w:t>
      </w:r>
      <w:r>
        <w:rPr>
          <w:rFonts w:ascii="Arial" w:hAnsi="Arial" w:cs="Arial"/>
          <w:spacing w:val="-16"/>
          <w:sz w:val="20"/>
          <w:szCs w:val="20"/>
        </w:rPr>
        <w:t xml:space="preserve"> </w:t>
      </w:r>
      <w:r>
        <w:rPr>
          <w:rFonts w:ascii="Arial" w:hAnsi="Arial" w:cs="Arial"/>
          <w:w w:val="95"/>
          <w:sz w:val="20"/>
          <w:szCs w:val="20"/>
        </w:rPr>
        <w:t>Coor</w:t>
      </w:r>
      <w:r>
        <w:rPr>
          <w:rFonts w:ascii="Arial" w:hAnsi="Arial" w:cs="Arial"/>
          <w:spacing w:val="-5"/>
          <w:w w:val="95"/>
          <w:sz w:val="20"/>
          <w:szCs w:val="20"/>
        </w:rPr>
        <w:t>d</w:t>
      </w:r>
      <w:r>
        <w:rPr>
          <w:rFonts w:ascii="Arial" w:hAnsi="Arial" w:cs="Arial"/>
          <w:spacing w:val="-40"/>
          <w:w w:val="202"/>
          <w:sz w:val="20"/>
          <w:szCs w:val="20"/>
        </w:rPr>
        <w:t>i</w:t>
      </w:r>
      <w:r>
        <w:rPr>
          <w:rFonts w:ascii="Arial" w:hAnsi="Arial" w:cs="Arial"/>
          <w:w w:val="97"/>
          <w:sz w:val="20"/>
          <w:szCs w:val="20"/>
        </w:rPr>
        <w:t>nator</w:t>
      </w:r>
      <w:r>
        <w:rPr>
          <w:rFonts w:ascii="Arial" w:hAnsi="Arial" w:cs="Arial"/>
          <w:spacing w:val="-13"/>
          <w:sz w:val="20"/>
          <w:szCs w:val="20"/>
        </w:rPr>
        <w:t xml:space="preserve"> </w:t>
      </w:r>
      <w:r>
        <w:rPr>
          <w:rFonts w:ascii="Arial" w:hAnsi="Arial" w:cs="Arial"/>
          <w:w w:val="106"/>
          <w:sz w:val="20"/>
          <w:szCs w:val="20"/>
        </w:rPr>
        <w:t>wi</w:t>
      </w:r>
      <w:r>
        <w:rPr>
          <w:rFonts w:ascii="Arial" w:hAnsi="Arial" w:cs="Arial"/>
          <w:spacing w:val="2"/>
          <w:w w:val="106"/>
          <w:sz w:val="20"/>
          <w:szCs w:val="20"/>
        </w:rPr>
        <w:t>l</w:t>
      </w:r>
      <w:r>
        <w:rPr>
          <w:rFonts w:ascii="Arial" w:hAnsi="Arial" w:cs="Arial"/>
          <w:w w:val="79"/>
          <w:sz w:val="20"/>
          <w:szCs w:val="20"/>
        </w:rPr>
        <w:t>l</w:t>
      </w:r>
      <w:r>
        <w:rPr>
          <w:rFonts w:ascii="Arial" w:hAnsi="Arial" w:cs="Arial"/>
          <w:spacing w:val="-5"/>
          <w:sz w:val="20"/>
          <w:szCs w:val="20"/>
        </w:rPr>
        <w:t xml:space="preserve"> </w:t>
      </w:r>
      <w:r>
        <w:rPr>
          <w:rFonts w:ascii="Arial" w:hAnsi="Arial" w:cs="Arial"/>
          <w:w w:val="96"/>
          <w:sz w:val="20"/>
          <w:szCs w:val="20"/>
        </w:rPr>
        <w:t>work</w:t>
      </w:r>
      <w:r>
        <w:rPr>
          <w:rFonts w:ascii="Arial" w:hAnsi="Arial" w:cs="Arial"/>
          <w:spacing w:val="2"/>
          <w:sz w:val="20"/>
          <w:szCs w:val="20"/>
        </w:rPr>
        <w:t xml:space="preserve"> </w:t>
      </w:r>
      <w:r>
        <w:rPr>
          <w:rFonts w:ascii="Arial" w:hAnsi="Arial" w:cs="Arial"/>
          <w:w w:val="104"/>
          <w:sz w:val="20"/>
          <w:szCs w:val="20"/>
        </w:rPr>
        <w:t>w</w:t>
      </w:r>
      <w:r>
        <w:rPr>
          <w:rFonts w:ascii="Arial" w:hAnsi="Arial" w:cs="Arial"/>
          <w:spacing w:val="3"/>
          <w:w w:val="104"/>
          <w:sz w:val="20"/>
          <w:szCs w:val="20"/>
        </w:rPr>
        <w:t>i</w:t>
      </w:r>
      <w:r>
        <w:rPr>
          <w:rFonts w:ascii="Arial" w:hAnsi="Arial" w:cs="Arial"/>
          <w:w w:val="108"/>
          <w:sz w:val="20"/>
          <w:szCs w:val="20"/>
        </w:rPr>
        <w:t>th</w:t>
      </w:r>
      <w:r>
        <w:rPr>
          <w:rFonts w:ascii="Arial" w:hAnsi="Arial" w:cs="Arial"/>
          <w:spacing w:val="-14"/>
          <w:sz w:val="20"/>
          <w:szCs w:val="20"/>
        </w:rPr>
        <w:t xml:space="preserve"> </w:t>
      </w:r>
      <w:r>
        <w:rPr>
          <w:rFonts w:ascii="Arial" w:hAnsi="Arial" w:cs="Arial"/>
          <w:w w:val="108"/>
          <w:sz w:val="20"/>
          <w:szCs w:val="20"/>
        </w:rPr>
        <w:t>the</w:t>
      </w:r>
      <w:r>
        <w:rPr>
          <w:rFonts w:ascii="Arial" w:hAnsi="Arial" w:cs="Arial"/>
          <w:spacing w:val="-20"/>
          <w:sz w:val="20"/>
          <w:szCs w:val="20"/>
        </w:rPr>
        <w:t xml:space="preserve"> </w:t>
      </w:r>
      <w:r>
        <w:rPr>
          <w:rFonts w:ascii="Arial" w:hAnsi="Arial" w:cs="Arial"/>
          <w:w w:val="102"/>
          <w:sz w:val="19"/>
          <w:szCs w:val="19"/>
        </w:rPr>
        <w:t>enrollee</w:t>
      </w:r>
      <w:r>
        <w:rPr>
          <w:rFonts w:ascii="Arial" w:hAnsi="Arial" w:cs="Arial"/>
          <w:spacing w:val="-1"/>
          <w:sz w:val="19"/>
          <w:szCs w:val="19"/>
        </w:rPr>
        <w:t xml:space="preserve"> </w:t>
      </w:r>
      <w:r>
        <w:rPr>
          <w:rFonts w:ascii="Arial" w:hAnsi="Arial" w:cs="Arial"/>
          <w:w w:val="108"/>
          <w:sz w:val="20"/>
          <w:szCs w:val="20"/>
        </w:rPr>
        <w:t>to</w:t>
      </w:r>
      <w:r>
        <w:rPr>
          <w:rFonts w:ascii="Arial" w:hAnsi="Arial" w:cs="Arial"/>
          <w:spacing w:val="-14"/>
          <w:sz w:val="20"/>
          <w:szCs w:val="20"/>
        </w:rPr>
        <w:t xml:space="preserve"> </w:t>
      </w:r>
      <w:r>
        <w:rPr>
          <w:rFonts w:ascii="Arial" w:hAnsi="Arial" w:cs="Arial"/>
          <w:w w:val="88"/>
          <w:sz w:val="20"/>
          <w:szCs w:val="20"/>
        </w:rPr>
        <w:t>address</w:t>
      </w:r>
      <w:r>
        <w:rPr>
          <w:rFonts w:ascii="Arial" w:hAnsi="Arial" w:cs="Arial"/>
          <w:spacing w:val="2"/>
          <w:sz w:val="20"/>
          <w:szCs w:val="20"/>
        </w:rPr>
        <w:t xml:space="preserve"> </w:t>
      </w:r>
      <w:r>
        <w:rPr>
          <w:rFonts w:ascii="Arial" w:hAnsi="Arial" w:cs="Arial"/>
          <w:w w:val="103"/>
          <w:sz w:val="20"/>
          <w:szCs w:val="20"/>
        </w:rPr>
        <w:t>h</w:t>
      </w:r>
      <w:r>
        <w:rPr>
          <w:rFonts w:ascii="Arial" w:hAnsi="Arial" w:cs="Arial"/>
          <w:spacing w:val="-18"/>
          <w:w w:val="103"/>
          <w:sz w:val="20"/>
          <w:szCs w:val="20"/>
        </w:rPr>
        <w:t>i</w:t>
      </w:r>
      <w:r>
        <w:rPr>
          <w:rFonts w:ascii="Arial" w:hAnsi="Arial" w:cs="Arial"/>
          <w:w w:val="90"/>
          <w:sz w:val="20"/>
          <w:szCs w:val="20"/>
        </w:rPr>
        <w:t>s</w:t>
      </w:r>
      <w:r>
        <w:rPr>
          <w:rFonts w:ascii="Arial" w:hAnsi="Arial" w:cs="Arial"/>
          <w:spacing w:val="-9"/>
          <w:sz w:val="20"/>
          <w:szCs w:val="20"/>
        </w:rPr>
        <w:t xml:space="preserve"> </w:t>
      </w:r>
      <w:r>
        <w:rPr>
          <w:rFonts w:ascii="Arial" w:hAnsi="Arial" w:cs="Arial"/>
          <w:w w:val="96"/>
          <w:sz w:val="20"/>
          <w:szCs w:val="20"/>
        </w:rPr>
        <w:t>or</w:t>
      </w:r>
      <w:r>
        <w:rPr>
          <w:rFonts w:ascii="Arial" w:hAnsi="Arial" w:cs="Arial"/>
          <w:spacing w:val="2"/>
          <w:sz w:val="20"/>
          <w:szCs w:val="20"/>
        </w:rPr>
        <w:t xml:space="preserve"> </w:t>
      </w:r>
      <w:r>
        <w:rPr>
          <w:rFonts w:ascii="Arial" w:hAnsi="Arial" w:cs="Arial"/>
          <w:sz w:val="20"/>
          <w:szCs w:val="20"/>
        </w:rPr>
        <w:t>her on</w:t>
      </w:r>
      <w:r>
        <w:rPr>
          <w:rFonts w:ascii="Arial" w:hAnsi="Arial" w:cs="Arial"/>
          <w:spacing w:val="-13"/>
          <w:sz w:val="20"/>
          <w:szCs w:val="20"/>
        </w:rPr>
        <w:t>g</w:t>
      </w:r>
      <w:r>
        <w:rPr>
          <w:rFonts w:ascii="Arial" w:hAnsi="Arial" w:cs="Arial"/>
          <w:w w:val="109"/>
          <w:sz w:val="20"/>
          <w:szCs w:val="20"/>
        </w:rPr>
        <w:t>o</w:t>
      </w:r>
      <w:r>
        <w:rPr>
          <w:rFonts w:ascii="Arial" w:hAnsi="Arial" w:cs="Arial"/>
          <w:spacing w:val="-13"/>
          <w:w w:val="109"/>
          <w:sz w:val="20"/>
          <w:szCs w:val="20"/>
        </w:rPr>
        <w:t>i</w:t>
      </w:r>
      <w:r>
        <w:rPr>
          <w:rFonts w:ascii="Arial" w:hAnsi="Arial" w:cs="Arial"/>
          <w:sz w:val="20"/>
          <w:szCs w:val="20"/>
        </w:rPr>
        <w:t>ng</w:t>
      </w:r>
      <w:r>
        <w:rPr>
          <w:rFonts w:ascii="Arial" w:hAnsi="Arial" w:cs="Arial"/>
          <w:spacing w:val="-29"/>
          <w:sz w:val="20"/>
          <w:szCs w:val="20"/>
        </w:rPr>
        <w:t xml:space="preserve"> </w:t>
      </w:r>
      <w:r>
        <w:rPr>
          <w:rFonts w:ascii="Arial" w:hAnsi="Arial" w:cs="Arial"/>
          <w:spacing w:val="-18"/>
          <w:w w:val="86"/>
          <w:sz w:val="20"/>
          <w:szCs w:val="20"/>
        </w:rPr>
        <w:t>L</w:t>
      </w:r>
      <w:r>
        <w:rPr>
          <w:rFonts w:ascii="Arial" w:hAnsi="Arial" w:cs="Arial"/>
          <w:w w:val="78"/>
          <w:sz w:val="20"/>
          <w:szCs w:val="20"/>
        </w:rPr>
        <w:t>TSS</w:t>
      </w:r>
      <w:r>
        <w:rPr>
          <w:rFonts w:ascii="Arial" w:hAnsi="Arial" w:cs="Arial"/>
          <w:spacing w:val="-3"/>
          <w:sz w:val="20"/>
          <w:szCs w:val="20"/>
        </w:rPr>
        <w:t xml:space="preserve"> </w:t>
      </w:r>
      <w:r>
        <w:rPr>
          <w:rFonts w:ascii="Arial" w:hAnsi="Arial" w:cs="Arial"/>
          <w:w w:val="95"/>
          <w:sz w:val="19"/>
          <w:szCs w:val="19"/>
        </w:rPr>
        <w:t>needs,</w:t>
      </w:r>
      <w:r>
        <w:rPr>
          <w:rFonts w:ascii="Arial" w:hAnsi="Arial" w:cs="Arial"/>
          <w:spacing w:val="-10"/>
          <w:sz w:val="19"/>
          <w:szCs w:val="19"/>
        </w:rPr>
        <w:t xml:space="preserve"> </w:t>
      </w:r>
      <w:r>
        <w:rPr>
          <w:rFonts w:ascii="Arial" w:hAnsi="Arial" w:cs="Arial"/>
          <w:w w:val="92"/>
          <w:sz w:val="20"/>
          <w:szCs w:val="20"/>
        </w:rPr>
        <w:t>and</w:t>
      </w:r>
      <w:r>
        <w:rPr>
          <w:rFonts w:ascii="Arial" w:hAnsi="Arial" w:cs="Arial"/>
          <w:spacing w:val="-13"/>
          <w:sz w:val="20"/>
          <w:szCs w:val="20"/>
        </w:rPr>
        <w:t xml:space="preserve"> </w:t>
      </w:r>
      <w:r w:rsidR="00B92FCC">
        <w:rPr>
          <w:rFonts w:ascii="Arial" w:hAnsi="Arial" w:cs="Arial"/>
          <w:w w:val="107"/>
          <w:sz w:val="20"/>
          <w:szCs w:val="20"/>
        </w:rPr>
        <w:t>to</w:t>
      </w:r>
      <w:r>
        <w:rPr>
          <w:rFonts w:ascii="Arial" w:hAnsi="Arial" w:cs="Arial"/>
          <w:spacing w:val="14"/>
          <w:sz w:val="20"/>
          <w:szCs w:val="20"/>
        </w:rPr>
        <w:t xml:space="preserve"> </w:t>
      </w:r>
      <w:r>
        <w:rPr>
          <w:rFonts w:ascii="Arial" w:hAnsi="Arial" w:cs="Arial"/>
          <w:spacing w:val="-40"/>
          <w:w w:val="202"/>
          <w:sz w:val="20"/>
          <w:szCs w:val="20"/>
        </w:rPr>
        <w:t>i</w:t>
      </w:r>
      <w:r>
        <w:rPr>
          <w:rFonts w:ascii="Arial" w:hAnsi="Arial" w:cs="Arial"/>
          <w:w w:val="98"/>
          <w:sz w:val="20"/>
          <w:szCs w:val="20"/>
        </w:rPr>
        <w:t>ncorporate</w:t>
      </w:r>
      <w:r>
        <w:rPr>
          <w:rFonts w:ascii="Arial" w:hAnsi="Arial" w:cs="Arial"/>
          <w:spacing w:val="-1"/>
          <w:sz w:val="20"/>
          <w:szCs w:val="20"/>
        </w:rPr>
        <w:t xml:space="preserve"> </w:t>
      </w:r>
      <w:r>
        <w:rPr>
          <w:rFonts w:ascii="Arial" w:hAnsi="Arial" w:cs="Arial"/>
          <w:w w:val="96"/>
          <w:sz w:val="20"/>
          <w:szCs w:val="20"/>
        </w:rPr>
        <w:t>community</w:t>
      </w:r>
      <w:r>
        <w:rPr>
          <w:rFonts w:ascii="Arial" w:hAnsi="Arial" w:cs="Arial"/>
          <w:spacing w:val="14"/>
          <w:sz w:val="20"/>
          <w:szCs w:val="20"/>
        </w:rPr>
        <w:t xml:space="preserve"> </w:t>
      </w:r>
      <w:r>
        <w:rPr>
          <w:rFonts w:ascii="Arial" w:hAnsi="Arial" w:cs="Arial"/>
          <w:w w:val="86"/>
          <w:sz w:val="20"/>
          <w:szCs w:val="20"/>
        </w:rPr>
        <w:t>based</w:t>
      </w:r>
      <w:r>
        <w:rPr>
          <w:rFonts w:ascii="Arial" w:hAnsi="Arial" w:cs="Arial"/>
          <w:spacing w:val="3"/>
          <w:sz w:val="20"/>
          <w:szCs w:val="20"/>
        </w:rPr>
        <w:t xml:space="preserve"> </w:t>
      </w:r>
      <w:r>
        <w:rPr>
          <w:rFonts w:ascii="Arial" w:hAnsi="Arial" w:cs="Arial"/>
          <w:w w:val="91"/>
          <w:sz w:val="20"/>
          <w:szCs w:val="20"/>
        </w:rPr>
        <w:t>services</w:t>
      </w:r>
      <w:r>
        <w:rPr>
          <w:rFonts w:ascii="Arial" w:hAnsi="Arial" w:cs="Arial"/>
          <w:spacing w:val="4"/>
          <w:sz w:val="20"/>
          <w:szCs w:val="20"/>
        </w:rPr>
        <w:t xml:space="preserve"> </w:t>
      </w:r>
      <w:r>
        <w:rPr>
          <w:rFonts w:ascii="Arial" w:hAnsi="Arial" w:cs="Arial"/>
          <w:w w:val="92"/>
          <w:sz w:val="20"/>
          <w:szCs w:val="20"/>
        </w:rPr>
        <w:t>and</w:t>
      </w:r>
      <w:r>
        <w:rPr>
          <w:rFonts w:ascii="Arial" w:hAnsi="Arial" w:cs="Arial"/>
          <w:spacing w:val="-6"/>
          <w:sz w:val="20"/>
          <w:szCs w:val="20"/>
        </w:rPr>
        <w:t xml:space="preserve"> </w:t>
      </w:r>
      <w:r>
        <w:rPr>
          <w:rFonts w:ascii="Arial" w:hAnsi="Arial" w:cs="Arial"/>
          <w:w w:val="103"/>
          <w:sz w:val="19"/>
          <w:szCs w:val="19"/>
        </w:rPr>
        <w:t>other</w:t>
      </w:r>
      <w:r>
        <w:rPr>
          <w:rFonts w:ascii="Arial" w:hAnsi="Arial" w:cs="Arial"/>
          <w:spacing w:val="8"/>
          <w:sz w:val="19"/>
          <w:szCs w:val="19"/>
        </w:rPr>
        <w:t xml:space="preserve"> </w:t>
      </w:r>
      <w:r>
        <w:rPr>
          <w:rFonts w:ascii="Arial" w:hAnsi="Arial" w:cs="Arial"/>
          <w:w w:val="93"/>
          <w:sz w:val="20"/>
          <w:szCs w:val="20"/>
        </w:rPr>
        <w:t>availab</w:t>
      </w:r>
      <w:r>
        <w:rPr>
          <w:rFonts w:ascii="Arial" w:hAnsi="Arial" w:cs="Arial"/>
          <w:spacing w:val="3"/>
          <w:w w:val="93"/>
          <w:sz w:val="20"/>
          <w:szCs w:val="20"/>
        </w:rPr>
        <w:t>l</w:t>
      </w:r>
      <w:r>
        <w:rPr>
          <w:rFonts w:ascii="Arial" w:hAnsi="Arial" w:cs="Arial"/>
          <w:w w:val="95"/>
          <w:sz w:val="20"/>
          <w:szCs w:val="20"/>
        </w:rPr>
        <w:t>e</w:t>
      </w:r>
      <w:r>
        <w:rPr>
          <w:rFonts w:ascii="Arial" w:hAnsi="Arial" w:cs="Arial"/>
          <w:spacing w:val="-4"/>
          <w:sz w:val="20"/>
          <w:szCs w:val="20"/>
        </w:rPr>
        <w:t xml:space="preserve"> </w:t>
      </w:r>
      <w:r>
        <w:rPr>
          <w:rFonts w:ascii="Arial" w:hAnsi="Arial" w:cs="Arial"/>
          <w:w w:val="94"/>
          <w:sz w:val="20"/>
          <w:szCs w:val="20"/>
        </w:rPr>
        <w:t>commun</w:t>
      </w:r>
      <w:r>
        <w:rPr>
          <w:rFonts w:ascii="Arial" w:hAnsi="Arial" w:cs="Arial"/>
          <w:spacing w:val="-1"/>
          <w:w w:val="94"/>
          <w:sz w:val="20"/>
          <w:szCs w:val="20"/>
        </w:rPr>
        <w:t>i</w:t>
      </w:r>
      <w:r>
        <w:rPr>
          <w:rFonts w:ascii="Arial" w:hAnsi="Arial" w:cs="Arial"/>
          <w:w w:val="117"/>
          <w:sz w:val="20"/>
          <w:szCs w:val="20"/>
        </w:rPr>
        <w:t xml:space="preserve">ty </w:t>
      </w:r>
      <w:r>
        <w:rPr>
          <w:rFonts w:ascii="Arial" w:hAnsi="Arial" w:cs="Arial"/>
          <w:w w:val="93"/>
          <w:sz w:val="20"/>
          <w:szCs w:val="20"/>
        </w:rPr>
        <w:t>resources</w:t>
      </w:r>
      <w:r>
        <w:rPr>
          <w:rFonts w:ascii="Arial" w:hAnsi="Arial" w:cs="Arial"/>
          <w:spacing w:val="-10"/>
          <w:sz w:val="20"/>
          <w:szCs w:val="20"/>
        </w:rPr>
        <w:t xml:space="preserve"> </w:t>
      </w:r>
      <w:r>
        <w:rPr>
          <w:rFonts w:ascii="Arial" w:hAnsi="Arial" w:cs="Arial"/>
          <w:w w:val="85"/>
          <w:sz w:val="20"/>
          <w:szCs w:val="20"/>
        </w:rPr>
        <w:t>as</w:t>
      </w:r>
      <w:r>
        <w:rPr>
          <w:rFonts w:ascii="Arial" w:hAnsi="Arial" w:cs="Arial"/>
          <w:spacing w:val="-7"/>
          <w:sz w:val="20"/>
          <w:szCs w:val="20"/>
        </w:rPr>
        <w:t xml:space="preserve"> </w:t>
      </w:r>
      <w:r>
        <w:rPr>
          <w:rFonts w:ascii="Arial" w:hAnsi="Arial" w:cs="Arial"/>
          <w:w w:val="80"/>
          <w:sz w:val="20"/>
          <w:szCs w:val="20"/>
        </w:rPr>
        <w:t>&lt;1ppr</w:t>
      </w:r>
      <w:r>
        <w:rPr>
          <w:rFonts w:ascii="Arial" w:hAnsi="Arial" w:cs="Arial"/>
          <w:spacing w:val="-5"/>
          <w:w w:val="80"/>
          <w:sz w:val="20"/>
          <w:szCs w:val="20"/>
        </w:rPr>
        <w:t>o</w:t>
      </w:r>
      <w:r>
        <w:rPr>
          <w:rFonts w:ascii="Arial" w:hAnsi="Arial" w:cs="Arial"/>
          <w:w w:val="108"/>
          <w:sz w:val="20"/>
          <w:szCs w:val="20"/>
        </w:rPr>
        <w:t>pr</w:t>
      </w:r>
      <w:r>
        <w:rPr>
          <w:rFonts w:ascii="Arial" w:hAnsi="Arial" w:cs="Arial"/>
          <w:spacing w:val="-12"/>
          <w:w w:val="108"/>
          <w:sz w:val="20"/>
          <w:szCs w:val="20"/>
        </w:rPr>
        <w:t>i</w:t>
      </w:r>
      <w:r>
        <w:rPr>
          <w:rFonts w:ascii="Arial" w:hAnsi="Arial" w:cs="Arial"/>
          <w:w w:val="93"/>
          <w:sz w:val="20"/>
          <w:szCs w:val="20"/>
        </w:rPr>
        <w:t>ate</w:t>
      </w:r>
      <w:r>
        <w:rPr>
          <w:rFonts w:ascii="Arial" w:hAnsi="Arial" w:cs="Arial"/>
          <w:spacing w:val="-8"/>
          <w:sz w:val="20"/>
          <w:szCs w:val="20"/>
        </w:rPr>
        <w:t xml:space="preserve"> </w:t>
      </w:r>
      <w:r>
        <w:rPr>
          <w:rFonts w:ascii="Arial" w:hAnsi="Arial" w:cs="Arial"/>
          <w:spacing w:val="-29"/>
          <w:w w:val="161"/>
          <w:sz w:val="20"/>
          <w:szCs w:val="20"/>
        </w:rPr>
        <w:t>i</w:t>
      </w:r>
      <w:r>
        <w:rPr>
          <w:rFonts w:ascii="Arial" w:hAnsi="Arial" w:cs="Arial"/>
          <w:w w:val="106"/>
          <w:sz w:val="20"/>
          <w:szCs w:val="20"/>
        </w:rPr>
        <w:t>nto</w:t>
      </w:r>
      <w:r>
        <w:rPr>
          <w:rFonts w:ascii="Arial" w:hAnsi="Arial" w:cs="Arial"/>
          <w:spacing w:val="-29"/>
          <w:sz w:val="20"/>
          <w:szCs w:val="20"/>
        </w:rPr>
        <w:t xml:space="preserve"> </w:t>
      </w:r>
      <w:r>
        <w:rPr>
          <w:rFonts w:ascii="Arial" w:hAnsi="Arial" w:cs="Arial"/>
          <w:w w:val="108"/>
          <w:sz w:val="20"/>
          <w:szCs w:val="20"/>
        </w:rPr>
        <w:t>the</w:t>
      </w:r>
      <w:r>
        <w:rPr>
          <w:rFonts w:ascii="Arial" w:hAnsi="Arial" w:cs="Arial"/>
          <w:spacing w:val="-6"/>
          <w:sz w:val="20"/>
          <w:szCs w:val="20"/>
        </w:rPr>
        <w:t xml:space="preserve"> </w:t>
      </w:r>
      <w:proofErr w:type="spellStart"/>
      <w:r>
        <w:rPr>
          <w:rFonts w:ascii="Arial" w:hAnsi="Arial" w:cs="Arial"/>
          <w:w w:val="98"/>
          <w:sz w:val="20"/>
          <w:szCs w:val="20"/>
        </w:rPr>
        <w:t>enrcllee's</w:t>
      </w:r>
      <w:proofErr w:type="spellEnd"/>
      <w:r>
        <w:rPr>
          <w:rFonts w:ascii="Arial" w:hAnsi="Arial" w:cs="Arial"/>
          <w:spacing w:val="-5"/>
          <w:sz w:val="20"/>
          <w:szCs w:val="20"/>
        </w:rPr>
        <w:t xml:space="preserve"> </w:t>
      </w:r>
      <w:r>
        <w:rPr>
          <w:rFonts w:ascii="Arial" w:hAnsi="Arial" w:cs="Arial"/>
          <w:spacing w:val="-53"/>
          <w:w w:val="202"/>
          <w:sz w:val="20"/>
          <w:szCs w:val="20"/>
        </w:rPr>
        <w:t>i</w:t>
      </w:r>
      <w:r>
        <w:rPr>
          <w:rFonts w:ascii="Arial" w:hAnsi="Arial" w:cs="Arial"/>
          <w:w w:val="108"/>
          <w:sz w:val="20"/>
          <w:szCs w:val="20"/>
        </w:rPr>
        <w:t>nd</w:t>
      </w:r>
      <w:r>
        <w:rPr>
          <w:rFonts w:ascii="Arial" w:hAnsi="Arial" w:cs="Arial"/>
          <w:spacing w:val="-18"/>
          <w:w w:val="108"/>
          <w:sz w:val="20"/>
          <w:szCs w:val="20"/>
        </w:rPr>
        <w:t>i</w:t>
      </w:r>
      <w:r>
        <w:rPr>
          <w:rFonts w:ascii="Arial" w:hAnsi="Arial" w:cs="Arial"/>
          <w:w w:val="92"/>
          <w:sz w:val="20"/>
          <w:szCs w:val="20"/>
        </w:rPr>
        <w:t>v</w:t>
      </w:r>
      <w:r>
        <w:rPr>
          <w:rFonts w:ascii="Arial" w:hAnsi="Arial" w:cs="Arial"/>
          <w:spacing w:val="2"/>
          <w:w w:val="92"/>
          <w:sz w:val="20"/>
          <w:szCs w:val="20"/>
        </w:rPr>
        <w:t>i</w:t>
      </w:r>
      <w:r>
        <w:rPr>
          <w:rFonts w:ascii="Arial" w:hAnsi="Arial" w:cs="Arial"/>
          <w:w w:val="94"/>
          <w:sz w:val="20"/>
          <w:szCs w:val="20"/>
        </w:rPr>
        <w:t>dua</w:t>
      </w:r>
      <w:r>
        <w:rPr>
          <w:rFonts w:ascii="Arial" w:hAnsi="Arial" w:cs="Arial"/>
          <w:spacing w:val="8"/>
          <w:w w:val="94"/>
          <w:sz w:val="20"/>
          <w:szCs w:val="20"/>
        </w:rPr>
        <w:t>l</w:t>
      </w:r>
      <w:r>
        <w:rPr>
          <w:rFonts w:ascii="Arial" w:hAnsi="Arial" w:cs="Arial"/>
          <w:w w:val="90"/>
          <w:sz w:val="20"/>
          <w:szCs w:val="20"/>
        </w:rPr>
        <w:t>ized</w:t>
      </w:r>
      <w:r>
        <w:rPr>
          <w:rFonts w:ascii="Arial" w:hAnsi="Arial" w:cs="Arial"/>
          <w:spacing w:val="-15"/>
          <w:sz w:val="20"/>
          <w:szCs w:val="20"/>
        </w:rPr>
        <w:t xml:space="preserve"> </w:t>
      </w:r>
      <w:r>
        <w:rPr>
          <w:rFonts w:ascii="Arial" w:hAnsi="Arial" w:cs="Arial"/>
          <w:w w:val="92"/>
          <w:sz w:val="20"/>
          <w:szCs w:val="20"/>
        </w:rPr>
        <w:t>care</w:t>
      </w:r>
      <w:r>
        <w:rPr>
          <w:rFonts w:ascii="Arial" w:hAnsi="Arial" w:cs="Arial"/>
          <w:spacing w:val="-7"/>
          <w:sz w:val="20"/>
          <w:szCs w:val="20"/>
        </w:rPr>
        <w:t xml:space="preserve"> </w:t>
      </w:r>
      <w:r>
        <w:rPr>
          <w:rFonts w:ascii="Arial" w:hAnsi="Arial" w:cs="Arial"/>
          <w:w w:val="115"/>
          <w:sz w:val="20"/>
          <w:szCs w:val="20"/>
        </w:rPr>
        <w:t>p</w:t>
      </w:r>
      <w:r>
        <w:rPr>
          <w:rFonts w:ascii="Arial" w:hAnsi="Arial" w:cs="Arial"/>
          <w:spacing w:val="-15"/>
          <w:w w:val="115"/>
          <w:sz w:val="20"/>
          <w:szCs w:val="20"/>
        </w:rPr>
        <w:t>l</w:t>
      </w:r>
      <w:r>
        <w:rPr>
          <w:rFonts w:ascii="Arial" w:hAnsi="Arial" w:cs="Arial"/>
          <w:w w:val="94"/>
          <w:sz w:val="20"/>
          <w:szCs w:val="20"/>
        </w:rPr>
        <w:t>an.</w:t>
      </w:r>
      <w:r>
        <w:rPr>
          <w:rFonts w:ascii="Arial" w:hAnsi="Arial" w:cs="Arial"/>
          <w:spacing w:val="-18"/>
          <w:sz w:val="20"/>
          <w:szCs w:val="20"/>
        </w:rPr>
        <w:t xml:space="preserve"> </w:t>
      </w:r>
      <w:r>
        <w:rPr>
          <w:rFonts w:ascii="Arial" w:hAnsi="Arial" w:cs="Arial"/>
          <w:w w:val="95"/>
          <w:sz w:val="20"/>
          <w:szCs w:val="20"/>
        </w:rPr>
        <w:t>The</w:t>
      </w:r>
      <w:r>
        <w:rPr>
          <w:rFonts w:ascii="Arial" w:hAnsi="Arial" w:cs="Arial"/>
          <w:spacing w:val="-5"/>
          <w:sz w:val="20"/>
          <w:szCs w:val="20"/>
        </w:rPr>
        <w:t xml:space="preserve"> </w:t>
      </w:r>
      <w:r>
        <w:rPr>
          <w:rFonts w:ascii="Arial" w:hAnsi="Arial" w:cs="Arial"/>
          <w:w w:val="71"/>
          <w:sz w:val="20"/>
          <w:szCs w:val="20"/>
        </w:rPr>
        <w:t>LTSS</w:t>
      </w:r>
      <w:r>
        <w:rPr>
          <w:rFonts w:ascii="Arial" w:hAnsi="Arial" w:cs="Arial"/>
          <w:spacing w:val="-5"/>
          <w:sz w:val="20"/>
          <w:szCs w:val="20"/>
        </w:rPr>
        <w:t xml:space="preserve"> </w:t>
      </w:r>
      <w:r>
        <w:rPr>
          <w:rFonts w:ascii="Arial" w:hAnsi="Arial" w:cs="Arial"/>
          <w:w w:val="97"/>
          <w:sz w:val="20"/>
          <w:szCs w:val="20"/>
        </w:rPr>
        <w:t>Co</w:t>
      </w:r>
      <w:r w:rsidR="00B92FCC">
        <w:rPr>
          <w:rFonts w:ascii="Arial" w:hAnsi="Arial" w:cs="Arial"/>
          <w:w w:val="97"/>
          <w:sz w:val="20"/>
          <w:szCs w:val="20"/>
        </w:rPr>
        <w:t>o</w:t>
      </w:r>
      <w:r>
        <w:rPr>
          <w:rFonts w:ascii="Arial" w:hAnsi="Arial" w:cs="Arial"/>
          <w:w w:val="97"/>
          <w:sz w:val="20"/>
          <w:szCs w:val="20"/>
        </w:rPr>
        <w:t>r</w:t>
      </w:r>
      <w:r w:rsidR="00B92FCC">
        <w:rPr>
          <w:rFonts w:ascii="Arial" w:hAnsi="Arial" w:cs="Arial"/>
          <w:spacing w:val="-12"/>
          <w:w w:val="97"/>
          <w:sz w:val="20"/>
          <w:szCs w:val="20"/>
        </w:rPr>
        <w:t>dinator</w:t>
      </w:r>
      <w:r>
        <w:rPr>
          <w:rFonts w:ascii="Arial" w:hAnsi="Arial" w:cs="Arial"/>
          <w:spacing w:val="-6"/>
          <w:sz w:val="20"/>
          <w:szCs w:val="20"/>
        </w:rPr>
        <w:t xml:space="preserve"> </w:t>
      </w:r>
      <w:r>
        <w:rPr>
          <w:rFonts w:ascii="Arial" w:hAnsi="Arial" w:cs="Arial"/>
          <w:sz w:val="20"/>
          <w:szCs w:val="20"/>
        </w:rPr>
        <w:t>w</w:t>
      </w:r>
      <w:r>
        <w:rPr>
          <w:rFonts w:ascii="Arial" w:hAnsi="Arial" w:cs="Arial"/>
          <w:spacing w:val="3"/>
          <w:sz w:val="20"/>
          <w:szCs w:val="20"/>
        </w:rPr>
        <w:t>i</w:t>
      </w:r>
      <w:r>
        <w:rPr>
          <w:rFonts w:ascii="Arial" w:hAnsi="Arial" w:cs="Arial"/>
          <w:w w:val="125"/>
          <w:sz w:val="20"/>
          <w:szCs w:val="20"/>
        </w:rPr>
        <w:t>l</w:t>
      </w:r>
      <w:r>
        <w:rPr>
          <w:rFonts w:ascii="Arial" w:hAnsi="Arial" w:cs="Arial"/>
          <w:spacing w:val="24"/>
          <w:w w:val="125"/>
          <w:sz w:val="20"/>
          <w:szCs w:val="20"/>
        </w:rPr>
        <w:t>l</w:t>
      </w:r>
      <w:r w:rsidR="00B92FCC">
        <w:rPr>
          <w:rFonts w:ascii="Arial" w:hAnsi="Arial" w:cs="Arial"/>
          <w:spacing w:val="24"/>
          <w:w w:val="125"/>
          <w:sz w:val="20"/>
          <w:szCs w:val="20"/>
        </w:rPr>
        <w:t xml:space="preserve"> </w:t>
      </w:r>
      <w:r>
        <w:rPr>
          <w:rFonts w:ascii="Arial" w:hAnsi="Arial" w:cs="Arial"/>
          <w:w w:val="105"/>
          <w:sz w:val="19"/>
          <w:szCs w:val="19"/>
        </w:rPr>
        <w:t>co</w:t>
      </w:r>
      <w:r>
        <w:rPr>
          <w:rFonts w:ascii="Arial" w:hAnsi="Arial" w:cs="Arial"/>
          <w:spacing w:val="-8"/>
          <w:w w:val="105"/>
          <w:sz w:val="19"/>
          <w:szCs w:val="19"/>
        </w:rPr>
        <w:t>n</w:t>
      </w:r>
      <w:r>
        <w:rPr>
          <w:rFonts w:ascii="Arial" w:hAnsi="Arial" w:cs="Arial"/>
          <w:w w:val="99"/>
          <w:sz w:val="19"/>
          <w:szCs w:val="19"/>
        </w:rPr>
        <w:t>nect</w:t>
      </w:r>
    </w:p>
    <w:p w:rsidR="002C5025" w:rsidRDefault="002C5025">
      <w:pPr>
        <w:pStyle w:val="BodyText"/>
        <w:kinsoku w:val="0"/>
        <w:overflowPunct w:val="0"/>
        <w:spacing w:line="244" w:lineRule="auto"/>
        <w:ind w:left="124" w:right="351" w:hanging="8"/>
        <w:jc w:val="both"/>
        <w:rPr>
          <w:rFonts w:ascii="Arial" w:hAnsi="Arial" w:cs="Arial"/>
          <w:sz w:val="20"/>
          <w:szCs w:val="20"/>
        </w:rPr>
      </w:pPr>
      <w:r>
        <w:rPr>
          <w:rFonts w:ascii="Arial" w:hAnsi="Arial" w:cs="Arial"/>
          <w:w w:val="108"/>
          <w:sz w:val="20"/>
          <w:szCs w:val="20"/>
        </w:rPr>
        <w:t>the</w:t>
      </w:r>
      <w:r>
        <w:rPr>
          <w:rFonts w:ascii="Arial" w:hAnsi="Arial" w:cs="Arial"/>
          <w:spacing w:val="-24"/>
          <w:w w:val="108"/>
          <w:sz w:val="20"/>
          <w:szCs w:val="20"/>
        </w:rPr>
        <w:t xml:space="preserve"> </w:t>
      </w:r>
      <w:r>
        <w:rPr>
          <w:rFonts w:ascii="Arial" w:hAnsi="Arial" w:cs="Arial"/>
          <w:w w:val="97"/>
          <w:sz w:val="20"/>
          <w:szCs w:val="20"/>
        </w:rPr>
        <w:t>enrollee</w:t>
      </w:r>
      <w:r>
        <w:rPr>
          <w:rFonts w:ascii="Arial" w:hAnsi="Arial" w:cs="Arial"/>
          <w:spacing w:val="-17"/>
          <w:w w:val="97"/>
          <w:sz w:val="20"/>
          <w:szCs w:val="20"/>
        </w:rPr>
        <w:t xml:space="preserve"> </w:t>
      </w:r>
      <w:r>
        <w:rPr>
          <w:rFonts w:ascii="Arial" w:hAnsi="Arial" w:cs="Arial"/>
          <w:w w:val="117"/>
          <w:sz w:val="20"/>
          <w:szCs w:val="20"/>
        </w:rPr>
        <w:t>to</w:t>
      </w:r>
      <w:r>
        <w:rPr>
          <w:rFonts w:ascii="Arial" w:hAnsi="Arial" w:cs="Arial"/>
          <w:spacing w:val="-31"/>
          <w:w w:val="117"/>
          <w:sz w:val="20"/>
          <w:szCs w:val="20"/>
        </w:rPr>
        <w:t xml:space="preserve"> </w:t>
      </w:r>
      <w:r>
        <w:rPr>
          <w:rFonts w:ascii="Arial" w:hAnsi="Arial" w:cs="Arial"/>
          <w:w w:val="89"/>
          <w:sz w:val="20"/>
          <w:szCs w:val="20"/>
        </w:rPr>
        <w:t>services</w:t>
      </w:r>
      <w:r>
        <w:rPr>
          <w:rFonts w:ascii="Arial" w:hAnsi="Arial" w:cs="Arial"/>
          <w:spacing w:val="-6"/>
          <w:w w:val="89"/>
          <w:sz w:val="20"/>
          <w:szCs w:val="20"/>
        </w:rPr>
        <w:t xml:space="preserve"> </w:t>
      </w:r>
      <w:r w:rsidR="00B92FCC">
        <w:rPr>
          <w:rFonts w:ascii="Arial" w:hAnsi="Arial" w:cs="Arial"/>
          <w:spacing w:val="2"/>
          <w:w w:val="110"/>
          <w:sz w:val="20"/>
          <w:szCs w:val="20"/>
        </w:rPr>
        <w:t>–</w:t>
      </w:r>
      <w:r>
        <w:rPr>
          <w:rFonts w:ascii="Arial" w:hAnsi="Arial" w:cs="Arial"/>
          <w:spacing w:val="2"/>
          <w:w w:val="110"/>
          <w:sz w:val="20"/>
          <w:szCs w:val="20"/>
        </w:rPr>
        <w:t>drawing</w:t>
      </w:r>
      <w:r w:rsidR="00B92FCC">
        <w:rPr>
          <w:rFonts w:ascii="Arial" w:hAnsi="Arial" w:cs="Arial"/>
          <w:spacing w:val="2"/>
          <w:w w:val="110"/>
          <w:sz w:val="20"/>
          <w:szCs w:val="20"/>
        </w:rPr>
        <w:t xml:space="preserve"> </w:t>
      </w:r>
      <w:r>
        <w:rPr>
          <w:rFonts w:ascii="Arial" w:hAnsi="Arial" w:cs="Arial"/>
          <w:spacing w:val="2"/>
          <w:w w:val="110"/>
          <w:sz w:val="20"/>
          <w:szCs w:val="20"/>
        </w:rPr>
        <w:t>on</w:t>
      </w:r>
      <w:r>
        <w:rPr>
          <w:rFonts w:ascii="Arial" w:hAnsi="Arial" w:cs="Arial"/>
          <w:spacing w:val="-27"/>
          <w:w w:val="110"/>
          <w:sz w:val="20"/>
          <w:szCs w:val="20"/>
        </w:rPr>
        <w:t xml:space="preserve"> </w:t>
      </w:r>
      <w:r>
        <w:rPr>
          <w:rFonts w:ascii="Arial" w:hAnsi="Arial" w:cs="Arial"/>
          <w:w w:val="105"/>
          <w:sz w:val="20"/>
          <w:szCs w:val="20"/>
        </w:rPr>
        <w:t>the</w:t>
      </w:r>
      <w:r>
        <w:rPr>
          <w:rFonts w:ascii="Arial" w:hAnsi="Arial" w:cs="Arial"/>
          <w:spacing w:val="-22"/>
          <w:w w:val="105"/>
          <w:sz w:val="20"/>
          <w:szCs w:val="20"/>
        </w:rPr>
        <w:t xml:space="preserve"> </w:t>
      </w:r>
      <w:r>
        <w:rPr>
          <w:rFonts w:ascii="Arial" w:hAnsi="Arial" w:cs="Arial"/>
          <w:spacing w:val="-1"/>
          <w:sz w:val="20"/>
          <w:szCs w:val="20"/>
        </w:rPr>
        <w:t>provider</w:t>
      </w:r>
      <w:r>
        <w:rPr>
          <w:rFonts w:ascii="Arial" w:hAnsi="Arial" w:cs="Arial"/>
          <w:spacing w:val="-16"/>
          <w:sz w:val="20"/>
          <w:szCs w:val="20"/>
        </w:rPr>
        <w:t xml:space="preserve"> </w:t>
      </w:r>
      <w:r>
        <w:rPr>
          <w:rFonts w:ascii="Arial" w:hAnsi="Arial" w:cs="Arial"/>
          <w:w w:val="98"/>
          <w:sz w:val="20"/>
          <w:szCs w:val="20"/>
        </w:rPr>
        <w:t>network</w:t>
      </w:r>
      <w:r>
        <w:rPr>
          <w:rFonts w:ascii="Arial" w:hAnsi="Arial" w:cs="Arial"/>
          <w:spacing w:val="-26"/>
          <w:w w:val="98"/>
          <w:sz w:val="20"/>
          <w:szCs w:val="20"/>
        </w:rPr>
        <w:t xml:space="preserve"> </w:t>
      </w:r>
      <w:r>
        <w:rPr>
          <w:rFonts w:ascii="Arial" w:hAnsi="Arial" w:cs="Arial"/>
          <w:w w:val="101"/>
          <w:sz w:val="20"/>
          <w:szCs w:val="20"/>
        </w:rPr>
        <w:t>and</w:t>
      </w:r>
      <w:r>
        <w:rPr>
          <w:rFonts w:ascii="Arial" w:hAnsi="Arial" w:cs="Arial"/>
          <w:spacing w:val="-22"/>
          <w:w w:val="101"/>
          <w:sz w:val="20"/>
          <w:szCs w:val="20"/>
        </w:rPr>
        <w:t xml:space="preserve"> </w:t>
      </w:r>
      <w:r>
        <w:rPr>
          <w:rFonts w:ascii="Arial" w:hAnsi="Arial" w:cs="Arial"/>
          <w:w w:val="101"/>
          <w:sz w:val="20"/>
          <w:szCs w:val="20"/>
        </w:rPr>
        <w:t>other</w:t>
      </w:r>
      <w:r>
        <w:rPr>
          <w:rFonts w:ascii="Arial" w:hAnsi="Arial" w:cs="Arial"/>
          <w:spacing w:val="-18"/>
          <w:w w:val="101"/>
          <w:sz w:val="20"/>
          <w:szCs w:val="20"/>
        </w:rPr>
        <w:t xml:space="preserve"> </w:t>
      </w:r>
      <w:r>
        <w:rPr>
          <w:rFonts w:ascii="Arial" w:hAnsi="Arial" w:cs="Arial"/>
          <w:w w:val="94"/>
          <w:sz w:val="20"/>
          <w:szCs w:val="20"/>
        </w:rPr>
        <w:t>resources</w:t>
      </w:r>
      <w:r>
        <w:rPr>
          <w:rFonts w:ascii="Arial" w:hAnsi="Arial" w:cs="Arial"/>
          <w:spacing w:val="-16"/>
          <w:w w:val="94"/>
          <w:sz w:val="20"/>
          <w:szCs w:val="20"/>
        </w:rPr>
        <w:t xml:space="preserve"> </w:t>
      </w:r>
      <w:r>
        <w:rPr>
          <w:rFonts w:ascii="Arial" w:hAnsi="Arial" w:cs="Arial"/>
          <w:w w:val="109"/>
          <w:sz w:val="20"/>
          <w:szCs w:val="20"/>
        </w:rPr>
        <w:t>of</w:t>
      </w:r>
      <w:r>
        <w:rPr>
          <w:rFonts w:ascii="Arial" w:hAnsi="Arial" w:cs="Arial"/>
          <w:spacing w:val="-21"/>
          <w:w w:val="109"/>
          <w:sz w:val="20"/>
          <w:szCs w:val="20"/>
        </w:rPr>
        <w:t xml:space="preserve"> </w:t>
      </w:r>
      <w:r>
        <w:rPr>
          <w:rFonts w:ascii="Arial" w:hAnsi="Arial" w:cs="Arial"/>
          <w:w w:val="94"/>
          <w:sz w:val="20"/>
          <w:szCs w:val="20"/>
        </w:rPr>
        <w:t>the</w:t>
      </w:r>
      <w:r>
        <w:rPr>
          <w:rFonts w:ascii="Arial" w:hAnsi="Arial" w:cs="Arial"/>
          <w:spacing w:val="-14"/>
          <w:w w:val="94"/>
          <w:sz w:val="20"/>
          <w:szCs w:val="20"/>
        </w:rPr>
        <w:t xml:space="preserve"> </w:t>
      </w:r>
      <w:r>
        <w:rPr>
          <w:rFonts w:ascii="Arial" w:hAnsi="Arial" w:cs="Arial"/>
          <w:spacing w:val="-6"/>
          <w:w w:val="109"/>
          <w:sz w:val="20"/>
          <w:szCs w:val="20"/>
        </w:rPr>
        <w:t>ACO,</w:t>
      </w:r>
      <w:r w:rsidR="00B92FCC">
        <w:rPr>
          <w:rFonts w:ascii="Arial" w:hAnsi="Arial" w:cs="Arial"/>
          <w:spacing w:val="-6"/>
          <w:w w:val="109"/>
          <w:sz w:val="20"/>
          <w:szCs w:val="20"/>
        </w:rPr>
        <w:t xml:space="preserve"> </w:t>
      </w:r>
      <w:r>
        <w:rPr>
          <w:rFonts w:ascii="Arial" w:hAnsi="Arial" w:cs="Arial"/>
          <w:spacing w:val="-6"/>
          <w:w w:val="109"/>
          <w:sz w:val="20"/>
          <w:szCs w:val="20"/>
        </w:rPr>
        <w:t>as</w:t>
      </w:r>
      <w:r>
        <w:rPr>
          <w:rFonts w:ascii="Arial" w:hAnsi="Arial" w:cs="Arial"/>
          <w:spacing w:val="-18"/>
          <w:w w:val="109"/>
          <w:sz w:val="20"/>
          <w:szCs w:val="20"/>
        </w:rPr>
        <w:t xml:space="preserve"> </w:t>
      </w:r>
      <w:r>
        <w:rPr>
          <w:rFonts w:ascii="Arial" w:hAnsi="Arial" w:cs="Arial"/>
          <w:sz w:val="20"/>
          <w:szCs w:val="20"/>
        </w:rPr>
        <w:t>well</w:t>
      </w:r>
      <w:r>
        <w:rPr>
          <w:rFonts w:ascii="Arial" w:hAnsi="Arial" w:cs="Arial"/>
          <w:spacing w:val="-15"/>
          <w:sz w:val="20"/>
          <w:szCs w:val="20"/>
        </w:rPr>
        <w:t xml:space="preserve"> </w:t>
      </w:r>
      <w:r>
        <w:rPr>
          <w:rFonts w:ascii="Arial" w:hAnsi="Arial" w:cs="Arial"/>
          <w:w w:val="81"/>
          <w:sz w:val="20"/>
          <w:szCs w:val="20"/>
        </w:rPr>
        <w:t xml:space="preserve">as </w:t>
      </w:r>
      <w:r>
        <w:rPr>
          <w:rFonts w:ascii="Arial" w:hAnsi="Arial" w:cs="Arial"/>
          <w:w w:val="95"/>
          <w:sz w:val="20"/>
          <w:szCs w:val="20"/>
        </w:rPr>
        <w:t>on</w:t>
      </w:r>
      <w:r>
        <w:rPr>
          <w:rFonts w:ascii="Arial" w:hAnsi="Arial" w:cs="Arial"/>
          <w:spacing w:val="-8"/>
          <w:w w:val="95"/>
          <w:sz w:val="20"/>
          <w:szCs w:val="20"/>
        </w:rPr>
        <w:t xml:space="preserve"> </w:t>
      </w:r>
      <w:r w:rsidR="00B92FCC">
        <w:rPr>
          <w:rFonts w:ascii="Times New Roman" w:hAnsi="Times New Roman" w:cs="Times New Roman"/>
          <w:w w:val="95"/>
          <w:sz w:val="23"/>
          <w:szCs w:val="23"/>
        </w:rPr>
        <w:t>community-</w:t>
      </w:r>
      <w:r>
        <w:rPr>
          <w:rFonts w:ascii="Times New Roman" w:hAnsi="Times New Roman" w:cs="Times New Roman"/>
          <w:w w:val="95"/>
          <w:sz w:val="23"/>
          <w:szCs w:val="23"/>
        </w:rPr>
        <w:t>based</w:t>
      </w:r>
      <w:r>
        <w:rPr>
          <w:rFonts w:ascii="Times New Roman" w:hAnsi="Times New Roman" w:cs="Times New Roman"/>
          <w:spacing w:val="5"/>
          <w:w w:val="95"/>
          <w:sz w:val="23"/>
          <w:szCs w:val="23"/>
        </w:rPr>
        <w:t xml:space="preserve"> </w:t>
      </w:r>
      <w:r>
        <w:rPr>
          <w:rFonts w:ascii="Arial" w:hAnsi="Arial" w:cs="Arial"/>
          <w:w w:val="95"/>
          <w:sz w:val="20"/>
          <w:szCs w:val="20"/>
        </w:rPr>
        <w:t>resources</w:t>
      </w:r>
      <w:r>
        <w:rPr>
          <w:rFonts w:ascii="Arial" w:hAnsi="Arial" w:cs="Arial"/>
          <w:spacing w:val="-8"/>
          <w:w w:val="95"/>
          <w:sz w:val="20"/>
          <w:szCs w:val="20"/>
        </w:rPr>
        <w:t xml:space="preserve"> </w:t>
      </w:r>
      <w:r>
        <w:rPr>
          <w:rFonts w:ascii="Times New Roman" w:hAnsi="Times New Roman" w:cs="Times New Roman"/>
          <w:w w:val="95"/>
          <w:sz w:val="23"/>
          <w:szCs w:val="23"/>
        </w:rPr>
        <w:t>-and</w:t>
      </w:r>
      <w:r>
        <w:rPr>
          <w:rFonts w:ascii="Times New Roman" w:hAnsi="Times New Roman" w:cs="Times New Roman"/>
          <w:spacing w:val="3"/>
          <w:w w:val="95"/>
          <w:sz w:val="23"/>
          <w:szCs w:val="23"/>
        </w:rPr>
        <w:t xml:space="preserve"> </w:t>
      </w:r>
      <w:r>
        <w:rPr>
          <w:rFonts w:ascii="Times New Roman" w:hAnsi="Times New Roman" w:cs="Times New Roman"/>
          <w:w w:val="95"/>
          <w:sz w:val="23"/>
          <w:szCs w:val="23"/>
        </w:rPr>
        <w:t>assist</w:t>
      </w:r>
      <w:r>
        <w:rPr>
          <w:rFonts w:ascii="Times New Roman" w:hAnsi="Times New Roman" w:cs="Times New Roman"/>
          <w:spacing w:val="-14"/>
          <w:w w:val="95"/>
          <w:sz w:val="23"/>
          <w:szCs w:val="23"/>
        </w:rPr>
        <w:t xml:space="preserve"> </w:t>
      </w:r>
      <w:r>
        <w:rPr>
          <w:rFonts w:ascii="Arial" w:hAnsi="Arial" w:cs="Arial"/>
          <w:w w:val="95"/>
          <w:sz w:val="20"/>
          <w:szCs w:val="20"/>
        </w:rPr>
        <w:t>providers</w:t>
      </w:r>
      <w:r>
        <w:rPr>
          <w:rFonts w:ascii="Arial" w:hAnsi="Arial" w:cs="Arial"/>
          <w:spacing w:val="-10"/>
          <w:w w:val="95"/>
          <w:sz w:val="20"/>
          <w:szCs w:val="20"/>
        </w:rPr>
        <w:t xml:space="preserve"> </w:t>
      </w:r>
      <w:r>
        <w:rPr>
          <w:rFonts w:ascii="Times New Roman" w:hAnsi="Times New Roman" w:cs="Times New Roman"/>
          <w:w w:val="95"/>
          <w:sz w:val="23"/>
          <w:szCs w:val="23"/>
        </w:rPr>
        <w:t>in</w:t>
      </w:r>
      <w:r>
        <w:rPr>
          <w:rFonts w:ascii="Times New Roman" w:hAnsi="Times New Roman" w:cs="Times New Roman"/>
          <w:spacing w:val="-11"/>
          <w:w w:val="95"/>
          <w:sz w:val="23"/>
          <w:szCs w:val="23"/>
        </w:rPr>
        <w:t xml:space="preserve"> </w:t>
      </w:r>
      <w:r>
        <w:rPr>
          <w:rFonts w:ascii="Arial" w:hAnsi="Arial" w:cs="Arial"/>
          <w:w w:val="95"/>
          <w:sz w:val="20"/>
          <w:szCs w:val="20"/>
        </w:rPr>
        <w:t>securing</w:t>
      </w:r>
      <w:r>
        <w:rPr>
          <w:rFonts w:ascii="Arial" w:hAnsi="Arial" w:cs="Arial"/>
          <w:spacing w:val="-29"/>
          <w:w w:val="95"/>
          <w:sz w:val="20"/>
          <w:szCs w:val="20"/>
        </w:rPr>
        <w:t xml:space="preserve"> </w:t>
      </w:r>
      <w:r>
        <w:rPr>
          <w:rFonts w:ascii="Times New Roman" w:hAnsi="Times New Roman" w:cs="Times New Roman"/>
          <w:w w:val="95"/>
          <w:sz w:val="23"/>
          <w:szCs w:val="23"/>
        </w:rPr>
        <w:t>any</w:t>
      </w:r>
      <w:r>
        <w:rPr>
          <w:rFonts w:ascii="Times New Roman" w:hAnsi="Times New Roman" w:cs="Times New Roman"/>
          <w:spacing w:val="-11"/>
          <w:w w:val="95"/>
          <w:sz w:val="23"/>
          <w:szCs w:val="23"/>
        </w:rPr>
        <w:t xml:space="preserve"> </w:t>
      </w:r>
      <w:r>
        <w:rPr>
          <w:rFonts w:ascii="Times New Roman" w:hAnsi="Times New Roman" w:cs="Times New Roman"/>
          <w:w w:val="95"/>
          <w:sz w:val="23"/>
          <w:szCs w:val="23"/>
        </w:rPr>
        <w:t>authorizations</w:t>
      </w:r>
      <w:r>
        <w:rPr>
          <w:rFonts w:ascii="Times New Roman" w:hAnsi="Times New Roman" w:cs="Times New Roman"/>
          <w:spacing w:val="-14"/>
          <w:w w:val="95"/>
          <w:sz w:val="23"/>
          <w:szCs w:val="23"/>
        </w:rPr>
        <w:t xml:space="preserve"> </w:t>
      </w:r>
      <w:r>
        <w:rPr>
          <w:rFonts w:ascii="Times New Roman" w:hAnsi="Times New Roman" w:cs="Times New Roman"/>
          <w:w w:val="95"/>
          <w:sz w:val="23"/>
          <w:szCs w:val="23"/>
        </w:rPr>
        <w:t>or</w:t>
      </w:r>
      <w:r>
        <w:rPr>
          <w:rFonts w:ascii="Times New Roman" w:hAnsi="Times New Roman" w:cs="Times New Roman"/>
          <w:spacing w:val="-11"/>
          <w:w w:val="95"/>
          <w:sz w:val="23"/>
          <w:szCs w:val="23"/>
        </w:rPr>
        <w:t xml:space="preserve"> </w:t>
      </w:r>
      <w:r>
        <w:rPr>
          <w:rFonts w:ascii="Times New Roman" w:hAnsi="Times New Roman" w:cs="Times New Roman"/>
          <w:w w:val="95"/>
          <w:sz w:val="23"/>
          <w:szCs w:val="23"/>
        </w:rPr>
        <w:t>service</w:t>
      </w:r>
      <w:r>
        <w:rPr>
          <w:rFonts w:ascii="Times New Roman" w:hAnsi="Times New Roman" w:cs="Times New Roman"/>
          <w:spacing w:val="-11"/>
          <w:w w:val="95"/>
          <w:sz w:val="23"/>
          <w:szCs w:val="23"/>
        </w:rPr>
        <w:t xml:space="preserve"> </w:t>
      </w:r>
      <w:r w:rsidR="00B92FCC">
        <w:rPr>
          <w:rFonts w:ascii="Arial" w:hAnsi="Arial" w:cs="Arial"/>
          <w:w w:val="95"/>
          <w:sz w:val="20"/>
          <w:szCs w:val="20"/>
        </w:rPr>
        <w:t>o</w:t>
      </w:r>
      <w:r>
        <w:rPr>
          <w:rFonts w:ascii="Arial" w:hAnsi="Arial" w:cs="Arial"/>
          <w:w w:val="95"/>
          <w:sz w:val="20"/>
          <w:szCs w:val="20"/>
        </w:rPr>
        <w:t xml:space="preserve">rders </w:t>
      </w:r>
      <w:r>
        <w:rPr>
          <w:rFonts w:ascii="Arial" w:hAnsi="Arial" w:cs="Arial"/>
          <w:sz w:val="19"/>
          <w:szCs w:val="19"/>
        </w:rPr>
        <w:t>necessary</w:t>
      </w:r>
      <w:r>
        <w:rPr>
          <w:rFonts w:ascii="Arial" w:hAnsi="Arial" w:cs="Arial"/>
          <w:spacing w:val="-22"/>
          <w:sz w:val="19"/>
          <w:szCs w:val="19"/>
        </w:rPr>
        <w:t xml:space="preserve"> </w:t>
      </w:r>
      <w:r>
        <w:rPr>
          <w:rFonts w:ascii="Arial" w:hAnsi="Arial" w:cs="Arial"/>
          <w:sz w:val="19"/>
          <w:szCs w:val="19"/>
        </w:rPr>
        <w:t>to</w:t>
      </w:r>
      <w:r>
        <w:rPr>
          <w:rFonts w:ascii="Arial" w:hAnsi="Arial" w:cs="Arial"/>
          <w:spacing w:val="-29"/>
          <w:sz w:val="19"/>
          <w:szCs w:val="19"/>
        </w:rPr>
        <w:t xml:space="preserve"> </w:t>
      </w:r>
      <w:r>
        <w:rPr>
          <w:rFonts w:ascii="Arial" w:hAnsi="Arial" w:cs="Arial"/>
          <w:spacing w:val="-3"/>
          <w:sz w:val="19"/>
          <w:szCs w:val="19"/>
        </w:rPr>
        <w:t>begin</w:t>
      </w:r>
      <w:r>
        <w:rPr>
          <w:rFonts w:ascii="Arial" w:hAnsi="Arial" w:cs="Arial"/>
          <w:spacing w:val="-39"/>
          <w:sz w:val="19"/>
          <w:szCs w:val="19"/>
        </w:rPr>
        <w:t xml:space="preserve"> </w:t>
      </w:r>
      <w:r>
        <w:rPr>
          <w:rFonts w:ascii="Arial" w:hAnsi="Arial" w:cs="Arial"/>
          <w:sz w:val="20"/>
          <w:szCs w:val="20"/>
        </w:rPr>
        <w:t>services.</w:t>
      </w:r>
    </w:p>
    <w:p w:rsidR="002C5025" w:rsidRDefault="002C5025">
      <w:pPr>
        <w:pStyle w:val="BodyText"/>
        <w:kinsoku w:val="0"/>
        <w:overflowPunct w:val="0"/>
        <w:spacing w:before="3"/>
        <w:rPr>
          <w:rFonts w:ascii="Arial" w:hAnsi="Arial" w:cs="Arial"/>
        </w:rPr>
      </w:pPr>
    </w:p>
    <w:p w:rsidR="002C5025" w:rsidRDefault="002C5025">
      <w:pPr>
        <w:pStyle w:val="BodyText"/>
        <w:kinsoku w:val="0"/>
        <w:overflowPunct w:val="0"/>
        <w:spacing w:before="1" w:line="259" w:lineRule="auto"/>
        <w:ind w:left="124" w:right="315" w:firstLine="7"/>
        <w:rPr>
          <w:rFonts w:ascii="Arial" w:hAnsi="Arial" w:cs="Arial"/>
          <w:w w:val="91"/>
          <w:sz w:val="20"/>
          <w:szCs w:val="20"/>
        </w:rPr>
      </w:pPr>
      <w:r>
        <w:rPr>
          <w:rFonts w:ascii="Arial" w:hAnsi="Arial" w:cs="Arial"/>
          <w:w w:val="94"/>
          <w:sz w:val="20"/>
          <w:szCs w:val="20"/>
        </w:rPr>
        <w:t>MassHealth</w:t>
      </w:r>
      <w:r>
        <w:rPr>
          <w:rFonts w:ascii="Arial" w:hAnsi="Arial" w:cs="Arial"/>
          <w:spacing w:val="-8"/>
          <w:sz w:val="20"/>
          <w:szCs w:val="20"/>
        </w:rPr>
        <w:t xml:space="preserve"> </w:t>
      </w:r>
      <w:r>
        <w:rPr>
          <w:rFonts w:ascii="Arial" w:hAnsi="Arial" w:cs="Arial"/>
          <w:w w:val="84"/>
          <w:sz w:val="20"/>
          <w:szCs w:val="20"/>
        </w:rPr>
        <w:t>AC</w:t>
      </w:r>
      <w:r>
        <w:rPr>
          <w:rFonts w:ascii="Arial" w:hAnsi="Arial" w:cs="Arial"/>
          <w:spacing w:val="-9"/>
          <w:w w:val="84"/>
          <w:sz w:val="20"/>
          <w:szCs w:val="20"/>
        </w:rPr>
        <w:t>O</w:t>
      </w:r>
      <w:r w:rsidR="00B92FCC">
        <w:rPr>
          <w:rFonts w:ascii="Arial" w:hAnsi="Arial" w:cs="Arial"/>
          <w:spacing w:val="-66"/>
          <w:w w:val="336"/>
          <w:sz w:val="20"/>
          <w:szCs w:val="20"/>
        </w:rPr>
        <w:t xml:space="preserve"> </w:t>
      </w:r>
      <w:r>
        <w:rPr>
          <w:rFonts w:ascii="Arial" w:hAnsi="Arial" w:cs="Arial"/>
          <w:w w:val="96"/>
          <w:sz w:val="21"/>
          <w:szCs w:val="21"/>
        </w:rPr>
        <w:t>will</w:t>
      </w:r>
      <w:r>
        <w:rPr>
          <w:rFonts w:ascii="Arial" w:hAnsi="Arial" w:cs="Arial"/>
          <w:spacing w:val="4"/>
          <w:sz w:val="21"/>
          <w:szCs w:val="21"/>
        </w:rPr>
        <w:t xml:space="preserve"> </w:t>
      </w:r>
      <w:r>
        <w:rPr>
          <w:rFonts w:ascii="Arial" w:hAnsi="Arial" w:cs="Arial"/>
          <w:w w:val="94"/>
          <w:sz w:val="20"/>
          <w:szCs w:val="20"/>
        </w:rPr>
        <w:t>be</w:t>
      </w:r>
      <w:r>
        <w:rPr>
          <w:rFonts w:ascii="Arial" w:hAnsi="Arial" w:cs="Arial"/>
          <w:spacing w:val="-23"/>
          <w:sz w:val="20"/>
          <w:szCs w:val="20"/>
        </w:rPr>
        <w:t xml:space="preserve"> </w:t>
      </w:r>
      <w:r>
        <w:rPr>
          <w:rFonts w:ascii="Times New Roman" w:hAnsi="Times New Roman" w:cs="Times New Roman"/>
          <w:w w:val="110"/>
          <w:sz w:val="23"/>
          <w:szCs w:val="23"/>
        </w:rPr>
        <w:t>re</w:t>
      </w:r>
      <w:r w:rsidR="00B92FCC">
        <w:rPr>
          <w:rFonts w:ascii="Times New Roman" w:hAnsi="Times New Roman" w:cs="Times New Roman"/>
          <w:spacing w:val="-3"/>
          <w:w w:val="110"/>
          <w:sz w:val="23"/>
          <w:szCs w:val="23"/>
        </w:rPr>
        <w:t>sponsible</w:t>
      </w:r>
      <w:r>
        <w:rPr>
          <w:rFonts w:ascii="Times New Roman" w:hAnsi="Times New Roman" w:cs="Times New Roman"/>
          <w:spacing w:val="1"/>
          <w:sz w:val="23"/>
          <w:szCs w:val="23"/>
        </w:rPr>
        <w:t xml:space="preserve"> </w:t>
      </w:r>
      <w:r>
        <w:rPr>
          <w:rFonts w:ascii="Arial" w:hAnsi="Arial" w:cs="Arial"/>
          <w:w w:val="105"/>
          <w:sz w:val="20"/>
          <w:szCs w:val="20"/>
        </w:rPr>
        <w:t>for</w:t>
      </w:r>
      <w:r>
        <w:rPr>
          <w:rFonts w:ascii="Arial" w:hAnsi="Arial" w:cs="Arial"/>
          <w:spacing w:val="6"/>
          <w:sz w:val="20"/>
          <w:szCs w:val="20"/>
        </w:rPr>
        <w:t xml:space="preserve"> </w:t>
      </w:r>
      <w:r>
        <w:rPr>
          <w:rFonts w:ascii="Times New Roman" w:hAnsi="Times New Roman" w:cs="Times New Roman"/>
          <w:w w:val="91"/>
          <w:sz w:val="23"/>
          <w:szCs w:val="23"/>
        </w:rPr>
        <w:t>ensuring</w:t>
      </w:r>
      <w:r>
        <w:rPr>
          <w:rFonts w:ascii="Times New Roman" w:hAnsi="Times New Roman" w:cs="Times New Roman"/>
          <w:spacing w:val="-16"/>
          <w:sz w:val="23"/>
          <w:szCs w:val="23"/>
        </w:rPr>
        <w:t xml:space="preserve"> </w:t>
      </w:r>
      <w:r>
        <w:rPr>
          <w:rFonts w:ascii="Arial" w:hAnsi="Arial" w:cs="Arial"/>
          <w:sz w:val="20"/>
          <w:szCs w:val="20"/>
        </w:rPr>
        <w:t>that</w:t>
      </w:r>
      <w:r>
        <w:rPr>
          <w:rFonts w:ascii="Arial" w:hAnsi="Arial" w:cs="Arial"/>
          <w:spacing w:val="11"/>
          <w:sz w:val="20"/>
          <w:szCs w:val="20"/>
        </w:rPr>
        <w:t xml:space="preserve"> </w:t>
      </w:r>
      <w:r>
        <w:rPr>
          <w:rFonts w:ascii="Arial" w:hAnsi="Arial" w:cs="Arial"/>
          <w:w w:val="73"/>
          <w:sz w:val="20"/>
          <w:szCs w:val="20"/>
        </w:rPr>
        <w:t>LTSS</w:t>
      </w:r>
      <w:r>
        <w:rPr>
          <w:rFonts w:ascii="Arial" w:hAnsi="Arial" w:cs="Arial"/>
          <w:spacing w:val="-15"/>
          <w:sz w:val="20"/>
          <w:szCs w:val="20"/>
        </w:rPr>
        <w:t xml:space="preserve"> </w:t>
      </w:r>
      <w:r>
        <w:rPr>
          <w:rFonts w:ascii="Arial" w:hAnsi="Arial" w:cs="Arial"/>
          <w:w w:val="96"/>
          <w:sz w:val="20"/>
          <w:szCs w:val="20"/>
        </w:rPr>
        <w:t>Coord</w:t>
      </w:r>
      <w:r>
        <w:rPr>
          <w:rFonts w:ascii="Arial" w:hAnsi="Arial" w:cs="Arial"/>
          <w:spacing w:val="-3"/>
          <w:w w:val="96"/>
          <w:sz w:val="20"/>
          <w:szCs w:val="20"/>
        </w:rPr>
        <w:t>i</w:t>
      </w:r>
      <w:r>
        <w:rPr>
          <w:rFonts w:ascii="Arial" w:hAnsi="Arial" w:cs="Arial"/>
          <w:w w:val="99"/>
          <w:sz w:val="20"/>
          <w:szCs w:val="20"/>
        </w:rPr>
        <w:t>nators</w:t>
      </w:r>
      <w:r>
        <w:rPr>
          <w:rFonts w:ascii="Arial" w:hAnsi="Arial" w:cs="Arial"/>
          <w:spacing w:val="-7"/>
          <w:sz w:val="20"/>
          <w:szCs w:val="20"/>
        </w:rPr>
        <w:t xml:space="preserve"> </w:t>
      </w:r>
      <w:r>
        <w:rPr>
          <w:rFonts w:ascii="Arial" w:hAnsi="Arial" w:cs="Arial"/>
          <w:w w:val="94"/>
          <w:sz w:val="20"/>
          <w:szCs w:val="20"/>
        </w:rPr>
        <w:t>meet</w:t>
      </w:r>
      <w:r>
        <w:rPr>
          <w:rFonts w:ascii="Arial" w:hAnsi="Arial" w:cs="Arial"/>
          <w:spacing w:val="4"/>
          <w:sz w:val="20"/>
          <w:szCs w:val="20"/>
        </w:rPr>
        <w:t xml:space="preserve"> </w:t>
      </w:r>
      <w:r>
        <w:rPr>
          <w:rFonts w:ascii="Times New Roman" w:hAnsi="Times New Roman" w:cs="Times New Roman"/>
          <w:w w:val="86"/>
          <w:sz w:val="23"/>
          <w:szCs w:val="23"/>
        </w:rPr>
        <w:t>specific</w:t>
      </w:r>
      <w:r>
        <w:rPr>
          <w:rFonts w:ascii="Times New Roman" w:hAnsi="Times New Roman" w:cs="Times New Roman"/>
          <w:spacing w:val="-2"/>
          <w:sz w:val="23"/>
          <w:szCs w:val="23"/>
        </w:rPr>
        <w:t xml:space="preserve"> </w:t>
      </w:r>
      <w:r>
        <w:rPr>
          <w:rFonts w:ascii="Times New Roman" w:hAnsi="Times New Roman" w:cs="Times New Roman"/>
          <w:w w:val="72"/>
          <w:sz w:val="23"/>
          <w:szCs w:val="23"/>
        </w:rPr>
        <w:t>q</w:t>
      </w:r>
      <w:r>
        <w:rPr>
          <w:rFonts w:ascii="Times New Roman" w:hAnsi="Times New Roman" w:cs="Times New Roman"/>
          <w:w w:val="85"/>
          <w:sz w:val="23"/>
          <w:szCs w:val="23"/>
        </w:rPr>
        <w:t xml:space="preserve">ualifications, </w:t>
      </w:r>
      <w:r>
        <w:rPr>
          <w:rFonts w:ascii="Arial" w:hAnsi="Arial" w:cs="Arial"/>
          <w:spacing w:val="-33"/>
          <w:w w:val="149"/>
          <w:sz w:val="20"/>
          <w:szCs w:val="20"/>
        </w:rPr>
        <w:t>I</w:t>
      </w:r>
      <w:r>
        <w:rPr>
          <w:rFonts w:ascii="Arial" w:hAnsi="Arial" w:cs="Arial"/>
          <w:w w:val="97"/>
          <w:sz w:val="20"/>
          <w:szCs w:val="20"/>
        </w:rPr>
        <w:t>ncluding</w:t>
      </w:r>
      <w:r>
        <w:rPr>
          <w:rFonts w:ascii="Arial" w:hAnsi="Arial" w:cs="Arial"/>
          <w:spacing w:val="-16"/>
          <w:sz w:val="20"/>
          <w:szCs w:val="20"/>
        </w:rPr>
        <w:t xml:space="preserve"> </w:t>
      </w:r>
      <w:r>
        <w:rPr>
          <w:rFonts w:ascii="Arial" w:hAnsi="Arial" w:cs="Arial"/>
          <w:w w:val="95"/>
          <w:sz w:val="20"/>
          <w:szCs w:val="20"/>
        </w:rPr>
        <w:t>nec</w:t>
      </w:r>
      <w:r>
        <w:rPr>
          <w:rFonts w:ascii="Arial" w:hAnsi="Arial" w:cs="Arial"/>
          <w:spacing w:val="-21"/>
          <w:w w:val="95"/>
          <w:sz w:val="20"/>
          <w:szCs w:val="20"/>
        </w:rPr>
        <w:t>e</w:t>
      </w:r>
      <w:r>
        <w:rPr>
          <w:rFonts w:ascii="Arial" w:hAnsi="Arial" w:cs="Arial"/>
          <w:w w:val="87"/>
          <w:sz w:val="20"/>
          <w:szCs w:val="20"/>
        </w:rPr>
        <w:t>ssary</w:t>
      </w:r>
      <w:r>
        <w:rPr>
          <w:rFonts w:ascii="Arial" w:hAnsi="Arial" w:cs="Arial"/>
          <w:spacing w:val="13"/>
          <w:sz w:val="20"/>
          <w:szCs w:val="20"/>
        </w:rPr>
        <w:t xml:space="preserve"> </w:t>
      </w:r>
      <w:r>
        <w:rPr>
          <w:rFonts w:ascii="Arial" w:hAnsi="Arial" w:cs="Arial"/>
          <w:w w:val="114"/>
          <w:sz w:val="20"/>
          <w:szCs w:val="20"/>
        </w:rPr>
        <w:t>(</w:t>
      </w:r>
      <w:r>
        <w:rPr>
          <w:rFonts w:ascii="Arial" w:hAnsi="Arial" w:cs="Arial"/>
          <w:spacing w:val="-32"/>
          <w:w w:val="114"/>
          <w:sz w:val="20"/>
          <w:szCs w:val="20"/>
        </w:rPr>
        <w:t>1</w:t>
      </w:r>
      <w:r>
        <w:rPr>
          <w:rFonts w:ascii="Arial" w:hAnsi="Arial" w:cs="Arial"/>
          <w:w w:val="73"/>
          <w:sz w:val="20"/>
          <w:szCs w:val="20"/>
        </w:rPr>
        <w:t>)</w:t>
      </w:r>
      <w:r>
        <w:rPr>
          <w:rFonts w:ascii="Arial" w:hAnsi="Arial" w:cs="Arial"/>
          <w:spacing w:val="-19"/>
          <w:sz w:val="20"/>
          <w:szCs w:val="20"/>
        </w:rPr>
        <w:t xml:space="preserve"> </w:t>
      </w:r>
      <w:r>
        <w:rPr>
          <w:rFonts w:ascii="Arial" w:hAnsi="Arial" w:cs="Arial"/>
          <w:w w:val="105"/>
          <w:sz w:val="20"/>
          <w:szCs w:val="20"/>
        </w:rPr>
        <w:t>trai</w:t>
      </w:r>
      <w:r>
        <w:rPr>
          <w:rFonts w:ascii="Arial" w:hAnsi="Arial" w:cs="Arial"/>
          <w:w w:val="109"/>
          <w:sz w:val="20"/>
          <w:szCs w:val="20"/>
        </w:rPr>
        <w:t>n</w:t>
      </w:r>
      <w:r>
        <w:rPr>
          <w:rFonts w:ascii="Arial" w:hAnsi="Arial" w:cs="Arial"/>
          <w:spacing w:val="-13"/>
          <w:w w:val="109"/>
          <w:sz w:val="20"/>
          <w:szCs w:val="20"/>
        </w:rPr>
        <w:t>i</w:t>
      </w:r>
      <w:r>
        <w:rPr>
          <w:rFonts w:ascii="Arial" w:hAnsi="Arial" w:cs="Arial"/>
          <w:sz w:val="20"/>
          <w:szCs w:val="20"/>
        </w:rPr>
        <w:t>n</w:t>
      </w:r>
      <w:r>
        <w:rPr>
          <w:rFonts w:ascii="Arial" w:hAnsi="Arial" w:cs="Arial"/>
          <w:spacing w:val="-16"/>
          <w:sz w:val="20"/>
          <w:szCs w:val="20"/>
        </w:rPr>
        <w:t>g</w:t>
      </w:r>
      <w:r>
        <w:rPr>
          <w:rFonts w:ascii="Arial" w:hAnsi="Arial" w:cs="Arial"/>
          <w:spacing w:val="3"/>
          <w:w w:val="201"/>
          <w:sz w:val="20"/>
          <w:szCs w:val="20"/>
        </w:rPr>
        <w:t>,</w:t>
      </w:r>
      <w:r>
        <w:rPr>
          <w:rFonts w:ascii="Arial" w:hAnsi="Arial" w:cs="Arial"/>
          <w:w w:val="93"/>
          <w:sz w:val="20"/>
          <w:szCs w:val="20"/>
        </w:rPr>
        <w:t>(2)</w:t>
      </w:r>
      <w:r>
        <w:rPr>
          <w:rFonts w:ascii="Arial" w:hAnsi="Arial" w:cs="Arial"/>
          <w:spacing w:val="-12"/>
          <w:sz w:val="20"/>
          <w:szCs w:val="20"/>
        </w:rPr>
        <w:t xml:space="preserve"> </w:t>
      </w:r>
      <w:r>
        <w:rPr>
          <w:rFonts w:ascii="Arial" w:hAnsi="Arial" w:cs="Arial"/>
          <w:w w:val="124"/>
          <w:sz w:val="20"/>
          <w:szCs w:val="20"/>
        </w:rPr>
        <w:t>e</w:t>
      </w:r>
      <w:r w:rsidR="00B92FCC">
        <w:rPr>
          <w:rFonts w:ascii="Arial" w:hAnsi="Arial" w:cs="Arial"/>
          <w:spacing w:val="-14"/>
          <w:w w:val="124"/>
          <w:sz w:val="20"/>
          <w:szCs w:val="20"/>
        </w:rPr>
        <w:t>x</w:t>
      </w:r>
      <w:r>
        <w:rPr>
          <w:rFonts w:ascii="Arial" w:hAnsi="Arial" w:cs="Arial"/>
          <w:sz w:val="20"/>
          <w:szCs w:val="20"/>
        </w:rPr>
        <w:t>per</w:t>
      </w:r>
      <w:r>
        <w:rPr>
          <w:rFonts w:ascii="Arial" w:hAnsi="Arial" w:cs="Arial"/>
          <w:spacing w:val="-6"/>
          <w:sz w:val="20"/>
          <w:szCs w:val="20"/>
        </w:rPr>
        <w:t>i</w:t>
      </w:r>
      <w:r>
        <w:rPr>
          <w:rFonts w:ascii="Arial" w:hAnsi="Arial" w:cs="Arial"/>
          <w:w w:val="95"/>
          <w:sz w:val="20"/>
          <w:szCs w:val="20"/>
        </w:rPr>
        <w:t>ence</w:t>
      </w:r>
      <w:r>
        <w:rPr>
          <w:rFonts w:ascii="Arial" w:hAnsi="Arial" w:cs="Arial"/>
          <w:spacing w:val="-4"/>
          <w:sz w:val="20"/>
          <w:szCs w:val="20"/>
        </w:rPr>
        <w:t xml:space="preserve"> </w:t>
      </w:r>
      <w:r>
        <w:rPr>
          <w:rFonts w:ascii="Arial" w:hAnsi="Arial" w:cs="Arial"/>
          <w:w w:val="68"/>
          <w:sz w:val="20"/>
          <w:szCs w:val="20"/>
        </w:rPr>
        <w:t>a11d</w:t>
      </w:r>
      <w:r>
        <w:rPr>
          <w:rFonts w:ascii="Arial" w:hAnsi="Arial" w:cs="Arial"/>
          <w:spacing w:val="-3"/>
          <w:sz w:val="20"/>
          <w:szCs w:val="20"/>
        </w:rPr>
        <w:t xml:space="preserve"> </w:t>
      </w:r>
      <w:r>
        <w:rPr>
          <w:rFonts w:ascii="Arial" w:hAnsi="Arial" w:cs="Arial"/>
          <w:w w:val="90"/>
          <w:sz w:val="20"/>
          <w:szCs w:val="20"/>
        </w:rPr>
        <w:t>(3)</w:t>
      </w:r>
      <w:r>
        <w:rPr>
          <w:rFonts w:ascii="Arial" w:hAnsi="Arial" w:cs="Arial"/>
          <w:spacing w:val="-12"/>
          <w:sz w:val="20"/>
          <w:szCs w:val="20"/>
        </w:rPr>
        <w:t xml:space="preserve"> </w:t>
      </w:r>
      <w:r>
        <w:rPr>
          <w:rFonts w:ascii="Arial" w:hAnsi="Arial" w:cs="Arial"/>
          <w:w w:val="94"/>
          <w:sz w:val="20"/>
          <w:szCs w:val="20"/>
        </w:rPr>
        <w:t>expertise</w:t>
      </w:r>
      <w:r>
        <w:rPr>
          <w:rFonts w:ascii="Arial" w:hAnsi="Arial" w:cs="Arial"/>
          <w:spacing w:val="1"/>
          <w:sz w:val="20"/>
          <w:szCs w:val="20"/>
        </w:rPr>
        <w:t xml:space="preserve"> </w:t>
      </w:r>
      <w:r>
        <w:rPr>
          <w:rFonts w:ascii="Arial" w:hAnsi="Arial" w:cs="Arial"/>
          <w:spacing w:val="-40"/>
          <w:w w:val="202"/>
          <w:sz w:val="20"/>
          <w:szCs w:val="20"/>
        </w:rPr>
        <w:t>i</w:t>
      </w:r>
      <w:r>
        <w:rPr>
          <w:rFonts w:ascii="Arial" w:hAnsi="Arial" w:cs="Arial"/>
          <w:w w:val="108"/>
          <w:sz w:val="20"/>
          <w:szCs w:val="20"/>
        </w:rPr>
        <w:t>n</w:t>
      </w:r>
      <w:r>
        <w:rPr>
          <w:rFonts w:ascii="Arial" w:hAnsi="Arial" w:cs="Arial"/>
          <w:spacing w:val="-26"/>
          <w:sz w:val="20"/>
          <w:szCs w:val="20"/>
        </w:rPr>
        <w:t xml:space="preserve"> </w:t>
      </w:r>
      <w:r>
        <w:rPr>
          <w:rFonts w:ascii="Arial" w:hAnsi="Arial" w:cs="Arial"/>
          <w:w w:val="99"/>
          <w:sz w:val="20"/>
          <w:szCs w:val="20"/>
        </w:rPr>
        <w:t>working</w:t>
      </w:r>
      <w:r>
        <w:rPr>
          <w:rFonts w:ascii="Arial" w:hAnsi="Arial" w:cs="Arial"/>
          <w:spacing w:val="-18"/>
          <w:sz w:val="20"/>
          <w:szCs w:val="20"/>
        </w:rPr>
        <w:t xml:space="preserve"> </w:t>
      </w:r>
      <w:r>
        <w:rPr>
          <w:rFonts w:ascii="Arial" w:hAnsi="Arial" w:cs="Arial"/>
          <w:w w:val="105"/>
          <w:sz w:val="20"/>
          <w:szCs w:val="20"/>
        </w:rPr>
        <w:t>with</w:t>
      </w:r>
      <w:r>
        <w:rPr>
          <w:rFonts w:ascii="Arial" w:hAnsi="Arial" w:cs="Arial"/>
          <w:spacing w:val="6"/>
          <w:sz w:val="20"/>
          <w:szCs w:val="20"/>
        </w:rPr>
        <w:t xml:space="preserve"> </w:t>
      </w:r>
      <w:r>
        <w:rPr>
          <w:rFonts w:ascii="Arial" w:hAnsi="Arial" w:cs="Arial"/>
          <w:w w:val="97"/>
          <w:sz w:val="20"/>
          <w:szCs w:val="20"/>
        </w:rPr>
        <w:t>peop</w:t>
      </w:r>
      <w:r>
        <w:rPr>
          <w:rFonts w:ascii="Arial" w:hAnsi="Arial" w:cs="Arial"/>
          <w:spacing w:val="-5"/>
          <w:w w:val="97"/>
          <w:sz w:val="20"/>
          <w:szCs w:val="20"/>
        </w:rPr>
        <w:t>l</w:t>
      </w:r>
      <w:r>
        <w:rPr>
          <w:rFonts w:ascii="Arial" w:hAnsi="Arial" w:cs="Arial"/>
          <w:w w:val="95"/>
          <w:sz w:val="20"/>
          <w:szCs w:val="20"/>
        </w:rPr>
        <w:t>e</w:t>
      </w:r>
      <w:r>
        <w:rPr>
          <w:rFonts w:ascii="Arial" w:hAnsi="Arial" w:cs="Arial"/>
          <w:spacing w:val="-19"/>
          <w:sz w:val="20"/>
          <w:szCs w:val="20"/>
        </w:rPr>
        <w:t xml:space="preserve"> </w:t>
      </w:r>
      <w:r>
        <w:rPr>
          <w:rFonts w:ascii="Arial" w:hAnsi="Arial" w:cs="Arial"/>
          <w:sz w:val="20"/>
          <w:szCs w:val="20"/>
        </w:rPr>
        <w:t xml:space="preserve">with </w:t>
      </w:r>
      <w:r>
        <w:rPr>
          <w:rFonts w:ascii="Arial" w:hAnsi="Arial" w:cs="Arial"/>
          <w:w w:val="104"/>
          <w:sz w:val="20"/>
          <w:szCs w:val="20"/>
        </w:rPr>
        <w:t>d</w:t>
      </w:r>
      <w:r w:rsidR="00B92FCC">
        <w:rPr>
          <w:rFonts w:ascii="Arial" w:hAnsi="Arial" w:cs="Arial"/>
          <w:spacing w:val="-13"/>
          <w:w w:val="104"/>
          <w:sz w:val="20"/>
          <w:szCs w:val="20"/>
        </w:rPr>
        <w:t>i</w:t>
      </w:r>
      <w:r w:rsidR="00B92FCC">
        <w:rPr>
          <w:rFonts w:ascii="Arial" w:hAnsi="Arial" w:cs="Arial"/>
          <w:w w:val="91"/>
          <w:sz w:val="20"/>
          <w:szCs w:val="20"/>
        </w:rPr>
        <w:t>sabilities</w:t>
      </w:r>
      <w:r>
        <w:rPr>
          <w:rFonts w:ascii="Arial" w:hAnsi="Arial" w:cs="Arial"/>
          <w:spacing w:val="-13"/>
          <w:sz w:val="20"/>
          <w:szCs w:val="20"/>
        </w:rPr>
        <w:t xml:space="preserve"> </w:t>
      </w:r>
      <w:r>
        <w:rPr>
          <w:rFonts w:ascii="Arial" w:hAnsi="Arial" w:cs="Arial"/>
          <w:w w:val="101"/>
          <w:sz w:val="20"/>
          <w:szCs w:val="20"/>
        </w:rPr>
        <w:t>and/or</w:t>
      </w:r>
      <w:r>
        <w:rPr>
          <w:rFonts w:ascii="Arial" w:hAnsi="Arial" w:cs="Arial"/>
          <w:spacing w:val="-1"/>
          <w:sz w:val="20"/>
          <w:szCs w:val="20"/>
        </w:rPr>
        <w:t xml:space="preserve"> </w:t>
      </w:r>
      <w:r>
        <w:rPr>
          <w:rFonts w:ascii="Arial" w:hAnsi="Arial" w:cs="Arial"/>
          <w:w w:val="99"/>
          <w:sz w:val="20"/>
          <w:szCs w:val="20"/>
        </w:rPr>
        <w:t>e</w:t>
      </w:r>
      <w:r>
        <w:rPr>
          <w:rFonts w:ascii="Arial" w:hAnsi="Arial" w:cs="Arial"/>
          <w:spacing w:val="-5"/>
          <w:w w:val="99"/>
          <w:sz w:val="20"/>
          <w:szCs w:val="20"/>
        </w:rPr>
        <w:t>l</w:t>
      </w:r>
      <w:r>
        <w:rPr>
          <w:rFonts w:ascii="Arial" w:hAnsi="Arial" w:cs="Arial"/>
          <w:w w:val="89"/>
          <w:sz w:val="20"/>
          <w:szCs w:val="20"/>
        </w:rPr>
        <w:t>ders</w:t>
      </w:r>
      <w:r>
        <w:rPr>
          <w:rFonts w:ascii="Arial" w:hAnsi="Arial" w:cs="Arial"/>
          <w:spacing w:val="-10"/>
          <w:sz w:val="20"/>
          <w:szCs w:val="20"/>
        </w:rPr>
        <w:t xml:space="preserve"> </w:t>
      </w:r>
      <w:r>
        <w:rPr>
          <w:rFonts w:ascii="Arial" w:hAnsi="Arial" w:cs="Arial"/>
          <w:spacing w:val="-46"/>
          <w:w w:val="186"/>
          <w:sz w:val="20"/>
          <w:szCs w:val="20"/>
        </w:rPr>
        <w:t>I</w:t>
      </w:r>
      <w:r>
        <w:rPr>
          <w:rFonts w:ascii="Arial" w:hAnsi="Arial" w:cs="Arial"/>
          <w:w w:val="108"/>
          <w:sz w:val="20"/>
          <w:szCs w:val="20"/>
        </w:rPr>
        <w:t>n</w:t>
      </w:r>
      <w:r>
        <w:rPr>
          <w:rFonts w:ascii="Arial" w:hAnsi="Arial" w:cs="Arial"/>
          <w:spacing w:val="-19"/>
          <w:sz w:val="20"/>
          <w:szCs w:val="20"/>
        </w:rPr>
        <w:t xml:space="preserve"> </w:t>
      </w:r>
      <w:r>
        <w:rPr>
          <w:rFonts w:ascii="Arial" w:hAnsi="Arial" w:cs="Arial"/>
          <w:w w:val="99"/>
          <w:sz w:val="20"/>
          <w:szCs w:val="20"/>
        </w:rPr>
        <w:t>need</w:t>
      </w:r>
      <w:r>
        <w:rPr>
          <w:rFonts w:ascii="Arial" w:hAnsi="Arial" w:cs="Arial"/>
          <w:spacing w:val="-26"/>
          <w:sz w:val="20"/>
          <w:szCs w:val="20"/>
        </w:rPr>
        <w:t xml:space="preserve"> </w:t>
      </w:r>
      <w:r>
        <w:rPr>
          <w:rFonts w:ascii="Arial" w:hAnsi="Arial" w:cs="Arial"/>
          <w:w w:val="109"/>
          <w:sz w:val="20"/>
          <w:szCs w:val="20"/>
        </w:rPr>
        <w:t>of</w:t>
      </w:r>
      <w:r>
        <w:rPr>
          <w:rFonts w:ascii="Arial" w:hAnsi="Arial" w:cs="Arial"/>
          <w:spacing w:val="-14"/>
          <w:sz w:val="20"/>
          <w:szCs w:val="20"/>
        </w:rPr>
        <w:t xml:space="preserve"> </w:t>
      </w:r>
      <w:r>
        <w:rPr>
          <w:rFonts w:ascii="Arial" w:hAnsi="Arial" w:cs="Arial"/>
          <w:spacing w:val="-53"/>
          <w:w w:val="202"/>
          <w:sz w:val="20"/>
          <w:szCs w:val="20"/>
        </w:rPr>
        <w:t>i</w:t>
      </w:r>
      <w:r>
        <w:rPr>
          <w:rFonts w:ascii="Arial" w:hAnsi="Arial" w:cs="Arial"/>
          <w:w w:val="97"/>
          <w:sz w:val="20"/>
          <w:szCs w:val="20"/>
        </w:rPr>
        <w:t>ndependent</w:t>
      </w:r>
      <w:r>
        <w:rPr>
          <w:rFonts w:ascii="Arial" w:hAnsi="Arial" w:cs="Arial"/>
          <w:spacing w:val="10"/>
          <w:sz w:val="20"/>
          <w:szCs w:val="20"/>
        </w:rPr>
        <w:t xml:space="preserve"> </w:t>
      </w:r>
      <w:r>
        <w:rPr>
          <w:rFonts w:ascii="Arial" w:hAnsi="Arial" w:cs="Arial"/>
          <w:spacing w:val="-34"/>
          <w:w w:val="161"/>
          <w:sz w:val="20"/>
          <w:szCs w:val="20"/>
        </w:rPr>
        <w:t>l</w:t>
      </w:r>
      <w:r>
        <w:rPr>
          <w:rFonts w:ascii="Arial" w:hAnsi="Arial" w:cs="Arial"/>
          <w:spacing w:val="-53"/>
          <w:w w:val="202"/>
          <w:sz w:val="20"/>
          <w:szCs w:val="20"/>
        </w:rPr>
        <w:t>i</w:t>
      </w:r>
      <w:r>
        <w:rPr>
          <w:rFonts w:ascii="Arial" w:hAnsi="Arial" w:cs="Arial"/>
          <w:w w:val="98"/>
          <w:sz w:val="20"/>
          <w:szCs w:val="20"/>
        </w:rPr>
        <w:t>v</w:t>
      </w:r>
      <w:r>
        <w:rPr>
          <w:rFonts w:ascii="Arial" w:hAnsi="Arial" w:cs="Arial"/>
          <w:spacing w:val="-7"/>
          <w:w w:val="98"/>
          <w:sz w:val="20"/>
          <w:szCs w:val="20"/>
        </w:rPr>
        <w:t>i</w:t>
      </w:r>
      <w:r>
        <w:rPr>
          <w:rFonts w:ascii="Arial" w:hAnsi="Arial" w:cs="Arial"/>
          <w:sz w:val="20"/>
          <w:szCs w:val="20"/>
        </w:rPr>
        <w:t>ng</w:t>
      </w:r>
      <w:r>
        <w:rPr>
          <w:rFonts w:ascii="Arial" w:hAnsi="Arial" w:cs="Arial"/>
          <w:spacing w:val="-29"/>
          <w:sz w:val="20"/>
          <w:szCs w:val="20"/>
        </w:rPr>
        <w:t xml:space="preserve"> </w:t>
      </w:r>
      <w:r>
        <w:rPr>
          <w:rFonts w:ascii="Arial" w:hAnsi="Arial" w:cs="Arial"/>
          <w:w w:val="95"/>
          <w:sz w:val="20"/>
          <w:szCs w:val="20"/>
        </w:rPr>
        <w:t>s</w:t>
      </w:r>
      <w:r>
        <w:rPr>
          <w:rFonts w:ascii="Arial" w:hAnsi="Arial" w:cs="Arial"/>
          <w:spacing w:val="-9"/>
          <w:w w:val="95"/>
          <w:sz w:val="20"/>
          <w:szCs w:val="20"/>
        </w:rPr>
        <w:t>u</w:t>
      </w:r>
      <w:r>
        <w:rPr>
          <w:rFonts w:ascii="Arial" w:hAnsi="Arial" w:cs="Arial"/>
          <w:w w:val="97"/>
          <w:sz w:val="20"/>
          <w:szCs w:val="20"/>
        </w:rPr>
        <w:t>pports</w:t>
      </w:r>
      <w:r>
        <w:rPr>
          <w:rFonts w:ascii="Arial" w:hAnsi="Arial" w:cs="Arial"/>
          <w:spacing w:val="-10"/>
          <w:sz w:val="20"/>
          <w:szCs w:val="20"/>
        </w:rPr>
        <w:t xml:space="preserve"> </w:t>
      </w:r>
      <w:r>
        <w:rPr>
          <w:rFonts w:ascii="Arial" w:hAnsi="Arial" w:cs="Arial"/>
          <w:w w:val="96"/>
          <w:sz w:val="20"/>
          <w:szCs w:val="20"/>
        </w:rPr>
        <w:t>and</w:t>
      </w:r>
      <w:r>
        <w:rPr>
          <w:rFonts w:ascii="Arial" w:hAnsi="Arial" w:cs="Arial"/>
          <w:spacing w:val="-5"/>
          <w:sz w:val="20"/>
          <w:szCs w:val="20"/>
        </w:rPr>
        <w:t xml:space="preserve"> </w:t>
      </w:r>
      <w:r>
        <w:rPr>
          <w:rFonts w:ascii="Arial" w:hAnsi="Arial" w:cs="Arial"/>
          <w:w w:val="81"/>
          <w:sz w:val="20"/>
          <w:szCs w:val="20"/>
        </w:rPr>
        <w:t>LT5</w:t>
      </w:r>
      <w:r>
        <w:rPr>
          <w:rFonts w:ascii="Arial" w:hAnsi="Arial" w:cs="Arial"/>
          <w:spacing w:val="-11"/>
          <w:w w:val="81"/>
          <w:sz w:val="20"/>
          <w:szCs w:val="20"/>
        </w:rPr>
        <w:t>S</w:t>
      </w:r>
      <w:r>
        <w:rPr>
          <w:rFonts w:ascii="Arial" w:hAnsi="Arial" w:cs="Arial"/>
          <w:spacing w:val="-30"/>
          <w:w w:val="235"/>
          <w:sz w:val="20"/>
          <w:szCs w:val="20"/>
        </w:rPr>
        <w:t>,</w:t>
      </w:r>
      <w:r>
        <w:rPr>
          <w:rFonts w:ascii="Arial" w:hAnsi="Arial" w:cs="Arial"/>
          <w:w w:val="94"/>
          <w:sz w:val="20"/>
          <w:szCs w:val="20"/>
        </w:rPr>
        <w:t>and</w:t>
      </w:r>
      <w:r>
        <w:rPr>
          <w:rFonts w:ascii="Arial" w:hAnsi="Arial" w:cs="Arial"/>
          <w:spacing w:val="-6"/>
          <w:sz w:val="20"/>
          <w:szCs w:val="20"/>
        </w:rPr>
        <w:t xml:space="preserve"> </w:t>
      </w:r>
      <w:r>
        <w:rPr>
          <w:rFonts w:ascii="Arial" w:hAnsi="Arial" w:cs="Arial"/>
          <w:w w:val="87"/>
          <w:sz w:val="20"/>
          <w:szCs w:val="20"/>
        </w:rPr>
        <w:t>a</w:t>
      </w:r>
      <w:r>
        <w:rPr>
          <w:rFonts w:ascii="Arial" w:hAnsi="Arial" w:cs="Arial"/>
          <w:spacing w:val="-10"/>
          <w:sz w:val="20"/>
          <w:szCs w:val="20"/>
        </w:rPr>
        <w:t xml:space="preserve"> </w:t>
      </w:r>
      <w:r>
        <w:rPr>
          <w:rFonts w:ascii="Arial" w:hAnsi="Arial" w:cs="Arial"/>
          <w:w w:val="96"/>
          <w:sz w:val="20"/>
          <w:szCs w:val="20"/>
        </w:rPr>
        <w:t>thorough</w:t>
      </w:r>
      <w:r>
        <w:rPr>
          <w:rFonts w:ascii="Arial" w:hAnsi="Arial" w:cs="Arial"/>
          <w:spacing w:val="14"/>
          <w:sz w:val="20"/>
          <w:szCs w:val="20"/>
        </w:rPr>
        <w:t xml:space="preserve"> </w:t>
      </w:r>
      <w:r>
        <w:rPr>
          <w:rFonts w:ascii="Arial" w:hAnsi="Arial" w:cs="Arial"/>
          <w:w w:val="97"/>
          <w:sz w:val="20"/>
          <w:szCs w:val="20"/>
        </w:rPr>
        <w:t>know</w:t>
      </w:r>
      <w:r>
        <w:rPr>
          <w:rFonts w:ascii="Arial" w:hAnsi="Arial" w:cs="Arial"/>
          <w:spacing w:val="-5"/>
          <w:w w:val="97"/>
          <w:sz w:val="20"/>
          <w:szCs w:val="20"/>
        </w:rPr>
        <w:t>l</w:t>
      </w:r>
      <w:r>
        <w:rPr>
          <w:rFonts w:ascii="Arial" w:hAnsi="Arial" w:cs="Arial"/>
          <w:w w:val="91"/>
          <w:sz w:val="20"/>
          <w:szCs w:val="20"/>
        </w:rPr>
        <w:t>edge</w:t>
      </w:r>
    </w:p>
    <w:p w:rsidR="002C5025" w:rsidRDefault="002C5025">
      <w:pPr>
        <w:pStyle w:val="BodyText"/>
        <w:kinsoku w:val="0"/>
        <w:overflowPunct w:val="0"/>
        <w:spacing w:line="261" w:lineRule="exact"/>
        <w:ind w:left="131" w:right="224" w:hanging="8"/>
        <w:rPr>
          <w:rFonts w:ascii="Arial" w:hAnsi="Arial" w:cs="Arial"/>
          <w:sz w:val="20"/>
          <w:szCs w:val="20"/>
        </w:rPr>
      </w:pPr>
      <w:r>
        <w:rPr>
          <w:rFonts w:ascii="Arial" w:hAnsi="Arial" w:cs="Arial"/>
          <w:sz w:val="20"/>
          <w:szCs w:val="20"/>
        </w:rPr>
        <w:t>of</w:t>
      </w:r>
      <w:r>
        <w:rPr>
          <w:rFonts w:ascii="Arial" w:hAnsi="Arial" w:cs="Arial"/>
          <w:spacing w:val="-39"/>
          <w:sz w:val="20"/>
          <w:szCs w:val="20"/>
        </w:rPr>
        <w:t xml:space="preserve"> </w:t>
      </w:r>
      <w:r>
        <w:rPr>
          <w:rFonts w:ascii="Arial" w:hAnsi="Arial" w:cs="Arial"/>
          <w:sz w:val="20"/>
          <w:szCs w:val="20"/>
        </w:rPr>
        <w:t>the</w:t>
      </w:r>
      <w:r>
        <w:rPr>
          <w:rFonts w:ascii="Arial" w:hAnsi="Arial" w:cs="Arial"/>
          <w:spacing w:val="-38"/>
          <w:sz w:val="20"/>
          <w:szCs w:val="20"/>
        </w:rPr>
        <w:t xml:space="preserve"> </w:t>
      </w:r>
      <w:r>
        <w:rPr>
          <w:rFonts w:ascii="Arial" w:hAnsi="Arial" w:cs="Arial"/>
          <w:sz w:val="20"/>
          <w:szCs w:val="20"/>
        </w:rPr>
        <w:t>home</w:t>
      </w:r>
      <w:r>
        <w:rPr>
          <w:rFonts w:ascii="Arial" w:hAnsi="Arial" w:cs="Arial"/>
          <w:spacing w:val="-40"/>
          <w:sz w:val="20"/>
          <w:szCs w:val="20"/>
        </w:rPr>
        <w:t xml:space="preserve"> </w:t>
      </w:r>
      <w:r>
        <w:rPr>
          <w:rFonts w:ascii="Arial" w:hAnsi="Arial" w:cs="Arial"/>
          <w:sz w:val="20"/>
          <w:szCs w:val="20"/>
        </w:rPr>
        <w:t>and</w:t>
      </w:r>
      <w:r>
        <w:rPr>
          <w:rFonts w:ascii="Arial" w:hAnsi="Arial" w:cs="Arial"/>
          <w:spacing w:val="-40"/>
          <w:sz w:val="20"/>
          <w:szCs w:val="20"/>
        </w:rPr>
        <w:t xml:space="preserve"> </w:t>
      </w:r>
      <w:r>
        <w:rPr>
          <w:rFonts w:ascii="Arial" w:hAnsi="Arial" w:cs="Arial"/>
          <w:sz w:val="19"/>
          <w:szCs w:val="19"/>
        </w:rPr>
        <w:t>community-based</w:t>
      </w:r>
      <w:r>
        <w:rPr>
          <w:rFonts w:ascii="Arial" w:hAnsi="Arial" w:cs="Arial"/>
          <w:spacing w:val="-25"/>
          <w:sz w:val="19"/>
          <w:szCs w:val="19"/>
        </w:rPr>
        <w:t xml:space="preserve"> </w:t>
      </w:r>
      <w:r>
        <w:rPr>
          <w:rFonts w:ascii="Arial" w:hAnsi="Arial" w:cs="Arial"/>
          <w:sz w:val="20"/>
          <w:szCs w:val="20"/>
        </w:rPr>
        <w:t>service</w:t>
      </w:r>
      <w:r>
        <w:rPr>
          <w:rFonts w:ascii="Arial" w:hAnsi="Arial" w:cs="Arial"/>
          <w:spacing w:val="-33"/>
          <w:sz w:val="20"/>
          <w:szCs w:val="20"/>
        </w:rPr>
        <w:t xml:space="preserve"> </w:t>
      </w:r>
      <w:r>
        <w:rPr>
          <w:rFonts w:ascii="Arial" w:hAnsi="Arial" w:cs="Arial"/>
          <w:sz w:val="20"/>
          <w:szCs w:val="20"/>
        </w:rPr>
        <w:t>system.</w:t>
      </w:r>
      <w:r>
        <w:rPr>
          <w:rFonts w:ascii="Arial" w:hAnsi="Arial" w:cs="Arial"/>
          <w:spacing w:val="-19"/>
          <w:sz w:val="20"/>
          <w:szCs w:val="20"/>
        </w:rPr>
        <w:t xml:space="preserve"> </w:t>
      </w:r>
      <w:r>
        <w:rPr>
          <w:rFonts w:ascii="Arial" w:hAnsi="Arial" w:cs="Arial"/>
          <w:sz w:val="20"/>
          <w:szCs w:val="20"/>
        </w:rPr>
        <w:t>ACOs</w:t>
      </w:r>
      <w:r>
        <w:rPr>
          <w:rFonts w:ascii="Arial" w:hAnsi="Arial" w:cs="Arial"/>
          <w:spacing w:val="-34"/>
          <w:sz w:val="20"/>
          <w:szCs w:val="20"/>
        </w:rPr>
        <w:t xml:space="preserve"> </w:t>
      </w:r>
      <w:r>
        <w:rPr>
          <w:rFonts w:ascii="Arial" w:hAnsi="Arial" w:cs="Arial"/>
          <w:sz w:val="20"/>
          <w:szCs w:val="20"/>
        </w:rPr>
        <w:t>will</w:t>
      </w:r>
      <w:r>
        <w:rPr>
          <w:rFonts w:ascii="Arial" w:hAnsi="Arial" w:cs="Arial"/>
          <w:spacing w:val="-38"/>
          <w:sz w:val="20"/>
          <w:szCs w:val="20"/>
        </w:rPr>
        <w:t xml:space="preserve"> </w:t>
      </w:r>
      <w:r>
        <w:rPr>
          <w:rFonts w:ascii="Arial" w:hAnsi="Arial" w:cs="Arial"/>
          <w:sz w:val="20"/>
          <w:szCs w:val="20"/>
        </w:rPr>
        <w:t>need</w:t>
      </w:r>
      <w:r>
        <w:rPr>
          <w:rFonts w:ascii="Arial" w:hAnsi="Arial" w:cs="Arial"/>
          <w:spacing w:val="-37"/>
          <w:sz w:val="20"/>
          <w:szCs w:val="20"/>
        </w:rPr>
        <w:t xml:space="preserve"> </w:t>
      </w:r>
      <w:r>
        <w:rPr>
          <w:rFonts w:ascii="Arial" w:hAnsi="Arial" w:cs="Arial"/>
          <w:sz w:val="20"/>
          <w:szCs w:val="20"/>
        </w:rPr>
        <w:t>to</w:t>
      </w:r>
      <w:r>
        <w:rPr>
          <w:rFonts w:ascii="Arial" w:hAnsi="Arial" w:cs="Arial"/>
          <w:spacing w:val="-38"/>
          <w:sz w:val="20"/>
          <w:szCs w:val="20"/>
        </w:rPr>
        <w:t xml:space="preserve"> </w:t>
      </w:r>
      <w:r>
        <w:rPr>
          <w:rFonts w:ascii="Arial" w:hAnsi="Arial" w:cs="Arial"/>
          <w:sz w:val="19"/>
          <w:szCs w:val="19"/>
        </w:rPr>
        <w:t>verify</w:t>
      </w:r>
      <w:r w:rsidR="00B92FCC">
        <w:rPr>
          <w:rFonts w:ascii="Arial" w:hAnsi="Arial" w:cs="Arial"/>
          <w:sz w:val="19"/>
          <w:szCs w:val="19"/>
        </w:rPr>
        <w:t xml:space="preserve"> </w:t>
      </w:r>
      <w:r>
        <w:rPr>
          <w:rFonts w:ascii="Arial" w:hAnsi="Arial" w:cs="Arial"/>
          <w:spacing w:val="-36"/>
          <w:sz w:val="19"/>
          <w:szCs w:val="19"/>
        </w:rPr>
        <w:t xml:space="preserve"> </w:t>
      </w:r>
      <w:r w:rsidR="00B92FCC">
        <w:rPr>
          <w:rFonts w:ascii="Arial" w:hAnsi="Arial" w:cs="Arial"/>
          <w:sz w:val="20"/>
          <w:szCs w:val="20"/>
        </w:rPr>
        <w:t>th</w:t>
      </w:r>
      <w:r>
        <w:rPr>
          <w:rFonts w:ascii="Arial" w:hAnsi="Arial" w:cs="Arial"/>
          <w:sz w:val="20"/>
          <w:szCs w:val="20"/>
        </w:rPr>
        <w:t>at</w:t>
      </w:r>
      <w:r>
        <w:rPr>
          <w:rFonts w:ascii="Arial" w:hAnsi="Arial" w:cs="Arial"/>
          <w:spacing w:val="-34"/>
          <w:sz w:val="20"/>
          <w:szCs w:val="20"/>
        </w:rPr>
        <w:t xml:space="preserve"> </w:t>
      </w:r>
      <w:proofErr w:type="spellStart"/>
      <w:r>
        <w:rPr>
          <w:rFonts w:ascii="Times New Roman" w:hAnsi="Times New Roman" w:cs="Times New Roman"/>
          <w:sz w:val="32"/>
          <w:szCs w:val="32"/>
        </w:rPr>
        <w:t>ce.os</w:t>
      </w:r>
      <w:proofErr w:type="spellEnd"/>
      <w:r>
        <w:rPr>
          <w:rFonts w:ascii="Times New Roman" w:hAnsi="Times New Roman" w:cs="Times New Roman"/>
          <w:spacing w:val="-60"/>
          <w:sz w:val="32"/>
          <w:szCs w:val="32"/>
        </w:rPr>
        <w:t xml:space="preserve"> </w:t>
      </w:r>
      <w:r>
        <w:rPr>
          <w:rFonts w:ascii="Arial" w:hAnsi="Arial" w:cs="Arial"/>
          <w:sz w:val="20"/>
          <w:szCs w:val="20"/>
        </w:rPr>
        <w:t>providing</w:t>
      </w:r>
      <w:r>
        <w:rPr>
          <w:rFonts w:ascii="Arial" w:hAnsi="Arial" w:cs="Arial"/>
          <w:spacing w:val="-44"/>
          <w:sz w:val="20"/>
          <w:szCs w:val="20"/>
        </w:rPr>
        <w:t xml:space="preserve"> </w:t>
      </w:r>
      <w:r>
        <w:rPr>
          <w:rFonts w:ascii="Arial" w:hAnsi="Arial" w:cs="Arial"/>
          <w:sz w:val="20"/>
          <w:szCs w:val="20"/>
        </w:rPr>
        <w:t>LTSS</w:t>
      </w:r>
    </w:p>
    <w:p w:rsidR="002C5025" w:rsidRDefault="002C5025">
      <w:pPr>
        <w:pStyle w:val="BodyText"/>
        <w:kinsoku w:val="0"/>
        <w:overflowPunct w:val="0"/>
        <w:spacing w:before="2" w:line="266" w:lineRule="auto"/>
        <w:ind w:left="124" w:right="210" w:firstLine="7"/>
        <w:rPr>
          <w:rFonts w:ascii="Arial" w:hAnsi="Arial" w:cs="Arial"/>
          <w:w w:val="105"/>
          <w:sz w:val="20"/>
          <w:szCs w:val="20"/>
        </w:rPr>
      </w:pPr>
      <w:r>
        <w:rPr>
          <w:rFonts w:ascii="Arial" w:hAnsi="Arial" w:cs="Arial"/>
          <w:w w:val="102"/>
          <w:sz w:val="19"/>
          <w:szCs w:val="19"/>
        </w:rPr>
        <w:t xml:space="preserve">Coordinators </w:t>
      </w:r>
      <w:r>
        <w:rPr>
          <w:rFonts w:ascii="Arial" w:hAnsi="Arial" w:cs="Arial"/>
          <w:sz w:val="19"/>
          <w:szCs w:val="19"/>
        </w:rPr>
        <w:t xml:space="preserve">are </w:t>
      </w:r>
      <w:r>
        <w:rPr>
          <w:rFonts w:ascii="Arial" w:hAnsi="Arial" w:cs="Arial"/>
          <w:w w:val="109"/>
          <w:sz w:val="19"/>
          <w:szCs w:val="19"/>
        </w:rPr>
        <w:t xml:space="preserve">not </w:t>
      </w:r>
      <w:r>
        <w:rPr>
          <w:rFonts w:ascii="Arial" w:hAnsi="Arial" w:cs="Arial"/>
          <w:spacing w:val="-1"/>
          <w:w w:val="102"/>
          <w:sz w:val="19"/>
          <w:szCs w:val="19"/>
        </w:rPr>
        <w:t xml:space="preserve">providers </w:t>
      </w:r>
      <w:r>
        <w:rPr>
          <w:rFonts w:ascii="Arial" w:hAnsi="Arial" w:cs="Arial"/>
          <w:w w:val="106"/>
          <w:sz w:val="19"/>
          <w:szCs w:val="19"/>
        </w:rPr>
        <w:t xml:space="preserve">of other </w:t>
      </w:r>
      <w:r w:rsidR="00B92FCC">
        <w:rPr>
          <w:rFonts w:ascii="Times New Roman" w:hAnsi="Times New Roman" w:cs="Times New Roman"/>
          <w:spacing w:val="-3"/>
          <w:w w:val="113"/>
          <w:sz w:val="20"/>
          <w:szCs w:val="20"/>
        </w:rPr>
        <w:t>ser</w:t>
      </w:r>
      <w:r>
        <w:rPr>
          <w:rFonts w:ascii="Times New Roman" w:hAnsi="Times New Roman" w:cs="Times New Roman"/>
          <w:spacing w:val="-3"/>
          <w:w w:val="113"/>
          <w:sz w:val="20"/>
          <w:szCs w:val="20"/>
        </w:rPr>
        <w:t xml:space="preserve">vices </w:t>
      </w:r>
      <w:r>
        <w:rPr>
          <w:rFonts w:ascii="Arial" w:hAnsi="Arial" w:cs="Arial"/>
          <w:w w:val="95"/>
          <w:sz w:val="19"/>
          <w:szCs w:val="19"/>
        </w:rPr>
        <w:t xml:space="preserve">covered </w:t>
      </w:r>
      <w:r>
        <w:rPr>
          <w:rFonts w:ascii="Times New Roman" w:hAnsi="Times New Roman" w:cs="Times New Roman"/>
          <w:w w:val="96"/>
          <w:sz w:val="20"/>
          <w:szCs w:val="20"/>
        </w:rPr>
        <w:t xml:space="preserve">by </w:t>
      </w:r>
      <w:r>
        <w:rPr>
          <w:rFonts w:ascii="Times New Roman" w:hAnsi="Times New Roman" w:cs="Times New Roman"/>
          <w:w w:val="116"/>
          <w:sz w:val="20"/>
          <w:szCs w:val="20"/>
        </w:rPr>
        <w:t xml:space="preserve">the </w:t>
      </w:r>
      <w:r>
        <w:rPr>
          <w:rFonts w:ascii="Arial" w:hAnsi="Arial" w:cs="Arial"/>
          <w:spacing w:val="-1"/>
          <w:w w:val="103"/>
          <w:sz w:val="19"/>
          <w:szCs w:val="19"/>
        </w:rPr>
        <w:t xml:space="preserve">Demonstration </w:t>
      </w:r>
      <w:r>
        <w:rPr>
          <w:rFonts w:ascii="Arial" w:hAnsi="Arial" w:cs="Arial"/>
          <w:w w:val="109"/>
          <w:sz w:val="19"/>
          <w:szCs w:val="19"/>
        </w:rPr>
        <w:t xml:space="preserve">or, </w:t>
      </w:r>
      <w:r w:rsidR="00B92FCC">
        <w:rPr>
          <w:rFonts w:ascii="Arial" w:hAnsi="Arial" w:cs="Arial"/>
          <w:spacing w:val="-29"/>
          <w:w w:val="154"/>
          <w:sz w:val="19"/>
          <w:szCs w:val="19"/>
        </w:rPr>
        <w:t>institutions</w:t>
      </w:r>
      <w:r>
        <w:rPr>
          <w:rFonts w:ascii="Arial" w:hAnsi="Arial" w:cs="Arial"/>
          <w:w w:val="103"/>
          <w:sz w:val="19"/>
          <w:szCs w:val="19"/>
        </w:rPr>
        <w:t xml:space="preserve"> </w:t>
      </w:r>
      <w:r>
        <w:rPr>
          <w:rFonts w:ascii="Arial" w:hAnsi="Arial" w:cs="Arial"/>
          <w:w w:val="94"/>
          <w:sz w:val="20"/>
          <w:szCs w:val="20"/>
        </w:rPr>
        <w:t xml:space="preserve">where </w:t>
      </w:r>
      <w:r>
        <w:rPr>
          <w:rFonts w:ascii="Arial" w:hAnsi="Arial" w:cs="Arial"/>
          <w:w w:val="105"/>
          <w:sz w:val="20"/>
          <w:szCs w:val="20"/>
        </w:rPr>
        <w:t xml:space="preserve">this cannot be </w:t>
      </w:r>
      <w:r>
        <w:rPr>
          <w:rFonts w:ascii="Arial" w:hAnsi="Arial" w:cs="Arial"/>
          <w:w w:val="105"/>
          <w:sz w:val="19"/>
          <w:szCs w:val="19"/>
        </w:rPr>
        <w:t xml:space="preserve">avoided, that </w:t>
      </w:r>
      <w:r>
        <w:rPr>
          <w:rFonts w:ascii="Arial" w:hAnsi="Arial" w:cs="Arial"/>
          <w:w w:val="105"/>
          <w:sz w:val="20"/>
          <w:szCs w:val="20"/>
        </w:rPr>
        <w:t>CBOs have the nece</w:t>
      </w:r>
      <w:r w:rsidR="00B92FCC">
        <w:rPr>
          <w:rFonts w:ascii="Arial" w:hAnsi="Arial" w:cs="Arial"/>
          <w:w w:val="105"/>
          <w:sz w:val="20"/>
          <w:szCs w:val="20"/>
        </w:rPr>
        <w:t>ss</w:t>
      </w:r>
      <w:r>
        <w:rPr>
          <w:rFonts w:ascii="Arial" w:hAnsi="Arial" w:cs="Arial"/>
          <w:w w:val="105"/>
          <w:sz w:val="20"/>
          <w:szCs w:val="20"/>
        </w:rPr>
        <w:t xml:space="preserve">ary firewalls </w:t>
      </w:r>
      <w:r>
        <w:rPr>
          <w:rFonts w:ascii="Arial" w:hAnsi="Arial" w:cs="Arial"/>
          <w:spacing w:val="-27"/>
          <w:w w:val="125"/>
          <w:sz w:val="20"/>
          <w:szCs w:val="20"/>
        </w:rPr>
        <w:t xml:space="preserve">in </w:t>
      </w:r>
      <w:r>
        <w:rPr>
          <w:rFonts w:ascii="Arial" w:hAnsi="Arial" w:cs="Arial"/>
          <w:spacing w:val="-3"/>
          <w:w w:val="105"/>
          <w:sz w:val="20"/>
          <w:szCs w:val="20"/>
        </w:rPr>
        <w:t xml:space="preserve">place </w:t>
      </w:r>
      <w:r>
        <w:rPr>
          <w:rFonts w:ascii="Arial" w:hAnsi="Arial" w:cs="Arial"/>
          <w:w w:val="105"/>
          <w:sz w:val="20"/>
          <w:szCs w:val="20"/>
        </w:rPr>
        <w:t>to prevent self-interested referrals.</w:t>
      </w:r>
    </w:p>
    <w:p w:rsidR="002C5025" w:rsidRDefault="002C5025">
      <w:pPr>
        <w:pStyle w:val="BodyText"/>
        <w:kinsoku w:val="0"/>
        <w:overflowPunct w:val="0"/>
        <w:spacing w:before="2" w:line="266" w:lineRule="auto"/>
        <w:ind w:left="124" w:right="210" w:firstLine="7"/>
        <w:rPr>
          <w:rFonts w:ascii="Arial" w:hAnsi="Arial" w:cs="Arial"/>
          <w:w w:val="105"/>
          <w:sz w:val="20"/>
          <w:szCs w:val="20"/>
        </w:rPr>
        <w:sectPr w:rsidR="002C5025">
          <w:pgSz w:w="12240" w:h="15840"/>
          <w:pgMar w:top="1140" w:right="1720" w:bottom="280" w:left="1460" w:header="720" w:footer="720" w:gutter="0"/>
          <w:cols w:space="720" w:equalWidth="0">
            <w:col w:w="9060"/>
          </w:cols>
          <w:noEndnote/>
        </w:sectPr>
      </w:pPr>
    </w:p>
    <w:p w:rsidR="002C5025" w:rsidRDefault="00FB027C">
      <w:pPr>
        <w:pStyle w:val="BodyText"/>
        <w:kinsoku w:val="0"/>
        <w:overflowPunct w:val="0"/>
        <w:ind w:left="14"/>
        <w:rPr>
          <w:rFonts w:ascii="Arial" w:hAnsi="Arial" w:cs="Arial"/>
          <w:sz w:val="20"/>
          <w:szCs w:val="20"/>
        </w:rPr>
      </w:pPr>
      <w:r>
        <w:rPr>
          <w:rFonts w:ascii="Arial" w:hAnsi="Arial" w:cs="Arial"/>
          <w:noProof/>
          <w:sz w:val="20"/>
          <w:szCs w:val="20"/>
        </w:rPr>
        <w:lastRenderedPageBreak/>
        <w:drawing>
          <wp:inline distT="0" distB="0" distL="0" distR="0">
            <wp:extent cx="7591425" cy="9810750"/>
            <wp:effectExtent l="0" t="0" r="9525"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0" y="0"/>
                      <a:ext cx="7591425" cy="9810750"/>
                    </a:xfrm>
                    <a:prstGeom prst="rect">
                      <a:avLst/>
                    </a:prstGeom>
                    <a:noFill/>
                    <a:ln>
                      <a:noFill/>
                    </a:ln>
                  </pic:spPr>
                </pic:pic>
              </a:graphicData>
            </a:graphic>
          </wp:inline>
        </w:drawing>
      </w:r>
    </w:p>
    <w:p w:rsidR="002C5025" w:rsidRDefault="002C5025">
      <w:pPr>
        <w:pStyle w:val="BodyText"/>
        <w:kinsoku w:val="0"/>
        <w:overflowPunct w:val="0"/>
        <w:ind w:left="14"/>
        <w:rPr>
          <w:rFonts w:ascii="Arial" w:hAnsi="Arial" w:cs="Arial"/>
          <w:sz w:val="20"/>
          <w:szCs w:val="20"/>
        </w:rPr>
        <w:sectPr w:rsidR="002C5025">
          <w:pgSz w:w="12240" w:h="15840"/>
          <w:pgMar w:top="20" w:right="0" w:bottom="0" w:left="0" w:header="720" w:footer="720" w:gutter="0"/>
          <w:cols w:space="720" w:equalWidth="0">
            <w:col w:w="12240"/>
          </w:cols>
          <w:noEndnote/>
        </w:sectPr>
      </w:pPr>
    </w:p>
    <w:p w:rsidR="002C5025" w:rsidRDefault="002C5025">
      <w:pPr>
        <w:pStyle w:val="BodyText"/>
        <w:kinsoku w:val="0"/>
        <w:overflowPunct w:val="0"/>
        <w:rPr>
          <w:rFonts w:ascii="Arial" w:hAnsi="Arial" w:cs="Arial"/>
          <w:sz w:val="10"/>
          <w:szCs w:val="10"/>
        </w:rPr>
      </w:pPr>
    </w:p>
    <w:p w:rsidR="002C5025" w:rsidRDefault="002C5025">
      <w:pPr>
        <w:pStyle w:val="BodyText"/>
        <w:kinsoku w:val="0"/>
        <w:overflowPunct w:val="0"/>
        <w:rPr>
          <w:rFonts w:ascii="Arial" w:hAnsi="Arial" w:cs="Arial"/>
          <w:sz w:val="10"/>
          <w:szCs w:val="10"/>
        </w:rPr>
        <w:sectPr w:rsidR="002C5025">
          <w:pgSz w:w="12240" w:h="15840"/>
          <w:pgMar w:top="20" w:right="560" w:bottom="280" w:left="80" w:header="720" w:footer="720" w:gutter="0"/>
          <w:cols w:space="720" w:equalWidth="0">
            <w:col w:w="11600"/>
          </w:cols>
          <w:noEndnote/>
        </w:sectPr>
      </w:pPr>
    </w:p>
    <w:p w:rsidR="002C5025" w:rsidRDefault="00FB027C">
      <w:pPr>
        <w:pStyle w:val="BodyText"/>
        <w:kinsoku w:val="0"/>
        <w:overflowPunct w:val="0"/>
        <w:spacing w:before="92" w:line="225" w:lineRule="auto"/>
        <w:ind w:left="107" w:right="872"/>
        <w:jc w:val="both"/>
        <w:rPr>
          <w:rFonts w:ascii="Garamond" w:hAnsi="Garamond" w:cs="Garamond"/>
          <w:i/>
          <w:iCs/>
          <w:sz w:val="28"/>
          <w:szCs w:val="28"/>
        </w:rPr>
      </w:pPr>
      <w:r>
        <w:rPr>
          <w:noProof/>
        </w:rPr>
        <w:lastRenderedPageBreak/>
        <mc:AlternateContent>
          <mc:Choice Requires="wps">
            <w:drawing>
              <wp:anchor distT="0" distB="0" distL="114300" distR="114300" simplePos="0" relativeHeight="251705856" behindDoc="0" locked="0" layoutInCell="0" allowOverlap="1">
                <wp:simplePos x="0" y="0"/>
                <wp:positionH relativeFrom="page">
                  <wp:posOffset>1562735</wp:posOffset>
                </wp:positionH>
                <wp:positionV relativeFrom="page">
                  <wp:posOffset>11430</wp:posOffset>
                </wp:positionV>
                <wp:extent cx="12700" cy="9601200"/>
                <wp:effectExtent l="0" t="0" r="0" b="0"/>
                <wp:wrapNone/>
                <wp:docPr id="404" name="Freeform 6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9601200"/>
                        </a:xfrm>
                        <a:custGeom>
                          <a:avLst/>
                          <a:gdLst>
                            <a:gd name="T0" fmla="*/ 0 w 20"/>
                            <a:gd name="T1" fmla="*/ 0 h 15120"/>
                            <a:gd name="T2" fmla="*/ 0 w 20"/>
                            <a:gd name="T3" fmla="*/ 15120 h 15120"/>
                          </a:gdLst>
                          <a:ahLst/>
                          <a:cxnLst>
                            <a:cxn ang="0">
                              <a:pos x="T0" y="T1"/>
                            </a:cxn>
                            <a:cxn ang="0">
                              <a:pos x="T2" y="T3"/>
                            </a:cxn>
                          </a:cxnLst>
                          <a:rect l="0" t="0" r="r" b="b"/>
                          <a:pathLst>
                            <a:path w="20" h="15120">
                              <a:moveTo>
                                <a:pt x="0" y="0"/>
                              </a:moveTo>
                              <a:lnTo>
                                <a:pt x="0" y="1512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21" o:spid="_x0000_s1026" style="position:absolute;z-index:251705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23.05pt,.9pt,123.05pt,756.9pt" coordsize="20,1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" o:allowincell="f" filled="f" strokeweight=".5pt">
                <v:path arrowok="t" o:connecttype="custom" o:connectlocs="0,0;0,9601200" o:connectangles="0,0"/>
                <w10:wrap anchorx="page" anchory="page"/>
              </v:polyline>
            </w:pict>
          </mc:Fallback>
        </mc:AlternateContent>
      </w:r>
      <w:bookmarkStart w:id="191" w:name="MABHS_MassHealthWaiverCommentsfinalpdf"/>
      <w:bookmarkEnd w:id="191"/>
      <w:r w:rsidR="002C5025">
        <w:rPr>
          <w:rFonts w:ascii="Garamond" w:hAnsi="Garamond" w:cs="Garamond"/>
          <w:b/>
          <w:bCs/>
          <w:i/>
          <w:iCs/>
          <w:w w:val="95"/>
          <w:sz w:val="30"/>
          <w:szCs w:val="30"/>
        </w:rPr>
        <w:t>M</w:t>
      </w:r>
      <w:r w:rsidR="002C5025">
        <w:rPr>
          <w:rFonts w:ascii="Garamond" w:hAnsi="Garamond" w:cs="Garamond"/>
          <w:i/>
          <w:iCs/>
          <w:w w:val="95"/>
          <w:sz w:val="28"/>
          <w:szCs w:val="28"/>
        </w:rPr>
        <w:t xml:space="preserve">assachusetts </w:t>
      </w:r>
      <w:r w:rsidR="002C5025">
        <w:rPr>
          <w:rFonts w:ascii="Garamond" w:hAnsi="Garamond" w:cs="Garamond"/>
          <w:b/>
          <w:bCs/>
          <w:i/>
          <w:iCs/>
          <w:sz w:val="30"/>
          <w:szCs w:val="30"/>
        </w:rPr>
        <w:t>A</w:t>
      </w:r>
      <w:r w:rsidR="002C5025">
        <w:rPr>
          <w:rFonts w:ascii="Garamond" w:hAnsi="Garamond" w:cs="Garamond"/>
          <w:i/>
          <w:iCs/>
          <w:sz w:val="28"/>
          <w:szCs w:val="28"/>
        </w:rPr>
        <w:t xml:space="preserve">ssociation of </w:t>
      </w:r>
      <w:r w:rsidR="002C5025">
        <w:rPr>
          <w:rFonts w:ascii="Garamond" w:hAnsi="Garamond" w:cs="Garamond"/>
          <w:b/>
          <w:bCs/>
          <w:i/>
          <w:iCs/>
          <w:sz w:val="30"/>
          <w:szCs w:val="30"/>
        </w:rPr>
        <w:t>B</w:t>
      </w:r>
      <w:r w:rsidR="002C5025">
        <w:rPr>
          <w:rFonts w:ascii="Garamond" w:hAnsi="Garamond" w:cs="Garamond"/>
          <w:i/>
          <w:iCs/>
          <w:sz w:val="28"/>
          <w:szCs w:val="28"/>
        </w:rPr>
        <w:t>ehavioral</w:t>
      </w:r>
    </w:p>
    <w:p w:rsidR="002C5025" w:rsidRDefault="002C5025">
      <w:pPr>
        <w:pStyle w:val="BodyText"/>
        <w:kinsoku w:val="0"/>
        <w:overflowPunct w:val="0"/>
        <w:spacing w:line="322" w:lineRule="exact"/>
        <w:ind w:left="107" w:right="-15"/>
        <w:rPr>
          <w:rFonts w:ascii="Garamond" w:hAnsi="Garamond" w:cs="Garamond"/>
          <w:i/>
          <w:iCs/>
          <w:sz w:val="28"/>
          <w:szCs w:val="28"/>
        </w:rPr>
      </w:pPr>
      <w:r>
        <w:rPr>
          <w:rFonts w:ascii="Garamond" w:hAnsi="Garamond" w:cs="Garamond"/>
          <w:b/>
          <w:bCs/>
          <w:i/>
          <w:iCs/>
          <w:sz w:val="30"/>
          <w:szCs w:val="30"/>
        </w:rPr>
        <w:t>H</w:t>
      </w:r>
      <w:r>
        <w:rPr>
          <w:rFonts w:ascii="Garamond" w:hAnsi="Garamond" w:cs="Garamond"/>
          <w:b/>
          <w:bCs/>
          <w:i/>
          <w:iCs/>
          <w:spacing w:val="-65"/>
          <w:sz w:val="30"/>
          <w:szCs w:val="30"/>
        </w:rPr>
        <w:t xml:space="preserve"> </w:t>
      </w:r>
      <w:proofErr w:type="spellStart"/>
      <w:r>
        <w:rPr>
          <w:rFonts w:ascii="Garamond" w:hAnsi="Garamond" w:cs="Garamond"/>
          <w:i/>
          <w:iCs/>
          <w:sz w:val="28"/>
          <w:szCs w:val="28"/>
        </w:rPr>
        <w:t>ealth</w:t>
      </w:r>
      <w:proofErr w:type="spellEnd"/>
      <w:r>
        <w:rPr>
          <w:rFonts w:ascii="Garamond" w:hAnsi="Garamond" w:cs="Garamond"/>
          <w:i/>
          <w:iCs/>
          <w:spacing w:val="-53"/>
          <w:sz w:val="28"/>
          <w:szCs w:val="28"/>
        </w:rPr>
        <w:t xml:space="preserve"> </w:t>
      </w:r>
      <w:r>
        <w:rPr>
          <w:rFonts w:ascii="Garamond" w:hAnsi="Garamond" w:cs="Garamond"/>
          <w:b/>
          <w:bCs/>
          <w:i/>
          <w:iCs/>
          <w:sz w:val="30"/>
          <w:szCs w:val="30"/>
        </w:rPr>
        <w:t>S</w:t>
      </w:r>
      <w:r>
        <w:rPr>
          <w:rFonts w:ascii="Garamond" w:hAnsi="Garamond" w:cs="Garamond"/>
          <w:i/>
          <w:iCs/>
          <w:sz w:val="28"/>
          <w:szCs w:val="28"/>
        </w:rPr>
        <w:t>ystems</w:t>
      </w:r>
    </w:p>
    <w:p w:rsidR="002C5025" w:rsidRDefault="002C5025">
      <w:pPr>
        <w:pStyle w:val="BodyText"/>
        <w:kinsoku w:val="0"/>
        <w:overflowPunct w:val="0"/>
        <w:rPr>
          <w:rFonts w:ascii="Garamond" w:hAnsi="Garamond" w:cs="Garamond"/>
          <w:i/>
          <w:iCs/>
          <w:sz w:val="24"/>
          <w:szCs w:val="24"/>
        </w:rPr>
      </w:pPr>
    </w:p>
    <w:p w:rsidR="002C5025" w:rsidRDefault="002C5025">
      <w:pPr>
        <w:pStyle w:val="BodyText"/>
        <w:kinsoku w:val="0"/>
        <w:overflowPunct w:val="0"/>
        <w:spacing w:line="204" w:lineRule="exact"/>
        <w:ind w:left="107" w:right="-15"/>
        <w:rPr>
          <w:rFonts w:ascii="Arial" w:hAnsi="Arial" w:cs="Arial"/>
          <w:sz w:val="18"/>
          <w:szCs w:val="18"/>
        </w:rPr>
      </w:pPr>
      <w:r>
        <w:rPr>
          <w:rFonts w:ascii="Arial" w:hAnsi="Arial" w:cs="Arial"/>
          <w:sz w:val="18"/>
          <w:szCs w:val="18"/>
        </w:rPr>
        <w:t>115 Mill Street</w:t>
      </w:r>
    </w:p>
    <w:p w:rsidR="002C5025" w:rsidRDefault="002C5025">
      <w:pPr>
        <w:pStyle w:val="BodyText"/>
        <w:kinsoku w:val="0"/>
        <w:overflowPunct w:val="0"/>
        <w:spacing w:line="204" w:lineRule="exact"/>
        <w:ind w:left="107" w:right="-15"/>
        <w:rPr>
          <w:rFonts w:ascii="Arial" w:hAnsi="Arial" w:cs="Arial"/>
          <w:sz w:val="18"/>
          <w:szCs w:val="18"/>
        </w:rPr>
      </w:pPr>
      <w:r>
        <w:rPr>
          <w:rFonts w:ascii="Arial" w:hAnsi="Arial" w:cs="Arial"/>
          <w:sz w:val="18"/>
          <w:szCs w:val="18"/>
        </w:rPr>
        <w:t>Belmont, MA 02478</w:t>
      </w:r>
    </w:p>
    <w:p w:rsidR="002C5025" w:rsidRDefault="002C5025">
      <w:pPr>
        <w:pStyle w:val="BodyText"/>
        <w:kinsoku w:val="0"/>
        <w:overflowPunct w:val="0"/>
        <w:spacing w:line="207" w:lineRule="exact"/>
        <w:ind w:left="107" w:right="-15"/>
        <w:rPr>
          <w:rFonts w:ascii="Arial" w:hAnsi="Arial" w:cs="Arial"/>
          <w:sz w:val="18"/>
          <w:szCs w:val="18"/>
        </w:rPr>
      </w:pPr>
      <w:r>
        <w:rPr>
          <w:rFonts w:ascii="Arial" w:hAnsi="Arial" w:cs="Arial"/>
          <w:sz w:val="18"/>
          <w:szCs w:val="18"/>
        </w:rPr>
        <w:t>Phone: 617-855-3520</w:t>
      </w:r>
    </w:p>
    <w:p w:rsidR="002C5025" w:rsidRDefault="002C5025">
      <w:pPr>
        <w:pStyle w:val="BodyText"/>
        <w:kinsoku w:val="0"/>
        <w:overflowPunct w:val="0"/>
        <w:spacing w:before="8"/>
        <w:rPr>
          <w:rFonts w:ascii="Arial" w:hAnsi="Arial" w:cs="Arial"/>
          <w:sz w:val="17"/>
          <w:szCs w:val="17"/>
        </w:rPr>
      </w:pPr>
    </w:p>
    <w:p w:rsidR="002C5025" w:rsidRDefault="002C5025">
      <w:pPr>
        <w:pStyle w:val="BodyText"/>
        <w:kinsoku w:val="0"/>
        <w:overflowPunct w:val="0"/>
        <w:ind w:left="107" w:right="-15"/>
        <w:rPr>
          <w:rFonts w:ascii="Arial Narrow" w:hAnsi="Arial Narrow" w:cs="Arial Narrow"/>
          <w:b/>
          <w:bCs/>
          <w:sz w:val="20"/>
          <w:szCs w:val="20"/>
        </w:rPr>
      </w:pPr>
      <w:r>
        <w:rPr>
          <w:rFonts w:ascii="Arial Narrow" w:hAnsi="Arial Narrow" w:cs="Arial Narrow"/>
          <w:b/>
          <w:bCs/>
          <w:sz w:val="20"/>
          <w:szCs w:val="20"/>
        </w:rPr>
        <w:t xml:space="preserve">Michele </w:t>
      </w:r>
      <w:proofErr w:type="spellStart"/>
      <w:r>
        <w:rPr>
          <w:rFonts w:ascii="Arial Narrow" w:hAnsi="Arial Narrow" w:cs="Arial Narrow"/>
          <w:b/>
          <w:bCs/>
          <w:sz w:val="20"/>
          <w:szCs w:val="20"/>
        </w:rPr>
        <w:t>Gougeon</w:t>
      </w:r>
      <w:proofErr w:type="spellEnd"/>
      <w:r>
        <w:rPr>
          <w:rFonts w:ascii="Arial Narrow" w:hAnsi="Arial Narrow" w:cs="Arial Narrow"/>
          <w:b/>
          <w:bCs/>
          <w:sz w:val="20"/>
          <w:szCs w:val="20"/>
        </w:rPr>
        <w:t>, MSS,</w:t>
      </w:r>
      <w:r>
        <w:rPr>
          <w:rFonts w:ascii="Arial Narrow" w:hAnsi="Arial Narrow" w:cs="Arial Narrow"/>
          <w:b/>
          <w:bCs/>
          <w:spacing w:val="-31"/>
          <w:sz w:val="20"/>
          <w:szCs w:val="20"/>
        </w:rPr>
        <w:t xml:space="preserve"> </w:t>
      </w:r>
      <w:r>
        <w:rPr>
          <w:rFonts w:ascii="Arial Narrow" w:hAnsi="Arial Narrow" w:cs="Arial Narrow"/>
          <w:b/>
          <w:bCs/>
          <w:sz w:val="20"/>
          <w:szCs w:val="20"/>
        </w:rPr>
        <w:t>MSc</w:t>
      </w:r>
    </w:p>
    <w:p w:rsidR="002C5025" w:rsidRDefault="002C5025">
      <w:pPr>
        <w:pStyle w:val="BodyText"/>
        <w:kinsoku w:val="0"/>
        <w:overflowPunct w:val="0"/>
        <w:spacing w:before="8"/>
        <w:ind w:left="150" w:right="-15"/>
        <w:rPr>
          <w:rFonts w:ascii="Arial Narrow" w:hAnsi="Arial Narrow" w:cs="Arial Narrow"/>
          <w:i/>
          <w:iCs/>
          <w:sz w:val="20"/>
          <w:szCs w:val="20"/>
        </w:rPr>
      </w:pPr>
      <w:r>
        <w:rPr>
          <w:rFonts w:ascii="Arial Narrow" w:hAnsi="Arial Narrow" w:cs="Arial Narrow"/>
          <w:i/>
          <w:iCs/>
          <w:sz w:val="20"/>
          <w:szCs w:val="20"/>
        </w:rPr>
        <w:t>Chairman</w:t>
      </w:r>
    </w:p>
    <w:p w:rsidR="002C5025" w:rsidRDefault="002C5025">
      <w:pPr>
        <w:pStyle w:val="BodyText"/>
        <w:kinsoku w:val="0"/>
        <w:overflowPunct w:val="0"/>
        <w:spacing w:before="6"/>
        <w:rPr>
          <w:rFonts w:ascii="Arial Narrow" w:hAnsi="Arial Narrow" w:cs="Arial Narrow"/>
          <w:i/>
          <w:iCs/>
          <w:sz w:val="20"/>
          <w:szCs w:val="20"/>
        </w:rPr>
      </w:pPr>
    </w:p>
    <w:p w:rsidR="002C5025" w:rsidRDefault="002C5025">
      <w:pPr>
        <w:pStyle w:val="BodyText"/>
        <w:kinsoku w:val="0"/>
        <w:overflowPunct w:val="0"/>
        <w:ind w:left="107" w:right="-15"/>
        <w:rPr>
          <w:rFonts w:ascii="Arial Narrow" w:hAnsi="Arial Narrow" w:cs="Arial Narrow"/>
          <w:b/>
          <w:bCs/>
          <w:sz w:val="20"/>
          <w:szCs w:val="20"/>
        </w:rPr>
      </w:pPr>
      <w:r>
        <w:rPr>
          <w:rFonts w:ascii="Arial Narrow" w:hAnsi="Arial Narrow" w:cs="Arial Narrow"/>
          <w:b/>
          <w:bCs/>
          <w:sz w:val="20"/>
          <w:szCs w:val="20"/>
        </w:rPr>
        <w:t>David Matteodo</w:t>
      </w:r>
    </w:p>
    <w:p w:rsidR="002C5025" w:rsidRDefault="002C5025">
      <w:pPr>
        <w:pStyle w:val="BodyText"/>
        <w:kinsoku w:val="0"/>
        <w:overflowPunct w:val="0"/>
        <w:spacing w:before="8"/>
        <w:ind w:left="196" w:right="-15"/>
        <w:rPr>
          <w:rFonts w:ascii="Arial Narrow" w:hAnsi="Arial Narrow" w:cs="Arial Narrow"/>
          <w:i/>
          <w:iCs/>
          <w:sz w:val="20"/>
          <w:szCs w:val="20"/>
        </w:rPr>
      </w:pPr>
      <w:r>
        <w:rPr>
          <w:rFonts w:ascii="Arial Narrow" w:hAnsi="Arial Narrow" w:cs="Arial Narrow"/>
          <w:i/>
          <w:iCs/>
          <w:sz w:val="20"/>
          <w:szCs w:val="20"/>
        </w:rPr>
        <w:t>Executive Director</w:t>
      </w:r>
    </w:p>
    <w:p w:rsidR="002C5025" w:rsidRDefault="002C5025">
      <w:pPr>
        <w:pStyle w:val="BodyText"/>
        <w:kinsoku w:val="0"/>
        <w:overflowPunct w:val="0"/>
        <w:spacing w:before="6"/>
        <w:rPr>
          <w:rFonts w:ascii="Arial Narrow" w:hAnsi="Arial Narrow" w:cs="Arial Narrow"/>
          <w:i/>
          <w:iCs/>
          <w:sz w:val="25"/>
          <w:szCs w:val="25"/>
        </w:rPr>
      </w:pPr>
    </w:p>
    <w:p w:rsidR="002C5025" w:rsidRDefault="002C5025">
      <w:pPr>
        <w:pStyle w:val="BodyText"/>
        <w:kinsoku w:val="0"/>
        <w:overflowPunct w:val="0"/>
        <w:spacing w:line="247" w:lineRule="auto"/>
        <w:ind w:left="107" w:right="1039"/>
        <w:rPr>
          <w:rFonts w:ascii="Arial Narrow" w:hAnsi="Arial Narrow" w:cs="Arial Narrow"/>
          <w:sz w:val="18"/>
          <w:szCs w:val="18"/>
        </w:rPr>
      </w:pPr>
      <w:r>
        <w:rPr>
          <w:rFonts w:ascii="Arial Narrow" w:hAnsi="Arial Narrow" w:cs="Arial Narrow"/>
          <w:b/>
          <w:bCs/>
          <w:i/>
          <w:iCs/>
          <w:sz w:val="18"/>
          <w:szCs w:val="18"/>
        </w:rPr>
        <w:t xml:space="preserve">Members: </w:t>
      </w:r>
      <w:proofErr w:type="spellStart"/>
      <w:r>
        <w:rPr>
          <w:rFonts w:ascii="Arial Narrow" w:hAnsi="Arial Narrow" w:cs="Arial Narrow"/>
          <w:sz w:val="18"/>
          <w:szCs w:val="18"/>
        </w:rPr>
        <w:t>AdCare</w:t>
      </w:r>
      <w:proofErr w:type="spellEnd"/>
      <w:r>
        <w:rPr>
          <w:rFonts w:ascii="Arial Narrow" w:hAnsi="Arial Narrow" w:cs="Arial Narrow"/>
          <w:sz w:val="18"/>
          <w:szCs w:val="18"/>
        </w:rPr>
        <w:t xml:space="preserve"> Hospital </w:t>
      </w:r>
      <w:proofErr w:type="spellStart"/>
      <w:r>
        <w:rPr>
          <w:rFonts w:ascii="Arial Narrow" w:hAnsi="Arial Narrow" w:cs="Arial Narrow"/>
          <w:sz w:val="18"/>
          <w:szCs w:val="18"/>
        </w:rPr>
        <w:t>Arbour</w:t>
      </w:r>
      <w:proofErr w:type="spellEnd"/>
      <w:r>
        <w:rPr>
          <w:rFonts w:ascii="Arial Narrow" w:hAnsi="Arial Narrow" w:cs="Arial Narrow"/>
          <w:sz w:val="18"/>
          <w:szCs w:val="18"/>
        </w:rPr>
        <w:t xml:space="preserve"> Hospital</w:t>
      </w:r>
    </w:p>
    <w:p w:rsidR="002C5025" w:rsidRDefault="002C5025">
      <w:pPr>
        <w:pStyle w:val="BodyText"/>
        <w:kinsoku w:val="0"/>
        <w:overflowPunct w:val="0"/>
        <w:spacing w:before="1" w:line="247" w:lineRule="auto"/>
        <w:ind w:left="107" w:right="749"/>
        <w:rPr>
          <w:rFonts w:ascii="Arial Narrow" w:hAnsi="Arial Narrow" w:cs="Arial Narrow"/>
          <w:sz w:val="18"/>
          <w:szCs w:val="18"/>
        </w:rPr>
      </w:pPr>
      <w:proofErr w:type="spellStart"/>
      <w:r>
        <w:rPr>
          <w:rFonts w:ascii="Arial Narrow" w:hAnsi="Arial Narrow" w:cs="Arial Narrow"/>
          <w:sz w:val="18"/>
          <w:szCs w:val="18"/>
        </w:rPr>
        <w:t>Arbour</w:t>
      </w:r>
      <w:proofErr w:type="spellEnd"/>
      <w:r>
        <w:rPr>
          <w:rFonts w:ascii="Arial Narrow" w:hAnsi="Arial Narrow" w:cs="Arial Narrow"/>
          <w:sz w:val="18"/>
          <w:szCs w:val="18"/>
        </w:rPr>
        <w:t xml:space="preserve">-Fuller Hospital </w:t>
      </w:r>
      <w:proofErr w:type="spellStart"/>
      <w:r>
        <w:rPr>
          <w:rFonts w:ascii="Arial Narrow" w:hAnsi="Arial Narrow" w:cs="Arial Narrow"/>
          <w:sz w:val="18"/>
          <w:szCs w:val="18"/>
        </w:rPr>
        <w:t>Arbour</w:t>
      </w:r>
      <w:proofErr w:type="spellEnd"/>
      <w:r>
        <w:rPr>
          <w:rFonts w:ascii="Arial Narrow" w:hAnsi="Arial Narrow" w:cs="Arial Narrow"/>
          <w:sz w:val="18"/>
          <w:szCs w:val="18"/>
        </w:rPr>
        <w:t xml:space="preserve">-HRI Hospital </w:t>
      </w:r>
      <w:proofErr w:type="spellStart"/>
      <w:r>
        <w:rPr>
          <w:rFonts w:ascii="Arial Narrow" w:hAnsi="Arial Narrow" w:cs="Arial Narrow"/>
          <w:sz w:val="18"/>
          <w:szCs w:val="18"/>
        </w:rPr>
        <w:t>Bournewood</w:t>
      </w:r>
      <w:proofErr w:type="spellEnd"/>
      <w:r>
        <w:rPr>
          <w:rFonts w:ascii="Arial Narrow" w:hAnsi="Arial Narrow" w:cs="Arial Narrow"/>
          <w:sz w:val="18"/>
          <w:szCs w:val="18"/>
        </w:rPr>
        <w:t xml:space="preserve"> Hospital McLean Hospital Pembroke Hospital Westwood Lodge</w:t>
      </w:r>
    </w:p>
    <w:p w:rsidR="002C5025" w:rsidRDefault="002C5025">
      <w:pPr>
        <w:pStyle w:val="BodyText"/>
        <w:kinsoku w:val="0"/>
        <w:overflowPunct w:val="0"/>
        <w:spacing w:before="8"/>
        <w:rPr>
          <w:rFonts w:ascii="Arial Narrow" w:hAnsi="Arial Narrow" w:cs="Arial Narrow"/>
          <w:sz w:val="18"/>
          <w:szCs w:val="18"/>
        </w:rPr>
      </w:pPr>
    </w:p>
    <w:p w:rsidR="002C5025" w:rsidRDefault="002C5025">
      <w:pPr>
        <w:pStyle w:val="BodyText"/>
        <w:kinsoku w:val="0"/>
        <w:overflowPunct w:val="0"/>
        <w:spacing w:line="247" w:lineRule="auto"/>
        <w:ind w:left="107" w:right="544"/>
        <w:rPr>
          <w:rFonts w:ascii="Arial Narrow" w:hAnsi="Arial Narrow" w:cs="Arial Narrow"/>
          <w:sz w:val="18"/>
          <w:szCs w:val="18"/>
        </w:rPr>
      </w:pPr>
      <w:r>
        <w:rPr>
          <w:rFonts w:ascii="Arial Narrow" w:hAnsi="Arial Narrow" w:cs="Arial Narrow"/>
          <w:b/>
          <w:bCs/>
          <w:i/>
          <w:iCs/>
          <w:sz w:val="18"/>
          <w:szCs w:val="18"/>
        </w:rPr>
        <w:t>Associate Members</w:t>
      </w:r>
      <w:r>
        <w:rPr>
          <w:rFonts w:ascii="Arial Narrow" w:hAnsi="Arial Narrow" w:cs="Arial Narrow"/>
          <w:b/>
          <w:bCs/>
          <w:sz w:val="18"/>
          <w:szCs w:val="18"/>
        </w:rPr>
        <w:t xml:space="preserve">: </w:t>
      </w:r>
      <w:r>
        <w:rPr>
          <w:rFonts w:ascii="Arial Narrow" w:hAnsi="Arial Narrow" w:cs="Arial Narrow"/>
          <w:sz w:val="18"/>
          <w:szCs w:val="18"/>
        </w:rPr>
        <w:t xml:space="preserve">Anna </w:t>
      </w:r>
      <w:proofErr w:type="spellStart"/>
      <w:r>
        <w:rPr>
          <w:rFonts w:ascii="Arial Narrow" w:hAnsi="Arial Narrow" w:cs="Arial Narrow"/>
          <w:sz w:val="18"/>
          <w:szCs w:val="18"/>
        </w:rPr>
        <w:t>Jaques</w:t>
      </w:r>
      <w:proofErr w:type="spellEnd"/>
      <w:r>
        <w:rPr>
          <w:rFonts w:ascii="Arial Narrow" w:hAnsi="Arial Narrow" w:cs="Arial Narrow"/>
          <w:sz w:val="18"/>
          <w:szCs w:val="18"/>
        </w:rPr>
        <w:t xml:space="preserve"> Hospital Austen Riggs Center Baldpate Hospital </w:t>
      </w:r>
      <w:proofErr w:type="spellStart"/>
      <w:r>
        <w:rPr>
          <w:rFonts w:ascii="Arial Narrow" w:hAnsi="Arial Narrow" w:cs="Arial Narrow"/>
          <w:sz w:val="18"/>
          <w:szCs w:val="18"/>
        </w:rPr>
        <w:t>Bayridge</w:t>
      </w:r>
      <w:proofErr w:type="spellEnd"/>
      <w:r>
        <w:rPr>
          <w:rFonts w:ascii="Arial Narrow" w:hAnsi="Arial Narrow" w:cs="Arial Narrow"/>
          <w:sz w:val="18"/>
          <w:szCs w:val="18"/>
        </w:rPr>
        <w:t xml:space="preserve"> Hospital Baystate Health Berkshire</w:t>
      </w:r>
      <w:r>
        <w:rPr>
          <w:rFonts w:ascii="Arial Narrow" w:hAnsi="Arial Narrow" w:cs="Arial Narrow"/>
          <w:spacing w:val="-18"/>
          <w:sz w:val="18"/>
          <w:szCs w:val="18"/>
        </w:rPr>
        <w:t xml:space="preserve"> </w:t>
      </w:r>
      <w:r>
        <w:rPr>
          <w:rFonts w:ascii="Arial Narrow" w:hAnsi="Arial Narrow" w:cs="Arial Narrow"/>
          <w:sz w:val="18"/>
          <w:szCs w:val="18"/>
        </w:rPr>
        <w:t>Health</w:t>
      </w:r>
      <w:r>
        <w:rPr>
          <w:rFonts w:ascii="Arial Narrow" w:hAnsi="Arial Narrow" w:cs="Arial Narrow"/>
          <w:spacing w:val="-18"/>
          <w:sz w:val="18"/>
          <w:szCs w:val="18"/>
        </w:rPr>
        <w:t xml:space="preserve"> </w:t>
      </w:r>
      <w:r>
        <w:rPr>
          <w:rFonts w:ascii="Arial Narrow" w:hAnsi="Arial Narrow" w:cs="Arial Narrow"/>
          <w:sz w:val="18"/>
          <w:szCs w:val="18"/>
        </w:rPr>
        <w:t>Systems Beth Israel</w:t>
      </w:r>
      <w:r>
        <w:rPr>
          <w:rFonts w:ascii="Arial Narrow" w:hAnsi="Arial Narrow" w:cs="Arial Narrow"/>
          <w:spacing w:val="-31"/>
          <w:sz w:val="18"/>
          <w:szCs w:val="18"/>
        </w:rPr>
        <w:t xml:space="preserve"> </w:t>
      </w:r>
      <w:r>
        <w:rPr>
          <w:rFonts w:ascii="Arial Narrow" w:hAnsi="Arial Narrow" w:cs="Arial Narrow"/>
          <w:sz w:val="18"/>
          <w:szCs w:val="18"/>
        </w:rPr>
        <w:t>Deaconess</w:t>
      </w:r>
    </w:p>
    <w:p w:rsidR="002C5025" w:rsidRDefault="002C5025">
      <w:pPr>
        <w:pStyle w:val="ListParagraph"/>
        <w:numPr>
          <w:ilvl w:val="1"/>
          <w:numId w:val="40"/>
        </w:numPr>
        <w:tabs>
          <w:tab w:val="left" w:pos="369"/>
        </w:tabs>
        <w:kinsoku w:val="0"/>
        <w:overflowPunct w:val="0"/>
        <w:spacing w:line="247" w:lineRule="auto"/>
        <w:ind w:right="429" w:firstLine="0"/>
        <w:rPr>
          <w:rFonts w:ascii="Arial Narrow" w:hAnsi="Arial Narrow" w:cs="Arial Narrow"/>
          <w:sz w:val="18"/>
          <w:szCs w:val="18"/>
        </w:rPr>
      </w:pPr>
      <w:r>
        <w:rPr>
          <w:rFonts w:ascii="Arial Narrow" w:hAnsi="Arial Narrow" w:cs="Arial Narrow"/>
          <w:sz w:val="18"/>
          <w:szCs w:val="18"/>
        </w:rPr>
        <w:t>Deaconess Plymouth Brigham/Faulkner</w:t>
      </w:r>
      <w:r>
        <w:rPr>
          <w:rFonts w:ascii="Arial Narrow" w:hAnsi="Arial Narrow" w:cs="Arial Narrow"/>
          <w:spacing w:val="-30"/>
          <w:sz w:val="18"/>
          <w:szCs w:val="18"/>
        </w:rPr>
        <w:t xml:space="preserve"> </w:t>
      </w:r>
      <w:r>
        <w:rPr>
          <w:rFonts w:ascii="Arial Narrow" w:hAnsi="Arial Narrow" w:cs="Arial Narrow"/>
          <w:sz w:val="18"/>
          <w:szCs w:val="18"/>
        </w:rPr>
        <w:t>Hospitals Brockton Hospital Cambridge Health Alliance Cape Cod Hospital Children’s</w:t>
      </w:r>
      <w:r>
        <w:rPr>
          <w:rFonts w:ascii="Arial Narrow" w:hAnsi="Arial Narrow" w:cs="Arial Narrow"/>
          <w:spacing w:val="-28"/>
          <w:sz w:val="18"/>
          <w:szCs w:val="18"/>
        </w:rPr>
        <w:t xml:space="preserve"> </w:t>
      </w:r>
      <w:r>
        <w:rPr>
          <w:rFonts w:ascii="Arial Narrow" w:hAnsi="Arial Narrow" w:cs="Arial Narrow"/>
          <w:sz w:val="18"/>
          <w:szCs w:val="18"/>
        </w:rPr>
        <w:t>Hospital</w:t>
      </w:r>
    </w:p>
    <w:p w:rsidR="002C5025" w:rsidRDefault="002C5025">
      <w:pPr>
        <w:pStyle w:val="BodyText"/>
        <w:kinsoku w:val="0"/>
        <w:overflowPunct w:val="0"/>
        <w:spacing w:before="1" w:line="247" w:lineRule="auto"/>
        <w:ind w:left="107" w:right="-15"/>
        <w:rPr>
          <w:rFonts w:ascii="Arial Narrow" w:hAnsi="Arial Narrow" w:cs="Arial Narrow"/>
          <w:sz w:val="18"/>
          <w:szCs w:val="18"/>
        </w:rPr>
      </w:pPr>
      <w:r>
        <w:rPr>
          <w:rFonts w:ascii="Arial Narrow" w:hAnsi="Arial Narrow" w:cs="Arial Narrow"/>
          <w:sz w:val="18"/>
          <w:szCs w:val="18"/>
        </w:rPr>
        <w:t>Cooley Dickinson Hospital Emerson Hospital</w:t>
      </w:r>
    </w:p>
    <w:p w:rsidR="002C5025" w:rsidRDefault="002C5025">
      <w:pPr>
        <w:pStyle w:val="BodyText"/>
        <w:kinsoku w:val="0"/>
        <w:overflowPunct w:val="0"/>
        <w:spacing w:before="1" w:line="247" w:lineRule="auto"/>
        <w:ind w:left="107" w:right="289"/>
        <w:rPr>
          <w:rFonts w:ascii="Arial Narrow" w:hAnsi="Arial Narrow" w:cs="Arial Narrow"/>
          <w:sz w:val="18"/>
          <w:szCs w:val="18"/>
        </w:rPr>
      </w:pPr>
      <w:r>
        <w:rPr>
          <w:rFonts w:ascii="Arial Narrow" w:hAnsi="Arial Narrow" w:cs="Arial Narrow"/>
          <w:sz w:val="18"/>
          <w:szCs w:val="18"/>
        </w:rPr>
        <w:t>Franciscan</w:t>
      </w:r>
      <w:r>
        <w:rPr>
          <w:rFonts w:ascii="Arial Narrow" w:hAnsi="Arial Narrow" w:cs="Arial Narrow"/>
          <w:spacing w:val="-16"/>
          <w:sz w:val="18"/>
          <w:szCs w:val="18"/>
        </w:rPr>
        <w:t xml:space="preserve"> </w:t>
      </w:r>
      <w:r>
        <w:rPr>
          <w:rFonts w:ascii="Arial Narrow" w:hAnsi="Arial Narrow" w:cs="Arial Narrow"/>
          <w:sz w:val="18"/>
          <w:szCs w:val="18"/>
        </w:rPr>
        <w:t>Hosp.</w:t>
      </w:r>
      <w:r>
        <w:rPr>
          <w:rFonts w:ascii="Arial Narrow" w:hAnsi="Arial Narrow" w:cs="Arial Narrow"/>
          <w:spacing w:val="-13"/>
          <w:sz w:val="18"/>
          <w:szCs w:val="18"/>
        </w:rPr>
        <w:t xml:space="preserve"> </w:t>
      </w:r>
      <w:r>
        <w:rPr>
          <w:rFonts w:ascii="Arial Narrow" w:hAnsi="Arial Narrow" w:cs="Arial Narrow"/>
          <w:sz w:val="18"/>
          <w:szCs w:val="18"/>
        </w:rPr>
        <w:t>for</w:t>
      </w:r>
      <w:r>
        <w:rPr>
          <w:rFonts w:ascii="Arial Narrow" w:hAnsi="Arial Narrow" w:cs="Arial Narrow"/>
          <w:spacing w:val="-14"/>
          <w:sz w:val="18"/>
          <w:szCs w:val="18"/>
        </w:rPr>
        <w:t xml:space="preserve"> </w:t>
      </w:r>
      <w:r>
        <w:rPr>
          <w:rFonts w:ascii="Arial Narrow" w:hAnsi="Arial Narrow" w:cs="Arial Narrow"/>
          <w:sz w:val="18"/>
          <w:szCs w:val="18"/>
        </w:rPr>
        <w:t xml:space="preserve">Children </w:t>
      </w:r>
      <w:proofErr w:type="spellStart"/>
      <w:r>
        <w:rPr>
          <w:rFonts w:ascii="Arial Narrow" w:hAnsi="Arial Narrow" w:cs="Arial Narrow"/>
          <w:sz w:val="18"/>
          <w:szCs w:val="18"/>
        </w:rPr>
        <w:t>Gosnold</w:t>
      </w:r>
      <w:proofErr w:type="spellEnd"/>
      <w:r>
        <w:rPr>
          <w:rFonts w:ascii="Arial Narrow" w:hAnsi="Arial Narrow" w:cs="Arial Narrow"/>
          <w:sz w:val="18"/>
          <w:szCs w:val="18"/>
        </w:rPr>
        <w:t xml:space="preserve"> on Cape Cod Hallmark Health System Harrington Memorial Hospital Henry Heywood Hospital High Point Treatment Center Holyoke Medical Center </w:t>
      </w:r>
      <w:r>
        <w:rPr>
          <w:rFonts w:ascii="Arial Narrow" w:hAnsi="Arial Narrow" w:cs="Arial Narrow"/>
          <w:spacing w:val="-1"/>
          <w:sz w:val="18"/>
          <w:szCs w:val="18"/>
        </w:rPr>
        <w:t>Marlborough</w:t>
      </w:r>
      <w:r>
        <w:rPr>
          <w:rFonts w:ascii="Arial Narrow" w:hAnsi="Arial Narrow" w:cs="Arial Narrow"/>
          <w:spacing w:val="-20"/>
          <w:sz w:val="18"/>
          <w:szCs w:val="18"/>
        </w:rPr>
        <w:t xml:space="preserve"> </w:t>
      </w:r>
      <w:r>
        <w:rPr>
          <w:rFonts w:ascii="Arial Narrow" w:hAnsi="Arial Narrow" w:cs="Arial Narrow"/>
          <w:sz w:val="18"/>
          <w:szCs w:val="18"/>
        </w:rPr>
        <w:t>Hospital</w:t>
      </w:r>
    </w:p>
    <w:p w:rsidR="002C5025" w:rsidRDefault="002C5025">
      <w:pPr>
        <w:pStyle w:val="BodyText"/>
        <w:kinsoku w:val="0"/>
        <w:overflowPunct w:val="0"/>
        <w:spacing w:before="1" w:line="247" w:lineRule="auto"/>
        <w:ind w:left="107" w:right="366"/>
        <w:rPr>
          <w:rFonts w:ascii="Arial Narrow" w:hAnsi="Arial Narrow" w:cs="Arial Narrow"/>
          <w:sz w:val="18"/>
          <w:szCs w:val="18"/>
        </w:rPr>
      </w:pPr>
      <w:r>
        <w:rPr>
          <w:rFonts w:ascii="Arial Narrow" w:hAnsi="Arial Narrow" w:cs="Arial Narrow"/>
          <w:sz w:val="18"/>
          <w:szCs w:val="18"/>
        </w:rPr>
        <w:t>Mass General Hospital Metro West Medical Center Mount Auburn Hospital Newton Wellesley Hospital Noble Hospital</w:t>
      </w:r>
    </w:p>
    <w:p w:rsidR="002C5025" w:rsidRDefault="002C5025">
      <w:pPr>
        <w:pStyle w:val="BodyText"/>
        <w:kinsoku w:val="0"/>
        <w:overflowPunct w:val="0"/>
        <w:spacing w:before="1" w:line="247" w:lineRule="auto"/>
        <w:ind w:left="107" w:right="136" w:hanging="1"/>
        <w:rPr>
          <w:rFonts w:ascii="Arial Narrow" w:hAnsi="Arial Narrow" w:cs="Arial Narrow"/>
          <w:sz w:val="18"/>
          <w:szCs w:val="18"/>
        </w:rPr>
      </w:pPr>
      <w:r>
        <w:rPr>
          <w:rFonts w:ascii="Arial Narrow" w:hAnsi="Arial Narrow" w:cs="Arial Narrow"/>
          <w:sz w:val="18"/>
          <w:szCs w:val="18"/>
        </w:rPr>
        <w:t xml:space="preserve">North Shore Medical Center Providence Behavioral Health </w:t>
      </w:r>
      <w:proofErr w:type="spellStart"/>
      <w:r>
        <w:rPr>
          <w:rFonts w:ascii="Arial Narrow" w:hAnsi="Arial Narrow" w:cs="Arial Narrow"/>
          <w:sz w:val="18"/>
          <w:szCs w:val="18"/>
        </w:rPr>
        <w:t>Southcoast</w:t>
      </w:r>
      <w:proofErr w:type="spellEnd"/>
      <w:r>
        <w:rPr>
          <w:rFonts w:ascii="Arial Narrow" w:hAnsi="Arial Narrow" w:cs="Arial Narrow"/>
          <w:sz w:val="18"/>
          <w:szCs w:val="18"/>
        </w:rPr>
        <w:t xml:space="preserve"> Behavioral Health St. Vincent Hospital</w:t>
      </w:r>
    </w:p>
    <w:p w:rsidR="002C5025" w:rsidRDefault="002C5025">
      <w:pPr>
        <w:pStyle w:val="BodyText"/>
        <w:kinsoku w:val="0"/>
        <w:overflowPunct w:val="0"/>
        <w:spacing w:before="3"/>
        <w:ind w:left="107" w:right="-15"/>
        <w:rPr>
          <w:rFonts w:ascii="Arial Narrow" w:hAnsi="Arial Narrow" w:cs="Arial Narrow"/>
          <w:sz w:val="18"/>
          <w:szCs w:val="18"/>
        </w:rPr>
      </w:pPr>
      <w:r>
        <w:rPr>
          <w:rFonts w:ascii="Arial Narrow" w:hAnsi="Arial Narrow" w:cs="Arial Narrow"/>
          <w:sz w:val="18"/>
          <w:szCs w:val="18"/>
        </w:rPr>
        <w:t>Tufts Medical Center</w:t>
      </w:r>
    </w:p>
    <w:p w:rsidR="002C5025" w:rsidRDefault="002C5025">
      <w:pPr>
        <w:pStyle w:val="BodyText"/>
        <w:kinsoku w:val="0"/>
        <w:overflowPunct w:val="0"/>
        <w:spacing w:before="4" w:line="247" w:lineRule="auto"/>
        <w:ind w:left="107" w:right="136"/>
        <w:rPr>
          <w:rFonts w:ascii="Arial Narrow" w:hAnsi="Arial Narrow" w:cs="Arial Narrow"/>
          <w:sz w:val="18"/>
          <w:szCs w:val="18"/>
        </w:rPr>
      </w:pPr>
      <w:r>
        <w:rPr>
          <w:rFonts w:ascii="Arial Narrow" w:hAnsi="Arial Narrow" w:cs="Arial Narrow"/>
          <w:sz w:val="18"/>
          <w:szCs w:val="18"/>
        </w:rPr>
        <w:t>U Mass Memorial Health Care Walden Behavioral Care Whittier Pavilion</w:t>
      </w:r>
    </w:p>
    <w:p w:rsidR="002C5025" w:rsidRDefault="002C5025">
      <w:pPr>
        <w:pStyle w:val="BodyText"/>
        <w:kinsoku w:val="0"/>
        <w:overflowPunct w:val="0"/>
        <w:rPr>
          <w:rFonts w:ascii="Arial Narrow" w:hAnsi="Arial Narrow" w:cs="Arial Narrow"/>
          <w:sz w:val="24"/>
          <w:szCs w:val="24"/>
        </w:rPr>
      </w:pPr>
      <w:r>
        <w:rPr>
          <w:rFonts w:ascii="Times New Roman" w:hAnsi="Times New Roman" w:cs="Times New Roman"/>
          <w:sz w:val="24"/>
          <w:szCs w:val="24"/>
        </w:rPr>
        <w:br w:type="column"/>
      </w:r>
    </w:p>
    <w:p w:rsidR="002C5025" w:rsidRDefault="002C5025">
      <w:pPr>
        <w:pStyle w:val="BodyText"/>
        <w:kinsoku w:val="0"/>
        <w:overflowPunct w:val="0"/>
        <w:rPr>
          <w:rFonts w:ascii="Arial Narrow" w:hAnsi="Arial Narrow" w:cs="Arial Narrow"/>
          <w:sz w:val="24"/>
          <w:szCs w:val="24"/>
        </w:rPr>
      </w:pPr>
    </w:p>
    <w:p w:rsidR="002C5025" w:rsidRDefault="002C5025">
      <w:pPr>
        <w:pStyle w:val="BodyText"/>
        <w:kinsoku w:val="0"/>
        <w:overflowPunct w:val="0"/>
        <w:rPr>
          <w:rFonts w:ascii="Arial Narrow" w:hAnsi="Arial Narrow" w:cs="Arial Narrow"/>
          <w:sz w:val="24"/>
          <w:szCs w:val="24"/>
        </w:rPr>
      </w:pPr>
    </w:p>
    <w:p w:rsidR="002C5025" w:rsidRDefault="002C5025">
      <w:pPr>
        <w:pStyle w:val="BodyText"/>
        <w:kinsoku w:val="0"/>
        <w:overflowPunct w:val="0"/>
        <w:spacing w:before="204"/>
        <w:ind w:left="107" w:right="4051"/>
        <w:rPr>
          <w:rFonts w:ascii="Times New Roman" w:hAnsi="Times New Roman" w:cs="Times New Roman"/>
          <w:sz w:val="24"/>
          <w:szCs w:val="24"/>
        </w:rPr>
      </w:pPr>
      <w:r>
        <w:rPr>
          <w:rFonts w:ascii="Times New Roman" w:hAnsi="Times New Roman" w:cs="Times New Roman"/>
          <w:sz w:val="24"/>
          <w:szCs w:val="24"/>
        </w:rPr>
        <w:t>July 14, 2016</w:t>
      </w:r>
    </w:p>
    <w:p w:rsidR="002C5025" w:rsidRDefault="002C5025">
      <w:pPr>
        <w:pStyle w:val="BodyText"/>
        <w:kinsoku w:val="0"/>
        <w:overflowPunct w:val="0"/>
        <w:spacing w:before="2"/>
        <w:rPr>
          <w:rFonts w:ascii="Times New Roman" w:hAnsi="Times New Roman" w:cs="Times New Roman"/>
          <w:sz w:val="25"/>
          <w:szCs w:val="25"/>
        </w:rPr>
      </w:pPr>
    </w:p>
    <w:p w:rsidR="002C5025" w:rsidRDefault="002C5025">
      <w:pPr>
        <w:pStyle w:val="BodyText"/>
        <w:tabs>
          <w:tab w:val="left" w:pos="5418"/>
        </w:tabs>
        <w:kinsoku w:val="0"/>
        <w:overflowPunct w:val="0"/>
        <w:spacing w:before="1" w:line="247" w:lineRule="auto"/>
        <w:ind w:left="107" w:right="407"/>
        <w:rPr>
          <w:rFonts w:ascii="Times New Roman" w:hAnsi="Times New Roman" w:cs="Times New Roman"/>
          <w:sz w:val="24"/>
          <w:szCs w:val="24"/>
        </w:rPr>
      </w:pPr>
      <w:r>
        <w:rPr>
          <w:rFonts w:ascii="Times New Roman" w:hAnsi="Times New Roman" w:cs="Times New Roman"/>
          <w:sz w:val="24"/>
          <w:szCs w:val="24"/>
        </w:rPr>
        <w:t>Daniel</w:t>
      </w:r>
      <w:r>
        <w:rPr>
          <w:rFonts w:ascii="Times New Roman" w:hAnsi="Times New Roman" w:cs="Times New Roman"/>
          <w:spacing w:val="-4"/>
          <w:sz w:val="24"/>
          <w:szCs w:val="24"/>
        </w:rPr>
        <w:t xml:space="preserve"> </w:t>
      </w:r>
      <w:r>
        <w:rPr>
          <w:rFonts w:ascii="Times New Roman" w:hAnsi="Times New Roman" w:cs="Times New Roman"/>
          <w:sz w:val="24"/>
          <w:szCs w:val="24"/>
        </w:rPr>
        <w:t>Tsai</w:t>
      </w:r>
      <w:r>
        <w:rPr>
          <w:rFonts w:ascii="Times New Roman" w:hAnsi="Times New Roman" w:cs="Times New Roman"/>
          <w:sz w:val="24"/>
          <w:szCs w:val="24"/>
        </w:rPr>
        <w:tab/>
      </w:r>
      <w:r>
        <w:rPr>
          <w:rFonts w:ascii="Times New Roman" w:hAnsi="Times New Roman" w:cs="Times New Roman"/>
          <w:sz w:val="24"/>
          <w:szCs w:val="24"/>
          <w:u w:val="single" w:color="000000"/>
        </w:rPr>
        <w:t>Submitted Electronically</w:t>
      </w:r>
      <w:r>
        <w:rPr>
          <w:rFonts w:ascii="Times New Roman" w:hAnsi="Times New Roman" w:cs="Times New Roman"/>
          <w:spacing w:val="-31"/>
          <w:sz w:val="24"/>
          <w:szCs w:val="24"/>
          <w:u w:val="single" w:color="000000"/>
        </w:rPr>
        <w:t xml:space="preserve"> </w:t>
      </w:r>
      <w:r>
        <w:rPr>
          <w:rFonts w:ascii="Times New Roman" w:hAnsi="Times New Roman" w:cs="Times New Roman"/>
          <w:sz w:val="24"/>
          <w:szCs w:val="24"/>
          <w:u w:val="single" w:color="000000"/>
        </w:rPr>
        <w:t>via</w:t>
      </w:r>
      <w:r>
        <w:rPr>
          <w:rFonts w:ascii="Times New Roman" w:hAnsi="Times New Roman" w:cs="Times New Roman"/>
          <w:spacing w:val="-12"/>
          <w:sz w:val="24"/>
          <w:szCs w:val="24"/>
          <w:u w:val="single" w:color="000000"/>
        </w:rPr>
        <w:t xml:space="preserve"> </w:t>
      </w:r>
      <w:r>
        <w:rPr>
          <w:rFonts w:ascii="Times New Roman" w:hAnsi="Times New Roman" w:cs="Times New Roman"/>
          <w:sz w:val="24"/>
          <w:szCs w:val="24"/>
          <w:u w:val="single" w:color="000000"/>
        </w:rPr>
        <w:t>Email</w:t>
      </w:r>
      <w:r>
        <w:rPr>
          <w:rFonts w:ascii="Times New Roman" w:hAnsi="Times New Roman" w:cs="Times New Roman"/>
          <w:sz w:val="24"/>
          <w:szCs w:val="24"/>
        </w:rPr>
        <w:t xml:space="preserve"> Assistant Secretary for</w:t>
      </w:r>
      <w:r>
        <w:rPr>
          <w:rFonts w:ascii="Times New Roman" w:hAnsi="Times New Roman" w:cs="Times New Roman"/>
          <w:spacing w:val="-40"/>
          <w:sz w:val="24"/>
          <w:szCs w:val="24"/>
        </w:rPr>
        <w:t xml:space="preserve"> </w:t>
      </w:r>
      <w:r>
        <w:rPr>
          <w:rFonts w:ascii="Times New Roman" w:hAnsi="Times New Roman" w:cs="Times New Roman"/>
          <w:sz w:val="24"/>
          <w:szCs w:val="24"/>
        </w:rPr>
        <w:t>MassHealth</w:t>
      </w:r>
    </w:p>
    <w:p w:rsidR="002C5025" w:rsidRDefault="002C5025">
      <w:pPr>
        <w:pStyle w:val="BodyText"/>
        <w:kinsoku w:val="0"/>
        <w:overflowPunct w:val="0"/>
        <w:spacing w:before="24" w:line="213" w:lineRule="auto"/>
        <w:ind w:left="107" w:right="4051"/>
        <w:rPr>
          <w:rFonts w:ascii="Times New Roman" w:hAnsi="Times New Roman" w:cs="Times New Roman"/>
          <w:sz w:val="24"/>
          <w:szCs w:val="24"/>
        </w:rPr>
      </w:pPr>
      <w:r>
        <w:rPr>
          <w:rFonts w:ascii="Times New Roman" w:hAnsi="Times New Roman" w:cs="Times New Roman"/>
          <w:sz w:val="24"/>
          <w:szCs w:val="24"/>
        </w:rPr>
        <w:t>Executive Office of Health and Human Services One Ashburton Place, 11</w:t>
      </w:r>
      <w:proofErr w:type="spellStart"/>
      <w:r>
        <w:rPr>
          <w:rFonts w:ascii="Times New Roman" w:hAnsi="Times New Roman" w:cs="Times New Roman"/>
          <w:position w:val="11"/>
          <w:sz w:val="16"/>
          <w:szCs w:val="16"/>
        </w:rPr>
        <w:t>th</w:t>
      </w:r>
      <w:proofErr w:type="spellEnd"/>
      <w:r>
        <w:rPr>
          <w:rFonts w:ascii="Times New Roman" w:hAnsi="Times New Roman" w:cs="Times New Roman"/>
          <w:position w:val="11"/>
          <w:sz w:val="16"/>
          <w:szCs w:val="16"/>
        </w:rPr>
        <w:t xml:space="preserve"> </w:t>
      </w:r>
      <w:r>
        <w:rPr>
          <w:rFonts w:ascii="Times New Roman" w:hAnsi="Times New Roman" w:cs="Times New Roman"/>
          <w:sz w:val="24"/>
          <w:szCs w:val="24"/>
        </w:rPr>
        <w:t>Floor</w:t>
      </w:r>
    </w:p>
    <w:p w:rsidR="002C5025" w:rsidRDefault="002C5025">
      <w:pPr>
        <w:pStyle w:val="BodyText"/>
        <w:kinsoku w:val="0"/>
        <w:overflowPunct w:val="0"/>
        <w:spacing w:before="13"/>
        <w:ind w:left="107" w:right="4051"/>
        <w:rPr>
          <w:rFonts w:ascii="Times New Roman" w:hAnsi="Times New Roman" w:cs="Times New Roman"/>
          <w:sz w:val="24"/>
          <w:szCs w:val="24"/>
        </w:rPr>
      </w:pPr>
      <w:r>
        <w:rPr>
          <w:rFonts w:ascii="Times New Roman" w:hAnsi="Times New Roman" w:cs="Times New Roman"/>
          <w:sz w:val="24"/>
          <w:szCs w:val="24"/>
        </w:rPr>
        <w:t>Boston, Ma 02108</w:t>
      </w:r>
    </w:p>
    <w:p w:rsidR="002C5025" w:rsidRDefault="002C5025">
      <w:pPr>
        <w:pStyle w:val="BodyText"/>
        <w:kinsoku w:val="0"/>
        <w:overflowPunct w:val="0"/>
        <w:spacing w:before="2"/>
        <w:rPr>
          <w:rFonts w:ascii="Times New Roman" w:hAnsi="Times New Roman" w:cs="Times New Roman"/>
          <w:sz w:val="25"/>
          <w:szCs w:val="25"/>
        </w:rPr>
      </w:pPr>
    </w:p>
    <w:p w:rsidR="002C5025" w:rsidRDefault="002C5025">
      <w:pPr>
        <w:pStyle w:val="BodyText"/>
        <w:kinsoku w:val="0"/>
        <w:overflowPunct w:val="0"/>
        <w:spacing w:before="1" w:line="482" w:lineRule="auto"/>
        <w:ind w:left="107" w:right="3549"/>
        <w:rPr>
          <w:rFonts w:ascii="Times New Roman" w:hAnsi="Times New Roman" w:cs="Times New Roman"/>
          <w:sz w:val="24"/>
          <w:szCs w:val="24"/>
        </w:rPr>
      </w:pPr>
      <w:r>
        <w:rPr>
          <w:rFonts w:ascii="Times New Roman" w:hAnsi="Times New Roman" w:cs="Times New Roman"/>
          <w:sz w:val="24"/>
          <w:szCs w:val="24"/>
          <w:u w:val="single" w:color="000000"/>
        </w:rPr>
        <w:t xml:space="preserve">Re: Comments on Demonstration Extension Request </w:t>
      </w:r>
      <w:r>
        <w:rPr>
          <w:rFonts w:ascii="Times New Roman" w:hAnsi="Times New Roman" w:cs="Times New Roman"/>
          <w:sz w:val="24"/>
          <w:szCs w:val="24"/>
        </w:rPr>
        <w:t>Dear Assistant Secretary Tsai:</w:t>
      </w:r>
    </w:p>
    <w:p w:rsidR="002C5025" w:rsidRDefault="002C5025">
      <w:pPr>
        <w:pStyle w:val="BodyText"/>
        <w:kinsoku w:val="0"/>
        <w:overflowPunct w:val="0"/>
        <w:spacing w:before="34" w:line="244" w:lineRule="auto"/>
        <w:ind w:left="107"/>
        <w:rPr>
          <w:rFonts w:ascii="Times New Roman" w:hAnsi="Times New Roman" w:cs="Times New Roman"/>
          <w:sz w:val="24"/>
          <w:szCs w:val="24"/>
        </w:rPr>
      </w:pPr>
      <w:r>
        <w:rPr>
          <w:rFonts w:ascii="Times New Roman" w:hAnsi="Times New Roman" w:cs="Times New Roman"/>
          <w:sz w:val="24"/>
          <w:szCs w:val="24"/>
        </w:rPr>
        <w:t>On behalf of the Massachusetts Association of Behavioral Health Systems (MABHS), we appreciate the opportunity to offer these comments on the MassHealth Section 1115 Demonstration Project Amendment and Extension Request. The MABHS represents 44 inpatient mental health and substance abuse facilities in Massachusetts. These written comments are in addition to the verbal comments I offered at the June 24 Public Meeting.</w:t>
      </w:r>
    </w:p>
    <w:p w:rsidR="002C5025" w:rsidRDefault="002C5025">
      <w:pPr>
        <w:pStyle w:val="BodyText"/>
        <w:kinsoku w:val="0"/>
        <w:overflowPunct w:val="0"/>
        <w:spacing w:before="2"/>
        <w:rPr>
          <w:rFonts w:ascii="Times New Roman" w:hAnsi="Times New Roman" w:cs="Times New Roman"/>
          <w:sz w:val="25"/>
          <w:szCs w:val="25"/>
        </w:rPr>
      </w:pPr>
    </w:p>
    <w:p w:rsidR="002C5025" w:rsidRDefault="002C5025">
      <w:pPr>
        <w:pStyle w:val="BodyText"/>
        <w:kinsoku w:val="0"/>
        <w:overflowPunct w:val="0"/>
        <w:ind w:left="107"/>
        <w:rPr>
          <w:rFonts w:ascii="Times New Roman" w:hAnsi="Times New Roman" w:cs="Times New Roman"/>
          <w:sz w:val="24"/>
          <w:szCs w:val="24"/>
        </w:rPr>
      </w:pPr>
      <w:bookmarkStart w:id="192" w:name="There_are_many_positive_proposals_in_the"/>
      <w:bookmarkEnd w:id="192"/>
      <w:r>
        <w:rPr>
          <w:rFonts w:ascii="Times New Roman" w:hAnsi="Times New Roman" w:cs="Times New Roman"/>
          <w:b/>
          <w:bCs/>
          <w:sz w:val="24"/>
          <w:szCs w:val="24"/>
        </w:rPr>
        <w:t>There are many positive proposals in the Waiver request as follows</w:t>
      </w:r>
      <w:r>
        <w:rPr>
          <w:rFonts w:ascii="Times New Roman" w:hAnsi="Times New Roman" w:cs="Times New Roman"/>
          <w:sz w:val="24"/>
          <w:szCs w:val="24"/>
        </w:rPr>
        <w:t>:</w:t>
      </w:r>
    </w:p>
    <w:p w:rsidR="002C5025" w:rsidRDefault="002C5025">
      <w:pPr>
        <w:pStyle w:val="BodyText"/>
        <w:kinsoku w:val="0"/>
        <w:overflowPunct w:val="0"/>
        <w:spacing w:before="5"/>
        <w:rPr>
          <w:rFonts w:ascii="Times New Roman" w:hAnsi="Times New Roman" w:cs="Times New Roman"/>
          <w:sz w:val="25"/>
          <w:szCs w:val="25"/>
        </w:rPr>
      </w:pPr>
    </w:p>
    <w:p w:rsidR="002C5025" w:rsidRDefault="002C5025">
      <w:pPr>
        <w:pStyle w:val="ListParagraph"/>
        <w:numPr>
          <w:ilvl w:val="2"/>
          <w:numId w:val="40"/>
        </w:numPr>
        <w:tabs>
          <w:tab w:val="left" w:pos="828"/>
        </w:tabs>
        <w:kinsoku w:val="0"/>
        <w:overflowPunct w:val="0"/>
        <w:spacing w:line="244" w:lineRule="auto"/>
        <w:ind w:right="196"/>
      </w:pPr>
      <w:r>
        <w:t xml:space="preserve">The Request strongly emphasizes that Behavioral Health is an important component of the MassHealth delivery </w:t>
      </w:r>
      <w:r>
        <w:rPr>
          <w:spacing w:val="-3"/>
        </w:rPr>
        <w:t xml:space="preserve">system </w:t>
      </w:r>
      <w:r>
        <w:t xml:space="preserve">and strives to fully </w:t>
      </w:r>
      <w:r>
        <w:rPr>
          <w:u w:val="single" w:color="000000"/>
        </w:rPr>
        <w:t xml:space="preserve">integrate Behavioral Health </w:t>
      </w:r>
      <w:r>
        <w:t>into</w:t>
      </w:r>
      <w:r>
        <w:rPr>
          <w:spacing w:val="-3"/>
        </w:rPr>
        <w:t xml:space="preserve"> </w:t>
      </w:r>
      <w:r>
        <w:t>the</w:t>
      </w:r>
      <w:r>
        <w:rPr>
          <w:spacing w:val="-4"/>
        </w:rPr>
        <w:t xml:space="preserve"> </w:t>
      </w:r>
      <w:r>
        <w:t>ACO</w:t>
      </w:r>
      <w:r>
        <w:rPr>
          <w:spacing w:val="-4"/>
        </w:rPr>
        <w:t xml:space="preserve"> </w:t>
      </w:r>
      <w:r>
        <w:t>and</w:t>
      </w:r>
      <w:r>
        <w:rPr>
          <w:spacing w:val="-3"/>
        </w:rPr>
        <w:t xml:space="preserve"> </w:t>
      </w:r>
      <w:r>
        <w:t>other</w:t>
      </w:r>
      <w:r>
        <w:rPr>
          <w:spacing w:val="-9"/>
        </w:rPr>
        <w:t xml:space="preserve"> </w:t>
      </w:r>
      <w:r>
        <w:t>models</w:t>
      </w:r>
      <w:r>
        <w:rPr>
          <w:spacing w:val="-3"/>
        </w:rPr>
        <w:t xml:space="preserve"> </w:t>
      </w:r>
      <w:r>
        <w:t>of</w:t>
      </w:r>
      <w:r>
        <w:rPr>
          <w:spacing w:val="-4"/>
        </w:rPr>
        <w:t xml:space="preserve"> </w:t>
      </w:r>
      <w:r>
        <w:t>care.</w:t>
      </w:r>
      <w:r>
        <w:rPr>
          <w:spacing w:val="-3"/>
        </w:rPr>
        <w:t xml:space="preserve"> </w:t>
      </w:r>
      <w:r>
        <w:t>The</w:t>
      </w:r>
      <w:r>
        <w:rPr>
          <w:spacing w:val="-7"/>
        </w:rPr>
        <w:t xml:space="preserve"> </w:t>
      </w:r>
      <w:r>
        <w:t>Waiver</w:t>
      </w:r>
      <w:r>
        <w:rPr>
          <w:spacing w:val="-7"/>
        </w:rPr>
        <w:t xml:space="preserve"> </w:t>
      </w:r>
      <w:r>
        <w:t>Request</w:t>
      </w:r>
      <w:r>
        <w:rPr>
          <w:spacing w:val="-3"/>
        </w:rPr>
        <w:t xml:space="preserve"> </w:t>
      </w:r>
      <w:r>
        <w:t>is</w:t>
      </w:r>
      <w:r>
        <w:rPr>
          <w:spacing w:val="-3"/>
        </w:rPr>
        <w:t xml:space="preserve"> </w:t>
      </w:r>
      <w:r>
        <w:t>replete</w:t>
      </w:r>
      <w:r>
        <w:rPr>
          <w:spacing w:val="-4"/>
        </w:rPr>
        <w:t xml:space="preserve"> </w:t>
      </w:r>
      <w:r>
        <w:t>with</w:t>
      </w:r>
      <w:r>
        <w:rPr>
          <w:spacing w:val="-3"/>
        </w:rPr>
        <w:t xml:space="preserve"> </w:t>
      </w:r>
      <w:r>
        <w:t xml:space="preserve">reference to Behavioral Health and it is clear that MassHealth is strongly pushing for a better Behavioral Health </w:t>
      </w:r>
      <w:r>
        <w:rPr>
          <w:spacing w:val="-3"/>
        </w:rPr>
        <w:t xml:space="preserve">system </w:t>
      </w:r>
      <w:r>
        <w:t>for its Members. This is very</w:t>
      </w:r>
      <w:r>
        <w:rPr>
          <w:spacing w:val="-43"/>
        </w:rPr>
        <w:t xml:space="preserve"> </w:t>
      </w:r>
      <w:r>
        <w:t>positive.</w:t>
      </w:r>
    </w:p>
    <w:p w:rsidR="002C5025" w:rsidRDefault="002C5025">
      <w:pPr>
        <w:pStyle w:val="BodyText"/>
        <w:kinsoku w:val="0"/>
        <w:overflowPunct w:val="0"/>
        <w:spacing w:before="9"/>
        <w:rPr>
          <w:rFonts w:ascii="Times New Roman" w:hAnsi="Times New Roman" w:cs="Times New Roman"/>
          <w:sz w:val="24"/>
          <w:szCs w:val="24"/>
        </w:rPr>
      </w:pPr>
    </w:p>
    <w:p w:rsidR="002C5025" w:rsidRDefault="002C5025">
      <w:pPr>
        <w:pStyle w:val="ListParagraph"/>
        <w:numPr>
          <w:ilvl w:val="2"/>
          <w:numId w:val="40"/>
        </w:numPr>
        <w:tabs>
          <w:tab w:val="left" w:pos="828"/>
        </w:tabs>
        <w:kinsoku w:val="0"/>
        <w:overflowPunct w:val="0"/>
        <w:spacing w:line="244" w:lineRule="auto"/>
        <w:ind w:right="111"/>
        <w:rPr>
          <w:spacing w:val="-3"/>
        </w:rPr>
      </w:pPr>
      <w:r>
        <w:t xml:space="preserve">The Request proposes to continue to provide </w:t>
      </w:r>
      <w:r>
        <w:rPr>
          <w:spacing w:val="-3"/>
        </w:rPr>
        <w:t xml:space="preserve">payments </w:t>
      </w:r>
      <w:r>
        <w:t xml:space="preserve">for providers designated </w:t>
      </w:r>
      <w:r>
        <w:rPr>
          <w:spacing w:val="-4"/>
        </w:rPr>
        <w:t xml:space="preserve">as </w:t>
      </w:r>
      <w:r>
        <w:rPr>
          <w:u w:val="single" w:color="000000"/>
        </w:rPr>
        <w:t xml:space="preserve">Institutions for Mental Disease </w:t>
      </w:r>
      <w:r>
        <w:rPr>
          <w:spacing w:val="-4"/>
          <w:u w:val="single" w:color="000000"/>
        </w:rPr>
        <w:t xml:space="preserve">(IMDs) </w:t>
      </w:r>
      <w:r>
        <w:t xml:space="preserve">for recipients aged 21-64. The use of </w:t>
      </w:r>
      <w:r>
        <w:rPr>
          <w:spacing w:val="-3"/>
        </w:rPr>
        <w:t xml:space="preserve">IMDs </w:t>
      </w:r>
      <w:r>
        <w:t xml:space="preserve">has been the practice in Massachusetts for over 20 </w:t>
      </w:r>
      <w:r>
        <w:rPr>
          <w:spacing w:val="-3"/>
        </w:rPr>
        <w:t xml:space="preserve">years </w:t>
      </w:r>
      <w:r>
        <w:t>and it has been very beneficial for MassHealth, its Members, and providers. Massachusetts has been a model</w:t>
      </w:r>
      <w:r>
        <w:rPr>
          <w:spacing w:val="-3"/>
        </w:rPr>
        <w:t xml:space="preserve"> </w:t>
      </w:r>
      <w:r>
        <w:t>for</w:t>
      </w:r>
      <w:r>
        <w:rPr>
          <w:spacing w:val="-4"/>
        </w:rPr>
        <w:t xml:space="preserve"> </w:t>
      </w:r>
      <w:r>
        <w:t>the</w:t>
      </w:r>
      <w:r>
        <w:rPr>
          <w:spacing w:val="-4"/>
        </w:rPr>
        <w:t xml:space="preserve"> </w:t>
      </w:r>
      <w:r>
        <w:t>country</w:t>
      </w:r>
      <w:r>
        <w:rPr>
          <w:spacing w:val="-18"/>
        </w:rPr>
        <w:t xml:space="preserve"> </w:t>
      </w:r>
      <w:r>
        <w:t>in</w:t>
      </w:r>
      <w:r>
        <w:rPr>
          <w:spacing w:val="-3"/>
        </w:rPr>
        <w:t xml:space="preserve"> </w:t>
      </w:r>
      <w:r>
        <w:t>this</w:t>
      </w:r>
      <w:r>
        <w:rPr>
          <w:spacing w:val="-3"/>
        </w:rPr>
        <w:t xml:space="preserve"> </w:t>
      </w:r>
      <w:r>
        <w:t>area</w:t>
      </w:r>
      <w:r>
        <w:rPr>
          <w:spacing w:val="-4"/>
        </w:rPr>
        <w:t xml:space="preserve"> </w:t>
      </w:r>
      <w:r>
        <w:t>and</w:t>
      </w:r>
      <w:r>
        <w:rPr>
          <w:spacing w:val="-3"/>
        </w:rPr>
        <w:t xml:space="preserve"> </w:t>
      </w:r>
      <w:r>
        <w:t>we</w:t>
      </w:r>
      <w:r>
        <w:rPr>
          <w:spacing w:val="-7"/>
        </w:rPr>
        <w:t xml:space="preserve"> </w:t>
      </w:r>
      <w:r>
        <w:t>are</w:t>
      </w:r>
      <w:r>
        <w:rPr>
          <w:spacing w:val="-7"/>
        </w:rPr>
        <w:t xml:space="preserve"> </w:t>
      </w:r>
      <w:r>
        <w:t>pleased</w:t>
      </w:r>
      <w:r>
        <w:rPr>
          <w:spacing w:val="-3"/>
        </w:rPr>
        <w:t xml:space="preserve"> </w:t>
      </w:r>
      <w:r>
        <w:t>to</w:t>
      </w:r>
      <w:r>
        <w:rPr>
          <w:spacing w:val="-3"/>
        </w:rPr>
        <w:t xml:space="preserve"> </w:t>
      </w:r>
      <w:r>
        <w:t>see</w:t>
      </w:r>
      <w:r>
        <w:rPr>
          <w:spacing w:val="-7"/>
        </w:rPr>
        <w:t xml:space="preserve"> </w:t>
      </w:r>
      <w:r>
        <w:t>recognition</w:t>
      </w:r>
      <w:r>
        <w:rPr>
          <w:spacing w:val="-3"/>
        </w:rPr>
        <w:t xml:space="preserve"> </w:t>
      </w:r>
      <w:r>
        <w:t>of</w:t>
      </w:r>
      <w:r>
        <w:rPr>
          <w:spacing w:val="-4"/>
        </w:rPr>
        <w:t xml:space="preserve"> </w:t>
      </w:r>
      <w:r>
        <w:t>the</w:t>
      </w:r>
      <w:r>
        <w:rPr>
          <w:spacing w:val="-4"/>
        </w:rPr>
        <w:t xml:space="preserve"> </w:t>
      </w:r>
      <w:r>
        <w:t>value</w:t>
      </w:r>
      <w:r>
        <w:rPr>
          <w:spacing w:val="-4"/>
        </w:rPr>
        <w:t xml:space="preserve"> </w:t>
      </w:r>
      <w:r>
        <w:t xml:space="preserve">of using </w:t>
      </w:r>
      <w:r>
        <w:rPr>
          <w:spacing w:val="-3"/>
        </w:rPr>
        <w:t xml:space="preserve">IMDs </w:t>
      </w:r>
      <w:r>
        <w:t>nationally through recent Federal CMS Regulations. We urge MassHealth to continue to support the use of</w:t>
      </w:r>
      <w:r>
        <w:rPr>
          <w:spacing w:val="-16"/>
        </w:rPr>
        <w:t xml:space="preserve"> </w:t>
      </w:r>
      <w:r>
        <w:rPr>
          <w:spacing w:val="-3"/>
        </w:rPr>
        <w:t>IMDs.</w:t>
      </w:r>
    </w:p>
    <w:p w:rsidR="002C5025" w:rsidRDefault="002C5025">
      <w:pPr>
        <w:pStyle w:val="BodyText"/>
        <w:kinsoku w:val="0"/>
        <w:overflowPunct w:val="0"/>
        <w:rPr>
          <w:rFonts w:ascii="Times New Roman" w:hAnsi="Times New Roman" w:cs="Times New Roman"/>
          <w:sz w:val="25"/>
          <w:szCs w:val="25"/>
        </w:rPr>
      </w:pPr>
    </w:p>
    <w:p w:rsidR="002C5025" w:rsidRDefault="002C5025">
      <w:pPr>
        <w:pStyle w:val="ListParagraph"/>
        <w:numPr>
          <w:ilvl w:val="2"/>
          <w:numId w:val="40"/>
        </w:numPr>
        <w:tabs>
          <w:tab w:val="left" w:pos="828"/>
        </w:tabs>
        <w:kinsoku w:val="0"/>
        <w:overflowPunct w:val="0"/>
        <w:spacing w:line="244" w:lineRule="auto"/>
        <w:ind w:right="146"/>
      </w:pPr>
      <w:r>
        <w:t xml:space="preserve">The strong emphasis on </w:t>
      </w:r>
      <w:r>
        <w:rPr>
          <w:u w:val="single" w:color="000000"/>
        </w:rPr>
        <w:t xml:space="preserve">Care Coordination </w:t>
      </w:r>
      <w:r>
        <w:t xml:space="preserve">throughout the Request is very good. </w:t>
      </w:r>
      <w:r>
        <w:rPr>
          <w:spacing w:val="-8"/>
        </w:rPr>
        <w:t xml:space="preserve">If </w:t>
      </w:r>
      <w:r>
        <w:t>implemented Care Coordination will result in better outcomes for MassHealth Members</w:t>
      </w:r>
      <w:r>
        <w:rPr>
          <w:spacing w:val="-5"/>
        </w:rPr>
        <w:t xml:space="preserve"> </w:t>
      </w:r>
      <w:r>
        <w:t>and</w:t>
      </w:r>
      <w:r>
        <w:rPr>
          <w:spacing w:val="-5"/>
        </w:rPr>
        <w:t xml:space="preserve"> </w:t>
      </w:r>
      <w:r>
        <w:t>we</w:t>
      </w:r>
      <w:r>
        <w:rPr>
          <w:spacing w:val="-8"/>
        </w:rPr>
        <w:t xml:space="preserve"> </w:t>
      </w:r>
      <w:r>
        <w:t>hope</w:t>
      </w:r>
      <w:r>
        <w:rPr>
          <w:spacing w:val="-6"/>
        </w:rPr>
        <w:t xml:space="preserve"> </w:t>
      </w:r>
      <w:r>
        <w:t>that</w:t>
      </w:r>
      <w:r>
        <w:rPr>
          <w:spacing w:val="-5"/>
        </w:rPr>
        <w:t xml:space="preserve"> </w:t>
      </w:r>
      <w:r>
        <w:t>regardless</w:t>
      </w:r>
      <w:r>
        <w:rPr>
          <w:spacing w:val="-5"/>
        </w:rPr>
        <w:t xml:space="preserve"> </w:t>
      </w:r>
      <w:r>
        <w:t>of</w:t>
      </w:r>
      <w:r>
        <w:rPr>
          <w:spacing w:val="-6"/>
        </w:rPr>
        <w:t xml:space="preserve"> </w:t>
      </w:r>
      <w:r>
        <w:t>the</w:t>
      </w:r>
      <w:r>
        <w:rPr>
          <w:spacing w:val="-6"/>
        </w:rPr>
        <w:t xml:space="preserve"> </w:t>
      </w:r>
      <w:r>
        <w:t>models</w:t>
      </w:r>
      <w:r>
        <w:rPr>
          <w:spacing w:val="-7"/>
        </w:rPr>
        <w:t xml:space="preserve"> </w:t>
      </w:r>
      <w:r>
        <w:t>used,</w:t>
      </w:r>
      <w:r>
        <w:rPr>
          <w:spacing w:val="-5"/>
        </w:rPr>
        <w:t xml:space="preserve"> </w:t>
      </w:r>
      <w:r>
        <w:t>that</w:t>
      </w:r>
      <w:r>
        <w:rPr>
          <w:spacing w:val="-6"/>
        </w:rPr>
        <w:t xml:space="preserve"> </w:t>
      </w:r>
      <w:r>
        <w:t>Care</w:t>
      </w:r>
      <w:r>
        <w:rPr>
          <w:spacing w:val="-8"/>
        </w:rPr>
        <w:t xml:space="preserve"> </w:t>
      </w:r>
      <w:r>
        <w:t>Coordination</w:t>
      </w:r>
      <w:r>
        <w:rPr>
          <w:spacing w:val="-5"/>
        </w:rPr>
        <w:t xml:space="preserve"> </w:t>
      </w:r>
      <w:r>
        <w:t>will be</w:t>
      </w:r>
      <w:r>
        <w:rPr>
          <w:spacing w:val="-6"/>
        </w:rPr>
        <w:t xml:space="preserve"> </w:t>
      </w:r>
      <w:r>
        <w:t>an</w:t>
      </w:r>
      <w:r>
        <w:rPr>
          <w:spacing w:val="-5"/>
        </w:rPr>
        <w:t xml:space="preserve"> </w:t>
      </w:r>
      <w:r>
        <w:t>integral</w:t>
      </w:r>
      <w:r>
        <w:rPr>
          <w:spacing w:val="-5"/>
        </w:rPr>
        <w:t xml:space="preserve"> </w:t>
      </w:r>
      <w:r>
        <w:t>component</w:t>
      </w:r>
      <w:r>
        <w:rPr>
          <w:spacing w:val="-7"/>
        </w:rPr>
        <w:t xml:space="preserve"> </w:t>
      </w:r>
      <w:r>
        <w:t>of</w:t>
      </w:r>
      <w:r>
        <w:rPr>
          <w:spacing w:val="-6"/>
        </w:rPr>
        <w:t xml:space="preserve"> </w:t>
      </w:r>
      <w:r>
        <w:t>the</w:t>
      </w:r>
      <w:r>
        <w:rPr>
          <w:spacing w:val="-6"/>
        </w:rPr>
        <w:t xml:space="preserve"> </w:t>
      </w:r>
      <w:r>
        <w:t>delivery</w:t>
      </w:r>
      <w:r>
        <w:rPr>
          <w:spacing w:val="-19"/>
        </w:rPr>
        <w:t xml:space="preserve"> </w:t>
      </w:r>
      <w:r>
        <w:t>system.</w:t>
      </w:r>
    </w:p>
    <w:p w:rsidR="002C5025" w:rsidRDefault="002C5025">
      <w:pPr>
        <w:pStyle w:val="BodyText"/>
        <w:kinsoku w:val="0"/>
        <w:overflowPunct w:val="0"/>
        <w:spacing w:before="9"/>
        <w:rPr>
          <w:rFonts w:ascii="Times New Roman" w:hAnsi="Times New Roman" w:cs="Times New Roman"/>
          <w:sz w:val="24"/>
          <w:szCs w:val="24"/>
        </w:rPr>
      </w:pPr>
    </w:p>
    <w:p w:rsidR="002C5025" w:rsidRDefault="002C5025">
      <w:pPr>
        <w:pStyle w:val="ListParagraph"/>
        <w:numPr>
          <w:ilvl w:val="2"/>
          <w:numId w:val="40"/>
        </w:numPr>
        <w:tabs>
          <w:tab w:val="left" w:pos="828"/>
        </w:tabs>
        <w:kinsoku w:val="0"/>
        <w:overflowPunct w:val="0"/>
        <w:spacing w:line="244" w:lineRule="auto"/>
        <w:ind w:right="229"/>
      </w:pPr>
      <w:r>
        <w:t>The</w:t>
      </w:r>
      <w:r>
        <w:rPr>
          <w:spacing w:val="-9"/>
        </w:rPr>
        <w:t xml:space="preserve"> </w:t>
      </w:r>
      <w:r>
        <w:t>Request</w:t>
      </w:r>
      <w:r>
        <w:rPr>
          <w:spacing w:val="-6"/>
        </w:rPr>
        <w:t xml:space="preserve"> </w:t>
      </w:r>
      <w:r>
        <w:t>in</w:t>
      </w:r>
      <w:r>
        <w:rPr>
          <w:spacing w:val="-8"/>
        </w:rPr>
        <w:t xml:space="preserve"> </w:t>
      </w:r>
      <w:r>
        <w:t>Section</w:t>
      </w:r>
      <w:r>
        <w:rPr>
          <w:spacing w:val="-7"/>
        </w:rPr>
        <w:t xml:space="preserve"> </w:t>
      </w:r>
      <w:r>
        <w:t>5.5.1</w:t>
      </w:r>
      <w:r>
        <w:rPr>
          <w:spacing w:val="-6"/>
        </w:rPr>
        <w:t xml:space="preserve"> </w:t>
      </w:r>
      <w:r>
        <w:t>for</w:t>
      </w:r>
      <w:r>
        <w:rPr>
          <w:spacing w:val="-9"/>
        </w:rPr>
        <w:t xml:space="preserve"> </w:t>
      </w:r>
      <w:r>
        <w:rPr>
          <w:u w:val="single" w:color="000000"/>
        </w:rPr>
        <w:t>Healthcare</w:t>
      </w:r>
      <w:r>
        <w:rPr>
          <w:spacing w:val="-11"/>
          <w:u w:val="single" w:color="000000"/>
        </w:rPr>
        <w:t xml:space="preserve"> </w:t>
      </w:r>
      <w:r>
        <w:rPr>
          <w:u w:val="single" w:color="000000"/>
        </w:rPr>
        <w:t>Workforce</w:t>
      </w:r>
      <w:r>
        <w:rPr>
          <w:spacing w:val="-7"/>
          <w:u w:val="single" w:color="000000"/>
        </w:rPr>
        <w:t xml:space="preserve"> </w:t>
      </w:r>
      <w:r>
        <w:rPr>
          <w:u w:val="single" w:color="000000"/>
        </w:rPr>
        <w:t>Development</w:t>
      </w:r>
      <w:r>
        <w:rPr>
          <w:spacing w:val="-6"/>
          <w:u w:val="single" w:color="000000"/>
        </w:rPr>
        <w:t xml:space="preserve"> </w:t>
      </w:r>
      <w:r>
        <w:rPr>
          <w:u w:val="single" w:color="000000"/>
        </w:rPr>
        <w:t>and</w:t>
      </w:r>
      <w:r>
        <w:rPr>
          <w:spacing w:val="-6"/>
          <w:u w:val="single" w:color="000000"/>
        </w:rPr>
        <w:t xml:space="preserve"> </w:t>
      </w:r>
      <w:r>
        <w:rPr>
          <w:u w:val="single" w:color="000000"/>
        </w:rPr>
        <w:t>Training</w:t>
      </w:r>
      <w:r>
        <w:rPr>
          <w:spacing w:val="-10"/>
          <w:u w:val="single" w:color="000000"/>
        </w:rPr>
        <w:t xml:space="preserve"> </w:t>
      </w:r>
      <w:r>
        <w:t>is very good. For the Inpatient Behavioral Health hospitals, workforce is becoming an increasingly challenging problem. There is a need to develop more individuals to work in the Behavioral Health field as currently our hospitals are having problems recruiting sufficient personnel, particularly for physicians and nurses. We strongly urge MassHealth to continue to advocate for funding in this regard and that Behavioral Health be emphasized as having particular needs for a more robust workforce in order to meet growing</w:t>
      </w:r>
      <w:r>
        <w:rPr>
          <w:spacing w:val="-43"/>
        </w:rPr>
        <w:t xml:space="preserve"> </w:t>
      </w:r>
      <w:r>
        <w:t>demands.</w:t>
      </w:r>
    </w:p>
    <w:p w:rsidR="002C5025" w:rsidRDefault="002C5025">
      <w:pPr>
        <w:pStyle w:val="ListParagraph"/>
        <w:numPr>
          <w:ilvl w:val="2"/>
          <w:numId w:val="40"/>
        </w:numPr>
        <w:tabs>
          <w:tab w:val="left" w:pos="828"/>
        </w:tabs>
        <w:kinsoku w:val="0"/>
        <w:overflowPunct w:val="0"/>
        <w:spacing w:line="244" w:lineRule="auto"/>
        <w:ind w:right="229"/>
        <w:sectPr w:rsidR="002C5025">
          <w:type w:val="continuous"/>
          <w:pgSz w:w="12240" w:h="15840"/>
          <w:pgMar w:top="720" w:right="560" w:bottom="280" w:left="80" w:header="720" w:footer="720" w:gutter="0"/>
          <w:cols w:num="2" w:space="720" w:equalWidth="0">
            <w:col w:w="2324" w:space="100"/>
            <w:col w:w="9176"/>
          </w:cols>
          <w:noEndnote/>
        </w:sectPr>
      </w:pPr>
    </w:p>
    <w:p w:rsidR="002C5025" w:rsidRDefault="002C5025">
      <w:pPr>
        <w:pStyle w:val="ListParagraph"/>
        <w:numPr>
          <w:ilvl w:val="3"/>
          <w:numId w:val="40"/>
        </w:numPr>
        <w:tabs>
          <w:tab w:val="left" w:pos="1612"/>
        </w:tabs>
        <w:kinsoku w:val="0"/>
        <w:overflowPunct w:val="0"/>
        <w:spacing w:before="48" w:line="244" w:lineRule="auto"/>
        <w:ind w:right="106"/>
      </w:pPr>
      <w:r>
        <w:rPr>
          <w:u w:val="single" w:color="000000"/>
        </w:rPr>
        <w:lastRenderedPageBreak/>
        <w:t>Emergency</w:t>
      </w:r>
      <w:r>
        <w:rPr>
          <w:spacing w:val="-19"/>
          <w:u w:val="single" w:color="000000"/>
        </w:rPr>
        <w:t xml:space="preserve"> </w:t>
      </w:r>
      <w:r>
        <w:rPr>
          <w:u w:val="single" w:color="000000"/>
        </w:rPr>
        <w:t>Department</w:t>
      </w:r>
      <w:r>
        <w:rPr>
          <w:spacing w:val="-7"/>
          <w:u w:val="single" w:color="000000"/>
        </w:rPr>
        <w:t xml:space="preserve"> </w:t>
      </w:r>
      <w:r>
        <w:rPr>
          <w:u w:val="single" w:color="000000"/>
        </w:rPr>
        <w:t>Boarding</w:t>
      </w:r>
      <w:r>
        <w:rPr>
          <w:spacing w:val="-10"/>
          <w:u w:val="single" w:color="000000"/>
        </w:rPr>
        <w:t xml:space="preserve"> </w:t>
      </w:r>
      <w:r>
        <w:t>is</w:t>
      </w:r>
      <w:r>
        <w:rPr>
          <w:spacing w:val="-5"/>
        </w:rPr>
        <w:t xml:space="preserve"> </w:t>
      </w:r>
      <w:r>
        <w:t>addressed</w:t>
      </w:r>
      <w:r>
        <w:rPr>
          <w:spacing w:val="-5"/>
        </w:rPr>
        <w:t xml:space="preserve"> </w:t>
      </w:r>
      <w:r>
        <w:t>in</w:t>
      </w:r>
      <w:r>
        <w:rPr>
          <w:spacing w:val="-8"/>
        </w:rPr>
        <w:t xml:space="preserve"> </w:t>
      </w:r>
      <w:r>
        <w:t>Section</w:t>
      </w:r>
      <w:r>
        <w:rPr>
          <w:spacing w:val="-5"/>
        </w:rPr>
        <w:t xml:space="preserve"> </w:t>
      </w:r>
      <w:r>
        <w:t>5.5.4:</w:t>
      </w:r>
      <w:r>
        <w:rPr>
          <w:spacing w:val="-5"/>
        </w:rPr>
        <w:t xml:space="preserve"> </w:t>
      </w:r>
      <w:r>
        <w:t>Although</w:t>
      </w:r>
      <w:r>
        <w:rPr>
          <w:spacing w:val="-5"/>
        </w:rPr>
        <w:t xml:space="preserve"> </w:t>
      </w:r>
      <w:r>
        <w:t>it</w:t>
      </w:r>
      <w:r>
        <w:rPr>
          <w:spacing w:val="-5"/>
        </w:rPr>
        <w:t xml:space="preserve"> </w:t>
      </w:r>
      <w:r>
        <w:t>is</w:t>
      </w:r>
      <w:r>
        <w:rPr>
          <w:spacing w:val="-5"/>
        </w:rPr>
        <w:t xml:space="preserve"> </w:t>
      </w:r>
      <w:r>
        <w:t>positive that MassHealth is seeking to address Boarding in the Request, we would urge that the Request be amended to include reference to the need for Specialized Units for patients who are difficult to place. Specialized Units would be a vital addition to the other</w:t>
      </w:r>
      <w:r>
        <w:rPr>
          <w:spacing w:val="-10"/>
        </w:rPr>
        <w:t xml:space="preserve"> </w:t>
      </w:r>
      <w:r>
        <w:t>services</w:t>
      </w:r>
      <w:r>
        <w:rPr>
          <w:spacing w:val="-6"/>
        </w:rPr>
        <w:t xml:space="preserve"> </w:t>
      </w:r>
      <w:r>
        <w:t>MassHealth</w:t>
      </w:r>
      <w:r>
        <w:rPr>
          <w:spacing w:val="-6"/>
        </w:rPr>
        <w:t xml:space="preserve"> </w:t>
      </w:r>
      <w:r>
        <w:t>proposes</w:t>
      </w:r>
      <w:r>
        <w:rPr>
          <w:spacing w:val="-6"/>
        </w:rPr>
        <w:t xml:space="preserve"> </w:t>
      </w:r>
      <w:r>
        <w:t>and</w:t>
      </w:r>
      <w:r>
        <w:rPr>
          <w:spacing w:val="-6"/>
        </w:rPr>
        <w:t xml:space="preserve"> </w:t>
      </w:r>
      <w:r>
        <w:t>should</w:t>
      </w:r>
      <w:r>
        <w:rPr>
          <w:spacing w:val="-6"/>
        </w:rPr>
        <w:t xml:space="preserve"> </w:t>
      </w:r>
      <w:r>
        <w:t>be</w:t>
      </w:r>
      <w:r>
        <w:rPr>
          <w:spacing w:val="-7"/>
        </w:rPr>
        <w:t xml:space="preserve"> </w:t>
      </w:r>
      <w:r>
        <w:t>included</w:t>
      </w:r>
      <w:r>
        <w:rPr>
          <w:spacing w:val="-9"/>
        </w:rPr>
        <w:t xml:space="preserve"> </w:t>
      </w:r>
      <w:r>
        <w:t>in</w:t>
      </w:r>
      <w:r>
        <w:rPr>
          <w:spacing w:val="-6"/>
        </w:rPr>
        <w:t xml:space="preserve"> </w:t>
      </w:r>
      <w:r>
        <w:t>the</w:t>
      </w:r>
      <w:r>
        <w:rPr>
          <w:spacing w:val="-7"/>
        </w:rPr>
        <w:t xml:space="preserve"> </w:t>
      </w:r>
      <w:r>
        <w:t>final</w:t>
      </w:r>
      <w:r>
        <w:rPr>
          <w:spacing w:val="-6"/>
        </w:rPr>
        <w:t xml:space="preserve"> </w:t>
      </w:r>
      <w:r>
        <w:t>Request.</w:t>
      </w:r>
    </w:p>
    <w:p w:rsidR="002C5025" w:rsidRDefault="002C5025">
      <w:pPr>
        <w:pStyle w:val="BodyText"/>
        <w:kinsoku w:val="0"/>
        <w:overflowPunct w:val="0"/>
        <w:spacing w:before="9"/>
        <w:rPr>
          <w:rFonts w:ascii="Times New Roman" w:hAnsi="Times New Roman" w:cs="Times New Roman"/>
          <w:sz w:val="24"/>
          <w:szCs w:val="24"/>
        </w:rPr>
      </w:pPr>
    </w:p>
    <w:p w:rsidR="002C5025" w:rsidRDefault="002C5025">
      <w:pPr>
        <w:pStyle w:val="ListParagraph"/>
        <w:numPr>
          <w:ilvl w:val="3"/>
          <w:numId w:val="40"/>
        </w:numPr>
        <w:tabs>
          <w:tab w:val="left" w:pos="1612"/>
        </w:tabs>
        <w:kinsoku w:val="0"/>
        <w:overflowPunct w:val="0"/>
        <w:spacing w:line="244" w:lineRule="auto"/>
        <w:ind w:right="137"/>
      </w:pPr>
      <w:r>
        <w:t>Section</w:t>
      </w:r>
      <w:r>
        <w:rPr>
          <w:spacing w:val="-5"/>
        </w:rPr>
        <w:t xml:space="preserve"> </w:t>
      </w:r>
      <w:r>
        <w:t>7:</w:t>
      </w:r>
      <w:r>
        <w:rPr>
          <w:spacing w:val="-7"/>
        </w:rPr>
        <w:t xml:space="preserve"> </w:t>
      </w:r>
      <w:r>
        <w:rPr>
          <w:u w:val="single" w:color="000000"/>
        </w:rPr>
        <w:t>Enhanced</w:t>
      </w:r>
      <w:r>
        <w:rPr>
          <w:spacing w:val="-8"/>
          <w:u w:val="single" w:color="000000"/>
        </w:rPr>
        <w:t xml:space="preserve"> </w:t>
      </w:r>
      <w:r>
        <w:rPr>
          <w:u w:val="single" w:color="000000"/>
        </w:rPr>
        <w:t>Services</w:t>
      </w:r>
      <w:r>
        <w:rPr>
          <w:spacing w:val="-5"/>
          <w:u w:val="single" w:color="000000"/>
        </w:rPr>
        <w:t xml:space="preserve"> </w:t>
      </w:r>
      <w:r>
        <w:rPr>
          <w:u w:val="single" w:color="000000"/>
        </w:rPr>
        <w:t>for</w:t>
      </w:r>
      <w:r>
        <w:rPr>
          <w:spacing w:val="-9"/>
          <w:u w:val="single" w:color="000000"/>
        </w:rPr>
        <w:t xml:space="preserve"> </w:t>
      </w:r>
      <w:r>
        <w:rPr>
          <w:u w:val="single" w:color="000000"/>
        </w:rPr>
        <w:t>People</w:t>
      </w:r>
      <w:r>
        <w:rPr>
          <w:spacing w:val="-6"/>
          <w:u w:val="single" w:color="000000"/>
        </w:rPr>
        <w:t xml:space="preserve"> </w:t>
      </w:r>
      <w:r>
        <w:rPr>
          <w:u w:val="single" w:color="000000"/>
        </w:rPr>
        <w:t>with</w:t>
      </w:r>
      <w:r>
        <w:rPr>
          <w:spacing w:val="-5"/>
          <w:u w:val="single" w:color="000000"/>
        </w:rPr>
        <w:t xml:space="preserve"> </w:t>
      </w:r>
      <w:r>
        <w:rPr>
          <w:u w:val="single" w:color="000000"/>
        </w:rPr>
        <w:t>Substance</w:t>
      </w:r>
      <w:r>
        <w:rPr>
          <w:spacing w:val="-9"/>
          <w:u w:val="single" w:color="000000"/>
        </w:rPr>
        <w:t xml:space="preserve"> </w:t>
      </w:r>
      <w:r>
        <w:rPr>
          <w:u w:val="single" w:color="000000"/>
        </w:rPr>
        <w:t>Use</w:t>
      </w:r>
      <w:r>
        <w:rPr>
          <w:spacing w:val="-9"/>
          <w:u w:val="single" w:color="000000"/>
        </w:rPr>
        <w:t xml:space="preserve"> </w:t>
      </w:r>
      <w:r>
        <w:rPr>
          <w:u w:val="single" w:color="000000"/>
        </w:rPr>
        <w:t>Disorder</w:t>
      </w:r>
      <w:r>
        <w:rPr>
          <w:spacing w:val="-8"/>
          <w:u w:val="single" w:color="000000"/>
        </w:rPr>
        <w:t xml:space="preserve"> </w:t>
      </w:r>
      <w:r>
        <w:t>is</w:t>
      </w:r>
      <w:r>
        <w:rPr>
          <w:spacing w:val="-5"/>
        </w:rPr>
        <w:t xml:space="preserve"> </w:t>
      </w:r>
      <w:r>
        <w:t>very</w:t>
      </w:r>
      <w:r>
        <w:rPr>
          <w:spacing w:val="-16"/>
        </w:rPr>
        <w:t xml:space="preserve"> </w:t>
      </w:r>
      <w:r>
        <w:t>positive in a number of areas, especially in that it recognizes addiction as a “chronic medical condition”. The additional services; enhanced benefits; comprehensive models for coordinating care; and utilizing patient navigators and coaches are very strong initiatives</w:t>
      </w:r>
      <w:r>
        <w:rPr>
          <w:spacing w:val="-6"/>
        </w:rPr>
        <w:t xml:space="preserve"> </w:t>
      </w:r>
      <w:r>
        <w:t>called</w:t>
      </w:r>
      <w:r>
        <w:rPr>
          <w:spacing w:val="-6"/>
        </w:rPr>
        <w:t xml:space="preserve"> </w:t>
      </w:r>
      <w:r>
        <w:t>for</w:t>
      </w:r>
      <w:r>
        <w:rPr>
          <w:spacing w:val="-10"/>
        </w:rPr>
        <w:t xml:space="preserve"> </w:t>
      </w:r>
      <w:r>
        <w:t>as</w:t>
      </w:r>
      <w:r>
        <w:rPr>
          <w:spacing w:val="-6"/>
        </w:rPr>
        <w:t xml:space="preserve"> </w:t>
      </w:r>
      <w:r>
        <w:t>part</w:t>
      </w:r>
      <w:r>
        <w:rPr>
          <w:spacing w:val="-6"/>
        </w:rPr>
        <w:t xml:space="preserve"> </w:t>
      </w:r>
      <w:r>
        <w:t>of</w:t>
      </w:r>
      <w:r>
        <w:rPr>
          <w:spacing w:val="-7"/>
        </w:rPr>
        <w:t xml:space="preserve"> </w:t>
      </w:r>
      <w:r>
        <w:t>the</w:t>
      </w:r>
      <w:r>
        <w:rPr>
          <w:spacing w:val="-7"/>
        </w:rPr>
        <w:t xml:space="preserve"> </w:t>
      </w:r>
      <w:r>
        <w:t>Substance</w:t>
      </w:r>
      <w:r>
        <w:rPr>
          <w:spacing w:val="-7"/>
        </w:rPr>
        <w:t xml:space="preserve"> </w:t>
      </w:r>
      <w:r>
        <w:t>Use</w:t>
      </w:r>
      <w:r>
        <w:rPr>
          <w:spacing w:val="-10"/>
        </w:rPr>
        <w:t xml:space="preserve"> </w:t>
      </w:r>
      <w:r>
        <w:t>Disorder</w:t>
      </w:r>
      <w:r>
        <w:rPr>
          <w:spacing w:val="-7"/>
        </w:rPr>
        <w:t xml:space="preserve"> </w:t>
      </w:r>
      <w:r>
        <w:t>(SUD)</w:t>
      </w:r>
      <w:r>
        <w:rPr>
          <w:spacing w:val="-7"/>
        </w:rPr>
        <w:t xml:space="preserve"> </w:t>
      </w:r>
      <w:r>
        <w:t>1115</w:t>
      </w:r>
      <w:r>
        <w:rPr>
          <w:spacing w:val="-9"/>
        </w:rPr>
        <w:t xml:space="preserve"> </w:t>
      </w:r>
      <w:r>
        <w:t>demonstration proposal. We urge MassHealth to continue to request these improvements for its Members with Substance Use</w:t>
      </w:r>
      <w:r>
        <w:rPr>
          <w:spacing w:val="-41"/>
        </w:rPr>
        <w:t xml:space="preserve"> </w:t>
      </w:r>
      <w:r>
        <w:t>Disorders.</w:t>
      </w:r>
    </w:p>
    <w:p w:rsidR="002C5025" w:rsidRDefault="002C5025">
      <w:pPr>
        <w:pStyle w:val="BodyText"/>
        <w:kinsoku w:val="0"/>
        <w:overflowPunct w:val="0"/>
        <w:spacing w:before="7"/>
        <w:rPr>
          <w:rFonts w:ascii="Times New Roman" w:hAnsi="Times New Roman" w:cs="Times New Roman"/>
          <w:sz w:val="25"/>
          <w:szCs w:val="25"/>
        </w:rPr>
      </w:pPr>
    </w:p>
    <w:p w:rsidR="002C5025" w:rsidRDefault="002C5025">
      <w:pPr>
        <w:pStyle w:val="BodyText"/>
        <w:kinsoku w:val="0"/>
        <w:overflowPunct w:val="0"/>
        <w:ind w:left="891" w:right="31"/>
        <w:rPr>
          <w:rFonts w:ascii="Times New Roman" w:hAnsi="Times New Roman" w:cs="Times New Roman"/>
          <w:b/>
          <w:bCs/>
          <w:sz w:val="24"/>
          <w:szCs w:val="24"/>
        </w:rPr>
      </w:pPr>
      <w:bookmarkStart w:id="193" w:name="Other_Areas_of_Comment:"/>
      <w:bookmarkEnd w:id="193"/>
      <w:r>
        <w:rPr>
          <w:rFonts w:ascii="Times New Roman" w:hAnsi="Times New Roman" w:cs="Times New Roman"/>
          <w:b/>
          <w:bCs/>
          <w:sz w:val="24"/>
          <w:szCs w:val="24"/>
        </w:rPr>
        <w:t>Other Areas of Comment:</w:t>
      </w:r>
    </w:p>
    <w:p w:rsidR="002C5025" w:rsidRDefault="002C5025">
      <w:pPr>
        <w:pStyle w:val="BodyText"/>
        <w:kinsoku w:val="0"/>
        <w:overflowPunct w:val="0"/>
        <w:spacing w:before="4"/>
        <w:rPr>
          <w:rFonts w:ascii="Times New Roman" w:hAnsi="Times New Roman" w:cs="Times New Roman"/>
          <w:b/>
          <w:bCs/>
          <w:sz w:val="24"/>
          <w:szCs w:val="24"/>
        </w:rPr>
      </w:pPr>
    </w:p>
    <w:p w:rsidR="002C5025" w:rsidRDefault="002C5025">
      <w:pPr>
        <w:pStyle w:val="BodyText"/>
        <w:kinsoku w:val="0"/>
        <w:overflowPunct w:val="0"/>
        <w:spacing w:before="1" w:line="247" w:lineRule="auto"/>
        <w:ind w:left="891" w:right="31"/>
        <w:rPr>
          <w:rFonts w:ascii="Times New Roman" w:hAnsi="Times New Roman" w:cs="Times New Roman"/>
          <w:sz w:val="24"/>
          <w:szCs w:val="24"/>
        </w:rPr>
      </w:pPr>
      <w:r>
        <w:rPr>
          <w:rFonts w:ascii="Times New Roman" w:hAnsi="Times New Roman" w:cs="Times New Roman"/>
          <w:sz w:val="24"/>
          <w:szCs w:val="24"/>
          <w:u w:val="single" w:color="000000"/>
        </w:rPr>
        <w:t>Section 4.3.1.2 Plan Selection and Fixed Enrollment Periods</w:t>
      </w:r>
      <w:r>
        <w:rPr>
          <w:rFonts w:ascii="Times New Roman" w:hAnsi="Times New Roman" w:cs="Times New Roman"/>
          <w:sz w:val="24"/>
          <w:szCs w:val="24"/>
        </w:rPr>
        <w:t xml:space="preserve">: This proposal would be beneficial to our hospitals as currently Members can change from one MassHealth plan to another </w:t>
      </w:r>
      <w:r>
        <w:rPr>
          <w:rFonts w:ascii="Times New Roman" w:hAnsi="Times New Roman" w:cs="Times New Roman"/>
          <w:sz w:val="24"/>
          <w:szCs w:val="24"/>
          <w:u w:val="single" w:color="000000"/>
        </w:rPr>
        <w:t>while they are in the hospital</w:t>
      </w:r>
      <w:r>
        <w:rPr>
          <w:rFonts w:ascii="Times New Roman" w:hAnsi="Times New Roman" w:cs="Times New Roman"/>
          <w:sz w:val="24"/>
          <w:szCs w:val="24"/>
        </w:rPr>
        <w:t>. This is problematic, especially for billing and bad debts as MCOs often will not reimburse for care they did not authorize. Our hospitals are disadvantaged when this occurs and can face administrative hurdles in getting properly reimbursed for care.</w:t>
      </w:r>
    </w:p>
    <w:p w:rsidR="002C5025" w:rsidRDefault="002C5025">
      <w:pPr>
        <w:pStyle w:val="BodyText"/>
        <w:kinsoku w:val="0"/>
        <w:overflowPunct w:val="0"/>
        <w:spacing w:before="6"/>
        <w:rPr>
          <w:rFonts w:ascii="Times New Roman" w:hAnsi="Times New Roman" w:cs="Times New Roman"/>
          <w:sz w:val="24"/>
          <w:szCs w:val="24"/>
        </w:rPr>
      </w:pPr>
    </w:p>
    <w:p w:rsidR="002C5025" w:rsidRDefault="002C5025">
      <w:pPr>
        <w:pStyle w:val="BodyText"/>
        <w:kinsoku w:val="0"/>
        <w:overflowPunct w:val="0"/>
        <w:spacing w:line="244" w:lineRule="auto"/>
        <w:ind w:left="891" w:right="70"/>
        <w:rPr>
          <w:rFonts w:ascii="Times New Roman" w:hAnsi="Times New Roman" w:cs="Times New Roman"/>
          <w:sz w:val="24"/>
          <w:szCs w:val="24"/>
        </w:rPr>
      </w:pPr>
      <w:r>
        <w:rPr>
          <w:rFonts w:ascii="Times New Roman" w:hAnsi="Times New Roman" w:cs="Times New Roman"/>
          <w:sz w:val="24"/>
          <w:szCs w:val="24"/>
        </w:rPr>
        <w:t xml:space="preserve">Although very positive in terms of its emphasis and incorporating Behavioral Health into the new models for the future, the Request should include reference to some of the </w:t>
      </w:r>
      <w:r>
        <w:rPr>
          <w:rFonts w:ascii="Times New Roman" w:hAnsi="Times New Roman" w:cs="Times New Roman"/>
          <w:sz w:val="24"/>
          <w:szCs w:val="24"/>
          <w:u w:val="single" w:color="000000"/>
        </w:rPr>
        <w:t xml:space="preserve">enormous challenges there will be in fully incorporating Behavioral </w:t>
      </w:r>
      <w:r>
        <w:rPr>
          <w:rFonts w:ascii="Times New Roman" w:hAnsi="Times New Roman" w:cs="Times New Roman"/>
          <w:sz w:val="24"/>
          <w:szCs w:val="24"/>
        </w:rPr>
        <w:t xml:space="preserve">Health into the new delivery system. For decades, even centuries, the Behavioral Health </w:t>
      </w:r>
      <w:r>
        <w:rPr>
          <w:rFonts w:ascii="Times New Roman" w:hAnsi="Times New Roman" w:cs="Times New Roman"/>
          <w:spacing w:val="-3"/>
          <w:sz w:val="24"/>
          <w:szCs w:val="24"/>
        </w:rPr>
        <w:t xml:space="preserve">system </w:t>
      </w:r>
      <w:r>
        <w:rPr>
          <w:rFonts w:ascii="Times New Roman" w:hAnsi="Times New Roman" w:cs="Times New Roman"/>
          <w:sz w:val="24"/>
          <w:szCs w:val="24"/>
        </w:rPr>
        <w:t xml:space="preserve">has been separate from the overall health </w:t>
      </w:r>
      <w:r>
        <w:rPr>
          <w:rFonts w:ascii="Times New Roman" w:hAnsi="Times New Roman" w:cs="Times New Roman"/>
          <w:spacing w:val="-4"/>
          <w:sz w:val="24"/>
          <w:szCs w:val="24"/>
        </w:rPr>
        <w:t xml:space="preserve">system </w:t>
      </w:r>
      <w:r>
        <w:rPr>
          <w:rFonts w:ascii="Times New Roman" w:hAnsi="Times New Roman" w:cs="Times New Roman"/>
          <w:sz w:val="24"/>
          <w:szCs w:val="24"/>
        </w:rPr>
        <w:t xml:space="preserve">through different provider and </w:t>
      </w:r>
      <w:r>
        <w:rPr>
          <w:rFonts w:ascii="Times New Roman" w:hAnsi="Times New Roman" w:cs="Times New Roman"/>
          <w:spacing w:val="-3"/>
          <w:sz w:val="24"/>
          <w:szCs w:val="24"/>
        </w:rPr>
        <w:t xml:space="preserve">payment </w:t>
      </w:r>
      <w:r>
        <w:rPr>
          <w:rFonts w:ascii="Times New Roman" w:hAnsi="Times New Roman" w:cs="Times New Roman"/>
          <w:sz w:val="24"/>
          <w:szCs w:val="24"/>
        </w:rPr>
        <w:t xml:space="preserve">systems. Even in recent </w:t>
      </w:r>
      <w:r>
        <w:rPr>
          <w:rFonts w:ascii="Times New Roman" w:hAnsi="Times New Roman" w:cs="Times New Roman"/>
          <w:spacing w:val="-4"/>
          <w:sz w:val="24"/>
          <w:szCs w:val="24"/>
        </w:rPr>
        <w:t xml:space="preserve">years </w:t>
      </w:r>
      <w:r>
        <w:rPr>
          <w:rFonts w:ascii="Times New Roman" w:hAnsi="Times New Roman" w:cs="Times New Roman"/>
          <w:sz w:val="24"/>
          <w:szCs w:val="24"/>
        </w:rPr>
        <w:t xml:space="preserve">we see evidence of this separation though Health Information Technology funding from the federal government, which excluded much of the Behavioral Health </w:t>
      </w:r>
      <w:r>
        <w:rPr>
          <w:rFonts w:ascii="Times New Roman" w:hAnsi="Times New Roman" w:cs="Times New Roman"/>
          <w:spacing w:val="-3"/>
          <w:sz w:val="24"/>
          <w:szCs w:val="24"/>
        </w:rPr>
        <w:t xml:space="preserve">system </w:t>
      </w:r>
      <w:r>
        <w:rPr>
          <w:rFonts w:ascii="Times New Roman" w:hAnsi="Times New Roman" w:cs="Times New Roman"/>
          <w:sz w:val="24"/>
          <w:szCs w:val="24"/>
        </w:rPr>
        <w:t>from receiving funds. This oversight has created considerable and ongoing problems for providers.</w:t>
      </w:r>
    </w:p>
    <w:p w:rsidR="002C5025" w:rsidRDefault="002C5025">
      <w:pPr>
        <w:pStyle w:val="BodyText"/>
        <w:kinsoku w:val="0"/>
        <w:overflowPunct w:val="0"/>
        <w:spacing w:before="9"/>
        <w:rPr>
          <w:rFonts w:ascii="Times New Roman" w:hAnsi="Times New Roman" w:cs="Times New Roman"/>
          <w:sz w:val="24"/>
          <w:szCs w:val="24"/>
        </w:rPr>
      </w:pPr>
    </w:p>
    <w:p w:rsidR="002C5025" w:rsidRDefault="002C5025">
      <w:pPr>
        <w:pStyle w:val="BodyText"/>
        <w:kinsoku w:val="0"/>
        <w:overflowPunct w:val="0"/>
        <w:spacing w:line="244" w:lineRule="auto"/>
        <w:ind w:left="891" w:right="110"/>
        <w:rPr>
          <w:rFonts w:ascii="Times New Roman" w:hAnsi="Times New Roman" w:cs="Times New Roman"/>
          <w:sz w:val="24"/>
          <w:szCs w:val="24"/>
        </w:rPr>
      </w:pPr>
      <w:r>
        <w:rPr>
          <w:rFonts w:ascii="Times New Roman" w:hAnsi="Times New Roman" w:cs="Times New Roman"/>
          <w:sz w:val="24"/>
          <w:szCs w:val="24"/>
        </w:rPr>
        <w:t>It will be a major challenge to bring the physical and behavioral health systems into a truly integrated care system; but one that if ultimately achieved would be very beneficial for MassHealth Members. The Request is a solid proposal to begin this integration: we hope that MassHealth is successful in the areas we have commented on in this letter. We also hope the Waiver programs receive the necessary funds to ensure success. Please do not hesitate to contact me with any questions. Thank you.</w:t>
      </w:r>
    </w:p>
    <w:p w:rsidR="002C5025" w:rsidRDefault="002C5025">
      <w:pPr>
        <w:pStyle w:val="BodyText"/>
        <w:kinsoku w:val="0"/>
        <w:overflowPunct w:val="0"/>
        <w:rPr>
          <w:rFonts w:ascii="Times New Roman" w:hAnsi="Times New Roman" w:cs="Times New Roman"/>
          <w:sz w:val="25"/>
          <w:szCs w:val="25"/>
        </w:rPr>
      </w:pPr>
    </w:p>
    <w:p w:rsidR="002C5025" w:rsidRDefault="002C5025">
      <w:pPr>
        <w:pStyle w:val="BodyText"/>
        <w:kinsoku w:val="0"/>
        <w:overflowPunct w:val="0"/>
        <w:spacing w:after="8"/>
        <w:ind w:left="891" w:right="31"/>
        <w:rPr>
          <w:rFonts w:ascii="Times New Roman" w:hAnsi="Times New Roman" w:cs="Times New Roman"/>
          <w:sz w:val="24"/>
          <w:szCs w:val="24"/>
        </w:rPr>
      </w:pPr>
      <w:r>
        <w:rPr>
          <w:rFonts w:ascii="Times New Roman" w:hAnsi="Times New Roman" w:cs="Times New Roman"/>
          <w:sz w:val="24"/>
          <w:szCs w:val="24"/>
        </w:rPr>
        <w:t>Sincerely,</w:t>
      </w:r>
    </w:p>
    <w:p w:rsidR="002C5025" w:rsidRDefault="00FB027C">
      <w:pPr>
        <w:pStyle w:val="BodyText"/>
        <w:kinsoku w:val="0"/>
        <w:overflowPunct w:val="0"/>
        <w:ind w:left="891"/>
        <w:rPr>
          <w:rFonts w:ascii="Times New Roman" w:hAnsi="Times New Roman" w:cs="Times New Roman"/>
          <w:sz w:val="20"/>
          <w:szCs w:val="20"/>
        </w:rPr>
      </w:pPr>
      <w:r>
        <w:rPr>
          <w:rFonts w:ascii="Times New Roman" w:hAnsi="Times New Roman" w:cs="Times New Roman"/>
          <w:noProof/>
          <w:sz w:val="20"/>
          <w:szCs w:val="20"/>
        </w:rPr>
        <w:drawing>
          <wp:inline distT="0" distB="0" distL="0" distR="0">
            <wp:extent cx="2009775" cy="523875"/>
            <wp:effectExtent l="0" t="0" r="9525" b="9525"/>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0" y="0"/>
                      <a:ext cx="2009775" cy="523875"/>
                    </a:xfrm>
                    <a:prstGeom prst="rect">
                      <a:avLst/>
                    </a:prstGeom>
                    <a:noFill/>
                    <a:ln>
                      <a:noFill/>
                    </a:ln>
                  </pic:spPr>
                </pic:pic>
              </a:graphicData>
            </a:graphic>
          </wp:inline>
        </w:drawing>
      </w:r>
    </w:p>
    <w:p w:rsidR="002C5025" w:rsidRDefault="002C5025">
      <w:pPr>
        <w:pStyle w:val="BodyText"/>
        <w:kinsoku w:val="0"/>
        <w:overflowPunct w:val="0"/>
        <w:spacing w:before="16" w:line="247" w:lineRule="auto"/>
        <w:ind w:left="891" w:right="6563"/>
        <w:rPr>
          <w:rFonts w:ascii="Times New Roman" w:hAnsi="Times New Roman" w:cs="Times New Roman"/>
          <w:sz w:val="24"/>
          <w:szCs w:val="24"/>
        </w:rPr>
      </w:pPr>
      <w:r>
        <w:rPr>
          <w:rFonts w:ascii="Times New Roman" w:hAnsi="Times New Roman" w:cs="Times New Roman"/>
          <w:sz w:val="24"/>
          <w:szCs w:val="24"/>
        </w:rPr>
        <w:t>David Matteodo Executive Director</w:t>
      </w:r>
    </w:p>
    <w:p w:rsidR="002C5025" w:rsidRDefault="00FD19EE">
      <w:pPr>
        <w:pStyle w:val="BodyText"/>
        <w:tabs>
          <w:tab w:val="left" w:pos="3211"/>
        </w:tabs>
        <w:kinsoku w:val="0"/>
        <w:overflowPunct w:val="0"/>
        <w:spacing w:line="275" w:lineRule="exact"/>
        <w:ind w:left="891" w:right="31"/>
        <w:rPr>
          <w:rFonts w:ascii="Times New Roman" w:hAnsi="Times New Roman" w:cs="Times New Roman"/>
          <w:color w:val="000000"/>
          <w:sz w:val="24"/>
          <w:szCs w:val="24"/>
        </w:rPr>
      </w:pPr>
      <w:hyperlink r:id="rId409" w:history="1">
        <w:r w:rsidR="002C5025">
          <w:rPr>
            <w:rFonts w:ascii="Times New Roman" w:hAnsi="Times New Roman" w:cs="Times New Roman"/>
            <w:color w:val="0000FF"/>
            <w:sz w:val="24"/>
            <w:szCs w:val="24"/>
            <w:u w:val="single"/>
          </w:rPr>
          <w:t>DMatteodo@aol.com</w:t>
        </w:r>
      </w:hyperlink>
      <w:r w:rsidR="002C5025">
        <w:rPr>
          <w:rFonts w:ascii="Times New Roman" w:hAnsi="Times New Roman" w:cs="Times New Roman"/>
          <w:color w:val="0000FF"/>
          <w:sz w:val="24"/>
          <w:szCs w:val="24"/>
        </w:rPr>
        <w:tab/>
      </w:r>
      <w:r w:rsidR="002C5025">
        <w:rPr>
          <w:rFonts w:ascii="Times New Roman" w:hAnsi="Times New Roman" w:cs="Times New Roman"/>
          <w:color w:val="000000"/>
          <w:sz w:val="24"/>
          <w:szCs w:val="24"/>
        </w:rPr>
        <w:t>(617)</w:t>
      </w:r>
      <w:r w:rsidR="002C5025">
        <w:rPr>
          <w:rFonts w:ascii="Times New Roman" w:hAnsi="Times New Roman" w:cs="Times New Roman"/>
          <w:color w:val="000000"/>
          <w:spacing w:val="-9"/>
          <w:sz w:val="24"/>
          <w:szCs w:val="24"/>
        </w:rPr>
        <w:t xml:space="preserve"> </w:t>
      </w:r>
      <w:r w:rsidR="002C5025">
        <w:rPr>
          <w:rFonts w:ascii="Times New Roman" w:hAnsi="Times New Roman" w:cs="Times New Roman"/>
          <w:color w:val="000000"/>
          <w:sz w:val="24"/>
          <w:szCs w:val="24"/>
        </w:rPr>
        <w:t>855-3520</w:t>
      </w:r>
    </w:p>
    <w:p w:rsidR="002C5025" w:rsidRDefault="002C5025">
      <w:pPr>
        <w:pStyle w:val="BodyText"/>
        <w:tabs>
          <w:tab w:val="left" w:pos="3211"/>
        </w:tabs>
        <w:kinsoku w:val="0"/>
        <w:overflowPunct w:val="0"/>
        <w:spacing w:line="275" w:lineRule="exact"/>
        <w:ind w:left="891" w:right="31"/>
        <w:rPr>
          <w:rFonts w:ascii="Times New Roman" w:hAnsi="Times New Roman" w:cs="Times New Roman"/>
          <w:color w:val="000000"/>
          <w:sz w:val="24"/>
          <w:szCs w:val="24"/>
        </w:rPr>
        <w:sectPr w:rsidR="002C5025">
          <w:pgSz w:w="12240" w:h="15840"/>
          <w:pgMar w:top="1400" w:right="560" w:bottom="280" w:left="1720" w:header="720" w:footer="720" w:gutter="0"/>
          <w:cols w:space="720" w:equalWidth="0">
            <w:col w:w="9960"/>
          </w:cols>
          <w:noEndnote/>
        </w:sectPr>
      </w:pPr>
    </w:p>
    <w:p w:rsidR="002C5025" w:rsidRDefault="002C5025">
      <w:pPr>
        <w:pStyle w:val="BodyText"/>
        <w:kinsoku w:val="0"/>
        <w:overflowPunct w:val="0"/>
        <w:spacing w:before="39"/>
        <w:ind w:left="100" w:right="182"/>
        <w:rPr>
          <w:color w:val="0070C0"/>
          <w:sz w:val="24"/>
          <w:szCs w:val="24"/>
        </w:rPr>
      </w:pPr>
      <w:bookmarkStart w:id="194" w:name="Massachusetts_Association_of_Community_H"/>
      <w:bookmarkEnd w:id="194"/>
      <w:r>
        <w:rPr>
          <w:color w:val="0070C0"/>
          <w:sz w:val="24"/>
          <w:szCs w:val="24"/>
        </w:rPr>
        <w:lastRenderedPageBreak/>
        <w:t>The Massachusetts Association of Community Health Workers (MACHW) would like to suggest the following additions to the MassHealth 115 Waiver Renewal Proposal. Created in 2005, MACHW is a professional association advocating on behalf of the 3,000 estimated CHWs in Massachusetts.</w:t>
      </w:r>
    </w:p>
    <w:p w:rsidR="002C5025" w:rsidRDefault="002C5025">
      <w:pPr>
        <w:pStyle w:val="BodyText"/>
        <w:kinsoku w:val="0"/>
        <w:overflowPunct w:val="0"/>
        <w:spacing w:before="11"/>
        <w:rPr>
          <w:sz w:val="23"/>
          <w:szCs w:val="23"/>
        </w:rPr>
      </w:pPr>
    </w:p>
    <w:p w:rsidR="002C5025" w:rsidRDefault="002C5025">
      <w:pPr>
        <w:pStyle w:val="ListParagraph"/>
        <w:numPr>
          <w:ilvl w:val="0"/>
          <w:numId w:val="39"/>
        </w:numPr>
        <w:tabs>
          <w:tab w:val="left" w:pos="494"/>
        </w:tabs>
        <w:kinsoku w:val="0"/>
        <w:overflowPunct w:val="0"/>
        <w:spacing w:before="1"/>
        <w:ind w:right="140" w:hanging="360"/>
        <w:rPr>
          <w:rFonts w:ascii="Calibri" w:hAnsi="Calibri" w:cs="Calibri"/>
          <w:color w:val="0070C0"/>
        </w:rPr>
      </w:pPr>
      <w:r>
        <w:rPr>
          <w:rFonts w:ascii="Calibri" w:hAnsi="Calibri" w:cs="Calibri"/>
          <w:color w:val="0070C0"/>
        </w:rPr>
        <w:t>We ask that you add Community Health Workers (CHWs) to the list of health professionals eligible for Health Care Workforce Development and Training (p.48), including the student loan repayment</w:t>
      </w:r>
      <w:r>
        <w:rPr>
          <w:rFonts w:ascii="Calibri" w:hAnsi="Calibri" w:cs="Calibri"/>
          <w:color w:val="0070C0"/>
          <w:spacing w:val="-8"/>
        </w:rPr>
        <w:t xml:space="preserve"> </w:t>
      </w:r>
      <w:r>
        <w:rPr>
          <w:rFonts w:ascii="Calibri" w:hAnsi="Calibri" w:cs="Calibri"/>
          <w:color w:val="0070C0"/>
        </w:rPr>
        <w:t>program.</w:t>
      </w:r>
    </w:p>
    <w:p w:rsidR="002C5025" w:rsidRDefault="002C5025">
      <w:pPr>
        <w:pStyle w:val="ListParagraph"/>
        <w:numPr>
          <w:ilvl w:val="0"/>
          <w:numId w:val="39"/>
        </w:numPr>
        <w:tabs>
          <w:tab w:val="left" w:pos="494"/>
        </w:tabs>
        <w:kinsoku w:val="0"/>
        <w:overflowPunct w:val="0"/>
        <w:spacing w:before="2"/>
        <w:ind w:right="113" w:hanging="360"/>
        <w:rPr>
          <w:rFonts w:ascii="Calibri" w:hAnsi="Calibri" w:cs="Calibri"/>
          <w:color w:val="0070C0"/>
        </w:rPr>
      </w:pPr>
      <w:r>
        <w:rPr>
          <w:rFonts w:ascii="Calibri" w:hAnsi="Calibri" w:cs="Calibri"/>
          <w:color w:val="0070C0"/>
        </w:rPr>
        <w:t>As part of the Statewide Investments, education and technical assistance should be offered to ACOs and MCOs employing community health workers. Many organizations within the ACOs/MCOs will not be familiar with the CHW models, best practices, or attributes and competencies needed to maximize the effectiveness of this workforce. MACHW would welcome the opportunity to partner with MassHealth to provide this education and technical</w:t>
      </w:r>
      <w:r>
        <w:rPr>
          <w:rFonts w:ascii="Calibri" w:hAnsi="Calibri" w:cs="Calibri"/>
          <w:color w:val="0070C0"/>
          <w:spacing w:val="-6"/>
        </w:rPr>
        <w:t xml:space="preserve"> </w:t>
      </w:r>
      <w:r>
        <w:rPr>
          <w:rFonts w:ascii="Calibri" w:hAnsi="Calibri" w:cs="Calibri"/>
          <w:color w:val="0070C0"/>
        </w:rPr>
        <w:t>assistance.</w:t>
      </w:r>
    </w:p>
    <w:p w:rsidR="002C5025" w:rsidRDefault="002C5025">
      <w:pPr>
        <w:pStyle w:val="BodyText"/>
        <w:kinsoku w:val="0"/>
        <w:overflowPunct w:val="0"/>
        <w:spacing w:before="11"/>
        <w:rPr>
          <w:sz w:val="23"/>
          <w:szCs w:val="23"/>
        </w:rPr>
      </w:pPr>
    </w:p>
    <w:p w:rsidR="002C5025" w:rsidRDefault="002C5025">
      <w:pPr>
        <w:pStyle w:val="BodyText"/>
        <w:kinsoku w:val="0"/>
        <w:overflowPunct w:val="0"/>
        <w:spacing w:before="1" w:line="480" w:lineRule="auto"/>
        <w:ind w:left="100" w:right="3792"/>
        <w:rPr>
          <w:color w:val="0070C0"/>
          <w:sz w:val="24"/>
          <w:szCs w:val="24"/>
        </w:rPr>
      </w:pPr>
      <w:r>
        <w:rPr>
          <w:color w:val="0070C0"/>
          <w:sz w:val="24"/>
          <w:szCs w:val="24"/>
        </w:rPr>
        <w:t>Thank you for the opportunity to offer these suggestions. Best Regards,</w:t>
      </w:r>
    </w:p>
    <w:p w:rsidR="002C5025" w:rsidRDefault="002C5025">
      <w:pPr>
        <w:pStyle w:val="BodyText"/>
        <w:kinsoku w:val="0"/>
        <w:overflowPunct w:val="0"/>
        <w:spacing w:line="293" w:lineRule="exact"/>
        <w:ind w:left="100" w:right="443"/>
        <w:rPr>
          <w:color w:val="0070C0"/>
          <w:sz w:val="24"/>
          <w:szCs w:val="24"/>
        </w:rPr>
      </w:pPr>
      <w:r>
        <w:rPr>
          <w:color w:val="0070C0"/>
          <w:sz w:val="24"/>
          <w:szCs w:val="24"/>
        </w:rPr>
        <w:t>Lissette</w:t>
      </w:r>
    </w:p>
    <w:p w:rsidR="002C5025" w:rsidRDefault="002C5025">
      <w:pPr>
        <w:pStyle w:val="BodyText"/>
        <w:kinsoku w:val="0"/>
        <w:overflowPunct w:val="0"/>
        <w:spacing w:line="293" w:lineRule="exact"/>
        <w:ind w:left="100" w:right="443"/>
        <w:rPr>
          <w:color w:val="0070C0"/>
          <w:sz w:val="24"/>
          <w:szCs w:val="24"/>
        </w:rPr>
        <w:sectPr w:rsidR="002C5025">
          <w:pgSz w:w="12240" w:h="15840"/>
          <w:pgMar w:top="1400" w:right="1400" w:bottom="280" w:left="1340" w:header="720" w:footer="720" w:gutter="0"/>
          <w:cols w:space="720" w:equalWidth="0">
            <w:col w:w="9500"/>
          </w:cols>
          <w:noEndnote/>
        </w:sectPr>
      </w:pPr>
    </w:p>
    <w:p w:rsidR="002C5025" w:rsidRDefault="00FB027C">
      <w:pPr>
        <w:pStyle w:val="BodyText"/>
        <w:kinsoku w:val="0"/>
        <w:overflowPunct w:val="0"/>
        <w:ind w:left="4080"/>
        <w:rPr>
          <w:sz w:val="20"/>
          <w:szCs w:val="20"/>
        </w:rPr>
      </w:pPr>
      <w:r>
        <w:rPr>
          <w:noProof/>
          <w:sz w:val="20"/>
          <w:szCs w:val="20"/>
        </w:rPr>
        <w:lastRenderedPageBreak/>
        <w:drawing>
          <wp:inline distT="0" distB="0" distL="0" distR="0">
            <wp:extent cx="914400" cy="1266825"/>
            <wp:effectExtent l="0" t="0" r="0" b="9525"/>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914400" cy="1266825"/>
                    </a:xfrm>
                    <a:prstGeom prst="rect">
                      <a:avLst/>
                    </a:prstGeom>
                    <a:noFill/>
                    <a:ln>
                      <a:noFill/>
                    </a:ln>
                  </pic:spPr>
                </pic:pic>
              </a:graphicData>
            </a:graphic>
          </wp:inline>
        </w:drawing>
      </w: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spacing w:before="5"/>
        <w:rPr>
          <w:sz w:val="19"/>
          <w:szCs w:val="19"/>
        </w:rPr>
      </w:pPr>
    </w:p>
    <w:p w:rsidR="002C5025" w:rsidRDefault="002C5025">
      <w:pPr>
        <w:pStyle w:val="BodyText"/>
        <w:kinsoku w:val="0"/>
        <w:overflowPunct w:val="0"/>
        <w:spacing w:before="70"/>
        <w:ind w:left="120" w:right="241"/>
        <w:rPr>
          <w:rFonts w:ascii="Times New Roman" w:hAnsi="Times New Roman" w:cs="Times New Roman"/>
          <w:sz w:val="24"/>
          <w:szCs w:val="24"/>
        </w:rPr>
      </w:pPr>
      <w:bookmarkStart w:id="195" w:name="MAHP_Comments_on_Proposed_1115_Waiver_FI"/>
      <w:bookmarkEnd w:id="195"/>
      <w:r>
        <w:rPr>
          <w:rFonts w:ascii="Times New Roman" w:hAnsi="Times New Roman" w:cs="Times New Roman"/>
          <w:sz w:val="24"/>
          <w:szCs w:val="24"/>
        </w:rPr>
        <w:t>July 17, 2016</w:t>
      </w:r>
    </w:p>
    <w:p w:rsidR="002C5025" w:rsidRDefault="002C5025">
      <w:pPr>
        <w:pStyle w:val="BodyText"/>
        <w:kinsoku w:val="0"/>
        <w:overflowPunct w:val="0"/>
        <w:spacing w:before="9"/>
        <w:rPr>
          <w:rFonts w:ascii="Times New Roman" w:hAnsi="Times New Roman" w:cs="Times New Roman"/>
          <w:sz w:val="23"/>
          <w:szCs w:val="23"/>
        </w:rPr>
      </w:pPr>
    </w:p>
    <w:p w:rsidR="002C5025" w:rsidRDefault="002C5025">
      <w:pPr>
        <w:pStyle w:val="BodyText"/>
        <w:tabs>
          <w:tab w:val="left" w:pos="5159"/>
        </w:tabs>
        <w:kinsoku w:val="0"/>
        <w:overflowPunct w:val="0"/>
        <w:ind w:left="120" w:right="1543"/>
        <w:rPr>
          <w:rFonts w:ascii="Times New Roman" w:hAnsi="Times New Roman" w:cs="Times New Roman"/>
          <w:sz w:val="24"/>
          <w:szCs w:val="24"/>
        </w:rPr>
      </w:pPr>
      <w:r>
        <w:rPr>
          <w:rFonts w:ascii="Times New Roman" w:hAnsi="Times New Roman" w:cs="Times New Roman"/>
          <w:sz w:val="24"/>
          <w:szCs w:val="24"/>
        </w:rPr>
        <w:t>Marylou</w:t>
      </w:r>
      <w:r>
        <w:rPr>
          <w:rFonts w:ascii="Times New Roman" w:hAnsi="Times New Roman" w:cs="Times New Roman"/>
          <w:spacing w:val="-3"/>
          <w:sz w:val="24"/>
          <w:szCs w:val="24"/>
        </w:rPr>
        <w:t xml:space="preserve"> </w:t>
      </w:r>
      <w:r>
        <w:rPr>
          <w:rFonts w:ascii="Times New Roman" w:hAnsi="Times New Roman" w:cs="Times New Roman"/>
          <w:sz w:val="24"/>
          <w:szCs w:val="24"/>
        </w:rPr>
        <w:t>Sudders,</w:t>
      </w:r>
      <w:r>
        <w:rPr>
          <w:rFonts w:ascii="Times New Roman" w:hAnsi="Times New Roman" w:cs="Times New Roman"/>
          <w:spacing w:val="-3"/>
          <w:sz w:val="24"/>
          <w:szCs w:val="24"/>
        </w:rPr>
        <w:t xml:space="preserve"> </w:t>
      </w:r>
      <w:r>
        <w:rPr>
          <w:rFonts w:ascii="Times New Roman" w:hAnsi="Times New Roman" w:cs="Times New Roman"/>
          <w:sz w:val="24"/>
          <w:szCs w:val="24"/>
        </w:rPr>
        <w:t>Secretary</w:t>
      </w:r>
      <w:r>
        <w:rPr>
          <w:rFonts w:ascii="Times New Roman" w:hAnsi="Times New Roman" w:cs="Times New Roman"/>
          <w:sz w:val="24"/>
          <w:szCs w:val="24"/>
        </w:rPr>
        <w:tab/>
        <w:t>Dan Tsai,</w:t>
      </w:r>
      <w:r>
        <w:rPr>
          <w:rFonts w:ascii="Times New Roman" w:hAnsi="Times New Roman" w:cs="Times New Roman"/>
          <w:spacing w:val="-9"/>
          <w:sz w:val="24"/>
          <w:szCs w:val="24"/>
        </w:rPr>
        <w:t xml:space="preserve"> </w:t>
      </w:r>
      <w:r>
        <w:rPr>
          <w:rFonts w:ascii="Times New Roman" w:hAnsi="Times New Roman" w:cs="Times New Roman"/>
          <w:sz w:val="24"/>
          <w:szCs w:val="24"/>
        </w:rPr>
        <w:t>Assistant</w:t>
      </w:r>
      <w:r>
        <w:rPr>
          <w:rFonts w:ascii="Times New Roman" w:hAnsi="Times New Roman" w:cs="Times New Roman"/>
          <w:spacing w:val="-5"/>
          <w:sz w:val="24"/>
          <w:szCs w:val="24"/>
        </w:rPr>
        <w:t xml:space="preserve"> </w:t>
      </w:r>
      <w:r>
        <w:rPr>
          <w:rFonts w:ascii="Times New Roman" w:hAnsi="Times New Roman" w:cs="Times New Roman"/>
          <w:sz w:val="24"/>
          <w:szCs w:val="24"/>
        </w:rPr>
        <w:t>Secretary</w:t>
      </w:r>
      <w:r>
        <w:rPr>
          <w:rFonts w:ascii="Times New Roman" w:hAnsi="Times New Roman" w:cs="Times New Roman"/>
          <w:w w:val="99"/>
          <w:sz w:val="24"/>
          <w:szCs w:val="24"/>
        </w:rPr>
        <w:t xml:space="preserve"> </w:t>
      </w:r>
      <w:r>
        <w:rPr>
          <w:rFonts w:ascii="Times New Roman" w:hAnsi="Times New Roman" w:cs="Times New Roman"/>
          <w:sz w:val="24"/>
          <w:szCs w:val="24"/>
        </w:rPr>
        <w:t>Executive Office of Health and</w:t>
      </w:r>
      <w:r>
        <w:rPr>
          <w:rFonts w:ascii="Times New Roman" w:hAnsi="Times New Roman" w:cs="Times New Roman"/>
          <w:spacing w:val="-29"/>
          <w:sz w:val="24"/>
          <w:szCs w:val="24"/>
        </w:rPr>
        <w:t xml:space="preserve"> </w:t>
      </w:r>
      <w:r>
        <w:rPr>
          <w:rFonts w:ascii="Times New Roman" w:hAnsi="Times New Roman" w:cs="Times New Roman"/>
          <w:sz w:val="24"/>
          <w:szCs w:val="24"/>
        </w:rPr>
        <w:t>Human</w:t>
      </w:r>
      <w:r>
        <w:rPr>
          <w:rFonts w:ascii="Times New Roman" w:hAnsi="Times New Roman" w:cs="Times New Roman"/>
          <w:spacing w:val="-7"/>
          <w:sz w:val="24"/>
          <w:szCs w:val="24"/>
        </w:rPr>
        <w:t xml:space="preserve"> </w:t>
      </w:r>
      <w:r>
        <w:rPr>
          <w:rFonts w:ascii="Times New Roman" w:hAnsi="Times New Roman" w:cs="Times New Roman"/>
          <w:sz w:val="24"/>
          <w:szCs w:val="24"/>
        </w:rPr>
        <w:t>Services</w:t>
      </w:r>
      <w:r>
        <w:rPr>
          <w:rFonts w:ascii="Times New Roman" w:hAnsi="Times New Roman" w:cs="Times New Roman"/>
          <w:sz w:val="24"/>
          <w:szCs w:val="24"/>
        </w:rPr>
        <w:tab/>
        <w:t>Office of</w:t>
      </w:r>
      <w:r>
        <w:rPr>
          <w:rFonts w:ascii="Times New Roman" w:hAnsi="Times New Roman" w:cs="Times New Roman"/>
          <w:spacing w:val="-16"/>
          <w:sz w:val="24"/>
          <w:szCs w:val="24"/>
        </w:rPr>
        <w:t xml:space="preserve"> </w:t>
      </w:r>
      <w:r>
        <w:rPr>
          <w:rFonts w:ascii="Times New Roman" w:hAnsi="Times New Roman" w:cs="Times New Roman"/>
          <w:sz w:val="24"/>
          <w:szCs w:val="24"/>
        </w:rPr>
        <w:t>Medicaid</w:t>
      </w:r>
    </w:p>
    <w:p w:rsidR="002C5025" w:rsidRDefault="002C5025">
      <w:pPr>
        <w:pStyle w:val="BodyText"/>
        <w:tabs>
          <w:tab w:val="left" w:pos="5159"/>
        </w:tabs>
        <w:kinsoku w:val="0"/>
        <w:overflowPunct w:val="0"/>
        <w:spacing w:line="278" w:lineRule="exact"/>
        <w:ind w:left="119" w:right="241"/>
        <w:rPr>
          <w:rFonts w:ascii="Times New Roman" w:hAnsi="Times New Roman" w:cs="Times New Roman"/>
          <w:sz w:val="24"/>
          <w:szCs w:val="24"/>
        </w:rPr>
      </w:pPr>
      <w:r>
        <w:rPr>
          <w:rFonts w:ascii="Times New Roman" w:hAnsi="Times New Roman" w:cs="Times New Roman"/>
          <w:sz w:val="24"/>
          <w:szCs w:val="24"/>
        </w:rPr>
        <w:t>One Ashburton Place,</w:t>
      </w:r>
      <w:r>
        <w:rPr>
          <w:rFonts w:ascii="Times New Roman" w:hAnsi="Times New Roman" w:cs="Times New Roman"/>
          <w:spacing w:val="-18"/>
          <w:sz w:val="24"/>
          <w:szCs w:val="24"/>
        </w:rPr>
        <w:t xml:space="preserve"> </w:t>
      </w:r>
      <w:r>
        <w:rPr>
          <w:rFonts w:ascii="Times New Roman" w:hAnsi="Times New Roman" w:cs="Times New Roman"/>
          <w:sz w:val="24"/>
          <w:szCs w:val="24"/>
        </w:rPr>
        <w:t>11</w:t>
      </w:r>
      <w:proofErr w:type="spellStart"/>
      <w:r>
        <w:rPr>
          <w:rFonts w:ascii="Times New Roman" w:hAnsi="Times New Roman" w:cs="Times New Roman"/>
          <w:position w:val="11"/>
          <w:sz w:val="16"/>
          <w:szCs w:val="16"/>
        </w:rPr>
        <w:t>th</w:t>
      </w:r>
      <w:proofErr w:type="spellEnd"/>
      <w:r>
        <w:rPr>
          <w:rFonts w:ascii="Times New Roman" w:hAnsi="Times New Roman" w:cs="Times New Roman"/>
          <w:spacing w:val="19"/>
          <w:position w:val="11"/>
          <w:sz w:val="16"/>
          <w:szCs w:val="16"/>
        </w:rPr>
        <w:t xml:space="preserve"> </w:t>
      </w:r>
      <w:r>
        <w:rPr>
          <w:rFonts w:ascii="Times New Roman" w:hAnsi="Times New Roman" w:cs="Times New Roman"/>
          <w:sz w:val="24"/>
          <w:szCs w:val="24"/>
        </w:rPr>
        <w:t>Floor</w:t>
      </w:r>
      <w:r>
        <w:rPr>
          <w:rFonts w:ascii="Times New Roman" w:hAnsi="Times New Roman" w:cs="Times New Roman"/>
          <w:sz w:val="24"/>
          <w:szCs w:val="24"/>
        </w:rPr>
        <w:tab/>
        <w:t>One Ashburton Place, 11</w:t>
      </w:r>
      <w:proofErr w:type="spellStart"/>
      <w:r>
        <w:rPr>
          <w:rFonts w:ascii="Times New Roman" w:hAnsi="Times New Roman" w:cs="Times New Roman"/>
          <w:position w:val="11"/>
          <w:sz w:val="16"/>
          <w:szCs w:val="16"/>
        </w:rPr>
        <w:t>th</w:t>
      </w:r>
      <w:proofErr w:type="spellEnd"/>
      <w:r>
        <w:rPr>
          <w:rFonts w:ascii="Times New Roman" w:hAnsi="Times New Roman" w:cs="Times New Roman"/>
          <w:spacing w:val="-8"/>
          <w:position w:val="11"/>
          <w:sz w:val="16"/>
          <w:szCs w:val="16"/>
        </w:rPr>
        <w:t xml:space="preserve"> </w:t>
      </w:r>
      <w:r>
        <w:rPr>
          <w:rFonts w:ascii="Times New Roman" w:hAnsi="Times New Roman" w:cs="Times New Roman"/>
          <w:sz w:val="24"/>
          <w:szCs w:val="24"/>
        </w:rPr>
        <w:t>Floor</w:t>
      </w:r>
    </w:p>
    <w:p w:rsidR="002C5025" w:rsidRDefault="002C5025">
      <w:pPr>
        <w:pStyle w:val="BodyText"/>
        <w:tabs>
          <w:tab w:val="left" w:pos="5159"/>
        </w:tabs>
        <w:kinsoku w:val="0"/>
        <w:overflowPunct w:val="0"/>
        <w:spacing w:line="480" w:lineRule="auto"/>
        <w:ind w:left="840" w:right="2304" w:hanging="720"/>
        <w:rPr>
          <w:rFonts w:ascii="Times New Roman" w:hAnsi="Times New Roman" w:cs="Times New Roman"/>
          <w:sz w:val="24"/>
          <w:szCs w:val="24"/>
        </w:rPr>
      </w:pPr>
      <w:r>
        <w:rPr>
          <w:rFonts w:ascii="Times New Roman" w:hAnsi="Times New Roman" w:cs="Times New Roman"/>
          <w:sz w:val="24"/>
          <w:szCs w:val="24"/>
        </w:rPr>
        <w:t>Boston,</w:t>
      </w:r>
      <w:r>
        <w:rPr>
          <w:rFonts w:ascii="Times New Roman" w:hAnsi="Times New Roman" w:cs="Times New Roman"/>
          <w:spacing w:val="-4"/>
          <w:sz w:val="24"/>
          <w:szCs w:val="24"/>
        </w:rPr>
        <w:t xml:space="preserve"> </w:t>
      </w:r>
      <w:r>
        <w:rPr>
          <w:rFonts w:ascii="Times New Roman" w:hAnsi="Times New Roman" w:cs="Times New Roman"/>
          <w:sz w:val="24"/>
          <w:szCs w:val="24"/>
        </w:rPr>
        <w:t>MA</w:t>
      </w:r>
      <w:r>
        <w:rPr>
          <w:rFonts w:ascii="Times New Roman" w:hAnsi="Times New Roman" w:cs="Times New Roman"/>
          <w:spacing w:val="-2"/>
          <w:sz w:val="24"/>
          <w:szCs w:val="24"/>
        </w:rPr>
        <w:t xml:space="preserve"> </w:t>
      </w:r>
      <w:r>
        <w:rPr>
          <w:rFonts w:ascii="Times New Roman" w:hAnsi="Times New Roman" w:cs="Times New Roman"/>
          <w:sz w:val="24"/>
          <w:szCs w:val="24"/>
        </w:rPr>
        <w:t>02108</w:t>
      </w:r>
      <w:r>
        <w:rPr>
          <w:rFonts w:ascii="Times New Roman" w:hAnsi="Times New Roman" w:cs="Times New Roman"/>
          <w:sz w:val="24"/>
          <w:szCs w:val="24"/>
        </w:rPr>
        <w:tab/>
        <w:t>Boston,</w:t>
      </w:r>
      <w:r>
        <w:rPr>
          <w:rFonts w:ascii="Times New Roman" w:hAnsi="Times New Roman" w:cs="Times New Roman"/>
          <w:spacing w:val="-5"/>
          <w:sz w:val="24"/>
          <w:szCs w:val="24"/>
        </w:rPr>
        <w:t xml:space="preserve"> </w:t>
      </w:r>
      <w:r>
        <w:rPr>
          <w:rFonts w:ascii="Times New Roman" w:hAnsi="Times New Roman" w:cs="Times New Roman"/>
          <w:sz w:val="24"/>
          <w:szCs w:val="24"/>
        </w:rPr>
        <w:t>MA</w:t>
      </w:r>
      <w:r>
        <w:rPr>
          <w:rFonts w:ascii="Times New Roman" w:hAnsi="Times New Roman" w:cs="Times New Roman"/>
          <w:spacing w:val="-4"/>
          <w:sz w:val="24"/>
          <w:szCs w:val="24"/>
        </w:rPr>
        <w:t xml:space="preserve"> </w:t>
      </w:r>
      <w:r>
        <w:rPr>
          <w:rFonts w:ascii="Times New Roman" w:hAnsi="Times New Roman" w:cs="Times New Roman"/>
          <w:sz w:val="24"/>
          <w:szCs w:val="24"/>
        </w:rPr>
        <w:t>02108 Re: MAHP response to Draft Section 1115 Demonstration</w:t>
      </w:r>
      <w:r>
        <w:rPr>
          <w:rFonts w:ascii="Times New Roman" w:hAnsi="Times New Roman" w:cs="Times New Roman"/>
          <w:spacing w:val="4"/>
          <w:sz w:val="24"/>
          <w:szCs w:val="24"/>
        </w:rPr>
        <w:t xml:space="preserve"> </w:t>
      </w:r>
      <w:r>
        <w:rPr>
          <w:rFonts w:ascii="Times New Roman" w:hAnsi="Times New Roman" w:cs="Times New Roman"/>
          <w:sz w:val="24"/>
          <w:szCs w:val="24"/>
        </w:rPr>
        <w:t>Waiver</w:t>
      </w:r>
    </w:p>
    <w:p w:rsidR="002C5025" w:rsidRDefault="002C5025">
      <w:pPr>
        <w:pStyle w:val="BodyText"/>
        <w:kinsoku w:val="0"/>
        <w:overflowPunct w:val="0"/>
        <w:spacing w:before="22"/>
        <w:ind w:left="120" w:right="241"/>
        <w:rPr>
          <w:rFonts w:ascii="Times New Roman" w:hAnsi="Times New Roman" w:cs="Times New Roman"/>
          <w:sz w:val="24"/>
          <w:szCs w:val="24"/>
        </w:rPr>
      </w:pPr>
      <w:r>
        <w:rPr>
          <w:rFonts w:ascii="Times New Roman" w:hAnsi="Times New Roman" w:cs="Times New Roman"/>
          <w:sz w:val="24"/>
          <w:szCs w:val="24"/>
        </w:rPr>
        <w:t>Dear Secretary Sudders and Assistant Secretary Tsai:</w:t>
      </w:r>
    </w:p>
    <w:p w:rsidR="002C5025" w:rsidRDefault="002C5025">
      <w:pPr>
        <w:pStyle w:val="BodyText"/>
        <w:kinsoku w:val="0"/>
        <w:overflowPunct w:val="0"/>
        <w:spacing w:before="9"/>
        <w:rPr>
          <w:rFonts w:ascii="Times New Roman" w:hAnsi="Times New Roman" w:cs="Times New Roman"/>
          <w:sz w:val="23"/>
          <w:szCs w:val="23"/>
        </w:rPr>
      </w:pPr>
    </w:p>
    <w:p w:rsidR="002C5025" w:rsidRDefault="002C5025">
      <w:pPr>
        <w:pStyle w:val="BodyText"/>
        <w:kinsoku w:val="0"/>
        <w:overflowPunct w:val="0"/>
        <w:ind w:left="120" w:right="103"/>
        <w:rPr>
          <w:rFonts w:ascii="Times New Roman" w:hAnsi="Times New Roman" w:cs="Times New Roman"/>
          <w:sz w:val="24"/>
          <w:szCs w:val="24"/>
        </w:rPr>
      </w:pPr>
      <w:r>
        <w:rPr>
          <w:rFonts w:ascii="Times New Roman" w:hAnsi="Times New Roman" w:cs="Times New Roman"/>
          <w:sz w:val="24"/>
          <w:szCs w:val="24"/>
        </w:rPr>
        <w:t>On behalf of the Massachusetts Association of Health Plans (MAHP), which represents 17 member</w:t>
      </w:r>
      <w:r>
        <w:rPr>
          <w:rFonts w:ascii="Times New Roman" w:hAnsi="Times New Roman" w:cs="Times New Roman"/>
          <w:spacing w:val="-7"/>
          <w:sz w:val="24"/>
          <w:szCs w:val="24"/>
        </w:rPr>
        <w:t xml:space="preserve"> </w:t>
      </w:r>
      <w:r>
        <w:rPr>
          <w:rFonts w:ascii="Times New Roman" w:hAnsi="Times New Roman" w:cs="Times New Roman"/>
          <w:sz w:val="24"/>
          <w:szCs w:val="24"/>
        </w:rPr>
        <w:t>health</w:t>
      </w:r>
      <w:r>
        <w:rPr>
          <w:rFonts w:ascii="Times New Roman" w:hAnsi="Times New Roman" w:cs="Times New Roman"/>
          <w:spacing w:val="-6"/>
          <w:sz w:val="24"/>
          <w:szCs w:val="24"/>
        </w:rPr>
        <w:t xml:space="preserve"> </w:t>
      </w:r>
      <w:r>
        <w:rPr>
          <w:rFonts w:ascii="Times New Roman" w:hAnsi="Times New Roman" w:cs="Times New Roman"/>
          <w:sz w:val="24"/>
          <w:szCs w:val="24"/>
        </w:rPr>
        <w:t>plans</w:t>
      </w:r>
      <w:r>
        <w:rPr>
          <w:rFonts w:ascii="Times New Roman" w:hAnsi="Times New Roman" w:cs="Times New Roman"/>
          <w:spacing w:val="-8"/>
          <w:sz w:val="24"/>
          <w:szCs w:val="24"/>
        </w:rPr>
        <w:t xml:space="preserve"> </w:t>
      </w:r>
      <w:r>
        <w:rPr>
          <w:rFonts w:ascii="Times New Roman" w:hAnsi="Times New Roman" w:cs="Times New Roman"/>
          <w:sz w:val="24"/>
          <w:szCs w:val="24"/>
        </w:rPr>
        <w:t>that</w:t>
      </w:r>
      <w:r>
        <w:rPr>
          <w:rFonts w:ascii="Times New Roman" w:hAnsi="Times New Roman" w:cs="Times New Roman"/>
          <w:spacing w:val="-6"/>
          <w:sz w:val="24"/>
          <w:szCs w:val="24"/>
        </w:rPr>
        <w:t xml:space="preserve"> </w:t>
      </w:r>
      <w:r>
        <w:rPr>
          <w:rFonts w:ascii="Times New Roman" w:hAnsi="Times New Roman" w:cs="Times New Roman"/>
          <w:sz w:val="24"/>
          <w:szCs w:val="24"/>
        </w:rPr>
        <w:t>provide</w:t>
      </w:r>
      <w:r>
        <w:rPr>
          <w:rFonts w:ascii="Times New Roman" w:hAnsi="Times New Roman" w:cs="Times New Roman"/>
          <w:spacing w:val="-7"/>
          <w:sz w:val="24"/>
          <w:szCs w:val="24"/>
        </w:rPr>
        <w:t xml:space="preserve"> </w:t>
      </w:r>
      <w:r>
        <w:rPr>
          <w:rFonts w:ascii="Times New Roman" w:hAnsi="Times New Roman" w:cs="Times New Roman"/>
          <w:sz w:val="24"/>
          <w:szCs w:val="24"/>
        </w:rPr>
        <w:t>coverage</w:t>
      </w:r>
      <w:r>
        <w:rPr>
          <w:rFonts w:ascii="Times New Roman" w:hAnsi="Times New Roman" w:cs="Times New Roman"/>
          <w:spacing w:val="-7"/>
          <w:sz w:val="24"/>
          <w:szCs w:val="24"/>
        </w:rPr>
        <w:t xml:space="preserve"> </w:t>
      </w:r>
      <w:r>
        <w:rPr>
          <w:rFonts w:ascii="Times New Roman" w:hAnsi="Times New Roman" w:cs="Times New Roman"/>
          <w:sz w:val="24"/>
          <w:szCs w:val="24"/>
        </w:rPr>
        <w:t>to</w:t>
      </w:r>
      <w:r>
        <w:rPr>
          <w:rFonts w:ascii="Times New Roman" w:hAnsi="Times New Roman" w:cs="Times New Roman"/>
          <w:spacing w:val="-6"/>
          <w:sz w:val="24"/>
          <w:szCs w:val="24"/>
        </w:rPr>
        <w:t xml:space="preserve"> </w:t>
      </w:r>
      <w:r>
        <w:rPr>
          <w:rFonts w:ascii="Times New Roman" w:hAnsi="Times New Roman" w:cs="Times New Roman"/>
          <w:sz w:val="24"/>
          <w:szCs w:val="24"/>
        </w:rPr>
        <w:t>more</w:t>
      </w:r>
      <w:r>
        <w:rPr>
          <w:rFonts w:ascii="Times New Roman" w:hAnsi="Times New Roman" w:cs="Times New Roman"/>
          <w:spacing w:val="-7"/>
          <w:sz w:val="24"/>
          <w:szCs w:val="24"/>
        </w:rPr>
        <w:t xml:space="preserve"> </w:t>
      </w:r>
      <w:r>
        <w:rPr>
          <w:rFonts w:ascii="Times New Roman" w:hAnsi="Times New Roman" w:cs="Times New Roman"/>
          <w:sz w:val="24"/>
          <w:szCs w:val="24"/>
        </w:rPr>
        <w:t>than</w:t>
      </w:r>
      <w:r>
        <w:rPr>
          <w:rFonts w:ascii="Times New Roman" w:hAnsi="Times New Roman" w:cs="Times New Roman"/>
          <w:spacing w:val="-6"/>
          <w:sz w:val="24"/>
          <w:szCs w:val="24"/>
        </w:rPr>
        <w:t xml:space="preserve"> </w:t>
      </w:r>
      <w:r>
        <w:rPr>
          <w:rFonts w:ascii="Times New Roman" w:hAnsi="Times New Roman" w:cs="Times New Roman"/>
          <w:sz w:val="24"/>
          <w:szCs w:val="24"/>
        </w:rPr>
        <w:t>2.6</w:t>
      </w:r>
      <w:r>
        <w:rPr>
          <w:rFonts w:ascii="Times New Roman" w:hAnsi="Times New Roman" w:cs="Times New Roman"/>
          <w:spacing w:val="-6"/>
          <w:sz w:val="24"/>
          <w:szCs w:val="24"/>
        </w:rPr>
        <w:t xml:space="preserve"> </w:t>
      </w:r>
      <w:r>
        <w:rPr>
          <w:rFonts w:ascii="Times New Roman" w:hAnsi="Times New Roman" w:cs="Times New Roman"/>
          <w:sz w:val="24"/>
          <w:szCs w:val="24"/>
        </w:rPr>
        <w:t>million</w:t>
      </w:r>
      <w:r>
        <w:rPr>
          <w:rFonts w:ascii="Times New Roman" w:hAnsi="Times New Roman" w:cs="Times New Roman"/>
          <w:spacing w:val="-6"/>
          <w:sz w:val="24"/>
          <w:szCs w:val="24"/>
        </w:rPr>
        <w:t xml:space="preserve"> </w:t>
      </w:r>
      <w:r>
        <w:rPr>
          <w:rFonts w:ascii="Times New Roman" w:hAnsi="Times New Roman" w:cs="Times New Roman"/>
          <w:sz w:val="24"/>
          <w:szCs w:val="24"/>
        </w:rPr>
        <w:t>Massachusetts</w:t>
      </w:r>
      <w:r>
        <w:rPr>
          <w:rFonts w:ascii="Times New Roman" w:hAnsi="Times New Roman" w:cs="Times New Roman"/>
          <w:spacing w:val="-6"/>
          <w:sz w:val="24"/>
          <w:szCs w:val="24"/>
        </w:rPr>
        <w:t xml:space="preserve"> </w:t>
      </w:r>
      <w:r>
        <w:rPr>
          <w:rFonts w:ascii="Times New Roman" w:hAnsi="Times New Roman" w:cs="Times New Roman"/>
          <w:sz w:val="24"/>
          <w:szCs w:val="24"/>
        </w:rPr>
        <w:t>residents,</w:t>
      </w:r>
      <w:r>
        <w:rPr>
          <w:rFonts w:ascii="Times New Roman" w:hAnsi="Times New Roman" w:cs="Times New Roman"/>
          <w:spacing w:val="-6"/>
          <w:sz w:val="24"/>
          <w:szCs w:val="24"/>
        </w:rPr>
        <w:t xml:space="preserve"> </w:t>
      </w:r>
      <w:r>
        <w:rPr>
          <w:rFonts w:ascii="Times New Roman" w:hAnsi="Times New Roman" w:cs="Times New Roman"/>
          <w:sz w:val="24"/>
          <w:szCs w:val="24"/>
        </w:rPr>
        <w:t xml:space="preserve">and the 6 Medicaid managed care organizations (MCOs) providing coverage to over 800,000 Medicaid and Commonwealth Care members, I am writing to provide our feedback on the 1115 Demonstration Waiver proposal, released on June 15, 2016, specifically, the proposed redesign of the program’s payment and delivery system and the expansion of substance use disorder (SUD) services. We appreciate the public process by which MassHealth engaged stakeholders and thank </w:t>
      </w:r>
      <w:r>
        <w:rPr>
          <w:rFonts w:ascii="Times New Roman" w:hAnsi="Times New Roman" w:cs="Times New Roman"/>
          <w:spacing w:val="-4"/>
          <w:sz w:val="24"/>
          <w:szCs w:val="24"/>
        </w:rPr>
        <w:t xml:space="preserve">you </w:t>
      </w:r>
      <w:r>
        <w:rPr>
          <w:rFonts w:ascii="Times New Roman" w:hAnsi="Times New Roman" w:cs="Times New Roman"/>
          <w:sz w:val="24"/>
          <w:szCs w:val="24"/>
        </w:rPr>
        <w:t>for the opportunity to participate and offer our</w:t>
      </w:r>
      <w:r>
        <w:rPr>
          <w:rFonts w:ascii="Times New Roman" w:hAnsi="Times New Roman" w:cs="Times New Roman"/>
          <w:spacing w:val="-39"/>
          <w:sz w:val="24"/>
          <w:szCs w:val="24"/>
        </w:rPr>
        <w:t xml:space="preserve"> </w:t>
      </w:r>
      <w:r>
        <w:rPr>
          <w:rFonts w:ascii="Times New Roman" w:hAnsi="Times New Roman" w:cs="Times New Roman"/>
          <w:sz w:val="24"/>
          <w:szCs w:val="24"/>
        </w:rPr>
        <w:t>perspectives.</w:t>
      </w:r>
    </w:p>
    <w:p w:rsidR="002C5025" w:rsidRDefault="002C5025">
      <w:pPr>
        <w:pStyle w:val="BodyText"/>
        <w:kinsoku w:val="0"/>
        <w:overflowPunct w:val="0"/>
        <w:spacing w:before="10"/>
        <w:rPr>
          <w:rFonts w:ascii="Times New Roman" w:hAnsi="Times New Roman" w:cs="Times New Roman"/>
          <w:sz w:val="20"/>
          <w:szCs w:val="20"/>
        </w:rPr>
      </w:pPr>
    </w:p>
    <w:p w:rsidR="002C5025" w:rsidRDefault="002C5025">
      <w:pPr>
        <w:pStyle w:val="BodyText"/>
        <w:kinsoku w:val="0"/>
        <w:overflowPunct w:val="0"/>
        <w:ind w:left="119" w:right="109"/>
        <w:rPr>
          <w:rFonts w:ascii="Times New Roman" w:hAnsi="Times New Roman" w:cs="Times New Roman"/>
          <w:sz w:val="24"/>
          <w:szCs w:val="24"/>
        </w:rPr>
      </w:pPr>
      <w:r>
        <w:rPr>
          <w:rFonts w:ascii="Times New Roman" w:hAnsi="Times New Roman" w:cs="Times New Roman"/>
          <w:sz w:val="24"/>
          <w:szCs w:val="24"/>
        </w:rPr>
        <w:t>While we continue to believe that relying exclusively on the MCOs to implement delivery system reform would be the simplest approach, be the least disruptive for MassHealth members, and yield</w:t>
      </w:r>
      <w:r>
        <w:rPr>
          <w:rFonts w:ascii="Times New Roman" w:hAnsi="Times New Roman" w:cs="Times New Roman"/>
          <w:spacing w:val="-3"/>
          <w:sz w:val="24"/>
          <w:szCs w:val="24"/>
        </w:rPr>
        <w:t xml:space="preserve"> </w:t>
      </w:r>
      <w:r>
        <w:rPr>
          <w:rFonts w:ascii="Times New Roman" w:hAnsi="Times New Roman" w:cs="Times New Roman"/>
          <w:sz w:val="24"/>
          <w:szCs w:val="24"/>
        </w:rPr>
        <w:t>more</w:t>
      </w:r>
      <w:r>
        <w:rPr>
          <w:rFonts w:ascii="Times New Roman" w:hAnsi="Times New Roman" w:cs="Times New Roman"/>
          <w:spacing w:val="-7"/>
          <w:sz w:val="24"/>
          <w:szCs w:val="24"/>
        </w:rPr>
        <w:t xml:space="preserve"> </w:t>
      </w:r>
      <w:r>
        <w:rPr>
          <w:rFonts w:ascii="Times New Roman" w:hAnsi="Times New Roman" w:cs="Times New Roman"/>
          <w:sz w:val="24"/>
          <w:szCs w:val="24"/>
        </w:rPr>
        <w:t>immediate</w:t>
      </w:r>
      <w:r>
        <w:rPr>
          <w:rFonts w:ascii="Times New Roman" w:hAnsi="Times New Roman" w:cs="Times New Roman"/>
          <w:spacing w:val="-4"/>
          <w:sz w:val="24"/>
          <w:szCs w:val="24"/>
        </w:rPr>
        <w:t xml:space="preserve"> </w:t>
      </w:r>
      <w:r>
        <w:rPr>
          <w:rFonts w:ascii="Times New Roman" w:hAnsi="Times New Roman" w:cs="Times New Roman"/>
          <w:sz w:val="24"/>
          <w:szCs w:val="24"/>
        </w:rPr>
        <w:t>savings,</w:t>
      </w:r>
      <w:r>
        <w:rPr>
          <w:rFonts w:ascii="Times New Roman" w:hAnsi="Times New Roman" w:cs="Times New Roman"/>
          <w:spacing w:val="-1"/>
          <w:sz w:val="24"/>
          <w:szCs w:val="24"/>
        </w:rPr>
        <w:t xml:space="preserve"> </w:t>
      </w:r>
      <w:r>
        <w:rPr>
          <w:rFonts w:ascii="Times New Roman" w:hAnsi="Times New Roman" w:cs="Times New Roman"/>
          <w:sz w:val="24"/>
          <w:szCs w:val="24"/>
        </w:rPr>
        <w:t>we</w:t>
      </w:r>
      <w:r>
        <w:rPr>
          <w:rFonts w:ascii="Times New Roman" w:hAnsi="Times New Roman" w:cs="Times New Roman"/>
          <w:spacing w:val="-7"/>
          <w:sz w:val="24"/>
          <w:szCs w:val="24"/>
        </w:rPr>
        <w:t xml:space="preserve"> </w:t>
      </w:r>
      <w:r>
        <w:rPr>
          <w:rFonts w:ascii="Times New Roman" w:hAnsi="Times New Roman" w:cs="Times New Roman"/>
          <w:sz w:val="24"/>
          <w:szCs w:val="24"/>
        </w:rPr>
        <w:t>understand</w:t>
      </w:r>
      <w:r>
        <w:rPr>
          <w:rFonts w:ascii="Times New Roman" w:hAnsi="Times New Roman" w:cs="Times New Roman"/>
          <w:spacing w:val="-1"/>
          <w:sz w:val="24"/>
          <w:szCs w:val="24"/>
        </w:rPr>
        <w:t xml:space="preserve"> </w:t>
      </w:r>
      <w:r>
        <w:rPr>
          <w:rFonts w:ascii="Times New Roman" w:hAnsi="Times New Roman" w:cs="Times New Roman"/>
          <w:sz w:val="24"/>
          <w:szCs w:val="24"/>
        </w:rPr>
        <w:t>this</w:t>
      </w:r>
      <w:r>
        <w:rPr>
          <w:rFonts w:ascii="Times New Roman" w:hAnsi="Times New Roman" w:cs="Times New Roman"/>
          <w:spacing w:val="-3"/>
          <w:sz w:val="24"/>
          <w:szCs w:val="24"/>
        </w:rPr>
        <w:t xml:space="preserve"> </w:t>
      </w:r>
      <w:r>
        <w:rPr>
          <w:rFonts w:ascii="Times New Roman" w:hAnsi="Times New Roman" w:cs="Times New Roman"/>
          <w:sz w:val="24"/>
          <w:szCs w:val="24"/>
        </w:rPr>
        <w:t>was</w:t>
      </w:r>
      <w:r>
        <w:rPr>
          <w:rFonts w:ascii="Times New Roman" w:hAnsi="Times New Roman" w:cs="Times New Roman"/>
          <w:spacing w:val="-3"/>
          <w:sz w:val="24"/>
          <w:szCs w:val="24"/>
        </w:rPr>
        <w:t xml:space="preserve"> </w:t>
      </w:r>
      <w:r>
        <w:rPr>
          <w:rFonts w:ascii="Times New Roman" w:hAnsi="Times New Roman" w:cs="Times New Roman"/>
          <w:sz w:val="24"/>
          <w:szCs w:val="24"/>
        </w:rPr>
        <w:t>not</w:t>
      </w:r>
      <w:r>
        <w:rPr>
          <w:rFonts w:ascii="Times New Roman" w:hAnsi="Times New Roman" w:cs="Times New Roman"/>
          <w:spacing w:val="-3"/>
          <w:sz w:val="24"/>
          <w:szCs w:val="24"/>
        </w:rPr>
        <w:t xml:space="preserve"> </w:t>
      </w:r>
      <w:r>
        <w:rPr>
          <w:rFonts w:ascii="Times New Roman" w:hAnsi="Times New Roman" w:cs="Times New Roman"/>
          <w:sz w:val="24"/>
          <w:szCs w:val="24"/>
        </w:rPr>
        <w:t>the</w:t>
      </w:r>
      <w:r>
        <w:rPr>
          <w:rFonts w:ascii="Times New Roman" w:hAnsi="Times New Roman" w:cs="Times New Roman"/>
          <w:spacing w:val="-4"/>
          <w:sz w:val="24"/>
          <w:szCs w:val="24"/>
        </w:rPr>
        <w:t xml:space="preserve"> </w:t>
      </w:r>
      <w:r>
        <w:rPr>
          <w:rFonts w:ascii="Times New Roman" w:hAnsi="Times New Roman" w:cs="Times New Roman"/>
          <w:sz w:val="24"/>
          <w:szCs w:val="24"/>
        </w:rPr>
        <w:t>direction</w:t>
      </w:r>
      <w:r>
        <w:rPr>
          <w:rFonts w:ascii="Times New Roman" w:hAnsi="Times New Roman" w:cs="Times New Roman"/>
          <w:spacing w:val="-6"/>
          <w:sz w:val="24"/>
          <w:szCs w:val="24"/>
        </w:rPr>
        <w:t xml:space="preserve"> </w:t>
      </w:r>
      <w:r>
        <w:rPr>
          <w:rFonts w:ascii="Times New Roman" w:hAnsi="Times New Roman" w:cs="Times New Roman"/>
          <w:sz w:val="24"/>
          <w:szCs w:val="24"/>
        </w:rPr>
        <w:t>preferred</w:t>
      </w:r>
      <w:r>
        <w:rPr>
          <w:rFonts w:ascii="Times New Roman" w:hAnsi="Times New Roman" w:cs="Times New Roman"/>
          <w:spacing w:val="-3"/>
          <w:sz w:val="24"/>
          <w:szCs w:val="24"/>
        </w:rPr>
        <w:t xml:space="preserve"> </w:t>
      </w:r>
      <w:r>
        <w:rPr>
          <w:rFonts w:ascii="Times New Roman" w:hAnsi="Times New Roman" w:cs="Times New Roman"/>
          <w:sz w:val="24"/>
          <w:szCs w:val="24"/>
        </w:rPr>
        <w:t>by</w:t>
      </w:r>
      <w:r>
        <w:rPr>
          <w:rFonts w:ascii="Times New Roman" w:hAnsi="Times New Roman" w:cs="Times New Roman"/>
          <w:spacing w:val="-13"/>
          <w:sz w:val="24"/>
          <w:szCs w:val="24"/>
        </w:rPr>
        <w:t xml:space="preserve"> </w:t>
      </w:r>
      <w:r>
        <w:rPr>
          <w:rFonts w:ascii="Times New Roman" w:hAnsi="Times New Roman" w:cs="Times New Roman"/>
          <w:sz w:val="24"/>
          <w:szCs w:val="24"/>
        </w:rPr>
        <w:t>CMS</w:t>
      </w:r>
      <w:r>
        <w:rPr>
          <w:rFonts w:ascii="Times New Roman" w:hAnsi="Times New Roman" w:cs="Times New Roman"/>
          <w:spacing w:val="-3"/>
          <w:sz w:val="24"/>
          <w:szCs w:val="24"/>
        </w:rPr>
        <w:t xml:space="preserve"> </w:t>
      </w:r>
      <w:r>
        <w:rPr>
          <w:rFonts w:ascii="Times New Roman" w:hAnsi="Times New Roman" w:cs="Times New Roman"/>
          <w:sz w:val="24"/>
          <w:szCs w:val="24"/>
        </w:rPr>
        <w:t xml:space="preserve">as officials looks to experiment at the state level with reform efforts that are similar to, or that </w:t>
      </w:r>
      <w:r>
        <w:rPr>
          <w:rFonts w:ascii="Times New Roman" w:hAnsi="Times New Roman" w:cs="Times New Roman"/>
          <w:spacing w:val="-5"/>
          <w:sz w:val="24"/>
          <w:szCs w:val="24"/>
        </w:rPr>
        <w:t xml:space="preserve">go </w:t>
      </w:r>
      <w:r>
        <w:rPr>
          <w:rFonts w:ascii="Times New Roman" w:hAnsi="Times New Roman" w:cs="Times New Roman"/>
          <w:sz w:val="24"/>
          <w:szCs w:val="24"/>
        </w:rPr>
        <w:t>beyond,</w:t>
      </w:r>
      <w:r>
        <w:rPr>
          <w:rFonts w:ascii="Times New Roman" w:hAnsi="Times New Roman" w:cs="Times New Roman"/>
          <w:spacing w:val="-5"/>
          <w:sz w:val="24"/>
          <w:szCs w:val="24"/>
        </w:rPr>
        <w:t xml:space="preserve"> </w:t>
      </w:r>
      <w:r>
        <w:rPr>
          <w:rFonts w:ascii="Times New Roman" w:hAnsi="Times New Roman" w:cs="Times New Roman"/>
          <w:sz w:val="24"/>
          <w:szCs w:val="24"/>
        </w:rPr>
        <w:t>current</w:t>
      </w:r>
      <w:r>
        <w:rPr>
          <w:rFonts w:ascii="Times New Roman" w:hAnsi="Times New Roman" w:cs="Times New Roman"/>
          <w:spacing w:val="-8"/>
          <w:sz w:val="24"/>
          <w:szCs w:val="24"/>
        </w:rPr>
        <w:t xml:space="preserve"> </w:t>
      </w:r>
      <w:r>
        <w:rPr>
          <w:rFonts w:ascii="Times New Roman" w:hAnsi="Times New Roman" w:cs="Times New Roman"/>
          <w:sz w:val="24"/>
          <w:szCs w:val="24"/>
        </w:rPr>
        <w:t>Pioneer</w:t>
      </w:r>
      <w:r>
        <w:rPr>
          <w:rFonts w:ascii="Times New Roman" w:hAnsi="Times New Roman" w:cs="Times New Roman"/>
          <w:spacing w:val="-5"/>
          <w:sz w:val="24"/>
          <w:szCs w:val="24"/>
        </w:rPr>
        <w:t xml:space="preserve"> </w:t>
      </w:r>
      <w:r>
        <w:rPr>
          <w:rFonts w:ascii="Times New Roman" w:hAnsi="Times New Roman" w:cs="Times New Roman"/>
          <w:sz w:val="24"/>
          <w:szCs w:val="24"/>
        </w:rPr>
        <w:t>and</w:t>
      </w:r>
      <w:r>
        <w:rPr>
          <w:rFonts w:ascii="Times New Roman" w:hAnsi="Times New Roman" w:cs="Times New Roman"/>
          <w:spacing w:val="-6"/>
          <w:sz w:val="24"/>
          <w:szCs w:val="24"/>
        </w:rPr>
        <w:t xml:space="preserve"> </w:t>
      </w:r>
      <w:r>
        <w:rPr>
          <w:rFonts w:ascii="Times New Roman" w:hAnsi="Times New Roman" w:cs="Times New Roman"/>
          <w:sz w:val="24"/>
          <w:szCs w:val="24"/>
        </w:rPr>
        <w:t>Next</w:t>
      </w:r>
      <w:r>
        <w:rPr>
          <w:rFonts w:ascii="Times New Roman" w:hAnsi="Times New Roman" w:cs="Times New Roman"/>
          <w:spacing w:val="-8"/>
          <w:sz w:val="24"/>
          <w:szCs w:val="24"/>
        </w:rPr>
        <w:t xml:space="preserve"> </w:t>
      </w:r>
      <w:r>
        <w:rPr>
          <w:rFonts w:ascii="Times New Roman" w:hAnsi="Times New Roman" w:cs="Times New Roman"/>
          <w:sz w:val="24"/>
          <w:szCs w:val="24"/>
        </w:rPr>
        <w:t>Generation</w:t>
      </w:r>
      <w:r>
        <w:rPr>
          <w:rFonts w:ascii="Times New Roman" w:hAnsi="Times New Roman" w:cs="Times New Roman"/>
          <w:spacing w:val="-6"/>
          <w:sz w:val="24"/>
          <w:szCs w:val="24"/>
        </w:rPr>
        <w:t xml:space="preserve"> </w:t>
      </w:r>
      <w:r>
        <w:rPr>
          <w:rFonts w:ascii="Times New Roman" w:hAnsi="Times New Roman" w:cs="Times New Roman"/>
          <w:sz w:val="24"/>
          <w:szCs w:val="24"/>
        </w:rPr>
        <w:t>accountable</w:t>
      </w:r>
      <w:r>
        <w:rPr>
          <w:rFonts w:ascii="Times New Roman" w:hAnsi="Times New Roman" w:cs="Times New Roman"/>
          <w:spacing w:val="-7"/>
          <w:sz w:val="24"/>
          <w:szCs w:val="24"/>
        </w:rPr>
        <w:t xml:space="preserve"> </w:t>
      </w:r>
      <w:r>
        <w:rPr>
          <w:rFonts w:ascii="Times New Roman" w:hAnsi="Times New Roman" w:cs="Times New Roman"/>
          <w:sz w:val="24"/>
          <w:szCs w:val="24"/>
        </w:rPr>
        <w:t>care</w:t>
      </w:r>
      <w:r>
        <w:rPr>
          <w:rFonts w:ascii="Times New Roman" w:hAnsi="Times New Roman" w:cs="Times New Roman"/>
          <w:spacing w:val="-7"/>
          <w:sz w:val="24"/>
          <w:szCs w:val="24"/>
        </w:rPr>
        <w:t xml:space="preserve"> </w:t>
      </w:r>
      <w:r>
        <w:rPr>
          <w:rFonts w:ascii="Times New Roman" w:hAnsi="Times New Roman" w:cs="Times New Roman"/>
          <w:sz w:val="24"/>
          <w:szCs w:val="24"/>
        </w:rPr>
        <w:t>organization</w:t>
      </w:r>
      <w:r>
        <w:rPr>
          <w:rFonts w:ascii="Times New Roman" w:hAnsi="Times New Roman" w:cs="Times New Roman"/>
          <w:spacing w:val="-6"/>
          <w:sz w:val="24"/>
          <w:szCs w:val="24"/>
        </w:rPr>
        <w:t xml:space="preserve"> </w:t>
      </w:r>
      <w:r>
        <w:rPr>
          <w:rFonts w:ascii="Times New Roman" w:hAnsi="Times New Roman" w:cs="Times New Roman"/>
          <w:sz w:val="24"/>
          <w:szCs w:val="24"/>
        </w:rPr>
        <w:t>(ACO)</w:t>
      </w:r>
      <w:r>
        <w:rPr>
          <w:rFonts w:ascii="Times New Roman" w:hAnsi="Times New Roman" w:cs="Times New Roman"/>
          <w:spacing w:val="-10"/>
          <w:sz w:val="24"/>
          <w:szCs w:val="24"/>
        </w:rPr>
        <w:t xml:space="preserve"> </w:t>
      </w:r>
      <w:r>
        <w:rPr>
          <w:rFonts w:ascii="Times New Roman" w:hAnsi="Times New Roman" w:cs="Times New Roman"/>
          <w:sz w:val="24"/>
          <w:szCs w:val="24"/>
        </w:rPr>
        <w:t>programs.</w:t>
      </w:r>
    </w:p>
    <w:p w:rsidR="002C5025" w:rsidRDefault="002C5025">
      <w:pPr>
        <w:pStyle w:val="BodyText"/>
        <w:kinsoku w:val="0"/>
        <w:overflowPunct w:val="0"/>
        <w:ind w:left="119" w:right="223"/>
        <w:rPr>
          <w:rFonts w:ascii="Times New Roman" w:hAnsi="Times New Roman" w:cs="Times New Roman"/>
          <w:sz w:val="24"/>
          <w:szCs w:val="24"/>
        </w:rPr>
      </w:pPr>
      <w:r>
        <w:rPr>
          <w:rFonts w:ascii="Times New Roman" w:hAnsi="Times New Roman" w:cs="Times New Roman"/>
          <w:sz w:val="24"/>
          <w:szCs w:val="24"/>
        </w:rPr>
        <w:t>Today, ACOs remain an unproven model and the Medicare ACO models to-date have yielded mixed results on cost savings and improvements in quality with many providers leaving the program early. On behalf of the MCOs, we want to state our ongoing commitment to the Medicaid program and our commitment to work with you collectively to find solutions to serve this population in the most cost effective manner. We share the Administration’s goals to move away from a fragmented fee-for-service payment system to a system that rewards value and we believe that our MCOs are in a unique position to work with you to deliver upon that vision.</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19" w:right="290"/>
        <w:rPr>
          <w:rFonts w:ascii="Times New Roman" w:hAnsi="Times New Roman" w:cs="Times New Roman"/>
          <w:sz w:val="24"/>
          <w:szCs w:val="24"/>
        </w:rPr>
      </w:pPr>
      <w:r>
        <w:rPr>
          <w:rFonts w:ascii="Times New Roman" w:hAnsi="Times New Roman" w:cs="Times New Roman"/>
          <w:sz w:val="24"/>
          <w:szCs w:val="24"/>
        </w:rPr>
        <w:t>As outlined in our May 3, 2016 letter, we initially had a number of concerns and questions regarding patient access to care relative to Model B ACOs, whether ACOs would be able to restrict access to patient care through limitations on referrals, and whether Model B ACOs will</w:t>
      </w:r>
    </w:p>
    <w:p w:rsidR="002C5025" w:rsidRDefault="002C5025">
      <w:pPr>
        <w:pStyle w:val="BodyText"/>
        <w:kinsoku w:val="0"/>
        <w:overflowPunct w:val="0"/>
        <w:ind w:left="119" w:right="290"/>
        <w:rPr>
          <w:rFonts w:ascii="Times New Roman" w:hAnsi="Times New Roman" w:cs="Times New Roman"/>
          <w:sz w:val="24"/>
          <w:szCs w:val="24"/>
        </w:rPr>
        <w:sectPr w:rsidR="002C5025">
          <w:pgSz w:w="12240" w:h="15840"/>
          <w:pgMar w:top="1440" w:right="1380" w:bottom="280" w:left="1320" w:header="720" w:footer="720" w:gutter="0"/>
          <w:cols w:space="720" w:equalWidth="0">
            <w:col w:w="9540"/>
          </w:cols>
          <w:noEndnote/>
        </w:sectPr>
      </w:pPr>
    </w:p>
    <w:p w:rsidR="002C5025" w:rsidRDefault="002C5025">
      <w:pPr>
        <w:pStyle w:val="BodyText"/>
        <w:kinsoku w:val="0"/>
        <w:overflowPunct w:val="0"/>
        <w:spacing w:before="44"/>
        <w:ind w:left="119" w:right="241"/>
        <w:rPr>
          <w:rFonts w:ascii="Times New Roman" w:hAnsi="Times New Roman" w:cs="Times New Roman"/>
          <w:sz w:val="24"/>
          <w:szCs w:val="24"/>
        </w:rPr>
      </w:pPr>
      <w:r>
        <w:rPr>
          <w:rFonts w:ascii="Times New Roman" w:hAnsi="Times New Roman" w:cs="Times New Roman"/>
          <w:sz w:val="24"/>
          <w:szCs w:val="24"/>
        </w:rPr>
        <w:lastRenderedPageBreak/>
        <w:t>actually be functioning as health maintenance organizations (HMOs), requiring an insurance licensure under MGL 176 G similar to the same requirements established for MCOs. As details began to emerge within both the RFR for the ACO Pilot program and the Waiver materials, we believe that a number of these concerns have been addressed and/or clarified and we thank you for addressing those items. As we have shared with you, MAHP has engaged a law firm to prepare a memo that outlines the existing state statutory and regulatory provisions governing</w:t>
      </w:r>
    </w:p>
    <w:p w:rsidR="002C5025" w:rsidRDefault="002C5025">
      <w:pPr>
        <w:pStyle w:val="BodyText"/>
        <w:kinsoku w:val="0"/>
        <w:overflowPunct w:val="0"/>
        <w:ind w:left="120" w:right="25"/>
        <w:rPr>
          <w:rFonts w:ascii="Times New Roman" w:hAnsi="Times New Roman" w:cs="Times New Roman"/>
          <w:sz w:val="24"/>
          <w:szCs w:val="24"/>
        </w:rPr>
      </w:pPr>
      <w:r>
        <w:rPr>
          <w:rFonts w:ascii="Times New Roman" w:hAnsi="Times New Roman" w:cs="Times New Roman"/>
          <w:sz w:val="24"/>
          <w:szCs w:val="24"/>
        </w:rPr>
        <w:t>risk-bearing provider entities. The memo will summarize the criteria for when ACOs will need to obtain an insurance license in Massachusetts and identify additional statutory and regulatory provisions governing risk-bearing entities that need to be in place to provide sufficient consumer protections and financial oversight. We will share a copy of the memo with you under separate cover.</w:t>
      </w:r>
    </w:p>
    <w:p w:rsidR="002C5025" w:rsidRDefault="002C5025">
      <w:pPr>
        <w:pStyle w:val="BodyText"/>
        <w:kinsoku w:val="0"/>
        <w:overflowPunct w:val="0"/>
        <w:spacing w:before="2"/>
        <w:rPr>
          <w:rFonts w:ascii="Times New Roman" w:hAnsi="Times New Roman" w:cs="Times New Roman"/>
          <w:sz w:val="24"/>
          <w:szCs w:val="24"/>
        </w:rPr>
      </w:pPr>
    </w:p>
    <w:p w:rsidR="002C5025" w:rsidRDefault="002C5025">
      <w:pPr>
        <w:pStyle w:val="BodyText"/>
        <w:kinsoku w:val="0"/>
        <w:overflowPunct w:val="0"/>
        <w:spacing w:line="235" w:lineRule="auto"/>
        <w:ind w:left="119" w:right="25"/>
        <w:rPr>
          <w:rFonts w:ascii="Times New Roman" w:hAnsi="Times New Roman" w:cs="Times New Roman"/>
          <w:sz w:val="24"/>
          <w:szCs w:val="24"/>
        </w:rPr>
      </w:pPr>
      <w:r>
        <w:rPr>
          <w:rFonts w:ascii="Times New Roman" w:hAnsi="Times New Roman" w:cs="Times New Roman"/>
          <w:sz w:val="24"/>
          <w:szCs w:val="24"/>
        </w:rPr>
        <w:t>We have also raised many questions about how the program will be implemented and how it will ultimately impact patient care. Additionally, as part of our May 3</w:t>
      </w:r>
      <w:proofErr w:type="spellStart"/>
      <w:r>
        <w:rPr>
          <w:rFonts w:ascii="Times New Roman" w:hAnsi="Times New Roman" w:cs="Times New Roman"/>
          <w:position w:val="11"/>
          <w:sz w:val="16"/>
          <w:szCs w:val="16"/>
        </w:rPr>
        <w:t>rd</w:t>
      </w:r>
      <w:proofErr w:type="spellEnd"/>
      <w:r>
        <w:rPr>
          <w:rFonts w:ascii="Times New Roman" w:hAnsi="Times New Roman" w:cs="Times New Roman"/>
          <w:position w:val="11"/>
          <w:sz w:val="16"/>
          <w:szCs w:val="16"/>
        </w:rPr>
        <w:t xml:space="preserve"> </w:t>
      </w:r>
      <w:r>
        <w:rPr>
          <w:rFonts w:ascii="Times New Roman" w:hAnsi="Times New Roman" w:cs="Times New Roman"/>
          <w:sz w:val="24"/>
          <w:szCs w:val="24"/>
        </w:rPr>
        <w:t>communication, we submitted a detailed list of questions that our members believe are essential in assessing how the redesign will impact patient care, how the ACO models will be structured, and how ACOs will work with community and specialty providers, along with how certain policy and operational issues will be handled. Continuity of care for patients will remain a critical issue during the redesign implementation and we look forward to continuing this important dialogue. We will send MassHealth an updated list of open questions under separate cover. Answers to these questions will help the MCOs to be able to effectively partner with the state to implement the reforms.</w:t>
      </w:r>
    </w:p>
    <w:p w:rsidR="002C5025" w:rsidRDefault="002C5025">
      <w:pPr>
        <w:pStyle w:val="BodyText"/>
        <w:kinsoku w:val="0"/>
        <w:overflowPunct w:val="0"/>
        <w:spacing w:before="1"/>
        <w:rPr>
          <w:rFonts w:ascii="Times New Roman" w:hAnsi="Times New Roman" w:cs="Times New Roman"/>
          <w:sz w:val="24"/>
          <w:szCs w:val="24"/>
        </w:rPr>
      </w:pPr>
    </w:p>
    <w:p w:rsidR="002C5025" w:rsidRDefault="002C5025">
      <w:pPr>
        <w:pStyle w:val="BodyText"/>
        <w:kinsoku w:val="0"/>
        <w:overflowPunct w:val="0"/>
        <w:ind w:left="120" w:right="241"/>
        <w:rPr>
          <w:rFonts w:ascii="Times New Roman" w:hAnsi="Times New Roman" w:cs="Times New Roman"/>
          <w:sz w:val="24"/>
          <w:szCs w:val="24"/>
        </w:rPr>
      </w:pPr>
      <w:r>
        <w:rPr>
          <w:rFonts w:ascii="Times New Roman" w:hAnsi="Times New Roman" w:cs="Times New Roman"/>
          <w:sz w:val="24"/>
          <w:szCs w:val="24"/>
        </w:rPr>
        <w:t>As you prepare to submit the waiver request to CMS, we respectfully request that you consider the points below as you prepare your final submission:</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20" w:right="241"/>
        <w:rPr>
          <w:rFonts w:ascii="Times New Roman" w:hAnsi="Times New Roman" w:cs="Times New Roman"/>
          <w:sz w:val="24"/>
          <w:szCs w:val="24"/>
        </w:rPr>
      </w:pPr>
      <w:r>
        <w:rPr>
          <w:rFonts w:ascii="Times New Roman" w:hAnsi="Times New Roman" w:cs="Times New Roman"/>
          <w:sz w:val="24"/>
          <w:szCs w:val="24"/>
          <w:u w:val="single" w:color="000000"/>
        </w:rPr>
        <w:t>Avoiding Unnecessary Duplication of Administrative and Systems Capacity</w:t>
      </w:r>
    </w:p>
    <w:p w:rsidR="002C5025" w:rsidRDefault="002C5025">
      <w:pPr>
        <w:pStyle w:val="BodyText"/>
        <w:kinsoku w:val="0"/>
        <w:overflowPunct w:val="0"/>
        <w:ind w:left="119" w:right="56"/>
        <w:rPr>
          <w:rFonts w:ascii="Times New Roman" w:hAnsi="Times New Roman" w:cs="Times New Roman"/>
          <w:sz w:val="24"/>
          <w:szCs w:val="24"/>
        </w:rPr>
      </w:pPr>
      <w:r>
        <w:rPr>
          <w:rFonts w:ascii="Times New Roman" w:hAnsi="Times New Roman" w:cs="Times New Roman"/>
          <w:sz w:val="24"/>
          <w:szCs w:val="24"/>
        </w:rPr>
        <w:t>As MassHealth prepares to move forward with the redesign initiative and allocates the federal Delivery System Reform Incentive Program (DSRIP) dollars, the state should place a high priority on avoiding duplication of existing capabilities and infrastructure wherever possible. The Waiver documents discuss utilizing DSRIP funding for state  operations and oversight capabilities and to fund vendors to help administer the program. The vendors will provide technical assistance for ACOs and Community Partners (CPs) on delivery system reform topics including, legal, actuarial, HIT, financial, performance management, and providing accessible culturally competent care. We believe that we should avoid duplicating systems and capabilities that already exist within the MCO program and we believe that the MCOs are well equipped to provide this sort of ongoing technical assistance and should be key partners in all aspects of the delivery system transformation.</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19" w:right="126"/>
        <w:rPr>
          <w:rFonts w:ascii="Times New Roman" w:hAnsi="Times New Roman" w:cs="Times New Roman"/>
          <w:sz w:val="24"/>
          <w:szCs w:val="24"/>
        </w:rPr>
      </w:pPr>
      <w:r>
        <w:rPr>
          <w:rFonts w:ascii="Times New Roman" w:hAnsi="Times New Roman" w:cs="Times New Roman"/>
          <w:sz w:val="24"/>
          <w:szCs w:val="24"/>
        </w:rPr>
        <w:t>MCOs have long assisted providers in moving towards alternative payment models through budgeting, population-based analytics, risk adjustments and infrastructure support. MCOs have real-time access to patient data, consultative support teams, medical management programs, information</w:t>
      </w:r>
      <w:r>
        <w:rPr>
          <w:rFonts w:ascii="Times New Roman" w:hAnsi="Times New Roman" w:cs="Times New Roman"/>
          <w:spacing w:val="-8"/>
          <w:sz w:val="24"/>
          <w:szCs w:val="24"/>
        </w:rPr>
        <w:t xml:space="preserve"> </w:t>
      </w:r>
      <w:r>
        <w:rPr>
          <w:rFonts w:ascii="Times New Roman" w:hAnsi="Times New Roman" w:cs="Times New Roman"/>
          <w:sz w:val="24"/>
          <w:szCs w:val="24"/>
        </w:rPr>
        <w:t>sharing,</w:t>
      </w:r>
      <w:r>
        <w:rPr>
          <w:rFonts w:ascii="Times New Roman" w:hAnsi="Times New Roman" w:cs="Times New Roman"/>
          <w:spacing w:val="-6"/>
          <w:sz w:val="24"/>
          <w:szCs w:val="24"/>
        </w:rPr>
        <w:t xml:space="preserve"> </w:t>
      </w:r>
      <w:r>
        <w:rPr>
          <w:rFonts w:ascii="Times New Roman" w:hAnsi="Times New Roman" w:cs="Times New Roman"/>
          <w:sz w:val="24"/>
          <w:szCs w:val="24"/>
        </w:rPr>
        <w:t>and</w:t>
      </w:r>
      <w:r>
        <w:rPr>
          <w:rFonts w:ascii="Times New Roman" w:hAnsi="Times New Roman" w:cs="Times New Roman"/>
          <w:spacing w:val="-6"/>
          <w:sz w:val="24"/>
          <w:szCs w:val="24"/>
        </w:rPr>
        <w:t xml:space="preserve"> </w:t>
      </w:r>
      <w:r>
        <w:rPr>
          <w:rFonts w:ascii="Times New Roman" w:hAnsi="Times New Roman" w:cs="Times New Roman"/>
          <w:sz w:val="24"/>
          <w:szCs w:val="24"/>
        </w:rPr>
        <w:t>utilization</w:t>
      </w:r>
      <w:r>
        <w:rPr>
          <w:rFonts w:ascii="Times New Roman" w:hAnsi="Times New Roman" w:cs="Times New Roman"/>
          <w:spacing w:val="-8"/>
          <w:sz w:val="24"/>
          <w:szCs w:val="24"/>
        </w:rPr>
        <w:t xml:space="preserve"> </w:t>
      </w:r>
      <w:r>
        <w:rPr>
          <w:rFonts w:ascii="Times New Roman" w:hAnsi="Times New Roman" w:cs="Times New Roman"/>
          <w:sz w:val="24"/>
          <w:szCs w:val="24"/>
        </w:rPr>
        <w:t>monitoring</w:t>
      </w:r>
      <w:r>
        <w:rPr>
          <w:rFonts w:ascii="Times New Roman" w:hAnsi="Times New Roman" w:cs="Times New Roman"/>
          <w:spacing w:val="-8"/>
          <w:sz w:val="24"/>
          <w:szCs w:val="24"/>
        </w:rPr>
        <w:t xml:space="preserve"> </w:t>
      </w:r>
      <w:r>
        <w:rPr>
          <w:rFonts w:ascii="Times New Roman" w:hAnsi="Times New Roman" w:cs="Times New Roman"/>
          <w:sz w:val="24"/>
          <w:szCs w:val="24"/>
        </w:rPr>
        <w:t>and</w:t>
      </w:r>
      <w:r>
        <w:rPr>
          <w:rFonts w:ascii="Times New Roman" w:hAnsi="Times New Roman" w:cs="Times New Roman"/>
          <w:spacing w:val="-6"/>
          <w:sz w:val="24"/>
          <w:szCs w:val="24"/>
        </w:rPr>
        <w:t xml:space="preserve"> </w:t>
      </w:r>
      <w:r>
        <w:rPr>
          <w:rFonts w:ascii="Times New Roman" w:hAnsi="Times New Roman" w:cs="Times New Roman"/>
          <w:sz w:val="24"/>
          <w:szCs w:val="24"/>
        </w:rPr>
        <w:t>are</w:t>
      </w:r>
      <w:r>
        <w:rPr>
          <w:rFonts w:ascii="Times New Roman" w:hAnsi="Times New Roman" w:cs="Times New Roman"/>
          <w:spacing w:val="-9"/>
          <w:sz w:val="24"/>
          <w:szCs w:val="24"/>
        </w:rPr>
        <w:t xml:space="preserve"> </w:t>
      </w:r>
      <w:r>
        <w:rPr>
          <w:rFonts w:ascii="Times New Roman" w:hAnsi="Times New Roman" w:cs="Times New Roman"/>
          <w:sz w:val="24"/>
          <w:szCs w:val="24"/>
        </w:rPr>
        <w:t>adept</w:t>
      </w:r>
      <w:r>
        <w:rPr>
          <w:rFonts w:ascii="Times New Roman" w:hAnsi="Times New Roman" w:cs="Times New Roman"/>
          <w:spacing w:val="-6"/>
          <w:sz w:val="24"/>
          <w:szCs w:val="24"/>
        </w:rPr>
        <w:t xml:space="preserve"> </w:t>
      </w:r>
      <w:r>
        <w:rPr>
          <w:rFonts w:ascii="Times New Roman" w:hAnsi="Times New Roman" w:cs="Times New Roman"/>
          <w:sz w:val="24"/>
          <w:szCs w:val="24"/>
        </w:rPr>
        <w:t>at</w:t>
      </w:r>
      <w:r>
        <w:rPr>
          <w:rFonts w:ascii="Times New Roman" w:hAnsi="Times New Roman" w:cs="Times New Roman"/>
          <w:spacing w:val="-6"/>
          <w:sz w:val="24"/>
          <w:szCs w:val="24"/>
        </w:rPr>
        <w:t xml:space="preserve"> </w:t>
      </w:r>
      <w:r>
        <w:rPr>
          <w:rFonts w:ascii="Times New Roman" w:hAnsi="Times New Roman" w:cs="Times New Roman"/>
          <w:sz w:val="24"/>
          <w:szCs w:val="24"/>
        </w:rPr>
        <w:t>analyzing</w:t>
      </w:r>
      <w:r>
        <w:rPr>
          <w:rFonts w:ascii="Times New Roman" w:hAnsi="Times New Roman" w:cs="Times New Roman"/>
          <w:spacing w:val="-10"/>
          <w:sz w:val="24"/>
          <w:szCs w:val="24"/>
        </w:rPr>
        <w:t xml:space="preserve"> </w:t>
      </w:r>
      <w:r>
        <w:rPr>
          <w:rFonts w:ascii="Times New Roman" w:hAnsi="Times New Roman" w:cs="Times New Roman"/>
          <w:sz w:val="24"/>
          <w:szCs w:val="24"/>
        </w:rPr>
        <w:t>and</w:t>
      </w:r>
      <w:r>
        <w:rPr>
          <w:rFonts w:ascii="Times New Roman" w:hAnsi="Times New Roman" w:cs="Times New Roman"/>
          <w:spacing w:val="-6"/>
          <w:sz w:val="24"/>
          <w:szCs w:val="24"/>
        </w:rPr>
        <w:t xml:space="preserve"> </w:t>
      </w:r>
      <w:r>
        <w:rPr>
          <w:rFonts w:ascii="Times New Roman" w:hAnsi="Times New Roman" w:cs="Times New Roman"/>
          <w:sz w:val="24"/>
          <w:szCs w:val="24"/>
        </w:rPr>
        <w:t>disseminating</w:t>
      </w:r>
      <w:r>
        <w:rPr>
          <w:rFonts w:ascii="Times New Roman" w:hAnsi="Times New Roman" w:cs="Times New Roman"/>
          <w:spacing w:val="-10"/>
          <w:sz w:val="24"/>
          <w:szCs w:val="24"/>
        </w:rPr>
        <w:t xml:space="preserve"> </w:t>
      </w:r>
      <w:r>
        <w:rPr>
          <w:rFonts w:ascii="Times New Roman" w:hAnsi="Times New Roman" w:cs="Times New Roman"/>
          <w:sz w:val="24"/>
          <w:szCs w:val="24"/>
        </w:rPr>
        <w:t>that data.  These programs enable providers, across the continuum of care to better serve their patients</w:t>
      </w:r>
      <w:r>
        <w:rPr>
          <w:rFonts w:ascii="Times New Roman" w:hAnsi="Times New Roman" w:cs="Times New Roman"/>
          <w:spacing w:val="-1"/>
          <w:sz w:val="24"/>
          <w:szCs w:val="24"/>
        </w:rPr>
        <w:t xml:space="preserve"> </w:t>
      </w:r>
      <w:r>
        <w:rPr>
          <w:rFonts w:ascii="Times New Roman" w:hAnsi="Times New Roman" w:cs="Times New Roman"/>
          <w:sz w:val="24"/>
          <w:szCs w:val="24"/>
        </w:rPr>
        <w:t>by</w:t>
      </w:r>
      <w:r>
        <w:rPr>
          <w:rFonts w:ascii="Times New Roman" w:hAnsi="Times New Roman" w:cs="Times New Roman"/>
          <w:spacing w:val="-13"/>
          <w:sz w:val="24"/>
          <w:szCs w:val="24"/>
        </w:rPr>
        <w:t xml:space="preserve"> </w:t>
      </w:r>
      <w:r>
        <w:rPr>
          <w:rFonts w:ascii="Times New Roman" w:hAnsi="Times New Roman" w:cs="Times New Roman"/>
          <w:sz w:val="24"/>
          <w:szCs w:val="24"/>
        </w:rPr>
        <w:t>proving</w:t>
      </w:r>
      <w:r>
        <w:rPr>
          <w:rFonts w:ascii="Times New Roman" w:hAnsi="Times New Roman" w:cs="Times New Roman"/>
          <w:spacing w:val="-6"/>
          <w:sz w:val="24"/>
          <w:szCs w:val="24"/>
        </w:rPr>
        <w:t xml:space="preserve"> </w:t>
      </w:r>
      <w:r>
        <w:rPr>
          <w:rFonts w:ascii="Times New Roman" w:hAnsi="Times New Roman" w:cs="Times New Roman"/>
          <w:sz w:val="24"/>
          <w:szCs w:val="24"/>
        </w:rPr>
        <w:t>the</w:t>
      </w:r>
      <w:r>
        <w:rPr>
          <w:rFonts w:ascii="Times New Roman" w:hAnsi="Times New Roman" w:cs="Times New Roman"/>
          <w:spacing w:val="-2"/>
          <w:sz w:val="24"/>
          <w:szCs w:val="24"/>
        </w:rPr>
        <w:t xml:space="preserve"> </w:t>
      </w:r>
      <w:r>
        <w:rPr>
          <w:rFonts w:ascii="Times New Roman" w:hAnsi="Times New Roman" w:cs="Times New Roman"/>
          <w:sz w:val="24"/>
          <w:szCs w:val="24"/>
        </w:rPr>
        <w:t>tools</w:t>
      </w:r>
      <w:r>
        <w:rPr>
          <w:rFonts w:ascii="Times New Roman" w:hAnsi="Times New Roman" w:cs="Times New Roman"/>
          <w:spacing w:val="-1"/>
          <w:sz w:val="24"/>
          <w:szCs w:val="24"/>
        </w:rPr>
        <w:t xml:space="preserve"> </w:t>
      </w:r>
      <w:r>
        <w:rPr>
          <w:rFonts w:ascii="Times New Roman" w:hAnsi="Times New Roman" w:cs="Times New Roman"/>
          <w:sz w:val="24"/>
          <w:szCs w:val="24"/>
        </w:rPr>
        <w:t>necessary</w:t>
      </w:r>
      <w:r>
        <w:rPr>
          <w:rFonts w:ascii="Times New Roman" w:hAnsi="Times New Roman" w:cs="Times New Roman"/>
          <w:spacing w:val="-11"/>
          <w:sz w:val="24"/>
          <w:szCs w:val="24"/>
        </w:rPr>
        <w:t xml:space="preserve"> </w:t>
      </w:r>
      <w:r>
        <w:rPr>
          <w:rFonts w:ascii="Times New Roman" w:hAnsi="Times New Roman" w:cs="Times New Roman"/>
          <w:sz w:val="24"/>
          <w:szCs w:val="24"/>
        </w:rPr>
        <w:t>to</w:t>
      </w:r>
      <w:r>
        <w:rPr>
          <w:rFonts w:ascii="Times New Roman" w:hAnsi="Times New Roman" w:cs="Times New Roman"/>
          <w:spacing w:val="1"/>
          <w:sz w:val="24"/>
          <w:szCs w:val="24"/>
        </w:rPr>
        <w:t xml:space="preserve"> </w:t>
      </w:r>
      <w:r>
        <w:rPr>
          <w:rFonts w:ascii="Times New Roman" w:hAnsi="Times New Roman" w:cs="Times New Roman"/>
          <w:sz w:val="24"/>
          <w:szCs w:val="24"/>
        </w:rPr>
        <w:t>effectively</w:t>
      </w:r>
      <w:r>
        <w:rPr>
          <w:rFonts w:ascii="Times New Roman" w:hAnsi="Times New Roman" w:cs="Times New Roman"/>
          <w:spacing w:val="-11"/>
          <w:sz w:val="24"/>
          <w:szCs w:val="24"/>
        </w:rPr>
        <w:t xml:space="preserve"> </w:t>
      </w:r>
      <w:r>
        <w:rPr>
          <w:rFonts w:ascii="Times New Roman" w:hAnsi="Times New Roman" w:cs="Times New Roman"/>
          <w:sz w:val="24"/>
          <w:szCs w:val="24"/>
        </w:rPr>
        <w:t>manage</w:t>
      </w:r>
      <w:r>
        <w:rPr>
          <w:rFonts w:ascii="Times New Roman" w:hAnsi="Times New Roman" w:cs="Times New Roman"/>
          <w:spacing w:val="-2"/>
          <w:sz w:val="24"/>
          <w:szCs w:val="24"/>
        </w:rPr>
        <w:t xml:space="preserve"> </w:t>
      </w:r>
      <w:r>
        <w:rPr>
          <w:rFonts w:ascii="Times New Roman" w:hAnsi="Times New Roman" w:cs="Times New Roman"/>
          <w:sz w:val="24"/>
          <w:szCs w:val="24"/>
        </w:rPr>
        <w:t>care.</w:t>
      </w:r>
      <w:r>
        <w:rPr>
          <w:rFonts w:ascii="Times New Roman" w:hAnsi="Times New Roman" w:cs="Times New Roman"/>
          <w:spacing w:val="1"/>
          <w:sz w:val="24"/>
          <w:szCs w:val="24"/>
        </w:rPr>
        <w:t xml:space="preserve"> </w:t>
      </w:r>
      <w:r>
        <w:rPr>
          <w:rFonts w:ascii="Times New Roman" w:hAnsi="Times New Roman" w:cs="Times New Roman"/>
          <w:sz w:val="24"/>
          <w:szCs w:val="24"/>
        </w:rPr>
        <w:t>MCOs</w:t>
      </w:r>
      <w:r>
        <w:rPr>
          <w:rFonts w:ascii="Times New Roman" w:hAnsi="Times New Roman" w:cs="Times New Roman"/>
          <w:spacing w:val="-1"/>
          <w:sz w:val="24"/>
          <w:szCs w:val="24"/>
        </w:rPr>
        <w:t xml:space="preserve"> </w:t>
      </w:r>
      <w:r>
        <w:rPr>
          <w:rFonts w:ascii="Times New Roman" w:hAnsi="Times New Roman" w:cs="Times New Roman"/>
          <w:sz w:val="24"/>
          <w:szCs w:val="24"/>
        </w:rPr>
        <w:t>are</w:t>
      </w:r>
      <w:r>
        <w:rPr>
          <w:rFonts w:ascii="Times New Roman" w:hAnsi="Times New Roman" w:cs="Times New Roman"/>
          <w:spacing w:val="-5"/>
          <w:sz w:val="24"/>
          <w:szCs w:val="24"/>
        </w:rPr>
        <w:t xml:space="preserve"> </w:t>
      </w:r>
      <w:r>
        <w:rPr>
          <w:rFonts w:ascii="Times New Roman" w:hAnsi="Times New Roman" w:cs="Times New Roman"/>
          <w:sz w:val="24"/>
          <w:szCs w:val="24"/>
        </w:rPr>
        <w:t>equipped</w:t>
      </w:r>
      <w:r>
        <w:rPr>
          <w:rFonts w:ascii="Times New Roman" w:hAnsi="Times New Roman" w:cs="Times New Roman"/>
          <w:spacing w:val="-1"/>
          <w:sz w:val="24"/>
          <w:szCs w:val="24"/>
        </w:rPr>
        <w:t xml:space="preserve"> </w:t>
      </w:r>
      <w:r>
        <w:rPr>
          <w:rFonts w:ascii="Times New Roman" w:hAnsi="Times New Roman" w:cs="Times New Roman"/>
          <w:sz w:val="24"/>
          <w:szCs w:val="24"/>
        </w:rPr>
        <w:t>to</w:t>
      </w:r>
      <w:r>
        <w:rPr>
          <w:rFonts w:ascii="Times New Roman" w:hAnsi="Times New Roman" w:cs="Times New Roman"/>
          <w:spacing w:val="-1"/>
          <w:sz w:val="24"/>
          <w:szCs w:val="24"/>
        </w:rPr>
        <w:t xml:space="preserve"> </w:t>
      </w:r>
      <w:r>
        <w:rPr>
          <w:rFonts w:ascii="Times New Roman" w:hAnsi="Times New Roman" w:cs="Times New Roman"/>
          <w:sz w:val="24"/>
          <w:szCs w:val="24"/>
        </w:rPr>
        <w:t>handle the complex needs of Medicaid enrollees, have the programs and staff in place to help members manage</w:t>
      </w:r>
      <w:r>
        <w:rPr>
          <w:rFonts w:ascii="Times New Roman" w:hAnsi="Times New Roman" w:cs="Times New Roman"/>
          <w:spacing w:val="-6"/>
          <w:sz w:val="24"/>
          <w:szCs w:val="24"/>
        </w:rPr>
        <w:t xml:space="preserve"> </w:t>
      </w:r>
      <w:r>
        <w:rPr>
          <w:rFonts w:ascii="Times New Roman" w:hAnsi="Times New Roman" w:cs="Times New Roman"/>
          <w:sz w:val="24"/>
          <w:szCs w:val="24"/>
        </w:rPr>
        <w:t>their</w:t>
      </w:r>
      <w:r>
        <w:rPr>
          <w:rFonts w:ascii="Times New Roman" w:hAnsi="Times New Roman" w:cs="Times New Roman"/>
          <w:spacing w:val="-9"/>
          <w:sz w:val="24"/>
          <w:szCs w:val="24"/>
        </w:rPr>
        <w:t xml:space="preserve"> </w:t>
      </w:r>
      <w:r>
        <w:rPr>
          <w:rFonts w:ascii="Times New Roman" w:hAnsi="Times New Roman" w:cs="Times New Roman"/>
          <w:sz w:val="24"/>
          <w:szCs w:val="24"/>
        </w:rPr>
        <w:t>illnesses</w:t>
      </w:r>
      <w:r>
        <w:rPr>
          <w:rFonts w:ascii="Times New Roman" w:hAnsi="Times New Roman" w:cs="Times New Roman"/>
          <w:spacing w:val="-3"/>
          <w:sz w:val="24"/>
          <w:szCs w:val="24"/>
        </w:rPr>
        <w:t xml:space="preserve"> </w:t>
      </w:r>
      <w:r>
        <w:rPr>
          <w:rFonts w:ascii="Times New Roman" w:hAnsi="Times New Roman" w:cs="Times New Roman"/>
          <w:sz w:val="24"/>
          <w:szCs w:val="24"/>
        </w:rPr>
        <w:t>and</w:t>
      </w:r>
      <w:r>
        <w:rPr>
          <w:rFonts w:ascii="Times New Roman" w:hAnsi="Times New Roman" w:cs="Times New Roman"/>
          <w:spacing w:val="-5"/>
          <w:sz w:val="24"/>
          <w:szCs w:val="24"/>
        </w:rPr>
        <w:t xml:space="preserve"> </w:t>
      </w:r>
      <w:r>
        <w:rPr>
          <w:rFonts w:ascii="Times New Roman" w:hAnsi="Times New Roman" w:cs="Times New Roman"/>
          <w:sz w:val="24"/>
          <w:szCs w:val="24"/>
        </w:rPr>
        <w:t>navigate</w:t>
      </w:r>
      <w:r>
        <w:rPr>
          <w:rFonts w:ascii="Times New Roman" w:hAnsi="Times New Roman" w:cs="Times New Roman"/>
          <w:spacing w:val="-6"/>
          <w:sz w:val="24"/>
          <w:szCs w:val="24"/>
        </w:rPr>
        <w:t xml:space="preserve"> </w:t>
      </w:r>
      <w:r>
        <w:rPr>
          <w:rFonts w:ascii="Times New Roman" w:hAnsi="Times New Roman" w:cs="Times New Roman"/>
          <w:sz w:val="24"/>
          <w:szCs w:val="24"/>
        </w:rPr>
        <w:t>the</w:t>
      </w:r>
      <w:r>
        <w:rPr>
          <w:rFonts w:ascii="Times New Roman" w:hAnsi="Times New Roman" w:cs="Times New Roman"/>
          <w:spacing w:val="-6"/>
          <w:sz w:val="24"/>
          <w:szCs w:val="24"/>
        </w:rPr>
        <w:t xml:space="preserve"> </w:t>
      </w:r>
      <w:r>
        <w:rPr>
          <w:rFonts w:ascii="Times New Roman" w:hAnsi="Times New Roman" w:cs="Times New Roman"/>
          <w:sz w:val="24"/>
          <w:szCs w:val="24"/>
        </w:rPr>
        <w:t>health</w:t>
      </w:r>
      <w:r>
        <w:rPr>
          <w:rFonts w:ascii="Times New Roman" w:hAnsi="Times New Roman" w:cs="Times New Roman"/>
          <w:spacing w:val="-5"/>
          <w:sz w:val="24"/>
          <w:szCs w:val="24"/>
        </w:rPr>
        <w:t xml:space="preserve"> </w:t>
      </w:r>
      <w:r>
        <w:rPr>
          <w:rFonts w:ascii="Times New Roman" w:hAnsi="Times New Roman" w:cs="Times New Roman"/>
          <w:sz w:val="24"/>
          <w:szCs w:val="24"/>
        </w:rPr>
        <w:t>care</w:t>
      </w:r>
      <w:r>
        <w:rPr>
          <w:rFonts w:ascii="Times New Roman" w:hAnsi="Times New Roman" w:cs="Times New Roman"/>
          <w:spacing w:val="-9"/>
          <w:sz w:val="24"/>
          <w:szCs w:val="24"/>
        </w:rPr>
        <w:t xml:space="preserve"> </w:t>
      </w:r>
      <w:r>
        <w:rPr>
          <w:rFonts w:ascii="Times New Roman" w:hAnsi="Times New Roman" w:cs="Times New Roman"/>
          <w:sz w:val="24"/>
          <w:szCs w:val="24"/>
        </w:rPr>
        <w:t>system,</w:t>
      </w:r>
      <w:r>
        <w:rPr>
          <w:rFonts w:ascii="Times New Roman" w:hAnsi="Times New Roman" w:cs="Times New Roman"/>
          <w:spacing w:val="-5"/>
          <w:sz w:val="24"/>
          <w:szCs w:val="24"/>
        </w:rPr>
        <w:t xml:space="preserve"> </w:t>
      </w:r>
      <w:r>
        <w:rPr>
          <w:rFonts w:ascii="Times New Roman" w:hAnsi="Times New Roman" w:cs="Times New Roman"/>
          <w:sz w:val="24"/>
          <w:szCs w:val="24"/>
        </w:rPr>
        <w:t>and</w:t>
      </w:r>
      <w:r>
        <w:rPr>
          <w:rFonts w:ascii="Times New Roman" w:hAnsi="Times New Roman" w:cs="Times New Roman"/>
          <w:spacing w:val="-5"/>
          <w:sz w:val="24"/>
          <w:szCs w:val="24"/>
        </w:rPr>
        <w:t xml:space="preserve"> </w:t>
      </w:r>
      <w:r>
        <w:rPr>
          <w:rFonts w:ascii="Times New Roman" w:hAnsi="Times New Roman" w:cs="Times New Roman"/>
          <w:sz w:val="24"/>
          <w:szCs w:val="24"/>
        </w:rPr>
        <w:t>have</w:t>
      </w:r>
      <w:r>
        <w:rPr>
          <w:rFonts w:ascii="Times New Roman" w:hAnsi="Times New Roman" w:cs="Times New Roman"/>
          <w:spacing w:val="-6"/>
          <w:sz w:val="24"/>
          <w:szCs w:val="24"/>
        </w:rPr>
        <w:t xml:space="preserve"> </w:t>
      </w:r>
      <w:r>
        <w:rPr>
          <w:rFonts w:ascii="Times New Roman" w:hAnsi="Times New Roman" w:cs="Times New Roman"/>
          <w:sz w:val="24"/>
          <w:szCs w:val="24"/>
        </w:rPr>
        <w:t>experience</w:t>
      </w:r>
      <w:r>
        <w:rPr>
          <w:rFonts w:ascii="Times New Roman" w:hAnsi="Times New Roman" w:cs="Times New Roman"/>
          <w:spacing w:val="-6"/>
          <w:sz w:val="24"/>
          <w:szCs w:val="24"/>
        </w:rPr>
        <w:t xml:space="preserve"> </w:t>
      </w:r>
      <w:r>
        <w:rPr>
          <w:rFonts w:ascii="Times New Roman" w:hAnsi="Times New Roman" w:cs="Times New Roman"/>
          <w:sz w:val="24"/>
          <w:szCs w:val="24"/>
        </w:rPr>
        <w:t>in</w:t>
      </w:r>
      <w:r>
        <w:rPr>
          <w:rFonts w:ascii="Times New Roman" w:hAnsi="Times New Roman" w:cs="Times New Roman"/>
          <w:spacing w:val="-5"/>
          <w:sz w:val="24"/>
          <w:szCs w:val="24"/>
        </w:rPr>
        <w:t xml:space="preserve"> </w:t>
      </w:r>
      <w:r>
        <w:rPr>
          <w:rFonts w:ascii="Times New Roman" w:hAnsi="Times New Roman" w:cs="Times New Roman"/>
          <w:sz w:val="24"/>
          <w:szCs w:val="24"/>
        </w:rPr>
        <w:t>utilizing</w:t>
      </w:r>
    </w:p>
    <w:p w:rsidR="002C5025" w:rsidRDefault="002C5025">
      <w:pPr>
        <w:pStyle w:val="BodyText"/>
        <w:kinsoku w:val="0"/>
        <w:overflowPunct w:val="0"/>
        <w:ind w:left="119" w:right="126"/>
        <w:rPr>
          <w:rFonts w:ascii="Times New Roman" w:hAnsi="Times New Roman" w:cs="Times New Roman"/>
          <w:sz w:val="24"/>
          <w:szCs w:val="24"/>
        </w:rPr>
        <w:sectPr w:rsidR="002C5025">
          <w:pgSz w:w="12240" w:h="15840"/>
          <w:pgMar w:top="1380" w:right="1380" w:bottom="280" w:left="1320" w:header="720" w:footer="720" w:gutter="0"/>
          <w:cols w:space="720"/>
          <w:noEndnote/>
        </w:sectPr>
      </w:pPr>
    </w:p>
    <w:p w:rsidR="002C5025" w:rsidRDefault="002C5025">
      <w:pPr>
        <w:pStyle w:val="BodyText"/>
        <w:kinsoku w:val="0"/>
        <w:overflowPunct w:val="0"/>
        <w:spacing w:before="44"/>
        <w:ind w:left="120" w:right="196"/>
        <w:rPr>
          <w:rFonts w:ascii="Times New Roman" w:hAnsi="Times New Roman" w:cs="Times New Roman"/>
          <w:sz w:val="24"/>
          <w:szCs w:val="24"/>
        </w:rPr>
      </w:pPr>
      <w:r>
        <w:rPr>
          <w:rFonts w:ascii="Times New Roman" w:hAnsi="Times New Roman" w:cs="Times New Roman"/>
          <w:sz w:val="24"/>
          <w:szCs w:val="24"/>
        </w:rPr>
        <w:lastRenderedPageBreak/>
        <w:t>community support services. Finally, MCOs have considerable experience developing and utilizing care management and care coordination programs and have spent many years learning how to effectively manage care across delivery settings and across diverse populations.</w:t>
      </w:r>
    </w:p>
    <w:p w:rsidR="002C5025" w:rsidRDefault="002C5025">
      <w:pPr>
        <w:pStyle w:val="BodyText"/>
        <w:kinsoku w:val="0"/>
        <w:overflowPunct w:val="0"/>
        <w:ind w:left="119" w:right="43"/>
        <w:rPr>
          <w:rFonts w:ascii="Times New Roman" w:hAnsi="Times New Roman" w:cs="Times New Roman"/>
          <w:sz w:val="24"/>
          <w:szCs w:val="24"/>
        </w:rPr>
      </w:pPr>
      <w:r>
        <w:rPr>
          <w:rFonts w:ascii="Times New Roman" w:hAnsi="Times New Roman" w:cs="Times New Roman"/>
          <w:sz w:val="24"/>
          <w:szCs w:val="24"/>
        </w:rPr>
        <w:t>MCOs should continue to play a strong and central role in facilitating transformation across the health care delivery system that will result in improvements to the quality and integration of care for MassHealth enrollees and lower cost for the state.</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19" w:right="10"/>
        <w:rPr>
          <w:rFonts w:ascii="Times New Roman" w:hAnsi="Times New Roman" w:cs="Times New Roman"/>
          <w:sz w:val="24"/>
          <w:szCs w:val="24"/>
        </w:rPr>
      </w:pPr>
      <w:r>
        <w:rPr>
          <w:rFonts w:ascii="Times New Roman" w:hAnsi="Times New Roman" w:cs="Times New Roman"/>
          <w:sz w:val="24"/>
          <w:szCs w:val="24"/>
        </w:rPr>
        <w:t xml:space="preserve">We believe that the state’s formal Waiver request should include a statement that the state will leverage the existing infrastructure and expertise of the MassHealth MCOs where possible. Such a policy will additionally help facilitate greater participation by providers that do not have the resources to form more formal or complex structures and avoid driving further consolidation of the market. In this way the state can avoid expending DSRIP dollars to replicate this existing capacity both within the provider community and state government. This statement is also consistent with Speaker </w:t>
      </w:r>
      <w:proofErr w:type="spellStart"/>
      <w:r>
        <w:rPr>
          <w:rFonts w:ascii="Times New Roman" w:hAnsi="Times New Roman" w:cs="Times New Roman"/>
          <w:sz w:val="24"/>
          <w:szCs w:val="24"/>
        </w:rPr>
        <w:t>DeLeo’s</w:t>
      </w:r>
      <w:proofErr w:type="spellEnd"/>
      <w:r>
        <w:rPr>
          <w:rFonts w:ascii="Times New Roman" w:hAnsi="Times New Roman" w:cs="Times New Roman"/>
          <w:sz w:val="24"/>
          <w:szCs w:val="24"/>
        </w:rPr>
        <w:t xml:space="preserve"> workgroup recommendations.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19" w:right="156"/>
        <w:rPr>
          <w:rFonts w:ascii="Times New Roman" w:hAnsi="Times New Roman" w:cs="Times New Roman"/>
          <w:sz w:val="24"/>
          <w:szCs w:val="24"/>
        </w:rPr>
      </w:pPr>
      <w:r>
        <w:rPr>
          <w:rFonts w:ascii="Times New Roman" w:hAnsi="Times New Roman" w:cs="Times New Roman"/>
          <w:sz w:val="24"/>
          <w:szCs w:val="24"/>
        </w:rPr>
        <w:t>We share MassHealth’s goals for driving meaningful transformation to provide better more coordinated care for MassHealth enrollees and to improve the integration of physical health, behavioral health, long-term services and supports (LTSS), and social services. MassHealth has set forth an aggressive framework for reform and we believe that leveraging the existing capabilities of the MCOs will best position the state’s reform efforts for success.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20" w:right="814"/>
        <w:rPr>
          <w:rFonts w:ascii="Times New Roman" w:hAnsi="Times New Roman" w:cs="Times New Roman"/>
          <w:sz w:val="24"/>
          <w:szCs w:val="24"/>
        </w:rPr>
      </w:pPr>
      <w:r>
        <w:rPr>
          <w:rFonts w:ascii="Times New Roman" w:hAnsi="Times New Roman" w:cs="Times New Roman"/>
          <w:sz w:val="24"/>
          <w:szCs w:val="24"/>
          <w:u w:val="single" w:color="000000"/>
        </w:rPr>
        <w:t>Network Adequacy and Continuity of Care</w:t>
      </w:r>
    </w:p>
    <w:p w:rsidR="002C5025" w:rsidRDefault="002C5025">
      <w:pPr>
        <w:pStyle w:val="BodyText"/>
        <w:kinsoku w:val="0"/>
        <w:overflowPunct w:val="0"/>
        <w:ind w:left="119" w:right="42"/>
        <w:rPr>
          <w:rFonts w:ascii="Times New Roman" w:hAnsi="Times New Roman" w:cs="Times New Roman"/>
          <w:sz w:val="24"/>
          <w:szCs w:val="24"/>
        </w:rPr>
      </w:pPr>
      <w:r>
        <w:rPr>
          <w:rFonts w:ascii="Times New Roman" w:hAnsi="Times New Roman" w:cs="Times New Roman"/>
          <w:sz w:val="24"/>
          <w:szCs w:val="24"/>
        </w:rPr>
        <w:t>We remain concerned about network adequacy and continuity of care within the MCO program due to the requirements around primary care exclusivity. MassHealth will require that primary care clinicians participate in only one ACO and that ACOs be limited to a single model. The policy will result in a potentially significant number of PCPs being excluded from participating in MCO networks and potentially, a number of MCOs being prohibited from operating in certain geographic regions. Such a policy could have the potential to impact members’ access to providers and create continuity of care issues for MassHealth enrollees. This is particularly critical for members with serious behavioral health needs.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20" w:right="814"/>
        <w:rPr>
          <w:rFonts w:ascii="Times New Roman" w:hAnsi="Times New Roman" w:cs="Times New Roman"/>
          <w:sz w:val="24"/>
          <w:szCs w:val="24"/>
        </w:rPr>
      </w:pPr>
      <w:r>
        <w:rPr>
          <w:rFonts w:ascii="Times New Roman" w:hAnsi="Times New Roman" w:cs="Times New Roman"/>
          <w:sz w:val="24"/>
          <w:szCs w:val="24"/>
          <w:u w:val="single" w:color="000000"/>
        </w:rPr>
        <w:t>Expansion of Substance Use Disorder Services</w:t>
      </w:r>
    </w:p>
    <w:p w:rsidR="002C5025" w:rsidRDefault="002C5025">
      <w:pPr>
        <w:pStyle w:val="BodyText"/>
        <w:kinsoku w:val="0"/>
        <w:overflowPunct w:val="0"/>
        <w:ind w:left="120" w:right="131"/>
        <w:rPr>
          <w:rFonts w:ascii="Times New Roman" w:hAnsi="Times New Roman" w:cs="Times New Roman"/>
          <w:sz w:val="24"/>
          <w:szCs w:val="24"/>
        </w:rPr>
      </w:pPr>
      <w:r>
        <w:rPr>
          <w:rFonts w:ascii="Times New Roman" w:hAnsi="Times New Roman" w:cs="Times New Roman"/>
          <w:sz w:val="24"/>
          <w:szCs w:val="24"/>
        </w:rPr>
        <w:t>Finally, we applaud the work of the Baker Administration for the strong focus you have placed on the opioid addiction crisis and we are committed to continuing to partner with you to combat this epidemic. MAHP and our member health plans are committed to ensuring that the full spectrum of evidence based treatment options are available and we support the proposed expansion of SUD services within the Medicaid program and the goals for increasing access to evidence-based care.</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20" w:right="97"/>
        <w:rPr>
          <w:rFonts w:ascii="Times New Roman" w:hAnsi="Times New Roman" w:cs="Times New Roman"/>
          <w:sz w:val="24"/>
          <w:szCs w:val="24"/>
        </w:rPr>
      </w:pPr>
      <w:r>
        <w:rPr>
          <w:rFonts w:ascii="Times New Roman" w:hAnsi="Times New Roman" w:cs="Times New Roman"/>
          <w:sz w:val="24"/>
          <w:szCs w:val="24"/>
        </w:rPr>
        <w:t>The MassHealth population is complex and the proposed expansion of services is designed to meet the unique challenges facing this population. In comparison to the general population, Medicaid beneficiaries have much higher rates of poor health, fewer resources, and lower health literacy levels and, as stated in the Wavier materials, a significant portion of the individuals battling opioid addition are in the Medicaid program. We therefore believe that the proposed transition in coverage for the ASAM level 3.1 and 3.3 services from the Bureau of Substance</w:t>
      </w:r>
    </w:p>
    <w:p w:rsidR="002C5025" w:rsidRDefault="002C5025">
      <w:pPr>
        <w:pStyle w:val="BodyText"/>
        <w:kinsoku w:val="0"/>
        <w:overflowPunct w:val="0"/>
        <w:ind w:left="120" w:right="97"/>
        <w:rPr>
          <w:rFonts w:ascii="Times New Roman" w:hAnsi="Times New Roman" w:cs="Times New Roman"/>
          <w:sz w:val="24"/>
          <w:szCs w:val="24"/>
        </w:rPr>
        <w:sectPr w:rsidR="002C5025">
          <w:pgSz w:w="12240" w:h="15840"/>
          <w:pgMar w:top="1380" w:right="1440" w:bottom="280" w:left="1320" w:header="720" w:footer="720" w:gutter="0"/>
          <w:cols w:space="720" w:equalWidth="0">
            <w:col w:w="9480"/>
          </w:cols>
          <w:noEndnote/>
        </w:sectPr>
      </w:pPr>
    </w:p>
    <w:p w:rsidR="002C5025" w:rsidRDefault="002C5025">
      <w:pPr>
        <w:pStyle w:val="BodyText"/>
        <w:kinsoku w:val="0"/>
        <w:overflowPunct w:val="0"/>
        <w:spacing w:before="44"/>
        <w:ind w:left="120" w:right="83"/>
        <w:rPr>
          <w:rFonts w:ascii="Times New Roman" w:hAnsi="Times New Roman" w:cs="Times New Roman"/>
          <w:sz w:val="24"/>
          <w:szCs w:val="24"/>
        </w:rPr>
      </w:pPr>
      <w:r>
        <w:rPr>
          <w:rFonts w:ascii="Times New Roman" w:hAnsi="Times New Roman" w:cs="Times New Roman"/>
          <w:sz w:val="24"/>
          <w:szCs w:val="24"/>
        </w:rPr>
        <w:lastRenderedPageBreak/>
        <w:t>Abuse Services to MassHealth makes sense, is appropriate for this population, and enables the state to leverage the additional federal dollars to reinvest in new capacity that is greatly needed.</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19" w:right="37"/>
        <w:rPr>
          <w:rFonts w:ascii="Times New Roman" w:hAnsi="Times New Roman" w:cs="Times New Roman"/>
          <w:sz w:val="24"/>
          <w:szCs w:val="24"/>
        </w:rPr>
      </w:pPr>
      <w:r>
        <w:rPr>
          <w:rFonts w:ascii="Times New Roman" w:hAnsi="Times New Roman" w:cs="Times New Roman"/>
          <w:sz w:val="24"/>
          <w:szCs w:val="24"/>
        </w:rPr>
        <w:t>We fully support the focus on evidence-based treatment and the utilization of ASAM criteria, which says that effective treatment for opioid addiction is long-term and may vary depending on the unique needs of the patient; it is not a one-size-fits-all approach. The pilot of a common assessment tool is an important measure to help ensure that individualized care is being delivered in the most appropriate setting for the member, consistent with ASAM principles. Information obtained through the pilot regarding whether the tool is effective in matching patients with the appropriate ASAM level of care will be valuable and we would support the adoption of the tool across the entire delivery system to help enable providers make better decisions regarding placement of their patients.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19" w:right="197"/>
        <w:rPr>
          <w:rFonts w:ascii="Times New Roman" w:hAnsi="Times New Roman" w:cs="Times New Roman"/>
          <w:sz w:val="24"/>
          <w:szCs w:val="24"/>
        </w:rPr>
      </w:pPr>
      <w:r>
        <w:rPr>
          <w:rFonts w:ascii="Times New Roman" w:hAnsi="Times New Roman" w:cs="Times New Roman"/>
          <w:sz w:val="24"/>
          <w:szCs w:val="24"/>
        </w:rPr>
        <w:t>Again, we thank you for the opportunity to provide you with these comments and for the opportunity to participate in the stakeholder process. If you or your staff have any further questions regarding these comments or require any additional information, please don’t hesitate to contact me or my staff.</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spacing w:after="8"/>
        <w:ind w:left="119" w:right="83"/>
        <w:rPr>
          <w:rFonts w:ascii="Times New Roman" w:hAnsi="Times New Roman" w:cs="Times New Roman"/>
          <w:sz w:val="24"/>
          <w:szCs w:val="24"/>
        </w:rPr>
      </w:pPr>
      <w:r>
        <w:rPr>
          <w:rFonts w:ascii="Times New Roman" w:hAnsi="Times New Roman" w:cs="Times New Roman"/>
          <w:sz w:val="24"/>
          <w:szCs w:val="24"/>
        </w:rPr>
        <w:t>Sincerely,</w:t>
      </w:r>
    </w:p>
    <w:p w:rsidR="002C5025" w:rsidRDefault="00FB027C">
      <w:pPr>
        <w:pStyle w:val="BodyText"/>
        <w:kinsoku w:val="0"/>
        <w:overflowPunct w:val="0"/>
        <w:ind w:left="120"/>
        <w:rPr>
          <w:rFonts w:ascii="Times New Roman" w:hAnsi="Times New Roman" w:cs="Times New Roman"/>
          <w:sz w:val="20"/>
          <w:szCs w:val="20"/>
        </w:rPr>
      </w:pPr>
      <w:r>
        <w:rPr>
          <w:rFonts w:ascii="Times New Roman" w:hAnsi="Times New Roman" w:cs="Times New Roman"/>
          <w:noProof/>
          <w:sz w:val="20"/>
          <w:szCs w:val="20"/>
        </w:rPr>
        <w:drawing>
          <wp:inline distT="0" distB="0" distL="0" distR="0">
            <wp:extent cx="1466850" cy="609600"/>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411">
                      <a:extLst>
                        <a:ext uri="{28A0092B-C50C-407E-A947-70E740481C1C}">
                          <a14:useLocalDpi xmlns:a14="http://schemas.microsoft.com/office/drawing/2010/main" val="0"/>
                        </a:ext>
                      </a:extLst>
                    </a:blip>
                    <a:srcRect/>
                    <a:stretch>
                      <a:fillRect/>
                    </a:stretch>
                  </pic:blipFill>
                  <pic:spPr bwMode="auto">
                    <a:xfrm>
                      <a:off x="0" y="0"/>
                      <a:ext cx="1466850" cy="609600"/>
                    </a:xfrm>
                    <a:prstGeom prst="rect">
                      <a:avLst/>
                    </a:prstGeom>
                    <a:noFill/>
                    <a:ln>
                      <a:noFill/>
                    </a:ln>
                  </pic:spPr>
                </pic:pic>
              </a:graphicData>
            </a:graphic>
          </wp:inline>
        </w:drawing>
      </w:r>
    </w:p>
    <w:p w:rsidR="002C5025" w:rsidRDefault="002C5025">
      <w:pPr>
        <w:pStyle w:val="BodyText"/>
        <w:kinsoku w:val="0"/>
        <w:overflowPunct w:val="0"/>
        <w:spacing w:before="6"/>
        <w:ind w:left="119" w:right="7081"/>
        <w:rPr>
          <w:rFonts w:ascii="Times New Roman" w:hAnsi="Times New Roman" w:cs="Times New Roman"/>
          <w:sz w:val="24"/>
          <w:szCs w:val="24"/>
        </w:rPr>
      </w:pPr>
      <w:r>
        <w:rPr>
          <w:rFonts w:ascii="Times New Roman" w:hAnsi="Times New Roman" w:cs="Times New Roman"/>
          <w:sz w:val="24"/>
          <w:szCs w:val="24"/>
        </w:rPr>
        <w:t>Lora Pellegrini President &amp; CEO</w:t>
      </w:r>
    </w:p>
    <w:p w:rsidR="002C5025" w:rsidRDefault="002C5025">
      <w:pPr>
        <w:pStyle w:val="BodyText"/>
        <w:kinsoku w:val="0"/>
        <w:overflowPunct w:val="0"/>
        <w:ind w:left="119" w:right="83"/>
        <w:rPr>
          <w:rFonts w:ascii="Times New Roman" w:hAnsi="Times New Roman" w:cs="Times New Roman"/>
          <w:sz w:val="24"/>
          <w:szCs w:val="24"/>
        </w:rPr>
      </w:pPr>
      <w:r>
        <w:rPr>
          <w:rFonts w:ascii="Times New Roman" w:hAnsi="Times New Roman" w:cs="Times New Roman"/>
          <w:sz w:val="24"/>
          <w:szCs w:val="24"/>
        </w:rPr>
        <w:t>Massachusetts Association of Health Plans</w:t>
      </w:r>
    </w:p>
    <w:p w:rsidR="002C5025" w:rsidRDefault="002C5025">
      <w:pPr>
        <w:pStyle w:val="BodyText"/>
        <w:kinsoku w:val="0"/>
        <w:overflowPunct w:val="0"/>
        <w:ind w:left="119" w:right="83"/>
        <w:rPr>
          <w:rFonts w:ascii="Times New Roman" w:hAnsi="Times New Roman" w:cs="Times New Roman"/>
          <w:sz w:val="24"/>
          <w:szCs w:val="24"/>
        </w:rPr>
        <w:sectPr w:rsidR="002C5025">
          <w:pgSz w:w="12240" w:h="15840"/>
          <w:pgMar w:top="1380" w:right="1400" w:bottom="280" w:left="1320" w:header="720" w:footer="720" w:gutter="0"/>
          <w:cols w:space="720" w:equalWidth="0">
            <w:col w:w="9520"/>
          </w:cols>
          <w:noEndnote/>
        </w:sectPr>
      </w:pPr>
    </w:p>
    <w:p w:rsidR="002C5025" w:rsidRDefault="00FB027C">
      <w:pPr>
        <w:pStyle w:val="BodyText"/>
        <w:kinsoku w:val="0"/>
        <w:overflowPunct w:val="0"/>
        <w:ind w:left="2681"/>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extent cx="3609975" cy="542925"/>
            <wp:effectExtent l="0" t="0" r="9525" b="9525"/>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3609975" cy="542925"/>
                    </a:xfrm>
                    <a:prstGeom prst="rect">
                      <a:avLst/>
                    </a:prstGeom>
                    <a:noFill/>
                    <a:ln>
                      <a:noFill/>
                    </a:ln>
                  </pic:spPr>
                </pic:pic>
              </a:graphicData>
            </a:graphic>
          </wp:inline>
        </w:drawing>
      </w:r>
    </w:p>
    <w:p w:rsidR="002C5025" w:rsidRDefault="002C5025">
      <w:pPr>
        <w:pStyle w:val="BodyText"/>
        <w:kinsoku w:val="0"/>
        <w:overflowPunct w:val="0"/>
        <w:rPr>
          <w:rFonts w:ascii="Times New Roman" w:hAnsi="Times New Roman" w:cs="Times New Roman"/>
          <w:sz w:val="12"/>
          <w:szCs w:val="12"/>
        </w:rPr>
      </w:pPr>
    </w:p>
    <w:p w:rsidR="002C5025" w:rsidRDefault="00FB027C">
      <w:pPr>
        <w:pStyle w:val="BodyText"/>
        <w:kinsoku w:val="0"/>
        <w:overflowPunct w:val="0"/>
        <w:spacing w:line="20" w:lineRule="exact"/>
        <w:ind w:left="2650"/>
        <w:rPr>
          <w:rFonts w:ascii="Times New Roman" w:hAnsi="Times New Roman" w:cs="Times New Roman"/>
          <w:sz w:val="2"/>
          <w:szCs w:val="2"/>
        </w:rPr>
      </w:pPr>
      <w:r>
        <w:rPr>
          <w:rFonts w:ascii="Times New Roman" w:hAnsi="Times New Roman" w:cs="Times New Roman"/>
          <w:noProof/>
          <w:sz w:val="2"/>
          <w:szCs w:val="2"/>
        </w:rPr>
        <mc:AlternateContent>
          <mc:Choice Requires="wpg">
            <w:drawing>
              <wp:inline distT="0" distB="0" distL="0" distR="0">
                <wp:extent cx="5675630" cy="12700"/>
                <wp:effectExtent l="9525" t="9525" r="10795" b="0"/>
                <wp:docPr id="402" name="Group 6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5630" cy="12700"/>
                          <a:chOff x="0" y="0"/>
                          <a:chExt cx="8938" cy="20"/>
                        </a:xfrm>
                      </wpg:grpSpPr>
                      <wps:wsp>
                        <wps:cNvPr id="403" name="Freeform 623"/>
                        <wps:cNvSpPr>
                          <a:spLocks/>
                        </wps:cNvSpPr>
                        <wps:spPr bwMode="auto">
                          <a:xfrm>
                            <a:off x="5" y="5"/>
                            <a:ext cx="8928" cy="20"/>
                          </a:xfrm>
                          <a:custGeom>
                            <a:avLst/>
                            <a:gdLst>
                              <a:gd name="T0" fmla="*/ 0 w 8928"/>
                              <a:gd name="T1" fmla="*/ 0 h 20"/>
                              <a:gd name="T2" fmla="*/ 8928 w 8928"/>
                              <a:gd name="T3" fmla="*/ 0 h 20"/>
                            </a:gdLst>
                            <a:ahLst/>
                            <a:cxnLst>
                              <a:cxn ang="0">
                                <a:pos x="T0" y="T1"/>
                              </a:cxn>
                              <a:cxn ang="0">
                                <a:pos x="T2" y="T3"/>
                              </a:cxn>
                            </a:cxnLst>
                            <a:rect l="0" t="0" r="r" b="b"/>
                            <a:pathLst>
                              <a:path w="8928" h="20">
                                <a:moveTo>
                                  <a:pt x="0" y="0"/>
                                </a:moveTo>
                                <a:lnTo>
                                  <a:pt x="892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622" o:spid="_x0000_s1026" style="width:446.9pt;height:1pt;mso-position-horizontal-relative:char;mso-position-vertical-relative:line" coordsize="893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">
                <v:shape id="Freeform 623" o:spid="_x0000_s1027" style="position:absolute;left:5;top:5;width:8928;height:20;visibility:visible;mso-wrap-style:square;v-text-anchor:top" coordsize="892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ZI5cUA&#10;AADcAAAADwAAAGRycy9kb3ducmV2LnhtbESPQWvCQBCF74X+h2UKvTUb0yI2dRURBHsoahTa45Ad&#10;k2h2NuyuJv333YLg8fHmfW/edD6YVlzJ+cayglGSgiAurW64UnDYr14mIHxA1thaJgW/5GE+e3yY&#10;Yq5tzzu6FqESEcI+RwV1CF0upS9rMugT2xFH72idwRClq6R22Ee4aWWWpmNpsOHYUGNHy5rKc3Ex&#10;8Y3vjD4nZstZcbqM+x8nvzbvG6Wen4bFB4hAQ7gf39JrreAtfYX/MZEAcv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NkjlxQAAANwAAAAPAAAAAAAAAAAAAAAAAJgCAABkcnMv&#10;ZG93bnJldi54bWxQSwUGAAAAAAQABAD1AAAAigMAAAAA&#10;" path="m,l8928,e" filled="f" strokeweight=".5pt">
                  <v:path arrowok="t" o:connecttype="custom" o:connectlocs="0,0;8928,0" o:connectangles="0,0"/>
                </v:shape>
                <w10:anchorlock/>
              </v:group>
            </w:pict>
          </mc:Fallback>
        </mc:AlternateContent>
      </w:r>
    </w:p>
    <w:p w:rsidR="002C5025" w:rsidRDefault="002C5025">
      <w:pPr>
        <w:pStyle w:val="BodyText"/>
        <w:kinsoku w:val="0"/>
        <w:overflowPunct w:val="0"/>
        <w:spacing w:before="61"/>
        <w:ind w:left="2625"/>
        <w:rPr>
          <w:rFonts w:ascii="Garamond" w:hAnsi="Garamond" w:cs="Garamond"/>
          <w:sz w:val="27"/>
          <w:szCs w:val="27"/>
        </w:rPr>
      </w:pPr>
      <w:bookmarkStart w:id="196" w:name="MCAAP_Medicaid_Waiver_Comments_07_15_201"/>
      <w:bookmarkEnd w:id="196"/>
      <w:r>
        <w:rPr>
          <w:rFonts w:ascii="Garamond" w:hAnsi="Garamond" w:cs="Garamond"/>
          <w:sz w:val="27"/>
          <w:szCs w:val="27"/>
        </w:rPr>
        <w:t>The Massachusetts Chapter</w:t>
      </w:r>
    </w:p>
    <w:p w:rsidR="002C5025" w:rsidRDefault="002C5025">
      <w:pPr>
        <w:pStyle w:val="BodyText"/>
        <w:kinsoku w:val="0"/>
        <w:overflowPunct w:val="0"/>
        <w:rPr>
          <w:rFonts w:ascii="Garamond" w:hAnsi="Garamond" w:cs="Garamond"/>
          <w:sz w:val="26"/>
          <w:szCs w:val="26"/>
        </w:rPr>
      </w:pPr>
    </w:p>
    <w:p w:rsidR="002C5025" w:rsidRDefault="002C5025">
      <w:pPr>
        <w:pStyle w:val="BodyText"/>
        <w:kinsoku w:val="0"/>
        <w:overflowPunct w:val="0"/>
        <w:rPr>
          <w:rFonts w:ascii="Garamond" w:hAnsi="Garamond" w:cs="Garamond"/>
          <w:sz w:val="26"/>
          <w:szCs w:val="26"/>
        </w:rPr>
      </w:pPr>
    </w:p>
    <w:p w:rsidR="002C5025" w:rsidRDefault="002C5025">
      <w:pPr>
        <w:pStyle w:val="BodyText"/>
        <w:kinsoku w:val="0"/>
        <w:overflowPunct w:val="0"/>
        <w:spacing w:before="166"/>
        <w:ind w:left="2680"/>
        <w:rPr>
          <w:rFonts w:ascii="Times New Roman" w:hAnsi="Times New Roman" w:cs="Times New Roman"/>
          <w:sz w:val="24"/>
          <w:szCs w:val="24"/>
        </w:rPr>
      </w:pPr>
      <w:r>
        <w:rPr>
          <w:rFonts w:ascii="Times New Roman" w:hAnsi="Times New Roman" w:cs="Times New Roman"/>
          <w:sz w:val="24"/>
          <w:szCs w:val="24"/>
        </w:rPr>
        <w:t>July 15, 2016</w:t>
      </w:r>
    </w:p>
    <w:p w:rsidR="002C5025" w:rsidRDefault="002C5025">
      <w:pPr>
        <w:pStyle w:val="BodyText"/>
        <w:kinsoku w:val="0"/>
        <w:overflowPunct w:val="0"/>
        <w:spacing w:before="166"/>
        <w:ind w:left="2680"/>
        <w:rPr>
          <w:rFonts w:ascii="Times New Roman" w:hAnsi="Times New Roman" w:cs="Times New Roman"/>
          <w:sz w:val="24"/>
          <w:szCs w:val="24"/>
        </w:rPr>
        <w:sectPr w:rsidR="002C5025">
          <w:pgSz w:w="12240" w:h="15840"/>
          <w:pgMar w:top="400" w:right="300" w:bottom="280" w:left="240" w:header="720" w:footer="720" w:gutter="0"/>
          <w:cols w:space="720" w:equalWidth="0">
            <w:col w:w="11700"/>
          </w:cols>
          <w:noEndnote/>
        </w:sectPr>
      </w:pPr>
    </w:p>
    <w:p w:rsidR="002C5025" w:rsidRDefault="002C5025">
      <w:pPr>
        <w:pStyle w:val="BodyText"/>
        <w:kinsoku w:val="0"/>
        <w:overflowPunct w:val="0"/>
        <w:spacing w:before="8"/>
        <w:rPr>
          <w:rFonts w:ascii="Times New Roman" w:hAnsi="Times New Roman" w:cs="Times New Roman"/>
          <w:sz w:val="13"/>
          <w:szCs w:val="13"/>
        </w:rPr>
      </w:pPr>
    </w:p>
    <w:p w:rsidR="002C5025" w:rsidRDefault="002C5025">
      <w:pPr>
        <w:pStyle w:val="BodyText"/>
        <w:kinsoku w:val="0"/>
        <w:overflowPunct w:val="0"/>
        <w:spacing w:line="264" w:lineRule="auto"/>
        <w:ind w:left="120" w:right="900"/>
        <w:rPr>
          <w:rFonts w:ascii="Georgia" w:hAnsi="Georgia" w:cs="Georgia"/>
          <w:sz w:val="14"/>
          <w:szCs w:val="14"/>
        </w:rPr>
      </w:pPr>
      <w:r>
        <w:rPr>
          <w:rFonts w:ascii="Georgia" w:hAnsi="Georgia" w:cs="Georgia"/>
          <w:b/>
          <w:bCs/>
          <w:sz w:val="14"/>
          <w:szCs w:val="14"/>
        </w:rPr>
        <w:t xml:space="preserve">Executive Director </w:t>
      </w:r>
      <w:r>
        <w:rPr>
          <w:rFonts w:ascii="Georgia" w:hAnsi="Georgia" w:cs="Georgia"/>
          <w:sz w:val="14"/>
          <w:szCs w:val="14"/>
        </w:rPr>
        <w:t>Cathleen Haggerty 860 Winter Street</w:t>
      </w:r>
    </w:p>
    <w:p w:rsidR="002C5025" w:rsidRDefault="002C5025">
      <w:pPr>
        <w:pStyle w:val="BodyText"/>
        <w:kinsoku w:val="0"/>
        <w:overflowPunct w:val="0"/>
        <w:spacing w:before="2"/>
        <w:ind w:left="120" w:right="900"/>
        <w:rPr>
          <w:rFonts w:ascii="Georgia" w:hAnsi="Georgia" w:cs="Georgia"/>
          <w:sz w:val="14"/>
          <w:szCs w:val="14"/>
        </w:rPr>
      </w:pPr>
      <w:r>
        <w:rPr>
          <w:rFonts w:ascii="Georgia" w:hAnsi="Georgia" w:cs="Georgia"/>
          <w:sz w:val="14"/>
          <w:szCs w:val="14"/>
        </w:rPr>
        <w:t>Waltham, MA 02454</w:t>
      </w:r>
    </w:p>
    <w:p w:rsidR="002C5025" w:rsidRDefault="002C5025">
      <w:pPr>
        <w:pStyle w:val="BodyText"/>
        <w:kinsoku w:val="0"/>
        <w:overflowPunct w:val="0"/>
        <w:spacing w:before="13"/>
        <w:ind w:left="120" w:right="900"/>
        <w:rPr>
          <w:rFonts w:ascii="Georgia" w:hAnsi="Georgia" w:cs="Georgia"/>
          <w:sz w:val="14"/>
          <w:szCs w:val="14"/>
        </w:rPr>
      </w:pPr>
      <w:r>
        <w:rPr>
          <w:rFonts w:ascii="Georgia" w:hAnsi="Georgia" w:cs="Georgia"/>
          <w:sz w:val="14"/>
          <w:szCs w:val="14"/>
        </w:rPr>
        <w:t>781-895-9852</w:t>
      </w:r>
    </w:p>
    <w:p w:rsidR="002C5025" w:rsidRDefault="002C5025">
      <w:pPr>
        <w:pStyle w:val="BodyText"/>
        <w:kinsoku w:val="0"/>
        <w:overflowPunct w:val="0"/>
        <w:spacing w:before="16"/>
        <w:ind w:left="120" w:right="900"/>
        <w:rPr>
          <w:rFonts w:ascii="Georgia" w:hAnsi="Georgia" w:cs="Georgia"/>
          <w:w w:val="95"/>
          <w:sz w:val="14"/>
          <w:szCs w:val="14"/>
        </w:rPr>
      </w:pPr>
      <w:r>
        <w:rPr>
          <w:rFonts w:ascii="Georgia" w:hAnsi="Georgia" w:cs="Georgia"/>
          <w:w w:val="95"/>
          <w:sz w:val="14"/>
          <w:szCs w:val="14"/>
        </w:rPr>
        <w:t>Fax 781-895-9855</w:t>
      </w:r>
    </w:p>
    <w:p w:rsidR="002C5025" w:rsidRDefault="00FD19EE">
      <w:pPr>
        <w:pStyle w:val="BodyText"/>
        <w:kinsoku w:val="0"/>
        <w:overflowPunct w:val="0"/>
        <w:spacing w:before="16"/>
        <w:ind w:left="119" w:right="-5"/>
        <w:rPr>
          <w:rFonts w:ascii="Georgia" w:hAnsi="Georgia" w:cs="Georgia"/>
          <w:sz w:val="14"/>
          <w:szCs w:val="14"/>
        </w:rPr>
      </w:pPr>
      <w:hyperlink r:id="rId413" w:history="1">
        <w:r w:rsidR="002C5025">
          <w:rPr>
            <w:rFonts w:ascii="Georgia" w:hAnsi="Georgia" w:cs="Georgia"/>
            <w:sz w:val="14"/>
            <w:szCs w:val="14"/>
          </w:rPr>
          <w:t>chaggerty@mcaap.org</w:t>
        </w:r>
      </w:hyperlink>
    </w:p>
    <w:p w:rsidR="002C5025" w:rsidRDefault="002C5025">
      <w:pPr>
        <w:pStyle w:val="BodyText"/>
        <w:kinsoku w:val="0"/>
        <w:overflowPunct w:val="0"/>
        <w:rPr>
          <w:rFonts w:ascii="Georgia" w:hAnsi="Georgia" w:cs="Georgia"/>
          <w:sz w:val="17"/>
          <w:szCs w:val="17"/>
        </w:rPr>
      </w:pPr>
    </w:p>
    <w:p w:rsidR="002C5025" w:rsidRDefault="002C5025">
      <w:pPr>
        <w:pStyle w:val="BodyText"/>
        <w:kinsoku w:val="0"/>
        <w:overflowPunct w:val="0"/>
        <w:spacing w:line="261" w:lineRule="auto"/>
        <w:ind w:left="120" w:right="-5"/>
        <w:rPr>
          <w:rFonts w:ascii="Georgia" w:hAnsi="Georgia" w:cs="Georgia"/>
          <w:sz w:val="14"/>
          <w:szCs w:val="14"/>
        </w:rPr>
      </w:pPr>
      <w:r>
        <w:rPr>
          <w:rFonts w:ascii="Georgia" w:hAnsi="Georgia" w:cs="Georgia"/>
          <w:b/>
          <w:bCs/>
          <w:sz w:val="14"/>
          <w:szCs w:val="14"/>
        </w:rPr>
        <w:t xml:space="preserve">Immediate Past President </w:t>
      </w:r>
      <w:r>
        <w:rPr>
          <w:rFonts w:ascii="Georgia" w:hAnsi="Georgia" w:cs="Georgia"/>
          <w:sz w:val="14"/>
          <w:szCs w:val="14"/>
        </w:rPr>
        <w:t>Michael McManus, M.D., MPH, FAAP</w:t>
      </w:r>
    </w:p>
    <w:p w:rsidR="002C5025" w:rsidRDefault="00FD19EE">
      <w:pPr>
        <w:pStyle w:val="BodyText"/>
        <w:kinsoku w:val="0"/>
        <w:overflowPunct w:val="0"/>
        <w:spacing w:line="158" w:lineRule="exact"/>
        <w:ind w:left="120" w:right="-5"/>
        <w:rPr>
          <w:rFonts w:ascii="Georgia" w:hAnsi="Georgia" w:cs="Georgia"/>
          <w:sz w:val="14"/>
          <w:szCs w:val="14"/>
        </w:rPr>
      </w:pPr>
      <w:hyperlink r:id="rId414" w:history="1">
        <w:r w:rsidR="002C5025">
          <w:rPr>
            <w:rFonts w:ascii="Georgia" w:hAnsi="Georgia" w:cs="Georgia"/>
            <w:sz w:val="14"/>
            <w:szCs w:val="14"/>
          </w:rPr>
          <w:t>mmcmanus@mcaap.org</w:t>
        </w:r>
      </w:hyperlink>
    </w:p>
    <w:p w:rsidR="002C5025" w:rsidRDefault="002C5025">
      <w:pPr>
        <w:pStyle w:val="BodyText"/>
        <w:kinsoku w:val="0"/>
        <w:overflowPunct w:val="0"/>
        <w:rPr>
          <w:rFonts w:ascii="Georgia" w:hAnsi="Georgia" w:cs="Georgia"/>
          <w:sz w:val="17"/>
          <w:szCs w:val="17"/>
        </w:rPr>
      </w:pPr>
    </w:p>
    <w:p w:rsidR="002C5025" w:rsidRDefault="002C5025">
      <w:pPr>
        <w:pStyle w:val="BodyText"/>
        <w:kinsoku w:val="0"/>
        <w:overflowPunct w:val="0"/>
        <w:ind w:left="120" w:right="900"/>
        <w:rPr>
          <w:rFonts w:ascii="Georgia" w:hAnsi="Georgia" w:cs="Georgia"/>
          <w:b/>
          <w:bCs/>
          <w:sz w:val="14"/>
          <w:szCs w:val="14"/>
        </w:rPr>
      </w:pPr>
      <w:r>
        <w:rPr>
          <w:rFonts w:ascii="Georgia" w:hAnsi="Georgia" w:cs="Georgia"/>
          <w:b/>
          <w:bCs/>
          <w:sz w:val="14"/>
          <w:szCs w:val="14"/>
        </w:rPr>
        <w:t>President</w:t>
      </w:r>
    </w:p>
    <w:p w:rsidR="002C5025" w:rsidRDefault="002C5025">
      <w:pPr>
        <w:pStyle w:val="BodyText"/>
        <w:kinsoku w:val="0"/>
        <w:overflowPunct w:val="0"/>
        <w:spacing w:before="13" w:line="261" w:lineRule="auto"/>
        <w:ind w:left="120" w:right="-5"/>
        <w:rPr>
          <w:rFonts w:ascii="Georgia" w:hAnsi="Georgia" w:cs="Georgia"/>
          <w:sz w:val="14"/>
          <w:szCs w:val="14"/>
        </w:rPr>
      </w:pPr>
      <w:r>
        <w:rPr>
          <w:rFonts w:ascii="Georgia" w:hAnsi="Georgia" w:cs="Georgia"/>
          <w:sz w:val="14"/>
          <w:szCs w:val="14"/>
        </w:rPr>
        <w:t>DeWayne</w:t>
      </w:r>
      <w:r>
        <w:rPr>
          <w:rFonts w:ascii="Georgia" w:hAnsi="Georgia" w:cs="Georgia"/>
          <w:spacing w:val="-12"/>
          <w:sz w:val="14"/>
          <w:szCs w:val="14"/>
        </w:rPr>
        <w:t xml:space="preserve"> </w:t>
      </w:r>
      <w:proofErr w:type="spellStart"/>
      <w:r>
        <w:rPr>
          <w:rFonts w:ascii="Georgia" w:hAnsi="Georgia" w:cs="Georgia"/>
          <w:sz w:val="14"/>
          <w:szCs w:val="14"/>
        </w:rPr>
        <w:t>Pursley</w:t>
      </w:r>
      <w:proofErr w:type="spellEnd"/>
      <w:r>
        <w:rPr>
          <w:rFonts w:ascii="Georgia" w:hAnsi="Georgia" w:cs="Georgia"/>
          <w:sz w:val="14"/>
          <w:szCs w:val="14"/>
        </w:rPr>
        <w:t>,</w:t>
      </w:r>
      <w:r>
        <w:rPr>
          <w:rFonts w:ascii="Georgia" w:hAnsi="Georgia" w:cs="Georgia"/>
          <w:spacing w:val="-9"/>
          <w:sz w:val="14"/>
          <w:szCs w:val="14"/>
        </w:rPr>
        <w:t xml:space="preserve"> </w:t>
      </w:r>
      <w:r>
        <w:rPr>
          <w:rFonts w:ascii="Georgia" w:hAnsi="Georgia" w:cs="Georgia"/>
          <w:sz w:val="14"/>
          <w:szCs w:val="14"/>
        </w:rPr>
        <w:t>M.D.,</w:t>
      </w:r>
      <w:r>
        <w:rPr>
          <w:rFonts w:ascii="Georgia" w:hAnsi="Georgia" w:cs="Georgia"/>
          <w:spacing w:val="-9"/>
          <w:sz w:val="14"/>
          <w:szCs w:val="14"/>
        </w:rPr>
        <w:t xml:space="preserve"> </w:t>
      </w:r>
      <w:r>
        <w:rPr>
          <w:rFonts w:ascii="Georgia" w:hAnsi="Georgia" w:cs="Georgia"/>
          <w:sz w:val="14"/>
          <w:szCs w:val="14"/>
        </w:rPr>
        <w:t>MPH,</w:t>
      </w:r>
      <w:r>
        <w:rPr>
          <w:rFonts w:ascii="Georgia" w:hAnsi="Georgia" w:cs="Georgia"/>
          <w:spacing w:val="-9"/>
          <w:sz w:val="14"/>
          <w:szCs w:val="14"/>
        </w:rPr>
        <w:t xml:space="preserve"> </w:t>
      </w:r>
      <w:r>
        <w:rPr>
          <w:rFonts w:ascii="Georgia" w:hAnsi="Georgia" w:cs="Georgia"/>
          <w:sz w:val="14"/>
          <w:szCs w:val="14"/>
        </w:rPr>
        <w:t xml:space="preserve">FAAP </w:t>
      </w:r>
      <w:hyperlink r:id="rId415" w:history="1">
        <w:r>
          <w:rPr>
            <w:rFonts w:ascii="Georgia" w:hAnsi="Georgia" w:cs="Georgia"/>
            <w:sz w:val="14"/>
            <w:szCs w:val="14"/>
          </w:rPr>
          <w:t>dpursley@mcaap.org</w:t>
        </w:r>
      </w:hyperlink>
    </w:p>
    <w:p w:rsidR="002C5025" w:rsidRDefault="002C5025">
      <w:pPr>
        <w:pStyle w:val="BodyText"/>
        <w:kinsoku w:val="0"/>
        <w:overflowPunct w:val="0"/>
        <w:spacing w:before="8"/>
        <w:rPr>
          <w:rFonts w:ascii="Georgia" w:hAnsi="Georgia" w:cs="Georgia"/>
          <w:sz w:val="15"/>
          <w:szCs w:val="15"/>
        </w:rPr>
      </w:pPr>
    </w:p>
    <w:p w:rsidR="002C5025" w:rsidRDefault="002C5025">
      <w:pPr>
        <w:pStyle w:val="BodyText"/>
        <w:kinsoku w:val="0"/>
        <w:overflowPunct w:val="0"/>
        <w:spacing w:before="1"/>
        <w:ind w:left="120" w:right="900"/>
        <w:rPr>
          <w:rFonts w:ascii="Georgia" w:hAnsi="Georgia" w:cs="Georgia"/>
          <w:b/>
          <w:bCs/>
          <w:sz w:val="14"/>
          <w:szCs w:val="14"/>
        </w:rPr>
      </w:pPr>
      <w:r>
        <w:rPr>
          <w:rFonts w:ascii="Georgia" w:hAnsi="Georgia" w:cs="Georgia"/>
          <w:b/>
          <w:bCs/>
          <w:sz w:val="14"/>
          <w:szCs w:val="14"/>
        </w:rPr>
        <w:t>Vice President</w:t>
      </w:r>
    </w:p>
    <w:p w:rsidR="002C5025" w:rsidRDefault="002C5025">
      <w:pPr>
        <w:pStyle w:val="BodyText"/>
        <w:kinsoku w:val="0"/>
        <w:overflowPunct w:val="0"/>
        <w:spacing w:before="16" w:line="261" w:lineRule="auto"/>
        <w:ind w:left="120" w:right="-5"/>
        <w:rPr>
          <w:rFonts w:ascii="Georgia" w:hAnsi="Georgia" w:cs="Georgia"/>
          <w:sz w:val="14"/>
          <w:szCs w:val="14"/>
        </w:rPr>
      </w:pPr>
      <w:r>
        <w:rPr>
          <w:rFonts w:ascii="Georgia" w:hAnsi="Georgia" w:cs="Georgia"/>
          <w:sz w:val="14"/>
          <w:szCs w:val="14"/>
        </w:rPr>
        <w:t xml:space="preserve">Elizabeth Goodman, M.D., FAAP </w:t>
      </w:r>
      <w:hyperlink r:id="rId416" w:history="1">
        <w:r>
          <w:rPr>
            <w:rFonts w:ascii="Georgia" w:hAnsi="Georgia" w:cs="Georgia"/>
            <w:sz w:val="14"/>
            <w:szCs w:val="14"/>
          </w:rPr>
          <w:t>egoodman@mcaap.org</w:t>
        </w:r>
      </w:hyperlink>
    </w:p>
    <w:p w:rsidR="002C5025" w:rsidRDefault="002C5025">
      <w:pPr>
        <w:pStyle w:val="BodyText"/>
        <w:kinsoku w:val="0"/>
        <w:overflowPunct w:val="0"/>
        <w:spacing w:before="6"/>
        <w:rPr>
          <w:rFonts w:ascii="Georgia" w:hAnsi="Georgia" w:cs="Georgia"/>
          <w:sz w:val="15"/>
          <w:szCs w:val="15"/>
        </w:rPr>
      </w:pPr>
    </w:p>
    <w:p w:rsidR="002C5025" w:rsidRDefault="002C5025">
      <w:pPr>
        <w:pStyle w:val="BodyText"/>
        <w:kinsoku w:val="0"/>
        <w:overflowPunct w:val="0"/>
        <w:ind w:left="120" w:right="900"/>
        <w:rPr>
          <w:rFonts w:ascii="Georgia" w:hAnsi="Georgia" w:cs="Georgia"/>
          <w:b/>
          <w:bCs/>
          <w:sz w:val="14"/>
          <w:szCs w:val="14"/>
        </w:rPr>
      </w:pPr>
      <w:r>
        <w:rPr>
          <w:rFonts w:ascii="Georgia" w:hAnsi="Georgia" w:cs="Georgia"/>
          <w:b/>
          <w:bCs/>
          <w:sz w:val="14"/>
          <w:szCs w:val="14"/>
        </w:rPr>
        <w:t>Treasurer</w:t>
      </w:r>
    </w:p>
    <w:p w:rsidR="002C5025" w:rsidRDefault="002C5025">
      <w:pPr>
        <w:pStyle w:val="BodyText"/>
        <w:kinsoku w:val="0"/>
        <w:overflowPunct w:val="0"/>
        <w:spacing w:before="13" w:line="264" w:lineRule="auto"/>
        <w:ind w:left="120" w:right="-5"/>
        <w:rPr>
          <w:rFonts w:ascii="Georgia" w:hAnsi="Georgia" w:cs="Georgia"/>
          <w:sz w:val="14"/>
          <w:szCs w:val="14"/>
        </w:rPr>
      </w:pPr>
      <w:r>
        <w:rPr>
          <w:rFonts w:ascii="Georgia" w:hAnsi="Georgia" w:cs="Georgia"/>
          <w:sz w:val="14"/>
          <w:szCs w:val="14"/>
        </w:rPr>
        <w:t xml:space="preserve">Lloyd Fisher, M.D., FAAP </w:t>
      </w:r>
      <w:hyperlink r:id="rId417" w:history="1">
        <w:r>
          <w:rPr>
            <w:rFonts w:ascii="Georgia" w:hAnsi="Georgia" w:cs="Georgia"/>
            <w:sz w:val="14"/>
            <w:szCs w:val="14"/>
          </w:rPr>
          <w:t>lfisher@mcaap.org</w:t>
        </w:r>
      </w:hyperlink>
    </w:p>
    <w:p w:rsidR="002C5025" w:rsidRDefault="002C5025">
      <w:pPr>
        <w:pStyle w:val="BodyText"/>
        <w:kinsoku w:val="0"/>
        <w:overflowPunct w:val="0"/>
        <w:spacing w:before="7"/>
        <w:rPr>
          <w:rFonts w:ascii="Georgia" w:hAnsi="Georgia" w:cs="Georgia"/>
          <w:sz w:val="15"/>
          <w:szCs w:val="15"/>
        </w:rPr>
      </w:pPr>
    </w:p>
    <w:p w:rsidR="002C5025" w:rsidRDefault="002C5025">
      <w:pPr>
        <w:pStyle w:val="BodyText"/>
        <w:kinsoku w:val="0"/>
        <w:overflowPunct w:val="0"/>
        <w:ind w:left="120" w:right="900"/>
        <w:rPr>
          <w:rFonts w:ascii="Georgia" w:hAnsi="Georgia" w:cs="Georgia"/>
          <w:b/>
          <w:bCs/>
          <w:sz w:val="14"/>
          <w:szCs w:val="14"/>
        </w:rPr>
      </w:pPr>
      <w:r>
        <w:rPr>
          <w:rFonts w:ascii="Georgia" w:hAnsi="Georgia" w:cs="Georgia"/>
          <w:b/>
          <w:bCs/>
          <w:sz w:val="14"/>
          <w:szCs w:val="14"/>
        </w:rPr>
        <w:t>Secretary</w:t>
      </w:r>
    </w:p>
    <w:p w:rsidR="002C5025" w:rsidRDefault="002C5025">
      <w:pPr>
        <w:pStyle w:val="BodyText"/>
        <w:kinsoku w:val="0"/>
        <w:overflowPunct w:val="0"/>
        <w:spacing w:before="13" w:line="264" w:lineRule="auto"/>
        <w:ind w:left="120" w:right="-5"/>
        <w:rPr>
          <w:rFonts w:ascii="Georgia" w:hAnsi="Georgia" w:cs="Georgia"/>
          <w:sz w:val="14"/>
          <w:szCs w:val="14"/>
        </w:rPr>
      </w:pPr>
      <w:r>
        <w:rPr>
          <w:rFonts w:ascii="Georgia" w:hAnsi="Georgia" w:cs="Georgia"/>
          <w:sz w:val="14"/>
          <w:szCs w:val="14"/>
        </w:rPr>
        <w:t xml:space="preserve">Brenda Anders </w:t>
      </w:r>
      <w:proofErr w:type="spellStart"/>
      <w:r>
        <w:rPr>
          <w:rFonts w:ascii="Georgia" w:hAnsi="Georgia" w:cs="Georgia"/>
          <w:sz w:val="14"/>
          <w:szCs w:val="14"/>
        </w:rPr>
        <w:t>Pring</w:t>
      </w:r>
      <w:proofErr w:type="spellEnd"/>
      <w:r>
        <w:rPr>
          <w:rFonts w:ascii="Georgia" w:hAnsi="Georgia" w:cs="Georgia"/>
          <w:sz w:val="14"/>
          <w:szCs w:val="14"/>
        </w:rPr>
        <w:t xml:space="preserve">, M.D., FAAP </w:t>
      </w:r>
      <w:hyperlink r:id="rId418" w:history="1">
        <w:r>
          <w:rPr>
            <w:rFonts w:ascii="Georgia" w:hAnsi="Georgia" w:cs="Georgia"/>
            <w:sz w:val="14"/>
            <w:szCs w:val="14"/>
          </w:rPr>
          <w:t>bpring@mcaap.org</w:t>
        </w:r>
      </w:hyperlink>
    </w:p>
    <w:p w:rsidR="002C5025" w:rsidRDefault="002C5025">
      <w:pPr>
        <w:pStyle w:val="BodyText"/>
        <w:kinsoku w:val="0"/>
        <w:overflowPunct w:val="0"/>
        <w:spacing w:before="21" w:line="340" w:lineRule="atLeast"/>
        <w:ind w:left="120" w:right="100"/>
        <w:rPr>
          <w:rFonts w:ascii="Georgia" w:hAnsi="Georgia" w:cs="Georgia"/>
          <w:b/>
          <w:bCs/>
          <w:sz w:val="14"/>
          <w:szCs w:val="14"/>
        </w:rPr>
      </w:pPr>
      <w:r>
        <w:rPr>
          <w:rFonts w:ascii="Georgia" w:hAnsi="Georgia" w:cs="Georgia"/>
          <w:b/>
          <w:bCs/>
          <w:w w:val="95"/>
          <w:sz w:val="14"/>
          <w:szCs w:val="14"/>
        </w:rPr>
        <w:t xml:space="preserve">District Representatives </w:t>
      </w:r>
      <w:r>
        <w:rPr>
          <w:rFonts w:ascii="Georgia" w:hAnsi="Georgia" w:cs="Georgia"/>
          <w:b/>
          <w:bCs/>
          <w:sz w:val="14"/>
          <w:szCs w:val="14"/>
        </w:rPr>
        <w:t>District 1</w:t>
      </w:r>
    </w:p>
    <w:p w:rsidR="002C5025" w:rsidRDefault="002C5025">
      <w:pPr>
        <w:pStyle w:val="BodyText"/>
        <w:kinsoku w:val="0"/>
        <w:overflowPunct w:val="0"/>
        <w:spacing w:before="16"/>
        <w:ind w:left="119" w:right="-5"/>
        <w:rPr>
          <w:rFonts w:ascii="Georgia" w:hAnsi="Georgia" w:cs="Georgia"/>
          <w:sz w:val="14"/>
          <w:szCs w:val="14"/>
        </w:rPr>
      </w:pPr>
      <w:r>
        <w:rPr>
          <w:rFonts w:ascii="Georgia" w:hAnsi="Georgia" w:cs="Georgia"/>
          <w:sz w:val="14"/>
          <w:szCs w:val="14"/>
        </w:rPr>
        <w:t>Peter Kenny, M.D., FAAP</w:t>
      </w:r>
    </w:p>
    <w:p w:rsidR="002C5025" w:rsidRDefault="002C5025">
      <w:pPr>
        <w:pStyle w:val="BodyText"/>
        <w:kinsoku w:val="0"/>
        <w:overflowPunct w:val="0"/>
        <w:spacing w:before="9"/>
        <w:rPr>
          <w:rFonts w:ascii="Georgia" w:hAnsi="Georgia" w:cs="Georgia"/>
          <w:sz w:val="16"/>
          <w:szCs w:val="16"/>
        </w:rPr>
      </w:pPr>
    </w:p>
    <w:p w:rsidR="002C5025" w:rsidRDefault="002C5025">
      <w:pPr>
        <w:pStyle w:val="BodyText"/>
        <w:kinsoku w:val="0"/>
        <w:overflowPunct w:val="0"/>
        <w:ind w:left="120" w:right="900"/>
        <w:rPr>
          <w:rFonts w:ascii="Georgia" w:hAnsi="Georgia" w:cs="Georgia"/>
          <w:b/>
          <w:bCs/>
          <w:sz w:val="14"/>
          <w:szCs w:val="14"/>
        </w:rPr>
      </w:pPr>
      <w:r>
        <w:rPr>
          <w:rFonts w:ascii="Georgia" w:hAnsi="Georgia" w:cs="Georgia"/>
          <w:b/>
          <w:bCs/>
          <w:sz w:val="14"/>
          <w:szCs w:val="14"/>
        </w:rPr>
        <w:t>District 2</w:t>
      </w:r>
    </w:p>
    <w:p w:rsidR="002C5025" w:rsidRDefault="002C5025">
      <w:pPr>
        <w:pStyle w:val="BodyText"/>
        <w:kinsoku w:val="0"/>
        <w:overflowPunct w:val="0"/>
        <w:spacing w:before="16"/>
        <w:ind w:left="119" w:right="-5"/>
        <w:rPr>
          <w:rFonts w:ascii="Georgia" w:hAnsi="Georgia" w:cs="Georgia"/>
          <w:sz w:val="14"/>
          <w:szCs w:val="14"/>
        </w:rPr>
      </w:pPr>
      <w:r>
        <w:rPr>
          <w:rFonts w:ascii="Georgia" w:hAnsi="Georgia" w:cs="Georgia"/>
          <w:sz w:val="14"/>
          <w:szCs w:val="14"/>
        </w:rPr>
        <w:t xml:space="preserve">John </w:t>
      </w:r>
      <w:proofErr w:type="spellStart"/>
      <w:r>
        <w:rPr>
          <w:rFonts w:ascii="Georgia" w:hAnsi="Georgia" w:cs="Georgia"/>
          <w:sz w:val="14"/>
          <w:szCs w:val="14"/>
        </w:rPr>
        <w:t>Synder</w:t>
      </w:r>
      <w:proofErr w:type="spellEnd"/>
      <w:r>
        <w:rPr>
          <w:rFonts w:ascii="Georgia" w:hAnsi="Georgia" w:cs="Georgia"/>
          <w:sz w:val="14"/>
          <w:szCs w:val="14"/>
        </w:rPr>
        <w:t>, M.D., FAAP</w:t>
      </w:r>
    </w:p>
    <w:p w:rsidR="002C5025" w:rsidRDefault="002C5025">
      <w:pPr>
        <w:pStyle w:val="BodyText"/>
        <w:kinsoku w:val="0"/>
        <w:overflowPunct w:val="0"/>
        <w:spacing w:before="7"/>
        <w:rPr>
          <w:rFonts w:ascii="Georgia" w:hAnsi="Georgia" w:cs="Georgia"/>
          <w:sz w:val="16"/>
          <w:szCs w:val="16"/>
        </w:rPr>
      </w:pPr>
    </w:p>
    <w:p w:rsidR="002C5025" w:rsidRDefault="002C5025">
      <w:pPr>
        <w:pStyle w:val="BodyText"/>
        <w:kinsoku w:val="0"/>
        <w:overflowPunct w:val="0"/>
        <w:ind w:left="120" w:right="900"/>
        <w:rPr>
          <w:rFonts w:ascii="Georgia" w:hAnsi="Georgia" w:cs="Georgia"/>
          <w:b/>
          <w:bCs/>
          <w:sz w:val="14"/>
          <w:szCs w:val="14"/>
        </w:rPr>
      </w:pPr>
      <w:r>
        <w:rPr>
          <w:rFonts w:ascii="Georgia" w:hAnsi="Georgia" w:cs="Georgia"/>
          <w:b/>
          <w:bCs/>
          <w:sz w:val="14"/>
          <w:szCs w:val="14"/>
        </w:rPr>
        <w:t>District 3</w:t>
      </w:r>
    </w:p>
    <w:p w:rsidR="002C5025" w:rsidRDefault="002C5025">
      <w:pPr>
        <w:pStyle w:val="BodyText"/>
        <w:kinsoku w:val="0"/>
        <w:overflowPunct w:val="0"/>
        <w:spacing w:before="16"/>
        <w:ind w:left="119" w:right="-5"/>
        <w:rPr>
          <w:rFonts w:ascii="Georgia" w:hAnsi="Georgia" w:cs="Georgia"/>
          <w:sz w:val="14"/>
          <w:szCs w:val="14"/>
        </w:rPr>
      </w:pPr>
      <w:r>
        <w:rPr>
          <w:rFonts w:ascii="Georgia" w:hAnsi="Georgia" w:cs="Georgia"/>
          <w:sz w:val="14"/>
          <w:szCs w:val="14"/>
        </w:rPr>
        <w:t>Linda Lee, M.D., FAAP</w:t>
      </w:r>
    </w:p>
    <w:p w:rsidR="002C5025" w:rsidRDefault="002C5025">
      <w:pPr>
        <w:pStyle w:val="BodyText"/>
        <w:kinsoku w:val="0"/>
        <w:overflowPunct w:val="0"/>
        <w:rPr>
          <w:rFonts w:ascii="Georgia" w:hAnsi="Georgia" w:cs="Georgia"/>
          <w:sz w:val="17"/>
          <w:szCs w:val="17"/>
        </w:rPr>
      </w:pPr>
    </w:p>
    <w:p w:rsidR="002C5025" w:rsidRDefault="002C5025">
      <w:pPr>
        <w:pStyle w:val="BodyText"/>
        <w:kinsoku w:val="0"/>
        <w:overflowPunct w:val="0"/>
        <w:ind w:left="120" w:right="900"/>
        <w:rPr>
          <w:rFonts w:ascii="Georgia" w:hAnsi="Georgia" w:cs="Georgia"/>
          <w:b/>
          <w:bCs/>
          <w:sz w:val="14"/>
          <w:szCs w:val="14"/>
        </w:rPr>
      </w:pPr>
      <w:r>
        <w:rPr>
          <w:rFonts w:ascii="Georgia" w:hAnsi="Georgia" w:cs="Georgia"/>
          <w:b/>
          <w:bCs/>
          <w:sz w:val="14"/>
          <w:szCs w:val="14"/>
        </w:rPr>
        <w:t>District 4</w:t>
      </w:r>
    </w:p>
    <w:p w:rsidR="002C5025" w:rsidRDefault="002C5025">
      <w:pPr>
        <w:pStyle w:val="BodyText"/>
        <w:kinsoku w:val="0"/>
        <w:overflowPunct w:val="0"/>
        <w:spacing w:before="13"/>
        <w:ind w:left="119" w:right="900"/>
        <w:rPr>
          <w:rFonts w:ascii="Georgia" w:hAnsi="Georgia" w:cs="Georgia"/>
          <w:sz w:val="14"/>
          <w:szCs w:val="14"/>
        </w:rPr>
      </w:pPr>
      <w:r>
        <w:rPr>
          <w:rFonts w:ascii="Georgia" w:hAnsi="Georgia" w:cs="Georgia"/>
          <w:sz w:val="14"/>
          <w:szCs w:val="14"/>
        </w:rPr>
        <w:t>OPEN</w:t>
      </w:r>
    </w:p>
    <w:p w:rsidR="002C5025" w:rsidRDefault="002C5025">
      <w:pPr>
        <w:pStyle w:val="BodyText"/>
        <w:kinsoku w:val="0"/>
        <w:overflowPunct w:val="0"/>
        <w:rPr>
          <w:rFonts w:ascii="Georgia" w:hAnsi="Georgia" w:cs="Georgia"/>
          <w:sz w:val="17"/>
          <w:szCs w:val="17"/>
        </w:rPr>
      </w:pPr>
    </w:p>
    <w:p w:rsidR="002C5025" w:rsidRDefault="002C5025">
      <w:pPr>
        <w:pStyle w:val="BodyText"/>
        <w:kinsoku w:val="0"/>
        <w:overflowPunct w:val="0"/>
        <w:ind w:left="120" w:right="900"/>
        <w:rPr>
          <w:rFonts w:ascii="Georgia" w:hAnsi="Georgia" w:cs="Georgia"/>
          <w:b/>
          <w:bCs/>
          <w:sz w:val="14"/>
          <w:szCs w:val="14"/>
        </w:rPr>
      </w:pPr>
      <w:r>
        <w:rPr>
          <w:rFonts w:ascii="Georgia" w:hAnsi="Georgia" w:cs="Georgia"/>
          <w:b/>
          <w:bCs/>
          <w:sz w:val="14"/>
          <w:szCs w:val="14"/>
        </w:rPr>
        <w:t>District 5</w:t>
      </w:r>
    </w:p>
    <w:p w:rsidR="002C5025" w:rsidRDefault="002C5025">
      <w:pPr>
        <w:pStyle w:val="BodyText"/>
        <w:kinsoku w:val="0"/>
        <w:overflowPunct w:val="0"/>
        <w:spacing w:before="13"/>
        <w:ind w:left="119" w:right="-5"/>
        <w:rPr>
          <w:rFonts w:ascii="Georgia" w:hAnsi="Georgia" w:cs="Georgia"/>
          <w:sz w:val="14"/>
          <w:szCs w:val="14"/>
        </w:rPr>
      </w:pPr>
      <w:r>
        <w:rPr>
          <w:rFonts w:ascii="Georgia" w:hAnsi="Georgia" w:cs="Georgia"/>
          <w:sz w:val="14"/>
          <w:szCs w:val="14"/>
        </w:rPr>
        <w:t>Daniel Slater, M.D., FAAP</w:t>
      </w:r>
    </w:p>
    <w:p w:rsidR="002C5025" w:rsidRDefault="002C5025">
      <w:pPr>
        <w:pStyle w:val="BodyText"/>
        <w:kinsoku w:val="0"/>
        <w:overflowPunct w:val="0"/>
        <w:rPr>
          <w:rFonts w:ascii="Georgia" w:hAnsi="Georgia" w:cs="Georgia"/>
          <w:sz w:val="17"/>
          <w:szCs w:val="17"/>
        </w:rPr>
      </w:pPr>
    </w:p>
    <w:p w:rsidR="002C5025" w:rsidRDefault="002C5025">
      <w:pPr>
        <w:pStyle w:val="BodyText"/>
        <w:kinsoku w:val="0"/>
        <w:overflowPunct w:val="0"/>
        <w:ind w:left="120" w:right="900"/>
        <w:rPr>
          <w:rFonts w:ascii="Georgia" w:hAnsi="Georgia" w:cs="Georgia"/>
          <w:b/>
          <w:bCs/>
          <w:sz w:val="14"/>
          <w:szCs w:val="14"/>
        </w:rPr>
      </w:pPr>
      <w:r>
        <w:rPr>
          <w:rFonts w:ascii="Georgia" w:hAnsi="Georgia" w:cs="Georgia"/>
          <w:b/>
          <w:bCs/>
          <w:sz w:val="14"/>
          <w:szCs w:val="14"/>
        </w:rPr>
        <w:t>District 6</w:t>
      </w:r>
    </w:p>
    <w:p w:rsidR="002C5025" w:rsidRDefault="002C5025">
      <w:pPr>
        <w:pStyle w:val="BodyText"/>
        <w:kinsoku w:val="0"/>
        <w:overflowPunct w:val="0"/>
        <w:spacing w:before="11"/>
        <w:ind w:left="119" w:right="-5"/>
        <w:rPr>
          <w:rFonts w:ascii="Georgia" w:hAnsi="Georgia" w:cs="Georgia"/>
          <w:sz w:val="14"/>
          <w:szCs w:val="14"/>
        </w:rPr>
      </w:pPr>
      <w:r>
        <w:rPr>
          <w:rFonts w:ascii="Georgia" w:hAnsi="Georgia" w:cs="Georgia"/>
          <w:sz w:val="14"/>
          <w:szCs w:val="14"/>
        </w:rPr>
        <w:t xml:space="preserve">Nicholas </w:t>
      </w:r>
      <w:proofErr w:type="spellStart"/>
      <w:r>
        <w:rPr>
          <w:rFonts w:ascii="Georgia" w:hAnsi="Georgia" w:cs="Georgia"/>
          <w:sz w:val="14"/>
          <w:szCs w:val="14"/>
        </w:rPr>
        <w:t>Kasdon</w:t>
      </w:r>
      <w:proofErr w:type="spellEnd"/>
      <w:r>
        <w:rPr>
          <w:rFonts w:ascii="Georgia" w:hAnsi="Georgia" w:cs="Georgia"/>
          <w:sz w:val="14"/>
          <w:szCs w:val="14"/>
        </w:rPr>
        <w:t>, M.D., FAAP</w:t>
      </w:r>
    </w:p>
    <w:p w:rsidR="002C5025" w:rsidRDefault="002C5025">
      <w:pPr>
        <w:pStyle w:val="BodyText"/>
        <w:kinsoku w:val="0"/>
        <w:overflowPunct w:val="0"/>
        <w:rPr>
          <w:rFonts w:ascii="Georgia" w:hAnsi="Georgia" w:cs="Georgia"/>
          <w:sz w:val="17"/>
          <w:szCs w:val="17"/>
        </w:rPr>
      </w:pPr>
    </w:p>
    <w:p w:rsidR="002C5025" w:rsidRDefault="002C5025">
      <w:pPr>
        <w:pStyle w:val="BodyText"/>
        <w:kinsoku w:val="0"/>
        <w:overflowPunct w:val="0"/>
        <w:ind w:left="120" w:right="900"/>
        <w:rPr>
          <w:rFonts w:ascii="Georgia" w:hAnsi="Georgia" w:cs="Georgia"/>
          <w:b/>
          <w:bCs/>
          <w:sz w:val="14"/>
          <w:szCs w:val="14"/>
        </w:rPr>
      </w:pPr>
      <w:r>
        <w:rPr>
          <w:rFonts w:ascii="Georgia" w:hAnsi="Georgia" w:cs="Georgia"/>
          <w:b/>
          <w:bCs/>
          <w:sz w:val="14"/>
          <w:szCs w:val="14"/>
        </w:rPr>
        <w:t>District 7</w:t>
      </w:r>
    </w:p>
    <w:p w:rsidR="002C5025" w:rsidRDefault="002C5025">
      <w:pPr>
        <w:pStyle w:val="BodyText"/>
        <w:kinsoku w:val="0"/>
        <w:overflowPunct w:val="0"/>
        <w:spacing w:before="13"/>
        <w:ind w:left="119" w:right="-1"/>
        <w:rPr>
          <w:rFonts w:ascii="Georgia" w:hAnsi="Georgia" w:cs="Georgia"/>
          <w:sz w:val="14"/>
          <w:szCs w:val="14"/>
        </w:rPr>
      </w:pPr>
      <w:r>
        <w:rPr>
          <w:rFonts w:ascii="Georgia" w:hAnsi="Georgia" w:cs="Georgia"/>
          <w:sz w:val="14"/>
          <w:szCs w:val="14"/>
        </w:rPr>
        <w:t>Umbereen Nehal, M.D., MPH, FAAP</w:t>
      </w:r>
    </w:p>
    <w:p w:rsidR="002C5025" w:rsidRDefault="002C5025">
      <w:pPr>
        <w:pStyle w:val="BodyText"/>
        <w:kinsoku w:val="0"/>
        <w:overflowPunct w:val="0"/>
        <w:rPr>
          <w:rFonts w:ascii="Georgia" w:hAnsi="Georgia" w:cs="Georgia"/>
          <w:sz w:val="17"/>
          <w:szCs w:val="17"/>
        </w:rPr>
      </w:pPr>
    </w:p>
    <w:p w:rsidR="002C5025" w:rsidRDefault="002C5025">
      <w:pPr>
        <w:pStyle w:val="BodyText"/>
        <w:kinsoku w:val="0"/>
        <w:overflowPunct w:val="0"/>
        <w:ind w:left="120" w:right="900"/>
        <w:rPr>
          <w:rFonts w:ascii="Georgia" w:hAnsi="Georgia" w:cs="Georgia"/>
          <w:b/>
          <w:bCs/>
          <w:sz w:val="14"/>
          <w:szCs w:val="14"/>
        </w:rPr>
      </w:pPr>
      <w:r>
        <w:rPr>
          <w:rFonts w:ascii="Georgia" w:hAnsi="Georgia" w:cs="Georgia"/>
          <w:b/>
          <w:bCs/>
          <w:sz w:val="14"/>
          <w:szCs w:val="14"/>
        </w:rPr>
        <w:t>District 8</w:t>
      </w:r>
    </w:p>
    <w:p w:rsidR="002C5025" w:rsidRDefault="002C5025">
      <w:pPr>
        <w:pStyle w:val="ListParagraph"/>
        <w:numPr>
          <w:ilvl w:val="0"/>
          <w:numId w:val="38"/>
        </w:numPr>
        <w:tabs>
          <w:tab w:val="left" w:pos="284"/>
        </w:tabs>
        <w:kinsoku w:val="0"/>
        <w:overflowPunct w:val="0"/>
        <w:spacing w:before="13"/>
        <w:ind w:hanging="163"/>
        <w:rPr>
          <w:rFonts w:ascii="Georgia" w:hAnsi="Georgia" w:cs="Georgia"/>
          <w:sz w:val="14"/>
          <w:szCs w:val="14"/>
        </w:rPr>
      </w:pPr>
      <w:r>
        <w:rPr>
          <w:rFonts w:ascii="Georgia" w:hAnsi="Georgia" w:cs="Georgia"/>
          <w:sz w:val="14"/>
          <w:szCs w:val="14"/>
        </w:rPr>
        <w:t>James</w:t>
      </w:r>
      <w:r>
        <w:rPr>
          <w:rFonts w:ascii="Georgia" w:hAnsi="Georgia" w:cs="Georgia"/>
          <w:spacing w:val="-12"/>
          <w:sz w:val="14"/>
          <w:szCs w:val="14"/>
        </w:rPr>
        <w:t xml:space="preserve"> </w:t>
      </w:r>
      <w:r>
        <w:rPr>
          <w:rFonts w:ascii="Georgia" w:hAnsi="Georgia" w:cs="Georgia"/>
          <w:sz w:val="14"/>
          <w:szCs w:val="14"/>
        </w:rPr>
        <w:t>Gruver,</w:t>
      </w:r>
      <w:r>
        <w:rPr>
          <w:rFonts w:ascii="Georgia" w:hAnsi="Georgia" w:cs="Georgia"/>
          <w:spacing w:val="-12"/>
          <w:sz w:val="14"/>
          <w:szCs w:val="14"/>
        </w:rPr>
        <w:t xml:space="preserve"> </w:t>
      </w:r>
      <w:r>
        <w:rPr>
          <w:rFonts w:ascii="Georgia" w:hAnsi="Georgia" w:cs="Georgia"/>
          <w:sz w:val="14"/>
          <w:szCs w:val="14"/>
        </w:rPr>
        <w:t>M.D.,</w:t>
      </w:r>
      <w:r>
        <w:rPr>
          <w:rFonts w:ascii="Georgia" w:hAnsi="Georgia" w:cs="Georgia"/>
          <w:spacing w:val="-12"/>
          <w:sz w:val="14"/>
          <w:szCs w:val="14"/>
        </w:rPr>
        <w:t xml:space="preserve"> </w:t>
      </w:r>
      <w:r>
        <w:rPr>
          <w:rFonts w:ascii="Georgia" w:hAnsi="Georgia" w:cs="Georgia"/>
          <w:sz w:val="14"/>
          <w:szCs w:val="14"/>
        </w:rPr>
        <w:t>FAAP</w:t>
      </w:r>
    </w:p>
    <w:p w:rsidR="002C5025" w:rsidRDefault="002C5025">
      <w:pPr>
        <w:pStyle w:val="BodyText"/>
        <w:kinsoku w:val="0"/>
        <w:overflowPunct w:val="0"/>
        <w:rPr>
          <w:rFonts w:ascii="Georgia" w:hAnsi="Georgia" w:cs="Georgia"/>
          <w:sz w:val="17"/>
          <w:szCs w:val="17"/>
        </w:rPr>
      </w:pPr>
    </w:p>
    <w:p w:rsidR="002C5025" w:rsidRDefault="002C5025">
      <w:pPr>
        <w:pStyle w:val="BodyText"/>
        <w:kinsoku w:val="0"/>
        <w:overflowPunct w:val="0"/>
        <w:ind w:left="120" w:right="900"/>
        <w:rPr>
          <w:rFonts w:ascii="Georgia" w:hAnsi="Georgia" w:cs="Georgia"/>
          <w:b/>
          <w:bCs/>
          <w:sz w:val="14"/>
          <w:szCs w:val="14"/>
        </w:rPr>
      </w:pPr>
      <w:r>
        <w:rPr>
          <w:rFonts w:ascii="Georgia" w:hAnsi="Georgia" w:cs="Georgia"/>
          <w:b/>
          <w:bCs/>
          <w:sz w:val="14"/>
          <w:szCs w:val="14"/>
        </w:rPr>
        <w:t>District 9</w:t>
      </w:r>
    </w:p>
    <w:p w:rsidR="002C5025" w:rsidRDefault="002C5025">
      <w:pPr>
        <w:pStyle w:val="BodyText"/>
        <w:kinsoku w:val="0"/>
        <w:overflowPunct w:val="0"/>
        <w:spacing w:before="13"/>
        <w:ind w:left="119" w:right="-5"/>
        <w:rPr>
          <w:rFonts w:ascii="Georgia" w:hAnsi="Georgia" w:cs="Georgia"/>
          <w:sz w:val="14"/>
          <w:szCs w:val="14"/>
        </w:rPr>
      </w:pPr>
      <w:r>
        <w:rPr>
          <w:rFonts w:ascii="Georgia" w:hAnsi="Georgia" w:cs="Georgia"/>
          <w:sz w:val="14"/>
          <w:szCs w:val="14"/>
        </w:rPr>
        <w:t xml:space="preserve">Walter </w:t>
      </w:r>
      <w:proofErr w:type="spellStart"/>
      <w:r>
        <w:rPr>
          <w:rFonts w:ascii="Georgia" w:hAnsi="Georgia" w:cs="Georgia"/>
          <w:sz w:val="14"/>
          <w:szCs w:val="14"/>
        </w:rPr>
        <w:t>Rok</w:t>
      </w:r>
      <w:proofErr w:type="spellEnd"/>
      <w:r>
        <w:rPr>
          <w:rFonts w:ascii="Georgia" w:hAnsi="Georgia" w:cs="Georgia"/>
          <w:sz w:val="14"/>
          <w:szCs w:val="14"/>
        </w:rPr>
        <w:t>, M.D., FAAP</w:t>
      </w:r>
    </w:p>
    <w:p w:rsidR="002C5025" w:rsidRDefault="002C5025">
      <w:pPr>
        <w:pStyle w:val="BodyText"/>
        <w:kinsoku w:val="0"/>
        <w:overflowPunct w:val="0"/>
        <w:rPr>
          <w:rFonts w:ascii="Georgia" w:hAnsi="Georgia" w:cs="Georgia"/>
          <w:sz w:val="24"/>
          <w:szCs w:val="24"/>
        </w:rPr>
      </w:pPr>
      <w:r>
        <w:rPr>
          <w:rFonts w:ascii="Times New Roman" w:hAnsi="Times New Roman" w:cs="Times New Roman"/>
          <w:sz w:val="24"/>
          <w:szCs w:val="24"/>
        </w:rPr>
        <w:br w:type="column"/>
      </w:r>
    </w:p>
    <w:p w:rsidR="002C5025" w:rsidRDefault="002C5025">
      <w:pPr>
        <w:pStyle w:val="BodyText"/>
        <w:kinsoku w:val="0"/>
        <w:overflowPunct w:val="0"/>
        <w:spacing w:before="6"/>
        <w:rPr>
          <w:rFonts w:ascii="Georgia" w:hAnsi="Georgia" w:cs="Georgia"/>
          <w:sz w:val="24"/>
          <w:szCs w:val="24"/>
        </w:rPr>
      </w:pPr>
    </w:p>
    <w:p w:rsidR="002C5025" w:rsidRDefault="002C5025">
      <w:pPr>
        <w:pStyle w:val="BodyText"/>
        <w:kinsoku w:val="0"/>
        <w:overflowPunct w:val="0"/>
        <w:ind w:left="119" w:right="4002"/>
        <w:rPr>
          <w:rFonts w:ascii="Times New Roman" w:hAnsi="Times New Roman" w:cs="Times New Roman"/>
          <w:sz w:val="24"/>
          <w:szCs w:val="24"/>
        </w:rPr>
      </w:pPr>
      <w:r>
        <w:rPr>
          <w:rFonts w:ascii="Times New Roman" w:hAnsi="Times New Roman" w:cs="Times New Roman"/>
          <w:sz w:val="24"/>
          <w:szCs w:val="24"/>
        </w:rPr>
        <w:t>Daniel Tsai</w:t>
      </w:r>
    </w:p>
    <w:p w:rsidR="002C5025" w:rsidRDefault="002C5025">
      <w:pPr>
        <w:pStyle w:val="BodyText"/>
        <w:kinsoku w:val="0"/>
        <w:overflowPunct w:val="0"/>
        <w:ind w:left="119" w:right="4002"/>
        <w:rPr>
          <w:rFonts w:ascii="Times New Roman" w:hAnsi="Times New Roman" w:cs="Times New Roman"/>
          <w:sz w:val="24"/>
          <w:szCs w:val="24"/>
        </w:rPr>
      </w:pPr>
      <w:r>
        <w:rPr>
          <w:rFonts w:ascii="Times New Roman" w:hAnsi="Times New Roman" w:cs="Times New Roman"/>
          <w:sz w:val="24"/>
          <w:szCs w:val="24"/>
        </w:rPr>
        <w:t>Assistant Secretary for MassHealth</w:t>
      </w:r>
    </w:p>
    <w:p w:rsidR="002C5025" w:rsidRDefault="002C5025">
      <w:pPr>
        <w:pStyle w:val="BodyText"/>
        <w:kinsoku w:val="0"/>
        <w:overflowPunct w:val="0"/>
        <w:ind w:left="119" w:right="4002"/>
        <w:rPr>
          <w:rFonts w:ascii="Times New Roman" w:hAnsi="Times New Roman" w:cs="Times New Roman"/>
          <w:sz w:val="24"/>
          <w:szCs w:val="24"/>
        </w:rPr>
      </w:pPr>
      <w:r>
        <w:rPr>
          <w:rFonts w:ascii="Times New Roman" w:hAnsi="Times New Roman" w:cs="Times New Roman"/>
          <w:sz w:val="24"/>
          <w:szCs w:val="24"/>
        </w:rPr>
        <w:t>Executive Office of Health and Human Services One Ashburton Place, 11th floor</w:t>
      </w:r>
    </w:p>
    <w:p w:rsidR="002C5025" w:rsidRDefault="002C5025">
      <w:pPr>
        <w:pStyle w:val="BodyText"/>
        <w:kinsoku w:val="0"/>
        <w:overflowPunct w:val="0"/>
        <w:ind w:left="119" w:right="4002"/>
        <w:rPr>
          <w:rFonts w:ascii="Times New Roman" w:hAnsi="Times New Roman" w:cs="Times New Roman"/>
          <w:sz w:val="24"/>
          <w:szCs w:val="24"/>
        </w:rPr>
      </w:pPr>
      <w:r>
        <w:rPr>
          <w:rFonts w:ascii="Times New Roman" w:hAnsi="Times New Roman" w:cs="Times New Roman"/>
          <w:sz w:val="24"/>
          <w:szCs w:val="24"/>
        </w:rPr>
        <w:t>Boston, MA 02108</w:t>
      </w:r>
    </w:p>
    <w:p w:rsidR="002C5025" w:rsidRDefault="002C5025">
      <w:pPr>
        <w:pStyle w:val="BodyText"/>
        <w:kinsoku w:val="0"/>
        <w:overflowPunct w:val="0"/>
        <w:spacing w:before="2"/>
        <w:rPr>
          <w:rFonts w:ascii="Times New Roman" w:hAnsi="Times New Roman" w:cs="Times New Roman"/>
          <w:sz w:val="24"/>
          <w:szCs w:val="24"/>
        </w:rPr>
      </w:pPr>
    </w:p>
    <w:p w:rsidR="002C5025" w:rsidRDefault="002C5025">
      <w:pPr>
        <w:pStyle w:val="BodyText"/>
        <w:kinsoku w:val="0"/>
        <w:overflowPunct w:val="0"/>
        <w:ind w:left="119" w:right="1227"/>
        <w:rPr>
          <w:rFonts w:ascii="Times New Roman" w:hAnsi="Times New Roman" w:cs="Times New Roman"/>
          <w:sz w:val="24"/>
          <w:szCs w:val="24"/>
        </w:rPr>
      </w:pPr>
      <w:r>
        <w:rPr>
          <w:rFonts w:ascii="Times New Roman" w:hAnsi="Times New Roman" w:cs="Times New Roman"/>
          <w:sz w:val="24"/>
          <w:szCs w:val="24"/>
        </w:rPr>
        <w:t>RE: Comments on MassHealth Section 1115 Demonstration Project Amendment and Extension Request</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19" w:right="4002"/>
        <w:rPr>
          <w:rFonts w:ascii="Times New Roman" w:hAnsi="Times New Roman" w:cs="Times New Roman"/>
          <w:sz w:val="24"/>
          <w:szCs w:val="24"/>
        </w:rPr>
      </w:pPr>
      <w:r>
        <w:rPr>
          <w:rFonts w:ascii="Times New Roman" w:hAnsi="Times New Roman" w:cs="Times New Roman"/>
          <w:sz w:val="24"/>
          <w:szCs w:val="24"/>
        </w:rPr>
        <w:t>Dear Assistant Secretary Tsai:</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19" w:right="755"/>
        <w:rPr>
          <w:rFonts w:ascii="Times New Roman" w:hAnsi="Times New Roman" w:cs="Times New Roman"/>
          <w:sz w:val="24"/>
          <w:szCs w:val="24"/>
        </w:rPr>
      </w:pPr>
      <w:r>
        <w:rPr>
          <w:rFonts w:ascii="Times New Roman" w:hAnsi="Times New Roman" w:cs="Times New Roman"/>
          <w:sz w:val="24"/>
          <w:szCs w:val="24"/>
        </w:rPr>
        <w:t>On behalf of the Massachusetts Chapter of the American Academy of Pediatrics, we very much applaud the efforts of the State to direct its Medicaid programs toward value incentives, behavioral health integration, inclusion of social determinants, and other work to reward providers’ efforts to achieve better health at reasonable cost for their patients and families.</w:t>
      </w:r>
    </w:p>
    <w:p w:rsidR="002C5025" w:rsidRDefault="002C5025">
      <w:pPr>
        <w:pStyle w:val="BodyText"/>
        <w:kinsoku w:val="0"/>
        <w:overflowPunct w:val="0"/>
        <w:spacing w:before="9"/>
        <w:rPr>
          <w:rFonts w:ascii="Times New Roman" w:hAnsi="Times New Roman" w:cs="Times New Roman"/>
          <w:sz w:val="23"/>
          <w:szCs w:val="23"/>
        </w:rPr>
      </w:pPr>
    </w:p>
    <w:p w:rsidR="002C5025" w:rsidRDefault="002C5025">
      <w:pPr>
        <w:pStyle w:val="BodyText"/>
        <w:kinsoku w:val="0"/>
        <w:overflowPunct w:val="0"/>
        <w:ind w:left="119" w:right="755"/>
        <w:rPr>
          <w:rFonts w:ascii="Times New Roman" w:hAnsi="Times New Roman" w:cs="Times New Roman"/>
          <w:sz w:val="24"/>
          <w:szCs w:val="24"/>
        </w:rPr>
      </w:pPr>
      <w:r>
        <w:rPr>
          <w:rFonts w:ascii="Times New Roman" w:hAnsi="Times New Roman" w:cs="Times New Roman"/>
          <w:sz w:val="24"/>
          <w:szCs w:val="24"/>
        </w:rPr>
        <w:t>Many of the key elements of the State’s waiver proposal address pediatric issues and offer real opportunities to address important items in care for children and youth. Yet, it is critical to recognize that children and youth – who comprise almost 40% of State Medicaid enrollees – have substantially different health care needs, life course health trajectories, and social determinants that affect their health and well-being. As one example, although the Primary Care Medical Home arose from early experimentation in pediatrics, the pediatric/family medical home does differ in critical ways from the adult medical home (</w:t>
      </w:r>
      <w:proofErr w:type="spellStart"/>
      <w:r>
        <w:rPr>
          <w:rFonts w:ascii="Times New Roman" w:hAnsi="Times New Roman" w:cs="Times New Roman"/>
          <w:sz w:val="24"/>
          <w:szCs w:val="24"/>
        </w:rPr>
        <w:t>Stille</w:t>
      </w:r>
      <w:proofErr w:type="spellEnd"/>
      <w:r>
        <w:rPr>
          <w:rFonts w:ascii="Times New Roman" w:hAnsi="Times New Roman" w:cs="Times New Roman"/>
          <w:sz w:val="24"/>
          <w:szCs w:val="24"/>
        </w:rPr>
        <w:t xml:space="preserve"> et al., Academic Pediatrics, 2010). Among the key</w:t>
      </w:r>
    </w:p>
    <w:p w:rsidR="002C5025" w:rsidRDefault="00B92FCC">
      <w:pPr>
        <w:pStyle w:val="BodyText"/>
        <w:kinsoku w:val="0"/>
        <w:overflowPunct w:val="0"/>
        <w:ind w:left="119" w:right="216"/>
        <w:rPr>
          <w:rFonts w:ascii="Times New Roman" w:hAnsi="Times New Roman" w:cs="Times New Roman"/>
          <w:sz w:val="24"/>
          <w:szCs w:val="24"/>
        </w:rPr>
      </w:pPr>
      <w:r>
        <w:rPr>
          <w:rFonts w:ascii="Times New Roman" w:hAnsi="Times New Roman" w:cs="Times New Roman"/>
          <w:sz w:val="24"/>
          <w:szCs w:val="24"/>
        </w:rPr>
        <w:t>D</w:t>
      </w:r>
      <w:r w:rsidR="002C5025">
        <w:rPr>
          <w:rFonts w:ascii="Times New Roman" w:hAnsi="Times New Roman" w:cs="Times New Roman"/>
          <w:sz w:val="24"/>
          <w:szCs w:val="24"/>
        </w:rPr>
        <w:t>ifferences</w:t>
      </w:r>
      <w:r>
        <w:rPr>
          <w:rFonts w:ascii="Times New Roman" w:hAnsi="Times New Roman" w:cs="Times New Roman"/>
          <w:sz w:val="24"/>
          <w:szCs w:val="24"/>
        </w:rPr>
        <w:t xml:space="preserve"> </w:t>
      </w:r>
      <w:r w:rsidR="002C5025">
        <w:rPr>
          <w:rFonts w:ascii="Times New Roman" w:hAnsi="Times New Roman" w:cs="Times New Roman"/>
          <w:sz w:val="24"/>
          <w:szCs w:val="24"/>
        </w:rPr>
        <w:t>are the 1) involvement of families in care of children, 2) emphasis on preventive services, and 3) different epidemiology of chronic health conditions among children</w:t>
      </w:r>
    </w:p>
    <w:p w:rsidR="002C5025" w:rsidRDefault="002C5025">
      <w:pPr>
        <w:pStyle w:val="BodyText"/>
        <w:kinsoku w:val="0"/>
        <w:overflowPunct w:val="0"/>
        <w:ind w:left="119" w:right="4002"/>
        <w:rPr>
          <w:rFonts w:ascii="Times New Roman" w:hAnsi="Times New Roman" w:cs="Times New Roman"/>
          <w:sz w:val="24"/>
          <w:szCs w:val="24"/>
        </w:rPr>
      </w:pPr>
      <w:r>
        <w:rPr>
          <w:rFonts w:ascii="Times New Roman" w:hAnsi="Times New Roman" w:cs="Times New Roman"/>
          <w:sz w:val="24"/>
          <w:szCs w:val="24"/>
        </w:rPr>
        <w:t>and youth.</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19" w:right="662"/>
        <w:rPr>
          <w:rFonts w:ascii="Times New Roman" w:hAnsi="Times New Roman" w:cs="Times New Roman"/>
          <w:sz w:val="24"/>
          <w:szCs w:val="24"/>
        </w:rPr>
      </w:pPr>
      <w:r>
        <w:rPr>
          <w:rFonts w:ascii="Times New Roman" w:hAnsi="Times New Roman" w:cs="Times New Roman"/>
          <w:sz w:val="24"/>
          <w:szCs w:val="24"/>
        </w:rPr>
        <w:t>Patients and families are integral partners to the health care team. Pediatric care emphasizes prevention, based in large part on the services codified in Bright Futures and included in the Affordable Care Act.  In addition to traditional pediatric issues such as screening and immunizations, prevention includes early attention to behavioral issues and to the social determinants that clearly affect a child’s growth, development, and wellbeing over time.</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19" w:right="662"/>
        <w:rPr>
          <w:rFonts w:ascii="Times New Roman" w:hAnsi="Times New Roman" w:cs="Times New Roman"/>
          <w:sz w:val="24"/>
          <w:szCs w:val="24"/>
        </w:rPr>
      </w:pPr>
      <w:r>
        <w:rPr>
          <w:rFonts w:ascii="Times New Roman" w:hAnsi="Times New Roman" w:cs="Times New Roman"/>
          <w:sz w:val="24"/>
          <w:szCs w:val="24"/>
        </w:rPr>
        <w:t>For chronic conditions, although the general public often views children as healthy unless they had major problems as newborns or if they have cancer, in reality, 10-20% of children have some chronic condition, and the rates of serious chronic conditions among children and youth have grown by 400% over the past half century.</w:t>
      </w:r>
    </w:p>
    <w:p w:rsidR="002C5025" w:rsidRDefault="002C5025">
      <w:pPr>
        <w:pStyle w:val="BodyText"/>
        <w:kinsoku w:val="0"/>
        <w:overflowPunct w:val="0"/>
        <w:ind w:left="119" w:right="662"/>
        <w:rPr>
          <w:rFonts w:ascii="Times New Roman" w:hAnsi="Times New Roman" w:cs="Times New Roman"/>
          <w:sz w:val="24"/>
          <w:szCs w:val="24"/>
        </w:rPr>
        <w:sectPr w:rsidR="002C5025">
          <w:type w:val="continuous"/>
          <w:pgSz w:w="12240" w:h="15840"/>
          <w:pgMar w:top="720" w:right="300" w:bottom="280" w:left="240" w:header="720" w:footer="720" w:gutter="0"/>
          <w:cols w:num="2" w:space="720" w:equalWidth="0">
            <w:col w:w="2401" w:space="160"/>
            <w:col w:w="9139"/>
          </w:cols>
          <w:noEndnote/>
        </w:sectPr>
      </w:pPr>
    </w:p>
    <w:p w:rsidR="002C5025" w:rsidRDefault="002C5025">
      <w:pPr>
        <w:pStyle w:val="BodyText"/>
        <w:kinsoku w:val="0"/>
        <w:overflowPunct w:val="0"/>
        <w:spacing w:before="58"/>
        <w:ind w:left="119" w:right="1403"/>
        <w:rPr>
          <w:rFonts w:ascii="Times New Roman" w:hAnsi="Times New Roman" w:cs="Times New Roman"/>
          <w:sz w:val="24"/>
          <w:szCs w:val="24"/>
        </w:rPr>
      </w:pPr>
      <w:r>
        <w:rPr>
          <w:rFonts w:ascii="Times New Roman" w:hAnsi="Times New Roman" w:cs="Times New Roman"/>
          <w:sz w:val="24"/>
          <w:szCs w:val="24"/>
        </w:rPr>
        <w:lastRenderedPageBreak/>
        <w:t>These chronic conditions include four common groups (asthma, obesity, mental health conditions, and neurodevelopmental conditions including autism) and a large number of rarer conditions (such as cystic fibrosis, leukemia, sickle cell disease, arthritis, and</w:t>
      </w:r>
    </w:p>
    <w:p w:rsidR="002C5025" w:rsidRDefault="002C5025">
      <w:pPr>
        <w:pStyle w:val="BodyText"/>
        <w:kinsoku w:val="0"/>
        <w:overflowPunct w:val="0"/>
        <w:ind w:left="119" w:right="896"/>
        <w:rPr>
          <w:rFonts w:ascii="Times New Roman" w:hAnsi="Times New Roman" w:cs="Times New Roman"/>
          <w:sz w:val="24"/>
          <w:szCs w:val="24"/>
        </w:rPr>
      </w:pPr>
      <w:r>
        <w:rPr>
          <w:rFonts w:ascii="Times New Roman" w:hAnsi="Times New Roman" w:cs="Times New Roman"/>
          <w:sz w:val="24"/>
          <w:szCs w:val="24"/>
        </w:rPr>
        <w:t>type 1 diabetes). Thus, large numbers of children and youth and their families need long term</w:t>
      </w:r>
      <w:r>
        <w:rPr>
          <w:rFonts w:ascii="Times New Roman" w:hAnsi="Times New Roman" w:cs="Times New Roman"/>
          <w:spacing w:val="-6"/>
          <w:sz w:val="24"/>
          <w:szCs w:val="24"/>
        </w:rPr>
        <w:t xml:space="preserve"> </w:t>
      </w:r>
      <w:r>
        <w:rPr>
          <w:rFonts w:ascii="Times New Roman" w:hAnsi="Times New Roman" w:cs="Times New Roman"/>
          <w:sz w:val="24"/>
          <w:szCs w:val="24"/>
        </w:rPr>
        <w:t>care</w:t>
      </w:r>
      <w:r>
        <w:rPr>
          <w:rFonts w:ascii="Times New Roman" w:hAnsi="Times New Roman" w:cs="Times New Roman"/>
          <w:spacing w:val="-5"/>
          <w:sz w:val="24"/>
          <w:szCs w:val="24"/>
        </w:rPr>
        <w:t xml:space="preserve"> </w:t>
      </w:r>
      <w:r>
        <w:rPr>
          <w:rFonts w:ascii="Times New Roman" w:hAnsi="Times New Roman" w:cs="Times New Roman"/>
          <w:sz w:val="24"/>
          <w:szCs w:val="24"/>
        </w:rPr>
        <w:t>services,</w:t>
      </w:r>
      <w:r>
        <w:rPr>
          <w:rFonts w:ascii="Times New Roman" w:hAnsi="Times New Roman" w:cs="Times New Roman"/>
          <w:spacing w:val="-4"/>
          <w:sz w:val="24"/>
          <w:szCs w:val="24"/>
        </w:rPr>
        <w:t xml:space="preserve"> </w:t>
      </w:r>
      <w:r>
        <w:rPr>
          <w:rFonts w:ascii="Times New Roman" w:hAnsi="Times New Roman" w:cs="Times New Roman"/>
          <w:sz w:val="24"/>
          <w:szCs w:val="24"/>
        </w:rPr>
        <w:t>as</w:t>
      </w:r>
      <w:r>
        <w:rPr>
          <w:rFonts w:ascii="Times New Roman" w:hAnsi="Times New Roman" w:cs="Times New Roman"/>
          <w:spacing w:val="-4"/>
          <w:sz w:val="24"/>
          <w:szCs w:val="24"/>
        </w:rPr>
        <w:t xml:space="preserve"> </w:t>
      </w:r>
      <w:r>
        <w:rPr>
          <w:rFonts w:ascii="Times New Roman" w:hAnsi="Times New Roman" w:cs="Times New Roman"/>
          <w:sz w:val="24"/>
          <w:szCs w:val="24"/>
        </w:rPr>
        <w:t>do</w:t>
      </w:r>
      <w:r>
        <w:rPr>
          <w:rFonts w:ascii="Times New Roman" w:hAnsi="Times New Roman" w:cs="Times New Roman"/>
          <w:spacing w:val="-7"/>
          <w:sz w:val="24"/>
          <w:szCs w:val="24"/>
        </w:rPr>
        <w:t xml:space="preserve"> </w:t>
      </w:r>
      <w:r>
        <w:rPr>
          <w:rFonts w:ascii="Times New Roman" w:hAnsi="Times New Roman" w:cs="Times New Roman"/>
          <w:sz w:val="24"/>
          <w:szCs w:val="24"/>
        </w:rPr>
        <w:t>adults</w:t>
      </w:r>
      <w:r>
        <w:rPr>
          <w:rFonts w:ascii="Times New Roman" w:hAnsi="Times New Roman" w:cs="Times New Roman"/>
          <w:spacing w:val="-4"/>
          <w:sz w:val="24"/>
          <w:szCs w:val="24"/>
        </w:rPr>
        <w:t xml:space="preserve"> </w:t>
      </w:r>
      <w:r>
        <w:rPr>
          <w:rFonts w:ascii="Times New Roman" w:hAnsi="Times New Roman" w:cs="Times New Roman"/>
          <w:sz w:val="24"/>
          <w:szCs w:val="24"/>
        </w:rPr>
        <w:t>and</w:t>
      </w:r>
      <w:r>
        <w:rPr>
          <w:rFonts w:ascii="Times New Roman" w:hAnsi="Times New Roman" w:cs="Times New Roman"/>
          <w:spacing w:val="-4"/>
          <w:sz w:val="24"/>
          <w:szCs w:val="24"/>
        </w:rPr>
        <w:t xml:space="preserve"> </w:t>
      </w:r>
      <w:r>
        <w:rPr>
          <w:rFonts w:ascii="Times New Roman" w:hAnsi="Times New Roman" w:cs="Times New Roman"/>
          <w:sz w:val="24"/>
          <w:szCs w:val="24"/>
        </w:rPr>
        <w:t>elderly</w:t>
      </w:r>
      <w:r>
        <w:rPr>
          <w:rFonts w:ascii="Times New Roman" w:hAnsi="Times New Roman" w:cs="Times New Roman"/>
          <w:spacing w:val="-14"/>
          <w:sz w:val="24"/>
          <w:szCs w:val="24"/>
        </w:rPr>
        <w:t xml:space="preserve"> </w:t>
      </w:r>
      <w:r>
        <w:rPr>
          <w:rFonts w:ascii="Times New Roman" w:hAnsi="Times New Roman" w:cs="Times New Roman"/>
          <w:sz w:val="24"/>
          <w:szCs w:val="24"/>
        </w:rPr>
        <w:t>populations.</w:t>
      </w:r>
      <w:r>
        <w:rPr>
          <w:rFonts w:ascii="Times New Roman" w:hAnsi="Times New Roman" w:cs="Times New Roman"/>
          <w:spacing w:val="-2"/>
          <w:sz w:val="24"/>
          <w:szCs w:val="24"/>
        </w:rPr>
        <w:t xml:space="preserve"> </w:t>
      </w:r>
      <w:r>
        <w:rPr>
          <w:rFonts w:ascii="Times New Roman" w:hAnsi="Times New Roman" w:cs="Times New Roman"/>
          <w:sz w:val="24"/>
          <w:szCs w:val="24"/>
        </w:rPr>
        <w:t>We</w:t>
      </w:r>
      <w:r>
        <w:rPr>
          <w:rFonts w:ascii="Times New Roman" w:hAnsi="Times New Roman" w:cs="Times New Roman"/>
          <w:spacing w:val="-8"/>
          <w:sz w:val="24"/>
          <w:szCs w:val="24"/>
        </w:rPr>
        <w:t xml:space="preserve"> </w:t>
      </w:r>
      <w:r>
        <w:rPr>
          <w:rFonts w:ascii="Times New Roman" w:hAnsi="Times New Roman" w:cs="Times New Roman"/>
          <w:sz w:val="24"/>
          <w:szCs w:val="24"/>
        </w:rPr>
        <w:t>strongly</w:t>
      </w:r>
      <w:r>
        <w:rPr>
          <w:rFonts w:ascii="Times New Roman" w:hAnsi="Times New Roman" w:cs="Times New Roman"/>
          <w:spacing w:val="-14"/>
          <w:sz w:val="24"/>
          <w:szCs w:val="24"/>
        </w:rPr>
        <w:t xml:space="preserve"> </w:t>
      </w:r>
      <w:r>
        <w:rPr>
          <w:rFonts w:ascii="Times New Roman" w:hAnsi="Times New Roman" w:cs="Times New Roman"/>
          <w:sz w:val="24"/>
          <w:szCs w:val="24"/>
        </w:rPr>
        <w:t>applaud</w:t>
      </w:r>
      <w:r>
        <w:rPr>
          <w:rFonts w:ascii="Times New Roman" w:hAnsi="Times New Roman" w:cs="Times New Roman"/>
          <w:spacing w:val="-4"/>
          <w:sz w:val="24"/>
          <w:szCs w:val="24"/>
        </w:rPr>
        <w:t xml:space="preserve"> </w:t>
      </w:r>
      <w:r>
        <w:rPr>
          <w:rFonts w:ascii="Times New Roman" w:hAnsi="Times New Roman" w:cs="Times New Roman"/>
          <w:sz w:val="24"/>
          <w:szCs w:val="24"/>
        </w:rPr>
        <w:t>several</w:t>
      </w:r>
      <w:r>
        <w:rPr>
          <w:rFonts w:ascii="Times New Roman" w:hAnsi="Times New Roman" w:cs="Times New Roman"/>
          <w:spacing w:val="-4"/>
          <w:sz w:val="24"/>
          <w:szCs w:val="24"/>
        </w:rPr>
        <w:t xml:space="preserve"> </w:t>
      </w:r>
      <w:r>
        <w:rPr>
          <w:rFonts w:ascii="Times New Roman" w:hAnsi="Times New Roman" w:cs="Times New Roman"/>
          <w:sz w:val="24"/>
          <w:szCs w:val="24"/>
        </w:rPr>
        <w:t>aspects of the waiver proposal,</w:t>
      </w:r>
      <w:r>
        <w:rPr>
          <w:rFonts w:ascii="Times New Roman" w:hAnsi="Times New Roman" w:cs="Times New Roman"/>
          <w:spacing w:val="-32"/>
          <w:sz w:val="24"/>
          <w:szCs w:val="24"/>
        </w:rPr>
        <w:t xml:space="preserve"> </w:t>
      </w:r>
      <w:r>
        <w:rPr>
          <w:rFonts w:ascii="Times New Roman" w:hAnsi="Times New Roman" w:cs="Times New Roman"/>
          <w:sz w:val="24"/>
          <w:szCs w:val="24"/>
        </w:rPr>
        <w:t>including:</w:t>
      </w:r>
    </w:p>
    <w:p w:rsidR="002C5025" w:rsidRDefault="002C5025">
      <w:pPr>
        <w:pStyle w:val="BodyText"/>
        <w:kinsoku w:val="0"/>
        <w:overflowPunct w:val="0"/>
        <w:spacing w:before="1"/>
        <w:rPr>
          <w:rFonts w:ascii="Times New Roman" w:hAnsi="Times New Roman" w:cs="Times New Roman"/>
          <w:sz w:val="26"/>
          <w:szCs w:val="26"/>
        </w:rPr>
      </w:pPr>
    </w:p>
    <w:p w:rsidR="002C5025" w:rsidRDefault="002C5025">
      <w:pPr>
        <w:pStyle w:val="ListParagraph"/>
        <w:numPr>
          <w:ilvl w:val="1"/>
          <w:numId w:val="38"/>
        </w:numPr>
        <w:tabs>
          <w:tab w:val="left" w:pos="1200"/>
        </w:tabs>
        <w:kinsoku w:val="0"/>
        <w:overflowPunct w:val="0"/>
        <w:spacing w:line="274" w:lineRule="exact"/>
        <w:ind w:right="353"/>
      </w:pPr>
      <w:r>
        <w:t>Expanded</w:t>
      </w:r>
      <w:r>
        <w:rPr>
          <w:spacing w:val="-8"/>
        </w:rPr>
        <w:t xml:space="preserve"> </w:t>
      </w:r>
      <w:r>
        <w:t>substance</w:t>
      </w:r>
      <w:r>
        <w:rPr>
          <w:spacing w:val="-6"/>
        </w:rPr>
        <w:t xml:space="preserve"> </w:t>
      </w:r>
      <w:r>
        <w:t>use</w:t>
      </w:r>
      <w:r>
        <w:rPr>
          <w:spacing w:val="-5"/>
        </w:rPr>
        <w:t xml:space="preserve"> </w:t>
      </w:r>
      <w:r>
        <w:t>disorder</w:t>
      </w:r>
      <w:r>
        <w:rPr>
          <w:spacing w:val="-6"/>
        </w:rPr>
        <w:t xml:space="preserve"> </w:t>
      </w:r>
      <w:r>
        <w:t>treatment,</w:t>
      </w:r>
      <w:r>
        <w:rPr>
          <w:spacing w:val="-6"/>
        </w:rPr>
        <w:t xml:space="preserve"> </w:t>
      </w:r>
      <w:r>
        <w:t>particularly</w:t>
      </w:r>
      <w:r>
        <w:rPr>
          <w:spacing w:val="-13"/>
        </w:rPr>
        <w:t xml:space="preserve"> </w:t>
      </w:r>
      <w:r>
        <w:t>the</w:t>
      </w:r>
      <w:r>
        <w:rPr>
          <w:spacing w:val="-5"/>
        </w:rPr>
        <w:t xml:space="preserve"> </w:t>
      </w:r>
      <w:r>
        <w:t>move</w:t>
      </w:r>
      <w:r>
        <w:rPr>
          <w:spacing w:val="-9"/>
        </w:rPr>
        <w:t xml:space="preserve"> </w:t>
      </w:r>
      <w:r>
        <w:t>to</w:t>
      </w:r>
      <w:r>
        <w:rPr>
          <w:spacing w:val="-6"/>
        </w:rPr>
        <w:t xml:space="preserve"> </w:t>
      </w:r>
      <w:r>
        <w:t>include</w:t>
      </w:r>
      <w:r>
        <w:rPr>
          <w:spacing w:val="-6"/>
        </w:rPr>
        <w:t xml:space="preserve"> </w:t>
      </w:r>
      <w:r>
        <w:t>residential 24 hour</w:t>
      </w:r>
      <w:r>
        <w:rPr>
          <w:spacing w:val="-7"/>
        </w:rPr>
        <w:t xml:space="preserve"> </w:t>
      </w:r>
      <w:r>
        <w:t>services</w:t>
      </w:r>
    </w:p>
    <w:p w:rsidR="002C5025" w:rsidRDefault="002C5025">
      <w:pPr>
        <w:pStyle w:val="ListParagraph"/>
        <w:numPr>
          <w:ilvl w:val="1"/>
          <w:numId w:val="38"/>
        </w:numPr>
        <w:tabs>
          <w:tab w:val="left" w:pos="1200"/>
        </w:tabs>
        <w:kinsoku w:val="0"/>
        <w:overflowPunct w:val="0"/>
        <w:spacing w:line="293" w:lineRule="exact"/>
      </w:pPr>
      <w:r>
        <w:t>Inclusion</w:t>
      </w:r>
      <w:r>
        <w:rPr>
          <w:spacing w:val="-6"/>
        </w:rPr>
        <w:t xml:space="preserve"> </w:t>
      </w:r>
      <w:r>
        <w:t>of</w:t>
      </w:r>
      <w:r>
        <w:rPr>
          <w:spacing w:val="-7"/>
        </w:rPr>
        <w:t xml:space="preserve"> </w:t>
      </w:r>
      <w:r>
        <w:t>social</w:t>
      </w:r>
      <w:r>
        <w:rPr>
          <w:spacing w:val="-8"/>
        </w:rPr>
        <w:t xml:space="preserve"> </w:t>
      </w:r>
      <w:r>
        <w:t>determinants</w:t>
      </w:r>
      <w:r>
        <w:rPr>
          <w:spacing w:val="-6"/>
        </w:rPr>
        <w:t xml:space="preserve"> </w:t>
      </w:r>
      <w:r>
        <w:t>of</w:t>
      </w:r>
      <w:r>
        <w:rPr>
          <w:spacing w:val="-7"/>
        </w:rPr>
        <w:t xml:space="preserve"> </w:t>
      </w:r>
      <w:r>
        <w:t>health</w:t>
      </w:r>
      <w:r>
        <w:rPr>
          <w:spacing w:val="-4"/>
        </w:rPr>
        <w:t xml:space="preserve"> </w:t>
      </w:r>
      <w:r>
        <w:t>and</w:t>
      </w:r>
      <w:r>
        <w:rPr>
          <w:spacing w:val="-4"/>
        </w:rPr>
        <w:t xml:space="preserve"> </w:t>
      </w:r>
      <w:r>
        <w:t>integration</w:t>
      </w:r>
      <w:r>
        <w:rPr>
          <w:spacing w:val="-6"/>
        </w:rPr>
        <w:t xml:space="preserve"> </w:t>
      </w:r>
      <w:r>
        <w:t>of</w:t>
      </w:r>
      <w:r>
        <w:rPr>
          <w:spacing w:val="-7"/>
        </w:rPr>
        <w:t xml:space="preserve"> </w:t>
      </w:r>
      <w:r>
        <w:t>community</w:t>
      </w:r>
      <w:r>
        <w:rPr>
          <w:spacing w:val="-15"/>
        </w:rPr>
        <w:t xml:space="preserve"> </w:t>
      </w:r>
      <w:r>
        <w:t>partners</w:t>
      </w:r>
    </w:p>
    <w:p w:rsidR="002C5025" w:rsidRDefault="002C5025">
      <w:pPr>
        <w:pStyle w:val="ListParagraph"/>
        <w:numPr>
          <w:ilvl w:val="1"/>
          <w:numId w:val="38"/>
        </w:numPr>
        <w:tabs>
          <w:tab w:val="left" w:pos="1200"/>
        </w:tabs>
        <w:kinsoku w:val="0"/>
        <w:overflowPunct w:val="0"/>
        <w:spacing w:before="1"/>
      </w:pPr>
      <w:r>
        <w:t>Better</w:t>
      </w:r>
      <w:r>
        <w:rPr>
          <w:spacing w:val="-13"/>
        </w:rPr>
        <w:t xml:space="preserve"> </w:t>
      </w:r>
      <w:r>
        <w:t>integration</w:t>
      </w:r>
      <w:r>
        <w:rPr>
          <w:spacing w:val="-12"/>
        </w:rPr>
        <w:t xml:space="preserve"> </w:t>
      </w:r>
      <w:r>
        <w:t>of</w:t>
      </w:r>
      <w:r>
        <w:rPr>
          <w:spacing w:val="-13"/>
        </w:rPr>
        <w:t xml:space="preserve"> </w:t>
      </w:r>
      <w:r>
        <w:t>behavioral/physical</w:t>
      </w:r>
      <w:r>
        <w:rPr>
          <w:spacing w:val="-14"/>
        </w:rPr>
        <w:t xml:space="preserve"> </w:t>
      </w:r>
      <w:r>
        <w:t>health</w:t>
      </w:r>
    </w:p>
    <w:p w:rsidR="002C5025" w:rsidRDefault="002C5025">
      <w:pPr>
        <w:pStyle w:val="BodyText"/>
        <w:kinsoku w:val="0"/>
        <w:overflowPunct w:val="0"/>
        <w:spacing w:before="5"/>
        <w:rPr>
          <w:rFonts w:ascii="Times New Roman" w:hAnsi="Times New Roman" w:cs="Times New Roman"/>
          <w:sz w:val="23"/>
          <w:szCs w:val="23"/>
        </w:rPr>
      </w:pPr>
    </w:p>
    <w:p w:rsidR="002C5025" w:rsidRDefault="002C5025">
      <w:pPr>
        <w:pStyle w:val="BodyText"/>
        <w:kinsoku w:val="0"/>
        <w:overflowPunct w:val="0"/>
        <w:spacing w:before="1"/>
        <w:ind w:left="119" w:right="377"/>
        <w:rPr>
          <w:rFonts w:ascii="Times New Roman" w:hAnsi="Times New Roman" w:cs="Times New Roman"/>
          <w:sz w:val="24"/>
          <w:szCs w:val="24"/>
        </w:rPr>
      </w:pPr>
      <w:r>
        <w:rPr>
          <w:rFonts w:ascii="Times New Roman" w:hAnsi="Times New Roman" w:cs="Times New Roman"/>
          <w:sz w:val="24"/>
          <w:szCs w:val="24"/>
        </w:rPr>
        <w:t>While these are laudable inclusions, there is a need for continuous pediatric provider involvement throughout every step of implementation including:</w:t>
      </w:r>
    </w:p>
    <w:p w:rsidR="002C5025" w:rsidRDefault="002C5025">
      <w:pPr>
        <w:pStyle w:val="BodyText"/>
        <w:kinsoku w:val="0"/>
        <w:overflowPunct w:val="0"/>
        <w:spacing w:before="4"/>
        <w:rPr>
          <w:rFonts w:ascii="Times New Roman" w:hAnsi="Times New Roman" w:cs="Times New Roman"/>
          <w:sz w:val="24"/>
          <w:szCs w:val="24"/>
        </w:rPr>
      </w:pPr>
    </w:p>
    <w:p w:rsidR="002C5025" w:rsidRDefault="002C5025">
      <w:pPr>
        <w:pStyle w:val="ListParagraph"/>
        <w:numPr>
          <w:ilvl w:val="1"/>
          <w:numId w:val="38"/>
        </w:numPr>
        <w:tabs>
          <w:tab w:val="left" w:pos="1200"/>
        </w:tabs>
        <w:kinsoku w:val="0"/>
        <w:overflowPunct w:val="0"/>
        <w:spacing w:line="293" w:lineRule="exact"/>
      </w:pPr>
      <w:r>
        <w:t>Specific</w:t>
      </w:r>
      <w:r>
        <w:rPr>
          <w:spacing w:val="-8"/>
        </w:rPr>
        <w:t xml:space="preserve"> </w:t>
      </w:r>
      <w:r>
        <w:t>milestones</w:t>
      </w:r>
      <w:r>
        <w:rPr>
          <w:spacing w:val="-7"/>
        </w:rPr>
        <w:t xml:space="preserve"> </w:t>
      </w:r>
      <w:r>
        <w:t>for</w:t>
      </w:r>
      <w:r>
        <w:rPr>
          <w:spacing w:val="-7"/>
        </w:rPr>
        <w:t xml:space="preserve"> </w:t>
      </w:r>
      <w:r>
        <w:t>care</w:t>
      </w:r>
      <w:r>
        <w:rPr>
          <w:spacing w:val="-8"/>
        </w:rPr>
        <w:t xml:space="preserve"> </w:t>
      </w:r>
      <w:r>
        <w:t>integration</w:t>
      </w:r>
      <w:r>
        <w:rPr>
          <w:spacing w:val="-6"/>
        </w:rPr>
        <w:t xml:space="preserve"> </w:t>
      </w:r>
      <w:r>
        <w:t>and</w:t>
      </w:r>
      <w:r>
        <w:rPr>
          <w:spacing w:val="-7"/>
        </w:rPr>
        <w:t xml:space="preserve"> </w:t>
      </w:r>
      <w:r>
        <w:t>DSRIP</w:t>
      </w:r>
      <w:r>
        <w:rPr>
          <w:spacing w:val="-7"/>
        </w:rPr>
        <w:t xml:space="preserve"> </w:t>
      </w:r>
      <w:r>
        <w:t>funding</w:t>
      </w:r>
    </w:p>
    <w:p w:rsidR="002C5025" w:rsidRDefault="002C5025">
      <w:pPr>
        <w:pStyle w:val="ListParagraph"/>
        <w:numPr>
          <w:ilvl w:val="1"/>
          <w:numId w:val="38"/>
        </w:numPr>
        <w:tabs>
          <w:tab w:val="left" w:pos="1200"/>
        </w:tabs>
        <w:kinsoku w:val="0"/>
        <w:overflowPunct w:val="0"/>
        <w:spacing w:line="293" w:lineRule="exact"/>
      </w:pPr>
      <w:r>
        <w:t xml:space="preserve">Performance </w:t>
      </w:r>
      <w:r>
        <w:rPr>
          <w:spacing w:val="-3"/>
        </w:rPr>
        <w:t xml:space="preserve">metrics </w:t>
      </w:r>
      <w:r>
        <w:t>for</w:t>
      </w:r>
      <w:r>
        <w:rPr>
          <w:spacing w:val="-14"/>
        </w:rPr>
        <w:t xml:space="preserve"> </w:t>
      </w:r>
      <w:r>
        <w:t>ACOs</w:t>
      </w:r>
    </w:p>
    <w:p w:rsidR="002C5025" w:rsidRDefault="002C5025">
      <w:pPr>
        <w:pStyle w:val="ListParagraph"/>
        <w:numPr>
          <w:ilvl w:val="1"/>
          <w:numId w:val="38"/>
        </w:numPr>
        <w:tabs>
          <w:tab w:val="left" w:pos="1200"/>
        </w:tabs>
        <w:kinsoku w:val="0"/>
        <w:overflowPunct w:val="0"/>
        <w:spacing w:line="293" w:lineRule="exact"/>
      </w:pPr>
      <w:r>
        <w:t>Outcome</w:t>
      </w:r>
      <w:r>
        <w:rPr>
          <w:spacing w:val="-7"/>
        </w:rPr>
        <w:t xml:space="preserve"> </w:t>
      </w:r>
      <w:r>
        <w:t>measures</w:t>
      </w:r>
      <w:r>
        <w:rPr>
          <w:spacing w:val="-6"/>
        </w:rPr>
        <w:t xml:space="preserve"> </w:t>
      </w:r>
      <w:r>
        <w:t>for</w:t>
      </w:r>
      <w:r>
        <w:rPr>
          <w:spacing w:val="-7"/>
        </w:rPr>
        <w:t xml:space="preserve"> </w:t>
      </w:r>
      <w:r>
        <w:t>Safety</w:t>
      </w:r>
      <w:r>
        <w:rPr>
          <w:spacing w:val="-17"/>
        </w:rPr>
        <w:t xml:space="preserve"> </w:t>
      </w:r>
      <w:r>
        <w:t>Net</w:t>
      </w:r>
      <w:r>
        <w:rPr>
          <w:spacing w:val="-8"/>
        </w:rPr>
        <w:t xml:space="preserve"> </w:t>
      </w:r>
      <w:r>
        <w:t>Provider</w:t>
      </w:r>
      <w:r>
        <w:rPr>
          <w:spacing w:val="-7"/>
        </w:rPr>
        <w:t xml:space="preserve"> </w:t>
      </w:r>
      <w:r>
        <w:t>payments</w:t>
      </w:r>
    </w:p>
    <w:p w:rsidR="002C5025" w:rsidRDefault="002C5025">
      <w:pPr>
        <w:pStyle w:val="ListParagraph"/>
        <w:numPr>
          <w:ilvl w:val="1"/>
          <w:numId w:val="38"/>
        </w:numPr>
        <w:tabs>
          <w:tab w:val="left" w:pos="1200"/>
        </w:tabs>
        <w:kinsoku w:val="0"/>
        <w:overflowPunct w:val="0"/>
        <w:spacing w:line="293" w:lineRule="exact"/>
      </w:pPr>
      <w:r>
        <w:t>Pediatric</w:t>
      </w:r>
      <w:r>
        <w:rPr>
          <w:spacing w:val="-11"/>
        </w:rPr>
        <w:t xml:space="preserve"> </w:t>
      </w:r>
      <w:r>
        <w:t>assessment</w:t>
      </w:r>
      <w:r>
        <w:rPr>
          <w:spacing w:val="-10"/>
        </w:rPr>
        <w:t xml:space="preserve"> </w:t>
      </w:r>
      <w:r>
        <w:t>instrument</w:t>
      </w:r>
      <w:r>
        <w:rPr>
          <w:spacing w:val="-12"/>
        </w:rPr>
        <w:t xml:space="preserve"> </w:t>
      </w:r>
      <w:r>
        <w:t>for</w:t>
      </w:r>
      <w:r>
        <w:rPr>
          <w:spacing w:val="-7"/>
        </w:rPr>
        <w:t xml:space="preserve"> </w:t>
      </w:r>
      <w:r>
        <w:t>SUD</w:t>
      </w:r>
      <w:r>
        <w:rPr>
          <w:spacing w:val="-13"/>
        </w:rPr>
        <w:t xml:space="preserve"> </w:t>
      </w:r>
      <w:r>
        <w:t>treatment</w:t>
      </w:r>
    </w:p>
    <w:p w:rsidR="002C5025" w:rsidRDefault="002C5025">
      <w:pPr>
        <w:pStyle w:val="ListParagraph"/>
        <w:numPr>
          <w:ilvl w:val="1"/>
          <w:numId w:val="38"/>
        </w:numPr>
        <w:tabs>
          <w:tab w:val="left" w:pos="1200"/>
        </w:tabs>
        <w:kinsoku w:val="0"/>
        <w:overflowPunct w:val="0"/>
        <w:spacing w:line="293" w:lineRule="exact"/>
      </w:pPr>
      <w:r>
        <w:t>Appropriateness</w:t>
      </w:r>
      <w:r>
        <w:rPr>
          <w:spacing w:val="-5"/>
        </w:rPr>
        <w:t xml:space="preserve"> </w:t>
      </w:r>
      <w:r>
        <w:t>of</w:t>
      </w:r>
      <w:r>
        <w:rPr>
          <w:spacing w:val="-1"/>
        </w:rPr>
        <w:t xml:space="preserve"> </w:t>
      </w:r>
      <w:r>
        <w:t>metrics</w:t>
      </w:r>
      <w:r>
        <w:rPr>
          <w:spacing w:val="-5"/>
        </w:rPr>
        <w:t xml:space="preserve"> </w:t>
      </w:r>
      <w:r>
        <w:t>used</w:t>
      </w:r>
      <w:r>
        <w:rPr>
          <w:spacing w:val="-5"/>
        </w:rPr>
        <w:t xml:space="preserve"> </w:t>
      </w:r>
      <w:r>
        <w:t>for</w:t>
      </w:r>
      <w:r>
        <w:rPr>
          <w:spacing w:val="-6"/>
        </w:rPr>
        <w:t xml:space="preserve"> </w:t>
      </w:r>
      <w:r>
        <w:t>risk</w:t>
      </w:r>
      <w:r>
        <w:rPr>
          <w:spacing w:val="-8"/>
        </w:rPr>
        <w:t xml:space="preserve"> </w:t>
      </w:r>
      <w:r>
        <w:t>shared</w:t>
      </w:r>
      <w:r>
        <w:rPr>
          <w:spacing w:val="-8"/>
        </w:rPr>
        <w:t xml:space="preserve"> </w:t>
      </w:r>
      <w:r>
        <w:t>in</w:t>
      </w:r>
      <w:r>
        <w:rPr>
          <w:spacing w:val="-5"/>
        </w:rPr>
        <w:t xml:space="preserve"> </w:t>
      </w:r>
      <w:r>
        <w:t>each</w:t>
      </w:r>
      <w:r>
        <w:rPr>
          <w:spacing w:val="-5"/>
        </w:rPr>
        <w:t xml:space="preserve"> </w:t>
      </w:r>
      <w:r>
        <w:t>of</w:t>
      </w:r>
      <w:r>
        <w:rPr>
          <w:spacing w:val="-6"/>
        </w:rPr>
        <w:t xml:space="preserve"> </w:t>
      </w:r>
      <w:r>
        <w:t>the</w:t>
      </w:r>
      <w:r>
        <w:rPr>
          <w:spacing w:val="-6"/>
        </w:rPr>
        <w:t xml:space="preserve"> </w:t>
      </w:r>
      <w:r>
        <w:t>3</w:t>
      </w:r>
      <w:r>
        <w:rPr>
          <w:spacing w:val="-5"/>
        </w:rPr>
        <w:t xml:space="preserve"> </w:t>
      </w:r>
      <w:r>
        <w:t>ACO</w:t>
      </w:r>
      <w:r>
        <w:rPr>
          <w:spacing w:val="-4"/>
        </w:rPr>
        <w:t xml:space="preserve"> </w:t>
      </w:r>
      <w:r>
        <w:t>models</w:t>
      </w:r>
    </w:p>
    <w:p w:rsidR="002C5025" w:rsidRDefault="002C5025">
      <w:pPr>
        <w:pStyle w:val="ListParagraph"/>
        <w:numPr>
          <w:ilvl w:val="1"/>
          <w:numId w:val="38"/>
        </w:numPr>
        <w:tabs>
          <w:tab w:val="left" w:pos="1200"/>
        </w:tabs>
        <w:kinsoku w:val="0"/>
        <w:overflowPunct w:val="0"/>
        <w:spacing w:line="293" w:lineRule="exact"/>
      </w:pPr>
      <w:r>
        <w:t>Quality</w:t>
      </w:r>
      <w:r>
        <w:rPr>
          <w:spacing w:val="-14"/>
        </w:rPr>
        <w:t xml:space="preserve"> </w:t>
      </w:r>
      <w:r>
        <w:t>measurement</w:t>
      </w:r>
      <w:r>
        <w:rPr>
          <w:spacing w:val="-9"/>
        </w:rPr>
        <w:t xml:space="preserve"> </w:t>
      </w:r>
      <w:r>
        <w:t>and</w:t>
      </w:r>
      <w:r>
        <w:rPr>
          <w:spacing w:val="-9"/>
        </w:rPr>
        <w:t xml:space="preserve"> </w:t>
      </w:r>
      <w:r>
        <w:t>consumer</w:t>
      </w:r>
      <w:r>
        <w:rPr>
          <w:spacing w:val="-10"/>
        </w:rPr>
        <w:t xml:space="preserve"> </w:t>
      </w:r>
      <w:r>
        <w:t>experience</w:t>
      </w:r>
      <w:r>
        <w:rPr>
          <w:spacing w:val="-10"/>
        </w:rPr>
        <w:t xml:space="preserve"> </w:t>
      </w:r>
      <w:r>
        <w:t>measurement</w:t>
      </w:r>
    </w:p>
    <w:p w:rsidR="002C5025" w:rsidRDefault="002C5025">
      <w:pPr>
        <w:pStyle w:val="BodyText"/>
        <w:kinsoku w:val="0"/>
        <w:overflowPunct w:val="0"/>
        <w:spacing w:before="5"/>
        <w:rPr>
          <w:rFonts w:ascii="Times New Roman" w:hAnsi="Times New Roman" w:cs="Times New Roman"/>
          <w:sz w:val="23"/>
          <w:szCs w:val="23"/>
        </w:rPr>
      </w:pPr>
    </w:p>
    <w:p w:rsidR="002C5025" w:rsidRDefault="002C5025">
      <w:pPr>
        <w:pStyle w:val="BodyText"/>
        <w:kinsoku w:val="0"/>
        <w:overflowPunct w:val="0"/>
        <w:spacing w:before="1"/>
        <w:ind w:left="120" w:right="276"/>
        <w:rPr>
          <w:rFonts w:ascii="Times New Roman" w:hAnsi="Times New Roman" w:cs="Times New Roman"/>
          <w:sz w:val="24"/>
          <w:szCs w:val="24"/>
        </w:rPr>
      </w:pPr>
      <w:r>
        <w:rPr>
          <w:rFonts w:ascii="Times New Roman" w:hAnsi="Times New Roman" w:cs="Times New Roman"/>
          <w:sz w:val="24"/>
          <w:szCs w:val="24"/>
        </w:rPr>
        <w:t>We ask that the State include pediatric provider involvement in these and other critical elements of the implementation of an approved waiver.</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20"/>
        <w:rPr>
          <w:rFonts w:ascii="Times New Roman" w:hAnsi="Times New Roman" w:cs="Times New Roman"/>
          <w:sz w:val="24"/>
          <w:szCs w:val="24"/>
        </w:rPr>
      </w:pPr>
      <w:r>
        <w:rPr>
          <w:rFonts w:ascii="Times New Roman" w:hAnsi="Times New Roman" w:cs="Times New Roman"/>
          <w:sz w:val="24"/>
          <w:szCs w:val="24"/>
        </w:rPr>
        <w:t>With this background, we make the following recommendations regarding the State waiver proposal:</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ListParagraph"/>
        <w:numPr>
          <w:ilvl w:val="0"/>
          <w:numId w:val="37"/>
        </w:numPr>
        <w:tabs>
          <w:tab w:val="left" w:pos="480"/>
        </w:tabs>
        <w:kinsoku w:val="0"/>
        <w:overflowPunct w:val="0"/>
        <w:ind w:right="146"/>
      </w:pPr>
      <w:r>
        <w:rPr>
          <w:u w:val="single" w:color="000000"/>
        </w:rPr>
        <w:t xml:space="preserve">Behavioral health integration </w:t>
      </w:r>
      <w:r>
        <w:t xml:space="preserve">- We very much appreciate the State’s commitment to behavioral health integration. </w:t>
      </w:r>
      <w:r>
        <w:rPr>
          <w:spacing w:val="-3"/>
        </w:rPr>
        <w:t xml:space="preserve">For </w:t>
      </w:r>
      <w:r>
        <w:t>children, with the real growth of mental health conditions in the pediatric population (esp., ADHD, depression, anxiety, and SUD), we must address the critical need for prevention through screening and early identification of children at risk. Massachusetts has a better</w:t>
      </w:r>
      <w:r>
        <w:rPr>
          <w:spacing w:val="-5"/>
        </w:rPr>
        <w:t xml:space="preserve"> </w:t>
      </w:r>
      <w:r>
        <w:t>track</w:t>
      </w:r>
      <w:r>
        <w:rPr>
          <w:spacing w:val="-7"/>
        </w:rPr>
        <w:t xml:space="preserve"> </w:t>
      </w:r>
      <w:r>
        <w:t>record</w:t>
      </w:r>
      <w:r>
        <w:rPr>
          <w:spacing w:val="-4"/>
        </w:rPr>
        <w:t xml:space="preserve"> </w:t>
      </w:r>
      <w:r>
        <w:t>than</w:t>
      </w:r>
      <w:r>
        <w:rPr>
          <w:spacing w:val="-4"/>
        </w:rPr>
        <w:t xml:space="preserve"> </w:t>
      </w:r>
      <w:r>
        <w:t>most</w:t>
      </w:r>
      <w:r>
        <w:rPr>
          <w:spacing w:val="-6"/>
        </w:rPr>
        <w:t xml:space="preserve"> </w:t>
      </w:r>
      <w:r>
        <w:t>other</w:t>
      </w:r>
      <w:r>
        <w:rPr>
          <w:spacing w:val="-5"/>
        </w:rPr>
        <w:t xml:space="preserve"> </w:t>
      </w:r>
      <w:r>
        <w:t>States</w:t>
      </w:r>
      <w:r>
        <w:rPr>
          <w:spacing w:val="-4"/>
        </w:rPr>
        <w:t xml:space="preserve"> </w:t>
      </w:r>
      <w:r>
        <w:t>in</w:t>
      </w:r>
      <w:r>
        <w:rPr>
          <w:spacing w:val="-7"/>
        </w:rPr>
        <w:t xml:space="preserve"> </w:t>
      </w:r>
      <w:r>
        <w:t>pediatric</w:t>
      </w:r>
      <w:r>
        <w:rPr>
          <w:spacing w:val="-8"/>
        </w:rPr>
        <w:t xml:space="preserve"> </w:t>
      </w:r>
      <w:r>
        <w:t>screening,</w:t>
      </w:r>
      <w:r>
        <w:rPr>
          <w:spacing w:val="-4"/>
        </w:rPr>
        <w:t xml:space="preserve"> </w:t>
      </w:r>
      <w:r>
        <w:t>although</w:t>
      </w:r>
      <w:r>
        <w:rPr>
          <w:spacing w:val="-4"/>
        </w:rPr>
        <w:t xml:space="preserve"> </w:t>
      </w:r>
      <w:r>
        <w:t>the</w:t>
      </w:r>
      <w:r>
        <w:rPr>
          <w:spacing w:val="-8"/>
        </w:rPr>
        <w:t xml:space="preserve"> </w:t>
      </w:r>
      <w:r>
        <w:t>support</w:t>
      </w:r>
      <w:r>
        <w:rPr>
          <w:spacing w:val="-6"/>
        </w:rPr>
        <w:t xml:space="preserve"> </w:t>
      </w:r>
      <w:r>
        <w:t>for</w:t>
      </w:r>
      <w:r>
        <w:rPr>
          <w:spacing w:val="-5"/>
        </w:rPr>
        <w:t xml:space="preserve"> </w:t>
      </w:r>
      <w:r>
        <w:t>primary care and other interventions after children screen positive has been quite limited. Massachusetts has also innovated in the development of the Massachusetts Child Psychiatry Access Program (MCPAP), an important resource for primary care providers. Effective behavioral health integration will require a) support for primary care providers to carry out early identification, referral,</w:t>
      </w:r>
      <w:r>
        <w:rPr>
          <w:spacing w:val="-7"/>
        </w:rPr>
        <w:t xml:space="preserve"> </w:t>
      </w:r>
      <w:r>
        <w:t>and</w:t>
      </w:r>
      <w:r>
        <w:rPr>
          <w:spacing w:val="-9"/>
        </w:rPr>
        <w:t xml:space="preserve"> </w:t>
      </w:r>
      <w:r>
        <w:t>initiation</w:t>
      </w:r>
      <w:r>
        <w:rPr>
          <w:spacing w:val="-7"/>
        </w:rPr>
        <w:t xml:space="preserve"> </w:t>
      </w:r>
      <w:r>
        <w:t>of</w:t>
      </w:r>
      <w:r>
        <w:rPr>
          <w:spacing w:val="-10"/>
        </w:rPr>
        <w:t xml:space="preserve"> </w:t>
      </w:r>
      <w:r>
        <w:t>treatment</w:t>
      </w:r>
      <w:r>
        <w:rPr>
          <w:spacing w:val="-8"/>
        </w:rPr>
        <w:t xml:space="preserve"> </w:t>
      </w:r>
      <w:r>
        <w:t>(in</w:t>
      </w:r>
      <w:r>
        <w:rPr>
          <w:spacing w:val="-9"/>
        </w:rPr>
        <w:t xml:space="preserve"> </w:t>
      </w:r>
      <w:r>
        <w:t>some</w:t>
      </w:r>
      <w:r>
        <w:rPr>
          <w:spacing w:val="-7"/>
        </w:rPr>
        <w:t xml:space="preserve"> </w:t>
      </w:r>
      <w:r>
        <w:t>cases),</w:t>
      </w:r>
      <w:r>
        <w:rPr>
          <w:spacing w:val="-3"/>
        </w:rPr>
        <w:t xml:space="preserve"> </w:t>
      </w:r>
      <w:r>
        <w:t>and</w:t>
      </w:r>
      <w:r>
        <w:rPr>
          <w:spacing w:val="-7"/>
        </w:rPr>
        <w:t xml:space="preserve"> </w:t>
      </w:r>
      <w:r>
        <w:t>b)</w:t>
      </w:r>
      <w:r>
        <w:rPr>
          <w:spacing w:val="-7"/>
        </w:rPr>
        <w:t xml:space="preserve"> </w:t>
      </w:r>
      <w:r>
        <w:t>co-located</w:t>
      </w:r>
      <w:r>
        <w:rPr>
          <w:spacing w:val="-5"/>
        </w:rPr>
        <w:t xml:space="preserve"> </w:t>
      </w:r>
      <w:r>
        <w:t>mental</w:t>
      </w:r>
      <w:r>
        <w:rPr>
          <w:spacing w:val="-8"/>
        </w:rPr>
        <w:t xml:space="preserve"> </w:t>
      </w:r>
      <w:r>
        <w:t>health</w:t>
      </w:r>
      <w:r>
        <w:rPr>
          <w:spacing w:val="-7"/>
        </w:rPr>
        <w:t xml:space="preserve"> </w:t>
      </w:r>
      <w:r>
        <w:t>professionals to</w:t>
      </w:r>
      <w:r>
        <w:rPr>
          <w:spacing w:val="-4"/>
        </w:rPr>
        <w:t xml:space="preserve"> </w:t>
      </w:r>
      <w:r>
        <w:t>provide</w:t>
      </w:r>
      <w:r>
        <w:rPr>
          <w:spacing w:val="-5"/>
        </w:rPr>
        <w:t xml:space="preserve"> </w:t>
      </w:r>
      <w:r>
        <w:t>care</w:t>
      </w:r>
      <w:r>
        <w:rPr>
          <w:spacing w:val="-5"/>
        </w:rPr>
        <w:t xml:space="preserve"> </w:t>
      </w:r>
      <w:r>
        <w:t>in</w:t>
      </w:r>
      <w:r>
        <w:rPr>
          <w:spacing w:val="-4"/>
        </w:rPr>
        <w:t xml:space="preserve"> </w:t>
      </w:r>
      <w:r>
        <w:t>practices</w:t>
      </w:r>
      <w:r>
        <w:rPr>
          <w:spacing w:val="-4"/>
        </w:rPr>
        <w:t xml:space="preserve"> </w:t>
      </w:r>
      <w:r>
        <w:t>and</w:t>
      </w:r>
      <w:r>
        <w:rPr>
          <w:spacing w:val="-4"/>
        </w:rPr>
        <w:t xml:space="preserve"> </w:t>
      </w:r>
      <w:r>
        <w:t>help</w:t>
      </w:r>
      <w:r>
        <w:rPr>
          <w:spacing w:val="-3"/>
        </w:rPr>
        <w:t xml:space="preserve"> </w:t>
      </w:r>
      <w:r>
        <w:t>to</w:t>
      </w:r>
      <w:r>
        <w:rPr>
          <w:spacing w:val="-4"/>
        </w:rPr>
        <w:t xml:space="preserve"> </w:t>
      </w:r>
      <w:r>
        <w:t>train</w:t>
      </w:r>
      <w:r>
        <w:rPr>
          <w:spacing w:val="-4"/>
        </w:rPr>
        <w:t xml:space="preserve"> </w:t>
      </w:r>
      <w:r>
        <w:t>primary</w:t>
      </w:r>
      <w:r>
        <w:rPr>
          <w:spacing w:val="-14"/>
        </w:rPr>
        <w:t xml:space="preserve"> </w:t>
      </w:r>
      <w:r>
        <w:t>care</w:t>
      </w:r>
      <w:r>
        <w:rPr>
          <w:spacing w:val="-5"/>
        </w:rPr>
        <w:t xml:space="preserve"> </w:t>
      </w:r>
      <w:r>
        <w:t>practitioners</w:t>
      </w:r>
      <w:r>
        <w:rPr>
          <w:spacing w:val="-7"/>
        </w:rPr>
        <w:t xml:space="preserve"> </w:t>
      </w:r>
      <w:r>
        <w:t>to</w:t>
      </w:r>
      <w:r>
        <w:rPr>
          <w:spacing w:val="-4"/>
        </w:rPr>
        <w:t xml:space="preserve"> </w:t>
      </w:r>
      <w:r>
        <w:t>expand</w:t>
      </w:r>
      <w:r>
        <w:rPr>
          <w:spacing w:val="-4"/>
        </w:rPr>
        <w:t xml:space="preserve"> </w:t>
      </w:r>
      <w:r>
        <w:t>their</w:t>
      </w:r>
      <w:r>
        <w:rPr>
          <w:spacing w:val="-5"/>
        </w:rPr>
        <w:t xml:space="preserve"> </w:t>
      </w:r>
      <w:r>
        <w:t>own</w:t>
      </w:r>
      <w:r>
        <w:rPr>
          <w:spacing w:val="-7"/>
        </w:rPr>
        <w:t xml:space="preserve"> </w:t>
      </w:r>
      <w:r>
        <w:t>skills in behavioral health. North Carolina, among other states, pioneered the provision of Medicaid payment for several initial visits, even without a specific mental health diagnosis, to aid in early assessment and</w:t>
      </w:r>
      <w:r>
        <w:rPr>
          <w:spacing w:val="-30"/>
        </w:rPr>
        <w:t xml:space="preserve"> </w:t>
      </w:r>
      <w:r>
        <w:t>treatment.</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479" w:right="330"/>
        <w:rPr>
          <w:rFonts w:ascii="Times New Roman" w:hAnsi="Times New Roman" w:cs="Times New Roman"/>
          <w:sz w:val="24"/>
          <w:szCs w:val="24"/>
        </w:rPr>
      </w:pPr>
      <w:r>
        <w:rPr>
          <w:rFonts w:ascii="Times New Roman" w:hAnsi="Times New Roman" w:cs="Times New Roman"/>
          <w:sz w:val="24"/>
          <w:szCs w:val="24"/>
        </w:rPr>
        <w:t>Behavioral health conditions in children are associated also with social determinants of health. Households living in poverty experience higher rates of mental health conditions; children exposed to toxic stress have much higher rates of mental health conditions.</w:t>
      </w:r>
    </w:p>
    <w:p w:rsidR="002C5025" w:rsidRDefault="002C5025">
      <w:pPr>
        <w:pStyle w:val="BodyText"/>
        <w:kinsoku w:val="0"/>
        <w:overflowPunct w:val="0"/>
        <w:ind w:left="479" w:right="330"/>
        <w:rPr>
          <w:rFonts w:ascii="Times New Roman" w:hAnsi="Times New Roman" w:cs="Times New Roman"/>
          <w:sz w:val="24"/>
          <w:szCs w:val="24"/>
        </w:rPr>
        <w:sectPr w:rsidR="002C5025">
          <w:pgSz w:w="12240" w:h="15840"/>
          <w:pgMar w:top="1340" w:right="1380" w:bottom="280" w:left="960" w:header="720" w:footer="720" w:gutter="0"/>
          <w:cols w:space="720" w:equalWidth="0">
            <w:col w:w="9900"/>
          </w:cols>
          <w:noEndnote/>
        </w:sectPr>
      </w:pPr>
    </w:p>
    <w:p w:rsidR="002C5025" w:rsidRDefault="002C5025">
      <w:pPr>
        <w:pStyle w:val="BodyText"/>
        <w:kinsoku w:val="0"/>
        <w:overflowPunct w:val="0"/>
        <w:spacing w:before="49"/>
        <w:ind w:left="459" w:right="377"/>
        <w:rPr>
          <w:rFonts w:ascii="Times New Roman" w:hAnsi="Times New Roman" w:cs="Times New Roman"/>
          <w:sz w:val="24"/>
          <w:szCs w:val="24"/>
        </w:rPr>
      </w:pPr>
      <w:r>
        <w:rPr>
          <w:rFonts w:ascii="Times New Roman" w:hAnsi="Times New Roman" w:cs="Times New Roman"/>
          <w:sz w:val="24"/>
          <w:szCs w:val="24"/>
        </w:rPr>
        <w:lastRenderedPageBreak/>
        <w:t>As the State certifies behavioral health providers, it is essential that such providers document competence in addressing behavioral health needs among children and adolescents and assure access to those services in agreements with ACOs. Community partners will be required to provide six of the Home Health services as enumerated in the ACA (care management, care coordination, health promotion, transitional care, patient and family support, and referral to community and social supports).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459" w:right="224"/>
        <w:rPr>
          <w:rFonts w:ascii="Times New Roman" w:hAnsi="Times New Roman" w:cs="Times New Roman"/>
          <w:sz w:val="24"/>
          <w:szCs w:val="24"/>
        </w:rPr>
      </w:pPr>
      <w:r>
        <w:rPr>
          <w:rFonts w:ascii="Times New Roman" w:hAnsi="Times New Roman" w:cs="Times New Roman"/>
          <w:sz w:val="24"/>
          <w:szCs w:val="24"/>
        </w:rPr>
        <w:t>If a Community Partner is not yet able to do so, will there be sufficient funding to ensure the partner will ultimately be able to perform all 6 activities? Similarly there will be a Community Partner certification process – will the state appropriately help certify agencies that do not meet the standards at the start of the program, and what will that look like? The accreditation or certification process should address the ability of the Community Partner to meet the needs of children and young families.</w:t>
      </w:r>
    </w:p>
    <w:p w:rsidR="002C5025" w:rsidRDefault="002C5025">
      <w:pPr>
        <w:pStyle w:val="BodyText"/>
        <w:kinsoku w:val="0"/>
        <w:overflowPunct w:val="0"/>
        <w:spacing w:before="2"/>
        <w:rPr>
          <w:rFonts w:ascii="Times New Roman" w:hAnsi="Times New Roman" w:cs="Times New Roman"/>
          <w:sz w:val="24"/>
          <w:szCs w:val="24"/>
        </w:rPr>
      </w:pPr>
    </w:p>
    <w:p w:rsidR="002C5025" w:rsidRDefault="002C5025">
      <w:pPr>
        <w:pStyle w:val="ListParagraph"/>
        <w:numPr>
          <w:ilvl w:val="0"/>
          <w:numId w:val="37"/>
        </w:numPr>
        <w:tabs>
          <w:tab w:val="left" w:pos="460"/>
        </w:tabs>
        <w:kinsoku w:val="0"/>
        <w:overflowPunct w:val="0"/>
        <w:ind w:left="460" w:right="272"/>
      </w:pPr>
      <w:r>
        <w:rPr>
          <w:u w:val="single" w:color="000000"/>
        </w:rPr>
        <w:t xml:space="preserve">Childhood chronic conditions </w:t>
      </w:r>
      <w:r>
        <w:t>- As noted above, the child Medicaid/CHIP population includes large</w:t>
      </w:r>
      <w:r>
        <w:rPr>
          <w:spacing w:val="-6"/>
        </w:rPr>
        <w:t xml:space="preserve"> </w:t>
      </w:r>
      <w:r>
        <w:t>numbers</w:t>
      </w:r>
      <w:r>
        <w:rPr>
          <w:spacing w:val="-4"/>
        </w:rPr>
        <w:t xml:space="preserve"> </w:t>
      </w:r>
      <w:r>
        <w:t>with</w:t>
      </w:r>
      <w:r>
        <w:rPr>
          <w:spacing w:val="-8"/>
        </w:rPr>
        <w:t xml:space="preserve"> </w:t>
      </w:r>
      <w:r>
        <w:t>chronic</w:t>
      </w:r>
      <w:r>
        <w:rPr>
          <w:spacing w:val="-6"/>
        </w:rPr>
        <w:t xml:space="preserve"> </w:t>
      </w:r>
      <w:r>
        <w:t>conditions,</w:t>
      </w:r>
      <w:r>
        <w:rPr>
          <w:spacing w:val="-6"/>
        </w:rPr>
        <w:t xml:space="preserve"> </w:t>
      </w:r>
      <w:r>
        <w:t>including</w:t>
      </w:r>
      <w:r>
        <w:rPr>
          <w:spacing w:val="-8"/>
        </w:rPr>
        <w:t xml:space="preserve"> </w:t>
      </w:r>
      <w:r>
        <w:t>a</w:t>
      </w:r>
      <w:r>
        <w:rPr>
          <w:spacing w:val="-6"/>
        </w:rPr>
        <w:t xml:space="preserve"> </w:t>
      </w:r>
      <w:r>
        <w:t>smaller</w:t>
      </w:r>
      <w:r>
        <w:rPr>
          <w:spacing w:val="-5"/>
        </w:rPr>
        <w:t xml:space="preserve"> </w:t>
      </w:r>
      <w:r>
        <w:t>group</w:t>
      </w:r>
      <w:r>
        <w:rPr>
          <w:spacing w:val="-8"/>
        </w:rPr>
        <w:t xml:space="preserve"> </w:t>
      </w:r>
      <w:r>
        <w:t>with</w:t>
      </w:r>
      <w:r>
        <w:rPr>
          <w:spacing w:val="-6"/>
        </w:rPr>
        <w:t xml:space="preserve"> </w:t>
      </w:r>
      <w:r>
        <w:t>complex,</w:t>
      </w:r>
      <w:r>
        <w:rPr>
          <w:spacing w:val="1"/>
        </w:rPr>
        <w:t xml:space="preserve"> </w:t>
      </w:r>
      <w:r>
        <w:rPr>
          <w:spacing w:val="-4"/>
        </w:rPr>
        <w:t>LT</w:t>
      </w:r>
      <w:r>
        <w:rPr>
          <w:spacing w:val="-6"/>
        </w:rPr>
        <w:t xml:space="preserve"> </w:t>
      </w:r>
      <w:r>
        <w:t>care</w:t>
      </w:r>
      <w:r>
        <w:rPr>
          <w:spacing w:val="-6"/>
        </w:rPr>
        <w:t xml:space="preserve"> </w:t>
      </w:r>
      <w:r>
        <w:t>needs, often with multiple body systems involved. Many of these children also have behavioral health needs.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460" w:right="28"/>
        <w:rPr>
          <w:rFonts w:ascii="Times New Roman" w:hAnsi="Times New Roman" w:cs="Times New Roman"/>
          <w:sz w:val="24"/>
          <w:szCs w:val="24"/>
        </w:rPr>
      </w:pPr>
      <w:r>
        <w:rPr>
          <w:rFonts w:ascii="Times New Roman" w:hAnsi="Times New Roman" w:cs="Times New Roman"/>
          <w:sz w:val="24"/>
          <w:szCs w:val="24"/>
        </w:rPr>
        <w:t>For the larger number of children with less complex chronic conditions, there is a need for active care coordination, either within practices or in the community. It will be critical to recognize and identify the specific pediatric chronic care populations, develop methods for monitoring and coordinating their care, and assess quality using specific pediatric metrics.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459" w:right="96"/>
        <w:rPr>
          <w:rFonts w:ascii="Times New Roman" w:hAnsi="Times New Roman" w:cs="Times New Roman"/>
          <w:sz w:val="24"/>
          <w:szCs w:val="24"/>
        </w:rPr>
      </w:pPr>
      <w:r>
        <w:rPr>
          <w:rFonts w:ascii="Times New Roman" w:hAnsi="Times New Roman" w:cs="Times New Roman"/>
          <w:sz w:val="24"/>
          <w:szCs w:val="24"/>
        </w:rPr>
        <w:t>We applaud the State’s attention to the One Care model (person-centered, focus on independent living in community settings, culturally competent). This model is also relevant for households raising children with complex chronic conditions, and we ask that the specifications for the State program here address directly the special needs of children and youth with complex chronic conditions. Similarly, as the State certifies LTSS providers, we ask that they document their ability to provide services to children and youth with LTSS needs and assure access.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ListParagraph"/>
        <w:numPr>
          <w:ilvl w:val="0"/>
          <w:numId w:val="37"/>
        </w:numPr>
        <w:tabs>
          <w:tab w:val="left" w:pos="460"/>
        </w:tabs>
        <w:kinsoku w:val="0"/>
        <w:overflowPunct w:val="0"/>
        <w:ind w:left="460" w:right="155"/>
      </w:pPr>
      <w:r>
        <w:rPr>
          <w:u w:val="single" w:color="000000"/>
        </w:rPr>
        <w:t xml:space="preserve">Network adequacy </w:t>
      </w:r>
      <w:r>
        <w:t>- Especially for the rarer pediatric chronic conditions, children need highly specialized care from pediatric centers of excellence, well-equipped with specialists in pediatric medicine and surgery, knowledgeable about and experienced with these relatively rare conditions. Many communities lack such specialized services. For network adequacy, pediatric needs</w:t>
      </w:r>
      <w:r>
        <w:rPr>
          <w:spacing w:val="-6"/>
        </w:rPr>
        <w:t xml:space="preserve"> </w:t>
      </w:r>
      <w:r>
        <w:t>differ</w:t>
      </w:r>
      <w:r>
        <w:rPr>
          <w:spacing w:val="-5"/>
        </w:rPr>
        <w:t xml:space="preserve"> </w:t>
      </w:r>
      <w:r>
        <w:t>in</w:t>
      </w:r>
      <w:r>
        <w:rPr>
          <w:spacing w:val="-6"/>
        </w:rPr>
        <w:t xml:space="preserve"> </w:t>
      </w:r>
      <w:r>
        <w:t>substantial</w:t>
      </w:r>
      <w:r>
        <w:rPr>
          <w:spacing w:val="-4"/>
        </w:rPr>
        <w:t xml:space="preserve"> </w:t>
      </w:r>
      <w:r>
        <w:rPr>
          <w:spacing w:val="-3"/>
        </w:rPr>
        <w:t>ways</w:t>
      </w:r>
      <w:r>
        <w:rPr>
          <w:spacing w:val="-4"/>
        </w:rPr>
        <w:t xml:space="preserve"> </w:t>
      </w:r>
      <w:r>
        <w:t>from</w:t>
      </w:r>
      <w:r>
        <w:rPr>
          <w:spacing w:val="-8"/>
        </w:rPr>
        <w:t xml:space="preserve"> </w:t>
      </w:r>
      <w:r>
        <w:t>adult-oriented</w:t>
      </w:r>
      <w:r>
        <w:rPr>
          <w:spacing w:val="-4"/>
        </w:rPr>
        <w:t xml:space="preserve"> </w:t>
      </w:r>
      <w:r>
        <w:t>networks,</w:t>
      </w:r>
      <w:r>
        <w:rPr>
          <w:spacing w:val="-2"/>
        </w:rPr>
        <w:t xml:space="preserve"> </w:t>
      </w:r>
      <w:r>
        <w:t>where</w:t>
      </w:r>
      <w:r>
        <w:rPr>
          <w:spacing w:val="-7"/>
        </w:rPr>
        <w:t xml:space="preserve"> </w:t>
      </w:r>
      <w:r>
        <w:t>specialists</w:t>
      </w:r>
      <w:r>
        <w:rPr>
          <w:spacing w:val="-2"/>
        </w:rPr>
        <w:t xml:space="preserve"> </w:t>
      </w:r>
      <w:r>
        <w:t>are</w:t>
      </w:r>
      <w:r>
        <w:rPr>
          <w:spacing w:val="-5"/>
        </w:rPr>
        <w:t xml:space="preserve"> </w:t>
      </w:r>
      <w:r>
        <w:t>more</w:t>
      </w:r>
      <w:r>
        <w:rPr>
          <w:spacing w:val="-5"/>
        </w:rPr>
        <w:t xml:space="preserve"> </w:t>
      </w:r>
      <w:r>
        <w:t xml:space="preserve">readily available in community settings. </w:t>
      </w:r>
      <w:r>
        <w:rPr>
          <w:spacing w:val="-3"/>
        </w:rPr>
        <w:t xml:space="preserve">It </w:t>
      </w:r>
      <w:r>
        <w:t>is critical that the network adequacy specifications for ACOs clarify services needed by children with rare conditions and assure their inclusion in the ACO. Relying on an exceptions policy for out-of-network care does not adequately address the needs of</w:t>
      </w:r>
      <w:r>
        <w:rPr>
          <w:spacing w:val="-6"/>
        </w:rPr>
        <w:t xml:space="preserve"> </w:t>
      </w:r>
      <w:r>
        <w:t>these</w:t>
      </w:r>
      <w:r>
        <w:rPr>
          <w:spacing w:val="-6"/>
        </w:rPr>
        <w:t xml:space="preserve"> </w:t>
      </w:r>
      <w:r>
        <w:t>children</w:t>
      </w:r>
      <w:r>
        <w:rPr>
          <w:spacing w:val="-5"/>
        </w:rPr>
        <w:t xml:space="preserve"> </w:t>
      </w:r>
      <w:r>
        <w:t>and</w:t>
      </w:r>
      <w:r>
        <w:rPr>
          <w:spacing w:val="-5"/>
        </w:rPr>
        <w:t xml:space="preserve"> </w:t>
      </w:r>
      <w:r>
        <w:t>families.</w:t>
      </w:r>
      <w:r>
        <w:rPr>
          <w:spacing w:val="-5"/>
        </w:rPr>
        <w:t xml:space="preserve"> </w:t>
      </w:r>
      <w:r>
        <w:t>This</w:t>
      </w:r>
      <w:r>
        <w:rPr>
          <w:spacing w:val="-5"/>
        </w:rPr>
        <w:t xml:space="preserve"> </w:t>
      </w:r>
      <w:r>
        <w:t>is</w:t>
      </w:r>
      <w:r>
        <w:rPr>
          <w:spacing w:val="-5"/>
        </w:rPr>
        <w:t xml:space="preserve"> </w:t>
      </w:r>
      <w:r>
        <w:t>particularly</w:t>
      </w:r>
      <w:r>
        <w:rPr>
          <w:spacing w:val="-12"/>
        </w:rPr>
        <w:t xml:space="preserve"> </w:t>
      </w:r>
      <w:r>
        <w:t>important</w:t>
      </w:r>
      <w:r>
        <w:rPr>
          <w:spacing w:val="-7"/>
        </w:rPr>
        <w:t xml:space="preserve"> </w:t>
      </w:r>
      <w:r>
        <w:t>also</w:t>
      </w:r>
      <w:r>
        <w:rPr>
          <w:spacing w:val="-5"/>
        </w:rPr>
        <w:t xml:space="preserve"> </w:t>
      </w:r>
      <w:r>
        <w:t>as</w:t>
      </w:r>
      <w:r>
        <w:rPr>
          <w:spacing w:val="-5"/>
        </w:rPr>
        <w:t xml:space="preserve"> </w:t>
      </w:r>
      <w:r>
        <w:t>PCPs</w:t>
      </w:r>
      <w:r>
        <w:rPr>
          <w:spacing w:val="-5"/>
        </w:rPr>
        <w:t xml:space="preserve"> </w:t>
      </w:r>
      <w:r>
        <w:t>can</w:t>
      </w:r>
      <w:r>
        <w:rPr>
          <w:spacing w:val="-5"/>
        </w:rPr>
        <w:t xml:space="preserve"> </w:t>
      </w:r>
      <w:r>
        <w:t>only</w:t>
      </w:r>
      <w:r>
        <w:rPr>
          <w:spacing w:val="-14"/>
        </w:rPr>
        <w:t xml:space="preserve"> </w:t>
      </w:r>
      <w:r>
        <w:t>participate</w:t>
      </w:r>
      <w:r>
        <w:rPr>
          <w:spacing w:val="-6"/>
        </w:rPr>
        <w:t xml:space="preserve"> </w:t>
      </w:r>
      <w:r>
        <w:t xml:space="preserve">in one ACO under the waiver.  </w:t>
      </w:r>
      <w:r>
        <w:rPr>
          <w:spacing w:val="-3"/>
        </w:rPr>
        <w:t xml:space="preserve">In </w:t>
      </w:r>
      <w:r>
        <w:t xml:space="preserve">general and perhaps in particular with respect to “referral circles,” plans could ensure that, for children, pediatric care is not replaced by that of adult specialists except in rare circumstances. This also speaks to the importance of accurate provider directories. The AAP has additional guidance on network adequacy in the </w:t>
      </w:r>
      <w:hyperlink r:id="rId419" w:history="1">
        <w:r>
          <w:t>Network Adequacy |</w:t>
        </w:r>
      </w:hyperlink>
      <w:r>
        <w:t xml:space="preserve"> </w:t>
      </w:r>
      <w:hyperlink r:id="rId420" w:history="1">
        <w:r>
          <w:t>Advocacy Action Guide</w:t>
        </w:r>
      </w:hyperlink>
      <w:r>
        <w:t xml:space="preserve"> (</w:t>
      </w:r>
      <w:hyperlink r:id="rId421" w:history="1">
        <w:r>
          <w:t>https://www.aap.org/en-us/advocacy-and-policy/state-</w:t>
        </w:r>
      </w:hyperlink>
      <w:r>
        <w:t xml:space="preserve"> </w:t>
      </w:r>
      <w:hyperlink r:id="rId422" w:history="1">
        <w:r>
          <w:t>advocacy/Documents/NetworkAdequacyGuidance.pdf</w:t>
        </w:r>
      </w:hyperlink>
      <w:r>
        <w:t>).</w:t>
      </w:r>
    </w:p>
    <w:p w:rsidR="002C5025" w:rsidRDefault="002C5025">
      <w:pPr>
        <w:pStyle w:val="ListParagraph"/>
        <w:numPr>
          <w:ilvl w:val="0"/>
          <w:numId w:val="37"/>
        </w:numPr>
        <w:tabs>
          <w:tab w:val="left" w:pos="460"/>
        </w:tabs>
        <w:kinsoku w:val="0"/>
        <w:overflowPunct w:val="0"/>
        <w:ind w:left="460" w:right="155"/>
        <w:sectPr w:rsidR="002C5025">
          <w:pgSz w:w="12240" w:h="15840"/>
          <w:pgMar w:top="1440" w:right="1400" w:bottom="280" w:left="980" w:header="720" w:footer="720" w:gutter="0"/>
          <w:cols w:space="720" w:equalWidth="0">
            <w:col w:w="9860"/>
          </w:cols>
          <w:noEndnote/>
        </w:sectPr>
      </w:pPr>
    </w:p>
    <w:p w:rsidR="002C5025" w:rsidRDefault="002C5025">
      <w:pPr>
        <w:pStyle w:val="BodyText"/>
        <w:kinsoku w:val="0"/>
        <w:overflowPunct w:val="0"/>
        <w:spacing w:before="49"/>
        <w:ind w:left="480" w:right="310"/>
        <w:rPr>
          <w:rFonts w:ascii="Times New Roman" w:hAnsi="Times New Roman" w:cs="Times New Roman"/>
          <w:sz w:val="24"/>
          <w:szCs w:val="24"/>
        </w:rPr>
      </w:pPr>
      <w:r>
        <w:rPr>
          <w:rFonts w:ascii="Times New Roman" w:hAnsi="Times New Roman" w:cs="Times New Roman"/>
          <w:sz w:val="24"/>
          <w:szCs w:val="24"/>
        </w:rPr>
        <w:lastRenderedPageBreak/>
        <w:t>Telemedicine, when appropriately monitored and paid, can greatly improve access to pediatric subspecialists, either directly or through consultation with the PCP. This also applies to behavioral health. Payment for telemedicine services that are connected to the medical home should be covered (possibly as part of a global payment as part of an ACO).</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ListParagraph"/>
        <w:numPr>
          <w:ilvl w:val="0"/>
          <w:numId w:val="37"/>
        </w:numPr>
        <w:tabs>
          <w:tab w:val="left" w:pos="480"/>
        </w:tabs>
        <w:kinsoku w:val="0"/>
        <w:overflowPunct w:val="0"/>
        <w:ind w:right="111"/>
      </w:pPr>
      <w:r>
        <w:rPr>
          <w:u w:val="single" w:color="000000"/>
        </w:rPr>
        <w:t xml:space="preserve">Value and metrics </w:t>
      </w:r>
      <w:r>
        <w:t xml:space="preserve">- We agree with the move toward value-based payments in the State ACO plans. Here, too, it is critical to recognize that measures of value for older populations will not work for the children and youth population. Measures of quality, coordination, integration, </w:t>
      </w:r>
      <w:r>
        <w:rPr>
          <w:spacing w:val="-3"/>
        </w:rPr>
        <w:t xml:space="preserve">and </w:t>
      </w:r>
      <w:r>
        <w:t xml:space="preserve">total cost should be pediatric-specific for the pediatric population. Some work from CMS </w:t>
      </w:r>
      <w:r>
        <w:rPr>
          <w:spacing w:val="-3"/>
        </w:rPr>
        <w:t xml:space="preserve">and </w:t>
      </w:r>
      <w:r>
        <w:t>AHRQ supported pediatric Centers of Excellence and has led to more effective metrics, and the American Academy of Pediatrics has drafted consensus metrics for use in pediatrics.  Of note, the</w:t>
      </w:r>
      <w:r>
        <w:rPr>
          <w:spacing w:val="-9"/>
        </w:rPr>
        <w:t xml:space="preserve"> </w:t>
      </w:r>
      <w:r>
        <w:t>pediatric</w:t>
      </w:r>
      <w:r>
        <w:rPr>
          <w:spacing w:val="-9"/>
        </w:rPr>
        <w:t xml:space="preserve"> </w:t>
      </w:r>
      <w:r>
        <w:t>community,</w:t>
      </w:r>
      <w:r>
        <w:rPr>
          <w:spacing w:val="-3"/>
        </w:rPr>
        <w:t xml:space="preserve"> </w:t>
      </w:r>
      <w:r>
        <w:t>very</w:t>
      </w:r>
      <w:r>
        <w:rPr>
          <w:spacing w:val="-14"/>
        </w:rPr>
        <w:t xml:space="preserve"> </w:t>
      </w:r>
      <w:r>
        <w:t>much</w:t>
      </w:r>
      <w:r>
        <w:rPr>
          <w:spacing w:val="-3"/>
        </w:rPr>
        <w:t xml:space="preserve"> </w:t>
      </w:r>
      <w:r>
        <w:t>in</w:t>
      </w:r>
      <w:r>
        <w:rPr>
          <w:spacing w:val="-5"/>
        </w:rPr>
        <w:t xml:space="preserve"> </w:t>
      </w:r>
      <w:r>
        <w:t>agreement</w:t>
      </w:r>
      <w:r>
        <w:rPr>
          <w:spacing w:val="-3"/>
        </w:rPr>
        <w:t xml:space="preserve"> </w:t>
      </w:r>
      <w:r>
        <w:t>on</w:t>
      </w:r>
      <w:r>
        <w:rPr>
          <w:spacing w:val="-5"/>
        </w:rPr>
        <w:t xml:space="preserve"> </w:t>
      </w:r>
      <w:r>
        <w:t>the</w:t>
      </w:r>
      <w:r>
        <w:rPr>
          <w:spacing w:val="-6"/>
        </w:rPr>
        <w:t xml:space="preserve"> </w:t>
      </w:r>
      <w:r>
        <w:t>need</w:t>
      </w:r>
      <w:r>
        <w:rPr>
          <w:spacing w:val="-3"/>
        </w:rPr>
        <w:t xml:space="preserve"> </w:t>
      </w:r>
      <w:r>
        <w:t>to</w:t>
      </w:r>
      <w:r>
        <w:rPr>
          <w:spacing w:val="-5"/>
        </w:rPr>
        <w:t xml:space="preserve"> </w:t>
      </w:r>
      <w:r>
        <w:t>address</w:t>
      </w:r>
      <w:r>
        <w:rPr>
          <w:spacing w:val="-5"/>
        </w:rPr>
        <w:t xml:space="preserve"> </w:t>
      </w:r>
      <w:r>
        <w:t>social</w:t>
      </w:r>
      <w:r>
        <w:rPr>
          <w:spacing w:val="-7"/>
        </w:rPr>
        <w:t xml:space="preserve"> </w:t>
      </w:r>
      <w:r>
        <w:t>determinants,</w:t>
      </w:r>
      <w:r>
        <w:rPr>
          <w:spacing w:val="-5"/>
        </w:rPr>
        <w:t xml:space="preserve"> </w:t>
      </w:r>
      <w:r>
        <w:t>has begun as well to consider newer measures of value, such as school readiness at age 5, literacy at age 8, and high school graduation. We ask that the State define metrics of value for the pediatric population,</w:t>
      </w:r>
      <w:r>
        <w:rPr>
          <w:spacing w:val="-8"/>
        </w:rPr>
        <w:t xml:space="preserve"> </w:t>
      </w:r>
      <w:r>
        <w:t>in</w:t>
      </w:r>
      <w:r>
        <w:rPr>
          <w:spacing w:val="-8"/>
        </w:rPr>
        <w:t xml:space="preserve"> </w:t>
      </w:r>
      <w:r>
        <w:t>consultation</w:t>
      </w:r>
      <w:r>
        <w:rPr>
          <w:spacing w:val="-8"/>
        </w:rPr>
        <w:t xml:space="preserve"> </w:t>
      </w:r>
      <w:r>
        <w:t>with</w:t>
      </w:r>
      <w:r>
        <w:rPr>
          <w:spacing w:val="-8"/>
        </w:rPr>
        <w:t xml:space="preserve"> </w:t>
      </w:r>
      <w:r>
        <w:t>the</w:t>
      </w:r>
      <w:r>
        <w:rPr>
          <w:spacing w:val="-9"/>
        </w:rPr>
        <w:t xml:space="preserve"> </w:t>
      </w:r>
      <w:r>
        <w:t>pediatric</w:t>
      </w:r>
      <w:r>
        <w:rPr>
          <w:spacing w:val="-9"/>
        </w:rPr>
        <w:t xml:space="preserve"> </w:t>
      </w:r>
      <w:r>
        <w:t>community</w:t>
      </w:r>
      <w:r>
        <w:rPr>
          <w:spacing w:val="-17"/>
        </w:rPr>
        <w:t xml:space="preserve"> </w:t>
      </w:r>
      <w:r>
        <w:t>in</w:t>
      </w:r>
      <w:r>
        <w:rPr>
          <w:spacing w:val="-6"/>
        </w:rPr>
        <w:t xml:space="preserve"> </w:t>
      </w:r>
      <w:r>
        <w:t>the</w:t>
      </w:r>
      <w:r>
        <w:rPr>
          <w:spacing w:val="-11"/>
        </w:rPr>
        <w:t xml:space="preserve"> </w:t>
      </w:r>
      <w:r>
        <w:t>State.</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480" w:right="190"/>
        <w:rPr>
          <w:rFonts w:ascii="Times New Roman" w:hAnsi="Times New Roman" w:cs="Times New Roman"/>
          <w:sz w:val="24"/>
          <w:szCs w:val="24"/>
        </w:rPr>
      </w:pPr>
      <w:r>
        <w:rPr>
          <w:rFonts w:ascii="Times New Roman" w:hAnsi="Times New Roman" w:cs="Times New Roman"/>
          <w:sz w:val="24"/>
          <w:szCs w:val="24"/>
        </w:rPr>
        <w:t>Timely and accurate data regarding Medicaid recipients and their utilization is of course critical both to document value but also for providers to best manage resources and implement changes in care to improve quality and health. ACOs in Model A should have access to and control over their own data; for other models, contracts with the MCOs should specify requirements for accurate and timely data shared with providers.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ListParagraph"/>
        <w:numPr>
          <w:ilvl w:val="0"/>
          <w:numId w:val="37"/>
        </w:numPr>
        <w:tabs>
          <w:tab w:val="left" w:pos="480"/>
        </w:tabs>
        <w:kinsoku w:val="0"/>
        <w:overflowPunct w:val="0"/>
        <w:ind w:right="161"/>
      </w:pPr>
      <w:r>
        <w:rPr>
          <w:u w:val="single" w:color="000000"/>
        </w:rPr>
        <w:t xml:space="preserve">Social determinants </w:t>
      </w:r>
      <w:r>
        <w:t xml:space="preserve">- The State notes that the </w:t>
      </w:r>
      <w:r>
        <w:rPr>
          <w:spacing w:val="-3"/>
        </w:rPr>
        <w:t xml:space="preserve">DSRIP </w:t>
      </w:r>
      <w:r>
        <w:t>plan includes investments in certain defined, currently non-reimbursed “flexible services” to address social determinants. Such services are critically important to child health. Children are particularly vulnerable to effects of toxic</w:t>
      </w:r>
      <w:r>
        <w:rPr>
          <w:spacing w:val="-8"/>
        </w:rPr>
        <w:t xml:space="preserve"> </w:t>
      </w:r>
      <w:r>
        <w:t>stress,</w:t>
      </w:r>
      <w:r>
        <w:rPr>
          <w:spacing w:val="-5"/>
        </w:rPr>
        <w:t xml:space="preserve"> </w:t>
      </w:r>
      <w:r>
        <w:t>which</w:t>
      </w:r>
      <w:r>
        <w:rPr>
          <w:spacing w:val="-5"/>
        </w:rPr>
        <w:t xml:space="preserve"> </w:t>
      </w:r>
      <w:r>
        <w:t>is</w:t>
      </w:r>
      <w:r>
        <w:rPr>
          <w:spacing w:val="-8"/>
        </w:rPr>
        <w:t xml:space="preserve"> </w:t>
      </w:r>
      <w:r>
        <w:t>often</w:t>
      </w:r>
      <w:r>
        <w:rPr>
          <w:spacing w:val="-5"/>
        </w:rPr>
        <w:t xml:space="preserve"> </w:t>
      </w:r>
      <w:r>
        <w:t>caused</w:t>
      </w:r>
      <w:r>
        <w:rPr>
          <w:spacing w:val="-8"/>
        </w:rPr>
        <w:t xml:space="preserve"> </w:t>
      </w:r>
      <w:r>
        <w:t>by</w:t>
      </w:r>
      <w:r>
        <w:rPr>
          <w:spacing w:val="-14"/>
        </w:rPr>
        <w:t xml:space="preserve"> </w:t>
      </w:r>
      <w:r>
        <w:t>poverty,</w:t>
      </w:r>
      <w:r>
        <w:rPr>
          <w:spacing w:val="-5"/>
        </w:rPr>
        <w:t xml:space="preserve"> </w:t>
      </w:r>
      <w:r>
        <w:t>parental</w:t>
      </w:r>
      <w:r>
        <w:rPr>
          <w:spacing w:val="-7"/>
        </w:rPr>
        <w:t xml:space="preserve"> </w:t>
      </w:r>
      <w:r>
        <w:t>unemployment,</w:t>
      </w:r>
      <w:r>
        <w:rPr>
          <w:spacing w:val="-5"/>
        </w:rPr>
        <w:t xml:space="preserve"> </w:t>
      </w:r>
      <w:r>
        <w:t>community</w:t>
      </w:r>
      <w:r>
        <w:rPr>
          <w:spacing w:val="-14"/>
        </w:rPr>
        <w:t xml:space="preserve"> </w:t>
      </w:r>
      <w:r>
        <w:t>and</w:t>
      </w:r>
      <w:r>
        <w:rPr>
          <w:spacing w:val="-5"/>
        </w:rPr>
        <w:t xml:space="preserve"> </w:t>
      </w:r>
      <w:r>
        <w:t>domestic violence.  Such social determinants impact not only health during childhood, but they also lead to serious long-term adult disease.  Providing services that address social determinants in practice is critical to giving children a healthy start in life.  Practices need flexible services to help identify family psychosocial needs and then to link families with community services to address those</w:t>
      </w:r>
      <w:r>
        <w:rPr>
          <w:spacing w:val="-16"/>
        </w:rPr>
        <w:t xml:space="preserve"> </w:t>
      </w:r>
      <w:r>
        <w:t>needs.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ListParagraph"/>
        <w:numPr>
          <w:ilvl w:val="0"/>
          <w:numId w:val="37"/>
        </w:numPr>
        <w:tabs>
          <w:tab w:val="left" w:pos="480"/>
        </w:tabs>
        <w:kinsoku w:val="0"/>
        <w:overflowPunct w:val="0"/>
        <w:ind w:right="183"/>
      </w:pPr>
      <w:r>
        <w:rPr>
          <w:u w:val="single" w:color="000000"/>
        </w:rPr>
        <w:t>Attribution</w:t>
      </w:r>
      <w:r>
        <w:rPr>
          <w:spacing w:val="-7"/>
          <w:u w:val="single" w:color="000000"/>
        </w:rPr>
        <w:t xml:space="preserve"> </w:t>
      </w:r>
      <w:r>
        <w:t>-</w:t>
      </w:r>
      <w:r>
        <w:rPr>
          <w:spacing w:val="-8"/>
        </w:rPr>
        <w:t xml:space="preserve"> </w:t>
      </w:r>
      <w:r>
        <w:t>Substantial</w:t>
      </w:r>
      <w:r>
        <w:rPr>
          <w:spacing w:val="-9"/>
        </w:rPr>
        <w:t xml:space="preserve"> </w:t>
      </w:r>
      <w:r>
        <w:t>work</w:t>
      </w:r>
      <w:r>
        <w:rPr>
          <w:spacing w:val="-10"/>
        </w:rPr>
        <w:t xml:space="preserve"> </w:t>
      </w:r>
      <w:r>
        <w:t>has</w:t>
      </w:r>
      <w:r>
        <w:rPr>
          <w:spacing w:val="-7"/>
        </w:rPr>
        <w:t xml:space="preserve"> </w:t>
      </w:r>
      <w:r>
        <w:t>addressed</w:t>
      </w:r>
      <w:r>
        <w:rPr>
          <w:spacing w:val="-5"/>
        </w:rPr>
        <w:t xml:space="preserve"> </w:t>
      </w:r>
      <w:r>
        <w:t>methods</w:t>
      </w:r>
      <w:r>
        <w:rPr>
          <w:spacing w:val="-10"/>
        </w:rPr>
        <w:t xml:space="preserve"> </w:t>
      </w:r>
      <w:r>
        <w:t>to</w:t>
      </w:r>
      <w:r>
        <w:rPr>
          <w:spacing w:val="-7"/>
        </w:rPr>
        <w:t xml:space="preserve"> </w:t>
      </w:r>
      <w:r>
        <w:t>attribute</w:t>
      </w:r>
      <w:r>
        <w:rPr>
          <w:spacing w:val="-11"/>
        </w:rPr>
        <w:t xml:space="preserve"> </w:t>
      </w:r>
      <w:r>
        <w:t>patients</w:t>
      </w:r>
      <w:r>
        <w:rPr>
          <w:spacing w:val="-5"/>
        </w:rPr>
        <w:t xml:space="preserve"> </w:t>
      </w:r>
      <w:r>
        <w:t>to</w:t>
      </w:r>
      <w:r>
        <w:rPr>
          <w:spacing w:val="-7"/>
        </w:rPr>
        <w:t xml:space="preserve"> </w:t>
      </w:r>
      <w:r>
        <w:t>specific</w:t>
      </w:r>
      <w:r>
        <w:rPr>
          <w:spacing w:val="-8"/>
        </w:rPr>
        <w:t xml:space="preserve"> </w:t>
      </w:r>
      <w:r>
        <w:t>practices</w:t>
      </w:r>
      <w:r>
        <w:rPr>
          <w:spacing w:val="-5"/>
        </w:rPr>
        <w:t xml:space="preserve"> </w:t>
      </w:r>
      <w:r>
        <w:t xml:space="preserve">as their </w:t>
      </w:r>
      <w:r>
        <w:rPr>
          <w:spacing w:val="-3"/>
        </w:rPr>
        <w:t xml:space="preserve">major </w:t>
      </w:r>
      <w:r>
        <w:t>source of care. Essentially none of this work has addressed pediatric practices and networks, and it is not clear that attribution methodology developed for adult populations will work for pediatrics. We ask the State to work with the pediatric community to determine best methods for attribution as networks develop. Attribution that works fairly and accurately is needed to assure appropriate payment in global arrangements and for assignment to practices. For</w:t>
      </w:r>
      <w:r>
        <w:rPr>
          <w:spacing w:val="-5"/>
        </w:rPr>
        <w:t xml:space="preserve"> </w:t>
      </w:r>
      <w:r>
        <w:t>families,</w:t>
      </w:r>
      <w:r>
        <w:rPr>
          <w:spacing w:val="-2"/>
        </w:rPr>
        <w:t xml:space="preserve"> </w:t>
      </w:r>
      <w:r>
        <w:t>we</w:t>
      </w:r>
      <w:r>
        <w:rPr>
          <w:spacing w:val="-8"/>
        </w:rPr>
        <w:t xml:space="preserve"> </w:t>
      </w:r>
      <w:r>
        <w:t>ask</w:t>
      </w:r>
      <w:r>
        <w:rPr>
          <w:spacing w:val="-4"/>
        </w:rPr>
        <w:t xml:space="preserve"> </w:t>
      </w:r>
      <w:r>
        <w:t>that</w:t>
      </w:r>
      <w:r>
        <w:rPr>
          <w:spacing w:val="-6"/>
        </w:rPr>
        <w:t xml:space="preserve"> </w:t>
      </w:r>
      <w:r>
        <w:t>the</w:t>
      </w:r>
      <w:r>
        <w:rPr>
          <w:spacing w:val="-5"/>
        </w:rPr>
        <w:t xml:space="preserve"> </w:t>
      </w:r>
      <w:r>
        <w:t>attribution</w:t>
      </w:r>
      <w:r>
        <w:rPr>
          <w:spacing w:val="-4"/>
        </w:rPr>
        <w:t xml:space="preserve"> </w:t>
      </w:r>
      <w:r>
        <w:t>system</w:t>
      </w:r>
      <w:r>
        <w:rPr>
          <w:spacing w:val="-6"/>
        </w:rPr>
        <w:t xml:space="preserve"> </w:t>
      </w:r>
      <w:r>
        <w:t>assure</w:t>
      </w:r>
      <w:r>
        <w:rPr>
          <w:spacing w:val="-5"/>
        </w:rPr>
        <w:t xml:space="preserve"> </w:t>
      </w:r>
      <w:r>
        <w:t>the</w:t>
      </w:r>
      <w:r>
        <w:rPr>
          <w:spacing w:val="-5"/>
        </w:rPr>
        <w:t xml:space="preserve"> </w:t>
      </w:r>
      <w:r>
        <w:t>ability</w:t>
      </w:r>
      <w:r>
        <w:rPr>
          <w:spacing w:val="-13"/>
        </w:rPr>
        <w:t xml:space="preserve"> </w:t>
      </w:r>
      <w:r>
        <w:t>to</w:t>
      </w:r>
      <w:r>
        <w:rPr>
          <w:spacing w:val="-2"/>
        </w:rPr>
        <w:t xml:space="preserve"> </w:t>
      </w:r>
      <w:r>
        <w:t>keep</w:t>
      </w:r>
      <w:r>
        <w:rPr>
          <w:spacing w:val="-4"/>
        </w:rPr>
        <w:t xml:space="preserve"> </w:t>
      </w:r>
      <w:r>
        <w:t>all</w:t>
      </w:r>
      <w:r>
        <w:rPr>
          <w:spacing w:val="-6"/>
        </w:rPr>
        <w:t xml:space="preserve"> </w:t>
      </w:r>
      <w:r>
        <w:t>children</w:t>
      </w:r>
      <w:r>
        <w:rPr>
          <w:spacing w:val="-4"/>
        </w:rPr>
        <w:t xml:space="preserve"> </w:t>
      </w:r>
      <w:r>
        <w:t>in</w:t>
      </w:r>
      <w:r>
        <w:rPr>
          <w:spacing w:val="-2"/>
        </w:rPr>
        <w:t xml:space="preserve"> </w:t>
      </w:r>
      <w:r>
        <w:t>the</w:t>
      </w:r>
      <w:r>
        <w:rPr>
          <w:spacing w:val="-8"/>
        </w:rPr>
        <w:t xml:space="preserve"> </w:t>
      </w:r>
      <w:r>
        <w:t>same PCP</w:t>
      </w:r>
      <w:r>
        <w:rPr>
          <w:spacing w:val="-19"/>
        </w:rPr>
        <w:t xml:space="preserve"> </w:t>
      </w:r>
      <w:r>
        <w:t>practice.</w:t>
      </w:r>
    </w:p>
    <w:p w:rsidR="002C5025" w:rsidRDefault="002C5025">
      <w:pPr>
        <w:pStyle w:val="ListParagraph"/>
        <w:numPr>
          <w:ilvl w:val="0"/>
          <w:numId w:val="37"/>
        </w:numPr>
        <w:tabs>
          <w:tab w:val="left" w:pos="480"/>
        </w:tabs>
        <w:kinsoku w:val="0"/>
        <w:overflowPunct w:val="0"/>
        <w:ind w:right="183"/>
        <w:sectPr w:rsidR="002C5025">
          <w:pgSz w:w="12240" w:h="15840"/>
          <w:pgMar w:top="1440" w:right="1400" w:bottom="280" w:left="960" w:header="720" w:footer="720" w:gutter="0"/>
          <w:cols w:space="720" w:equalWidth="0">
            <w:col w:w="9880"/>
          </w:cols>
          <w:noEndnote/>
        </w:sectPr>
      </w:pPr>
    </w:p>
    <w:p w:rsidR="002C5025" w:rsidRDefault="002C5025">
      <w:pPr>
        <w:pStyle w:val="ListParagraph"/>
        <w:numPr>
          <w:ilvl w:val="0"/>
          <w:numId w:val="37"/>
        </w:numPr>
        <w:tabs>
          <w:tab w:val="left" w:pos="460"/>
        </w:tabs>
        <w:kinsoku w:val="0"/>
        <w:overflowPunct w:val="0"/>
        <w:spacing w:before="57"/>
        <w:ind w:left="460" w:right="263"/>
      </w:pPr>
      <w:r>
        <w:rPr>
          <w:u w:val="single" w:color="000000"/>
        </w:rPr>
        <w:lastRenderedPageBreak/>
        <w:t xml:space="preserve">Benefit/Cost sharing changes </w:t>
      </w:r>
      <w:r>
        <w:t xml:space="preserve">– The waiver would require students to enroll in student health plans whenever feasible. The State indicates there will be a benefit wrap and cost sharing assistance, but would want to ensure children/youth continue to receive EPSDT services to </w:t>
      </w:r>
      <w:r>
        <w:rPr>
          <w:spacing w:val="-3"/>
        </w:rPr>
        <w:t xml:space="preserve">age </w:t>
      </w:r>
      <w:r>
        <w:t>21</w:t>
      </w:r>
      <w:r>
        <w:rPr>
          <w:spacing w:val="-7"/>
        </w:rPr>
        <w:t xml:space="preserve"> </w:t>
      </w:r>
      <w:r>
        <w:t>(while</w:t>
      </w:r>
      <w:r>
        <w:rPr>
          <w:spacing w:val="-8"/>
        </w:rPr>
        <w:t xml:space="preserve"> </w:t>
      </w:r>
      <w:r>
        <w:t>there</w:t>
      </w:r>
      <w:r>
        <w:rPr>
          <w:spacing w:val="-8"/>
        </w:rPr>
        <w:t xml:space="preserve"> </w:t>
      </w:r>
      <w:r>
        <w:t>is</w:t>
      </w:r>
      <w:r>
        <w:rPr>
          <w:spacing w:val="-7"/>
        </w:rPr>
        <w:t xml:space="preserve"> </w:t>
      </w:r>
      <w:r>
        <w:t>no</w:t>
      </w:r>
      <w:r>
        <w:rPr>
          <w:spacing w:val="-7"/>
        </w:rPr>
        <w:t xml:space="preserve"> </w:t>
      </w:r>
      <w:r>
        <w:t>indication</w:t>
      </w:r>
      <w:r>
        <w:rPr>
          <w:spacing w:val="-10"/>
        </w:rPr>
        <w:t xml:space="preserve"> </w:t>
      </w:r>
      <w:r>
        <w:t>otherwise,</w:t>
      </w:r>
      <w:r>
        <w:rPr>
          <w:spacing w:val="-3"/>
        </w:rPr>
        <w:t xml:space="preserve"> </w:t>
      </w:r>
      <w:r>
        <w:t>this</w:t>
      </w:r>
      <w:r>
        <w:rPr>
          <w:spacing w:val="-7"/>
        </w:rPr>
        <w:t xml:space="preserve"> </w:t>
      </w:r>
      <w:r>
        <w:t>provision</w:t>
      </w:r>
      <w:r>
        <w:rPr>
          <w:spacing w:val="-7"/>
        </w:rPr>
        <w:t xml:space="preserve"> </w:t>
      </w:r>
      <w:r>
        <w:t>should</w:t>
      </w:r>
      <w:r>
        <w:rPr>
          <w:spacing w:val="-7"/>
        </w:rPr>
        <w:t xml:space="preserve"> </w:t>
      </w:r>
      <w:r>
        <w:t>be</w:t>
      </w:r>
      <w:r>
        <w:rPr>
          <w:spacing w:val="-8"/>
        </w:rPr>
        <w:t xml:space="preserve"> </w:t>
      </w:r>
      <w:r>
        <w:t>stated</w:t>
      </w:r>
      <w:r>
        <w:rPr>
          <w:spacing w:val="-7"/>
        </w:rPr>
        <w:t xml:space="preserve"> </w:t>
      </w:r>
      <w:r>
        <w:t>explicitly).</w:t>
      </w:r>
      <w:r>
        <w:rPr>
          <w:spacing w:val="-5"/>
        </w:rPr>
        <w:t xml:space="preserve"> </w:t>
      </w:r>
      <w:r>
        <w:t>Moreover, this wrap around creates the need for appropriate patient education to ensure that students and families</w:t>
      </w:r>
      <w:r>
        <w:rPr>
          <w:spacing w:val="-4"/>
        </w:rPr>
        <w:t xml:space="preserve"> </w:t>
      </w:r>
      <w:r>
        <w:t>are</w:t>
      </w:r>
      <w:r>
        <w:rPr>
          <w:spacing w:val="-6"/>
        </w:rPr>
        <w:t xml:space="preserve"> </w:t>
      </w:r>
      <w:r>
        <w:t>aware</w:t>
      </w:r>
      <w:r>
        <w:rPr>
          <w:spacing w:val="-9"/>
        </w:rPr>
        <w:t xml:space="preserve"> </w:t>
      </w:r>
      <w:r>
        <w:t>of</w:t>
      </w:r>
      <w:r>
        <w:rPr>
          <w:spacing w:val="-6"/>
        </w:rPr>
        <w:t xml:space="preserve"> </w:t>
      </w:r>
      <w:r>
        <w:t>these</w:t>
      </w:r>
      <w:r>
        <w:rPr>
          <w:spacing w:val="-6"/>
        </w:rPr>
        <w:t xml:space="preserve"> </w:t>
      </w:r>
      <w:r>
        <w:t>additional</w:t>
      </w:r>
      <w:r>
        <w:rPr>
          <w:spacing w:val="-7"/>
        </w:rPr>
        <w:t xml:space="preserve"> </w:t>
      </w:r>
      <w:r>
        <w:t>benefits</w:t>
      </w:r>
      <w:r>
        <w:rPr>
          <w:spacing w:val="-5"/>
        </w:rPr>
        <w:t xml:space="preserve"> </w:t>
      </w:r>
      <w:r>
        <w:t>and</w:t>
      </w:r>
      <w:r>
        <w:rPr>
          <w:spacing w:val="-5"/>
        </w:rPr>
        <w:t xml:space="preserve"> </w:t>
      </w:r>
      <w:r>
        <w:t>cost</w:t>
      </w:r>
      <w:r>
        <w:rPr>
          <w:spacing w:val="-7"/>
        </w:rPr>
        <w:t xml:space="preserve"> </w:t>
      </w:r>
      <w:r>
        <w:t>sharing</w:t>
      </w:r>
      <w:r>
        <w:rPr>
          <w:spacing w:val="-10"/>
        </w:rPr>
        <w:t xml:space="preserve"> </w:t>
      </w:r>
      <w:r>
        <w:t>reductions,</w:t>
      </w:r>
      <w:r>
        <w:rPr>
          <w:spacing w:val="-4"/>
        </w:rPr>
        <w:t xml:space="preserve"> </w:t>
      </w:r>
      <w:r>
        <w:t>and</w:t>
      </w:r>
      <w:r>
        <w:rPr>
          <w:spacing w:val="-5"/>
        </w:rPr>
        <w:t xml:space="preserve"> </w:t>
      </w:r>
      <w:r>
        <w:t>understand</w:t>
      </w:r>
      <w:r>
        <w:rPr>
          <w:spacing w:val="-5"/>
        </w:rPr>
        <w:t xml:space="preserve"> </w:t>
      </w:r>
      <w:r>
        <w:t>how to appropriately obtain treatment when a given service is not covered under the student health plan.</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ListParagraph"/>
        <w:numPr>
          <w:ilvl w:val="0"/>
          <w:numId w:val="37"/>
        </w:numPr>
        <w:tabs>
          <w:tab w:val="left" w:pos="460"/>
        </w:tabs>
        <w:kinsoku w:val="0"/>
        <w:overflowPunct w:val="0"/>
        <w:ind w:left="460" w:right="225"/>
      </w:pPr>
      <w:r>
        <w:rPr>
          <w:u w:val="single" w:color="000000"/>
        </w:rPr>
        <w:t xml:space="preserve">Support Advocate and Member Advisory Committee </w:t>
      </w:r>
      <w:r>
        <w:t>– The waiver indicates in Section 3 that this</w:t>
      </w:r>
      <w:r>
        <w:rPr>
          <w:spacing w:val="-5"/>
        </w:rPr>
        <w:t xml:space="preserve"> </w:t>
      </w:r>
      <w:r>
        <w:t>committee</w:t>
      </w:r>
      <w:r>
        <w:rPr>
          <w:spacing w:val="-6"/>
        </w:rPr>
        <w:t xml:space="preserve"> </w:t>
      </w:r>
      <w:r>
        <w:t>will</w:t>
      </w:r>
      <w:r>
        <w:rPr>
          <w:spacing w:val="-7"/>
        </w:rPr>
        <w:t xml:space="preserve"> </w:t>
      </w:r>
      <w:r>
        <w:t>be</w:t>
      </w:r>
      <w:r>
        <w:rPr>
          <w:spacing w:val="-6"/>
        </w:rPr>
        <w:t xml:space="preserve"> </w:t>
      </w:r>
      <w:r>
        <w:t>created.</w:t>
      </w:r>
      <w:r>
        <w:rPr>
          <w:spacing w:val="-5"/>
        </w:rPr>
        <w:t xml:space="preserve"> </w:t>
      </w:r>
      <w:r>
        <w:t>The</w:t>
      </w:r>
      <w:r>
        <w:rPr>
          <w:spacing w:val="-9"/>
        </w:rPr>
        <w:t xml:space="preserve"> </w:t>
      </w:r>
      <w:r>
        <w:t>provision</w:t>
      </w:r>
      <w:r>
        <w:rPr>
          <w:spacing w:val="-5"/>
        </w:rPr>
        <w:t xml:space="preserve"> </w:t>
      </w:r>
      <w:r>
        <w:t>should</w:t>
      </w:r>
      <w:r>
        <w:rPr>
          <w:spacing w:val="-5"/>
        </w:rPr>
        <w:t xml:space="preserve"> </w:t>
      </w:r>
      <w:r>
        <w:t>explicitly</w:t>
      </w:r>
      <w:r>
        <w:rPr>
          <w:spacing w:val="-16"/>
        </w:rPr>
        <w:t xml:space="preserve"> </w:t>
      </w:r>
      <w:r>
        <w:t>ensure</w:t>
      </w:r>
      <w:r>
        <w:rPr>
          <w:spacing w:val="-6"/>
        </w:rPr>
        <w:t xml:space="preserve"> </w:t>
      </w:r>
      <w:r>
        <w:t>that</w:t>
      </w:r>
      <w:r>
        <w:rPr>
          <w:spacing w:val="-3"/>
        </w:rPr>
        <w:t xml:space="preserve"> </w:t>
      </w:r>
      <w:r>
        <w:t>family</w:t>
      </w:r>
      <w:r>
        <w:rPr>
          <w:spacing w:val="-14"/>
        </w:rPr>
        <w:t xml:space="preserve"> </w:t>
      </w:r>
      <w:r>
        <w:t>representation includes family members with children who utilize pediatric care through the program, in particular families of children with special</w:t>
      </w:r>
      <w:r>
        <w:rPr>
          <w:spacing w:val="-38"/>
        </w:rPr>
        <w:t xml:space="preserve"> </w:t>
      </w:r>
      <w:r>
        <w:t>needs.</w:t>
      </w:r>
    </w:p>
    <w:p w:rsidR="002C5025" w:rsidRDefault="002C5025">
      <w:pPr>
        <w:pStyle w:val="BodyText"/>
        <w:kinsoku w:val="0"/>
        <w:overflowPunct w:val="0"/>
        <w:spacing w:before="5"/>
        <w:rPr>
          <w:rFonts w:ascii="Times New Roman" w:hAnsi="Times New Roman" w:cs="Times New Roman"/>
          <w:sz w:val="25"/>
          <w:szCs w:val="25"/>
        </w:rPr>
      </w:pPr>
    </w:p>
    <w:p w:rsidR="002C5025" w:rsidRDefault="002C5025">
      <w:pPr>
        <w:pStyle w:val="ListParagraph"/>
        <w:numPr>
          <w:ilvl w:val="0"/>
          <w:numId w:val="37"/>
        </w:numPr>
        <w:tabs>
          <w:tab w:val="left" w:pos="460"/>
        </w:tabs>
        <w:kinsoku w:val="0"/>
        <w:overflowPunct w:val="0"/>
        <w:ind w:left="460" w:right="108"/>
      </w:pPr>
      <w:r>
        <w:rPr>
          <w:u w:val="single" w:color="000000"/>
        </w:rPr>
        <w:t xml:space="preserve">Need for significant enrollee/member education </w:t>
      </w:r>
      <w:r>
        <w:t xml:space="preserve">– This is important as families transition to new models. Customer service and enrollee navigation efforts should be provided through multiple modalities so that families truly understand changes to models and how to access care. The State should reexamine these efforts in subsequent </w:t>
      </w:r>
      <w:r>
        <w:rPr>
          <w:spacing w:val="-3"/>
        </w:rPr>
        <w:t xml:space="preserve">years </w:t>
      </w:r>
      <w:r>
        <w:t xml:space="preserve">to </w:t>
      </w:r>
      <w:r>
        <w:rPr>
          <w:spacing w:val="-3"/>
        </w:rPr>
        <w:t xml:space="preserve">make </w:t>
      </w:r>
      <w:r>
        <w:t xml:space="preserve">improvements to consumer outreach and education, taking learnings from first </w:t>
      </w:r>
      <w:r>
        <w:rPr>
          <w:spacing w:val="-4"/>
        </w:rPr>
        <w:t xml:space="preserve">years </w:t>
      </w:r>
      <w:r>
        <w:t>of the</w:t>
      </w:r>
      <w:r>
        <w:rPr>
          <w:spacing w:val="-35"/>
        </w:rPr>
        <w:t xml:space="preserve"> </w:t>
      </w:r>
      <w:r>
        <w:t>waiver.</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ListParagraph"/>
        <w:numPr>
          <w:ilvl w:val="0"/>
          <w:numId w:val="37"/>
        </w:numPr>
        <w:tabs>
          <w:tab w:val="left" w:pos="460"/>
        </w:tabs>
        <w:kinsoku w:val="0"/>
        <w:overflowPunct w:val="0"/>
        <w:ind w:left="460" w:right="251"/>
      </w:pPr>
      <w:r>
        <w:rPr>
          <w:u w:val="single" w:color="000000"/>
        </w:rPr>
        <w:t xml:space="preserve">Maintenance of existing relationships and transitions to new providers </w:t>
      </w:r>
      <w:r>
        <w:t xml:space="preserve">– </w:t>
      </w:r>
      <w:r>
        <w:rPr>
          <w:spacing w:val="-3"/>
        </w:rPr>
        <w:t xml:space="preserve">In </w:t>
      </w:r>
      <w:r>
        <w:t>the Pilot ACO section,</w:t>
      </w:r>
      <w:r>
        <w:rPr>
          <w:spacing w:val="-6"/>
        </w:rPr>
        <w:t xml:space="preserve"> </w:t>
      </w:r>
      <w:r>
        <w:t>the</w:t>
      </w:r>
      <w:r>
        <w:rPr>
          <w:spacing w:val="-10"/>
        </w:rPr>
        <w:t xml:space="preserve"> </w:t>
      </w:r>
      <w:r>
        <w:t>State</w:t>
      </w:r>
      <w:r>
        <w:rPr>
          <w:spacing w:val="-7"/>
        </w:rPr>
        <w:t xml:space="preserve"> </w:t>
      </w:r>
      <w:r>
        <w:t>indicates</w:t>
      </w:r>
      <w:r>
        <w:rPr>
          <w:spacing w:val="-6"/>
        </w:rPr>
        <w:t xml:space="preserve"> </w:t>
      </w:r>
      <w:r>
        <w:t>it</w:t>
      </w:r>
      <w:r>
        <w:rPr>
          <w:spacing w:val="-6"/>
        </w:rPr>
        <w:t xml:space="preserve"> </w:t>
      </w:r>
      <w:r>
        <w:t>will</w:t>
      </w:r>
      <w:r>
        <w:rPr>
          <w:spacing w:val="-8"/>
        </w:rPr>
        <w:t xml:space="preserve"> </w:t>
      </w:r>
      <w:r>
        <w:t>pay</w:t>
      </w:r>
      <w:r>
        <w:rPr>
          <w:spacing w:val="-15"/>
        </w:rPr>
        <w:t xml:space="preserve"> </w:t>
      </w:r>
      <w:r>
        <w:t>special</w:t>
      </w:r>
      <w:r>
        <w:rPr>
          <w:spacing w:val="-6"/>
        </w:rPr>
        <w:t xml:space="preserve"> </w:t>
      </w:r>
      <w:r>
        <w:t>attention</w:t>
      </w:r>
      <w:r>
        <w:rPr>
          <w:spacing w:val="-6"/>
        </w:rPr>
        <w:t xml:space="preserve"> </w:t>
      </w:r>
      <w:r>
        <w:t>to</w:t>
      </w:r>
      <w:r>
        <w:rPr>
          <w:spacing w:val="-6"/>
        </w:rPr>
        <w:t xml:space="preserve"> </w:t>
      </w:r>
      <w:r>
        <w:t>existing</w:t>
      </w:r>
      <w:r>
        <w:rPr>
          <w:spacing w:val="-11"/>
        </w:rPr>
        <w:t xml:space="preserve"> </w:t>
      </w:r>
      <w:r>
        <w:t>provider/patient</w:t>
      </w:r>
      <w:r>
        <w:rPr>
          <w:spacing w:val="-8"/>
        </w:rPr>
        <w:t xml:space="preserve"> </w:t>
      </w:r>
      <w:r>
        <w:t xml:space="preserve">relationships. It is critical to maintain existing provider/patient relationships throughout the rollout of ACOs whenever possible, as the State transitions to new ACO models and bids out new MCO contracts. </w:t>
      </w:r>
      <w:r>
        <w:rPr>
          <w:spacing w:val="-4"/>
        </w:rPr>
        <w:t xml:space="preserve">In </w:t>
      </w:r>
      <w:r>
        <w:t>addition, the State should provide a transition period for families to continue existing</w:t>
      </w:r>
      <w:r>
        <w:rPr>
          <w:spacing w:val="-10"/>
        </w:rPr>
        <w:t xml:space="preserve"> </w:t>
      </w:r>
      <w:r>
        <w:t>courses</w:t>
      </w:r>
      <w:r>
        <w:rPr>
          <w:spacing w:val="-5"/>
        </w:rPr>
        <w:t xml:space="preserve"> </w:t>
      </w:r>
      <w:r>
        <w:t>of</w:t>
      </w:r>
      <w:r>
        <w:rPr>
          <w:spacing w:val="-6"/>
        </w:rPr>
        <w:t xml:space="preserve"> </w:t>
      </w:r>
      <w:r>
        <w:t>treatment</w:t>
      </w:r>
      <w:r>
        <w:rPr>
          <w:spacing w:val="-5"/>
        </w:rPr>
        <w:t xml:space="preserve"> </w:t>
      </w:r>
      <w:r>
        <w:t>with</w:t>
      </w:r>
      <w:r>
        <w:rPr>
          <w:spacing w:val="-5"/>
        </w:rPr>
        <w:t xml:space="preserve"> </w:t>
      </w:r>
      <w:r>
        <w:t>providers</w:t>
      </w:r>
      <w:r>
        <w:rPr>
          <w:spacing w:val="-5"/>
        </w:rPr>
        <w:t xml:space="preserve"> </w:t>
      </w:r>
      <w:r>
        <w:t>during</w:t>
      </w:r>
      <w:r>
        <w:rPr>
          <w:spacing w:val="-10"/>
        </w:rPr>
        <w:t xml:space="preserve"> </w:t>
      </w:r>
      <w:r>
        <w:t>a</w:t>
      </w:r>
      <w:r>
        <w:rPr>
          <w:spacing w:val="-6"/>
        </w:rPr>
        <w:t xml:space="preserve"> </w:t>
      </w:r>
      <w:r>
        <w:t>transition</w:t>
      </w:r>
      <w:r>
        <w:rPr>
          <w:spacing w:val="-5"/>
        </w:rPr>
        <w:t xml:space="preserve"> </w:t>
      </w:r>
      <w:r>
        <w:t>to</w:t>
      </w:r>
      <w:r>
        <w:rPr>
          <w:spacing w:val="-5"/>
        </w:rPr>
        <w:t xml:space="preserve"> </w:t>
      </w:r>
      <w:r>
        <w:t>a</w:t>
      </w:r>
      <w:r>
        <w:rPr>
          <w:spacing w:val="-6"/>
        </w:rPr>
        <w:t xml:space="preserve"> </w:t>
      </w:r>
      <w:r>
        <w:t>new</w:t>
      </w:r>
      <w:r>
        <w:rPr>
          <w:spacing w:val="-6"/>
        </w:rPr>
        <w:t xml:space="preserve"> </w:t>
      </w:r>
      <w:r>
        <w:t>ACO.</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460" w:right="175"/>
        <w:rPr>
          <w:rFonts w:ascii="Times New Roman" w:hAnsi="Times New Roman" w:cs="Times New Roman"/>
          <w:sz w:val="24"/>
          <w:szCs w:val="24"/>
        </w:rPr>
      </w:pPr>
      <w:r>
        <w:rPr>
          <w:rFonts w:ascii="Times New Roman" w:hAnsi="Times New Roman" w:cs="Times New Roman"/>
          <w:sz w:val="24"/>
          <w:szCs w:val="24"/>
        </w:rPr>
        <w:t>Small and mid-size pediatric practices must be able to fit into these models at some level. Auto- assignment has been an issue. If not done fairly and accurately, auto-attribution will be a barrier for smaller practices to continue to see Medicaid patients when they are no longer the primary care provider (in the eyes of the payers) and will not get paid for these visits.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460" w:right="102"/>
        <w:rPr>
          <w:rFonts w:ascii="Times New Roman" w:hAnsi="Times New Roman" w:cs="Times New Roman"/>
          <w:sz w:val="24"/>
          <w:szCs w:val="24"/>
        </w:rPr>
      </w:pPr>
      <w:r>
        <w:rPr>
          <w:rFonts w:ascii="Times New Roman" w:hAnsi="Times New Roman" w:cs="Times New Roman"/>
          <w:sz w:val="24"/>
          <w:szCs w:val="24"/>
        </w:rPr>
        <w:t>Pilot ACOs offer an important testing ground for the State to learn what works and what doesn’t as it transitions to a wider roll-out of the ACO models. The State should examine and provide reporting on the impact of the Pilot ACO model on children, since such a large percentage of the Medicaid population is comprised of children. This should specifically include reporting on children with special health care needs in these new referral circles.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ListParagraph"/>
        <w:numPr>
          <w:ilvl w:val="0"/>
          <w:numId w:val="37"/>
        </w:numPr>
        <w:tabs>
          <w:tab w:val="left" w:pos="460"/>
        </w:tabs>
        <w:kinsoku w:val="0"/>
        <w:overflowPunct w:val="0"/>
        <w:ind w:left="460" w:right="192"/>
      </w:pPr>
      <w:r>
        <w:rPr>
          <w:u w:val="single" w:color="000000"/>
        </w:rPr>
        <w:t xml:space="preserve">ACO Accountability </w:t>
      </w:r>
      <w:r>
        <w:t>– The waiver discusses accountability for avoidable utilization, reductions in spending, and improvements in quality, with improvements in performance in these areas yearly. It should ensure that high performing ACOs that make substantial improvements are not penalized in subsequent years by a reset baseline that then makes it difficult to capture new improvements.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ListParagraph"/>
        <w:numPr>
          <w:ilvl w:val="0"/>
          <w:numId w:val="37"/>
        </w:numPr>
        <w:tabs>
          <w:tab w:val="left" w:pos="460"/>
        </w:tabs>
        <w:kinsoku w:val="0"/>
        <w:overflowPunct w:val="0"/>
        <w:ind w:left="460" w:right="207"/>
      </w:pPr>
      <w:r>
        <w:rPr>
          <w:u w:val="single" w:color="000000"/>
        </w:rPr>
        <w:t xml:space="preserve">Statewide Investments Funding Stream </w:t>
      </w:r>
      <w:r>
        <w:t xml:space="preserve">– </w:t>
      </w:r>
      <w:r>
        <w:rPr>
          <w:spacing w:val="-4"/>
        </w:rPr>
        <w:t xml:space="preserve">In </w:t>
      </w:r>
      <w:r>
        <w:t>Section 5.5, the State indicates it will fund up to 10 “high priority initiatives in alignment with overall DSRIP goals,” and then lists a number of possible initiatives. Given the high proportion of children and youth in Massachusetts</w:t>
      </w:r>
      <w:r>
        <w:rPr>
          <w:spacing w:val="-21"/>
        </w:rPr>
        <w:t xml:space="preserve"> </w:t>
      </w:r>
      <w:r>
        <w:t>Medicaid (~40% of recipients), a reasonable number of these initiatives should specifically address the needs of children and young</w:t>
      </w:r>
      <w:r>
        <w:rPr>
          <w:spacing w:val="-32"/>
        </w:rPr>
        <w:t xml:space="preserve"> </w:t>
      </w:r>
      <w:r>
        <w:t>families.</w:t>
      </w:r>
    </w:p>
    <w:p w:rsidR="002C5025" w:rsidRDefault="002C5025">
      <w:pPr>
        <w:pStyle w:val="ListParagraph"/>
        <w:numPr>
          <w:ilvl w:val="0"/>
          <w:numId w:val="37"/>
        </w:numPr>
        <w:tabs>
          <w:tab w:val="left" w:pos="460"/>
        </w:tabs>
        <w:kinsoku w:val="0"/>
        <w:overflowPunct w:val="0"/>
        <w:ind w:left="460" w:right="207"/>
        <w:sectPr w:rsidR="002C5025">
          <w:pgSz w:w="12240" w:h="15840"/>
          <w:pgMar w:top="880" w:right="1400" w:bottom="280" w:left="980" w:header="720" w:footer="720" w:gutter="0"/>
          <w:cols w:space="720" w:equalWidth="0">
            <w:col w:w="9860"/>
          </w:cols>
          <w:noEndnote/>
        </w:sectPr>
      </w:pPr>
    </w:p>
    <w:p w:rsidR="002C5025" w:rsidRDefault="002C5025">
      <w:pPr>
        <w:pStyle w:val="ListParagraph"/>
        <w:numPr>
          <w:ilvl w:val="0"/>
          <w:numId w:val="37"/>
        </w:numPr>
        <w:tabs>
          <w:tab w:val="left" w:pos="480"/>
        </w:tabs>
        <w:kinsoku w:val="0"/>
        <w:overflowPunct w:val="0"/>
        <w:spacing w:before="51" w:line="275" w:lineRule="exact"/>
      </w:pPr>
      <w:r>
        <w:rPr>
          <w:u w:val="single" w:color="000000"/>
        </w:rPr>
        <w:lastRenderedPageBreak/>
        <w:t>Access</w:t>
      </w:r>
      <w:r>
        <w:rPr>
          <w:spacing w:val="-5"/>
          <w:u w:val="single" w:color="000000"/>
        </w:rPr>
        <w:t xml:space="preserve"> </w:t>
      </w:r>
      <w:r>
        <w:rPr>
          <w:u w:val="single" w:color="000000"/>
        </w:rPr>
        <w:t>to</w:t>
      </w:r>
      <w:r>
        <w:rPr>
          <w:spacing w:val="-5"/>
          <w:u w:val="single" w:color="000000"/>
        </w:rPr>
        <w:t xml:space="preserve"> </w:t>
      </w:r>
      <w:r>
        <w:rPr>
          <w:u w:val="single" w:color="000000"/>
        </w:rPr>
        <w:t>Care</w:t>
      </w:r>
      <w:r>
        <w:rPr>
          <w:spacing w:val="-6"/>
          <w:u w:val="single" w:color="000000"/>
        </w:rPr>
        <w:t xml:space="preserve"> </w:t>
      </w:r>
      <w:r>
        <w:rPr>
          <w:u w:val="single" w:color="000000"/>
        </w:rPr>
        <w:t>Monitoring</w:t>
      </w:r>
      <w:r>
        <w:rPr>
          <w:spacing w:val="-8"/>
          <w:u w:val="single" w:color="000000"/>
        </w:rPr>
        <w:t xml:space="preserve"> </w:t>
      </w:r>
      <w:r>
        <w:t>–</w:t>
      </w:r>
      <w:r>
        <w:rPr>
          <w:spacing w:val="-5"/>
        </w:rPr>
        <w:t xml:space="preserve"> </w:t>
      </w:r>
      <w:r>
        <w:t>The</w:t>
      </w:r>
      <w:r>
        <w:rPr>
          <w:spacing w:val="-6"/>
        </w:rPr>
        <w:t xml:space="preserve"> </w:t>
      </w:r>
      <w:r>
        <w:t>waiver</w:t>
      </w:r>
      <w:r>
        <w:rPr>
          <w:spacing w:val="-6"/>
        </w:rPr>
        <w:t xml:space="preserve"> </w:t>
      </w:r>
      <w:r>
        <w:t>indicates</w:t>
      </w:r>
      <w:r>
        <w:rPr>
          <w:spacing w:val="-5"/>
        </w:rPr>
        <w:t xml:space="preserve"> </w:t>
      </w:r>
      <w:r>
        <w:t>the</w:t>
      </w:r>
      <w:r>
        <w:rPr>
          <w:spacing w:val="-6"/>
        </w:rPr>
        <w:t xml:space="preserve"> </w:t>
      </w:r>
      <w:r>
        <w:t>state</w:t>
      </w:r>
      <w:r>
        <w:rPr>
          <w:spacing w:val="-6"/>
        </w:rPr>
        <w:t xml:space="preserve"> </w:t>
      </w:r>
      <w:r>
        <w:t>will</w:t>
      </w:r>
      <w:r>
        <w:rPr>
          <w:spacing w:val="-3"/>
        </w:rPr>
        <w:t xml:space="preserve"> </w:t>
      </w:r>
      <w:r>
        <w:t>monitor</w:t>
      </w:r>
      <w:r>
        <w:rPr>
          <w:spacing w:val="-6"/>
        </w:rPr>
        <w:t xml:space="preserve"> </w:t>
      </w:r>
      <w:r>
        <w:t>access</w:t>
      </w:r>
      <w:r>
        <w:rPr>
          <w:spacing w:val="-5"/>
        </w:rPr>
        <w:t xml:space="preserve"> </w:t>
      </w:r>
      <w:r>
        <w:t>to</w:t>
      </w:r>
      <w:r>
        <w:rPr>
          <w:spacing w:val="-5"/>
        </w:rPr>
        <w:t xml:space="preserve"> </w:t>
      </w:r>
      <w:r>
        <w:t>care</w:t>
      </w:r>
      <w:r>
        <w:rPr>
          <w:spacing w:val="-6"/>
        </w:rPr>
        <w:t xml:space="preserve"> </w:t>
      </w:r>
      <w:r>
        <w:t>in</w:t>
      </w:r>
      <w:r>
        <w:rPr>
          <w:spacing w:val="-8"/>
        </w:rPr>
        <w:t xml:space="preserve"> </w:t>
      </w:r>
      <w:r>
        <w:t>Section</w:t>
      </w:r>
    </w:p>
    <w:p w:rsidR="002C5025" w:rsidRDefault="002C5025">
      <w:pPr>
        <w:pStyle w:val="BodyText"/>
        <w:kinsoku w:val="0"/>
        <w:overflowPunct w:val="0"/>
        <w:ind w:left="479" w:right="189"/>
        <w:rPr>
          <w:rFonts w:ascii="Times New Roman" w:hAnsi="Times New Roman" w:cs="Times New Roman"/>
          <w:sz w:val="24"/>
          <w:szCs w:val="24"/>
        </w:rPr>
      </w:pPr>
      <w:r>
        <w:rPr>
          <w:rFonts w:ascii="Times New Roman" w:hAnsi="Times New Roman" w:cs="Times New Roman"/>
          <w:sz w:val="24"/>
          <w:szCs w:val="24"/>
        </w:rPr>
        <w:t>10.1. The State should specify how it will do so and assure inclusion of metrics for significant populations, including children and young families, as they shift to new models of care. Among other items, the network adequacy guide noted above can serve to provide some metrics.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20" w:right="222"/>
        <w:rPr>
          <w:rFonts w:ascii="Times New Roman" w:hAnsi="Times New Roman" w:cs="Times New Roman"/>
          <w:sz w:val="24"/>
          <w:szCs w:val="24"/>
        </w:rPr>
      </w:pPr>
      <w:r>
        <w:rPr>
          <w:rFonts w:ascii="Times New Roman" w:hAnsi="Times New Roman" w:cs="Times New Roman"/>
          <w:sz w:val="24"/>
          <w:szCs w:val="24"/>
        </w:rPr>
        <w:t>We see many potential benefits in the State’s efforts to improve the care of Medicaid patients, and we look forward to working with you to help ensure the optimal physical, mental, and social health and well-being for all infants, children, adolescents and young adults in the Commonwealth.</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19" w:right="1510"/>
        <w:rPr>
          <w:rFonts w:ascii="Times New Roman" w:hAnsi="Times New Roman" w:cs="Times New Roman"/>
          <w:color w:val="000000"/>
          <w:sz w:val="24"/>
          <w:szCs w:val="24"/>
        </w:rPr>
      </w:pPr>
      <w:r>
        <w:rPr>
          <w:rFonts w:ascii="Times New Roman" w:hAnsi="Times New Roman" w:cs="Times New Roman"/>
          <w:sz w:val="24"/>
          <w:szCs w:val="24"/>
        </w:rPr>
        <w:t xml:space="preserve">If you have any questions about these comments, please contact Cathleen Haggerty at </w:t>
      </w:r>
      <w:hyperlink r:id="rId423" w:history="1">
        <w:r>
          <w:rPr>
            <w:rFonts w:ascii="Times New Roman" w:hAnsi="Times New Roman" w:cs="Times New Roman"/>
            <w:color w:val="0000FF"/>
            <w:sz w:val="24"/>
            <w:szCs w:val="24"/>
            <w:u w:val="single"/>
          </w:rPr>
          <w:t xml:space="preserve">chaggerty@mcaap.org </w:t>
        </w:r>
      </w:hyperlink>
      <w:r>
        <w:rPr>
          <w:rFonts w:ascii="Times New Roman" w:hAnsi="Times New Roman" w:cs="Times New Roman"/>
          <w:color w:val="000000"/>
          <w:sz w:val="24"/>
          <w:szCs w:val="24"/>
        </w:rPr>
        <w:t>or at 781-895-9852.</w:t>
      </w:r>
    </w:p>
    <w:p w:rsidR="002C5025" w:rsidRDefault="002C5025">
      <w:pPr>
        <w:pStyle w:val="BodyText"/>
        <w:kinsoku w:val="0"/>
        <w:overflowPunct w:val="0"/>
        <w:spacing w:before="11"/>
        <w:rPr>
          <w:rFonts w:ascii="Times New Roman" w:hAnsi="Times New Roman" w:cs="Times New Roman"/>
          <w:sz w:val="17"/>
          <w:szCs w:val="17"/>
        </w:rPr>
      </w:pPr>
    </w:p>
    <w:p w:rsidR="002C5025" w:rsidRDefault="002C5025">
      <w:pPr>
        <w:pStyle w:val="BodyText"/>
        <w:kinsoku w:val="0"/>
        <w:overflowPunct w:val="0"/>
        <w:spacing w:before="69"/>
        <w:ind w:left="120" w:right="310"/>
        <w:rPr>
          <w:rFonts w:ascii="Times New Roman" w:hAnsi="Times New Roman" w:cs="Times New Roman"/>
          <w:sz w:val="24"/>
          <w:szCs w:val="24"/>
        </w:rPr>
      </w:pPr>
      <w:r>
        <w:rPr>
          <w:rFonts w:ascii="Times New Roman" w:hAnsi="Times New Roman" w:cs="Times New Roman"/>
          <w:sz w:val="24"/>
          <w:szCs w:val="24"/>
        </w:rPr>
        <w:t>Respectfully,</w:t>
      </w:r>
    </w:p>
    <w:p w:rsidR="002C5025" w:rsidRDefault="00FB027C">
      <w:pPr>
        <w:pStyle w:val="BodyText"/>
        <w:kinsoku w:val="0"/>
        <w:overflowPunct w:val="0"/>
        <w:spacing w:before="1"/>
        <w:rPr>
          <w:rFonts w:ascii="Times New Roman" w:hAnsi="Times New Roman" w:cs="Times New Roman"/>
        </w:rPr>
      </w:pPr>
      <w:r>
        <w:rPr>
          <w:noProof/>
        </w:rPr>
        <mc:AlternateContent>
          <mc:Choice Requires="wps">
            <w:drawing>
              <wp:anchor distT="0" distB="0" distL="0" distR="0" simplePos="0" relativeHeight="251706880" behindDoc="0" locked="0" layoutInCell="0" allowOverlap="1">
                <wp:simplePos x="0" y="0"/>
                <wp:positionH relativeFrom="page">
                  <wp:posOffset>686435</wp:posOffset>
                </wp:positionH>
                <wp:positionV relativeFrom="paragraph">
                  <wp:posOffset>186690</wp:posOffset>
                </wp:positionV>
                <wp:extent cx="1333500" cy="482600"/>
                <wp:effectExtent l="0" t="0" r="0" b="0"/>
                <wp:wrapTopAndBottom/>
                <wp:docPr id="401" name="Rectangle 6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482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760" w:lineRule="atLeast"/>
                            </w:pPr>
                            <w:r>
                              <w:rPr>
                                <w:noProof/>
                              </w:rPr>
                              <w:drawing>
                                <wp:inline distT="0" distB="0" distL="0" distR="0">
                                  <wp:extent cx="1343025" cy="485775"/>
                                  <wp:effectExtent l="0" t="0" r="9525" b="9525"/>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1343025" cy="485775"/>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4" o:spid="_x0000_s1232" style="position:absolute;margin-left:54.05pt;margin-top:14.7pt;width:105pt;height:38pt;z-index:251706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" o:allowincell="f" filled="f" stroked="f">
                <v:textbox inset="0,0,0,0">
                  <w:txbxContent>
                    <w:p w:rsidR="007B2B7B" w:rsidRDefault="007B2B7B">
                      <w:pPr>
                        <w:widowControl/>
                        <w:autoSpaceDE/>
                        <w:autoSpaceDN/>
                        <w:adjustRightInd/>
                        <w:spacing w:line="760" w:lineRule="atLeast"/>
                      </w:pPr>
                      <w:r>
                        <w:rPr>
                          <w:noProof/>
                        </w:rPr>
                        <w:drawing>
                          <wp:inline distT="0" distB="0" distL="0" distR="0">
                            <wp:extent cx="1343025" cy="485775"/>
                            <wp:effectExtent l="0" t="0" r="9525" b="9525"/>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1343025" cy="485775"/>
                                    </a:xfrm>
                                    <a:prstGeom prst="rect">
                                      <a:avLst/>
                                    </a:prstGeom>
                                    <a:noFill/>
                                    <a:ln>
                                      <a:noFill/>
                                    </a:ln>
                                  </pic:spPr>
                                </pic:pic>
                              </a:graphicData>
                            </a:graphic>
                          </wp:inline>
                        </w:drawing>
                      </w:r>
                    </w:p>
                    <w:p w:rsidR="007B2B7B" w:rsidRDefault="007B2B7B"/>
                  </w:txbxContent>
                </v:textbox>
                <w10:wrap type="topAndBottom" anchorx="page"/>
              </v:rect>
            </w:pict>
          </mc:Fallback>
        </mc:AlternateContent>
      </w:r>
    </w:p>
    <w:p w:rsidR="002C5025" w:rsidRDefault="002C5025">
      <w:pPr>
        <w:pStyle w:val="BodyText"/>
        <w:kinsoku w:val="0"/>
        <w:overflowPunct w:val="0"/>
        <w:ind w:left="120" w:right="5266"/>
        <w:rPr>
          <w:rFonts w:ascii="Times New Roman" w:hAnsi="Times New Roman" w:cs="Times New Roman"/>
          <w:sz w:val="24"/>
          <w:szCs w:val="24"/>
        </w:rPr>
      </w:pPr>
      <w:r>
        <w:rPr>
          <w:rFonts w:ascii="Times New Roman" w:hAnsi="Times New Roman" w:cs="Times New Roman"/>
          <w:sz w:val="24"/>
          <w:szCs w:val="24"/>
        </w:rPr>
        <w:t xml:space="preserve">DeWayne </w:t>
      </w:r>
      <w:proofErr w:type="spellStart"/>
      <w:r>
        <w:rPr>
          <w:rFonts w:ascii="Times New Roman" w:hAnsi="Times New Roman" w:cs="Times New Roman"/>
          <w:sz w:val="24"/>
          <w:szCs w:val="24"/>
        </w:rPr>
        <w:t>Pursley</w:t>
      </w:r>
      <w:proofErr w:type="spellEnd"/>
      <w:r>
        <w:rPr>
          <w:rFonts w:ascii="Times New Roman" w:hAnsi="Times New Roman" w:cs="Times New Roman"/>
          <w:sz w:val="24"/>
          <w:szCs w:val="24"/>
        </w:rPr>
        <w:t>, MD, MPH, FAAP President</w:t>
      </w:r>
    </w:p>
    <w:p w:rsidR="002C5025" w:rsidRDefault="002C5025">
      <w:pPr>
        <w:pStyle w:val="BodyText"/>
        <w:kinsoku w:val="0"/>
        <w:overflowPunct w:val="0"/>
        <w:ind w:left="120" w:right="310"/>
        <w:rPr>
          <w:rFonts w:ascii="Times New Roman" w:hAnsi="Times New Roman" w:cs="Times New Roman"/>
          <w:sz w:val="24"/>
          <w:szCs w:val="24"/>
        </w:rPr>
      </w:pPr>
      <w:r>
        <w:rPr>
          <w:rFonts w:ascii="Times New Roman" w:hAnsi="Times New Roman" w:cs="Times New Roman"/>
          <w:sz w:val="24"/>
          <w:szCs w:val="24"/>
        </w:rPr>
        <w:t>The Massachusetts Chapter of the American Academy of Pediatrics</w:t>
      </w:r>
    </w:p>
    <w:p w:rsidR="002C5025" w:rsidRDefault="002C5025">
      <w:pPr>
        <w:pStyle w:val="BodyText"/>
        <w:kinsoku w:val="0"/>
        <w:overflowPunct w:val="0"/>
        <w:ind w:left="120" w:right="310"/>
        <w:rPr>
          <w:rFonts w:ascii="Times New Roman" w:hAnsi="Times New Roman" w:cs="Times New Roman"/>
          <w:sz w:val="24"/>
          <w:szCs w:val="24"/>
        </w:rPr>
        <w:sectPr w:rsidR="002C5025">
          <w:pgSz w:w="12240" w:h="15840"/>
          <w:pgMar w:top="920" w:right="1400" w:bottom="280" w:left="960" w:header="720" w:footer="720" w:gutter="0"/>
          <w:cols w:space="720" w:equalWidth="0">
            <w:col w:w="9880"/>
          </w:cols>
          <w:noEndnote/>
        </w:sectPr>
      </w:pPr>
    </w:p>
    <w:p w:rsidR="002C5025" w:rsidRDefault="00FB027C">
      <w:pPr>
        <w:pStyle w:val="BodyText"/>
        <w:kinsoku w:val="0"/>
        <w:overflowPunct w:val="0"/>
        <w:ind w:left="150"/>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extent cx="2266950" cy="1219200"/>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426">
                      <a:extLst>
                        <a:ext uri="{28A0092B-C50C-407E-A947-70E740481C1C}">
                          <a14:useLocalDpi xmlns:a14="http://schemas.microsoft.com/office/drawing/2010/main" val="0"/>
                        </a:ext>
                      </a:extLst>
                    </a:blip>
                    <a:srcRect/>
                    <a:stretch>
                      <a:fillRect/>
                    </a:stretch>
                  </pic:blipFill>
                  <pic:spPr bwMode="auto">
                    <a:xfrm>
                      <a:off x="0" y="0"/>
                      <a:ext cx="2266950" cy="1219200"/>
                    </a:xfrm>
                    <a:prstGeom prst="rect">
                      <a:avLst/>
                    </a:prstGeom>
                    <a:noFill/>
                    <a:ln>
                      <a:noFill/>
                    </a:ln>
                  </pic:spPr>
                </pic:pic>
              </a:graphicData>
            </a:graphic>
          </wp:inline>
        </w:drawing>
      </w:r>
    </w:p>
    <w:p w:rsidR="002C5025" w:rsidRDefault="002C5025">
      <w:pPr>
        <w:pStyle w:val="BodyText"/>
        <w:kinsoku w:val="0"/>
        <w:overflowPunct w:val="0"/>
        <w:spacing w:before="17" w:line="276" w:lineRule="auto"/>
        <w:ind w:left="119" w:right="6407"/>
        <w:rPr>
          <w:rFonts w:ascii="Verdana" w:hAnsi="Verdana" w:cs="Verdana"/>
          <w:spacing w:val="-4"/>
        </w:rPr>
      </w:pPr>
      <w:bookmarkStart w:id="197" w:name="Massachusetts_Dental_Society_1115_Waiver"/>
      <w:bookmarkEnd w:id="197"/>
      <w:r>
        <w:rPr>
          <w:rFonts w:ascii="Verdana" w:hAnsi="Verdana" w:cs="Verdana"/>
        </w:rPr>
        <w:t xml:space="preserve">Two </w:t>
      </w:r>
      <w:r>
        <w:rPr>
          <w:rFonts w:ascii="Verdana" w:hAnsi="Verdana" w:cs="Verdana"/>
          <w:spacing w:val="-4"/>
        </w:rPr>
        <w:t xml:space="preserve">Willow </w:t>
      </w:r>
      <w:r>
        <w:rPr>
          <w:rFonts w:ascii="Verdana" w:hAnsi="Verdana" w:cs="Verdana"/>
        </w:rPr>
        <w:t>Street Southborough, MA</w:t>
      </w:r>
      <w:r>
        <w:rPr>
          <w:rFonts w:ascii="Verdana" w:hAnsi="Verdana" w:cs="Verdana"/>
          <w:spacing w:val="61"/>
        </w:rPr>
        <w:t xml:space="preserve"> </w:t>
      </w:r>
      <w:r>
        <w:rPr>
          <w:rFonts w:ascii="Verdana" w:hAnsi="Verdana" w:cs="Verdana"/>
          <w:spacing w:val="-4"/>
        </w:rPr>
        <w:t>01745</w:t>
      </w:r>
    </w:p>
    <w:p w:rsidR="002C5025" w:rsidRDefault="002C5025">
      <w:pPr>
        <w:pStyle w:val="BodyText"/>
        <w:kinsoku w:val="0"/>
        <w:overflowPunct w:val="0"/>
        <w:rPr>
          <w:rFonts w:ascii="Verdana" w:hAnsi="Verdana" w:cs="Verdana"/>
        </w:rPr>
      </w:pPr>
    </w:p>
    <w:p w:rsidR="002C5025" w:rsidRDefault="002C5025">
      <w:pPr>
        <w:pStyle w:val="BodyText"/>
        <w:kinsoku w:val="0"/>
        <w:overflowPunct w:val="0"/>
        <w:spacing w:before="6"/>
        <w:rPr>
          <w:rFonts w:ascii="Verdana" w:hAnsi="Verdana" w:cs="Verdana"/>
          <w:sz w:val="28"/>
          <w:szCs w:val="28"/>
        </w:rPr>
      </w:pPr>
    </w:p>
    <w:p w:rsidR="002C5025" w:rsidRDefault="002C5025">
      <w:pPr>
        <w:pStyle w:val="BodyText"/>
        <w:kinsoku w:val="0"/>
        <w:overflowPunct w:val="0"/>
        <w:ind w:left="120" w:right="5109"/>
        <w:rPr>
          <w:rFonts w:ascii="Verdana" w:hAnsi="Verdana" w:cs="Verdana"/>
        </w:rPr>
      </w:pPr>
      <w:r>
        <w:rPr>
          <w:rFonts w:ascii="Verdana" w:hAnsi="Verdana" w:cs="Verdana"/>
        </w:rPr>
        <w:t>July 15, 2016</w:t>
      </w:r>
    </w:p>
    <w:p w:rsidR="002C5025" w:rsidRDefault="002C5025">
      <w:pPr>
        <w:pStyle w:val="BodyText"/>
        <w:kinsoku w:val="0"/>
        <w:overflowPunct w:val="0"/>
        <w:spacing w:before="9"/>
        <w:rPr>
          <w:rFonts w:ascii="Verdana" w:hAnsi="Verdana" w:cs="Verdana"/>
          <w:sz w:val="28"/>
          <w:szCs w:val="28"/>
        </w:rPr>
      </w:pPr>
    </w:p>
    <w:p w:rsidR="002C5025" w:rsidRDefault="002C5025">
      <w:pPr>
        <w:pStyle w:val="BodyText"/>
        <w:kinsoku w:val="0"/>
        <w:overflowPunct w:val="0"/>
        <w:ind w:left="120" w:right="5109"/>
        <w:rPr>
          <w:rFonts w:ascii="Verdana" w:hAnsi="Verdana" w:cs="Verdana"/>
        </w:rPr>
      </w:pPr>
      <w:r>
        <w:rPr>
          <w:rFonts w:ascii="Verdana" w:hAnsi="Verdana" w:cs="Verdana"/>
        </w:rPr>
        <w:t>Daniel Tsai</w:t>
      </w:r>
    </w:p>
    <w:p w:rsidR="002C5025" w:rsidRDefault="002C5025">
      <w:pPr>
        <w:pStyle w:val="BodyText"/>
        <w:kinsoku w:val="0"/>
        <w:overflowPunct w:val="0"/>
        <w:spacing w:before="42"/>
        <w:ind w:left="120" w:right="5109"/>
        <w:rPr>
          <w:rFonts w:ascii="Verdana" w:hAnsi="Verdana" w:cs="Verdana"/>
        </w:rPr>
      </w:pPr>
      <w:r>
        <w:rPr>
          <w:rFonts w:ascii="Verdana" w:hAnsi="Verdana" w:cs="Verdana"/>
        </w:rPr>
        <w:t>Assistant Secretary for MassHealth</w:t>
      </w:r>
    </w:p>
    <w:p w:rsidR="002C5025" w:rsidRDefault="002C5025">
      <w:pPr>
        <w:pStyle w:val="BodyText"/>
        <w:kinsoku w:val="0"/>
        <w:overflowPunct w:val="0"/>
        <w:spacing w:before="39" w:line="256" w:lineRule="auto"/>
        <w:ind w:left="120" w:right="4070" w:hanging="1"/>
        <w:rPr>
          <w:rFonts w:ascii="Verdana" w:hAnsi="Verdana" w:cs="Verdana"/>
        </w:rPr>
      </w:pPr>
      <w:r>
        <w:rPr>
          <w:rFonts w:ascii="Verdana" w:hAnsi="Verdana" w:cs="Verdana"/>
        </w:rPr>
        <w:t>Executive Office of Health and Human Services One Ashburton Place, 11</w:t>
      </w:r>
      <w:proofErr w:type="spellStart"/>
      <w:r>
        <w:rPr>
          <w:rFonts w:ascii="Verdana" w:hAnsi="Verdana" w:cs="Verdana"/>
          <w:position w:val="10"/>
          <w:sz w:val="14"/>
          <w:szCs w:val="14"/>
        </w:rPr>
        <w:t>th</w:t>
      </w:r>
      <w:proofErr w:type="spellEnd"/>
      <w:r>
        <w:rPr>
          <w:rFonts w:ascii="Verdana" w:hAnsi="Verdana" w:cs="Verdana"/>
          <w:position w:val="10"/>
          <w:sz w:val="14"/>
          <w:szCs w:val="14"/>
        </w:rPr>
        <w:t xml:space="preserve"> </w:t>
      </w:r>
      <w:r>
        <w:rPr>
          <w:rFonts w:ascii="Verdana" w:hAnsi="Verdana" w:cs="Verdana"/>
        </w:rPr>
        <w:t>Floor</w:t>
      </w:r>
    </w:p>
    <w:p w:rsidR="002C5025" w:rsidRDefault="002C5025">
      <w:pPr>
        <w:pStyle w:val="BodyText"/>
        <w:kinsoku w:val="0"/>
        <w:overflowPunct w:val="0"/>
        <w:spacing w:before="17"/>
        <w:ind w:left="120" w:right="5109"/>
        <w:rPr>
          <w:rFonts w:ascii="Verdana" w:hAnsi="Verdana" w:cs="Verdana"/>
        </w:rPr>
      </w:pPr>
      <w:r>
        <w:rPr>
          <w:rFonts w:ascii="Verdana" w:hAnsi="Verdana" w:cs="Verdana"/>
        </w:rPr>
        <w:t>Boston, MA 02108</w:t>
      </w:r>
    </w:p>
    <w:p w:rsidR="002C5025" w:rsidRDefault="002C5025">
      <w:pPr>
        <w:pStyle w:val="BodyText"/>
        <w:kinsoku w:val="0"/>
        <w:overflowPunct w:val="0"/>
        <w:spacing w:before="9"/>
        <w:rPr>
          <w:rFonts w:ascii="Verdana" w:hAnsi="Verdana" w:cs="Verdana"/>
          <w:sz w:val="28"/>
          <w:szCs w:val="28"/>
        </w:rPr>
      </w:pPr>
    </w:p>
    <w:p w:rsidR="002C5025" w:rsidRDefault="002C5025">
      <w:pPr>
        <w:pStyle w:val="BodyText"/>
        <w:kinsoku w:val="0"/>
        <w:overflowPunct w:val="0"/>
        <w:spacing w:line="554" w:lineRule="auto"/>
        <w:ind w:left="120" w:right="773"/>
        <w:rPr>
          <w:rFonts w:ascii="Verdana" w:hAnsi="Verdana" w:cs="Verdana"/>
        </w:rPr>
      </w:pPr>
      <w:r>
        <w:rPr>
          <w:rFonts w:ascii="Verdana" w:hAnsi="Verdana" w:cs="Verdana"/>
        </w:rPr>
        <w:t>RE: Section 1115 Demonstration Project Amendment and Extension Request Dear Assistant Secretary Tsai,</w:t>
      </w:r>
    </w:p>
    <w:p w:rsidR="002C5025" w:rsidRDefault="002C5025">
      <w:pPr>
        <w:pStyle w:val="BodyText"/>
        <w:kinsoku w:val="0"/>
        <w:overflowPunct w:val="0"/>
        <w:spacing w:line="276" w:lineRule="auto"/>
        <w:ind w:left="120" w:right="23"/>
        <w:rPr>
          <w:rFonts w:ascii="Verdana" w:hAnsi="Verdana" w:cs="Verdana"/>
        </w:rPr>
      </w:pPr>
      <w:r>
        <w:rPr>
          <w:rFonts w:ascii="Verdana" w:hAnsi="Verdana" w:cs="Verdana"/>
        </w:rPr>
        <w:t>On behalf of the Massachusetts Dental Society, thank you for the opportunity to submit our comments on the proposed section 1115 demonstration project amendment and extension request. The Massachusetts Dental Society is comprised of approximately 5,200 Massachusetts dental professionals who are committed to furthering the oral health of the residents of the Commonwealth. It is well documented that oral health plays an integral role in overall health. Due to the separation of the dental program and medical program, however, it is not prudent, at this moment to integrate the MassHealth dental program into Affordable Care Organizations (ACOs).</w:t>
      </w:r>
    </w:p>
    <w:p w:rsidR="002C5025" w:rsidRDefault="002C5025">
      <w:pPr>
        <w:pStyle w:val="BodyText"/>
        <w:kinsoku w:val="0"/>
        <w:overflowPunct w:val="0"/>
        <w:spacing w:before="5"/>
        <w:rPr>
          <w:rFonts w:ascii="Verdana" w:hAnsi="Verdana" w:cs="Verdana"/>
          <w:sz w:val="16"/>
          <w:szCs w:val="16"/>
        </w:rPr>
      </w:pPr>
    </w:p>
    <w:p w:rsidR="002C5025" w:rsidRDefault="002C5025">
      <w:pPr>
        <w:pStyle w:val="BodyText"/>
        <w:kinsoku w:val="0"/>
        <w:overflowPunct w:val="0"/>
        <w:spacing w:line="276" w:lineRule="auto"/>
        <w:ind w:left="119" w:right="37"/>
        <w:rPr>
          <w:rFonts w:ascii="Verdana" w:hAnsi="Verdana" w:cs="Verdana"/>
        </w:rPr>
      </w:pPr>
      <w:r>
        <w:rPr>
          <w:rFonts w:ascii="Verdana" w:hAnsi="Verdana" w:cs="Verdana"/>
        </w:rPr>
        <w:t xml:space="preserve">As reflected </w:t>
      </w:r>
      <w:r>
        <w:rPr>
          <w:rFonts w:ascii="Verdana" w:hAnsi="Verdana" w:cs="Verdana"/>
          <w:spacing w:val="-3"/>
        </w:rPr>
        <w:t xml:space="preserve">in </w:t>
      </w:r>
      <w:r>
        <w:rPr>
          <w:rFonts w:ascii="Verdana" w:hAnsi="Verdana" w:cs="Verdana"/>
        </w:rPr>
        <w:t xml:space="preserve">the 1115 waiver request, the MassHealth dental program should remain as </w:t>
      </w:r>
      <w:r>
        <w:rPr>
          <w:rFonts w:ascii="Verdana" w:hAnsi="Verdana" w:cs="Verdana"/>
          <w:spacing w:val="-3"/>
        </w:rPr>
        <w:t xml:space="preserve">is </w:t>
      </w:r>
      <w:r>
        <w:rPr>
          <w:rFonts w:ascii="Verdana" w:hAnsi="Verdana" w:cs="Verdana"/>
        </w:rPr>
        <w:t xml:space="preserve">for the </w:t>
      </w:r>
      <w:r>
        <w:rPr>
          <w:rFonts w:ascii="Verdana" w:hAnsi="Verdana" w:cs="Verdana"/>
          <w:spacing w:val="-3"/>
        </w:rPr>
        <w:t xml:space="preserve">time being. </w:t>
      </w:r>
      <w:r>
        <w:rPr>
          <w:rFonts w:ascii="Verdana" w:hAnsi="Verdana" w:cs="Verdana"/>
        </w:rPr>
        <w:t xml:space="preserve">The Massachusetts Dental Society supports the </w:t>
      </w:r>
      <w:r>
        <w:rPr>
          <w:rFonts w:ascii="Verdana" w:hAnsi="Verdana" w:cs="Verdana"/>
          <w:spacing w:val="-3"/>
        </w:rPr>
        <w:t xml:space="preserve">waiver </w:t>
      </w:r>
      <w:r>
        <w:rPr>
          <w:rFonts w:ascii="Verdana" w:hAnsi="Verdana" w:cs="Verdana"/>
        </w:rPr>
        <w:t xml:space="preserve">request </w:t>
      </w:r>
      <w:r>
        <w:rPr>
          <w:rFonts w:ascii="Verdana" w:hAnsi="Verdana" w:cs="Verdana"/>
          <w:spacing w:val="-3"/>
        </w:rPr>
        <w:t xml:space="preserve">in its </w:t>
      </w:r>
      <w:r>
        <w:rPr>
          <w:rFonts w:ascii="Verdana" w:hAnsi="Verdana" w:cs="Verdana"/>
        </w:rPr>
        <w:t>current form, which also stipulates that oral health metrics</w:t>
      </w:r>
      <w:r>
        <w:rPr>
          <w:rFonts w:ascii="Verdana" w:hAnsi="Verdana" w:cs="Verdana"/>
          <w:spacing w:val="-4"/>
        </w:rPr>
        <w:t xml:space="preserve"> be </w:t>
      </w:r>
      <w:r>
        <w:rPr>
          <w:rFonts w:ascii="Verdana" w:hAnsi="Verdana" w:cs="Verdana"/>
        </w:rPr>
        <w:t xml:space="preserve">added to </w:t>
      </w:r>
      <w:r>
        <w:rPr>
          <w:rFonts w:ascii="Verdana" w:hAnsi="Verdana" w:cs="Verdana"/>
          <w:spacing w:val="-3"/>
        </w:rPr>
        <w:t xml:space="preserve">the </w:t>
      </w:r>
      <w:r>
        <w:rPr>
          <w:rFonts w:ascii="Verdana" w:hAnsi="Verdana" w:cs="Verdana"/>
        </w:rPr>
        <w:t xml:space="preserve">ACO quality measure slate. Until issues such as quality metrics, integrated records, and payment methodologies, etc., are defined, it would be premature to integrate the MassHealth dental program </w:t>
      </w:r>
      <w:r>
        <w:rPr>
          <w:rFonts w:ascii="Verdana" w:hAnsi="Verdana" w:cs="Verdana"/>
          <w:spacing w:val="-3"/>
        </w:rPr>
        <w:t xml:space="preserve">into </w:t>
      </w:r>
      <w:r>
        <w:rPr>
          <w:rFonts w:ascii="Verdana" w:hAnsi="Verdana" w:cs="Verdana"/>
        </w:rPr>
        <w:t>the ACO models.</w:t>
      </w:r>
    </w:p>
    <w:p w:rsidR="002C5025" w:rsidRDefault="002C5025">
      <w:pPr>
        <w:pStyle w:val="BodyText"/>
        <w:kinsoku w:val="0"/>
        <w:overflowPunct w:val="0"/>
        <w:spacing w:before="197" w:line="276" w:lineRule="auto"/>
        <w:ind w:left="120" w:right="17" w:hanging="1"/>
        <w:rPr>
          <w:rFonts w:ascii="Verdana" w:hAnsi="Verdana" w:cs="Verdana"/>
        </w:rPr>
      </w:pPr>
      <w:r>
        <w:rPr>
          <w:rFonts w:ascii="Verdana" w:hAnsi="Verdana" w:cs="Verdana"/>
        </w:rPr>
        <w:t>We anticipate that in the future, the dental program will be integrated into the ACO models, but recognize it will require time and further study to better understand</w:t>
      </w:r>
    </w:p>
    <w:p w:rsidR="002C5025" w:rsidRDefault="002C5025">
      <w:pPr>
        <w:pStyle w:val="BodyText"/>
        <w:kinsoku w:val="0"/>
        <w:overflowPunct w:val="0"/>
        <w:spacing w:before="197" w:line="276" w:lineRule="auto"/>
        <w:ind w:left="120" w:right="17" w:hanging="1"/>
        <w:rPr>
          <w:rFonts w:ascii="Verdana" w:hAnsi="Verdana" w:cs="Verdana"/>
        </w:rPr>
        <w:sectPr w:rsidR="002C5025">
          <w:pgSz w:w="12240" w:h="15840"/>
          <w:pgMar w:top="1440" w:right="1500" w:bottom="280" w:left="1320" w:header="720" w:footer="720" w:gutter="0"/>
          <w:cols w:space="720" w:equalWidth="0">
            <w:col w:w="9420"/>
          </w:cols>
          <w:noEndnote/>
        </w:sectPr>
      </w:pPr>
    </w:p>
    <w:p w:rsidR="002C5025" w:rsidRDefault="002C5025">
      <w:pPr>
        <w:pStyle w:val="BodyText"/>
        <w:kinsoku w:val="0"/>
        <w:overflowPunct w:val="0"/>
        <w:spacing w:before="32" w:line="278" w:lineRule="auto"/>
        <w:ind w:left="100" w:right="692" w:hanging="1"/>
        <w:rPr>
          <w:rFonts w:ascii="Verdana" w:hAnsi="Verdana" w:cs="Verdana"/>
        </w:rPr>
      </w:pPr>
      <w:r>
        <w:rPr>
          <w:rFonts w:ascii="Verdana" w:hAnsi="Verdana" w:cs="Verdana"/>
        </w:rPr>
        <w:lastRenderedPageBreak/>
        <w:t>the complexities of this transition and have strategy in place to address these differences before this can be accomplished.</w:t>
      </w:r>
    </w:p>
    <w:p w:rsidR="002C5025" w:rsidRDefault="002C5025">
      <w:pPr>
        <w:pStyle w:val="BodyText"/>
        <w:kinsoku w:val="0"/>
        <w:overflowPunct w:val="0"/>
        <w:spacing w:before="4"/>
        <w:rPr>
          <w:rFonts w:ascii="Verdana" w:hAnsi="Verdana" w:cs="Verdana"/>
          <w:sz w:val="16"/>
          <w:szCs w:val="16"/>
        </w:rPr>
      </w:pPr>
    </w:p>
    <w:p w:rsidR="002C5025" w:rsidRDefault="002C5025">
      <w:pPr>
        <w:pStyle w:val="BodyText"/>
        <w:kinsoku w:val="0"/>
        <w:overflowPunct w:val="0"/>
        <w:spacing w:line="276" w:lineRule="auto"/>
        <w:ind w:left="100" w:right="51"/>
        <w:rPr>
          <w:rFonts w:ascii="Verdana" w:hAnsi="Verdana" w:cs="Verdana"/>
        </w:rPr>
      </w:pPr>
      <w:r>
        <w:rPr>
          <w:rFonts w:ascii="Verdana" w:hAnsi="Verdana" w:cs="Verdana"/>
        </w:rPr>
        <w:t xml:space="preserve">Thank </w:t>
      </w:r>
      <w:r>
        <w:rPr>
          <w:rFonts w:ascii="Verdana" w:hAnsi="Verdana" w:cs="Verdana"/>
          <w:spacing w:val="-2"/>
        </w:rPr>
        <w:t xml:space="preserve">you </w:t>
      </w:r>
      <w:r>
        <w:rPr>
          <w:rFonts w:ascii="Verdana" w:hAnsi="Verdana" w:cs="Verdana"/>
        </w:rPr>
        <w:t xml:space="preserve">for the opportunity to offer our comments on </w:t>
      </w:r>
      <w:r>
        <w:rPr>
          <w:rFonts w:ascii="Verdana" w:hAnsi="Verdana" w:cs="Verdana"/>
          <w:spacing w:val="-3"/>
        </w:rPr>
        <w:t xml:space="preserve">the </w:t>
      </w:r>
      <w:r>
        <w:rPr>
          <w:rFonts w:ascii="Verdana" w:hAnsi="Verdana" w:cs="Verdana"/>
        </w:rPr>
        <w:t xml:space="preserve">proposed section </w:t>
      </w:r>
      <w:r>
        <w:rPr>
          <w:rFonts w:ascii="Verdana" w:hAnsi="Verdana" w:cs="Verdana"/>
          <w:spacing w:val="-4"/>
        </w:rPr>
        <w:t xml:space="preserve">1115 </w:t>
      </w:r>
      <w:r>
        <w:rPr>
          <w:rFonts w:ascii="Verdana" w:hAnsi="Verdana" w:cs="Verdana"/>
          <w:spacing w:val="-3"/>
        </w:rPr>
        <w:t xml:space="preserve">waiver </w:t>
      </w:r>
      <w:r>
        <w:rPr>
          <w:rFonts w:ascii="Verdana" w:hAnsi="Verdana" w:cs="Verdana"/>
        </w:rPr>
        <w:t xml:space="preserve">request. Prior to taking the step of adding the dental program </w:t>
      </w:r>
      <w:r>
        <w:rPr>
          <w:rFonts w:ascii="Verdana" w:hAnsi="Verdana" w:cs="Verdana"/>
          <w:spacing w:val="-3"/>
        </w:rPr>
        <w:t xml:space="preserve">into </w:t>
      </w:r>
      <w:r>
        <w:rPr>
          <w:rFonts w:ascii="Verdana" w:hAnsi="Verdana" w:cs="Verdana"/>
        </w:rPr>
        <w:t xml:space="preserve">ACOs, </w:t>
      </w:r>
      <w:r>
        <w:rPr>
          <w:rFonts w:ascii="Verdana" w:hAnsi="Verdana" w:cs="Verdana"/>
          <w:spacing w:val="-4"/>
        </w:rPr>
        <w:t xml:space="preserve">we </w:t>
      </w:r>
      <w:r>
        <w:rPr>
          <w:rFonts w:ascii="Verdana" w:hAnsi="Verdana" w:cs="Verdana"/>
        </w:rPr>
        <w:t xml:space="preserve">must address all of the relevant challenges and develop the most appropriate plan that will ensure the success of the overall program. We look forward to working together to ensure Massachusetts residents continue to receive the oral health </w:t>
      </w:r>
      <w:r>
        <w:rPr>
          <w:rFonts w:ascii="Verdana" w:hAnsi="Verdana" w:cs="Verdana"/>
          <w:spacing w:val="-3"/>
        </w:rPr>
        <w:t xml:space="preserve">care </w:t>
      </w:r>
      <w:r>
        <w:rPr>
          <w:rFonts w:ascii="Verdana" w:hAnsi="Verdana" w:cs="Verdana"/>
        </w:rPr>
        <w:t>they deserve.</w:t>
      </w:r>
    </w:p>
    <w:p w:rsidR="002C5025" w:rsidRDefault="002C5025">
      <w:pPr>
        <w:pStyle w:val="BodyText"/>
        <w:kinsoku w:val="0"/>
        <w:overflowPunct w:val="0"/>
        <w:spacing w:before="7"/>
        <w:rPr>
          <w:rFonts w:ascii="Verdana" w:hAnsi="Verdana" w:cs="Verdana"/>
          <w:sz w:val="16"/>
          <w:szCs w:val="16"/>
        </w:rPr>
      </w:pPr>
    </w:p>
    <w:p w:rsidR="002C5025" w:rsidRDefault="002C5025">
      <w:pPr>
        <w:pStyle w:val="BodyText"/>
        <w:kinsoku w:val="0"/>
        <w:overflowPunct w:val="0"/>
        <w:ind w:left="100" w:right="197"/>
        <w:rPr>
          <w:rFonts w:ascii="Verdana" w:hAnsi="Verdana" w:cs="Verdana"/>
        </w:rPr>
      </w:pPr>
      <w:r>
        <w:rPr>
          <w:rFonts w:ascii="Verdana" w:hAnsi="Verdana" w:cs="Verdana"/>
        </w:rPr>
        <w:t>Sincerely,</w:t>
      </w:r>
    </w:p>
    <w:p w:rsidR="002C5025" w:rsidRDefault="00FB027C">
      <w:pPr>
        <w:pStyle w:val="BodyText"/>
        <w:kinsoku w:val="0"/>
        <w:overflowPunct w:val="0"/>
        <w:spacing w:before="10"/>
        <w:rPr>
          <w:rFonts w:ascii="Verdana" w:hAnsi="Verdana" w:cs="Verdana"/>
          <w:sz w:val="16"/>
          <w:szCs w:val="16"/>
        </w:rPr>
      </w:pPr>
      <w:r>
        <w:rPr>
          <w:noProof/>
        </w:rPr>
        <mc:AlternateContent>
          <mc:Choice Requires="wps">
            <w:drawing>
              <wp:anchor distT="0" distB="0" distL="0" distR="0" simplePos="0" relativeHeight="251707904" behindDoc="0" locked="0" layoutInCell="0" allowOverlap="1">
                <wp:simplePos x="0" y="0"/>
                <wp:positionH relativeFrom="page">
                  <wp:posOffset>933450</wp:posOffset>
                </wp:positionH>
                <wp:positionV relativeFrom="paragraph">
                  <wp:posOffset>154940</wp:posOffset>
                </wp:positionV>
                <wp:extent cx="2603500" cy="469900"/>
                <wp:effectExtent l="0" t="0" r="0" b="0"/>
                <wp:wrapTopAndBottom/>
                <wp:docPr id="400" name="Rectangle 6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3500" cy="469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740" w:lineRule="atLeast"/>
                            </w:pPr>
                            <w:r>
                              <w:rPr>
                                <w:noProof/>
                              </w:rPr>
                              <w:drawing>
                                <wp:inline distT="0" distB="0" distL="0" distR="0">
                                  <wp:extent cx="2609850" cy="476250"/>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2609850" cy="476250"/>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5" o:spid="_x0000_s1233" style="position:absolute;margin-left:73.5pt;margin-top:12.2pt;width:205pt;height:37pt;z-index:251707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" o:allowincell="f" filled="f" stroked="f">
                <v:textbox inset="0,0,0,0">
                  <w:txbxContent>
                    <w:p w:rsidR="007B2B7B" w:rsidRDefault="007B2B7B">
                      <w:pPr>
                        <w:widowControl/>
                        <w:autoSpaceDE/>
                        <w:autoSpaceDN/>
                        <w:adjustRightInd/>
                        <w:spacing w:line="740" w:lineRule="atLeast"/>
                      </w:pPr>
                      <w:r>
                        <w:rPr>
                          <w:noProof/>
                        </w:rPr>
                        <w:drawing>
                          <wp:inline distT="0" distB="0" distL="0" distR="0">
                            <wp:extent cx="2609850" cy="476250"/>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2609850" cy="476250"/>
                                    </a:xfrm>
                                    <a:prstGeom prst="rect">
                                      <a:avLst/>
                                    </a:prstGeom>
                                    <a:noFill/>
                                    <a:ln>
                                      <a:noFill/>
                                    </a:ln>
                                  </pic:spPr>
                                </pic:pic>
                              </a:graphicData>
                            </a:graphic>
                          </wp:inline>
                        </w:drawing>
                      </w:r>
                    </w:p>
                    <w:p w:rsidR="007B2B7B" w:rsidRDefault="007B2B7B"/>
                  </w:txbxContent>
                </v:textbox>
                <w10:wrap type="topAndBottom" anchorx="page"/>
              </v:rect>
            </w:pict>
          </mc:Fallback>
        </mc:AlternateContent>
      </w:r>
    </w:p>
    <w:p w:rsidR="002C5025" w:rsidRDefault="002C5025">
      <w:pPr>
        <w:pStyle w:val="BodyText"/>
        <w:kinsoku w:val="0"/>
        <w:overflowPunct w:val="0"/>
        <w:spacing w:before="6" w:line="276" w:lineRule="auto"/>
        <w:ind w:left="100" w:right="5838" w:hanging="1"/>
        <w:rPr>
          <w:rFonts w:ascii="Verdana" w:hAnsi="Verdana" w:cs="Verdana"/>
        </w:rPr>
      </w:pPr>
      <w:r>
        <w:rPr>
          <w:rFonts w:ascii="Verdana" w:hAnsi="Verdana" w:cs="Verdana"/>
        </w:rPr>
        <w:t>Raymond Martin, DMD President</w:t>
      </w:r>
    </w:p>
    <w:p w:rsidR="002C5025" w:rsidRDefault="002C5025">
      <w:pPr>
        <w:pStyle w:val="BodyText"/>
        <w:kinsoku w:val="0"/>
        <w:overflowPunct w:val="0"/>
        <w:spacing w:line="265" w:lineRule="exact"/>
        <w:ind w:left="100" w:right="197"/>
        <w:rPr>
          <w:rFonts w:ascii="Verdana" w:hAnsi="Verdana" w:cs="Verdana"/>
        </w:rPr>
      </w:pPr>
      <w:r>
        <w:rPr>
          <w:rFonts w:ascii="Verdana" w:hAnsi="Verdana" w:cs="Verdana"/>
        </w:rPr>
        <w:t>Massachusetts Dental Society</w:t>
      </w:r>
    </w:p>
    <w:p w:rsidR="002C5025" w:rsidRDefault="002C5025">
      <w:pPr>
        <w:pStyle w:val="BodyText"/>
        <w:kinsoku w:val="0"/>
        <w:overflowPunct w:val="0"/>
        <w:spacing w:line="265" w:lineRule="exact"/>
        <w:ind w:left="100" w:right="197"/>
        <w:rPr>
          <w:rFonts w:ascii="Verdana" w:hAnsi="Verdana" w:cs="Verdana"/>
        </w:rPr>
        <w:sectPr w:rsidR="002C5025">
          <w:pgSz w:w="12240" w:h="15840"/>
          <w:pgMar w:top="1400" w:right="1460" w:bottom="280" w:left="1340" w:header="720" w:footer="720" w:gutter="0"/>
          <w:cols w:space="720" w:equalWidth="0">
            <w:col w:w="9440"/>
          </w:cols>
          <w:noEndnote/>
        </w:sectPr>
      </w:pPr>
    </w:p>
    <w:p w:rsidR="002C5025" w:rsidRDefault="00FB027C">
      <w:pPr>
        <w:pStyle w:val="BodyText"/>
        <w:kinsoku w:val="0"/>
        <w:overflowPunct w:val="0"/>
        <w:ind w:left="101"/>
        <w:rPr>
          <w:rFonts w:ascii="Verdana" w:hAnsi="Verdana" w:cs="Verdana"/>
          <w:sz w:val="20"/>
          <w:szCs w:val="20"/>
        </w:rPr>
      </w:pPr>
      <w:r>
        <w:rPr>
          <w:rFonts w:ascii="Verdana" w:hAnsi="Verdana" w:cs="Verdana"/>
          <w:noProof/>
          <w:sz w:val="20"/>
          <w:szCs w:val="20"/>
        </w:rPr>
        <w:lastRenderedPageBreak/>
        <w:drawing>
          <wp:inline distT="0" distB="0" distL="0" distR="0">
            <wp:extent cx="7086600" cy="1466850"/>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7086600" cy="1466850"/>
                    </a:xfrm>
                    <a:prstGeom prst="rect">
                      <a:avLst/>
                    </a:prstGeom>
                    <a:noFill/>
                    <a:ln>
                      <a:noFill/>
                    </a:ln>
                  </pic:spPr>
                </pic:pic>
              </a:graphicData>
            </a:graphic>
          </wp:inline>
        </w:drawing>
      </w:r>
    </w:p>
    <w:p w:rsidR="002C5025" w:rsidRDefault="002C5025">
      <w:pPr>
        <w:pStyle w:val="BodyText"/>
        <w:tabs>
          <w:tab w:val="left" w:pos="4239"/>
          <w:tab w:val="left" w:pos="7839"/>
        </w:tabs>
        <w:kinsoku w:val="0"/>
        <w:overflowPunct w:val="0"/>
        <w:spacing w:before="43" w:line="177" w:lineRule="exact"/>
        <w:ind w:left="820"/>
        <w:rPr>
          <w:rFonts w:ascii="Times New Roman" w:hAnsi="Times New Roman" w:cs="Times New Roman"/>
          <w:i/>
          <w:iCs/>
          <w:sz w:val="16"/>
          <w:szCs w:val="16"/>
        </w:rPr>
      </w:pPr>
      <w:bookmarkStart w:id="198" w:name="MassGeneral_Hospital_for_Children_Commen"/>
      <w:bookmarkEnd w:id="198"/>
      <w:r>
        <w:rPr>
          <w:rFonts w:ascii="Times New Roman" w:hAnsi="Times New Roman" w:cs="Times New Roman"/>
          <w:b/>
          <w:bCs/>
          <w:sz w:val="16"/>
          <w:szCs w:val="16"/>
        </w:rPr>
        <w:t>Ronald E.</w:t>
      </w:r>
      <w:r>
        <w:rPr>
          <w:rFonts w:ascii="Times New Roman" w:hAnsi="Times New Roman" w:cs="Times New Roman"/>
          <w:b/>
          <w:bCs/>
          <w:spacing w:val="-3"/>
          <w:sz w:val="16"/>
          <w:szCs w:val="16"/>
        </w:rPr>
        <w:t xml:space="preserve"> </w:t>
      </w:r>
      <w:proofErr w:type="spellStart"/>
      <w:r>
        <w:rPr>
          <w:rFonts w:ascii="Times New Roman" w:hAnsi="Times New Roman" w:cs="Times New Roman"/>
          <w:b/>
          <w:bCs/>
          <w:sz w:val="16"/>
          <w:szCs w:val="16"/>
        </w:rPr>
        <w:t>Kleinman</w:t>
      </w:r>
      <w:proofErr w:type="spellEnd"/>
      <w:r>
        <w:rPr>
          <w:rFonts w:ascii="Times New Roman" w:hAnsi="Times New Roman" w:cs="Times New Roman"/>
          <w:b/>
          <w:bCs/>
          <w:sz w:val="16"/>
          <w:szCs w:val="16"/>
        </w:rPr>
        <w:t>,</w:t>
      </w:r>
      <w:r>
        <w:rPr>
          <w:rFonts w:ascii="Times New Roman" w:hAnsi="Times New Roman" w:cs="Times New Roman"/>
          <w:b/>
          <w:bCs/>
          <w:spacing w:val="-1"/>
          <w:sz w:val="16"/>
          <w:szCs w:val="16"/>
        </w:rPr>
        <w:t xml:space="preserve"> </w:t>
      </w:r>
      <w:r>
        <w:rPr>
          <w:rFonts w:ascii="Times New Roman" w:hAnsi="Times New Roman" w:cs="Times New Roman"/>
          <w:b/>
          <w:bCs/>
          <w:sz w:val="16"/>
          <w:szCs w:val="16"/>
        </w:rPr>
        <w:t>MD</w:t>
      </w:r>
      <w:r>
        <w:rPr>
          <w:rFonts w:ascii="Times New Roman" w:hAnsi="Times New Roman" w:cs="Times New Roman"/>
          <w:b/>
          <w:bCs/>
          <w:sz w:val="16"/>
          <w:szCs w:val="16"/>
        </w:rPr>
        <w:tab/>
        <w:t>Physician</w:t>
      </w:r>
      <w:r>
        <w:rPr>
          <w:rFonts w:ascii="Times New Roman" w:hAnsi="Times New Roman" w:cs="Times New Roman"/>
          <w:b/>
          <w:bCs/>
          <w:spacing w:val="-5"/>
          <w:sz w:val="16"/>
          <w:szCs w:val="16"/>
        </w:rPr>
        <w:t xml:space="preserve"> </w:t>
      </w:r>
      <w:r>
        <w:rPr>
          <w:rFonts w:ascii="Times New Roman" w:hAnsi="Times New Roman" w:cs="Times New Roman"/>
          <w:b/>
          <w:bCs/>
          <w:sz w:val="16"/>
          <w:szCs w:val="16"/>
        </w:rPr>
        <w:t>in-Chief</w:t>
      </w:r>
      <w:r>
        <w:rPr>
          <w:rFonts w:ascii="Times New Roman" w:hAnsi="Times New Roman" w:cs="Times New Roman"/>
          <w:b/>
          <w:bCs/>
          <w:sz w:val="16"/>
          <w:szCs w:val="16"/>
        </w:rPr>
        <w:tab/>
      </w:r>
      <w:r>
        <w:rPr>
          <w:rFonts w:ascii="Times New Roman" w:hAnsi="Times New Roman" w:cs="Times New Roman"/>
          <w:i/>
          <w:iCs/>
          <w:sz w:val="16"/>
          <w:szCs w:val="16"/>
        </w:rPr>
        <w:t>Charles Wilder Professor of</w:t>
      </w:r>
      <w:r>
        <w:rPr>
          <w:rFonts w:ascii="Times New Roman" w:hAnsi="Times New Roman" w:cs="Times New Roman"/>
          <w:i/>
          <w:iCs/>
          <w:spacing w:val="-17"/>
          <w:sz w:val="16"/>
          <w:szCs w:val="16"/>
        </w:rPr>
        <w:t xml:space="preserve"> </w:t>
      </w:r>
      <w:r>
        <w:rPr>
          <w:rFonts w:ascii="Times New Roman" w:hAnsi="Times New Roman" w:cs="Times New Roman"/>
          <w:i/>
          <w:iCs/>
          <w:sz w:val="16"/>
          <w:szCs w:val="16"/>
        </w:rPr>
        <w:t>Pediatrics</w:t>
      </w:r>
    </w:p>
    <w:p w:rsidR="002C5025" w:rsidRDefault="002C5025">
      <w:pPr>
        <w:pStyle w:val="BodyText"/>
        <w:tabs>
          <w:tab w:val="left" w:pos="4239"/>
        </w:tabs>
        <w:kinsoku w:val="0"/>
        <w:overflowPunct w:val="0"/>
        <w:spacing w:line="191" w:lineRule="exact"/>
        <w:ind w:left="820"/>
        <w:rPr>
          <w:rFonts w:ascii="Times New Roman" w:hAnsi="Times New Roman" w:cs="Times New Roman"/>
          <w:i/>
          <w:iCs/>
          <w:sz w:val="16"/>
          <w:szCs w:val="16"/>
        </w:rPr>
      </w:pPr>
      <w:r>
        <w:rPr>
          <w:rFonts w:ascii="Times New Roman" w:hAnsi="Times New Roman" w:cs="Times New Roman"/>
          <w:sz w:val="16"/>
          <w:szCs w:val="16"/>
        </w:rPr>
        <w:t>175 Cambridge Street</w:t>
      </w:r>
      <w:r>
        <w:rPr>
          <w:rFonts w:ascii="Times New Roman" w:hAnsi="Times New Roman" w:cs="Times New Roman"/>
          <w:spacing w:val="-7"/>
          <w:sz w:val="16"/>
          <w:szCs w:val="16"/>
        </w:rPr>
        <w:t xml:space="preserve"> </w:t>
      </w:r>
      <w:r>
        <w:rPr>
          <w:rFonts w:ascii="Times New Roman" w:hAnsi="Times New Roman" w:cs="Times New Roman"/>
          <w:sz w:val="16"/>
          <w:szCs w:val="16"/>
        </w:rPr>
        <w:t>5</w:t>
      </w:r>
      <w:proofErr w:type="spellStart"/>
      <w:r>
        <w:rPr>
          <w:rFonts w:ascii="Times New Roman" w:hAnsi="Times New Roman" w:cs="Times New Roman"/>
          <w:position w:val="7"/>
          <w:sz w:val="10"/>
          <w:szCs w:val="10"/>
        </w:rPr>
        <w:t>th</w:t>
      </w:r>
      <w:proofErr w:type="spellEnd"/>
      <w:r>
        <w:rPr>
          <w:rFonts w:ascii="Times New Roman" w:hAnsi="Times New Roman" w:cs="Times New Roman"/>
          <w:spacing w:val="13"/>
          <w:position w:val="7"/>
          <w:sz w:val="10"/>
          <w:szCs w:val="10"/>
        </w:rPr>
        <w:t xml:space="preserve"> </w:t>
      </w:r>
      <w:r>
        <w:rPr>
          <w:rFonts w:ascii="Times New Roman" w:hAnsi="Times New Roman" w:cs="Times New Roman"/>
          <w:sz w:val="16"/>
          <w:szCs w:val="16"/>
        </w:rPr>
        <w:t>Floor</w:t>
      </w:r>
      <w:r>
        <w:rPr>
          <w:rFonts w:ascii="Times New Roman" w:hAnsi="Times New Roman" w:cs="Times New Roman"/>
          <w:sz w:val="16"/>
          <w:szCs w:val="16"/>
        </w:rPr>
        <w:tab/>
      </w:r>
      <w:r>
        <w:rPr>
          <w:rFonts w:ascii="Times New Roman" w:hAnsi="Times New Roman" w:cs="Times New Roman"/>
          <w:i/>
          <w:iCs/>
          <w:sz w:val="16"/>
          <w:szCs w:val="16"/>
        </w:rPr>
        <w:t>Chair, Department of</w:t>
      </w:r>
      <w:r>
        <w:rPr>
          <w:rFonts w:ascii="Times New Roman" w:hAnsi="Times New Roman" w:cs="Times New Roman"/>
          <w:i/>
          <w:iCs/>
          <w:spacing w:val="-10"/>
          <w:sz w:val="16"/>
          <w:szCs w:val="16"/>
        </w:rPr>
        <w:t xml:space="preserve"> </w:t>
      </w:r>
      <w:r>
        <w:rPr>
          <w:rFonts w:ascii="Times New Roman" w:hAnsi="Times New Roman" w:cs="Times New Roman"/>
          <w:i/>
          <w:iCs/>
          <w:sz w:val="16"/>
          <w:szCs w:val="16"/>
        </w:rPr>
        <w:t>Pediatrics</w:t>
      </w:r>
    </w:p>
    <w:p w:rsidR="002C5025" w:rsidRDefault="002C5025">
      <w:pPr>
        <w:pStyle w:val="BodyText"/>
        <w:kinsoku w:val="0"/>
        <w:overflowPunct w:val="0"/>
        <w:spacing w:before="1" w:line="183" w:lineRule="exact"/>
        <w:ind w:left="820"/>
        <w:rPr>
          <w:rFonts w:ascii="Times New Roman" w:hAnsi="Times New Roman" w:cs="Times New Roman"/>
          <w:sz w:val="16"/>
          <w:szCs w:val="16"/>
        </w:rPr>
      </w:pPr>
      <w:r>
        <w:rPr>
          <w:rFonts w:ascii="Times New Roman" w:hAnsi="Times New Roman" w:cs="Times New Roman"/>
          <w:sz w:val="16"/>
          <w:szCs w:val="16"/>
        </w:rPr>
        <w:t>Boston, Massachusetts 02114</w:t>
      </w:r>
    </w:p>
    <w:p w:rsidR="002C5025" w:rsidRDefault="002C5025">
      <w:pPr>
        <w:pStyle w:val="BodyText"/>
        <w:kinsoku w:val="0"/>
        <w:overflowPunct w:val="0"/>
        <w:spacing w:line="183" w:lineRule="exact"/>
        <w:ind w:left="820"/>
        <w:rPr>
          <w:rFonts w:ascii="Times New Roman" w:hAnsi="Times New Roman" w:cs="Times New Roman"/>
          <w:sz w:val="16"/>
          <w:szCs w:val="16"/>
        </w:rPr>
      </w:pPr>
      <w:r>
        <w:rPr>
          <w:rFonts w:ascii="Times New Roman" w:hAnsi="Times New Roman" w:cs="Times New Roman"/>
          <w:sz w:val="16"/>
          <w:szCs w:val="16"/>
        </w:rPr>
        <w:t>Tel: 617.724.2911 Fax: 617.643.5330</w:t>
      </w:r>
    </w:p>
    <w:p w:rsidR="002C5025" w:rsidRDefault="002C5025">
      <w:pPr>
        <w:pStyle w:val="BodyText"/>
        <w:kinsoku w:val="0"/>
        <w:overflowPunct w:val="0"/>
        <w:rPr>
          <w:rFonts w:ascii="Times New Roman" w:hAnsi="Times New Roman" w:cs="Times New Roman"/>
          <w:sz w:val="16"/>
          <w:szCs w:val="16"/>
        </w:rPr>
      </w:pPr>
    </w:p>
    <w:p w:rsidR="002C5025" w:rsidRDefault="002C5025">
      <w:pPr>
        <w:pStyle w:val="BodyText"/>
        <w:kinsoku w:val="0"/>
        <w:overflowPunct w:val="0"/>
        <w:rPr>
          <w:rFonts w:ascii="Times New Roman" w:hAnsi="Times New Roman" w:cs="Times New Roman"/>
          <w:sz w:val="16"/>
          <w:szCs w:val="16"/>
        </w:rPr>
      </w:pPr>
    </w:p>
    <w:p w:rsidR="002C5025" w:rsidRDefault="002C5025">
      <w:pPr>
        <w:pStyle w:val="BodyText"/>
        <w:kinsoku w:val="0"/>
        <w:overflowPunct w:val="0"/>
        <w:spacing w:before="4"/>
        <w:rPr>
          <w:rFonts w:ascii="Times New Roman" w:hAnsi="Times New Roman" w:cs="Times New Roman"/>
          <w:sz w:val="19"/>
          <w:szCs w:val="19"/>
        </w:rPr>
      </w:pPr>
    </w:p>
    <w:p w:rsidR="002C5025" w:rsidRDefault="002C5025">
      <w:pPr>
        <w:pStyle w:val="BodyText"/>
        <w:kinsoku w:val="0"/>
        <w:overflowPunct w:val="0"/>
        <w:spacing w:before="1"/>
        <w:ind w:left="820"/>
        <w:rPr>
          <w:sz w:val="24"/>
          <w:szCs w:val="24"/>
        </w:rPr>
      </w:pPr>
      <w:r>
        <w:rPr>
          <w:sz w:val="24"/>
          <w:szCs w:val="24"/>
        </w:rPr>
        <w:t>July 15, 2016</w:t>
      </w:r>
    </w:p>
    <w:p w:rsidR="002C5025" w:rsidRDefault="002C5025">
      <w:pPr>
        <w:pStyle w:val="BodyText"/>
        <w:kinsoku w:val="0"/>
        <w:overflowPunct w:val="0"/>
        <w:spacing w:before="11"/>
        <w:rPr>
          <w:sz w:val="23"/>
          <w:szCs w:val="23"/>
        </w:rPr>
      </w:pPr>
    </w:p>
    <w:p w:rsidR="002C5025" w:rsidRDefault="002C5025">
      <w:pPr>
        <w:pStyle w:val="BodyText"/>
        <w:kinsoku w:val="0"/>
        <w:overflowPunct w:val="0"/>
        <w:spacing w:before="1"/>
        <w:ind w:left="820"/>
        <w:rPr>
          <w:sz w:val="24"/>
          <w:szCs w:val="24"/>
        </w:rPr>
      </w:pPr>
      <w:r>
        <w:rPr>
          <w:sz w:val="24"/>
          <w:szCs w:val="24"/>
        </w:rPr>
        <w:t>Daniel Tsai</w:t>
      </w:r>
    </w:p>
    <w:p w:rsidR="002C5025" w:rsidRDefault="002C5025">
      <w:pPr>
        <w:pStyle w:val="BodyText"/>
        <w:kinsoku w:val="0"/>
        <w:overflowPunct w:val="0"/>
        <w:ind w:left="820"/>
        <w:rPr>
          <w:sz w:val="24"/>
          <w:szCs w:val="24"/>
        </w:rPr>
      </w:pPr>
      <w:r>
        <w:rPr>
          <w:sz w:val="24"/>
          <w:szCs w:val="24"/>
        </w:rPr>
        <w:t>Assistant Secretary for MassHealth</w:t>
      </w:r>
    </w:p>
    <w:p w:rsidR="002C5025" w:rsidRDefault="002C5025">
      <w:pPr>
        <w:pStyle w:val="BodyText"/>
        <w:kinsoku w:val="0"/>
        <w:overflowPunct w:val="0"/>
        <w:spacing w:line="242" w:lineRule="auto"/>
        <w:ind w:left="820" w:right="5989"/>
        <w:rPr>
          <w:sz w:val="24"/>
          <w:szCs w:val="24"/>
        </w:rPr>
      </w:pPr>
      <w:r>
        <w:rPr>
          <w:sz w:val="24"/>
          <w:szCs w:val="24"/>
        </w:rPr>
        <w:t>Executive Office of Health and Human Services One Ashburton Place, 11th floor</w:t>
      </w:r>
    </w:p>
    <w:p w:rsidR="002C5025" w:rsidRDefault="002C5025">
      <w:pPr>
        <w:pStyle w:val="BodyText"/>
        <w:kinsoku w:val="0"/>
        <w:overflowPunct w:val="0"/>
        <w:spacing w:line="290" w:lineRule="exact"/>
        <w:ind w:left="820"/>
        <w:rPr>
          <w:sz w:val="24"/>
          <w:szCs w:val="24"/>
        </w:rPr>
      </w:pPr>
      <w:r>
        <w:rPr>
          <w:sz w:val="24"/>
          <w:szCs w:val="24"/>
        </w:rPr>
        <w:t>Boston, MA 02108</w:t>
      </w:r>
    </w:p>
    <w:p w:rsidR="002C5025" w:rsidRDefault="002C5025">
      <w:pPr>
        <w:pStyle w:val="BodyText"/>
        <w:kinsoku w:val="0"/>
        <w:overflowPunct w:val="0"/>
        <w:spacing w:before="4"/>
        <w:rPr>
          <w:sz w:val="24"/>
          <w:szCs w:val="24"/>
        </w:rPr>
      </w:pPr>
    </w:p>
    <w:p w:rsidR="002C5025" w:rsidRDefault="002C5025">
      <w:pPr>
        <w:pStyle w:val="BodyText"/>
        <w:kinsoku w:val="0"/>
        <w:overflowPunct w:val="0"/>
        <w:spacing w:line="280" w:lineRule="exact"/>
        <w:ind w:left="820" w:right="1388"/>
        <w:rPr>
          <w:rFonts w:ascii="Times New Roman" w:hAnsi="Times New Roman" w:cs="Times New Roman"/>
          <w:sz w:val="24"/>
          <w:szCs w:val="24"/>
        </w:rPr>
      </w:pPr>
      <w:r>
        <w:rPr>
          <w:sz w:val="24"/>
          <w:szCs w:val="24"/>
        </w:rPr>
        <w:t xml:space="preserve">RE: Comments on MassHealth </w:t>
      </w:r>
      <w:r>
        <w:rPr>
          <w:rFonts w:ascii="Times New Roman" w:hAnsi="Times New Roman" w:cs="Times New Roman"/>
          <w:sz w:val="24"/>
          <w:szCs w:val="24"/>
        </w:rPr>
        <w:t>Section 1115 Demonstration Project Amendment and Extension Request</w:t>
      </w:r>
    </w:p>
    <w:p w:rsidR="002C5025" w:rsidRDefault="002C5025">
      <w:pPr>
        <w:pStyle w:val="BodyText"/>
        <w:kinsoku w:val="0"/>
        <w:overflowPunct w:val="0"/>
        <w:spacing w:before="1"/>
        <w:rPr>
          <w:rFonts w:ascii="Times New Roman" w:hAnsi="Times New Roman" w:cs="Times New Roman"/>
          <w:sz w:val="25"/>
          <w:szCs w:val="25"/>
        </w:rPr>
      </w:pPr>
    </w:p>
    <w:p w:rsidR="002C5025" w:rsidRDefault="002C5025">
      <w:pPr>
        <w:pStyle w:val="BodyText"/>
        <w:kinsoku w:val="0"/>
        <w:overflowPunct w:val="0"/>
        <w:ind w:left="820"/>
        <w:rPr>
          <w:rFonts w:ascii="Times New Roman" w:hAnsi="Times New Roman" w:cs="Times New Roman"/>
          <w:sz w:val="24"/>
          <w:szCs w:val="24"/>
        </w:rPr>
      </w:pPr>
      <w:r>
        <w:rPr>
          <w:rFonts w:ascii="Times New Roman" w:hAnsi="Times New Roman" w:cs="Times New Roman"/>
          <w:sz w:val="24"/>
          <w:szCs w:val="24"/>
        </w:rPr>
        <w:t>Dear Assistant Secretary Tsai:</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820" w:right="1322"/>
        <w:rPr>
          <w:rFonts w:ascii="Times New Roman" w:hAnsi="Times New Roman" w:cs="Times New Roman"/>
          <w:sz w:val="24"/>
          <w:szCs w:val="24"/>
        </w:rPr>
      </w:pPr>
      <w:r>
        <w:rPr>
          <w:rFonts w:ascii="Times New Roman" w:hAnsi="Times New Roman" w:cs="Times New Roman"/>
          <w:sz w:val="24"/>
          <w:szCs w:val="24"/>
        </w:rPr>
        <w:t xml:space="preserve">Please find below comments from the Department of Pediatrics at the </w:t>
      </w:r>
      <w:proofErr w:type="spellStart"/>
      <w:r>
        <w:rPr>
          <w:rFonts w:ascii="Times New Roman" w:hAnsi="Times New Roman" w:cs="Times New Roman"/>
          <w:sz w:val="24"/>
          <w:szCs w:val="24"/>
        </w:rPr>
        <w:t>MassGeneral</w:t>
      </w:r>
      <w:proofErr w:type="spellEnd"/>
      <w:r>
        <w:rPr>
          <w:rFonts w:ascii="Times New Roman" w:hAnsi="Times New Roman" w:cs="Times New Roman"/>
          <w:sz w:val="24"/>
          <w:szCs w:val="24"/>
        </w:rPr>
        <w:t xml:space="preserve"> Hospital for Children regarding the State’s proposed 1115 Medicaid waiver.</w:t>
      </w:r>
    </w:p>
    <w:p w:rsidR="002C5025" w:rsidRDefault="002C5025">
      <w:pPr>
        <w:pStyle w:val="BodyText"/>
        <w:kinsoku w:val="0"/>
        <w:overflowPunct w:val="0"/>
        <w:ind w:left="820" w:right="1042"/>
        <w:rPr>
          <w:rFonts w:ascii="Times New Roman" w:hAnsi="Times New Roman" w:cs="Times New Roman"/>
          <w:sz w:val="24"/>
          <w:szCs w:val="24"/>
        </w:rPr>
      </w:pPr>
      <w:r>
        <w:rPr>
          <w:rFonts w:ascii="Times New Roman" w:hAnsi="Times New Roman" w:cs="Times New Roman"/>
          <w:sz w:val="24"/>
          <w:szCs w:val="24"/>
        </w:rPr>
        <w:t>We very much applaud the efforts of the State to direct its Medicaid programs toward value incentives, behavioral health integration, inclusion of social determinants, and other work to reward providers’ efforts to achieve better health at reasonable cost for their patients and families. Many of the key elements of the State’s waiver proposal address pediatric issues and offer real opportunities to address important items in care for children and youth. Yet, it is critical to recognize that children and youth – who comprise almost 40% of State Medicaid enrollees – have substantially different health care needs, life course health trajectories, and social determinants that affect their health and well-being.  As one example, although the Primary Care Medical Home arose from early experimentation in pediatrics, the pediatric/family medical home does differ in critical ways from the adult medical home (</w:t>
      </w:r>
      <w:proofErr w:type="spellStart"/>
      <w:r>
        <w:rPr>
          <w:rFonts w:ascii="Times New Roman" w:hAnsi="Times New Roman" w:cs="Times New Roman"/>
          <w:sz w:val="24"/>
          <w:szCs w:val="24"/>
        </w:rPr>
        <w:t>Stille</w:t>
      </w:r>
      <w:proofErr w:type="spellEnd"/>
      <w:r>
        <w:rPr>
          <w:rFonts w:ascii="Times New Roman" w:hAnsi="Times New Roman" w:cs="Times New Roman"/>
          <w:sz w:val="24"/>
          <w:szCs w:val="24"/>
        </w:rPr>
        <w:t xml:space="preserve"> et al., Academic Pediatrics, 2010). Among the key differences are the 1) involvement of families in care of children, 2) emphasis on preventive services, and 3) different epidemiology of chronic health conditions among children and youth.</w:t>
      </w:r>
    </w:p>
    <w:p w:rsidR="002C5025" w:rsidRDefault="002C5025">
      <w:pPr>
        <w:pStyle w:val="BodyText"/>
        <w:kinsoku w:val="0"/>
        <w:overflowPunct w:val="0"/>
        <w:ind w:left="820" w:right="1056"/>
        <w:rPr>
          <w:rFonts w:ascii="Times New Roman" w:hAnsi="Times New Roman" w:cs="Times New Roman"/>
          <w:sz w:val="24"/>
          <w:szCs w:val="24"/>
        </w:rPr>
      </w:pPr>
      <w:r>
        <w:rPr>
          <w:rFonts w:ascii="Times New Roman" w:hAnsi="Times New Roman" w:cs="Times New Roman"/>
          <w:sz w:val="24"/>
          <w:szCs w:val="24"/>
        </w:rPr>
        <w:t>Pediatric care emphasizes prevention, based in large part on the services codified in Bright Futures and included in the Affordable Care Act. In addition to traditional pediatric issues such as screening and immunizations, prevention includes early attention to behavioral issues and to the social determinants that clearly affect a child’s growth, development, and wellbeing over time.</w:t>
      </w:r>
    </w:p>
    <w:p w:rsidR="002C5025" w:rsidRDefault="002C5025">
      <w:pPr>
        <w:pStyle w:val="BodyText"/>
        <w:kinsoku w:val="0"/>
        <w:overflowPunct w:val="0"/>
        <w:ind w:left="820" w:right="1042"/>
        <w:rPr>
          <w:rFonts w:ascii="Times New Roman" w:hAnsi="Times New Roman" w:cs="Times New Roman"/>
          <w:sz w:val="24"/>
          <w:szCs w:val="24"/>
        </w:rPr>
      </w:pPr>
      <w:r>
        <w:rPr>
          <w:rFonts w:ascii="Times New Roman" w:hAnsi="Times New Roman" w:cs="Times New Roman"/>
          <w:sz w:val="24"/>
          <w:szCs w:val="24"/>
        </w:rPr>
        <w:t>For chronic conditions, although the general public often views children as healthy unless they had major problems as newborns or if they have cancer, in reality, 10-20% of children have some chronic condition, and the rates of serious chronic conditions among children and youth have grown by 400% over the past half century. These chronic conditions include four common groups (asthma, obesity, mental health conditions, and neurodevelopmental conditions including autism) and a large number of rarer conditions (such as cystic fibrosis, leukemia, sickle cell disease, arthritis, and type 1 diabetes). Thus, large numbers of children and youth and their families need long term care services, as do adults and elderly populations.</w:t>
      </w:r>
    </w:p>
    <w:p w:rsidR="002C5025" w:rsidRDefault="002C5025">
      <w:pPr>
        <w:pStyle w:val="BodyText"/>
        <w:kinsoku w:val="0"/>
        <w:overflowPunct w:val="0"/>
        <w:ind w:left="820" w:right="1042"/>
        <w:rPr>
          <w:rFonts w:ascii="Times New Roman" w:hAnsi="Times New Roman" w:cs="Times New Roman"/>
          <w:sz w:val="24"/>
          <w:szCs w:val="24"/>
        </w:rPr>
        <w:sectPr w:rsidR="002C5025">
          <w:pgSz w:w="12240" w:h="15840"/>
          <w:pgMar w:top="280" w:right="420" w:bottom="280" w:left="440" w:header="720" w:footer="720" w:gutter="0"/>
          <w:cols w:space="720" w:equalWidth="0">
            <w:col w:w="11380"/>
          </w:cols>
          <w:noEndnote/>
        </w:sectPr>
      </w:pPr>
    </w:p>
    <w:p w:rsidR="002C5025" w:rsidRDefault="002C5025">
      <w:pPr>
        <w:pStyle w:val="BodyText"/>
        <w:kinsoku w:val="0"/>
        <w:overflowPunct w:val="0"/>
        <w:spacing w:before="40"/>
        <w:ind w:left="120" w:right="862"/>
        <w:rPr>
          <w:rFonts w:ascii="Times New Roman" w:hAnsi="Times New Roman" w:cs="Times New Roman"/>
          <w:sz w:val="24"/>
          <w:szCs w:val="24"/>
        </w:rPr>
      </w:pPr>
      <w:r>
        <w:rPr>
          <w:rFonts w:ascii="Times New Roman" w:hAnsi="Times New Roman" w:cs="Times New Roman"/>
          <w:sz w:val="24"/>
          <w:szCs w:val="24"/>
        </w:rPr>
        <w:lastRenderedPageBreak/>
        <w:t>With this background, we make the following recommendations regarding the State waiver proposal:</w:t>
      </w:r>
    </w:p>
    <w:p w:rsidR="002C5025" w:rsidRDefault="002C5025">
      <w:pPr>
        <w:pStyle w:val="ListParagraph"/>
        <w:numPr>
          <w:ilvl w:val="0"/>
          <w:numId w:val="36"/>
        </w:numPr>
        <w:tabs>
          <w:tab w:val="left" w:pos="660"/>
        </w:tabs>
        <w:kinsoku w:val="0"/>
        <w:overflowPunct w:val="0"/>
        <w:spacing w:before="7"/>
        <w:ind w:right="107" w:firstLine="0"/>
        <w:rPr>
          <w:rFonts w:ascii="Calibri" w:hAnsi="Calibri" w:cs="Calibri"/>
        </w:rPr>
      </w:pPr>
      <w:r>
        <w:rPr>
          <w:rFonts w:ascii="Calibri" w:hAnsi="Calibri" w:cs="Calibri"/>
          <w:u w:val="single"/>
        </w:rPr>
        <w:t>Behavioral health integration</w:t>
      </w:r>
      <w:r>
        <w:rPr>
          <w:rFonts w:ascii="Calibri" w:hAnsi="Calibri" w:cs="Calibri"/>
        </w:rPr>
        <w:t>. We very much appreciate the State’s commitment to behavioral health integration.  For children, with the real growth of mental health conditions in the pediatric population (esp., ADHD, depression, anxiety, and SUD), there is a need to address the critical need for prevention through screening and early identification of children at risk. Massachusetts has a better track record than most other States in pediatric screening, although the support for primary care and other interventions after children screen positive has been quite limited. Massachusetts has also innovated in the development of the Massachusetts Child Psychiatry Access Program (MCPAP), an important resource for primary care providers. Effective behavioral health integration will require a) support for primary care providers to carry out early identification, referral, and initiation of treatment (in some cases), b) co-located mental health professionals to provide care in practices and help to train primary care practitioners to expand their own skills in behavioral health. North Carolina, among other states, pioneered in providing Medicaid payment for several initial visits, even without a specific mental health diagnosis, to aid in early assessment and</w:t>
      </w:r>
      <w:r>
        <w:rPr>
          <w:rFonts w:ascii="Calibri" w:hAnsi="Calibri" w:cs="Calibri"/>
          <w:spacing w:val="-9"/>
        </w:rPr>
        <w:t xml:space="preserve"> </w:t>
      </w:r>
      <w:r>
        <w:rPr>
          <w:rFonts w:ascii="Calibri" w:hAnsi="Calibri" w:cs="Calibri"/>
        </w:rPr>
        <w:t>treatment.</w:t>
      </w:r>
    </w:p>
    <w:p w:rsidR="002C5025" w:rsidRDefault="002C5025">
      <w:pPr>
        <w:pStyle w:val="BodyText"/>
        <w:kinsoku w:val="0"/>
        <w:overflowPunct w:val="0"/>
        <w:ind w:left="120" w:right="602" w:firstLine="540"/>
        <w:rPr>
          <w:sz w:val="24"/>
          <w:szCs w:val="24"/>
        </w:rPr>
      </w:pPr>
      <w:r>
        <w:rPr>
          <w:sz w:val="24"/>
          <w:szCs w:val="24"/>
        </w:rPr>
        <w:t>Behavioral health conditions in children are associated also with social determinants of health. Households living in poverty experience higher rates of mental health conditions; children exposed to toxic stress have much higher rates of mental health conditions.</w:t>
      </w:r>
    </w:p>
    <w:p w:rsidR="002C5025" w:rsidRDefault="002C5025">
      <w:pPr>
        <w:pStyle w:val="BodyText"/>
        <w:kinsoku w:val="0"/>
        <w:overflowPunct w:val="0"/>
        <w:ind w:left="120" w:right="407" w:firstLine="540"/>
        <w:rPr>
          <w:sz w:val="24"/>
          <w:szCs w:val="24"/>
        </w:rPr>
      </w:pPr>
      <w:r>
        <w:rPr>
          <w:sz w:val="24"/>
          <w:szCs w:val="24"/>
        </w:rPr>
        <w:t>As the State certifies behavioral health providers, it is essential that such providers document competence in addressing behavioral health needs among children and adolescents and assure access to those services in agreements with ACOs.</w:t>
      </w:r>
    </w:p>
    <w:p w:rsidR="002C5025" w:rsidRDefault="002C5025">
      <w:pPr>
        <w:pStyle w:val="BodyText"/>
        <w:kinsoku w:val="0"/>
        <w:overflowPunct w:val="0"/>
        <w:spacing w:before="11"/>
        <w:rPr>
          <w:sz w:val="23"/>
          <w:szCs w:val="23"/>
        </w:rPr>
      </w:pPr>
    </w:p>
    <w:p w:rsidR="002C5025" w:rsidRDefault="002C5025">
      <w:pPr>
        <w:pStyle w:val="ListParagraph"/>
        <w:numPr>
          <w:ilvl w:val="0"/>
          <w:numId w:val="36"/>
        </w:numPr>
        <w:tabs>
          <w:tab w:val="left" w:pos="660"/>
        </w:tabs>
        <w:kinsoku w:val="0"/>
        <w:overflowPunct w:val="0"/>
        <w:spacing w:before="1"/>
        <w:ind w:right="121" w:firstLine="0"/>
        <w:rPr>
          <w:rFonts w:ascii="Calibri" w:hAnsi="Calibri" w:cs="Calibri"/>
        </w:rPr>
      </w:pPr>
      <w:r>
        <w:rPr>
          <w:rFonts w:ascii="Calibri" w:hAnsi="Calibri" w:cs="Calibri"/>
          <w:u w:val="single"/>
        </w:rPr>
        <w:t>Childhood chronic conditions</w:t>
      </w:r>
      <w:r>
        <w:rPr>
          <w:rFonts w:ascii="Calibri" w:hAnsi="Calibri" w:cs="Calibri"/>
        </w:rPr>
        <w:t>. As noted above, the child Medicaid/CHIP population includes large numbers with chronic conditions, including a smaller group with complex, LT care needs, often with multiple body systems involved. Many of these children also have behavioral health needs.</w:t>
      </w:r>
    </w:p>
    <w:p w:rsidR="002C5025" w:rsidRDefault="002C5025">
      <w:pPr>
        <w:pStyle w:val="BodyText"/>
        <w:tabs>
          <w:tab w:val="left" w:pos="9299"/>
        </w:tabs>
        <w:kinsoku w:val="0"/>
        <w:overflowPunct w:val="0"/>
        <w:ind w:left="119" w:right="123" w:firstLine="540"/>
        <w:rPr>
          <w:rFonts w:ascii="Times New Roman" w:hAnsi="Times New Roman" w:cs="Times New Roman"/>
          <w:sz w:val="24"/>
          <w:szCs w:val="24"/>
        </w:rPr>
      </w:pPr>
      <w:r>
        <w:rPr>
          <w:rFonts w:ascii="Times New Roman" w:hAnsi="Times New Roman" w:cs="Times New Roman"/>
          <w:sz w:val="24"/>
          <w:szCs w:val="24"/>
        </w:rPr>
        <w:t>For the larger number of children with less complex chronic conditions, there is a need for active care coordination, either within practices or in the community.  It will be critical to recognize and identify the specific pediatric chronic care populations, develop methods for monitoring and coordinating their care, and assessing quality using specific</w:t>
      </w:r>
      <w:r>
        <w:rPr>
          <w:rFonts w:ascii="Times New Roman" w:hAnsi="Times New Roman" w:cs="Times New Roman"/>
          <w:spacing w:val="-22"/>
          <w:sz w:val="24"/>
          <w:szCs w:val="24"/>
        </w:rPr>
        <w:t xml:space="preserve"> </w:t>
      </w:r>
      <w:r>
        <w:rPr>
          <w:rFonts w:ascii="Times New Roman" w:hAnsi="Times New Roman" w:cs="Times New Roman"/>
          <w:sz w:val="24"/>
          <w:szCs w:val="24"/>
        </w:rPr>
        <w:t>pediatric</w:t>
      </w:r>
      <w:r>
        <w:rPr>
          <w:rFonts w:ascii="Times New Roman" w:hAnsi="Times New Roman" w:cs="Times New Roman"/>
          <w:spacing w:val="-2"/>
          <w:sz w:val="24"/>
          <w:szCs w:val="24"/>
        </w:rPr>
        <w:t xml:space="preserve"> </w:t>
      </w:r>
      <w:r>
        <w:rPr>
          <w:rFonts w:ascii="Times New Roman" w:hAnsi="Times New Roman" w:cs="Times New Roman"/>
          <w:sz w:val="24"/>
          <w:szCs w:val="24"/>
        </w:rPr>
        <w:t>metrics.</w:t>
      </w:r>
      <w:r>
        <w:rPr>
          <w:rFonts w:ascii="Times New Roman" w:hAnsi="Times New Roman" w:cs="Times New Roman"/>
          <w:sz w:val="24"/>
          <w:szCs w:val="24"/>
        </w:rPr>
        <w:tab/>
        <w:t>We applaud the State’s attention to the One Care model (person-centered, focus on independent living in community settings, culturally competent). This model is also relevant for households raising children with complex chronic conditions, and we ask that the specifications for the State program here address directly the special needs of children and youth with complex chronic</w:t>
      </w:r>
      <w:r>
        <w:rPr>
          <w:rFonts w:ascii="Times New Roman" w:hAnsi="Times New Roman" w:cs="Times New Roman"/>
          <w:spacing w:val="-20"/>
          <w:sz w:val="24"/>
          <w:szCs w:val="24"/>
        </w:rPr>
        <w:t xml:space="preserve"> </w:t>
      </w:r>
      <w:r>
        <w:rPr>
          <w:rFonts w:ascii="Times New Roman" w:hAnsi="Times New Roman" w:cs="Times New Roman"/>
          <w:sz w:val="24"/>
          <w:szCs w:val="24"/>
        </w:rPr>
        <w:t>conditions.</w:t>
      </w:r>
    </w:p>
    <w:p w:rsidR="002C5025" w:rsidRDefault="002C5025">
      <w:pPr>
        <w:pStyle w:val="BodyText"/>
        <w:kinsoku w:val="0"/>
        <w:overflowPunct w:val="0"/>
        <w:ind w:left="119" w:right="203"/>
        <w:rPr>
          <w:rFonts w:ascii="Times New Roman" w:hAnsi="Times New Roman" w:cs="Times New Roman"/>
          <w:sz w:val="24"/>
          <w:szCs w:val="24"/>
        </w:rPr>
      </w:pPr>
      <w:r>
        <w:rPr>
          <w:rFonts w:ascii="Times New Roman" w:hAnsi="Times New Roman" w:cs="Times New Roman"/>
          <w:sz w:val="24"/>
          <w:szCs w:val="24"/>
        </w:rPr>
        <w:t>Similarly, as the State certifies LTSS providers, we ask that they document their ability to provide services to children and youth with LTSS needs and assure access.</w:t>
      </w:r>
    </w:p>
    <w:p w:rsidR="002C5025" w:rsidRDefault="002C5025">
      <w:pPr>
        <w:pStyle w:val="BodyText"/>
        <w:kinsoku w:val="0"/>
        <w:overflowPunct w:val="0"/>
        <w:spacing w:before="7"/>
        <w:rPr>
          <w:rFonts w:ascii="Times New Roman" w:hAnsi="Times New Roman" w:cs="Times New Roman"/>
          <w:sz w:val="24"/>
          <w:szCs w:val="24"/>
        </w:rPr>
      </w:pPr>
    </w:p>
    <w:p w:rsidR="002C5025" w:rsidRDefault="002C5025">
      <w:pPr>
        <w:pStyle w:val="ListParagraph"/>
        <w:numPr>
          <w:ilvl w:val="0"/>
          <w:numId w:val="36"/>
        </w:numPr>
        <w:tabs>
          <w:tab w:val="left" w:pos="660"/>
        </w:tabs>
        <w:kinsoku w:val="0"/>
        <w:overflowPunct w:val="0"/>
        <w:ind w:right="162" w:firstLine="0"/>
        <w:rPr>
          <w:rFonts w:ascii="Calibri" w:hAnsi="Calibri" w:cs="Calibri"/>
        </w:rPr>
      </w:pPr>
      <w:r>
        <w:rPr>
          <w:rFonts w:ascii="Calibri" w:hAnsi="Calibri" w:cs="Calibri"/>
          <w:u w:val="single"/>
        </w:rPr>
        <w:t>Network adequacy</w:t>
      </w:r>
      <w:r>
        <w:rPr>
          <w:rFonts w:ascii="Calibri" w:hAnsi="Calibri" w:cs="Calibri"/>
        </w:rPr>
        <w:t>. Especially for the more rare pediatric chronic conditions, children need highly specialized care from pediatric centers of excellence, well-equipped with specialists in pediatric medicine and surgery, knowledgeable about and experienced with these relatively rare conditions. Many communities lack such specialized services. For network adequacy, pediatric needs differ in substantial ways from adult-oriented networks, where specialists are more readily available in community settings. It is critical that the network adequacy specifications for ACOs clarify services needed by children with rare conditions and assure their inclusion in the ACO. Relying on an exceptions policy for out-of-network care does not adequately address the needs of these children and</w:t>
      </w:r>
      <w:r>
        <w:rPr>
          <w:rFonts w:ascii="Calibri" w:hAnsi="Calibri" w:cs="Calibri"/>
          <w:spacing w:val="-10"/>
        </w:rPr>
        <w:t xml:space="preserve"> </w:t>
      </w:r>
      <w:r>
        <w:rPr>
          <w:rFonts w:ascii="Calibri" w:hAnsi="Calibri" w:cs="Calibri"/>
        </w:rPr>
        <w:t>families.</w:t>
      </w:r>
    </w:p>
    <w:p w:rsidR="002C5025" w:rsidRDefault="002C5025">
      <w:pPr>
        <w:pStyle w:val="BodyText"/>
        <w:kinsoku w:val="0"/>
        <w:overflowPunct w:val="0"/>
        <w:spacing w:before="7"/>
      </w:pPr>
    </w:p>
    <w:p w:rsidR="002C5025" w:rsidRDefault="002C5025">
      <w:pPr>
        <w:pStyle w:val="ListParagraph"/>
        <w:numPr>
          <w:ilvl w:val="0"/>
          <w:numId w:val="36"/>
        </w:numPr>
        <w:tabs>
          <w:tab w:val="left" w:pos="660"/>
        </w:tabs>
        <w:kinsoku w:val="0"/>
        <w:overflowPunct w:val="0"/>
        <w:ind w:right="109" w:firstLine="0"/>
        <w:rPr>
          <w:rFonts w:ascii="Calibri" w:hAnsi="Calibri" w:cs="Calibri"/>
        </w:rPr>
      </w:pPr>
      <w:r>
        <w:rPr>
          <w:rFonts w:ascii="Calibri" w:hAnsi="Calibri" w:cs="Calibri"/>
          <w:u w:val="single"/>
        </w:rPr>
        <w:t>Value and metrics</w:t>
      </w:r>
      <w:r>
        <w:rPr>
          <w:rFonts w:ascii="Calibri" w:hAnsi="Calibri" w:cs="Calibri"/>
        </w:rPr>
        <w:t>. We agree with the move toward value-based payments in the State ACO plans. Here, too, it is critical to recognize that measures of value for older populations will not work for the children and youth population.  Measure of quality, coordination, integration,</w:t>
      </w:r>
      <w:r>
        <w:rPr>
          <w:rFonts w:ascii="Calibri" w:hAnsi="Calibri" w:cs="Calibri"/>
          <w:spacing w:val="-28"/>
        </w:rPr>
        <w:t xml:space="preserve"> </w:t>
      </w:r>
      <w:r>
        <w:rPr>
          <w:rFonts w:ascii="Calibri" w:hAnsi="Calibri" w:cs="Calibri"/>
        </w:rPr>
        <w:t>and</w:t>
      </w:r>
    </w:p>
    <w:p w:rsidR="002C5025" w:rsidRDefault="002C5025">
      <w:pPr>
        <w:pStyle w:val="ListParagraph"/>
        <w:numPr>
          <w:ilvl w:val="0"/>
          <w:numId w:val="36"/>
        </w:numPr>
        <w:tabs>
          <w:tab w:val="left" w:pos="660"/>
        </w:tabs>
        <w:kinsoku w:val="0"/>
        <w:overflowPunct w:val="0"/>
        <w:ind w:right="109" w:firstLine="0"/>
        <w:rPr>
          <w:rFonts w:ascii="Calibri" w:hAnsi="Calibri" w:cs="Calibri"/>
        </w:rPr>
        <w:sectPr w:rsidR="002C5025">
          <w:pgSz w:w="12240" w:h="15840"/>
          <w:pgMar w:top="240" w:right="1340" w:bottom="280" w:left="1140" w:header="720" w:footer="720" w:gutter="0"/>
          <w:cols w:space="720" w:equalWidth="0">
            <w:col w:w="9760"/>
          </w:cols>
          <w:noEndnote/>
        </w:sectPr>
      </w:pPr>
    </w:p>
    <w:p w:rsidR="002C5025" w:rsidRDefault="002C5025">
      <w:pPr>
        <w:pStyle w:val="BodyText"/>
        <w:kinsoku w:val="0"/>
        <w:overflowPunct w:val="0"/>
        <w:spacing w:before="27"/>
        <w:ind w:left="119"/>
        <w:rPr>
          <w:sz w:val="24"/>
          <w:szCs w:val="24"/>
        </w:rPr>
      </w:pPr>
      <w:r>
        <w:rPr>
          <w:sz w:val="24"/>
          <w:szCs w:val="24"/>
        </w:rPr>
        <w:lastRenderedPageBreak/>
        <w:t>total cost should be pediatric-specific for the pediatric population. Some work from CMS and AHRQ supported pediatric Centers of Excellence and has led to more effective metrics, and the American Academy of Pediatrics has drafted consensus metrics for use in pediatrics. Of note, the pediatric community, very much in agreement on the need to address social determinants, has begun as well to consider newer measures of value, such as school readiness at age 5, literacy at age 8, and high school graduation. We ask that the State define metrics of value for the pediatric population, in consultation with the pediatric community in the State.</w:t>
      </w:r>
    </w:p>
    <w:p w:rsidR="002C5025" w:rsidRDefault="002C5025">
      <w:pPr>
        <w:pStyle w:val="BodyText"/>
        <w:kinsoku w:val="0"/>
        <w:overflowPunct w:val="0"/>
        <w:ind w:left="119" w:right="517" w:firstLine="540"/>
        <w:rPr>
          <w:rFonts w:ascii="Times New Roman" w:hAnsi="Times New Roman" w:cs="Times New Roman"/>
          <w:sz w:val="24"/>
          <w:szCs w:val="24"/>
        </w:rPr>
      </w:pPr>
      <w:r>
        <w:rPr>
          <w:rFonts w:ascii="Times New Roman" w:hAnsi="Times New Roman" w:cs="Times New Roman"/>
          <w:sz w:val="24"/>
          <w:szCs w:val="24"/>
        </w:rPr>
        <w:t>Timely and accurate data regarding Medicaid recipients and their utilization is of course critical both to document value but also for providers to best manage resources and implement changes in care to improve quality and health. ACOs in Model A should have access to and control over their own data; for other models, contracts with the MCOs should specify requirements for accurate and timely data shared with providers.</w:t>
      </w:r>
    </w:p>
    <w:p w:rsidR="002C5025" w:rsidRDefault="002C5025">
      <w:pPr>
        <w:pStyle w:val="ListParagraph"/>
        <w:numPr>
          <w:ilvl w:val="0"/>
          <w:numId w:val="36"/>
        </w:numPr>
        <w:tabs>
          <w:tab w:val="left" w:pos="660"/>
        </w:tabs>
        <w:kinsoku w:val="0"/>
        <w:overflowPunct w:val="0"/>
        <w:spacing w:before="7"/>
        <w:ind w:right="126" w:firstLine="0"/>
        <w:rPr>
          <w:rFonts w:ascii="Calibri" w:hAnsi="Calibri" w:cs="Calibri"/>
        </w:rPr>
      </w:pPr>
      <w:r>
        <w:rPr>
          <w:rFonts w:ascii="Calibri" w:hAnsi="Calibri" w:cs="Calibri"/>
          <w:u w:val="single"/>
        </w:rPr>
        <w:t>Social determinants</w:t>
      </w:r>
      <w:r>
        <w:rPr>
          <w:rFonts w:ascii="Calibri" w:hAnsi="Calibri" w:cs="Calibri"/>
        </w:rPr>
        <w:t>. The State notes that the DSRIP plan includes investments in certain defined, currently non-reimbursed “flexible services” to address social determinants. This proposal addresses a critical need in pediatric health.  With the vast amount of data indicating the importance of experiences in the early years of life, along with data that document how early toxic experiences lead to serious long-term adult disease, we believe it is critical to provide services that address social determinants in practice. Innovations here include the use of medical-legal teams in practice and the Health Leads program, but the basic message is that practices need flexible services to help identify family needs and then to link families with community services that can help address those needs. We recommend that the ACO models require the use of these funds to support practice-based staff who can help to address social determinants, including building links with effective community</w:t>
      </w:r>
      <w:r>
        <w:rPr>
          <w:rFonts w:ascii="Calibri" w:hAnsi="Calibri" w:cs="Calibri"/>
          <w:spacing w:val="-24"/>
        </w:rPr>
        <w:t xml:space="preserve"> </w:t>
      </w:r>
      <w:r>
        <w:rPr>
          <w:rFonts w:ascii="Calibri" w:hAnsi="Calibri" w:cs="Calibri"/>
        </w:rPr>
        <w:t>providers.</w:t>
      </w:r>
    </w:p>
    <w:p w:rsidR="002C5025" w:rsidRDefault="002C5025">
      <w:pPr>
        <w:pStyle w:val="BodyText"/>
        <w:kinsoku w:val="0"/>
        <w:overflowPunct w:val="0"/>
        <w:spacing w:before="7"/>
      </w:pPr>
    </w:p>
    <w:p w:rsidR="002C5025" w:rsidRDefault="002C5025">
      <w:pPr>
        <w:pStyle w:val="ListParagraph"/>
        <w:numPr>
          <w:ilvl w:val="0"/>
          <w:numId w:val="36"/>
        </w:numPr>
        <w:tabs>
          <w:tab w:val="left" w:pos="660"/>
        </w:tabs>
        <w:kinsoku w:val="0"/>
        <w:overflowPunct w:val="0"/>
        <w:ind w:right="326" w:firstLine="0"/>
        <w:rPr>
          <w:rFonts w:ascii="Calibri" w:hAnsi="Calibri" w:cs="Calibri"/>
        </w:rPr>
      </w:pPr>
      <w:r>
        <w:rPr>
          <w:rFonts w:ascii="Calibri" w:hAnsi="Calibri" w:cs="Calibri"/>
          <w:u w:val="single"/>
        </w:rPr>
        <w:t>Attribution</w:t>
      </w:r>
      <w:r>
        <w:rPr>
          <w:rFonts w:ascii="Calibri" w:hAnsi="Calibri" w:cs="Calibri"/>
        </w:rPr>
        <w:t>. Substantial work has addressed methods to attribute patients to specific practices as their major source of care. Essentially none of this work has addressed pediatric practices and networks, and it is not clear that attribution methodology developed for adult populations will work for pediatrics. We ask the State to work with the pediatric community to determine best methods for attribution as networks</w:t>
      </w:r>
      <w:r>
        <w:rPr>
          <w:rFonts w:ascii="Calibri" w:hAnsi="Calibri" w:cs="Calibri"/>
          <w:spacing w:val="-18"/>
        </w:rPr>
        <w:t xml:space="preserve"> </w:t>
      </w:r>
      <w:r>
        <w:rPr>
          <w:rFonts w:ascii="Calibri" w:hAnsi="Calibri" w:cs="Calibri"/>
        </w:rPr>
        <w:t>develop.</w:t>
      </w:r>
    </w:p>
    <w:p w:rsidR="002C5025" w:rsidRDefault="002C5025">
      <w:pPr>
        <w:pStyle w:val="BodyText"/>
        <w:kinsoku w:val="0"/>
        <w:overflowPunct w:val="0"/>
        <w:spacing w:before="2"/>
      </w:pPr>
    </w:p>
    <w:p w:rsidR="002C5025" w:rsidRDefault="002C5025">
      <w:pPr>
        <w:pStyle w:val="BodyText"/>
        <w:kinsoku w:val="0"/>
        <w:overflowPunct w:val="0"/>
        <w:ind w:left="120" w:right="555" w:firstLine="540"/>
        <w:rPr>
          <w:rFonts w:ascii="Times New Roman" w:hAnsi="Times New Roman" w:cs="Times New Roman"/>
          <w:sz w:val="24"/>
          <w:szCs w:val="24"/>
        </w:rPr>
      </w:pPr>
      <w:r>
        <w:rPr>
          <w:rFonts w:ascii="Times New Roman" w:hAnsi="Times New Roman" w:cs="Times New Roman"/>
          <w:sz w:val="24"/>
          <w:szCs w:val="24"/>
        </w:rPr>
        <w:t>Thank you very much for the opportunity to participate in the review of the State’s 1115 waiver proposal.</w:t>
      </w:r>
    </w:p>
    <w:p w:rsidR="002C5025" w:rsidRDefault="002C5025">
      <w:pPr>
        <w:pStyle w:val="BodyText"/>
        <w:kinsoku w:val="0"/>
        <w:overflowPunct w:val="0"/>
        <w:spacing w:before="10"/>
        <w:rPr>
          <w:rFonts w:ascii="Times New Roman" w:hAnsi="Times New Roman" w:cs="Times New Roman"/>
          <w:sz w:val="35"/>
          <w:szCs w:val="35"/>
        </w:rPr>
      </w:pPr>
    </w:p>
    <w:p w:rsidR="002C5025" w:rsidRDefault="00FB027C">
      <w:pPr>
        <w:pStyle w:val="BodyText"/>
        <w:kinsoku w:val="0"/>
        <w:overflowPunct w:val="0"/>
        <w:ind w:left="120"/>
        <w:rPr>
          <w:rFonts w:ascii="Times New Roman" w:hAnsi="Times New Roman" w:cs="Times New Roman"/>
          <w:sz w:val="24"/>
          <w:szCs w:val="24"/>
        </w:rPr>
      </w:pPr>
      <w:r>
        <w:rPr>
          <w:noProof/>
        </w:rPr>
        <mc:AlternateContent>
          <mc:Choice Requires="wps">
            <w:drawing>
              <wp:anchor distT="0" distB="0" distL="114300" distR="114300" simplePos="0" relativeHeight="251708928" behindDoc="1" locked="0" layoutInCell="0" allowOverlap="1">
                <wp:simplePos x="0" y="0"/>
                <wp:positionH relativeFrom="page">
                  <wp:posOffset>819150</wp:posOffset>
                </wp:positionH>
                <wp:positionV relativeFrom="paragraph">
                  <wp:posOffset>180340</wp:posOffset>
                </wp:positionV>
                <wp:extent cx="1638300" cy="850900"/>
                <wp:effectExtent l="0" t="0" r="0" b="0"/>
                <wp:wrapNone/>
                <wp:docPr id="399" name="Rectangle 6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0" cy="850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1340" w:lineRule="atLeast"/>
                            </w:pPr>
                            <w:r>
                              <w:rPr>
                                <w:noProof/>
                              </w:rPr>
                              <w:drawing>
                                <wp:inline distT="0" distB="0" distL="0" distR="0">
                                  <wp:extent cx="1647825" cy="866775"/>
                                  <wp:effectExtent l="0" t="0" r="9525" b="9525"/>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430">
                                            <a:extLst>
                                              <a:ext uri="{28A0092B-C50C-407E-A947-70E740481C1C}">
                                                <a14:useLocalDpi xmlns:a14="http://schemas.microsoft.com/office/drawing/2010/main" val="0"/>
                                              </a:ext>
                                            </a:extLst>
                                          </a:blip>
                                          <a:srcRect/>
                                          <a:stretch>
                                            <a:fillRect/>
                                          </a:stretch>
                                        </pic:blipFill>
                                        <pic:spPr bwMode="auto">
                                          <a:xfrm>
                                            <a:off x="0" y="0"/>
                                            <a:ext cx="1647825" cy="866775"/>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6" o:spid="_x0000_s1234" style="position:absolute;left:0;text-align:left;margin-left:64.5pt;margin-top:14.2pt;width:129pt;height:67pt;z-index:-251607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" o:allowincell="f" filled="f" stroked="f">
                <v:textbox inset="0,0,0,0">
                  <w:txbxContent>
                    <w:p w:rsidR="007B2B7B" w:rsidRDefault="007B2B7B">
                      <w:pPr>
                        <w:widowControl/>
                        <w:autoSpaceDE/>
                        <w:autoSpaceDN/>
                        <w:adjustRightInd/>
                        <w:spacing w:line="1340" w:lineRule="atLeast"/>
                      </w:pPr>
                      <w:r>
                        <w:rPr>
                          <w:noProof/>
                        </w:rPr>
                        <w:drawing>
                          <wp:inline distT="0" distB="0" distL="0" distR="0">
                            <wp:extent cx="1647825" cy="866775"/>
                            <wp:effectExtent l="0" t="0" r="9525" b="9525"/>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431">
                                      <a:extLst>
                                        <a:ext uri="{28A0092B-C50C-407E-A947-70E740481C1C}">
                                          <a14:useLocalDpi xmlns:a14="http://schemas.microsoft.com/office/drawing/2010/main" val="0"/>
                                        </a:ext>
                                      </a:extLst>
                                    </a:blip>
                                    <a:srcRect/>
                                    <a:stretch>
                                      <a:fillRect/>
                                    </a:stretch>
                                  </pic:blipFill>
                                  <pic:spPr bwMode="auto">
                                    <a:xfrm>
                                      <a:off x="0" y="0"/>
                                      <a:ext cx="1647825" cy="866775"/>
                                    </a:xfrm>
                                    <a:prstGeom prst="rect">
                                      <a:avLst/>
                                    </a:prstGeom>
                                    <a:noFill/>
                                    <a:ln>
                                      <a:noFill/>
                                    </a:ln>
                                  </pic:spPr>
                                </pic:pic>
                              </a:graphicData>
                            </a:graphic>
                          </wp:inline>
                        </w:drawing>
                      </w:r>
                    </w:p>
                    <w:p w:rsidR="007B2B7B" w:rsidRDefault="007B2B7B"/>
                  </w:txbxContent>
                </v:textbox>
                <w10:wrap anchorx="page"/>
              </v:rect>
            </w:pict>
          </mc:Fallback>
        </mc:AlternateContent>
      </w:r>
      <w:r w:rsidR="002C5025">
        <w:rPr>
          <w:rFonts w:ascii="Times New Roman" w:hAnsi="Times New Roman" w:cs="Times New Roman"/>
          <w:sz w:val="24"/>
          <w:szCs w:val="24"/>
        </w:rPr>
        <w:t>Very sincerely,</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spacing w:before="5"/>
        <w:rPr>
          <w:rFonts w:ascii="Times New Roman" w:hAnsi="Times New Roman" w:cs="Times New Roman"/>
          <w:sz w:val="33"/>
          <w:szCs w:val="33"/>
        </w:rPr>
      </w:pPr>
    </w:p>
    <w:p w:rsidR="002C5025" w:rsidRDefault="002C5025">
      <w:pPr>
        <w:pStyle w:val="BodyText"/>
        <w:kinsoku w:val="0"/>
        <w:overflowPunct w:val="0"/>
        <w:spacing w:line="690" w:lineRule="atLeast"/>
        <w:ind w:left="180" w:right="7107" w:hanging="60"/>
        <w:rPr>
          <w:rFonts w:ascii="Times New Roman" w:hAnsi="Times New Roman" w:cs="Times New Roman"/>
          <w:sz w:val="24"/>
          <w:szCs w:val="24"/>
        </w:rPr>
      </w:pPr>
      <w:r>
        <w:rPr>
          <w:rFonts w:ascii="Times New Roman" w:hAnsi="Times New Roman" w:cs="Times New Roman"/>
          <w:sz w:val="24"/>
          <w:szCs w:val="24"/>
        </w:rPr>
        <w:t xml:space="preserve">Ronald E. </w:t>
      </w:r>
      <w:proofErr w:type="spellStart"/>
      <w:r>
        <w:rPr>
          <w:rFonts w:ascii="Times New Roman" w:hAnsi="Times New Roman" w:cs="Times New Roman"/>
          <w:sz w:val="24"/>
          <w:szCs w:val="24"/>
        </w:rPr>
        <w:t>Kleinman</w:t>
      </w:r>
      <w:proofErr w:type="spellEnd"/>
      <w:r>
        <w:rPr>
          <w:rFonts w:ascii="Times New Roman" w:hAnsi="Times New Roman" w:cs="Times New Roman"/>
          <w:sz w:val="24"/>
          <w:szCs w:val="24"/>
        </w:rPr>
        <w:t xml:space="preserve">, MD </w:t>
      </w:r>
      <w:proofErr w:type="spellStart"/>
      <w:r>
        <w:rPr>
          <w:rFonts w:ascii="Times New Roman" w:hAnsi="Times New Roman" w:cs="Times New Roman"/>
          <w:sz w:val="24"/>
          <w:szCs w:val="24"/>
        </w:rPr>
        <w:t>Etc</w:t>
      </w:r>
      <w:proofErr w:type="spellEnd"/>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tabs>
          <w:tab w:val="left" w:pos="659"/>
        </w:tabs>
        <w:kinsoku w:val="0"/>
        <w:overflowPunct w:val="0"/>
        <w:ind w:left="660" w:right="5683" w:hanging="540"/>
        <w:rPr>
          <w:rFonts w:ascii="Times New Roman" w:hAnsi="Times New Roman" w:cs="Times New Roman"/>
          <w:sz w:val="24"/>
          <w:szCs w:val="24"/>
        </w:rPr>
      </w:pPr>
      <w:r>
        <w:rPr>
          <w:rFonts w:ascii="Times New Roman" w:hAnsi="Times New Roman" w:cs="Times New Roman"/>
          <w:sz w:val="24"/>
          <w:szCs w:val="24"/>
        </w:rPr>
        <w:t>Cc:</w:t>
      </w:r>
      <w:r>
        <w:rPr>
          <w:rFonts w:ascii="Times New Roman" w:hAnsi="Times New Roman" w:cs="Times New Roman"/>
          <w:sz w:val="24"/>
          <w:szCs w:val="24"/>
        </w:rPr>
        <w:tab/>
      </w:r>
      <w:proofErr w:type="spellStart"/>
      <w:r>
        <w:rPr>
          <w:rFonts w:ascii="Times New Roman" w:hAnsi="Times New Roman" w:cs="Times New Roman"/>
          <w:sz w:val="24"/>
          <w:szCs w:val="24"/>
        </w:rPr>
        <w:t>Alexy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Arauz</w:t>
      </w:r>
      <w:proofErr w:type="spellEnd"/>
      <w:r>
        <w:rPr>
          <w:rFonts w:ascii="Times New Roman" w:hAnsi="Times New Roman" w:cs="Times New Roman"/>
          <w:sz w:val="24"/>
          <w:szCs w:val="24"/>
        </w:rPr>
        <w:t xml:space="preserve"> Boudreau,</w:t>
      </w:r>
      <w:r>
        <w:rPr>
          <w:rFonts w:ascii="Times New Roman" w:hAnsi="Times New Roman" w:cs="Times New Roman"/>
          <w:spacing w:val="-5"/>
          <w:sz w:val="24"/>
          <w:szCs w:val="24"/>
        </w:rPr>
        <w:t xml:space="preserve"> </w:t>
      </w:r>
      <w:r>
        <w:rPr>
          <w:rFonts w:ascii="Times New Roman" w:hAnsi="Times New Roman" w:cs="Times New Roman"/>
          <w:sz w:val="24"/>
          <w:szCs w:val="24"/>
        </w:rPr>
        <w:t>MD,</w:t>
      </w:r>
      <w:r>
        <w:rPr>
          <w:rFonts w:ascii="Times New Roman" w:hAnsi="Times New Roman" w:cs="Times New Roman"/>
          <w:spacing w:val="-1"/>
          <w:sz w:val="24"/>
          <w:szCs w:val="24"/>
        </w:rPr>
        <w:t xml:space="preserve"> </w:t>
      </w:r>
      <w:r>
        <w:rPr>
          <w:rFonts w:ascii="Times New Roman" w:hAnsi="Times New Roman" w:cs="Times New Roman"/>
          <w:sz w:val="24"/>
          <w:szCs w:val="24"/>
        </w:rPr>
        <w:t>MPH</w:t>
      </w:r>
      <w:r>
        <w:rPr>
          <w:rFonts w:ascii="Times New Roman" w:hAnsi="Times New Roman" w:cs="Times New Roman"/>
          <w:w w:val="99"/>
          <w:sz w:val="24"/>
          <w:szCs w:val="24"/>
        </w:rPr>
        <w:t xml:space="preserve"> </w:t>
      </w:r>
      <w:r>
        <w:rPr>
          <w:rFonts w:ascii="Times New Roman" w:hAnsi="Times New Roman" w:cs="Times New Roman"/>
          <w:sz w:val="24"/>
          <w:szCs w:val="24"/>
        </w:rPr>
        <w:t>Peter Greenspan,</w:t>
      </w:r>
      <w:r>
        <w:rPr>
          <w:rFonts w:ascii="Times New Roman" w:hAnsi="Times New Roman" w:cs="Times New Roman"/>
          <w:spacing w:val="-7"/>
          <w:sz w:val="24"/>
          <w:szCs w:val="24"/>
        </w:rPr>
        <w:t xml:space="preserve"> </w:t>
      </w:r>
      <w:r>
        <w:rPr>
          <w:rFonts w:ascii="Times New Roman" w:hAnsi="Times New Roman" w:cs="Times New Roman"/>
          <w:sz w:val="24"/>
          <w:szCs w:val="24"/>
        </w:rPr>
        <w:t>MD</w:t>
      </w:r>
    </w:p>
    <w:p w:rsidR="002C5025" w:rsidRDefault="002C5025">
      <w:pPr>
        <w:pStyle w:val="BodyText"/>
        <w:kinsoku w:val="0"/>
        <w:overflowPunct w:val="0"/>
        <w:ind w:left="660" w:right="6966"/>
        <w:rPr>
          <w:rFonts w:ascii="Times New Roman" w:hAnsi="Times New Roman" w:cs="Times New Roman"/>
          <w:sz w:val="24"/>
          <w:szCs w:val="24"/>
        </w:rPr>
      </w:pPr>
      <w:r>
        <w:rPr>
          <w:rFonts w:ascii="Times New Roman" w:hAnsi="Times New Roman" w:cs="Times New Roman"/>
          <w:sz w:val="24"/>
          <w:szCs w:val="24"/>
        </w:rPr>
        <w:t>James M. Perrin, MD Kim Simonian</w:t>
      </w:r>
    </w:p>
    <w:p w:rsidR="002C5025" w:rsidRDefault="002C5025">
      <w:pPr>
        <w:pStyle w:val="BodyText"/>
        <w:kinsoku w:val="0"/>
        <w:overflowPunct w:val="0"/>
        <w:ind w:left="660"/>
        <w:rPr>
          <w:rFonts w:ascii="Times New Roman" w:hAnsi="Times New Roman" w:cs="Times New Roman"/>
          <w:sz w:val="24"/>
          <w:szCs w:val="24"/>
        </w:rPr>
      </w:pPr>
      <w:r>
        <w:rPr>
          <w:rFonts w:ascii="Times New Roman" w:hAnsi="Times New Roman" w:cs="Times New Roman"/>
          <w:sz w:val="24"/>
          <w:szCs w:val="24"/>
        </w:rPr>
        <w:t>Elsie Taveras, MD, MPH</w:t>
      </w:r>
    </w:p>
    <w:p w:rsidR="002C5025" w:rsidRDefault="002C5025">
      <w:pPr>
        <w:pStyle w:val="BodyText"/>
        <w:kinsoku w:val="0"/>
        <w:overflowPunct w:val="0"/>
        <w:ind w:left="660"/>
        <w:rPr>
          <w:rFonts w:ascii="Times New Roman" w:hAnsi="Times New Roman" w:cs="Times New Roman"/>
          <w:sz w:val="24"/>
          <w:szCs w:val="24"/>
        </w:rPr>
        <w:sectPr w:rsidR="002C5025">
          <w:pgSz w:w="12240" w:h="15840"/>
          <w:pgMar w:top="260" w:right="1380" w:bottom="280" w:left="1140" w:header="720" w:footer="720" w:gutter="0"/>
          <w:cols w:space="720" w:equalWidth="0">
            <w:col w:w="9720"/>
          </w:cols>
          <w:noEndnote/>
        </w:sectPr>
      </w:pPr>
    </w:p>
    <w:p w:rsidR="002C5025" w:rsidRDefault="00FB027C">
      <w:pPr>
        <w:pStyle w:val="BodyText"/>
        <w:kinsoku w:val="0"/>
        <w:overflowPunct w:val="0"/>
        <w:ind w:left="100" w:right="-24"/>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extent cx="5991225" cy="561975"/>
            <wp:effectExtent l="0" t="0" r="9525" b="9525"/>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432">
                      <a:extLst>
                        <a:ext uri="{28A0092B-C50C-407E-A947-70E740481C1C}">
                          <a14:useLocalDpi xmlns:a14="http://schemas.microsoft.com/office/drawing/2010/main" val="0"/>
                        </a:ext>
                      </a:extLst>
                    </a:blip>
                    <a:srcRect/>
                    <a:stretch>
                      <a:fillRect/>
                    </a:stretch>
                  </pic:blipFill>
                  <pic:spPr bwMode="auto">
                    <a:xfrm>
                      <a:off x="0" y="0"/>
                      <a:ext cx="5991225" cy="561975"/>
                    </a:xfrm>
                    <a:prstGeom prst="rect">
                      <a:avLst/>
                    </a:prstGeom>
                    <a:noFill/>
                    <a:ln>
                      <a:noFill/>
                    </a:ln>
                  </pic:spPr>
                </pic:pic>
              </a:graphicData>
            </a:graphic>
          </wp:inline>
        </w:drawing>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1"/>
        <w:rPr>
          <w:rFonts w:ascii="Times New Roman" w:hAnsi="Times New Roman" w:cs="Times New Roman"/>
          <w:sz w:val="19"/>
          <w:szCs w:val="19"/>
        </w:rPr>
      </w:pPr>
    </w:p>
    <w:p w:rsidR="002C5025" w:rsidRDefault="002C5025">
      <w:pPr>
        <w:pStyle w:val="BodyText"/>
        <w:kinsoku w:val="0"/>
        <w:overflowPunct w:val="0"/>
        <w:spacing w:before="69"/>
        <w:ind w:left="100" w:right="327"/>
        <w:rPr>
          <w:rFonts w:ascii="Times New Roman" w:hAnsi="Times New Roman" w:cs="Times New Roman"/>
          <w:sz w:val="24"/>
          <w:szCs w:val="24"/>
        </w:rPr>
      </w:pPr>
      <w:bookmarkStart w:id="199" w:name="MHA_Comment_Letter_on_MassHealth__Waiver"/>
      <w:bookmarkEnd w:id="199"/>
      <w:r>
        <w:rPr>
          <w:rFonts w:ascii="Times New Roman" w:hAnsi="Times New Roman" w:cs="Times New Roman"/>
          <w:sz w:val="24"/>
          <w:szCs w:val="24"/>
        </w:rPr>
        <w:t>July 8, 2016</w:t>
      </w:r>
    </w:p>
    <w:p w:rsidR="002C5025" w:rsidRDefault="002C5025">
      <w:pPr>
        <w:pStyle w:val="BodyText"/>
        <w:kinsoku w:val="0"/>
        <w:overflowPunct w:val="0"/>
        <w:spacing w:before="3"/>
        <w:rPr>
          <w:rFonts w:ascii="Times New Roman" w:hAnsi="Times New Roman" w:cs="Times New Roman"/>
          <w:sz w:val="31"/>
          <w:szCs w:val="31"/>
        </w:rPr>
      </w:pPr>
    </w:p>
    <w:p w:rsidR="002C5025" w:rsidRDefault="002C5025">
      <w:pPr>
        <w:pStyle w:val="BodyText"/>
        <w:kinsoku w:val="0"/>
        <w:overflowPunct w:val="0"/>
        <w:ind w:left="100" w:right="327"/>
        <w:rPr>
          <w:rFonts w:ascii="Times New Roman" w:hAnsi="Times New Roman" w:cs="Times New Roman"/>
          <w:sz w:val="24"/>
          <w:szCs w:val="24"/>
        </w:rPr>
      </w:pPr>
      <w:r>
        <w:rPr>
          <w:rFonts w:ascii="Times New Roman" w:hAnsi="Times New Roman" w:cs="Times New Roman"/>
          <w:sz w:val="24"/>
          <w:szCs w:val="24"/>
        </w:rPr>
        <w:t>Daniel Tsai</w:t>
      </w:r>
    </w:p>
    <w:p w:rsidR="002C5025" w:rsidRDefault="002C5025">
      <w:pPr>
        <w:pStyle w:val="BodyText"/>
        <w:kinsoku w:val="0"/>
        <w:overflowPunct w:val="0"/>
        <w:spacing w:before="41" w:line="276" w:lineRule="auto"/>
        <w:ind w:left="100" w:right="4495"/>
        <w:rPr>
          <w:rFonts w:ascii="Times New Roman" w:hAnsi="Times New Roman" w:cs="Times New Roman"/>
          <w:sz w:val="24"/>
          <w:szCs w:val="24"/>
        </w:rPr>
      </w:pPr>
      <w:r>
        <w:rPr>
          <w:rFonts w:ascii="Times New Roman" w:hAnsi="Times New Roman" w:cs="Times New Roman"/>
          <w:sz w:val="24"/>
          <w:szCs w:val="24"/>
        </w:rPr>
        <w:t>Assistant Secretary and Medicaid Director Executive Office of Health and Human Services One Ashburton Place, 11th Floor</w:t>
      </w:r>
    </w:p>
    <w:p w:rsidR="002C5025" w:rsidRDefault="002C5025">
      <w:pPr>
        <w:pStyle w:val="BodyText"/>
        <w:kinsoku w:val="0"/>
        <w:overflowPunct w:val="0"/>
        <w:spacing w:before="1"/>
        <w:ind w:left="100" w:right="327"/>
        <w:rPr>
          <w:rFonts w:ascii="Times New Roman" w:hAnsi="Times New Roman" w:cs="Times New Roman"/>
          <w:sz w:val="24"/>
          <w:szCs w:val="24"/>
        </w:rPr>
      </w:pPr>
      <w:r>
        <w:rPr>
          <w:rFonts w:ascii="Times New Roman" w:hAnsi="Times New Roman" w:cs="Times New Roman"/>
          <w:sz w:val="24"/>
          <w:szCs w:val="24"/>
        </w:rPr>
        <w:t>Boston, MA 02108</w:t>
      </w:r>
    </w:p>
    <w:p w:rsidR="002C5025" w:rsidRDefault="002C5025">
      <w:pPr>
        <w:pStyle w:val="BodyText"/>
        <w:kinsoku w:val="0"/>
        <w:overflowPunct w:val="0"/>
        <w:spacing w:before="5"/>
        <w:rPr>
          <w:rFonts w:ascii="Times New Roman" w:hAnsi="Times New Roman" w:cs="Times New Roman"/>
          <w:sz w:val="31"/>
          <w:szCs w:val="31"/>
        </w:rPr>
      </w:pPr>
    </w:p>
    <w:p w:rsidR="002C5025" w:rsidRDefault="002C5025">
      <w:pPr>
        <w:pStyle w:val="BodyText"/>
        <w:kinsoku w:val="0"/>
        <w:overflowPunct w:val="0"/>
        <w:spacing w:before="1"/>
        <w:ind w:left="100" w:right="327"/>
        <w:rPr>
          <w:rFonts w:ascii="Times New Roman" w:hAnsi="Times New Roman" w:cs="Times New Roman"/>
          <w:b/>
          <w:bCs/>
          <w:i/>
          <w:iCs/>
          <w:sz w:val="24"/>
          <w:szCs w:val="24"/>
        </w:rPr>
      </w:pPr>
      <w:r>
        <w:rPr>
          <w:rFonts w:ascii="Times New Roman" w:hAnsi="Times New Roman" w:cs="Times New Roman"/>
          <w:b/>
          <w:bCs/>
          <w:i/>
          <w:iCs/>
          <w:sz w:val="24"/>
          <w:szCs w:val="24"/>
        </w:rPr>
        <w:t>Re:  Comments on 1115 Demonstration Extension Request</w:t>
      </w:r>
    </w:p>
    <w:p w:rsidR="002C5025" w:rsidRDefault="002C5025">
      <w:pPr>
        <w:pStyle w:val="BodyText"/>
        <w:kinsoku w:val="0"/>
        <w:overflowPunct w:val="0"/>
        <w:spacing w:before="10"/>
        <w:rPr>
          <w:rFonts w:ascii="Times New Roman" w:hAnsi="Times New Roman" w:cs="Times New Roman"/>
          <w:b/>
          <w:bCs/>
          <w:i/>
          <w:iCs/>
          <w:sz w:val="30"/>
          <w:szCs w:val="30"/>
        </w:rPr>
      </w:pPr>
    </w:p>
    <w:p w:rsidR="002C5025" w:rsidRDefault="002C5025">
      <w:pPr>
        <w:pStyle w:val="BodyText"/>
        <w:kinsoku w:val="0"/>
        <w:overflowPunct w:val="0"/>
        <w:ind w:left="100" w:right="327"/>
        <w:rPr>
          <w:rFonts w:ascii="Times New Roman" w:hAnsi="Times New Roman" w:cs="Times New Roman"/>
          <w:sz w:val="24"/>
          <w:szCs w:val="24"/>
        </w:rPr>
      </w:pPr>
      <w:r>
        <w:rPr>
          <w:rFonts w:ascii="Times New Roman" w:hAnsi="Times New Roman" w:cs="Times New Roman"/>
          <w:sz w:val="24"/>
          <w:szCs w:val="24"/>
        </w:rPr>
        <w:t>Dear Assistant Secretary Tsai:</w:t>
      </w:r>
    </w:p>
    <w:p w:rsidR="002C5025" w:rsidRDefault="002C5025">
      <w:pPr>
        <w:pStyle w:val="BodyText"/>
        <w:kinsoku w:val="0"/>
        <w:overflowPunct w:val="0"/>
        <w:spacing w:before="1"/>
        <w:rPr>
          <w:rFonts w:ascii="Times New Roman" w:hAnsi="Times New Roman" w:cs="Times New Roman"/>
          <w:sz w:val="31"/>
          <w:szCs w:val="31"/>
        </w:rPr>
      </w:pPr>
    </w:p>
    <w:p w:rsidR="002C5025" w:rsidRDefault="002C5025">
      <w:pPr>
        <w:pStyle w:val="BodyText"/>
        <w:kinsoku w:val="0"/>
        <w:overflowPunct w:val="0"/>
        <w:spacing w:line="276" w:lineRule="auto"/>
        <w:ind w:left="100" w:right="288"/>
        <w:rPr>
          <w:rFonts w:ascii="Times New Roman" w:hAnsi="Times New Roman" w:cs="Times New Roman"/>
          <w:sz w:val="24"/>
          <w:szCs w:val="24"/>
        </w:rPr>
      </w:pPr>
      <w:r>
        <w:rPr>
          <w:rFonts w:ascii="Times New Roman" w:hAnsi="Times New Roman" w:cs="Times New Roman"/>
          <w:sz w:val="24"/>
          <w:szCs w:val="24"/>
        </w:rPr>
        <w:t>On behalf of our member hospitals and health systems, the Massachusetts Hospital Association (MHA) offers these comments for your consideration as the Executive Office of Health and Human Service (EOHHS) prepares to submit its proposed amendment on the state’s 1115 Medicaid waiver to the Centers for Medicare and Medicaid Services (CMS).</w:t>
      </w:r>
    </w:p>
    <w:p w:rsidR="002C5025" w:rsidRDefault="002C5025">
      <w:pPr>
        <w:pStyle w:val="BodyText"/>
        <w:kinsoku w:val="0"/>
        <w:overflowPunct w:val="0"/>
        <w:spacing w:before="10"/>
        <w:rPr>
          <w:rFonts w:ascii="Times New Roman" w:hAnsi="Times New Roman" w:cs="Times New Roman"/>
          <w:sz w:val="27"/>
          <w:szCs w:val="27"/>
        </w:rPr>
      </w:pPr>
    </w:p>
    <w:p w:rsidR="002C5025" w:rsidRDefault="002C5025">
      <w:pPr>
        <w:pStyle w:val="BodyText"/>
        <w:kinsoku w:val="0"/>
        <w:overflowPunct w:val="0"/>
        <w:spacing w:line="276" w:lineRule="auto"/>
        <w:ind w:left="100" w:right="142"/>
        <w:rPr>
          <w:rFonts w:ascii="Times New Roman" w:hAnsi="Times New Roman" w:cs="Times New Roman"/>
          <w:sz w:val="24"/>
          <w:szCs w:val="24"/>
        </w:rPr>
      </w:pPr>
      <w:r>
        <w:rPr>
          <w:rFonts w:ascii="Times New Roman" w:hAnsi="Times New Roman" w:cs="Times New Roman"/>
          <w:sz w:val="24"/>
          <w:szCs w:val="24"/>
        </w:rPr>
        <w:t>MHA and its members appreciate the significant effort that EOHHS has put into this program, including the extensive stakeholder engagement, EOHHS presentations, and public comment process. We believe these efforts have allowed the broad healthcare community to better understand and support many of the concepts of the new MassHealth ACO program. MHA also appreciates the waiver’s proposed funding to support ACOs and safety net hospitals, though we believe more information is needed to understand the proposal and provide effective feedback. We look forward to discussing the proposal further and working with EOHHS, CMS, and our Congressional delegation to ensure that the waiver agreement will allow Massachusetts hospitals and health systems to be successful in caring for low-income patients under these new models of care management.</w:t>
      </w:r>
    </w:p>
    <w:p w:rsidR="002C5025" w:rsidRDefault="002C5025">
      <w:pPr>
        <w:pStyle w:val="BodyText"/>
        <w:kinsoku w:val="0"/>
        <w:overflowPunct w:val="0"/>
        <w:spacing w:before="1"/>
        <w:rPr>
          <w:rFonts w:ascii="Times New Roman" w:hAnsi="Times New Roman" w:cs="Times New Roman"/>
          <w:sz w:val="28"/>
          <w:szCs w:val="28"/>
        </w:rPr>
      </w:pPr>
    </w:p>
    <w:p w:rsidR="002C5025" w:rsidRDefault="002C5025">
      <w:pPr>
        <w:pStyle w:val="BodyText"/>
        <w:kinsoku w:val="0"/>
        <w:overflowPunct w:val="0"/>
        <w:ind w:left="100" w:right="327"/>
        <w:rPr>
          <w:rFonts w:ascii="Times New Roman" w:hAnsi="Times New Roman" w:cs="Times New Roman"/>
          <w:b/>
          <w:bCs/>
          <w:sz w:val="24"/>
          <w:szCs w:val="24"/>
        </w:rPr>
      </w:pPr>
      <w:r>
        <w:rPr>
          <w:rFonts w:ascii="Times New Roman" w:hAnsi="Times New Roman" w:cs="Times New Roman"/>
          <w:b/>
          <w:bCs/>
          <w:sz w:val="24"/>
          <w:szCs w:val="24"/>
          <w:u w:val="thick"/>
        </w:rPr>
        <w:t>ACO Program &amp; Risk Options</w:t>
      </w:r>
    </w:p>
    <w:p w:rsidR="002C5025" w:rsidRDefault="002C5025">
      <w:pPr>
        <w:pStyle w:val="BodyText"/>
        <w:kinsoku w:val="0"/>
        <w:overflowPunct w:val="0"/>
        <w:spacing w:before="36" w:line="276" w:lineRule="auto"/>
        <w:ind w:left="100" w:right="114"/>
        <w:rPr>
          <w:rFonts w:ascii="Times New Roman" w:hAnsi="Times New Roman" w:cs="Times New Roman"/>
          <w:sz w:val="24"/>
          <w:szCs w:val="24"/>
        </w:rPr>
      </w:pPr>
      <w:r>
        <w:rPr>
          <w:rFonts w:ascii="Times New Roman" w:hAnsi="Times New Roman" w:cs="Times New Roman"/>
          <w:sz w:val="24"/>
          <w:szCs w:val="24"/>
        </w:rPr>
        <w:t>As we have stated earlier during the stakeholder process, implementing a global payment system and risk-based payment methodologies will be a major undertaking for MassHealth and healthcare providers. MassHealth is probably the most complex program in our healthcare system, providing health coverage to a very diverse population including low-income children, families, pregnant women, disabled people, and seniors. Many of these individuals have significant chronic medical and behavioral conditions. And there is a significant amount of</w:t>
      </w:r>
    </w:p>
    <w:p w:rsidR="002C5025" w:rsidRDefault="002C5025">
      <w:pPr>
        <w:pStyle w:val="BodyText"/>
        <w:kinsoku w:val="0"/>
        <w:overflowPunct w:val="0"/>
        <w:spacing w:before="36" w:line="276" w:lineRule="auto"/>
        <w:ind w:left="100" w:right="114"/>
        <w:rPr>
          <w:rFonts w:ascii="Times New Roman" w:hAnsi="Times New Roman" w:cs="Times New Roman"/>
          <w:sz w:val="24"/>
          <w:szCs w:val="24"/>
        </w:rPr>
        <w:sectPr w:rsidR="002C5025">
          <w:pgSz w:w="12240" w:h="15840"/>
          <w:pgMar w:top="1440" w:right="1340" w:bottom="280" w:left="1340" w:header="720" w:footer="720" w:gutter="0"/>
          <w:cols w:space="720" w:equalWidth="0">
            <w:col w:w="9560"/>
          </w:cols>
          <w:noEndnote/>
        </w:sectPr>
      </w:pPr>
    </w:p>
    <w:p w:rsidR="002C5025" w:rsidRDefault="002C5025">
      <w:pPr>
        <w:pStyle w:val="BodyText"/>
        <w:kinsoku w:val="0"/>
        <w:overflowPunct w:val="0"/>
        <w:spacing w:before="54" w:line="276" w:lineRule="auto"/>
        <w:ind w:left="100" w:right="225"/>
        <w:rPr>
          <w:rFonts w:ascii="Times New Roman" w:hAnsi="Times New Roman" w:cs="Times New Roman"/>
          <w:sz w:val="24"/>
          <w:szCs w:val="24"/>
        </w:rPr>
      </w:pPr>
      <w:r>
        <w:rPr>
          <w:rFonts w:ascii="Times New Roman" w:hAnsi="Times New Roman" w:cs="Times New Roman"/>
          <w:sz w:val="24"/>
          <w:szCs w:val="24"/>
        </w:rPr>
        <w:lastRenderedPageBreak/>
        <w:t>ongoing change, or “churn,” in the MassHealth population as some people gain other coverage options while other newly uninsured individuals become eligible. This presents significant challenges when moving toward a risk-based system.</w:t>
      </w:r>
    </w:p>
    <w:p w:rsidR="002C5025" w:rsidRDefault="002C5025">
      <w:pPr>
        <w:pStyle w:val="BodyText"/>
        <w:kinsoku w:val="0"/>
        <w:overflowPunct w:val="0"/>
        <w:spacing w:before="9"/>
        <w:rPr>
          <w:rFonts w:ascii="Times New Roman" w:hAnsi="Times New Roman" w:cs="Times New Roman"/>
          <w:sz w:val="27"/>
          <w:szCs w:val="27"/>
        </w:rPr>
      </w:pPr>
    </w:p>
    <w:p w:rsidR="002C5025" w:rsidRDefault="002C5025">
      <w:pPr>
        <w:pStyle w:val="BodyText"/>
        <w:kinsoku w:val="0"/>
        <w:overflowPunct w:val="0"/>
        <w:spacing w:line="276" w:lineRule="auto"/>
        <w:ind w:left="100" w:right="327"/>
        <w:rPr>
          <w:rFonts w:ascii="Times New Roman" w:hAnsi="Times New Roman" w:cs="Times New Roman"/>
          <w:sz w:val="24"/>
          <w:szCs w:val="24"/>
        </w:rPr>
      </w:pPr>
      <w:r>
        <w:rPr>
          <w:rFonts w:ascii="Times New Roman" w:hAnsi="Times New Roman" w:cs="Times New Roman"/>
          <w:sz w:val="24"/>
          <w:szCs w:val="24"/>
        </w:rPr>
        <w:t>Payment assumptions and principles that are currently used or are being developed for the private sector will not necessarily translate one-to-one to the MassHealth program given these unique circumstances. MassHealth currently pays below the cost of care for many providers, especially hospital, physician, and behavioral health services. Factoring in downside risk on services that are underpaid significantly increases the risk for being further underpaid. This could jeopardize the financial well-being of some providers and potentially destabilize the proposed ACO program.</w:t>
      </w:r>
    </w:p>
    <w:p w:rsidR="002C5025" w:rsidRDefault="002C5025">
      <w:pPr>
        <w:pStyle w:val="BodyText"/>
        <w:kinsoku w:val="0"/>
        <w:overflowPunct w:val="0"/>
        <w:spacing w:before="10"/>
        <w:rPr>
          <w:rFonts w:ascii="Times New Roman" w:hAnsi="Times New Roman" w:cs="Times New Roman"/>
          <w:sz w:val="27"/>
          <w:szCs w:val="27"/>
        </w:rPr>
      </w:pPr>
    </w:p>
    <w:p w:rsidR="002C5025" w:rsidRDefault="002C5025">
      <w:pPr>
        <w:pStyle w:val="BodyText"/>
        <w:kinsoku w:val="0"/>
        <w:overflowPunct w:val="0"/>
        <w:spacing w:line="276" w:lineRule="auto"/>
        <w:ind w:left="100" w:right="96"/>
        <w:rPr>
          <w:rFonts w:ascii="Times New Roman" w:hAnsi="Times New Roman" w:cs="Times New Roman"/>
          <w:sz w:val="24"/>
          <w:szCs w:val="24"/>
        </w:rPr>
      </w:pPr>
      <w:r>
        <w:rPr>
          <w:rFonts w:ascii="Times New Roman" w:hAnsi="Times New Roman" w:cs="Times New Roman"/>
          <w:sz w:val="24"/>
          <w:szCs w:val="24"/>
        </w:rPr>
        <w:t>The data, payment, and risk methodologies will not have been validated in the “real world” and thus may be unreliable. Similar financial uncertainty existed in the development and implementation of the OneCare program, which began with six Integrated Care Organizations (ICOs), three of which dropped out before the program went live and another one last year due in significant part to the financial instability and risk associated with the new program. Both EOHHS and CMS commendably revised many of the risk assumptions and capitation rates for the remaining two ICOs; however, this challenging experience should serve as a reminder to proceed with extreme caution as we implement new care management and reimbursement methodologies for the larger MassHealth population.</w:t>
      </w:r>
    </w:p>
    <w:p w:rsidR="002C5025" w:rsidRDefault="002C5025">
      <w:pPr>
        <w:pStyle w:val="BodyText"/>
        <w:kinsoku w:val="0"/>
        <w:overflowPunct w:val="0"/>
        <w:spacing w:before="7"/>
        <w:rPr>
          <w:rFonts w:ascii="Times New Roman" w:hAnsi="Times New Roman" w:cs="Times New Roman"/>
          <w:sz w:val="27"/>
          <w:szCs w:val="27"/>
        </w:rPr>
      </w:pPr>
    </w:p>
    <w:p w:rsidR="002C5025" w:rsidRDefault="002C5025">
      <w:pPr>
        <w:pStyle w:val="BodyText"/>
        <w:kinsoku w:val="0"/>
        <w:overflowPunct w:val="0"/>
        <w:spacing w:line="276" w:lineRule="auto"/>
        <w:ind w:left="100" w:right="187"/>
        <w:rPr>
          <w:rFonts w:ascii="Times New Roman" w:hAnsi="Times New Roman" w:cs="Times New Roman"/>
          <w:sz w:val="24"/>
          <w:szCs w:val="24"/>
        </w:rPr>
      </w:pPr>
      <w:r>
        <w:rPr>
          <w:rFonts w:ascii="Times New Roman" w:hAnsi="Times New Roman" w:cs="Times New Roman"/>
          <w:sz w:val="24"/>
          <w:szCs w:val="24"/>
        </w:rPr>
        <w:t>It is our hope that in the interest of encouraging provider participation and introducing some stability, MassHealth considers other risk options for those providers that would like to participate in these models. Our understanding of New York State’s Delivery System Reform Incentive Payments (DSRIP) program is that it includes different risk options for provider movement to value-based payments over five years, including both upside only as well as upside/downside risk. This program does not appear to have any requirement to move to downside risk over the five-year period, although it is one of the options. We believe this is a wise and appropriate approach given the varying provider circumstances and uncertainties with this new initiative. Requiring health systems to take on downside risk during the introduction of this demonstration is a mistake in our opinion.</w:t>
      </w:r>
    </w:p>
    <w:p w:rsidR="002C5025" w:rsidRDefault="002C5025">
      <w:pPr>
        <w:pStyle w:val="BodyText"/>
        <w:kinsoku w:val="0"/>
        <w:overflowPunct w:val="0"/>
        <w:spacing w:before="3"/>
        <w:rPr>
          <w:rFonts w:ascii="Times New Roman" w:hAnsi="Times New Roman" w:cs="Times New Roman"/>
          <w:sz w:val="28"/>
          <w:szCs w:val="28"/>
        </w:rPr>
      </w:pPr>
    </w:p>
    <w:p w:rsidR="002C5025" w:rsidRDefault="002C5025">
      <w:pPr>
        <w:pStyle w:val="BodyText"/>
        <w:kinsoku w:val="0"/>
        <w:overflowPunct w:val="0"/>
        <w:ind w:left="100" w:right="327"/>
        <w:rPr>
          <w:rFonts w:ascii="Times New Roman" w:hAnsi="Times New Roman" w:cs="Times New Roman"/>
          <w:b/>
          <w:bCs/>
          <w:sz w:val="24"/>
          <w:szCs w:val="24"/>
        </w:rPr>
      </w:pPr>
      <w:r>
        <w:rPr>
          <w:rFonts w:ascii="Times New Roman" w:hAnsi="Times New Roman" w:cs="Times New Roman"/>
          <w:b/>
          <w:bCs/>
          <w:sz w:val="24"/>
          <w:szCs w:val="24"/>
          <w:u w:val="thick"/>
        </w:rPr>
        <w:t>DSRIP Requirement between ACOs &amp; Certified Community Partners</w:t>
      </w:r>
    </w:p>
    <w:p w:rsidR="002C5025" w:rsidRDefault="002C5025">
      <w:pPr>
        <w:pStyle w:val="BodyText"/>
        <w:kinsoku w:val="0"/>
        <w:overflowPunct w:val="0"/>
        <w:spacing w:before="36" w:line="276" w:lineRule="auto"/>
        <w:ind w:left="100" w:right="162"/>
        <w:rPr>
          <w:rFonts w:ascii="Times New Roman" w:hAnsi="Times New Roman" w:cs="Times New Roman"/>
          <w:sz w:val="24"/>
          <w:szCs w:val="24"/>
        </w:rPr>
      </w:pPr>
      <w:r>
        <w:rPr>
          <w:rFonts w:ascii="Times New Roman" w:hAnsi="Times New Roman" w:cs="Times New Roman"/>
          <w:sz w:val="24"/>
          <w:szCs w:val="24"/>
        </w:rPr>
        <w:t xml:space="preserve">EOHHS states that to qualify for DSRIP funding, ACOs will have to have a formal relationship with certified “community partners” that will focus on </w:t>
      </w:r>
      <w:proofErr w:type="spellStart"/>
      <w:r>
        <w:rPr>
          <w:rFonts w:ascii="Times New Roman" w:hAnsi="Times New Roman" w:cs="Times New Roman"/>
          <w:sz w:val="24"/>
          <w:szCs w:val="24"/>
        </w:rPr>
        <w:t>behaviorial</w:t>
      </w:r>
      <w:proofErr w:type="spellEnd"/>
      <w:r>
        <w:rPr>
          <w:rFonts w:ascii="Times New Roman" w:hAnsi="Times New Roman" w:cs="Times New Roman"/>
          <w:sz w:val="24"/>
          <w:szCs w:val="24"/>
        </w:rPr>
        <w:t xml:space="preserve"> health as well as long-term services and supports. MHA agrees that more can be done to promote relationships between medical and community-based providers. State government has substantial relationships through its health and human services programs and is positioned to make those relationships more</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9"/>
        <w:rPr>
          <w:rFonts w:ascii="Times New Roman" w:hAnsi="Times New Roman" w:cs="Times New Roman"/>
          <w:sz w:val="21"/>
          <w:szCs w:val="21"/>
        </w:rPr>
      </w:pPr>
    </w:p>
    <w:p w:rsidR="002C5025" w:rsidRDefault="002C5025">
      <w:pPr>
        <w:pStyle w:val="BodyText"/>
        <w:kinsoku w:val="0"/>
        <w:overflowPunct w:val="0"/>
        <w:spacing w:before="72"/>
        <w:ind w:left="2"/>
        <w:jc w:val="center"/>
        <w:rPr>
          <w:rFonts w:ascii="Times New Roman" w:hAnsi="Times New Roman" w:cs="Times New Roman"/>
        </w:rPr>
      </w:pPr>
      <w:r>
        <w:rPr>
          <w:rFonts w:ascii="Times New Roman" w:hAnsi="Times New Roman" w:cs="Times New Roman"/>
        </w:rPr>
        <w:t>2</w:t>
      </w:r>
    </w:p>
    <w:p w:rsidR="002C5025" w:rsidRDefault="002C5025">
      <w:pPr>
        <w:pStyle w:val="BodyText"/>
        <w:kinsoku w:val="0"/>
        <w:overflowPunct w:val="0"/>
        <w:spacing w:before="72"/>
        <w:ind w:left="2"/>
        <w:jc w:val="center"/>
        <w:rPr>
          <w:rFonts w:ascii="Times New Roman" w:hAnsi="Times New Roman" w:cs="Times New Roman"/>
        </w:rPr>
        <w:sectPr w:rsidR="002C5025">
          <w:pgSz w:w="12240" w:h="15840"/>
          <w:pgMar w:top="1380" w:right="1340" w:bottom="280" w:left="1340" w:header="720" w:footer="720" w:gutter="0"/>
          <w:cols w:space="720"/>
          <w:noEndnote/>
        </w:sectPr>
      </w:pPr>
    </w:p>
    <w:p w:rsidR="002C5025" w:rsidRDefault="002C5025">
      <w:pPr>
        <w:pStyle w:val="BodyText"/>
        <w:kinsoku w:val="0"/>
        <w:overflowPunct w:val="0"/>
        <w:spacing w:before="54" w:line="276" w:lineRule="auto"/>
        <w:ind w:left="100" w:right="110"/>
        <w:rPr>
          <w:rFonts w:ascii="Times New Roman" w:hAnsi="Times New Roman" w:cs="Times New Roman"/>
          <w:sz w:val="24"/>
          <w:szCs w:val="24"/>
        </w:rPr>
      </w:pPr>
      <w:r>
        <w:rPr>
          <w:rFonts w:ascii="Times New Roman" w:hAnsi="Times New Roman" w:cs="Times New Roman"/>
          <w:sz w:val="24"/>
          <w:szCs w:val="24"/>
        </w:rPr>
        <w:lastRenderedPageBreak/>
        <w:t>efficient for medical and community-based providers to connect. Promoting greater awareness of community resources is a worthy goal.</w:t>
      </w:r>
    </w:p>
    <w:p w:rsidR="002C5025" w:rsidRDefault="002C5025">
      <w:pPr>
        <w:pStyle w:val="BodyText"/>
        <w:kinsoku w:val="0"/>
        <w:overflowPunct w:val="0"/>
        <w:spacing w:before="9"/>
        <w:rPr>
          <w:rFonts w:ascii="Times New Roman" w:hAnsi="Times New Roman" w:cs="Times New Roman"/>
          <w:sz w:val="27"/>
          <w:szCs w:val="27"/>
        </w:rPr>
      </w:pPr>
    </w:p>
    <w:p w:rsidR="002C5025" w:rsidRDefault="002C5025">
      <w:pPr>
        <w:pStyle w:val="BodyText"/>
        <w:kinsoku w:val="0"/>
        <w:overflowPunct w:val="0"/>
        <w:spacing w:line="276" w:lineRule="auto"/>
        <w:ind w:left="100" w:right="106"/>
        <w:rPr>
          <w:rFonts w:ascii="Times New Roman" w:hAnsi="Times New Roman" w:cs="Times New Roman"/>
          <w:sz w:val="24"/>
          <w:szCs w:val="24"/>
        </w:rPr>
      </w:pPr>
      <w:r>
        <w:rPr>
          <w:rFonts w:ascii="Times New Roman" w:hAnsi="Times New Roman" w:cs="Times New Roman"/>
          <w:sz w:val="24"/>
          <w:szCs w:val="24"/>
        </w:rPr>
        <w:t>However, MHA believes this portion of the proposal requires further explanation and possible modifications to address the variability in terms of the roles, capabilities, and capacity among ACOs and community-based providers across the state. The premise seems to be that ACOs do not provide any community-based services and therefore should “buy” rather than “build” those services. However, some of these services already have been built-into ACO models and these should not be considered less of a resource than those of an independent entity. The roles of care coordination and management of the population will need further explanation as they relate to the required agreement between these entities; flexibility should be a key principal in defining the roles so that ACOs and community-based partners can use the strengths of each rather than conforming to a government-defined relationship. Finally, since outcome measurements will be a determinant in earning DSRIP funding, transparency on quality measurement for community- based partners in addition to ACOs will be</w:t>
      </w:r>
      <w:r>
        <w:rPr>
          <w:rFonts w:ascii="Times New Roman" w:hAnsi="Times New Roman" w:cs="Times New Roman"/>
          <w:spacing w:val="-8"/>
          <w:sz w:val="24"/>
          <w:szCs w:val="24"/>
        </w:rPr>
        <w:t xml:space="preserve"> </w:t>
      </w:r>
      <w:r>
        <w:rPr>
          <w:rFonts w:ascii="Times New Roman" w:hAnsi="Times New Roman" w:cs="Times New Roman"/>
          <w:sz w:val="24"/>
          <w:szCs w:val="24"/>
        </w:rPr>
        <w:t>needed.</w:t>
      </w:r>
    </w:p>
    <w:p w:rsidR="002C5025" w:rsidRDefault="002C5025">
      <w:pPr>
        <w:pStyle w:val="BodyText"/>
        <w:kinsoku w:val="0"/>
        <w:overflowPunct w:val="0"/>
        <w:spacing w:before="3"/>
        <w:rPr>
          <w:rFonts w:ascii="Times New Roman" w:hAnsi="Times New Roman" w:cs="Times New Roman"/>
          <w:sz w:val="28"/>
          <w:szCs w:val="28"/>
        </w:rPr>
      </w:pPr>
    </w:p>
    <w:p w:rsidR="002C5025" w:rsidRDefault="002C5025">
      <w:pPr>
        <w:pStyle w:val="BodyText"/>
        <w:kinsoku w:val="0"/>
        <w:overflowPunct w:val="0"/>
        <w:ind w:left="100" w:right="327"/>
        <w:rPr>
          <w:rFonts w:ascii="Times New Roman" w:hAnsi="Times New Roman" w:cs="Times New Roman"/>
          <w:b/>
          <w:bCs/>
          <w:sz w:val="24"/>
          <w:szCs w:val="24"/>
        </w:rPr>
      </w:pPr>
      <w:r>
        <w:rPr>
          <w:rFonts w:ascii="Times New Roman" w:hAnsi="Times New Roman" w:cs="Times New Roman"/>
          <w:b/>
          <w:bCs/>
          <w:sz w:val="24"/>
          <w:szCs w:val="24"/>
          <w:u w:val="thick"/>
        </w:rPr>
        <w:t>Safety Net Financing</w:t>
      </w:r>
    </w:p>
    <w:p w:rsidR="002C5025" w:rsidRDefault="002C5025">
      <w:pPr>
        <w:pStyle w:val="BodyText"/>
        <w:kinsoku w:val="0"/>
        <w:overflowPunct w:val="0"/>
        <w:spacing w:before="36" w:line="276" w:lineRule="auto"/>
        <w:ind w:left="100" w:right="289"/>
        <w:rPr>
          <w:rFonts w:ascii="Times New Roman" w:hAnsi="Times New Roman" w:cs="Times New Roman"/>
          <w:sz w:val="24"/>
          <w:szCs w:val="24"/>
        </w:rPr>
      </w:pPr>
      <w:r>
        <w:rPr>
          <w:rFonts w:ascii="Times New Roman" w:hAnsi="Times New Roman" w:cs="Times New Roman"/>
          <w:sz w:val="24"/>
          <w:szCs w:val="24"/>
        </w:rPr>
        <w:t>The waiver renewal includes a number of requests for financial support for safety net hospitals, which MHA greatly appreciates. These providers will need the support of state and federal governments given that less funding is available from private insurers and because many face financial barriers that limit access to capital in the private market.</w:t>
      </w:r>
    </w:p>
    <w:p w:rsidR="002C5025" w:rsidRDefault="002C5025">
      <w:pPr>
        <w:pStyle w:val="BodyText"/>
        <w:kinsoku w:val="0"/>
        <w:overflowPunct w:val="0"/>
        <w:spacing w:before="7"/>
        <w:rPr>
          <w:rFonts w:ascii="Times New Roman" w:hAnsi="Times New Roman" w:cs="Times New Roman"/>
          <w:sz w:val="27"/>
          <w:szCs w:val="27"/>
        </w:rPr>
      </w:pPr>
    </w:p>
    <w:p w:rsidR="002C5025" w:rsidRDefault="002C5025">
      <w:pPr>
        <w:pStyle w:val="BodyText"/>
        <w:kinsoku w:val="0"/>
        <w:overflowPunct w:val="0"/>
        <w:spacing w:line="276" w:lineRule="auto"/>
        <w:ind w:left="100" w:right="556"/>
        <w:rPr>
          <w:rFonts w:ascii="Times New Roman" w:hAnsi="Times New Roman" w:cs="Times New Roman"/>
          <w:sz w:val="24"/>
          <w:szCs w:val="24"/>
        </w:rPr>
      </w:pPr>
      <w:r>
        <w:rPr>
          <w:rFonts w:ascii="Times New Roman" w:hAnsi="Times New Roman" w:cs="Times New Roman"/>
          <w:sz w:val="24"/>
          <w:szCs w:val="24"/>
        </w:rPr>
        <w:t>While the waiver proposal offers a lot of detail in many areas, it is lacking in this area which makes it very difficult to comment appropriately. MHA respectfully asks that EOHHS offer more specific details about this proposal to allow stakeholders to gain a clear and accurate understanding of what will be proposed and negotiated with CMS.</w:t>
      </w:r>
    </w:p>
    <w:p w:rsidR="002C5025" w:rsidRDefault="002C5025">
      <w:pPr>
        <w:pStyle w:val="BodyText"/>
        <w:kinsoku w:val="0"/>
        <w:overflowPunct w:val="0"/>
        <w:spacing w:before="7"/>
        <w:rPr>
          <w:rFonts w:ascii="Times New Roman" w:hAnsi="Times New Roman" w:cs="Times New Roman"/>
          <w:sz w:val="27"/>
          <w:szCs w:val="27"/>
        </w:rPr>
      </w:pPr>
    </w:p>
    <w:p w:rsidR="002C5025" w:rsidRDefault="002C5025">
      <w:pPr>
        <w:pStyle w:val="BodyText"/>
        <w:kinsoku w:val="0"/>
        <w:overflowPunct w:val="0"/>
        <w:spacing w:line="276" w:lineRule="auto"/>
        <w:ind w:left="100" w:right="114"/>
        <w:rPr>
          <w:rFonts w:ascii="Times New Roman" w:hAnsi="Times New Roman" w:cs="Times New Roman"/>
          <w:sz w:val="24"/>
          <w:szCs w:val="24"/>
        </w:rPr>
      </w:pPr>
      <w:r>
        <w:rPr>
          <w:rFonts w:ascii="Times New Roman" w:hAnsi="Times New Roman" w:cs="Times New Roman"/>
          <w:sz w:val="24"/>
          <w:szCs w:val="24"/>
        </w:rPr>
        <w:t>EOHHS also states in the waiver that it “proposes to align its policies with CMS’ principle of financing “charity care” for individuals lacking health insurance beyond a state’s DSH allotment with a new Uncompensated Care (UCC) Pool. Massachusetts and CMS are working together to determine the overall size of the new UCC Pool, with the input of providers.” Such policies pose significant implications for all hospitals – especially safety net hospitals – and therefore we respectfully request EOHHS work with MHA and the hospital community to ensure funding that supports hospital uncompensated care is fully protected.</w:t>
      </w:r>
    </w:p>
    <w:p w:rsidR="002C5025" w:rsidRDefault="002C5025">
      <w:pPr>
        <w:pStyle w:val="BodyText"/>
        <w:kinsoku w:val="0"/>
        <w:overflowPunct w:val="0"/>
        <w:rPr>
          <w:rFonts w:ascii="Times New Roman" w:hAnsi="Times New Roman" w:cs="Times New Roman"/>
          <w:sz w:val="28"/>
          <w:szCs w:val="28"/>
        </w:rPr>
      </w:pPr>
    </w:p>
    <w:p w:rsidR="002C5025" w:rsidRDefault="002C5025">
      <w:pPr>
        <w:pStyle w:val="BodyText"/>
        <w:kinsoku w:val="0"/>
        <w:overflowPunct w:val="0"/>
        <w:ind w:left="100" w:right="327"/>
        <w:rPr>
          <w:rFonts w:ascii="Times New Roman" w:hAnsi="Times New Roman" w:cs="Times New Roman"/>
          <w:b/>
          <w:bCs/>
          <w:sz w:val="24"/>
          <w:szCs w:val="24"/>
        </w:rPr>
      </w:pPr>
      <w:r>
        <w:rPr>
          <w:rFonts w:ascii="Times New Roman" w:hAnsi="Times New Roman" w:cs="Times New Roman"/>
          <w:b/>
          <w:bCs/>
          <w:sz w:val="24"/>
          <w:szCs w:val="24"/>
          <w:u w:val="thick"/>
        </w:rPr>
        <w:t>MassHealth Managed Care Organizations &amp; PCC Program</w:t>
      </w:r>
    </w:p>
    <w:p w:rsidR="002C5025" w:rsidRDefault="002C5025">
      <w:pPr>
        <w:pStyle w:val="BodyText"/>
        <w:kinsoku w:val="0"/>
        <w:overflowPunct w:val="0"/>
        <w:spacing w:before="38" w:line="276" w:lineRule="auto"/>
        <w:ind w:left="100" w:right="114"/>
        <w:rPr>
          <w:rFonts w:ascii="Times New Roman" w:hAnsi="Times New Roman" w:cs="Times New Roman"/>
          <w:sz w:val="24"/>
          <w:szCs w:val="24"/>
        </w:rPr>
      </w:pPr>
      <w:r>
        <w:rPr>
          <w:rFonts w:ascii="Times New Roman" w:hAnsi="Times New Roman" w:cs="Times New Roman"/>
          <w:sz w:val="24"/>
          <w:szCs w:val="24"/>
        </w:rPr>
        <w:t>More than 800,000 MassHealth members today are in Medicaid Managed Care Organizations (MCOs), representing the great majority of members where Medicaid is the primary payer in the MassHealth program. The Primary Care Clinician (PCC) program, which has approximately 370,000 individuals, also serves those whose primary insurance is MassHealth. Given the</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6"/>
        <w:rPr>
          <w:rFonts w:ascii="Times New Roman" w:hAnsi="Times New Roman" w:cs="Times New Roman"/>
          <w:sz w:val="20"/>
          <w:szCs w:val="20"/>
        </w:rPr>
      </w:pPr>
    </w:p>
    <w:p w:rsidR="002C5025" w:rsidRDefault="002C5025">
      <w:pPr>
        <w:pStyle w:val="BodyText"/>
        <w:kinsoku w:val="0"/>
        <w:overflowPunct w:val="0"/>
        <w:ind w:left="2"/>
        <w:jc w:val="center"/>
        <w:rPr>
          <w:rFonts w:ascii="Times New Roman" w:hAnsi="Times New Roman" w:cs="Times New Roman"/>
        </w:rPr>
      </w:pPr>
      <w:r>
        <w:rPr>
          <w:rFonts w:ascii="Times New Roman" w:hAnsi="Times New Roman" w:cs="Times New Roman"/>
        </w:rPr>
        <w:t>3</w:t>
      </w:r>
    </w:p>
    <w:p w:rsidR="002C5025" w:rsidRDefault="002C5025">
      <w:pPr>
        <w:pStyle w:val="BodyText"/>
        <w:kinsoku w:val="0"/>
        <w:overflowPunct w:val="0"/>
        <w:ind w:left="2"/>
        <w:jc w:val="center"/>
        <w:rPr>
          <w:rFonts w:ascii="Times New Roman" w:hAnsi="Times New Roman" w:cs="Times New Roman"/>
        </w:rPr>
        <w:sectPr w:rsidR="002C5025">
          <w:pgSz w:w="12240" w:h="15840"/>
          <w:pgMar w:top="1380" w:right="1340" w:bottom="280" w:left="1340" w:header="720" w:footer="720" w:gutter="0"/>
          <w:cols w:space="720"/>
          <w:noEndnote/>
        </w:sectPr>
      </w:pPr>
    </w:p>
    <w:p w:rsidR="002C5025" w:rsidRDefault="002C5025">
      <w:pPr>
        <w:pStyle w:val="BodyText"/>
        <w:kinsoku w:val="0"/>
        <w:overflowPunct w:val="0"/>
        <w:spacing w:before="54" w:line="276" w:lineRule="auto"/>
        <w:ind w:left="100" w:right="1215"/>
        <w:jc w:val="both"/>
        <w:rPr>
          <w:rFonts w:ascii="Times New Roman" w:hAnsi="Times New Roman" w:cs="Times New Roman"/>
          <w:sz w:val="24"/>
          <w:szCs w:val="24"/>
        </w:rPr>
      </w:pPr>
      <w:r>
        <w:rPr>
          <w:rFonts w:ascii="Times New Roman" w:hAnsi="Times New Roman" w:cs="Times New Roman"/>
          <w:sz w:val="24"/>
          <w:szCs w:val="24"/>
        </w:rPr>
        <w:lastRenderedPageBreak/>
        <w:t>differences in the size of these populations, MHA believes EOHHS must offer further clarification on how the different MassHealth ACO models will interact and the roles MassHealth MCOs will play in the ACO program.</w:t>
      </w:r>
    </w:p>
    <w:p w:rsidR="002C5025" w:rsidRDefault="002C5025">
      <w:pPr>
        <w:pStyle w:val="BodyText"/>
        <w:kinsoku w:val="0"/>
        <w:overflowPunct w:val="0"/>
        <w:spacing w:before="9"/>
        <w:rPr>
          <w:rFonts w:ascii="Times New Roman" w:hAnsi="Times New Roman" w:cs="Times New Roman"/>
          <w:sz w:val="27"/>
          <w:szCs w:val="27"/>
        </w:rPr>
      </w:pPr>
    </w:p>
    <w:p w:rsidR="002C5025" w:rsidRDefault="002C5025">
      <w:pPr>
        <w:pStyle w:val="BodyText"/>
        <w:kinsoku w:val="0"/>
        <w:overflowPunct w:val="0"/>
        <w:spacing w:line="276" w:lineRule="auto"/>
        <w:ind w:left="100" w:right="114"/>
        <w:rPr>
          <w:rFonts w:ascii="Times New Roman" w:hAnsi="Times New Roman" w:cs="Times New Roman"/>
          <w:sz w:val="24"/>
          <w:szCs w:val="24"/>
        </w:rPr>
      </w:pPr>
      <w:r>
        <w:rPr>
          <w:rFonts w:ascii="Times New Roman" w:hAnsi="Times New Roman" w:cs="Times New Roman"/>
          <w:sz w:val="24"/>
          <w:szCs w:val="24"/>
        </w:rPr>
        <w:t xml:space="preserve">For instance, while it has been widely understood that Primary Care Physicians (PCPs) will be associated with a single ACO, more information is needed in how these PCPs can interact with MassHealth patients who are in MassHealth MCOs or the PCC program outside the ACO. The waiver proposal states, “Affiliated Primary Care Providers may also participate in MassHealth FFS and in all MCOs, ACOs and the PCC Plan </w:t>
      </w:r>
      <w:r>
        <w:rPr>
          <w:rFonts w:ascii="Times New Roman" w:hAnsi="Times New Roman" w:cs="Times New Roman"/>
          <w:b/>
          <w:bCs/>
          <w:i/>
          <w:iCs/>
          <w:sz w:val="24"/>
          <w:szCs w:val="24"/>
        </w:rPr>
        <w:t>for non- primary care services (e.g. specialty services)</w:t>
      </w:r>
      <w:r>
        <w:rPr>
          <w:rFonts w:ascii="Times New Roman" w:hAnsi="Times New Roman" w:cs="Times New Roman"/>
          <w:sz w:val="24"/>
          <w:szCs w:val="24"/>
        </w:rPr>
        <w:t>.” This raises a number of questions, as today these PCPs provide primary care for both MassHealth PCC and MCO members. MHA requests MassHealth clarify whether PCPs in an ACO will only be able to participate as a MassHealth provider of primary care services to MassHealth patients that are attributed to that ACO – and not for other ACO eligible MassHealth members. If so, MassHealth should also provide guidance on whether it plans to move a PCP’s patients to his or her ACO (potentially out of, or to, a Medicaid MCO) so the PCP can continue to provide primary care to their patients.</w:t>
      </w:r>
    </w:p>
    <w:p w:rsidR="002C5025" w:rsidRDefault="002C5025">
      <w:pPr>
        <w:pStyle w:val="BodyText"/>
        <w:kinsoku w:val="0"/>
        <w:overflowPunct w:val="0"/>
        <w:spacing w:before="7"/>
        <w:rPr>
          <w:rFonts w:ascii="Times New Roman" w:hAnsi="Times New Roman" w:cs="Times New Roman"/>
          <w:sz w:val="27"/>
          <w:szCs w:val="27"/>
        </w:rPr>
      </w:pPr>
    </w:p>
    <w:p w:rsidR="002C5025" w:rsidRDefault="002C5025">
      <w:pPr>
        <w:pStyle w:val="BodyText"/>
        <w:kinsoku w:val="0"/>
        <w:overflowPunct w:val="0"/>
        <w:spacing w:line="276" w:lineRule="auto"/>
        <w:ind w:left="100" w:right="109"/>
        <w:rPr>
          <w:rFonts w:ascii="Times New Roman" w:hAnsi="Times New Roman" w:cs="Times New Roman"/>
          <w:sz w:val="24"/>
          <w:szCs w:val="24"/>
        </w:rPr>
      </w:pPr>
      <w:r>
        <w:rPr>
          <w:rFonts w:ascii="Times New Roman" w:hAnsi="Times New Roman" w:cs="Times New Roman"/>
          <w:sz w:val="24"/>
          <w:szCs w:val="24"/>
        </w:rPr>
        <w:t>It is also unclear if providers will choose one of the MassHealth ACO models or will be able to serve in two models thereby serving MCO and non-MCO members. As mentioned, MassHealth providers today serve both MassHealth members in the PCC program as well MCOs. Per the PCP issue above, it remains unclear whether PCPs will provide primary care for both groups of patients.  The waiver does state other providers in an ACO will be able to provide care to those in either the MCO or PCC program. Therefore, we believe if an ACO is willing and capable of participating in more than one model it should be permitted. While some ACOs may find it more efficient to participate in only one model, others may want to take advantage of the shared savings that their efforts will yield related to both MassHealth MCO and non-MCO enrollees.</w:t>
      </w:r>
      <w:r>
        <w:rPr>
          <w:rFonts w:ascii="Times New Roman" w:hAnsi="Times New Roman" w:cs="Times New Roman"/>
          <w:spacing w:val="-16"/>
          <w:sz w:val="24"/>
          <w:szCs w:val="24"/>
        </w:rPr>
        <w:t xml:space="preserve"> </w:t>
      </w:r>
      <w:r>
        <w:rPr>
          <w:rFonts w:ascii="Times New Roman" w:hAnsi="Times New Roman" w:cs="Times New Roman"/>
          <w:sz w:val="24"/>
          <w:szCs w:val="24"/>
        </w:rPr>
        <w:t>An ACO that operates in only one model will likely produce savings related to patients in the other model it does not participate in since care coordination and management efforts will apply to all patients. If it is exclusive to one model, this also may present complications for ACOs wishing to participate and serve all the patients in their</w:t>
      </w:r>
      <w:r>
        <w:rPr>
          <w:rFonts w:ascii="Times New Roman" w:hAnsi="Times New Roman" w:cs="Times New Roman"/>
          <w:spacing w:val="-9"/>
          <w:sz w:val="24"/>
          <w:szCs w:val="24"/>
        </w:rPr>
        <w:t xml:space="preserve"> </w:t>
      </w:r>
      <w:r>
        <w:rPr>
          <w:rFonts w:ascii="Times New Roman" w:hAnsi="Times New Roman" w:cs="Times New Roman"/>
          <w:sz w:val="24"/>
          <w:szCs w:val="24"/>
        </w:rPr>
        <w:t>communities.</w:t>
      </w:r>
    </w:p>
    <w:p w:rsidR="002C5025" w:rsidRDefault="002C5025">
      <w:pPr>
        <w:pStyle w:val="BodyText"/>
        <w:kinsoku w:val="0"/>
        <w:overflowPunct w:val="0"/>
        <w:rPr>
          <w:rFonts w:ascii="Times New Roman" w:hAnsi="Times New Roman" w:cs="Times New Roman"/>
          <w:sz w:val="28"/>
          <w:szCs w:val="28"/>
        </w:rPr>
      </w:pPr>
    </w:p>
    <w:p w:rsidR="002C5025" w:rsidRDefault="002C5025">
      <w:pPr>
        <w:pStyle w:val="BodyText"/>
        <w:kinsoku w:val="0"/>
        <w:overflowPunct w:val="0"/>
        <w:ind w:left="100" w:right="327"/>
        <w:rPr>
          <w:rFonts w:ascii="Times New Roman" w:hAnsi="Times New Roman" w:cs="Times New Roman"/>
          <w:b/>
          <w:bCs/>
          <w:sz w:val="24"/>
          <w:szCs w:val="24"/>
        </w:rPr>
      </w:pPr>
      <w:r>
        <w:rPr>
          <w:rFonts w:ascii="Times New Roman" w:hAnsi="Times New Roman" w:cs="Times New Roman"/>
          <w:b/>
          <w:bCs/>
          <w:sz w:val="24"/>
          <w:szCs w:val="24"/>
          <w:u w:val="thick"/>
        </w:rPr>
        <w:t>MassHealth Benefits and Cost-Sharing Proposed Changes</w:t>
      </w:r>
    </w:p>
    <w:p w:rsidR="002C5025" w:rsidRDefault="002C5025">
      <w:pPr>
        <w:pStyle w:val="BodyText"/>
        <w:kinsoku w:val="0"/>
        <w:overflowPunct w:val="0"/>
        <w:spacing w:before="38" w:line="276" w:lineRule="auto"/>
        <w:ind w:left="100" w:right="94"/>
        <w:rPr>
          <w:rFonts w:ascii="Times New Roman" w:hAnsi="Times New Roman" w:cs="Times New Roman"/>
          <w:sz w:val="24"/>
          <w:szCs w:val="24"/>
        </w:rPr>
      </w:pPr>
      <w:r>
        <w:rPr>
          <w:rFonts w:ascii="Times New Roman" w:hAnsi="Times New Roman" w:cs="Times New Roman"/>
          <w:sz w:val="24"/>
          <w:szCs w:val="24"/>
        </w:rPr>
        <w:t>EOHHS proposes to seek waiver authority to change benefits for those that are not enrolled in an MCO or ACO and instead choose the PCC plan. EOHHS plans to seek permission to offer fewer benefits to those in the PCC plan and gives examples that include removing benefits for chiropractic services, eyeglasses, and hearing aids. It is unclear if other optional Medicaid benefits such as physical therapy, speech therapy, and occupational therapy would be affected by the proposal. EOHHS also proposes to modify its co-payment policy so that members in the PCC plan will pay a higher co-payment compared to those in an ACO or MCO. MassHealth states it will also expand copayments to other provider services.</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6"/>
        <w:rPr>
          <w:rFonts w:ascii="Times New Roman" w:hAnsi="Times New Roman" w:cs="Times New Roman"/>
          <w:sz w:val="20"/>
          <w:szCs w:val="20"/>
        </w:rPr>
      </w:pPr>
    </w:p>
    <w:p w:rsidR="002C5025" w:rsidRDefault="002C5025">
      <w:pPr>
        <w:pStyle w:val="BodyText"/>
        <w:kinsoku w:val="0"/>
        <w:overflowPunct w:val="0"/>
        <w:ind w:left="2"/>
        <w:jc w:val="center"/>
        <w:rPr>
          <w:rFonts w:ascii="Times New Roman" w:hAnsi="Times New Roman" w:cs="Times New Roman"/>
        </w:rPr>
      </w:pPr>
      <w:r>
        <w:rPr>
          <w:rFonts w:ascii="Times New Roman" w:hAnsi="Times New Roman" w:cs="Times New Roman"/>
        </w:rPr>
        <w:t>4</w:t>
      </w:r>
    </w:p>
    <w:p w:rsidR="002C5025" w:rsidRDefault="002C5025">
      <w:pPr>
        <w:pStyle w:val="BodyText"/>
        <w:kinsoku w:val="0"/>
        <w:overflowPunct w:val="0"/>
        <w:ind w:left="2"/>
        <w:jc w:val="center"/>
        <w:rPr>
          <w:rFonts w:ascii="Times New Roman" w:hAnsi="Times New Roman" w:cs="Times New Roman"/>
        </w:rPr>
        <w:sectPr w:rsidR="002C5025">
          <w:pgSz w:w="12240" w:h="15840"/>
          <w:pgMar w:top="1380" w:right="1340" w:bottom="280" w:left="1340" w:header="720" w:footer="720" w:gutter="0"/>
          <w:cols w:space="720"/>
          <w:noEndnote/>
        </w:sectPr>
      </w:pPr>
    </w:p>
    <w:p w:rsidR="002C5025" w:rsidRDefault="002C5025">
      <w:pPr>
        <w:pStyle w:val="BodyText"/>
        <w:kinsoku w:val="0"/>
        <w:overflowPunct w:val="0"/>
        <w:spacing w:before="10"/>
        <w:rPr>
          <w:rFonts w:ascii="Times New Roman" w:hAnsi="Times New Roman" w:cs="Times New Roman"/>
          <w:sz w:val="15"/>
          <w:szCs w:val="15"/>
        </w:rPr>
      </w:pPr>
    </w:p>
    <w:p w:rsidR="002C5025" w:rsidRDefault="002C5025">
      <w:pPr>
        <w:pStyle w:val="BodyText"/>
        <w:kinsoku w:val="0"/>
        <w:overflowPunct w:val="0"/>
        <w:spacing w:before="69" w:line="276" w:lineRule="auto"/>
        <w:ind w:left="100" w:right="85"/>
        <w:rPr>
          <w:rFonts w:ascii="Times New Roman" w:hAnsi="Times New Roman" w:cs="Times New Roman"/>
          <w:sz w:val="24"/>
          <w:szCs w:val="24"/>
        </w:rPr>
      </w:pPr>
      <w:r>
        <w:rPr>
          <w:rFonts w:ascii="Times New Roman" w:hAnsi="Times New Roman" w:cs="Times New Roman"/>
          <w:sz w:val="24"/>
          <w:szCs w:val="24"/>
        </w:rPr>
        <w:t>Because the waiver narrative only offers examples and isn’t specific, MHA is very concerned the requested authority is too broad and open-ended on such important services. More importantly, we oppose the restriction or elimination of coverage for important healthcare services and medically necessary devices that allow people to become healthier and less dependent on more intensive, costly services. We also do not believe this approach provides the appropriate incentives for people to participate in MassHealth ACOs, all of which will be newly formed and an unfamiliar concept for enrollees. Instead, we recommend encouraging member participation through added benefits and better patient experiences to attract enrollees to the new models.</w:t>
      </w:r>
    </w:p>
    <w:p w:rsidR="002C5025" w:rsidRDefault="002C5025">
      <w:pPr>
        <w:pStyle w:val="BodyText"/>
        <w:kinsoku w:val="0"/>
        <w:overflowPunct w:val="0"/>
        <w:spacing w:before="7"/>
        <w:rPr>
          <w:rFonts w:ascii="Times New Roman" w:hAnsi="Times New Roman" w:cs="Times New Roman"/>
          <w:sz w:val="27"/>
          <w:szCs w:val="27"/>
        </w:rPr>
      </w:pPr>
    </w:p>
    <w:p w:rsidR="002C5025" w:rsidRDefault="002C5025">
      <w:pPr>
        <w:pStyle w:val="BodyText"/>
        <w:kinsoku w:val="0"/>
        <w:overflowPunct w:val="0"/>
        <w:spacing w:line="276" w:lineRule="auto"/>
        <w:ind w:left="100" w:right="114"/>
        <w:rPr>
          <w:rFonts w:ascii="Times New Roman" w:hAnsi="Times New Roman" w:cs="Times New Roman"/>
          <w:sz w:val="24"/>
          <w:szCs w:val="24"/>
        </w:rPr>
      </w:pPr>
      <w:r>
        <w:rPr>
          <w:rFonts w:ascii="Times New Roman" w:hAnsi="Times New Roman" w:cs="Times New Roman"/>
          <w:sz w:val="24"/>
          <w:szCs w:val="24"/>
        </w:rPr>
        <w:t>We have similar concerns with differential co-payments and do not believe the waiver authority on this important issue should be open ended. There may be legitimate reasons for a MassHealth enrollee to maintain enrollment through the PCC program.  Requiring a low-income person to pay additional out-of-pocket expenses from limited financial sources is not fair or productive public policy. Also, while it is intended to be an enrollee incentive, we believe it is simply going to translate into bad debt to providers as there is ultimately no enforcement mechanism.</w:t>
      </w:r>
    </w:p>
    <w:p w:rsidR="002C5025" w:rsidRDefault="002C5025">
      <w:pPr>
        <w:pStyle w:val="BodyText"/>
        <w:kinsoku w:val="0"/>
        <w:overflowPunct w:val="0"/>
        <w:spacing w:before="1" w:line="276" w:lineRule="auto"/>
        <w:ind w:left="100" w:right="269"/>
        <w:rPr>
          <w:rFonts w:ascii="Times New Roman" w:hAnsi="Times New Roman" w:cs="Times New Roman"/>
          <w:sz w:val="24"/>
          <w:szCs w:val="24"/>
        </w:rPr>
      </w:pPr>
      <w:r>
        <w:rPr>
          <w:rFonts w:ascii="Times New Roman" w:hAnsi="Times New Roman" w:cs="Times New Roman"/>
          <w:sz w:val="24"/>
          <w:szCs w:val="24"/>
        </w:rPr>
        <w:t>MassHealth providers today are required to provide services even if the patient cannot afford to pay for the co-payment.</w:t>
      </w:r>
    </w:p>
    <w:p w:rsidR="002C5025" w:rsidRDefault="002C5025">
      <w:pPr>
        <w:pStyle w:val="BodyText"/>
        <w:kinsoku w:val="0"/>
        <w:overflowPunct w:val="0"/>
        <w:spacing w:before="9"/>
        <w:rPr>
          <w:rFonts w:ascii="Times New Roman" w:hAnsi="Times New Roman" w:cs="Times New Roman"/>
          <w:sz w:val="27"/>
          <w:szCs w:val="27"/>
        </w:rPr>
      </w:pPr>
    </w:p>
    <w:p w:rsidR="002C5025" w:rsidRDefault="002C5025">
      <w:pPr>
        <w:pStyle w:val="BodyText"/>
        <w:kinsoku w:val="0"/>
        <w:overflowPunct w:val="0"/>
        <w:spacing w:line="276" w:lineRule="auto"/>
        <w:ind w:left="100" w:right="117"/>
        <w:rPr>
          <w:rFonts w:ascii="Times New Roman" w:hAnsi="Times New Roman" w:cs="Times New Roman"/>
          <w:sz w:val="24"/>
          <w:szCs w:val="24"/>
        </w:rPr>
      </w:pPr>
      <w:r>
        <w:rPr>
          <w:rFonts w:ascii="Times New Roman" w:hAnsi="Times New Roman" w:cs="Times New Roman"/>
          <w:sz w:val="24"/>
          <w:szCs w:val="24"/>
        </w:rPr>
        <w:t>For these reasons, MHA cannot support the EOHHS request to reduce benefits and charge higher co-payments for a segment of MassHealth enrollees.</w:t>
      </w:r>
    </w:p>
    <w:p w:rsidR="002C5025" w:rsidRDefault="002C5025">
      <w:pPr>
        <w:pStyle w:val="BodyText"/>
        <w:kinsoku w:val="0"/>
        <w:overflowPunct w:val="0"/>
        <w:rPr>
          <w:rFonts w:ascii="Times New Roman" w:hAnsi="Times New Roman" w:cs="Times New Roman"/>
          <w:sz w:val="28"/>
          <w:szCs w:val="28"/>
        </w:rPr>
      </w:pPr>
    </w:p>
    <w:p w:rsidR="002C5025" w:rsidRDefault="002C5025">
      <w:pPr>
        <w:pStyle w:val="BodyText"/>
        <w:kinsoku w:val="0"/>
        <w:overflowPunct w:val="0"/>
        <w:ind w:left="100" w:right="327"/>
        <w:rPr>
          <w:rFonts w:ascii="Times New Roman" w:hAnsi="Times New Roman" w:cs="Times New Roman"/>
          <w:b/>
          <w:bCs/>
          <w:sz w:val="24"/>
          <w:szCs w:val="24"/>
        </w:rPr>
      </w:pPr>
      <w:r>
        <w:rPr>
          <w:rFonts w:ascii="Times New Roman" w:hAnsi="Times New Roman" w:cs="Times New Roman"/>
          <w:b/>
          <w:bCs/>
          <w:sz w:val="24"/>
          <w:szCs w:val="24"/>
          <w:u w:val="thick"/>
        </w:rPr>
        <w:t>MassHealth Coverage related to Treatment of Substance Use Disorder</w:t>
      </w:r>
    </w:p>
    <w:p w:rsidR="002C5025" w:rsidRDefault="002C5025">
      <w:pPr>
        <w:pStyle w:val="BodyText"/>
        <w:kinsoku w:val="0"/>
        <w:overflowPunct w:val="0"/>
        <w:spacing w:before="36" w:line="276" w:lineRule="auto"/>
        <w:ind w:left="100" w:right="148"/>
        <w:rPr>
          <w:rFonts w:ascii="Times New Roman" w:hAnsi="Times New Roman" w:cs="Times New Roman"/>
          <w:sz w:val="24"/>
          <w:szCs w:val="24"/>
        </w:rPr>
      </w:pPr>
      <w:r>
        <w:rPr>
          <w:rFonts w:ascii="Times New Roman" w:hAnsi="Times New Roman" w:cs="Times New Roman"/>
          <w:sz w:val="24"/>
          <w:szCs w:val="24"/>
        </w:rPr>
        <w:t>EOHHS proposes to adopt a standardized American Society of Addiction Medicine (ASAM) assessment across all providers by the start of FY2020 to address substance use disorder. MHA looks forward to working with EOHHS in implementing this plan as well as the broader effort to address the state’s behavioral health system.</w:t>
      </w:r>
    </w:p>
    <w:p w:rsidR="002C5025" w:rsidRDefault="002C5025">
      <w:pPr>
        <w:pStyle w:val="BodyText"/>
        <w:kinsoku w:val="0"/>
        <w:overflowPunct w:val="0"/>
        <w:spacing w:before="9"/>
        <w:rPr>
          <w:rFonts w:ascii="Times New Roman" w:hAnsi="Times New Roman" w:cs="Times New Roman"/>
          <w:sz w:val="27"/>
          <w:szCs w:val="27"/>
        </w:rPr>
      </w:pPr>
    </w:p>
    <w:p w:rsidR="002C5025" w:rsidRDefault="002C5025">
      <w:pPr>
        <w:pStyle w:val="BodyText"/>
        <w:kinsoku w:val="0"/>
        <w:overflowPunct w:val="0"/>
        <w:spacing w:line="276" w:lineRule="auto"/>
        <w:ind w:left="100" w:right="107"/>
        <w:rPr>
          <w:rFonts w:ascii="Times New Roman" w:hAnsi="Times New Roman" w:cs="Times New Roman"/>
          <w:sz w:val="24"/>
          <w:szCs w:val="24"/>
        </w:rPr>
      </w:pPr>
      <w:r>
        <w:rPr>
          <w:rFonts w:ascii="Times New Roman" w:hAnsi="Times New Roman" w:cs="Times New Roman"/>
          <w:sz w:val="24"/>
          <w:szCs w:val="24"/>
        </w:rPr>
        <w:t>In this waiver proposal, EOHHS is seeking authority to expand Medicaid coverage for additional treatments, specifically Transitional Support Services and Residential Rehabilitation Services (ASAM Level 3.1) and High-Intensity Residential Services (ASAM 3.3), including those provided at Institutions of Mental Diseases (IMDs). Certain ASAM services are covered by MassHealth today through the current waiver. MHA supports expanding MassHealth coverage for these services.</w:t>
      </w:r>
    </w:p>
    <w:p w:rsidR="002C5025" w:rsidRDefault="002C5025">
      <w:pPr>
        <w:pStyle w:val="BodyText"/>
        <w:kinsoku w:val="0"/>
        <w:overflowPunct w:val="0"/>
        <w:rPr>
          <w:rFonts w:ascii="Times New Roman" w:hAnsi="Times New Roman" w:cs="Times New Roman"/>
          <w:sz w:val="28"/>
          <w:szCs w:val="28"/>
        </w:rPr>
      </w:pPr>
    </w:p>
    <w:p w:rsidR="002C5025" w:rsidRDefault="002C5025">
      <w:pPr>
        <w:pStyle w:val="BodyText"/>
        <w:kinsoku w:val="0"/>
        <w:overflowPunct w:val="0"/>
        <w:ind w:left="100" w:right="327"/>
        <w:rPr>
          <w:rFonts w:ascii="Times New Roman" w:hAnsi="Times New Roman" w:cs="Times New Roman"/>
          <w:b/>
          <w:bCs/>
          <w:sz w:val="24"/>
          <w:szCs w:val="24"/>
        </w:rPr>
      </w:pPr>
      <w:r>
        <w:rPr>
          <w:rFonts w:ascii="Times New Roman" w:hAnsi="Times New Roman" w:cs="Times New Roman"/>
          <w:b/>
          <w:bCs/>
          <w:sz w:val="24"/>
          <w:szCs w:val="24"/>
          <w:u w:val="thick"/>
        </w:rPr>
        <w:t>Hospital Role in Funding Role in Funding DSRIP Investments</w:t>
      </w:r>
    </w:p>
    <w:p w:rsidR="002C5025" w:rsidRDefault="002C5025">
      <w:pPr>
        <w:pStyle w:val="BodyText"/>
        <w:kinsoku w:val="0"/>
        <w:overflowPunct w:val="0"/>
        <w:spacing w:before="38" w:line="276" w:lineRule="auto"/>
        <w:ind w:left="100" w:right="166"/>
        <w:rPr>
          <w:rFonts w:ascii="Times New Roman" w:hAnsi="Times New Roman" w:cs="Times New Roman"/>
          <w:sz w:val="24"/>
          <w:szCs w:val="24"/>
        </w:rPr>
      </w:pPr>
      <w:r>
        <w:rPr>
          <w:rFonts w:ascii="Times New Roman" w:hAnsi="Times New Roman" w:cs="Times New Roman"/>
          <w:sz w:val="24"/>
          <w:szCs w:val="24"/>
        </w:rPr>
        <w:t>This October, the existing Health Safety Net assessment on acute hospitals will be increased by an additional $257.5 million. Chapter 115 of the Acts of 2016 established the increased assessment and creates the MassHealth Delivery Reform Trust Fund to receive the funding.</w:t>
      </w:r>
      <w:r>
        <w:rPr>
          <w:rFonts w:ascii="Times New Roman" w:hAnsi="Times New Roman" w:cs="Times New Roman"/>
          <w:spacing w:val="50"/>
          <w:sz w:val="24"/>
          <w:szCs w:val="24"/>
        </w:rPr>
        <w:t xml:space="preserve"> </w:t>
      </w:r>
      <w:r>
        <w:rPr>
          <w:rFonts w:ascii="Times New Roman" w:hAnsi="Times New Roman" w:cs="Times New Roman"/>
          <w:sz w:val="24"/>
          <w:szCs w:val="24"/>
        </w:rPr>
        <w:t>The</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9"/>
        <w:rPr>
          <w:rFonts w:ascii="Times New Roman" w:hAnsi="Times New Roman" w:cs="Times New Roman"/>
          <w:sz w:val="21"/>
          <w:szCs w:val="21"/>
        </w:rPr>
      </w:pPr>
    </w:p>
    <w:p w:rsidR="002C5025" w:rsidRDefault="002C5025">
      <w:pPr>
        <w:pStyle w:val="BodyText"/>
        <w:kinsoku w:val="0"/>
        <w:overflowPunct w:val="0"/>
        <w:spacing w:before="72"/>
        <w:ind w:left="2"/>
        <w:jc w:val="center"/>
        <w:rPr>
          <w:rFonts w:ascii="Times New Roman" w:hAnsi="Times New Roman" w:cs="Times New Roman"/>
        </w:rPr>
      </w:pPr>
      <w:r>
        <w:rPr>
          <w:rFonts w:ascii="Times New Roman" w:hAnsi="Times New Roman" w:cs="Times New Roman"/>
        </w:rPr>
        <w:t>5</w:t>
      </w:r>
    </w:p>
    <w:p w:rsidR="002C5025" w:rsidRDefault="002C5025">
      <w:pPr>
        <w:pStyle w:val="BodyText"/>
        <w:kinsoku w:val="0"/>
        <w:overflowPunct w:val="0"/>
        <w:spacing w:before="72"/>
        <w:ind w:left="2"/>
        <w:jc w:val="center"/>
        <w:rPr>
          <w:rFonts w:ascii="Times New Roman" w:hAnsi="Times New Roman" w:cs="Times New Roman"/>
        </w:rPr>
        <w:sectPr w:rsidR="002C5025">
          <w:pgSz w:w="12240" w:h="15840"/>
          <w:pgMar w:top="1500" w:right="1340" w:bottom="280" w:left="1340" w:header="720" w:footer="720" w:gutter="0"/>
          <w:cols w:space="720"/>
          <w:noEndnote/>
        </w:sectPr>
      </w:pPr>
    </w:p>
    <w:p w:rsidR="002C5025" w:rsidRDefault="002C5025">
      <w:pPr>
        <w:pStyle w:val="BodyText"/>
        <w:kinsoku w:val="0"/>
        <w:overflowPunct w:val="0"/>
        <w:spacing w:before="54" w:line="276" w:lineRule="auto"/>
        <w:ind w:left="100" w:right="401"/>
        <w:rPr>
          <w:rFonts w:ascii="Times New Roman" w:hAnsi="Times New Roman" w:cs="Times New Roman"/>
          <w:sz w:val="24"/>
          <w:szCs w:val="24"/>
        </w:rPr>
      </w:pPr>
      <w:r>
        <w:rPr>
          <w:rFonts w:ascii="Times New Roman" w:hAnsi="Times New Roman" w:cs="Times New Roman"/>
          <w:sz w:val="24"/>
          <w:szCs w:val="24"/>
        </w:rPr>
        <w:lastRenderedPageBreak/>
        <w:t>increased hospital assessment will return to $160 million on October 1, 2022, to coincide with the end of this waiver’s DSRIP funding.</w:t>
      </w:r>
    </w:p>
    <w:p w:rsidR="002C5025" w:rsidRDefault="002C5025">
      <w:pPr>
        <w:pStyle w:val="BodyText"/>
        <w:kinsoku w:val="0"/>
        <w:overflowPunct w:val="0"/>
        <w:spacing w:before="9"/>
        <w:rPr>
          <w:rFonts w:ascii="Times New Roman" w:hAnsi="Times New Roman" w:cs="Times New Roman"/>
          <w:sz w:val="27"/>
          <w:szCs w:val="27"/>
        </w:rPr>
      </w:pPr>
    </w:p>
    <w:p w:rsidR="002C5025" w:rsidRDefault="002C5025">
      <w:pPr>
        <w:pStyle w:val="BodyText"/>
        <w:kinsoku w:val="0"/>
        <w:overflowPunct w:val="0"/>
        <w:spacing w:line="276" w:lineRule="auto"/>
        <w:ind w:left="100" w:right="111"/>
        <w:rPr>
          <w:rFonts w:ascii="Times New Roman" w:hAnsi="Times New Roman" w:cs="Times New Roman"/>
          <w:sz w:val="24"/>
          <w:szCs w:val="24"/>
        </w:rPr>
      </w:pPr>
      <w:r>
        <w:rPr>
          <w:rFonts w:ascii="Times New Roman" w:hAnsi="Times New Roman" w:cs="Times New Roman"/>
          <w:sz w:val="24"/>
          <w:szCs w:val="24"/>
        </w:rPr>
        <w:t>Such an increase in the state assessment on hospitals was very difficult to accept since approximately half of acute care hospitals will be net payers. These hospitals are currently paid far below the cost of care for Medicaid patients, yet are now asked to pay an added assessment</w:t>
      </w:r>
      <w:r>
        <w:rPr>
          <w:rFonts w:ascii="Times New Roman" w:hAnsi="Times New Roman" w:cs="Times New Roman"/>
          <w:spacing w:val="-16"/>
          <w:sz w:val="24"/>
          <w:szCs w:val="24"/>
        </w:rPr>
        <w:t xml:space="preserve"> </w:t>
      </w:r>
      <w:r>
        <w:rPr>
          <w:rFonts w:ascii="Times New Roman" w:hAnsi="Times New Roman" w:cs="Times New Roman"/>
          <w:sz w:val="24"/>
          <w:szCs w:val="24"/>
        </w:rPr>
        <w:t>of which they will recoup only a portion. The payment mechanism is also viewed with caution by the hospital community given that it is redistributive in nature and exposes the hospital community to added financial risk if the payments are not fulfilled. At the same time, the need for federal funding through the waiver is important to the MassHealth program and is critical to safety net</w:t>
      </w:r>
      <w:r>
        <w:rPr>
          <w:rFonts w:ascii="Times New Roman" w:hAnsi="Times New Roman" w:cs="Times New Roman"/>
          <w:spacing w:val="-6"/>
          <w:sz w:val="24"/>
          <w:szCs w:val="24"/>
        </w:rPr>
        <w:t xml:space="preserve"> </w:t>
      </w:r>
      <w:r>
        <w:rPr>
          <w:rFonts w:ascii="Times New Roman" w:hAnsi="Times New Roman" w:cs="Times New Roman"/>
          <w:sz w:val="24"/>
          <w:szCs w:val="24"/>
        </w:rPr>
        <w:t>hospitals.</w:t>
      </w:r>
    </w:p>
    <w:p w:rsidR="002C5025" w:rsidRDefault="002C5025">
      <w:pPr>
        <w:pStyle w:val="BodyText"/>
        <w:kinsoku w:val="0"/>
        <w:overflowPunct w:val="0"/>
        <w:spacing w:before="10"/>
        <w:rPr>
          <w:rFonts w:ascii="Times New Roman" w:hAnsi="Times New Roman" w:cs="Times New Roman"/>
          <w:sz w:val="27"/>
          <w:szCs w:val="27"/>
        </w:rPr>
      </w:pPr>
    </w:p>
    <w:p w:rsidR="002C5025" w:rsidRDefault="002C5025">
      <w:pPr>
        <w:pStyle w:val="BodyText"/>
        <w:kinsoku w:val="0"/>
        <w:overflowPunct w:val="0"/>
        <w:spacing w:line="276" w:lineRule="auto"/>
        <w:ind w:left="100" w:right="113"/>
        <w:rPr>
          <w:rFonts w:ascii="Times New Roman" w:hAnsi="Times New Roman" w:cs="Times New Roman"/>
          <w:sz w:val="24"/>
          <w:szCs w:val="24"/>
        </w:rPr>
      </w:pPr>
      <w:r>
        <w:rPr>
          <w:rFonts w:ascii="Times New Roman" w:hAnsi="Times New Roman" w:cs="Times New Roman"/>
          <w:sz w:val="24"/>
          <w:szCs w:val="24"/>
        </w:rPr>
        <w:t>Given this significant contribution by hospitals and how much they have at stake, we ask to work collaboratively with you and your team to address these issues and to ensure the financing plan is successfully fulfilled as intended. The issues are complex and important, so working together should be to the benefit of all concerned. MHA looks forward to working with EOHHS and the legislature in achieving a fair and effective outcome on this important contribution from hospitals that directly supports the MassHealth ACO program and waiver</w:t>
      </w:r>
      <w:r>
        <w:rPr>
          <w:rFonts w:ascii="Times New Roman" w:hAnsi="Times New Roman" w:cs="Times New Roman"/>
          <w:spacing w:val="-14"/>
          <w:sz w:val="24"/>
          <w:szCs w:val="24"/>
        </w:rPr>
        <w:t xml:space="preserve"> </w:t>
      </w:r>
      <w:r>
        <w:rPr>
          <w:rFonts w:ascii="Times New Roman" w:hAnsi="Times New Roman" w:cs="Times New Roman"/>
          <w:sz w:val="24"/>
          <w:szCs w:val="24"/>
        </w:rPr>
        <w:t>financing.</w:t>
      </w:r>
    </w:p>
    <w:p w:rsidR="002C5025" w:rsidRDefault="002C5025">
      <w:pPr>
        <w:pStyle w:val="BodyText"/>
        <w:kinsoku w:val="0"/>
        <w:overflowPunct w:val="0"/>
        <w:spacing w:before="3"/>
        <w:rPr>
          <w:rFonts w:ascii="Times New Roman" w:hAnsi="Times New Roman" w:cs="Times New Roman"/>
          <w:sz w:val="28"/>
          <w:szCs w:val="28"/>
        </w:rPr>
      </w:pPr>
    </w:p>
    <w:p w:rsidR="002C5025" w:rsidRDefault="002C5025">
      <w:pPr>
        <w:pStyle w:val="BodyText"/>
        <w:kinsoku w:val="0"/>
        <w:overflowPunct w:val="0"/>
        <w:ind w:left="100" w:right="327"/>
        <w:rPr>
          <w:rFonts w:ascii="Times New Roman" w:hAnsi="Times New Roman" w:cs="Times New Roman"/>
          <w:b/>
          <w:bCs/>
          <w:sz w:val="24"/>
          <w:szCs w:val="24"/>
        </w:rPr>
      </w:pPr>
      <w:r>
        <w:rPr>
          <w:rFonts w:ascii="Times New Roman" w:hAnsi="Times New Roman" w:cs="Times New Roman"/>
          <w:b/>
          <w:bCs/>
          <w:sz w:val="24"/>
          <w:szCs w:val="24"/>
          <w:u w:val="thick"/>
        </w:rPr>
        <w:t>Hospital Cost Protocol</w:t>
      </w:r>
    </w:p>
    <w:p w:rsidR="002C5025" w:rsidRDefault="002C5025">
      <w:pPr>
        <w:pStyle w:val="BodyText"/>
        <w:kinsoku w:val="0"/>
        <w:overflowPunct w:val="0"/>
        <w:spacing w:before="36" w:line="276" w:lineRule="auto"/>
        <w:ind w:left="100" w:right="225"/>
        <w:rPr>
          <w:rFonts w:ascii="Times New Roman" w:hAnsi="Times New Roman" w:cs="Times New Roman"/>
          <w:sz w:val="24"/>
          <w:szCs w:val="24"/>
        </w:rPr>
      </w:pPr>
      <w:r>
        <w:rPr>
          <w:rFonts w:ascii="Times New Roman" w:hAnsi="Times New Roman" w:cs="Times New Roman"/>
          <w:sz w:val="24"/>
          <w:szCs w:val="24"/>
        </w:rPr>
        <w:t>The existing Medicaid waiver requires a hospital “cost protocol” to define the hospital costs related to Medicaid and uninsured patients. At a high-level, Medicaid payments for medical services, including certain supplemental payments such as Health Safety Net, are compared to these costs. Performance and incentive-based payments, grants, etc. are not part of the analysis. FY2015 is the first year the cost protocol went into effect and the cost protocol is expected to continue in the amended waiver.</w:t>
      </w:r>
    </w:p>
    <w:p w:rsidR="002C5025" w:rsidRDefault="002C5025">
      <w:pPr>
        <w:pStyle w:val="BodyText"/>
        <w:kinsoku w:val="0"/>
        <w:overflowPunct w:val="0"/>
        <w:spacing w:before="7"/>
        <w:rPr>
          <w:rFonts w:ascii="Times New Roman" w:hAnsi="Times New Roman" w:cs="Times New Roman"/>
          <w:sz w:val="27"/>
          <w:szCs w:val="27"/>
        </w:rPr>
      </w:pPr>
    </w:p>
    <w:p w:rsidR="002C5025" w:rsidRDefault="002C5025">
      <w:pPr>
        <w:pStyle w:val="BodyText"/>
        <w:kinsoku w:val="0"/>
        <w:overflowPunct w:val="0"/>
        <w:spacing w:line="276" w:lineRule="auto"/>
        <w:ind w:left="100" w:right="243"/>
        <w:rPr>
          <w:rFonts w:ascii="Times New Roman" w:hAnsi="Times New Roman" w:cs="Times New Roman"/>
          <w:sz w:val="24"/>
          <w:szCs w:val="24"/>
        </w:rPr>
      </w:pPr>
      <w:r>
        <w:rPr>
          <w:rFonts w:ascii="Times New Roman" w:hAnsi="Times New Roman" w:cs="Times New Roman"/>
          <w:sz w:val="24"/>
          <w:szCs w:val="24"/>
        </w:rPr>
        <w:t>MHA is pleased to have worked with EOHHS in advocating for a cost protocol that reflects the costs hospitals incur to care for the uninsured that are not fully represented in Medicare cost reports. We also appreciate the recent educational sessions and guidance EOHHS has provided to hospitals on the protocol. As EOHHS begins to receive the cost information from hospitals, we hope that we can work together to minimize any negative effect on hospitals in the form of unnecessary recoupments. In FY2017, this will be particularly important given the $257.5 million-to-$265 million in additional hospital Medicaid payments that will be paid to hospitals. The higher Medicaid payments, funded by hospitals themselves through the $257.5 million increased assessment, will unfortunately mean more hospitals than today will approach the cost protocol ceiling and will be in jeopardy of losing their Health Safety Net payments. We believe the state should fully explore all alternatives to avoid such an outcome.</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3"/>
        <w:rPr>
          <w:rFonts w:ascii="Times New Roman" w:hAnsi="Times New Roman" w:cs="Times New Roman"/>
          <w:sz w:val="29"/>
          <w:szCs w:val="29"/>
        </w:rPr>
      </w:pPr>
    </w:p>
    <w:p w:rsidR="002C5025" w:rsidRDefault="002C5025">
      <w:pPr>
        <w:pStyle w:val="BodyText"/>
        <w:kinsoku w:val="0"/>
        <w:overflowPunct w:val="0"/>
        <w:spacing w:before="73"/>
        <w:ind w:left="2"/>
        <w:jc w:val="center"/>
        <w:rPr>
          <w:rFonts w:ascii="Times New Roman" w:hAnsi="Times New Roman" w:cs="Times New Roman"/>
        </w:rPr>
      </w:pPr>
      <w:r>
        <w:rPr>
          <w:rFonts w:ascii="Times New Roman" w:hAnsi="Times New Roman" w:cs="Times New Roman"/>
        </w:rPr>
        <w:t>6</w:t>
      </w:r>
    </w:p>
    <w:p w:rsidR="002C5025" w:rsidRDefault="002C5025">
      <w:pPr>
        <w:pStyle w:val="BodyText"/>
        <w:kinsoku w:val="0"/>
        <w:overflowPunct w:val="0"/>
        <w:spacing w:before="73"/>
        <w:ind w:left="2"/>
        <w:jc w:val="center"/>
        <w:rPr>
          <w:rFonts w:ascii="Times New Roman" w:hAnsi="Times New Roman" w:cs="Times New Roman"/>
        </w:rPr>
        <w:sectPr w:rsidR="002C5025">
          <w:pgSz w:w="12240" w:h="15840"/>
          <w:pgMar w:top="1380" w:right="1340" w:bottom="280" w:left="1340" w:header="720" w:footer="720" w:gutter="0"/>
          <w:cols w:space="720"/>
          <w:noEndnote/>
        </w:sectPr>
      </w:pPr>
    </w:p>
    <w:p w:rsidR="002C5025" w:rsidRDefault="002C5025">
      <w:pPr>
        <w:pStyle w:val="BodyText"/>
        <w:kinsoku w:val="0"/>
        <w:overflowPunct w:val="0"/>
        <w:spacing w:before="54" w:line="276" w:lineRule="auto"/>
        <w:ind w:left="100" w:right="114"/>
        <w:rPr>
          <w:rFonts w:ascii="Times New Roman" w:hAnsi="Times New Roman" w:cs="Times New Roman"/>
          <w:sz w:val="24"/>
          <w:szCs w:val="24"/>
        </w:rPr>
      </w:pPr>
      <w:r>
        <w:rPr>
          <w:rFonts w:ascii="Times New Roman" w:hAnsi="Times New Roman" w:cs="Times New Roman"/>
          <w:sz w:val="24"/>
          <w:szCs w:val="24"/>
        </w:rPr>
        <w:lastRenderedPageBreak/>
        <w:t>Second, an outstanding issue related to critical access hospitals remains with the cost protocol. As required by section 253 of Chapter 224 of the Acts of 2012, MassHealth and the Health Safety Net must reimburse these hospitals 101% of cost assuming a Medicare cost methodology. We note the Medicare program similarly reimburses critical access hospitals above cost.  In order for these hospitals to be protected as intended, we believe they should be exempt from the cost protocol as their Medicaid payments by design are intended to reimburse the hospitals</w:t>
      </w:r>
      <w:r>
        <w:rPr>
          <w:rFonts w:ascii="Times New Roman" w:hAnsi="Times New Roman" w:cs="Times New Roman"/>
          <w:spacing w:val="-11"/>
          <w:sz w:val="24"/>
          <w:szCs w:val="24"/>
        </w:rPr>
        <w:t xml:space="preserve"> </w:t>
      </w:r>
      <w:r>
        <w:rPr>
          <w:rFonts w:ascii="Times New Roman" w:hAnsi="Times New Roman" w:cs="Times New Roman"/>
          <w:sz w:val="24"/>
          <w:szCs w:val="24"/>
        </w:rPr>
        <w:t>above cost.</w:t>
      </w:r>
    </w:p>
    <w:p w:rsidR="002C5025" w:rsidRDefault="002C5025">
      <w:pPr>
        <w:pStyle w:val="BodyText"/>
        <w:kinsoku w:val="0"/>
        <w:overflowPunct w:val="0"/>
        <w:spacing w:before="9"/>
        <w:rPr>
          <w:rFonts w:ascii="Times New Roman" w:hAnsi="Times New Roman" w:cs="Times New Roman"/>
          <w:sz w:val="27"/>
          <w:szCs w:val="27"/>
        </w:rPr>
      </w:pPr>
    </w:p>
    <w:p w:rsidR="002C5025" w:rsidRDefault="002C5025">
      <w:pPr>
        <w:pStyle w:val="BodyText"/>
        <w:kinsoku w:val="0"/>
        <w:overflowPunct w:val="0"/>
        <w:spacing w:line="276" w:lineRule="auto"/>
        <w:ind w:left="100" w:right="188"/>
        <w:rPr>
          <w:rFonts w:ascii="Times New Roman" w:hAnsi="Times New Roman" w:cs="Times New Roman"/>
          <w:sz w:val="24"/>
          <w:szCs w:val="24"/>
        </w:rPr>
      </w:pPr>
      <w:r>
        <w:rPr>
          <w:rFonts w:ascii="Times New Roman" w:hAnsi="Times New Roman" w:cs="Times New Roman"/>
          <w:sz w:val="24"/>
          <w:szCs w:val="24"/>
        </w:rPr>
        <w:t>Thank you for the opportunity to offer these initial comments. MHA appreciates the opportunity to work collaboratively with EOHHS on this important and ambitious initiative. We will offer further comment throughout the waiver and MassHealth ACO implementation process.</w:t>
      </w:r>
    </w:p>
    <w:p w:rsidR="002C5025" w:rsidRDefault="002C5025">
      <w:pPr>
        <w:pStyle w:val="BodyText"/>
        <w:kinsoku w:val="0"/>
        <w:overflowPunct w:val="0"/>
        <w:spacing w:before="10"/>
        <w:rPr>
          <w:rFonts w:ascii="Times New Roman" w:hAnsi="Times New Roman" w:cs="Times New Roman"/>
          <w:sz w:val="27"/>
          <w:szCs w:val="27"/>
        </w:rPr>
      </w:pPr>
    </w:p>
    <w:p w:rsidR="002C5025" w:rsidRDefault="00FB027C">
      <w:pPr>
        <w:pStyle w:val="BodyText"/>
        <w:kinsoku w:val="0"/>
        <w:overflowPunct w:val="0"/>
        <w:ind w:left="100" w:right="327"/>
        <w:rPr>
          <w:rFonts w:ascii="Times New Roman" w:hAnsi="Times New Roman" w:cs="Times New Roman"/>
          <w:sz w:val="24"/>
          <w:szCs w:val="24"/>
        </w:rPr>
      </w:pPr>
      <w:r>
        <w:rPr>
          <w:noProof/>
        </w:rPr>
        <mc:AlternateContent>
          <mc:Choice Requires="wps">
            <w:drawing>
              <wp:anchor distT="0" distB="0" distL="0" distR="0" simplePos="0" relativeHeight="251709952" behindDoc="0" locked="0" layoutInCell="0" allowOverlap="1">
                <wp:simplePos x="0" y="0"/>
                <wp:positionH relativeFrom="page">
                  <wp:posOffset>933450</wp:posOffset>
                </wp:positionH>
                <wp:positionV relativeFrom="paragraph">
                  <wp:posOffset>204470</wp:posOffset>
                </wp:positionV>
                <wp:extent cx="2006600" cy="762000"/>
                <wp:effectExtent l="0" t="0" r="0" b="0"/>
                <wp:wrapTopAndBottom/>
                <wp:docPr id="398" name="Rectangle 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1200" w:lineRule="atLeast"/>
                            </w:pPr>
                            <w:r>
                              <w:rPr>
                                <w:noProof/>
                              </w:rPr>
                              <w:drawing>
                                <wp:inline distT="0" distB="0" distL="0" distR="0">
                                  <wp:extent cx="2009775" cy="752475"/>
                                  <wp:effectExtent l="0" t="0" r="9525" b="9525"/>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433">
                                            <a:extLst>
                                              <a:ext uri="{28A0092B-C50C-407E-A947-70E740481C1C}">
                                                <a14:useLocalDpi xmlns:a14="http://schemas.microsoft.com/office/drawing/2010/main" val="0"/>
                                              </a:ext>
                                            </a:extLst>
                                          </a:blip>
                                          <a:srcRect/>
                                          <a:stretch>
                                            <a:fillRect/>
                                          </a:stretch>
                                        </pic:blipFill>
                                        <pic:spPr bwMode="auto">
                                          <a:xfrm>
                                            <a:off x="0" y="0"/>
                                            <a:ext cx="2009775" cy="752475"/>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7" o:spid="_x0000_s1235" style="position:absolute;left:0;text-align:left;margin-left:73.5pt;margin-top:16.1pt;width:158pt;height:60pt;z-index:251709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" o:allowincell="f" filled="f" stroked="f">
                <v:textbox inset="0,0,0,0">
                  <w:txbxContent>
                    <w:p w:rsidR="007B2B7B" w:rsidRDefault="007B2B7B">
                      <w:pPr>
                        <w:widowControl/>
                        <w:autoSpaceDE/>
                        <w:autoSpaceDN/>
                        <w:adjustRightInd/>
                        <w:spacing w:line="1200" w:lineRule="atLeast"/>
                      </w:pPr>
                      <w:r>
                        <w:rPr>
                          <w:noProof/>
                        </w:rPr>
                        <w:drawing>
                          <wp:inline distT="0" distB="0" distL="0" distR="0">
                            <wp:extent cx="2009775" cy="752475"/>
                            <wp:effectExtent l="0" t="0" r="9525" b="9525"/>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0" y="0"/>
                                      <a:ext cx="2009775" cy="752475"/>
                                    </a:xfrm>
                                    <a:prstGeom prst="rect">
                                      <a:avLst/>
                                    </a:prstGeom>
                                    <a:noFill/>
                                    <a:ln>
                                      <a:noFill/>
                                    </a:ln>
                                  </pic:spPr>
                                </pic:pic>
                              </a:graphicData>
                            </a:graphic>
                          </wp:inline>
                        </w:drawing>
                      </w:r>
                    </w:p>
                    <w:p w:rsidR="007B2B7B" w:rsidRDefault="007B2B7B"/>
                  </w:txbxContent>
                </v:textbox>
                <w10:wrap type="topAndBottom" anchorx="page"/>
              </v:rect>
            </w:pict>
          </mc:Fallback>
        </mc:AlternateContent>
      </w:r>
      <w:r w:rsidR="002C5025">
        <w:rPr>
          <w:rFonts w:ascii="Times New Roman" w:hAnsi="Times New Roman" w:cs="Times New Roman"/>
          <w:sz w:val="24"/>
          <w:szCs w:val="24"/>
        </w:rPr>
        <w:t>Sincerely,</w:t>
      </w:r>
    </w:p>
    <w:p w:rsidR="002C5025" w:rsidRDefault="002C5025">
      <w:pPr>
        <w:pStyle w:val="BodyText"/>
        <w:kinsoku w:val="0"/>
        <w:overflowPunct w:val="0"/>
        <w:ind w:left="100" w:right="327"/>
        <w:rPr>
          <w:rFonts w:ascii="Times New Roman" w:hAnsi="Times New Roman" w:cs="Times New Roman"/>
          <w:sz w:val="24"/>
          <w:szCs w:val="24"/>
        </w:rPr>
      </w:pPr>
      <w:r>
        <w:rPr>
          <w:rFonts w:ascii="Times New Roman" w:hAnsi="Times New Roman" w:cs="Times New Roman"/>
          <w:sz w:val="24"/>
          <w:szCs w:val="24"/>
        </w:rPr>
        <w:t>Timothy F. Gens</w:t>
      </w:r>
    </w:p>
    <w:p w:rsidR="002C5025" w:rsidRDefault="002C5025">
      <w:pPr>
        <w:pStyle w:val="BodyText"/>
        <w:kinsoku w:val="0"/>
        <w:overflowPunct w:val="0"/>
        <w:ind w:left="100" w:right="4495"/>
        <w:rPr>
          <w:rFonts w:ascii="Times New Roman" w:hAnsi="Times New Roman" w:cs="Times New Roman"/>
          <w:sz w:val="24"/>
          <w:szCs w:val="24"/>
        </w:rPr>
      </w:pPr>
      <w:r>
        <w:rPr>
          <w:rFonts w:ascii="Times New Roman" w:hAnsi="Times New Roman" w:cs="Times New Roman"/>
          <w:sz w:val="24"/>
          <w:szCs w:val="24"/>
        </w:rPr>
        <w:t>Executive Vice President &amp; General Counsel Massachusetts Hospital Association</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10"/>
        <w:rPr>
          <w:rFonts w:ascii="Times New Roman" w:hAnsi="Times New Roman" w:cs="Times New Roman"/>
          <w:sz w:val="20"/>
          <w:szCs w:val="20"/>
        </w:rPr>
      </w:pPr>
    </w:p>
    <w:p w:rsidR="002C5025" w:rsidRDefault="002C5025">
      <w:pPr>
        <w:pStyle w:val="BodyText"/>
        <w:kinsoku w:val="0"/>
        <w:overflowPunct w:val="0"/>
        <w:spacing w:before="72"/>
        <w:ind w:left="2"/>
        <w:jc w:val="center"/>
        <w:rPr>
          <w:rFonts w:ascii="Times New Roman" w:hAnsi="Times New Roman" w:cs="Times New Roman"/>
        </w:rPr>
      </w:pPr>
      <w:r>
        <w:rPr>
          <w:rFonts w:ascii="Times New Roman" w:hAnsi="Times New Roman" w:cs="Times New Roman"/>
        </w:rPr>
        <w:t>7</w:t>
      </w:r>
    </w:p>
    <w:p w:rsidR="002C5025" w:rsidRDefault="002C5025">
      <w:pPr>
        <w:pStyle w:val="BodyText"/>
        <w:kinsoku w:val="0"/>
        <w:overflowPunct w:val="0"/>
        <w:spacing w:before="72"/>
        <w:ind w:left="2"/>
        <w:jc w:val="center"/>
        <w:rPr>
          <w:rFonts w:ascii="Times New Roman" w:hAnsi="Times New Roman" w:cs="Times New Roman"/>
        </w:rPr>
        <w:sectPr w:rsidR="002C5025">
          <w:pgSz w:w="12240" w:h="15840"/>
          <w:pgMar w:top="1380" w:right="1340" w:bottom="280" w:left="1340" w:header="720" w:footer="720" w:gutter="0"/>
          <w:cols w:space="720"/>
          <w:noEndnote/>
        </w:sectPr>
      </w:pPr>
    </w:p>
    <w:p w:rsidR="002C5025" w:rsidRDefault="002C5025">
      <w:pPr>
        <w:pStyle w:val="BodyText"/>
        <w:kinsoku w:val="0"/>
        <w:overflowPunct w:val="0"/>
        <w:spacing w:before="37"/>
        <w:ind w:left="120" w:right="327"/>
      </w:pPr>
      <w:bookmarkStart w:id="200" w:name="Mass_Housing"/>
      <w:bookmarkEnd w:id="200"/>
      <w:r>
        <w:lastRenderedPageBreak/>
        <w:t>Dear Assistant Secretary Tsai:</w:t>
      </w:r>
    </w:p>
    <w:p w:rsidR="002C5025" w:rsidRDefault="002C5025">
      <w:pPr>
        <w:pStyle w:val="BodyText"/>
        <w:kinsoku w:val="0"/>
        <w:overflowPunct w:val="0"/>
      </w:pPr>
    </w:p>
    <w:p w:rsidR="002C5025" w:rsidRDefault="002C5025">
      <w:pPr>
        <w:pStyle w:val="BodyText"/>
        <w:kinsoku w:val="0"/>
        <w:overflowPunct w:val="0"/>
        <w:ind w:left="120" w:right="168"/>
      </w:pPr>
      <w:r>
        <w:t>Thank you for this opportunity to comment on MassHealth’s Section 1115 Demonstration Waiver amendment and extension request, as well as for my previous participation in MassHealth’s Health Homes Stakeholder Workgroup. It is very encouraging to see issues which were raised during our Workgroup meetings included in MassHealth’s request. More specifically, thank you for the inclusion of “flexible services to allow ACOs to address the social determinants of health” within the primary purposes for the requested $1.8 billion in Delivery System Reform Incentive Program (DSRIP) funding.</w:t>
      </w:r>
    </w:p>
    <w:p w:rsidR="002C5025" w:rsidRDefault="002C5025">
      <w:pPr>
        <w:pStyle w:val="BodyText"/>
        <w:kinsoku w:val="0"/>
        <w:overflowPunct w:val="0"/>
      </w:pPr>
    </w:p>
    <w:p w:rsidR="002C5025" w:rsidRDefault="002C5025">
      <w:pPr>
        <w:pStyle w:val="BodyText"/>
        <w:kinsoku w:val="0"/>
        <w:overflowPunct w:val="0"/>
        <w:ind w:left="120" w:right="122"/>
      </w:pPr>
      <w:r>
        <w:t>As you are aware, access to affordable housing is a significant social determinant of health and directly impacts health care costs for low-income individuals and families. In a February 2016 study published by Center for Outcomes Research and Education (CORE), Medicaid claims data for previously homeless individuals and families showed in the year after they were housed: a 20% increase in primary care utilization, an 18% reduction in emergency department (ED) visits, and a 12% overall reduction in Medicaid expenditures. MassHealth’s own Community Support Program for People Experiencing Chronic Homelessness has documented similar</w:t>
      </w:r>
      <w:r>
        <w:rPr>
          <w:spacing w:val="-15"/>
        </w:rPr>
        <w:t xml:space="preserve"> </w:t>
      </w:r>
      <w:r>
        <w:t>outcomes.</w:t>
      </w:r>
    </w:p>
    <w:p w:rsidR="002C5025" w:rsidRDefault="002C5025">
      <w:pPr>
        <w:pStyle w:val="BodyText"/>
        <w:kinsoku w:val="0"/>
        <w:overflowPunct w:val="0"/>
      </w:pPr>
    </w:p>
    <w:p w:rsidR="002C5025" w:rsidRDefault="002C5025">
      <w:pPr>
        <w:pStyle w:val="BodyText"/>
        <w:kinsoku w:val="0"/>
        <w:overflowPunct w:val="0"/>
        <w:ind w:left="119" w:right="106"/>
      </w:pPr>
      <w:r>
        <w:t>For MassHealth members, particularly those with complex behavioral health needs, who are housed but struggling and at-risk for eviction, the availability of flexible services is critical to maintaining their housing. To that end, MassHousing, the Department of Housing and Community Development, and the Executive Office of Health and Human Services are investing additional state resources to pilot an “upstream” expansion of the Tenancy Preservation Program (TPP), to engage at-risk households at the first signs of lease violation and support/stabilize the household before the situation further deteriorates, leads to Court and possibly eviction. If Accountable Care Organizations could be encouraged to use DSRIP flexible services funds to similarly invest in “upstream” TPP services, then those MassHealth members can avoid the health-compromising trauma of eviction and homelessness, while MassHealth and the Commonwealth also avoid those associated costs.</w:t>
      </w:r>
    </w:p>
    <w:p w:rsidR="002C5025" w:rsidRDefault="002C5025">
      <w:pPr>
        <w:pStyle w:val="BodyText"/>
        <w:kinsoku w:val="0"/>
        <w:overflowPunct w:val="0"/>
      </w:pPr>
    </w:p>
    <w:p w:rsidR="002C5025" w:rsidRDefault="002C5025">
      <w:pPr>
        <w:pStyle w:val="BodyText"/>
        <w:kinsoku w:val="0"/>
        <w:overflowPunct w:val="0"/>
        <w:ind w:left="119" w:right="85"/>
      </w:pPr>
      <w:r>
        <w:t>Beyond this specific initiative, we are also very interested in continuing to explore opportunities for partnerships among housing and health care providers. Housing presents the health care system with a unique opportunity to access members/patients to better coordinate and integrate physical and behavioral health services, long-term services and supports, and other health-related social services, literally under one roof. In the previously referenced CORE study, properties with on-site health services experienced the greatest reductions in ED visits and Medicaid expenditures. While these types of on-site health services are generally beyond the scope of traditional multi-family rental housing, future partnerships may present opportunities for collaboration which emphasize affordable housing with integrated health services and coordinated care for all.</w:t>
      </w:r>
    </w:p>
    <w:p w:rsidR="002C5025" w:rsidRDefault="002C5025">
      <w:pPr>
        <w:pStyle w:val="BodyText"/>
        <w:kinsoku w:val="0"/>
        <w:overflowPunct w:val="0"/>
      </w:pPr>
    </w:p>
    <w:p w:rsidR="002C5025" w:rsidRDefault="002C5025">
      <w:pPr>
        <w:pStyle w:val="BodyText"/>
        <w:kinsoku w:val="0"/>
        <w:overflowPunct w:val="0"/>
        <w:ind w:left="119" w:right="327"/>
      </w:pPr>
      <w:r>
        <w:t>Thank you for your time and consideration.</w:t>
      </w:r>
    </w:p>
    <w:p w:rsidR="002C5025" w:rsidRDefault="002C5025">
      <w:pPr>
        <w:pStyle w:val="BodyText"/>
        <w:kinsoku w:val="0"/>
        <w:overflowPunct w:val="0"/>
      </w:pPr>
    </w:p>
    <w:p w:rsidR="002C5025" w:rsidRDefault="002C5025">
      <w:pPr>
        <w:pStyle w:val="BodyText"/>
        <w:kinsoku w:val="0"/>
        <w:overflowPunct w:val="0"/>
      </w:pPr>
    </w:p>
    <w:p w:rsidR="002C5025" w:rsidRDefault="002C5025">
      <w:pPr>
        <w:pStyle w:val="BodyText"/>
        <w:kinsoku w:val="0"/>
        <w:overflowPunct w:val="0"/>
        <w:ind w:left="119" w:right="327"/>
      </w:pPr>
      <w:r>
        <w:t>David Eng</w:t>
      </w:r>
    </w:p>
    <w:p w:rsidR="002C5025" w:rsidRDefault="002C5025">
      <w:pPr>
        <w:pStyle w:val="BodyText"/>
        <w:kinsoku w:val="0"/>
        <w:overflowPunct w:val="0"/>
        <w:ind w:left="119" w:right="6465"/>
      </w:pPr>
      <w:r>
        <w:t>Community Services Department MassHousing</w:t>
      </w:r>
    </w:p>
    <w:p w:rsidR="002C5025" w:rsidRDefault="002C5025">
      <w:pPr>
        <w:pStyle w:val="BodyText"/>
        <w:kinsoku w:val="0"/>
        <w:overflowPunct w:val="0"/>
        <w:spacing w:line="268" w:lineRule="exact"/>
        <w:ind w:left="119" w:right="327"/>
      </w:pPr>
      <w:r>
        <w:t>1 Beacon Street</w:t>
      </w:r>
    </w:p>
    <w:p w:rsidR="002C5025" w:rsidRDefault="002C5025">
      <w:pPr>
        <w:pStyle w:val="BodyText"/>
        <w:kinsoku w:val="0"/>
        <w:overflowPunct w:val="0"/>
        <w:spacing w:line="268" w:lineRule="exact"/>
        <w:ind w:left="119" w:right="327"/>
      </w:pPr>
      <w:r>
        <w:t>Boston, MA 02108</w:t>
      </w:r>
    </w:p>
    <w:p w:rsidR="002C5025" w:rsidRDefault="002C5025">
      <w:pPr>
        <w:pStyle w:val="BodyText"/>
        <w:kinsoku w:val="0"/>
        <w:overflowPunct w:val="0"/>
        <w:ind w:left="119" w:right="327"/>
      </w:pPr>
      <w:r>
        <w:t>Phone: 617-854-1089</w:t>
      </w:r>
    </w:p>
    <w:p w:rsidR="002C5025" w:rsidRDefault="002C5025">
      <w:pPr>
        <w:pStyle w:val="BodyText"/>
        <w:kinsoku w:val="0"/>
        <w:overflowPunct w:val="0"/>
        <w:ind w:left="119" w:right="327"/>
      </w:pPr>
      <w:r>
        <w:t>Fax: 617-624-9449</w:t>
      </w:r>
    </w:p>
    <w:p w:rsidR="002C5025" w:rsidRDefault="002C5025">
      <w:pPr>
        <w:pStyle w:val="BodyText"/>
        <w:kinsoku w:val="0"/>
        <w:overflowPunct w:val="0"/>
        <w:ind w:left="119" w:right="327"/>
        <w:sectPr w:rsidR="002C5025">
          <w:pgSz w:w="12240" w:h="15840"/>
          <w:pgMar w:top="1400" w:right="1360" w:bottom="280" w:left="1320" w:header="720" w:footer="720" w:gutter="0"/>
          <w:cols w:space="720"/>
          <w:noEndnote/>
        </w:sectPr>
      </w:pPr>
    </w:p>
    <w:p w:rsidR="002C5025" w:rsidRDefault="002C5025">
      <w:pPr>
        <w:pStyle w:val="BodyText"/>
        <w:kinsoku w:val="0"/>
        <w:overflowPunct w:val="0"/>
        <w:spacing w:before="37"/>
        <w:ind w:left="100"/>
        <w:rPr>
          <w:color w:val="0000FF"/>
        </w:rPr>
      </w:pPr>
      <w:r>
        <w:lastRenderedPageBreak/>
        <w:t xml:space="preserve">Email: </w:t>
      </w:r>
      <w:hyperlink r:id="rId435" w:history="1">
        <w:r>
          <w:rPr>
            <w:color w:val="0000FF"/>
            <w:u w:val="single"/>
          </w:rPr>
          <w:t>deng@masshousing.com</w:t>
        </w:r>
      </w:hyperlink>
    </w:p>
    <w:p w:rsidR="002C5025" w:rsidRDefault="002C5025">
      <w:pPr>
        <w:pStyle w:val="BodyText"/>
        <w:kinsoku w:val="0"/>
        <w:overflowPunct w:val="0"/>
        <w:spacing w:before="37"/>
        <w:ind w:left="100"/>
        <w:rPr>
          <w:color w:val="0000FF"/>
        </w:rPr>
        <w:sectPr w:rsidR="002C5025">
          <w:pgSz w:w="12240" w:h="15840"/>
          <w:pgMar w:top="1400" w:right="1720" w:bottom="280" w:left="1340" w:header="720" w:footer="720" w:gutter="0"/>
          <w:cols w:space="720" w:equalWidth="0">
            <w:col w:w="9180"/>
          </w:cols>
          <w:noEndnote/>
        </w:sectPr>
      </w:pPr>
    </w:p>
    <w:p w:rsidR="002C5025" w:rsidRDefault="002C5025">
      <w:pPr>
        <w:pStyle w:val="BodyText"/>
        <w:kinsoku w:val="0"/>
        <w:overflowPunct w:val="0"/>
        <w:spacing w:before="37"/>
        <w:ind w:left="120" w:right="296"/>
        <w:rPr>
          <w:b/>
          <w:bCs/>
        </w:rPr>
      </w:pPr>
      <w:bookmarkStart w:id="201" w:name="MHSA's_Response_to_MassHealth_Section_11"/>
      <w:bookmarkEnd w:id="201"/>
      <w:r>
        <w:rPr>
          <w:b/>
          <w:bCs/>
        </w:rPr>
        <w:lastRenderedPageBreak/>
        <w:t>MHSA’s Response to Section 1115 Demonstration Waiver Extension Request</w:t>
      </w:r>
    </w:p>
    <w:p w:rsidR="002C5025" w:rsidRDefault="002C5025">
      <w:pPr>
        <w:pStyle w:val="BodyText"/>
        <w:kinsoku w:val="0"/>
        <w:overflowPunct w:val="0"/>
        <w:spacing w:before="180"/>
        <w:ind w:left="119" w:right="211"/>
      </w:pPr>
      <w:r>
        <w:t>The Massachusetts Housing and Shelter Alliance (MHSA) and its statewide partners thank you for the opportunity to provide comments on the MassHealth Section 1115 Demonstration Project Amendment and Extension Request. We are also appreciative of your efforts to expand CSPECH statewide and ensure that this important service is available to all Medicaid enrollees who need it.</w:t>
      </w:r>
    </w:p>
    <w:p w:rsidR="002C5025" w:rsidRDefault="002C5025">
      <w:pPr>
        <w:pStyle w:val="BodyText"/>
        <w:kinsoku w:val="0"/>
        <w:overflowPunct w:val="0"/>
      </w:pPr>
    </w:p>
    <w:p w:rsidR="002C5025" w:rsidRDefault="002C5025">
      <w:pPr>
        <w:pStyle w:val="BodyText"/>
        <w:kinsoku w:val="0"/>
        <w:overflowPunct w:val="0"/>
        <w:ind w:left="119" w:right="388"/>
      </w:pPr>
      <w:r>
        <w:t>While we see much in the Extension Request that is desirable in terms of a more cost-effective and coordinated system of care, we wish to point out what we consider to be a significant omission in the document that needs to be addressed.</w:t>
      </w:r>
    </w:p>
    <w:p w:rsidR="002C5025" w:rsidRDefault="002C5025">
      <w:pPr>
        <w:pStyle w:val="BodyText"/>
        <w:kinsoku w:val="0"/>
        <w:overflowPunct w:val="0"/>
      </w:pPr>
    </w:p>
    <w:p w:rsidR="002C5025" w:rsidRDefault="002C5025">
      <w:pPr>
        <w:pStyle w:val="BodyText"/>
        <w:kinsoku w:val="0"/>
        <w:overflowPunct w:val="0"/>
        <w:ind w:left="119" w:right="564"/>
      </w:pPr>
      <w:r>
        <w:t>As you know, the Center for Medicare and Medicaid Services issued a bulletin in June of 2015 that articulated how states can use Medicaid funding to provide services to help address the problem of homelessness. The Massachusetts Interagency Council on Housing and Homelessness (ICCH) is committed to ending chronic homelessness. MHSA believes that MassHealth should work in synchronization with the goals of the ICCH and unfortunately, we do not see evidence of this in the current Waiver Request.</w:t>
      </w:r>
    </w:p>
    <w:p w:rsidR="002C5025" w:rsidRDefault="002C5025">
      <w:pPr>
        <w:pStyle w:val="BodyText"/>
        <w:kinsoku w:val="0"/>
        <w:overflowPunct w:val="0"/>
      </w:pPr>
    </w:p>
    <w:p w:rsidR="002C5025" w:rsidRDefault="002C5025">
      <w:pPr>
        <w:pStyle w:val="BodyText"/>
        <w:kinsoku w:val="0"/>
        <w:overflowPunct w:val="0"/>
        <w:ind w:left="119" w:right="296"/>
      </w:pPr>
      <w:r>
        <w:t>Specifically, we point out the following:</w:t>
      </w:r>
    </w:p>
    <w:p w:rsidR="002C5025" w:rsidRDefault="002C5025">
      <w:pPr>
        <w:pStyle w:val="BodyText"/>
        <w:kinsoku w:val="0"/>
        <w:overflowPunct w:val="0"/>
        <w:rPr>
          <w:sz w:val="29"/>
          <w:szCs w:val="29"/>
        </w:rPr>
      </w:pPr>
    </w:p>
    <w:p w:rsidR="002C5025" w:rsidRDefault="002C5025">
      <w:pPr>
        <w:pStyle w:val="ListParagraph"/>
        <w:numPr>
          <w:ilvl w:val="0"/>
          <w:numId w:val="7"/>
        </w:numPr>
        <w:tabs>
          <w:tab w:val="left" w:pos="841"/>
        </w:tabs>
        <w:kinsoku w:val="0"/>
        <w:overflowPunct w:val="0"/>
        <w:spacing w:line="256" w:lineRule="auto"/>
        <w:ind w:right="379" w:hanging="360"/>
        <w:jc w:val="both"/>
        <w:rPr>
          <w:rFonts w:ascii="Calibri" w:hAnsi="Calibri" w:cs="Calibri"/>
          <w:sz w:val="22"/>
          <w:szCs w:val="22"/>
        </w:rPr>
      </w:pPr>
      <w:bookmarkStart w:id="202" w:name="_CSPECH_is_not_currently_a_covered_serv"/>
      <w:bookmarkEnd w:id="202"/>
      <w:r>
        <w:rPr>
          <w:rFonts w:ascii="Calibri" w:hAnsi="Calibri" w:cs="Calibri"/>
          <w:sz w:val="22"/>
          <w:szCs w:val="22"/>
        </w:rPr>
        <w:t xml:space="preserve">CSPECH is not currently a covered service for all MCOs other than through the Massachusetts Behavioral Health Partnership </w:t>
      </w:r>
      <w:r>
        <w:rPr>
          <w:rFonts w:ascii="Calibri" w:hAnsi="Calibri" w:cs="Calibri"/>
          <w:i/>
          <w:iCs/>
          <w:sz w:val="22"/>
          <w:szCs w:val="22"/>
        </w:rPr>
        <w:t>(</w:t>
      </w:r>
      <w:r>
        <w:rPr>
          <w:rFonts w:ascii="Calibri" w:hAnsi="Calibri" w:cs="Calibri"/>
          <w:sz w:val="22"/>
          <w:szCs w:val="22"/>
        </w:rPr>
        <w:t>MBHP) and the Pay for Success Program. Without this being a covered service, an ACO would not be mandated to provide it in the</w:t>
      </w:r>
      <w:r>
        <w:rPr>
          <w:rFonts w:ascii="Calibri" w:hAnsi="Calibri" w:cs="Calibri"/>
          <w:spacing w:val="-27"/>
          <w:sz w:val="22"/>
          <w:szCs w:val="22"/>
        </w:rPr>
        <w:t xml:space="preserve"> </w:t>
      </w:r>
      <w:r>
        <w:rPr>
          <w:rFonts w:ascii="Calibri" w:hAnsi="Calibri" w:cs="Calibri"/>
          <w:sz w:val="22"/>
          <w:szCs w:val="22"/>
        </w:rPr>
        <w:t>future.</w:t>
      </w:r>
    </w:p>
    <w:p w:rsidR="002C5025" w:rsidRDefault="002C5025">
      <w:pPr>
        <w:pStyle w:val="ListParagraph"/>
        <w:numPr>
          <w:ilvl w:val="0"/>
          <w:numId w:val="7"/>
        </w:numPr>
        <w:tabs>
          <w:tab w:val="left" w:pos="841"/>
        </w:tabs>
        <w:kinsoku w:val="0"/>
        <w:overflowPunct w:val="0"/>
        <w:spacing w:before="53" w:line="259" w:lineRule="auto"/>
        <w:ind w:left="839" w:right="260" w:hanging="359"/>
        <w:rPr>
          <w:rFonts w:ascii="Calibri" w:hAnsi="Calibri" w:cs="Calibri"/>
          <w:sz w:val="22"/>
          <w:szCs w:val="22"/>
        </w:rPr>
      </w:pPr>
      <w:r>
        <w:rPr>
          <w:rFonts w:ascii="Calibri" w:hAnsi="Calibri" w:cs="Calibri"/>
          <w:sz w:val="22"/>
          <w:szCs w:val="22"/>
        </w:rPr>
        <w:t>There is no specific mention of the homeless population as a priority group in the document. This runs counter to recent CMS clarifications that Medicaid services can be used to help end homelessness. For example, ACOs are specifically required to have expertise in providing services to the behavioral health and substance use populations as well as the disabled but not to the</w:t>
      </w:r>
      <w:r>
        <w:rPr>
          <w:rFonts w:ascii="Calibri" w:hAnsi="Calibri" w:cs="Calibri"/>
          <w:spacing w:val="-2"/>
          <w:sz w:val="22"/>
          <w:szCs w:val="22"/>
        </w:rPr>
        <w:t xml:space="preserve"> </w:t>
      </w:r>
      <w:r>
        <w:rPr>
          <w:rFonts w:ascii="Calibri" w:hAnsi="Calibri" w:cs="Calibri"/>
          <w:sz w:val="22"/>
          <w:szCs w:val="22"/>
        </w:rPr>
        <w:t>homeless.</w:t>
      </w:r>
    </w:p>
    <w:p w:rsidR="002C5025" w:rsidRDefault="002C5025">
      <w:pPr>
        <w:pStyle w:val="ListParagraph"/>
        <w:numPr>
          <w:ilvl w:val="0"/>
          <w:numId w:val="7"/>
        </w:numPr>
        <w:tabs>
          <w:tab w:val="left" w:pos="840"/>
        </w:tabs>
        <w:kinsoku w:val="0"/>
        <w:overflowPunct w:val="0"/>
        <w:spacing w:line="259" w:lineRule="auto"/>
        <w:ind w:left="839" w:right="518" w:hanging="360"/>
        <w:rPr>
          <w:rFonts w:ascii="Calibri" w:hAnsi="Calibri" w:cs="Calibri"/>
          <w:sz w:val="22"/>
          <w:szCs w:val="22"/>
        </w:rPr>
      </w:pPr>
      <w:r>
        <w:rPr>
          <w:rFonts w:ascii="Calibri" w:hAnsi="Calibri" w:cs="Calibri"/>
          <w:sz w:val="22"/>
          <w:szCs w:val="22"/>
        </w:rPr>
        <w:t>ACO Care Coordination is required for physical health, behavioral health and substance use populations but not specifically for the homeless population. (While it is true that homeless individuals may have all of the above problem areas, the lack of permanent, low-threshold supportive housing makes successfully treating these problems almost</w:t>
      </w:r>
      <w:r>
        <w:rPr>
          <w:rFonts w:ascii="Calibri" w:hAnsi="Calibri" w:cs="Calibri"/>
          <w:spacing w:val="-29"/>
          <w:sz w:val="22"/>
          <w:szCs w:val="22"/>
        </w:rPr>
        <w:t xml:space="preserve"> </w:t>
      </w:r>
      <w:r>
        <w:rPr>
          <w:rFonts w:ascii="Calibri" w:hAnsi="Calibri" w:cs="Calibri"/>
          <w:sz w:val="22"/>
          <w:szCs w:val="22"/>
        </w:rPr>
        <w:t>impossible.)</w:t>
      </w:r>
    </w:p>
    <w:p w:rsidR="002C5025" w:rsidRDefault="002C5025">
      <w:pPr>
        <w:pStyle w:val="ListParagraph"/>
        <w:numPr>
          <w:ilvl w:val="0"/>
          <w:numId w:val="7"/>
        </w:numPr>
        <w:tabs>
          <w:tab w:val="left" w:pos="840"/>
        </w:tabs>
        <w:kinsoku w:val="0"/>
        <w:overflowPunct w:val="0"/>
        <w:spacing w:line="256" w:lineRule="auto"/>
        <w:ind w:left="839" w:right="223" w:hanging="360"/>
        <w:rPr>
          <w:rFonts w:ascii="Calibri" w:hAnsi="Calibri" w:cs="Calibri"/>
          <w:sz w:val="22"/>
          <w:szCs w:val="22"/>
        </w:rPr>
      </w:pPr>
      <w:r>
        <w:rPr>
          <w:rFonts w:ascii="Calibri" w:hAnsi="Calibri" w:cs="Calibri"/>
          <w:sz w:val="22"/>
          <w:szCs w:val="22"/>
        </w:rPr>
        <w:t>Certified Community Partners (CP) are created for the behavioral health and long-term services and supports (LTSS) but not for the homeless</w:t>
      </w:r>
      <w:r>
        <w:rPr>
          <w:rFonts w:ascii="Calibri" w:hAnsi="Calibri" w:cs="Calibri"/>
          <w:spacing w:val="-18"/>
          <w:sz w:val="22"/>
          <w:szCs w:val="22"/>
        </w:rPr>
        <w:t xml:space="preserve"> </w:t>
      </w:r>
      <w:r>
        <w:rPr>
          <w:rFonts w:ascii="Calibri" w:hAnsi="Calibri" w:cs="Calibri"/>
          <w:sz w:val="22"/>
          <w:szCs w:val="22"/>
        </w:rPr>
        <w:t>population.</w:t>
      </w:r>
    </w:p>
    <w:p w:rsidR="002C5025" w:rsidRDefault="002C5025">
      <w:pPr>
        <w:pStyle w:val="ListParagraph"/>
        <w:numPr>
          <w:ilvl w:val="0"/>
          <w:numId w:val="7"/>
        </w:numPr>
        <w:tabs>
          <w:tab w:val="left" w:pos="840"/>
        </w:tabs>
        <w:kinsoku w:val="0"/>
        <w:overflowPunct w:val="0"/>
        <w:spacing w:before="3" w:line="259" w:lineRule="auto"/>
        <w:ind w:left="839" w:right="478" w:hanging="360"/>
        <w:rPr>
          <w:rFonts w:ascii="Calibri" w:hAnsi="Calibri" w:cs="Calibri"/>
          <w:sz w:val="22"/>
          <w:szCs w:val="22"/>
        </w:rPr>
      </w:pPr>
      <w:r>
        <w:rPr>
          <w:rFonts w:ascii="Calibri" w:hAnsi="Calibri" w:cs="Calibri"/>
          <w:sz w:val="22"/>
          <w:szCs w:val="22"/>
        </w:rPr>
        <w:t>The Waiver creates payment tiers for reimbursing ACOs that serve high-risk populations, but homeless is not mentioned as one of the criteria that</w:t>
      </w:r>
      <w:r>
        <w:rPr>
          <w:rFonts w:ascii="Calibri" w:hAnsi="Calibri" w:cs="Calibri"/>
          <w:spacing w:val="-35"/>
          <w:sz w:val="22"/>
          <w:szCs w:val="22"/>
        </w:rPr>
        <w:t xml:space="preserve"> </w:t>
      </w:r>
      <w:r>
        <w:rPr>
          <w:rFonts w:ascii="Calibri" w:hAnsi="Calibri" w:cs="Calibri"/>
          <w:sz w:val="22"/>
          <w:szCs w:val="22"/>
        </w:rPr>
        <w:t>would drive this designation.</w:t>
      </w:r>
    </w:p>
    <w:p w:rsidR="002C5025" w:rsidRDefault="002C5025">
      <w:pPr>
        <w:pStyle w:val="ListParagraph"/>
        <w:numPr>
          <w:ilvl w:val="0"/>
          <w:numId w:val="7"/>
        </w:numPr>
        <w:tabs>
          <w:tab w:val="left" w:pos="840"/>
        </w:tabs>
        <w:kinsoku w:val="0"/>
        <w:overflowPunct w:val="0"/>
        <w:spacing w:line="279" w:lineRule="exact"/>
        <w:ind w:left="839" w:hanging="360"/>
        <w:rPr>
          <w:rFonts w:ascii="Calibri" w:hAnsi="Calibri" w:cs="Calibri"/>
          <w:sz w:val="22"/>
          <w:szCs w:val="22"/>
        </w:rPr>
      </w:pPr>
      <w:r>
        <w:rPr>
          <w:rFonts w:ascii="Calibri" w:hAnsi="Calibri" w:cs="Calibri"/>
          <w:sz w:val="22"/>
          <w:szCs w:val="22"/>
        </w:rPr>
        <w:t>There is no requirement that ACOs include CSPECH providers in their provider</w:t>
      </w:r>
      <w:r>
        <w:rPr>
          <w:rFonts w:ascii="Calibri" w:hAnsi="Calibri" w:cs="Calibri"/>
          <w:spacing w:val="-33"/>
          <w:sz w:val="22"/>
          <w:szCs w:val="22"/>
        </w:rPr>
        <w:t xml:space="preserve"> </w:t>
      </w:r>
      <w:r>
        <w:rPr>
          <w:rFonts w:ascii="Calibri" w:hAnsi="Calibri" w:cs="Calibri"/>
          <w:sz w:val="22"/>
          <w:szCs w:val="22"/>
        </w:rPr>
        <w:t>network.</w:t>
      </w:r>
    </w:p>
    <w:p w:rsidR="002C5025" w:rsidRDefault="002C5025">
      <w:pPr>
        <w:pStyle w:val="ListParagraph"/>
        <w:numPr>
          <w:ilvl w:val="0"/>
          <w:numId w:val="7"/>
        </w:numPr>
        <w:tabs>
          <w:tab w:val="left" w:pos="840"/>
        </w:tabs>
        <w:kinsoku w:val="0"/>
        <w:overflowPunct w:val="0"/>
        <w:spacing w:before="22" w:line="259" w:lineRule="auto"/>
        <w:ind w:left="839" w:right="174" w:hanging="360"/>
        <w:rPr>
          <w:rFonts w:ascii="Calibri" w:hAnsi="Calibri" w:cs="Calibri"/>
          <w:sz w:val="22"/>
          <w:szCs w:val="22"/>
        </w:rPr>
      </w:pPr>
      <w:r>
        <w:rPr>
          <w:rFonts w:ascii="Calibri" w:hAnsi="Calibri" w:cs="Calibri"/>
          <w:sz w:val="22"/>
          <w:szCs w:val="22"/>
        </w:rPr>
        <w:t>There is no requirement for a homeless services provider to be on mandated care teams and no requirement to assess an individual’s housing status as a key component of their</w:t>
      </w:r>
      <w:r>
        <w:rPr>
          <w:rFonts w:ascii="Calibri" w:hAnsi="Calibri" w:cs="Calibri"/>
          <w:spacing w:val="-31"/>
          <w:sz w:val="22"/>
          <w:szCs w:val="22"/>
        </w:rPr>
        <w:t xml:space="preserve"> </w:t>
      </w:r>
      <w:r>
        <w:rPr>
          <w:rFonts w:ascii="Calibri" w:hAnsi="Calibri" w:cs="Calibri"/>
          <w:sz w:val="22"/>
          <w:szCs w:val="22"/>
        </w:rPr>
        <w:t>health.</w:t>
      </w:r>
    </w:p>
    <w:p w:rsidR="002C5025" w:rsidRDefault="002C5025">
      <w:pPr>
        <w:pStyle w:val="ListParagraph"/>
        <w:numPr>
          <w:ilvl w:val="0"/>
          <w:numId w:val="7"/>
        </w:numPr>
        <w:tabs>
          <w:tab w:val="left" w:pos="840"/>
        </w:tabs>
        <w:kinsoku w:val="0"/>
        <w:overflowPunct w:val="0"/>
        <w:spacing w:line="259" w:lineRule="auto"/>
        <w:ind w:left="839" w:right="673" w:hanging="360"/>
        <w:rPr>
          <w:rFonts w:ascii="Calibri" w:hAnsi="Calibri" w:cs="Calibri"/>
          <w:sz w:val="22"/>
          <w:szCs w:val="22"/>
        </w:rPr>
      </w:pPr>
      <w:r>
        <w:rPr>
          <w:rFonts w:ascii="Calibri" w:hAnsi="Calibri" w:cs="Calibri"/>
          <w:sz w:val="22"/>
          <w:szCs w:val="22"/>
        </w:rPr>
        <w:t>MassHealth still lacks a way to designate individuals as homeless within the Medicaid data system.  The waiver does not address</w:t>
      </w:r>
      <w:r>
        <w:rPr>
          <w:rFonts w:ascii="Calibri" w:hAnsi="Calibri" w:cs="Calibri"/>
          <w:spacing w:val="-9"/>
          <w:sz w:val="22"/>
          <w:szCs w:val="22"/>
        </w:rPr>
        <w:t xml:space="preserve"> </w:t>
      </w:r>
      <w:r>
        <w:rPr>
          <w:rFonts w:ascii="Calibri" w:hAnsi="Calibri" w:cs="Calibri"/>
          <w:sz w:val="22"/>
          <w:szCs w:val="22"/>
        </w:rPr>
        <w:t>this.</w:t>
      </w:r>
    </w:p>
    <w:p w:rsidR="002C5025" w:rsidRDefault="002C5025">
      <w:pPr>
        <w:pStyle w:val="BodyText"/>
        <w:kinsoku w:val="0"/>
        <w:overflowPunct w:val="0"/>
        <w:spacing w:before="161"/>
        <w:ind w:left="119" w:right="296"/>
      </w:pPr>
      <w:r>
        <w:t>Finally,</w:t>
      </w:r>
    </w:p>
    <w:p w:rsidR="002C5025" w:rsidRDefault="002C5025">
      <w:pPr>
        <w:pStyle w:val="ListParagraph"/>
        <w:numPr>
          <w:ilvl w:val="0"/>
          <w:numId w:val="7"/>
        </w:numPr>
        <w:tabs>
          <w:tab w:val="left" w:pos="840"/>
        </w:tabs>
        <w:kinsoku w:val="0"/>
        <w:overflowPunct w:val="0"/>
        <w:spacing w:before="180" w:line="259" w:lineRule="auto"/>
        <w:ind w:left="839" w:right="107" w:hanging="360"/>
        <w:rPr>
          <w:rFonts w:ascii="Calibri" w:hAnsi="Calibri" w:cs="Calibri"/>
          <w:sz w:val="22"/>
          <w:szCs w:val="22"/>
        </w:rPr>
      </w:pPr>
      <w:r>
        <w:rPr>
          <w:rFonts w:ascii="Calibri" w:hAnsi="Calibri" w:cs="Calibri"/>
          <w:sz w:val="22"/>
          <w:szCs w:val="22"/>
        </w:rPr>
        <w:t>The Waiver Request does nothing to end the revolving door of discharge from a hospital, psychiatric facility or detoxification facility to homelessness.  MassHealth will never meet its</w:t>
      </w:r>
      <w:r>
        <w:rPr>
          <w:rFonts w:ascii="Calibri" w:hAnsi="Calibri" w:cs="Calibri"/>
          <w:spacing w:val="-34"/>
          <w:sz w:val="22"/>
          <w:szCs w:val="22"/>
        </w:rPr>
        <w:t xml:space="preserve"> </w:t>
      </w:r>
      <w:r>
        <w:rPr>
          <w:rFonts w:ascii="Calibri" w:hAnsi="Calibri" w:cs="Calibri"/>
          <w:sz w:val="22"/>
          <w:szCs w:val="22"/>
        </w:rPr>
        <w:t>cost</w:t>
      </w:r>
    </w:p>
    <w:p w:rsidR="002C5025" w:rsidRDefault="002C5025">
      <w:pPr>
        <w:pStyle w:val="ListParagraph"/>
        <w:numPr>
          <w:ilvl w:val="0"/>
          <w:numId w:val="7"/>
        </w:numPr>
        <w:tabs>
          <w:tab w:val="left" w:pos="840"/>
        </w:tabs>
        <w:kinsoku w:val="0"/>
        <w:overflowPunct w:val="0"/>
        <w:spacing w:before="180" w:line="259" w:lineRule="auto"/>
        <w:ind w:left="839" w:right="107" w:hanging="360"/>
        <w:rPr>
          <w:rFonts w:ascii="Calibri" w:hAnsi="Calibri" w:cs="Calibri"/>
          <w:sz w:val="22"/>
          <w:szCs w:val="22"/>
        </w:rPr>
        <w:sectPr w:rsidR="002C5025">
          <w:pgSz w:w="12240" w:h="15840"/>
          <w:pgMar w:top="1400" w:right="1340" w:bottom="280" w:left="1320" w:header="720" w:footer="720" w:gutter="0"/>
          <w:cols w:space="720" w:equalWidth="0">
            <w:col w:w="9580"/>
          </w:cols>
          <w:noEndnote/>
        </w:sectPr>
      </w:pPr>
    </w:p>
    <w:p w:rsidR="002C5025" w:rsidRDefault="002C5025">
      <w:pPr>
        <w:pStyle w:val="BodyText"/>
        <w:kinsoku w:val="0"/>
        <w:overflowPunct w:val="0"/>
        <w:spacing w:before="37" w:line="259" w:lineRule="auto"/>
        <w:ind w:left="839" w:right="400"/>
      </w:pPr>
      <w:r>
        <w:lastRenderedPageBreak/>
        <w:t>containment goals until this key gap is filled with the provision of permanent, low-threshold, supportive housing for these individuals.</w:t>
      </w:r>
    </w:p>
    <w:p w:rsidR="002C5025" w:rsidRDefault="002C5025">
      <w:pPr>
        <w:pStyle w:val="BodyText"/>
        <w:kinsoku w:val="0"/>
        <w:overflowPunct w:val="0"/>
        <w:spacing w:before="159" w:line="259" w:lineRule="auto"/>
        <w:ind w:left="119" w:right="160"/>
      </w:pPr>
      <w:r>
        <w:t>We encourage MassHealth to review the entire Waiver Request from the perspective of homeless individuals and their unique needs and ensure that ACOs recognize and provide services tailored to this population. Specifically, we make the following recommendations for inclusion in the Waiver:</w:t>
      </w:r>
    </w:p>
    <w:p w:rsidR="002C5025" w:rsidRDefault="002C5025">
      <w:pPr>
        <w:pStyle w:val="ListParagraph"/>
        <w:numPr>
          <w:ilvl w:val="0"/>
          <w:numId w:val="35"/>
        </w:numPr>
        <w:tabs>
          <w:tab w:val="left" w:pos="840"/>
        </w:tabs>
        <w:kinsoku w:val="0"/>
        <w:overflowPunct w:val="0"/>
        <w:spacing w:before="159" w:line="259" w:lineRule="auto"/>
        <w:ind w:right="208" w:hanging="360"/>
        <w:jc w:val="both"/>
        <w:rPr>
          <w:rFonts w:ascii="Calibri" w:hAnsi="Calibri" w:cs="Calibri"/>
          <w:sz w:val="22"/>
          <w:szCs w:val="22"/>
        </w:rPr>
      </w:pPr>
      <w:r>
        <w:rPr>
          <w:rFonts w:ascii="Calibri" w:hAnsi="Calibri" w:cs="Calibri"/>
          <w:sz w:val="22"/>
          <w:szCs w:val="22"/>
        </w:rPr>
        <w:t>Make CSPECH a covered service for all MCOs now. This insures that CSPECH will be covered by new ACOs as they come on board. Without this being a covered service, an ACO would not be mandated to provide it in the</w:t>
      </w:r>
      <w:r>
        <w:rPr>
          <w:rFonts w:ascii="Calibri" w:hAnsi="Calibri" w:cs="Calibri"/>
          <w:spacing w:val="-12"/>
          <w:sz w:val="22"/>
          <w:szCs w:val="22"/>
        </w:rPr>
        <w:t xml:space="preserve"> </w:t>
      </w:r>
      <w:r>
        <w:rPr>
          <w:rFonts w:ascii="Calibri" w:hAnsi="Calibri" w:cs="Calibri"/>
          <w:sz w:val="22"/>
          <w:szCs w:val="22"/>
        </w:rPr>
        <w:t>future.</w:t>
      </w:r>
    </w:p>
    <w:p w:rsidR="002C5025" w:rsidRDefault="002C5025">
      <w:pPr>
        <w:pStyle w:val="ListParagraph"/>
        <w:numPr>
          <w:ilvl w:val="0"/>
          <w:numId w:val="35"/>
        </w:numPr>
        <w:tabs>
          <w:tab w:val="left" w:pos="840"/>
        </w:tabs>
        <w:kinsoku w:val="0"/>
        <w:overflowPunct w:val="0"/>
        <w:spacing w:line="259" w:lineRule="auto"/>
        <w:ind w:right="112" w:hanging="360"/>
        <w:rPr>
          <w:rFonts w:ascii="Calibri" w:hAnsi="Calibri" w:cs="Calibri"/>
          <w:sz w:val="22"/>
          <w:szCs w:val="22"/>
        </w:rPr>
      </w:pPr>
      <w:r>
        <w:rPr>
          <w:rFonts w:ascii="Calibri" w:hAnsi="Calibri" w:cs="Calibri"/>
          <w:sz w:val="22"/>
          <w:szCs w:val="22"/>
        </w:rPr>
        <w:t>Create a homeless individual designation in the data that is collected by MassHealth that can be updated on an annual basis to track homeless individuals and allow them to be identified by ACOs.</w:t>
      </w:r>
    </w:p>
    <w:p w:rsidR="002C5025" w:rsidRDefault="002C5025">
      <w:pPr>
        <w:pStyle w:val="ListParagraph"/>
        <w:numPr>
          <w:ilvl w:val="0"/>
          <w:numId w:val="35"/>
        </w:numPr>
        <w:tabs>
          <w:tab w:val="left" w:pos="840"/>
        </w:tabs>
        <w:kinsoku w:val="0"/>
        <w:overflowPunct w:val="0"/>
        <w:spacing w:line="259" w:lineRule="auto"/>
        <w:ind w:left="840" w:right="313"/>
        <w:rPr>
          <w:rFonts w:ascii="Calibri" w:hAnsi="Calibri" w:cs="Calibri"/>
          <w:sz w:val="22"/>
          <w:szCs w:val="22"/>
        </w:rPr>
      </w:pPr>
      <w:r>
        <w:rPr>
          <w:rFonts w:ascii="Calibri" w:hAnsi="Calibri" w:cs="Calibri"/>
          <w:sz w:val="22"/>
          <w:szCs w:val="22"/>
        </w:rPr>
        <w:t>Make homeless individuals an explicitly distinct population that needs to be served by ACOs, similar to that of physical health, behavioral health and long-term services and supports. This includes ACOs having expertise in this</w:t>
      </w:r>
      <w:r>
        <w:rPr>
          <w:rFonts w:ascii="Calibri" w:hAnsi="Calibri" w:cs="Calibri"/>
          <w:spacing w:val="-17"/>
          <w:sz w:val="22"/>
          <w:szCs w:val="22"/>
        </w:rPr>
        <w:t xml:space="preserve"> </w:t>
      </w:r>
      <w:r>
        <w:rPr>
          <w:rFonts w:ascii="Calibri" w:hAnsi="Calibri" w:cs="Calibri"/>
          <w:sz w:val="22"/>
          <w:szCs w:val="22"/>
        </w:rPr>
        <w:t>area.</w:t>
      </w:r>
    </w:p>
    <w:p w:rsidR="002C5025" w:rsidRDefault="002C5025">
      <w:pPr>
        <w:pStyle w:val="ListParagraph"/>
        <w:numPr>
          <w:ilvl w:val="0"/>
          <w:numId w:val="35"/>
        </w:numPr>
        <w:tabs>
          <w:tab w:val="left" w:pos="841"/>
        </w:tabs>
        <w:kinsoku w:val="0"/>
        <w:overflowPunct w:val="0"/>
        <w:spacing w:line="259" w:lineRule="auto"/>
        <w:ind w:left="840" w:right="152" w:hanging="360"/>
        <w:rPr>
          <w:rFonts w:ascii="Calibri" w:hAnsi="Calibri" w:cs="Calibri"/>
          <w:sz w:val="22"/>
          <w:szCs w:val="22"/>
        </w:rPr>
      </w:pPr>
      <w:r>
        <w:rPr>
          <w:rFonts w:ascii="Calibri" w:hAnsi="Calibri" w:cs="Calibri"/>
          <w:sz w:val="22"/>
          <w:szCs w:val="22"/>
        </w:rPr>
        <w:t>Create a Certified Community Partner that is specific to the needs of homeless individuals. This will ensure that DSRIP dollars will flow to Housing First</w:t>
      </w:r>
      <w:r>
        <w:rPr>
          <w:rFonts w:ascii="Calibri" w:hAnsi="Calibri" w:cs="Calibri"/>
          <w:spacing w:val="-24"/>
          <w:sz w:val="22"/>
          <w:szCs w:val="22"/>
        </w:rPr>
        <w:t xml:space="preserve"> </w:t>
      </w:r>
      <w:r>
        <w:rPr>
          <w:rFonts w:ascii="Calibri" w:hAnsi="Calibri" w:cs="Calibri"/>
          <w:sz w:val="22"/>
          <w:szCs w:val="22"/>
        </w:rPr>
        <w:t>providers.</w:t>
      </w:r>
    </w:p>
    <w:p w:rsidR="002C5025" w:rsidRDefault="002C5025">
      <w:pPr>
        <w:pStyle w:val="ListParagraph"/>
        <w:numPr>
          <w:ilvl w:val="0"/>
          <w:numId w:val="35"/>
        </w:numPr>
        <w:tabs>
          <w:tab w:val="left" w:pos="841"/>
        </w:tabs>
        <w:kinsoku w:val="0"/>
        <w:overflowPunct w:val="0"/>
        <w:spacing w:line="259" w:lineRule="auto"/>
        <w:ind w:left="840" w:right="246" w:hanging="360"/>
        <w:rPr>
          <w:rFonts w:ascii="Calibri" w:hAnsi="Calibri" w:cs="Calibri"/>
          <w:sz w:val="22"/>
          <w:szCs w:val="22"/>
        </w:rPr>
      </w:pPr>
      <w:r>
        <w:rPr>
          <w:rFonts w:ascii="Calibri" w:hAnsi="Calibri" w:cs="Calibri"/>
          <w:sz w:val="22"/>
          <w:szCs w:val="22"/>
        </w:rPr>
        <w:t>Make homeless services providers a mandated part of the integrated care team for individuals identified as</w:t>
      </w:r>
      <w:r>
        <w:rPr>
          <w:rFonts w:ascii="Calibri" w:hAnsi="Calibri" w:cs="Calibri"/>
          <w:spacing w:val="-10"/>
          <w:sz w:val="22"/>
          <w:szCs w:val="22"/>
        </w:rPr>
        <w:t xml:space="preserve"> </w:t>
      </w:r>
      <w:r>
        <w:rPr>
          <w:rFonts w:ascii="Calibri" w:hAnsi="Calibri" w:cs="Calibri"/>
          <w:sz w:val="22"/>
          <w:szCs w:val="22"/>
        </w:rPr>
        <w:t>homeless.</w:t>
      </w:r>
    </w:p>
    <w:p w:rsidR="002C5025" w:rsidRDefault="002C5025">
      <w:pPr>
        <w:pStyle w:val="BodyText"/>
        <w:kinsoku w:val="0"/>
        <w:overflowPunct w:val="0"/>
        <w:spacing w:before="161" w:line="256" w:lineRule="auto"/>
        <w:ind w:left="120" w:right="274"/>
      </w:pPr>
      <w:r>
        <w:t>We would be happy to discuss these suggestions with you, and we look forward to making the Waiver Request a more inclusive tool for addressing the homeless population in Massachusetts.</w:t>
      </w:r>
    </w:p>
    <w:p w:rsidR="002C5025" w:rsidRDefault="002C5025">
      <w:pPr>
        <w:pStyle w:val="BodyText"/>
        <w:kinsoku w:val="0"/>
        <w:overflowPunct w:val="0"/>
        <w:spacing w:before="161" w:line="256" w:lineRule="auto"/>
        <w:ind w:left="120" w:right="274"/>
        <w:sectPr w:rsidR="002C5025">
          <w:pgSz w:w="12240" w:h="15840"/>
          <w:pgMar w:top="1400" w:right="1400" w:bottom="280" w:left="1320" w:header="720" w:footer="720" w:gutter="0"/>
          <w:cols w:space="720" w:equalWidth="0">
            <w:col w:w="9520"/>
          </w:cols>
          <w:noEndnote/>
        </w:sectPr>
      </w:pPr>
    </w:p>
    <w:p w:rsidR="002C5025" w:rsidRDefault="00FB027C">
      <w:pPr>
        <w:pStyle w:val="BodyText"/>
        <w:tabs>
          <w:tab w:val="left" w:pos="8154"/>
        </w:tabs>
        <w:kinsoku w:val="0"/>
        <w:overflowPunct w:val="0"/>
        <w:spacing w:before="58"/>
        <w:ind w:left="5543"/>
        <w:rPr>
          <w:rFonts w:ascii="Arial Narrow" w:hAnsi="Arial Narrow" w:cs="Arial Narrow"/>
          <w:b/>
          <w:bCs/>
        </w:rPr>
      </w:pPr>
      <w:r>
        <w:rPr>
          <w:noProof/>
        </w:rPr>
        <w:lastRenderedPageBreak/>
        <mc:AlternateContent>
          <mc:Choice Requires="wpg">
            <w:drawing>
              <wp:anchor distT="0" distB="0" distL="114300" distR="114300" simplePos="0" relativeHeight="251710976" behindDoc="0" locked="0" layoutInCell="0" allowOverlap="1">
                <wp:simplePos x="0" y="0"/>
                <wp:positionH relativeFrom="page">
                  <wp:posOffset>1016635</wp:posOffset>
                </wp:positionH>
                <wp:positionV relativeFrom="paragraph">
                  <wp:posOffset>15875</wp:posOffset>
                </wp:positionV>
                <wp:extent cx="480060" cy="459740"/>
                <wp:effectExtent l="0" t="0" r="0" b="0"/>
                <wp:wrapNone/>
                <wp:docPr id="391" name="Group 6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060" cy="459740"/>
                          <a:chOff x="1601" y="25"/>
                          <a:chExt cx="756" cy="724"/>
                        </a:xfrm>
                      </wpg:grpSpPr>
                      <wpg:grpSp>
                        <wpg:cNvPr id="392" name="Group 629"/>
                        <wpg:cNvGrpSpPr>
                          <a:grpSpLocks/>
                        </wpg:cNvGrpSpPr>
                        <wpg:grpSpPr bwMode="auto">
                          <a:xfrm>
                            <a:off x="1601" y="25"/>
                            <a:ext cx="756" cy="724"/>
                            <a:chOff x="1601" y="25"/>
                            <a:chExt cx="756" cy="724"/>
                          </a:xfrm>
                        </wpg:grpSpPr>
                        <wps:wsp>
                          <wps:cNvPr id="393" name="Freeform 630"/>
                          <wps:cNvSpPr>
                            <a:spLocks/>
                          </wps:cNvSpPr>
                          <wps:spPr bwMode="auto">
                            <a:xfrm>
                              <a:off x="1601" y="25"/>
                              <a:ext cx="756" cy="724"/>
                            </a:xfrm>
                            <a:custGeom>
                              <a:avLst/>
                              <a:gdLst>
                                <a:gd name="T0" fmla="*/ 175 w 756"/>
                                <a:gd name="T1" fmla="*/ 723 h 724"/>
                                <a:gd name="T2" fmla="*/ 0 w 756"/>
                                <a:gd name="T3" fmla="*/ 702 h 724"/>
                                <a:gd name="T4" fmla="*/ 0 w 756"/>
                                <a:gd name="T5" fmla="*/ 0 h 724"/>
                                <a:gd name="T6" fmla="*/ 152 w 756"/>
                                <a:gd name="T7" fmla="*/ 0 h 724"/>
                                <a:gd name="T8" fmla="*/ 378 w 756"/>
                                <a:gd name="T9" fmla="*/ 260 h 724"/>
                                <a:gd name="T10" fmla="*/ 755 w 756"/>
                                <a:gd name="T11" fmla="*/ 260 h 724"/>
                                <a:gd name="T12" fmla="*/ 755 w 756"/>
                                <a:gd name="T13" fmla="*/ 264 h 724"/>
                                <a:gd name="T14" fmla="*/ 175 w 756"/>
                                <a:gd name="T15" fmla="*/ 264 h 724"/>
                                <a:gd name="T16" fmla="*/ 175 w 756"/>
                                <a:gd name="T17" fmla="*/ 723 h 7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56" h="724">
                                  <a:moveTo>
                                    <a:pt x="175" y="723"/>
                                  </a:moveTo>
                                  <a:lnTo>
                                    <a:pt x="0" y="702"/>
                                  </a:lnTo>
                                  <a:lnTo>
                                    <a:pt x="0" y="0"/>
                                  </a:lnTo>
                                  <a:lnTo>
                                    <a:pt x="152" y="0"/>
                                  </a:lnTo>
                                  <a:lnTo>
                                    <a:pt x="378" y="260"/>
                                  </a:lnTo>
                                  <a:lnTo>
                                    <a:pt x="755" y="260"/>
                                  </a:lnTo>
                                  <a:lnTo>
                                    <a:pt x="755" y="264"/>
                                  </a:lnTo>
                                  <a:lnTo>
                                    <a:pt x="175" y="264"/>
                                  </a:lnTo>
                                  <a:lnTo>
                                    <a:pt x="175" y="7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4" name="Freeform 631"/>
                          <wps:cNvSpPr>
                            <a:spLocks/>
                          </wps:cNvSpPr>
                          <wps:spPr bwMode="auto">
                            <a:xfrm>
                              <a:off x="1601" y="25"/>
                              <a:ext cx="756" cy="724"/>
                            </a:xfrm>
                            <a:custGeom>
                              <a:avLst/>
                              <a:gdLst>
                                <a:gd name="T0" fmla="*/ 755 w 756"/>
                                <a:gd name="T1" fmla="*/ 260 h 724"/>
                                <a:gd name="T2" fmla="*/ 378 w 756"/>
                                <a:gd name="T3" fmla="*/ 260 h 724"/>
                                <a:gd name="T4" fmla="*/ 603 w 756"/>
                                <a:gd name="T5" fmla="*/ 0 h 724"/>
                                <a:gd name="T6" fmla="*/ 755 w 756"/>
                                <a:gd name="T7" fmla="*/ 0 h 724"/>
                                <a:gd name="T8" fmla="*/ 755 w 756"/>
                                <a:gd name="T9" fmla="*/ 260 h 724"/>
                              </a:gdLst>
                              <a:ahLst/>
                              <a:cxnLst>
                                <a:cxn ang="0">
                                  <a:pos x="T0" y="T1"/>
                                </a:cxn>
                                <a:cxn ang="0">
                                  <a:pos x="T2" y="T3"/>
                                </a:cxn>
                                <a:cxn ang="0">
                                  <a:pos x="T4" y="T5"/>
                                </a:cxn>
                                <a:cxn ang="0">
                                  <a:pos x="T6" y="T7"/>
                                </a:cxn>
                                <a:cxn ang="0">
                                  <a:pos x="T8" y="T9"/>
                                </a:cxn>
                              </a:cxnLst>
                              <a:rect l="0" t="0" r="r" b="b"/>
                              <a:pathLst>
                                <a:path w="756" h="724">
                                  <a:moveTo>
                                    <a:pt x="755" y="260"/>
                                  </a:moveTo>
                                  <a:lnTo>
                                    <a:pt x="378" y="260"/>
                                  </a:lnTo>
                                  <a:lnTo>
                                    <a:pt x="603" y="0"/>
                                  </a:lnTo>
                                  <a:lnTo>
                                    <a:pt x="755" y="0"/>
                                  </a:lnTo>
                                  <a:lnTo>
                                    <a:pt x="755" y="2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5" name="Freeform 632"/>
                          <wps:cNvSpPr>
                            <a:spLocks/>
                          </wps:cNvSpPr>
                          <wps:spPr bwMode="auto">
                            <a:xfrm>
                              <a:off x="1601" y="25"/>
                              <a:ext cx="756" cy="724"/>
                            </a:xfrm>
                            <a:custGeom>
                              <a:avLst/>
                              <a:gdLst>
                                <a:gd name="T0" fmla="*/ 391 w 756"/>
                                <a:gd name="T1" fmla="*/ 484 h 724"/>
                                <a:gd name="T2" fmla="*/ 364 w 756"/>
                                <a:gd name="T3" fmla="*/ 484 h 724"/>
                                <a:gd name="T4" fmla="*/ 175 w 756"/>
                                <a:gd name="T5" fmla="*/ 264 h 724"/>
                                <a:gd name="T6" fmla="*/ 580 w 756"/>
                                <a:gd name="T7" fmla="*/ 264 h 724"/>
                                <a:gd name="T8" fmla="*/ 391 w 756"/>
                                <a:gd name="T9" fmla="*/ 484 h 724"/>
                              </a:gdLst>
                              <a:ahLst/>
                              <a:cxnLst>
                                <a:cxn ang="0">
                                  <a:pos x="T0" y="T1"/>
                                </a:cxn>
                                <a:cxn ang="0">
                                  <a:pos x="T2" y="T3"/>
                                </a:cxn>
                                <a:cxn ang="0">
                                  <a:pos x="T4" y="T5"/>
                                </a:cxn>
                                <a:cxn ang="0">
                                  <a:pos x="T6" y="T7"/>
                                </a:cxn>
                                <a:cxn ang="0">
                                  <a:pos x="T8" y="T9"/>
                                </a:cxn>
                              </a:cxnLst>
                              <a:rect l="0" t="0" r="r" b="b"/>
                              <a:pathLst>
                                <a:path w="756" h="724">
                                  <a:moveTo>
                                    <a:pt x="391" y="484"/>
                                  </a:moveTo>
                                  <a:lnTo>
                                    <a:pt x="364" y="484"/>
                                  </a:lnTo>
                                  <a:lnTo>
                                    <a:pt x="175" y="264"/>
                                  </a:lnTo>
                                  <a:lnTo>
                                    <a:pt x="580" y="264"/>
                                  </a:lnTo>
                                  <a:lnTo>
                                    <a:pt x="391" y="48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6" name="Freeform 633"/>
                          <wps:cNvSpPr>
                            <a:spLocks/>
                          </wps:cNvSpPr>
                          <wps:spPr bwMode="auto">
                            <a:xfrm>
                              <a:off x="1601" y="25"/>
                              <a:ext cx="756" cy="724"/>
                            </a:xfrm>
                            <a:custGeom>
                              <a:avLst/>
                              <a:gdLst>
                                <a:gd name="T0" fmla="*/ 580 w 756"/>
                                <a:gd name="T1" fmla="*/ 723 h 724"/>
                                <a:gd name="T2" fmla="*/ 580 w 756"/>
                                <a:gd name="T3" fmla="*/ 264 h 724"/>
                                <a:gd name="T4" fmla="*/ 755 w 756"/>
                                <a:gd name="T5" fmla="*/ 264 h 724"/>
                                <a:gd name="T6" fmla="*/ 755 w 756"/>
                                <a:gd name="T7" fmla="*/ 702 h 724"/>
                                <a:gd name="T8" fmla="*/ 580 w 756"/>
                                <a:gd name="T9" fmla="*/ 723 h 724"/>
                              </a:gdLst>
                              <a:ahLst/>
                              <a:cxnLst>
                                <a:cxn ang="0">
                                  <a:pos x="T0" y="T1"/>
                                </a:cxn>
                                <a:cxn ang="0">
                                  <a:pos x="T2" y="T3"/>
                                </a:cxn>
                                <a:cxn ang="0">
                                  <a:pos x="T4" y="T5"/>
                                </a:cxn>
                                <a:cxn ang="0">
                                  <a:pos x="T6" y="T7"/>
                                </a:cxn>
                                <a:cxn ang="0">
                                  <a:pos x="T8" y="T9"/>
                                </a:cxn>
                              </a:cxnLst>
                              <a:rect l="0" t="0" r="r" b="b"/>
                              <a:pathLst>
                                <a:path w="756" h="724">
                                  <a:moveTo>
                                    <a:pt x="580" y="723"/>
                                  </a:moveTo>
                                  <a:lnTo>
                                    <a:pt x="580" y="264"/>
                                  </a:lnTo>
                                  <a:lnTo>
                                    <a:pt x="755" y="264"/>
                                  </a:lnTo>
                                  <a:lnTo>
                                    <a:pt x="755" y="702"/>
                                  </a:lnTo>
                                  <a:lnTo>
                                    <a:pt x="580" y="7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97" name="Freeform 634"/>
                        <wps:cNvSpPr>
                          <a:spLocks/>
                        </wps:cNvSpPr>
                        <wps:spPr bwMode="auto">
                          <a:xfrm>
                            <a:off x="1601" y="25"/>
                            <a:ext cx="756" cy="724"/>
                          </a:xfrm>
                          <a:custGeom>
                            <a:avLst/>
                            <a:gdLst>
                              <a:gd name="T0" fmla="*/ 0 w 756"/>
                              <a:gd name="T1" fmla="*/ 0 h 724"/>
                              <a:gd name="T2" fmla="*/ 152 w 756"/>
                              <a:gd name="T3" fmla="*/ 0 h 724"/>
                              <a:gd name="T4" fmla="*/ 378 w 756"/>
                              <a:gd name="T5" fmla="*/ 260 h 724"/>
                              <a:gd name="T6" fmla="*/ 603 w 756"/>
                              <a:gd name="T7" fmla="*/ 0 h 724"/>
                              <a:gd name="T8" fmla="*/ 755 w 756"/>
                              <a:gd name="T9" fmla="*/ 0 h 724"/>
                              <a:gd name="T10" fmla="*/ 755 w 756"/>
                              <a:gd name="T11" fmla="*/ 702 h 724"/>
                              <a:gd name="T12" fmla="*/ 580 w 756"/>
                              <a:gd name="T13" fmla="*/ 723 h 724"/>
                              <a:gd name="T14" fmla="*/ 580 w 756"/>
                              <a:gd name="T15" fmla="*/ 264 h 724"/>
                              <a:gd name="T16" fmla="*/ 391 w 756"/>
                              <a:gd name="T17" fmla="*/ 484 h 724"/>
                              <a:gd name="T18" fmla="*/ 364 w 756"/>
                              <a:gd name="T19" fmla="*/ 484 h 724"/>
                              <a:gd name="T20" fmla="*/ 175 w 756"/>
                              <a:gd name="T21" fmla="*/ 264 h 724"/>
                              <a:gd name="T22" fmla="*/ 175 w 756"/>
                              <a:gd name="T23" fmla="*/ 723 h 724"/>
                              <a:gd name="T24" fmla="*/ 0 w 756"/>
                              <a:gd name="T25" fmla="*/ 702 h 724"/>
                              <a:gd name="T26" fmla="*/ 0 w 756"/>
                              <a:gd name="T27" fmla="*/ 0 h 7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756" h="724">
                                <a:moveTo>
                                  <a:pt x="0" y="0"/>
                                </a:moveTo>
                                <a:lnTo>
                                  <a:pt x="152" y="0"/>
                                </a:lnTo>
                                <a:lnTo>
                                  <a:pt x="378" y="260"/>
                                </a:lnTo>
                                <a:lnTo>
                                  <a:pt x="603" y="0"/>
                                </a:lnTo>
                                <a:lnTo>
                                  <a:pt x="755" y="0"/>
                                </a:lnTo>
                                <a:lnTo>
                                  <a:pt x="755" y="702"/>
                                </a:lnTo>
                                <a:lnTo>
                                  <a:pt x="580" y="723"/>
                                </a:lnTo>
                                <a:lnTo>
                                  <a:pt x="580" y="264"/>
                                </a:lnTo>
                                <a:lnTo>
                                  <a:pt x="391" y="484"/>
                                </a:lnTo>
                                <a:lnTo>
                                  <a:pt x="364" y="484"/>
                                </a:lnTo>
                                <a:lnTo>
                                  <a:pt x="175" y="264"/>
                                </a:lnTo>
                                <a:lnTo>
                                  <a:pt x="175" y="723"/>
                                </a:lnTo>
                                <a:lnTo>
                                  <a:pt x="0" y="702"/>
                                </a:lnTo>
                                <a:lnTo>
                                  <a:pt x="0"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28" o:spid="_x0000_s1026" style="position:absolute;margin-left:80.05pt;margin-top:1.25pt;width:37.8pt;height:36.2pt;z-index:251710976;mso-position-horizontal-relative:page" coordorigin="1601,25" coordsize="756,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" o:allowincell="f">
                <v:group id="Group 629" o:spid="_x0000_s1027" style="position:absolute;left:1601;top:25;width:756;height:724" coordorigin="1601,25" coordsize="756,7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ZRa1sYAAADcAAAADwAAAGRycy9kb3ducmV2LnhtbESPT2vCQBTE7wW/w/IK&#10;vdXNHyw1dQ0itngQoSqU3h7ZZxKSfRuy2yR++25B6HGYmd8wq3wyrRiod7VlBfE8AkFcWF1zqeBy&#10;fn9+BeE8ssbWMim4kYN8PXtYYabtyJ80nHwpAoRdhgoq77tMSldUZNDNbUccvKvtDfog+1LqHscA&#10;N61MouhFGqw5LFTY0baiojn9GAUfI46bNN4Nh+a6vX2fF8evQ0xKPT1OmzcQnib/H76391pBukz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lFrWxgAAANwA&#10;AAAPAAAAAAAAAAAAAAAAAKoCAABkcnMvZG93bnJldi54bWxQSwUGAAAAAAQABAD6AAAAnQMAAAAA&#10;">
                  <v:shape id="Freeform 630" o:spid="_x0000_s1028" style="position:absolute;left:1601;top:25;width:756;height:724;visibility:visible;mso-wrap-style:square;v-text-anchor:top" coordsize="756,7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1mccA&#10;AADcAAAADwAAAGRycy9kb3ducmV2LnhtbESPQWvCQBSE74L/YXmCl1I3GhCNrqEUAl56qG1tvb1m&#10;n0k0+zZmV43/3i0UPA4z8w2zTDtTiwu1rrKsYDyKQBDnVldcKPj8yJ5nIJxH1lhbJgU3cpCu+r0l&#10;Jtpe+Z0uG1+IAGGXoILS+yaR0uUlGXQj2xAHb29bgz7ItpC6xWuAm1pOomgqDVYcFkps6LWk/Lg5&#10;GwU/X99nE/+ennbzOKt3h+n27eSMUsNB97IA4anzj/B/e60VxPMY/s6EIyB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9tNZnHAAAA3AAAAA8AAAAAAAAAAAAAAAAAmAIAAGRy&#10;cy9kb3ducmV2LnhtbFBLBQYAAAAABAAEAPUAAACMAwAAAAA=&#10;" path="m175,723l,702,,,152,,378,260r377,l755,264r-580,l175,723xe" fillcolor="black" stroked="f">
                    <v:path arrowok="t" o:connecttype="custom" o:connectlocs="175,723;0,702;0,0;152,0;378,260;755,260;755,264;175,264;175,723" o:connectangles="0,0,0,0,0,0,0,0,0"/>
                  </v:shape>
                  <v:shape id="Freeform 631" o:spid="_x0000_s1029" style="position:absolute;left:1601;top:25;width:756;height:724;visibility:visible;mso-wrap-style:square;v-text-anchor:top" coordsize="756,7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St7cYA&#10;AADcAAAADwAAAGRycy9kb3ducmV2LnhtbESPT4vCMBTE78J+h/AWvIimWhGtRlkEwYsHdf95ezZv&#10;2+42L7WJWr+9ERY8DjPzG2a2aEwpLlS7wrKCfi8CQZxaXXCm4H2/6o5BOI+ssbRMCm7kYDF/ac0w&#10;0fbKW7rsfCYChF2CCnLvq0RKl+Zk0PVsRRy8H1sb9EHWmdQ1XgPclHIQRSNpsOCwkGNFy5zSv93Z&#10;KPj++Dqb+HjqHCbxqjz8jj43J2eUar82b1MQnhr/DP+311pBPBnC40w4AnJ+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ISt7cYAAADcAAAADwAAAAAAAAAAAAAAAACYAgAAZHJz&#10;L2Rvd25yZXYueG1sUEsFBgAAAAAEAAQA9QAAAIsDAAAAAA==&#10;" path="m755,260r-377,l603,,755,r,260xe" fillcolor="black" stroked="f">
                    <v:path arrowok="t" o:connecttype="custom" o:connectlocs="755,260;378,260;603,0;755,0;755,260" o:connectangles="0,0,0,0,0"/>
                  </v:shape>
                  <v:shape id="Freeform 632" o:spid="_x0000_s1030" style="position:absolute;left:1601;top:25;width:756;height:724;visibility:visible;mso-wrap-style:square;v-text-anchor:top" coordsize="756,7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gIdsYA&#10;AADcAAAADwAAAGRycy9kb3ducmV2LnhtbESPT4vCMBTE78J+h/AWvIimWhStRlkEwYsHdf95ezZv&#10;2+42L7WJWr+9ERY8DjPzG2a2aEwpLlS7wrKCfi8CQZxaXXCm4H2/6o5BOI+ssbRMCm7kYDF/ac0w&#10;0fbKW7rsfCYChF2CCnLvq0RKl+Zk0PVsRRy8H1sb9EHWmdQ1XgPclHIQRSNpsOCwkGNFy5zSv93Z&#10;KPj++Dqb+HjqHCbxqjz8jj43J2eUar82b1MQnhr/DP+311pBPBnC40w4AnJ+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8gIdsYAAADcAAAADwAAAAAAAAAAAAAAAACYAgAAZHJz&#10;L2Rvd25yZXYueG1sUEsFBgAAAAAEAAQA9QAAAIsDAAAAAA==&#10;" path="m391,484r-27,l175,264r405,l391,484xe" fillcolor="black" stroked="f">
                    <v:path arrowok="t" o:connecttype="custom" o:connectlocs="391,484;364,484;175,264;580,264;391,484" o:connectangles="0,0,0,0,0"/>
                  </v:shape>
                  <v:shape id="Freeform 633" o:spid="_x0000_s1031" style="position:absolute;left:1601;top:25;width:756;height:724;visibility:visible;mso-wrap-style:square;v-text-anchor:top" coordsize="756,7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qWAccA&#10;AADcAAAADwAAAGRycy9kb3ducmV2LnhtbESPQWvCQBSE7wX/w/IEL9JsNBA0zSqlIHjpoba1entm&#10;X5No9m3Mrpr++25B6HGYmW+YfNmbRlypc7VlBZMoBkFcWF1zqeDjffU4A+E8ssbGMin4IQfLxeAh&#10;x0zbG7/RdeNLESDsMlRQed9mUrqiIoMusi1x8L5tZ9AH2ZVSd3gLcNPIaRyn0mDNYaHCll4qKk6b&#10;i1Gw+/y6mORwHu/nyarZH9Pt69kZpUbD/vkJhKfe/4fv7bVWkMxT+DsTjo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8algHHAAAA3AAAAA8AAAAAAAAAAAAAAAAAmAIAAGRy&#10;cy9kb3ducmV2LnhtbFBLBQYAAAAABAAEAPUAAACMAwAAAAA=&#10;" path="m580,723r,-459l755,264r,438l580,723xe" fillcolor="black" stroked="f">
                    <v:path arrowok="t" o:connecttype="custom" o:connectlocs="580,723;580,264;755,264;755,702;580,723" o:connectangles="0,0,0,0,0"/>
                  </v:shape>
                </v:group>
                <v:shape id="Freeform 634" o:spid="_x0000_s1032" style="position:absolute;left:1601;top:25;width:756;height:724;visibility:visible;mso-wrap-style:square;v-text-anchor:top" coordsize="756,7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8fksYA&#10;AADcAAAADwAAAGRycy9kb3ducmV2LnhtbESPQWsCMRSE7wX/Q3hCbzVrC1ZXo9hCoYe24KoHb4/N&#10;cze4edlN0nX9902h0OMwM98wq81gG9GTD8axgukkA0FcOm24UnDYvz3MQYSIrLFxTApuFGCzHt2t&#10;MNfuyjvqi1iJBOGQo4I6xjaXMpQ1WQwT1xIn7+y8xZikr6T2eE1w28jHLJtJi4bTQo0tvdZUXopv&#10;q+Dzw3dFl3V9d5wdbqevS2vMy0mp+/GwXYKINMT/8F/7XSt4WjzD75l0BOT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w8fksYAAADcAAAADwAAAAAAAAAAAAAAAACYAgAAZHJz&#10;L2Rvd25yZXYueG1sUEsFBgAAAAAEAAQA9QAAAIsDAAAAAA==&#10;" path="m,l152,,378,260,603,,755,r,702l580,723r,-459l391,484r-27,l175,264r,459l,702,,xe" filled="f" strokeweight="0">
                  <v:path arrowok="t" o:connecttype="custom" o:connectlocs="0,0;152,0;378,260;603,0;755,0;755,702;580,723;580,264;391,484;364,484;175,264;175,723;0,702;0,0" o:connectangles="0,0,0,0,0,0,0,0,0,0,0,0,0,0"/>
                </v:shape>
                <w10:wrap anchorx="page"/>
              </v:group>
            </w:pict>
          </mc:Fallback>
        </mc:AlternateContent>
      </w:r>
      <w:r>
        <w:rPr>
          <w:noProof/>
        </w:rPr>
        <mc:AlternateContent>
          <mc:Choice Requires="wpg">
            <w:drawing>
              <wp:anchor distT="0" distB="0" distL="114300" distR="114300" simplePos="0" relativeHeight="251712000" behindDoc="0" locked="0" layoutInCell="0" allowOverlap="1">
                <wp:simplePos x="0" y="0"/>
                <wp:positionH relativeFrom="page">
                  <wp:posOffset>1582420</wp:posOffset>
                </wp:positionH>
                <wp:positionV relativeFrom="paragraph">
                  <wp:posOffset>15875</wp:posOffset>
                </wp:positionV>
                <wp:extent cx="347345" cy="446405"/>
                <wp:effectExtent l="0" t="0" r="0" b="0"/>
                <wp:wrapNone/>
                <wp:docPr id="386" name="Group 6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345" cy="446405"/>
                          <a:chOff x="2492" y="25"/>
                          <a:chExt cx="547" cy="703"/>
                        </a:xfrm>
                      </wpg:grpSpPr>
                      <wpg:grpSp>
                        <wpg:cNvPr id="390" name="Group 636"/>
                        <wpg:cNvGrpSpPr>
                          <a:grpSpLocks/>
                        </wpg:cNvGrpSpPr>
                        <wpg:grpSpPr bwMode="auto">
                          <a:xfrm>
                            <a:off x="2492" y="25"/>
                            <a:ext cx="547" cy="703"/>
                            <a:chOff x="2492" y="25"/>
                            <a:chExt cx="547" cy="703"/>
                          </a:xfrm>
                        </wpg:grpSpPr>
                        <wps:wsp>
                          <wps:cNvPr id="161" name="Freeform 637"/>
                          <wps:cNvSpPr>
                            <a:spLocks/>
                          </wps:cNvSpPr>
                          <wps:spPr bwMode="auto">
                            <a:xfrm>
                              <a:off x="2492" y="25"/>
                              <a:ext cx="547" cy="703"/>
                            </a:xfrm>
                            <a:custGeom>
                              <a:avLst/>
                              <a:gdLst>
                                <a:gd name="T0" fmla="*/ 535 w 547"/>
                                <a:gd name="T1" fmla="*/ 702 h 703"/>
                                <a:gd name="T2" fmla="*/ 0 w 547"/>
                                <a:gd name="T3" fmla="*/ 702 h 703"/>
                                <a:gd name="T4" fmla="*/ 0 w 547"/>
                                <a:gd name="T5" fmla="*/ 0 h 703"/>
                                <a:gd name="T6" fmla="*/ 175 w 547"/>
                                <a:gd name="T7" fmla="*/ 0 h 703"/>
                                <a:gd name="T8" fmla="*/ 175 w 547"/>
                                <a:gd name="T9" fmla="*/ 573 h 703"/>
                                <a:gd name="T10" fmla="*/ 545 w 547"/>
                                <a:gd name="T11" fmla="*/ 573 h 703"/>
                                <a:gd name="T12" fmla="*/ 535 w 547"/>
                                <a:gd name="T13" fmla="*/ 702 h 703"/>
                              </a:gdLst>
                              <a:ahLst/>
                              <a:cxnLst>
                                <a:cxn ang="0">
                                  <a:pos x="T0" y="T1"/>
                                </a:cxn>
                                <a:cxn ang="0">
                                  <a:pos x="T2" y="T3"/>
                                </a:cxn>
                                <a:cxn ang="0">
                                  <a:pos x="T4" y="T5"/>
                                </a:cxn>
                                <a:cxn ang="0">
                                  <a:pos x="T6" y="T7"/>
                                </a:cxn>
                                <a:cxn ang="0">
                                  <a:pos x="T8" y="T9"/>
                                </a:cxn>
                                <a:cxn ang="0">
                                  <a:pos x="T10" y="T11"/>
                                </a:cxn>
                                <a:cxn ang="0">
                                  <a:pos x="T12" y="T13"/>
                                </a:cxn>
                              </a:cxnLst>
                              <a:rect l="0" t="0" r="r" b="b"/>
                              <a:pathLst>
                                <a:path w="547" h="703">
                                  <a:moveTo>
                                    <a:pt x="535" y="702"/>
                                  </a:moveTo>
                                  <a:lnTo>
                                    <a:pt x="0" y="702"/>
                                  </a:lnTo>
                                  <a:lnTo>
                                    <a:pt x="0" y="0"/>
                                  </a:lnTo>
                                  <a:lnTo>
                                    <a:pt x="175" y="0"/>
                                  </a:lnTo>
                                  <a:lnTo>
                                    <a:pt x="175" y="573"/>
                                  </a:lnTo>
                                  <a:lnTo>
                                    <a:pt x="545" y="573"/>
                                  </a:lnTo>
                                  <a:lnTo>
                                    <a:pt x="535" y="7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 name="Freeform 638"/>
                          <wps:cNvSpPr>
                            <a:spLocks/>
                          </wps:cNvSpPr>
                          <wps:spPr bwMode="auto">
                            <a:xfrm>
                              <a:off x="2492" y="25"/>
                              <a:ext cx="547" cy="703"/>
                            </a:xfrm>
                            <a:custGeom>
                              <a:avLst/>
                              <a:gdLst>
                                <a:gd name="T0" fmla="*/ 545 w 547"/>
                                <a:gd name="T1" fmla="*/ 573 h 703"/>
                                <a:gd name="T2" fmla="*/ 175 w 547"/>
                                <a:gd name="T3" fmla="*/ 573 h 703"/>
                                <a:gd name="T4" fmla="*/ 546 w 547"/>
                                <a:gd name="T5" fmla="*/ 563 h 703"/>
                                <a:gd name="T6" fmla="*/ 545 w 547"/>
                                <a:gd name="T7" fmla="*/ 573 h 703"/>
                              </a:gdLst>
                              <a:ahLst/>
                              <a:cxnLst>
                                <a:cxn ang="0">
                                  <a:pos x="T0" y="T1"/>
                                </a:cxn>
                                <a:cxn ang="0">
                                  <a:pos x="T2" y="T3"/>
                                </a:cxn>
                                <a:cxn ang="0">
                                  <a:pos x="T4" y="T5"/>
                                </a:cxn>
                                <a:cxn ang="0">
                                  <a:pos x="T6" y="T7"/>
                                </a:cxn>
                              </a:cxnLst>
                              <a:rect l="0" t="0" r="r" b="b"/>
                              <a:pathLst>
                                <a:path w="547" h="703">
                                  <a:moveTo>
                                    <a:pt x="545" y="573"/>
                                  </a:moveTo>
                                  <a:lnTo>
                                    <a:pt x="175" y="573"/>
                                  </a:lnTo>
                                  <a:lnTo>
                                    <a:pt x="546" y="563"/>
                                  </a:lnTo>
                                  <a:lnTo>
                                    <a:pt x="545" y="5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69" name="Freeform 639"/>
                        <wps:cNvSpPr>
                          <a:spLocks/>
                        </wps:cNvSpPr>
                        <wps:spPr bwMode="auto">
                          <a:xfrm>
                            <a:off x="2492" y="25"/>
                            <a:ext cx="547" cy="703"/>
                          </a:xfrm>
                          <a:custGeom>
                            <a:avLst/>
                            <a:gdLst>
                              <a:gd name="T0" fmla="*/ 0 w 547"/>
                              <a:gd name="T1" fmla="*/ 0 h 703"/>
                              <a:gd name="T2" fmla="*/ 175 w 547"/>
                              <a:gd name="T3" fmla="*/ 0 h 703"/>
                              <a:gd name="T4" fmla="*/ 175 w 547"/>
                              <a:gd name="T5" fmla="*/ 573 h 703"/>
                              <a:gd name="T6" fmla="*/ 546 w 547"/>
                              <a:gd name="T7" fmla="*/ 563 h 703"/>
                              <a:gd name="T8" fmla="*/ 535 w 547"/>
                              <a:gd name="T9" fmla="*/ 702 h 703"/>
                              <a:gd name="T10" fmla="*/ 0 w 547"/>
                              <a:gd name="T11" fmla="*/ 702 h 703"/>
                              <a:gd name="T12" fmla="*/ 0 w 547"/>
                              <a:gd name="T13" fmla="*/ 0 h 703"/>
                            </a:gdLst>
                            <a:ahLst/>
                            <a:cxnLst>
                              <a:cxn ang="0">
                                <a:pos x="T0" y="T1"/>
                              </a:cxn>
                              <a:cxn ang="0">
                                <a:pos x="T2" y="T3"/>
                              </a:cxn>
                              <a:cxn ang="0">
                                <a:pos x="T4" y="T5"/>
                              </a:cxn>
                              <a:cxn ang="0">
                                <a:pos x="T6" y="T7"/>
                              </a:cxn>
                              <a:cxn ang="0">
                                <a:pos x="T8" y="T9"/>
                              </a:cxn>
                              <a:cxn ang="0">
                                <a:pos x="T10" y="T11"/>
                              </a:cxn>
                              <a:cxn ang="0">
                                <a:pos x="T12" y="T13"/>
                              </a:cxn>
                            </a:cxnLst>
                            <a:rect l="0" t="0" r="r" b="b"/>
                            <a:pathLst>
                              <a:path w="547" h="703">
                                <a:moveTo>
                                  <a:pt x="0" y="0"/>
                                </a:moveTo>
                                <a:lnTo>
                                  <a:pt x="175" y="0"/>
                                </a:lnTo>
                                <a:lnTo>
                                  <a:pt x="175" y="573"/>
                                </a:lnTo>
                                <a:lnTo>
                                  <a:pt x="546" y="563"/>
                                </a:lnTo>
                                <a:lnTo>
                                  <a:pt x="535" y="702"/>
                                </a:lnTo>
                                <a:lnTo>
                                  <a:pt x="0" y="702"/>
                                </a:lnTo>
                                <a:lnTo>
                                  <a:pt x="0"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35" o:spid="_x0000_s1026" style="position:absolute;margin-left:124.6pt;margin-top:1.25pt;width:27.35pt;height:35.15pt;z-index:251712000;mso-position-horizontal-relative:page" coordorigin="2492,25" coordsize="547,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" o:allowincell="f">
                <v:group id="Group 636" o:spid="_x0000_s1027" style="position:absolute;left:2492;top:25;width:547;height:703" coordorigin="2492,25" coordsize="547,7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Dpvk8YAAADcAAAADwAAAGRycy9kb3ducmV2LnhtbESPQWvCQBSE7wX/w/KE&#10;3uomSltJ3YQgtvQgQlWQ3h7ZZxKSfRuy2yT++25B6HGYmW+YTTaZVgzUu9qygngRgSAurK65VHA+&#10;vT+tQTiPrLG1TApu5CBLZw8bTLQd+YuGoy9FgLBLUEHlfZdI6YqKDLqF7YiDd7W9QR9kX0rd4xjg&#10;ppXLKHqRBmsOCxV2tK2oaI4/RsHHiGO+infDvrlub9+n58NlH5NSj/MpfwPhafL/4Xv7UytYrV/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Om+TxgAAANwA&#10;AAAPAAAAAAAAAAAAAAAAAKoCAABkcnMvZG93bnJldi54bWxQSwUGAAAAAAQABAD6AAAAnQMAAAAA&#10;">
                  <v:shape id="Freeform 637" o:spid="_x0000_s1028" style="position:absolute;left:2492;top:25;width:547;height:703;visibility:visible;mso-wrap-style:square;v-text-anchor:top" coordsize="547,7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st38MA&#10;AADcAAAADwAAAGRycy9kb3ducmV2LnhtbERPTWvCQBC9C/0Pywi9iG4aIWjqJpSCaQ/10FTb65Cd&#10;JsHsbMxuNf777kHw+Hjfm3w0nTjT4FrLCp4WEQjiyuqWawX7r+18BcJ5ZI2dZVJwJQd59jDZYKrt&#10;hT/pXPpahBB2KSpovO9TKV3VkEG3sD1x4H7tYNAHONRSD3gJ4aaTcRQl0mDLoaHBnl4bqo7ln1FA&#10;hzgpk9kH+x872tP3W0HrXaHU43R8eQbhafR38c39rhUsV2FtOBOOgM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kst38MAAADcAAAADwAAAAAAAAAAAAAAAACYAgAAZHJzL2Rv&#10;d25yZXYueG1sUEsFBgAAAAAEAAQA9QAAAIgDAAAAAA==&#10;" path="m535,702l,702,,,175,r,573l545,573,535,702xe" fillcolor="black" stroked="f">
                    <v:path arrowok="t" o:connecttype="custom" o:connectlocs="535,702;0,702;0,0;175,0;175,573;545,573;535,702" o:connectangles="0,0,0,0,0,0,0"/>
                  </v:shape>
                  <v:shape id="Freeform 638" o:spid="_x0000_s1029" style="position:absolute;left:2492;top:25;width:547;height:703;visibility:visible;mso-wrap-style:square;v-text-anchor:top" coordsize="547,7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eIRMUA&#10;AADcAAAADwAAAGRycy9kb3ducmV2LnhtbESPQWvCQBSE74L/YXlCL1I3VQgasxERqh7swbTq9ZF9&#10;TUKzb9PsqvHfdwuFHoeZ+YZJV71pxI06V1tW8DKJQBAXVtdcKvh4f32eg3AeWWNjmRQ8yMEqGw5S&#10;TLS985FuuS9FgLBLUEHlfZtI6YqKDLqJbYmD92k7gz7IrpS6w3uAm0ZOoyiWBmsOCxW2tKmo+Mqv&#10;RgGdpnEejw/sL7a33+fdlhZvW6WeRv16CcJT7//Df+29VjCbL+D3TDgCMv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B4hExQAAANwAAAAPAAAAAAAAAAAAAAAAAJgCAABkcnMv&#10;ZG93bnJldi54bWxQSwUGAAAAAAQABAD1AAAAigMAAAAA&#10;" path="m545,573r-370,l546,563r-1,10xe" fillcolor="black" stroked="f">
                    <v:path arrowok="t" o:connecttype="custom" o:connectlocs="545,573;175,573;546,563;545,573" o:connectangles="0,0,0,0"/>
                  </v:shape>
                </v:group>
                <v:shape id="Freeform 639" o:spid="_x0000_s1030" style="position:absolute;left:2492;top:25;width:547;height:703;visibility:visible;mso-wrap-style:square;v-text-anchor:top" coordsize="547,7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uwzMIA&#10;AADcAAAADwAAAGRycy9kb3ducmV2LnhtbERPy2rCQBTdF/yH4Qru6kRLq0ZHkYCgtJv4WGR3yVyT&#10;YOZOmJnG9O87i0KXh/Pe7AbTip6cbywrmE0TEMSl1Q1XCq6Xw+sShA/IGlvLpOCHPOy2o5cNpto+&#10;Oaf+HCoRQ9inqKAOoUul9GVNBv3UdsSRu1tnMEToKqkdPmO4aeU8ST6kwYZjQ40dZTWVj/O3UYD5&#10;rfj8Oiz703uxyGx/PWUuFEpNxsN+DSLQEP7Ff+6jVvC2ivPjmXgE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m7DMwgAAANwAAAAPAAAAAAAAAAAAAAAAAJgCAABkcnMvZG93&#10;bnJldi54bWxQSwUGAAAAAAQABAD1AAAAhwMAAAAA&#10;" path="m,l175,r,573l546,563,535,702,,702,,xe" filled="f" strokeweight="0">
                  <v:path arrowok="t" o:connecttype="custom" o:connectlocs="0,0;175,0;175,573;546,563;535,702;0,702;0,0" o:connectangles="0,0,0,0,0,0,0"/>
                </v:shape>
                <w10:wrap anchorx="page"/>
              </v:group>
            </w:pict>
          </mc:Fallback>
        </mc:AlternateContent>
      </w:r>
      <w:r>
        <w:rPr>
          <w:noProof/>
        </w:rPr>
        <mc:AlternateContent>
          <mc:Choice Requires="wpg">
            <w:drawing>
              <wp:anchor distT="0" distB="0" distL="114300" distR="114300" simplePos="0" relativeHeight="251713024" behindDoc="0" locked="0" layoutInCell="0" allowOverlap="1">
                <wp:simplePos x="0" y="0"/>
                <wp:positionH relativeFrom="page">
                  <wp:posOffset>1979295</wp:posOffset>
                </wp:positionH>
                <wp:positionV relativeFrom="paragraph">
                  <wp:posOffset>15875</wp:posOffset>
                </wp:positionV>
                <wp:extent cx="545465" cy="477520"/>
                <wp:effectExtent l="0" t="0" r="0" b="0"/>
                <wp:wrapNone/>
                <wp:docPr id="377" name="Group 6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5465" cy="477520"/>
                          <a:chOff x="3117" y="25"/>
                          <a:chExt cx="859" cy="752"/>
                        </a:xfrm>
                      </wpg:grpSpPr>
                      <wpg:grpSp>
                        <wpg:cNvPr id="378" name="Group 641"/>
                        <wpg:cNvGrpSpPr>
                          <a:grpSpLocks/>
                        </wpg:cNvGrpSpPr>
                        <wpg:grpSpPr bwMode="auto">
                          <a:xfrm>
                            <a:off x="3117" y="25"/>
                            <a:ext cx="617" cy="752"/>
                            <a:chOff x="3117" y="25"/>
                            <a:chExt cx="617" cy="752"/>
                          </a:xfrm>
                        </wpg:grpSpPr>
                        <wps:wsp>
                          <wps:cNvPr id="379" name="Freeform 642"/>
                          <wps:cNvSpPr>
                            <a:spLocks/>
                          </wps:cNvSpPr>
                          <wps:spPr bwMode="auto">
                            <a:xfrm>
                              <a:off x="3117" y="25"/>
                              <a:ext cx="617" cy="752"/>
                            </a:xfrm>
                            <a:custGeom>
                              <a:avLst/>
                              <a:gdLst>
                                <a:gd name="T0" fmla="*/ 175 w 617"/>
                                <a:gd name="T1" fmla="*/ 723 h 752"/>
                                <a:gd name="T2" fmla="*/ 0 w 617"/>
                                <a:gd name="T3" fmla="*/ 702 h 752"/>
                                <a:gd name="T4" fmla="*/ 0 w 617"/>
                                <a:gd name="T5" fmla="*/ 0 h 752"/>
                                <a:gd name="T6" fmla="*/ 314 w 617"/>
                                <a:gd name="T7" fmla="*/ 0 h 752"/>
                                <a:gd name="T8" fmla="*/ 354 w 617"/>
                                <a:gd name="T9" fmla="*/ 2 h 752"/>
                                <a:gd name="T10" fmla="*/ 391 w 617"/>
                                <a:gd name="T11" fmla="*/ 10 h 752"/>
                                <a:gd name="T12" fmla="*/ 425 w 617"/>
                                <a:gd name="T13" fmla="*/ 23 h 752"/>
                                <a:gd name="T14" fmla="*/ 456 w 617"/>
                                <a:gd name="T15" fmla="*/ 39 h 752"/>
                                <a:gd name="T16" fmla="*/ 483 w 617"/>
                                <a:gd name="T17" fmla="*/ 62 h 752"/>
                                <a:gd name="T18" fmla="*/ 505 w 617"/>
                                <a:gd name="T19" fmla="*/ 85 h 752"/>
                                <a:gd name="T20" fmla="*/ 523 w 617"/>
                                <a:gd name="T21" fmla="*/ 112 h 752"/>
                                <a:gd name="T22" fmla="*/ 529 w 617"/>
                                <a:gd name="T23" fmla="*/ 129 h 752"/>
                                <a:gd name="T24" fmla="*/ 175 w 617"/>
                                <a:gd name="T25" fmla="*/ 129 h 752"/>
                                <a:gd name="T26" fmla="*/ 175 w 617"/>
                                <a:gd name="T27" fmla="*/ 288 h 752"/>
                                <a:gd name="T28" fmla="*/ 522 w 617"/>
                                <a:gd name="T29" fmla="*/ 288 h 752"/>
                                <a:gd name="T30" fmla="*/ 514 w 617"/>
                                <a:gd name="T31" fmla="*/ 302 h 752"/>
                                <a:gd name="T32" fmla="*/ 491 w 617"/>
                                <a:gd name="T33" fmla="*/ 329 h 752"/>
                                <a:gd name="T34" fmla="*/ 460 w 617"/>
                                <a:gd name="T35" fmla="*/ 353 h 752"/>
                                <a:gd name="T36" fmla="*/ 423 w 617"/>
                                <a:gd name="T37" fmla="*/ 374 h 752"/>
                                <a:gd name="T38" fmla="*/ 446 w 617"/>
                                <a:gd name="T39" fmla="*/ 388 h 752"/>
                                <a:gd name="T40" fmla="*/ 468 w 617"/>
                                <a:gd name="T41" fmla="*/ 410 h 752"/>
                                <a:gd name="T42" fmla="*/ 473 w 617"/>
                                <a:gd name="T43" fmla="*/ 417 h 752"/>
                                <a:gd name="T44" fmla="*/ 175 w 617"/>
                                <a:gd name="T45" fmla="*/ 417 h 752"/>
                                <a:gd name="T46" fmla="*/ 175 w 617"/>
                                <a:gd name="T47" fmla="*/ 723 h 7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17" h="752">
                                  <a:moveTo>
                                    <a:pt x="175" y="723"/>
                                  </a:moveTo>
                                  <a:lnTo>
                                    <a:pt x="0" y="702"/>
                                  </a:lnTo>
                                  <a:lnTo>
                                    <a:pt x="0" y="0"/>
                                  </a:lnTo>
                                  <a:lnTo>
                                    <a:pt x="314" y="0"/>
                                  </a:lnTo>
                                  <a:lnTo>
                                    <a:pt x="354" y="2"/>
                                  </a:lnTo>
                                  <a:lnTo>
                                    <a:pt x="391" y="10"/>
                                  </a:lnTo>
                                  <a:lnTo>
                                    <a:pt x="425" y="23"/>
                                  </a:lnTo>
                                  <a:lnTo>
                                    <a:pt x="456" y="39"/>
                                  </a:lnTo>
                                  <a:lnTo>
                                    <a:pt x="483" y="62"/>
                                  </a:lnTo>
                                  <a:lnTo>
                                    <a:pt x="505" y="85"/>
                                  </a:lnTo>
                                  <a:lnTo>
                                    <a:pt x="523" y="112"/>
                                  </a:lnTo>
                                  <a:lnTo>
                                    <a:pt x="529" y="129"/>
                                  </a:lnTo>
                                  <a:lnTo>
                                    <a:pt x="175" y="129"/>
                                  </a:lnTo>
                                  <a:lnTo>
                                    <a:pt x="175" y="288"/>
                                  </a:lnTo>
                                  <a:lnTo>
                                    <a:pt x="522" y="288"/>
                                  </a:lnTo>
                                  <a:lnTo>
                                    <a:pt x="514" y="302"/>
                                  </a:lnTo>
                                  <a:lnTo>
                                    <a:pt x="491" y="329"/>
                                  </a:lnTo>
                                  <a:lnTo>
                                    <a:pt x="460" y="353"/>
                                  </a:lnTo>
                                  <a:lnTo>
                                    <a:pt x="423" y="374"/>
                                  </a:lnTo>
                                  <a:lnTo>
                                    <a:pt x="446" y="388"/>
                                  </a:lnTo>
                                  <a:lnTo>
                                    <a:pt x="468" y="410"/>
                                  </a:lnTo>
                                  <a:lnTo>
                                    <a:pt x="473" y="417"/>
                                  </a:lnTo>
                                  <a:lnTo>
                                    <a:pt x="175" y="417"/>
                                  </a:lnTo>
                                  <a:lnTo>
                                    <a:pt x="175" y="7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0" name="Freeform 643"/>
                          <wps:cNvSpPr>
                            <a:spLocks/>
                          </wps:cNvSpPr>
                          <wps:spPr bwMode="auto">
                            <a:xfrm>
                              <a:off x="3117" y="25"/>
                              <a:ext cx="617" cy="752"/>
                            </a:xfrm>
                            <a:custGeom>
                              <a:avLst/>
                              <a:gdLst>
                                <a:gd name="T0" fmla="*/ 522 w 617"/>
                                <a:gd name="T1" fmla="*/ 288 h 752"/>
                                <a:gd name="T2" fmla="*/ 268 w 617"/>
                                <a:gd name="T3" fmla="*/ 288 h 752"/>
                                <a:gd name="T4" fmla="*/ 297 w 617"/>
                                <a:gd name="T5" fmla="*/ 286 h 752"/>
                                <a:gd name="T6" fmla="*/ 320 w 617"/>
                                <a:gd name="T7" fmla="*/ 279 h 752"/>
                                <a:gd name="T8" fmla="*/ 340 w 617"/>
                                <a:gd name="T9" fmla="*/ 268 h 752"/>
                                <a:gd name="T10" fmla="*/ 352 w 617"/>
                                <a:gd name="T11" fmla="*/ 253 h 752"/>
                                <a:gd name="T12" fmla="*/ 361 w 617"/>
                                <a:gd name="T13" fmla="*/ 232 h 752"/>
                                <a:gd name="T14" fmla="*/ 364 w 617"/>
                                <a:gd name="T15" fmla="*/ 208 h 752"/>
                                <a:gd name="T16" fmla="*/ 361 w 617"/>
                                <a:gd name="T17" fmla="*/ 184 h 752"/>
                                <a:gd name="T18" fmla="*/ 352 w 617"/>
                                <a:gd name="T19" fmla="*/ 164 h 752"/>
                                <a:gd name="T20" fmla="*/ 338 w 617"/>
                                <a:gd name="T21" fmla="*/ 149 h 752"/>
                                <a:gd name="T22" fmla="*/ 319 w 617"/>
                                <a:gd name="T23" fmla="*/ 138 h 752"/>
                                <a:gd name="T24" fmla="*/ 294 w 617"/>
                                <a:gd name="T25" fmla="*/ 131 h 752"/>
                                <a:gd name="T26" fmla="*/ 264 w 617"/>
                                <a:gd name="T27" fmla="*/ 129 h 752"/>
                                <a:gd name="T28" fmla="*/ 529 w 617"/>
                                <a:gd name="T29" fmla="*/ 129 h 752"/>
                                <a:gd name="T30" fmla="*/ 534 w 617"/>
                                <a:gd name="T31" fmla="*/ 140 h 752"/>
                                <a:gd name="T32" fmla="*/ 542 w 617"/>
                                <a:gd name="T33" fmla="*/ 169 h 752"/>
                                <a:gd name="T34" fmla="*/ 544 w 617"/>
                                <a:gd name="T35" fmla="*/ 201 h 752"/>
                                <a:gd name="T36" fmla="*/ 540 w 617"/>
                                <a:gd name="T37" fmla="*/ 238 h 752"/>
                                <a:gd name="T38" fmla="*/ 530 w 617"/>
                                <a:gd name="T39" fmla="*/ 273 h 752"/>
                                <a:gd name="T40" fmla="*/ 522 w 617"/>
                                <a:gd name="T41" fmla="*/ 288 h 7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17" h="752">
                                  <a:moveTo>
                                    <a:pt x="522" y="288"/>
                                  </a:moveTo>
                                  <a:lnTo>
                                    <a:pt x="268" y="288"/>
                                  </a:lnTo>
                                  <a:lnTo>
                                    <a:pt x="297" y="286"/>
                                  </a:lnTo>
                                  <a:lnTo>
                                    <a:pt x="320" y="279"/>
                                  </a:lnTo>
                                  <a:lnTo>
                                    <a:pt x="340" y="268"/>
                                  </a:lnTo>
                                  <a:lnTo>
                                    <a:pt x="352" y="253"/>
                                  </a:lnTo>
                                  <a:lnTo>
                                    <a:pt x="361" y="232"/>
                                  </a:lnTo>
                                  <a:lnTo>
                                    <a:pt x="364" y="208"/>
                                  </a:lnTo>
                                  <a:lnTo>
                                    <a:pt x="361" y="184"/>
                                  </a:lnTo>
                                  <a:lnTo>
                                    <a:pt x="352" y="164"/>
                                  </a:lnTo>
                                  <a:lnTo>
                                    <a:pt x="338" y="149"/>
                                  </a:lnTo>
                                  <a:lnTo>
                                    <a:pt x="319" y="138"/>
                                  </a:lnTo>
                                  <a:lnTo>
                                    <a:pt x="294" y="131"/>
                                  </a:lnTo>
                                  <a:lnTo>
                                    <a:pt x="264" y="129"/>
                                  </a:lnTo>
                                  <a:lnTo>
                                    <a:pt x="529" y="129"/>
                                  </a:lnTo>
                                  <a:lnTo>
                                    <a:pt x="534" y="140"/>
                                  </a:lnTo>
                                  <a:lnTo>
                                    <a:pt x="542" y="169"/>
                                  </a:lnTo>
                                  <a:lnTo>
                                    <a:pt x="544" y="201"/>
                                  </a:lnTo>
                                  <a:lnTo>
                                    <a:pt x="540" y="238"/>
                                  </a:lnTo>
                                  <a:lnTo>
                                    <a:pt x="530" y="273"/>
                                  </a:lnTo>
                                  <a:lnTo>
                                    <a:pt x="522" y="28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1" name="Freeform 644"/>
                          <wps:cNvSpPr>
                            <a:spLocks/>
                          </wps:cNvSpPr>
                          <wps:spPr bwMode="auto">
                            <a:xfrm>
                              <a:off x="3117" y="25"/>
                              <a:ext cx="617" cy="752"/>
                            </a:xfrm>
                            <a:custGeom>
                              <a:avLst/>
                              <a:gdLst>
                                <a:gd name="T0" fmla="*/ 447 w 617"/>
                                <a:gd name="T1" fmla="*/ 751 h 752"/>
                                <a:gd name="T2" fmla="*/ 344 w 617"/>
                                <a:gd name="T3" fmla="*/ 529 h 752"/>
                                <a:gd name="T4" fmla="*/ 320 w 617"/>
                                <a:gd name="T5" fmla="*/ 488 h 752"/>
                                <a:gd name="T6" fmla="*/ 297 w 617"/>
                                <a:gd name="T7" fmla="*/ 457 h 752"/>
                                <a:gd name="T8" fmla="*/ 273 w 617"/>
                                <a:gd name="T9" fmla="*/ 434 h 752"/>
                                <a:gd name="T10" fmla="*/ 249 w 617"/>
                                <a:gd name="T11" fmla="*/ 421 h 752"/>
                                <a:gd name="T12" fmla="*/ 226 w 617"/>
                                <a:gd name="T13" fmla="*/ 417 h 752"/>
                                <a:gd name="T14" fmla="*/ 473 w 617"/>
                                <a:gd name="T15" fmla="*/ 417 h 752"/>
                                <a:gd name="T16" fmla="*/ 489 w 617"/>
                                <a:gd name="T17" fmla="*/ 439 h 752"/>
                                <a:gd name="T18" fmla="*/ 510 w 617"/>
                                <a:gd name="T19" fmla="*/ 475 h 752"/>
                                <a:gd name="T20" fmla="*/ 616 w 617"/>
                                <a:gd name="T21" fmla="*/ 702 h 752"/>
                                <a:gd name="T22" fmla="*/ 447 w 617"/>
                                <a:gd name="T23" fmla="*/ 751 h 7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617" h="752">
                                  <a:moveTo>
                                    <a:pt x="447" y="751"/>
                                  </a:moveTo>
                                  <a:lnTo>
                                    <a:pt x="344" y="529"/>
                                  </a:lnTo>
                                  <a:lnTo>
                                    <a:pt x="320" y="488"/>
                                  </a:lnTo>
                                  <a:lnTo>
                                    <a:pt x="297" y="457"/>
                                  </a:lnTo>
                                  <a:lnTo>
                                    <a:pt x="273" y="434"/>
                                  </a:lnTo>
                                  <a:lnTo>
                                    <a:pt x="249" y="421"/>
                                  </a:lnTo>
                                  <a:lnTo>
                                    <a:pt x="226" y="417"/>
                                  </a:lnTo>
                                  <a:lnTo>
                                    <a:pt x="473" y="417"/>
                                  </a:lnTo>
                                  <a:lnTo>
                                    <a:pt x="489" y="439"/>
                                  </a:lnTo>
                                  <a:lnTo>
                                    <a:pt x="510" y="475"/>
                                  </a:lnTo>
                                  <a:lnTo>
                                    <a:pt x="616" y="702"/>
                                  </a:lnTo>
                                  <a:lnTo>
                                    <a:pt x="447" y="7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382" name="Picture 645"/>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3293" y="155"/>
                            <a:ext cx="18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3" name="Freeform 646"/>
                        <wps:cNvSpPr>
                          <a:spLocks/>
                        </wps:cNvSpPr>
                        <wps:spPr bwMode="auto">
                          <a:xfrm>
                            <a:off x="3117" y="25"/>
                            <a:ext cx="617" cy="752"/>
                          </a:xfrm>
                          <a:custGeom>
                            <a:avLst/>
                            <a:gdLst>
                              <a:gd name="T0" fmla="*/ 0 w 617"/>
                              <a:gd name="T1" fmla="*/ 0 h 752"/>
                              <a:gd name="T2" fmla="*/ 314 w 617"/>
                              <a:gd name="T3" fmla="*/ 0 h 752"/>
                              <a:gd name="T4" fmla="*/ 354 w 617"/>
                              <a:gd name="T5" fmla="*/ 2 h 752"/>
                              <a:gd name="T6" fmla="*/ 391 w 617"/>
                              <a:gd name="T7" fmla="*/ 10 h 752"/>
                              <a:gd name="T8" fmla="*/ 425 w 617"/>
                              <a:gd name="T9" fmla="*/ 23 h 752"/>
                              <a:gd name="T10" fmla="*/ 456 w 617"/>
                              <a:gd name="T11" fmla="*/ 39 h 752"/>
                              <a:gd name="T12" fmla="*/ 483 w 617"/>
                              <a:gd name="T13" fmla="*/ 62 h 752"/>
                              <a:gd name="T14" fmla="*/ 505 w 617"/>
                              <a:gd name="T15" fmla="*/ 85 h 752"/>
                              <a:gd name="T16" fmla="*/ 523 w 617"/>
                              <a:gd name="T17" fmla="*/ 112 h 752"/>
                              <a:gd name="T18" fmla="*/ 534 w 617"/>
                              <a:gd name="T19" fmla="*/ 140 h 752"/>
                              <a:gd name="T20" fmla="*/ 542 w 617"/>
                              <a:gd name="T21" fmla="*/ 169 h 752"/>
                              <a:gd name="T22" fmla="*/ 544 w 617"/>
                              <a:gd name="T23" fmla="*/ 201 h 752"/>
                              <a:gd name="T24" fmla="*/ 540 w 617"/>
                              <a:gd name="T25" fmla="*/ 238 h 752"/>
                              <a:gd name="T26" fmla="*/ 530 w 617"/>
                              <a:gd name="T27" fmla="*/ 273 h 752"/>
                              <a:gd name="T28" fmla="*/ 514 w 617"/>
                              <a:gd name="T29" fmla="*/ 302 h 752"/>
                              <a:gd name="T30" fmla="*/ 491 w 617"/>
                              <a:gd name="T31" fmla="*/ 329 h 752"/>
                              <a:gd name="T32" fmla="*/ 460 w 617"/>
                              <a:gd name="T33" fmla="*/ 353 h 752"/>
                              <a:gd name="T34" fmla="*/ 423 w 617"/>
                              <a:gd name="T35" fmla="*/ 374 h 752"/>
                              <a:gd name="T36" fmla="*/ 446 w 617"/>
                              <a:gd name="T37" fmla="*/ 388 h 752"/>
                              <a:gd name="T38" fmla="*/ 468 w 617"/>
                              <a:gd name="T39" fmla="*/ 410 h 752"/>
                              <a:gd name="T40" fmla="*/ 489 w 617"/>
                              <a:gd name="T41" fmla="*/ 439 h 752"/>
                              <a:gd name="T42" fmla="*/ 510 w 617"/>
                              <a:gd name="T43" fmla="*/ 475 h 752"/>
                              <a:gd name="T44" fmla="*/ 616 w 617"/>
                              <a:gd name="T45" fmla="*/ 702 h 752"/>
                              <a:gd name="T46" fmla="*/ 447 w 617"/>
                              <a:gd name="T47" fmla="*/ 751 h 752"/>
                              <a:gd name="T48" fmla="*/ 344 w 617"/>
                              <a:gd name="T49" fmla="*/ 529 h 752"/>
                              <a:gd name="T50" fmla="*/ 320 w 617"/>
                              <a:gd name="T51" fmla="*/ 488 h 752"/>
                              <a:gd name="T52" fmla="*/ 297 w 617"/>
                              <a:gd name="T53" fmla="*/ 457 h 752"/>
                              <a:gd name="T54" fmla="*/ 273 w 617"/>
                              <a:gd name="T55" fmla="*/ 434 h 752"/>
                              <a:gd name="T56" fmla="*/ 249 w 617"/>
                              <a:gd name="T57" fmla="*/ 421 h 752"/>
                              <a:gd name="T58" fmla="*/ 226 w 617"/>
                              <a:gd name="T59" fmla="*/ 417 h 752"/>
                              <a:gd name="T60" fmla="*/ 175 w 617"/>
                              <a:gd name="T61" fmla="*/ 417 h 752"/>
                              <a:gd name="T62" fmla="*/ 175 w 617"/>
                              <a:gd name="T63" fmla="*/ 723 h 752"/>
                              <a:gd name="T64" fmla="*/ 0 w 617"/>
                              <a:gd name="T65" fmla="*/ 702 h 752"/>
                              <a:gd name="T66" fmla="*/ 0 w 617"/>
                              <a:gd name="T67" fmla="*/ 0 h 7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617" h="752">
                                <a:moveTo>
                                  <a:pt x="0" y="0"/>
                                </a:moveTo>
                                <a:lnTo>
                                  <a:pt x="314" y="0"/>
                                </a:lnTo>
                                <a:lnTo>
                                  <a:pt x="354" y="2"/>
                                </a:lnTo>
                                <a:lnTo>
                                  <a:pt x="391" y="10"/>
                                </a:lnTo>
                                <a:lnTo>
                                  <a:pt x="425" y="23"/>
                                </a:lnTo>
                                <a:lnTo>
                                  <a:pt x="456" y="39"/>
                                </a:lnTo>
                                <a:lnTo>
                                  <a:pt x="483" y="62"/>
                                </a:lnTo>
                                <a:lnTo>
                                  <a:pt x="505" y="85"/>
                                </a:lnTo>
                                <a:lnTo>
                                  <a:pt x="523" y="112"/>
                                </a:lnTo>
                                <a:lnTo>
                                  <a:pt x="534" y="140"/>
                                </a:lnTo>
                                <a:lnTo>
                                  <a:pt x="542" y="169"/>
                                </a:lnTo>
                                <a:lnTo>
                                  <a:pt x="544" y="201"/>
                                </a:lnTo>
                                <a:lnTo>
                                  <a:pt x="540" y="238"/>
                                </a:lnTo>
                                <a:lnTo>
                                  <a:pt x="530" y="273"/>
                                </a:lnTo>
                                <a:lnTo>
                                  <a:pt x="514" y="302"/>
                                </a:lnTo>
                                <a:lnTo>
                                  <a:pt x="491" y="329"/>
                                </a:lnTo>
                                <a:lnTo>
                                  <a:pt x="460" y="353"/>
                                </a:lnTo>
                                <a:lnTo>
                                  <a:pt x="423" y="374"/>
                                </a:lnTo>
                                <a:lnTo>
                                  <a:pt x="446" y="388"/>
                                </a:lnTo>
                                <a:lnTo>
                                  <a:pt x="468" y="410"/>
                                </a:lnTo>
                                <a:lnTo>
                                  <a:pt x="489" y="439"/>
                                </a:lnTo>
                                <a:lnTo>
                                  <a:pt x="510" y="475"/>
                                </a:lnTo>
                                <a:lnTo>
                                  <a:pt x="616" y="702"/>
                                </a:lnTo>
                                <a:lnTo>
                                  <a:pt x="447" y="751"/>
                                </a:lnTo>
                                <a:lnTo>
                                  <a:pt x="344" y="529"/>
                                </a:lnTo>
                                <a:lnTo>
                                  <a:pt x="320" y="488"/>
                                </a:lnTo>
                                <a:lnTo>
                                  <a:pt x="297" y="457"/>
                                </a:lnTo>
                                <a:lnTo>
                                  <a:pt x="273" y="434"/>
                                </a:lnTo>
                                <a:lnTo>
                                  <a:pt x="249" y="421"/>
                                </a:lnTo>
                                <a:lnTo>
                                  <a:pt x="226" y="417"/>
                                </a:lnTo>
                                <a:lnTo>
                                  <a:pt x="175" y="417"/>
                                </a:lnTo>
                                <a:lnTo>
                                  <a:pt x="175" y="723"/>
                                </a:lnTo>
                                <a:lnTo>
                                  <a:pt x="0" y="702"/>
                                </a:lnTo>
                                <a:lnTo>
                                  <a:pt x="0"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 name="Freeform 647"/>
                        <wps:cNvSpPr>
                          <a:spLocks/>
                        </wps:cNvSpPr>
                        <wps:spPr bwMode="auto">
                          <a:xfrm>
                            <a:off x="3800" y="25"/>
                            <a:ext cx="176" cy="724"/>
                          </a:xfrm>
                          <a:custGeom>
                            <a:avLst/>
                            <a:gdLst>
                              <a:gd name="T0" fmla="*/ 175 w 176"/>
                              <a:gd name="T1" fmla="*/ 723 h 724"/>
                              <a:gd name="T2" fmla="*/ 0 w 176"/>
                              <a:gd name="T3" fmla="*/ 702 h 724"/>
                              <a:gd name="T4" fmla="*/ 0 w 176"/>
                              <a:gd name="T5" fmla="*/ 0 h 724"/>
                              <a:gd name="T6" fmla="*/ 175 w 176"/>
                              <a:gd name="T7" fmla="*/ 0 h 724"/>
                              <a:gd name="T8" fmla="*/ 175 w 176"/>
                              <a:gd name="T9" fmla="*/ 723 h 724"/>
                            </a:gdLst>
                            <a:ahLst/>
                            <a:cxnLst>
                              <a:cxn ang="0">
                                <a:pos x="T0" y="T1"/>
                              </a:cxn>
                              <a:cxn ang="0">
                                <a:pos x="T2" y="T3"/>
                              </a:cxn>
                              <a:cxn ang="0">
                                <a:pos x="T4" y="T5"/>
                              </a:cxn>
                              <a:cxn ang="0">
                                <a:pos x="T6" y="T7"/>
                              </a:cxn>
                              <a:cxn ang="0">
                                <a:pos x="T8" y="T9"/>
                              </a:cxn>
                            </a:cxnLst>
                            <a:rect l="0" t="0" r="r" b="b"/>
                            <a:pathLst>
                              <a:path w="176" h="724">
                                <a:moveTo>
                                  <a:pt x="175" y="723"/>
                                </a:moveTo>
                                <a:lnTo>
                                  <a:pt x="0" y="702"/>
                                </a:lnTo>
                                <a:lnTo>
                                  <a:pt x="0" y="0"/>
                                </a:lnTo>
                                <a:lnTo>
                                  <a:pt x="175" y="0"/>
                                </a:lnTo>
                                <a:lnTo>
                                  <a:pt x="175" y="7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Freeform 648"/>
                        <wps:cNvSpPr>
                          <a:spLocks/>
                        </wps:cNvSpPr>
                        <wps:spPr bwMode="auto">
                          <a:xfrm>
                            <a:off x="3800" y="25"/>
                            <a:ext cx="176" cy="724"/>
                          </a:xfrm>
                          <a:custGeom>
                            <a:avLst/>
                            <a:gdLst>
                              <a:gd name="T0" fmla="*/ 0 w 176"/>
                              <a:gd name="T1" fmla="*/ 0 h 724"/>
                              <a:gd name="T2" fmla="*/ 175 w 176"/>
                              <a:gd name="T3" fmla="*/ 0 h 724"/>
                              <a:gd name="T4" fmla="*/ 175 w 176"/>
                              <a:gd name="T5" fmla="*/ 723 h 724"/>
                              <a:gd name="T6" fmla="*/ 0 w 176"/>
                              <a:gd name="T7" fmla="*/ 702 h 724"/>
                              <a:gd name="T8" fmla="*/ 0 w 176"/>
                              <a:gd name="T9" fmla="*/ 0 h 724"/>
                            </a:gdLst>
                            <a:ahLst/>
                            <a:cxnLst>
                              <a:cxn ang="0">
                                <a:pos x="T0" y="T1"/>
                              </a:cxn>
                              <a:cxn ang="0">
                                <a:pos x="T2" y="T3"/>
                              </a:cxn>
                              <a:cxn ang="0">
                                <a:pos x="T4" y="T5"/>
                              </a:cxn>
                              <a:cxn ang="0">
                                <a:pos x="T6" y="T7"/>
                              </a:cxn>
                              <a:cxn ang="0">
                                <a:pos x="T8" y="T9"/>
                              </a:cxn>
                            </a:cxnLst>
                            <a:rect l="0" t="0" r="r" b="b"/>
                            <a:pathLst>
                              <a:path w="176" h="724">
                                <a:moveTo>
                                  <a:pt x="0" y="0"/>
                                </a:moveTo>
                                <a:lnTo>
                                  <a:pt x="175" y="0"/>
                                </a:lnTo>
                                <a:lnTo>
                                  <a:pt x="175" y="723"/>
                                </a:lnTo>
                                <a:lnTo>
                                  <a:pt x="0" y="702"/>
                                </a:lnTo>
                                <a:lnTo>
                                  <a:pt x="0"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40" o:spid="_x0000_s1026" style="position:absolute;margin-left:155.85pt;margin-top:1.25pt;width:42.95pt;height:37.6pt;z-index:251713024;mso-position-horizontal-relative:page" coordorigin="3117,25" coordsize="859,7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" o:allowincell="f">
                <v:group id="Group 641" o:spid="_x0000_s1027" style="position:absolute;left:3117;top:25;width:617;height:752" coordorigin="3117,25" coordsize="617,7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HCLxsIAAADcAAAADwAAAGRycy9kb3ducmV2LnhtbERPTYvCMBC9C/sfwizs&#10;TdOuqEvXKCKueBDBuiDehmZsi82kNLGt/94cBI+P9z1f9qYSLTWutKwgHkUgiDOrS84V/J/+hj8g&#10;nEfWWFkmBQ9ysFx8DOaYaNvxkdrU5yKEsEtQQeF9nUjpsoIMupGtiQN3tY1BH2CTS91gF8JNJb+j&#10;aCoNlhwaCqxpXVB2S+9GwbbDbjWON+3+dl0/LqfJ4byPSamvz371C8JT79/il3unFYxn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Bwi8bCAAAA3AAAAA8A&#10;AAAAAAAAAAAAAAAAqgIAAGRycy9kb3ducmV2LnhtbFBLBQYAAAAABAAEAPoAAACZAwAAAAA=&#10;">
                  <v:shape id="Freeform 642" o:spid="_x0000_s1028" style="position:absolute;left:3117;top:25;width:617;height:752;visibility:visible;mso-wrap-style:square;v-text-anchor:top" coordsize="617,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uKosUA&#10;AADcAAAADwAAAGRycy9kb3ducmV2LnhtbESPQWvCQBSE70L/w/IKvUizqQW1aVYpgiAlKFp7f2Rf&#10;k7TZtyG7xu2/dwXB4zAz3zD5MphWDNS7xrKClyQFQVxa3XCl4Pi1fp6DcB5ZY2uZFPyTg+XiYZRj&#10;pu2Z9zQcfCUihF2GCmrvu0xKV9Zk0CW2I47ej+0N+ij7SuoezxFuWjlJ06k02HBcqLGjVU3l3+Fk&#10;FIy/i18sjqf9aqjCht1u/hm2hVJPj+HjHYSn4O/hW3ujFbzO3uB6Jh4Bub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G4qixQAAANwAAAAPAAAAAAAAAAAAAAAAAJgCAABkcnMv&#10;ZG93bnJldi54bWxQSwUGAAAAAAQABAD1AAAAigMAAAAA&#10;" path="m175,723l,702,,,314,r40,2l391,10r34,13l456,39r27,23l505,85r18,27l529,129r-354,l175,288r347,l514,302r-23,27l460,353r-37,21l446,388r22,22l473,417r-298,l175,723xe" fillcolor="black" stroked="f">
                    <v:path arrowok="t" o:connecttype="custom" o:connectlocs="175,723;0,702;0,0;314,0;354,2;391,10;425,23;456,39;483,62;505,85;523,112;529,129;175,129;175,288;522,288;514,302;491,329;460,353;423,374;446,388;468,410;473,417;175,417;175,723" o:connectangles="0,0,0,0,0,0,0,0,0,0,0,0,0,0,0,0,0,0,0,0,0,0,0,0"/>
                  </v:shape>
                  <v:shape id="Freeform 643" o:spid="_x0000_s1029" style="position:absolute;left:3117;top:25;width:617;height:752;visibility:visible;mso-wrap-style:square;v-text-anchor:top" coordsize="617,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RTGMEA&#10;AADcAAAADwAAAGRycy9kb3ducmV2LnhtbERPy4rCMBTdC/MP4Q7MRsbUEaRUowzCgEhRfMz+0lzb&#10;anNTmljj35uF4PJw3vNlMI3oqXO1ZQXjUQKCuLC65lLB6fj3nYJwHlljY5kUPMjBcvExmGOm7Z33&#10;1B98KWIIuwwVVN63mZSuqMigG9mWOHJn2xn0EXal1B3eY7hp5E+STKXBmmNDhS2tKiquh5tRMPzP&#10;L5ifbvtVX4Y1u126Cdtcqa/P8DsD4Sn4t/jlXmsFkzTOj2fiEZC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0UxjBAAAA3AAAAA8AAAAAAAAAAAAAAAAAmAIAAGRycy9kb3du&#10;cmV2LnhtbFBLBQYAAAAABAAEAPUAAACGAwAAAAA=&#10;" path="m522,288r-254,l297,286r23,-7l340,268r12,-15l361,232r3,-24l361,184r-9,-20l338,149,319,138r-25,-7l264,129r265,l534,140r8,29l544,201r-4,37l530,273r-8,15xe" fillcolor="black" stroked="f">
                    <v:path arrowok="t" o:connecttype="custom" o:connectlocs="522,288;268,288;297,286;320,279;340,268;352,253;361,232;364,208;361,184;352,164;338,149;319,138;294,131;264,129;529,129;534,140;542,169;544,201;540,238;530,273;522,288" o:connectangles="0,0,0,0,0,0,0,0,0,0,0,0,0,0,0,0,0,0,0,0,0"/>
                  </v:shape>
                  <v:shape id="Freeform 644" o:spid="_x0000_s1030" style="position:absolute;left:3117;top:25;width:617;height:752;visibility:visible;mso-wrap-style:square;v-text-anchor:top" coordsize="617,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j2g8QA&#10;AADcAAAADwAAAGRycy9kb3ducmV2LnhtbESP3WrCQBSE7wu+w3IEb4pubKGE6CoiCFKCxb/7Q/aY&#10;RLNnQ3aN69u7hUIvh5n5hpkvg2lET52rLSuYThIQxIXVNZcKTsfNOAXhPLLGxjIpeJKD5WLwNsdM&#10;2wfvqT/4UkQIuwwVVN63mZSuqMigm9iWOHoX2xn0UXal1B0+Itw08iNJvqTBmuNChS2tKypuh7tR&#10;8H7Or5if7vt1X4Ytu5/0O+xypUbDsJqB8BT8f/ivvdUKPtMp/J6JR0Au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49oPEAAAA3AAAAA8AAAAAAAAAAAAAAAAAmAIAAGRycy9k&#10;b3ducmV2LnhtbFBLBQYAAAAABAAEAPUAAACJAwAAAAA=&#10;" path="m447,751l344,529,320,488,297,457,273,434,249,421r-23,-4l473,417r16,22l510,475,616,702,447,751xe" fillcolor="black" stroked="f">
                    <v:path arrowok="t" o:connecttype="custom" o:connectlocs="447,751;344,529;320,488;297,457;273,434;249,421;226,417;473,417;489,439;510,475;616,702;447,751" o:connectangles="0,0,0,0,0,0,0,0,0,0,0,0"/>
                  </v:shape>
                </v:group>
                <v:shape id="Picture 645" o:spid="_x0000_s1031" type="#_x0000_t75" style="position:absolute;left:3293;top:155;width:180;height:1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QCU3DAAAA3AAAAA8AAABkcnMvZG93bnJldi54bWxEj0FrwkAUhO8F/8PyhN7qRgttiK4iYqH0&#10;VqsHb4/sMwlm3wu7axL767uFQo/DzHzDrDaja1VPPjTCBuazDBRxKbbhysDx6+0pBxUissVWmAzc&#10;KcBmPXlYYWFl4E/qD7FSCcKhQAN1jF2hdShrchhm0hEn7yLeYUzSV9p6HBLctXqRZS/aYcNpocaO&#10;djWV18PNGXDjXfrvkL+edjc/iOzRn+OHMY/TcbsEFWmM/+G/9rs18Jwv4PdMOgJ6/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FAJTcMAAADcAAAADwAAAAAAAAAAAAAAAACf&#10;AgAAZHJzL2Rvd25yZXYueG1sUEsFBgAAAAAEAAQA9wAAAI8DAAAAAA==&#10;">
                  <v:imagedata r:id="rId437" o:title=""/>
                </v:shape>
                <v:shape id="Freeform 646" o:spid="_x0000_s1032" style="position:absolute;left:3117;top:25;width:617;height:752;visibility:visible;mso-wrap-style:square;v-text-anchor:top" coordsize="617,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lucMUA&#10;AADcAAAADwAAAGRycy9kb3ducmV2LnhtbESPT4vCMBTE7wt+h/AW9ramqyDSNYoILnvowT9VPD6a&#10;t2mxealNttZvbwTB4zAzv2Fmi97WoqPWV44VfA0TEMSF0xUbBfl+/TkF4QOyxtoxKbiRh8V88DbD&#10;VLsrb6nbBSMihH2KCsoQmlRKX5Rk0Q9dQxy9P9daDFG2RuoWrxFuazlKkom0WHFcKLGhVUnFefdv&#10;FZzz3Jyy27oLp6zLjuYw2ujLj1If7/3yG0SgPrzCz/avVjCejuFxJh4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W5wxQAAANwAAAAPAAAAAAAAAAAAAAAAAJgCAABkcnMv&#10;ZG93bnJldi54bWxQSwUGAAAAAAQABAD1AAAAigMAAAAA&#10;" path="m,l314,r40,2l391,10r34,13l456,39r27,23l505,85r18,27l534,140r8,29l544,201r-4,37l530,273r-16,29l491,329r-31,24l423,374r23,14l468,410r21,29l510,475,616,702,447,751,344,529,320,488,297,457,273,434,249,421r-23,-4l175,417r,306l,702,,xe" filled="f" strokeweight="0">
                  <v:path arrowok="t" o:connecttype="custom" o:connectlocs="0,0;314,0;354,2;391,10;425,23;456,39;483,62;505,85;523,112;534,140;542,169;544,201;540,238;530,273;514,302;491,329;460,353;423,374;446,388;468,410;489,439;510,475;616,702;447,751;344,529;320,488;297,457;273,434;249,421;226,417;175,417;175,723;0,702;0,0" o:connectangles="0,0,0,0,0,0,0,0,0,0,0,0,0,0,0,0,0,0,0,0,0,0,0,0,0,0,0,0,0,0,0,0,0,0"/>
                </v:shape>
                <v:shape id="Freeform 647" o:spid="_x0000_s1033" style="position:absolute;left:3800;top:25;width:176;height:724;visibility:visible;mso-wrap-style:square;v-text-anchor:top" coordsize="176,7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kSWsQA&#10;AADcAAAADwAAAGRycy9kb3ducmV2LnhtbESPT4vCMBTE7wv7HcJb8Lamq65INYooitf1D+Lt2Tzb&#10;ss1LSWJbv/1GEPY4zMxvmNmiM5VoyPnSsoKvfgKCOLO65FzB8bD5nIDwAVljZZkUPMjDYv7+NsNU&#10;25Z/qNmHXEQI+xQVFCHUqZQ+K8ig79uaOHo36wyGKF0utcM2wk0lB0kylgZLjgsF1rQqKPvd342C&#10;zXedDM9bdx2Prqd1d2mWgzu1SvU+uuUURKAu/Idf7Z1WMJyM4HkmHgE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ZElrEAAAA3AAAAA8AAAAAAAAAAAAAAAAAmAIAAGRycy9k&#10;b3ducmV2LnhtbFBLBQYAAAAABAAEAPUAAACJAwAAAAA=&#10;" path="m175,723l,702,,,175,r,723xe" fillcolor="black" stroked="f">
                  <v:path arrowok="t" o:connecttype="custom" o:connectlocs="175,723;0,702;0,0;175,0;175,723" o:connectangles="0,0,0,0,0"/>
                </v:shape>
                <v:shape id="Freeform 648" o:spid="_x0000_s1034" style="position:absolute;left:3800;top:25;width:176;height:724;visibility:visible;mso-wrap-style:square;v-text-anchor:top" coordsize="176,7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NRSsIA&#10;AADcAAAADwAAAGRycy9kb3ducmV2LnhtbESPQYvCMBSE74L/IbwFb5qu4iLVtCwLi/Vo14u3Z/O2&#10;LW1eahO1/nsjCB6HmfmG2aSDacWVeldbVvA5i0AQF1bXXCo4/P1OVyCcR9bYWiYFd3KQJuPRBmNt&#10;b7yna+5LESDsYlRQed/FUrqiIoNuZjvi4P3b3qAPsi+l7vEW4KaV8yj6kgZrDgsVdvRTUdHkF6Mg&#10;i46Zvs9R68V2OJvDrmnyU6PU5GP4XoPwNPh3+NXOtILFagnPM+EIyO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A1FKwgAAANwAAAAPAAAAAAAAAAAAAAAAAJgCAABkcnMvZG93&#10;bnJldi54bWxQSwUGAAAAAAQABAD1AAAAhwMAAAAA&#10;" path="m,l175,r,723l,702,,xe" filled="f" strokeweight="0">
                  <v:path arrowok="t" o:connecttype="custom" o:connectlocs="0,0;175,0;175,723;0,702;0,0" o:connectangles="0,0,0,0,0"/>
                </v:shape>
                <w10:wrap anchorx="page"/>
              </v:group>
            </w:pict>
          </mc:Fallback>
        </mc:AlternateContent>
      </w:r>
      <w:r>
        <w:rPr>
          <w:noProof/>
        </w:rPr>
        <mc:AlternateContent>
          <mc:Choice Requires="wpg">
            <w:drawing>
              <wp:anchor distT="0" distB="0" distL="114300" distR="114300" simplePos="0" relativeHeight="251714048" behindDoc="0" locked="0" layoutInCell="0" allowOverlap="1">
                <wp:simplePos x="0" y="0"/>
                <wp:positionH relativeFrom="page">
                  <wp:posOffset>2592705</wp:posOffset>
                </wp:positionH>
                <wp:positionV relativeFrom="paragraph">
                  <wp:posOffset>13970</wp:posOffset>
                </wp:positionV>
                <wp:extent cx="1090930" cy="111125"/>
                <wp:effectExtent l="0" t="0" r="0" b="0"/>
                <wp:wrapNone/>
                <wp:docPr id="332" name="Group 6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0930" cy="111125"/>
                          <a:chOff x="4083" y="22"/>
                          <a:chExt cx="1718" cy="175"/>
                        </a:xfrm>
                      </wpg:grpSpPr>
                      <wpg:grpSp>
                        <wpg:cNvPr id="333" name="Group 650"/>
                        <wpg:cNvGrpSpPr>
                          <a:grpSpLocks/>
                        </wpg:cNvGrpSpPr>
                        <wpg:grpSpPr bwMode="auto">
                          <a:xfrm>
                            <a:off x="4083" y="33"/>
                            <a:ext cx="158" cy="154"/>
                            <a:chOff x="4083" y="33"/>
                            <a:chExt cx="158" cy="154"/>
                          </a:xfrm>
                        </wpg:grpSpPr>
                        <wps:wsp>
                          <wps:cNvPr id="334" name="Freeform 651"/>
                          <wps:cNvSpPr>
                            <a:spLocks/>
                          </wps:cNvSpPr>
                          <wps:spPr bwMode="auto">
                            <a:xfrm>
                              <a:off x="4083" y="33"/>
                              <a:ext cx="158" cy="154"/>
                            </a:xfrm>
                            <a:custGeom>
                              <a:avLst/>
                              <a:gdLst>
                                <a:gd name="T0" fmla="*/ 19 w 158"/>
                                <a:gd name="T1" fmla="*/ 153 h 154"/>
                                <a:gd name="T2" fmla="*/ 0 w 158"/>
                                <a:gd name="T3" fmla="*/ 153 h 154"/>
                                <a:gd name="T4" fmla="*/ 11 w 158"/>
                                <a:gd name="T5" fmla="*/ 0 h 154"/>
                                <a:gd name="T6" fmla="*/ 35 w 158"/>
                                <a:gd name="T7" fmla="*/ 0 h 154"/>
                                <a:gd name="T8" fmla="*/ 42 w 158"/>
                                <a:gd name="T9" fmla="*/ 19 h 154"/>
                                <a:gd name="T10" fmla="*/ 25 w 158"/>
                                <a:gd name="T11" fmla="*/ 19 h 154"/>
                                <a:gd name="T12" fmla="*/ 25 w 158"/>
                                <a:gd name="T13" fmla="*/ 40 h 154"/>
                                <a:gd name="T14" fmla="*/ 24 w 158"/>
                                <a:gd name="T15" fmla="*/ 63 h 154"/>
                                <a:gd name="T16" fmla="*/ 23 w 158"/>
                                <a:gd name="T17" fmla="*/ 88 h 154"/>
                                <a:gd name="T18" fmla="*/ 19 w 158"/>
                                <a:gd name="T19" fmla="*/ 153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8" h="154">
                                  <a:moveTo>
                                    <a:pt x="19" y="153"/>
                                  </a:moveTo>
                                  <a:lnTo>
                                    <a:pt x="0" y="153"/>
                                  </a:lnTo>
                                  <a:lnTo>
                                    <a:pt x="11" y="0"/>
                                  </a:lnTo>
                                  <a:lnTo>
                                    <a:pt x="35" y="0"/>
                                  </a:lnTo>
                                  <a:lnTo>
                                    <a:pt x="42" y="19"/>
                                  </a:lnTo>
                                  <a:lnTo>
                                    <a:pt x="25" y="19"/>
                                  </a:lnTo>
                                  <a:lnTo>
                                    <a:pt x="25" y="40"/>
                                  </a:lnTo>
                                  <a:lnTo>
                                    <a:pt x="24" y="63"/>
                                  </a:lnTo>
                                  <a:lnTo>
                                    <a:pt x="23" y="88"/>
                                  </a:lnTo>
                                  <a:lnTo>
                                    <a:pt x="19" y="1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5" name="Freeform 652"/>
                          <wps:cNvSpPr>
                            <a:spLocks/>
                          </wps:cNvSpPr>
                          <wps:spPr bwMode="auto">
                            <a:xfrm>
                              <a:off x="4083" y="33"/>
                              <a:ext cx="158" cy="154"/>
                            </a:xfrm>
                            <a:custGeom>
                              <a:avLst/>
                              <a:gdLst>
                                <a:gd name="T0" fmla="*/ 93 w 158"/>
                                <a:gd name="T1" fmla="*/ 126 h 154"/>
                                <a:gd name="T2" fmla="*/ 78 w 158"/>
                                <a:gd name="T3" fmla="*/ 126 h 154"/>
                                <a:gd name="T4" fmla="*/ 85 w 158"/>
                                <a:gd name="T5" fmla="*/ 100 h 154"/>
                                <a:gd name="T6" fmla="*/ 94 w 158"/>
                                <a:gd name="T7" fmla="*/ 74 h 154"/>
                                <a:gd name="T8" fmla="*/ 122 w 158"/>
                                <a:gd name="T9" fmla="*/ 0 h 154"/>
                                <a:gd name="T10" fmla="*/ 148 w 158"/>
                                <a:gd name="T11" fmla="*/ 0 h 154"/>
                                <a:gd name="T12" fmla="*/ 149 w 158"/>
                                <a:gd name="T13" fmla="*/ 19 h 154"/>
                                <a:gd name="T14" fmla="*/ 131 w 158"/>
                                <a:gd name="T15" fmla="*/ 19 h 154"/>
                                <a:gd name="T16" fmla="*/ 122 w 158"/>
                                <a:gd name="T17" fmla="*/ 47 h 154"/>
                                <a:gd name="T18" fmla="*/ 111 w 158"/>
                                <a:gd name="T19" fmla="*/ 77 h 154"/>
                                <a:gd name="T20" fmla="*/ 93 w 158"/>
                                <a:gd name="T21" fmla="*/ 126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58" h="154">
                                  <a:moveTo>
                                    <a:pt x="93" y="126"/>
                                  </a:moveTo>
                                  <a:lnTo>
                                    <a:pt x="78" y="126"/>
                                  </a:lnTo>
                                  <a:lnTo>
                                    <a:pt x="85" y="100"/>
                                  </a:lnTo>
                                  <a:lnTo>
                                    <a:pt x="94" y="74"/>
                                  </a:lnTo>
                                  <a:lnTo>
                                    <a:pt x="122" y="0"/>
                                  </a:lnTo>
                                  <a:lnTo>
                                    <a:pt x="148" y="0"/>
                                  </a:lnTo>
                                  <a:lnTo>
                                    <a:pt x="149" y="19"/>
                                  </a:lnTo>
                                  <a:lnTo>
                                    <a:pt x="131" y="19"/>
                                  </a:lnTo>
                                  <a:lnTo>
                                    <a:pt x="122" y="47"/>
                                  </a:lnTo>
                                  <a:lnTo>
                                    <a:pt x="111" y="77"/>
                                  </a:lnTo>
                                  <a:lnTo>
                                    <a:pt x="93" y="1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6" name="Freeform 653"/>
                          <wps:cNvSpPr>
                            <a:spLocks/>
                          </wps:cNvSpPr>
                          <wps:spPr bwMode="auto">
                            <a:xfrm>
                              <a:off x="4083" y="33"/>
                              <a:ext cx="158" cy="154"/>
                            </a:xfrm>
                            <a:custGeom>
                              <a:avLst/>
                              <a:gdLst>
                                <a:gd name="T0" fmla="*/ 84 w 158"/>
                                <a:gd name="T1" fmla="*/ 153 h 154"/>
                                <a:gd name="T2" fmla="*/ 69 w 158"/>
                                <a:gd name="T3" fmla="*/ 153 h 154"/>
                                <a:gd name="T4" fmla="*/ 44 w 158"/>
                                <a:gd name="T5" fmla="*/ 79 h 154"/>
                                <a:gd name="T6" fmla="*/ 34 w 158"/>
                                <a:gd name="T7" fmla="*/ 48 h 154"/>
                                <a:gd name="T8" fmla="*/ 26 w 158"/>
                                <a:gd name="T9" fmla="*/ 19 h 154"/>
                                <a:gd name="T10" fmla="*/ 42 w 158"/>
                                <a:gd name="T11" fmla="*/ 19 h 154"/>
                                <a:gd name="T12" fmla="*/ 62 w 158"/>
                                <a:gd name="T13" fmla="*/ 74 h 154"/>
                                <a:gd name="T14" fmla="*/ 71 w 158"/>
                                <a:gd name="T15" fmla="*/ 100 h 154"/>
                                <a:gd name="T16" fmla="*/ 78 w 158"/>
                                <a:gd name="T17" fmla="*/ 126 h 154"/>
                                <a:gd name="T18" fmla="*/ 93 w 158"/>
                                <a:gd name="T19" fmla="*/ 126 h 154"/>
                                <a:gd name="T20" fmla="*/ 84 w 158"/>
                                <a:gd name="T21" fmla="*/ 153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58" h="154">
                                  <a:moveTo>
                                    <a:pt x="84" y="153"/>
                                  </a:moveTo>
                                  <a:lnTo>
                                    <a:pt x="69" y="153"/>
                                  </a:lnTo>
                                  <a:lnTo>
                                    <a:pt x="44" y="79"/>
                                  </a:lnTo>
                                  <a:lnTo>
                                    <a:pt x="34" y="48"/>
                                  </a:lnTo>
                                  <a:lnTo>
                                    <a:pt x="26" y="19"/>
                                  </a:lnTo>
                                  <a:lnTo>
                                    <a:pt x="42" y="19"/>
                                  </a:lnTo>
                                  <a:lnTo>
                                    <a:pt x="62" y="74"/>
                                  </a:lnTo>
                                  <a:lnTo>
                                    <a:pt x="71" y="100"/>
                                  </a:lnTo>
                                  <a:lnTo>
                                    <a:pt x="78" y="126"/>
                                  </a:lnTo>
                                  <a:lnTo>
                                    <a:pt x="93" y="126"/>
                                  </a:lnTo>
                                  <a:lnTo>
                                    <a:pt x="84" y="1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7" name="Freeform 654"/>
                          <wps:cNvSpPr>
                            <a:spLocks/>
                          </wps:cNvSpPr>
                          <wps:spPr bwMode="auto">
                            <a:xfrm>
                              <a:off x="4083" y="33"/>
                              <a:ext cx="158" cy="154"/>
                            </a:xfrm>
                            <a:custGeom>
                              <a:avLst/>
                              <a:gdLst>
                                <a:gd name="T0" fmla="*/ 157 w 158"/>
                                <a:gd name="T1" fmla="*/ 153 h 154"/>
                                <a:gd name="T2" fmla="*/ 138 w 158"/>
                                <a:gd name="T3" fmla="*/ 153 h 154"/>
                                <a:gd name="T4" fmla="*/ 134 w 158"/>
                                <a:gd name="T5" fmla="*/ 85 h 154"/>
                                <a:gd name="T6" fmla="*/ 133 w 158"/>
                                <a:gd name="T7" fmla="*/ 63 h 154"/>
                                <a:gd name="T8" fmla="*/ 131 w 158"/>
                                <a:gd name="T9" fmla="*/ 40 h 154"/>
                                <a:gd name="T10" fmla="*/ 131 w 158"/>
                                <a:gd name="T11" fmla="*/ 19 h 154"/>
                                <a:gd name="T12" fmla="*/ 149 w 158"/>
                                <a:gd name="T13" fmla="*/ 19 h 154"/>
                                <a:gd name="T14" fmla="*/ 157 w 158"/>
                                <a:gd name="T15" fmla="*/ 153 h 15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58" h="154">
                                  <a:moveTo>
                                    <a:pt x="157" y="153"/>
                                  </a:moveTo>
                                  <a:lnTo>
                                    <a:pt x="138" y="153"/>
                                  </a:lnTo>
                                  <a:lnTo>
                                    <a:pt x="134" y="85"/>
                                  </a:lnTo>
                                  <a:lnTo>
                                    <a:pt x="133" y="63"/>
                                  </a:lnTo>
                                  <a:lnTo>
                                    <a:pt x="131" y="40"/>
                                  </a:lnTo>
                                  <a:lnTo>
                                    <a:pt x="131" y="19"/>
                                  </a:lnTo>
                                  <a:lnTo>
                                    <a:pt x="149" y="19"/>
                                  </a:lnTo>
                                  <a:lnTo>
                                    <a:pt x="157" y="1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38" name="Freeform 655"/>
                        <wps:cNvSpPr>
                          <a:spLocks/>
                        </wps:cNvSpPr>
                        <wps:spPr bwMode="auto">
                          <a:xfrm>
                            <a:off x="4083" y="33"/>
                            <a:ext cx="158" cy="154"/>
                          </a:xfrm>
                          <a:custGeom>
                            <a:avLst/>
                            <a:gdLst>
                              <a:gd name="T0" fmla="*/ 11 w 158"/>
                              <a:gd name="T1" fmla="*/ 0 h 154"/>
                              <a:gd name="T2" fmla="*/ 35 w 158"/>
                              <a:gd name="T3" fmla="*/ 0 h 154"/>
                              <a:gd name="T4" fmla="*/ 62 w 158"/>
                              <a:gd name="T5" fmla="*/ 74 h 154"/>
                              <a:gd name="T6" fmla="*/ 71 w 158"/>
                              <a:gd name="T7" fmla="*/ 100 h 154"/>
                              <a:gd name="T8" fmla="*/ 78 w 158"/>
                              <a:gd name="T9" fmla="*/ 126 h 154"/>
                              <a:gd name="T10" fmla="*/ 85 w 158"/>
                              <a:gd name="T11" fmla="*/ 100 h 154"/>
                              <a:gd name="T12" fmla="*/ 94 w 158"/>
                              <a:gd name="T13" fmla="*/ 74 h 154"/>
                              <a:gd name="T14" fmla="*/ 122 w 158"/>
                              <a:gd name="T15" fmla="*/ 0 h 154"/>
                              <a:gd name="T16" fmla="*/ 148 w 158"/>
                              <a:gd name="T17" fmla="*/ 0 h 154"/>
                              <a:gd name="T18" fmla="*/ 157 w 158"/>
                              <a:gd name="T19" fmla="*/ 153 h 154"/>
                              <a:gd name="T20" fmla="*/ 138 w 158"/>
                              <a:gd name="T21" fmla="*/ 153 h 154"/>
                              <a:gd name="T22" fmla="*/ 134 w 158"/>
                              <a:gd name="T23" fmla="*/ 85 h 154"/>
                              <a:gd name="T24" fmla="*/ 133 w 158"/>
                              <a:gd name="T25" fmla="*/ 63 h 154"/>
                              <a:gd name="T26" fmla="*/ 131 w 158"/>
                              <a:gd name="T27" fmla="*/ 40 h 154"/>
                              <a:gd name="T28" fmla="*/ 131 w 158"/>
                              <a:gd name="T29" fmla="*/ 19 h 154"/>
                              <a:gd name="T30" fmla="*/ 122 w 158"/>
                              <a:gd name="T31" fmla="*/ 47 h 154"/>
                              <a:gd name="T32" fmla="*/ 111 w 158"/>
                              <a:gd name="T33" fmla="*/ 77 h 154"/>
                              <a:gd name="T34" fmla="*/ 84 w 158"/>
                              <a:gd name="T35" fmla="*/ 153 h 154"/>
                              <a:gd name="T36" fmla="*/ 69 w 158"/>
                              <a:gd name="T37" fmla="*/ 153 h 154"/>
                              <a:gd name="T38" fmla="*/ 44 w 158"/>
                              <a:gd name="T39" fmla="*/ 79 h 154"/>
                              <a:gd name="T40" fmla="*/ 34 w 158"/>
                              <a:gd name="T41" fmla="*/ 48 h 154"/>
                              <a:gd name="T42" fmla="*/ 26 w 158"/>
                              <a:gd name="T43" fmla="*/ 19 h 154"/>
                              <a:gd name="T44" fmla="*/ 25 w 158"/>
                              <a:gd name="T45" fmla="*/ 19 h 154"/>
                              <a:gd name="T46" fmla="*/ 25 w 158"/>
                              <a:gd name="T47" fmla="*/ 40 h 154"/>
                              <a:gd name="T48" fmla="*/ 24 w 158"/>
                              <a:gd name="T49" fmla="*/ 63 h 154"/>
                              <a:gd name="T50" fmla="*/ 23 w 158"/>
                              <a:gd name="T51" fmla="*/ 88 h 154"/>
                              <a:gd name="T52" fmla="*/ 19 w 158"/>
                              <a:gd name="T53" fmla="*/ 153 h 154"/>
                              <a:gd name="T54" fmla="*/ 0 w 158"/>
                              <a:gd name="T55" fmla="*/ 153 h 154"/>
                              <a:gd name="T56" fmla="*/ 11 w 158"/>
                              <a:gd name="T57" fmla="*/ 0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58" h="154">
                                <a:moveTo>
                                  <a:pt x="11" y="0"/>
                                </a:moveTo>
                                <a:lnTo>
                                  <a:pt x="35" y="0"/>
                                </a:lnTo>
                                <a:lnTo>
                                  <a:pt x="62" y="74"/>
                                </a:lnTo>
                                <a:lnTo>
                                  <a:pt x="71" y="100"/>
                                </a:lnTo>
                                <a:lnTo>
                                  <a:pt x="78" y="126"/>
                                </a:lnTo>
                                <a:lnTo>
                                  <a:pt x="85" y="100"/>
                                </a:lnTo>
                                <a:lnTo>
                                  <a:pt x="94" y="74"/>
                                </a:lnTo>
                                <a:lnTo>
                                  <a:pt x="122" y="0"/>
                                </a:lnTo>
                                <a:lnTo>
                                  <a:pt x="148" y="0"/>
                                </a:lnTo>
                                <a:lnTo>
                                  <a:pt x="157" y="153"/>
                                </a:lnTo>
                                <a:lnTo>
                                  <a:pt x="138" y="153"/>
                                </a:lnTo>
                                <a:lnTo>
                                  <a:pt x="134" y="85"/>
                                </a:lnTo>
                                <a:lnTo>
                                  <a:pt x="133" y="63"/>
                                </a:lnTo>
                                <a:lnTo>
                                  <a:pt x="131" y="40"/>
                                </a:lnTo>
                                <a:lnTo>
                                  <a:pt x="131" y="19"/>
                                </a:lnTo>
                                <a:lnTo>
                                  <a:pt x="122" y="47"/>
                                </a:lnTo>
                                <a:lnTo>
                                  <a:pt x="111" y="77"/>
                                </a:lnTo>
                                <a:lnTo>
                                  <a:pt x="84" y="153"/>
                                </a:lnTo>
                                <a:lnTo>
                                  <a:pt x="69" y="153"/>
                                </a:lnTo>
                                <a:lnTo>
                                  <a:pt x="44" y="79"/>
                                </a:lnTo>
                                <a:lnTo>
                                  <a:pt x="34" y="48"/>
                                </a:lnTo>
                                <a:lnTo>
                                  <a:pt x="26" y="19"/>
                                </a:lnTo>
                                <a:lnTo>
                                  <a:pt x="25" y="19"/>
                                </a:lnTo>
                                <a:lnTo>
                                  <a:pt x="25" y="40"/>
                                </a:lnTo>
                                <a:lnTo>
                                  <a:pt x="24" y="63"/>
                                </a:lnTo>
                                <a:lnTo>
                                  <a:pt x="23" y="88"/>
                                </a:lnTo>
                                <a:lnTo>
                                  <a:pt x="19" y="153"/>
                                </a:lnTo>
                                <a:lnTo>
                                  <a:pt x="0" y="153"/>
                                </a:lnTo>
                                <a:lnTo>
                                  <a:pt x="11"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39" name="Group 656"/>
                        <wpg:cNvGrpSpPr>
                          <a:grpSpLocks/>
                        </wpg:cNvGrpSpPr>
                        <wpg:grpSpPr bwMode="auto">
                          <a:xfrm>
                            <a:off x="4263" y="33"/>
                            <a:ext cx="130" cy="154"/>
                            <a:chOff x="4263" y="33"/>
                            <a:chExt cx="130" cy="154"/>
                          </a:xfrm>
                        </wpg:grpSpPr>
                        <wps:wsp>
                          <wps:cNvPr id="340" name="Freeform 657"/>
                          <wps:cNvSpPr>
                            <a:spLocks/>
                          </wps:cNvSpPr>
                          <wps:spPr bwMode="auto">
                            <a:xfrm>
                              <a:off x="4263" y="33"/>
                              <a:ext cx="130" cy="154"/>
                            </a:xfrm>
                            <a:custGeom>
                              <a:avLst/>
                              <a:gdLst>
                                <a:gd name="T0" fmla="*/ 20 w 130"/>
                                <a:gd name="T1" fmla="*/ 153 h 154"/>
                                <a:gd name="T2" fmla="*/ 0 w 130"/>
                                <a:gd name="T3" fmla="*/ 153 h 154"/>
                                <a:gd name="T4" fmla="*/ 52 w 130"/>
                                <a:gd name="T5" fmla="*/ 0 h 154"/>
                                <a:gd name="T6" fmla="*/ 76 w 130"/>
                                <a:gd name="T7" fmla="*/ 0 h 154"/>
                                <a:gd name="T8" fmla="*/ 82 w 130"/>
                                <a:gd name="T9" fmla="*/ 17 h 154"/>
                                <a:gd name="T10" fmla="*/ 63 w 130"/>
                                <a:gd name="T11" fmla="*/ 17 h 154"/>
                                <a:gd name="T12" fmla="*/ 56 w 130"/>
                                <a:gd name="T13" fmla="*/ 44 h 154"/>
                                <a:gd name="T14" fmla="*/ 40 w 130"/>
                                <a:gd name="T15" fmla="*/ 89 h 154"/>
                                <a:gd name="T16" fmla="*/ 107 w 130"/>
                                <a:gd name="T17" fmla="*/ 89 h 154"/>
                                <a:gd name="T18" fmla="*/ 112 w 130"/>
                                <a:gd name="T19" fmla="*/ 104 h 154"/>
                                <a:gd name="T20" fmla="*/ 37 w 130"/>
                                <a:gd name="T21" fmla="*/ 104 h 154"/>
                                <a:gd name="T22" fmla="*/ 20 w 130"/>
                                <a:gd name="T23" fmla="*/ 153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30" h="154">
                                  <a:moveTo>
                                    <a:pt x="20" y="153"/>
                                  </a:moveTo>
                                  <a:lnTo>
                                    <a:pt x="0" y="153"/>
                                  </a:lnTo>
                                  <a:lnTo>
                                    <a:pt x="52" y="0"/>
                                  </a:lnTo>
                                  <a:lnTo>
                                    <a:pt x="76" y="0"/>
                                  </a:lnTo>
                                  <a:lnTo>
                                    <a:pt x="82" y="17"/>
                                  </a:lnTo>
                                  <a:lnTo>
                                    <a:pt x="63" y="17"/>
                                  </a:lnTo>
                                  <a:lnTo>
                                    <a:pt x="56" y="44"/>
                                  </a:lnTo>
                                  <a:lnTo>
                                    <a:pt x="40" y="89"/>
                                  </a:lnTo>
                                  <a:lnTo>
                                    <a:pt x="107" y="89"/>
                                  </a:lnTo>
                                  <a:lnTo>
                                    <a:pt x="112" y="104"/>
                                  </a:lnTo>
                                  <a:lnTo>
                                    <a:pt x="37" y="104"/>
                                  </a:lnTo>
                                  <a:lnTo>
                                    <a:pt x="20" y="1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1" name="Freeform 658"/>
                          <wps:cNvSpPr>
                            <a:spLocks/>
                          </wps:cNvSpPr>
                          <wps:spPr bwMode="auto">
                            <a:xfrm>
                              <a:off x="4263" y="33"/>
                              <a:ext cx="130" cy="154"/>
                            </a:xfrm>
                            <a:custGeom>
                              <a:avLst/>
                              <a:gdLst>
                                <a:gd name="T0" fmla="*/ 107 w 130"/>
                                <a:gd name="T1" fmla="*/ 89 h 154"/>
                                <a:gd name="T2" fmla="*/ 86 w 130"/>
                                <a:gd name="T3" fmla="*/ 89 h 154"/>
                                <a:gd name="T4" fmla="*/ 71 w 130"/>
                                <a:gd name="T5" fmla="*/ 46 h 154"/>
                                <a:gd name="T6" fmla="*/ 67 w 130"/>
                                <a:gd name="T7" fmla="*/ 30 h 154"/>
                                <a:gd name="T8" fmla="*/ 63 w 130"/>
                                <a:gd name="T9" fmla="*/ 17 h 154"/>
                                <a:gd name="T10" fmla="*/ 82 w 130"/>
                                <a:gd name="T11" fmla="*/ 17 h 154"/>
                                <a:gd name="T12" fmla="*/ 107 w 130"/>
                                <a:gd name="T13" fmla="*/ 89 h 154"/>
                              </a:gdLst>
                              <a:ahLst/>
                              <a:cxnLst>
                                <a:cxn ang="0">
                                  <a:pos x="T0" y="T1"/>
                                </a:cxn>
                                <a:cxn ang="0">
                                  <a:pos x="T2" y="T3"/>
                                </a:cxn>
                                <a:cxn ang="0">
                                  <a:pos x="T4" y="T5"/>
                                </a:cxn>
                                <a:cxn ang="0">
                                  <a:pos x="T6" y="T7"/>
                                </a:cxn>
                                <a:cxn ang="0">
                                  <a:pos x="T8" y="T9"/>
                                </a:cxn>
                                <a:cxn ang="0">
                                  <a:pos x="T10" y="T11"/>
                                </a:cxn>
                                <a:cxn ang="0">
                                  <a:pos x="T12" y="T13"/>
                                </a:cxn>
                              </a:cxnLst>
                              <a:rect l="0" t="0" r="r" b="b"/>
                              <a:pathLst>
                                <a:path w="130" h="154">
                                  <a:moveTo>
                                    <a:pt x="107" y="89"/>
                                  </a:moveTo>
                                  <a:lnTo>
                                    <a:pt x="86" y="89"/>
                                  </a:lnTo>
                                  <a:lnTo>
                                    <a:pt x="71" y="46"/>
                                  </a:lnTo>
                                  <a:lnTo>
                                    <a:pt x="67" y="30"/>
                                  </a:lnTo>
                                  <a:lnTo>
                                    <a:pt x="63" y="17"/>
                                  </a:lnTo>
                                  <a:lnTo>
                                    <a:pt x="82" y="17"/>
                                  </a:lnTo>
                                  <a:lnTo>
                                    <a:pt x="107" y="8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2" name="Freeform 659"/>
                          <wps:cNvSpPr>
                            <a:spLocks/>
                          </wps:cNvSpPr>
                          <wps:spPr bwMode="auto">
                            <a:xfrm>
                              <a:off x="4263" y="33"/>
                              <a:ext cx="130" cy="154"/>
                            </a:xfrm>
                            <a:custGeom>
                              <a:avLst/>
                              <a:gdLst>
                                <a:gd name="T0" fmla="*/ 129 w 130"/>
                                <a:gd name="T1" fmla="*/ 153 h 154"/>
                                <a:gd name="T2" fmla="*/ 108 w 130"/>
                                <a:gd name="T3" fmla="*/ 153 h 154"/>
                                <a:gd name="T4" fmla="*/ 92 w 130"/>
                                <a:gd name="T5" fmla="*/ 104 h 154"/>
                                <a:gd name="T6" fmla="*/ 112 w 130"/>
                                <a:gd name="T7" fmla="*/ 104 h 154"/>
                                <a:gd name="T8" fmla="*/ 129 w 130"/>
                                <a:gd name="T9" fmla="*/ 153 h 154"/>
                              </a:gdLst>
                              <a:ahLst/>
                              <a:cxnLst>
                                <a:cxn ang="0">
                                  <a:pos x="T0" y="T1"/>
                                </a:cxn>
                                <a:cxn ang="0">
                                  <a:pos x="T2" y="T3"/>
                                </a:cxn>
                                <a:cxn ang="0">
                                  <a:pos x="T4" y="T5"/>
                                </a:cxn>
                                <a:cxn ang="0">
                                  <a:pos x="T6" y="T7"/>
                                </a:cxn>
                                <a:cxn ang="0">
                                  <a:pos x="T8" y="T9"/>
                                </a:cxn>
                              </a:cxnLst>
                              <a:rect l="0" t="0" r="r" b="b"/>
                              <a:pathLst>
                                <a:path w="130" h="154">
                                  <a:moveTo>
                                    <a:pt x="129" y="153"/>
                                  </a:moveTo>
                                  <a:lnTo>
                                    <a:pt x="108" y="153"/>
                                  </a:lnTo>
                                  <a:lnTo>
                                    <a:pt x="92" y="104"/>
                                  </a:lnTo>
                                  <a:lnTo>
                                    <a:pt x="112" y="104"/>
                                  </a:lnTo>
                                  <a:lnTo>
                                    <a:pt x="129" y="1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3" name="Group 660"/>
                        <wpg:cNvGrpSpPr>
                          <a:grpSpLocks/>
                        </wpg:cNvGrpSpPr>
                        <wpg:grpSpPr bwMode="auto">
                          <a:xfrm>
                            <a:off x="-1000" y="13000"/>
                            <a:ext cx="2020" cy="2400"/>
                            <a:chOff x="-1000" y="13000"/>
                            <a:chExt cx="2020" cy="2400"/>
                          </a:xfrm>
                        </wpg:grpSpPr>
                        <wps:wsp>
                          <wps:cNvPr id="344" name="Freeform 661"/>
                          <wps:cNvSpPr>
                            <a:spLocks/>
                          </wps:cNvSpPr>
                          <wps:spPr bwMode="auto">
                            <a:xfrm>
                              <a:off x="-1000" y="13000"/>
                              <a:ext cx="2020" cy="2400"/>
                            </a:xfrm>
                            <a:custGeom>
                              <a:avLst/>
                              <a:gdLst>
                                <a:gd name="T0" fmla="*/ 5327 w 2020"/>
                                <a:gd name="T1" fmla="*/ -12948 h 2400"/>
                                <a:gd name="T2" fmla="*/ 5319 w 2020"/>
                                <a:gd name="T3" fmla="*/ -12922 h 2400"/>
                                <a:gd name="T4" fmla="*/ 5304 w 2020"/>
                                <a:gd name="T5" fmla="*/ -12877 h 2400"/>
                                <a:gd name="T6" fmla="*/ 5350 w 2020"/>
                                <a:gd name="T7" fmla="*/ -12877 h 2400"/>
                                <a:gd name="T8" fmla="*/ 5335 w 2020"/>
                                <a:gd name="T9" fmla="*/ -12920 h 2400"/>
                                <a:gd name="T10" fmla="*/ 5331 w 2020"/>
                                <a:gd name="T11" fmla="*/ -12936 h 2400"/>
                                <a:gd name="T12" fmla="*/ 5327 w 2020"/>
                                <a:gd name="T13" fmla="*/ -12948 h 2400"/>
                              </a:gdLst>
                              <a:ahLst/>
                              <a:cxnLst>
                                <a:cxn ang="0">
                                  <a:pos x="T0" y="T1"/>
                                </a:cxn>
                                <a:cxn ang="0">
                                  <a:pos x="T2" y="T3"/>
                                </a:cxn>
                                <a:cxn ang="0">
                                  <a:pos x="T4" y="T5"/>
                                </a:cxn>
                                <a:cxn ang="0">
                                  <a:pos x="T6" y="T7"/>
                                </a:cxn>
                                <a:cxn ang="0">
                                  <a:pos x="T8" y="T9"/>
                                </a:cxn>
                                <a:cxn ang="0">
                                  <a:pos x="T10" y="T11"/>
                                </a:cxn>
                                <a:cxn ang="0">
                                  <a:pos x="T12" y="T13"/>
                                </a:cxn>
                              </a:cxnLst>
                              <a:rect l="0" t="0" r="r" b="b"/>
                              <a:pathLst>
                                <a:path w="2020" h="2400">
                                  <a:moveTo>
                                    <a:pt x="5327" y="-12948"/>
                                  </a:moveTo>
                                  <a:lnTo>
                                    <a:pt x="5319" y="-12922"/>
                                  </a:lnTo>
                                  <a:lnTo>
                                    <a:pt x="5304" y="-12877"/>
                                  </a:lnTo>
                                  <a:lnTo>
                                    <a:pt x="5350" y="-12877"/>
                                  </a:lnTo>
                                  <a:lnTo>
                                    <a:pt x="5335" y="-12920"/>
                                  </a:lnTo>
                                  <a:lnTo>
                                    <a:pt x="5331" y="-12936"/>
                                  </a:lnTo>
                                  <a:lnTo>
                                    <a:pt x="5327" y="-12948"/>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5" name="Freeform 662"/>
                          <wps:cNvSpPr>
                            <a:spLocks/>
                          </wps:cNvSpPr>
                          <wps:spPr bwMode="auto">
                            <a:xfrm>
                              <a:off x="-1000" y="13000"/>
                              <a:ext cx="2020" cy="2400"/>
                            </a:xfrm>
                            <a:custGeom>
                              <a:avLst/>
                              <a:gdLst>
                                <a:gd name="T0" fmla="*/ 5316 w 2020"/>
                                <a:gd name="T1" fmla="*/ -12966 h 2400"/>
                                <a:gd name="T2" fmla="*/ 5340 w 2020"/>
                                <a:gd name="T3" fmla="*/ -12966 h 2400"/>
                                <a:gd name="T4" fmla="*/ 5392 w 2020"/>
                                <a:gd name="T5" fmla="*/ -12813 h 2400"/>
                                <a:gd name="T6" fmla="*/ 5372 w 2020"/>
                                <a:gd name="T7" fmla="*/ -12813 h 2400"/>
                                <a:gd name="T8" fmla="*/ 5355 w 2020"/>
                                <a:gd name="T9" fmla="*/ -12861 h 2400"/>
                                <a:gd name="T10" fmla="*/ 5300 w 2020"/>
                                <a:gd name="T11" fmla="*/ -12861 h 2400"/>
                                <a:gd name="T12" fmla="*/ 5284 w 2020"/>
                                <a:gd name="T13" fmla="*/ -12813 h 2400"/>
                                <a:gd name="T14" fmla="*/ 5263 w 2020"/>
                                <a:gd name="T15" fmla="*/ -12813 h 2400"/>
                                <a:gd name="T16" fmla="*/ 5316 w 2020"/>
                                <a:gd name="T17" fmla="*/ -12966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20" h="2400">
                                  <a:moveTo>
                                    <a:pt x="5316" y="-12966"/>
                                  </a:moveTo>
                                  <a:lnTo>
                                    <a:pt x="5340" y="-12966"/>
                                  </a:lnTo>
                                  <a:lnTo>
                                    <a:pt x="5392" y="-12813"/>
                                  </a:lnTo>
                                  <a:lnTo>
                                    <a:pt x="5372" y="-12813"/>
                                  </a:lnTo>
                                  <a:lnTo>
                                    <a:pt x="5355" y="-12861"/>
                                  </a:lnTo>
                                  <a:lnTo>
                                    <a:pt x="5300" y="-12861"/>
                                  </a:lnTo>
                                  <a:lnTo>
                                    <a:pt x="5284" y="-12813"/>
                                  </a:lnTo>
                                  <a:lnTo>
                                    <a:pt x="5263" y="-12813"/>
                                  </a:lnTo>
                                  <a:lnTo>
                                    <a:pt x="5316" y="-12966"/>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6" name="Group 663"/>
                        <wpg:cNvGrpSpPr>
                          <a:grpSpLocks/>
                        </wpg:cNvGrpSpPr>
                        <wpg:grpSpPr bwMode="auto">
                          <a:xfrm>
                            <a:off x="4411" y="30"/>
                            <a:ext cx="94" cy="159"/>
                            <a:chOff x="4411" y="30"/>
                            <a:chExt cx="94" cy="159"/>
                          </a:xfrm>
                        </wpg:grpSpPr>
                        <wps:wsp>
                          <wps:cNvPr id="347" name="Freeform 664"/>
                          <wps:cNvSpPr>
                            <a:spLocks/>
                          </wps:cNvSpPr>
                          <wps:spPr bwMode="auto">
                            <a:xfrm>
                              <a:off x="4411" y="30"/>
                              <a:ext cx="94" cy="159"/>
                            </a:xfrm>
                            <a:custGeom>
                              <a:avLst/>
                              <a:gdLst>
                                <a:gd name="T0" fmla="*/ 82 w 94"/>
                                <a:gd name="T1" fmla="*/ 141 h 159"/>
                                <a:gd name="T2" fmla="*/ 40 w 94"/>
                                <a:gd name="T3" fmla="*/ 141 h 159"/>
                                <a:gd name="T4" fmla="*/ 54 w 94"/>
                                <a:gd name="T5" fmla="*/ 140 h 159"/>
                                <a:gd name="T6" fmla="*/ 65 w 94"/>
                                <a:gd name="T7" fmla="*/ 135 h 159"/>
                                <a:gd name="T8" fmla="*/ 71 w 94"/>
                                <a:gd name="T9" fmla="*/ 126 h 159"/>
                                <a:gd name="T10" fmla="*/ 72 w 94"/>
                                <a:gd name="T11" fmla="*/ 116 h 159"/>
                                <a:gd name="T12" fmla="*/ 70 w 94"/>
                                <a:gd name="T13" fmla="*/ 103 h 159"/>
                                <a:gd name="T14" fmla="*/ 61 w 94"/>
                                <a:gd name="T15" fmla="*/ 93 h 159"/>
                                <a:gd name="T16" fmla="*/ 44 w 94"/>
                                <a:gd name="T17" fmla="*/ 85 h 159"/>
                                <a:gd name="T18" fmla="*/ 26 w 94"/>
                                <a:gd name="T19" fmla="*/ 77 h 159"/>
                                <a:gd name="T20" fmla="*/ 14 w 94"/>
                                <a:gd name="T21" fmla="*/ 67 h 159"/>
                                <a:gd name="T22" fmla="*/ 6 w 94"/>
                                <a:gd name="T23" fmla="*/ 56 h 159"/>
                                <a:gd name="T24" fmla="*/ 3 w 94"/>
                                <a:gd name="T25" fmla="*/ 42 h 159"/>
                                <a:gd name="T26" fmla="*/ 6 w 94"/>
                                <a:gd name="T27" fmla="*/ 28 h 159"/>
                                <a:gd name="T28" fmla="*/ 12 w 94"/>
                                <a:gd name="T29" fmla="*/ 16 h 159"/>
                                <a:gd name="T30" fmla="*/ 23 w 94"/>
                                <a:gd name="T31" fmla="*/ 7 h 159"/>
                                <a:gd name="T32" fmla="*/ 37 w 94"/>
                                <a:gd name="T33" fmla="*/ 1 h 159"/>
                                <a:gd name="T34" fmla="*/ 53 w 94"/>
                                <a:gd name="T35" fmla="*/ 0 h 159"/>
                                <a:gd name="T36" fmla="*/ 67 w 94"/>
                                <a:gd name="T37" fmla="*/ 1 h 159"/>
                                <a:gd name="T38" fmla="*/ 79 w 94"/>
                                <a:gd name="T39" fmla="*/ 3 h 159"/>
                                <a:gd name="T40" fmla="*/ 86 w 94"/>
                                <a:gd name="T41" fmla="*/ 7 h 159"/>
                                <a:gd name="T42" fmla="*/ 83 w 94"/>
                                <a:gd name="T43" fmla="*/ 16 h 159"/>
                                <a:gd name="T44" fmla="*/ 52 w 94"/>
                                <a:gd name="T45" fmla="*/ 16 h 159"/>
                                <a:gd name="T46" fmla="*/ 39 w 94"/>
                                <a:gd name="T47" fmla="*/ 17 h 159"/>
                                <a:gd name="T48" fmla="*/ 30 w 94"/>
                                <a:gd name="T49" fmla="*/ 24 h 159"/>
                                <a:gd name="T50" fmla="*/ 25 w 94"/>
                                <a:gd name="T51" fmla="*/ 30 h 159"/>
                                <a:gd name="T52" fmla="*/ 24 w 94"/>
                                <a:gd name="T53" fmla="*/ 39 h 159"/>
                                <a:gd name="T54" fmla="*/ 25 w 94"/>
                                <a:gd name="T55" fmla="*/ 48 h 159"/>
                                <a:gd name="T56" fmla="*/ 30 w 94"/>
                                <a:gd name="T57" fmla="*/ 56 h 159"/>
                                <a:gd name="T58" fmla="*/ 40 w 94"/>
                                <a:gd name="T59" fmla="*/ 62 h 159"/>
                                <a:gd name="T60" fmla="*/ 53 w 94"/>
                                <a:gd name="T61" fmla="*/ 69 h 159"/>
                                <a:gd name="T62" fmla="*/ 71 w 94"/>
                                <a:gd name="T63" fmla="*/ 76 h 159"/>
                                <a:gd name="T64" fmla="*/ 83 w 94"/>
                                <a:gd name="T65" fmla="*/ 86 h 159"/>
                                <a:gd name="T66" fmla="*/ 90 w 94"/>
                                <a:gd name="T67" fmla="*/ 98 h 159"/>
                                <a:gd name="T68" fmla="*/ 93 w 94"/>
                                <a:gd name="T69" fmla="*/ 113 h 159"/>
                                <a:gd name="T70" fmla="*/ 90 w 94"/>
                                <a:gd name="T71" fmla="*/ 127 h 159"/>
                                <a:gd name="T72" fmla="*/ 84 w 94"/>
                                <a:gd name="T73" fmla="*/ 140 h 159"/>
                                <a:gd name="T74" fmla="*/ 82 w 94"/>
                                <a:gd name="T75" fmla="*/ 141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94" h="159">
                                  <a:moveTo>
                                    <a:pt x="82" y="141"/>
                                  </a:moveTo>
                                  <a:lnTo>
                                    <a:pt x="40" y="141"/>
                                  </a:lnTo>
                                  <a:lnTo>
                                    <a:pt x="54" y="140"/>
                                  </a:lnTo>
                                  <a:lnTo>
                                    <a:pt x="65" y="135"/>
                                  </a:lnTo>
                                  <a:lnTo>
                                    <a:pt x="71" y="126"/>
                                  </a:lnTo>
                                  <a:lnTo>
                                    <a:pt x="72" y="116"/>
                                  </a:lnTo>
                                  <a:lnTo>
                                    <a:pt x="70" y="103"/>
                                  </a:lnTo>
                                  <a:lnTo>
                                    <a:pt x="61" y="93"/>
                                  </a:lnTo>
                                  <a:lnTo>
                                    <a:pt x="44" y="85"/>
                                  </a:lnTo>
                                  <a:lnTo>
                                    <a:pt x="26" y="77"/>
                                  </a:lnTo>
                                  <a:lnTo>
                                    <a:pt x="14" y="67"/>
                                  </a:lnTo>
                                  <a:lnTo>
                                    <a:pt x="6" y="56"/>
                                  </a:lnTo>
                                  <a:lnTo>
                                    <a:pt x="3" y="42"/>
                                  </a:lnTo>
                                  <a:lnTo>
                                    <a:pt x="6" y="28"/>
                                  </a:lnTo>
                                  <a:lnTo>
                                    <a:pt x="12" y="16"/>
                                  </a:lnTo>
                                  <a:lnTo>
                                    <a:pt x="23" y="7"/>
                                  </a:lnTo>
                                  <a:lnTo>
                                    <a:pt x="37" y="1"/>
                                  </a:lnTo>
                                  <a:lnTo>
                                    <a:pt x="53" y="0"/>
                                  </a:lnTo>
                                  <a:lnTo>
                                    <a:pt x="67" y="1"/>
                                  </a:lnTo>
                                  <a:lnTo>
                                    <a:pt x="79" y="3"/>
                                  </a:lnTo>
                                  <a:lnTo>
                                    <a:pt x="86" y="7"/>
                                  </a:lnTo>
                                  <a:lnTo>
                                    <a:pt x="83" y="16"/>
                                  </a:lnTo>
                                  <a:lnTo>
                                    <a:pt x="52" y="16"/>
                                  </a:lnTo>
                                  <a:lnTo>
                                    <a:pt x="39" y="17"/>
                                  </a:lnTo>
                                  <a:lnTo>
                                    <a:pt x="30" y="24"/>
                                  </a:lnTo>
                                  <a:lnTo>
                                    <a:pt x="25" y="30"/>
                                  </a:lnTo>
                                  <a:lnTo>
                                    <a:pt x="24" y="39"/>
                                  </a:lnTo>
                                  <a:lnTo>
                                    <a:pt x="25" y="48"/>
                                  </a:lnTo>
                                  <a:lnTo>
                                    <a:pt x="30" y="56"/>
                                  </a:lnTo>
                                  <a:lnTo>
                                    <a:pt x="40" y="62"/>
                                  </a:lnTo>
                                  <a:lnTo>
                                    <a:pt x="53" y="69"/>
                                  </a:lnTo>
                                  <a:lnTo>
                                    <a:pt x="71" y="76"/>
                                  </a:lnTo>
                                  <a:lnTo>
                                    <a:pt x="83" y="86"/>
                                  </a:lnTo>
                                  <a:lnTo>
                                    <a:pt x="90" y="98"/>
                                  </a:lnTo>
                                  <a:lnTo>
                                    <a:pt x="93" y="113"/>
                                  </a:lnTo>
                                  <a:lnTo>
                                    <a:pt x="90" y="127"/>
                                  </a:lnTo>
                                  <a:lnTo>
                                    <a:pt x="84" y="140"/>
                                  </a:lnTo>
                                  <a:lnTo>
                                    <a:pt x="82" y="1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8" name="Freeform 665"/>
                          <wps:cNvSpPr>
                            <a:spLocks/>
                          </wps:cNvSpPr>
                          <wps:spPr bwMode="auto">
                            <a:xfrm>
                              <a:off x="4411" y="30"/>
                              <a:ext cx="94" cy="159"/>
                            </a:xfrm>
                            <a:custGeom>
                              <a:avLst/>
                              <a:gdLst>
                                <a:gd name="T0" fmla="*/ 81 w 94"/>
                                <a:gd name="T1" fmla="*/ 23 h 159"/>
                                <a:gd name="T2" fmla="*/ 75 w 94"/>
                                <a:gd name="T3" fmla="*/ 20 h 159"/>
                                <a:gd name="T4" fmla="*/ 65 w 94"/>
                                <a:gd name="T5" fmla="*/ 17 h 159"/>
                                <a:gd name="T6" fmla="*/ 52 w 94"/>
                                <a:gd name="T7" fmla="*/ 16 h 159"/>
                                <a:gd name="T8" fmla="*/ 83 w 94"/>
                                <a:gd name="T9" fmla="*/ 16 h 159"/>
                                <a:gd name="T10" fmla="*/ 81 w 94"/>
                                <a:gd name="T11" fmla="*/ 23 h 159"/>
                              </a:gdLst>
                              <a:ahLst/>
                              <a:cxnLst>
                                <a:cxn ang="0">
                                  <a:pos x="T0" y="T1"/>
                                </a:cxn>
                                <a:cxn ang="0">
                                  <a:pos x="T2" y="T3"/>
                                </a:cxn>
                                <a:cxn ang="0">
                                  <a:pos x="T4" y="T5"/>
                                </a:cxn>
                                <a:cxn ang="0">
                                  <a:pos x="T6" y="T7"/>
                                </a:cxn>
                                <a:cxn ang="0">
                                  <a:pos x="T8" y="T9"/>
                                </a:cxn>
                                <a:cxn ang="0">
                                  <a:pos x="T10" y="T11"/>
                                </a:cxn>
                              </a:cxnLst>
                              <a:rect l="0" t="0" r="r" b="b"/>
                              <a:pathLst>
                                <a:path w="94" h="159">
                                  <a:moveTo>
                                    <a:pt x="81" y="23"/>
                                  </a:moveTo>
                                  <a:lnTo>
                                    <a:pt x="75" y="20"/>
                                  </a:lnTo>
                                  <a:lnTo>
                                    <a:pt x="65" y="17"/>
                                  </a:lnTo>
                                  <a:lnTo>
                                    <a:pt x="52" y="16"/>
                                  </a:lnTo>
                                  <a:lnTo>
                                    <a:pt x="83" y="16"/>
                                  </a:lnTo>
                                  <a:lnTo>
                                    <a:pt x="81"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9" name="Freeform 666"/>
                          <wps:cNvSpPr>
                            <a:spLocks/>
                          </wps:cNvSpPr>
                          <wps:spPr bwMode="auto">
                            <a:xfrm>
                              <a:off x="4411" y="30"/>
                              <a:ext cx="94" cy="159"/>
                            </a:xfrm>
                            <a:custGeom>
                              <a:avLst/>
                              <a:gdLst>
                                <a:gd name="T0" fmla="*/ 39 w 94"/>
                                <a:gd name="T1" fmla="*/ 158 h 159"/>
                                <a:gd name="T2" fmla="*/ 24 w 94"/>
                                <a:gd name="T3" fmla="*/ 157 h 159"/>
                                <a:gd name="T4" fmla="*/ 11 w 94"/>
                                <a:gd name="T5" fmla="*/ 153 h 159"/>
                                <a:gd name="T6" fmla="*/ 0 w 94"/>
                                <a:gd name="T7" fmla="*/ 148 h 159"/>
                                <a:gd name="T8" fmla="*/ 5 w 94"/>
                                <a:gd name="T9" fmla="*/ 131 h 159"/>
                                <a:gd name="T10" fmla="*/ 21 w 94"/>
                                <a:gd name="T11" fmla="*/ 139 h 159"/>
                                <a:gd name="T12" fmla="*/ 40 w 94"/>
                                <a:gd name="T13" fmla="*/ 141 h 159"/>
                                <a:gd name="T14" fmla="*/ 82 w 94"/>
                                <a:gd name="T15" fmla="*/ 141 h 159"/>
                                <a:gd name="T16" fmla="*/ 74 w 94"/>
                                <a:gd name="T17" fmla="*/ 149 h 159"/>
                                <a:gd name="T18" fmla="*/ 58 w 94"/>
                                <a:gd name="T19" fmla="*/ 155 h 159"/>
                                <a:gd name="T20" fmla="*/ 39 w 94"/>
                                <a:gd name="T21" fmla="*/ 158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4" h="159">
                                  <a:moveTo>
                                    <a:pt x="39" y="158"/>
                                  </a:moveTo>
                                  <a:lnTo>
                                    <a:pt x="24" y="157"/>
                                  </a:lnTo>
                                  <a:lnTo>
                                    <a:pt x="11" y="153"/>
                                  </a:lnTo>
                                  <a:lnTo>
                                    <a:pt x="0" y="148"/>
                                  </a:lnTo>
                                  <a:lnTo>
                                    <a:pt x="5" y="131"/>
                                  </a:lnTo>
                                  <a:lnTo>
                                    <a:pt x="21" y="139"/>
                                  </a:lnTo>
                                  <a:lnTo>
                                    <a:pt x="40" y="141"/>
                                  </a:lnTo>
                                  <a:lnTo>
                                    <a:pt x="82" y="141"/>
                                  </a:lnTo>
                                  <a:lnTo>
                                    <a:pt x="74" y="149"/>
                                  </a:lnTo>
                                  <a:lnTo>
                                    <a:pt x="58" y="155"/>
                                  </a:lnTo>
                                  <a:lnTo>
                                    <a:pt x="39" y="1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50" name="Freeform 667"/>
                        <wps:cNvSpPr>
                          <a:spLocks/>
                        </wps:cNvSpPr>
                        <wps:spPr bwMode="auto">
                          <a:xfrm>
                            <a:off x="4411" y="30"/>
                            <a:ext cx="94" cy="159"/>
                          </a:xfrm>
                          <a:custGeom>
                            <a:avLst/>
                            <a:gdLst>
                              <a:gd name="T0" fmla="*/ 53 w 94"/>
                              <a:gd name="T1" fmla="*/ 0 h 159"/>
                              <a:gd name="T2" fmla="*/ 67 w 94"/>
                              <a:gd name="T3" fmla="*/ 1 h 159"/>
                              <a:gd name="T4" fmla="*/ 79 w 94"/>
                              <a:gd name="T5" fmla="*/ 3 h 159"/>
                              <a:gd name="T6" fmla="*/ 86 w 94"/>
                              <a:gd name="T7" fmla="*/ 7 h 159"/>
                              <a:gd name="T8" fmla="*/ 81 w 94"/>
                              <a:gd name="T9" fmla="*/ 23 h 159"/>
                              <a:gd name="T10" fmla="*/ 75 w 94"/>
                              <a:gd name="T11" fmla="*/ 20 h 159"/>
                              <a:gd name="T12" fmla="*/ 65 w 94"/>
                              <a:gd name="T13" fmla="*/ 17 h 159"/>
                              <a:gd name="T14" fmla="*/ 52 w 94"/>
                              <a:gd name="T15" fmla="*/ 16 h 159"/>
                              <a:gd name="T16" fmla="*/ 39 w 94"/>
                              <a:gd name="T17" fmla="*/ 17 h 159"/>
                              <a:gd name="T18" fmla="*/ 30 w 94"/>
                              <a:gd name="T19" fmla="*/ 24 h 159"/>
                              <a:gd name="T20" fmla="*/ 25 w 94"/>
                              <a:gd name="T21" fmla="*/ 30 h 159"/>
                              <a:gd name="T22" fmla="*/ 24 w 94"/>
                              <a:gd name="T23" fmla="*/ 39 h 159"/>
                              <a:gd name="T24" fmla="*/ 25 w 94"/>
                              <a:gd name="T25" fmla="*/ 48 h 159"/>
                              <a:gd name="T26" fmla="*/ 30 w 94"/>
                              <a:gd name="T27" fmla="*/ 56 h 159"/>
                              <a:gd name="T28" fmla="*/ 40 w 94"/>
                              <a:gd name="T29" fmla="*/ 62 h 159"/>
                              <a:gd name="T30" fmla="*/ 53 w 94"/>
                              <a:gd name="T31" fmla="*/ 69 h 159"/>
                              <a:gd name="T32" fmla="*/ 71 w 94"/>
                              <a:gd name="T33" fmla="*/ 76 h 159"/>
                              <a:gd name="T34" fmla="*/ 83 w 94"/>
                              <a:gd name="T35" fmla="*/ 86 h 159"/>
                              <a:gd name="T36" fmla="*/ 90 w 94"/>
                              <a:gd name="T37" fmla="*/ 98 h 159"/>
                              <a:gd name="T38" fmla="*/ 93 w 94"/>
                              <a:gd name="T39" fmla="*/ 113 h 159"/>
                              <a:gd name="T40" fmla="*/ 90 w 94"/>
                              <a:gd name="T41" fmla="*/ 127 h 159"/>
                              <a:gd name="T42" fmla="*/ 84 w 94"/>
                              <a:gd name="T43" fmla="*/ 140 h 159"/>
                              <a:gd name="T44" fmla="*/ 74 w 94"/>
                              <a:gd name="T45" fmla="*/ 149 h 159"/>
                              <a:gd name="T46" fmla="*/ 58 w 94"/>
                              <a:gd name="T47" fmla="*/ 155 h 159"/>
                              <a:gd name="T48" fmla="*/ 39 w 94"/>
                              <a:gd name="T49" fmla="*/ 158 h 159"/>
                              <a:gd name="T50" fmla="*/ 24 w 94"/>
                              <a:gd name="T51" fmla="*/ 157 h 159"/>
                              <a:gd name="T52" fmla="*/ 11 w 94"/>
                              <a:gd name="T53" fmla="*/ 153 h 159"/>
                              <a:gd name="T54" fmla="*/ 0 w 94"/>
                              <a:gd name="T55" fmla="*/ 148 h 159"/>
                              <a:gd name="T56" fmla="*/ 5 w 94"/>
                              <a:gd name="T57" fmla="*/ 131 h 159"/>
                              <a:gd name="T58" fmla="*/ 21 w 94"/>
                              <a:gd name="T59" fmla="*/ 139 h 159"/>
                              <a:gd name="T60" fmla="*/ 40 w 94"/>
                              <a:gd name="T61" fmla="*/ 141 h 159"/>
                              <a:gd name="T62" fmla="*/ 54 w 94"/>
                              <a:gd name="T63" fmla="*/ 140 h 159"/>
                              <a:gd name="T64" fmla="*/ 65 w 94"/>
                              <a:gd name="T65" fmla="*/ 135 h 159"/>
                              <a:gd name="T66" fmla="*/ 71 w 94"/>
                              <a:gd name="T67" fmla="*/ 126 h 159"/>
                              <a:gd name="T68" fmla="*/ 72 w 94"/>
                              <a:gd name="T69" fmla="*/ 116 h 159"/>
                              <a:gd name="T70" fmla="*/ 70 w 94"/>
                              <a:gd name="T71" fmla="*/ 103 h 159"/>
                              <a:gd name="T72" fmla="*/ 61 w 94"/>
                              <a:gd name="T73" fmla="*/ 93 h 159"/>
                              <a:gd name="T74" fmla="*/ 44 w 94"/>
                              <a:gd name="T75" fmla="*/ 85 h 159"/>
                              <a:gd name="T76" fmla="*/ 26 w 94"/>
                              <a:gd name="T77" fmla="*/ 77 h 159"/>
                              <a:gd name="T78" fmla="*/ 14 w 94"/>
                              <a:gd name="T79" fmla="*/ 67 h 159"/>
                              <a:gd name="T80" fmla="*/ 6 w 94"/>
                              <a:gd name="T81" fmla="*/ 56 h 159"/>
                              <a:gd name="T82" fmla="*/ 3 w 94"/>
                              <a:gd name="T83" fmla="*/ 42 h 159"/>
                              <a:gd name="T84" fmla="*/ 6 w 94"/>
                              <a:gd name="T85" fmla="*/ 28 h 159"/>
                              <a:gd name="T86" fmla="*/ 12 w 94"/>
                              <a:gd name="T87" fmla="*/ 16 h 159"/>
                              <a:gd name="T88" fmla="*/ 23 w 94"/>
                              <a:gd name="T89" fmla="*/ 7 h 159"/>
                              <a:gd name="T90" fmla="*/ 37 w 94"/>
                              <a:gd name="T91" fmla="*/ 1 h 159"/>
                              <a:gd name="T92" fmla="*/ 53 w 94"/>
                              <a:gd name="T93" fmla="*/ 0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94" h="159">
                                <a:moveTo>
                                  <a:pt x="53" y="0"/>
                                </a:moveTo>
                                <a:lnTo>
                                  <a:pt x="67" y="1"/>
                                </a:lnTo>
                                <a:lnTo>
                                  <a:pt x="79" y="3"/>
                                </a:lnTo>
                                <a:lnTo>
                                  <a:pt x="86" y="7"/>
                                </a:lnTo>
                                <a:lnTo>
                                  <a:pt x="81" y="23"/>
                                </a:lnTo>
                                <a:lnTo>
                                  <a:pt x="75" y="20"/>
                                </a:lnTo>
                                <a:lnTo>
                                  <a:pt x="65" y="17"/>
                                </a:lnTo>
                                <a:lnTo>
                                  <a:pt x="52" y="16"/>
                                </a:lnTo>
                                <a:lnTo>
                                  <a:pt x="39" y="17"/>
                                </a:lnTo>
                                <a:lnTo>
                                  <a:pt x="30" y="24"/>
                                </a:lnTo>
                                <a:lnTo>
                                  <a:pt x="25" y="30"/>
                                </a:lnTo>
                                <a:lnTo>
                                  <a:pt x="24" y="39"/>
                                </a:lnTo>
                                <a:lnTo>
                                  <a:pt x="25" y="48"/>
                                </a:lnTo>
                                <a:lnTo>
                                  <a:pt x="30" y="56"/>
                                </a:lnTo>
                                <a:lnTo>
                                  <a:pt x="40" y="62"/>
                                </a:lnTo>
                                <a:lnTo>
                                  <a:pt x="53" y="69"/>
                                </a:lnTo>
                                <a:lnTo>
                                  <a:pt x="71" y="76"/>
                                </a:lnTo>
                                <a:lnTo>
                                  <a:pt x="83" y="86"/>
                                </a:lnTo>
                                <a:lnTo>
                                  <a:pt x="90" y="98"/>
                                </a:lnTo>
                                <a:lnTo>
                                  <a:pt x="93" y="113"/>
                                </a:lnTo>
                                <a:lnTo>
                                  <a:pt x="90" y="127"/>
                                </a:lnTo>
                                <a:lnTo>
                                  <a:pt x="84" y="140"/>
                                </a:lnTo>
                                <a:lnTo>
                                  <a:pt x="74" y="149"/>
                                </a:lnTo>
                                <a:lnTo>
                                  <a:pt x="58" y="155"/>
                                </a:lnTo>
                                <a:lnTo>
                                  <a:pt x="39" y="158"/>
                                </a:lnTo>
                                <a:lnTo>
                                  <a:pt x="24" y="157"/>
                                </a:lnTo>
                                <a:lnTo>
                                  <a:pt x="11" y="153"/>
                                </a:lnTo>
                                <a:lnTo>
                                  <a:pt x="0" y="148"/>
                                </a:lnTo>
                                <a:lnTo>
                                  <a:pt x="5" y="131"/>
                                </a:lnTo>
                                <a:lnTo>
                                  <a:pt x="21" y="139"/>
                                </a:lnTo>
                                <a:lnTo>
                                  <a:pt x="40" y="141"/>
                                </a:lnTo>
                                <a:lnTo>
                                  <a:pt x="54" y="140"/>
                                </a:lnTo>
                                <a:lnTo>
                                  <a:pt x="65" y="135"/>
                                </a:lnTo>
                                <a:lnTo>
                                  <a:pt x="71" y="126"/>
                                </a:lnTo>
                                <a:lnTo>
                                  <a:pt x="72" y="116"/>
                                </a:lnTo>
                                <a:lnTo>
                                  <a:pt x="70" y="103"/>
                                </a:lnTo>
                                <a:lnTo>
                                  <a:pt x="61" y="93"/>
                                </a:lnTo>
                                <a:lnTo>
                                  <a:pt x="44" y="85"/>
                                </a:lnTo>
                                <a:lnTo>
                                  <a:pt x="26" y="77"/>
                                </a:lnTo>
                                <a:lnTo>
                                  <a:pt x="14" y="67"/>
                                </a:lnTo>
                                <a:lnTo>
                                  <a:pt x="6" y="56"/>
                                </a:lnTo>
                                <a:lnTo>
                                  <a:pt x="3" y="42"/>
                                </a:lnTo>
                                <a:lnTo>
                                  <a:pt x="6" y="28"/>
                                </a:lnTo>
                                <a:lnTo>
                                  <a:pt x="12" y="16"/>
                                </a:lnTo>
                                <a:lnTo>
                                  <a:pt x="23" y="7"/>
                                </a:lnTo>
                                <a:lnTo>
                                  <a:pt x="37" y="1"/>
                                </a:lnTo>
                                <a:lnTo>
                                  <a:pt x="53"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51" name="Group 668"/>
                        <wpg:cNvGrpSpPr>
                          <a:grpSpLocks/>
                        </wpg:cNvGrpSpPr>
                        <wpg:grpSpPr bwMode="auto">
                          <a:xfrm>
                            <a:off x="4529" y="30"/>
                            <a:ext cx="94" cy="159"/>
                            <a:chOff x="4529" y="30"/>
                            <a:chExt cx="94" cy="159"/>
                          </a:xfrm>
                        </wpg:grpSpPr>
                        <wps:wsp>
                          <wps:cNvPr id="352" name="Freeform 669"/>
                          <wps:cNvSpPr>
                            <a:spLocks/>
                          </wps:cNvSpPr>
                          <wps:spPr bwMode="auto">
                            <a:xfrm>
                              <a:off x="4529" y="30"/>
                              <a:ext cx="94" cy="159"/>
                            </a:xfrm>
                            <a:custGeom>
                              <a:avLst/>
                              <a:gdLst>
                                <a:gd name="T0" fmla="*/ 82 w 94"/>
                                <a:gd name="T1" fmla="*/ 141 h 159"/>
                                <a:gd name="T2" fmla="*/ 40 w 94"/>
                                <a:gd name="T3" fmla="*/ 141 h 159"/>
                                <a:gd name="T4" fmla="*/ 53 w 94"/>
                                <a:gd name="T5" fmla="*/ 140 h 159"/>
                                <a:gd name="T6" fmla="*/ 63 w 94"/>
                                <a:gd name="T7" fmla="*/ 135 h 159"/>
                                <a:gd name="T8" fmla="*/ 70 w 94"/>
                                <a:gd name="T9" fmla="*/ 126 h 159"/>
                                <a:gd name="T10" fmla="*/ 72 w 94"/>
                                <a:gd name="T11" fmla="*/ 116 h 159"/>
                                <a:gd name="T12" fmla="*/ 70 w 94"/>
                                <a:gd name="T13" fmla="*/ 103 h 159"/>
                                <a:gd name="T14" fmla="*/ 60 w 94"/>
                                <a:gd name="T15" fmla="*/ 93 h 159"/>
                                <a:gd name="T16" fmla="*/ 26 w 94"/>
                                <a:gd name="T17" fmla="*/ 77 h 159"/>
                                <a:gd name="T18" fmla="*/ 14 w 94"/>
                                <a:gd name="T19" fmla="*/ 67 h 159"/>
                                <a:gd name="T20" fmla="*/ 6 w 94"/>
                                <a:gd name="T21" fmla="*/ 56 h 159"/>
                                <a:gd name="T22" fmla="*/ 2 w 94"/>
                                <a:gd name="T23" fmla="*/ 42 h 159"/>
                                <a:gd name="T24" fmla="*/ 5 w 94"/>
                                <a:gd name="T25" fmla="*/ 28 h 159"/>
                                <a:gd name="T26" fmla="*/ 11 w 94"/>
                                <a:gd name="T27" fmla="*/ 16 h 159"/>
                                <a:gd name="T28" fmla="*/ 23 w 94"/>
                                <a:gd name="T29" fmla="*/ 7 h 159"/>
                                <a:gd name="T30" fmla="*/ 35 w 94"/>
                                <a:gd name="T31" fmla="*/ 1 h 159"/>
                                <a:gd name="T32" fmla="*/ 52 w 94"/>
                                <a:gd name="T33" fmla="*/ 0 h 159"/>
                                <a:gd name="T34" fmla="*/ 67 w 94"/>
                                <a:gd name="T35" fmla="*/ 1 h 159"/>
                                <a:gd name="T36" fmla="*/ 78 w 94"/>
                                <a:gd name="T37" fmla="*/ 3 h 159"/>
                                <a:gd name="T38" fmla="*/ 86 w 94"/>
                                <a:gd name="T39" fmla="*/ 7 h 159"/>
                                <a:gd name="T40" fmla="*/ 83 w 94"/>
                                <a:gd name="T41" fmla="*/ 16 h 159"/>
                                <a:gd name="T42" fmla="*/ 52 w 94"/>
                                <a:gd name="T43" fmla="*/ 16 h 159"/>
                                <a:gd name="T44" fmla="*/ 38 w 94"/>
                                <a:gd name="T45" fmla="*/ 17 h 159"/>
                                <a:gd name="T46" fmla="*/ 29 w 94"/>
                                <a:gd name="T47" fmla="*/ 24 h 159"/>
                                <a:gd name="T48" fmla="*/ 24 w 94"/>
                                <a:gd name="T49" fmla="*/ 30 h 159"/>
                                <a:gd name="T50" fmla="*/ 23 w 94"/>
                                <a:gd name="T51" fmla="*/ 39 h 159"/>
                                <a:gd name="T52" fmla="*/ 25 w 94"/>
                                <a:gd name="T53" fmla="*/ 48 h 159"/>
                                <a:gd name="T54" fmla="*/ 30 w 94"/>
                                <a:gd name="T55" fmla="*/ 56 h 159"/>
                                <a:gd name="T56" fmla="*/ 39 w 94"/>
                                <a:gd name="T57" fmla="*/ 62 h 159"/>
                                <a:gd name="T58" fmla="*/ 70 w 94"/>
                                <a:gd name="T59" fmla="*/ 76 h 159"/>
                                <a:gd name="T60" fmla="*/ 83 w 94"/>
                                <a:gd name="T61" fmla="*/ 86 h 159"/>
                                <a:gd name="T62" fmla="*/ 90 w 94"/>
                                <a:gd name="T63" fmla="*/ 98 h 159"/>
                                <a:gd name="T64" fmla="*/ 93 w 94"/>
                                <a:gd name="T65" fmla="*/ 113 h 159"/>
                                <a:gd name="T66" fmla="*/ 90 w 94"/>
                                <a:gd name="T67" fmla="*/ 127 h 159"/>
                                <a:gd name="T68" fmla="*/ 84 w 94"/>
                                <a:gd name="T69" fmla="*/ 140 h 159"/>
                                <a:gd name="T70" fmla="*/ 82 w 94"/>
                                <a:gd name="T71" fmla="*/ 141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94" h="159">
                                  <a:moveTo>
                                    <a:pt x="82" y="141"/>
                                  </a:moveTo>
                                  <a:lnTo>
                                    <a:pt x="40" y="141"/>
                                  </a:lnTo>
                                  <a:lnTo>
                                    <a:pt x="53" y="140"/>
                                  </a:lnTo>
                                  <a:lnTo>
                                    <a:pt x="63" y="135"/>
                                  </a:lnTo>
                                  <a:lnTo>
                                    <a:pt x="70" y="126"/>
                                  </a:lnTo>
                                  <a:lnTo>
                                    <a:pt x="72" y="116"/>
                                  </a:lnTo>
                                  <a:lnTo>
                                    <a:pt x="70" y="103"/>
                                  </a:lnTo>
                                  <a:lnTo>
                                    <a:pt x="60" y="93"/>
                                  </a:lnTo>
                                  <a:lnTo>
                                    <a:pt x="26" y="77"/>
                                  </a:lnTo>
                                  <a:lnTo>
                                    <a:pt x="14" y="67"/>
                                  </a:lnTo>
                                  <a:lnTo>
                                    <a:pt x="6" y="56"/>
                                  </a:lnTo>
                                  <a:lnTo>
                                    <a:pt x="2" y="42"/>
                                  </a:lnTo>
                                  <a:lnTo>
                                    <a:pt x="5" y="28"/>
                                  </a:lnTo>
                                  <a:lnTo>
                                    <a:pt x="11" y="16"/>
                                  </a:lnTo>
                                  <a:lnTo>
                                    <a:pt x="23" y="7"/>
                                  </a:lnTo>
                                  <a:lnTo>
                                    <a:pt x="35" y="1"/>
                                  </a:lnTo>
                                  <a:lnTo>
                                    <a:pt x="52" y="0"/>
                                  </a:lnTo>
                                  <a:lnTo>
                                    <a:pt x="67" y="1"/>
                                  </a:lnTo>
                                  <a:lnTo>
                                    <a:pt x="78" y="3"/>
                                  </a:lnTo>
                                  <a:lnTo>
                                    <a:pt x="86" y="7"/>
                                  </a:lnTo>
                                  <a:lnTo>
                                    <a:pt x="83" y="16"/>
                                  </a:lnTo>
                                  <a:lnTo>
                                    <a:pt x="52" y="16"/>
                                  </a:lnTo>
                                  <a:lnTo>
                                    <a:pt x="38" y="17"/>
                                  </a:lnTo>
                                  <a:lnTo>
                                    <a:pt x="29" y="24"/>
                                  </a:lnTo>
                                  <a:lnTo>
                                    <a:pt x="24" y="30"/>
                                  </a:lnTo>
                                  <a:lnTo>
                                    <a:pt x="23" y="39"/>
                                  </a:lnTo>
                                  <a:lnTo>
                                    <a:pt x="25" y="48"/>
                                  </a:lnTo>
                                  <a:lnTo>
                                    <a:pt x="30" y="56"/>
                                  </a:lnTo>
                                  <a:lnTo>
                                    <a:pt x="39" y="62"/>
                                  </a:lnTo>
                                  <a:lnTo>
                                    <a:pt x="70" y="76"/>
                                  </a:lnTo>
                                  <a:lnTo>
                                    <a:pt x="83" y="86"/>
                                  </a:lnTo>
                                  <a:lnTo>
                                    <a:pt x="90" y="98"/>
                                  </a:lnTo>
                                  <a:lnTo>
                                    <a:pt x="93" y="113"/>
                                  </a:lnTo>
                                  <a:lnTo>
                                    <a:pt x="90" y="127"/>
                                  </a:lnTo>
                                  <a:lnTo>
                                    <a:pt x="84" y="140"/>
                                  </a:lnTo>
                                  <a:lnTo>
                                    <a:pt x="82" y="1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3" name="Freeform 670"/>
                          <wps:cNvSpPr>
                            <a:spLocks/>
                          </wps:cNvSpPr>
                          <wps:spPr bwMode="auto">
                            <a:xfrm>
                              <a:off x="4529" y="30"/>
                              <a:ext cx="94" cy="159"/>
                            </a:xfrm>
                            <a:custGeom>
                              <a:avLst/>
                              <a:gdLst>
                                <a:gd name="T0" fmla="*/ 81 w 94"/>
                                <a:gd name="T1" fmla="*/ 23 h 159"/>
                                <a:gd name="T2" fmla="*/ 74 w 94"/>
                                <a:gd name="T3" fmla="*/ 20 h 159"/>
                                <a:gd name="T4" fmla="*/ 65 w 94"/>
                                <a:gd name="T5" fmla="*/ 17 h 159"/>
                                <a:gd name="T6" fmla="*/ 52 w 94"/>
                                <a:gd name="T7" fmla="*/ 16 h 159"/>
                                <a:gd name="T8" fmla="*/ 83 w 94"/>
                                <a:gd name="T9" fmla="*/ 16 h 159"/>
                                <a:gd name="T10" fmla="*/ 81 w 94"/>
                                <a:gd name="T11" fmla="*/ 23 h 159"/>
                              </a:gdLst>
                              <a:ahLst/>
                              <a:cxnLst>
                                <a:cxn ang="0">
                                  <a:pos x="T0" y="T1"/>
                                </a:cxn>
                                <a:cxn ang="0">
                                  <a:pos x="T2" y="T3"/>
                                </a:cxn>
                                <a:cxn ang="0">
                                  <a:pos x="T4" y="T5"/>
                                </a:cxn>
                                <a:cxn ang="0">
                                  <a:pos x="T6" y="T7"/>
                                </a:cxn>
                                <a:cxn ang="0">
                                  <a:pos x="T8" y="T9"/>
                                </a:cxn>
                                <a:cxn ang="0">
                                  <a:pos x="T10" y="T11"/>
                                </a:cxn>
                              </a:cxnLst>
                              <a:rect l="0" t="0" r="r" b="b"/>
                              <a:pathLst>
                                <a:path w="94" h="159">
                                  <a:moveTo>
                                    <a:pt x="81" y="23"/>
                                  </a:moveTo>
                                  <a:lnTo>
                                    <a:pt x="74" y="20"/>
                                  </a:lnTo>
                                  <a:lnTo>
                                    <a:pt x="65" y="17"/>
                                  </a:lnTo>
                                  <a:lnTo>
                                    <a:pt x="52" y="16"/>
                                  </a:lnTo>
                                  <a:lnTo>
                                    <a:pt x="83" y="16"/>
                                  </a:lnTo>
                                  <a:lnTo>
                                    <a:pt x="81"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4" name="Freeform 671"/>
                          <wps:cNvSpPr>
                            <a:spLocks/>
                          </wps:cNvSpPr>
                          <wps:spPr bwMode="auto">
                            <a:xfrm>
                              <a:off x="4529" y="30"/>
                              <a:ext cx="94" cy="159"/>
                            </a:xfrm>
                            <a:custGeom>
                              <a:avLst/>
                              <a:gdLst>
                                <a:gd name="T0" fmla="*/ 39 w 94"/>
                                <a:gd name="T1" fmla="*/ 158 h 159"/>
                                <a:gd name="T2" fmla="*/ 24 w 94"/>
                                <a:gd name="T3" fmla="*/ 157 h 159"/>
                                <a:gd name="T4" fmla="*/ 10 w 94"/>
                                <a:gd name="T5" fmla="*/ 153 h 159"/>
                                <a:gd name="T6" fmla="*/ 0 w 94"/>
                                <a:gd name="T7" fmla="*/ 148 h 159"/>
                                <a:gd name="T8" fmla="*/ 5 w 94"/>
                                <a:gd name="T9" fmla="*/ 131 h 159"/>
                                <a:gd name="T10" fmla="*/ 21 w 94"/>
                                <a:gd name="T11" fmla="*/ 139 h 159"/>
                                <a:gd name="T12" fmla="*/ 40 w 94"/>
                                <a:gd name="T13" fmla="*/ 141 h 159"/>
                                <a:gd name="T14" fmla="*/ 82 w 94"/>
                                <a:gd name="T15" fmla="*/ 141 h 159"/>
                                <a:gd name="T16" fmla="*/ 74 w 94"/>
                                <a:gd name="T17" fmla="*/ 149 h 159"/>
                                <a:gd name="T18" fmla="*/ 58 w 94"/>
                                <a:gd name="T19" fmla="*/ 155 h 159"/>
                                <a:gd name="T20" fmla="*/ 39 w 94"/>
                                <a:gd name="T21" fmla="*/ 158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4" h="159">
                                  <a:moveTo>
                                    <a:pt x="39" y="158"/>
                                  </a:moveTo>
                                  <a:lnTo>
                                    <a:pt x="24" y="157"/>
                                  </a:lnTo>
                                  <a:lnTo>
                                    <a:pt x="10" y="153"/>
                                  </a:lnTo>
                                  <a:lnTo>
                                    <a:pt x="0" y="148"/>
                                  </a:lnTo>
                                  <a:lnTo>
                                    <a:pt x="5" y="131"/>
                                  </a:lnTo>
                                  <a:lnTo>
                                    <a:pt x="21" y="139"/>
                                  </a:lnTo>
                                  <a:lnTo>
                                    <a:pt x="40" y="141"/>
                                  </a:lnTo>
                                  <a:lnTo>
                                    <a:pt x="82" y="141"/>
                                  </a:lnTo>
                                  <a:lnTo>
                                    <a:pt x="74" y="149"/>
                                  </a:lnTo>
                                  <a:lnTo>
                                    <a:pt x="58" y="155"/>
                                  </a:lnTo>
                                  <a:lnTo>
                                    <a:pt x="39" y="1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55" name="Freeform 672"/>
                        <wps:cNvSpPr>
                          <a:spLocks/>
                        </wps:cNvSpPr>
                        <wps:spPr bwMode="auto">
                          <a:xfrm>
                            <a:off x="4529" y="30"/>
                            <a:ext cx="94" cy="159"/>
                          </a:xfrm>
                          <a:custGeom>
                            <a:avLst/>
                            <a:gdLst>
                              <a:gd name="T0" fmla="*/ 52 w 94"/>
                              <a:gd name="T1" fmla="*/ 0 h 159"/>
                              <a:gd name="T2" fmla="*/ 67 w 94"/>
                              <a:gd name="T3" fmla="*/ 1 h 159"/>
                              <a:gd name="T4" fmla="*/ 78 w 94"/>
                              <a:gd name="T5" fmla="*/ 3 h 159"/>
                              <a:gd name="T6" fmla="*/ 86 w 94"/>
                              <a:gd name="T7" fmla="*/ 7 h 159"/>
                              <a:gd name="T8" fmla="*/ 81 w 94"/>
                              <a:gd name="T9" fmla="*/ 23 h 159"/>
                              <a:gd name="T10" fmla="*/ 74 w 94"/>
                              <a:gd name="T11" fmla="*/ 20 h 159"/>
                              <a:gd name="T12" fmla="*/ 65 w 94"/>
                              <a:gd name="T13" fmla="*/ 17 h 159"/>
                              <a:gd name="T14" fmla="*/ 52 w 94"/>
                              <a:gd name="T15" fmla="*/ 16 h 159"/>
                              <a:gd name="T16" fmla="*/ 38 w 94"/>
                              <a:gd name="T17" fmla="*/ 17 h 159"/>
                              <a:gd name="T18" fmla="*/ 29 w 94"/>
                              <a:gd name="T19" fmla="*/ 24 h 159"/>
                              <a:gd name="T20" fmla="*/ 24 w 94"/>
                              <a:gd name="T21" fmla="*/ 30 h 159"/>
                              <a:gd name="T22" fmla="*/ 23 w 94"/>
                              <a:gd name="T23" fmla="*/ 39 h 159"/>
                              <a:gd name="T24" fmla="*/ 25 w 94"/>
                              <a:gd name="T25" fmla="*/ 48 h 159"/>
                              <a:gd name="T26" fmla="*/ 30 w 94"/>
                              <a:gd name="T27" fmla="*/ 56 h 159"/>
                              <a:gd name="T28" fmla="*/ 39 w 94"/>
                              <a:gd name="T29" fmla="*/ 62 h 159"/>
                              <a:gd name="T30" fmla="*/ 53 w 94"/>
                              <a:gd name="T31" fmla="*/ 69 h 159"/>
                              <a:gd name="T32" fmla="*/ 70 w 94"/>
                              <a:gd name="T33" fmla="*/ 76 h 159"/>
                              <a:gd name="T34" fmla="*/ 83 w 94"/>
                              <a:gd name="T35" fmla="*/ 86 h 159"/>
                              <a:gd name="T36" fmla="*/ 90 w 94"/>
                              <a:gd name="T37" fmla="*/ 98 h 159"/>
                              <a:gd name="T38" fmla="*/ 93 w 94"/>
                              <a:gd name="T39" fmla="*/ 113 h 159"/>
                              <a:gd name="T40" fmla="*/ 90 w 94"/>
                              <a:gd name="T41" fmla="*/ 127 h 159"/>
                              <a:gd name="T42" fmla="*/ 84 w 94"/>
                              <a:gd name="T43" fmla="*/ 140 h 159"/>
                              <a:gd name="T44" fmla="*/ 74 w 94"/>
                              <a:gd name="T45" fmla="*/ 149 h 159"/>
                              <a:gd name="T46" fmla="*/ 58 w 94"/>
                              <a:gd name="T47" fmla="*/ 155 h 159"/>
                              <a:gd name="T48" fmla="*/ 39 w 94"/>
                              <a:gd name="T49" fmla="*/ 158 h 159"/>
                              <a:gd name="T50" fmla="*/ 24 w 94"/>
                              <a:gd name="T51" fmla="*/ 157 h 159"/>
                              <a:gd name="T52" fmla="*/ 10 w 94"/>
                              <a:gd name="T53" fmla="*/ 153 h 159"/>
                              <a:gd name="T54" fmla="*/ 0 w 94"/>
                              <a:gd name="T55" fmla="*/ 148 h 159"/>
                              <a:gd name="T56" fmla="*/ 5 w 94"/>
                              <a:gd name="T57" fmla="*/ 131 h 159"/>
                              <a:gd name="T58" fmla="*/ 21 w 94"/>
                              <a:gd name="T59" fmla="*/ 139 h 159"/>
                              <a:gd name="T60" fmla="*/ 40 w 94"/>
                              <a:gd name="T61" fmla="*/ 141 h 159"/>
                              <a:gd name="T62" fmla="*/ 53 w 94"/>
                              <a:gd name="T63" fmla="*/ 140 h 159"/>
                              <a:gd name="T64" fmla="*/ 63 w 94"/>
                              <a:gd name="T65" fmla="*/ 135 h 159"/>
                              <a:gd name="T66" fmla="*/ 70 w 94"/>
                              <a:gd name="T67" fmla="*/ 126 h 159"/>
                              <a:gd name="T68" fmla="*/ 72 w 94"/>
                              <a:gd name="T69" fmla="*/ 116 h 159"/>
                              <a:gd name="T70" fmla="*/ 70 w 94"/>
                              <a:gd name="T71" fmla="*/ 103 h 159"/>
                              <a:gd name="T72" fmla="*/ 60 w 94"/>
                              <a:gd name="T73" fmla="*/ 93 h 159"/>
                              <a:gd name="T74" fmla="*/ 43 w 94"/>
                              <a:gd name="T75" fmla="*/ 85 h 159"/>
                              <a:gd name="T76" fmla="*/ 26 w 94"/>
                              <a:gd name="T77" fmla="*/ 77 h 159"/>
                              <a:gd name="T78" fmla="*/ 14 w 94"/>
                              <a:gd name="T79" fmla="*/ 67 h 159"/>
                              <a:gd name="T80" fmla="*/ 6 w 94"/>
                              <a:gd name="T81" fmla="*/ 56 h 159"/>
                              <a:gd name="T82" fmla="*/ 2 w 94"/>
                              <a:gd name="T83" fmla="*/ 42 h 159"/>
                              <a:gd name="T84" fmla="*/ 5 w 94"/>
                              <a:gd name="T85" fmla="*/ 28 h 159"/>
                              <a:gd name="T86" fmla="*/ 11 w 94"/>
                              <a:gd name="T87" fmla="*/ 16 h 159"/>
                              <a:gd name="T88" fmla="*/ 23 w 94"/>
                              <a:gd name="T89" fmla="*/ 7 h 159"/>
                              <a:gd name="T90" fmla="*/ 35 w 94"/>
                              <a:gd name="T91" fmla="*/ 1 h 159"/>
                              <a:gd name="T92" fmla="*/ 52 w 94"/>
                              <a:gd name="T93" fmla="*/ 0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94" h="159">
                                <a:moveTo>
                                  <a:pt x="52" y="0"/>
                                </a:moveTo>
                                <a:lnTo>
                                  <a:pt x="67" y="1"/>
                                </a:lnTo>
                                <a:lnTo>
                                  <a:pt x="78" y="3"/>
                                </a:lnTo>
                                <a:lnTo>
                                  <a:pt x="86" y="7"/>
                                </a:lnTo>
                                <a:lnTo>
                                  <a:pt x="81" y="23"/>
                                </a:lnTo>
                                <a:lnTo>
                                  <a:pt x="74" y="20"/>
                                </a:lnTo>
                                <a:lnTo>
                                  <a:pt x="65" y="17"/>
                                </a:lnTo>
                                <a:lnTo>
                                  <a:pt x="52" y="16"/>
                                </a:lnTo>
                                <a:lnTo>
                                  <a:pt x="38" y="17"/>
                                </a:lnTo>
                                <a:lnTo>
                                  <a:pt x="29" y="24"/>
                                </a:lnTo>
                                <a:lnTo>
                                  <a:pt x="24" y="30"/>
                                </a:lnTo>
                                <a:lnTo>
                                  <a:pt x="23" y="39"/>
                                </a:lnTo>
                                <a:lnTo>
                                  <a:pt x="25" y="48"/>
                                </a:lnTo>
                                <a:lnTo>
                                  <a:pt x="30" y="56"/>
                                </a:lnTo>
                                <a:lnTo>
                                  <a:pt x="39" y="62"/>
                                </a:lnTo>
                                <a:lnTo>
                                  <a:pt x="53" y="69"/>
                                </a:lnTo>
                                <a:lnTo>
                                  <a:pt x="70" y="76"/>
                                </a:lnTo>
                                <a:lnTo>
                                  <a:pt x="83" y="86"/>
                                </a:lnTo>
                                <a:lnTo>
                                  <a:pt x="90" y="98"/>
                                </a:lnTo>
                                <a:lnTo>
                                  <a:pt x="93" y="113"/>
                                </a:lnTo>
                                <a:lnTo>
                                  <a:pt x="90" y="127"/>
                                </a:lnTo>
                                <a:lnTo>
                                  <a:pt x="84" y="140"/>
                                </a:lnTo>
                                <a:lnTo>
                                  <a:pt x="74" y="149"/>
                                </a:lnTo>
                                <a:lnTo>
                                  <a:pt x="58" y="155"/>
                                </a:lnTo>
                                <a:lnTo>
                                  <a:pt x="39" y="158"/>
                                </a:lnTo>
                                <a:lnTo>
                                  <a:pt x="24" y="157"/>
                                </a:lnTo>
                                <a:lnTo>
                                  <a:pt x="10" y="153"/>
                                </a:lnTo>
                                <a:lnTo>
                                  <a:pt x="0" y="148"/>
                                </a:lnTo>
                                <a:lnTo>
                                  <a:pt x="5" y="131"/>
                                </a:lnTo>
                                <a:lnTo>
                                  <a:pt x="21" y="139"/>
                                </a:lnTo>
                                <a:lnTo>
                                  <a:pt x="40" y="141"/>
                                </a:lnTo>
                                <a:lnTo>
                                  <a:pt x="53" y="140"/>
                                </a:lnTo>
                                <a:lnTo>
                                  <a:pt x="63" y="135"/>
                                </a:lnTo>
                                <a:lnTo>
                                  <a:pt x="70" y="126"/>
                                </a:lnTo>
                                <a:lnTo>
                                  <a:pt x="72" y="116"/>
                                </a:lnTo>
                                <a:lnTo>
                                  <a:pt x="70" y="103"/>
                                </a:lnTo>
                                <a:lnTo>
                                  <a:pt x="60" y="93"/>
                                </a:lnTo>
                                <a:lnTo>
                                  <a:pt x="43" y="85"/>
                                </a:lnTo>
                                <a:lnTo>
                                  <a:pt x="26" y="77"/>
                                </a:lnTo>
                                <a:lnTo>
                                  <a:pt x="14" y="67"/>
                                </a:lnTo>
                                <a:lnTo>
                                  <a:pt x="6" y="56"/>
                                </a:lnTo>
                                <a:lnTo>
                                  <a:pt x="2" y="42"/>
                                </a:lnTo>
                                <a:lnTo>
                                  <a:pt x="5" y="28"/>
                                </a:lnTo>
                                <a:lnTo>
                                  <a:pt x="11" y="16"/>
                                </a:lnTo>
                                <a:lnTo>
                                  <a:pt x="23" y="7"/>
                                </a:lnTo>
                                <a:lnTo>
                                  <a:pt x="35" y="1"/>
                                </a:lnTo>
                                <a:lnTo>
                                  <a:pt x="52"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56" name="Group 673"/>
                        <wpg:cNvGrpSpPr>
                          <a:grpSpLocks/>
                        </wpg:cNvGrpSpPr>
                        <wpg:grpSpPr bwMode="auto">
                          <a:xfrm>
                            <a:off x="4643" y="33"/>
                            <a:ext cx="128" cy="154"/>
                            <a:chOff x="4643" y="33"/>
                            <a:chExt cx="128" cy="154"/>
                          </a:xfrm>
                        </wpg:grpSpPr>
                        <wps:wsp>
                          <wps:cNvPr id="357" name="Freeform 674"/>
                          <wps:cNvSpPr>
                            <a:spLocks/>
                          </wps:cNvSpPr>
                          <wps:spPr bwMode="auto">
                            <a:xfrm>
                              <a:off x="4643" y="33"/>
                              <a:ext cx="128" cy="154"/>
                            </a:xfrm>
                            <a:custGeom>
                              <a:avLst/>
                              <a:gdLst>
                                <a:gd name="T0" fmla="*/ 20 w 128"/>
                                <a:gd name="T1" fmla="*/ 153 h 154"/>
                                <a:gd name="T2" fmla="*/ 0 w 128"/>
                                <a:gd name="T3" fmla="*/ 153 h 154"/>
                                <a:gd name="T4" fmla="*/ 51 w 128"/>
                                <a:gd name="T5" fmla="*/ 0 h 154"/>
                                <a:gd name="T6" fmla="*/ 75 w 128"/>
                                <a:gd name="T7" fmla="*/ 0 h 154"/>
                                <a:gd name="T8" fmla="*/ 81 w 128"/>
                                <a:gd name="T9" fmla="*/ 17 h 154"/>
                                <a:gd name="T10" fmla="*/ 62 w 128"/>
                                <a:gd name="T11" fmla="*/ 17 h 154"/>
                                <a:gd name="T12" fmla="*/ 54 w 128"/>
                                <a:gd name="T13" fmla="*/ 44 h 154"/>
                                <a:gd name="T14" fmla="*/ 39 w 128"/>
                                <a:gd name="T15" fmla="*/ 89 h 154"/>
                                <a:gd name="T16" fmla="*/ 106 w 128"/>
                                <a:gd name="T17" fmla="*/ 89 h 154"/>
                                <a:gd name="T18" fmla="*/ 111 w 128"/>
                                <a:gd name="T19" fmla="*/ 104 h 154"/>
                                <a:gd name="T20" fmla="*/ 35 w 128"/>
                                <a:gd name="T21" fmla="*/ 104 h 154"/>
                                <a:gd name="T22" fmla="*/ 20 w 128"/>
                                <a:gd name="T23" fmla="*/ 153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8" h="154">
                                  <a:moveTo>
                                    <a:pt x="20" y="153"/>
                                  </a:moveTo>
                                  <a:lnTo>
                                    <a:pt x="0" y="153"/>
                                  </a:lnTo>
                                  <a:lnTo>
                                    <a:pt x="51" y="0"/>
                                  </a:lnTo>
                                  <a:lnTo>
                                    <a:pt x="75" y="0"/>
                                  </a:lnTo>
                                  <a:lnTo>
                                    <a:pt x="81" y="17"/>
                                  </a:lnTo>
                                  <a:lnTo>
                                    <a:pt x="62" y="17"/>
                                  </a:lnTo>
                                  <a:lnTo>
                                    <a:pt x="54" y="44"/>
                                  </a:lnTo>
                                  <a:lnTo>
                                    <a:pt x="39" y="89"/>
                                  </a:lnTo>
                                  <a:lnTo>
                                    <a:pt x="106" y="89"/>
                                  </a:lnTo>
                                  <a:lnTo>
                                    <a:pt x="111" y="104"/>
                                  </a:lnTo>
                                  <a:lnTo>
                                    <a:pt x="35" y="104"/>
                                  </a:lnTo>
                                  <a:lnTo>
                                    <a:pt x="20" y="1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8" name="Freeform 675"/>
                          <wps:cNvSpPr>
                            <a:spLocks/>
                          </wps:cNvSpPr>
                          <wps:spPr bwMode="auto">
                            <a:xfrm>
                              <a:off x="4643" y="33"/>
                              <a:ext cx="128" cy="154"/>
                            </a:xfrm>
                            <a:custGeom>
                              <a:avLst/>
                              <a:gdLst>
                                <a:gd name="T0" fmla="*/ 106 w 128"/>
                                <a:gd name="T1" fmla="*/ 89 h 154"/>
                                <a:gd name="T2" fmla="*/ 86 w 128"/>
                                <a:gd name="T3" fmla="*/ 89 h 154"/>
                                <a:gd name="T4" fmla="*/ 71 w 128"/>
                                <a:gd name="T5" fmla="*/ 46 h 154"/>
                                <a:gd name="T6" fmla="*/ 66 w 128"/>
                                <a:gd name="T7" fmla="*/ 30 h 154"/>
                                <a:gd name="T8" fmla="*/ 63 w 128"/>
                                <a:gd name="T9" fmla="*/ 17 h 154"/>
                                <a:gd name="T10" fmla="*/ 81 w 128"/>
                                <a:gd name="T11" fmla="*/ 17 h 154"/>
                                <a:gd name="T12" fmla="*/ 106 w 128"/>
                                <a:gd name="T13" fmla="*/ 89 h 154"/>
                              </a:gdLst>
                              <a:ahLst/>
                              <a:cxnLst>
                                <a:cxn ang="0">
                                  <a:pos x="T0" y="T1"/>
                                </a:cxn>
                                <a:cxn ang="0">
                                  <a:pos x="T2" y="T3"/>
                                </a:cxn>
                                <a:cxn ang="0">
                                  <a:pos x="T4" y="T5"/>
                                </a:cxn>
                                <a:cxn ang="0">
                                  <a:pos x="T6" y="T7"/>
                                </a:cxn>
                                <a:cxn ang="0">
                                  <a:pos x="T8" y="T9"/>
                                </a:cxn>
                                <a:cxn ang="0">
                                  <a:pos x="T10" y="T11"/>
                                </a:cxn>
                                <a:cxn ang="0">
                                  <a:pos x="T12" y="T13"/>
                                </a:cxn>
                              </a:cxnLst>
                              <a:rect l="0" t="0" r="r" b="b"/>
                              <a:pathLst>
                                <a:path w="128" h="154">
                                  <a:moveTo>
                                    <a:pt x="106" y="89"/>
                                  </a:moveTo>
                                  <a:lnTo>
                                    <a:pt x="86" y="89"/>
                                  </a:lnTo>
                                  <a:lnTo>
                                    <a:pt x="71" y="46"/>
                                  </a:lnTo>
                                  <a:lnTo>
                                    <a:pt x="66" y="30"/>
                                  </a:lnTo>
                                  <a:lnTo>
                                    <a:pt x="63" y="17"/>
                                  </a:lnTo>
                                  <a:lnTo>
                                    <a:pt x="81" y="17"/>
                                  </a:lnTo>
                                  <a:lnTo>
                                    <a:pt x="106" y="8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9" name="Freeform 676"/>
                          <wps:cNvSpPr>
                            <a:spLocks/>
                          </wps:cNvSpPr>
                          <wps:spPr bwMode="auto">
                            <a:xfrm>
                              <a:off x="4643" y="33"/>
                              <a:ext cx="128" cy="154"/>
                            </a:xfrm>
                            <a:custGeom>
                              <a:avLst/>
                              <a:gdLst>
                                <a:gd name="T0" fmla="*/ 127 w 128"/>
                                <a:gd name="T1" fmla="*/ 153 h 154"/>
                                <a:gd name="T2" fmla="*/ 107 w 128"/>
                                <a:gd name="T3" fmla="*/ 153 h 154"/>
                                <a:gd name="T4" fmla="*/ 90 w 128"/>
                                <a:gd name="T5" fmla="*/ 104 h 154"/>
                                <a:gd name="T6" fmla="*/ 111 w 128"/>
                                <a:gd name="T7" fmla="*/ 104 h 154"/>
                                <a:gd name="T8" fmla="*/ 127 w 128"/>
                                <a:gd name="T9" fmla="*/ 153 h 154"/>
                              </a:gdLst>
                              <a:ahLst/>
                              <a:cxnLst>
                                <a:cxn ang="0">
                                  <a:pos x="T0" y="T1"/>
                                </a:cxn>
                                <a:cxn ang="0">
                                  <a:pos x="T2" y="T3"/>
                                </a:cxn>
                                <a:cxn ang="0">
                                  <a:pos x="T4" y="T5"/>
                                </a:cxn>
                                <a:cxn ang="0">
                                  <a:pos x="T6" y="T7"/>
                                </a:cxn>
                                <a:cxn ang="0">
                                  <a:pos x="T8" y="T9"/>
                                </a:cxn>
                              </a:cxnLst>
                              <a:rect l="0" t="0" r="r" b="b"/>
                              <a:pathLst>
                                <a:path w="128" h="154">
                                  <a:moveTo>
                                    <a:pt x="127" y="153"/>
                                  </a:moveTo>
                                  <a:lnTo>
                                    <a:pt x="107" y="153"/>
                                  </a:lnTo>
                                  <a:lnTo>
                                    <a:pt x="90" y="104"/>
                                  </a:lnTo>
                                  <a:lnTo>
                                    <a:pt x="111" y="104"/>
                                  </a:lnTo>
                                  <a:lnTo>
                                    <a:pt x="127" y="1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0" name="Group 677"/>
                        <wpg:cNvGrpSpPr>
                          <a:grpSpLocks/>
                        </wpg:cNvGrpSpPr>
                        <wpg:grpSpPr bwMode="auto">
                          <a:xfrm>
                            <a:off x="-980" y="13000"/>
                            <a:ext cx="2000" cy="2400"/>
                            <a:chOff x="-980" y="13000"/>
                            <a:chExt cx="2000" cy="2400"/>
                          </a:xfrm>
                        </wpg:grpSpPr>
                        <wps:wsp>
                          <wps:cNvPr id="361" name="Freeform 678"/>
                          <wps:cNvSpPr>
                            <a:spLocks/>
                          </wps:cNvSpPr>
                          <wps:spPr bwMode="auto">
                            <a:xfrm>
                              <a:off x="-980" y="13000"/>
                              <a:ext cx="2000" cy="2400"/>
                            </a:xfrm>
                            <a:custGeom>
                              <a:avLst/>
                              <a:gdLst>
                                <a:gd name="T0" fmla="*/ 5686 w 2000"/>
                                <a:gd name="T1" fmla="*/ -12948 h 2400"/>
                                <a:gd name="T2" fmla="*/ 5678 w 2000"/>
                                <a:gd name="T3" fmla="*/ -12922 h 2400"/>
                                <a:gd name="T4" fmla="*/ 5663 w 2000"/>
                                <a:gd name="T5" fmla="*/ -12877 h 2400"/>
                                <a:gd name="T6" fmla="*/ 5710 w 2000"/>
                                <a:gd name="T7" fmla="*/ -12877 h 2400"/>
                                <a:gd name="T8" fmla="*/ 5695 w 2000"/>
                                <a:gd name="T9" fmla="*/ -12920 h 2400"/>
                                <a:gd name="T10" fmla="*/ 5689 w 2000"/>
                                <a:gd name="T11" fmla="*/ -12936 h 2400"/>
                                <a:gd name="T12" fmla="*/ 5687 w 2000"/>
                                <a:gd name="T13" fmla="*/ -12948 h 2400"/>
                                <a:gd name="T14" fmla="*/ 5686 w 2000"/>
                                <a:gd name="T15" fmla="*/ -12948 h 240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000" h="2400">
                                  <a:moveTo>
                                    <a:pt x="5686" y="-12948"/>
                                  </a:moveTo>
                                  <a:lnTo>
                                    <a:pt x="5678" y="-12922"/>
                                  </a:lnTo>
                                  <a:lnTo>
                                    <a:pt x="5663" y="-12877"/>
                                  </a:lnTo>
                                  <a:lnTo>
                                    <a:pt x="5710" y="-12877"/>
                                  </a:lnTo>
                                  <a:lnTo>
                                    <a:pt x="5695" y="-12920"/>
                                  </a:lnTo>
                                  <a:lnTo>
                                    <a:pt x="5689" y="-12936"/>
                                  </a:lnTo>
                                  <a:lnTo>
                                    <a:pt x="5687" y="-12948"/>
                                  </a:lnTo>
                                  <a:lnTo>
                                    <a:pt x="5686" y="-12948"/>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2" name="Freeform 679"/>
                          <wps:cNvSpPr>
                            <a:spLocks/>
                          </wps:cNvSpPr>
                          <wps:spPr bwMode="auto">
                            <a:xfrm>
                              <a:off x="-980" y="13000"/>
                              <a:ext cx="2000" cy="2400"/>
                            </a:xfrm>
                            <a:custGeom>
                              <a:avLst/>
                              <a:gdLst>
                                <a:gd name="T0" fmla="*/ 5674 w 2000"/>
                                <a:gd name="T1" fmla="*/ -12966 h 2400"/>
                                <a:gd name="T2" fmla="*/ 5698 w 2000"/>
                                <a:gd name="T3" fmla="*/ -12966 h 2400"/>
                                <a:gd name="T4" fmla="*/ 5751 w 2000"/>
                                <a:gd name="T5" fmla="*/ -12813 h 2400"/>
                                <a:gd name="T6" fmla="*/ 5730 w 2000"/>
                                <a:gd name="T7" fmla="*/ -12813 h 2400"/>
                                <a:gd name="T8" fmla="*/ 5714 w 2000"/>
                                <a:gd name="T9" fmla="*/ -12861 h 2400"/>
                                <a:gd name="T10" fmla="*/ 5659 w 2000"/>
                                <a:gd name="T11" fmla="*/ -12861 h 2400"/>
                                <a:gd name="T12" fmla="*/ 5643 w 2000"/>
                                <a:gd name="T13" fmla="*/ -12813 h 2400"/>
                                <a:gd name="T14" fmla="*/ 5623 w 2000"/>
                                <a:gd name="T15" fmla="*/ -12813 h 2400"/>
                                <a:gd name="T16" fmla="*/ 5674 w 2000"/>
                                <a:gd name="T17" fmla="*/ -12966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00" h="2400">
                                  <a:moveTo>
                                    <a:pt x="5674" y="-12966"/>
                                  </a:moveTo>
                                  <a:lnTo>
                                    <a:pt x="5698" y="-12966"/>
                                  </a:lnTo>
                                  <a:lnTo>
                                    <a:pt x="5751" y="-12813"/>
                                  </a:lnTo>
                                  <a:lnTo>
                                    <a:pt x="5730" y="-12813"/>
                                  </a:lnTo>
                                  <a:lnTo>
                                    <a:pt x="5714" y="-12861"/>
                                  </a:lnTo>
                                  <a:lnTo>
                                    <a:pt x="5659" y="-12861"/>
                                  </a:lnTo>
                                  <a:lnTo>
                                    <a:pt x="5643" y="-12813"/>
                                  </a:lnTo>
                                  <a:lnTo>
                                    <a:pt x="5623" y="-12813"/>
                                  </a:lnTo>
                                  <a:lnTo>
                                    <a:pt x="5674" y="-12966"/>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3" name="Group 680"/>
                        <wpg:cNvGrpSpPr>
                          <a:grpSpLocks/>
                        </wpg:cNvGrpSpPr>
                        <wpg:grpSpPr bwMode="auto">
                          <a:xfrm>
                            <a:off x="4786" y="30"/>
                            <a:ext cx="117" cy="159"/>
                            <a:chOff x="4786" y="30"/>
                            <a:chExt cx="117" cy="159"/>
                          </a:xfrm>
                        </wpg:grpSpPr>
                        <wps:wsp>
                          <wps:cNvPr id="364" name="Freeform 681"/>
                          <wps:cNvSpPr>
                            <a:spLocks/>
                          </wps:cNvSpPr>
                          <wps:spPr bwMode="auto">
                            <a:xfrm>
                              <a:off x="4786" y="30"/>
                              <a:ext cx="117" cy="159"/>
                            </a:xfrm>
                            <a:custGeom>
                              <a:avLst/>
                              <a:gdLst>
                                <a:gd name="T0" fmla="*/ 75 w 117"/>
                                <a:gd name="T1" fmla="*/ 158 h 159"/>
                                <a:gd name="T2" fmla="*/ 54 w 117"/>
                                <a:gd name="T3" fmla="*/ 155 h 159"/>
                                <a:gd name="T4" fmla="*/ 37 w 117"/>
                                <a:gd name="T5" fmla="*/ 149 h 159"/>
                                <a:gd name="T6" fmla="*/ 21 w 117"/>
                                <a:gd name="T7" fmla="*/ 139 h 159"/>
                                <a:gd name="T8" fmla="*/ 10 w 117"/>
                                <a:gd name="T9" fmla="*/ 123 h 159"/>
                                <a:gd name="T10" fmla="*/ 2 w 117"/>
                                <a:gd name="T11" fmla="*/ 103 h 159"/>
                                <a:gd name="T12" fmla="*/ 0 w 117"/>
                                <a:gd name="T13" fmla="*/ 80 h 159"/>
                                <a:gd name="T14" fmla="*/ 2 w 117"/>
                                <a:gd name="T15" fmla="*/ 57 h 159"/>
                                <a:gd name="T16" fmla="*/ 10 w 117"/>
                                <a:gd name="T17" fmla="*/ 38 h 159"/>
                                <a:gd name="T18" fmla="*/ 21 w 117"/>
                                <a:gd name="T19" fmla="*/ 21 h 159"/>
                                <a:gd name="T20" fmla="*/ 38 w 117"/>
                                <a:gd name="T21" fmla="*/ 10 h 159"/>
                                <a:gd name="T22" fmla="*/ 57 w 117"/>
                                <a:gd name="T23" fmla="*/ 2 h 159"/>
                                <a:gd name="T24" fmla="*/ 80 w 117"/>
                                <a:gd name="T25" fmla="*/ 0 h 159"/>
                                <a:gd name="T26" fmla="*/ 97 w 117"/>
                                <a:gd name="T27" fmla="*/ 1 h 159"/>
                                <a:gd name="T28" fmla="*/ 108 w 117"/>
                                <a:gd name="T29" fmla="*/ 3 h 159"/>
                                <a:gd name="T30" fmla="*/ 116 w 117"/>
                                <a:gd name="T31" fmla="*/ 6 h 159"/>
                                <a:gd name="T32" fmla="*/ 113 w 117"/>
                                <a:gd name="T33" fmla="*/ 16 h 159"/>
                                <a:gd name="T34" fmla="*/ 80 w 117"/>
                                <a:gd name="T35" fmla="*/ 16 h 159"/>
                                <a:gd name="T36" fmla="*/ 60 w 117"/>
                                <a:gd name="T37" fmla="*/ 19 h 159"/>
                                <a:gd name="T38" fmla="*/ 43 w 117"/>
                                <a:gd name="T39" fmla="*/ 26 h 159"/>
                                <a:gd name="T40" fmla="*/ 31 w 117"/>
                                <a:gd name="T41" fmla="*/ 39 h 159"/>
                                <a:gd name="T42" fmla="*/ 23 w 117"/>
                                <a:gd name="T43" fmla="*/ 57 h 159"/>
                                <a:gd name="T44" fmla="*/ 20 w 117"/>
                                <a:gd name="T45" fmla="*/ 80 h 159"/>
                                <a:gd name="T46" fmla="*/ 23 w 117"/>
                                <a:gd name="T47" fmla="*/ 100 h 159"/>
                                <a:gd name="T48" fmla="*/ 30 w 117"/>
                                <a:gd name="T49" fmla="*/ 117 h 159"/>
                                <a:gd name="T50" fmla="*/ 42 w 117"/>
                                <a:gd name="T51" fmla="*/ 130 h 159"/>
                                <a:gd name="T52" fmla="*/ 58 w 117"/>
                                <a:gd name="T53" fmla="*/ 139 h 159"/>
                                <a:gd name="T54" fmla="*/ 79 w 117"/>
                                <a:gd name="T55" fmla="*/ 141 h 159"/>
                                <a:gd name="T56" fmla="*/ 114 w 117"/>
                                <a:gd name="T57" fmla="*/ 141 h 159"/>
                                <a:gd name="T58" fmla="*/ 116 w 117"/>
                                <a:gd name="T59" fmla="*/ 150 h 159"/>
                                <a:gd name="T60" fmla="*/ 106 w 117"/>
                                <a:gd name="T61" fmla="*/ 154 h 159"/>
                                <a:gd name="T62" fmla="*/ 93 w 117"/>
                                <a:gd name="T63" fmla="*/ 157 h 159"/>
                                <a:gd name="T64" fmla="*/ 75 w 117"/>
                                <a:gd name="T65" fmla="*/ 158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7" h="159">
                                  <a:moveTo>
                                    <a:pt x="75" y="158"/>
                                  </a:moveTo>
                                  <a:lnTo>
                                    <a:pt x="54" y="155"/>
                                  </a:lnTo>
                                  <a:lnTo>
                                    <a:pt x="37" y="149"/>
                                  </a:lnTo>
                                  <a:lnTo>
                                    <a:pt x="21" y="139"/>
                                  </a:lnTo>
                                  <a:lnTo>
                                    <a:pt x="10" y="123"/>
                                  </a:lnTo>
                                  <a:lnTo>
                                    <a:pt x="2" y="103"/>
                                  </a:lnTo>
                                  <a:lnTo>
                                    <a:pt x="0" y="80"/>
                                  </a:lnTo>
                                  <a:lnTo>
                                    <a:pt x="2" y="57"/>
                                  </a:lnTo>
                                  <a:lnTo>
                                    <a:pt x="10" y="38"/>
                                  </a:lnTo>
                                  <a:lnTo>
                                    <a:pt x="21" y="21"/>
                                  </a:lnTo>
                                  <a:lnTo>
                                    <a:pt x="38" y="10"/>
                                  </a:lnTo>
                                  <a:lnTo>
                                    <a:pt x="57" y="2"/>
                                  </a:lnTo>
                                  <a:lnTo>
                                    <a:pt x="80" y="0"/>
                                  </a:lnTo>
                                  <a:lnTo>
                                    <a:pt x="97" y="1"/>
                                  </a:lnTo>
                                  <a:lnTo>
                                    <a:pt x="108" y="3"/>
                                  </a:lnTo>
                                  <a:lnTo>
                                    <a:pt x="116" y="6"/>
                                  </a:lnTo>
                                  <a:lnTo>
                                    <a:pt x="113" y="16"/>
                                  </a:lnTo>
                                  <a:lnTo>
                                    <a:pt x="80" y="16"/>
                                  </a:lnTo>
                                  <a:lnTo>
                                    <a:pt x="60" y="19"/>
                                  </a:lnTo>
                                  <a:lnTo>
                                    <a:pt x="43" y="26"/>
                                  </a:lnTo>
                                  <a:lnTo>
                                    <a:pt x="31" y="39"/>
                                  </a:lnTo>
                                  <a:lnTo>
                                    <a:pt x="23" y="57"/>
                                  </a:lnTo>
                                  <a:lnTo>
                                    <a:pt x="20" y="80"/>
                                  </a:lnTo>
                                  <a:lnTo>
                                    <a:pt x="23" y="100"/>
                                  </a:lnTo>
                                  <a:lnTo>
                                    <a:pt x="30" y="117"/>
                                  </a:lnTo>
                                  <a:lnTo>
                                    <a:pt x="42" y="130"/>
                                  </a:lnTo>
                                  <a:lnTo>
                                    <a:pt x="58" y="139"/>
                                  </a:lnTo>
                                  <a:lnTo>
                                    <a:pt x="79" y="141"/>
                                  </a:lnTo>
                                  <a:lnTo>
                                    <a:pt x="114" y="141"/>
                                  </a:lnTo>
                                  <a:lnTo>
                                    <a:pt x="116" y="150"/>
                                  </a:lnTo>
                                  <a:lnTo>
                                    <a:pt x="106" y="154"/>
                                  </a:lnTo>
                                  <a:lnTo>
                                    <a:pt x="93" y="157"/>
                                  </a:lnTo>
                                  <a:lnTo>
                                    <a:pt x="75" y="1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5" name="Freeform 682"/>
                          <wps:cNvSpPr>
                            <a:spLocks/>
                          </wps:cNvSpPr>
                          <wps:spPr bwMode="auto">
                            <a:xfrm>
                              <a:off x="4786" y="30"/>
                              <a:ext cx="117" cy="159"/>
                            </a:xfrm>
                            <a:custGeom>
                              <a:avLst/>
                              <a:gdLst>
                                <a:gd name="T0" fmla="*/ 111 w 117"/>
                                <a:gd name="T1" fmla="*/ 23 h 159"/>
                                <a:gd name="T2" fmla="*/ 98 w 117"/>
                                <a:gd name="T3" fmla="*/ 17 h 159"/>
                                <a:gd name="T4" fmla="*/ 80 w 117"/>
                                <a:gd name="T5" fmla="*/ 16 h 159"/>
                                <a:gd name="T6" fmla="*/ 113 w 117"/>
                                <a:gd name="T7" fmla="*/ 16 h 159"/>
                                <a:gd name="T8" fmla="*/ 111 w 117"/>
                                <a:gd name="T9" fmla="*/ 23 h 159"/>
                              </a:gdLst>
                              <a:ahLst/>
                              <a:cxnLst>
                                <a:cxn ang="0">
                                  <a:pos x="T0" y="T1"/>
                                </a:cxn>
                                <a:cxn ang="0">
                                  <a:pos x="T2" y="T3"/>
                                </a:cxn>
                                <a:cxn ang="0">
                                  <a:pos x="T4" y="T5"/>
                                </a:cxn>
                                <a:cxn ang="0">
                                  <a:pos x="T6" y="T7"/>
                                </a:cxn>
                                <a:cxn ang="0">
                                  <a:pos x="T8" y="T9"/>
                                </a:cxn>
                              </a:cxnLst>
                              <a:rect l="0" t="0" r="r" b="b"/>
                              <a:pathLst>
                                <a:path w="117" h="159">
                                  <a:moveTo>
                                    <a:pt x="111" y="23"/>
                                  </a:moveTo>
                                  <a:lnTo>
                                    <a:pt x="98" y="17"/>
                                  </a:lnTo>
                                  <a:lnTo>
                                    <a:pt x="80" y="16"/>
                                  </a:lnTo>
                                  <a:lnTo>
                                    <a:pt x="113" y="16"/>
                                  </a:lnTo>
                                  <a:lnTo>
                                    <a:pt x="111"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6" name="Freeform 683"/>
                          <wps:cNvSpPr>
                            <a:spLocks/>
                          </wps:cNvSpPr>
                          <wps:spPr bwMode="auto">
                            <a:xfrm>
                              <a:off x="4786" y="30"/>
                              <a:ext cx="117" cy="159"/>
                            </a:xfrm>
                            <a:custGeom>
                              <a:avLst/>
                              <a:gdLst>
                                <a:gd name="T0" fmla="*/ 114 w 117"/>
                                <a:gd name="T1" fmla="*/ 141 h 159"/>
                                <a:gd name="T2" fmla="*/ 79 w 117"/>
                                <a:gd name="T3" fmla="*/ 141 h 159"/>
                                <a:gd name="T4" fmla="*/ 97 w 117"/>
                                <a:gd name="T5" fmla="*/ 140 h 159"/>
                                <a:gd name="T6" fmla="*/ 112 w 117"/>
                                <a:gd name="T7" fmla="*/ 135 h 159"/>
                                <a:gd name="T8" fmla="*/ 114 w 117"/>
                                <a:gd name="T9" fmla="*/ 141 h 159"/>
                              </a:gdLst>
                              <a:ahLst/>
                              <a:cxnLst>
                                <a:cxn ang="0">
                                  <a:pos x="T0" y="T1"/>
                                </a:cxn>
                                <a:cxn ang="0">
                                  <a:pos x="T2" y="T3"/>
                                </a:cxn>
                                <a:cxn ang="0">
                                  <a:pos x="T4" y="T5"/>
                                </a:cxn>
                                <a:cxn ang="0">
                                  <a:pos x="T6" y="T7"/>
                                </a:cxn>
                                <a:cxn ang="0">
                                  <a:pos x="T8" y="T9"/>
                                </a:cxn>
                              </a:cxnLst>
                              <a:rect l="0" t="0" r="r" b="b"/>
                              <a:pathLst>
                                <a:path w="117" h="159">
                                  <a:moveTo>
                                    <a:pt x="114" y="141"/>
                                  </a:moveTo>
                                  <a:lnTo>
                                    <a:pt x="79" y="141"/>
                                  </a:lnTo>
                                  <a:lnTo>
                                    <a:pt x="97" y="140"/>
                                  </a:lnTo>
                                  <a:lnTo>
                                    <a:pt x="112" y="135"/>
                                  </a:lnTo>
                                  <a:lnTo>
                                    <a:pt x="114" y="1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67" name="Freeform 684"/>
                        <wps:cNvSpPr>
                          <a:spLocks/>
                        </wps:cNvSpPr>
                        <wps:spPr bwMode="auto">
                          <a:xfrm>
                            <a:off x="4786" y="30"/>
                            <a:ext cx="117" cy="159"/>
                          </a:xfrm>
                          <a:custGeom>
                            <a:avLst/>
                            <a:gdLst>
                              <a:gd name="T0" fmla="*/ 80 w 117"/>
                              <a:gd name="T1" fmla="*/ 0 h 159"/>
                              <a:gd name="T2" fmla="*/ 97 w 117"/>
                              <a:gd name="T3" fmla="*/ 1 h 159"/>
                              <a:gd name="T4" fmla="*/ 108 w 117"/>
                              <a:gd name="T5" fmla="*/ 3 h 159"/>
                              <a:gd name="T6" fmla="*/ 116 w 117"/>
                              <a:gd name="T7" fmla="*/ 6 h 159"/>
                              <a:gd name="T8" fmla="*/ 111 w 117"/>
                              <a:gd name="T9" fmla="*/ 23 h 159"/>
                              <a:gd name="T10" fmla="*/ 98 w 117"/>
                              <a:gd name="T11" fmla="*/ 17 h 159"/>
                              <a:gd name="T12" fmla="*/ 80 w 117"/>
                              <a:gd name="T13" fmla="*/ 16 h 159"/>
                              <a:gd name="T14" fmla="*/ 60 w 117"/>
                              <a:gd name="T15" fmla="*/ 19 h 159"/>
                              <a:gd name="T16" fmla="*/ 43 w 117"/>
                              <a:gd name="T17" fmla="*/ 26 h 159"/>
                              <a:gd name="T18" fmla="*/ 31 w 117"/>
                              <a:gd name="T19" fmla="*/ 39 h 159"/>
                              <a:gd name="T20" fmla="*/ 23 w 117"/>
                              <a:gd name="T21" fmla="*/ 57 h 159"/>
                              <a:gd name="T22" fmla="*/ 20 w 117"/>
                              <a:gd name="T23" fmla="*/ 80 h 159"/>
                              <a:gd name="T24" fmla="*/ 23 w 117"/>
                              <a:gd name="T25" fmla="*/ 100 h 159"/>
                              <a:gd name="T26" fmla="*/ 30 w 117"/>
                              <a:gd name="T27" fmla="*/ 117 h 159"/>
                              <a:gd name="T28" fmla="*/ 42 w 117"/>
                              <a:gd name="T29" fmla="*/ 130 h 159"/>
                              <a:gd name="T30" fmla="*/ 58 w 117"/>
                              <a:gd name="T31" fmla="*/ 139 h 159"/>
                              <a:gd name="T32" fmla="*/ 79 w 117"/>
                              <a:gd name="T33" fmla="*/ 141 h 159"/>
                              <a:gd name="T34" fmla="*/ 97 w 117"/>
                              <a:gd name="T35" fmla="*/ 140 h 159"/>
                              <a:gd name="T36" fmla="*/ 112 w 117"/>
                              <a:gd name="T37" fmla="*/ 135 h 159"/>
                              <a:gd name="T38" fmla="*/ 116 w 117"/>
                              <a:gd name="T39" fmla="*/ 150 h 159"/>
                              <a:gd name="T40" fmla="*/ 106 w 117"/>
                              <a:gd name="T41" fmla="*/ 154 h 159"/>
                              <a:gd name="T42" fmla="*/ 93 w 117"/>
                              <a:gd name="T43" fmla="*/ 157 h 159"/>
                              <a:gd name="T44" fmla="*/ 75 w 117"/>
                              <a:gd name="T45" fmla="*/ 158 h 159"/>
                              <a:gd name="T46" fmla="*/ 54 w 117"/>
                              <a:gd name="T47" fmla="*/ 155 h 159"/>
                              <a:gd name="T48" fmla="*/ 37 w 117"/>
                              <a:gd name="T49" fmla="*/ 149 h 159"/>
                              <a:gd name="T50" fmla="*/ 21 w 117"/>
                              <a:gd name="T51" fmla="*/ 139 h 159"/>
                              <a:gd name="T52" fmla="*/ 10 w 117"/>
                              <a:gd name="T53" fmla="*/ 123 h 159"/>
                              <a:gd name="T54" fmla="*/ 2 w 117"/>
                              <a:gd name="T55" fmla="*/ 103 h 159"/>
                              <a:gd name="T56" fmla="*/ 0 w 117"/>
                              <a:gd name="T57" fmla="*/ 80 h 159"/>
                              <a:gd name="T58" fmla="*/ 2 w 117"/>
                              <a:gd name="T59" fmla="*/ 57 h 159"/>
                              <a:gd name="T60" fmla="*/ 10 w 117"/>
                              <a:gd name="T61" fmla="*/ 38 h 159"/>
                              <a:gd name="T62" fmla="*/ 21 w 117"/>
                              <a:gd name="T63" fmla="*/ 21 h 159"/>
                              <a:gd name="T64" fmla="*/ 38 w 117"/>
                              <a:gd name="T65" fmla="*/ 10 h 159"/>
                              <a:gd name="T66" fmla="*/ 57 w 117"/>
                              <a:gd name="T67" fmla="*/ 2 h 159"/>
                              <a:gd name="T68" fmla="*/ 80 w 117"/>
                              <a:gd name="T69" fmla="*/ 0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17" h="159">
                                <a:moveTo>
                                  <a:pt x="80" y="0"/>
                                </a:moveTo>
                                <a:lnTo>
                                  <a:pt x="97" y="1"/>
                                </a:lnTo>
                                <a:lnTo>
                                  <a:pt x="108" y="3"/>
                                </a:lnTo>
                                <a:lnTo>
                                  <a:pt x="116" y="6"/>
                                </a:lnTo>
                                <a:lnTo>
                                  <a:pt x="111" y="23"/>
                                </a:lnTo>
                                <a:lnTo>
                                  <a:pt x="98" y="17"/>
                                </a:lnTo>
                                <a:lnTo>
                                  <a:pt x="80" y="16"/>
                                </a:lnTo>
                                <a:lnTo>
                                  <a:pt x="60" y="19"/>
                                </a:lnTo>
                                <a:lnTo>
                                  <a:pt x="43" y="26"/>
                                </a:lnTo>
                                <a:lnTo>
                                  <a:pt x="31" y="39"/>
                                </a:lnTo>
                                <a:lnTo>
                                  <a:pt x="23" y="57"/>
                                </a:lnTo>
                                <a:lnTo>
                                  <a:pt x="20" y="80"/>
                                </a:lnTo>
                                <a:lnTo>
                                  <a:pt x="23" y="100"/>
                                </a:lnTo>
                                <a:lnTo>
                                  <a:pt x="30" y="117"/>
                                </a:lnTo>
                                <a:lnTo>
                                  <a:pt x="42" y="130"/>
                                </a:lnTo>
                                <a:lnTo>
                                  <a:pt x="58" y="139"/>
                                </a:lnTo>
                                <a:lnTo>
                                  <a:pt x="79" y="141"/>
                                </a:lnTo>
                                <a:lnTo>
                                  <a:pt x="97" y="140"/>
                                </a:lnTo>
                                <a:lnTo>
                                  <a:pt x="112" y="135"/>
                                </a:lnTo>
                                <a:lnTo>
                                  <a:pt x="116" y="150"/>
                                </a:lnTo>
                                <a:lnTo>
                                  <a:pt x="106" y="154"/>
                                </a:lnTo>
                                <a:lnTo>
                                  <a:pt x="93" y="157"/>
                                </a:lnTo>
                                <a:lnTo>
                                  <a:pt x="75" y="158"/>
                                </a:lnTo>
                                <a:lnTo>
                                  <a:pt x="54" y="155"/>
                                </a:lnTo>
                                <a:lnTo>
                                  <a:pt x="37" y="149"/>
                                </a:lnTo>
                                <a:lnTo>
                                  <a:pt x="21" y="139"/>
                                </a:lnTo>
                                <a:lnTo>
                                  <a:pt x="10" y="123"/>
                                </a:lnTo>
                                <a:lnTo>
                                  <a:pt x="2" y="103"/>
                                </a:lnTo>
                                <a:lnTo>
                                  <a:pt x="0" y="80"/>
                                </a:lnTo>
                                <a:lnTo>
                                  <a:pt x="2" y="57"/>
                                </a:lnTo>
                                <a:lnTo>
                                  <a:pt x="10" y="38"/>
                                </a:lnTo>
                                <a:lnTo>
                                  <a:pt x="21" y="21"/>
                                </a:lnTo>
                                <a:lnTo>
                                  <a:pt x="38" y="10"/>
                                </a:lnTo>
                                <a:lnTo>
                                  <a:pt x="57" y="2"/>
                                </a:lnTo>
                                <a:lnTo>
                                  <a:pt x="80"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8" name="Freeform 685"/>
                        <wps:cNvSpPr>
                          <a:spLocks/>
                        </wps:cNvSpPr>
                        <wps:spPr bwMode="auto">
                          <a:xfrm>
                            <a:off x="4942" y="32"/>
                            <a:ext cx="20" cy="154"/>
                          </a:xfrm>
                          <a:custGeom>
                            <a:avLst/>
                            <a:gdLst>
                              <a:gd name="T0" fmla="*/ 0 w 20"/>
                              <a:gd name="T1" fmla="*/ 0 h 154"/>
                              <a:gd name="T2" fmla="*/ 0 w 20"/>
                              <a:gd name="T3" fmla="*/ 153 h 154"/>
                            </a:gdLst>
                            <a:ahLst/>
                            <a:cxnLst>
                              <a:cxn ang="0">
                                <a:pos x="T0" y="T1"/>
                              </a:cxn>
                              <a:cxn ang="0">
                                <a:pos x="T2" y="T3"/>
                              </a:cxn>
                            </a:cxnLst>
                            <a:rect l="0" t="0" r="r" b="b"/>
                            <a:pathLst>
                              <a:path w="20" h="154">
                                <a:moveTo>
                                  <a:pt x="0" y="0"/>
                                </a:moveTo>
                                <a:lnTo>
                                  <a:pt x="0" y="153"/>
                                </a:lnTo>
                              </a:path>
                            </a:pathLst>
                          </a:custGeom>
                          <a:noFill/>
                          <a:ln w="129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9" name="Freeform 686"/>
                        <wps:cNvSpPr>
                          <a:spLocks/>
                        </wps:cNvSpPr>
                        <wps:spPr bwMode="auto">
                          <a:xfrm>
                            <a:off x="4932" y="105"/>
                            <a:ext cx="116" cy="20"/>
                          </a:xfrm>
                          <a:custGeom>
                            <a:avLst/>
                            <a:gdLst>
                              <a:gd name="T0" fmla="*/ 0 w 116"/>
                              <a:gd name="T1" fmla="*/ 0 h 20"/>
                              <a:gd name="T2" fmla="*/ 115 w 116"/>
                              <a:gd name="T3" fmla="*/ 0 h 20"/>
                            </a:gdLst>
                            <a:ahLst/>
                            <a:cxnLst>
                              <a:cxn ang="0">
                                <a:pos x="T0" y="T1"/>
                              </a:cxn>
                              <a:cxn ang="0">
                                <a:pos x="T2" y="T3"/>
                              </a:cxn>
                            </a:cxnLst>
                            <a:rect l="0" t="0" r="r" b="b"/>
                            <a:pathLst>
                              <a:path w="116" h="20">
                                <a:moveTo>
                                  <a:pt x="0" y="0"/>
                                </a:moveTo>
                                <a:lnTo>
                                  <a:pt x="115" y="0"/>
                                </a:lnTo>
                              </a:path>
                            </a:pathLst>
                          </a:custGeom>
                          <a:noFill/>
                          <a:ln w="114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 name="Freeform 687"/>
                        <wps:cNvSpPr>
                          <a:spLocks/>
                        </wps:cNvSpPr>
                        <wps:spPr bwMode="auto">
                          <a:xfrm>
                            <a:off x="5037" y="33"/>
                            <a:ext cx="20" cy="154"/>
                          </a:xfrm>
                          <a:custGeom>
                            <a:avLst/>
                            <a:gdLst>
                              <a:gd name="T0" fmla="*/ 0 w 20"/>
                              <a:gd name="T1" fmla="*/ 0 h 154"/>
                              <a:gd name="T2" fmla="*/ 0 w 20"/>
                              <a:gd name="T3" fmla="*/ 153 h 154"/>
                            </a:gdLst>
                            <a:ahLst/>
                            <a:cxnLst>
                              <a:cxn ang="0">
                                <a:pos x="T0" y="T1"/>
                              </a:cxn>
                              <a:cxn ang="0">
                                <a:pos x="T2" y="T3"/>
                              </a:cxn>
                            </a:cxnLst>
                            <a:rect l="0" t="0" r="r" b="b"/>
                            <a:pathLst>
                              <a:path w="20" h="154">
                                <a:moveTo>
                                  <a:pt x="0" y="0"/>
                                </a:moveTo>
                                <a:lnTo>
                                  <a:pt x="0" y="153"/>
                                </a:lnTo>
                              </a:path>
                            </a:pathLst>
                          </a:custGeom>
                          <a:noFill/>
                          <a:ln w="129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 name="Freeform 688"/>
                        <wps:cNvSpPr>
                          <a:spLocks/>
                        </wps:cNvSpPr>
                        <wps:spPr bwMode="auto">
                          <a:xfrm>
                            <a:off x="4932" y="33"/>
                            <a:ext cx="116" cy="154"/>
                          </a:xfrm>
                          <a:custGeom>
                            <a:avLst/>
                            <a:gdLst>
                              <a:gd name="T0" fmla="*/ 0 w 116"/>
                              <a:gd name="T1" fmla="*/ 0 h 154"/>
                              <a:gd name="T2" fmla="*/ 20 w 116"/>
                              <a:gd name="T3" fmla="*/ 0 h 154"/>
                              <a:gd name="T4" fmla="*/ 20 w 116"/>
                              <a:gd name="T5" fmla="*/ 63 h 154"/>
                              <a:gd name="T6" fmla="*/ 94 w 116"/>
                              <a:gd name="T7" fmla="*/ 63 h 154"/>
                              <a:gd name="T8" fmla="*/ 94 w 116"/>
                              <a:gd name="T9" fmla="*/ 0 h 154"/>
                              <a:gd name="T10" fmla="*/ 115 w 116"/>
                              <a:gd name="T11" fmla="*/ 0 h 154"/>
                              <a:gd name="T12" fmla="*/ 115 w 116"/>
                              <a:gd name="T13" fmla="*/ 153 h 154"/>
                              <a:gd name="T14" fmla="*/ 94 w 116"/>
                              <a:gd name="T15" fmla="*/ 153 h 154"/>
                              <a:gd name="T16" fmla="*/ 94 w 116"/>
                              <a:gd name="T17" fmla="*/ 81 h 154"/>
                              <a:gd name="T18" fmla="*/ 20 w 116"/>
                              <a:gd name="T19" fmla="*/ 81 h 154"/>
                              <a:gd name="T20" fmla="*/ 20 w 116"/>
                              <a:gd name="T21" fmla="*/ 153 h 154"/>
                              <a:gd name="T22" fmla="*/ 0 w 116"/>
                              <a:gd name="T23" fmla="*/ 153 h 154"/>
                              <a:gd name="T24" fmla="*/ 0 w 116"/>
                              <a:gd name="T25" fmla="*/ 0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6" h="154">
                                <a:moveTo>
                                  <a:pt x="0" y="0"/>
                                </a:moveTo>
                                <a:lnTo>
                                  <a:pt x="20" y="0"/>
                                </a:lnTo>
                                <a:lnTo>
                                  <a:pt x="20" y="63"/>
                                </a:lnTo>
                                <a:lnTo>
                                  <a:pt x="94" y="63"/>
                                </a:lnTo>
                                <a:lnTo>
                                  <a:pt x="94" y="0"/>
                                </a:lnTo>
                                <a:lnTo>
                                  <a:pt x="115" y="0"/>
                                </a:lnTo>
                                <a:lnTo>
                                  <a:pt x="115" y="153"/>
                                </a:lnTo>
                                <a:lnTo>
                                  <a:pt x="94" y="153"/>
                                </a:lnTo>
                                <a:lnTo>
                                  <a:pt x="94" y="81"/>
                                </a:lnTo>
                                <a:lnTo>
                                  <a:pt x="20" y="81"/>
                                </a:lnTo>
                                <a:lnTo>
                                  <a:pt x="20" y="153"/>
                                </a:lnTo>
                                <a:lnTo>
                                  <a:pt x="0" y="153"/>
                                </a:lnTo>
                                <a:lnTo>
                                  <a:pt x="0"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72" name="Group 689"/>
                        <wpg:cNvGrpSpPr>
                          <a:grpSpLocks/>
                        </wpg:cNvGrpSpPr>
                        <wpg:grpSpPr bwMode="auto">
                          <a:xfrm>
                            <a:off x="5085" y="33"/>
                            <a:ext cx="114" cy="156"/>
                            <a:chOff x="5085" y="33"/>
                            <a:chExt cx="114" cy="156"/>
                          </a:xfrm>
                        </wpg:grpSpPr>
                        <wps:wsp>
                          <wps:cNvPr id="373" name="Freeform 690"/>
                          <wps:cNvSpPr>
                            <a:spLocks/>
                          </wps:cNvSpPr>
                          <wps:spPr bwMode="auto">
                            <a:xfrm>
                              <a:off x="5085" y="33"/>
                              <a:ext cx="114" cy="156"/>
                            </a:xfrm>
                            <a:custGeom>
                              <a:avLst/>
                              <a:gdLst>
                                <a:gd name="T0" fmla="*/ 54 w 114"/>
                                <a:gd name="T1" fmla="*/ 155 h 156"/>
                                <a:gd name="T2" fmla="*/ 39 w 114"/>
                                <a:gd name="T3" fmla="*/ 154 h 156"/>
                                <a:gd name="T4" fmla="*/ 26 w 114"/>
                                <a:gd name="T5" fmla="*/ 149 h 156"/>
                                <a:gd name="T6" fmla="*/ 15 w 114"/>
                                <a:gd name="T7" fmla="*/ 141 h 156"/>
                                <a:gd name="T8" fmla="*/ 7 w 114"/>
                                <a:gd name="T9" fmla="*/ 129 h 156"/>
                                <a:gd name="T10" fmla="*/ 1 w 114"/>
                                <a:gd name="T11" fmla="*/ 112 h 156"/>
                                <a:gd name="T12" fmla="*/ 0 w 114"/>
                                <a:gd name="T13" fmla="*/ 90 h 156"/>
                                <a:gd name="T14" fmla="*/ 0 w 114"/>
                                <a:gd name="T15" fmla="*/ 0 h 156"/>
                                <a:gd name="T16" fmla="*/ 20 w 114"/>
                                <a:gd name="T17" fmla="*/ 0 h 156"/>
                                <a:gd name="T18" fmla="*/ 20 w 114"/>
                                <a:gd name="T19" fmla="*/ 90 h 156"/>
                                <a:gd name="T20" fmla="*/ 21 w 114"/>
                                <a:gd name="T21" fmla="*/ 109 h 156"/>
                                <a:gd name="T22" fmla="*/ 26 w 114"/>
                                <a:gd name="T23" fmla="*/ 122 h 156"/>
                                <a:gd name="T24" fmla="*/ 34 w 114"/>
                                <a:gd name="T25" fmla="*/ 132 h 156"/>
                                <a:gd name="T26" fmla="*/ 44 w 114"/>
                                <a:gd name="T27" fmla="*/ 138 h 156"/>
                                <a:gd name="T28" fmla="*/ 56 w 114"/>
                                <a:gd name="T29" fmla="*/ 140 h 156"/>
                                <a:gd name="T30" fmla="*/ 97 w 114"/>
                                <a:gd name="T31" fmla="*/ 140 h 156"/>
                                <a:gd name="T32" fmla="*/ 85 w 114"/>
                                <a:gd name="T33" fmla="*/ 149 h 156"/>
                                <a:gd name="T34" fmla="*/ 71 w 114"/>
                                <a:gd name="T35" fmla="*/ 154 h 156"/>
                                <a:gd name="T36" fmla="*/ 54 w 114"/>
                                <a:gd name="T37" fmla="*/ 155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14" h="156">
                                  <a:moveTo>
                                    <a:pt x="54" y="155"/>
                                  </a:moveTo>
                                  <a:lnTo>
                                    <a:pt x="39" y="154"/>
                                  </a:lnTo>
                                  <a:lnTo>
                                    <a:pt x="26" y="149"/>
                                  </a:lnTo>
                                  <a:lnTo>
                                    <a:pt x="15" y="141"/>
                                  </a:lnTo>
                                  <a:lnTo>
                                    <a:pt x="7" y="129"/>
                                  </a:lnTo>
                                  <a:lnTo>
                                    <a:pt x="1" y="112"/>
                                  </a:lnTo>
                                  <a:lnTo>
                                    <a:pt x="0" y="90"/>
                                  </a:lnTo>
                                  <a:lnTo>
                                    <a:pt x="0" y="0"/>
                                  </a:lnTo>
                                  <a:lnTo>
                                    <a:pt x="20" y="0"/>
                                  </a:lnTo>
                                  <a:lnTo>
                                    <a:pt x="20" y="90"/>
                                  </a:lnTo>
                                  <a:lnTo>
                                    <a:pt x="21" y="109"/>
                                  </a:lnTo>
                                  <a:lnTo>
                                    <a:pt x="26" y="122"/>
                                  </a:lnTo>
                                  <a:lnTo>
                                    <a:pt x="34" y="132"/>
                                  </a:lnTo>
                                  <a:lnTo>
                                    <a:pt x="44" y="138"/>
                                  </a:lnTo>
                                  <a:lnTo>
                                    <a:pt x="56" y="140"/>
                                  </a:lnTo>
                                  <a:lnTo>
                                    <a:pt x="97" y="140"/>
                                  </a:lnTo>
                                  <a:lnTo>
                                    <a:pt x="85" y="149"/>
                                  </a:lnTo>
                                  <a:lnTo>
                                    <a:pt x="71" y="154"/>
                                  </a:lnTo>
                                  <a:lnTo>
                                    <a:pt x="54" y="1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4" name="Freeform 691"/>
                          <wps:cNvSpPr>
                            <a:spLocks/>
                          </wps:cNvSpPr>
                          <wps:spPr bwMode="auto">
                            <a:xfrm>
                              <a:off x="5085" y="33"/>
                              <a:ext cx="114" cy="156"/>
                            </a:xfrm>
                            <a:custGeom>
                              <a:avLst/>
                              <a:gdLst>
                                <a:gd name="T0" fmla="*/ 97 w 114"/>
                                <a:gd name="T1" fmla="*/ 140 h 156"/>
                                <a:gd name="T2" fmla="*/ 56 w 114"/>
                                <a:gd name="T3" fmla="*/ 140 h 156"/>
                                <a:gd name="T4" fmla="*/ 69 w 114"/>
                                <a:gd name="T5" fmla="*/ 138 h 156"/>
                                <a:gd name="T6" fmla="*/ 79 w 114"/>
                                <a:gd name="T7" fmla="*/ 132 h 156"/>
                                <a:gd name="T8" fmla="*/ 86 w 114"/>
                                <a:gd name="T9" fmla="*/ 122 h 156"/>
                                <a:gd name="T10" fmla="*/ 92 w 114"/>
                                <a:gd name="T11" fmla="*/ 108 h 156"/>
                                <a:gd name="T12" fmla="*/ 93 w 114"/>
                                <a:gd name="T13" fmla="*/ 90 h 156"/>
                                <a:gd name="T14" fmla="*/ 93 w 114"/>
                                <a:gd name="T15" fmla="*/ 0 h 156"/>
                                <a:gd name="T16" fmla="*/ 113 w 114"/>
                                <a:gd name="T17" fmla="*/ 0 h 156"/>
                                <a:gd name="T18" fmla="*/ 113 w 114"/>
                                <a:gd name="T19" fmla="*/ 89 h 156"/>
                                <a:gd name="T20" fmla="*/ 111 w 114"/>
                                <a:gd name="T21" fmla="*/ 111 h 156"/>
                                <a:gd name="T22" fmla="*/ 106 w 114"/>
                                <a:gd name="T23" fmla="*/ 127 h 156"/>
                                <a:gd name="T24" fmla="*/ 97 w 114"/>
                                <a:gd name="T25" fmla="*/ 140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4" h="156">
                                  <a:moveTo>
                                    <a:pt x="97" y="140"/>
                                  </a:moveTo>
                                  <a:lnTo>
                                    <a:pt x="56" y="140"/>
                                  </a:lnTo>
                                  <a:lnTo>
                                    <a:pt x="69" y="138"/>
                                  </a:lnTo>
                                  <a:lnTo>
                                    <a:pt x="79" y="132"/>
                                  </a:lnTo>
                                  <a:lnTo>
                                    <a:pt x="86" y="122"/>
                                  </a:lnTo>
                                  <a:lnTo>
                                    <a:pt x="92" y="108"/>
                                  </a:lnTo>
                                  <a:lnTo>
                                    <a:pt x="93" y="90"/>
                                  </a:lnTo>
                                  <a:lnTo>
                                    <a:pt x="93" y="0"/>
                                  </a:lnTo>
                                  <a:lnTo>
                                    <a:pt x="113" y="0"/>
                                  </a:lnTo>
                                  <a:lnTo>
                                    <a:pt x="113" y="89"/>
                                  </a:lnTo>
                                  <a:lnTo>
                                    <a:pt x="111" y="111"/>
                                  </a:lnTo>
                                  <a:lnTo>
                                    <a:pt x="106" y="127"/>
                                  </a:lnTo>
                                  <a:lnTo>
                                    <a:pt x="97" y="1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75" name="Freeform 692"/>
                        <wps:cNvSpPr>
                          <a:spLocks/>
                        </wps:cNvSpPr>
                        <wps:spPr bwMode="auto">
                          <a:xfrm>
                            <a:off x="5085" y="33"/>
                            <a:ext cx="114" cy="156"/>
                          </a:xfrm>
                          <a:custGeom>
                            <a:avLst/>
                            <a:gdLst>
                              <a:gd name="T0" fmla="*/ 0 w 114"/>
                              <a:gd name="T1" fmla="*/ 0 h 156"/>
                              <a:gd name="T2" fmla="*/ 20 w 114"/>
                              <a:gd name="T3" fmla="*/ 0 h 156"/>
                              <a:gd name="T4" fmla="*/ 20 w 114"/>
                              <a:gd name="T5" fmla="*/ 90 h 156"/>
                              <a:gd name="T6" fmla="*/ 21 w 114"/>
                              <a:gd name="T7" fmla="*/ 109 h 156"/>
                              <a:gd name="T8" fmla="*/ 26 w 114"/>
                              <a:gd name="T9" fmla="*/ 122 h 156"/>
                              <a:gd name="T10" fmla="*/ 34 w 114"/>
                              <a:gd name="T11" fmla="*/ 132 h 156"/>
                              <a:gd name="T12" fmla="*/ 44 w 114"/>
                              <a:gd name="T13" fmla="*/ 138 h 156"/>
                              <a:gd name="T14" fmla="*/ 56 w 114"/>
                              <a:gd name="T15" fmla="*/ 140 h 156"/>
                              <a:gd name="T16" fmla="*/ 69 w 114"/>
                              <a:gd name="T17" fmla="*/ 138 h 156"/>
                              <a:gd name="T18" fmla="*/ 79 w 114"/>
                              <a:gd name="T19" fmla="*/ 132 h 156"/>
                              <a:gd name="T20" fmla="*/ 86 w 114"/>
                              <a:gd name="T21" fmla="*/ 122 h 156"/>
                              <a:gd name="T22" fmla="*/ 92 w 114"/>
                              <a:gd name="T23" fmla="*/ 108 h 156"/>
                              <a:gd name="T24" fmla="*/ 93 w 114"/>
                              <a:gd name="T25" fmla="*/ 90 h 156"/>
                              <a:gd name="T26" fmla="*/ 93 w 114"/>
                              <a:gd name="T27" fmla="*/ 0 h 156"/>
                              <a:gd name="T28" fmla="*/ 113 w 114"/>
                              <a:gd name="T29" fmla="*/ 0 h 156"/>
                              <a:gd name="T30" fmla="*/ 113 w 114"/>
                              <a:gd name="T31" fmla="*/ 89 h 156"/>
                              <a:gd name="T32" fmla="*/ 111 w 114"/>
                              <a:gd name="T33" fmla="*/ 111 h 156"/>
                              <a:gd name="T34" fmla="*/ 106 w 114"/>
                              <a:gd name="T35" fmla="*/ 127 h 156"/>
                              <a:gd name="T36" fmla="*/ 97 w 114"/>
                              <a:gd name="T37" fmla="*/ 140 h 156"/>
                              <a:gd name="T38" fmla="*/ 85 w 114"/>
                              <a:gd name="T39" fmla="*/ 149 h 156"/>
                              <a:gd name="T40" fmla="*/ 71 w 114"/>
                              <a:gd name="T41" fmla="*/ 154 h 156"/>
                              <a:gd name="T42" fmla="*/ 54 w 114"/>
                              <a:gd name="T43" fmla="*/ 155 h 156"/>
                              <a:gd name="T44" fmla="*/ 39 w 114"/>
                              <a:gd name="T45" fmla="*/ 154 h 156"/>
                              <a:gd name="T46" fmla="*/ 26 w 114"/>
                              <a:gd name="T47" fmla="*/ 149 h 156"/>
                              <a:gd name="T48" fmla="*/ 15 w 114"/>
                              <a:gd name="T49" fmla="*/ 141 h 156"/>
                              <a:gd name="T50" fmla="*/ 7 w 114"/>
                              <a:gd name="T51" fmla="*/ 129 h 156"/>
                              <a:gd name="T52" fmla="*/ 1 w 114"/>
                              <a:gd name="T53" fmla="*/ 112 h 156"/>
                              <a:gd name="T54" fmla="*/ 0 w 114"/>
                              <a:gd name="T55" fmla="*/ 90 h 156"/>
                              <a:gd name="T56" fmla="*/ 0 w 114"/>
                              <a:gd name="T57" fmla="*/ 0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14" h="156">
                                <a:moveTo>
                                  <a:pt x="0" y="0"/>
                                </a:moveTo>
                                <a:lnTo>
                                  <a:pt x="20" y="0"/>
                                </a:lnTo>
                                <a:lnTo>
                                  <a:pt x="20" y="90"/>
                                </a:lnTo>
                                <a:lnTo>
                                  <a:pt x="21" y="109"/>
                                </a:lnTo>
                                <a:lnTo>
                                  <a:pt x="26" y="122"/>
                                </a:lnTo>
                                <a:lnTo>
                                  <a:pt x="34" y="132"/>
                                </a:lnTo>
                                <a:lnTo>
                                  <a:pt x="44" y="138"/>
                                </a:lnTo>
                                <a:lnTo>
                                  <a:pt x="56" y="140"/>
                                </a:lnTo>
                                <a:lnTo>
                                  <a:pt x="69" y="138"/>
                                </a:lnTo>
                                <a:lnTo>
                                  <a:pt x="79" y="132"/>
                                </a:lnTo>
                                <a:lnTo>
                                  <a:pt x="86" y="122"/>
                                </a:lnTo>
                                <a:lnTo>
                                  <a:pt x="92" y="108"/>
                                </a:lnTo>
                                <a:lnTo>
                                  <a:pt x="93" y="90"/>
                                </a:lnTo>
                                <a:lnTo>
                                  <a:pt x="93" y="0"/>
                                </a:lnTo>
                                <a:lnTo>
                                  <a:pt x="113" y="0"/>
                                </a:lnTo>
                                <a:lnTo>
                                  <a:pt x="113" y="89"/>
                                </a:lnTo>
                                <a:lnTo>
                                  <a:pt x="111" y="111"/>
                                </a:lnTo>
                                <a:lnTo>
                                  <a:pt x="106" y="127"/>
                                </a:lnTo>
                                <a:lnTo>
                                  <a:pt x="97" y="140"/>
                                </a:lnTo>
                                <a:lnTo>
                                  <a:pt x="85" y="149"/>
                                </a:lnTo>
                                <a:lnTo>
                                  <a:pt x="71" y="154"/>
                                </a:lnTo>
                                <a:lnTo>
                                  <a:pt x="54" y="155"/>
                                </a:lnTo>
                                <a:lnTo>
                                  <a:pt x="39" y="154"/>
                                </a:lnTo>
                                <a:lnTo>
                                  <a:pt x="26" y="149"/>
                                </a:lnTo>
                                <a:lnTo>
                                  <a:pt x="15" y="141"/>
                                </a:lnTo>
                                <a:lnTo>
                                  <a:pt x="7" y="129"/>
                                </a:lnTo>
                                <a:lnTo>
                                  <a:pt x="1" y="112"/>
                                </a:lnTo>
                                <a:lnTo>
                                  <a:pt x="0" y="90"/>
                                </a:lnTo>
                                <a:lnTo>
                                  <a:pt x="0"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76" name="Picture 693"/>
                          <pic:cNvPicPr>
                            <a:picLocks noChangeAspect="1"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5230" y="31"/>
                            <a:ext cx="58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649" o:spid="_x0000_s1026" style="position:absolute;margin-left:204.15pt;margin-top:1.1pt;width:85.9pt;height:8.75pt;z-index:251714048;mso-position-horizontal-relative:page" coordorigin="4083,22" coordsize="1718,1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" o:allowincell="f">
                <v:group id="Group 650" o:spid="_x0000_s1027" style="position:absolute;left:4083;top:33;width:158;height:154" coordorigin="4083,33" coordsize="158,1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vqB3xgAAANwA&#10;AAAPAAAAAAAAAAAAAAAAAKoCAABkcnMvZG93bnJldi54bWxQSwUGAAAAAAQABAD6AAAAnQMAAAAA&#10;">
                  <v:shape id="Freeform 651" o:spid="_x0000_s1028" style="position:absolute;left:4083;top:33;width:158;height:154;visibility:visible;mso-wrap-style:square;v-text-anchor:top" coordsize="158,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jnicUA&#10;AADcAAAADwAAAGRycy9kb3ducmV2LnhtbESPzWrDMBCE74W8g9hAb42cuCSuayWEQktyCcTpAyzW&#10;+qe2VsZSbPftq0Khx2FmvmGyw2w6MdLgGssK1qsIBHFhdcOVgs/b+1MCwnlkjZ1lUvBNDg77xUOG&#10;qbYTX2nMfSUChF2KCmrv+1RKV9Rk0K1sTxy80g4GfZBDJfWAU4CbTm6iaCsNNhwWauzpraaize9G&#10;QVm5+/nizjb5GvNN+/Gy6079TqnH5Xx8BeFp9v/hv/ZJK4jjZ/g9E46A3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KOeJxQAAANwAAAAPAAAAAAAAAAAAAAAAAJgCAABkcnMv&#10;ZG93bnJldi54bWxQSwUGAAAAAAQABAD1AAAAigMAAAAA&#10;" path="m19,153l,153,11,,35,r7,19l25,19r,21l24,63,23,88r-4,65xe" fillcolor="black" stroked="f">
                    <v:path arrowok="t" o:connecttype="custom" o:connectlocs="19,153;0,153;11,0;35,0;42,19;25,19;25,40;24,63;23,88;19,153" o:connectangles="0,0,0,0,0,0,0,0,0,0"/>
                  </v:shape>
                  <v:shape id="Freeform 652" o:spid="_x0000_s1029" style="position:absolute;left:4083;top:33;width:158;height:154;visibility:visible;mso-wrap-style:square;v-text-anchor:top" coordsize="158,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CEsUA&#10;AADcAAAADwAAAGRycy9kb3ducmV2LnhtbESPzWrDMBCE74W8g9hAb42cmCauayWEQktyCcTpAyzW&#10;+qe2VsZSbPftq0Khx2FmvmGyw2w6MdLgGssK1qsIBHFhdcOVgs/b+1MCwnlkjZ1lUvBNDg77xUOG&#10;qbYTX2nMfSUChF2KCmrv+1RKV9Rk0K1sTxy80g4GfZBDJfWAU4CbTm6iaCsNNhwWauzpraaize9G&#10;QVm5+/nizjb5GvNN+/Gy6079TqnH5Xx8BeFp9v/hv/ZJK4jjZ/g9E46A3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EISxQAAANwAAAAPAAAAAAAAAAAAAAAAAJgCAABkcnMv&#10;ZG93bnJldi54bWxQSwUGAAAAAAQABAD1AAAAigMAAAAA&#10;" path="m93,126r-15,l85,100,94,74,122,r26,l149,19r-18,l122,47,111,77,93,126xe" fillcolor="black" stroked="f">
                    <v:path arrowok="t" o:connecttype="custom" o:connectlocs="93,126;78,126;85,100;94,74;122,0;148,0;149,19;131,19;122,47;111,77;93,126" o:connectangles="0,0,0,0,0,0,0,0,0,0,0"/>
                  </v:shape>
                  <v:shape id="Freeform 653" o:spid="_x0000_s1030" style="position:absolute;left:4083;top:33;width:158;height:154;visibility:visible;mso-wrap-style:square;v-text-anchor:top" coordsize="158,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bcZcIA&#10;AADcAAAADwAAAGRycy9kb3ducmV2LnhtbESP0YrCMBRE3wX/IVzBN01XQWs1igiKvghWP+DSXNuu&#10;zU1pYq1/v1kQfBxm5gyz2nSmEi01rrSs4GccgSDOrC45V3C77kcxCOeRNVaWScGbHGzW/d4KE21f&#10;fKE29bkIEHYJKii8rxMpXVaQQTe2NXHw7rYx6INscqkbfAW4qeQkimbSYMlhocCadgVlj/RpFNxz&#10;9zyd3cnGv206eRwW8+pYz5UaDrrtEoSnzn/Dn/ZRK5hOZ/B/JhwBuf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ttxlwgAAANwAAAAPAAAAAAAAAAAAAAAAAJgCAABkcnMvZG93&#10;bnJldi54bWxQSwUGAAAAAAQABAD1AAAAhwMAAAAA&#10;" path="m84,153r-15,l44,79,34,48,26,19r16,l62,74r9,26l78,126r15,l84,153xe" fillcolor="black" stroked="f">
                    <v:path arrowok="t" o:connecttype="custom" o:connectlocs="84,153;69,153;44,79;34,48;26,19;42,19;62,74;71,100;78,126;93,126;84,153" o:connectangles="0,0,0,0,0,0,0,0,0,0,0"/>
                  </v:shape>
                  <v:shape id="Freeform 654" o:spid="_x0000_s1031" style="position:absolute;left:4083;top:33;width:158;height:154;visibility:visible;mso-wrap-style:square;v-text-anchor:top" coordsize="158,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p5/sMA&#10;AADcAAAADwAAAGRycy9kb3ducmV2LnhtbESP0YrCMBRE34X9h3AF3zRVwbpdU1kERV8WrPsBl+ba&#10;dtvclCbW+vdGWPBxmJkzzGY7mEb01LnKsoL5LAJBnFtdcaHg97KfrkE4j6yxsUwKHuRgm36MNpho&#10;e+cz9ZkvRICwS1BB6X2bSOnykgy6mW2Jg3e1nUEfZFdI3eE9wE0jF1G0kgYrDgsltrQrKa+zm1Fw&#10;Ldzt9ONOdv3XZ4v68Bk3xzZWajIevr9AeBr8O/zfPmoFy2UMrzPhCMj0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p5/sMAAADcAAAADwAAAAAAAAAAAAAAAACYAgAAZHJzL2Rv&#10;d25yZXYueG1sUEsFBgAAAAAEAAQA9QAAAIgDAAAAAA==&#10;" path="m157,153r-19,l134,85,133,63,131,40r,-21l149,19r8,134xe" fillcolor="black" stroked="f">
                    <v:path arrowok="t" o:connecttype="custom" o:connectlocs="157,153;138,153;134,85;133,63;131,40;131,19;149,19;157,153" o:connectangles="0,0,0,0,0,0,0,0"/>
                  </v:shape>
                </v:group>
                <v:shape id="Freeform 655" o:spid="_x0000_s1032" style="position:absolute;left:4083;top:33;width:158;height:154;visibility:visible;mso-wrap-style:square;v-text-anchor:top" coordsize="158,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FtJ78A&#10;AADcAAAADwAAAGRycy9kb3ducmV2LnhtbERPTYvCMBC9L/gfwgheFk21IFKNIkLB0+KqCN7GZmyj&#10;zaQ0Wa3/fnMQPD7e92LV2Vo8qPXGsYLxKAFBXDhtuFRwPOTDGQgfkDXWjknBizyslr2vBWbaPfmX&#10;HvtQihjCPkMFVQhNJqUvKrLoR64hjtzVtRZDhG0pdYvPGG5rOUmSqbRoODZU2NCmouK+/7MKzown&#10;NDoxl/Ntt02/Of8Zu1ypQb9bz0EE6sJH/HZvtYI0jWvjmXgE5P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4EW0nvwAAANwAAAAPAAAAAAAAAAAAAAAAAJgCAABkcnMvZG93bnJl&#10;di54bWxQSwUGAAAAAAQABAD1AAAAhAMAAAAA&#10;" path="m11,l35,,62,74r9,26l78,126r7,-26l94,74,122,r26,l157,153r-19,l134,85,133,63,131,40r,-21l122,47,111,77,84,153r-15,l44,79,34,48,26,19r-1,l25,40,24,63,23,88r-4,65l,153,11,xe" filled="f" strokeweight="0">
                  <v:path arrowok="t" o:connecttype="custom" o:connectlocs="11,0;35,0;62,74;71,100;78,126;85,100;94,74;122,0;148,0;157,153;138,153;134,85;133,63;131,40;131,19;122,47;111,77;84,153;69,153;44,79;34,48;26,19;25,19;25,40;24,63;23,88;19,153;0,153;11,0" o:connectangles="0,0,0,0,0,0,0,0,0,0,0,0,0,0,0,0,0,0,0,0,0,0,0,0,0,0,0,0,0"/>
                </v:shape>
                <v:group id="Group 656" o:spid="_x0000_s1033" style="position:absolute;left:4263;top:33;width:130;height:154" coordorigin="4263,33" coordsize="130,1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VaXncUAAADcAAAADwAAAGRycy9kb3ducmV2LnhtbESPT2vCQBTE7wW/w/KE&#10;3uomhhaNriKipQcR/APi7ZF9JsHs25Bdk/jtuwWhx2FmfsPMl72pREuNKy0riEcRCOLM6pJzBefT&#10;9mMCwnlkjZVlUvAkB8vF4G2OqbYdH6g9+lwECLsUFRTe16mULivIoBvZmjh4N9sY9EE2udQNdgFu&#10;KjmOoi9psOSwUGBN64Ky+/FhFHx32K2SeNPu7rf183r63F92MSn1PuxXMxCeev8ffrV/tIIkmcL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lWl53FAAAA3AAA&#10;AA8AAAAAAAAAAAAAAAAAqgIAAGRycy9kb3ducmV2LnhtbFBLBQYAAAAABAAEAPoAAACcAwAAAAA=&#10;">
                  <v:shape id="Freeform 657" o:spid="_x0000_s1034" style="position:absolute;left:4263;top:33;width:130;height:154;visibility:visible;mso-wrap-style:square;v-text-anchor:top" coordsize="130,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sxsEA&#10;AADcAAAADwAAAGRycy9kb3ducmV2LnhtbERP22rCQBB9F/oPyxR8kbppDWJTVylCQLAUvHzAkJ0m&#10;wexs2N1q/HvnQfDxcO7L9eA6daEQW88G3qcZKOLK25ZrA6dj+bYAFROyxc4zGbhRhPXqZbTEwvor&#10;7+lySLWSEI4FGmhS6gutY9WQwzj1PbFwfz44TAJDrW3Aq4S7Tn9k2Vw7bFkaGuxp01B1Pvw7A7NZ&#10;Pkk/Zf65/z3vslC2NxdOG2PGr8P3F6hEQ3qKH+6tFV8u8+WMHAG9u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y/7MbBAAAA3AAAAA8AAAAAAAAAAAAAAAAAmAIAAGRycy9kb3du&#10;cmV2LnhtbFBLBQYAAAAABAAEAPUAAACGAwAAAAA=&#10;" path="m20,153l,153,52,,76,r6,17l63,17,56,44,40,89r67,l112,104r-75,l20,153xe" fillcolor="black" stroked="f">
                    <v:path arrowok="t" o:connecttype="custom" o:connectlocs="20,153;0,153;52,0;76,0;82,17;63,17;56,44;40,89;107,89;112,104;37,104;20,153" o:connectangles="0,0,0,0,0,0,0,0,0,0,0,0"/>
                  </v:shape>
                  <v:shape id="Freeform 658" o:spid="_x0000_s1035" style="position:absolute;left:4263;top:33;width:130;height:154;visibility:visible;mso-wrap-style:square;v-text-anchor:top" coordsize="130,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JXcMA&#10;AADcAAAADwAAAGRycy9kb3ducmV2LnhtbESP3YrCMBSE7wXfIRzBG9FULaJdo4hQWFAW/HmAQ3O2&#10;LTYnJYla334jCHs5zHwzzHrbmUY8yPnasoLpJAFBXFhdc6ngesnHSxA+IGtsLJOCF3nYbvq9NWba&#10;PvlEj3MoRSxhn6GCKoQ2k9IXFRn0E9sSR+/XOoMhSldK7fAZy00jZ0mykAZrjgsVtrSvqLid70bB&#10;fJ6OwjFPV6ef2yFxef0y7rpXajjodl8gAnXhP/yhv3Xk0im8z8QjID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NJXcMAAADcAAAADwAAAAAAAAAAAAAAAACYAgAAZHJzL2Rv&#10;d25yZXYueG1sUEsFBgAAAAAEAAQA9QAAAIgDAAAAAA==&#10;" path="m107,89r-21,l71,46,67,30,63,17r19,l107,89xe" fillcolor="black" stroked="f">
                    <v:path arrowok="t" o:connecttype="custom" o:connectlocs="107,89;86,89;71,46;67,30;63,17;82,17;107,89" o:connectangles="0,0,0,0,0,0,0"/>
                  </v:shape>
                  <v:shape id="Freeform 659" o:spid="_x0000_s1036" style="position:absolute;left:4263;top:33;width:130;height:154;visibility:visible;mso-wrap-style:square;v-text-anchor:top" coordsize="130,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HXKsUA&#10;AADcAAAADwAAAGRycy9kb3ducmV2LnhtbESP22rDMBBE3wv5B7GBvpRGjmNC6kYJIWAoNBRy+YDF&#10;2tom1spIqi9/XxUCfRxmzgyz3Y+mFT0531hWsFwkIIhLqxuuFNyuxesGhA/IGlvLpGAiD/vd7GmL&#10;ubYDn6m/hErEEvY5KqhD6HIpfVmTQb+wHXH0vq0zGKJ0ldQOh1huWpkmyVoabDgu1NjRsabyfvkx&#10;Clar7CWciuzt/HX/TFzRTMbdjko9z8fDO4hAY/gPP+gPHbkshb8z8QjI3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IdcqxQAAANwAAAAPAAAAAAAAAAAAAAAAAJgCAABkcnMv&#10;ZG93bnJldi54bWxQSwUGAAAAAAQABAD1AAAAigMAAAAA&#10;" path="m129,153r-21,l92,104r20,l129,153xe" fillcolor="black" stroked="f">
                    <v:path arrowok="t" o:connecttype="custom" o:connectlocs="129,153;108,153;92,104;112,104;129,153" o:connectangles="0,0,0,0,0"/>
                  </v:shape>
                </v:group>
                <v:group id="Group 660" o:spid="_x0000_s1037" style="position:absolute;left:-1000;top:13000;width:2020;height:2400" coordorigin="-1000,13000" coordsize="2020,24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LjTCsUAAADcAAAADwAAAGRycy9kb3ducmV2LnhtbESPT2vCQBTE7wW/w/KE&#10;3uomphWJriKipQcR/APi7ZF9JsHs25Bdk/jtuwWhx2FmfsPMl72pREuNKy0riEcRCOLM6pJzBefT&#10;9mMKwnlkjZVlUvAkB8vF4G2OqbYdH6g9+lwECLsUFRTe16mULivIoBvZmjh4N9sY9EE2udQNdgFu&#10;KjmOook0WHJYKLCmdUHZ/fgwCr477FZJvGl399v6eT197S+7mJR6H/arGQhPvf8Pv9o/WkHymc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C40wrFAAAA3AAA&#10;AA8AAAAAAAAAAAAAAAAAqgIAAGRycy9kb3ducmV2LnhtbFBLBQYAAAAABAAEAPoAAACcAwAAAAA=&#10;">
                  <v:shape id="Freeform 661" o:spid="_x0000_s1038" style="position:absolute;left:-1000;top:13000;width:2020;height:2400;visibility:visible;mso-wrap-style:square;v-text-anchor:top" coordsize="2020,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QK58QA&#10;AADcAAAADwAAAGRycy9kb3ducmV2LnhtbESPQWvCQBSE74L/YXlCb2ZXK1bSrKKR0l5rW/D4yL4m&#10;wezbmF1j2l/fLQgeh5n5hsk2g21ET52vHWuYJQoEceFMzaWGz4+X6QqED8gGG8ek4Yc8bNbjUYap&#10;cVd+p/4QShEh7FPUUIXQplL6oiKLPnEtcfS+XWcxRNmV0nR4jXDbyLlSS2mx5rhQYUt5RcXpcLEa&#10;XovySz0d1U6dZnUe9r+42w5nrR8mw/YZRKAh3MO39pvR8LhYwP+ZeAT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UCufEAAAA3AAAAA8AAAAAAAAAAAAAAAAAmAIAAGRycy9k&#10;b3ducmV2LnhtbFBLBQYAAAAABAAEAPUAAACJAwAAAAA=&#10;" path="m5327,-12948r-8,26l5304,-12877r46,l5335,-12920r-4,-16l5327,-12948xe" filled="f" strokeweight="0">
                    <v:path arrowok="t" o:connecttype="custom" o:connectlocs="5327,-12948;5319,-12922;5304,-12877;5350,-12877;5335,-12920;5331,-12936;5327,-12948" o:connectangles="0,0,0,0,0,0,0"/>
                  </v:shape>
                  <v:shape id="Freeform 662" o:spid="_x0000_s1039" style="position:absolute;left:-1000;top:13000;width:2020;height:2400;visibility:visible;mso-wrap-style:square;v-text-anchor:top" coordsize="2020,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vfMUA&#10;AADcAAAADwAAAGRycy9kb3ducmV2LnhtbESPQWvCQBSE70L/w/IKvZldra0SXUO0SL1qK3h8ZJ9J&#10;MPs2Zrea9td3hUKPw8x8wyyy3jbiSp2vHWsYJQoEceFMzaWGz4/NcAbCB2SDjWPS8E0esuXDYIGp&#10;cTfe0XUfShEh7FPUUIXQplL6oiKLPnEtcfROrrMYouxKaTq8Rbht5FipV2mx5rhQYUvriorz/stq&#10;eC/Kg5oe1UqdR/U6vP3gKu8vWj899vkcRKA+/If/2luj4XnyAvcz8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GK98xQAAANwAAAAPAAAAAAAAAAAAAAAAAJgCAABkcnMv&#10;ZG93bnJldi54bWxQSwUGAAAAAAQABAD1AAAAigMAAAAA&#10;" path="m5316,-12966r24,l5392,-12813r-20,l5355,-12861r-55,l5284,-12813r-21,l5316,-12966xe" filled="f" strokeweight="0">
                    <v:path arrowok="t" o:connecttype="custom" o:connectlocs="5316,-12966;5340,-12966;5392,-12813;5372,-12813;5355,-12861;5300,-12861;5284,-12813;5263,-12813;5316,-12966" o:connectangles="0,0,0,0,0,0,0,0,0"/>
                  </v:shape>
                </v:group>
                <v:group id="Group 663" o:spid="_x0000_s1040" style="position:absolute;left:4411;top:30;width:94;height:159" coordorigin="4411,30" coordsize="94,1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M9wksYAAADcAAAADwAAAGRycy9kb3ducmV2LnhtbESPQWvCQBSE7wX/w/IK&#10;3ppNtA2SZhWRKh5CoSqU3h7ZZxLMvg3ZbRL/fbdQ6HGYmW+YfDOZVgzUu8aygiSKQRCXVjdcKbic&#10;908rEM4ja2wtk4I7OdisZw85ZtqO/EHDyVciQNhlqKD2vsukdGVNBl1kO+LgXW1v0AfZV1L3OAa4&#10;aeUijlNpsOGwUGNHu5rK2+nbKDiMOG6XydtQ3K67+9f55f2zSEip+eO0fQXhafL/4b/2UStYPq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z3CSxgAAANwA&#10;AAAPAAAAAAAAAAAAAAAAAKoCAABkcnMvZG93bnJldi54bWxQSwUGAAAAAAQABAD6AAAAnQMAAAAA&#10;">
                  <v:shape id="Freeform 664" o:spid="_x0000_s1041" style="position:absolute;left:4411;top:30;width:94;height:159;visibility:visible;mso-wrap-style:square;v-text-anchor:top" coordsize="94,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AtKcUA&#10;AADcAAAADwAAAGRycy9kb3ducmV2LnhtbESPQWvCQBSE74X+h+UJvYhuUoO10VVKQSniRSueH9nX&#10;bDT7NmS3Jv77riD0OMzMN8xi1dtaXKn1lWMF6TgBQVw4XXGp4Pi9Hs1A+ICssXZMCm7kYbV8flpg&#10;rl3He7oeQikihH2OCkwITS6lLwxZ9GPXEEfvx7UWQ5RtKXWLXYTbWr4myVRarDguGGzo01BxOfxa&#10;BdlJZt37ebirZLq9mWNq8bTeKPUy6D/mIAL14T/8aH9pBZPsDe5n4h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kC0pxQAAANwAAAAPAAAAAAAAAAAAAAAAAJgCAABkcnMv&#10;ZG93bnJldi54bWxQSwUGAAAAAAQABAD1AAAAigMAAAAA&#10;" path="m82,141r-42,l54,140r11,-5l71,126r1,-10l70,103,61,93,44,85,26,77,14,67,6,56,3,42,6,28,12,16,23,7,37,1,53,,67,1,79,3r7,4l83,16r-31,l39,17r-9,7l25,30r-1,9l25,48r5,8l40,62r13,7l71,76,83,86r7,12l93,113r-3,14l84,140r-2,1xe" fillcolor="black" stroked="f">
                    <v:path arrowok="t" o:connecttype="custom" o:connectlocs="82,141;40,141;54,140;65,135;71,126;72,116;70,103;61,93;44,85;26,77;14,67;6,56;3,42;6,28;12,16;23,7;37,1;53,0;67,1;79,3;86,7;83,16;52,16;39,17;30,24;25,30;24,39;25,48;30,56;40,62;53,69;71,76;83,86;90,98;93,113;90,127;84,140;82,141" o:connectangles="0,0,0,0,0,0,0,0,0,0,0,0,0,0,0,0,0,0,0,0,0,0,0,0,0,0,0,0,0,0,0,0,0,0,0,0,0,0"/>
                  </v:shape>
                  <v:shape id="Freeform 665" o:spid="_x0000_s1042" style="position:absolute;left:4411;top:30;width:94;height:159;visibility:visible;mso-wrap-style:square;v-text-anchor:top" coordsize="94,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5W8EA&#10;AADcAAAADwAAAGRycy9kb3ducmV2LnhtbERPz2vCMBS+C/sfwhN2EU07y3CdUYagyPBiJ54fzVvT&#10;2byUJtr635vDwOPH93u5HmwjbtT52rGCdJaAIC6drrlScPrZThcgfEDW2DgmBXfysF69jJaYa9fz&#10;kW5FqEQMYZ+jAhNCm0vpS0MW/cy1xJH7dZ3FEGFXSd1hH8NtI9+S5F1arDk2GGxpY6i8FFerIDvL&#10;rP/4mxxqmX7fzSm1eN7ulHodD1+fIAIN4Sn+d++1gnkW18Yz8QjI1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YPuVvBAAAA3AAAAA8AAAAAAAAAAAAAAAAAmAIAAGRycy9kb3du&#10;cmV2LnhtbFBLBQYAAAAABAAEAPUAAACGAwAAAAA=&#10;" path="m81,23l75,20,65,17,52,16r31,l81,23xe" fillcolor="black" stroked="f">
                    <v:path arrowok="t" o:connecttype="custom" o:connectlocs="81,23;75,20;65,17;52,16;83,16;81,23" o:connectangles="0,0,0,0,0,0"/>
                  </v:shape>
                  <v:shape id="Freeform 666" o:spid="_x0000_s1043" style="position:absolute;left:4411;top:30;width:94;height:159;visibility:visible;mso-wrap-style:square;v-text-anchor:top" coordsize="94,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McwMUA&#10;AADcAAAADwAAAGRycy9kb3ducmV2LnhtbESPT2vCQBTE74V+h+UVvJS6SQ1So6uIoEjpxT94fmSf&#10;2Wj2bchuTfz2XUHocZiZ3zCzRW9rcaPWV44VpMMEBHHhdMWlguNh/fEFwgdkjbVjUnAnD4v568sM&#10;c+063tFtH0oRIexzVGBCaHIpfWHIoh+6hjh6Z9daDFG2pdQtdhFua/mZJGNpseK4YLChlaHiuv+1&#10;CrKTzLrJ5f2nkun33RxTi6f1RqnBW7+cggjUh//ws73VCkbZBB5n4hG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QxzAxQAAANwAAAAPAAAAAAAAAAAAAAAAAJgCAABkcnMv&#10;ZG93bnJldi54bWxQSwUGAAAAAAQABAD1AAAAigMAAAAA&#10;" path="m39,158l24,157,11,153,,148,5,131r16,8l40,141r42,l74,149r-16,6l39,158xe" fillcolor="black" stroked="f">
                    <v:path arrowok="t" o:connecttype="custom" o:connectlocs="39,158;24,157;11,153;0,148;5,131;21,139;40,141;82,141;74,149;58,155;39,158" o:connectangles="0,0,0,0,0,0,0,0,0,0,0"/>
                  </v:shape>
                </v:group>
                <v:shape id="Freeform 667" o:spid="_x0000_s1044" style="position:absolute;left:4411;top:30;width:94;height:159;visibility:visible;mso-wrap-style:square;v-text-anchor:top" coordsize="94,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q3XsIA&#10;AADcAAAADwAAAGRycy9kb3ducmV2LnhtbERPTYvCMBC9L/gfwgje1lRFkWoUEcQFPaxVBG9jM7bF&#10;ZlKarG3//eYgeHy87+W6NaV4Ue0KywpGwwgEcWp1wZmCy3n3PQfhPLLG0jIp6MjBetX7WmKsbcMn&#10;eiU+EyGEXYwKcu+rWEqX5mTQDW1FHLiHrQ36AOtM6hqbEG5KOY6imTRYcGjIsaJtTukz+TMKrsm9&#10;fPw2++48OUa352E76uR1p9Sg324WIDy1/iN+u3+0gsk0zA9nwhG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urdewgAAANwAAAAPAAAAAAAAAAAAAAAAAJgCAABkcnMvZG93&#10;bnJldi54bWxQSwUGAAAAAAQABAD1AAAAhwMAAAAA&#10;" path="m53,l67,1,79,3r7,4l81,23,75,20,65,17,52,16,39,17r-9,7l25,30r-1,9l25,48r5,8l40,62r13,7l71,76,83,86r7,12l93,113r-3,14l84,140r-10,9l58,155r-19,3l24,157,11,153,,148,5,131r16,8l40,141r14,-1l65,135r6,-9l72,116,70,103,61,93,44,85,26,77,14,67,6,56,3,42,6,28,12,16,23,7,37,1,53,xe" filled="f" strokeweight="0">
                  <v:path arrowok="t" o:connecttype="custom" o:connectlocs="53,0;67,1;79,3;86,7;81,23;75,20;65,17;52,16;39,17;30,24;25,30;24,39;25,48;30,56;40,62;53,69;71,76;83,86;90,98;93,113;90,127;84,140;74,149;58,155;39,158;24,157;11,153;0,148;5,131;21,139;40,141;54,140;65,135;71,126;72,116;70,103;61,93;44,85;26,77;14,67;6,56;3,42;6,28;12,16;23,7;37,1;53,0" o:connectangles="0,0,0,0,0,0,0,0,0,0,0,0,0,0,0,0,0,0,0,0,0,0,0,0,0,0,0,0,0,0,0,0,0,0,0,0,0,0,0,0,0,0,0,0,0,0,0"/>
                </v:shape>
                <v:group id="Group 668" o:spid="_x0000_s1045" style="position:absolute;left:4529;top:30;width:94;height:159" coordorigin="4529,30" coordsize="94,1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9+O8YAAADcAAAADwAAAGRycy9kb3ducmV2LnhtbESPT2vCQBTE74V+h+UV&#10;vNVNFIuk2YiIFQ9SqArS2yP78odk34bsNonf3i0Uehxm5jdMuplMKwbqXW1ZQTyPQBDnVtdcKrhe&#10;Pl7XIJxH1thaJgV3crDJnp9STLQd+YuGsy9FgLBLUEHlfZdI6fKKDLq57YiDV9jeoA+yL6XucQxw&#10;08pFFL1JgzWHhQo72lWUN+cfo+Aw4rhdxvvh1BS7+/dl9Xk7xaTU7GXavoPwNPn/8F/7qBUsVzH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347xgAAANwA&#10;AAAPAAAAAAAAAAAAAAAAAKoCAABkcnMvZG93bnJldi54bWxQSwUGAAAAAAQABAD6AAAAnQMAAAAA&#10;">
                  <v:shape id="Freeform 669" o:spid="_x0000_s1046" style="position:absolute;left:4529;top:30;width:94;height:159;visibility:visible;mso-wrap-style:square;v-text-anchor:top" coordsize="94,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4YbMUA&#10;AADcAAAADwAAAGRycy9kb3ducmV2LnhtbESPQWvCQBSE70L/w/IKvUizidrSpq4iglKkl1rJ+ZF9&#10;zUazb0N2a+K/7wqCx2FmvmHmy8E24kydrx0ryJIUBHHpdM2VgsPP5vkNhA/IGhvHpOBCHpaLh9Ec&#10;c+16/qbzPlQiQtjnqMCE0OZS+tKQRZ+4ljh6v66zGKLsKqk77CPcNnKSpq/SYs1xwWBLa0Plaf9n&#10;FcwKOevfj+OvWma7izlkFovNVqmnx2H1ASLQEO7hW/tTK5i+TOB6Jh4Buf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PhhsxQAAANwAAAAPAAAAAAAAAAAAAAAAAJgCAABkcnMv&#10;ZG93bnJldi54bWxQSwUGAAAAAAQABAD1AAAAigMAAAAA&#10;" path="m82,141r-42,l53,140r10,-5l70,126r2,-10l70,103,60,93,26,77,14,67,6,56,2,42,5,28,11,16,23,7,35,1,52,,67,1,78,3r8,4l83,16r-31,l38,17r-9,7l24,30r-1,9l25,48r5,8l39,62,70,76,83,86r7,12l93,113r-3,14l84,140r-2,1xe" fillcolor="black" stroked="f">
                    <v:path arrowok="t" o:connecttype="custom" o:connectlocs="82,141;40,141;53,140;63,135;70,126;72,116;70,103;60,93;26,77;14,67;6,56;2,42;5,28;11,16;23,7;35,1;52,0;67,1;78,3;86,7;83,16;52,16;38,17;29,24;24,30;23,39;25,48;30,56;39,62;70,76;83,86;90,98;93,113;90,127;84,140;82,141" o:connectangles="0,0,0,0,0,0,0,0,0,0,0,0,0,0,0,0,0,0,0,0,0,0,0,0,0,0,0,0,0,0,0,0,0,0,0,0"/>
                  </v:shape>
                  <v:shape id="Freeform 670" o:spid="_x0000_s1047" style="position:absolute;left:4529;top:30;width:94;height:159;visibility:visible;mso-wrap-style:square;v-text-anchor:top" coordsize="94,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K998UA&#10;AADcAAAADwAAAGRycy9kb3ducmV2LnhtbESPT2vCQBTE70K/w/IKvUjdpGppo6uIYJHixT94fmSf&#10;2Wj2bchuTfz2bkHwOMzMb5jpvLOVuFLjS8cK0kECgjh3uuRCwWG/ev8C4QOyxsoxKbiRh/nspTfF&#10;TLuWt3TdhUJECPsMFZgQ6kxKnxuy6AeuJo7eyTUWQ5RNIXWDbYTbSn4kyae0WHJcMFjT0lB+2f1Z&#10;BaOjHLXf5/6mlOnvzRxSi8fVj1Jvr91iAiJQF57hR3utFQzHQ/g/E4+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cr33xQAAANwAAAAPAAAAAAAAAAAAAAAAAJgCAABkcnMv&#10;ZG93bnJldi54bWxQSwUGAAAAAAQABAD1AAAAigMAAAAA&#10;" path="m81,23l74,20,65,17,52,16r31,l81,23xe" fillcolor="black" stroked="f">
                    <v:path arrowok="t" o:connecttype="custom" o:connectlocs="81,23;74,20;65,17;52,16;83,16;81,23" o:connectangles="0,0,0,0,0,0"/>
                  </v:shape>
                  <v:shape id="Freeform 671" o:spid="_x0000_s1048" style="position:absolute;left:4529;top:30;width:94;height:159;visibility:visible;mso-wrap-style:square;v-text-anchor:top" coordsize="94,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slg8UA&#10;AADcAAAADwAAAGRycy9kb3ducmV2LnhtbESPQWvCQBSE74X+h+UJvYhuUmOx0VVKQSniRSueH9nX&#10;bDT7NmS3Jv77riD0OMzMN8xi1dtaXKn1lWMF6TgBQVw4XXGp4Pi9Hs1A+ICssXZMCm7kYbV8flpg&#10;rl3He7oeQikihH2OCkwITS6lLwxZ9GPXEEfvx7UWQ5RtKXWLXYTbWr4myZu0WHFcMNjQp6Hicvi1&#10;CrKTzLr383BXyXR7M8fU4mm9Uepl0H/MQQTqw3/40f7SCibTDO5n4h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myWDxQAAANwAAAAPAAAAAAAAAAAAAAAAAJgCAABkcnMv&#10;ZG93bnJldi54bWxQSwUGAAAAAAQABAD1AAAAigMAAAAA&#10;" path="m39,158l24,157,10,153,,148,5,131r16,8l40,141r42,l74,149r-16,6l39,158xe" fillcolor="black" stroked="f">
                    <v:path arrowok="t" o:connecttype="custom" o:connectlocs="39,158;24,157;10,153;0,148;5,131;21,139;40,141;82,141;74,149;58,155;39,158" o:connectangles="0,0,0,0,0,0,0,0,0,0,0"/>
                  </v:shape>
                </v:group>
                <v:shape id="Freeform 672" o:spid="_x0000_s1049" style="position:absolute;left:4529;top:30;width:94;height:159;visibility:visible;mso-wrap-style:square;v-text-anchor:top" coordsize="94,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0UxsUA&#10;AADcAAAADwAAAGRycy9kb3ducmV2LnhtbESPQYvCMBSE78L+h/AW9qapK4pUoyyCuKAHrYuwt2fz&#10;bIvNS2mibf+9EQSPw8x8w8yXrSnFnWpXWFYwHEQgiFOrC84U/B3X/SkI55E1lpZJQUcOlouP3hxj&#10;bRs+0D3xmQgQdjEqyL2vYildmpNBN7AVcfAutjbog6wzqWtsAtyU8juKJtJgwWEhx4pWOaXX5GYU&#10;nJJzedk3m+442kX/1+1q2MnTWqmvz/ZnBsJT69/hV/tXKxiNx/A8E46AX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zRTGxQAAANwAAAAPAAAAAAAAAAAAAAAAAJgCAABkcnMv&#10;ZG93bnJldi54bWxQSwUGAAAAAAQABAD1AAAAigMAAAAA&#10;" path="m52,l67,1,78,3r8,4l81,23,74,20,65,17,52,16,38,17r-9,7l24,30r-1,9l25,48r5,8l39,62r14,7l70,76,83,86r7,12l93,113r-3,14l84,140r-10,9l58,155r-19,3l24,157,10,153,,148,5,131r16,8l40,141r13,-1l63,135r7,-9l72,116,70,103,60,93,43,85,26,77,14,67,6,56,2,42,5,28,11,16,23,7,35,1,52,xe" filled="f" strokeweight="0">
                  <v:path arrowok="t" o:connecttype="custom" o:connectlocs="52,0;67,1;78,3;86,7;81,23;74,20;65,17;52,16;38,17;29,24;24,30;23,39;25,48;30,56;39,62;53,69;70,76;83,86;90,98;93,113;90,127;84,140;74,149;58,155;39,158;24,157;10,153;0,148;5,131;21,139;40,141;53,140;63,135;70,126;72,116;70,103;60,93;43,85;26,77;14,67;6,56;2,42;5,28;11,16;23,7;35,1;52,0" o:connectangles="0,0,0,0,0,0,0,0,0,0,0,0,0,0,0,0,0,0,0,0,0,0,0,0,0,0,0,0,0,0,0,0,0,0,0,0,0,0,0,0,0,0,0,0,0,0,0"/>
                </v:shape>
                <v:group id="Group 673" o:spid="_x0000_s1050" style="position:absolute;left:4643;top:33;width:128;height:154" coordorigin="4643,33" coordsize="128,1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RbmT8YAAADcAAAADwAAAGRycy9kb3ducmV2LnhtbESPQWuDQBSE74X+h+UV&#10;emtWG5RisxEJbekhBGIKpbeH+6IS9624WzX/PhsI5DjMzDfMKp9NJ0YaXGtZQbyIQBBXVrdcK/g5&#10;fL68gXAeWWNnmRScyUG+fnxYYabtxHsaS1+LAGGXoYLG+z6T0lUNGXQL2xMH72gHgz7IoZZ6wCnA&#10;TSdfoyiVBlsOCw32tGmoOpX/RsHXhFOxjD/G7em4Of8dkt3vNialnp/m4h2Ep9nfw7f2t1awTFK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VFuZPxgAAANwA&#10;AAAPAAAAAAAAAAAAAAAAAKoCAABkcnMvZG93bnJldi54bWxQSwUGAAAAAAQABAD6AAAAnQMAAAAA&#10;">
                  <v:shape id="Freeform 674" o:spid="_x0000_s1051" style="position:absolute;left:4643;top:33;width:128;height:154;visibility:visible;mso-wrap-style:square;v-text-anchor:top" coordsize="128,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KZNcQA&#10;AADcAAAADwAAAGRycy9kb3ducmV2LnhtbESPUWsCMRCE3wv9D2ELfau5tmjL1ShSKPoiqO0P2F7W&#10;y+Flc2TjefrrTaHg4zAz3zDT+eBb1VOUJrCB51EBirgKtuHawM/319M7KEnIFtvAZOBMAvPZ/d0U&#10;SxtOvKV+l2qVISwlGnApdaXWUjnyKKPQEWdvH6LHlGWstY14ynDf6peimGiPDecFhx19OqoOu6M3&#10;IMf+V3CyucS0WQx0keV57ZbGPD4Miw9QiYZ0C/+3V9bA6/gN/s7kI6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9SmTXEAAAA3AAAAA8AAAAAAAAAAAAAAAAAmAIAAGRycy9k&#10;b3ducmV2LnhtbFBLBQYAAAAABAAEAPUAAACJAwAAAAA=&#10;" path="m20,153l,153,51,,75,r6,17l62,17,54,44,39,89r67,l111,104r-76,l20,153xe" fillcolor="black" stroked="f">
                    <v:path arrowok="t" o:connecttype="custom" o:connectlocs="20,153;0,153;51,0;75,0;81,17;62,17;54,44;39,89;106,89;111,104;35,104;20,153" o:connectangles="0,0,0,0,0,0,0,0,0,0,0,0"/>
                  </v:shape>
                  <v:shape id="Freeform 675" o:spid="_x0000_s1052" style="position:absolute;left:4643;top:33;width:128;height:154;visibility:visible;mso-wrap-style:square;v-text-anchor:top" coordsize="128,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0NR8AA&#10;AADcAAAADwAAAGRycy9kb3ducmV2LnhtbERPzWoCMRC+F/oOYQq91awWpaxGkULRS8GqDzDdjJvF&#10;zWTJxHX16ZuD0OPH979YDb5VPUVpAhsYjwpQxFWwDdcGjoevtw9QkpAttoHJwI0EVsvnpwWWNlz5&#10;h/p9qlUOYSnRgEupK7WWypFHGYWOOHOnED2mDGOtbcRrDvetnhTFTHtsODc47OjTUXXeX7wBufS/&#10;grPdPabdeqC7bG7fbmPM68uwnoNKNKR/8cO9tQbep3ltPpOPgF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s0NR8AAAADcAAAADwAAAAAAAAAAAAAAAACYAgAAZHJzL2Rvd25y&#10;ZXYueG1sUEsFBgAAAAAEAAQA9QAAAIUDAAAAAA==&#10;" path="m106,89r-20,l71,46,66,30,63,17r18,l106,89xe" fillcolor="black" stroked="f">
                    <v:path arrowok="t" o:connecttype="custom" o:connectlocs="106,89;86,89;71,46;66,30;63,17;81,17;106,89" o:connectangles="0,0,0,0,0,0,0"/>
                  </v:shape>
                  <v:shape id="Freeform 676" o:spid="_x0000_s1053" style="position:absolute;left:4643;top:33;width:128;height:154;visibility:visible;mso-wrap-style:square;v-text-anchor:top" coordsize="128,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Go3MQA&#10;AADcAAAADwAAAGRycy9kb3ducmV2LnhtbESPUWsCMRCE3wv9D2ELfau5tijt1ShSKPoiqO0P2F7W&#10;y+Flc2TjefrrTaHg4zAz3zDT+eBb1VOUJrCB51EBirgKtuHawM/319MbKEnIFtvAZOBMAvPZ/d0U&#10;SxtOvKV+l2qVISwlGnApdaXWUjnyKKPQEWdvH6LHlGWstY14ynDf6peimGiPDecFhx19OqoOu6M3&#10;IMf+V3CyucS0WQx0keV57ZbGPD4Miw9QiYZ0C/+3V9bA6/gd/s7kI6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BqNzEAAAA3AAAAA8AAAAAAAAAAAAAAAAAmAIAAGRycy9k&#10;b3ducmV2LnhtbFBLBQYAAAAABAAEAPUAAACJAwAAAAA=&#10;" path="m127,153r-20,l90,104r21,l127,153xe" fillcolor="black" stroked="f">
                    <v:path arrowok="t" o:connecttype="custom" o:connectlocs="127,153;107,153;90,104;111,104;127,153" o:connectangles="0,0,0,0,0"/>
                  </v:shape>
                </v:group>
                <v:group id="Group 677" o:spid="_x0000_s1054" style="position:absolute;left:-980;top:13000;width:2000;height:2400" coordorigin="-980,13000" coordsize="2000,24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98RHcMAAADcAAAADwAAAGRycy9kb3ducmV2LnhtbERPTWvCQBC9F/wPywi9&#10;1U0qDSW6BhErPQShWhBvQ3ZMQrKzIbsm8d93D0KPj/e9zibTioF6V1tWEC8iEMSF1TWXCn7PX2+f&#10;IJxH1thaJgUPcpBtZi9rTLUd+YeGky9FCGGXooLK+y6V0hUVGXQL2xEH7mZ7gz7AvpS6xzGEm1a+&#10;R1EiDdYcGirsaFdR0ZzuRsFhxHG7jPdD3tx2j+v543jJY1LqdT5tVyA8Tf5f/HR/awXLJM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73xEdwwAAANwAAAAP&#10;AAAAAAAAAAAAAAAAAKoCAABkcnMvZG93bnJldi54bWxQSwUGAAAAAAQABAD6AAAAmgMAAAAA&#10;">
                  <v:shape id="Freeform 678" o:spid="_x0000_s1055" style="position:absolute;left:-980;top:13000;width:2000;height:2400;visibility:visible;mso-wrap-style:square;v-text-anchor:top" coordsize="2000,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Pn9cYA&#10;AADcAAAADwAAAGRycy9kb3ducmV2LnhtbESPQWvCQBSE7wX/w/KE3urGWmOJrlKFQiUntS0eH9ln&#10;Es2+Dbtbk/77bkHwOMzMN8xi1ZtGXMn52rKC8SgBQVxYXXOp4PPw/vQKwgdkjY1lUvBLHlbLwcMC&#10;M2073tF1H0oRIewzVFCF0GZS+qIig35kW+LonawzGKJ0pdQOuwg3jXxOklQarDkuVNjSpqLisv8x&#10;Cs4v+anerr+ns5nt+nW+dV/pMVfqcdi/zUEE6sM9fGt/aAWTdAz/Z+IR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FPn9cYAAADcAAAADwAAAAAAAAAAAAAAAACYAgAAZHJz&#10;L2Rvd25yZXYueG1sUEsFBgAAAAAEAAQA9QAAAIsDAAAAAA==&#10;" path="m5686,-12948r-8,26l5663,-12877r47,l5695,-12920r-6,-16l5687,-12948r-1,xe" filled="f" strokeweight="0">
                    <v:path arrowok="t" o:connecttype="custom" o:connectlocs="5686,-12948;5678,-12922;5663,-12877;5710,-12877;5695,-12920;5689,-12936;5687,-12948;5686,-12948" o:connectangles="0,0,0,0,0,0,0,0"/>
                  </v:shape>
                  <v:shape id="Freeform 679" o:spid="_x0000_s1056" style="position:absolute;left:-980;top:13000;width:2000;height:2400;visibility:visible;mso-wrap-style:square;v-text-anchor:top" coordsize="2000,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F5gsYA&#10;AADcAAAADwAAAGRycy9kb3ducmV2LnhtbESPT2vCQBTE7wW/w/KE3uqmtkZJXaUWCpWc/EuPj+wz&#10;SZt9G3a3Jv32riB4HGbmN8x82ZtGnMn52rKC51ECgriwuuZSwX73+TQD4QOyxsYyKfgnD8vF4GGO&#10;mbYdb+i8DaWIEPYZKqhCaDMpfVGRQT+yLXH0TtYZDFG6UmqHXYSbRo6TJJUGa44LFbb0UVHxu/0z&#10;Cn5e81O9Xh0n06nt+lW+dof0O1fqcdi/v4EI1Id7+Nb+0gpe0jFcz8QjIB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IF5gsYAAADcAAAADwAAAAAAAAAAAAAAAACYAgAAZHJz&#10;L2Rvd25yZXYueG1sUEsFBgAAAAAEAAQA9QAAAIsDAAAAAA==&#10;" path="m5674,-12966r24,l5751,-12813r-21,l5714,-12861r-55,l5643,-12813r-20,l5674,-12966xe" filled="f" strokeweight="0">
                    <v:path arrowok="t" o:connecttype="custom" o:connectlocs="5674,-12966;5698,-12966;5751,-12813;5730,-12813;5714,-12861;5659,-12861;5643,-12813;5623,-12813;5674,-12966" o:connectangles="0,0,0,0,0,0,0,0,0"/>
                  </v:shape>
                </v:group>
                <v:group id="Group 680" o:spid="_x0000_s1057" style="position:absolute;left:4786;top:30;width:117;height:159" coordorigin="4786,30" coordsize="117,1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w2PasQAAADcAAAADwAAAGRycy9kb3ducmV2LnhtbESPQYvCMBSE7wv+h/AE&#10;b2tay4pUo4ioeJCFVUG8PZpnW2xeShPb+u/NwsIeh5n5hlmselOJlhpXWlYQjyMQxJnVJecKLufd&#10;5wyE88gaK8uk4EUOVsvBxwJTbTv+ofbkcxEg7FJUUHhfp1K6rCCDbmxr4uDdbWPQB9nkUjfYBbip&#10;5CSKptJgyWGhwJo2BWWP09Mo2HfYrZN42x4f983rdv76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w2PasQAAADcAAAA&#10;DwAAAAAAAAAAAAAAAACqAgAAZHJzL2Rvd25yZXYueG1sUEsFBgAAAAAEAAQA+gAAAJsDAAAAAA==&#10;">
                  <v:shape id="Freeform 681" o:spid="_x0000_s1058" style="position:absolute;left:4786;top:30;width:117;height:159;visibility:visible;mso-wrap-style:square;v-text-anchor:top" coordsize="117,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eeHMUA&#10;AADcAAAADwAAAGRycy9kb3ducmV2LnhtbESPQWvCQBSE7wX/w/IEL0U3tiISXUWEopdSEvX+zD6T&#10;aPZtyK4m+ffdQsHjMDPfMKtNZyrxpMaVlhVMJxEI4szqknMFp+PXeAHCeWSNlWVS0JODzXrwtsJY&#10;25YTeqY+FwHCLkYFhfd1LKXLCjLoJrYmDt7VNgZ9kE0udYNtgJtKfkTRXBosOSwUWNOuoOyePoyC&#10;KOu/3336c04ut8cpme23537fKjUadtslCE+df4X/2wet4HM+g78z4Qj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F54cxQAAANwAAAAPAAAAAAAAAAAAAAAAAJgCAABkcnMv&#10;ZG93bnJldi54bWxQSwUGAAAAAAQABAD1AAAAigMAAAAA&#10;" path="m75,158l54,155,37,149,21,139,10,123,2,103,,80,2,57,10,38,21,21,38,10,57,2,80,,97,1r11,2l116,6r-3,10l80,16,60,19,43,26,31,39,23,57,20,80r3,20l30,117r12,13l58,139r21,2l114,141r2,9l106,154r-13,3l75,158xe" fillcolor="black" stroked="f">
                    <v:path arrowok="t" o:connecttype="custom" o:connectlocs="75,158;54,155;37,149;21,139;10,123;2,103;0,80;2,57;10,38;21,21;38,10;57,2;80,0;97,1;108,3;116,6;113,16;80,16;60,19;43,26;31,39;23,57;20,80;23,100;30,117;42,130;58,139;79,141;114,141;116,150;106,154;93,157;75,158" o:connectangles="0,0,0,0,0,0,0,0,0,0,0,0,0,0,0,0,0,0,0,0,0,0,0,0,0,0,0,0,0,0,0,0,0"/>
                  </v:shape>
                  <v:shape id="Freeform 682" o:spid="_x0000_s1059" style="position:absolute;left:4786;top:30;width:117;height:159;visibility:visible;mso-wrap-style:square;v-text-anchor:top" coordsize="117,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s7h8UA&#10;AADcAAAADwAAAGRycy9kb3ducmV2LnhtbESPQWvCQBSE7wX/w/IEL6Vu1ColuooUil6kJOr9mX1N&#10;UrNvQ3Y1yb93CwWPw8x8w6w2nanEnRpXWlYwGUcgiDOrS84VnI5fbx8gnEfWWFkmBT052KwHLyuM&#10;tW05oXvqcxEg7GJUUHhfx1K6rCCDbmxr4uD92MagD7LJpW6wDXBTyWkULaTBksNCgTV9FpRd05tR&#10;EGX94dWn3+fk8ns7Je+77bnftUqNht12CcJT55/h//ZeK5gt5vB3JhwBu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WzuHxQAAANwAAAAPAAAAAAAAAAAAAAAAAJgCAABkcnMv&#10;ZG93bnJldi54bWxQSwUGAAAAAAQABAD1AAAAigMAAAAA&#10;" path="m111,23l98,17,80,16r33,l111,23xe" fillcolor="black" stroked="f">
                    <v:path arrowok="t" o:connecttype="custom" o:connectlocs="111,23;98,17;80,16;113,16;111,23" o:connectangles="0,0,0,0,0"/>
                  </v:shape>
                  <v:shape id="Freeform 683" o:spid="_x0000_s1060" style="position:absolute;left:4786;top:30;width:117;height:159;visibility:visible;mso-wrap-style:square;v-text-anchor:top" coordsize="117,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ml8MYA&#10;AADcAAAADwAAAGRycy9kb3ducmV2LnhtbESPQWvCQBSE7wX/w/KEXkrd2Eoo0U0QQeyllKR6f2Zf&#10;k9Ts25BdTfLvuwWhx2FmvmE22WhacaPeNZYVLBcRCOLS6oYrBcev/fMbCOeRNbaWScFEDrJ09rDB&#10;RNuBc7oVvhIBwi5BBbX3XSKlK2sy6Ba2Iw7et+0N+iD7SuoehwA3rXyJolgabDgs1NjRrqbyUlyN&#10;gqicPp588XnKzz/XY746bE/TYVDqcT5u1yA8jf4/fG+/awWvcQx/Z8IRkO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Iml8MYAAADcAAAADwAAAAAAAAAAAAAAAACYAgAAZHJz&#10;L2Rvd25yZXYueG1sUEsFBgAAAAAEAAQA9QAAAIsDAAAAAA==&#10;" path="m114,141r-35,l97,140r15,-5l114,141xe" fillcolor="black" stroked="f">
                    <v:path arrowok="t" o:connecttype="custom" o:connectlocs="114,141;79,141;97,140;112,135;114,141" o:connectangles="0,0,0,0,0"/>
                  </v:shape>
                </v:group>
                <v:shape id="Freeform 684" o:spid="_x0000_s1061" style="position:absolute;left:4786;top:30;width:117;height:159;visibility:visible;mso-wrap-style:square;v-text-anchor:top" coordsize="117,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1BTsQA&#10;AADcAAAADwAAAGRycy9kb3ducmV2LnhtbESPzWrDMBCE74W8g9hAb7WcxLiJEyWEQsD0Vsc018Va&#10;/xBrZSw1dt++KhR6HGbmG+Zwmk0vHjS6zrKCVRSDIK6s7rhRUF4vL1sQziNr7C2Tgm9ycDoung6Y&#10;aTvxBz0K34gAYZehgtb7IZPSVS0ZdJEdiINX29GgD3JspB5xCnDTy3Ucp9Jgx2GhxYHeWqruxZdR&#10;kJfn+vper+TNJFP3WVTaJ8lOqeflfN6D8DT7//BfO9cKNukr/J4JR0Ae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tQU7EAAAA3AAAAA8AAAAAAAAAAAAAAAAAmAIAAGRycy9k&#10;b3ducmV2LnhtbFBLBQYAAAAABAAEAPUAAACJAwAAAAA=&#10;" path="m80,l97,1r11,2l116,6r-5,17l98,17,80,16,60,19,43,26,31,39,23,57,20,80r3,20l30,117r12,13l58,139r21,2l97,140r15,-5l116,150r-10,4l93,157r-18,1l54,155,37,149,21,139,10,123,2,103,,80,2,57,10,38,21,21,38,10,57,2,80,xe" filled="f" strokeweight="0">
                  <v:path arrowok="t" o:connecttype="custom" o:connectlocs="80,0;97,1;108,3;116,6;111,23;98,17;80,16;60,19;43,26;31,39;23,57;20,80;23,100;30,117;42,130;58,139;79,141;97,140;112,135;116,150;106,154;93,157;75,158;54,155;37,149;21,139;10,123;2,103;0,80;2,57;10,38;21,21;38,10;57,2;80,0" o:connectangles="0,0,0,0,0,0,0,0,0,0,0,0,0,0,0,0,0,0,0,0,0,0,0,0,0,0,0,0,0,0,0,0,0,0,0"/>
                </v:shape>
                <v:shape id="Freeform 685" o:spid="_x0000_s1062" style="position:absolute;left:4942;top:32;width:20;height:154;visibility:visible;mso-wrap-style:square;v-text-anchor:top" coordsize="20,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kzRMEA&#10;AADcAAAADwAAAGRycy9kb3ducmV2LnhtbERPTYvCMBC9C/6HMMLeNHUXtFSjiCB4WFjUXdHbtBnb&#10;ajMpTdbWf28OgsfH+54vO1OJOzWutKxgPIpAEGdWl5wr+D1shjEI55E1VpZJwYMcLBf93hwTbVve&#10;0X3vcxFC2CWooPC+TqR0WUEG3cjWxIG72MagD7DJpW6wDeGmkp9RNJEGSw4NBda0Lii77f+NAqrd&#10;6Xunt+d2ektjvv4c/9LUKPUx6FYzEJ46/xa/3Fut4GsS1oYz4QjIx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xpM0TBAAAA3AAAAA8AAAAAAAAAAAAAAAAAmAIAAGRycy9kb3du&#10;cmV2LnhtbFBLBQYAAAAABAAEAPUAAACGAwAAAAA=&#10;" path="m,l,153e" filled="f" strokeweight=".36094mm">
                  <v:path arrowok="t" o:connecttype="custom" o:connectlocs="0,0;0,153" o:connectangles="0,0"/>
                </v:shape>
                <v:shape id="Freeform 686" o:spid="_x0000_s1063" style="position:absolute;left:4932;top:105;width:116;height:20;visibility:visible;mso-wrap-style:square;v-text-anchor:top" coordsize="11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ThTMUA&#10;AADcAAAADwAAAGRycy9kb3ducmV2LnhtbESPQUsDMRSE70L/Q3gFL9JmW6XUtWkpguBNW0Xs7bF5&#10;uxvcvCzJs7v6640geBxm5htmsxt9p84UkwtsYDEvQBFXwTpuDLy+PMzWoJIgW+wCk4EvSrDbTi42&#10;WNow8IHOR2lUhnAq0UAr0pdap6olj2keeuLs1SF6lCxjo23EIcN9p5dFsdIeHeeFFnu6b6n6OH56&#10;A09X9ZtbutPh9P7tRW6KIdbx2ZjL6bi/AyU0yn/4r/1oDVyvbuH3TD4Cev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BOFMxQAAANwAAAAPAAAAAAAAAAAAAAAAAJgCAABkcnMv&#10;ZG93bnJldi54bWxQSwUGAAAAAAQABAD1AAAAigMAAAAA&#10;" path="m,l115,e" filled="f" strokeweight=".31736mm">
                  <v:path arrowok="t" o:connecttype="custom" o:connectlocs="0,0;115,0" o:connectangles="0,0"/>
                </v:shape>
                <v:shape id="Freeform 687" o:spid="_x0000_s1064" style="position:absolute;left:5037;top:33;width:20;height:154;visibility:visible;mso-wrap-style:square;v-text-anchor:top" coordsize="20,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apn8MA&#10;AADcAAAADwAAAGRycy9kb3ducmV2LnhtbERPTWvCQBC9F/oflin0phstGImuIoLgQSiJWuptkp0m&#10;qdnZkN0m8d93D4UeH+97vR1NI3rqXG1ZwWwagSAurK65VHA5HyZLEM4ja2wsk4IHOdhunp/WmGg7&#10;cEp95ksRQtglqKDyvk2kdEVFBt3UtsSB+7KdQR9gV0rd4RDCTSPnUbSQBmsODRW2tK+ouGc/RgG1&#10;7vOU6uNtiO/5kr/fP655bpR6fRl3KxCeRv8v/nMftYK3OMwPZ8IR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8apn8MAAADcAAAADwAAAAAAAAAAAAAAAACYAgAAZHJzL2Rv&#10;d25yZXYueG1sUEsFBgAAAAAEAAQA9QAAAIgDAAAAAA==&#10;" path="m,l,153e" filled="f" strokeweight=".36094mm">
                  <v:path arrowok="t" o:connecttype="custom" o:connectlocs="0,0;0,153" o:connectangles="0,0"/>
                </v:shape>
                <v:shape id="Freeform 688" o:spid="_x0000_s1065" style="position:absolute;left:4932;top:33;width:116;height:154;visibility:visible;mso-wrap-style:square;v-text-anchor:top" coordsize="116,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DH98IA&#10;AADcAAAADwAAAGRycy9kb3ducmV2LnhtbESPQWvCQBSE7wX/w/KE3upGxSrRVUQoeK1a6PGRfSbR&#10;7NslbxvT/npXEHocZuYbZrXpXaM6aqX2bGA8ykARF97WXBo4HT/eFqAkIltsPJOBXxLYrAcvK8yt&#10;v/EndYdYqgRhydFAFWPItZaiIocy8oE4eWffOoxJtqW2Ld4S3DV6kmXv2mHNaaHCQLuKiuvhxxk4&#10;B9z+Bfn6Pp4czRfdTC64E2Neh/12CSpSH//Dz/beGpjOx/A4k46AXt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YMf3wgAAANwAAAAPAAAAAAAAAAAAAAAAAJgCAABkcnMvZG93&#10;bnJldi54bWxQSwUGAAAAAAQABAD1AAAAhwMAAAAA&#10;" path="m,l20,r,63l94,63,94,r21,l115,153r-21,l94,81r-74,l20,153,,153,,xe" filled="f" strokeweight="0">
                  <v:path arrowok="t" o:connecttype="custom" o:connectlocs="0,0;20,0;20,63;94,63;94,0;115,0;115,153;94,153;94,81;20,81;20,153;0,153;0,0" o:connectangles="0,0,0,0,0,0,0,0,0,0,0,0,0"/>
                </v:shape>
                <v:group id="Group 689" o:spid="_x0000_s1066" style="position:absolute;left:5085;top:33;width:114;height:156" coordorigin="5085,33" coordsize="114,1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Zi8LMYAAADcAAAADwAAAGRycy9kb3ducmV2LnhtbESPT2vCQBTE7wW/w/IK&#10;vdXNH2wldQ0itngQoSqU3h7ZZxKSfRuy2yR++25B6HGYmd8wq3wyrRiod7VlBfE8AkFcWF1zqeBy&#10;fn9egnAeWWNrmRTcyEG+nj2sMNN25E8aTr4UAcIuQwWV910mpSsqMujmtiMO3tX2Bn2QfSl1j2OA&#10;m1YmUfQiDdYcFirsaFtR0Zx+jIKPEcdNGu+GQ3Pd3r7Pi+PXISalnh6nzRsIT5P/D9/be60gfU3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mLwsxgAAANwA&#10;AAAPAAAAAAAAAAAAAAAAAKoCAABkcnMvZG93bnJldi54bWxQSwUGAAAAAAQABAD6AAAAnQMAAAAA&#10;">
                  <v:shape id="Freeform 690" o:spid="_x0000_s1067" style="position:absolute;left:5085;top:33;width:114;height:156;visibility:visible;mso-wrap-style:square;v-text-anchor:top" coordsize="114,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mQhMUA&#10;AADcAAAADwAAAGRycy9kb3ducmV2LnhtbESPS2/CMBCE75X6H6xF4lYcQIIqYBBveqLicehxGy9x&#10;SryOYgPh39dIlXoczcw3mvG0saW4Ue0Lxwq6nQQEceZ0wbmC03H99g7CB2SNpWNS8CAP08nryxhT&#10;7e68p9sh5CJC2KeowIRQpVL6zJBF33EVcfTOrrYYoqxzqWu8R7gtZS9JBtJiwXHBYEULQ9nlcLUK&#10;5ruZWX5/ZatesXFr3p6X7tP8KNVuNbMRiEBN+A//tT+0gv6wD88z8QjIy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WZCExQAAANwAAAAPAAAAAAAAAAAAAAAAAJgCAABkcnMv&#10;ZG93bnJldi54bWxQSwUGAAAAAAQABAD1AAAAigMAAAAA&#10;" path="m54,155l39,154,26,149,15,141,7,129,1,112,,90,,,20,r,90l21,109r5,13l34,132r10,6l56,140r41,l85,149r-14,5l54,155xe" fillcolor="black" stroked="f">
                    <v:path arrowok="t" o:connecttype="custom" o:connectlocs="54,155;39,154;26,149;15,141;7,129;1,112;0,90;0,0;20,0;20,90;21,109;26,122;34,132;44,138;56,140;97,140;85,149;71,154;54,155" o:connectangles="0,0,0,0,0,0,0,0,0,0,0,0,0,0,0,0,0,0,0"/>
                  </v:shape>
                  <v:shape id="Freeform 691" o:spid="_x0000_s1068" style="position:absolute;left:5085;top:33;width:114;height:156;visibility:visible;mso-wrap-style:square;v-text-anchor:top" coordsize="114,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AI8MUA&#10;AADcAAAADwAAAGRycy9kb3ducmV2LnhtbESPwW7CMBBE70j8g7VIvREHWhUUMAhKaTlRFXrocYmX&#10;OBCvo9iF9O/rSkgcRzPzRjOdt7YSF2p86VjBIElBEOdOl1wo+Nqv+2MQPiBrrByTgl/yMJ91O1PM&#10;tLvyJ112oRARwj5DBSaEOpPS54Ys+sTVxNE7usZiiLIppG7wGuG2ksM0fZYWS44LBmt6MZSfdz9W&#10;wXK7MKvDd/46LN/cmt+PK/dhTko99NrFBESgNtzDt/ZGK3gcPcH/mXgE5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sAjwxQAAANwAAAAPAAAAAAAAAAAAAAAAAJgCAABkcnMv&#10;ZG93bnJldi54bWxQSwUGAAAAAAQABAD1AAAAigMAAAAA&#10;" path="m97,140r-41,l69,138r10,-6l86,122r6,-14l93,90,93,r20,l113,89r-2,22l106,127r-9,13xe" fillcolor="black" stroked="f">
                    <v:path arrowok="t" o:connecttype="custom" o:connectlocs="97,140;56,140;69,138;79,132;86,122;92,108;93,90;93,0;113,0;113,89;111,111;106,127;97,140" o:connectangles="0,0,0,0,0,0,0,0,0,0,0,0,0"/>
                  </v:shape>
                </v:group>
                <v:shape id="Freeform 692" o:spid="_x0000_s1069" style="position:absolute;left:5085;top:33;width:114;height:156;visibility:visible;mso-wrap-style:square;v-text-anchor:top" coordsize="114,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pxBsYA&#10;AADcAAAADwAAAGRycy9kb3ducmV2LnhtbESPQWvCQBSE7wX/w/IKvdWNFm1JXcUWhIrS0ij0+pp9&#10;ZqPZtzG7NfHfu4LQ4zAz3zCTWWcrcaLGl44VDPoJCOLc6ZILBdvN4vEFhA/IGivHpOBMHmbT3t0E&#10;U+1a/qZTFgoRIexTVGBCqFMpfW7Iou+7mjh6O9dYDFE2hdQNthFuKzlMkrG0WHJcMFjTu6H8kP1Z&#10;BYfB/pO+aLdczY/Zj31rf81wvVLq4b6bv4II1IX/8K39oRU8PY/geiYeATm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ZpxBsYAAADcAAAADwAAAAAAAAAAAAAAAACYAgAAZHJz&#10;L2Rvd25yZXYueG1sUEsFBgAAAAAEAAQA9QAAAIsDAAAAAA==&#10;" path="m,l20,r,90l21,109r5,13l34,132r10,6l56,140r13,-2l79,132r7,-10l92,108,93,90,93,r20,l113,89r-2,22l106,127r-9,13l85,149r-14,5l54,155,39,154,26,149,15,141,7,129,1,112,,90,,xe" filled="f" strokeweight="0">
                  <v:path arrowok="t" o:connecttype="custom" o:connectlocs="0,0;20,0;20,90;21,109;26,122;34,132;44,138;56,140;69,138;79,132;86,122;92,108;93,90;93,0;113,0;113,89;111,111;106,127;97,140;85,149;71,154;54,155;39,154;26,149;15,141;7,129;1,112;0,90;0,0" o:connectangles="0,0,0,0,0,0,0,0,0,0,0,0,0,0,0,0,0,0,0,0,0,0,0,0,0,0,0,0,0"/>
                </v:shape>
                <v:shape id="Picture 693" o:spid="_x0000_s1070" type="#_x0000_t75" style="position:absolute;left:5230;top:31;width:580;height:1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79FN7CAAAA3AAAAA8AAABkcnMvZG93bnJldi54bWxEj9GKwjAURN8F/yFcYd80VZdWalMRQRDx&#10;Ya1+wKW5tsXmpjRRu39vhIV9HGbmDJNtBtOKJ/WusaxgPotAEJdWN1wpuF720xUI55E1tpZJwS85&#10;2OTjUYapti8+07PwlQgQdikqqL3vUildWZNBN7MdcfButjfog+wrqXt8Bbhp5SKKYmmw4bBQY0e7&#10;msp78TAKjqcCo6a8nYef5eK6xe9ExnGi1Ndk2K5BeBr8f/ivfdAKlkkMnzPhCMj8D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RTewgAAANwAAAAPAAAAAAAAAAAAAAAAAJ8C&#10;AABkcnMvZG93bnJldi54bWxQSwUGAAAAAAQABAD3AAAAjgMAAAAA&#10;">
                  <v:imagedata r:id="rId439" o:title=""/>
                </v:shape>
                <w10:wrap anchorx="page"/>
              </v:group>
            </w:pict>
          </mc:Fallback>
        </mc:AlternateContent>
      </w:r>
      <w:r>
        <w:rPr>
          <w:noProof/>
        </w:rPr>
        <mc:AlternateContent>
          <mc:Choice Requires="wps">
            <w:drawing>
              <wp:anchor distT="0" distB="0" distL="114300" distR="114300" simplePos="0" relativeHeight="251715072" behindDoc="0" locked="0" layoutInCell="0" allowOverlap="1">
                <wp:simplePos x="0" y="0"/>
                <wp:positionH relativeFrom="page">
                  <wp:posOffset>2585085</wp:posOffset>
                </wp:positionH>
                <wp:positionV relativeFrom="paragraph">
                  <wp:posOffset>188595</wp:posOffset>
                </wp:positionV>
                <wp:extent cx="304800" cy="114300"/>
                <wp:effectExtent l="0" t="0" r="0" b="0"/>
                <wp:wrapNone/>
                <wp:docPr id="331" name="Rectangle 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180" w:lineRule="atLeast"/>
                            </w:pPr>
                            <w:r>
                              <w:rPr>
                                <w:noProof/>
                              </w:rPr>
                              <w:drawing>
                                <wp:inline distT="0" distB="0" distL="0" distR="0">
                                  <wp:extent cx="304800" cy="104775"/>
                                  <wp:effectExtent l="0" t="0" r="0" b="9525"/>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440">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4" o:spid="_x0000_s1236" style="position:absolute;left:0;text-align:left;margin-left:203.55pt;margin-top:14.85pt;width:24pt;height:9pt;z-index:251715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" o:allowincell="f" filled="f" stroked="f">
                <v:textbox inset="0,0,0,0">
                  <w:txbxContent>
                    <w:p w:rsidR="007B2B7B" w:rsidRDefault="007B2B7B">
                      <w:pPr>
                        <w:widowControl/>
                        <w:autoSpaceDE/>
                        <w:autoSpaceDN/>
                        <w:adjustRightInd/>
                        <w:spacing w:line="180" w:lineRule="atLeast"/>
                      </w:pPr>
                      <w:r>
                        <w:rPr>
                          <w:noProof/>
                        </w:rPr>
                        <w:drawing>
                          <wp:inline distT="0" distB="0" distL="0" distR="0">
                            <wp:extent cx="304800" cy="104775"/>
                            <wp:effectExtent l="0" t="0" r="0" b="9525"/>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p w:rsidR="007B2B7B" w:rsidRDefault="007B2B7B"/>
                  </w:txbxContent>
                </v:textbox>
                <w10:wrap anchorx="page"/>
              </v:rect>
            </w:pict>
          </mc:Fallback>
        </mc:AlternateContent>
      </w:r>
      <w:r>
        <w:rPr>
          <w:noProof/>
        </w:rPr>
        <mc:AlternateContent>
          <mc:Choice Requires="wpg">
            <w:drawing>
              <wp:anchor distT="0" distB="0" distL="114300" distR="114300" simplePos="0" relativeHeight="251716096" behindDoc="0" locked="0" layoutInCell="0" allowOverlap="1">
                <wp:simplePos x="0" y="0"/>
                <wp:positionH relativeFrom="page">
                  <wp:posOffset>2936875</wp:posOffset>
                </wp:positionH>
                <wp:positionV relativeFrom="paragraph">
                  <wp:posOffset>197485</wp:posOffset>
                </wp:positionV>
                <wp:extent cx="564515" cy="100965"/>
                <wp:effectExtent l="0" t="0" r="0" b="0"/>
                <wp:wrapNone/>
                <wp:docPr id="328" name="Group 6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515" cy="100965"/>
                          <a:chOff x="4625" y="311"/>
                          <a:chExt cx="889" cy="159"/>
                        </a:xfrm>
                      </wpg:grpSpPr>
                      <pic:pic xmlns:pic="http://schemas.openxmlformats.org/drawingml/2006/picture">
                        <pic:nvPicPr>
                          <pic:cNvPr id="329" name="Picture 696"/>
                          <pic:cNvPicPr>
                            <a:picLocks noChangeAspect="1" noChangeArrowheads="1"/>
                          </pic:cNvPicPr>
                        </pic:nvPicPr>
                        <pic:blipFill>
                          <a:blip r:embed="rId442">
                            <a:extLst>
                              <a:ext uri="{28A0092B-C50C-407E-A947-70E740481C1C}">
                                <a14:useLocalDpi xmlns:a14="http://schemas.microsoft.com/office/drawing/2010/main" val="0"/>
                              </a:ext>
                            </a:extLst>
                          </a:blip>
                          <a:srcRect/>
                          <a:stretch>
                            <a:fillRect/>
                          </a:stretch>
                        </pic:blipFill>
                        <pic:spPr bwMode="auto">
                          <a:xfrm>
                            <a:off x="4626" y="312"/>
                            <a:ext cx="54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0" name="Picture 697"/>
                          <pic:cNvPicPr>
                            <a:picLocks noChangeAspect="1" noChangeArrowheads="1"/>
                          </pic:cNvPicPr>
                        </pic:nvPicPr>
                        <pic:blipFill>
                          <a:blip r:embed="rId443">
                            <a:extLst>
                              <a:ext uri="{28A0092B-C50C-407E-A947-70E740481C1C}">
                                <a14:useLocalDpi xmlns:a14="http://schemas.microsoft.com/office/drawing/2010/main" val="0"/>
                              </a:ext>
                            </a:extLst>
                          </a:blip>
                          <a:srcRect/>
                          <a:stretch>
                            <a:fillRect/>
                          </a:stretch>
                        </pic:blipFill>
                        <pic:spPr bwMode="auto">
                          <a:xfrm>
                            <a:off x="5204" y="313"/>
                            <a:ext cx="32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695" o:spid="_x0000_s1026" style="position:absolute;margin-left:231.25pt;margin-top:15.55pt;width:44.45pt;height:7.95pt;z-index:251716096;mso-position-horizontal-relative:page" coordorigin="4625,311" coordsize="889,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" o:allowincell="f">
                <v:shape id="Picture 696" o:spid="_x0000_s1027" type="#_x0000_t75" style="position:absolute;left:4626;top:312;width:540;height:1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7SbzDGAAAA3AAAAA8AAABkcnMvZG93bnJldi54bWxEj0FrwkAUhO9C/8PyCr2ZTazYNnWVUhQs&#10;YqEq9PrMvibB7NuQXd3477uC4HGYmW+Y6bw3jThT52rLCrIkBUFcWF1zqWC/Ww5fQTiPrLGxTAou&#10;5GA+exhMMdc28A+dt74UEcIuRwWV920upSsqMugS2xJH7892Bn2UXSl1hyHCTSNHaTqRBmuOCxW2&#10;9FlRcdyejII++wrrIruMv4+bEF78Yn1Y/B6UenrsP95BeOr9PXxrr7SC59EbXM/EIyBn/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7tJvMMYAAADcAAAADwAAAAAAAAAAAAAA&#10;AACfAgAAZHJzL2Rvd25yZXYueG1sUEsFBgAAAAAEAAQA9wAAAJIDAAAAAA==&#10;">
                  <v:imagedata r:id="rId444" o:title=""/>
                </v:shape>
                <v:shape id="Picture 697" o:spid="_x0000_s1028" type="#_x0000_t75" style="position:absolute;left:5204;top:313;width:320;height:1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3GfpXCAAAA3AAAAA8AAABkcnMvZG93bnJldi54bWxET01rAjEQvRf8D2GEXopmrdDKahQRCl4K&#10;VYt4HDbjZnEzySap7v775lDo8fG+V5vetuJOITaOFcymBQjiyumGawXfp4/JAkRMyBpbx6RgoAib&#10;9ehphaV2Dz7Q/ZhqkUM4lqjApORLKWNlyGKcOk+cuasLFlOGoZY64COH21a+FsWbtNhwbjDoaWeo&#10;uh1/rIL3ffNSHTpzDvHiu+72NfjP2aDU87jfLkEk6tO/+M+91wrm8zw/n8lHQK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Nxn6VwgAAANwAAAAPAAAAAAAAAAAAAAAAAJ8C&#10;AABkcnMvZG93bnJldi54bWxQSwUGAAAAAAQABAD3AAAAjgMAAAAA&#10;">
                  <v:imagedata r:id="rId445" o:title=""/>
                </v:shape>
                <w10:wrap anchorx="page"/>
              </v:group>
            </w:pict>
          </mc:Fallback>
        </mc:AlternateContent>
      </w:r>
      <w:r>
        <w:rPr>
          <w:noProof/>
        </w:rPr>
        <mc:AlternateContent>
          <mc:Choice Requires="wps">
            <w:drawing>
              <wp:anchor distT="0" distB="0" distL="114300" distR="114300" simplePos="0" relativeHeight="251717120" behindDoc="0" locked="0" layoutInCell="0" allowOverlap="1">
                <wp:simplePos x="0" y="0"/>
                <wp:positionH relativeFrom="page">
                  <wp:posOffset>3924300</wp:posOffset>
                </wp:positionH>
                <wp:positionV relativeFrom="paragraph">
                  <wp:posOffset>0</wp:posOffset>
                </wp:positionV>
                <wp:extent cx="12700" cy="640080"/>
                <wp:effectExtent l="0" t="0" r="0" b="0"/>
                <wp:wrapNone/>
                <wp:docPr id="327" name="Freeform 6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640080"/>
                        </a:xfrm>
                        <a:custGeom>
                          <a:avLst/>
                          <a:gdLst>
                            <a:gd name="T0" fmla="*/ 0 w 20"/>
                            <a:gd name="T1" fmla="*/ 0 h 1008"/>
                            <a:gd name="T2" fmla="*/ 0 w 20"/>
                            <a:gd name="T3" fmla="*/ 1008 h 1008"/>
                          </a:gdLst>
                          <a:ahLst/>
                          <a:cxnLst>
                            <a:cxn ang="0">
                              <a:pos x="T0" y="T1"/>
                            </a:cxn>
                            <a:cxn ang="0">
                              <a:pos x="T2" y="T3"/>
                            </a:cxn>
                          </a:cxnLst>
                          <a:rect l="0" t="0" r="r" b="b"/>
                          <a:pathLst>
                            <a:path w="20" h="1008">
                              <a:moveTo>
                                <a:pt x="0" y="0"/>
                              </a:moveTo>
                              <a:lnTo>
                                <a:pt x="0" y="100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98" o:spid="_x0000_s1026" style="position:absolute;z-index:251717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09pt,0,309pt,50.4pt" coordsize="20,1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" o:allowincell="f" filled="f">
                <v:path arrowok="t" o:connecttype="custom" o:connectlocs="0,0;0,640080" o:connectangles="0,0"/>
                <w10:wrap anchorx="page"/>
              </v:polyline>
            </w:pict>
          </mc:Fallback>
        </mc:AlternateContent>
      </w:r>
      <w:bookmarkStart w:id="203" w:name="MLRI_Final_comments_7-16-16"/>
      <w:bookmarkEnd w:id="203"/>
      <w:r w:rsidR="002C5025">
        <w:rPr>
          <w:rFonts w:ascii="Arial Narrow" w:hAnsi="Arial Narrow" w:cs="Arial Narrow"/>
          <w:b/>
          <w:bCs/>
        </w:rPr>
        <w:t>40</w:t>
      </w:r>
      <w:r w:rsidR="002C5025">
        <w:rPr>
          <w:rFonts w:ascii="Arial Narrow" w:hAnsi="Arial Narrow" w:cs="Arial Narrow"/>
          <w:b/>
          <w:bCs/>
          <w:spacing w:val="-2"/>
        </w:rPr>
        <w:t xml:space="preserve"> </w:t>
      </w:r>
      <w:r w:rsidR="002C5025">
        <w:rPr>
          <w:rFonts w:ascii="Arial Narrow" w:hAnsi="Arial Narrow" w:cs="Arial Narrow"/>
          <w:b/>
          <w:bCs/>
        </w:rPr>
        <w:t>COURT</w:t>
      </w:r>
      <w:r w:rsidR="002C5025">
        <w:rPr>
          <w:rFonts w:ascii="Arial Narrow" w:hAnsi="Arial Narrow" w:cs="Arial Narrow"/>
          <w:b/>
          <w:bCs/>
          <w:spacing w:val="-2"/>
        </w:rPr>
        <w:t xml:space="preserve"> </w:t>
      </w:r>
      <w:r w:rsidR="002C5025">
        <w:rPr>
          <w:rFonts w:ascii="Arial Narrow" w:hAnsi="Arial Narrow" w:cs="Arial Narrow"/>
          <w:b/>
          <w:bCs/>
        </w:rPr>
        <w:t>STREET</w:t>
      </w:r>
      <w:r w:rsidR="002C5025">
        <w:rPr>
          <w:rFonts w:ascii="Arial Narrow" w:hAnsi="Arial Narrow" w:cs="Arial Narrow"/>
          <w:b/>
          <w:bCs/>
        </w:rPr>
        <w:tab/>
        <w:t>617-357-0700</w:t>
      </w:r>
      <w:r w:rsidR="002C5025">
        <w:rPr>
          <w:rFonts w:ascii="Arial Narrow" w:hAnsi="Arial Narrow" w:cs="Arial Narrow"/>
          <w:b/>
          <w:bCs/>
          <w:spacing w:val="-6"/>
        </w:rPr>
        <w:t xml:space="preserve"> </w:t>
      </w:r>
      <w:r w:rsidR="002C5025">
        <w:rPr>
          <w:rFonts w:ascii="Arial Narrow" w:hAnsi="Arial Narrow" w:cs="Arial Narrow"/>
          <w:b/>
          <w:bCs/>
        </w:rPr>
        <w:t>PHONE</w:t>
      </w:r>
    </w:p>
    <w:p w:rsidR="002C5025" w:rsidRDefault="00FB027C">
      <w:pPr>
        <w:pStyle w:val="BodyText"/>
        <w:tabs>
          <w:tab w:val="left" w:pos="8154"/>
        </w:tabs>
        <w:kinsoku w:val="0"/>
        <w:overflowPunct w:val="0"/>
        <w:spacing w:before="40"/>
        <w:ind w:left="5543"/>
        <w:rPr>
          <w:rFonts w:ascii="Arial Narrow" w:hAnsi="Arial Narrow" w:cs="Arial Narrow"/>
          <w:b/>
          <w:bCs/>
        </w:rPr>
      </w:pPr>
      <w:r>
        <w:rPr>
          <w:noProof/>
        </w:rPr>
        <mc:AlternateContent>
          <mc:Choice Requires="wpg">
            <w:drawing>
              <wp:anchor distT="0" distB="0" distL="114300" distR="114300" simplePos="0" relativeHeight="251718144" behindDoc="0" locked="0" layoutInCell="0" allowOverlap="1">
                <wp:simplePos x="0" y="0"/>
                <wp:positionH relativeFrom="page">
                  <wp:posOffset>2595245</wp:posOffset>
                </wp:positionH>
                <wp:positionV relativeFrom="paragraph">
                  <wp:posOffset>173990</wp:posOffset>
                </wp:positionV>
                <wp:extent cx="630555" cy="110490"/>
                <wp:effectExtent l="0" t="0" r="0" b="0"/>
                <wp:wrapNone/>
                <wp:docPr id="324" name="Group 6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555" cy="110490"/>
                          <a:chOff x="4087" y="274"/>
                          <a:chExt cx="993" cy="174"/>
                        </a:xfrm>
                      </wpg:grpSpPr>
                      <pic:pic xmlns:pic="http://schemas.openxmlformats.org/drawingml/2006/picture">
                        <pic:nvPicPr>
                          <pic:cNvPr id="325" name="Picture 700"/>
                          <pic:cNvPicPr>
                            <a:picLocks noChangeAspect="1" noChangeArrowheads="1"/>
                          </pic:cNvPicPr>
                        </pic:nvPicPr>
                        <pic:blipFill>
                          <a:blip r:embed="rId446">
                            <a:extLst>
                              <a:ext uri="{28A0092B-C50C-407E-A947-70E740481C1C}">
                                <a14:useLocalDpi xmlns:a14="http://schemas.microsoft.com/office/drawing/2010/main" val="0"/>
                              </a:ext>
                            </a:extLst>
                          </a:blip>
                          <a:srcRect/>
                          <a:stretch>
                            <a:fillRect/>
                          </a:stretch>
                        </pic:blipFill>
                        <pic:spPr bwMode="auto">
                          <a:xfrm>
                            <a:off x="4087" y="275"/>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6" name="Picture 701"/>
                          <pic:cNvPicPr>
                            <a:picLocks noChangeAspect="1" noChangeArrowheads="1"/>
                          </pic:cNvPicPr>
                        </pic:nvPicPr>
                        <pic:blipFill>
                          <a:blip r:embed="rId447">
                            <a:extLst>
                              <a:ext uri="{28A0092B-C50C-407E-A947-70E740481C1C}">
                                <a14:useLocalDpi xmlns:a14="http://schemas.microsoft.com/office/drawing/2010/main" val="0"/>
                              </a:ext>
                            </a:extLst>
                          </a:blip>
                          <a:srcRect/>
                          <a:stretch>
                            <a:fillRect/>
                          </a:stretch>
                        </pic:blipFill>
                        <pic:spPr bwMode="auto">
                          <a:xfrm>
                            <a:off x="4294" y="275"/>
                            <a:ext cx="7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699" o:spid="_x0000_s1026" style="position:absolute;margin-left:204.35pt;margin-top:13.7pt;width:49.65pt;height:8.7pt;z-index:251718144;mso-position-horizontal-relative:page" coordorigin="4087,274" coordsize="993,1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" o:allowincell="f">
                <v:shape id="Picture 700" o:spid="_x0000_s1027" type="#_x0000_t75" style="position:absolute;left:4087;top:275;width:180;height: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5w6fDAAAA3AAAAA8AAABkcnMvZG93bnJldi54bWxEj92KwjAUhO8F3yEcwTtN/V+6RhFBFNaL&#10;3dYHODRn27LNSW2irW+/EQQvh5n5hllvO1OJOzWutKxgMo5AEGdWl5wruKSH0QcI55E1VpZJwYMc&#10;bDf93hpjbVv+oXvicxEg7GJUUHhfx1K6rCCDbmxr4uD92sagD7LJpW6wDXBTyWkULaXBksNCgTXt&#10;C8r+kptRgGl6uVaRM+0ZvxfuOH+sviaJUsNBt/sE4anz7/CrfdIKZtMFPM+EIyA3/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jnDp8MAAADcAAAADwAAAAAAAAAAAAAAAACf&#10;AgAAZHJzL2Rvd25yZXYueG1sUEsFBgAAAAAEAAQA9wAAAI8DAAAAAA==&#10;">
                  <v:imagedata r:id="rId448" o:title=""/>
                </v:shape>
                <v:shape id="Picture 701" o:spid="_x0000_s1028" type="#_x0000_t75" style="position:absolute;left:4294;top:275;width:780;height: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ilUPLGAAAA3AAAAA8AAABkcnMvZG93bnJldi54bWxEj0+LwjAUxO8LfofwBC+ypqvS1a5RRFAE&#10;D+Kfg8dH87YtNi/dJtb67Y0g7HGYmd8ws0VrStFQ7QrLCr4GEQji1OqCMwXn0/pzAsJ5ZI2lZVLw&#10;IAeLeedjhom2dz5Qc/SZCBB2CSrIva8SKV2ak0E3sBVx8H5tbdAHWWdS13gPcFPKYRTF0mDBYSHH&#10;ilY5pdfjzSjob047/N7vVn/94rGmbXOZbq5jpXrddvkDwlPr/8Pv9lYrGA1jeJ0JR0DOn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KVQ8sYAAADcAAAADwAAAAAAAAAAAAAA&#10;AACfAgAAZHJzL2Rvd25yZXYueG1sUEsFBgAAAAAEAAQA9wAAAJIDAAAAAA==&#10;">
                  <v:imagedata r:id="rId449" o:title=""/>
                </v:shape>
                <w10:wrap anchorx="page"/>
              </v:group>
            </w:pict>
          </mc:Fallback>
        </mc:AlternateContent>
      </w:r>
      <w:r w:rsidR="002C5025">
        <w:rPr>
          <w:rFonts w:ascii="Arial Narrow" w:hAnsi="Arial Narrow" w:cs="Arial Narrow"/>
          <w:b/>
          <w:bCs/>
        </w:rPr>
        <w:t>SUITE</w:t>
      </w:r>
      <w:r w:rsidR="002C5025">
        <w:rPr>
          <w:rFonts w:ascii="Arial Narrow" w:hAnsi="Arial Narrow" w:cs="Arial Narrow"/>
          <w:b/>
          <w:bCs/>
          <w:spacing w:val="-2"/>
        </w:rPr>
        <w:t xml:space="preserve"> </w:t>
      </w:r>
      <w:r w:rsidR="002C5025">
        <w:rPr>
          <w:rFonts w:ascii="Arial Narrow" w:hAnsi="Arial Narrow" w:cs="Arial Narrow"/>
          <w:b/>
          <w:bCs/>
        </w:rPr>
        <w:t>800</w:t>
      </w:r>
      <w:r w:rsidR="002C5025">
        <w:rPr>
          <w:rFonts w:ascii="Arial Narrow" w:hAnsi="Arial Narrow" w:cs="Arial Narrow"/>
          <w:b/>
          <w:bCs/>
        </w:rPr>
        <w:tab/>
        <w:t>617-357-0777</w:t>
      </w:r>
      <w:r w:rsidR="002C5025">
        <w:rPr>
          <w:rFonts w:ascii="Arial Narrow" w:hAnsi="Arial Narrow" w:cs="Arial Narrow"/>
          <w:b/>
          <w:bCs/>
          <w:spacing w:val="-3"/>
        </w:rPr>
        <w:t xml:space="preserve"> </w:t>
      </w:r>
      <w:r w:rsidR="002C5025">
        <w:rPr>
          <w:rFonts w:ascii="Arial Narrow" w:hAnsi="Arial Narrow" w:cs="Arial Narrow"/>
          <w:b/>
          <w:bCs/>
        </w:rPr>
        <w:t>FAX</w:t>
      </w:r>
    </w:p>
    <w:p w:rsidR="002C5025" w:rsidRDefault="002C5025">
      <w:pPr>
        <w:pStyle w:val="BodyText"/>
        <w:tabs>
          <w:tab w:val="left" w:pos="8154"/>
        </w:tabs>
        <w:kinsoku w:val="0"/>
        <w:overflowPunct w:val="0"/>
        <w:spacing w:before="38"/>
        <w:ind w:left="5543"/>
        <w:rPr>
          <w:rFonts w:ascii="Arial Narrow" w:hAnsi="Arial Narrow" w:cs="Arial Narrow"/>
          <w:b/>
          <w:bCs/>
        </w:rPr>
      </w:pPr>
      <w:r>
        <w:rPr>
          <w:rFonts w:ascii="Arial Narrow" w:hAnsi="Arial Narrow" w:cs="Arial Narrow"/>
          <w:b/>
          <w:bCs/>
        </w:rPr>
        <w:t>BOSTON,</w:t>
      </w:r>
      <w:r>
        <w:rPr>
          <w:rFonts w:ascii="Arial Narrow" w:hAnsi="Arial Narrow" w:cs="Arial Narrow"/>
          <w:b/>
          <w:bCs/>
          <w:spacing w:val="-1"/>
        </w:rPr>
        <w:t xml:space="preserve"> </w:t>
      </w:r>
      <w:r>
        <w:rPr>
          <w:rFonts w:ascii="Arial Narrow" w:hAnsi="Arial Narrow" w:cs="Arial Narrow"/>
          <w:b/>
          <w:bCs/>
        </w:rPr>
        <w:t>MA</w:t>
      </w:r>
      <w:r>
        <w:rPr>
          <w:rFonts w:ascii="Arial Narrow" w:hAnsi="Arial Narrow" w:cs="Arial Narrow"/>
          <w:b/>
          <w:bCs/>
          <w:spacing w:val="-2"/>
        </w:rPr>
        <w:t xml:space="preserve"> </w:t>
      </w:r>
      <w:r>
        <w:rPr>
          <w:rFonts w:ascii="Arial Narrow" w:hAnsi="Arial Narrow" w:cs="Arial Narrow"/>
          <w:b/>
          <w:bCs/>
        </w:rPr>
        <w:t>02108</w:t>
      </w:r>
      <w:r>
        <w:rPr>
          <w:rFonts w:ascii="Arial Narrow" w:hAnsi="Arial Narrow" w:cs="Arial Narrow"/>
          <w:b/>
          <w:bCs/>
        </w:rPr>
        <w:tab/>
      </w:r>
      <w:hyperlink r:id="rId450" w:history="1">
        <w:r>
          <w:rPr>
            <w:rFonts w:ascii="Arial Narrow" w:hAnsi="Arial Narrow" w:cs="Arial Narrow"/>
            <w:b/>
            <w:bCs/>
          </w:rPr>
          <w:t>WWW.MLRI.ORG</w:t>
        </w:r>
      </w:hyperlink>
    </w:p>
    <w:p w:rsidR="002C5025" w:rsidRDefault="002C5025">
      <w:pPr>
        <w:pStyle w:val="BodyText"/>
        <w:kinsoku w:val="0"/>
        <w:overflowPunct w:val="0"/>
        <w:rPr>
          <w:rFonts w:ascii="Arial Narrow" w:hAnsi="Arial Narrow" w:cs="Arial Narrow"/>
          <w:b/>
          <w:bCs/>
          <w:sz w:val="20"/>
          <w:szCs w:val="20"/>
        </w:rPr>
      </w:pPr>
    </w:p>
    <w:p w:rsidR="002C5025" w:rsidRDefault="002C5025">
      <w:pPr>
        <w:pStyle w:val="BodyText"/>
        <w:kinsoku w:val="0"/>
        <w:overflowPunct w:val="0"/>
        <w:rPr>
          <w:rFonts w:ascii="Arial Narrow" w:hAnsi="Arial Narrow" w:cs="Arial Narrow"/>
          <w:b/>
          <w:bCs/>
          <w:sz w:val="20"/>
          <w:szCs w:val="20"/>
        </w:rPr>
      </w:pPr>
    </w:p>
    <w:p w:rsidR="002C5025" w:rsidRDefault="002C5025">
      <w:pPr>
        <w:pStyle w:val="BodyText"/>
        <w:kinsoku w:val="0"/>
        <w:overflowPunct w:val="0"/>
        <w:spacing w:before="8"/>
        <w:rPr>
          <w:rFonts w:ascii="Arial Narrow" w:hAnsi="Arial Narrow" w:cs="Arial Narrow"/>
          <w:b/>
          <w:bCs/>
          <w:sz w:val="19"/>
          <w:szCs w:val="19"/>
        </w:rPr>
      </w:pPr>
    </w:p>
    <w:p w:rsidR="002C5025" w:rsidRDefault="002C5025">
      <w:pPr>
        <w:pStyle w:val="BodyText"/>
        <w:kinsoku w:val="0"/>
        <w:overflowPunct w:val="0"/>
        <w:spacing w:before="69"/>
        <w:ind w:left="100"/>
        <w:rPr>
          <w:rFonts w:ascii="Times New Roman" w:hAnsi="Times New Roman" w:cs="Times New Roman"/>
          <w:sz w:val="24"/>
          <w:szCs w:val="24"/>
        </w:rPr>
      </w:pPr>
      <w:r>
        <w:rPr>
          <w:rFonts w:ascii="Times New Roman" w:hAnsi="Times New Roman" w:cs="Times New Roman"/>
          <w:sz w:val="24"/>
          <w:szCs w:val="24"/>
        </w:rPr>
        <w:t>July 16, 2016</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00" w:right="4748"/>
        <w:rPr>
          <w:rFonts w:ascii="Times New Roman" w:hAnsi="Times New Roman" w:cs="Times New Roman"/>
          <w:sz w:val="24"/>
          <w:szCs w:val="24"/>
        </w:rPr>
      </w:pPr>
      <w:r>
        <w:rPr>
          <w:rFonts w:ascii="Times New Roman" w:hAnsi="Times New Roman" w:cs="Times New Roman"/>
          <w:sz w:val="24"/>
          <w:szCs w:val="24"/>
        </w:rPr>
        <w:t>Executive Office of Health and Human Services Office of Medicaid</w:t>
      </w:r>
    </w:p>
    <w:p w:rsidR="002C5025" w:rsidRDefault="002C5025">
      <w:pPr>
        <w:pStyle w:val="BodyText"/>
        <w:kinsoku w:val="0"/>
        <w:overflowPunct w:val="0"/>
        <w:spacing w:line="480" w:lineRule="auto"/>
        <w:ind w:left="100" w:right="6351"/>
        <w:jc w:val="both"/>
        <w:rPr>
          <w:rFonts w:ascii="Times New Roman" w:hAnsi="Times New Roman" w:cs="Times New Roman"/>
          <w:sz w:val="24"/>
          <w:szCs w:val="24"/>
        </w:rPr>
      </w:pPr>
      <w:r>
        <w:rPr>
          <w:rFonts w:ascii="Times New Roman" w:hAnsi="Times New Roman" w:cs="Times New Roman"/>
          <w:sz w:val="24"/>
          <w:szCs w:val="24"/>
        </w:rPr>
        <w:t xml:space="preserve">Attn: 1115 Demonstration Comments </w:t>
      </w:r>
      <w:hyperlink r:id="rId451" w:history="1">
        <w:r>
          <w:rPr>
            <w:rFonts w:ascii="Times New Roman" w:hAnsi="Times New Roman" w:cs="Times New Roman"/>
            <w:sz w:val="24"/>
            <w:szCs w:val="24"/>
          </w:rPr>
          <w:t>MassHealth.Innovations@state.ma.us</w:t>
        </w:r>
      </w:hyperlink>
      <w:r>
        <w:rPr>
          <w:rFonts w:ascii="Times New Roman" w:hAnsi="Times New Roman" w:cs="Times New Roman"/>
          <w:sz w:val="24"/>
          <w:szCs w:val="24"/>
        </w:rPr>
        <w:t xml:space="preserve"> Dear Assistant Secretary Tsai,</w:t>
      </w:r>
    </w:p>
    <w:p w:rsidR="002C5025" w:rsidRDefault="002C5025">
      <w:pPr>
        <w:pStyle w:val="BodyText"/>
        <w:kinsoku w:val="0"/>
        <w:overflowPunct w:val="0"/>
        <w:spacing w:before="10"/>
        <w:ind w:left="100" w:right="735"/>
        <w:rPr>
          <w:rFonts w:ascii="Times New Roman" w:hAnsi="Times New Roman" w:cs="Times New Roman"/>
          <w:sz w:val="24"/>
          <w:szCs w:val="24"/>
        </w:rPr>
      </w:pPr>
      <w:r>
        <w:rPr>
          <w:rFonts w:ascii="Times New Roman" w:hAnsi="Times New Roman" w:cs="Times New Roman"/>
          <w:sz w:val="24"/>
          <w:szCs w:val="24"/>
        </w:rPr>
        <w:t>On behalf of the Massachusetts Law Reform Institute thank you for the opportunity to comment on the Section 1115 Demonstration Project Amendment and Extension Request. We know this proposal is the product of many months of tireless effort on the part of you and your staff. As a legal advocacy organization representing low income families, MLRI offer the following comments in the interests of our MassHealth clients.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00" w:right="735"/>
        <w:rPr>
          <w:rFonts w:ascii="Times New Roman" w:hAnsi="Times New Roman" w:cs="Times New Roman"/>
          <w:sz w:val="24"/>
          <w:szCs w:val="24"/>
        </w:rPr>
      </w:pPr>
      <w:r>
        <w:rPr>
          <w:rFonts w:ascii="Times New Roman" w:hAnsi="Times New Roman" w:cs="Times New Roman"/>
          <w:sz w:val="24"/>
          <w:szCs w:val="24"/>
        </w:rPr>
        <w:t>We support the goals of the demonstration: promoting integrated and coordinated care, improving integration of services, maintaining near universal coverage, supporting safety net providers and expanding access to services to address substance use disorders. The great unknown is how these goals can be achieved by holding providers accountable for quality and the total cost of care as the demonstration proposes to do.</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00" w:right="668"/>
        <w:rPr>
          <w:rFonts w:ascii="Times New Roman" w:hAnsi="Times New Roman" w:cs="Times New Roman"/>
          <w:sz w:val="24"/>
          <w:szCs w:val="24"/>
        </w:rPr>
      </w:pPr>
      <w:r>
        <w:rPr>
          <w:rFonts w:ascii="Times New Roman" w:hAnsi="Times New Roman" w:cs="Times New Roman"/>
          <w:sz w:val="24"/>
          <w:szCs w:val="24"/>
        </w:rPr>
        <w:t>A demonstration must promote the objectives of the Medicaid Act. 42 USC § 1315. The Act itself states its purpose: “to furnish (1) medical assistance on behalf of families with dependent children and of aged, blind, or disabled individuals, whose income and resources are insufficient to meet the costs of necessary medical services, and (2) rehabilitation and other services to help such families and individuals attain or retain capability for independence or self-care.” 42 USC § 1396-1. Our comments focus on the specific changes requested to the current Demonstration in section 8 and how the proposed changes will affect the MassHealth member’s experience of care and promote the objectives of the Act.</w:t>
      </w:r>
    </w:p>
    <w:p w:rsidR="002C5025" w:rsidRDefault="002C5025">
      <w:pPr>
        <w:pStyle w:val="BodyText"/>
        <w:kinsoku w:val="0"/>
        <w:overflowPunct w:val="0"/>
        <w:spacing w:before="1"/>
        <w:rPr>
          <w:rFonts w:ascii="Times New Roman" w:hAnsi="Times New Roman" w:cs="Times New Roman"/>
          <w:sz w:val="29"/>
          <w:szCs w:val="29"/>
        </w:rPr>
      </w:pPr>
    </w:p>
    <w:p w:rsidR="002C5025" w:rsidRDefault="002C5025">
      <w:pPr>
        <w:pStyle w:val="BodyText"/>
        <w:kinsoku w:val="0"/>
        <w:overflowPunct w:val="0"/>
        <w:spacing w:line="303" w:lineRule="exact"/>
        <w:ind w:left="100"/>
        <w:rPr>
          <w:rFonts w:ascii="Cambria" w:hAnsi="Cambria" w:cs="Cambria"/>
          <w:b/>
          <w:bCs/>
          <w:sz w:val="26"/>
          <w:szCs w:val="26"/>
        </w:rPr>
      </w:pPr>
      <w:r>
        <w:rPr>
          <w:rFonts w:ascii="Cambria" w:hAnsi="Cambria" w:cs="Cambria"/>
          <w:b/>
          <w:bCs/>
          <w:sz w:val="26"/>
          <w:szCs w:val="26"/>
        </w:rPr>
        <w:t>8.2 Advancing Accountable Care</w:t>
      </w:r>
    </w:p>
    <w:p w:rsidR="002C5025" w:rsidRDefault="002C5025">
      <w:pPr>
        <w:pStyle w:val="BodyText"/>
        <w:kinsoku w:val="0"/>
        <w:overflowPunct w:val="0"/>
        <w:ind w:left="100" w:right="1000"/>
      </w:pPr>
      <w:r>
        <w:t>Massachusetts requests authority to implement a program to contract with and pay ACOs under the models described in Section 4, including for an ACO Model B pilot starting this year.</w:t>
      </w:r>
    </w:p>
    <w:p w:rsidR="002C5025" w:rsidRDefault="002C5025">
      <w:pPr>
        <w:pStyle w:val="BodyText"/>
        <w:kinsoku w:val="0"/>
        <w:overflowPunct w:val="0"/>
        <w:spacing w:before="7"/>
        <w:rPr>
          <w:sz w:val="21"/>
          <w:szCs w:val="21"/>
        </w:rPr>
      </w:pPr>
    </w:p>
    <w:p w:rsidR="002C5025" w:rsidRDefault="002C5025">
      <w:pPr>
        <w:pStyle w:val="BodyText"/>
        <w:kinsoku w:val="0"/>
        <w:overflowPunct w:val="0"/>
        <w:ind w:left="100" w:right="634"/>
        <w:rPr>
          <w:rFonts w:ascii="Times New Roman" w:hAnsi="Times New Roman" w:cs="Times New Roman"/>
          <w:sz w:val="24"/>
          <w:szCs w:val="24"/>
        </w:rPr>
      </w:pPr>
      <w:r>
        <w:rPr>
          <w:rFonts w:ascii="Times New Roman" w:hAnsi="Times New Roman" w:cs="Times New Roman"/>
          <w:sz w:val="24"/>
          <w:szCs w:val="24"/>
        </w:rPr>
        <w:t xml:space="preserve">Two of the three payment models will involve Managed Care Organizations where consumer protections are well-defined. See 42 CFR Part 438. </w:t>
      </w:r>
      <w:r>
        <w:rPr>
          <w:rFonts w:ascii="Times New Roman" w:hAnsi="Times New Roman" w:cs="Times New Roman"/>
          <w:spacing w:val="-3"/>
          <w:sz w:val="24"/>
          <w:szCs w:val="24"/>
        </w:rPr>
        <w:t xml:space="preserve">It </w:t>
      </w:r>
      <w:r>
        <w:rPr>
          <w:rFonts w:ascii="Times New Roman" w:hAnsi="Times New Roman" w:cs="Times New Roman"/>
          <w:sz w:val="24"/>
          <w:szCs w:val="24"/>
        </w:rPr>
        <w:t>is our understanding that the state is not seeking to waive or avoid compliance with the Medicaid managed care rules applicable to MCOs, PIHPs, and PCCMs. However, the broad authority sought for Model B ACOs with</w:t>
      </w:r>
      <w:r>
        <w:rPr>
          <w:rFonts w:ascii="Times New Roman" w:hAnsi="Times New Roman" w:cs="Times New Roman"/>
          <w:spacing w:val="-25"/>
          <w:sz w:val="24"/>
          <w:szCs w:val="24"/>
        </w:rPr>
        <w:t xml:space="preserve"> </w:t>
      </w:r>
      <w:r>
        <w:rPr>
          <w:rFonts w:ascii="Times New Roman" w:hAnsi="Times New Roman" w:cs="Times New Roman"/>
          <w:sz w:val="24"/>
          <w:szCs w:val="24"/>
        </w:rPr>
        <w:t>which the state will be entering into risk-based contracts that may allow or require shared savings or losses to be passed on to direct service providers, and for advanced Model B ACOS that involve pre-paying ACOs in lieu of paying direct service providers raise many concerns. It is not clear the extent to which Model B will be subject to the requirements or protections in 42 CFR</w:t>
      </w:r>
      <w:r>
        <w:rPr>
          <w:rFonts w:ascii="Times New Roman" w:hAnsi="Times New Roman" w:cs="Times New Roman"/>
          <w:spacing w:val="-19"/>
          <w:sz w:val="24"/>
          <w:szCs w:val="24"/>
        </w:rPr>
        <w:t xml:space="preserve"> </w:t>
      </w:r>
      <w:r>
        <w:rPr>
          <w:rFonts w:ascii="Times New Roman" w:hAnsi="Times New Roman" w:cs="Times New Roman"/>
          <w:sz w:val="24"/>
          <w:szCs w:val="24"/>
        </w:rPr>
        <w:t>Part</w:t>
      </w:r>
    </w:p>
    <w:p w:rsidR="002C5025" w:rsidRDefault="002C5025">
      <w:pPr>
        <w:pStyle w:val="BodyText"/>
        <w:kinsoku w:val="0"/>
        <w:overflowPunct w:val="0"/>
        <w:spacing w:before="1"/>
        <w:rPr>
          <w:rFonts w:ascii="Times New Roman" w:hAnsi="Times New Roman" w:cs="Times New Roman"/>
          <w:sz w:val="17"/>
          <w:szCs w:val="17"/>
        </w:rPr>
      </w:pPr>
    </w:p>
    <w:p w:rsidR="002C5025" w:rsidRDefault="002C5025">
      <w:pPr>
        <w:pStyle w:val="BodyText"/>
        <w:kinsoku w:val="0"/>
        <w:overflowPunct w:val="0"/>
        <w:spacing w:before="70"/>
        <w:ind w:right="519"/>
        <w:jc w:val="center"/>
        <w:rPr>
          <w:rFonts w:ascii="Times New Roman" w:hAnsi="Times New Roman" w:cs="Times New Roman"/>
          <w:sz w:val="24"/>
          <w:szCs w:val="24"/>
        </w:rPr>
      </w:pPr>
      <w:r>
        <w:rPr>
          <w:rFonts w:ascii="Times New Roman" w:hAnsi="Times New Roman" w:cs="Times New Roman"/>
          <w:sz w:val="24"/>
          <w:szCs w:val="24"/>
        </w:rPr>
        <w:t>1</w:t>
      </w:r>
    </w:p>
    <w:p w:rsidR="002C5025" w:rsidRDefault="002C5025">
      <w:pPr>
        <w:pStyle w:val="BodyText"/>
        <w:kinsoku w:val="0"/>
        <w:overflowPunct w:val="0"/>
        <w:spacing w:before="70"/>
        <w:ind w:right="519"/>
        <w:jc w:val="center"/>
        <w:rPr>
          <w:rFonts w:ascii="Times New Roman" w:hAnsi="Times New Roman" w:cs="Times New Roman"/>
          <w:sz w:val="24"/>
          <w:szCs w:val="24"/>
        </w:rPr>
        <w:sectPr w:rsidR="002C5025">
          <w:pgSz w:w="12240" w:h="15840"/>
          <w:pgMar w:top="720" w:right="820" w:bottom="280" w:left="1340" w:header="720" w:footer="720" w:gutter="0"/>
          <w:cols w:space="720" w:equalWidth="0">
            <w:col w:w="10080"/>
          </w:cols>
          <w:noEndnote/>
        </w:sectPr>
      </w:pPr>
    </w:p>
    <w:p w:rsidR="002C5025" w:rsidRDefault="002C5025">
      <w:pPr>
        <w:pStyle w:val="BodyText"/>
        <w:kinsoku w:val="0"/>
        <w:overflowPunct w:val="0"/>
        <w:spacing w:before="52"/>
        <w:ind w:left="120" w:right="201"/>
        <w:rPr>
          <w:rFonts w:ascii="Times New Roman" w:hAnsi="Times New Roman" w:cs="Times New Roman"/>
          <w:sz w:val="24"/>
          <w:szCs w:val="24"/>
        </w:rPr>
      </w:pPr>
      <w:r>
        <w:rPr>
          <w:rFonts w:ascii="Times New Roman" w:hAnsi="Times New Roman" w:cs="Times New Roman"/>
          <w:sz w:val="24"/>
          <w:szCs w:val="24"/>
        </w:rPr>
        <w:lastRenderedPageBreak/>
        <w:t>438. It appears that Model B will continue to employ a PIHP for behavioral health, but not clear if it, or the ACO, will also be regulated as a PCCM entity. Our fear is that Model B will fall into a regulation-free zone. Further, existing managed care consumer protections are not enough. They do not address the risk that if direct providers have a financial stake in the shared savings or losses of the ACO, it may lead them to stint on care in ways that will not be visible to their patients.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19" w:right="190"/>
        <w:rPr>
          <w:rFonts w:ascii="Times New Roman" w:hAnsi="Times New Roman" w:cs="Times New Roman"/>
          <w:sz w:val="24"/>
          <w:szCs w:val="24"/>
        </w:rPr>
      </w:pPr>
      <w:r>
        <w:rPr>
          <w:rFonts w:ascii="Times New Roman" w:hAnsi="Times New Roman" w:cs="Times New Roman"/>
          <w:sz w:val="24"/>
          <w:szCs w:val="24"/>
        </w:rPr>
        <w:t>If Model B is authorized under § 1115 “expenditure authority,” it should specifically cross- reference to essential consumer protections in 42 CFR Part 438 to the extent applicable to the role of the ACO. Among these essential protections are: §§ 438.10 (anti-gag rule), 438.52-.54 (enrollment rights), 438.100 (enrollee rights, information on treatment options), 438.206-.210 (access to services, second opinion, out of network services, language access), 438.400 et seq. (notice and appeal rights), With respect to risk at the direct provider level, it should include only upside risk for meeting or exceeding quality targets. Individual provider decisions should be driven by expected outcomes not costs.</w:t>
      </w:r>
    </w:p>
    <w:p w:rsidR="002C5025" w:rsidRDefault="002C5025">
      <w:pPr>
        <w:pStyle w:val="BodyText"/>
        <w:kinsoku w:val="0"/>
        <w:overflowPunct w:val="0"/>
        <w:spacing w:before="7"/>
        <w:rPr>
          <w:rFonts w:ascii="Times New Roman" w:hAnsi="Times New Roman" w:cs="Times New Roman"/>
          <w:sz w:val="24"/>
          <w:szCs w:val="24"/>
        </w:rPr>
      </w:pPr>
    </w:p>
    <w:p w:rsidR="002C5025" w:rsidRDefault="002C5025">
      <w:pPr>
        <w:pStyle w:val="BodyText"/>
        <w:numPr>
          <w:ilvl w:val="2"/>
          <w:numId w:val="34"/>
        </w:numPr>
        <w:tabs>
          <w:tab w:val="left" w:pos="660"/>
        </w:tabs>
        <w:kinsoku w:val="0"/>
        <w:overflowPunct w:val="0"/>
        <w:spacing w:before="1" w:line="256" w:lineRule="exact"/>
        <w:ind w:hanging="539"/>
        <w:rPr>
          <w:rFonts w:ascii="Cambria" w:hAnsi="Cambria" w:cs="Cambria"/>
          <w:b/>
          <w:bCs/>
        </w:rPr>
      </w:pPr>
      <w:r>
        <w:rPr>
          <w:rFonts w:ascii="Cambria" w:hAnsi="Cambria" w:cs="Cambria"/>
          <w:b/>
          <w:bCs/>
        </w:rPr>
        <w:t>Benefit Differences Across Delivery</w:t>
      </w:r>
      <w:r>
        <w:rPr>
          <w:rFonts w:ascii="Cambria" w:hAnsi="Cambria" w:cs="Cambria"/>
          <w:b/>
          <w:bCs/>
          <w:spacing w:val="-14"/>
        </w:rPr>
        <w:t xml:space="preserve"> </w:t>
      </w:r>
      <w:r>
        <w:rPr>
          <w:rFonts w:ascii="Cambria" w:hAnsi="Cambria" w:cs="Cambria"/>
          <w:b/>
          <w:bCs/>
        </w:rPr>
        <w:t>Systems</w:t>
      </w:r>
    </w:p>
    <w:p w:rsidR="002C5025" w:rsidRDefault="002C5025">
      <w:pPr>
        <w:pStyle w:val="BodyText"/>
        <w:kinsoku w:val="0"/>
        <w:overflowPunct w:val="0"/>
        <w:ind w:left="119" w:right="128"/>
      </w:pPr>
      <w:r>
        <w:t>In order to encourage eligible MassHealth members to enroll in an MCO or ACO rather than the PCC Plan, MassHealth proposes to provide selected fewer covered benefits to members who choose the PCC Plan, such as chiropractic services, eye glasses and hearing aids. MassHealth seeks to expand its existing waiver of comparability provisions established under Section 1902(a)(10)(B) of the Act to support this proposal.</w:t>
      </w:r>
    </w:p>
    <w:p w:rsidR="002C5025" w:rsidRDefault="002C5025">
      <w:pPr>
        <w:pStyle w:val="BodyText"/>
        <w:kinsoku w:val="0"/>
        <w:overflowPunct w:val="0"/>
        <w:spacing w:before="8"/>
        <w:rPr>
          <w:sz w:val="21"/>
          <w:szCs w:val="21"/>
        </w:rPr>
      </w:pPr>
    </w:p>
    <w:p w:rsidR="002C5025" w:rsidRDefault="002C5025">
      <w:pPr>
        <w:pStyle w:val="BodyText"/>
        <w:kinsoku w:val="0"/>
        <w:overflowPunct w:val="0"/>
        <w:ind w:left="120" w:right="105"/>
        <w:rPr>
          <w:rFonts w:ascii="Times New Roman" w:hAnsi="Times New Roman" w:cs="Times New Roman"/>
          <w:sz w:val="24"/>
          <w:szCs w:val="24"/>
        </w:rPr>
      </w:pPr>
      <w:r>
        <w:rPr>
          <w:rFonts w:ascii="Times New Roman" w:hAnsi="Times New Roman" w:cs="Times New Roman"/>
          <w:sz w:val="24"/>
          <w:szCs w:val="24"/>
        </w:rPr>
        <w:t xml:space="preserve">We strongly oppose this proposal. It does not promote the objectives of the Act to deny low income families with children, and individuals with disabilities access to state plan services based on their choice of managed care plan. The proposal gives examples of the kinds of benefits it would not provide to members enrolled in the PCC Plan, but seeks authority to exclude any type of benefit, mandatory or optional, to anyone enrolled in the PCC Plan, child or adult, categorically eligible or not. </w:t>
      </w:r>
      <w:r>
        <w:rPr>
          <w:rFonts w:ascii="Times New Roman" w:hAnsi="Times New Roman" w:cs="Times New Roman"/>
          <w:spacing w:val="-3"/>
          <w:sz w:val="24"/>
          <w:szCs w:val="24"/>
        </w:rPr>
        <w:t xml:space="preserve">It </w:t>
      </w:r>
      <w:r>
        <w:rPr>
          <w:rFonts w:ascii="Times New Roman" w:hAnsi="Times New Roman" w:cs="Times New Roman"/>
          <w:sz w:val="24"/>
          <w:szCs w:val="24"/>
        </w:rPr>
        <w:t>proposes to set aside fundamental precepts of the Act-- that categorically eligible individuals are entitled to all state plan services, that children and youth under age 21 are entitled to all optional Medicaid services under EPSDT, and that people enrolled in managed care are entitled to the same services as those enrolled in fee for</w:t>
      </w:r>
      <w:r>
        <w:rPr>
          <w:rFonts w:ascii="Times New Roman" w:hAnsi="Times New Roman" w:cs="Times New Roman"/>
          <w:spacing w:val="-24"/>
          <w:sz w:val="24"/>
          <w:szCs w:val="24"/>
        </w:rPr>
        <w:t xml:space="preserve"> </w:t>
      </w:r>
      <w:r>
        <w:rPr>
          <w:rFonts w:ascii="Times New Roman" w:hAnsi="Times New Roman" w:cs="Times New Roman"/>
          <w:sz w:val="24"/>
          <w:szCs w:val="24"/>
        </w:rPr>
        <w:t>service--but advances no reasonable hypotheses for doing</w:t>
      </w:r>
      <w:r>
        <w:rPr>
          <w:rFonts w:ascii="Times New Roman" w:hAnsi="Times New Roman" w:cs="Times New Roman"/>
          <w:spacing w:val="-10"/>
          <w:sz w:val="24"/>
          <w:szCs w:val="24"/>
        </w:rPr>
        <w:t xml:space="preserve"> </w:t>
      </w:r>
      <w:r>
        <w:rPr>
          <w:rFonts w:ascii="Times New Roman" w:hAnsi="Times New Roman" w:cs="Times New Roman"/>
          <w:sz w:val="24"/>
          <w:szCs w:val="24"/>
        </w:rPr>
        <w:t>so.</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20" w:right="210"/>
        <w:rPr>
          <w:rFonts w:ascii="Times New Roman" w:hAnsi="Times New Roman" w:cs="Times New Roman"/>
          <w:sz w:val="24"/>
          <w:szCs w:val="24"/>
        </w:rPr>
      </w:pPr>
      <w:r>
        <w:rPr>
          <w:rFonts w:ascii="Times New Roman" w:hAnsi="Times New Roman" w:cs="Times New Roman"/>
          <w:sz w:val="24"/>
          <w:szCs w:val="24"/>
        </w:rPr>
        <w:t xml:space="preserve">Under the Medicaid Act, the state must provide all state plan services to categorically eligible individuals in its Medicaid program. </w:t>
      </w:r>
      <w:r>
        <w:rPr>
          <w:rFonts w:ascii="Cambria" w:hAnsi="Cambria" w:cs="Cambria"/>
          <w:sz w:val="24"/>
          <w:szCs w:val="24"/>
        </w:rPr>
        <w:t>42 USC § 1396a(a)(10)(B)</w:t>
      </w:r>
      <w:r>
        <w:rPr>
          <w:rFonts w:ascii="Times New Roman" w:hAnsi="Times New Roman" w:cs="Times New Roman"/>
          <w:sz w:val="24"/>
          <w:szCs w:val="24"/>
        </w:rPr>
        <w:t>. The state currently has a limited waiver of this provision but it is for the purpose of providing enhanced benefits in managed care not fewer benefits. Section 4.4 provides the following examples of services: chiropractic, orthotics, eye glasses and hearing aids. These are all optional services that the state has elected to provide through its state plan to categorically eligible individuals. In Massachusetts the categorically eligible include pregnant women, children, parents, individuals with disabilities, the elderly, and other adults. They are entitled to all state plan services regardless of their choice of managed care. See, 42 CFR § 438.206 (a).</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20" w:right="448"/>
        <w:jc w:val="both"/>
        <w:rPr>
          <w:rFonts w:ascii="Times New Roman" w:hAnsi="Times New Roman" w:cs="Times New Roman"/>
          <w:sz w:val="24"/>
          <w:szCs w:val="24"/>
        </w:rPr>
      </w:pPr>
      <w:r>
        <w:rPr>
          <w:rFonts w:ascii="Times New Roman" w:hAnsi="Times New Roman" w:cs="Times New Roman"/>
          <w:sz w:val="24"/>
          <w:szCs w:val="24"/>
        </w:rPr>
        <w:t>Further, under the Medicaid Act, categorically eligible children and youth under the age of 21 are entitled to Early and Periodic Screening Diagnostic and Treatment (EPSDT) services that include all mandatory and optional Medicaid services, whether or not a state has otherwise</w:t>
      </w:r>
    </w:p>
    <w:p w:rsidR="002C5025" w:rsidRDefault="002C5025">
      <w:pPr>
        <w:pStyle w:val="BodyText"/>
        <w:kinsoku w:val="0"/>
        <w:overflowPunct w:val="0"/>
        <w:spacing w:before="6"/>
        <w:rPr>
          <w:rFonts w:ascii="Times New Roman" w:hAnsi="Times New Roman" w:cs="Times New Roman"/>
          <w:sz w:val="12"/>
          <w:szCs w:val="12"/>
        </w:rPr>
      </w:pPr>
    </w:p>
    <w:p w:rsidR="002C5025" w:rsidRDefault="002C5025">
      <w:pPr>
        <w:pStyle w:val="BodyText"/>
        <w:kinsoku w:val="0"/>
        <w:overflowPunct w:val="0"/>
        <w:spacing w:before="69"/>
        <w:ind w:left="20"/>
        <w:jc w:val="center"/>
        <w:rPr>
          <w:rFonts w:ascii="Times New Roman" w:hAnsi="Times New Roman" w:cs="Times New Roman"/>
          <w:sz w:val="24"/>
          <w:szCs w:val="24"/>
        </w:rPr>
      </w:pPr>
      <w:r>
        <w:rPr>
          <w:rFonts w:ascii="Times New Roman" w:hAnsi="Times New Roman" w:cs="Times New Roman"/>
          <w:sz w:val="24"/>
          <w:szCs w:val="24"/>
        </w:rPr>
        <w:t>2</w:t>
      </w:r>
    </w:p>
    <w:p w:rsidR="002C5025" w:rsidRDefault="002C5025">
      <w:pPr>
        <w:pStyle w:val="BodyText"/>
        <w:kinsoku w:val="0"/>
        <w:overflowPunct w:val="0"/>
        <w:spacing w:before="69"/>
        <w:ind w:left="20"/>
        <w:jc w:val="center"/>
        <w:rPr>
          <w:rFonts w:ascii="Times New Roman" w:hAnsi="Times New Roman" w:cs="Times New Roman"/>
          <w:sz w:val="24"/>
          <w:szCs w:val="24"/>
        </w:rPr>
        <w:sectPr w:rsidR="002C5025">
          <w:pgSz w:w="12240" w:h="15840"/>
          <w:pgMar w:top="1380" w:right="1340" w:bottom="280" w:left="1320" w:header="720" w:footer="720" w:gutter="0"/>
          <w:cols w:space="720" w:equalWidth="0">
            <w:col w:w="9580"/>
          </w:cols>
          <w:noEndnote/>
        </w:sectPr>
      </w:pPr>
    </w:p>
    <w:p w:rsidR="002C5025" w:rsidRDefault="002C5025">
      <w:pPr>
        <w:pStyle w:val="BodyText"/>
        <w:kinsoku w:val="0"/>
        <w:overflowPunct w:val="0"/>
        <w:spacing w:before="52"/>
        <w:ind w:left="120" w:right="341"/>
        <w:rPr>
          <w:rFonts w:ascii="Times New Roman" w:hAnsi="Times New Roman" w:cs="Times New Roman"/>
          <w:sz w:val="24"/>
          <w:szCs w:val="24"/>
        </w:rPr>
      </w:pPr>
      <w:r>
        <w:rPr>
          <w:rFonts w:ascii="Times New Roman" w:hAnsi="Times New Roman" w:cs="Times New Roman"/>
          <w:sz w:val="24"/>
          <w:szCs w:val="24"/>
        </w:rPr>
        <w:lastRenderedPageBreak/>
        <w:t>elected to offer such services. 42 U.S.C. §§ 1396a(a)(10)(A), 1396a(a)(43), 1396d(a)(4)(B), 1396d(r). In the specific context of managed care, CMS has informed the states that EPSDT provides that children enrolled in all types of managed care, including PCC Plans, “are entitled to the same EPSDT benefits they would have in a fee for service Medicaid delivery system.” EPSDT--A Guide for States: Coverage in the Medicaid Benefit for Children and Adolescents, June 2014, (pp.29-31 requirement s of EPSDT in Managed Care). Children and youth are entitled to chiropractic services, orthotics, eye glasses and hearing aids even if these services were not in the state plan.</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20" w:right="321"/>
        <w:rPr>
          <w:rFonts w:ascii="Times New Roman" w:hAnsi="Times New Roman" w:cs="Times New Roman"/>
          <w:sz w:val="24"/>
          <w:szCs w:val="24"/>
        </w:rPr>
      </w:pPr>
      <w:r>
        <w:rPr>
          <w:rFonts w:ascii="Times New Roman" w:hAnsi="Times New Roman" w:cs="Times New Roman"/>
          <w:sz w:val="24"/>
          <w:szCs w:val="24"/>
        </w:rPr>
        <w:t xml:space="preserve">The State’s proposal also violates state law. The services identified to date were all services provided in the PCC Plan in Jan. 1, 2002. Under state law, the MassHealth agency is not empowered to offer fewer services than those covered in Jan. 1, 2002 except with respect to dental services. </w:t>
      </w:r>
      <w:proofErr w:type="spellStart"/>
      <w:r>
        <w:rPr>
          <w:rFonts w:ascii="Times New Roman" w:hAnsi="Times New Roman" w:cs="Times New Roman"/>
          <w:sz w:val="24"/>
          <w:szCs w:val="24"/>
        </w:rPr>
        <w:t>M.G.L.c</w:t>
      </w:r>
      <w:proofErr w:type="spellEnd"/>
      <w:r>
        <w:rPr>
          <w:rFonts w:ascii="Times New Roman" w:hAnsi="Times New Roman" w:cs="Times New Roman"/>
          <w:sz w:val="24"/>
          <w:szCs w:val="24"/>
        </w:rPr>
        <w:t>. 118E, § 53 as amended by GAA SFY 2017, Acts of 2016. In January 2016, the Governor proposed legislation for the state fiscal year 2017 budget that would have authorized the agency to “restructure” any benefits notwithstanding c. 118E, § 53. Both the House and the Senate rejected the Governor’s legislation and it was not enacted. The demonstration proposal to deny services to those enrolled in the PCC Plan would violate state law, and the Secretary has no authority to waive state law.</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20" w:right="107"/>
        <w:rPr>
          <w:rFonts w:ascii="Times New Roman" w:hAnsi="Times New Roman" w:cs="Times New Roman"/>
          <w:sz w:val="24"/>
          <w:szCs w:val="24"/>
        </w:rPr>
      </w:pPr>
      <w:r>
        <w:rPr>
          <w:rFonts w:ascii="Times New Roman" w:hAnsi="Times New Roman" w:cs="Times New Roman"/>
          <w:sz w:val="24"/>
          <w:szCs w:val="24"/>
        </w:rPr>
        <w:t>The proposal would penalize beneficiaries who choose a managed care option the state has elected to make available. The proposal is testing a new delivery model, ACOs, but the punitive restriction of benefits is being applied only to the PCC Plan not to MCO network physicians who are not in an ACO. The agency has advanced no reason to show why the PCC Plan is a less desirable option than an MCO.</w:t>
      </w:r>
    </w:p>
    <w:p w:rsidR="002C5025" w:rsidRDefault="002C5025">
      <w:pPr>
        <w:pStyle w:val="BodyText"/>
        <w:kinsoku w:val="0"/>
        <w:overflowPunct w:val="0"/>
        <w:spacing w:before="3"/>
        <w:rPr>
          <w:rFonts w:ascii="Times New Roman" w:hAnsi="Times New Roman" w:cs="Times New Roman"/>
          <w:sz w:val="24"/>
          <w:szCs w:val="24"/>
        </w:rPr>
      </w:pPr>
    </w:p>
    <w:p w:rsidR="002C5025" w:rsidRDefault="002C5025">
      <w:pPr>
        <w:pStyle w:val="BodyText"/>
        <w:kinsoku w:val="0"/>
        <w:overflowPunct w:val="0"/>
        <w:spacing w:line="276" w:lineRule="exact"/>
        <w:ind w:left="119" w:right="103"/>
        <w:rPr>
          <w:rFonts w:ascii="Times New Roman" w:hAnsi="Times New Roman" w:cs="Times New Roman"/>
          <w:position w:val="11"/>
          <w:sz w:val="16"/>
          <w:szCs w:val="16"/>
        </w:rPr>
      </w:pPr>
      <w:r>
        <w:rPr>
          <w:rFonts w:ascii="Times New Roman" w:hAnsi="Times New Roman" w:cs="Times New Roman"/>
          <w:sz w:val="24"/>
          <w:szCs w:val="24"/>
        </w:rPr>
        <w:t>In terms of quality, annual HEDIS reports measure quality in both the PCC Plan and the MCOs, and the PCC Plan performs as well or better than at least one or more of the MCOs on all but one measure.</w:t>
      </w:r>
      <w:hyperlink w:anchor="bookmark37" w:history="1">
        <w:proofErr w:type="spellStart"/>
        <w:r>
          <w:rPr>
            <w:rFonts w:ascii="Times New Roman" w:hAnsi="Times New Roman" w:cs="Times New Roman"/>
            <w:position w:val="11"/>
            <w:sz w:val="16"/>
            <w:szCs w:val="16"/>
          </w:rPr>
          <w:t>i</w:t>
        </w:r>
        <w:proofErr w:type="spellEnd"/>
      </w:hyperlink>
      <w:r>
        <w:rPr>
          <w:rFonts w:ascii="Times New Roman" w:hAnsi="Times New Roman" w:cs="Times New Roman"/>
          <w:position w:val="11"/>
          <w:sz w:val="16"/>
          <w:szCs w:val="16"/>
        </w:rPr>
        <w:t xml:space="preserve"> </w:t>
      </w:r>
      <w:r>
        <w:rPr>
          <w:rFonts w:ascii="Times New Roman" w:hAnsi="Times New Roman" w:cs="Times New Roman"/>
          <w:sz w:val="24"/>
          <w:szCs w:val="24"/>
        </w:rPr>
        <w:t>Thus, HEDIS scores provide no reason to think the PCC Plan provides lower quality care than the MCOs. The proposal also summarizes the results of the CAHPS survey for five of the MCOs in 2014. The results show significant variation in consumer satisfaction depending on the MCO with some scoring at just the 25</w:t>
      </w:r>
      <w:proofErr w:type="spellStart"/>
      <w:r>
        <w:rPr>
          <w:rFonts w:ascii="Times New Roman" w:hAnsi="Times New Roman" w:cs="Times New Roman"/>
          <w:position w:val="11"/>
          <w:sz w:val="16"/>
          <w:szCs w:val="16"/>
        </w:rPr>
        <w:t>th</w:t>
      </w:r>
      <w:proofErr w:type="spellEnd"/>
      <w:r>
        <w:rPr>
          <w:rFonts w:ascii="Times New Roman" w:hAnsi="Times New Roman" w:cs="Times New Roman"/>
          <w:position w:val="11"/>
          <w:sz w:val="16"/>
          <w:szCs w:val="16"/>
        </w:rPr>
        <w:t xml:space="preserve"> </w:t>
      </w:r>
      <w:r>
        <w:rPr>
          <w:rFonts w:ascii="Times New Roman" w:hAnsi="Times New Roman" w:cs="Times New Roman"/>
          <w:sz w:val="24"/>
          <w:szCs w:val="24"/>
        </w:rPr>
        <w:t xml:space="preserve">percentile on such important factors as “Getting Needed Care.” </w:t>
      </w:r>
      <w:hyperlink w:anchor="bookmark35" w:history="1">
        <w:r>
          <w:rPr>
            <w:rFonts w:ascii="Times New Roman" w:hAnsi="Times New Roman" w:cs="Times New Roman"/>
            <w:position w:val="11"/>
            <w:sz w:val="16"/>
            <w:szCs w:val="16"/>
          </w:rPr>
          <w:t>ii</w:t>
        </w:r>
      </w:hyperlink>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spacing w:line="276" w:lineRule="exact"/>
        <w:ind w:left="119" w:right="96"/>
        <w:rPr>
          <w:rFonts w:ascii="Times New Roman" w:hAnsi="Times New Roman" w:cs="Times New Roman"/>
          <w:sz w:val="24"/>
          <w:szCs w:val="24"/>
        </w:rPr>
      </w:pPr>
      <w:r>
        <w:rPr>
          <w:rFonts w:ascii="Times New Roman" w:hAnsi="Times New Roman" w:cs="Times New Roman"/>
          <w:sz w:val="24"/>
          <w:szCs w:val="24"/>
        </w:rPr>
        <w:t>Historically, the PCC Plan has been preferred by people with disabilities, and, when given the tools to do so, it manages their care well. The HEDIS report shows that while 11.6% of all MassHealth members required to participate in managed care are disabled, 20.5% of PCC Plan members are disabled, a much higher proportion than any of the MCOs. A 2013 analysis for the Delivery Model Advisory Committee  shows the per member per month cost of care for medically complex “very high risk” members in the MCOs was 135% of the costs of care for very high risk patients in the PCC Plan.</w:t>
      </w:r>
      <w:hyperlink w:anchor="bookmark36" w:history="1">
        <w:r>
          <w:rPr>
            <w:rFonts w:ascii="Times New Roman" w:hAnsi="Times New Roman" w:cs="Times New Roman"/>
            <w:position w:val="11"/>
            <w:sz w:val="16"/>
            <w:szCs w:val="16"/>
          </w:rPr>
          <w:t>iii</w:t>
        </w:r>
      </w:hyperlink>
      <w:r>
        <w:rPr>
          <w:rFonts w:ascii="Times New Roman" w:hAnsi="Times New Roman" w:cs="Times New Roman"/>
          <w:sz w:val="24"/>
          <w:szCs w:val="24"/>
        </w:rPr>
        <w:t>Further, the Partnership has initiated many innovative programs for people with complex medical needs such as housing supports for chronically ill and homeless adults, recovery peer navigators for repeated users of detox services, an integrated care management program for members with complex medical and/or behavioral needs, and primary care clinicians have participated in alternative payment arrangements such as the Primary Care Payment Reform Initiative.</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3"/>
        <w:rPr>
          <w:rFonts w:ascii="Times New Roman" w:hAnsi="Times New Roman" w:cs="Times New Roman"/>
          <w:sz w:val="21"/>
          <w:szCs w:val="21"/>
        </w:rPr>
      </w:pPr>
    </w:p>
    <w:p w:rsidR="002C5025" w:rsidRDefault="002C5025">
      <w:pPr>
        <w:pStyle w:val="BodyText"/>
        <w:kinsoku w:val="0"/>
        <w:overflowPunct w:val="0"/>
        <w:ind w:left="20"/>
        <w:jc w:val="center"/>
        <w:rPr>
          <w:rFonts w:ascii="Times New Roman" w:hAnsi="Times New Roman" w:cs="Times New Roman"/>
          <w:sz w:val="24"/>
          <w:szCs w:val="24"/>
        </w:rPr>
      </w:pPr>
      <w:r>
        <w:rPr>
          <w:rFonts w:ascii="Times New Roman" w:hAnsi="Times New Roman" w:cs="Times New Roman"/>
          <w:sz w:val="24"/>
          <w:szCs w:val="24"/>
        </w:rPr>
        <w:t>3</w:t>
      </w:r>
    </w:p>
    <w:p w:rsidR="002C5025" w:rsidRDefault="002C5025">
      <w:pPr>
        <w:pStyle w:val="BodyText"/>
        <w:kinsoku w:val="0"/>
        <w:overflowPunct w:val="0"/>
        <w:ind w:left="20"/>
        <w:jc w:val="center"/>
        <w:rPr>
          <w:rFonts w:ascii="Times New Roman" w:hAnsi="Times New Roman" w:cs="Times New Roman"/>
          <w:sz w:val="24"/>
          <w:szCs w:val="24"/>
        </w:rPr>
        <w:sectPr w:rsidR="002C5025">
          <w:pgSz w:w="12240" w:h="15840"/>
          <w:pgMar w:top="1380" w:right="1340" w:bottom="280" w:left="1320" w:header="720" w:footer="720" w:gutter="0"/>
          <w:cols w:space="720"/>
          <w:noEndnote/>
        </w:sectPr>
      </w:pPr>
    </w:p>
    <w:p w:rsidR="002C5025" w:rsidRDefault="002C5025">
      <w:pPr>
        <w:pStyle w:val="BodyText"/>
        <w:kinsoku w:val="0"/>
        <w:overflowPunct w:val="0"/>
        <w:spacing w:before="52"/>
        <w:ind w:left="100" w:right="129"/>
        <w:rPr>
          <w:rFonts w:ascii="Times New Roman" w:hAnsi="Times New Roman" w:cs="Times New Roman"/>
          <w:sz w:val="24"/>
          <w:szCs w:val="24"/>
        </w:rPr>
      </w:pPr>
      <w:r>
        <w:rPr>
          <w:rFonts w:ascii="Times New Roman" w:hAnsi="Times New Roman" w:cs="Times New Roman"/>
          <w:sz w:val="24"/>
          <w:szCs w:val="24"/>
        </w:rPr>
        <w:lastRenderedPageBreak/>
        <w:t>The Medicaid agency sets rates. All acute hospitals in Massachusetts participate in Medicaid at Medicaid set rates and are available to members in the PCC Plan. However, the same is not true for the MCOs and access to certain hospitals is increasingly problematic. This includes hospitals that provide specialty care important for people with disabilities and complex medical needs as well as hospitals that dominate the market in rural parts of the state. Further, when costs increase unexpectedly, such as with the introduction of high cost drugs able to cure Hepatitis C, the MCOs adopted illegally restrictive medical necessity standards. The fact that the agency administered its own drug benefit enabled members in the PCC Plan to obtain these drugs and eventually led to the agency resolving the access impasse with MCOs.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00" w:right="150"/>
        <w:rPr>
          <w:rFonts w:ascii="Times New Roman" w:hAnsi="Times New Roman" w:cs="Times New Roman"/>
          <w:sz w:val="24"/>
          <w:szCs w:val="24"/>
        </w:rPr>
      </w:pPr>
      <w:r>
        <w:rPr>
          <w:rFonts w:ascii="Times New Roman" w:hAnsi="Times New Roman" w:cs="Times New Roman"/>
          <w:sz w:val="24"/>
          <w:szCs w:val="24"/>
        </w:rPr>
        <w:t>Medicaid officials have said that the PCC Plan is not able to control costs as well as the MCOs. However, it is the agency that determines what tools to control costs will be employed on the medical side of the PCC Plan. It decides when a PCC referral is required. No referral is required for chiropractic services, eyeglasses or hearing aids, for example. The agency determines whether or not to require prior authorization for a medical service like home health which until recently did not require prior authorization. The agency determines which medical providers can participate. If the MassHealth agency cannot manage the PCC Plan, how can it effectively monitor MCOs and ACOs as it proposes to do in the demonstration?</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numPr>
          <w:ilvl w:val="2"/>
          <w:numId w:val="34"/>
        </w:numPr>
        <w:tabs>
          <w:tab w:val="left" w:pos="640"/>
        </w:tabs>
        <w:kinsoku w:val="0"/>
        <w:overflowPunct w:val="0"/>
        <w:spacing w:line="253" w:lineRule="exact"/>
        <w:ind w:left="639" w:hanging="539"/>
        <w:rPr>
          <w:rFonts w:ascii="Cambria" w:hAnsi="Cambria" w:cs="Cambria"/>
          <w:b/>
          <w:bCs/>
        </w:rPr>
      </w:pPr>
      <w:r>
        <w:rPr>
          <w:rFonts w:ascii="Cambria" w:hAnsi="Cambria" w:cs="Cambria"/>
          <w:b/>
          <w:bCs/>
        </w:rPr>
        <w:t>Enhanced Benefits to Treat Substance Use</w:t>
      </w:r>
      <w:r>
        <w:rPr>
          <w:rFonts w:ascii="Cambria" w:hAnsi="Cambria" w:cs="Cambria"/>
          <w:b/>
          <w:bCs/>
          <w:spacing w:val="-17"/>
        </w:rPr>
        <w:t xml:space="preserve"> </w:t>
      </w:r>
      <w:r>
        <w:rPr>
          <w:rFonts w:ascii="Cambria" w:hAnsi="Cambria" w:cs="Cambria"/>
          <w:b/>
          <w:bCs/>
        </w:rPr>
        <w:t>Disorder</w:t>
      </w:r>
    </w:p>
    <w:p w:rsidR="002C5025" w:rsidRDefault="002C5025">
      <w:pPr>
        <w:pStyle w:val="BodyText"/>
        <w:kinsoku w:val="0"/>
        <w:overflowPunct w:val="0"/>
        <w:ind w:left="100" w:right="362"/>
        <w:rPr>
          <w:rFonts w:ascii="Times New Roman" w:hAnsi="Times New Roman" w:cs="Times New Roman"/>
          <w:sz w:val="24"/>
          <w:szCs w:val="24"/>
        </w:rPr>
      </w:pPr>
      <w:r>
        <w:rPr>
          <w:rFonts w:ascii="Times New Roman" w:hAnsi="Times New Roman" w:cs="Times New Roman"/>
          <w:sz w:val="24"/>
          <w:szCs w:val="24"/>
        </w:rPr>
        <w:t>We strongly support this timely and important expansion of services for MassHealth beneficiaries across all delivery systems. It should also extend to those eligible based on being age 65 or older, and we request confirmation that this is the case.</w:t>
      </w:r>
    </w:p>
    <w:p w:rsidR="002C5025" w:rsidRDefault="002C5025">
      <w:pPr>
        <w:pStyle w:val="BodyText"/>
        <w:kinsoku w:val="0"/>
        <w:overflowPunct w:val="0"/>
        <w:spacing w:before="2"/>
        <w:rPr>
          <w:rFonts w:ascii="Times New Roman" w:hAnsi="Times New Roman" w:cs="Times New Roman"/>
          <w:sz w:val="23"/>
          <w:szCs w:val="23"/>
        </w:rPr>
      </w:pPr>
    </w:p>
    <w:p w:rsidR="002C5025" w:rsidRDefault="002C5025">
      <w:pPr>
        <w:pStyle w:val="ListParagraph"/>
        <w:numPr>
          <w:ilvl w:val="2"/>
          <w:numId w:val="34"/>
        </w:numPr>
        <w:tabs>
          <w:tab w:val="left" w:pos="640"/>
        </w:tabs>
        <w:kinsoku w:val="0"/>
        <w:overflowPunct w:val="0"/>
        <w:spacing w:line="256" w:lineRule="exact"/>
        <w:ind w:left="639" w:hanging="539"/>
        <w:rPr>
          <w:rFonts w:ascii="Cambria" w:hAnsi="Cambria" w:cs="Cambria"/>
          <w:b/>
          <w:bCs/>
          <w:sz w:val="22"/>
          <w:szCs w:val="22"/>
        </w:rPr>
      </w:pPr>
      <w:r>
        <w:rPr>
          <w:rFonts w:ascii="Cambria" w:hAnsi="Cambria" w:cs="Cambria"/>
          <w:b/>
          <w:bCs/>
          <w:sz w:val="22"/>
          <w:szCs w:val="22"/>
        </w:rPr>
        <w:t>[Flexible</w:t>
      </w:r>
      <w:r>
        <w:rPr>
          <w:rFonts w:ascii="Cambria" w:hAnsi="Cambria" w:cs="Cambria"/>
          <w:b/>
          <w:bCs/>
          <w:spacing w:val="-4"/>
          <w:sz w:val="22"/>
          <w:szCs w:val="22"/>
        </w:rPr>
        <w:t xml:space="preserve"> </w:t>
      </w:r>
      <w:r>
        <w:rPr>
          <w:rFonts w:ascii="Cambria" w:hAnsi="Cambria" w:cs="Cambria"/>
          <w:b/>
          <w:bCs/>
          <w:sz w:val="22"/>
          <w:szCs w:val="22"/>
        </w:rPr>
        <w:t>services]</w:t>
      </w:r>
    </w:p>
    <w:p w:rsidR="002C5025" w:rsidRDefault="002C5025">
      <w:pPr>
        <w:pStyle w:val="BodyText"/>
        <w:kinsoku w:val="0"/>
        <w:overflowPunct w:val="0"/>
        <w:ind w:left="100" w:right="482"/>
        <w:jc w:val="both"/>
      </w:pPr>
      <w:r>
        <w:t>MassHealth also requests authority to include additional flexible “in lieu of” services, as described in Section 4.2.2 in the Demonstration and offer these benefits under managed care, including through MCOs and Model A ACOs.</w:t>
      </w:r>
    </w:p>
    <w:p w:rsidR="002C5025" w:rsidRDefault="002C5025">
      <w:pPr>
        <w:pStyle w:val="BodyText"/>
        <w:kinsoku w:val="0"/>
        <w:overflowPunct w:val="0"/>
        <w:spacing w:before="8"/>
        <w:rPr>
          <w:sz w:val="20"/>
          <w:szCs w:val="20"/>
        </w:rPr>
      </w:pPr>
    </w:p>
    <w:p w:rsidR="002C5025" w:rsidRDefault="002C5025">
      <w:pPr>
        <w:pStyle w:val="BodyText"/>
        <w:kinsoku w:val="0"/>
        <w:overflowPunct w:val="0"/>
        <w:ind w:left="100" w:right="244"/>
        <w:rPr>
          <w:rFonts w:ascii="Times New Roman" w:hAnsi="Times New Roman" w:cs="Times New Roman"/>
          <w:sz w:val="24"/>
          <w:szCs w:val="24"/>
        </w:rPr>
      </w:pPr>
      <w:r>
        <w:rPr>
          <w:rFonts w:ascii="Times New Roman" w:hAnsi="Times New Roman" w:cs="Times New Roman"/>
          <w:sz w:val="24"/>
          <w:szCs w:val="24"/>
        </w:rPr>
        <w:t>We support the provision for flexible services but request clarification of several features. In Section 4.2.2 the description of flexible services seems to apply to all ACOs including Model B ACOs which we support. However, § 8.3.3 only refers to MCOs and Model A ACOs. Will DSRIP-funded flexible services also be available to Model B ACOs?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00" w:right="109"/>
        <w:rPr>
          <w:rFonts w:ascii="Times New Roman" w:hAnsi="Times New Roman" w:cs="Times New Roman"/>
          <w:sz w:val="24"/>
          <w:szCs w:val="24"/>
        </w:rPr>
      </w:pPr>
      <w:r>
        <w:rPr>
          <w:rFonts w:ascii="Times New Roman" w:hAnsi="Times New Roman" w:cs="Times New Roman"/>
          <w:sz w:val="24"/>
          <w:szCs w:val="24"/>
        </w:rPr>
        <w:t>42 CFR § 438.3(e) authorizes “in lieu of” services by MCOs and PIHPs if certain criteria are met. The utilization and costs of such services are taken into account in developing the</w:t>
      </w:r>
      <w:r>
        <w:rPr>
          <w:rFonts w:ascii="Times New Roman" w:hAnsi="Times New Roman" w:cs="Times New Roman"/>
          <w:spacing w:val="-21"/>
          <w:sz w:val="24"/>
          <w:szCs w:val="24"/>
        </w:rPr>
        <w:t xml:space="preserve"> </w:t>
      </w:r>
      <w:r>
        <w:rPr>
          <w:rFonts w:ascii="Times New Roman" w:hAnsi="Times New Roman" w:cs="Times New Roman"/>
          <w:sz w:val="24"/>
          <w:szCs w:val="24"/>
        </w:rPr>
        <w:t xml:space="preserve">capitation rate. Its criteria are similar, but not identical, to those listed in the Proposal at 4.2.2. One requirement of the regulation that is not included in the Proposal is the provision that an enrollee cannot be </w:t>
      </w:r>
      <w:r>
        <w:rPr>
          <w:rFonts w:ascii="Times New Roman" w:hAnsi="Times New Roman" w:cs="Times New Roman"/>
          <w:i/>
          <w:iCs/>
          <w:sz w:val="24"/>
          <w:szCs w:val="24"/>
        </w:rPr>
        <w:t xml:space="preserve">required </w:t>
      </w:r>
      <w:r>
        <w:rPr>
          <w:rFonts w:ascii="Times New Roman" w:hAnsi="Times New Roman" w:cs="Times New Roman"/>
          <w:sz w:val="24"/>
          <w:szCs w:val="24"/>
        </w:rPr>
        <w:t>to use the alternative service or setting. 42 CFR § 438.3(e)(ii). This provision for voluntary use of flexible services should be included in the Proposal as</w:t>
      </w:r>
      <w:r>
        <w:rPr>
          <w:rFonts w:ascii="Times New Roman" w:hAnsi="Times New Roman" w:cs="Times New Roman"/>
          <w:spacing w:val="-15"/>
          <w:sz w:val="24"/>
          <w:szCs w:val="24"/>
        </w:rPr>
        <w:t xml:space="preserve"> </w:t>
      </w:r>
      <w:r>
        <w:rPr>
          <w:rFonts w:ascii="Times New Roman" w:hAnsi="Times New Roman" w:cs="Times New Roman"/>
          <w:sz w:val="24"/>
          <w:szCs w:val="24"/>
        </w:rPr>
        <w:t>well.</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00" w:right="122"/>
        <w:rPr>
          <w:rFonts w:ascii="Times New Roman" w:hAnsi="Times New Roman" w:cs="Times New Roman"/>
          <w:sz w:val="24"/>
          <w:szCs w:val="24"/>
        </w:rPr>
      </w:pPr>
      <w:r>
        <w:rPr>
          <w:rFonts w:ascii="Times New Roman" w:hAnsi="Times New Roman" w:cs="Times New Roman"/>
          <w:sz w:val="24"/>
          <w:szCs w:val="24"/>
        </w:rPr>
        <w:t>The state criteria require that flexible services be cost-effective alternatives to covered benefits and likely to generate savings. We suggest revision of this language by changing the conjunction from “and” to “or” and substituting “likely to reduce the use of more costly covered services” than “generate savings.” There may be instances where an “in lieu of” service is literally substituting for a covered service, for example a tablet substituting for an Alternative and Augmentative Communication device (AAC) where one service is an alternative for another.</w:t>
      </w:r>
    </w:p>
    <w:p w:rsidR="002C5025" w:rsidRDefault="002C5025">
      <w:pPr>
        <w:pStyle w:val="BodyText"/>
        <w:kinsoku w:val="0"/>
        <w:overflowPunct w:val="0"/>
        <w:spacing w:before="6"/>
        <w:rPr>
          <w:rFonts w:ascii="Times New Roman" w:hAnsi="Times New Roman" w:cs="Times New Roman"/>
          <w:sz w:val="16"/>
          <w:szCs w:val="16"/>
        </w:rPr>
      </w:pPr>
    </w:p>
    <w:p w:rsidR="002C5025" w:rsidRDefault="002C5025">
      <w:pPr>
        <w:pStyle w:val="BodyText"/>
        <w:kinsoku w:val="0"/>
        <w:overflowPunct w:val="0"/>
        <w:spacing w:before="69"/>
        <w:ind w:left="20"/>
        <w:jc w:val="center"/>
        <w:rPr>
          <w:rFonts w:ascii="Times New Roman" w:hAnsi="Times New Roman" w:cs="Times New Roman"/>
          <w:sz w:val="24"/>
          <w:szCs w:val="24"/>
        </w:rPr>
      </w:pPr>
      <w:r>
        <w:rPr>
          <w:rFonts w:ascii="Times New Roman" w:hAnsi="Times New Roman" w:cs="Times New Roman"/>
          <w:sz w:val="24"/>
          <w:szCs w:val="24"/>
        </w:rPr>
        <w:t>4</w:t>
      </w:r>
    </w:p>
    <w:p w:rsidR="002C5025" w:rsidRDefault="002C5025">
      <w:pPr>
        <w:pStyle w:val="BodyText"/>
        <w:kinsoku w:val="0"/>
        <w:overflowPunct w:val="0"/>
        <w:spacing w:before="69"/>
        <w:ind w:left="20"/>
        <w:jc w:val="center"/>
        <w:rPr>
          <w:rFonts w:ascii="Times New Roman" w:hAnsi="Times New Roman" w:cs="Times New Roman"/>
          <w:sz w:val="24"/>
          <w:szCs w:val="24"/>
        </w:rPr>
        <w:sectPr w:rsidR="002C5025">
          <w:pgSz w:w="12240" w:h="15840"/>
          <w:pgMar w:top="1380" w:right="1360" w:bottom="280" w:left="1340" w:header="720" w:footer="720" w:gutter="0"/>
          <w:cols w:space="720" w:equalWidth="0">
            <w:col w:w="9540"/>
          </w:cols>
          <w:noEndnote/>
        </w:sectPr>
      </w:pPr>
    </w:p>
    <w:p w:rsidR="002C5025" w:rsidRDefault="002C5025">
      <w:pPr>
        <w:pStyle w:val="BodyText"/>
        <w:kinsoku w:val="0"/>
        <w:overflowPunct w:val="0"/>
        <w:spacing w:before="52"/>
        <w:ind w:left="119" w:right="458"/>
        <w:rPr>
          <w:rFonts w:ascii="Times New Roman" w:hAnsi="Times New Roman" w:cs="Times New Roman"/>
          <w:sz w:val="24"/>
          <w:szCs w:val="24"/>
        </w:rPr>
      </w:pPr>
      <w:r>
        <w:rPr>
          <w:rFonts w:ascii="Times New Roman" w:hAnsi="Times New Roman" w:cs="Times New Roman"/>
          <w:sz w:val="24"/>
          <w:szCs w:val="24"/>
        </w:rPr>
        <w:lastRenderedPageBreak/>
        <w:t>However, for other services such as an air conditioner to reduce heat-induced seizures, or assistance with social service needs, a reasonable expectation of reduced use of other covered services is a more appropriate test.</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numPr>
          <w:ilvl w:val="2"/>
          <w:numId w:val="34"/>
        </w:numPr>
        <w:tabs>
          <w:tab w:val="left" w:pos="660"/>
        </w:tabs>
        <w:kinsoku w:val="0"/>
        <w:overflowPunct w:val="0"/>
        <w:spacing w:line="256" w:lineRule="exact"/>
        <w:ind w:hanging="539"/>
        <w:rPr>
          <w:rFonts w:ascii="Cambria" w:hAnsi="Cambria" w:cs="Cambria"/>
          <w:b/>
          <w:bCs/>
        </w:rPr>
      </w:pPr>
      <w:r>
        <w:rPr>
          <w:rFonts w:ascii="Cambria" w:hAnsi="Cambria" w:cs="Cambria"/>
          <w:b/>
          <w:bCs/>
        </w:rPr>
        <w:t>Cost Sharing Differences Across Delivery</w:t>
      </w:r>
      <w:r>
        <w:rPr>
          <w:rFonts w:ascii="Cambria" w:hAnsi="Cambria" w:cs="Cambria"/>
          <w:b/>
          <w:bCs/>
          <w:spacing w:val="-18"/>
        </w:rPr>
        <w:t xml:space="preserve"> </w:t>
      </w:r>
      <w:r>
        <w:rPr>
          <w:rFonts w:ascii="Cambria" w:hAnsi="Cambria" w:cs="Cambria"/>
          <w:b/>
          <w:bCs/>
        </w:rPr>
        <w:t>Systems</w:t>
      </w:r>
    </w:p>
    <w:p w:rsidR="002C5025" w:rsidRDefault="002C5025">
      <w:pPr>
        <w:pStyle w:val="BodyText"/>
        <w:kinsoku w:val="0"/>
        <w:overflowPunct w:val="0"/>
        <w:ind w:left="120" w:right="285"/>
        <w:jc w:val="both"/>
      </w:pPr>
      <w:r>
        <w:t>As described in Section 4.4, MassHealth proposes to implement differential copayments depending on whether a member is in the PCC Plan or FFS, or enrolled in an MCO or ACO. …MassHealth seeks waiver authority to implement these premium and costs sharing requirements to the extent that they exceed limits established under section 1902(a)(14) of the Act and implementing regulations.</w:t>
      </w:r>
    </w:p>
    <w:p w:rsidR="002C5025" w:rsidRDefault="002C5025">
      <w:pPr>
        <w:pStyle w:val="BodyText"/>
        <w:kinsoku w:val="0"/>
        <w:overflowPunct w:val="0"/>
        <w:spacing w:before="8"/>
        <w:rPr>
          <w:sz w:val="21"/>
          <w:szCs w:val="21"/>
        </w:rPr>
      </w:pPr>
    </w:p>
    <w:p w:rsidR="002C5025" w:rsidRDefault="002C5025">
      <w:pPr>
        <w:pStyle w:val="BodyText"/>
        <w:kinsoku w:val="0"/>
        <w:overflowPunct w:val="0"/>
        <w:ind w:left="120" w:right="101"/>
        <w:rPr>
          <w:rFonts w:ascii="Times New Roman" w:hAnsi="Times New Roman" w:cs="Times New Roman"/>
          <w:sz w:val="24"/>
          <w:szCs w:val="24"/>
        </w:rPr>
      </w:pPr>
      <w:r>
        <w:rPr>
          <w:rFonts w:ascii="Times New Roman" w:hAnsi="Times New Roman" w:cs="Times New Roman"/>
          <w:sz w:val="24"/>
          <w:szCs w:val="24"/>
        </w:rPr>
        <w:t>The authority requested to charge premiums and copayments in excess of those permitted under the Medicaid Act is not presented with sufficient detail to enable meaningful comment. Federal regulations require a comprehensive description of the § 1115 application or extension with “sufficient level of detail to ensure meaningful input from the public including: …the eligibility requirements, benefit coverage and cost sharing (premiums, co-payments and deductibles) required of individuals that will be impacted by the demonstration, and how such provisions vary from the State’s current program features.” 42 CFR § 431.408(a)(1)(</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)(B).</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20" w:right="215"/>
        <w:rPr>
          <w:rFonts w:ascii="Times New Roman" w:hAnsi="Times New Roman" w:cs="Times New Roman"/>
          <w:sz w:val="24"/>
          <w:szCs w:val="24"/>
        </w:rPr>
      </w:pPr>
      <w:r>
        <w:rPr>
          <w:rFonts w:ascii="Times New Roman" w:hAnsi="Times New Roman" w:cs="Times New Roman"/>
          <w:sz w:val="24"/>
          <w:szCs w:val="24"/>
        </w:rPr>
        <w:t>In § 8.3.4 the proposal states that differential copayments will remain nominal (as required by the Act), and refers to updating cost sharing in accordance with the ACA, yet it seeks authority to disregard the limits established under the Act. Section 4.4 refers to updating the out of pocket cost sharing schedule including premiums and copayments in 2018, eliminating copayments for those under 50% FPL, recalibrating the premium schedule for those over 150% FPL and expanding the list of services to which copayments apply. However, nothing explains what aspect of the premium and cost sharing provisions incorporated by reference in § 1902(a)(14) would not apply to whatever changes the agency has in mind.</w:t>
      </w:r>
    </w:p>
    <w:p w:rsidR="002C5025" w:rsidRDefault="002C5025">
      <w:pPr>
        <w:pStyle w:val="BodyText"/>
        <w:kinsoku w:val="0"/>
        <w:overflowPunct w:val="0"/>
        <w:spacing w:before="3"/>
        <w:rPr>
          <w:rFonts w:ascii="Times New Roman" w:hAnsi="Times New Roman" w:cs="Times New Roman"/>
          <w:sz w:val="24"/>
          <w:szCs w:val="24"/>
        </w:rPr>
      </w:pPr>
    </w:p>
    <w:p w:rsidR="002C5025" w:rsidRDefault="002C5025">
      <w:pPr>
        <w:pStyle w:val="BodyText"/>
        <w:kinsoku w:val="0"/>
        <w:overflowPunct w:val="0"/>
        <w:spacing w:line="276" w:lineRule="exact"/>
        <w:ind w:left="120" w:right="288"/>
        <w:rPr>
          <w:rFonts w:ascii="Times New Roman" w:hAnsi="Times New Roman" w:cs="Times New Roman"/>
          <w:sz w:val="24"/>
          <w:szCs w:val="24"/>
        </w:rPr>
      </w:pPr>
      <w:r>
        <w:rPr>
          <w:rFonts w:ascii="Times New Roman" w:hAnsi="Times New Roman" w:cs="Times New Roman"/>
          <w:sz w:val="24"/>
          <w:szCs w:val="24"/>
        </w:rPr>
        <w:t xml:space="preserve">Congress has provided detailed standards for premiums and cost-sharing and given the states substantial flexibility within prescribed parameters. It has also limited the Secretary’s power to authorize cost sharing under any waiver unless the demonstration satisfies five specific conditions including testing a unique use of copayments, a 2-year limitation, benefits to recipients that outweigh risks, and use of a control group. 42 USC § 1390o(f). See, Newton- Nations v. </w:t>
      </w:r>
      <w:proofErr w:type="spellStart"/>
      <w:r>
        <w:rPr>
          <w:rFonts w:ascii="Times New Roman" w:hAnsi="Times New Roman" w:cs="Times New Roman"/>
          <w:sz w:val="24"/>
          <w:szCs w:val="24"/>
        </w:rPr>
        <w:t>Betlach</w:t>
      </w:r>
      <w:proofErr w:type="spellEnd"/>
      <w:r>
        <w:rPr>
          <w:rFonts w:ascii="Times New Roman" w:hAnsi="Times New Roman" w:cs="Times New Roman"/>
          <w:sz w:val="24"/>
          <w:szCs w:val="24"/>
        </w:rPr>
        <w:t>, 660 F.3d 370 (9</w:t>
      </w:r>
      <w:proofErr w:type="spellStart"/>
      <w:r>
        <w:rPr>
          <w:rFonts w:ascii="Times New Roman" w:hAnsi="Times New Roman" w:cs="Times New Roman"/>
          <w:position w:val="11"/>
          <w:sz w:val="16"/>
          <w:szCs w:val="16"/>
        </w:rPr>
        <w:t>th</w:t>
      </w:r>
      <w:proofErr w:type="spellEnd"/>
      <w:r>
        <w:rPr>
          <w:rFonts w:ascii="Times New Roman" w:hAnsi="Times New Roman" w:cs="Times New Roman"/>
          <w:position w:val="11"/>
          <w:sz w:val="16"/>
          <w:szCs w:val="16"/>
        </w:rPr>
        <w:t xml:space="preserve"> </w:t>
      </w:r>
      <w:r>
        <w:rPr>
          <w:rFonts w:ascii="Times New Roman" w:hAnsi="Times New Roman" w:cs="Times New Roman"/>
          <w:sz w:val="24"/>
          <w:szCs w:val="24"/>
        </w:rPr>
        <w:t>Cir. 2011) (Secretary’s approval of Arizona co-payment demonstration is unlawful). The proposal does not describe how it will satisfy these conditions.</w:t>
      </w:r>
    </w:p>
    <w:p w:rsidR="002C5025" w:rsidRDefault="002C5025">
      <w:pPr>
        <w:pStyle w:val="BodyText"/>
        <w:kinsoku w:val="0"/>
        <w:overflowPunct w:val="0"/>
        <w:spacing w:before="8"/>
        <w:rPr>
          <w:rFonts w:ascii="Times New Roman" w:hAnsi="Times New Roman" w:cs="Times New Roman"/>
          <w:sz w:val="23"/>
          <w:szCs w:val="23"/>
        </w:rPr>
      </w:pPr>
    </w:p>
    <w:p w:rsidR="002C5025" w:rsidRDefault="002C5025">
      <w:pPr>
        <w:pStyle w:val="BodyText"/>
        <w:kinsoku w:val="0"/>
        <w:overflowPunct w:val="0"/>
        <w:ind w:left="120" w:right="882"/>
        <w:rPr>
          <w:rFonts w:ascii="Times New Roman" w:hAnsi="Times New Roman" w:cs="Times New Roman"/>
          <w:sz w:val="24"/>
          <w:szCs w:val="24"/>
        </w:rPr>
      </w:pPr>
      <w:r>
        <w:rPr>
          <w:rFonts w:ascii="Times New Roman" w:hAnsi="Times New Roman" w:cs="Times New Roman"/>
          <w:sz w:val="24"/>
          <w:szCs w:val="24"/>
        </w:rPr>
        <w:t>We oppose any explicit waiver of Medicaid premium and cost-sharing protections or any implicit waiver under the expenditure authority.</w:t>
      </w:r>
    </w:p>
    <w:p w:rsidR="002C5025" w:rsidRDefault="002C5025">
      <w:pPr>
        <w:pStyle w:val="BodyText"/>
        <w:kinsoku w:val="0"/>
        <w:overflowPunct w:val="0"/>
        <w:spacing w:before="8"/>
        <w:rPr>
          <w:rFonts w:ascii="Times New Roman" w:hAnsi="Times New Roman" w:cs="Times New Roman"/>
          <w:sz w:val="24"/>
          <w:szCs w:val="24"/>
        </w:rPr>
      </w:pPr>
    </w:p>
    <w:p w:rsidR="002C5025" w:rsidRDefault="002C5025">
      <w:pPr>
        <w:pStyle w:val="ListParagraph"/>
        <w:numPr>
          <w:ilvl w:val="1"/>
          <w:numId w:val="33"/>
        </w:numPr>
        <w:tabs>
          <w:tab w:val="left" w:pos="545"/>
        </w:tabs>
        <w:kinsoku w:val="0"/>
        <w:overflowPunct w:val="0"/>
        <w:spacing w:line="301" w:lineRule="exact"/>
        <w:ind w:firstLine="0"/>
        <w:rPr>
          <w:rFonts w:ascii="Cambria" w:hAnsi="Cambria" w:cs="Cambria"/>
          <w:b/>
          <w:bCs/>
          <w:sz w:val="26"/>
          <w:szCs w:val="26"/>
        </w:rPr>
      </w:pPr>
      <w:r>
        <w:rPr>
          <w:rFonts w:ascii="Cambria" w:hAnsi="Cambria" w:cs="Cambria"/>
          <w:b/>
          <w:bCs/>
          <w:sz w:val="26"/>
          <w:szCs w:val="26"/>
        </w:rPr>
        <w:t>Extending CommonHealth for Working Adults Age 65 and</w:t>
      </w:r>
      <w:r>
        <w:rPr>
          <w:rFonts w:ascii="Cambria" w:hAnsi="Cambria" w:cs="Cambria"/>
          <w:b/>
          <w:bCs/>
          <w:spacing w:val="-30"/>
          <w:sz w:val="26"/>
          <w:szCs w:val="26"/>
        </w:rPr>
        <w:t xml:space="preserve"> </w:t>
      </w:r>
      <w:r>
        <w:rPr>
          <w:rFonts w:ascii="Cambria" w:hAnsi="Cambria" w:cs="Cambria"/>
          <w:b/>
          <w:bCs/>
          <w:sz w:val="26"/>
          <w:szCs w:val="26"/>
        </w:rPr>
        <w:t>Older</w:t>
      </w:r>
    </w:p>
    <w:p w:rsidR="002C5025" w:rsidRDefault="002C5025">
      <w:pPr>
        <w:pStyle w:val="BodyText"/>
        <w:kinsoku w:val="0"/>
        <w:overflowPunct w:val="0"/>
        <w:ind w:left="120" w:right="268"/>
        <w:rPr>
          <w:rFonts w:ascii="Times New Roman" w:hAnsi="Times New Roman" w:cs="Times New Roman"/>
          <w:sz w:val="24"/>
          <w:szCs w:val="24"/>
        </w:rPr>
      </w:pPr>
      <w:r>
        <w:rPr>
          <w:rFonts w:ascii="Times New Roman" w:hAnsi="Times New Roman" w:cs="Times New Roman"/>
          <w:sz w:val="24"/>
          <w:szCs w:val="24"/>
        </w:rPr>
        <w:t>We support this proposal for all working disabled seniors eligible under the current state rule at 130 CMR § 519.012. However, the proposal should be clarified because it sometimes describes the eligibility criteria more narrowly than the current rule which we understand was not the intent.</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5"/>
        <w:rPr>
          <w:rFonts w:ascii="Times New Roman" w:hAnsi="Times New Roman" w:cs="Times New Roman"/>
          <w:sz w:val="26"/>
          <w:szCs w:val="26"/>
        </w:rPr>
      </w:pPr>
    </w:p>
    <w:p w:rsidR="002C5025" w:rsidRDefault="002C5025">
      <w:pPr>
        <w:pStyle w:val="BodyText"/>
        <w:kinsoku w:val="0"/>
        <w:overflowPunct w:val="0"/>
        <w:spacing w:before="69"/>
        <w:ind w:left="20"/>
        <w:jc w:val="center"/>
        <w:rPr>
          <w:rFonts w:ascii="Times New Roman" w:hAnsi="Times New Roman" w:cs="Times New Roman"/>
          <w:sz w:val="24"/>
          <w:szCs w:val="24"/>
        </w:rPr>
      </w:pPr>
      <w:r>
        <w:rPr>
          <w:rFonts w:ascii="Times New Roman" w:hAnsi="Times New Roman" w:cs="Times New Roman"/>
          <w:sz w:val="24"/>
          <w:szCs w:val="24"/>
        </w:rPr>
        <w:t>5</w:t>
      </w:r>
    </w:p>
    <w:p w:rsidR="002C5025" w:rsidRDefault="002C5025">
      <w:pPr>
        <w:pStyle w:val="BodyText"/>
        <w:kinsoku w:val="0"/>
        <w:overflowPunct w:val="0"/>
        <w:spacing w:before="69"/>
        <w:ind w:left="20"/>
        <w:jc w:val="center"/>
        <w:rPr>
          <w:rFonts w:ascii="Times New Roman" w:hAnsi="Times New Roman" w:cs="Times New Roman"/>
          <w:sz w:val="24"/>
          <w:szCs w:val="24"/>
        </w:rPr>
        <w:sectPr w:rsidR="002C5025">
          <w:pgSz w:w="12240" w:h="15840"/>
          <w:pgMar w:top="1380" w:right="1340" w:bottom="280" w:left="1320" w:header="720" w:footer="720" w:gutter="0"/>
          <w:cols w:space="720" w:equalWidth="0">
            <w:col w:w="9580"/>
          </w:cols>
          <w:noEndnote/>
        </w:sectPr>
      </w:pPr>
    </w:p>
    <w:p w:rsidR="002C5025" w:rsidRDefault="002C5025">
      <w:pPr>
        <w:pStyle w:val="ListParagraph"/>
        <w:numPr>
          <w:ilvl w:val="1"/>
          <w:numId w:val="33"/>
        </w:numPr>
        <w:tabs>
          <w:tab w:val="left" w:pos="545"/>
        </w:tabs>
        <w:kinsoku w:val="0"/>
        <w:overflowPunct w:val="0"/>
        <w:spacing w:before="40"/>
        <w:ind w:right="315" w:firstLine="0"/>
        <w:rPr>
          <w:rFonts w:ascii="Cambria" w:hAnsi="Cambria" w:cs="Cambria"/>
          <w:b/>
          <w:bCs/>
          <w:sz w:val="26"/>
          <w:szCs w:val="26"/>
        </w:rPr>
      </w:pPr>
      <w:r>
        <w:rPr>
          <w:rFonts w:ascii="Cambria" w:hAnsi="Cambria" w:cs="Cambria"/>
          <w:b/>
          <w:bCs/>
          <w:sz w:val="26"/>
          <w:szCs w:val="26"/>
        </w:rPr>
        <w:lastRenderedPageBreak/>
        <w:t>Student Health Insurance Program (SHIP): ensuring MassHealth is</w:t>
      </w:r>
      <w:r>
        <w:rPr>
          <w:rFonts w:ascii="Cambria" w:hAnsi="Cambria" w:cs="Cambria"/>
          <w:b/>
          <w:bCs/>
          <w:spacing w:val="-28"/>
          <w:sz w:val="26"/>
          <w:szCs w:val="26"/>
        </w:rPr>
        <w:t xml:space="preserve"> </w:t>
      </w:r>
      <w:r>
        <w:rPr>
          <w:rFonts w:ascii="Cambria" w:hAnsi="Cambria" w:cs="Cambria"/>
          <w:b/>
          <w:bCs/>
          <w:sz w:val="26"/>
          <w:szCs w:val="26"/>
        </w:rPr>
        <w:t>“payer of last</w:t>
      </w:r>
      <w:r>
        <w:rPr>
          <w:rFonts w:ascii="Cambria" w:hAnsi="Cambria" w:cs="Cambria"/>
          <w:b/>
          <w:bCs/>
          <w:spacing w:val="-11"/>
          <w:sz w:val="26"/>
          <w:szCs w:val="26"/>
        </w:rPr>
        <w:t xml:space="preserve"> </w:t>
      </w:r>
      <w:r>
        <w:rPr>
          <w:rFonts w:ascii="Cambria" w:hAnsi="Cambria" w:cs="Cambria"/>
          <w:b/>
          <w:bCs/>
          <w:sz w:val="26"/>
          <w:szCs w:val="26"/>
        </w:rPr>
        <w:t>resort”</w:t>
      </w:r>
    </w:p>
    <w:p w:rsidR="002C5025" w:rsidRDefault="002C5025">
      <w:pPr>
        <w:pStyle w:val="BodyText"/>
        <w:kinsoku w:val="0"/>
        <w:overflowPunct w:val="0"/>
        <w:ind w:left="120" w:right="356"/>
        <w:rPr>
          <w:rFonts w:ascii="Times New Roman" w:hAnsi="Times New Roman" w:cs="Times New Roman"/>
          <w:sz w:val="24"/>
          <w:szCs w:val="24"/>
        </w:rPr>
      </w:pPr>
      <w:r>
        <w:rPr>
          <w:rFonts w:ascii="Times New Roman" w:hAnsi="Times New Roman" w:cs="Times New Roman"/>
          <w:sz w:val="24"/>
          <w:szCs w:val="24"/>
        </w:rPr>
        <w:t>We support the availability of premium assistance for student health plans and the proposal to provide continuous eligibility to coincide with the student health insurance coverage period. However, we oppose the proposal to make premium assistance mandatory. For students who require behavioral health services, premium assistance is likely to reduce their access to affordable care. This is because, except for students under age 21, when MassHealth is secondary, the beneficiary is enrolled in fee for service. MassHealth fee for service refuses to allow licensed mental health practitioners, other than psychiatrists, to enroll as participating providers of therapy services. This means a student will have great difficulty obtaining therapy services from a provider who participates in both MassHealth and the student health plan. If a student sees a provider who does not participate in MassHealth, the student will bear the entire cost of the deductibles, copays and other cost sharing in the student health plan. This situation could be remedied by the agency, but until it is, premium assistance for students should not be mandatory. Students should be able to decide for themselves whether the advantages of the private plan outweigh the likely added costs for seeing a therapist in private practice.</w:t>
      </w:r>
    </w:p>
    <w:p w:rsidR="002C5025" w:rsidRDefault="002C5025">
      <w:pPr>
        <w:pStyle w:val="BodyText"/>
        <w:kinsoku w:val="0"/>
        <w:overflowPunct w:val="0"/>
        <w:spacing w:before="1"/>
        <w:rPr>
          <w:rFonts w:ascii="Times New Roman" w:hAnsi="Times New Roman" w:cs="Times New Roman"/>
          <w:sz w:val="24"/>
          <w:szCs w:val="24"/>
        </w:rPr>
      </w:pPr>
    </w:p>
    <w:p w:rsidR="002C5025" w:rsidRDefault="002C5025">
      <w:pPr>
        <w:pStyle w:val="ListParagraph"/>
        <w:numPr>
          <w:ilvl w:val="1"/>
          <w:numId w:val="33"/>
        </w:numPr>
        <w:tabs>
          <w:tab w:val="left" w:pos="545"/>
        </w:tabs>
        <w:kinsoku w:val="0"/>
        <w:overflowPunct w:val="0"/>
        <w:spacing w:line="301" w:lineRule="exact"/>
        <w:ind w:left="544" w:hanging="424"/>
        <w:rPr>
          <w:rFonts w:ascii="Cambria" w:hAnsi="Cambria" w:cs="Cambria"/>
          <w:b/>
          <w:bCs/>
          <w:sz w:val="26"/>
          <w:szCs w:val="26"/>
        </w:rPr>
      </w:pPr>
      <w:r>
        <w:rPr>
          <w:rFonts w:ascii="Cambria" w:hAnsi="Cambria" w:cs="Cambria"/>
          <w:b/>
          <w:bCs/>
          <w:sz w:val="26"/>
          <w:szCs w:val="26"/>
        </w:rPr>
        <w:t>Requested changes to the Safety Net Care</w:t>
      </w:r>
      <w:r>
        <w:rPr>
          <w:rFonts w:ascii="Cambria" w:hAnsi="Cambria" w:cs="Cambria"/>
          <w:b/>
          <w:bCs/>
          <w:spacing w:val="-16"/>
          <w:sz w:val="26"/>
          <w:szCs w:val="26"/>
        </w:rPr>
        <w:t xml:space="preserve"> </w:t>
      </w:r>
      <w:r>
        <w:rPr>
          <w:rFonts w:ascii="Cambria" w:hAnsi="Cambria" w:cs="Cambria"/>
          <w:b/>
          <w:bCs/>
          <w:sz w:val="26"/>
          <w:szCs w:val="26"/>
        </w:rPr>
        <w:t>Pool</w:t>
      </w:r>
    </w:p>
    <w:p w:rsidR="002C5025" w:rsidRDefault="002C5025">
      <w:pPr>
        <w:pStyle w:val="BodyText"/>
        <w:kinsoku w:val="0"/>
        <w:overflowPunct w:val="0"/>
        <w:ind w:left="120" w:right="249"/>
        <w:rPr>
          <w:rFonts w:ascii="Times New Roman" w:hAnsi="Times New Roman" w:cs="Times New Roman"/>
          <w:sz w:val="24"/>
          <w:szCs w:val="24"/>
        </w:rPr>
      </w:pPr>
      <w:r>
        <w:rPr>
          <w:rFonts w:ascii="Times New Roman" w:hAnsi="Times New Roman" w:cs="Times New Roman"/>
          <w:sz w:val="24"/>
          <w:szCs w:val="24"/>
        </w:rPr>
        <w:t xml:space="preserve">We support the requested authorization for </w:t>
      </w:r>
      <w:proofErr w:type="spellStart"/>
      <w:r>
        <w:rPr>
          <w:rFonts w:ascii="Times New Roman" w:hAnsi="Times New Roman" w:cs="Times New Roman"/>
          <w:sz w:val="24"/>
          <w:szCs w:val="24"/>
        </w:rPr>
        <w:t>ConnectorCare</w:t>
      </w:r>
      <w:proofErr w:type="spellEnd"/>
      <w:r>
        <w:rPr>
          <w:rFonts w:ascii="Times New Roman" w:hAnsi="Times New Roman" w:cs="Times New Roman"/>
          <w:sz w:val="24"/>
          <w:szCs w:val="24"/>
        </w:rPr>
        <w:t xml:space="preserve"> subsidies for cost sharing in addition to premium subsidies.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20" w:right="170"/>
        <w:rPr>
          <w:rFonts w:ascii="Times New Roman" w:hAnsi="Times New Roman" w:cs="Times New Roman"/>
          <w:sz w:val="24"/>
          <w:szCs w:val="24"/>
        </w:rPr>
      </w:pPr>
      <w:r>
        <w:rPr>
          <w:rFonts w:ascii="Times New Roman" w:hAnsi="Times New Roman" w:cs="Times New Roman"/>
          <w:sz w:val="24"/>
          <w:szCs w:val="24"/>
        </w:rPr>
        <w:t>We request clarification whether the proposal contemplates any change to the rules of the Health Safety Net Uncompensated Care Program at 101 CMR Parts 613 and 614.</w:t>
      </w:r>
    </w:p>
    <w:p w:rsidR="002C5025" w:rsidRDefault="002C5025">
      <w:pPr>
        <w:pStyle w:val="BodyText"/>
        <w:kinsoku w:val="0"/>
        <w:overflowPunct w:val="0"/>
        <w:spacing w:before="4"/>
        <w:rPr>
          <w:rFonts w:ascii="Times New Roman" w:hAnsi="Times New Roman" w:cs="Times New Roman"/>
          <w:sz w:val="24"/>
          <w:szCs w:val="24"/>
        </w:rPr>
      </w:pPr>
    </w:p>
    <w:p w:rsidR="002C5025" w:rsidRDefault="002C5025">
      <w:pPr>
        <w:pStyle w:val="BodyText"/>
        <w:kinsoku w:val="0"/>
        <w:overflowPunct w:val="0"/>
        <w:spacing w:before="1"/>
        <w:ind w:left="120" w:right="5427"/>
        <w:rPr>
          <w:rFonts w:ascii="Times New Roman" w:hAnsi="Times New Roman" w:cs="Times New Roman"/>
          <w:b/>
          <w:bCs/>
          <w:sz w:val="24"/>
          <w:szCs w:val="24"/>
        </w:rPr>
      </w:pPr>
      <w:r>
        <w:rPr>
          <w:rFonts w:ascii="Times New Roman" w:hAnsi="Times New Roman" w:cs="Times New Roman"/>
          <w:b/>
          <w:bCs/>
          <w:sz w:val="24"/>
          <w:szCs w:val="24"/>
        </w:rPr>
        <w:t>Other questions and concerns</w:t>
      </w:r>
    </w:p>
    <w:p w:rsidR="002C5025" w:rsidRDefault="002C5025">
      <w:pPr>
        <w:pStyle w:val="BodyText"/>
        <w:kinsoku w:val="0"/>
        <w:overflowPunct w:val="0"/>
        <w:spacing w:before="6"/>
        <w:rPr>
          <w:rFonts w:ascii="Times New Roman" w:hAnsi="Times New Roman" w:cs="Times New Roman"/>
          <w:b/>
          <w:bCs/>
          <w:sz w:val="23"/>
          <w:szCs w:val="23"/>
        </w:rPr>
      </w:pPr>
    </w:p>
    <w:p w:rsidR="002C5025" w:rsidRDefault="002C5025">
      <w:pPr>
        <w:pStyle w:val="ListParagraph"/>
        <w:numPr>
          <w:ilvl w:val="0"/>
          <w:numId w:val="32"/>
        </w:numPr>
        <w:tabs>
          <w:tab w:val="left" w:pos="442"/>
        </w:tabs>
        <w:kinsoku w:val="0"/>
        <w:overflowPunct w:val="0"/>
        <w:ind w:right="227" w:firstLine="0"/>
      </w:pPr>
      <w:r>
        <w:rPr>
          <w:b/>
          <w:bCs/>
        </w:rPr>
        <w:t>month lock-in, ACOs and Model B</w:t>
      </w:r>
      <w:r>
        <w:t>. We have previously written to EOHHS about our</w:t>
      </w:r>
      <w:r>
        <w:rPr>
          <w:spacing w:val="-26"/>
        </w:rPr>
        <w:t xml:space="preserve"> </w:t>
      </w:r>
      <w:r>
        <w:t>deep concerns with the proposal to deny MassHealth members the ability to change MCO plans, and we will not repeat those concerns here except to say the complexity of the choices in the new environment are a further reason members should be able to freely change</w:t>
      </w:r>
      <w:r>
        <w:rPr>
          <w:spacing w:val="-16"/>
        </w:rPr>
        <w:t xml:space="preserve"> </w:t>
      </w:r>
      <w:r>
        <w:t>plans.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20" w:right="116"/>
        <w:rPr>
          <w:rFonts w:ascii="Times New Roman" w:hAnsi="Times New Roman" w:cs="Times New Roman"/>
          <w:sz w:val="24"/>
          <w:szCs w:val="24"/>
        </w:rPr>
      </w:pPr>
      <w:r>
        <w:rPr>
          <w:rFonts w:ascii="Times New Roman" w:hAnsi="Times New Roman" w:cs="Times New Roman"/>
          <w:sz w:val="24"/>
          <w:szCs w:val="24"/>
        </w:rPr>
        <w:t>We request clarification how the lock-in will operate in the context of the new models of care. Models A and C will involve MCOs. Presumably members will be locked into the MCO, but will members be able to change primary care providers within a Model C MCO if it means leaving the ACO but remaining within the MCO? Will members also be locked into the choice of a Model B ACO, and, if so, how does this affect their ability to change primary care</w:t>
      </w:r>
      <w:r>
        <w:rPr>
          <w:rFonts w:ascii="Times New Roman" w:hAnsi="Times New Roman" w:cs="Times New Roman"/>
          <w:spacing w:val="-21"/>
          <w:sz w:val="24"/>
          <w:szCs w:val="24"/>
        </w:rPr>
        <w:t xml:space="preserve"> </w:t>
      </w:r>
      <w:r>
        <w:rPr>
          <w:rFonts w:ascii="Times New Roman" w:hAnsi="Times New Roman" w:cs="Times New Roman"/>
          <w:sz w:val="24"/>
          <w:szCs w:val="24"/>
        </w:rPr>
        <w:t>provider?</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19" w:right="106"/>
        <w:rPr>
          <w:rFonts w:ascii="Times New Roman" w:hAnsi="Times New Roman" w:cs="Times New Roman"/>
          <w:sz w:val="24"/>
          <w:szCs w:val="24"/>
        </w:rPr>
      </w:pPr>
      <w:r>
        <w:rPr>
          <w:rFonts w:ascii="Times New Roman" w:hAnsi="Times New Roman" w:cs="Times New Roman"/>
          <w:b/>
          <w:bCs/>
          <w:sz w:val="24"/>
          <w:szCs w:val="24"/>
        </w:rPr>
        <w:t xml:space="preserve">Default assignment. </w:t>
      </w:r>
      <w:r>
        <w:rPr>
          <w:rFonts w:ascii="Times New Roman" w:hAnsi="Times New Roman" w:cs="Times New Roman"/>
          <w:sz w:val="24"/>
          <w:szCs w:val="24"/>
        </w:rPr>
        <w:t>Currently members required to participate in managed care who do not select a plan by a deadline are assigned by default into the PCC Plan or one of the MCOs; the assignment takes into account past plan enrollment but otherwise distributes members to each plan in turn. If enrolled in an MCO, a member must select a PCC and if he or she fails to do so, the MCO will assign a PCC. Under the proposal, the delivery system will include the PCC Plan (with its disadvantages in benefits and cost sharing), MCOs (with PCCs who are not in an ACO), Model A ACO(MCO), Model B ACO, and Model C MCO-ACO. What will be the basis for default assignment now? For MCOs that operate both in Model C and without an ACO, what PCC assignment rules will they employ?</w:t>
      </w:r>
    </w:p>
    <w:p w:rsidR="002C5025" w:rsidRDefault="002C5025">
      <w:pPr>
        <w:pStyle w:val="BodyText"/>
        <w:kinsoku w:val="0"/>
        <w:overflowPunct w:val="0"/>
        <w:spacing w:before="7"/>
        <w:rPr>
          <w:rFonts w:ascii="Times New Roman" w:hAnsi="Times New Roman" w:cs="Times New Roman"/>
          <w:sz w:val="24"/>
          <w:szCs w:val="24"/>
        </w:rPr>
      </w:pPr>
    </w:p>
    <w:p w:rsidR="002C5025" w:rsidRDefault="002C5025">
      <w:pPr>
        <w:pStyle w:val="BodyText"/>
        <w:kinsoku w:val="0"/>
        <w:overflowPunct w:val="0"/>
        <w:spacing w:before="70"/>
        <w:jc w:val="center"/>
        <w:rPr>
          <w:rFonts w:ascii="Times New Roman" w:hAnsi="Times New Roman" w:cs="Times New Roman"/>
          <w:sz w:val="24"/>
          <w:szCs w:val="24"/>
        </w:rPr>
      </w:pPr>
      <w:r>
        <w:rPr>
          <w:rFonts w:ascii="Times New Roman" w:hAnsi="Times New Roman" w:cs="Times New Roman"/>
          <w:sz w:val="24"/>
          <w:szCs w:val="24"/>
        </w:rPr>
        <w:t>6</w:t>
      </w:r>
    </w:p>
    <w:p w:rsidR="002C5025" w:rsidRDefault="002C5025">
      <w:pPr>
        <w:pStyle w:val="BodyText"/>
        <w:kinsoku w:val="0"/>
        <w:overflowPunct w:val="0"/>
        <w:spacing w:before="70"/>
        <w:jc w:val="center"/>
        <w:rPr>
          <w:rFonts w:ascii="Times New Roman" w:hAnsi="Times New Roman" w:cs="Times New Roman"/>
          <w:sz w:val="24"/>
          <w:szCs w:val="24"/>
        </w:rPr>
        <w:sectPr w:rsidR="002C5025">
          <w:pgSz w:w="12240" w:h="15840"/>
          <w:pgMar w:top="1400" w:right="1320" w:bottom="280" w:left="1320" w:header="720" w:footer="720" w:gutter="0"/>
          <w:cols w:space="720" w:equalWidth="0">
            <w:col w:w="9600"/>
          </w:cols>
          <w:noEndnote/>
        </w:sectPr>
      </w:pPr>
    </w:p>
    <w:p w:rsidR="002C5025" w:rsidRDefault="002C5025">
      <w:pPr>
        <w:pStyle w:val="BodyText"/>
        <w:kinsoku w:val="0"/>
        <w:overflowPunct w:val="0"/>
        <w:rPr>
          <w:rFonts w:ascii="Times New Roman" w:hAnsi="Times New Roman" w:cs="Times New Roman"/>
          <w:sz w:val="12"/>
          <w:szCs w:val="12"/>
        </w:rPr>
      </w:pPr>
    </w:p>
    <w:p w:rsidR="002C5025" w:rsidRDefault="002C5025">
      <w:pPr>
        <w:pStyle w:val="BodyText"/>
        <w:kinsoku w:val="0"/>
        <w:overflowPunct w:val="0"/>
        <w:spacing w:before="70"/>
        <w:ind w:left="120" w:right="97"/>
        <w:rPr>
          <w:rFonts w:ascii="Times New Roman" w:hAnsi="Times New Roman" w:cs="Times New Roman"/>
          <w:sz w:val="24"/>
          <w:szCs w:val="24"/>
        </w:rPr>
      </w:pPr>
      <w:r>
        <w:rPr>
          <w:rFonts w:ascii="Times New Roman" w:hAnsi="Times New Roman" w:cs="Times New Roman"/>
          <w:b/>
          <w:bCs/>
          <w:sz w:val="24"/>
          <w:szCs w:val="24"/>
        </w:rPr>
        <w:t xml:space="preserve">Language access. </w:t>
      </w:r>
      <w:r>
        <w:rPr>
          <w:rFonts w:ascii="Times New Roman" w:hAnsi="Times New Roman" w:cs="Times New Roman"/>
          <w:sz w:val="24"/>
          <w:szCs w:val="24"/>
        </w:rPr>
        <w:t>The proposal has many references to cultural competence but few to language access. A significant portion of MassHealth members are limited English proficient (LEP).</w:t>
      </w:r>
    </w:p>
    <w:p w:rsidR="002C5025" w:rsidRDefault="002C5025">
      <w:pPr>
        <w:pStyle w:val="BodyText"/>
        <w:kinsoku w:val="0"/>
        <w:overflowPunct w:val="0"/>
        <w:ind w:left="120" w:right="100"/>
        <w:rPr>
          <w:rFonts w:ascii="Times New Roman" w:hAnsi="Times New Roman" w:cs="Times New Roman"/>
          <w:sz w:val="24"/>
          <w:szCs w:val="24"/>
        </w:rPr>
      </w:pPr>
      <w:r>
        <w:rPr>
          <w:rFonts w:ascii="Times New Roman" w:hAnsi="Times New Roman" w:cs="Times New Roman"/>
          <w:sz w:val="24"/>
          <w:szCs w:val="24"/>
        </w:rPr>
        <w:t>Communicating with LEP individuals and engaging them in their care will require the use of interpreters and translation services. When LEP members seek care, their plans and providers will also require the use of interpreters and translation services. Interpreters and translations must meet quality standards and of course entail costs. We recently submitted comments on the Office of Medicaid’s draft Language Access Plan.  It has been in draft form since 2011. The draft fails to address what the expectations are of providers and plans to communicate with LEP patients or how MassHealth is prepared to assist them with technical support and appropriate reimbursement for the costs of these ancillary services. Language access should be given more attention in the proposal and in the implementation of delivery system</w:t>
      </w:r>
      <w:r>
        <w:rPr>
          <w:rFonts w:ascii="Times New Roman" w:hAnsi="Times New Roman" w:cs="Times New Roman"/>
          <w:spacing w:val="-13"/>
          <w:sz w:val="24"/>
          <w:szCs w:val="24"/>
        </w:rPr>
        <w:t xml:space="preserve"> </w:t>
      </w:r>
      <w:r>
        <w:rPr>
          <w:rFonts w:ascii="Times New Roman" w:hAnsi="Times New Roman" w:cs="Times New Roman"/>
          <w:sz w:val="24"/>
          <w:szCs w:val="24"/>
        </w:rPr>
        <w:t>reforms.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20" w:right="188"/>
        <w:rPr>
          <w:rFonts w:ascii="Times New Roman" w:hAnsi="Times New Roman" w:cs="Times New Roman"/>
          <w:sz w:val="24"/>
          <w:szCs w:val="24"/>
        </w:rPr>
      </w:pPr>
      <w:r>
        <w:rPr>
          <w:rFonts w:ascii="Times New Roman" w:hAnsi="Times New Roman" w:cs="Times New Roman"/>
          <w:b/>
          <w:bCs/>
          <w:sz w:val="24"/>
          <w:szCs w:val="24"/>
        </w:rPr>
        <w:t>Concurrent measures of quality and access</w:t>
      </w:r>
      <w:r>
        <w:rPr>
          <w:rFonts w:ascii="Times New Roman" w:hAnsi="Times New Roman" w:cs="Times New Roman"/>
          <w:sz w:val="24"/>
          <w:szCs w:val="24"/>
        </w:rPr>
        <w:t>. Quality measures based on claims data are not available until one to two years after the time services are provided. It is important that concurrent measures be in place to detect problems earlier. We strongly encourage MassHealth to use direct member experience measures such as “mystery shopper” surveys to assess network adequacy. Tools like these most closely resemble the consumer’s experience of care.</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20" w:right="155"/>
        <w:rPr>
          <w:rFonts w:ascii="Times New Roman" w:hAnsi="Times New Roman" w:cs="Times New Roman"/>
          <w:sz w:val="24"/>
          <w:szCs w:val="24"/>
        </w:rPr>
      </w:pPr>
      <w:r>
        <w:rPr>
          <w:rFonts w:ascii="Times New Roman" w:hAnsi="Times New Roman" w:cs="Times New Roman"/>
          <w:b/>
          <w:bCs/>
          <w:sz w:val="24"/>
          <w:szCs w:val="24"/>
        </w:rPr>
        <w:t xml:space="preserve">Primary care providers, ACOs and Fee for Service. </w:t>
      </w:r>
      <w:r>
        <w:rPr>
          <w:rFonts w:ascii="Times New Roman" w:hAnsi="Times New Roman" w:cs="Times New Roman"/>
          <w:sz w:val="24"/>
          <w:szCs w:val="24"/>
        </w:rPr>
        <w:t>The proposal states that primary care providers can participate in only one ACO, but can participate in fee for service and in other delivery models as a specialist. Please clarify that a primary care provider in an ACO can participate in fee for service as a primary care provider. If not, beneficiaries with no managed care or ACO options such as students and others with MassHealth as secondary coverage will be at a serious disadvantage.</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20" w:right="209"/>
        <w:rPr>
          <w:rFonts w:ascii="Times New Roman" w:hAnsi="Times New Roman" w:cs="Times New Roman"/>
          <w:sz w:val="24"/>
          <w:szCs w:val="24"/>
        </w:rPr>
      </w:pPr>
      <w:r>
        <w:rPr>
          <w:rFonts w:ascii="Times New Roman" w:hAnsi="Times New Roman" w:cs="Times New Roman"/>
          <w:b/>
          <w:bCs/>
          <w:sz w:val="24"/>
          <w:szCs w:val="24"/>
        </w:rPr>
        <w:t>Ongoing stakeholder engagement in implementation</w:t>
      </w:r>
      <w:r>
        <w:rPr>
          <w:rFonts w:ascii="Times New Roman" w:hAnsi="Times New Roman" w:cs="Times New Roman"/>
          <w:sz w:val="24"/>
          <w:szCs w:val="24"/>
        </w:rPr>
        <w:t>. We appreciate that the proposal recognizes the need for ongoing stakeholder engagement in the implementation process and refers to convening technical advisory groups and advisory groups of advocates and members. We think it is important that any such groups be structured so that they can actually offer advice as a group. While there have been many opportunities to hear presentations on the development of the DSRI proposal to date and many forums for public comment, there has not been a forum for stakeholders to talk to one another, ask for information, arrive at a consensus or majority view and offer advice as a group.</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spacing w:line="480" w:lineRule="auto"/>
        <w:ind w:left="120" w:right="4694"/>
        <w:rPr>
          <w:rFonts w:ascii="Times New Roman" w:hAnsi="Times New Roman" w:cs="Times New Roman"/>
          <w:sz w:val="24"/>
          <w:szCs w:val="24"/>
        </w:rPr>
      </w:pPr>
      <w:r>
        <w:rPr>
          <w:rFonts w:ascii="Times New Roman" w:hAnsi="Times New Roman" w:cs="Times New Roman"/>
          <w:sz w:val="24"/>
          <w:szCs w:val="24"/>
        </w:rPr>
        <w:t>Thank you again for the opportunity to comment. Yours truly,</w:t>
      </w:r>
    </w:p>
    <w:p w:rsidR="002C5025" w:rsidRDefault="002C5025">
      <w:pPr>
        <w:pStyle w:val="BodyText"/>
        <w:kinsoku w:val="0"/>
        <w:overflowPunct w:val="0"/>
        <w:spacing w:before="10"/>
        <w:ind w:left="120" w:right="5414"/>
        <w:rPr>
          <w:rFonts w:ascii="Times New Roman" w:hAnsi="Times New Roman" w:cs="Times New Roman"/>
          <w:sz w:val="24"/>
          <w:szCs w:val="24"/>
        </w:rPr>
      </w:pPr>
      <w:r>
        <w:rPr>
          <w:rFonts w:ascii="Times New Roman" w:hAnsi="Times New Roman" w:cs="Times New Roman"/>
          <w:sz w:val="24"/>
          <w:szCs w:val="24"/>
        </w:rPr>
        <w:t xml:space="preserve">Vicky </w:t>
      </w:r>
      <w:proofErr w:type="spellStart"/>
      <w:r>
        <w:rPr>
          <w:rFonts w:ascii="Times New Roman" w:hAnsi="Times New Roman" w:cs="Times New Roman"/>
          <w:sz w:val="24"/>
          <w:szCs w:val="24"/>
        </w:rPr>
        <w:t>Pulos</w:t>
      </w:r>
      <w:proofErr w:type="spellEnd"/>
      <w:r>
        <w:rPr>
          <w:rFonts w:ascii="Times New Roman" w:hAnsi="Times New Roman" w:cs="Times New Roman"/>
          <w:sz w:val="24"/>
          <w:szCs w:val="24"/>
        </w:rPr>
        <w:t xml:space="preserve">, Senior Health Law Attorney </w:t>
      </w:r>
      <w:hyperlink r:id="rId452" w:history="1">
        <w:r>
          <w:rPr>
            <w:rFonts w:ascii="Times New Roman" w:hAnsi="Times New Roman" w:cs="Times New Roman"/>
            <w:sz w:val="24"/>
            <w:szCs w:val="24"/>
          </w:rPr>
          <w:t>vpulos@mlri.org</w:t>
        </w:r>
      </w:hyperlink>
    </w:p>
    <w:p w:rsidR="002C5025" w:rsidRDefault="002C5025">
      <w:pPr>
        <w:pStyle w:val="BodyText"/>
        <w:kinsoku w:val="0"/>
        <w:overflowPunct w:val="0"/>
        <w:rPr>
          <w:rFonts w:ascii="Times New Roman" w:hAnsi="Times New Roman" w:cs="Times New Roman"/>
          <w:sz w:val="20"/>
          <w:szCs w:val="20"/>
        </w:rPr>
      </w:pPr>
    </w:p>
    <w:p w:rsidR="002C5025" w:rsidRDefault="00FB027C">
      <w:pPr>
        <w:pStyle w:val="BodyText"/>
        <w:kinsoku w:val="0"/>
        <w:overflowPunct w:val="0"/>
        <w:spacing w:before="7"/>
        <w:rPr>
          <w:rFonts w:ascii="Times New Roman" w:hAnsi="Times New Roman" w:cs="Times New Roman"/>
          <w:sz w:val="14"/>
          <w:szCs w:val="14"/>
        </w:rPr>
      </w:pPr>
      <w:r>
        <w:rPr>
          <w:noProof/>
        </w:rPr>
        <mc:AlternateContent>
          <mc:Choice Requires="wps">
            <w:drawing>
              <wp:anchor distT="0" distB="0" distL="0" distR="0" simplePos="0" relativeHeight="251719168" behindDoc="0" locked="0" layoutInCell="0" allowOverlap="1">
                <wp:simplePos x="0" y="0"/>
                <wp:positionH relativeFrom="page">
                  <wp:posOffset>914400</wp:posOffset>
                </wp:positionH>
                <wp:positionV relativeFrom="paragraph">
                  <wp:posOffset>135255</wp:posOffset>
                </wp:positionV>
                <wp:extent cx="1828800" cy="12700"/>
                <wp:effectExtent l="0" t="0" r="0" b="0"/>
                <wp:wrapTopAndBottom/>
                <wp:docPr id="323" name="Freeform 7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w 2880"/>
                            <a:gd name="T1" fmla="*/ 0 h 20"/>
                            <a:gd name="T2" fmla="*/ 2880 w 2880"/>
                            <a:gd name="T3" fmla="*/ 0 h 20"/>
                          </a:gdLst>
                          <a:ahLst/>
                          <a:cxnLst>
                            <a:cxn ang="0">
                              <a:pos x="T0" y="T1"/>
                            </a:cxn>
                            <a:cxn ang="0">
                              <a:pos x="T2" y="T3"/>
                            </a:cxn>
                          </a:cxnLst>
                          <a:rect l="0" t="0" r="r" b="b"/>
                          <a:pathLst>
                            <a:path w="2880" h="20">
                              <a:moveTo>
                                <a:pt x="0" y="0"/>
                              </a:moveTo>
                              <a:lnTo>
                                <a:pt x="2880"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02" o:spid="_x0000_s1026" style="position:absolute;z-index:251719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10.65pt,3in,10.65pt" coordsize="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" o:allowincell="f" filled="f" strokeweight=".21164mm">
                <v:path arrowok="t" o:connecttype="custom" o:connectlocs="0,0;1828800,0" o:connectangles="0,0"/>
                <w10:wrap type="topAndBottom" anchorx="page"/>
              </v:polyline>
            </w:pict>
          </mc:Fallback>
        </mc:AlternateContent>
      </w:r>
    </w:p>
    <w:p w:rsidR="002C5025" w:rsidRDefault="002C5025">
      <w:pPr>
        <w:pStyle w:val="BodyText"/>
        <w:kinsoku w:val="0"/>
        <w:overflowPunct w:val="0"/>
        <w:spacing w:before="63" w:line="223" w:lineRule="auto"/>
        <w:ind w:left="119" w:right="111"/>
        <w:rPr>
          <w:rFonts w:ascii="Times New Roman" w:hAnsi="Times New Roman" w:cs="Times New Roman"/>
          <w:sz w:val="20"/>
          <w:szCs w:val="20"/>
        </w:rPr>
      </w:pPr>
      <w:proofErr w:type="spellStart"/>
      <w:r>
        <w:rPr>
          <w:rFonts w:ascii="Times New Roman" w:hAnsi="Times New Roman" w:cs="Times New Roman"/>
          <w:position w:val="9"/>
          <w:sz w:val="13"/>
          <w:szCs w:val="13"/>
        </w:rPr>
        <w:t>i</w:t>
      </w:r>
      <w:proofErr w:type="spellEnd"/>
      <w:r>
        <w:rPr>
          <w:rFonts w:ascii="Times New Roman" w:hAnsi="Times New Roman" w:cs="Times New Roman"/>
          <w:position w:val="9"/>
          <w:sz w:val="13"/>
          <w:szCs w:val="13"/>
        </w:rPr>
        <w:t xml:space="preserve"> </w:t>
      </w:r>
      <w:r>
        <w:rPr>
          <w:rFonts w:ascii="Times New Roman" w:hAnsi="Times New Roman" w:cs="Times New Roman"/>
          <w:sz w:val="20"/>
          <w:szCs w:val="20"/>
        </w:rPr>
        <w:t>MassHealth Managed Care HEDIS® 2015 Report, U. Mass. Medical School, Feb. 2016 (reporting on calendar year 2014). It reports on nine measures across three domains: Preventive Care, Chronic Disease Management and Behavioral Health. On the nine measures, the PCC Plan scored above the 75</w:t>
      </w:r>
      <w:proofErr w:type="spellStart"/>
      <w:r>
        <w:rPr>
          <w:rFonts w:ascii="Times New Roman" w:hAnsi="Times New Roman" w:cs="Times New Roman"/>
          <w:position w:val="9"/>
          <w:sz w:val="13"/>
          <w:szCs w:val="13"/>
        </w:rPr>
        <w:t>th</w:t>
      </w:r>
      <w:proofErr w:type="spellEnd"/>
      <w:r>
        <w:rPr>
          <w:rFonts w:ascii="Times New Roman" w:hAnsi="Times New Roman" w:cs="Times New Roman"/>
          <w:position w:val="9"/>
          <w:sz w:val="13"/>
          <w:szCs w:val="13"/>
        </w:rPr>
        <w:t xml:space="preserve"> </w:t>
      </w:r>
      <w:r>
        <w:rPr>
          <w:rFonts w:ascii="Times New Roman" w:hAnsi="Times New Roman" w:cs="Times New Roman"/>
          <w:sz w:val="20"/>
          <w:szCs w:val="20"/>
        </w:rPr>
        <w:t>percentile on six measures, on two of which it scored above the 90</w:t>
      </w:r>
      <w:proofErr w:type="spellStart"/>
      <w:r>
        <w:rPr>
          <w:rFonts w:ascii="Times New Roman" w:hAnsi="Times New Roman" w:cs="Times New Roman"/>
          <w:position w:val="9"/>
          <w:sz w:val="13"/>
          <w:szCs w:val="13"/>
        </w:rPr>
        <w:t>th</w:t>
      </w:r>
      <w:proofErr w:type="spellEnd"/>
      <w:r>
        <w:rPr>
          <w:rFonts w:ascii="Times New Roman" w:hAnsi="Times New Roman" w:cs="Times New Roman"/>
          <w:position w:val="9"/>
          <w:sz w:val="13"/>
          <w:szCs w:val="13"/>
        </w:rPr>
        <w:t xml:space="preserve"> </w:t>
      </w:r>
      <w:r>
        <w:rPr>
          <w:rFonts w:ascii="Times New Roman" w:hAnsi="Times New Roman" w:cs="Times New Roman"/>
          <w:sz w:val="20"/>
          <w:szCs w:val="20"/>
        </w:rPr>
        <w:t>percentile; it out-performed from one to all six of the MCOs on eight of the nine</w:t>
      </w:r>
    </w:p>
    <w:p w:rsidR="002C5025" w:rsidRDefault="002C5025">
      <w:pPr>
        <w:pStyle w:val="BodyText"/>
        <w:kinsoku w:val="0"/>
        <w:overflowPunct w:val="0"/>
        <w:spacing w:before="9"/>
        <w:rPr>
          <w:rFonts w:ascii="Times New Roman" w:hAnsi="Times New Roman" w:cs="Times New Roman"/>
          <w:sz w:val="23"/>
          <w:szCs w:val="23"/>
        </w:rPr>
      </w:pPr>
    </w:p>
    <w:p w:rsidR="002C5025" w:rsidRDefault="002C5025">
      <w:pPr>
        <w:pStyle w:val="BodyText"/>
        <w:kinsoku w:val="0"/>
        <w:overflowPunct w:val="0"/>
        <w:spacing w:before="69"/>
        <w:ind w:left="20"/>
        <w:jc w:val="center"/>
        <w:rPr>
          <w:rFonts w:ascii="Times New Roman" w:hAnsi="Times New Roman" w:cs="Times New Roman"/>
          <w:sz w:val="24"/>
          <w:szCs w:val="24"/>
        </w:rPr>
      </w:pPr>
      <w:r>
        <w:rPr>
          <w:rFonts w:ascii="Times New Roman" w:hAnsi="Times New Roman" w:cs="Times New Roman"/>
          <w:sz w:val="24"/>
          <w:szCs w:val="24"/>
        </w:rPr>
        <w:t>7</w:t>
      </w:r>
    </w:p>
    <w:p w:rsidR="002C5025" w:rsidRDefault="002C5025">
      <w:pPr>
        <w:pStyle w:val="BodyText"/>
        <w:kinsoku w:val="0"/>
        <w:overflowPunct w:val="0"/>
        <w:spacing w:before="69"/>
        <w:ind w:left="20"/>
        <w:jc w:val="center"/>
        <w:rPr>
          <w:rFonts w:ascii="Times New Roman" w:hAnsi="Times New Roman" w:cs="Times New Roman"/>
          <w:sz w:val="24"/>
          <w:szCs w:val="24"/>
        </w:rPr>
        <w:sectPr w:rsidR="002C5025">
          <w:pgSz w:w="12240" w:h="15840"/>
          <w:pgMar w:top="1500" w:right="1340" w:bottom="280" w:left="1320" w:header="720" w:footer="720" w:gutter="0"/>
          <w:cols w:space="720" w:equalWidth="0">
            <w:col w:w="9580"/>
          </w:cols>
          <w:noEndnote/>
        </w:sectPr>
      </w:pPr>
    </w:p>
    <w:p w:rsidR="002C5025" w:rsidRDefault="002C5025">
      <w:pPr>
        <w:pStyle w:val="BodyText"/>
        <w:kinsoku w:val="0"/>
        <w:overflowPunct w:val="0"/>
        <w:spacing w:before="1"/>
        <w:rPr>
          <w:rFonts w:ascii="Times New Roman" w:hAnsi="Times New Roman" w:cs="Times New Roman"/>
          <w:sz w:val="8"/>
          <w:szCs w:val="8"/>
        </w:rPr>
      </w:pPr>
    </w:p>
    <w:p w:rsidR="002C5025" w:rsidRDefault="00FB027C">
      <w:pPr>
        <w:pStyle w:val="BodyText"/>
        <w:kinsoku w:val="0"/>
        <w:overflowPunct w:val="0"/>
        <w:spacing w:line="20" w:lineRule="exact"/>
        <w:ind w:left="114"/>
        <w:rPr>
          <w:rFonts w:ascii="Times New Roman" w:hAnsi="Times New Roman" w:cs="Times New Roman"/>
          <w:sz w:val="2"/>
          <w:szCs w:val="2"/>
        </w:rPr>
      </w:pPr>
      <w:r>
        <w:rPr>
          <w:rFonts w:ascii="Times New Roman" w:hAnsi="Times New Roman" w:cs="Times New Roman"/>
          <w:noProof/>
          <w:sz w:val="2"/>
          <w:szCs w:val="2"/>
        </w:rPr>
        <mc:AlternateContent>
          <mc:Choice Requires="wpg">
            <w:drawing>
              <wp:inline distT="0" distB="0" distL="0" distR="0">
                <wp:extent cx="5951220" cy="12700"/>
                <wp:effectExtent l="9525" t="9525" r="1905" b="0"/>
                <wp:docPr id="321" name="Group 7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12700"/>
                          <a:chOff x="0" y="0"/>
                          <a:chExt cx="9372" cy="20"/>
                        </a:xfrm>
                      </wpg:grpSpPr>
                      <wps:wsp>
                        <wps:cNvPr id="322" name="Freeform 704"/>
                        <wps:cNvSpPr>
                          <a:spLocks/>
                        </wps:cNvSpPr>
                        <wps:spPr bwMode="auto">
                          <a:xfrm>
                            <a:off x="6" y="6"/>
                            <a:ext cx="9360" cy="20"/>
                          </a:xfrm>
                          <a:custGeom>
                            <a:avLst/>
                            <a:gdLst>
                              <a:gd name="T0" fmla="*/ 0 w 9360"/>
                              <a:gd name="T1" fmla="*/ 0 h 20"/>
                              <a:gd name="T2" fmla="*/ 9360 w 9360"/>
                              <a:gd name="T3" fmla="*/ 0 h 20"/>
                            </a:gdLst>
                            <a:ahLst/>
                            <a:cxnLst>
                              <a:cxn ang="0">
                                <a:pos x="T0" y="T1"/>
                              </a:cxn>
                              <a:cxn ang="0">
                                <a:pos x="T2" y="T3"/>
                              </a:cxn>
                            </a:cxnLst>
                            <a:rect l="0" t="0" r="r" b="b"/>
                            <a:pathLst>
                              <a:path w="9360" h="20">
                                <a:moveTo>
                                  <a:pt x="0" y="0"/>
                                </a:moveTo>
                                <a:lnTo>
                                  <a:pt x="936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703" o:spid="_x0000_s1026" style="width:468.6pt;height:1pt;mso-position-horizontal-relative:char;mso-position-vertical-relative:line" coordsize="93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">
                <v:shape id="Freeform 704" o:spid="_x0000_s1027" style="position:absolute;left:6;top:6;width:9360;height:20;visibility:visible;mso-wrap-style:square;v-text-anchor:top" coordsize="936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VicUA&#10;AADcAAAADwAAAGRycy9kb3ducmV2LnhtbESPQWvCQBSE7wX/w/IKvTUbU9ASs0pRA55atFbw9sg+&#10;k2D2bchuk/jvu4LQ4zAz3zDZajSN6KlztWUF0ygGQVxYXXOp4Pidv76DcB5ZY2OZFNzIwWo5ecow&#10;1XbgPfUHX4oAYZeigsr7NpXSFRUZdJFtiYN3sZ1BH2RXSt3hEOCmkUkcz6TBmsNChS2tKyquh1+j&#10;YH5uhq/LcMPtaWN3Nf5MZ5/HXKmX5/FjAcLT6P/Dj/ZOK3hLErifCUd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4xWJxQAAANwAAAAPAAAAAAAAAAAAAAAAAJgCAABkcnMv&#10;ZG93bnJldi54bWxQSwUGAAAAAAQABAD1AAAAigMAAAAA&#10;" path="m,l9360,e" filled="f" strokeweight=".6pt">
                  <v:path arrowok="t" o:connecttype="custom" o:connectlocs="0,0;9360,0" o:connectangles="0,0"/>
                </v:shape>
                <w10:anchorlock/>
              </v:group>
            </w:pict>
          </mc:Fallback>
        </mc:AlternateContent>
      </w:r>
    </w:p>
    <w:p w:rsidR="002C5025" w:rsidRDefault="002C5025">
      <w:pPr>
        <w:pStyle w:val="BodyText"/>
        <w:kinsoku w:val="0"/>
        <w:overflowPunct w:val="0"/>
        <w:spacing w:before="102" w:line="232" w:lineRule="auto"/>
        <w:ind w:left="119" w:right="230"/>
        <w:rPr>
          <w:rFonts w:ascii="Times New Roman" w:hAnsi="Times New Roman" w:cs="Times New Roman"/>
          <w:sz w:val="20"/>
          <w:szCs w:val="20"/>
        </w:rPr>
      </w:pPr>
      <w:r>
        <w:rPr>
          <w:rFonts w:ascii="Times New Roman" w:hAnsi="Times New Roman" w:cs="Times New Roman"/>
          <w:sz w:val="20"/>
          <w:szCs w:val="20"/>
        </w:rPr>
        <w:t>measures; it was lowest on only one measure (anti-depressant medication management) a measure on which five of the six MCOs were also below the 75</w:t>
      </w:r>
      <w:proofErr w:type="spellStart"/>
      <w:r>
        <w:rPr>
          <w:rFonts w:ascii="Times New Roman" w:hAnsi="Times New Roman" w:cs="Times New Roman"/>
          <w:position w:val="9"/>
          <w:sz w:val="13"/>
          <w:szCs w:val="13"/>
        </w:rPr>
        <w:t>th</w:t>
      </w:r>
      <w:proofErr w:type="spellEnd"/>
      <w:r>
        <w:rPr>
          <w:rFonts w:ascii="Times New Roman" w:hAnsi="Times New Roman" w:cs="Times New Roman"/>
          <w:position w:val="9"/>
          <w:sz w:val="13"/>
          <w:szCs w:val="13"/>
        </w:rPr>
        <w:t xml:space="preserve"> </w:t>
      </w:r>
      <w:r>
        <w:rPr>
          <w:rFonts w:ascii="Times New Roman" w:hAnsi="Times New Roman" w:cs="Times New Roman"/>
          <w:sz w:val="20"/>
          <w:szCs w:val="20"/>
        </w:rPr>
        <w:t>percentile. Of the other two measures where it scored below the 75</w:t>
      </w:r>
      <w:proofErr w:type="spellStart"/>
      <w:r>
        <w:rPr>
          <w:rFonts w:ascii="Times New Roman" w:hAnsi="Times New Roman" w:cs="Times New Roman"/>
          <w:position w:val="9"/>
          <w:sz w:val="13"/>
          <w:szCs w:val="13"/>
        </w:rPr>
        <w:t>th</w:t>
      </w:r>
      <w:proofErr w:type="spellEnd"/>
      <w:r>
        <w:rPr>
          <w:rFonts w:ascii="Times New Roman" w:hAnsi="Times New Roman" w:cs="Times New Roman"/>
          <w:position w:val="9"/>
          <w:sz w:val="13"/>
          <w:szCs w:val="13"/>
        </w:rPr>
        <w:t xml:space="preserve"> </w:t>
      </w:r>
      <w:r>
        <w:rPr>
          <w:rFonts w:ascii="Times New Roman" w:hAnsi="Times New Roman" w:cs="Times New Roman"/>
          <w:sz w:val="20"/>
          <w:szCs w:val="20"/>
        </w:rPr>
        <w:t>percentile, in one (Diabetes screening for people with schizophrenia or bipolar disorder) none of the MCOs scored higher than the PCC Plan, on the other (comprehensive diabetes care) all the MCOs supplemented claims data with record reviews but the PCC plan did not and still outperformed two of the MCOs.</w:t>
      </w:r>
    </w:p>
    <w:p w:rsidR="002C5025" w:rsidRDefault="002C5025">
      <w:pPr>
        <w:pStyle w:val="BodyText"/>
        <w:kinsoku w:val="0"/>
        <w:overflowPunct w:val="0"/>
        <w:spacing w:line="220" w:lineRule="auto"/>
        <w:ind w:left="119" w:right="106"/>
        <w:rPr>
          <w:rFonts w:ascii="Times New Roman" w:hAnsi="Times New Roman" w:cs="Times New Roman"/>
          <w:sz w:val="20"/>
          <w:szCs w:val="20"/>
        </w:rPr>
      </w:pPr>
      <w:bookmarkStart w:id="204" w:name="bookmark35"/>
      <w:bookmarkEnd w:id="204"/>
      <w:r>
        <w:rPr>
          <w:rFonts w:ascii="Times New Roman" w:hAnsi="Times New Roman" w:cs="Times New Roman"/>
          <w:position w:val="9"/>
          <w:sz w:val="13"/>
          <w:szCs w:val="13"/>
        </w:rPr>
        <w:t xml:space="preserve">ii </w:t>
      </w:r>
      <w:r>
        <w:rPr>
          <w:rFonts w:ascii="Times New Roman" w:hAnsi="Times New Roman" w:cs="Times New Roman"/>
          <w:sz w:val="20"/>
          <w:szCs w:val="20"/>
        </w:rPr>
        <w:t>The summary table shows percentiles achieved against national benchmarks in eight categories. While the “Rating of Health Plan” percentile was high for all five plans, many of the other measures show significant variation. For example, for “Getting Needed Care”: three plans scored under the 75</w:t>
      </w:r>
      <w:proofErr w:type="spellStart"/>
      <w:r>
        <w:rPr>
          <w:rFonts w:ascii="Times New Roman" w:hAnsi="Times New Roman" w:cs="Times New Roman"/>
          <w:position w:val="9"/>
          <w:sz w:val="13"/>
          <w:szCs w:val="13"/>
        </w:rPr>
        <w:t>th</w:t>
      </w:r>
      <w:proofErr w:type="spellEnd"/>
      <w:r>
        <w:rPr>
          <w:rFonts w:ascii="Times New Roman" w:hAnsi="Times New Roman" w:cs="Times New Roman"/>
          <w:position w:val="9"/>
          <w:sz w:val="13"/>
          <w:szCs w:val="13"/>
        </w:rPr>
        <w:t xml:space="preserve"> </w:t>
      </w:r>
      <w:r>
        <w:rPr>
          <w:rFonts w:ascii="Times New Roman" w:hAnsi="Times New Roman" w:cs="Times New Roman"/>
          <w:sz w:val="20"/>
          <w:szCs w:val="20"/>
        </w:rPr>
        <w:t>percentile, two at just the 25</w:t>
      </w:r>
      <w:proofErr w:type="spellStart"/>
      <w:r>
        <w:rPr>
          <w:rFonts w:ascii="Times New Roman" w:hAnsi="Times New Roman" w:cs="Times New Roman"/>
          <w:position w:val="9"/>
          <w:sz w:val="13"/>
          <w:szCs w:val="13"/>
        </w:rPr>
        <w:t>th</w:t>
      </w:r>
      <w:proofErr w:type="spellEnd"/>
      <w:r>
        <w:rPr>
          <w:rFonts w:ascii="Times New Roman" w:hAnsi="Times New Roman" w:cs="Times New Roman"/>
          <w:position w:val="9"/>
          <w:sz w:val="13"/>
          <w:szCs w:val="13"/>
        </w:rPr>
        <w:t xml:space="preserve"> </w:t>
      </w:r>
      <w:r>
        <w:rPr>
          <w:rFonts w:ascii="Times New Roman" w:hAnsi="Times New Roman" w:cs="Times New Roman"/>
          <w:sz w:val="20"/>
          <w:szCs w:val="20"/>
        </w:rPr>
        <w:t>percentile; for “Getting Care Quickly,” three plans were at the 50</w:t>
      </w:r>
      <w:proofErr w:type="spellStart"/>
      <w:r>
        <w:rPr>
          <w:rFonts w:ascii="Times New Roman" w:hAnsi="Times New Roman" w:cs="Times New Roman"/>
          <w:position w:val="9"/>
          <w:sz w:val="13"/>
          <w:szCs w:val="13"/>
        </w:rPr>
        <w:t>th</w:t>
      </w:r>
      <w:proofErr w:type="spellEnd"/>
      <w:r>
        <w:rPr>
          <w:rFonts w:ascii="Times New Roman" w:hAnsi="Times New Roman" w:cs="Times New Roman"/>
          <w:position w:val="9"/>
          <w:sz w:val="13"/>
          <w:szCs w:val="13"/>
        </w:rPr>
        <w:t xml:space="preserve"> </w:t>
      </w:r>
      <w:r>
        <w:rPr>
          <w:rFonts w:ascii="Times New Roman" w:hAnsi="Times New Roman" w:cs="Times New Roman"/>
          <w:sz w:val="20"/>
          <w:szCs w:val="20"/>
        </w:rPr>
        <w:t>percentile or below; for “Customer Service,” three plans were at the 50</w:t>
      </w:r>
      <w:proofErr w:type="spellStart"/>
      <w:r>
        <w:rPr>
          <w:rFonts w:ascii="Times New Roman" w:hAnsi="Times New Roman" w:cs="Times New Roman"/>
          <w:position w:val="9"/>
          <w:sz w:val="13"/>
          <w:szCs w:val="13"/>
        </w:rPr>
        <w:t>th</w:t>
      </w:r>
      <w:proofErr w:type="spellEnd"/>
      <w:r>
        <w:rPr>
          <w:rFonts w:ascii="Times New Roman" w:hAnsi="Times New Roman" w:cs="Times New Roman"/>
          <w:position w:val="9"/>
          <w:sz w:val="13"/>
          <w:szCs w:val="13"/>
        </w:rPr>
        <w:t xml:space="preserve"> </w:t>
      </w:r>
      <w:r>
        <w:rPr>
          <w:rFonts w:ascii="Times New Roman" w:hAnsi="Times New Roman" w:cs="Times New Roman"/>
          <w:sz w:val="20"/>
          <w:szCs w:val="20"/>
        </w:rPr>
        <w:t>percentile or below.</w:t>
      </w:r>
    </w:p>
    <w:p w:rsidR="002C5025" w:rsidRDefault="002C5025">
      <w:pPr>
        <w:pStyle w:val="BodyText"/>
        <w:kinsoku w:val="0"/>
        <w:overflowPunct w:val="0"/>
        <w:spacing w:before="6" w:line="230" w:lineRule="exact"/>
        <w:ind w:left="120" w:right="172" w:hanging="1"/>
        <w:rPr>
          <w:rFonts w:ascii="Times New Roman" w:hAnsi="Times New Roman" w:cs="Times New Roman"/>
          <w:sz w:val="20"/>
          <w:szCs w:val="20"/>
        </w:rPr>
      </w:pPr>
      <w:bookmarkStart w:id="205" w:name="bookmark36"/>
      <w:bookmarkEnd w:id="205"/>
      <w:r>
        <w:rPr>
          <w:rFonts w:ascii="Times New Roman" w:hAnsi="Times New Roman" w:cs="Times New Roman"/>
          <w:position w:val="9"/>
          <w:sz w:val="13"/>
          <w:szCs w:val="13"/>
        </w:rPr>
        <w:t xml:space="preserve">iii </w:t>
      </w:r>
      <w:r>
        <w:rPr>
          <w:rFonts w:ascii="Times New Roman" w:hAnsi="Times New Roman" w:cs="Times New Roman"/>
          <w:sz w:val="20"/>
          <w:szCs w:val="20"/>
        </w:rPr>
        <w:t>Navigant, presentation to the Medicaid Delivery Model Advisory Committee, April 10, 2013 (slide 14, risk adjusted baseline costs).</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199"/>
        <w:jc w:val="center"/>
        <w:rPr>
          <w:rFonts w:ascii="Times New Roman" w:hAnsi="Times New Roman" w:cs="Times New Roman"/>
          <w:sz w:val="24"/>
          <w:szCs w:val="24"/>
        </w:rPr>
      </w:pPr>
      <w:bookmarkStart w:id="206" w:name="bookmark37"/>
      <w:bookmarkEnd w:id="206"/>
      <w:r>
        <w:rPr>
          <w:rFonts w:ascii="Times New Roman" w:hAnsi="Times New Roman" w:cs="Times New Roman"/>
          <w:sz w:val="24"/>
          <w:szCs w:val="24"/>
        </w:rPr>
        <w:t>8</w:t>
      </w:r>
    </w:p>
    <w:p w:rsidR="002C5025" w:rsidRDefault="002C5025">
      <w:pPr>
        <w:pStyle w:val="BodyText"/>
        <w:kinsoku w:val="0"/>
        <w:overflowPunct w:val="0"/>
        <w:spacing w:before="199"/>
        <w:jc w:val="center"/>
        <w:rPr>
          <w:rFonts w:ascii="Times New Roman" w:hAnsi="Times New Roman" w:cs="Times New Roman"/>
          <w:sz w:val="24"/>
          <w:szCs w:val="24"/>
        </w:rPr>
        <w:sectPr w:rsidR="002C5025">
          <w:pgSz w:w="12240" w:h="15840"/>
          <w:pgMar w:top="1500" w:right="1320" w:bottom="280" w:left="1320" w:header="720" w:footer="720" w:gutter="0"/>
          <w:cols w:space="720" w:equalWidth="0">
            <w:col w:w="9600"/>
          </w:cols>
          <w:noEndnote/>
        </w:sectPr>
      </w:pPr>
    </w:p>
    <w:p w:rsidR="002C5025" w:rsidRDefault="00FB027C">
      <w:pPr>
        <w:pStyle w:val="BodyText"/>
        <w:kinsoku w:val="0"/>
        <w:overflowPunct w:val="0"/>
        <w:rPr>
          <w:rFonts w:ascii="Times New Roman" w:hAnsi="Times New Roman" w:cs="Times New Roman"/>
          <w:sz w:val="20"/>
          <w:szCs w:val="20"/>
        </w:rPr>
      </w:pPr>
      <w:r>
        <w:rPr>
          <w:noProof/>
        </w:rPr>
        <w:lastRenderedPageBreak/>
        <mc:AlternateContent>
          <mc:Choice Requires="wps">
            <w:drawing>
              <wp:anchor distT="0" distB="0" distL="114300" distR="114300" simplePos="0" relativeHeight="251720192" behindDoc="1" locked="0" layoutInCell="0" allowOverlap="1">
                <wp:simplePos x="0" y="0"/>
                <wp:positionH relativeFrom="page">
                  <wp:posOffset>914400</wp:posOffset>
                </wp:positionH>
                <wp:positionV relativeFrom="page">
                  <wp:posOffset>914400</wp:posOffset>
                </wp:positionV>
                <wp:extent cx="6007100" cy="1092200"/>
                <wp:effectExtent l="0" t="0" r="0" b="0"/>
                <wp:wrapNone/>
                <wp:docPr id="320" name="Rectangle 7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7100" cy="109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1720" w:lineRule="atLeast"/>
                            </w:pPr>
                            <w:r>
                              <w:rPr>
                                <w:noProof/>
                              </w:rPr>
                              <w:drawing>
                                <wp:inline distT="0" distB="0" distL="0" distR="0">
                                  <wp:extent cx="6000750" cy="1095375"/>
                                  <wp:effectExtent l="0" t="0" r="0" b="9525"/>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453">
                                            <a:extLst>
                                              <a:ext uri="{28A0092B-C50C-407E-A947-70E740481C1C}">
                                                <a14:useLocalDpi xmlns:a14="http://schemas.microsoft.com/office/drawing/2010/main" val="0"/>
                                              </a:ext>
                                            </a:extLst>
                                          </a:blip>
                                          <a:srcRect/>
                                          <a:stretch>
                                            <a:fillRect/>
                                          </a:stretch>
                                        </pic:blipFill>
                                        <pic:spPr bwMode="auto">
                                          <a:xfrm>
                                            <a:off x="0" y="0"/>
                                            <a:ext cx="6000750" cy="1095375"/>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5" o:spid="_x0000_s1237" style="position:absolute;margin-left:1in;margin-top:1in;width:473pt;height:86pt;z-index:-251596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" o:allowincell="f" filled="f" stroked="f">
                <v:textbox inset="0,0,0,0">
                  <w:txbxContent>
                    <w:p w:rsidR="007B2B7B" w:rsidRDefault="007B2B7B">
                      <w:pPr>
                        <w:widowControl/>
                        <w:autoSpaceDE/>
                        <w:autoSpaceDN/>
                        <w:adjustRightInd/>
                        <w:spacing w:line="1720" w:lineRule="atLeast"/>
                      </w:pPr>
                      <w:r>
                        <w:rPr>
                          <w:noProof/>
                        </w:rPr>
                        <w:drawing>
                          <wp:inline distT="0" distB="0" distL="0" distR="0">
                            <wp:extent cx="6000750" cy="1095375"/>
                            <wp:effectExtent l="0" t="0" r="0" b="9525"/>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454">
                                      <a:extLst>
                                        <a:ext uri="{28A0092B-C50C-407E-A947-70E740481C1C}">
                                          <a14:useLocalDpi xmlns:a14="http://schemas.microsoft.com/office/drawing/2010/main" val="0"/>
                                        </a:ext>
                                      </a:extLst>
                                    </a:blip>
                                    <a:srcRect/>
                                    <a:stretch>
                                      <a:fillRect/>
                                    </a:stretch>
                                  </pic:blipFill>
                                  <pic:spPr bwMode="auto">
                                    <a:xfrm>
                                      <a:off x="0" y="0"/>
                                      <a:ext cx="6000750" cy="1095375"/>
                                    </a:xfrm>
                                    <a:prstGeom prst="rect">
                                      <a:avLst/>
                                    </a:prstGeom>
                                    <a:noFill/>
                                    <a:ln>
                                      <a:noFill/>
                                    </a:ln>
                                  </pic:spPr>
                                </pic:pic>
                              </a:graphicData>
                            </a:graphic>
                          </wp:inline>
                        </w:drawing>
                      </w:r>
                    </w:p>
                    <w:p w:rsidR="007B2B7B" w:rsidRDefault="007B2B7B"/>
                  </w:txbxContent>
                </v:textbox>
                <w10:wrap anchorx="page" anchory="page"/>
              </v:rect>
            </w:pict>
          </mc:Fallback>
        </mc:AlternateConten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10"/>
        <w:rPr>
          <w:rFonts w:ascii="Times New Roman" w:hAnsi="Times New Roman" w:cs="Times New Roman"/>
          <w:sz w:val="23"/>
          <w:szCs w:val="23"/>
        </w:rPr>
      </w:pPr>
    </w:p>
    <w:p w:rsidR="002C5025" w:rsidRDefault="002C5025">
      <w:pPr>
        <w:pStyle w:val="BodyText"/>
        <w:tabs>
          <w:tab w:val="left" w:pos="3400"/>
        </w:tabs>
        <w:kinsoku w:val="0"/>
        <w:overflowPunct w:val="0"/>
        <w:spacing w:before="56"/>
        <w:ind w:left="120" w:right="296"/>
        <w:rPr>
          <w:color w:val="0000FF"/>
        </w:rPr>
      </w:pPr>
      <w:bookmarkStart w:id="207" w:name="Mass_League_of_Community_Health_Centers_"/>
      <w:bookmarkEnd w:id="207"/>
      <w:r>
        <w:t>July</w:t>
      </w:r>
      <w:r>
        <w:rPr>
          <w:spacing w:val="-1"/>
        </w:rPr>
        <w:t xml:space="preserve"> </w:t>
      </w:r>
      <w:r>
        <w:t>16,</w:t>
      </w:r>
      <w:r>
        <w:rPr>
          <w:spacing w:val="-2"/>
        </w:rPr>
        <w:t xml:space="preserve"> </w:t>
      </w:r>
      <w:r>
        <w:t>2016</w:t>
      </w:r>
      <w:r>
        <w:tab/>
        <w:t>Submitted by email to</w:t>
      </w:r>
      <w:r>
        <w:rPr>
          <w:spacing w:val="-22"/>
        </w:rPr>
        <w:t xml:space="preserve"> </w:t>
      </w:r>
      <w:hyperlink r:id="rId455" w:history="1">
        <w:r>
          <w:rPr>
            <w:color w:val="0000FF"/>
            <w:u w:val="single"/>
          </w:rPr>
          <w:t>MassHealth.Innovations@state.ma.us</w:t>
        </w:r>
      </w:hyperlink>
    </w:p>
    <w:p w:rsidR="002C5025" w:rsidRDefault="002C5025">
      <w:pPr>
        <w:pStyle w:val="BodyText"/>
        <w:kinsoku w:val="0"/>
        <w:overflowPunct w:val="0"/>
        <w:spacing w:before="10"/>
        <w:rPr>
          <w:sz w:val="14"/>
          <w:szCs w:val="14"/>
        </w:rPr>
      </w:pPr>
    </w:p>
    <w:p w:rsidR="002C5025" w:rsidRDefault="002C5025">
      <w:pPr>
        <w:pStyle w:val="BodyText"/>
        <w:kinsoku w:val="0"/>
        <w:overflowPunct w:val="0"/>
        <w:spacing w:before="57"/>
        <w:ind w:left="120" w:right="296"/>
      </w:pPr>
      <w:r>
        <w:t>Daniel Tsai</w:t>
      </w:r>
    </w:p>
    <w:p w:rsidR="002C5025" w:rsidRDefault="002C5025">
      <w:pPr>
        <w:pStyle w:val="BodyText"/>
        <w:kinsoku w:val="0"/>
        <w:overflowPunct w:val="0"/>
        <w:spacing w:before="38"/>
        <w:ind w:left="120" w:right="296"/>
      </w:pPr>
      <w:r>
        <w:t>Assistant Secretary for Medicaid</w:t>
      </w:r>
    </w:p>
    <w:p w:rsidR="002C5025" w:rsidRDefault="002C5025">
      <w:pPr>
        <w:pStyle w:val="BodyText"/>
        <w:kinsoku w:val="0"/>
        <w:overflowPunct w:val="0"/>
        <w:spacing w:before="41" w:line="254" w:lineRule="auto"/>
        <w:ind w:left="120" w:right="5268"/>
      </w:pPr>
      <w:r>
        <w:t>Executive Office of Health and Human Services One Ashburton Place, 11</w:t>
      </w:r>
      <w:proofErr w:type="spellStart"/>
      <w:r>
        <w:rPr>
          <w:position w:val="10"/>
          <w:sz w:val="14"/>
          <w:szCs w:val="14"/>
        </w:rPr>
        <w:t>th</w:t>
      </w:r>
      <w:proofErr w:type="spellEnd"/>
      <w:r>
        <w:rPr>
          <w:position w:val="10"/>
          <w:sz w:val="14"/>
          <w:szCs w:val="14"/>
        </w:rPr>
        <w:t xml:space="preserve"> </w:t>
      </w:r>
      <w:r>
        <w:t>Floor</w:t>
      </w:r>
    </w:p>
    <w:p w:rsidR="002C5025" w:rsidRDefault="002C5025">
      <w:pPr>
        <w:pStyle w:val="BodyText"/>
        <w:kinsoku w:val="0"/>
        <w:overflowPunct w:val="0"/>
        <w:spacing w:before="21"/>
        <w:ind w:left="120" w:right="296"/>
      </w:pPr>
      <w:r>
        <w:t>Boston, MA 02108</w:t>
      </w:r>
    </w:p>
    <w:p w:rsidR="002C5025" w:rsidRDefault="002C5025">
      <w:pPr>
        <w:pStyle w:val="BodyText"/>
        <w:kinsoku w:val="0"/>
        <w:overflowPunct w:val="0"/>
        <w:spacing w:before="8"/>
        <w:rPr>
          <w:sz w:val="28"/>
          <w:szCs w:val="28"/>
        </w:rPr>
      </w:pPr>
    </w:p>
    <w:p w:rsidR="002C5025" w:rsidRDefault="002C5025">
      <w:pPr>
        <w:pStyle w:val="BodyText"/>
        <w:kinsoku w:val="0"/>
        <w:overflowPunct w:val="0"/>
        <w:spacing w:line="276" w:lineRule="auto"/>
        <w:ind w:left="120" w:right="746"/>
      </w:pPr>
      <w:r>
        <w:t>RE: Comments on the MassHealth Section 115 Demonstration Project Amendment and Extension Request</w:t>
      </w:r>
    </w:p>
    <w:p w:rsidR="002C5025" w:rsidRDefault="002C5025">
      <w:pPr>
        <w:pStyle w:val="BodyText"/>
        <w:kinsoku w:val="0"/>
        <w:overflowPunct w:val="0"/>
        <w:spacing w:before="4"/>
        <w:rPr>
          <w:sz w:val="16"/>
          <w:szCs w:val="16"/>
        </w:rPr>
      </w:pPr>
    </w:p>
    <w:p w:rsidR="002C5025" w:rsidRDefault="002C5025">
      <w:pPr>
        <w:pStyle w:val="BodyText"/>
        <w:kinsoku w:val="0"/>
        <w:overflowPunct w:val="0"/>
        <w:ind w:left="120" w:right="296"/>
      </w:pPr>
      <w:r>
        <w:t>Dear Assistant Secretary Tsai,</w:t>
      </w:r>
    </w:p>
    <w:p w:rsidR="002C5025" w:rsidRDefault="002C5025">
      <w:pPr>
        <w:pStyle w:val="BodyText"/>
        <w:kinsoku w:val="0"/>
        <w:overflowPunct w:val="0"/>
        <w:spacing w:before="5"/>
        <w:rPr>
          <w:sz w:val="19"/>
          <w:szCs w:val="19"/>
        </w:rPr>
      </w:pPr>
    </w:p>
    <w:p w:rsidR="002C5025" w:rsidRDefault="002C5025">
      <w:pPr>
        <w:pStyle w:val="BodyText"/>
        <w:kinsoku w:val="0"/>
        <w:overflowPunct w:val="0"/>
        <w:spacing w:before="1" w:line="276" w:lineRule="auto"/>
        <w:ind w:left="120" w:right="97"/>
      </w:pPr>
      <w:r>
        <w:t>The Massachusetts League of Community Health Centers is pleased to comment on the above- referenced Waiver Request. We greatly appreciate the many opportunities you provided for the League and our members to provide input during the stakeholder engagement process, and we look forward to continuing to work closely with you to ensure that the Commonwealth’s goals are met.</w:t>
      </w:r>
    </w:p>
    <w:p w:rsidR="002C5025" w:rsidRDefault="002C5025">
      <w:pPr>
        <w:pStyle w:val="BodyText"/>
        <w:kinsoku w:val="0"/>
        <w:overflowPunct w:val="0"/>
        <w:spacing w:before="197" w:line="276" w:lineRule="auto"/>
        <w:ind w:left="120" w:right="89"/>
      </w:pPr>
      <w:r>
        <w:t xml:space="preserve">We strongly support provisions intended to increase access, including insuring funding for much-needed support for priority initiatives which include sustaining and expanding the primary care workforce, providing targeted technical assistance and promotion of clinical/community linkages; insuring the continuation of the Health Safety Net and the Uncompensated Care Pool; ensuring the sustainability and affordability of the </w:t>
      </w:r>
      <w:proofErr w:type="spellStart"/>
      <w:r>
        <w:t>ConnectorCare</w:t>
      </w:r>
      <w:proofErr w:type="spellEnd"/>
      <w:r>
        <w:t xml:space="preserve"> program; assuring the sustainability of the CommonHealth program; providing continuous eligibility for members receiving Premium Assistance for the Student Health Program; expanding MassHealth substance use disorders treatment services; and eliminating copayments for some MassHealth members.</w:t>
      </w:r>
    </w:p>
    <w:p w:rsidR="002C5025" w:rsidRDefault="002C5025">
      <w:pPr>
        <w:pStyle w:val="BodyText"/>
        <w:kinsoku w:val="0"/>
        <w:overflowPunct w:val="0"/>
        <w:spacing w:before="197" w:line="276" w:lineRule="auto"/>
        <w:ind w:left="119" w:right="188"/>
      </w:pPr>
      <w:r>
        <w:t>We strongly oppose the proposal that members whose coverage is through the Primary Care Clinician Plan (PCC) would lose coverage for certain optional services as well as face increased copayments. We anticipate that implementation of the sweeping changes, and consolidation of provider networks that are at the heart of the Proposed Waiver will be a time of great confusion to consumers, and that no matter how well implemented will cause instability in the system. Members should not be “forced” out of existing relationships in order to obtain the services they require.   Doing so will have very little impact on success, while at the same time causing hardship and resentment by members.</w:t>
      </w:r>
    </w:p>
    <w:p w:rsidR="002C5025" w:rsidRDefault="002C5025">
      <w:pPr>
        <w:pStyle w:val="BodyText"/>
        <w:kinsoku w:val="0"/>
        <w:overflowPunct w:val="0"/>
        <w:spacing w:before="197" w:line="276" w:lineRule="auto"/>
        <w:ind w:left="119" w:right="243"/>
        <w:jc w:val="both"/>
      </w:pPr>
      <w:r>
        <w:t>We appreciate MassHealth’s reaching out to advocates and providers regarding their intention to “lock in” members to MCOs for twelve months, but still have some reservations about this policy. Our major reservation in that while it may cause disruption in current care patterns, it does not solve the “churn”</w:t>
      </w:r>
    </w:p>
    <w:p w:rsidR="002C5025" w:rsidRDefault="002C5025">
      <w:pPr>
        <w:pStyle w:val="BodyText"/>
        <w:kinsoku w:val="0"/>
        <w:overflowPunct w:val="0"/>
        <w:spacing w:before="197" w:line="276" w:lineRule="auto"/>
        <w:ind w:left="119" w:right="243"/>
        <w:jc w:val="both"/>
        <w:sectPr w:rsidR="002C5025">
          <w:pgSz w:w="12240" w:h="15840"/>
          <w:pgMar w:top="1440" w:right="1340" w:bottom="280" w:left="1320" w:header="720" w:footer="720" w:gutter="0"/>
          <w:cols w:space="720" w:equalWidth="0">
            <w:col w:w="9580"/>
          </w:cols>
          <w:noEndnote/>
        </w:sectPr>
      </w:pPr>
    </w:p>
    <w:p w:rsidR="002C5025" w:rsidRDefault="002C5025">
      <w:pPr>
        <w:pStyle w:val="BodyText"/>
        <w:kinsoku w:val="0"/>
        <w:overflowPunct w:val="0"/>
        <w:spacing w:before="37" w:line="276" w:lineRule="auto"/>
        <w:ind w:left="119" w:right="197"/>
      </w:pPr>
      <w:r>
        <w:lastRenderedPageBreak/>
        <w:t>problem, a far greater part of which is caused by eligibility changes than MCO changes. We strongly recommend that the state should in its request to CMS the option of providing 12-month Medicaid eligibility for anyone enrolled in an MCO, and as they are formed, an ACO. A serious look should be taken as to the cost/benefit of doing so as according to a number of studies there is a benefit. And doing it would provide a ‘carrot’ to patients currently in the PCC program far greater than the proposed ‘stick.’</w:t>
      </w:r>
    </w:p>
    <w:p w:rsidR="002C5025" w:rsidRDefault="002C5025">
      <w:pPr>
        <w:pStyle w:val="BodyText"/>
        <w:kinsoku w:val="0"/>
        <w:overflowPunct w:val="0"/>
        <w:spacing w:before="197" w:line="276" w:lineRule="auto"/>
        <w:ind w:left="119" w:right="114"/>
      </w:pPr>
      <w:r>
        <w:t xml:space="preserve">We also request that MassHealth provide out-stationed eligibility workers to the health centers and/or funding for health center outreach and enrollment staff.  We have found that the presence of MassHealth and </w:t>
      </w:r>
      <w:proofErr w:type="spellStart"/>
      <w:r>
        <w:t>ConnectorCare</w:t>
      </w:r>
      <w:proofErr w:type="spellEnd"/>
      <w:r>
        <w:t xml:space="preserve"> staff at the health centers has been very helpful in assisting patient to access and maintain their health care coverage and would like to increase this activity.  In addition, except for limited grant funding, the health centers bear the entire cost of over 400 Certified Application Counselors.  System consolidation will make accurate and effective communication even more necessary with patients whose first language is often not English and/or whose literacy and electronic communication skills are often limited, so we request consideration be given to increasing funding for this</w:t>
      </w:r>
      <w:r>
        <w:rPr>
          <w:spacing w:val="-3"/>
        </w:rPr>
        <w:t xml:space="preserve"> </w:t>
      </w:r>
      <w:r>
        <w:t>workforce.</w:t>
      </w:r>
    </w:p>
    <w:p w:rsidR="002C5025" w:rsidRDefault="002C5025">
      <w:pPr>
        <w:pStyle w:val="BodyText"/>
        <w:kinsoku w:val="0"/>
        <w:overflowPunct w:val="0"/>
        <w:spacing w:before="197" w:line="276" w:lineRule="auto"/>
        <w:ind w:left="119" w:right="134"/>
      </w:pPr>
      <w:r>
        <w:t>Our other concern with the “lock in” provision, is that in many parts of the state served by community health centers, both MCO and PCC patients frequently seek care at a community health centers that are not within their existing network. As you are aware, under Federal grant provisions, community health centers are required to see patients regardless of their “ability to pay,” and are therefore not allowed to turn patients away because they are not enrolled in their existing MCO, PCC, or ACO.  To date, it has been relatively easy to “switch” them to a MCO that the health center does contract with, or to the health center’s own PCC.  Although we are hopeful  that in most cases network adequacy within both the MCOs and the ACOs, as well as the provisions which would allow a person to change networks, will be sufficient to minimize this problem, in cases where the problem remains, it will threaten the financial viability of many health centers, and result in an unprecedented call on their Federal grant funding.</w:t>
      </w:r>
    </w:p>
    <w:p w:rsidR="002C5025" w:rsidRDefault="002C5025">
      <w:pPr>
        <w:pStyle w:val="BodyText"/>
        <w:kinsoku w:val="0"/>
        <w:overflowPunct w:val="0"/>
        <w:spacing w:before="197" w:line="276" w:lineRule="auto"/>
        <w:ind w:left="118" w:right="161"/>
      </w:pPr>
      <w:r>
        <w:t>Therefore, at the very least, we request Mass Health to provide a mechanism for payment by the MCO or ACO to out-of-network FQHCs for medically necessary services that are immediately required due to an unforeseen illness, injury or condition to enrollees of an MCO or ACO in compliance with 42 U.S.C. § 1396b(m)(2)(A)(vii), and that these be paid at no less than Medicaid rates. To this end, Mass Health could adopt the mechanism contemplated under 42 U.S.C. § 1396a(bb)(5) for the provision of wraparound/supplemental payments to FQHCs to ensure they receive full and timely PPS payments for services rendered to any Mass Health enrollees. Although we recognize that federal requirements for Medicaid programs to insure that health centers are paid their reasonable costs (PPS/APM rates) were written to apply to MCOs, the legal principle is that Federally Qualified Health Centers (FQHCs) do not become ‘short changed’ by state Medicaid agencies. We strongly request that this principle, and practice, apply so that FQHCs engaged in the ACOs do not forego their rate protections because of what is in effect a change of name for a “managed care organization.”</w:t>
      </w:r>
    </w:p>
    <w:p w:rsidR="002C5025" w:rsidRDefault="002C5025">
      <w:pPr>
        <w:pStyle w:val="BodyText"/>
        <w:kinsoku w:val="0"/>
        <w:overflowPunct w:val="0"/>
        <w:spacing w:before="197" w:line="273" w:lineRule="auto"/>
        <w:ind w:left="118" w:right="97" w:firstLine="50"/>
      </w:pPr>
      <w:r>
        <w:t>Our other comments with respect to MCOs are related to expectations that they will be “key partners” in the new models. As part of this partnership we request that provisions around ACO/MCO contracting</w:t>
      </w:r>
    </w:p>
    <w:p w:rsidR="002C5025" w:rsidRDefault="002C5025">
      <w:pPr>
        <w:pStyle w:val="BodyText"/>
        <w:kinsoku w:val="0"/>
        <w:overflowPunct w:val="0"/>
        <w:spacing w:before="197" w:line="273" w:lineRule="auto"/>
        <w:ind w:left="118" w:right="97" w:firstLine="50"/>
        <w:sectPr w:rsidR="002C5025">
          <w:pgSz w:w="12240" w:h="15840"/>
          <w:pgMar w:top="1400" w:right="1340" w:bottom="280" w:left="1320" w:header="720" w:footer="720" w:gutter="0"/>
          <w:cols w:space="720"/>
          <w:noEndnote/>
        </w:sectPr>
      </w:pPr>
    </w:p>
    <w:p w:rsidR="002C5025" w:rsidRDefault="002C5025">
      <w:pPr>
        <w:pStyle w:val="BodyText"/>
        <w:kinsoku w:val="0"/>
        <w:overflowPunct w:val="0"/>
        <w:spacing w:before="37" w:line="276" w:lineRule="auto"/>
        <w:ind w:left="119" w:right="353"/>
        <w:jc w:val="both"/>
      </w:pPr>
      <w:r>
        <w:lastRenderedPageBreak/>
        <w:t>should be strengthened; that the state should set requirements for homogeneity between MCOs and ACOs for data and other reporting including a model contract and requirements for a common set of outcome metrics and a MassHealth developed Value Based Payment (VBP) framework that all MCOs must comply with; and that actual providers should be given a decision-making role in deciding where care-management functions should be located.</w:t>
      </w:r>
    </w:p>
    <w:p w:rsidR="002C5025" w:rsidRDefault="002C5025">
      <w:pPr>
        <w:pStyle w:val="BodyText"/>
        <w:kinsoku w:val="0"/>
        <w:overflowPunct w:val="0"/>
        <w:spacing w:before="197" w:line="276" w:lineRule="auto"/>
        <w:ind w:left="119" w:right="118"/>
      </w:pPr>
      <w:r>
        <w:t>We support provisions which would waive prior approval for substance use disorder treatment, and also request the opportunity to discuss the possibility of “carving out” certain community health center services, including but not limited to School-based Health Center services, where prior approval processes actually interfere with the provision of cost-saving services.</w:t>
      </w:r>
    </w:p>
    <w:p w:rsidR="002C5025" w:rsidRDefault="002C5025">
      <w:pPr>
        <w:pStyle w:val="BodyText"/>
        <w:kinsoku w:val="0"/>
        <w:overflowPunct w:val="0"/>
        <w:spacing w:before="197" w:line="276" w:lineRule="auto"/>
        <w:ind w:left="118" w:right="117"/>
      </w:pPr>
      <w:r>
        <w:t xml:space="preserve">Areas in which we hope to have further clarification are: how MassHealth has defined the population eligible for Long-term support services (LTSS); what the requirements are to become a Certified Community Provider (CCP) and Certified Behavioral Health Provider (CBHP); how funding will flow from the state and from the ACOs to LTSS, CCPs and CBHPs; how pharmacy services, particularly 340b pharmacy services, will be handled; the amount of flexibility that will be allowed to ACOs with respect to their services; the decision rules related to the use of Safety Net care funds, in particular the extent to which health centers, as safety net providers, will receive them; and other details on how MassHealth plans to align the Health Safety Net with MassHealth programs.  With respect to behavioral health, many community health centers currently provide mental health and substance use disorder services and are concerned as to </w:t>
      </w:r>
      <w:r>
        <w:rPr>
          <w:spacing w:val="-2"/>
        </w:rPr>
        <w:t xml:space="preserve">how </w:t>
      </w:r>
      <w:r>
        <w:t>they will fit in under the certification process. Others which have Elder Service</w:t>
      </w:r>
      <w:r>
        <w:rPr>
          <w:spacing w:val="-5"/>
        </w:rPr>
        <w:t xml:space="preserve"> </w:t>
      </w:r>
      <w:r>
        <w:t>Plans/PACE</w:t>
      </w:r>
      <w:r>
        <w:rPr>
          <w:spacing w:val="-3"/>
        </w:rPr>
        <w:t xml:space="preserve"> </w:t>
      </w:r>
      <w:r>
        <w:t>programs</w:t>
      </w:r>
      <w:r>
        <w:rPr>
          <w:spacing w:val="-3"/>
        </w:rPr>
        <w:t xml:space="preserve"> </w:t>
      </w:r>
      <w:r>
        <w:t>have</w:t>
      </w:r>
      <w:r>
        <w:rPr>
          <w:spacing w:val="-5"/>
        </w:rPr>
        <w:t xml:space="preserve"> </w:t>
      </w:r>
      <w:r>
        <w:t>similar</w:t>
      </w:r>
      <w:r>
        <w:rPr>
          <w:spacing w:val="-5"/>
        </w:rPr>
        <w:t xml:space="preserve"> </w:t>
      </w:r>
      <w:r>
        <w:t>questions</w:t>
      </w:r>
      <w:r>
        <w:rPr>
          <w:spacing w:val="-3"/>
        </w:rPr>
        <w:t xml:space="preserve"> </w:t>
      </w:r>
      <w:r>
        <w:t>regarding</w:t>
      </w:r>
      <w:r>
        <w:rPr>
          <w:spacing w:val="-4"/>
        </w:rPr>
        <w:t xml:space="preserve"> </w:t>
      </w:r>
      <w:r>
        <w:t>their</w:t>
      </w:r>
      <w:r>
        <w:rPr>
          <w:spacing w:val="-3"/>
        </w:rPr>
        <w:t xml:space="preserve"> </w:t>
      </w:r>
      <w:r>
        <w:t>services</w:t>
      </w:r>
      <w:r>
        <w:rPr>
          <w:spacing w:val="-3"/>
        </w:rPr>
        <w:t xml:space="preserve"> </w:t>
      </w:r>
      <w:r>
        <w:t>to</w:t>
      </w:r>
      <w:r>
        <w:rPr>
          <w:spacing w:val="-4"/>
        </w:rPr>
        <w:t xml:space="preserve"> </w:t>
      </w:r>
      <w:r>
        <w:t>the</w:t>
      </w:r>
      <w:r>
        <w:rPr>
          <w:spacing w:val="-2"/>
        </w:rPr>
        <w:t xml:space="preserve"> </w:t>
      </w:r>
      <w:r>
        <w:t>elderly.</w:t>
      </w:r>
    </w:p>
    <w:p w:rsidR="002C5025" w:rsidRDefault="002C5025">
      <w:pPr>
        <w:pStyle w:val="BodyText"/>
        <w:kinsoku w:val="0"/>
        <w:overflowPunct w:val="0"/>
        <w:spacing w:before="197" w:line="276" w:lineRule="auto"/>
        <w:ind w:left="118" w:right="97"/>
      </w:pPr>
      <w:r>
        <w:t>The most serious concern by our members about the current Waiver Proposal is the requirement that a provider can be a member of only one ACO. The secondary, but also important concern is that members who are for various reasons, with rural locations being the major one, are not able to form or participate in any one ACO. In the late 1980’s attempts were made to apply limit provider participation in only one Managed Care Organization (MCO) and quickly failed because of the access issues these caused to members and the financial issues these caused to providers. A much harder look should be taken to prevailing patient care patterns before imposing such a stringent requirement.</w:t>
      </w:r>
    </w:p>
    <w:p w:rsidR="002C5025" w:rsidRDefault="002C5025">
      <w:pPr>
        <w:pStyle w:val="BodyText"/>
        <w:kinsoku w:val="0"/>
        <w:overflowPunct w:val="0"/>
        <w:spacing w:before="197" w:line="276" w:lineRule="auto"/>
        <w:ind w:left="118" w:right="122"/>
      </w:pPr>
      <w:r>
        <w:t>At a minimum, we recommend that if a primary care provider organization has the Medicaid patient volume and managerial capability to participate in more than one ACO, it be allowed to do so. We request clarification of how a provider organization can be a member of an ACO while also providing services to patients of, and being reimbursed by another ACO or MCO. We also request that technical assistance and waiver-related supplementary funding be provided to community health centers, and possibly other types of providers, who, due to local conditions are not able to form ACOs or to join ACOs that meet the needs of their patients, but which are able to design programs which will meet the Commonwealth’s goals of improving quality and controlling costs.</w:t>
      </w:r>
    </w:p>
    <w:p w:rsidR="002C5025" w:rsidRDefault="002C5025">
      <w:pPr>
        <w:pStyle w:val="BodyText"/>
        <w:kinsoku w:val="0"/>
        <w:overflowPunct w:val="0"/>
        <w:spacing w:before="197" w:line="276" w:lineRule="auto"/>
        <w:ind w:left="118" w:right="317"/>
      </w:pPr>
      <w:r>
        <w:t>Another major concern is the relative bargaining power of primary care providers, and specifically community health centers, compared to tertiary care providers. Although we are heartened by MassHealth’s plans to attribute ACO membership based on a member’s use of primary care providers,</w:t>
      </w:r>
    </w:p>
    <w:p w:rsidR="002C5025" w:rsidRDefault="002C5025">
      <w:pPr>
        <w:pStyle w:val="BodyText"/>
        <w:kinsoku w:val="0"/>
        <w:overflowPunct w:val="0"/>
        <w:spacing w:before="197" w:line="276" w:lineRule="auto"/>
        <w:ind w:left="118" w:right="317"/>
        <w:sectPr w:rsidR="002C5025">
          <w:pgSz w:w="12240" w:h="15840"/>
          <w:pgMar w:top="1400" w:right="1340" w:bottom="280" w:left="1320" w:header="720" w:footer="720" w:gutter="0"/>
          <w:cols w:space="720"/>
          <w:noEndnote/>
        </w:sectPr>
      </w:pPr>
    </w:p>
    <w:p w:rsidR="002C5025" w:rsidRDefault="002C5025">
      <w:pPr>
        <w:pStyle w:val="BodyText"/>
        <w:kinsoku w:val="0"/>
        <w:overflowPunct w:val="0"/>
        <w:spacing w:before="37" w:line="276" w:lineRule="auto"/>
        <w:ind w:left="119" w:right="107"/>
      </w:pPr>
      <w:r>
        <w:lastRenderedPageBreak/>
        <w:t>this in itself does not change the relative bargaining power, particularly given the state’s existing health care system.  For example, within the past year two major hospitals discontinued their contracts with two MCOs which covered a large number of health center Medicaid patients, leaving the only options for those patients to either cease using those hospitals or enroll in the PCC program. If a hospital or health system chooses to exclude particular health centers, what would the options be for their patients? Or, if a hospital or health system based-ACO offers disadvantageous terms for participation, the health center would have little leverage. We are also concerned that health centers whose commercial insurance contracts run through physician-hospital organizations will be forced to terminate those contracts if they opt to be part of a different ACO, again giving the system that “holds” these, disproportional bargaining power.</w:t>
      </w:r>
    </w:p>
    <w:p w:rsidR="002C5025" w:rsidRDefault="002C5025">
      <w:pPr>
        <w:pStyle w:val="BodyText"/>
        <w:kinsoku w:val="0"/>
        <w:overflowPunct w:val="0"/>
        <w:spacing w:before="197" w:line="276" w:lineRule="auto"/>
        <w:ind w:left="119" w:right="101"/>
      </w:pPr>
      <w:r>
        <w:t>Finally, we would again urge that consideration be given to including dental services, if not at this time, at least during the duration of the demonstration. Given the disproportionate use of high-cost emergency room services by Medicaid patients, and given the difficulty of dealing with a host of medical conditions because of poor oral health care, we believe including it would result in cost reduction and quality improvement. The League would be very happy to assemble a group to work with you on developing a plan to this end.</w:t>
      </w:r>
    </w:p>
    <w:p w:rsidR="002C5025" w:rsidRDefault="002C5025">
      <w:pPr>
        <w:pStyle w:val="BodyText"/>
        <w:kinsoku w:val="0"/>
        <w:overflowPunct w:val="0"/>
        <w:spacing w:before="197" w:line="276" w:lineRule="auto"/>
        <w:ind w:left="119" w:right="187"/>
      </w:pPr>
      <w:r>
        <w:t>Thank you again for the opportunity to comment on the Waiver proposal, and especially for the openness and receptivity you and your staff have shown to our input as it was under development. We hope to continue this important work in concert with you into the future.</w:t>
      </w:r>
    </w:p>
    <w:p w:rsidR="002C5025" w:rsidRDefault="002C5025">
      <w:pPr>
        <w:pStyle w:val="BodyText"/>
        <w:kinsoku w:val="0"/>
        <w:overflowPunct w:val="0"/>
        <w:spacing w:before="4" w:line="506" w:lineRule="exact"/>
        <w:ind w:left="119" w:right="7946"/>
      </w:pPr>
      <w:r>
        <w:t xml:space="preserve">Very truly yours, Patricia </w:t>
      </w:r>
      <w:proofErr w:type="spellStart"/>
      <w:r>
        <w:t>Edraos</w:t>
      </w:r>
      <w:proofErr w:type="spellEnd"/>
    </w:p>
    <w:p w:rsidR="002C5025" w:rsidRDefault="002C5025">
      <w:pPr>
        <w:pStyle w:val="BodyText"/>
        <w:kinsoku w:val="0"/>
        <w:overflowPunct w:val="0"/>
        <w:spacing w:line="267" w:lineRule="exact"/>
        <w:ind w:left="119" w:right="327"/>
      </w:pPr>
      <w:r>
        <w:t>Health Resources/Policy Director</w:t>
      </w:r>
    </w:p>
    <w:p w:rsidR="002C5025" w:rsidRDefault="002C5025">
      <w:pPr>
        <w:pStyle w:val="BodyText"/>
        <w:kinsoku w:val="0"/>
        <w:overflowPunct w:val="0"/>
        <w:spacing w:line="267" w:lineRule="exact"/>
        <w:ind w:left="119" w:right="327"/>
        <w:sectPr w:rsidR="002C5025">
          <w:pgSz w:w="12240" w:h="15840"/>
          <w:pgMar w:top="1400" w:right="1360" w:bottom="280" w:left="1320" w:header="720" w:footer="720" w:gutter="0"/>
          <w:cols w:space="720" w:equalWidth="0">
            <w:col w:w="9560"/>
          </w:cols>
          <w:noEndnote/>
        </w:sectPr>
      </w:pPr>
    </w:p>
    <w:p w:rsidR="002C5025" w:rsidRDefault="00FB027C">
      <w:pPr>
        <w:pStyle w:val="BodyText"/>
        <w:kinsoku w:val="0"/>
        <w:overflowPunct w:val="0"/>
        <w:ind w:left="4060"/>
        <w:rPr>
          <w:sz w:val="20"/>
          <w:szCs w:val="20"/>
        </w:rPr>
      </w:pPr>
      <w:r>
        <w:rPr>
          <w:noProof/>
          <w:sz w:val="20"/>
          <w:szCs w:val="20"/>
        </w:rPr>
        <w:lastRenderedPageBreak/>
        <w:drawing>
          <wp:inline distT="0" distB="0" distL="0" distR="0">
            <wp:extent cx="1381125" cy="695325"/>
            <wp:effectExtent l="0" t="0" r="9525" b="9525"/>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456">
                      <a:extLst>
                        <a:ext uri="{28A0092B-C50C-407E-A947-70E740481C1C}">
                          <a14:useLocalDpi xmlns:a14="http://schemas.microsoft.com/office/drawing/2010/main" val="0"/>
                        </a:ext>
                      </a:extLst>
                    </a:blip>
                    <a:srcRect/>
                    <a:stretch>
                      <a:fillRect/>
                    </a:stretch>
                  </pic:blipFill>
                  <pic:spPr bwMode="auto">
                    <a:xfrm>
                      <a:off x="0" y="0"/>
                      <a:ext cx="1381125" cy="695325"/>
                    </a:xfrm>
                    <a:prstGeom prst="rect">
                      <a:avLst/>
                    </a:prstGeom>
                    <a:noFill/>
                    <a:ln>
                      <a:noFill/>
                    </a:ln>
                  </pic:spPr>
                </pic:pic>
              </a:graphicData>
            </a:graphic>
          </wp:inline>
        </w:drawing>
      </w:r>
    </w:p>
    <w:p w:rsidR="002C5025" w:rsidRDefault="002C5025">
      <w:pPr>
        <w:pStyle w:val="BodyText"/>
        <w:kinsoku w:val="0"/>
        <w:overflowPunct w:val="0"/>
        <w:rPr>
          <w:sz w:val="20"/>
          <w:szCs w:val="20"/>
        </w:rPr>
      </w:pPr>
    </w:p>
    <w:p w:rsidR="002C5025" w:rsidRDefault="002C5025">
      <w:pPr>
        <w:pStyle w:val="BodyText"/>
        <w:kinsoku w:val="0"/>
        <w:overflowPunct w:val="0"/>
        <w:spacing w:before="5"/>
        <w:rPr>
          <w:sz w:val="23"/>
          <w:szCs w:val="23"/>
        </w:rPr>
      </w:pPr>
    </w:p>
    <w:p w:rsidR="002C5025" w:rsidRDefault="002C5025">
      <w:pPr>
        <w:pStyle w:val="BodyText"/>
        <w:kinsoku w:val="0"/>
        <w:overflowPunct w:val="0"/>
        <w:spacing w:before="66"/>
        <w:ind w:left="100" w:right="1092"/>
        <w:rPr>
          <w:rFonts w:ascii="Cambria" w:hAnsi="Cambria" w:cs="Cambria"/>
          <w:sz w:val="24"/>
          <w:szCs w:val="24"/>
        </w:rPr>
      </w:pPr>
      <w:bookmarkStart w:id="208" w:name="BCBSMA_Foundation_comments_to_MassHealth"/>
      <w:bookmarkEnd w:id="208"/>
      <w:r>
        <w:rPr>
          <w:rFonts w:ascii="Cambria" w:hAnsi="Cambria" w:cs="Cambria"/>
          <w:sz w:val="24"/>
          <w:szCs w:val="24"/>
        </w:rPr>
        <w:t>July 11, 2016</w:t>
      </w:r>
    </w:p>
    <w:p w:rsidR="002C5025" w:rsidRDefault="002C5025">
      <w:pPr>
        <w:pStyle w:val="BodyText"/>
        <w:kinsoku w:val="0"/>
        <w:overflowPunct w:val="0"/>
        <w:spacing w:before="1"/>
        <w:rPr>
          <w:rFonts w:ascii="Cambria" w:hAnsi="Cambria" w:cs="Cambria"/>
          <w:sz w:val="24"/>
          <w:szCs w:val="24"/>
        </w:rPr>
      </w:pPr>
    </w:p>
    <w:p w:rsidR="002C5025" w:rsidRDefault="002C5025">
      <w:pPr>
        <w:pStyle w:val="BodyText"/>
        <w:kinsoku w:val="0"/>
        <w:overflowPunct w:val="0"/>
        <w:spacing w:line="281" w:lineRule="exact"/>
        <w:ind w:left="100" w:right="1092"/>
        <w:rPr>
          <w:rFonts w:ascii="Cambria" w:hAnsi="Cambria" w:cs="Cambria"/>
          <w:sz w:val="24"/>
          <w:szCs w:val="24"/>
        </w:rPr>
      </w:pPr>
      <w:r>
        <w:rPr>
          <w:rFonts w:ascii="Cambria" w:hAnsi="Cambria" w:cs="Cambria"/>
          <w:sz w:val="24"/>
          <w:szCs w:val="24"/>
        </w:rPr>
        <w:t>Daniel Tsai</w:t>
      </w:r>
    </w:p>
    <w:p w:rsidR="002C5025" w:rsidRDefault="002C5025">
      <w:pPr>
        <w:pStyle w:val="BodyText"/>
        <w:kinsoku w:val="0"/>
        <w:overflowPunct w:val="0"/>
        <w:spacing w:line="281" w:lineRule="exact"/>
        <w:ind w:left="100" w:right="1092"/>
        <w:rPr>
          <w:rFonts w:ascii="Cambria" w:hAnsi="Cambria" w:cs="Cambria"/>
          <w:sz w:val="24"/>
          <w:szCs w:val="24"/>
        </w:rPr>
      </w:pPr>
      <w:r>
        <w:rPr>
          <w:rFonts w:ascii="Cambria" w:hAnsi="Cambria" w:cs="Cambria"/>
          <w:sz w:val="24"/>
          <w:szCs w:val="24"/>
        </w:rPr>
        <w:t>Assistant Secretary for MassHealth</w:t>
      </w:r>
    </w:p>
    <w:p w:rsidR="002C5025" w:rsidRDefault="002C5025">
      <w:pPr>
        <w:pStyle w:val="BodyText"/>
        <w:kinsoku w:val="0"/>
        <w:overflowPunct w:val="0"/>
        <w:ind w:left="100" w:right="5376"/>
        <w:rPr>
          <w:rFonts w:ascii="Cambria" w:hAnsi="Cambria" w:cs="Cambria"/>
          <w:sz w:val="24"/>
          <w:szCs w:val="24"/>
        </w:rPr>
      </w:pPr>
      <w:r>
        <w:rPr>
          <w:rFonts w:ascii="Cambria" w:hAnsi="Cambria" w:cs="Cambria"/>
          <w:sz w:val="24"/>
          <w:szCs w:val="24"/>
        </w:rPr>
        <w:t>Executive Office of Health and Human Services One Ashburton Place, 11</w:t>
      </w:r>
      <w:proofErr w:type="spellStart"/>
      <w:r>
        <w:rPr>
          <w:rFonts w:ascii="Cambria" w:hAnsi="Cambria" w:cs="Cambria"/>
          <w:position w:val="6"/>
          <w:sz w:val="16"/>
          <w:szCs w:val="16"/>
        </w:rPr>
        <w:t>th</w:t>
      </w:r>
      <w:proofErr w:type="spellEnd"/>
      <w:r>
        <w:rPr>
          <w:rFonts w:ascii="Cambria" w:hAnsi="Cambria" w:cs="Cambria"/>
          <w:position w:val="6"/>
          <w:sz w:val="16"/>
          <w:szCs w:val="16"/>
        </w:rPr>
        <w:t xml:space="preserve"> </w:t>
      </w:r>
      <w:r>
        <w:rPr>
          <w:rFonts w:ascii="Cambria" w:hAnsi="Cambria" w:cs="Cambria"/>
          <w:sz w:val="24"/>
          <w:szCs w:val="24"/>
        </w:rPr>
        <w:t>floor</w:t>
      </w:r>
    </w:p>
    <w:p w:rsidR="002C5025" w:rsidRDefault="002C5025">
      <w:pPr>
        <w:pStyle w:val="BodyText"/>
        <w:kinsoku w:val="0"/>
        <w:overflowPunct w:val="0"/>
        <w:spacing w:line="281" w:lineRule="exact"/>
        <w:ind w:left="100" w:right="1092"/>
        <w:rPr>
          <w:rFonts w:ascii="Cambria" w:hAnsi="Cambria" w:cs="Cambria"/>
          <w:sz w:val="24"/>
          <w:szCs w:val="24"/>
        </w:rPr>
      </w:pPr>
      <w:r>
        <w:rPr>
          <w:rFonts w:ascii="Cambria" w:hAnsi="Cambria" w:cs="Cambria"/>
          <w:sz w:val="24"/>
          <w:szCs w:val="24"/>
        </w:rPr>
        <w:t>Boston, MA  02108</w:t>
      </w:r>
    </w:p>
    <w:p w:rsidR="002C5025" w:rsidRDefault="002C5025">
      <w:pPr>
        <w:pStyle w:val="BodyText"/>
        <w:kinsoku w:val="0"/>
        <w:overflowPunct w:val="0"/>
        <w:spacing w:before="11"/>
        <w:rPr>
          <w:rFonts w:ascii="Cambria" w:hAnsi="Cambria" w:cs="Cambria"/>
          <w:sz w:val="23"/>
          <w:szCs w:val="23"/>
        </w:rPr>
      </w:pPr>
    </w:p>
    <w:p w:rsidR="002C5025" w:rsidRDefault="002C5025">
      <w:pPr>
        <w:pStyle w:val="BodyText"/>
        <w:kinsoku w:val="0"/>
        <w:overflowPunct w:val="0"/>
        <w:spacing w:line="480" w:lineRule="auto"/>
        <w:ind w:left="100" w:right="2308"/>
        <w:rPr>
          <w:rFonts w:ascii="Cambria" w:hAnsi="Cambria" w:cs="Cambria"/>
          <w:sz w:val="24"/>
          <w:szCs w:val="24"/>
        </w:rPr>
      </w:pPr>
      <w:r>
        <w:rPr>
          <w:rFonts w:ascii="Cambria" w:hAnsi="Cambria" w:cs="Cambria"/>
          <w:sz w:val="24"/>
          <w:szCs w:val="24"/>
        </w:rPr>
        <w:t>RE: Section 1115 Demonstration Project Amendment and Extension Request Dear Assistant Secretary Tsai,</w:t>
      </w:r>
    </w:p>
    <w:p w:rsidR="002C5025" w:rsidRDefault="002C5025">
      <w:pPr>
        <w:pStyle w:val="BodyText"/>
        <w:kinsoku w:val="0"/>
        <w:overflowPunct w:val="0"/>
        <w:ind w:left="100" w:right="92"/>
        <w:rPr>
          <w:rFonts w:ascii="Cambria" w:hAnsi="Cambria" w:cs="Cambria"/>
          <w:sz w:val="24"/>
          <w:szCs w:val="24"/>
        </w:rPr>
      </w:pPr>
      <w:r>
        <w:rPr>
          <w:rFonts w:ascii="Cambria" w:hAnsi="Cambria" w:cs="Cambria"/>
          <w:sz w:val="24"/>
          <w:szCs w:val="24"/>
        </w:rPr>
        <w:t>On behalf of the Massachusetts Medicaid Policy Institute (MMPI), a program of the Blue Cross Blue Shield of Massachusetts Foundation (“the Foundation”), we are pleased to submit comments regarding MassHealth’s draft 1115 waiver extension request.</w:t>
      </w:r>
    </w:p>
    <w:p w:rsidR="002C5025" w:rsidRDefault="002C5025">
      <w:pPr>
        <w:pStyle w:val="BodyText"/>
        <w:kinsoku w:val="0"/>
        <w:overflowPunct w:val="0"/>
        <w:spacing w:before="10"/>
        <w:rPr>
          <w:rFonts w:ascii="Cambria" w:hAnsi="Cambria" w:cs="Cambria"/>
          <w:sz w:val="23"/>
          <w:szCs w:val="23"/>
        </w:rPr>
      </w:pPr>
    </w:p>
    <w:p w:rsidR="002C5025" w:rsidRDefault="002C5025">
      <w:pPr>
        <w:pStyle w:val="BodyText"/>
        <w:kinsoku w:val="0"/>
        <w:overflowPunct w:val="0"/>
        <w:ind w:left="100" w:right="88"/>
        <w:rPr>
          <w:rFonts w:ascii="Cambria" w:hAnsi="Cambria" w:cs="Cambria"/>
          <w:sz w:val="24"/>
          <w:szCs w:val="24"/>
        </w:rPr>
      </w:pPr>
      <w:r>
        <w:rPr>
          <w:rFonts w:ascii="Cambria" w:hAnsi="Cambria" w:cs="Cambria"/>
          <w:sz w:val="24"/>
          <w:szCs w:val="24"/>
        </w:rPr>
        <w:t>The mission of the Foundation is to expand access to health care for low-income and vulnerable populations. As a program of the Foundation, MMPI seeks to promote the development of effective Medicaid policy solutions through research and analysis and by broadening understanding of the Massachusetts Medicaid program and the important role it plays in providing coverage and financing of health care services for low-income residents.</w:t>
      </w:r>
    </w:p>
    <w:p w:rsidR="002C5025" w:rsidRDefault="002C5025">
      <w:pPr>
        <w:pStyle w:val="BodyText"/>
        <w:kinsoku w:val="0"/>
        <w:overflowPunct w:val="0"/>
        <w:spacing w:before="1"/>
        <w:rPr>
          <w:rFonts w:ascii="Cambria" w:hAnsi="Cambria" w:cs="Cambria"/>
          <w:sz w:val="24"/>
          <w:szCs w:val="24"/>
        </w:rPr>
      </w:pPr>
    </w:p>
    <w:p w:rsidR="002C5025" w:rsidRDefault="002C5025">
      <w:pPr>
        <w:pStyle w:val="BodyText"/>
        <w:kinsoku w:val="0"/>
        <w:overflowPunct w:val="0"/>
        <w:ind w:left="100" w:right="200"/>
        <w:rPr>
          <w:rFonts w:ascii="Cambria" w:hAnsi="Cambria" w:cs="Cambria"/>
          <w:sz w:val="24"/>
          <w:szCs w:val="24"/>
        </w:rPr>
      </w:pPr>
      <w:r>
        <w:rPr>
          <w:rFonts w:ascii="Cambria" w:hAnsi="Cambria" w:cs="Cambria"/>
          <w:sz w:val="24"/>
          <w:szCs w:val="24"/>
        </w:rPr>
        <w:t>We commend the overarching goals outlined in MassHealth’s 1115 waiver extension proposal. In particular, we support the goals of enacting payment and delivery system reforms that promote member-driven, integrated, coordinated care and maintaining the advances in coverage achieved in our state. The expansion of substance use disorder treatment services as well as the opportunity to expand access to mental health services and community-based long term services and supports are also critical to MassHealth members. We are encouraged by the growing recognition – emphasized in your proposal – of the importance of social factors on health. We appreciate the aspects of the proposal – such as the funds available for flexible services – that aim to link members with social services.</w:t>
      </w:r>
    </w:p>
    <w:p w:rsidR="002C5025" w:rsidRDefault="002C5025">
      <w:pPr>
        <w:pStyle w:val="BodyText"/>
        <w:kinsoku w:val="0"/>
        <w:overflowPunct w:val="0"/>
        <w:spacing w:before="11"/>
        <w:rPr>
          <w:rFonts w:ascii="Cambria" w:hAnsi="Cambria" w:cs="Cambria"/>
          <w:sz w:val="23"/>
          <w:szCs w:val="23"/>
        </w:rPr>
      </w:pPr>
    </w:p>
    <w:p w:rsidR="002C5025" w:rsidRDefault="002C5025">
      <w:pPr>
        <w:pStyle w:val="BodyText"/>
        <w:kinsoku w:val="0"/>
        <w:overflowPunct w:val="0"/>
        <w:ind w:left="100" w:right="89"/>
        <w:rPr>
          <w:rFonts w:ascii="Cambria" w:hAnsi="Cambria" w:cs="Cambria"/>
          <w:sz w:val="24"/>
          <w:szCs w:val="24"/>
        </w:rPr>
      </w:pPr>
      <w:r>
        <w:rPr>
          <w:rFonts w:ascii="Cambria" w:hAnsi="Cambria" w:cs="Cambria"/>
          <w:sz w:val="24"/>
          <w:szCs w:val="24"/>
        </w:rPr>
        <w:t>We also commend MassHealth for the extensive stakeholder engagement process this past year. We look forward to more of this engagement going forward as you undertake the significant effort of determining the programmatic and operational details through your procurements and other implementation efforts. Critical to this ongoing engagement will be making publicly available timely data on access, quality and financial performance. We note your commitment in the waiver extension proposal to publishing annual reports on ACO performance, but ask you to consider also developing more frequent and timely dashboards of information and data as a means to engage key stakeholders through transparency.</w:t>
      </w: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rPr>
          <w:rFonts w:ascii="Cambria" w:hAnsi="Cambria" w:cs="Cambria"/>
          <w:sz w:val="20"/>
          <w:szCs w:val="20"/>
        </w:rPr>
      </w:pPr>
    </w:p>
    <w:p w:rsidR="002C5025" w:rsidRDefault="00FB027C">
      <w:pPr>
        <w:pStyle w:val="BodyText"/>
        <w:kinsoku w:val="0"/>
        <w:overflowPunct w:val="0"/>
        <w:spacing w:before="4"/>
        <w:rPr>
          <w:rFonts w:ascii="Cambria" w:hAnsi="Cambria" w:cs="Cambria"/>
          <w:sz w:val="12"/>
          <w:szCs w:val="12"/>
        </w:rPr>
      </w:pPr>
      <w:r>
        <w:rPr>
          <w:noProof/>
        </w:rPr>
        <mc:AlternateContent>
          <mc:Choice Requires="wps">
            <w:drawing>
              <wp:anchor distT="0" distB="0" distL="0" distR="0" simplePos="0" relativeHeight="251721216" behindDoc="0" locked="0" layoutInCell="0" allowOverlap="1">
                <wp:simplePos x="0" y="0"/>
                <wp:positionH relativeFrom="page">
                  <wp:posOffset>2056765</wp:posOffset>
                </wp:positionH>
                <wp:positionV relativeFrom="paragraph">
                  <wp:posOffset>116840</wp:posOffset>
                </wp:positionV>
                <wp:extent cx="4051300" cy="381000"/>
                <wp:effectExtent l="0" t="0" r="0" b="0"/>
                <wp:wrapTopAndBottom/>
                <wp:docPr id="319" name="Rectangle 7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13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600" w:lineRule="atLeast"/>
                            </w:pPr>
                            <w:r>
                              <w:rPr>
                                <w:noProof/>
                              </w:rPr>
                              <w:drawing>
                                <wp:inline distT="0" distB="0" distL="0" distR="0">
                                  <wp:extent cx="4048125" cy="381000"/>
                                  <wp:effectExtent l="0" t="0" r="9525"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457">
                                            <a:extLst>
                                              <a:ext uri="{28A0092B-C50C-407E-A947-70E740481C1C}">
                                                <a14:useLocalDpi xmlns:a14="http://schemas.microsoft.com/office/drawing/2010/main" val="0"/>
                                              </a:ext>
                                            </a:extLst>
                                          </a:blip>
                                          <a:srcRect/>
                                          <a:stretch>
                                            <a:fillRect/>
                                          </a:stretch>
                                        </pic:blipFill>
                                        <pic:spPr bwMode="auto">
                                          <a:xfrm>
                                            <a:off x="0" y="0"/>
                                            <a:ext cx="4048125" cy="381000"/>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6" o:spid="_x0000_s1238" style="position:absolute;margin-left:161.95pt;margin-top:9.2pt;width:319pt;height:30pt;z-index:251721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" o:allowincell="f" filled="f" stroked="f">
                <v:textbox inset="0,0,0,0">
                  <w:txbxContent>
                    <w:p w:rsidR="007B2B7B" w:rsidRDefault="007B2B7B">
                      <w:pPr>
                        <w:widowControl/>
                        <w:autoSpaceDE/>
                        <w:autoSpaceDN/>
                        <w:adjustRightInd/>
                        <w:spacing w:line="600" w:lineRule="atLeast"/>
                      </w:pPr>
                      <w:r>
                        <w:rPr>
                          <w:noProof/>
                        </w:rPr>
                        <w:drawing>
                          <wp:inline distT="0" distB="0" distL="0" distR="0">
                            <wp:extent cx="4048125" cy="381000"/>
                            <wp:effectExtent l="0" t="0" r="9525"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bwMode="auto">
                                    <a:xfrm>
                                      <a:off x="0" y="0"/>
                                      <a:ext cx="4048125" cy="381000"/>
                                    </a:xfrm>
                                    <a:prstGeom prst="rect">
                                      <a:avLst/>
                                    </a:prstGeom>
                                    <a:noFill/>
                                    <a:ln>
                                      <a:noFill/>
                                    </a:ln>
                                  </pic:spPr>
                                </pic:pic>
                              </a:graphicData>
                            </a:graphic>
                          </wp:inline>
                        </w:drawing>
                      </w:r>
                    </w:p>
                    <w:p w:rsidR="007B2B7B" w:rsidRDefault="007B2B7B"/>
                  </w:txbxContent>
                </v:textbox>
                <w10:wrap type="topAndBottom" anchorx="page"/>
              </v:rect>
            </w:pict>
          </mc:Fallback>
        </mc:AlternateContent>
      </w:r>
    </w:p>
    <w:p w:rsidR="002C5025" w:rsidRDefault="002C5025">
      <w:pPr>
        <w:pStyle w:val="BodyText"/>
        <w:kinsoku w:val="0"/>
        <w:overflowPunct w:val="0"/>
        <w:spacing w:before="4"/>
        <w:rPr>
          <w:rFonts w:ascii="Cambria" w:hAnsi="Cambria" w:cs="Cambria"/>
          <w:sz w:val="12"/>
          <w:szCs w:val="12"/>
        </w:rPr>
        <w:sectPr w:rsidR="002C5025">
          <w:pgSz w:w="12240" w:h="15840"/>
          <w:pgMar w:top="1440" w:right="640" w:bottom="0" w:left="1340" w:header="720" w:footer="720" w:gutter="0"/>
          <w:cols w:space="720" w:equalWidth="0">
            <w:col w:w="10260"/>
          </w:cols>
          <w:noEndnote/>
        </w:sectPr>
      </w:pPr>
    </w:p>
    <w:p w:rsidR="002C5025" w:rsidRDefault="002C5025">
      <w:pPr>
        <w:pStyle w:val="BodyText"/>
        <w:kinsoku w:val="0"/>
        <w:overflowPunct w:val="0"/>
        <w:spacing w:before="40"/>
        <w:ind w:left="100" w:right="217"/>
        <w:rPr>
          <w:rFonts w:ascii="Cambria" w:hAnsi="Cambria" w:cs="Cambria"/>
          <w:sz w:val="24"/>
          <w:szCs w:val="24"/>
        </w:rPr>
      </w:pPr>
      <w:r>
        <w:rPr>
          <w:rFonts w:ascii="Cambria" w:hAnsi="Cambria" w:cs="Cambria"/>
          <w:sz w:val="24"/>
          <w:szCs w:val="24"/>
        </w:rPr>
        <w:lastRenderedPageBreak/>
        <w:t>We also support your requesting that some of the Delivery System Reform Incentive Program (DSRIP) funding goes towards increasing MassHealth staff resources to conduct robust oversight of the program. All too often state administrative resources are stretched too thin. Sufficient state staff resources are needed to ensure careful monitoring and stewardship of public funding and to ensure evaluation of and learning from the new innovations. A key premise of the demonstration is accountability. The state will need sufficient staff resources and expertise to hold ACOs accountable to quality, access and financial performance and to implement corrective actions as needed.</w:t>
      </w:r>
    </w:p>
    <w:p w:rsidR="002C5025" w:rsidRDefault="002C5025">
      <w:pPr>
        <w:pStyle w:val="BodyText"/>
        <w:kinsoku w:val="0"/>
        <w:overflowPunct w:val="0"/>
        <w:spacing w:before="10"/>
        <w:rPr>
          <w:rFonts w:ascii="Cambria" w:hAnsi="Cambria" w:cs="Cambria"/>
          <w:sz w:val="23"/>
          <w:szCs w:val="23"/>
        </w:rPr>
      </w:pPr>
    </w:p>
    <w:p w:rsidR="002C5025" w:rsidRDefault="002C5025">
      <w:pPr>
        <w:pStyle w:val="BodyText"/>
        <w:kinsoku w:val="0"/>
        <w:overflowPunct w:val="0"/>
        <w:ind w:left="100" w:right="442"/>
        <w:rPr>
          <w:rFonts w:ascii="Cambria" w:hAnsi="Cambria" w:cs="Cambria"/>
          <w:sz w:val="24"/>
          <w:szCs w:val="24"/>
        </w:rPr>
      </w:pPr>
      <w:r>
        <w:rPr>
          <w:rFonts w:ascii="Cambria" w:hAnsi="Cambria" w:cs="Cambria"/>
          <w:sz w:val="24"/>
          <w:szCs w:val="24"/>
        </w:rPr>
        <w:t>Finally, there is one area where we would urge your careful consideration going forward. This relates to MassHealth’s request for authority to implement premium and cost sharing requirements that exceed current federal limits established under section 1902(a) (14). We appreciate that there will be a public process regarding the specific changes to MassHealth cost sharing prior to your implementing them in 2018.</w:t>
      </w:r>
    </w:p>
    <w:p w:rsidR="002C5025" w:rsidRDefault="002C5025">
      <w:pPr>
        <w:pStyle w:val="BodyText"/>
        <w:kinsoku w:val="0"/>
        <w:overflowPunct w:val="0"/>
        <w:spacing w:before="1"/>
        <w:rPr>
          <w:rFonts w:ascii="Cambria" w:hAnsi="Cambria" w:cs="Cambria"/>
          <w:sz w:val="24"/>
          <w:szCs w:val="24"/>
        </w:rPr>
      </w:pPr>
    </w:p>
    <w:p w:rsidR="002C5025" w:rsidRDefault="002C5025">
      <w:pPr>
        <w:pStyle w:val="BodyText"/>
        <w:kinsoku w:val="0"/>
        <w:overflowPunct w:val="0"/>
        <w:ind w:left="100" w:right="123"/>
        <w:rPr>
          <w:rFonts w:ascii="Cambria" w:hAnsi="Cambria" w:cs="Cambria"/>
          <w:sz w:val="24"/>
          <w:szCs w:val="24"/>
        </w:rPr>
      </w:pPr>
      <w:r>
        <w:rPr>
          <w:rFonts w:ascii="Cambria" w:hAnsi="Cambria" w:cs="Cambria"/>
          <w:sz w:val="24"/>
          <w:szCs w:val="24"/>
        </w:rPr>
        <w:t>Related to increasing premium levels for some MassHealth members – we point out that such a policy change could adversely impact the waiver goal of maintaining near universal coverage. Increasing premiums could result in reduced retention of existing coverage as MassHealth members and families may have to choose between meeting basic living expenses (e.g., paying rent) and paying higher MassHealth premiums. In addition, some eligible but unenrolled residents may opt to not take up MassHealth coverage if the level of premiums are viewed as a barrier. This assertion is borne out by empirical research and captured in literature on this topic. Summarizing 11 studies, the Kaiser Family Foundation found that “premiums and enrollment fees have been shown to act as barriers to obtaining and maintaining coverage for low-income groups.” (See below for a listing of literature reviews of the many studies analyzing the impact of premiums and cost sharing on Medicaid and low-income populations.)</w:t>
      </w:r>
    </w:p>
    <w:p w:rsidR="002C5025" w:rsidRDefault="002C5025">
      <w:pPr>
        <w:pStyle w:val="BodyText"/>
        <w:kinsoku w:val="0"/>
        <w:overflowPunct w:val="0"/>
        <w:spacing w:before="10"/>
        <w:rPr>
          <w:rFonts w:ascii="Cambria" w:hAnsi="Cambria" w:cs="Cambria"/>
          <w:sz w:val="23"/>
          <w:szCs w:val="23"/>
        </w:rPr>
      </w:pPr>
    </w:p>
    <w:p w:rsidR="002C5025" w:rsidRDefault="002C5025">
      <w:pPr>
        <w:pStyle w:val="BodyText"/>
        <w:kinsoku w:val="0"/>
        <w:overflowPunct w:val="0"/>
        <w:ind w:left="100" w:right="81"/>
        <w:rPr>
          <w:rFonts w:ascii="Cambria" w:hAnsi="Cambria" w:cs="Cambria"/>
          <w:sz w:val="24"/>
          <w:szCs w:val="24"/>
        </w:rPr>
      </w:pPr>
      <w:r>
        <w:rPr>
          <w:rFonts w:ascii="Cambria" w:hAnsi="Cambria" w:cs="Cambria"/>
          <w:sz w:val="24"/>
          <w:szCs w:val="24"/>
        </w:rPr>
        <w:t>Related to cost sharing, in addition to the proposed cost sharing differentials by delivery system type (i.e., PCC Plan vs. ACO and MCO), the proposal indicates MassHealth plans to expand the list of services to which copayments will apply. While such policies are likely aimed at reducing unnecessary care, we point out that there is considerable research that shows that the impact of cost sharing on low-income populations often does not have that intended effect. Summarizing 20 studies, the Kaiser Family Foundation found that “while studies have shown that cost-sharing does reduce the use of less-essential services, these studies have also shown that individuals are just as likely to reduce the use of essential and effective services. Cost-sharing can act as a financial barrier to accessing care, particularly for those with low income and significant health care needs. Such individuals often end up either delaying care or not seeking needed care that in some research has shown to result in adverse health outcomes.”</w:t>
      </w:r>
    </w:p>
    <w:p w:rsidR="002C5025" w:rsidRDefault="002C5025">
      <w:pPr>
        <w:pStyle w:val="BodyText"/>
        <w:kinsoku w:val="0"/>
        <w:overflowPunct w:val="0"/>
        <w:spacing w:before="11"/>
        <w:rPr>
          <w:rFonts w:ascii="Cambria" w:hAnsi="Cambria" w:cs="Cambria"/>
          <w:sz w:val="23"/>
          <w:szCs w:val="23"/>
        </w:rPr>
      </w:pPr>
    </w:p>
    <w:p w:rsidR="002C5025" w:rsidRDefault="002C5025">
      <w:pPr>
        <w:pStyle w:val="BodyText"/>
        <w:kinsoku w:val="0"/>
        <w:overflowPunct w:val="0"/>
        <w:ind w:left="100" w:right="970"/>
        <w:jc w:val="both"/>
        <w:rPr>
          <w:rFonts w:ascii="Cambria" w:hAnsi="Cambria" w:cs="Cambria"/>
          <w:sz w:val="24"/>
          <w:szCs w:val="24"/>
        </w:rPr>
      </w:pPr>
      <w:r>
        <w:rPr>
          <w:rFonts w:ascii="Cambria" w:hAnsi="Cambria" w:cs="Cambria"/>
          <w:sz w:val="24"/>
          <w:szCs w:val="24"/>
        </w:rPr>
        <w:t>In closing, we want to thank you for all of your efforts aimed at improving the MassHealth program in its ability to effectively serve its members. We stand ready to assist you in that important effort.</w:t>
      </w: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rPr>
          <w:rFonts w:ascii="Cambria" w:hAnsi="Cambria" w:cs="Cambria"/>
          <w:sz w:val="20"/>
          <w:szCs w:val="20"/>
        </w:rPr>
      </w:pPr>
    </w:p>
    <w:p w:rsidR="002C5025" w:rsidRDefault="00FB027C">
      <w:pPr>
        <w:pStyle w:val="BodyText"/>
        <w:kinsoku w:val="0"/>
        <w:overflowPunct w:val="0"/>
        <w:spacing w:before="4"/>
        <w:rPr>
          <w:rFonts w:ascii="Cambria" w:hAnsi="Cambria" w:cs="Cambria"/>
          <w:sz w:val="28"/>
          <w:szCs w:val="28"/>
        </w:rPr>
      </w:pPr>
      <w:r>
        <w:rPr>
          <w:noProof/>
        </w:rPr>
        <mc:AlternateContent>
          <mc:Choice Requires="wps">
            <w:drawing>
              <wp:anchor distT="0" distB="0" distL="0" distR="0" simplePos="0" relativeHeight="251722240" behindDoc="0" locked="0" layoutInCell="0" allowOverlap="1">
                <wp:simplePos x="0" y="0"/>
                <wp:positionH relativeFrom="page">
                  <wp:posOffset>2056765</wp:posOffset>
                </wp:positionH>
                <wp:positionV relativeFrom="paragraph">
                  <wp:posOffset>236220</wp:posOffset>
                </wp:positionV>
                <wp:extent cx="4051300" cy="381000"/>
                <wp:effectExtent l="0" t="0" r="0" b="0"/>
                <wp:wrapTopAndBottom/>
                <wp:docPr id="318" name="Rectangle 7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13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600" w:lineRule="atLeast"/>
                            </w:pPr>
                            <w:r>
                              <w:rPr>
                                <w:noProof/>
                              </w:rPr>
                              <w:drawing>
                                <wp:inline distT="0" distB="0" distL="0" distR="0">
                                  <wp:extent cx="4048125" cy="381000"/>
                                  <wp:effectExtent l="0" t="0" r="9525"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457">
                                            <a:extLst>
                                              <a:ext uri="{28A0092B-C50C-407E-A947-70E740481C1C}">
                                                <a14:useLocalDpi xmlns:a14="http://schemas.microsoft.com/office/drawing/2010/main" val="0"/>
                                              </a:ext>
                                            </a:extLst>
                                          </a:blip>
                                          <a:srcRect/>
                                          <a:stretch>
                                            <a:fillRect/>
                                          </a:stretch>
                                        </pic:blipFill>
                                        <pic:spPr bwMode="auto">
                                          <a:xfrm>
                                            <a:off x="0" y="0"/>
                                            <a:ext cx="4048125" cy="381000"/>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7" o:spid="_x0000_s1239" style="position:absolute;margin-left:161.95pt;margin-top:18.6pt;width:319pt;height:30pt;z-index:251722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" o:allowincell="f" filled="f" stroked="f">
                <v:textbox inset="0,0,0,0">
                  <w:txbxContent>
                    <w:p w:rsidR="007B2B7B" w:rsidRDefault="007B2B7B">
                      <w:pPr>
                        <w:widowControl/>
                        <w:autoSpaceDE/>
                        <w:autoSpaceDN/>
                        <w:adjustRightInd/>
                        <w:spacing w:line="600" w:lineRule="atLeast"/>
                      </w:pPr>
                      <w:r>
                        <w:rPr>
                          <w:noProof/>
                        </w:rPr>
                        <w:drawing>
                          <wp:inline distT="0" distB="0" distL="0" distR="0">
                            <wp:extent cx="4048125" cy="381000"/>
                            <wp:effectExtent l="0" t="0" r="9525"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bwMode="auto">
                                    <a:xfrm>
                                      <a:off x="0" y="0"/>
                                      <a:ext cx="4048125" cy="381000"/>
                                    </a:xfrm>
                                    <a:prstGeom prst="rect">
                                      <a:avLst/>
                                    </a:prstGeom>
                                    <a:noFill/>
                                    <a:ln>
                                      <a:noFill/>
                                    </a:ln>
                                  </pic:spPr>
                                </pic:pic>
                              </a:graphicData>
                            </a:graphic>
                          </wp:inline>
                        </w:drawing>
                      </w:r>
                    </w:p>
                    <w:p w:rsidR="007B2B7B" w:rsidRDefault="007B2B7B"/>
                  </w:txbxContent>
                </v:textbox>
                <w10:wrap type="topAndBottom" anchorx="page"/>
              </v:rect>
            </w:pict>
          </mc:Fallback>
        </mc:AlternateContent>
      </w:r>
    </w:p>
    <w:p w:rsidR="002C5025" w:rsidRDefault="002C5025">
      <w:pPr>
        <w:pStyle w:val="BodyText"/>
        <w:kinsoku w:val="0"/>
        <w:overflowPunct w:val="0"/>
        <w:spacing w:before="4"/>
        <w:rPr>
          <w:rFonts w:ascii="Cambria" w:hAnsi="Cambria" w:cs="Cambria"/>
          <w:sz w:val="28"/>
          <w:szCs w:val="28"/>
        </w:rPr>
        <w:sectPr w:rsidR="002C5025">
          <w:pgSz w:w="12240" w:h="15840"/>
          <w:pgMar w:top="1400" w:right="620" w:bottom="0" w:left="1340" w:header="720" w:footer="720" w:gutter="0"/>
          <w:cols w:space="720" w:equalWidth="0">
            <w:col w:w="10280"/>
          </w:cols>
          <w:noEndnote/>
        </w:sectPr>
      </w:pP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spacing w:before="1"/>
        <w:rPr>
          <w:rFonts w:ascii="Cambria" w:hAnsi="Cambria" w:cs="Cambria"/>
          <w:sz w:val="17"/>
          <w:szCs w:val="17"/>
        </w:rPr>
      </w:pPr>
    </w:p>
    <w:p w:rsidR="002C5025" w:rsidRDefault="002C5025">
      <w:pPr>
        <w:pStyle w:val="BodyText"/>
        <w:kinsoku w:val="0"/>
        <w:overflowPunct w:val="0"/>
        <w:spacing w:before="67"/>
        <w:ind w:left="100" w:right="131"/>
        <w:rPr>
          <w:rFonts w:ascii="Cambria" w:hAnsi="Cambria" w:cs="Cambria"/>
          <w:sz w:val="24"/>
          <w:szCs w:val="24"/>
        </w:rPr>
      </w:pPr>
      <w:r>
        <w:rPr>
          <w:rFonts w:ascii="Cambria" w:hAnsi="Cambria" w:cs="Cambria"/>
          <w:sz w:val="24"/>
          <w:szCs w:val="24"/>
        </w:rPr>
        <w:t>Sincerely,</w:t>
      </w:r>
    </w:p>
    <w:p w:rsidR="002C5025" w:rsidRDefault="00FB027C">
      <w:pPr>
        <w:pStyle w:val="BodyText"/>
        <w:kinsoku w:val="0"/>
        <w:overflowPunct w:val="0"/>
        <w:spacing w:before="8"/>
        <w:rPr>
          <w:rFonts w:ascii="Cambria" w:hAnsi="Cambria" w:cs="Cambria"/>
          <w:sz w:val="20"/>
          <w:szCs w:val="20"/>
        </w:rPr>
      </w:pPr>
      <w:r>
        <w:rPr>
          <w:noProof/>
        </w:rPr>
        <mc:AlternateContent>
          <mc:Choice Requires="wps">
            <w:drawing>
              <wp:anchor distT="0" distB="0" distL="0" distR="0" simplePos="0" relativeHeight="251723264" behindDoc="0" locked="0" layoutInCell="0" allowOverlap="1">
                <wp:simplePos x="0" y="0"/>
                <wp:positionH relativeFrom="page">
                  <wp:posOffset>914400</wp:posOffset>
                </wp:positionH>
                <wp:positionV relativeFrom="paragraph">
                  <wp:posOffset>179070</wp:posOffset>
                </wp:positionV>
                <wp:extent cx="1536700" cy="800100"/>
                <wp:effectExtent l="0" t="0" r="0" b="0"/>
                <wp:wrapTopAndBottom/>
                <wp:docPr id="317" name="Rectangle 7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67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1260" w:lineRule="atLeast"/>
                            </w:pPr>
                            <w:r>
                              <w:rPr>
                                <w:noProof/>
                              </w:rPr>
                              <w:drawing>
                                <wp:inline distT="0" distB="0" distL="0" distR="0">
                                  <wp:extent cx="1543050" cy="800100"/>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459">
                                            <a:extLst>
                                              <a:ext uri="{28A0092B-C50C-407E-A947-70E740481C1C}">
                                                <a14:useLocalDpi xmlns:a14="http://schemas.microsoft.com/office/drawing/2010/main" val="0"/>
                                              </a:ext>
                                            </a:extLst>
                                          </a:blip>
                                          <a:srcRect/>
                                          <a:stretch>
                                            <a:fillRect/>
                                          </a:stretch>
                                        </pic:blipFill>
                                        <pic:spPr bwMode="auto">
                                          <a:xfrm>
                                            <a:off x="0" y="0"/>
                                            <a:ext cx="1543050" cy="800100"/>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8" o:spid="_x0000_s1240" style="position:absolute;margin-left:1in;margin-top:14.1pt;width:121pt;height:63pt;z-index:251723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" o:allowincell="f" filled="f" stroked="f">
                <v:textbox inset="0,0,0,0">
                  <w:txbxContent>
                    <w:p w:rsidR="007B2B7B" w:rsidRDefault="007B2B7B">
                      <w:pPr>
                        <w:widowControl/>
                        <w:autoSpaceDE/>
                        <w:autoSpaceDN/>
                        <w:adjustRightInd/>
                        <w:spacing w:line="1260" w:lineRule="atLeast"/>
                      </w:pPr>
                      <w:r>
                        <w:rPr>
                          <w:noProof/>
                        </w:rPr>
                        <w:drawing>
                          <wp:inline distT="0" distB="0" distL="0" distR="0">
                            <wp:extent cx="1543050" cy="800100"/>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460">
                                      <a:extLst>
                                        <a:ext uri="{28A0092B-C50C-407E-A947-70E740481C1C}">
                                          <a14:useLocalDpi xmlns:a14="http://schemas.microsoft.com/office/drawing/2010/main" val="0"/>
                                        </a:ext>
                                      </a:extLst>
                                    </a:blip>
                                    <a:srcRect/>
                                    <a:stretch>
                                      <a:fillRect/>
                                    </a:stretch>
                                  </pic:blipFill>
                                  <pic:spPr bwMode="auto">
                                    <a:xfrm>
                                      <a:off x="0" y="0"/>
                                      <a:ext cx="1543050" cy="800100"/>
                                    </a:xfrm>
                                    <a:prstGeom prst="rect">
                                      <a:avLst/>
                                    </a:prstGeom>
                                    <a:noFill/>
                                    <a:ln>
                                      <a:noFill/>
                                    </a:ln>
                                  </pic:spPr>
                                </pic:pic>
                              </a:graphicData>
                            </a:graphic>
                          </wp:inline>
                        </w:drawing>
                      </w:r>
                    </w:p>
                    <w:p w:rsidR="007B2B7B" w:rsidRDefault="007B2B7B"/>
                  </w:txbxContent>
                </v:textbox>
                <w10:wrap type="topAndBottom" anchorx="page"/>
              </v:rect>
            </w:pict>
          </mc:Fallback>
        </mc:AlternateContent>
      </w:r>
    </w:p>
    <w:p w:rsidR="002C5025" w:rsidRDefault="002C5025">
      <w:pPr>
        <w:pStyle w:val="BodyText"/>
        <w:kinsoku w:val="0"/>
        <w:overflowPunct w:val="0"/>
        <w:ind w:left="100" w:right="8632"/>
        <w:rPr>
          <w:rFonts w:ascii="Cambria" w:hAnsi="Cambria" w:cs="Cambria"/>
          <w:sz w:val="24"/>
          <w:szCs w:val="24"/>
        </w:rPr>
      </w:pPr>
      <w:r>
        <w:rPr>
          <w:rFonts w:ascii="Cambria" w:hAnsi="Cambria" w:cs="Cambria"/>
          <w:sz w:val="24"/>
          <w:szCs w:val="24"/>
        </w:rPr>
        <w:t xml:space="preserve">Audrey </w:t>
      </w:r>
      <w:proofErr w:type="spellStart"/>
      <w:r>
        <w:rPr>
          <w:rFonts w:ascii="Cambria" w:hAnsi="Cambria" w:cs="Cambria"/>
          <w:sz w:val="24"/>
          <w:szCs w:val="24"/>
        </w:rPr>
        <w:t>Shelto</w:t>
      </w:r>
      <w:proofErr w:type="spellEnd"/>
      <w:r>
        <w:rPr>
          <w:rFonts w:ascii="Cambria" w:hAnsi="Cambria" w:cs="Cambria"/>
          <w:sz w:val="24"/>
          <w:szCs w:val="24"/>
        </w:rPr>
        <w:t xml:space="preserve"> President</w:t>
      </w:r>
    </w:p>
    <w:p w:rsidR="002C5025" w:rsidRDefault="002C5025">
      <w:pPr>
        <w:pStyle w:val="BodyText"/>
        <w:kinsoku w:val="0"/>
        <w:overflowPunct w:val="0"/>
        <w:spacing w:line="281" w:lineRule="exact"/>
        <w:ind w:left="100" w:right="131"/>
        <w:rPr>
          <w:rFonts w:ascii="Cambria" w:hAnsi="Cambria" w:cs="Cambria"/>
          <w:sz w:val="24"/>
          <w:szCs w:val="24"/>
        </w:rPr>
      </w:pPr>
      <w:r>
        <w:rPr>
          <w:rFonts w:ascii="Cambria" w:hAnsi="Cambria" w:cs="Cambria"/>
          <w:sz w:val="24"/>
          <w:szCs w:val="24"/>
        </w:rPr>
        <w:t>Blue Cross Blue Shield of Massachusetts Foundation</w:t>
      </w:r>
    </w:p>
    <w:p w:rsidR="002C5025" w:rsidRDefault="00FB027C">
      <w:pPr>
        <w:pStyle w:val="BodyText"/>
        <w:kinsoku w:val="0"/>
        <w:overflowPunct w:val="0"/>
        <w:spacing w:before="8"/>
        <w:rPr>
          <w:rFonts w:ascii="Cambria" w:hAnsi="Cambria" w:cs="Cambria"/>
          <w:sz w:val="20"/>
          <w:szCs w:val="20"/>
        </w:rPr>
      </w:pPr>
      <w:r>
        <w:rPr>
          <w:noProof/>
        </w:rPr>
        <mc:AlternateContent>
          <mc:Choice Requires="wps">
            <w:drawing>
              <wp:anchor distT="0" distB="0" distL="0" distR="0" simplePos="0" relativeHeight="251724288" behindDoc="0" locked="0" layoutInCell="0" allowOverlap="1">
                <wp:simplePos x="0" y="0"/>
                <wp:positionH relativeFrom="page">
                  <wp:posOffset>914400</wp:posOffset>
                </wp:positionH>
                <wp:positionV relativeFrom="paragraph">
                  <wp:posOffset>179070</wp:posOffset>
                </wp:positionV>
                <wp:extent cx="1587500" cy="558800"/>
                <wp:effectExtent l="0" t="0" r="0" b="0"/>
                <wp:wrapTopAndBottom/>
                <wp:docPr id="316" name="Rectangle 7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0" cy="55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880" w:lineRule="atLeast"/>
                            </w:pPr>
                            <w:r>
                              <w:rPr>
                                <w:noProof/>
                              </w:rPr>
                              <w:drawing>
                                <wp:inline distT="0" distB="0" distL="0" distR="0">
                                  <wp:extent cx="1581150" cy="561975"/>
                                  <wp:effectExtent l="0" t="0" r="0" b="952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1581150" cy="561975"/>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9" o:spid="_x0000_s1241" style="position:absolute;margin-left:1in;margin-top:14.1pt;width:125pt;height:44pt;z-index:251724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" o:allowincell="f" filled="f" stroked="f">
                <v:textbox inset="0,0,0,0">
                  <w:txbxContent>
                    <w:p w:rsidR="007B2B7B" w:rsidRDefault="007B2B7B">
                      <w:pPr>
                        <w:widowControl/>
                        <w:autoSpaceDE/>
                        <w:autoSpaceDN/>
                        <w:adjustRightInd/>
                        <w:spacing w:line="880" w:lineRule="atLeast"/>
                      </w:pPr>
                      <w:r>
                        <w:rPr>
                          <w:noProof/>
                        </w:rPr>
                        <w:drawing>
                          <wp:inline distT="0" distB="0" distL="0" distR="0">
                            <wp:extent cx="1581150" cy="561975"/>
                            <wp:effectExtent l="0" t="0" r="0" b="952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0" y="0"/>
                                      <a:ext cx="1581150" cy="561975"/>
                                    </a:xfrm>
                                    <a:prstGeom prst="rect">
                                      <a:avLst/>
                                    </a:prstGeom>
                                    <a:noFill/>
                                    <a:ln>
                                      <a:noFill/>
                                    </a:ln>
                                  </pic:spPr>
                                </pic:pic>
                              </a:graphicData>
                            </a:graphic>
                          </wp:inline>
                        </w:drawing>
                      </w:r>
                    </w:p>
                    <w:p w:rsidR="007B2B7B" w:rsidRDefault="007B2B7B"/>
                  </w:txbxContent>
                </v:textbox>
                <w10:wrap type="topAndBottom" anchorx="page"/>
              </v:rect>
            </w:pict>
          </mc:Fallback>
        </mc:AlternateContent>
      </w:r>
    </w:p>
    <w:p w:rsidR="002C5025" w:rsidRDefault="002C5025">
      <w:pPr>
        <w:pStyle w:val="BodyText"/>
        <w:kinsoku w:val="0"/>
        <w:overflowPunct w:val="0"/>
        <w:spacing w:line="270" w:lineRule="exact"/>
        <w:ind w:left="100" w:right="131"/>
        <w:rPr>
          <w:rFonts w:ascii="Cambria" w:hAnsi="Cambria" w:cs="Cambria"/>
          <w:sz w:val="24"/>
          <w:szCs w:val="24"/>
        </w:rPr>
      </w:pPr>
      <w:r>
        <w:rPr>
          <w:rFonts w:ascii="Cambria" w:hAnsi="Cambria" w:cs="Cambria"/>
          <w:sz w:val="24"/>
          <w:szCs w:val="24"/>
        </w:rPr>
        <w:t xml:space="preserve">Kate </w:t>
      </w:r>
      <w:proofErr w:type="spellStart"/>
      <w:r>
        <w:rPr>
          <w:rFonts w:ascii="Cambria" w:hAnsi="Cambria" w:cs="Cambria"/>
          <w:sz w:val="24"/>
          <w:szCs w:val="24"/>
        </w:rPr>
        <w:t>Nordahl</w:t>
      </w:r>
      <w:proofErr w:type="spellEnd"/>
    </w:p>
    <w:p w:rsidR="002C5025" w:rsidRDefault="002C5025">
      <w:pPr>
        <w:pStyle w:val="BodyText"/>
        <w:kinsoku w:val="0"/>
        <w:overflowPunct w:val="0"/>
        <w:ind w:left="100" w:right="3990"/>
        <w:rPr>
          <w:rFonts w:ascii="Cambria" w:hAnsi="Cambria" w:cs="Cambria"/>
          <w:sz w:val="24"/>
          <w:szCs w:val="24"/>
        </w:rPr>
      </w:pPr>
      <w:r>
        <w:rPr>
          <w:rFonts w:ascii="Cambria" w:hAnsi="Cambria" w:cs="Cambria"/>
          <w:sz w:val="24"/>
          <w:szCs w:val="24"/>
        </w:rPr>
        <w:t>Executive Director, Massachusetts Medicaid Policy Institute Blue Cross Blue Shield of Massachusetts Foundation</w:t>
      </w:r>
    </w:p>
    <w:p w:rsidR="002C5025" w:rsidRDefault="002C5025">
      <w:pPr>
        <w:pStyle w:val="BodyText"/>
        <w:kinsoku w:val="0"/>
        <w:overflowPunct w:val="0"/>
        <w:rPr>
          <w:rFonts w:ascii="Cambria" w:hAnsi="Cambria" w:cs="Cambria"/>
          <w:sz w:val="24"/>
          <w:szCs w:val="24"/>
        </w:rPr>
      </w:pPr>
    </w:p>
    <w:p w:rsidR="002C5025" w:rsidRDefault="002C5025">
      <w:pPr>
        <w:pStyle w:val="BodyText"/>
        <w:kinsoku w:val="0"/>
        <w:overflowPunct w:val="0"/>
        <w:rPr>
          <w:rFonts w:ascii="Cambria" w:hAnsi="Cambria" w:cs="Cambria"/>
          <w:sz w:val="24"/>
          <w:szCs w:val="24"/>
        </w:rPr>
      </w:pPr>
    </w:p>
    <w:p w:rsidR="002C5025" w:rsidRDefault="002C5025">
      <w:pPr>
        <w:pStyle w:val="BodyText"/>
        <w:kinsoku w:val="0"/>
        <w:overflowPunct w:val="0"/>
        <w:rPr>
          <w:rFonts w:ascii="Cambria" w:hAnsi="Cambria" w:cs="Cambria"/>
          <w:sz w:val="24"/>
          <w:szCs w:val="24"/>
        </w:rPr>
      </w:pPr>
    </w:p>
    <w:p w:rsidR="002C5025" w:rsidRDefault="002C5025">
      <w:pPr>
        <w:pStyle w:val="BodyText"/>
        <w:kinsoku w:val="0"/>
        <w:overflowPunct w:val="0"/>
        <w:rPr>
          <w:rFonts w:ascii="Cambria" w:hAnsi="Cambria" w:cs="Cambria"/>
          <w:sz w:val="24"/>
          <w:szCs w:val="24"/>
        </w:rPr>
      </w:pPr>
    </w:p>
    <w:p w:rsidR="002C5025" w:rsidRDefault="002C5025">
      <w:pPr>
        <w:pStyle w:val="BodyText"/>
        <w:kinsoku w:val="0"/>
        <w:overflowPunct w:val="0"/>
        <w:spacing w:before="1"/>
        <w:rPr>
          <w:rFonts w:ascii="Cambria" w:hAnsi="Cambria" w:cs="Cambria"/>
          <w:sz w:val="24"/>
          <w:szCs w:val="24"/>
        </w:rPr>
      </w:pPr>
    </w:p>
    <w:p w:rsidR="002C5025" w:rsidRDefault="002C5025">
      <w:pPr>
        <w:pStyle w:val="BodyText"/>
        <w:kinsoku w:val="0"/>
        <w:overflowPunct w:val="0"/>
        <w:ind w:left="100" w:right="573"/>
        <w:rPr>
          <w:rFonts w:ascii="Cambria" w:hAnsi="Cambria" w:cs="Cambria"/>
          <w:b/>
          <w:bCs/>
          <w:sz w:val="24"/>
          <w:szCs w:val="24"/>
        </w:rPr>
      </w:pPr>
      <w:r>
        <w:rPr>
          <w:rFonts w:ascii="Cambria" w:hAnsi="Cambria" w:cs="Cambria"/>
          <w:b/>
          <w:bCs/>
          <w:sz w:val="24"/>
          <w:szCs w:val="24"/>
        </w:rPr>
        <w:t>Literature Reviews Summarizing Studies of the Impact of Medicaid Premiums and Cost Sharing</w:t>
      </w:r>
    </w:p>
    <w:p w:rsidR="002C5025" w:rsidRDefault="002C5025">
      <w:pPr>
        <w:pStyle w:val="BodyText"/>
        <w:kinsoku w:val="0"/>
        <w:overflowPunct w:val="0"/>
        <w:spacing w:before="11"/>
        <w:rPr>
          <w:rFonts w:ascii="Cambria" w:hAnsi="Cambria" w:cs="Cambria"/>
          <w:b/>
          <w:bCs/>
          <w:sz w:val="23"/>
          <w:szCs w:val="23"/>
        </w:rPr>
      </w:pPr>
    </w:p>
    <w:p w:rsidR="002C5025" w:rsidRDefault="002C5025">
      <w:pPr>
        <w:pStyle w:val="BodyText"/>
        <w:kinsoku w:val="0"/>
        <w:overflowPunct w:val="0"/>
        <w:ind w:left="100" w:right="131"/>
        <w:rPr>
          <w:rFonts w:ascii="Cambria" w:hAnsi="Cambria" w:cs="Cambria"/>
          <w:sz w:val="24"/>
          <w:szCs w:val="24"/>
        </w:rPr>
      </w:pPr>
      <w:r>
        <w:rPr>
          <w:rFonts w:ascii="Cambria" w:hAnsi="Cambria" w:cs="Cambria"/>
          <w:sz w:val="24"/>
          <w:szCs w:val="24"/>
        </w:rPr>
        <w:t xml:space="preserve">Laura Snyder and Robin </w:t>
      </w:r>
      <w:proofErr w:type="spellStart"/>
      <w:r>
        <w:rPr>
          <w:rFonts w:ascii="Cambria" w:hAnsi="Cambria" w:cs="Cambria"/>
          <w:sz w:val="24"/>
          <w:szCs w:val="24"/>
        </w:rPr>
        <w:t>Rudowitz</w:t>
      </w:r>
      <w:proofErr w:type="spellEnd"/>
      <w:r>
        <w:rPr>
          <w:rFonts w:ascii="Cambria" w:hAnsi="Cambria" w:cs="Cambria"/>
          <w:sz w:val="24"/>
          <w:szCs w:val="24"/>
        </w:rPr>
        <w:t xml:space="preserve"> of the Kaiser Commission on Medicaid and the</w:t>
      </w:r>
    </w:p>
    <w:p w:rsidR="002C5025" w:rsidRDefault="002C5025">
      <w:pPr>
        <w:pStyle w:val="BodyText"/>
        <w:kinsoku w:val="0"/>
        <w:overflowPunct w:val="0"/>
        <w:spacing w:before="2"/>
        <w:ind w:left="100" w:right="111"/>
        <w:rPr>
          <w:rFonts w:ascii="Cambria" w:hAnsi="Cambria" w:cs="Cambria"/>
          <w:color w:val="0000FF"/>
          <w:sz w:val="24"/>
          <w:szCs w:val="24"/>
        </w:rPr>
      </w:pPr>
      <w:r>
        <w:rPr>
          <w:rFonts w:ascii="Cambria" w:hAnsi="Cambria" w:cs="Cambria"/>
          <w:sz w:val="24"/>
          <w:szCs w:val="24"/>
        </w:rPr>
        <w:t xml:space="preserve">Uninsured. </w:t>
      </w:r>
      <w:r>
        <w:rPr>
          <w:rFonts w:ascii="Cambria" w:hAnsi="Cambria" w:cs="Cambria"/>
          <w:i/>
          <w:iCs/>
          <w:sz w:val="24"/>
          <w:szCs w:val="24"/>
        </w:rPr>
        <w:t>Premiums and Cost-Sharing in Medicaid: A Review of Research Findings</w:t>
      </w:r>
      <w:r>
        <w:rPr>
          <w:rFonts w:ascii="Cambria" w:hAnsi="Cambria" w:cs="Cambria"/>
          <w:sz w:val="24"/>
          <w:szCs w:val="24"/>
        </w:rPr>
        <w:t xml:space="preserve">. February 2013. Located at: </w:t>
      </w:r>
      <w:hyperlink r:id="rId463" w:history="1">
        <w:r>
          <w:rPr>
            <w:rFonts w:ascii="Cambria" w:hAnsi="Cambria" w:cs="Cambria"/>
            <w:color w:val="0000FF"/>
            <w:sz w:val="24"/>
            <w:szCs w:val="24"/>
            <w:u w:val="single"/>
          </w:rPr>
          <w:t>https://kaiserfamilyfoundation.files.wordpress.com/2013/02/8417-premiums-and-</w:t>
        </w:r>
      </w:hyperlink>
      <w:r>
        <w:rPr>
          <w:rFonts w:ascii="Cambria" w:hAnsi="Cambria" w:cs="Cambria"/>
          <w:color w:val="0000FF"/>
          <w:sz w:val="24"/>
          <w:szCs w:val="24"/>
          <w:u w:val="single"/>
        </w:rPr>
        <w:t xml:space="preserve"> </w:t>
      </w:r>
      <w:hyperlink r:id="rId464" w:history="1">
        <w:r>
          <w:rPr>
            <w:rFonts w:ascii="Cambria" w:hAnsi="Cambria" w:cs="Cambria"/>
            <w:color w:val="0000FF"/>
            <w:sz w:val="24"/>
            <w:szCs w:val="24"/>
            <w:u w:val="single"/>
          </w:rPr>
          <w:t>cost-sharing-in-medicaid.pdf</w:t>
        </w:r>
      </w:hyperlink>
    </w:p>
    <w:p w:rsidR="002C5025" w:rsidRDefault="002C5025">
      <w:pPr>
        <w:pStyle w:val="BodyText"/>
        <w:kinsoku w:val="0"/>
        <w:overflowPunct w:val="0"/>
        <w:spacing w:before="5"/>
        <w:rPr>
          <w:rFonts w:ascii="Cambria" w:hAnsi="Cambria" w:cs="Cambria"/>
          <w:sz w:val="18"/>
          <w:szCs w:val="18"/>
        </w:rPr>
      </w:pPr>
    </w:p>
    <w:p w:rsidR="002C5025" w:rsidRDefault="002C5025">
      <w:pPr>
        <w:pStyle w:val="BodyText"/>
        <w:kinsoku w:val="0"/>
        <w:overflowPunct w:val="0"/>
        <w:spacing w:before="66"/>
        <w:ind w:left="100" w:right="376"/>
        <w:rPr>
          <w:rFonts w:ascii="Cambria" w:hAnsi="Cambria" w:cs="Cambria"/>
          <w:color w:val="0000FF"/>
          <w:sz w:val="24"/>
          <w:szCs w:val="24"/>
        </w:rPr>
      </w:pPr>
      <w:r>
        <w:rPr>
          <w:rFonts w:ascii="Cambria" w:hAnsi="Cambria" w:cs="Cambria"/>
          <w:color w:val="333333"/>
          <w:sz w:val="24"/>
          <w:szCs w:val="24"/>
        </w:rPr>
        <w:t xml:space="preserve">Lauren </w:t>
      </w:r>
      <w:proofErr w:type="spellStart"/>
      <w:r>
        <w:rPr>
          <w:rFonts w:ascii="Cambria" w:hAnsi="Cambria" w:cs="Cambria"/>
          <w:color w:val="333333"/>
          <w:sz w:val="24"/>
          <w:szCs w:val="24"/>
        </w:rPr>
        <w:t>Frohlich</w:t>
      </w:r>
      <w:proofErr w:type="spellEnd"/>
      <w:r>
        <w:rPr>
          <w:rFonts w:ascii="Cambria" w:hAnsi="Cambria" w:cs="Cambria"/>
          <w:color w:val="333333"/>
          <w:sz w:val="24"/>
          <w:szCs w:val="24"/>
        </w:rPr>
        <w:t xml:space="preserve">, Kendall Swenson, Sharon Wolf, Suzanne </w:t>
      </w:r>
      <w:proofErr w:type="spellStart"/>
      <w:r>
        <w:rPr>
          <w:rFonts w:ascii="Cambria" w:hAnsi="Cambria" w:cs="Cambria"/>
          <w:color w:val="333333"/>
          <w:sz w:val="24"/>
          <w:szCs w:val="24"/>
        </w:rPr>
        <w:t>Macartney</w:t>
      </w:r>
      <w:proofErr w:type="spellEnd"/>
      <w:r>
        <w:rPr>
          <w:rFonts w:ascii="Cambria" w:hAnsi="Cambria" w:cs="Cambria"/>
          <w:color w:val="333333"/>
          <w:sz w:val="24"/>
          <w:szCs w:val="24"/>
        </w:rPr>
        <w:t xml:space="preserve">, and Susan </w:t>
      </w:r>
      <w:proofErr w:type="spellStart"/>
      <w:r>
        <w:rPr>
          <w:rFonts w:ascii="Cambria" w:hAnsi="Cambria" w:cs="Cambria"/>
          <w:color w:val="333333"/>
          <w:sz w:val="24"/>
          <w:szCs w:val="24"/>
        </w:rPr>
        <w:t>Hauan</w:t>
      </w:r>
      <w:proofErr w:type="spellEnd"/>
      <w:r>
        <w:rPr>
          <w:rFonts w:ascii="Cambria" w:hAnsi="Cambria" w:cs="Cambria"/>
          <w:color w:val="333333"/>
          <w:sz w:val="24"/>
          <w:szCs w:val="24"/>
        </w:rPr>
        <w:t xml:space="preserve"> of the Assistant Secretary for Planning and Evaluation. </w:t>
      </w:r>
      <w:r>
        <w:rPr>
          <w:rFonts w:ascii="Cambria" w:hAnsi="Cambria" w:cs="Cambria"/>
          <w:i/>
          <w:iCs/>
          <w:color w:val="000000"/>
          <w:sz w:val="24"/>
          <w:szCs w:val="24"/>
        </w:rPr>
        <w:t xml:space="preserve">Financial Condition and Health Care Burdens of People in Deep Poverty. </w:t>
      </w:r>
      <w:r>
        <w:rPr>
          <w:rFonts w:ascii="Cambria" w:hAnsi="Cambria" w:cs="Cambria"/>
          <w:color w:val="000000"/>
          <w:sz w:val="24"/>
          <w:szCs w:val="24"/>
        </w:rPr>
        <w:t xml:space="preserve">July 2015. Located at: </w:t>
      </w:r>
      <w:hyperlink r:id="rId465" w:history="1">
        <w:r>
          <w:rPr>
            <w:rFonts w:ascii="Cambria" w:hAnsi="Cambria" w:cs="Cambria"/>
            <w:color w:val="0000FF"/>
            <w:sz w:val="24"/>
            <w:szCs w:val="24"/>
            <w:u w:val="single"/>
          </w:rPr>
          <w:t>https://aspe.hhs.gov/basic-report/financial-</w:t>
        </w:r>
      </w:hyperlink>
      <w:r>
        <w:rPr>
          <w:rFonts w:ascii="Cambria" w:hAnsi="Cambria" w:cs="Cambria"/>
          <w:color w:val="0000FF"/>
          <w:sz w:val="24"/>
          <w:szCs w:val="24"/>
          <w:u w:val="single"/>
        </w:rPr>
        <w:t xml:space="preserve"> </w:t>
      </w:r>
      <w:hyperlink r:id="rId466" w:history="1">
        <w:r>
          <w:rPr>
            <w:rFonts w:ascii="Cambria" w:hAnsi="Cambria" w:cs="Cambria"/>
            <w:color w:val="0000FF"/>
            <w:sz w:val="24"/>
            <w:szCs w:val="24"/>
            <w:u w:val="single"/>
          </w:rPr>
          <w:t>condition-and-health-care-burdens-people-deep-poverty</w:t>
        </w:r>
      </w:hyperlink>
    </w:p>
    <w:p w:rsidR="002C5025" w:rsidRDefault="002C5025">
      <w:pPr>
        <w:pStyle w:val="BodyText"/>
        <w:kinsoku w:val="0"/>
        <w:overflowPunct w:val="0"/>
        <w:spacing w:before="5"/>
        <w:rPr>
          <w:rFonts w:ascii="Cambria" w:hAnsi="Cambria" w:cs="Cambria"/>
          <w:sz w:val="18"/>
          <w:szCs w:val="18"/>
        </w:rPr>
      </w:pPr>
    </w:p>
    <w:p w:rsidR="002C5025" w:rsidRDefault="002C5025">
      <w:pPr>
        <w:pStyle w:val="BodyText"/>
        <w:kinsoku w:val="0"/>
        <w:overflowPunct w:val="0"/>
        <w:spacing w:before="66"/>
        <w:ind w:left="100" w:right="196"/>
        <w:rPr>
          <w:rFonts w:ascii="Cambria" w:hAnsi="Cambria" w:cs="Cambria"/>
          <w:color w:val="0000FF"/>
          <w:sz w:val="24"/>
          <w:szCs w:val="24"/>
        </w:rPr>
      </w:pPr>
      <w:r>
        <w:rPr>
          <w:rFonts w:ascii="Cambria" w:hAnsi="Cambria" w:cs="Cambria"/>
          <w:sz w:val="24"/>
          <w:szCs w:val="24"/>
        </w:rPr>
        <w:t xml:space="preserve">David </w:t>
      </w:r>
      <w:proofErr w:type="spellStart"/>
      <w:r>
        <w:rPr>
          <w:rFonts w:ascii="Cambria" w:hAnsi="Cambria" w:cs="Cambria"/>
          <w:sz w:val="24"/>
          <w:szCs w:val="24"/>
        </w:rPr>
        <w:t>Machledt</w:t>
      </w:r>
      <w:proofErr w:type="spellEnd"/>
      <w:r>
        <w:rPr>
          <w:rFonts w:ascii="Cambria" w:hAnsi="Cambria" w:cs="Cambria"/>
          <w:sz w:val="24"/>
          <w:szCs w:val="24"/>
        </w:rPr>
        <w:t xml:space="preserve"> and Jane Perkins from the National Health Law Program. </w:t>
      </w:r>
      <w:r>
        <w:rPr>
          <w:rFonts w:ascii="Cambria" w:hAnsi="Cambria" w:cs="Cambria"/>
          <w:i/>
          <w:iCs/>
          <w:sz w:val="24"/>
          <w:szCs w:val="24"/>
        </w:rPr>
        <w:t xml:space="preserve">Medicaid Premiums and Cost Sharing. </w:t>
      </w:r>
      <w:r>
        <w:rPr>
          <w:rFonts w:ascii="Cambria" w:hAnsi="Cambria" w:cs="Cambria"/>
          <w:sz w:val="24"/>
          <w:szCs w:val="24"/>
        </w:rPr>
        <w:t xml:space="preserve">March 2014. Located at: </w:t>
      </w:r>
      <w:hyperlink r:id="rId467" w:history="1">
        <w:r>
          <w:rPr>
            <w:rFonts w:ascii="Cambria" w:hAnsi="Cambria" w:cs="Cambria"/>
            <w:color w:val="0000FF"/>
            <w:sz w:val="24"/>
            <w:szCs w:val="24"/>
            <w:u w:val="single"/>
          </w:rPr>
          <w:t>http://www.nationaldisabilitynavigator.org/wp-</w:t>
        </w:r>
      </w:hyperlink>
      <w:r>
        <w:rPr>
          <w:rFonts w:ascii="Cambria" w:hAnsi="Cambria" w:cs="Cambria"/>
          <w:color w:val="0000FF"/>
          <w:sz w:val="24"/>
          <w:szCs w:val="24"/>
          <w:u w:val="single"/>
        </w:rPr>
        <w:t xml:space="preserve"> </w:t>
      </w:r>
      <w:hyperlink r:id="rId468" w:history="1">
        <w:r>
          <w:rPr>
            <w:rFonts w:ascii="Cambria" w:hAnsi="Cambria" w:cs="Cambria"/>
            <w:color w:val="0000FF"/>
            <w:sz w:val="24"/>
            <w:szCs w:val="24"/>
            <w:u w:val="single"/>
          </w:rPr>
          <w:t>content/uploads/resources-links/NHeLP_IssueBriefMedicaidCostSharing_03262014.pdf</w:t>
        </w:r>
      </w:hyperlink>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rPr>
          <w:rFonts w:ascii="Cambria" w:hAnsi="Cambria" w:cs="Cambria"/>
          <w:sz w:val="20"/>
          <w:szCs w:val="20"/>
        </w:rPr>
      </w:pPr>
    </w:p>
    <w:p w:rsidR="002C5025" w:rsidRDefault="00FB027C">
      <w:pPr>
        <w:pStyle w:val="BodyText"/>
        <w:kinsoku w:val="0"/>
        <w:overflowPunct w:val="0"/>
        <w:spacing w:before="3"/>
        <w:rPr>
          <w:rFonts w:ascii="Cambria" w:hAnsi="Cambria" w:cs="Cambria"/>
          <w:sz w:val="24"/>
          <w:szCs w:val="24"/>
        </w:rPr>
      </w:pPr>
      <w:r>
        <w:rPr>
          <w:noProof/>
        </w:rPr>
        <mc:AlternateContent>
          <mc:Choice Requires="wps">
            <w:drawing>
              <wp:anchor distT="0" distB="0" distL="0" distR="0" simplePos="0" relativeHeight="251725312" behindDoc="0" locked="0" layoutInCell="0" allowOverlap="1">
                <wp:simplePos x="0" y="0"/>
                <wp:positionH relativeFrom="page">
                  <wp:posOffset>2056765</wp:posOffset>
                </wp:positionH>
                <wp:positionV relativeFrom="paragraph">
                  <wp:posOffset>205740</wp:posOffset>
                </wp:positionV>
                <wp:extent cx="4051300" cy="381000"/>
                <wp:effectExtent l="0" t="0" r="0" b="0"/>
                <wp:wrapTopAndBottom/>
                <wp:docPr id="315" name="Rectangle 7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13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600" w:lineRule="atLeast"/>
                            </w:pPr>
                            <w:r>
                              <w:rPr>
                                <w:noProof/>
                              </w:rPr>
                              <w:drawing>
                                <wp:inline distT="0" distB="0" distL="0" distR="0">
                                  <wp:extent cx="4048125" cy="381000"/>
                                  <wp:effectExtent l="0" t="0" r="9525"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457">
                                            <a:extLst>
                                              <a:ext uri="{28A0092B-C50C-407E-A947-70E740481C1C}">
                                                <a14:useLocalDpi xmlns:a14="http://schemas.microsoft.com/office/drawing/2010/main" val="0"/>
                                              </a:ext>
                                            </a:extLst>
                                          </a:blip>
                                          <a:srcRect/>
                                          <a:stretch>
                                            <a:fillRect/>
                                          </a:stretch>
                                        </pic:blipFill>
                                        <pic:spPr bwMode="auto">
                                          <a:xfrm>
                                            <a:off x="0" y="0"/>
                                            <a:ext cx="4048125" cy="381000"/>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0" o:spid="_x0000_s1242" style="position:absolute;margin-left:161.95pt;margin-top:16.2pt;width:319pt;height:30pt;z-index:251725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" o:allowincell="f" filled="f" stroked="f">
                <v:textbox inset="0,0,0,0">
                  <w:txbxContent>
                    <w:p w:rsidR="007B2B7B" w:rsidRDefault="007B2B7B">
                      <w:pPr>
                        <w:widowControl/>
                        <w:autoSpaceDE/>
                        <w:autoSpaceDN/>
                        <w:adjustRightInd/>
                        <w:spacing w:line="600" w:lineRule="atLeast"/>
                      </w:pPr>
                      <w:r>
                        <w:rPr>
                          <w:noProof/>
                        </w:rPr>
                        <w:drawing>
                          <wp:inline distT="0" distB="0" distL="0" distR="0">
                            <wp:extent cx="4048125" cy="381000"/>
                            <wp:effectExtent l="0" t="0" r="9525"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bwMode="auto">
                                    <a:xfrm>
                                      <a:off x="0" y="0"/>
                                      <a:ext cx="4048125" cy="381000"/>
                                    </a:xfrm>
                                    <a:prstGeom prst="rect">
                                      <a:avLst/>
                                    </a:prstGeom>
                                    <a:noFill/>
                                    <a:ln>
                                      <a:noFill/>
                                    </a:ln>
                                  </pic:spPr>
                                </pic:pic>
                              </a:graphicData>
                            </a:graphic>
                          </wp:inline>
                        </w:drawing>
                      </w:r>
                    </w:p>
                    <w:p w:rsidR="007B2B7B" w:rsidRDefault="007B2B7B"/>
                  </w:txbxContent>
                </v:textbox>
                <w10:wrap type="topAndBottom" anchorx="page"/>
              </v:rect>
            </w:pict>
          </mc:Fallback>
        </mc:AlternateContent>
      </w:r>
    </w:p>
    <w:p w:rsidR="002C5025" w:rsidRDefault="002C5025">
      <w:pPr>
        <w:pStyle w:val="BodyText"/>
        <w:kinsoku w:val="0"/>
        <w:overflowPunct w:val="0"/>
        <w:spacing w:before="3"/>
        <w:rPr>
          <w:rFonts w:ascii="Cambria" w:hAnsi="Cambria" w:cs="Cambria"/>
          <w:sz w:val="24"/>
          <w:szCs w:val="24"/>
        </w:rPr>
        <w:sectPr w:rsidR="002C5025">
          <w:pgSz w:w="12240" w:h="15840"/>
          <w:pgMar w:top="1500" w:right="700" w:bottom="0" w:left="1340" w:header="720" w:footer="720" w:gutter="0"/>
          <w:cols w:space="720" w:equalWidth="0">
            <w:col w:w="10200"/>
          </w:cols>
          <w:noEndnote/>
        </w:sectPr>
      </w:pPr>
    </w:p>
    <w:p w:rsidR="002C5025" w:rsidRDefault="00FB027C">
      <w:pPr>
        <w:pStyle w:val="BodyText"/>
        <w:kinsoku w:val="0"/>
        <w:overflowPunct w:val="0"/>
        <w:ind w:left="7101"/>
        <w:rPr>
          <w:rFonts w:ascii="Cambria" w:hAnsi="Cambria" w:cs="Cambria"/>
          <w:sz w:val="20"/>
          <w:szCs w:val="20"/>
        </w:rPr>
      </w:pPr>
      <w:r>
        <w:rPr>
          <w:rFonts w:ascii="Cambria" w:hAnsi="Cambria" w:cs="Cambria"/>
          <w:noProof/>
          <w:sz w:val="20"/>
          <w:szCs w:val="20"/>
        </w:rPr>
        <w:lastRenderedPageBreak/>
        <w:drawing>
          <wp:inline distT="0" distB="0" distL="0" distR="0">
            <wp:extent cx="2924175" cy="781050"/>
            <wp:effectExtent l="0" t="0" r="9525"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469">
                      <a:extLst>
                        <a:ext uri="{28A0092B-C50C-407E-A947-70E740481C1C}">
                          <a14:useLocalDpi xmlns:a14="http://schemas.microsoft.com/office/drawing/2010/main" val="0"/>
                        </a:ext>
                      </a:extLst>
                    </a:blip>
                    <a:srcRect/>
                    <a:stretch>
                      <a:fillRect/>
                    </a:stretch>
                  </pic:blipFill>
                  <pic:spPr bwMode="auto">
                    <a:xfrm>
                      <a:off x="0" y="0"/>
                      <a:ext cx="2924175" cy="781050"/>
                    </a:xfrm>
                    <a:prstGeom prst="rect">
                      <a:avLst/>
                    </a:prstGeom>
                    <a:noFill/>
                    <a:ln>
                      <a:noFill/>
                    </a:ln>
                  </pic:spPr>
                </pic:pic>
              </a:graphicData>
            </a:graphic>
          </wp:inline>
        </w:drawing>
      </w: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rPr>
          <w:rFonts w:ascii="Cambria" w:hAnsi="Cambria" w:cs="Cambria"/>
          <w:sz w:val="20"/>
          <w:szCs w:val="20"/>
        </w:rPr>
      </w:pPr>
    </w:p>
    <w:p w:rsidR="002C5025" w:rsidRDefault="002C5025">
      <w:pPr>
        <w:pStyle w:val="BodyText"/>
        <w:kinsoku w:val="0"/>
        <w:overflowPunct w:val="0"/>
        <w:spacing w:before="3"/>
        <w:rPr>
          <w:rFonts w:ascii="Cambria" w:hAnsi="Cambria" w:cs="Cambria"/>
          <w:sz w:val="23"/>
          <w:szCs w:val="23"/>
        </w:rPr>
      </w:pPr>
    </w:p>
    <w:p w:rsidR="002C5025" w:rsidRDefault="002C5025">
      <w:pPr>
        <w:pStyle w:val="BodyText"/>
        <w:kinsoku w:val="0"/>
        <w:overflowPunct w:val="0"/>
        <w:spacing w:before="56"/>
        <w:ind w:left="1440" w:right="1443"/>
      </w:pPr>
      <w:bookmarkStart w:id="209" w:name="MMS_Comment_to_MassHealth_1115_WaiverFIN"/>
      <w:bookmarkEnd w:id="209"/>
      <w:r>
        <w:t>July 15, 2016</w:t>
      </w:r>
    </w:p>
    <w:p w:rsidR="002C5025" w:rsidRDefault="002C5025">
      <w:pPr>
        <w:pStyle w:val="BodyText"/>
        <w:kinsoku w:val="0"/>
        <w:overflowPunct w:val="0"/>
        <w:rPr>
          <w:sz w:val="20"/>
          <w:szCs w:val="20"/>
        </w:rPr>
      </w:pPr>
    </w:p>
    <w:p w:rsidR="002C5025" w:rsidRDefault="002C5025">
      <w:pPr>
        <w:pStyle w:val="BodyText"/>
        <w:kinsoku w:val="0"/>
        <w:overflowPunct w:val="0"/>
        <w:spacing w:before="5"/>
        <w:rPr>
          <w:sz w:val="20"/>
          <w:szCs w:val="20"/>
        </w:rPr>
      </w:pPr>
    </w:p>
    <w:p w:rsidR="002C5025" w:rsidRDefault="002C5025">
      <w:pPr>
        <w:pStyle w:val="BodyText"/>
        <w:kinsoku w:val="0"/>
        <w:overflowPunct w:val="0"/>
        <w:spacing w:before="56"/>
        <w:ind w:left="1440" w:right="1270"/>
        <w:rPr>
          <w:b/>
          <w:bCs/>
        </w:rPr>
      </w:pPr>
      <w:r>
        <w:rPr>
          <w:b/>
          <w:bCs/>
        </w:rPr>
        <w:t>RE: Comments on MassHealth Section 1115 Demonstration Project Amendment and Extension Request</w:t>
      </w:r>
    </w:p>
    <w:p w:rsidR="002C5025" w:rsidRDefault="002C5025">
      <w:pPr>
        <w:pStyle w:val="BodyText"/>
        <w:kinsoku w:val="0"/>
        <w:overflowPunct w:val="0"/>
        <w:spacing w:before="5"/>
        <w:rPr>
          <w:b/>
          <w:bCs/>
          <w:sz w:val="19"/>
          <w:szCs w:val="19"/>
        </w:rPr>
      </w:pPr>
    </w:p>
    <w:p w:rsidR="002C5025" w:rsidRDefault="002C5025">
      <w:pPr>
        <w:pStyle w:val="BodyText"/>
        <w:kinsoku w:val="0"/>
        <w:overflowPunct w:val="0"/>
        <w:spacing w:before="1" w:line="276" w:lineRule="auto"/>
        <w:ind w:left="1439" w:right="735"/>
      </w:pPr>
      <w:r>
        <w:t>The Massachusetts Medical Society appreciates the opportunity to provide comment on the MassHealth Section 1115 Demonstration Project Amendment and Extension Request. We applaud the transparent and inclusive process Assistant Secretary Tsai and his office has undertaken over the past many months to ensure ample stakeholder engagement.</w:t>
      </w:r>
    </w:p>
    <w:p w:rsidR="002C5025" w:rsidRDefault="002C5025">
      <w:pPr>
        <w:pStyle w:val="BodyText"/>
        <w:kinsoku w:val="0"/>
        <w:overflowPunct w:val="0"/>
        <w:spacing w:before="197" w:line="276" w:lineRule="auto"/>
        <w:ind w:left="1439" w:right="794"/>
      </w:pPr>
      <w:r>
        <w:t>The Medical Society has long been a proponent of the Medicaid program in Massachusetts as a vital source of health care coverage to many of our most vulnerable populations. We have watched closely as the growth trajectory of the program spending has increased markedly over the past few years, and appreciate that change must occur to ensure the sustainability of the system without significant reductions to eligibility or services covered.</w:t>
      </w:r>
    </w:p>
    <w:p w:rsidR="002C5025" w:rsidRDefault="002C5025">
      <w:pPr>
        <w:pStyle w:val="BodyText"/>
        <w:kinsoku w:val="0"/>
        <w:overflowPunct w:val="0"/>
        <w:spacing w:before="197" w:line="276" w:lineRule="auto"/>
        <w:ind w:left="1439" w:right="650"/>
      </w:pPr>
      <w:r>
        <w:t>The Medical Society supports many aspects of the waiver application: the expansion of substance use disorder treatment, the emphasis on behavioral health integration, and many initiatives through the DSRIP funding will serve the patients of the Commonwealth well while helping strengthen the health care delivery system. The Medical Society has concerns about other portions of the waiver: the reduction of PCC plan benefits and the 12- month lock-in could offset many of the improvements and jeopardize the care provided to this vulnerable population. Still other portions of the waiver—including new member attribution, the allocation process for the DSRIP funding, and data reporting requirements—have insufficient detail to be able to provide robust comments.</w:t>
      </w:r>
    </w:p>
    <w:p w:rsidR="002C5025" w:rsidRDefault="002C5025">
      <w:pPr>
        <w:pStyle w:val="BodyText"/>
        <w:kinsoku w:val="0"/>
        <w:overflowPunct w:val="0"/>
        <w:spacing w:before="4"/>
        <w:rPr>
          <w:sz w:val="16"/>
          <w:szCs w:val="16"/>
        </w:rPr>
      </w:pPr>
    </w:p>
    <w:p w:rsidR="002C5025" w:rsidRDefault="002C5025">
      <w:pPr>
        <w:pStyle w:val="BodyText"/>
        <w:kinsoku w:val="0"/>
        <w:overflowPunct w:val="0"/>
        <w:ind w:left="1439" w:right="1443"/>
      </w:pPr>
      <w:r>
        <w:t>We are pleased to detail these areas of interest through the following comments:</w:t>
      </w:r>
    </w:p>
    <w:p w:rsidR="002C5025" w:rsidRDefault="002C5025">
      <w:pPr>
        <w:pStyle w:val="BodyText"/>
        <w:kinsoku w:val="0"/>
        <w:overflowPunct w:val="0"/>
        <w:spacing w:before="5"/>
        <w:rPr>
          <w:sz w:val="19"/>
          <w:szCs w:val="19"/>
        </w:rPr>
      </w:pPr>
    </w:p>
    <w:p w:rsidR="002C5025" w:rsidRDefault="002C5025">
      <w:pPr>
        <w:pStyle w:val="BodyText"/>
        <w:numPr>
          <w:ilvl w:val="1"/>
          <w:numId w:val="32"/>
        </w:numPr>
        <w:tabs>
          <w:tab w:val="left" w:pos="2160"/>
        </w:tabs>
        <w:kinsoku w:val="0"/>
        <w:overflowPunct w:val="0"/>
        <w:spacing w:before="1" w:line="276" w:lineRule="auto"/>
        <w:ind w:right="683"/>
        <w:rPr>
          <w:b/>
          <w:bCs/>
        </w:rPr>
      </w:pPr>
      <w:r>
        <w:rPr>
          <w:b/>
          <w:bCs/>
        </w:rPr>
        <w:t>While the Medical Society supports the innovations and the promotion of integrated, accountable care as a valuable option in the MassHealth program, the MMS does not believe that they should come at the expense of the PCC</w:t>
      </w:r>
      <w:r>
        <w:rPr>
          <w:b/>
          <w:bCs/>
          <w:spacing w:val="-12"/>
        </w:rPr>
        <w:t xml:space="preserve"> </w:t>
      </w:r>
      <w:r>
        <w:rPr>
          <w:b/>
          <w:bCs/>
        </w:rPr>
        <w:t>plan.</w:t>
      </w:r>
    </w:p>
    <w:p w:rsidR="002C5025" w:rsidRDefault="002C5025">
      <w:pPr>
        <w:pStyle w:val="BodyText"/>
        <w:kinsoku w:val="0"/>
        <w:overflowPunct w:val="0"/>
        <w:spacing w:before="5"/>
        <w:rPr>
          <w:b/>
          <w:bCs/>
          <w:sz w:val="25"/>
          <w:szCs w:val="25"/>
        </w:rPr>
      </w:pPr>
    </w:p>
    <w:p w:rsidR="002C5025" w:rsidRDefault="00FB027C">
      <w:pPr>
        <w:pStyle w:val="BodyText"/>
        <w:kinsoku w:val="0"/>
        <w:overflowPunct w:val="0"/>
        <w:spacing w:line="276" w:lineRule="auto"/>
        <w:ind w:left="2159" w:right="610"/>
      </w:pPr>
      <w:r>
        <w:rPr>
          <w:noProof/>
        </w:rPr>
        <mc:AlternateContent>
          <mc:Choice Requires="wps">
            <w:drawing>
              <wp:anchor distT="0" distB="0" distL="114300" distR="114300" simplePos="0" relativeHeight="251726336" behindDoc="1" locked="0" layoutInCell="0" allowOverlap="1">
                <wp:simplePos x="0" y="0"/>
                <wp:positionH relativeFrom="page">
                  <wp:posOffset>0</wp:posOffset>
                </wp:positionH>
                <wp:positionV relativeFrom="paragraph">
                  <wp:posOffset>1564640</wp:posOffset>
                </wp:positionV>
                <wp:extent cx="7772400" cy="495300"/>
                <wp:effectExtent l="0" t="0" r="0" b="0"/>
                <wp:wrapNone/>
                <wp:docPr id="314" name="Rectangle 7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780" w:lineRule="atLeast"/>
                            </w:pPr>
                            <w:r>
                              <w:rPr>
                                <w:noProof/>
                              </w:rPr>
                              <w:drawing>
                                <wp:inline distT="0" distB="0" distL="0" distR="0">
                                  <wp:extent cx="7781925" cy="495300"/>
                                  <wp:effectExtent l="0" t="0" r="9525"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470">
                                            <a:extLst>
                                              <a:ext uri="{28A0092B-C50C-407E-A947-70E740481C1C}">
                                                <a14:useLocalDpi xmlns:a14="http://schemas.microsoft.com/office/drawing/2010/main" val="0"/>
                                              </a:ext>
                                            </a:extLst>
                                          </a:blip>
                                          <a:srcRect/>
                                          <a:stretch>
                                            <a:fillRect/>
                                          </a:stretch>
                                        </pic:blipFill>
                                        <pic:spPr bwMode="auto">
                                          <a:xfrm>
                                            <a:off x="0" y="0"/>
                                            <a:ext cx="7781925" cy="495300"/>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1" o:spid="_x0000_s1243" style="position:absolute;left:0;text-align:left;margin-left:0;margin-top:123.2pt;width:612pt;height:39pt;z-index:-25159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" o:allowincell="f" filled="f" stroked="f">
                <v:textbox inset="0,0,0,0">
                  <w:txbxContent>
                    <w:p w:rsidR="007B2B7B" w:rsidRDefault="007B2B7B">
                      <w:pPr>
                        <w:widowControl/>
                        <w:autoSpaceDE/>
                        <w:autoSpaceDN/>
                        <w:adjustRightInd/>
                        <w:spacing w:line="780" w:lineRule="atLeast"/>
                      </w:pPr>
                      <w:r>
                        <w:rPr>
                          <w:noProof/>
                        </w:rPr>
                        <w:drawing>
                          <wp:inline distT="0" distB="0" distL="0" distR="0">
                            <wp:extent cx="7781925" cy="495300"/>
                            <wp:effectExtent l="0" t="0" r="9525"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471">
                                      <a:extLst>
                                        <a:ext uri="{28A0092B-C50C-407E-A947-70E740481C1C}">
                                          <a14:useLocalDpi xmlns:a14="http://schemas.microsoft.com/office/drawing/2010/main" val="0"/>
                                        </a:ext>
                                      </a:extLst>
                                    </a:blip>
                                    <a:srcRect/>
                                    <a:stretch>
                                      <a:fillRect/>
                                    </a:stretch>
                                  </pic:blipFill>
                                  <pic:spPr bwMode="auto">
                                    <a:xfrm>
                                      <a:off x="0" y="0"/>
                                      <a:ext cx="7781925" cy="495300"/>
                                    </a:xfrm>
                                    <a:prstGeom prst="rect">
                                      <a:avLst/>
                                    </a:prstGeom>
                                    <a:noFill/>
                                    <a:ln>
                                      <a:noFill/>
                                    </a:ln>
                                  </pic:spPr>
                                </pic:pic>
                              </a:graphicData>
                            </a:graphic>
                          </wp:inline>
                        </w:drawing>
                      </w:r>
                    </w:p>
                    <w:p w:rsidR="007B2B7B" w:rsidRDefault="007B2B7B"/>
                  </w:txbxContent>
                </v:textbox>
                <w10:wrap anchorx="page"/>
              </v:rect>
            </w:pict>
          </mc:Fallback>
        </mc:AlternateContent>
      </w:r>
      <w:r w:rsidR="002C5025">
        <w:t>The Medical Society opposes the increase of co-payments and reduction of services in the PCC plan— including the elimination of chiropractic services, orthotics, eye glasses, and hearing aids—as a means by which to shift the source of care to ACOs. MassHealth should incentivize transition to ACOs by making the programs attractive to patients and physicians, not by stripping away benefits from the PCC plan. The latter approach penalizes patients who for many reasons may remain in a PCC plan. It further jeopardizes the continuity of the primary care physician-patient relationship: some physicians with small MassHealth panels may not ultimately choose to join an ACO. Their longstanding patients should not be put in a</w:t>
      </w:r>
    </w:p>
    <w:p w:rsidR="002C5025" w:rsidRDefault="002C5025">
      <w:pPr>
        <w:pStyle w:val="BodyText"/>
        <w:kinsoku w:val="0"/>
        <w:overflowPunct w:val="0"/>
        <w:spacing w:line="276" w:lineRule="auto"/>
        <w:ind w:left="2159" w:right="610"/>
        <w:sectPr w:rsidR="002C5025">
          <w:pgSz w:w="12240" w:h="15840"/>
          <w:pgMar w:top="540" w:right="0" w:bottom="280" w:left="0" w:header="720" w:footer="720" w:gutter="0"/>
          <w:cols w:space="720" w:equalWidth="0">
            <w:col w:w="12240"/>
          </w:cols>
          <w:noEndnote/>
        </w:sectPr>
      </w:pPr>
    </w:p>
    <w:p w:rsidR="002C5025" w:rsidRDefault="002C5025">
      <w:pPr>
        <w:pStyle w:val="BodyText"/>
        <w:kinsoku w:val="0"/>
        <w:overflowPunct w:val="0"/>
        <w:spacing w:before="33" w:line="276" w:lineRule="auto"/>
        <w:ind w:left="480" w:right="658"/>
      </w:pPr>
      <w:r>
        <w:lastRenderedPageBreak/>
        <w:t>position of weighing the termination of their longstanding physician with a reduction in benefits and increase in out-of-pocket expense.</w:t>
      </w:r>
    </w:p>
    <w:p w:rsidR="002C5025" w:rsidRDefault="002C5025">
      <w:pPr>
        <w:pStyle w:val="BodyText"/>
        <w:kinsoku w:val="0"/>
        <w:overflowPunct w:val="0"/>
        <w:spacing w:before="2"/>
        <w:rPr>
          <w:sz w:val="25"/>
          <w:szCs w:val="25"/>
        </w:rPr>
      </w:pPr>
    </w:p>
    <w:p w:rsidR="002C5025" w:rsidRDefault="002C5025">
      <w:pPr>
        <w:pStyle w:val="BodyText"/>
        <w:numPr>
          <w:ilvl w:val="1"/>
          <w:numId w:val="32"/>
        </w:numPr>
        <w:tabs>
          <w:tab w:val="left" w:pos="480"/>
        </w:tabs>
        <w:kinsoku w:val="0"/>
        <w:overflowPunct w:val="0"/>
        <w:spacing w:line="276" w:lineRule="auto"/>
        <w:ind w:left="479" w:right="751"/>
        <w:rPr>
          <w:b/>
          <w:bCs/>
        </w:rPr>
      </w:pPr>
      <w:r>
        <w:rPr>
          <w:b/>
          <w:bCs/>
        </w:rPr>
        <w:t>The Medical Society applauds the expansion of the coverage of substance use disorder treatment through the Substance Use Disorder 1115 demonstration</w:t>
      </w:r>
      <w:r>
        <w:rPr>
          <w:b/>
          <w:bCs/>
          <w:spacing w:val="-28"/>
        </w:rPr>
        <w:t xml:space="preserve"> </w:t>
      </w:r>
      <w:r>
        <w:rPr>
          <w:b/>
          <w:bCs/>
        </w:rPr>
        <w:t>proposal.</w:t>
      </w:r>
    </w:p>
    <w:p w:rsidR="002C5025" w:rsidRDefault="002C5025">
      <w:pPr>
        <w:pStyle w:val="BodyText"/>
        <w:kinsoku w:val="0"/>
        <w:overflowPunct w:val="0"/>
        <w:spacing w:before="2"/>
        <w:rPr>
          <w:b/>
          <w:bCs/>
          <w:sz w:val="25"/>
          <w:szCs w:val="25"/>
        </w:rPr>
      </w:pPr>
    </w:p>
    <w:p w:rsidR="002C5025" w:rsidRDefault="002C5025">
      <w:pPr>
        <w:pStyle w:val="BodyText"/>
        <w:kinsoku w:val="0"/>
        <w:overflowPunct w:val="0"/>
        <w:spacing w:line="276" w:lineRule="auto"/>
        <w:ind w:left="479" w:right="189"/>
      </w:pPr>
      <w:r>
        <w:t>The Medical Society strongly supports the expansion of coverage to include the full continuum of substance use disorder treatment, from initial detoxification through long-term residential rehabilitation services. MMS also supports the expansion of combined detoxification and behavioral health stabilization in the same setting for adolescent patients. We hear often from our members of the particular difficulties that many of these dual diagnosed patients and their families face in finding access to and coverage for appropriate care. The MMS is also pleased to see the commitment of nearly 400 beds in FY17 and over 450 new beds in FY18.</w:t>
      </w:r>
    </w:p>
    <w:p w:rsidR="002C5025" w:rsidRDefault="002C5025">
      <w:pPr>
        <w:pStyle w:val="BodyText"/>
        <w:kinsoku w:val="0"/>
        <w:overflowPunct w:val="0"/>
        <w:spacing w:before="5"/>
        <w:rPr>
          <w:sz w:val="25"/>
          <w:szCs w:val="25"/>
        </w:rPr>
      </w:pPr>
    </w:p>
    <w:p w:rsidR="002C5025" w:rsidRDefault="002C5025">
      <w:pPr>
        <w:pStyle w:val="BodyText"/>
        <w:kinsoku w:val="0"/>
        <w:overflowPunct w:val="0"/>
        <w:spacing w:line="276" w:lineRule="auto"/>
        <w:ind w:left="479" w:right="94"/>
      </w:pPr>
      <w:r>
        <w:t>The Medical Society noted the commitment to continue the admirable policy of not requiring referrals for those seeking behavioral health care. We urge MassHealth to adopt a similar policy for substance use disorder treatment across all MassHealth plans. At a recent meeting of the Massachusetts Society of Addiction Medicine, several MassHealth physician participants referenced this issue as a barrier to care for patients who have finally decided to seek treatment.</w:t>
      </w:r>
    </w:p>
    <w:p w:rsidR="002C5025" w:rsidRDefault="002C5025">
      <w:pPr>
        <w:pStyle w:val="BodyText"/>
        <w:kinsoku w:val="0"/>
        <w:overflowPunct w:val="0"/>
        <w:spacing w:before="5"/>
        <w:rPr>
          <w:sz w:val="25"/>
          <w:szCs w:val="25"/>
        </w:rPr>
      </w:pPr>
    </w:p>
    <w:p w:rsidR="002C5025" w:rsidRDefault="002C5025">
      <w:pPr>
        <w:pStyle w:val="BodyText"/>
        <w:kinsoku w:val="0"/>
        <w:overflowPunct w:val="0"/>
        <w:spacing w:line="276" w:lineRule="auto"/>
        <w:ind w:left="479" w:right="95"/>
      </w:pPr>
      <w:r>
        <w:t>Additionally, the Medical Society supports the emphasis throughout the waiver on primary care-centered behavioral health integration and patient-centered care coordination for members with long-term support and services and social needs.</w:t>
      </w:r>
    </w:p>
    <w:p w:rsidR="002C5025" w:rsidRDefault="002C5025">
      <w:pPr>
        <w:pStyle w:val="BodyText"/>
        <w:kinsoku w:val="0"/>
        <w:overflowPunct w:val="0"/>
        <w:spacing w:before="2"/>
        <w:rPr>
          <w:sz w:val="25"/>
          <w:szCs w:val="25"/>
        </w:rPr>
      </w:pPr>
    </w:p>
    <w:p w:rsidR="002C5025" w:rsidRDefault="002C5025">
      <w:pPr>
        <w:pStyle w:val="BodyText"/>
        <w:numPr>
          <w:ilvl w:val="1"/>
          <w:numId w:val="32"/>
        </w:numPr>
        <w:tabs>
          <w:tab w:val="left" w:pos="530"/>
        </w:tabs>
        <w:kinsoku w:val="0"/>
        <w:overflowPunct w:val="0"/>
        <w:spacing w:line="276" w:lineRule="auto"/>
        <w:ind w:left="479" w:right="267"/>
        <w:rPr>
          <w:b/>
          <w:bCs/>
        </w:rPr>
      </w:pPr>
      <w:r>
        <w:rPr>
          <w:b/>
          <w:bCs/>
        </w:rPr>
        <w:t>A primary concern of the Medical Society remains the continuity of the primary care physician-patient relationship.</w:t>
      </w:r>
    </w:p>
    <w:p w:rsidR="002C5025" w:rsidRDefault="002C5025">
      <w:pPr>
        <w:pStyle w:val="BodyText"/>
        <w:kinsoku w:val="0"/>
        <w:overflowPunct w:val="0"/>
        <w:spacing w:before="2"/>
        <w:rPr>
          <w:b/>
          <w:bCs/>
          <w:sz w:val="25"/>
          <w:szCs w:val="25"/>
        </w:rPr>
      </w:pPr>
    </w:p>
    <w:p w:rsidR="002C5025" w:rsidRDefault="002C5025">
      <w:pPr>
        <w:pStyle w:val="BodyText"/>
        <w:kinsoku w:val="0"/>
        <w:overflowPunct w:val="0"/>
        <w:spacing w:line="276" w:lineRule="auto"/>
        <w:ind w:left="479" w:right="141"/>
      </w:pPr>
      <w:r>
        <w:t>The Medical Society appreciates the primary care physician based attribution model whereby patients will be placed in the MassHealth plan for which their PCP participates. The Medical Society looks forwards to additional detail about how new MassHealth enrollees without an existing primary care physician will be assigned to a plan.</w:t>
      </w:r>
    </w:p>
    <w:p w:rsidR="002C5025" w:rsidRDefault="002C5025">
      <w:pPr>
        <w:pStyle w:val="BodyText"/>
        <w:kinsoku w:val="0"/>
        <w:overflowPunct w:val="0"/>
        <w:spacing w:before="5"/>
        <w:rPr>
          <w:sz w:val="25"/>
          <w:szCs w:val="25"/>
        </w:rPr>
      </w:pPr>
    </w:p>
    <w:p w:rsidR="002C5025" w:rsidRDefault="002C5025">
      <w:pPr>
        <w:pStyle w:val="BodyText"/>
        <w:numPr>
          <w:ilvl w:val="1"/>
          <w:numId w:val="32"/>
        </w:numPr>
        <w:tabs>
          <w:tab w:val="left" w:pos="480"/>
        </w:tabs>
        <w:kinsoku w:val="0"/>
        <w:overflowPunct w:val="0"/>
        <w:spacing w:line="276" w:lineRule="auto"/>
        <w:ind w:left="479" w:right="888"/>
        <w:rPr>
          <w:b/>
          <w:bCs/>
        </w:rPr>
      </w:pPr>
      <w:r>
        <w:rPr>
          <w:b/>
          <w:bCs/>
        </w:rPr>
        <w:t>The Medical Society is concerned about the 12-month lock-in provision, especially in light of the complex plan design changes proposed in the</w:t>
      </w:r>
      <w:r>
        <w:rPr>
          <w:b/>
          <w:bCs/>
          <w:spacing w:val="-17"/>
        </w:rPr>
        <w:t xml:space="preserve"> </w:t>
      </w:r>
      <w:r>
        <w:rPr>
          <w:b/>
          <w:bCs/>
        </w:rPr>
        <w:t>waiver.</w:t>
      </w:r>
    </w:p>
    <w:p w:rsidR="002C5025" w:rsidRDefault="002C5025">
      <w:pPr>
        <w:pStyle w:val="BodyText"/>
        <w:kinsoku w:val="0"/>
        <w:overflowPunct w:val="0"/>
        <w:spacing w:before="2"/>
        <w:rPr>
          <w:b/>
          <w:bCs/>
          <w:sz w:val="25"/>
          <w:szCs w:val="25"/>
        </w:rPr>
      </w:pPr>
    </w:p>
    <w:p w:rsidR="002C5025" w:rsidRDefault="002C5025">
      <w:pPr>
        <w:pStyle w:val="BodyText"/>
        <w:kinsoku w:val="0"/>
        <w:overflowPunct w:val="0"/>
        <w:spacing w:line="276" w:lineRule="auto"/>
        <w:ind w:left="478" w:right="86"/>
      </w:pPr>
      <w:r>
        <w:t>The Medical Society has concern with the proposed change to implement 12-month lock-in periods for members. While we appreciate the difficulties that high rates of patient churn may pose, removing the flexibility could pose challenges to providing good medical care. Pediatricians have expressed concern, for example, about siblings who are unintentionally assigned to different primary care physicians. The Medical Society is thus opposed to the enrollment lock-in; though if the policy change is an inevitability we would strongly support expanding the specified reasons for disenrollment to include extenuating circumstances such as the sibling inconsistency cited above.</w:t>
      </w:r>
    </w:p>
    <w:p w:rsidR="002C5025" w:rsidRDefault="002C5025">
      <w:pPr>
        <w:pStyle w:val="BodyText"/>
        <w:kinsoku w:val="0"/>
        <w:overflowPunct w:val="0"/>
        <w:spacing w:before="2"/>
        <w:rPr>
          <w:sz w:val="25"/>
          <w:szCs w:val="25"/>
        </w:rPr>
      </w:pPr>
    </w:p>
    <w:p w:rsidR="002C5025" w:rsidRDefault="002C5025">
      <w:pPr>
        <w:pStyle w:val="BodyText"/>
        <w:kinsoku w:val="0"/>
        <w:overflowPunct w:val="0"/>
        <w:ind w:left="478" w:right="658"/>
      </w:pPr>
      <w:r>
        <w:t>The concerns about the enrollment change are exacerbated given the complexity of the health care</w:t>
      </w:r>
    </w:p>
    <w:p w:rsidR="002C5025" w:rsidRDefault="002C5025">
      <w:pPr>
        <w:pStyle w:val="BodyText"/>
        <w:kinsoku w:val="0"/>
        <w:overflowPunct w:val="0"/>
        <w:ind w:left="478" w:right="658"/>
        <w:sectPr w:rsidR="002C5025">
          <w:pgSz w:w="12240" w:h="15840"/>
          <w:pgMar w:top="1260" w:right="440" w:bottom="280" w:left="1680" w:header="720" w:footer="720" w:gutter="0"/>
          <w:cols w:space="720" w:equalWidth="0">
            <w:col w:w="10120"/>
          </w:cols>
          <w:noEndnote/>
        </w:sectPr>
      </w:pPr>
    </w:p>
    <w:p w:rsidR="002C5025" w:rsidRDefault="002C5025">
      <w:pPr>
        <w:pStyle w:val="BodyText"/>
        <w:kinsoku w:val="0"/>
        <w:overflowPunct w:val="0"/>
        <w:spacing w:before="33" w:line="276" w:lineRule="auto"/>
        <w:ind w:left="480" w:right="105"/>
      </w:pPr>
      <w:r>
        <w:lastRenderedPageBreak/>
        <w:t>delivery reforms that are proposed, including: multiple ACO models with varying involvement by managed care organizations, a retention yet reduction of the PCC plan, and the inability for dually eligible patients to partake in these ACOs. It is an understatement to say that it will be incredibly challenging for patients to fully understand the effects that these reforms would have on their primary care physician, on their plan design, and on their specialty medicine, behavioral health, and LTSS networks. These complex changes will undoubtedly cause many patients to find themselves with care design that they would like to change: this does not seem to be the most opportune time to limit flexibility of patients’ plan</w:t>
      </w:r>
      <w:r>
        <w:rPr>
          <w:spacing w:val="-30"/>
        </w:rPr>
        <w:t xml:space="preserve"> </w:t>
      </w:r>
      <w:r>
        <w:t>choice.</w:t>
      </w:r>
    </w:p>
    <w:p w:rsidR="002C5025" w:rsidRDefault="002C5025">
      <w:pPr>
        <w:pStyle w:val="BodyText"/>
        <w:kinsoku w:val="0"/>
        <w:overflowPunct w:val="0"/>
        <w:spacing w:before="2"/>
        <w:rPr>
          <w:sz w:val="25"/>
          <w:szCs w:val="25"/>
        </w:rPr>
      </w:pPr>
    </w:p>
    <w:p w:rsidR="002C5025" w:rsidRDefault="002C5025">
      <w:pPr>
        <w:pStyle w:val="BodyText"/>
        <w:numPr>
          <w:ilvl w:val="1"/>
          <w:numId w:val="32"/>
        </w:numPr>
        <w:tabs>
          <w:tab w:val="left" w:pos="480"/>
        </w:tabs>
        <w:kinsoku w:val="0"/>
        <w:overflowPunct w:val="0"/>
        <w:spacing w:line="278" w:lineRule="auto"/>
        <w:ind w:left="480" w:right="701"/>
        <w:rPr>
          <w:b/>
          <w:bCs/>
        </w:rPr>
      </w:pPr>
      <w:r>
        <w:rPr>
          <w:b/>
          <w:bCs/>
        </w:rPr>
        <w:t>MMS believes that a physician’s participation in one ACO should not disqualify the physician from participation in another</w:t>
      </w:r>
      <w:r>
        <w:rPr>
          <w:b/>
          <w:bCs/>
          <w:spacing w:val="-12"/>
        </w:rPr>
        <w:t xml:space="preserve"> </w:t>
      </w:r>
      <w:r>
        <w:rPr>
          <w:b/>
          <w:bCs/>
        </w:rPr>
        <w:t>ACO.</w:t>
      </w:r>
    </w:p>
    <w:p w:rsidR="002C5025" w:rsidRDefault="002C5025">
      <w:pPr>
        <w:pStyle w:val="BodyText"/>
        <w:kinsoku w:val="0"/>
        <w:overflowPunct w:val="0"/>
        <w:spacing w:before="194" w:line="276" w:lineRule="auto"/>
        <w:ind w:left="480" w:right="136"/>
      </w:pPr>
      <w:r>
        <w:t>The Medical Society appreciates that the waiver indicates that specialists will be able to participate in more than one ACO: we think this is vital to ensuring adequacy of networks for specialty care. Further, the Medical Society acknowledges the importance of ensuring that primary care physicians have a sense of loyalty to their patient’s ACO to ensure that care is coordinated and provided pursuant to the established network to the greatest degree possible. In light of this, the Medical Society offers the suggestion that some flexibility be provided for primary care physicians participating in multiple ACOs with the understanding that referrals will be made within the patients ACO to the degree possible. Some details would need further attention under such a proposal, such as clarifying to which ACO a patient would be assigned in their primary care physician belongs to multiple ACOs.</w:t>
      </w:r>
    </w:p>
    <w:p w:rsidR="002C5025" w:rsidRDefault="002C5025">
      <w:pPr>
        <w:pStyle w:val="BodyText"/>
        <w:numPr>
          <w:ilvl w:val="1"/>
          <w:numId w:val="32"/>
        </w:numPr>
        <w:tabs>
          <w:tab w:val="left" w:pos="480"/>
        </w:tabs>
        <w:kinsoku w:val="0"/>
        <w:overflowPunct w:val="0"/>
        <w:spacing w:before="197" w:line="276" w:lineRule="auto"/>
        <w:ind w:left="479" w:right="375"/>
        <w:rPr>
          <w:b/>
          <w:bCs/>
        </w:rPr>
      </w:pPr>
      <w:r>
        <w:rPr>
          <w:b/>
          <w:bCs/>
        </w:rPr>
        <w:t>MMS strongly supports many of the proposed uses of the DSRIP funding under the “ACO funding stream” but requests modification to ensure that funds are dispensed to hospitals and physician organizations</w:t>
      </w:r>
      <w:r>
        <w:rPr>
          <w:b/>
          <w:bCs/>
          <w:spacing w:val="-2"/>
        </w:rPr>
        <w:t xml:space="preserve"> </w:t>
      </w:r>
      <w:r>
        <w:rPr>
          <w:b/>
          <w:bCs/>
        </w:rPr>
        <w:t>of</w:t>
      </w:r>
      <w:r>
        <w:rPr>
          <w:b/>
          <w:bCs/>
          <w:spacing w:val="-3"/>
        </w:rPr>
        <w:t xml:space="preserve"> </w:t>
      </w:r>
      <w:r>
        <w:rPr>
          <w:b/>
          <w:bCs/>
        </w:rPr>
        <w:t>all</w:t>
      </w:r>
      <w:r>
        <w:rPr>
          <w:b/>
          <w:bCs/>
          <w:spacing w:val="-2"/>
        </w:rPr>
        <w:t xml:space="preserve"> </w:t>
      </w:r>
      <w:r>
        <w:rPr>
          <w:b/>
          <w:bCs/>
        </w:rPr>
        <w:t>sizes,</w:t>
      </w:r>
      <w:r>
        <w:rPr>
          <w:b/>
          <w:bCs/>
          <w:spacing w:val="-5"/>
        </w:rPr>
        <w:t xml:space="preserve"> </w:t>
      </w:r>
      <w:r>
        <w:rPr>
          <w:b/>
          <w:bCs/>
        </w:rPr>
        <w:t>with</w:t>
      </w:r>
      <w:r>
        <w:rPr>
          <w:b/>
          <w:bCs/>
          <w:spacing w:val="-4"/>
        </w:rPr>
        <w:t xml:space="preserve"> </w:t>
      </w:r>
      <w:r>
        <w:rPr>
          <w:b/>
          <w:bCs/>
        </w:rPr>
        <w:t>particular</w:t>
      </w:r>
      <w:r>
        <w:rPr>
          <w:b/>
          <w:bCs/>
          <w:spacing w:val="-5"/>
        </w:rPr>
        <w:t xml:space="preserve"> </w:t>
      </w:r>
      <w:r>
        <w:rPr>
          <w:b/>
          <w:bCs/>
        </w:rPr>
        <w:t>emphasis</w:t>
      </w:r>
      <w:r>
        <w:rPr>
          <w:b/>
          <w:bCs/>
          <w:spacing w:val="-5"/>
        </w:rPr>
        <w:t xml:space="preserve"> </w:t>
      </w:r>
      <w:r>
        <w:rPr>
          <w:b/>
          <w:bCs/>
        </w:rPr>
        <w:t>to</w:t>
      </w:r>
      <w:r>
        <w:rPr>
          <w:b/>
          <w:bCs/>
          <w:spacing w:val="-4"/>
        </w:rPr>
        <w:t xml:space="preserve"> </w:t>
      </w:r>
      <w:r>
        <w:rPr>
          <w:b/>
          <w:bCs/>
        </w:rPr>
        <w:t>small</w:t>
      </w:r>
      <w:r>
        <w:rPr>
          <w:b/>
          <w:bCs/>
          <w:spacing w:val="-2"/>
        </w:rPr>
        <w:t xml:space="preserve"> </w:t>
      </w:r>
      <w:r>
        <w:rPr>
          <w:b/>
          <w:bCs/>
        </w:rPr>
        <w:t>and</w:t>
      </w:r>
      <w:r>
        <w:rPr>
          <w:b/>
          <w:bCs/>
          <w:spacing w:val="-4"/>
        </w:rPr>
        <w:t xml:space="preserve"> </w:t>
      </w:r>
      <w:r>
        <w:rPr>
          <w:b/>
          <w:bCs/>
        </w:rPr>
        <w:t>medium-sized</w:t>
      </w:r>
      <w:r>
        <w:rPr>
          <w:b/>
          <w:bCs/>
          <w:spacing w:val="-6"/>
        </w:rPr>
        <w:t xml:space="preserve"> </w:t>
      </w:r>
      <w:r>
        <w:rPr>
          <w:b/>
          <w:bCs/>
        </w:rPr>
        <w:t>physician</w:t>
      </w:r>
      <w:r>
        <w:rPr>
          <w:b/>
          <w:bCs/>
          <w:spacing w:val="-4"/>
        </w:rPr>
        <w:t xml:space="preserve"> </w:t>
      </w:r>
      <w:r>
        <w:rPr>
          <w:b/>
          <w:bCs/>
        </w:rPr>
        <w:t>practices.</w:t>
      </w:r>
    </w:p>
    <w:p w:rsidR="002C5025" w:rsidRDefault="002C5025">
      <w:pPr>
        <w:pStyle w:val="BodyText"/>
        <w:kinsoku w:val="0"/>
        <w:overflowPunct w:val="0"/>
        <w:spacing w:before="2"/>
        <w:rPr>
          <w:b/>
          <w:bCs/>
          <w:sz w:val="25"/>
          <w:szCs w:val="25"/>
        </w:rPr>
      </w:pPr>
    </w:p>
    <w:p w:rsidR="002C5025" w:rsidRDefault="002C5025">
      <w:pPr>
        <w:pStyle w:val="BodyText"/>
        <w:kinsoku w:val="0"/>
        <w:overflowPunct w:val="0"/>
        <w:spacing w:line="276" w:lineRule="auto"/>
        <w:ind w:left="479" w:right="174"/>
      </w:pPr>
      <w:r>
        <w:t>The Medical Society welcomes the $1.8 billion requested to fund the many capital expenses required to properly transition to alternative payment models. It is often said that Massachusetts health care delivery systems are built on a fee-for-service chassis. Many expenses not imbedded in reimbursement will be required to help change the underlying structure needed to provide optimum population health and accountable care.</w:t>
      </w:r>
    </w:p>
    <w:p w:rsidR="002C5025" w:rsidRDefault="002C5025">
      <w:pPr>
        <w:pStyle w:val="BodyText"/>
        <w:kinsoku w:val="0"/>
        <w:overflowPunct w:val="0"/>
        <w:spacing w:before="197" w:line="276" w:lineRule="auto"/>
        <w:ind w:left="479" w:right="115"/>
      </w:pPr>
      <w:r>
        <w:t>Conceptually, the Medical Society strongly supports many of the proposed uses of the “ACO funding stream” DSRIP funds. Infrastructure funding to improve information technology, population health management capabilities, or to promote co-location and integration of behavioral health are all worthy uses of this money. However, in order for the DSRIP funding to truly inform care transformation to allow sufficient physician participation to provide network adequacy, the funding must reach the physician provider organizations who have the most acute capital needs. Small and medium sized physician organizations are often interested in joining ACOs but cannot due to their inability to comply with data reporting, or provide care coordination that adequately controls the costs of their patients. The Medical Society urges MassHealth to find specific venues or accountability structures to ensure DSRIP money flows to small and medium sized physician organizations. Participation of these physicians will be critical to the success the reform efforts.</w:t>
      </w:r>
    </w:p>
    <w:p w:rsidR="002C5025" w:rsidRDefault="002C5025">
      <w:pPr>
        <w:pStyle w:val="BodyText"/>
        <w:kinsoku w:val="0"/>
        <w:overflowPunct w:val="0"/>
        <w:spacing w:before="197" w:line="276" w:lineRule="auto"/>
        <w:ind w:left="479" w:right="115"/>
        <w:sectPr w:rsidR="002C5025">
          <w:pgSz w:w="12240" w:h="15840"/>
          <w:pgMar w:top="1260" w:right="440" w:bottom="280" w:left="1680" w:header="720" w:footer="720" w:gutter="0"/>
          <w:cols w:space="720"/>
          <w:noEndnote/>
        </w:sectPr>
      </w:pPr>
    </w:p>
    <w:p w:rsidR="002C5025" w:rsidRDefault="002C5025">
      <w:pPr>
        <w:pStyle w:val="BodyText"/>
        <w:numPr>
          <w:ilvl w:val="1"/>
          <w:numId w:val="32"/>
        </w:numPr>
        <w:tabs>
          <w:tab w:val="left" w:pos="480"/>
        </w:tabs>
        <w:kinsoku w:val="0"/>
        <w:overflowPunct w:val="0"/>
        <w:spacing w:before="33" w:line="276" w:lineRule="auto"/>
        <w:ind w:left="479" w:right="782" w:hanging="359"/>
        <w:rPr>
          <w:b/>
          <w:bCs/>
        </w:rPr>
      </w:pPr>
      <w:r>
        <w:rPr>
          <w:b/>
          <w:bCs/>
        </w:rPr>
        <w:lastRenderedPageBreak/>
        <w:t>The Medical Society strongly supports several other DSRIP funding purposes under the Statewide Investment funding</w:t>
      </w:r>
      <w:r>
        <w:rPr>
          <w:b/>
          <w:bCs/>
          <w:spacing w:val="-8"/>
        </w:rPr>
        <w:t xml:space="preserve"> </w:t>
      </w:r>
      <w:r>
        <w:rPr>
          <w:b/>
          <w:bCs/>
        </w:rPr>
        <w:t>stream.</w:t>
      </w:r>
    </w:p>
    <w:p w:rsidR="002C5025" w:rsidRDefault="002C5025">
      <w:pPr>
        <w:pStyle w:val="BodyText"/>
        <w:kinsoku w:val="0"/>
        <w:overflowPunct w:val="0"/>
        <w:spacing w:line="276" w:lineRule="auto"/>
        <w:ind w:left="479" w:right="450"/>
      </w:pPr>
      <w:r>
        <w:t>Specifically, MMS was pleased to see additional commitments to student loan repayment programs for full-time physicians employed at community health centers, in exchange for two year service commitment. Additionally, the Primary Care Integration Model which would fund one-year projects related to accountable care implementation, as well as the Alternative Payment Methods Preparation fund which would help aid physicians looking to transition from fee-for-service are both welcome proposals, though many of the sentiments conveyed in #6 above would apply to ensure this money is provided to all physician provider types.</w:t>
      </w:r>
    </w:p>
    <w:p w:rsidR="002C5025" w:rsidRDefault="002C5025">
      <w:pPr>
        <w:pStyle w:val="BodyText"/>
        <w:kinsoku w:val="0"/>
        <w:overflowPunct w:val="0"/>
        <w:spacing w:before="5"/>
        <w:rPr>
          <w:sz w:val="25"/>
          <w:szCs w:val="25"/>
        </w:rPr>
      </w:pPr>
    </w:p>
    <w:p w:rsidR="002C5025" w:rsidRDefault="002C5025">
      <w:pPr>
        <w:pStyle w:val="BodyText"/>
        <w:kinsoku w:val="0"/>
        <w:overflowPunct w:val="0"/>
        <w:spacing w:line="276" w:lineRule="auto"/>
        <w:ind w:left="479" w:right="189"/>
      </w:pPr>
      <w:r>
        <w:t>Lastly, the Medical Society believes the investment in primary care residency training is a vital component of the long-term sustainability of the MassHealth program.</w:t>
      </w:r>
    </w:p>
    <w:p w:rsidR="002C5025" w:rsidRDefault="002C5025">
      <w:pPr>
        <w:pStyle w:val="BodyText"/>
        <w:kinsoku w:val="0"/>
        <w:overflowPunct w:val="0"/>
        <w:spacing w:before="2"/>
        <w:rPr>
          <w:sz w:val="25"/>
          <w:szCs w:val="25"/>
        </w:rPr>
      </w:pPr>
    </w:p>
    <w:p w:rsidR="002C5025" w:rsidRDefault="002C5025">
      <w:pPr>
        <w:pStyle w:val="BodyText"/>
        <w:numPr>
          <w:ilvl w:val="1"/>
          <w:numId w:val="32"/>
        </w:numPr>
        <w:tabs>
          <w:tab w:val="left" w:pos="480"/>
        </w:tabs>
        <w:kinsoku w:val="0"/>
        <w:overflowPunct w:val="0"/>
        <w:spacing w:line="276" w:lineRule="auto"/>
        <w:ind w:left="479" w:right="174" w:hanging="359"/>
        <w:rPr>
          <w:b/>
          <w:bCs/>
        </w:rPr>
      </w:pPr>
      <w:r>
        <w:rPr>
          <w:b/>
          <w:bCs/>
        </w:rPr>
        <w:t>The Medical Society supports the promotion of oral health, as well as the emphasis on addressing social determinants of</w:t>
      </w:r>
      <w:r>
        <w:rPr>
          <w:b/>
          <w:bCs/>
          <w:spacing w:val="-7"/>
        </w:rPr>
        <w:t xml:space="preserve"> </w:t>
      </w:r>
      <w:r>
        <w:rPr>
          <w:b/>
          <w:bCs/>
        </w:rPr>
        <w:t>health.</w:t>
      </w:r>
    </w:p>
    <w:p w:rsidR="002C5025" w:rsidRDefault="002C5025">
      <w:pPr>
        <w:pStyle w:val="BodyText"/>
        <w:kinsoku w:val="0"/>
        <w:overflowPunct w:val="0"/>
        <w:rPr>
          <w:b/>
          <w:bCs/>
        </w:rPr>
      </w:pPr>
    </w:p>
    <w:p w:rsidR="002C5025" w:rsidRDefault="002C5025">
      <w:pPr>
        <w:pStyle w:val="BodyText"/>
        <w:kinsoku w:val="0"/>
        <w:overflowPunct w:val="0"/>
        <w:spacing w:before="6"/>
        <w:rPr>
          <w:b/>
          <w:bCs/>
          <w:sz w:val="19"/>
          <w:szCs w:val="19"/>
        </w:rPr>
      </w:pPr>
    </w:p>
    <w:p w:rsidR="002C5025" w:rsidRDefault="002C5025">
      <w:pPr>
        <w:pStyle w:val="BodyText"/>
        <w:kinsoku w:val="0"/>
        <w:overflowPunct w:val="0"/>
        <w:spacing w:line="276" w:lineRule="auto"/>
        <w:ind w:left="479" w:right="538"/>
      </w:pPr>
      <w:r>
        <w:t>MMS believes that oral health is an important component of the optimum health management of MassHealth patients. In 2009 the Commonwealth released a report, ‘The Status of Oral Disease in Massachusetts’ with a commitment to improving and promoting the oral health of our residents. Promoting good oral health improves overall health and nutrition, reduces costs, and can improve the quality of life of all individuals, especially underserved and vulnerable populations. MMS supports the emphasis placed on oral health, and encourages additional creative solutions through this waiver to improve the status of oral health and the integration of oral care in the Commonwealth.</w:t>
      </w:r>
    </w:p>
    <w:p w:rsidR="002C5025" w:rsidRDefault="002C5025">
      <w:pPr>
        <w:pStyle w:val="BodyText"/>
        <w:kinsoku w:val="0"/>
        <w:overflowPunct w:val="0"/>
        <w:spacing w:before="197" w:line="276" w:lineRule="auto"/>
        <w:ind w:left="479" w:right="116"/>
      </w:pPr>
      <w:r>
        <w:t>The Medical Society also supports the flexible spending serves as a means by which to improve the health of MassHealth enrollees and to address social determinants of health. The ability to use these funds for medically tailored meals, housing stabilization services, and employment supports provide great potential for evidence-based solutions to promote wellness. The Medical Society notes that additional flexibility on the ACO flexible spending criteria would be preferable: static “cost-effective” requirements may preclude well-established interventions such as housing stabilization and nutrition, which many not immediately conform to the current proposed requirements. The ability to use these funds for medically tailored meals, housing stabilization services, and employment supports would provide great potential for evidence-based health improvement interventions.</w:t>
      </w:r>
    </w:p>
    <w:p w:rsidR="002C5025" w:rsidRDefault="002C5025">
      <w:pPr>
        <w:pStyle w:val="BodyText"/>
        <w:kinsoku w:val="0"/>
        <w:overflowPunct w:val="0"/>
      </w:pPr>
    </w:p>
    <w:p w:rsidR="002C5025" w:rsidRDefault="002C5025">
      <w:pPr>
        <w:pStyle w:val="BodyText"/>
        <w:kinsoku w:val="0"/>
        <w:overflowPunct w:val="0"/>
        <w:spacing w:before="6"/>
        <w:rPr>
          <w:sz w:val="19"/>
          <w:szCs w:val="19"/>
        </w:rPr>
      </w:pPr>
    </w:p>
    <w:p w:rsidR="002C5025" w:rsidRDefault="002C5025">
      <w:pPr>
        <w:pStyle w:val="BodyText"/>
        <w:numPr>
          <w:ilvl w:val="1"/>
          <w:numId w:val="32"/>
        </w:numPr>
        <w:tabs>
          <w:tab w:val="left" w:pos="480"/>
        </w:tabs>
        <w:kinsoku w:val="0"/>
        <w:overflowPunct w:val="0"/>
        <w:spacing w:line="276" w:lineRule="auto"/>
        <w:ind w:left="479" w:right="627"/>
        <w:rPr>
          <w:b/>
          <w:bCs/>
        </w:rPr>
      </w:pPr>
      <w:r>
        <w:rPr>
          <w:b/>
          <w:bCs/>
        </w:rPr>
        <w:t>MassHealth should work with the Centers for Medicare and Medicaid Services to ensure maximum alignment with impending changes to the Medicare</w:t>
      </w:r>
      <w:r>
        <w:rPr>
          <w:b/>
          <w:bCs/>
          <w:spacing w:val="-21"/>
        </w:rPr>
        <w:t xml:space="preserve"> </w:t>
      </w:r>
      <w:r>
        <w:rPr>
          <w:b/>
          <w:bCs/>
        </w:rPr>
        <w:t>program.</w:t>
      </w:r>
    </w:p>
    <w:p w:rsidR="002C5025" w:rsidRDefault="002C5025">
      <w:pPr>
        <w:pStyle w:val="BodyText"/>
        <w:kinsoku w:val="0"/>
        <w:overflowPunct w:val="0"/>
        <w:spacing w:before="197" w:line="276" w:lineRule="auto"/>
        <w:ind w:left="479" w:right="358"/>
      </w:pPr>
      <w:r>
        <w:t>The Medical Society has been actively engaged with CMS to provide comment about MACRA, a similarly ambitious and complex payment reform proposal for Medicare. Alignment in payment and delivery structure and in quality and reporting metrics will be essential to ensuring ample participation and successful retention of physicians to provide care under each program.</w:t>
      </w:r>
    </w:p>
    <w:p w:rsidR="002C5025" w:rsidRDefault="002C5025">
      <w:pPr>
        <w:pStyle w:val="BodyText"/>
        <w:kinsoku w:val="0"/>
        <w:overflowPunct w:val="0"/>
        <w:spacing w:before="197" w:line="276" w:lineRule="auto"/>
        <w:ind w:left="479" w:right="358"/>
        <w:sectPr w:rsidR="002C5025">
          <w:pgSz w:w="12240" w:h="15840"/>
          <w:pgMar w:top="1260" w:right="420" w:bottom="280" w:left="1680" w:header="720" w:footer="720" w:gutter="0"/>
          <w:cols w:space="720" w:equalWidth="0">
            <w:col w:w="10140"/>
          </w:cols>
          <w:noEndnote/>
        </w:sectPr>
      </w:pPr>
    </w:p>
    <w:p w:rsidR="002C5025" w:rsidRDefault="002C5025">
      <w:pPr>
        <w:pStyle w:val="BodyText"/>
        <w:numPr>
          <w:ilvl w:val="1"/>
          <w:numId w:val="32"/>
        </w:numPr>
        <w:tabs>
          <w:tab w:val="left" w:pos="840"/>
        </w:tabs>
        <w:kinsoku w:val="0"/>
        <w:overflowPunct w:val="0"/>
        <w:spacing w:before="33" w:line="276" w:lineRule="auto"/>
        <w:ind w:left="839" w:right="694" w:hanging="359"/>
        <w:rPr>
          <w:b/>
          <w:bCs/>
        </w:rPr>
      </w:pPr>
      <w:r>
        <w:rPr>
          <w:b/>
          <w:bCs/>
        </w:rPr>
        <w:lastRenderedPageBreak/>
        <w:t>Much of the long-term success of health care delivery and payment reforms proposed in the 1115 waiver will ultimately rest upon the details of the implementation of the accountable care organizations.</w:t>
      </w:r>
    </w:p>
    <w:p w:rsidR="002C5025" w:rsidRDefault="002C5025">
      <w:pPr>
        <w:pStyle w:val="BodyText"/>
        <w:kinsoku w:val="0"/>
        <w:overflowPunct w:val="0"/>
        <w:spacing w:before="197" w:line="278" w:lineRule="auto"/>
        <w:ind w:left="839" w:right="833"/>
      </w:pPr>
      <w:r>
        <w:t>MMS acknowledges that many of these details are outlined in the Health Policy Commission’s ACO certification, for which we provided extensive comment.</w:t>
      </w:r>
    </w:p>
    <w:p w:rsidR="002C5025" w:rsidRDefault="002C5025">
      <w:pPr>
        <w:pStyle w:val="BodyText"/>
        <w:kinsoku w:val="0"/>
        <w:overflowPunct w:val="0"/>
        <w:spacing w:before="194" w:line="276" w:lineRule="auto"/>
        <w:ind w:left="839" w:right="116"/>
      </w:pPr>
      <w:r>
        <w:t>The best designed MassHealth ACO will not be a sustainable model if the global budgets are not set at adequate rates that include special risk adjustment not just for physical health status but for mental health co-morbidities, long-term support and service needs, and social determinants of health. Funding for these global budgets need to be sustained over time, and must adjust for increases in wages, supplies, etc. Funding for other support services, such as the flexible funds that can be used for housing vouchers and medically</w:t>
      </w:r>
      <w:r>
        <w:rPr>
          <w:spacing w:val="-2"/>
        </w:rPr>
        <w:t xml:space="preserve"> </w:t>
      </w:r>
      <w:r>
        <w:t>appropriate</w:t>
      </w:r>
      <w:r>
        <w:rPr>
          <w:spacing w:val="-2"/>
        </w:rPr>
        <w:t xml:space="preserve"> </w:t>
      </w:r>
      <w:r>
        <w:t>foods,</w:t>
      </w:r>
      <w:r>
        <w:rPr>
          <w:spacing w:val="-3"/>
        </w:rPr>
        <w:t xml:space="preserve"> </w:t>
      </w:r>
      <w:r>
        <w:t>must</w:t>
      </w:r>
      <w:r>
        <w:rPr>
          <w:spacing w:val="-2"/>
        </w:rPr>
        <w:t xml:space="preserve"> </w:t>
      </w:r>
      <w:r>
        <w:t>be</w:t>
      </w:r>
      <w:r>
        <w:rPr>
          <w:spacing w:val="-5"/>
        </w:rPr>
        <w:t xml:space="preserve"> </w:t>
      </w:r>
      <w:r>
        <w:t>sustained</w:t>
      </w:r>
      <w:r>
        <w:rPr>
          <w:spacing w:val="-4"/>
        </w:rPr>
        <w:t xml:space="preserve"> </w:t>
      </w:r>
      <w:r>
        <w:t>as</w:t>
      </w:r>
      <w:r>
        <w:rPr>
          <w:spacing w:val="-5"/>
        </w:rPr>
        <w:t xml:space="preserve"> </w:t>
      </w:r>
      <w:r>
        <w:t>separate</w:t>
      </w:r>
      <w:r>
        <w:rPr>
          <w:spacing w:val="-2"/>
        </w:rPr>
        <w:t xml:space="preserve"> </w:t>
      </w:r>
      <w:r>
        <w:t>funding</w:t>
      </w:r>
      <w:r>
        <w:rPr>
          <w:spacing w:val="-4"/>
        </w:rPr>
        <w:t xml:space="preserve"> </w:t>
      </w:r>
      <w:r>
        <w:t>streams</w:t>
      </w:r>
      <w:r>
        <w:rPr>
          <w:spacing w:val="-5"/>
        </w:rPr>
        <w:t xml:space="preserve"> </w:t>
      </w:r>
      <w:r>
        <w:t>in</w:t>
      </w:r>
      <w:r>
        <w:rPr>
          <w:spacing w:val="-4"/>
        </w:rPr>
        <w:t xml:space="preserve"> </w:t>
      </w:r>
      <w:r>
        <w:t>the</w:t>
      </w:r>
      <w:r>
        <w:rPr>
          <w:spacing w:val="-2"/>
        </w:rPr>
        <w:t xml:space="preserve"> </w:t>
      </w:r>
      <w:r>
        <w:t>long-term,</w:t>
      </w:r>
      <w:r>
        <w:rPr>
          <w:spacing w:val="-3"/>
        </w:rPr>
        <w:t xml:space="preserve"> </w:t>
      </w:r>
      <w:r>
        <w:t>as</w:t>
      </w:r>
      <w:r>
        <w:rPr>
          <w:spacing w:val="-5"/>
        </w:rPr>
        <w:t xml:space="preserve"> </w:t>
      </w:r>
      <w:r>
        <w:t>well.</w:t>
      </w:r>
    </w:p>
    <w:p w:rsidR="002C5025" w:rsidRDefault="002C5025">
      <w:pPr>
        <w:pStyle w:val="BodyText"/>
        <w:kinsoku w:val="0"/>
        <w:overflowPunct w:val="0"/>
        <w:spacing w:before="5"/>
        <w:rPr>
          <w:sz w:val="25"/>
          <w:szCs w:val="25"/>
        </w:rPr>
      </w:pPr>
    </w:p>
    <w:p w:rsidR="002C5025" w:rsidRDefault="002C5025">
      <w:pPr>
        <w:pStyle w:val="BodyText"/>
        <w:kinsoku w:val="0"/>
        <w:overflowPunct w:val="0"/>
        <w:spacing w:line="276" w:lineRule="auto"/>
        <w:ind w:left="839" w:right="297"/>
      </w:pPr>
      <w:r>
        <w:t>Additionally, the quality and reporting standards should be consistent with other payers including Medicare, and physicians should be informed of the performance measurement expectations of an ACO, in order to best determine if they can meet or exceed expected quality</w:t>
      </w:r>
    </w:p>
    <w:p w:rsidR="002C5025" w:rsidRDefault="002C5025">
      <w:pPr>
        <w:pStyle w:val="BodyText"/>
        <w:kinsoku w:val="0"/>
        <w:overflowPunct w:val="0"/>
        <w:ind w:left="839" w:right="355"/>
      </w:pPr>
      <w:r>
        <w:t>and performance benchmarks that are outlined by the ACO.</w:t>
      </w:r>
    </w:p>
    <w:p w:rsidR="002C5025" w:rsidRDefault="002C5025">
      <w:pPr>
        <w:pStyle w:val="BodyText"/>
        <w:kinsoku w:val="0"/>
        <w:overflowPunct w:val="0"/>
      </w:pPr>
    </w:p>
    <w:p w:rsidR="002C5025" w:rsidRDefault="002C5025">
      <w:pPr>
        <w:pStyle w:val="BodyText"/>
        <w:kinsoku w:val="0"/>
        <w:overflowPunct w:val="0"/>
        <w:rPr>
          <w:sz w:val="23"/>
          <w:szCs w:val="23"/>
        </w:rPr>
      </w:pPr>
    </w:p>
    <w:p w:rsidR="002C5025" w:rsidRDefault="002C5025">
      <w:pPr>
        <w:pStyle w:val="BodyText"/>
        <w:kinsoku w:val="0"/>
        <w:overflowPunct w:val="0"/>
        <w:spacing w:line="276" w:lineRule="auto"/>
        <w:ind w:left="119" w:right="763"/>
      </w:pPr>
      <w:r>
        <w:t>The Medical Society greatly appreciates the opportunity to provide these comments, and welcomes further discussion of any of these considerations.</w:t>
      </w:r>
    </w:p>
    <w:p w:rsidR="002C5025" w:rsidRDefault="002C5025">
      <w:pPr>
        <w:pStyle w:val="BodyText"/>
        <w:kinsoku w:val="0"/>
        <w:overflowPunct w:val="0"/>
        <w:spacing w:line="276" w:lineRule="auto"/>
        <w:ind w:left="119" w:right="763"/>
        <w:sectPr w:rsidR="002C5025">
          <w:pgSz w:w="12240" w:h="15840"/>
          <w:pgMar w:top="1260" w:right="420" w:bottom="280" w:left="1320" w:header="720" w:footer="720" w:gutter="0"/>
          <w:cols w:space="720" w:equalWidth="0">
            <w:col w:w="10500"/>
          </w:cols>
          <w:noEndnote/>
        </w:sectPr>
      </w:pPr>
    </w:p>
    <w:p w:rsidR="002C5025" w:rsidRDefault="002C5025">
      <w:pPr>
        <w:pStyle w:val="BodyText"/>
        <w:kinsoku w:val="0"/>
        <w:overflowPunct w:val="0"/>
        <w:spacing w:before="7"/>
        <w:rPr>
          <w:sz w:val="17"/>
          <w:szCs w:val="17"/>
        </w:rPr>
      </w:pPr>
    </w:p>
    <w:p w:rsidR="002C5025" w:rsidRDefault="00FB027C">
      <w:pPr>
        <w:pStyle w:val="BodyText"/>
        <w:kinsoku w:val="0"/>
        <w:overflowPunct w:val="0"/>
        <w:spacing w:before="76" w:line="288" w:lineRule="auto"/>
        <w:ind w:left="7241" w:right="573" w:firstLine="1533"/>
        <w:jc w:val="right"/>
        <w:rPr>
          <w:rFonts w:ascii="Arial" w:hAnsi="Arial" w:cs="Arial"/>
          <w:sz w:val="19"/>
          <w:szCs w:val="19"/>
        </w:rPr>
      </w:pPr>
      <w:r>
        <w:rPr>
          <w:noProof/>
        </w:rPr>
        <mc:AlternateContent>
          <mc:Choice Requires="wps">
            <w:drawing>
              <wp:anchor distT="0" distB="0" distL="114300" distR="114300" simplePos="0" relativeHeight="251727360" behindDoc="0" locked="0" layoutInCell="0" allowOverlap="1">
                <wp:simplePos x="0" y="0"/>
                <wp:positionH relativeFrom="page">
                  <wp:posOffset>335280</wp:posOffset>
                </wp:positionH>
                <wp:positionV relativeFrom="paragraph">
                  <wp:posOffset>-132715</wp:posOffset>
                </wp:positionV>
                <wp:extent cx="3086100" cy="647700"/>
                <wp:effectExtent l="0" t="0" r="0" b="0"/>
                <wp:wrapNone/>
                <wp:docPr id="313" name="Rectangle 7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1020" w:lineRule="atLeast"/>
                            </w:pPr>
                            <w:r>
                              <w:rPr>
                                <w:noProof/>
                              </w:rPr>
                              <w:drawing>
                                <wp:inline distT="0" distB="0" distL="0" distR="0">
                                  <wp:extent cx="3086100" cy="647700"/>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472">
                                            <a:extLst>
                                              <a:ext uri="{28A0092B-C50C-407E-A947-70E740481C1C}">
                                                <a14:useLocalDpi xmlns:a14="http://schemas.microsoft.com/office/drawing/2010/main" val="0"/>
                                              </a:ext>
                                            </a:extLst>
                                          </a:blip>
                                          <a:srcRect/>
                                          <a:stretch>
                                            <a:fillRect/>
                                          </a:stretch>
                                        </pic:blipFill>
                                        <pic:spPr bwMode="auto">
                                          <a:xfrm>
                                            <a:off x="0" y="0"/>
                                            <a:ext cx="3086100" cy="647700"/>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2" o:spid="_x0000_s1244" style="position:absolute;left:0;text-align:left;margin-left:26.4pt;margin-top:-10.45pt;width:243pt;height:51pt;z-index:251727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" o:allowincell="f" filled="f" stroked="f">
                <v:textbox inset="0,0,0,0">
                  <w:txbxContent>
                    <w:p w:rsidR="007B2B7B" w:rsidRDefault="007B2B7B">
                      <w:pPr>
                        <w:widowControl/>
                        <w:autoSpaceDE/>
                        <w:autoSpaceDN/>
                        <w:adjustRightInd/>
                        <w:spacing w:line="1020" w:lineRule="atLeast"/>
                      </w:pPr>
                      <w:r>
                        <w:rPr>
                          <w:noProof/>
                        </w:rPr>
                        <w:drawing>
                          <wp:inline distT="0" distB="0" distL="0" distR="0">
                            <wp:extent cx="3086100" cy="647700"/>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473">
                                      <a:extLst>
                                        <a:ext uri="{28A0092B-C50C-407E-A947-70E740481C1C}">
                                          <a14:useLocalDpi xmlns:a14="http://schemas.microsoft.com/office/drawing/2010/main" val="0"/>
                                        </a:ext>
                                      </a:extLst>
                                    </a:blip>
                                    <a:srcRect/>
                                    <a:stretch>
                                      <a:fillRect/>
                                    </a:stretch>
                                  </pic:blipFill>
                                  <pic:spPr bwMode="auto">
                                    <a:xfrm>
                                      <a:off x="0" y="0"/>
                                      <a:ext cx="3086100" cy="647700"/>
                                    </a:xfrm>
                                    <a:prstGeom prst="rect">
                                      <a:avLst/>
                                    </a:prstGeom>
                                    <a:noFill/>
                                    <a:ln>
                                      <a:noFill/>
                                    </a:ln>
                                  </pic:spPr>
                                </pic:pic>
                              </a:graphicData>
                            </a:graphic>
                          </wp:inline>
                        </w:drawing>
                      </w:r>
                    </w:p>
                    <w:p w:rsidR="007B2B7B" w:rsidRDefault="007B2B7B"/>
                  </w:txbxContent>
                </v:textbox>
                <w10:wrap anchorx="page"/>
              </v:rect>
            </w:pict>
          </mc:Fallback>
        </mc:AlternateContent>
      </w:r>
      <w:bookmarkStart w:id="210" w:name="MA_Neuropsychological_Society_MassHealth"/>
      <w:bookmarkEnd w:id="210"/>
      <w:r w:rsidR="002C5025">
        <w:rPr>
          <w:rFonts w:ascii="Arial" w:hAnsi="Arial" w:cs="Arial"/>
          <w:sz w:val="19"/>
          <w:szCs w:val="19"/>
        </w:rPr>
        <w:t>P.O. Box 523 Sudbury, MA 01776</w:t>
      </w:r>
      <w:r w:rsidR="002C5025">
        <w:rPr>
          <w:rFonts w:ascii="Arial" w:hAnsi="Arial" w:cs="Arial"/>
          <w:w w:val="99"/>
          <w:sz w:val="19"/>
          <w:szCs w:val="19"/>
        </w:rPr>
        <w:t xml:space="preserve"> </w:t>
      </w:r>
      <w:r w:rsidR="002C5025">
        <w:rPr>
          <w:rFonts w:ascii="Arial" w:hAnsi="Arial" w:cs="Arial"/>
          <w:sz w:val="19"/>
          <w:szCs w:val="19"/>
        </w:rPr>
        <w:t xml:space="preserve">(617) 531-1413 · </w:t>
      </w:r>
      <w:hyperlink r:id="rId474" w:history="1">
        <w:r w:rsidR="002C5025">
          <w:rPr>
            <w:rFonts w:ascii="Arial" w:hAnsi="Arial" w:cs="Arial"/>
            <w:sz w:val="19"/>
            <w:szCs w:val="19"/>
          </w:rPr>
          <w:t>admin@massneuropsychology.org</w:t>
        </w:r>
      </w:hyperlink>
    </w:p>
    <w:p w:rsidR="002C5025" w:rsidRDefault="00FB027C">
      <w:pPr>
        <w:pStyle w:val="BodyText"/>
        <w:kinsoku w:val="0"/>
        <w:overflowPunct w:val="0"/>
        <w:spacing w:before="3"/>
        <w:ind w:right="550"/>
        <w:jc w:val="right"/>
        <w:rPr>
          <w:rFonts w:ascii="Arial" w:hAnsi="Arial" w:cs="Arial"/>
          <w:color w:val="00ADEF"/>
          <w:sz w:val="19"/>
          <w:szCs w:val="19"/>
        </w:rPr>
      </w:pPr>
      <w:r>
        <w:rPr>
          <w:noProof/>
        </w:rPr>
        <mc:AlternateContent>
          <mc:Choice Requires="wps">
            <w:drawing>
              <wp:anchor distT="0" distB="0" distL="114300" distR="114300" simplePos="0" relativeHeight="251728384" behindDoc="0" locked="0" layoutInCell="0" allowOverlap="1">
                <wp:simplePos x="0" y="0"/>
                <wp:positionH relativeFrom="page">
                  <wp:posOffset>0</wp:posOffset>
                </wp:positionH>
                <wp:positionV relativeFrom="paragraph">
                  <wp:posOffset>236855</wp:posOffset>
                </wp:positionV>
                <wp:extent cx="7772400" cy="12700"/>
                <wp:effectExtent l="0" t="0" r="0" b="0"/>
                <wp:wrapNone/>
                <wp:docPr id="312" name="Rectangle 7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20" w:lineRule="atLeast"/>
                            </w:pPr>
                            <w:r>
                              <w:rPr>
                                <w:noProof/>
                              </w:rPr>
                              <w:drawing>
                                <wp:inline distT="0" distB="0" distL="0" distR="0">
                                  <wp:extent cx="7772400" cy="9525"/>
                                  <wp:effectExtent l="0" t="0" r="0" b="9525"/>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475">
                                            <a:extLst>
                                              <a:ext uri="{28A0092B-C50C-407E-A947-70E740481C1C}">
                                                <a14:useLocalDpi xmlns:a14="http://schemas.microsoft.com/office/drawing/2010/main" val="0"/>
                                              </a:ext>
                                            </a:extLst>
                                          </a:blip>
                                          <a:srcRect/>
                                          <a:stretch>
                                            <a:fillRect/>
                                          </a:stretch>
                                        </pic:blipFill>
                                        <pic:spPr bwMode="auto">
                                          <a:xfrm>
                                            <a:off x="0" y="0"/>
                                            <a:ext cx="7772400" cy="9525"/>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3" o:spid="_x0000_s1245" style="position:absolute;left:0;text-align:left;margin-left:0;margin-top:18.65pt;width:612pt;height:1pt;z-index:251728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" o:allowincell="f" filled="f" stroked="f">
                <v:textbox inset="0,0,0,0">
                  <w:txbxContent>
                    <w:p w:rsidR="007B2B7B" w:rsidRDefault="007B2B7B">
                      <w:pPr>
                        <w:widowControl/>
                        <w:autoSpaceDE/>
                        <w:autoSpaceDN/>
                        <w:adjustRightInd/>
                        <w:spacing w:line="20" w:lineRule="atLeast"/>
                      </w:pPr>
                      <w:r>
                        <w:rPr>
                          <w:noProof/>
                        </w:rPr>
                        <w:drawing>
                          <wp:inline distT="0" distB="0" distL="0" distR="0">
                            <wp:extent cx="7772400" cy="9525"/>
                            <wp:effectExtent l="0" t="0" r="0" b="9525"/>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476">
                                      <a:extLst>
                                        <a:ext uri="{28A0092B-C50C-407E-A947-70E740481C1C}">
                                          <a14:useLocalDpi xmlns:a14="http://schemas.microsoft.com/office/drawing/2010/main" val="0"/>
                                        </a:ext>
                                      </a:extLst>
                                    </a:blip>
                                    <a:srcRect/>
                                    <a:stretch>
                                      <a:fillRect/>
                                    </a:stretch>
                                  </pic:blipFill>
                                  <pic:spPr bwMode="auto">
                                    <a:xfrm>
                                      <a:off x="0" y="0"/>
                                      <a:ext cx="7772400" cy="9525"/>
                                    </a:xfrm>
                                    <a:prstGeom prst="rect">
                                      <a:avLst/>
                                    </a:prstGeom>
                                    <a:noFill/>
                                    <a:ln>
                                      <a:noFill/>
                                    </a:ln>
                                  </pic:spPr>
                                </pic:pic>
                              </a:graphicData>
                            </a:graphic>
                          </wp:inline>
                        </w:drawing>
                      </w:r>
                    </w:p>
                    <w:p w:rsidR="007B2B7B" w:rsidRDefault="007B2B7B"/>
                  </w:txbxContent>
                </v:textbox>
                <w10:wrap anchorx="page"/>
              </v:rect>
            </w:pict>
          </mc:Fallback>
        </mc:AlternateContent>
      </w:r>
      <w:hyperlink r:id="rId477" w:history="1">
        <w:r w:rsidR="002C5025">
          <w:rPr>
            <w:rFonts w:ascii="Arial" w:hAnsi="Arial" w:cs="Arial"/>
            <w:color w:val="00ADEF"/>
            <w:sz w:val="19"/>
            <w:szCs w:val="19"/>
          </w:rPr>
          <w:t>www.massneuropsychology.org</w:t>
        </w:r>
      </w:hyperlink>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9"/>
        <w:rPr>
          <w:rFonts w:ascii="Arial" w:hAnsi="Arial" w:cs="Arial"/>
          <w:sz w:val="16"/>
          <w:szCs w:val="16"/>
        </w:rPr>
      </w:pPr>
    </w:p>
    <w:p w:rsidR="002C5025" w:rsidRDefault="002C5025">
      <w:pPr>
        <w:pStyle w:val="BodyText"/>
        <w:kinsoku w:val="0"/>
        <w:overflowPunct w:val="0"/>
        <w:spacing w:before="9"/>
        <w:rPr>
          <w:rFonts w:ascii="Arial" w:hAnsi="Arial" w:cs="Arial"/>
          <w:sz w:val="16"/>
          <w:szCs w:val="16"/>
        </w:rPr>
        <w:sectPr w:rsidR="002C5025">
          <w:pgSz w:w="12240" w:h="15840"/>
          <w:pgMar w:top="700" w:right="0" w:bottom="0" w:left="0" w:header="720" w:footer="720" w:gutter="0"/>
          <w:cols w:space="720" w:equalWidth="0">
            <w:col w:w="12240"/>
          </w:cols>
          <w:noEndnote/>
        </w:sectPr>
      </w:pPr>
    </w:p>
    <w:p w:rsidR="002C5025" w:rsidRDefault="002C5025">
      <w:pPr>
        <w:pStyle w:val="BodyText"/>
        <w:kinsoku w:val="0"/>
        <w:overflowPunct w:val="0"/>
        <w:rPr>
          <w:rFonts w:ascii="Arial" w:hAnsi="Arial" w:cs="Arial"/>
          <w:sz w:val="16"/>
          <w:szCs w:val="16"/>
        </w:rPr>
      </w:pPr>
    </w:p>
    <w:p w:rsidR="002C5025" w:rsidRDefault="002C5025">
      <w:pPr>
        <w:pStyle w:val="BodyText"/>
        <w:kinsoku w:val="0"/>
        <w:overflowPunct w:val="0"/>
        <w:spacing w:before="7"/>
        <w:rPr>
          <w:rFonts w:ascii="Arial" w:hAnsi="Arial" w:cs="Arial"/>
          <w:sz w:val="20"/>
          <w:szCs w:val="20"/>
        </w:rPr>
      </w:pPr>
    </w:p>
    <w:p w:rsidR="002C5025" w:rsidRDefault="00FB027C">
      <w:pPr>
        <w:pStyle w:val="BodyText"/>
        <w:kinsoku w:val="0"/>
        <w:overflowPunct w:val="0"/>
        <w:ind w:left="549" w:right="146"/>
        <w:jc w:val="center"/>
        <w:rPr>
          <w:rFonts w:ascii="Arial" w:hAnsi="Arial" w:cs="Arial"/>
          <w:b/>
          <w:bCs/>
          <w:sz w:val="16"/>
          <w:szCs w:val="16"/>
        </w:rPr>
      </w:pPr>
      <w:r>
        <w:rPr>
          <w:noProof/>
        </w:rPr>
        <mc:AlternateContent>
          <mc:Choice Requires="wps">
            <w:drawing>
              <wp:anchor distT="0" distB="0" distL="114300" distR="114300" simplePos="0" relativeHeight="251729408" behindDoc="0" locked="0" layoutInCell="0" allowOverlap="1">
                <wp:simplePos x="0" y="0"/>
                <wp:positionH relativeFrom="page">
                  <wp:posOffset>2426335</wp:posOffset>
                </wp:positionH>
                <wp:positionV relativeFrom="paragraph">
                  <wp:posOffset>-221615</wp:posOffset>
                </wp:positionV>
                <wp:extent cx="0" cy="8636000"/>
                <wp:effectExtent l="0" t="0" r="0" b="0"/>
                <wp:wrapNone/>
                <wp:docPr id="311" name="Rectangle 7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8636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13600" w:lineRule="atLeast"/>
                            </w:pPr>
                            <w:r>
                              <w:rPr>
                                <w:noProof/>
                              </w:rPr>
                              <w:drawing>
                                <wp:inline distT="0" distB="0" distL="0" distR="0">
                                  <wp:extent cx="9525" cy="8639175"/>
                                  <wp:effectExtent l="0" t="0" r="9525" b="952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478">
                                            <a:extLst>
                                              <a:ext uri="{28A0092B-C50C-407E-A947-70E740481C1C}">
                                                <a14:useLocalDpi xmlns:a14="http://schemas.microsoft.com/office/drawing/2010/main" val="0"/>
                                              </a:ext>
                                            </a:extLst>
                                          </a:blip>
                                          <a:srcRect/>
                                          <a:stretch>
                                            <a:fillRect/>
                                          </a:stretch>
                                        </pic:blipFill>
                                        <pic:spPr bwMode="auto">
                                          <a:xfrm>
                                            <a:off x="0" y="0"/>
                                            <a:ext cx="9525" cy="8639175"/>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4" o:spid="_x0000_s1246" style="position:absolute;left:0;text-align:left;margin-left:191.05pt;margin-top:-17.45pt;width:0;height:680pt;z-index:251729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" o:allowincell="f" filled="f" stroked="f">
                <v:textbox inset="0,0,0,0">
                  <w:txbxContent>
                    <w:p w:rsidR="007B2B7B" w:rsidRDefault="007B2B7B">
                      <w:pPr>
                        <w:widowControl/>
                        <w:autoSpaceDE/>
                        <w:autoSpaceDN/>
                        <w:adjustRightInd/>
                        <w:spacing w:line="13600" w:lineRule="atLeast"/>
                      </w:pPr>
                      <w:r>
                        <w:rPr>
                          <w:noProof/>
                        </w:rPr>
                        <w:drawing>
                          <wp:inline distT="0" distB="0" distL="0" distR="0">
                            <wp:extent cx="9525" cy="8639175"/>
                            <wp:effectExtent l="0" t="0" r="9525" b="952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479">
                                      <a:extLst>
                                        <a:ext uri="{28A0092B-C50C-407E-A947-70E740481C1C}">
                                          <a14:useLocalDpi xmlns:a14="http://schemas.microsoft.com/office/drawing/2010/main" val="0"/>
                                        </a:ext>
                                      </a:extLst>
                                    </a:blip>
                                    <a:srcRect/>
                                    <a:stretch>
                                      <a:fillRect/>
                                    </a:stretch>
                                  </pic:blipFill>
                                  <pic:spPr bwMode="auto">
                                    <a:xfrm>
                                      <a:off x="0" y="0"/>
                                      <a:ext cx="9525" cy="8639175"/>
                                    </a:xfrm>
                                    <a:prstGeom prst="rect">
                                      <a:avLst/>
                                    </a:prstGeom>
                                    <a:noFill/>
                                    <a:ln>
                                      <a:noFill/>
                                    </a:ln>
                                  </pic:spPr>
                                </pic:pic>
                              </a:graphicData>
                            </a:graphic>
                          </wp:inline>
                        </w:drawing>
                      </w:r>
                    </w:p>
                    <w:p w:rsidR="007B2B7B" w:rsidRDefault="007B2B7B"/>
                  </w:txbxContent>
                </v:textbox>
                <w10:wrap anchorx="page"/>
              </v:rect>
            </w:pict>
          </mc:Fallback>
        </mc:AlternateContent>
      </w:r>
      <w:r w:rsidR="002C5025">
        <w:rPr>
          <w:rFonts w:ascii="Arial" w:hAnsi="Arial" w:cs="Arial"/>
          <w:b/>
          <w:bCs/>
          <w:sz w:val="16"/>
          <w:szCs w:val="16"/>
        </w:rPr>
        <w:t>PRESIDENT</w:t>
      </w:r>
    </w:p>
    <w:p w:rsidR="002C5025" w:rsidRDefault="002C5025">
      <w:pPr>
        <w:pStyle w:val="BodyText"/>
        <w:kinsoku w:val="0"/>
        <w:overflowPunct w:val="0"/>
        <w:spacing w:before="1"/>
        <w:rPr>
          <w:rFonts w:ascii="Arial" w:hAnsi="Arial" w:cs="Arial"/>
          <w:b/>
          <w:bCs/>
          <w:sz w:val="16"/>
          <w:szCs w:val="16"/>
        </w:rPr>
      </w:pPr>
    </w:p>
    <w:p w:rsidR="002C5025" w:rsidRDefault="002C5025">
      <w:pPr>
        <w:pStyle w:val="BodyText"/>
        <w:kinsoku w:val="0"/>
        <w:overflowPunct w:val="0"/>
        <w:ind w:left="549" w:right="146"/>
        <w:jc w:val="center"/>
        <w:rPr>
          <w:rFonts w:ascii="Arial" w:hAnsi="Arial" w:cs="Arial"/>
          <w:sz w:val="16"/>
          <w:szCs w:val="16"/>
        </w:rPr>
      </w:pPr>
      <w:r>
        <w:rPr>
          <w:rFonts w:ascii="Arial" w:hAnsi="Arial" w:cs="Arial"/>
          <w:sz w:val="16"/>
          <w:szCs w:val="16"/>
        </w:rPr>
        <w:t>MARY COAKLEY-WELCH, PH.D.</w:t>
      </w:r>
    </w:p>
    <w:p w:rsidR="002C5025" w:rsidRDefault="002C5025">
      <w:pPr>
        <w:pStyle w:val="BodyText"/>
        <w:kinsoku w:val="0"/>
        <w:overflowPunct w:val="0"/>
        <w:rPr>
          <w:rFonts w:ascii="Arial" w:hAnsi="Arial" w:cs="Arial"/>
          <w:sz w:val="16"/>
          <w:szCs w:val="16"/>
        </w:rPr>
      </w:pPr>
    </w:p>
    <w:p w:rsidR="002C5025" w:rsidRDefault="002C5025">
      <w:pPr>
        <w:pStyle w:val="BodyText"/>
        <w:kinsoku w:val="0"/>
        <w:overflowPunct w:val="0"/>
        <w:rPr>
          <w:rFonts w:ascii="Arial" w:hAnsi="Arial" w:cs="Arial"/>
          <w:sz w:val="16"/>
          <w:szCs w:val="16"/>
        </w:rPr>
      </w:pPr>
    </w:p>
    <w:p w:rsidR="002C5025" w:rsidRDefault="002C5025">
      <w:pPr>
        <w:pStyle w:val="BodyText"/>
        <w:kinsoku w:val="0"/>
        <w:overflowPunct w:val="0"/>
        <w:spacing w:before="9"/>
        <w:rPr>
          <w:rFonts w:ascii="Arial" w:hAnsi="Arial" w:cs="Arial"/>
          <w:sz w:val="15"/>
          <w:szCs w:val="15"/>
        </w:rPr>
      </w:pPr>
    </w:p>
    <w:p w:rsidR="002C5025" w:rsidRDefault="002C5025">
      <w:pPr>
        <w:pStyle w:val="BodyText"/>
        <w:kinsoku w:val="0"/>
        <w:overflowPunct w:val="0"/>
        <w:spacing w:before="1"/>
        <w:ind w:left="549" w:right="146"/>
        <w:jc w:val="center"/>
        <w:rPr>
          <w:rFonts w:ascii="Arial" w:hAnsi="Arial" w:cs="Arial"/>
          <w:b/>
          <w:bCs/>
          <w:sz w:val="16"/>
          <w:szCs w:val="16"/>
        </w:rPr>
      </w:pPr>
      <w:r>
        <w:rPr>
          <w:rFonts w:ascii="Arial" w:hAnsi="Arial" w:cs="Arial"/>
          <w:b/>
          <w:bCs/>
          <w:sz w:val="16"/>
          <w:szCs w:val="16"/>
        </w:rPr>
        <w:t>PRESIDENT-ELECT &amp; SECRETARY</w:t>
      </w:r>
    </w:p>
    <w:p w:rsidR="002C5025" w:rsidRDefault="002C5025">
      <w:pPr>
        <w:pStyle w:val="BodyText"/>
        <w:kinsoku w:val="0"/>
        <w:overflowPunct w:val="0"/>
        <w:spacing w:before="1"/>
        <w:rPr>
          <w:rFonts w:ascii="Arial" w:hAnsi="Arial" w:cs="Arial"/>
          <w:b/>
          <w:bCs/>
          <w:sz w:val="16"/>
          <w:szCs w:val="16"/>
        </w:rPr>
      </w:pPr>
    </w:p>
    <w:p w:rsidR="002C5025" w:rsidRDefault="002C5025">
      <w:pPr>
        <w:pStyle w:val="BodyText"/>
        <w:kinsoku w:val="0"/>
        <w:overflowPunct w:val="0"/>
        <w:ind w:left="550" w:right="146"/>
        <w:jc w:val="center"/>
        <w:rPr>
          <w:rFonts w:ascii="Arial" w:hAnsi="Arial" w:cs="Arial"/>
          <w:sz w:val="16"/>
          <w:szCs w:val="16"/>
        </w:rPr>
      </w:pPr>
      <w:r>
        <w:rPr>
          <w:rFonts w:ascii="Arial" w:hAnsi="Arial" w:cs="Arial"/>
          <w:sz w:val="16"/>
          <w:szCs w:val="16"/>
        </w:rPr>
        <w:t>LORI AZZARA, PSY.D.</w:t>
      </w:r>
    </w:p>
    <w:p w:rsidR="002C5025" w:rsidRDefault="002C5025">
      <w:pPr>
        <w:pStyle w:val="BodyText"/>
        <w:kinsoku w:val="0"/>
        <w:overflowPunct w:val="0"/>
        <w:rPr>
          <w:rFonts w:ascii="Arial" w:hAnsi="Arial" w:cs="Arial"/>
          <w:sz w:val="16"/>
          <w:szCs w:val="16"/>
        </w:rPr>
      </w:pPr>
    </w:p>
    <w:p w:rsidR="002C5025" w:rsidRDefault="002C5025">
      <w:pPr>
        <w:pStyle w:val="BodyText"/>
        <w:kinsoku w:val="0"/>
        <w:overflowPunct w:val="0"/>
        <w:rPr>
          <w:rFonts w:ascii="Arial" w:hAnsi="Arial" w:cs="Arial"/>
          <w:sz w:val="16"/>
          <w:szCs w:val="16"/>
        </w:rPr>
      </w:pPr>
    </w:p>
    <w:p w:rsidR="002C5025" w:rsidRDefault="002C5025">
      <w:pPr>
        <w:pStyle w:val="BodyText"/>
        <w:kinsoku w:val="0"/>
        <w:overflowPunct w:val="0"/>
        <w:spacing w:before="9"/>
        <w:rPr>
          <w:rFonts w:ascii="Arial" w:hAnsi="Arial" w:cs="Arial"/>
          <w:sz w:val="15"/>
          <w:szCs w:val="15"/>
        </w:rPr>
      </w:pPr>
    </w:p>
    <w:p w:rsidR="002C5025" w:rsidRDefault="002C5025">
      <w:pPr>
        <w:pStyle w:val="BodyText"/>
        <w:kinsoku w:val="0"/>
        <w:overflowPunct w:val="0"/>
        <w:spacing w:before="1"/>
        <w:ind w:left="549" w:right="146"/>
        <w:jc w:val="center"/>
        <w:rPr>
          <w:rFonts w:ascii="Arial" w:hAnsi="Arial" w:cs="Arial"/>
          <w:b/>
          <w:bCs/>
          <w:sz w:val="16"/>
          <w:szCs w:val="16"/>
        </w:rPr>
      </w:pPr>
      <w:r>
        <w:rPr>
          <w:rFonts w:ascii="Arial" w:hAnsi="Arial" w:cs="Arial"/>
          <w:b/>
          <w:bCs/>
          <w:sz w:val="16"/>
          <w:szCs w:val="16"/>
        </w:rPr>
        <w:t>PAST PRESIDENT</w:t>
      </w:r>
    </w:p>
    <w:p w:rsidR="002C5025" w:rsidRDefault="002C5025">
      <w:pPr>
        <w:pStyle w:val="BodyText"/>
        <w:kinsoku w:val="0"/>
        <w:overflowPunct w:val="0"/>
        <w:spacing w:before="1"/>
        <w:rPr>
          <w:rFonts w:ascii="Arial" w:hAnsi="Arial" w:cs="Arial"/>
          <w:b/>
          <w:bCs/>
          <w:sz w:val="16"/>
          <w:szCs w:val="16"/>
        </w:rPr>
      </w:pPr>
    </w:p>
    <w:p w:rsidR="002C5025" w:rsidRDefault="002C5025">
      <w:pPr>
        <w:pStyle w:val="BodyText"/>
        <w:kinsoku w:val="0"/>
        <w:overflowPunct w:val="0"/>
        <w:ind w:left="550" w:right="146"/>
        <w:jc w:val="center"/>
        <w:rPr>
          <w:rFonts w:ascii="Arial" w:hAnsi="Arial" w:cs="Arial"/>
          <w:sz w:val="16"/>
          <w:szCs w:val="16"/>
        </w:rPr>
      </w:pPr>
      <w:r>
        <w:rPr>
          <w:rFonts w:ascii="Arial" w:hAnsi="Arial" w:cs="Arial"/>
          <w:sz w:val="16"/>
          <w:szCs w:val="16"/>
        </w:rPr>
        <w:t>STEPHANIE MONAGHAN-BLOUT, PSY.D.</w:t>
      </w:r>
    </w:p>
    <w:p w:rsidR="002C5025" w:rsidRDefault="002C5025">
      <w:pPr>
        <w:pStyle w:val="BodyText"/>
        <w:kinsoku w:val="0"/>
        <w:overflowPunct w:val="0"/>
        <w:rPr>
          <w:rFonts w:ascii="Arial" w:hAnsi="Arial" w:cs="Arial"/>
          <w:sz w:val="16"/>
          <w:szCs w:val="16"/>
        </w:rPr>
      </w:pPr>
    </w:p>
    <w:p w:rsidR="002C5025" w:rsidRDefault="002C5025">
      <w:pPr>
        <w:pStyle w:val="BodyText"/>
        <w:kinsoku w:val="0"/>
        <w:overflowPunct w:val="0"/>
        <w:rPr>
          <w:rFonts w:ascii="Arial" w:hAnsi="Arial" w:cs="Arial"/>
          <w:sz w:val="16"/>
          <w:szCs w:val="16"/>
        </w:rPr>
      </w:pPr>
    </w:p>
    <w:p w:rsidR="002C5025" w:rsidRDefault="002C5025">
      <w:pPr>
        <w:pStyle w:val="BodyText"/>
        <w:kinsoku w:val="0"/>
        <w:overflowPunct w:val="0"/>
        <w:spacing w:before="7"/>
        <w:rPr>
          <w:rFonts w:ascii="Arial" w:hAnsi="Arial" w:cs="Arial"/>
          <w:sz w:val="15"/>
          <w:szCs w:val="15"/>
        </w:rPr>
      </w:pPr>
    </w:p>
    <w:p w:rsidR="002C5025" w:rsidRDefault="002C5025">
      <w:pPr>
        <w:pStyle w:val="BodyText"/>
        <w:kinsoku w:val="0"/>
        <w:overflowPunct w:val="0"/>
        <w:ind w:left="549" w:right="146"/>
        <w:jc w:val="center"/>
        <w:rPr>
          <w:rFonts w:ascii="Arial" w:hAnsi="Arial" w:cs="Arial"/>
          <w:b/>
          <w:bCs/>
          <w:sz w:val="16"/>
          <w:szCs w:val="16"/>
        </w:rPr>
      </w:pPr>
      <w:r>
        <w:rPr>
          <w:rFonts w:ascii="Arial" w:hAnsi="Arial" w:cs="Arial"/>
          <w:b/>
          <w:bCs/>
          <w:sz w:val="16"/>
          <w:szCs w:val="16"/>
        </w:rPr>
        <w:t>TREASURER</w:t>
      </w:r>
    </w:p>
    <w:p w:rsidR="002C5025" w:rsidRDefault="002C5025">
      <w:pPr>
        <w:pStyle w:val="BodyText"/>
        <w:kinsoku w:val="0"/>
        <w:overflowPunct w:val="0"/>
        <w:spacing w:before="4"/>
        <w:rPr>
          <w:rFonts w:ascii="Arial" w:hAnsi="Arial" w:cs="Arial"/>
          <w:b/>
          <w:bCs/>
          <w:sz w:val="16"/>
          <w:szCs w:val="16"/>
        </w:rPr>
      </w:pPr>
    </w:p>
    <w:p w:rsidR="002C5025" w:rsidRDefault="002C5025">
      <w:pPr>
        <w:pStyle w:val="BodyText"/>
        <w:kinsoku w:val="0"/>
        <w:overflowPunct w:val="0"/>
        <w:ind w:left="546" w:right="146"/>
        <w:jc w:val="center"/>
        <w:rPr>
          <w:rFonts w:ascii="Arial" w:hAnsi="Arial" w:cs="Arial"/>
          <w:sz w:val="16"/>
          <w:szCs w:val="16"/>
        </w:rPr>
      </w:pPr>
      <w:r>
        <w:rPr>
          <w:rFonts w:ascii="Arial" w:hAnsi="Arial" w:cs="Arial"/>
          <w:sz w:val="16"/>
          <w:szCs w:val="16"/>
        </w:rPr>
        <w:t>BRENDAN C. LYNCH, PH.D.</w:t>
      </w:r>
    </w:p>
    <w:p w:rsidR="002C5025" w:rsidRDefault="002C5025">
      <w:pPr>
        <w:pStyle w:val="BodyText"/>
        <w:kinsoku w:val="0"/>
        <w:overflowPunct w:val="0"/>
        <w:rPr>
          <w:rFonts w:ascii="Arial" w:hAnsi="Arial" w:cs="Arial"/>
          <w:sz w:val="16"/>
          <w:szCs w:val="16"/>
        </w:rPr>
      </w:pPr>
    </w:p>
    <w:p w:rsidR="002C5025" w:rsidRDefault="002C5025">
      <w:pPr>
        <w:pStyle w:val="BodyText"/>
        <w:kinsoku w:val="0"/>
        <w:overflowPunct w:val="0"/>
        <w:rPr>
          <w:rFonts w:ascii="Arial" w:hAnsi="Arial" w:cs="Arial"/>
          <w:sz w:val="16"/>
          <w:szCs w:val="16"/>
        </w:rPr>
      </w:pPr>
    </w:p>
    <w:p w:rsidR="002C5025" w:rsidRDefault="002C5025">
      <w:pPr>
        <w:pStyle w:val="BodyText"/>
        <w:kinsoku w:val="0"/>
        <w:overflowPunct w:val="0"/>
        <w:spacing w:before="7"/>
        <w:rPr>
          <w:rFonts w:ascii="Arial" w:hAnsi="Arial" w:cs="Arial"/>
          <w:sz w:val="15"/>
          <w:szCs w:val="15"/>
        </w:rPr>
      </w:pPr>
    </w:p>
    <w:p w:rsidR="002C5025" w:rsidRDefault="002C5025">
      <w:pPr>
        <w:pStyle w:val="BodyText"/>
        <w:kinsoku w:val="0"/>
        <w:overflowPunct w:val="0"/>
        <w:ind w:left="550" w:right="141"/>
        <w:jc w:val="center"/>
        <w:rPr>
          <w:rFonts w:ascii="Arial" w:hAnsi="Arial" w:cs="Arial"/>
          <w:b/>
          <w:bCs/>
          <w:sz w:val="16"/>
          <w:szCs w:val="16"/>
        </w:rPr>
      </w:pPr>
      <w:r>
        <w:rPr>
          <w:rFonts w:ascii="Arial" w:hAnsi="Arial" w:cs="Arial"/>
          <w:b/>
          <w:bCs/>
          <w:sz w:val="16"/>
          <w:szCs w:val="16"/>
        </w:rPr>
        <w:t>TREASURER-ELECT</w:t>
      </w:r>
    </w:p>
    <w:p w:rsidR="002C5025" w:rsidRDefault="002C5025">
      <w:pPr>
        <w:pStyle w:val="BodyText"/>
        <w:kinsoku w:val="0"/>
        <w:overflowPunct w:val="0"/>
        <w:spacing w:before="1"/>
        <w:rPr>
          <w:rFonts w:ascii="Arial" w:hAnsi="Arial" w:cs="Arial"/>
          <w:b/>
          <w:bCs/>
          <w:sz w:val="16"/>
          <w:szCs w:val="16"/>
        </w:rPr>
      </w:pPr>
    </w:p>
    <w:p w:rsidR="002C5025" w:rsidRDefault="00FB027C">
      <w:pPr>
        <w:pStyle w:val="BodyText"/>
        <w:kinsoku w:val="0"/>
        <w:overflowPunct w:val="0"/>
        <w:ind w:left="547" w:right="146"/>
        <w:jc w:val="center"/>
        <w:rPr>
          <w:rFonts w:ascii="Arial" w:hAnsi="Arial" w:cs="Arial"/>
          <w:sz w:val="16"/>
          <w:szCs w:val="16"/>
        </w:rPr>
      </w:pPr>
      <w:r>
        <w:rPr>
          <w:noProof/>
        </w:rPr>
        <mc:AlternateContent>
          <mc:Choice Requires="wpg">
            <w:drawing>
              <wp:anchor distT="0" distB="0" distL="114300" distR="114300" simplePos="0" relativeHeight="251730432" behindDoc="0" locked="0" layoutInCell="0" allowOverlap="1">
                <wp:simplePos x="0" y="0"/>
                <wp:positionH relativeFrom="page">
                  <wp:posOffset>273050</wp:posOffset>
                </wp:positionH>
                <wp:positionV relativeFrom="paragraph">
                  <wp:posOffset>243840</wp:posOffset>
                </wp:positionV>
                <wp:extent cx="2056130" cy="4784090"/>
                <wp:effectExtent l="0" t="0" r="0" b="0"/>
                <wp:wrapNone/>
                <wp:docPr id="307" name="Group 7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6130" cy="4784090"/>
                          <a:chOff x="430" y="384"/>
                          <a:chExt cx="3238" cy="7534"/>
                        </a:xfrm>
                      </wpg:grpSpPr>
                      <pic:pic xmlns:pic="http://schemas.openxmlformats.org/drawingml/2006/picture">
                        <pic:nvPicPr>
                          <pic:cNvPr id="308" name="Picture 716"/>
                          <pic:cNvPicPr>
                            <a:picLocks noChangeAspect="1" noChangeArrowheads="1"/>
                          </pic:cNvPicPr>
                        </pic:nvPicPr>
                        <pic:blipFill>
                          <a:blip r:embed="rId480">
                            <a:extLst>
                              <a:ext uri="{28A0092B-C50C-407E-A947-70E740481C1C}">
                                <a14:useLocalDpi xmlns:a14="http://schemas.microsoft.com/office/drawing/2010/main" val="0"/>
                              </a:ext>
                            </a:extLst>
                          </a:blip>
                          <a:srcRect/>
                          <a:stretch>
                            <a:fillRect/>
                          </a:stretch>
                        </pic:blipFill>
                        <pic:spPr bwMode="auto">
                          <a:xfrm>
                            <a:off x="431" y="384"/>
                            <a:ext cx="3240" cy="7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9" name="Text Box 717"/>
                        <wps:cNvSpPr txBox="1">
                          <a:spLocks noChangeArrowheads="1"/>
                        </wps:cNvSpPr>
                        <wps:spPr bwMode="auto">
                          <a:xfrm>
                            <a:off x="617" y="761"/>
                            <a:ext cx="2997" cy="2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pStyle w:val="BodyText"/>
                                <w:kinsoku w:val="0"/>
                                <w:overflowPunct w:val="0"/>
                                <w:spacing w:line="164" w:lineRule="exact"/>
                                <w:ind w:left="490" w:right="490"/>
                                <w:jc w:val="center"/>
                                <w:rPr>
                                  <w:rFonts w:ascii="Arial" w:hAnsi="Arial" w:cs="Arial"/>
                                  <w:b/>
                                  <w:bCs/>
                                  <w:sz w:val="16"/>
                                  <w:szCs w:val="16"/>
                                </w:rPr>
                              </w:pPr>
                              <w:r>
                                <w:rPr>
                                  <w:rFonts w:ascii="Arial" w:hAnsi="Arial" w:cs="Arial"/>
                                  <w:b/>
                                  <w:bCs/>
                                  <w:sz w:val="16"/>
                                  <w:szCs w:val="16"/>
                                </w:rPr>
                                <w:t>MEMBERS-AT-LARGE</w:t>
                              </w:r>
                            </w:p>
                            <w:p w:rsidR="007B2B7B" w:rsidRDefault="007B2B7B">
                              <w:pPr>
                                <w:pStyle w:val="BodyText"/>
                                <w:kinsoku w:val="0"/>
                                <w:overflowPunct w:val="0"/>
                                <w:spacing w:before="9"/>
                                <w:rPr>
                                  <w:sz w:val="14"/>
                                  <w:szCs w:val="14"/>
                                </w:rPr>
                              </w:pPr>
                            </w:p>
                            <w:p w:rsidR="007B2B7B" w:rsidRDefault="007B2B7B">
                              <w:pPr>
                                <w:pStyle w:val="BodyText"/>
                                <w:kinsoku w:val="0"/>
                                <w:overflowPunct w:val="0"/>
                                <w:spacing w:before="1" w:line="480" w:lineRule="auto"/>
                                <w:ind w:left="493" w:right="490"/>
                                <w:jc w:val="center"/>
                                <w:rPr>
                                  <w:rFonts w:ascii="Arial" w:hAnsi="Arial" w:cs="Arial"/>
                                  <w:sz w:val="16"/>
                                  <w:szCs w:val="16"/>
                                </w:rPr>
                              </w:pPr>
                              <w:r>
                                <w:rPr>
                                  <w:rFonts w:ascii="Arial" w:hAnsi="Arial" w:cs="Arial"/>
                                  <w:sz w:val="16"/>
                                  <w:szCs w:val="16"/>
                                </w:rPr>
                                <w:t>THOMAS LAUDATE, PH.D. PATRICIA LEE, PH.D.</w:t>
                              </w:r>
                            </w:p>
                            <w:p w:rsidR="007B2B7B" w:rsidRDefault="007B2B7B">
                              <w:pPr>
                                <w:pStyle w:val="BodyText"/>
                                <w:kinsoku w:val="0"/>
                                <w:overflowPunct w:val="0"/>
                                <w:spacing w:before="9" w:line="480" w:lineRule="auto"/>
                                <w:ind w:hanging="1"/>
                                <w:jc w:val="center"/>
                                <w:rPr>
                                  <w:rFonts w:ascii="Arial" w:hAnsi="Arial" w:cs="Arial"/>
                                  <w:sz w:val="16"/>
                                  <w:szCs w:val="16"/>
                                </w:rPr>
                              </w:pPr>
                              <w:r>
                                <w:rPr>
                                  <w:rFonts w:ascii="Arial" w:hAnsi="Arial" w:cs="Arial"/>
                                  <w:sz w:val="16"/>
                                  <w:szCs w:val="16"/>
                                </w:rPr>
                                <w:t>FLANNERY MURPHY GEIER, PSY.D HOPE</w:t>
                              </w:r>
                              <w:r>
                                <w:rPr>
                                  <w:rFonts w:ascii="Arial" w:hAnsi="Arial" w:cs="Arial"/>
                                  <w:spacing w:val="-13"/>
                                  <w:sz w:val="16"/>
                                  <w:szCs w:val="16"/>
                                </w:rPr>
                                <w:t xml:space="preserve"> </w:t>
                              </w:r>
                              <w:r>
                                <w:rPr>
                                  <w:rFonts w:ascii="Arial" w:hAnsi="Arial" w:cs="Arial"/>
                                  <w:sz w:val="16"/>
                                  <w:szCs w:val="16"/>
                                </w:rPr>
                                <w:t>E.</w:t>
                              </w:r>
                              <w:r>
                                <w:rPr>
                                  <w:rFonts w:ascii="Arial" w:hAnsi="Arial" w:cs="Arial"/>
                                  <w:spacing w:val="-11"/>
                                  <w:sz w:val="16"/>
                                  <w:szCs w:val="16"/>
                                </w:rPr>
                                <w:t xml:space="preserve"> </w:t>
                              </w:r>
                              <w:r>
                                <w:rPr>
                                  <w:rFonts w:ascii="Arial" w:hAnsi="Arial" w:cs="Arial"/>
                                  <w:sz w:val="16"/>
                                  <w:szCs w:val="16"/>
                                </w:rPr>
                                <w:t>SCHREIBER,</w:t>
                              </w:r>
                              <w:r>
                                <w:rPr>
                                  <w:rFonts w:ascii="Arial" w:hAnsi="Arial" w:cs="Arial"/>
                                  <w:spacing w:val="-16"/>
                                  <w:sz w:val="16"/>
                                  <w:szCs w:val="16"/>
                                </w:rPr>
                                <w:t xml:space="preserve"> </w:t>
                              </w:r>
                              <w:r>
                                <w:rPr>
                                  <w:rFonts w:ascii="Arial" w:hAnsi="Arial" w:cs="Arial"/>
                                  <w:sz w:val="16"/>
                                  <w:szCs w:val="16"/>
                                </w:rPr>
                                <w:t>PSY.D.,</w:t>
                              </w:r>
                              <w:r>
                                <w:rPr>
                                  <w:rFonts w:ascii="Arial" w:hAnsi="Arial" w:cs="Arial"/>
                                  <w:spacing w:val="-11"/>
                                  <w:sz w:val="16"/>
                                  <w:szCs w:val="16"/>
                                </w:rPr>
                                <w:t xml:space="preserve"> </w:t>
                              </w:r>
                              <w:r>
                                <w:rPr>
                                  <w:rFonts w:ascii="Arial" w:hAnsi="Arial" w:cs="Arial"/>
                                  <w:sz w:val="16"/>
                                  <w:szCs w:val="16"/>
                                </w:rPr>
                                <w:t>ABPP/CN JEFFREY</w:t>
                              </w:r>
                              <w:r>
                                <w:rPr>
                                  <w:rFonts w:ascii="Arial" w:hAnsi="Arial" w:cs="Arial"/>
                                  <w:spacing w:val="-11"/>
                                  <w:sz w:val="16"/>
                                  <w:szCs w:val="16"/>
                                </w:rPr>
                                <w:t xml:space="preserve"> </w:t>
                              </w:r>
                              <w:r>
                                <w:rPr>
                                  <w:rFonts w:ascii="Arial" w:hAnsi="Arial" w:cs="Arial"/>
                                  <w:sz w:val="16"/>
                                  <w:szCs w:val="16"/>
                                </w:rPr>
                                <w:t>B.</w:t>
                              </w:r>
                              <w:r>
                                <w:rPr>
                                  <w:rFonts w:ascii="Arial" w:hAnsi="Arial" w:cs="Arial"/>
                                  <w:spacing w:val="-11"/>
                                  <w:sz w:val="16"/>
                                  <w:szCs w:val="16"/>
                                </w:rPr>
                                <w:t xml:space="preserve"> </w:t>
                              </w:r>
                              <w:r>
                                <w:rPr>
                                  <w:rFonts w:ascii="Arial" w:hAnsi="Arial" w:cs="Arial"/>
                                  <w:sz w:val="16"/>
                                  <w:szCs w:val="16"/>
                                </w:rPr>
                                <w:t>SHEER,</w:t>
                              </w:r>
                              <w:r>
                                <w:rPr>
                                  <w:rFonts w:ascii="Arial" w:hAnsi="Arial" w:cs="Arial"/>
                                  <w:spacing w:val="-9"/>
                                  <w:sz w:val="16"/>
                                  <w:szCs w:val="16"/>
                                </w:rPr>
                                <w:t xml:space="preserve"> </w:t>
                              </w:r>
                              <w:r>
                                <w:rPr>
                                  <w:rFonts w:ascii="Arial" w:hAnsi="Arial" w:cs="Arial"/>
                                  <w:sz w:val="16"/>
                                  <w:szCs w:val="16"/>
                                </w:rPr>
                                <w:t>PH.D.,</w:t>
                              </w:r>
                              <w:r>
                                <w:rPr>
                                  <w:rFonts w:ascii="Arial" w:hAnsi="Arial" w:cs="Arial"/>
                                  <w:spacing w:val="-11"/>
                                  <w:sz w:val="16"/>
                                  <w:szCs w:val="16"/>
                                </w:rPr>
                                <w:t xml:space="preserve"> </w:t>
                              </w:r>
                              <w:r>
                                <w:rPr>
                                  <w:rFonts w:ascii="Arial" w:hAnsi="Arial" w:cs="Arial"/>
                                  <w:sz w:val="16"/>
                                  <w:szCs w:val="16"/>
                                </w:rPr>
                                <w:t>ABPP/CN</w:t>
                              </w:r>
                            </w:p>
                            <w:p w:rsidR="007B2B7B" w:rsidRDefault="007B2B7B">
                              <w:pPr>
                                <w:pStyle w:val="BodyText"/>
                                <w:kinsoku w:val="0"/>
                                <w:overflowPunct w:val="0"/>
                                <w:spacing w:before="4" w:line="181" w:lineRule="exact"/>
                                <w:ind w:left="492" w:right="490"/>
                                <w:jc w:val="center"/>
                                <w:rPr>
                                  <w:rFonts w:ascii="Arial" w:hAnsi="Arial" w:cs="Arial"/>
                                  <w:sz w:val="16"/>
                                  <w:szCs w:val="16"/>
                                </w:rPr>
                              </w:pPr>
                              <w:r>
                                <w:rPr>
                                  <w:rFonts w:ascii="Arial" w:hAnsi="Arial" w:cs="Arial"/>
                                  <w:sz w:val="16"/>
                                  <w:szCs w:val="16"/>
                                </w:rPr>
                                <w:t>EMILY K. WILNER, PSY.D.</w:t>
                              </w:r>
                            </w:p>
                          </w:txbxContent>
                        </wps:txbx>
                        <wps:bodyPr rot="0" vert="horz" wrap="square" lIns="0" tIns="0" rIns="0" bIns="0" anchor="t" anchorCtr="0" upright="1">
                          <a:noAutofit/>
                        </wps:bodyPr>
                      </wps:wsp>
                      <wps:wsp>
                        <wps:cNvPr id="310" name="Text Box 718"/>
                        <wps:cNvSpPr txBox="1">
                          <a:spLocks noChangeArrowheads="1"/>
                        </wps:cNvSpPr>
                        <wps:spPr bwMode="auto">
                          <a:xfrm>
                            <a:off x="1001" y="3704"/>
                            <a:ext cx="2228" cy="8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pStyle w:val="BodyText"/>
                                <w:kinsoku w:val="0"/>
                                <w:overflowPunct w:val="0"/>
                                <w:spacing w:line="164" w:lineRule="exact"/>
                                <w:ind w:left="-1"/>
                                <w:jc w:val="center"/>
                                <w:rPr>
                                  <w:rFonts w:ascii="Arial" w:hAnsi="Arial" w:cs="Arial"/>
                                  <w:b/>
                                  <w:bCs/>
                                  <w:sz w:val="16"/>
                                  <w:szCs w:val="16"/>
                                </w:rPr>
                              </w:pPr>
                              <w:r>
                                <w:rPr>
                                  <w:rFonts w:ascii="Arial" w:hAnsi="Arial" w:cs="Arial"/>
                                  <w:b/>
                                  <w:bCs/>
                                  <w:sz w:val="16"/>
                                  <w:szCs w:val="16"/>
                                </w:rPr>
                                <w:t>STUDENT BOARD</w:t>
                              </w:r>
                              <w:r>
                                <w:rPr>
                                  <w:rFonts w:ascii="Arial" w:hAnsi="Arial" w:cs="Arial"/>
                                  <w:b/>
                                  <w:bCs/>
                                  <w:spacing w:val="-28"/>
                                  <w:sz w:val="16"/>
                                  <w:szCs w:val="16"/>
                                </w:rPr>
                                <w:t xml:space="preserve"> </w:t>
                              </w:r>
                              <w:r>
                                <w:rPr>
                                  <w:rFonts w:ascii="Arial" w:hAnsi="Arial" w:cs="Arial"/>
                                  <w:b/>
                                  <w:bCs/>
                                  <w:sz w:val="16"/>
                                  <w:szCs w:val="16"/>
                                </w:rPr>
                                <w:t>MEMBERS</w:t>
                              </w:r>
                            </w:p>
                            <w:p w:rsidR="007B2B7B" w:rsidRDefault="007B2B7B">
                              <w:pPr>
                                <w:pStyle w:val="BodyText"/>
                                <w:kinsoku w:val="0"/>
                                <w:overflowPunct w:val="0"/>
                                <w:spacing w:before="14" w:line="350" w:lineRule="atLeast"/>
                                <w:ind w:left="3"/>
                                <w:jc w:val="center"/>
                                <w:rPr>
                                  <w:rFonts w:ascii="Arial" w:hAnsi="Arial" w:cs="Arial"/>
                                  <w:sz w:val="16"/>
                                  <w:szCs w:val="16"/>
                                </w:rPr>
                              </w:pPr>
                              <w:r>
                                <w:rPr>
                                  <w:rFonts w:ascii="Arial" w:hAnsi="Arial" w:cs="Arial"/>
                                  <w:sz w:val="16"/>
                                  <w:szCs w:val="16"/>
                                </w:rPr>
                                <w:t>ERICA APPLEMAN, M.A. SAGAR LAD, M.S.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15" o:spid="_x0000_s1247" style="position:absolute;left:0;text-align:left;margin-left:21.5pt;margin-top:19.2pt;width:161.9pt;height:376.7pt;z-index:251730432;mso-position-horizontal-relative:page;mso-position-vertical-relative:text" coordorigin="430,384" coordsize="3238,75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" o:allowincell="f">
                <v:shape id="Picture 716" o:spid="_x0000_s1248" type="#_x0000_t75" style="position:absolute;left:431;top:384;width:3240;height:75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iSjSG8AAAA3AAAAA8AAABkcnMvZG93bnJldi54bWxET0sKwjAQ3QveIYzgTlMVRaqxSEFwJfg5&#10;wNiMbbWZlCbW6unNQnD5eP910plKtNS40rKCyTgCQZxZXXKu4HLejZYgnEfWWFkmBW9ykGz6vTXG&#10;2r74SO3J5yKEsItRQeF9HUvpsoIMurGtiQN3s41BH2CTS93gK4SbSk6jaCENlhwaCqwpLSh7nJ5G&#10;gV5W7ZX4MLeHO2Jr6/fx06VKDQfddgXCU+f/4p97rxXMorA2nAlHQG6+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AIko0hvAAAANwAAAAPAAAAAAAAAAAAAAAAAJ8CAABkcnMv&#10;ZG93bnJldi54bWxQSwUGAAAAAAQABAD3AAAAiAMAAAAA&#10;">
                  <v:imagedata r:id="rId481" o:title=""/>
                </v:shape>
                <v:shape id="Text Box 717" o:spid="_x0000_s1249" type="#_x0000_t202" style="position:absolute;left:617;top:761;width:2997;height:23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CWk8UA&#10;AADcAAAADwAAAGRycy9kb3ducmV2LnhtbESPQWsCMRSE7wX/Q3gFbzVpBalbo4hYEArFdT14fN08&#10;d4Obl3UTdfvvG6HgcZiZb5jZoneNuFIXrGcNryMFgrj0xnKlYV98vryDCBHZYOOZNPxSgMV88DTD&#10;zPgb53TdxUokCIcMNdQxtpmUoazJYRj5ljh5R985jEl2lTQd3hLcNfJNqYl0aDkt1NjSqqbytLs4&#10;DcsD52t7/v7Z5sfcFsVU8dfkpPXwuV9+gIjUx0f4v70xGsZqCvcz6Qj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IJaTxQAAANwAAAAPAAAAAAAAAAAAAAAAAJgCAABkcnMv&#10;ZG93bnJldi54bWxQSwUGAAAAAAQABAD1AAAAigMAAAAA&#10;" filled="f" stroked="f">
                  <v:textbox inset="0,0,0,0">
                    <w:txbxContent>
                      <w:p w:rsidR="007B2B7B" w:rsidRDefault="007B2B7B">
                        <w:pPr>
                          <w:pStyle w:val="BodyText"/>
                          <w:kinsoku w:val="0"/>
                          <w:overflowPunct w:val="0"/>
                          <w:spacing w:line="164" w:lineRule="exact"/>
                          <w:ind w:left="490" w:right="490"/>
                          <w:jc w:val="center"/>
                          <w:rPr>
                            <w:rFonts w:ascii="Arial" w:hAnsi="Arial" w:cs="Arial"/>
                            <w:b/>
                            <w:bCs/>
                            <w:sz w:val="16"/>
                            <w:szCs w:val="16"/>
                          </w:rPr>
                        </w:pPr>
                        <w:r>
                          <w:rPr>
                            <w:rFonts w:ascii="Arial" w:hAnsi="Arial" w:cs="Arial"/>
                            <w:b/>
                            <w:bCs/>
                            <w:sz w:val="16"/>
                            <w:szCs w:val="16"/>
                          </w:rPr>
                          <w:t>MEMBERS-AT-LARGE</w:t>
                        </w:r>
                      </w:p>
                      <w:p w:rsidR="007B2B7B" w:rsidRDefault="007B2B7B">
                        <w:pPr>
                          <w:pStyle w:val="BodyText"/>
                          <w:kinsoku w:val="0"/>
                          <w:overflowPunct w:val="0"/>
                          <w:spacing w:before="9"/>
                          <w:rPr>
                            <w:sz w:val="14"/>
                            <w:szCs w:val="14"/>
                          </w:rPr>
                        </w:pPr>
                      </w:p>
                      <w:p w:rsidR="007B2B7B" w:rsidRDefault="007B2B7B">
                        <w:pPr>
                          <w:pStyle w:val="BodyText"/>
                          <w:kinsoku w:val="0"/>
                          <w:overflowPunct w:val="0"/>
                          <w:spacing w:before="1" w:line="480" w:lineRule="auto"/>
                          <w:ind w:left="493" w:right="490"/>
                          <w:jc w:val="center"/>
                          <w:rPr>
                            <w:rFonts w:ascii="Arial" w:hAnsi="Arial" w:cs="Arial"/>
                            <w:sz w:val="16"/>
                            <w:szCs w:val="16"/>
                          </w:rPr>
                        </w:pPr>
                        <w:r>
                          <w:rPr>
                            <w:rFonts w:ascii="Arial" w:hAnsi="Arial" w:cs="Arial"/>
                            <w:sz w:val="16"/>
                            <w:szCs w:val="16"/>
                          </w:rPr>
                          <w:t>THOMAS LAUDATE, PH.D. PATRICIA LEE, PH.D.</w:t>
                        </w:r>
                      </w:p>
                      <w:p w:rsidR="007B2B7B" w:rsidRDefault="007B2B7B">
                        <w:pPr>
                          <w:pStyle w:val="BodyText"/>
                          <w:kinsoku w:val="0"/>
                          <w:overflowPunct w:val="0"/>
                          <w:spacing w:before="9" w:line="480" w:lineRule="auto"/>
                          <w:ind w:hanging="1"/>
                          <w:jc w:val="center"/>
                          <w:rPr>
                            <w:rFonts w:ascii="Arial" w:hAnsi="Arial" w:cs="Arial"/>
                            <w:sz w:val="16"/>
                            <w:szCs w:val="16"/>
                          </w:rPr>
                        </w:pPr>
                        <w:r>
                          <w:rPr>
                            <w:rFonts w:ascii="Arial" w:hAnsi="Arial" w:cs="Arial"/>
                            <w:sz w:val="16"/>
                            <w:szCs w:val="16"/>
                          </w:rPr>
                          <w:t>FLANNERY MURPHY GEIER, PSY.D HOPE</w:t>
                        </w:r>
                        <w:r>
                          <w:rPr>
                            <w:rFonts w:ascii="Arial" w:hAnsi="Arial" w:cs="Arial"/>
                            <w:spacing w:val="-13"/>
                            <w:sz w:val="16"/>
                            <w:szCs w:val="16"/>
                          </w:rPr>
                          <w:t xml:space="preserve"> </w:t>
                        </w:r>
                        <w:r>
                          <w:rPr>
                            <w:rFonts w:ascii="Arial" w:hAnsi="Arial" w:cs="Arial"/>
                            <w:sz w:val="16"/>
                            <w:szCs w:val="16"/>
                          </w:rPr>
                          <w:t>E.</w:t>
                        </w:r>
                        <w:r>
                          <w:rPr>
                            <w:rFonts w:ascii="Arial" w:hAnsi="Arial" w:cs="Arial"/>
                            <w:spacing w:val="-11"/>
                            <w:sz w:val="16"/>
                            <w:szCs w:val="16"/>
                          </w:rPr>
                          <w:t xml:space="preserve"> </w:t>
                        </w:r>
                        <w:r>
                          <w:rPr>
                            <w:rFonts w:ascii="Arial" w:hAnsi="Arial" w:cs="Arial"/>
                            <w:sz w:val="16"/>
                            <w:szCs w:val="16"/>
                          </w:rPr>
                          <w:t>SCHREIBER,</w:t>
                        </w:r>
                        <w:r>
                          <w:rPr>
                            <w:rFonts w:ascii="Arial" w:hAnsi="Arial" w:cs="Arial"/>
                            <w:spacing w:val="-16"/>
                            <w:sz w:val="16"/>
                            <w:szCs w:val="16"/>
                          </w:rPr>
                          <w:t xml:space="preserve"> </w:t>
                        </w:r>
                        <w:r>
                          <w:rPr>
                            <w:rFonts w:ascii="Arial" w:hAnsi="Arial" w:cs="Arial"/>
                            <w:sz w:val="16"/>
                            <w:szCs w:val="16"/>
                          </w:rPr>
                          <w:t>PSY.D.,</w:t>
                        </w:r>
                        <w:r>
                          <w:rPr>
                            <w:rFonts w:ascii="Arial" w:hAnsi="Arial" w:cs="Arial"/>
                            <w:spacing w:val="-11"/>
                            <w:sz w:val="16"/>
                            <w:szCs w:val="16"/>
                          </w:rPr>
                          <w:t xml:space="preserve"> </w:t>
                        </w:r>
                        <w:r>
                          <w:rPr>
                            <w:rFonts w:ascii="Arial" w:hAnsi="Arial" w:cs="Arial"/>
                            <w:sz w:val="16"/>
                            <w:szCs w:val="16"/>
                          </w:rPr>
                          <w:t>ABPP/CN JEFFREY</w:t>
                        </w:r>
                        <w:r>
                          <w:rPr>
                            <w:rFonts w:ascii="Arial" w:hAnsi="Arial" w:cs="Arial"/>
                            <w:spacing w:val="-11"/>
                            <w:sz w:val="16"/>
                            <w:szCs w:val="16"/>
                          </w:rPr>
                          <w:t xml:space="preserve"> </w:t>
                        </w:r>
                        <w:r>
                          <w:rPr>
                            <w:rFonts w:ascii="Arial" w:hAnsi="Arial" w:cs="Arial"/>
                            <w:sz w:val="16"/>
                            <w:szCs w:val="16"/>
                          </w:rPr>
                          <w:t>B.</w:t>
                        </w:r>
                        <w:r>
                          <w:rPr>
                            <w:rFonts w:ascii="Arial" w:hAnsi="Arial" w:cs="Arial"/>
                            <w:spacing w:val="-11"/>
                            <w:sz w:val="16"/>
                            <w:szCs w:val="16"/>
                          </w:rPr>
                          <w:t xml:space="preserve"> </w:t>
                        </w:r>
                        <w:r>
                          <w:rPr>
                            <w:rFonts w:ascii="Arial" w:hAnsi="Arial" w:cs="Arial"/>
                            <w:sz w:val="16"/>
                            <w:szCs w:val="16"/>
                          </w:rPr>
                          <w:t>SHEER,</w:t>
                        </w:r>
                        <w:r>
                          <w:rPr>
                            <w:rFonts w:ascii="Arial" w:hAnsi="Arial" w:cs="Arial"/>
                            <w:spacing w:val="-9"/>
                            <w:sz w:val="16"/>
                            <w:szCs w:val="16"/>
                          </w:rPr>
                          <w:t xml:space="preserve"> </w:t>
                        </w:r>
                        <w:r>
                          <w:rPr>
                            <w:rFonts w:ascii="Arial" w:hAnsi="Arial" w:cs="Arial"/>
                            <w:sz w:val="16"/>
                            <w:szCs w:val="16"/>
                          </w:rPr>
                          <w:t>PH.D.,</w:t>
                        </w:r>
                        <w:r>
                          <w:rPr>
                            <w:rFonts w:ascii="Arial" w:hAnsi="Arial" w:cs="Arial"/>
                            <w:spacing w:val="-11"/>
                            <w:sz w:val="16"/>
                            <w:szCs w:val="16"/>
                          </w:rPr>
                          <w:t xml:space="preserve"> </w:t>
                        </w:r>
                        <w:r>
                          <w:rPr>
                            <w:rFonts w:ascii="Arial" w:hAnsi="Arial" w:cs="Arial"/>
                            <w:sz w:val="16"/>
                            <w:szCs w:val="16"/>
                          </w:rPr>
                          <w:t>ABPP/CN</w:t>
                        </w:r>
                      </w:p>
                      <w:p w:rsidR="007B2B7B" w:rsidRDefault="007B2B7B">
                        <w:pPr>
                          <w:pStyle w:val="BodyText"/>
                          <w:kinsoku w:val="0"/>
                          <w:overflowPunct w:val="0"/>
                          <w:spacing w:before="4" w:line="181" w:lineRule="exact"/>
                          <w:ind w:left="492" w:right="490"/>
                          <w:jc w:val="center"/>
                          <w:rPr>
                            <w:rFonts w:ascii="Arial" w:hAnsi="Arial" w:cs="Arial"/>
                            <w:sz w:val="16"/>
                            <w:szCs w:val="16"/>
                          </w:rPr>
                        </w:pPr>
                        <w:r>
                          <w:rPr>
                            <w:rFonts w:ascii="Arial" w:hAnsi="Arial" w:cs="Arial"/>
                            <w:sz w:val="16"/>
                            <w:szCs w:val="16"/>
                          </w:rPr>
                          <w:t>EMILY K. WILNER, PSY.D.</w:t>
                        </w:r>
                      </w:p>
                    </w:txbxContent>
                  </v:textbox>
                </v:shape>
                <v:shape id="Text Box 718" o:spid="_x0000_s1250" type="#_x0000_t202" style="position:absolute;left:1001;top:3704;width:2228;height:8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Op08MA&#10;AADcAAAADwAAAGRycy9kb3ducmV2LnhtbERPz2vCMBS+D/wfwhN2m2k3kK0aS5ENBgOxdgePz+bZ&#10;BpuXrslq99+bg7Djx/d7nU+2EyMN3jhWkC4SEMS104YbBd/Vx9MrCB+QNXaOScEfecg3s4c1Ztpd&#10;uaTxEBoRQ9hnqKANoc+k9HVLFv3C9cSRO7vBYohwaKQe8BrDbSefk2QpLRqODS32tG2pvhx+rYLi&#10;yOW7+dmd9uW5NFX1lvDX8qLU43wqViACTeFffHd/agUvaZwfz8QjID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cOp08MAAADcAAAADwAAAAAAAAAAAAAAAACYAgAAZHJzL2Rv&#10;d25yZXYueG1sUEsFBgAAAAAEAAQA9QAAAIgDAAAAAA==&#10;" filled="f" stroked="f">
                  <v:textbox inset="0,0,0,0">
                    <w:txbxContent>
                      <w:p w:rsidR="007B2B7B" w:rsidRDefault="007B2B7B">
                        <w:pPr>
                          <w:pStyle w:val="BodyText"/>
                          <w:kinsoku w:val="0"/>
                          <w:overflowPunct w:val="0"/>
                          <w:spacing w:line="164" w:lineRule="exact"/>
                          <w:ind w:left="-1"/>
                          <w:jc w:val="center"/>
                          <w:rPr>
                            <w:rFonts w:ascii="Arial" w:hAnsi="Arial" w:cs="Arial"/>
                            <w:b/>
                            <w:bCs/>
                            <w:sz w:val="16"/>
                            <w:szCs w:val="16"/>
                          </w:rPr>
                        </w:pPr>
                        <w:r>
                          <w:rPr>
                            <w:rFonts w:ascii="Arial" w:hAnsi="Arial" w:cs="Arial"/>
                            <w:b/>
                            <w:bCs/>
                            <w:sz w:val="16"/>
                            <w:szCs w:val="16"/>
                          </w:rPr>
                          <w:t>STUDENT BOARD</w:t>
                        </w:r>
                        <w:r>
                          <w:rPr>
                            <w:rFonts w:ascii="Arial" w:hAnsi="Arial" w:cs="Arial"/>
                            <w:b/>
                            <w:bCs/>
                            <w:spacing w:val="-28"/>
                            <w:sz w:val="16"/>
                            <w:szCs w:val="16"/>
                          </w:rPr>
                          <w:t xml:space="preserve"> </w:t>
                        </w:r>
                        <w:r>
                          <w:rPr>
                            <w:rFonts w:ascii="Arial" w:hAnsi="Arial" w:cs="Arial"/>
                            <w:b/>
                            <w:bCs/>
                            <w:sz w:val="16"/>
                            <w:szCs w:val="16"/>
                          </w:rPr>
                          <w:t>MEMBERS</w:t>
                        </w:r>
                      </w:p>
                      <w:p w:rsidR="007B2B7B" w:rsidRDefault="007B2B7B">
                        <w:pPr>
                          <w:pStyle w:val="BodyText"/>
                          <w:kinsoku w:val="0"/>
                          <w:overflowPunct w:val="0"/>
                          <w:spacing w:before="14" w:line="350" w:lineRule="atLeast"/>
                          <w:ind w:left="3"/>
                          <w:jc w:val="center"/>
                          <w:rPr>
                            <w:rFonts w:ascii="Arial" w:hAnsi="Arial" w:cs="Arial"/>
                            <w:sz w:val="16"/>
                            <w:szCs w:val="16"/>
                          </w:rPr>
                        </w:pPr>
                        <w:r>
                          <w:rPr>
                            <w:rFonts w:ascii="Arial" w:hAnsi="Arial" w:cs="Arial"/>
                            <w:sz w:val="16"/>
                            <w:szCs w:val="16"/>
                          </w:rPr>
                          <w:t>ERICA APPLEMAN, M.A. SAGAR LAD, M.S.</w:t>
                        </w:r>
                      </w:p>
                    </w:txbxContent>
                  </v:textbox>
                </v:shape>
                <w10:wrap anchorx="page"/>
              </v:group>
            </w:pict>
          </mc:Fallback>
        </mc:AlternateContent>
      </w:r>
      <w:r w:rsidR="002C5025">
        <w:rPr>
          <w:rFonts w:ascii="Arial" w:hAnsi="Arial" w:cs="Arial"/>
          <w:sz w:val="16"/>
          <w:szCs w:val="16"/>
        </w:rPr>
        <w:t>KELLY C. KARL, PSY.D.</w:t>
      </w:r>
    </w:p>
    <w:p w:rsidR="002C5025" w:rsidRDefault="002C5025">
      <w:pPr>
        <w:pStyle w:val="BodyText"/>
        <w:kinsoku w:val="0"/>
        <w:overflowPunct w:val="0"/>
        <w:spacing w:before="59"/>
        <w:ind w:left="329" w:right="1826"/>
        <w:rPr>
          <w:sz w:val="21"/>
          <w:szCs w:val="21"/>
        </w:rPr>
      </w:pPr>
      <w:r>
        <w:rPr>
          <w:rFonts w:ascii="Times New Roman" w:hAnsi="Times New Roman" w:cs="Times New Roman"/>
          <w:sz w:val="24"/>
          <w:szCs w:val="24"/>
        </w:rPr>
        <w:br w:type="column"/>
      </w:r>
      <w:r>
        <w:rPr>
          <w:sz w:val="21"/>
          <w:szCs w:val="21"/>
        </w:rPr>
        <w:lastRenderedPageBreak/>
        <w:t>July 16, 2016</w:t>
      </w:r>
    </w:p>
    <w:p w:rsidR="002C5025" w:rsidRDefault="002C5025">
      <w:pPr>
        <w:pStyle w:val="BodyText"/>
        <w:kinsoku w:val="0"/>
        <w:overflowPunct w:val="0"/>
        <w:spacing w:before="4"/>
        <w:rPr>
          <w:sz w:val="29"/>
          <w:szCs w:val="29"/>
        </w:rPr>
      </w:pPr>
    </w:p>
    <w:p w:rsidR="002C5025" w:rsidRDefault="002C5025">
      <w:pPr>
        <w:pStyle w:val="BodyText"/>
        <w:kinsoku w:val="0"/>
        <w:overflowPunct w:val="0"/>
        <w:spacing w:line="288" w:lineRule="auto"/>
        <w:ind w:left="329" w:right="1826"/>
        <w:rPr>
          <w:sz w:val="21"/>
          <w:szCs w:val="21"/>
        </w:rPr>
      </w:pPr>
      <w:r>
        <w:rPr>
          <w:sz w:val="21"/>
          <w:szCs w:val="21"/>
        </w:rPr>
        <w:t>Marylou Sudders, Secretary of Health and Human Services Massachusetts Executive Office of Health and Human Services</w:t>
      </w:r>
    </w:p>
    <w:p w:rsidR="002C5025" w:rsidRDefault="002C5025">
      <w:pPr>
        <w:pStyle w:val="BodyText"/>
        <w:kinsoku w:val="0"/>
        <w:overflowPunct w:val="0"/>
        <w:spacing w:before="1"/>
        <w:rPr>
          <w:sz w:val="25"/>
          <w:szCs w:val="25"/>
        </w:rPr>
      </w:pPr>
    </w:p>
    <w:p w:rsidR="002C5025" w:rsidRDefault="002C5025">
      <w:pPr>
        <w:pStyle w:val="BodyText"/>
        <w:kinsoku w:val="0"/>
        <w:overflowPunct w:val="0"/>
        <w:ind w:left="329" w:right="645"/>
        <w:rPr>
          <w:b/>
          <w:bCs/>
          <w:sz w:val="21"/>
          <w:szCs w:val="21"/>
        </w:rPr>
      </w:pPr>
      <w:r>
        <w:rPr>
          <w:b/>
          <w:bCs/>
          <w:sz w:val="21"/>
          <w:szCs w:val="21"/>
        </w:rPr>
        <w:t>Re: MassHealth Section 1115; Comments on Demonstration Extension Request</w:t>
      </w:r>
    </w:p>
    <w:p w:rsidR="002C5025" w:rsidRDefault="00FD19EE">
      <w:pPr>
        <w:pStyle w:val="BodyText"/>
        <w:kinsoku w:val="0"/>
        <w:overflowPunct w:val="0"/>
        <w:spacing w:before="51" w:line="576" w:lineRule="auto"/>
        <w:ind w:left="329" w:right="4406"/>
        <w:rPr>
          <w:color w:val="000000"/>
          <w:sz w:val="21"/>
          <w:szCs w:val="21"/>
        </w:rPr>
      </w:pPr>
      <w:hyperlink r:id="rId482" w:history="1">
        <w:r w:rsidR="002C5025">
          <w:rPr>
            <w:color w:val="0000FF"/>
            <w:sz w:val="21"/>
            <w:szCs w:val="21"/>
            <w:u w:val="single"/>
          </w:rPr>
          <w:t>MassHealth.Innovations@state.ma.us</w:t>
        </w:r>
      </w:hyperlink>
      <w:r w:rsidR="002C5025">
        <w:rPr>
          <w:color w:val="0000FF"/>
          <w:sz w:val="21"/>
          <w:szCs w:val="21"/>
          <w:u w:val="single"/>
        </w:rPr>
        <w:t xml:space="preserve"> </w:t>
      </w:r>
      <w:r w:rsidR="002C5025">
        <w:rPr>
          <w:color w:val="000000"/>
          <w:sz w:val="21"/>
          <w:szCs w:val="21"/>
        </w:rPr>
        <w:t>Dear Secretary Sudders,</w:t>
      </w:r>
    </w:p>
    <w:p w:rsidR="002C5025" w:rsidRDefault="002C5025">
      <w:pPr>
        <w:pStyle w:val="BodyText"/>
        <w:kinsoku w:val="0"/>
        <w:overflowPunct w:val="0"/>
        <w:spacing w:before="4" w:line="288" w:lineRule="auto"/>
        <w:ind w:left="329" w:right="645"/>
        <w:rPr>
          <w:spacing w:val="-3"/>
          <w:sz w:val="21"/>
          <w:szCs w:val="21"/>
        </w:rPr>
      </w:pPr>
      <w:r>
        <w:rPr>
          <w:sz w:val="21"/>
          <w:szCs w:val="21"/>
        </w:rPr>
        <w:t xml:space="preserve">Thank you for the opportunity to comment on the MassHealth </w:t>
      </w:r>
      <w:r>
        <w:rPr>
          <w:spacing w:val="-3"/>
          <w:sz w:val="21"/>
          <w:szCs w:val="21"/>
        </w:rPr>
        <w:t xml:space="preserve">Demonstration </w:t>
      </w:r>
      <w:r>
        <w:rPr>
          <w:sz w:val="21"/>
          <w:szCs w:val="21"/>
        </w:rPr>
        <w:t xml:space="preserve">Extension Request.   As neuropsychologists, we applaud the move </w:t>
      </w:r>
      <w:r>
        <w:rPr>
          <w:spacing w:val="-2"/>
          <w:sz w:val="21"/>
          <w:szCs w:val="21"/>
        </w:rPr>
        <w:t xml:space="preserve">toward </w:t>
      </w:r>
      <w:r>
        <w:rPr>
          <w:sz w:val="21"/>
          <w:szCs w:val="21"/>
        </w:rPr>
        <w:t xml:space="preserve">integration of behavioral health, substance use disorder, long-term supports, and health-related social services in alternative payment methods and ACO models. We are providing comments on behalf of </w:t>
      </w:r>
      <w:r>
        <w:rPr>
          <w:spacing w:val="-3"/>
          <w:sz w:val="21"/>
          <w:szCs w:val="21"/>
        </w:rPr>
        <w:t xml:space="preserve">our </w:t>
      </w:r>
      <w:r>
        <w:rPr>
          <w:spacing w:val="-2"/>
          <w:sz w:val="21"/>
          <w:szCs w:val="21"/>
        </w:rPr>
        <w:t xml:space="preserve">statewide, </w:t>
      </w:r>
      <w:r>
        <w:rPr>
          <w:sz w:val="21"/>
          <w:szCs w:val="21"/>
        </w:rPr>
        <w:t>non-profit professional organization, the Massachusetts</w:t>
      </w:r>
      <w:r>
        <w:rPr>
          <w:spacing w:val="-15"/>
          <w:sz w:val="21"/>
          <w:szCs w:val="21"/>
        </w:rPr>
        <w:t xml:space="preserve"> </w:t>
      </w:r>
      <w:r>
        <w:rPr>
          <w:sz w:val="21"/>
          <w:szCs w:val="21"/>
        </w:rPr>
        <w:t>Neuropsychological</w:t>
      </w:r>
      <w:r>
        <w:rPr>
          <w:spacing w:val="-13"/>
          <w:sz w:val="21"/>
          <w:szCs w:val="21"/>
        </w:rPr>
        <w:t xml:space="preserve"> </w:t>
      </w:r>
      <w:r>
        <w:rPr>
          <w:sz w:val="21"/>
          <w:szCs w:val="21"/>
        </w:rPr>
        <w:t>Society</w:t>
      </w:r>
      <w:r>
        <w:rPr>
          <w:spacing w:val="-14"/>
          <w:sz w:val="21"/>
          <w:szCs w:val="21"/>
        </w:rPr>
        <w:t xml:space="preserve"> </w:t>
      </w:r>
      <w:r>
        <w:rPr>
          <w:sz w:val="21"/>
          <w:szCs w:val="21"/>
        </w:rPr>
        <w:t>(MNS),</w:t>
      </w:r>
      <w:r>
        <w:rPr>
          <w:spacing w:val="-13"/>
          <w:sz w:val="21"/>
          <w:szCs w:val="21"/>
        </w:rPr>
        <w:t xml:space="preserve"> </w:t>
      </w:r>
      <w:r>
        <w:rPr>
          <w:sz w:val="21"/>
          <w:szCs w:val="21"/>
        </w:rPr>
        <w:t>and</w:t>
      </w:r>
      <w:r>
        <w:rPr>
          <w:spacing w:val="-13"/>
          <w:sz w:val="21"/>
          <w:szCs w:val="21"/>
        </w:rPr>
        <w:t xml:space="preserve"> </w:t>
      </w:r>
      <w:r>
        <w:rPr>
          <w:spacing w:val="-2"/>
          <w:sz w:val="21"/>
          <w:szCs w:val="21"/>
        </w:rPr>
        <w:t>the</w:t>
      </w:r>
      <w:r>
        <w:rPr>
          <w:spacing w:val="-12"/>
          <w:sz w:val="21"/>
          <w:szCs w:val="21"/>
        </w:rPr>
        <w:t xml:space="preserve"> </w:t>
      </w:r>
      <w:r>
        <w:rPr>
          <w:sz w:val="21"/>
          <w:szCs w:val="21"/>
        </w:rPr>
        <w:t>consumers</w:t>
      </w:r>
      <w:r>
        <w:rPr>
          <w:spacing w:val="-15"/>
          <w:sz w:val="21"/>
          <w:szCs w:val="21"/>
        </w:rPr>
        <w:t xml:space="preserve"> </w:t>
      </w:r>
      <w:r>
        <w:rPr>
          <w:sz w:val="21"/>
          <w:szCs w:val="21"/>
        </w:rPr>
        <w:t>who</w:t>
      </w:r>
      <w:r>
        <w:rPr>
          <w:spacing w:val="-14"/>
          <w:sz w:val="21"/>
          <w:szCs w:val="21"/>
        </w:rPr>
        <w:t xml:space="preserve"> </w:t>
      </w:r>
      <w:r>
        <w:rPr>
          <w:sz w:val="21"/>
          <w:szCs w:val="21"/>
        </w:rPr>
        <w:t>need</w:t>
      </w:r>
      <w:r>
        <w:rPr>
          <w:spacing w:val="-13"/>
          <w:sz w:val="21"/>
          <w:szCs w:val="21"/>
        </w:rPr>
        <w:t xml:space="preserve"> </w:t>
      </w:r>
      <w:r>
        <w:rPr>
          <w:sz w:val="21"/>
          <w:szCs w:val="21"/>
        </w:rPr>
        <w:t>access to our</w:t>
      </w:r>
      <w:r>
        <w:rPr>
          <w:spacing w:val="-3"/>
          <w:sz w:val="21"/>
          <w:szCs w:val="21"/>
        </w:rPr>
        <w:t xml:space="preserve"> services.</w:t>
      </w:r>
    </w:p>
    <w:p w:rsidR="002C5025" w:rsidRDefault="002C5025">
      <w:pPr>
        <w:pStyle w:val="BodyText"/>
        <w:kinsoku w:val="0"/>
        <w:overflowPunct w:val="0"/>
        <w:spacing w:before="11"/>
        <w:rPr>
          <w:sz w:val="24"/>
          <w:szCs w:val="24"/>
        </w:rPr>
      </w:pPr>
    </w:p>
    <w:p w:rsidR="002C5025" w:rsidRDefault="002C5025">
      <w:pPr>
        <w:pStyle w:val="BodyText"/>
        <w:kinsoku w:val="0"/>
        <w:overflowPunct w:val="0"/>
        <w:spacing w:line="288" w:lineRule="auto"/>
        <w:ind w:left="329" w:right="802"/>
        <w:rPr>
          <w:b/>
          <w:bCs/>
          <w:i/>
          <w:iCs/>
          <w:sz w:val="21"/>
          <w:szCs w:val="21"/>
        </w:rPr>
      </w:pPr>
      <w:r>
        <w:rPr>
          <w:b/>
          <w:bCs/>
          <w:i/>
          <w:iCs/>
          <w:sz w:val="21"/>
          <w:szCs w:val="21"/>
        </w:rPr>
        <w:t>We would like to emphasize that meeting the healthcare needs of MassHealth enrollees requires access to the full range of behavioral health services and that psychological and neuropsychological assessment services, in particular, will play a crucial role in achieving healthcare system goals in new care-delivery and payment models.</w:t>
      </w:r>
    </w:p>
    <w:p w:rsidR="002C5025" w:rsidRDefault="002C5025">
      <w:pPr>
        <w:pStyle w:val="BodyText"/>
        <w:kinsoku w:val="0"/>
        <w:overflowPunct w:val="0"/>
        <w:spacing w:before="1"/>
        <w:rPr>
          <w:b/>
          <w:bCs/>
          <w:i/>
          <w:iCs/>
          <w:sz w:val="25"/>
          <w:szCs w:val="25"/>
        </w:rPr>
      </w:pPr>
    </w:p>
    <w:p w:rsidR="002C5025" w:rsidRDefault="002C5025">
      <w:pPr>
        <w:pStyle w:val="BodyText"/>
        <w:kinsoku w:val="0"/>
        <w:overflowPunct w:val="0"/>
        <w:ind w:left="328" w:right="645"/>
        <w:rPr>
          <w:sz w:val="21"/>
          <w:szCs w:val="21"/>
        </w:rPr>
      </w:pPr>
      <w:r>
        <w:rPr>
          <w:b/>
          <w:bCs/>
          <w:sz w:val="21"/>
          <w:szCs w:val="21"/>
        </w:rPr>
        <w:t xml:space="preserve">To provide truly integrated care, ACO provider networks need experts on how physical and behavioral health conditions interact. </w:t>
      </w:r>
      <w:r>
        <w:rPr>
          <w:sz w:val="21"/>
          <w:szCs w:val="21"/>
        </w:rPr>
        <w:t>Many individuals, especially the highest-risk enrollees in our healthcare systems (including those needing long term services and supports {LSS}), present with a complex web of physical and psychological symptoms. Neuropsychologists’ expertise, focused on brain-behavior relationships, is exquisitely suited for integrated care. Neuropsychologists identify and treat the brain- based cognitive and emotional symptoms of various behavioral health and physical health disorders AND identify and treat brain-based cognitive or emotional symptoms that may be preventing patients from following treatment plans.</w:t>
      </w:r>
    </w:p>
    <w:p w:rsidR="002C5025" w:rsidRDefault="002C5025">
      <w:pPr>
        <w:pStyle w:val="BodyText"/>
        <w:kinsoku w:val="0"/>
        <w:overflowPunct w:val="0"/>
        <w:spacing w:before="10"/>
        <w:rPr>
          <w:sz w:val="20"/>
          <w:szCs w:val="20"/>
        </w:rPr>
      </w:pPr>
    </w:p>
    <w:p w:rsidR="002C5025" w:rsidRDefault="002C5025">
      <w:pPr>
        <w:pStyle w:val="BodyText"/>
        <w:kinsoku w:val="0"/>
        <w:overflowPunct w:val="0"/>
        <w:ind w:left="329" w:right="1826"/>
        <w:rPr>
          <w:sz w:val="21"/>
          <w:szCs w:val="21"/>
        </w:rPr>
      </w:pPr>
      <w:r>
        <w:rPr>
          <w:sz w:val="21"/>
          <w:szCs w:val="21"/>
        </w:rPr>
        <w:t>We offer the following points for your consideration:</w:t>
      </w:r>
    </w:p>
    <w:p w:rsidR="002C5025" w:rsidRDefault="002C5025">
      <w:pPr>
        <w:pStyle w:val="ListParagraph"/>
        <w:numPr>
          <w:ilvl w:val="0"/>
          <w:numId w:val="31"/>
        </w:numPr>
        <w:tabs>
          <w:tab w:val="left" w:pos="1050"/>
        </w:tabs>
        <w:kinsoku w:val="0"/>
        <w:overflowPunct w:val="0"/>
        <w:spacing w:before="51" w:line="288" w:lineRule="auto"/>
        <w:ind w:right="728" w:hanging="360"/>
        <w:rPr>
          <w:rFonts w:ascii="Calibri" w:hAnsi="Calibri" w:cs="Calibri"/>
          <w:sz w:val="21"/>
          <w:szCs w:val="21"/>
        </w:rPr>
      </w:pPr>
      <w:r>
        <w:rPr>
          <w:rFonts w:ascii="Calibri" w:hAnsi="Calibri" w:cs="Calibri"/>
          <w:b/>
          <w:bCs/>
          <w:position w:val="1"/>
          <w:sz w:val="21"/>
          <w:szCs w:val="21"/>
        </w:rPr>
        <w:t xml:space="preserve">The evidence base for the predictive and diagnostic validity for various </w:t>
      </w:r>
      <w:r>
        <w:rPr>
          <w:rFonts w:ascii="Calibri" w:hAnsi="Calibri" w:cs="Calibri"/>
          <w:b/>
          <w:bCs/>
          <w:sz w:val="21"/>
          <w:szCs w:val="21"/>
        </w:rPr>
        <w:t xml:space="preserve">psychological and neuropsychological assessment measures is strong. </w:t>
      </w:r>
      <w:r>
        <w:rPr>
          <w:rFonts w:ascii="Calibri" w:hAnsi="Calibri" w:cs="Calibri"/>
          <w:sz w:val="21"/>
          <w:szCs w:val="21"/>
        </w:rPr>
        <w:t>With efforts underway to curb spiraling healthcare costs, accurate diagnosis provided by psychological and neuropsychological assessment results in improved treatment efficacy, since interventions then target the appropriate condition.</w:t>
      </w:r>
      <w:r>
        <w:rPr>
          <w:rFonts w:ascii="Calibri" w:hAnsi="Calibri" w:cs="Calibri"/>
          <w:spacing w:val="-10"/>
          <w:sz w:val="21"/>
          <w:szCs w:val="21"/>
        </w:rPr>
        <w:t xml:space="preserve"> </w:t>
      </w:r>
      <w:r>
        <w:rPr>
          <w:rFonts w:ascii="Calibri" w:hAnsi="Calibri" w:cs="Calibri"/>
          <w:sz w:val="21"/>
          <w:szCs w:val="21"/>
        </w:rPr>
        <w:t>These</w:t>
      </w:r>
      <w:r>
        <w:rPr>
          <w:rFonts w:ascii="Calibri" w:hAnsi="Calibri" w:cs="Calibri"/>
          <w:spacing w:val="-7"/>
          <w:sz w:val="21"/>
          <w:szCs w:val="21"/>
        </w:rPr>
        <w:t xml:space="preserve"> </w:t>
      </w:r>
      <w:r>
        <w:rPr>
          <w:rFonts w:ascii="Calibri" w:hAnsi="Calibri" w:cs="Calibri"/>
          <w:spacing w:val="-3"/>
          <w:sz w:val="21"/>
          <w:szCs w:val="21"/>
        </w:rPr>
        <w:t>assessments</w:t>
      </w:r>
      <w:r>
        <w:rPr>
          <w:rFonts w:ascii="Calibri" w:hAnsi="Calibri" w:cs="Calibri"/>
          <w:spacing w:val="-10"/>
          <w:sz w:val="21"/>
          <w:szCs w:val="21"/>
        </w:rPr>
        <w:t xml:space="preserve"> </w:t>
      </w:r>
      <w:r>
        <w:rPr>
          <w:rFonts w:ascii="Calibri" w:hAnsi="Calibri" w:cs="Calibri"/>
          <w:sz w:val="21"/>
          <w:szCs w:val="21"/>
        </w:rPr>
        <w:t>identify</w:t>
      </w:r>
      <w:r>
        <w:rPr>
          <w:rFonts w:ascii="Calibri" w:hAnsi="Calibri" w:cs="Calibri"/>
          <w:spacing w:val="-7"/>
          <w:sz w:val="21"/>
          <w:szCs w:val="21"/>
        </w:rPr>
        <w:t xml:space="preserve"> </w:t>
      </w:r>
      <w:r>
        <w:rPr>
          <w:rFonts w:ascii="Calibri" w:hAnsi="Calibri" w:cs="Calibri"/>
          <w:sz w:val="21"/>
          <w:szCs w:val="21"/>
        </w:rPr>
        <w:t>specific</w:t>
      </w:r>
      <w:r>
        <w:rPr>
          <w:rFonts w:ascii="Calibri" w:hAnsi="Calibri" w:cs="Calibri"/>
          <w:spacing w:val="-10"/>
          <w:sz w:val="21"/>
          <w:szCs w:val="21"/>
        </w:rPr>
        <w:t xml:space="preserve"> </w:t>
      </w:r>
      <w:r>
        <w:rPr>
          <w:rFonts w:ascii="Calibri" w:hAnsi="Calibri" w:cs="Calibri"/>
          <w:sz w:val="21"/>
          <w:szCs w:val="21"/>
        </w:rPr>
        <w:t>cognitive</w:t>
      </w:r>
      <w:r>
        <w:rPr>
          <w:rFonts w:ascii="Calibri" w:hAnsi="Calibri" w:cs="Calibri"/>
          <w:spacing w:val="-9"/>
          <w:sz w:val="21"/>
          <w:szCs w:val="21"/>
        </w:rPr>
        <w:t xml:space="preserve"> </w:t>
      </w:r>
      <w:r>
        <w:rPr>
          <w:rFonts w:ascii="Calibri" w:hAnsi="Calibri" w:cs="Calibri"/>
          <w:sz w:val="21"/>
          <w:szCs w:val="21"/>
        </w:rPr>
        <w:t>strengths</w:t>
      </w:r>
      <w:r>
        <w:rPr>
          <w:rFonts w:ascii="Calibri" w:hAnsi="Calibri" w:cs="Calibri"/>
          <w:spacing w:val="-13"/>
          <w:sz w:val="21"/>
          <w:szCs w:val="21"/>
        </w:rPr>
        <w:t xml:space="preserve"> </w:t>
      </w:r>
      <w:r>
        <w:rPr>
          <w:rFonts w:ascii="Calibri" w:hAnsi="Calibri" w:cs="Calibri"/>
          <w:sz w:val="21"/>
          <w:szCs w:val="21"/>
        </w:rPr>
        <w:t>and</w:t>
      </w:r>
      <w:r>
        <w:rPr>
          <w:rFonts w:ascii="Calibri" w:hAnsi="Calibri" w:cs="Calibri"/>
          <w:spacing w:val="-13"/>
          <w:sz w:val="21"/>
          <w:szCs w:val="21"/>
        </w:rPr>
        <w:t xml:space="preserve"> </w:t>
      </w:r>
      <w:r>
        <w:rPr>
          <w:rFonts w:ascii="Calibri" w:hAnsi="Calibri" w:cs="Calibri"/>
          <w:sz w:val="21"/>
          <w:szCs w:val="21"/>
        </w:rPr>
        <w:t xml:space="preserve">deficits, as well as psychological symptoms and characteristics, so that </w:t>
      </w:r>
      <w:r>
        <w:rPr>
          <w:rFonts w:ascii="Calibri" w:hAnsi="Calibri" w:cs="Calibri"/>
          <w:spacing w:val="-3"/>
          <w:sz w:val="21"/>
          <w:szCs w:val="21"/>
        </w:rPr>
        <w:t xml:space="preserve">the </w:t>
      </w:r>
      <w:r>
        <w:rPr>
          <w:rFonts w:ascii="Calibri" w:hAnsi="Calibri" w:cs="Calibri"/>
          <w:sz w:val="21"/>
          <w:szCs w:val="21"/>
        </w:rPr>
        <w:t>most effective,</w:t>
      </w:r>
      <w:r>
        <w:rPr>
          <w:rFonts w:ascii="Calibri" w:hAnsi="Calibri" w:cs="Calibri"/>
          <w:spacing w:val="-18"/>
          <w:sz w:val="21"/>
          <w:szCs w:val="21"/>
        </w:rPr>
        <w:t xml:space="preserve"> </w:t>
      </w:r>
      <w:r>
        <w:rPr>
          <w:rFonts w:ascii="Calibri" w:hAnsi="Calibri" w:cs="Calibri"/>
          <w:sz w:val="21"/>
          <w:szCs w:val="21"/>
        </w:rPr>
        <w:t>empirically-validated</w:t>
      </w:r>
      <w:r>
        <w:rPr>
          <w:rFonts w:ascii="Calibri" w:hAnsi="Calibri" w:cs="Calibri"/>
          <w:spacing w:val="-19"/>
          <w:sz w:val="21"/>
          <w:szCs w:val="21"/>
        </w:rPr>
        <w:t xml:space="preserve"> </w:t>
      </w:r>
      <w:r>
        <w:rPr>
          <w:rFonts w:ascii="Calibri" w:hAnsi="Calibri" w:cs="Calibri"/>
          <w:sz w:val="21"/>
          <w:szCs w:val="21"/>
        </w:rPr>
        <w:t>interventions</w:t>
      </w:r>
      <w:r>
        <w:rPr>
          <w:rFonts w:ascii="Calibri" w:hAnsi="Calibri" w:cs="Calibri"/>
          <w:spacing w:val="-15"/>
          <w:sz w:val="21"/>
          <w:szCs w:val="21"/>
        </w:rPr>
        <w:t xml:space="preserve"> </w:t>
      </w:r>
      <w:r>
        <w:rPr>
          <w:rFonts w:ascii="Calibri" w:hAnsi="Calibri" w:cs="Calibri"/>
          <w:sz w:val="21"/>
          <w:szCs w:val="21"/>
        </w:rPr>
        <w:t>are</w:t>
      </w:r>
      <w:r>
        <w:rPr>
          <w:rFonts w:ascii="Calibri" w:hAnsi="Calibri" w:cs="Calibri"/>
          <w:spacing w:val="-16"/>
          <w:sz w:val="21"/>
          <w:szCs w:val="21"/>
        </w:rPr>
        <w:t xml:space="preserve"> </w:t>
      </w:r>
      <w:r>
        <w:rPr>
          <w:rFonts w:ascii="Calibri" w:hAnsi="Calibri" w:cs="Calibri"/>
          <w:sz w:val="21"/>
          <w:szCs w:val="21"/>
        </w:rPr>
        <w:t>implemented.</w:t>
      </w:r>
    </w:p>
    <w:p w:rsidR="002C5025" w:rsidRDefault="002C5025">
      <w:pPr>
        <w:pStyle w:val="ListParagraph"/>
        <w:numPr>
          <w:ilvl w:val="0"/>
          <w:numId w:val="31"/>
        </w:numPr>
        <w:tabs>
          <w:tab w:val="left" w:pos="1050"/>
        </w:tabs>
        <w:kinsoku w:val="0"/>
        <w:overflowPunct w:val="0"/>
        <w:spacing w:before="51" w:line="288" w:lineRule="auto"/>
        <w:ind w:right="728" w:hanging="360"/>
        <w:rPr>
          <w:rFonts w:ascii="Calibri" w:hAnsi="Calibri" w:cs="Calibri"/>
          <w:sz w:val="21"/>
          <w:szCs w:val="21"/>
        </w:rPr>
        <w:sectPr w:rsidR="002C5025">
          <w:type w:val="continuous"/>
          <w:pgSz w:w="12240" w:h="15840"/>
          <w:pgMar w:top="720" w:right="0" w:bottom="280" w:left="0" w:header="720" w:footer="720" w:gutter="0"/>
          <w:cols w:num="2" w:space="720" w:equalWidth="0">
            <w:col w:w="3831" w:space="40"/>
            <w:col w:w="8369"/>
          </w:cols>
          <w:noEndnote/>
        </w:sectPr>
      </w:pPr>
    </w:p>
    <w:p w:rsidR="002C5025" w:rsidRDefault="002C5025">
      <w:pPr>
        <w:pStyle w:val="BodyText"/>
        <w:kinsoku w:val="0"/>
        <w:overflowPunct w:val="0"/>
        <w:spacing w:before="7"/>
        <w:rPr>
          <w:sz w:val="17"/>
          <w:szCs w:val="17"/>
        </w:rPr>
      </w:pPr>
    </w:p>
    <w:p w:rsidR="002C5025" w:rsidRDefault="00FB027C">
      <w:pPr>
        <w:pStyle w:val="BodyText"/>
        <w:kinsoku w:val="0"/>
        <w:overflowPunct w:val="0"/>
        <w:spacing w:before="76" w:line="288" w:lineRule="auto"/>
        <w:ind w:left="7241" w:right="573" w:firstLine="1533"/>
        <w:jc w:val="right"/>
        <w:rPr>
          <w:rFonts w:ascii="Arial" w:hAnsi="Arial" w:cs="Arial"/>
          <w:sz w:val="19"/>
          <w:szCs w:val="19"/>
        </w:rPr>
      </w:pPr>
      <w:r>
        <w:rPr>
          <w:noProof/>
        </w:rPr>
        <mc:AlternateContent>
          <mc:Choice Requires="wps">
            <w:drawing>
              <wp:anchor distT="0" distB="0" distL="114300" distR="114300" simplePos="0" relativeHeight="251731456" behindDoc="0" locked="0" layoutInCell="0" allowOverlap="1">
                <wp:simplePos x="0" y="0"/>
                <wp:positionH relativeFrom="page">
                  <wp:posOffset>335280</wp:posOffset>
                </wp:positionH>
                <wp:positionV relativeFrom="paragraph">
                  <wp:posOffset>-132715</wp:posOffset>
                </wp:positionV>
                <wp:extent cx="3086100" cy="647700"/>
                <wp:effectExtent l="0" t="0" r="0" b="0"/>
                <wp:wrapNone/>
                <wp:docPr id="306" name="Rectangle 7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1020" w:lineRule="atLeast"/>
                            </w:pPr>
                            <w:r>
                              <w:rPr>
                                <w:noProof/>
                              </w:rPr>
                              <w:drawing>
                                <wp:inline distT="0" distB="0" distL="0" distR="0">
                                  <wp:extent cx="3086100" cy="647700"/>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472">
                                            <a:extLst>
                                              <a:ext uri="{28A0092B-C50C-407E-A947-70E740481C1C}">
                                                <a14:useLocalDpi xmlns:a14="http://schemas.microsoft.com/office/drawing/2010/main" val="0"/>
                                              </a:ext>
                                            </a:extLst>
                                          </a:blip>
                                          <a:srcRect/>
                                          <a:stretch>
                                            <a:fillRect/>
                                          </a:stretch>
                                        </pic:blipFill>
                                        <pic:spPr bwMode="auto">
                                          <a:xfrm>
                                            <a:off x="0" y="0"/>
                                            <a:ext cx="3086100" cy="647700"/>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9" o:spid="_x0000_s1251" style="position:absolute;left:0;text-align:left;margin-left:26.4pt;margin-top:-10.45pt;width:243pt;height:51pt;z-index:251731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" o:allowincell="f" filled="f" stroked="f">
                <v:textbox inset="0,0,0,0">
                  <w:txbxContent>
                    <w:p w:rsidR="007B2B7B" w:rsidRDefault="007B2B7B">
                      <w:pPr>
                        <w:widowControl/>
                        <w:autoSpaceDE/>
                        <w:autoSpaceDN/>
                        <w:adjustRightInd/>
                        <w:spacing w:line="1020" w:lineRule="atLeast"/>
                      </w:pPr>
                      <w:r>
                        <w:rPr>
                          <w:noProof/>
                        </w:rPr>
                        <w:drawing>
                          <wp:inline distT="0" distB="0" distL="0" distR="0">
                            <wp:extent cx="3086100" cy="647700"/>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473">
                                      <a:extLst>
                                        <a:ext uri="{28A0092B-C50C-407E-A947-70E740481C1C}">
                                          <a14:useLocalDpi xmlns:a14="http://schemas.microsoft.com/office/drawing/2010/main" val="0"/>
                                        </a:ext>
                                      </a:extLst>
                                    </a:blip>
                                    <a:srcRect/>
                                    <a:stretch>
                                      <a:fillRect/>
                                    </a:stretch>
                                  </pic:blipFill>
                                  <pic:spPr bwMode="auto">
                                    <a:xfrm>
                                      <a:off x="0" y="0"/>
                                      <a:ext cx="3086100" cy="647700"/>
                                    </a:xfrm>
                                    <a:prstGeom prst="rect">
                                      <a:avLst/>
                                    </a:prstGeom>
                                    <a:noFill/>
                                    <a:ln>
                                      <a:noFill/>
                                    </a:ln>
                                  </pic:spPr>
                                </pic:pic>
                              </a:graphicData>
                            </a:graphic>
                          </wp:inline>
                        </w:drawing>
                      </w:r>
                    </w:p>
                    <w:p w:rsidR="007B2B7B" w:rsidRDefault="007B2B7B"/>
                  </w:txbxContent>
                </v:textbox>
                <w10:wrap anchorx="page"/>
              </v:rect>
            </w:pict>
          </mc:Fallback>
        </mc:AlternateContent>
      </w:r>
      <w:r w:rsidR="002C5025">
        <w:rPr>
          <w:rFonts w:ascii="Arial" w:hAnsi="Arial" w:cs="Arial"/>
          <w:sz w:val="19"/>
          <w:szCs w:val="19"/>
        </w:rPr>
        <w:t>P.O. Box 523 Sudbury, MA 01776</w:t>
      </w:r>
      <w:r w:rsidR="002C5025">
        <w:rPr>
          <w:rFonts w:ascii="Arial" w:hAnsi="Arial" w:cs="Arial"/>
          <w:w w:val="99"/>
          <w:sz w:val="19"/>
          <w:szCs w:val="19"/>
        </w:rPr>
        <w:t xml:space="preserve"> </w:t>
      </w:r>
      <w:r w:rsidR="002C5025">
        <w:rPr>
          <w:rFonts w:ascii="Arial" w:hAnsi="Arial" w:cs="Arial"/>
          <w:sz w:val="19"/>
          <w:szCs w:val="19"/>
        </w:rPr>
        <w:t xml:space="preserve">(617) 531-1413 · </w:t>
      </w:r>
      <w:hyperlink r:id="rId483" w:history="1">
        <w:r w:rsidR="002C5025">
          <w:rPr>
            <w:rFonts w:ascii="Arial" w:hAnsi="Arial" w:cs="Arial"/>
            <w:sz w:val="19"/>
            <w:szCs w:val="19"/>
          </w:rPr>
          <w:t>admin@massneuropsychology.org</w:t>
        </w:r>
      </w:hyperlink>
    </w:p>
    <w:p w:rsidR="002C5025" w:rsidRDefault="00FB027C">
      <w:pPr>
        <w:pStyle w:val="BodyText"/>
        <w:kinsoku w:val="0"/>
        <w:overflowPunct w:val="0"/>
        <w:spacing w:before="3"/>
        <w:ind w:right="550"/>
        <w:jc w:val="right"/>
        <w:rPr>
          <w:rFonts w:ascii="Arial" w:hAnsi="Arial" w:cs="Arial"/>
          <w:color w:val="00ADEF"/>
          <w:sz w:val="19"/>
          <w:szCs w:val="19"/>
        </w:rPr>
      </w:pPr>
      <w:r>
        <w:rPr>
          <w:noProof/>
        </w:rPr>
        <mc:AlternateContent>
          <mc:Choice Requires="wps">
            <w:drawing>
              <wp:anchor distT="0" distB="0" distL="114300" distR="114300" simplePos="0" relativeHeight="251732480" behindDoc="0" locked="0" layoutInCell="0" allowOverlap="1">
                <wp:simplePos x="0" y="0"/>
                <wp:positionH relativeFrom="page">
                  <wp:posOffset>0</wp:posOffset>
                </wp:positionH>
                <wp:positionV relativeFrom="paragraph">
                  <wp:posOffset>236855</wp:posOffset>
                </wp:positionV>
                <wp:extent cx="7772400" cy="12700"/>
                <wp:effectExtent l="0" t="0" r="0" b="0"/>
                <wp:wrapNone/>
                <wp:docPr id="305" name="Rectangle 7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20" w:lineRule="atLeast"/>
                            </w:pPr>
                            <w:r>
                              <w:rPr>
                                <w:noProof/>
                              </w:rPr>
                              <w:drawing>
                                <wp:inline distT="0" distB="0" distL="0" distR="0">
                                  <wp:extent cx="7772400" cy="9525"/>
                                  <wp:effectExtent l="0" t="0" r="0" b="9525"/>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475">
                                            <a:extLst>
                                              <a:ext uri="{28A0092B-C50C-407E-A947-70E740481C1C}">
                                                <a14:useLocalDpi xmlns:a14="http://schemas.microsoft.com/office/drawing/2010/main" val="0"/>
                                              </a:ext>
                                            </a:extLst>
                                          </a:blip>
                                          <a:srcRect/>
                                          <a:stretch>
                                            <a:fillRect/>
                                          </a:stretch>
                                        </pic:blipFill>
                                        <pic:spPr bwMode="auto">
                                          <a:xfrm>
                                            <a:off x="0" y="0"/>
                                            <a:ext cx="7772400" cy="9525"/>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0" o:spid="_x0000_s1252" style="position:absolute;left:0;text-align:left;margin-left:0;margin-top:18.65pt;width:612pt;height:1pt;z-index:251732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" o:allowincell="f" filled="f" stroked="f">
                <v:textbox inset="0,0,0,0">
                  <w:txbxContent>
                    <w:p w:rsidR="007B2B7B" w:rsidRDefault="007B2B7B">
                      <w:pPr>
                        <w:widowControl/>
                        <w:autoSpaceDE/>
                        <w:autoSpaceDN/>
                        <w:adjustRightInd/>
                        <w:spacing w:line="20" w:lineRule="atLeast"/>
                      </w:pPr>
                      <w:r>
                        <w:rPr>
                          <w:noProof/>
                        </w:rPr>
                        <w:drawing>
                          <wp:inline distT="0" distB="0" distL="0" distR="0">
                            <wp:extent cx="7772400" cy="9525"/>
                            <wp:effectExtent l="0" t="0" r="0" b="9525"/>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476">
                                      <a:extLst>
                                        <a:ext uri="{28A0092B-C50C-407E-A947-70E740481C1C}">
                                          <a14:useLocalDpi xmlns:a14="http://schemas.microsoft.com/office/drawing/2010/main" val="0"/>
                                        </a:ext>
                                      </a:extLst>
                                    </a:blip>
                                    <a:srcRect/>
                                    <a:stretch>
                                      <a:fillRect/>
                                    </a:stretch>
                                  </pic:blipFill>
                                  <pic:spPr bwMode="auto">
                                    <a:xfrm>
                                      <a:off x="0" y="0"/>
                                      <a:ext cx="7772400" cy="9525"/>
                                    </a:xfrm>
                                    <a:prstGeom prst="rect">
                                      <a:avLst/>
                                    </a:prstGeom>
                                    <a:noFill/>
                                    <a:ln>
                                      <a:noFill/>
                                    </a:ln>
                                  </pic:spPr>
                                </pic:pic>
                              </a:graphicData>
                            </a:graphic>
                          </wp:inline>
                        </w:drawing>
                      </w:r>
                    </w:p>
                    <w:p w:rsidR="007B2B7B" w:rsidRDefault="007B2B7B"/>
                  </w:txbxContent>
                </v:textbox>
                <w10:wrap anchorx="page"/>
              </v:rect>
            </w:pict>
          </mc:Fallback>
        </mc:AlternateContent>
      </w:r>
      <w:hyperlink r:id="rId484" w:history="1">
        <w:r w:rsidR="002C5025">
          <w:rPr>
            <w:rFonts w:ascii="Arial" w:hAnsi="Arial" w:cs="Arial"/>
            <w:color w:val="00ADEF"/>
            <w:sz w:val="19"/>
            <w:szCs w:val="19"/>
          </w:rPr>
          <w:t>www.massneuropsychology.org</w:t>
        </w:r>
      </w:hyperlink>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4"/>
        <w:rPr>
          <w:rFonts w:ascii="Arial" w:hAnsi="Arial" w:cs="Arial"/>
          <w:sz w:val="25"/>
          <w:szCs w:val="25"/>
        </w:rPr>
      </w:pPr>
    </w:p>
    <w:p w:rsidR="002C5025" w:rsidRDefault="002C5025">
      <w:pPr>
        <w:pStyle w:val="ListParagraph"/>
        <w:numPr>
          <w:ilvl w:val="1"/>
          <w:numId w:val="31"/>
        </w:numPr>
        <w:tabs>
          <w:tab w:val="left" w:pos="1364"/>
        </w:tabs>
        <w:kinsoku w:val="0"/>
        <w:overflowPunct w:val="0"/>
        <w:spacing w:before="62" w:line="285" w:lineRule="auto"/>
        <w:ind w:right="866" w:hanging="360"/>
        <w:rPr>
          <w:rFonts w:ascii="Calibri" w:hAnsi="Calibri" w:cs="Calibri"/>
          <w:i/>
          <w:iCs/>
          <w:spacing w:val="-3"/>
          <w:sz w:val="21"/>
          <w:szCs w:val="21"/>
        </w:rPr>
      </w:pPr>
      <w:r>
        <w:rPr>
          <w:rFonts w:ascii="Calibri" w:hAnsi="Calibri" w:cs="Calibri"/>
          <w:b/>
          <w:bCs/>
          <w:position w:val="1"/>
          <w:sz w:val="21"/>
          <w:szCs w:val="21"/>
        </w:rPr>
        <w:t xml:space="preserve">Neuropsychological and psychological assessments have significant clinical utility in many health care populations </w:t>
      </w:r>
      <w:r>
        <w:rPr>
          <w:rFonts w:ascii="Calibri" w:hAnsi="Calibri" w:cs="Calibri"/>
          <w:b/>
          <w:bCs/>
          <w:sz w:val="21"/>
          <w:szCs w:val="21"/>
        </w:rPr>
        <w:t>and,</w:t>
      </w:r>
      <w:r>
        <w:rPr>
          <w:rFonts w:ascii="Calibri" w:hAnsi="Calibri" w:cs="Calibri"/>
          <w:b/>
          <w:bCs/>
          <w:spacing w:val="-9"/>
          <w:sz w:val="21"/>
          <w:szCs w:val="21"/>
        </w:rPr>
        <w:t xml:space="preserve"> </w:t>
      </w:r>
      <w:r>
        <w:rPr>
          <w:rFonts w:ascii="Calibri" w:hAnsi="Calibri" w:cs="Calibri"/>
          <w:b/>
          <w:bCs/>
          <w:sz w:val="21"/>
          <w:szCs w:val="21"/>
        </w:rPr>
        <w:t>for</w:t>
      </w:r>
      <w:r>
        <w:rPr>
          <w:rFonts w:ascii="Calibri" w:hAnsi="Calibri" w:cs="Calibri"/>
          <w:b/>
          <w:bCs/>
          <w:spacing w:val="-10"/>
          <w:sz w:val="21"/>
          <w:szCs w:val="21"/>
        </w:rPr>
        <w:t xml:space="preserve"> </w:t>
      </w:r>
      <w:r>
        <w:rPr>
          <w:rFonts w:ascii="Calibri" w:hAnsi="Calibri" w:cs="Calibri"/>
          <w:b/>
          <w:bCs/>
          <w:sz w:val="21"/>
          <w:szCs w:val="21"/>
        </w:rPr>
        <w:t>some</w:t>
      </w:r>
      <w:r>
        <w:rPr>
          <w:rFonts w:ascii="Calibri" w:hAnsi="Calibri" w:cs="Calibri"/>
          <w:b/>
          <w:bCs/>
          <w:spacing w:val="-12"/>
          <w:sz w:val="21"/>
          <w:szCs w:val="21"/>
        </w:rPr>
        <w:t xml:space="preserve"> </w:t>
      </w:r>
      <w:r>
        <w:rPr>
          <w:rFonts w:ascii="Calibri" w:hAnsi="Calibri" w:cs="Calibri"/>
          <w:b/>
          <w:bCs/>
          <w:sz w:val="21"/>
          <w:szCs w:val="21"/>
        </w:rPr>
        <w:t>individuals,</w:t>
      </w:r>
      <w:r>
        <w:rPr>
          <w:rFonts w:ascii="Calibri" w:hAnsi="Calibri" w:cs="Calibri"/>
          <w:b/>
          <w:bCs/>
          <w:spacing w:val="-11"/>
          <w:sz w:val="21"/>
          <w:szCs w:val="21"/>
        </w:rPr>
        <w:t xml:space="preserve"> </w:t>
      </w:r>
      <w:r>
        <w:rPr>
          <w:rFonts w:ascii="Calibri" w:hAnsi="Calibri" w:cs="Calibri"/>
          <w:b/>
          <w:bCs/>
          <w:sz w:val="21"/>
          <w:szCs w:val="21"/>
        </w:rPr>
        <w:t>they</w:t>
      </w:r>
      <w:r>
        <w:rPr>
          <w:rFonts w:ascii="Calibri" w:hAnsi="Calibri" w:cs="Calibri"/>
          <w:b/>
          <w:bCs/>
          <w:spacing w:val="-9"/>
          <w:sz w:val="21"/>
          <w:szCs w:val="21"/>
        </w:rPr>
        <w:t xml:space="preserve"> </w:t>
      </w:r>
      <w:r>
        <w:rPr>
          <w:rFonts w:ascii="Calibri" w:hAnsi="Calibri" w:cs="Calibri"/>
          <w:b/>
          <w:bCs/>
          <w:sz w:val="21"/>
          <w:szCs w:val="21"/>
        </w:rPr>
        <w:t>are</w:t>
      </w:r>
      <w:r>
        <w:rPr>
          <w:rFonts w:ascii="Calibri" w:hAnsi="Calibri" w:cs="Calibri"/>
          <w:b/>
          <w:bCs/>
          <w:spacing w:val="-10"/>
          <w:sz w:val="21"/>
          <w:szCs w:val="21"/>
        </w:rPr>
        <w:t xml:space="preserve"> </w:t>
      </w:r>
      <w:r>
        <w:rPr>
          <w:rFonts w:ascii="Calibri" w:hAnsi="Calibri" w:cs="Calibri"/>
          <w:b/>
          <w:bCs/>
          <w:sz w:val="21"/>
          <w:szCs w:val="21"/>
        </w:rPr>
        <w:t>essential</w:t>
      </w:r>
      <w:r>
        <w:rPr>
          <w:rFonts w:ascii="Calibri" w:hAnsi="Calibri" w:cs="Calibri"/>
          <w:b/>
          <w:bCs/>
          <w:spacing w:val="-11"/>
          <w:sz w:val="21"/>
          <w:szCs w:val="21"/>
        </w:rPr>
        <w:t xml:space="preserve"> </w:t>
      </w:r>
      <w:r>
        <w:rPr>
          <w:rFonts w:ascii="Calibri" w:hAnsi="Calibri" w:cs="Calibri"/>
          <w:b/>
          <w:bCs/>
          <w:sz w:val="21"/>
          <w:szCs w:val="21"/>
        </w:rPr>
        <w:t>for</w:t>
      </w:r>
      <w:r>
        <w:rPr>
          <w:rFonts w:ascii="Calibri" w:hAnsi="Calibri" w:cs="Calibri"/>
          <w:b/>
          <w:bCs/>
          <w:spacing w:val="-8"/>
          <w:sz w:val="21"/>
          <w:szCs w:val="21"/>
        </w:rPr>
        <w:t xml:space="preserve"> </w:t>
      </w:r>
      <w:r>
        <w:rPr>
          <w:rFonts w:ascii="Calibri" w:hAnsi="Calibri" w:cs="Calibri"/>
          <w:b/>
          <w:bCs/>
          <w:sz w:val="21"/>
          <w:szCs w:val="21"/>
        </w:rPr>
        <w:t>diagnosis</w:t>
      </w:r>
      <w:r>
        <w:rPr>
          <w:rFonts w:ascii="Calibri" w:hAnsi="Calibri" w:cs="Calibri"/>
          <w:b/>
          <w:bCs/>
          <w:spacing w:val="-10"/>
          <w:sz w:val="21"/>
          <w:szCs w:val="21"/>
        </w:rPr>
        <w:t xml:space="preserve"> </w:t>
      </w:r>
      <w:r>
        <w:rPr>
          <w:rFonts w:ascii="Calibri" w:hAnsi="Calibri" w:cs="Calibri"/>
          <w:b/>
          <w:bCs/>
          <w:sz w:val="21"/>
          <w:szCs w:val="21"/>
        </w:rPr>
        <w:t>and</w:t>
      </w:r>
      <w:r>
        <w:rPr>
          <w:rFonts w:ascii="Calibri" w:hAnsi="Calibri" w:cs="Calibri"/>
          <w:b/>
          <w:bCs/>
          <w:spacing w:val="-10"/>
          <w:sz w:val="21"/>
          <w:szCs w:val="21"/>
        </w:rPr>
        <w:t xml:space="preserve"> </w:t>
      </w:r>
      <w:r>
        <w:rPr>
          <w:rFonts w:ascii="Calibri" w:hAnsi="Calibri" w:cs="Calibri"/>
          <w:b/>
          <w:bCs/>
          <w:sz w:val="21"/>
          <w:szCs w:val="21"/>
        </w:rPr>
        <w:t>treatment</w:t>
      </w:r>
      <w:r>
        <w:rPr>
          <w:rFonts w:ascii="Calibri" w:hAnsi="Calibri" w:cs="Calibri"/>
          <w:b/>
          <w:bCs/>
          <w:spacing w:val="-11"/>
          <w:sz w:val="21"/>
          <w:szCs w:val="21"/>
        </w:rPr>
        <w:t xml:space="preserve"> </w:t>
      </w:r>
      <w:r>
        <w:rPr>
          <w:rFonts w:ascii="Calibri" w:hAnsi="Calibri" w:cs="Calibri"/>
          <w:b/>
          <w:bCs/>
          <w:sz w:val="21"/>
          <w:szCs w:val="21"/>
        </w:rPr>
        <w:t>planning.</w:t>
      </w:r>
      <w:r>
        <w:rPr>
          <w:rFonts w:ascii="Calibri" w:hAnsi="Calibri" w:cs="Calibri"/>
          <w:b/>
          <w:bCs/>
          <w:spacing w:val="-12"/>
          <w:sz w:val="21"/>
          <w:szCs w:val="21"/>
        </w:rPr>
        <w:t xml:space="preserve"> </w:t>
      </w:r>
      <w:r>
        <w:rPr>
          <w:rFonts w:ascii="Calibri" w:hAnsi="Calibri" w:cs="Calibri"/>
          <w:sz w:val="21"/>
          <w:szCs w:val="21"/>
        </w:rPr>
        <w:t>These</w:t>
      </w:r>
      <w:r>
        <w:rPr>
          <w:rFonts w:ascii="Calibri" w:hAnsi="Calibri" w:cs="Calibri"/>
          <w:spacing w:val="-11"/>
          <w:sz w:val="21"/>
          <w:szCs w:val="21"/>
        </w:rPr>
        <w:t xml:space="preserve"> </w:t>
      </w:r>
      <w:r>
        <w:rPr>
          <w:rFonts w:ascii="Calibri" w:hAnsi="Calibri" w:cs="Calibri"/>
          <w:sz w:val="21"/>
          <w:szCs w:val="21"/>
        </w:rPr>
        <w:t>assessments</w:t>
      </w:r>
      <w:r>
        <w:rPr>
          <w:rFonts w:ascii="Calibri" w:hAnsi="Calibri" w:cs="Calibri"/>
          <w:spacing w:val="-11"/>
          <w:sz w:val="21"/>
          <w:szCs w:val="21"/>
        </w:rPr>
        <w:t xml:space="preserve"> </w:t>
      </w:r>
      <w:r>
        <w:rPr>
          <w:rFonts w:ascii="Calibri" w:hAnsi="Calibri" w:cs="Calibri"/>
          <w:sz w:val="21"/>
          <w:szCs w:val="21"/>
        </w:rPr>
        <w:t>include</w:t>
      </w:r>
      <w:r>
        <w:rPr>
          <w:rFonts w:ascii="Calibri" w:hAnsi="Calibri" w:cs="Calibri"/>
          <w:spacing w:val="-9"/>
          <w:sz w:val="21"/>
          <w:szCs w:val="21"/>
        </w:rPr>
        <w:t xml:space="preserve"> </w:t>
      </w:r>
      <w:r>
        <w:rPr>
          <w:rFonts w:ascii="Calibri" w:hAnsi="Calibri" w:cs="Calibri"/>
          <w:sz w:val="21"/>
          <w:szCs w:val="21"/>
        </w:rPr>
        <w:t xml:space="preserve">norm- referenced, evidence-based tests which objectively </w:t>
      </w:r>
      <w:r>
        <w:rPr>
          <w:rFonts w:ascii="Calibri" w:hAnsi="Calibri" w:cs="Calibri"/>
          <w:spacing w:val="-3"/>
          <w:sz w:val="21"/>
          <w:szCs w:val="21"/>
        </w:rPr>
        <w:t xml:space="preserve">identify </w:t>
      </w:r>
      <w:r>
        <w:rPr>
          <w:rFonts w:ascii="Calibri" w:hAnsi="Calibri" w:cs="Calibri"/>
          <w:sz w:val="21"/>
          <w:szCs w:val="21"/>
        </w:rPr>
        <w:t xml:space="preserve">and quantify </w:t>
      </w:r>
      <w:r>
        <w:rPr>
          <w:rFonts w:ascii="Calibri" w:hAnsi="Calibri" w:cs="Calibri"/>
          <w:spacing w:val="-2"/>
          <w:sz w:val="21"/>
          <w:szCs w:val="21"/>
        </w:rPr>
        <w:t xml:space="preserve">symptoms. </w:t>
      </w:r>
      <w:r>
        <w:rPr>
          <w:rFonts w:ascii="Calibri" w:hAnsi="Calibri" w:cs="Calibri"/>
          <w:sz w:val="21"/>
          <w:szCs w:val="21"/>
        </w:rPr>
        <w:t xml:space="preserve">They are used in diagnosing dementia and other neurologic </w:t>
      </w:r>
      <w:r>
        <w:rPr>
          <w:rFonts w:ascii="Calibri" w:hAnsi="Calibri" w:cs="Calibri"/>
          <w:spacing w:val="-3"/>
          <w:sz w:val="21"/>
          <w:szCs w:val="21"/>
        </w:rPr>
        <w:t xml:space="preserve">conditions; </w:t>
      </w:r>
      <w:r>
        <w:rPr>
          <w:rFonts w:ascii="Calibri" w:hAnsi="Calibri" w:cs="Calibri"/>
          <w:sz w:val="21"/>
          <w:szCs w:val="21"/>
        </w:rPr>
        <w:t xml:space="preserve">depression, anxiety and </w:t>
      </w:r>
      <w:r>
        <w:rPr>
          <w:rFonts w:ascii="Calibri" w:hAnsi="Calibri" w:cs="Calibri"/>
          <w:spacing w:val="-3"/>
          <w:sz w:val="21"/>
          <w:szCs w:val="21"/>
        </w:rPr>
        <w:t xml:space="preserve">other </w:t>
      </w:r>
      <w:r>
        <w:rPr>
          <w:rFonts w:ascii="Calibri" w:hAnsi="Calibri" w:cs="Calibri"/>
          <w:sz w:val="21"/>
          <w:szCs w:val="21"/>
        </w:rPr>
        <w:t xml:space="preserve">psychiatric conditions; and neurodevelopmental conditions such as autism. These tests assess cognitive dysfunction in patients with traumatic brain injury, stroke, neurodegenerative disorders, major mental illness, </w:t>
      </w:r>
      <w:r>
        <w:rPr>
          <w:rFonts w:ascii="Calibri" w:hAnsi="Calibri" w:cs="Calibri"/>
          <w:spacing w:val="-3"/>
          <w:sz w:val="21"/>
          <w:szCs w:val="21"/>
        </w:rPr>
        <w:t xml:space="preserve">neurodevelopmental </w:t>
      </w:r>
      <w:r>
        <w:rPr>
          <w:rFonts w:ascii="Calibri" w:hAnsi="Calibri" w:cs="Calibri"/>
          <w:sz w:val="21"/>
          <w:szCs w:val="21"/>
        </w:rPr>
        <w:t>disorders, and chronic medical</w:t>
      </w:r>
      <w:r>
        <w:rPr>
          <w:rFonts w:ascii="Calibri" w:hAnsi="Calibri" w:cs="Calibri"/>
          <w:spacing w:val="-8"/>
          <w:sz w:val="21"/>
          <w:szCs w:val="21"/>
        </w:rPr>
        <w:t xml:space="preserve"> </w:t>
      </w:r>
      <w:r>
        <w:rPr>
          <w:rFonts w:ascii="Calibri" w:hAnsi="Calibri" w:cs="Calibri"/>
          <w:sz w:val="21"/>
          <w:szCs w:val="21"/>
        </w:rPr>
        <w:t>conditions</w:t>
      </w:r>
      <w:r>
        <w:rPr>
          <w:rFonts w:ascii="Calibri" w:hAnsi="Calibri" w:cs="Calibri"/>
          <w:spacing w:val="-6"/>
          <w:sz w:val="21"/>
          <w:szCs w:val="21"/>
        </w:rPr>
        <w:t xml:space="preserve"> </w:t>
      </w:r>
      <w:r>
        <w:rPr>
          <w:rFonts w:ascii="Calibri" w:hAnsi="Calibri" w:cs="Calibri"/>
          <w:sz w:val="21"/>
          <w:szCs w:val="21"/>
        </w:rPr>
        <w:t>such</w:t>
      </w:r>
      <w:r>
        <w:rPr>
          <w:rFonts w:ascii="Calibri" w:hAnsi="Calibri" w:cs="Calibri"/>
          <w:spacing w:val="-8"/>
          <w:sz w:val="21"/>
          <w:szCs w:val="21"/>
        </w:rPr>
        <w:t xml:space="preserve"> </w:t>
      </w:r>
      <w:r>
        <w:rPr>
          <w:rFonts w:ascii="Calibri" w:hAnsi="Calibri" w:cs="Calibri"/>
          <w:sz w:val="21"/>
          <w:szCs w:val="21"/>
        </w:rPr>
        <w:t>as</w:t>
      </w:r>
      <w:r>
        <w:rPr>
          <w:rFonts w:ascii="Calibri" w:hAnsi="Calibri" w:cs="Calibri"/>
          <w:spacing w:val="-6"/>
          <w:sz w:val="21"/>
          <w:szCs w:val="21"/>
        </w:rPr>
        <w:t xml:space="preserve"> </w:t>
      </w:r>
      <w:r>
        <w:rPr>
          <w:rFonts w:ascii="Calibri" w:hAnsi="Calibri" w:cs="Calibri"/>
          <w:sz w:val="21"/>
          <w:szCs w:val="21"/>
        </w:rPr>
        <w:t>cardiovascular</w:t>
      </w:r>
      <w:r>
        <w:rPr>
          <w:rFonts w:ascii="Calibri" w:hAnsi="Calibri" w:cs="Calibri"/>
          <w:spacing w:val="-9"/>
          <w:sz w:val="21"/>
          <w:szCs w:val="21"/>
        </w:rPr>
        <w:t xml:space="preserve"> </w:t>
      </w:r>
      <w:r>
        <w:rPr>
          <w:rFonts w:ascii="Calibri" w:hAnsi="Calibri" w:cs="Calibri"/>
          <w:sz w:val="21"/>
          <w:szCs w:val="21"/>
        </w:rPr>
        <w:t>disease</w:t>
      </w:r>
      <w:r>
        <w:rPr>
          <w:rFonts w:ascii="Calibri" w:hAnsi="Calibri" w:cs="Calibri"/>
          <w:spacing w:val="-4"/>
          <w:sz w:val="21"/>
          <w:szCs w:val="21"/>
        </w:rPr>
        <w:t xml:space="preserve"> </w:t>
      </w:r>
      <w:r>
        <w:rPr>
          <w:rFonts w:ascii="Calibri" w:hAnsi="Calibri" w:cs="Calibri"/>
          <w:sz w:val="21"/>
          <w:szCs w:val="21"/>
        </w:rPr>
        <w:t>and</w:t>
      </w:r>
      <w:r>
        <w:rPr>
          <w:rFonts w:ascii="Calibri" w:hAnsi="Calibri" w:cs="Calibri"/>
          <w:spacing w:val="-8"/>
          <w:sz w:val="21"/>
          <w:szCs w:val="21"/>
        </w:rPr>
        <w:t xml:space="preserve"> </w:t>
      </w:r>
      <w:r>
        <w:rPr>
          <w:rFonts w:ascii="Calibri" w:hAnsi="Calibri" w:cs="Calibri"/>
          <w:sz w:val="21"/>
          <w:szCs w:val="21"/>
        </w:rPr>
        <w:t>diabetes.</w:t>
      </w:r>
      <w:r>
        <w:rPr>
          <w:rFonts w:ascii="Calibri" w:hAnsi="Calibri" w:cs="Calibri"/>
          <w:spacing w:val="36"/>
          <w:sz w:val="21"/>
          <w:szCs w:val="21"/>
        </w:rPr>
        <w:t xml:space="preserve"> </w:t>
      </w:r>
      <w:r>
        <w:rPr>
          <w:rFonts w:ascii="Calibri" w:hAnsi="Calibri" w:cs="Calibri"/>
          <w:i/>
          <w:iCs/>
          <w:sz w:val="21"/>
          <w:szCs w:val="21"/>
        </w:rPr>
        <w:t>They</w:t>
      </w:r>
      <w:r>
        <w:rPr>
          <w:rFonts w:ascii="Calibri" w:hAnsi="Calibri" w:cs="Calibri"/>
          <w:i/>
          <w:iCs/>
          <w:spacing w:val="-10"/>
          <w:sz w:val="21"/>
          <w:szCs w:val="21"/>
        </w:rPr>
        <w:t xml:space="preserve"> </w:t>
      </w:r>
      <w:r>
        <w:rPr>
          <w:rFonts w:ascii="Calibri" w:hAnsi="Calibri" w:cs="Calibri"/>
          <w:i/>
          <w:iCs/>
          <w:sz w:val="21"/>
          <w:szCs w:val="21"/>
        </w:rPr>
        <w:t>assess</w:t>
      </w:r>
      <w:r>
        <w:rPr>
          <w:rFonts w:ascii="Calibri" w:hAnsi="Calibri" w:cs="Calibri"/>
          <w:i/>
          <w:iCs/>
          <w:spacing w:val="-5"/>
          <w:sz w:val="21"/>
          <w:szCs w:val="21"/>
        </w:rPr>
        <w:t xml:space="preserve"> </w:t>
      </w:r>
      <w:r>
        <w:rPr>
          <w:rFonts w:ascii="Calibri" w:hAnsi="Calibri" w:cs="Calibri"/>
          <w:i/>
          <w:iCs/>
          <w:sz w:val="21"/>
          <w:szCs w:val="21"/>
        </w:rPr>
        <w:t>the</w:t>
      </w:r>
      <w:r>
        <w:rPr>
          <w:rFonts w:ascii="Calibri" w:hAnsi="Calibri" w:cs="Calibri"/>
          <w:i/>
          <w:iCs/>
          <w:spacing w:val="-7"/>
          <w:sz w:val="21"/>
          <w:szCs w:val="21"/>
        </w:rPr>
        <w:t xml:space="preserve"> </w:t>
      </w:r>
      <w:r>
        <w:rPr>
          <w:rFonts w:ascii="Calibri" w:hAnsi="Calibri" w:cs="Calibri"/>
          <w:i/>
          <w:iCs/>
          <w:sz w:val="21"/>
          <w:szCs w:val="21"/>
        </w:rPr>
        <w:t>functional</w:t>
      </w:r>
      <w:r>
        <w:rPr>
          <w:rFonts w:ascii="Calibri" w:hAnsi="Calibri" w:cs="Calibri"/>
          <w:i/>
          <w:iCs/>
          <w:spacing w:val="-8"/>
          <w:sz w:val="21"/>
          <w:szCs w:val="21"/>
        </w:rPr>
        <w:t xml:space="preserve"> </w:t>
      </w:r>
      <w:r>
        <w:rPr>
          <w:rFonts w:ascii="Calibri" w:hAnsi="Calibri" w:cs="Calibri"/>
          <w:i/>
          <w:iCs/>
          <w:sz w:val="21"/>
          <w:szCs w:val="21"/>
        </w:rPr>
        <w:t>ability</w:t>
      </w:r>
      <w:r>
        <w:rPr>
          <w:rFonts w:ascii="Calibri" w:hAnsi="Calibri" w:cs="Calibri"/>
          <w:i/>
          <w:iCs/>
          <w:spacing w:val="-8"/>
          <w:sz w:val="21"/>
          <w:szCs w:val="21"/>
        </w:rPr>
        <w:t xml:space="preserve"> </w:t>
      </w:r>
      <w:r>
        <w:rPr>
          <w:rFonts w:ascii="Calibri" w:hAnsi="Calibri" w:cs="Calibri"/>
          <w:i/>
          <w:iCs/>
          <w:sz w:val="21"/>
          <w:szCs w:val="21"/>
        </w:rPr>
        <w:t>to</w:t>
      </w:r>
      <w:r>
        <w:rPr>
          <w:rFonts w:ascii="Calibri" w:hAnsi="Calibri" w:cs="Calibri"/>
          <w:i/>
          <w:iCs/>
          <w:spacing w:val="-8"/>
          <w:sz w:val="21"/>
          <w:szCs w:val="21"/>
        </w:rPr>
        <w:t xml:space="preserve"> </w:t>
      </w:r>
      <w:r>
        <w:rPr>
          <w:rFonts w:ascii="Calibri" w:hAnsi="Calibri" w:cs="Calibri"/>
          <w:i/>
          <w:iCs/>
          <w:sz w:val="21"/>
          <w:szCs w:val="21"/>
        </w:rPr>
        <w:t>work</w:t>
      </w:r>
      <w:r>
        <w:rPr>
          <w:rFonts w:ascii="Calibri" w:hAnsi="Calibri" w:cs="Calibri"/>
          <w:i/>
          <w:iCs/>
          <w:spacing w:val="-5"/>
          <w:sz w:val="21"/>
          <w:szCs w:val="21"/>
        </w:rPr>
        <w:t xml:space="preserve"> </w:t>
      </w:r>
      <w:r>
        <w:rPr>
          <w:rFonts w:ascii="Calibri" w:hAnsi="Calibri" w:cs="Calibri"/>
          <w:i/>
          <w:iCs/>
          <w:sz w:val="21"/>
          <w:szCs w:val="21"/>
        </w:rPr>
        <w:t>and</w:t>
      </w:r>
      <w:r>
        <w:rPr>
          <w:rFonts w:ascii="Calibri" w:hAnsi="Calibri" w:cs="Calibri"/>
          <w:i/>
          <w:iCs/>
          <w:spacing w:val="-8"/>
          <w:sz w:val="21"/>
          <w:szCs w:val="21"/>
        </w:rPr>
        <w:t xml:space="preserve"> </w:t>
      </w:r>
      <w:r>
        <w:rPr>
          <w:rFonts w:ascii="Calibri" w:hAnsi="Calibri" w:cs="Calibri"/>
          <w:i/>
          <w:iCs/>
          <w:sz w:val="21"/>
          <w:szCs w:val="21"/>
        </w:rPr>
        <w:t>identify factors that will facilitate success on-the-job in people with cognitive deficits or severe emotional symptoms. The tests predict self-help and independent living skills, driving ability, and academic success – especially important for individuals struggling to stay employed or join the workforce and who need skills-training to do so; and they predict outcome after surgery for</w:t>
      </w:r>
      <w:r>
        <w:rPr>
          <w:rFonts w:ascii="Calibri" w:hAnsi="Calibri" w:cs="Calibri"/>
          <w:i/>
          <w:iCs/>
          <w:spacing w:val="-32"/>
          <w:sz w:val="21"/>
          <w:szCs w:val="21"/>
        </w:rPr>
        <w:t xml:space="preserve"> </w:t>
      </w:r>
      <w:r>
        <w:rPr>
          <w:rFonts w:ascii="Calibri" w:hAnsi="Calibri" w:cs="Calibri"/>
          <w:i/>
          <w:iCs/>
          <w:spacing w:val="-3"/>
          <w:sz w:val="21"/>
          <w:szCs w:val="21"/>
        </w:rPr>
        <w:t>seizures.</w:t>
      </w:r>
    </w:p>
    <w:p w:rsidR="002C5025" w:rsidRDefault="002C5025">
      <w:pPr>
        <w:pStyle w:val="BodyText"/>
        <w:kinsoku w:val="0"/>
        <w:overflowPunct w:val="0"/>
        <w:spacing w:before="3"/>
        <w:rPr>
          <w:i/>
          <w:iCs/>
          <w:sz w:val="21"/>
          <w:szCs w:val="21"/>
        </w:rPr>
      </w:pPr>
    </w:p>
    <w:p w:rsidR="002C5025" w:rsidRDefault="002C5025">
      <w:pPr>
        <w:pStyle w:val="ListParagraph"/>
        <w:numPr>
          <w:ilvl w:val="1"/>
          <w:numId w:val="31"/>
        </w:numPr>
        <w:tabs>
          <w:tab w:val="left" w:pos="1364"/>
        </w:tabs>
        <w:kinsoku w:val="0"/>
        <w:overflowPunct w:val="0"/>
        <w:spacing w:line="288" w:lineRule="auto"/>
        <w:ind w:left="1362" w:right="953" w:hanging="359"/>
        <w:rPr>
          <w:rFonts w:ascii="Calibri" w:hAnsi="Calibri" w:cs="Calibri"/>
          <w:sz w:val="21"/>
          <w:szCs w:val="21"/>
        </w:rPr>
      </w:pPr>
      <w:r>
        <w:rPr>
          <w:rFonts w:ascii="Calibri" w:hAnsi="Calibri" w:cs="Calibri"/>
          <w:b/>
          <w:bCs/>
          <w:position w:val="1"/>
          <w:sz w:val="21"/>
          <w:szCs w:val="21"/>
        </w:rPr>
        <w:t xml:space="preserve">In a transformed healthcare system, the </w:t>
      </w:r>
      <w:r>
        <w:rPr>
          <w:rFonts w:ascii="Calibri" w:hAnsi="Calibri" w:cs="Calibri"/>
          <w:b/>
          <w:bCs/>
          <w:spacing w:val="-3"/>
          <w:position w:val="1"/>
          <w:sz w:val="21"/>
          <w:szCs w:val="21"/>
        </w:rPr>
        <w:t xml:space="preserve">early detection </w:t>
      </w:r>
      <w:r>
        <w:rPr>
          <w:rFonts w:ascii="Calibri" w:hAnsi="Calibri" w:cs="Calibri"/>
          <w:b/>
          <w:bCs/>
          <w:position w:val="1"/>
          <w:sz w:val="21"/>
          <w:szCs w:val="21"/>
        </w:rPr>
        <w:t xml:space="preserve">of </w:t>
      </w:r>
      <w:r>
        <w:rPr>
          <w:rFonts w:ascii="Calibri" w:hAnsi="Calibri" w:cs="Calibri"/>
          <w:b/>
          <w:bCs/>
          <w:spacing w:val="-2"/>
          <w:position w:val="1"/>
          <w:sz w:val="21"/>
          <w:szCs w:val="21"/>
        </w:rPr>
        <w:t xml:space="preserve">emotional </w:t>
      </w:r>
      <w:r>
        <w:rPr>
          <w:rFonts w:ascii="Calibri" w:hAnsi="Calibri" w:cs="Calibri"/>
          <w:b/>
          <w:bCs/>
          <w:position w:val="1"/>
          <w:sz w:val="21"/>
          <w:szCs w:val="21"/>
        </w:rPr>
        <w:t xml:space="preserve">or cognitive symptoms in children and adults </w:t>
      </w:r>
      <w:r>
        <w:rPr>
          <w:rFonts w:ascii="Calibri" w:hAnsi="Calibri" w:cs="Calibri"/>
          <w:b/>
          <w:bCs/>
          <w:sz w:val="21"/>
          <w:szCs w:val="21"/>
        </w:rPr>
        <w:t xml:space="preserve">through routine screening that is followed up as needed with brief or comprehensive assessment should be an expected and typical procedure. </w:t>
      </w:r>
      <w:r>
        <w:rPr>
          <w:rFonts w:ascii="Calibri" w:hAnsi="Calibri" w:cs="Calibri"/>
          <w:sz w:val="21"/>
          <w:szCs w:val="21"/>
        </w:rPr>
        <w:t>Early identification and intervention keep problems from escalating and improve outcomes.</w:t>
      </w:r>
      <w:r>
        <w:rPr>
          <w:rFonts w:ascii="Calibri" w:hAnsi="Calibri" w:cs="Calibri"/>
          <w:spacing w:val="-7"/>
          <w:sz w:val="21"/>
          <w:szCs w:val="21"/>
        </w:rPr>
        <w:t xml:space="preserve"> </w:t>
      </w:r>
      <w:r>
        <w:rPr>
          <w:rFonts w:ascii="Calibri" w:hAnsi="Calibri" w:cs="Calibri"/>
          <w:sz w:val="21"/>
          <w:szCs w:val="21"/>
        </w:rPr>
        <w:t>For</w:t>
      </w:r>
      <w:r>
        <w:rPr>
          <w:rFonts w:ascii="Calibri" w:hAnsi="Calibri" w:cs="Calibri"/>
          <w:spacing w:val="-8"/>
          <w:sz w:val="21"/>
          <w:szCs w:val="21"/>
        </w:rPr>
        <w:t xml:space="preserve"> </w:t>
      </w:r>
      <w:r>
        <w:rPr>
          <w:rFonts w:ascii="Calibri" w:hAnsi="Calibri" w:cs="Calibri"/>
          <w:sz w:val="21"/>
          <w:szCs w:val="21"/>
        </w:rPr>
        <w:t>example,</w:t>
      </w:r>
      <w:r>
        <w:rPr>
          <w:rFonts w:ascii="Calibri" w:hAnsi="Calibri" w:cs="Calibri"/>
          <w:spacing w:val="-9"/>
          <w:sz w:val="21"/>
          <w:szCs w:val="21"/>
        </w:rPr>
        <w:t xml:space="preserve"> </w:t>
      </w:r>
      <w:r>
        <w:rPr>
          <w:rFonts w:ascii="Calibri" w:hAnsi="Calibri" w:cs="Calibri"/>
          <w:sz w:val="21"/>
          <w:szCs w:val="21"/>
        </w:rPr>
        <w:t>earliest</w:t>
      </w:r>
      <w:r>
        <w:rPr>
          <w:rFonts w:ascii="Calibri" w:hAnsi="Calibri" w:cs="Calibri"/>
          <w:spacing w:val="-6"/>
          <w:sz w:val="21"/>
          <w:szCs w:val="21"/>
        </w:rPr>
        <w:t xml:space="preserve"> </w:t>
      </w:r>
      <w:r>
        <w:rPr>
          <w:rFonts w:ascii="Calibri" w:hAnsi="Calibri" w:cs="Calibri"/>
          <w:sz w:val="21"/>
          <w:szCs w:val="21"/>
        </w:rPr>
        <w:t>childhood</w:t>
      </w:r>
      <w:r>
        <w:rPr>
          <w:rFonts w:ascii="Calibri" w:hAnsi="Calibri" w:cs="Calibri"/>
          <w:spacing w:val="-9"/>
          <w:sz w:val="21"/>
          <w:szCs w:val="21"/>
        </w:rPr>
        <w:t xml:space="preserve"> </w:t>
      </w:r>
      <w:r>
        <w:rPr>
          <w:rFonts w:ascii="Calibri" w:hAnsi="Calibri" w:cs="Calibri"/>
          <w:sz w:val="21"/>
          <w:szCs w:val="21"/>
        </w:rPr>
        <w:t>detection</w:t>
      </w:r>
      <w:r>
        <w:rPr>
          <w:rFonts w:ascii="Calibri" w:hAnsi="Calibri" w:cs="Calibri"/>
          <w:spacing w:val="-9"/>
          <w:sz w:val="21"/>
          <w:szCs w:val="21"/>
        </w:rPr>
        <w:t xml:space="preserve"> </w:t>
      </w:r>
      <w:r>
        <w:rPr>
          <w:rFonts w:ascii="Calibri" w:hAnsi="Calibri" w:cs="Calibri"/>
          <w:sz w:val="21"/>
          <w:szCs w:val="21"/>
        </w:rPr>
        <w:t>and</w:t>
      </w:r>
      <w:r>
        <w:rPr>
          <w:rFonts w:ascii="Calibri" w:hAnsi="Calibri" w:cs="Calibri"/>
          <w:spacing w:val="-9"/>
          <w:sz w:val="21"/>
          <w:szCs w:val="21"/>
        </w:rPr>
        <w:t xml:space="preserve"> </w:t>
      </w:r>
      <w:r>
        <w:rPr>
          <w:rFonts w:ascii="Calibri" w:hAnsi="Calibri" w:cs="Calibri"/>
          <w:sz w:val="21"/>
          <w:szCs w:val="21"/>
        </w:rPr>
        <w:t>treatment</w:t>
      </w:r>
      <w:r>
        <w:rPr>
          <w:rFonts w:ascii="Calibri" w:hAnsi="Calibri" w:cs="Calibri"/>
          <w:spacing w:val="-10"/>
          <w:sz w:val="21"/>
          <w:szCs w:val="21"/>
        </w:rPr>
        <w:t xml:space="preserve"> </w:t>
      </w:r>
      <w:r>
        <w:rPr>
          <w:rFonts w:ascii="Calibri" w:hAnsi="Calibri" w:cs="Calibri"/>
          <w:sz w:val="21"/>
          <w:szCs w:val="21"/>
        </w:rPr>
        <w:t>for</w:t>
      </w:r>
      <w:r>
        <w:rPr>
          <w:rFonts w:ascii="Calibri" w:hAnsi="Calibri" w:cs="Calibri"/>
          <w:spacing w:val="-7"/>
          <w:sz w:val="21"/>
          <w:szCs w:val="21"/>
        </w:rPr>
        <w:t xml:space="preserve"> </w:t>
      </w:r>
      <w:r>
        <w:rPr>
          <w:rFonts w:ascii="Calibri" w:hAnsi="Calibri" w:cs="Calibri"/>
          <w:sz w:val="21"/>
          <w:szCs w:val="21"/>
        </w:rPr>
        <w:t>autism</w:t>
      </w:r>
      <w:r>
        <w:rPr>
          <w:rFonts w:ascii="Calibri" w:hAnsi="Calibri" w:cs="Calibri"/>
          <w:spacing w:val="-7"/>
          <w:sz w:val="21"/>
          <w:szCs w:val="21"/>
        </w:rPr>
        <w:t xml:space="preserve"> </w:t>
      </w:r>
      <w:r>
        <w:rPr>
          <w:rFonts w:ascii="Calibri" w:hAnsi="Calibri" w:cs="Calibri"/>
          <w:sz w:val="21"/>
          <w:szCs w:val="21"/>
        </w:rPr>
        <w:t>can</w:t>
      </w:r>
      <w:r>
        <w:rPr>
          <w:rFonts w:ascii="Calibri" w:hAnsi="Calibri" w:cs="Calibri"/>
          <w:spacing w:val="-9"/>
          <w:sz w:val="21"/>
          <w:szCs w:val="21"/>
        </w:rPr>
        <w:t xml:space="preserve"> </w:t>
      </w:r>
      <w:r>
        <w:rPr>
          <w:rFonts w:ascii="Calibri" w:hAnsi="Calibri" w:cs="Calibri"/>
          <w:sz w:val="21"/>
          <w:szCs w:val="21"/>
        </w:rPr>
        <w:t>result</w:t>
      </w:r>
      <w:r>
        <w:rPr>
          <w:rFonts w:ascii="Calibri" w:hAnsi="Calibri" w:cs="Calibri"/>
          <w:spacing w:val="-7"/>
          <w:sz w:val="21"/>
          <w:szCs w:val="21"/>
        </w:rPr>
        <w:t xml:space="preserve"> </w:t>
      </w:r>
      <w:r>
        <w:rPr>
          <w:rFonts w:ascii="Calibri" w:hAnsi="Calibri" w:cs="Calibri"/>
          <w:sz w:val="21"/>
          <w:szCs w:val="21"/>
        </w:rPr>
        <w:t>in</w:t>
      </w:r>
      <w:r>
        <w:rPr>
          <w:rFonts w:ascii="Calibri" w:hAnsi="Calibri" w:cs="Calibri"/>
          <w:spacing w:val="-7"/>
          <w:sz w:val="21"/>
          <w:szCs w:val="21"/>
        </w:rPr>
        <w:t xml:space="preserve"> </w:t>
      </w:r>
      <w:r>
        <w:rPr>
          <w:rFonts w:ascii="Calibri" w:hAnsi="Calibri" w:cs="Calibri"/>
          <w:sz w:val="21"/>
          <w:szCs w:val="21"/>
        </w:rPr>
        <w:t>significantly</w:t>
      </w:r>
      <w:r>
        <w:rPr>
          <w:rFonts w:ascii="Calibri" w:hAnsi="Calibri" w:cs="Calibri"/>
          <w:spacing w:val="-7"/>
          <w:sz w:val="21"/>
          <w:szCs w:val="21"/>
        </w:rPr>
        <w:t xml:space="preserve"> </w:t>
      </w:r>
      <w:r>
        <w:rPr>
          <w:rFonts w:ascii="Calibri" w:hAnsi="Calibri" w:cs="Calibri"/>
          <w:sz w:val="21"/>
          <w:szCs w:val="21"/>
        </w:rPr>
        <w:t>better</w:t>
      </w:r>
      <w:r>
        <w:rPr>
          <w:rFonts w:ascii="Calibri" w:hAnsi="Calibri" w:cs="Calibri"/>
          <w:spacing w:val="-8"/>
          <w:sz w:val="21"/>
          <w:szCs w:val="21"/>
        </w:rPr>
        <w:t xml:space="preserve"> </w:t>
      </w:r>
      <w:r>
        <w:rPr>
          <w:rFonts w:ascii="Calibri" w:hAnsi="Calibri" w:cs="Calibri"/>
          <w:sz w:val="21"/>
          <w:szCs w:val="21"/>
        </w:rPr>
        <w:t xml:space="preserve">short- term and long-term </w:t>
      </w:r>
      <w:r>
        <w:rPr>
          <w:rFonts w:ascii="Calibri" w:hAnsi="Calibri" w:cs="Calibri"/>
          <w:spacing w:val="-3"/>
          <w:sz w:val="21"/>
          <w:szCs w:val="21"/>
        </w:rPr>
        <w:t xml:space="preserve">symptom </w:t>
      </w:r>
      <w:r>
        <w:rPr>
          <w:rFonts w:ascii="Calibri" w:hAnsi="Calibri" w:cs="Calibri"/>
          <w:sz w:val="21"/>
          <w:szCs w:val="21"/>
        </w:rPr>
        <w:t>reduction. Similarly, early detection of cognitive decline in older adults expands treatment and planning options, which in turn improves the quality of life for individuals with dementia and their families</w:t>
      </w:r>
      <w:r>
        <w:rPr>
          <w:rFonts w:ascii="Calibri" w:hAnsi="Calibri" w:cs="Calibri"/>
          <w:spacing w:val="-11"/>
          <w:sz w:val="21"/>
          <w:szCs w:val="21"/>
        </w:rPr>
        <w:t xml:space="preserve"> </w:t>
      </w:r>
      <w:r>
        <w:rPr>
          <w:rFonts w:ascii="Calibri" w:hAnsi="Calibri" w:cs="Calibri"/>
          <w:sz w:val="21"/>
          <w:szCs w:val="21"/>
        </w:rPr>
        <w:t>–</w:t>
      </w:r>
      <w:r>
        <w:rPr>
          <w:rFonts w:ascii="Calibri" w:hAnsi="Calibri" w:cs="Calibri"/>
          <w:spacing w:val="-8"/>
          <w:sz w:val="21"/>
          <w:szCs w:val="21"/>
        </w:rPr>
        <w:t xml:space="preserve"> </w:t>
      </w:r>
      <w:r>
        <w:rPr>
          <w:rFonts w:ascii="Calibri" w:hAnsi="Calibri" w:cs="Calibri"/>
          <w:sz w:val="21"/>
          <w:szCs w:val="21"/>
        </w:rPr>
        <w:t>including</w:t>
      </w:r>
      <w:r>
        <w:rPr>
          <w:rFonts w:ascii="Calibri" w:hAnsi="Calibri" w:cs="Calibri"/>
          <w:spacing w:val="-13"/>
          <w:sz w:val="21"/>
          <w:szCs w:val="21"/>
        </w:rPr>
        <w:t xml:space="preserve"> </w:t>
      </w:r>
      <w:r>
        <w:rPr>
          <w:rFonts w:ascii="Calibri" w:hAnsi="Calibri" w:cs="Calibri"/>
          <w:sz w:val="21"/>
          <w:szCs w:val="21"/>
        </w:rPr>
        <w:t>delaying</w:t>
      </w:r>
      <w:r>
        <w:rPr>
          <w:rFonts w:ascii="Calibri" w:hAnsi="Calibri" w:cs="Calibri"/>
          <w:spacing w:val="-11"/>
          <w:sz w:val="21"/>
          <w:szCs w:val="21"/>
        </w:rPr>
        <w:t xml:space="preserve"> </w:t>
      </w:r>
      <w:r>
        <w:rPr>
          <w:rFonts w:ascii="Calibri" w:hAnsi="Calibri" w:cs="Calibri"/>
          <w:sz w:val="21"/>
          <w:szCs w:val="21"/>
        </w:rPr>
        <w:t>placement</w:t>
      </w:r>
      <w:r>
        <w:rPr>
          <w:rFonts w:ascii="Calibri" w:hAnsi="Calibri" w:cs="Calibri"/>
          <w:spacing w:val="-9"/>
          <w:sz w:val="21"/>
          <w:szCs w:val="21"/>
        </w:rPr>
        <w:t xml:space="preserve"> </w:t>
      </w:r>
      <w:r>
        <w:rPr>
          <w:rFonts w:ascii="Calibri" w:hAnsi="Calibri" w:cs="Calibri"/>
          <w:sz w:val="21"/>
          <w:szCs w:val="21"/>
        </w:rPr>
        <w:t>in</w:t>
      </w:r>
      <w:r>
        <w:rPr>
          <w:rFonts w:ascii="Calibri" w:hAnsi="Calibri" w:cs="Calibri"/>
          <w:spacing w:val="-8"/>
          <w:sz w:val="21"/>
          <w:szCs w:val="21"/>
        </w:rPr>
        <w:t xml:space="preserve"> </w:t>
      </w:r>
      <w:r>
        <w:rPr>
          <w:rFonts w:ascii="Calibri" w:hAnsi="Calibri" w:cs="Calibri"/>
          <w:sz w:val="21"/>
          <w:szCs w:val="21"/>
        </w:rPr>
        <w:t>long-term</w:t>
      </w:r>
      <w:r>
        <w:rPr>
          <w:rFonts w:ascii="Calibri" w:hAnsi="Calibri" w:cs="Calibri"/>
          <w:spacing w:val="-9"/>
          <w:sz w:val="21"/>
          <w:szCs w:val="21"/>
        </w:rPr>
        <w:t xml:space="preserve"> </w:t>
      </w:r>
      <w:r>
        <w:rPr>
          <w:rFonts w:ascii="Calibri" w:hAnsi="Calibri" w:cs="Calibri"/>
          <w:sz w:val="21"/>
          <w:szCs w:val="21"/>
        </w:rPr>
        <w:t>care</w:t>
      </w:r>
      <w:r>
        <w:rPr>
          <w:rFonts w:ascii="Calibri" w:hAnsi="Calibri" w:cs="Calibri"/>
          <w:spacing w:val="-10"/>
          <w:sz w:val="21"/>
          <w:szCs w:val="21"/>
        </w:rPr>
        <w:t xml:space="preserve"> </w:t>
      </w:r>
      <w:r>
        <w:rPr>
          <w:rFonts w:ascii="Calibri" w:hAnsi="Calibri" w:cs="Calibri"/>
          <w:sz w:val="21"/>
          <w:szCs w:val="21"/>
        </w:rPr>
        <w:t>facilities.</w:t>
      </w:r>
    </w:p>
    <w:p w:rsidR="002C5025" w:rsidRDefault="002C5025">
      <w:pPr>
        <w:pStyle w:val="BodyText"/>
        <w:kinsoku w:val="0"/>
        <w:overflowPunct w:val="0"/>
        <w:spacing w:before="10"/>
        <w:rPr>
          <w:sz w:val="20"/>
          <w:szCs w:val="20"/>
        </w:rPr>
      </w:pPr>
    </w:p>
    <w:p w:rsidR="002C5025" w:rsidRDefault="002C5025">
      <w:pPr>
        <w:pStyle w:val="ListParagraph"/>
        <w:numPr>
          <w:ilvl w:val="1"/>
          <w:numId w:val="31"/>
        </w:numPr>
        <w:tabs>
          <w:tab w:val="left" w:pos="1364"/>
        </w:tabs>
        <w:kinsoku w:val="0"/>
        <w:overflowPunct w:val="0"/>
        <w:spacing w:line="285" w:lineRule="auto"/>
        <w:ind w:right="922" w:hanging="360"/>
        <w:rPr>
          <w:rFonts w:ascii="Calibri" w:hAnsi="Calibri" w:cs="Calibri"/>
          <w:spacing w:val="-3"/>
          <w:sz w:val="21"/>
          <w:szCs w:val="21"/>
        </w:rPr>
      </w:pPr>
      <w:r>
        <w:rPr>
          <w:rFonts w:ascii="Calibri" w:hAnsi="Calibri" w:cs="Calibri"/>
          <w:b/>
          <w:bCs/>
          <w:position w:val="1"/>
          <w:sz w:val="21"/>
          <w:szCs w:val="21"/>
        </w:rPr>
        <w:t>Interventions</w:t>
      </w:r>
      <w:r>
        <w:rPr>
          <w:rFonts w:ascii="Calibri" w:hAnsi="Calibri" w:cs="Calibri"/>
          <w:b/>
          <w:bCs/>
          <w:spacing w:val="-12"/>
          <w:position w:val="1"/>
          <w:sz w:val="21"/>
          <w:szCs w:val="21"/>
        </w:rPr>
        <w:t xml:space="preserve"> </w:t>
      </w:r>
      <w:r>
        <w:rPr>
          <w:rFonts w:ascii="Calibri" w:hAnsi="Calibri" w:cs="Calibri"/>
          <w:b/>
          <w:bCs/>
          <w:position w:val="1"/>
          <w:sz w:val="21"/>
          <w:szCs w:val="21"/>
        </w:rPr>
        <w:t>with</w:t>
      </w:r>
      <w:r>
        <w:rPr>
          <w:rFonts w:ascii="Calibri" w:hAnsi="Calibri" w:cs="Calibri"/>
          <w:b/>
          <w:bCs/>
          <w:spacing w:val="-8"/>
          <w:position w:val="1"/>
          <w:sz w:val="21"/>
          <w:szCs w:val="21"/>
        </w:rPr>
        <w:t xml:space="preserve"> </w:t>
      </w:r>
      <w:r>
        <w:rPr>
          <w:rFonts w:ascii="Calibri" w:hAnsi="Calibri" w:cs="Calibri"/>
          <w:b/>
          <w:bCs/>
          <w:position w:val="1"/>
          <w:sz w:val="21"/>
          <w:szCs w:val="21"/>
        </w:rPr>
        <w:t>children</w:t>
      </w:r>
      <w:r>
        <w:rPr>
          <w:rFonts w:ascii="Calibri" w:hAnsi="Calibri" w:cs="Calibri"/>
          <w:b/>
          <w:bCs/>
          <w:spacing w:val="-10"/>
          <w:position w:val="1"/>
          <w:sz w:val="21"/>
          <w:szCs w:val="21"/>
        </w:rPr>
        <w:t xml:space="preserve"> </w:t>
      </w:r>
      <w:r>
        <w:rPr>
          <w:rFonts w:ascii="Calibri" w:hAnsi="Calibri" w:cs="Calibri"/>
          <w:b/>
          <w:bCs/>
          <w:position w:val="1"/>
          <w:sz w:val="21"/>
          <w:szCs w:val="21"/>
        </w:rPr>
        <w:t>are</w:t>
      </w:r>
      <w:r>
        <w:rPr>
          <w:rFonts w:ascii="Calibri" w:hAnsi="Calibri" w:cs="Calibri"/>
          <w:b/>
          <w:bCs/>
          <w:spacing w:val="-6"/>
          <w:position w:val="1"/>
          <w:sz w:val="21"/>
          <w:szCs w:val="21"/>
        </w:rPr>
        <w:t xml:space="preserve"> </w:t>
      </w:r>
      <w:r>
        <w:rPr>
          <w:rFonts w:ascii="Calibri" w:hAnsi="Calibri" w:cs="Calibri"/>
          <w:b/>
          <w:bCs/>
          <w:position w:val="1"/>
          <w:sz w:val="21"/>
          <w:szCs w:val="21"/>
        </w:rPr>
        <w:t>of</w:t>
      </w:r>
      <w:r>
        <w:rPr>
          <w:rFonts w:ascii="Calibri" w:hAnsi="Calibri" w:cs="Calibri"/>
          <w:b/>
          <w:bCs/>
          <w:spacing w:val="-7"/>
          <w:position w:val="1"/>
          <w:sz w:val="21"/>
          <w:szCs w:val="21"/>
        </w:rPr>
        <w:t xml:space="preserve"> </w:t>
      </w:r>
      <w:r>
        <w:rPr>
          <w:rFonts w:ascii="Calibri" w:hAnsi="Calibri" w:cs="Calibri"/>
          <w:b/>
          <w:bCs/>
          <w:position w:val="1"/>
          <w:sz w:val="21"/>
          <w:szCs w:val="21"/>
        </w:rPr>
        <w:t>primary</w:t>
      </w:r>
      <w:r>
        <w:rPr>
          <w:rFonts w:ascii="Calibri" w:hAnsi="Calibri" w:cs="Calibri"/>
          <w:b/>
          <w:bCs/>
          <w:spacing w:val="-7"/>
          <w:position w:val="1"/>
          <w:sz w:val="21"/>
          <w:szCs w:val="21"/>
        </w:rPr>
        <w:t xml:space="preserve"> </w:t>
      </w:r>
      <w:r>
        <w:rPr>
          <w:rFonts w:ascii="Calibri" w:hAnsi="Calibri" w:cs="Calibri"/>
          <w:b/>
          <w:bCs/>
          <w:position w:val="1"/>
          <w:sz w:val="21"/>
          <w:szCs w:val="21"/>
        </w:rPr>
        <w:t>importance</w:t>
      </w:r>
      <w:r>
        <w:rPr>
          <w:rFonts w:ascii="Calibri" w:hAnsi="Calibri" w:cs="Calibri"/>
          <w:b/>
          <w:bCs/>
          <w:spacing w:val="-8"/>
          <w:position w:val="1"/>
          <w:sz w:val="21"/>
          <w:szCs w:val="21"/>
        </w:rPr>
        <w:t xml:space="preserve"> </w:t>
      </w:r>
      <w:r>
        <w:rPr>
          <w:rFonts w:ascii="Calibri" w:hAnsi="Calibri" w:cs="Calibri"/>
          <w:b/>
          <w:bCs/>
          <w:position w:val="1"/>
          <w:sz w:val="21"/>
          <w:szCs w:val="21"/>
        </w:rPr>
        <w:t>since</w:t>
      </w:r>
      <w:r>
        <w:rPr>
          <w:rFonts w:ascii="Calibri" w:hAnsi="Calibri" w:cs="Calibri"/>
          <w:b/>
          <w:bCs/>
          <w:spacing w:val="-8"/>
          <w:position w:val="1"/>
          <w:sz w:val="21"/>
          <w:szCs w:val="21"/>
        </w:rPr>
        <w:t xml:space="preserve"> </w:t>
      </w:r>
      <w:r>
        <w:rPr>
          <w:rFonts w:ascii="Calibri" w:hAnsi="Calibri" w:cs="Calibri"/>
          <w:b/>
          <w:bCs/>
          <w:position w:val="1"/>
          <w:sz w:val="21"/>
          <w:szCs w:val="21"/>
        </w:rPr>
        <w:t>many</w:t>
      </w:r>
      <w:r>
        <w:rPr>
          <w:rFonts w:ascii="Calibri" w:hAnsi="Calibri" w:cs="Calibri"/>
          <w:b/>
          <w:bCs/>
          <w:spacing w:val="-7"/>
          <w:position w:val="1"/>
          <w:sz w:val="21"/>
          <w:szCs w:val="21"/>
        </w:rPr>
        <w:t xml:space="preserve"> </w:t>
      </w:r>
      <w:r>
        <w:rPr>
          <w:rFonts w:ascii="Calibri" w:hAnsi="Calibri" w:cs="Calibri"/>
          <w:b/>
          <w:bCs/>
          <w:position w:val="1"/>
          <w:sz w:val="21"/>
          <w:szCs w:val="21"/>
        </w:rPr>
        <w:t>risk</w:t>
      </w:r>
      <w:r>
        <w:rPr>
          <w:rFonts w:ascii="Calibri" w:hAnsi="Calibri" w:cs="Calibri"/>
          <w:b/>
          <w:bCs/>
          <w:spacing w:val="-8"/>
          <w:position w:val="1"/>
          <w:sz w:val="21"/>
          <w:szCs w:val="21"/>
        </w:rPr>
        <w:t xml:space="preserve"> </w:t>
      </w:r>
      <w:r>
        <w:rPr>
          <w:rFonts w:ascii="Calibri" w:hAnsi="Calibri" w:cs="Calibri"/>
          <w:b/>
          <w:bCs/>
          <w:position w:val="1"/>
          <w:sz w:val="21"/>
          <w:szCs w:val="21"/>
        </w:rPr>
        <w:t>factors</w:t>
      </w:r>
      <w:r>
        <w:rPr>
          <w:rFonts w:ascii="Calibri" w:hAnsi="Calibri" w:cs="Calibri"/>
          <w:b/>
          <w:bCs/>
          <w:spacing w:val="-8"/>
          <w:position w:val="1"/>
          <w:sz w:val="21"/>
          <w:szCs w:val="21"/>
        </w:rPr>
        <w:t xml:space="preserve"> </w:t>
      </w:r>
      <w:r>
        <w:rPr>
          <w:rFonts w:ascii="Calibri" w:hAnsi="Calibri" w:cs="Calibri"/>
          <w:b/>
          <w:bCs/>
          <w:spacing w:val="-3"/>
          <w:position w:val="1"/>
          <w:sz w:val="21"/>
          <w:szCs w:val="21"/>
        </w:rPr>
        <w:t>observed</w:t>
      </w:r>
      <w:r>
        <w:rPr>
          <w:rFonts w:ascii="Calibri" w:hAnsi="Calibri" w:cs="Calibri"/>
          <w:b/>
          <w:bCs/>
          <w:spacing w:val="-6"/>
          <w:position w:val="1"/>
          <w:sz w:val="21"/>
          <w:szCs w:val="21"/>
        </w:rPr>
        <w:t xml:space="preserve"> </w:t>
      </w:r>
      <w:r>
        <w:rPr>
          <w:rFonts w:ascii="Calibri" w:hAnsi="Calibri" w:cs="Calibri"/>
          <w:b/>
          <w:bCs/>
          <w:position w:val="1"/>
          <w:sz w:val="21"/>
          <w:szCs w:val="21"/>
        </w:rPr>
        <w:t>in</w:t>
      </w:r>
      <w:r>
        <w:rPr>
          <w:rFonts w:ascii="Calibri" w:hAnsi="Calibri" w:cs="Calibri"/>
          <w:b/>
          <w:bCs/>
          <w:spacing w:val="-8"/>
          <w:position w:val="1"/>
          <w:sz w:val="21"/>
          <w:szCs w:val="21"/>
        </w:rPr>
        <w:t xml:space="preserve"> </w:t>
      </w:r>
      <w:r>
        <w:rPr>
          <w:rFonts w:ascii="Calibri" w:hAnsi="Calibri" w:cs="Calibri"/>
          <w:b/>
          <w:bCs/>
          <w:position w:val="1"/>
          <w:sz w:val="21"/>
          <w:szCs w:val="21"/>
        </w:rPr>
        <w:t>adults</w:t>
      </w:r>
      <w:r>
        <w:rPr>
          <w:rFonts w:ascii="Calibri" w:hAnsi="Calibri" w:cs="Calibri"/>
          <w:b/>
          <w:bCs/>
          <w:spacing w:val="-10"/>
          <w:position w:val="1"/>
          <w:sz w:val="21"/>
          <w:szCs w:val="21"/>
        </w:rPr>
        <w:t xml:space="preserve"> </w:t>
      </w:r>
      <w:r>
        <w:rPr>
          <w:rFonts w:ascii="Calibri" w:hAnsi="Calibri" w:cs="Calibri"/>
          <w:b/>
          <w:bCs/>
          <w:position w:val="1"/>
          <w:sz w:val="21"/>
          <w:szCs w:val="21"/>
        </w:rPr>
        <w:t>can</w:t>
      </w:r>
      <w:r>
        <w:rPr>
          <w:rFonts w:ascii="Calibri" w:hAnsi="Calibri" w:cs="Calibri"/>
          <w:b/>
          <w:bCs/>
          <w:spacing w:val="-6"/>
          <w:position w:val="1"/>
          <w:sz w:val="21"/>
          <w:szCs w:val="21"/>
        </w:rPr>
        <w:t xml:space="preserve"> </w:t>
      </w:r>
      <w:r>
        <w:rPr>
          <w:rFonts w:ascii="Calibri" w:hAnsi="Calibri" w:cs="Calibri"/>
          <w:b/>
          <w:bCs/>
          <w:position w:val="1"/>
          <w:sz w:val="21"/>
          <w:szCs w:val="21"/>
        </w:rPr>
        <w:t>be</w:t>
      </w:r>
      <w:r>
        <w:rPr>
          <w:rFonts w:ascii="Calibri" w:hAnsi="Calibri" w:cs="Calibri"/>
          <w:b/>
          <w:bCs/>
          <w:spacing w:val="-8"/>
          <w:position w:val="1"/>
          <w:sz w:val="21"/>
          <w:szCs w:val="21"/>
        </w:rPr>
        <w:t xml:space="preserve"> </w:t>
      </w:r>
      <w:r>
        <w:rPr>
          <w:rFonts w:ascii="Calibri" w:hAnsi="Calibri" w:cs="Calibri"/>
          <w:b/>
          <w:bCs/>
          <w:position w:val="1"/>
          <w:sz w:val="21"/>
          <w:szCs w:val="21"/>
        </w:rPr>
        <w:t>detected</w:t>
      </w:r>
      <w:r>
        <w:rPr>
          <w:rFonts w:ascii="Calibri" w:hAnsi="Calibri" w:cs="Calibri"/>
          <w:b/>
          <w:bCs/>
          <w:spacing w:val="-6"/>
          <w:position w:val="1"/>
          <w:sz w:val="21"/>
          <w:szCs w:val="21"/>
        </w:rPr>
        <w:t xml:space="preserve"> </w:t>
      </w:r>
      <w:r>
        <w:rPr>
          <w:rFonts w:ascii="Calibri" w:hAnsi="Calibri" w:cs="Calibri"/>
          <w:b/>
          <w:bCs/>
          <w:position w:val="1"/>
          <w:sz w:val="21"/>
          <w:szCs w:val="21"/>
        </w:rPr>
        <w:t xml:space="preserve">in </w:t>
      </w:r>
      <w:r>
        <w:rPr>
          <w:rFonts w:ascii="Calibri" w:hAnsi="Calibri" w:cs="Calibri"/>
          <w:b/>
          <w:bCs/>
          <w:sz w:val="21"/>
          <w:szCs w:val="21"/>
        </w:rPr>
        <w:t xml:space="preserve">childhood. Early intervention can change the trajectory of those </w:t>
      </w:r>
      <w:r>
        <w:rPr>
          <w:rFonts w:ascii="Calibri" w:hAnsi="Calibri" w:cs="Calibri"/>
          <w:b/>
          <w:bCs/>
          <w:spacing w:val="-3"/>
          <w:sz w:val="21"/>
          <w:szCs w:val="21"/>
        </w:rPr>
        <w:t xml:space="preserve">symptoms. </w:t>
      </w:r>
      <w:r>
        <w:rPr>
          <w:rFonts w:ascii="Calibri" w:hAnsi="Calibri" w:cs="Calibri"/>
          <w:sz w:val="21"/>
          <w:szCs w:val="21"/>
        </w:rPr>
        <w:t xml:space="preserve">Childhood </w:t>
      </w:r>
      <w:r>
        <w:rPr>
          <w:rFonts w:ascii="Calibri" w:hAnsi="Calibri" w:cs="Calibri"/>
          <w:i/>
          <w:iCs/>
          <w:sz w:val="21"/>
          <w:szCs w:val="21"/>
        </w:rPr>
        <w:t xml:space="preserve">physical and mental health problems </w:t>
      </w:r>
      <w:r>
        <w:rPr>
          <w:rFonts w:ascii="Calibri" w:hAnsi="Calibri" w:cs="Calibri"/>
          <w:sz w:val="21"/>
          <w:szCs w:val="21"/>
        </w:rPr>
        <w:t>are both associated with poorer adult</w:t>
      </w:r>
      <w:r>
        <w:rPr>
          <w:rFonts w:ascii="Calibri" w:hAnsi="Calibri" w:cs="Calibri"/>
          <w:spacing w:val="-33"/>
          <w:sz w:val="21"/>
          <w:szCs w:val="21"/>
        </w:rPr>
        <w:t xml:space="preserve"> </w:t>
      </w:r>
      <w:r>
        <w:rPr>
          <w:rFonts w:ascii="Calibri" w:hAnsi="Calibri" w:cs="Calibri"/>
          <w:spacing w:val="-3"/>
          <w:sz w:val="21"/>
          <w:szCs w:val="21"/>
        </w:rPr>
        <w:t>health.</w:t>
      </w:r>
    </w:p>
    <w:p w:rsidR="002C5025" w:rsidRDefault="002C5025">
      <w:pPr>
        <w:pStyle w:val="BodyText"/>
        <w:kinsoku w:val="0"/>
        <w:overflowPunct w:val="0"/>
        <w:spacing w:before="4"/>
        <w:rPr>
          <w:sz w:val="25"/>
          <w:szCs w:val="25"/>
        </w:rPr>
      </w:pPr>
    </w:p>
    <w:p w:rsidR="002C5025" w:rsidRDefault="002C5025">
      <w:pPr>
        <w:pStyle w:val="ListParagraph"/>
        <w:numPr>
          <w:ilvl w:val="1"/>
          <w:numId w:val="31"/>
        </w:numPr>
        <w:tabs>
          <w:tab w:val="left" w:pos="1364"/>
        </w:tabs>
        <w:kinsoku w:val="0"/>
        <w:overflowPunct w:val="0"/>
        <w:spacing w:before="1" w:line="285" w:lineRule="auto"/>
        <w:ind w:right="824" w:hanging="360"/>
        <w:rPr>
          <w:rFonts w:ascii="Calibri" w:hAnsi="Calibri" w:cs="Calibri"/>
          <w:sz w:val="21"/>
          <w:szCs w:val="21"/>
        </w:rPr>
      </w:pPr>
      <w:r>
        <w:rPr>
          <w:rFonts w:ascii="Calibri" w:hAnsi="Calibri" w:cs="Calibri"/>
          <w:b/>
          <w:bCs/>
          <w:position w:val="1"/>
          <w:sz w:val="21"/>
          <w:szCs w:val="21"/>
        </w:rPr>
        <w:t xml:space="preserve">Healthcare providers in clinical practices need to identify and implement evidence-based treatments. </w:t>
      </w:r>
      <w:r>
        <w:rPr>
          <w:rFonts w:ascii="Calibri" w:hAnsi="Calibri" w:cs="Calibri"/>
          <w:position w:val="1"/>
          <w:sz w:val="21"/>
          <w:szCs w:val="21"/>
        </w:rPr>
        <w:t xml:space="preserve">As licensed </w:t>
      </w:r>
      <w:r>
        <w:rPr>
          <w:rFonts w:ascii="Calibri" w:hAnsi="Calibri" w:cs="Calibri"/>
          <w:sz w:val="21"/>
          <w:szCs w:val="21"/>
        </w:rPr>
        <w:t xml:space="preserve">psychologists with specialized, post-doctoral clinical and research training, neuropsychologists are well-qualified </w:t>
      </w:r>
      <w:r>
        <w:rPr>
          <w:rFonts w:ascii="Calibri" w:hAnsi="Calibri" w:cs="Calibri"/>
          <w:spacing w:val="-4"/>
          <w:sz w:val="21"/>
          <w:szCs w:val="21"/>
        </w:rPr>
        <w:t xml:space="preserve">to </w:t>
      </w:r>
      <w:r>
        <w:rPr>
          <w:rFonts w:ascii="Calibri" w:hAnsi="Calibri" w:cs="Calibri"/>
          <w:sz w:val="21"/>
          <w:szCs w:val="21"/>
        </w:rPr>
        <w:t xml:space="preserve">read, interpret, and use the evidence-based practice literature. They can apply the science appropriately in clinical work, </w:t>
      </w:r>
      <w:r>
        <w:rPr>
          <w:rFonts w:ascii="Calibri" w:hAnsi="Calibri" w:cs="Calibri"/>
          <w:spacing w:val="-2"/>
          <w:sz w:val="21"/>
          <w:szCs w:val="21"/>
        </w:rPr>
        <w:t xml:space="preserve">supervise </w:t>
      </w:r>
      <w:r>
        <w:rPr>
          <w:rFonts w:ascii="Calibri" w:hAnsi="Calibri" w:cs="Calibri"/>
          <w:sz w:val="21"/>
          <w:szCs w:val="21"/>
        </w:rPr>
        <w:t xml:space="preserve">its proper </w:t>
      </w:r>
      <w:r>
        <w:rPr>
          <w:rFonts w:ascii="Calibri" w:hAnsi="Calibri" w:cs="Calibri"/>
          <w:spacing w:val="-3"/>
          <w:sz w:val="21"/>
          <w:szCs w:val="21"/>
        </w:rPr>
        <w:t xml:space="preserve">use </w:t>
      </w:r>
      <w:r>
        <w:rPr>
          <w:rFonts w:ascii="Calibri" w:hAnsi="Calibri" w:cs="Calibri"/>
          <w:sz w:val="21"/>
          <w:szCs w:val="21"/>
        </w:rPr>
        <w:t xml:space="preserve">by less highly trained healthcare providers, and, having been trained as members </w:t>
      </w:r>
      <w:r>
        <w:rPr>
          <w:rFonts w:ascii="Calibri" w:hAnsi="Calibri" w:cs="Calibri"/>
          <w:spacing w:val="-4"/>
          <w:sz w:val="21"/>
          <w:szCs w:val="21"/>
        </w:rPr>
        <w:t xml:space="preserve">of </w:t>
      </w:r>
      <w:r>
        <w:rPr>
          <w:rFonts w:ascii="Calibri" w:hAnsi="Calibri" w:cs="Calibri"/>
          <w:sz w:val="21"/>
          <w:szCs w:val="21"/>
        </w:rPr>
        <w:t>multi-disciplinary</w:t>
      </w:r>
      <w:r>
        <w:rPr>
          <w:rFonts w:ascii="Calibri" w:hAnsi="Calibri" w:cs="Calibri"/>
          <w:spacing w:val="-11"/>
          <w:sz w:val="21"/>
          <w:szCs w:val="21"/>
        </w:rPr>
        <w:t xml:space="preserve"> </w:t>
      </w:r>
      <w:r>
        <w:rPr>
          <w:rFonts w:ascii="Calibri" w:hAnsi="Calibri" w:cs="Calibri"/>
          <w:sz w:val="21"/>
          <w:szCs w:val="21"/>
        </w:rPr>
        <w:t>treatment</w:t>
      </w:r>
      <w:r>
        <w:rPr>
          <w:rFonts w:ascii="Calibri" w:hAnsi="Calibri" w:cs="Calibri"/>
          <w:spacing w:val="-12"/>
          <w:sz w:val="21"/>
          <w:szCs w:val="21"/>
        </w:rPr>
        <w:t xml:space="preserve"> </w:t>
      </w:r>
      <w:r>
        <w:rPr>
          <w:rFonts w:ascii="Calibri" w:hAnsi="Calibri" w:cs="Calibri"/>
          <w:sz w:val="21"/>
          <w:szCs w:val="21"/>
        </w:rPr>
        <w:t>teams,</w:t>
      </w:r>
      <w:r>
        <w:rPr>
          <w:rFonts w:ascii="Calibri" w:hAnsi="Calibri" w:cs="Calibri"/>
          <w:spacing w:val="-8"/>
          <w:sz w:val="21"/>
          <w:szCs w:val="21"/>
        </w:rPr>
        <w:t xml:space="preserve"> </w:t>
      </w:r>
      <w:r>
        <w:rPr>
          <w:rFonts w:ascii="Calibri" w:hAnsi="Calibri" w:cs="Calibri"/>
          <w:sz w:val="21"/>
          <w:szCs w:val="21"/>
        </w:rPr>
        <w:t>they</w:t>
      </w:r>
      <w:r>
        <w:rPr>
          <w:rFonts w:ascii="Calibri" w:hAnsi="Calibri" w:cs="Calibri"/>
          <w:spacing w:val="-8"/>
          <w:sz w:val="21"/>
          <w:szCs w:val="21"/>
        </w:rPr>
        <w:t xml:space="preserve"> </w:t>
      </w:r>
      <w:r>
        <w:rPr>
          <w:rFonts w:ascii="Calibri" w:hAnsi="Calibri" w:cs="Calibri"/>
          <w:sz w:val="21"/>
          <w:szCs w:val="21"/>
        </w:rPr>
        <w:t>can</w:t>
      </w:r>
      <w:r>
        <w:rPr>
          <w:rFonts w:ascii="Calibri" w:hAnsi="Calibri" w:cs="Calibri"/>
          <w:spacing w:val="-9"/>
          <w:sz w:val="21"/>
          <w:szCs w:val="21"/>
        </w:rPr>
        <w:t xml:space="preserve"> </w:t>
      </w:r>
      <w:r>
        <w:rPr>
          <w:rFonts w:ascii="Calibri" w:hAnsi="Calibri" w:cs="Calibri"/>
          <w:sz w:val="21"/>
          <w:szCs w:val="21"/>
        </w:rPr>
        <w:t>educate</w:t>
      </w:r>
      <w:r>
        <w:rPr>
          <w:rFonts w:ascii="Calibri" w:hAnsi="Calibri" w:cs="Calibri"/>
          <w:spacing w:val="-11"/>
          <w:sz w:val="21"/>
          <w:szCs w:val="21"/>
        </w:rPr>
        <w:t xml:space="preserve"> </w:t>
      </w:r>
      <w:r>
        <w:rPr>
          <w:rFonts w:ascii="Calibri" w:hAnsi="Calibri" w:cs="Calibri"/>
          <w:sz w:val="21"/>
          <w:szCs w:val="21"/>
        </w:rPr>
        <w:t>healthcare</w:t>
      </w:r>
      <w:r>
        <w:rPr>
          <w:rFonts w:ascii="Calibri" w:hAnsi="Calibri" w:cs="Calibri"/>
          <w:spacing w:val="-7"/>
          <w:sz w:val="21"/>
          <w:szCs w:val="21"/>
        </w:rPr>
        <w:t xml:space="preserve"> </w:t>
      </w:r>
      <w:r>
        <w:rPr>
          <w:rFonts w:ascii="Calibri" w:hAnsi="Calibri" w:cs="Calibri"/>
          <w:sz w:val="21"/>
          <w:szCs w:val="21"/>
        </w:rPr>
        <w:t>teams</w:t>
      </w:r>
      <w:r>
        <w:rPr>
          <w:rFonts w:ascii="Calibri" w:hAnsi="Calibri" w:cs="Calibri"/>
          <w:spacing w:val="-10"/>
          <w:sz w:val="21"/>
          <w:szCs w:val="21"/>
        </w:rPr>
        <w:t xml:space="preserve"> </w:t>
      </w:r>
      <w:r>
        <w:rPr>
          <w:rFonts w:ascii="Calibri" w:hAnsi="Calibri" w:cs="Calibri"/>
          <w:sz w:val="21"/>
          <w:szCs w:val="21"/>
        </w:rPr>
        <w:t>in</w:t>
      </w:r>
      <w:r>
        <w:rPr>
          <w:rFonts w:ascii="Calibri" w:hAnsi="Calibri" w:cs="Calibri"/>
          <w:spacing w:val="-12"/>
          <w:sz w:val="21"/>
          <w:szCs w:val="21"/>
        </w:rPr>
        <w:t xml:space="preserve"> </w:t>
      </w:r>
      <w:r>
        <w:rPr>
          <w:rFonts w:ascii="Calibri" w:hAnsi="Calibri" w:cs="Calibri"/>
          <w:sz w:val="21"/>
          <w:szCs w:val="21"/>
        </w:rPr>
        <w:t>effective</w:t>
      </w:r>
      <w:r>
        <w:rPr>
          <w:rFonts w:ascii="Calibri" w:hAnsi="Calibri" w:cs="Calibri"/>
          <w:spacing w:val="-11"/>
          <w:sz w:val="21"/>
          <w:szCs w:val="21"/>
        </w:rPr>
        <w:t xml:space="preserve"> </w:t>
      </w:r>
      <w:r>
        <w:rPr>
          <w:rFonts w:ascii="Calibri" w:hAnsi="Calibri" w:cs="Calibri"/>
          <w:sz w:val="21"/>
          <w:szCs w:val="21"/>
        </w:rPr>
        <w:t>use</w:t>
      </w:r>
      <w:r>
        <w:rPr>
          <w:rFonts w:ascii="Calibri" w:hAnsi="Calibri" w:cs="Calibri"/>
          <w:spacing w:val="-8"/>
          <w:sz w:val="21"/>
          <w:szCs w:val="21"/>
        </w:rPr>
        <w:t xml:space="preserve"> </w:t>
      </w:r>
      <w:r>
        <w:rPr>
          <w:rFonts w:ascii="Calibri" w:hAnsi="Calibri" w:cs="Calibri"/>
          <w:sz w:val="21"/>
          <w:szCs w:val="21"/>
        </w:rPr>
        <w:t>of</w:t>
      </w:r>
      <w:r>
        <w:rPr>
          <w:rFonts w:ascii="Calibri" w:hAnsi="Calibri" w:cs="Calibri"/>
          <w:spacing w:val="-8"/>
          <w:sz w:val="21"/>
          <w:szCs w:val="21"/>
        </w:rPr>
        <w:t xml:space="preserve"> </w:t>
      </w:r>
      <w:r>
        <w:rPr>
          <w:rFonts w:ascii="Calibri" w:hAnsi="Calibri" w:cs="Calibri"/>
          <w:sz w:val="21"/>
          <w:szCs w:val="21"/>
        </w:rPr>
        <w:t>evidence-based</w:t>
      </w:r>
      <w:r>
        <w:rPr>
          <w:rFonts w:ascii="Calibri" w:hAnsi="Calibri" w:cs="Calibri"/>
          <w:spacing w:val="-12"/>
          <w:sz w:val="21"/>
          <w:szCs w:val="21"/>
        </w:rPr>
        <w:t xml:space="preserve"> </w:t>
      </w:r>
      <w:r>
        <w:rPr>
          <w:rFonts w:ascii="Calibri" w:hAnsi="Calibri" w:cs="Calibri"/>
          <w:sz w:val="21"/>
          <w:szCs w:val="21"/>
        </w:rPr>
        <w:t>practices</w:t>
      </w:r>
      <w:r>
        <w:rPr>
          <w:rFonts w:ascii="Calibri" w:hAnsi="Calibri" w:cs="Calibri"/>
          <w:spacing w:val="-8"/>
          <w:sz w:val="21"/>
          <w:szCs w:val="21"/>
        </w:rPr>
        <w:t xml:space="preserve"> </w:t>
      </w:r>
      <w:r>
        <w:rPr>
          <w:rFonts w:ascii="Calibri" w:hAnsi="Calibri" w:cs="Calibri"/>
          <w:sz w:val="21"/>
          <w:szCs w:val="21"/>
        </w:rPr>
        <w:t>to treat</w:t>
      </w:r>
      <w:r>
        <w:rPr>
          <w:rFonts w:ascii="Calibri" w:hAnsi="Calibri" w:cs="Calibri"/>
          <w:spacing w:val="-10"/>
          <w:sz w:val="21"/>
          <w:szCs w:val="21"/>
        </w:rPr>
        <w:t xml:space="preserve"> </w:t>
      </w:r>
      <w:r>
        <w:rPr>
          <w:rFonts w:ascii="Calibri" w:hAnsi="Calibri" w:cs="Calibri"/>
          <w:sz w:val="21"/>
          <w:szCs w:val="21"/>
        </w:rPr>
        <w:t>patients</w:t>
      </w:r>
      <w:r>
        <w:rPr>
          <w:rFonts w:ascii="Calibri" w:hAnsi="Calibri" w:cs="Calibri"/>
          <w:spacing w:val="-12"/>
          <w:sz w:val="21"/>
          <w:szCs w:val="21"/>
        </w:rPr>
        <w:t xml:space="preserve"> </w:t>
      </w:r>
      <w:r>
        <w:rPr>
          <w:rFonts w:ascii="Calibri" w:hAnsi="Calibri" w:cs="Calibri"/>
          <w:sz w:val="21"/>
          <w:szCs w:val="21"/>
        </w:rPr>
        <w:t>with</w:t>
      </w:r>
      <w:r>
        <w:rPr>
          <w:rFonts w:ascii="Calibri" w:hAnsi="Calibri" w:cs="Calibri"/>
          <w:spacing w:val="-11"/>
          <w:sz w:val="21"/>
          <w:szCs w:val="21"/>
        </w:rPr>
        <w:t xml:space="preserve"> </w:t>
      </w:r>
      <w:r>
        <w:rPr>
          <w:rFonts w:ascii="Calibri" w:hAnsi="Calibri" w:cs="Calibri"/>
          <w:sz w:val="21"/>
          <w:szCs w:val="21"/>
        </w:rPr>
        <w:t>emotional</w:t>
      </w:r>
      <w:r>
        <w:rPr>
          <w:rFonts w:ascii="Calibri" w:hAnsi="Calibri" w:cs="Calibri"/>
          <w:spacing w:val="-10"/>
          <w:sz w:val="21"/>
          <w:szCs w:val="21"/>
        </w:rPr>
        <w:t xml:space="preserve"> </w:t>
      </w:r>
      <w:r>
        <w:rPr>
          <w:rFonts w:ascii="Calibri" w:hAnsi="Calibri" w:cs="Calibri"/>
          <w:sz w:val="21"/>
          <w:szCs w:val="21"/>
        </w:rPr>
        <w:t>and/or</w:t>
      </w:r>
      <w:r>
        <w:rPr>
          <w:rFonts w:ascii="Calibri" w:hAnsi="Calibri" w:cs="Calibri"/>
          <w:spacing w:val="-10"/>
          <w:sz w:val="21"/>
          <w:szCs w:val="21"/>
        </w:rPr>
        <w:t xml:space="preserve"> </w:t>
      </w:r>
      <w:r>
        <w:rPr>
          <w:rFonts w:ascii="Calibri" w:hAnsi="Calibri" w:cs="Calibri"/>
          <w:sz w:val="21"/>
          <w:szCs w:val="21"/>
        </w:rPr>
        <w:t>cognitive</w:t>
      </w:r>
      <w:r>
        <w:rPr>
          <w:rFonts w:ascii="Calibri" w:hAnsi="Calibri" w:cs="Calibri"/>
          <w:spacing w:val="-9"/>
          <w:sz w:val="21"/>
          <w:szCs w:val="21"/>
        </w:rPr>
        <w:t xml:space="preserve"> </w:t>
      </w:r>
      <w:r>
        <w:rPr>
          <w:rFonts w:ascii="Calibri" w:hAnsi="Calibri" w:cs="Calibri"/>
          <w:sz w:val="21"/>
          <w:szCs w:val="21"/>
        </w:rPr>
        <w:t>symptoms</w:t>
      </w:r>
      <w:r>
        <w:rPr>
          <w:rFonts w:ascii="Calibri" w:hAnsi="Calibri" w:cs="Calibri"/>
          <w:spacing w:val="-12"/>
          <w:sz w:val="21"/>
          <w:szCs w:val="21"/>
        </w:rPr>
        <w:t xml:space="preserve"> </w:t>
      </w:r>
      <w:r>
        <w:rPr>
          <w:rFonts w:ascii="Calibri" w:hAnsi="Calibri" w:cs="Calibri"/>
          <w:sz w:val="21"/>
          <w:szCs w:val="21"/>
        </w:rPr>
        <w:t>stemming</w:t>
      </w:r>
      <w:r>
        <w:rPr>
          <w:rFonts w:ascii="Calibri" w:hAnsi="Calibri" w:cs="Calibri"/>
          <w:spacing w:val="-10"/>
          <w:sz w:val="21"/>
          <w:szCs w:val="21"/>
        </w:rPr>
        <w:t xml:space="preserve"> </w:t>
      </w:r>
      <w:r>
        <w:rPr>
          <w:rFonts w:ascii="Calibri" w:hAnsi="Calibri" w:cs="Calibri"/>
          <w:sz w:val="21"/>
          <w:szCs w:val="21"/>
        </w:rPr>
        <w:t>from</w:t>
      </w:r>
      <w:r>
        <w:rPr>
          <w:rFonts w:ascii="Calibri" w:hAnsi="Calibri" w:cs="Calibri"/>
          <w:spacing w:val="-10"/>
          <w:sz w:val="21"/>
          <w:szCs w:val="21"/>
        </w:rPr>
        <w:t xml:space="preserve"> </w:t>
      </w:r>
      <w:r>
        <w:rPr>
          <w:rFonts w:ascii="Calibri" w:hAnsi="Calibri" w:cs="Calibri"/>
          <w:sz w:val="21"/>
          <w:szCs w:val="21"/>
        </w:rPr>
        <w:t>behavioral,</w:t>
      </w:r>
      <w:r>
        <w:rPr>
          <w:rFonts w:ascii="Calibri" w:hAnsi="Calibri" w:cs="Calibri"/>
          <w:spacing w:val="-9"/>
          <w:sz w:val="21"/>
          <w:szCs w:val="21"/>
        </w:rPr>
        <w:t xml:space="preserve"> </w:t>
      </w:r>
      <w:r>
        <w:rPr>
          <w:rFonts w:ascii="Calibri" w:hAnsi="Calibri" w:cs="Calibri"/>
          <w:sz w:val="21"/>
          <w:szCs w:val="21"/>
        </w:rPr>
        <w:t>neurologic,</w:t>
      </w:r>
      <w:r>
        <w:rPr>
          <w:rFonts w:ascii="Calibri" w:hAnsi="Calibri" w:cs="Calibri"/>
          <w:spacing w:val="-7"/>
          <w:sz w:val="21"/>
          <w:szCs w:val="21"/>
        </w:rPr>
        <w:t xml:space="preserve"> </w:t>
      </w:r>
      <w:r>
        <w:rPr>
          <w:rFonts w:ascii="Calibri" w:hAnsi="Calibri" w:cs="Calibri"/>
          <w:sz w:val="21"/>
          <w:szCs w:val="21"/>
        </w:rPr>
        <w:t>and/or</w:t>
      </w:r>
      <w:r>
        <w:rPr>
          <w:rFonts w:ascii="Calibri" w:hAnsi="Calibri" w:cs="Calibri"/>
          <w:spacing w:val="-8"/>
          <w:sz w:val="21"/>
          <w:szCs w:val="21"/>
        </w:rPr>
        <w:t xml:space="preserve"> </w:t>
      </w:r>
      <w:r>
        <w:rPr>
          <w:rFonts w:ascii="Calibri" w:hAnsi="Calibri" w:cs="Calibri"/>
          <w:sz w:val="21"/>
          <w:szCs w:val="21"/>
        </w:rPr>
        <w:t>other</w:t>
      </w:r>
      <w:r>
        <w:rPr>
          <w:rFonts w:ascii="Calibri" w:hAnsi="Calibri" w:cs="Calibri"/>
          <w:spacing w:val="-9"/>
          <w:sz w:val="21"/>
          <w:szCs w:val="21"/>
        </w:rPr>
        <w:t xml:space="preserve"> </w:t>
      </w:r>
      <w:r>
        <w:rPr>
          <w:rFonts w:ascii="Calibri" w:hAnsi="Calibri" w:cs="Calibri"/>
          <w:sz w:val="21"/>
          <w:szCs w:val="21"/>
        </w:rPr>
        <w:t>medical conditions</w:t>
      </w:r>
    </w:p>
    <w:p w:rsidR="002C5025" w:rsidRDefault="002C5025">
      <w:pPr>
        <w:pStyle w:val="BodyText"/>
        <w:kinsoku w:val="0"/>
        <w:overflowPunct w:val="0"/>
        <w:spacing w:before="2"/>
        <w:rPr>
          <w:sz w:val="21"/>
          <w:szCs w:val="21"/>
        </w:rPr>
      </w:pPr>
    </w:p>
    <w:p w:rsidR="002C5025" w:rsidRDefault="002C5025">
      <w:pPr>
        <w:pStyle w:val="BodyText"/>
        <w:kinsoku w:val="0"/>
        <w:overflowPunct w:val="0"/>
        <w:spacing w:after="2"/>
        <w:ind w:left="1003" w:right="1443"/>
        <w:rPr>
          <w:sz w:val="21"/>
          <w:szCs w:val="21"/>
        </w:rPr>
      </w:pPr>
      <w:r>
        <w:rPr>
          <w:sz w:val="21"/>
          <w:szCs w:val="21"/>
        </w:rPr>
        <w:t>Thank you for considering these comments. Please call if you have questions, or if you need more information.</w:t>
      </w:r>
    </w:p>
    <w:p w:rsidR="002C5025" w:rsidRDefault="00FB027C">
      <w:pPr>
        <w:pStyle w:val="BodyText"/>
        <w:tabs>
          <w:tab w:val="left" w:pos="6490"/>
        </w:tabs>
        <w:kinsoku w:val="0"/>
        <w:overflowPunct w:val="0"/>
        <w:ind w:left="1005"/>
        <w:rPr>
          <w:sz w:val="20"/>
          <w:szCs w:val="20"/>
        </w:rPr>
      </w:pPr>
      <w:r>
        <w:rPr>
          <w:noProof/>
          <w:position w:val="1"/>
          <w:sz w:val="20"/>
          <w:szCs w:val="20"/>
        </w:rPr>
        <w:drawing>
          <wp:inline distT="0" distB="0" distL="0" distR="0">
            <wp:extent cx="1857375" cy="628650"/>
            <wp:effectExtent l="0" t="0" r="9525"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485">
                      <a:extLst>
                        <a:ext uri="{28A0092B-C50C-407E-A947-70E740481C1C}">
                          <a14:useLocalDpi xmlns:a14="http://schemas.microsoft.com/office/drawing/2010/main" val="0"/>
                        </a:ext>
                      </a:extLst>
                    </a:blip>
                    <a:srcRect/>
                    <a:stretch>
                      <a:fillRect/>
                    </a:stretch>
                  </pic:blipFill>
                  <pic:spPr bwMode="auto">
                    <a:xfrm>
                      <a:off x="0" y="0"/>
                      <a:ext cx="1857375" cy="628650"/>
                    </a:xfrm>
                    <a:prstGeom prst="rect">
                      <a:avLst/>
                    </a:prstGeom>
                    <a:noFill/>
                    <a:ln>
                      <a:noFill/>
                    </a:ln>
                  </pic:spPr>
                </pic:pic>
              </a:graphicData>
            </a:graphic>
          </wp:inline>
        </w:drawing>
      </w:r>
      <w:r w:rsidR="002C5025">
        <w:rPr>
          <w:position w:val="1"/>
          <w:sz w:val="20"/>
          <w:szCs w:val="20"/>
        </w:rPr>
        <w:t xml:space="preserve"> </w:t>
      </w:r>
      <w:r w:rsidR="002C5025">
        <w:rPr>
          <w:position w:val="1"/>
          <w:sz w:val="20"/>
          <w:szCs w:val="20"/>
        </w:rPr>
        <w:tab/>
      </w:r>
      <w:r>
        <w:rPr>
          <w:noProof/>
          <w:sz w:val="20"/>
          <w:szCs w:val="20"/>
        </w:rPr>
        <w:drawing>
          <wp:inline distT="0" distB="0" distL="0" distR="0">
            <wp:extent cx="2533650" cy="542925"/>
            <wp:effectExtent l="0" t="0" r="0" b="9525"/>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486">
                      <a:extLst>
                        <a:ext uri="{28A0092B-C50C-407E-A947-70E740481C1C}">
                          <a14:useLocalDpi xmlns:a14="http://schemas.microsoft.com/office/drawing/2010/main" val="0"/>
                        </a:ext>
                      </a:extLst>
                    </a:blip>
                    <a:srcRect/>
                    <a:stretch>
                      <a:fillRect/>
                    </a:stretch>
                  </pic:blipFill>
                  <pic:spPr bwMode="auto">
                    <a:xfrm>
                      <a:off x="0" y="0"/>
                      <a:ext cx="2533650" cy="542925"/>
                    </a:xfrm>
                    <a:prstGeom prst="rect">
                      <a:avLst/>
                    </a:prstGeom>
                    <a:noFill/>
                    <a:ln>
                      <a:noFill/>
                    </a:ln>
                  </pic:spPr>
                </pic:pic>
              </a:graphicData>
            </a:graphic>
          </wp:inline>
        </w:drawing>
      </w:r>
    </w:p>
    <w:p w:rsidR="002C5025" w:rsidRDefault="002C5025">
      <w:pPr>
        <w:pStyle w:val="BodyText"/>
        <w:kinsoku w:val="0"/>
        <w:overflowPunct w:val="0"/>
        <w:spacing w:before="3"/>
        <w:rPr>
          <w:sz w:val="21"/>
          <w:szCs w:val="21"/>
        </w:rPr>
      </w:pPr>
    </w:p>
    <w:p w:rsidR="002C5025" w:rsidRDefault="002C5025">
      <w:pPr>
        <w:pStyle w:val="BodyText"/>
        <w:tabs>
          <w:tab w:val="left" w:pos="6842"/>
        </w:tabs>
        <w:kinsoku w:val="0"/>
        <w:overflowPunct w:val="0"/>
        <w:ind w:left="1003" w:right="1443"/>
        <w:rPr>
          <w:sz w:val="21"/>
          <w:szCs w:val="21"/>
        </w:rPr>
      </w:pPr>
      <w:r>
        <w:rPr>
          <w:sz w:val="21"/>
          <w:szCs w:val="21"/>
        </w:rPr>
        <w:t>Jeffrey Sheer,</w:t>
      </w:r>
      <w:r>
        <w:rPr>
          <w:spacing w:val="-22"/>
          <w:sz w:val="21"/>
          <w:szCs w:val="21"/>
        </w:rPr>
        <w:t xml:space="preserve"> </w:t>
      </w:r>
      <w:r>
        <w:rPr>
          <w:sz w:val="21"/>
          <w:szCs w:val="21"/>
        </w:rPr>
        <w:t>PhD,</w:t>
      </w:r>
      <w:r>
        <w:rPr>
          <w:spacing w:val="-9"/>
          <w:sz w:val="21"/>
          <w:szCs w:val="21"/>
        </w:rPr>
        <w:t xml:space="preserve"> </w:t>
      </w:r>
      <w:r>
        <w:rPr>
          <w:sz w:val="21"/>
          <w:szCs w:val="21"/>
        </w:rPr>
        <w:t>ABPP-CN</w:t>
      </w:r>
      <w:r>
        <w:rPr>
          <w:sz w:val="21"/>
          <w:szCs w:val="21"/>
        </w:rPr>
        <w:tab/>
        <w:t>Mary Coakley-Welch,</w:t>
      </w:r>
      <w:r>
        <w:rPr>
          <w:spacing w:val="-24"/>
          <w:sz w:val="21"/>
          <w:szCs w:val="21"/>
        </w:rPr>
        <w:t xml:space="preserve"> </w:t>
      </w:r>
      <w:r>
        <w:rPr>
          <w:sz w:val="21"/>
          <w:szCs w:val="21"/>
        </w:rPr>
        <w:t>PhD</w:t>
      </w:r>
    </w:p>
    <w:p w:rsidR="002C5025" w:rsidRDefault="002C5025">
      <w:pPr>
        <w:pStyle w:val="BodyText"/>
        <w:tabs>
          <w:tab w:val="left" w:pos="6863"/>
        </w:tabs>
        <w:kinsoku w:val="0"/>
        <w:overflowPunct w:val="0"/>
        <w:spacing w:line="252" w:lineRule="exact"/>
        <w:ind w:left="1002" w:right="1443"/>
        <w:rPr>
          <w:sz w:val="21"/>
          <w:szCs w:val="21"/>
        </w:rPr>
      </w:pPr>
      <w:r>
        <w:rPr>
          <w:sz w:val="21"/>
          <w:szCs w:val="21"/>
        </w:rPr>
        <w:t>Licensed</w:t>
      </w:r>
      <w:r>
        <w:rPr>
          <w:spacing w:val="-11"/>
          <w:sz w:val="21"/>
          <w:szCs w:val="21"/>
        </w:rPr>
        <w:t xml:space="preserve"> </w:t>
      </w:r>
      <w:r>
        <w:rPr>
          <w:sz w:val="21"/>
          <w:szCs w:val="21"/>
        </w:rPr>
        <w:t>Psychologist;</w:t>
      </w:r>
      <w:r>
        <w:rPr>
          <w:spacing w:val="-9"/>
          <w:sz w:val="21"/>
          <w:szCs w:val="21"/>
        </w:rPr>
        <w:t xml:space="preserve"> </w:t>
      </w:r>
      <w:r>
        <w:rPr>
          <w:sz w:val="21"/>
          <w:szCs w:val="21"/>
        </w:rPr>
        <w:t>Neuropsychologist</w:t>
      </w:r>
      <w:r>
        <w:rPr>
          <w:sz w:val="21"/>
          <w:szCs w:val="21"/>
        </w:rPr>
        <w:tab/>
        <w:t>Licensed</w:t>
      </w:r>
      <w:r>
        <w:rPr>
          <w:spacing w:val="-24"/>
          <w:sz w:val="21"/>
          <w:szCs w:val="21"/>
        </w:rPr>
        <w:t xml:space="preserve"> </w:t>
      </w:r>
      <w:r>
        <w:rPr>
          <w:sz w:val="21"/>
          <w:szCs w:val="21"/>
        </w:rPr>
        <w:t>Psychologist;</w:t>
      </w:r>
      <w:r>
        <w:rPr>
          <w:spacing w:val="-23"/>
          <w:sz w:val="21"/>
          <w:szCs w:val="21"/>
        </w:rPr>
        <w:t xml:space="preserve"> </w:t>
      </w:r>
      <w:r>
        <w:rPr>
          <w:sz w:val="21"/>
          <w:szCs w:val="21"/>
        </w:rPr>
        <w:t>Neuropsychologist</w:t>
      </w:r>
    </w:p>
    <w:p w:rsidR="002C5025" w:rsidRDefault="002C5025">
      <w:pPr>
        <w:pStyle w:val="BodyText"/>
        <w:tabs>
          <w:tab w:val="left" w:pos="6840"/>
        </w:tabs>
        <w:kinsoku w:val="0"/>
        <w:overflowPunct w:val="0"/>
        <w:ind w:left="6842" w:right="1641" w:hanging="5840"/>
        <w:rPr>
          <w:spacing w:val="-2"/>
          <w:sz w:val="21"/>
          <w:szCs w:val="21"/>
        </w:rPr>
      </w:pPr>
      <w:r>
        <w:rPr>
          <w:sz w:val="21"/>
          <w:szCs w:val="21"/>
        </w:rPr>
        <w:t>Chair, MNS Professional</w:t>
      </w:r>
      <w:r>
        <w:rPr>
          <w:spacing w:val="-25"/>
          <w:sz w:val="21"/>
          <w:szCs w:val="21"/>
        </w:rPr>
        <w:t xml:space="preserve"> </w:t>
      </w:r>
      <w:r>
        <w:rPr>
          <w:sz w:val="21"/>
          <w:szCs w:val="21"/>
        </w:rPr>
        <w:t>Affairs</w:t>
      </w:r>
      <w:r>
        <w:rPr>
          <w:spacing w:val="-10"/>
          <w:sz w:val="21"/>
          <w:szCs w:val="21"/>
        </w:rPr>
        <w:t xml:space="preserve"> </w:t>
      </w:r>
      <w:r>
        <w:rPr>
          <w:sz w:val="21"/>
          <w:szCs w:val="21"/>
        </w:rPr>
        <w:t>Committee</w:t>
      </w:r>
      <w:r>
        <w:rPr>
          <w:sz w:val="21"/>
          <w:szCs w:val="21"/>
        </w:rPr>
        <w:tab/>
        <w:t>President, Mass.</w:t>
      </w:r>
      <w:r>
        <w:rPr>
          <w:spacing w:val="-36"/>
          <w:sz w:val="21"/>
          <w:szCs w:val="21"/>
        </w:rPr>
        <w:t xml:space="preserve"> </w:t>
      </w:r>
      <w:r>
        <w:rPr>
          <w:sz w:val="21"/>
          <w:szCs w:val="21"/>
        </w:rPr>
        <w:t>Neuropsychological</w:t>
      </w:r>
      <w:r>
        <w:rPr>
          <w:spacing w:val="-20"/>
          <w:sz w:val="21"/>
          <w:szCs w:val="21"/>
        </w:rPr>
        <w:t xml:space="preserve"> </w:t>
      </w:r>
      <w:r>
        <w:rPr>
          <w:sz w:val="21"/>
          <w:szCs w:val="21"/>
        </w:rPr>
        <w:t>Society PHONE:</w:t>
      </w:r>
      <w:r>
        <w:rPr>
          <w:spacing w:val="-21"/>
          <w:sz w:val="21"/>
          <w:szCs w:val="21"/>
        </w:rPr>
        <w:t xml:space="preserve"> </w:t>
      </w:r>
      <w:r>
        <w:rPr>
          <w:spacing w:val="-2"/>
          <w:sz w:val="21"/>
          <w:szCs w:val="21"/>
        </w:rPr>
        <w:t>781-368-9020</w:t>
      </w:r>
    </w:p>
    <w:p w:rsidR="002C5025" w:rsidRDefault="00FD19EE">
      <w:pPr>
        <w:pStyle w:val="BodyText"/>
        <w:kinsoku w:val="0"/>
        <w:overflowPunct w:val="0"/>
        <w:ind w:left="6841" w:right="1443"/>
        <w:rPr>
          <w:sz w:val="21"/>
          <w:szCs w:val="21"/>
        </w:rPr>
      </w:pPr>
      <w:hyperlink r:id="rId487" w:history="1">
        <w:r w:rsidR="002C5025">
          <w:rPr>
            <w:sz w:val="21"/>
            <w:szCs w:val="21"/>
          </w:rPr>
          <w:t>coakleywelch@verizon.net</w:t>
        </w:r>
      </w:hyperlink>
    </w:p>
    <w:p w:rsidR="002C5025" w:rsidRDefault="002C5025">
      <w:pPr>
        <w:pStyle w:val="BodyText"/>
        <w:kinsoku w:val="0"/>
        <w:overflowPunct w:val="0"/>
        <w:ind w:left="6841" w:right="1443"/>
        <w:rPr>
          <w:sz w:val="21"/>
          <w:szCs w:val="21"/>
        </w:rPr>
        <w:sectPr w:rsidR="002C5025">
          <w:pgSz w:w="12240" w:h="15840"/>
          <w:pgMar w:top="700" w:right="0" w:bottom="280" w:left="0" w:header="720" w:footer="720" w:gutter="0"/>
          <w:cols w:space="720" w:equalWidth="0">
            <w:col w:w="12240"/>
          </w:cols>
          <w:noEndnote/>
        </w:sectPr>
      </w:pPr>
    </w:p>
    <w:p w:rsidR="002C5025" w:rsidRDefault="002C5025">
      <w:pPr>
        <w:pStyle w:val="BodyText"/>
        <w:kinsoku w:val="0"/>
        <w:overflowPunct w:val="0"/>
        <w:rPr>
          <w:sz w:val="20"/>
          <w:szCs w:val="20"/>
        </w:rPr>
      </w:pPr>
    </w:p>
    <w:p w:rsidR="002C5025" w:rsidRDefault="002C5025">
      <w:pPr>
        <w:pStyle w:val="BodyText"/>
        <w:kinsoku w:val="0"/>
        <w:overflowPunct w:val="0"/>
        <w:spacing w:before="1"/>
        <w:rPr>
          <w:sz w:val="21"/>
          <w:szCs w:val="21"/>
        </w:rPr>
      </w:pPr>
    </w:p>
    <w:p w:rsidR="002C5025" w:rsidRDefault="00FB027C">
      <w:pPr>
        <w:pStyle w:val="BodyText"/>
        <w:kinsoku w:val="0"/>
        <w:overflowPunct w:val="0"/>
        <w:ind w:left="975"/>
        <w:rPr>
          <w:sz w:val="20"/>
          <w:szCs w:val="20"/>
        </w:rPr>
      </w:pPr>
      <w:r>
        <w:rPr>
          <w:noProof/>
          <w:sz w:val="20"/>
          <w:szCs w:val="20"/>
        </w:rPr>
        <w:drawing>
          <wp:inline distT="0" distB="0" distL="0" distR="0">
            <wp:extent cx="4895850" cy="1038225"/>
            <wp:effectExtent l="0" t="0" r="0" b="9525"/>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488">
                      <a:extLst>
                        <a:ext uri="{28A0092B-C50C-407E-A947-70E740481C1C}">
                          <a14:useLocalDpi xmlns:a14="http://schemas.microsoft.com/office/drawing/2010/main" val="0"/>
                        </a:ext>
                      </a:extLst>
                    </a:blip>
                    <a:srcRect/>
                    <a:stretch>
                      <a:fillRect/>
                    </a:stretch>
                  </pic:blipFill>
                  <pic:spPr bwMode="auto">
                    <a:xfrm>
                      <a:off x="0" y="0"/>
                      <a:ext cx="4895850" cy="1038225"/>
                    </a:xfrm>
                    <a:prstGeom prst="rect">
                      <a:avLst/>
                    </a:prstGeom>
                    <a:noFill/>
                    <a:ln>
                      <a:noFill/>
                    </a:ln>
                  </pic:spPr>
                </pic:pic>
              </a:graphicData>
            </a:graphic>
          </wp:inline>
        </w:drawing>
      </w:r>
    </w:p>
    <w:bookmarkStart w:id="211" w:name="MOAR_Comments_1115_EM_July_13_2016"/>
    <w:bookmarkEnd w:id="211"/>
    <w:p w:rsidR="002C5025" w:rsidRDefault="002C5025">
      <w:pPr>
        <w:pStyle w:val="BodyText"/>
        <w:tabs>
          <w:tab w:val="left" w:pos="6693"/>
        </w:tabs>
        <w:kinsoku w:val="0"/>
        <w:overflowPunct w:val="0"/>
        <w:spacing w:before="16" w:line="242" w:lineRule="auto"/>
        <w:ind w:left="3031" w:right="1577" w:hanging="1452"/>
        <w:rPr>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"http://www.moar-recovery.org/" </w:instrText>
      </w:r>
      <w:r>
        <w:rPr>
          <w:rFonts w:ascii="Times New Roman" w:hAnsi="Times New Roman" w:cs="Times New Roman"/>
          <w:sz w:val="24"/>
          <w:szCs w:val="24"/>
        </w:rPr>
        <w:fldChar w:fldCharType="separate"/>
      </w:r>
      <w:r>
        <w:rPr>
          <w:sz w:val="24"/>
          <w:szCs w:val="24"/>
          <w:u w:val="single" w:color="000000"/>
        </w:rPr>
        <w:t>www.moar-recovery.org</w:t>
      </w:r>
      <w:r>
        <w:rPr>
          <w:rFonts w:ascii="Times New Roman" w:hAnsi="Times New Roman" w:cs="Times New Roman"/>
          <w:sz w:val="24"/>
          <w:szCs w:val="24"/>
        </w:rPr>
        <w:fldChar w:fldCharType="end"/>
      </w:r>
      <w:r>
        <w:rPr>
          <w:sz w:val="24"/>
          <w:szCs w:val="24"/>
        </w:rPr>
        <w:tab/>
        <w:t>617</w:t>
      </w:r>
      <w:r>
        <w:rPr>
          <w:spacing w:val="-2"/>
          <w:sz w:val="24"/>
          <w:szCs w:val="24"/>
        </w:rPr>
        <w:t xml:space="preserve"> </w:t>
      </w:r>
      <w:r>
        <w:rPr>
          <w:sz w:val="24"/>
          <w:szCs w:val="24"/>
        </w:rPr>
        <w:t>423</w:t>
      </w:r>
      <w:r>
        <w:rPr>
          <w:spacing w:val="-3"/>
          <w:sz w:val="24"/>
          <w:szCs w:val="24"/>
        </w:rPr>
        <w:t xml:space="preserve"> </w:t>
      </w:r>
      <w:r>
        <w:rPr>
          <w:sz w:val="24"/>
          <w:szCs w:val="24"/>
        </w:rPr>
        <w:t>6627 29 Winter Street ~ Boston, MA</w:t>
      </w:r>
      <w:r>
        <w:rPr>
          <w:spacing w:val="-10"/>
          <w:sz w:val="24"/>
          <w:szCs w:val="24"/>
        </w:rPr>
        <w:t xml:space="preserve"> </w:t>
      </w:r>
      <w:r>
        <w:rPr>
          <w:sz w:val="24"/>
          <w:szCs w:val="24"/>
        </w:rPr>
        <w:t>0210</w:t>
      </w:r>
    </w:p>
    <w:p w:rsidR="002C5025" w:rsidRDefault="002C5025">
      <w:pPr>
        <w:pStyle w:val="BodyText"/>
        <w:kinsoku w:val="0"/>
        <w:overflowPunct w:val="0"/>
        <w:rPr>
          <w:sz w:val="20"/>
          <w:szCs w:val="20"/>
        </w:rPr>
      </w:pPr>
    </w:p>
    <w:p w:rsidR="002C5025" w:rsidRDefault="002C5025">
      <w:pPr>
        <w:pStyle w:val="BodyText"/>
        <w:kinsoku w:val="0"/>
        <w:overflowPunct w:val="0"/>
        <w:spacing w:before="9"/>
        <w:rPr>
          <w:sz w:val="18"/>
          <w:szCs w:val="18"/>
        </w:rPr>
      </w:pPr>
    </w:p>
    <w:p w:rsidR="002C5025" w:rsidRDefault="002C5025">
      <w:pPr>
        <w:pStyle w:val="BodyText"/>
        <w:kinsoku w:val="0"/>
        <w:overflowPunct w:val="0"/>
        <w:spacing w:before="56"/>
        <w:ind w:left="120" w:right="8033"/>
        <w:rPr>
          <w:b/>
          <w:bCs/>
        </w:rPr>
      </w:pPr>
      <w:r>
        <w:rPr>
          <w:b/>
          <w:bCs/>
        </w:rPr>
        <w:t>July 16, 2016</w:t>
      </w:r>
    </w:p>
    <w:p w:rsidR="002C5025" w:rsidRDefault="002C5025">
      <w:pPr>
        <w:pStyle w:val="BodyText"/>
        <w:kinsoku w:val="0"/>
        <w:overflowPunct w:val="0"/>
        <w:rPr>
          <w:b/>
          <w:bCs/>
        </w:rPr>
      </w:pPr>
    </w:p>
    <w:p w:rsidR="002C5025" w:rsidRDefault="002C5025">
      <w:pPr>
        <w:pStyle w:val="BodyText"/>
        <w:kinsoku w:val="0"/>
        <w:overflowPunct w:val="0"/>
        <w:ind w:left="120" w:right="8033"/>
      </w:pPr>
      <w:r>
        <w:t>Daniel Tsai</w:t>
      </w:r>
    </w:p>
    <w:p w:rsidR="002C5025" w:rsidRDefault="002C5025">
      <w:pPr>
        <w:pStyle w:val="BodyText"/>
        <w:kinsoku w:val="0"/>
        <w:overflowPunct w:val="0"/>
        <w:ind w:left="120" w:right="5427"/>
      </w:pPr>
      <w:r>
        <w:t>Assistant Secretary for MassHealth</w:t>
      </w:r>
    </w:p>
    <w:p w:rsidR="002C5025" w:rsidRDefault="002C5025">
      <w:pPr>
        <w:pStyle w:val="BodyText"/>
        <w:kinsoku w:val="0"/>
        <w:overflowPunct w:val="0"/>
        <w:ind w:left="119" w:right="5289"/>
      </w:pPr>
      <w:r>
        <w:t>Executive Office of Health and Human Services One Ashburton Place, 11th floor</w:t>
      </w:r>
    </w:p>
    <w:p w:rsidR="002C5025" w:rsidRDefault="002C5025">
      <w:pPr>
        <w:pStyle w:val="BodyText"/>
        <w:kinsoku w:val="0"/>
        <w:overflowPunct w:val="0"/>
        <w:ind w:left="119" w:right="5427"/>
      </w:pPr>
      <w:r>
        <w:t>Boston, MA 02108</w:t>
      </w:r>
    </w:p>
    <w:p w:rsidR="002C5025" w:rsidRDefault="002C5025">
      <w:pPr>
        <w:pStyle w:val="BodyText"/>
        <w:kinsoku w:val="0"/>
        <w:overflowPunct w:val="0"/>
      </w:pPr>
    </w:p>
    <w:p w:rsidR="002C5025" w:rsidRDefault="002C5025">
      <w:pPr>
        <w:pStyle w:val="BodyText"/>
        <w:kinsoku w:val="0"/>
        <w:overflowPunct w:val="0"/>
        <w:ind w:left="119"/>
        <w:rPr>
          <w:i/>
          <w:iCs/>
        </w:rPr>
      </w:pPr>
      <w:r>
        <w:rPr>
          <w:i/>
          <w:iCs/>
        </w:rPr>
        <w:t xml:space="preserve">Submitted via email to </w:t>
      </w:r>
      <w:hyperlink r:id="rId489" w:history="1">
        <w:r>
          <w:rPr>
            <w:i/>
            <w:iCs/>
          </w:rPr>
          <w:t>MassHealth.Innovations@state.ma.us</w:t>
        </w:r>
      </w:hyperlink>
    </w:p>
    <w:p w:rsidR="002C5025" w:rsidRDefault="002C5025">
      <w:pPr>
        <w:pStyle w:val="BodyText"/>
        <w:kinsoku w:val="0"/>
        <w:overflowPunct w:val="0"/>
        <w:spacing w:before="10"/>
        <w:rPr>
          <w:i/>
          <w:iCs/>
          <w:sz w:val="21"/>
          <w:szCs w:val="21"/>
        </w:rPr>
      </w:pPr>
    </w:p>
    <w:p w:rsidR="002C5025" w:rsidRDefault="002C5025">
      <w:pPr>
        <w:pStyle w:val="BodyText"/>
        <w:kinsoku w:val="0"/>
        <w:overflowPunct w:val="0"/>
        <w:ind w:left="120"/>
      </w:pPr>
      <w:r>
        <w:t>Re: Comments on 1115 Medicaid Demonstration Extension Request</w:t>
      </w:r>
    </w:p>
    <w:p w:rsidR="002C5025" w:rsidRDefault="002C5025">
      <w:pPr>
        <w:pStyle w:val="BodyText"/>
        <w:kinsoku w:val="0"/>
        <w:overflowPunct w:val="0"/>
      </w:pPr>
    </w:p>
    <w:p w:rsidR="002C5025" w:rsidRDefault="002C5025">
      <w:pPr>
        <w:pStyle w:val="BodyText"/>
        <w:kinsoku w:val="0"/>
        <w:overflowPunct w:val="0"/>
        <w:ind w:left="120" w:right="5427"/>
        <w:rPr>
          <w:b/>
          <w:bCs/>
        </w:rPr>
      </w:pPr>
      <w:r>
        <w:rPr>
          <w:b/>
          <w:bCs/>
        </w:rPr>
        <w:t>Dear Assistant Secretary Tsai,</w:t>
      </w:r>
    </w:p>
    <w:p w:rsidR="002C5025" w:rsidRDefault="002C5025">
      <w:pPr>
        <w:pStyle w:val="BodyText"/>
        <w:kinsoku w:val="0"/>
        <w:overflowPunct w:val="0"/>
        <w:ind w:left="119" w:right="106"/>
      </w:pPr>
      <w:r>
        <w:t xml:space="preserve">Thank you for this wonderful opportunity to provide written comments on the 1115 Demonstration Extension Request. The Massachusetts Organization for Addiction Recovery </w:t>
      </w:r>
      <w:r>
        <w:rPr>
          <w:rFonts w:ascii="Elephant" w:hAnsi="Elephant" w:cs="Elephant"/>
        </w:rPr>
        <w:t xml:space="preserve">(MOAR) </w:t>
      </w:r>
      <w:r>
        <w:t>Board of Directors, staff, and volunteers believe that this transparent and systematic engagement process is critical to the successful re-design and implementation of the 1115 Waiver. We look forward to assisting the Commonwealth to shape this very important (and lifesaving) initiative. In the meantime, please see below for our thoughts on areas of proposal strength and areas for future consideration.</w:t>
      </w:r>
    </w:p>
    <w:p w:rsidR="002C5025" w:rsidRDefault="002C5025">
      <w:pPr>
        <w:pStyle w:val="BodyText"/>
        <w:kinsoku w:val="0"/>
        <w:overflowPunct w:val="0"/>
        <w:spacing w:before="4"/>
      </w:pPr>
    </w:p>
    <w:p w:rsidR="002C5025" w:rsidRDefault="002C5025">
      <w:pPr>
        <w:pStyle w:val="BodyText"/>
        <w:kinsoku w:val="0"/>
        <w:overflowPunct w:val="0"/>
        <w:ind w:left="118" w:right="142" w:firstLine="1"/>
      </w:pPr>
      <w:r>
        <w:rPr>
          <w:rFonts w:ascii="Elephant" w:hAnsi="Elephant" w:cs="Elephant"/>
        </w:rPr>
        <w:t xml:space="preserve">MOAR’s </w:t>
      </w:r>
      <w:r>
        <w:rPr>
          <w:b/>
          <w:bCs/>
          <w:i/>
          <w:iCs/>
        </w:rPr>
        <w:t xml:space="preserve">mission it to organize recovering individuals, families, and friends into a collective voice to educate the public about the value of recovery from alcohol and other addictions. </w:t>
      </w:r>
      <w:r>
        <w:t xml:space="preserve">Over the last 25 years, MOAR has worked to: 1) organize people in recovery, their families, and their friends; 2) educate policy makers and the general public about recovery; and 3) demonstrate that recovery is real and a real asset to all communities. MOAR is governed by the recovery community and a 10 member Board of Directors. Our organization engages over 5000 </w:t>
      </w:r>
      <w:r>
        <w:rPr>
          <w:rFonts w:ascii="Elephant" w:hAnsi="Elephant" w:cs="Elephant"/>
        </w:rPr>
        <w:t xml:space="preserve">MOAR </w:t>
      </w:r>
      <w:r>
        <w:t>members statewide, and we partner with numerous allied organizations (regionally and statewide) to represent the expanding voice for recovery. We educate people in recovery, families, and treatment and community partners about the importance of recovery as well as share tools and resources to support individuals to overcome recovery barriers.</w:t>
      </w:r>
    </w:p>
    <w:p w:rsidR="002C5025" w:rsidRDefault="002C5025">
      <w:pPr>
        <w:pStyle w:val="BodyText"/>
        <w:kinsoku w:val="0"/>
        <w:overflowPunct w:val="0"/>
        <w:spacing w:before="3"/>
        <w:ind w:left="118" w:right="122" w:firstLine="1"/>
      </w:pPr>
      <w:r>
        <w:t xml:space="preserve">For instance, our </w:t>
      </w:r>
      <w:r>
        <w:rPr>
          <w:rFonts w:ascii="Elephant" w:hAnsi="Elephant" w:cs="Elephant"/>
        </w:rPr>
        <w:t xml:space="preserve">MOAR </w:t>
      </w:r>
      <w:r>
        <w:t>“Mini Guide,” “</w:t>
      </w:r>
      <w:r>
        <w:rPr>
          <w:rFonts w:ascii="Elephant" w:hAnsi="Elephant" w:cs="Elephant"/>
        </w:rPr>
        <w:t xml:space="preserve">MOAR </w:t>
      </w:r>
      <w:r>
        <w:t xml:space="preserve">on Recovery Capital (Telling Your Story in Recovery),” and “How to Educate Policymakers Guide” a </w:t>
      </w:r>
      <w:r>
        <w:rPr>
          <w:rFonts w:ascii="Elephant" w:hAnsi="Elephant" w:cs="Elephant"/>
        </w:rPr>
        <w:t xml:space="preserve">MOAR </w:t>
      </w:r>
      <w:r>
        <w:t xml:space="preserve">published resources that are shared routinely during community events and 1:1 Recovery Coach interactions. Our </w:t>
      </w:r>
      <w:r>
        <w:rPr>
          <w:i/>
          <w:iCs/>
        </w:rPr>
        <w:t>AREAS groups</w:t>
      </w:r>
      <w:r>
        <w:t xml:space="preserve">, held weekly in Boston, New Bedford, and Springfield by trained facilitators with lived experience, provide recovery support to individuals in various stages of recovery. </w:t>
      </w:r>
      <w:r>
        <w:rPr>
          <w:rFonts w:ascii="Elephant" w:hAnsi="Elephant" w:cs="Elephant"/>
        </w:rPr>
        <w:t xml:space="preserve">MOAR </w:t>
      </w:r>
      <w:r>
        <w:t>is engaged in a wide range of coalition building</w:t>
      </w:r>
      <w:r>
        <w:rPr>
          <w:spacing w:val="-4"/>
        </w:rPr>
        <w:t xml:space="preserve"> </w:t>
      </w:r>
      <w:r>
        <w:t>activities</w:t>
      </w:r>
      <w:r>
        <w:rPr>
          <w:spacing w:val="-4"/>
        </w:rPr>
        <w:t xml:space="preserve"> </w:t>
      </w:r>
      <w:r>
        <w:t>to</w:t>
      </w:r>
      <w:r>
        <w:rPr>
          <w:spacing w:val="-4"/>
        </w:rPr>
        <w:t xml:space="preserve"> </w:t>
      </w:r>
      <w:r>
        <w:t>combat</w:t>
      </w:r>
      <w:r>
        <w:rPr>
          <w:spacing w:val="-2"/>
        </w:rPr>
        <w:t xml:space="preserve"> </w:t>
      </w:r>
      <w:r>
        <w:t>stigma</w:t>
      </w:r>
      <w:r>
        <w:rPr>
          <w:spacing w:val="-3"/>
        </w:rPr>
        <w:t xml:space="preserve"> </w:t>
      </w:r>
      <w:r>
        <w:t>surrounding</w:t>
      </w:r>
      <w:r>
        <w:rPr>
          <w:spacing w:val="-4"/>
        </w:rPr>
        <w:t xml:space="preserve"> </w:t>
      </w:r>
      <w:r>
        <w:t>recovery,</w:t>
      </w:r>
      <w:r>
        <w:rPr>
          <w:spacing w:val="-3"/>
        </w:rPr>
        <w:t xml:space="preserve"> </w:t>
      </w:r>
      <w:r>
        <w:t>including</w:t>
      </w:r>
      <w:r>
        <w:rPr>
          <w:spacing w:val="-5"/>
        </w:rPr>
        <w:t xml:space="preserve"> </w:t>
      </w:r>
      <w:r>
        <w:t>our</w:t>
      </w:r>
      <w:r>
        <w:rPr>
          <w:spacing w:val="-3"/>
        </w:rPr>
        <w:t xml:space="preserve"> </w:t>
      </w:r>
      <w:r>
        <w:t>work</w:t>
      </w:r>
      <w:r>
        <w:rPr>
          <w:spacing w:val="-4"/>
        </w:rPr>
        <w:t xml:space="preserve"> </w:t>
      </w:r>
      <w:r>
        <w:t>with</w:t>
      </w:r>
      <w:r>
        <w:rPr>
          <w:spacing w:val="-4"/>
        </w:rPr>
        <w:t xml:space="preserve"> </w:t>
      </w:r>
      <w:r>
        <w:t>the</w:t>
      </w:r>
      <w:r>
        <w:rPr>
          <w:spacing w:val="-2"/>
        </w:rPr>
        <w:t xml:space="preserve"> </w:t>
      </w:r>
      <w:r>
        <w:t>Good</w:t>
      </w:r>
      <w:r>
        <w:rPr>
          <w:spacing w:val="-4"/>
        </w:rPr>
        <w:t xml:space="preserve"> </w:t>
      </w:r>
      <w:r>
        <w:t>Samaritan</w:t>
      </w:r>
    </w:p>
    <w:p w:rsidR="002C5025" w:rsidRDefault="002C5025">
      <w:pPr>
        <w:pStyle w:val="BodyText"/>
        <w:kinsoku w:val="0"/>
        <w:overflowPunct w:val="0"/>
        <w:spacing w:before="3"/>
        <w:ind w:left="118" w:right="122" w:firstLine="1"/>
        <w:sectPr w:rsidR="002C5025">
          <w:pgSz w:w="12240" w:h="15840"/>
          <w:pgMar w:top="1500" w:right="1320" w:bottom="280" w:left="1320" w:header="720" w:footer="720" w:gutter="0"/>
          <w:cols w:space="720" w:equalWidth="0">
            <w:col w:w="9600"/>
          </w:cols>
          <w:noEndnote/>
        </w:sectPr>
      </w:pPr>
    </w:p>
    <w:p w:rsidR="002C5025" w:rsidRDefault="002C5025">
      <w:pPr>
        <w:pStyle w:val="BodyText"/>
        <w:kinsoku w:val="0"/>
        <w:overflowPunct w:val="0"/>
        <w:spacing w:before="39"/>
        <w:ind w:left="119" w:right="193"/>
      </w:pPr>
      <w:r>
        <w:lastRenderedPageBreak/>
        <w:t xml:space="preserve">Campaign to address the opioid overdose epidemic. Finally, </w:t>
      </w:r>
      <w:r>
        <w:rPr>
          <w:rFonts w:ascii="Elephant" w:hAnsi="Elephant" w:cs="Elephant"/>
        </w:rPr>
        <w:t xml:space="preserve">MOAR </w:t>
      </w:r>
      <w:r>
        <w:t>provides Recovery Coach services through Massachusetts- Access to Recovery (SAMHSA MA-ATR) grant; we just received a managed care contract for recovery coaching, and a contract with a local hospital to provide recovery coaching. We look forward to sharing our lessons learned to inform the Waiver design and implementation.</w:t>
      </w:r>
    </w:p>
    <w:p w:rsidR="002C5025" w:rsidRDefault="002C5025">
      <w:pPr>
        <w:pStyle w:val="BodyText"/>
        <w:kinsoku w:val="0"/>
        <w:overflowPunct w:val="0"/>
      </w:pPr>
    </w:p>
    <w:p w:rsidR="002C5025" w:rsidRDefault="002C5025">
      <w:pPr>
        <w:pStyle w:val="BodyText"/>
        <w:kinsoku w:val="0"/>
        <w:overflowPunct w:val="0"/>
        <w:ind w:left="3372" w:right="3333"/>
        <w:jc w:val="center"/>
        <w:rPr>
          <w:b/>
          <w:bCs/>
        </w:rPr>
      </w:pPr>
      <w:r>
        <w:rPr>
          <w:b/>
          <w:bCs/>
        </w:rPr>
        <w:t>Areas of Proposal Strength</w:t>
      </w:r>
    </w:p>
    <w:p w:rsidR="002C5025" w:rsidRDefault="002C5025">
      <w:pPr>
        <w:pStyle w:val="BodyText"/>
        <w:kinsoku w:val="0"/>
        <w:overflowPunct w:val="0"/>
        <w:spacing w:before="3"/>
        <w:rPr>
          <w:b/>
          <w:bCs/>
        </w:rPr>
      </w:pPr>
    </w:p>
    <w:p w:rsidR="002C5025" w:rsidRDefault="002C5025">
      <w:pPr>
        <w:pStyle w:val="BodyText"/>
        <w:kinsoku w:val="0"/>
        <w:overflowPunct w:val="0"/>
        <w:ind w:left="119" w:right="173"/>
      </w:pPr>
      <w:r>
        <w:rPr>
          <w:rFonts w:ascii="Elephant" w:hAnsi="Elephant" w:cs="Elephant"/>
        </w:rPr>
        <w:t xml:space="preserve">MOAR </w:t>
      </w:r>
      <w:r>
        <w:rPr>
          <w:b/>
          <w:bCs/>
        </w:rPr>
        <w:t xml:space="preserve">applauds the Massachusetts Executive Office of Health and Human Services (EOHHS) for its informed vision and approach to address addiction. </w:t>
      </w:r>
      <w:r>
        <w:t>We have learned, through our own lived experience, that the pain of stigma is the largest hurdle to treating addiction as a chronic medical condition. We will work tirelessly with EOHHS and its stakeholders to shift the paradigm so that members are provided a spectrum of treatment options and recovery supports (including Medication Assisted Treatment, Opioid Treatment Centers, enhanced care management, recovery navigation, and recover coaching) that allow for individualized treatment within a recovery-focused community of care. While we recognize the urgent need to address the Opioid epidemic, we agree with EOHSS that the Commonwealth needs sweeping SUD systems transformation to address the broad range of addiction recovery needs beyond the Opioid epidemic. Might we, also, add the need for recognition of peer specialists on the mental health side with blended opportunities.</w:t>
      </w:r>
    </w:p>
    <w:p w:rsidR="002C5025" w:rsidRDefault="002C5025">
      <w:pPr>
        <w:pStyle w:val="BodyText"/>
        <w:kinsoku w:val="0"/>
        <w:overflowPunct w:val="0"/>
      </w:pPr>
    </w:p>
    <w:p w:rsidR="002C5025" w:rsidRDefault="002C5025">
      <w:pPr>
        <w:pStyle w:val="BodyText"/>
        <w:kinsoku w:val="0"/>
        <w:overflowPunct w:val="0"/>
        <w:spacing w:before="1"/>
      </w:pPr>
    </w:p>
    <w:p w:rsidR="002C5025" w:rsidRDefault="002C5025">
      <w:pPr>
        <w:pStyle w:val="BodyText"/>
        <w:kinsoku w:val="0"/>
        <w:overflowPunct w:val="0"/>
        <w:ind w:left="119" w:right="103"/>
      </w:pPr>
      <w:r>
        <w:rPr>
          <w:rFonts w:ascii="Elephant" w:hAnsi="Elephant" w:cs="Elephant"/>
        </w:rPr>
        <w:t xml:space="preserve">MOAR </w:t>
      </w:r>
      <w:r>
        <w:rPr>
          <w:b/>
          <w:bCs/>
        </w:rPr>
        <w:t xml:space="preserve">applauds EOHHS for integrating and/or coordinating physical health (PH), behavior health (BH), long-term services and supports (LTSS), and social factors to meet the needs of the whole person. </w:t>
      </w:r>
      <w:r>
        <w:t xml:space="preserve">Members’ recovery is often dependent on complex factors that reach far beyond their addiction, and recognizing this in outreach, assessment, care planning, and service delivery will improve members’ health, quality of life, and cost outcomes. </w:t>
      </w:r>
      <w:r>
        <w:rPr>
          <w:rFonts w:ascii="Elephant" w:hAnsi="Elephant" w:cs="Elephant"/>
        </w:rPr>
        <w:t xml:space="preserve">MOAR </w:t>
      </w:r>
      <w:r>
        <w:t>and our partners will be available to assume an important role in educating the member on the interrelationship of non-medical and medical factors, as already demonstrated through our AREAS, Recovery Messaging (telling your recovery story emphasizing strengths gained from the recovery process.)</w:t>
      </w:r>
    </w:p>
    <w:p w:rsidR="002C5025" w:rsidRDefault="002C5025">
      <w:pPr>
        <w:pStyle w:val="BodyText"/>
        <w:kinsoku w:val="0"/>
        <w:overflowPunct w:val="0"/>
        <w:spacing w:before="3"/>
      </w:pPr>
    </w:p>
    <w:p w:rsidR="002C5025" w:rsidRDefault="002C5025">
      <w:pPr>
        <w:pStyle w:val="BodyText"/>
        <w:kinsoku w:val="0"/>
        <w:overflowPunct w:val="0"/>
        <w:ind w:left="119" w:right="193"/>
      </w:pPr>
      <w:r>
        <w:rPr>
          <w:rFonts w:ascii="Elephant" w:hAnsi="Elephant" w:cs="Elephant"/>
        </w:rPr>
        <w:t xml:space="preserve">MOAR </w:t>
      </w:r>
      <w:r>
        <w:rPr>
          <w:b/>
          <w:bCs/>
        </w:rPr>
        <w:t xml:space="preserve">applauds EOHHS for recognizing the critical importance of engaging Community Partners in the Model of Care. </w:t>
      </w:r>
      <w:r>
        <w:t>EOHHS’ approach to not only engage Community Partners, but also to financially support their infrastructure development and to hold ACOs financially accountable for meaningful engagement of Community Partners will be important for effective model implementation. All MCO/ACOs need to understand and build upon the wealth of information and experience possessed by Community Partners and grasp the crucial role they can play in effective member outreach and engagement.</w:t>
      </w:r>
    </w:p>
    <w:p w:rsidR="002C5025" w:rsidRDefault="002C5025">
      <w:pPr>
        <w:pStyle w:val="BodyText"/>
        <w:kinsoku w:val="0"/>
        <w:overflowPunct w:val="0"/>
      </w:pPr>
    </w:p>
    <w:p w:rsidR="002C5025" w:rsidRDefault="002C5025">
      <w:pPr>
        <w:pStyle w:val="BodyText"/>
        <w:kinsoku w:val="0"/>
        <w:overflowPunct w:val="0"/>
        <w:ind w:left="3372" w:right="3334"/>
        <w:jc w:val="center"/>
        <w:rPr>
          <w:b/>
          <w:bCs/>
        </w:rPr>
      </w:pPr>
      <w:r>
        <w:rPr>
          <w:b/>
          <w:bCs/>
        </w:rPr>
        <w:t>Areas for Future Consideration</w:t>
      </w:r>
    </w:p>
    <w:p w:rsidR="002C5025" w:rsidRDefault="002C5025">
      <w:pPr>
        <w:pStyle w:val="BodyText"/>
        <w:kinsoku w:val="0"/>
        <w:overflowPunct w:val="0"/>
        <w:spacing w:before="10"/>
        <w:rPr>
          <w:b/>
          <w:bCs/>
          <w:sz w:val="21"/>
          <w:szCs w:val="21"/>
        </w:rPr>
      </w:pPr>
    </w:p>
    <w:p w:rsidR="002C5025" w:rsidRDefault="002C5025">
      <w:pPr>
        <w:pStyle w:val="BodyText"/>
        <w:kinsoku w:val="0"/>
        <w:overflowPunct w:val="0"/>
        <w:ind w:left="119" w:right="168"/>
      </w:pPr>
      <w:r>
        <w:rPr>
          <w:b/>
          <w:bCs/>
        </w:rPr>
        <w:t xml:space="preserve">Recognize multiple pathways to recovery. </w:t>
      </w:r>
      <w:r>
        <w:t>The model of care, and the training for ACOs/MCOs, providers, and integrated care teams should recognize that members may choose one or more multiple pathways to recovery and that members should not be forced into “cookie cutter” treatment. Member, provider, and ACO/MCO education and materials should recognize and support members’ choice in pathway and allow members’ flexibility to choose the treatment model and recovery support services that best meet their needs, which may change over time.</w:t>
      </w:r>
    </w:p>
    <w:p w:rsidR="002C5025" w:rsidRDefault="002C5025">
      <w:pPr>
        <w:pStyle w:val="BodyText"/>
        <w:kinsoku w:val="0"/>
        <w:overflowPunct w:val="0"/>
        <w:ind w:left="119" w:right="168"/>
        <w:sectPr w:rsidR="002C5025">
          <w:pgSz w:w="12240" w:h="15840"/>
          <w:pgMar w:top="1400" w:right="1360" w:bottom="280" w:left="1320" w:header="720" w:footer="720" w:gutter="0"/>
          <w:cols w:space="720" w:equalWidth="0">
            <w:col w:w="9560"/>
          </w:cols>
          <w:noEndnote/>
        </w:sectPr>
      </w:pPr>
    </w:p>
    <w:p w:rsidR="002C5025" w:rsidRDefault="002C5025">
      <w:pPr>
        <w:pStyle w:val="BodyText"/>
        <w:kinsoku w:val="0"/>
        <w:overflowPunct w:val="0"/>
        <w:spacing w:before="37"/>
        <w:ind w:left="120" w:right="98"/>
        <w:rPr>
          <w:b/>
          <w:bCs/>
        </w:rPr>
      </w:pPr>
      <w:r>
        <w:rPr>
          <w:b/>
          <w:bCs/>
        </w:rPr>
        <w:lastRenderedPageBreak/>
        <w:t xml:space="preserve">Ensure ACO and MCO financial incentives align with long-term recovery goals. </w:t>
      </w:r>
      <w:r>
        <w:t xml:space="preserve">As a part of this systems redesign, we need to ensure that safeguards are in place to provide members a continuum of care and to ensure members are not forced into low cost treatment options for the sole purpose of cost savings. </w:t>
      </w:r>
      <w:r>
        <w:rPr>
          <w:b/>
          <w:bCs/>
        </w:rPr>
        <w:t>Members should receive care based on their presenting needs, not short term cost outcomes.</w:t>
      </w:r>
    </w:p>
    <w:p w:rsidR="002C5025" w:rsidRDefault="002C5025">
      <w:pPr>
        <w:pStyle w:val="BodyText"/>
        <w:kinsoku w:val="0"/>
        <w:overflowPunct w:val="0"/>
        <w:spacing w:before="2" w:line="237" w:lineRule="auto"/>
        <w:ind w:left="119" w:right="114"/>
      </w:pPr>
      <w:r>
        <w:t>ACOs/MCOs must be required to support local partners to build capacity within treatment models for to fully assure a member’s recovery goals.</w:t>
      </w:r>
    </w:p>
    <w:p w:rsidR="002C5025" w:rsidRDefault="002C5025">
      <w:pPr>
        <w:pStyle w:val="BodyText"/>
        <w:kinsoku w:val="0"/>
        <w:overflowPunct w:val="0"/>
      </w:pPr>
    </w:p>
    <w:p w:rsidR="002C5025" w:rsidRDefault="002C5025">
      <w:pPr>
        <w:pStyle w:val="BodyText"/>
        <w:kinsoku w:val="0"/>
        <w:overflowPunct w:val="0"/>
        <w:spacing w:before="1"/>
        <w:ind w:left="119" w:right="94"/>
      </w:pPr>
      <w:r>
        <w:rPr>
          <w:b/>
          <w:bCs/>
        </w:rPr>
        <w:t xml:space="preserve">Consider broadening the definition of BH Community Partner. </w:t>
      </w:r>
      <w:r>
        <w:t>Currently, the BH Community Partners are limited to providers that will perform the 6 Health Home services as defined by the ACA Section 2703. We recommend that EOHHS adopt a more flexible definition for BH Community Partner, similar to that of the LTSS Community Partners, to allow a wide range of BH partners to access DSRIP funding and come together to provide all six health home services.</w:t>
      </w:r>
    </w:p>
    <w:p w:rsidR="002C5025" w:rsidRDefault="002C5025">
      <w:pPr>
        <w:pStyle w:val="BodyText"/>
        <w:kinsoku w:val="0"/>
        <w:overflowPunct w:val="0"/>
      </w:pPr>
    </w:p>
    <w:p w:rsidR="002C5025" w:rsidRDefault="002C5025">
      <w:pPr>
        <w:pStyle w:val="BodyText"/>
        <w:kinsoku w:val="0"/>
        <w:overflowPunct w:val="0"/>
        <w:ind w:left="119" w:right="107"/>
      </w:pPr>
      <w:r>
        <w:rPr>
          <w:b/>
          <w:bCs/>
        </w:rPr>
        <w:t xml:space="preserve">Ensure ACOs/MCOs and providers understand complexity of SUDs. </w:t>
      </w:r>
      <w:r>
        <w:t>There are numerous factors the influence members’ risk for SUD and their long-term recovery, including stigma; barriers associated with housing and employment; trauma; and complex co-occurring needs associated with medical and/or mental health diagnoses. The Waiver’s success is dependent on ensuring medical professionals making treatment decisions and MCO/ACOs allocating treatment resources have a proper understanding of the complexity of SUDs and the barriers to recovery. All treatment providers that participate in this Waiver should be certified and monitored by the BSAS in addition to MCOs/ACOs. While the ACO/MCOs may have their own credentialing process, their credentialing processes and requirements must be aligned with BSAS and national best practices and must be streamlined to minimize administrative burden for treatment providers</w:t>
      </w:r>
    </w:p>
    <w:p w:rsidR="002C5025" w:rsidRDefault="002C5025">
      <w:pPr>
        <w:pStyle w:val="BodyText"/>
        <w:kinsoku w:val="0"/>
        <w:overflowPunct w:val="0"/>
      </w:pPr>
    </w:p>
    <w:p w:rsidR="002C5025" w:rsidRDefault="002C5025">
      <w:pPr>
        <w:pStyle w:val="BodyText"/>
        <w:kinsoku w:val="0"/>
        <w:overflowPunct w:val="0"/>
        <w:ind w:left="119" w:right="84"/>
      </w:pPr>
      <w:r>
        <w:rPr>
          <w:b/>
          <w:bCs/>
        </w:rPr>
        <w:t xml:space="preserve">Ensure appropriate engagement of the peer recovery community in advisory groups. </w:t>
      </w:r>
      <w:r>
        <w:t>Given the addiction treatment and recovery focus of this initiative, it will be imperative that the peer recovery community be actively engaged in MassHealth advisory groups as well as ACO/MCOs’ advisory groups to ensure the recovery voice is meaningfully involved in the Waiver design, implementation, and improvement. MOAR is prepared to support MassHealth, MCOs, and ACOs to seek peer recovery representatives and to support their engagement in advisory groups.</w:t>
      </w:r>
    </w:p>
    <w:p w:rsidR="002C5025" w:rsidRDefault="002C5025">
      <w:pPr>
        <w:pStyle w:val="BodyText"/>
        <w:kinsoku w:val="0"/>
        <w:overflowPunct w:val="0"/>
      </w:pPr>
    </w:p>
    <w:p w:rsidR="002C5025" w:rsidRDefault="002C5025">
      <w:pPr>
        <w:pStyle w:val="BodyText"/>
        <w:kinsoku w:val="0"/>
        <w:overflowPunct w:val="0"/>
        <w:ind w:left="119" w:right="110"/>
      </w:pPr>
      <w:r>
        <w:rPr>
          <w:b/>
          <w:bCs/>
        </w:rPr>
        <w:t xml:space="preserve">Work closely with the peer recovery community to develop recovery training for LTSS and Community Partners. </w:t>
      </w:r>
      <w:r>
        <w:t>Both the BH and LTSS Community Partners (in addition to ACO/MCOs) should receive comprehensive training on the recovery model, wellness principles, factors influencing addiction, and barriers to members’ recovery (including stigma and social-economic factors). The training should be provided at multiple levels, including for ACO/MCO leadership, for Care Managers and Integrated Care Team participants, and providers.</w:t>
      </w:r>
    </w:p>
    <w:p w:rsidR="002C5025" w:rsidRDefault="002C5025">
      <w:pPr>
        <w:pStyle w:val="BodyText"/>
        <w:kinsoku w:val="0"/>
        <w:overflowPunct w:val="0"/>
      </w:pPr>
    </w:p>
    <w:p w:rsidR="002C5025" w:rsidRDefault="002C5025">
      <w:pPr>
        <w:pStyle w:val="BodyText"/>
        <w:kinsoku w:val="0"/>
        <w:overflowPunct w:val="0"/>
        <w:ind w:left="119" w:right="163"/>
      </w:pPr>
      <w:r>
        <w:rPr>
          <w:b/>
          <w:bCs/>
        </w:rPr>
        <w:t xml:space="preserve">Ensure Recovery Coaches are available to all members requiring recovery supports, not just members who require “additional support.” </w:t>
      </w:r>
      <w:r>
        <w:t>Recovery Coaches, when trained and mentored appropriately, can provide members a low-cost, culturally-responsive service as an alternative to high cost facility care.</w:t>
      </w:r>
    </w:p>
    <w:p w:rsidR="002C5025" w:rsidRDefault="002C5025">
      <w:pPr>
        <w:pStyle w:val="BodyText"/>
        <w:kinsoku w:val="0"/>
        <w:overflowPunct w:val="0"/>
        <w:ind w:left="118" w:right="217"/>
      </w:pPr>
      <w:r>
        <w:t>Recovery Coaches, as members of Integrated Care Teams, can assume a role of member advocate and peer support provider, assisting the member to identify his/her unmet needs, overcome hurdles to community living (e.g., housing and employment), and make healthy lifestyle decisions. Recovery Coaches can establish a trusting relationship with the member, over time, which supports the member to develop and access timely and effective wellness plan (inclusive of recovery plans, crisis, and relapse management, and being able to get the right service at the right time to avoid unnecessary high cost facility use). All BH and LTSS Community Partners must be required (through their Memorandums of</w:t>
      </w:r>
    </w:p>
    <w:p w:rsidR="002C5025" w:rsidRDefault="002C5025">
      <w:pPr>
        <w:pStyle w:val="BodyText"/>
        <w:kinsoku w:val="0"/>
        <w:overflowPunct w:val="0"/>
        <w:ind w:left="118" w:right="217"/>
        <w:sectPr w:rsidR="002C5025">
          <w:pgSz w:w="12240" w:h="15840"/>
          <w:pgMar w:top="1400" w:right="1360" w:bottom="280" w:left="1320" w:header="720" w:footer="720" w:gutter="0"/>
          <w:cols w:space="720"/>
          <w:noEndnote/>
        </w:sectPr>
      </w:pPr>
    </w:p>
    <w:p w:rsidR="002C5025" w:rsidRDefault="002C5025">
      <w:pPr>
        <w:pStyle w:val="BodyText"/>
        <w:kinsoku w:val="0"/>
        <w:overflowPunct w:val="0"/>
        <w:spacing w:before="37"/>
        <w:ind w:left="120" w:right="422"/>
      </w:pPr>
      <w:r>
        <w:lastRenderedPageBreak/>
        <w:t>Understanding and to receive DSRIP funding) to engage Recovery Centers and Recovery Coaches as a part of their models.</w:t>
      </w:r>
    </w:p>
    <w:p w:rsidR="002C5025" w:rsidRDefault="002C5025">
      <w:pPr>
        <w:pStyle w:val="BodyText"/>
        <w:kinsoku w:val="0"/>
        <w:overflowPunct w:val="0"/>
      </w:pPr>
    </w:p>
    <w:p w:rsidR="002C5025" w:rsidRDefault="002C5025">
      <w:pPr>
        <w:pStyle w:val="BodyText"/>
        <w:kinsoku w:val="0"/>
        <w:overflowPunct w:val="0"/>
        <w:ind w:left="119" w:right="139"/>
      </w:pPr>
      <w:r>
        <w:rPr>
          <w:b/>
          <w:bCs/>
        </w:rPr>
        <w:t xml:space="preserve">Work closely with the peer recovery community to ensure Recovery Coaches are trained, receive the support they need, and are engaged in multiple settings. </w:t>
      </w:r>
      <w:r>
        <w:t>Successful systems transformation will be dependent on EOHHS’ ability to work with multiple partners to ensure that Recovery Coach assets are appropriately recognized, supported, and placed across the recovery services continuum. EOHHS should work with the peer recovery community, ACOs, MCOs, and treatment providers to develop a comprehensive training and certification process, continuing education and mentoring approach, and ACO/MCO requirements to engage Recovery Coaches within Integrated Care Teams (e.g., as member advocates, to conduct outreach, and to perform Recovery Coaching) and within the wide range of settings of care (e.g., Emergency Departments, hospitals, community-based treatment centers, and Recovery Centers).</w:t>
      </w:r>
    </w:p>
    <w:p w:rsidR="002C5025" w:rsidRDefault="002C5025">
      <w:pPr>
        <w:pStyle w:val="BodyText"/>
        <w:kinsoku w:val="0"/>
        <w:overflowPunct w:val="0"/>
      </w:pPr>
    </w:p>
    <w:p w:rsidR="002C5025" w:rsidRDefault="002C5025">
      <w:pPr>
        <w:pStyle w:val="BodyText"/>
        <w:kinsoku w:val="0"/>
        <w:overflowPunct w:val="0"/>
        <w:ind w:left="119" w:right="188"/>
      </w:pPr>
      <w:r>
        <w:rPr>
          <w:b/>
          <w:bCs/>
        </w:rPr>
        <w:t xml:space="preserve">Ensure DSRIP workforce development funds and statewide investment initiatives include funding earmarked specifically for Recovery Coach Workforce development. </w:t>
      </w:r>
      <w:r>
        <w:t>EOHHS should work directly with the peer recovery community to develop Recovery Coach workforce development initiative(s) (e.g., through an earmarked grant program) that include Recovery Coach certification and training. DSRIP workforce development funds and statewide investment initiatives should ensure ACO/MCOs are informed of recovery principles and Recovery Coach services. This means that Recovery Coaches are being effectively integrated into the model of care and a wide range of care settings.</w:t>
      </w:r>
    </w:p>
    <w:p w:rsidR="002C5025" w:rsidRDefault="002C5025">
      <w:pPr>
        <w:pStyle w:val="BodyText"/>
        <w:kinsoku w:val="0"/>
        <w:overflowPunct w:val="0"/>
      </w:pPr>
    </w:p>
    <w:p w:rsidR="002C5025" w:rsidRDefault="002C5025">
      <w:pPr>
        <w:pStyle w:val="BodyText"/>
        <w:kinsoku w:val="0"/>
        <w:overflowPunct w:val="0"/>
        <w:ind w:left="119" w:right="103"/>
      </w:pPr>
      <w:r>
        <w:rPr>
          <w:b/>
          <w:bCs/>
        </w:rPr>
        <w:t xml:space="preserve">Ensure Recovery Coaches are appropriately integrated into enhanced diversion models of care. </w:t>
      </w:r>
      <w:r>
        <w:t xml:space="preserve">EOHHS plans to implement and/or expand Emergency Department Boarding that ensures members are receiving the right care at the right time (e.g., through Mobile Crisis Intervention Teams, Telemedicine and </w:t>
      </w:r>
      <w:proofErr w:type="spellStart"/>
      <w:r>
        <w:t>Telepsychiatry</w:t>
      </w:r>
      <w:proofErr w:type="spellEnd"/>
      <w:r>
        <w:t>, and Urgent Care and Intensive Outpatient Programs). EOHHS and its stakeholders should work directly with the peer recovery community to identify ways in which Recovery Coaches can be used in each of these models and to ensure Recovery Coaches receive the appropriate training and ongoing support to be effective in their roles.</w:t>
      </w:r>
    </w:p>
    <w:p w:rsidR="002C5025" w:rsidRDefault="002C5025">
      <w:pPr>
        <w:pStyle w:val="BodyText"/>
        <w:kinsoku w:val="0"/>
        <w:overflowPunct w:val="0"/>
      </w:pPr>
    </w:p>
    <w:p w:rsidR="002C5025" w:rsidRDefault="002C5025">
      <w:pPr>
        <w:pStyle w:val="BodyText"/>
        <w:kinsoku w:val="0"/>
        <w:overflowPunct w:val="0"/>
        <w:ind w:left="119" w:right="231"/>
      </w:pPr>
      <w:r>
        <w:rPr>
          <w:b/>
          <w:bCs/>
        </w:rPr>
        <w:t xml:space="preserve">Support innovation to meet the needs of unique populations. </w:t>
      </w:r>
      <w:r>
        <w:t>DSRP funds should be used to pilot and expand tailored assessment, care coordination, and supports to meet the needs of unique populations, such as members experiencing homelessness and members recently engaged in the criminal justice system. We need to understand how the Waiver may impact models already created to address the needs of unique populations, and need to support effective licensed long term recovery homes.</w:t>
      </w:r>
    </w:p>
    <w:p w:rsidR="002C5025" w:rsidRDefault="002C5025">
      <w:pPr>
        <w:pStyle w:val="BodyText"/>
        <w:kinsoku w:val="0"/>
        <w:overflowPunct w:val="0"/>
        <w:ind w:left="119" w:right="135"/>
      </w:pPr>
      <w:r>
        <w:t>Recovery Coaches must be allocated for members who are being paroled and members engaged in drug courts.</w:t>
      </w:r>
    </w:p>
    <w:p w:rsidR="002C5025" w:rsidRDefault="002C5025">
      <w:pPr>
        <w:pStyle w:val="BodyText"/>
        <w:kinsoku w:val="0"/>
        <w:overflowPunct w:val="0"/>
      </w:pPr>
    </w:p>
    <w:p w:rsidR="002C5025" w:rsidRDefault="002C5025">
      <w:pPr>
        <w:pStyle w:val="BodyText"/>
        <w:kinsoku w:val="0"/>
        <w:overflowPunct w:val="0"/>
        <w:ind w:left="118" w:right="180"/>
      </w:pPr>
      <w:r>
        <w:rPr>
          <w:b/>
          <w:bCs/>
        </w:rPr>
        <w:t xml:space="preserve">Work closely with SUD professionals and recovery advocates to understand the implications of a uniform assessment tool. </w:t>
      </w:r>
      <w:r>
        <w:t>While a uniform assessment tool, when appropriately applied, can ensure members receive the right care at the right time, it is important to recognize and appropriately plan for ways in which an assessment tool may hinder timely and appropriate member access. For instance, the assessment (or follow-up re-assessment) needs to be conducted with members once they are stabilized to ensure an accurate picture of the member’s needs or barriers. The tool must be used at a frequency driven by the member’s changing needs to ensure the member has access to the services and supports required to address his/her changing needs. We want to stress that when it comes SUD Professionals recognition of The Licensed Alcohol and Drug Clinician I is very important. It is the only helping</w:t>
      </w:r>
    </w:p>
    <w:p w:rsidR="002C5025" w:rsidRDefault="002C5025">
      <w:pPr>
        <w:pStyle w:val="BodyText"/>
        <w:kinsoku w:val="0"/>
        <w:overflowPunct w:val="0"/>
        <w:ind w:left="118" w:right="180"/>
        <w:sectPr w:rsidR="002C5025">
          <w:pgSz w:w="12240" w:h="15840"/>
          <w:pgMar w:top="1400" w:right="1340" w:bottom="280" w:left="1320" w:header="720" w:footer="720" w:gutter="0"/>
          <w:cols w:space="720" w:equalWidth="0">
            <w:col w:w="9580"/>
          </w:cols>
          <w:noEndnote/>
        </w:sectPr>
      </w:pPr>
    </w:p>
    <w:p w:rsidR="002C5025" w:rsidRDefault="002C5025">
      <w:pPr>
        <w:pStyle w:val="BodyText"/>
        <w:kinsoku w:val="0"/>
        <w:overflowPunct w:val="0"/>
        <w:spacing w:before="37"/>
        <w:ind w:left="120" w:right="83"/>
      </w:pPr>
      <w:r>
        <w:lastRenderedPageBreak/>
        <w:t>profession requiring addiction counseling skills, education, and practice. The Integrated Care Plan must then be flexible enough to adapt to the member’s change in unmet needs and personal preferences.</w:t>
      </w:r>
    </w:p>
    <w:p w:rsidR="002C5025" w:rsidRDefault="002C5025">
      <w:pPr>
        <w:pStyle w:val="BodyText"/>
        <w:kinsoku w:val="0"/>
        <w:overflowPunct w:val="0"/>
      </w:pPr>
    </w:p>
    <w:p w:rsidR="002C5025" w:rsidRDefault="002C5025">
      <w:pPr>
        <w:pStyle w:val="BodyText"/>
        <w:kinsoku w:val="0"/>
        <w:overflowPunct w:val="0"/>
        <w:ind w:left="119" w:right="89"/>
      </w:pPr>
      <w:r>
        <w:rPr>
          <w:b/>
          <w:bCs/>
        </w:rPr>
        <w:t xml:space="preserve">Ensure that DSRIP funds for flexible services include flexibility to meet the unique needs of members with SUD. </w:t>
      </w:r>
      <w:r>
        <w:t>EOHHS should work with the recovery community to identify ways in which to ensure flexible services are available to support members’ recovery. For instance, flexible funds will be needed to support members in recovery to access affordable housing, transportation, healthy food, and self-care. We strongly support all Mass Health recipients to have full dental and eye care. It is important to take care of the whole person. Not having these provisions takes away from quality of life and basic needs.</w:t>
      </w:r>
    </w:p>
    <w:p w:rsidR="002C5025" w:rsidRDefault="002C5025">
      <w:pPr>
        <w:pStyle w:val="BodyText"/>
        <w:kinsoku w:val="0"/>
        <w:overflowPunct w:val="0"/>
      </w:pPr>
    </w:p>
    <w:p w:rsidR="002C5025" w:rsidRDefault="002C5025">
      <w:pPr>
        <w:pStyle w:val="BodyText"/>
        <w:kinsoku w:val="0"/>
        <w:overflowPunct w:val="0"/>
        <w:ind w:left="118" w:right="131"/>
      </w:pPr>
      <w:r>
        <w:rPr>
          <w:b/>
          <w:bCs/>
        </w:rPr>
        <w:t xml:space="preserve">Ensure Accountability Score and ACO/MCO quality domains/measures include topics associated with member recovery. </w:t>
      </w:r>
      <w:r>
        <w:t>DSRIP funding will be informed by annual accountability scores driven by avoidable utilization, spending, quality, and progress towards integration across PH, BH, and LTSS. We believe this accountability score should be, most importantly, driven by ACO/MCOs’ ability to meeting members total care needs as identified by the member and through the assessment process. We believe that MCO/ACOs success with quality benchmarks should be publicly shared with stakeholders through quality dashboards. The development of accountability scores must be transparent and stakeholder groups must be actively engaged in the design of measures influencing the accountability score.</w:t>
      </w:r>
    </w:p>
    <w:p w:rsidR="002C5025" w:rsidRDefault="002C5025">
      <w:pPr>
        <w:pStyle w:val="BodyText"/>
        <w:kinsoku w:val="0"/>
        <w:overflowPunct w:val="0"/>
      </w:pPr>
    </w:p>
    <w:p w:rsidR="002C5025" w:rsidRDefault="002C5025">
      <w:pPr>
        <w:pStyle w:val="BodyText"/>
        <w:kinsoku w:val="0"/>
        <w:overflowPunct w:val="0"/>
        <w:ind w:left="118" w:right="134"/>
      </w:pPr>
      <w:r>
        <w:rPr>
          <w:b/>
          <w:bCs/>
        </w:rPr>
        <w:t xml:space="preserve">Support providers to effectively transition to MassHealth managed care payment system. </w:t>
      </w:r>
      <w:r>
        <w:t>Many providers, including small groups currently providing Bureau of Substance Abuse Services-funded recovery support services, will have no experience with MassHealth and managed care billing practices. EOHHS will need to allocate ample time for providers to be trained, receive technical assistance, and test their billing capabilities to ensure timely and effective reimbursement. ACOs/MCOs should work closely with BSAS, EOHHS, and providers to assess the transition needs of providers and to provide the support they need to ensure a smooth transition prior to implementation. Quality of care must remain paramount, and determined by the people that receive the care..</w:t>
      </w:r>
    </w:p>
    <w:p w:rsidR="002C5025" w:rsidRDefault="002C5025">
      <w:pPr>
        <w:pStyle w:val="BodyText"/>
        <w:kinsoku w:val="0"/>
        <w:overflowPunct w:val="0"/>
      </w:pPr>
    </w:p>
    <w:p w:rsidR="002C5025" w:rsidRDefault="002C5025">
      <w:pPr>
        <w:pStyle w:val="BodyText"/>
        <w:kinsoku w:val="0"/>
        <w:overflowPunct w:val="0"/>
        <w:ind w:left="118" w:right="304"/>
      </w:pPr>
      <w:r>
        <w:t>Again we thank you for this opportunity to participate in this transparent and systematic engagement process to support a successful re-design and implementation of the MassHealth 1115 Waiver.</w:t>
      </w:r>
    </w:p>
    <w:p w:rsidR="002C5025" w:rsidRDefault="002C5025">
      <w:pPr>
        <w:pStyle w:val="BodyText"/>
        <w:kinsoku w:val="0"/>
        <w:overflowPunct w:val="0"/>
      </w:pPr>
    </w:p>
    <w:p w:rsidR="002C5025" w:rsidRDefault="002C5025">
      <w:pPr>
        <w:pStyle w:val="BodyText"/>
        <w:kinsoku w:val="0"/>
        <w:overflowPunct w:val="0"/>
      </w:pPr>
    </w:p>
    <w:p w:rsidR="002C5025" w:rsidRDefault="002C5025">
      <w:pPr>
        <w:pStyle w:val="BodyText"/>
        <w:kinsoku w:val="0"/>
        <w:overflowPunct w:val="0"/>
      </w:pPr>
    </w:p>
    <w:p w:rsidR="002C5025" w:rsidRDefault="002C5025">
      <w:pPr>
        <w:pStyle w:val="BodyText"/>
        <w:kinsoku w:val="0"/>
        <w:overflowPunct w:val="0"/>
      </w:pPr>
    </w:p>
    <w:p w:rsidR="002C5025" w:rsidRDefault="002C5025">
      <w:pPr>
        <w:pStyle w:val="BodyText"/>
        <w:kinsoku w:val="0"/>
        <w:overflowPunct w:val="0"/>
        <w:ind w:left="3108" w:right="4604"/>
        <w:jc w:val="center"/>
      </w:pPr>
      <w:r>
        <w:t>Sincerely Yours,</w:t>
      </w:r>
    </w:p>
    <w:p w:rsidR="002C5025" w:rsidRDefault="00FB027C">
      <w:pPr>
        <w:pStyle w:val="BodyText"/>
        <w:kinsoku w:val="0"/>
        <w:overflowPunct w:val="0"/>
        <w:spacing w:before="1"/>
        <w:rPr>
          <w:sz w:val="19"/>
          <w:szCs w:val="19"/>
        </w:rPr>
      </w:pPr>
      <w:r>
        <w:rPr>
          <w:noProof/>
        </w:rPr>
        <mc:AlternateContent>
          <mc:Choice Requires="wps">
            <w:drawing>
              <wp:anchor distT="0" distB="0" distL="0" distR="0" simplePos="0" relativeHeight="251733504" behindDoc="0" locked="0" layoutInCell="0" allowOverlap="1">
                <wp:simplePos x="0" y="0"/>
                <wp:positionH relativeFrom="page">
                  <wp:posOffset>914400</wp:posOffset>
                </wp:positionH>
                <wp:positionV relativeFrom="paragraph">
                  <wp:posOffset>173355</wp:posOffset>
                </wp:positionV>
                <wp:extent cx="1752600" cy="368300"/>
                <wp:effectExtent l="0" t="0" r="0" b="0"/>
                <wp:wrapTopAndBottom/>
                <wp:docPr id="304" name="Rectangle 7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368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580" w:lineRule="atLeast"/>
                            </w:pPr>
                            <w:r>
                              <w:rPr>
                                <w:noProof/>
                              </w:rPr>
                              <w:drawing>
                                <wp:inline distT="0" distB="0" distL="0" distR="0">
                                  <wp:extent cx="1752600" cy="371475"/>
                                  <wp:effectExtent l="0" t="0" r="0" b="9525"/>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490">
                                            <a:extLst>
                                              <a:ext uri="{28A0092B-C50C-407E-A947-70E740481C1C}">
                                                <a14:useLocalDpi xmlns:a14="http://schemas.microsoft.com/office/drawing/2010/main" val="0"/>
                                              </a:ext>
                                            </a:extLst>
                                          </a:blip>
                                          <a:srcRect/>
                                          <a:stretch>
                                            <a:fillRect/>
                                          </a:stretch>
                                        </pic:blipFill>
                                        <pic:spPr bwMode="auto">
                                          <a:xfrm>
                                            <a:off x="0" y="0"/>
                                            <a:ext cx="1752600" cy="371475"/>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1" o:spid="_x0000_s1253" style="position:absolute;margin-left:1in;margin-top:13.65pt;width:138pt;height:29pt;z-index:251733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" o:allowincell="f" filled="f" stroked="f">
                <v:textbox inset="0,0,0,0">
                  <w:txbxContent>
                    <w:p w:rsidR="007B2B7B" w:rsidRDefault="007B2B7B">
                      <w:pPr>
                        <w:widowControl/>
                        <w:autoSpaceDE/>
                        <w:autoSpaceDN/>
                        <w:adjustRightInd/>
                        <w:spacing w:line="580" w:lineRule="atLeast"/>
                      </w:pPr>
                      <w:r>
                        <w:rPr>
                          <w:noProof/>
                        </w:rPr>
                        <w:drawing>
                          <wp:inline distT="0" distB="0" distL="0" distR="0">
                            <wp:extent cx="1752600" cy="371475"/>
                            <wp:effectExtent l="0" t="0" r="0" b="9525"/>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491">
                                      <a:extLst>
                                        <a:ext uri="{28A0092B-C50C-407E-A947-70E740481C1C}">
                                          <a14:useLocalDpi xmlns:a14="http://schemas.microsoft.com/office/drawing/2010/main" val="0"/>
                                        </a:ext>
                                      </a:extLst>
                                    </a:blip>
                                    <a:srcRect/>
                                    <a:stretch>
                                      <a:fillRect/>
                                    </a:stretch>
                                  </pic:blipFill>
                                  <pic:spPr bwMode="auto">
                                    <a:xfrm>
                                      <a:off x="0" y="0"/>
                                      <a:ext cx="1752600" cy="371475"/>
                                    </a:xfrm>
                                    <a:prstGeom prst="rect">
                                      <a:avLst/>
                                    </a:prstGeom>
                                    <a:noFill/>
                                    <a:ln>
                                      <a:noFill/>
                                    </a:ln>
                                  </pic:spPr>
                                </pic:pic>
                              </a:graphicData>
                            </a:graphic>
                          </wp:inline>
                        </w:drawing>
                      </w:r>
                    </w:p>
                    <w:p w:rsidR="007B2B7B" w:rsidRDefault="007B2B7B"/>
                  </w:txbxContent>
                </v:textbox>
                <w10:wrap type="topAndBottom" anchorx="page"/>
              </v:rect>
            </w:pict>
          </mc:Fallback>
        </mc:AlternateContent>
      </w:r>
      <w:r>
        <w:rPr>
          <w:noProof/>
        </w:rPr>
        <mc:AlternateContent>
          <mc:Choice Requires="wps">
            <w:drawing>
              <wp:anchor distT="0" distB="0" distL="0" distR="0" simplePos="0" relativeHeight="251734528" behindDoc="0" locked="0" layoutInCell="0" allowOverlap="1">
                <wp:simplePos x="0" y="0"/>
                <wp:positionH relativeFrom="page">
                  <wp:posOffset>4309110</wp:posOffset>
                </wp:positionH>
                <wp:positionV relativeFrom="paragraph">
                  <wp:posOffset>268605</wp:posOffset>
                </wp:positionV>
                <wp:extent cx="2235200" cy="279400"/>
                <wp:effectExtent l="0" t="0" r="0" b="0"/>
                <wp:wrapTopAndBottom/>
                <wp:docPr id="303" name="Rectangle 7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440" w:lineRule="atLeast"/>
                            </w:pPr>
                            <w:r>
                              <w:rPr>
                                <w:noProof/>
                              </w:rPr>
                              <w:drawing>
                                <wp:inline distT="0" distB="0" distL="0" distR="0">
                                  <wp:extent cx="2228850" cy="285750"/>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492">
                                            <a:extLst>
                                              <a:ext uri="{28A0092B-C50C-407E-A947-70E740481C1C}">
                                                <a14:useLocalDpi xmlns:a14="http://schemas.microsoft.com/office/drawing/2010/main" val="0"/>
                                              </a:ext>
                                            </a:extLst>
                                          </a:blip>
                                          <a:srcRect/>
                                          <a:stretch>
                                            <a:fillRect/>
                                          </a:stretch>
                                        </pic:blipFill>
                                        <pic:spPr bwMode="auto">
                                          <a:xfrm>
                                            <a:off x="0" y="0"/>
                                            <a:ext cx="2228850" cy="285750"/>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2" o:spid="_x0000_s1254" style="position:absolute;margin-left:339.3pt;margin-top:21.15pt;width:176pt;height:22pt;z-index:251734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" o:allowincell="f" filled="f" stroked="f">
                <v:textbox inset="0,0,0,0">
                  <w:txbxContent>
                    <w:p w:rsidR="007B2B7B" w:rsidRDefault="007B2B7B">
                      <w:pPr>
                        <w:widowControl/>
                        <w:autoSpaceDE/>
                        <w:autoSpaceDN/>
                        <w:adjustRightInd/>
                        <w:spacing w:line="440" w:lineRule="atLeast"/>
                      </w:pPr>
                      <w:r>
                        <w:rPr>
                          <w:noProof/>
                        </w:rPr>
                        <w:drawing>
                          <wp:inline distT="0" distB="0" distL="0" distR="0">
                            <wp:extent cx="2228850" cy="285750"/>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493">
                                      <a:extLst>
                                        <a:ext uri="{28A0092B-C50C-407E-A947-70E740481C1C}">
                                          <a14:useLocalDpi xmlns:a14="http://schemas.microsoft.com/office/drawing/2010/main" val="0"/>
                                        </a:ext>
                                      </a:extLst>
                                    </a:blip>
                                    <a:srcRect/>
                                    <a:stretch>
                                      <a:fillRect/>
                                    </a:stretch>
                                  </pic:blipFill>
                                  <pic:spPr bwMode="auto">
                                    <a:xfrm>
                                      <a:off x="0" y="0"/>
                                      <a:ext cx="2228850" cy="285750"/>
                                    </a:xfrm>
                                    <a:prstGeom prst="rect">
                                      <a:avLst/>
                                    </a:prstGeom>
                                    <a:noFill/>
                                    <a:ln>
                                      <a:noFill/>
                                    </a:ln>
                                  </pic:spPr>
                                </pic:pic>
                              </a:graphicData>
                            </a:graphic>
                          </wp:inline>
                        </w:drawing>
                      </w:r>
                    </w:p>
                    <w:p w:rsidR="007B2B7B" w:rsidRDefault="007B2B7B"/>
                  </w:txbxContent>
                </v:textbox>
                <w10:wrap type="topAndBottom" anchorx="page"/>
              </v:rect>
            </w:pict>
          </mc:Fallback>
        </mc:AlternateContent>
      </w:r>
    </w:p>
    <w:p w:rsidR="002C5025" w:rsidRDefault="002C5025">
      <w:pPr>
        <w:pStyle w:val="BodyText"/>
        <w:tabs>
          <w:tab w:val="left" w:pos="5776"/>
        </w:tabs>
        <w:kinsoku w:val="0"/>
        <w:overflowPunct w:val="0"/>
        <w:ind w:left="118" w:right="83"/>
      </w:pPr>
      <w:r>
        <w:t>Maryanne</w:t>
      </w:r>
      <w:r>
        <w:rPr>
          <w:spacing w:val="-4"/>
        </w:rPr>
        <w:t xml:space="preserve"> </w:t>
      </w:r>
      <w:proofErr w:type="spellStart"/>
      <w:r>
        <w:t>Frangules</w:t>
      </w:r>
      <w:proofErr w:type="spellEnd"/>
      <w:r>
        <w:tab/>
        <w:t>Thomas J.</w:t>
      </w:r>
      <w:r>
        <w:rPr>
          <w:spacing w:val="-8"/>
        </w:rPr>
        <w:t xml:space="preserve"> </w:t>
      </w:r>
      <w:r>
        <w:t>Delaney</w:t>
      </w:r>
    </w:p>
    <w:p w:rsidR="002C5025" w:rsidRDefault="002C5025">
      <w:pPr>
        <w:pStyle w:val="BodyText"/>
        <w:tabs>
          <w:tab w:val="left" w:pos="5738"/>
        </w:tabs>
        <w:kinsoku w:val="0"/>
        <w:overflowPunct w:val="0"/>
        <w:spacing w:before="3"/>
        <w:ind w:left="118" w:right="83"/>
      </w:pPr>
      <w:r>
        <w:rPr>
          <w:rFonts w:ascii="Elephant" w:hAnsi="Elephant" w:cs="Elephant"/>
        </w:rPr>
        <w:t>MOAR</w:t>
      </w:r>
      <w:r>
        <w:rPr>
          <w:rFonts w:ascii="Elephant" w:hAnsi="Elephant" w:cs="Elephant"/>
          <w:spacing w:val="-7"/>
        </w:rPr>
        <w:t xml:space="preserve"> </w:t>
      </w:r>
      <w:r>
        <w:t>Executive</w:t>
      </w:r>
      <w:r>
        <w:rPr>
          <w:spacing w:val="-4"/>
        </w:rPr>
        <w:t xml:space="preserve"> </w:t>
      </w:r>
      <w:r>
        <w:t>Director</w:t>
      </w:r>
      <w:r>
        <w:tab/>
      </w:r>
      <w:r>
        <w:rPr>
          <w:rFonts w:ascii="Elephant" w:hAnsi="Elephant" w:cs="Elephant"/>
        </w:rPr>
        <w:t>MOAR</w:t>
      </w:r>
      <w:r>
        <w:rPr>
          <w:rFonts w:ascii="Elephant" w:hAnsi="Elephant" w:cs="Elephant"/>
          <w:spacing w:val="-6"/>
        </w:rPr>
        <w:t xml:space="preserve"> </w:t>
      </w:r>
      <w:r>
        <w:t>President</w:t>
      </w:r>
    </w:p>
    <w:p w:rsidR="002C5025" w:rsidRDefault="002C5025">
      <w:pPr>
        <w:pStyle w:val="BodyText"/>
        <w:tabs>
          <w:tab w:val="left" w:pos="5738"/>
        </w:tabs>
        <w:kinsoku w:val="0"/>
        <w:overflowPunct w:val="0"/>
        <w:spacing w:before="3"/>
        <w:ind w:left="118" w:right="83"/>
        <w:sectPr w:rsidR="002C5025">
          <w:pgSz w:w="12240" w:h="15840"/>
          <w:pgMar w:top="1400" w:right="1400" w:bottom="280" w:left="1320" w:header="720" w:footer="720" w:gutter="0"/>
          <w:cols w:space="720" w:equalWidth="0">
            <w:col w:w="9520"/>
          </w:cols>
          <w:noEndnote/>
        </w:sectPr>
      </w:pPr>
    </w:p>
    <w:p w:rsidR="002C5025" w:rsidRDefault="00FB027C">
      <w:pPr>
        <w:pStyle w:val="BodyText"/>
        <w:kinsoku w:val="0"/>
        <w:overflowPunct w:val="0"/>
        <w:ind w:left="745"/>
        <w:rPr>
          <w:sz w:val="20"/>
          <w:szCs w:val="20"/>
        </w:rPr>
      </w:pPr>
      <w:r>
        <w:rPr>
          <w:noProof/>
          <w:sz w:val="20"/>
          <w:szCs w:val="20"/>
        </w:rPr>
        <w:lastRenderedPageBreak/>
        <w:drawing>
          <wp:inline distT="0" distB="0" distL="0" distR="0">
            <wp:extent cx="2676525" cy="952500"/>
            <wp:effectExtent l="0" t="0" r="9525"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494">
                      <a:extLst>
                        <a:ext uri="{28A0092B-C50C-407E-A947-70E740481C1C}">
                          <a14:useLocalDpi xmlns:a14="http://schemas.microsoft.com/office/drawing/2010/main" val="0"/>
                        </a:ext>
                      </a:extLst>
                    </a:blip>
                    <a:srcRect/>
                    <a:stretch>
                      <a:fillRect/>
                    </a:stretch>
                  </pic:blipFill>
                  <pic:spPr bwMode="auto">
                    <a:xfrm>
                      <a:off x="0" y="0"/>
                      <a:ext cx="2676525" cy="952500"/>
                    </a:xfrm>
                    <a:prstGeom prst="rect">
                      <a:avLst/>
                    </a:prstGeom>
                    <a:noFill/>
                    <a:ln>
                      <a:noFill/>
                    </a:ln>
                  </pic:spPr>
                </pic:pic>
              </a:graphicData>
            </a:graphic>
          </wp:inline>
        </w:drawing>
      </w:r>
    </w:p>
    <w:p w:rsidR="002C5025" w:rsidRDefault="002C5025">
      <w:pPr>
        <w:pStyle w:val="BodyText"/>
        <w:kinsoku w:val="0"/>
        <w:overflowPunct w:val="0"/>
        <w:spacing w:before="3"/>
        <w:rPr>
          <w:sz w:val="11"/>
          <w:szCs w:val="11"/>
        </w:rPr>
      </w:pPr>
    </w:p>
    <w:p w:rsidR="002C5025" w:rsidRDefault="00FB027C">
      <w:pPr>
        <w:pStyle w:val="BodyText"/>
        <w:tabs>
          <w:tab w:val="left" w:pos="6796"/>
        </w:tabs>
        <w:kinsoku w:val="0"/>
        <w:overflowPunct w:val="0"/>
        <w:spacing w:before="77"/>
        <w:ind w:left="2498" w:right="1443"/>
        <w:rPr>
          <w:rFonts w:ascii="Arial" w:hAnsi="Arial" w:cs="Arial"/>
          <w:i/>
          <w:iCs/>
          <w:sz w:val="18"/>
          <w:szCs w:val="18"/>
        </w:rPr>
      </w:pPr>
      <w:r>
        <w:rPr>
          <w:noProof/>
        </w:rPr>
        <mc:AlternateContent>
          <mc:Choice Requires="wps">
            <w:drawing>
              <wp:anchor distT="0" distB="0" distL="114300" distR="114300" simplePos="0" relativeHeight="251735552" behindDoc="0" locked="0" layoutInCell="0" allowOverlap="1">
                <wp:simplePos x="0" y="0"/>
                <wp:positionH relativeFrom="page">
                  <wp:posOffset>0</wp:posOffset>
                </wp:positionH>
                <wp:positionV relativeFrom="paragraph">
                  <wp:posOffset>-9525</wp:posOffset>
                </wp:positionV>
                <wp:extent cx="7772400" cy="12065"/>
                <wp:effectExtent l="0" t="0" r="0" b="0"/>
                <wp:wrapNone/>
                <wp:docPr id="302" name="Freeform 7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12065"/>
                        </a:xfrm>
                        <a:custGeom>
                          <a:avLst/>
                          <a:gdLst>
                            <a:gd name="T0" fmla="*/ 0 w 12240"/>
                            <a:gd name="T1" fmla="*/ 0 h 19"/>
                            <a:gd name="T2" fmla="*/ 12240 w 12240"/>
                            <a:gd name="T3" fmla="*/ 0 h 19"/>
                          </a:gdLst>
                          <a:ahLst/>
                          <a:cxnLst>
                            <a:cxn ang="0">
                              <a:pos x="T0" y="T1"/>
                            </a:cxn>
                            <a:cxn ang="0">
                              <a:pos x="T2" y="T3"/>
                            </a:cxn>
                          </a:cxnLst>
                          <a:rect l="0" t="0" r="r" b="b"/>
                          <a:pathLst>
                            <a:path w="12240" h="19">
                              <a:moveTo>
                                <a:pt x="0" y="0"/>
                              </a:moveTo>
                              <a:lnTo>
                                <a:pt x="12240" y="0"/>
                              </a:lnTo>
                            </a:path>
                          </a:pathLst>
                        </a:custGeom>
                        <a:noFill/>
                        <a:ln w="12700">
                          <a:solidFill>
                            <a:srgbClr val="4DA34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23" o:spid="_x0000_s1026" style="position:absolute;z-index:251735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0,-.75pt,612pt,-.75pt" coordsize="1224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" o:allowincell="f" filled="f" strokecolor="#4da346" strokeweight="1pt">
                <v:path arrowok="t" o:connecttype="custom" o:connectlocs="0,0;7772400,0" o:connectangles="0,0"/>
                <w10:wrap anchorx="page"/>
              </v:polyline>
            </w:pict>
          </mc:Fallback>
        </mc:AlternateContent>
      </w:r>
      <w:bookmarkStart w:id="212" w:name="MPHA_Comments_-_MassHealth_1115_Waiver_R"/>
      <w:bookmarkEnd w:id="212"/>
      <w:r w:rsidR="002C5025">
        <w:rPr>
          <w:rFonts w:ascii="Arial" w:hAnsi="Arial" w:cs="Arial"/>
          <w:i/>
          <w:iCs/>
          <w:sz w:val="18"/>
          <w:szCs w:val="18"/>
        </w:rPr>
        <w:t>Deborah</w:t>
      </w:r>
      <w:r w:rsidR="002C5025">
        <w:rPr>
          <w:rFonts w:ascii="Arial" w:hAnsi="Arial" w:cs="Arial"/>
          <w:i/>
          <w:iCs/>
          <w:spacing w:val="-9"/>
          <w:sz w:val="18"/>
          <w:szCs w:val="18"/>
        </w:rPr>
        <w:t xml:space="preserve"> </w:t>
      </w:r>
      <w:r w:rsidR="002C5025">
        <w:rPr>
          <w:rFonts w:ascii="Arial" w:hAnsi="Arial" w:cs="Arial"/>
          <w:i/>
          <w:iCs/>
          <w:sz w:val="18"/>
          <w:szCs w:val="18"/>
        </w:rPr>
        <w:t>Dickerson,</w:t>
      </w:r>
      <w:r w:rsidR="002C5025">
        <w:rPr>
          <w:rFonts w:ascii="Arial" w:hAnsi="Arial" w:cs="Arial"/>
          <w:i/>
          <w:iCs/>
          <w:spacing w:val="-9"/>
          <w:sz w:val="18"/>
          <w:szCs w:val="18"/>
        </w:rPr>
        <w:t xml:space="preserve"> </w:t>
      </w:r>
      <w:r w:rsidR="002C5025">
        <w:rPr>
          <w:rFonts w:ascii="Arial" w:hAnsi="Arial" w:cs="Arial"/>
          <w:i/>
          <w:iCs/>
          <w:sz w:val="18"/>
          <w:szCs w:val="18"/>
        </w:rPr>
        <w:t>President</w:t>
      </w:r>
      <w:r w:rsidR="002C5025">
        <w:rPr>
          <w:rFonts w:ascii="Arial" w:hAnsi="Arial" w:cs="Arial"/>
          <w:i/>
          <w:iCs/>
          <w:sz w:val="18"/>
          <w:szCs w:val="18"/>
        </w:rPr>
        <w:tab/>
        <w:t>Rebekah</w:t>
      </w:r>
      <w:r w:rsidR="002C5025">
        <w:rPr>
          <w:rFonts w:ascii="Arial" w:hAnsi="Arial" w:cs="Arial"/>
          <w:i/>
          <w:iCs/>
          <w:spacing w:val="-14"/>
          <w:sz w:val="18"/>
          <w:szCs w:val="18"/>
        </w:rPr>
        <w:t xml:space="preserve"> </w:t>
      </w:r>
      <w:r w:rsidR="002C5025">
        <w:rPr>
          <w:rFonts w:ascii="Arial" w:hAnsi="Arial" w:cs="Arial"/>
          <w:i/>
          <w:iCs/>
          <w:sz w:val="18"/>
          <w:szCs w:val="18"/>
        </w:rPr>
        <w:t>Gewirtz,</w:t>
      </w:r>
      <w:r w:rsidR="002C5025">
        <w:rPr>
          <w:rFonts w:ascii="Arial" w:hAnsi="Arial" w:cs="Arial"/>
          <w:i/>
          <w:iCs/>
          <w:spacing w:val="-14"/>
          <w:sz w:val="18"/>
          <w:szCs w:val="18"/>
        </w:rPr>
        <w:t xml:space="preserve"> </w:t>
      </w:r>
      <w:r w:rsidR="002C5025">
        <w:rPr>
          <w:rFonts w:ascii="Arial" w:hAnsi="Arial" w:cs="Arial"/>
          <w:i/>
          <w:iCs/>
          <w:sz w:val="18"/>
          <w:szCs w:val="18"/>
        </w:rPr>
        <w:t>Executive</w:t>
      </w:r>
      <w:r w:rsidR="002C5025">
        <w:rPr>
          <w:rFonts w:ascii="Arial" w:hAnsi="Arial" w:cs="Arial"/>
          <w:i/>
          <w:iCs/>
          <w:spacing w:val="-15"/>
          <w:sz w:val="18"/>
          <w:szCs w:val="18"/>
        </w:rPr>
        <w:t xml:space="preserve"> </w:t>
      </w:r>
      <w:r w:rsidR="002C5025">
        <w:rPr>
          <w:rFonts w:ascii="Arial" w:hAnsi="Arial" w:cs="Arial"/>
          <w:i/>
          <w:iCs/>
          <w:sz w:val="18"/>
          <w:szCs w:val="18"/>
        </w:rPr>
        <w:t>Director</w:t>
      </w:r>
    </w:p>
    <w:p w:rsidR="002C5025" w:rsidRDefault="002C5025">
      <w:pPr>
        <w:pStyle w:val="BodyText"/>
        <w:kinsoku w:val="0"/>
        <w:overflowPunct w:val="0"/>
        <w:spacing w:before="2"/>
        <w:rPr>
          <w:rFonts w:ascii="Arial" w:hAnsi="Arial" w:cs="Arial"/>
          <w:i/>
          <w:iCs/>
          <w:sz w:val="20"/>
          <w:szCs w:val="20"/>
        </w:rPr>
      </w:pPr>
    </w:p>
    <w:p w:rsidR="002C5025" w:rsidRDefault="002C5025">
      <w:pPr>
        <w:pStyle w:val="BodyText"/>
        <w:kinsoku w:val="0"/>
        <w:overflowPunct w:val="0"/>
        <w:spacing w:before="70"/>
        <w:ind w:left="1080" w:right="1443"/>
        <w:rPr>
          <w:rFonts w:ascii="Times New Roman" w:hAnsi="Times New Roman" w:cs="Times New Roman"/>
          <w:sz w:val="24"/>
          <w:szCs w:val="24"/>
        </w:rPr>
      </w:pPr>
      <w:r>
        <w:rPr>
          <w:rFonts w:ascii="Times New Roman" w:hAnsi="Times New Roman" w:cs="Times New Roman"/>
          <w:sz w:val="24"/>
          <w:szCs w:val="24"/>
        </w:rPr>
        <w:t>July 15, 2016</w:t>
      </w:r>
    </w:p>
    <w:p w:rsidR="002C5025" w:rsidRDefault="002C5025">
      <w:pPr>
        <w:pStyle w:val="BodyText"/>
        <w:kinsoku w:val="0"/>
        <w:overflowPunct w:val="0"/>
        <w:spacing w:before="9"/>
        <w:rPr>
          <w:rFonts w:ascii="Times New Roman" w:hAnsi="Times New Roman" w:cs="Times New Roman"/>
          <w:sz w:val="23"/>
          <w:szCs w:val="23"/>
        </w:rPr>
      </w:pPr>
    </w:p>
    <w:p w:rsidR="002C5025" w:rsidRDefault="002C5025">
      <w:pPr>
        <w:pStyle w:val="BodyText"/>
        <w:kinsoku w:val="0"/>
        <w:overflowPunct w:val="0"/>
        <w:ind w:left="1080" w:right="1443"/>
        <w:rPr>
          <w:rFonts w:ascii="Times New Roman" w:hAnsi="Times New Roman" w:cs="Times New Roman"/>
          <w:sz w:val="24"/>
          <w:szCs w:val="24"/>
        </w:rPr>
      </w:pPr>
      <w:r>
        <w:rPr>
          <w:rFonts w:ascii="Times New Roman" w:hAnsi="Times New Roman" w:cs="Times New Roman"/>
          <w:sz w:val="24"/>
          <w:szCs w:val="24"/>
        </w:rPr>
        <w:t>Daniel Tsai</w:t>
      </w:r>
    </w:p>
    <w:p w:rsidR="002C5025" w:rsidRDefault="002C5025">
      <w:pPr>
        <w:pStyle w:val="BodyText"/>
        <w:kinsoku w:val="0"/>
        <w:overflowPunct w:val="0"/>
        <w:ind w:left="1079" w:right="1443"/>
        <w:rPr>
          <w:rFonts w:ascii="Times New Roman" w:hAnsi="Times New Roman" w:cs="Times New Roman"/>
          <w:sz w:val="24"/>
          <w:szCs w:val="24"/>
        </w:rPr>
      </w:pPr>
      <w:r>
        <w:rPr>
          <w:rFonts w:ascii="Times New Roman" w:hAnsi="Times New Roman" w:cs="Times New Roman"/>
          <w:sz w:val="24"/>
          <w:szCs w:val="24"/>
        </w:rPr>
        <w:t>Assistant Secretary for MassHealth</w:t>
      </w:r>
    </w:p>
    <w:p w:rsidR="002C5025" w:rsidRDefault="002C5025">
      <w:pPr>
        <w:pStyle w:val="BodyText"/>
        <w:kinsoku w:val="0"/>
        <w:overflowPunct w:val="0"/>
        <w:spacing w:before="9" w:line="278" w:lineRule="exact"/>
        <w:ind w:left="1079" w:right="6143"/>
        <w:rPr>
          <w:rFonts w:ascii="Times New Roman" w:hAnsi="Times New Roman" w:cs="Times New Roman"/>
          <w:sz w:val="24"/>
          <w:szCs w:val="24"/>
        </w:rPr>
      </w:pPr>
      <w:r>
        <w:rPr>
          <w:rFonts w:ascii="Times New Roman" w:hAnsi="Times New Roman" w:cs="Times New Roman"/>
          <w:sz w:val="24"/>
          <w:szCs w:val="24"/>
        </w:rPr>
        <w:t>Executive Office of Health and Human Services One Ashburton Place, 11</w:t>
      </w:r>
      <w:proofErr w:type="spellStart"/>
      <w:r>
        <w:rPr>
          <w:rFonts w:ascii="Times New Roman" w:hAnsi="Times New Roman" w:cs="Times New Roman"/>
          <w:position w:val="11"/>
          <w:sz w:val="16"/>
          <w:szCs w:val="16"/>
        </w:rPr>
        <w:t>th</w:t>
      </w:r>
      <w:proofErr w:type="spellEnd"/>
      <w:r>
        <w:rPr>
          <w:rFonts w:ascii="Times New Roman" w:hAnsi="Times New Roman" w:cs="Times New Roman"/>
          <w:position w:val="11"/>
          <w:sz w:val="16"/>
          <w:szCs w:val="16"/>
        </w:rPr>
        <w:t xml:space="preserve"> </w:t>
      </w:r>
      <w:r>
        <w:rPr>
          <w:rFonts w:ascii="Times New Roman" w:hAnsi="Times New Roman" w:cs="Times New Roman"/>
          <w:sz w:val="24"/>
          <w:szCs w:val="24"/>
        </w:rPr>
        <w:t>Floor</w:t>
      </w:r>
    </w:p>
    <w:p w:rsidR="002C5025" w:rsidRDefault="002C5025">
      <w:pPr>
        <w:pStyle w:val="BodyText"/>
        <w:kinsoku w:val="0"/>
        <w:overflowPunct w:val="0"/>
        <w:spacing w:line="270" w:lineRule="exact"/>
        <w:ind w:left="1080" w:right="1443"/>
        <w:rPr>
          <w:rFonts w:ascii="Times New Roman" w:hAnsi="Times New Roman" w:cs="Times New Roman"/>
          <w:sz w:val="24"/>
          <w:szCs w:val="24"/>
        </w:rPr>
      </w:pPr>
      <w:r>
        <w:rPr>
          <w:rFonts w:ascii="Times New Roman" w:hAnsi="Times New Roman" w:cs="Times New Roman"/>
          <w:sz w:val="24"/>
          <w:szCs w:val="24"/>
        </w:rPr>
        <w:t>Boston, MA 02108</w:t>
      </w:r>
    </w:p>
    <w:p w:rsidR="002C5025" w:rsidRDefault="002C5025">
      <w:pPr>
        <w:pStyle w:val="BodyText"/>
        <w:kinsoku w:val="0"/>
        <w:overflowPunct w:val="0"/>
        <w:spacing w:before="4"/>
        <w:rPr>
          <w:rFonts w:ascii="Times New Roman" w:hAnsi="Times New Roman" w:cs="Times New Roman"/>
          <w:sz w:val="23"/>
          <w:szCs w:val="23"/>
        </w:rPr>
      </w:pPr>
    </w:p>
    <w:p w:rsidR="002C5025" w:rsidRDefault="002C5025">
      <w:pPr>
        <w:pStyle w:val="BodyText"/>
        <w:kinsoku w:val="0"/>
        <w:overflowPunct w:val="0"/>
        <w:spacing w:line="480" w:lineRule="auto"/>
        <w:ind w:left="1080" w:right="4967"/>
        <w:rPr>
          <w:rFonts w:ascii="Times New Roman" w:hAnsi="Times New Roman" w:cs="Times New Roman"/>
          <w:color w:val="000000"/>
          <w:sz w:val="24"/>
          <w:szCs w:val="24"/>
        </w:rPr>
      </w:pPr>
      <w:r>
        <w:rPr>
          <w:rFonts w:ascii="Times New Roman" w:hAnsi="Times New Roman" w:cs="Times New Roman"/>
          <w:sz w:val="24"/>
          <w:szCs w:val="24"/>
        </w:rPr>
        <w:t xml:space="preserve">RE: </w:t>
      </w:r>
      <w:r>
        <w:rPr>
          <w:rFonts w:ascii="Times New Roman" w:hAnsi="Times New Roman" w:cs="Times New Roman"/>
          <w:color w:val="1B1B1B"/>
          <w:sz w:val="24"/>
          <w:szCs w:val="24"/>
        </w:rPr>
        <w:t xml:space="preserve">Comments on MassHealth 1115 Demonstration Project </w:t>
      </w:r>
      <w:r>
        <w:rPr>
          <w:rFonts w:ascii="Times New Roman" w:hAnsi="Times New Roman" w:cs="Times New Roman"/>
          <w:color w:val="000000"/>
          <w:sz w:val="24"/>
          <w:szCs w:val="24"/>
        </w:rPr>
        <w:t>Dear Assistant Secretary Tsai,</w:t>
      </w:r>
    </w:p>
    <w:p w:rsidR="002C5025" w:rsidRDefault="002C5025">
      <w:pPr>
        <w:pStyle w:val="BodyText"/>
        <w:kinsoku w:val="0"/>
        <w:overflowPunct w:val="0"/>
        <w:spacing w:before="20"/>
        <w:ind w:left="1079" w:right="1051"/>
        <w:rPr>
          <w:rFonts w:ascii="Times New Roman" w:hAnsi="Times New Roman" w:cs="Times New Roman"/>
          <w:sz w:val="24"/>
          <w:szCs w:val="24"/>
        </w:rPr>
      </w:pPr>
      <w:r>
        <w:rPr>
          <w:rFonts w:ascii="Times New Roman" w:hAnsi="Times New Roman" w:cs="Times New Roman"/>
          <w:sz w:val="24"/>
          <w:szCs w:val="24"/>
        </w:rPr>
        <w:t>On behalf of the Massachusetts Public Health Association, we thank you for the opportunity to comment on the MassHealth Section 1115 Demonstration Project Amendment and Extension Request (“Waiver Request”).</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079" w:right="1104"/>
        <w:rPr>
          <w:rFonts w:ascii="Times New Roman" w:hAnsi="Times New Roman" w:cs="Times New Roman"/>
          <w:sz w:val="24"/>
          <w:szCs w:val="24"/>
        </w:rPr>
      </w:pPr>
      <w:r>
        <w:rPr>
          <w:rFonts w:ascii="Times New Roman" w:hAnsi="Times New Roman" w:cs="Times New Roman"/>
          <w:sz w:val="24"/>
          <w:szCs w:val="24"/>
        </w:rPr>
        <w:t>We are excited at the opportunities in the evolving health care financing and delivery landscape – including the evolution of ACOs - to focus our collective attention on how to most effectively keep people healthy and prevent the onset of expensive medical conditions. We believe that ACOs in Massachusetts can be a powerful force to promote health, reduce costs, promote equity, and lead the nation. ACOs have a unique ability to provide necessary medical services, as well as to provide care coordination, patient support, and wellness services to address the health needs of members. ACOs also have an important role to play in address the underlying social determinants of health which drive health outcomes and contribute to significant inequities in health outcomes across race, ethnicity, and income.</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080" w:right="1167"/>
        <w:rPr>
          <w:rFonts w:ascii="Times New Roman" w:hAnsi="Times New Roman" w:cs="Times New Roman"/>
          <w:sz w:val="24"/>
          <w:szCs w:val="24"/>
        </w:rPr>
      </w:pPr>
      <w:r>
        <w:rPr>
          <w:rFonts w:ascii="Times New Roman" w:hAnsi="Times New Roman" w:cs="Times New Roman"/>
          <w:sz w:val="24"/>
          <w:szCs w:val="24"/>
        </w:rPr>
        <w:t>In these comments, we would like to highlight four key areas that we believe are essential to the ability of MassHealth to effectively address population health, as well as to contribute to eliminating health inequities.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079" w:right="1270"/>
        <w:rPr>
          <w:rFonts w:ascii="Times New Roman" w:hAnsi="Times New Roman" w:cs="Times New Roman"/>
          <w:sz w:val="24"/>
          <w:szCs w:val="24"/>
        </w:rPr>
      </w:pPr>
      <w:r>
        <w:rPr>
          <w:rFonts w:ascii="Times New Roman" w:hAnsi="Times New Roman" w:cs="Times New Roman"/>
          <w:sz w:val="24"/>
          <w:szCs w:val="24"/>
        </w:rPr>
        <w:t>While the Waiver Request outlines a framework for changes to MassHealth’s payment system and its delivery of care, implementation will be the true test for the success of the proposed redesign. The Waiver Request as just the start of a much longer implementation process, which will require close monitoring and input by members, stakeholders, and affected communities. We urge MassHealth to continue the open, collaborative process as implementation proceeds.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4"/>
          <w:szCs w:val="24"/>
        </w:rPr>
      </w:pPr>
    </w:p>
    <w:p w:rsidR="002C5025" w:rsidRDefault="002C5025">
      <w:pPr>
        <w:pStyle w:val="ListParagraph"/>
        <w:numPr>
          <w:ilvl w:val="2"/>
          <w:numId w:val="32"/>
        </w:numPr>
        <w:tabs>
          <w:tab w:val="left" w:pos="1440"/>
        </w:tabs>
        <w:kinsoku w:val="0"/>
        <w:overflowPunct w:val="0"/>
      </w:pPr>
      <w:r>
        <w:rPr>
          <w:u w:val="single"/>
        </w:rPr>
        <w:t>Population Health and Community</w:t>
      </w:r>
      <w:r>
        <w:rPr>
          <w:spacing w:val="-41"/>
          <w:u w:val="single"/>
        </w:rPr>
        <w:t xml:space="preserve"> </w:t>
      </w:r>
      <w:r>
        <w:rPr>
          <w:u w:val="single"/>
        </w:rPr>
        <w:t>Partnerships</w:t>
      </w:r>
    </w:p>
    <w:p w:rsidR="002C5025" w:rsidRDefault="002C5025">
      <w:pPr>
        <w:pStyle w:val="BodyText"/>
        <w:kinsoku w:val="0"/>
        <w:overflowPunct w:val="0"/>
        <w:spacing w:before="9"/>
        <w:rPr>
          <w:rFonts w:ascii="Times New Roman" w:hAnsi="Times New Roman" w:cs="Times New Roman"/>
          <w:sz w:val="18"/>
          <w:szCs w:val="18"/>
        </w:rPr>
      </w:pPr>
    </w:p>
    <w:p w:rsidR="002C5025" w:rsidRDefault="002C5025">
      <w:pPr>
        <w:pStyle w:val="BodyText"/>
        <w:kinsoku w:val="0"/>
        <w:overflowPunct w:val="0"/>
        <w:spacing w:before="69" w:line="274" w:lineRule="exact"/>
        <w:ind w:left="1080" w:right="1443"/>
        <w:rPr>
          <w:rFonts w:ascii="Times New Roman" w:hAnsi="Times New Roman" w:cs="Times New Roman"/>
          <w:b/>
          <w:bCs/>
          <w:i/>
          <w:iCs/>
          <w:sz w:val="24"/>
          <w:szCs w:val="24"/>
        </w:rPr>
      </w:pPr>
      <w:bookmarkStart w:id="213" w:name="Social_determinants_of_health_and_commun"/>
      <w:bookmarkEnd w:id="213"/>
      <w:r>
        <w:rPr>
          <w:rFonts w:ascii="Times New Roman" w:hAnsi="Times New Roman" w:cs="Times New Roman"/>
          <w:b/>
          <w:bCs/>
          <w:i/>
          <w:iCs/>
          <w:sz w:val="24"/>
          <w:szCs w:val="24"/>
        </w:rPr>
        <w:t>Social determinants of health and community-clinical linkages</w:t>
      </w:r>
    </w:p>
    <w:p w:rsidR="002C5025" w:rsidRDefault="002C5025">
      <w:pPr>
        <w:pStyle w:val="BodyText"/>
        <w:kinsoku w:val="0"/>
        <w:overflowPunct w:val="0"/>
        <w:ind w:left="1080" w:right="1167"/>
        <w:rPr>
          <w:rFonts w:ascii="Times New Roman" w:hAnsi="Times New Roman" w:cs="Times New Roman"/>
          <w:sz w:val="24"/>
          <w:szCs w:val="24"/>
        </w:rPr>
      </w:pPr>
      <w:r>
        <w:rPr>
          <w:rFonts w:ascii="Times New Roman" w:hAnsi="Times New Roman" w:cs="Times New Roman"/>
          <w:sz w:val="24"/>
          <w:szCs w:val="24"/>
        </w:rPr>
        <w:t>We strongly support MassHealth’s proposal to integrate community-based partners and linkages to social services in an effort to address social determinants of health. Given that many populations face significant social, economic, and environmental barriers that substantially impact their health, it is critical that ACOs support their members with accessing community resources in their area. The ability of ACOs to provide flexible services – such as housing stabilization services, utility assistance, non-</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4"/>
        <w:rPr>
          <w:rFonts w:ascii="Times New Roman" w:hAnsi="Times New Roman" w:cs="Times New Roman"/>
          <w:sz w:val="21"/>
          <w:szCs w:val="21"/>
        </w:rPr>
      </w:pPr>
    </w:p>
    <w:p w:rsidR="002C5025" w:rsidRDefault="002C5025">
      <w:pPr>
        <w:pStyle w:val="BodyText"/>
        <w:kinsoku w:val="0"/>
        <w:overflowPunct w:val="0"/>
        <w:spacing w:before="69"/>
        <w:ind w:left="4"/>
        <w:jc w:val="center"/>
        <w:rPr>
          <w:rFonts w:ascii="Times New Roman" w:hAnsi="Times New Roman" w:cs="Times New Roman"/>
          <w:sz w:val="24"/>
          <w:szCs w:val="24"/>
        </w:rPr>
      </w:pPr>
      <w:r>
        <w:rPr>
          <w:rFonts w:ascii="Times New Roman" w:hAnsi="Times New Roman" w:cs="Times New Roman"/>
          <w:sz w:val="24"/>
          <w:szCs w:val="24"/>
        </w:rPr>
        <w:t>1</w:t>
      </w:r>
    </w:p>
    <w:p w:rsidR="002C5025" w:rsidRDefault="002C5025">
      <w:pPr>
        <w:pStyle w:val="BodyText"/>
        <w:kinsoku w:val="0"/>
        <w:overflowPunct w:val="0"/>
        <w:spacing w:before="69"/>
        <w:ind w:left="4"/>
        <w:jc w:val="center"/>
        <w:rPr>
          <w:rFonts w:ascii="Times New Roman" w:hAnsi="Times New Roman" w:cs="Times New Roman"/>
          <w:sz w:val="24"/>
          <w:szCs w:val="24"/>
        </w:rPr>
        <w:sectPr w:rsidR="002C5025">
          <w:pgSz w:w="12240" w:h="15840"/>
          <w:pgMar w:top="300" w:right="0" w:bottom="0" w:left="0" w:header="720" w:footer="720" w:gutter="0"/>
          <w:cols w:space="720" w:equalWidth="0">
            <w:col w:w="12240"/>
          </w:cols>
          <w:noEndnote/>
        </w:sectPr>
      </w:pPr>
    </w:p>
    <w:p w:rsidR="002C5025" w:rsidRDefault="00FB027C">
      <w:pPr>
        <w:pStyle w:val="BodyText"/>
        <w:kinsoku w:val="0"/>
        <w:overflowPunct w:val="0"/>
        <w:ind w:left="745"/>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extent cx="2676525" cy="952500"/>
            <wp:effectExtent l="0" t="0" r="9525"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494">
                      <a:extLst>
                        <a:ext uri="{28A0092B-C50C-407E-A947-70E740481C1C}">
                          <a14:useLocalDpi xmlns:a14="http://schemas.microsoft.com/office/drawing/2010/main" val="0"/>
                        </a:ext>
                      </a:extLst>
                    </a:blip>
                    <a:srcRect/>
                    <a:stretch>
                      <a:fillRect/>
                    </a:stretch>
                  </pic:blipFill>
                  <pic:spPr bwMode="auto">
                    <a:xfrm>
                      <a:off x="0" y="0"/>
                      <a:ext cx="2676525" cy="952500"/>
                    </a:xfrm>
                    <a:prstGeom prst="rect">
                      <a:avLst/>
                    </a:prstGeom>
                    <a:noFill/>
                    <a:ln>
                      <a:noFill/>
                    </a:ln>
                  </pic:spPr>
                </pic:pic>
              </a:graphicData>
            </a:graphic>
          </wp:inline>
        </w:drawing>
      </w:r>
    </w:p>
    <w:p w:rsidR="002C5025" w:rsidRDefault="002C5025">
      <w:pPr>
        <w:pStyle w:val="BodyText"/>
        <w:kinsoku w:val="0"/>
        <w:overflowPunct w:val="0"/>
        <w:spacing w:before="11"/>
        <w:rPr>
          <w:rFonts w:ascii="Times New Roman" w:hAnsi="Times New Roman" w:cs="Times New Roman"/>
          <w:sz w:val="11"/>
          <w:szCs w:val="11"/>
        </w:rPr>
      </w:pPr>
    </w:p>
    <w:p w:rsidR="002C5025" w:rsidRDefault="00FB027C">
      <w:pPr>
        <w:pStyle w:val="BodyText"/>
        <w:tabs>
          <w:tab w:val="left" w:pos="6796"/>
        </w:tabs>
        <w:kinsoku w:val="0"/>
        <w:overflowPunct w:val="0"/>
        <w:spacing w:before="77"/>
        <w:ind w:left="2498" w:right="1443"/>
        <w:rPr>
          <w:rFonts w:ascii="Arial" w:hAnsi="Arial" w:cs="Arial"/>
          <w:i/>
          <w:iCs/>
          <w:sz w:val="18"/>
          <w:szCs w:val="18"/>
        </w:rPr>
      </w:pPr>
      <w:r>
        <w:rPr>
          <w:noProof/>
        </w:rPr>
        <mc:AlternateContent>
          <mc:Choice Requires="wps">
            <w:drawing>
              <wp:anchor distT="0" distB="0" distL="114300" distR="114300" simplePos="0" relativeHeight="251736576" behindDoc="0" locked="0" layoutInCell="0" allowOverlap="1">
                <wp:simplePos x="0" y="0"/>
                <wp:positionH relativeFrom="page">
                  <wp:posOffset>0</wp:posOffset>
                </wp:positionH>
                <wp:positionV relativeFrom="paragraph">
                  <wp:posOffset>-9525</wp:posOffset>
                </wp:positionV>
                <wp:extent cx="7772400" cy="12065"/>
                <wp:effectExtent l="0" t="0" r="0" b="0"/>
                <wp:wrapNone/>
                <wp:docPr id="301" name="Freeform 7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12065"/>
                        </a:xfrm>
                        <a:custGeom>
                          <a:avLst/>
                          <a:gdLst>
                            <a:gd name="T0" fmla="*/ 0 w 12240"/>
                            <a:gd name="T1" fmla="*/ 0 h 19"/>
                            <a:gd name="T2" fmla="*/ 12240 w 12240"/>
                            <a:gd name="T3" fmla="*/ 0 h 19"/>
                          </a:gdLst>
                          <a:ahLst/>
                          <a:cxnLst>
                            <a:cxn ang="0">
                              <a:pos x="T0" y="T1"/>
                            </a:cxn>
                            <a:cxn ang="0">
                              <a:pos x="T2" y="T3"/>
                            </a:cxn>
                          </a:cxnLst>
                          <a:rect l="0" t="0" r="r" b="b"/>
                          <a:pathLst>
                            <a:path w="12240" h="19">
                              <a:moveTo>
                                <a:pt x="0" y="0"/>
                              </a:moveTo>
                              <a:lnTo>
                                <a:pt x="12240" y="0"/>
                              </a:lnTo>
                            </a:path>
                          </a:pathLst>
                        </a:custGeom>
                        <a:noFill/>
                        <a:ln w="12700">
                          <a:solidFill>
                            <a:srgbClr val="4DA34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24" o:spid="_x0000_s1026" style="position:absolute;z-index:251736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0,-.75pt,612pt,-.75pt" coordsize="1224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" o:allowincell="f" filled="f" strokecolor="#4da346" strokeweight="1pt">
                <v:path arrowok="t" o:connecttype="custom" o:connectlocs="0,0;7772400,0" o:connectangles="0,0"/>
                <w10:wrap anchorx="page"/>
              </v:polyline>
            </w:pict>
          </mc:Fallback>
        </mc:AlternateContent>
      </w:r>
      <w:r w:rsidR="002C5025">
        <w:rPr>
          <w:rFonts w:ascii="Arial" w:hAnsi="Arial" w:cs="Arial"/>
          <w:i/>
          <w:iCs/>
          <w:sz w:val="18"/>
          <w:szCs w:val="18"/>
        </w:rPr>
        <w:t>Deborah</w:t>
      </w:r>
      <w:r w:rsidR="002C5025">
        <w:rPr>
          <w:rFonts w:ascii="Arial" w:hAnsi="Arial" w:cs="Arial"/>
          <w:i/>
          <w:iCs/>
          <w:spacing w:val="-9"/>
          <w:sz w:val="18"/>
          <w:szCs w:val="18"/>
        </w:rPr>
        <w:t xml:space="preserve"> </w:t>
      </w:r>
      <w:r w:rsidR="002C5025">
        <w:rPr>
          <w:rFonts w:ascii="Arial" w:hAnsi="Arial" w:cs="Arial"/>
          <w:i/>
          <w:iCs/>
          <w:sz w:val="18"/>
          <w:szCs w:val="18"/>
        </w:rPr>
        <w:t>Dickerson,</w:t>
      </w:r>
      <w:r w:rsidR="002C5025">
        <w:rPr>
          <w:rFonts w:ascii="Arial" w:hAnsi="Arial" w:cs="Arial"/>
          <w:i/>
          <w:iCs/>
          <w:spacing w:val="-9"/>
          <w:sz w:val="18"/>
          <w:szCs w:val="18"/>
        </w:rPr>
        <w:t xml:space="preserve"> </w:t>
      </w:r>
      <w:r w:rsidR="002C5025">
        <w:rPr>
          <w:rFonts w:ascii="Arial" w:hAnsi="Arial" w:cs="Arial"/>
          <w:i/>
          <w:iCs/>
          <w:sz w:val="18"/>
          <w:szCs w:val="18"/>
        </w:rPr>
        <w:t>President</w:t>
      </w:r>
      <w:r w:rsidR="002C5025">
        <w:rPr>
          <w:rFonts w:ascii="Arial" w:hAnsi="Arial" w:cs="Arial"/>
          <w:i/>
          <w:iCs/>
          <w:sz w:val="18"/>
          <w:szCs w:val="18"/>
        </w:rPr>
        <w:tab/>
        <w:t>Rebekah</w:t>
      </w:r>
      <w:r w:rsidR="002C5025">
        <w:rPr>
          <w:rFonts w:ascii="Arial" w:hAnsi="Arial" w:cs="Arial"/>
          <w:i/>
          <w:iCs/>
          <w:spacing w:val="-14"/>
          <w:sz w:val="18"/>
          <w:szCs w:val="18"/>
        </w:rPr>
        <w:t xml:space="preserve"> </w:t>
      </w:r>
      <w:r w:rsidR="002C5025">
        <w:rPr>
          <w:rFonts w:ascii="Arial" w:hAnsi="Arial" w:cs="Arial"/>
          <w:i/>
          <w:iCs/>
          <w:sz w:val="18"/>
          <w:szCs w:val="18"/>
        </w:rPr>
        <w:t>Gewirtz,</w:t>
      </w:r>
      <w:r w:rsidR="002C5025">
        <w:rPr>
          <w:rFonts w:ascii="Arial" w:hAnsi="Arial" w:cs="Arial"/>
          <w:i/>
          <w:iCs/>
          <w:spacing w:val="-14"/>
          <w:sz w:val="18"/>
          <w:szCs w:val="18"/>
        </w:rPr>
        <w:t xml:space="preserve"> </w:t>
      </w:r>
      <w:r w:rsidR="002C5025">
        <w:rPr>
          <w:rFonts w:ascii="Arial" w:hAnsi="Arial" w:cs="Arial"/>
          <w:i/>
          <w:iCs/>
          <w:sz w:val="18"/>
          <w:szCs w:val="18"/>
        </w:rPr>
        <w:t>Executive</w:t>
      </w:r>
      <w:r w:rsidR="002C5025">
        <w:rPr>
          <w:rFonts w:ascii="Arial" w:hAnsi="Arial" w:cs="Arial"/>
          <w:i/>
          <w:iCs/>
          <w:spacing w:val="-15"/>
          <w:sz w:val="18"/>
          <w:szCs w:val="18"/>
        </w:rPr>
        <w:t xml:space="preserve"> </w:t>
      </w:r>
      <w:r w:rsidR="002C5025">
        <w:rPr>
          <w:rFonts w:ascii="Arial" w:hAnsi="Arial" w:cs="Arial"/>
          <w:i/>
          <w:iCs/>
          <w:sz w:val="18"/>
          <w:szCs w:val="18"/>
        </w:rPr>
        <w:t>Director</w:t>
      </w:r>
    </w:p>
    <w:p w:rsidR="002C5025" w:rsidRDefault="002C5025">
      <w:pPr>
        <w:pStyle w:val="BodyText"/>
        <w:kinsoku w:val="0"/>
        <w:overflowPunct w:val="0"/>
        <w:spacing w:before="7"/>
        <w:rPr>
          <w:rFonts w:ascii="Arial" w:hAnsi="Arial" w:cs="Arial"/>
          <w:i/>
          <w:iCs/>
          <w:sz w:val="16"/>
          <w:szCs w:val="16"/>
        </w:rPr>
      </w:pPr>
    </w:p>
    <w:p w:rsidR="002C5025" w:rsidRDefault="002C5025">
      <w:pPr>
        <w:pStyle w:val="BodyText"/>
        <w:kinsoku w:val="0"/>
        <w:overflowPunct w:val="0"/>
        <w:spacing w:before="75" w:line="274" w:lineRule="exact"/>
        <w:ind w:left="1080" w:right="1263"/>
        <w:rPr>
          <w:rFonts w:ascii="Times New Roman" w:hAnsi="Times New Roman" w:cs="Times New Roman"/>
          <w:sz w:val="24"/>
          <w:szCs w:val="24"/>
        </w:rPr>
      </w:pPr>
      <w:r>
        <w:rPr>
          <w:rFonts w:ascii="Times New Roman" w:hAnsi="Times New Roman" w:cs="Times New Roman"/>
          <w:sz w:val="24"/>
          <w:szCs w:val="24"/>
        </w:rPr>
        <w:t>medical transportation, and other services – offers an important pathway to address underlying barriers to good health.</w:t>
      </w:r>
    </w:p>
    <w:p w:rsidR="002C5025" w:rsidRDefault="002C5025">
      <w:pPr>
        <w:pStyle w:val="BodyText"/>
        <w:kinsoku w:val="0"/>
        <w:overflowPunct w:val="0"/>
        <w:spacing w:before="8"/>
        <w:rPr>
          <w:rFonts w:ascii="Times New Roman" w:hAnsi="Times New Roman" w:cs="Times New Roman"/>
          <w:sz w:val="23"/>
          <w:szCs w:val="23"/>
        </w:rPr>
      </w:pPr>
    </w:p>
    <w:p w:rsidR="002C5025" w:rsidRDefault="002C5025">
      <w:pPr>
        <w:pStyle w:val="BodyText"/>
        <w:kinsoku w:val="0"/>
        <w:overflowPunct w:val="0"/>
        <w:ind w:left="1080" w:right="1051"/>
        <w:rPr>
          <w:rFonts w:ascii="Times New Roman" w:hAnsi="Times New Roman" w:cs="Times New Roman"/>
          <w:sz w:val="24"/>
          <w:szCs w:val="24"/>
        </w:rPr>
      </w:pPr>
      <w:r>
        <w:rPr>
          <w:rFonts w:ascii="Times New Roman" w:hAnsi="Times New Roman" w:cs="Times New Roman"/>
          <w:sz w:val="24"/>
          <w:szCs w:val="24"/>
        </w:rPr>
        <w:t>Specifically, we support MassHealth’s clear expectations for ACOs and community partners to address social determinants of health, including an assessment of members’ social service needs, inclusion of social services in members’ care plans, making referrals to social service organizations, and providing navigational assistance for accessing social services. We further support that a portion of DSRIP funding to ACOs will be explicitly designated for “flexible services” to fund members’ social service needs. In determining whether the criteria has been met to pay for such flexible services, we urge MassHealth to take a broad and flexible approach to encourage ACOs to innovate around how to use DSRIP funds to address social determinants of health.</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079" w:right="1167"/>
        <w:rPr>
          <w:rFonts w:ascii="Times New Roman" w:hAnsi="Times New Roman" w:cs="Times New Roman"/>
          <w:sz w:val="24"/>
          <w:szCs w:val="24"/>
        </w:rPr>
      </w:pPr>
      <w:r>
        <w:rPr>
          <w:rFonts w:ascii="Times New Roman" w:hAnsi="Times New Roman" w:cs="Times New Roman"/>
          <w:sz w:val="24"/>
          <w:szCs w:val="24"/>
        </w:rPr>
        <w:t>As MassHealth does not plan to designate social services providers as “certified” Community Partners, as is proposed for behavioral health and long-term services and supports (LTSS) providers, we seek clarification on how ACOs will be held accountable for ensuring that collaboration with social services providers is both meaningful and robust. We recommend that MassHealth require ACOs to detail their plans for these collaborations and use of flexible funding in their RFP responses and in ACO/MCO and ACO/MassHealth contracts.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079" w:right="1415"/>
        <w:rPr>
          <w:rFonts w:ascii="Times New Roman" w:hAnsi="Times New Roman" w:cs="Times New Roman"/>
          <w:b/>
          <w:bCs/>
          <w:sz w:val="24"/>
          <w:szCs w:val="24"/>
        </w:rPr>
      </w:pPr>
      <w:r>
        <w:rPr>
          <w:rFonts w:ascii="Times New Roman" w:hAnsi="Times New Roman" w:cs="Times New Roman"/>
          <w:sz w:val="24"/>
          <w:szCs w:val="24"/>
        </w:rPr>
        <w:t xml:space="preserve">While the Health Policy Commission’s initial proposed ACO certification criteria contained a requirement that ACOs collaborate with social services and community-based organizations, this requirement was removed in the final approved ACO criteria. </w:t>
      </w:r>
      <w:r>
        <w:rPr>
          <w:rFonts w:ascii="Times New Roman" w:hAnsi="Times New Roman" w:cs="Times New Roman"/>
          <w:b/>
          <w:bCs/>
          <w:sz w:val="24"/>
          <w:szCs w:val="24"/>
        </w:rPr>
        <w:t>As one key reason for removing the criteria, the HPC staff indicated that MassHealth ACOs would have “robust requirements” for collaborating with social services providers. It is critically important for the MassHealth ACO program to live up to this promise.</w:t>
      </w:r>
    </w:p>
    <w:p w:rsidR="002C5025" w:rsidRDefault="002C5025">
      <w:pPr>
        <w:pStyle w:val="BodyText"/>
        <w:kinsoku w:val="0"/>
        <w:overflowPunct w:val="0"/>
        <w:spacing w:before="1"/>
        <w:rPr>
          <w:rFonts w:ascii="Times New Roman" w:hAnsi="Times New Roman" w:cs="Times New Roman"/>
          <w:b/>
          <w:bCs/>
          <w:sz w:val="23"/>
          <w:szCs w:val="23"/>
        </w:rPr>
      </w:pPr>
    </w:p>
    <w:p w:rsidR="002C5025" w:rsidRDefault="002C5025">
      <w:pPr>
        <w:pStyle w:val="BodyText"/>
        <w:kinsoku w:val="0"/>
        <w:overflowPunct w:val="0"/>
        <w:spacing w:before="1"/>
        <w:ind w:left="1079" w:right="1269"/>
        <w:rPr>
          <w:rFonts w:ascii="Times New Roman" w:hAnsi="Times New Roman" w:cs="Times New Roman"/>
          <w:sz w:val="24"/>
          <w:szCs w:val="24"/>
        </w:rPr>
      </w:pPr>
      <w:r>
        <w:rPr>
          <w:rFonts w:ascii="Times New Roman" w:hAnsi="Times New Roman" w:cs="Times New Roman"/>
          <w:sz w:val="24"/>
          <w:szCs w:val="24"/>
        </w:rPr>
        <w:t>We also seek clarification as to how DSRIP funds will reach social services providers. While DSRIP funds will clearly be directed to BH and LTSS CPs for infrastructure and care coordination, social service providers do not receive direct DSRIP funding as they are not “certified” CPs, and instead may receive DSRIP funding indirectly through the ACO flexible services funds. It is critical that adequate DSRIP funding reach social services providers to ensure meaningful, strong and ongoing collaboration between ACOs and community-based social services agencies. For example, social service providers will need upfront investments in order to participate in two-way referral systems with ACOs, building on DPH’s community e-Referral system being established under the state’s State Innovation Model (SIM) grant and the Prevention and Wellness Trust Fund (PWTF).</w:t>
      </w:r>
    </w:p>
    <w:p w:rsidR="002C5025" w:rsidRDefault="002C5025">
      <w:pPr>
        <w:pStyle w:val="BodyText"/>
        <w:kinsoku w:val="0"/>
        <w:overflowPunct w:val="0"/>
        <w:rPr>
          <w:rFonts w:ascii="Times New Roman" w:hAnsi="Times New Roman" w:cs="Times New Roman"/>
          <w:sz w:val="25"/>
          <w:szCs w:val="25"/>
        </w:rPr>
      </w:pPr>
    </w:p>
    <w:p w:rsidR="002C5025" w:rsidRDefault="002C5025">
      <w:pPr>
        <w:pStyle w:val="BodyText"/>
        <w:kinsoku w:val="0"/>
        <w:overflowPunct w:val="0"/>
        <w:spacing w:line="237" w:lineRule="auto"/>
        <w:ind w:left="1079" w:right="1116"/>
        <w:rPr>
          <w:rFonts w:ascii="Times New Roman" w:hAnsi="Times New Roman" w:cs="Times New Roman"/>
          <w:sz w:val="24"/>
          <w:szCs w:val="24"/>
        </w:rPr>
      </w:pPr>
      <w:r>
        <w:rPr>
          <w:rFonts w:ascii="Times New Roman" w:hAnsi="Times New Roman" w:cs="Times New Roman"/>
          <w:b/>
          <w:bCs/>
          <w:sz w:val="24"/>
          <w:szCs w:val="24"/>
        </w:rPr>
        <w:t>The PWTF can serve as a model for community-clinical linkages across the Commonwealth. PWTF mutually reinforces MassHealth’s efforts to improve the health of its members while containing health care spending by seeking to coordinate clinical and community health efforts and address the social determinants of health</w:t>
      </w:r>
      <w:r>
        <w:rPr>
          <w:rFonts w:ascii="Times New Roman" w:hAnsi="Times New Roman" w:cs="Times New Roman"/>
          <w:sz w:val="24"/>
          <w:szCs w:val="24"/>
        </w:rPr>
        <w:t>. We recommend that MassHealth consult with the Department of Public Health (DPH) and incorporate lessons learned from PWTF with respect to community partnerships. Through the experience of implementing PWTF for three years, we have learned that effective linkages between clinical providers and community organizations take significant time and effort to build and maintain. In PWTF, infrastructure was supported to establish these connections and ensure their ongoing functionality. For PWTF, this includes the role of the coordinating partner to manage relationships, communications, responsibilities, and workflow across multiple</w:t>
      </w:r>
    </w:p>
    <w:p w:rsidR="002C5025" w:rsidRDefault="002C5025">
      <w:pPr>
        <w:pStyle w:val="BodyText"/>
        <w:kinsoku w:val="0"/>
        <w:overflowPunct w:val="0"/>
        <w:spacing w:before="55"/>
        <w:ind w:left="4"/>
        <w:jc w:val="center"/>
        <w:rPr>
          <w:rFonts w:ascii="Times New Roman" w:hAnsi="Times New Roman" w:cs="Times New Roman"/>
          <w:sz w:val="24"/>
          <w:szCs w:val="24"/>
        </w:rPr>
      </w:pPr>
      <w:r>
        <w:rPr>
          <w:rFonts w:ascii="Times New Roman" w:hAnsi="Times New Roman" w:cs="Times New Roman"/>
          <w:sz w:val="24"/>
          <w:szCs w:val="24"/>
        </w:rPr>
        <w:t>2</w:t>
      </w:r>
    </w:p>
    <w:p w:rsidR="002C5025" w:rsidRDefault="002C5025">
      <w:pPr>
        <w:pStyle w:val="BodyText"/>
        <w:kinsoku w:val="0"/>
        <w:overflowPunct w:val="0"/>
        <w:spacing w:before="55"/>
        <w:ind w:left="4"/>
        <w:jc w:val="center"/>
        <w:rPr>
          <w:rFonts w:ascii="Times New Roman" w:hAnsi="Times New Roman" w:cs="Times New Roman"/>
          <w:sz w:val="24"/>
          <w:szCs w:val="24"/>
        </w:rPr>
        <w:sectPr w:rsidR="002C5025">
          <w:pgSz w:w="12240" w:h="15840"/>
          <w:pgMar w:top="300" w:right="0" w:bottom="0" w:left="0" w:header="720" w:footer="720" w:gutter="0"/>
          <w:cols w:space="720"/>
          <w:noEndnote/>
        </w:sectPr>
      </w:pPr>
    </w:p>
    <w:p w:rsidR="002C5025" w:rsidRDefault="00FB027C">
      <w:pPr>
        <w:pStyle w:val="BodyText"/>
        <w:kinsoku w:val="0"/>
        <w:overflowPunct w:val="0"/>
        <w:ind w:left="745"/>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extent cx="2676525" cy="952500"/>
            <wp:effectExtent l="0" t="0" r="9525"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494">
                      <a:extLst>
                        <a:ext uri="{28A0092B-C50C-407E-A947-70E740481C1C}">
                          <a14:useLocalDpi xmlns:a14="http://schemas.microsoft.com/office/drawing/2010/main" val="0"/>
                        </a:ext>
                      </a:extLst>
                    </a:blip>
                    <a:srcRect/>
                    <a:stretch>
                      <a:fillRect/>
                    </a:stretch>
                  </pic:blipFill>
                  <pic:spPr bwMode="auto">
                    <a:xfrm>
                      <a:off x="0" y="0"/>
                      <a:ext cx="2676525" cy="952500"/>
                    </a:xfrm>
                    <a:prstGeom prst="rect">
                      <a:avLst/>
                    </a:prstGeom>
                    <a:noFill/>
                    <a:ln>
                      <a:noFill/>
                    </a:ln>
                  </pic:spPr>
                </pic:pic>
              </a:graphicData>
            </a:graphic>
          </wp:inline>
        </w:drawing>
      </w:r>
    </w:p>
    <w:p w:rsidR="002C5025" w:rsidRDefault="002C5025">
      <w:pPr>
        <w:pStyle w:val="BodyText"/>
        <w:kinsoku w:val="0"/>
        <w:overflowPunct w:val="0"/>
        <w:spacing w:before="11"/>
        <w:rPr>
          <w:rFonts w:ascii="Times New Roman" w:hAnsi="Times New Roman" w:cs="Times New Roman"/>
          <w:sz w:val="11"/>
          <w:szCs w:val="11"/>
        </w:rPr>
      </w:pPr>
    </w:p>
    <w:p w:rsidR="002C5025" w:rsidRDefault="00FB027C">
      <w:pPr>
        <w:pStyle w:val="BodyText"/>
        <w:tabs>
          <w:tab w:val="left" w:pos="6796"/>
        </w:tabs>
        <w:kinsoku w:val="0"/>
        <w:overflowPunct w:val="0"/>
        <w:spacing w:before="77"/>
        <w:ind w:left="2498" w:right="1443"/>
        <w:rPr>
          <w:rFonts w:ascii="Arial" w:hAnsi="Arial" w:cs="Arial"/>
          <w:i/>
          <w:iCs/>
          <w:sz w:val="18"/>
          <w:szCs w:val="18"/>
        </w:rPr>
      </w:pPr>
      <w:r>
        <w:rPr>
          <w:noProof/>
        </w:rPr>
        <mc:AlternateContent>
          <mc:Choice Requires="wps">
            <w:drawing>
              <wp:anchor distT="0" distB="0" distL="114300" distR="114300" simplePos="0" relativeHeight="251737600" behindDoc="0" locked="0" layoutInCell="0" allowOverlap="1">
                <wp:simplePos x="0" y="0"/>
                <wp:positionH relativeFrom="page">
                  <wp:posOffset>0</wp:posOffset>
                </wp:positionH>
                <wp:positionV relativeFrom="paragraph">
                  <wp:posOffset>-9525</wp:posOffset>
                </wp:positionV>
                <wp:extent cx="7772400" cy="12065"/>
                <wp:effectExtent l="0" t="0" r="0" b="0"/>
                <wp:wrapNone/>
                <wp:docPr id="300" name="Freeform 7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12065"/>
                        </a:xfrm>
                        <a:custGeom>
                          <a:avLst/>
                          <a:gdLst>
                            <a:gd name="T0" fmla="*/ 0 w 12240"/>
                            <a:gd name="T1" fmla="*/ 0 h 19"/>
                            <a:gd name="T2" fmla="*/ 12240 w 12240"/>
                            <a:gd name="T3" fmla="*/ 0 h 19"/>
                          </a:gdLst>
                          <a:ahLst/>
                          <a:cxnLst>
                            <a:cxn ang="0">
                              <a:pos x="T0" y="T1"/>
                            </a:cxn>
                            <a:cxn ang="0">
                              <a:pos x="T2" y="T3"/>
                            </a:cxn>
                          </a:cxnLst>
                          <a:rect l="0" t="0" r="r" b="b"/>
                          <a:pathLst>
                            <a:path w="12240" h="19">
                              <a:moveTo>
                                <a:pt x="0" y="0"/>
                              </a:moveTo>
                              <a:lnTo>
                                <a:pt x="12240" y="0"/>
                              </a:lnTo>
                            </a:path>
                          </a:pathLst>
                        </a:custGeom>
                        <a:noFill/>
                        <a:ln w="12700">
                          <a:solidFill>
                            <a:srgbClr val="4DA34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25" o:spid="_x0000_s1026" style="position:absolute;z-index:251737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0,-.75pt,612pt,-.75pt" coordsize="1224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" o:allowincell="f" filled="f" strokecolor="#4da346" strokeweight="1pt">
                <v:path arrowok="t" o:connecttype="custom" o:connectlocs="0,0;7772400,0" o:connectangles="0,0"/>
                <w10:wrap anchorx="page"/>
              </v:polyline>
            </w:pict>
          </mc:Fallback>
        </mc:AlternateContent>
      </w:r>
      <w:r w:rsidR="002C5025">
        <w:rPr>
          <w:rFonts w:ascii="Arial" w:hAnsi="Arial" w:cs="Arial"/>
          <w:i/>
          <w:iCs/>
          <w:sz w:val="18"/>
          <w:szCs w:val="18"/>
        </w:rPr>
        <w:t>Deborah</w:t>
      </w:r>
      <w:r w:rsidR="002C5025">
        <w:rPr>
          <w:rFonts w:ascii="Arial" w:hAnsi="Arial" w:cs="Arial"/>
          <w:i/>
          <w:iCs/>
          <w:spacing w:val="-9"/>
          <w:sz w:val="18"/>
          <w:szCs w:val="18"/>
        </w:rPr>
        <w:t xml:space="preserve"> </w:t>
      </w:r>
      <w:r w:rsidR="002C5025">
        <w:rPr>
          <w:rFonts w:ascii="Arial" w:hAnsi="Arial" w:cs="Arial"/>
          <w:i/>
          <w:iCs/>
          <w:sz w:val="18"/>
          <w:szCs w:val="18"/>
        </w:rPr>
        <w:t>Dickerson,</w:t>
      </w:r>
      <w:r w:rsidR="002C5025">
        <w:rPr>
          <w:rFonts w:ascii="Arial" w:hAnsi="Arial" w:cs="Arial"/>
          <w:i/>
          <w:iCs/>
          <w:spacing w:val="-9"/>
          <w:sz w:val="18"/>
          <w:szCs w:val="18"/>
        </w:rPr>
        <w:t xml:space="preserve"> </w:t>
      </w:r>
      <w:r w:rsidR="002C5025">
        <w:rPr>
          <w:rFonts w:ascii="Arial" w:hAnsi="Arial" w:cs="Arial"/>
          <w:i/>
          <w:iCs/>
          <w:sz w:val="18"/>
          <w:szCs w:val="18"/>
        </w:rPr>
        <w:t>President</w:t>
      </w:r>
      <w:r w:rsidR="002C5025">
        <w:rPr>
          <w:rFonts w:ascii="Arial" w:hAnsi="Arial" w:cs="Arial"/>
          <w:i/>
          <w:iCs/>
          <w:sz w:val="18"/>
          <w:szCs w:val="18"/>
        </w:rPr>
        <w:tab/>
        <w:t>Rebekah</w:t>
      </w:r>
      <w:r w:rsidR="002C5025">
        <w:rPr>
          <w:rFonts w:ascii="Arial" w:hAnsi="Arial" w:cs="Arial"/>
          <w:i/>
          <w:iCs/>
          <w:spacing w:val="-14"/>
          <w:sz w:val="18"/>
          <w:szCs w:val="18"/>
        </w:rPr>
        <w:t xml:space="preserve"> </w:t>
      </w:r>
      <w:r w:rsidR="002C5025">
        <w:rPr>
          <w:rFonts w:ascii="Arial" w:hAnsi="Arial" w:cs="Arial"/>
          <w:i/>
          <w:iCs/>
          <w:sz w:val="18"/>
          <w:szCs w:val="18"/>
        </w:rPr>
        <w:t>Gewirtz,</w:t>
      </w:r>
      <w:r w:rsidR="002C5025">
        <w:rPr>
          <w:rFonts w:ascii="Arial" w:hAnsi="Arial" w:cs="Arial"/>
          <w:i/>
          <w:iCs/>
          <w:spacing w:val="-14"/>
          <w:sz w:val="18"/>
          <w:szCs w:val="18"/>
        </w:rPr>
        <w:t xml:space="preserve"> </w:t>
      </w:r>
      <w:r w:rsidR="002C5025">
        <w:rPr>
          <w:rFonts w:ascii="Arial" w:hAnsi="Arial" w:cs="Arial"/>
          <w:i/>
          <w:iCs/>
          <w:sz w:val="18"/>
          <w:szCs w:val="18"/>
        </w:rPr>
        <w:t>Executive</w:t>
      </w:r>
      <w:r w:rsidR="002C5025">
        <w:rPr>
          <w:rFonts w:ascii="Arial" w:hAnsi="Arial" w:cs="Arial"/>
          <w:i/>
          <w:iCs/>
          <w:spacing w:val="-15"/>
          <w:sz w:val="18"/>
          <w:szCs w:val="18"/>
        </w:rPr>
        <w:t xml:space="preserve"> </w:t>
      </w:r>
      <w:r w:rsidR="002C5025">
        <w:rPr>
          <w:rFonts w:ascii="Arial" w:hAnsi="Arial" w:cs="Arial"/>
          <w:i/>
          <w:iCs/>
          <w:sz w:val="18"/>
          <w:szCs w:val="18"/>
        </w:rPr>
        <w:t>Director</w:t>
      </w:r>
    </w:p>
    <w:p w:rsidR="002C5025" w:rsidRDefault="002C5025">
      <w:pPr>
        <w:pStyle w:val="BodyText"/>
        <w:kinsoku w:val="0"/>
        <w:overflowPunct w:val="0"/>
        <w:spacing w:before="7"/>
        <w:rPr>
          <w:rFonts w:ascii="Arial" w:hAnsi="Arial" w:cs="Arial"/>
          <w:i/>
          <w:iCs/>
          <w:sz w:val="16"/>
          <w:szCs w:val="16"/>
        </w:rPr>
      </w:pPr>
    </w:p>
    <w:p w:rsidR="002C5025" w:rsidRDefault="002C5025">
      <w:pPr>
        <w:pStyle w:val="BodyText"/>
        <w:kinsoku w:val="0"/>
        <w:overflowPunct w:val="0"/>
        <w:spacing w:before="70"/>
        <w:ind w:left="1080" w:right="1328"/>
        <w:rPr>
          <w:rFonts w:ascii="Times New Roman" w:hAnsi="Times New Roman" w:cs="Times New Roman"/>
          <w:sz w:val="24"/>
          <w:szCs w:val="24"/>
        </w:rPr>
      </w:pPr>
      <w:r>
        <w:rPr>
          <w:rFonts w:ascii="Times New Roman" w:hAnsi="Times New Roman" w:cs="Times New Roman"/>
          <w:sz w:val="24"/>
          <w:szCs w:val="24"/>
        </w:rPr>
        <w:t>organizations, as well as the time and effort needed to establish new working relationships between organizations with different organizational cultures, methods of operating, and referral technology. Because DPH has gained considerable experience with clinical-community linkages, we recommend that MassHealth collaborate with DPH to provide upfront technical assistance and support to ACOs to ensure that the data systems, work flows, staff training, and connection to community prevention programs occurs and that it builds on the knowledge and best practices built into PWTF and other programs.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080" w:right="1642"/>
        <w:rPr>
          <w:rFonts w:ascii="Times New Roman" w:hAnsi="Times New Roman" w:cs="Times New Roman"/>
          <w:sz w:val="24"/>
          <w:szCs w:val="24"/>
        </w:rPr>
      </w:pPr>
      <w:r>
        <w:rPr>
          <w:rFonts w:ascii="Times New Roman" w:hAnsi="Times New Roman" w:cs="Times New Roman"/>
          <w:sz w:val="24"/>
          <w:szCs w:val="24"/>
        </w:rPr>
        <w:t>MassHealth should encourage ACOs to support evidence-based prevention programs such as those funded by PWTF as part of its Waiver Request and contracting process. All PWTF community interventions are currently not covered by health insurance, and all have an evidence base for their efficacy and cost effectiveness.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079" w:right="1264"/>
        <w:rPr>
          <w:rFonts w:ascii="Times New Roman" w:hAnsi="Times New Roman" w:cs="Times New Roman"/>
          <w:sz w:val="24"/>
          <w:szCs w:val="24"/>
        </w:rPr>
      </w:pPr>
      <w:r>
        <w:rPr>
          <w:rFonts w:ascii="Times New Roman" w:hAnsi="Times New Roman" w:cs="Times New Roman"/>
          <w:sz w:val="24"/>
          <w:szCs w:val="24"/>
        </w:rPr>
        <w:t>Another promising model to ensure members have the broadest access to social services agencies is through a social services “hub.” Such a hub can offer a single point of coordinated access to a wide range of social services which have a documented impact on health outcomes and on reducing the cost of care. This would be particularly helpful for small, specialized agencies (such as a group that focuses on a single immigrant community) that may not have the capacity to contract with multiple ACOs, but could work with hubs to allow them to assist members in many ACOs. A hub model could work with multiple ACOs to bridge medical and social service systems, providing culturally and linguistically competent services, engaging multiple social services agencies, and providing access to medically beneficial, evidence-based programs in each geographic region.</w:t>
      </w:r>
    </w:p>
    <w:p w:rsidR="002C5025" w:rsidRDefault="002C5025">
      <w:pPr>
        <w:pStyle w:val="BodyText"/>
        <w:kinsoku w:val="0"/>
        <w:overflowPunct w:val="0"/>
        <w:spacing w:before="9"/>
        <w:rPr>
          <w:rFonts w:ascii="Times New Roman" w:hAnsi="Times New Roman" w:cs="Times New Roman"/>
          <w:sz w:val="24"/>
          <w:szCs w:val="24"/>
        </w:rPr>
      </w:pPr>
    </w:p>
    <w:p w:rsidR="002C5025" w:rsidRDefault="002C5025">
      <w:pPr>
        <w:pStyle w:val="BodyText"/>
        <w:kinsoku w:val="0"/>
        <w:overflowPunct w:val="0"/>
        <w:spacing w:line="272" w:lineRule="exact"/>
        <w:ind w:left="1080" w:right="1443"/>
        <w:rPr>
          <w:rFonts w:ascii="Times New Roman" w:hAnsi="Times New Roman" w:cs="Times New Roman"/>
          <w:b/>
          <w:bCs/>
          <w:i/>
          <w:iCs/>
          <w:sz w:val="24"/>
          <w:szCs w:val="24"/>
        </w:rPr>
      </w:pPr>
      <w:bookmarkStart w:id="214" w:name="Community_level_support_and_investments"/>
      <w:bookmarkEnd w:id="214"/>
      <w:r>
        <w:rPr>
          <w:rFonts w:ascii="Times New Roman" w:hAnsi="Times New Roman" w:cs="Times New Roman"/>
          <w:b/>
          <w:bCs/>
          <w:i/>
          <w:iCs/>
          <w:sz w:val="24"/>
          <w:szCs w:val="24"/>
        </w:rPr>
        <w:t>Community level support and investments</w:t>
      </w:r>
    </w:p>
    <w:p w:rsidR="002C5025" w:rsidRDefault="002C5025">
      <w:pPr>
        <w:pStyle w:val="BodyText"/>
        <w:kinsoku w:val="0"/>
        <w:overflowPunct w:val="0"/>
        <w:ind w:left="1079" w:right="1195"/>
        <w:rPr>
          <w:rFonts w:ascii="Times New Roman" w:hAnsi="Times New Roman" w:cs="Times New Roman"/>
          <w:sz w:val="24"/>
          <w:szCs w:val="24"/>
        </w:rPr>
      </w:pPr>
      <w:r>
        <w:rPr>
          <w:rFonts w:ascii="Times New Roman" w:hAnsi="Times New Roman" w:cs="Times New Roman"/>
          <w:sz w:val="24"/>
          <w:szCs w:val="24"/>
        </w:rPr>
        <w:t>Prevention and public health are critical to lowering health costs and improving quality. In addition to promoting community-clinical linkages, ACOs should look beyond their members to address the public health needs of the service area or community where the practice is located. By focusing on the underlying social determinants of health at the community-wide or geographic level, ACOs have an opportunity to work towards truly improving health outcomes and advancing health equity. As part of this model, ACOs should collaborate with external partners and community members to address community-based drivers of poor health. While social service providers are key partners to address individual and family needs, addressing geographic-based social determinants of health will require partnership with other community resources, including community-based service providers, legal and social services advocates, public health agencies, and community action agencies.</w:t>
      </w:r>
    </w:p>
    <w:p w:rsidR="002C5025" w:rsidRDefault="002C5025">
      <w:pPr>
        <w:pStyle w:val="BodyText"/>
        <w:kinsoku w:val="0"/>
        <w:overflowPunct w:val="0"/>
        <w:spacing w:before="2"/>
        <w:rPr>
          <w:rFonts w:ascii="Times New Roman" w:hAnsi="Times New Roman" w:cs="Times New Roman"/>
          <w:sz w:val="24"/>
          <w:szCs w:val="24"/>
        </w:rPr>
      </w:pPr>
    </w:p>
    <w:p w:rsidR="002C5025" w:rsidRDefault="002C5025">
      <w:pPr>
        <w:pStyle w:val="BodyText"/>
        <w:kinsoku w:val="0"/>
        <w:overflowPunct w:val="0"/>
        <w:ind w:left="1079" w:right="1118"/>
        <w:rPr>
          <w:rFonts w:ascii="Times New Roman" w:hAnsi="Times New Roman" w:cs="Times New Roman"/>
          <w:sz w:val="24"/>
          <w:szCs w:val="24"/>
        </w:rPr>
      </w:pPr>
      <w:r>
        <w:rPr>
          <w:rFonts w:ascii="Times New Roman" w:hAnsi="Times New Roman" w:cs="Times New Roman"/>
          <w:sz w:val="24"/>
          <w:szCs w:val="24"/>
        </w:rPr>
        <w:t>We support that under the HPC’s ACO certification criteria, ACOs will be required to report on how the ACO uses the socio-demographic information gathered on its patient population to develop and support community-based policies and programs aimed at addressing social determinants of health to reduce health disparities within the ACO population. We urge MassHealth to take this one step further and require ACOs to perform an assessment of community assets and challenges (e.g., high levels of violence, housing insecurity, poor access to healthy food) to better understand community needs and target partnerships/interventions. This could come through an assessment conducted by the ACO or through an existing community health needs assessment. This will provide a basis for medical practices and public health agencies to work together towards improving health at the individual, delivery system, and community levels.</w:t>
      </w:r>
    </w:p>
    <w:p w:rsidR="002C5025" w:rsidRDefault="002C5025">
      <w:pPr>
        <w:pStyle w:val="BodyText"/>
        <w:kinsoku w:val="0"/>
        <w:overflowPunct w:val="0"/>
        <w:spacing w:before="6"/>
        <w:rPr>
          <w:rFonts w:ascii="Times New Roman" w:hAnsi="Times New Roman" w:cs="Times New Roman"/>
          <w:sz w:val="21"/>
          <w:szCs w:val="21"/>
        </w:rPr>
      </w:pPr>
    </w:p>
    <w:p w:rsidR="002C5025" w:rsidRDefault="002C5025">
      <w:pPr>
        <w:pStyle w:val="BodyText"/>
        <w:kinsoku w:val="0"/>
        <w:overflowPunct w:val="0"/>
        <w:spacing w:before="69"/>
        <w:ind w:left="4"/>
        <w:jc w:val="center"/>
        <w:rPr>
          <w:rFonts w:ascii="Times New Roman" w:hAnsi="Times New Roman" w:cs="Times New Roman"/>
          <w:sz w:val="24"/>
          <w:szCs w:val="24"/>
        </w:rPr>
      </w:pPr>
      <w:r>
        <w:rPr>
          <w:rFonts w:ascii="Times New Roman" w:hAnsi="Times New Roman" w:cs="Times New Roman"/>
          <w:sz w:val="24"/>
          <w:szCs w:val="24"/>
        </w:rPr>
        <w:t>3</w:t>
      </w:r>
    </w:p>
    <w:p w:rsidR="002C5025" w:rsidRDefault="002C5025">
      <w:pPr>
        <w:pStyle w:val="BodyText"/>
        <w:kinsoku w:val="0"/>
        <w:overflowPunct w:val="0"/>
        <w:spacing w:before="69"/>
        <w:ind w:left="4"/>
        <w:jc w:val="center"/>
        <w:rPr>
          <w:rFonts w:ascii="Times New Roman" w:hAnsi="Times New Roman" w:cs="Times New Roman"/>
          <w:sz w:val="24"/>
          <w:szCs w:val="24"/>
        </w:rPr>
        <w:sectPr w:rsidR="002C5025">
          <w:pgSz w:w="12240" w:h="15840"/>
          <w:pgMar w:top="300" w:right="0" w:bottom="0" w:left="0" w:header="720" w:footer="720" w:gutter="0"/>
          <w:cols w:space="720"/>
          <w:noEndnote/>
        </w:sectPr>
      </w:pPr>
    </w:p>
    <w:p w:rsidR="002C5025" w:rsidRDefault="00FB027C">
      <w:pPr>
        <w:pStyle w:val="BodyText"/>
        <w:kinsoku w:val="0"/>
        <w:overflowPunct w:val="0"/>
        <w:ind w:left="745"/>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extent cx="2676525" cy="952500"/>
            <wp:effectExtent l="0" t="0" r="9525"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494">
                      <a:extLst>
                        <a:ext uri="{28A0092B-C50C-407E-A947-70E740481C1C}">
                          <a14:useLocalDpi xmlns:a14="http://schemas.microsoft.com/office/drawing/2010/main" val="0"/>
                        </a:ext>
                      </a:extLst>
                    </a:blip>
                    <a:srcRect/>
                    <a:stretch>
                      <a:fillRect/>
                    </a:stretch>
                  </pic:blipFill>
                  <pic:spPr bwMode="auto">
                    <a:xfrm>
                      <a:off x="0" y="0"/>
                      <a:ext cx="2676525" cy="952500"/>
                    </a:xfrm>
                    <a:prstGeom prst="rect">
                      <a:avLst/>
                    </a:prstGeom>
                    <a:noFill/>
                    <a:ln>
                      <a:noFill/>
                    </a:ln>
                  </pic:spPr>
                </pic:pic>
              </a:graphicData>
            </a:graphic>
          </wp:inline>
        </w:drawing>
      </w:r>
    </w:p>
    <w:p w:rsidR="002C5025" w:rsidRDefault="002C5025">
      <w:pPr>
        <w:pStyle w:val="BodyText"/>
        <w:kinsoku w:val="0"/>
        <w:overflowPunct w:val="0"/>
        <w:spacing w:before="11"/>
        <w:rPr>
          <w:rFonts w:ascii="Times New Roman" w:hAnsi="Times New Roman" w:cs="Times New Roman"/>
          <w:sz w:val="11"/>
          <w:szCs w:val="11"/>
        </w:rPr>
      </w:pPr>
    </w:p>
    <w:p w:rsidR="002C5025" w:rsidRDefault="00FB027C">
      <w:pPr>
        <w:pStyle w:val="BodyText"/>
        <w:tabs>
          <w:tab w:val="left" w:pos="6796"/>
        </w:tabs>
        <w:kinsoku w:val="0"/>
        <w:overflowPunct w:val="0"/>
        <w:spacing w:before="77"/>
        <w:ind w:left="2498" w:right="1443"/>
        <w:rPr>
          <w:rFonts w:ascii="Arial" w:hAnsi="Arial" w:cs="Arial"/>
          <w:i/>
          <w:iCs/>
          <w:sz w:val="18"/>
          <w:szCs w:val="18"/>
        </w:rPr>
      </w:pPr>
      <w:r>
        <w:rPr>
          <w:noProof/>
        </w:rPr>
        <mc:AlternateContent>
          <mc:Choice Requires="wps">
            <w:drawing>
              <wp:anchor distT="0" distB="0" distL="114300" distR="114300" simplePos="0" relativeHeight="251738624" behindDoc="0" locked="0" layoutInCell="0" allowOverlap="1">
                <wp:simplePos x="0" y="0"/>
                <wp:positionH relativeFrom="page">
                  <wp:posOffset>0</wp:posOffset>
                </wp:positionH>
                <wp:positionV relativeFrom="paragraph">
                  <wp:posOffset>-9525</wp:posOffset>
                </wp:positionV>
                <wp:extent cx="7772400" cy="12065"/>
                <wp:effectExtent l="0" t="0" r="0" b="0"/>
                <wp:wrapNone/>
                <wp:docPr id="299" name="Freeform 7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12065"/>
                        </a:xfrm>
                        <a:custGeom>
                          <a:avLst/>
                          <a:gdLst>
                            <a:gd name="T0" fmla="*/ 0 w 12240"/>
                            <a:gd name="T1" fmla="*/ 0 h 19"/>
                            <a:gd name="T2" fmla="*/ 12240 w 12240"/>
                            <a:gd name="T3" fmla="*/ 0 h 19"/>
                          </a:gdLst>
                          <a:ahLst/>
                          <a:cxnLst>
                            <a:cxn ang="0">
                              <a:pos x="T0" y="T1"/>
                            </a:cxn>
                            <a:cxn ang="0">
                              <a:pos x="T2" y="T3"/>
                            </a:cxn>
                          </a:cxnLst>
                          <a:rect l="0" t="0" r="r" b="b"/>
                          <a:pathLst>
                            <a:path w="12240" h="19">
                              <a:moveTo>
                                <a:pt x="0" y="0"/>
                              </a:moveTo>
                              <a:lnTo>
                                <a:pt x="12240" y="0"/>
                              </a:lnTo>
                            </a:path>
                          </a:pathLst>
                        </a:custGeom>
                        <a:noFill/>
                        <a:ln w="12700">
                          <a:solidFill>
                            <a:srgbClr val="4DA34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26" o:spid="_x0000_s1026" style="position:absolute;z-index:251738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0,-.75pt,612pt,-.75pt" coordsize="1224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" o:allowincell="f" filled="f" strokecolor="#4da346" strokeweight="1pt">
                <v:path arrowok="t" o:connecttype="custom" o:connectlocs="0,0;7772400,0" o:connectangles="0,0"/>
                <w10:wrap anchorx="page"/>
              </v:polyline>
            </w:pict>
          </mc:Fallback>
        </mc:AlternateContent>
      </w:r>
      <w:r w:rsidR="002C5025">
        <w:rPr>
          <w:rFonts w:ascii="Arial" w:hAnsi="Arial" w:cs="Arial"/>
          <w:i/>
          <w:iCs/>
          <w:sz w:val="18"/>
          <w:szCs w:val="18"/>
        </w:rPr>
        <w:t>Deborah</w:t>
      </w:r>
      <w:r w:rsidR="002C5025">
        <w:rPr>
          <w:rFonts w:ascii="Arial" w:hAnsi="Arial" w:cs="Arial"/>
          <w:i/>
          <w:iCs/>
          <w:spacing w:val="-9"/>
          <w:sz w:val="18"/>
          <w:szCs w:val="18"/>
        </w:rPr>
        <w:t xml:space="preserve"> </w:t>
      </w:r>
      <w:r w:rsidR="002C5025">
        <w:rPr>
          <w:rFonts w:ascii="Arial" w:hAnsi="Arial" w:cs="Arial"/>
          <w:i/>
          <w:iCs/>
          <w:sz w:val="18"/>
          <w:szCs w:val="18"/>
        </w:rPr>
        <w:t>Dickerson,</w:t>
      </w:r>
      <w:r w:rsidR="002C5025">
        <w:rPr>
          <w:rFonts w:ascii="Arial" w:hAnsi="Arial" w:cs="Arial"/>
          <w:i/>
          <w:iCs/>
          <w:spacing w:val="-9"/>
          <w:sz w:val="18"/>
          <w:szCs w:val="18"/>
        </w:rPr>
        <w:t xml:space="preserve"> </w:t>
      </w:r>
      <w:r w:rsidR="002C5025">
        <w:rPr>
          <w:rFonts w:ascii="Arial" w:hAnsi="Arial" w:cs="Arial"/>
          <w:i/>
          <w:iCs/>
          <w:sz w:val="18"/>
          <w:szCs w:val="18"/>
        </w:rPr>
        <w:t>President</w:t>
      </w:r>
      <w:r w:rsidR="002C5025">
        <w:rPr>
          <w:rFonts w:ascii="Arial" w:hAnsi="Arial" w:cs="Arial"/>
          <w:i/>
          <w:iCs/>
          <w:sz w:val="18"/>
          <w:szCs w:val="18"/>
        </w:rPr>
        <w:tab/>
        <w:t>Rebekah</w:t>
      </w:r>
      <w:r w:rsidR="002C5025">
        <w:rPr>
          <w:rFonts w:ascii="Arial" w:hAnsi="Arial" w:cs="Arial"/>
          <w:i/>
          <w:iCs/>
          <w:spacing w:val="-14"/>
          <w:sz w:val="18"/>
          <w:szCs w:val="18"/>
        </w:rPr>
        <w:t xml:space="preserve"> </w:t>
      </w:r>
      <w:r w:rsidR="002C5025">
        <w:rPr>
          <w:rFonts w:ascii="Arial" w:hAnsi="Arial" w:cs="Arial"/>
          <w:i/>
          <w:iCs/>
          <w:sz w:val="18"/>
          <w:szCs w:val="18"/>
        </w:rPr>
        <w:t>Gewirtz,</w:t>
      </w:r>
      <w:r w:rsidR="002C5025">
        <w:rPr>
          <w:rFonts w:ascii="Arial" w:hAnsi="Arial" w:cs="Arial"/>
          <w:i/>
          <w:iCs/>
          <w:spacing w:val="-14"/>
          <w:sz w:val="18"/>
          <w:szCs w:val="18"/>
        </w:rPr>
        <w:t xml:space="preserve"> </w:t>
      </w:r>
      <w:r w:rsidR="002C5025">
        <w:rPr>
          <w:rFonts w:ascii="Arial" w:hAnsi="Arial" w:cs="Arial"/>
          <w:i/>
          <w:iCs/>
          <w:sz w:val="18"/>
          <w:szCs w:val="18"/>
        </w:rPr>
        <w:t>Executive</w:t>
      </w:r>
      <w:r w:rsidR="002C5025">
        <w:rPr>
          <w:rFonts w:ascii="Arial" w:hAnsi="Arial" w:cs="Arial"/>
          <w:i/>
          <w:iCs/>
          <w:spacing w:val="-15"/>
          <w:sz w:val="18"/>
          <w:szCs w:val="18"/>
        </w:rPr>
        <w:t xml:space="preserve"> </w:t>
      </w:r>
      <w:r w:rsidR="002C5025">
        <w:rPr>
          <w:rFonts w:ascii="Arial" w:hAnsi="Arial" w:cs="Arial"/>
          <w:i/>
          <w:iCs/>
          <w:sz w:val="18"/>
          <w:szCs w:val="18"/>
        </w:rPr>
        <w:t>Director</w:t>
      </w:r>
    </w:p>
    <w:p w:rsidR="002C5025" w:rsidRDefault="002C5025">
      <w:pPr>
        <w:pStyle w:val="BodyText"/>
        <w:kinsoku w:val="0"/>
        <w:overflowPunct w:val="0"/>
        <w:rPr>
          <w:rFonts w:ascii="Arial" w:hAnsi="Arial" w:cs="Arial"/>
          <w:i/>
          <w:iCs/>
          <w:sz w:val="20"/>
          <w:szCs w:val="20"/>
        </w:rPr>
      </w:pPr>
    </w:p>
    <w:p w:rsidR="002C5025" w:rsidRDefault="002C5025">
      <w:pPr>
        <w:pStyle w:val="BodyText"/>
        <w:kinsoku w:val="0"/>
        <w:overflowPunct w:val="0"/>
        <w:spacing w:before="1"/>
        <w:rPr>
          <w:rFonts w:ascii="Arial" w:hAnsi="Arial" w:cs="Arial"/>
          <w:i/>
          <w:iCs/>
          <w:sz w:val="21"/>
          <w:szCs w:val="21"/>
        </w:rPr>
      </w:pPr>
    </w:p>
    <w:p w:rsidR="002C5025" w:rsidRDefault="002C5025">
      <w:pPr>
        <w:pStyle w:val="BodyText"/>
        <w:kinsoku w:val="0"/>
        <w:overflowPunct w:val="0"/>
        <w:spacing w:before="69" w:line="274" w:lineRule="exact"/>
        <w:ind w:left="1080" w:right="1443"/>
        <w:rPr>
          <w:rFonts w:ascii="Times New Roman" w:hAnsi="Times New Roman" w:cs="Times New Roman"/>
          <w:b/>
          <w:bCs/>
          <w:i/>
          <w:iCs/>
          <w:sz w:val="24"/>
          <w:szCs w:val="24"/>
        </w:rPr>
      </w:pPr>
      <w:bookmarkStart w:id="215" w:name="Community_expertise_and_ACO_governance"/>
      <w:bookmarkEnd w:id="215"/>
      <w:r>
        <w:rPr>
          <w:rFonts w:ascii="Times New Roman" w:hAnsi="Times New Roman" w:cs="Times New Roman"/>
          <w:b/>
          <w:bCs/>
          <w:i/>
          <w:iCs/>
          <w:sz w:val="24"/>
          <w:szCs w:val="24"/>
        </w:rPr>
        <w:t>Community expertise and ACO governance</w:t>
      </w:r>
    </w:p>
    <w:p w:rsidR="002C5025" w:rsidRDefault="002C5025">
      <w:pPr>
        <w:pStyle w:val="BodyText"/>
        <w:kinsoku w:val="0"/>
        <w:overflowPunct w:val="0"/>
        <w:ind w:left="1080" w:right="1203"/>
        <w:rPr>
          <w:rFonts w:ascii="Times New Roman" w:hAnsi="Times New Roman" w:cs="Times New Roman"/>
          <w:sz w:val="24"/>
          <w:szCs w:val="24"/>
        </w:rPr>
      </w:pPr>
      <w:r>
        <w:rPr>
          <w:rFonts w:ascii="Times New Roman" w:hAnsi="Times New Roman" w:cs="Times New Roman"/>
          <w:sz w:val="24"/>
          <w:szCs w:val="24"/>
        </w:rPr>
        <w:t>We applaud MassHealth for including in the Waiver Request a requirement that all ACOs include patient/consumer representation in their governance structure. Patients and consumers are the heart of the health care system, and must be valued members of ACO design and governance teams. Patient and family-centered care means bringing the perspectives of members and families directly into the planning, delivery, and evaluation of health care, and thereby improving its quality and safety.</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079" w:right="1277"/>
        <w:rPr>
          <w:rFonts w:ascii="Times New Roman" w:hAnsi="Times New Roman" w:cs="Times New Roman"/>
          <w:sz w:val="24"/>
          <w:szCs w:val="24"/>
        </w:rPr>
      </w:pPr>
      <w:r>
        <w:rPr>
          <w:rFonts w:ascii="Times New Roman" w:hAnsi="Times New Roman" w:cs="Times New Roman"/>
          <w:sz w:val="24"/>
          <w:szCs w:val="24"/>
        </w:rPr>
        <w:t>Since ACOs will have responsibility for identifying and addressing the health-related social needs of their members, it is important that ACO governance structures also include expertise in community needs and resources. This role may not always be served effectively by individual consumers. Instead, representatives of community-based organizations and multi-service providers should be considered to fulfill this need.</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spacing w:before="11"/>
        <w:rPr>
          <w:rFonts w:ascii="Times New Roman" w:hAnsi="Times New Roman" w:cs="Times New Roman"/>
        </w:rPr>
      </w:pPr>
    </w:p>
    <w:p w:rsidR="002C5025" w:rsidRDefault="002C5025">
      <w:pPr>
        <w:pStyle w:val="ListParagraph"/>
        <w:numPr>
          <w:ilvl w:val="2"/>
          <w:numId w:val="32"/>
        </w:numPr>
        <w:tabs>
          <w:tab w:val="left" w:pos="1440"/>
        </w:tabs>
        <w:kinsoku w:val="0"/>
        <w:overflowPunct w:val="0"/>
      </w:pPr>
      <w:r>
        <w:rPr>
          <w:u w:val="single"/>
        </w:rPr>
        <w:t>Community Health Workers and Care</w:t>
      </w:r>
      <w:r>
        <w:rPr>
          <w:spacing w:val="-36"/>
          <w:u w:val="single"/>
        </w:rPr>
        <w:t xml:space="preserve"> </w:t>
      </w:r>
      <w:r>
        <w:rPr>
          <w:u w:val="single"/>
        </w:rPr>
        <w:t>Coordination</w:t>
      </w:r>
    </w:p>
    <w:p w:rsidR="002C5025" w:rsidRDefault="002C5025">
      <w:pPr>
        <w:pStyle w:val="BodyText"/>
        <w:kinsoku w:val="0"/>
        <w:overflowPunct w:val="0"/>
        <w:spacing w:before="11"/>
        <w:rPr>
          <w:rFonts w:ascii="Times New Roman" w:hAnsi="Times New Roman" w:cs="Times New Roman"/>
          <w:sz w:val="17"/>
          <w:szCs w:val="17"/>
        </w:rPr>
      </w:pPr>
    </w:p>
    <w:p w:rsidR="002C5025" w:rsidRDefault="002C5025">
      <w:pPr>
        <w:pStyle w:val="BodyText"/>
        <w:kinsoku w:val="0"/>
        <w:overflowPunct w:val="0"/>
        <w:spacing w:before="69"/>
        <w:ind w:left="1079" w:right="1157"/>
        <w:rPr>
          <w:rFonts w:ascii="Times New Roman" w:hAnsi="Times New Roman" w:cs="Times New Roman"/>
          <w:sz w:val="24"/>
          <w:szCs w:val="24"/>
        </w:rPr>
      </w:pPr>
      <w:r>
        <w:rPr>
          <w:rFonts w:ascii="Times New Roman" w:hAnsi="Times New Roman" w:cs="Times New Roman"/>
          <w:sz w:val="24"/>
          <w:szCs w:val="24"/>
        </w:rPr>
        <w:t>Community health workers (CHWs) are frontline staff who are trained to work with low-income, underserved patients with the goal of bridging communication, cultural, and other barriers to accessing care. ACOs have the opportunity to promote public and community health through strengthening the role of CHWs in connecting people to care resources and promoting overall health. Research has shown that placing CHWs as part of health care teams contains costs by reducing high risk patients’ use of urgent and emergency room care and preventing unnecessary hospitalizations. CHWs also improve quality of care and health outcomes by improving use of preventive services, chronic disease self- management support, maternal-child home visiting and perinatal support.</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079" w:right="1051"/>
        <w:rPr>
          <w:rFonts w:ascii="Times New Roman" w:hAnsi="Times New Roman" w:cs="Times New Roman"/>
          <w:sz w:val="24"/>
          <w:szCs w:val="24"/>
        </w:rPr>
      </w:pPr>
      <w:r>
        <w:rPr>
          <w:rFonts w:ascii="Times New Roman" w:hAnsi="Times New Roman" w:cs="Times New Roman"/>
          <w:sz w:val="24"/>
          <w:szCs w:val="24"/>
        </w:rPr>
        <w:t>Aside from the brief acknowledgment that ACOs can utilize CHWs as one of several potential strategies to enhance member communication and follow-up, the Waiver Request barely mentions the CHW workforce. We urge MassHealth, in consultation with DPH, to make clear that CHWs are an accepted and encouraged member of the care team. We also recommend that the role of CHWs be more formally incorporated into the ACO models. For example, MassHealth could require – as a condition of contract</w:t>
      </w:r>
    </w:p>
    <w:p w:rsidR="002C5025" w:rsidRDefault="002C5025">
      <w:pPr>
        <w:pStyle w:val="BodyText"/>
        <w:kinsoku w:val="0"/>
        <w:overflowPunct w:val="0"/>
        <w:ind w:left="1079" w:right="1051"/>
        <w:rPr>
          <w:rFonts w:ascii="Times New Roman" w:hAnsi="Times New Roman" w:cs="Times New Roman"/>
          <w:sz w:val="24"/>
          <w:szCs w:val="24"/>
        </w:rPr>
      </w:pPr>
      <w:r>
        <w:rPr>
          <w:rFonts w:ascii="Times New Roman" w:hAnsi="Times New Roman" w:cs="Times New Roman"/>
          <w:sz w:val="24"/>
          <w:szCs w:val="24"/>
        </w:rPr>
        <w:t>– that ACO systems demonstrate how they will integrate CHWs into interdisciplinary teams for high- risk/high need patients. Indeed, we shared with Mass Health senior staff specific recommendations for models MassHealth could use (please see email from Rebekah Gewirtz on behalf of MPHA, Health Care for All, and the Massachusetts Association of Community Health Workers, dated June 30, 2016 to Ipek Demirsoy and Michael Kelleher).</w:t>
      </w:r>
    </w:p>
    <w:p w:rsidR="002C5025" w:rsidRDefault="002C5025">
      <w:pPr>
        <w:pStyle w:val="BodyText"/>
        <w:kinsoku w:val="0"/>
        <w:overflowPunct w:val="0"/>
        <w:spacing w:before="9"/>
        <w:rPr>
          <w:rFonts w:ascii="Times New Roman" w:hAnsi="Times New Roman" w:cs="Times New Roman"/>
          <w:sz w:val="24"/>
          <w:szCs w:val="24"/>
        </w:rPr>
      </w:pPr>
    </w:p>
    <w:p w:rsidR="002C5025" w:rsidRDefault="002C5025">
      <w:pPr>
        <w:pStyle w:val="BodyText"/>
        <w:kinsoku w:val="0"/>
        <w:overflowPunct w:val="0"/>
        <w:spacing w:line="272" w:lineRule="exact"/>
        <w:ind w:left="1080" w:right="1443"/>
        <w:rPr>
          <w:rFonts w:ascii="Times New Roman" w:hAnsi="Times New Roman" w:cs="Times New Roman"/>
          <w:b/>
          <w:bCs/>
          <w:i/>
          <w:iCs/>
          <w:sz w:val="24"/>
          <w:szCs w:val="24"/>
        </w:rPr>
      </w:pPr>
      <w:bookmarkStart w:id="216" w:name="Care_teams_and_care_coordination"/>
      <w:bookmarkEnd w:id="216"/>
      <w:r>
        <w:rPr>
          <w:rFonts w:ascii="Times New Roman" w:hAnsi="Times New Roman" w:cs="Times New Roman"/>
          <w:b/>
          <w:bCs/>
          <w:i/>
          <w:iCs/>
          <w:sz w:val="24"/>
          <w:szCs w:val="24"/>
        </w:rPr>
        <w:t>Care teams and care coordination</w:t>
      </w:r>
    </w:p>
    <w:p w:rsidR="002C5025" w:rsidRDefault="002C5025">
      <w:pPr>
        <w:pStyle w:val="BodyText"/>
        <w:kinsoku w:val="0"/>
        <w:overflowPunct w:val="0"/>
        <w:ind w:left="1079" w:right="1156"/>
        <w:rPr>
          <w:rFonts w:ascii="Times New Roman" w:hAnsi="Times New Roman" w:cs="Times New Roman"/>
          <w:sz w:val="24"/>
          <w:szCs w:val="24"/>
        </w:rPr>
      </w:pPr>
      <w:r>
        <w:rPr>
          <w:rFonts w:ascii="Times New Roman" w:hAnsi="Times New Roman" w:cs="Times New Roman"/>
          <w:sz w:val="24"/>
          <w:szCs w:val="24"/>
        </w:rPr>
        <w:t>As recognized in the Waiver Request, care coordination should be a core component of all ACOs and is vital to managing an individual’s care, reducing fragmentation and improving outcomes. We applaud MassHealth</w:t>
      </w:r>
      <w:r>
        <w:rPr>
          <w:rFonts w:ascii="Times New Roman" w:hAnsi="Times New Roman" w:cs="Times New Roman"/>
          <w:spacing w:val="-6"/>
          <w:sz w:val="24"/>
          <w:szCs w:val="24"/>
        </w:rPr>
        <w:t xml:space="preserve"> </w:t>
      </w:r>
      <w:r>
        <w:rPr>
          <w:rFonts w:ascii="Times New Roman" w:hAnsi="Times New Roman" w:cs="Times New Roman"/>
          <w:sz w:val="24"/>
          <w:szCs w:val="24"/>
        </w:rPr>
        <w:t>for</w:t>
      </w:r>
      <w:r>
        <w:rPr>
          <w:rFonts w:ascii="Times New Roman" w:hAnsi="Times New Roman" w:cs="Times New Roman"/>
          <w:spacing w:val="-10"/>
          <w:sz w:val="24"/>
          <w:szCs w:val="24"/>
        </w:rPr>
        <w:t xml:space="preserve"> </w:t>
      </w:r>
      <w:r>
        <w:rPr>
          <w:rFonts w:ascii="Times New Roman" w:hAnsi="Times New Roman" w:cs="Times New Roman"/>
          <w:sz w:val="24"/>
          <w:szCs w:val="24"/>
        </w:rPr>
        <w:t>prioritizing</w:t>
      </w:r>
      <w:r>
        <w:rPr>
          <w:rFonts w:ascii="Times New Roman" w:hAnsi="Times New Roman" w:cs="Times New Roman"/>
          <w:spacing w:val="-11"/>
          <w:sz w:val="24"/>
          <w:szCs w:val="24"/>
        </w:rPr>
        <w:t xml:space="preserve"> </w:t>
      </w:r>
      <w:r>
        <w:rPr>
          <w:rFonts w:ascii="Times New Roman" w:hAnsi="Times New Roman" w:cs="Times New Roman"/>
          <w:sz w:val="24"/>
          <w:szCs w:val="24"/>
        </w:rPr>
        <w:t>seamless</w:t>
      </w:r>
      <w:r>
        <w:rPr>
          <w:rFonts w:ascii="Times New Roman" w:hAnsi="Times New Roman" w:cs="Times New Roman"/>
          <w:spacing w:val="-6"/>
          <w:sz w:val="24"/>
          <w:szCs w:val="24"/>
        </w:rPr>
        <w:t xml:space="preserve"> </w:t>
      </w:r>
      <w:r>
        <w:rPr>
          <w:rFonts w:ascii="Times New Roman" w:hAnsi="Times New Roman" w:cs="Times New Roman"/>
          <w:sz w:val="24"/>
          <w:szCs w:val="24"/>
        </w:rPr>
        <w:t>and</w:t>
      </w:r>
      <w:r>
        <w:rPr>
          <w:rFonts w:ascii="Times New Roman" w:hAnsi="Times New Roman" w:cs="Times New Roman"/>
          <w:spacing w:val="-6"/>
          <w:sz w:val="24"/>
          <w:szCs w:val="24"/>
        </w:rPr>
        <w:t xml:space="preserve"> </w:t>
      </w:r>
      <w:r>
        <w:rPr>
          <w:rFonts w:ascii="Times New Roman" w:hAnsi="Times New Roman" w:cs="Times New Roman"/>
          <w:sz w:val="24"/>
          <w:szCs w:val="24"/>
        </w:rPr>
        <w:t>easily</w:t>
      </w:r>
      <w:r>
        <w:rPr>
          <w:rFonts w:ascii="Times New Roman" w:hAnsi="Times New Roman" w:cs="Times New Roman"/>
          <w:spacing w:val="-15"/>
          <w:sz w:val="24"/>
          <w:szCs w:val="24"/>
        </w:rPr>
        <w:t xml:space="preserve"> </w:t>
      </w:r>
      <w:r>
        <w:rPr>
          <w:rFonts w:ascii="Times New Roman" w:hAnsi="Times New Roman" w:cs="Times New Roman"/>
          <w:sz w:val="24"/>
          <w:szCs w:val="24"/>
        </w:rPr>
        <w:t>navigable</w:t>
      </w:r>
      <w:r>
        <w:rPr>
          <w:rFonts w:ascii="Times New Roman" w:hAnsi="Times New Roman" w:cs="Times New Roman"/>
          <w:spacing w:val="-3"/>
          <w:sz w:val="24"/>
          <w:szCs w:val="24"/>
        </w:rPr>
        <w:t xml:space="preserve"> </w:t>
      </w:r>
      <w:r>
        <w:rPr>
          <w:rFonts w:ascii="Times New Roman" w:hAnsi="Times New Roman" w:cs="Times New Roman"/>
          <w:sz w:val="24"/>
          <w:szCs w:val="24"/>
        </w:rPr>
        <w:t>care</w:t>
      </w:r>
      <w:r>
        <w:rPr>
          <w:rFonts w:ascii="Times New Roman" w:hAnsi="Times New Roman" w:cs="Times New Roman"/>
          <w:spacing w:val="-7"/>
          <w:sz w:val="24"/>
          <w:szCs w:val="24"/>
        </w:rPr>
        <w:t xml:space="preserve"> </w:t>
      </w:r>
      <w:r>
        <w:rPr>
          <w:rFonts w:ascii="Times New Roman" w:hAnsi="Times New Roman" w:cs="Times New Roman"/>
          <w:sz w:val="24"/>
          <w:szCs w:val="24"/>
        </w:rPr>
        <w:t>coordination.</w:t>
      </w:r>
      <w:r>
        <w:rPr>
          <w:rFonts w:ascii="Times New Roman" w:hAnsi="Times New Roman" w:cs="Times New Roman"/>
          <w:spacing w:val="-6"/>
          <w:sz w:val="24"/>
          <w:szCs w:val="24"/>
        </w:rPr>
        <w:t xml:space="preserve"> </w:t>
      </w:r>
      <w:r>
        <w:rPr>
          <w:rFonts w:ascii="Times New Roman" w:hAnsi="Times New Roman" w:cs="Times New Roman"/>
          <w:sz w:val="24"/>
          <w:szCs w:val="24"/>
        </w:rPr>
        <w:t>True</w:t>
      </w:r>
      <w:r>
        <w:rPr>
          <w:rFonts w:ascii="Times New Roman" w:hAnsi="Times New Roman" w:cs="Times New Roman"/>
          <w:spacing w:val="-10"/>
          <w:sz w:val="24"/>
          <w:szCs w:val="24"/>
        </w:rPr>
        <w:t xml:space="preserve"> </w:t>
      </w:r>
      <w:r>
        <w:rPr>
          <w:rFonts w:ascii="Times New Roman" w:hAnsi="Times New Roman" w:cs="Times New Roman"/>
          <w:sz w:val="24"/>
          <w:szCs w:val="24"/>
        </w:rPr>
        <w:t>member-centered</w:t>
      </w:r>
      <w:r>
        <w:rPr>
          <w:rFonts w:ascii="Times New Roman" w:hAnsi="Times New Roman" w:cs="Times New Roman"/>
          <w:spacing w:val="-9"/>
          <w:sz w:val="24"/>
          <w:szCs w:val="24"/>
        </w:rPr>
        <w:t xml:space="preserve"> </w:t>
      </w:r>
      <w:r>
        <w:rPr>
          <w:rFonts w:ascii="Times New Roman" w:hAnsi="Times New Roman" w:cs="Times New Roman"/>
          <w:sz w:val="24"/>
          <w:szCs w:val="24"/>
        </w:rPr>
        <w:t>care will require ACOs to implement payment methodologies that pay for coordination, wellness and prevention services that are currently not traditionally reimbursed, such as the Health Homes opportunity for behavioral health CPs. We support the Waiver Request’s emphasis on interdisciplinary care teams and care coordination, including engaging members in their care. ACOs should be required to</w:t>
      </w:r>
      <w:r>
        <w:rPr>
          <w:rFonts w:ascii="Times New Roman" w:hAnsi="Times New Roman" w:cs="Times New Roman"/>
          <w:spacing w:val="-4"/>
          <w:sz w:val="24"/>
          <w:szCs w:val="24"/>
        </w:rPr>
        <w:t xml:space="preserve"> </w:t>
      </w:r>
      <w:r>
        <w:rPr>
          <w:rFonts w:ascii="Times New Roman" w:hAnsi="Times New Roman" w:cs="Times New Roman"/>
          <w:sz w:val="24"/>
          <w:szCs w:val="24"/>
        </w:rPr>
        <w:t>document</w:t>
      </w:r>
      <w:r>
        <w:rPr>
          <w:rFonts w:ascii="Times New Roman" w:hAnsi="Times New Roman" w:cs="Times New Roman"/>
          <w:spacing w:val="-4"/>
          <w:sz w:val="24"/>
          <w:szCs w:val="24"/>
        </w:rPr>
        <w:t xml:space="preserve"> </w:t>
      </w:r>
      <w:r>
        <w:rPr>
          <w:rFonts w:ascii="Times New Roman" w:hAnsi="Times New Roman" w:cs="Times New Roman"/>
          <w:sz w:val="24"/>
          <w:szCs w:val="24"/>
        </w:rPr>
        <w:t>how</w:t>
      </w:r>
      <w:r>
        <w:rPr>
          <w:rFonts w:ascii="Times New Roman" w:hAnsi="Times New Roman" w:cs="Times New Roman"/>
          <w:spacing w:val="-5"/>
          <w:sz w:val="24"/>
          <w:szCs w:val="24"/>
        </w:rPr>
        <w:t xml:space="preserve"> </w:t>
      </w:r>
      <w:r>
        <w:rPr>
          <w:rFonts w:ascii="Times New Roman" w:hAnsi="Times New Roman" w:cs="Times New Roman"/>
          <w:sz w:val="24"/>
          <w:szCs w:val="24"/>
        </w:rPr>
        <w:t>they</w:t>
      </w:r>
      <w:r>
        <w:rPr>
          <w:rFonts w:ascii="Times New Roman" w:hAnsi="Times New Roman" w:cs="Times New Roman"/>
          <w:spacing w:val="-13"/>
          <w:sz w:val="24"/>
          <w:szCs w:val="24"/>
        </w:rPr>
        <w:t xml:space="preserve"> </w:t>
      </w:r>
      <w:r>
        <w:rPr>
          <w:rFonts w:ascii="Times New Roman" w:hAnsi="Times New Roman" w:cs="Times New Roman"/>
          <w:sz w:val="24"/>
          <w:szCs w:val="24"/>
        </w:rPr>
        <w:t>are</w:t>
      </w:r>
      <w:r>
        <w:rPr>
          <w:rFonts w:ascii="Times New Roman" w:hAnsi="Times New Roman" w:cs="Times New Roman"/>
          <w:spacing w:val="-5"/>
          <w:sz w:val="24"/>
          <w:szCs w:val="24"/>
        </w:rPr>
        <w:t xml:space="preserve"> </w:t>
      </w:r>
      <w:r>
        <w:rPr>
          <w:rFonts w:ascii="Times New Roman" w:hAnsi="Times New Roman" w:cs="Times New Roman"/>
          <w:sz w:val="24"/>
          <w:szCs w:val="24"/>
        </w:rPr>
        <w:t>pursuing</w:t>
      </w:r>
      <w:r>
        <w:rPr>
          <w:rFonts w:ascii="Times New Roman" w:hAnsi="Times New Roman" w:cs="Times New Roman"/>
          <w:spacing w:val="-7"/>
          <w:sz w:val="24"/>
          <w:szCs w:val="24"/>
        </w:rPr>
        <w:t xml:space="preserve"> </w:t>
      </w:r>
      <w:r>
        <w:rPr>
          <w:rFonts w:ascii="Times New Roman" w:hAnsi="Times New Roman" w:cs="Times New Roman"/>
          <w:sz w:val="24"/>
          <w:szCs w:val="24"/>
        </w:rPr>
        <w:t>a</w:t>
      </w:r>
      <w:r>
        <w:rPr>
          <w:rFonts w:ascii="Times New Roman" w:hAnsi="Times New Roman" w:cs="Times New Roman"/>
          <w:spacing w:val="-5"/>
          <w:sz w:val="24"/>
          <w:szCs w:val="24"/>
        </w:rPr>
        <w:t xml:space="preserve"> </w:t>
      </w:r>
      <w:r>
        <w:rPr>
          <w:rFonts w:ascii="Times New Roman" w:hAnsi="Times New Roman" w:cs="Times New Roman"/>
          <w:sz w:val="24"/>
          <w:szCs w:val="24"/>
        </w:rPr>
        <w:t>team-based</w:t>
      </w:r>
      <w:r>
        <w:rPr>
          <w:rFonts w:ascii="Times New Roman" w:hAnsi="Times New Roman" w:cs="Times New Roman"/>
          <w:spacing w:val="-4"/>
          <w:sz w:val="24"/>
          <w:szCs w:val="24"/>
        </w:rPr>
        <w:t xml:space="preserve"> </w:t>
      </w:r>
      <w:r>
        <w:rPr>
          <w:rFonts w:ascii="Times New Roman" w:hAnsi="Times New Roman" w:cs="Times New Roman"/>
          <w:sz w:val="24"/>
          <w:szCs w:val="24"/>
        </w:rPr>
        <w:t>approach</w:t>
      </w:r>
      <w:r>
        <w:rPr>
          <w:rFonts w:ascii="Times New Roman" w:hAnsi="Times New Roman" w:cs="Times New Roman"/>
          <w:spacing w:val="-4"/>
          <w:sz w:val="24"/>
          <w:szCs w:val="24"/>
        </w:rPr>
        <w:t xml:space="preserve"> </w:t>
      </w:r>
      <w:r>
        <w:rPr>
          <w:rFonts w:ascii="Times New Roman" w:hAnsi="Times New Roman" w:cs="Times New Roman"/>
          <w:sz w:val="24"/>
          <w:szCs w:val="24"/>
        </w:rPr>
        <w:t>to</w:t>
      </w:r>
      <w:r>
        <w:rPr>
          <w:rFonts w:ascii="Times New Roman" w:hAnsi="Times New Roman" w:cs="Times New Roman"/>
          <w:spacing w:val="-2"/>
          <w:sz w:val="24"/>
          <w:szCs w:val="24"/>
        </w:rPr>
        <w:t xml:space="preserve"> </w:t>
      </w:r>
      <w:r>
        <w:rPr>
          <w:rFonts w:ascii="Times New Roman" w:hAnsi="Times New Roman" w:cs="Times New Roman"/>
          <w:sz w:val="24"/>
          <w:szCs w:val="24"/>
        </w:rPr>
        <w:t>care.</w:t>
      </w:r>
      <w:r>
        <w:rPr>
          <w:rFonts w:ascii="Times New Roman" w:hAnsi="Times New Roman" w:cs="Times New Roman"/>
          <w:spacing w:val="-4"/>
          <w:sz w:val="24"/>
          <w:szCs w:val="24"/>
        </w:rPr>
        <w:t xml:space="preserve"> </w:t>
      </w:r>
      <w:r>
        <w:rPr>
          <w:rFonts w:ascii="Times New Roman" w:hAnsi="Times New Roman" w:cs="Times New Roman"/>
          <w:sz w:val="24"/>
          <w:szCs w:val="24"/>
        </w:rPr>
        <w:t>Complex</w:t>
      </w:r>
      <w:r>
        <w:rPr>
          <w:rFonts w:ascii="Times New Roman" w:hAnsi="Times New Roman" w:cs="Times New Roman"/>
          <w:spacing w:val="-2"/>
          <w:sz w:val="24"/>
          <w:szCs w:val="24"/>
        </w:rPr>
        <w:t xml:space="preserve"> </w:t>
      </w:r>
      <w:r>
        <w:rPr>
          <w:rFonts w:ascii="Times New Roman" w:hAnsi="Times New Roman" w:cs="Times New Roman"/>
          <w:sz w:val="24"/>
          <w:szCs w:val="24"/>
        </w:rPr>
        <w:t>and</w:t>
      </w:r>
      <w:r>
        <w:rPr>
          <w:rFonts w:ascii="Times New Roman" w:hAnsi="Times New Roman" w:cs="Times New Roman"/>
          <w:spacing w:val="-7"/>
          <w:sz w:val="24"/>
          <w:szCs w:val="24"/>
        </w:rPr>
        <w:t xml:space="preserve"> </w:t>
      </w:r>
      <w:r>
        <w:rPr>
          <w:rFonts w:ascii="Times New Roman" w:hAnsi="Times New Roman" w:cs="Times New Roman"/>
          <w:sz w:val="24"/>
          <w:szCs w:val="24"/>
        </w:rPr>
        <w:t>high-risk</w:t>
      </w:r>
      <w:r>
        <w:rPr>
          <w:rFonts w:ascii="Times New Roman" w:hAnsi="Times New Roman" w:cs="Times New Roman"/>
          <w:spacing w:val="-4"/>
          <w:sz w:val="24"/>
          <w:szCs w:val="24"/>
        </w:rPr>
        <w:t xml:space="preserve"> </w:t>
      </w:r>
      <w:r>
        <w:rPr>
          <w:rFonts w:ascii="Times New Roman" w:hAnsi="Times New Roman" w:cs="Times New Roman"/>
          <w:sz w:val="24"/>
          <w:szCs w:val="24"/>
        </w:rPr>
        <w:t>members</w:t>
      </w:r>
    </w:p>
    <w:p w:rsidR="002C5025" w:rsidRDefault="002C5025">
      <w:pPr>
        <w:pStyle w:val="BodyText"/>
        <w:kinsoku w:val="0"/>
        <w:overflowPunct w:val="0"/>
        <w:spacing w:before="53"/>
        <w:ind w:left="4"/>
        <w:jc w:val="center"/>
        <w:rPr>
          <w:rFonts w:ascii="Times New Roman" w:hAnsi="Times New Roman" w:cs="Times New Roman"/>
          <w:sz w:val="24"/>
          <w:szCs w:val="24"/>
        </w:rPr>
      </w:pPr>
      <w:r>
        <w:rPr>
          <w:rFonts w:ascii="Times New Roman" w:hAnsi="Times New Roman" w:cs="Times New Roman"/>
          <w:sz w:val="24"/>
          <w:szCs w:val="24"/>
        </w:rPr>
        <w:t>4</w:t>
      </w:r>
    </w:p>
    <w:p w:rsidR="002C5025" w:rsidRDefault="002C5025">
      <w:pPr>
        <w:pStyle w:val="BodyText"/>
        <w:kinsoku w:val="0"/>
        <w:overflowPunct w:val="0"/>
        <w:spacing w:before="53"/>
        <w:ind w:left="4"/>
        <w:jc w:val="center"/>
        <w:rPr>
          <w:rFonts w:ascii="Times New Roman" w:hAnsi="Times New Roman" w:cs="Times New Roman"/>
          <w:sz w:val="24"/>
          <w:szCs w:val="24"/>
        </w:rPr>
        <w:sectPr w:rsidR="002C5025">
          <w:pgSz w:w="12240" w:h="15840"/>
          <w:pgMar w:top="300" w:right="0" w:bottom="0" w:left="0" w:header="720" w:footer="720" w:gutter="0"/>
          <w:cols w:space="720"/>
          <w:noEndnote/>
        </w:sectPr>
      </w:pPr>
    </w:p>
    <w:p w:rsidR="002C5025" w:rsidRDefault="00FB027C">
      <w:pPr>
        <w:pStyle w:val="BodyText"/>
        <w:kinsoku w:val="0"/>
        <w:overflowPunct w:val="0"/>
        <w:ind w:left="745"/>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extent cx="2676525" cy="952500"/>
            <wp:effectExtent l="0" t="0" r="9525"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494">
                      <a:extLst>
                        <a:ext uri="{28A0092B-C50C-407E-A947-70E740481C1C}">
                          <a14:useLocalDpi xmlns:a14="http://schemas.microsoft.com/office/drawing/2010/main" val="0"/>
                        </a:ext>
                      </a:extLst>
                    </a:blip>
                    <a:srcRect/>
                    <a:stretch>
                      <a:fillRect/>
                    </a:stretch>
                  </pic:blipFill>
                  <pic:spPr bwMode="auto">
                    <a:xfrm>
                      <a:off x="0" y="0"/>
                      <a:ext cx="2676525" cy="952500"/>
                    </a:xfrm>
                    <a:prstGeom prst="rect">
                      <a:avLst/>
                    </a:prstGeom>
                    <a:noFill/>
                    <a:ln>
                      <a:noFill/>
                    </a:ln>
                  </pic:spPr>
                </pic:pic>
              </a:graphicData>
            </a:graphic>
          </wp:inline>
        </w:drawing>
      </w:r>
    </w:p>
    <w:p w:rsidR="002C5025" w:rsidRDefault="002C5025">
      <w:pPr>
        <w:pStyle w:val="BodyText"/>
        <w:kinsoku w:val="0"/>
        <w:overflowPunct w:val="0"/>
        <w:spacing w:before="11"/>
        <w:rPr>
          <w:rFonts w:ascii="Times New Roman" w:hAnsi="Times New Roman" w:cs="Times New Roman"/>
          <w:sz w:val="11"/>
          <w:szCs w:val="11"/>
        </w:rPr>
      </w:pPr>
    </w:p>
    <w:p w:rsidR="002C5025" w:rsidRDefault="00FB027C">
      <w:pPr>
        <w:pStyle w:val="BodyText"/>
        <w:tabs>
          <w:tab w:val="left" w:pos="6796"/>
        </w:tabs>
        <w:kinsoku w:val="0"/>
        <w:overflowPunct w:val="0"/>
        <w:spacing w:before="77"/>
        <w:ind w:left="2498" w:right="1443"/>
        <w:rPr>
          <w:rFonts w:ascii="Arial" w:hAnsi="Arial" w:cs="Arial"/>
          <w:i/>
          <w:iCs/>
          <w:sz w:val="18"/>
          <w:szCs w:val="18"/>
        </w:rPr>
      </w:pPr>
      <w:r>
        <w:rPr>
          <w:noProof/>
        </w:rPr>
        <mc:AlternateContent>
          <mc:Choice Requires="wps">
            <w:drawing>
              <wp:anchor distT="0" distB="0" distL="114300" distR="114300" simplePos="0" relativeHeight="251739648" behindDoc="0" locked="0" layoutInCell="0" allowOverlap="1">
                <wp:simplePos x="0" y="0"/>
                <wp:positionH relativeFrom="page">
                  <wp:posOffset>0</wp:posOffset>
                </wp:positionH>
                <wp:positionV relativeFrom="paragraph">
                  <wp:posOffset>-9525</wp:posOffset>
                </wp:positionV>
                <wp:extent cx="7772400" cy="12065"/>
                <wp:effectExtent l="0" t="0" r="0" b="0"/>
                <wp:wrapNone/>
                <wp:docPr id="298" name="Freeform 7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12065"/>
                        </a:xfrm>
                        <a:custGeom>
                          <a:avLst/>
                          <a:gdLst>
                            <a:gd name="T0" fmla="*/ 0 w 12240"/>
                            <a:gd name="T1" fmla="*/ 0 h 19"/>
                            <a:gd name="T2" fmla="*/ 12240 w 12240"/>
                            <a:gd name="T3" fmla="*/ 0 h 19"/>
                          </a:gdLst>
                          <a:ahLst/>
                          <a:cxnLst>
                            <a:cxn ang="0">
                              <a:pos x="T0" y="T1"/>
                            </a:cxn>
                            <a:cxn ang="0">
                              <a:pos x="T2" y="T3"/>
                            </a:cxn>
                          </a:cxnLst>
                          <a:rect l="0" t="0" r="r" b="b"/>
                          <a:pathLst>
                            <a:path w="12240" h="19">
                              <a:moveTo>
                                <a:pt x="0" y="0"/>
                              </a:moveTo>
                              <a:lnTo>
                                <a:pt x="12240" y="0"/>
                              </a:lnTo>
                            </a:path>
                          </a:pathLst>
                        </a:custGeom>
                        <a:noFill/>
                        <a:ln w="12700">
                          <a:solidFill>
                            <a:srgbClr val="4DA34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27" o:spid="_x0000_s1026" style="position:absolute;z-index:251739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0,-.75pt,612pt,-.75pt" coordsize="1224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" o:allowincell="f" filled="f" strokecolor="#4da346" strokeweight="1pt">
                <v:path arrowok="t" o:connecttype="custom" o:connectlocs="0,0;7772400,0" o:connectangles="0,0"/>
                <w10:wrap anchorx="page"/>
              </v:polyline>
            </w:pict>
          </mc:Fallback>
        </mc:AlternateContent>
      </w:r>
      <w:r w:rsidR="002C5025">
        <w:rPr>
          <w:rFonts w:ascii="Arial" w:hAnsi="Arial" w:cs="Arial"/>
          <w:i/>
          <w:iCs/>
          <w:sz w:val="18"/>
          <w:szCs w:val="18"/>
        </w:rPr>
        <w:t>Deborah</w:t>
      </w:r>
      <w:r w:rsidR="002C5025">
        <w:rPr>
          <w:rFonts w:ascii="Arial" w:hAnsi="Arial" w:cs="Arial"/>
          <w:i/>
          <w:iCs/>
          <w:spacing w:val="-9"/>
          <w:sz w:val="18"/>
          <w:szCs w:val="18"/>
        </w:rPr>
        <w:t xml:space="preserve"> </w:t>
      </w:r>
      <w:r w:rsidR="002C5025">
        <w:rPr>
          <w:rFonts w:ascii="Arial" w:hAnsi="Arial" w:cs="Arial"/>
          <w:i/>
          <w:iCs/>
          <w:sz w:val="18"/>
          <w:szCs w:val="18"/>
        </w:rPr>
        <w:t>Dickerson,</w:t>
      </w:r>
      <w:r w:rsidR="002C5025">
        <w:rPr>
          <w:rFonts w:ascii="Arial" w:hAnsi="Arial" w:cs="Arial"/>
          <w:i/>
          <w:iCs/>
          <w:spacing w:val="-9"/>
          <w:sz w:val="18"/>
          <w:szCs w:val="18"/>
        </w:rPr>
        <w:t xml:space="preserve"> </w:t>
      </w:r>
      <w:r w:rsidR="002C5025">
        <w:rPr>
          <w:rFonts w:ascii="Arial" w:hAnsi="Arial" w:cs="Arial"/>
          <w:i/>
          <w:iCs/>
          <w:sz w:val="18"/>
          <w:szCs w:val="18"/>
        </w:rPr>
        <w:t>President</w:t>
      </w:r>
      <w:r w:rsidR="002C5025">
        <w:rPr>
          <w:rFonts w:ascii="Arial" w:hAnsi="Arial" w:cs="Arial"/>
          <w:i/>
          <w:iCs/>
          <w:sz w:val="18"/>
          <w:szCs w:val="18"/>
        </w:rPr>
        <w:tab/>
        <w:t>Rebekah</w:t>
      </w:r>
      <w:r w:rsidR="002C5025">
        <w:rPr>
          <w:rFonts w:ascii="Arial" w:hAnsi="Arial" w:cs="Arial"/>
          <w:i/>
          <w:iCs/>
          <w:spacing w:val="-14"/>
          <w:sz w:val="18"/>
          <w:szCs w:val="18"/>
        </w:rPr>
        <w:t xml:space="preserve"> </w:t>
      </w:r>
      <w:r w:rsidR="002C5025">
        <w:rPr>
          <w:rFonts w:ascii="Arial" w:hAnsi="Arial" w:cs="Arial"/>
          <w:i/>
          <w:iCs/>
          <w:sz w:val="18"/>
          <w:szCs w:val="18"/>
        </w:rPr>
        <w:t>Gewirtz,</w:t>
      </w:r>
      <w:r w:rsidR="002C5025">
        <w:rPr>
          <w:rFonts w:ascii="Arial" w:hAnsi="Arial" w:cs="Arial"/>
          <w:i/>
          <w:iCs/>
          <w:spacing w:val="-14"/>
          <w:sz w:val="18"/>
          <w:szCs w:val="18"/>
        </w:rPr>
        <w:t xml:space="preserve"> </w:t>
      </w:r>
      <w:r w:rsidR="002C5025">
        <w:rPr>
          <w:rFonts w:ascii="Arial" w:hAnsi="Arial" w:cs="Arial"/>
          <w:i/>
          <w:iCs/>
          <w:sz w:val="18"/>
          <w:szCs w:val="18"/>
        </w:rPr>
        <w:t>Executive</w:t>
      </w:r>
      <w:r w:rsidR="002C5025">
        <w:rPr>
          <w:rFonts w:ascii="Arial" w:hAnsi="Arial" w:cs="Arial"/>
          <w:i/>
          <w:iCs/>
          <w:spacing w:val="-15"/>
          <w:sz w:val="18"/>
          <w:szCs w:val="18"/>
        </w:rPr>
        <w:t xml:space="preserve"> </w:t>
      </w:r>
      <w:r w:rsidR="002C5025">
        <w:rPr>
          <w:rFonts w:ascii="Arial" w:hAnsi="Arial" w:cs="Arial"/>
          <w:i/>
          <w:iCs/>
          <w:sz w:val="18"/>
          <w:szCs w:val="18"/>
        </w:rPr>
        <w:t>Director</w:t>
      </w:r>
    </w:p>
    <w:p w:rsidR="002C5025" w:rsidRDefault="002C5025">
      <w:pPr>
        <w:pStyle w:val="BodyText"/>
        <w:kinsoku w:val="0"/>
        <w:overflowPunct w:val="0"/>
        <w:spacing w:before="7"/>
        <w:rPr>
          <w:rFonts w:ascii="Arial" w:hAnsi="Arial" w:cs="Arial"/>
          <w:i/>
          <w:iCs/>
          <w:sz w:val="16"/>
          <w:szCs w:val="16"/>
        </w:rPr>
      </w:pPr>
    </w:p>
    <w:p w:rsidR="002C5025" w:rsidRDefault="002C5025">
      <w:pPr>
        <w:pStyle w:val="BodyText"/>
        <w:kinsoku w:val="0"/>
        <w:overflowPunct w:val="0"/>
        <w:spacing w:before="70"/>
        <w:ind w:left="1080" w:right="1344"/>
        <w:jc w:val="both"/>
        <w:rPr>
          <w:rFonts w:ascii="Times New Roman" w:hAnsi="Times New Roman" w:cs="Times New Roman"/>
          <w:sz w:val="24"/>
          <w:szCs w:val="24"/>
        </w:rPr>
      </w:pPr>
      <w:r>
        <w:rPr>
          <w:rFonts w:ascii="Times New Roman" w:hAnsi="Times New Roman" w:cs="Times New Roman"/>
          <w:sz w:val="24"/>
          <w:szCs w:val="24"/>
        </w:rPr>
        <w:t>need and will benefit from care management the most, and attention to these populations will result in the best potential for costs savings and improved health outcomes. Among other professionals, CHWs should be engaged as key parts of care coordination teams.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4"/>
          <w:szCs w:val="24"/>
        </w:rPr>
      </w:pPr>
    </w:p>
    <w:p w:rsidR="002C5025" w:rsidRDefault="002C5025">
      <w:pPr>
        <w:pStyle w:val="ListParagraph"/>
        <w:numPr>
          <w:ilvl w:val="2"/>
          <w:numId w:val="32"/>
        </w:numPr>
        <w:tabs>
          <w:tab w:val="left" w:pos="1440"/>
        </w:tabs>
        <w:kinsoku w:val="0"/>
        <w:overflowPunct w:val="0"/>
        <w:jc w:val="both"/>
      </w:pPr>
      <w:r>
        <w:rPr>
          <w:u w:val="single"/>
        </w:rPr>
        <w:t>Data Collection and Risk</w:t>
      </w:r>
      <w:r>
        <w:rPr>
          <w:spacing w:val="-42"/>
          <w:u w:val="single"/>
        </w:rPr>
        <w:t xml:space="preserve"> </w:t>
      </w:r>
      <w:r>
        <w:rPr>
          <w:u w:val="single"/>
        </w:rPr>
        <w:t>Stratification</w:t>
      </w:r>
    </w:p>
    <w:p w:rsidR="002C5025" w:rsidRDefault="002C5025">
      <w:pPr>
        <w:pStyle w:val="BodyText"/>
        <w:kinsoku w:val="0"/>
        <w:overflowPunct w:val="0"/>
        <w:spacing w:before="9"/>
        <w:rPr>
          <w:rFonts w:ascii="Times New Roman" w:hAnsi="Times New Roman" w:cs="Times New Roman"/>
          <w:sz w:val="18"/>
          <w:szCs w:val="18"/>
        </w:rPr>
      </w:pPr>
    </w:p>
    <w:p w:rsidR="002C5025" w:rsidRDefault="002C5025">
      <w:pPr>
        <w:pStyle w:val="BodyText"/>
        <w:kinsoku w:val="0"/>
        <w:overflowPunct w:val="0"/>
        <w:spacing w:before="69" w:line="274" w:lineRule="exact"/>
        <w:ind w:left="1080" w:right="1443"/>
        <w:rPr>
          <w:rFonts w:ascii="Times New Roman" w:hAnsi="Times New Roman" w:cs="Times New Roman"/>
          <w:b/>
          <w:bCs/>
          <w:i/>
          <w:iCs/>
          <w:sz w:val="24"/>
          <w:szCs w:val="24"/>
        </w:rPr>
      </w:pPr>
      <w:bookmarkStart w:id="217" w:name="Comprehensive_data_collection"/>
      <w:bookmarkEnd w:id="217"/>
      <w:r>
        <w:rPr>
          <w:rFonts w:ascii="Times New Roman" w:hAnsi="Times New Roman" w:cs="Times New Roman"/>
          <w:b/>
          <w:bCs/>
          <w:i/>
          <w:iCs/>
          <w:sz w:val="24"/>
          <w:szCs w:val="24"/>
        </w:rPr>
        <w:t>Comprehensive data collection</w:t>
      </w:r>
    </w:p>
    <w:p w:rsidR="002C5025" w:rsidRDefault="002C5025">
      <w:pPr>
        <w:pStyle w:val="BodyText"/>
        <w:kinsoku w:val="0"/>
        <w:overflowPunct w:val="0"/>
        <w:ind w:left="1079" w:right="1270"/>
        <w:rPr>
          <w:rFonts w:ascii="Times New Roman" w:hAnsi="Times New Roman" w:cs="Times New Roman"/>
          <w:sz w:val="24"/>
          <w:szCs w:val="24"/>
        </w:rPr>
      </w:pPr>
      <w:r>
        <w:rPr>
          <w:rFonts w:ascii="Times New Roman" w:hAnsi="Times New Roman" w:cs="Times New Roman"/>
          <w:sz w:val="24"/>
          <w:szCs w:val="24"/>
        </w:rPr>
        <w:t>Collecting data on key sociodemographic factors is a critical first step for effectively managing the health of an ACO’s patient population, identifying and addressing risk factors that lead to poor health outcomes, and appropriately targeting interventions.</w:t>
      </w:r>
    </w:p>
    <w:p w:rsidR="002C5025" w:rsidRDefault="002C5025">
      <w:pPr>
        <w:pStyle w:val="BodyText"/>
        <w:kinsoku w:val="0"/>
        <w:overflowPunct w:val="0"/>
        <w:spacing w:before="9"/>
        <w:rPr>
          <w:rFonts w:ascii="Times New Roman" w:hAnsi="Times New Roman" w:cs="Times New Roman"/>
          <w:sz w:val="23"/>
          <w:szCs w:val="23"/>
        </w:rPr>
      </w:pPr>
    </w:p>
    <w:p w:rsidR="002C5025" w:rsidRDefault="002C5025">
      <w:pPr>
        <w:pStyle w:val="BodyText"/>
        <w:kinsoku w:val="0"/>
        <w:overflowPunct w:val="0"/>
        <w:ind w:left="1080" w:right="1115"/>
        <w:rPr>
          <w:rFonts w:ascii="Times New Roman" w:hAnsi="Times New Roman" w:cs="Times New Roman"/>
          <w:sz w:val="24"/>
          <w:szCs w:val="24"/>
        </w:rPr>
      </w:pPr>
      <w:r>
        <w:rPr>
          <w:rFonts w:ascii="Times New Roman" w:hAnsi="Times New Roman" w:cs="Times New Roman"/>
          <w:sz w:val="24"/>
          <w:szCs w:val="24"/>
        </w:rPr>
        <w:t>We support that under the HPC’s ACO certification criteria, each ACO will be asked to report on how it screens for the needs and preferences of its patient population with regard to race, ethnicity, language, culture, literacy, gender identity, sexual orientation, income, housing status, food insecurity history, and other characteristics, and how it uses this information to inform its operations and care delivery to patients. We urge MassHealth to ensure that each ACO meets this requirement so that ACOs understand key barriers to health and how those barriers are distributed across its member population.</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079" w:right="1223"/>
        <w:rPr>
          <w:rFonts w:ascii="Times New Roman" w:hAnsi="Times New Roman" w:cs="Times New Roman"/>
          <w:sz w:val="24"/>
          <w:szCs w:val="24"/>
        </w:rPr>
      </w:pPr>
      <w:r>
        <w:rPr>
          <w:rFonts w:ascii="Times New Roman" w:hAnsi="Times New Roman" w:cs="Times New Roman"/>
          <w:sz w:val="24"/>
          <w:szCs w:val="24"/>
        </w:rPr>
        <w:t>Having a comprehensive set of sociodemographic data for the ACO’s patient population is also necessary to effectively conduct risk stratification, implement targeted population health programs, engage in ongoing collaborations and referrals with community-based organizations and providers, and partner with and invest in community health programs.</w:t>
      </w:r>
    </w:p>
    <w:p w:rsidR="002C5025" w:rsidRDefault="002C5025">
      <w:pPr>
        <w:pStyle w:val="BodyText"/>
        <w:kinsoku w:val="0"/>
        <w:overflowPunct w:val="0"/>
        <w:spacing w:before="9"/>
        <w:rPr>
          <w:rFonts w:ascii="Times New Roman" w:hAnsi="Times New Roman" w:cs="Times New Roman"/>
          <w:sz w:val="24"/>
          <w:szCs w:val="24"/>
        </w:rPr>
      </w:pPr>
    </w:p>
    <w:p w:rsidR="002C5025" w:rsidRDefault="002C5025">
      <w:pPr>
        <w:pStyle w:val="BodyText"/>
        <w:kinsoku w:val="0"/>
        <w:overflowPunct w:val="0"/>
        <w:spacing w:line="272" w:lineRule="exact"/>
        <w:ind w:left="1080" w:right="1443"/>
        <w:rPr>
          <w:rFonts w:ascii="Times New Roman" w:hAnsi="Times New Roman" w:cs="Times New Roman"/>
          <w:b/>
          <w:bCs/>
          <w:i/>
          <w:iCs/>
          <w:sz w:val="24"/>
          <w:szCs w:val="24"/>
        </w:rPr>
      </w:pPr>
      <w:bookmarkStart w:id="218" w:name="Risk_stratification"/>
      <w:bookmarkEnd w:id="218"/>
      <w:r>
        <w:rPr>
          <w:rFonts w:ascii="Times New Roman" w:hAnsi="Times New Roman" w:cs="Times New Roman"/>
          <w:b/>
          <w:bCs/>
          <w:i/>
          <w:iCs/>
          <w:sz w:val="24"/>
          <w:szCs w:val="24"/>
        </w:rPr>
        <w:t>Risk stratification</w:t>
      </w:r>
    </w:p>
    <w:p w:rsidR="002C5025" w:rsidRDefault="002C5025">
      <w:pPr>
        <w:pStyle w:val="BodyText"/>
        <w:kinsoku w:val="0"/>
        <w:overflowPunct w:val="0"/>
        <w:ind w:left="1079" w:right="1217"/>
        <w:rPr>
          <w:rFonts w:ascii="Times New Roman" w:hAnsi="Times New Roman" w:cs="Times New Roman"/>
          <w:sz w:val="24"/>
          <w:szCs w:val="24"/>
        </w:rPr>
      </w:pPr>
      <w:r>
        <w:rPr>
          <w:rFonts w:ascii="Times New Roman" w:hAnsi="Times New Roman" w:cs="Times New Roman"/>
          <w:sz w:val="24"/>
          <w:szCs w:val="24"/>
        </w:rPr>
        <w:t>To achieve more equitable health care outcomes, it is crucial that ACOs incorporate disparity reduction goals into overall quality improvement goals and adopt tools that support disparities measurement and interventions. Outcomes and other quality indicators should be stratified by social determinants of health indicators in order to appropriately target population health interventions, uncover and address health disparities, and improve how ACOs deliver care.</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080" w:right="1076"/>
        <w:rPr>
          <w:rFonts w:ascii="Times New Roman" w:hAnsi="Times New Roman" w:cs="Times New Roman"/>
          <w:sz w:val="24"/>
          <w:szCs w:val="24"/>
        </w:rPr>
      </w:pPr>
      <w:r>
        <w:rPr>
          <w:rFonts w:ascii="Times New Roman" w:hAnsi="Times New Roman" w:cs="Times New Roman"/>
          <w:sz w:val="24"/>
          <w:szCs w:val="24"/>
        </w:rPr>
        <w:t>We recommend that ACOs also include social determinants of health in approaches for risk stratification of its member population, which could include factors such as homelessness or unstable housing, age, primary language, race and ethnicity, geography, gender identity and sexual orientation. We also think it’s important to stratify data based on functional status, activities of daily living, instrumental activities of daily living, and health literacy. Once collected, this information should be made available publically. Reporting this data will allow MassHealth and the public to assess how well ACOs are serving the entire spectrum of ACO members. As more risk stratification tools are developed and tested over time, ultimately ACOs should use a standardized methodology for risk stratification in order to be able to make meaningful comparisons across ACOs.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080" w:right="1463"/>
        <w:rPr>
          <w:rFonts w:ascii="Times New Roman" w:hAnsi="Times New Roman" w:cs="Times New Roman"/>
          <w:sz w:val="24"/>
          <w:szCs w:val="24"/>
        </w:rPr>
      </w:pPr>
      <w:r>
        <w:rPr>
          <w:rFonts w:ascii="Times New Roman" w:hAnsi="Times New Roman" w:cs="Times New Roman"/>
          <w:sz w:val="24"/>
          <w:szCs w:val="24"/>
        </w:rPr>
        <w:t>This data should be used to target programs at improving health outcomes for its patient population addressing social determinants of health, as called for in the HPC’s ACO certification criteria, which MassHealth ACOs will also be required to meet. ACOs should describe how programs address the specific identified needs of social determinants of health for their population.</w:t>
      </w:r>
    </w:p>
    <w:p w:rsidR="002C5025" w:rsidRDefault="002C5025">
      <w:pPr>
        <w:pStyle w:val="BodyText"/>
        <w:kinsoku w:val="0"/>
        <w:overflowPunct w:val="0"/>
        <w:spacing w:before="6"/>
        <w:rPr>
          <w:rFonts w:ascii="Times New Roman" w:hAnsi="Times New Roman" w:cs="Times New Roman"/>
          <w:sz w:val="21"/>
          <w:szCs w:val="21"/>
        </w:rPr>
      </w:pPr>
    </w:p>
    <w:p w:rsidR="002C5025" w:rsidRDefault="002C5025">
      <w:pPr>
        <w:pStyle w:val="BodyText"/>
        <w:kinsoku w:val="0"/>
        <w:overflowPunct w:val="0"/>
        <w:spacing w:before="69"/>
        <w:ind w:left="4"/>
        <w:jc w:val="center"/>
        <w:rPr>
          <w:rFonts w:ascii="Times New Roman" w:hAnsi="Times New Roman" w:cs="Times New Roman"/>
          <w:sz w:val="24"/>
          <w:szCs w:val="24"/>
        </w:rPr>
      </w:pPr>
      <w:r>
        <w:rPr>
          <w:rFonts w:ascii="Times New Roman" w:hAnsi="Times New Roman" w:cs="Times New Roman"/>
          <w:sz w:val="24"/>
          <w:szCs w:val="24"/>
        </w:rPr>
        <w:t>5</w:t>
      </w:r>
    </w:p>
    <w:p w:rsidR="002C5025" w:rsidRDefault="002C5025">
      <w:pPr>
        <w:pStyle w:val="BodyText"/>
        <w:kinsoku w:val="0"/>
        <w:overflowPunct w:val="0"/>
        <w:spacing w:before="69"/>
        <w:ind w:left="4"/>
        <w:jc w:val="center"/>
        <w:rPr>
          <w:rFonts w:ascii="Times New Roman" w:hAnsi="Times New Roman" w:cs="Times New Roman"/>
          <w:sz w:val="24"/>
          <w:szCs w:val="24"/>
        </w:rPr>
        <w:sectPr w:rsidR="002C5025">
          <w:pgSz w:w="12240" w:h="15840"/>
          <w:pgMar w:top="300" w:right="0" w:bottom="0" w:left="0" w:header="720" w:footer="720" w:gutter="0"/>
          <w:cols w:space="720"/>
          <w:noEndnote/>
        </w:sectPr>
      </w:pPr>
    </w:p>
    <w:p w:rsidR="002C5025" w:rsidRDefault="00FB027C">
      <w:pPr>
        <w:pStyle w:val="BodyText"/>
        <w:kinsoku w:val="0"/>
        <w:overflowPunct w:val="0"/>
        <w:ind w:left="745"/>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extent cx="2676525" cy="952500"/>
            <wp:effectExtent l="0" t="0" r="9525"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494">
                      <a:extLst>
                        <a:ext uri="{28A0092B-C50C-407E-A947-70E740481C1C}">
                          <a14:useLocalDpi xmlns:a14="http://schemas.microsoft.com/office/drawing/2010/main" val="0"/>
                        </a:ext>
                      </a:extLst>
                    </a:blip>
                    <a:srcRect/>
                    <a:stretch>
                      <a:fillRect/>
                    </a:stretch>
                  </pic:blipFill>
                  <pic:spPr bwMode="auto">
                    <a:xfrm>
                      <a:off x="0" y="0"/>
                      <a:ext cx="2676525" cy="952500"/>
                    </a:xfrm>
                    <a:prstGeom prst="rect">
                      <a:avLst/>
                    </a:prstGeom>
                    <a:noFill/>
                    <a:ln>
                      <a:noFill/>
                    </a:ln>
                  </pic:spPr>
                </pic:pic>
              </a:graphicData>
            </a:graphic>
          </wp:inline>
        </w:drawing>
      </w:r>
    </w:p>
    <w:p w:rsidR="002C5025" w:rsidRDefault="002C5025">
      <w:pPr>
        <w:pStyle w:val="BodyText"/>
        <w:kinsoku w:val="0"/>
        <w:overflowPunct w:val="0"/>
        <w:spacing w:before="11"/>
        <w:rPr>
          <w:rFonts w:ascii="Times New Roman" w:hAnsi="Times New Roman" w:cs="Times New Roman"/>
          <w:sz w:val="11"/>
          <w:szCs w:val="11"/>
        </w:rPr>
      </w:pPr>
    </w:p>
    <w:p w:rsidR="002C5025" w:rsidRDefault="00FB027C">
      <w:pPr>
        <w:pStyle w:val="BodyText"/>
        <w:tabs>
          <w:tab w:val="left" w:pos="6796"/>
        </w:tabs>
        <w:kinsoku w:val="0"/>
        <w:overflowPunct w:val="0"/>
        <w:spacing w:before="77"/>
        <w:ind w:left="2498" w:right="1443"/>
        <w:rPr>
          <w:rFonts w:ascii="Arial" w:hAnsi="Arial" w:cs="Arial"/>
          <w:i/>
          <w:iCs/>
          <w:sz w:val="18"/>
          <w:szCs w:val="18"/>
        </w:rPr>
      </w:pPr>
      <w:r>
        <w:rPr>
          <w:noProof/>
        </w:rPr>
        <mc:AlternateContent>
          <mc:Choice Requires="wps">
            <w:drawing>
              <wp:anchor distT="0" distB="0" distL="114300" distR="114300" simplePos="0" relativeHeight="251740672" behindDoc="0" locked="0" layoutInCell="0" allowOverlap="1">
                <wp:simplePos x="0" y="0"/>
                <wp:positionH relativeFrom="page">
                  <wp:posOffset>0</wp:posOffset>
                </wp:positionH>
                <wp:positionV relativeFrom="paragraph">
                  <wp:posOffset>-9525</wp:posOffset>
                </wp:positionV>
                <wp:extent cx="7772400" cy="12065"/>
                <wp:effectExtent l="0" t="0" r="0" b="0"/>
                <wp:wrapNone/>
                <wp:docPr id="297" name="Freeform 7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12065"/>
                        </a:xfrm>
                        <a:custGeom>
                          <a:avLst/>
                          <a:gdLst>
                            <a:gd name="T0" fmla="*/ 0 w 12240"/>
                            <a:gd name="T1" fmla="*/ 0 h 19"/>
                            <a:gd name="T2" fmla="*/ 12240 w 12240"/>
                            <a:gd name="T3" fmla="*/ 0 h 19"/>
                          </a:gdLst>
                          <a:ahLst/>
                          <a:cxnLst>
                            <a:cxn ang="0">
                              <a:pos x="T0" y="T1"/>
                            </a:cxn>
                            <a:cxn ang="0">
                              <a:pos x="T2" y="T3"/>
                            </a:cxn>
                          </a:cxnLst>
                          <a:rect l="0" t="0" r="r" b="b"/>
                          <a:pathLst>
                            <a:path w="12240" h="19">
                              <a:moveTo>
                                <a:pt x="0" y="0"/>
                              </a:moveTo>
                              <a:lnTo>
                                <a:pt x="12240" y="0"/>
                              </a:lnTo>
                            </a:path>
                          </a:pathLst>
                        </a:custGeom>
                        <a:noFill/>
                        <a:ln w="12700">
                          <a:solidFill>
                            <a:srgbClr val="4DA34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28" o:spid="_x0000_s1026" style="position:absolute;z-index:251740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0,-.75pt,612pt,-.75pt" coordsize="1224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" o:allowincell="f" filled="f" strokecolor="#4da346" strokeweight="1pt">
                <v:path arrowok="t" o:connecttype="custom" o:connectlocs="0,0;7772400,0" o:connectangles="0,0"/>
                <w10:wrap anchorx="page"/>
              </v:polyline>
            </w:pict>
          </mc:Fallback>
        </mc:AlternateContent>
      </w:r>
      <w:r w:rsidR="002C5025">
        <w:rPr>
          <w:rFonts w:ascii="Arial" w:hAnsi="Arial" w:cs="Arial"/>
          <w:i/>
          <w:iCs/>
          <w:sz w:val="18"/>
          <w:szCs w:val="18"/>
        </w:rPr>
        <w:t>Deborah</w:t>
      </w:r>
      <w:r w:rsidR="002C5025">
        <w:rPr>
          <w:rFonts w:ascii="Arial" w:hAnsi="Arial" w:cs="Arial"/>
          <w:i/>
          <w:iCs/>
          <w:spacing w:val="-9"/>
          <w:sz w:val="18"/>
          <w:szCs w:val="18"/>
        </w:rPr>
        <w:t xml:space="preserve"> </w:t>
      </w:r>
      <w:r w:rsidR="002C5025">
        <w:rPr>
          <w:rFonts w:ascii="Arial" w:hAnsi="Arial" w:cs="Arial"/>
          <w:i/>
          <w:iCs/>
          <w:sz w:val="18"/>
          <w:szCs w:val="18"/>
        </w:rPr>
        <w:t>Dickerson,</w:t>
      </w:r>
      <w:r w:rsidR="002C5025">
        <w:rPr>
          <w:rFonts w:ascii="Arial" w:hAnsi="Arial" w:cs="Arial"/>
          <w:i/>
          <w:iCs/>
          <w:spacing w:val="-9"/>
          <w:sz w:val="18"/>
          <w:szCs w:val="18"/>
        </w:rPr>
        <w:t xml:space="preserve"> </w:t>
      </w:r>
      <w:r w:rsidR="002C5025">
        <w:rPr>
          <w:rFonts w:ascii="Arial" w:hAnsi="Arial" w:cs="Arial"/>
          <w:i/>
          <w:iCs/>
          <w:sz w:val="18"/>
          <w:szCs w:val="18"/>
        </w:rPr>
        <w:t>President</w:t>
      </w:r>
      <w:r w:rsidR="002C5025">
        <w:rPr>
          <w:rFonts w:ascii="Arial" w:hAnsi="Arial" w:cs="Arial"/>
          <w:i/>
          <w:iCs/>
          <w:sz w:val="18"/>
          <w:szCs w:val="18"/>
        </w:rPr>
        <w:tab/>
        <w:t>Rebekah</w:t>
      </w:r>
      <w:r w:rsidR="002C5025">
        <w:rPr>
          <w:rFonts w:ascii="Arial" w:hAnsi="Arial" w:cs="Arial"/>
          <w:i/>
          <w:iCs/>
          <w:spacing w:val="-14"/>
          <w:sz w:val="18"/>
          <w:szCs w:val="18"/>
        </w:rPr>
        <w:t xml:space="preserve"> </w:t>
      </w:r>
      <w:r w:rsidR="002C5025">
        <w:rPr>
          <w:rFonts w:ascii="Arial" w:hAnsi="Arial" w:cs="Arial"/>
          <w:i/>
          <w:iCs/>
          <w:sz w:val="18"/>
          <w:szCs w:val="18"/>
        </w:rPr>
        <w:t>Gewirtz,</w:t>
      </w:r>
      <w:r w:rsidR="002C5025">
        <w:rPr>
          <w:rFonts w:ascii="Arial" w:hAnsi="Arial" w:cs="Arial"/>
          <w:i/>
          <w:iCs/>
          <w:spacing w:val="-14"/>
          <w:sz w:val="18"/>
          <w:szCs w:val="18"/>
        </w:rPr>
        <w:t xml:space="preserve"> </w:t>
      </w:r>
      <w:r w:rsidR="002C5025">
        <w:rPr>
          <w:rFonts w:ascii="Arial" w:hAnsi="Arial" w:cs="Arial"/>
          <w:i/>
          <w:iCs/>
          <w:sz w:val="18"/>
          <w:szCs w:val="18"/>
        </w:rPr>
        <w:t>Executive</w:t>
      </w:r>
      <w:r w:rsidR="002C5025">
        <w:rPr>
          <w:rFonts w:ascii="Arial" w:hAnsi="Arial" w:cs="Arial"/>
          <w:i/>
          <w:iCs/>
          <w:spacing w:val="-15"/>
          <w:sz w:val="18"/>
          <w:szCs w:val="18"/>
        </w:rPr>
        <w:t xml:space="preserve"> </w:t>
      </w:r>
      <w:r w:rsidR="002C5025">
        <w:rPr>
          <w:rFonts w:ascii="Arial" w:hAnsi="Arial" w:cs="Arial"/>
          <w:i/>
          <w:iCs/>
          <w:sz w:val="18"/>
          <w:szCs w:val="18"/>
        </w:rPr>
        <w:t>Director</w:t>
      </w:r>
    </w:p>
    <w:p w:rsidR="002C5025" w:rsidRDefault="002C5025">
      <w:pPr>
        <w:pStyle w:val="BodyText"/>
        <w:kinsoku w:val="0"/>
        <w:overflowPunct w:val="0"/>
        <w:rPr>
          <w:rFonts w:ascii="Arial" w:hAnsi="Arial" w:cs="Arial"/>
          <w:i/>
          <w:iCs/>
          <w:sz w:val="20"/>
          <w:szCs w:val="20"/>
        </w:rPr>
      </w:pPr>
    </w:p>
    <w:p w:rsidR="002C5025" w:rsidRDefault="002C5025">
      <w:pPr>
        <w:pStyle w:val="BodyText"/>
        <w:kinsoku w:val="0"/>
        <w:overflowPunct w:val="0"/>
        <w:spacing w:before="7"/>
        <w:rPr>
          <w:rFonts w:ascii="Arial" w:hAnsi="Arial" w:cs="Arial"/>
          <w:i/>
          <w:iCs/>
          <w:sz w:val="20"/>
          <w:szCs w:val="20"/>
        </w:rPr>
      </w:pPr>
    </w:p>
    <w:p w:rsidR="002C5025" w:rsidRDefault="002C5025">
      <w:pPr>
        <w:pStyle w:val="BodyText"/>
        <w:numPr>
          <w:ilvl w:val="2"/>
          <w:numId w:val="32"/>
        </w:numPr>
        <w:tabs>
          <w:tab w:val="left" w:pos="1440"/>
        </w:tabs>
        <w:kinsoku w:val="0"/>
        <w:overflowPunct w:val="0"/>
        <w:spacing w:before="70"/>
        <w:rPr>
          <w:rFonts w:ascii="Times New Roman" w:hAnsi="Times New Roman" w:cs="Times New Roman"/>
          <w:sz w:val="24"/>
          <w:szCs w:val="24"/>
        </w:rPr>
      </w:pPr>
      <w:r>
        <w:rPr>
          <w:rFonts w:ascii="Times New Roman" w:hAnsi="Times New Roman" w:cs="Times New Roman"/>
          <w:sz w:val="24"/>
          <w:szCs w:val="24"/>
          <w:u w:val="single"/>
        </w:rPr>
        <w:t>Risk Adjustment and Social Determinants of</w:t>
      </w:r>
      <w:r>
        <w:rPr>
          <w:rFonts w:ascii="Times New Roman" w:hAnsi="Times New Roman" w:cs="Times New Roman"/>
          <w:spacing w:val="-36"/>
          <w:sz w:val="24"/>
          <w:szCs w:val="24"/>
          <w:u w:val="single"/>
        </w:rPr>
        <w:t xml:space="preserve"> </w:t>
      </w:r>
      <w:r>
        <w:rPr>
          <w:rFonts w:ascii="Times New Roman" w:hAnsi="Times New Roman" w:cs="Times New Roman"/>
          <w:sz w:val="24"/>
          <w:szCs w:val="24"/>
          <w:u w:val="single"/>
        </w:rPr>
        <w:t>Health</w:t>
      </w:r>
    </w:p>
    <w:p w:rsidR="002C5025" w:rsidRDefault="002C5025">
      <w:pPr>
        <w:pStyle w:val="BodyText"/>
        <w:kinsoku w:val="0"/>
        <w:overflowPunct w:val="0"/>
        <w:spacing w:before="9"/>
        <w:rPr>
          <w:rFonts w:ascii="Times New Roman" w:hAnsi="Times New Roman" w:cs="Times New Roman"/>
          <w:sz w:val="17"/>
          <w:szCs w:val="17"/>
        </w:rPr>
      </w:pPr>
    </w:p>
    <w:p w:rsidR="002C5025" w:rsidRDefault="002C5025">
      <w:pPr>
        <w:pStyle w:val="BodyText"/>
        <w:kinsoku w:val="0"/>
        <w:overflowPunct w:val="0"/>
        <w:spacing w:before="69"/>
        <w:ind w:left="1079" w:right="1537"/>
        <w:rPr>
          <w:rFonts w:ascii="Times New Roman" w:hAnsi="Times New Roman" w:cs="Times New Roman"/>
          <w:sz w:val="24"/>
          <w:szCs w:val="24"/>
        </w:rPr>
      </w:pPr>
      <w:r>
        <w:rPr>
          <w:rFonts w:ascii="Times New Roman" w:hAnsi="Times New Roman" w:cs="Times New Roman"/>
          <w:sz w:val="24"/>
          <w:szCs w:val="24"/>
        </w:rPr>
        <w:t>It is crucial that ACOs employ effective risk adjustment methodologies to ensure that sufficient resources are available to serve the highest need members, as well as to eliminate incentives to limit needed care for these members.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079" w:right="1116"/>
        <w:rPr>
          <w:rFonts w:ascii="Times New Roman" w:hAnsi="Times New Roman" w:cs="Times New Roman"/>
          <w:sz w:val="24"/>
          <w:szCs w:val="24"/>
        </w:rPr>
      </w:pPr>
      <w:r>
        <w:rPr>
          <w:rFonts w:ascii="Times New Roman" w:hAnsi="Times New Roman" w:cs="Times New Roman"/>
          <w:sz w:val="24"/>
          <w:szCs w:val="24"/>
        </w:rPr>
        <w:t xml:space="preserve">Costs of care vary substantially among individuals with similar medical conditions but varying social and economic profiles. </w:t>
      </w:r>
      <w:r>
        <w:rPr>
          <w:rFonts w:ascii="Times New Roman" w:hAnsi="Times New Roman" w:cs="Times New Roman"/>
          <w:spacing w:val="-4"/>
          <w:sz w:val="24"/>
          <w:szCs w:val="24"/>
        </w:rPr>
        <w:t xml:space="preserve">If </w:t>
      </w:r>
      <w:r>
        <w:rPr>
          <w:rFonts w:ascii="Times New Roman" w:hAnsi="Times New Roman" w:cs="Times New Roman"/>
          <w:sz w:val="24"/>
          <w:szCs w:val="24"/>
        </w:rPr>
        <w:t>these factors are not taken into account, ACOs will face increased risk from caring for more vulnerable or disadvantaged members. Payment adjustments must guard against ACO providers</w:t>
      </w:r>
      <w:r>
        <w:rPr>
          <w:rFonts w:ascii="Times New Roman" w:hAnsi="Times New Roman" w:cs="Times New Roman"/>
          <w:spacing w:val="-4"/>
          <w:sz w:val="24"/>
          <w:szCs w:val="24"/>
        </w:rPr>
        <w:t xml:space="preserve"> </w:t>
      </w:r>
      <w:r>
        <w:rPr>
          <w:rFonts w:ascii="Times New Roman" w:hAnsi="Times New Roman" w:cs="Times New Roman"/>
          <w:sz w:val="24"/>
          <w:szCs w:val="24"/>
        </w:rPr>
        <w:t>refusing</w:t>
      </w:r>
      <w:r>
        <w:rPr>
          <w:rFonts w:ascii="Times New Roman" w:hAnsi="Times New Roman" w:cs="Times New Roman"/>
          <w:spacing w:val="-9"/>
          <w:sz w:val="24"/>
          <w:szCs w:val="24"/>
        </w:rPr>
        <w:t xml:space="preserve"> </w:t>
      </w:r>
      <w:r>
        <w:rPr>
          <w:rFonts w:ascii="Times New Roman" w:hAnsi="Times New Roman" w:cs="Times New Roman"/>
          <w:sz w:val="24"/>
          <w:szCs w:val="24"/>
        </w:rPr>
        <w:t>to</w:t>
      </w:r>
      <w:r>
        <w:rPr>
          <w:rFonts w:ascii="Times New Roman" w:hAnsi="Times New Roman" w:cs="Times New Roman"/>
          <w:spacing w:val="-2"/>
          <w:sz w:val="24"/>
          <w:szCs w:val="24"/>
        </w:rPr>
        <w:t xml:space="preserve"> </w:t>
      </w:r>
      <w:r>
        <w:rPr>
          <w:rFonts w:ascii="Times New Roman" w:hAnsi="Times New Roman" w:cs="Times New Roman"/>
          <w:sz w:val="24"/>
          <w:szCs w:val="24"/>
        </w:rPr>
        <w:t>care</w:t>
      </w:r>
      <w:r>
        <w:rPr>
          <w:rFonts w:ascii="Times New Roman" w:hAnsi="Times New Roman" w:cs="Times New Roman"/>
          <w:spacing w:val="-5"/>
          <w:sz w:val="24"/>
          <w:szCs w:val="24"/>
        </w:rPr>
        <w:t xml:space="preserve"> </w:t>
      </w:r>
      <w:r>
        <w:rPr>
          <w:rFonts w:ascii="Times New Roman" w:hAnsi="Times New Roman" w:cs="Times New Roman"/>
          <w:sz w:val="24"/>
          <w:szCs w:val="24"/>
        </w:rPr>
        <w:t>for</w:t>
      </w:r>
      <w:r>
        <w:rPr>
          <w:rFonts w:ascii="Times New Roman" w:hAnsi="Times New Roman" w:cs="Times New Roman"/>
          <w:spacing w:val="-8"/>
          <w:sz w:val="24"/>
          <w:szCs w:val="24"/>
        </w:rPr>
        <w:t xml:space="preserve"> </w:t>
      </w:r>
      <w:r>
        <w:rPr>
          <w:rFonts w:ascii="Times New Roman" w:hAnsi="Times New Roman" w:cs="Times New Roman"/>
          <w:sz w:val="24"/>
          <w:szCs w:val="24"/>
        </w:rPr>
        <w:t>high-risk</w:t>
      </w:r>
      <w:r>
        <w:rPr>
          <w:rFonts w:ascii="Times New Roman" w:hAnsi="Times New Roman" w:cs="Times New Roman"/>
          <w:spacing w:val="-4"/>
          <w:sz w:val="24"/>
          <w:szCs w:val="24"/>
        </w:rPr>
        <w:t xml:space="preserve"> </w:t>
      </w:r>
      <w:r>
        <w:rPr>
          <w:rFonts w:ascii="Times New Roman" w:hAnsi="Times New Roman" w:cs="Times New Roman"/>
          <w:sz w:val="24"/>
          <w:szCs w:val="24"/>
        </w:rPr>
        <w:t>members</w:t>
      </w:r>
      <w:r>
        <w:rPr>
          <w:rFonts w:ascii="Times New Roman" w:hAnsi="Times New Roman" w:cs="Times New Roman"/>
          <w:spacing w:val="-2"/>
          <w:sz w:val="24"/>
          <w:szCs w:val="24"/>
        </w:rPr>
        <w:t xml:space="preserve"> </w:t>
      </w:r>
      <w:r>
        <w:rPr>
          <w:rFonts w:ascii="Times New Roman" w:hAnsi="Times New Roman" w:cs="Times New Roman"/>
          <w:sz w:val="24"/>
          <w:szCs w:val="24"/>
        </w:rPr>
        <w:t>or</w:t>
      </w:r>
      <w:r>
        <w:rPr>
          <w:rFonts w:ascii="Times New Roman" w:hAnsi="Times New Roman" w:cs="Times New Roman"/>
          <w:spacing w:val="-8"/>
          <w:sz w:val="24"/>
          <w:szCs w:val="24"/>
        </w:rPr>
        <w:t xml:space="preserve"> </w:t>
      </w:r>
      <w:r>
        <w:rPr>
          <w:rFonts w:ascii="Times New Roman" w:hAnsi="Times New Roman" w:cs="Times New Roman"/>
          <w:sz w:val="24"/>
          <w:szCs w:val="24"/>
        </w:rPr>
        <w:t>limiting</w:t>
      </w:r>
      <w:r>
        <w:rPr>
          <w:rFonts w:ascii="Times New Roman" w:hAnsi="Times New Roman" w:cs="Times New Roman"/>
          <w:spacing w:val="-9"/>
          <w:sz w:val="24"/>
          <w:szCs w:val="24"/>
        </w:rPr>
        <w:t xml:space="preserve"> </w:t>
      </w:r>
      <w:r>
        <w:rPr>
          <w:rFonts w:ascii="Times New Roman" w:hAnsi="Times New Roman" w:cs="Times New Roman"/>
          <w:sz w:val="24"/>
          <w:szCs w:val="24"/>
        </w:rPr>
        <w:t>care.</w:t>
      </w:r>
      <w:r>
        <w:rPr>
          <w:rFonts w:ascii="Times New Roman" w:hAnsi="Times New Roman" w:cs="Times New Roman"/>
          <w:spacing w:val="-4"/>
          <w:sz w:val="24"/>
          <w:szCs w:val="24"/>
        </w:rPr>
        <w:t xml:space="preserve"> </w:t>
      </w:r>
      <w:r>
        <w:rPr>
          <w:rFonts w:ascii="Times New Roman" w:hAnsi="Times New Roman" w:cs="Times New Roman"/>
          <w:sz w:val="24"/>
          <w:szCs w:val="24"/>
        </w:rPr>
        <w:t>We</w:t>
      </w:r>
      <w:r>
        <w:rPr>
          <w:rFonts w:ascii="Times New Roman" w:hAnsi="Times New Roman" w:cs="Times New Roman"/>
          <w:spacing w:val="-5"/>
          <w:sz w:val="24"/>
          <w:szCs w:val="24"/>
        </w:rPr>
        <w:t xml:space="preserve"> </w:t>
      </w:r>
      <w:r>
        <w:rPr>
          <w:rFonts w:ascii="Times New Roman" w:hAnsi="Times New Roman" w:cs="Times New Roman"/>
          <w:sz w:val="24"/>
          <w:szCs w:val="24"/>
        </w:rPr>
        <w:t>recommend</w:t>
      </w:r>
      <w:r>
        <w:rPr>
          <w:rFonts w:ascii="Times New Roman" w:hAnsi="Times New Roman" w:cs="Times New Roman"/>
          <w:spacing w:val="-7"/>
          <w:sz w:val="24"/>
          <w:szCs w:val="24"/>
        </w:rPr>
        <w:t xml:space="preserve"> </w:t>
      </w:r>
      <w:r>
        <w:rPr>
          <w:rFonts w:ascii="Times New Roman" w:hAnsi="Times New Roman" w:cs="Times New Roman"/>
          <w:sz w:val="24"/>
          <w:szCs w:val="24"/>
        </w:rPr>
        <w:t>that</w:t>
      </w:r>
      <w:r>
        <w:rPr>
          <w:rFonts w:ascii="Times New Roman" w:hAnsi="Times New Roman" w:cs="Times New Roman"/>
          <w:spacing w:val="-4"/>
          <w:sz w:val="24"/>
          <w:szCs w:val="24"/>
        </w:rPr>
        <w:t xml:space="preserve"> </w:t>
      </w:r>
      <w:r>
        <w:rPr>
          <w:rFonts w:ascii="Times New Roman" w:hAnsi="Times New Roman" w:cs="Times New Roman"/>
          <w:sz w:val="24"/>
          <w:szCs w:val="24"/>
        </w:rPr>
        <w:t>the</w:t>
      </w:r>
      <w:r>
        <w:rPr>
          <w:rFonts w:ascii="Times New Roman" w:hAnsi="Times New Roman" w:cs="Times New Roman"/>
          <w:spacing w:val="-5"/>
          <w:sz w:val="24"/>
          <w:szCs w:val="24"/>
        </w:rPr>
        <w:t xml:space="preserve"> </w:t>
      </w:r>
      <w:r>
        <w:rPr>
          <w:rFonts w:ascii="Times New Roman" w:hAnsi="Times New Roman" w:cs="Times New Roman"/>
          <w:sz w:val="24"/>
          <w:szCs w:val="24"/>
        </w:rPr>
        <w:t>ACO</w:t>
      </w:r>
      <w:r>
        <w:rPr>
          <w:rFonts w:ascii="Times New Roman" w:hAnsi="Times New Roman" w:cs="Times New Roman"/>
          <w:spacing w:val="-5"/>
          <w:sz w:val="24"/>
          <w:szCs w:val="24"/>
        </w:rPr>
        <w:t xml:space="preserve"> </w:t>
      </w:r>
      <w:r>
        <w:rPr>
          <w:rFonts w:ascii="Times New Roman" w:hAnsi="Times New Roman" w:cs="Times New Roman"/>
          <w:sz w:val="24"/>
          <w:szCs w:val="24"/>
        </w:rPr>
        <w:t>payment models</w:t>
      </w:r>
      <w:r>
        <w:rPr>
          <w:rFonts w:ascii="Times New Roman" w:hAnsi="Times New Roman" w:cs="Times New Roman"/>
          <w:spacing w:val="-5"/>
          <w:sz w:val="24"/>
          <w:szCs w:val="24"/>
        </w:rPr>
        <w:t xml:space="preserve"> </w:t>
      </w:r>
      <w:r>
        <w:rPr>
          <w:rFonts w:ascii="Times New Roman" w:hAnsi="Times New Roman" w:cs="Times New Roman"/>
          <w:sz w:val="24"/>
          <w:szCs w:val="24"/>
        </w:rPr>
        <w:t>incorporate</w:t>
      </w:r>
      <w:r>
        <w:rPr>
          <w:rFonts w:ascii="Times New Roman" w:hAnsi="Times New Roman" w:cs="Times New Roman"/>
          <w:spacing w:val="-9"/>
          <w:sz w:val="24"/>
          <w:szCs w:val="24"/>
        </w:rPr>
        <w:t xml:space="preserve"> </w:t>
      </w:r>
      <w:r>
        <w:rPr>
          <w:rFonts w:ascii="Times New Roman" w:hAnsi="Times New Roman" w:cs="Times New Roman"/>
          <w:sz w:val="24"/>
          <w:szCs w:val="24"/>
        </w:rPr>
        <w:t>some</w:t>
      </w:r>
      <w:r>
        <w:rPr>
          <w:rFonts w:ascii="Times New Roman" w:hAnsi="Times New Roman" w:cs="Times New Roman"/>
          <w:spacing w:val="-6"/>
          <w:sz w:val="24"/>
          <w:szCs w:val="24"/>
        </w:rPr>
        <w:t xml:space="preserve"> </w:t>
      </w:r>
      <w:r>
        <w:rPr>
          <w:rFonts w:ascii="Times New Roman" w:hAnsi="Times New Roman" w:cs="Times New Roman"/>
          <w:sz w:val="24"/>
          <w:szCs w:val="24"/>
        </w:rPr>
        <w:t>of</w:t>
      </w:r>
      <w:r>
        <w:rPr>
          <w:rFonts w:ascii="Times New Roman" w:hAnsi="Times New Roman" w:cs="Times New Roman"/>
          <w:spacing w:val="-6"/>
          <w:sz w:val="24"/>
          <w:szCs w:val="24"/>
        </w:rPr>
        <w:t xml:space="preserve"> </w:t>
      </w:r>
      <w:r>
        <w:rPr>
          <w:rFonts w:ascii="Times New Roman" w:hAnsi="Times New Roman" w:cs="Times New Roman"/>
          <w:sz w:val="24"/>
          <w:szCs w:val="24"/>
        </w:rPr>
        <w:t>the</w:t>
      </w:r>
      <w:r>
        <w:rPr>
          <w:rFonts w:ascii="Times New Roman" w:hAnsi="Times New Roman" w:cs="Times New Roman"/>
          <w:spacing w:val="-6"/>
          <w:sz w:val="24"/>
          <w:szCs w:val="24"/>
        </w:rPr>
        <w:t xml:space="preserve"> </w:t>
      </w:r>
      <w:r>
        <w:rPr>
          <w:rFonts w:ascii="Times New Roman" w:hAnsi="Times New Roman" w:cs="Times New Roman"/>
          <w:sz w:val="24"/>
          <w:szCs w:val="24"/>
        </w:rPr>
        <w:t>social</w:t>
      </w:r>
      <w:r>
        <w:rPr>
          <w:rFonts w:ascii="Times New Roman" w:hAnsi="Times New Roman" w:cs="Times New Roman"/>
          <w:spacing w:val="-7"/>
          <w:sz w:val="24"/>
          <w:szCs w:val="24"/>
        </w:rPr>
        <w:t xml:space="preserve"> </w:t>
      </w:r>
      <w:r>
        <w:rPr>
          <w:rFonts w:ascii="Times New Roman" w:hAnsi="Times New Roman" w:cs="Times New Roman"/>
          <w:sz w:val="24"/>
          <w:szCs w:val="24"/>
        </w:rPr>
        <w:t>determinants</w:t>
      </w:r>
      <w:r>
        <w:rPr>
          <w:rFonts w:ascii="Times New Roman" w:hAnsi="Times New Roman" w:cs="Times New Roman"/>
          <w:spacing w:val="-5"/>
          <w:sz w:val="24"/>
          <w:szCs w:val="24"/>
        </w:rPr>
        <w:t xml:space="preserve"> </w:t>
      </w:r>
      <w:r>
        <w:rPr>
          <w:rFonts w:ascii="Times New Roman" w:hAnsi="Times New Roman" w:cs="Times New Roman"/>
          <w:sz w:val="24"/>
          <w:szCs w:val="24"/>
        </w:rPr>
        <w:t>of</w:t>
      </w:r>
      <w:r>
        <w:rPr>
          <w:rFonts w:ascii="Times New Roman" w:hAnsi="Times New Roman" w:cs="Times New Roman"/>
          <w:spacing w:val="-6"/>
          <w:sz w:val="24"/>
          <w:szCs w:val="24"/>
        </w:rPr>
        <w:t xml:space="preserve"> </w:t>
      </w:r>
      <w:r>
        <w:rPr>
          <w:rFonts w:ascii="Times New Roman" w:hAnsi="Times New Roman" w:cs="Times New Roman"/>
          <w:sz w:val="24"/>
          <w:szCs w:val="24"/>
        </w:rPr>
        <w:t>health</w:t>
      </w:r>
      <w:r>
        <w:rPr>
          <w:rFonts w:ascii="Times New Roman" w:hAnsi="Times New Roman" w:cs="Times New Roman"/>
          <w:spacing w:val="-5"/>
          <w:sz w:val="24"/>
          <w:szCs w:val="24"/>
        </w:rPr>
        <w:t xml:space="preserve"> </w:t>
      </w:r>
      <w:r>
        <w:rPr>
          <w:rFonts w:ascii="Times New Roman" w:hAnsi="Times New Roman" w:cs="Times New Roman"/>
          <w:sz w:val="24"/>
          <w:szCs w:val="24"/>
        </w:rPr>
        <w:t>when</w:t>
      </w:r>
      <w:r>
        <w:rPr>
          <w:rFonts w:ascii="Times New Roman" w:hAnsi="Times New Roman" w:cs="Times New Roman"/>
          <w:spacing w:val="-3"/>
          <w:sz w:val="24"/>
          <w:szCs w:val="24"/>
        </w:rPr>
        <w:t xml:space="preserve"> </w:t>
      </w:r>
      <w:r>
        <w:rPr>
          <w:rFonts w:ascii="Times New Roman" w:hAnsi="Times New Roman" w:cs="Times New Roman"/>
          <w:sz w:val="24"/>
          <w:szCs w:val="24"/>
        </w:rPr>
        <w:t>risk</w:t>
      </w:r>
      <w:r>
        <w:rPr>
          <w:rFonts w:ascii="Times New Roman" w:hAnsi="Times New Roman" w:cs="Times New Roman"/>
          <w:spacing w:val="-5"/>
          <w:sz w:val="24"/>
          <w:szCs w:val="24"/>
        </w:rPr>
        <w:t xml:space="preserve"> </w:t>
      </w:r>
      <w:r>
        <w:rPr>
          <w:rFonts w:ascii="Times New Roman" w:hAnsi="Times New Roman" w:cs="Times New Roman"/>
          <w:sz w:val="24"/>
          <w:szCs w:val="24"/>
        </w:rPr>
        <w:t>adjusting</w:t>
      </w:r>
      <w:r>
        <w:rPr>
          <w:rFonts w:ascii="Times New Roman" w:hAnsi="Times New Roman" w:cs="Times New Roman"/>
          <w:spacing w:val="-9"/>
          <w:sz w:val="24"/>
          <w:szCs w:val="24"/>
        </w:rPr>
        <w:t xml:space="preserve"> </w:t>
      </w:r>
      <w:r>
        <w:rPr>
          <w:rFonts w:ascii="Times New Roman" w:hAnsi="Times New Roman" w:cs="Times New Roman"/>
          <w:sz w:val="24"/>
          <w:szCs w:val="24"/>
        </w:rPr>
        <w:t>for</w:t>
      </w:r>
      <w:r>
        <w:rPr>
          <w:rFonts w:ascii="Times New Roman" w:hAnsi="Times New Roman" w:cs="Times New Roman"/>
          <w:spacing w:val="-9"/>
          <w:sz w:val="24"/>
          <w:szCs w:val="24"/>
        </w:rPr>
        <w:t xml:space="preserve"> </w:t>
      </w:r>
      <w:r>
        <w:rPr>
          <w:rFonts w:ascii="Times New Roman" w:hAnsi="Times New Roman" w:cs="Times New Roman"/>
          <w:sz w:val="24"/>
          <w:szCs w:val="24"/>
        </w:rPr>
        <w:t>total</w:t>
      </w:r>
      <w:r>
        <w:rPr>
          <w:rFonts w:ascii="Times New Roman" w:hAnsi="Times New Roman" w:cs="Times New Roman"/>
          <w:spacing w:val="-5"/>
          <w:sz w:val="24"/>
          <w:szCs w:val="24"/>
        </w:rPr>
        <w:t xml:space="preserve"> </w:t>
      </w:r>
      <w:r>
        <w:rPr>
          <w:rFonts w:ascii="Times New Roman" w:hAnsi="Times New Roman" w:cs="Times New Roman"/>
          <w:sz w:val="24"/>
          <w:szCs w:val="24"/>
        </w:rPr>
        <w:t>cost</w:t>
      </w:r>
      <w:r>
        <w:rPr>
          <w:rFonts w:ascii="Times New Roman" w:hAnsi="Times New Roman" w:cs="Times New Roman"/>
          <w:spacing w:val="-5"/>
          <w:sz w:val="24"/>
          <w:szCs w:val="24"/>
        </w:rPr>
        <w:t xml:space="preserve"> </w:t>
      </w:r>
      <w:r>
        <w:rPr>
          <w:rFonts w:ascii="Times New Roman" w:hAnsi="Times New Roman" w:cs="Times New Roman"/>
          <w:sz w:val="24"/>
          <w:szCs w:val="24"/>
        </w:rPr>
        <w:t>of</w:t>
      </w:r>
      <w:r>
        <w:rPr>
          <w:rFonts w:ascii="Times New Roman" w:hAnsi="Times New Roman" w:cs="Times New Roman"/>
          <w:spacing w:val="-6"/>
          <w:sz w:val="24"/>
          <w:szCs w:val="24"/>
        </w:rPr>
        <w:t xml:space="preserve"> </w:t>
      </w:r>
      <w:r>
        <w:rPr>
          <w:rFonts w:ascii="Times New Roman" w:hAnsi="Times New Roman" w:cs="Times New Roman"/>
          <w:sz w:val="24"/>
          <w:szCs w:val="24"/>
        </w:rPr>
        <w:t>care.</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079" w:right="1104"/>
        <w:rPr>
          <w:rFonts w:ascii="Times New Roman" w:hAnsi="Times New Roman" w:cs="Times New Roman"/>
          <w:sz w:val="24"/>
          <w:szCs w:val="24"/>
        </w:rPr>
      </w:pPr>
      <w:r>
        <w:rPr>
          <w:rFonts w:ascii="Times New Roman" w:hAnsi="Times New Roman" w:cs="Times New Roman"/>
          <w:sz w:val="24"/>
          <w:szCs w:val="24"/>
        </w:rPr>
        <w:t>In addition to adjusting payments based on socioeconomic status and other sociodemographic factors, MassHealth should also consider making similar appropriate adjustments to some ACO quality metrics used in payment. The decision made by the National Quality Forum (NQF) to endorse adjusting outcomes measures based on these factors reflects the concern that a provider should not be penalized as a poor performer because it serves more vulnerable patients. For example, a recent study found that Medicare readmission rates varied significantly based on the patient population. The researchers concluded that “Hospitals serving healthier, more socially advantaged patients may not have to devote any resources to achieving a penalty-free readmission rate, whereas hospitals serving sicker, more socially disadvantaged patients may have to devote considerable resources to avoid a penalty.”</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5560" w:right="5560"/>
        <w:jc w:val="center"/>
        <w:rPr>
          <w:rFonts w:ascii="Times New Roman" w:hAnsi="Times New Roman" w:cs="Times New Roman"/>
          <w:sz w:val="24"/>
          <w:szCs w:val="24"/>
        </w:rPr>
      </w:pPr>
      <w:r>
        <w:rPr>
          <w:rFonts w:ascii="Times New Roman" w:hAnsi="Times New Roman" w:cs="Times New Roman"/>
          <w:sz w:val="24"/>
          <w:szCs w:val="24"/>
        </w:rPr>
        <w:t>*  *  *  *  *</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079" w:right="1257"/>
        <w:rPr>
          <w:rFonts w:ascii="Times New Roman" w:hAnsi="Times New Roman" w:cs="Times New Roman"/>
          <w:color w:val="000000"/>
          <w:sz w:val="24"/>
          <w:szCs w:val="24"/>
        </w:rPr>
      </w:pPr>
      <w:r>
        <w:rPr>
          <w:rFonts w:ascii="Times New Roman" w:hAnsi="Times New Roman" w:cs="Times New Roman"/>
          <w:sz w:val="24"/>
          <w:szCs w:val="24"/>
        </w:rPr>
        <w:t xml:space="preserve">We appreciate your leadership and attention to addressing population health, prevention, and the social determinants of health in the MassHealth redesign process. We stand ready to collaborate with MassHealth, consumers, and providers to achieve our common goals of healthier people, healthier communities, and health equity for all residents. If we can be of any further assistance, please contact Maddie </w:t>
      </w:r>
      <w:proofErr w:type="spellStart"/>
      <w:r>
        <w:rPr>
          <w:rFonts w:ascii="Times New Roman" w:hAnsi="Times New Roman" w:cs="Times New Roman"/>
          <w:sz w:val="24"/>
          <w:szCs w:val="24"/>
        </w:rPr>
        <w:t>Ribble</w:t>
      </w:r>
      <w:proofErr w:type="spellEnd"/>
      <w:r>
        <w:rPr>
          <w:rFonts w:ascii="Times New Roman" w:hAnsi="Times New Roman" w:cs="Times New Roman"/>
          <w:sz w:val="24"/>
          <w:szCs w:val="24"/>
        </w:rPr>
        <w:t xml:space="preserve"> at </w:t>
      </w:r>
      <w:hyperlink r:id="rId495" w:history="1">
        <w:r>
          <w:rPr>
            <w:rFonts w:ascii="Times New Roman" w:hAnsi="Times New Roman" w:cs="Times New Roman"/>
            <w:color w:val="0000FF"/>
            <w:sz w:val="24"/>
            <w:szCs w:val="24"/>
            <w:u w:val="single"/>
          </w:rPr>
          <w:t xml:space="preserve">mribble@mapublicheath.org </w:t>
        </w:r>
      </w:hyperlink>
      <w:r>
        <w:rPr>
          <w:rFonts w:ascii="Times New Roman" w:hAnsi="Times New Roman" w:cs="Times New Roman"/>
          <w:color w:val="000000"/>
          <w:sz w:val="24"/>
          <w:szCs w:val="24"/>
        </w:rPr>
        <w:t>or 617-697-2107.</w:t>
      </w:r>
    </w:p>
    <w:p w:rsidR="002C5025" w:rsidRDefault="002C5025">
      <w:pPr>
        <w:pStyle w:val="BodyText"/>
        <w:kinsoku w:val="0"/>
        <w:overflowPunct w:val="0"/>
        <w:spacing w:before="11"/>
        <w:rPr>
          <w:rFonts w:ascii="Times New Roman" w:hAnsi="Times New Roman" w:cs="Times New Roman"/>
          <w:sz w:val="17"/>
          <w:szCs w:val="17"/>
        </w:rPr>
      </w:pPr>
    </w:p>
    <w:p w:rsidR="002C5025" w:rsidRDefault="002C5025">
      <w:pPr>
        <w:pStyle w:val="BodyText"/>
        <w:kinsoku w:val="0"/>
        <w:overflowPunct w:val="0"/>
        <w:spacing w:before="69"/>
        <w:ind w:left="1080" w:right="1443"/>
        <w:rPr>
          <w:rFonts w:ascii="Times New Roman" w:hAnsi="Times New Roman" w:cs="Times New Roman"/>
          <w:sz w:val="24"/>
          <w:szCs w:val="24"/>
        </w:rPr>
      </w:pPr>
      <w:r>
        <w:rPr>
          <w:rFonts w:ascii="Times New Roman" w:hAnsi="Times New Roman" w:cs="Times New Roman"/>
          <w:sz w:val="24"/>
          <w:szCs w:val="24"/>
        </w:rPr>
        <w:t>Sincerely,</w:t>
      </w:r>
    </w:p>
    <w:p w:rsidR="002C5025" w:rsidRDefault="002C5025">
      <w:pPr>
        <w:pStyle w:val="BodyText"/>
        <w:kinsoku w:val="0"/>
        <w:overflowPunct w:val="0"/>
        <w:rPr>
          <w:rFonts w:ascii="Times New Roman" w:hAnsi="Times New Roman" w:cs="Times New Roman"/>
          <w:sz w:val="20"/>
          <w:szCs w:val="20"/>
        </w:rPr>
      </w:pPr>
    </w:p>
    <w:p w:rsidR="002C5025" w:rsidRDefault="00FB027C">
      <w:pPr>
        <w:pStyle w:val="BodyText"/>
        <w:kinsoku w:val="0"/>
        <w:overflowPunct w:val="0"/>
        <w:spacing w:before="10"/>
        <w:rPr>
          <w:rFonts w:ascii="Times New Roman" w:hAnsi="Times New Roman" w:cs="Times New Roman"/>
          <w:sz w:val="25"/>
          <w:szCs w:val="25"/>
        </w:rPr>
      </w:pPr>
      <w:r>
        <w:rPr>
          <w:noProof/>
        </w:rPr>
        <mc:AlternateContent>
          <mc:Choice Requires="wps">
            <w:drawing>
              <wp:anchor distT="0" distB="0" distL="0" distR="0" simplePos="0" relativeHeight="251741696" behindDoc="0" locked="0" layoutInCell="0" allowOverlap="1">
                <wp:simplePos x="0" y="0"/>
                <wp:positionH relativeFrom="page">
                  <wp:posOffset>762000</wp:posOffset>
                </wp:positionH>
                <wp:positionV relativeFrom="paragraph">
                  <wp:posOffset>213995</wp:posOffset>
                </wp:positionV>
                <wp:extent cx="2171700" cy="571500"/>
                <wp:effectExtent l="0" t="0" r="0" b="0"/>
                <wp:wrapTopAndBottom/>
                <wp:docPr id="296" name="Rectangle 7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900" w:lineRule="atLeast"/>
                            </w:pPr>
                            <w:r>
                              <w:rPr>
                                <w:noProof/>
                              </w:rPr>
                              <w:drawing>
                                <wp:inline distT="0" distB="0" distL="0" distR="0">
                                  <wp:extent cx="2162175" cy="571500"/>
                                  <wp:effectExtent l="0" t="0" r="9525"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496">
                                            <a:extLst>
                                              <a:ext uri="{28A0092B-C50C-407E-A947-70E740481C1C}">
                                                <a14:useLocalDpi xmlns:a14="http://schemas.microsoft.com/office/drawing/2010/main" val="0"/>
                                              </a:ext>
                                            </a:extLst>
                                          </a:blip>
                                          <a:srcRect/>
                                          <a:stretch>
                                            <a:fillRect/>
                                          </a:stretch>
                                        </pic:blipFill>
                                        <pic:spPr bwMode="auto">
                                          <a:xfrm>
                                            <a:off x="0" y="0"/>
                                            <a:ext cx="2162175" cy="571500"/>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9" o:spid="_x0000_s1255" style="position:absolute;margin-left:60pt;margin-top:16.85pt;width:171pt;height:45pt;z-index:251741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" o:allowincell="f" filled="f" stroked="f">
                <v:textbox inset="0,0,0,0">
                  <w:txbxContent>
                    <w:p w:rsidR="007B2B7B" w:rsidRDefault="007B2B7B">
                      <w:pPr>
                        <w:widowControl/>
                        <w:autoSpaceDE/>
                        <w:autoSpaceDN/>
                        <w:adjustRightInd/>
                        <w:spacing w:line="900" w:lineRule="atLeast"/>
                      </w:pPr>
                      <w:r>
                        <w:rPr>
                          <w:noProof/>
                        </w:rPr>
                        <w:drawing>
                          <wp:inline distT="0" distB="0" distL="0" distR="0">
                            <wp:extent cx="2162175" cy="571500"/>
                            <wp:effectExtent l="0" t="0" r="9525"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497">
                                      <a:extLst>
                                        <a:ext uri="{28A0092B-C50C-407E-A947-70E740481C1C}">
                                          <a14:useLocalDpi xmlns:a14="http://schemas.microsoft.com/office/drawing/2010/main" val="0"/>
                                        </a:ext>
                                      </a:extLst>
                                    </a:blip>
                                    <a:srcRect/>
                                    <a:stretch>
                                      <a:fillRect/>
                                    </a:stretch>
                                  </pic:blipFill>
                                  <pic:spPr bwMode="auto">
                                    <a:xfrm>
                                      <a:off x="0" y="0"/>
                                      <a:ext cx="2162175" cy="571500"/>
                                    </a:xfrm>
                                    <a:prstGeom prst="rect">
                                      <a:avLst/>
                                    </a:prstGeom>
                                    <a:noFill/>
                                    <a:ln>
                                      <a:noFill/>
                                    </a:ln>
                                  </pic:spPr>
                                </pic:pic>
                              </a:graphicData>
                            </a:graphic>
                          </wp:inline>
                        </w:drawing>
                      </w:r>
                    </w:p>
                    <w:p w:rsidR="007B2B7B" w:rsidRDefault="007B2B7B"/>
                  </w:txbxContent>
                </v:textbox>
                <w10:wrap type="topAndBottom" anchorx="page"/>
              </v:rect>
            </w:pict>
          </mc:Fallback>
        </mc:AlternateContent>
      </w:r>
      <w:r>
        <w:rPr>
          <w:noProof/>
        </w:rPr>
        <mc:AlternateContent>
          <mc:Choice Requires="wps">
            <w:drawing>
              <wp:anchor distT="0" distB="0" distL="0" distR="0" simplePos="0" relativeHeight="251742720" behindDoc="0" locked="0" layoutInCell="0" allowOverlap="1">
                <wp:simplePos x="0" y="0"/>
                <wp:positionH relativeFrom="page">
                  <wp:posOffset>4057650</wp:posOffset>
                </wp:positionH>
                <wp:positionV relativeFrom="paragraph">
                  <wp:posOffset>220345</wp:posOffset>
                </wp:positionV>
                <wp:extent cx="2006600" cy="596900"/>
                <wp:effectExtent l="0" t="0" r="0" b="0"/>
                <wp:wrapTopAndBottom/>
                <wp:docPr id="295" name="Rectangle 7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0" cy="59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940" w:lineRule="atLeast"/>
                            </w:pPr>
                            <w:r>
                              <w:rPr>
                                <w:noProof/>
                              </w:rPr>
                              <w:drawing>
                                <wp:inline distT="0" distB="0" distL="0" distR="0">
                                  <wp:extent cx="2000250" cy="600075"/>
                                  <wp:effectExtent l="0" t="0" r="0" b="9525"/>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498">
                                            <a:extLst>
                                              <a:ext uri="{28A0092B-C50C-407E-A947-70E740481C1C}">
                                                <a14:useLocalDpi xmlns:a14="http://schemas.microsoft.com/office/drawing/2010/main" val="0"/>
                                              </a:ext>
                                            </a:extLst>
                                          </a:blip>
                                          <a:srcRect/>
                                          <a:stretch>
                                            <a:fillRect/>
                                          </a:stretch>
                                        </pic:blipFill>
                                        <pic:spPr bwMode="auto">
                                          <a:xfrm>
                                            <a:off x="0" y="0"/>
                                            <a:ext cx="2000250" cy="600075"/>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0" o:spid="_x0000_s1256" style="position:absolute;margin-left:319.5pt;margin-top:17.35pt;width:158pt;height:47pt;z-index:251742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" o:allowincell="f" filled="f" stroked="f">
                <v:textbox inset="0,0,0,0">
                  <w:txbxContent>
                    <w:p w:rsidR="007B2B7B" w:rsidRDefault="007B2B7B">
                      <w:pPr>
                        <w:widowControl/>
                        <w:autoSpaceDE/>
                        <w:autoSpaceDN/>
                        <w:adjustRightInd/>
                        <w:spacing w:line="940" w:lineRule="atLeast"/>
                      </w:pPr>
                      <w:r>
                        <w:rPr>
                          <w:noProof/>
                        </w:rPr>
                        <w:drawing>
                          <wp:inline distT="0" distB="0" distL="0" distR="0">
                            <wp:extent cx="2000250" cy="600075"/>
                            <wp:effectExtent l="0" t="0" r="0" b="9525"/>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499">
                                      <a:extLst>
                                        <a:ext uri="{28A0092B-C50C-407E-A947-70E740481C1C}">
                                          <a14:useLocalDpi xmlns:a14="http://schemas.microsoft.com/office/drawing/2010/main" val="0"/>
                                        </a:ext>
                                      </a:extLst>
                                    </a:blip>
                                    <a:srcRect/>
                                    <a:stretch>
                                      <a:fillRect/>
                                    </a:stretch>
                                  </pic:blipFill>
                                  <pic:spPr bwMode="auto">
                                    <a:xfrm>
                                      <a:off x="0" y="0"/>
                                      <a:ext cx="2000250" cy="600075"/>
                                    </a:xfrm>
                                    <a:prstGeom prst="rect">
                                      <a:avLst/>
                                    </a:prstGeom>
                                    <a:noFill/>
                                    <a:ln>
                                      <a:noFill/>
                                    </a:ln>
                                  </pic:spPr>
                                </pic:pic>
                              </a:graphicData>
                            </a:graphic>
                          </wp:inline>
                        </w:drawing>
                      </w:r>
                    </w:p>
                    <w:p w:rsidR="007B2B7B" w:rsidRDefault="007B2B7B"/>
                  </w:txbxContent>
                </v:textbox>
                <w10:wrap type="topAndBottom" anchorx="page"/>
              </v:rect>
            </w:pict>
          </mc:Fallback>
        </mc:AlternateConten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tabs>
          <w:tab w:val="left" w:pos="6119"/>
        </w:tabs>
        <w:kinsoku w:val="0"/>
        <w:overflowPunct w:val="0"/>
        <w:spacing w:before="178"/>
        <w:ind w:left="1080" w:right="1443"/>
        <w:rPr>
          <w:rFonts w:ascii="Times New Roman" w:hAnsi="Times New Roman" w:cs="Times New Roman"/>
          <w:sz w:val="24"/>
          <w:szCs w:val="24"/>
        </w:rPr>
      </w:pPr>
      <w:r>
        <w:rPr>
          <w:rFonts w:ascii="Times New Roman" w:hAnsi="Times New Roman" w:cs="Times New Roman"/>
          <w:sz w:val="24"/>
          <w:szCs w:val="24"/>
        </w:rPr>
        <w:t>Rebekah Gewirtz,</w:t>
      </w:r>
      <w:r>
        <w:rPr>
          <w:rFonts w:ascii="Times New Roman" w:hAnsi="Times New Roman" w:cs="Times New Roman"/>
          <w:spacing w:val="-11"/>
          <w:sz w:val="24"/>
          <w:szCs w:val="24"/>
        </w:rPr>
        <w:t xml:space="preserve"> </w:t>
      </w:r>
      <w:r>
        <w:rPr>
          <w:rFonts w:ascii="Times New Roman" w:hAnsi="Times New Roman" w:cs="Times New Roman"/>
          <w:sz w:val="24"/>
          <w:szCs w:val="24"/>
        </w:rPr>
        <w:t>Executive</w:t>
      </w:r>
      <w:r>
        <w:rPr>
          <w:rFonts w:ascii="Times New Roman" w:hAnsi="Times New Roman" w:cs="Times New Roman"/>
          <w:spacing w:val="-9"/>
          <w:sz w:val="24"/>
          <w:szCs w:val="24"/>
        </w:rPr>
        <w:t xml:space="preserve"> </w:t>
      </w:r>
      <w:r>
        <w:rPr>
          <w:rFonts w:ascii="Times New Roman" w:hAnsi="Times New Roman" w:cs="Times New Roman"/>
          <w:sz w:val="24"/>
          <w:szCs w:val="24"/>
        </w:rPr>
        <w:t>Director</w:t>
      </w:r>
      <w:r>
        <w:rPr>
          <w:rFonts w:ascii="Times New Roman" w:hAnsi="Times New Roman" w:cs="Times New Roman"/>
          <w:sz w:val="24"/>
          <w:szCs w:val="24"/>
        </w:rPr>
        <w:tab/>
        <w:t xml:space="preserve">Maddie </w:t>
      </w:r>
      <w:proofErr w:type="spellStart"/>
      <w:r>
        <w:rPr>
          <w:rFonts w:ascii="Times New Roman" w:hAnsi="Times New Roman" w:cs="Times New Roman"/>
          <w:sz w:val="24"/>
          <w:szCs w:val="24"/>
        </w:rPr>
        <w:t>Ribble</w:t>
      </w:r>
      <w:proofErr w:type="spellEnd"/>
      <w:r>
        <w:rPr>
          <w:rFonts w:ascii="Times New Roman" w:hAnsi="Times New Roman" w:cs="Times New Roman"/>
          <w:sz w:val="24"/>
          <w:szCs w:val="24"/>
        </w:rPr>
        <w:t>, Director of Public</w:t>
      </w:r>
      <w:r>
        <w:rPr>
          <w:rFonts w:ascii="Times New Roman" w:hAnsi="Times New Roman" w:cs="Times New Roman"/>
          <w:spacing w:val="-24"/>
          <w:sz w:val="24"/>
          <w:szCs w:val="24"/>
        </w:rPr>
        <w:t xml:space="preserve"> </w:t>
      </w:r>
      <w:r>
        <w:rPr>
          <w:rFonts w:ascii="Times New Roman" w:hAnsi="Times New Roman" w:cs="Times New Roman"/>
          <w:sz w:val="24"/>
          <w:szCs w:val="24"/>
        </w:rPr>
        <w:t>Policy</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10"/>
        <w:rPr>
          <w:rFonts w:ascii="Times New Roman" w:hAnsi="Times New Roman" w:cs="Times New Roman"/>
          <w:sz w:val="27"/>
          <w:szCs w:val="27"/>
        </w:rPr>
      </w:pPr>
    </w:p>
    <w:p w:rsidR="002C5025" w:rsidRDefault="002C5025">
      <w:pPr>
        <w:pStyle w:val="BodyText"/>
        <w:kinsoku w:val="0"/>
        <w:overflowPunct w:val="0"/>
        <w:spacing w:before="69"/>
        <w:ind w:left="4"/>
        <w:jc w:val="center"/>
        <w:rPr>
          <w:rFonts w:ascii="Times New Roman" w:hAnsi="Times New Roman" w:cs="Times New Roman"/>
          <w:sz w:val="24"/>
          <w:szCs w:val="24"/>
        </w:rPr>
      </w:pPr>
      <w:r>
        <w:rPr>
          <w:rFonts w:ascii="Times New Roman" w:hAnsi="Times New Roman" w:cs="Times New Roman"/>
          <w:sz w:val="24"/>
          <w:szCs w:val="24"/>
        </w:rPr>
        <w:t>6</w:t>
      </w:r>
    </w:p>
    <w:p w:rsidR="002C5025" w:rsidRDefault="002C5025">
      <w:pPr>
        <w:pStyle w:val="BodyText"/>
        <w:kinsoku w:val="0"/>
        <w:overflowPunct w:val="0"/>
        <w:spacing w:before="69"/>
        <w:ind w:left="4"/>
        <w:jc w:val="center"/>
        <w:rPr>
          <w:rFonts w:ascii="Times New Roman" w:hAnsi="Times New Roman" w:cs="Times New Roman"/>
          <w:sz w:val="24"/>
          <w:szCs w:val="24"/>
        </w:rPr>
        <w:sectPr w:rsidR="002C5025">
          <w:pgSz w:w="12240" w:h="15840"/>
          <w:pgMar w:top="300" w:right="0" w:bottom="0" w:left="0" w:header="720" w:footer="720" w:gutter="0"/>
          <w:cols w:space="720"/>
          <w:noEndnote/>
        </w:sectPr>
      </w:pPr>
    </w:p>
    <w:p w:rsidR="002C5025" w:rsidRDefault="00FB027C">
      <w:pPr>
        <w:pStyle w:val="BodyText"/>
        <w:kinsoku w:val="0"/>
        <w:overflowPunct w:val="0"/>
        <w:spacing w:before="162"/>
        <w:ind w:left="1304" w:right="-11"/>
        <w:rPr>
          <w:rFonts w:ascii="Arial" w:hAnsi="Arial" w:cs="Arial"/>
          <w:color w:val="2D3331"/>
          <w:spacing w:val="-14"/>
          <w:w w:val="110"/>
          <w:sz w:val="45"/>
          <w:szCs w:val="45"/>
        </w:rPr>
      </w:pPr>
      <w:r>
        <w:rPr>
          <w:noProof/>
        </w:rPr>
        <w:lastRenderedPageBreak/>
        <mc:AlternateContent>
          <mc:Choice Requires="wps">
            <w:drawing>
              <wp:anchor distT="0" distB="0" distL="114300" distR="114300" simplePos="0" relativeHeight="251743744" behindDoc="1" locked="0" layoutInCell="0" allowOverlap="1">
                <wp:simplePos x="0" y="0"/>
                <wp:positionH relativeFrom="page">
                  <wp:posOffset>3722370</wp:posOffset>
                </wp:positionH>
                <wp:positionV relativeFrom="paragraph">
                  <wp:posOffset>426085</wp:posOffset>
                </wp:positionV>
                <wp:extent cx="12700" cy="389255"/>
                <wp:effectExtent l="0" t="0" r="0" b="0"/>
                <wp:wrapNone/>
                <wp:docPr id="294" name="Freeform 7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89255"/>
                        </a:xfrm>
                        <a:custGeom>
                          <a:avLst/>
                          <a:gdLst>
                            <a:gd name="T0" fmla="*/ 0 w 20"/>
                            <a:gd name="T1" fmla="*/ 0 h 613"/>
                            <a:gd name="T2" fmla="*/ 0 w 20"/>
                            <a:gd name="T3" fmla="*/ 613 h 613"/>
                          </a:gdLst>
                          <a:ahLst/>
                          <a:cxnLst>
                            <a:cxn ang="0">
                              <a:pos x="T0" y="T1"/>
                            </a:cxn>
                            <a:cxn ang="0">
                              <a:pos x="T2" y="T3"/>
                            </a:cxn>
                          </a:cxnLst>
                          <a:rect l="0" t="0" r="r" b="b"/>
                          <a:pathLst>
                            <a:path w="20" h="613">
                              <a:moveTo>
                                <a:pt x="0" y="0"/>
                              </a:moveTo>
                              <a:lnTo>
                                <a:pt x="0" y="613"/>
                              </a:lnTo>
                            </a:path>
                          </a:pathLst>
                        </a:custGeom>
                        <a:noFill/>
                        <a:ln w="28359">
                          <a:solidFill>
                            <a:srgbClr val="EBEFF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31" o:spid="_x0000_s1026" style="position:absolute;z-index:-251572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93.1pt,33.55pt,293.1pt,64.2pt" coordsize="20,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" o:allowincell="f" filled="f" strokecolor="#ebeff0" strokeweight=".78775mm">
                <v:path arrowok="t" o:connecttype="custom" o:connectlocs="0,0;0,389255" o:connectangles="0,0"/>
                <w10:wrap anchorx="page"/>
              </v:polyline>
            </w:pict>
          </mc:Fallback>
        </mc:AlternateContent>
      </w:r>
      <w:bookmarkStart w:id="219" w:name="Massachusetts_Society_of_Optometrists_-_"/>
      <w:bookmarkEnd w:id="219"/>
      <w:r w:rsidR="002C5025">
        <w:rPr>
          <w:rFonts w:ascii="Arial" w:hAnsi="Arial" w:cs="Arial"/>
          <w:color w:val="2D3331"/>
          <w:spacing w:val="-8"/>
          <w:w w:val="110"/>
          <w:sz w:val="45"/>
          <w:szCs w:val="45"/>
        </w:rPr>
        <w:t>Massachusetts</w:t>
      </w:r>
      <w:r w:rsidR="002C5025">
        <w:rPr>
          <w:rFonts w:ascii="Arial" w:hAnsi="Arial" w:cs="Arial"/>
          <w:color w:val="2D3331"/>
          <w:spacing w:val="71"/>
          <w:w w:val="110"/>
          <w:sz w:val="45"/>
          <w:szCs w:val="45"/>
        </w:rPr>
        <w:t xml:space="preserve"> </w:t>
      </w:r>
      <w:r w:rsidR="002C5025">
        <w:rPr>
          <w:rFonts w:ascii="Arial" w:hAnsi="Arial" w:cs="Arial"/>
          <w:color w:val="2D3331"/>
          <w:spacing w:val="-14"/>
          <w:w w:val="110"/>
          <w:sz w:val="45"/>
          <w:szCs w:val="45"/>
        </w:rPr>
        <w:t>Society</w:t>
      </w:r>
    </w:p>
    <w:p w:rsidR="002C5025" w:rsidRDefault="002C5025">
      <w:pPr>
        <w:pStyle w:val="BodyText"/>
        <w:kinsoku w:val="0"/>
        <w:overflowPunct w:val="0"/>
        <w:spacing w:before="22"/>
        <w:ind w:left="222" w:right="-11"/>
        <w:rPr>
          <w:rFonts w:ascii="Arial" w:hAnsi="Arial" w:cs="Arial"/>
          <w:b/>
          <w:bCs/>
          <w:color w:val="AFAFAF"/>
          <w:w w:val="105"/>
          <w:sz w:val="44"/>
          <w:szCs w:val="44"/>
        </w:rPr>
      </w:pPr>
      <w:r>
        <w:rPr>
          <w:rFonts w:ascii="Arial" w:hAnsi="Arial" w:cs="Arial"/>
          <w:color w:val="1F7CAA"/>
          <w:w w:val="105"/>
          <w:sz w:val="44"/>
          <w:szCs w:val="44"/>
        </w:rPr>
        <w:t xml:space="preserve">'----' </w:t>
      </w:r>
      <w:r>
        <w:rPr>
          <w:rFonts w:ascii="Arial" w:hAnsi="Arial" w:cs="Arial"/>
          <w:b/>
          <w:bCs/>
          <w:color w:val="2D3331"/>
          <w:w w:val="105"/>
          <w:sz w:val="44"/>
          <w:szCs w:val="44"/>
        </w:rPr>
        <w:t>of Optometrists</w:t>
      </w:r>
      <w:r>
        <w:rPr>
          <w:rFonts w:ascii="Arial" w:hAnsi="Arial" w:cs="Arial"/>
          <w:b/>
          <w:bCs/>
          <w:color w:val="AFAFAF"/>
          <w:w w:val="105"/>
          <w:sz w:val="44"/>
          <w:szCs w:val="44"/>
        </w:rPr>
        <w:t>.</w:t>
      </w:r>
    </w:p>
    <w:p w:rsidR="002C5025" w:rsidRDefault="002C5025">
      <w:pPr>
        <w:pStyle w:val="BodyText"/>
        <w:kinsoku w:val="0"/>
        <w:overflowPunct w:val="0"/>
        <w:spacing w:before="65" w:line="244" w:lineRule="auto"/>
        <w:ind w:left="848" w:right="192" w:hanging="627"/>
        <w:rPr>
          <w:rFonts w:ascii="Arial" w:hAnsi="Arial" w:cs="Arial"/>
          <w:color w:val="4D5254"/>
          <w:sz w:val="19"/>
          <w:szCs w:val="19"/>
        </w:rPr>
      </w:pPr>
      <w:r>
        <w:rPr>
          <w:rFonts w:ascii="Times New Roman" w:hAnsi="Times New Roman" w:cs="Times New Roman"/>
          <w:sz w:val="24"/>
          <w:szCs w:val="24"/>
        </w:rPr>
        <w:br w:type="column"/>
      </w:r>
      <w:r>
        <w:rPr>
          <w:rFonts w:ascii="Arial" w:hAnsi="Arial" w:cs="Arial"/>
          <w:color w:val="4D5254"/>
          <w:sz w:val="19"/>
          <w:szCs w:val="19"/>
        </w:rPr>
        <w:lastRenderedPageBreak/>
        <w:t>1071 Worcester Road, Suite 12 Framingham, MA 01701</w:t>
      </w:r>
    </w:p>
    <w:p w:rsidR="002C5025" w:rsidRDefault="00FB027C">
      <w:pPr>
        <w:pStyle w:val="BodyText"/>
        <w:kinsoku w:val="0"/>
        <w:overflowPunct w:val="0"/>
        <w:spacing w:before="5"/>
        <w:ind w:left="1083" w:right="192"/>
        <w:rPr>
          <w:rFonts w:ascii="Arial" w:hAnsi="Arial" w:cs="Arial"/>
          <w:color w:val="4D5254"/>
          <w:w w:val="95"/>
          <w:sz w:val="19"/>
          <w:szCs w:val="19"/>
        </w:rPr>
      </w:pPr>
      <w:r>
        <w:rPr>
          <w:noProof/>
        </w:rPr>
        <mc:AlternateContent>
          <mc:Choice Requires="wps">
            <w:drawing>
              <wp:anchor distT="0" distB="0" distL="114300" distR="114300" simplePos="0" relativeHeight="251744768" behindDoc="0" locked="0" layoutInCell="0" allowOverlap="1">
                <wp:simplePos x="0" y="0"/>
                <wp:positionH relativeFrom="page">
                  <wp:posOffset>4867275</wp:posOffset>
                </wp:positionH>
                <wp:positionV relativeFrom="paragraph">
                  <wp:posOffset>-314325</wp:posOffset>
                </wp:positionV>
                <wp:extent cx="12700" cy="776605"/>
                <wp:effectExtent l="0" t="0" r="0" b="0"/>
                <wp:wrapNone/>
                <wp:docPr id="293" name="Freeform 7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76605"/>
                        </a:xfrm>
                        <a:custGeom>
                          <a:avLst/>
                          <a:gdLst>
                            <a:gd name="T0" fmla="*/ 0 w 20"/>
                            <a:gd name="T1" fmla="*/ 1224 h 1223"/>
                            <a:gd name="T2" fmla="*/ 0 w 20"/>
                            <a:gd name="T3" fmla="*/ 0 h 1223"/>
                          </a:gdLst>
                          <a:ahLst/>
                          <a:cxnLst>
                            <a:cxn ang="0">
                              <a:pos x="T0" y="T1"/>
                            </a:cxn>
                            <a:cxn ang="0">
                              <a:pos x="T2" y="T3"/>
                            </a:cxn>
                          </a:cxnLst>
                          <a:rect l="0" t="0" r="r" b="b"/>
                          <a:pathLst>
                            <a:path w="20" h="1223">
                              <a:moveTo>
                                <a:pt x="0" y="1224"/>
                              </a:moveTo>
                              <a:lnTo>
                                <a:pt x="0" y="0"/>
                              </a:lnTo>
                            </a:path>
                          </a:pathLst>
                        </a:custGeom>
                        <a:noFill/>
                        <a:ln w="13576">
                          <a:solidFill>
                            <a:srgbClr val="64676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32" o:spid="_x0000_s1026" style="position:absolute;z-index:251744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83.25pt,36.45pt,383.25pt,-24.75pt" coordsize="20,1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" o:allowincell="f" filled="f" strokecolor="#646767" strokeweight=".37711mm">
                <v:path arrowok="t" o:connecttype="custom" o:connectlocs="0,777240;0,0" o:connectangles="0,0"/>
                <w10:wrap anchorx="page"/>
              </v:polyline>
            </w:pict>
          </mc:Fallback>
        </mc:AlternateContent>
      </w:r>
      <w:r w:rsidR="002C5025">
        <w:rPr>
          <w:rFonts w:ascii="Arial" w:hAnsi="Arial" w:cs="Arial"/>
          <w:color w:val="4D5254"/>
          <w:w w:val="95"/>
          <w:sz w:val="19"/>
          <w:szCs w:val="19"/>
        </w:rPr>
        <w:t>Phone: 508-875-79</w:t>
      </w:r>
      <w:r w:rsidR="002C5025">
        <w:rPr>
          <w:rFonts w:ascii="Arial" w:hAnsi="Arial" w:cs="Arial"/>
          <w:color w:val="2D3331"/>
          <w:w w:val="95"/>
          <w:sz w:val="19"/>
          <w:szCs w:val="19"/>
        </w:rPr>
        <w:t>0</w:t>
      </w:r>
      <w:r w:rsidR="002C5025">
        <w:rPr>
          <w:rFonts w:ascii="Arial" w:hAnsi="Arial" w:cs="Arial"/>
          <w:color w:val="4D5254"/>
          <w:w w:val="95"/>
          <w:sz w:val="19"/>
          <w:szCs w:val="19"/>
        </w:rPr>
        <w:t>0</w:t>
      </w:r>
    </w:p>
    <w:p w:rsidR="002C5025" w:rsidRDefault="002C5025">
      <w:pPr>
        <w:pStyle w:val="BodyText"/>
        <w:kinsoku w:val="0"/>
        <w:overflowPunct w:val="0"/>
        <w:spacing w:before="2"/>
        <w:ind w:left="1326"/>
        <w:rPr>
          <w:rFonts w:ascii="Arial" w:hAnsi="Arial" w:cs="Arial"/>
          <w:color w:val="4D5254"/>
          <w:sz w:val="19"/>
          <w:szCs w:val="19"/>
        </w:rPr>
      </w:pPr>
      <w:r>
        <w:rPr>
          <w:rFonts w:ascii="Arial" w:hAnsi="Arial" w:cs="Arial"/>
          <w:color w:val="4D5254"/>
          <w:sz w:val="19"/>
          <w:szCs w:val="19"/>
        </w:rPr>
        <w:t>Fax: 508-875-0010</w:t>
      </w:r>
    </w:p>
    <w:p w:rsidR="002C5025" w:rsidRDefault="002C5025">
      <w:pPr>
        <w:pStyle w:val="BodyText"/>
        <w:kinsoku w:val="0"/>
        <w:overflowPunct w:val="0"/>
        <w:spacing w:before="16"/>
        <w:ind w:left="1403"/>
        <w:rPr>
          <w:rFonts w:ascii="Arial" w:hAnsi="Arial" w:cs="Arial"/>
          <w:color w:val="4D5254"/>
          <w:w w:val="105"/>
          <w:sz w:val="19"/>
          <w:szCs w:val="19"/>
        </w:rPr>
      </w:pPr>
      <w:r>
        <w:rPr>
          <w:rFonts w:ascii="Arial" w:hAnsi="Arial" w:cs="Arial"/>
          <w:color w:val="4D5254"/>
          <w:w w:val="105"/>
          <w:sz w:val="19"/>
          <w:szCs w:val="19"/>
        </w:rPr>
        <w:t>maoptometry.org</w:t>
      </w:r>
    </w:p>
    <w:p w:rsidR="002C5025" w:rsidRDefault="002C5025">
      <w:pPr>
        <w:pStyle w:val="BodyText"/>
        <w:kinsoku w:val="0"/>
        <w:overflowPunct w:val="0"/>
        <w:spacing w:before="16"/>
        <w:ind w:left="1403"/>
        <w:rPr>
          <w:rFonts w:ascii="Arial" w:hAnsi="Arial" w:cs="Arial"/>
          <w:color w:val="4D5254"/>
          <w:w w:val="105"/>
          <w:sz w:val="19"/>
          <w:szCs w:val="19"/>
        </w:rPr>
        <w:sectPr w:rsidR="002C5025">
          <w:pgSz w:w="11880" w:h="15410"/>
          <w:pgMar w:top="1400" w:right="1220" w:bottom="280" w:left="1160" w:header="720" w:footer="720" w:gutter="0"/>
          <w:cols w:num="2" w:space="720" w:equalWidth="0">
            <w:col w:w="6245" w:space="156"/>
            <w:col w:w="3099"/>
          </w:cols>
          <w:noEndnote/>
        </w:sectPr>
      </w:pPr>
    </w:p>
    <w:p w:rsidR="002C5025" w:rsidRDefault="002C5025">
      <w:pPr>
        <w:pStyle w:val="BodyText"/>
        <w:kinsoku w:val="0"/>
        <w:overflowPunct w:val="0"/>
        <w:spacing w:before="78"/>
        <w:ind w:right="1804"/>
        <w:jc w:val="right"/>
        <w:rPr>
          <w:rFonts w:ascii="Times New Roman" w:hAnsi="Times New Roman" w:cs="Times New Roman"/>
          <w:color w:val="646769"/>
        </w:rPr>
      </w:pPr>
      <w:bookmarkStart w:id="220" w:name="J_u_ly_15,_2016"/>
      <w:bookmarkEnd w:id="220"/>
      <w:r>
        <w:rPr>
          <w:rFonts w:ascii="Times New Roman" w:hAnsi="Times New Roman" w:cs="Times New Roman"/>
          <w:color w:val="4D5254"/>
        </w:rPr>
        <w:lastRenderedPageBreak/>
        <w:t>Ju</w:t>
      </w:r>
      <w:r>
        <w:rPr>
          <w:rFonts w:ascii="Times New Roman" w:hAnsi="Times New Roman" w:cs="Times New Roman"/>
          <w:color w:val="2D3331"/>
        </w:rPr>
        <w:t>l</w:t>
      </w:r>
      <w:r>
        <w:rPr>
          <w:rFonts w:ascii="Times New Roman" w:hAnsi="Times New Roman" w:cs="Times New Roman"/>
          <w:color w:val="646769"/>
        </w:rPr>
        <w:t xml:space="preserve">y </w:t>
      </w:r>
      <w:r>
        <w:rPr>
          <w:rFonts w:ascii="Times New Roman" w:hAnsi="Times New Roman" w:cs="Times New Roman"/>
          <w:color w:val="4D5254"/>
        </w:rPr>
        <w:t>15</w:t>
      </w:r>
      <w:r>
        <w:rPr>
          <w:rFonts w:ascii="Times New Roman" w:hAnsi="Times New Roman" w:cs="Times New Roman"/>
          <w:color w:val="797C7E"/>
        </w:rPr>
        <w:t>,</w:t>
      </w:r>
      <w:r>
        <w:rPr>
          <w:rFonts w:ascii="Times New Roman" w:hAnsi="Times New Roman" w:cs="Times New Roman"/>
          <w:color w:val="646769"/>
        </w:rPr>
        <w:t>2016</w:t>
      </w:r>
    </w:p>
    <w:p w:rsidR="002C5025" w:rsidRDefault="002C5025">
      <w:pPr>
        <w:pStyle w:val="BodyText"/>
        <w:kinsoku w:val="0"/>
        <w:overflowPunct w:val="0"/>
        <w:spacing w:before="8"/>
        <w:rPr>
          <w:rFonts w:ascii="Times New Roman" w:hAnsi="Times New Roman" w:cs="Times New Roman"/>
          <w:sz w:val="20"/>
          <w:szCs w:val="20"/>
        </w:rPr>
      </w:pPr>
    </w:p>
    <w:p w:rsidR="002C5025" w:rsidRDefault="002C5025">
      <w:pPr>
        <w:pStyle w:val="BodyText"/>
        <w:kinsoku w:val="0"/>
        <w:overflowPunct w:val="0"/>
        <w:spacing w:before="73"/>
        <w:ind w:left="114"/>
        <w:jc w:val="both"/>
        <w:rPr>
          <w:rFonts w:ascii="Times New Roman" w:hAnsi="Times New Roman" w:cs="Times New Roman"/>
          <w:color w:val="646769"/>
        </w:rPr>
      </w:pPr>
      <w:r>
        <w:rPr>
          <w:rFonts w:ascii="Times New Roman" w:hAnsi="Times New Roman" w:cs="Times New Roman"/>
          <w:color w:val="4D5254"/>
        </w:rPr>
        <w:t xml:space="preserve">Ms. Marylou </w:t>
      </w:r>
      <w:r>
        <w:rPr>
          <w:rFonts w:ascii="Times New Roman" w:hAnsi="Times New Roman" w:cs="Times New Roman"/>
          <w:color w:val="646769"/>
        </w:rPr>
        <w:t>Sudders, Secretary</w:t>
      </w:r>
    </w:p>
    <w:p w:rsidR="002C5025" w:rsidRDefault="002C5025">
      <w:pPr>
        <w:pStyle w:val="BodyText"/>
        <w:kinsoku w:val="0"/>
        <w:overflowPunct w:val="0"/>
        <w:spacing w:before="40" w:line="261" w:lineRule="auto"/>
        <w:ind w:left="107" w:right="5125" w:firstLine="14"/>
        <w:rPr>
          <w:rFonts w:ascii="Times New Roman" w:hAnsi="Times New Roman" w:cs="Times New Roman"/>
          <w:color w:val="646769"/>
          <w:w w:val="95"/>
        </w:rPr>
      </w:pPr>
      <w:r>
        <w:rPr>
          <w:rFonts w:ascii="Times New Roman" w:hAnsi="Times New Roman" w:cs="Times New Roman"/>
          <w:color w:val="646769"/>
        </w:rPr>
        <w:t xml:space="preserve">Executive </w:t>
      </w:r>
      <w:r>
        <w:rPr>
          <w:rFonts w:ascii="Times New Roman" w:hAnsi="Times New Roman" w:cs="Times New Roman"/>
          <w:color w:val="4D5254"/>
        </w:rPr>
        <w:t xml:space="preserve">Office </w:t>
      </w:r>
      <w:r>
        <w:rPr>
          <w:rFonts w:ascii="Times New Roman" w:hAnsi="Times New Roman" w:cs="Times New Roman"/>
          <w:color w:val="646769"/>
        </w:rPr>
        <w:t xml:space="preserve">of </w:t>
      </w:r>
      <w:r>
        <w:rPr>
          <w:rFonts w:ascii="Times New Roman" w:hAnsi="Times New Roman" w:cs="Times New Roman"/>
          <w:color w:val="4D5254"/>
        </w:rPr>
        <w:t xml:space="preserve">Health and </w:t>
      </w:r>
      <w:r>
        <w:rPr>
          <w:rFonts w:ascii="Times New Roman" w:hAnsi="Times New Roman" w:cs="Times New Roman"/>
          <w:color w:val="4D5254"/>
          <w:spacing w:val="-3"/>
        </w:rPr>
        <w:t xml:space="preserve">Human </w:t>
      </w:r>
      <w:r>
        <w:rPr>
          <w:rFonts w:ascii="Times New Roman" w:hAnsi="Times New Roman" w:cs="Times New Roman"/>
          <w:color w:val="646769"/>
        </w:rPr>
        <w:t xml:space="preserve">Services </w:t>
      </w:r>
      <w:r>
        <w:rPr>
          <w:rFonts w:ascii="Times New Roman" w:hAnsi="Times New Roman" w:cs="Times New Roman"/>
          <w:color w:val="4D5254"/>
          <w:w w:val="95"/>
        </w:rPr>
        <w:t xml:space="preserve">One Ashbu1ton Place, </w:t>
      </w:r>
      <w:r>
        <w:rPr>
          <w:rFonts w:ascii="Times New Roman" w:hAnsi="Times New Roman" w:cs="Times New Roman"/>
          <w:color w:val="646769"/>
          <w:spacing w:val="5"/>
          <w:w w:val="95"/>
        </w:rPr>
        <w:t>11</w:t>
      </w:r>
      <w:r>
        <w:rPr>
          <w:rFonts w:ascii="Arial" w:hAnsi="Arial" w:cs="Arial"/>
          <w:color w:val="797C7E"/>
          <w:spacing w:val="5"/>
          <w:w w:val="95"/>
          <w:sz w:val="18"/>
          <w:szCs w:val="18"/>
        </w:rPr>
        <w:t xml:space="preserve">rn </w:t>
      </w:r>
      <w:r>
        <w:rPr>
          <w:rFonts w:ascii="Times New Roman" w:hAnsi="Times New Roman" w:cs="Times New Roman"/>
          <w:color w:val="646769"/>
          <w:w w:val="95"/>
        </w:rPr>
        <w:t>Floor</w:t>
      </w:r>
    </w:p>
    <w:p w:rsidR="002C5025" w:rsidRDefault="002C5025">
      <w:pPr>
        <w:pStyle w:val="BodyText"/>
        <w:kinsoku w:val="0"/>
        <w:overflowPunct w:val="0"/>
        <w:spacing w:before="20"/>
        <w:ind w:left="121"/>
        <w:jc w:val="both"/>
        <w:rPr>
          <w:rFonts w:ascii="Times New Roman" w:hAnsi="Times New Roman" w:cs="Times New Roman"/>
          <w:color w:val="4D5254"/>
        </w:rPr>
      </w:pPr>
      <w:r>
        <w:rPr>
          <w:rFonts w:ascii="Times New Roman" w:hAnsi="Times New Roman" w:cs="Times New Roman"/>
          <w:color w:val="4D5254"/>
        </w:rPr>
        <w:t>Boston</w:t>
      </w:r>
      <w:r>
        <w:rPr>
          <w:rFonts w:ascii="Times New Roman" w:hAnsi="Times New Roman" w:cs="Times New Roman"/>
          <w:color w:val="797C7E"/>
        </w:rPr>
        <w:t xml:space="preserve">, </w:t>
      </w:r>
      <w:r>
        <w:rPr>
          <w:rFonts w:ascii="Times New Roman" w:hAnsi="Times New Roman" w:cs="Times New Roman"/>
          <w:color w:val="4D5254"/>
        </w:rPr>
        <w:t xml:space="preserve">MA </w:t>
      </w:r>
      <w:r>
        <w:rPr>
          <w:rFonts w:ascii="Times New Roman" w:hAnsi="Times New Roman" w:cs="Times New Roman"/>
          <w:color w:val="646769"/>
        </w:rPr>
        <w:t>021</w:t>
      </w:r>
      <w:r>
        <w:rPr>
          <w:rFonts w:ascii="Times New Roman" w:hAnsi="Times New Roman" w:cs="Times New Roman"/>
          <w:color w:val="4D5254"/>
        </w:rPr>
        <w:t>08</w:t>
      </w:r>
    </w:p>
    <w:p w:rsidR="002C5025" w:rsidRDefault="002C5025">
      <w:pPr>
        <w:pStyle w:val="BodyText"/>
        <w:kinsoku w:val="0"/>
        <w:overflowPunct w:val="0"/>
        <w:spacing w:before="5"/>
        <w:rPr>
          <w:rFonts w:ascii="Times New Roman" w:hAnsi="Times New Roman" w:cs="Times New Roman"/>
          <w:sz w:val="28"/>
          <w:szCs w:val="28"/>
        </w:rPr>
      </w:pPr>
    </w:p>
    <w:p w:rsidR="002C5025" w:rsidRDefault="002C5025">
      <w:pPr>
        <w:pStyle w:val="BodyText"/>
        <w:kinsoku w:val="0"/>
        <w:overflowPunct w:val="0"/>
        <w:spacing w:before="1"/>
        <w:ind w:left="114"/>
        <w:jc w:val="both"/>
        <w:rPr>
          <w:rFonts w:ascii="Times New Roman" w:hAnsi="Times New Roman" w:cs="Times New Roman"/>
          <w:color w:val="646769"/>
        </w:rPr>
      </w:pPr>
      <w:proofErr w:type="spellStart"/>
      <w:r>
        <w:rPr>
          <w:rFonts w:ascii="Times New Roman" w:hAnsi="Times New Roman" w:cs="Times New Roman"/>
          <w:color w:val="4D5254"/>
        </w:rPr>
        <w:t>Mr</w:t>
      </w:r>
      <w:r>
        <w:rPr>
          <w:rFonts w:ascii="Times New Roman" w:hAnsi="Times New Roman" w:cs="Times New Roman"/>
          <w:color w:val="797C7E"/>
        </w:rPr>
        <w:t>.</w:t>
      </w:r>
      <w:r>
        <w:rPr>
          <w:rFonts w:ascii="Times New Roman" w:hAnsi="Times New Roman" w:cs="Times New Roman"/>
          <w:color w:val="4D5254"/>
        </w:rPr>
        <w:t>Daniel</w:t>
      </w:r>
      <w:proofErr w:type="spellEnd"/>
      <w:r>
        <w:rPr>
          <w:rFonts w:ascii="Times New Roman" w:hAnsi="Times New Roman" w:cs="Times New Roman"/>
          <w:color w:val="4D5254"/>
        </w:rPr>
        <w:t xml:space="preserve"> </w:t>
      </w:r>
      <w:r>
        <w:rPr>
          <w:rFonts w:ascii="Times New Roman" w:hAnsi="Times New Roman" w:cs="Times New Roman"/>
          <w:color w:val="646769"/>
        </w:rPr>
        <w:t xml:space="preserve">Tsai, </w:t>
      </w:r>
      <w:r>
        <w:rPr>
          <w:rFonts w:ascii="Times New Roman" w:hAnsi="Times New Roman" w:cs="Times New Roman"/>
          <w:color w:val="4D5254"/>
        </w:rPr>
        <w:t xml:space="preserve">Assistant </w:t>
      </w:r>
      <w:r>
        <w:rPr>
          <w:rFonts w:ascii="Times New Roman" w:hAnsi="Times New Roman" w:cs="Times New Roman"/>
          <w:color w:val="646769"/>
        </w:rPr>
        <w:t>Secretary</w:t>
      </w:r>
    </w:p>
    <w:p w:rsidR="002C5025" w:rsidRDefault="002C5025">
      <w:pPr>
        <w:pStyle w:val="BodyText"/>
        <w:kinsoku w:val="0"/>
        <w:overflowPunct w:val="0"/>
        <w:spacing w:before="40" w:line="261" w:lineRule="auto"/>
        <w:ind w:left="107" w:right="2770" w:hanging="1"/>
        <w:rPr>
          <w:rFonts w:ascii="Times New Roman" w:hAnsi="Times New Roman" w:cs="Times New Roman"/>
          <w:color w:val="4D5254"/>
        </w:rPr>
      </w:pPr>
      <w:r>
        <w:rPr>
          <w:rFonts w:ascii="Times New Roman" w:hAnsi="Times New Roman" w:cs="Times New Roman"/>
          <w:color w:val="646769"/>
        </w:rPr>
        <w:t>Executive</w:t>
      </w:r>
      <w:r>
        <w:rPr>
          <w:rFonts w:ascii="Times New Roman" w:hAnsi="Times New Roman" w:cs="Times New Roman"/>
          <w:color w:val="646769"/>
          <w:spacing w:val="-7"/>
        </w:rPr>
        <w:t xml:space="preserve"> </w:t>
      </w:r>
      <w:r>
        <w:rPr>
          <w:rFonts w:ascii="Times New Roman" w:hAnsi="Times New Roman" w:cs="Times New Roman"/>
          <w:color w:val="646769"/>
        </w:rPr>
        <w:t>Office</w:t>
      </w:r>
      <w:r>
        <w:rPr>
          <w:rFonts w:ascii="Times New Roman" w:hAnsi="Times New Roman" w:cs="Times New Roman"/>
          <w:color w:val="646769"/>
          <w:spacing w:val="-22"/>
        </w:rPr>
        <w:t xml:space="preserve"> </w:t>
      </w:r>
      <w:r>
        <w:rPr>
          <w:rFonts w:ascii="Times New Roman" w:hAnsi="Times New Roman" w:cs="Times New Roman"/>
          <w:color w:val="646769"/>
        </w:rPr>
        <w:t>of</w:t>
      </w:r>
      <w:r>
        <w:rPr>
          <w:rFonts w:ascii="Times New Roman" w:hAnsi="Times New Roman" w:cs="Times New Roman"/>
          <w:color w:val="646769"/>
          <w:spacing w:val="-19"/>
        </w:rPr>
        <w:t xml:space="preserve"> </w:t>
      </w:r>
      <w:r>
        <w:rPr>
          <w:rFonts w:ascii="Times New Roman" w:hAnsi="Times New Roman" w:cs="Times New Roman"/>
          <w:color w:val="4D5254"/>
          <w:spacing w:val="-3"/>
        </w:rPr>
        <w:t>Health</w:t>
      </w:r>
      <w:r>
        <w:rPr>
          <w:rFonts w:ascii="Times New Roman" w:hAnsi="Times New Roman" w:cs="Times New Roman"/>
          <w:color w:val="4D5254"/>
          <w:spacing w:val="-22"/>
        </w:rPr>
        <w:t xml:space="preserve"> </w:t>
      </w:r>
      <w:r>
        <w:rPr>
          <w:rFonts w:ascii="Times New Roman" w:hAnsi="Times New Roman" w:cs="Times New Roman"/>
          <w:color w:val="646769"/>
        </w:rPr>
        <w:t>and</w:t>
      </w:r>
      <w:r>
        <w:rPr>
          <w:rFonts w:ascii="Times New Roman" w:hAnsi="Times New Roman" w:cs="Times New Roman"/>
          <w:color w:val="646769"/>
          <w:spacing w:val="-5"/>
        </w:rPr>
        <w:t xml:space="preserve"> </w:t>
      </w:r>
      <w:r>
        <w:rPr>
          <w:rFonts w:ascii="Times New Roman" w:hAnsi="Times New Roman" w:cs="Times New Roman"/>
          <w:color w:val="4D5254"/>
        </w:rPr>
        <w:t>Human</w:t>
      </w:r>
      <w:r>
        <w:rPr>
          <w:rFonts w:ascii="Times New Roman" w:hAnsi="Times New Roman" w:cs="Times New Roman"/>
          <w:color w:val="4D5254"/>
          <w:spacing w:val="-3"/>
        </w:rPr>
        <w:t xml:space="preserve"> </w:t>
      </w:r>
      <w:r>
        <w:rPr>
          <w:rFonts w:ascii="Times New Roman" w:hAnsi="Times New Roman" w:cs="Times New Roman"/>
          <w:color w:val="646769"/>
        </w:rPr>
        <w:t>Services,</w:t>
      </w:r>
      <w:r>
        <w:rPr>
          <w:rFonts w:ascii="Times New Roman" w:hAnsi="Times New Roman" w:cs="Times New Roman"/>
          <w:color w:val="646769"/>
          <w:spacing w:val="-17"/>
        </w:rPr>
        <w:t xml:space="preserve"> </w:t>
      </w:r>
      <w:r>
        <w:rPr>
          <w:rFonts w:ascii="Times New Roman" w:hAnsi="Times New Roman" w:cs="Times New Roman"/>
          <w:color w:val="4D5254"/>
        </w:rPr>
        <w:t>Division</w:t>
      </w:r>
      <w:r>
        <w:rPr>
          <w:rFonts w:ascii="Times New Roman" w:hAnsi="Times New Roman" w:cs="Times New Roman"/>
          <w:color w:val="4D5254"/>
          <w:spacing w:val="-15"/>
        </w:rPr>
        <w:t xml:space="preserve"> </w:t>
      </w:r>
      <w:r>
        <w:rPr>
          <w:rFonts w:ascii="Times New Roman" w:hAnsi="Times New Roman" w:cs="Times New Roman"/>
          <w:color w:val="646769"/>
        </w:rPr>
        <w:t>of</w:t>
      </w:r>
      <w:r>
        <w:rPr>
          <w:rFonts w:ascii="Times New Roman" w:hAnsi="Times New Roman" w:cs="Times New Roman"/>
          <w:color w:val="646769"/>
          <w:spacing w:val="-19"/>
        </w:rPr>
        <w:t xml:space="preserve"> </w:t>
      </w:r>
      <w:r>
        <w:rPr>
          <w:rFonts w:ascii="Times New Roman" w:hAnsi="Times New Roman" w:cs="Times New Roman"/>
          <w:color w:val="4D5254"/>
          <w:spacing w:val="-4"/>
        </w:rPr>
        <w:t>Ma</w:t>
      </w:r>
      <w:r>
        <w:rPr>
          <w:rFonts w:ascii="Times New Roman" w:hAnsi="Times New Roman" w:cs="Times New Roman"/>
          <w:color w:val="797C7E"/>
          <w:spacing w:val="-4"/>
        </w:rPr>
        <w:t>ss</w:t>
      </w:r>
      <w:r>
        <w:rPr>
          <w:rFonts w:ascii="Times New Roman" w:hAnsi="Times New Roman" w:cs="Times New Roman"/>
          <w:color w:val="4D5254"/>
          <w:spacing w:val="-4"/>
        </w:rPr>
        <w:t xml:space="preserve">Health </w:t>
      </w:r>
      <w:r>
        <w:rPr>
          <w:rFonts w:ascii="Times New Roman" w:hAnsi="Times New Roman" w:cs="Times New Roman"/>
          <w:color w:val="4D5254"/>
        </w:rPr>
        <w:t>One</w:t>
      </w:r>
      <w:r>
        <w:rPr>
          <w:rFonts w:ascii="Times New Roman" w:hAnsi="Times New Roman" w:cs="Times New Roman"/>
          <w:color w:val="4D5254"/>
          <w:spacing w:val="-44"/>
        </w:rPr>
        <w:t xml:space="preserve"> </w:t>
      </w:r>
      <w:r>
        <w:rPr>
          <w:rFonts w:ascii="Times New Roman" w:hAnsi="Times New Roman" w:cs="Times New Roman"/>
          <w:color w:val="4D5254"/>
        </w:rPr>
        <w:t>Ashburton Place, I I</w:t>
      </w:r>
      <w:r>
        <w:rPr>
          <w:rFonts w:ascii="Times New Roman" w:hAnsi="Times New Roman" w:cs="Times New Roman"/>
          <w:color w:val="898C8C"/>
          <w:sz w:val="15"/>
          <w:szCs w:val="15"/>
        </w:rPr>
        <w:t>1h</w:t>
      </w:r>
      <w:r>
        <w:rPr>
          <w:rFonts w:ascii="Times New Roman" w:hAnsi="Times New Roman" w:cs="Times New Roman"/>
          <w:color w:val="4D5254"/>
        </w:rPr>
        <w:t>Floor</w:t>
      </w:r>
    </w:p>
    <w:p w:rsidR="002C5025" w:rsidRDefault="002C5025">
      <w:pPr>
        <w:pStyle w:val="BodyText"/>
        <w:kinsoku w:val="0"/>
        <w:overflowPunct w:val="0"/>
        <w:spacing w:before="20"/>
        <w:ind w:left="121"/>
        <w:jc w:val="both"/>
        <w:rPr>
          <w:rFonts w:ascii="Times New Roman" w:hAnsi="Times New Roman" w:cs="Times New Roman"/>
          <w:color w:val="646769"/>
        </w:rPr>
      </w:pPr>
      <w:r>
        <w:rPr>
          <w:rFonts w:ascii="Times New Roman" w:hAnsi="Times New Roman" w:cs="Times New Roman"/>
          <w:color w:val="4D5254"/>
        </w:rPr>
        <w:t xml:space="preserve">Boston </w:t>
      </w:r>
      <w:r>
        <w:rPr>
          <w:rFonts w:ascii="Times New Roman" w:hAnsi="Times New Roman" w:cs="Times New Roman"/>
          <w:color w:val="797C7E"/>
        </w:rPr>
        <w:t xml:space="preserve">, </w:t>
      </w:r>
      <w:r>
        <w:rPr>
          <w:rFonts w:ascii="Times New Roman" w:hAnsi="Times New Roman" w:cs="Times New Roman"/>
          <w:color w:val="4D5254"/>
        </w:rPr>
        <w:t xml:space="preserve">MA </w:t>
      </w:r>
      <w:r>
        <w:rPr>
          <w:rFonts w:ascii="Times New Roman" w:hAnsi="Times New Roman" w:cs="Times New Roman"/>
          <w:color w:val="646769"/>
        </w:rPr>
        <w:t>02108</w:t>
      </w:r>
    </w:p>
    <w:p w:rsidR="002C5025" w:rsidRDefault="002C5025">
      <w:pPr>
        <w:pStyle w:val="BodyText"/>
        <w:kinsoku w:val="0"/>
        <w:overflowPunct w:val="0"/>
        <w:spacing w:before="10"/>
        <w:rPr>
          <w:rFonts w:ascii="Times New Roman" w:hAnsi="Times New Roman" w:cs="Times New Roman"/>
          <w:sz w:val="27"/>
          <w:szCs w:val="27"/>
        </w:rPr>
      </w:pPr>
    </w:p>
    <w:p w:rsidR="002C5025" w:rsidRDefault="002C5025">
      <w:pPr>
        <w:pStyle w:val="BodyText"/>
        <w:kinsoku w:val="0"/>
        <w:overflowPunct w:val="0"/>
        <w:spacing w:line="542" w:lineRule="auto"/>
        <w:ind w:left="107" w:right="3745"/>
        <w:rPr>
          <w:rFonts w:ascii="Times New Roman" w:hAnsi="Times New Roman" w:cs="Times New Roman"/>
          <w:color w:val="646769"/>
        </w:rPr>
      </w:pPr>
      <w:r>
        <w:rPr>
          <w:rFonts w:ascii="Times New Roman" w:hAnsi="Times New Roman" w:cs="Times New Roman"/>
          <w:color w:val="4D5254"/>
        </w:rPr>
        <w:t xml:space="preserve">Re: MassHealth </w:t>
      </w:r>
      <w:r>
        <w:rPr>
          <w:rFonts w:ascii="Times New Roman" w:hAnsi="Times New Roman" w:cs="Times New Roman"/>
          <w:color w:val="646769"/>
        </w:rPr>
        <w:t xml:space="preserve">Section </w:t>
      </w:r>
      <w:r>
        <w:rPr>
          <w:rFonts w:ascii="Times New Roman" w:hAnsi="Times New Roman" w:cs="Times New Roman"/>
          <w:color w:val="4D5254"/>
        </w:rPr>
        <w:t xml:space="preserve">1115Demonstration </w:t>
      </w:r>
      <w:r>
        <w:rPr>
          <w:rFonts w:ascii="Times New Roman" w:hAnsi="Times New Roman" w:cs="Times New Roman"/>
          <w:color w:val="646769"/>
        </w:rPr>
        <w:t xml:space="preserve">Extension </w:t>
      </w:r>
      <w:r>
        <w:rPr>
          <w:rFonts w:ascii="Times New Roman" w:hAnsi="Times New Roman" w:cs="Times New Roman"/>
          <w:color w:val="4D5254"/>
        </w:rPr>
        <w:t xml:space="preserve">Request Dear Secretary Sudders </w:t>
      </w:r>
      <w:r>
        <w:rPr>
          <w:rFonts w:ascii="Times New Roman" w:hAnsi="Times New Roman" w:cs="Times New Roman"/>
          <w:color w:val="646769"/>
        </w:rPr>
        <w:t xml:space="preserve">and Assistant </w:t>
      </w:r>
      <w:r>
        <w:rPr>
          <w:rFonts w:ascii="Times New Roman" w:hAnsi="Times New Roman" w:cs="Times New Roman"/>
          <w:color w:val="4D5254"/>
        </w:rPr>
        <w:t xml:space="preserve">Secretary </w:t>
      </w:r>
      <w:r>
        <w:rPr>
          <w:rFonts w:ascii="Times New Roman" w:hAnsi="Times New Roman" w:cs="Times New Roman"/>
          <w:color w:val="646769"/>
        </w:rPr>
        <w:t>Tsai,</w:t>
      </w:r>
    </w:p>
    <w:p w:rsidR="002C5025" w:rsidRDefault="002C5025">
      <w:pPr>
        <w:pStyle w:val="BodyText"/>
        <w:kinsoku w:val="0"/>
        <w:overflowPunct w:val="0"/>
        <w:spacing w:before="16" w:line="268" w:lineRule="auto"/>
        <w:ind w:left="107" w:right="127" w:firstLine="7"/>
        <w:jc w:val="both"/>
        <w:rPr>
          <w:rFonts w:ascii="Times New Roman" w:hAnsi="Times New Roman" w:cs="Times New Roman"/>
          <w:color w:val="646769"/>
          <w:w w:val="95"/>
        </w:rPr>
      </w:pPr>
      <w:r>
        <w:rPr>
          <w:rFonts w:ascii="Times New Roman" w:hAnsi="Times New Roman" w:cs="Times New Roman"/>
          <w:color w:val="4D5254"/>
        </w:rPr>
        <w:t xml:space="preserve">I am </w:t>
      </w:r>
      <w:r>
        <w:rPr>
          <w:rFonts w:ascii="Times New Roman" w:hAnsi="Times New Roman" w:cs="Times New Roman"/>
          <w:color w:val="646769"/>
        </w:rPr>
        <w:t xml:space="preserve">writing </w:t>
      </w:r>
      <w:r>
        <w:rPr>
          <w:rFonts w:ascii="Times New Roman" w:hAnsi="Times New Roman" w:cs="Times New Roman"/>
          <w:color w:val="4D5254"/>
        </w:rPr>
        <w:t xml:space="preserve">to </w:t>
      </w:r>
      <w:r>
        <w:rPr>
          <w:rFonts w:ascii="Times New Roman" w:hAnsi="Times New Roman" w:cs="Times New Roman"/>
          <w:color w:val="646769"/>
        </w:rPr>
        <w:t xml:space="preserve">you on </w:t>
      </w:r>
      <w:r>
        <w:rPr>
          <w:rFonts w:ascii="Times New Roman" w:hAnsi="Times New Roman" w:cs="Times New Roman"/>
          <w:color w:val="4D5254"/>
        </w:rPr>
        <w:t xml:space="preserve">behalf </w:t>
      </w:r>
      <w:r>
        <w:rPr>
          <w:rFonts w:ascii="Times New Roman" w:hAnsi="Times New Roman" w:cs="Times New Roman"/>
          <w:color w:val="646769"/>
        </w:rPr>
        <w:t xml:space="preserve">of </w:t>
      </w:r>
      <w:r>
        <w:rPr>
          <w:rFonts w:ascii="Times New Roman" w:hAnsi="Times New Roman" w:cs="Times New Roman"/>
          <w:color w:val="646769"/>
          <w:spacing w:val="2"/>
        </w:rPr>
        <w:t>t</w:t>
      </w:r>
      <w:r>
        <w:rPr>
          <w:rFonts w:ascii="Times New Roman" w:hAnsi="Times New Roman" w:cs="Times New Roman"/>
          <w:color w:val="2D3331"/>
          <w:spacing w:val="2"/>
        </w:rPr>
        <w:t>h</w:t>
      </w:r>
      <w:r>
        <w:rPr>
          <w:rFonts w:ascii="Times New Roman" w:hAnsi="Times New Roman" w:cs="Times New Roman"/>
          <w:color w:val="646769"/>
          <w:spacing w:val="2"/>
        </w:rPr>
        <w:t xml:space="preserve">e </w:t>
      </w:r>
      <w:r>
        <w:rPr>
          <w:rFonts w:ascii="Times New Roman" w:hAnsi="Times New Roman" w:cs="Times New Roman"/>
          <w:color w:val="4D5254"/>
        </w:rPr>
        <w:t xml:space="preserve">Massachusetts Society </w:t>
      </w:r>
      <w:r>
        <w:rPr>
          <w:rFonts w:ascii="Times New Roman" w:hAnsi="Times New Roman" w:cs="Times New Roman"/>
          <w:color w:val="646769"/>
        </w:rPr>
        <w:t xml:space="preserve">of Optometrists (MSO), which </w:t>
      </w:r>
      <w:r>
        <w:rPr>
          <w:rFonts w:ascii="Times New Roman" w:hAnsi="Times New Roman" w:cs="Times New Roman"/>
          <w:color w:val="4D5254"/>
        </w:rPr>
        <w:t xml:space="preserve">has </w:t>
      </w:r>
      <w:r>
        <w:rPr>
          <w:rFonts w:ascii="Times New Roman" w:hAnsi="Times New Roman" w:cs="Times New Roman"/>
          <w:color w:val="646769"/>
        </w:rPr>
        <w:t xml:space="preserve">a </w:t>
      </w:r>
      <w:r>
        <w:rPr>
          <w:rFonts w:ascii="Times New Roman" w:hAnsi="Times New Roman" w:cs="Times New Roman"/>
          <w:color w:val="4D5254"/>
        </w:rPr>
        <w:t xml:space="preserve">membership </w:t>
      </w:r>
      <w:r>
        <w:rPr>
          <w:rFonts w:ascii="Times New Roman" w:hAnsi="Times New Roman" w:cs="Times New Roman"/>
          <w:color w:val="646769"/>
        </w:rPr>
        <w:t xml:space="preserve">of over seven </w:t>
      </w:r>
      <w:r>
        <w:rPr>
          <w:rFonts w:ascii="Times New Roman" w:hAnsi="Times New Roman" w:cs="Times New Roman"/>
          <w:color w:val="4D5254"/>
        </w:rPr>
        <w:t>hundred licen</w:t>
      </w:r>
      <w:r>
        <w:rPr>
          <w:rFonts w:ascii="Times New Roman" w:hAnsi="Times New Roman" w:cs="Times New Roman"/>
          <w:color w:val="797C7E"/>
        </w:rPr>
        <w:t xml:space="preserve">sed </w:t>
      </w:r>
      <w:r>
        <w:rPr>
          <w:rFonts w:ascii="Times New Roman" w:hAnsi="Times New Roman" w:cs="Times New Roman"/>
          <w:color w:val="646769"/>
        </w:rPr>
        <w:t xml:space="preserve">optometrists, </w:t>
      </w:r>
      <w:r>
        <w:rPr>
          <w:rFonts w:ascii="Times New Roman" w:hAnsi="Times New Roman" w:cs="Times New Roman"/>
          <w:color w:val="4D5254"/>
        </w:rPr>
        <w:t xml:space="preserve">representing </w:t>
      </w:r>
      <w:r>
        <w:rPr>
          <w:rFonts w:ascii="Times New Roman" w:hAnsi="Times New Roman" w:cs="Times New Roman"/>
          <w:color w:val="646769"/>
        </w:rPr>
        <w:t xml:space="preserve">the largest group of primary eye care </w:t>
      </w:r>
      <w:r>
        <w:rPr>
          <w:rFonts w:ascii="Times New Roman" w:hAnsi="Times New Roman" w:cs="Times New Roman"/>
          <w:color w:val="4D5254"/>
        </w:rPr>
        <w:t xml:space="preserve">providers in the </w:t>
      </w:r>
      <w:r>
        <w:rPr>
          <w:rFonts w:ascii="Times New Roman" w:hAnsi="Times New Roman" w:cs="Times New Roman"/>
          <w:color w:val="646769"/>
        </w:rPr>
        <w:t xml:space="preserve">Commonwealth. Optometrists currently render care in a variety of </w:t>
      </w:r>
      <w:r>
        <w:rPr>
          <w:rFonts w:ascii="Times New Roman" w:hAnsi="Times New Roman" w:cs="Times New Roman"/>
          <w:color w:val="4D5254"/>
        </w:rPr>
        <w:t xml:space="preserve">practice </w:t>
      </w:r>
      <w:r>
        <w:rPr>
          <w:rFonts w:ascii="Times New Roman" w:hAnsi="Times New Roman" w:cs="Times New Roman"/>
          <w:color w:val="646769"/>
        </w:rPr>
        <w:t xml:space="preserve">settings </w:t>
      </w:r>
      <w:r>
        <w:rPr>
          <w:rFonts w:ascii="Times New Roman" w:hAnsi="Times New Roman" w:cs="Times New Roman"/>
          <w:color w:val="4D5254"/>
        </w:rPr>
        <w:t xml:space="preserve">from </w:t>
      </w:r>
      <w:r>
        <w:rPr>
          <w:rFonts w:ascii="Times New Roman" w:hAnsi="Times New Roman" w:cs="Times New Roman"/>
          <w:color w:val="646769"/>
        </w:rPr>
        <w:t>standa</w:t>
      </w:r>
      <w:r>
        <w:rPr>
          <w:rFonts w:ascii="Times New Roman" w:hAnsi="Times New Roman" w:cs="Times New Roman"/>
          <w:color w:val="2D3331"/>
        </w:rPr>
        <w:t>l</w:t>
      </w:r>
      <w:r>
        <w:rPr>
          <w:rFonts w:ascii="Times New Roman" w:hAnsi="Times New Roman" w:cs="Times New Roman"/>
          <w:color w:val="646769"/>
        </w:rPr>
        <w:t xml:space="preserve">one </w:t>
      </w:r>
      <w:r>
        <w:rPr>
          <w:rFonts w:ascii="Times New Roman" w:hAnsi="Times New Roman" w:cs="Times New Roman"/>
          <w:color w:val="4D5254"/>
        </w:rPr>
        <w:t xml:space="preserve">independent </w:t>
      </w:r>
      <w:r w:rsidR="00347C9E">
        <w:rPr>
          <w:rFonts w:ascii="Times New Roman" w:hAnsi="Times New Roman" w:cs="Times New Roman"/>
          <w:color w:val="646769"/>
        </w:rPr>
        <w:t>office cl</w:t>
      </w:r>
      <w:r>
        <w:rPr>
          <w:rFonts w:ascii="Times New Roman" w:hAnsi="Times New Roman" w:cs="Times New Roman"/>
          <w:color w:val="646769"/>
          <w:spacing w:val="4"/>
        </w:rPr>
        <w:t xml:space="preserve">inics </w:t>
      </w:r>
      <w:r>
        <w:rPr>
          <w:rFonts w:ascii="Times New Roman" w:hAnsi="Times New Roman" w:cs="Times New Roman"/>
          <w:color w:val="4D5254"/>
        </w:rPr>
        <w:t xml:space="preserve">to </w:t>
      </w:r>
      <w:r>
        <w:rPr>
          <w:rFonts w:ascii="Times New Roman" w:hAnsi="Times New Roman" w:cs="Times New Roman"/>
          <w:color w:val="646769"/>
          <w:spacing w:val="-5"/>
        </w:rPr>
        <w:t xml:space="preserve">community </w:t>
      </w:r>
      <w:r>
        <w:rPr>
          <w:rFonts w:ascii="Times New Roman" w:hAnsi="Times New Roman" w:cs="Times New Roman"/>
          <w:color w:val="2D3331"/>
        </w:rPr>
        <w:t>h</w:t>
      </w:r>
      <w:r>
        <w:rPr>
          <w:rFonts w:ascii="Times New Roman" w:hAnsi="Times New Roman" w:cs="Times New Roman"/>
          <w:color w:val="646769"/>
        </w:rPr>
        <w:t xml:space="preserve">ealth centers and </w:t>
      </w:r>
      <w:r>
        <w:rPr>
          <w:rFonts w:ascii="Times New Roman" w:hAnsi="Times New Roman" w:cs="Times New Roman"/>
          <w:color w:val="4D5254"/>
        </w:rPr>
        <w:t xml:space="preserve">urban hospitals. As care delivery is </w:t>
      </w:r>
      <w:r>
        <w:rPr>
          <w:rFonts w:ascii="Times New Roman" w:hAnsi="Times New Roman" w:cs="Times New Roman"/>
          <w:color w:val="646769"/>
        </w:rPr>
        <w:t xml:space="preserve">shifting </w:t>
      </w:r>
      <w:r>
        <w:rPr>
          <w:rFonts w:ascii="Times New Roman" w:hAnsi="Times New Roman" w:cs="Times New Roman"/>
          <w:color w:val="4D5254"/>
        </w:rPr>
        <w:t xml:space="preserve">through the </w:t>
      </w:r>
      <w:r>
        <w:rPr>
          <w:rFonts w:ascii="Times New Roman" w:hAnsi="Times New Roman" w:cs="Times New Roman"/>
          <w:color w:val="646769"/>
        </w:rPr>
        <w:t xml:space="preserve">adoption of alternative </w:t>
      </w:r>
      <w:r>
        <w:rPr>
          <w:rFonts w:ascii="Times New Roman" w:hAnsi="Times New Roman" w:cs="Times New Roman"/>
          <w:color w:val="4D5254"/>
        </w:rPr>
        <w:t xml:space="preserve">payment methodologies </w:t>
      </w:r>
      <w:r>
        <w:rPr>
          <w:rFonts w:ascii="Times New Roman" w:hAnsi="Times New Roman" w:cs="Times New Roman"/>
          <w:color w:val="646769"/>
        </w:rPr>
        <w:t xml:space="preserve">(APMs) </w:t>
      </w:r>
      <w:r>
        <w:rPr>
          <w:rFonts w:ascii="Times New Roman" w:hAnsi="Times New Roman" w:cs="Times New Roman"/>
          <w:color w:val="4D5254"/>
        </w:rPr>
        <w:t>and implementation</w:t>
      </w:r>
      <w:r>
        <w:rPr>
          <w:rFonts w:ascii="Times New Roman" w:hAnsi="Times New Roman" w:cs="Times New Roman"/>
          <w:color w:val="4D5254"/>
          <w:spacing w:val="9"/>
        </w:rPr>
        <w:t xml:space="preserve"> </w:t>
      </w:r>
      <w:r>
        <w:rPr>
          <w:rFonts w:ascii="Times New Roman" w:hAnsi="Times New Roman" w:cs="Times New Roman"/>
          <w:color w:val="646769"/>
        </w:rPr>
        <w:t>of</w:t>
      </w:r>
      <w:r>
        <w:rPr>
          <w:rFonts w:ascii="Times New Roman" w:hAnsi="Times New Roman" w:cs="Times New Roman"/>
          <w:color w:val="646769"/>
          <w:spacing w:val="-12"/>
        </w:rPr>
        <w:t xml:space="preserve"> </w:t>
      </w:r>
      <w:r>
        <w:rPr>
          <w:rFonts w:ascii="Times New Roman" w:hAnsi="Times New Roman" w:cs="Times New Roman"/>
          <w:color w:val="4D5254"/>
        </w:rPr>
        <w:t>new</w:t>
      </w:r>
      <w:r>
        <w:rPr>
          <w:rFonts w:ascii="Times New Roman" w:hAnsi="Times New Roman" w:cs="Times New Roman"/>
          <w:color w:val="4D5254"/>
          <w:spacing w:val="-7"/>
        </w:rPr>
        <w:t xml:space="preserve"> </w:t>
      </w:r>
      <w:r>
        <w:rPr>
          <w:rFonts w:ascii="Times New Roman" w:hAnsi="Times New Roman" w:cs="Times New Roman"/>
          <w:color w:val="4D5254"/>
        </w:rPr>
        <w:t>health</w:t>
      </w:r>
      <w:r>
        <w:rPr>
          <w:rFonts w:ascii="Times New Roman" w:hAnsi="Times New Roman" w:cs="Times New Roman"/>
          <w:color w:val="4D5254"/>
          <w:spacing w:val="1"/>
        </w:rPr>
        <w:t xml:space="preserve"> </w:t>
      </w:r>
      <w:r>
        <w:rPr>
          <w:rFonts w:ascii="Times New Roman" w:hAnsi="Times New Roman" w:cs="Times New Roman"/>
          <w:color w:val="646769"/>
        </w:rPr>
        <w:t>care</w:t>
      </w:r>
      <w:r>
        <w:rPr>
          <w:rFonts w:ascii="Times New Roman" w:hAnsi="Times New Roman" w:cs="Times New Roman"/>
          <w:color w:val="646769"/>
          <w:spacing w:val="-15"/>
        </w:rPr>
        <w:t xml:space="preserve"> </w:t>
      </w:r>
      <w:r>
        <w:rPr>
          <w:rFonts w:ascii="Times New Roman" w:hAnsi="Times New Roman" w:cs="Times New Roman"/>
          <w:color w:val="4D5254"/>
        </w:rPr>
        <w:t>delivery</w:t>
      </w:r>
      <w:r>
        <w:rPr>
          <w:rFonts w:ascii="Times New Roman" w:hAnsi="Times New Roman" w:cs="Times New Roman"/>
          <w:color w:val="4D5254"/>
          <w:spacing w:val="-4"/>
        </w:rPr>
        <w:t xml:space="preserve"> </w:t>
      </w:r>
      <w:r>
        <w:rPr>
          <w:rFonts w:ascii="Times New Roman" w:hAnsi="Times New Roman" w:cs="Times New Roman"/>
          <w:color w:val="4D5254"/>
        </w:rPr>
        <w:t>models</w:t>
      </w:r>
      <w:r>
        <w:rPr>
          <w:rFonts w:ascii="Times New Roman" w:hAnsi="Times New Roman" w:cs="Times New Roman"/>
          <w:color w:val="797C7E"/>
        </w:rPr>
        <w:t>,</w:t>
      </w:r>
      <w:r>
        <w:rPr>
          <w:rFonts w:ascii="Times New Roman" w:hAnsi="Times New Roman" w:cs="Times New Roman"/>
          <w:color w:val="797C7E"/>
          <w:spacing w:val="-23"/>
        </w:rPr>
        <w:t xml:space="preserve"> </w:t>
      </w:r>
      <w:r>
        <w:rPr>
          <w:rFonts w:ascii="Times New Roman" w:hAnsi="Times New Roman" w:cs="Times New Roman"/>
          <w:color w:val="646769"/>
        </w:rPr>
        <w:t>such</w:t>
      </w:r>
      <w:r>
        <w:rPr>
          <w:rFonts w:ascii="Times New Roman" w:hAnsi="Times New Roman" w:cs="Times New Roman"/>
          <w:color w:val="646769"/>
          <w:spacing w:val="-4"/>
        </w:rPr>
        <w:t xml:space="preserve"> </w:t>
      </w:r>
      <w:r>
        <w:rPr>
          <w:rFonts w:ascii="Times New Roman" w:hAnsi="Times New Roman" w:cs="Times New Roman"/>
          <w:color w:val="646769"/>
        </w:rPr>
        <w:t>as</w:t>
      </w:r>
      <w:r>
        <w:rPr>
          <w:rFonts w:ascii="Times New Roman" w:hAnsi="Times New Roman" w:cs="Times New Roman"/>
          <w:color w:val="646769"/>
          <w:spacing w:val="-15"/>
        </w:rPr>
        <w:t xml:space="preserve"> </w:t>
      </w:r>
      <w:r>
        <w:rPr>
          <w:rFonts w:ascii="Times New Roman" w:hAnsi="Times New Roman" w:cs="Times New Roman"/>
          <w:color w:val="4D5254"/>
        </w:rPr>
        <w:t>Acc</w:t>
      </w:r>
      <w:r>
        <w:rPr>
          <w:rFonts w:ascii="Times New Roman" w:hAnsi="Times New Roman" w:cs="Times New Roman"/>
          <w:color w:val="797C7E"/>
        </w:rPr>
        <w:t>o</w:t>
      </w:r>
      <w:r>
        <w:rPr>
          <w:rFonts w:ascii="Times New Roman" w:hAnsi="Times New Roman" w:cs="Times New Roman"/>
          <w:color w:val="4D5254"/>
        </w:rPr>
        <w:t>untable</w:t>
      </w:r>
      <w:r>
        <w:rPr>
          <w:rFonts w:ascii="Times New Roman" w:hAnsi="Times New Roman" w:cs="Times New Roman"/>
          <w:color w:val="4D5254"/>
          <w:spacing w:val="-8"/>
        </w:rPr>
        <w:t xml:space="preserve"> </w:t>
      </w:r>
      <w:r>
        <w:rPr>
          <w:rFonts w:ascii="Times New Roman" w:hAnsi="Times New Roman" w:cs="Times New Roman"/>
          <w:color w:val="797C7E"/>
        </w:rPr>
        <w:t>Care</w:t>
      </w:r>
      <w:r>
        <w:rPr>
          <w:rFonts w:ascii="Times New Roman" w:hAnsi="Times New Roman" w:cs="Times New Roman"/>
          <w:color w:val="797C7E"/>
          <w:spacing w:val="-15"/>
        </w:rPr>
        <w:t xml:space="preserve"> </w:t>
      </w:r>
      <w:r>
        <w:rPr>
          <w:rFonts w:ascii="Times New Roman" w:hAnsi="Times New Roman" w:cs="Times New Roman"/>
          <w:color w:val="646769"/>
        </w:rPr>
        <w:t>Organizations</w:t>
      </w:r>
      <w:r>
        <w:rPr>
          <w:rFonts w:ascii="Times New Roman" w:hAnsi="Times New Roman" w:cs="Times New Roman"/>
          <w:color w:val="646769"/>
          <w:spacing w:val="-6"/>
        </w:rPr>
        <w:t xml:space="preserve"> </w:t>
      </w:r>
      <w:r>
        <w:rPr>
          <w:rFonts w:ascii="Times New Roman" w:hAnsi="Times New Roman" w:cs="Times New Roman"/>
          <w:color w:val="797C7E"/>
        </w:rPr>
        <w:t>(</w:t>
      </w:r>
      <w:r>
        <w:rPr>
          <w:rFonts w:ascii="Times New Roman" w:hAnsi="Times New Roman" w:cs="Times New Roman"/>
          <w:color w:val="4D5254"/>
        </w:rPr>
        <w:t>ACOs),</w:t>
      </w:r>
      <w:r>
        <w:rPr>
          <w:rFonts w:ascii="Times New Roman" w:hAnsi="Times New Roman" w:cs="Times New Roman"/>
          <w:color w:val="4D5254"/>
          <w:spacing w:val="-11"/>
        </w:rPr>
        <w:t xml:space="preserve"> </w:t>
      </w:r>
      <w:r>
        <w:rPr>
          <w:rFonts w:ascii="Times New Roman" w:hAnsi="Times New Roman" w:cs="Times New Roman"/>
          <w:color w:val="4D5254"/>
        </w:rPr>
        <w:t xml:space="preserve">the MSO respectfully urges the </w:t>
      </w:r>
      <w:r>
        <w:rPr>
          <w:rFonts w:ascii="Times New Roman" w:hAnsi="Times New Roman" w:cs="Times New Roman"/>
          <w:color w:val="646769"/>
          <w:spacing w:val="3"/>
        </w:rPr>
        <w:t>Execut</w:t>
      </w:r>
      <w:r>
        <w:rPr>
          <w:rFonts w:ascii="Times New Roman" w:hAnsi="Times New Roman" w:cs="Times New Roman"/>
          <w:color w:val="2D3331"/>
          <w:spacing w:val="3"/>
        </w:rPr>
        <w:t>i</w:t>
      </w:r>
      <w:r>
        <w:rPr>
          <w:rFonts w:ascii="Times New Roman" w:hAnsi="Times New Roman" w:cs="Times New Roman"/>
          <w:color w:val="646769"/>
          <w:spacing w:val="3"/>
        </w:rPr>
        <w:t xml:space="preserve">ve </w:t>
      </w:r>
      <w:r>
        <w:rPr>
          <w:rFonts w:ascii="Times New Roman" w:hAnsi="Times New Roman" w:cs="Times New Roman"/>
          <w:color w:val="646769"/>
        </w:rPr>
        <w:t xml:space="preserve">Office of </w:t>
      </w:r>
      <w:r>
        <w:rPr>
          <w:rFonts w:ascii="Times New Roman" w:hAnsi="Times New Roman" w:cs="Times New Roman"/>
          <w:color w:val="4D5254"/>
        </w:rPr>
        <w:t xml:space="preserve">Health and Human </w:t>
      </w:r>
      <w:r>
        <w:rPr>
          <w:rFonts w:ascii="Times New Roman" w:hAnsi="Times New Roman" w:cs="Times New Roman"/>
          <w:color w:val="646769"/>
        </w:rPr>
        <w:t xml:space="preserve">Services </w:t>
      </w:r>
      <w:r>
        <w:rPr>
          <w:rFonts w:ascii="Times New Roman" w:hAnsi="Times New Roman" w:cs="Times New Roman"/>
          <w:color w:val="4D5254"/>
        </w:rPr>
        <w:t xml:space="preserve">to </w:t>
      </w:r>
      <w:r>
        <w:rPr>
          <w:rFonts w:ascii="Times New Roman" w:hAnsi="Times New Roman" w:cs="Times New Roman"/>
          <w:color w:val="646769"/>
        </w:rPr>
        <w:t xml:space="preserve">embrace </w:t>
      </w:r>
      <w:r>
        <w:rPr>
          <w:rFonts w:ascii="Times New Roman" w:hAnsi="Times New Roman" w:cs="Times New Roman"/>
          <w:color w:val="4D5254"/>
        </w:rPr>
        <w:t xml:space="preserve">and incorporate the high </w:t>
      </w:r>
      <w:r>
        <w:rPr>
          <w:rFonts w:ascii="Times New Roman" w:hAnsi="Times New Roman" w:cs="Times New Roman"/>
          <w:color w:val="646769"/>
        </w:rPr>
        <w:t xml:space="preserve">value services </w:t>
      </w:r>
      <w:r>
        <w:rPr>
          <w:rFonts w:ascii="Times New Roman" w:hAnsi="Times New Roman" w:cs="Times New Roman"/>
          <w:color w:val="4D5254"/>
        </w:rPr>
        <w:t xml:space="preserve">delivered </w:t>
      </w:r>
      <w:r>
        <w:rPr>
          <w:rFonts w:ascii="Times New Roman" w:hAnsi="Times New Roman" w:cs="Times New Roman"/>
          <w:color w:val="646769"/>
        </w:rPr>
        <w:t xml:space="preserve">through </w:t>
      </w:r>
      <w:r>
        <w:rPr>
          <w:rFonts w:ascii="Times New Roman" w:hAnsi="Times New Roman" w:cs="Times New Roman"/>
          <w:color w:val="4D5254"/>
        </w:rPr>
        <w:t xml:space="preserve">independent, </w:t>
      </w:r>
      <w:r>
        <w:rPr>
          <w:rFonts w:ascii="Times New Roman" w:hAnsi="Times New Roman" w:cs="Times New Roman"/>
          <w:color w:val="646769"/>
        </w:rPr>
        <w:t xml:space="preserve">cost effective, community-based providers, such </w:t>
      </w:r>
      <w:r>
        <w:rPr>
          <w:rFonts w:ascii="Times New Roman" w:hAnsi="Times New Roman" w:cs="Times New Roman"/>
          <w:color w:val="646769"/>
          <w:w w:val="95"/>
        </w:rPr>
        <w:t>as</w:t>
      </w:r>
      <w:r>
        <w:rPr>
          <w:rFonts w:ascii="Times New Roman" w:hAnsi="Times New Roman" w:cs="Times New Roman"/>
          <w:color w:val="646769"/>
          <w:spacing w:val="12"/>
          <w:w w:val="95"/>
        </w:rPr>
        <w:t xml:space="preserve"> </w:t>
      </w:r>
      <w:r>
        <w:rPr>
          <w:rFonts w:ascii="Times New Roman" w:hAnsi="Times New Roman" w:cs="Times New Roman"/>
          <w:color w:val="646769"/>
          <w:w w:val="95"/>
        </w:rPr>
        <w:t>optometrists.</w:t>
      </w:r>
    </w:p>
    <w:p w:rsidR="002C5025" w:rsidRDefault="002C5025">
      <w:pPr>
        <w:pStyle w:val="BodyText"/>
        <w:kinsoku w:val="0"/>
        <w:overflowPunct w:val="0"/>
        <w:spacing w:before="8"/>
        <w:rPr>
          <w:rFonts w:ascii="Times New Roman" w:hAnsi="Times New Roman" w:cs="Times New Roman"/>
          <w:sz w:val="25"/>
          <w:szCs w:val="25"/>
        </w:rPr>
      </w:pPr>
    </w:p>
    <w:p w:rsidR="002C5025" w:rsidRDefault="002C5025">
      <w:pPr>
        <w:pStyle w:val="BodyText"/>
        <w:kinsoku w:val="0"/>
        <w:overflowPunct w:val="0"/>
        <w:spacing w:line="266" w:lineRule="auto"/>
        <w:ind w:left="107" w:right="119" w:firstLine="7"/>
        <w:jc w:val="both"/>
        <w:rPr>
          <w:rFonts w:ascii="Times New Roman" w:hAnsi="Times New Roman" w:cs="Times New Roman"/>
          <w:color w:val="646769"/>
        </w:rPr>
      </w:pPr>
      <w:r>
        <w:rPr>
          <w:rFonts w:ascii="Times New Roman" w:hAnsi="Times New Roman" w:cs="Times New Roman"/>
          <w:color w:val="4D5254"/>
        </w:rPr>
        <w:t xml:space="preserve">ln review </w:t>
      </w:r>
      <w:r>
        <w:rPr>
          <w:rFonts w:ascii="Times New Roman" w:hAnsi="Times New Roman" w:cs="Times New Roman"/>
          <w:color w:val="646769"/>
        </w:rPr>
        <w:t xml:space="preserve">of the proposed EOHHS Section </w:t>
      </w:r>
      <w:r>
        <w:rPr>
          <w:rFonts w:ascii="Times New Roman" w:hAnsi="Times New Roman" w:cs="Times New Roman"/>
          <w:color w:val="4D5254"/>
        </w:rPr>
        <w:t xml:space="preserve">1115 Demonstration Project Amendment and </w:t>
      </w:r>
      <w:r>
        <w:rPr>
          <w:rFonts w:ascii="Times New Roman" w:hAnsi="Times New Roman" w:cs="Times New Roman"/>
          <w:color w:val="646769"/>
        </w:rPr>
        <w:t xml:space="preserve">Extension </w:t>
      </w:r>
      <w:r>
        <w:rPr>
          <w:rFonts w:ascii="Times New Roman" w:hAnsi="Times New Roman" w:cs="Times New Roman"/>
          <w:color w:val="4D5254"/>
        </w:rPr>
        <w:t>Request</w:t>
      </w:r>
      <w:r>
        <w:rPr>
          <w:rFonts w:ascii="Times New Roman" w:hAnsi="Times New Roman" w:cs="Times New Roman"/>
          <w:color w:val="797C7E"/>
        </w:rPr>
        <w:t xml:space="preserve">, </w:t>
      </w:r>
      <w:r>
        <w:rPr>
          <w:rFonts w:ascii="Times New Roman" w:hAnsi="Times New Roman" w:cs="Times New Roman"/>
          <w:color w:val="4D5254"/>
        </w:rPr>
        <w:t xml:space="preserve">the MSO notes </w:t>
      </w:r>
      <w:r>
        <w:rPr>
          <w:rFonts w:ascii="Times New Roman" w:hAnsi="Times New Roman" w:cs="Times New Roman"/>
          <w:color w:val="646769"/>
        </w:rPr>
        <w:t xml:space="preserve">the </w:t>
      </w:r>
      <w:r>
        <w:rPr>
          <w:rFonts w:ascii="Times New Roman" w:hAnsi="Times New Roman" w:cs="Times New Roman"/>
          <w:color w:val="4D5254"/>
        </w:rPr>
        <w:t xml:space="preserve">proposed </w:t>
      </w:r>
      <w:r>
        <w:rPr>
          <w:rFonts w:ascii="Times New Roman" w:hAnsi="Times New Roman" w:cs="Times New Roman"/>
          <w:color w:val="646769"/>
        </w:rPr>
        <w:t xml:space="preserve">elimination of eye glass coverage </w:t>
      </w:r>
      <w:r>
        <w:rPr>
          <w:rFonts w:ascii="Times New Roman" w:hAnsi="Times New Roman" w:cs="Times New Roman"/>
          <w:color w:val="4D5254"/>
        </w:rPr>
        <w:t xml:space="preserve">in </w:t>
      </w:r>
      <w:r>
        <w:rPr>
          <w:rFonts w:ascii="Times New Roman" w:hAnsi="Times New Roman" w:cs="Times New Roman"/>
          <w:color w:val="646769"/>
        </w:rPr>
        <w:t xml:space="preserve">the </w:t>
      </w:r>
      <w:r>
        <w:rPr>
          <w:rFonts w:ascii="Times New Roman" w:hAnsi="Times New Roman" w:cs="Times New Roman"/>
          <w:color w:val="4D5254"/>
        </w:rPr>
        <w:t xml:space="preserve">PCC ACO Plan </w:t>
      </w:r>
      <w:r>
        <w:rPr>
          <w:rFonts w:ascii="Times New Roman" w:hAnsi="Times New Roman" w:cs="Times New Roman"/>
          <w:color w:val="646769"/>
        </w:rPr>
        <w:t xml:space="preserve">as </w:t>
      </w:r>
      <w:r>
        <w:rPr>
          <w:rFonts w:ascii="Times New Roman" w:hAnsi="Times New Roman" w:cs="Times New Roman"/>
          <w:color w:val="4D5254"/>
        </w:rPr>
        <w:t xml:space="preserve">referenced in the </w:t>
      </w:r>
      <w:r w:rsidR="00347C9E">
        <w:rPr>
          <w:rFonts w:ascii="Times New Roman" w:hAnsi="Times New Roman" w:cs="Times New Roman"/>
          <w:color w:val="646769"/>
        </w:rPr>
        <w:t>Executive Sum</w:t>
      </w:r>
      <w:r>
        <w:rPr>
          <w:rFonts w:ascii="Times New Roman" w:hAnsi="Times New Roman" w:cs="Times New Roman"/>
          <w:color w:val="646769"/>
        </w:rPr>
        <w:t xml:space="preserve">mary </w:t>
      </w:r>
      <w:r>
        <w:rPr>
          <w:rFonts w:ascii="Times New Roman" w:hAnsi="Times New Roman" w:cs="Times New Roman"/>
          <w:color w:val="4D5254"/>
        </w:rPr>
        <w:t xml:space="preserve">and </w:t>
      </w:r>
      <w:r>
        <w:rPr>
          <w:rFonts w:ascii="Times New Roman" w:hAnsi="Times New Roman" w:cs="Times New Roman"/>
          <w:color w:val="646769"/>
        </w:rPr>
        <w:t>Section 4</w:t>
      </w:r>
      <w:r>
        <w:rPr>
          <w:rFonts w:ascii="Times New Roman" w:hAnsi="Times New Roman" w:cs="Times New Roman"/>
          <w:color w:val="898C8C"/>
        </w:rPr>
        <w:t xml:space="preserve">, </w:t>
      </w:r>
      <w:r>
        <w:rPr>
          <w:rFonts w:ascii="Times New Roman" w:hAnsi="Times New Roman" w:cs="Times New Roman"/>
          <w:color w:val="4D5254"/>
        </w:rPr>
        <w:t xml:space="preserve">MassHealth Payment </w:t>
      </w:r>
      <w:r>
        <w:rPr>
          <w:rFonts w:ascii="Times New Roman" w:hAnsi="Times New Roman" w:cs="Times New Roman"/>
          <w:color w:val="646769"/>
        </w:rPr>
        <w:t xml:space="preserve">and </w:t>
      </w:r>
      <w:r>
        <w:rPr>
          <w:rFonts w:ascii="Times New Roman" w:hAnsi="Times New Roman" w:cs="Times New Roman"/>
          <w:color w:val="797C7E"/>
        </w:rPr>
        <w:t xml:space="preserve">Care </w:t>
      </w:r>
      <w:r w:rsidR="00347C9E">
        <w:rPr>
          <w:rFonts w:ascii="Times New Roman" w:hAnsi="Times New Roman" w:cs="Times New Roman"/>
          <w:color w:val="4D5254"/>
        </w:rPr>
        <w:t>Del</w:t>
      </w:r>
      <w:r>
        <w:rPr>
          <w:rFonts w:ascii="Times New Roman" w:hAnsi="Times New Roman" w:cs="Times New Roman"/>
          <w:color w:val="4D5254"/>
        </w:rPr>
        <w:t xml:space="preserve">ivery Reform </w:t>
      </w:r>
      <w:r>
        <w:rPr>
          <w:rFonts w:ascii="Times New Roman" w:hAnsi="Times New Roman" w:cs="Times New Roman"/>
          <w:color w:val="646769"/>
        </w:rPr>
        <w:t xml:space="preserve">Strategy. </w:t>
      </w:r>
      <w:r>
        <w:rPr>
          <w:rFonts w:ascii="Times New Roman" w:hAnsi="Times New Roman" w:cs="Times New Roman"/>
          <w:color w:val="4D5254"/>
        </w:rPr>
        <w:t xml:space="preserve">The MSO </w:t>
      </w:r>
      <w:r>
        <w:rPr>
          <w:rFonts w:ascii="Times New Roman" w:hAnsi="Times New Roman" w:cs="Times New Roman"/>
          <w:color w:val="646769"/>
        </w:rPr>
        <w:t xml:space="preserve">supports </w:t>
      </w:r>
      <w:r>
        <w:rPr>
          <w:rFonts w:ascii="Times New Roman" w:hAnsi="Times New Roman" w:cs="Times New Roman"/>
          <w:color w:val="4D5254"/>
        </w:rPr>
        <w:t xml:space="preserve">this initiative to the </w:t>
      </w:r>
      <w:r>
        <w:rPr>
          <w:rFonts w:ascii="Times New Roman" w:hAnsi="Times New Roman" w:cs="Times New Roman"/>
          <w:color w:val="646769"/>
        </w:rPr>
        <w:t xml:space="preserve">extent </w:t>
      </w:r>
      <w:r>
        <w:rPr>
          <w:rFonts w:ascii="Times New Roman" w:hAnsi="Times New Roman" w:cs="Times New Roman"/>
          <w:color w:val="4D5254"/>
        </w:rPr>
        <w:t xml:space="preserve">that the proposed </w:t>
      </w:r>
      <w:r>
        <w:rPr>
          <w:rFonts w:ascii="Times New Roman" w:hAnsi="Times New Roman" w:cs="Times New Roman"/>
          <w:color w:val="646769"/>
        </w:rPr>
        <w:t xml:space="preserve">coverage elimination </w:t>
      </w:r>
      <w:r w:rsidR="00347C9E">
        <w:rPr>
          <w:rFonts w:ascii="Times New Roman" w:hAnsi="Times New Roman" w:cs="Times New Roman"/>
          <w:color w:val="4D5254"/>
        </w:rPr>
        <w:t>mi</w:t>
      </w:r>
      <w:r>
        <w:rPr>
          <w:rFonts w:ascii="Times New Roman" w:hAnsi="Times New Roman" w:cs="Times New Roman"/>
          <w:color w:val="4D5254"/>
        </w:rPr>
        <w:t xml:space="preserve">rrors </w:t>
      </w:r>
      <w:r>
        <w:rPr>
          <w:rFonts w:ascii="Times New Roman" w:hAnsi="Times New Roman" w:cs="Times New Roman"/>
          <w:color w:val="646769"/>
        </w:rPr>
        <w:t xml:space="preserve">other </w:t>
      </w:r>
      <w:r>
        <w:rPr>
          <w:rFonts w:ascii="Times New Roman" w:hAnsi="Times New Roman" w:cs="Times New Roman"/>
          <w:color w:val="4D5254"/>
        </w:rPr>
        <w:t xml:space="preserve">MassHealth programs </w:t>
      </w:r>
      <w:r>
        <w:rPr>
          <w:rFonts w:ascii="Times New Roman" w:hAnsi="Times New Roman" w:cs="Times New Roman"/>
          <w:color w:val="646769"/>
        </w:rPr>
        <w:t xml:space="preserve">such </w:t>
      </w:r>
      <w:r>
        <w:rPr>
          <w:rFonts w:ascii="Times New Roman" w:hAnsi="Times New Roman" w:cs="Times New Roman"/>
          <w:color w:val="4D5254"/>
        </w:rPr>
        <w:t xml:space="preserve">MassHealth </w:t>
      </w:r>
      <w:r>
        <w:rPr>
          <w:rFonts w:ascii="Times New Roman" w:hAnsi="Times New Roman" w:cs="Times New Roman"/>
          <w:color w:val="646769"/>
        </w:rPr>
        <w:t xml:space="preserve">Essential, </w:t>
      </w:r>
      <w:proofErr w:type="spellStart"/>
      <w:r>
        <w:rPr>
          <w:rFonts w:ascii="Times New Roman" w:hAnsi="Times New Roman" w:cs="Times New Roman"/>
          <w:color w:val="646769"/>
        </w:rPr>
        <w:t>ConnectorCare</w:t>
      </w:r>
      <w:proofErr w:type="spellEnd"/>
      <w:r>
        <w:rPr>
          <w:rFonts w:ascii="Times New Roman" w:hAnsi="Times New Roman" w:cs="Times New Roman"/>
          <w:color w:val="646769"/>
        </w:rPr>
        <w:t xml:space="preserve"> </w:t>
      </w:r>
      <w:r>
        <w:rPr>
          <w:rFonts w:ascii="Arial" w:hAnsi="Arial" w:cs="Arial"/>
          <w:color w:val="898C8C"/>
          <w:sz w:val="24"/>
          <w:szCs w:val="24"/>
        </w:rPr>
        <w:t xml:space="preserve">+ </w:t>
      </w:r>
      <w:r>
        <w:rPr>
          <w:rFonts w:ascii="Times New Roman" w:hAnsi="Times New Roman" w:cs="Times New Roman"/>
          <w:color w:val="4D5254"/>
        </w:rPr>
        <w:t xml:space="preserve">Health </w:t>
      </w:r>
      <w:r>
        <w:rPr>
          <w:rFonts w:ascii="Times New Roman" w:hAnsi="Times New Roman" w:cs="Times New Roman"/>
          <w:color w:val="646769"/>
        </w:rPr>
        <w:t xml:space="preserve">Safety Net and Emergency </w:t>
      </w:r>
      <w:r>
        <w:rPr>
          <w:rFonts w:ascii="Times New Roman" w:hAnsi="Times New Roman" w:cs="Times New Roman"/>
          <w:color w:val="4D5254"/>
        </w:rPr>
        <w:t xml:space="preserve">Aid </w:t>
      </w:r>
      <w:r>
        <w:rPr>
          <w:rFonts w:ascii="Times New Roman" w:hAnsi="Times New Roman" w:cs="Times New Roman"/>
          <w:color w:val="646769"/>
        </w:rPr>
        <w:t xml:space="preserve">to </w:t>
      </w:r>
      <w:r>
        <w:rPr>
          <w:rFonts w:ascii="Times New Roman" w:hAnsi="Times New Roman" w:cs="Times New Roman"/>
          <w:color w:val="4D5254"/>
        </w:rPr>
        <w:t xml:space="preserve">the </w:t>
      </w:r>
      <w:r>
        <w:rPr>
          <w:rFonts w:ascii="Times New Roman" w:hAnsi="Times New Roman" w:cs="Times New Roman"/>
          <w:color w:val="646769"/>
        </w:rPr>
        <w:t xml:space="preserve">Elderly, </w:t>
      </w:r>
      <w:r>
        <w:rPr>
          <w:rFonts w:ascii="Times New Roman" w:hAnsi="Times New Roman" w:cs="Times New Roman"/>
          <w:color w:val="4D5254"/>
        </w:rPr>
        <w:t xml:space="preserve">Disabled, and </w:t>
      </w:r>
      <w:r>
        <w:rPr>
          <w:rFonts w:ascii="Times New Roman" w:hAnsi="Times New Roman" w:cs="Times New Roman"/>
          <w:color w:val="646769"/>
        </w:rPr>
        <w:t>Children.</w:t>
      </w:r>
    </w:p>
    <w:p w:rsidR="002C5025" w:rsidRDefault="002C5025">
      <w:pPr>
        <w:pStyle w:val="BodyText"/>
        <w:kinsoku w:val="0"/>
        <w:overflowPunct w:val="0"/>
        <w:spacing w:before="2"/>
        <w:rPr>
          <w:rFonts w:ascii="Times New Roman" w:hAnsi="Times New Roman" w:cs="Times New Roman"/>
          <w:sz w:val="26"/>
          <w:szCs w:val="26"/>
        </w:rPr>
      </w:pPr>
    </w:p>
    <w:p w:rsidR="002C5025" w:rsidRDefault="002C5025">
      <w:pPr>
        <w:pStyle w:val="BodyText"/>
        <w:kinsoku w:val="0"/>
        <w:overflowPunct w:val="0"/>
        <w:spacing w:line="271" w:lineRule="auto"/>
        <w:ind w:left="107" w:right="104"/>
        <w:jc w:val="both"/>
        <w:rPr>
          <w:rFonts w:ascii="Times New Roman" w:hAnsi="Times New Roman" w:cs="Times New Roman"/>
          <w:color w:val="4D5254"/>
        </w:rPr>
      </w:pPr>
      <w:r>
        <w:rPr>
          <w:rFonts w:ascii="Times New Roman" w:hAnsi="Times New Roman" w:cs="Times New Roman"/>
          <w:color w:val="646769"/>
        </w:rPr>
        <w:t xml:space="preserve">The </w:t>
      </w:r>
      <w:r>
        <w:rPr>
          <w:rFonts w:ascii="Times New Roman" w:hAnsi="Times New Roman" w:cs="Times New Roman"/>
          <w:color w:val="4D5254"/>
        </w:rPr>
        <w:t xml:space="preserve">MSO </w:t>
      </w:r>
      <w:r>
        <w:rPr>
          <w:rFonts w:ascii="Times New Roman" w:hAnsi="Times New Roman" w:cs="Times New Roman"/>
          <w:color w:val="797C7E"/>
        </w:rPr>
        <w:t>stro</w:t>
      </w:r>
      <w:r>
        <w:rPr>
          <w:rFonts w:ascii="Times New Roman" w:hAnsi="Times New Roman" w:cs="Times New Roman"/>
          <w:color w:val="4D5254"/>
        </w:rPr>
        <w:t>ngl</w:t>
      </w:r>
      <w:r>
        <w:rPr>
          <w:rFonts w:ascii="Times New Roman" w:hAnsi="Times New Roman" w:cs="Times New Roman"/>
          <w:color w:val="797C7E"/>
        </w:rPr>
        <w:t xml:space="preserve">y </w:t>
      </w:r>
      <w:r>
        <w:rPr>
          <w:rFonts w:ascii="Times New Roman" w:hAnsi="Times New Roman" w:cs="Times New Roman"/>
          <w:color w:val="4D5254"/>
        </w:rPr>
        <w:t xml:space="preserve">recommends that the </w:t>
      </w:r>
      <w:r>
        <w:rPr>
          <w:rFonts w:ascii="Times New Roman" w:hAnsi="Times New Roman" w:cs="Times New Roman"/>
          <w:color w:val="646769"/>
        </w:rPr>
        <w:t xml:space="preserve">Executive Office of </w:t>
      </w:r>
      <w:r>
        <w:rPr>
          <w:rFonts w:ascii="Times New Roman" w:hAnsi="Times New Roman" w:cs="Times New Roman"/>
          <w:color w:val="4D5254"/>
        </w:rPr>
        <w:t xml:space="preserve">Health and Human </w:t>
      </w:r>
      <w:r>
        <w:rPr>
          <w:rFonts w:ascii="Times New Roman" w:hAnsi="Times New Roman" w:cs="Times New Roman"/>
          <w:color w:val="646769"/>
        </w:rPr>
        <w:t xml:space="preserve">Services </w:t>
      </w:r>
      <w:r>
        <w:rPr>
          <w:rFonts w:ascii="Times New Roman" w:hAnsi="Times New Roman" w:cs="Times New Roman"/>
          <w:color w:val="797C7E"/>
        </w:rPr>
        <w:t>(EO</w:t>
      </w:r>
      <w:r>
        <w:rPr>
          <w:rFonts w:ascii="Times New Roman" w:hAnsi="Times New Roman" w:cs="Times New Roman"/>
          <w:color w:val="4D5254"/>
        </w:rPr>
        <w:t xml:space="preserve">HHS) not </w:t>
      </w:r>
      <w:r>
        <w:rPr>
          <w:rFonts w:ascii="Times New Roman" w:hAnsi="Times New Roman" w:cs="Times New Roman"/>
          <w:color w:val="646769"/>
        </w:rPr>
        <w:t xml:space="preserve">eliminate optometric services as occurred approximately </w:t>
      </w:r>
      <w:r>
        <w:rPr>
          <w:rFonts w:ascii="Times New Roman" w:hAnsi="Times New Roman" w:cs="Times New Roman"/>
          <w:color w:val="4D5254"/>
        </w:rPr>
        <w:t xml:space="preserve">1 5 </w:t>
      </w:r>
      <w:r>
        <w:rPr>
          <w:rFonts w:ascii="Times New Roman" w:hAnsi="Times New Roman" w:cs="Times New Roman"/>
          <w:color w:val="646769"/>
        </w:rPr>
        <w:t xml:space="preserve">years ago. There are </w:t>
      </w:r>
      <w:r>
        <w:rPr>
          <w:rFonts w:ascii="Times New Roman" w:hAnsi="Times New Roman" w:cs="Times New Roman"/>
          <w:color w:val="4D5254"/>
        </w:rPr>
        <w:t xml:space="preserve">many </w:t>
      </w:r>
      <w:r>
        <w:rPr>
          <w:rFonts w:ascii="Times New Roman" w:hAnsi="Times New Roman" w:cs="Times New Roman"/>
          <w:color w:val="646769"/>
        </w:rPr>
        <w:t xml:space="preserve">eye care and vision services </w:t>
      </w:r>
      <w:r>
        <w:rPr>
          <w:rFonts w:ascii="Times New Roman" w:hAnsi="Times New Roman" w:cs="Times New Roman"/>
          <w:color w:val="4D5254"/>
        </w:rPr>
        <w:t xml:space="preserve">that may </w:t>
      </w:r>
      <w:r>
        <w:rPr>
          <w:rFonts w:ascii="Times New Roman" w:hAnsi="Times New Roman" w:cs="Times New Roman"/>
          <w:color w:val="646769"/>
        </w:rPr>
        <w:t xml:space="preserve">occur </w:t>
      </w:r>
      <w:r>
        <w:rPr>
          <w:rFonts w:ascii="Times New Roman" w:hAnsi="Times New Roman" w:cs="Times New Roman"/>
          <w:color w:val="4D5254"/>
        </w:rPr>
        <w:t xml:space="preserve">in </w:t>
      </w:r>
      <w:r>
        <w:rPr>
          <w:rFonts w:ascii="Times New Roman" w:hAnsi="Times New Roman" w:cs="Times New Roman"/>
          <w:color w:val="646769"/>
        </w:rPr>
        <w:t xml:space="preserve">connection </w:t>
      </w:r>
      <w:r>
        <w:rPr>
          <w:rFonts w:ascii="Times New Roman" w:hAnsi="Times New Roman" w:cs="Times New Roman"/>
          <w:color w:val="4D5254"/>
        </w:rPr>
        <w:t xml:space="preserve">with a patient </w:t>
      </w:r>
      <w:r>
        <w:rPr>
          <w:rFonts w:ascii="Times New Roman" w:hAnsi="Times New Roman" w:cs="Times New Roman"/>
          <w:color w:val="646769"/>
        </w:rPr>
        <w:t xml:space="preserve">seeking </w:t>
      </w:r>
      <w:r>
        <w:rPr>
          <w:rFonts w:ascii="Times New Roman" w:hAnsi="Times New Roman" w:cs="Times New Roman"/>
          <w:color w:val="4D5254"/>
        </w:rPr>
        <w:t xml:space="preserve">to </w:t>
      </w:r>
      <w:r>
        <w:rPr>
          <w:rFonts w:ascii="Times New Roman" w:hAnsi="Times New Roman" w:cs="Times New Roman"/>
          <w:color w:val="646769"/>
        </w:rPr>
        <w:t xml:space="preserve">obtain </w:t>
      </w:r>
      <w:r>
        <w:rPr>
          <w:rFonts w:ascii="Times New Roman" w:hAnsi="Times New Roman" w:cs="Times New Roman"/>
          <w:color w:val="4D5254"/>
        </w:rPr>
        <w:t xml:space="preserve">eyeglasses. The </w:t>
      </w:r>
      <w:r>
        <w:rPr>
          <w:rFonts w:ascii="Times New Roman" w:hAnsi="Times New Roman" w:cs="Times New Roman"/>
          <w:color w:val="646769"/>
        </w:rPr>
        <w:t>e</w:t>
      </w:r>
      <w:r w:rsidR="00347C9E">
        <w:rPr>
          <w:rFonts w:ascii="Times New Roman" w:hAnsi="Times New Roman" w:cs="Times New Roman"/>
          <w:color w:val="2D3331"/>
        </w:rPr>
        <w:t>l</w:t>
      </w:r>
      <w:r>
        <w:rPr>
          <w:rFonts w:ascii="Times New Roman" w:hAnsi="Times New Roman" w:cs="Times New Roman"/>
          <w:color w:val="4D5254"/>
        </w:rPr>
        <w:t xml:space="preserve">imination </w:t>
      </w:r>
      <w:r>
        <w:rPr>
          <w:rFonts w:ascii="Times New Roman" w:hAnsi="Times New Roman" w:cs="Times New Roman"/>
          <w:color w:val="646769"/>
        </w:rPr>
        <w:t xml:space="preserve">of the coverage for </w:t>
      </w:r>
      <w:r>
        <w:rPr>
          <w:rFonts w:ascii="Times New Roman" w:hAnsi="Times New Roman" w:cs="Times New Roman"/>
          <w:color w:val="4D5254"/>
        </w:rPr>
        <w:t>the hardware</w:t>
      </w:r>
      <w:r>
        <w:rPr>
          <w:rFonts w:ascii="Times New Roman" w:hAnsi="Times New Roman" w:cs="Times New Roman"/>
          <w:color w:val="797C7E"/>
        </w:rPr>
        <w:t xml:space="preserve">, </w:t>
      </w:r>
      <w:r>
        <w:rPr>
          <w:rFonts w:ascii="Times New Roman" w:hAnsi="Times New Roman" w:cs="Times New Roman"/>
          <w:color w:val="4D5254"/>
        </w:rPr>
        <w:t xml:space="preserve">in </w:t>
      </w:r>
      <w:r>
        <w:rPr>
          <w:rFonts w:ascii="Times New Roman" w:hAnsi="Times New Roman" w:cs="Times New Roman"/>
          <w:color w:val="646769"/>
        </w:rPr>
        <w:t xml:space="preserve">and of </w:t>
      </w:r>
      <w:r>
        <w:rPr>
          <w:rFonts w:ascii="Times New Roman" w:hAnsi="Times New Roman" w:cs="Times New Roman"/>
          <w:color w:val="4D5254"/>
        </w:rPr>
        <w:t xml:space="preserve">itself, is </w:t>
      </w:r>
      <w:r>
        <w:rPr>
          <w:rFonts w:ascii="Times New Roman" w:hAnsi="Times New Roman" w:cs="Times New Roman"/>
          <w:color w:val="646769"/>
        </w:rPr>
        <w:t xml:space="preserve">an </w:t>
      </w:r>
      <w:r>
        <w:rPr>
          <w:rFonts w:ascii="Times New Roman" w:hAnsi="Times New Roman" w:cs="Times New Roman"/>
          <w:color w:val="4D5254"/>
        </w:rPr>
        <w:t xml:space="preserve">incentive </w:t>
      </w:r>
      <w:r>
        <w:rPr>
          <w:rFonts w:ascii="Times New Roman" w:hAnsi="Times New Roman" w:cs="Times New Roman"/>
          <w:color w:val="646769"/>
        </w:rPr>
        <w:t xml:space="preserve">for </w:t>
      </w:r>
      <w:r>
        <w:rPr>
          <w:rFonts w:ascii="Times New Roman" w:hAnsi="Times New Roman" w:cs="Times New Roman"/>
          <w:color w:val="4D5254"/>
        </w:rPr>
        <w:t xml:space="preserve">patients </w:t>
      </w:r>
      <w:r>
        <w:rPr>
          <w:rFonts w:ascii="Times New Roman" w:hAnsi="Times New Roman" w:cs="Times New Roman"/>
          <w:color w:val="646769"/>
        </w:rPr>
        <w:t xml:space="preserve">to seek alternative </w:t>
      </w:r>
      <w:r>
        <w:rPr>
          <w:rFonts w:ascii="Times New Roman" w:hAnsi="Times New Roman" w:cs="Times New Roman"/>
          <w:color w:val="4D5254"/>
        </w:rPr>
        <w:t>delivery</w:t>
      </w:r>
      <w:r>
        <w:rPr>
          <w:rFonts w:ascii="Times New Roman" w:hAnsi="Times New Roman" w:cs="Times New Roman"/>
          <w:color w:val="898C8C"/>
        </w:rPr>
        <w:t xml:space="preserve">, </w:t>
      </w:r>
      <w:r>
        <w:rPr>
          <w:rFonts w:ascii="Times New Roman" w:hAnsi="Times New Roman" w:cs="Times New Roman"/>
          <w:color w:val="646769"/>
        </w:rPr>
        <w:t>such as through an ACO. That said</w:t>
      </w:r>
      <w:r>
        <w:rPr>
          <w:rFonts w:ascii="Times New Roman" w:hAnsi="Times New Roman" w:cs="Times New Roman"/>
          <w:color w:val="898C8C"/>
        </w:rPr>
        <w:t xml:space="preserve">, </w:t>
      </w:r>
      <w:r>
        <w:rPr>
          <w:rFonts w:ascii="Times New Roman" w:hAnsi="Times New Roman" w:cs="Times New Roman"/>
          <w:color w:val="646769"/>
        </w:rPr>
        <w:t xml:space="preserve">for </w:t>
      </w:r>
      <w:r>
        <w:rPr>
          <w:rFonts w:ascii="Times New Roman" w:hAnsi="Times New Roman" w:cs="Times New Roman"/>
          <w:color w:val="4D5254"/>
        </w:rPr>
        <w:t xml:space="preserve">patients </w:t>
      </w:r>
      <w:r>
        <w:rPr>
          <w:rFonts w:ascii="Times New Roman" w:hAnsi="Times New Roman" w:cs="Times New Roman"/>
          <w:color w:val="646769"/>
        </w:rPr>
        <w:t xml:space="preserve">who </w:t>
      </w:r>
      <w:r>
        <w:rPr>
          <w:rFonts w:ascii="Times New Roman" w:hAnsi="Times New Roman" w:cs="Times New Roman"/>
          <w:color w:val="4D5254"/>
        </w:rPr>
        <w:t xml:space="preserve">remain </w:t>
      </w:r>
      <w:r>
        <w:rPr>
          <w:rFonts w:ascii="Times New Roman" w:hAnsi="Times New Roman" w:cs="Times New Roman"/>
          <w:color w:val="646769"/>
        </w:rPr>
        <w:t xml:space="preserve">on the </w:t>
      </w:r>
      <w:r>
        <w:rPr>
          <w:rFonts w:ascii="Times New Roman" w:hAnsi="Times New Roman" w:cs="Times New Roman"/>
          <w:color w:val="4D5254"/>
        </w:rPr>
        <w:t>P</w:t>
      </w:r>
      <w:r>
        <w:rPr>
          <w:rFonts w:ascii="Times New Roman" w:hAnsi="Times New Roman" w:cs="Times New Roman"/>
          <w:color w:val="797C7E"/>
        </w:rPr>
        <w:t xml:space="preserve">CC </w:t>
      </w:r>
      <w:r>
        <w:rPr>
          <w:rFonts w:ascii="Times New Roman" w:hAnsi="Times New Roman" w:cs="Times New Roman"/>
          <w:color w:val="4D5254"/>
        </w:rPr>
        <w:t>plan</w:t>
      </w:r>
      <w:r>
        <w:rPr>
          <w:rFonts w:ascii="Times New Roman" w:hAnsi="Times New Roman" w:cs="Times New Roman"/>
          <w:color w:val="898C8C"/>
        </w:rPr>
        <w:t xml:space="preserve">, </w:t>
      </w:r>
      <w:r>
        <w:rPr>
          <w:rFonts w:ascii="Times New Roman" w:hAnsi="Times New Roman" w:cs="Times New Roman"/>
          <w:color w:val="646769"/>
        </w:rPr>
        <w:t xml:space="preserve">comprehensive eye </w:t>
      </w:r>
      <w:r>
        <w:rPr>
          <w:rFonts w:ascii="Times New Roman" w:hAnsi="Times New Roman" w:cs="Times New Roman"/>
          <w:color w:val="4D5254"/>
        </w:rPr>
        <w:t>examinations</w:t>
      </w:r>
      <w:r>
        <w:rPr>
          <w:rFonts w:ascii="Times New Roman" w:hAnsi="Times New Roman" w:cs="Times New Roman"/>
          <w:color w:val="797C7E"/>
        </w:rPr>
        <w:t xml:space="preserve">, </w:t>
      </w:r>
      <w:r>
        <w:rPr>
          <w:rFonts w:ascii="Times New Roman" w:hAnsi="Times New Roman" w:cs="Times New Roman"/>
          <w:color w:val="646769"/>
        </w:rPr>
        <w:t xml:space="preserve">for </w:t>
      </w:r>
      <w:r>
        <w:rPr>
          <w:rFonts w:ascii="Times New Roman" w:hAnsi="Times New Roman" w:cs="Times New Roman"/>
          <w:color w:val="4D5254"/>
        </w:rPr>
        <w:t xml:space="preserve">example, that </w:t>
      </w:r>
      <w:r>
        <w:rPr>
          <w:rFonts w:ascii="Times New Roman" w:hAnsi="Times New Roman" w:cs="Times New Roman"/>
          <w:color w:val="646769"/>
        </w:rPr>
        <w:t xml:space="preserve">are critical </w:t>
      </w:r>
      <w:r>
        <w:rPr>
          <w:rFonts w:ascii="Times New Roman" w:hAnsi="Times New Roman" w:cs="Times New Roman"/>
          <w:color w:val="4D5254"/>
        </w:rPr>
        <w:t xml:space="preserve">to early diagnosis </w:t>
      </w:r>
      <w:r>
        <w:rPr>
          <w:rFonts w:ascii="Times New Roman" w:hAnsi="Times New Roman" w:cs="Times New Roman"/>
          <w:color w:val="646769"/>
        </w:rPr>
        <w:t xml:space="preserve">and </w:t>
      </w:r>
      <w:r>
        <w:rPr>
          <w:rFonts w:ascii="Times New Roman" w:hAnsi="Times New Roman" w:cs="Times New Roman"/>
          <w:color w:val="4D5254"/>
        </w:rPr>
        <w:t xml:space="preserve">treatment </w:t>
      </w:r>
      <w:r>
        <w:rPr>
          <w:rFonts w:ascii="Times New Roman" w:hAnsi="Times New Roman" w:cs="Times New Roman"/>
          <w:color w:val="646769"/>
        </w:rPr>
        <w:t xml:space="preserve">of eye </w:t>
      </w:r>
      <w:r>
        <w:rPr>
          <w:rFonts w:ascii="Times New Roman" w:hAnsi="Times New Roman" w:cs="Times New Roman"/>
          <w:color w:val="4D5254"/>
        </w:rPr>
        <w:t xml:space="preserve">disease </w:t>
      </w:r>
      <w:r>
        <w:rPr>
          <w:rFonts w:ascii="Times New Roman" w:hAnsi="Times New Roman" w:cs="Times New Roman"/>
          <w:color w:val="646769"/>
        </w:rPr>
        <w:t xml:space="preserve">should </w:t>
      </w:r>
      <w:r>
        <w:rPr>
          <w:rFonts w:ascii="Times New Roman" w:hAnsi="Times New Roman" w:cs="Times New Roman"/>
          <w:color w:val="4D5254"/>
        </w:rPr>
        <w:t>remain</w:t>
      </w:r>
    </w:p>
    <w:p w:rsidR="002C5025" w:rsidRDefault="002C5025">
      <w:pPr>
        <w:pStyle w:val="BodyText"/>
        <w:kinsoku w:val="0"/>
        <w:overflowPunct w:val="0"/>
        <w:spacing w:line="271" w:lineRule="auto"/>
        <w:ind w:left="107" w:right="104"/>
        <w:jc w:val="both"/>
        <w:rPr>
          <w:rFonts w:ascii="Times New Roman" w:hAnsi="Times New Roman" w:cs="Times New Roman"/>
          <w:color w:val="4D5254"/>
        </w:rPr>
        <w:sectPr w:rsidR="002C5025">
          <w:type w:val="continuous"/>
          <w:pgSz w:w="11880" w:h="15410"/>
          <w:pgMar w:top="720" w:right="1220" w:bottom="280" w:left="1160" w:header="720" w:footer="720" w:gutter="0"/>
          <w:cols w:space="720" w:equalWidth="0">
            <w:col w:w="9500"/>
          </w:cols>
          <w:noEndnote/>
        </w:sectPr>
      </w:pPr>
    </w:p>
    <w:p w:rsidR="002C5025" w:rsidRDefault="002C5025">
      <w:pPr>
        <w:pStyle w:val="BodyText"/>
        <w:kinsoku w:val="0"/>
        <w:overflowPunct w:val="0"/>
        <w:spacing w:before="48" w:line="288" w:lineRule="auto"/>
        <w:ind w:left="403" w:right="137" w:firstLine="7"/>
        <w:jc w:val="both"/>
        <w:rPr>
          <w:rFonts w:ascii="Times New Roman" w:hAnsi="Times New Roman" w:cs="Times New Roman"/>
          <w:color w:val="66696B"/>
          <w:sz w:val="21"/>
          <w:szCs w:val="21"/>
        </w:rPr>
      </w:pPr>
      <w:r>
        <w:rPr>
          <w:rFonts w:ascii="Times New Roman" w:hAnsi="Times New Roman" w:cs="Times New Roman"/>
          <w:color w:val="525657"/>
          <w:sz w:val="21"/>
          <w:szCs w:val="21"/>
        </w:rPr>
        <w:lastRenderedPageBreak/>
        <w:t xml:space="preserve">part </w:t>
      </w:r>
      <w:r>
        <w:rPr>
          <w:rFonts w:ascii="Times New Roman" w:hAnsi="Times New Roman" w:cs="Times New Roman"/>
          <w:color w:val="66696B"/>
          <w:sz w:val="21"/>
          <w:szCs w:val="21"/>
        </w:rPr>
        <w:t xml:space="preserve">of </w:t>
      </w:r>
      <w:r>
        <w:rPr>
          <w:rFonts w:ascii="Times New Roman" w:hAnsi="Times New Roman" w:cs="Times New Roman"/>
          <w:color w:val="525657"/>
          <w:sz w:val="21"/>
          <w:szCs w:val="21"/>
        </w:rPr>
        <w:t xml:space="preserve">the </w:t>
      </w:r>
      <w:r>
        <w:rPr>
          <w:rFonts w:ascii="Times New Roman" w:hAnsi="Times New Roman" w:cs="Times New Roman"/>
          <w:color w:val="66696B"/>
          <w:sz w:val="21"/>
          <w:szCs w:val="21"/>
        </w:rPr>
        <w:t xml:space="preserve">coverage offerings available through  </w:t>
      </w:r>
      <w:r>
        <w:rPr>
          <w:rFonts w:ascii="Times New Roman" w:hAnsi="Times New Roman" w:cs="Times New Roman"/>
          <w:color w:val="525657"/>
          <w:sz w:val="21"/>
          <w:szCs w:val="21"/>
        </w:rPr>
        <w:t xml:space="preserve">MassHealth.  </w:t>
      </w:r>
      <w:r>
        <w:rPr>
          <w:rFonts w:ascii="Times New Roman" w:hAnsi="Times New Roman" w:cs="Times New Roman"/>
          <w:color w:val="66696B"/>
          <w:sz w:val="21"/>
          <w:szCs w:val="21"/>
        </w:rPr>
        <w:t xml:space="preserve">The  </w:t>
      </w:r>
      <w:r>
        <w:rPr>
          <w:rFonts w:ascii="Times New Roman" w:hAnsi="Times New Roman" w:cs="Times New Roman"/>
          <w:color w:val="525657"/>
          <w:sz w:val="21"/>
          <w:szCs w:val="21"/>
        </w:rPr>
        <w:t xml:space="preserve">unfortunate  </w:t>
      </w:r>
      <w:r w:rsidR="00347C9E">
        <w:rPr>
          <w:rFonts w:ascii="Times New Roman" w:hAnsi="Times New Roman" w:cs="Times New Roman"/>
          <w:color w:val="66696B"/>
          <w:sz w:val="21"/>
          <w:szCs w:val="21"/>
        </w:rPr>
        <w:t>elim</w:t>
      </w:r>
      <w:r>
        <w:rPr>
          <w:rFonts w:ascii="Times New Roman" w:hAnsi="Times New Roman" w:cs="Times New Roman"/>
          <w:color w:val="66696B"/>
          <w:sz w:val="21"/>
          <w:szCs w:val="21"/>
        </w:rPr>
        <w:t xml:space="preserve">ination  of  </w:t>
      </w:r>
      <w:r>
        <w:rPr>
          <w:rFonts w:ascii="Times New Roman" w:hAnsi="Times New Roman" w:cs="Times New Roman"/>
          <w:color w:val="525657"/>
          <w:sz w:val="21"/>
          <w:szCs w:val="21"/>
        </w:rPr>
        <w:t xml:space="preserve">all </w:t>
      </w:r>
      <w:r>
        <w:rPr>
          <w:rFonts w:ascii="Times New Roman" w:hAnsi="Times New Roman" w:cs="Times New Roman"/>
          <w:color w:val="66696B"/>
          <w:sz w:val="21"/>
          <w:szCs w:val="21"/>
        </w:rPr>
        <w:t xml:space="preserve">optometric services </w:t>
      </w:r>
      <w:r>
        <w:rPr>
          <w:rFonts w:ascii="Times New Roman" w:hAnsi="Times New Roman" w:cs="Times New Roman"/>
          <w:color w:val="525657"/>
          <w:sz w:val="21"/>
          <w:szCs w:val="21"/>
        </w:rPr>
        <w:t xml:space="preserve">15 </w:t>
      </w:r>
      <w:r>
        <w:rPr>
          <w:rFonts w:ascii="Times New Roman" w:hAnsi="Times New Roman" w:cs="Times New Roman"/>
          <w:color w:val="66696B"/>
          <w:sz w:val="21"/>
          <w:szCs w:val="21"/>
        </w:rPr>
        <w:t xml:space="preserve">years ago </w:t>
      </w:r>
      <w:r>
        <w:rPr>
          <w:rFonts w:ascii="Times New Roman" w:hAnsi="Times New Roman" w:cs="Times New Roman"/>
          <w:color w:val="525657"/>
          <w:sz w:val="21"/>
          <w:szCs w:val="21"/>
        </w:rPr>
        <w:t xml:space="preserve">led to </w:t>
      </w:r>
      <w:r>
        <w:rPr>
          <w:rFonts w:ascii="Times New Roman" w:hAnsi="Times New Roman" w:cs="Times New Roman"/>
          <w:color w:val="66696B"/>
          <w:sz w:val="21"/>
          <w:szCs w:val="21"/>
        </w:rPr>
        <w:t xml:space="preserve">an </w:t>
      </w:r>
      <w:r w:rsidR="00347C9E">
        <w:rPr>
          <w:rFonts w:ascii="Times New Roman" w:hAnsi="Times New Roman" w:cs="Times New Roman"/>
          <w:color w:val="525657"/>
          <w:sz w:val="21"/>
          <w:szCs w:val="21"/>
        </w:rPr>
        <w:t>unnecessary d</w:t>
      </w:r>
      <w:r>
        <w:rPr>
          <w:rFonts w:ascii="Times New Roman" w:hAnsi="Times New Roman" w:cs="Times New Roman"/>
          <w:color w:val="525657"/>
          <w:sz w:val="21"/>
          <w:szCs w:val="21"/>
        </w:rPr>
        <w:t xml:space="preserve">isruption </w:t>
      </w:r>
      <w:r>
        <w:rPr>
          <w:rFonts w:ascii="Times New Roman" w:hAnsi="Times New Roman" w:cs="Times New Roman"/>
          <w:color w:val="66696B"/>
          <w:sz w:val="21"/>
          <w:szCs w:val="21"/>
        </w:rPr>
        <w:t xml:space="preserve">of care for </w:t>
      </w:r>
      <w:r>
        <w:rPr>
          <w:rFonts w:ascii="Times New Roman" w:hAnsi="Times New Roman" w:cs="Times New Roman"/>
          <w:color w:val="525657"/>
          <w:sz w:val="21"/>
          <w:szCs w:val="21"/>
        </w:rPr>
        <w:t xml:space="preserve">the </w:t>
      </w:r>
      <w:r>
        <w:rPr>
          <w:rFonts w:ascii="Times New Roman" w:hAnsi="Times New Roman" w:cs="Times New Roman"/>
          <w:color w:val="66696B"/>
          <w:sz w:val="21"/>
          <w:szCs w:val="21"/>
        </w:rPr>
        <w:t xml:space="preserve">neediest </w:t>
      </w:r>
      <w:r>
        <w:rPr>
          <w:rFonts w:ascii="Times New Roman" w:hAnsi="Times New Roman" w:cs="Times New Roman"/>
          <w:color w:val="525657"/>
          <w:sz w:val="21"/>
          <w:szCs w:val="21"/>
        </w:rPr>
        <w:t xml:space="preserve">citizens </w:t>
      </w:r>
      <w:r>
        <w:rPr>
          <w:rFonts w:ascii="Times New Roman" w:hAnsi="Times New Roman" w:cs="Times New Roman"/>
          <w:color w:val="66696B"/>
          <w:sz w:val="21"/>
          <w:szCs w:val="21"/>
        </w:rPr>
        <w:t xml:space="preserve">of </w:t>
      </w:r>
      <w:r>
        <w:rPr>
          <w:rFonts w:ascii="Times New Roman" w:hAnsi="Times New Roman" w:cs="Times New Roman"/>
          <w:color w:val="525657"/>
          <w:sz w:val="21"/>
          <w:szCs w:val="21"/>
        </w:rPr>
        <w:t xml:space="preserve">the </w:t>
      </w:r>
      <w:r>
        <w:rPr>
          <w:rFonts w:ascii="Times New Roman" w:hAnsi="Times New Roman" w:cs="Times New Roman"/>
          <w:color w:val="66696B"/>
          <w:sz w:val="21"/>
          <w:szCs w:val="21"/>
        </w:rPr>
        <w:t>Commonwealth.</w:t>
      </w:r>
    </w:p>
    <w:p w:rsidR="002C5025" w:rsidRDefault="002C5025">
      <w:pPr>
        <w:pStyle w:val="BodyText"/>
        <w:kinsoku w:val="0"/>
        <w:overflowPunct w:val="0"/>
        <w:spacing w:before="5"/>
        <w:rPr>
          <w:rFonts w:ascii="Times New Roman" w:hAnsi="Times New Roman" w:cs="Times New Roman"/>
          <w:sz w:val="26"/>
          <w:szCs w:val="26"/>
        </w:rPr>
      </w:pPr>
    </w:p>
    <w:p w:rsidR="002C5025" w:rsidRDefault="002C5025">
      <w:pPr>
        <w:pStyle w:val="BodyText"/>
        <w:kinsoku w:val="0"/>
        <w:overflowPunct w:val="0"/>
        <w:spacing w:before="1" w:line="283" w:lineRule="auto"/>
        <w:ind w:left="374" w:right="111" w:firstLine="29"/>
        <w:jc w:val="both"/>
        <w:rPr>
          <w:rFonts w:ascii="Times New Roman" w:hAnsi="Times New Roman" w:cs="Times New Roman"/>
          <w:color w:val="66696B"/>
          <w:sz w:val="21"/>
          <w:szCs w:val="21"/>
        </w:rPr>
      </w:pPr>
      <w:r>
        <w:rPr>
          <w:rFonts w:ascii="Times New Roman" w:hAnsi="Times New Roman" w:cs="Times New Roman"/>
          <w:color w:val="525657"/>
          <w:sz w:val="21"/>
          <w:szCs w:val="21"/>
        </w:rPr>
        <w:t xml:space="preserve">The MSO also recommends that the </w:t>
      </w:r>
      <w:r>
        <w:rPr>
          <w:rFonts w:ascii="Times New Roman" w:hAnsi="Times New Roman" w:cs="Times New Roman"/>
          <w:color w:val="66696B"/>
          <w:sz w:val="21"/>
          <w:szCs w:val="21"/>
        </w:rPr>
        <w:t xml:space="preserve">EOHHS work to eliminate </w:t>
      </w:r>
      <w:r>
        <w:rPr>
          <w:rFonts w:ascii="Times New Roman" w:hAnsi="Times New Roman" w:cs="Times New Roman"/>
          <w:color w:val="525657"/>
          <w:sz w:val="21"/>
          <w:szCs w:val="21"/>
        </w:rPr>
        <w:t xml:space="preserve">barriers </w:t>
      </w:r>
      <w:r>
        <w:rPr>
          <w:rFonts w:ascii="Times New Roman" w:hAnsi="Times New Roman" w:cs="Times New Roman"/>
          <w:color w:val="66696B"/>
          <w:sz w:val="21"/>
          <w:szCs w:val="21"/>
        </w:rPr>
        <w:t xml:space="preserve">to care and </w:t>
      </w:r>
      <w:r>
        <w:rPr>
          <w:rFonts w:ascii="Times New Roman" w:hAnsi="Times New Roman" w:cs="Times New Roman"/>
          <w:color w:val="525657"/>
          <w:sz w:val="21"/>
          <w:szCs w:val="21"/>
        </w:rPr>
        <w:t xml:space="preserve">prevent  unfair  marketplace </w:t>
      </w:r>
      <w:r>
        <w:rPr>
          <w:rFonts w:ascii="Times New Roman" w:hAnsi="Times New Roman" w:cs="Times New Roman"/>
          <w:color w:val="66696B"/>
          <w:sz w:val="21"/>
          <w:szCs w:val="21"/>
        </w:rPr>
        <w:t xml:space="preserve">competition </w:t>
      </w:r>
      <w:r>
        <w:rPr>
          <w:rFonts w:ascii="Times New Roman" w:hAnsi="Times New Roman" w:cs="Times New Roman"/>
          <w:color w:val="525657"/>
          <w:sz w:val="21"/>
          <w:szCs w:val="21"/>
        </w:rPr>
        <w:t xml:space="preserve">by recognizing and addressing the issues </w:t>
      </w:r>
      <w:r>
        <w:rPr>
          <w:rFonts w:ascii="Times New Roman" w:hAnsi="Times New Roman" w:cs="Times New Roman"/>
          <w:color w:val="66696B"/>
          <w:sz w:val="21"/>
          <w:szCs w:val="21"/>
        </w:rPr>
        <w:t xml:space="preserve">caused  by  contractual  </w:t>
      </w:r>
      <w:r>
        <w:rPr>
          <w:rFonts w:ascii="Times New Roman" w:hAnsi="Times New Roman" w:cs="Times New Roman"/>
          <w:color w:val="525657"/>
          <w:sz w:val="21"/>
          <w:szCs w:val="21"/>
        </w:rPr>
        <w:t xml:space="preserve">carve-outs  </w:t>
      </w:r>
      <w:r>
        <w:rPr>
          <w:rFonts w:ascii="Times New Roman" w:hAnsi="Times New Roman" w:cs="Times New Roman"/>
          <w:color w:val="66696B"/>
          <w:sz w:val="21"/>
          <w:szCs w:val="21"/>
        </w:rPr>
        <w:t xml:space="preserve">of </w:t>
      </w:r>
      <w:r>
        <w:rPr>
          <w:rFonts w:ascii="Times New Roman" w:hAnsi="Times New Roman" w:cs="Times New Roman"/>
          <w:i/>
          <w:iCs/>
          <w:color w:val="66696B"/>
          <w:sz w:val="21"/>
          <w:szCs w:val="21"/>
        </w:rPr>
        <w:t xml:space="preserve">certain </w:t>
      </w:r>
      <w:r>
        <w:rPr>
          <w:rFonts w:ascii="Times New Roman" w:hAnsi="Times New Roman" w:cs="Times New Roman"/>
          <w:color w:val="66696B"/>
          <w:sz w:val="21"/>
          <w:szCs w:val="21"/>
        </w:rPr>
        <w:t xml:space="preserve">claims </w:t>
      </w:r>
      <w:r w:rsidR="00347C9E">
        <w:rPr>
          <w:rFonts w:ascii="Times New Roman" w:hAnsi="Times New Roman" w:cs="Times New Roman"/>
          <w:color w:val="525657"/>
          <w:sz w:val="21"/>
          <w:szCs w:val="21"/>
        </w:rPr>
        <w:t>to third-party adm</w:t>
      </w:r>
      <w:r>
        <w:rPr>
          <w:rFonts w:ascii="Times New Roman" w:hAnsi="Times New Roman" w:cs="Times New Roman"/>
          <w:color w:val="525657"/>
          <w:sz w:val="21"/>
          <w:szCs w:val="21"/>
        </w:rPr>
        <w:t xml:space="preserve">inistrators </w:t>
      </w:r>
      <w:r>
        <w:rPr>
          <w:rFonts w:ascii="Times New Roman" w:hAnsi="Times New Roman" w:cs="Times New Roman"/>
          <w:color w:val="66696B"/>
          <w:sz w:val="21"/>
          <w:szCs w:val="21"/>
        </w:rPr>
        <w:t xml:space="preserve">(TPAs). </w:t>
      </w:r>
      <w:r>
        <w:rPr>
          <w:rFonts w:ascii="Times New Roman" w:hAnsi="Times New Roman" w:cs="Times New Roman"/>
          <w:color w:val="66696B"/>
          <w:position w:val="8"/>
          <w:sz w:val="15"/>
          <w:szCs w:val="15"/>
        </w:rPr>
        <w:t xml:space="preserve">1 </w:t>
      </w:r>
      <w:r>
        <w:rPr>
          <w:rFonts w:ascii="Times New Roman" w:hAnsi="Times New Roman" w:cs="Times New Roman"/>
          <w:color w:val="525657"/>
          <w:sz w:val="21"/>
          <w:szCs w:val="21"/>
        </w:rPr>
        <w:t xml:space="preserve">As in the behavioral </w:t>
      </w:r>
      <w:r>
        <w:rPr>
          <w:rFonts w:ascii="Times New Roman" w:hAnsi="Times New Roman" w:cs="Times New Roman"/>
          <w:color w:val="525657"/>
          <w:spacing w:val="-3"/>
          <w:sz w:val="21"/>
          <w:szCs w:val="21"/>
        </w:rPr>
        <w:t xml:space="preserve">health </w:t>
      </w:r>
      <w:r>
        <w:rPr>
          <w:rFonts w:ascii="Times New Roman" w:hAnsi="Times New Roman" w:cs="Times New Roman"/>
          <w:color w:val="525657"/>
          <w:sz w:val="21"/>
          <w:szCs w:val="21"/>
        </w:rPr>
        <w:t>realm</w:t>
      </w:r>
      <w:r>
        <w:rPr>
          <w:rFonts w:ascii="Times New Roman" w:hAnsi="Times New Roman" w:cs="Times New Roman"/>
          <w:color w:val="7C8282"/>
          <w:sz w:val="21"/>
          <w:szCs w:val="21"/>
        </w:rPr>
        <w:t xml:space="preserve">, </w:t>
      </w:r>
      <w:r>
        <w:rPr>
          <w:rFonts w:ascii="Times New Roman" w:hAnsi="Times New Roman" w:cs="Times New Roman"/>
          <w:color w:val="66696B"/>
          <w:sz w:val="21"/>
          <w:szCs w:val="21"/>
        </w:rPr>
        <w:t xml:space="preserve">eye </w:t>
      </w:r>
      <w:r>
        <w:rPr>
          <w:rFonts w:ascii="Times New Roman" w:hAnsi="Times New Roman" w:cs="Times New Roman"/>
          <w:color w:val="66696B"/>
          <w:spacing w:val="-5"/>
          <w:sz w:val="21"/>
          <w:szCs w:val="21"/>
        </w:rPr>
        <w:t xml:space="preserve">care </w:t>
      </w:r>
      <w:r>
        <w:rPr>
          <w:rFonts w:ascii="Times New Roman" w:hAnsi="Times New Roman" w:cs="Times New Roman"/>
          <w:color w:val="66696B"/>
          <w:sz w:val="21"/>
          <w:szCs w:val="21"/>
        </w:rPr>
        <w:t xml:space="preserve">services </w:t>
      </w:r>
      <w:r>
        <w:rPr>
          <w:rFonts w:ascii="Times New Roman" w:hAnsi="Times New Roman" w:cs="Times New Roman"/>
          <w:i/>
          <w:iCs/>
          <w:color w:val="525657"/>
          <w:sz w:val="21"/>
          <w:szCs w:val="21"/>
        </w:rPr>
        <w:t xml:space="preserve">provided </w:t>
      </w:r>
      <w:r>
        <w:rPr>
          <w:rFonts w:ascii="Times New Roman" w:hAnsi="Times New Roman" w:cs="Times New Roman"/>
          <w:i/>
          <w:iCs/>
          <w:color w:val="66696B"/>
          <w:sz w:val="21"/>
          <w:szCs w:val="21"/>
        </w:rPr>
        <w:t xml:space="preserve">by optometrists </w:t>
      </w:r>
      <w:r>
        <w:rPr>
          <w:rFonts w:ascii="Times New Roman" w:hAnsi="Times New Roman" w:cs="Times New Roman"/>
          <w:color w:val="525657"/>
          <w:sz w:val="21"/>
          <w:szCs w:val="21"/>
        </w:rPr>
        <w:t xml:space="preserve">are frequently </w:t>
      </w:r>
      <w:r>
        <w:rPr>
          <w:rFonts w:ascii="Times New Roman" w:hAnsi="Times New Roman" w:cs="Times New Roman"/>
          <w:color w:val="66696B"/>
          <w:sz w:val="21"/>
          <w:szCs w:val="21"/>
        </w:rPr>
        <w:t xml:space="preserve">carved out </w:t>
      </w:r>
      <w:r>
        <w:rPr>
          <w:rFonts w:ascii="Times New Roman" w:hAnsi="Times New Roman" w:cs="Times New Roman"/>
          <w:color w:val="525657"/>
          <w:sz w:val="21"/>
          <w:szCs w:val="21"/>
        </w:rPr>
        <w:t xml:space="preserve">to </w:t>
      </w:r>
      <w:r>
        <w:rPr>
          <w:rFonts w:ascii="Times New Roman" w:hAnsi="Times New Roman" w:cs="Times New Roman"/>
          <w:color w:val="66696B"/>
          <w:sz w:val="21"/>
          <w:szCs w:val="21"/>
        </w:rPr>
        <w:t xml:space="preserve">a  </w:t>
      </w:r>
      <w:r w:rsidR="00347C9E">
        <w:rPr>
          <w:rFonts w:ascii="Times New Roman" w:hAnsi="Times New Roman" w:cs="Times New Roman"/>
          <w:color w:val="525657"/>
          <w:sz w:val="21"/>
          <w:szCs w:val="21"/>
        </w:rPr>
        <w:t>third  party  claims  adm</w:t>
      </w:r>
      <w:r>
        <w:rPr>
          <w:rFonts w:ascii="Times New Roman" w:hAnsi="Times New Roman" w:cs="Times New Roman"/>
          <w:color w:val="525657"/>
          <w:spacing w:val="-3"/>
          <w:sz w:val="21"/>
          <w:szCs w:val="21"/>
        </w:rPr>
        <w:t xml:space="preserve">inistrator  </w:t>
      </w:r>
      <w:r>
        <w:rPr>
          <w:rFonts w:ascii="Times New Roman" w:hAnsi="Times New Roman" w:cs="Times New Roman"/>
          <w:color w:val="525657"/>
          <w:sz w:val="21"/>
          <w:szCs w:val="21"/>
        </w:rPr>
        <w:t xml:space="preserve">that  requires  its </w:t>
      </w:r>
      <w:r>
        <w:rPr>
          <w:rFonts w:ascii="Times New Roman" w:hAnsi="Times New Roman" w:cs="Times New Roman"/>
          <w:color w:val="66696B"/>
          <w:sz w:val="21"/>
          <w:szCs w:val="21"/>
        </w:rPr>
        <w:t xml:space="preserve">own   contract   with   </w:t>
      </w:r>
      <w:r w:rsidR="00347C9E">
        <w:rPr>
          <w:rFonts w:ascii="Times New Roman" w:hAnsi="Times New Roman" w:cs="Times New Roman"/>
          <w:color w:val="525657"/>
          <w:sz w:val="21"/>
          <w:szCs w:val="21"/>
        </w:rPr>
        <w:t>d</w:t>
      </w:r>
      <w:r>
        <w:rPr>
          <w:rFonts w:ascii="Times New Roman" w:hAnsi="Times New Roman" w:cs="Times New Roman"/>
          <w:color w:val="525657"/>
          <w:sz w:val="21"/>
          <w:szCs w:val="21"/>
        </w:rPr>
        <w:t xml:space="preserve">ifferent   </w:t>
      </w:r>
      <w:r>
        <w:rPr>
          <w:rFonts w:ascii="Times New Roman" w:hAnsi="Times New Roman" w:cs="Times New Roman"/>
          <w:color w:val="66696B"/>
          <w:sz w:val="21"/>
          <w:szCs w:val="21"/>
        </w:rPr>
        <w:t xml:space="preserve">coverage   </w:t>
      </w:r>
      <w:r>
        <w:rPr>
          <w:rFonts w:ascii="Times New Roman" w:hAnsi="Times New Roman" w:cs="Times New Roman"/>
          <w:color w:val="525657"/>
          <w:sz w:val="21"/>
          <w:szCs w:val="21"/>
        </w:rPr>
        <w:t xml:space="preserve">rules   and   </w:t>
      </w:r>
      <w:r>
        <w:rPr>
          <w:rFonts w:ascii="Times New Roman" w:hAnsi="Times New Roman" w:cs="Times New Roman"/>
          <w:color w:val="66696B"/>
          <w:sz w:val="21"/>
          <w:szCs w:val="21"/>
        </w:rPr>
        <w:t xml:space="preserve">often   grossly   </w:t>
      </w:r>
      <w:r>
        <w:rPr>
          <w:rFonts w:ascii="Times New Roman" w:hAnsi="Times New Roman" w:cs="Times New Roman"/>
          <w:color w:val="525657"/>
          <w:sz w:val="21"/>
          <w:szCs w:val="21"/>
        </w:rPr>
        <w:t xml:space="preserve">disproportionate   reimbursement   </w:t>
      </w:r>
      <w:r>
        <w:rPr>
          <w:rFonts w:ascii="Times New Roman" w:hAnsi="Times New Roman" w:cs="Times New Roman"/>
          <w:color w:val="66696B"/>
          <w:sz w:val="21"/>
          <w:szCs w:val="21"/>
        </w:rPr>
        <w:t xml:space="preserve">fee </w:t>
      </w:r>
      <w:r w:rsidR="00347C9E">
        <w:rPr>
          <w:rFonts w:ascii="Times New Roman" w:hAnsi="Times New Roman" w:cs="Times New Roman"/>
          <w:color w:val="525657"/>
          <w:sz w:val="21"/>
          <w:szCs w:val="21"/>
        </w:rPr>
        <w:t>d</w:t>
      </w:r>
      <w:r>
        <w:rPr>
          <w:rFonts w:ascii="Times New Roman" w:hAnsi="Times New Roman" w:cs="Times New Roman"/>
          <w:color w:val="525657"/>
          <w:sz w:val="21"/>
          <w:szCs w:val="21"/>
        </w:rPr>
        <w:t>ispa</w:t>
      </w:r>
      <w:r w:rsidR="00347C9E">
        <w:rPr>
          <w:rFonts w:ascii="Times New Roman" w:hAnsi="Times New Roman" w:cs="Times New Roman"/>
          <w:color w:val="525657"/>
          <w:sz w:val="21"/>
          <w:szCs w:val="21"/>
        </w:rPr>
        <w:t>rities. Odd</w:t>
      </w:r>
      <w:r>
        <w:rPr>
          <w:rFonts w:ascii="Times New Roman" w:hAnsi="Times New Roman" w:cs="Times New Roman"/>
          <w:color w:val="525657"/>
          <w:spacing w:val="-3"/>
          <w:sz w:val="21"/>
          <w:szCs w:val="21"/>
        </w:rPr>
        <w:t>ly</w:t>
      </w:r>
      <w:r>
        <w:rPr>
          <w:rFonts w:ascii="Times New Roman" w:hAnsi="Times New Roman" w:cs="Times New Roman"/>
          <w:color w:val="7C8282"/>
          <w:spacing w:val="-3"/>
          <w:sz w:val="21"/>
          <w:szCs w:val="21"/>
        </w:rPr>
        <w:t xml:space="preserve">, </w:t>
      </w:r>
      <w:r>
        <w:rPr>
          <w:rFonts w:ascii="Times New Roman" w:hAnsi="Times New Roman" w:cs="Times New Roman"/>
          <w:color w:val="66696B"/>
          <w:sz w:val="21"/>
          <w:szCs w:val="21"/>
        </w:rPr>
        <w:t xml:space="preserve">when </w:t>
      </w:r>
      <w:r>
        <w:rPr>
          <w:rFonts w:ascii="Times New Roman" w:hAnsi="Times New Roman" w:cs="Times New Roman"/>
          <w:color w:val="525657"/>
          <w:sz w:val="21"/>
          <w:szCs w:val="21"/>
        </w:rPr>
        <w:t xml:space="preserve">the </w:t>
      </w:r>
      <w:r>
        <w:rPr>
          <w:rFonts w:ascii="Times New Roman" w:hAnsi="Times New Roman" w:cs="Times New Roman"/>
          <w:i/>
          <w:iCs/>
          <w:color w:val="66696B"/>
          <w:sz w:val="21"/>
          <w:szCs w:val="21"/>
        </w:rPr>
        <w:t xml:space="preserve">same </w:t>
      </w:r>
      <w:r>
        <w:rPr>
          <w:rFonts w:ascii="Times New Roman" w:hAnsi="Times New Roman" w:cs="Times New Roman"/>
          <w:color w:val="525657"/>
          <w:sz w:val="21"/>
          <w:szCs w:val="21"/>
        </w:rPr>
        <w:t xml:space="preserve">eye </w:t>
      </w:r>
      <w:r>
        <w:rPr>
          <w:rFonts w:ascii="Times New Roman" w:hAnsi="Times New Roman" w:cs="Times New Roman"/>
          <w:color w:val="66696B"/>
          <w:sz w:val="21"/>
          <w:szCs w:val="21"/>
        </w:rPr>
        <w:t xml:space="preserve">care services </w:t>
      </w:r>
      <w:r>
        <w:rPr>
          <w:rFonts w:ascii="Times New Roman" w:hAnsi="Times New Roman" w:cs="Times New Roman"/>
          <w:color w:val="525657"/>
          <w:sz w:val="21"/>
          <w:szCs w:val="21"/>
        </w:rPr>
        <w:t xml:space="preserve">are provided by  a </w:t>
      </w:r>
      <w:r>
        <w:rPr>
          <w:rFonts w:ascii="Times New Roman" w:hAnsi="Times New Roman" w:cs="Times New Roman"/>
          <w:i/>
          <w:iCs/>
          <w:color w:val="66696B"/>
          <w:sz w:val="21"/>
          <w:szCs w:val="21"/>
        </w:rPr>
        <w:t xml:space="preserve">different  </w:t>
      </w:r>
      <w:r>
        <w:rPr>
          <w:rFonts w:ascii="Times New Roman" w:hAnsi="Times New Roman" w:cs="Times New Roman"/>
          <w:color w:val="525657"/>
          <w:sz w:val="21"/>
          <w:szCs w:val="21"/>
        </w:rPr>
        <w:t xml:space="preserve">provider  </w:t>
      </w:r>
      <w:r>
        <w:rPr>
          <w:rFonts w:ascii="Times New Roman" w:hAnsi="Times New Roman" w:cs="Times New Roman"/>
          <w:color w:val="66696B"/>
          <w:sz w:val="21"/>
          <w:szCs w:val="21"/>
        </w:rPr>
        <w:t xml:space="preserve">type  </w:t>
      </w:r>
      <w:r>
        <w:rPr>
          <w:rFonts w:ascii="Times New Roman" w:hAnsi="Times New Roman" w:cs="Times New Roman"/>
          <w:color w:val="525657"/>
          <w:sz w:val="21"/>
          <w:szCs w:val="21"/>
        </w:rPr>
        <w:t xml:space="preserve">under  the </w:t>
      </w:r>
      <w:r>
        <w:rPr>
          <w:rFonts w:ascii="Times New Roman" w:hAnsi="Times New Roman" w:cs="Times New Roman"/>
          <w:color w:val="66696B"/>
          <w:sz w:val="21"/>
          <w:szCs w:val="21"/>
        </w:rPr>
        <w:t xml:space="preserve">same </w:t>
      </w:r>
      <w:r>
        <w:rPr>
          <w:rFonts w:ascii="Times New Roman" w:hAnsi="Times New Roman" w:cs="Times New Roman"/>
          <w:color w:val="525657"/>
          <w:sz w:val="21"/>
          <w:szCs w:val="21"/>
        </w:rPr>
        <w:t>insurance policy</w:t>
      </w:r>
      <w:r>
        <w:rPr>
          <w:rFonts w:ascii="Times New Roman" w:hAnsi="Times New Roman" w:cs="Times New Roman"/>
          <w:color w:val="7C8282"/>
          <w:sz w:val="21"/>
          <w:szCs w:val="21"/>
        </w:rPr>
        <w:t xml:space="preserve">, </w:t>
      </w:r>
      <w:r>
        <w:rPr>
          <w:rFonts w:ascii="Times New Roman" w:hAnsi="Times New Roman" w:cs="Times New Roman"/>
          <w:color w:val="66696B"/>
          <w:sz w:val="21"/>
          <w:szCs w:val="21"/>
        </w:rPr>
        <w:t xml:space="preserve">such services </w:t>
      </w:r>
      <w:r>
        <w:rPr>
          <w:rFonts w:ascii="Times New Roman" w:hAnsi="Times New Roman" w:cs="Times New Roman"/>
          <w:color w:val="525657"/>
          <w:sz w:val="21"/>
          <w:szCs w:val="21"/>
        </w:rPr>
        <w:t xml:space="preserve">are </w:t>
      </w:r>
      <w:r>
        <w:rPr>
          <w:rFonts w:ascii="Times New Roman" w:hAnsi="Times New Roman" w:cs="Times New Roman"/>
          <w:color w:val="525657"/>
          <w:sz w:val="21"/>
          <w:szCs w:val="21"/>
          <w:u w:val="single" w:color="000000"/>
        </w:rPr>
        <w:t xml:space="preserve">not </w:t>
      </w:r>
      <w:r w:rsidR="00347C9E">
        <w:rPr>
          <w:rFonts w:ascii="Times New Roman" w:hAnsi="Times New Roman" w:cs="Times New Roman"/>
          <w:color w:val="525657"/>
          <w:sz w:val="21"/>
          <w:szCs w:val="21"/>
        </w:rPr>
        <w:t>requ</w:t>
      </w:r>
      <w:r>
        <w:rPr>
          <w:rFonts w:ascii="Times New Roman" w:hAnsi="Times New Roman" w:cs="Times New Roman"/>
          <w:color w:val="525657"/>
          <w:sz w:val="21"/>
          <w:szCs w:val="21"/>
        </w:rPr>
        <w:t xml:space="preserve">ired to be </w:t>
      </w:r>
      <w:r>
        <w:rPr>
          <w:rFonts w:ascii="Times New Roman" w:hAnsi="Times New Roman" w:cs="Times New Roman"/>
          <w:color w:val="66696B"/>
          <w:sz w:val="21"/>
          <w:szCs w:val="21"/>
        </w:rPr>
        <w:t xml:space="preserve">carved </w:t>
      </w:r>
      <w:r>
        <w:rPr>
          <w:rFonts w:ascii="Times New Roman" w:hAnsi="Times New Roman" w:cs="Times New Roman"/>
          <w:color w:val="525657"/>
          <w:sz w:val="21"/>
          <w:szCs w:val="21"/>
        </w:rPr>
        <w:t xml:space="preserve">out </w:t>
      </w:r>
      <w:r w:rsidR="00347C9E">
        <w:rPr>
          <w:rFonts w:ascii="Times New Roman" w:hAnsi="Times New Roman" w:cs="Times New Roman"/>
          <w:color w:val="66696B"/>
          <w:sz w:val="21"/>
          <w:szCs w:val="21"/>
        </w:rPr>
        <w:t>to a TPA and are reimbu</w:t>
      </w:r>
      <w:r>
        <w:rPr>
          <w:rFonts w:ascii="Times New Roman" w:hAnsi="Times New Roman" w:cs="Times New Roman"/>
          <w:color w:val="66696B"/>
          <w:sz w:val="21"/>
          <w:szCs w:val="21"/>
        </w:rPr>
        <w:t xml:space="preserve">rsed </w:t>
      </w:r>
      <w:r>
        <w:rPr>
          <w:rFonts w:ascii="Times New Roman" w:hAnsi="Times New Roman" w:cs="Times New Roman"/>
          <w:color w:val="525657"/>
          <w:sz w:val="21"/>
          <w:szCs w:val="21"/>
        </w:rPr>
        <w:t xml:space="preserve">at a higher </w:t>
      </w:r>
      <w:r>
        <w:rPr>
          <w:rFonts w:ascii="Times New Roman" w:hAnsi="Times New Roman" w:cs="Times New Roman"/>
          <w:color w:val="66696B"/>
          <w:sz w:val="21"/>
          <w:szCs w:val="21"/>
        </w:rPr>
        <w:t xml:space="preserve">fee. </w:t>
      </w:r>
      <w:r>
        <w:rPr>
          <w:rFonts w:ascii="Times New Roman" w:hAnsi="Times New Roman" w:cs="Times New Roman"/>
          <w:color w:val="525657"/>
          <w:sz w:val="21"/>
          <w:szCs w:val="21"/>
        </w:rPr>
        <w:t xml:space="preserve">As has </w:t>
      </w:r>
      <w:r>
        <w:rPr>
          <w:rFonts w:ascii="Times New Roman" w:hAnsi="Times New Roman" w:cs="Times New Roman"/>
          <w:color w:val="66696B"/>
          <w:sz w:val="21"/>
          <w:szCs w:val="21"/>
        </w:rPr>
        <w:t xml:space="preserve">been </w:t>
      </w:r>
      <w:r>
        <w:rPr>
          <w:rFonts w:ascii="Times New Roman" w:hAnsi="Times New Roman" w:cs="Times New Roman"/>
          <w:color w:val="525657"/>
          <w:sz w:val="21"/>
          <w:szCs w:val="21"/>
        </w:rPr>
        <w:t xml:space="preserve">discussed </w:t>
      </w:r>
      <w:r>
        <w:rPr>
          <w:rFonts w:ascii="Times New Roman" w:hAnsi="Times New Roman" w:cs="Times New Roman"/>
          <w:color w:val="525657"/>
          <w:spacing w:val="4"/>
          <w:sz w:val="21"/>
          <w:szCs w:val="21"/>
        </w:rPr>
        <w:t xml:space="preserve">in  </w:t>
      </w:r>
      <w:r>
        <w:rPr>
          <w:rFonts w:ascii="Times New Roman" w:hAnsi="Times New Roman" w:cs="Times New Roman"/>
          <w:color w:val="525657"/>
          <w:spacing w:val="-4"/>
          <w:sz w:val="21"/>
          <w:szCs w:val="21"/>
        </w:rPr>
        <w:t xml:space="preserve">meetings  </w:t>
      </w:r>
      <w:r>
        <w:rPr>
          <w:rFonts w:ascii="Times New Roman" w:hAnsi="Times New Roman" w:cs="Times New Roman"/>
          <w:color w:val="66696B"/>
          <w:sz w:val="21"/>
          <w:szCs w:val="21"/>
        </w:rPr>
        <w:t xml:space="preserve">with  </w:t>
      </w:r>
      <w:r>
        <w:rPr>
          <w:rFonts w:ascii="Times New Roman" w:hAnsi="Times New Roman" w:cs="Times New Roman"/>
          <w:color w:val="525657"/>
          <w:sz w:val="21"/>
          <w:szCs w:val="21"/>
        </w:rPr>
        <w:t xml:space="preserve">MassHealth  and  the  HPC  </w:t>
      </w:r>
      <w:r w:rsidR="00347C9E">
        <w:rPr>
          <w:rFonts w:ascii="Times New Roman" w:hAnsi="Times New Roman" w:cs="Times New Roman"/>
          <w:color w:val="66696B"/>
          <w:sz w:val="21"/>
          <w:szCs w:val="21"/>
        </w:rPr>
        <w:t>comm</w:t>
      </w:r>
      <w:r>
        <w:rPr>
          <w:rFonts w:ascii="Times New Roman" w:hAnsi="Times New Roman" w:cs="Times New Roman"/>
          <w:color w:val="66696B"/>
          <w:sz w:val="21"/>
          <w:szCs w:val="21"/>
        </w:rPr>
        <w:t xml:space="preserve">ission  hearings, carving out services </w:t>
      </w:r>
      <w:r>
        <w:rPr>
          <w:rFonts w:ascii="Times New Roman" w:hAnsi="Times New Roman" w:cs="Times New Roman"/>
          <w:color w:val="525657"/>
          <w:sz w:val="21"/>
          <w:szCs w:val="21"/>
        </w:rPr>
        <w:t xml:space="preserve">perpetuates health </w:t>
      </w:r>
      <w:r>
        <w:rPr>
          <w:rFonts w:ascii="Times New Roman" w:hAnsi="Times New Roman" w:cs="Times New Roman"/>
          <w:color w:val="66696B"/>
          <w:sz w:val="21"/>
          <w:szCs w:val="21"/>
        </w:rPr>
        <w:t xml:space="preserve">care siloes and creates </w:t>
      </w:r>
      <w:r>
        <w:rPr>
          <w:rFonts w:ascii="Times New Roman" w:hAnsi="Times New Roman" w:cs="Times New Roman"/>
          <w:color w:val="525657"/>
          <w:sz w:val="21"/>
          <w:szCs w:val="21"/>
        </w:rPr>
        <w:t xml:space="preserve">barriers </w:t>
      </w:r>
      <w:r>
        <w:rPr>
          <w:rFonts w:ascii="Times New Roman" w:hAnsi="Times New Roman" w:cs="Times New Roman"/>
          <w:color w:val="66696B"/>
          <w:sz w:val="21"/>
          <w:szCs w:val="21"/>
        </w:rPr>
        <w:t xml:space="preserve">to  </w:t>
      </w:r>
      <w:r>
        <w:rPr>
          <w:rFonts w:ascii="Times New Roman" w:hAnsi="Times New Roman" w:cs="Times New Roman"/>
          <w:color w:val="525657"/>
          <w:sz w:val="21"/>
          <w:szCs w:val="21"/>
        </w:rPr>
        <w:t xml:space="preserve">integration  </w:t>
      </w:r>
      <w:r w:rsidR="00347C9E">
        <w:rPr>
          <w:rFonts w:ascii="Times New Roman" w:hAnsi="Times New Roman" w:cs="Times New Roman"/>
          <w:color w:val="66696B"/>
          <w:sz w:val="21"/>
          <w:szCs w:val="21"/>
        </w:rPr>
        <w:t>and  coord</w:t>
      </w:r>
      <w:r>
        <w:rPr>
          <w:rFonts w:ascii="Times New Roman" w:hAnsi="Times New Roman" w:cs="Times New Roman"/>
          <w:color w:val="66696B"/>
          <w:sz w:val="21"/>
          <w:szCs w:val="21"/>
        </w:rPr>
        <w:t xml:space="preserve">ination  as </w:t>
      </w:r>
      <w:r w:rsidR="00347C9E">
        <w:rPr>
          <w:rFonts w:ascii="Times New Roman" w:hAnsi="Times New Roman" w:cs="Times New Roman"/>
          <w:color w:val="525657"/>
          <w:sz w:val="21"/>
          <w:szCs w:val="21"/>
        </w:rPr>
        <w:t>well as fee disparities that are d</w:t>
      </w:r>
      <w:r>
        <w:rPr>
          <w:rFonts w:ascii="Times New Roman" w:hAnsi="Times New Roman" w:cs="Times New Roman"/>
          <w:color w:val="525657"/>
          <w:sz w:val="21"/>
          <w:szCs w:val="21"/>
        </w:rPr>
        <w:t xml:space="preserve">irectly at </w:t>
      </w:r>
      <w:r>
        <w:rPr>
          <w:rFonts w:ascii="Times New Roman" w:hAnsi="Times New Roman" w:cs="Times New Roman"/>
          <w:color w:val="66696B"/>
          <w:sz w:val="21"/>
          <w:szCs w:val="21"/>
        </w:rPr>
        <w:t xml:space="preserve">odds </w:t>
      </w:r>
      <w:r>
        <w:rPr>
          <w:rFonts w:ascii="Times New Roman" w:hAnsi="Times New Roman" w:cs="Times New Roman"/>
          <w:color w:val="525657"/>
          <w:sz w:val="21"/>
          <w:szCs w:val="21"/>
        </w:rPr>
        <w:t xml:space="preserve">with the </w:t>
      </w:r>
      <w:r>
        <w:rPr>
          <w:rFonts w:ascii="Times New Roman" w:hAnsi="Times New Roman" w:cs="Times New Roman"/>
          <w:color w:val="66696B"/>
          <w:sz w:val="21"/>
          <w:szCs w:val="21"/>
        </w:rPr>
        <w:t xml:space="preserve">goals  </w:t>
      </w:r>
      <w:r>
        <w:rPr>
          <w:rFonts w:ascii="Times New Roman" w:hAnsi="Times New Roman" w:cs="Times New Roman"/>
          <w:color w:val="525657"/>
          <w:sz w:val="21"/>
          <w:szCs w:val="21"/>
        </w:rPr>
        <w:t xml:space="preserve">and  </w:t>
      </w:r>
      <w:r>
        <w:rPr>
          <w:rFonts w:ascii="Times New Roman" w:hAnsi="Times New Roman" w:cs="Times New Roman"/>
          <w:color w:val="66696B"/>
          <w:sz w:val="21"/>
          <w:szCs w:val="21"/>
        </w:rPr>
        <w:t xml:space="preserve">principles  </w:t>
      </w:r>
      <w:r>
        <w:rPr>
          <w:rFonts w:ascii="Times New Roman" w:hAnsi="Times New Roman" w:cs="Times New Roman"/>
          <w:color w:val="525657"/>
          <w:sz w:val="21"/>
          <w:szCs w:val="21"/>
        </w:rPr>
        <w:t xml:space="preserve">upon  </w:t>
      </w:r>
      <w:r>
        <w:rPr>
          <w:rFonts w:ascii="Times New Roman" w:hAnsi="Times New Roman" w:cs="Times New Roman"/>
          <w:color w:val="66696B"/>
          <w:sz w:val="21"/>
          <w:szCs w:val="21"/>
        </w:rPr>
        <w:t xml:space="preserve">which  </w:t>
      </w:r>
      <w:r>
        <w:rPr>
          <w:rFonts w:ascii="Times New Roman" w:hAnsi="Times New Roman" w:cs="Times New Roman"/>
          <w:color w:val="525657"/>
          <w:sz w:val="21"/>
          <w:szCs w:val="21"/>
        </w:rPr>
        <w:t xml:space="preserve">ACOs  are </w:t>
      </w:r>
      <w:r>
        <w:rPr>
          <w:rFonts w:ascii="Times New Roman" w:hAnsi="Times New Roman" w:cs="Times New Roman"/>
          <w:color w:val="66696B"/>
          <w:spacing w:val="-3"/>
          <w:sz w:val="21"/>
          <w:szCs w:val="21"/>
        </w:rPr>
        <w:t xml:space="preserve">founded. </w:t>
      </w:r>
      <w:r>
        <w:rPr>
          <w:rFonts w:ascii="Times New Roman" w:hAnsi="Times New Roman" w:cs="Times New Roman"/>
          <w:color w:val="66696B"/>
          <w:sz w:val="21"/>
          <w:szCs w:val="21"/>
        </w:rPr>
        <w:t xml:space="preserve">EOHHS should </w:t>
      </w:r>
      <w:r w:rsidR="00347C9E">
        <w:rPr>
          <w:rFonts w:ascii="Times New Roman" w:hAnsi="Times New Roman" w:cs="Times New Roman"/>
          <w:color w:val="525657"/>
          <w:sz w:val="21"/>
          <w:szCs w:val="21"/>
        </w:rPr>
        <w:t>requ</w:t>
      </w:r>
      <w:r>
        <w:rPr>
          <w:rFonts w:ascii="Times New Roman" w:hAnsi="Times New Roman" w:cs="Times New Roman"/>
          <w:color w:val="525657"/>
          <w:sz w:val="21"/>
          <w:szCs w:val="21"/>
        </w:rPr>
        <w:t xml:space="preserve">ire its ACOs to  eliminate  </w:t>
      </w:r>
      <w:r>
        <w:rPr>
          <w:rFonts w:ascii="Times New Roman" w:hAnsi="Times New Roman" w:cs="Times New Roman"/>
          <w:color w:val="66696B"/>
          <w:sz w:val="21"/>
          <w:szCs w:val="21"/>
        </w:rPr>
        <w:t xml:space="preserve">contractual </w:t>
      </w:r>
      <w:r>
        <w:rPr>
          <w:rFonts w:ascii="Times New Roman" w:hAnsi="Times New Roman" w:cs="Times New Roman"/>
          <w:color w:val="525657"/>
          <w:sz w:val="21"/>
          <w:szCs w:val="21"/>
        </w:rPr>
        <w:t xml:space="preserve">arrangements  that  perpetuate  carve-  </w:t>
      </w:r>
      <w:r>
        <w:rPr>
          <w:rFonts w:ascii="Times New Roman" w:hAnsi="Times New Roman" w:cs="Times New Roman"/>
          <w:color w:val="66696B"/>
          <w:sz w:val="21"/>
          <w:szCs w:val="21"/>
        </w:rPr>
        <w:t xml:space="preserve">outs </w:t>
      </w:r>
      <w:r>
        <w:rPr>
          <w:rFonts w:ascii="Times New Roman" w:hAnsi="Times New Roman" w:cs="Times New Roman"/>
          <w:color w:val="525657"/>
          <w:sz w:val="21"/>
          <w:szCs w:val="21"/>
        </w:rPr>
        <w:t xml:space="preserve">for </w:t>
      </w:r>
      <w:r>
        <w:rPr>
          <w:rFonts w:ascii="Times New Roman" w:hAnsi="Times New Roman" w:cs="Times New Roman"/>
          <w:color w:val="66696B"/>
          <w:sz w:val="21"/>
          <w:szCs w:val="21"/>
        </w:rPr>
        <w:t xml:space="preserve">some </w:t>
      </w:r>
      <w:r>
        <w:rPr>
          <w:rFonts w:ascii="Times New Roman" w:hAnsi="Times New Roman" w:cs="Times New Roman"/>
          <w:color w:val="525657"/>
          <w:sz w:val="21"/>
          <w:szCs w:val="21"/>
        </w:rPr>
        <w:t xml:space="preserve">providers and not </w:t>
      </w:r>
      <w:r>
        <w:rPr>
          <w:rFonts w:ascii="Times New Roman" w:hAnsi="Times New Roman" w:cs="Times New Roman"/>
          <w:color w:val="66696B"/>
          <w:sz w:val="21"/>
          <w:szCs w:val="21"/>
        </w:rPr>
        <w:t xml:space="preserve">others.  </w:t>
      </w:r>
      <w:r>
        <w:rPr>
          <w:rFonts w:ascii="Times New Roman" w:hAnsi="Times New Roman" w:cs="Times New Roman"/>
          <w:color w:val="525657"/>
          <w:sz w:val="21"/>
          <w:szCs w:val="21"/>
        </w:rPr>
        <w:t xml:space="preserve">In  the alternative, if  MassHealth permits  ACOs  </w:t>
      </w:r>
      <w:r>
        <w:rPr>
          <w:rFonts w:ascii="Times New Roman" w:hAnsi="Times New Roman" w:cs="Times New Roman"/>
          <w:color w:val="66696B"/>
          <w:sz w:val="21"/>
          <w:szCs w:val="21"/>
        </w:rPr>
        <w:t xml:space="preserve">to </w:t>
      </w:r>
      <w:r>
        <w:rPr>
          <w:rFonts w:ascii="Times New Roman" w:hAnsi="Times New Roman" w:cs="Times New Roman"/>
          <w:color w:val="525657"/>
          <w:sz w:val="21"/>
          <w:szCs w:val="21"/>
        </w:rPr>
        <w:t xml:space="preserve">accept  </w:t>
      </w:r>
      <w:r>
        <w:rPr>
          <w:rFonts w:ascii="Times New Roman" w:hAnsi="Times New Roman" w:cs="Times New Roman"/>
          <w:color w:val="66696B"/>
          <w:sz w:val="21"/>
          <w:szCs w:val="21"/>
        </w:rPr>
        <w:t xml:space="preserve">carve-  out </w:t>
      </w:r>
      <w:r>
        <w:rPr>
          <w:rFonts w:ascii="Times New Roman" w:hAnsi="Times New Roman" w:cs="Times New Roman"/>
          <w:color w:val="525657"/>
          <w:sz w:val="21"/>
          <w:szCs w:val="21"/>
        </w:rPr>
        <w:t xml:space="preserve">arrangements with a third party, </w:t>
      </w:r>
      <w:r>
        <w:rPr>
          <w:rFonts w:ascii="Times New Roman" w:hAnsi="Times New Roman" w:cs="Times New Roman"/>
          <w:i/>
          <w:iCs/>
          <w:color w:val="66696B"/>
          <w:sz w:val="21"/>
          <w:szCs w:val="21"/>
        </w:rPr>
        <w:t xml:space="preserve">all </w:t>
      </w:r>
      <w:r>
        <w:rPr>
          <w:rFonts w:ascii="Times New Roman" w:hAnsi="Times New Roman" w:cs="Times New Roman"/>
          <w:color w:val="525657"/>
          <w:sz w:val="21"/>
          <w:szCs w:val="21"/>
        </w:rPr>
        <w:t xml:space="preserve">providers </w:t>
      </w:r>
      <w:r>
        <w:rPr>
          <w:rFonts w:ascii="Times New Roman" w:hAnsi="Times New Roman" w:cs="Times New Roman"/>
          <w:color w:val="66696B"/>
          <w:sz w:val="21"/>
          <w:szCs w:val="21"/>
        </w:rPr>
        <w:t xml:space="preserve">of </w:t>
      </w:r>
      <w:r>
        <w:rPr>
          <w:rFonts w:ascii="Times New Roman" w:hAnsi="Times New Roman" w:cs="Times New Roman"/>
          <w:color w:val="525657"/>
          <w:sz w:val="21"/>
          <w:szCs w:val="21"/>
        </w:rPr>
        <w:t xml:space="preserve">the </w:t>
      </w:r>
      <w:r>
        <w:rPr>
          <w:rFonts w:ascii="Times New Roman" w:hAnsi="Times New Roman" w:cs="Times New Roman"/>
          <w:color w:val="66696B"/>
          <w:sz w:val="21"/>
          <w:szCs w:val="21"/>
        </w:rPr>
        <w:t xml:space="preserve">same services (as </w:t>
      </w:r>
      <w:r>
        <w:rPr>
          <w:rFonts w:ascii="Times New Roman" w:hAnsi="Times New Roman" w:cs="Times New Roman"/>
          <w:color w:val="525657"/>
          <w:sz w:val="21"/>
          <w:szCs w:val="21"/>
        </w:rPr>
        <w:t xml:space="preserve">defined </w:t>
      </w:r>
      <w:r>
        <w:rPr>
          <w:rFonts w:ascii="Times New Roman" w:hAnsi="Times New Roman" w:cs="Times New Roman"/>
          <w:color w:val="66696B"/>
          <w:sz w:val="21"/>
          <w:szCs w:val="21"/>
        </w:rPr>
        <w:t xml:space="preserve">by CPT </w:t>
      </w:r>
      <w:r>
        <w:rPr>
          <w:rFonts w:ascii="Times New Roman" w:hAnsi="Times New Roman" w:cs="Times New Roman"/>
          <w:color w:val="525657"/>
          <w:sz w:val="21"/>
          <w:szCs w:val="21"/>
        </w:rPr>
        <w:t xml:space="preserve">and  ICD-1 0) </w:t>
      </w:r>
      <w:r>
        <w:rPr>
          <w:rFonts w:ascii="Times New Roman" w:hAnsi="Times New Roman" w:cs="Times New Roman"/>
          <w:color w:val="66696B"/>
          <w:sz w:val="21"/>
          <w:szCs w:val="21"/>
        </w:rPr>
        <w:t xml:space="preserve">should </w:t>
      </w:r>
      <w:r>
        <w:rPr>
          <w:rFonts w:ascii="Times New Roman" w:hAnsi="Times New Roman" w:cs="Times New Roman"/>
          <w:color w:val="525657"/>
          <w:sz w:val="21"/>
          <w:szCs w:val="21"/>
        </w:rPr>
        <w:t xml:space="preserve">be </w:t>
      </w:r>
      <w:r>
        <w:rPr>
          <w:rFonts w:ascii="Times New Roman" w:hAnsi="Times New Roman" w:cs="Times New Roman"/>
          <w:color w:val="66696B"/>
          <w:sz w:val="21"/>
          <w:szCs w:val="21"/>
        </w:rPr>
        <w:t xml:space="preserve">subject </w:t>
      </w:r>
      <w:r>
        <w:rPr>
          <w:rFonts w:ascii="Times New Roman" w:hAnsi="Times New Roman" w:cs="Times New Roman"/>
          <w:color w:val="525657"/>
          <w:sz w:val="21"/>
          <w:szCs w:val="21"/>
        </w:rPr>
        <w:t xml:space="preserve">to the </w:t>
      </w:r>
      <w:r>
        <w:rPr>
          <w:rFonts w:ascii="Times New Roman" w:hAnsi="Times New Roman" w:cs="Times New Roman"/>
          <w:color w:val="66696B"/>
          <w:sz w:val="21"/>
          <w:szCs w:val="21"/>
        </w:rPr>
        <w:t xml:space="preserve">carve-out to </w:t>
      </w:r>
      <w:r>
        <w:rPr>
          <w:rFonts w:ascii="Times New Roman" w:hAnsi="Times New Roman" w:cs="Times New Roman"/>
          <w:color w:val="525657"/>
          <w:sz w:val="21"/>
          <w:szCs w:val="21"/>
        </w:rPr>
        <w:t xml:space="preserve">minimize an </w:t>
      </w:r>
      <w:r w:rsidR="00347C9E">
        <w:rPr>
          <w:rFonts w:ascii="Times New Roman" w:hAnsi="Times New Roman" w:cs="Times New Roman"/>
          <w:color w:val="66696B"/>
          <w:sz w:val="21"/>
          <w:szCs w:val="21"/>
        </w:rPr>
        <w:t>anti-com</w:t>
      </w:r>
      <w:r>
        <w:rPr>
          <w:rFonts w:ascii="Times New Roman" w:hAnsi="Times New Roman" w:cs="Times New Roman"/>
          <w:color w:val="66696B"/>
          <w:sz w:val="21"/>
          <w:szCs w:val="21"/>
        </w:rPr>
        <w:t xml:space="preserve">petitive </w:t>
      </w:r>
      <w:r>
        <w:rPr>
          <w:rFonts w:ascii="Times New Roman" w:hAnsi="Times New Roman" w:cs="Times New Roman"/>
          <w:color w:val="525657"/>
          <w:sz w:val="21"/>
          <w:szCs w:val="21"/>
        </w:rPr>
        <w:t xml:space="preserve">healthcare marketplace. The MSO respectfully requests that this policy be included </w:t>
      </w:r>
      <w:proofErr w:type="spellStart"/>
      <w:r>
        <w:rPr>
          <w:rFonts w:ascii="Times New Roman" w:hAnsi="Times New Roman" w:cs="Times New Roman"/>
          <w:color w:val="525657"/>
          <w:sz w:val="21"/>
          <w:szCs w:val="21"/>
        </w:rPr>
        <w:t>i</w:t>
      </w:r>
      <w:proofErr w:type="spellEnd"/>
      <w:r>
        <w:rPr>
          <w:rFonts w:ascii="Times New Roman" w:hAnsi="Times New Roman" w:cs="Times New Roman"/>
          <w:color w:val="525657"/>
          <w:sz w:val="21"/>
          <w:szCs w:val="21"/>
        </w:rPr>
        <w:t xml:space="preserve"> n the </w:t>
      </w:r>
      <w:r>
        <w:rPr>
          <w:rFonts w:ascii="Times New Roman" w:hAnsi="Times New Roman" w:cs="Times New Roman"/>
          <w:color w:val="66696B"/>
          <w:sz w:val="21"/>
          <w:szCs w:val="21"/>
        </w:rPr>
        <w:t xml:space="preserve">1 1 </w:t>
      </w:r>
      <w:r>
        <w:rPr>
          <w:rFonts w:ascii="Times New Roman" w:hAnsi="Times New Roman" w:cs="Times New Roman"/>
          <w:color w:val="66696B"/>
          <w:spacing w:val="7"/>
          <w:sz w:val="21"/>
          <w:szCs w:val="21"/>
        </w:rPr>
        <w:t xml:space="preserve">15  </w:t>
      </w:r>
      <w:r>
        <w:rPr>
          <w:rFonts w:ascii="Times New Roman" w:hAnsi="Times New Roman" w:cs="Times New Roman"/>
          <w:color w:val="525657"/>
          <w:sz w:val="21"/>
          <w:szCs w:val="21"/>
        </w:rPr>
        <w:t xml:space="preserve">Waiver  </w:t>
      </w:r>
      <w:r>
        <w:rPr>
          <w:rFonts w:ascii="Times New Roman" w:hAnsi="Times New Roman" w:cs="Times New Roman"/>
          <w:color w:val="66696B"/>
          <w:sz w:val="21"/>
          <w:szCs w:val="21"/>
        </w:rPr>
        <w:t xml:space="preserve">application </w:t>
      </w:r>
      <w:r>
        <w:rPr>
          <w:rFonts w:ascii="Times New Roman" w:hAnsi="Times New Roman" w:cs="Times New Roman"/>
          <w:color w:val="525657"/>
          <w:sz w:val="21"/>
          <w:szCs w:val="21"/>
        </w:rPr>
        <w:t xml:space="preserve">in  </w:t>
      </w:r>
      <w:r>
        <w:rPr>
          <w:rFonts w:ascii="Times New Roman" w:hAnsi="Times New Roman" w:cs="Times New Roman"/>
          <w:color w:val="66696B"/>
          <w:sz w:val="21"/>
          <w:szCs w:val="21"/>
        </w:rPr>
        <w:t xml:space="preserve">order </w:t>
      </w:r>
      <w:r>
        <w:rPr>
          <w:rFonts w:ascii="Times New Roman" w:hAnsi="Times New Roman" w:cs="Times New Roman"/>
          <w:color w:val="525657"/>
          <w:sz w:val="21"/>
          <w:szCs w:val="21"/>
        </w:rPr>
        <w:t xml:space="preserve">to  provide  </w:t>
      </w:r>
      <w:r>
        <w:rPr>
          <w:rFonts w:ascii="Times New Roman" w:hAnsi="Times New Roman" w:cs="Times New Roman"/>
          <w:color w:val="66696B"/>
          <w:sz w:val="21"/>
          <w:szCs w:val="21"/>
        </w:rPr>
        <w:t xml:space="preserve">a strong foundation  </w:t>
      </w:r>
      <w:r>
        <w:rPr>
          <w:rFonts w:ascii="Times New Roman" w:hAnsi="Times New Roman" w:cs="Times New Roman"/>
          <w:color w:val="525657"/>
          <w:sz w:val="21"/>
          <w:szCs w:val="21"/>
        </w:rPr>
        <w:t xml:space="preserve">upon </w:t>
      </w:r>
      <w:r>
        <w:rPr>
          <w:rFonts w:ascii="Times New Roman" w:hAnsi="Times New Roman" w:cs="Times New Roman"/>
          <w:color w:val="66696B"/>
          <w:sz w:val="21"/>
          <w:szCs w:val="21"/>
        </w:rPr>
        <w:t xml:space="preserve">which  </w:t>
      </w:r>
      <w:r>
        <w:rPr>
          <w:rFonts w:ascii="Times New Roman" w:hAnsi="Times New Roman" w:cs="Times New Roman"/>
          <w:color w:val="525657"/>
          <w:sz w:val="21"/>
          <w:szCs w:val="21"/>
        </w:rPr>
        <w:t xml:space="preserve">the new ACO health care delivery models </w:t>
      </w:r>
      <w:r>
        <w:rPr>
          <w:rFonts w:ascii="Times New Roman" w:hAnsi="Times New Roman" w:cs="Times New Roman"/>
          <w:color w:val="66696B"/>
          <w:sz w:val="21"/>
          <w:szCs w:val="21"/>
        </w:rPr>
        <w:t xml:space="preserve">will  </w:t>
      </w:r>
      <w:r>
        <w:rPr>
          <w:rFonts w:ascii="Times New Roman" w:hAnsi="Times New Roman" w:cs="Times New Roman"/>
          <w:color w:val="525657"/>
          <w:sz w:val="21"/>
          <w:szCs w:val="21"/>
        </w:rPr>
        <w:t>be</w:t>
      </w:r>
      <w:r>
        <w:rPr>
          <w:rFonts w:ascii="Times New Roman" w:hAnsi="Times New Roman" w:cs="Times New Roman"/>
          <w:color w:val="525657"/>
          <w:spacing w:val="32"/>
          <w:sz w:val="21"/>
          <w:szCs w:val="21"/>
        </w:rPr>
        <w:t xml:space="preserve"> </w:t>
      </w:r>
      <w:r>
        <w:rPr>
          <w:rFonts w:ascii="Times New Roman" w:hAnsi="Times New Roman" w:cs="Times New Roman"/>
          <w:color w:val="66696B"/>
          <w:sz w:val="21"/>
          <w:szCs w:val="21"/>
        </w:rPr>
        <w:t>established.</w:t>
      </w:r>
    </w:p>
    <w:p w:rsidR="002C5025" w:rsidRDefault="002C5025">
      <w:pPr>
        <w:pStyle w:val="BodyText"/>
        <w:kinsoku w:val="0"/>
        <w:overflowPunct w:val="0"/>
        <w:rPr>
          <w:rFonts w:ascii="Times New Roman" w:hAnsi="Times New Roman" w:cs="Times New Roman"/>
          <w:sz w:val="25"/>
          <w:szCs w:val="25"/>
        </w:rPr>
      </w:pPr>
    </w:p>
    <w:p w:rsidR="002C5025" w:rsidRDefault="002C5025">
      <w:pPr>
        <w:pStyle w:val="BodyText"/>
        <w:kinsoku w:val="0"/>
        <w:overflowPunct w:val="0"/>
        <w:spacing w:line="280" w:lineRule="auto"/>
        <w:ind w:left="410" w:right="116" w:firstLine="7"/>
        <w:jc w:val="both"/>
        <w:rPr>
          <w:rFonts w:ascii="Times New Roman" w:hAnsi="Times New Roman" w:cs="Times New Roman"/>
          <w:color w:val="525657"/>
          <w:sz w:val="21"/>
          <w:szCs w:val="21"/>
        </w:rPr>
      </w:pPr>
      <w:r>
        <w:rPr>
          <w:rFonts w:ascii="Times New Roman" w:hAnsi="Times New Roman" w:cs="Times New Roman"/>
          <w:color w:val="525657"/>
          <w:sz w:val="21"/>
          <w:szCs w:val="21"/>
        </w:rPr>
        <w:t xml:space="preserve">As primary eye </w:t>
      </w:r>
      <w:r>
        <w:rPr>
          <w:rFonts w:ascii="Times New Roman" w:hAnsi="Times New Roman" w:cs="Times New Roman"/>
          <w:color w:val="66696B"/>
          <w:sz w:val="21"/>
          <w:szCs w:val="21"/>
        </w:rPr>
        <w:t xml:space="preserve">care </w:t>
      </w:r>
      <w:r>
        <w:rPr>
          <w:rFonts w:ascii="Times New Roman" w:hAnsi="Times New Roman" w:cs="Times New Roman"/>
          <w:color w:val="525657"/>
          <w:sz w:val="21"/>
          <w:szCs w:val="21"/>
        </w:rPr>
        <w:t xml:space="preserve">providers </w:t>
      </w:r>
      <w:r>
        <w:rPr>
          <w:rFonts w:ascii="Times New Roman" w:hAnsi="Times New Roman" w:cs="Times New Roman"/>
          <w:color w:val="66696B"/>
          <w:sz w:val="21"/>
          <w:szCs w:val="21"/>
        </w:rPr>
        <w:t xml:space="preserve">serving </w:t>
      </w:r>
      <w:r>
        <w:rPr>
          <w:rFonts w:ascii="Times New Roman" w:hAnsi="Times New Roman" w:cs="Times New Roman"/>
          <w:color w:val="525657"/>
          <w:sz w:val="21"/>
          <w:szCs w:val="21"/>
        </w:rPr>
        <w:t xml:space="preserve">MassHealth patients throughout the </w:t>
      </w:r>
      <w:r>
        <w:rPr>
          <w:rFonts w:ascii="Times New Roman" w:hAnsi="Times New Roman" w:cs="Times New Roman"/>
          <w:color w:val="66696B"/>
          <w:sz w:val="21"/>
          <w:szCs w:val="21"/>
        </w:rPr>
        <w:t xml:space="preserve">Commonwealth, </w:t>
      </w:r>
      <w:r>
        <w:rPr>
          <w:rFonts w:ascii="Times New Roman" w:hAnsi="Times New Roman" w:cs="Times New Roman"/>
          <w:color w:val="525657"/>
          <w:sz w:val="21"/>
          <w:szCs w:val="21"/>
        </w:rPr>
        <w:t xml:space="preserve">the MSO membership has a keen interest </w:t>
      </w:r>
      <w:r>
        <w:rPr>
          <w:rFonts w:ascii="Times New Roman" w:hAnsi="Times New Roman" w:cs="Times New Roman"/>
          <w:color w:val="66696B"/>
          <w:sz w:val="21"/>
          <w:szCs w:val="21"/>
        </w:rPr>
        <w:t xml:space="preserve">in </w:t>
      </w:r>
      <w:r>
        <w:rPr>
          <w:rFonts w:ascii="Times New Roman" w:hAnsi="Times New Roman" w:cs="Times New Roman"/>
          <w:color w:val="525657"/>
          <w:sz w:val="21"/>
          <w:szCs w:val="21"/>
        </w:rPr>
        <w:t xml:space="preserve">providing a broad </w:t>
      </w:r>
      <w:r>
        <w:rPr>
          <w:rFonts w:ascii="Times New Roman" w:hAnsi="Times New Roman" w:cs="Times New Roman"/>
          <w:color w:val="66696B"/>
          <w:sz w:val="21"/>
          <w:szCs w:val="21"/>
        </w:rPr>
        <w:t xml:space="preserve">array of </w:t>
      </w:r>
      <w:r w:rsidR="00347C9E">
        <w:rPr>
          <w:rFonts w:ascii="Times New Roman" w:hAnsi="Times New Roman" w:cs="Times New Roman"/>
          <w:color w:val="525657"/>
          <w:sz w:val="21"/>
          <w:szCs w:val="21"/>
        </w:rPr>
        <w:t>high qual</w:t>
      </w:r>
      <w:r>
        <w:rPr>
          <w:rFonts w:ascii="Times New Roman" w:hAnsi="Times New Roman" w:cs="Times New Roman"/>
          <w:color w:val="525657"/>
          <w:sz w:val="21"/>
          <w:szCs w:val="21"/>
        </w:rPr>
        <w:t xml:space="preserve">ity </w:t>
      </w:r>
      <w:r>
        <w:rPr>
          <w:rFonts w:ascii="Times New Roman" w:hAnsi="Times New Roman" w:cs="Times New Roman"/>
          <w:color w:val="66696B"/>
          <w:sz w:val="21"/>
          <w:szCs w:val="21"/>
        </w:rPr>
        <w:t xml:space="preserve">services </w:t>
      </w:r>
      <w:r>
        <w:rPr>
          <w:rFonts w:ascii="Times New Roman" w:hAnsi="Times New Roman" w:cs="Times New Roman"/>
          <w:color w:val="525657"/>
          <w:sz w:val="21"/>
          <w:szCs w:val="21"/>
        </w:rPr>
        <w:t xml:space="preserve">in the </w:t>
      </w:r>
      <w:r>
        <w:rPr>
          <w:rFonts w:ascii="Times New Roman" w:hAnsi="Times New Roman" w:cs="Times New Roman"/>
          <w:color w:val="66696B"/>
          <w:sz w:val="21"/>
          <w:szCs w:val="21"/>
        </w:rPr>
        <w:t xml:space="preserve">most efficient </w:t>
      </w:r>
      <w:r>
        <w:rPr>
          <w:rFonts w:ascii="Times New Roman" w:hAnsi="Times New Roman" w:cs="Times New Roman"/>
          <w:color w:val="525657"/>
          <w:sz w:val="21"/>
          <w:szCs w:val="21"/>
        </w:rPr>
        <w:t xml:space="preserve">manner. The recommendations above aim to preserve </w:t>
      </w:r>
      <w:r>
        <w:rPr>
          <w:rFonts w:ascii="Times New Roman" w:hAnsi="Times New Roman" w:cs="Times New Roman"/>
          <w:color w:val="66696B"/>
          <w:sz w:val="21"/>
          <w:szCs w:val="21"/>
        </w:rPr>
        <w:t xml:space="preserve">state </w:t>
      </w:r>
      <w:r>
        <w:rPr>
          <w:rFonts w:ascii="Times New Roman" w:hAnsi="Times New Roman" w:cs="Times New Roman"/>
          <w:color w:val="525657"/>
          <w:sz w:val="21"/>
          <w:szCs w:val="21"/>
        </w:rPr>
        <w:t xml:space="preserve">resources </w:t>
      </w:r>
      <w:r w:rsidR="00347C9E">
        <w:rPr>
          <w:rFonts w:ascii="Times New Roman" w:hAnsi="Times New Roman" w:cs="Times New Roman"/>
          <w:color w:val="66696B"/>
          <w:sz w:val="21"/>
          <w:szCs w:val="21"/>
        </w:rPr>
        <w:t>whi</w:t>
      </w:r>
      <w:r>
        <w:rPr>
          <w:rFonts w:ascii="Times New Roman" w:hAnsi="Times New Roman" w:cs="Times New Roman"/>
          <w:color w:val="66696B"/>
          <w:sz w:val="21"/>
          <w:szCs w:val="21"/>
        </w:rPr>
        <w:t xml:space="preserve">le also  ensuring  </w:t>
      </w:r>
      <w:r>
        <w:rPr>
          <w:rFonts w:ascii="Times New Roman" w:hAnsi="Times New Roman" w:cs="Times New Roman"/>
          <w:color w:val="525657"/>
          <w:sz w:val="21"/>
          <w:szCs w:val="21"/>
        </w:rPr>
        <w:t xml:space="preserve">that  the </w:t>
      </w:r>
      <w:proofErr w:type="spellStart"/>
      <w:r>
        <w:rPr>
          <w:rFonts w:ascii="Times New Roman" w:hAnsi="Times New Roman" w:cs="Times New Roman"/>
          <w:color w:val="525657"/>
          <w:sz w:val="21"/>
          <w:szCs w:val="21"/>
        </w:rPr>
        <w:t>MassHeaith</w:t>
      </w:r>
      <w:proofErr w:type="spellEnd"/>
      <w:r>
        <w:rPr>
          <w:rFonts w:ascii="Times New Roman" w:hAnsi="Times New Roman" w:cs="Times New Roman"/>
          <w:color w:val="525657"/>
          <w:sz w:val="21"/>
          <w:szCs w:val="21"/>
        </w:rPr>
        <w:t xml:space="preserve">  program  </w:t>
      </w:r>
      <w:r>
        <w:rPr>
          <w:rFonts w:ascii="Times New Roman" w:hAnsi="Times New Roman" w:cs="Times New Roman"/>
          <w:color w:val="66696B"/>
          <w:sz w:val="21"/>
          <w:szCs w:val="21"/>
        </w:rPr>
        <w:t xml:space="preserve">accurately </w:t>
      </w:r>
      <w:r>
        <w:rPr>
          <w:rFonts w:ascii="Times New Roman" w:hAnsi="Times New Roman" w:cs="Times New Roman"/>
          <w:color w:val="525657"/>
          <w:sz w:val="21"/>
          <w:szCs w:val="21"/>
        </w:rPr>
        <w:t xml:space="preserve">reflects the </w:t>
      </w:r>
      <w:r>
        <w:rPr>
          <w:rFonts w:ascii="Times New Roman" w:hAnsi="Times New Roman" w:cs="Times New Roman"/>
          <w:color w:val="66696B"/>
          <w:sz w:val="21"/>
          <w:szCs w:val="21"/>
        </w:rPr>
        <w:t xml:space="preserve">current scope of optometric services covered  </w:t>
      </w:r>
      <w:r>
        <w:rPr>
          <w:rFonts w:ascii="Times New Roman" w:hAnsi="Times New Roman" w:cs="Times New Roman"/>
          <w:color w:val="525657"/>
          <w:sz w:val="21"/>
          <w:szCs w:val="21"/>
        </w:rPr>
        <w:t>by MassHealth.</w:t>
      </w:r>
    </w:p>
    <w:p w:rsidR="002C5025" w:rsidRDefault="002C5025">
      <w:pPr>
        <w:pStyle w:val="BodyText"/>
        <w:kinsoku w:val="0"/>
        <w:overflowPunct w:val="0"/>
        <w:spacing w:before="7"/>
        <w:rPr>
          <w:rFonts w:ascii="Times New Roman" w:hAnsi="Times New Roman" w:cs="Times New Roman"/>
          <w:sz w:val="25"/>
          <w:szCs w:val="25"/>
        </w:rPr>
      </w:pPr>
    </w:p>
    <w:p w:rsidR="002C5025" w:rsidRDefault="002C5025">
      <w:pPr>
        <w:pStyle w:val="BodyText"/>
        <w:kinsoku w:val="0"/>
        <w:overflowPunct w:val="0"/>
        <w:spacing w:line="288" w:lineRule="auto"/>
        <w:ind w:left="425" w:right="117" w:hanging="15"/>
        <w:jc w:val="both"/>
        <w:rPr>
          <w:rFonts w:ascii="Times New Roman" w:hAnsi="Times New Roman" w:cs="Times New Roman"/>
          <w:color w:val="525657"/>
          <w:sz w:val="21"/>
          <w:szCs w:val="21"/>
        </w:rPr>
      </w:pPr>
      <w:r>
        <w:rPr>
          <w:rFonts w:ascii="Times New Roman" w:hAnsi="Times New Roman" w:cs="Times New Roman"/>
          <w:color w:val="525657"/>
          <w:sz w:val="21"/>
          <w:szCs w:val="21"/>
        </w:rPr>
        <w:t xml:space="preserve">Thank </w:t>
      </w:r>
      <w:r>
        <w:rPr>
          <w:rFonts w:ascii="Times New Roman" w:hAnsi="Times New Roman" w:cs="Times New Roman"/>
          <w:color w:val="66696B"/>
          <w:sz w:val="21"/>
          <w:szCs w:val="21"/>
        </w:rPr>
        <w:t xml:space="preserve">you for considering </w:t>
      </w:r>
      <w:r>
        <w:rPr>
          <w:rFonts w:ascii="Times New Roman" w:hAnsi="Times New Roman" w:cs="Times New Roman"/>
          <w:color w:val="525657"/>
          <w:sz w:val="21"/>
          <w:szCs w:val="21"/>
        </w:rPr>
        <w:t xml:space="preserve">the </w:t>
      </w:r>
      <w:r>
        <w:rPr>
          <w:rFonts w:ascii="Times New Roman" w:hAnsi="Times New Roman" w:cs="Times New Roman"/>
          <w:color w:val="66696B"/>
          <w:sz w:val="21"/>
          <w:szCs w:val="21"/>
        </w:rPr>
        <w:t xml:space="preserve">aforementioned </w:t>
      </w:r>
      <w:r>
        <w:rPr>
          <w:rFonts w:ascii="Times New Roman" w:hAnsi="Times New Roman" w:cs="Times New Roman"/>
          <w:color w:val="525657"/>
          <w:sz w:val="21"/>
          <w:szCs w:val="21"/>
        </w:rPr>
        <w:t xml:space="preserve">recommendations, which the MSO </w:t>
      </w:r>
      <w:r w:rsidR="00347C9E">
        <w:rPr>
          <w:rFonts w:ascii="Times New Roman" w:hAnsi="Times New Roman" w:cs="Times New Roman"/>
          <w:color w:val="66696B"/>
          <w:sz w:val="21"/>
          <w:szCs w:val="21"/>
        </w:rPr>
        <w:t>respectfully  subm</w:t>
      </w:r>
      <w:r>
        <w:rPr>
          <w:rFonts w:ascii="Times New Roman" w:hAnsi="Times New Roman" w:cs="Times New Roman"/>
          <w:color w:val="66696B"/>
          <w:sz w:val="21"/>
          <w:szCs w:val="21"/>
        </w:rPr>
        <w:t xml:space="preserve">its </w:t>
      </w:r>
      <w:r>
        <w:rPr>
          <w:rFonts w:ascii="Times New Roman" w:hAnsi="Times New Roman" w:cs="Times New Roman"/>
          <w:color w:val="525657"/>
          <w:sz w:val="21"/>
          <w:szCs w:val="21"/>
        </w:rPr>
        <w:t xml:space="preserve">as part </w:t>
      </w:r>
      <w:r>
        <w:rPr>
          <w:rFonts w:ascii="Times New Roman" w:hAnsi="Times New Roman" w:cs="Times New Roman"/>
          <w:color w:val="66696B"/>
          <w:sz w:val="21"/>
          <w:szCs w:val="21"/>
        </w:rPr>
        <w:t xml:space="preserve">of </w:t>
      </w:r>
      <w:r>
        <w:rPr>
          <w:rFonts w:ascii="Times New Roman" w:hAnsi="Times New Roman" w:cs="Times New Roman"/>
          <w:color w:val="525657"/>
          <w:sz w:val="21"/>
          <w:szCs w:val="21"/>
        </w:rPr>
        <w:t xml:space="preserve">its mission to partner </w:t>
      </w:r>
      <w:r>
        <w:rPr>
          <w:rFonts w:ascii="Times New Roman" w:hAnsi="Times New Roman" w:cs="Times New Roman"/>
          <w:color w:val="66696B"/>
          <w:sz w:val="21"/>
          <w:szCs w:val="21"/>
        </w:rPr>
        <w:t xml:space="preserve">with </w:t>
      </w:r>
      <w:r>
        <w:rPr>
          <w:rFonts w:ascii="Times New Roman" w:hAnsi="Times New Roman" w:cs="Times New Roman"/>
          <w:color w:val="525657"/>
          <w:sz w:val="21"/>
          <w:szCs w:val="21"/>
        </w:rPr>
        <w:t xml:space="preserve">the </w:t>
      </w:r>
      <w:r>
        <w:rPr>
          <w:rFonts w:ascii="Times New Roman" w:hAnsi="Times New Roman" w:cs="Times New Roman"/>
          <w:color w:val="66696B"/>
          <w:sz w:val="21"/>
          <w:szCs w:val="21"/>
        </w:rPr>
        <w:t xml:space="preserve">Commonwealth </w:t>
      </w:r>
      <w:r>
        <w:rPr>
          <w:rFonts w:ascii="Times New Roman" w:hAnsi="Times New Roman" w:cs="Times New Roman"/>
          <w:color w:val="525657"/>
          <w:sz w:val="21"/>
          <w:szCs w:val="21"/>
        </w:rPr>
        <w:t xml:space="preserve">in further enhancing  transparent  and  </w:t>
      </w:r>
      <w:r>
        <w:rPr>
          <w:rFonts w:ascii="Times New Roman" w:hAnsi="Times New Roman" w:cs="Times New Roman"/>
          <w:color w:val="66696B"/>
          <w:sz w:val="21"/>
          <w:szCs w:val="21"/>
        </w:rPr>
        <w:t xml:space="preserve">value-driven </w:t>
      </w:r>
      <w:r>
        <w:rPr>
          <w:rFonts w:ascii="Times New Roman" w:hAnsi="Times New Roman" w:cs="Times New Roman"/>
          <w:color w:val="525657"/>
          <w:sz w:val="21"/>
          <w:szCs w:val="21"/>
        </w:rPr>
        <w:t xml:space="preserve">health  </w:t>
      </w:r>
      <w:r>
        <w:rPr>
          <w:rFonts w:ascii="Times New Roman" w:hAnsi="Times New Roman" w:cs="Times New Roman"/>
          <w:color w:val="66696B"/>
          <w:sz w:val="21"/>
          <w:szCs w:val="21"/>
        </w:rPr>
        <w:t xml:space="preserve">care </w:t>
      </w:r>
      <w:r w:rsidR="00347C9E">
        <w:rPr>
          <w:rFonts w:ascii="Times New Roman" w:hAnsi="Times New Roman" w:cs="Times New Roman"/>
          <w:color w:val="525657"/>
          <w:sz w:val="21"/>
          <w:szCs w:val="21"/>
        </w:rPr>
        <w:t>del</w:t>
      </w:r>
      <w:r>
        <w:rPr>
          <w:rFonts w:ascii="Times New Roman" w:hAnsi="Times New Roman" w:cs="Times New Roman"/>
          <w:color w:val="525657"/>
          <w:sz w:val="21"/>
          <w:szCs w:val="21"/>
        </w:rPr>
        <w:t xml:space="preserve">ivery. Please </w:t>
      </w:r>
      <w:r>
        <w:rPr>
          <w:rFonts w:ascii="Times New Roman" w:hAnsi="Times New Roman" w:cs="Times New Roman"/>
          <w:color w:val="66696B"/>
          <w:sz w:val="21"/>
          <w:szCs w:val="21"/>
        </w:rPr>
        <w:t xml:space="preserve">feel </w:t>
      </w:r>
      <w:r>
        <w:rPr>
          <w:rFonts w:ascii="Times New Roman" w:hAnsi="Times New Roman" w:cs="Times New Roman"/>
          <w:color w:val="525657"/>
          <w:sz w:val="21"/>
          <w:szCs w:val="21"/>
        </w:rPr>
        <w:t xml:space="preserve">free </w:t>
      </w:r>
      <w:r>
        <w:rPr>
          <w:rFonts w:ascii="Times New Roman" w:hAnsi="Times New Roman" w:cs="Times New Roman"/>
          <w:color w:val="66696B"/>
          <w:sz w:val="21"/>
          <w:szCs w:val="21"/>
        </w:rPr>
        <w:t xml:space="preserve">to contact </w:t>
      </w:r>
      <w:r>
        <w:rPr>
          <w:rFonts w:ascii="Times New Roman" w:hAnsi="Times New Roman" w:cs="Times New Roman"/>
          <w:color w:val="525657"/>
          <w:sz w:val="21"/>
          <w:szCs w:val="21"/>
        </w:rPr>
        <w:t>me with any questions.</w:t>
      </w:r>
    </w:p>
    <w:p w:rsidR="002C5025" w:rsidRDefault="002C5025">
      <w:pPr>
        <w:pStyle w:val="BodyText"/>
        <w:kinsoku w:val="0"/>
        <w:overflowPunct w:val="0"/>
        <w:spacing w:before="5"/>
        <w:rPr>
          <w:rFonts w:ascii="Times New Roman" w:hAnsi="Times New Roman" w:cs="Times New Roman"/>
          <w:sz w:val="20"/>
          <w:szCs w:val="20"/>
        </w:rPr>
      </w:pPr>
    </w:p>
    <w:p w:rsidR="002C5025" w:rsidRDefault="00FB027C">
      <w:pPr>
        <w:pStyle w:val="BodyText"/>
        <w:kinsoku w:val="0"/>
        <w:overflowPunct w:val="0"/>
        <w:ind w:left="425"/>
        <w:jc w:val="both"/>
        <w:rPr>
          <w:rFonts w:ascii="Times New Roman" w:hAnsi="Times New Roman" w:cs="Times New Roman"/>
          <w:color w:val="525657"/>
          <w:sz w:val="21"/>
          <w:szCs w:val="21"/>
        </w:rPr>
      </w:pPr>
      <w:r>
        <w:rPr>
          <w:noProof/>
        </w:rPr>
        <mc:AlternateContent>
          <mc:Choice Requires="wps">
            <w:drawing>
              <wp:anchor distT="0" distB="0" distL="0" distR="0" simplePos="0" relativeHeight="251745792" behindDoc="0" locked="0" layoutInCell="0" allowOverlap="1">
                <wp:simplePos x="0" y="0"/>
                <wp:positionH relativeFrom="page">
                  <wp:posOffset>594360</wp:posOffset>
                </wp:positionH>
                <wp:positionV relativeFrom="paragraph">
                  <wp:posOffset>184150</wp:posOffset>
                </wp:positionV>
                <wp:extent cx="2057400" cy="609600"/>
                <wp:effectExtent l="0" t="0" r="0" b="0"/>
                <wp:wrapTopAndBottom/>
                <wp:docPr id="292" name="Rectangle 7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960" w:lineRule="atLeast"/>
                            </w:pPr>
                            <w:r>
                              <w:rPr>
                                <w:noProof/>
                              </w:rPr>
                              <w:drawing>
                                <wp:inline distT="0" distB="0" distL="0" distR="0">
                                  <wp:extent cx="2057400" cy="609600"/>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500">
                                            <a:extLst>
                                              <a:ext uri="{28A0092B-C50C-407E-A947-70E740481C1C}">
                                                <a14:useLocalDpi xmlns:a14="http://schemas.microsoft.com/office/drawing/2010/main" val="0"/>
                                              </a:ext>
                                            </a:extLst>
                                          </a:blip>
                                          <a:srcRect/>
                                          <a:stretch>
                                            <a:fillRect/>
                                          </a:stretch>
                                        </pic:blipFill>
                                        <pic:spPr bwMode="auto">
                                          <a:xfrm>
                                            <a:off x="0" y="0"/>
                                            <a:ext cx="2057400" cy="609600"/>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3" o:spid="_x0000_s1257" style="position:absolute;left:0;text-align:left;margin-left:46.8pt;margin-top:14.5pt;width:162pt;height:48pt;z-index:251745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" o:allowincell="f" filled="f" stroked="f">
                <v:textbox inset="0,0,0,0">
                  <w:txbxContent>
                    <w:p w:rsidR="007B2B7B" w:rsidRDefault="007B2B7B">
                      <w:pPr>
                        <w:widowControl/>
                        <w:autoSpaceDE/>
                        <w:autoSpaceDN/>
                        <w:adjustRightInd/>
                        <w:spacing w:line="960" w:lineRule="atLeast"/>
                      </w:pPr>
                      <w:r>
                        <w:rPr>
                          <w:noProof/>
                        </w:rPr>
                        <w:drawing>
                          <wp:inline distT="0" distB="0" distL="0" distR="0">
                            <wp:extent cx="2057400" cy="609600"/>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501">
                                      <a:extLst>
                                        <a:ext uri="{28A0092B-C50C-407E-A947-70E740481C1C}">
                                          <a14:useLocalDpi xmlns:a14="http://schemas.microsoft.com/office/drawing/2010/main" val="0"/>
                                        </a:ext>
                                      </a:extLst>
                                    </a:blip>
                                    <a:srcRect/>
                                    <a:stretch>
                                      <a:fillRect/>
                                    </a:stretch>
                                  </pic:blipFill>
                                  <pic:spPr bwMode="auto">
                                    <a:xfrm>
                                      <a:off x="0" y="0"/>
                                      <a:ext cx="2057400" cy="609600"/>
                                    </a:xfrm>
                                    <a:prstGeom prst="rect">
                                      <a:avLst/>
                                    </a:prstGeom>
                                    <a:noFill/>
                                    <a:ln>
                                      <a:noFill/>
                                    </a:ln>
                                  </pic:spPr>
                                </pic:pic>
                              </a:graphicData>
                            </a:graphic>
                          </wp:inline>
                        </w:drawing>
                      </w:r>
                    </w:p>
                    <w:p w:rsidR="007B2B7B" w:rsidRDefault="007B2B7B"/>
                  </w:txbxContent>
                </v:textbox>
                <w10:wrap type="topAndBottom" anchorx="page"/>
              </v:rect>
            </w:pict>
          </mc:Fallback>
        </mc:AlternateContent>
      </w:r>
      <w:r w:rsidR="002C5025">
        <w:rPr>
          <w:rFonts w:ascii="Times New Roman" w:hAnsi="Times New Roman" w:cs="Times New Roman"/>
          <w:color w:val="525657"/>
          <w:sz w:val="21"/>
          <w:szCs w:val="21"/>
        </w:rPr>
        <w:t>Sincerely,</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FB027C">
      <w:pPr>
        <w:pStyle w:val="BodyText"/>
        <w:kinsoku w:val="0"/>
        <w:overflowPunct w:val="0"/>
        <w:spacing w:before="2"/>
        <w:rPr>
          <w:rFonts w:ascii="Times New Roman" w:hAnsi="Times New Roman" w:cs="Times New Roman"/>
          <w:sz w:val="19"/>
          <w:szCs w:val="19"/>
        </w:rPr>
      </w:pPr>
      <w:r>
        <w:rPr>
          <w:noProof/>
        </w:rPr>
        <mc:AlternateContent>
          <mc:Choice Requires="wps">
            <w:drawing>
              <wp:anchor distT="0" distB="0" distL="0" distR="0" simplePos="0" relativeHeight="251746816" behindDoc="0" locked="0" layoutInCell="0" allowOverlap="1">
                <wp:simplePos x="0" y="0"/>
                <wp:positionH relativeFrom="page">
                  <wp:posOffset>790575</wp:posOffset>
                </wp:positionH>
                <wp:positionV relativeFrom="paragraph">
                  <wp:posOffset>172085</wp:posOffset>
                </wp:positionV>
                <wp:extent cx="1814195" cy="12700"/>
                <wp:effectExtent l="0" t="0" r="0" b="0"/>
                <wp:wrapTopAndBottom/>
                <wp:docPr id="291" name="Freeform 7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14195" cy="12700"/>
                        </a:xfrm>
                        <a:custGeom>
                          <a:avLst/>
                          <a:gdLst>
                            <a:gd name="T0" fmla="*/ 0 w 2857"/>
                            <a:gd name="T1" fmla="*/ 0 h 20"/>
                            <a:gd name="T2" fmla="*/ 2857 w 2857"/>
                            <a:gd name="T3" fmla="*/ 0 h 20"/>
                          </a:gdLst>
                          <a:ahLst/>
                          <a:cxnLst>
                            <a:cxn ang="0">
                              <a:pos x="T0" y="T1"/>
                            </a:cxn>
                            <a:cxn ang="0">
                              <a:pos x="T2" y="T3"/>
                            </a:cxn>
                          </a:cxnLst>
                          <a:rect l="0" t="0" r="r" b="b"/>
                          <a:pathLst>
                            <a:path w="2857" h="20">
                              <a:moveTo>
                                <a:pt x="0" y="0"/>
                              </a:moveTo>
                              <a:lnTo>
                                <a:pt x="2857" y="0"/>
                              </a:lnTo>
                            </a:path>
                          </a:pathLst>
                        </a:custGeom>
                        <a:noFill/>
                        <a:ln w="13639">
                          <a:solidFill>
                            <a:srgbClr val="646B6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34" o:spid="_x0000_s1026" style="position:absolute;z-index:251746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62.25pt,13.55pt,205.1pt,13.55pt" coordsize="28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" o:allowincell="f" filled="f" strokecolor="#646b6b" strokeweight=".37886mm">
                <v:path arrowok="t" o:connecttype="custom" o:connectlocs="0,0;1814195,0" o:connectangles="0,0"/>
                <w10:wrap type="topAndBottom" anchorx="page"/>
              </v:polyline>
            </w:pict>
          </mc:Fallback>
        </mc:AlternateContent>
      </w:r>
    </w:p>
    <w:p w:rsidR="002C5025" w:rsidRDefault="002C5025">
      <w:pPr>
        <w:pStyle w:val="BodyText"/>
        <w:kinsoku w:val="0"/>
        <w:overflowPunct w:val="0"/>
        <w:spacing w:before="55"/>
        <w:ind w:left="440"/>
        <w:jc w:val="both"/>
        <w:rPr>
          <w:rFonts w:ascii="Times New Roman" w:hAnsi="Times New Roman" w:cs="Times New Roman"/>
          <w:color w:val="525657"/>
          <w:sz w:val="21"/>
          <w:szCs w:val="21"/>
        </w:rPr>
      </w:pPr>
      <w:r>
        <w:rPr>
          <w:rFonts w:ascii="Arial" w:hAnsi="Arial" w:cs="Arial"/>
          <w:color w:val="7C8282"/>
          <w:position w:val="6"/>
          <w:sz w:val="14"/>
          <w:szCs w:val="14"/>
        </w:rPr>
        <w:t xml:space="preserve">1  </w:t>
      </w:r>
      <w:r>
        <w:rPr>
          <w:rFonts w:ascii="Times New Roman" w:hAnsi="Times New Roman" w:cs="Times New Roman"/>
          <w:color w:val="525657"/>
          <w:sz w:val="21"/>
          <w:szCs w:val="21"/>
        </w:rPr>
        <w:t xml:space="preserve">Insurers </w:t>
      </w:r>
      <w:r>
        <w:rPr>
          <w:rFonts w:ascii="Times New Roman" w:hAnsi="Times New Roman" w:cs="Times New Roman"/>
          <w:color w:val="66696B"/>
          <w:sz w:val="21"/>
          <w:szCs w:val="21"/>
        </w:rPr>
        <w:t xml:space="preserve">are </w:t>
      </w:r>
      <w:r>
        <w:rPr>
          <w:rFonts w:ascii="Times New Roman" w:hAnsi="Times New Roman" w:cs="Times New Roman"/>
          <w:color w:val="525657"/>
          <w:sz w:val="21"/>
          <w:szCs w:val="21"/>
        </w:rPr>
        <w:t xml:space="preserve">more and  more frequently </w:t>
      </w:r>
      <w:r>
        <w:rPr>
          <w:rFonts w:ascii="Times New Roman" w:hAnsi="Times New Roman" w:cs="Times New Roman"/>
          <w:color w:val="7C8282"/>
          <w:sz w:val="21"/>
          <w:szCs w:val="21"/>
        </w:rPr>
        <w:t>"c</w:t>
      </w:r>
      <w:r>
        <w:rPr>
          <w:rFonts w:ascii="Times New Roman" w:hAnsi="Times New Roman" w:cs="Times New Roman"/>
          <w:color w:val="525657"/>
          <w:sz w:val="21"/>
          <w:szCs w:val="21"/>
        </w:rPr>
        <w:t xml:space="preserve">arving </w:t>
      </w:r>
      <w:r>
        <w:rPr>
          <w:rFonts w:ascii="Times New Roman" w:hAnsi="Times New Roman" w:cs="Times New Roman"/>
          <w:color w:val="66696B"/>
          <w:sz w:val="21"/>
          <w:szCs w:val="21"/>
        </w:rPr>
        <w:t xml:space="preserve">out" specific services </w:t>
      </w:r>
      <w:r>
        <w:rPr>
          <w:rFonts w:ascii="Times New Roman" w:hAnsi="Times New Roman" w:cs="Times New Roman"/>
          <w:color w:val="525657"/>
          <w:sz w:val="21"/>
          <w:szCs w:val="21"/>
        </w:rPr>
        <w:t xml:space="preserve">provided  by </w:t>
      </w:r>
      <w:r>
        <w:rPr>
          <w:rFonts w:ascii="Times New Roman" w:hAnsi="Times New Roman" w:cs="Times New Roman"/>
          <w:color w:val="66696B"/>
          <w:sz w:val="21"/>
          <w:szCs w:val="21"/>
        </w:rPr>
        <w:t xml:space="preserve">one </w:t>
      </w:r>
      <w:r>
        <w:rPr>
          <w:rFonts w:ascii="Times New Roman" w:hAnsi="Times New Roman" w:cs="Times New Roman"/>
          <w:color w:val="525657"/>
          <w:sz w:val="21"/>
          <w:szCs w:val="21"/>
        </w:rPr>
        <w:t xml:space="preserve">provider </w:t>
      </w:r>
      <w:r>
        <w:rPr>
          <w:rFonts w:ascii="Times New Roman" w:hAnsi="Times New Roman" w:cs="Times New Roman"/>
          <w:color w:val="66696B"/>
          <w:sz w:val="21"/>
          <w:szCs w:val="21"/>
        </w:rPr>
        <w:t xml:space="preserve">type   </w:t>
      </w:r>
      <w:r>
        <w:rPr>
          <w:rFonts w:ascii="Times New Roman" w:hAnsi="Times New Roman" w:cs="Times New Roman"/>
          <w:color w:val="525657"/>
          <w:sz w:val="21"/>
          <w:szCs w:val="21"/>
        </w:rPr>
        <w:t>and</w:t>
      </w:r>
    </w:p>
    <w:p w:rsidR="002C5025" w:rsidRDefault="002C5025">
      <w:pPr>
        <w:pStyle w:val="BodyText"/>
        <w:kinsoku w:val="0"/>
        <w:overflowPunct w:val="0"/>
        <w:spacing w:before="10"/>
        <w:ind w:left="425"/>
        <w:jc w:val="both"/>
        <w:rPr>
          <w:rFonts w:ascii="Times New Roman" w:hAnsi="Times New Roman" w:cs="Times New Roman"/>
          <w:color w:val="66696B"/>
          <w:sz w:val="21"/>
          <w:szCs w:val="21"/>
        </w:rPr>
      </w:pPr>
      <w:proofErr w:type="spellStart"/>
      <w:r>
        <w:rPr>
          <w:rFonts w:ascii="Arial" w:hAnsi="Arial" w:cs="Arial"/>
          <w:i/>
          <w:iCs/>
          <w:color w:val="525657"/>
          <w:sz w:val="19"/>
          <w:szCs w:val="19"/>
        </w:rPr>
        <w:t>nol</w:t>
      </w:r>
      <w:proofErr w:type="spellEnd"/>
      <w:r>
        <w:rPr>
          <w:rFonts w:ascii="Arial" w:hAnsi="Arial" w:cs="Arial"/>
          <w:i/>
          <w:iCs/>
          <w:color w:val="525657"/>
          <w:sz w:val="19"/>
          <w:szCs w:val="19"/>
        </w:rPr>
        <w:t xml:space="preserve"> </w:t>
      </w:r>
      <w:r>
        <w:rPr>
          <w:rFonts w:ascii="Times New Roman" w:hAnsi="Times New Roman" w:cs="Times New Roman"/>
          <w:color w:val="525657"/>
          <w:sz w:val="21"/>
          <w:szCs w:val="21"/>
        </w:rPr>
        <w:t xml:space="preserve">carving </w:t>
      </w:r>
      <w:r>
        <w:rPr>
          <w:rFonts w:ascii="Times New Roman" w:hAnsi="Times New Roman" w:cs="Times New Roman"/>
          <w:color w:val="66696B"/>
          <w:sz w:val="21"/>
          <w:szCs w:val="21"/>
        </w:rPr>
        <w:t xml:space="preserve">out </w:t>
      </w:r>
      <w:r>
        <w:rPr>
          <w:rFonts w:ascii="Times New Roman" w:hAnsi="Times New Roman" w:cs="Times New Roman"/>
          <w:color w:val="525657"/>
          <w:sz w:val="21"/>
          <w:szCs w:val="21"/>
        </w:rPr>
        <w:t xml:space="preserve">those </w:t>
      </w:r>
      <w:r>
        <w:rPr>
          <w:rFonts w:ascii="Times New Roman" w:hAnsi="Times New Roman" w:cs="Times New Roman"/>
          <w:color w:val="66696B"/>
          <w:sz w:val="21"/>
          <w:szCs w:val="21"/>
        </w:rPr>
        <w:t xml:space="preserve">same services when  </w:t>
      </w:r>
      <w:r>
        <w:rPr>
          <w:rFonts w:ascii="Times New Roman" w:hAnsi="Times New Roman" w:cs="Times New Roman"/>
          <w:color w:val="525657"/>
          <w:sz w:val="21"/>
          <w:szCs w:val="21"/>
        </w:rPr>
        <w:t xml:space="preserve">provided  by a d </w:t>
      </w:r>
      <w:proofErr w:type="spellStart"/>
      <w:r>
        <w:rPr>
          <w:rFonts w:ascii="Times New Roman" w:hAnsi="Times New Roman" w:cs="Times New Roman"/>
          <w:color w:val="525657"/>
          <w:sz w:val="21"/>
          <w:szCs w:val="21"/>
        </w:rPr>
        <w:t>ifferent</w:t>
      </w:r>
      <w:proofErr w:type="spellEnd"/>
      <w:r>
        <w:rPr>
          <w:rFonts w:ascii="Times New Roman" w:hAnsi="Times New Roman" w:cs="Times New Roman"/>
          <w:color w:val="525657"/>
          <w:sz w:val="21"/>
          <w:szCs w:val="21"/>
        </w:rPr>
        <w:t xml:space="preserve"> provider </w:t>
      </w:r>
      <w:r>
        <w:rPr>
          <w:rFonts w:ascii="Times New Roman" w:hAnsi="Times New Roman" w:cs="Times New Roman"/>
          <w:color w:val="66696B"/>
          <w:sz w:val="21"/>
          <w:szCs w:val="21"/>
        </w:rPr>
        <w:t>type.</w:t>
      </w:r>
    </w:p>
    <w:p w:rsidR="002C5025" w:rsidRDefault="002C5025">
      <w:pPr>
        <w:pStyle w:val="BodyText"/>
        <w:kinsoku w:val="0"/>
        <w:overflowPunct w:val="0"/>
        <w:spacing w:before="10"/>
        <w:ind w:left="425"/>
        <w:jc w:val="both"/>
        <w:rPr>
          <w:rFonts w:ascii="Times New Roman" w:hAnsi="Times New Roman" w:cs="Times New Roman"/>
          <w:color w:val="66696B"/>
          <w:sz w:val="21"/>
          <w:szCs w:val="21"/>
        </w:rPr>
        <w:sectPr w:rsidR="002C5025">
          <w:pgSz w:w="11880" w:h="15370"/>
          <w:pgMar w:top="1140" w:right="1220" w:bottom="280" w:left="820" w:header="720" w:footer="720" w:gutter="0"/>
          <w:cols w:space="720" w:equalWidth="0">
            <w:col w:w="9840"/>
          </w:cols>
          <w:noEndnote/>
        </w:sectPr>
      </w:pPr>
    </w:p>
    <w:p w:rsidR="002C5025" w:rsidRDefault="002C5025">
      <w:pPr>
        <w:pStyle w:val="BodyText"/>
        <w:kinsoku w:val="0"/>
        <w:overflowPunct w:val="0"/>
        <w:spacing w:before="7"/>
        <w:rPr>
          <w:rFonts w:ascii="Times New Roman" w:hAnsi="Times New Roman" w:cs="Times New Roman"/>
          <w:sz w:val="12"/>
          <w:szCs w:val="12"/>
        </w:rPr>
      </w:pPr>
    </w:p>
    <w:p w:rsidR="002C5025" w:rsidRDefault="00FB027C">
      <w:pPr>
        <w:pStyle w:val="BodyText"/>
        <w:kinsoku w:val="0"/>
        <w:overflowPunct w:val="0"/>
        <w:spacing w:before="80"/>
        <w:ind w:right="854"/>
        <w:jc w:val="right"/>
        <w:rPr>
          <w:rFonts w:ascii="Gill Sans MT" w:hAnsi="Gill Sans MT" w:cs="Gill Sans MT"/>
          <w:sz w:val="16"/>
          <w:szCs w:val="16"/>
        </w:rPr>
      </w:pPr>
      <w:r>
        <w:rPr>
          <w:noProof/>
        </w:rPr>
        <mc:AlternateContent>
          <mc:Choice Requires="wps">
            <w:drawing>
              <wp:anchor distT="0" distB="0" distL="114300" distR="114300" simplePos="0" relativeHeight="251747840" behindDoc="0" locked="0" layoutInCell="0" allowOverlap="1">
                <wp:simplePos x="0" y="0"/>
                <wp:positionH relativeFrom="page">
                  <wp:posOffset>367030</wp:posOffset>
                </wp:positionH>
                <wp:positionV relativeFrom="paragraph">
                  <wp:posOffset>-90170</wp:posOffset>
                </wp:positionV>
                <wp:extent cx="3644900" cy="508000"/>
                <wp:effectExtent l="0" t="0" r="0" b="0"/>
                <wp:wrapNone/>
                <wp:docPr id="290" name="Rectangle 7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4900" cy="50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800" w:lineRule="atLeast"/>
                            </w:pPr>
                            <w:r>
                              <w:rPr>
                                <w:noProof/>
                              </w:rPr>
                              <w:drawing>
                                <wp:inline distT="0" distB="0" distL="0" distR="0">
                                  <wp:extent cx="3648075" cy="514350"/>
                                  <wp:effectExtent l="0" t="0" r="9525"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502">
                                            <a:extLst>
                                              <a:ext uri="{28A0092B-C50C-407E-A947-70E740481C1C}">
                                                <a14:useLocalDpi xmlns:a14="http://schemas.microsoft.com/office/drawing/2010/main" val="0"/>
                                              </a:ext>
                                            </a:extLst>
                                          </a:blip>
                                          <a:srcRect/>
                                          <a:stretch>
                                            <a:fillRect/>
                                          </a:stretch>
                                        </pic:blipFill>
                                        <pic:spPr bwMode="auto">
                                          <a:xfrm>
                                            <a:off x="0" y="0"/>
                                            <a:ext cx="3648075" cy="514350"/>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5" o:spid="_x0000_s1258" style="position:absolute;left:0;text-align:left;margin-left:28.9pt;margin-top:-7.1pt;width:287pt;height:40pt;z-index:251747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" o:allowincell="f" filled="f" stroked="f">
                <v:textbox inset="0,0,0,0">
                  <w:txbxContent>
                    <w:p w:rsidR="007B2B7B" w:rsidRDefault="007B2B7B">
                      <w:pPr>
                        <w:widowControl/>
                        <w:autoSpaceDE/>
                        <w:autoSpaceDN/>
                        <w:adjustRightInd/>
                        <w:spacing w:line="800" w:lineRule="atLeast"/>
                      </w:pPr>
                      <w:r>
                        <w:rPr>
                          <w:noProof/>
                        </w:rPr>
                        <w:drawing>
                          <wp:inline distT="0" distB="0" distL="0" distR="0">
                            <wp:extent cx="3648075" cy="514350"/>
                            <wp:effectExtent l="0" t="0" r="9525"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503">
                                      <a:extLst>
                                        <a:ext uri="{28A0092B-C50C-407E-A947-70E740481C1C}">
                                          <a14:useLocalDpi xmlns:a14="http://schemas.microsoft.com/office/drawing/2010/main" val="0"/>
                                        </a:ext>
                                      </a:extLst>
                                    </a:blip>
                                    <a:srcRect/>
                                    <a:stretch>
                                      <a:fillRect/>
                                    </a:stretch>
                                  </pic:blipFill>
                                  <pic:spPr bwMode="auto">
                                    <a:xfrm>
                                      <a:off x="0" y="0"/>
                                      <a:ext cx="3648075" cy="514350"/>
                                    </a:xfrm>
                                    <a:prstGeom prst="rect">
                                      <a:avLst/>
                                    </a:prstGeom>
                                    <a:noFill/>
                                    <a:ln>
                                      <a:noFill/>
                                    </a:ln>
                                  </pic:spPr>
                                </pic:pic>
                              </a:graphicData>
                            </a:graphic>
                          </wp:inline>
                        </w:drawing>
                      </w:r>
                    </w:p>
                    <w:p w:rsidR="007B2B7B" w:rsidRDefault="007B2B7B"/>
                  </w:txbxContent>
                </v:textbox>
                <w10:wrap anchorx="page"/>
              </v:rect>
            </w:pict>
          </mc:Fallback>
        </mc:AlternateContent>
      </w:r>
      <w:bookmarkStart w:id="221" w:name="MLPB_-Comments_to_Office_of_Medicaid_-_1"/>
      <w:bookmarkEnd w:id="221"/>
      <w:r w:rsidR="002C5025">
        <w:rPr>
          <w:rFonts w:ascii="Gill Sans MT" w:hAnsi="Gill Sans MT" w:cs="Gill Sans MT"/>
          <w:sz w:val="16"/>
          <w:szCs w:val="16"/>
        </w:rPr>
        <w:t>75 Arlington Street</w:t>
      </w:r>
    </w:p>
    <w:p w:rsidR="002C5025" w:rsidRDefault="002C5025">
      <w:pPr>
        <w:pStyle w:val="BodyText"/>
        <w:kinsoku w:val="0"/>
        <w:overflowPunct w:val="0"/>
        <w:spacing w:before="1"/>
        <w:ind w:right="1509"/>
        <w:jc w:val="right"/>
        <w:rPr>
          <w:rFonts w:ascii="Gill Sans MT" w:hAnsi="Gill Sans MT" w:cs="Gill Sans MT"/>
          <w:sz w:val="16"/>
          <w:szCs w:val="16"/>
        </w:rPr>
      </w:pPr>
      <w:r>
        <w:rPr>
          <w:rFonts w:ascii="Gill Sans MT" w:hAnsi="Gill Sans MT" w:cs="Gill Sans MT"/>
          <w:sz w:val="16"/>
          <w:szCs w:val="16"/>
        </w:rPr>
        <w:t>Suite 500</w:t>
      </w:r>
    </w:p>
    <w:p w:rsidR="002C5025" w:rsidRDefault="002C5025">
      <w:pPr>
        <w:pStyle w:val="BodyText"/>
        <w:kinsoku w:val="0"/>
        <w:overflowPunct w:val="0"/>
        <w:spacing w:before="1" w:line="185" w:lineRule="exact"/>
        <w:ind w:right="851"/>
        <w:jc w:val="right"/>
        <w:rPr>
          <w:rFonts w:ascii="Gill Sans MT" w:hAnsi="Gill Sans MT" w:cs="Gill Sans MT"/>
          <w:sz w:val="16"/>
          <w:szCs w:val="16"/>
        </w:rPr>
      </w:pPr>
      <w:r>
        <w:rPr>
          <w:rFonts w:ascii="Gill Sans MT" w:hAnsi="Gill Sans MT" w:cs="Gill Sans MT"/>
          <w:sz w:val="16"/>
          <w:szCs w:val="16"/>
        </w:rPr>
        <w:t>Boston, MA 02116</w:t>
      </w:r>
    </w:p>
    <w:p w:rsidR="002C5025" w:rsidRDefault="002C5025">
      <w:pPr>
        <w:pStyle w:val="BodyText"/>
        <w:kinsoku w:val="0"/>
        <w:overflowPunct w:val="0"/>
        <w:spacing w:line="185" w:lineRule="exact"/>
        <w:ind w:right="700"/>
        <w:jc w:val="right"/>
        <w:rPr>
          <w:rFonts w:ascii="Gill Sans MT" w:hAnsi="Gill Sans MT" w:cs="Gill Sans MT"/>
          <w:sz w:val="16"/>
          <w:szCs w:val="16"/>
        </w:rPr>
      </w:pPr>
      <w:r>
        <w:rPr>
          <w:rFonts w:ascii="Gill Sans MT" w:hAnsi="Gill Sans MT" w:cs="Gill Sans MT"/>
          <w:sz w:val="16"/>
          <w:szCs w:val="16"/>
        </w:rPr>
        <w:t>T 617-336-7500 x455</w:t>
      </w:r>
    </w:p>
    <w:p w:rsidR="002C5025" w:rsidRDefault="00FD19EE">
      <w:pPr>
        <w:pStyle w:val="BodyText"/>
        <w:kinsoku w:val="0"/>
        <w:overflowPunct w:val="0"/>
        <w:spacing w:before="64"/>
        <w:ind w:right="788"/>
        <w:jc w:val="right"/>
        <w:rPr>
          <w:rFonts w:ascii="Gill Sans MT" w:hAnsi="Gill Sans MT" w:cs="Gill Sans MT"/>
          <w:color w:val="F5A32B"/>
          <w:w w:val="95"/>
          <w:sz w:val="16"/>
          <w:szCs w:val="16"/>
        </w:rPr>
      </w:pPr>
      <w:hyperlink r:id="rId504" w:history="1">
        <w:r w:rsidR="002C5025">
          <w:rPr>
            <w:rFonts w:ascii="Gill Sans MT" w:hAnsi="Gill Sans MT" w:cs="Gill Sans MT"/>
            <w:color w:val="F5A32B"/>
            <w:w w:val="95"/>
            <w:sz w:val="16"/>
            <w:szCs w:val="16"/>
          </w:rPr>
          <w:t>www.mlpboston.org</w:t>
        </w:r>
      </w:hyperlink>
    </w:p>
    <w:p w:rsidR="002C5025" w:rsidRDefault="002C5025">
      <w:pPr>
        <w:pStyle w:val="BodyText"/>
        <w:kinsoku w:val="0"/>
        <w:overflowPunct w:val="0"/>
        <w:rPr>
          <w:rFonts w:ascii="Gill Sans MT" w:hAnsi="Gill Sans MT" w:cs="Gill Sans MT"/>
          <w:sz w:val="20"/>
          <w:szCs w:val="20"/>
        </w:rPr>
      </w:pPr>
    </w:p>
    <w:p w:rsidR="002C5025" w:rsidRDefault="002C5025">
      <w:pPr>
        <w:pStyle w:val="BodyText"/>
        <w:kinsoku w:val="0"/>
        <w:overflowPunct w:val="0"/>
        <w:spacing w:before="8"/>
        <w:rPr>
          <w:rFonts w:ascii="Gill Sans MT" w:hAnsi="Gill Sans MT" w:cs="Gill Sans MT"/>
          <w:sz w:val="18"/>
          <w:szCs w:val="18"/>
        </w:rPr>
      </w:pPr>
    </w:p>
    <w:p w:rsidR="002C5025" w:rsidRDefault="002C5025">
      <w:pPr>
        <w:pStyle w:val="BodyText"/>
        <w:kinsoku w:val="0"/>
        <w:overflowPunct w:val="0"/>
        <w:spacing w:before="73"/>
        <w:ind w:left="260" w:right="162"/>
        <w:rPr>
          <w:rFonts w:ascii="Gill Sans MT" w:hAnsi="Gill Sans MT" w:cs="Gill Sans MT"/>
          <w:color w:val="161616"/>
        </w:rPr>
      </w:pPr>
      <w:r>
        <w:rPr>
          <w:rFonts w:ascii="Gill Sans MT" w:hAnsi="Gill Sans MT" w:cs="Gill Sans MT"/>
          <w:color w:val="161616"/>
        </w:rPr>
        <w:t>July 15, 2016</w:t>
      </w:r>
    </w:p>
    <w:p w:rsidR="002C5025" w:rsidRDefault="002C5025">
      <w:pPr>
        <w:pStyle w:val="BodyText"/>
        <w:kinsoku w:val="0"/>
        <w:overflowPunct w:val="0"/>
        <w:spacing w:before="7"/>
        <w:rPr>
          <w:rFonts w:ascii="Gill Sans MT" w:hAnsi="Gill Sans MT" w:cs="Gill Sans MT"/>
          <w:sz w:val="20"/>
          <w:szCs w:val="20"/>
        </w:rPr>
      </w:pPr>
    </w:p>
    <w:p w:rsidR="002C5025" w:rsidRDefault="002C5025">
      <w:pPr>
        <w:pStyle w:val="BodyText"/>
        <w:kinsoku w:val="0"/>
        <w:overflowPunct w:val="0"/>
        <w:ind w:left="260" w:right="162"/>
        <w:rPr>
          <w:rFonts w:ascii="Gill Sans MT" w:hAnsi="Gill Sans MT" w:cs="Gill Sans MT"/>
          <w:color w:val="1155CC"/>
        </w:rPr>
      </w:pPr>
      <w:r>
        <w:rPr>
          <w:rFonts w:ascii="Gill Sans MT" w:hAnsi="Gill Sans MT" w:cs="Gill Sans MT"/>
          <w:i/>
          <w:iCs/>
          <w:color w:val="161616"/>
        </w:rPr>
        <w:t xml:space="preserve">By email only: </w:t>
      </w:r>
      <w:hyperlink r:id="rId505" w:history="1">
        <w:r>
          <w:rPr>
            <w:rFonts w:ascii="Gill Sans MT" w:hAnsi="Gill Sans MT" w:cs="Gill Sans MT"/>
            <w:color w:val="1155CC"/>
            <w:u w:val="single"/>
          </w:rPr>
          <w:t>masshealth.innovations@state.ma.us</w:t>
        </w:r>
      </w:hyperlink>
    </w:p>
    <w:p w:rsidR="002C5025" w:rsidRDefault="002C5025">
      <w:pPr>
        <w:pStyle w:val="BodyText"/>
        <w:kinsoku w:val="0"/>
        <w:overflowPunct w:val="0"/>
        <w:spacing w:before="2"/>
        <w:rPr>
          <w:rFonts w:ascii="Gill Sans MT" w:hAnsi="Gill Sans MT" w:cs="Gill Sans MT"/>
          <w:sz w:val="14"/>
          <w:szCs w:val="14"/>
        </w:rPr>
      </w:pPr>
    </w:p>
    <w:p w:rsidR="002C5025" w:rsidRDefault="002C5025">
      <w:pPr>
        <w:pStyle w:val="BodyText"/>
        <w:kinsoku w:val="0"/>
        <w:overflowPunct w:val="0"/>
        <w:spacing w:before="72"/>
        <w:ind w:left="260" w:right="162"/>
        <w:rPr>
          <w:rFonts w:ascii="Gill Sans MT" w:hAnsi="Gill Sans MT" w:cs="Gill Sans MT"/>
          <w:color w:val="161616"/>
        </w:rPr>
      </w:pPr>
      <w:r>
        <w:rPr>
          <w:rFonts w:ascii="Gill Sans MT" w:hAnsi="Gill Sans MT" w:cs="Gill Sans MT"/>
          <w:color w:val="161616"/>
        </w:rPr>
        <w:t>Daniel Tsai</w:t>
      </w:r>
    </w:p>
    <w:p w:rsidR="002C5025" w:rsidRDefault="002C5025">
      <w:pPr>
        <w:pStyle w:val="BodyText"/>
        <w:kinsoku w:val="0"/>
        <w:overflowPunct w:val="0"/>
        <w:spacing w:before="1" w:line="255" w:lineRule="exact"/>
        <w:ind w:left="260" w:right="162"/>
        <w:rPr>
          <w:rFonts w:ascii="Gill Sans MT" w:hAnsi="Gill Sans MT" w:cs="Gill Sans MT"/>
          <w:color w:val="161616"/>
        </w:rPr>
      </w:pPr>
      <w:r>
        <w:rPr>
          <w:rFonts w:ascii="Gill Sans MT" w:hAnsi="Gill Sans MT" w:cs="Gill Sans MT"/>
          <w:color w:val="161616"/>
        </w:rPr>
        <w:t>Assistant Secretary for MassHealth</w:t>
      </w:r>
    </w:p>
    <w:p w:rsidR="002C5025" w:rsidRDefault="002C5025">
      <w:pPr>
        <w:pStyle w:val="BodyText"/>
        <w:kinsoku w:val="0"/>
        <w:overflowPunct w:val="0"/>
        <w:ind w:left="260" w:right="6526" w:hanging="1"/>
        <w:rPr>
          <w:rFonts w:ascii="Gill Sans MT" w:hAnsi="Gill Sans MT" w:cs="Gill Sans MT"/>
          <w:color w:val="161616"/>
        </w:rPr>
      </w:pPr>
      <w:r>
        <w:rPr>
          <w:rFonts w:ascii="Gill Sans MT" w:hAnsi="Gill Sans MT" w:cs="Gill Sans MT"/>
          <w:color w:val="161616"/>
        </w:rPr>
        <w:t>Executive Office of Health and Human Services One Ashburton Place, 11th Floor</w:t>
      </w:r>
    </w:p>
    <w:p w:rsidR="002C5025" w:rsidRDefault="002C5025">
      <w:pPr>
        <w:pStyle w:val="BodyText"/>
        <w:kinsoku w:val="0"/>
        <w:overflowPunct w:val="0"/>
        <w:spacing w:before="1"/>
        <w:ind w:left="260" w:right="162"/>
        <w:rPr>
          <w:rFonts w:ascii="Gill Sans MT" w:hAnsi="Gill Sans MT" w:cs="Gill Sans MT"/>
          <w:color w:val="161616"/>
        </w:rPr>
      </w:pPr>
      <w:r>
        <w:rPr>
          <w:rFonts w:ascii="Gill Sans MT" w:hAnsi="Gill Sans MT" w:cs="Gill Sans MT"/>
          <w:color w:val="161616"/>
        </w:rPr>
        <w:t>Boston, MA 02108</w:t>
      </w:r>
    </w:p>
    <w:p w:rsidR="002C5025" w:rsidRDefault="002C5025">
      <w:pPr>
        <w:pStyle w:val="BodyText"/>
        <w:kinsoku w:val="0"/>
        <w:overflowPunct w:val="0"/>
        <w:spacing w:before="2"/>
        <w:rPr>
          <w:rFonts w:ascii="Gill Sans MT" w:hAnsi="Gill Sans MT" w:cs="Gill Sans MT"/>
          <w:sz w:val="25"/>
          <w:szCs w:val="25"/>
        </w:rPr>
      </w:pPr>
    </w:p>
    <w:p w:rsidR="002C5025" w:rsidRDefault="002C5025">
      <w:pPr>
        <w:pStyle w:val="BodyText"/>
        <w:kinsoku w:val="0"/>
        <w:overflowPunct w:val="0"/>
        <w:ind w:left="980" w:right="162"/>
        <w:rPr>
          <w:rFonts w:ascii="Gill Sans MT" w:hAnsi="Gill Sans MT" w:cs="Gill Sans MT"/>
          <w:color w:val="161616"/>
        </w:rPr>
      </w:pPr>
      <w:r>
        <w:rPr>
          <w:rFonts w:ascii="Gill Sans MT" w:hAnsi="Gill Sans MT" w:cs="Gill Sans MT"/>
          <w:color w:val="161616"/>
          <w:u w:val="single"/>
        </w:rPr>
        <w:t>Re: Comments on 1115 Medicaid Demonstration Extension Request</w:t>
      </w:r>
    </w:p>
    <w:p w:rsidR="002C5025" w:rsidRDefault="002C5025">
      <w:pPr>
        <w:pStyle w:val="BodyText"/>
        <w:kinsoku w:val="0"/>
        <w:overflowPunct w:val="0"/>
        <w:spacing w:before="2"/>
        <w:rPr>
          <w:rFonts w:ascii="Gill Sans MT" w:hAnsi="Gill Sans MT" w:cs="Gill Sans MT"/>
          <w:sz w:val="14"/>
          <w:szCs w:val="14"/>
        </w:rPr>
      </w:pPr>
    </w:p>
    <w:p w:rsidR="002C5025" w:rsidRDefault="002C5025">
      <w:pPr>
        <w:pStyle w:val="BodyText"/>
        <w:kinsoku w:val="0"/>
        <w:overflowPunct w:val="0"/>
        <w:spacing w:before="72"/>
        <w:ind w:left="260" w:right="162"/>
        <w:rPr>
          <w:rFonts w:ascii="Gill Sans MT" w:hAnsi="Gill Sans MT" w:cs="Gill Sans MT"/>
          <w:color w:val="161616"/>
        </w:rPr>
      </w:pPr>
      <w:r>
        <w:rPr>
          <w:rFonts w:ascii="Gill Sans MT" w:hAnsi="Gill Sans MT" w:cs="Gill Sans MT"/>
          <w:color w:val="161616"/>
        </w:rPr>
        <w:t>Dear Assistant Secretary Tsai:</w:t>
      </w:r>
    </w:p>
    <w:p w:rsidR="002C5025" w:rsidRDefault="002C5025">
      <w:pPr>
        <w:pStyle w:val="BodyText"/>
        <w:kinsoku w:val="0"/>
        <w:overflowPunct w:val="0"/>
        <w:spacing w:before="7"/>
        <w:rPr>
          <w:rFonts w:ascii="Gill Sans MT" w:hAnsi="Gill Sans MT" w:cs="Gill Sans MT"/>
          <w:sz w:val="20"/>
          <w:szCs w:val="20"/>
        </w:rPr>
      </w:pPr>
    </w:p>
    <w:p w:rsidR="002C5025" w:rsidRDefault="002C5025">
      <w:pPr>
        <w:pStyle w:val="BodyText"/>
        <w:kinsoku w:val="0"/>
        <w:overflowPunct w:val="0"/>
        <w:ind w:left="260" w:right="162"/>
        <w:rPr>
          <w:rFonts w:ascii="Gill Sans MT" w:hAnsi="Gill Sans MT" w:cs="Gill Sans MT"/>
          <w:color w:val="161616"/>
        </w:rPr>
      </w:pPr>
      <w:r>
        <w:rPr>
          <w:rFonts w:ascii="Gill Sans MT" w:hAnsi="Gill Sans MT" w:cs="Gill Sans MT"/>
          <w:color w:val="161616"/>
        </w:rPr>
        <w:t>On</w:t>
      </w:r>
      <w:r>
        <w:rPr>
          <w:rFonts w:ascii="Gill Sans MT" w:hAnsi="Gill Sans MT" w:cs="Gill Sans MT"/>
          <w:color w:val="161616"/>
          <w:spacing w:val="-11"/>
        </w:rPr>
        <w:t xml:space="preserve"> </w:t>
      </w:r>
      <w:r>
        <w:rPr>
          <w:rFonts w:ascii="Gill Sans MT" w:hAnsi="Gill Sans MT" w:cs="Gill Sans MT"/>
          <w:color w:val="161616"/>
        </w:rPr>
        <w:t>behalf</w:t>
      </w:r>
      <w:r>
        <w:rPr>
          <w:rFonts w:ascii="Gill Sans MT" w:hAnsi="Gill Sans MT" w:cs="Gill Sans MT"/>
          <w:color w:val="161616"/>
          <w:spacing w:val="-11"/>
        </w:rPr>
        <w:t xml:space="preserve"> </w:t>
      </w:r>
      <w:r>
        <w:rPr>
          <w:rFonts w:ascii="Gill Sans MT" w:hAnsi="Gill Sans MT" w:cs="Gill Sans MT"/>
          <w:color w:val="161616"/>
        </w:rPr>
        <w:t>of</w:t>
      </w:r>
      <w:r>
        <w:rPr>
          <w:rFonts w:ascii="Gill Sans MT" w:hAnsi="Gill Sans MT" w:cs="Gill Sans MT"/>
          <w:color w:val="161616"/>
          <w:spacing w:val="-13"/>
        </w:rPr>
        <w:t xml:space="preserve"> </w:t>
      </w:r>
      <w:r>
        <w:rPr>
          <w:rFonts w:ascii="Gill Sans MT" w:hAnsi="Gill Sans MT" w:cs="Gill Sans MT"/>
          <w:color w:val="161616"/>
        </w:rPr>
        <w:t>Medical-Legal</w:t>
      </w:r>
      <w:r>
        <w:rPr>
          <w:rFonts w:ascii="Gill Sans MT" w:hAnsi="Gill Sans MT" w:cs="Gill Sans MT"/>
          <w:color w:val="161616"/>
          <w:spacing w:val="-11"/>
        </w:rPr>
        <w:t xml:space="preserve"> </w:t>
      </w:r>
      <w:r>
        <w:rPr>
          <w:rFonts w:ascii="Gill Sans MT" w:hAnsi="Gill Sans MT" w:cs="Gill Sans MT"/>
          <w:color w:val="161616"/>
        </w:rPr>
        <w:t>Partnership</w:t>
      </w:r>
      <w:r>
        <w:rPr>
          <w:rFonts w:ascii="Gill Sans MT" w:hAnsi="Gill Sans MT" w:cs="Gill Sans MT"/>
          <w:color w:val="161616"/>
          <w:spacing w:val="-11"/>
        </w:rPr>
        <w:t xml:space="preserve"> </w:t>
      </w:r>
      <w:r>
        <w:rPr>
          <w:rFonts w:ascii="Gill Sans MT" w:hAnsi="Gill Sans MT" w:cs="Gill Sans MT"/>
          <w:color w:val="161616"/>
        </w:rPr>
        <w:t>|</w:t>
      </w:r>
      <w:r>
        <w:rPr>
          <w:rFonts w:ascii="Gill Sans MT" w:hAnsi="Gill Sans MT" w:cs="Gill Sans MT"/>
          <w:color w:val="161616"/>
          <w:spacing w:val="-11"/>
        </w:rPr>
        <w:t xml:space="preserve"> </w:t>
      </w:r>
      <w:r>
        <w:rPr>
          <w:rFonts w:ascii="Gill Sans MT" w:hAnsi="Gill Sans MT" w:cs="Gill Sans MT"/>
          <w:color w:val="161616"/>
        </w:rPr>
        <w:t>Boston</w:t>
      </w:r>
      <w:r>
        <w:rPr>
          <w:rFonts w:ascii="Gill Sans MT" w:hAnsi="Gill Sans MT" w:cs="Gill Sans MT"/>
          <w:color w:val="161616"/>
          <w:spacing w:val="-13"/>
        </w:rPr>
        <w:t xml:space="preserve"> </w:t>
      </w:r>
      <w:r>
        <w:rPr>
          <w:rFonts w:ascii="Gill Sans MT" w:hAnsi="Gill Sans MT" w:cs="Gill Sans MT"/>
          <w:color w:val="161616"/>
        </w:rPr>
        <w:t>(MLPB),</w:t>
      </w:r>
      <w:r>
        <w:rPr>
          <w:rFonts w:ascii="Gill Sans MT" w:hAnsi="Gill Sans MT" w:cs="Gill Sans MT"/>
          <w:color w:val="161616"/>
          <w:spacing w:val="-11"/>
        </w:rPr>
        <w:t xml:space="preserve"> </w:t>
      </w:r>
      <w:r>
        <w:rPr>
          <w:rFonts w:ascii="Gill Sans MT" w:hAnsi="Gill Sans MT" w:cs="Gill Sans MT"/>
          <w:color w:val="161616"/>
        </w:rPr>
        <w:t>we</w:t>
      </w:r>
      <w:r>
        <w:rPr>
          <w:rFonts w:ascii="Gill Sans MT" w:hAnsi="Gill Sans MT" w:cs="Gill Sans MT"/>
          <w:color w:val="161616"/>
          <w:spacing w:val="-11"/>
        </w:rPr>
        <w:t xml:space="preserve"> </w:t>
      </w:r>
      <w:r>
        <w:rPr>
          <w:rFonts w:ascii="Gill Sans MT" w:hAnsi="Gill Sans MT" w:cs="Gill Sans MT"/>
          <w:color w:val="161616"/>
        </w:rPr>
        <w:t>are</w:t>
      </w:r>
      <w:r>
        <w:rPr>
          <w:rFonts w:ascii="Gill Sans MT" w:hAnsi="Gill Sans MT" w:cs="Gill Sans MT"/>
          <w:color w:val="161616"/>
          <w:spacing w:val="-9"/>
        </w:rPr>
        <w:t xml:space="preserve"> </w:t>
      </w:r>
      <w:r>
        <w:rPr>
          <w:rFonts w:ascii="Gill Sans MT" w:hAnsi="Gill Sans MT" w:cs="Gill Sans MT"/>
          <w:color w:val="161616"/>
        </w:rPr>
        <w:t>grateful</w:t>
      </w:r>
      <w:r>
        <w:rPr>
          <w:rFonts w:ascii="Gill Sans MT" w:hAnsi="Gill Sans MT" w:cs="Gill Sans MT"/>
          <w:color w:val="161616"/>
          <w:spacing w:val="-9"/>
        </w:rPr>
        <w:t xml:space="preserve"> </w:t>
      </w:r>
      <w:r>
        <w:rPr>
          <w:rFonts w:ascii="Gill Sans MT" w:hAnsi="Gill Sans MT" w:cs="Gill Sans MT"/>
          <w:color w:val="161616"/>
        </w:rPr>
        <w:t>for</w:t>
      </w:r>
      <w:r>
        <w:rPr>
          <w:rFonts w:ascii="Gill Sans MT" w:hAnsi="Gill Sans MT" w:cs="Gill Sans MT"/>
          <w:color w:val="161616"/>
          <w:spacing w:val="-11"/>
        </w:rPr>
        <w:t xml:space="preserve"> </w:t>
      </w:r>
      <w:r>
        <w:rPr>
          <w:rFonts w:ascii="Gill Sans MT" w:hAnsi="Gill Sans MT" w:cs="Gill Sans MT"/>
          <w:color w:val="161616"/>
        </w:rPr>
        <w:t>this</w:t>
      </w:r>
      <w:r>
        <w:rPr>
          <w:rFonts w:ascii="Gill Sans MT" w:hAnsi="Gill Sans MT" w:cs="Gill Sans MT"/>
          <w:color w:val="161616"/>
          <w:spacing w:val="-14"/>
        </w:rPr>
        <w:t xml:space="preserve"> </w:t>
      </w:r>
      <w:r>
        <w:rPr>
          <w:rFonts w:ascii="Gill Sans MT" w:hAnsi="Gill Sans MT" w:cs="Gill Sans MT"/>
          <w:color w:val="161616"/>
        </w:rPr>
        <w:t>opportunity</w:t>
      </w:r>
      <w:r>
        <w:rPr>
          <w:rFonts w:ascii="Gill Sans MT" w:hAnsi="Gill Sans MT" w:cs="Gill Sans MT"/>
          <w:color w:val="161616"/>
          <w:spacing w:val="-11"/>
        </w:rPr>
        <w:t xml:space="preserve"> </w:t>
      </w:r>
      <w:r>
        <w:rPr>
          <w:rFonts w:ascii="Gill Sans MT" w:hAnsi="Gill Sans MT" w:cs="Gill Sans MT"/>
          <w:color w:val="161616"/>
        </w:rPr>
        <w:t>to</w:t>
      </w:r>
      <w:r>
        <w:rPr>
          <w:rFonts w:ascii="Gill Sans MT" w:hAnsi="Gill Sans MT" w:cs="Gill Sans MT"/>
          <w:color w:val="161616"/>
          <w:spacing w:val="-8"/>
        </w:rPr>
        <w:t xml:space="preserve"> </w:t>
      </w:r>
      <w:r>
        <w:rPr>
          <w:rFonts w:ascii="Gill Sans MT" w:hAnsi="Gill Sans MT" w:cs="Gill Sans MT"/>
          <w:color w:val="161616"/>
        </w:rPr>
        <w:t>reflect</w:t>
      </w:r>
      <w:r>
        <w:rPr>
          <w:rFonts w:ascii="Gill Sans MT" w:hAnsi="Gill Sans MT" w:cs="Gill Sans MT"/>
          <w:color w:val="161616"/>
          <w:spacing w:val="-10"/>
        </w:rPr>
        <w:t xml:space="preserve"> </w:t>
      </w:r>
      <w:r>
        <w:rPr>
          <w:rFonts w:ascii="Gill Sans MT" w:hAnsi="Gill Sans MT" w:cs="Gill Sans MT"/>
          <w:color w:val="161616"/>
        </w:rPr>
        <w:t>on</w:t>
      </w:r>
      <w:r>
        <w:rPr>
          <w:rFonts w:ascii="Gill Sans MT" w:hAnsi="Gill Sans MT" w:cs="Gill Sans MT"/>
          <w:color w:val="161616"/>
          <w:spacing w:val="-13"/>
        </w:rPr>
        <w:t xml:space="preserve"> </w:t>
      </w:r>
      <w:r>
        <w:rPr>
          <w:rFonts w:ascii="Gill Sans MT" w:hAnsi="Gill Sans MT" w:cs="Gill Sans MT"/>
          <w:color w:val="161616"/>
        </w:rPr>
        <w:t>the</w:t>
      </w:r>
      <w:r>
        <w:rPr>
          <w:rFonts w:ascii="Gill Sans MT" w:hAnsi="Gill Sans MT" w:cs="Gill Sans MT"/>
          <w:color w:val="161616"/>
          <w:spacing w:val="-11"/>
        </w:rPr>
        <w:t xml:space="preserve"> </w:t>
      </w:r>
      <w:r>
        <w:rPr>
          <w:rFonts w:ascii="Gill Sans MT" w:hAnsi="Gill Sans MT" w:cs="Gill Sans MT"/>
          <w:color w:val="161616"/>
        </w:rPr>
        <w:t>June</w:t>
      </w:r>
      <w:r>
        <w:rPr>
          <w:rFonts w:ascii="Gill Sans MT" w:hAnsi="Gill Sans MT" w:cs="Gill Sans MT"/>
          <w:color w:val="161616"/>
          <w:spacing w:val="-11"/>
        </w:rPr>
        <w:t xml:space="preserve"> </w:t>
      </w:r>
      <w:r>
        <w:rPr>
          <w:rFonts w:ascii="Gill Sans MT" w:hAnsi="Gill Sans MT" w:cs="Gill Sans MT"/>
          <w:color w:val="161616"/>
        </w:rPr>
        <w:t xml:space="preserve">15, 2016 </w:t>
      </w:r>
      <w:r>
        <w:rPr>
          <w:rFonts w:ascii="Gill Sans MT" w:hAnsi="Gill Sans MT" w:cs="Gill Sans MT"/>
          <w:i/>
          <w:iCs/>
          <w:color w:val="161616"/>
        </w:rPr>
        <w:t xml:space="preserve">draft </w:t>
      </w:r>
      <w:r>
        <w:rPr>
          <w:rFonts w:ascii="Gill Sans MT" w:hAnsi="Gill Sans MT" w:cs="Gill Sans MT"/>
          <w:color w:val="161616"/>
        </w:rPr>
        <w:t>Section 1115 Demonstration Project Amendment and Extension Request (“the Request”). While we have (or</w:t>
      </w:r>
      <w:r>
        <w:rPr>
          <w:rFonts w:ascii="Gill Sans MT" w:hAnsi="Gill Sans MT" w:cs="Gill Sans MT"/>
          <w:color w:val="161616"/>
          <w:spacing w:val="-12"/>
        </w:rPr>
        <w:t xml:space="preserve"> </w:t>
      </w:r>
      <w:r>
        <w:rPr>
          <w:rFonts w:ascii="Gill Sans MT" w:hAnsi="Gill Sans MT" w:cs="Gill Sans MT"/>
          <w:color w:val="161616"/>
        </w:rPr>
        <w:t>will</w:t>
      </w:r>
      <w:r>
        <w:rPr>
          <w:rFonts w:ascii="Gill Sans MT" w:hAnsi="Gill Sans MT" w:cs="Gill Sans MT"/>
          <w:color w:val="161616"/>
          <w:spacing w:val="-12"/>
        </w:rPr>
        <w:t xml:space="preserve"> </w:t>
      </w:r>
      <w:r>
        <w:rPr>
          <w:rFonts w:ascii="Gill Sans MT" w:hAnsi="Gill Sans MT" w:cs="Gill Sans MT"/>
          <w:color w:val="161616"/>
        </w:rPr>
        <w:t>have)</w:t>
      </w:r>
      <w:r>
        <w:rPr>
          <w:rFonts w:ascii="Gill Sans MT" w:hAnsi="Gill Sans MT" w:cs="Gill Sans MT"/>
          <w:color w:val="161616"/>
          <w:spacing w:val="-11"/>
        </w:rPr>
        <w:t xml:space="preserve"> </w:t>
      </w:r>
      <w:r>
        <w:rPr>
          <w:rFonts w:ascii="Gill Sans MT" w:hAnsi="Gill Sans MT" w:cs="Gill Sans MT"/>
          <w:color w:val="161616"/>
        </w:rPr>
        <w:t>signed</w:t>
      </w:r>
      <w:r>
        <w:rPr>
          <w:rFonts w:ascii="Gill Sans MT" w:hAnsi="Gill Sans MT" w:cs="Gill Sans MT"/>
          <w:color w:val="161616"/>
          <w:spacing w:val="-11"/>
        </w:rPr>
        <w:t xml:space="preserve"> </w:t>
      </w:r>
      <w:r>
        <w:rPr>
          <w:rFonts w:ascii="Gill Sans MT" w:hAnsi="Gill Sans MT" w:cs="Gill Sans MT"/>
          <w:color w:val="161616"/>
        </w:rPr>
        <w:t>on</w:t>
      </w:r>
      <w:r>
        <w:rPr>
          <w:rFonts w:ascii="Gill Sans MT" w:hAnsi="Gill Sans MT" w:cs="Gill Sans MT"/>
          <w:color w:val="161616"/>
          <w:spacing w:val="-12"/>
        </w:rPr>
        <w:t xml:space="preserve"> </w:t>
      </w:r>
      <w:r>
        <w:rPr>
          <w:rFonts w:ascii="Gill Sans MT" w:hAnsi="Gill Sans MT" w:cs="Gill Sans MT"/>
          <w:color w:val="161616"/>
        </w:rPr>
        <w:t>to</w:t>
      </w:r>
      <w:r>
        <w:rPr>
          <w:rFonts w:ascii="Gill Sans MT" w:hAnsi="Gill Sans MT" w:cs="Gill Sans MT"/>
          <w:color w:val="161616"/>
          <w:spacing w:val="-11"/>
        </w:rPr>
        <w:t xml:space="preserve"> </w:t>
      </w:r>
      <w:r>
        <w:rPr>
          <w:rFonts w:ascii="Gill Sans MT" w:hAnsi="Gill Sans MT" w:cs="Gill Sans MT"/>
          <w:color w:val="161616"/>
        </w:rPr>
        <w:t>two</w:t>
      </w:r>
      <w:r>
        <w:rPr>
          <w:rFonts w:ascii="Gill Sans MT" w:hAnsi="Gill Sans MT" w:cs="Gill Sans MT"/>
          <w:color w:val="161616"/>
          <w:spacing w:val="-8"/>
        </w:rPr>
        <w:t xml:space="preserve"> </w:t>
      </w:r>
      <w:r>
        <w:rPr>
          <w:rFonts w:ascii="Gill Sans MT" w:hAnsi="Gill Sans MT" w:cs="Gill Sans MT"/>
          <w:color w:val="161616"/>
        </w:rPr>
        <w:t>sets</w:t>
      </w:r>
      <w:r>
        <w:rPr>
          <w:rFonts w:ascii="Gill Sans MT" w:hAnsi="Gill Sans MT" w:cs="Gill Sans MT"/>
          <w:color w:val="161616"/>
          <w:spacing w:val="-13"/>
        </w:rPr>
        <w:t xml:space="preserve"> </w:t>
      </w:r>
      <w:r>
        <w:rPr>
          <w:rFonts w:ascii="Gill Sans MT" w:hAnsi="Gill Sans MT" w:cs="Gill Sans MT"/>
          <w:color w:val="161616"/>
        </w:rPr>
        <w:t>of</w:t>
      </w:r>
      <w:r>
        <w:rPr>
          <w:rFonts w:ascii="Gill Sans MT" w:hAnsi="Gill Sans MT" w:cs="Gill Sans MT"/>
          <w:color w:val="161616"/>
          <w:spacing w:val="-11"/>
        </w:rPr>
        <w:t xml:space="preserve"> </w:t>
      </w:r>
      <w:r>
        <w:rPr>
          <w:rFonts w:ascii="Gill Sans MT" w:hAnsi="Gill Sans MT" w:cs="Gill Sans MT"/>
          <w:color w:val="161616"/>
        </w:rPr>
        <w:t>multi-organization</w:t>
      </w:r>
      <w:r>
        <w:rPr>
          <w:rFonts w:ascii="Gill Sans MT" w:hAnsi="Gill Sans MT" w:cs="Gill Sans MT"/>
          <w:color w:val="161616"/>
          <w:spacing w:val="-9"/>
        </w:rPr>
        <w:t xml:space="preserve"> </w:t>
      </w:r>
      <w:r>
        <w:rPr>
          <w:rFonts w:ascii="Gill Sans MT" w:hAnsi="Gill Sans MT" w:cs="Gill Sans MT"/>
          <w:color w:val="161616"/>
        </w:rPr>
        <w:t>comments</w:t>
      </w:r>
      <w:r>
        <w:rPr>
          <w:rFonts w:ascii="Gill Sans MT" w:hAnsi="Gill Sans MT" w:cs="Gill Sans MT"/>
          <w:color w:val="161616"/>
          <w:spacing w:val="-15"/>
        </w:rPr>
        <w:t xml:space="preserve"> </w:t>
      </w:r>
      <w:r>
        <w:rPr>
          <w:rFonts w:ascii="Gill Sans MT" w:hAnsi="Gill Sans MT" w:cs="Gill Sans MT"/>
          <w:color w:val="161616"/>
        </w:rPr>
        <w:t>(one</w:t>
      </w:r>
      <w:r>
        <w:rPr>
          <w:rFonts w:ascii="Gill Sans MT" w:hAnsi="Gill Sans MT" w:cs="Gill Sans MT"/>
          <w:color w:val="161616"/>
          <w:spacing w:val="-9"/>
        </w:rPr>
        <w:t xml:space="preserve"> </w:t>
      </w:r>
      <w:r>
        <w:rPr>
          <w:rFonts w:ascii="Gill Sans MT" w:hAnsi="Gill Sans MT" w:cs="Gill Sans MT"/>
          <w:color w:val="161616"/>
        </w:rPr>
        <w:t>submitted</w:t>
      </w:r>
      <w:r>
        <w:rPr>
          <w:rFonts w:ascii="Gill Sans MT" w:hAnsi="Gill Sans MT" w:cs="Gill Sans MT"/>
          <w:color w:val="161616"/>
          <w:spacing w:val="-9"/>
        </w:rPr>
        <w:t xml:space="preserve"> </w:t>
      </w:r>
      <w:r>
        <w:rPr>
          <w:rFonts w:ascii="Gill Sans MT" w:hAnsi="Gill Sans MT" w:cs="Gill Sans MT"/>
          <w:color w:val="161616"/>
        </w:rPr>
        <w:t>by</w:t>
      </w:r>
      <w:r>
        <w:rPr>
          <w:rFonts w:ascii="Gill Sans MT" w:hAnsi="Gill Sans MT" w:cs="Gill Sans MT"/>
          <w:color w:val="161616"/>
          <w:spacing w:val="-14"/>
        </w:rPr>
        <w:t xml:space="preserve"> </w:t>
      </w:r>
      <w:r>
        <w:rPr>
          <w:rFonts w:ascii="Gill Sans MT" w:hAnsi="Gill Sans MT" w:cs="Gill Sans MT"/>
          <w:color w:val="161616"/>
        </w:rPr>
        <w:t>Health</w:t>
      </w:r>
      <w:r>
        <w:rPr>
          <w:rFonts w:ascii="Gill Sans MT" w:hAnsi="Gill Sans MT" w:cs="Gill Sans MT"/>
          <w:color w:val="161616"/>
          <w:spacing w:val="-11"/>
        </w:rPr>
        <w:t xml:space="preserve"> </w:t>
      </w:r>
      <w:r>
        <w:rPr>
          <w:rFonts w:ascii="Gill Sans MT" w:hAnsi="Gill Sans MT" w:cs="Gill Sans MT"/>
          <w:color w:val="161616"/>
        </w:rPr>
        <w:t>Care</w:t>
      </w:r>
      <w:r>
        <w:rPr>
          <w:rFonts w:ascii="Gill Sans MT" w:hAnsi="Gill Sans MT" w:cs="Gill Sans MT"/>
          <w:color w:val="161616"/>
          <w:spacing w:val="-9"/>
        </w:rPr>
        <w:t xml:space="preserve"> </w:t>
      </w:r>
      <w:r>
        <w:rPr>
          <w:rFonts w:ascii="Gill Sans MT" w:hAnsi="Gill Sans MT" w:cs="Gill Sans MT"/>
          <w:color w:val="161616"/>
        </w:rPr>
        <w:t>for</w:t>
      </w:r>
      <w:r>
        <w:rPr>
          <w:rFonts w:ascii="Gill Sans MT" w:hAnsi="Gill Sans MT" w:cs="Gill Sans MT"/>
          <w:color w:val="161616"/>
          <w:spacing w:val="-10"/>
        </w:rPr>
        <w:t xml:space="preserve"> </w:t>
      </w:r>
      <w:r>
        <w:rPr>
          <w:rFonts w:ascii="Gill Sans MT" w:hAnsi="Gill Sans MT" w:cs="Gill Sans MT"/>
          <w:color w:val="161616"/>
        </w:rPr>
        <w:t>All,</w:t>
      </w:r>
      <w:r>
        <w:rPr>
          <w:rFonts w:ascii="Gill Sans MT" w:hAnsi="Gill Sans MT" w:cs="Gill Sans MT"/>
          <w:color w:val="161616"/>
          <w:spacing w:val="-14"/>
        </w:rPr>
        <w:t xml:space="preserve"> </w:t>
      </w:r>
      <w:r>
        <w:rPr>
          <w:rFonts w:ascii="Gill Sans MT" w:hAnsi="Gill Sans MT" w:cs="Gill Sans MT"/>
          <w:color w:val="161616"/>
        </w:rPr>
        <w:t>the</w:t>
      </w:r>
      <w:r>
        <w:rPr>
          <w:rFonts w:ascii="Gill Sans MT" w:hAnsi="Gill Sans MT" w:cs="Gill Sans MT"/>
          <w:color w:val="161616"/>
          <w:spacing w:val="-9"/>
        </w:rPr>
        <w:t xml:space="preserve"> </w:t>
      </w:r>
      <w:r>
        <w:rPr>
          <w:rFonts w:ascii="Gill Sans MT" w:hAnsi="Gill Sans MT" w:cs="Gill Sans MT"/>
          <w:color w:val="161616"/>
        </w:rPr>
        <w:t>other submitted</w:t>
      </w:r>
      <w:r>
        <w:rPr>
          <w:rFonts w:ascii="Gill Sans MT" w:hAnsi="Gill Sans MT" w:cs="Gill Sans MT"/>
          <w:color w:val="161616"/>
          <w:spacing w:val="-17"/>
        </w:rPr>
        <w:t xml:space="preserve"> </w:t>
      </w:r>
      <w:r>
        <w:rPr>
          <w:rFonts w:ascii="Gill Sans MT" w:hAnsi="Gill Sans MT" w:cs="Gill Sans MT"/>
          <w:color w:val="161616"/>
        </w:rPr>
        <w:t>by</w:t>
      </w:r>
      <w:r>
        <w:rPr>
          <w:rFonts w:ascii="Gill Sans MT" w:hAnsi="Gill Sans MT" w:cs="Gill Sans MT"/>
          <w:color w:val="161616"/>
          <w:spacing w:val="-17"/>
        </w:rPr>
        <w:t xml:space="preserve"> </w:t>
      </w:r>
      <w:r>
        <w:rPr>
          <w:rFonts w:ascii="Gill Sans MT" w:hAnsi="Gill Sans MT" w:cs="Gill Sans MT"/>
          <w:color w:val="161616"/>
        </w:rPr>
        <w:t>Action</w:t>
      </w:r>
      <w:r>
        <w:rPr>
          <w:rFonts w:ascii="Gill Sans MT" w:hAnsi="Gill Sans MT" w:cs="Gill Sans MT"/>
          <w:color w:val="161616"/>
          <w:spacing w:val="-17"/>
        </w:rPr>
        <w:t xml:space="preserve"> </w:t>
      </w:r>
      <w:r>
        <w:rPr>
          <w:rFonts w:ascii="Gill Sans MT" w:hAnsi="Gill Sans MT" w:cs="Gill Sans MT"/>
          <w:color w:val="161616"/>
        </w:rPr>
        <w:t>for</w:t>
      </w:r>
      <w:r>
        <w:rPr>
          <w:rFonts w:ascii="Gill Sans MT" w:hAnsi="Gill Sans MT" w:cs="Gill Sans MT"/>
          <w:color w:val="161616"/>
          <w:spacing w:val="-18"/>
        </w:rPr>
        <w:t xml:space="preserve"> </w:t>
      </w:r>
      <w:r>
        <w:rPr>
          <w:rFonts w:ascii="Gill Sans MT" w:hAnsi="Gill Sans MT" w:cs="Gill Sans MT"/>
          <w:color w:val="161616"/>
        </w:rPr>
        <w:t>Boston</w:t>
      </w:r>
      <w:r>
        <w:rPr>
          <w:rFonts w:ascii="Gill Sans MT" w:hAnsi="Gill Sans MT" w:cs="Gill Sans MT"/>
          <w:color w:val="161616"/>
          <w:spacing w:val="-17"/>
        </w:rPr>
        <w:t xml:space="preserve"> </w:t>
      </w:r>
      <w:r>
        <w:rPr>
          <w:rFonts w:ascii="Gill Sans MT" w:hAnsi="Gill Sans MT" w:cs="Gill Sans MT"/>
          <w:color w:val="161616"/>
        </w:rPr>
        <w:t>Community</w:t>
      </w:r>
      <w:r>
        <w:rPr>
          <w:rFonts w:ascii="Gill Sans MT" w:hAnsi="Gill Sans MT" w:cs="Gill Sans MT"/>
          <w:color w:val="161616"/>
          <w:spacing w:val="-18"/>
        </w:rPr>
        <w:t xml:space="preserve"> </w:t>
      </w:r>
      <w:r>
        <w:rPr>
          <w:rFonts w:ascii="Gill Sans MT" w:hAnsi="Gill Sans MT" w:cs="Gill Sans MT"/>
          <w:color w:val="161616"/>
        </w:rPr>
        <w:t>Development,</w:t>
      </w:r>
      <w:r>
        <w:rPr>
          <w:rFonts w:ascii="Gill Sans MT" w:hAnsi="Gill Sans MT" w:cs="Gill Sans MT"/>
          <w:color w:val="161616"/>
          <w:spacing w:val="-17"/>
        </w:rPr>
        <w:t xml:space="preserve"> </w:t>
      </w:r>
      <w:r>
        <w:rPr>
          <w:rFonts w:ascii="Gill Sans MT" w:hAnsi="Gill Sans MT" w:cs="Gill Sans MT"/>
          <w:color w:val="161616"/>
        </w:rPr>
        <w:t>Inc.),</w:t>
      </w:r>
      <w:r>
        <w:rPr>
          <w:rFonts w:ascii="Gill Sans MT" w:hAnsi="Gill Sans MT" w:cs="Gill Sans MT"/>
          <w:color w:val="161616"/>
          <w:spacing w:val="-15"/>
        </w:rPr>
        <w:t xml:space="preserve"> </w:t>
      </w:r>
      <w:r>
        <w:rPr>
          <w:rFonts w:ascii="Gill Sans MT" w:hAnsi="Gill Sans MT" w:cs="Gill Sans MT"/>
          <w:color w:val="161616"/>
        </w:rPr>
        <w:t>we</w:t>
      </w:r>
      <w:r>
        <w:rPr>
          <w:rFonts w:ascii="Gill Sans MT" w:hAnsi="Gill Sans MT" w:cs="Gill Sans MT"/>
          <w:color w:val="161616"/>
          <w:spacing w:val="-17"/>
        </w:rPr>
        <w:t xml:space="preserve"> </w:t>
      </w:r>
      <w:r>
        <w:rPr>
          <w:rFonts w:ascii="Gill Sans MT" w:hAnsi="Gill Sans MT" w:cs="Gill Sans MT"/>
          <w:color w:val="161616"/>
        </w:rPr>
        <w:t>submit</w:t>
      </w:r>
      <w:r>
        <w:rPr>
          <w:rFonts w:ascii="Gill Sans MT" w:hAnsi="Gill Sans MT" w:cs="Gill Sans MT"/>
          <w:color w:val="161616"/>
          <w:spacing w:val="-16"/>
        </w:rPr>
        <w:t xml:space="preserve"> </w:t>
      </w:r>
      <w:r>
        <w:rPr>
          <w:rFonts w:ascii="Gill Sans MT" w:hAnsi="Gill Sans MT" w:cs="Gill Sans MT"/>
          <w:color w:val="161616"/>
        </w:rPr>
        <w:t>these</w:t>
      </w:r>
      <w:r>
        <w:rPr>
          <w:rFonts w:ascii="Gill Sans MT" w:hAnsi="Gill Sans MT" w:cs="Gill Sans MT"/>
          <w:color w:val="161616"/>
          <w:spacing w:val="-17"/>
        </w:rPr>
        <w:t xml:space="preserve"> </w:t>
      </w:r>
      <w:r>
        <w:rPr>
          <w:rFonts w:ascii="Gill Sans MT" w:hAnsi="Gill Sans MT" w:cs="Gill Sans MT"/>
          <w:color w:val="161616"/>
        </w:rPr>
        <w:t>additional</w:t>
      </w:r>
      <w:r>
        <w:rPr>
          <w:rFonts w:ascii="Gill Sans MT" w:hAnsi="Gill Sans MT" w:cs="Gill Sans MT"/>
          <w:color w:val="161616"/>
          <w:spacing w:val="-17"/>
        </w:rPr>
        <w:t xml:space="preserve"> </w:t>
      </w:r>
      <w:r>
        <w:rPr>
          <w:rFonts w:ascii="Gill Sans MT" w:hAnsi="Gill Sans MT" w:cs="Gill Sans MT"/>
          <w:color w:val="161616"/>
        </w:rPr>
        <w:t>independent</w:t>
      </w:r>
      <w:r>
        <w:rPr>
          <w:rFonts w:ascii="Gill Sans MT" w:hAnsi="Gill Sans MT" w:cs="Gill Sans MT"/>
          <w:color w:val="161616"/>
          <w:spacing w:val="-14"/>
        </w:rPr>
        <w:t xml:space="preserve"> </w:t>
      </w:r>
      <w:r>
        <w:rPr>
          <w:rFonts w:ascii="Gill Sans MT" w:hAnsi="Gill Sans MT" w:cs="Gill Sans MT"/>
          <w:color w:val="161616"/>
        </w:rPr>
        <w:t>comments</w:t>
      </w:r>
      <w:r>
        <w:rPr>
          <w:rFonts w:ascii="Gill Sans MT" w:hAnsi="Gill Sans MT" w:cs="Gill Sans MT"/>
          <w:color w:val="161616"/>
          <w:spacing w:val="-18"/>
        </w:rPr>
        <w:t xml:space="preserve"> </w:t>
      </w:r>
      <w:r>
        <w:rPr>
          <w:rFonts w:ascii="Gill Sans MT" w:hAnsi="Gill Sans MT" w:cs="Gill Sans MT"/>
          <w:color w:val="161616"/>
        </w:rPr>
        <w:t>to</w:t>
      </w:r>
    </w:p>
    <w:p w:rsidR="002C5025" w:rsidRDefault="002C5025">
      <w:pPr>
        <w:pStyle w:val="ListParagraph"/>
        <w:numPr>
          <w:ilvl w:val="0"/>
          <w:numId w:val="6"/>
        </w:numPr>
        <w:tabs>
          <w:tab w:val="left" w:pos="558"/>
        </w:tabs>
        <w:kinsoku w:val="0"/>
        <w:overflowPunct w:val="0"/>
        <w:ind w:right="437" w:firstLine="0"/>
        <w:rPr>
          <w:rFonts w:ascii="Gill Sans MT" w:hAnsi="Gill Sans MT" w:cs="Gill Sans MT"/>
          <w:color w:val="161616"/>
          <w:sz w:val="22"/>
          <w:szCs w:val="22"/>
        </w:rPr>
      </w:pPr>
      <w:r>
        <w:rPr>
          <w:rFonts w:ascii="Gill Sans MT" w:hAnsi="Gill Sans MT" w:cs="Gill Sans MT"/>
          <w:color w:val="161616"/>
          <w:sz w:val="22"/>
          <w:szCs w:val="22"/>
        </w:rPr>
        <w:t>celebrate features of the Request that would generate momentum on prevention; and (b) encourage further emphasis</w:t>
      </w:r>
      <w:r>
        <w:rPr>
          <w:rFonts w:ascii="Gill Sans MT" w:hAnsi="Gill Sans MT" w:cs="Gill Sans MT"/>
          <w:color w:val="161616"/>
          <w:spacing w:val="-16"/>
          <w:sz w:val="22"/>
          <w:szCs w:val="22"/>
        </w:rPr>
        <w:t xml:space="preserve"> </w:t>
      </w:r>
      <w:r>
        <w:rPr>
          <w:rFonts w:ascii="Gill Sans MT" w:hAnsi="Gill Sans MT" w:cs="Gill Sans MT"/>
          <w:color w:val="161616"/>
          <w:sz w:val="22"/>
          <w:szCs w:val="22"/>
        </w:rPr>
        <w:t>on</w:t>
      </w:r>
      <w:r>
        <w:rPr>
          <w:rFonts w:ascii="Gill Sans MT" w:hAnsi="Gill Sans MT" w:cs="Gill Sans MT"/>
          <w:color w:val="161616"/>
          <w:spacing w:val="-15"/>
          <w:sz w:val="22"/>
          <w:szCs w:val="22"/>
        </w:rPr>
        <w:t xml:space="preserve"> </w:t>
      </w:r>
      <w:r>
        <w:rPr>
          <w:rFonts w:ascii="Gill Sans MT" w:hAnsi="Gill Sans MT" w:cs="Gill Sans MT"/>
          <w:color w:val="161616"/>
          <w:sz w:val="22"/>
          <w:szCs w:val="22"/>
        </w:rPr>
        <w:t>prevention</w:t>
      </w:r>
      <w:r>
        <w:rPr>
          <w:rFonts w:ascii="Gill Sans MT" w:hAnsi="Gill Sans MT" w:cs="Gill Sans MT"/>
          <w:color w:val="161616"/>
          <w:spacing w:val="-12"/>
          <w:sz w:val="22"/>
          <w:szCs w:val="22"/>
        </w:rPr>
        <w:t xml:space="preserve"> </w:t>
      </w:r>
      <w:r>
        <w:rPr>
          <w:rFonts w:ascii="Gill Sans MT" w:hAnsi="Gill Sans MT" w:cs="Gill Sans MT"/>
          <w:color w:val="161616"/>
          <w:sz w:val="22"/>
          <w:szCs w:val="22"/>
        </w:rPr>
        <w:t>goals</w:t>
      </w:r>
      <w:r>
        <w:rPr>
          <w:rFonts w:ascii="Gill Sans MT" w:hAnsi="Gill Sans MT" w:cs="Gill Sans MT"/>
          <w:color w:val="161616"/>
          <w:spacing w:val="-13"/>
          <w:sz w:val="22"/>
          <w:szCs w:val="22"/>
        </w:rPr>
        <w:t xml:space="preserve"> </w:t>
      </w:r>
      <w:r>
        <w:rPr>
          <w:rFonts w:ascii="Gill Sans MT" w:hAnsi="Gill Sans MT" w:cs="Gill Sans MT"/>
          <w:color w:val="161616"/>
          <w:spacing w:val="-3"/>
          <w:sz w:val="22"/>
          <w:szCs w:val="22"/>
        </w:rPr>
        <w:t>and</w:t>
      </w:r>
      <w:r>
        <w:rPr>
          <w:rFonts w:ascii="Gill Sans MT" w:hAnsi="Gill Sans MT" w:cs="Gill Sans MT"/>
          <w:color w:val="161616"/>
          <w:spacing w:val="-12"/>
          <w:sz w:val="22"/>
          <w:szCs w:val="22"/>
        </w:rPr>
        <w:t xml:space="preserve"> </w:t>
      </w:r>
      <w:r>
        <w:rPr>
          <w:rFonts w:ascii="Gill Sans MT" w:hAnsi="Gill Sans MT" w:cs="Gill Sans MT"/>
          <w:color w:val="161616"/>
          <w:sz w:val="22"/>
          <w:szCs w:val="22"/>
        </w:rPr>
        <w:t>strategies</w:t>
      </w:r>
      <w:r>
        <w:rPr>
          <w:rFonts w:ascii="Gill Sans MT" w:hAnsi="Gill Sans MT" w:cs="Gill Sans MT"/>
          <w:color w:val="161616"/>
          <w:spacing w:val="-16"/>
          <w:sz w:val="22"/>
          <w:szCs w:val="22"/>
        </w:rPr>
        <w:t xml:space="preserve"> </w:t>
      </w:r>
      <w:r>
        <w:rPr>
          <w:rFonts w:ascii="Gill Sans MT" w:hAnsi="Gill Sans MT" w:cs="Gill Sans MT"/>
          <w:color w:val="161616"/>
          <w:sz w:val="22"/>
          <w:szCs w:val="22"/>
        </w:rPr>
        <w:t>throughout</w:t>
      </w:r>
      <w:r>
        <w:rPr>
          <w:rFonts w:ascii="Gill Sans MT" w:hAnsi="Gill Sans MT" w:cs="Gill Sans MT"/>
          <w:color w:val="161616"/>
          <w:spacing w:val="-14"/>
          <w:sz w:val="22"/>
          <w:szCs w:val="22"/>
        </w:rPr>
        <w:t xml:space="preserve"> </w:t>
      </w:r>
      <w:r>
        <w:rPr>
          <w:rFonts w:ascii="Gill Sans MT" w:hAnsi="Gill Sans MT" w:cs="Gill Sans MT"/>
          <w:color w:val="161616"/>
          <w:sz w:val="22"/>
          <w:szCs w:val="22"/>
        </w:rPr>
        <w:t>the</w:t>
      </w:r>
      <w:r>
        <w:rPr>
          <w:rFonts w:ascii="Gill Sans MT" w:hAnsi="Gill Sans MT" w:cs="Gill Sans MT"/>
          <w:color w:val="161616"/>
          <w:spacing w:val="-15"/>
          <w:sz w:val="22"/>
          <w:szCs w:val="22"/>
        </w:rPr>
        <w:t xml:space="preserve"> </w:t>
      </w:r>
      <w:r>
        <w:rPr>
          <w:rFonts w:ascii="Gill Sans MT" w:hAnsi="Gill Sans MT" w:cs="Gill Sans MT"/>
          <w:color w:val="161616"/>
          <w:sz w:val="22"/>
          <w:szCs w:val="22"/>
        </w:rPr>
        <w:t>Request.</w:t>
      </w:r>
      <w:r>
        <w:rPr>
          <w:rFonts w:ascii="Gill Sans MT" w:hAnsi="Gill Sans MT" w:cs="Gill Sans MT"/>
          <w:color w:val="161616"/>
          <w:spacing w:val="-15"/>
          <w:sz w:val="22"/>
          <w:szCs w:val="22"/>
        </w:rPr>
        <w:t xml:space="preserve"> </w:t>
      </w:r>
      <w:r>
        <w:rPr>
          <w:rFonts w:ascii="Gill Sans MT" w:hAnsi="Gill Sans MT" w:cs="Gill Sans MT"/>
          <w:color w:val="161616"/>
          <w:sz w:val="22"/>
          <w:szCs w:val="22"/>
        </w:rPr>
        <w:t>We</w:t>
      </w:r>
      <w:r>
        <w:rPr>
          <w:rFonts w:ascii="Gill Sans MT" w:hAnsi="Gill Sans MT" w:cs="Gill Sans MT"/>
          <w:color w:val="161616"/>
          <w:spacing w:val="-13"/>
          <w:sz w:val="22"/>
          <w:szCs w:val="22"/>
        </w:rPr>
        <w:t xml:space="preserve"> </w:t>
      </w:r>
      <w:r>
        <w:rPr>
          <w:rFonts w:ascii="Gill Sans MT" w:hAnsi="Gill Sans MT" w:cs="Gill Sans MT"/>
          <w:color w:val="161616"/>
          <w:sz w:val="22"/>
          <w:szCs w:val="22"/>
        </w:rPr>
        <w:t>believe</w:t>
      </w:r>
      <w:r>
        <w:rPr>
          <w:rFonts w:ascii="Gill Sans MT" w:hAnsi="Gill Sans MT" w:cs="Gill Sans MT"/>
          <w:color w:val="161616"/>
          <w:spacing w:val="-15"/>
          <w:sz w:val="22"/>
          <w:szCs w:val="22"/>
        </w:rPr>
        <w:t xml:space="preserve"> </w:t>
      </w:r>
      <w:r>
        <w:rPr>
          <w:rFonts w:ascii="Gill Sans MT" w:hAnsi="Gill Sans MT" w:cs="Gill Sans MT"/>
          <w:color w:val="161616"/>
          <w:sz w:val="22"/>
          <w:szCs w:val="22"/>
        </w:rPr>
        <w:t>the</w:t>
      </w:r>
      <w:r>
        <w:rPr>
          <w:rFonts w:ascii="Gill Sans MT" w:hAnsi="Gill Sans MT" w:cs="Gill Sans MT"/>
          <w:color w:val="161616"/>
          <w:spacing w:val="-15"/>
          <w:sz w:val="22"/>
          <w:szCs w:val="22"/>
        </w:rPr>
        <w:t xml:space="preserve"> </w:t>
      </w:r>
      <w:r>
        <w:rPr>
          <w:rFonts w:ascii="Gill Sans MT" w:hAnsi="Gill Sans MT" w:cs="Gill Sans MT"/>
          <w:color w:val="161616"/>
          <w:sz w:val="22"/>
          <w:szCs w:val="22"/>
        </w:rPr>
        <w:t>Request</w:t>
      </w:r>
      <w:r>
        <w:rPr>
          <w:rFonts w:ascii="Gill Sans MT" w:hAnsi="Gill Sans MT" w:cs="Gill Sans MT"/>
          <w:color w:val="161616"/>
          <w:spacing w:val="-14"/>
          <w:sz w:val="22"/>
          <w:szCs w:val="22"/>
        </w:rPr>
        <w:t xml:space="preserve"> </w:t>
      </w:r>
      <w:r>
        <w:rPr>
          <w:rFonts w:ascii="Gill Sans MT" w:hAnsi="Gill Sans MT" w:cs="Gill Sans MT"/>
          <w:color w:val="161616"/>
          <w:sz w:val="22"/>
          <w:szCs w:val="22"/>
        </w:rPr>
        <w:t>is</w:t>
      </w:r>
      <w:r>
        <w:rPr>
          <w:rFonts w:ascii="Gill Sans MT" w:hAnsi="Gill Sans MT" w:cs="Gill Sans MT"/>
          <w:color w:val="161616"/>
          <w:spacing w:val="-13"/>
          <w:sz w:val="22"/>
          <w:szCs w:val="22"/>
        </w:rPr>
        <w:t xml:space="preserve"> </w:t>
      </w:r>
      <w:r>
        <w:rPr>
          <w:rFonts w:ascii="Gill Sans MT" w:hAnsi="Gill Sans MT" w:cs="Gill Sans MT"/>
          <w:color w:val="161616"/>
          <w:sz w:val="22"/>
          <w:szCs w:val="22"/>
        </w:rPr>
        <w:t>a</w:t>
      </w:r>
      <w:r>
        <w:rPr>
          <w:rFonts w:ascii="Gill Sans MT" w:hAnsi="Gill Sans MT" w:cs="Gill Sans MT"/>
          <w:color w:val="161616"/>
          <w:spacing w:val="-15"/>
          <w:sz w:val="22"/>
          <w:szCs w:val="22"/>
        </w:rPr>
        <w:t xml:space="preserve"> </w:t>
      </w:r>
      <w:r>
        <w:rPr>
          <w:rFonts w:ascii="Gill Sans MT" w:hAnsi="Gill Sans MT" w:cs="Gill Sans MT"/>
          <w:color w:val="161616"/>
          <w:sz w:val="22"/>
          <w:szCs w:val="22"/>
        </w:rPr>
        <w:t>unique</w:t>
      </w:r>
      <w:r>
        <w:rPr>
          <w:rFonts w:ascii="Gill Sans MT" w:hAnsi="Gill Sans MT" w:cs="Gill Sans MT"/>
          <w:color w:val="161616"/>
          <w:spacing w:val="-15"/>
          <w:sz w:val="22"/>
          <w:szCs w:val="22"/>
        </w:rPr>
        <w:t xml:space="preserve"> </w:t>
      </w:r>
      <w:r>
        <w:rPr>
          <w:rFonts w:ascii="Gill Sans MT" w:hAnsi="Gill Sans MT" w:cs="Gill Sans MT"/>
          <w:color w:val="161616"/>
          <w:sz w:val="22"/>
          <w:szCs w:val="22"/>
        </w:rPr>
        <w:t>opportunity to</w:t>
      </w:r>
      <w:r>
        <w:rPr>
          <w:rFonts w:ascii="Gill Sans MT" w:hAnsi="Gill Sans MT" w:cs="Gill Sans MT"/>
          <w:color w:val="161616"/>
          <w:spacing w:val="-11"/>
          <w:sz w:val="22"/>
          <w:szCs w:val="22"/>
        </w:rPr>
        <w:t xml:space="preserve"> </w:t>
      </w:r>
      <w:r>
        <w:rPr>
          <w:rFonts w:ascii="Gill Sans MT" w:hAnsi="Gill Sans MT" w:cs="Gill Sans MT"/>
          <w:color w:val="161616"/>
          <w:sz w:val="22"/>
          <w:szCs w:val="22"/>
        </w:rPr>
        <w:t>advance</w:t>
      </w:r>
      <w:r>
        <w:rPr>
          <w:rFonts w:ascii="Gill Sans MT" w:hAnsi="Gill Sans MT" w:cs="Gill Sans MT"/>
          <w:color w:val="161616"/>
          <w:spacing w:val="-12"/>
          <w:sz w:val="22"/>
          <w:szCs w:val="22"/>
        </w:rPr>
        <w:t xml:space="preserve"> </w:t>
      </w:r>
      <w:r>
        <w:rPr>
          <w:rFonts w:ascii="Gill Sans MT" w:hAnsi="Gill Sans MT" w:cs="Gill Sans MT"/>
          <w:color w:val="161616"/>
          <w:sz w:val="22"/>
          <w:szCs w:val="22"/>
        </w:rPr>
        <w:t>both</w:t>
      </w:r>
      <w:r>
        <w:rPr>
          <w:rFonts w:ascii="Gill Sans MT" w:hAnsi="Gill Sans MT" w:cs="Gill Sans MT"/>
          <w:color w:val="161616"/>
          <w:spacing w:val="-11"/>
          <w:sz w:val="22"/>
          <w:szCs w:val="22"/>
        </w:rPr>
        <w:t xml:space="preserve"> </w:t>
      </w:r>
      <w:r>
        <w:rPr>
          <w:rFonts w:ascii="Gill Sans MT" w:hAnsi="Gill Sans MT" w:cs="Gill Sans MT"/>
          <w:color w:val="161616"/>
          <w:sz w:val="22"/>
          <w:szCs w:val="22"/>
        </w:rPr>
        <w:t>health</w:t>
      </w:r>
      <w:r>
        <w:rPr>
          <w:rFonts w:ascii="Gill Sans MT" w:hAnsi="Gill Sans MT" w:cs="Gill Sans MT"/>
          <w:color w:val="161616"/>
          <w:spacing w:val="-14"/>
          <w:sz w:val="22"/>
          <w:szCs w:val="22"/>
        </w:rPr>
        <w:t xml:space="preserve"> </w:t>
      </w:r>
      <w:r>
        <w:rPr>
          <w:rFonts w:ascii="Gill Sans MT" w:hAnsi="Gill Sans MT" w:cs="Gill Sans MT"/>
          <w:color w:val="161616"/>
          <w:sz w:val="22"/>
          <w:szCs w:val="22"/>
        </w:rPr>
        <w:t>equity</w:t>
      </w:r>
      <w:r>
        <w:rPr>
          <w:rFonts w:ascii="Gill Sans MT" w:hAnsi="Gill Sans MT" w:cs="Gill Sans MT"/>
          <w:color w:val="161616"/>
          <w:spacing w:val="-12"/>
          <w:sz w:val="22"/>
          <w:szCs w:val="22"/>
        </w:rPr>
        <w:t xml:space="preserve"> </w:t>
      </w:r>
      <w:r>
        <w:rPr>
          <w:rFonts w:ascii="Gill Sans MT" w:hAnsi="Gill Sans MT" w:cs="Gill Sans MT"/>
          <w:color w:val="161616"/>
          <w:spacing w:val="-3"/>
          <w:sz w:val="22"/>
          <w:szCs w:val="22"/>
        </w:rPr>
        <w:t>and</w:t>
      </w:r>
      <w:r>
        <w:rPr>
          <w:rFonts w:ascii="Gill Sans MT" w:hAnsi="Gill Sans MT" w:cs="Gill Sans MT"/>
          <w:color w:val="161616"/>
          <w:spacing w:val="-11"/>
          <w:sz w:val="22"/>
          <w:szCs w:val="22"/>
        </w:rPr>
        <w:t xml:space="preserve"> </w:t>
      </w:r>
      <w:r>
        <w:rPr>
          <w:rFonts w:ascii="Gill Sans MT" w:hAnsi="Gill Sans MT" w:cs="Gill Sans MT"/>
          <w:color w:val="161616"/>
          <w:sz w:val="22"/>
          <w:szCs w:val="22"/>
        </w:rPr>
        <w:t>cost</w:t>
      </w:r>
      <w:r>
        <w:rPr>
          <w:rFonts w:ascii="Gill Sans MT" w:hAnsi="Gill Sans MT" w:cs="Gill Sans MT"/>
          <w:color w:val="161616"/>
          <w:spacing w:val="-8"/>
          <w:sz w:val="22"/>
          <w:szCs w:val="22"/>
        </w:rPr>
        <w:t xml:space="preserve"> </w:t>
      </w:r>
      <w:r>
        <w:rPr>
          <w:rFonts w:ascii="Gill Sans MT" w:hAnsi="Gill Sans MT" w:cs="Gill Sans MT"/>
          <w:color w:val="161616"/>
          <w:sz w:val="22"/>
          <w:szCs w:val="22"/>
        </w:rPr>
        <w:t>savings</w:t>
      </w:r>
      <w:r>
        <w:rPr>
          <w:rFonts w:ascii="Gill Sans MT" w:hAnsi="Gill Sans MT" w:cs="Gill Sans MT"/>
          <w:color w:val="161616"/>
          <w:spacing w:val="-15"/>
          <w:sz w:val="22"/>
          <w:szCs w:val="22"/>
        </w:rPr>
        <w:t xml:space="preserve"> </w:t>
      </w:r>
      <w:r>
        <w:rPr>
          <w:rFonts w:ascii="Gill Sans MT" w:hAnsi="Gill Sans MT" w:cs="Gill Sans MT"/>
          <w:color w:val="161616"/>
          <w:sz w:val="22"/>
          <w:szCs w:val="22"/>
        </w:rPr>
        <w:t>over</w:t>
      </w:r>
      <w:r>
        <w:rPr>
          <w:rFonts w:ascii="Gill Sans MT" w:hAnsi="Gill Sans MT" w:cs="Gill Sans MT"/>
          <w:color w:val="161616"/>
          <w:spacing w:val="-15"/>
          <w:sz w:val="22"/>
          <w:szCs w:val="22"/>
        </w:rPr>
        <w:t xml:space="preserve"> </w:t>
      </w:r>
      <w:r>
        <w:rPr>
          <w:rFonts w:ascii="Gill Sans MT" w:hAnsi="Gill Sans MT" w:cs="Gill Sans MT"/>
          <w:color w:val="161616"/>
          <w:sz w:val="22"/>
          <w:szCs w:val="22"/>
        </w:rPr>
        <w:t>time.</w:t>
      </w:r>
    </w:p>
    <w:p w:rsidR="002C5025" w:rsidRDefault="002C5025">
      <w:pPr>
        <w:pStyle w:val="BodyText"/>
        <w:kinsoku w:val="0"/>
        <w:overflowPunct w:val="0"/>
        <w:spacing w:before="3"/>
        <w:rPr>
          <w:rFonts w:ascii="Gill Sans MT" w:hAnsi="Gill Sans MT" w:cs="Gill Sans MT"/>
          <w:sz w:val="17"/>
          <w:szCs w:val="17"/>
        </w:rPr>
      </w:pPr>
    </w:p>
    <w:p w:rsidR="002C5025" w:rsidRDefault="002C5025">
      <w:pPr>
        <w:pStyle w:val="BodyText"/>
        <w:kinsoku w:val="0"/>
        <w:overflowPunct w:val="0"/>
        <w:ind w:left="260" w:right="162"/>
        <w:rPr>
          <w:rFonts w:ascii="Gill Sans MT" w:hAnsi="Gill Sans MT" w:cs="Gill Sans MT"/>
          <w:color w:val="161616"/>
        </w:rPr>
      </w:pPr>
      <w:r>
        <w:rPr>
          <w:rFonts w:ascii="Gill Sans MT" w:hAnsi="Gill Sans MT" w:cs="Gill Sans MT"/>
          <w:color w:val="161616"/>
        </w:rPr>
        <w:t>MLPB’s mission is to equip healthcare and human services teams with legal problem-solving strategies that promote health</w:t>
      </w:r>
      <w:r>
        <w:rPr>
          <w:rFonts w:ascii="Gill Sans MT" w:hAnsi="Gill Sans MT" w:cs="Gill Sans MT"/>
          <w:color w:val="161616"/>
          <w:spacing w:val="-11"/>
        </w:rPr>
        <w:t xml:space="preserve"> </w:t>
      </w:r>
      <w:r>
        <w:rPr>
          <w:rFonts w:ascii="Gill Sans MT" w:hAnsi="Gill Sans MT" w:cs="Gill Sans MT"/>
          <w:color w:val="161616"/>
        </w:rPr>
        <w:t>equity.</w:t>
      </w:r>
      <w:r>
        <w:rPr>
          <w:rFonts w:ascii="Gill Sans MT" w:hAnsi="Gill Sans MT" w:cs="Gill Sans MT"/>
          <w:color w:val="161616"/>
          <w:spacing w:val="-14"/>
        </w:rPr>
        <w:t xml:space="preserve"> </w:t>
      </w:r>
      <w:r>
        <w:rPr>
          <w:rFonts w:ascii="Gill Sans MT" w:hAnsi="Gill Sans MT" w:cs="Gill Sans MT"/>
          <w:color w:val="161616"/>
        </w:rPr>
        <w:t>We</w:t>
      </w:r>
      <w:r>
        <w:rPr>
          <w:rFonts w:ascii="Gill Sans MT" w:hAnsi="Gill Sans MT" w:cs="Gill Sans MT"/>
          <w:color w:val="161616"/>
          <w:spacing w:val="-14"/>
        </w:rPr>
        <w:t xml:space="preserve"> </w:t>
      </w:r>
      <w:r>
        <w:rPr>
          <w:rFonts w:ascii="Gill Sans MT" w:hAnsi="Gill Sans MT" w:cs="Gill Sans MT"/>
          <w:color w:val="161616"/>
        </w:rPr>
        <w:t>do</w:t>
      </w:r>
      <w:r>
        <w:rPr>
          <w:rFonts w:ascii="Gill Sans MT" w:hAnsi="Gill Sans MT" w:cs="Gill Sans MT"/>
          <w:color w:val="161616"/>
          <w:spacing w:val="-11"/>
        </w:rPr>
        <w:t xml:space="preserve"> </w:t>
      </w:r>
      <w:r>
        <w:rPr>
          <w:rFonts w:ascii="Gill Sans MT" w:hAnsi="Gill Sans MT" w:cs="Gill Sans MT"/>
          <w:color w:val="161616"/>
        </w:rPr>
        <w:t>this</w:t>
      </w:r>
      <w:r>
        <w:rPr>
          <w:rFonts w:ascii="Gill Sans MT" w:hAnsi="Gill Sans MT" w:cs="Gill Sans MT"/>
          <w:color w:val="161616"/>
          <w:spacing w:val="-10"/>
        </w:rPr>
        <w:t xml:space="preserve"> </w:t>
      </w:r>
      <w:r>
        <w:rPr>
          <w:rFonts w:ascii="Gill Sans MT" w:hAnsi="Gill Sans MT" w:cs="Gill Sans MT"/>
          <w:color w:val="161616"/>
        </w:rPr>
        <w:t>by</w:t>
      </w:r>
      <w:r>
        <w:rPr>
          <w:rFonts w:ascii="Gill Sans MT" w:hAnsi="Gill Sans MT" w:cs="Gill Sans MT"/>
          <w:color w:val="161616"/>
          <w:spacing w:val="-12"/>
        </w:rPr>
        <w:t xml:space="preserve"> </w:t>
      </w:r>
      <w:r>
        <w:rPr>
          <w:rFonts w:ascii="Gill Sans MT" w:hAnsi="Gill Sans MT" w:cs="Gill Sans MT"/>
          <w:color w:val="161616"/>
        </w:rPr>
        <w:t>integrating</w:t>
      </w:r>
      <w:r>
        <w:rPr>
          <w:rFonts w:ascii="Gill Sans MT" w:hAnsi="Gill Sans MT" w:cs="Gill Sans MT"/>
          <w:color w:val="161616"/>
          <w:spacing w:val="-9"/>
        </w:rPr>
        <w:t xml:space="preserve"> </w:t>
      </w:r>
      <w:r>
        <w:rPr>
          <w:rFonts w:ascii="Gill Sans MT" w:hAnsi="Gill Sans MT" w:cs="Gill Sans MT"/>
          <w:color w:val="161616"/>
        </w:rPr>
        <w:t>a</w:t>
      </w:r>
      <w:r>
        <w:rPr>
          <w:rFonts w:ascii="Gill Sans MT" w:hAnsi="Gill Sans MT" w:cs="Gill Sans MT"/>
          <w:color w:val="161616"/>
          <w:spacing w:val="-12"/>
        </w:rPr>
        <w:t xml:space="preserve"> </w:t>
      </w:r>
      <w:r>
        <w:rPr>
          <w:rFonts w:ascii="Gill Sans MT" w:hAnsi="Gill Sans MT" w:cs="Gill Sans MT"/>
          <w:color w:val="161616"/>
        </w:rPr>
        <w:t>“low</w:t>
      </w:r>
      <w:r>
        <w:rPr>
          <w:rFonts w:ascii="Gill Sans MT" w:hAnsi="Gill Sans MT" w:cs="Gill Sans MT"/>
          <w:color w:val="161616"/>
          <w:spacing w:val="-12"/>
        </w:rPr>
        <w:t xml:space="preserve"> </w:t>
      </w:r>
      <w:r>
        <w:rPr>
          <w:rFonts w:ascii="Gill Sans MT" w:hAnsi="Gill Sans MT" w:cs="Gill Sans MT"/>
          <w:color w:val="161616"/>
        </w:rPr>
        <w:t>dose”</w:t>
      </w:r>
      <w:r>
        <w:rPr>
          <w:rFonts w:ascii="Gill Sans MT" w:hAnsi="Gill Sans MT" w:cs="Gill Sans MT"/>
          <w:color w:val="161616"/>
          <w:spacing w:val="-10"/>
        </w:rPr>
        <w:t xml:space="preserve"> </w:t>
      </w:r>
      <w:r>
        <w:rPr>
          <w:rFonts w:ascii="Gill Sans MT" w:hAnsi="Gill Sans MT" w:cs="Gill Sans MT"/>
          <w:color w:val="161616"/>
        </w:rPr>
        <w:t>of</w:t>
      </w:r>
      <w:r>
        <w:rPr>
          <w:rFonts w:ascii="Gill Sans MT" w:hAnsi="Gill Sans MT" w:cs="Gill Sans MT"/>
          <w:color w:val="161616"/>
          <w:spacing w:val="-9"/>
        </w:rPr>
        <w:t xml:space="preserve"> </w:t>
      </w:r>
      <w:r>
        <w:rPr>
          <w:rFonts w:ascii="Gill Sans MT" w:hAnsi="Gill Sans MT" w:cs="Gill Sans MT"/>
          <w:color w:val="161616"/>
        </w:rPr>
        <w:t>legal</w:t>
      </w:r>
      <w:r>
        <w:rPr>
          <w:rFonts w:ascii="Gill Sans MT" w:hAnsi="Gill Sans MT" w:cs="Gill Sans MT"/>
          <w:color w:val="161616"/>
          <w:spacing w:val="-12"/>
        </w:rPr>
        <w:t xml:space="preserve"> </w:t>
      </w:r>
      <w:r>
        <w:rPr>
          <w:rFonts w:ascii="Gill Sans MT" w:hAnsi="Gill Sans MT" w:cs="Gill Sans MT"/>
          <w:color w:val="161616"/>
        </w:rPr>
        <w:t>advocates</w:t>
      </w:r>
      <w:r>
        <w:rPr>
          <w:rFonts w:ascii="Gill Sans MT" w:hAnsi="Gill Sans MT" w:cs="Gill Sans MT"/>
          <w:color w:val="161616"/>
          <w:spacing w:val="-12"/>
        </w:rPr>
        <w:t xml:space="preserve"> </w:t>
      </w:r>
      <w:r>
        <w:rPr>
          <w:rFonts w:ascii="Gill Sans MT" w:hAnsi="Gill Sans MT" w:cs="Gill Sans MT"/>
          <w:color w:val="161616"/>
        </w:rPr>
        <w:t>into</w:t>
      </w:r>
      <w:r>
        <w:rPr>
          <w:rFonts w:ascii="Gill Sans MT" w:hAnsi="Gill Sans MT" w:cs="Gill Sans MT"/>
          <w:color w:val="161616"/>
          <w:spacing w:val="-13"/>
        </w:rPr>
        <w:t xml:space="preserve"> </w:t>
      </w:r>
      <w:r>
        <w:rPr>
          <w:rFonts w:ascii="Gill Sans MT" w:hAnsi="Gill Sans MT" w:cs="Gill Sans MT"/>
          <w:color w:val="161616"/>
        </w:rPr>
        <w:t>healthcare</w:t>
      </w:r>
      <w:r>
        <w:rPr>
          <w:rFonts w:ascii="Gill Sans MT" w:hAnsi="Gill Sans MT" w:cs="Gill Sans MT"/>
          <w:color w:val="161616"/>
          <w:spacing w:val="-12"/>
        </w:rPr>
        <w:t xml:space="preserve"> </w:t>
      </w:r>
      <w:r>
        <w:rPr>
          <w:rFonts w:ascii="Gill Sans MT" w:hAnsi="Gill Sans MT" w:cs="Gill Sans MT"/>
          <w:color w:val="161616"/>
        </w:rPr>
        <w:t>teams</w:t>
      </w:r>
      <w:r>
        <w:rPr>
          <w:rFonts w:ascii="Gill Sans MT" w:hAnsi="Gill Sans MT" w:cs="Gill Sans MT"/>
          <w:color w:val="161616"/>
          <w:spacing w:val="-12"/>
        </w:rPr>
        <w:t xml:space="preserve"> </w:t>
      </w:r>
      <w:r>
        <w:rPr>
          <w:rFonts w:ascii="Gill Sans MT" w:hAnsi="Gill Sans MT" w:cs="Gill Sans MT"/>
          <w:color w:val="161616"/>
        </w:rPr>
        <w:t>featuring</w:t>
      </w:r>
      <w:r>
        <w:rPr>
          <w:rFonts w:ascii="Gill Sans MT" w:hAnsi="Gill Sans MT" w:cs="Gill Sans MT"/>
          <w:color w:val="161616"/>
          <w:spacing w:val="-12"/>
        </w:rPr>
        <w:t xml:space="preserve"> </w:t>
      </w:r>
      <w:r>
        <w:rPr>
          <w:rFonts w:ascii="Gill Sans MT" w:hAnsi="Gill Sans MT" w:cs="Gill Sans MT"/>
          <w:color w:val="161616"/>
        </w:rPr>
        <w:t>a</w:t>
      </w:r>
      <w:r>
        <w:rPr>
          <w:rFonts w:ascii="Gill Sans MT" w:hAnsi="Gill Sans MT" w:cs="Gill Sans MT"/>
          <w:color w:val="161616"/>
          <w:spacing w:val="-10"/>
        </w:rPr>
        <w:t xml:space="preserve"> </w:t>
      </w:r>
      <w:r>
        <w:rPr>
          <w:rFonts w:ascii="Gill Sans MT" w:hAnsi="Gill Sans MT" w:cs="Gill Sans MT"/>
          <w:color w:val="161616"/>
        </w:rPr>
        <w:t>“high</w:t>
      </w:r>
      <w:r>
        <w:rPr>
          <w:rFonts w:ascii="Gill Sans MT" w:hAnsi="Gill Sans MT" w:cs="Gill Sans MT"/>
          <w:color w:val="161616"/>
          <w:spacing w:val="-11"/>
        </w:rPr>
        <w:t xml:space="preserve"> </w:t>
      </w:r>
      <w:r>
        <w:rPr>
          <w:rFonts w:ascii="Gill Sans MT" w:hAnsi="Gill Sans MT" w:cs="Gill Sans MT"/>
          <w:color w:val="161616"/>
        </w:rPr>
        <w:t>dose”</w:t>
      </w:r>
      <w:r>
        <w:rPr>
          <w:rFonts w:ascii="Gill Sans MT" w:hAnsi="Gill Sans MT" w:cs="Gill Sans MT"/>
          <w:color w:val="161616"/>
          <w:spacing w:val="-12"/>
        </w:rPr>
        <w:t xml:space="preserve"> </w:t>
      </w:r>
      <w:r>
        <w:rPr>
          <w:rFonts w:ascii="Gill Sans MT" w:hAnsi="Gill Sans MT" w:cs="Gill Sans MT"/>
          <w:color w:val="161616"/>
        </w:rPr>
        <w:t xml:space="preserve">of allied health professionals (e.g., social workers, case managers, community health workers, etc.) who help patients address health-related </w:t>
      </w:r>
      <w:r>
        <w:rPr>
          <w:rFonts w:ascii="Gill Sans MT" w:hAnsi="Gill Sans MT" w:cs="Gill Sans MT"/>
          <w:color w:val="161616"/>
          <w:spacing w:val="-3"/>
        </w:rPr>
        <w:t xml:space="preserve">social </w:t>
      </w:r>
      <w:r>
        <w:rPr>
          <w:rFonts w:ascii="Gill Sans MT" w:hAnsi="Gill Sans MT" w:cs="Gill Sans MT"/>
          <w:color w:val="161616"/>
        </w:rPr>
        <w:t xml:space="preserve">needs (e.g., housing insecurity, food insecurity, unlawful denials of disability benefits </w:t>
      </w:r>
      <w:r>
        <w:rPr>
          <w:rFonts w:ascii="Gill Sans MT" w:hAnsi="Gill Sans MT" w:cs="Gill Sans MT"/>
          <w:color w:val="161616"/>
          <w:spacing w:val="-3"/>
        </w:rPr>
        <w:t xml:space="preserve">and </w:t>
      </w:r>
      <w:r>
        <w:rPr>
          <w:rFonts w:ascii="Gill Sans MT" w:hAnsi="Gill Sans MT" w:cs="Gill Sans MT"/>
          <w:color w:val="161616"/>
        </w:rPr>
        <w:t>services,</w:t>
      </w:r>
      <w:r>
        <w:rPr>
          <w:rFonts w:ascii="Gill Sans MT" w:hAnsi="Gill Sans MT" w:cs="Gill Sans MT"/>
          <w:color w:val="161616"/>
          <w:spacing w:val="-12"/>
        </w:rPr>
        <w:t xml:space="preserve"> </w:t>
      </w:r>
      <w:r>
        <w:rPr>
          <w:rFonts w:ascii="Gill Sans MT" w:hAnsi="Gill Sans MT" w:cs="Gill Sans MT"/>
          <w:color w:val="161616"/>
        </w:rPr>
        <w:t>etc.).</w:t>
      </w:r>
      <w:r>
        <w:rPr>
          <w:rFonts w:ascii="Gill Sans MT" w:hAnsi="Gill Sans MT" w:cs="Gill Sans MT"/>
          <w:color w:val="161616"/>
          <w:spacing w:val="39"/>
        </w:rPr>
        <w:t xml:space="preserve"> </w:t>
      </w:r>
      <w:r>
        <w:rPr>
          <w:rFonts w:ascii="Gill Sans MT" w:hAnsi="Gill Sans MT" w:cs="Gill Sans MT"/>
          <w:color w:val="161616"/>
        </w:rPr>
        <w:t>We</w:t>
      </w:r>
      <w:r>
        <w:rPr>
          <w:rFonts w:ascii="Gill Sans MT" w:hAnsi="Gill Sans MT" w:cs="Gill Sans MT"/>
          <w:color w:val="161616"/>
          <w:spacing w:val="-12"/>
        </w:rPr>
        <w:t xml:space="preserve"> </w:t>
      </w:r>
      <w:r>
        <w:rPr>
          <w:rFonts w:ascii="Gill Sans MT" w:hAnsi="Gill Sans MT" w:cs="Gill Sans MT"/>
          <w:color w:val="161616"/>
        </w:rPr>
        <w:t>provide</w:t>
      </w:r>
      <w:r>
        <w:rPr>
          <w:rFonts w:ascii="Gill Sans MT" w:hAnsi="Gill Sans MT" w:cs="Gill Sans MT"/>
          <w:color w:val="161616"/>
          <w:spacing w:val="-12"/>
        </w:rPr>
        <w:t xml:space="preserve"> </w:t>
      </w:r>
      <w:r>
        <w:rPr>
          <w:rFonts w:ascii="Gill Sans MT" w:hAnsi="Gill Sans MT" w:cs="Gill Sans MT"/>
          <w:color w:val="161616"/>
        </w:rPr>
        <w:t>our</w:t>
      </w:r>
      <w:r>
        <w:rPr>
          <w:rFonts w:ascii="Gill Sans MT" w:hAnsi="Gill Sans MT" w:cs="Gill Sans MT"/>
          <w:color w:val="161616"/>
          <w:spacing w:val="-12"/>
        </w:rPr>
        <w:t xml:space="preserve"> </w:t>
      </w:r>
      <w:r>
        <w:rPr>
          <w:rFonts w:ascii="Gill Sans MT" w:hAnsi="Gill Sans MT" w:cs="Gill Sans MT"/>
          <w:color w:val="161616"/>
        </w:rPr>
        <w:t>services</w:t>
      </w:r>
      <w:r>
        <w:rPr>
          <w:rFonts w:ascii="Gill Sans MT" w:hAnsi="Gill Sans MT" w:cs="Gill Sans MT"/>
          <w:color w:val="161616"/>
          <w:spacing w:val="-15"/>
        </w:rPr>
        <w:t xml:space="preserve"> </w:t>
      </w:r>
      <w:r>
        <w:rPr>
          <w:rFonts w:ascii="Gill Sans MT" w:hAnsi="Gill Sans MT" w:cs="Gill Sans MT"/>
          <w:color w:val="161616"/>
        </w:rPr>
        <w:t>on</w:t>
      </w:r>
      <w:r>
        <w:rPr>
          <w:rFonts w:ascii="Gill Sans MT" w:hAnsi="Gill Sans MT" w:cs="Gill Sans MT"/>
          <w:color w:val="161616"/>
          <w:spacing w:val="-9"/>
        </w:rPr>
        <w:t xml:space="preserve"> </w:t>
      </w:r>
      <w:r>
        <w:rPr>
          <w:rFonts w:ascii="Gill Sans MT" w:hAnsi="Gill Sans MT" w:cs="Gill Sans MT"/>
          <w:color w:val="161616"/>
        </w:rPr>
        <w:t>a</w:t>
      </w:r>
      <w:r>
        <w:rPr>
          <w:rFonts w:ascii="Gill Sans MT" w:hAnsi="Gill Sans MT" w:cs="Gill Sans MT"/>
          <w:color w:val="161616"/>
          <w:spacing w:val="-14"/>
        </w:rPr>
        <w:t xml:space="preserve"> </w:t>
      </w:r>
      <w:r>
        <w:rPr>
          <w:rFonts w:ascii="Gill Sans MT" w:hAnsi="Gill Sans MT" w:cs="Gill Sans MT"/>
          <w:color w:val="161616"/>
        </w:rPr>
        <w:t>project-based,</w:t>
      </w:r>
      <w:r>
        <w:rPr>
          <w:rFonts w:ascii="Gill Sans MT" w:hAnsi="Gill Sans MT" w:cs="Gill Sans MT"/>
          <w:color w:val="161616"/>
          <w:spacing w:val="-12"/>
        </w:rPr>
        <w:t xml:space="preserve"> </w:t>
      </w:r>
      <w:r>
        <w:rPr>
          <w:rFonts w:ascii="Gill Sans MT" w:hAnsi="Gill Sans MT" w:cs="Gill Sans MT"/>
          <w:color w:val="161616"/>
        </w:rPr>
        <w:t>contract</w:t>
      </w:r>
      <w:r>
        <w:rPr>
          <w:rFonts w:ascii="Gill Sans MT" w:hAnsi="Gill Sans MT" w:cs="Gill Sans MT"/>
          <w:color w:val="161616"/>
          <w:spacing w:val="-10"/>
        </w:rPr>
        <w:t xml:space="preserve"> </w:t>
      </w:r>
      <w:r>
        <w:rPr>
          <w:rFonts w:ascii="Gill Sans MT" w:hAnsi="Gill Sans MT" w:cs="Gill Sans MT"/>
          <w:color w:val="161616"/>
        </w:rPr>
        <w:t>basis,</w:t>
      </w:r>
      <w:r>
        <w:rPr>
          <w:rFonts w:ascii="Gill Sans MT" w:hAnsi="Gill Sans MT" w:cs="Gill Sans MT"/>
          <w:color w:val="161616"/>
          <w:spacing w:val="-12"/>
        </w:rPr>
        <w:t xml:space="preserve"> </w:t>
      </w:r>
      <w:r>
        <w:rPr>
          <w:rFonts w:ascii="Gill Sans MT" w:hAnsi="Gill Sans MT" w:cs="Gill Sans MT"/>
          <w:color w:val="161616"/>
        </w:rPr>
        <w:t>meaning</w:t>
      </w:r>
      <w:r>
        <w:rPr>
          <w:rFonts w:ascii="Gill Sans MT" w:hAnsi="Gill Sans MT" w:cs="Gill Sans MT"/>
          <w:color w:val="161616"/>
          <w:spacing w:val="-12"/>
        </w:rPr>
        <w:t xml:space="preserve"> </w:t>
      </w:r>
      <w:r>
        <w:rPr>
          <w:rFonts w:ascii="Gill Sans MT" w:hAnsi="Gill Sans MT" w:cs="Gill Sans MT"/>
          <w:color w:val="161616"/>
        </w:rPr>
        <w:t>the</w:t>
      </w:r>
      <w:r>
        <w:rPr>
          <w:rFonts w:ascii="Gill Sans MT" w:hAnsi="Gill Sans MT" w:cs="Gill Sans MT"/>
          <w:color w:val="161616"/>
          <w:spacing w:val="-12"/>
        </w:rPr>
        <w:t xml:space="preserve"> </w:t>
      </w:r>
      <w:r>
        <w:rPr>
          <w:rFonts w:ascii="Gill Sans MT" w:hAnsi="Gill Sans MT" w:cs="Gill Sans MT"/>
          <w:color w:val="161616"/>
        </w:rPr>
        <w:t>bulk</w:t>
      </w:r>
      <w:r>
        <w:rPr>
          <w:rFonts w:ascii="Gill Sans MT" w:hAnsi="Gill Sans MT" w:cs="Gill Sans MT"/>
          <w:color w:val="161616"/>
          <w:spacing w:val="-12"/>
        </w:rPr>
        <w:t xml:space="preserve"> </w:t>
      </w:r>
      <w:r>
        <w:rPr>
          <w:rFonts w:ascii="Gill Sans MT" w:hAnsi="Gill Sans MT" w:cs="Gill Sans MT"/>
          <w:color w:val="161616"/>
        </w:rPr>
        <w:t>of</w:t>
      </w:r>
      <w:r>
        <w:rPr>
          <w:rFonts w:ascii="Gill Sans MT" w:hAnsi="Gill Sans MT" w:cs="Gill Sans MT"/>
          <w:color w:val="161616"/>
          <w:spacing w:val="-11"/>
        </w:rPr>
        <w:t xml:space="preserve"> </w:t>
      </w:r>
      <w:r>
        <w:rPr>
          <w:rFonts w:ascii="Gill Sans MT" w:hAnsi="Gill Sans MT" w:cs="Gill Sans MT"/>
          <w:color w:val="161616"/>
        </w:rPr>
        <w:t>our</w:t>
      </w:r>
      <w:r>
        <w:rPr>
          <w:rFonts w:ascii="Gill Sans MT" w:hAnsi="Gill Sans MT" w:cs="Gill Sans MT"/>
          <w:color w:val="161616"/>
          <w:spacing w:val="-12"/>
        </w:rPr>
        <w:t xml:space="preserve"> </w:t>
      </w:r>
      <w:r>
        <w:rPr>
          <w:rFonts w:ascii="Gill Sans MT" w:hAnsi="Gill Sans MT" w:cs="Gill Sans MT"/>
          <w:color w:val="161616"/>
        </w:rPr>
        <w:t>funding</w:t>
      </w:r>
      <w:r>
        <w:rPr>
          <w:rFonts w:ascii="Gill Sans MT" w:hAnsi="Gill Sans MT" w:cs="Gill Sans MT"/>
          <w:color w:val="161616"/>
          <w:spacing w:val="-14"/>
        </w:rPr>
        <w:t xml:space="preserve"> </w:t>
      </w:r>
      <w:r>
        <w:rPr>
          <w:rFonts w:ascii="Gill Sans MT" w:hAnsi="Gill Sans MT" w:cs="Gill Sans MT"/>
          <w:color w:val="161616"/>
        </w:rPr>
        <w:t>comes</w:t>
      </w:r>
      <w:r>
        <w:rPr>
          <w:rFonts w:ascii="Gill Sans MT" w:hAnsi="Gill Sans MT" w:cs="Gill Sans MT"/>
          <w:color w:val="161616"/>
          <w:spacing w:val="-15"/>
        </w:rPr>
        <w:t xml:space="preserve"> </w:t>
      </w:r>
      <w:r>
        <w:rPr>
          <w:rFonts w:ascii="Gill Sans MT" w:hAnsi="Gill Sans MT" w:cs="Gill Sans MT"/>
          <w:color w:val="161616"/>
        </w:rPr>
        <w:t>from healthcare</w:t>
      </w:r>
      <w:r>
        <w:rPr>
          <w:rFonts w:ascii="Gill Sans MT" w:hAnsi="Gill Sans MT" w:cs="Gill Sans MT"/>
          <w:color w:val="161616"/>
          <w:spacing w:val="-18"/>
        </w:rPr>
        <w:t xml:space="preserve"> </w:t>
      </w:r>
      <w:r>
        <w:rPr>
          <w:rFonts w:ascii="Gill Sans MT" w:hAnsi="Gill Sans MT" w:cs="Gill Sans MT"/>
          <w:color w:val="161616"/>
        </w:rPr>
        <w:t>and</w:t>
      </w:r>
      <w:r>
        <w:rPr>
          <w:rFonts w:ascii="Gill Sans MT" w:hAnsi="Gill Sans MT" w:cs="Gill Sans MT"/>
          <w:color w:val="161616"/>
          <w:spacing w:val="-19"/>
        </w:rPr>
        <w:t xml:space="preserve"> </w:t>
      </w:r>
      <w:r>
        <w:rPr>
          <w:rFonts w:ascii="Gill Sans MT" w:hAnsi="Gill Sans MT" w:cs="Gill Sans MT"/>
          <w:color w:val="161616"/>
        </w:rPr>
        <w:t>human</w:t>
      </w:r>
      <w:r>
        <w:rPr>
          <w:rFonts w:ascii="Gill Sans MT" w:hAnsi="Gill Sans MT" w:cs="Gill Sans MT"/>
          <w:color w:val="161616"/>
          <w:spacing w:val="-18"/>
        </w:rPr>
        <w:t xml:space="preserve"> </w:t>
      </w:r>
      <w:r>
        <w:rPr>
          <w:rFonts w:ascii="Gill Sans MT" w:hAnsi="Gill Sans MT" w:cs="Gill Sans MT"/>
          <w:color w:val="161616"/>
        </w:rPr>
        <w:t>services</w:t>
      </w:r>
      <w:r>
        <w:rPr>
          <w:rFonts w:ascii="Gill Sans MT" w:hAnsi="Gill Sans MT" w:cs="Gill Sans MT"/>
          <w:color w:val="161616"/>
          <w:spacing w:val="-18"/>
        </w:rPr>
        <w:t xml:space="preserve"> </w:t>
      </w:r>
      <w:r>
        <w:rPr>
          <w:rFonts w:ascii="Gill Sans MT" w:hAnsi="Gill Sans MT" w:cs="Gill Sans MT"/>
          <w:color w:val="161616"/>
        </w:rPr>
        <w:t>entities</w:t>
      </w:r>
      <w:r>
        <w:rPr>
          <w:rFonts w:ascii="Gill Sans MT" w:hAnsi="Gill Sans MT" w:cs="Gill Sans MT"/>
          <w:color w:val="161616"/>
          <w:spacing w:val="-18"/>
        </w:rPr>
        <w:t xml:space="preserve"> </w:t>
      </w:r>
      <w:r>
        <w:rPr>
          <w:rFonts w:ascii="Gill Sans MT" w:hAnsi="Gill Sans MT" w:cs="Gill Sans MT"/>
          <w:color w:val="161616"/>
        </w:rPr>
        <w:t>that</w:t>
      </w:r>
      <w:r>
        <w:rPr>
          <w:rFonts w:ascii="Gill Sans MT" w:hAnsi="Gill Sans MT" w:cs="Gill Sans MT"/>
          <w:color w:val="161616"/>
          <w:spacing w:val="-17"/>
        </w:rPr>
        <w:t xml:space="preserve"> </w:t>
      </w:r>
      <w:r>
        <w:rPr>
          <w:rFonts w:ascii="Gill Sans MT" w:hAnsi="Gill Sans MT" w:cs="Gill Sans MT"/>
          <w:color w:val="161616"/>
        </w:rPr>
        <w:t>understand</w:t>
      </w:r>
      <w:r>
        <w:rPr>
          <w:rFonts w:ascii="Gill Sans MT" w:hAnsi="Gill Sans MT" w:cs="Gill Sans MT"/>
          <w:color w:val="161616"/>
          <w:spacing w:val="-18"/>
        </w:rPr>
        <w:t xml:space="preserve"> </w:t>
      </w:r>
      <w:r>
        <w:rPr>
          <w:rFonts w:ascii="Gill Sans MT" w:hAnsi="Gill Sans MT" w:cs="Gill Sans MT"/>
          <w:color w:val="161616"/>
        </w:rPr>
        <w:t>and</w:t>
      </w:r>
      <w:r>
        <w:rPr>
          <w:rFonts w:ascii="Gill Sans MT" w:hAnsi="Gill Sans MT" w:cs="Gill Sans MT"/>
          <w:color w:val="161616"/>
          <w:spacing w:val="-18"/>
        </w:rPr>
        <w:t xml:space="preserve"> </w:t>
      </w:r>
      <w:r>
        <w:rPr>
          <w:rFonts w:ascii="Gill Sans MT" w:hAnsi="Gill Sans MT" w:cs="Gill Sans MT"/>
          <w:color w:val="161616"/>
        </w:rPr>
        <w:t>support</w:t>
      </w:r>
      <w:r>
        <w:rPr>
          <w:rFonts w:ascii="Gill Sans MT" w:hAnsi="Gill Sans MT" w:cs="Gill Sans MT"/>
          <w:color w:val="161616"/>
          <w:spacing w:val="-14"/>
        </w:rPr>
        <w:t xml:space="preserve"> </w:t>
      </w:r>
      <w:r>
        <w:rPr>
          <w:rFonts w:ascii="Gill Sans MT" w:hAnsi="Gill Sans MT" w:cs="Gill Sans MT"/>
          <w:color w:val="161616"/>
        </w:rPr>
        <w:t>our</w:t>
      </w:r>
      <w:r>
        <w:rPr>
          <w:rFonts w:ascii="Gill Sans MT" w:hAnsi="Gill Sans MT" w:cs="Gill Sans MT"/>
          <w:color w:val="161616"/>
          <w:spacing w:val="-16"/>
        </w:rPr>
        <w:t xml:space="preserve"> </w:t>
      </w:r>
      <w:r>
        <w:rPr>
          <w:rFonts w:ascii="Gill Sans MT" w:hAnsi="Gill Sans MT" w:cs="Gill Sans MT"/>
          <w:color w:val="161616"/>
        </w:rPr>
        <w:t>consumer-driven</w:t>
      </w:r>
      <w:r>
        <w:rPr>
          <w:rFonts w:ascii="Gill Sans MT" w:hAnsi="Gill Sans MT" w:cs="Gill Sans MT"/>
          <w:color w:val="161616"/>
          <w:spacing w:val="-18"/>
        </w:rPr>
        <w:t xml:space="preserve"> </w:t>
      </w:r>
      <w:r>
        <w:rPr>
          <w:rFonts w:ascii="Gill Sans MT" w:hAnsi="Gill Sans MT" w:cs="Gill Sans MT"/>
          <w:color w:val="161616"/>
        </w:rPr>
        <w:t>mission.</w:t>
      </w:r>
      <w:r>
        <w:rPr>
          <w:rFonts w:ascii="Gill Sans MT" w:hAnsi="Gill Sans MT" w:cs="Gill Sans MT"/>
          <w:color w:val="161616"/>
          <w:spacing w:val="-18"/>
        </w:rPr>
        <w:t xml:space="preserve"> </w:t>
      </w:r>
      <w:r>
        <w:rPr>
          <w:rFonts w:ascii="Gill Sans MT" w:hAnsi="Gill Sans MT" w:cs="Gill Sans MT"/>
          <w:color w:val="161616"/>
        </w:rPr>
        <w:t>Our</w:t>
      </w:r>
      <w:r>
        <w:rPr>
          <w:rFonts w:ascii="Gill Sans MT" w:hAnsi="Gill Sans MT" w:cs="Gill Sans MT"/>
          <w:color w:val="161616"/>
          <w:spacing w:val="-18"/>
        </w:rPr>
        <w:t xml:space="preserve"> </w:t>
      </w:r>
      <w:r>
        <w:rPr>
          <w:rFonts w:ascii="Gill Sans MT" w:hAnsi="Gill Sans MT" w:cs="Gill Sans MT"/>
          <w:color w:val="161616"/>
        </w:rPr>
        <w:t>view</w:t>
      </w:r>
    </w:p>
    <w:p w:rsidR="002C5025" w:rsidRDefault="002C5025">
      <w:pPr>
        <w:pStyle w:val="BodyText"/>
        <w:kinsoku w:val="0"/>
        <w:overflowPunct w:val="0"/>
        <w:ind w:left="260" w:right="273"/>
        <w:rPr>
          <w:rFonts w:ascii="Gill Sans MT" w:hAnsi="Gill Sans MT" w:cs="Gill Sans MT"/>
          <w:color w:val="161616"/>
        </w:rPr>
      </w:pPr>
      <w:r>
        <w:rPr>
          <w:rFonts w:ascii="Gill Sans MT" w:hAnsi="Gill Sans MT" w:cs="Gill Sans MT"/>
          <w:color w:val="161616"/>
        </w:rPr>
        <w:t xml:space="preserve">reflects </w:t>
      </w:r>
      <w:r>
        <w:rPr>
          <w:rFonts w:ascii="Gill Sans MT" w:hAnsi="Gill Sans MT" w:cs="Gill Sans MT"/>
          <w:color w:val="161616"/>
          <w:spacing w:val="-2"/>
        </w:rPr>
        <w:t xml:space="preserve">almost </w:t>
      </w:r>
      <w:r>
        <w:rPr>
          <w:rFonts w:ascii="Gill Sans MT" w:hAnsi="Gill Sans MT" w:cs="Gill Sans MT"/>
          <w:color w:val="161616"/>
        </w:rPr>
        <w:t xml:space="preserve">25 years of experience, including participation in multiple </w:t>
      </w:r>
      <w:r>
        <w:rPr>
          <w:rFonts w:ascii="Gill Sans MT" w:hAnsi="Gill Sans MT" w:cs="Gill Sans MT"/>
          <w:color w:val="161616"/>
          <w:spacing w:val="-2"/>
        </w:rPr>
        <w:t xml:space="preserve">randomized </w:t>
      </w:r>
      <w:r>
        <w:rPr>
          <w:rFonts w:ascii="Gill Sans MT" w:hAnsi="Gill Sans MT" w:cs="Gill Sans MT"/>
          <w:color w:val="161616"/>
        </w:rPr>
        <w:t xml:space="preserve">controlled trials that </w:t>
      </w:r>
      <w:r>
        <w:rPr>
          <w:rFonts w:ascii="Gill Sans MT" w:hAnsi="Gill Sans MT" w:cs="Gill Sans MT"/>
          <w:i/>
          <w:iCs/>
          <w:color w:val="161616"/>
        </w:rPr>
        <w:t xml:space="preserve">measure </w:t>
      </w:r>
      <w:r>
        <w:rPr>
          <w:rFonts w:ascii="Gill Sans MT" w:hAnsi="Gill Sans MT" w:cs="Gill Sans MT"/>
          <w:color w:val="161616"/>
        </w:rPr>
        <w:t>– and</w:t>
      </w:r>
      <w:r>
        <w:rPr>
          <w:rFonts w:ascii="Gill Sans MT" w:hAnsi="Gill Sans MT" w:cs="Gill Sans MT"/>
          <w:color w:val="161616"/>
          <w:spacing w:val="-11"/>
        </w:rPr>
        <w:t xml:space="preserve"> </w:t>
      </w:r>
      <w:r>
        <w:rPr>
          <w:rFonts w:ascii="Gill Sans MT" w:hAnsi="Gill Sans MT" w:cs="Gill Sans MT"/>
          <w:color w:val="161616"/>
        </w:rPr>
        <w:t>in</w:t>
      </w:r>
      <w:r>
        <w:rPr>
          <w:rFonts w:ascii="Gill Sans MT" w:hAnsi="Gill Sans MT" w:cs="Gill Sans MT"/>
          <w:color w:val="161616"/>
          <w:spacing w:val="-14"/>
        </w:rPr>
        <w:t xml:space="preserve"> </w:t>
      </w:r>
      <w:r>
        <w:rPr>
          <w:rFonts w:ascii="Gill Sans MT" w:hAnsi="Gill Sans MT" w:cs="Gill Sans MT"/>
          <w:color w:val="161616"/>
        </w:rPr>
        <w:t>the</w:t>
      </w:r>
      <w:r>
        <w:rPr>
          <w:rFonts w:ascii="Gill Sans MT" w:hAnsi="Gill Sans MT" w:cs="Gill Sans MT"/>
          <w:color w:val="161616"/>
          <w:spacing w:val="-12"/>
        </w:rPr>
        <w:t xml:space="preserve"> </w:t>
      </w:r>
      <w:r>
        <w:rPr>
          <w:rFonts w:ascii="Gill Sans MT" w:hAnsi="Gill Sans MT" w:cs="Gill Sans MT"/>
          <w:color w:val="161616"/>
        </w:rPr>
        <w:t>case</w:t>
      </w:r>
      <w:r>
        <w:rPr>
          <w:rFonts w:ascii="Gill Sans MT" w:hAnsi="Gill Sans MT" w:cs="Gill Sans MT"/>
          <w:color w:val="161616"/>
          <w:spacing w:val="-12"/>
        </w:rPr>
        <w:t xml:space="preserve"> </w:t>
      </w:r>
      <w:r>
        <w:rPr>
          <w:rFonts w:ascii="Gill Sans MT" w:hAnsi="Gill Sans MT" w:cs="Gill Sans MT"/>
          <w:color w:val="161616"/>
        </w:rPr>
        <w:t>of</w:t>
      </w:r>
      <w:r>
        <w:rPr>
          <w:rFonts w:ascii="Gill Sans MT" w:hAnsi="Gill Sans MT" w:cs="Gill Sans MT"/>
          <w:color w:val="161616"/>
          <w:spacing w:val="-11"/>
        </w:rPr>
        <w:t xml:space="preserve"> </w:t>
      </w:r>
      <w:r>
        <w:rPr>
          <w:rFonts w:ascii="Gill Sans MT" w:hAnsi="Gill Sans MT" w:cs="Gill Sans MT"/>
          <w:color w:val="161616"/>
        </w:rPr>
        <w:t>the</w:t>
      </w:r>
      <w:r>
        <w:rPr>
          <w:rFonts w:ascii="Gill Sans MT" w:hAnsi="Gill Sans MT" w:cs="Gill Sans MT"/>
          <w:color w:val="161616"/>
          <w:spacing w:val="-12"/>
        </w:rPr>
        <w:t xml:space="preserve"> </w:t>
      </w:r>
      <w:r>
        <w:rPr>
          <w:rFonts w:ascii="Gill Sans MT" w:hAnsi="Gill Sans MT" w:cs="Gill Sans MT"/>
          <w:color w:val="161616"/>
        </w:rPr>
        <w:t>one</w:t>
      </w:r>
      <w:r>
        <w:rPr>
          <w:rFonts w:ascii="Gill Sans MT" w:hAnsi="Gill Sans MT" w:cs="Gill Sans MT"/>
          <w:color w:val="161616"/>
          <w:spacing w:val="-14"/>
        </w:rPr>
        <w:t xml:space="preserve"> </w:t>
      </w:r>
      <w:r>
        <w:rPr>
          <w:rFonts w:ascii="Gill Sans MT" w:hAnsi="Gill Sans MT" w:cs="Gill Sans MT"/>
          <w:color w:val="161616"/>
        </w:rPr>
        <w:t>such</w:t>
      </w:r>
      <w:r>
        <w:rPr>
          <w:rFonts w:ascii="Gill Sans MT" w:hAnsi="Gill Sans MT" w:cs="Gill Sans MT"/>
          <w:color w:val="161616"/>
          <w:spacing w:val="-14"/>
        </w:rPr>
        <w:t xml:space="preserve"> </w:t>
      </w:r>
      <w:r>
        <w:rPr>
          <w:rFonts w:ascii="Gill Sans MT" w:hAnsi="Gill Sans MT" w:cs="Gill Sans MT"/>
          <w:color w:val="161616"/>
        </w:rPr>
        <w:t>RCT</w:t>
      </w:r>
      <w:r>
        <w:rPr>
          <w:rFonts w:ascii="Gill Sans MT" w:hAnsi="Gill Sans MT" w:cs="Gill Sans MT"/>
          <w:color w:val="161616"/>
          <w:spacing w:val="-10"/>
        </w:rPr>
        <w:t xml:space="preserve"> </w:t>
      </w:r>
      <w:r>
        <w:rPr>
          <w:rFonts w:ascii="Gill Sans MT" w:hAnsi="Gill Sans MT" w:cs="Gill Sans MT"/>
          <w:color w:val="161616"/>
        </w:rPr>
        <w:t>whose</w:t>
      </w:r>
      <w:r>
        <w:rPr>
          <w:rFonts w:ascii="Gill Sans MT" w:hAnsi="Gill Sans MT" w:cs="Gill Sans MT"/>
          <w:color w:val="161616"/>
          <w:spacing w:val="-12"/>
        </w:rPr>
        <w:t xml:space="preserve"> </w:t>
      </w:r>
      <w:r>
        <w:rPr>
          <w:rFonts w:ascii="Gill Sans MT" w:hAnsi="Gill Sans MT" w:cs="Gill Sans MT"/>
          <w:color w:val="161616"/>
        </w:rPr>
        <w:t>findings</w:t>
      </w:r>
      <w:r>
        <w:rPr>
          <w:rFonts w:ascii="Gill Sans MT" w:hAnsi="Gill Sans MT" w:cs="Gill Sans MT"/>
          <w:color w:val="161616"/>
          <w:spacing w:val="-12"/>
        </w:rPr>
        <w:t xml:space="preserve"> </w:t>
      </w:r>
      <w:r>
        <w:rPr>
          <w:rFonts w:ascii="Gill Sans MT" w:hAnsi="Gill Sans MT" w:cs="Gill Sans MT"/>
          <w:color w:val="161616"/>
        </w:rPr>
        <w:t>have</w:t>
      </w:r>
      <w:r>
        <w:rPr>
          <w:rFonts w:ascii="Gill Sans MT" w:hAnsi="Gill Sans MT" w:cs="Gill Sans MT"/>
          <w:color w:val="161616"/>
          <w:spacing w:val="-12"/>
        </w:rPr>
        <w:t xml:space="preserve"> </w:t>
      </w:r>
      <w:r>
        <w:rPr>
          <w:rFonts w:ascii="Gill Sans MT" w:hAnsi="Gill Sans MT" w:cs="Gill Sans MT"/>
          <w:color w:val="161616"/>
        </w:rPr>
        <w:t>been</w:t>
      </w:r>
      <w:r>
        <w:rPr>
          <w:rFonts w:ascii="Gill Sans MT" w:hAnsi="Gill Sans MT" w:cs="Gill Sans MT"/>
          <w:color w:val="161616"/>
          <w:spacing w:val="-11"/>
        </w:rPr>
        <w:t xml:space="preserve"> </w:t>
      </w:r>
      <w:r>
        <w:rPr>
          <w:rFonts w:ascii="Gill Sans MT" w:hAnsi="Gill Sans MT" w:cs="Gill Sans MT"/>
          <w:color w:val="161616"/>
        </w:rPr>
        <w:t>published,</w:t>
      </w:r>
      <w:r>
        <w:rPr>
          <w:rFonts w:ascii="Gill Sans MT" w:hAnsi="Gill Sans MT" w:cs="Gill Sans MT"/>
          <w:color w:val="161616"/>
          <w:spacing w:val="-12"/>
        </w:rPr>
        <w:t xml:space="preserve"> </w:t>
      </w:r>
      <w:r>
        <w:rPr>
          <w:rFonts w:ascii="Gill Sans MT" w:hAnsi="Gill Sans MT" w:cs="Gill Sans MT"/>
          <w:i/>
          <w:iCs/>
          <w:color w:val="161616"/>
        </w:rPr>
        <w:t>confirm</w:t>
      </w:r>
      <w:r>
        <w:rPr>
          <w:rFonts w:ascii="Gill Sans MT" w:hAnsi="Gill Sans MT" w:cs="Gill Sans MT"/>
          <w:i/>
          <w:iCs/>
          <w:color w:val="161616"/>
          <w:spacing w:val="-12"/>
        </w:rPr>
        <w:t xml:space="preserve"> </w:t>
      </w:r>
      <w:r>
        <w:rPr>
          <w:rFonts w:ascii="Gill Sans MT" w:hAnsi="Gill Sans MT" w:cs="Gill Sans MT"/>
          <w:color w:val="161616"/>
        </w:rPr>
        <w:t>–</w:t>
      </w:r>
      <w:r>
        <w:rPr>
          <w:rFonts w:ascii="Gill Sans MT" w:hAnsi="Gill Sans MT" w:cs="Gill Sans MT"/>
          <w:color w:val="161616"/>
          <w:spacing w:val="-11"/>
        </w:rPr>
        <w:t xml:space="preserve"> </w:t>
      </w:r>
      <w:r>
        <w:rPr>
          <w:rFonts w:ascii="Gill Sans MT" w:hAnsi="Gill Sans MT" w:cs="Gill Sans MT"/>
          <w:color w:val="161616"/>
        </w:rPr>
        <w:t>how</w:t>
      </w:r>
      <w:r>
        <w:rPr>
          <w:rFonts w:ascii="Gill Sans MT" w:hAnsi="Gill Sans MT" w:cs="Gill Sans MT"/>
          <w:color w:val="161616"/>
          <w:spacing w:val="-14"/>
        </w:rPr>
        <w:t xml:space="preserve"> </w:t>
      </w:r>
      <w:r>
        <w:rPr>
          <w:rFonts w:ascii="Gill Sans MT" w:hAnsi="Gill Sans MT" w:cs="Gill Sans MT"/>
          <w:color w:val="161616"/>
        </w:rPr>
        <w:t>thoughtful,</w:t>
      </w:r>
      <w:r>
        <w:rPr>
          <w:rFonts w:ascii="Gill Sans MT" w:hAnsi="Gill Sans MT" w:cs="Gill Sans MT"/>
          <w:color w:val="161616"/>
          <w:spacing w:val="-14"/>
        </w:rPr>
        <w:t xml:space="preserve"> </w:t>
      </w:r>
      <w:r>
        <w:rPr>
          <w:rFonts w:ascii="Gill Sans MT" w:hAnsi="Gill Sans MT" w:cs="Gill Sans MT"/>
          <w:color w:val="161616"/>
        </w:rPr>
        <w:t>titrated</w:t>
      </w:r>
      <w:r>
        <w:rPr>
          <w:rFonts w:ascii="Gill Sans MT" w:hAnsi="Gill Sans MT" w:cs="Gill Sans MT"/>
          <w:color w:val="161616"/>
          <w:spacing w:val="-9"/>
        </w:rPr>
        <w:t xml:space="preserve"> </w:t>
      </w:r>
      <w:r>
        <w:rPr>
          <w:rFonts w:ascii="Gill Sans MT" w:hAnsi="Gill Sans MT" w:cs="Gill Sans MT"/>
          <w:color w:val="161616"/>
        </w:rPr>
        <w:t xml:space="preserve">integration of non-traditional workers into the healthcare team can resolve core challenges in healthcare quality </w:t>
      </w:r>
      <w:r>
        <w:rPr>
          <w:rFonts w:ascii="Gill Sans MT" w:hAnsi="Gill Sans MT" w:cs="Gill Sans MT"/>
          <w:color w:val="161616"/>
          <w:spacing w:val="-3"/>
        </w:rPr>
        <w:t xml:space="preserve">and </w:t>
      </w:r>
      <w:r>
        <w:rPr>
          <w:rFonts w:ascii="Gill Sans MT" w:hAnsi="Gill Sans MT" w:cs="Gill Sans MT"/>
          <w:color w:val="161616"/>
        </w:rPr>
        <w:t>costs. (</w:t>
      </w:r>
      <w:hyperlink r:id="rId506" w:history="1">
        <w:r>
          <w:rPr>
            <w:rFonts w:ascii="Gill Sans MT" w:hAnsi="Gill Sans MT" w:cs="Gill Sans MT"/>
            <w:color w:val="1155CC"/>
            <w:u w:val="single"/>
          </w:rPr>
          <w:t>http://www.mlpboston.org/news/298</w:t>
        </w:r>
      </w:hyperlink>
      <w:r>
        <w:rPr>
          <w:rFonts w:ascii="Gill Sans MT" w:hAnsi="Gill Sans MT" w:cs="Gill Sans MT"/>
          <w:color w:val="161616"/>
        </w:rPr>
        <w:t xml:space="preserve">) We have a seasoned, mission-centered “lens” on the opportunities </w:t>
      </w:r>
      <w:r>
        <w:rPr>
          <w:rFonts w:ascii="Gill Sans MT" w:hAnsi="Gill Sans MT" w:cs="Gill Sans MT"/>
          <w:color w:val="161616"/>
          <w:spacing w:val="-3"/>
        </w:rPr>
        <w:t xml:space="preserve">and </w:t>
      </w:r>
      <w:r>
        <w:rPr>
          <w:rFonts w:ascii="Gill Sans MT" w:hAnsi="Gill Sans MT" w:cs="Gill Sans MT"/>
          <w:color w:val="161616"/>
        </w:rPr>
        <w:t>challenges that lie ahead in revising current healthcare delivery structures to meaningfully and accountably treat The Whole</w:t>
      </w:r>
      <w:r>
        <w:rPr>
          <w:rFonts w:ascii="Gill Sans MT" w:hAnsi="Gill Sans MT" w:cs="Gill Sans MT"/>
          <w:color w:val="161616"/>
          <w:spacing w:val="-19"/>
        </w:rPr>
        <w:t xml:space="preserve"> </w:t>
      </w:r>
      <w:r>
        <w:rPr>
          <w:rFonts w:ascii="Gill Sans MT" w:hAnsi="Gill Sans MT" w:cs="Gill Sans MT"/>
          <w:color w:val="161616"/>
        </w:rPr>
        <w:t>Patient.</w:t>
      </w:r>
      <w:r>
        <w:rPr>
          <w:rFonts w:ascii="Gill Sans MT" w:hAnsi="Gill Sans MT" w:cs="Gill Sans MT"/>
          <w:color w:val="161616"/>
          <w:spacing w:val="-17"/>
        </w:rPr>
        <w:t xml:space="preserve"> </w:t>
      </w:r>
      <w:r>
        <w:rPr>
          <w:rFonts w:ascii="Gill Sans MT" w:hAnsi="Gill Sans MT" w:cs="Gill Sans MT"/>
          <w:color w:val="161616"/>
        </w:rPr>
        <w:t>Against</w:t>
      </w:r>
      <w:r>
        <w:rPr>
          <w:rFonts w:ascii="Gill Sans MT" w:hAnsi="Gill Sans MT" w:cs="Gill Sans MT"/>
          <w:color w:val="161616"/>
          <w:spacing w:val="-16"/>
        </w:rPr>
        <w:t xml:space="preserve"> </w:t>
      </w:r>
      <w:r>
        <w:rPr>
          <w:rFonts w:ascii="Gill Sans MT" w:hAnsi="Gill Sans MT" w:cs="Gill Sans MT"/>
          <w:color w:val="161616"/>
        </w:rPr>
        <w:t>this</w:t>
      </w:r>
      <w:r>
        <w:rPr>
          <w:rFonts w:ascii="Gill Sans MT" w:hAnsi="Gill Sans MT" w:cs="Gill Sans MT"/>
          <w:color w:val="161616"/>
          <w:spacing w:val="-18"/>
        </w:rPr>
        <w:t xml:space="preserve"> </w:t>
      </w:r>
      <w:r>
        <w:rPr>
          <w:rFonts w:ascii="Gill Sans MT" w:hAnsi="Gill Sans MT" w:cs="Gill Sans MT"/>
          <w:color w:val="161616"/>
        </w:rPr>
        <w:t>backdrop,</w:t>
      </w:r>
      <w:r>
        <w:rPr>
          <w:rFonts w:ascii="Gill Sans MT" w:hAnsi="Gill Sans MT" w:cs="Gill Sans MT"/>
          <w:color w:val="161616"/>
          <w:spacing w:val="-17"/>
        </w:rPr>
        <w:t xml:space="preserve"> </w:t>
      </w:r>
      <w:r>
        <w:rPr>
          <w:rFonts w:ascii="Gill Sans MT" w:hAnsi="Gill Sans MT" w:cs="Gill Sans MT"/>
          <w:color w:val="161616"/>
        </w:rPr>
        <w:t>we</w:t>
      </w:r>
      <w:r>
        <w:rPr>
          <w:rFonts w:ascii="Gill Sans MT" w:hAnsi="Gill Sans MT" w:cs="Gill Sans MT"/>
          <w:color w:val="161616"/>
          <w:spacing w:val="-17"/>
        </w:rPr>
        <w:t xml:space="preserve"> </w:t>
      </w:r>
      <w:r>
        <w:rPr>
          <w:rFonts w:ascii="Gill Sans MT" w:hAnsi="Gill Sans MT" w:cs="Gill Sans MT"/>
          <w:color w:val="161616"/>
        </w:rPr>
        <w:t>have</w:t>
      </w:r>
      <w:r>
        <w:rPr>
          <w:rFonts w:ascii="Gill Sans MT" w:hAnsi="Gill Sans MT" w:cs="Gill Sans MT"/>
          <w:color w:val="161616"/>
          <w:spacing w:val="-17"/>
        </w:rPr>
        <w:t xml:space="preserve"> </w:t>
      </w:r>
      <w:r>
        <w:rPr>
          <w:rFonts w:ascii="Gill Sans MT" w:hAnsi="Gill Sans MT" w:cs="Gill Sans MT"/>
          <w:color w:val="161616"/>
        </w:rPr>
        <w:t>prioritized</w:t>
      </w:r>
      <w:r>
        <w:rPr>
          <w:rFonts w:ascii="Gill Sans MT" w:hAnsi="Gill Sans MT" w:cs="Gill Sans MT"/>
          <w:color w:val="161616"/>
          <w:spacing w:val="-19"/>
        </w:rPr>
        <w:t xml:space="preserve"> </w:t>
      </w:r>
      <w:r>
        <w:rPr>
          <w:rFonts w:ascii="Gill Sans MT" w:hAnsi="Gill Sans MT" w:cs="Gill Sans MT"/>
          <w:color w:val="161616"/>
        </w:rPr>
        <w:t>the</w:t>
      </w:r>
      <w:r>
        <w:rPr>
          <w:rFonts w:ascii="Gill Sans MT" w:hAnsi="Gill Sans MT" w:cs="Gill Sans MT"/>
          <w:color w:val="161616"/>
          <w:spacing w:val="-17"/>
        </w:rPr>
        <w:t xml:space="preserve"> </w:t>
      </w:r>
      <w:r>
        <w:rPr>
          <w:rFonts w:ascii="Gill Sans MT" w:hAnsi="Gill Sans MT" w:cs="Gill Sans MT"/>
          <w:color w:val="161616"/>
        </w:rPr>
        <w:t>following</w:t>
      </w:r>
      <w:r>
        <w:rPr>
          <w:rFonts w:ascii="Gill Sans MT" w:hAnsi="Gill Sans MT" w:cs="Gill Sans MT"/>
          <w:color w:val="161616"/>
          <w:spacing w:val="-17"/>
        </w:rPr>
        <w:t xml:space="preserve"> </w:t>
      </w:r>
      <w:r>
        <w:rPr>
          <w:rFonts w:ascii="Gill Sans MT" w:hAnsi="Gill Sans MT" w:cs="Gill Sans MT"/>
          <w:color w:val="161616"/>
        </w:rPr>
        <w:t>observations:</w:t>
      </w:r>
    </w:p>
    <w:p w:rsidR="002C5025" w:rsidRDefault="002C5025">
      <w:pPr>
        <w:pStyle w:val="BodyText"/>
        <w:kinsoku w:val="0"/>
        <w:overflowPunct w:val="0"/>
        <w:spacing w:before="3"/>
        <w:rPr>
          <w:rFonts w:ascii="Gill Sans MT" w:hAnsi="Gill Sans MT" w:cs="Gill Sans MT"/>
          <w:sz w:val="17"/>
          <w:szCs w:val="17"/>
        </w:rPr>
      </w:pPr>
    </w:p>
    <w:p w:rsidR="002C5025" w:rsidRDefault="002C5025">
      <w:pPr>
        <w:pStyle w:val="BodyText"/>
        <w:numPr>
          <w:ilvl w:val="1"/>
          <w:numId w:val="6"/>
        </w:numPr>
        <w:tabs>
          <w:tab w:val="left" w:pos="980"/>
        </w:tabs>
        <w:kinsoku w:val="0"/>
        <w:overflowPunct w:val="0"/>
        <w:ind w:right="395"/>
        <w:rPr>
          <w:rFonts w:ascii="Gill Sans MT" w:hAnsi="Gill Sans MT" w:cs="Gill Sans MT"/>
          <w:color w:val="161616"/>
        </w:rPr>
      </w:pPr>
      <w:bookmarkStart w:id="222" w:name="_We_are_heartened_by_the_Request’s_care"/>
      <w:bookmarkEnd w:id="222"/>
      <w:r>
        <w:rPr>
          <w:rFonts w:ascii="Gill Sans MT" w:hAnsi="Gill Sans MT" w:cs="Gill Sans MT"/>
          <w:b/>
          <w:bCs/>
          <w:color w:val="161616"/>
        </w:rPr>
        <w:t>We</w:t>
      </w:r>
      <w:r>
        <w:rPr>
          <w:rFonts w:ascii="Gill Sans MT" w:hAnsi="Gill Sans MT" w:cs="Gill Sans MT"/>
          <w:b/>
          <w:bCs/>
          <w:color w:val="161616"/>
          <w:spacing w:val="-15"/>
        </w:rPr>
        <w:t xml:space="preserve"> </w:t>
      </w:r>
      <w:r>
        <w:rPr>
          <w:rFonts w:ascii="Gill Sans MT" w:hAnsi="Gill Sans MT" w:cs="Gill Sans MT"/>
          <w:b/>
          <w:bCs/>
          <w:color w:val="161616"/>
        </w:rPr>
        <w:t>are</w:t>
      </w:r>
      <w:r>
        <w:rPr>
          <w:rFonts w:ascii="Gill Sans MT" w:hAnsi="Gill Sans MT" w:cs="Gill Sans MT"/>
          <w:b/>
          <w:bCs/>
          <w:color w:val="161616"/>
          <w:spacing w:val="-15"/>
        </w:rPr>
        <w:t xml:space="preserve"> </w:t>
      </w:r>
      <w:r>
        <w:rPr>
          <w:rFonts w:ascii="Gill Sans MT" w:hAnsi="Gill Sans MT" w:cs="Gill Sans MT"/>
          <w:b/>
          <w:bCs/>
          <w:color w:val="161616"/>
        </w:rPr>
        <w:t>heartened</w:t>
      </w:r>
      <w:r>
        <w:rPr>
          <w:rFonts w:ascii="Gill Sans MT" w:hAnsi="Gill Sans MT" w:cs="Gill Sans MT"/>
          <w:b/>
          <w:bCs/>
          <w:color w:val="161616"/>
          <w:spacing w:val="-15"/>
        </w:rPr>
        <w:t xml:space="preserve"> </w:t>
      </w:r>
      <w:r>
        <w:rPr>
          <w:rFonts w:ascii="Gill Sans MT" w:hAnsi="Gill Sans MT" w:cs="Gill Sans MT"/>
          <w:b/>
          <w:bCs/>
          <w:color w:val="161616"/>
        </w:rPr>
        <w:t>by</w:t>
      </w:r>
      <w:r>
        <w:rPr>
          <w:rFonts w:ascii="Gill Sans MT" w:hAnsi="Gill Sans MT" w:cs="Gill Sans MT"/>
          <w:b/>
          <w:bCs/>
          <w:color w:val="161616"/>
          <w:spacing w:val="-13"/>
        </w:rPr>
        <w:t xml:space="preserve"> </w:t>
      </w:r>
      <w:r>
        <w:rPr>
          <w:rFonts w:ascii="Gill Sans MT" w:hAnsi="Gill Sans MT" w:cs="Gill Sans MT"/>
          <w:b/>
          <w:bCs/>
          <w:color w:val="161616"/>
          <w:spacing w:val="-2"/>
        </w:rPr>
        <w:t>the</w:t>
      </w:r>
      <w:r>
        <w:rPr>
          <w:rFonts w:ascii="Gill Sans MT" w:hAnsi="Gill Sans MT" w:cs="Gill Sans MT"/>
          <w:b/>
          <w:bCs/>
          <w:color w:val="161616"/>
          <w:spacing w:val="-13"/>
        </w:rPr>
        <w:t xml:space="preserve"> </w:t>
      </w:r>
      <w:r>
        <w:rPr>
          <w:rFonts w:ascii="Gill Sans MT" w:hAnsi="Gill Sans MT" w:cs="Gill Sans MT"/>
          <w:b/>
          <w:bCs/>
          <w:color w:val="161616"/>
        </w:rPr>
        <w:t>Request’s</w:t>
      </w:r>
      <w:r>
        <w:rPr>
          <w:rFonts w:ascii="Gill Sans MT" w:hAnsi="Gill Sans MT" w:cs="Gill Sans MT"/>
          <w:b/>
          <w:bCs/>
          <w:color w:val="161616"/>
          <w:spacing w:val="-15"/>
        </w:rPr>
        <w:t xml:space="preserve"> </w:t>
      </w:r>
      <w:r>
        <w:rPr>
          <w:rFonts w:ascii="Gill Sans MT" w:hAnsi="Gill Sans MT" w:cs="Gill Sans MT"/>
          <w:b/>
          <w:bCs/>
          <w:color w:val="161616"/>
        </w:rPr>
        <w:t>careful</w:t>
      </w:r>
      <w:r>
        <w:rPr>
          <w:rFonts w:ascii="Gill Sans MT" w:hAnsi="Gill Sans MT" w:cs="Gill Sans MT"/>
          <w:b/>
          <w:bCs/>
          <w:color w:val="161616"/>
          <w:spacing w:val="-15"/>
        </w:rPr>
        <w:t xml:space="preserve"> </w:t>
      </w:r>
      <w:r>
        <w:rPr>
          <w:rFonts w:ascii="Gill Sans MT" w:hAnsi="Gill Sans MT" w:cs="Gill Sans MT"/>
          <w:b/>
          <w:bCs/>
          <w:color w:val="161616"/>
        </w:rPr>
        <w:t>planning</w:t>
      </w:r>
      <w:r>
        <w:rPr>
          <w:rFonts w:ascii="Gill Sans MT" w:hAnsi="Gill Sans MT" w:cs="Gill Sans MT"/>
          <w:b/>
          <w:bCs/>
          <w:color w:val="161616"/>
          <w:spacing w:val="-15"/>
        </w:rPr>
        <w:t xml:space="preserve"> </w:t>
      </w:r>
      <w:r>
        <w:rPr>
          <w:rFonts w:ascii="Gill Sans MT" w:hAnsi="Gill Sans MT" w:cs="Gill Sans MT"/>
          <w:b/>
          <w:bCs/>
          <w:color w:val="161616"/>
        </w:rPr>
        <w:t>to</w:t>
      </w:r>
      <w:r>
        <w:rPr>
          <w:rFonts w:ascii="Gill Sans MT" w:hAnsi="Gill Sans MT" w:cs="Gill Sans MT"/>
          <w:b/>
          <w:bCs/>
          <w:color w:val="161616"/>
          <w:spacing w:val="-15"/>
        </w:rPr>
        <w:t xml:space="preserve"> </w:t>
      </w:r>
      <w:r>
        <w:rPr>
          <w:rFonts w:ascii="Gill Sans MT" w:hAnsi="Gill Sans MT" w:cs="Gill Sans MT"/>
          <w:b/>
          <w:bCs/>
          <w:color w:val="161616"/>
        </w:rPr>
        <w:t>assure</w:t>
      </w:r>
      <w:r>
        <w:rPr>
          <w:rFonts w:ascii="Gill Sans MT" w:hAnsi="Gill Sans MT" w:cs="Gill Sans MT"/>
          <w:b/>
          <w:bCs/>
          <w:color w:val="161616"/>
          <w:spacing w:val="-13"/>
        </w:rPr>
        <w:t xml:space="preserve"> </w:t>
      </w:r>
      <w:r>
        <w:rPr>
          <w:rFonts w:ascii="Gill Sans MT" w:hAnsi="Gill Sans MT" w:cs="Gill Sans MT"/>
          <w:b/>
          <w:bCs/>
          <w:color w:val="161616"/>
        </w:rPr>
        <w:t>that</w:t>
      </w:r>
      <w:r>
        <w:rPr>
          <w:rFonts w:ascii="Gill Sans MT" w:hAnsi="Gill Sans MT" w:cs="Gill Sans MT"/>
          <w:b/>
          <w:bCs/>
          <w:color w:val="161616"/>
          <w:spacing w:val="-16"/>
        </w:rPr>
        <w:t xml:space="preserve"> </w:t>
      </w:r>
      <w:r>
        <w:rPr>
          <w:rFonts w:ascii="Gill Sans MT" w:hAnsi="Gill Sans MT" w:cs="Gill Sans MT"/>
          <w:b/>
          <w:bCs/>
          <w:color w:val="161616"/>
        </w:rPr>
        <w:t>the</w:t>
      </w:r>
      <w:r>
        <w:rPr>
          <w:rFonts w:ascii="Gill Sans MT" w:hAnsi="Gill Sans MT" w:cs="Gill Sans MT"/>
          <w:b/>
          <w:bCs/>
          <w:color w:val="161616"/>
          <w:spacing w:val="-13"/>
        </w:rPr>
        <w:t xml:space="preserve"> </w:t>
      </w:r>
      <w:r>
        <w:rPr>
          <w:rFonts w:ascii="Gill Sans MT" w:hAnsi="Gill Sans MT" w:cs="Gill Sans MT"/>
          <w:b/>
          <w:bCs/>
          <w:color w:val="161616"/>
        </w:rPr>
        <w:t>transition</w:t>
      </w:r>
      <w:r>
        <w:rPr>
          <w:rFonts w:ascii="Gill Sans MT" w:hAnsi="Gill Sans MT" w:cs="Gill Sans MT"/>
          <w:b/>
          <w:bCs/>
          <w:color w:val="161616"/>
          <w:spacing w:val="-12"/>
        </w:rPr>
        <w:t xml:space="preserve"> </w:t>
      </w:r>
      <w:r>
        <w:rPr>
          <w:rFonts w:ascii="Gill Sans MT" w:hAnsi="Gill Sans MT" w:cs="Gill Sans MT"/>
          <w:b/>
          <w:bCs/>
          <w:color w:val="161616"/>
        </w:rPr>
        <w:t>to</w:t>
      </w:r>
      <w:r>
        <w:rPr>
          <w:rFonts w:ascii="Gill Sans MT" w:hAnsi="Gill Sans MT" w:cs="Gill Sans MT"/>
          <w:b/>
          <w:bCs/>
          <w:color w:val="161616"/>
          <w:spacing w:val="-15"/>
        </w:rPr>
        <w:t xml:space="preserve"> </w:t>
      </w:r>
      <w:r>
        <w:rPr>
          <w:rFonts w:ascii="Gill Sans MT" w:hAnsi="Gill Sans MT" w:cs="Gill Sans MT"/>
          <w:b/>
          <w:bCs/>
          <w:color w:val="161616"/>
        </w:rPr>
        <w:t>value-based care</w:t>
      </w:r>
      <w:r>
        <w:rPr>
          <w:rFonts w:ascii="Gill Sans MT" w:hAnsi="Gill Sans MT" w:cs="Gill Sans MT"/>
          <w:b/>
          <w:bCs/>
          <w:color w:val="161616"/>
          <w:spacing w:val="-15"/>
        </w:rPr>
        <w:t xml:space="preserve"> </w:t>
      </w:r>
      <w:r>
        <w:rPr>
          <w:rFonts w:ascii="Gill Sans MT" w:hAnsi="Gill Sans MT" w:cs="Gill Sans MT"/>
          <w:b/>
          <w:bCs/>
          <w:color w:val="161616"/>
        </w:rPr>
        <w:t>accounts</w:t>
      </w:r>
      <w:r>
        <w:rPr>
          <w:rFonts w:ascii="Gill Sans MT" w:hAnsi="Gill Sans MT" w:cs="Gill Sans MT"/>
          <w:b/>
          <w:bCs/>
          <w:color w:val="161616"/>
          <w:spacing w:val="-16"/>
        </w:rPr>
        <w:t xml:space="preserve"> </w:t>
      </w:r>
      <w:r>
        <w:rPr>
          <w:rFonts w:ascii="Gill Sans MT" w:hAnsi="Gill Sans MT" w:cs="Gill Sans MT"/>
          <w:b/>
          <w:bCs/>
          <w:color w:val="161616"/>
        </w:rPr>
        <w:t>for</w:t>
      </w:r>
      <w:r>
        <w:rPr>
          <w:rFonts w:ascii="Gill Sans MT" w:hAnsi="Gill Sans MT" w:cs="Gill Sans MT"/>
          <w:b/>
          <w:bCs/>
          <w:color w:val="161616"/>
          <w:spacing w:val="-14"/>
        </w:rPr>
        <w:t xml:space="preserve"> </w:t>
      </w:r>
      <w:r>
        <w:rPr>
          <w:rFonts w:ascii="Gill Sans MT" w:hAnsi="Gill Sans MT" w:cs="Gill Sans MT"/>
          <w:b/>
          <w:bCs/>
          <w:color w:val="161616"/>
        </w:rPr>
        <w:t>extra</w:t>
      </w:r>
      <w:r>
        <w:rPr>
          <w:rFonts w:ascii="Gill Sans MT" w:hAnsi="Gill Sans MT" w:cs="Gill Sans MT"/>
          <w:b/>
          <w:bCs/>
          <w:color w:val="161616"/>
          <w:spacing w:val="-18"/>
        </w:rPr>
        <w:t xml:space="preserve"> </w:t>
      </w:r>
      <w:r>
        <w:rPr>
          <w:rFonts w:ascii="Gill Sans MT" w:hAnsi="Gill Sans MT" w:cs="Gill Sans MT"/>
          <w:b/>
          <w:bCs/>
          <w:color w:val="161616"/>
        </w:rPr>
        <w:t>costs</w:t>
      </w:r>
      <w:r>
        <w:rPr>
          <w:rFonts w:ascii="Gill Sans MT" w:hAnsi="Gill Sans MT" w:cs="Gill Sans MT"/>
          <w:b/>
          <w:bCs/>
          <w:color w:val="161616"/>
          <w:spacing w:val="-18"/>
        </w:rPr>
        <w:t xml:space="preserve"> </w:t>
      </w:r>
      <w:r>
        <w:rPr>
          <w:rFonts w:ascii="Gill Sans MT" w:hAnsi="Gill Sans MT" w:cs="Gill Sans MT"/>
          <w:b/>
          <w:bCs/>
          <w:color w:val="161616"/>
        </w:rPr>
        <w:t>borne</w:t>
      </w:r>
      <w:r>
        <w:rPr>
          <w:rFonts w:ascii="Gill Sans MT" w:hAnsi="Gill Sans MT" w:cs="Gill Sans MT"/>
          <w:b/>
          <w:bCs/>
          <w:color w:val="161616"/>
          <w:spacing w:val="-15"/>
        </w:rPr>
        <w:t xml:space="preserve"> </w:t>
      </w:r>
      <w:r>
        <w:rPr>
          <w:rFonts w:ascii="Gill Sans MT" w:hAnsi="Gill Sans MT" w:cs="Gill Sans MT"/>
          <w:b/>
          <w:bCs/>
          <w:color w:val="161616"/>
        </w:rPr>
        <w:t>by</w:t>
      </w:r>
      <w:r>
        <w:rPr>
          <w:rFonts w:ascii="Gill Sans MT" w:hAnsi="Gill Sans MT" w:cs="Gill Sans MT"/>
          <w:b/>
          <w:bCs/>
          <w:color w:val="161616"/>
          <w:spacing w:val="-18"/>
        </w:rPr>
        <w:t xml:space="preserve"> </w:t>
      </w:r>
      <w:r>
        <w:rPr>
          <w:rFonts w:ascii="Gill Sans MT" w:hAnsi="Gill Sans MT" w:cs="Gill Sans MT"/>
          <w:b/>
          <w:bCs/>
          <w:color w:val="161616"/>
        </w:rPr>
        <w:t>Disproportionate</w:t>
      </w:r>
      <w:r>
        <w:rPr>
          <w:rFonts w:ascii="Gill Sans MT" w:hAnsi="Gill Sans MT" w:cs="Gill Sans MT"/>
          <w:b/>
          <w:bCs/>
          <w:color w:val="161616"/>
          <w:spacing w:val="-18"/>
        </w:rPr>
        <w:t xml:space="preserve"> </w:t>
      </w:r>
      <w:r>
        <w:rPr>
          <w:rFonts w:ascii="Gill Sans MT" w:hAnsi="Gill Sans MT" w:cs="Gill Sans MT"/>
          <w:b/>
          <w:bCs/>
          <w:color w:val="161616"/>
        </w:rPr>
        <w:t>Share</w:t>
      </w:r>
      <w:r>
        <w:rPr>
          <w:rFonts w:ascii="Gill Sans MT" w:hAnsi="Gill Sans MT" w:cs="Gill Sans MT"/>
          <w:b/>
          <w:bCs/>
          <w:color w:val="161616"/>
          <w:spacing w:val="-15"/>
        </w:rPr>
        <w:t xml:space="preserve"> </w:t>
      </w:r>
      <w:r>
        <w:rPr>
          <w:rFonts w:ascii="Gill Sans MT" w:hAnsi="Gill Sans MT" w:cs="Gill Sans MT"/>
          <w:b/>
          <w:bCs/>
          <w:color w:val="161616"/>
        </w:rPr>
        <w:t>Hospitals.</w:t>
      </w:r>
      <w:r>
        <w:rPr>
          <w:rFonts w:ascii="Gill Sans MT" w:hAnsi="Gill Sans MT" w:cs="Gill Sans MT"/>
          <w:b/>
          <w:bCs/>
          <w:color w:val="161616"/>
          <w:spacing w:val="-18"/>
        </w:rPr>
        <w:t xml:space="preserve"> </w:t>
      </w:r>
      <w:r>
        <w:rPr>
          <w:rFonts w:ascii="Gill Sans MT" w:hAnsi="Gill Sans MT" w:cs="Gill Sans MT"/>
          <w:color w:val="161616"/>
        </w:rPr>
        <w:t>The</w:t>
      </w:r>
      <w:r>
        <w:rPr>
          <w:rFonts w:ascii="Gill Sans MT" w:hAnsi="Gill Sans MT" w:cs="Gill Sans MT"/>
          <w:color w:val="161616"/>
          <w:spacing w:val="-18"/>
        </w:rPr>
        <w:t xml:space="preserve"> </w:t>
      </w:r>
      <w:r>
        <w:rPr>
          <w:rFonts w:ascii="Gill Sans MT" w:hAnsi="Gill Sans MT" w:cs="Gill Sans MT"/>
          <w:color w:val="161616"/>
        </w:rPr>
        <w:t>Request</w:t>
      </w:r>
      <w:r>
        <w:rPr>
          <w:rFonts w:ascii="Gill Sans MT" w:hAnsi="Gill Sans MT" w:cs="Gill Sans MT"/>
          <w:color w:val="161616"/>
          <w:spacing w:val="-15"/>
        </w:rPr>
        <w:t xml:space="preserve"> </w:t>
      </w:r>
      <w:r>
        <w:rPr>
          <w:rFonts w:ascii="Gill Sans MT" w:hAnsi="Gill Sans MT" w:cs="Gill Sans MT"/>
          <w:color w:val="161616"/>
        </w:rPr>
        <w:t>candidly</w:t>
      </w:r>
    </w:p>
    <w:p w:rsidR="002C5025" w:rsidRDefault="002C5025">
      <w:pPr>
        <w:pStyle w:val="BodyText"/>
        <w:kinsoku w:val="0"/>
        <w:overflowPunct w:val="0"/>
        <w:spacing w:before="1"/>
        <w:ind w:left="260" w:right="174" w:hanging="1"/>
        <w:rPr>
          <w:rFonts w:ascii="Gill Sans MT" w:hAnsi="Gill Sans MT" w:cs="Gill Sans MT"/>
          <w:color w:val="161616"/>
        </w:rPr>
      </w:pPr>
      <w:r>
        <w:rPr>
          <w:rFonts w:ascii="Gill Sans MT" w:hAnsi="Gill Sans MT" w:cs="Gill Sans MT"/>
          <w:color w:val="161616"/>
        </w:rPr>
        <w:t>acknowledges that payer reimbursements do not always cover providers' full costs of delivering care, especially for particularly</w:t>
      </w:r>
      <w:r>
        <w:rPr>
          <w:rFonts w:ascii="Gill Sans MT" w:hAnsi="Gill Sans MT" w:cs="Gill Sans MT"/>
          <w:color w:val="161616"/>
          <w:spacing w:val="-14"/>
        </w:rPr>
        <w:t xml:space="preserve"> </w:t>
      </w:r>
      <w:r>
        <w:rPr>
          <w:rFonts w:ascii="Gill Sans MT" w:hAnsi="Gill Sans MT" w:cs="Gill Sans MT"/>
          <w:color w:val="161616"/>
        </w:rPr>
        <w:t>complex</w:t>
      </w:r>
      <w:r>
        <w:rPr>
          <w:rFonts w:ascii="Gill Sans MT" w:hAnsi="Gill Sans MT" w:cs="Gill Sans MT"/>
          <w:color w:val="161616"/>
          <w:spacing w:val="-12"/>
        </w:rPr>
        <w:t xml:space="preserve"> </w:t>
      </w:r>
      <w:r>
        <w:rPr>
          <w:rFonts w:ascii="Gill Sans MT" w:hAnsi="Gill Sans MT" w:cs="Gill Sans MT"/>
          <w:color w:val="161616"/>
        </w:rPr>
        <w:t>or</w:t>
      </w:r>
      <w:r>
        <w:rPr>
          <w:rFonts w:ascii="Gill Sans MT" w:hAnsi="Gill Sans MT" w:cs="Gill Sans MT"/>
          <w:color w:val="161616"/>
          <w:spacing w:val="-13"/>
        </w:rPr>
        <w:t xml:space="preserve"> </w:t>
      </w:r>
      <w:r>
        <w:rPr>
          <w:rFonts w:ascii="Gill Sans MT" w:hAnsi="Gill Sans MT" w:cs="Gill Sans MT"/>
          <w:color w:val="161616"/>
        </w:rPr>
        <w:t>vulnerable</w:t>
      </w:r>
      <w:r>
        <w:rPr>
          <w:rFonts w:ascii="Gill Sans MT" w:hAnsi="Gill Sans MT" w:cs="Gill Sans MT"/>
          <w:color w:val="161616"/>
          <w:spacing w:val="-14"/>
        </w:rPr>
        <w:t xml:space="preserve"> </w:t>
      </w:r>
      <w:r>
        <w:rPr>
          <w:rFonts w:ascii="Gill Sans MT" w:hAnsi="Gill Sans MT" w:cs="Gill Sans MT"/>
          <w:color w:val="161616"/>
        </w:rPr>
        <w:t>populations.</w:t>
      </w:r>
      <w:r>
        <w:rPr>
          <w:rFonts w:ascii="Gill Sans MT" w:hAnsi="Gill Sans MT" w:cs="Gill Sans MT"/>
          <w:color w:val="161616"/>
          <w:spacing w:val="-14"/>
        </w:rPr>
        <w:t xml:space="preserve"> </w:t>
      </w:r>
      <w:r>
        <w:rPr>
          <w:rFonts w:ascii="Gill Sans MT" w:hAnsi="Gill Sans MT" w:cs="Gill Sans MT"/>
          <w:color w:val="161616"/>
        </w:rPr>
        <w:t>The</w:t>
      </w:r>
      <w:r>
        <w:rPr>
          <w:rFonts w:ascii="Gill Sans MT" w:hAnsi="Gill Sans MT" w:cs="Gill Sans MT"/>
          <w:color w:val="161616"/>
          <w:spacing w:val="-13"/>
        </w:rPr>
        <w:t xml:space="preserve"> </w:t>
      </w:r>
      <w:r>
        <w:rPr>
          <w:rFonts w:ascii="Gill Sans MT" w:hAnsi="Gill Sans MT" w:cs="Gill Sans MT"/>
          <w:color w:val="161616"/>
        </w:rPr>
        <w:t>vision</w:t>
      </w:r>
      <w:r>
        <w:rPr>
          <w:rFonts w:ascii="Gill Sans MT" w:hAnsi="Gill Sans MT" w:cs="Gill Sans MT"/>
          <w:color w:val="161616"/>
          <w:spacing w:val="-12"/>
        </w:rPr>
        <w:t xml:space="preserve"> </w:t>
      </w:r>
      <w:r>
        <w:rPr>
          <w:rFonts w:ascii="Gill Sans MT" w:hAnsi="Gill Sans MT" w:cs="Gill Sans MT"/>
          <w:color w:val="161616"/>
        </w:rPr>
        <w:t>for</w:t>
      </w:r>
      <w:r>
        <w:rPr>
          <w:rFonts w:ascii="Gill Sans MT" w:hAnsi="Gill Sans MT" w:cs="Gill Sans MT"/>
          <w:color w:val="161616"/>
          <w:spacing w:val="-13"/>
        </w:rPr>
        <w:t xml:space="preserve"> </w:t>
      </w:r>
      <w:r>
        <w:rPr>
          <w:rFonts w:ascii="Gill Sans MT" w:hAnsi="Gill Sans MT" w:cs="Gill Sans MT"/>
          <w:color w:val="161616"/>
        </w:rPr>
        <w:t>a</w:t>
      </w:r>
      <w:r>
        <w:rPr>
          <w:rFonts w:ascii="Gill Sans MT" w:hAnsi="Gill Sans MT" w:cs="Gill Sans MT"/>
          <w:color w:val="161616"/>
          <w:spacing w:val="-14"/>
        </w:rPr>
        <w:t xml:space="preserve"> </w:t>
      </w:r>
      <w:r>
        <w:rPr>
          <w:rFonts w:ascii="Gill Sans MT" w:hAnsi="Gill Sans MT" w:cs="Gill Sans MT"/>
          <w:color w:val="161616"/>
        </w:rPr>
        <w:t>"sustainable</w:t>
      </w:r>
      <w:r>
        <w:rPr>
          <w:rFonts w:ascii="Gill Sans MT" w:hAnsi="Gill Sans MT" w:cs="Gill Sans MT"/>
          <w:color w:val="161616"/>
          <w:spacing w:val="-13"/>
        </w:rPr>
        <w:t xml:space="preserve"> </w:t>
      </w:r>
      <w:r>
        <w:rPr>
          <w:rFonts w:ascii="Gill Sans MT" w:hAnsi="Gill Sans MT" w:cs="Gill Sans MT"/>
          <w:color w:val="161616"/>
        </w:rPr>
        <w:t>safety</w:t>
      </w:r>
      <w:r>
        <w:rPr>
          <w:rFonts w:ascii="Gill Sans MT" w:hAnsi="Gill Sans MT" w:cs="Gill Sans MT"/>
          <w:color w:val="161616"/>
          <w:spacing w:val="-13"/>
        </w:rPr>
        <w:t xml:space="preserve"> </w:t>
      </w:r>
      <w:r>
        <w:rPr>
          <w:rFonts w:ascii="Gill Sans MT" w:hAnsi="Gill Sans MT" w:cs="Gill Sans MT"/>
          <w:color w:val="161616"/>
        </w:rPr>
        <w:t>net"</w:t>
      </w:r>
      <w:r>
        <w:rPr>
          <w:rFonts w:ascii="Gill Sans MT" w:hAnsi="Gill Sans MT" w:cs="Gill Sans MT"/>
          <w:color w:val="161616"/>
          <w:spacing w:val="-11"/>
        </w:rPr>
        <w:t xml:space="preserve"> </w:t>
      </w:r>
      <w:r>
        <w:rPr>
          <w:rFonts w:ascii="Gill Sans MT" w:hAnsi="Gill Sans MT" w:cs="Gill Sans MT"/>
          <w:color w:val="161616"/>
        </w:rPr>
        <w:t>reflects</w:t>
      </w:r>
      <w:r>
        <w:rPr>
          <w:rFonts w:ascii="Gill Sans MT" w:hAnsi="Gill Sans MT" w:cs="Gill Sans MT"/>
          <w:color w:val="161616"/>
          <w:spacing w:val="-13"/>
        </w:rPr>
        <w:t xml:space="preserve"> </w:t>
      </w:r>
      <w:r>
        <w:rPr>
          <w:rFonts w:ascii="Gill Sans MT" w:hAnsi="Gill Sans MT" w:cs="Gill Sans MT"/>
          <w:color w:val="161616"/>
        </w:rPr>
        <w:t>a</w:t>
      </w:r>
      <w:r>
        <w:rPr>
          <w:rFonts w:ascii="Gill Sans MT" w:hAnsi="Gill Sans MT" w:cs="Gill Sans MT"/>
          <w:color w:val="161616"/>
          <w:spacing w:val="-13"/>
        </w:rPr>
        <w:t xml:space="preserve"> </w:t>
      </w:r>
      <w:r>
        <w:rPr>
          <w:rFonts w:ascii="Gill Sans MT" w:hAnsi="Gill Sans MT" w:cs="Gill Sans MT"/>
          <w:color w:val="161616"/>
        </w:rPr>
        <w:t>form</w:t>
      </w:r>
      <w:r>
        <w:rPr>
          <w:rFonts w:ascii="Gill Sans MT" w:hAnsi="Gill Sans MT" w:cs="Gill Sans MT"/>
          <w:color w:val="161616"/>
          <w:spacing w:val="-14"/>
        </w:rPr>
        <w:t xml:space="preserve"> </w:t>
      </w:r>
      <w:r>
        <w:rPr>
          <w:rFonts w:ascii="Gill Sans MT" w:hAnsi="Gill Sans MT" w:cs="Gill Sans MT"/>
          <w:color w:val="161616"/>
        </w:rPr>
        <w:t>of</w:t>
      </w:r>
      <w:r>
        <w:rPr>
          <w:rFonts w:ascii="Gill Sans MT" w:hAnsi="Gill Sans MT" w:cs="Gill Sans MT"/>
          <w:color w:val="161616"/>
          <w:spacing w:val="-12"/>
        </w:rPr>
        <w:t xml:space="preserve"> </w:t>
      </w:r>
      <w:r>
        <w:rPr>
          <w:rFonts w:ascii="Gill Sans MT" w:hAnsi="Gill Sans MT" w:cs="Gill Sans MT"/>
          <w:color w:val="161616"/>
        </w:rPr>
        <w:t>“macro”</w:t>
      </w:r>
      <w:r>
        <w:rPr>
          <w:rFonts w:ascii="Gill Sans MT" w:hAnsi="Gill Sans MT" w:cs="Gill Sans MT"/>
          <w:color w:val="161616"/>
          <w:spacing w:val="-13"/>
        </w:rPr>
        <w:t xml:space="preserve"> </w:t>
      </w:r>
      <w:r>
        <w:rPr>
          <w:rFonts w:ascii="Gill Sans MT" w:hAnsi="Gill Sans MT" w:cs="Gill Sans MT"/>
          <w:color w:val="161616"/>
        </w:rPr>
        <w:t>risk stratification and systemic adjustment that will assure adequate resources to address the health needs of some of the state's</w:t>
      </w:r>
      <w:r>
        <w:rPr>
          <w:rFonts w:ascii="Gill Sans MT" w:hAnsi="Gill Sans MT" w:cs="Gill Sans MT"/>
          <w:color w:val="161616"/>
          <w:spacing w:val="-16"/>
        </w:rPr>
        <w:t xml:space="preserve"> </w:t>
      </w:r>
      <w:r>
        <w:rPr>
          <w:rFonts w:ascii="Gill Sans MT" w:hAnsi="Gill Sans MT" w:cs="Gill Sans MT"/>
          <w:color w:val="161616"/>
        </w:rPr>
        <w:t>most</w:t>
      </w:r>
      <w:r>
        <w:rPr>
          <w:rFonts w:ascii="Gill Sans MT" w:hAnsi="Gill Sans MT" w:cs="Gill Sans MT"/>
          <w:color w:val="161616"/>
          <w:spacing w:val="-12"/>
        </w:rPr>
        <w:t xml:space="preserve"> </w:t>
      </w:r>
      <w:r>
        <w:rPr>
          <w:rFonts w:ascii="Gill Sans MT" w:hAnsi="Gill Sans MT" w:cs="Gill Sans MT"/>
          <w:color w:val="161616"/>
        </w:rPr>
        <w:t>medically-involved</w:t>
      </w:r>
      <w:r>
        <w:rPr>
          <w:rFonts w:ascii="Gill Sans MT" w:hAnsi="Gill Sans MT" w:cs="Gill Sans MT"/>
          <w:color w:val="161616"/>
          <w:spacing w:val="-15"/>
        </w:rPr>
        <w:t xml:space="preserve"> </w:t>
      </w:r>
      <w:r>
        <w:rPr>
          <w:rFonts w:ascii="Gill Sans MT" w:hAnsi="Gill Sans MT" w:cs="Gill Sans MT"/>
          <w:color w:val="161616"/>
        </w:rPr>
        <w:t>consumers.</w:t>
      </w:r>
      <w:r>
        <w:rPr>
          <w:rFonts w:ascii="Gill Sans MT" w:hAnsi="Gill Sans MT" w:cs="Gill Sans MT"/>
          <w:color w:val="161616"/>
          <w:spacing w:val="-13"/>
        </w:rPr>
        <w:t xml:space="preserve"> </w:t>
      </w:r>
      <w:r>
        <w:rPr>
          <w:rFonts w:ascii="Gill Sans MT" w:hAnsi="Gill Sans MT" w:cs="Gill Sans MT"/>
          <w:color w:val="161616"/>
        </w:rPr>
        <w:t>We</w:t>
      </w:r>
      <w:r>
        <w:rPr>
          <w:rFonts w:ascii="Gill Sans MT" w:hAnsi="Gill Sans MT" w:cs="Gill Sans MT"/>
          <w:color w:val="161616"/>
          <w:spacing w:val="-13"/>
        </w:rPr>
        <w:t xml:space="preserve"> </w:t>
      </w:r>
      <w:r>
        <w:rPr>
          <w:rFonts w:ascii="Gill Sans MT" w:hAnsi="Gill Sans MT" w:cs="Gill Sans MT"/>
          <w:color w:val="161616"/>
        </w:rPr>
        <w:t>are</w:t>
      </w:r>
      <w:r>
        <w:rPr>
          <w:rFonts w:ascii="Gill Sans MT" w:hAnsi="Gill Sans MT" w:cs="Gill Sans MT"/>
          <w:color w:val="161616"/>
          <w:spacing w:val="-13"/>
        </w:rPr>
        <w:t xml:space="preserve"> </w:t>
      </w:r>
      <w:r>
        <w:rPr>
          <w:rFonts w:ascii="Gill Sans MT" w:hAnsi="Gill Sans MT" w:cs="Gill Sans MT"/>
          <w:color w:val="161616"/>
        </w:rPr>
        <w:t>interested</w:t>
      </w:r>
      <w:r>
        <w:rPr>
          <w:rFonts w:ascii="Gill Sans MT" w:hAnsi="Gill Sans MT" w:cs="Gill Sans MT"/>
          <w:color w:val="161616"/>
          <w:spacing w:val="-12"/>
        </w:rPr>
        <w:t xml:space="preserve"> </w:t>
      </w:r>
      <w:r>
        <w:rPr>
          <w:rFonts w:ascii="Gill Sans MT" w:hAnsi="Gill Sans MT" w:cs="Gill Sans MT"/>
          <w:color w:val="161616"/>
        </w:rPr>
        <w:t>in</w:t>
      </w:r>
      <w:r>
        <w:rPr>
          <w:rFonts w:ascii="Gill Sans MT" w:hAnsi="Gill Sans MT" w:cs="Gill Sans MT"/>
          <w:color w:val="161616"/>
          <w:spacing w:val="-12"/>
        </w:rPr>
        <w:t xml:space="preserve"> </w:t>
      </w:r>
      <w:r>
        <w:rPr>
          <w:rFonts w:ascii="Gill Sans MT" w:hAnsi="Gill Sans MT" w:cs="Gill Sans MT"/>
          <w:color w:val="161616"/>
        </w:rPr>
        <w:t>learning</w:t>
      </w:r>
      <w:r>
        <w:rPr>
          <w:rFonts w:ascii="Gill Sans MT" w:hAnsi="Gill Sans MT" w:cs="Gill Sans MT"/>
          <w:color w:val="161616"/>
          <w:spacing w:val="-15"/>
        </w:rPr>
        <w:t xml:space="preserve"> </w:t>
      </w:r>
      <w:r>
        <w:rPr>
          <w:rFonts w:ascii="Gill Sans MT" w:hAnsi="Gill Sans MT" w:cs="Gill Sans MT"/>
          <w:color w:val="161616"/>
        </w:rPr>
        <w:t>more</w:t>
      </w:r>
      <w:r>
        <w:rPr>
          <w:rFonts w:ascii="Gill Sans MT" w:hAnsi="Gill Sans MT" w:cs="Gill Sans MT"/>
          <w:color w:val="161616"/>
          <w:spacing w:val="-15"/>
        </w:rPr>
        <w:t xml:space="preserve"> </w:t>
      </w:r>
      <w:r>
        <w:rPr>
          <w:rFonts w:ascii="Gill Sans MT" w:hAnsi="Gill Sans MT" w:cs="Gill Sans MT"/>
          <w:color w:val="161616"/>
        </w:rPr>
        <w:t>about</w:t>
      </w:r>
      <w:r>
        <w:rPr>
          <w:rFonts w:ascii="Gill Sans MT" w:hAnsi="Gill Sans MT" w:cs="Gill Sans MT"/>
          <w:color w:val="161616"/>
          <w:spacing w:val="-11"/>
        </w:rPr>
        <w:t xml:space="preserve"> </w:t>
      </w:r>
      <w:r>
        <w:rPr>
          <w:rFonts w:ascii="Gill Sans MT" w:hAnsi="Gill Sans MT" w:cs="Gill Sans MT"/>
          <w:color w:val="161616"/>
        </w:rPr>
        <w:t>the</w:t>
      </w:r>
      <w:r>
        <w:rPr>
          <w:rFonts w:ascii="Gill Sans MT" w:hAnsi="Gill Sans MT" w:cs="Gill Sans MT"/>
          <w:color w:val="161616"/>
          <w:spacing w:val="-13"/>
        </w:rPr>
        <w:t xml:space="preserve"> </w:t>
      </w:r>
      <w:r>
        <w:rPr>
          <w:rFonts w:ascii="Gill Sans MT" w:hAnsi="Gill Sans MT" w:cs="Gill Sans MT"/>
          <w:color w:val="161616"/>
        </w:rPr>
        <w:t>design</w:t>
      </w:r>
      <w:r>
        <w:rPr>
          <w:rFonts w:ascii="Gill Sans MT" w:hAnsi="Gill Sans MT" w:cs="Gill Sans MT"/>
          <w:color w:val="161616"/>
          <w:spacing w:val="-12"/>
        </w:rPr>
        <w:t xml:space="preserve"> </w:t>
      </w:r>
      <w:r>
        <w:rPr>
          <w:rFonts w:ascii="Gill Sans MT" w:hAnsi="Gill Sans MT" w:cs="Gill Sans MT"/>
          <w:color w:val="161616"/>
        </w:rPr>
        <w:t>of</w:t>
      </w:r>
      <w:r>
        <w:rPr>
          <w:rFonts w:ascii="Gill Sans MT" w:hAnsi="Gill Sans MT" w:cs="Gill Sans MT"/>
          <w:color w:val="161616"/>
          <w:spacing w:val="-12"/>
        </w:rPr>
        <w:t xml:space="preserve"> </w:t>
      </w:r>
      <w:r>
        <w:rPr>
          <w:rFonts w:ascii="Gill Sans MT" w:hAnsi="Gill Sans MT" w:cs="Gill Sans MT"/>
          <w:color w:val="161616"/>
        </w:rPr>
        <w:t>a</w:t>
      </w:r>
      <w:r>
        <w:rPr>
          <w:rFonts w:ascii="Gill Sans MT" w:hAnsi="Gill Sans MT" w:cs="Gill Sans MT"/>
          <w:color w:val="161616"/>
          <w:spacing w:val="-15"/>
        </w:rPr>
        <w:t xml:space="preserve"> </w:t>
      </w:r>
      <w:r>
        <w:rPr>
          <w:rFonts w:ascii="Gill Sans MT" w:hAnsi="Gill Sans MT" w:cs="Gill Sans MT"/>
          <w:color w:val="161616"/>
        </w:rPr>
        <w:t>"glide</w:t>
      </w:r>
      <w:r>
        <w:rPr>
          <w:rFonts w:ascii="Gill Sans MT" w:hAnsi="Gill Sans MT" w:cs="Gill Sans MT"/>
          <w:color w:val="161616"/>
          <w:spacing w:val="-15"/>
        </w:rPr>
        <w:t xml:space="preserve"> </w:t>
      </w:r>
      <w:r>
        <w:rPr>
          <w:rFonts w:ascii="Gill Sans MT" w:hAnsi="Gill Sans MT" w:cs="Gill Sans MT"/>
          <w:color w:val="161616"/>
        </w:rPr>
        <w:t>path"</w:t>
      </w:r>
      <w:r>
        <w:rPr>
          <w:rFonts w:ascii="Gill Sans MT" w:hAnsi="Gill Sans MT" w:cs="Gill Sans MT"/>
          <w:color w:val="161616"/>
          <w:spacing w:val="-14"/>
        </w:rPr>
        <w:t xml:space="preserve"> </w:t>
      </w:r>
      <w:r>
        <w:rPr>
          <w:rFonts w:ascii="Gill Sans MT" w:hAnsi="Gill Sans MT" w:cs="Gill Sans MT"/>
          <w:color w:val="161616"/>
        </w:rPr>
        <w:t>that</w:t>
      </w:r>
      <w:r>
        <w:rPr>
          <w:rFonts w:ascii="Gill Sans MT" w:hAnsi="Gill Sans MT" w:cs="Gill Sans MT"/>
          <w:color w:val="161616"/>
          <w:spacing w:val="-12"/>
        </w:rPr>
        <w:t xml:space="preserve"> </w:t>
      </w:r>
      <w:r>
        <w:rPr>
          <w:rFonts w:ascii="Gill Sans MT" w:hAnsi="Gill Sans MT" w:cs="Gill Sans MT"/>
          <w:color w:val="161616"/>
        </w:rPr>
        <w:t>is truly</w:t>
      </w:r>
      <w:r>
        <w:rPr>
          <w:rFonts w:ascii="Gill Sans MT" w:hAnsi="Gill Sans MT" w:cs="Gill Sans MT"/>
          <w:color w:val="161616"/>
          <w:spacing w:val="-14"/>
        </w:rPr>
        <w:t xml:space="preserve"> </w:t>
      </w:r>
      <w:r>
        <w:rPr>
          <w:rFonts w:ascii="Gill Sans MT" w:hAnsi="Gill Sans MT" w:cs="Gill Sans MT"/>
          <w:color w:val="161616"/>
        </w:rPr>
        <w:t>sustainable</w:t>
      </w:r>
      <w:r>
        <w:rPr>
          <w:rFonts w:ascii="Gill Sans MT" w:hAnsi="Gill Sans MT" w:cs="Gill Sans MT"/>
          <w:color w:val="161616"/>
          <w:spacing w:val="-14"/>
        </w:rPr>
        <w:t xml:space="preserve"> </w:t>
      </w:r>
      <w:r>
        <w:rPr>
          <w:rFonts w:ascii="Gill Sans MT" w:hAnsi="Gill Sans MT" w:cs="Gill Sans MT"/>
          <w:color w:val="161616"/>
        </w:rPr>
        <w:t>and</w:t>
      </w:r>
      <w:r>
        <w:rPr>
          <w:rFonts w:ascii="Gill Sans MT" w:hAnsi="Gill Sans MT" w:cs="Gill Sans MT"/>
          <w:color w:val="161616"/>
          <w:spacing w:val="-12"/>
        </w:rPr>
        <w:t xml:space="preserve"> </w:t>
      </w:r>
      <w:r>
        <w:rPr>
          <w:rFonts w:ascii="Gill Sans MT" w:hAnsi="Gill Sans MT" w:cs="Gill Sans MT"/>
          <w:color w:val="161616"/>
        </w:rPr>
        <w:t>equitable</w:t>
      </w:r>
      <w:r>
        <w:rPr>
          <w:rFonts w:ascii="Gill Sans MT" w:hAnsi="Gill Sans MT" w:cs="Gill Sans MT"/>
          <w:color w:val="161616"/>
          <w:spacing w:val="-14"/>
        </w:rPr>
        <w:t xml:space="preserve"> </w:t>
      </w:r>
      <w:r>
        <w:rPr>
          <w:rFonts w:ascii="Gill Sans MT" w:hAnsi="Gill Sans MT" w:cs="Gill Sans MT"/>
          <w:color w:val="161616"/>
        </w:rPr>
        <w:t>and</w:t>
      </w:r>
      <w:r>
        <w:rPr>
          <w:rFonts w:ascii="Gill Sans MT" w:hAnsi="Gill Sans MT" w:cs="Gill Sans MT"/>
          <w:color w:val="161616"/>
          <w:spacing w:val="-14"/>
        </w:rPr>
        <w:t xml:space="preserve"> </w:t>
      </w:r>
      <w:r>
        <w:rPr>
          <w:rFonts w:ascii="Gill Sans MT" w:hAnsi="Gill Sans MT" w:cs="Gill Sans MT"/>
          <w:color w:val="161616"/>
        </w:rPr>
        <w:t>does</w:t>
      </w:r>
      <w:r>
        <w:rPr>
          <w:rFonts w:ascii="Gill Sans MT" w:hAnsi="Gill Sans MT" w:cs="Gill Sans MT"/>
          <w:color w:val="161616"/>
          <w:spacing w:val="-12"/>
        </w:rPr>
        <w:t xml:space="preserve"> </w:t>
      </w:r>
      <w:r>
        <w:rPr>
          <w:rFonts w:ascii="Gill Sans MT" w:hAnsi="Gill Sans MT" w:cs="Gill Sans MT"/>
          <w:color w:val="161616"/>
        </w:rPr>
        <w:t>not</w:t>
      </w:r>
      <w:r>
        <w:rPr>
          <w:rFonts w:ascii="Gill Sans MT" w:hAnsi="Gill Sans MT" w:cs="Gill Sans MT"/>
          <w:color w:val="161616"/>
          <w:spacing w:val="-13"/>
        </w:rPr>
        <w:t xml:space="preserve"> </w:t>
      </w:r>
      <w:r>
        <w:rPr>
          <w:rFonts w:ascii="Gill Sans MT" w:hAnsi="Gill Sans MT" w:cs="Gill Sans MT"/>
          <w:color w:val="161616"/>
        </w:rPr>
        <w:t>leave</w:t>
      </w:r>
      <w:r>
        <w:rPr>
          <w:rFonts w:ascii="Gill Sans MT" w:hAnsi="Gill Sans MT" w:cs="Gill Sans MT"/>
          <w:color w:val="161616"/>
          <w:spacing w:val="-14"/>
        </w:rPr>
        <w:t xml:space="preserve"> </w:t>
      </w:r>
      <w:r>
        <w:rPr>
          <w:rFonts w:ascii="Gill Sans MT" w:hAnsi="Gill Sans MT" w:cs="Gill Sans MT"/>
          <w:color w:val="161616"/>
        </w:rPr>
        <w:t>those</w:t>
      </w:r>
      <w:r>
        <w:rPr>
          <w:rFonts w:ascii="Gill Sans MT" w:hAnsi="Gill Sans MT" w:cs="Gill Sans MT"/>
          <w:color w:val="161616"/>
          <w:spacing w:val="-12"/>
        </w:rPr>
        <w:t xml:space="preserve"> </w:t>
      </w:r>
      <w:r>
        <w:rPr>
          <w:rFonts w:ascii="Gill Sans MT" w:hAnsi="Gill Sans MT" w:cs="Gill Sans MT"/>
          <w:color w:val="161616"/>
        </w:rPr>
        <w:t>providers</w:t>
      </w:r>
      <w:r>
        <w:rPr>
          <w:rFonts w:ascii="Gill Sans MT" w:hAnsi="Gill Sans MT" w:cs="Gill Sans MT"/>
          <w:color w:val="161616"/>
          <w:spacing w:val="-15"/>
        </w:rPr>
        <w:t xml:space="preserve"> </w:t>
      </w:r>
      <w:r>
        <w:rPr>
          <w:rFonts w:ascii="Gill Sans MT" w:hAnsi="Gill Sans MT" w:cs="Gill Sans MT"/>
          <w:color w:val="161616"/>
        </w:rPr>
        <w:t>with</w:t>
      </w:r>
      <w:r>
        <w:rPr>
          <w:rFonts w:ascii="Gill Sans MT" w:hAnsi="Gill Sans MT" w:cs="Gill Sans MT"/>
          <w:color w:val="161616"/>
          <w:spacing w:val="-12"/>
        </w:rPr>
        <w:t xml:space="preserve"> </w:t>
      </w:r>
      <w:r>
        <w:rPr>
          <w:rFonts w:ascii="Gill Sans MT" w:hAnsi="Gill Sans MT" w:cs="Gill Sans MT"/>
          <w:color w:val="161616"/>
        </w:rPr>
        <w:t>a</w:t>
      </w:r>
      <w:r>
        <w:rPr>
          <w:rFonts w:ascii="Gill Sans MT" w:hAnsi="Gill Sans MT" w:cs="Gill Sans MT"/>
          <w:color w:val="161616"/>
          <w:spacing w:val="-14"/>
        </w:rPr>
        <w:t xml:space="preserve"> </w:t>
      </w:r>
      <w:r>
        <w:rPr>
          <w:rFonts w:ascii="Gill Sans MT" w:hAnsi="Gill Sans MT" w:cs="Gill Sans MT"/>
          <w:color w:val="161616"/>
        </w:rPr>
        <w:t>higher</w:t>
      </w:r>
      <w:r>
        <w:rPr>
          <w:rFonts w:ascii="Gill Sans MT" w:hAnsi="Gill Sans MT" w:cs="Gill Sans MT"/>
          <w:color w:val="161616"/>
          <w:spacing w:val="-12"/>
        </w:rPr>
        <w:t xml:space="preserve"> </w:t>
      </w:r>
      <w:r>
        <w:rPr>
          <w:rFonts w:ascii="Gill Sans MT" w:hAnsi="Gill Sans MT" w:cs="Gill Sans MT"/>
          <w:color w:val="161616"/>
        </w:rPr>
        <w:t>proportion</w:t>
      </w:r>
      <w:r>
        <w:rPr>
          <w:rFonts w:ascii="Gill Sans MT" w:hAnsi="Gill Sans MT" w:cs="Gill Sans MT"/>
          <w:color w:val="161616"/>
          <w:spacing w:val="-12"/>
        </w:rPr>
        <w:t xml:space="preserve"> </w:t>
      </w:r>
      <w:r>
        <w:rPr>
          <w:rFonts w:ascii="Gill Sans MT" w:hAnsi="Gill Sans MT" w:cs="Gill Sans MT"/>
          <w:color w:val="161616"/>
        </w:rPr>
        <w:t>of</w:t>
      </w:r>
      <w:r>
        <w:rPr>
          <w:rFonts w:ascii="Gill Sans MT" w:hAnsi="Gill Sans MT" w:cs="Gill Sans MT"/>
          <w:color w:val="161616"/>
          <w:spacing w:val="-14"/>
        </w:rPr>
        <w:t xml:space="preserve"> </w:t>
      </w:r>
      <w:r>
        <w:rPr>
          <w:rFonts w:ascii="Gill Sans MT" w:hAnsi="Gill Sans MT" w:cs="Gill Sans MT"/>
          <w:color w:val="161616"/>
        </w:rPr>
        <w:t>Medicaid</w:t>
      </w:r>
      <w:r>
        <w:rPr>
          <w:rFonts w:ascii="Gill Sans MT" w:hAnsi="Gill Sans MT" w:cs="Gill Sans MT"/>
          <w:color w:val="161616"/>
          <w:spacing w:val="-12"/>
        </w:rPr>
        <w:t xml:space="preserve"> </w:t>
      </w:r>
      <w:r>
        <w:rPr>
          <w:rFonts w:ascii="Gill Sans MT" w:hAnsi="Gill Sans MT" w:cs="Gill Sans MT"/>
          <w:color w:val="161616"/>
        </w:rPr>
        <w:t>members</w:t>
      </w:r>
      <w:r>
        <w:rPr>
          <w:rFonts w:ascii="Gill Sans MT" w:hAnsi="Gill Sans MT" w:cs="Gill Sans MT"/>
          <w:color w:val="161616"/>
          <w:spacing w:val="-15"/>
        </w:rPr>
        <w:t xml:space="preserve"> </w:t>
      </w:r>
      <w:r>
        <w:rPr>
          <w:rFonts w:ascii="Gill Sans MT" w:hAnsi="Gill Sans MT" w:cs="Gill Sans MT"/>
          <w:color w:val="161616"/>
        </w:rPr>
        <w:t>with insufficient</w:t>
      </w:r>
      <w:r>
        <w:rPr>
          <w:rFonts w:ascii="Gill Sans MT" w:hAnsi="Gill Sans MT" w:cs="Gill Sans MT"/>
          <w:color w:val="161616"/>
          <w:spacing w:val="-12"/>
        </w:rPr>
        <w:t xml:space="preserve"> </w:t>
      </w:r>
      <w:r>
        <w:rPr>
          <w:rFonts w:ascii="Gill Sans MT" w:hAnsi="Gill Sans MT" w:cs="Gill Sans MT"/>
          <w:color w:val="161616"/>
        </w:rPr>
        <w:t>resources</w:t>
      </w:r>
      <w:r>
        <w:rPr>
          <w:rFonts w:ascii="Gill Sans MT" w:hAnsi="Gill Sans MT" w:cs="Gill Sans MT"/>
          <w:color w:val="161616"/>
          <w:spacing w:val="-11"/>
        </w:rPr>
        <w:t xml:space="preserve"> </w:t>
      </w:r>
      <w:r>
        <w:rPr>
          <w:rFonts w:ascii="Gill Sans MT" w:hAnsi="Gill Sans MT" w:cs="Gill Sans MT"/>
          <w:color w:val="161616"/>
        </w:rPr>
        <w:t>to</w:t>
      </w:r>
      <w:r>
        <w:rPr>
          <w:rFonts w:ascii="Gill Sans MT" w:hAnsi="Gill Sans MT" w:cs="Gill Sans MT"/>
          <w:color w:val="161616"/>
          <w:spacing w:val="-10"/>
        </w:rPr>
        <w:t xml:space="preserve"> </w:t>
      </w:r>
      <w:r>
        <w:rPr>
          <w:rFonts w:ascii="Gill Sans MT" w:hAnsi="Gill Sans MT" w:cs="Gill Sans MT"/>
          <w:color w:val="161616"/>
        </w:rPr>
        <w:t>provide</w:t>
      </w:r>
      <w:r>
        <w:rPr>
          <w:rFonts w:ascii="Gill Sans MT" w:hAnsi="Gill Sans MT" w:cs="Gill Sans MT"/>
          <w:color w:val="161616"/>
          <w:spacing w:val="-11"/>
        </w:rPr>
        <w:t xml:space="preserve"> </w:t>
      </w:r>
      <w:r>
        <w:rPr>
          <w:rFonts w:ascii="Gill Sans MT" w:hAnsi="Gill Sans MT" w:cs="Gill Sans MT"/>
          <w:color w:val="161616"/>
        </w:rPr>
        <w:t>quality</w:t>
      </w:r>
      <w:r>
        <w:rPr>
          <w:rFonts w:ascii="Gill Sans MT" w:hAnsi="Gill Sans MT" w:cs="Gill Sans MT"/>
          <w:color w:val="161616"/>
          <w:spacing w:val="-11"/>
        </w:rPr>
        <w:t xml:space="preserve"> </w:t>
      </w:r>
      <w:r>
        <w:rPr>
          <w:rFonts w:ascii="Gill Sans MT" w:hAnsi="Gill Sans MT" w:cs="Gill Sans MT"/>
          <w:color w:val="161616"/>
        </w:rPr>
        <w:t>care.</w:t>
      </w:r>
      <w:r>
        <w:rPr>
          <w:rFonts w:ascii="Gill Sans MT" w:hAnsi="Gill Sans MT" w:cs="Gill Sans MT"/>
          <w:color w:val="161616"/>
          <w:spacing w:val="-11"/>
        </w:rPr>
        <w:t xml:space="preserve"> </w:t>
      </w:r>
      <w:r>
        <w:rPr>
          <w:rFonts w:ascii="Gill Sans MT" w:hAnsi="Gill Sans MT" w:cs="Gill Sans MT"/>
          <w:color w:val="161616"/>
        </w:rPr>
        <w:t>Member</w:t>
      </w:r>
      <w:r>
        <w:rPr>
          <w:rFonts w:ascii="Gill Sans MT" w:hAnsi="Gill Sans MT" w:cs="Gill Sans MT"/>
          <w:color w:val="161616"/>
          <w:spacing w:val="-14"/>
        </w:rPr>
        <w:t xml:space="preserve"> </w:t>
      </w:r>
      <w:r>
        <w:rPr>
          <w:rFonts w:ascii="Gill Sans MT" w:hAnsi="Gill Sans MT" w:cs="Gill Sans MT"/>
          <w:color w:val="161616"/>
        </w:rPr>
        <w:t>mixes</w:t>
      </w:r>
      <w:r>
        <w:rPr>
          <w:rFonts w:ascii="Gill Sans MT" w:hAnsi="Gill Sans MT" w:cs="Gill Sans MT"/>
          <w:color w:val="161616"/>
          <w:spacing w:val="-14"/>
        </w:rPr>
        <w:t xml:space="preserve"> </w:t>
      </w:r>
      <w:r>
        <w:rPr>
          <w:rFonts w:ascii="Gill Sans MT" w:hAnsi="Gill Sans MT" w:cs="Gill Sans MT"/>
          <w:color w:val="161616"/>
        </w:rPr>
        <w:t>may</w:t>
      </w:r>
      <w:r>
        <w:rPr>
          <w:rFonts w:ascii="Gill Sans MT" w:hAnsi="Gill Sans MT" w:cs="Gill Sans MT"/>
          <w:color w:val="161616"/>
          <w:spacing w:val="-11"/>
        </w:rPr>
        <w:t xml:space="preserve"> </w:t>
      </w:r>
      <w:r>
        <w:rPr>
          <w:rFonts w:ascii="Gill Sans MT" w:hAnsi="Gill Sans MT" w:cs="Gill Sans MT"/>
          <w:color w:val="161616"/>
        </w:rPr>
        <w:t>evolve</w:t>
      </w:r>
      <w:r>
        <w:rPr>
          <w:rFonts w:ascii="Gill Sans MT" w:hAnsi="Gill Sans MT" w:cs="Gill Sans MT"/>
          <w:color w:val="161616"/>
          <w:spacing w:val="-13"/>
        </w:rPr>
        <w:t xml:space="preserve"> </w:t>
      </w:r>
      <w:r>
        <w:rPr>
          <w:rFonts w:ascii="Gill Sans MT" w:hAnsi="Gill Sans MT" w:cs="Gill Sans MT"/>
          <w:color w:val="161616"/>
        </w:rPr>
        <w:t>over</w:t>
      </w:r>
      <w:r>
        <w:rPr>
          <w:rFonts w:ascii="Gill Sans MT" w:hAnsi="Gill Sans MT" w:cs="Gill Sans MT"/>
          <w:color w:val="161616"/>
          <w:spacing w:val="-14"/>
        </w:rPr>
        <w:t xml:space="preserve"> </w:t>
      </w:r>
      <w:r>
        <w:rPr>
          <w:rFonts w:ascii="Gill Sans MT" w:hAnsi="Gill Sans MT" w:cs="Gill Sans MT"/>
          <w:color w:val="161616"/>
        </w:rPr>
        <w:t>the</w:t>
      </w:r>
      <w:r>
        <w:rPr>
          <w:rFonts w:ascii="Gill Sans MT" w:hAnsi="Gill Sans MT" w:cs="Gill Sans MT"/>
          <w:color w:val="161616"/>
          <w:spacing w:val="-13"/>
        </w:rPr>
        <w:t xml:space="preserve"> </w:t>
      </w:r>
      <w:r>
        <w:rPr>
          <w:rFonts w:ascii="Gill Sans MT" w:hAnsi="Gill Sans MT" w:cs="Gill Sans MT"/>
          <w:color w:val="161616"/>
        </w:rPr>
        <w:t>5-year</w:t>
      </w:r>
      <w:r>
        <w:rPr>
          <w:rFonts w:ascii="Gill Sans MT" w:hAnsi="Gill Sans MT" w:cs="Gill Sans MT"/>
          <w:color w:val="161616"/>
          <w:spacing w:val="-12"/>
        </w:rPr>
        <w:t xml:space="preserve"> </w:t>
      </w:r>
      <w:r>
        <w:rPr>
          <w:rFonts w:ascii="Gill Sans MT" w:hAnsi="Gill Sans MT" w:cs="Gill Sans MT"/>
          <w:color w:val="161616"/>
        </w:rPr>
        <w:t>period</w:t>
      </w:r>
      <w:r>
        <w:rPr>
          <w:rFonts w:ascii="Gill Sans MT" w:hAnsi="Gill Sans MT" w:cs="Gill Sans MT"/>
          <w:color w:val="161616"/>
          <w:spacing w:val="-10"/>
        </w:rPr>
        <w:t xml:space="preserve"> </w:t>
      </w:r>
      <w:r>
        <w:rPr>
          <w:rFonts w:ascii="Gill Sans MT" w:hAnsi="Gill Sans MT" w:cs="Gill Sans MT"/>
          <w:color w:val="161616"/>
        </w:rPr>
        <w:t>and</w:t>
      </w:r>
      <w:r>
        <w:rPr>
          <w:rFonts w:ascii="Gill Sans MT" w:hAnsi="Gill Sans MT" w:cs="Gill Sans MT"/>
          <w:color w:val="161616"/>
          <w:spacing w:val="-13"/>
        </w:rPr>
        <w:t xml:space="preserve"> </w:t>
      </w:r>
      <w:r>
        <w:rPr>
          <w:rFonts w:ascii="Gill Sans MT" w:hAnsi="Gill Sans MT" w:cs="Gill Sans MT"/>
          <w:color w:val="161616"/>
        </w:rPr>
        <w:t>it</w:t>
      </w:r>
      <w:r>
        <w:rPr>
          <w:rFonts w:ascii="Gill Sans MT" w:hAnsi="Gill Sans MT" w:cs="Gill Sans MT"/>
          <w:color w:val="161616"/>
          <w:spacing w:val="-10"/>
        </w:rPr>
        <w:t xml:space="preserve"> </w:t>
      </w:r>
      <w:r>
        <w:rPr>
          <w:rFonts w:ascii="Gill Sans MT" w:hAnsi="Gill Sans MT" w:cs="Gill Sans MT"/>
          <w:color w:val="161616"/>
        </w:rPr>
        <w:t>is</w:t>
      </w:r>
      <w:r>
        <w:rPr>
          <w:rFonts w:ascii="Gill Sans MT" w:hAnsi="Gill Sans MT" w:cs="Gill Sans MT"/>
          <w:color w:val="161616"/>
          <w:spacing w:val="-14"/>
        </w:rPr>
        <w:t xml:space="preserve"> </w:t>
      </w:r>
      <w:r>
        <w:rPr>
          <w:rFonts w:ascii="Gill Sans MT" w:hAnsi="Gill Sans MT" w:cs="Gill Sans MT"/>
          <w:color w:val="161616"/>
        </w:rPr>
        <w:t>essential</w:t>
      </w:r>
      <w:r>
        <w:rPr>
          <w:rFonts w:ascii="Gill Sans MT" w:hAnsi="Gill Sans MT" w:cs="Gill Sans MT"/>
          <w:color w:val="161616"/>
          <w:spacing w:val="-13"/>
        </w:rPr>
        <w:t xml:space="preserve"> </w:t>
      </w:r>
      <w:r>
        <w:rPr>
          <w:rFonts w:ascii="Gill Sans MT" w:hAnsi="Gill Sans MT" w:cs="Gill Sans MT"/>
          <w:color w:val="161616"/>
          <w:spacing w:val="-3"/>
        </w:rPr>
        <w:t xml:space="preserve">that </w:t>
      </w:r>
      <w:r>
        <w:rPr>
          <w:rFonts w:ascii="Gill Sans MT" w:hAnsi="Gill Sans MT" w:cs="Gill Sans MT"/>
          <w:color w:val="161616"/>
        </w:rPr>
        <w:t>any</w:t>
      </w:r>
      <w:r>
        <w:rPr>
          <w:rFonts w:ascii="Gill Sans MT" w:hAnsi="Gill Sans MT" w:cs="Gill Sans MT"/>
          <w:color w:val="161616"/>
          <w:spacing w:val="-15"/>
        </w:rPr>
        <w:t xml:space="preserve"> </w:t>
      </w:r>
      <w:r>
        <w:rPr>
          <w:rFonts w:ascii="Gill Sans MT" w:hAnsi="Gill Sans MT" w:cs="Gill Sans MT"/>
          <w:color w:val="161616"/>
        </w:rPr>
        <w:t>glide</w:t>
      </w:r>
      <w:r>
        <w:rPr>
          <w:rFonts w:ascii="Gill Sans MT" w:hAnsi="Gill Sans MT" w:cs="Gill Sans MT"/>
          <w:color w:val="161616"/>
          <w:spacing w:val="-12"/>
        </w:rPr>
        <w:t xml:space="preserve"> </w:t>
      </w:r>
      <w:r>
        <w:rPr>
          <w:rFonts w:ascii="Gill Sans MT" w:hAnsi="Gill Sans MT" w:cs="Gill Sans MT"/>
          <w:color w:val="161616"/>
        </w:rPr>
        <w:t>path</w:t>
      </w:r>
      <w:r>
        <w:rPr>
          <w:rFonts w:ascii="Gill Sans MT" w:hAnsi="Gill Sans MT" w:cs="Gill Sans MT"/>
          <w:color w:val="161616"/>
          <w:spacing w:val="-10"/>
        </w:rPr>
        <w:t xml:space="preserve"> </w:t>
      </w:r>
      <w:r>
        <w:rPr>
          <w:rFonts w:ascii="Gill Sans MT" w:hAnsi="Gill Sans MT" w:cs="Gill Sans MT"/>
          <w:color w:val="161616"/>
        </w:rPr>
        <w:t>be</w:t>
      </w:r>
      <w:r>
        <w:rPr>
          <w:rFonts w:ascii="Gill Sans MT" w:hAnsi="Gill Sans MT" w:cs="Gill Sans MT"/>
          <w:color w:val="161616"/>
          <w:spacing w:val="-13"/>
        </w:rPr>
        <w:t xml:space="preserve"> </w:t>
      </w:r>
      <w:r>
        <w:rPr>
          <w:rFonts w:ascii="Gill Sans MT" w:hAnsi="Gill Sans MT" w:cs="Gill Sans MT"/>
          <w:color w:val="161616"/>
        </w:rPr>
        <w:t>flexible</w:t>
      </w:r>
      <w:r>
        <w:rPr>
          <w:rFonts w:ascii="Gill Sans MT" w:hAnsi="Gill Sans MT" w:cs="Gill Sans MT"/>
          <w:color w:val="161616"/>
          <w:spacing w:val="-15"/>
        </w:rPr>
        <w:t xml:space="preserve"> </w:t>
      </w:r>
      <w:r>
        <w:rPr>
          <w:rFonts w:ascii="Gill Sans MT" w:hAnsi="Gill Sans MT" w:cs="Gill Sans MT"/>
          <w:color w:val="161616"/>
        </w:rPr>
        <w:t>enough</w:t>
      </w:r>
      <w:r>
        <w:rPr>
          <w:rFonts w:ascii="Gill Sans MT" w:hAnsi="Gill Sans MT" w:cs="Gill Sans MT"/>
          <w:color w:val="161616"/>
          <w:spacing w:val="-12"/>
        </w:rPr>
        <w:t xml:space="preserve"> </w:t>
      </w:r>
      <w:r>
        <w:rPr>
          <w:rFonts w:ascii="Gill Sans MT" w:hAnsi="Gill Sans MT" w:cs="Gill Sans MT"/>
          <w:color w:val="161616"/>
        </w:rPr>
        <w:t>to</w:t>
      </w:r>
      <w:r>
        <w:rPr>
          <w:rFonts w:ascii="Gill Sans MT" w:hAnsi="Gill Sans MT" w:cs="Gill Sans MT"/>
          <w:color w:val="161616"/>
          <w:spacing w:val="-12"/>
        </w:rPr>
        <w:t xml:space="preserve"> </w:t>
      </w:r>
      <w:r>
        <w:rPr>
          <w:rFonts w:ascii="Gill Sans MT" w:hAnsi="Gill Sans MT" w:cs="Gill Sans MT"/>
          <w:color w:val="161616"/>
        </w:rPr>
        <w:t>adjust</w:t>
      </w:r>
      <w:r>
        <w:rPr>
          <w:rFonts w:ascii="Gill Sans MT" w:hAnsi="Gill Sans MT" w:cs="Gill Sans MT"/>
          <w:color w:val="161616"/>
          <w:spacing w:val="-12"/>
        </w:rPr>
        <w:t xml:space="preserve"> </w:t>
      </w:r>
      <w:r>
        <w:rPr>
          <w:rFonts w:ascii="Gill Sans MT" w:hAnsi="Gill Sans MT" w:cs="Gill Sans MT"/>
          <w:color w:val="161616"/>
        </w:rPr>
        <w:t>equitably</w:t>
      </w:r>
      <w:r>
        <w:rPr>
          <w:rFonts w:ascii="Gill Sans MT" w:hAnsi="Gill Sans MT" w:cs="Gill Sans MT"/>
          <w:color w:val="161616"/>
          <w:spacing w:val="-15"/>
        </w:rPr>
        <w:t xml:space="preserve"> </w:t>
      </w:r>
      <w:r>
        <w:rPr>
          <w:rFonts w:ascii="Gill Sans MT" w:hAnsi="Gill Sans MT" w:cs="Gill Sans MT"/>
          <w:color w:val="161616"/>
        </w:rPr>
        <w:t>to</w:t>
      </w:r>
      <w:r>
        <w:rPr>
          <w:rFonts w:ascii="Gill Sans MT" w:hAnsi="Gill Sans MT" w:cs="Gill Sans MT"/>
          <w:color w:val="161616"/>
          <w:spacing w:val="-14"/>
        </w:rPr>
        <w:t xml:space="preserve"> </w:t>
      </w:r>
      <w:r>
        <w:rPr>
          <w:rFonts w:ascii="Gill Sans MT" w:hAnsi="Gill Sans MT" w:cs="Gill Sans MT"/>
          <w:color w:val="161616"/>
        </w:rPr>
        <w:t>demographic</w:t>
      </w:r>
      <w:r>
        <w:rPr>
          <w:rFonts w:ascii="Gill Sans MT" w:hAnsi="Gill Sans MT" w:cs="Gill Sans MT"/>
          <w:color w:val="161616"/>
          <w:spacing w:val="-16"/>
        </w:rPr>
        <w:t xml:space="preserve"> </w:t>
      </w:r>
      <w:r>
        <w:rPr>
          <w:rFonts w:ascii="Gill Sans MT" w:hAnsi="Gill Sans MT" w:cs="Gill Sans MT"/>
          <w:color w:val="161616"/>
        </w:rPr>
        <w:t>shifts</w:t>
      </w:r>
      <w:r>
        <w:rPr>
          <w:rFonts w:ascii="Gill Sans MT" w:hAnsi="Gill Sans MT" w:cs="Gill Sans MT"/>
          <w:color w:val="161616"/>
          <w:spacing w:val="-13"/>
        </w:rPr>
        <w:t xml:space="preserve"> </w:t>
      </w:r>
      <w:r>
        <w:rPr>
          <w:rFonts w:ascii="Gill Sans MT" w:hAnsi="Gill Sans MT" w:cs="Gill Sans MT"/>
          <w:color w:val="161616"/>
        </w:rPr>
        <w:t>across</w:t>
      </w:r>
      <w:r>
        <w:rPr>
          <w:rFonts w:ascii="Gill Sans MT" w:hAnsi="Gill Sans MT" w:cs="Gill Sans MT"/>
          <w:color w:val="161616"/>
          <w:spacing w:val="-16"/>
        </w:rPr>
        <w:t xml:space="preserve"> </w:t>
      </w:r>
      <w:r>
        <w:rPr>
          <w:rFonts w:ascii="Gill Sans MT" w:hAnsi="Gill Sans MT" w:cs="Gill Sans MT"/>
          <w:color w:val="161616"/>
        </w:rPr>
        <w:t>ACOs.</w:t>
      </w:r>
    </w:p>
    <w:p w:rsidR="002C5025" w:rsidRDefault="002C5025">
      <w:pPr>
        <w:pStyle w:val="BodyText"/>
        <w:kinsoku w:val="0"/>
        <w:overflowPunct w:val="0"/>
        <w:spacing w:before="10"/>
        <w:rPr>
          <w:rFonts w:ascii="Gill Sans MT" w:hAnsi="Gill Sans MT" w:cs="Gill Sans MT"/>
          <w:sz w:val="21"/>
          <w:szCs w:val="21"/>
        </w:rPr>
      </w:pPr>
    </w:p>
    <w:p w:rsidR="002C5025" w:rsidRDefault="002C5025">
      <w:pPr>
        <w:pStyle w:val="ListParagraph"/>
        <w:numPr>
          <w:ilvl w:val="1"/>
          <w:numId w:val="6"/>
        </w:numPr>
        <w:tabs>
          <w:tab w:val="left" w:pos="983"/>
        </w:tabs>
        <w:kinsoku w:val="0"/>
        <w:overflowPunct w:val="0"/>
        <w:ind w:left="260" w:right="109" w:firstLine="360"/>
        <w:rPr>
          <w:rFonts w:ascii="Gill Sans MT" w:hAnsi="Gill Sans MT" w:cs="Gill Sans MT"/>
          <w:color w:val="161616"/>
          <w:sz w:val="22"/>
          <w:szCs w:val="22"/>
        </w:rPr>
      </w:pPr>
      <w:r>
        <w:rPr>
          <w:rFonts w:ascii="Gill Sans MT" w:hAnsi="Gill Sans MT" w:cs="Gill Sans MT"/>
          <w:b/>
          <w:bCs/>
          <w:color w:val="161616"/>
          <w:sz w:val="22"/>
          <w:szCs w:val="22"/>
        </w:rPr>
        <w:t>We</w:t>
      </w:r>
      <w:r>
        <w:rPr>
          <w:rFonts w:ascii="Gill Sans MT" w:hAnsi="Gill Sans MT" w:cs="Gill Sans MT"/>
          <w:b/>
          <w:bCs/>
          <w:color w:val="161616"/>
          <w:spacing w:val="-17"/>
          <w:sz w:val="22"/>
          <w:szCs w:val="22"/>
        </w:rPr>
        <w:t xml:space="preserve"> </w:t>
      </w:r>
      <w:r>
        <w:rPr>
          <w:rFonts w:ascii="Gill Sans MT" w:hAnsi="Gill Sans MT" w:cs="Gill Sans MT"/>
          <w:b/>
          <w:bCs/>
          <w:color w:val="161616"/>
          <w:sz w:val="22"/>
          <w:szCs w:val="22"/>
        </w:rPr>
        <w:t>strongly</w:t>
      </w:r>
      <w:r>
        <w:rPr>
          <w:rFonts w:ascii="Gill Sans MT" w:hAnsi="Gill Sans MT" w:cs="Gill Sans MT"/>
          <w:b/>
          <w:bCs/>
          <w:color w:val="161616"/>
          <w:spacing w:val="-19"/>
          <w:sz w:val="22"/>
          <w:szCs w:val="22"/>
        </w:rPr>
        <w:t xml:space="preserve"> </w:t>
      </w:r>
      <w:r>
        <w:rPr>
          <w:rFonts w:ascii="Gill Sans MT" w:hAnsi="Gill Sans MT" w:cs="Gill Sans MT"/>
          <w:b/>
          <w:bCs/>
          <w:color w:val="161616"/>
          <w:sz w:val="22"/>
          <w:szCs w:val="22"/>
        </w:rPr>
        <w:t>support</w:t>
      </w:r>
      <w:r>
        <w:rPr>
          <w:rFonts w:ascii="Gill Sans MT" w:hAnsi="Gill Sans MT" w:cs="Gill Sans MT"/>
          <w:b/>
          <w:bCs/>
          <w:color w:val="161616"/>
          <w:spacing w:val="-18"/>
          <w:sz w:val="22"/>
          <w:szCs w:val="22"/>
        </w:rPr>
        <w:t xml:space="preserve"> </w:t>
      </w:r>
      <w:r>
        <w:rPr>
          <w:rFonts w:ascii="Gill Sans MT" w:hAnsi="Gill Sans MT" w:cs="Gill Sans MT"/>
          <w:b/>
          <w:bCs/>
          <w:color w:val="161616"/>
          <w:sz w:val="22"/>
          <w:szCs w:val="22"/>
        </w:rPr>
        <w:t>the</w:t>
      </w:r>
      <w:r>
        <w:rPr>
          <w:rFonts w:ascii="Gill Sans MT" w:hAnsi="Gill Sans MT" w:cs="Gill Sans MT"/>
          <w:b/>
          <w:bCs/>
          <w:color w:val="161616"/>
          <w:spacing w:val="-19"/>
          <w:sz w:val="22"/>
          <w:szCs w:val="22"/>
        </w:rPr>
        <w:t xml:space="preserve"> </w:t>
      </w:r>
      <w:r>
        <w:rPr>
          <w:rFonts w:ascii="Gill Sans MT" w:hAnsi="Gill Sans MT" w:cs="Gill Sans MT"/>
          <w:b/>
          <w:bCs/>
          <w:color w:val="161616"/>
          <w:sz w:val="22"/>
          <w:szCs w:val="22"/>
        </w:rPr>
        <w:t>proposed</w:t>
      </w:r>
      <w:r>
        <w:rPr>
          <w:rFonts w:ascii="Gill Sans MT" w:hAnsi="Gill Sans MT" w:cs="Gill Sans MT"/>
          <w:b/>
          <w:bCs/>
          <w:color w:val="161616"/>
          <w:spacing w:val="-17"/>
          <w:sz w:val="22"/>
          <w:szCs w:val="22"/>
        </w:rPr>
        <w:t xml:space="preserve"> </w:t>
      </w:r>
      <w:r>
        <w:rPr>
          <w:rFonts w:ascii="Gill Sans MT" w:hAnsi="Gill Sans MT" w:cs="Gill Sans MT"/>
          <w:b/>
          <w:bCs/>
          <w:color w:val="161616"/>
          <w:sz w:val="22"/>
          <w:szCs w:val="22"/>
        </w:rPr>
        <w:t>investment</w:t>
      </w:r>
      <w:r>
        <w:rPr>
          <w:rFonts w:ascii="Gill Sans MT" w:hAnsi="Gill Sans MT" w:cs="Gill Sans MT"/>
          <w:b/>
          <w:bCs/>
          <w:color w:val="161616"/>
          <w:spacing w:val="-20"/>
          <w:sz w:val="22"/>
          <w:szCs w:val="22"/>
        </w:rPr>
        <w:t xml:space="preserve"> </w:t>
      </w:r>
      <w:r>
        <w:rPr>
          <w:rFonts w:ascii="Gill Sans MT" w:hAnsi="Gill Sans MT" w:cs="Gill Sans MT"/>
          <w:b/>
          <w:bCs/>
          <w:color w:val="161616"/>
          <w:sz w:val="22"/>
          <w:szCs w:val="22"/>
        </w:rPr>
        <w:t>in</w:t>
      </w:r>
      <w:r>
        <w:rPr>
          <w:rFonts w:ascii="Gill Sans MT" w:hAnsi="Gill Sans MT" w:cs="Gill Sans MT"/>
          <w:b/>
          <w:bCs/>
          <w:color w:val="161616"/>
          <w:spacing w:val="-17"/>
          <w:sz w:val="22"/>
          <w:szCs w:val="22"/>
        </w:rPr>
        <w:t xml:space="preserve"> </w:t>
      </w:r>
      <w:r>
        <w:rPr>
          <w:rFonts w:ascii="Gill Sans MT" w:hAnsi="Gill Sans MT" w:cs="Gill Sans MT"/>
          <w:b/>
          <w:bCs/>
          <w:color w:val="161616"/>
          <w:sz w:val="22"/>
          <w:szCs w:val="22"/>
        </w:rPr>
        <w:t>Healthcare</w:t>
      </w:r>
      <w:r>
        <w:rPr>
          <w:rFonts w:ascii="Gill Sans MT" w:hAnsi="Gill Sans MT" w:cs="Gill Sans MT"/>
          <w:b/>
          <w:bCs/>
          <w:color w:val="161616"/>
          <w:spacing w:val="-19"/>
          <w:sz w:val="22"/>
          <w:szCs w:val="22"/>
        </w:rPr>
        <w:t xml:space="preserve"> </w:t>
      </w:r>
      <w:r>
        <w:rPr>
          <w:rFonts w:ascii="Gill Sans MT" w:hAnsi="Gill Sans MT" w:cs="Gill Sans MT"/>
          <w:b/>
          <w:bCs/>
          <w:color w:val="161616"/>
          <w:sz w:val="22"/>
          <w:szCs w:val="22"/>
        </w:rPr>
        <w:t>Workforce</w:t>
      </w:r>
      <w:r>
        <w:rPr>
          <w:rFonts w:ascii="Gill Sans MT" w:hAnsi="Gill Sans MT" w:cs="Gill Sans MT"/>
          <w:b/>
          <w:bCs/>
          <w:color w:val="161616"/>
          <w:spacing w:val="-19"/>
          <w:sz w:val="22"/>
          <w:szCs w:val="22"/>
        </w:rPr>
        <w:t xml:space="preserve"> </w:t>
      </w:r>
      <w:r>
        <w:rPr>
          <w:rFonts w:ascii="Gill Sans MT" w:hAnsi="Gill Sans MT" w:cs="Gill Sans MT"/>
          <w:b/>
          <w:bCs/>
          <w:color w:val="161616"/>
          <w:sz w:val="22"/>
          <w:szCs w:val="22"/>
        </w:rPr>
        <w:t>Development</w:t>
      </w:r>
      <w:r>
        <w:rPr>
          <w:rFonts w:ascii="Gill Sans MT" w:hAnsi="Gill Sans MT" w:cs="Gill Sans MT"/>
          <w:b/>
          <w:bCs/>
          <w:color w:val="161616"/>
          <w:spacing w:val="-20"/>
          <w:sz w:val="22"/>
          <w:szCs w:val="22"/>
        </w:rPr>
        <w:t xml:space="preserve"> </w:t>
      </w:r>
      <w:r>
        <w:rPr>
          <w:rFonts w:ascii="Gill Sans MT" w:hAnsi="Gill Sans MT" w:cs="Gill Sans MT"/>
          <w:b/>
          <w:bCs/>
          <w:color w:val="161616"/>
          <w:sz w:val="22"/>
          <w:szCs w:val="22"/>
        </w:rPr>
        <w:t>&amp;</w:t>
      </w:r>
      <w:r>
        <w:rPr>
          <w:rFonts w:ascii="Gill Sans MT" w:hAnsi="Gill Sans MT" w:cs="Gill Sans MT"/>
          <w:b/>
          <w:bCs/>
          <w:color w:val="161616"/>
          <w:spacing w:val="-19"/>
          <w:sz w:val="22"/>
          <w:szCs w:val="22"/>
        </w:rPr>
        <w:t xml:space="preserve"> </w:t>
      </w:r>
      <w:r>
        <w:rPr>
          <w:rFonts w:ascii="Gill Sans MT" w:hAnsi="Gill Sans MT" w:cs="Gill Sans MT"/>
          <w:b/>
          <w:bCs/>
          <w:color w:val="161616"/>
          <w:sz w:val="22"/>
          <w:szCs w:val="22"/>
        </w:rPr>
        <w:t xml:space="preserve">Training. </w:t>
      </w:r>
      <w:r>
        <w:rPr>
          <w:rFonts w:ascii="Gill Sans MT" w:hAnsi="Gill Sans MT" w:cs="Gill Sans MT"/>
          <w:color w:val="161616"/>
          <w:sz w:val="22"/>
          <w:szCs w:val="22"/>
        </w:rPr>
        <w:t>The</w:t>
      </w:r>
      <w:r>
        <w:rPr>
          <w:rFonts w:ascii="Gill Sans MT" w:hAnsi="Gill Sans MT" w:cs="Gill Sans MT"/>
          <w:color w:val="161616"/>
          <w:spacing w:val="-15"/>
          <w:sz w:val="22"/>
          <w:szCs w:val="22"/>
        </w:rPr>
        <w:t xml:space="preserve"> </w:t>
      </w:r>
      <w:r>
        <w:rPr>
          <w:rFonts w:ascii="Gill Sans MT" w:hAnsi="Gill Sans MT" w:cs="Gill Sans MT"/>
          <w:color w:val="161616"/>
          <w:sz w:val="22"/>
          <w:szCs w:val="22"/>
        </w:rPr>
        <w:t>Request</w:t>
      </w:r>
      <w:r>
        <w:rPr>
          <w:rFonts w:ascii="Gill Sans MT" w:hAnsi="Gill Sans MT" w:cs="Gill Sans MT"/>
          <w:color w:val="161616"/>
          <w:spacing w:val="-14"/>
          <w:sz w:val="22"/>
          <w:szCs w:val="22"/>
        </w:rPr>
        <w:t xml:space="preserve"> </w:t>
      </w:r>
      <w:r>
        <w:rPr>
          <w:rFonts w:ascii="Gill Sans MT" w:hAnsi="Gill Sans MT" w:cs="Gill Sans MT"/>
          <w:color w:val="161616"/>
          <w:sz w:val="22"/>
          <w:szCs w:val="22"/>
        </w:rPr>
        <w:t>envisions</w:t>
      </w:r>
      <w:r>
        <w:rPr>
          <w:rFonts w:ascii="Gill Sans MT" w:hAnsi="Gill Sans MT" w:cs="Gill Sans MT"/>
          <w:color w:val="161616"/>
          <w:spacing w:val="-16"/>
          <w:sz w:val="22"/>
          <w:szCs w:val="22"/>
        </w:rPr>
        <w:t xml:space="preserve"> </w:t>
      </w:r>
      <w:r>
        <w:rPr>
          <w:rFonts w:ascii="Gill Sans MT" w:hAnsi="Gill Sans MT" w:cs="Gill Sans MT"/>
          <w:color w:val="161616"/>
          <w:sz w:val="22"/>
          <w:szCs w:val="22"/>
        </w:rPr>
        <w:t>a</w:t>
      </w:r>
      <w:r>
        <w:rPr>
          <w:rFonts w:ascii="Gill Sans MT" w:hAnsi="Gill Sans MT" w:cs="Gill Sans MT"/>
          <w:color w:val="161616"/>
          <w:spacing w:val="-13"/>
          <w:sz w:val="22"/>
          <w:szCs w:val="22"/>
        </w:rPr>
        <w:t xml:space="preserve"> </w:t>
      </w:r>
      <w:r>
        <w:rPr>
          <w:rFonts w:ascii="Gill Sans MT" w:hAnsi="Gill Sans MT" w:cs="Gill Sans MT"/>
          <w:color w:val="161616"/>
          <w:sz w:val="22"/>
          <w:szCs w:val="22"/>
        </w:rPr>
        <w:t>workforce</w:t>
      </w:r>
      <w:r>
        <w:rPr>
          <w:rFonts w:ascii="Gill Sans MT" w:hAnsi="Gill Sans MT" w:cs="Gill Sans MT"/>
          <w:color w:val="161616"/>
          <w:spacing w:val="-12"/>
          <w:sz w:val="22"/>
          <w:szCs w:val="22"/>
        </w:rPr>
        <w:t xml:space="preserve"> </w:t>
      </w:r>
      <w:r>
        <w:rPr>
          <w:rFonts w:ascii="Gill Sans MT" w:hAnsi="Gill Sans MT" w:cs="Gill Sans MT"/>
          <w:color w:val="161616"/>
          <w:sz w:val="22"/>
          <w:szCs w:val="22"/>
        </w:rPr>
        <w:t>equipped</w:t>
      </w:r>
      <w:r>
        <w:rPr>
          <w:rFonts w:ascii="Gill Sans MT" w:hAnsi="Gill Sans MT" w:cs="Gill Sans MT"/>
          <w:color w:val="161616"/>
          <w:spacing w:val="-15"/>
          <w:sz w:val="22"/>
          <w:szCs w:val="22"/>
        </w:rPr>
        <w:t xml:space="preserve"> </w:t>
      </w:r>
      <w:r>
        <w:rPr>
          <w:rFonts w:ascii="Gill Sans MT" w:hAnsi="Gill Sans MT" w:cs="Gill Sans MT"/>
          <w:color w:val="161616"/>
          <w:sz w:val="22"/>
          <w:szCs w:val="22"/>
        </w:rPr>
        <w:t>to</w:t>
      </w:r>
      <w:r>
        <w:rPr>
          <w:rFonts w:ascii="Gill Sans MT" w:hAnsi="Gill Sans MT" w:cs="Gill Sans MT"/>
          <w:color w:val="161616"/>
          <w:spacing w:val="-14"/>
          <w:sz w:val="22"/>
          <w:szCs w:val="22"/>
        </w:rPr>
        <w:t xml:space="preserve"> </w:t>
      </w:r>
      <w:r>
        <w:rPr>
          <w:rFonts w:ascii="Gill Sans MT" w:hAnsi="Gill Sans MT" w:cs="Gill Sans MT"/>
          <w:color w:val="161616"/>
          <w:sz w:val="22"/>
          <w:szCs w:val="22"/>
        </w:rPr>
        <w:t>meet</w:t>
      </w:r>
      <w:r>
        <w:rPr>
          <w:rFonts w:ascii="Gill Sans MT" w:hAnsi="Gill Sans MT" w:cs="Gill Sans MT"/>
          <w:color w:val="161616"/>
          <w:spacing w:val="-11"/>
          <w:sz w:val="22"/>
          <w:szCs w:val="22"/>
        </w:rPr>
        <w:t xml:space="preserve"> </w:t>
      </w:r>
      <w:r>
        <w:rPr>
          <w:rFonts w:ascii="Gill Sans MT" w:hAnsi="Gill Sans MT" w:cs="Gill Sans MT"/>
          <w:color w:val="161616"/>
          <w:sz w:val="22"/>
          <w:szCs w:val="22"/>
        </w:rPr>
        <w:t>the</w:t>
      </w:r>
      <w:r>
        <w:rPr>
          <w:rFonts w:ascii="Gill Sans MT" w:hAnsi="Gill Sans MT" w:cs="Gill Sans MT"/>
          <w:color w:val="161616"/>
          <w:spacing w:val="-13"/>
          <w:sz w:val="22"/>
          <w:szCs w:val="22"/>
        </w:rPr>
        <w:t xml:space="preserve"> </w:t>
      </w:r>
      <w:r>
        <w:rPr>
          <w:rFonts w:ascii="Gill Sans MT" w:hAnsi="Gill Sans MT" w:cs="Gill Sans MT"/>
          <w:color w:val="161616"/>
          <w:sz w:val="22"/>
          <w:szCs w:val="22"/>
        </w:rPr>
        <w:t>increasing</w:t>
      </w:r>
      <w:r>
        <w:rPr>
          <w:rFonts w:ascii="Gill Sans MT" w:hAnsi="Gill Sans MT" w:cs="Gill Sans MT"/>
          <w:color w:val="161616"/>
          <w:spacing w:val="-13"/>
          <w:sz w:val="22"/>
          <w:szCs w:val="22"/>
        </w:rPr>
        <w:t xml:space="preserve"> </w:t>
      </w:r>
      <w:r>
        <w:rPr>
          <w:rFonts w:ascii="Gill Sans MT" w:hAnsi="Gill Sans MT" w:cs="Gill Sans MT"/>
          <w:color w:val="161616"/>
          <w:sz w:val="22"/>
          <w:szCs w:val="22"/>
        </w:rPr>
        <w:t>need</w:t>
      </w:r>
      <w:r>
        <w:rPr>
          <w:rFonts w:ascii="Gill Sans MT" w:hAnsi="Gill Sans MT" w:cs="Gill Sans MT"/>
          <w:color w:val="161616"/>
          <w:spacing w:val="-12"/>
          <w:sz w:val="22"/>
          <w:szCs w:val="22"/>
        </w:rPr>
        <w:t xml:space="preserve"> </w:t>
      </w:r>
      <w:r>
        <w:rPr>
          <w:rFonts w:ascii="Gill Sans MT" w:hAnsi="Gill Sans MT" w:cs="Gill Sans MT"/>
          <w:color w:val="161616"/>
          <w:sz w:val="22"/>
          <w:szCs w:val="22"/>
        </w:rPr>
        <w:t>for</w:t>
      </w:r>
      <w:r>
        <w:rPr>
          <w:rFonts w:ascii="Gill Sans MT" w:hAnsi="Gill Sans MT" w:cs="Gill Sans MT"/>
          <w:color w:val="161616"/>
          <w:spacing w:val="-13"/>
          <w:sz w:val="22"/>
          <w:szCs w:val="22"/>
        </w:rPr>
        <w:t xml:space="preserve"> </w:t>
      </w:r>
      <w:r>
        <w:rPr>
          <w:rFonts w:ascii="Gill Sans MT" w:hAnsi="Gill Sans MT" w:cs="Gill Sans MT"/>
          <w:color w:val="161616"/>
          <w:sz w:val="22"/>
          <w:szCs w:val="22"/>
        </w:rPr>
        <w:t>social</w:t>
      </w:r>
      <w:r>
        <w:rPr>
          <w:rFonts w:ascii="Gill Sans MT" w:hAnsi="Gill Sans MT" w:cs="Gill Sans MT"/>
          <w:color w:val="161616"/>
          <w:spacing w:val="-13"/>
          <w:sz w:val="22"/>
          <w:szCs w:val="22"/>
        </w:rPr>
        <w:t xml:space="preserve"> </w:t>
      </w:r>
      <w:r>
        <w:rPr>
          <w:rFonts w:ascii="Gill Sans MT" w:hAnsi="Gill Sans MT" w:cs="Gill Sans MT"/>
          <w:color w:val="161616"/>
          <w:sz w:val="22"/>
          <w:szCs w:val="22"/>
        </w:rPr>
        <w:t>work,</w:t>
      </w:r>
      <w:r>
        <w:rPr>
          <w:rFonts w:ascii="Gill Sans MT" w:hAnsi="Gill Sans MT" w:cs="Gill Sans MT"/>
          <w:color w:val="161616"/>
          <w:spacing w:val="-13"/>
          <w:sz w:val="22"/>
          <w:szCs w:val="22"/>
        </w:rPr>
        <w:t xml:space="preserve"> </w:t>
      </w:r>
      <w:r>
        <w:rPr>
          <w:rFonts w:ascii="Gill Sans MT" w:hAnsi="Gill Sans MT" w:cs="Gill Sans MT"/>
          <w:color w:val="161616"/>
          <w:sz w:val="22"/>
          <w:szCs w:val="22"/>
        </w:rPr>
        <w:t>behavioral</w:t>
      </w:r>
      <w:r>
        <w:rPr>
          <w:rFonts w:ascii="Gill Sans MT" w:hAnsi="Gill Sans MT" w:cs="Gill Sans MT"/>
          <w:color w:val="161616"/>
          <w:spacing w:val="-13"/>
          <w:sz w:val="22"/>
          <w:szCs w:val="22"/>
        </w:rPr>
        <w:t xml:space="preserve"> </w:t>
      </w:r>
      <w:r>
        <w:rPr>
          <w:rFonts w:ascii="Gill Sans MT" w:hAnsi="Gill Sans MT" w:cs="Gill Sans MT"/>
          <w:color w:val="161616"/>
          <w:sz w:val="22"/>
          <w:szCs w:val="22"/>
        </w:rPr>
        <w:t>health,</w:t>
      </w:r>
      <w:r>
        <w:rPr>
          <w:rFonts w:ascii="Gill Sans MT" w:hAnsi="Gill Sans MT" w:cs="Gill Sans MT"/>
          <w:color w:val="161616"/>
          <w:spacing w:val="-13"/>
          <w:sz w:val="22"/>
          <w:szCs w:val="22"/>
        </w:rPr>
        <w:t xml:space="preserve"> </w:t>
      </w:r>
      <w:r>
        <w:rPr>
          <w:rFonts w:ascii="Gill Sans MT" w:hAnsi="Gill Sans MT" w:cs="Gill Sans MT"/>
          <w:color w:val="161616"/>
          <w:sz w:val="22"/>
          <w:szCs w:val="22"/>
        </w:rPr>
        <w:t>and</w:t>
      </w:r>
      <w:r>
        <w:rPr>
          <w:rFonts w:ascii="Gill Sans MT" w:hAnsi="Gill Sans MT" w:cs="Gill Sans MT"/>
          <w:color w:val="161616"/>
          <w:spacing w:val="-15"/>
          <w:sz w:val="22"/>
          <w:szCs w:val="22"/>
        </w:rPr>
        <w:t xml:space="preserve"> </w:t>
      </w:r>
      <w:r>
        <w:rPr>
          <w:rFonts w:ascii="Gill Sans MT" w:hAnsi="Gill Sans MT" w:cs="Gill Sans MT"/>
          <w:color w:val="161616"/>
          <w:sz w:val="22"/>
          <w:szCs w:val="22"/>
        </w:rPr>
        <w:t xml:space="preserve">primary care </w:t>
      </w:r>
      <w:r>
        <w:rPr>
          <w:rFonts w:ascii="Gill Sans MT" w:hAnsi="Gill Sans MT" w:cs="Gill Sans MT"/>
          <w:color w:val="161616"/>
          <w:spacing w:val="-2"/>
          <w:sz w:val="22"/>
          <w:szCs w:val="22"/>
        </w:rPr>
        <w:t xml:space="preserve">services. </w:t>
      </w:r>
      <w:r>
        <w:rPr>
          <w:rFonts w:ascii="Gill Sans MT" w:hAnsi="Gill Sans MT" w:cs="Gill Sans MT"/>
          <w:color w:val="161616"/>
          <w:sz w:val="22"/>
          <w:szCs w:val="22"/>
        </w:rPr>
        <w:t xml:space="preserve">Community health centers are the heartbeat of such efforts and the Request wisely takes aim at </w:t>
      </w:r>
      <w:r>
        <w:rPr>
          <w:rFonts w:ascii="Gill Sans MT" w:hAnsi="Gill Sans MT" w:cs="Gill Sans MT"/>
          <w:color w:val="161616"/>
          <w:spacing w:val="-3"/>
          <w:sz w:val="22"/>
          <w:szCs w:val="22"/>
        </w:rPr>
        <w:t xml:space="preserve">current </w:t>
      </w:r>
      <w:r>
        <w:rPr>
          <w:rFonts w:ascii="Gill Sans MT" w:hAnsi="Gill Sans MT" w:cs="Gill Sans MT"/>
          <w:color w:val="161616"/>
          <w:sz w:val="22"/>
          <w:szCs w:val="22"/>
        </w:rPr>
        <w:t>barriers</w:t>
      </w:r>
      <w:r>
        <w:rPr>
          <w:rFonts w:ascii="Gill Sans MT" w:hAnsi="Gill Sans MT" w:cs="Gill Sans MT"/>
          <w:color w:val="161616"/>
          <w:spacing w:val="-18"/>
          <w:sz w:val="22"/>
          <w:szCs w:val="22"/>
        </w:rPr>
        <w:t xml:space="preserve"> </w:t>
      </w:r>
      <w:r>
        <w:rPr>
          <w:rFonts w:ascii="Gill Sans MT" w:hAnsi="Gill Sans MT" w:cs="Gill Sans MT"/>
          <w:color w:val="161616"/>
          <w:sz w:val="22"/>
          <w:szCs w:val="22"/>
        </w:rPr>
        <w:t>to</w:t>
      </w:r>
      <w:r>
        <w:rPr>
          <w:rFonts w:ascii="Gill Sans MT" w:hAnsi="Gill Sans MT" w:cs="Gill Sans MT"/>
          <w:color w:val="161616"/>
          <w:spacing w:val="-15"/>
          <w:sz w:val="22"/>
          <w:szCs w:val="22"/>
        </w:rPr>
        <w:t xml:space="preserve"> </w:t>
      </w:r>
      <w:r>
        <w:rPr>
          <w:rFonts w:ascii="Gill Sans MT" w:hAnsi="Gill Sans MT" w:cs="Gill Sans MT"/>
          <w:color w:val="161616"/>
          <w:sz w:val="22"/>
          <w:szCs w:val="22"/>
        </w:rPr>
        <w:t>pursuing</w:t>
      </w:r>
      <w:r>
        <w:rPr>
          <w:rFonts w:ascii="Gill Sans MT" w:hAnsi="Gill Sans MT" w:cs="Gill Sans MT"/>
          <w:color w:val="161616"/>
          <w:spacing w:val="-16"/>
          <w:sz w:val="22"/>
          <w:szCs w:val="22"/>
        </w:rPr>
        <w:t xml:space="preserve"> </w:t>
      </w:r>
      <w:r>
        <w:rPr>
          <w:rFonts w:ascii="Gill Sans MT" w:hAnsi="Gill Sans MT" w:cs="Gill Sans MT"/>
          <w:color w:val="161616"/>
          <w:sz w:val="22"/>
          <w:szCs w:val="22"/>
        </w:rPr>
        <w:t>careers</w:t>
      </w:r>
      <w:r>
        <w:rPr>
          <w:rFonts w:ascii="Gill Sans MT" w:hAnsi="Gill Sans MT" w:cs="Gill Sans MT"/>
          <w:color w:val="161616"/>
          <w:spacing w:val="-18"/>
          <w:sz w:val="22"/>
          <w:szCs w:val="22"/>
        </w:rPr>
        <w:t xml:space="preserve"> </w:t>
      </w:r>
      <w:r>
        <w:rPr>
          <w:rFonts w:ascii="Gill Sans MT" w:hAnsi="Gill Sans MT" w:cs="Gill Sans MT"/>
          <w:color w:val="161616"/>
          <w:sz w:val="22"/>
          <w:szCs w:val="22"/>
        </w:rPr>
        <w:t>in</w:t>
      </w:r>
      <w:r>
        <w:rPr>
          <w:rFonts w:ascii="Gill Sans MT" w:hAnsi="Gill Sans MT" w:cs="Gill Sans MT"/>
          <w:color w:val="161616"/>
          <w:spacing w:val="-15"/>
          <w:sz w:val="22"/>
          <w:szCs w:val="22"/>
        </w:rPr>
        <w:t xml:space="preserve"> </w:t>
      </w:r>
      <w:r>
        <w:rPr>
          <w:rFonts w:ascii="Gill Sans MT" w:hAnsi="Gill Sans MT" w:cs="Gill Sans MT"/>
          <w:color w:val="161616"/>
          <w:sz w:val="22"/>
          <w:szCs w:val="22"/>
        </w:rPr>
        <w:t>these</w:t>
      </w:r>
      <w:r>
        <w:rPr>
          <w:rFonts w:ascii="Gill Sans MT" w:hAnsi="Gill Sans MT" w:cs="Gill Sans MT"/>
          <w:color w:val="161616"/>
          <w:spacing w:val="-16"/>
          <w:sz w:val="22"/>
          <w:szCs w:val="22"/>
        </w:rPr>
        <w:t xml:space="preserve"> </w:t>
      </w:r>
      <w:r>
        <w:rPr>
          <w:rFonts w:ascii="Gill Sans MT" w:hAnsi="Gill Sans MT" w:cs="Gill Sans MT"/>
          <w:color w:val="161616"/>
          <w:sz w:val="22"/>
          <w:szCs w:val="22"/>
        </w:rPr>
        <w:t>disciplines</w:t>
      </w:r>
      <w:r>
        <w:rPr>
          <w:rFonts w:ascii="Gill Sans MT" w:hAnsi="Gill Sans MT" w:cs="Gill Sans MT"/>
          <w:color w:val="161616"/>
          <w:spacing w:val="-17"/>
          <w:sz w:val="22"/>
          <w:szCs w:val="22"/>
        </w:rPr>
        <w:t xml:space="preserve"> </w:t>
      </w:r>
      <w:r>
        <w:rPr>
          <w:rFonts w:ascii="Gill Sans MT" w:hAnsi="Gill Sans MT" w:cs="Gill Sans MT"/>
          <w:color w:val="161616"/>
          <w:sz w:val="22"/>
          <w:szCs w:val="22"/>
        </w:rPr>
        <w:t>and</w:t>
      </w:r>
      <w:r>
        <w:rPr>
          <w:rFonts w:ascii="Gill Sans MT" w:hAnsi="Gill Sans MT" w:cs="Gill Sans MT"/>
          <w:color w:val="161616"/>
          <w:spacing w:val="-15"/>
          <w:sz w:val="22"/>
          <w:szCs w:val="22"/>
        </w:rPr>
        <w:t xml:space="preserve"> </w:t>
      </w:r>
      <w:r>
        <w:rPr>
          <w:rFonts w:ascii="Gill Sans MT" w:hAnsi="Gill Sans MT" w:cs="Gill Sans MT"/>
          <w:color w:val="161616"/>
          <w:sz w:val="22"/>
          <w:szCs w:val="22"/>
        </w:rPr>
        <w:t>at</w:t>
      </w:r>
      <w:r>
        <w:rPr>
          <w:rFonts w:ascii="Gill Sans MT" w:hAnsi="Gill Sans MT" w:cs="Gill Sans MT"/>
          <w:color w:val="161616"/>
          <w:spacing w:val="-16"/>
          <w:sz w:val="22"/>
          <w:szCs w:val="22"/>
        </w:rPr>
        <w:t xml:space="preserve"> </w:t>
      </w:r>
      <w:r>
        <w:rPr>
          <w:rFonts w:ascii="Gill Sans MT" w:hAnsi="Gill Sans MT" w:cs="Gill Sans MT"/>
          <w:color w:val="161616"/>
          <w:sz w:val="22"/>
          <w:szCs w:val="22"/>
        </w:rPr>
        <w:t>these</w:t>
      </w:r>
      <w:r>
        <w:rPr>
          <w:rFonts w:ascii="Gill Sans MT" w:hAnsi="Gill Sans MT" w:cs="Gill Sans MT"/>
          <w:color w:val="161616"/>
          <w:spacing w:val="-16"/>
          <w:sz w:val="22"/>
          <w:szCs w:val="22"/>
        </w:rPr>
        <w:t xml:space="preserve"> </w:t>
      </w:r>
      <w:r>
        <w:rPr>
          <w:rFonts w:ascii="Gill Sans MT" w:hAnsi="Gill Sans MT" w:cs="Gill Sans MT"/>
          <w:color w:val="161616"/>
          <w:sz w:val="22"/>
          <w:szCs w:val="22"/>
        </w:rPr>
        <w:t>institutions.</w:t>
      </w:r>
    </w:p>
    <w:p w:rsidR="002C5025" w:rsidRDefault="002C5025">
      <w:pPr>
        <w:pStyle w:val="ListParagraph"/>
        <w:numPr>
          <w:ilvl w:val="1"/>
          <w:numId w:val="6"/>
        </w:numPr>
        <w:tabs>
          <w:tab w:val="left" w:pos="983"/>
        </w:tabs>
        <w:kinsoku w:val="0"/>
        <w:overflowPunct w:val="0"/>
        <w:ind w:left="260" w:right="109" w:firstLine="360"/>
        <w:rPr>
          <w:rFonts w:ascii="Gill Sans MT" w:hAnsi="Gill Sans MT" w:cs="Gill Sans MT"/>
          <w:color w:val="161616"/>
          <w:sz w:val="22"/>
          <w:szCs w:val="22"/>
        </w:rPr>
        <w:sectPr w:rsidR="002C5025">
          <w:pgSz w:w="12240" w:h="15840"/>
          <w:pgMar w:top="660" w:right="760" w:bottom="280" w:left="460" w:header="720" w:footer="720" w:gutter="0"/>
          <w:cols w:space="720" w:equalWidth="0">
            <w:col w:w="11020"/>
          </w:cols>
          <w:noEndnote/>
        </w:sectPr>
      </w:pPr>
    </w:p>
    <w:p w:rsidR="002C5025" w:rsidRDefault="002C5025">
      <w:pPr>
        <w:pStyle w:val="BodyText"/>
        <w:kinsoku w:val="0"/>
        <w:overflowPunct w:val="0"/>
        <w:spacing w:before="42"/>
        <w:ind w:left="380" w:right="87"/>
        <w:rPr>
          <w:rFonts w:ascii="Gill Sans MT" w:hAnsi="Gill Sans MT" w:cs="Gill Sans MT"/>
          <w:color w:val="161616"/>
        </w:rPr>
      </w:pPr>
      <w:r>
        <w:rPr>
          <w:rFonts w:ascii="Gill Sans MT" w:hAnsi="Gill Sans MT" w:cs="Gill Sans MT"/>
          <w:color w:val="161616"/>
        </w:rPr>
        <w:lastRenderedPageBreak/>
        <w:t xml:space="preserve">The </w:t>
      </w:r>
      <w:r>
        <w:rPr>
          <w:rFonts w:ascii="Gill Sans MT" w:hAnsi="Gill Sans MT" w:cs="Gill Sans MT"/>
          <w:color w:val="161616"/>
          <w:spacing w:val="-3"/>
        </w:rPr>
        <w:t xml:space="preserve">student </w:t>
      </w:r>
      <w:r>
        <w:rPr>
          <w:rFonts w:ascii="Gill Sans MT" w:hAnsi="Gill Sans MT" w:cs="Gill Sans MT"/>
          <w:color w:val="161616"/>
        </w:rPr>
        <w:t xml:space="preserve">loan repayment, primary care integration models </w:t>
      </w:r>
      <w:r>
        <w:rPr>
          <w:rFonts w:ascii="Gill Sans MT" w:hAnsi="Gill Sans MT" w:cs="Gill Sans MT"/>
          <w:color w:val="161616"/>
          <w:spacing w:val="-3"/>
        </w:rPr>
        <w:t xml:space="preserve">and </w:t>
      </w:r>
      <w:r>
        <w:rPr>
          <w:rFonts w:ascii="Gill Sans MT" w:hAnsi="Gill Sans MT" w:cs="Gill Sans MT"/>
          <w:color w:val="161616"/>
        </w:rPr>
        <w:t>retention strategy, and CHC program expansion components</w:t>
      </w:r>
      <w:r>
        <w:rPr>
          <w:rFonts w:ascii="Gill Sans MT" w:hAnsi="Gill Sans MT" w:cs="Gill Sans MT"/>
          <w:color w:val="161616"/>
          <w:spacing w:val="-12"/>
        </w:rPr>
        <w:t xml:space="preserve"> </w:t>
      </w:r>
      <w:r>
        <w:rPr>
          <w:rFonts w:ascii="Gill Sans MT" w:hAnsi="Gill Sans MT" w:cs="Gill Sans MT"/>
          <w:color w:val="161616"/>
        </w:rPr>
        <w:t>are</w:t>
      </w:r>
      <w:r>
        <w:rPr>
          <w:rFonts w:ascii="Gill Sans MT" w:hAnsi="Gill Sans MT" w:cs="Gill Sans MT"/>
          <w:color w:val="161616"/>
          <w:spacing w:val="-11"/>
        </w:rPr>
        <w:t xml:space="preserve"> </w:t>
      </w:r>
      <w:r>
        <w:rPr>
          <w:rFonts w:ascii="Gill Sans MT" w:hAnsi="Gill Sans MT" w:cs="Gill Sans MT"/>
          <w:color w:val="161616"/>
        </w:rPr>
        <w:t>each</w:t>
      </w:r>
      <w:r>
        <w:rPr>
          <w:rFonts w:ascii="Gill Sans MT" w:hAnsi="Gill Sans MT" w:cs="Gill Sans MT"/>
          <w:color w:val="161616"/>
          <w:spacing w:val="-11"/>
        </w:rPr>
        <w:t xml:space="preserve"> </w:t>
      </w:r>
      <w:r>
        <w:rPr>
          <w:rFonts w:ascii="Gill Sans MT" w:hAnsi="Gill Sans MT" w:cs="Gill Sans MT"/>
          <w:color w:val="161616"/>
        </w:rPr>
        <w:t>laudable</w:t>
      </w:r>
      <w:r>
        <w:rPr>
          <w:rFonts w:ascii="Gill Sans MT" w:hAnsi="Gill Sans MT" w:cs="Gill Sans MT"/>
          <w:color w:val="161616"/>
          <w:spacing w:val="-12"/>
        </w:rPr>
        <w:t xml:space="preserve"> </w:t>
      </w:r>
      <w:r>
        <w:rPr>
          <w:rFonts w:ascii="Gill Sans MT" w:hAnsi="Gill Sans MT" w:cs="Gill Sans MT"/>
          <w:color w:val="161616"/>
        </w:rPr>
        <w:t>for</w:t>
      </w:r>
      <w:r>
        <w:rPr>
          <w:rFonts w:ascii="Gill Sans MT" w:hAnsi="Gill Sans MT" w:cs="Gill Sans MT"/>
          <w:color w:val="161616"/>
          <w:spacing w:val="-12"/>
        </w:rPr>
        <w:t xml:space="preserve"> </w:t>
      </w:r>
      <w:r>
        <w:rPr>
          <w:rFonts w:ascii="Gill Sans MT" w:hAnsi="Gill Sans MT" w:cs="Gill Sans MT"/>
          <w:color w:val="161616"/>
        </w:rPr>
        <w:t>many</w:t>
      </w:r>
      <w:r>
        <w:rPr>
          <w:rFonts w:ascii="Gill Sans MT" w:hAnsi="Gill Sans MT" w:cs="Gill Sans MT"/>
          <w:color w:val="161616"/>
          <w:spacing w:val="-10"/>
        </w:rPr>
        <w:t xml:space="preserve"> </w:t>
      </w:r>
      <w:r>
        <w:rPr>
          <w:rFonts w:ascii="Gill Sans MT" w:hAnsi="Gill Sans MT" w:cs="Gill Sans MT"/>
          <w:color w:val="161616"/>
        </w:rPr>
        <w:t>reasons</w:t>
      </w:r>
      <w:r>
        <w:rPr>
          <w:rFonts w:ascii="Gill Sans MT" w:hAnsi="Gill Sans MT" w:cs="Gill Sans MT"/>
          <w:color w:val="161616"/>
          <w:spacing w:val="-12"/>
        </w:rPr>
        <w:t xml:space="preserve"> </w:t>
      </w:r>
      <w:r>
        <w:rPr>
          <w:rFonts w:ascii="Gill Sans MT" w:hAnsi="Gill Sans MT" w:cs="Gill Sans MT"/>
          <w:color w:val="161616"/>
        </w:rPr>
        <w:t>we</w:t>
      </w:r>
      <w:r>
        <w:rPr>
          <w:rFonts w:ascii="Gill Sans MT" w:hAnsi="Gill Sans MT" w:cs="Gill Sans MT"/>
          <w:color w:val="161616"/>
          <w:spacing w:val="-9"/>
        </w:rPr>
        <w:t xml:space="preserve"> </w:t>
      </w:r>
      <w:r>
        <w:rPr>
          <w:rFonts w:ascii="Gill Sans MT" w:hAnsi="Gill Sans MT" w:cs="Gill Sans MT"/>
          <w:color w:val="161616"/>
        </w:rPr>
        <w:t>need</w:t>
      </w:r>
      <w:r>
        <w:rPr>
          <w:rFonts w:ascii="Gill Sans MT" w:hAnsi="Gill Sans MT" w:cs="Gill Sans MT"/>
          <w:color w:val="161616"/>
          <w:spacing w:val="-11"/>
        </w:rPr>
        <w:t xml:space="preserve"> </w:t>
      </w:r>
      <w:r>
        <w:rPr>
          <w:rFonts w:ascii="Gill Sans MT" w:hAnsi="Gill Sans MT" w:cs="Gill Sans MT"/>
          <w:color w:val="161616"/>
        </w:rPr>
        <w:t>not</w:t>
      </w:r>
      <w:r>
        <w:rPr>
          <w:rFonts w:ascii="Gill Sans MT" w:hAnsi="Gill Sans MT" w:cs="Gill Sans MT"/>
          <w:color w:val="161616"/>
          <w:spacing w:val="-13"/>
        </w:rPr>
        <w:t xml:space="preserve"> </w:t>
      </w:r>
      <w:r>
        <w:rPr>
          <w:rFonts w:ascii="Gill Sans MT" w:hAnsi="Gill Sans MT" w:cs="Gill Sans MT"/>
          <w:color w:val="161616"/>
        </w:rPr>
        <w:t>detail</w:t>
      </w:r>
      <w:r>
        <w:rPr>
          <w:rFonts w:ascii="Gill Sans MT" w:hAnsi="Gill Sans MT" w:cs="Gill Sans MT"/>
          <w:color w:val="161616"/>
          <w:spacing w:val="-12"/>
        </w:rPr>
        <w:t xml:space="preserve"> </w:t>
      </w:r>
      <w:r>
        <w:rPr>
          <w:rFonts w:ascii="Gill Sans MT" w:hAnsi="Gill Sans MT" w:cs="Gill Sans MT"/>
          <w:color w:val="161616"/>
        </w:rPr>
        <w:t>here.</w:t>
      </w:r>
      <w:r>
        <w:rPr>
          <w:rFonts w:ascii="Gill Sans MT" w:hAnsi="Gill Sans MT" w:cs="Gill Sans MT"/>
          <w:color w:val="161616"/>
          <w:spacing w:val="-12"/>
        </w:rPr>
        <w:t xml:space="preserve"> </w:t>
      </w:r>
      <w:r>
        <w:rPr>
          <w:rFonts w:ascii="Gill Sans MT" w:hAnsi="Gill Sans MT" w:cs="Gill Sans MT"/>
          <w:color w:val="161616"/>
        </w:rPr>
        <w:t>Instead,</w:t>
      </w:r>
      <w:r>
        <w:rPr>
          <w:rFonts w:ascii="Gill Sans MT" w:hAnsi="Gill Sans MT" w:cs="Gill Sans MT"/>
          <w:color w:val="161616"/>
          <w:spacing w:val="-14"/>
        </w:rPr>
        <w:t xml:space="preserve"> </w:t>
      </w:r>
      <w:r>
        <w:rPr>
          <w:rFonts w:ascii="Gill Sans MT" w:hAnsi="Gill Sans MT" w:cs="Gill Sans MT"/>
          <w:color w:val="161616"/>
        </w:rPr>
        <w:t>we</w:t>
      </w:r>
      <w:r>
        <w:rPr>
          <w:rFonts w:ascii="Gill Sans MT" w:hAnsi="Gill Sans MT" w:cs="Gill Sans MT"/>
          <w:color w:val="161616"/>
          <w:spacing w:val="-9"/>
        </w:rPr>
        <w:t xml:space="preserve"> </w:t>
      </w:r>
      <w:r>
        <w:rPr>
          <w:rFonts w:ascii="Gill Sans MT" w:hAnsi="Gill Sans MT" w:cs="Gill Sans MT"/>
          <w:color w:val="161616"/>
        </w:rPr>
        <w:t>wish</w:t>
      </w:r>
      <w:r>
        <w:rPr>
          <w:rFonts w:ascii="Gill Sans MT" w:hAnsi="Gill Sans MT" w:cs="Gill Sans MT"/>
          <w:color w:val="161616"/>
          <w:spacing w:val="-11"/>
        </w:rPr>
        <w:t xml:space="preserve"> </w:t>
      </w:r>
      <w:r>
        <w:rPr>
          <w:rFonts w:ascii="Gill Sans MT" w:hAnsi="Gill Sans MT" w:cs="Gill Sans MT"/>
          <w:color w:val="161616"/>
        </w:rPr>
        <w:t>to</w:t>
      </w:r>
      <w:r>
        <w:rPr>
          <w:rFonts w:ascii="Gill Sans MT" w:hAnsi="Gill Sans MT" w:cs="Gill Sans MT"/>
          <w:color w:val="161616"/>
          <w:spacing w:val="-11"/>
        </w:rPr>
        <w:t xml:space="preserve"> </w:t>
      </w:r>
      <w:r>
        <w:rPr>
          <w:rFonts w:ascii="Gill Sans MT" w:hAnsi="Gill Sans MT" w:cs="Gill Sans MT"/>
          <w:color w:val="161616"/>
        </w:rPr>
        <w:t>punctuate</w:t>
      </w:r>
      <w:r>
        <w:rPr>
          <w:rFonts w:ascii="Gill Sans MT" w:hAnsi="Gill Sans MT" w:cs="Gill Sans MT"/>
          <w:color w:val="161616"/>
          <w:spacing w:val="-14"/>
        </w:rPr>
        <w:t xml:space="preserve"> </w:t>
      </w:r>
      <w:r>
        <w:rPr>
          <w:rFonts w:ascii="Gill Sans MT" w:hAnsi="Gill Sans MT" w:cs="Gill Sans MT"/>
          <w:color w:val="161616"/>
        </w:rPr>
        <w:t>the</w:t>
      </w:r>
      <w:r>
        <w:rPr>
          <w:rFonts w:ascii="Gill Sans MT" w:hAnsi="Gill Sans MT" w:cs="Gill Sans MT"/>
          <w:color w:val="161616"/>
          <w:spacing w:val="-12"/>
        </w:rPr>
        <w:t xml:space="preserve"> </w:t>
      </w:r>
      <w:r>
        <w:rPr>
          <w:rFonts w:ascii="Gill Sans MT" w:hAnsi="Gill Sans MT" w:cs="Gill Sans MT"/>
          <w:color w:val="161616"/>
        </w:rPr>
        <w:t>wisdom</w:t>
      </w:r>
      <w:r>
        <w:rPr>
          <w:rFonts w:ascii="Gill Sans MT" w:hAnsi="Gill Sans MT" w:cs="Gill Sans MT"/>
          <w:color w:val="161616"/>
          <w:spacing w:val="-11"/>
        </w:rPr>
        <w:t xml:space="preserve"> </w:t>
      </w:r>
      <w:r>
        <w:rPr>
          <w:rFonts w:ascii="Gill Sans MT" w:hAnsi="Gill Sans MT" w:cs="Gill Sans MT"/>
          <w:color w:val="161616"/>
        </w:rPr>
        <w:t>of</w:t>
      </w:r>
      <w:r>
        <w:rPr>
          <w:rFonts w:ascii="Gill Sans MT" w:hAnsi="Gill Sans MT" w:cs="Gill Sans MT"/>
          <w:color w:val="161616"/>
          <w:spacing w:val="-11"/>
        </w:rPr>
        <w:t xml:space="preserve"> </w:t>
      </w:r>
      <w:r>
        <w:rPr>
          <w:rFonts w:ascii="Gill Sans MT" w:hAnsi="Gill Sans MT" w:cs="Gill Sans MT"/>
          <w:color w:val="161616"/>
        </w:rPr>
        <w:t xml:space="preserve">the Workforce Development </w:t>
      </w:r>
      <w:r>
        <w:rPr>
          <w:rFonts w:ascii="Gill Sans MT" w:hAnsi="Gill Sans MT" w:cs="Gill Sans MT"/>
          <w:color w:val="161616"/>
          <w:spacing w:val="-2"/>
        </w:rPr>
        <w:t xml:space="preserve">component </w:t>
      </w:r>
      <w:r>
        <w:rPr>
          <w:rFonts w:ascii="Gill Sans MT" w:hAnsi="Gill Sans MT" w:cs="Gill Sans MT"/>
          <w:color w:val="161616"/>
        </w:rPr>
        <w:t>given new (positive) pressures on providers to “treat” members’ SDH. With the right</w:t>
      </w:r>
      <w:r>
        <w:rPr>
          <w:rFonts w:ascii="Gill Sans MT" w:hAnsi="Gill Sans MT" w:cs="Gill Sans MT"/>
          <w:color w:val="161616"/>
          <w:spacing w:val="-11"/>
        </w:rPr>
        <w:t xml:space="preserve"> </w:t>
      </w:r>
      <w:r>
        <w:rPr>
          <w:rFonts w:ascii="Gill Sans MT" w:hAnsi="Gill Sans MT" w:cs="Gill Sans MT"/>
          <w:color w:val="161616"/>
        </w:rPr>
        <w:t>support</w:t>
      </w:r>
      <w:r>
        <w:rPr>
          <w:rFonts w:ascii="Gill Sans MT" w:hAnsi="Gill Sans MT" w:cs="Gill Sans MT"/>
          <w:color w:val="161616"/>
          <w:spacing w:val="-9"/>
        </w:rPr>
        <w:t xml:space="preserve"> </w:t>
      </w:r>
      <w:r>
        <w:rPr>
          <w:rFonts w:ascii="Gill Sans MT" w:hAnsi="Gill Sans MT" w:cs="Gill Sans MT"/>
          <w:color w:val="161616"/>
        </w:rPr>
        <w:t>for</w:t>
      </w:r>
      <w:r>
        <w:rPr>
          <w:rFonts w:ascii="Gill Sans MT" w:hAnsi="Gill Sans MT" w:cs="Gill Sans MT"/>
          <w:color w:val="161616"/>
          <w:spacing w:val="-13"/>
        </w:rPr>
        <w:t xml:space="preserve"> </w:t>
      </w:r>
      <w:r>
        <w:rPr>
          <w:rFonts w:ascii="Gill Sans MT" w:hAnsi="Gill Sans MT" w:cs="Gill Sans MT"/>
          <w:color w:val="161616"/>
        </w:rPr>
        <w:t>the</w:t>
      </w:r>
      <w:r>
        <w:rPr>
          <w:rFonts w:ascii="Gill Sans MT" w:hAnsi="Gill Sans MT" w:cs="Gill Sans MT"/>
          <w:color w:val="161616"/>
          <w:spacing w:val="-10"/>
        </w:rPr>
        <w:t xml:space="preserve"> </w:t>
      </w:r>
      <w:r>
        <w:rPr>
          <w:rFonts w:ascii="Gill Sans MT" w:hAnsi="Gill Sans MT" w:cs="Gill Sans MT"/>
          <w:color w:val="161616"/>
        </w:rPr>
        <w:t>changing</w:t>
      </w:r>
      <w:r>
        <w:rPr>
          <w:rFonts w:ascii="Gill Sans MT" w:hAnsi="Gill Sans MT" w:cs="Gill Sans MT"/>
          <w:color w:val="161616"/>
          <w:spacing w:val="-15"/>
        </w:rPr>
        <w:t xml:space="preserve"> </w:t>
      </w:r>
      <w:r>
        <w:rPr>
          <w:rFonts w:ascii="Gill Sans MT" w:hAnsi="Gill Sans MT" w:cs="Gill Sans MT"/>
          <w:color w:val="161616"/>
        </w:rPr>
        <w:t>healthcare</w:t>
      </w:r>
      <w:r>
        <w:rPr>
          <w:rFonts w:ascii="Gill Sans MT" w:hAnsi="Gill Sans MT" w:cs="Gill Sans MT"/>
          <w:color w:val="161616"/>
          <w:spacing w:val="-13"/>
        </w:rPr>
        <w:t xml:space="preserve"> </w:t>
      </w:r>
      <w:r>
        <w:rPr>
          <w:rFonts w:ascii="Gill Sans MT" w:hAnsi="Gill Sans MT" w:cs="Gill Sans MT"/>
          <w:color w:val="161616"/>
        </w:rPr>
        <w:t>workforce,</w:t>
      </w:r>
      <w:r>
        <w:rPr>
          <w:rFonts w:ascii="Gill Sans MT" w:hAnsi="Gill Sans MT" w:cs="Gill Sans MT"/>
          <w:color w:val="161616"/>
          <w:spacing w:val="-10"/>
        </w:rPr>
        <w:t xml:space="preserve"> </w:t>
      </w:r>
      <w:r>
        <w:rPr>
          <w:rFonts w:ascii="Gill Sans MT" w:hAnsi="Gill Sans MT" w:cs="Gill Sans MT"/>
          <w:color w:val="161616"/>
        </w:rPr>
        <w:t>we</w:t>
      </w:r>
      <w:r>
        <w:rPr>
          <w:rFonts w:ascii="Gill Sans MT" w:hAnsi="Gill Sans MT" w:cs="Gill Sans MT"/>
          <w:color w:val="161616"/>
          <w:spacing w:val="-12"/>
        </w:rPr>
        <w:t xml:space="preserve"> </w:t>
      </w:r>
      <w:r>
        <w:rPr>
          <w:rFonts w:ascii="Gill Sans MT" w:hAnsi="Gill Sans MT" w:cs="Gill Sans MT"/>
          <w:color w:val="161616"/>
        </w:rPr>
        <w:t>may</w:t>
      </w:r>
      <w:r>
        <w:rPr>
          <w:rFonts w:ascii="Gill Sans MT" w:hAnsi="Gill Sans MT" w:cs="Gill Sans MT"/>
          <w:color w:val="161616"/>
          <w:spacing w:val="-15"/>
        </w:rPr>
        <w:t xml:space="preserve"> </w:t>
      </w:r>
      <w:r>
        <w:rPr>
          <w:rFonts w:ascii="Gill Sans MT" w:hAnsi="Gill Sans MT" w:cs="Gill Sans MT"/>
          <w:color w:val="161616"/>
        </w:rPr>
        <w:t>see</w:t>
      </w:r>
      <w:r>
        <w:rPr>
          <w:rFonts w:ascii="Gill Sans MT" w:hAnsi="Gill Sans MT" w:cs="Gill Sans MT"/>
          <w:color w:val="161616"/>
          <w:spacing w:val="-12"/>
        </w:rPr>
        <w:t xml:space="preserve"> </w:t>
      </w:r>
      <w:r>
        <w:rPr>
          <w:rFonts w:ascii="Gill Sans MT" w:hAnsi="Gill Sans MT" w:cs="Gill Sans MT"/>
          <w:color w:val="161616"/>
        </w:rPr>
        <w:t>sickle</w:t>
      </w:r>
      <w:r>
        <w:rPr>
          <w:rFonts w:ascii="Gill Sans MT" w:hAnsi="Gill Sans MT" w:cs="Gill Sans MT"/>
          <w:color w:val="161616"/>
          <w:spacing w:val="-13"/>
        </w:rPr>
        <w:t xml:space="preserve"> </w:t>
      </w:r>
      <w:r>
        <w:rPr>
          <w:rFonts w:ascii="Gill Sans MT" w:hAnsi="Gill Sans MT" w:cs="Gill Sans MT"/>
          <w:color w:val="161616"/>
        </w:rPr>
        <w:t>cell</w:t>
      </w:r>
      <w:r>
        <w:rPr>
          <w:rFonts w:ascii="Gill Sans MT" w:hAnsi="Gill Sans MT" w:cs="Gill Sans MT"/>
          <w:color w:val="161616"/>
          <w:spacing w:val="-13"/>
        </w:rPr>
        <w:t xml:space="preserve"> </w:t>
      </w:r>
      <w:r>
        <w:rPr>
          <w:rFonts w:ascii="Gill Sans MT" w:hAnsi="Gill Sans MT" w:cs="Gill Sans MT"/>
          <w:color w:val="161616"/>
        </w:rPr>
        <w:t>episodes</w:t>
      </w:r>
      <w:r>
        <w:rPr>
          <w:rFonts w:ascii="Gill Sans MT" w:hAnsi="Gill Sans MT" w:cs="Gill Sans MT"/>
          <w:color w:val="161616"/>
          <w:spacing w:val="-13"/>
        </w:rPr>
        <w:t xml:space="preserve"> </w:t>
      </w:r>
      <w:r>
        <w:rPr>
          <w:rFonts w:ascii="Gill Sans MT" w:hAnsi="Gill Sans MT" w:cs="Gill Sans MT"/>
          <w:color w:val="161616"/>
        </w:rPr>
        <w:t>averted</w:t>
      </w:r>
      <w:r>
        <w:rPr>
          <w:rFonts w:ascii="Gill Sans MT" w:hAnsi="Gill Sans MT" w:cs="Gill Sans MT"/>
          <w:color w:val="161616"/>
          <w:spacing w:val="-14"/>
        </w:rPr>
        <w:t xml:space="preserve"> </w:t>
      </w:r>
      <w:r>
        <w:rPr>
          <w:rFonts w:ascii="Gill Sans MT" w:hAnsi="Gill Sans MT" w:cs="Gill Sans MT"/>
          <w:color w:val="161616"/>
        </w:rPr>
        <w:t>because</w:t>
      </w:r>
      <w:r>
        <w:rPr>
          <w:rFonts w:ascii="Gill Sans MT" w:hAnsi="Gill Sans MT" w:cs="Gill Sans MT"/>
          <w:color w:val="161616"/>
          <w:spacing w:val="-13"/>
        </w:rPr>
        <w:t xml:space="preserve"> </w:t>
      </w:r>
      <w:r>
        <w:rPr>
          <w:rFonts w:ascii="Gill Sans MT" w:hAnsi="Gill Sans MT" w:cs="Gill Sans MT"/>
          <w:color w:val="161616"/>
        </w:rPr>
        <w:t>a</w:t>
      </w:r>
      <w:r>
        <w:rPr>
          <w:rFonts w:ascii="Gill Sans MT" w:hAnsi="Gill Sans MT" w:cs="Gill Sans MT"/>
          <w:color w:val="161616"/>
          <w:spacing w:val="-13"/>
        </w:rPr>
        <w:t xml:space="preserve"> </w:t>
      </w:r>
      <w:r>
        <w:rPr>
          <w:rFonts w:ascii="Gill Sans MT" w:hAnsi="Gill Sans MT" w:cs="Gill Sans MT"/>
          <w:color w:val="161616"/>
        </w:rPr>
        <w:t>social</w:t>
      </w:r>
      <w:r>
        <w:rPr>
          <w:rFonts w:ascii="Gill Sans MT" w:hAnsi="Gill Sans MT" w:cs="Gill Sans MT"/>
          <w:color w:val="161616"/>
          <w:spacing w:val="-15"/>
        </w:rPr>
        <w:t xml:space="preserve"> </w:t>
      </w:r>
      <w:r>
        <w:rPr>
          <w:rFonts w:ascii="Gill Sans MT" w:hAnsi="Gill Sans MT" w:cs="Gill Sans MT"/>
          <w:color w:val="161616"/>
        </w:rPr>
        <w:t>worker</w:t>
      </w:r>
      <w:r>
        <w:rPr>
          <w:rFonts w:ascii="Gill Sans MT" w:hAnsi="Gill Sans MT" w:cs="Gill Sans MT"/>
          <w:color w:val="161616"/>
          <w:spacing w:val="-13"/>
        </w:rPr>
        <w:t xml:space="preserve"> </w:t>
      </w:r>
      <w:r>
        <w:rPr>
          <w:rFonts w:ascii="Gill Sans MT" w:hAnsi="Gill Sans MT" w:cs="Gill Sans MT"/>
          <w:color w:val="161616"/>
        </w:rPr>
        <w:t>can see that an oil tank is filled, while a Fuel Assistance application is pending. A social worker can pay rent for a patient confronting</w:t>
      </w:r>
      <w:r>
        <w:rPr>
          <w:rFonts w:ascii="Gill Sans MT" w:hAnsi="Gill Sans MT" w:cs="Gill Sans MT"/>
          <w:color w:val="161616"/>
          <w:spacing w:val="-12"/>
        </w:rPr>
        <w:t xml:space="preserve"> </w:t>
      </w:r>
      <w:r>
        <w:rPr>
          <w:rFonts w:ascii="Gill Sans MT" w:hAnsi="Gill Sans MT" w:cs="Gill Sans MT"/>
          <w:color w:val="161616"/>
        </w:rPr>
        <w:t>eviction</w:t>
      </w:r>
      <w:r>
        <w:rPr>
          <w:rFonts w:ascii="Gill Sans MT" w:hAnsi="Gill Sans MT" w:cs="Gill Sans MT"/>
          <w:color w:val="161616"/>
          <w:spacing w:val="-12"/>
        </w:rPr>
        <w:t xml:space="preserve"> </w:t>
      </w:r>
      <w:r>
        <w:rPr>
          <w:rFonts w:ascii="Gill Sans MT" w:hAnsi="Gill Sans MT" w:cs="Gill Sans MT"/>
          <w:color w:val="161616"/>
        </w:rPr>
        <w:t>while</w:t>
      </w:r>
      <w:r>
        <w:rPr>
          <w:rFonts w:ascii="Gill Sans MT" w:hAnsi="Gill Sans MT" w:cs="Gill Sans MT"/>
          <w:color w:val="161616"/>
          <w:spacing w:val="-9"/>
        </w:rPr>
        <w:t xml:space="preserve"> </w:t>
      </w:r>
      <w:r>
        <w:rPr>
          <w:rFonts w:ascii="Gill Sans MT" w:hAnsi="Gill Sans MT" w:cs="Gill Sans MT"/>
          <w:color w:val="161616"/>
        </w:rPr>
        <w:t>a</w:t>
      </w:r>
      <w:r>
        <w:rPr>
          <w:rFonts w:ascii="Gill Sans MT" w:hAnsi="Gill Sans MT" w:cs="Gill Sans MT"/>
          <w:color w:val="161616"/>
          <w:spacing w:val="-13"/>
        </w:rPr>
        <w:t xml:space="preserve"> </w:t>
      </w:r>
      <w:r>
        <w:rPr>
          <w:rFonts w:ascii="Gill Sans MT" w:hAnsi="Gill Sans MT" w:cs="Gill Sans MT"/>
          <w:color w:val="161616"/>
        </w:rPr>
        <w:t>public</w:t>
      </w:r>
      <w:r>
        <w:rPr>
          <w:rFonts w:ascii="Gill Sans MT" w:hAnsi="Gill Sans MT" w:cs="Gill Sans MT"/>
          <w:color w:val="161616"/>
          <w:spacing w:val="-12"/>
        </w:rPr>
        <w:t xml:space="preserve"> </w:t>
      </w:r>
      <w:r>
        <w:rPr>
          <w:rFonts w:ascii="Gill Sans MT" w:hAnsi="Gill Sans MT" w:cs="Gill Sans MT"/>
          <w:color w:val="161616"/>
        </w:rPr>
        <w:t>benefits</w:t>
      </w:r>
      <w:r>
        <w:rPr>
          <w:rFonts w:ascii="Gill Sans MT" w:hAnsi="Gill Sans MT" w:cs="Gill Sans MT"/>
          <w:color w:val="161616"/>
          <w:spacing w:val="-14"/>
        </w:rPr>
        <w:t xml:space="preserve"> </w:t>
      </w:r>
      <w:r>
        <w:rPr>
          <w:rFonts w:ascii="Gill Sans MT" w:hAnsi="Gill Sans MT" w:cs="Gill Sans MT"/>
          <w:color w:val="161616"/>
        </w:rPr>
        <w:t>appeal</w:t>
      </w:r>
      <w:r>
        <w:rPr>
          <w:rFonts w:ascii="Gill Sans MT" w:hAnsi="Gill Sans MT" w:cs="Gill Sans MT"/>
          <w:color w:val="161616"/>
          <w:spacing w:val="-12"/>
        </w:rPr>
        <w:t xml:space="preserve"> </w:t>
      </w:r>
      <w:r>
        <w:rPr>
          <w:rFonts w:ascii="Gill Sans MT" w:hAnsi="Gill Sans MT" w:cs="Gill Sans MT"/>
          <w:color w:val="161616"/>
        </w:rPr>
        <w:t>is</w:t>
      </w:r>
      <w:r>
        <w:rPr>
          <w:rFonts w:ascii="Gill Sans MT" w:hAnsi="Gill Sans MT" w:cs="Gill Sans MT"/>
          <w:color w:val="161616"/>
          <w:spacing w:val="-14"/>
        </w:rPr>
        <w:t xml:space="preserve"> </w:t>
      </w:r>
      <w:r>
        <w:rPr>
          <w:rFonts w:ascii="Gill Sans MT" w:hAnsi="Gill Sans MT" w:cs="Gill Sans MT"/>
          <w:color w:val="161616"/>
        </w:rPr>
        <w:t>pending.</w:t>
      </w:r>
      <w:r>
        <w:rPr>
          <w:rFonts w:ascii="Gill Sans MT" w:hAnsi="Gill Sans MT" w:cs="Gill Sans MT"/>
          <w:color w:val="161616"/>
          <w:spacing w:val="-9"/>
        </w:rPr>
        <w:t xml:space="preserve"> </w:t>
      </w:r>
      <w:r>
        <w:rPr>
          <w:rFonts w:ascii="Gill Sans MT" w:hAnsi="Gill Sans MT" w:cs="Gill Sans MT"/>
          <w:color w:val="161616"/>
        </w:rPr>
        <w:t>A</w:t>
      </w:r>
      <w:r>
        <w:rPr>
          <w:rFonts w:ascii="Gill Sans MT" w:hAnsi="Gill Sans MT" w:cs="Gill Sans MT"/>
          <w:color w:val="161616"/>
          <w:spacing w:val="-12"/>
        </w:rPr>
        <w:t xml:space="preserve"> </w:t>
      </w:r>
      <w:r>
        <w:rPr>
          <w:rFonts w:ascii="Gill Sans MT" w:hAnsi="Gill Sans MT" w:cs="Gill Sans MT"/>
          <w:color w:val="161616"/>
        </w:rPr>
        <w:t>lawyer</w:t>
      </w:r>
      <w:r>
        <w:rPr>
          <w:rFonts w:ascii="Gill Sans MT" w:hAnsi="Gill Sans MT" w:cs="Gill Sans MT"/>
          <w:color w:val="161616"/>
          <w:spacing w:val="-14"/>
        </w:rPr>
        <w:t xml:space="preserve"> </w:t>
      </w:r>
      <w:r>
        <w:rPr>
          <w:rFonts w:ascii="Gill Sans MT" w:hAnsi="Gill Sans MT" w:cs="Gill Sans MT"/>
          <w:color w:val="161616"/>
        </w:rPr>
        <w:t>can</w:t>
      </w:r>
      <w:r>
        <w:rPr>
          <w:rFonts w:ascii="Gill Sans MT" w:hAnsi="Gill Sans MT" w:cs="Gill Sans MT"/>
          <w:color w:val="161616"/>
          <w:spacing w:val="-9"/>
        </w:rPr>
        <w:t xml:space="preserve"> </w:t>
      </w:r>
      <w:r>
        <w:rPr>
          <w:rFonts w:ascii="Gill Sans MT" w:hAnsi="Gill Sans MT" w:cs="Gill Sans MT"/>
          <w:color w:val="161616"/>
        </w:rPr>
        <w:t>consult</w:t>
      </w:r>
      <w:r>
        <w:rPr>
          <w:rFonts w:ascii="Gill Sans MT" w:hAnsi="Gill Sans MT" w:cs="Gill Sans MT"/>
          <w:color w:val="161616"/>
          <w:spacing w:val="-10"/>
        </w:rPr>
        <w:t xml:space="preserve"> </w:t>
      </w:r>
      <w:r>
        <w:rPr>
          <w:rFonts w:ascii="Gill Sans MT" w:hAnsi="Gill Sans MT" w:cs="Gill Sans MT"/>
          <w:color w:val="161616"/>
        </w:rPr>
        <w:t>to</w:t>
      </w:r>
      <w:r>
        <w:rPr>
          <w:rFonts w:ascii="Gill Sans MT" w:hAnsi="Gill Sans MT" w:cs="Gill Sans MT"/>
          <w:color w:val="161616"/>
          <w:spacing w:val="-8"/>
        </w:rPr>
        <w:t xml:space="preserve"> </w:t>
      </w:r>
      <w:r>
        <w:rPr>
          <w:rFonts w:ascii="Gill Sans MT" w:hAnsi="Gill Sans MT" w:cs="Gill Sans MT"/>
          <w:color w:val="161616"/>
        </w:rPr>
        <w:t>assure</w:t>
      </w:r>
      <w:r>
        <w:rPr>
          <w:rFonts w:ascii="Gill Sans MT" w:hAnsi="Gill Sans MT" w:cs="Gill Sans MT"/>
          <w:color w:val="161616"/>
          <w:spacing w:val="-11"/>
        </w:rPr>
        <w:t xml:space="preserve"> </w:t>
      </w:r>
      <w:r>
        <w:rPr>
          <w:rFonts w:ascii="Gill Sans MT" w:hAnsi="Gill Sans MT" w:cs="Gill Sans MT"/>
          <w:color w:val="161616"/>
        </w:rPr>
        <w:t>the</w:t>
      </w:r>
      <w:r>
        <w:rPr>
          <w:rFonts w:ascii="Gill Sans MT" w:hAnsi="Gill Sans MT" w:cs="Gill Sans MT"/>
          <w:color w:val="161616"/>
          <w:spacing w:val="-12"/>
        </w:rPr>
        <w:t xml:space="preserve"> </w:t>
      </w:r>
      <w:r>
        <w:rPr>
          <w:rFonts w:ascii="Gill Sans MT" w:hAnsi="Gill Sans MT" w:cs="Gill Sans MT"/>
          <w:color w:val="161616"/>
        </w:rPr>
        <w:t>appeal</w:t>
      </w:r>
      <w:r>
        <w:rPr>
          <w:rFonts w:ascii="Gill Sans MT" w:hAnsi="Gill Sans MT" w:cs="Gill Sans MT"/>
          <w:color w:val="161616"/>
          <w:spacing w:val="-12"/>
        </w:rPr>
        <w:t xml:space="preserve"> </w:t>
      </w:r>
      <w:r>
        <w:rPr>
          <w:rFonts w:ascii="Gill Sans MT" w:hAnsi="Gill Sans MT" w:cs="Gill Sans MT"/>
          <w:color w:val="161616"/>
        </w:rPr>
        <w:t>is</w:t>
      </w:r>
      <w:r>
        <w:rPr>
          <w:rFonts w:ascii="Gill Sans MT" w:hAnsi="Gill Sans MT" w:cs="Gill Sans MT"/>
          <w:color w:val="161616"/>
          <w:spacing w:val="-12"/>
        </w:rPr>
        <w:t xml:space="preserve"> </w:t>
      </w:r>
      <w:r>
        <w:rPr>
          <w:rFonts w:ascii="Gill Sans MT" w:hAnsi="Gill Sans MT" w:cs="Gill Sans MT"/>
          <w:color w:val="161616"/>
        </w:rPr>
        <w:t>supported</w:t>
      </w:r>
      <w:r>
        <w:rPr>
          <w:rFonts w:ascii="Gill Sans MT" w:hAnsi="Gill Sans MT" w:cs="Gill Sans MT"/>
          <w:color w:val="161616"/>
          <w:spacing w:val="-9"/>
        </w:rPr>
        <w:t xml:space="preserve"> </w:t>
      </w:r>
      <w:r>
        <w:rPr>
          <w:rFonts w:ascii="Gill Sans MT" w:hAnsi="Gill Sans MT" w:cs="Gill Sans MT"/>
          <w:color w:val="161616"/>
        </w:rPr>
        <w:t>by</w:t>
      </w:r>
      <w:r>
        <w:rPr>
          <w:rFonts w:ascii="Gill Sans MT" w:hAnsi="Gill Sans MT" w:cs="Gill Sans MT"/>
          <w:color w:val="161616"/>
          <w:spacing w:val="-12"/>
        </w:rPr>
        <w:t xml:space="preserve"> </w:t>
      </w:r>
      <w:r>
        <w:rPr>
          <w:rFonts w:ascii="Gill Sans MT" w:hAnsi="Gill Sans MT" w:cs="Gill Sans MT"/>
          <w:color w:val="161616"/>
        </w:rPr>
        <w:t xml:space="preserve">a strong showing of relevant evidence. A pregnant woman who is spared homelessness because of this integrated care has an increased chance of full-term delivery and decreased risk of post-partum depression </w:t>
      </w:r>
      <w:r>
        <w:rPr>
          <w:rFonts w:ascii="Gill Sans MT" w:hAnsi="Gill Sans MT" w:cs="Gill Sans MT"/>
          <w:color w:val="000000"/>
        </w:rPr>
        <w:t>– advances toward health equity that</w:t>
      </w:r>
      <w:r>
        <w:rPr>
          <w:rFonts w:ascii="Gill Sans MT" w:hAnsi="Gill Sans MT" w:cs="Gill Sans MT"/>
          <w:color w:val="000000"/>
          <w:spacing w:val="-11"/>
        </w:rPr>
        <w:t xml:space="preserve"> </w:t>
      </w:r>
      <w:r>
        <w:rPr>
          <w:rFonts w:ascii="Gill Sans MT" w:hAnsi="Gill Sans MT" w:cs="Gill Sans MT"/>
          <w:color w:val="000000"/>
        </w:rPr>
        <w:t>correlate</w:t>
      </w:r>
      <w:r>
        <w:rPr>
          <w:rFonts w:ascii="Gill Sans MT" w:hAnsi="Gill Sans MT" w:cs="Gill Sans MT"/>
          <w:color w:val="000000"/>
          <w:spacing w:val="-12"/>
        </w:rPr>
        <w:t xml:space="preserve"> </w:t>
      </w:r>
      <w:r>
        <w:rPr>
          <w:rFonts w:ascii="Gill Sans MT" w:hAnsi="Gill Sans MT" w:cs="Gill Sans MT"/>
          <w:color w:val="000000"/>
        </w:rPr>
        <w:t>highly</w:t>
      </w:r>
      <w:r>
        <w:rPr>
          <w:rFonts w:ascii="Gill Sans MT" w:hAnsi="Gill Sans MT" w:cs="Gill Sans MT"/>
          <w:color w:val="000000"/>
          <w:spacing w:val="-14"/>
        </w:rPr>
        <w:t xml:space="preserve"> </w:t>
      </w:r>
      <w:r>
        <w:rPr>
          <w:rFonts w:ascii="Gill Sans MT" w:hAnsi="Gill Sans MT" w:cs="Gill Sans MT"/>
          <w:color w:val="000000"/>
        </w:rPr>
        <w:t>with</w:t>
      </w:r>
      <w:r>
        <w:rPr>
          <w:rFonts w:ascii="Gill Sans MT" w:hAnsi="Gill Sans MT" w:cs="Gill Sans MT"/>
          <w:color w:val="000000"/>
          <w:spacing w:val="-11"/>
        </w:rPr>
        <w:t xml:space="preserve"> </w:t>
      </w:r>
      <w:r>
        <w:rPr>
          <w:rFonts w:ascii="Gill Sans MT" w:hAnsi="Gill Sans MT" w:cs="Gill Sans MT"/>
          <w:color w:val="000000"/>
        </w:rPr>
        <w:t>better</w:t>
      </w:r>
      <w:r>
        <w:rPr>
          <w:rFonts w:ascii="Gill Sans MT" w:hAnsi="Gill Sans MT" w:cs="Gill Sans MT"/>
          <w:color w:val="000000"/>
          <w:spacing w:val="-12"/>
        </w:rPr>
        <w:t xml:space="preserve"> </w:t>
      </w:r>
      <w:r>
        <w:rPr>
          <w:rFonts w:ascii="Gill Sans MT" w:hAnsi="Gill Sans MT" w:cs="Gill Sans MT"/>
          <w:color w:val="000000"/>
        </w:rPr>
        <w:t>health</w:t>
      </w:r>
      <w:r>
        <w:rPr>
          <w:rFonts w:ascii="Gill Sans MT" w:hAnsi="Gill Sans MT" w:cs="Gill Sans MT"/>
          <w:color w:val="000000"/>
          <w:spacing w:val="-14"/>
        </w:rPr>
        <w:t xml:space="preserve"> </w:t>
      </w:r>
      <w:r>
        <w:rPr>
          <w:rFonts w:ascii="Gill Sans MT" w:hAnsi="Gill Sans MT" w:cs="Gill Sans MT"/>
          <w:color w:val="000000"/>
        </w:rPr>
        <w:t>outcomes</w:t>
      </w:r>
      <w:r>
        <w:rPr>
          <w:rFonts w:ascii="Gill Sans MT" w:hAnsi="Gill Sans MT" w:cs="Gill Sans MT"/>
          <w:color w:val="000000"/>
          <w:spacing w:val="-12"/>
        </w:rPr>
        <w:t xml:space="preserve"> </w:t>
      </w:r>
      <w:r>
        <w:rPr>
          <w:rFonts w:ascii="Gill Sans MT" w:hAnsi="Gill Sans MT" w:cs="Gill Sans MT"/>
          <w:color w:val="000000"/>
        </w:rPr>
        <w:t>and</w:t>
      </w:r>
      <w:r>
        <w:rPr>
          <w:rFonts w:ascii="Gill Sans MT" w:hAnsi="Gill Sans MT" w:cs="Gill Sans MT"/>
          <w:color w:val="000000"/>
          <w:spacing w:val="-14"/>
        </w:rPr>
        <w:t xml:space="preserve"> </w:t>
      </w:r>
      <w:r>
        <w:rPr>
          <w:rFonts w:ascii="Gill Sans MT" w:hAnsi="Gill Sans MT" w:cs="Gill Sans MT"/>
          <w:color w:val="000000"/>
        </w:rPr>
        <w:t>lower</w:t>
      </w:r>
      <w:r>
        <w:rPr>
          <w:rFonts w:ascii="Gill Sans MT" w:hAnsi="Gill Sans MT" w:cs="Gill Sans MT"/>
          <w:color w:val="000000"/>
          <w:spacing w:val="-14"/>
        </w:rPr>
        <w:t xml:space="preserve"> </w:t>
      </w:r>
      <w:r>
        <w:rPr>
          <w:rFonts w:ascii="Gill Sans MT" w:hAnsi="Gill Sans MT" w:cs="Gill Sans MT"/>
          <w:color w:val="000000"/>
        </w:rPr>
        <w:t>healthcare</w:t>
      </w:r>
      <w:r>
        <w:rPr>
          <w:rFonts w:ascii="Gill Sans MT" w:hAnsi="Gill Sans MT" w:cs="Gill Sans MT"/>
          <w:color w:val="000000"/>
          <w:spacing w:val="-12"/>
        </w:rPr>
        <w:t xml:space="preserve"> </w:t>
      </w:r>
      <w:r>
        <w:rPr>
          <w:rFonts w:ascii="Gill Sans MT" w:hAnsi="Gill Sans MT" w:cs="Gill Sans MT"/>
          <w:color w:val="000000"/>
        </w:rPr>
        <w:t>costs</w:t>
      </w:r>
      <w:r>
        <w:rPr>
          <w:rFonts w:ascii="Gill Sans MT" w:hAnsi="Gill Sans MT" w:cs="Gill Sans MT"/>
          <w:color w:val="000000"/>
          <w:spacing w:val="-12"/>
        </w:rPr>
        <w:t xml:space="preserve"> </w:t>
      </w:r>
      <w:r>
        <w:rPr>
          <w:rFonts w:ascii="Gill Sans MT" w:hAnsi="Gill Sans MT" w:cs="Gill Sans MT"/>
          <w:color w:val="000000"/>
        </w:rPr>
        <w:t>for</w:t>
      </w:r>
      <w:r>
        <w:rPr>
          <w:rFonts w:ascii="Gill Sans MT" w:hAnsi="Gill Sans MT" w:cs="Gill Sans MT"/>
          <w:color w:val="000000"/>
          <w:spacing w:val="-12"/>
        </w:rPr>
        <w:t xml:space="preserve"> </w:t>
      </w:r>
      <w:r>
        <w:rPr>
          <w:rFonts w:ascii="Gill Sans MT" w:hAnsi="Gill Sans MT" w:cs="Gill Sans MT"/>
          <w:color w:val="000000"/>
        </w:rPr>
        <w:t>mother</w:t>
      </w:r>
      <w:r>
        <w:rPr>
          <w:rFonts w:ascii="Gill Sans MT" w:hAnsi="Gill Sans MT" w:cs="Gill Sans MT"/>
          <w:color w:val="000000"/>
          <w:spacing w:val="-12"/>
        </w:rPr>
        <w:t xml:space="preserve"> </w:t>
      </w:r>
      <w:r>
        <w:rPr>
          <w:rFonts w:ascii="Gill Sans MT" w:hAnsi="Gill Sans MT" w:cs="Gill Sans MT"/>
          <w:color w:val="000000"/>
        </w:rPr>
        <w:t>and</w:t>
      </w:r>
      <w:r>
        <w:rPr>
          <w:rFonts w:ascii="Gill Sans MT" w:hAnsi="Gill Sans MT" w:cs="Gill Sans MT"/>
          <w:color w:val="000000"/>
          <w:spacing w:val="-14"/>
        </w:rPr>
        <w:t xml:space="preserve"> </w:t>
      </w:r>
      <w:r>
        <w:rPr>
          <w:rFonts w:ascii="Gill Sans MT" w:hAnsi="Gill Sans MT" w:cs="Gill Sans MT"/>
          <w:color w:val="000000"/>
        </w:rPr>
        <w:t>baby.</w:t>
      </w:r>
      <w:r>
        <w:rPr>
          <w:rFonts w:ascii="Gill Sans MT" w:hAnsi="Gill Sans MT" w:cs="Gill Sans MT"/>
          <w:color w:val="000000"/>
          <w:spacing w:val="-14"/>
        </w:rPr>
        <w:t xml:space="preserve"> </w:t>
      </w:r>
      <w:r>
        <w:rPr>
          <w:rFonts w:ascii="Gill Sans MT" w:hAnsi="Gill Sans MT" w:cs="Gill Sans MT"/>
          <w:color w:val="161616"/>
        </w:rPr>
        <w:t>This</w:t>
      </w:r>
      <w:r>
        <w:rPr>
          <w:rFonts w:ascii="Gill Sans MT" w:hAnsi="Gill Sans MT" w:cs="Gill Sans MT"/>
          <w:color w:val="161616"/>
          <w:spacing w:val="-12"/>
        </w:rPr>
        <w:t xml:space="preserve"> </w:t>
      </w:r>
      <w:r>
        <w:rPr>
          <w:rFonts w:ascii="Gill Sans MT" w:hAnsi="Gill Sans MT" w:cs="Gill Sans MT"/>
          <w:color w:val="161616"/>
        </w:rPr>
        <w:t>is</w:t>
      </w:r>
      <w:r>
        <w:rPr>
          <w:rFonts w:ascii="Gill Sans MT" w:hAnsi="Gill Sans MT" w:cs="Gill Sans MT"/>
          <w:color w:val="161616"/>
          <w:spacing w:val="-12"/>
        </w:rPr>
        <w:t xml:space="preserve"> </w:t>
      </w:r>
      <w:r>
        <w:rPr>
          <w:rFonts w:ascii="Gill Sans MT" w:hAnsi="Gill Sans MT" w:cs="Gill Sans MT"/>
          <w:color w:val="161616"/>
        </w:rPr>
        <w:t>the</w:t>
      </w:r>
      <w:r>
        <w:rPr>
          <w:rFonts w:ascii="Gill Sans MT" w:hAnsi="Gill Sans MT" w:cs="Gill Sans MT"/>
          <w:color w:val="161616"/>
          <w:spacing w:val="-9"/>
        </w:rPr>
        <w:t xml:space="preserve"> </w:t>
      </w:r>
      <w:r>
        <w:rPr>
          <w:rFonts w:ascii="Gill Sans MT" w:hAnsi="Gill Sans MT" w:cs="Gill Sans MT"/>
          <w:color w:val="161616"/>
        </w:rPr>
        <w:t>promise</w:t>
      </w:r>
      <w:r>
        <w:rPr>
          <w:rFonts w:ascii="Gill Sans MT" w:hAnsi="Gill Sans MT" w:cs="Gill Sans MT"/>
          <w:color w:val="161616"/>
          <w:spacing w:val="-11"/>
        </w:rPr>
        <w:t xml:space="preserve"> </w:t>
      </w:r>
      <w:r>
        <w:rPr>
          <w:rFonts w:ascii="Gill Sans MT" w:hAnsi="Gill Sans MT" w:cs="Gill Sans MT"/>
          <w:color w:val="161616"/>
        </w:rPr>
        <w:t>of health</w:t>
      </w:r>
      <w:r>
        <w:rPr>
          <w:rFonts w:ascii="Gill Sans MT" w:hAnsi="Gill Sans MT" w:cs="Gill Sans MT"/>
          <w:color w:val="161616"/>
          <w:spacing w:val="-11"/>
        </w:rPr>
        <w:t xml:space="preserve"> </w:t>
      </w:r>
      <w:r>
        <w:rPr>
          <w:rFonts w:ascii="Gill Sans MT" w:hAnsi="Gill Sans MT" w:cs="Gill Sans MT"/>
          <w:color w:val="161616"/>
        </w:rPr>
        <w:t>care</w:t>
      </w:r>
      <w:r>
        <w:rPr>
          <w:rFonts w:ascii="Gill Sans MT" w:hAnsi="Gill Sans MT" w:cs="Gill Sans MT"/>
          <w:color w:val="161616"/>
          <w:spacing w:val="-11"/>
        </w:rPr>
        <w:t xml:space="preserve"> </w:t>
      </w:r>
      <w:r>
        <w:rPr>
          <w:rFonts w:ascii="Gill Sans MT" w:hAnsi="Gill Sans MT" w:cs="Gill Sans MT"/>
          <w:color w:val="161616"/>
          <w:spacing w:val="-2"/>
        </w:rPr>
        <w:t>reform</w:t>
      </w:r>
      <w:r>
        <w:rPr>
          <w:rFonts w:ascii="Gill Sans MT" w:hAnsi="Gill Sans MT" w:cs="Gill Sans MT"/>
          <w:color w:val="161616"/>
          <w:spacing w:val="-11"/>
        </w:rPr>
        <w:t xml:space="preserve"> </w:t>
      </w:r>
      <w:r>
        <w:rPr>
          <w:rFonts w:ascii="Gill Sans MT" w:hAnsi="Gill Sans MT" w:cs="Gill Sans MT"/>
          <w:color w:val="161616"/>
        </w:rPr>
        <w:t>and</w:t>
      </w:r>
      <w:r>
        <w:rPr>
          <w:rFonts w:ascii="Gill Sans MT" w:hAnsi="Gill Sans MT" w:cs="Gill Sans MT"/>
          <w:color w:val="161616"/>
          <w:spacing w:val="-11"/>
        </w:rPr>
        <w:t xml:space="preserve"> </w:t>
      </w:r>
      <w:r>
        <w:rPr>
          <w:rFonts w:ascii="Gill Sans MT" w:hAnsi="Gill Sans MT" w:cs="Gill Sans MT"/>
          <w:color w:val="161616"/>
        </w:rPr>
        <w:t>we</w:t>
      </w:r>
      <w:r>
        <w:rPr>
          <w:rFonts w:ascii="Gill Sans MT" w:hAnsi="Gill Sans MT" w:cs="Gill Sans MT"/>
          <w:color w:val="161616"/>
          <w:spacing w:val="-11"/>
        </w:rPr>
        <w:t xml:space="preserve"> </w:t>
      </w:r>
      <w:r>
        <w:rPr>
          <w:rFonts w:ascii="Gill Sans MT" w:hAnsi="Gill Sans MT" w:cs="Gill Sans MT"/>
          <w:color w:val="161616"/>
        </w:rPr>
        <w:t>applaud</w:t>
      </w:r>
      <w:r>
        <w:rPr>
          <w:rFonts w:ascii="Gill Sans MT" w:hAnsi="Gill Sans MT" w:cs="Gill Sans MT"/>
          <w:color w:val="161616"/>
          <w:spacing w:val="-14"/>
        </w:rPr>
        <w:t xml:space="preserve"> </w:t>
      </w:r>
      <w:r>
        <w:rPr>
          <w:rFonts w:ascii="Gill Sans MT" w:hAnsi="Gill Sans MT" w:cs="Gill Sans MT"/>
          <w:color w:val="161616"/>
        </w:rPr>
        <w:t>the</w:t>
      </w:r>
      <w:r>
        <w:rPr>
          <w:rFonts w:ascii="Gill Sans MT" w:hAnsi="Gill Sans MT" w:cs="Gill Sans MT"/>
          <w:color w:val="161616"/>
          <w:spacing w:val="-14"/>
        </w:rPr>
        <w:t xml:space="preserve"> </w:t>
      </w:r>
      <w:r>
        <w:rPr>
          <w:rFonts w:ascii="Gill Sans MT" w:hAnsi="Gill Sans MT" w:cs="Gill Sans MT"/>
          <w:color w:val="161616"/>
        </w:rPr>
        <w:t>features</w:t>
      </w:r>
      <w:r>
        <w:rPr>
          <w:rFonts w:ascii="Gill Sans MT" w:hAnsi="Gill Sans MT" w:cs="Gill Sans MT"/>
          <w:color w:val="161616"/>
          <w:spacing w:val="-15"/>
        </w:rPr>
        <w:t xml:space="preserve"> </w:t>
      </w:r>
      <w:r>
        <w:rPr>
          <w:rFonts w:ascii="Gill Sans MT" w:hAnsi="Gill Sans MT" w:cs="Gill Sans MT"/>
          <w:color w:val="161616"/>
        </w:rPr>
        <w:t>of</w:t>
      </w:r>
      <w:r>
        <w:rPr>
          <w:rFonts w:ascii="Gill Sans MT" w:hAnsi="Gill Sans MT" w:cs="Gill Sans MT"/>
          <w:color w:val="161616"/>
          <w:spacing w:val="-11"/>
        </w:rPr>
        <w:t xml:space="preserve"> </w:t>
      </w:r>
      <w:r>
        <w:rPr>
          <w:rFonts w:ascii="Gill Sans MT" w:hAnsi="Gill Sans MT" w:cs="Gill Sans MT"/>
          <w:color w:val="161616"/>
        </w:rPr>
        <w:t>the</w:t>
      </w:r>
      <w:r>
        <w:rPr>
          <w:rFonts w:ascii="Gill Sans MT" w:hAnsi="Gill Sans MT" w:cs="Gill Sans MT"/>
          <w:color w:val="161616"/>
          <w:spacing w:val="-14"/>
        </w:rPr>
        <w:t xml:space="preserve"> </w:t>
      </w:r>
      <w:r>
        <w:rPr>
          <w:rFonts w:ascii="Gill Sans MT" w:hAnsi="Gill Sans MT" w:cs="Gill Sans MT"/>
          <w:color w:val="161616"/>
        </w:rPr>
        <w:t>Request</w:t>
      </w:r>
      <w:r>
        <w:rPr>
          <w:rFonts w:ascii="Gill Sans MT" w:hAnsi="Gill Sans MT" w:cs="Gill Sans MT"/>
          <w:color w:val="161616"/>
          <w:spacing w:val="-11"/>
        </w:rPr>
        <w:t xml:space="preserve"> </w:t>
      </w:r>
      <w:r>
        <w:rPr>
          <w:rFonts w:ascii="Gill Sans MT" w:hAnsi="Gill Sans MT" w:cs="Gill Sans MT"/>
          <w:color w:val="161616"/>
        </w:rPr>
        <w:t>–</w:t>
      </w:r>
      <w:r>
        <w:rPr>
          <w:rFonts w:ascii="Gill Sans MT" w:hAnsi="Gill Sans MT" w:cs="Gill Sans MT"/>
          <w:color w:val="161616"/>
          <w:spacing w:val="-11"/>
        </w:rPr>
        <w:t xml:space="preserve"> </w:t>
      </w:r>
      <w:r>
        <w:rPr>
          <w:rFonts w:ascii="Gill Sans MT" w:hAnsi="Gill Sans MT" w:cs="Gill Sans MT"/>
          <w:i/>
          <w:iCs/>
          <w:color w:val="161616"/>
        </w:rPr>
        <w:t>especially</w:t>
      </w:r>
      <w:r>
        <w:rPr>
          <w:rFonts w:ascii="Gill Sans MT" w:hAnsi="Gill Sans MT" w:cs="Gill Sans MT"/>
          <w:i/>
          <w:iCs/>
          <w:color w:val="161616"/>
          <w:spacing w:val="-11"/>
        </w:rPr>
        <w:t xml:space="preserve"> </w:t>
      </w:r>
      <w:r>
        <w:rPr>
          <w:rFonts w:ascii="Gill Sans MT" w:hAnsi="Gill Sans MT" w:cs="Gill Sans MT"/>
          <w:i/>
          <w:iCs/>
          <w:color w:val="161616"/>
        </w:rPr>
        <w:t>investment</w:t>
      </w:r>
      <w:r>
        <w:rPr>
          <w:rFonts w:ascii="Gill Sans MT" w:hAnsi="Gill Sans MT" w:cs="Gill Sans MT"/>
          <w:i/>
          <w:iCs/>
          <w:color w:val="161616"/>
          <w:spacing w:val="-14"/>
        </w:rPr>
        <w:t xml:space="preserve"> </w:t>
      </w:r>
      <w:r>
        <w:rPr>
          <w:rFonts w:ascii="Gill Sans MT" w:hAnsi="Gill Sans MT" w:cs="Gill Sans MT"/>
          <w:i/>
          <w:iCs/>
          <w:color w:val="161616"/>
        </w:rPr>
        <w:t>in</w:t>
      </w:r>
      <w:r>
        <w:rPr>
          <w:rFonts w:ascii="Gill Sans MT" w:hAnsi="Gill Sans MT" w:cs="Gill Sans MT"/>
          <w:i/>
          <w:iCs/>
          <w:color w:val="161616"/>
          <w:spacing w:val="-14"/>
        </w:rPr>
        <w:t xml:space="preserve"> </w:t>
      </w:r>
      <w:r>
        <w:rPr>
          <w:rFonts w:ascii="Gill Sans MT" w:hAnsi="Gill Sans MT" w:cs="Gill Sans MT"/>
          <w:i/>
          <w:iCs/>
          <w:color w:val="161616"/>
        </w:rPr>
        <w:t>workforce</w:t>
      </w:r>
      <w:r>
        <w:rPr>
          <w:rFonts w:ascii="Gill Sans MT" w:hAnsi="Gill Sans MT" w:cs="Gill Sans MT"/>
          <w:i/>
          <w:iCs/>
          <w:color w:val="161616"/>
          <w:spacing w:val="-12"/>
        </w:rPr>
        <w:t xml:space="preserve"> </w:t>
      </w:r>
      <w:r>
        <w:rPr>
          <w:rFonts w:ascii="Gill Sans MT" w:hAnsi="Gill Sans MT" w:cs="Gill Sans MT"/>
          <w:i/>
          <w:iCs/>
          <w:color w:val="161616"/>
        </w:rPr>
        <w:t>development</w:t>
      </w:r>
      <w:r>
        <w:rPr>
          <w:rFonts w:ascii="Gill Sans MT" w:hAnsi="Gill Sans MT" w:cs="Gill Sans MT"/>
          <w:i/>
          <w:iCs/>
          <w:color w:val="161616"/>
          <w:spacing w:val="-11"/>
        </w:rPr>
        <w:t xml:space="preserve"> </w:t>
      </w:r>
      <w:r>
        <w:rPr>
          <w:rFonts w:ascii="Gill Sans MT" w:hAnsi="Gill Sans MT" w:cs="Gill Sans MT"/>
          <w:i/>
          <w:iCs/>
          <w:color w:val="161616"/>
        </w:rPr>
        <w:t>given</w:t>
      </w:r>
      <w:r>
        <w:rPr>
          <w:rFonts w:ascii="Gill Sans MT" w:hAnsi="Gill Sans MT" w:cs="Gill Sans MT"/>
          <w:i/>
          <w:iCs/>
          <w:color w:val="161616"/>
          <w:spacing w:val="-12"/>
        </w:rPr>
        <w:t xml:space="preserve"> </w:t>
      </w:r>
      <w:r>
        <w:rPr>
          <w:rFonts w:ascii="Gill Sans MT" w:hAnsi="Gill Sans MT" w:cs="Gill Sans MT"/>
          <w:i/>
          <w:iCs/>
          <w:color w:val="161616"/>
        </w:rPr>
        <w:t>the</w:t>
      </w:r>
      <w:r>
        <w:rPr>
          <w:rFonts w:ascii="Gill Sans MT" w:hAnsi="Gill Sans MT" w:cs="Gill Sans MT"/>
          <w:i/>
          <w:iCs/>
          <w:color w:val="161616"/>
          <w:spacing w:val="-14"/>
        </w:rPr>
        <w:t xml:space="preserve"> </w:t>
      </w:r>
      <w:r>
        <w:rPr>
          <w:rFonts w:ascii="Gill Sans MT" w:hAnsi="Gill Sans MT" w:cs="Gill Sans MT"/>
          <w:i/>
          <w:iCs/>
          <w:color w:val="161616"/>
        </w:rPr>
        <w:t>skill- building</w:t>
      </w:r>
      <w:r>
        <w:rPr>
          <w:rFonts w:ascii="Gill Sans MT" w:hAnsi="Gill Sans MT" w:cs="Gill Sans MT"/>
          <w:i/>
          <w:iCs/>
          <w:color w:val="161616"/>
          <w:spacing w:val="-16"/>
        </w:rPr>
        <w:t xml:space="preserve"> </w:t>
      </w:r>
      <w:r>
        <w:rPr>
          <w:rFonts w:ascii="Gill Sans MT" w:hAnsi="Gill Sans MT" w:cs="Gill Sans MT"/>
          <w:i/>
          <w:iCs/>
          <w:color w:val="161616"/>
        </w:rPr>
        <w:t>and</w:t>
      </w:r>
      <w:r>
        <w:rPr>
          <w:rFonts w:ascii="Gill Sans MT" w:hAnsi="Gill Sans MT" w:cs="Gill Sans MT"/>
          <w:i/>
          <w:iCs/>
          <w:color w:val="161616"/>
          <w:spacing w:val="-14"/>
        </w:rPr>
        <w:t xml:space="preserve"> </w:t>
      </w:r>
      <w:r>
        <w:rPr>
          <w:rFonts w:ascii="Gill Sans MT" w:hAnsi="Gill Sans MT" w:cs="Gill Sans MT"/>
          <w:i/>
          <w:iCs/>
          <w:color w:val="161616"/>
        </w:rPr>
        <w:t>professional</w:t>
      </w:r>
      <w:r>
        <w:rPr>
          <w:rFonts w:ascii="Gill Sans MT" w:hAnsi="Gill Sans MT" w:cs="Gill Sans MT"/>
          <w:i/>
          <w:iCs/>
          <w:color w:val="161616"/>
          <w:spacing w:val="-14"/>
        </w:rPr>
        <w:t xml:space="preserve"> </w:t>
      </w:r>
      <w:r>
        <w:rPr>
          <w:rFonts w:ascii="Gill Sans MT" w:hAnsi="Gill Sans MT" w:cs="Gill Sans MT"/>
          <w:i/>
          <w:iCs/>
          <w:color w:val="161616"/>
        </w:rPr>
        <w:t>culture</w:t>
      </w:r>
      <w:r>
        <w:rPr>
          <w:rFonts w:ascii="Gill Sans MT" w:hAnsi="Gill Sans MT" w:cs="Gill Sans MT"/>
          <w:i/>
          <w:iCs/>
          <w:color w:val="161616"/>
          <w:spacing w:val="-14"/>
        </w:rPr>
        <w:t xml:space="preserve"> </w:t>
      </w:r>
      <w:r>
        <w:rPr>
          <w:rFonts w:ascii="Gill Sans MT" w:hAnsi="Gill Sans MT" w:cs="Gill Sans MT"/>
          <w:i/>
          <w:iCs/>
          <w:color w:val="161616"/>
        </w:rPr>
        <w:t>change</w:t>
      </w:r>
      <w:r>
        <w:rPr>
          <w:rFonts w:ascii="Gill Sans MT" w:hAnsi="Gill Sans MT" w:cs="Gill Sans MT"/>
          <w:i/>
          <w:iCs/>
          <w:color w:val="161616"/>
          <w:spacing w:val="-14"/>
        </w:rPr>
        <w:t xml:space="preserve"> </w:t>
      </w:r>
      <w:r>
        <w:rPr>
          <w:rFonts w:ascii="Gill Sans MT" w:hAnsi="Gill Sans MT" w:cs="Gill Sans MT"/>
          <w:i/>
          <w:iCs/>
          <w:color w:val="161616"/>
        </w:rPr>
        <w:t>required</w:t>
      </w:r>
      <w:r>
        <w:rPr>
          <w:rFonts w:ascii="Gill Sans MT" w:hAnsi="Gill Sans MT" w:cs="Gill Sans MT"/>
          <w:i/>
          <w:iCs/>
          <w:color w:val="161616"/>
          <w:spacing w:val="-16"/>
        </w:rPr>
        <w:t xml:space="preserve"> </w:t>
      </w:r>
      <w:r>
        <w:rPr>
          <w:rFonts w:ascii="Gill Sans MT" w:hAnsi="Gill Sans MT" w:cs="Gill Sans MT"/>
          <w:color w:val="161616"/>
        </w:rPr>
        <w:t>–</w:t>
      </w:r>
      <w:r>
        <w:rPr>
          <w:rFonts w:ascii="Gill Sans MT" w:hAnsi="Gill Sans MT" w:cs="Gill Sans MT"/>
          <w:color w:val="161616"/>
          <w:spacing w:val="-13"/>
        </w:rPr>
        <w:t xml:space="preserve"> </w:t>
      </w:r>
      <w:r>
        <w:rPr>
          <w:rFonts w:ascii="Gill Sans MT" w:hAnsi="Gill Sans MT" w:cs="Gill Sans MT"/>
          <w:color w:val="161616"/>
        </w:rPr>
        <w:t>that</w:t>
      </w:r>
      <w:r>
        <w:rPr>
          <w:rFonts w:ascii="Gill Sans MT" w:hAnsi="Gill Sans MT" w:cs="Gill Sans MT"/>
          <w:color w:val="161616"/>
          <w:spacing w:val="-12"/>
        </w:rPr>
        <w:t xml:space="preserve"> </w:t>
      </w:r>
      <w:r>
        <w:rPr>
          <w:rFonts w:ascii="Gill Sans MT" w:hAnsi="Gill Sans MT" w:cs="Gill Sans MT"/>
          <w:color w:val="161616"/>
        </w:rPr>
        <w:t>build</w:t>
      </w:r>
      <w:r>
        <w:rPr>
          <w:rFonts w:ascii="Gill Sans MT" w:hAnsi="Gill Sans MT" w:cs="Gill Sans MT"/>
          <w:color w:val="161616"/>
          <w:spacing w:val="-13"/>
        </w:rPr>
        <w:t xml:space="preserve"> </w:t>
      </w:r>
      <w:r>
        <w:rPr>
          <w:rFonts w:ascii="Gill Sans MT" w:hAnsi="Gill Sans MT" w:cs="Gill Sans MT"/>
          <w:color w:val="161616"/>
        </w:rPr>
        <w:t>in</w:t>
      </w:r>
      <w:r>
        <w:rPr>
          <w:rFonts w:ascii="Gill Sans MT" w:hAnsi="Gill Sans MT" w:cs="Gill Sans MT"/>
          <w:color w:val="161616"/>
          <w:spacing w:val="-16"/>
        </w:rPr>
        <w:t xml:space="preserve"> </w:t>
      </w:r>
      <w:r>
        <w:rPr>
          <w:rFonts w:ascii="Gill Sans MT" w:hAnsi="Gill Sans MT" w:cs="Gill Sans MT"/>
          <w:color w:val="161616"/>
        </w:rPr>
        <w:t>this</w:t>
      </w:r>
      <w:r>
        <w:rPr>
          <w:rFonts w:ascii="Gill Sans MT" w:hAnsi="Gill Sans MT" w:cs="Gill Sans MT"/>
          <w:color w:val="161616"/>
          <w:spacing w:val="-17"/>
        </w:rPr>
        <w:t xml:space="preserve"> </w:t>
      </w:r>
      <w:r>
        <w:rPr>
          <w:rFonts w:ascii="Gill Sans MT" w:hAnsi="Gill Sans MT" w:cs="Gill Sans MT"/>
          <w:color w:val="161616"/>
        </w:rPr>
        <w:t>direction.</w:t>
      </w:r>
    </w:p>
    <w:p w:rsidR="002C5025" w:rsidRDefault="002C5025">
      <w:pPr>
        <w:pStyle w:val="BodyText"/>
        <w:kinsoku w:val="0"/>
        <w:overflowPunct w:val="0"/>
        <w:spacing w:before="1"/>
        <w:rPr>
          <w:rFonts w:ascii="Gill Sans MT" w:hAnsi="Gill Sans MT" w:cs="Gill Sans MT"/>
          <w:sz w:val="17"/>
          <w:szCs w:val="17"/>
        </w:rPr>
      </w:pPr>
    </w:p>
    <w:p w:rsidR="002C5025" w:rsidRDefault="002C5025">
      <w:pPr>
        <w:pStyle w:val="BodyText"/>
        <w:numPr>
          <w:ilvl w:val="2"/>
          <w:numId w:val="6"/>
        </w:numPr>
        <w:tabs>
          <w:tab w:val="left" w:pos="1100"/>
        </w:tabs>
        <w:kinsoku w:val="0"/>
        <w:overflowPunct w:val="0"/>
        <w:ind w:right="601"/>
        <w:rPr>
          <w:rFonts w:ascii="Gill Sans MT" w:hAnsi="Gill Sans MT" w:cs="Gill Sans MT"/>
          <w:color w:val="161616"/>
        </w:rPr>
      </w:pPr>
      <w:bookmarkStart w:id="223" w:name="_We_applaud_the_clarification_that_DSRI"/>
      <w:bookmarkEnd w:id="223"/>
      <w:r>
        <w:rPr>
          <w:rFonts w:ascii="Gill Sans MT" w:hAnsi="Gill Sans MT" w:cs="Gill Sans MT"/>
          <w:b/>
          <w:bCs/>
          <w:color w:val="161616"/>
        </w:rPr>
        <w:t>We</w:t>
      </w:r>
      <w:r>
        <w:rPr>
          <w:rFonts w:ascii="Gill Sans MT" w:hAnsi="Gill Sans MT" w:cs="Gill Sans MT"/>
          <w:b/>
          <w:bCs/>
          <w:color w:val="161616"/>
          <w:spacing w:val="-15"/>
        </w:rPr>
        <w:t xml:space="preserve"> </w:t>
      </w:r>
      <w:r>
        <w:rPr>
          <w:rFonts w:ascii="Gill Sans MT" w:hAnsi="Gill Sans MT" w:cs="Gill Sans MT"/>
          <w:b/>
          <w:bCs/>
          <w:color w:val="161616"/>
        </w:rPr>
        <w:t>applaud</w:t>
      </w:r>
      <w:r>
        <w:rPr>
          <w:rFonts w:ascii="Gill Sans MT" w:hAnsi="Gill Sans MT" w:cs="Gill Sans MT"/>
          <w:b/>
          <w:bCs/>
          <w:color w:val="161616"/>
          <w:spacing w:val="-15"/>
        </w:rPr>
        <w:t xml:space="preserve"> </w:t>
      </w:r>
      <w:r>
        <w:rPr>
          <w:rFonts w:ascii="Gill Sans MT" w:hAnsi="Gill Sans MT" w:cs="Gill Sans MT"/>
          <w:b/>
          <w:bCs/>
          <w:color w:val="161616"/>
        </w:rPr>
        <w:t>the</w:t>
      </w:r>
      <w:r>
        <w:rPr>
          <w:rFonts w:ascii="Gill Sans MT" w:hAnsi="Gill Sans MT" w:cs="Gill Sans MT"/>
          <w:b/>
          <w:bCs/>
          <w:color w:val="161616"/>
          <w:spacing w:val="-15"/>
        </w:rPr>
        <w:t xml:space="preserve"> </w:t>
      </w:r>
      <w:r>
        <w:rPr>
          <w:rFonts w:ascii="Gill Sans MT" w:hAnsi="Gill Sans MT" w:cs="Gill Sans MT"/>
          <w:b/>
          <w:bCs/>
          <w:color w:val="161616"/>
        </w:rPr>
        <w:t>clarification</w:t>
      </w:r>
      <w:r>
        <w:rPr>
          <w:rFonts w:ascii="Gill Sans MT" w:hAnsi="Gill Sans MT" w:cs="Gill Sans MT"/>
          <w:b/>
          <w:bCs/>
          <w:color w:val="161616"/>
          <w:spacing w:val="-15"/>
        </w:rPr>
        <w:t xml:space="preserve"> </w:t>
      </w:r>
      <w:r>
        <w:rPr>
          <w:rFonts w:ascii="Gill Sans MT" w:hAnsi="Gill Sans MT" w:cs="Gill Sans MT"/>
          <w:b/>
          <w:bCs/>
          <w:color w:val="161616"/>
        </w:rPr>
        <w:t>that</w:t>
      </w:r>
      <w:r>
        <w:rPr>
          <w:rFonts w:ascii="Gill Sans MT" w:hAnsi="Gill Sans MT" w:cs="Gill Sans MT"/>
          <w:b/>
          <w:bCs/>
          <w:color w:val="161616"/>
          <w:spacing w:val="-17"/>
        </w:rPr>
        <w:t xml:space="preserve"> </w:t>
      </w:r>
      <w:r>
        <w:rPr>
          <w:rFonts w:ascii="Gill Sans MT" w:hAnsi="Gill Sans MT" w:cs="Gill Sans MT"/>
          <w:b/>
          <w:bCs/>
          <w:color w:val="161616"/>
        </w:rPr>
        <w:t>DSRIP</w:t>
      </w:r>
      <w:r>
        <w:rPr>
          <w:rFonts w:ascii="Gill Sans MT" w:hAnsi="Gill Sans MT" w:cs="Gill Sans MT"/>
          <w:b/>
          <w:bCs/>
          <w:color w:val="161616"/>
          <w:spacing w:val="-17"/>
        </w:rPr>
        <w:t xml:space="preserve"> </w:t>
      </w:r>
      <w:r>
        <w:rPr>
          <w:rFonts w:ascii="Gill Sans MT" w:hAnsi="Gill Sans MT" w:cs="Gill Sans MT"/>
          <w:b/>
          <w:bCs/>
          <w:color w:val="161616"/>
        </w:rPr>
        <w:t>funds</w:t>
      </w:r>
      <w:r>
        <w:rPr>
          <w:rFonts w:ascii="Gill Sans MT" w:hAnsi="Gill Sans MT" w:cs="Gill Sans MT"/>
          <w:b/>
          <w:bCs/>
          <w:color w:val="161616"/>
          <w:spacing w:val="-18"/>
        </w:rPr>
        <w:t xml:space="preserve"> </w:t>
      </w:r>
      <w:r>
        <w:rPr>
          <w:rFonts w:ascii="Gill Sans MT" w:hAnsi="Gill Sans MT" w:cs="Gill Sans MT"/>
          <w:b/>
          <w:bCs/>
          <w:color w:val="161616"/>
        </w:rPr>
        <w:t>can</w:t>
      </w:r>
      <w:r>
        <w:rPr>
          <w:rFonts w:ascii="Gill Sans MT" w:hAnsi="Gill Sans MT" w:cs="Gill Sans MT"/>
          <w:b/>
          <w:bCs/>
          <w:color w:val="161616"/>
          <w:spacing w:val="-17"/>
        </w:rPr>
        <w:t xml:space="preserve"> </w:t>
      </w:r>
      <w:r>
        <w:rPr>
          <w:rFonts w:ascii="Gill Sans MT" w:hAnsi="Gill Sans MT" w:cs="Gill Sans MT"/>
          <w:b/>
          <w:bCs/>
          <w:color w:val="161616"/>
        </w:rPr>
        <w:t>flow</w:t>
      </w:r>
      <w:r>
        <w:rPr>
          <w:rFonts w:ascii="Gill Sans MT" w:hAnsi="Gill Sans MT" w:cs="Gill Sans MT"/>
          <w:b/>
          <w:bCs/>
          <w:color w:val="161616"/>
          <w:spacing w:val="-13"/>
        </w:rPr>
        <w:t xml:space="preserve"> </w:t>
      </w:r>
      <w:r>
        <w:rPr>
          <w:rFonts w:ascii="Gill Sans MT" w:hAnsi="Gill Sans MT" w:cs="Gill Sans MT"/>
          <w:b/>
          <w:bCs/>
          <w:color w:val="161616"/>
        </w:rPr>
        <w:t>to</w:t>
      </w:r>
      <w:r>
        <w:rPr>
          <w:rFonts w:ascii="Gill Sans MT" w:hAnsi="Gill Sans MT" w:cs="Gill Sans MT"/>
          <w:b/>
          <w:bCs/>
          <w:color w:val="161616"/>
          <w:spacing w:val="-15"/>
        </w:rPr>
        <w:t xml:space="preserve"> </w:t>
      </w:r>
      <w:r>
        <w:rPr>
          <w:rFonts w:ascii="Gill Sans MT" w:hAnsi="Gill Sans MT" w:cs="Gill Sans MT"/>
          <w:b/>
          <w:bCs/>
          <w:color w:val="161616"/>
        </w:rPr>
        <w:t>appropriate</w:t>
      </w:r>
      <w:r>
        <w:rPr>
          <w:rFonts w:ascii="Gill Sans MT" w:hAnsi="Gill Sans MT" w:cs="Gill Sans MT"/>
          <w:b/>
          <w:bCs/>
          <w:color w:val="161616"/>
          <w:spacing w:val="-18"/>
        </w:rPr>
        <w:t xml:space="preserve"> </w:t>
      </w:r>
      <w:r>
        <w:rPr>
          <w:rFonts w:ascii="Gill Sans MT" w:hAnsi="Gill Sans MT" w:cs="Gill Sans MT"/>
          <w:b/>
          <w:bCs/>
          <w:color w:val="161616"/>
        </w:rPr>
        <w:t>social</w:t>
      </w:r>
      <w:r>
        <w:rPr>
          <w:rFonts w:ascii="Gill Sans MT" w:hAnsi="Gill Sans MT" w:cs="Gill Sans MT"/>
          <w:b/>
          <w:bCs/>
          <w:color w:val="161616"/>
          <w:spacing w:val="-13"/>
        </w:rPr>
        <w:t xml:space="preserve"> </w:t>
      </w:r>
      <w:r>
        <w:rPr>
          <w:rFonts w:ascii="Gill Sans MT" w:hAnsi="Gill Sans MT" w:cs="Gill Sans MT"/>
          <w:b/>
          <w:bCs/>
          <w:color w:val="161616"/>
        </w:rPr>
        <w:t>services</w:t>
      </w:r>
      <w:r>
        <w:rPr>
          <w:rFonts w:ascii="Gill Sans MT" w:hAnsi="Gill Sans MT" w:cs="Gill Sans MT"/>
          <w:b/>
          <w:bCs/>
          <w:color w:val="161616"/>
          <w:spacing w:val="-17"/>
        </w:rPr>
        <w:t xml:space="preserve"> </w:t>
      </w:r>
      <w:r>
        <w:rPr>
          <w:rFonts w:ascii="Gill Sans MT" w:hAnsi="Gill Sans MT" w:cs="Gill Sans MT"/>
          <w:b/>
          <w:bCs/>
          <w:color w:val="161616"/>
        </w:rPr>
        <w:t>providers either</w:t>
      </w:r>
      <w:r>
        <w:rPr>
          <w:rFonts w:ascii="Gill Sans MT" w:hAnsi="Gill Sans MT" w:cs="Gill Sans MT"/>
          <w:b/>
          <w:bCs/>
          <w:color w:val="161616"/>
          <w:spacing w:val="-16"/>
        </w:rPr>
        <w:t xml:space="preserve"> </w:t>
      </w:r>
      <w:r>
        <w:rPr>
          <w:rFonts w:ascii="Gill Sans MT" w:hAnsi="Gill Sans MT" w:cs="Gill Sans MT"/>
          <w:b/>
          <w:bCs/>
          <w:color w:val="161616"/>
        </w:rPr>
        <w:t>through</w:t>
      </w:r>
      <w:r>
        <w:rPr>
          <w:rFonts w:ascii="Gill Sans MT" w:hAnsi="Gill Sans MT" w:cs="Gill Sans MT"/>
          <w:b/>
          <w:bCs/>
          <w:color w:val="161616"/>
          <w:spacing w:val="-12"/>
        </w:rPr>
        <w:t xml:space="preserve"> </w:t>
      </w:r>
      <w:r>
        <w:rPr>
          <w:rFonts w:ascii="Gill Sans MT" w:hAnsi="Gill Sans MT" w:cs="Gill Sans MT"/>
          <w:b/>
          <w:bCs/>
          <w:color w:val="161616"/>
          <w:spacing w:val="-2"/>
        </w:rPr>
        <w:t>the</w:t>
      </w:r>
      <w:r>
        <w:rPr>
          <w:rFonts w:ascii="Gill Sans MT" w:hAnsi="Gill Sans MT" w:cs="Gill Sans MT"/>
          <w:b/>
          <w:bCs/>
          <w:color w:val="161616"/>
          <w:spacing w:val="-15"/>
        </w:rPr>
        <w:t xml:space="preserve"> </w:t>
      </w:r>
      <w:r>
        <w:rPr>
          <w:rFonts w:ascii="Gill Sans MT" w:hAnsi="Gill Sans MT" w:cs="Gill Sans MT"/>
          <w:b/>
          <w:bCs/>
          <w:color w:val="161616"/>
        </w:rPr>
        <w:t>ACO</w:t>
      </w:r>
      <w:r>
        <w:rPr>
          <w:rFonts w:ascii="Gill Sans MT" w:hAnsi="Gill Sans MT" w:cs="Gill Sans MT"/>
          <w:b/>
          <w:bCs/>
          <w:color w:val="161616"/>
          <w:spacing w:val="-15"/>
        </w:rPr>
        <w:t xml:space="preserve"> </w:t>
      </w:r>
      <w:r>
        <w:rPr>
          <w:rFonts w:ascii="Gill Sans MT" w:hAnsi="Gill Sans MT" w:cs="Gill Sans MT"/>
          <w:b/>
          <w:bCs/>
          <w:color w:val="161616"/>
        </w:rPr>
        <w:t>(or</w:t>
      </w:r>
      <w:r>
        <w:rPr>
          <w:rFonts w:ascii="Gill Sans MT" w:hAnsi="Gill Sans MT" w:cs="Gill Sans MT"/>
          <w:b/>
          <w:bCs/>
          <w:color w:val="161616"/>
          <w:spacing w:val="-18"/>
        </w:rPr>
        <w:t xml:space="preserve"> </w:t>
      </w:r>
      <w:r>
        <w:rPr>
          <w:rFonts w:ascii="Gill Sans MT" w:hAnsi="Gill Sans MT" w:cs="Gill Sans MT"/>
          <w:b/>
          <w:bCs/>
          <w:color w:val="161616"/>
        </w:rPr>
        <w:t>ACO/MCO)</w:t>
      </w:r>
      <w:r>
        <w:rPr>
          <w:rFonts w:ascii="Gill Sans MT" w:hAnsi="Gill Sans MT" w:cs="Gill Sans MT"/>
          <w:b/>
          <w:bCs/>
          <w:color w:val="161616"/>
          <w:spacing w:val="-17"/>
        </w:rPr>
        <w:t xml:space="preserve"> </w:t>
      </w:r>
      <w:r>
        <w:rPr>
          <w:rFonts w:ascii="Gill Sans MT" w:hAnsi="Gill Sans MT" w:cs="Gill Sans MT"/>
          <w:b/>
          <w:bCs/>
          <w:color w:val="161616"/>
        </w:rPr>
        <w:t>or</w:t>
      </w:r>
      <w:r>
        <w:rPr>
          <w:rFonts w:ascii="Gill Sans MT" w:hAnsi="Gill Sans MT" w:cs="Gill Sans MT"/>
          <w:b/>
          <w:bCs/>
          <w:color w:val="161616"/>
          <w:spacing w:val="-16"/>
        </w:rPr>
        <w:t xml:space="preserve"> </w:t>
      </w:r>
      <w:r>
        <w:rPr>
          <w:rFonts w:ascii="Gill Sans MT" w:hAnsi="Gill Sans MT" w:cs="Gill Sans MT"/>
          <w:b/>
          <w:bCs/>
          <w:color w:val="161616"/>
        </w:rPr>
        <w:t>via</w:t>
      </w:r>
      <w:r>
        <w:rPr>
          <w:rFonts w:ascii="Gill Sans MT" w:hAnsi="Gill Sans MT" w:cs="Gill Sans MT"/>
          <w:b/>
          <w:bCs/>
          <w:color w:val="161616"/>
          <w:spacing w:val="-16"/>
        </w:rPr>
        <w:t xml:space="preserve"> </w:t>
      </w:r>
      <w:r>
        <w:rPr>
          <w:rFonts w:ascii="Gill Sans MT" w:hAnsi="Gill Sans MT" w:cs="Gill Sans MT"/>
          <w:b/>
          <w:bCs/>
          <w:color w:val="161616"/>
        </w:rPr>
        <w:t>Certified</w:t>
      </w:r>
      <w:r>
        <w:rPr>
          <w:rFonts w:ascii="Gill Sans MT" w:hAnsi="Gill Sans MT" w:cs="Gill Sans MT"/>
          <w:b/>
          <w:bCs/>
          <w:color w:val="161616"/>
          <w:spacing w:val="-15"/>
        </w:rPr>
        <w:t xml:space="preserve"> </w:t>
      </w:r>
      <w:r>
        <w:rPr>
          <w:rFonts w:ascii="Gill Sans MT" w:hAnsi="Gill Sans MT" w:cs="Gill Sans MT"/>
          <w:b/>
          <w:bCs/>
          <w:color w:val="161616"/>
        </w:rPr>
        <w:t>Community</w:t>
      </w:r>
      <w:r>
        <w:rPr>
          <w:rFonts w:ascii="Gill Sans MT" w:hAnsi="Gill Sans MT" w:cs="Gill Sans MT"/>
          <w:b/>
          <w:bCs/>
          <w:color w:val="161616"/>
          <w:spacing w:val="-20"/>
        </w:rPr>
        <w:t xml:space="preserve"> </w:t>
      </w:r>
      <w:r>
        <w:rPr>
          <w:rFonts w:ascii="Gill Sans MT" w:hAnsi="Gill Sans MT" w:cs="Gill Sans MT"/>
          <w:b/>
          <w:bCs/>
          <w:color w:val="161616"/>
        </w:rPr>
        <w:t>Partners.</w:t>
      </w:r>
      <w:r>
        <w:rPr>
          <w:rFonts w:ascii="Gill Sans MT" w:hAnsi="Gill Sans MT" w:cs="Gill Sans MT"/>
          <w:b/>
          <w:bCs/>
          <w:color w:val="161616"/>
          <w:spacing w:val="-13"/>
        </w:rPr>
        <w:t xml:space="preserve"> </w:t>
      </w:r>
      <w:r>
        <w:rPr>
          <w:rFonts w:ascii="Gill Sans MT" w:hAnsi="Gill Sans MT" w:cs="Gill Sans MT"/>
          <w:color w:val="161616"/>
        </w:rPr>
        <w:t>The</w:t>
      </w:r>
      <w:r>
        <w:rPr>
          <w:rFonts w:ascii="Gill Sans MT" w:hAnsi="Gill Sans MT" w:cs="Gill Sans MT"/>
          <w:color w:val="161616"/>
          <w:spacing w:val="-16"/>
        </w:rPr>
        <w:t xml:space="preserve"> </w:t>
      </w:r>
      <w:r>
        <w:rPr>
          <w:rFonts w:ascii="Gill Sans MT" w:hAnsi="Gill Sans MT" w:cs="Gill Sans MT"/>
          <w:color w:val="161616"/>
        </w:rPr>
        <w:t>Graphical</w:t>
      </w:r>
    </w:p>
    <w:p w:rsidR="002C5025" w:rsidRDefault="002C5025">
      <w:pPr>
        <w:pStyle w:val="BodyText"/>
        <w:kinsoku w:val="0"/>
        <w:overflowPunct w:val="0"/>
        <w:spacing w:line="254" w:lineRule="exact"/>
        <w:ind w:left="379" w:right="87"/>
        <w:rPr>
          <w:rFonts w:ascii="Gill Sans MT" w:hAnsi="Gill Sans MT" w:cs="Gill Sans MT"/>
          <w:color w:val="161616"/>
        </w:rPr>
      </w:pPr>
      <w:r>
        <w:rPr>
          <w:rFonts w:ascii="Gill Sans MT" w:hAnsi="Gill Sans MT" w:cs="Gill Sans MT"/>
          <w:color w:val="161616"/>
        </w:rPr>
        <w:t>Overview at p. 33 was extremely responsive and helpful.</w:t>
      </w:r>
    </w:p>
    <w:p w:rsidR="002C5025" w:rsidRDefault="002C5025">
      <w:pPr>
        <w:pStyle w:val="BodyText"/>
        <w:kinsoku w:val="0"/>
        <w:overflowPunct w:val="0"/>
        <w:spacing w:before="10"/>
        <w:rPr>
          <w:rFonts w:ascii="Gill Sans MT" w:hAnsi="Gill Sans MT" w:cs="Gill Sans MT"/>
          <w:sz w:val="21"/>
          <w:szCs w:val="21"/>
        </w:rPr>
      </w:pPr>
    </w:p>
    <w:p w:rsidR="002C5025" w:rsidRDefault="002C5025">
      <w:pPr>
        <w:pStyle w:val="ListParagraph"/>
        <w:numPr>
          <w:ilvl w:val="2"/>
          <w:numId w:val="6"/>
        </w:numPr>
        <w:tabs>
          <w:tab w:val="left" w:pos="1103"/>
        </w:tabs>
        <w:kinsoku w:val="0"/>
        <w:overflowPunct w:val="0"/>
        <w:ind w:left="380" w:right="273" w:firstLine="360"/>
        <w:rPr>
          <w:rFonts w:ascii="Gill Sans MT" w:hAnsi="Gill Sans MT" w:cs="Gill Sans MT"/>
          <w:color w:val="161616"/>
          <w:sz w:val="22"/>
          <w:szCs w:val="22"/>
        </w:rPr>
      </w:pPr>
      <w:r>
        <w:rPr>
          <w:rFonts w:ascii="Gill Sans MT" w:hAnsi="Gill Sans MT" w:cs="Gill Sans MT"/>
          <w:b/>
          <w:bCs/>
          <w:color w:val="161616"/>
          <w:sz w:val="22"/>
          <w:szCs w:val="22"/>
        </w:rPr>
        <w:t>We</w:t>
      </w:r>
      <w:r>
        <w:rPr>
          <w:rFonts w:ascii="Gill Sans MT" w:hAnsi="Gill Sans MT" w:cs="Gill Sans MT"/>
          <w:b/>
          <w:bCs/>
          <w:color w:val="161616"/>
          <w:spacing w:val="-13"/>
          <w:sz w:val="22"/>
          <w:szCs w:val="22"/>
        </w:rPr>
        <w:t xml:space="preserve"> </w:t>
      </w:r>
      <w:r>
        <w:rPr>
          <w:rFonts w:ascii="Gill Sans MT" w:hAnsi="Gill Sans MT" w:cs="Gill Sans MT"/>
          <w:b/>
          <w:bCs/>
          <w:color w:val="161616"/>
          <w:sz w:val="22"/>
          <w:szCs w:val="22"/>
        </w:rPr>
        <w:t>applaud</w:t>
      </w:r>
      <w:r>
        <w:rPr>
          <w:rFonts w:ascii="Gill Sans MT" w:hAnsi="Gill Sans MT" w:cs="Gill Sans MT"/>
          <w:b/>
          <w:bCs/>
          <w:color w:val="161616"/>
          <w:spacing w:val="-11"/>
          <w:sz w:val="22"/>
          <w:szCs w:val="22"/>
        </w:rPr>
        <w:t xml:space="preserve"> </w:t>
      </w:r>
      <w:r>
        <w:rPr>
          <w:rFonts w:ascii="Gill Sans MT" w:hAnsi="Gill Sans MT" w:cs="Gill Sans MT"/>
          <w:b/>
          <w:bCs/>
          <w:color w:val="161616"/>
          <w:spacing w:val="-2"/>
          <w:sz w:val="22"/>
          <w:szCs w:val="22"/>
        </w:rPr>
        <w:t>the</w:t>
      </w:r>
      <w:r>
        <w:rPr>
          <w:rFonts w:ascii="Gill Sans MT" w:hAnsi="Gill Sans MT" w:cs="Gill Sans MT"/>
          <w:b/>
          <w:bCs/>
          <w:color w:val="161616"/>
          <w:spacing w:val="-13"/>
          <w:sz w:val="22"/>
          <w:szCs w:val="22"/>
        </w:rPr>
        <w:t xml:space="preserve"> </w:t>
      </w:r>
      <w:r>
        <w:rPr>
          <w:rFonts w:ascii="Gill Sans MT" w:hAnsi="Gill Sans MT" w:cs="Gill Sans MT"/>
          <w:b/>
          <w:bCs/>
          <w:color w:val="161616"/>
          <w:sz w:val="22"/>
          <w:szCs w:val="22"/>
        </w:rPr>
        <w:t>member-centered</w:t>
      </w:r>
      <w:r>
        <w:rPr>
          <w:rFonts w:ascii="Gill Sans MT" w:hAnsi="Gill Sans MT" w:cs="Gill Sans MT"/>
          <w:b/>
          <w:bCs/>
          <w:color w:val="161616"/>
          <w:spacing w:val="-11"/>
          <w:sz w:val="22"/>
          <w:szCs w:val="22"/>
        </w:rPr>
        <w:t xml:space="preserve"> </w:t>
      </w:r>
      <w:r>
        <w:rPr>
          <w:rFonts w:ascii="Gill Sans MT" w:hAnsi="Gill Sans MT" w:cs="Gill Sans MT"/>
          <w:b/>
          <w:bCs/>
          <w:color w:val="161616"/>
          <w:sz w:val="22"/>
          <w:szCs w:val="22"/>
        </w:rPr>
        <w:t>revisions</w:t>
      </w:r>
      <w:r>
        <w:rPr>
          <w:rFonts w:ascii="Gill Sans MT" w:hAnsi="Gill Sans MT" w:cs="Gill Sans MT"/>
          <w:b/>
          <w:bCs/>
          <w:color w:val="161616"/>
          <w:spacing w:val="-14"/>
          <w:sz w:val="22"/>
          <w:szCs w:val="22"/>
        </w:rPr>
        <w:t xml:space="preserve"> </w:t>
      </w:r>
      <w:r>
        <w:rPr>
          <w:rFonts w:ascii="Gill Sans MT" w:hAnsi="Gill Sans MT" w:cs="Gill Sans MT"/>
          <w:b/>
          <w:bCs/>
          <w:color w:val="161616"/>
          <w:sz w:val="22"/>
          <w:szCs w:val="22"/>
        </w:rPr>
        <w:t>to</w:t>
      </w:r>
      <w:r>
        <w:rPr>
          <w:rFonts w:ascii="Gill Sans MT" w:hAnsi="Gill Sans MT" w:cs="Gill Sans MT"/>
          <w:b/>
          <w:bCs/>
          <w:color w:val="161616"/>
          <w:spacing w:val="-13"/>
          <w:sz w:val="22"/>
          <w:szCs w:val="22"/>
        </w:rPr>
        <w:t xml:space="preserve"> </w:t>
      </w:r>
      <w:r>
        <w:rPr>
          <w:rFonts w:ascii="Gill Sans MT" w:hAnsi="Gill Sans MT" w:cs="Gill Sans MT"/>
          <w:b/>
          <w:bCs/>
          <w:color w:val="161616"/>
          <w:sz w:val="22"/>
          <w:szCs w:val="22"/>
        </w:rPr>
        <w:t>the</w:t>
      </w:r>
      <w:r>
        <w:rPr>
          <w:rFonts w:ascii="Gill Sans MT" w:hAnsi="Gill Sans MT" w:cs="Gill Sans MT"/>
          <w:b/>
          <w:bCs/>
          <w:color w:val="161616"/>
          <w:spacing w:val="-13"/>
          <w:sz w:val="22"/>
          <w:szCs w:val="22"/>
        </w:rPr>
        <w:t xml:space="preserve"> </w:t>
      </w:r>
      <w:r>
        <w:rPr>
          <w:rFonts w:ascii="Gill Sans MT" w:hAnsi="Gill Sans MT" w:cs="Gill Sans MT"/>
          <w:b/>
          <w:bCs/>
          <w:color w:val="161616"/>
          <w:sz w:val="22"/>
          <w:szCs w:val="22"/>
        </w:rPr>
        <w:t>flex</w:t>
      </w:r>
      <w:r>
        <w:rPr>
          <w:rFonts w:ascii="Gill Sans MT" w:hAnsi="Gill Sans MT" w:cs="Gill Sans MT"/>
          <w:b/>
          <w:bCs/>
          <w:color w:val="161616"/>
          <w:spacing w:val="-11"/>
          <w:sz w:val="22"/>
          <w:szCs w:val="22"/>
        </w:rPr>
        <w:t xml:space="preserve"> </w:t>
      </w:r>
      <w:r>
        <w:rPr>
          <w:rFonts w:ascii="Gill Sans MT" w:hAnsi="Gill Sans MT" w:cs="Gill Sans MT"/>
          <w:b/>
          <w:bCs/>
          <w:color w:val="161616"/>
          <w:sz w:val="22"/>
          <w:szCs w:val="22"/>
        </w:rPr>
        <w:t>spending</w:t>
      </w:r>
      <w:r>
        <w:rPr>
          <w:rFonts w:ascii="Gill Sans MT" w:hAnsi="Gill Sans MT" w:cs="Gill Sans MT"/>
          <w:b/>
          <w:bCs/>
          <w:color w:val="161616"/>
          <w:spacing w:val="-13"/>
          <w:sz w:val="22"/>
          <w:szCs w:val="22"/>
        </w:rPr>
        <w:t xml:space="preserve"> </w:t>
      </w:r>
      <w:r>
        <w:rPr>
          <w:rFonts w:ascii="Gill Sans MT" w:hAnsi="Gill Sans MT" w:cs="Gill Sans MT"/>
          <w:b/>
          <w:bCs/>
          <w:color w:val="161616"/>
          <w:sz w:val="22"/>
          <w:szCs w:val="22"/>
        </w:rPr>
        <w:t>criteria.</w:t>
      </w:r>
      <w:r>
        <w:rPr>
          <w:rFonts w:ascii="Gill Sans MT" w:hAnsi="Gill Sans MT" w:cs="Gill Sans MT"/>
          <w:b/>
          <w:bCs/>
          <w:color w:val="161616"/>
          <w:spacing w:val="-11"/>
          <w:sz w:val="22"/>
          <w:szCs w:val="22"/>
        </w:rPr>
        <w:t xml:space="preserve"> </w:t>
      </w:r>
      <w:r>
        <w:rPr>
          <w:rFonts w:ascii="Gill Sans MT" w:hAnsi="Gill Sans MT" w:cs="Gill Sans MT"/>
          <w:color w:val="161616"/>
          <w:sz w:val="22"/>
          <w:szCs w:val="22"/>
        </w:rPr>
        <w:t>We</w:t>
      </w:r>
      <w:r>
        <w:rPr>
          <w:rFonts w:ascii="Gill Sans MT" w:hAnsi="Gill Sans MT" w:cs="Gill Sans MT"/>
          <w:color w:val="161616"/>
          <w:spacing w:val="-12"/>
          <w:sz w:val="22"/>
          <w:szCs w:val="22"/>
        </w:rPr>
        <w:t xml:space="preserve"> </w:t>
      </w:r>
      <w:r>
        <w:rPr>
          <w:rFonts w:ascii="Gill Sans MT" w:hAnsi="Gill Sans MT" w:cs="Gill Sans MT"/>
          <w:color w:val="161616"/>
          <w:sz w:val="22"/>
          <w:szCs w:val="22"/>
        </w:rPr>
        <w:t>appreciate,</w:t>
      </w:r>
      <w:r>
        <w:rPr>
          <w:rFonts w:ascii="Gill Sans MT" w:hAnsi="Gill Sans MT" w:cs="Gill Sans MT"/>
          <w:color w:val="161616"/>
          <w:spacing w:val="-14"/>
          <w:sz w:val="22"/>
          <w:szCs w:val="22"/>
        </w:rPr>
        <w:t xml:space="preserve"> </w:t>
      </w:r>
      <w:r>
        <w:rPr>
          <w:rFonts w:ascii="Gill Sans MT" w:hAnsi="Gill Sans MT" w:cs="Gill Sans MT"/>
          <w:color w:val="161616"/>
          <w:sz w:val="22"/>
          <w:szCs w:val="22"/>
        </w:rPr>
        <w:t>at</w:t>
      </w:r>
      <w:r>
        <w:rPr>
          <w:rFonts w:ascii="Gill Sans MT" w:hAnsi="Gill Sans MT" w:cs="Gill Sans MT"/>
          <w:color w:val="161616"/>
          <w:spacing w:val="-13"/>
          <w:sz w:val="22"/>
          <w:szCs w:val="22"/>
        </w:rPr>
        <w:t xml:space="preserve"> </w:t>
      </w:r>
      <w:r>
        <w:rPr>
          <w:rFonts w:ascii="Gill Sans MT" w:hAnsi="Gill Sans MT" w:cs="Gill Sans MT"/>
          <w:color w:val="161616"/>
          <w:sz w:val="22"/>
          <w:szCs w:val="22"/>
        </w:rPr>
        <w:t>p.</w:t>
      </w:r>
      <w:r>
        <w:rPr>
          <w:rFonts w:ascii="Gill Sans MT" w:hAnsi="Gill Sans MT" w:cs="Gill Sans MT"/>
          <w:color w:val="161616"/>
          <w:spacing w:val="-12"/>
          <w:sz w:val="22"/>
          <w:szCs w:val="22"/>
        </w:rPr>
        <w:t xml:space="preserve"> </w:t>
      </w:r>
      <w:r>
        <w:rPr>
          <w:rFonts w:ascii="Gill Sans MT" w:hAnsi="Gill Sans MT" w:cs="Gill Sans MT"/>
          <w:color w:val="161616"/>
          <w:sz w:val="22"/>
          <w:szCs w:val="22"/>
        </w:rPr>
        <w:t>32,</w:t>
      </w:r>
      <w:r>
        <w:rPr>
          <w:rFonts w:ascii="Gill Sans MT" w:hAnsi="Gill Sans MT" w:cs="Gill Sans MT"/>
          <w:color w:val="161616"/>
          <w:spacing w:val="-14"/>
          <w:sz w:val="22"/>
          <w:szCs w:val="22"/>
        </w:rPr>
        <w:t xml:space="preserve"> </w:t>
      </w:r>
      <w:r>
        <w:rPr>
          <w:rFonts w:ascii="Gill Sans MT" w:hAnsi="Gill Sans MT" w:cs="Gill Sans MT"/>
          <w:color w:val="161616"/>
          <w:sz w:val="22"/>
          <w:szCs w:val="22"/>
        </w:rPr>
        <w:t xml:space="preserve">the bifurcation of what was once a single criterion that characterized eligible </w:t>
      </w:r>
      <w:r>
        <w:rPr>
          <w:rFonts w:ascii="Gill Sans MT" w:hAnsi="Gill Sans MT" w:cs="Gill Sans MT"/>
          <w:color w:val="161616"/>
          <w:spacing w:val="-2"/>
          <w:sz w:val="22"/>
          <w:szCs w:val="22"/>
        </w:rPr>
        <w:t xml:space="preserve">services </w:t>
      </w:r>
      <w:r>
        <w:rPr>
          <w:rFonts w:ascii="Gill Sans MT" w:hAnsi="Gill Sans MT" w:cs="Gill Sans MT"/>
          <w:color w:val="161616"/>
          <w:sz w:val="22"/>
          <w:szCs w:val="22"/>
        </w:rPr>
        <w:t>as those that: "[a]re . . . likely to generate</w:t>
      </w:r>
      <w:r>
        <w:rPr>
          <w:rFonts w:ascii="Gill Sans MT" w:hAnsi="Gill Sans MT" w:cs="Gill Sans MT"/>
          <w:color w:val="161616"/>
          <w:spacing w:val="-12"/>
          <w:sz w:val="22"/>
          <w:szCs w:val="22"/>
        </w:rPr>
        <w:t xml:space="preserve"> </w:t>
      </w:r>
      <w:r>
        <w:rPr>
          <w:rFonts w:ascii="Gill Sans MT" w:hAnsi="Gill Sans MT" w:cs="Gill Sans MT"/>
          <w:color w:val="161616"/>
          <w:sz w:val="22"/>
          <w:szCs w:val="22"/>
        </w:rPr>
        <w:t>savings</w:t>
      </w:r>
      <w:r>
        <w:rPr>
          <w:rFonts w:ascii="Gill Sans MT" w:hAnsi="Gill Sans MT" w:cs="Gill Sans MT"/>
          <w:color w:val="161616"/>
          <w:spacing w:val="-15"/>
          <w:sz w:val="22"/>
          <w:szCs w:val="22"/>
        </w:rPr>
        <w:t xml:space="preserve"> </w:t>
      </w:r>
      <w:r>
        <w:rPr>
          <w:rFonts w:ascii="Gill Sans MT" w:hAnsi="Gill Sans MT" w:cs="Gill Sans MT"/>
          <w:color w:val="161616"/>
          <w:sz w:val="22"/>
          <w:szCs w:val="22"/>
        </w:rPr>
        <w:t>[and]</w:t>
      </w:r>
      <w:r>
        <w:rPr>
          <w:rFonts w:ascii="Gill Sans MT" w:hAnsi="Gill Sans MT" w:cs="Gill Sans MT"/>
          <w:color w:val="161616"/>
          <w:spacing w:val="-12"/>
          <w:sz w:val="22"/>
          <w:szCs w:val="22"/>
        </w:rPr>
        <w:t xml:space="preserve"> </w:t>
      </w:r>
      <w:r>
        <w:rPr>
          <w:rFonts w:ascii="Gill Sans MT" w:hAnsi="Gill Sans MT" w:cs="Gill Sans MT"/>
          <w:color w:val="161616"/>
          <w:sz w:val="22"/>
          <w:szCs w:val="22"/>
        </w:rPr>
        <w:t>[a]re</w:t>
      </w:r>
      <w:r>
        <w:rPr>
          <w:rFonts w:ascii="Gill Sans MT" w:hAnsi="Gill Sans MT" w:cs="Gill Sans MT"/>
          <w:color w:val="161616"/>
          <w:spacing w:val="-12"/>
          <w:sz w:val="22"/>
          <w:szCs w:val="22"/>
        </w:rPr>
        <w:t xml:space="preserve"> </w:t>
      </w:r>
      <w:r>
        <w:rPr>
          <w:rFonts w:ascii="Gill Sans MT" w:hAnsi="Gill Sans MT" w:cs="Gill Sans MT"/>
          <w:color w:val="161616"/>
          <w:sz w:val="22"/>
          <w:szCs w:val="22"/>
        </w:rPr>
        <w:t>to</w:t>
      </w:r>
      <w:r>
        <w:rPr>
          <w:rFonts w:ascii="Gill Sans MT" w:hAnsi="Gill Sans MT" w:cs="Gill Sans MT"/>
          <w:color w:val="161616"/>
          <w:spacing w:val="-12"/>
          <w:sz w:val="22"/>
          <w:szCs w:val="22"/>
        </w:rPr>
        <w:t xml:space="preserve"> </w:t>
      </w:r>
      <w:r>
        <w:rPr>
          <w:rFonts w:ascii="Gill Sans MT" w:hAnsi="Gill Sans MT" w:cs="Gill Sans MT"/>
          <w:color w:val="161616"/>
          <w:sz w:val="22"/>
          <w:szCs w:val="22"/>
        </w:rPr>
        <w:t>improve</w:t>
      </w:r>
      <w:r>
        <w:rPr>
          <w:rFonts w:ascii="Gill Sans MT" w:hAnsi="Gill Sans MT" w:cs="Gill Sans MT"/>
          <w:color w:val="161616"/>
          <w:spacing w:val="-12"/>
          <w:sz w:val="22"/>
          <w:szCs w:val="22"/>
        </w:rPr>
        <w:t xml:space="preserve"> </w:t>
      </w:r>
      <w:r>
        <w:rPr>
          <w:rFonts w:ascii="Gill Sans MT" w:hAnsi="Gill Sans MT" w:cs="Gill Sans MT"/>
          <w:color w:val="161616"/>
          <w:sz w:val="22"/>
          <w:szCs w:val="22"/>
        </w:rPr>
        <w:t>health</w:t>
      </w:r>
      <w:r>
        <w:rPr>
          <w:rFonts w:ascii="Gill Sans MT" w:hAnsi="Gill Sans MT" w:cs="Gill Sans MT"/>
          <w:color w:val="161616"/>
          <w:spacing w:val="-14"/>
          <w:sz w:val="22"/>
          <w:szCs w:val="22"/>
        </w:rPr>
        <w:t xml:space="preserve"> </w:t>
      </w:r>
      <w:r>
        <w:rPr>
          <w:rFonts w:ascii="Gill Sans MT" w:hAnsi="Gill Sans MT" w:cs="Gill Sans MT"/>
          <w:color w:val="161616"/>
          <w:sz w:val="22"/>
          <w:szCs w:val="22"/>
        </w:rPr>
        <w:t>outcomes</w:t>
      </w:r>
      <w:r>
        <w:rPr>
          <w:rFonts w:ascii="Gill Sans MT" w:hAnsi="Gill Sans MT" w:cs="Gill Sans MT"/>
          <w:color w:val="161616"/>
          <w:spacing w:val="-12"/>
          <w:sz w:val="22"/>
          <w:szCs w:val="22"/>
        </w:rPr>
        <w:t xml:space="preserve"> </w:t>
      </w:r>
      <w:r>
        <w:rPr>
          <w:rFonts w:ascii="Gill Sans MT" w:hAnsi="Gill Sans MT" w:cs="Gill Sans MT"/>
          <w:color w:val="161616"/>
          <w:sz w:val="22"/>
          <w:szCs w:val="22"/>
        </w:rPr>
        <w:t>or</w:t>
      </w:r>
      <w:r>
        <w:rPr>
          <w:rFonts w:ascii="Gill Sans MT" w:hAnsi="Gill Sans MT" w:cs="Gill Sans MT"/>
          <w:color w:val="161616"/>
          <w:spacing w:val="-15"/>
          <w:sz w:val="22"/>
          <w:szCs w:val="22"/>
        </w:rPr>
        <w:t xml:space="preserve"> </w:t>
      </w:r>
      <w:r>
        <w:rPr>
          <w:rFonts w:ascii="Gill Sans MT" w:hAnsi="Gill Sans MT" w:cs="Gill Sans MT"/>
          <w:color w:val="161616"/>
          <w:sz w:val="22"/>
          <w:szCs w:val="22"/>
        </w:rPr>
        <w:t>prevent</w:t>
      </w:r>
      <w:r>
        <w:rPr>
          <w:rFonts w:ascii="Gill Sans MT" w:hAnsi="Gill Sans MT" w:cs="Gill Sans MT"/>
          <w:color w:val="161616"/>
          <w:spacing w:val="-11"/>
          <w:sz w:val="22"/>
          <w:szCs w:val="22"/>
        </w:rPr>
        <w:t xml:space="preserve"> </w:t>
      </w:r>
      <w:r>
        <w:rPr>
          <w:rFonts w:ascii="Gill Sans MT" w:hAnsi="Gill Sans MT" w:cs="Gill Sans MT"/>
          <w:color w:val="161616"/>
          <w:sz w:val="22"/>
          <w:szCs w:val="22"/>
        </w:rPr>
        <w:t>or</w:t>
      </w:r>
      <w:r>
        <w:rPr>
          <w:rFonts w:ascii="Gill Sans MT" w:hAnsi="Gill Sans MT" w:cs="Gill Sans MT"/>
          <w:color w:val="161616"/>
          <w:spacing w:val="-15"/>
          <w:sz w:val="22"/>
          <w:szCs w:val="22"/>
        </w:rPr>
        <w:t xml:space="preserve"> </w:t>
      </w:r>
      <w:r>
        <w:rPr>
          <w:rFonts w:ascii="Gill Sans MT" w:hAnsi="Gill Sans MT" w:cs="Gill Sans MT"/>
          <w:color w:val="161616"/>
          <w:sz w:val="22"/>
          <w:szCs w:val="22"/>
        </w:rPr>
        <w:t>delay</w:t>
      </w:r>
      <w:r>
        <w:rPr>
          <w:rFonts w:ascii="Gill Sans MT" w:hAnsi="Gill Sans MT" w:cs="Gill Sans MT"/>
          <w:color w:val="161616"/>
          <w:spacing w:val="-15"/>
          <w:sz w:val="22"/>
          <w:szCs w:val="22"/>
        </w:rPr>
        <w:t xml:space="preserve"> </w:t>
      </w:r>
      <w:r>
        <w:rPr>
          <w:rFonts w:ascii="Gill Sans MT" w:hAnsi="Gill Sans MT" w:cs="Gill Sans MT"/>
          <w:color w:val="161616"/>
          <w:sz w:val="22"/>
          <w:szCs w:val="22"/>
        </w:rPr>
        <w:t>health</w:t>
      </w:r>
      <w:r>
        <w:rPr>
          <w:rFonts w:ascii="Gill Sans MT" w:hAnsi="Gill Sans MT" w:cs="Gill Sans MT"/>
          <w:color w:val="161616"/>
          <w:spacing w:val="-12"/>
          <w:sz w:val="22"/>
          <w:szCs w:val="22"/>
        </w:rPr>
        <w:t xml:space="preserve"> </w:t>
      </w:r>
      <w:r>
        <w:rPr>
          <w:rFonts w:ascii="Gill Sans MT" w:hAnsi="Gill Sans MT" w:cs="Gill Sans MT"/>
          <w:color w:val="161616"/>
          <w:sz w:val="22"/>
          <w:szCs w:val="22"/>
        </w:rPr>
        <w:t>deterioration."</w:t>
      </w:r>
      <w:r>
        <w:rPr>
          <w:rFonts w:ascii="Gill Sans MT" w:hAnsi="Gill Sans MT" w:cs="Gill Sans MT"/>
          <w:color w:val="161616"/>
          <w:spacing w:val="-11"/>
          <w:sz w:val="22"/>
          <w:szCs w:val="22"/>
        </w:rPr>
        <w:t xml:space="preserve"> </w:t>
      </w:r>
      <w:r>
        <w:rPr>
          <w:rFonts w:ascii="Gill Sans MT" w:hAnsi="Gill Sans MT" w:cs="Gill Sans MT"/>
          <w:color w:val="161616"/>
          <w:sz w:val="22"/>
          <w:szCs w:val="22"/>
        </w:rPr>
        <w:t>The</w:t>
      </w:r>
      <w:r>
        <w:rPr>
          <w:rFonts w:ascii="Gill Sans MT" w:hAnsi="Gill Sans MT" w:cs="Gill Sans MT"/>
          <w:color w:val="161616"/>
          <w:spacing w:val="-12"/>
          <w:sz w:val="22"/>
          <w:szCs w:val="22"/>
        </w:rPr>
        <w:t xml:space="preserve"> </w:t>
      </w:r>
      <w:r>
        <w:rPr>
          <w:rFonts w:ascii="Gill Sans MT" w:hAnsi="Gill Sans MT" w:cs="Gill Sans MT"/>
          <w:color w:val="161616"/>
          <w:sz w:val="22"/>
          <w:szCs w:val="22"/>
        </w:rPr>
        <w:t>new</w:t>
      </w:r>
      <w:r>
        <w:rPr>
          <w:rFonts w:ascii="Gill Sans MT" w:hAnsi="Gill Sans MT" w:cs="Gill Sans MT"/>
          <w:color w:val="161616"/>
          <w:spacing w:val="-12"/>
          <w:sz w:val="22"/>
          <w:szCs w:val="22"/>
        </w:rPr>
        <w:t xml:space="preserve"> </w:t>
      </w:r>
      <w:r>
        <w:rPr>
          <w:rFonts w:ascii="Gill Sans MT" w:hAnsi="Gill Sans MT" w:cs="Gill Sans MT"/>
          <w:color w:val="161616"/>
          <w:sz w:val="22"/>
          <w:szCs w:val="22"/>
        </w:rPr>
        <w:t>text,</w:t>
      </w:r>
      <w:r>
        <w:rPr>
          <w:rFonts w:ascii="Gill Sans MT" w:hAnsi="Gill Sans MT" w:cs="Gill Sans MT"/>
          <w:color w:val="161616"/>
          <w:spacing w:val="-12"/>
          <w:sz w:val="22"/>
          <w:szCs w:val="22"/>
        </w:rPr>
        <w:t xml:space="preserve"> </w:t>
      </w:r>
      <w:r>
        <w:rPr>
          <w:rFonts w:ascii="Gill Sans MT" w:hAnsi="Gill Sans MT" w:cs="Gill Sans MT"/>
          <w:color w:val="161616"/>
          <w:spacing w:val="-3"/>
          <w:sz w:val="22"/>
          <w:szCs w:val="22"/>
        </w:rPr>
        <w:t xml:space="preserve">which </w:t>
      </w:r>
      <w:r>
        <w:rPr>
          <w:rFonts w:ascii="Gill Sans MT" w:hAnsi="Gill Sans MT" w:cs="Gill Sans MT"/>
          <w:color w:val="161616"/>
          <w:sz w:val="22"/>
          <w:szCs w:val="22"/>
        </w:rPr>
        <w:t>distinguishes a causation standard for cost savings from the relevant standard for advancement of health outcome improvements</w:t>
      </w:r>
      <w:r>
        <w:rPr>
          <w:rFonts w:ascii="Gill Sans MT" w:hAnsi="Gill Sans MT" w:cs="Gill Sans MT"/>
          <w:color w:val="161616"/>
          <w:spacing w:val="-18"/>
          <w:sz w:val="22"/>
          <w:szCs w:val="22"/>
        </w:rPr>
        <w:t xml:space="preserve"> </w:t>
      </w:r>
      <w:r>
        <w:rPr>
          <w:rFonts w:ascii="Gill Sans MT" w:hAnsi="Gill Sans MT" w:cs="Gill Sans MT"/>
          <w:color w:val="161616"/>
          <w:spacing w:val="-3"/>
          <w:sz w:val="22"/>
          <w:szCs w:val="22"/>
        </w:rPr>
        <w:t>and</w:t>
      </w:r>
      <w:r>
        <w:rPr>
          <w:rFonts w:ascii="Gill Sans MT" w:hAnsi="Gill Sans MT" w:cs="Gill Sans MT"/>
          <w:color w:val="161616"/>
          <w:spacing w:val="-17"/>
          <w:sz w:val="22"/>
          <w:szCs w:val="22"/>
        </w:rPr>
        <w:t xml:space="preserve"> </w:t>
      </w:r>
      <w:r>
        <w:rPr>
          <w:rFonts w:ascii="Gill Sans MT" w:hAnsi="Gill Sans MT" w:cs="Gill Sans MT"/>
          <w:color w:val="161616"/>
          <w:sz w:val="22"/>
          <w:szCs w:val="22"/>
        </w:rPr>
        <w:t>prevention/delay</w:t>
      </w:r>
      <w:r>
        <w:rPr>
          <w:rFonts w:ascii="Gill Sans MT" w:hAnsi="Gill Sans MT" w:cs="Gill Sans MT"/>
          <w:color w:val="161616"/>
          <w:spacing w:val="-17"/>
          <w:sz w:val="22"/>
          <w:szCs w:val="22"/>
        </w:rPr>
        <w:t xml:space="preserve"> </w:t>
      </w:r>
      <w:r>
        <w:rPr>
          <w:rFonts w:ascii="Gill Sans MT" w:hAnsi="Gill Sans MT" w:cs="Gill Sans MT"/>
          <w:color w:val="161616"/>
          <w:sz w:val="22"/>
          <w:szCs w:val="22"/>
        </w:rPr>
        <w:t>of</w:t>
      </w:r>
      <w:r>
        <w:rPr>
          <w:rFonts w:ascii="Gill Sans MT" w:hAnsi="Gill Sans MT" w:cs="Gill Sans MT"/>
          <w:color w:val="161616"/>
          <w:spacing w:val="-14"/>
          <w:sz w:val="22"/>
          <w:szCs w:val="22"/>
        </w:rPr>
        <w:t xml:space="preserve"> </w:t>
      </w:r>
      <w:r>
        <w:rPr>
          <w:rFonts w:ascii="Gill Sans MT" w:hAnsi="Gill Sans MT" w:cs="Gill Sans MT"/>
          <w:color w:val="161616"/>
          <w:sz w:val="22"/>
          <w:szCs w:val="22"/>
        </w:rPr>
        <w:t>health</w:t>
      </w:r>
      <w:r>
        <w:rPr>
          <w:rFonts w:ascii="Gill Sans MT" w:hAnsi="Gill Sans MT" w:cs="Gill Sans MT"/>
          <w:color w:val="161616"/>
          <w:spacing w:val="-17"/>
          <w:sz w:val="22"/>
          <w:szCs w:val="22"/>
        </w:rPr>
        <w:t xml:space="preserve"> </w:t>
      </w:r>
      <w:r>
        <w:rPr>
          <w:rFonts w:ascii="Gill Sans MT" w:hAnsi="Gill Sans MT" w:cs="Gill Sans MT"/>
          <w:color w:val="161616"/>
          <w:sz w:val="22"/>
          <w:szCs w:val="22"/>
        </w:rPr>
        <w:t>deterioration,</w:t>
      </w:r>
      <w:r>
        <w:rPr>
          <w:rFonts w:ascii="Gill Sans MT" w:hAnsi="Gill Sans MT" w:cs="Gill Sans MT"/>
          <w:color w:val="161616"/>
          <w:spacing w:val="-15"/>
          <w:sz w:val="22"/>
          <w:szCs w:val="22"/>
        </w:rPr>
        <w:t xml:space="preserve"> </w:t>
      </w:r>
      <w:r>
        <w:rPr>
          <w:rFonts w:ascii="Gill Sans MT" w:hAnsi="Gill Sans MT" w:cs="Gill Sans MT"/>
          <w:color w:val="161616"/>
          <w:sz w:val="22"/>
          <w:szCs w:val="22"/>
        </w:rPr>
        <w:t>is</w:t>
      </w:r>
      <w:r>
        <w:rPr>
          <w:rFonts w:ascii="Gill Sans MT" w:hAnsi="Gill Sans MT" w:cs="Gill Sans MT"/>
          <w:color w:val="161616"/>
          <w:spacing w:val="-15"/>
          <w:sz w:val="22"/>
          <w:szCs w:val="22"/>
        </w:rPr>
        <w:t xml:space="preserve"> </w:t>
      </w:r>
      <w:r>
        <w:rPr>
          <w:rFonts w:ascii="Gill Sans MT" w:hAnsi="Gill Sans MT" w:cs="Gill Sans MT"/>
          <w:color w:val="161616"/>
          <w:sz w:val="22"/>
          <w:szCs w:val="22"/>
        </w:rPr>
        <w:t>an</w:t>
      </w:r>
      <w:r>
        <w:rPr>
          <w:rFonts w:ascii="Gill Sans MT" w:hAnsi="Gill Sans MT" w:cs="Gill Sans MT"/>
          <w:color w:val="161616"/>
          <w:spacing w:val="-17"/>
          <w:sz w:val="22"/>
          <w:szCs w:val="22"/>
        </w:rPr>
        <w:t xml:space="preserve"> </w:t>
      </w:r>
      <w:r>
        <w:rPr>
          <w:rFonts w:ascii="Gill Sans MT" w:hAnsi="Gill Sans MT" w:cs="Gill Sans MT"/>
          <w:color w:val="161616"/>
          <w:sz w:val="22"/>
          <w:szCs w:val="22"/>
        </w:rPr>
        <w:t>important</w:t>
      </w:r>
      <w:r>
        <w:rPr>
          <w:rFonts w:ascii="Gill Sans MT" w:hAnsi="Gill Sans MT" w:cs="Gill Sans MT"/>
          <w:color w:val="161616"/>
          <w:spacing w:val="-14"/>
          <w:sz w:val="22"/>
          <w:szCs w:val="22"/>
        </w:rPr>
        <w:t xml:space="preserve"> </w:t>
      </w:r>
      <w:r>
        <w:rPr>
          <w:rFonts w:ascii="Gill Sans MT" w:hAnsi="Gill Sans MT" w:cs="Gill Sans MT"/>
          <w:color w:val="161616"/>
          <w:sz w:val="22"/>
          <w:szCs w:val="22"/>
        </w:rPr>
        <w:t>step</w:t>
      </w:r>
      <w:r>
        <w:rPr>
          <w:rFonts w:ascii="Gill Sans MT" w:hAnsi="Gill Sans MT" w:cs="Gill Sans MT"/>
          <w:color w:val="161616"/>
          <w:spacing w:val="-17"/>
          <w:sz w:val="22"/>
          <w:szCs w:val="22"/>
        </w:rPr>
        <w:t xml:space="preserve"> </w:t>
      </w:r>
      <w:r>
        <w:rPr>
          <w:rFonts w:ascii="Gill Sans MT" w:hAnsi="Gill Sans MT" w:cs="Gill Sans MT"/>
          <w:color w:val="161616"/>
          <w:sz w:val="22"/>
          <w:szCs w:val="22"/>
        </w:rPr>
        <w:t>in</w:t>
      </w:r>
      <w:r>
        <w:rPr>
          <w:rFonts w:ascii="Gill Sans MT" w:hAnsi="Gill Sans MT" w:cs="Gill Sans MT"/>
          <w:color w:val="161616"/>
          <w:spacing w:val="-17"/>
          <w:sz w:val="22"/>
          <w:szCs w:val="22"/>
        </w:rPr>
        <w:t xml:space="preserve"> </w:t>
      </w:r>
      <w:r>
        <w:rPr>
          <w:rFonts w:ascii="Gill Sans MT" w:hAnsi="Gill Sans MT" w:cs="Gill Sans MT"/>
          <w:color w:val="161616"/>
          <w:sz w:val="22"/>
          <w:szCs w:val="22"/>
        </w:rPr>
        <w:t>the</w:t>
      </w:r>
      <w:r>
        <w:rPr>
          <w:rFonts w:ascii="Gill Sans MT" w:hAnsi="Gill Sans MT" w:cs="Gill Sans MT"/>
          <w:color w:val="161616"/>
          <w:spacing w:val="-15"/>
          <w:sz w:val="22"/>
          <w:szCs w:val="22"/>
        </w:rPr>
        <w:t xml:space="preserve"> </w:t>
      </w:r>
      <w:r>
        <w:rPr>
          <w:rFonts w:ascii="Gill Sans MT" w:hAnsi="Gill Sans MT" w:cs="Gill Sans MT"/>
          <w:color w:val="161616"/>
          <w:sz w:val="22"/>
          <w:szCs w:val="22"/>
        </w:rPr>
        <w:t>right</w:t>
      </w:r>
      <w:r>
        <w:rPr>
          <w:rFonts w:ascii="Gill Sans MT" w:hAnsi="Gill Sans MT" w:cs="Gill Sans MT"/>
          <w:color w:val="161616"/>
          <w:spacing w:val="-16"/>
          <w:sz w:val="22"/>
          <w:szCs w:val="22"/>
        </w:rPr>
        <w:t xml:space="preserve"> </w:t>
      </w:r>
      <w:r>
        <w:rPr>
          <w:rFonts w:ascii="Gill Sans MT" w:hAnsi="Gill Sans MT" w:cs="Gill Sans MT"/>
          <w:color w:val="161616"/>
          <w:sz w:val="22"/>
          <w:szCs w:val="22"/>
        </w:rPr>
        <w:t>direction.</w:t>
      </w:r>
    </w:p>
    <w:p w:rsidR="002C5025" w:rsidRDefault="002C5025">
      <w:pPr>
        <w:pStyle w:val="BodyText"/>
        <w:kinsoku w:val="0"/>
        <w:overflowPunct w:val="0"/>
        <w:spacing w:before="1"/>
        <w:rPr>
          <w:rFonts w:ascii="Gill Sans MT" w:hAnsi="Gill Sans MT" w:cs="Gill Sans MT"/>
        </w:rPr>
      </w:pPr>
    </w:p>
    <w:p w:rsidR="002C5025" w:rsidRDefault="002C5025">
      <w:pPr>
        <w:pStyle w:val="ListParagraph"/>
        <w:numPr>
          <w:ilvl w:val="2"/>
          <w:numId w:val="6"/>
        </w:numPr>
        <w:tabs>
          <w:tab w:val="left" w:pos="1103"/>
        </w:tabs>
        <w:kinsoku w:val="0"/>
        <w:overflowPunct w:val="0"/>
        <w:ind w:left="380" w:right="120" w:firstLine="360"/>
        <w:rPr>
          <w:rFonts w:ascii="Gill Sans MT" w:hAnsi="Gill Sans MT" w:cs="Gill Sans MT"/>
          <w:color w:val="161616"/>
          <w:sz w:val="22"/>
          <w:szCs w:val="22"/>
        </w:rPr>
      </w:pPr>
      <w:r>
        <w:rPr>
          <w:rFonts w:ascii="Gill Sans MT" w:hAnsi="Gill Sans MT" w:cs="Gill Sans MT"/>
          <w:b/>
          <w:bCs/>
          <w:color w:val="161616"/>
          <w:sz w:val="22"/>
          <w:szCs w:val="22"/>
        </w:rPr>
        <w:t xml:space="preserve">We reinforce our recommendation of a </w:t>
      </w:r>
      <w:r>
        <w:rPr>
          <w:rFonts w:ascii="Gill Sans MT" w:hAnsi="Gill Sans MT" w:cs="Gill Sans MT"/>
          <w:b/>
          <w:bCs/>
          <w:i/>
          <w:iCs/>
          <w:color w:val="161616"/>
          <w:sz w:val="22"/>
          <w:szCs w:val="22"/>
        </w:rPr>
        <w:t xml:space="preserve">feasibility </w:t>
      </w:r>
      <w:r>
        <w:rPr>
          <w:rFonts w:ascii="Gill Sans MT" w:hAnsi="Gill Sans MT" w:cs="Gill Sans MT"/>
          <w:b/>
          <w:bCs/>
          <w:color w:val="161616"/>
          <w:sz w:val="22"/>
          <w:szCs w:val="22"/>
        </w:rPr>
        <w:t xml:space="preserve">standard for public funding "availability." </w:t>
      </w:r>
      <w:r>
        <w:rPr>
          <w:rFonts w:ascii="Gill Sans MT" w:hAnsi="Gill Sans MT" w:cs="Gill Sans MT"/>
          <w:color w:val="161616"/>
          <w:sz w:val="22"/>
          <w:szCs w:val="22"/>
        </w:rPr>
        <w:t>At the same</w:t>
      </w:r>
      <w:r>
        <w:rPr>
          <w:rFonts w:ascii="Gill Sans MT" w:hAnsi="Gill Sans MT" w:cs="Gill Sans MT"/>
          <w:color w:val="161616"/>
          <w:spacing w:val="-14"/>
          <w:sz w:val="22"/>
          <w:szCs w:val="22"/>
        </w:rPr>
        <w:t xml:space="preserve"> </w:t>
      </w:r>
      <w:r>
        <w:rPr>
          <w:rFonts w:ascii="Gill Sans MT" w:hAnsi="Gill Sans MT" w:cs="Gill Sans MT"/>
          <w:color w:val="161616"/>
          <w:sz w:val="22"/>
          <w:szCs w:val="22"/>
        </w:rPr>
        <w:t>time,</w:t>
      </w:r>
      <w:r>
        <w:rPr>
          <w:rFonts w:ascii="Gill Sans MT" w:hAnsi="Gill Sans MT" w:cs="Gill Sans MT"/>
          <w:color w:val="161616"/>
          <w:spacing w:val="-12"/>
          <w:sz w:val="22"/>
          <w:szCs w:val="22"/>
        </w:rPr>
        <w:t xml:space="preserve"> </w:t>
      </w:r>
      <w:r>
        <w:rPr>
          <w:rFonts w:ascii="Gill Sans MT" w:hAnsi="Gill Sans MT" w:cs="Gill Sans MT"/>
          <w:color w:val="161616"/>
          <w:sz w:val="22"/>
          <w:szCs w:val="22"/>
        </w:rPr>
        <w:t>we</w:t>
      </w:r>
      <w:r>
        <w:rPr>
          <w:rFonts w:ascii="Gill Sans MT" w:hAnsi="Gill Sans MT" w:cs="Gill Sans MT"/>
          <w:color w:val="161616"/>
          <w:spacing w:val="-11"/>
          <w:sz w:val="22"/>
          <w:szCs w:val="22"/>
        </w:rPr>
        <w:t xml:space="preserve"> </w:t>
      </w:r>
      <w:r>
        <w:rPr>
          <w:rFonts w:ascii="Gill Sans MT" w:hAnsi="Gill Sans MT" w:cs="Gill Sans MT"/>
          <w:color w:val="161616"/>
          <w:sz w:val="22"/>
          <w:szCs w:val="22"/>
        </w:rPr>
        <w:t>note</w:t>
      </w:r>
      <w:r>
        <w:rPr>
          <w:rFonts w:ascii="Gill Sans MT" w:hAnsi="Gill Sans MT" w:cs="Gill Sans MT"/>
          <w:color w:val="161616"/>
          <w:spacing w:val="-14"/>
          <w:sz w:val="22"/>
          <w:szCs w:val="22"/>
        </w:rPr>
        <w:t xml:space="preserve"> </w:t>
      </w:r>
      <w:r>
        <w:rPr>
          <w:rFonts w:ascii="Gill Sans MT" w:hAnsi="Gill Sans MT" w:cs="Gill Sans MT"/>
          <w:color w:val="161616"/>
          <w:sz w:val="22"/>
          <w:szCs w:val="22"/>
        </w:rPr>
        <w:t>that</w:t>
      </w:r>
      <w:r>
        <w:rPr>
          <w:rFonts w:ascii="Gill Sans MT" w:hAnsi="Gill Sans MT" w:cs="Gill Sans MT"/>
          <w:color w:val="161616"/>
          <w:spacing w:val="-13"/>
          <w:sz w:val="22"/>
          <w:szCs w:val="22"/>
        </w:rPr>
        <w:t xml:space="preserve"> </w:t>
      </w:r>
      <w:r>
        <w:rPr>
          <w:rFonts w:ascii="Gill Sans MT" w:hAnsi="Gill Sans MT" w:cs="Gill Sans MT"/>
          <w:color w:val="161616"/>
          <w:sz w:val="22"/>
          <w:szCs w:val="22"/>
        </w:rPr>
        <w:t>the</w:t>
      </w:r>
      <w:r>
        <w:rPr>
          <w:rFonts w:ascii="Gill Sans MT" w:hAnsi="Gill Sans MT" w:cs="Gill Sans MT"/>
          <w:color w:val="161616"/>
          <w:spacing w:val="-12"/>
          <w:sz w:val="22"/>
          <w:szCs w:val="22"/>
        </w:rPr>
        <w:t xml:space="preserve"> </w:t>
      </w:r>
      <w:r>
        <w:rPr>
          <w:rFonts w:ascii="Gill Sans MT" w:hAnsi="Gill Sans MT" w:cs="Gill Sans MT"/>
          <w:color w:val="161616"/>
          <w:sz w:val="22"/>
          <w:szCs w:val="22"/>
        </w:rPr>
        <w:t>flex</w:t>
      </w:r>
      <w:r>
        <w:rPr>
          <w:rFonts w:ascii="Gill Sans MT" w:hAnsi="Gill Sans MT" w:cs="Gill Sans MT"/>
          <w:color w:val="161616"/>
          <w:spacing w:val="-11"/>
          <w:sz w:val="22"/>
          <w:szCs w:val="22"/>
        </w:rPr>
        <w:t xml:space="preserve"> </w:t>
      </w:r>
      <w:r>
        <w:rPr>
          <w:rFonts w:ascii="Gill Sans MT" w:hAnsi="Gill Sans MT" w:cs="Gill Sans MT"/>
          <w:color w:val="161616"/>
          <w:sz w:val="22"/>
          <w:szCs w:val="22"/>
        </w:rPr>
        <w:t>spending</w:t>
      </w:r>
      <w:r>
        <w:rPr>
          <w:rFonts w:ascii="Gill Sans MT" w:hAnsi="Gill Sans MT" w:cs="Gill Sans MT"/>
          <w:color w:val="161616"/>
          <w:spacing w:val="-14"/>
          <w:sz w:val="22"/>
          <w:szCs w:val="22"/>
        </w:rPr>
        <w:t xml:space="preserve"> </w:t>
      </w:r>
      <w:r>
        <w:rPr>
          <w:rFonts w:ascii="Gill Sans MT" w:hAnsi="Gill Sans MT" w:cs="Gill Sans MT"/>
          <w:color w:val="161616"/>
          <w:sz w:val="22"/>
          <w:szCs w:val="22"/>
        </w:rPr>
        <w:t>criterion</w:t>
      </w:r>
      <w:r>
        <w:rPr>
          <w:rFonts w:ascii="Gill Sans MT" w:hAnsi="Gill Sans MT" w:cs="Gill Sans MT"/>
          <w:color w:val="161616"/>
          <w:spacing w:val="-11"/>
          <w:sz w:val="22"/>
          <w:szCs w:val="22"/>
        </w:rPr>
        <w:t xml:space="preserve"> </w:t>
      </w:r>
      <w:r>
        <w:rPr>
          <w:rFonts w:ascii="Gill Sans MT" w:hAnsi="Gill Sans MT" w:cs="Gill Sans MT"/>
          <w:color w:val="161616"/>
          <w:sz w:val="22"/>
          <w:szCs w:val="22"/>
        </w:rPr>
        <w:t>that</w:t>
      </w:r>
      <w:r>
        <w:rPr>
          <w:rFonts w:ascii="Gill Sans MT" w:hAnsi="Gill Sans MT" w:cs="Gill Sans MT"/>
          <w:color w:val="161616"/>
          <w:spacing w:val="-11"/>
          <w:sz w:val="22"/>
          <w:szCs w:val="22"/>
        </w:rPr>
        <w:t xml:space="preserve"> </w:t>
      </w:r>
      <w:r>
        <w:rPr>
          <w:rFonts w:ascii="Gill Sans MT" w:hAnsi="Gill Sans MT" w:cs="Gill Sans MT"/>
          <w:color w:val="161616"/>
          <w:sz w:val="22"/>
          <w:szCs w:val="22"/>
        </w:rPr>
        <w:t>requires</w:t>
      </w:r>
      <w:r>
        <w:rPr>
          <w:rFonts w:ascii="Gill Sans MT" w:hAnsi="Gill Sans MT" w:cs="Gill Sans MT"/>
          <w:color w:val="161616"/>
          <w:spacing w:val="-12"/>
          <w:sz w:val="22"/>
          <w:szCs w:val="22"/>
        </w:rPr>
        <w:t xml:space="preserve"> </w:t>
      </w:r>
      <w:r>
        <w:rPr>
          <w:rFonts w:ascii="Gill Sans MT" w:hAnsi="Gill Sans MT" w:cs="Gill Sans MT"/>
          <w:color w:val="161616"/>
          <w:sz w:val="22"/>
          <w:szCs w:val="22"/>
        </w:rPr>
        <w:t>that</w:t>
      </w:r>
      <w:r>
        <w:rPr>
          <w:rFonts w:ascii="Gill Sans MT" w:hAnsi="Gill Sans MT" w:cs="Gill Sans MT"/>
          <w:color w:val="161616"/>
          <w:spacing w:val="-11"/>
          <w:sz w:val="22"/>
          <w:szCs w:val="22"/>
        </w:rPr>
        <w:t xml:space="preserve"> </w:t>
      </w:r>
      <w:r>
        <w:rPr>
          <w:rFonts w:ascii="Gill Sans MT" w:hAnsi="Gill Sans MT" w:cs="Gill Sans MT"/>
          <w:color w:val="161616"/>
          <w:sz w:val="22"/>
          <w:szCs w:val="22"/>
        </w:rPr>
        <w:t>“funding</w:t>
      </w:r>
      <w:r>
        <w:rPr>
          <w:rFonts w:ascii="Gill Sans MT" w:hAnsi="Gill Sans MT" w:cs="Gill Sans MT"/>
          <w:color w:val="161616"/>
          <w:spacing w:val="-14"/>
          <w:sz w:val="22"/>
          <w:szCs w:val="22"/>
        </w:rPr>
        <w:t xml:space="preserve"> </w:t>
      </w:r>
      <w:r>
        <w:rPr>
          <w:rFonts w:ascii="Gill Sans MT" w:hAnsi="Gill Sans MT" w:cs="Gill Sans MT"/>
          <w:color w:val="161616"/>
          <w:sz w:val="22"/>
          <w:szCs w:val="22"/>
        </w:rPr>
        <w:t>is</w:t>
      </w:r>
      <w:r>
        <w:rPr>
          <w:rFonts w:ascii="Gill Sans MT" w:hAnsi="Gill Sans MT" w:cs="Gill Sans MT"/>
          <w:color w:val="161616"/>
          <w:spacing w:val="-12"/>
          <w:sz w:val="22"/>
          <w:szCs w:val="22"/>
        </w:rPr>
        <w:t xml:space="preserve"> </w:t>
      </w:r>
      <w:r>
        <w:rPr>
          <w:rFonts w:ascii="Gill Sans MT" w:hAnsi="Gill Sans MT" w:cs="Gill Sans MT"/>
          <w:color w:val="161616"/>
          <w:sz w:val="22"/>
          <w:szCs w:val="22"/>
        </w:rPr>
        <w:t>not</w:t>
      </w:r>
      <w:r>
        <w:rPr>
          <w:rFonts w:ascii="Gill Sans MT" w:hAnsi="Gill Sans MT" w:cs="Gill Sans MT"/>
          <w:color w:val="161616"/>
          <w:spacing w:val="-10"/>
          <w:sz w:val="22"/>
          <w:szCs w:val="22"/>
        </w:rPr>
        <w:t xml:space="preserve"> </w:t>
      </w:r>
      <w:r>
        <w:rPr>
          <w:rFonts w:ascii="Gill Sans MT" w:hAnsi="Gill Sans MT" w:cs="Gill Sans MT"/>
          <w:color w:val="161616"/>
          <w:sz w:val="22"/>
          <w:szCs w:val="22"/>
        </w:rPr>
        <w:t>available</w:t>
      </w:r>
      <w:r>
        <w:rPr>
          <w:rFonts w:ascii="Gill Sans MT" w:hAnsi="Gill Sans MT" w:cs="Gill Sans MT"/>
          <w:color w:val="161616"/>
          <w:spacing w:val="-12"/>
          <w:sz w:val="22"/>
          <w:szCs w:val="22"/>
        </w:rPr>
        <w:t xml:space="preserve"> </w:t>
      </w:r>
      <w:r>
        <w:rPr>
          <w:rFonts w:ascii="Gill Sans MT" w:hAnsi="Gill Sans MT" w:cs="Gill Sans MT"/>
          <w:color w:val="161616"/>
          <w:sz w:val="22"/>
          <w:szCs w:val="22"/>
        </w:rPr>
        <w:t>from</w:t>
      </w:r>
      <w:r>
        <w:rPr>
          <w:rFonts w:ascii="Gill Sans MT" w:hAnsi="Gill Sans MT" w:cs="Gill Sans MT"/>
          <w:color w:val="161616"/>
          <w:spacing w:val="-11"/>
          <w:sz w:val="22"/>
          <w:szCs w:val="22"/>
        </w:rPr>
        <w:t xml:space="preserve"> </w:t>
      </w:r>
      <w:r>
        <w:rPr>
          <w:rFonts w:ascii="Gill Sans MT" w:hAnsi="Gill Sans MT" w:cs="Gill Sans MT"/>
          <w:color w:val="161616"/>
          <w:sz w:val="22"/>
          <w:szCs w:val="22"/>
        </w:rPr>
        <w:t>other</w:t>
      </w:r>
      <w:r>
        <w:rPr>
          <w:rFonts w:ascii="Gill Sans MT" w:hAnsi="Gill Sans MT" w:cs="Gill Sans MT"/>
          <w:color w:val="161616"/>
          <w:spacing w:val="-12"/>
          <w:sz w:val="22"/>
          <w:szCs w:val="22"/>
        </w:rPr>
        <w:t xml:space="preserve"> </w:t>
      </w:r>
      <w:r>
        <w:rPr>
          <w:rFonts w:ascii="Gill Sans MT" w:hAnsi="Gill Sans MT" w:cs="Gill Sans MT"/>
          <w:color w:val="161616"/>
          <w:sz w:val="22"/>
          <w:szCs w:val="22"/>
        </w:rPr>
        <w:t xml:space="preserve">publicly-funded programs” remains unchanged. Referring back to our written comments dated May 2, 2016, we are all too </w:t>
      </w:r>
      <w:r>
        <w:rPr>
          <w:rFonts w:ascii="Gill Sans MT" w:hAnsi="Gill Sans MT" w:cs="Gill Sans MT"/>
          <w:color w:val="161616"/>
          <w:spacing w:val="-3"/>
          <w:sz w:val="22"/>
          <w:szCs w:val="22"/>
        </w:rPr>
        <w:t xml:space="preserve">aware </w:t>
      </w:r>
      <w:r>
        <w:rPr>
          <w:rFonts w:ascii="Gill Sans MT" w:hAnsi="Gill Sans MT" w:cs="Gill Sans MT"/>
          <w:color w:val="161616"/>
          <w:sz w:val="22"/>
          <w:szCs w:val="22"/>
        </w:rPr>
        <w:t>that members’</w:t>
      </w:r>
      <w:r>
        <w:rPr>
          <w:rFonts w:ascii="Gill Sans MT" w:hAnsi="Gill Sans MT" w:cs="Gill Sans MT"/>
          <w:color w:val="161616"/>
          <w:spacing w:val="-14"/>
          <w:sz w:val="22"/>
          <w:szCs w:val="22"/>
        </w:rPr>
        <w:t xml:space="preserve"> </w:t>
      </w:r>
      <w:r>
        <w:rPr>
          <w:rFonts w:ascii="Gill Sans MT" w:hAnsi="Gill Sans MT" w:cs="Gill Sans MT"/>
          <w:color w:val="161616"/>
          <w:sz w:val="22"/>
          <w:szCs w:val="22"/>
        </w:rPr>
        <w:t>immediate</w:t>
      </w:r>
      <w:r>
        <w:rPr>
          <w:rFonts w:ascii="Gill Sans MT" w:hAnsi="Gill Sans MT" w:cs="Gill Sans MT"/>
          <w:color w:val="161616"/>
          <w:spacing w:val="-14"/>
          <w:sz w:val="22"/>
          <w:szCs w:val="22"/>
        </w:rPr>
        <w:t xml:space="preserve"> </w:t>
      </w:r>
      <w:r>
        <w:rPr>
          <w:rFonts w:ascii="Gill Sans MT" w:hAnsi="Gill Sans MT" w:cs="Gill Sans MT"/>
          <w:color w:val="161616"/>
          <w:sz w:val="22"/>
          <w:szCs w:val="22"/>
        </w:rPr>
        <w:t>health</w:t>
      </w:r>
      <w:r>
        <w:rPr>
          <w:rFonts w:ascii="Gill Sans MT" w:hAnsi="Gill Sans MT" w:cs="Gill Sans MT"/>
          <w:color w:val="161616"/>
          <w:spacing w:val="-16"/>
          <w:sz w:val="22"/>
          <w:szCs w:val="22"/>
        </w:rPr>
        <w:t xml:space="preserve"> </w:t>
      </w:r>
      <w:r>
        <w:rPr>
          <w:rFonts w:ascii="Gill Sans MT" w:hAnsi="Gill Sans MT" w:cs="Gill Sans MT"/>
          <w:color w:val="161616"/>
          <w:sz w:val="22"/>
          <w:szCs w:val="22"/>
        </w:rPr>
        <w:t>and</w:t>
      </w:r>
      <w:r>
        <w:rPr>
          <w:rFonts w:ascii="Gill Sans MT" w:hAnsi="Gill Sans MT" w:cs="Gill Sans MT"/>
          <w:color w:val="161616"/>
          <w:spacing w:val="-13"/>
          <w:sz w:val="22"/>
          <w:szCs w:val="22"/>
        </w:rPr>
        <w:t xml:space="preserve"> </w:t>
      </w:r>
      <w:r>
        <w:rPr>
          <w:rFonts w:ascii="Gill Sans MT" w:hAnsi="Gill Sans MT" w:cs="Gill Sans MT"/>
          <w:color w:val="161616"/>
          <w:sz w:val="22"/>
          <w:szCs w:val="22"/>
        </w:rPr>
        <w:t>safety</w:t>
      </w:r>
      <w:r>
        <w:rPr>
          <w:rFonts w:ascii="Gill Sans MT" w:hAnsi="Gill Sans MT" w:cs="Gill Sans MT"/>
          <w:color w:val="161616"/>
          <w:spacing w:val="-16"/>
          <w:sz w:val="22"/>
          <w:szCs w:val="22"/>
        </w:rPr>
        <w:t xml:space="preserve"> </w:t>
      </w:r>
      <w:r>
        <w:rPr>
          <w:rFonts w:ascii="Gill Sans MT" w:hAnsi="Gill Sans MT" w:cs="Gill Sans MT"/>
          <w:color w:val="161616"/>
          <w:sz w:val="22"/>
          <w:szCs w:val="22"/>
        </w:rPr>
        <w:t>needs</w:t>
      </w:r>
      <w:r>
        <w:rPr>
          <w:rFonts w:ascii="Gill Sans MT" w:hAnsi="Gill Sans MT" w:cs="Gill Sans MT"/>
          <w:color w:val="161616"/>
          <w:spacing w:val="-14"/>
          <w:sz w:val="22"/>
          <w:szCs w:val="22"/>
        </w:rPr>
        <w:t xml:space="preserve"> </w:t>
      </w:r>
      <w:r>
        <w:rPr>
          <w:rFonts w:ascii="Gill Sans MT" w:hAnsi="Gill Sans MT" w:cs="Gill Sans MT"/>
          <w:color w:val="161616"/>
          <w:sz w:val="22"/>
          <w:szCs w:val="22"/>
        </w:rPr>
        <w:t>often</w:t>
      </w:r>
      <w:r>
        <w:rPr>
          <w:rFonts w:ascii="Gill Sans MT" w:hAnsi="Gill Sans MT" w:cs="Gill Sans MT"/>
          <w:color w:val="161616"/>
          <w:spacing w:val="-13"/>
          <w:sz w:val="22"/>
          <w:szCs w:val="22"/>
        </w:rPr>
        <w:t xml:space="preserve"> </w:t>
      </w:r>
      <w:r>
        <w:rPr>
          <w:rFonts w:ascii="Gill Sans MT" w:hAnsi="Gill Sans MT" w:cs="Gill Sans MT"/>
          <w:color w:val="161616"/>
          <w:sz w:val="22"/>
          <w:szCs w:val="22"/>
        </w:rPr>
        <w:t>are</w:t>
      </w:r>
      <w:r>
        <w:rPr>
          <w:rFonts w:ascii="Gill Sans MT" w:hAnsi="Gill Sans MT" w:cs="Gill Sans MT"/>
          <w:color w:val="161616"/>
          <w:spacing w:val="-16"/>
          <w:sz w:val="22"/>
          <w:szCs w:val="22"/>
        </w:rPr>
        <w:t xml:space="preserve"> </w:t>
      </w:r>
      <w:r>
        <w:rPr>
          <w:rFonts w:ascii="Gill Sans MT" w:hAnsi="Gill Sans MT" w:cs="Gill Sans MT"/>
          <w:color w:val="161616"/>
          <w:sz w:val="22"/>
          <w:szCs w:val="22"/>
        </w:rPr>
        <w:t>not</w:t>
      </w:r>
      <w:r>
        <w:rPr>
          <w:rFonts w:ascii="Gill Sans MT" w:hAnsi="Gill Sans MT" w:cs="Gill Sans MT"/>
          <w:color w:val="161616"/>
          <w:spacing w:val="-13"/>
          <w:sz w:val="22"/>
          <w:szCs w:val="22"/>
        </w:rPr>
        <w:t xml:space="preserve"> </w:t>
      </w:r>
      <w:r>
        <w:rPr>
          <w:rFonts w:ascii="Gill Sans MT" w:hAnsi="Gill Sans MT" w:cs="Gill Sans MT"/>
          <w:color w:val="161616"/>
          <w:sz w:val="22"/>
          <w:szCs w:val="22"/>
        </w:rPr>
        <w:t>addressed</w:t>
      </w:r>
      <w:r>
        <w:rPr>
          <w:rFonts w:ascii="Gill Sans MT" w:hAnsi="Gill Sans MT" w:cs="Gill Sans MT"/>
          <w:color w:val="161616"/>
          <w:spacing w:val="-13"/>
          <w:sz w:val="22"/>
          <w:szCs w:val="22"/>
        </w:rPr>
        <w:t xml:space="preserve"> </w:t>
      </w:r>
      <w:r>
        <w:rPr>
          <w:rFonts w:ascii="Gill Sans MT" w:hAnsi="Gill Sans MT" w:cs="Gill Sans MT"/>
          <w:color w:val="161616"/>
          <w:sz w:val="22"/>
          <w:szCs w:val="22"/>
        </w:rPr>
        <w:t>by</w:t>
      </w:r>
      <w:r>
        <w:rPr>
          <w:rFonts w:ascii="Gill Sans MT" w:hAnsi="Gill Sans MT" w:cs="Gill Sans MT"/>
          <w:color w:val="161616"/>
          <w:spacing w:val="-16"/>
          <w:sz w:val="22"/>
          <w:szCs w:val="22"/>
        </w:rPr>
        <w:t xml:space="preserve"> </w:t>
      </w:r>
      <w:r>
        <w:rPr>
          <w:rFonts w:ascii="Gill Sans MT" w:hAnsi="Gill Sans MT" w:cs="Gill Sans MT"/>
          <w:i/>
          <w:iCs/>
          <w:color w:val="161616"/>
          <w:sz w:val="22"/>
          <w:szCs w:val="22"/>
        </w:rPr>
        <w:t>technically</w:t>
      </w:r>
      <w:r>
        <w:rPr>
          <w:rFonts w:ascii="Gill Sans MT" w:hAnsi="Gill Sans MT" w:cs="Gill Sans MT"/>
          <w:i/>
          <w:iCs/>
          <w:color w:val="161616"/>
          <w:spacing w:val="-12"/>
          <w:sz w:val="22"/>
          <w:szCs w:val="22"/>
        </w:rPr>
        <w:t xml:space="preserve"> </w:t>
      </w:r>
      <w:r>
        <w:rPr>
          <w:rFonts w:ascii="Gill Sans MT" w:hAnsi="Gill Sans MT" w:cs="Gill Sans MT"/>
          <w:color w:val="161616"/>
          <w:sz w:val="22"/>
          <w:szCs w:val="22"/>
        </w:rPr>
        <w:t>“available”</w:t>
      </w:r>
      <w:r>
        <w:rPr>
          <w:rFonts w:ascii="Gill Sans MT" w:hAnsi="Gill Sans MT" w:cs="Gill Sans MT"/>
          <w:color w:val="161616"/>
          <w:spacing w:val="-14"/>
          <w:sz w:val="22"/>
          <w:szCs w:val="22"/>
        </w:rPr>
        <w:t xml:space="preserve"> </w:t>
      </w:r>
      <w:r>
        <w:rPr>
          <w:rFonts w:ascii="Gill Sans MT" w:hAnsi="Gill Sans MT" w:cs="Gill Sans MT"/>
          <w:color w:val="161616"/>
          <w:sz w:val="22"/>
          <w:szCs w:val="22"/>
        </w:rPr>
        <w:t>resources.</w:t>
      </w:r>
      <w:r>
        <w:rPr>
          <w:rFonts w:ascii="Gill Sans MT" w:hAnsi="Gill Sans MT" w:cs="Gill Sans MT"/>
          <w:color w:val="161616"/>
          <w:spacing w:val="33"/>
          <w:sz w:val="22"/>
          <w:szCs w:val="22"/>
        </w:rPr>
        <w:t xml:space="preserve"> </w:t>
      </w:r>
      <w:r>
        <w:rPr>
          <w:rFonts w:ascii="Gill Sans MT" w:hAnsi="Gill Sans MT" w:cs="Gill Sans MT"/>
          <w:color w:val="161616"/>
          <w:sz w:val="22"/>
          <w:szCs w:val="22"/>
        </w:rPr>
        <w:t>While</w:t>
      </w:r>
      <w:r>
        <w:rPr>
          <w:rFonts w:ascii="Gill Sans MT" w:hAnsi="Gill Sans MT" w:cs="Gill Sans MT"/>
          <w:color w:val="161616"/>
          <w:spacing w:val="-13"/>
          <w:sz w:val="22"/>
          <w:szCs w:val="22"/>
        </w:rPr>
        <w:t xml:space="preserve"> </w:t>
      </w:r>
      <w:r>
        <w:rPr>
          <w:rFonts w:ascii="Gill Sans MT" w:hAnsi="Gill Sans MT" w:cs="Gill Sans MT"/>
          <w:color w:val="161616"/>
          <w:sz w:val="22"/>
          <w:szCs w:val="22"/>
        </w:rPr>
        <w:t>a</w:t>
      </w:r>
      <w:r>
        <w:rPr>
          <w:rFonts w:ascii="Gill Sans MT" w:hAnsi="Gill Sans MT" w:cs="Gill Sans MT"/>
          <w:color w:val="161616"/>
          <w:spacing w:val="-16"/>
          <w:sz w:val="22"/>
          <w:szCs w:val="22"/>
        </w:rPr>
        <w:t xml:space="preserve"> </w:t>
      </w:r>
      <w:r>
        <w:rPr>
          <w:rFonts w:ascii="Gill Sans MT" w:hAnsi="Gill Sans MT" w:cs="Gill Sans MT"/>
          <w:color w:val="161616"/>
          <w:sz w:val="22"/>
          <w:szCs w:val="22"/>
        </w:rPr>
        <w:t xml:space="preserve">member may be legally entitled to have their publicly funded landlord install an air conditioner as a reasonable modification acknowledging a health vulnerability, the process of requesting said modification through the housing authority administrative process (and, potentially, housing court appeal process) sometimes means that </w:t>
      </w:r>
      <w:r>
        <w:rPr>
          <w:rFonts w:ascii="Gill Sans MT" w:hAnsi="Gill Sans MT" w:cs="Gill Sans MT"/>
          <w:color w:val="000000"/>
          <w:sz w:val="22"/>
          <w:szCs w:val="22"/>
        </w:rPr>
        <w:t xml:space="preserve">an </w:t>
      </w:r>
      <w:r>
        <w:rPr>
          <w:rFonts w:ascii="Gill Sans MT" w:hAnsi="Gill Sans MT" w:cs="Gill Sans MT"/>
          <w:color w:val="161616"/>
          <w:sz w:val="22"/>
          <w:szCs w:val="22"/>
        </w:rPr>
        <w:t xml:space="preserve">air conditioner is “available” only several inhalers, missed school </w:t>
      </w:r>
      <w:r>
        <w:rPr>
          <w:rFonts w:ascii="Gill Sans MT" w:hAnsi="Gill Sans MT" w:cs="Gill Sans MT"/>
          <w:color w:val="161616"/>
          <w:spacing w:val="-3"/>
          <w:sz w:val="22"/>
          <w:szCs w:val="22"/>
        </w:rPr>
        <w:t xml:space="preserve">and </w:t>
      </w:r>
      <w:r>
        <w:rPr>
          <w:rFonts w:ascii="Gill Sans MT" w:hAnsi="Gill Sans MT" w:cs="Gill Sans MT"/>
          <w:color w:val="161616"/>
          <w:sz w:val="22"/>
          <w:szCs w:val="22"/>
        </w:rPr>
        <w:t xml:space="preserve">work days, and even hospitalizations down the line. It is critical </w:t>
      </w:r>
      <w:r>
        <w:rPr>
          <w:rFonts w:ascii="Gill Sans MT" w:hAnsi="Gill Sans MT" w:cs="Gill Sans MT"/>
          <w:color w:val="161616"/>
          <w:spacing w:val="-3"/>
          <w:sz w:val="22"/>
          <w:szCs w:val="22"/>
        </w:rPr>
        <w:t xml:space="preserve">that </w:t>
      </w:r>
      <w:r>
        <w:rPr>
          <w:rFonts w:ascii="Gill Sans MT" w:hAnsi="Gill Sans MT" w:cs="Gill Sans MT"/>
          <w:color w:val="161616"/>
          <w:sz w:val="22"/>
          <w:szCs w:val="22"/>
        </w:rPr>
        <w:t>flexible</w:t>
      </w:r>
      <w:r>
        <w:rPr>
          <w:rFonts w:ascii="Gill Sans MT" w:hAnsi="Gill Sans MT" w:cs="Gill Sans MT"/>
          <w:color w:val="161616"/>
          <w:spacing w:val="-14"/>
          <w:sz w:val="22"/>
          <w:szCs w:val="22"/>
        </w:rPr>
        <w:t xml:space="preserve"> </w:t>
      </w:r>
      <w:r>
        <w:rPr>
          <w:rFonts w:ascii="Gill Sans MT" w:hAnsi="Gill Sans MT" w:cs="Gill Sans MT"/>
          <w:color w:val="161616"/>
          <w:sz w:val="22"/>
          <w:szCs w:val="22"/>
        </w:rPr>
        <w:t>funds</w:t>
      </w:r>
      <w:r>
        <w:rPr>
          <w:rFonts w:ascii="Gill Sans MT" w:hAnsi="Gill Sans MT" w:cs="Gill Sans MT"/>
          <w:color w:val="161616"/>
          <w:spacing w:val="-17"/>
          <w:sz w:val="22"/>
          <w:szCs w:val="22"/>
        </w:rPr>
        <w:t xml:space="preserve"> </w:t>
      </w:r>
      <w:r>
        <w:rPr>
          <w:rFonts w:ascii="Gill Sans MT" w:hAnsi="Gill Sans MT" w:cs="Gill Sans MT"/>
          <w:color w:val="161616"/>
          <w:sz w:val="22"/>
          <w:szCs w:val="22"/>
        </w:rPr>
        <w:t>be</w:t>
      </w:r>
      <w:r>
        <w:rPr>
          <w:rFonts w:ascii="Gill Sans MT" w:hAnsi="Gill Sans MT" w:cs="Gill Sans MT"/>
          <w:color w:val="161616"/>
          <w:spacing w:val="-14"/>
          <w:sz w:val="22"/>
          <w:szCs w:val="22"/>
        </w:rPr>
        <w:t xml:space="preserve"> </w:t>
      </w:r>
      <w:r>
        <w:rPr>
          <w:rFonts w:ascii="Gill Sans MT" w:hAnsi="Gill Sans MT" w:cs="Gill Sans MT"/>
          <w:color w:val="161616"/>
          <w:sz w:val="22"/>
          <w:szCs w:val="22"/>
        </w:rPr>
        <w:t>available</w:t>
      </w:r>
      <w:r>
        <w:rPr>
          <w:rFonts w:ascii="Gill Sans MT" w:hAnsi="Gill Sans MT" w:cs="Gill Sans MT"/>
          <w:color w:val="161616"/>
          <w:spacing w:val="-16"/>
          <w:sz w:val="22"/>
          <w:szCs w:val="22"/>
        </w:rPr>
        <w:t xml:space="preserve"> </w:t>
      </w:r>
      <w:r>
        <w:rPr>
          <w:rFonts w:ascii="Gill Sans MT" w:hAnsi="Gill Sans MT" w:cs="Gill Sans MT"/>
          <w:color w:val="161616"/>
          <w:sz w:val="22"/>
          <w:szCs w:val="22"/>
        </w:rPr>
        <w:t>flexibly</w:t>
      </w:r>
      <w:r>
        <w:rPr>
          <w:rFonts w:ascii="Gill Sans MT" w:hAnsi="Gill Sans MT" w:cs="Gill Sans MT"/>
          <w:color w:val="161616"/>
          <w:spacing w:val="-14"/>
          <w:sz w:val="22"/>
          <w:szCs w:val="22"/>
        </w:rPr>
        <w:t xml:space="preserve"> </w:t>
      </w:r>
      <w:r>
        <w:rPr>
          <w:rFonts w:ascii="Gill Sans MT" w:hAnsi="Gill Sans MT" w:cs="Gill Sans MT"/>
          <w:color w:val="161616"/>
          <w:sz w:val="22"/>
          <w:szCs w:val="22"/>
        </w:rPr>
        <w:t>to</w:t>
      </w:r>
      <w:r>
        <w:rPr>
          <w:rFonts w:ascii="Gill Sans MT" w:hAnsi="Gill Sans MT" w:cs="Gill Sans MT"/>
          <w:color w:val="161616"/>
          <w:spacing w:val="-15"/>
          <w:sz w:val="22"/>
          <w:szCs w:val="22"/>
        </w:rPr>
        <w:t xml:space="preserve"> </w:t>
      </w:r>
      <w:r>
        <w:rPr>
          <w:rFonts w:ascii="Gill Sans MT" w:hAnsi="Gill Sans MT" w:cs="Gill Sans MT"/>
          <w:color w:val="161616"/>
          <w:sz w:val="22"/>
          <w:szCs w:val="22"/>
        </w:rPr>
        <w:t>meet</w:t>
      </w:r>
      <w:r>
        <w:rPr>
          <w:rFonts w:ascii="Gill Sans MT" w:hAnsi="Gill Sans MT" w:cs="Gill Sans MT"/>
          <w:color w:val="161616"/>
          <w:spacing w:val="-15"/>
          <w:sz w:val="22"/>
          <w:szCs w:val="22"/>
        </w:rPr>
        <w:t xml:space="preserve"> </w:t>
      </w:r>
      <w:r>
        <w:rPr>
          <w:rFonts w:ascii="Gill Sans MT" w:hAnsi="Gill Sans MT" w:cs="Gill Sans MT"/>
          <w:color w:val="161616"/>
          <w:sz w:val="22"/>
          <w:szCs w:val="22"/>
        </w:rPr>
        <w:t>member’s</w:t>
      </w:r>
      <w:r>
        <w:rPr>
          <w:rFonts w:ascii="Gill Sans MT" w:hAnsi="Gill Sans MT" w:cs="Gill Sans MT"/>
          <w:color w:val="161616"/>
          <w:spacing w:val="-14"/>
          <w:sz w:val="22"/>
          <w:szCs w:val="22"/>
        </w:rPr>
        <w:t xml:space="preserve"> </w:t>
      </w:r>
      <w:r>
        <w:rPr>
          <w:rFonts w:ascii="Gill Sans MT" w:hAnsi="Gill Sans MT" w:cs="Gill Sans MT"/>
          <w:color w:val="161616"/>
          <w:sz w:val="22"/>
          <w:szCs w:val="22"/>
        </w:rPr>
        <w:t>real-life</w:t>
      </w:r>
      <w:r>
        <w:rPr>
          <w:rFonts w:ascii="Gill Sans MT" w:hAnsi="Gill Sans MT" w:cs="Gill Sans MT"/>
          <w:color w:val="161616"/>
          <w:spacing w:val="-16"/>
          <w:sz w:val="22"/>
          <w:szCs w:val="22"/>
        </w:rPr>
        <w:t xml:space="preserve"> </w:t>
      </w:r>
      <w:r>
        <w:rPr>
          <w:rFonts w:ascii="Gill Sans MT" w:hAnsi="Gill Sans MT" w:cs="Gill Sans MT"/>
          <w:color w:val="161616"/>
          <w:sz w:val="22"/>
          <w:szCs w:val="22"/>
        </w:rPr>
        <w:t>needs,</w:t>
      </w:r>
      <w:r>
        <w:rPr>
          <w:rFonts w:ascii="Gill Sans MT" w:hAnsi="Gill Sans MT" w:cs="Gill Sans MT"/>
          <w:color w:val="161616"/>
          <w:spacing w:val="-14"/>
          <w:sz w:val="22"/>
          <w:szCs w:val="22"/>
        </w:rPr>
        <w:t xml:space="preserve"> </w:t>
      </w:r>
      <w:r>
        <w:rPr>
          <w:rFonts w:ascii="Gill Sans MT" w:hAnsi="Gill Sans MT" w:cs="Gill Sans MT"/>
          <w:color w:val="161616"/>
          <w:sz w:val="22"/>
          <w:szCs w:val="22"/>
        </w:rPr>
        <w:t>and</w:t>
      </w:r>
      <w:r>
        <w:rPr>
          <w:rFonts w:ascii="Gill Sans MT" w:hAnsi="Gill Sans MT" w:cs="Gill Sans MT"/>
          <w:color w:val="161616"/>
          <w:spacing w:val="-13"/>
          <w:sz w:val="22"/>
          <w:szCs w:val="22"/>
        </w:rPr>
        <w:t xml:space="preserve"> </w:t>
      </w:r>
      <w:r>
        <w:rPr>
          <w:rFonts w:ascii="Gill Sans MT" w:hAnsi="Gill Sans MT" w:cs="Gill Sans MT"/>
          <w:color w:val="161616"/>
          <w:sz w:val="22"/>
          <w:szCs w:val="22"/>
        </w:rPr>
        <w:t>a</w:t>
      </w:r>
      <w:r>
        <w:rPr>
          <w:rFonts w:ascii="Gill Sans MT" w:hAnsi="Gill Sans MT" w:cs="Gill Sans MT"/>
          <w:color w:val="161616"/>
          <w:spacing w:val="-16"/>
          <w:sz w:val="22"/>
          <w:szCs w:val="22"/>
        </w:rPr>
        <w:t xml:space="preserve"> </w:t>
      </w:r>
      <w:r>
        <w:rPr>
          <w:rFonts w:ascii="Gill Sans MT" w:hAnsi="Gill Sans MT" w:cs="Gill Sans MT"/>
          <w:color w:val="161616"/>
          <w:sz w:val="22"/>
          <w:szCs w:val="22"/>
        </w:rPr>
        <w:t>feasibility</w:t>
      </w:r>
      <w:r>
        <w:rPr>
          <w:rFonts w:ascii="Gill Sans MT" w:hAnsi="Gill Sans MT" w:cs="Gill Sans MT"/>
          <w:color w:val="161616"/>
          <w:spacing w:val="-16"/>
          <w:sz w:val="22"/>
          <w:szCs w:val="22"/>
        </w:rPr>
        <w:t xml:space="preserve"> </w:t>
      </w:r>
      <w:r>
        <w:rPr>
          <w:rFonts w:ascii="Gill Sans MT" w:hAnsi="Gill Sans MT" w:cs="Gill Sans MT"/>
          <w:color w:val="161616"/>
          <w:sz w:val="22"/>
          <w:szCs w:val="22"/>
        </w:rPr>
        <w:t>standard</w:t>
      </w:r>
      <w:r>
        <w:rPr>
          <w:rFonts w:ascii="Gill Sans MT" w:hAnsi="Gill Sans MT" w:cs="Gill Sans MT"/>
          <w:color w:val="161616"/>
          <w:spacing w:val="-16"/>
          <w:sz w:val="22"/>
          <w:szCs w:val="22"/>
        </w:rPr>
        <w:t xml:space="preserve"> </w:t>
      </w:r>
      <w:r>
        <w:rPr>
          <w:rFonts w:ascii="Gill Sans MT" w:hAnsi="Gill Sans MT" w:cs="Gill Sans MT"/>
          <w:color w:val="161616"/>
          <w:sz w:val="22"/>
          <w:szCs w:val="22"/>
        </w:rPr>
        <w:t>would</w:t>
      </w:r>
      <w:r>
        <w:rPr>
          <w:rFonts w:ascii="Gill Sans MT" w:hAnsi="Gill Sans MT" w:cs="Gill Sans MT"/>
          <w:color w:val="161616"/>
          <w:spacing w:val="-13"/>
          <w:sz w:val="22"/>
          <w:szCs w:val="22"/>
        </w:rPr>
        <w:t xml:space="preserve"> </w:t>
      </w:r>
      <w:r>
        <w:rPr>
          <w:rFonts w:ascii="Gill Sans MT" w:hAnsi="Gill Sans MT" w:cs="Gill Sans MT"/>
          <w:color w:val="161616"/>
          <w:sz w:val="22"/>
          <w:szCs w:val="22"/>
        </w:rPr>
        <w:t>support</w:t>
      </w:r>
      <w:r>
        <w:rPr>
          <w:rFonts w:ascii="Gill Sans MT" w:hAnsi="Gill Sans MT" w:cs="Gill Sans MT"/>
          <w:color w:val="161616"/>
          <w:spacing w:val="-15"/>
          <w:sz w:val="22"/>
          <w:szCs w:val="22"/>
        </w:rPr>
        <w:t xml:space="preserve"> </w:t>
      </w:r>
      <w:r>
        <w:rPr>
          <w:rFonts w:ascii="Gill Sans MT" w:hAnsi="Gill Sans MT" w:cs="Gill Sans MT"/>
          <w:color w:val="161616"/>
          <w:sz w:val="22"/>
          <w:szCs w:val="22"/>
        </w:rPr>
        <w:t>this</w:t>
      </w:r>
      <w:r>
        <w:rPr>
          <w:rFonts w:ascii="Gill Sans MT" w:hAnsi="Gill Sans MT" w:cs="Gill Sans MT"/>
          <w:color w:val="161616"/>
          <w:spacing w:val="-14"/>
          <w:sz w:val="22"/>
          <w:szCs w:val="22"/>
        </w:rPr>
        <w:t xml:space="preserve"> </w:t>
      </w:r>
      <w:r>
        <w:rPr>
          <w:rFonts w:ascii="Gill Sans MT" w:hAnsi="Gill Sans MT" w:cs="Gill Sans MT"/>
          <w:color w:val="161616"/>
          <w:sz w:val="22"/>
          <w:szCs w:val="22"/>
        </w:rPr>
        <w:t>approach.</w:t>
      </w:r>
    </w:p>
    <w:p w:rsidR="002C5025" w:rsidRDefault="002C5025">
      <w:pPr>
        <w:pStyle w:val="BodyText"/>
        <w:kinsoku w:val="0"/>
        <w:overflowPunct w:val="0"/>
        <w:spacing w:before="1"/>
        <w:rPr>
          <w:rFonts w:ascii="Gill Sans MT" w:hAnsi="Gill Sans MT" w:cs="Gill Sans MT"/>
        </w:rPr>
      </w:pPr>
    </w:p>
    <w:p w:rsidR="002C5025" w:rsidRDefault="002C5025">
      <w:pPr>
        <w:pStyle w:val="ListParagraph"/>
        <w:numPr>
          <w:ilvl w:val="2"/>
          <w:numId w:val="6"/>
        </w:numPr>
        <w:tabs>
          <w:tab w:val="left" w:pos="1100"/>
        </w:tabs>
        <w:kinsoku w:val="0"/>
        <w:overflowPunct w:val="0"/>
        <w:ind w:right="249"/>
        <w:rPr>
          <w:rFonts w:ascii="Gill Sans MT" w:hAnsi="Gill Sans MT" w:cs="Gill Sans MT"/>
          <w:color w:val="161616"/>
          <w:sz w:val="22"/>
          <w:szCs w:val="22"/>
        </w:rPr>
      </w:pPr>
      <w:r>
        <w:rPr>
          <w:rFonts w:ascii="Gill Sans MT" w:hAnsi="Gill Sans MT" w:cs="Gill Sans MT"/>
          <w:b/>
          <w:bCs/>
          <w:color w:val="161616"/>
          <w:sz w:val="22"/>
          <w:szCs w:val="22"/>
        </w:rPr>
        <w:t>We</w:t>
      </w:r>
      <w:r>
        <w:rPr>
          <w:rFonts w:ascii="Gill Sans MT" w:hAnsi="Gill Sans MT" w:cs="Gill Sans MT"/>
          <w:b/>
          <w:bCs/>
          <w:color w:val="161616"/>
          <w:spacing w:val="-15"/>
          <w:sz w:val="22"/>
          <w:szCs w:val="22"/>
        </w:rPr>
        <w:t xml:space="preserve"> </w:t>
      </w:r>
      <w:r>
        <w:rPr>
          <w:rFonts w:ascii="Gill Sans MT" w:hAnsi="Gill Sans MT" w:cs="Gill Sans MT"/>
          <w:b/>
          <w:bCs/>
          <w:color w:val="161616"/>
          <w:sz w:val="22"/>
          <w:szCs w:val="22"/>
        </w:rPr>
        <w:t>continue</w:t>
      </w:r>
      <w:r>
        <w:rPr>
          <w:rFonts w:ascii="Gill Sans MT" w:hAnsi="Gill Sans MT" w:cs="Gill Sans MT"/>
          <w:b/>
          <w:bCs/>
          <w:color w:val="161616"/>
          <w:spacing w:val="-15"/>
          <w:sz w:val="22"/>
          <w:szCs w:val="22"/>
        </w:rPr>
        <w:t xml:space="preserve"> </w:t>
      </w:r>
      <w:r>
        <w:rPr>
          <w:rFonts w:ascii="Gill Sans MT" w:hAnsi="Gill Sans MT" w:cs="Gill Sans MT"/>
          <w:b/>
          <w:bCs/>
          <w:color w:val="161616"/>
          <w:sz w:val="22"/>
          <w:szCs w:val="22"/>
        </w:rPr>
        <w:t>to</w:t>
      </w:r>
      <w:r>
        <w:rPr>
          <w:rFonts w:ascii="Gill Sans MT" w:hAnsi="Gill Sans MT" w:cs="Gill Sans MT"/>
          <w:b/>
          <w:bCs/>
          <w:color w:val="161616"/>
          <w:spacing w:val="-15"/>
          <w:sz w:val="22"/>
          <w:szCs w:val="22"/>
        </w:rPr>
        <w:t xml:space="preserve"> </w:t>
      </w:r>
      <w:r>
        <w:rPr>
          <w:rFonts w:ascii="Gill Sans MT" w:hAnsi="Gill Sans MT" w:cs="Gill Sans MT"/>
          <w:b/>
          <w:bCs/>
          <w:color w:val="161616"/>
          <w:sz w:val="22"/>
          <w:szCs w:val="22"/>
        </w:rPr>
        <w:t>encourage</w:t>
      </w:r>
      <w:r>
        <w:rPr>
          <w:rFonts w:ascii="Gill Sans MT" w:hAnsi="Gill Sans MT" w:cs="Gill Sans MT"/>
          <w:b/>
          <w:bCs/>
          <w:color w:val="161616"/>
          <w:spacing w:val="-15"/>
          <w:sz w:val="22"/>
          <w:szCs w:val="22"/>
        </w:rPr>
        <w:t xml:space="preserve"> </w:t>
      </w:r>
      <w:r>
        <w:rPr>
          <w:rFonts w:ascii="Gill Sans MT" w:hAnsi="Gill Sans MT" w:cs="Gill Sans MT"/>
          <w:b/>
          <w:bCs/>
          <w:color w:val="161616"/>
          <w:sz w:val="22"/>
          <w:szCs w:val="22"/>
        </w:rPr>
        <w:t>a</w:t>
      </w:r>
      <w:r>
        <w:rPr>
          <w:rFonts w:ascii="Gill Sans MT" w:hAnsi="Gill Sans MT" w:cs="Gill Sans MT"/>
          <w:b/>
          <w:bCs/>
          <w:color w:val="161616"/>
          <w:spacing w:val="-18"/>
          <w:sz w:val="22"/>
          <w:szCs w:val="22"/>
        </w:rPr>
        <w:t xml:space="preserve"> </w:t>
      </w:r>
      <w:r>
        <w:rPr>
          <w:rFonts w:ascii="Gill Sans MT" w:hAnsi="Gill Sans MT" w:cs="Gill Sans MT"/>
          <w:b/>
          <w:bCs/>
          <w:color w:val="161616"/>
          <w:sz w:val="22"/>
          <w:szCs w:val="22"/>
        </w:rPr>
        <w:t>bias</w:t>
      </w:r>
      <w:r>
        <w:rPr>
          <w:rFonts w:ascii="Gill Sans MT" w:hAnsi="Gill Sans MT" w:cs="Gill Sans MT"/>
          <w:b/>
          <w:bCs/>
          <w:color w:val="161616"/>
          <w:spacing w:val="-17"/>
          <w:sz w:val="22"/>
          <w:szCs w:val="22"/>
        </w:rPr>
        <w:t xml:space="preserve"> </w:t>
      </w:r>
      <w:r>
        <w:rPr>
          <w:rFonts w:ascii="Gill Sans MT" w:hAnsi="Gill Sans MT" w:cs="Gill Sans MT"/>
          <w:b/>
          <w:bCs/>
          <w:color w:val="161616"/>
          <w:sz w:val="22"/>
          <w:szCs w:val="22"/>
        </w:rPr>
        <w:t>for</w:t>
      </w:r>
      <w:r>
        <w:rPr>
          <w:rFonts w:ascii="Gill Sans MT" w:hAnsi="Gill Sans MT" w:cs="Gill Sans MT"/>
          <w:b/>
          <w:bCs/>
          <w:color w:val="161616"/>
          <w:spacing w:val="-16"/>
          <w:sz w:val="22"/>
          <w:szCs w:val="22"/>
        </w:rPr>
        <w:t xml:space="preserve"> </w:t>
      </w:r>
      <w:r>
        <w:rPr>
          <w:rFonts w:ascii="Gill Sans MT" w:hAnsi="Gill Sans MT" w:cs="Gill Sans MT"/>
          <w:b/>
          <w:bCs/>
          <w:color w:val="161616"/>
          <w:sz w:val="22"/>
          <w:szCs w:val="22"/>
        </w:rPr>
        <w:t>a</w:t>
      </w:r>
      <w:r>
        <w:rPr>
          <w:rFonts w:ascii="Gill Sans MT" w:hAnsi="Gill Sans MT" w:cs="Gill Sans MT"/>
          <w:b/>
          <w:bCs/>
          <w:color w:val="161616"/>
          <w:spacing w:val="-18"/>
          <w:sz w:val="22"/>
          <w:szCs w:val="22"/>
        </w:rPr>
        <w:t xml:space="preserve"> </w:t>
      </w:r>
      <w:r>
        <w:rPr>
          <w:rFonts w:ascii="Gill Sans MT" w:hAnsi="Gill Sans MT" w:cs="Gill Sans MT"/>
          <w:b/>
          <w:bCs/>
          <w:color w:val="161616"/>
          <w:sz w:val="22"/>
          <w:szCs w:val="22"/>
        </w:rPr>
        <w:t>member-centered,</w:t>
      </w:r>
      <w:r>
        <w:rPr>
          <w:rFonts w:ascii="Gill Sans MT" w:hAnsi="Gill Sans MT" w:cs="Gill Sans MT"/>
          <w:b/>
          <w:bCs/>
          <w:color w:val="161616"/>
          <w:spacing w:val="-16"/>
          <w:sz w:val="22"/>
          <w:szCs w:val="22"/>
        </w:rPr>
        <w:t xml:space="preserve"> </w:t>
      </w:r>
      <w:r>
        <w:rPr>
          <w:rFonts w:ascii="Gill Sans MT" w:hAnsi="Gill Sans MT" w:cs="Gill Sans MT"/>
          <w:b/>
          <w:bCs/>
          <w:color w:val="161616"/>
          <w:sz w:val="22"/>
          <w:szCs w:val="22"/>
        </w:rPr>
        <w:t>life-long</w:t>
      </w:r>
      <w:r>
        <w:rPr>
          <w:rFonts w:ascii="Gill Sans MT" w:hAnsi="Gill Sans MT" w:cs="Gill Sans MT"/>
          <w:b/>
          <w:bCs/>
          <w:color w:val="161616"/>
          <w:spacing w:val="-18"/>
          <w:sz w:val="22"/>
          <w:szCs w:val="22"/>
        </w:rPr>
        <w:t xml:space="preserve"> </w:t>
      </w:r>
      <w:r>
        <w:rPr>
          <w:rFonts w:ascii="Gill Sans MT" w:hAnsi="Gill Sans MT" w:cs="Gill Sans MT"/>
          <w:b/>
          <w:bCs/>
          <w:color w:val="161616"/>
          <w:sz w:val="22"/>
          <w:szCs w:val="22"/>
        </w:rPr>
        <w:t>view</w:t>
      </w:r>
      <w:r>
        <w:rPr>
          <w:rFonts w:ascii="Gill Sans MT" w:hAnsi="Gill Sans MT" w:cs="Gill Sans MT"/>
          <w:b/>
          <w:bCs/>
          <w:color w:val="161616"/>
          <w:spacing w:val="-15"/>
          <w:sz w:val="22"/>
          <w:szCs w:val="22"/>
        </w:rPr>
        <w:t xml:space="preserve"> </w:t>
      </w:r>
      <w:r>
        <w:rPr>
          <w:rFonts w:ascii="Gill Sans MT" w:hAnsi="Gill Sans MT" w:cs="Gill Sans MT"/>
          <w:b/>
          <w:bCs/>
          <w:color w:val="161616"/>
          <w:sz w:val="22"/>
          <w:szCs w:val="22"/>
        </w:rPr>
        <w:t>regarding</w:t>
      </w:r>
      <w:r>
        <w:rPr>
          <w:rFonts w:ascii="Gill Sans MT" w:hAnsi="Gill Sans MT" w:cs="Gill Sans MT"/>
          <w:b/>
          <w:bCs/>
          <w:color w:val="161616"/>
          <w:spacing w:val="-16"/>
          <w:sz w:val="22"/>
          <w:szCs w:val="22"/>
        </w:rPr>
        <w:t xml:space="preserve"> </w:t>
      </w:r>
      <w:r>
        <w:rPr>
          <w:rFonts w:ascii="Gill Sans MT" w:hAnsi="Gill Sans MT" w:cs="Gill Sans MT"/>
          <w:b/>
          <w:bCs/>
          <w:color w:val="161616"/>
          <w:sz w:val="22"/>
          <w:szCs w:val="22"/>
        </w:rPr>
        <w:t>authorization</w:t>
      </w:r>
      <w:r>
        <w:rPr>
          <w:rFonts w:ascii="Gill Sans MT" w:hAnsi="Gill Sans MT" w:cs="Gill Sans MT"/>
          <w:b/>
          <w:bCs/>
          <w:color w:val="161616"/>
          <w:spacing w:val="-15"/>
          <w:sz w:val="22"/>
          <w:szCs w:val="22"/>
        </w:rPr>
        <w:t xml:space="preserve"> </w:t>
      </w:r>
      <w:r>
        <w:rPr>
          <w:rFonts w:ascii="Gill Sans MT" w:hAnsi="Gill Sans MT" w:cs="Gill Sans MT"/>
          <w:b/>
          <w:bCs/>
          <w:color w:val="161616"/>
          <w:sz w:val="22"/>
          <w:szCs w:val="22"/>
        </w:rPr>
        <w:t>of DSRIP</w:t>
      </w:r>
      <w:r>
        <w:rPr>
          <w:rFonts w:ascii="Gill Sans MT" w:hAnsi="Gill Sans MT" w:cs="Gill Sans MT"/>
          <w:b/>
          <w:bCs/>
          <w:color w:val="161616"/>
          <w:spacing w:val="-11"/>
          <w:sz w:val="22"/>
          <w:szCs w:val="22"/>
        </w:rPr>
        <w:t xml:space="preserve"> </w:t>
      </w:r>
      <w:r>
        <w:rPr>
          <w:rFonts w:ascii="Gill Sans MT" w:hAnsi="Gill Sans MT" w:cs="Gill Sans MT"/>
          <w:b/>
          <w:bCs/>
          <w:color w:val="161616"/>
          <w:sz w:val="22"/>
          <w:szCs w:val="22"/>
        </w:rPr>
        <w:t>investments.</w:t>
      </w:r>
      <w:r>
        <w:rPr>
          <w:rFonts w:ascii="Gill Sans MT" w:hAnsi="Gill Sans MT" w:cs="Gill Sans MT"/>
          <w:b/>
          <w:bCs/>
          <w:color w:val="161616"/>
          <w:spacing w:val="-10"/>
          <w:sz w:val="22"/>
          <w:szCs w:val="22"/>
        </w:rPr>
        <w:t xml:space="preserve"> </w:t>
      </w:r>
      <w:r>
        <w:rPr>
          <w:rFonts w:ascii="Gill Sans MT" w:hAnsi="Gill Sans MT" w:cs="Gill Sans MT"/>
          <w:color w:val="161616"/>
          <w:sz w:val="22"/>
          <w:szCs w:val="22"/>
        </w:rPr>
        <w:t>Behind</w:t>
      </w:r>
      <w:r>
        <w:rPr>
          <w:rFonts w:ascii="Gill Sans MT" w:hAnsi="Gill Sans MT" w:cs="Gill Sans MT"/>
          <w:color w:val="161616"/>
          <w:spacing w:val="-10"/>
          <w:sz w:val="22"/>
          <w:szCs w:val="22"/>
        </w:rPr>
        <w:t xml:space="preserve"> </w:t>
      </w:r>
      <w:r>
        <w:rPr>
          <w:rFonts w:ascii="Gill Sans MT" w:hAnsi="Gill Sans MT" w:cs="Gill Sans MT"/>
          <w:color w:val="161616"/>
          <w:sz w:val="22"/>
          <w:szCs w:val="22"/>
        </w:rPr>
        <w:t>every</w:t>
      </w:r>
      <w:r>
        <w:rPr>
          <w:rFonts w:ascii="Gill Sans MT" w:hAnsi="Gill Sans MT" w:cs="Gill Sans MT"/>
          <w:color w:val="161616"/>
          <w:spacing w:val="-11"/>
          <w:sz w:val="22"/>
          <w:szCs w:val="22"/>
        </w:rPr>
        <w:t xml:space="preserve"> </w:t>
      </w:r>
      <w:r>
        <w:rPr>
          <w:rFonts w:ascii="Gill Sans MT" w:hAnsi="Gill Sans MT" w:cs="Gill Sans MT"/>
          <w:color w:val="161616"/>
          <w:sz w:val="22"/>
          <w:szCs w:val="22"/>
        </w:rPr>
        <w:t>member</w:t>
      </w:r>
      <w:r>
        <w:rPr>
          <w:rFonts w:ascii="Gill Sans MT" w:hAnsi="Gill Sans MT" w:cs="Gill Sans MT"/>
          <w:color w:val="161616"/>
          <w:spacing w:val="-12"/>
          <w:sz w:val="22"/>
          <w:szCs w:val="22"/>
        </w:rPr>
        <w:t xml:space="preserve"> </w:t>
      </w:r>
      <w:r>
        <w:rPr>
          <w:rFonts w:ascii="Gill Sans MT" w:hAnsi="Gill Sans MT" w:cs="Gill Sans MT"/>
          <w:color w:val="161616"/>
          <w:sz w:val="22"/>
          <w:szCs w:val="22"/>
        </w:rPr>
        <w:t>in</w:t>
      </w:r>
      <w:r>
        <w:rPr>
          <w:rFonts w:ascii="Gill Sans MT" w:hAnsi="Gill Sans MT" w:cs="Gill Sans MT"/>
          <w:color w:val="161616"/>
          <w:spacing w:val="-10"/>
          <w:sz w:val="22"/>
          <w:szCs w:val="22"/>
        </w:rPr>
        <w:t xml:space="preserve"> </w:t>
      </w:r>
      <w:r>
        <w:rPr>
          <w:rFonts w:ascii="Gill Sans MT" w:hAnsi="Gill Sans MT" w:cs="Gill Sans MT"/>
          <w:color w:val="161616"/>
          <w:sz w:val="22"/>
          <w:szCs w:val="22"/>
        </w:rPr>
        <w:t>the</w:t>
      </w:r>
      <w:r>
        <w:rPr>
          <w:rFonts w:ascii="Gill Sans MT" w:hAnsi="Gill Sans MT" w:cs="Gill Sans MT"/>
          <w:color w:val="161616"/>
          <w:spacing w:val="-13"/>
          <w:sz w:val="22"/>
          <w:szCs w:val="22"/>
        </w:rPr>
        <w:t xml:space="preserve"> </w:t>
      </w:r>
      <w:r>
        <w:rPr>
          <w:rFonts w:ascii="Gill Sans MT" w:hAnsi="Gill Sans MT" w:cs="Gill Sans MT"/>
          <w:color w:val="161616"/>
          <w:sz w:val="22"/>
          <w:szCs w:val="22"/>
        </w:rPr>
        <w:t>5%</w:t>
      </w:r>
      <w:r>
        <w:rPr>
          <w:rFonts w:ascii="Gill Sans MT" w:hAnsi="Gill Sans MT" w:cs="Gill Sans MT"/>
          <w:color w:val="161616"/>
          <w:spacing w:val="-11"/>
          <w:sz w:val="22"/>
          <w:szCs w:val="22"/>
        </w:rPr>
        <w:t xml:space="preserve"> </w:t>
      </w:r>
      <w:r>
        <w:rPr>
          <w:rFonts w:ascii="Gill Sans MT" w:hAnsi="Gill Sans MT" w:cs="Gill Sans MT"/>
          <w:color w:val="161616"/>
          <w:sz w:val="22"/>
          <w:szCs w:val="22"/>
        </w:rPr>
        <w:t>that</w:t>
      </w:r>
      <w:r>
        <w:rPr>
          <w:rFonts w:ascii="Gill Sans MT" w:hAnsi="Gill Sans MT" w:cs="Gill Sans MT"/>
          <w:color w:val="161616"/>
          <w:spacing w:val="-10"/>
          <w:sz w:val="22"/>
          <w:szCs w:val="22"/>
        </w:rPr>
        <w:t xml:space="preserve"> </w:t>
      </w:r>
      <w:r>
        <w:rPr>
          <w:rFonts w:ascii="Gill Sans MT" w:hAnsi="Gill Sans MT" w:cs="Gill Sans MT"/>
          <w:color w:val="161616"/>
          <w:sz w:val="22"/>
          <w:szCs w:val="22"/>
        </w:rPr>
        <w:t>accounts</w:t>
      </w:r>
      <w:r>
        <w:rPr>
          <w:rFonts w:ascii="Gill Sans MT" w:hAnsi="Gill Sans MT" w:cs="Gill Sans MT"/>
          <w:color w:val="161616"/>
          <w:spacing w:val="-11"/>
          <w:sz w:val="22"/>
          <w:szCs w:val="22"/>
        </w:rPr>
        <w:t xml:space="preserve"> </w:t>
      </w:r>
      <w:r>
        <w:rPr>
          <w:rFonts w:ascii="Gill Sans MT" w:hAnsi="Gill Sans MT" w:cs="Gill Sans MT"/>
          <w:color w:val="161616"/>
          <w:sz w:val="22"/>
          <w:szCs w:val="22"/>
        </w:rPr>
        <w:t>for</w:t>
      </w:r>
      <w:r>
        <w:rPr>
          <w:rFonts w:ascii="Gill Sans MT" w:hAnsi="Gill Sans MT" w:cs="Gill Sans MT"/>
          <w:color w:val="161616"/>
          <w:spacing w:val="-14"/>
          <w:sz w:val="22"/>
          <w:szCs w:val="22"/>
        </w:rPr>
        <w:t xml:space="preserve"> </w:t>
      </w:r>
      <w:r>
        <w:rPr>
          <w:rFonts w:ascii="Gill Sans MT" w:hAnsi="Gill Sans MT" w:cs="Gill Sans MT"/>
          <w:color w:val="161616"/>
          <w:sz w:val="22"/>
          <w:szCs w:val="22"/>
        </w:rPr>
        <w:t>50%</w:t>
      </w:r>
      <w:r>
        <w:rPr>
          <w:rFonts w:ascii="Gill Sans MT" w:hAnsi="Gill Sans MT" w:cs="Gill Sans MT"/>
          <w:color w:val="161616"/>
          <w:spacing w:val="-11"/>
          <w:sz w:val="22"/>
          <w:szCs w:val="22"/>
        </w:rPr>
        <w:t xml:space="preserve"> </w:t>
      </w:r>
      <w:r>
        <w:rPr>
          <w:rFonts w:ascii="Gill Sans MT" w:hAnsi="Gill Sans MT" w:cs="Gill Sans MT"/>
          <w:color w:val="161616"/>
          <w:sz w:val="22"/>
          <w:szCs w:val="22"/>
        </w:rPr>
        <w:t>of</w:t>
      </w:r>
      <w:r>
        <w:rPr>
          <w:rFonts w:ascii="Gill Sans MT" w:hAnsi="Gill Sans MT" w:cs="Gill Sans MT"/>
          <w:color w:val="161616"/>
          <w:spacing w:val="-13"/>
          <w:sz w:val="22"/>
          <w:szCs w:val="22"/>
        </w:rPr>
        <w:t xml:space="preserve"> </w:t>
      </w:r>
      <w:r>
        <w:rPr>
          <w:rFonts w:ascii="Gill Sans MT" w:hAnsi="Gill Sans MT" w:cs="Gill Sans MT"/>
          <w:color w:val="161616"/>
          <w:sz w:val="22"/>
          <w:szCs w:val="22"/>
        </w:rPr>
        <w:t>costs,</w:t>
      </w:r>
      <w:r>
        <w:rPr>
          <w:rFonts w:ascii="Gill Sans MT" w:hAnsi="Gill Sans MT" w:cs="Gill Sans MT"/>
          <w:color w:val="161616"/>
          <w:spacing w:val="-11"/>
          <w:sz w:val="22"/>
          <w:szCs w:val="22"/>
        </w:rPr>
        <w:t xml:space="preserve"> </w:t>
      </w:r>
      <w:r>
        <w:rPr>
          <w:rFonts w:ascii="Gill Sans MT" w:hAnsi="Gill Sans MT" w:cs="Gill Sans MT"/>
          <w:color w:val="161616"/>
          <w:sz w:val="22"/>
          <w:szCs w:val="22"/>
        </w:rPr>
        <w:t>there</w:t>
      </w:r>
      <w:r>
        <w:rPr>
          <w:rFonts w:ascii="Gill Sans MT" w:hAnsi="Gill Sans MT" w:cs="Gill Sans MT"/>
          <w:color w:val="161616"/>
          <w:spacing w:val="-10"/>
          <w:sz w:val="22"/>
          <w:szCs w:val="22"/>
        </w:rPr>
        <w:t xml:space="preserve"> </w:t>
      </w:r>
      <w:r>
        <w:rPr>
          <w:rFonts w:ascii="Gill Sans MT" w:hAnsi="Gill Sans MT" w:cs="Gill Sans MT"/>
          <w:color w:val="161616"/>
          <w:sz w:val="22"/>
          <w:szCs w:val="22"/>
        </w:rPr>
        <w:t>are</w:t>
      </w:r>
      <w:r>
        <w:rPr>
          <w:rFonts w:ascii="Gill Sans MT" w:hAnsi="Gill Sans MT" w:cs="Gill Sans MT"/>
          <w:color w:val="161616"/>
          <w:spacing w:val="-13"/>
          <w:sz w:val="22"/>
          <w:szCs w:val="22"/>
        </w:rPr>
        <w:t xml:space="preserve"> </w:t>
      </w:r>
      <w:r>
        <w:rPr>
          <w:rFonts w:ascii="Gill Sans MT" w:hAnsi="Gill Sans MT" w:cs="Gill Sans MT"/>
          <w:color w:val="161616"/>
          <w:sz w:val="22"/>
          <w:szCs w:val="22"/>
        </w:rPr>
        <w:t>thousands</w:t>
      </w:r>
      <w:r>
        <w:rPr>
          <w:rFonts w:ascii="Gill Sans MT" w:hAnsi="Gill Sans MT" w:cs="Gill Sans MT"/>
          <w:color w:val="161616"/>
          <w:spacing w:val="-14"/>
          <w:sz w:val="22"/>
          <w:szCs w:val="22"/>
        </w:rPr>
        <w:t xml:space="preserve"> </w:t>
      </w:r>
      <w:r>
        <w:rPr>
          <w:rFonts w:ascii="Gill Sans MT" w:hAnsi="Gill Sans MT" w:cs="Gill Sans MT"/>
          <w:color w:val="161616"/>
          <w:sz w:val="22"/>
          <w:szCs w:val="22"/>
        </w:rPr>
        <w:t>of</w:t>
      </w:r>
    </w:p>
    <w:p w:rsidR="002C5025" w:rsidRDefault="002C5025">
      <w:pPr>
        <w:pStyle w:val="BodyText"/>
        <w:kinsoku w:val="0"/>
        <w:overflowPunct w:val="0"/>
        <w:spacing w:before="3" w:line="237" w:lineRule="auto"/>
        <w:ind w:left="380" w:right="87" w:hanging="1"/>
        <w:rPr>
          <w:rFonts w:ascii="Gill Sans MT" w:hAnsi="Gill Sans MT" w:cs="Gill Sans MT"/>
          <w:color w:val="161616"/>
        </w:rPr>
      </w:pPr>
      <w:r>
        <w:rPr>
          <w:rFonts w:ascii="Gill Sans MT" w:hAnsi="Gill Sans MT" w:cs="Gill Sans MT"/>
          <w:color w:val="161616"/>
        </w:rPr>
        <w:t>members</w:t>
      </w:r>
      <w:r>
        <w:rPr>
          <w:rFonts w:ascii="Gill Sans MT" w:hAnsi="Gill Sans MT" w:cs="Gill Sans MT"/>
          <w:color w:val="161616"/>
          <w:spacing w:val="-15"/>
        </w:rPr>
        <w:t xml:space="preserve"> </w:t>
      </w:r>
      <w:r>
        <w:rPr>
          <w:rFonts w:ascii="Gill Sans MT" w:hAnsi="Gill Sans MT" w:cs="Gill Sans MT"/>
          <w:color w:val="161616"/>
        </w:rPr>
        <w:t>in</w:t>
      </w:r>
      <w:r>
        <w:rPr>
          <w:rFonts w:ascii="Gill Sans MT" w:hAnsi="Gill Sans MT" w:cs="Gill Sans MT"/>
          <w:color w:val="161616"/>
          <w:spacing w:val="-12"/>
        </w:rPr>
        <w:t xml:space="preserve"> </w:t>
      </w:r>
      <w:r>
        <w:rPr>
          <w:rFonts w:ascii="Gill Sans MT" w:hAnsi="Gill Sans MT" w:cs="Gill Sans MT"/>
          <w:color w:val="161616"/>
        </w:rPr>
        <w:t>the</w:t>
      </w:r>
      <w:r>
        <w:rPr>
          <w:rFonts w:ascii="Gill Sans MT" w:hAnsi="Gill Sans MT" w:cs="Gill Sans MT"/>
          <w:color w:val="161616"/>
          <w:spacing w:val="-14"/>
        </w:rPr>
        <w:t xml:space="preserve"> </w:t>
      </w:r>
      <w:r>
        <w:rPr>
          <w:rFonts w:ascii="Gill Sans MT" w:hAnsi="Gill Sans MT" w:cs="Gill Sans MT"/>
          <w:color w:val="161616"/>
        </w:rPr>
        <w:t>quintiles</w:t>
      </w:r>
      <w:r>
        <w:rPr>
          <w:rFonts w:ascii="Gill Sans MT" w:hAnsi="Gill Sans MT" w:cs="Gill Sans MT"/>
          <w:color w:val="161616"/>
          <w:spacing w:val="-15"/>
        </w:rPr>
        <w:t xml:space="preserve"> </w:t>
      </w:r>
      <w:r>
        <w:rPr>
          <w:rFonts w:ascii="Gill Sans MT" w:hAnsi="Gill Sans MT" w:cs="Gill Sans MT"/>
          <w:color w:val="161616"/>
        </w:rPr>
        <w:t>below</w:t>
      </w:r>
      <w:r>
        <w:rPr>
          <w:rFonts w:ascii="Gill Sans MT" w:hAnsi="Gill Sans MT" w:cs="Gill Sans MT"/>
          <w:color w:val="161616"/>
          <w:spacing w:val="-13"/>
        </w:rPr>
        <w:t xml:space="preserve"> </w:t>
      </w:r>
      <w:r>
        <w:rPr>
          <w:rFonts w:ascii="Gill Sans MT" w:hAnsi="Gill Sans MT" w:cs="Gill Sans MT"/>
          <w:color w:val="161616"/>
        </w:rPr>
        <w:t>them</w:t>
      </w:r>
      <w:r>
        <w:rPr>
          <w:rFonts w:ascii="Gill Sans MT" w:hAnsi="Gill Sans MT" w:cs="Gill Sans MT"/>
          <w:color w:val="161616"/>
          <w:spacing w:val="-12"/>
        </w:rPr>
        <w:t xml:space="preserve"> </w:t>
      </w:r>
      <w:r>
        <w:rPr>
          <w:rFonts w:ascii="Gill Sans MT" w:hAnsi="Gill Sans MT" w:cs="Gill Sans MT"/>
          <w:color w:val="161616"/>
        </w:rPr>
        <w:t>who</w:t>
      </w:r>
      <w:r>
        <w:rPr>
          <w:rFonts w:ascii="Gill Sans MT" w:hAnsi="Gill Sans MT" w:cs="Gill Sans MT"/>
          <w:color w:val="161616"/>
          <w:spacing w:val="-13"/>
        </w:rPr>
        <w:t xml:space="preserve"> </w:t>
      </w:r>
      <w:r>
        <w:rPr>
          <w:rFonts w:ascii="Gill Sans MT" w:hAnsi="Gill Sans MT" w:cs="Gill Sans MT"/>
          <w:color w:val="000000"/>
        </w:rPr>
        <w:t>soon</w:t>
      </w:r>
      <w:r>
        <w:rPr>
          <w:rFonts w:ascii="Gill Sans MT" w:hAnsi="Gill Sans MT" w:cs="Gill Sans MT"/>
          <w:color w:val="000000"/>
          <w:spacing w:val="-12"/>
        </w:rPr>
        <w:t xml:space="preserve"> </w:t>
      </w:r>
      <w:r>
        <w:rPr>
          <w:rFonts w:ascii="Gill Sans MT" w:hAnsi="Gill Sans MT" w:cs="Gill Sans MT"/>
          <w:color w:val="161616"/>
        </w:rPr>
        <w:t>will</w:t>
      </w:r>
      <w:r>
        <w:rPr>
          <w:rFonts w:ascii="Gill Sans MT" w:hAnsi="Gill Sans MT" w:cs="Gill Sans MT"/>
          <w:color w:val="161616"/>
          <w:spacing w:val="-13"/>
        </w:rPr>
        <w:t xml:space="preserve"> </w:t>
      </w:r>
      <w:r>
        <w:rPr>
          <w:rFonts w:ascii="Gill Sans MT" w:hAnsi="Gill Sans MT" w:cs="Gill Sans MT"/>
          <w:color w:val="161616"/>
        </w:rPr>
        <w:t>repopulate</w:t>
      </w:r>
      <w:r>
        <w:rPr>
          <w:rFonts w:ascii="Gill Sans MT" w:hAnsi="Gill Sans MT" w:cs="Gill Sans MT"/>
          <w:color w:val="161616"/>
          <w:spacing w:val="-14"/>
        </w:rPr>
        <w:t xml:space="preserve"> </w:t>
      </w:r>
      <w:r>
        <w:rPr>
          <w:rFonts w:ascii="Gill Sans MT" w:hAnsi="Gill Sans MT" w:cs="Gill Sans MT"/>
          <w:color w:val="161616"/>
        </w:rPr>
        <w:t>that</w:t>
      </w:r>
      <w:r>
        <w:rPr>
          <w:rFonts w:ascii="Gill Sans MT" w:hAnsi="Gill Sans MT" w:cs="Gill Sans MT"/>
          <w:color w:val="161616"/>
          <w:spacing w:val="-13"/>
        </w:rPr>
        <w:t xml:space="preserve"> </w:t>
      </w:r>
      <w:r>
        <w:rPr>
          <w:rFonts w:ascii="Gill Sans MT" w:hAnsi="Gill Sans MT" w:cs="Gill Sans MT"/>
          <w:color w:val="161616"/>
        </w:rPr>
        <w:t>highest-cost,</w:t>
      </w:r>
      <w:r>
        <w:rPr>
          <w:rFonts w:ascii="Gill Sans MT" w:hAnsi="Gill Sans MT" w:cs="Gill Sans MT"/>
          <w:color w:val="161616"/>
          <w:spacing w:val="-13"/>
        </w:rPr>
        <w:t xml:space="preserve"> </w:t>
      </w:r>
      <w:r>
        <w:rPr>
          <w:rFonts w:ascii="Gill Sans MT" w:hAnsi="Gill Sans MT" w:cs="Gill Sans MT"/>
          <w:color w:val="161616"/>
        </w:rPr>
        <w:t>highest-risk</w:t>
      </w:r>
      <w:r>
        <w:rPr>
          <w:rFonts w:ascii="Gill Sans MT" w:hAnsi="Gill Sans MT" w:cs="Gill Sans MT"/>
          <w:color w:val="161616"/>
          <w:spacing w:val="-12"/>
        </w:rPr>
        <w:t xml:space="preserve"> </w:t>
      </w:r>
      <w:r>
        <w:rPr>
          <w:rFonts w:ascii="Gill Sans MT" w:hAnsi="Gill Sans MT" w:cs="Gill Sans MT"/>
          <w:color w:val="161616"/>
        </w:rPr>
        <w:t>5%</w:t>
      </w:r>
      <w:r>
        <w:rPr>
          <w:rFonts w:ascii="Gill Sans MT" w:hAnsi="Gill Sans MT" w:cs="Gill Sans MT"/>
          <w:color w:val="161616"/>
          <w:spacing w:val="-13"/>
        </w:rPr>
        <w:t xml:space="preserve"> </w:t>
      </w:r>
      <w:r>
        <w:rPr>
          <w:rFonts w:ascii="Gill Sans MT" w:hAnsi="Gill Sans MT" w:cs="Gill Sans MT"/>
          <w:color w:val="161616"/>
        </w:rPr>
        <w:t>if</w:t>
      </w:r>
      <w:r>
        <w:rPr>
          <w:rFonts w:ascii="Gill Sans MT" w:hAnsi="Gill Sans MT" w:cs="Gill Sans MT"/>
          <w:color w:val="161616"/>
          <w:spacing w:val="-12"/>
        </w:rPr>
        <w:t xml:space="preserve"> </w:t>
      </w:r>
      <w:r>
        <w:rPr>
          <w:rFonts w:ascii="Gill Sans MT" w:hAnsi="Gill Sans MT" w:cs="Gill Sans MT"/>
          <w:color w:val="161616"/>
        </w:rPr>
        <w:t>a</w:t>
      </w:r>
      <w:r>
        <w:rPr>
          <w:rFonts w:ascii="Gill Sans MT" w:hAnsi="Gill Sans MT" w:cs="Gill Sans MT"/>
          <w:color w:val="161616"/>
          <w:spacing w:val="-13"/>
        </w:rPr>
        <w:t xml:space="preserve"> </w:t>
      </w:r>
      <w:r>
        <w:rPr>
          <w:rFonts w:ascii="Gill Sans MT" w:hAnsi="Gill Sans MT" w:cs="Gill Sans MT"/>
          <w:color w:val="161616"/>
        </w:rPr>
        <w:t>value-based</w:t>
      </w:r>
      <w:r>
        <w:rPr>
          <w:rFonts w:ascii="Gill Sans MT" w:hAnsi="Gill Sans MT" w:cs="Gill Sans MT"/>
          <w:color w:val="161616"/>
          <w:spacing w:val="-13"/>
        </w:rPr>
        <w:t xml:space="preserve"> </w:t>
      </w:r>
      <w:r>
        <w:rPr>
          <w:rFonts w:ascii="Gill Sans MT" w:hAnsi="Gill Sans MT" w:cs="Gill Sans MT"/>
          <w:color w:val="161616"/>
        </w:rPr>
        <w:t>health care</w:t>
      </w:r>
      <w:r>
        <w:rPr>
          <w:rFonts w:ascii="Gill Sans MT" w:hAnsi="Gill Sans MT" w:cs="Gill Sans MT"/>
          <w:color w:val="161616"/>
          <w:spacing w:val="-14"/>
        </w:rPr>
        <w:t xml:space="preserve"> </w:t>
      </w:r>
      <w:r>
        <w:rPr>
          <w:rFonts w:ascii="Gill Sans MT" w:hAnsi="Gill Sans MT" w:cs="Gill Sans MT"/>
          <w:color w:val="161616"/>
        </w:rPr>
        <w:t>(rather</w:t>
      </w:r>
      <w:r>
        <w:rPr>
          <w:rFonts w:ascii="Gill Sans MT" w:hAnsi="Gill Sans MT" w:cs="Gill Sans MT"/>
          <w:color w:val="161616"/>
          <w:spacing w:val="-15"/>
        </w:rPr>
        <w:t xml:space="preserve"> </w:t>
      </w:r>
      <w:r>
        <w:rPr>
          <w:rFonts w:ascii="Gill Sans MT" w:hAnsi="Gill Sans MT" w:cs="Gill Sans MT"/>
          <w:color w:val="161616"/>
        </w:rPr>
        <w:t>than</w:t>
      </w:r>
      <w:r>
        <w:rPr>
          <w:rFonts w:ascii="Gill Sans MT" w:hAnsi="Gill Sans MT" w:cs="Gill Sans MT"/>
          <w:color w:val="161616"/>
          <w:spacing w:val="-11"/>
        </w:rPr>
        <w:t xml:space="preserve"> </w:t>
      </w:r>
      <w:r>
        <w:rPr>
          <w:rFonts w:ascii="Gill Sans MT" w:hAnsi="Gill Sans MT" w:cs="Gill Sans MT"/>
          <w:color w:val="161616"/>
        </w:rPr>
        <w:t>sick</w:t>
      </w:r>
      <w:r>
        <w:rPr>
          <w:rFonts w:ascii="Gill Sans MT" w:hAnsi="Gill Sans MT" w:cs="Gill Sans MT"/>
          <w:color w:val="161616"/>
          <w:spacing w:val="-12"/>
        </w:rPr>
        <w:t xml:space="preserve"> </w:t>
      </w:r>
      <w:r>
        <w:rPr>
          <w:rFonts w:ascii="Gill Sans MT" w:hAnsi="Gill Sans MT" w:cs="Gill Sans MT"/>
          <w:color w:val="161616"/>
        </w:rPr>
        <w:t>care)</w:t>
      </w:r>
      <w:r>
        <w:rPr>
          <w:rFonts w:ascii="Gill Sans MT" w:hAnsi="Gill Sans MT" w:cs="Gill Sans MT"/>
          <w:color w:val="161616"/>
          <w:spacing w:val="-11"/>
        </w:rPr>
        <w:t xml:space="preserve"> </w:t>
      </w:r>
      <w:r>
        <w:rPr>
          <w:rFonts w:ascii="Gill Sans MT" w:hAnsi="Gill Sans MT" w:cs="Gill Sans MT"/>
          <w:color w:val="161616"/>
        </w:rPr>
        <w:t>system</w:t>
      </w:r>
      <w:r>
        <w:rPr>
          <w:rFonts w:ascii="Gill Sans MT" w:hAnsi="Gill Sans MT" w:cs="Gill Sans MT"/>
          <w:color w:val="161616"/>
          <w:spacing w:val="-11"/>
        </w:rPr>
        <w:t xml:space="preserve"> </w:t>
      </w:r>
      <w:r>
        <w:rPr>
          <w:rFonts w:ascii="Gill Sans MT" w:hAnsi="Gill Sans MT" w:cs="Gill Sans MT"/>
          <w:color w:val="161616"/>
        </w:rPr>
        <w:t>does</w:t>
      </w:r>
      <w:r>
        <w:rPr>
          <w:rFonts w:ascii="Gill Sans MT" w:hAnsi="Gill Sans MT" w:cs="Gill Sans MT"/>
          <w:color w:val="161616"/>
          <w:spacing w:val="-12"/>
        </w:rPr>
        <w:t xml:space="preserve"> </w:t>
      </w:r>
      <w:r>
        <w:rPr>
          <w:rFonts w:ascii="Gill Sans MT" w:hAnsi="Gill Sans MT" w:cs="Gill Sans MT"/>
          <w:color w:val="161616"/>
        </w:rPr>
        <w:t>not</w:t>
      </w:r>
      <w:r>
        <w:rPr>
          <w:rFonts w:ascii="Gill Sans MT" w:hAnsi="Gill Sans MT" w:cs="Gill Sans MT"/>
          <w:color w:val="161616"/>
          <w:spacing w:val="-10"/>
        </w:rPr>
        <w:t xml:space="preserve"> </w:t>
      </w:r>
      <w:r>
        <w:rPr>
          <w:rFonts w:ascii="Gill Sans MT" w:hAnsi="Gill Sans MT" w:cs="Gill Sans MT"/>
          <w:color w:val="161616"/>
        </w:rPr>
        <w:t>invest</w:t>
      </w:r>
      <w:r>
        <w:rPr>
          <w:rFonts w:ascii="Gill Sans MT" w:hAnsi="Gill Sans MT" w:cs="Gill Sans MT"/>
          <w:color w:val="161616"/>
          <w:spacing w:val="-10"/>
        </w:rPr>
        <w:t xml:space="preserve"> </w:t>
      </w:r>
      <w:r>
        <w:rPr>
          <w:rFonts w:ascii="Gill Sans MT" w:hAnsi="Gill Sans MT" w:cs="Gill Sans MT"/>
          <w:color w:val="161616"/>
        </w:rPr>
        <w:t>in</w:t>
      </w:r>
      <w:r>
        <w:rPr>
          <w:rFonts w:ascii="Gill Sans MT" w:hAnsi="Gill Sans MT" w:cs="Gill Sans MT"/>
          <w:color w:val="161616"/>
          <w:spacing w:val="-11"/>
        </w:rPr>
        <w:t xml:space="preserve"> </w:t>
      </w:r>
      <w:r>
        <w:rPr>
          <w:rFonts w:ascii="Gill Sans MT" w:hAnsi="Gill Sans MT" w:cs="Gill Sans MT"/>
          <w:color w:val="161616"/>
        </w:rPr>
        <w:t>preventing</w:t>
      </w:r>
      <w:r>
        <w:rPr>
          <w:rFonts w:ascii="Gill Sans MT" w:hAnsi="Gill Sans MT" w:cs="Gill Sans MT"/>
          <w:color w:val="161616"/>
          <w:spacing w:val="-14"/>
        </w:rPr>
        <w:t xml:space="preserve"> </w:t>
      </w:r>
      <w:r>
        <w:rPr>
          <w:rFonts w:ascii="Gill Sans MT" w:hAnsi="Gill Sans MT" w:cs="Gill Sans MT"/>
          <w:color w:val="161616"/>
        </w:rPr>
        <w:t>that</w:t>
      </w:r>
      <w:r>
        <w:rPr>
          <w:rFonts w:ascii="Gill Sans MT" w:hAnsi="Gill Sans MT" w:cs="Gill Sans MT"/>
          <w:color w:val="161616"/>
          <w:spacing w:val="-13"/>
        </w:rPr>
        <w:t xml:space="preserve"> </w:t>
      </w:r>
      <w:r>
        <w:rPr>
          <w:rFonts w:ascii="Gill Sans MT" w:hAnsi="Gill Sans MT" w:cs="Gill Sans MT"/>
          <w:color w:val="161616"/>
        </w:rPr>
        <w:t>trajectory.</w:t>
      </w:r>
      <w:r>
        <w:rPr>
          <w:rFonts w:ascii="Gill Sans MT" w:hAnsi="Gill Sans MT" w:cs="Gill Sans MT"/>
          <w:color w:val="161616"/>
          <w:spacing w:val="-9"/>
        </w:rPr>
        <w:t xml:space="preserve"> </w:t>
      </w:r>
      <w:r>
        <w:rPr>
          <w:rFonts w:ascii="Gill Sans MT" w:hAnsi="Gill Sans MT" w:cs="Gill Sans MT"/>
          <w:color w:val="161616"/>
        </w:rPr>
        <w:t>If</w:t>
      </w:r>
      <w:r>
        <w:rPr>
          <w:rFonts w:ascii="Gill Sans MT" w:hAnsi="Gill Sans MT" w:cs="Gill Sans MT"/>
          <w:color w:val="161616"/>
          <w:spacing w:val="-11"/>
        </w:rPr>
        <w:t xml:space="preserve"> </w:t>
      </w:r>
      <w:r>
        <w:rPr>
          <w:rFonts w:ascii="Gill Sans MT" w:hAnsi="Gill Sans MT" w:cs="Gill Sans MT"/>
          <w:color w:val="161616"/>
        </w:rPr>
        <w:t>flexible</w:t>
      </w:r>
      <w:r>
        <w:rPr>
          <w:rFonts w:ascii="Gill Sans MT" w:hAnsi="Gill Sans MT" w:cs="Gill Sans MT"/>
          <w:color w:val="161616"/>
          <w:spacing w:val="-12"/>
        </w:rPr>
        <w:t xml:space="preserve"> </w:t>
      </w:r>
      <w:r>
        <w:rPr>
          <w:rFonts w:ascii="Gill Sans MT" w:hAnsi="Gill Sans MT" w:cs="Gill Sans MT"/>
          <w:color w:val="161616"/>
        </w:rPr>
        <w:t>funds</w:t>
      </w:r>
      <w:r>
        <w:rPr>
          <w:rFonts w:ascii="Gill Sans MT" w:hAnsi="Gill Sans MT" w:cs="Gill Sans MT"/>
          <w:color w:val="161616"/>
          <w:spacing w:val="-12"/>
        </w:rPr>
        <w:t xml:space="preserve"> </w:t>
      </w:r>
      <w:r>
        <w:rPr>
          <w:rFonts w:ascii="Gill Sans MT" w:hAnsi="Gill Sans MT" w:cs="Gill Sans MT"/>
          <w:color w:val="161616"/>
        </w:rPr>
        <w:t>to</w:t>
      </w:r>
      <w:r>
        <w:rPr>
          <w:rFonts w:ascii="Gill Sans MT" w:hAnsi="Gill Sans MT" w:cs="Gill Sans MT"/>
          <w:color w:val="161616"/>
          <w:spacing w:val="-11"/>
        </w:rPr>
        <w:t xml:space="preserve"> </w:t>
      </w:r>
      <w:r>
        <w:rPr>
          <w:rFonts w:ascii="Gill Sans MT" w:hAnsi="Gill Sans MT" w:cs="Gill Sans MT"/>
          <w:color w:val="161616"/>
        </w:rPr>
        <w:t>address</w:t>
      </w:r>
      <w:r>
        <w:rPr>
          <w:rFonts w:ascii="Gill Sans MT" w:hAnsi="Gill Sans MT" w:cs="Gill Sans MT"/>
          <w:color w:val="161616"/>
          <w:spacing w:val="-12"/>
        </w:rPr>
        <w:t xml:space="preserve"> </w:t>
      </w:r>
      <w:r>
        <w:rPr>
          <w:rFonts w:ascii="Gill Sans MT" w:hAnsi="Gill Sans MT" w:cs="Gill Sans MT"/>
          <w:color w:val="161616"/>
        </w:rPr>
        <w:t>SDH</w:t>
      </w:r>
      <w:r>
        <w:rPr>
          <w:rFonts w:ascii="Gill Sans MT" w:hAnsi="Gill Sans MT" w:cs="Gill Sans MT"/>
          <w:color w:val="161616"/>
          <w:spacing w:val="-12"/>
        </w:rPr>
        <w:t xml:space="preserve"> </w:t>
      </w:r>
      <w:r>
        <w:rPr>
          <w:rFonts w:ascii="Gill Sans MT" w:hAnsi="Gill Sans MT" w:cs="Gill Sans MT"/>
          <w:color w:val="161616"/>
        </w:rPr>
        <w:t>are</w:t>
      </w:r>
      <w:r>
        <w:rPr>
          <w:rFonts w:ascii="Gill Sans MT" w:hAnsi="Gill Sans MT" w:cs="Gill Sans MT"/>
          <w:color w:val="161616"/>
          <w:spacing w:val="-9"/>
        </w:rPr>
        <w:t xml:space="preserve"> </w:t>
      </w:r>
      <w:r>
        <w:rPr>
          <w:rFonts w:ascii="Gill Sans MT" w:hAnsi="Gill Sans MT" w:cs="Gill Sans MT"/>
          <w:color w:val="161616"/>
        </w:rPr>
        <w:t>only deployed</w:t>
      </w:r>
      <w:r>
        <w:rPr>
          <w:rFonts w:ascii="Gill Sans MT" w:hAnsi="Gill Sans MT" w:cs="Gill Sans MT"/>
          <w:color w:val="161616"/>
          <w:spacing w:val="-13"/>
        </w:rPr>
        <w:t xml:space="preserve"> </w:t>
      </w:r>
      <w:r>
        <w:rPr>
          <w:rFonts w:ascii="Gill Sans MT" w:hAnsi="Gill Sans MT" w:cs="Gill Sans MT"/>
          <w:color w:val="161616"/>
        </w:rPr>
        <w:t>to</w:t>
      </w:r>
      <w:r>
        <w:rPr>
          <w:rFonts w:ascii="Gill Sans MT" w:hAnsi="Gill Sans MT" w:cs="Gill Sans MT"/>
          <w:color w:val="161616"/>
          <w:spacing w:val="-12"/>
        </w:rPr>
        <w:t xml:space="preserve"> </w:t>
      </w:r>
      <w:r>
        <w:rPr>
          <w:rFonts w:ascii="Gill Sans MT" w:hAnsi="Gill Sans MT" w:cs="Gill Sans MT"/>
          <w:color w:val="161616"/>
        </w:rPr>
        <w:t>address</w:t>
      </w:r>
      <w:r>
        <w:rPr>
          <w:rFonts w:ascii="Gill Sans MT" w:hAnsi="Gill Sans MT" w:cs="Gill Sans MT"/>
          <w:color w:val="161616"/>
          <w:spacing w:val="-11"/>
        </w:rPr>
        <w:t xml:space="preserve"> </w:t>
      </w:r>
      <w:r>
        <w:rPr>
          <w:rFonts w:ascii="Gill Sans MT" w:hAnsi="Gill Sans MT" w:cs="Gill Sans MT"/>
          <w:color w:val="161616"/>
        </w:rPr>
        <w:t>the</w:t>
      </w:r>
      <w:r>
        <w:rPr>
          <w:rFonts w:ascii="Gill Sans MT" w:hAnsi="Gill Sans MT" w:cs="Gill Sans MT"/>
          <w:color w:val="161616"/>
          <w:spacing w:val="-11"/>
        </w:rPr>
        <w:t xml:space="preserve"> </w:t>
      </w:r>
      <w:r>
        <w:rPr>
          <w:rFonts w:ascii="Gill Sans MT" w:hAnsi="Gill Sans MT" w:cs="Gill Sans MT"/>
          <w:color w:val="161616"/>
        </w:rPr>
        <w:t>needs</w:t>
      </w:r>
      <w:r>
        <w:rPr>
          <w:rFonts w:ascii="Gill Sans MT" w:hAnsi="Gill Sans MT" w:cs="Gill Sans MT"/>
          <w:color w:val="161616"/>
          <w:spacing w:val="-13"/>
        </w:rPr>
        <w:t xml:space="preserve"> </w:t>
      </w:r>
      <w:r>
        <w:rPr>
          <w:rFonts w:ascii="Gill Sans MT" w:hAnsi="Gill Sans MT" w:cs="Gill Sans MT"/>
          <w:color w:val="161616"/>
        </w:rPr>
        <w:t>of</w:t>
      </w:r>
      <w:r>
        <w:rPr>
          <w:rFonts w:ascii="Gill Sans MT" w:hAnsi="Gill Sans MT" w:cs="Gill Sans MT"/>
          <w:color w:val="161616"/>
          <w:spacing w:val="-10"/>
        </w:rPr>
        <w:t xml:space="preserve"> </w:t>
      </w:r>
      <w:r>
        <w:rPr>
          <w:rFonts w:ascii="Gill Sans MT" w:hAnsi="Gill Sans MT" w:cs="Gill Sans MT"/>
          <w:color w:val="161616"/>
        </w:rPr>
        <w:t>the</w:t>
      </w:r>
      <w:r>
        <w:rPr>
          <w:rFonts w:ascii="Gill Sans MT" w:hAnsi="Gill Sans MT" w:cs="Gill Sans MT"/>
          <w:color w:val="161616"/>
          <w:spacing w:val="-11"/>
        </w:rPr>
        <w:t xml:space="preserve"> </w:t>
      </w:r>
      <w:r>
        <w:rPr>
          <w:rFonts w:ascii="Gill Sans MT" w:hAnsi="Gill Sans MT" w:cs="Gill Sans MT"/>
          <w:color w:val="161616"/>
        </w:rPr>
        <w:t>5%,</w:t>
      </w:r>
      <w:r>
        <w:rPr>
          <w:rFonts w:ascii="Gill Sans MT" w:hAnsi="Gill Sans MT" w:cs="Gill Sans MT"/>
          <w:color w:val="161616"/>
          <w:spacing w:val="-11"/>
        </w:rPr>
        <w:t xml:space="preserve"> </w:t>
      </w:r>
      <w:r>
        <w:rPr>
          <w:rFonts w:ascii="Gill Sans MT" w:hAnsi="Gill Sans MT" w:cs="Gill Sans MT"/>
          <w:color w:val="161616"/>
        </w:rPr>
        <w:t>the</w:t>
      </w:r>
      <w:r>
        <w:rPr>
          <w:rFonts w:ascii="Gill Sans MT" w:hAnsi="Gill Sans MT" w:cs="Gill Sans MT"/>
          <w:color w:val="161616"/>
          <w:spacing w:val="-8"/>
        </w:rPr>
        <w:t xml:space="preserve"> </w:t>
      </w:r>
      <w:r>
        <w:rPr>
          <w:rFonts w:ascii="Gill Sans MT" w:hAnsi="Gill Sans MT" w:cs="Gill Sans MT"/>
          <w:color w:val="161616"/>
        </w:rPr>
        <w:t>system</w:t>
      </w:r>
      <w:r>
        <w:rPr>
          <w:rFonts w:ascii="Gill Sans MT" w:hAnsi="Gill Sans MT" w:cs="Gill Sans MT"/>
          <w:color w:val="161616"/>
          <w:spacing w:val="-10"/>
        </w:rPr>
        <w:t xml:space="preserve"> </w:t>
      </w:r>
      <w:r>
        <w:rPr>
          <w:rFonts w:ascii="Gill Sans MT" w:hAnsi="Gill Sans MT" w:cs="Gill Sans MT"/>
          <w:color w:val="161616"/>
        </w:rPr>
        <w:t>will</w:t>
      </w:r>
      <w:r>
        <w:rPr>
          <w:rFonts w:ascii="Gill Sans MT" w:hAnsi="Gill Sans MT" w:cs="Gill Sans MT"/>
          <w:color w:val="161616"/>
          <w:spacing w:val="-13"/>
        </w:rPr>
        <w:t xml:space="preserve"> </w:t>
      </w:r>
      <w:r>
        <w:rPr>
          <w:rFonts w:ascii="Gill Sans MT" w:hAnsi="Gill Sans MT" w:cs="Gill Sans MT"/>
          <w:color w:val="161616"/>
        </w:rPr>
        <w:t>effectively</w:t>
      </w:r>
      <w:r>
        <w:rPr>
          <w:rFonts w:ascii="Gill Sans MT" w:hAnsi="Gill Sans MT" w:cs="Gill Sans MT"/>
          <w:color w:val="161616"/>
          <w:spacing w:val="-13"/>
        </w:rPr>
        <w:t xml:space="preserve"> </w:t>
      </w:r>
      <w:r>
        <w:rPr>
          <w:rFonts w:ascii="Gill Sans MT" w:hAnsi="Gill Sans MT" w:cs="Gill Sans MT"/>
          <w:color w:val="161616"/>
        </w:rPr>
        <w:t>tread</w:t>
      </w:r>
      <w:r>
        <w:rPr>
          <w:rFonts w:ascii="Gill Sans MT" w:hAnsi="Gill Sans MT" w:cs="Gill Sans MT"/>
          <w:color w:val="161616"/>
          <w:spacing w:val="-10"/>
        </w:rPr>
        <w:t xml:space="preserve"> </w:t>
      </w:r>
      <w:r>
        <w:rPr>
          <w:rFonts w:ascii="Gill Sans MT" w:hAnsi="Gill Sans MT" w:cs="Gill Sans MT"/>
          <w:color w:val="161616"/>
        </w:rPr>
        <w:t>water</w:t>
      </w:r>
      <w:r>
        <w:rPr>
          <w:rFonts w:ascii="Gill Sans MT" w:hAnsi="Gill Sans MT" w:cs="Gill Sans MT"/>
          <w:color w:val="161616"/>
          <w:spacing w:val="-11"/>
        </w:rPr>
        <w:t xml:space="preserve"> </w:t>
      </w:r>
      <w:r>
        <w:rPr>
          <w:rFonts w:ascii="Gill Sans MT" w:hAnsi="Gill Sans MT" w:cs="Gill Sans MT"/>
          <w:color w:val="161616"/>
        </w:rPr>
        <w:t>vis-à-vis</w:t>
      </w:r>
      <w:r>
        <w:rPr>
          <w:rFonts w:ascii="Gill Sans MT" w:hAnsi="Gill Sans MT" w:cs="Gill Sans MT"/>
          <w:color w:val="161616"/>
          <w:spacing w:val="-13"/>
        </w:rPr>
        <w:t xml:space="preserve"> </w:t>
      </w:r>
      <w:r>
        <w:rPr>
          <w:rFonts w:ascii="Gill Sans MT" w:hAnsi="Gill Sans MT" w:cs="Gill Sans MT"/>
          <w:color w:val="161616"/>
        </w:rPr>
        <w:t>cost</w:t>
      </w:r>
      <w:r>
        <w:rPr>
          <w:rFonts w:ascii="Gill Sans MT" w:hAnsi="Gill Sans MT" w:cs="Gill Sans MT"/>
          <w:color w:val="161616"/>
          <w:spacing w:val="-9"/>
        </w:rPr>
        <w:t xml:space="preserve"> </w:t>
      </w:r>
      <w:r>
        <w:rPr>
          <w:rFonts w:ascii="Gill Sans MT" w:hAnsi="Gill Sans MT" w:cs="Gill Sans MT"/>
          <w:color w:val="161616"/>
        </w:rPr>
        <w:t>and</w:t>
      </w:r>
      <w:r>
        <w:rPr>
          <w:rFonts w:ascii="Gill Sans MT" w:hAnsi="Gill Sans MT" w:cs="Gill Sans MT"/>
          <w:color w:val="161616"/>
          <w:spacing w:val="-13"/>
        </w:rPr>
        <w:t xml:space="preserve"> </w:t>
      </w:r>
      <w:r>
        <w:rPr>
          <w:rFonts w:ascii="Gill Sans MT" w:hAnsi="Gill Sans MT" w:cs="Gill Sans MT"/>
          <w:color w:val="161616"/>
        </w:rPr>
        <w:t>quality.</w:t>
      </w:r>
      <w:r>
        <w:rPr>
          <w:rFonts w:ascii="Gill Sans MT" w:hAnsi="Gill Sans MT" w:cs="Gill Sans MT"/>
          <w:color w:val="161616"/>
          <w:spacing w:val="-11"/>
        </w:rPr>
        <w:t xml:space="preserve"> </w:t>
      </w:r>
      <w:r>
        <w:rPr>
          <w:rFonts w:ascii="Gill Sans MT" w:hAnsi="Gill Sans MT" w:cs="Gill Sans MT"/>
          <w:color w:val="161616"/>
        </w:rPr>
        <w:t>We</w:t>
      </w:r>
      <w:r>
        <w:rPr>
          <w:rFonts w:ascii="Gill Sans MT" w:hAnsi="Gill Sans MT" w:cs="Gill Sans MT"/>
          <w:color w:val="161616"/>
          <w:spacing w:val="-8"/>
        </w:rPr>
        <w:t xml:space="preserve"> </w:t>
      </w:r>
      <w:r>
        <w:rPr>
          <w:rFonts w:ascii="Gill Sans MT" w:hAnsi="Gill Sans MT" w:cs="Gill Sans MT"/>
          <w:color w:val="161616"/>
          <w:spacing w:val="-3"/>
        </w:rPr>
        <w:t xml:space="preserve">encourage </w:t>
      </w:r>
      <w:r>
        <w:rPr>
          <w:rFonts w:ascii="Gill Sans MT" w:hAnsi="Gill Sans MT" w:cs="Gill Sans MT"/>
          <w:color w:val="161616"/>
        </w:rPr>
        <w:t>that the Request be as explicit as possible about the value of upstream investments to address members’ SDH. Where these investments may prevent the onset of disease over time, not to mention disease progression, then we will make true</w:t>
      </w:r>
      <w:r>
        <w:rPr>
          <w:rFonts w:ascii="Gill Sans MT" w:hAnsi="Gill Sans MT" w:cs="Gill Sans MT"/>
          <w:color w:val="161616"/>
          <w:spacing w:val="-15"/>
        </w:rPr>
        <w:t xml:space="preserve"> </w:t>
      </w:r>
      <w:r>
        <w:rPr>
          <w:rFonts w:ascii="Gill Sans MT" w:hAnsi="Gill Sans MT" w:cs="Gill Sans MT"/>
          <w:color w:val="161616"/>
        </w:rPr>
        <w:t>progress</w:t>
      </w:r>
      <w:r>
        <w:rPr>
          <w:rFonts w:ascii="Gill Sans MT" w:hAnsi="Gill Sans MT" w:cs="Gill Sans MT"/>
          <w:color w:val="161616"/>
          <w:spacing w:val="-16"/>
        </w:rPr>
        <w:t xml:space="preserve"> </w:t>
      </w:r>
      <w:r>
        <w:rPr>
          <w:rFonts w:ascii="Gill Sans MT" w:hAnsi="Gill Sans MT" w:cs="Gill Sans MT"/>
          <w:color w:val="161616"/>
        </w:rPr>
        <w:t>toward</w:t>
      </w:r>
      <w:r>
        <w:rPr>
          <w:rFonts w:ascii="Gill Sans MT" w:hAnsi="Gill Sans MT" w:cs="Gill Sans MT"/>
          <w:color w:val="161616"/>
          <w:spacing w:val="-15"/>
        </w:rPr>
        <w:t xml:space="preserve"> </w:t>
      </w:r>
      <w:r>
        <w:rPr>
          <w:rFonts w:ascii="Gill Sans MT" w:hAnsi="Gill Sans MT" w:cs="Gill Sans MT"/>
          <w:color w:val="161616"/>
        </w:rPr>
        <w:t>health</w:t>
      </w:r>
      <w:r>
        <w:rPr>
          <w:rFonts w:ascii="Gill Sans MT" w:hAnsi="Gill Sans MT" w:cs="Gill Sans MT"/>
          <w:color w:val="161616"/>
          <w:spacing w:val="-13"/>
        </w:rPr>
        <w:t xml:space="preserve"> </w:t>
      </w:r>
      <w:r>
        <w:rPr>
          <w:rFonts w:ascii="Gill Sans MT" w:hAnsi="Gill Sans MT" w:cs="Gill Sans MT"/>
          <w:color w:val="161616"/>
        </w:rPr>
        <w:t>promotion,</w:t>
      </w:r>
      <w:r>
        <w:rPr>
          <w:rFonts w:ascii="Gill Sans MT" w:hAnsi="Gill Sans MT" w:cs="Gill Sans MT"/>
          <w:color w:val="161616"/>
          <w:spacing w:val="-14"/>
        </w:rPr>
        <w:t xml:space="preserve"> </w:t>
      </w:r>
      <w:r>
        <w:rPr>
          <w:rFonts w:ascii="Gill Sans MT" w:hAnsi="Gill Sans MT" w:cs="Gill Sans MT"/>
          <w:color w:val="161616"/>
        </w:rPr>
        <w:t>health</w:t>
      </w:r>
      <w:r>
        <w:rPr>
          <w:rFonts w:ascii="Gill Sans MT" w:hAnsi="Gill Sans MT" w:cs="Gill Sans MT"/>
          <w:color w:val="161616"/>
          <w:spacing w:val="-15"/>
        </w:rPr>
        <w:t xml:space="preserve"> </w:t>
      </w:r>
      <w:r>
        <w:rPr>
          <w:rFonts w:ascii="Gill Sans MT" w:hAnsi="Gill Sans MT" w:cs="Gill Sans MT"/>
          <w:color w:val="161616"/>
        </w:rPr>
        <w:t>equity,</w:t>
      </w:r>
      <w:r>
        <w:rPr>
          <w:rFonts w:ascii="Gill Sans MT" w:hAnsi="Gill Sans MT" w:cs="Gill Sans MT"/>
          <w:color w:val="161616"/>
          <w:spacing w:val="-15"/>
        </w:rPr>
        <w:t xml:space="preserve"> </w:t>
      </w:r>
      <w:r>
        <w:rPr>
          <w:rFonts w:ascii="Gill Sans MT" w:hAnsi="Gill Sans MT" w:cs="Gill Sans MT"/>
          <w:color w:val="161616"/>
        </w:rPr>
        <w:t>and</w:t>
      </w:r>
      <w:r>
        <w:rPr>
          <w:rFonts w:ascii="Gill Sans MT" w:hAnsi="Gill Sans MT" w:cs="Gill Sans MT"/>
          <w:color w:val="161616"/>
          <w:spacing w:val="-13"/>
        </w:rPr>
        <w:t xml:space="preserve"> </w:t>
      </w:r>
      <w:r>
        <w:rPr>
          <w:rFonts w:ascii="Gill Sans MT" w:hAnsi="Gill Sans MT" w:cs="Gill Sans MT"/>
          <w:color w:val="161616"/>
        </w:rPr>
        <w:t>healthcare</w:t>
      </w:r>
      <w:r>
        <w:rPr>
          <w:rFonts w:ascii="Gill Sans MT" w:hAnsi="Gill Sans MT" w:cs="Gill Sans MT"/>
          <w:color w:val="161616"/>
          <w:spacing w:val="-14"/>
        </w:rPr>
        <w:t xml:space="preserve"> </w:t>
      </w:r>
      <w:r>
        <w:rPr>
          <w:rFonts w:ascii="Gill Sans MT" w:hAnsi="Gill Sans MT" w:cs="Gill Sans MT"/>
          <w:color w:val="161616"/>
        </w:rPr>
        <w:t>cost</w:t>
      </w:r>
      <w:r>
        <w:rPr>
          <w:rFonts w:ascii="Gill Sans MT" w:hAnsi="Gill Sans MT" w:cs="Gill Sans MT"/>
          <w:color w:val="161616"/>
          <w:spacing w:val="-12"/>
        </w:rPr>
        <w:t xml:space="preserve"> </w:t>
      </w:r>
      <w:r>
        <w:rPr>
          <w:rFonts w:ascii="Gill Sans MT" w:hAnsi="Gill Sans MT" w:cs="Gill Sans MT"/>
          <w:color w:val="161616"/>
        </w:rPr>
        <w:t>containment.</w:t>
      </w:r>
      <w:r>
        <w:rPr>
          <w:rFonts w:ascii="Gill Sans MT" w:hAnsi="Gill Sans MT" w:cs="Gill Sans MT"/>
          <w:color w:val="161616"/>
          <w:spacing w:val="-15"/>
        </w:rPr>
        <w:t xml:space="preserve"> </w:t>
      </w:r>
      <w:r>
        <w:rPr>
          <w:rFonts w:ascii="Gill Sans MT" w:hAnsi="Gill Sans MT" w:cs="Gill Sans MT"/>
          <w:color w:val="161616"/>
        </w:rPr>
        <w:t>Indeed,</w:t>
      </w:r>
      <w:r>
        <w:rPr>
          <w:rFonts w:ascii="Gill Sans MT" w:hAnsi="Gill Sans MT" w:cs="Gill Sans MT"/>
          <w:color w:val="161616"/>
          <w:spacing w:val="-14"/>
        </w:rPr>
        <w:t xml:space="preserve"> </w:t>
      </w:r>
      <w:r>
        <w:rPr>
          <w:rFonts w:ascii="Gill Sans MT" w:hAnsi="Gill Sans MT" w:cs="Gill Sans MT"/>
          <w:color w:val="161616"/>
        </w:rPr>
        <w:t>we</w:t>
      </w:r>
      <w:r>
        <w:rPr>
          <w:rFonts w:ascii="Gill Sans MT" w:hAnsi="Gill Sans MT" w:cs="Gill Sans MT"/>
          <w:color w:val="161616"/>
          <w:spacing w:val="-15"/>
        </w:rPr>
        <w:t xml:space="preserve"> </w:t>
      </w:r>
      <w:r>
        <w:rPr>
          <w:rFonts w:ascii="Gill Sans MT" w:hAnsi="Gill Sans MT" w:cs="Gill Sans MT"/>
          <w:color w:val="161616"/>
        </w:rPr>
        <w:t>can</w:t>
      </w:r>
      <w:r>
        <w:rPr>
          <w:rFonts w:ascii="Gill Sans MT" w:hAnsi="Gill Sans MT" w:cs="Gill Sans MT"/>
          <w:color w:val="161616"/>
          <w:spacing w:val="-15"/>
        </w:rPr>
        <w:t xml:space="preserve"> </w:t>
      </w:r>
      <w:r>
        <w:rPr>
          <w:rFonts w:ascii="Gill Sans MT" w:hAnsi="Gill Sans MT" w:cs="Gill Sans MT"/>
          <w:color w:val="161616"/>
        </w:rPr>
        <w:t>take</w:t>
      </w:r>
      <w:r>
        <w:rPr>
          <w:rFonts w:ascii="Gill Sans MT" w:hAnsi="Gill Sans MT" w:cs="Gill Sans MT"/>
          <w:color w:val="161616"/>
          <w:spacing w:val="-13"/>
        </w:rPr>
        <w:t xml:space="preserve"> </w:t>
      </w:r>
      <w:r>
        <w:rPr>
          <w:rFonts w:ascii="Gill Sans MT" w:hAnsi="Gill Sans MT" w:cs="Gill Sans MT"/>
          <w:color w:val="161616"/>
        </w:rPr>
        <w:t>a</w:t>
      </w:r>
      <w:r>
        <w:rPr>
          <w:rFonts w:ascii="Gill Sans MT" w:hAnsi="Gill Sans MT" w:cs="Gill Sans MT"/>
          <w:color w:val="161616"/>
          <w:spacing w:val="-15"/>
        </w:rPr>
        <w:t xml:space="preserve"> </w:t>
      </w:r>
      <w:r>
        <w:rPr>
          <w:rFonts w:ascii="Gill Sans MT" w:hAnsi="Gill Sans MT" w:cs="Gill Sans MT"/>
          <w:color w:val="161616"/>
        </w:rPr>
        <w:t>page</w:t>
      </w:r>
      <w:r>
        <w:rPr>
          <w:rFonts w:ascii="Gill Sans MT" w:hAnsi="Gill Sans MT" w:cs="Gill Sans MT"/>
          <w:color w:val="161616"/>
          <w:spacing w:val="-14"/>
        </w:rPr>
        <w:t xml:space="preserve"> </w:t>
      </w:r>
      <w:r>
        <w:rPr>
          <w:rFonts w:ascii="Gill Sans MT" w:hAnsi="Gill Sans MT" w:cs="Gill Sans MT"/>
          <w:color w:val="161616"/>
        </w:rPr>
        <w:t>from HIV/AIDS prevention experts who have promoted stable housing as a prescription not only for prevention of opportunistic</w:t>
      </w:r>
      <w:r>
        <w:rPr>
          <w:rFonts w:ascii="Gill Sans MT" w:hAnsi="Gill Sans MT" w:cs="Gill Sans MT"/>
          <w:color w:val="161616"/>
          <w:spacing w:val="-14"/>
        </w:rPr>
        <w:t xml:space="preserve"> </w:t>
      </w:r>
      <w:r>
        <w:rPr>
          <w:rFonts w:ascii="Gill Sans MT" w:hAnsi="Gill Sans MT" w:cs="Gill Sans MT"/>
          <w:color w:val="161616"/>
        </w:rPr>
        <w:t>infections</w:t>
      </w:r>
      <w:r>
        <w:rPr>
          <w:rFonts w:ascii="Gill Sans MT" w:hAnsi="Gill Sans MT" w:cs="Gill Sans MT"/>
          <w:color w:val="161616"/>
          <w:spacing w:val="-16"/>
        </w:rPr>
        <w:t xml:space="preserve"> </w:t>
      </w:r>
      <w:r>
        <w:rPr>
          <w:rFonts w:ascii="Gill Sans MT" w:hAnsi="Gill Sans MT" w:cs="Gill Sans MT"/>
          <w:color w:val="161616"/>
        </w:rPr>
        <w:t>among</w:t>
      </w:r>
      <w:r>
        <w:rPr>
          <w:rFonts w:ascii="Gill Sans MT" w:hAnsi="Gill Sans MT" w:cs="Gill Sans MT"/>
          <w:color w:val="161616"/>
          <w:spacing w:val="-16"/>
        </w:rPr>
        <w:t xml:space="preserve"> </w:t>
      </w:r>
      <w:r>
        <w:rPr>
          <w:rFonts w:ascii="Gill Sans MT" w:hAnsi="Gill Sans MT" w:cs="Gill Sans MT"/>
          <w:color w:val="161616"/>
        </w:rPr>
        <w:t>those</w:t>
      </w:r>
      <w:r>
        <w:rPr>
          <w:rFonts w:ascii="Gill Sans MT" w:hAnsi="Gill Sans MT" w:cs="Gill Sans MT"/>
          <w:color w:val="161616"/>
          <w:spacing w:val="-16"/>
        </w:rPr>
        <w:t xml:space="preserve"> </w:t>
      </w:r>
      <w:r>
        <w:rPr>
          <w:rFonts w:ascii="Gill Sans MT" w:hAnsi="Gill Sans MT" w:cs="Gill Sans MT"/>
          <w:color w:val="161616"/>
        </w:rPr>
        <w:t>who</w:t>
      </w:r>
      <w:r>
        <w:rPr>
          <w:rFonts w:ascii="Gill Sans MT" w:hAnsi="Gill Sans MT" w:cs="Gill Sans MT"/>
          <w:color w:val="161616"/>
          <w:spacing w:val="-15"/>
        </w:rPr>
        <w:t xml:space="preserve"> </w:t>
      </w:r>
      <w:r>
        <w:rPr>
          <w:rFonts w:ascii="Gill Sans MT" w:hAnsi="Gill Sans MT" w:cs="Gill Sans MT"/>
          <w:color w:val="161616"/>
        </w:rPr>
        <w:t>have</w:t>
      </w:r>
      <w:r>
        <w:rPr>
          <w:rFonts w:ascii="Gill Sans MT" w:hAnsi="Gill Sans MT" w:cs="Gill Sans MT"/>
          <w:color w:val="161616"/>
          <w:spacing w:val="-16"/>
        </w:rPr>
        <w:t xml:space="preserve"> </w:t>
      </w:r>
      <w:r>
        <w:rPr>
          <w:rFonts w:ascii="Gill Sans MT" w:hAnsi="Gill Sans MT" w:cs="Gill Sans MT"/>
          <w:color w:val="161616"/>
        </w:rPr>
        <w:t>developed</w:t>
      </w:r>
      <w:r>
        <w:rPr>
          <w:rFonts w:ascii="Gill Sans MT" w:hAnsi="Gill Sans MT" w:cs="Gill Sans MT"/>
          <w:color w:val="161616"/>
          <w:spacing w:val="-13"/>
        </w:rPr>
        <w:t xml:space="preserve"> </w:t>
      </w:r>
      <w:r>
        <w:rPr>
          <w:rFonts w:ascii="Gill Sans MT" w:hAnsi="Gill Sans MT" w:cs="Gill Sans MT"/>
          <w:color w:val="161616"/>
        </w:rPr>
        <w:t>AIDS</w:t>
      </w:r>
      <w:r>
        <w:rPr>
          <w:rFonts w:ascii="Gill Sans MT" w:hAnsi="Gill Sans MT" w:cs="Gill Sans MT"/>
          <w:color w:val="161616"/>
          <w:spacing w:val="-14"/>
        </w:rPr>
        <w:t xml:space="preserve"> </w:t>
      </w:r>
      <w:r>
        <w:rPr>
          <w:rFonts w:ascii="Gill Sans MT" w:hAnsi="Gill Sans MT" w:cs="Gill Sans MT"/>
          <w:color w:val="161616"/>
        </w:rPr>
        <w:t>symptoms,</w:t>
      </w:r>
      <w:r>
        <w:rPr>
          <w:rFonts w:ascii="Gill Sans MT" w:hAnsi="Gill Sans MT" w:cs="Gill Sans MT"/>
          <w:color w:val="161616"/>
          <w:spacing w:val="-14"/>
        </w:rPr>
        <w:t xml:space="preserve"> </w:t>
      </w:r>
      <w:r>
        <w:rPr>
          <w:rFonts w:ascii="Gill Sans MT" w:hAnsi="Gill Sans MT" w:cs="Gill Sans MT"/>
          <w:color w:val="161616"/>
        </w:rPr>
        <w:t>but</w:t>
      </w:r>
      <w:r>
        <w:rPr>
          <w:rFonts w:ascii="Gill Sans MT" w:hAnsi="Gill Sans MT" w:cs="Gill Sans MT"/>
          <w:color w:val="161616"/>
          <w:spacing w:val="-15"/>
        </w:rPr>
        <w:t xml:space="preserve"> </w:t>
      </w:r>
      <w:r>
        <w:rPr>
          <w:rFonts w:ascii="Gill Sans MT" w:hAnsi="Gill Sans MT" w:cs="Gill Sans MT"/>
          <w:color w:val="161616"/>
        </w:rPr>
        <w:t>also</w:t>
      </w:r>
      <w:r>
        <w:rPr>
          <w:rFonts w:ascii="Gill Sans MT" w:hAnsi="Gill Sans MT" w:cs="Gill Sans MT"/>
          <w:color w:val="161616"/>
          <w:spacing w:val="-15"/>
        </w:rPr>
        <w:t xml:space="preserve"> </w:t>
      </w:r>
      <w:r>
        <w:rPr>
          <w:rFonts w:ascii="Gill Sans MT" w:hAnsi="Gill Sans MT" w:cs="Gill Sans MT"/>
          <w:color w:val="161616"/>
        </w:rPr>
        <w:t>for</w:t>
      </w:r>
      <w:r>
        <w:rPr>
          <w:rFonts w:ascii="Gill Sans MT" w:hAnsi="Gill Sans MT" w:cs="Gill Sans MT"/>
          <w:color w:val="161616"/>
          <w:spacing w:val="-16"/>
        </w:rPr>
        <w:t xml:space="preserve"> </w:t>
      </w:r>
      <w:r>
        <w:rPr>
          <w:rFonts w:ascii="Gill Sans MT" w:hAnsi="Gill Sans MT" w:cs="Gill Sans MT"/>
          <w:color w:val="161616"/>
          <w:u w:val="single"/>
        </w:rPr>
        <w:t>prevention</w:t>
      </w:r>
      <w:r>
        <w:rPr>
          <w:rFonts w:ascii="Gill Sans MT" w:hAnsi="Gill Sans MT" w:cs="Gill Sans MT"/>
          <w:color w:val="161616"/>
          <w:spacing w:val="-16"/>
          <w:u w:val="single"/>
        </w:rPr>
        <w:t xml:space="preserve"> </w:t>
      </w:r>
      <w:r>
        <w:rPr>
          <w:rFonts w:ascii="Gill Sans MT" w:hAnsi="Gill Sans MT" w:cs="Gill Sans MT"/>
          <w:color w:val="161616"/>
        </w:rPr>
        <w:t>of</w:t>
      </w:r>
      <w:r>
        <w:rPr>
          <w:rFonts w:ascii="Gill Sans MT" w:hAnsi="Gill Sans MT" w:cs="Gill Sans MT"/>
          <w:color w:val="161616"/>
          <w:spacing w:val="-16"/>
        </w:rPr>
        <w:t xml:space="preserve"> </w:t>
      </w:r>
      <w:r>
        <w:rPr>
          <w:rFonts w:ascii="Gill Sans MT" w:hAnsi="Gill Sans MT" w:cs="Gill Sans MT"/>
          <w:color w:val="161616"/>
        </w:rPr>
        <w:t>HIV</w:t>
      </w:r>
      <w:r>
        <w:rPr>
          <w:rFonts w:ascii="Gill Sans MT" w:hAnsi="Gill Sans MT" w:cs="Gill Sans MT"/>
          <w:color w:val="161616"/>
          <w:spacing w:val="-15"/>
        </w:rPr>
        <w:t xml:space="preserve"> </w:t>
      </w:r>
      <w:r>
        <w:rPr>
          <w:rFonts w:ascii="Gill Sans MT" w:hAnsi="Gill Sans MT" w:cs="Gill Sans MT"/>
          <w:color w:val="161616"/>
        </w:rPr>
        <w:t>transmission</w:t>
      </w:r>
      <w:hyperlink w:anchor="bookmark38" w:history="1">
        <w:r>
          <w:rPr>
            <w:rFonts w:ascii="Gill Sans MT" w:hAnsi="Gill Sans MT" w:cs="Gill Sans MT"/>
            <w:color w:val="161616"/>
          </w:rPr>
          <w:t>.</w:t>
        </w:r>
        <w:r>
          <w:rPr>
            <w:color w:val="161616"/>
            <w:position w:val="10"/>
            <w:sz w:val="14"/>
            <w:szCs w:val="14"/>
          </w:rPr>
          <w:t>1</w:t>
        </w:r>
      </w:hyperlink>
      <w:r>
        <w:rPr>
          <w:color w:val="161616"/>
          <w:position w:val="10"/>
          <w:sz w:val="14"/>
          <w:szCs w:val="14"/>
        </w:rPr>
        <w:t xml:space="preserve"> </w:t>
      </w:r>
      <w:r>
        <w:rPr>
          <w:rFonts w:ascii="Gill Sans MT" w:hAnsi="Gill Sans MT" w:cs="Gill Sans MT"/>
          <w:color w:val="161616"/>
        </w:rPr>
        <w:t>The</w:t>
      </w:r>
      <w:r>
        <w:rPr>
          <w:rFonts w:ascii="Gill Sans MT" w:hAnsi="Gill Sans MT" w:cs="Gill Sans MT"/>
          <w:color w:val="161616"/>
          <w:spacing w:val="-13"/>
        </w:rPr>
        <w:t xml:space="preserve"> </w:t>
      </w:r>
      <w:r>
        <w:rPr>
          <w:rFonts w:ascii="Gill Sans MT" w:hAnsi="Gill Sans MT" w:cs="Gill Sans MT"/>
          <w:color w:val="161616"/>
        </w:rPr>
        <w:t>integration</w:t>
      </w:r>
      <w:r>
        <w:rPr>
          <w:rFonts w:ascii="Gill Sans MT" w:hAnsi="Gill Sans MT" w:cs="Gill Sans MT"/>
          <w:color w:val="161616"/>
          <w:spacing w:val="-12"/>
        </w:rPr>
        <w:t xml:space="preserve"> </w:t>
      </w:r>
      <w:r>
        <w:rPr>
          <w:rFonts w:ascii="Gill Sans MT" w:hAnsi="Gill Sans MT" w:cs="Gill Sans MT"/>
          <w:color w:val="161616"/>
        </w:rPr>
        <w:t>of</w:t>
      </w:r>
      <w:r>
        <w:rPr>
          <w:rFonts w:ascii="Gill Sans MT" w:hAnsi="Gill Sans MT" w:cs="Gill Sans MT"/>
          <w:color w:val="161616"/>
          <w:spacing w:val="-15"/>
        </w:rPr>
        <w:t xml:space="preserve"> </w:t>
      </w:r>
      <w:r>
        <w:rPr>
          <w:rFonts w:ascii="Gill Sans MT" w:hAnsi="Gill Sans MT" w:cs="Gill Sans MT"/>
          <w:color w:val="161616"/>
        </w:rPr>
        <w:t>this</w:t>
      </w:r>
      <w:r>
        <w:rPr>
          <w:rFonts w:ascii="Gill Sans MT" w:hAnsi="Gill Sans MT" w:cs="Gill Sans MT"/>
          <w:color w:val="161616"/>
          <w:spacing w:val="-13"/>
        </w:rPr>
        <w:t xml:space="preserve"> </w:t>
      </w:r>
      <w:r>
        <w:rPr>
          <w:rFonts w:ascii="Gill Sans MT" w:hAnsi="Gill Sans MT" w:cs="Gill Sans MT"/>
          <w:color w:val="161616"/>
        </w:rPr>
        <w:t>wisdom</w:t>
      </w:r>
      <w:r>
        <w:rPr>
          <w:rFonts w:ascii="Gill Sans MT" w:hAnsi="Gill Sans MT" w:cs="Gill Sans MT"/>
          <w:color w:val="161616"/>
          <w:spacing w:val="-12"/>
        </w:rPr>
        <w:t xml:space="preserve"> </w:t>
      </w:r>
      <w:r>
        <w:rPr>
          <w:rFonts w:ascii="Gill Sans MT" w:hAnsi="Gill Sans MT" w:cs="Gill Sans MT"/>
          <w:color w:val="161616"/>
        </w:rPr>
        <w:t>into</w:t>
      </w:r>
      <w:r>
        <w:rPr>
          <w:rFonts w:ascii="Gill Sans MT" w:hAnsi="Gill Sans MT" w:cs="Gill Sans MT"/>
          <w:color w:val="161616"/>
          <w:spacing w:val="-12"/>
        </w:rPr>
        <w:t xml:space="preserve"> </w:t>
      </w:r>
      <w:r>
        <w:rPr>
          <w:rFonts w:ascii="Gill Sans MT" w:hAnsi="Gill Sans MT" w:cs="Gill Sans MT"/>
          <w:color w:val="161616"/>
        </w:rPr>
        <w:t>health</w:t>
      </w:r>
      <w:r>
        <w:rPr>
          <w:rFonts w:ascii="Gill Sans MT" w:hAnsi="Gill Sans MT" w:cs="Gill Sans MT"/>
          <w:color w:val="161616"/>
          <w:spacing w:val="-12"/>
        </w:rPr>
        <w:t xml:space="preserve"> </w:t>
      </w:r>
      <w:r>
        <w:rPr>
          <w:rFonts w:ascii="Gill Sans MT" w:hAnsi="Gill Sans MT" w:cs="Gill Sans MT"/>
          <w:color w:val="161616"/>
        </w:rPr>
        <w:t>care</w:t>
      </w:r>
      <w:r>
        <w:rPr>
          <w:rFonts w:ascii="Gill Sans MT" w:hAnsi="Gill Sans MT" w:cs="Gill Sans MT"/>
          <w:color w:val="161616"/>
          <w:spacing w:val="-12"/>
        </w:rPr>
        <w:t xml:space="preserve"> </w:t>
      </w:r>
      <w:r>
        <w:rPr>
          <w:rFonts w:ascii="Gill Sans MT" w:hAnsi="Gill Sans MT" w:cs="Gill Sans MT"/>
          <w:color w:val="161616"/>
        </w:rPr>
        <w:t>reform</w:t>
      </w:r>
      <w:r>
        <w:rPr>
          <w:rFonts w:ascii="Gill Sans MT" w:hAnsi="Gill Sans MT" w:cs="Gill Sans MT"/>
          <w:color w:val="161616"/>
          <w:spacing w:val="-15"/>
        </w:rPr>
        <w:t xml:space="preserve"> </w:t>
      </w:r>
      <w:r>
        <w:rPr>
          <w:rFonts w:ascii="Gill Sans MT" w:hAnsi="Gill Sans MT" w:cs="Gill Sans MT"/>
          <w:color w:val="161616"/>
        </w:rPr>
        <w:t>can</w:t>
      </w:r>
      <w:r>
        <w:rPr>
          <w:rFonts w:ascii="Gill Sans MT" w:hAnsi="Gill Sans MT" w:cs="Gill Sans MT"/>
          <w:color w:val="161616"/>
          <w:spacing w:val="-12"/>
        </w:rPr>
        <w:t xml:space="preserve"> </w:t>
      </w:r>
      <w:r>
        <w:rPr>
          <w:rFonts w:ascii="Gill Sans MT" w:hAnsi="Gill Sans MT" w:cs="Gill Sans MT"/>
          <w:color w:val="161616"/>
        </w:rPr>
        <w:t>yield</w:t>
      </w:r>
      <w:r>
        <w:rPr>
          <w:rFonts w:ascii="Gill Sans MT" w:hAnsi="Gill Sans MT" w:cs="Gill Sans MT"/>
          <w:color w:val="161616"/>
          <w:spacing w:val="-12"/>
        </w:rPr>
        <w:t xml:space="preserve"> </w:t>
      </w:r>
      <w:r>
        <w:rPr>
          <w:rFonts w:ascii="Gill Sans MT" w:hAnsi="Gill Sans MT" w:cs="Gill Sans MT"/>
          <w:color w:val="161616"/>
        </w:rPr>
        <w:t>cost</w:t>
      </w:r>
      <w:r>
        <w:rPr>
          <w:rFonts w:ascii="Gill Sans MT" w:hAnsi="Gill Sans MT" w:cs="Gill Sans MT"/>
          <w:color w:val="161616"/>
          <w:spacing w:val="-11"/>
        </w:rPr>
        <w:t xml:space="preserve"> </w:t>
      </w:r>
      <w:r>
        <w:rPr>
          <w:rFonts w:ascii="Gill Sans MT" w:hAnsi="Gill Sans MT" w:cs="Gill Sans MT"/>
          <w:color w:val="161616"/>
        </w:rPr>
        <w:t>savings</w:t>
      </w:r>
      <w:r>
        <w:rPr>
          <w:rFonts w:ascii="Gill Sans MT" w:hAnsi="Gill Sans MT" w:cs="Gill Sans MT"/>
          <w:color w:val="161616"/>
          <w:spacing w:val="-13"/>
        </w:rPr>
        <w:t xml:space="preserve"> </w:t>
      </w:r>
      <w:r>
        <w:rPr>
          <w:rFonts w:ascii="Gill Sans MT" w:hAnsi="Gill Sans MT" w:cs="Gill Sans MT"/>
          <w:color w:val="161616"/>
          <w:spacing w:val="-3"/>
        </w:rPr>
        <w:t>and</w:t>
      </w:r>
      <w:r>
        <w:rPr>
          <w:rFonts w:ascii="Gill Sans MT" w:hAnsi="Gill Sans MT" w:cs="Gill Sans MT"/>
          <w:color w:val="161616"/>
          <w:spacing w:val="-12"/>
        </w:rPr>
        <w:t xml:space="preserve"> </w:t>
      </w:r>
      <w:r>
        <w:rPr>
          <w:rFonts w:ascii="Gill Sans MT" w:hAnsi="Gill Sans MT" w:cs="Gill Sans MT"/>
          <w:color w:val="161616"/>
        </w:rPr>
        <w:t>health</w:t>
      </w:r>
      <w:r>
        <w:rPr>
          <w:rFonts w:ascii="Gill Sans MT" w:hAnsi="Gill Sans MT" w:cs="Gill Sans MT"/>
          <w:color w:val="161616"/>
          <w:spacing w:val="-12"/>
        </w:rPr>
        <w:t xml:space="preserve"> </w:t>
      </w:r>
      <w:r>
        <w:rPr>
          <w:rFonts w:ascii="Gill Sans MT" w:hAnsi="Gill Sans MT" w:cs="Gill Sans MT"/>
          <w:color w:val="161616"/>
        </w:rPr>
        <w:t>equity</w:t>
      </w:r>
      <w:r>
        <w:rPr>
          <w:rFonts w:ascii="Gill Sans MT" w:hAnsi="Gill Sans MT" w:cs="Gill Sans MT"/>
          <w:color w:val="161616"/>
          <w:spacing w:val="-15"/>
        </w:rPr>
        <w:t xml:space="preserve"> </w:t>
      </w:r>
      <w:r>
        <w:rPr>
          <w:rFonts w:ascii="Gill Sans MT" w:hAnsi="Gill Sans MT" w:cs="Gill Sans MT"/>
          <w:color w:val="161616"/>
        </w:rPr>
        <w:t>gains</w:t>
      </w:r>
      <w:r>
        <w:rPr>
          <w:rFonts w:ascii="Gill Sans MT" w:hAnsi="Gill Sans MT" w:cs="Gill Sans MT"/>
          <w:color w:val="161616"/>
          <w:spacing w:val="-15"/>
        </w:rPr>
        <w:t xml:space="preserve"> </w:t>
      </w:r>
      <w:r>
        <w:rPr>
          <w:rFonts w:ascii="Gill Sans MT" w:hAnsi="Gill Sans MT" w:cs="Gill Sans MT"/>
          <w:color w:val="161616"/>
        </w:rPr>
        <w:t>across</w:t>
      </w:r>
      <w:r>
        <w:rPr>
          <w:rFonts w:ascii="Gill Sans MT" w:hAnsi="Gill Sans MT" w:cs="Gill Sans MT"/>
          <w:color w:val="161616"/>
          <w:spacing w:val="-13"/>
        </w:rPr>
        <w:t xml:space="preserve"> </w:t>
      </w:r>
      <w:r>
        <w:rPr>
          <w:rFonts w:ascii="Gill Sans MT" w:hAnsi="Gill Sans MT" w:cs="Gill Sans MT"/>
          <w:color w:val="161616"/>
        </w:rPr>
        <w:t>populations.</w:t>
      </w:r>
    </w:p>
    <w:p w:rsidR="002C5025" w:rsidRDefault="002C5025">
      <w:pPr>
        <w:pStyle w:val="BodyText"/>
        <w:kinsoku w:val="0"/>
        <w:overflowPunct w:val="0"/>
        <w:spacing w:before="4"/>
        <w:rPr>
          <w:rFonts w:ascii="Gill Sans MT" w:hAnsi="Gill Sans MT" w:cs="Gill Sans MT"/>
          <w:sz w:val="17"/>
          <w:szCs w:val="17"/>
        </w:rPr>
      </w:pPr>
    </w:p>
    <w:p w:rsidR="002C5025" w:rsidRDefault="00FB027C">
      <w:pPr>
        <w:pStyle w:val="BodyText"/>
        <w:kinsoku w:val="0"/>
        <w:overflowPunct w:val="0"/>
        <w:ind w:left="380" w:right="87"/>
        <w:rPr>
          <w:rFonts w:ascii="Gill Sans MT" w:hAnsi="Gill Sans MT" w:cs="Gill Sans MT"/>
        </w:rPr>
      </w:pPr>
      <w:r>
        <w:rPr>
          <w:noProof/>
        </w:rPr>
        <mc:AlternateContent>
          <mc:Choice Requires="wps">
            <w:drawing>
              <wp:anchor distT="0" distB="0" distL="114300" distR="114300" simplePos="0" relativeHeight="251748864" behindDoc="1" locked="0" layoutInCell="0" allowOverlap="1">
                <wp:simplePos x="0" y="0"/>
                <wp:positionH relativeFrom="page">
                  <wp:posOffset>285750</wp:posOffset>
                </wp:positionH>
                <wp:positionV relativeFrom="paragraph">
                  <wp:posOffset>33020</wp:posOffset>
                </wp:positionV>
                <wp:extent cx="2921000" cy="1079500"/>
                <wp:effectExtent l="0" t="0" r="0" b="0"/>
                <wp:wrapNone/>
                <wp:docPr id="289" name="Rectangle 7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1000" cy="1079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1700" w:lineRule="atLeast"/>
                            </w:pPr>
                            <w:r>
                              <w:rPr>
                                <w:noProof/>
                              </w:rPr>
                              <w:drawing>
                                <wp:inline distT="0" distB="0" distL="0" distR="0">
                                  <wp:extent cx="2914650" cy="1066800"/>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507">
                                            <a:extLst>
                                              <a:ext uri="{28A0092B-C50C-407E-A947-70E740481C1C}">
                                                <a14:useLocalDpi xmlns:a14="http://schemas.microsoft.com/office/drawing/2010/main" val="0"/>
                                              </a:ext>
                                            </a:extLst>
                                          </a:blip>
                                          <a:srcRect/>
                                          <a:stretch>
                                            <a:fillRect/>
                                          </a:stretch>
                                        </pic:blipFill>
                                        <pic:spPr bwMode="auto">
                                          <a:xfrm>
                                            <a:off x="0" y="0"/>
                                            <a:ext cx="2914650" cy="1066800"/>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6" o:spid="_x0000_s1259" style="position:absolute;left:0;text-align:left;margin-left:22.5pt;margin-top:2.6pt;width:230pt;height:85pt;z-index:-251567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" o:allowincell="f" filled="f" stroked="f">
                <v:textbox inset="0,0,0,0">
                  <w:txbxContent>
                    <w:p w:rsidR="007B2B7B" w:rsidRDefault="007B2B7B">
                      <w:pPr>
                        <w:widowControl/>
                        <w:autoSpaceDE/>
                        <w:autoSpaceDN/>
                        <w:adjustRightInd/>
                        <w:spacing w:line="1700" w:lineRule="atLeast"/>
                      </w:pPr>
                      <w:r>
                        <w:rPr>
                          <w:noProof/>
                        </w:rPr>
                        <w:drawing>
                          <wp:inline distT="0" distB="0" distL="0" distR="0">
                            <wp:extent cx="2914650" cy="1066800"/>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508">
                                      <a:extLst>
                                        <a:ext uri="{28A0092B-C50C-407E-A947-70E740481C1C}">
                                          <a14:useLocalDpi xmlns:a14="http://schemas.microsoft.com/office/drawing/2010/main" val="0"/>
                                        </a:ext>
                                      </a:extLst>
                                    </a:blip>
                                    <a:srcRect/>
                                    <a:stretch>
                                      <a:fillRect/>
                                    </a:stretch>
                                  </pic:blipFill>
                                  <pic:spPr bwMode="auto">
                                    <a:xfrm>
                                      <a:off x="0" y="0"/>
                                      <a:ext cx="2914650" cy="1066800"/>
                                    </a:xfrm>
                                    <a:prstGeom prst="rect">
                                      <a:avLst/>
                                    </a:prstGeom>
                                    <a:noFill/>
                                    <a:ln>
                                      <a:noFill/>
                                    </a:ln>
                                  </pic:spPr>
                                </pic:pic>
                              </a:graphicData>
                            </a:graphic>
                          </wp:inline>
                        </w:drawing>
                      </w:r>
                    </w:p>
                    <w:p w:rsidR="007B2B7B" w:rsidRDefault="007B2B7B"/>
                  </w:txbxContent>
                </v:textbox>
                <w10:wrap anchorx="page"/>
              </v:rect>
            </w:pict>
          </mc:Fallback>
        </mc:AlternateContent>
      </w:r>
      <w:r>
        <w:rPr>
          <w:noProof/>
        </w:rPr>
        <mc:AlternateContent>
          <mc:Choice Requires="wps">
            <w:drawing>
              <wp:anchor distT="0" distB="0" distL="114300" distR="114300" simplePos="0" relativeHeight="251749888" behindDoc="1" locked="0" layoutInCell="0" allowOverlap="1">
                <wp:simplePos x="0" y="0"/>
                <wp:positionH relativeFrom="page">
                  <wp:posOffset>4276725</wp:posOffset>
                </wp:positionH>
                <wp:positionV relativeFrom="paragraph">
                  <wp:posOffset>33020</wp:posOffset>
                </wp:positionV>
                <wp:extent cx="1727200" cy="939800"/>
                <wp:effectExtent l="0" t="0" r="0" b="0"/>
                <wp:wrapNone/>
                <wp:docPr id="288" name="Rectangle 7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0" cy="939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1480" w:lineRule="atLeast"/>
                            </w:pPr>
                            <w:r>
                              <w:rPr>
                                <w:noProof/>
                              </w:rPr>
                              <w:drawing>
                                <wp:inline distT="0" distB="0" distL="0" distR="0">
                                  <wp:extent cx="1743075" cy="952500"/>
                                  <wp:effectExtent l="0" t="0" r="9525"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509">
                                            <a:extLst>
                                              <a:ext uri="{28A0092B-C50C-407E-A947-70E740481C1C}">
                                                <a14:useLocalDpi xmlns:a14="http://schemas.microsoft.com/office/drawing/2010/main" val="0"/>
                                              </a:ext>
                                            </a:extLst>
                                          </a:blip>
                                          <a:srcRect/>
                                          <a:stretch>
                                            <a:fillRect/>
                                          </a:stretch>
                                        </pic:blipFill>
                                        <pic:spPr bwMode="auto">
                                          <a:xfrm>
                                            <a:off x="0" y="0"/>
                                            <a:ext cx="1743075" cy="952500"/>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7" o:spid="_x0000_s1260" style="position:absolute;left:0;text-align:left;margin-left:336.75pt;margin-top:2.6pt;width:136pt;height:74pt;z-index:-251566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" o:allowincell="f" filled="f" stroked="f">
                <v:textbox inset="0,0,0,0">
                  <w:txbxContent>
                    <w:p w:rsidR="007B2B7B" w:rsidRDefault="007B2B7B">
                      <w:pPr>
                        <w:widowControl/>
                        <w:autoSpaceDE/>
                        <w:autoSpaceDN/>
                        <w:adjustRightInd/>
                        <w:spacing w:line="1480" w:lineRule="atLeast"/>
                      </w:pPr>
                      <w:r>
                        <w:rPr>
                          <w:noProof/>
                        </w:rPr>
                        <w:drawing>
                          <wp:inline distT="0" distB="0" distL="0" distR="0">
                            <wp:extent cx="1743075" cy="952500"/>
                            <wp:effectExtent l="0" t="0" r="9525"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510">
                                      <a:extLst>
                                        <a:ext uri="{28A0092B-C50C-407E-A947-70E740481C1C}">
                                          <a14:useLocalDpi xmlns:a14="http://schemas.microsoft.com/office/drawing/2010/main" val="0"/>
                                        </a:ext>
                                      </a:extLst>
                                    </a:blip>
                                    <a:srcRect/>
                                    <a:stretch>
                                      <a:fillRect/>
                                    </a:stretch>
                                  </pic:blipFill>
                                  <pic:spPr bwMode="auto">
                                    <a:xfrm>
                                      <a:off x="0" y="0"/>
                                      <a:ext cx="1743075" cy="952500"/>
                                    </a:xfrm>
                                    <a:prstGeom prst="rect">
                                      <a:avLst/>
                                    </a:prstGeom>
                                    <a:noFill/>
                                    <a:ln>
                                      <a:noFill/>
                                    </a:ln>
                                  </pic:spPr>
                                </pic:pic>
                              </a:graphicData>
                            </a:graphic>
                          </wp:inline>
                        </w:drawing>
                      </w:r>
                    </w:p>
                    <w:p w:rsidR="007B2B7B" w:rsidRDefault="007B2B7B"/>
                  </w:txbxContent>
                </v:textbox>
                <w10:wrap anchorx="page"/>
              </v:rect>
            </w:pict>
          </mc:Fallback>
        </mc:AlternateContent>
      </w:r>
      <w:r w:rsidR="002C5025">
        <w:rPr>
          <w:rFonts w:ascii="Gill Sans MT" w:hAnsi="Gill Sans MT" w:cs="Gill Sans MT"/>
        </w:rPr>
        <w:t>Thank you very much for your consideration of these comments, and for your broader work.</w:t>
      </w:r>
    </w:p>
    <w:p w:rsidR="002C5025" w:rsidRDefault="002C5025">
      <w:pPr>
        <w:pStyle w:val="BodyText"/>
        <w:kinsoku w:val="0"/>
        <w:overflowPunct w:val="0"/>
        <w:rPr>
          <w:rFonts w:ascii="Gill Sans MT" w:hAnsi="Gill Sans MT" w:cs="Gill Sans MT"/>
        </w:rPr>
      </w:pPr>
    </w:p>
    <w:p w:rsidR="002C5025" w:rsidRDefault="002C5025">
      <w:pPr>
        <w:pStyle w:val="BodyText"/>
        <w:kinsoku w:val="0"/>
        <w:overflowPunct w:val="0"/>
        <w:rPr>
          <w:rFonts w:ascii="Gill Sans MT" w:hAnsi="Gill Sans MT" w:cs="Gill Sans MT"/>
        </w:rPr>
      </w:pPr>
    </w:p>
    <w:p w:rsidR="002C5025" w:rsidRDefault="002C5025">
      <w:pPr>
        <w:pStyle w:val="BodyText"/>
        <w:kinsoku w:val="0"/>
        <w:overflowPunct w:val="0"/>
        <w:spacing w:before="2"/>
        <w:rPr>
          <w:rFonts w:ascii="Gill Sans MT" w:hAnsi="Gill Sans MT" w:cs="Gill Sans MT"/>
          <w:sz w:val="17"/>
          <w:szCs w:val="17"/>
        </w:rPr>
      </w:pPr>
    </w:p>
    <w:p w:rsidR="002C5025" w:rsidRDefault="002C5025">
      <w:pPr>
        <w:pStyle w:val="BodyText"/>
        <w:tabs>
          <w:tab w:val="left" w:pos="6139"/>
        </w:tabs>
        <w:kinsoku w:val="0"/>
        <w:overflowPunct w:val="0"/>
        <w:spacing w:line="255" w:lineRule="exact"/>
        <w:ind w:left="380" w:right="87"/>
        <w:rPr>
          <w:rFonts w:ascii="Gill Sans MT" w:hAnsi="Gill Sans MT" w:cs="Gill Sans MT"/>
        </w:rPr>
      </w:pPr>
      <w:r>
        <w:rPr>
          <w:rFonts w:ascii="Gill Sans MT" w:hAnsi="Gill Sans MT" w:cs="Gill Sans MT"/>
        </w:rPr>
        <w:t>Samantha</w:t>
      </w:r>
      <w:r>
        <w:rPr>
          <w:rFonts w:ascii="Gill Sans MT" w:hAnsi="Gill Sans MT" w:cs="Gill Sans MT"/>
          <w:spacing w:val="-16"/>
        </w:rPr>
        <w:t xml:space="preserve"> </w:t>
      </w:r>
      <w:r>
        <w:rPr>
          <w:rFonts w:ascii="Gill Sans MT" w:hAnsi="Gill Sans MT" w:cs="Gill Sans MT"/>
        </w:rPr>
        <w:t>J.</w:t>
      </w:r>
      <w:r>
        <w:rPr>
          <w:rFonts w:ascii="Gill Sans MT" w:hAnsi="Gill Sans MT" w:cs="Gill Sans MT"/>
          <w:spacing w:val="-18"/>
        </w:rPr>
        <w:t xml:space="preserve"> </w:t>
      </w:r>
      <w:r>
        <w:rPr>
          <w:rFonts w:ascii="Gill Sans MT" w:hAnsi="Gill Sans MT" w:cs="Gill Sans MT"/>
        </w:rPr>
        <w:t>Morton,</w:t>
      </w:r>
      <w:r>
        <w:rPr>
          <w:rFonts w:ascii="Gill Sans MT" w:hAnsi="Gill Sans MT" w:cs="Gill Sans MT"/>
          <w:spacing w:val="-15"/>
        </w:rPr>
        <w:t xml:space="preserve"> </w:t>
      </w:r>
      <w:r>
        <w:rPr>
          <w:rFonts w:ascii="Gill Sans MT" w:hAnsi="Gill Sans MT" w:cs="Gill Sans MT"/>
        </w:rPr>
        <w:t>Executive</w:t>
      </w:r>
      <w:r>
        <w:rPr>
          <w:rFonts w:ascii="Gill Sans MT" w:hAnsi="Gill Sans MT" w:cs="Gill Sans MT"/>
          <w:spacing w:val="-17"/>
        </w:rPr>
        <w:t xml:space="preserve"> </w:t>
      </w:r>
      <w:r>
        <w:rPr>
          <w:rFonts w:ascii="Gill Sans MT" w:hAnsi="Gill Sans MT" w:cs="Gill Sans MT"/>
        </w:rPr>
        <w:t>Director</w:t>
      </w:r>
      <w:r>
        <w:rPr>
          <w:rFonts w:ascii="Gill Sans MT" w:hAnsi="Gill Sans MT" w:cs="Gill Sans MT"/>
        </w:rPr>
        <w:tab/>
        <w:t>JoHanna</w:t>
      </w:r>
      <w:r>
        <w:rPr>
          <w:rFonts w:ascii="Gill Sans MT" w:hAnsi="Gill Sans MT" w:cs="Gill Sans MT"/>
          <w:spacing w:val="-19"/>
        </w:rPr>
        <w:t xml:space="preserve"> </w:t>
      </w:r>
      <w:r>
        <w:rPr>
          <w:rFonts w:ascii="Gill Sans MT" w:hAnsi="Gill Sans MT" w:cs="Gill Sans MT"/>
        </w:rPr>
        <w:t>Flacks,</w:t>
      </w:r>
      <w:r>
        <w:rPr>
          <w:rFonts w:ascii="Gill Sans MT" w:hAnsi="Gill Sans MT" w:cs="Gill Sans MT"/>
          <w:spacing w:val="-22"/>
        </w:rPr>
        <w:t xml:space="preserve"> </w:t>
      </w:r>
      <w:r>
        <w:rPr>
          <w:rFonts w:ascii="Gill Sans MT" w:hAnsi="Gill Sans MT" w:cs="Gill Sans MT"/>
        </w:rPr>
        <w:t>Legal</w:t>
      </w:r>
      <w:r>
        <w:rPr>
          <w:rFonts w:ascii="Gill Sans MT" w:hAnsi="Gill Sans MT" w:cs="Gill Sans MT"/>
          <w:spacing w:val="-22"/>
        </w:rPr>
        <w:t xml:space="preserve"> </w:t>
      </w:r>
      <w:r>
        <w:rPr>
          <w:rFonts w:ascii="Gill Sans MT" w:hAnsi="Gill Sans MT" w:cs="Gill Sans MT"/>
        </w:rPr>
        <w:t>Director</w:t>
      </w:r>
    </w:p>
    <w:p w:rsidR="002C5025" w:rsidRDefault="002C5025">
      <w:pPr>
        <w:pStyle w:val="BodyText"/>
        <w:tabs>
          <w:tab w:val="left" w:pos="6139"/>
        </w:tabs>
        <w:kinsoku w:val="0"/>
        <w:overflowPunct w:val="0"/>
        <w:spacing w:line="255" w:lineRule="exact"/>
        <w:ind w:left="380" w:right="87"/>
        <w:rPr>
          <w:rFonts w:ascii="Gill Sans MT" w:hAnsi="Gill Sans MT" w:cs="Gill Sans MT"/>
        </w:rPr>
      </w:pPr>
      <w:r>
        <w:rPr>
          <w:rFonts w:ascii="Gill Sans MT" w:hAnsi="Gill Sans MT" w:cs="Gill Sans MT"/>
          <w:spacing w:val="-3"/>
        </w:rPr>
        <w:t>MLPB</w:t>
      </w:r>
      <w:r>
        <w:rPr>
          <w:rFonts w:ascii="Gill Sans MT" w:hAnsi="Gill Sans MT" w:cs="Gill Sans MT"/>
          <w:spacing w:val="-3"/>
        </w:rPr>
        <w:tab/>
      </w:r>
      <w:proofErr w:type="spellStart"/>
      <w:r>
        <w:rPr>
          <w:rFonts w:ascii="Gill Sans MT" w:hAnsi="Gill Sans MT" w:cs="Gill Sans MT"/>
        </w:rPr>
        <w:t>MLPB</w:t>
      </w:r>
      <w:proofErr w:type="spellEnd"/>
    </w:p>
    <w:p w:rsidR="002C5025" w:rsidRDefault="002C5025">
      <w:pPr>
        <w:pStyle w:val="BodyText"/>
        <w:kinsoku w:val="0"/>
        <w:overflowPunct w:val="0"/>
        <w:spacing w:before="119"/>
        <w:ind w:left="2846" w:right="2484"/>
        <w:jc w:val="center"/>
        <w:rPr>
          <w:rFonts w:ascii="Gill Sans MT" w:hAnsi="Gill Sans MT" w:cs="Gill Sans MT"/>
          <w:i/>
          <w:iCs/>
        </w:rPr>
      </w:pPr>
      <w:r>
        <w:rPr>
          <w:rFonts w:ascii="Gill Sans MT" w:hAnsi="Gill Sans MT" w:cs="Gill Sans MT"/>
          <w:i/>
          <w:iCs/>
        </w:rPr>
        <w:t>MLPB is a fiscally-sponsored program of Third Sector New England, Inc.</w:t>
      </w:r>
    </w:p>
    <w:p w:rsidR="002C5025" w:rsidRDefault="00FB027C">
      <w:pPr>
        <w:pStyle w:val="BodyText"/>
        <w:kinsoku w:val="0"/>
        <w:overflowPunct w:val="0"/>
        <w:spacing w:before="9"/>
        <w:rPr>
          <w:rFonts w:ascii="Gill Sans MT" w:hAnsi="Gill Sans MT" w:cs="Gill Sans MT"/>
          <w:i/>
          <w:iCs/>
          <w:sz w:val="17"/>
          <w:szCs w:val="17"/>
        </w:rPr>
      </w:pPr>
      <w:r>
        <w:rPr>
          <w:noProof/>
        </w:rPr>
        <mc:AlternateContent>
          <mc:Choice Requires="wps">
            <w:drawing>
              <wp:anchor distT="0" distB="0" distL="0" distR="0" simplePos="0" relativeHeight="251750912" behindDoc="0" locked="0" layoutInCell="0" allowOverlap="1">
                <wp:simplePos x="0" y="0"/>
                <wp:positionH relativeFrom="page">
                  <wp:posOffset>922655</wp:posOffset>
                </wp:positionH>
                <wp:positionV relativeFrom="paragraph">
                  <wp:posOffset>161290</wp:posOffset>
                </wp:positionV>
                <wp:extent cx="1828800" cy="12700"/>
                <wp:effectExtent l="0" t="0" r="0" b="0"/>
                <wp:wrapTopAndBottom/>
                <wp:docPr id="222" name="Freeform 7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w 2880"/>
                            <a:gd name="T1" fmla="*/ 0 h 20"/>
                            <a:gd name="T2" fmla="*/ 2880 w 2880"/>
                            <a:gd name="T3" fmla="*/ 0 h 20"/>
                          </a:gdLst>
                          <a:ahLst/>
                          <a:cxnLst>
                            <a:cxn ang="0">
                              <a:pos x="T0" y="T1"/>
                            </a:cxn>
                            <a:cxn ang="0">
                              <a:pos x="T2" y="T3"/>
                            </a:cxn>
                          </a:cxnLst>
                          <a:rect l="0" t="0" r="r" b="b"/>
                          <a:pathLst>
                            <a:path w="2880" h="20">
                              <a:moveTo>
                                <a:pt x="0" y="0"/>
                              </a:moveTo>
                              <a:lnTo>
                                <a:pt x="288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38" o:spid="_x0000_s1026" style="position:absolute;z-index:251750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2.65pt,12.7pt,216.65pt,12.7pt" coordsize="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" o:allowincell="f" filled="f" strokeweight=".82pt">
                <v:path arrowok="t" o:connecttype="custom" o:connectlocs="0,0;1828800,0" o:connectangles="0,0"/>
                <w10:wrap type="topAndBottom" anchorx="page"/>
              </v:polyline>
            </w:pict>
          </mc:Fallback>
        </mc:AlternateContent>
      </w:r>
    </w:p>
    <w:p w:rsidR="002C5025" w:rsidRDefault="002C5025">
      <w:pPr>
        <w:pStyle w:val="BodyText"/>
        <w:kinsoku w:val="0"/>
        <w:overflowPunct w:val="0"/>
        <w:spacing w:before="19"/>
        <w:ind w:left="1100" w:right="87"/>
        <w:rPr>
          <w:rFonts w:ascii="Gill Sans MT" w:hAnsi="Gill Sans MT" w:cs="Gill Sans MT"/>
          <w:color w:val="1155CC"/>
          <w:sz w:val="16"/>
          <w:szCs w:val="16"/>
        </w:rPr>
      </w:pPr>
      <w:bookmarkStart w:id="224" w:name="bookmark38"/>
      <w:bookmarkEnd w:id="224"/>
      <w:r>
        <w:rPr>
          <w:position w:val="10"/>
          <w:sz w:val="13"/>
          <w:szCs w:val="13"/>
        </w:rPr>
        <w:t xml:space="preserve">1 </w:t>
      </w:r>
      <w:hyperlink r:id="rId511" w:history="1">
        <w:r>
          <w:rPr>
            <w:rFonts w:ascii="Gill Sans MT" w:hAnsi="Gill Sans MT" w:cs="Gill Sans MT"/>
            <w:color w:val="1155CC"/>
            <w:sz w:val="16"/>
            <w:szCs w:val="16"/>
            <w:u w:val="single"/>
          </w:rPr>
          <w:t>http://nationalaidshousing.org/PDF/FactSheet.pd</w:t>
        </w:r>
        <w:r>
          <w:rPr>
            <w:rFonts w:ascii="Gill Sans MT" w:hAnsi="Gill Sans MT" w:cs="Gill Sans MT"/>
            <w:color w:val="1155CC"/>
            <w:sz w:val="16"/>
            <w:szCs w:val="16"/>
          </w:rPr>
          <w:t>f</w:t>
        </w:r>
      </w:hyperlink>
      <w:r>
        <w:rPr>
          <w:rFonts w:ascii="Gill Sans MT" w:hAnsi="Gill Sans MT" w:cs="Gill Sans MT"/>
          <w:color w:val="1155CC"/>
          <w:sz w:val="16"/>
          <w:szCs w:val="16"/>
        </w:rPr>
        <w:t xml:space="preserve"> </w:t>
      </w:r>
      <w:r>
        <w:rPr>
          <w:rFonts w:ascii="Gill Sans MT" w:hAnsi="Gill Sans MT" w:cs="Gill Sans MT"/>
          <w:color w:val="161616"/>
          <w:sz w:val="16"/>
          <w:szCs w:val="16"/>
        </w:rPr>
        <w:t xml:space="preserve">and </w:t>
      </w:r>
      <w:hyperlink r:id="rId512" w:history="1">
        <w:r>
          <w:rPr>
            <w:rFonts w:ascii="Gill Sans MT" w:hAnsi="Gill Sans MT" w:cs="Gill Sans MT"/>
            <w:color w:val="1155CC"/>
            <w:sz w:val="16"/>
            <w:szCs w:val="16"/>
            <w:u w:val="single"/>
          </w:rPr>
          <w:t>http://www.doorwayshousing.org/abou</w:t>
        </w:r>
      </w:hyperlink>
      <w:hyperlink r:id="rId513" w:history="1">
        <w:r>
          <w:rPr>
            <w:rFonts w:ascii="Gill Sans MT" w:hAnsi="Gill Sans MT" w:cs="Gill Sans MT"/>
            <w:color w:val="1155CC"/>
            <w:sz w:val="16"/>
            <w:szCs w:val="16"/>
            <w:u w:val="single"/>
          </w:rPr>
          <w:t>t-housing-hiv/housing-and-hiv/</w:t>
        </w:r>
      </w:hyperlink>
    </w:p>
    <w:p w:rsidR="002C5025" w:rsidRDefault="002C5025">
      <w:pPr>
        <w:pStyle w:val="BodyText"/>
        <w:kinsoku w:val="0"/>
        <w:overflowPunct w:val="0"/>
        <w:spacing w:before="32"/>
        <w:ind w:left="459"/>
        <w:jc w:val="center"/>
      </w:pPr>
      <w:r>
        <w:t>2</w:t>
      </w:r>
    </w:p>
    <w:p w:rsidR="002C5025" w:rsidRDefault="002C5025">
      <w:pPr>
        <w:pStyle w:val="BodyText"/>
        <w:kinsoku w:val="0"/>
        <w:overflowPunct w:val="0"/>
        <w:spacing w:before="32"/>
        <w:ind w:left="459"/>
        <w:jc w:val="center"/>
        <w:sectPr w:rsidR="002C5025">
          <w:pgSz w:w="12240" w:h="15840"/>
          <w:pgMar w:top="900" w:right="620" w:bottom="280" w:left="340" w:header="720" w:footer="720" w:gutter="0"/>
          <w:cols w:space="720" w:equalWidth="0">
            <w:col w:w="11280"/>
          </w:cols>
          <w:noEndnote/>
        </w:sectPr>
      </w:pPr>
    </w:p>
    <w:p w:rsidR="002C5025" w:rsidRDefault="002C5025">
      <w:pPr>
        <w:pStyle w:val="BodyText"/>
        <w:kinsoku w:val="0"/>
        <w:overflowPunct w:val="0"/>
        <w:spacing w:before="6"/>
        <w:rPr>
          <w:sz w:val="14"/>
          <w:szCs w:val="14"/>
        </w:rPr>
      </w:pPr>
    </w:p>
    <w:p w:rsidR="002C5025" w:rsidRDefault="002C5025">
      <w:pPr>
        <w:pStyle w:val="BodyText"/>
        <w:kinsoku w:val="0"/>
        <w:overflowPunct w:val="0"/>
        <w:spacing w:before="6"/>
        <w:rPr>
          <w:sz w:val="14"/>
          <w:szCs w:val="14"/>
        </w:rPr>
        <w:sectPr w:rsidR="002C5025">
          <w:pgSz w:w="12240" w:h="15840"/>
          <w:pgMar w:top="460" w:right="1380" w:bottom="280" w:left="1000" w:header="720" w:footer="720" w:gutter="0"/>
          <w:cols w:space="720" w:equalWidth="0">
            <w:col w:w="9860"/>
          </w:cols>
          <w:noEndnote/>
        </w:sectPr>
      </w:pPr>
    </w:p>
    <w:p w:rsidR="002C5025" w:rsidRDefault="002C5025">
      <w:pPr>
        <w:pStyle w:val="BodyText"/>
        <w:kinsoku w:val="0"/>
        <w:overflowPunct w:val="0"/>
        <w:rPr>
          <w:sz w:val="14"/>
          <w:szCs w:val="14"/>
        </w:rPr>
      </w:pPr>
    </w:p>
    <w:p w:rsidR="002C5025" w:rsidRDefault="002C5025">
      <w:pPr>
        <w:pStyle w:val="BodyText"/>
        <w:kinsoku w:val="0"/>
        <w:overflowPunct w:val="0"/>
        <w:rPr>
          <w:sz w:val="14"/>
          <w:szCs w:val="14"/>
        </w:rPr>
      </w:pPr>
    </w:p>
    <w:p w:rsidR="002C5025" w:rsidRDefault="002C5025">
      <w:pPr>
        <w:pStyle w:val="BodyText"/>
        <w:kinsoku w:val="0"/>
        <w:overflowPunct w:val="0"/>
        <w:rPr>
          <w:sz w:val="14"/>
          <w:szCs w:val="14"/>
        </w:rPr>
      </w:pPr>
    </w:p>
    <w:p w:rsidR="002C5025" w:rsidRDefault="002C5025">
      <w:pPr>
        <w:pStyle w:val="BodyText"/>
        <w:kinsoku w:val="0"/>
        <w:overflowPunct w:val="0"/>
        <w:rPr>
          <w:sz w:val="14"/>
          <w:szCs w:val="14"/>
        </w:rPr>
      </w:pPr>
    </w:p>
    <w:p w:rsidR="002C5025" w:rsidRDefault="002C5025">
      <w:pPr>
        <w:pStyle w:val="BodyText"/>
        <w:kinsoku w:val="0"/>
        <w:overflowPunct w:val="0"/>
        <w:rPr>
          <w:sz w:val="14"/>
          <w:szCs w:val="14"/>
        </w:rPr>
      </w:pPr>
    </w:p>
    <w:p w:rsidR="002C5025" w:rsidRDefault="002C5025">
      <w:pPr>
        <w:pStyle w:val="BodyText"/>
        <w:kinsoku w:val="0"/>
        <w:overflowPunct w:val="0"/>
        <w:rPr>
          <w:sz w:val="14"/>
          <w:szCs w:val="14"/>
        </w:rPr>
      </w:pPr>
    </w:p>
    <w:p w:rsidR="002C5025" w:rsidRDefault="002C5025">
      <w:pPr>
        <w:pStyle w:val="BodyText"/>
        <w:kinsoku w:val="0"/>
        <w:overflowPunct w:val="0"/>
        <w:rPr>
          <w:sz w:val="14"/>
          <w:szCs w:val="14"/>
        </w:rPr>
      </w:pPr>
    </w:p>
    <w:p w:rsidR="002C5025" w:rsidRDefault="002C5025">
      <w:pPr>
        <w:pStyle w:val="BodyText"/>
        <w:kinsoku w:val="0"/>
        <w:overflowPunct w:val="0"/>
        <w:rPr>
          <w:sz w:val="14"/>
          <w:szCs w:val="14"/>
        </w:rPr>
      </w:pPr>
    </w:p>
    <w:p w:rsidR="002C5025" w:rsidRDefault="002C5025">
      <w:pPr>
        <w:pStyle w:val="BodyText"/>
        <w:kinsoku w:val="0"/>
        <w:overflowPunct w:val="0"/>
        <w:rPr>
          <w:sz w:val="14"/>
          <w:szCs w:val="14"/>
        </w:rPr>
      </w:pPr>
    </w:p>
    <w:p w:rsidR="002C5025" w:rsidRDefault="002C5025">
      <w:pPr>
        <w:pStyle w:val="BodyText"/>
        <w:kinsoku w:val="0"/>
        <w:overflowPunct w:val="0"/>
        <w:rPr>
          <w:sz w:val="14"/>
          <w:szCs w:val="14"/>
        </w:rPr>
      </w:pPr>
    </w:p>
    <w:p w:rsidR="002C5025" w:rsidRDefault="002C5025">
      <w:pPr>
        <w:pStyle w:val="BodyText"/>
        <w:kinsoku w:val="0"/>
        <w:overflowPunct w:val="0"/>
        <w:spacing w:before="3"/>
        <w:rPr>
          <w:sz w:val="20"/>
          <w:szCs w:val="20"/>
        </w:rPr>
      </w:pPr>
    </w:p>
    <w:p w:rsidR="002C5025" w:rsidRDefault="00FB027C">
      <w:pPr>
        <w:pStyle w:val="BodyText"/>
        <w:kinsoku w:val="0"/>
        <w:overflowPunct w:val="0"/>
        <w:spacing w:line="171" w:lineRule="exact"/>
        <w:ind w:left="238"/>
        <w:rPr>
          <w:rFonts w:ascii="Times New Roman" w:hAnsi="Times New Roman" w:cs="Times New Roman"/>
          <w:color w:val="989898"/>
          <w:sz w:val="15"/>
          <w:szCs w:val="15"/>
        </w:rPr>
      </w:pPr>
      <w:r>
        <w:rPr>
          <w:noProof/>
        </w:rPr>
        <mc:AlternateContent>
          <mc:Choice Requires="wps">
            <w:drawing>
              <wp:anchor distT="0" distB="0" distL="114300" distR="114300" simplePos="0" relativeHeight="251751936" behindDoc="0" locked="0" layoutInCell="0" allowOverlap="1">
                <wp:simplePos x="0" y="0"/>
                <wp:positionH relativeFrom="page">
                  <wp:posOffset>707390</wp:posOffset>
                </wp:positionH>
                <wp:positionV relativeFrom="paragraph">
                  <wp:posOffset>-1354455</wp:posOffset>
                </wp:positionV>
                <wp:extent cx="927100" cy="1206500"/>
                <wp:effectExtent l="0" t="0" r="0" b="0"/>
                <wp:wrapNone/>
                <wp:docPr id="214" name="Rectangle 7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7100" cy="1206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1900" w:lineRule="atLeast"/>
                            </w:pPr>
                            <w:r>
                              <w:rPr>
                                <w:noProof/>
                              </w:rPr>
                              <w:drawing>
                                <wp:inline distT="0" distB="0" distL="0" distR="0">
                                  <wp:extent cx="923925" cy="1209675"/>
                                  <wp:effectExtent l="0" t="0" r="9525" b="9525"/>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514">
                                            <a:extLst>
                                              <a:ext uri="{28A0092B-C50C-407E-A947-70E740481C1C}">
                                                <a14:useLocalDpi xmlns:a14="http://schemas.microsoft.com/office/drawing/2010/main" val="0"/>
                                              </a:ext>
                                            </a:extLst>
                                          </a:blip>
                                          <a:srcRect/>
                                          <a:stretch>
                                            <a:fillRect/>
                                          </a:stretch>
                                        </pic:blipFill>
                                        <pic:spPr bwMode="auto">
                                          <a:xfrm>
                                            <a:off x="0" y="0"/>
                                            <a:ext cx="923925" cy="1209675"/>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9" o:spid="_x0000_s1261" style="position:absolute;left:0;text-align:left;margin-left:55.7pt;margin-top:-106.65pt;width:73pt;height:95pt;z-index:251751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" o:allowincell="f" filled="f" stroked="f">
                <v:textbox inset="0,0,0,0">
                  <w:txbxContent>
                    <w:p w:rsidR="007B2B7B" w:rsidRDefault="007B2B7B">
                      <w:pPr>
                        <w:widowControl/>
                        <w:autoSpaceDE/>
                        <w:autoSpaceDN/>
                        <w:adjustRightInd/>
                        <w:spacing w:line="1900" w:lineRule="atLeast"/>
                      </w:pPr>
                      <w:r>
                        <w:rPr>
                          <w:noProof/>
                        </w:rPr>
                        <w:drawing>
                          <wp:inline distT="0" distB="0" distL="0" distR="0">
                            <wp:extent cx="923925" cy="1209675"/>
                            <wp:effectExtent l="0" t="0" r="9525" b="9525"/>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515">
                                      <a:extLst>
                                        <a:ext uri="{28A0092B-C50C-407E-A947-70E740481C1C}">
                                          <a14:useLocalDpi xmlns:a14="http://schemas.microsoft.com/office/drawing/2010/main" val="0"/>
                                        </a:ext>
                                      </a:extLst>
                                    </a:blip>
                                    <a:srcRect/>
                                    <a:stretch>
                                      <a:fillRect/>
                                    </a:stretch>
                                  </pic:blipFill>
                                  <pic:spPr bwMode="auto">
                                    <a:xfrm>
                                      <a:off x="0" y="0"/>
                                      <a:ext cx="923925" cy="1209675"/>
                                    </a:xfrm>
                                    <a:prstGeom prst="rect">
                                      <a:avLst/>
                                    </a:prstGeom>
                                    <a:noFill/>
                                    <a:ln>
                                      <a:noFill/>
                                    </a:ln>
                                  </pic:spPr>
                                </pic:pic>
                              </a:graphicData>
                            </a:graphic>
                          </wp:inline>
                        </w:drawing>
                      </w:r>
                    </w:p>
                    <w:p w:rsidR="007B2B7B" w:rsidRDefault="007B2B7B"/>
                  </w:txbxContent>
                </v:textbox>
                <w10:wrap anchorx="page"/>
              </v:rect>
            </w:pict>
          </mc:Fallback>
        </mc:AlternateContent>
      </w:r>
      <w:bookmarkStart w:id="225" w:name="MHLAC_Comments_on_1115_Demonstration_Ext"/>
      <w:bookmarkEnd w:id="225"/>
      <w:proofErr w:type="spellStart"/>
      <w:r w:rsidR="002C5025">
        <w:rPr>
          <w:rFonts w:ascii="Times New Roman" w:hAnsi="Times New Roman" w:cs="Times New Roman"/>
          <w:color w:val="989898"/>
          <w:sz w:val="15"/>
          <w:szCs w:val="15"/>
        </w:rPr>
        <w:t>PHILLlP</w:t>
      </w:r>
      <w:proofErr w:type="spellEnd"/>
      <w:r w:rsidR="002C5025">
        <w:rPr>
          <w:rFonts w:ascii="Times New Roman" w:hAnsi="Times New Roman" w:cs="Times New Roman"/>
          <w:color w:val="989898"/>
          <w:sz w:val="15"/>
          <w:szCs w:val="15"/>
        </w:rPr>
        <w:t xml:space="preserve"> KASSEL</w:t>
      </w:r>
    </w:p>
    <w:p w:rsidR="002C5025" w:rsidRDefault="002C5025">
      <w:pPr>
        <w:pStyle w:val="BodyText"/>
        <w:kinsoku w:val="0"/>
        <w:overflowPunct w:val="0"/>
        <w:spacing w:line="113" w:lineRule="exact"/>
        <w:ind w:left="247"/>
        <w:rPr>
          <w:rFonts w:ascii="Times New Roman" w:hAnsi="Times New Roman" w:cs="Times New Roman"/>
          <w:color w:val="989898"/>
          <w:sz w:val="10"/>
          <w:szCs w:val="10"/>
        </w:rPr>
      </w:pPr>
      <w:r>
        <w:rPr>
          <w:rFonts w:ascii="Times New Roman" w:hAnsi="Times New Roman" w:cs="Times New Roman"/>
          <w:color w:val="989898"/>
          <w:sz w:val="10"/>
          <w:szCs w:val="10"/>
        </w:rPr>
        <w:t>EXECUTI\.E   DJRECTOR</w:t>
      </w:r>
    </w:p>
    <w:p w:rsidR="002C5025" w:rsidRDefault="002C5025">
      <w:pPr>
        <w:pStyle w:val="BodyText"/>
        <w:kinsoku w:val="0"/>
        <w:overflowPunct w:val="0"/>
        <w:spacing w:before="66"/>
        <w:ind w:left="101" w:right="685"/>
        <w:jc w:val="center"/>
        <w:rPr>
          <w:rFonts w:ascii="Times New Roman" w:hAnsi="Times New Roman" w:cs="Times New Roman"/>
          <w:b/>
          <w:bCs/>
          <w:color w:val="7D7D7D"/>
          <w:sz w:val="27"/>
          <w:szCs w:val="27"/>
        </w:rPr>
      </w:pPr>
      <w:r>
        <w:rPr>
          <w:rFonts w:ascii="Times New Roman" w:hAnsi="Times New Roman" w:cs="Times New Roman"/>
          <w:sz w:val="24"/>
          <w:szCs w:val="24"/>
        </w:rPr>
        <w:br w:type="column"/>
      </w:r>
      <w:bookmarkStart w:id="226" w:name="MENTAL__HEALTH__LEGAL__ADVISORS__COMMITT"/>
      <w:bookmarkEnd w:id="226"/>
      <w:r>
        <w:rPr>
          <w:rFonts w:ascii="Times New Roman" w:hAnsi="Times New Roman" w:cs="Times New Roman"/>
          <w:b/>
          <w:bCs/>
          <w:color w:val="7D7D7D"/>
          <w:sz w:val="27"/>
          <w:szCs w:val="27"/>
        </w:rPr>
        <w:lastRenderedPageBreak/>
        <w:t xml:space="preserve">MENTAL  HEALTH  LEGAL  ADVISORS </w:t>
      </w:r>
      <w:r>
        <w:rPr>
          <w:rFonts w:ascii="Times New Roman" w:hAnsi="Times New Roman" w:cs="Times New Roman"/>
          <w:b/>
          <w:bCs/>
          <w:color w:val="7D7D7D"/>
          <w:spacing w:val="51"/>
          <w:sz w:val="27"/>
          <w:szCs w:val="27"/>
        </w:rPr>
        <w:t xml:space="preserve"> </w:t>
      </w:r>
      <w:r>
        <w:rPr>
          <w:rFonts w:ascii="Times New Roman" w:hAnsi="Times New Roman" w:cs="Times New Roman"/>
          <w:b/>
          <w:bCs/>
          <w:color w:val="7D7D7D"/>
          <w:sz w:val="27"/>
          <w:szCs w:val="27"/>
        </w:rPr>
        <w:t>COMMITTEE</w:t>
      </w:r>
    </w:p>
    <w:p w:rsidR="002C5025" w:rsidRDefault="002C5025">
      <w:pPr>
        <w:pStyle w:val="BodyText"/>
        <w:kinsoku w:val="0"/>
        <w:overflowPunct w:val="0"/>
        <w:spacing w:before="43" w:line="428" w:lineRule="exact"/>
        <w:ind w:left="1473" w:right="2076"/>
        <w:jc w:val="center"/>
        <w:rPr>
          <w:rFonts w:ascii="Times New Roman" w:hAnsi="Times New Roman" w:cs="Times New Roman"/>
          <w:color w:val="7D7D7D"/>
          <w:w w:val="85"/>
          <w:sz w:val="29"/>
          <w:szCs w:val="29"/>
        </w:rPr>
      </w:pPr>
      <w:r>
        <w:rPr>
          <w:rFonts w:ascii="Times New Roman" w:hAnsi="Times New Roman" w:cs="Times New Roman"/>
          <w:color w:val="7D7D7D"/>
          <w:w w:val="80"/>
          <w:sz w:val="29"/>
          <w:szCs w:val="29"/>
        </w:rPr>
        <w:t xml:space="preserve">1&lt;IT4r ©:nmmnnfuretlf4 </w:t>
      </w:r>
      <w:proofErr w:type="spellStart"/>
      <w:r>
        <w:rPr>
          <w:rFonts w:ascii="Times New Roman" w:hAnsi="Times New Roman" w:cs="Times New Roman"/>
          <w:color w:val="7D7D7D"/>
          <w:w w:val="80"/>
          <w:sz w:val="29"/>
          <w:szCs w:val="29"/>
        </w:rPr>
        <w:t>nfc</w:t>
      </w:r>
      <w:proofErr w:type="spellEnd"/>
      <w:r>
        <w:rPr>
          <w:rFonts w:ascii="Times New Roman" w:hAnsi="Times New Roman" w:cs="Times New Roman"/>
          <w:color w:val="7D7D7D"/>
          <w:w w:val="80"/>
          <w:sz w:val="29"/>
          <w:szCs w:val="29"/>
        </w:rPr>
        <w:t xml:space="preserve">:!'«etssetr4usrffs </w:t>
      </w:r>
      <w:proofErr w:type="spellStart"/>
      <w:r>
        <w:rPr>
          <w:rFonts w:ascii="Times New Roman" w:hAnsi="Times New Roman" w:cs="Times New Roman"/>
          <w:color w:val="7D7D7D"/>
          <w:w w:val="85"/>
          <w:sz w:val="29"/>
          <w:szCs w:val="29"/>
        </w:rPr>
        <w:t>uprrmr</w:t>
      </w:r>
      <w:proofErr w:type="spellEnd"/>
      <w:r>
        <w:rPr>
          <w:rFonts w:ascii="Times New Roman" w:hAnsi="Times New Roman" w:cs="Times New Roman"/>
          <w:color w:val="7D7D7D"/>
          <w:w w:val="85"/>
          <w:sz w:val="29"/>
          <w:szCs w:val="29"/>
        </w:rPr>
        <w:t xml:space="preserve"> </w:t>
      </w:r>
      <w:proofErr w:type="spellStart"/>
      <w:r>
        <w:rPr>
          <w:rFonts w:ascii="Times New Roman" w:hAnsi="Times New Roman" w:cs="Times New Roman"/>
          <w:i/>
          <w:iCs/>
          <w:color w:val="7D7D7D"/>
          <w:w w:val="85"/>
          <w:sz w:val="40"/>
          <w:szCs w:val="40"/>
        </w:rPr>
        <w:t>m</w:t>
      </w:r>
      <w:r>
        <w:rPr>
          <w:rFonts w:ascii="Times New Roman" w:hAnsi="Times New Roman" w:cs="Times New Roman"/>
          <w:color w:val="7D7D7D"/>
          <w:w w:val="85"/>
          <w:sz w:val="29"/>
          <w:szCs w:val="29"/>
        </w:rPr>
        <w:t>uMcietl</w:t>
      </w:r>
      <w:proofErr w:type="spellEnd"/>
      <w:r>
        <w:rPr>
          <w:rFonts w:ascii="Times New Roman" w:hAnsi="Times New Roman" w:cs="Times New Roman"/>
          <w:color w:val="7D7D7D"/>
          <w:w w:val="85"/>
          <w:sz w:val="29"/>
          <w:szCs w:val="29"/>
        </w:rPr>
        <w:t xml:space="preserve"> ©:</w:t>
      </w:r>
      <w:proofErr w:type="spellStart"/>
      <w:r>
        <w:rPr>
          <w:rFonts w:ascii="Times New Roman" w:hAnsi="Times New Roman" w:cs="Times New Roman"/>
          <w:color w:val="7D7D7D"/>
          <w:w w:val="85"/>
          <w:sz w:val="29"/>
          <w:szCs w:val="29"/>
        </w:rPr>
        <w:t>nurf</w:t>
      </w:r>
      <w:proofErr w:type="spellEnd"/>
    </w:p>
    <w:p w:rsidR="002C5025" w:rsidRDefault="002C5025">
      <w:pPr>
        <w:pStyle w:val="BodyText"/>
        <w:kinsoku w:val="0"/>
        <w:overflowPunct w:val="0"/>
        <w:spacing w:before="78" w:line="280" w:lineRule="auto"/>
        <w:ind w:left="2125" w:right="2717" w:hanging="6"/>
        <w:jc w:val="center"/>
        <w:rPr>
          <w:rFonts w:ascii="Arial" w:hAnsi="Arial" w:cs="Arial"/>
          <w:color w:val="7D7D7D"/>
          <w:spacing w:val="3"/>
          <w:w w:val="120"/>
          <w:sz w:val="15"/>
          <w:szCs w:val="15"/>
        </w:rPr>
      </w:pPr>
      <w:r>
        <w:rPr>
          <w:rFonts w:ascii="Arial" w:hAnsi="Arial" w:cs="Arial"/>
          <w:color w:val="7D7D7D"/>
          <w:w w:val="120"/>
          <w:sz w:val="15"/>
          <w:szCs w:val="15"/>
        </w:rPr>
        <w:t xml:space="preserve">24 SCHOOL STREET - </w:t>
      </w:r>
      <w:r>
        <w:rPr>
          <w:rFonts w:ascii="Arial" w:hAnsi="Arial" w:cs="Arial"/>
          <w:color w:val="7D7D7D"/>
          <w:w w:val="120"/>
          <w:sz w:val="9"/>
          <w:szCs w:val="9"/>
        </w:rPr>
        <w:t xml:space="preserve">8th </w:t>
      </w:r>
      <w:r>
        <w:rPr>
          <w:rFonts w:ascii="Arial" w:hAnsi="Arial" w:cs="Arial"/>
          <w:color w:val="7D7D7D"/>
          <w:w w:val="120"/>
          <w:sz w:val="15"/>
          <w:szCs w:val="15"/>
        </w:rPr>
        <w:t>FLOOR BOSTON</w:t>
      </w:r>
      <w:r>
        <w:rPr>
          <w:rFonts w:ascii="Arial" w:hAnsi="Arial" w:cs="Arial"/>
          <w:color w:val="989898"/>
          <w:w w:val="120"/>
          <w:sz w:val="15"/>
          <w:szCs w:val="15"/>
        </w:rPr>
        <w:t>,</w:t>
      </w:r>
      <w:r>
        <w:rPr>
          <w:rFonts w:ascii="Arial" w:hAnsi="Arial" w:cs="Arial"/>
          <w:color w:val="989898"/>
          <w:spacing w:val="-40"/>
          <w:w w:val="120"/>
          <w:sz w:val="15"/>
          <w:szCs w:val="15"/>
        </w:rPr>
        <w:t xml:space="preserve"> </w:t>
      </w:r>
      <w:r>
        <w:rPr>
          <w:rFonts w:ascii="Arial" w:hAnsi="Arial" w:cs="Arial"/>
          <w:color w:val="7D7D7D"/>
          <w:w w:val="120"/>
          <w:sz w:val="15"/>
          <w:szCs w:val="15"/>
        </w:rPr>
        <w:t xml:space="preserve">MASSACHUSETTS </w:t>
      </w:r>
      <w:r>
        <w:rPr>
          <w:rFonts w:ascii="Arial" w:hAnsi="Arial" w:cs="Arial"/>
          <w:color w:val="7D7D7D"/>
          <w:spacing w:val="3"/>
          <w:w w:val="120"/>
          <w:sz w:val="15"/>
          <w:szCs w:val="15"/>
        </w:rPr>
        <w:t>02108</w:t>
      </w:r>
    </w:p>
    <w:p w:rsidR="002C5025" w:rsidRDefault="002C5025">
      <w:pPr>
        <w:pStyle w:val="BodyText"/>
        <w:kinsoku w:val="0"/>
        <w:overflowPunct w:val="0"/>
        <w:ind w:left="96" w:right="685"/>
        <w:jc w:val="center"/>
        <w:rPr>
          <w:rFonts w:ascii="Arial" w:hAnsi="Arial" w:cs="Arial"/>
          <w:color w:val="7D7D7D"/>
          <w:w w:val="120"/>
          <w:sz w:val="15"/>
          <w:szCs w:val="15"/>
        </w:rPr>
      </w:pPr>
      <w:r>
        <w:rPr>
          <w:rFonts w:ascii="Arial" w:hAnsi="Arial" w:cs="Arial"/>
          <w:color w:val="7D7D7D"/>
          <w:w w:val="120"/>
          <w:sz w:val="15"/>
          <w:szCs w:val="15"/>
        </w:rPr>
        <w:t>TEL:  (617) 338-2345</w:t>
      </w:r>
    </w:p>
    <w:p w:rsidR="002C5025" w:rsidRDefault="002C5025">
      <w:pPr>
        <w:pStyle w:val="BodyText"/>
        <w:kinsoku w:val="0"/>
        <w:overflowPunct w:val="0"/>
        <w:spacing w:before="26"/>
        <w:ind w:left="101" w:right="683"/>
        <w:jc w:val="center"/>
        <w:rPr>
          <w:rFonts w:ascii="Arial" w:hAnsi="Arial" w:cs="Arial"/>
          <w:color w:val="7D7D7D"/>
          <w:w w:val="120"/>
          <w:sz w:val="15"/>
          <w:szCs w:val="15"/>
        </w:rPr>
      </w:pPr>
      <w:r>
        <w:rPr>
          <w:rFonts w:ascii="Arial" w:hAnsi="Arial" w:cs="Arial"/>
          <w:color w:val="7D7D7D"/>
          <w:w w:val="120"/>
          <w:sz w:val="15"/>
          <w:szCs w:val="15"/>
        </w:rPr>
        <w:t>FAX:  (617) 338-2347</w:t>
      </w:r>
    </w:p>
    <w:p w:rsidR="002C5025" w:rsidRDefault="00FD19EE">
      <w:pPr>
        <w:pStyle w:val="BodyText"/>
        <w:kinsoku w:val="0"/>
        <w:overflowPunct w:val="0"/>
        <w:spacing w:before="13"/>
        <w:ind w:left="81" w:right="685"/>
        <w:jc w:val="center"/>
        <w:rPr>
          <w:rFonts w:ascii="Times New Roman" w:hAnsi="Times New Roman" w:cs="Times New Roman"/>
          <w:color w:val="7D7D7D"/>
          <w:w w:val="120"/>
          <w:sz w:val="16"/>
          <w:szCs w:val="16"/>
        </w:rPr>
      </w:pPr>
      <w:hyperlink r:id="rId516" w:history="1">
        <w:r w:rsidR="002C5025">
          <w:rPr>
            <w:rFonts w:ascii="Times New Roman" w:hAnsi="Times New Roman" w:cs="Times New Roman"/>
            <w:color w:val="7D7D7D"/>
            <w:w w:val="120"/>
            <w:sz w:val="16"/>
            <w:szCs w:val="16"/>
          </w:rPr>
          <w:t>www.mhlac.org</w:t>
        </w:r>
      </w:hyperlink>
    </w:p>
    <w:p w:rsidR="002C5025" w:rsidRDefault="002C5025">
      <w:pPr>
        <w:pStyle w:val="BodyText"/>
        <w:kinsoku w:val="0"/>
        <w:overflowPunct w:val="0"/>
        <w:rPr>
          <w:rFonts w:ascii="Times New Roman" w:hAnsi="Times New Roman" w:cs="Times New Roman"/>
          <w:sz w:val="16"/>
          <w:szCs w:val="16"/>
        </w:rPr>
      </w:pPr>
    </w:p>
    <w:p w:rsidR="002C5025" w:rsidRDefault="002C5025">
      <w:pPr>
        <w:pStyle w:val="BodyText"/>
        <w:kinsoku w:val="0"/>
        <w:overflowPunct w:val="0"/>
        <w:rPr>
          <w:rFonts w:ascii="Times New Roman" w:hAnsi="Times New Roman" w:cs="Times New Roman"/>
          <w:sz w:val="16"/>
          <w:szCs w:val="16"/>
        </w:rPr>
      </w:pPr>
    </w:p>
    <w:p w:rsidR="002C5025" w:rsidRDefault="002C5025">
      <w:pPr>
        <w:pStyle w:val="BodyText"/>
        <w:kinsoku w:val="0"/>
        <w:overflowPunct w:val="0"/>
        <w:rPr>
          <w:rFonts w:ascii="Times New Roman" w:hAnsi="Times New Roman" w:cs="Times New Roman"/>
          <w:sz w:val="16"/>
          <w:szCs w:val="16"/>
        </w:rPr>
      </w:pPr>
    </w:p>
    <w:p w:rsidR="002C5025" w:rsidRDefault="002C5025">
      <w:pPr>
        <w:pStyle w:val="BodyText"/>
        <w:kinsoku w:val="0"/>
        <w:overflowPunct w:val="0"/>
        <w:rPr>
          <w:rFonts w:ascii="Times New Roman" w:hAnsi="Times New Roman" w:cs="Times New Roman"/>
          <w:sz w:val="16"/>
          <w:szCs w:val="16"/>
        </w:rPr>
      </w:pPr>
    </w:p>
    <w:p w:rsidR="002C5025" w:rsidRDefault="002C5025">
      <w:pPr>
        <w:pStyle w:val="BodyText"/>
        <w:kinsoku w:val="0"/>
        <w:overflowPunct w:val="0"/>
        <w:rPr>
          <w:rFonts w:ascii="Times New Roman" w:hAnsi="Times New Roman" w:cs="Times New Roman"/>
          <w:sz w:val="16"/>
          <w:szCs w:val="16"/>
        </w:rPr>
      </w:pPr>
    </w:p>
    <w:p w:rsidR="002C5025" w:rsidRDefault="002C5025">
      <w:pPr>
        <w:pStyle w:val="BodyText"/>
        <w:kinsoku w:val="0"/>
        <w:overflowPunct w:val="0"/>
        <w:rPr>
          <w:rFonts w:ascii="Times New Roman" w:hAnsi="Times New Roman" w:cs="Times New Roman"/>
          <w:sz w:val="16"/>
          <w:szCs w:val="16"/>
        </w:rPr>
      </w:pPr>
    </w:p>
    <w:p w:rsidR="002C5025" w:rsidRDefault="002C5025">
      <w:pPr>
        <w:pStyle w:val="BodyText"/>
        <w:kinsoku w:val="0"/>
        <w:overflowPunct w:val="0"/>
        <w:rPr>
          <w:rFonts w:ascii="Times New Roman" w:hAnsi="Times New Roman" w:cs="Times New Roman"/>
          <w:sz w:val="16"/>
          <w:szCs w:val="16"/>
        </w:rPr>
      </w:pPr>
    </w:p>
    <w:p w:rsidR="002C5025" w:rsidRDefault="002C5025">
      <w:pPr>
        <w:pStyle w:val="BodyText"/>
        <w:kinsoku w:val="0"/>
        <w:overflowPunct w:val="0"/>
        <w:rPr>
          <w:rFonts w:ascii="Times New Roman" w:hAnsi="Times New Roman" w:cs="Times New Roman"/>
          <w:sz w:val="16"/>
          <w:szCs w:val="16"/>
        </w:rPr>
      </w:pPr>
    </w:p>
    <w:p w:rsidR="002C5025" w:rsidRDefault="002C5025">
      <w:pPr>
        <w:pStyle w:val="BodyText"/>
        <w:kinsoku w:val="0"/>
        <w:overflowPunct w:val="0"/>
        <w:rPr>
          <w:rFonts w:ascii="Times New Roman" w:hAnsi="Times New Roman" w:cs="Times New Roman"/>
          <w:sz w:val="16"/>
          <w:szCs w:val="16"/>
        </w:rPr>
      </w:pPr>
    </w:p>
    <w:p w:rsidR="002C5025" w:rsidRDefault="002C5025">
      <w:pPr>
        <w:pStyle w:val="BodyText"/>
        <w:kinsoku w:val="0"/>
        <w:overflowPunct w:val="0"/>
        <w:spacing w:before="9"/>
        <w:rPr>
          <w:rFonts w:ascii="Times New Roman" w:hAnsi="Times New Roman" w:cs="Times New Roman"/>
          <w:sz w:val="17"/>
          <w:szCs w:val="17"/>
        </w:rPr>
      </w:pPr>
    </w:p>
    <w:p w:rsidR="002C5025" w:rsidRDefault="002C5025">
      <w:pPr>
        <w:pStyle w:val="BodyText"/>
        <w:kinsoku w:val="0"/>
        <w:overflowPunct w:val="0"/>
        <w:spacing w:before="1"/>
        <w:ind w:left="40" w:right="685"/>
        <w:jc w:val="center"/>
        <w:rPr>
          <w:rFonts w:ascii="Times New Roman" w:hAnsi="Times New Roman" w:cs="Times New Roman"/>
          <w:color w:val="535353"/>
          <w:sz w:val="27"/>
          <w:szCs w:val="27"/>
        </w:rPr>
      </w:pPr>
      <w:r>
        <w:rPr>
          <w:rFonts w:ascii="Times New Roman" w:hAnsi="Times New Roman" w:cs="Times New Roman"/>
          <w:color w:val="535353"/>
          <w:sz w:val="27"/>
          <w:szCs w:val="27"/>
        </w:rPr>
        <w:t>July  14, 2016</w:t>
      </w:r>
    </w:p>
    <w:p w:rsidR="002C5025" w:rsidRDefault="002C5025">
      <w:pPr>
        <w:pStyle w:val="BodyText"/>
        <w:kinsoku w:val="0"/>
        <w:overflowPunct w:val="0"/>
        <w:spacing w:before="1"/>
        <w:ind w:left="40" w:right="685"/>
        <w:jc w:val="center"/>
        <w:rPr>
          <w:rFonts w:ascii="Times New Roman" w:hAnsi="Times New Roman" w:cs="Times New Roman"/>
          <w:color w:val="535353"/>
          <w:sz w:val="27"/>
          <w:szCs w:val="27"/>
        </w:rPr>
        <w:sectPr w:rsidR="002C5025">
          <w:type w:val="continuous"/>
          <w:pgSz w:w="12240" w:h="15840"/>
          <w:pgMar w:top="720" w:right="1380" w:bottom="280" w:left="1000" w:header="720" w:footer="720" w:gutter="0"/>
          <w:cols w:num="2" w:space="720" w:equalWidth="0">
            <w:col w:w="1574" w:space="447"/>
            <w:col w:w="7839"/>
          </w:cols>
          <w:noEndnote/>
        </w:sect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18"/>
          <w:szCs w:val="18"/>
        </w:rPr>
      </w:pPr>
    </w:p>
    <w:p w:rsidR="002C5025" w:rsidRDefault="002C5025">
      <w:pPr>
        <w:pStyle w:val="BodyText"/>
        <w:kinsoku w:val="0"/>
        <w:overflowPunct w:val="0"/>
        <w:spacing w:before="67"/>
        <w:ind w:left="586" w:right="5945"/>
        <w:rPr>
          <w:rFonts w:ascii="Times New Roman" w:hAnsi="Times New Roman" w:cs="Times New Roman"/>
          <w:color w:val="535353"/>
          <w:sz w:val="27"/>
          <w:szCs w:val="27"/>
        </w:rPr>
      </w:pPr>
      <w:r>
        <w:rPr>
          <w:rFonts w:ascii="Times New Roman" w:hAnsi="Times New Roman" w:cs="Times New Roman"/>
          <w:color w:val="535353"/>
          <w:sz w:val="27"/>
          <w:szCs w:val="27"/>
        </w:rPr>
        <w:t>EOHHS Office of Medicaid</w:t>
      </w:r>
    </w:p>
    <w:p w:rsidR="002C5025" w:rsidRDefault="002C5025">
      <w:pPr>
        <w:pStyle w:val="BodyText"/>
        <w:kinsoku w:val="0"/>
        <w:overflowPunct w:val="0"/>
        <w:spacing w:before="6" w:line="247" w:lineRule="auto"/>
        <w:ind w:left="581" w:right="4889"/>
        <w:rPr>
          <w:rFonts w:ascii="Times New Roman" w:hAnsi="Times New Roman" w:cs="Times New Roman"/>
          <w:color w:val="535353"/>
          <w:sz w:val="27"/>
          <w:szCs w:val="27"/>
        </w:rPr>
      </w:pPr>
      <w:r>
        <w:rPr>
          <w:rFonts w:ascii="Times New Roman" w:hAnsi="Times New Roman" w:cs="Times New Roman"/>
          <w:color w:val="535353"/>
          <w:sz w:val="27"/>
          <w:szCs w:val="27"/>
        </w:rPr>
        <w:t>Attn: 1115 Demonstration Comments One Ashburton Place, 11th Floor Boston, MA 02108</w:t>
      </w:r>
    </w:p>
    <w:p w:rsidR="002C5025" w:rsidRDefault="002C5025">
      <w:pPr>
        <w:pStyle w:val="BodyText"/>
        <w:kinsoku w:val="0"/>
        <w:overflowPunct w:val="0"/>
        <w:rPr>
          <w:rFonts w:ascii="Times New Roman" w:hAnsi="Times New Roman" w:cs="Times New Roman"/>
          <w:sz w:val="26"/>
          <w:szCs w:val="26"/>
        </w:rPr>
      </w:pPr>
    </w:p>
    <w:p w:rsidR="002C5025" w:rsidRDefault="002C5025">
      <w:pPr>
        <w:pStyle w:val="BodyText"/>
        <w:kinsoku w:val="0"/>
        <w:overflowPunct w:val="0"/>
        <w:spacing w:before="3"/>
        <w:rPr>
          <w:rFonts w:ascii="Times New Roman" w:hAnsi="Times New Roman" w:cs="Times New Roman"/>
          <w:sz w:val="29"/>
          <w:szCs w:val="29"/>
        </w:rPr>
      </w:pPr>
    </w:p>
    <w:p w:rsidR="002C5025" w:rsidRDefault="002C5025">
      <w:pPr>
        <w:pStyle w:val="BodyText"/>
        <w:tabs>
          <w:tab w:val="left" w:pos="4627"/>
        </w:tabs>
        <w:kinsoku w:val="0"/>
        <w:overflowPunct w:val="0"/>
        <w:ind w:left="586" w:right="374"/>
        <w:rPr>
          <w:rFonts w:ascii="Times New Roman" w:hAnsi="Times New Roman" w:cs="Times New Roman"/>
          <w:color w:val="7D7D7D"/>
          <w:spacing w:val="4"/>
          <w:sz w:val="27"/>
          <w:szCs w:val="27"/>
        </w:rPr>
      </w:pPr>
      <w:r>
        <w:rPr>
          <w:rFonts w:ascii="Times New Roman" w:hAnsi="Times New Roman" w:cs="Times New Roman"/>
          <w:color w:val="535353"/>
          <w:sz w:val="27"/>
          <w:szCs w:val="27"/>
        </w:rPr>
        <w:t xml:space="preserve">RE: </w:t>
      </w:r>
      <w:r>
        <w:rPr>
          <w:rFonts w:ascii="Times New Roman" w:hAnsi="Times New Roman" w:cs="Times New Roman"/>
          <w:color w:val="7D7D7D"/>
          <w:spacing w:val="4"/>
          <w:sz w:val="27"/>
          <w:szCs w:val="27"/>
          <w:u w:val="single" w:color="000000"/>
        </w:rPr>
        <w:t xml:space="preserve">1115 </w:t>
      </w:r>
      <w:r>
        <w:rPr>
          <w:rFonts w:ascii="Times New Roman" w:hAnsi="Times New Roman" w:cs="Times New Roman"/>
          <w:color w:val="7D7D7D"/>
          <w:sz w:val="27"/>
          <w:szCs w:val="27"/>
          <w:u w:val="single" w:color="000000"/>
        </w:rPr>
        <w:t xml:space="preserve">Demonstration </w:t>
      </w:r>
      <w:r>
        <w:rPr>
          <w:rFonts w:ascii="Times New Roman" w:hAnsi="Times New Roman" w:cs="Times New Roman"/>
          <w:color w:val="7D7D7D"/>
          <w:spacing w:val="2"/>
          <w:sz w:val="27"/>
          <w:szCs w:val="27"/>
          <w:u w:val="single" w:color="000000"/>
        </w:rPr>
        <w:t xml:space="preserve"> </w:t>
      </w:r>
      <w:r>
        <w:rPr>
          <w:rFonts w:ascii="Times New Roman" w:hAnsi="Times New Roman" w:cs="Times New Roman"/>
          <w:color w:val="7D7D7D"/>
          <w:sz w:val="27"/>
          <w:szCs w:val="27"/>
          <w:u w:val="single" w:color="000000"/>
        </w:rPr>
        <w:t>Extension</w:t>
      </w:r>
      <w:r>
        <w:rPr>
          <w:rFonts w:ascii="Times New Roman" w:hAnsi="Times New Roman" w:cs="Times New Roman"/>
          <w:color w:val="7D7D7D"/>
          <w:sz w:val="27"/>
          <w:szCs w:val="27"/>
          <w:u w:val="single" w:color="000000"/>
        </w:rPr>
        <w:tab/>
      </w:r>
    </w:p>
    <w:p w:rsidR="002C5025" w:rsidRDefault="002C5025">
      <w:pPr>
        <w:pStyle w:val="BodyText"/>
        <w:kinsoku w:val="0"/>
        <w:overflowPunct w:val="0"/>
        <w:spacing w:before="11"/>
        <w:rPr>
          <w:rFonts w:ascii="Times New Roman" w:hAnsi="Times New Roman" w:cs="Times New Roman"/>
        </w:rPr>
      </w:pPr>
    </w:p>
    <w:p w:rsidR="002C5025" w:rsidRDefault="002C5025">
      <w:pPr>
        <w:pStyle w:val="BodyText"/>
        <w:kinsoku w:val="0"/>
        <w:overflowPunct w:val="0"/>
        <w:spacing w:before="66"/>
        <w:ind w:left="581" w:right="5945"/>
        <w:rPr>
          <w:rFonts w:ascii="Times New Roman" w:hAnsi="Times New Roman" w:cs="Times New Roman"/>
          <w:color w:val="535353"/>
          <w:sz w:val="27"/>
          <w:szCs w:val="27"/>
        </w:rPr>
      </w:pPr>
      <w:r>
        <w:rPr>
          <w:rFonts w:ascii="Times New Roman" w:hAnsi="Times New Roman" w:cs="Times New Roman"/>
          <w:color w:val="7D7D7D"/>
          <w:sz w:val="27"/>
          <w:szCs w:val="27"/>
          <w:u w:val="single" w:color="000000"/>
        </w:rPr>
        <w:t xml:space="preserve">Request </w:t>
      </w:r>
      <w:r>
        <w:rPr>
          <w:rFonts w:ascii="Times New Roman" w:hAnsi="Times New Roman" w:cs="Times New Roman"/>
          <w:color w:val="535353"/>
          <w:sz w:val="27"/>
          <w:szCs w:val="27"/>
        </w:rPr>
        <w:t>Dear Sir/Ms.:</w:t>
      </w:r>
    </w:p>
    <w:p w:rsidR="002C5025" w:rsidRDefault="002C5025">
      <w:pPr>
        <w:pStyle w:val="BodyText"/>
        <w:kinsoku w:val="0"/>
        <w:overflowPunct w:val="0"/>
        <w:spacing w:before="9"/>
        <w:rPr>
          <w:rFonts w:ascii="Times New Roman" w:hAnsi="Times New Roman" w:cs="Times New Roman"/>
          <w:sz w:val="23"/>
          <w:szCs w:val="23"/>
        </w:rPr>
      </w:pPr>
    </w:p>
    <w:p w:rsidR="002C5025" w:rsidRDefault="002C5025">
      <w:pPr>
        <w:pStyle w:val="BodyText"/>
        <w:kinsoku w:val="0"/>
        <w:overflowPunct w:val="0"/>
        <w:spacing w:before="66" w:line="244" w:lineRule="auto"/>
        <w:ind w:left="571" w:right="262" w:firstLine="10"/>
        <w:rPr>
          <w:rFonts w:ascii="Times New Roman" w:hAnsi="Times New Roman" w:cs="Times New Roman"/>
          <w:color w:val="535353"/>
          <w:sz w:val="27"/>
          <w:szCs w:val="27"/>
        </w:rPr>
      </w:pPr>
      <w:r>
        <w:rPr>
          <w:rFonts w:ascii="Times New Roman" w:hAnsi="Times New Roman" w:cs="Times New Roman"/>
          <w:color w:val="535353"/>
          <w:sz w:val="27"/>
          <w:szCs w:val="27"/>
        </w:rPr>
        <w:t>Mental Health Legal Advisors Committee (MHLAC), an agency under the Massachusetts Supreme Court that represents low-income persons with psychiatric challenges, applauds many elements of the Waiver Request proposed by the Office of Medicaid. However, if integration of behavioral and physical health care and payment reform are to produce the outcomes desired by all stakeholders, the   request must be modified</w:t>
      </w:r>
      <w:r>
        <w:rPr>
          <w:rFonts w:ascii="Times New Roman" w:hAnsi="Times New Roman" w:cs="Times New Roman"/>
          <w:color w:val="535353"/>
          <w:spacing w:val="46"/>
          <w:sz w:val="27"/>
          <w:szCs w:val="27"/>
        </w:rPr>
        <w:t xml:space="preserve"> </w:t>
      </w:r>
      <w:r>
        <w:rPr>
          <w:rFonts w:ascii="Times New Roman" w:hAnsi="Times New Roman" w:cs="Times New Roman"/>
          <w:color w:val="535353"/>
          <w:sz w:val="27"/>
          <w:szCs w:val="27"/>
        </w:rPr>
        <w:t>to:</w:t>
      </w:r>
    </w:p>
    <w:p w:rsidR="002C5025" w:rsidRDefault="002C5025">
      <w:pPr>
        <w:pStyle w:val="BodyText"/>
        <w:kinsoku w:val="0"/>
        <w:overflowPunct w:val="0"/>
        <w:spacing w:before="5"/>
        <w:rPr>
          <w:rFonts w:ascii="Times New Roman" w:hAnsi="Times New Roman" w:cs="Times New Roman"/>
          <w:sz w:val="29"/>
          <w:szCs w:val="29"/>
        </w:rPr>
      </w:pPr>
    </w:p>
    <w:p w:rsidR="002C5025" w:rsidRDefault="002C5025">
      <w:pPr>
        <w:pStyle w:val="ListParagraph"/>
        <w:numPr>
          <w:ilvl w:val="3"/>
          <w:numId w:val="6"/>
        </w:numPr>
        <w:tabs>
          <w:tab w:val="left" w:pos="1288"/>
        </w:tabs>
        <w:kinsoku w:val="0"/>
        <w:overflowPunct w:val="0"/>
        <w:spacing w:line="242" w:lineRule="auto"/>
        <w:ind w:right="105"/>
        <w:rPr>
          <w:color w:val="535353"/>
          <w:sz w:val="27"/>
          <w:szCs w:val="27"/>
        </w:rPr>
      </w:pPr>
      <w:r>
        <w:rPr>
          <w:color w:val="535353"/>
          <w:sz w:val="27"/>
          <w:szCs w:val="27"/>
        </w:rPr>
        <w:t>Eliminate the 12-month lock-in of members (see attached comments of April 21,</w:t>
      </w:r>
      <w:r>
        <w:rPr>
          <w:color w:val="535353"/>
          <w:spacing w:val="24"/>
          <w:sz w:val="27"/>
          <w:szCs w:val="27"/>
        </w:rPr>
        <w:t xml:space="preserve"> </w:t>
      </w:r>
      <w:r>
        <w:rPr>
          <w:color w:val="535353"/>
          <w:sz w:val="27"/>
          <w:szCs w:val="27"/>
        </w:rPr>
        <w:t>2016);</w:t>
      </w:r>
    </w:p>
    <w:p w:rsidR="002C5025" w:rsidRDefault="002C5025">
      <w:pPr>
        <w:pStyle w:val="ListParagraph"/>
        <w:numPr>
          <w:ilvl w:val="3"/>
          <w:numId w:val="6"/>
        </w:numPr>
        <w:tabs>
          <w:tab w:val="left" w:pos="1283"/>
        </w:tabs>
        <w:kinsoku w:val="0"/>
        <w:overflowPunct w:val="0"/>
        <w:spacing w:before="34" w:line="242" w:lineRule="auto"/>
        <w:ind w:left="1281" w:right="284" w:hanging="342"/>
        <w:rPr>
          <w:color w:val="535353"/>
          <w:sz w:val="27"/>
          <w:szCs w:val="27"/>
        </w:rPr>
      </w:pPr>
      <w:r>
        <w:rPr>
          <w:color w:val="535353"/>
          <w:sz w:val="27"/>
          <w:szCs w:val="27"/>
        </w:rPr>
        <w:t>Provide for continuity of care and access to timely and appropriate services through out-of-network  single-case</w:t>
      </w:r>
      <w:r>
        <w:rPr>
          <w:color w:val="535353"/>
          <w:spacing w:val="3"/>
          <w:sz w:val="27"/>
          <w:szCs w:val="27"/>
        </w:rPr>
        <w:t xml:space="preserve"> </w:t>
      </w:r>
      <w:r>
        <w:rPr>
          <w:color w:val="535353"/>
          <w:sz w:val="27"/>
          <w:szCs w:val="27"/>
        </w:rPr>
        <w:t>agreements;</w:t>
      </w:r>
    </w:p>
    <w:p w:rsidR="002C5025" w:rsidRDefault="002C5025">
      <w:pPr>
        <w:pStyle w:val="ListParagraph"/>
        <w:numPr>
          <w:ilvl w:val="3"/>
          <w:numId w:val="6"/>
        </w:numPr>
        <w:tabs>
          <w:tab w:val="left" w:pos="1288"/>
        </w:tabs>
        <w:kinsoku w:val="0"/>
        <w:overflowPunct w:val="0"/>
        <w:spacing w:before="27"/>
        <w:rPr>
          <w:color w:val="535353"/>
          <w:sz w:val="27"/>
          <w:szCs w:val="27"/>
        </w:rPr>
      </w:pPr>
      <w:r>
        <w:rPr>
          <w:color w:val="535353"/>
          <w:sz w:val="27"/>
          <w:szCs w:val="27"/>
        </w:rPr>
        <w:t xml:space="preserve">Mandate ACO adoption of One Care privacy principles and best </w:t>
      </w:r>
      <w:r>
        <w:rPr>
          <w:color w:val="535353"/>
          <w:spacing w:val="42"/>
          <w:sz w:val="27"/>
          <w:szCs w:val="27"/>
        </w:rPr>
        <w:t xml:space="preserve"> </w:t>
      </w:r>
      <w:r>
        <w:rPr>
          <w:color w:val="535353"/>
          <w:sz w:val="27"/>
          <w:szCs w:val="27"/>
        </w:rPr>
        <w:t>practices;</w:t>
      </w:r>
    </w:p>
    <w:p w:rsidR="002C5025" w:rsidRDefault="002C5025">
      <w:pPr>
        <w:pStyle w:val="ListParagraph"/>
        <w:numPr>
          <w:ilvl w:val="3"/>
          <w:numId w:val="6"/>
        </w:numPr>
        <w:tabs>
          <w:tab w:val="left" w:pos="1288"/>
        </w:tabs>
        <w:kinsoku w:val="0"/>
        <w:overflowPunct w:val="0"/>
        <w:spacing w:before="27"/>
        <w:rPr>
          <w:color w:val="535353"/>
          <w:sz w:val="27"/>
          <w:szCs w:val="27"/>
        </w:rPr>
        <w:sectPr w:rsidR="002C5025">
          <w:type w:val="continuous"/>
          <w:pgSz w:w="12240" w:h="15840"/>
          <w:pgMar w:top="720" w:right="1380" w:bottom="280" w:left="1000" w:header="720" w:footer="720" w:gutter="0"/>
          <w:cols w:space="720" w:equalWidth="0">
            <w:col w:w="9860"/>
          </w:cols>
          <w:noEndnote/>
        </w:sectPr>
      </w:pPr>
    </w:p>
    <w:p w:rsidR="002C5025" w:rsidRDefault="002C5025">
      <w:pPr>
        <w:pStyle w:val="ListParagraph"/>
        <w:numPr>
          <w:ilvl w:val="0"/>
          <w:numId w:val="30"/>
        </w:numPr>
        <w:tabs>
          <w:tab w:val="left" w:pos="816"/>
        </w:tabs>
        <w:kinsoku w:val="0"/>
        <w:overflowPunct w:val="0"/>
        <w:spacing w:before="37" w:line="249" w:lineRule="auto"/>
        <w:ind w:right="640" w:hanging="350"/>
        <w:jc w:val="both"/>
        <w:rPr>
          <w:rFonts w:ascii="Arial" w:hAnsi="Arial" w:cs="Arial"/>
          <w:color w:val="4F4F4F"/>
          <w:position w:val="7"/>
          <w:sz w:val="16"/>
          <w:szCs w:val="16"/>
        </w:rPr>
      </w:pPr>
      <w:r>
        <w:rPr>
          <w:color w:val="4F4F4F"/>
          <w:sz w:val="27"/>
          <w:szCs w:val="27"/>
        </w:rPr>
        <w:lastRenderedPageBreak/>
        <w:t>Cover out-of-network, independent second-opinions for the purposes of appealing a denial of services by an ACO or its provider at no additional cost to the member;</w:t>
      </w:r>
      <w:r>
        <w:rPr>
          <w:color w:val="4F4F4F"/>
          <w:spacing w:val="-40"/>
          <w:sz w:val="27"/>
          <w:szCs w:val="27"/>
        </w:rPr>
        <w:t xml:space="preserve"> </w:t>
      </w:r>
      <w:r>
        <w:rPr>
          <w:rFonts w:ascii="Arial" w:hAnsi="Arial" w:cs="Arial"/>
          <w:color w:val="4F4F4F"/>
          <w:position w:val="7"/>
          <w:sz w:val="16"/>
          <w:szCs w:val="16"/>
        </w:rPr>
        <w:t>1</w:t>
      </w:r>
    </w:p>
    <w:p w:rsidR="002C5025" w:rsidRDefault="002C5025">
      <w:pPr>
        <w:pStyle w:val="ListParagraph"/>
        <w:numPr>
          <w:ilvl w:val="0"/>
          <w:numId w:val="30"/>
        </w:numPr>
        <w:tabs>
          <w:tab w:val="left" w:pos="816"/>
        </w:tabs>
        <w:kinsoku w:val="0"/>
        <w:overflowPunct w:val="0"/>
        <w:spacing w:before="11"/>
        <w:ind w:left="816"/>
        <w:rPr>
          <w:color w:val="4F4F4F"/>
          <w:sz w:val="27"/>
          <w:szCs w:val="27"/>
        </w:rPr>
      </w:pPr>
      <w:r>
        <w:rPr>
          <w:color w:val="4F4F4F"/>
          <w:sz w:val="27"/>
          <w:szCs w:val="27"/>
        </w:rPr>
        <w:t>Eliminate financial and service penalization of FFS</w:t>
      </w:r>
      <w:r>
        <w:rPr>
          <w:color w:val="4F4F4F"/>
          <w:spacing w:val="55"/>
          <w:sz w:val="27"/>
          <w:szCs w:val="27"/>
        </w:rPr>
        <w:t xml:space="preserve"> </w:t>
      </w:r>
      <w:r>
        <w:rPr>
          <w:color w:val="4F4F4F"/>
          <w:sz w:val="27"/>
          <w:szCs w:val="27"/>
        </w:rPr>
        <w:t>members;</w:t>
      </w:r>
    </w:p>
    <w:p w:rsidR="002C5025" w:rsidRDefault="002C5025">
      <w:pPr>
        <w:pStyle w:val="ListParagraph"/>
        <w:numPr>
          <w:ilvl w:val="0"/>
          <w:numId w:val="30"/>
        </w:numPr>
        <w:tabs>
          <w:tab w:val="left" w:pos="816"/>
        </w:tabs>
        <w:kinsoku w:val="0"/>
        <w:overflowPunct w:val="0"/>
        <w:spacing w:before="25" w:line="249" w:lineRule="auto"/>
        <w:ind w:left="816" w:right="356"/>
        <w:jc w:val="both"/>
        <w:rPr>
          <w:color w:val="4F4F4F"/>
          <w:sz w:val="27"/>
          <w:szCs w:val="27"/>
        </w:rPr>
      </w:pPr>
      <w:r>
        <w:rPr>
          <w:color w:val="4F4F4F"/>
          <w:sz w:val="27"/>
          <w:szCs w:val="27"/>
        </w:rPr>
        <w:t>Close monitoring of under-utilization and outcomes for each ACO through standardized data reporting of service utilization and outcomes, which data is available to the public,</w:t>
      </w:r>
      <w:r>
        <w:rPr>
          <w:color w:val="4F4F4F"/>
          <w:spacing w:val="18"/>
          <w:sz w:val="27"/>
          <w:szCs w:val="27"/>
        </w:rPr>
        <w:t xml:space="preserve"> </w:t>
      </w:r>
      <w:r>
        <w:rPr>
          <w:color w:val="4F4F4F"/>
          <w:sz w:val="27"/>
          <w:szCs w:val="27"/>
        </w:rPr>
        <w:t>and</w:t>
      </w:r>
    </w:p>
    <w:p w:rsidR="002C5025" w:rsidRDefault="002C5025">
      <w:pPr>
        <w:pStyle w:val="ListParagraph"/>
        <w:numPr>
          <w:ilvl w:val="0"/>
          <w:numId w:val="30"/>
        </w:numPr>
        <w:tabs>
          <w:tab w:val="left" w:pos="814"/>
        </w:tabs>
        <w:kinsoku w:val="0"/>
        <w:overflowPunct w:val="0"/>
        <w:spacing w:before="13" w:line="249" w:lineRule="auto"/>
        <w:ind w:left="816" w:right="278"/>
        <w:rPr>
          <w:color w:val="4F4F4F"/>
          <w:sz w:val="27"/>
          <w:szCs w:val="27"/>
        </w:rPr>
      </w:pPr>
      <w:r>
        <w:rPr>
          <w:color w:val="4F4F4F"/>
          <w:sz w:val="27"/>
          <w:szCs w:val="27"/>
        </w:rPr>
        <w:t>Meaningful participation of members and their advocates</w:t>
      </w:r>
      <w:r>
        <w:rPr>
          <w:color w:val="4F4F4F"/>
          <w:position w:val="7"/>
          <w:sz w:val="18"/>
          <w:szCs w:val="18"/>
        </w:rPr>
        <w:t xml:space="preserve">2 </w:t>
      </w:r>
      <w:r>
        <w:rPr>
          <w:color w:val="4F4F4F"/>
          <w:sz w:val="27"/>
          <w:szCs w:val="27"/>
        </w:rPr>
        <w:t xml:space="preserve">in the development of outcome measurements, </w:t>
      </w:r>
      <w:r>
        <w:rPr>
          <w:color w:val="4F4F4F"/>
          <w:position w:val="6"/>
          <w:sz w:val="17"/>
          <w:szCs w:val="17"/>
        </w:rPr>
        <w:t xml:space="preserve">3 </w:t>
      </w:r>
      <w:r>
        <w:rPr>
          <w:color w:val="4F4F4F"/>
          <w:sz w:val="27"/>
          <w:szCs w:val="27"/>
        </w:rPr>
        <w:t>ACO governance, and MassHealth oversight.</w:t>
      </w:r>
    </w:p>
    <w:p w:rsidR="002C5025" w:rsidRDefault="002C5025">
      <w:pPr>
        <w:pStyle w:val="BodyText"/>
        <w:kinsoku w:val="0"/>
        <w:overflowPunct w:val="0"/>
        <w:spacing w:before="9"/>
        <w:rPr>
          <w:rFonts w:ascii="Times New Roman" w:hAnsi="Times New Roman" w:cs="Times New Roman"/>
          <w:sz w:val="26"/>
          <w:szCs w:val="26"/>
        </w:rPr>
      </w:pPr>
    </w:p>
    <w:p w:rsidR="002C5025" w:rsidRDefault="002C5025">
      <w:pPr>
        <w:pStyle w:val="BodyText"/>
        <w:kinsoku w:val="0"/>
        <w:overflowPunct w:val="0"/>
        <w:spacing w:before="1"/>
        <w:ind w:left="105" w:right="197"/>
        <w:rPr>
          <w:rFonts w:ascii="Times New Roman" w:hAnsi="Times New Roman" w:cs="Times New Roman"/>
          <w:color w:val="4F4F4F"/>
          <w:sz w:val="27"/>
          <w:szCs w:val="27"/>
        </w:rPr>
      </w:pPr>
      <w:r>
        <w:rPr>
          <w:rFonts w:ascii="Times New Roman" w:hAnsi="Times New Roman" w:cs="Times New Roman"/>
          <w:color w:val="4F4F4F"/>
          <w:sz w:val="27"/>
          <w:szCs w:val="27"/>
        </w:rPr>
        <w:t>MHLAC strongly supports:</w:t>
      </w:r>
    </w:p>
    <w:p w:rsidR="002C5025" w:rsidRDefault="002C5025">
      <w:pPr>
        <w:pStyle w:val="BodyText"/>
        <w:kinsoku w:val="0"/>
        <w:overflowPunct w:val="0"/>
        <w:spacing w:before="2"/>
        <w:rPr>
          <w:rFonts w:ascii="Times New Roman" w:hAnsi="Times New Roman" w:cs="Times New Roman"/>
          <w:sz w:val="30"/>
          <w:szCs w:val="30"/>
        </w:rPr>
      </w:pPr>
    </w:p>
    <w:p w:rsidR="002C5025" w:rsidRDefault="002C5025">
      <w:pPr>
        <w:pStyle w:val="ListParagraph"/>
        <w:numPr>
          <w:ilvl w:val="0"/>
          <w:numId w:val="30"/>
        </w:numPr>
        <w:tabs>
          <w:tab w:val="left" w:pos="814"/>
        </w:tabs>
        <w:kinsoku w:val="0"/>
        <w:overflowPunct w:val="0"/>
        <w:spacing w:line="266" w:lineRule="auto"/>
        <w:ind w:left="816" w:right="439"/>
        <w:rPr>
          <w:color w:val="4F4F4F"/>
          <w:sz w:val="27"/>
          <w:szCs w:val="27"/>
        </w:rPr>
      </w:pPr>
      <w:r>
        <w:rPr>
          <w:color w:val="4F4F4F"/>
          <w:sz w:val="27"/>
          <w:szCs w:val="27"/>
        </w:rPr>
        <w:t>The funding and use of flexible services and expenditures to address social determinants of</w:t>
      </w:r>
      <w:r>
        <w:rPr>
          <w:color w:val="4F4F4F"/>
          <w:spacing w:val="7"/>
          <w:sz w:val="27"/>
          <w:szCs w:val="27"/>
        </w:rPr>
        <w:t xml:space="preserve"> </w:t>
      </w:r>
      <w:r>
        <w:rPr>
          <w:color w:val="4F4F4F"/>
          <w:sz w:val="27"/>
          <w:szCs w:val="27"/>
        </w:rPr>
        <w:t>health;</w:t>
      </w:r>
    </w:p>
    <w:p w:rsidR="002C5025" w:rsidRDefault="002C5025">
      <w:pPr>
        <w:pStyle w:val="ListParagraph"/>
        <w:numPr>
          <w:ilvl w:val="0"/>
          <w:numId w:val="30"/>
        </w:numPr>
        <w:tabs>
          <w:tab w:val="left" w:pos="816"/>
        </w:tabs>
        <w:kinsoku w:val="0"/>
        <w:overflowPunct w:val="0"/>
        <w:spacing w:before="16" w:line="264" w:lineRule="auto"/>
        <w:ind w:left="816" w:right="256"/>
        <w:jc w:val="both"/>
        <w:rPr>
          <w:color w:val="4F4F4F"/>
          <w:sz w:val="27"/>
          <w:szCs w:val="27"/>
        </w:rPr>
      </w:pPr>
      <w:r>
        <w:rPr>
          <w:color w:val="4F4F4F"/>
          <w:sz w:val="27"/>
          <w:szCs w:val="27"/>
        </w:rPr>
        <w:t xml:space="preserve">The recognition that person-centered, Recovery Models of care that provide culturally and linguistically competent </w:t>
      </w:r>
      <w:r>
        <w:rPr>
          <w:color w:val="4F4F4F"/>
          <w:spacing w:val="-2"/>
          <w:sz w:val="27"/>
          <w:szCs w:val="27"/>
        </w:rPr>
        <w:t>services</w:t>
      </w:r>
      <w:r>
        <w:rPr>
          <w:color w:val="4F4F4F"/>
          <w:spacing w:val="-2"/>
          <w:position w:val="7"/>
          <w:sz w:val="17"/>
          <w:szCs w:val="17"/>
        </w:rPr>
        <w:t xml:space="preserve">4 </w:t>
      </w:r>
      <w:r>
        <w:rPr>
          <w:color w:val="4F4F4F"/>
          <w:sz w:val="27"/>
          <w:szCs w:val="27"/>
        </w:rPr>
        <w:t>are fundamental to positive outcomes;</w:t>
      </w:r>
    </w:p>
    <w:p w:rsidR="002C5025" w:rsidRDefault="002C5025">
      <w:pPr>
        <w:pStyle w:val="ListParagraph"/>
        <w:numPr>
          <w:ilvl w:val="0"/>
          <w:numId w:val="30"/>
        </w:numPr>
        <w:tabs>
          <w:tab w:val="left" w:pos="816"/>
        </w:tabs>
        <w:kinsoku w:val="0"/>
        <w:overflowPunct w:val="0"/>
        <w:spacing w:before="17"/>
        <w:ind w:left="816"/>
        <w:rPr>
          <w:color w:val="4F4F4F"/>
          <w:sz w:val="18"/>
          <w:szCs w:val="18"/>
        </w:rPr>
      </w:pPr>
      <w:r>
        <w:rPr>
          <w:color w:val="4F4F4F"/>
          <w:sz w:val="27"/>
          <w:szCs w:val="27"/>
        </w:rPr>
        <w:t xml:space="preserve">Inclusion of housing supports in ACO </w:t>
      </w:r>
      <w:r>
        <w:rPr>
          <w:color w:val="4F4F4F"/>
          <w:spacing w:val="7"/>
          <w:sz w:val="27"/>
          <w:szCs w:val="27"/>
        </w:rPr>
        <w:t xml:space="preserve"> </w:t>
      </w:r>
      <w:r>
        <w:rPr>
          <w:color w:val="4F4F4F"/>
          <w:sz w:val="27"/>
          <w:szCs w:val="27"/>
        </w:rPr>
        <w:t>services</w:t>
      </w:r>
      <w:r>
        <w:rPr>
          <w:color w:val="4F4F4F"/>
          <w:position w:val="7"/>
          <w:sz w:val="18"/>
          <w:szCs w:val="18"/>
        </w:rPr>
        <w:t>5</w:t>
      </w:r>
      <w:r>
        <w:rPr>
          <w:color w:val="4F4F4F"/>
          <w:sz w:val="18"/>
          <w:szCs w:val="18"/>
        </w:rPr>
        <w:t>;</w:t>
      </w:r>
    </w:p>
    <w:p w:rsidR="002C5025" w:rsidRDefault="002C5025">
      <w:pPr>
        <w:pStyle w:val="ListParagraph"/>
        <w:numPr>
          <w:ilvl w:val="0"/>
          <w:numId w:val="30"/>
        </w:numPr>
        <w:tabs>
          <w:tab w:val="left" w:pos="812"/>
        </w:tabs>
        <w:kinsoku w:val="0"/>
        <w:overflowPunct w:val="0"/>
        <w:spacing w:before="44"/>
        <w:ind w:left="811" w:hanging="341"/>
        <w:rPr>
          <w:rFonts w:ascii="Arial" w:hAnsi="Arial" w:cs="Arial"/>
          <w:color w:val="4F4F4F"/>
          <w:position w:val="6"/>
          <w:sz w:val="17"/>
          <w:szCs w:val="17"/>
        </w:rPr>
      </w:pPr>
      <w:r>
        <w:rPr>
          <w:color w:val="4F4F4F"/>
          <w:sz w:val="27"/>
          <w:szCs w:val="27"/>
        </w:rPr>
        <w:t xml:space="preserve">Representation of community health workers on teams as equal </w:t>
      </w:r>
      <w:r>
        <w:rPr>
          <w:color w:val="4F4F4F"/>
          <w:spacing w:val="4"/>
          <w:sz w:val="27"/>
          <w:szCs w:val="27"/>
        </w:rPr>
        <w:t xml:space="preserve"> </w:t>
      </w:r>
      <w:r>
        <w:rPr>
          <w:color w:val="4F4F4F"/>
          <w:sz w:val="27"/>
          <w:szCs w:val="27"/>
        </w:rPr>
        <w:t>colleagues;</w:t>
      </w:r>
      <w:r>
        <w:rPr>
          <w:rFonts w:ascii="Arial" w:hAnsi="Arial" w:cs="Arial"/>
          <w:color w:val="4F4F4F"/>
          <w:position w:val="6"/>
          <w:sz w:val="17"/>
          <w:szCs w:val="17"/>
        </w:rPr>
        <w:t>6</w:t>
      </w: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FB027C">
      <w:pPr>
        <w:pStyle w:val="BodyText"/>
        <w:kinsoku w:val="0"/>
        <w:overflowPunct w:val="0"/>
        <w:spacing w:before="4"/>
        <w:rPr>
          <w:rFonts w:ascii="Arial" w:hAnsi="Arial" w:cs="Arial"/>
          <w:sz w:val="10"/>
          <w:szCs w:val="10"/>
        </w:rPr>
      </w:pPr>
      <w:r>
        <w:rPr>
          <w:noProof/>
        </w:rPr>
        <mc:AlternateContent>
          <mc:Choice Requires="wps">
            <w:drawing>
              <wp:anchor distT="0" distB="0" distL="0" distR="0" simplePos="0" relativeHeight="251752960" behindDoc="0" locked="0" layoutInCell="0" allowOverlap="1">
                <wp:simplePos x="0" y="0"/>
                <wp:positionH relativeFrom="page">
                  <wp:posOffset>987425</wp:posOffset>
                </wp:positionH>
                <wp:positionV relativeFrom="paragraph">
                  <wp:posOffset>105410</wp:posOffset>
                </wp:positionV>
                <wp:extent cx="1801495" cy="12700"/>
                <wp:effectExtent l="0" t="0" r="0" b="0"/>
                <wp:wrapTopAndBottom/>
                <wp:docPr id="212" name="Freeform 7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1495" cy="12700"/>
                        </a:xfrm>
                        <a:custGeom>
                          <a:avLst/>
                          <a:gdLst>
                            <a:gd name="T0" fmla="*/ 0 w 2837"/>
                            <a:gd name="T1" fmla="*/ 0 h 20"/>
                            <a:gd name="T2" fmla="*/ 2837 w 2837"/>
                            <a:gd name="T3" fmla="*/ 0 h 20"/>
                          </a:gdLst>
                          <a:ahLst/>
                          <a:cxnLst>
                            <a:cxn ang="0">
                              <a:pos x="T0" y="T1"/>
                            </a:cxn>
                            <a:cxn ang="0">
                              <a:pos x="T2" y="T3"/>
                            </a:cxn>
                          </a:cxnLst>
                          <a:rect l="0" t="0" r="r" b="b"/>
                          <a:pathLst>
                            <a:path w="2837" h="20">
                              <a:moveTo>
                                <a:pt x="0" y="0"/>
                              </a:moveTo>
                              <a:lnTo>
                                <a:pt x="2837" y="0"/>
                              </a:lnTo>
                            </a:path>
                          </a:pathLst>
                        </a:custGeom>
                        <a:noFill/>
                        <a:ln w="90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40" o:spid="_x0000_s1026" style="position:absolute;z-index:251752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7.75pt,8.3pt,219.6pt,8.3pt" coordsize="283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" o:allowincell="f" filled="f" strokeweight=".25081mm">
                <v:path arrowok="t" o:connecttype="custom" o:connectlocs="0,0;1801495,0" o:connectangles="0,0"/>
                <w10:wrap type="topAndBottom" anchorx="page"/>
              </v:polyline>
            </w:pict>
          </mc:Fallback>
        </mc:AlternateContent>
      </w:r>
    </w:p>
    <w:p w:rsidR="002C5025" w:rsidRDefault="002C5025">
      <w:pPr>
        <w:pStyle w:val="BodyText"/>
        <w:kinsoku w:val="0"/>
        <w:overflowPunct w:val="0"/>
        <w:spacing w:before="48" w:line="247" w:lineRule="auto"/>
        <w:ind w:left="100" w:right="399" w:firstLine="24"/>
        <w:rPr>
          <w:rFonts w:ascii="Times New Roman" w:hAnsi="Times New Roman" w:cs="Times New Roman"/>
          <w:color w:val="4F4F4F"/>
          <w:sz w:val="23"/>
          <w:szCs w:val="23"/>
        </w:rPr>
      </w:pPr>
      <w:r>
        <w:rPr>
          <w:rFonts w:ascii="Times New Roman" w:hAnsi="Times New Roman" w:cs="Times New Roman"/>
          <w:color w:val="4F4F4F"/>
          <w:position w:val="5"/>
          <w:sz w:val="15"/>
          <w:szCs w:val="15"/>
        </w:rPr>
        <w:t>1</w:t>
      </w:r>
      <w:r>
        <w:rPr>
          <w:rFonts w:ascii="Times New Roman" w:hAnsi="Times New Roman" w:cs="Times New Roman"/>
          <w:color w:val="4F4F4F"/>
          <w:sz w:val="23"/>
          <w:szCs w:val="23"/>
        </w:rPr>
        <w:t xml:space="preserve">Financial incentives in the waiver may encourage providers to reduce costs by denying services that are medically necessary but do not increase costs to the ACO in the short-term. Therefore,  the definition of an appealable action must include the refusal of an ACO provider to refer a member to a provider or order services or equipment for a </w:t>
      </w:r>
      <w:r>
        <w:rPr>
          <w:rFonts w:ascii="Times New Roman" w:hAnsi="Times New Roman" w:cs="Times New Roman"/>
          <w:color w:val="4F4F4F"/>
          <w:spacing w:val="23"/>
          <w:sz w:val="23"/>
          <w:szCs w:val="23"/>
        </w:rPr>
        <w:t xml:space="preserve"> </w:t>
      </w:r>
      <w:r>
        <w:rPr>
          <w:rFonts w:ascii="Times New Roman" w:hAnsi="Times New Roman" w:cs="Times New Roman"/>
          <w:color w:val="4F4F4F"/>
          <w:sz w:val="23"/>
          <w:szCs w:val="23"/>
        </w:rPr>
        <w:t>member.</w:t>
      </w:r>
    </w:p>
    <w:p w:rsidR="002C5025" w:rsidRDefault="002C5025">
      <w:pPr>
        <w:pStyle w:val="BodyText"/>
        <w:kinsoku w:val="0"/>
        <w:overflowPunct w:val="0"/>
        <w:spacing w:line="249" w:lineRule="auto"/>
        <w:ind w:left="115" w:right="197" w:hanging="10"/>
        <w:rPr>
          <w:rFonts w:ascii="Times New Roman" w:hAnsi="Times New Roman" w:cs="Times New Roman"/>
          <w:color w:val="4F4F4F"/>
          <w:sz w:val="23"/>
          <w:szCs w:val="23"/>
        </w:rPr>
      </w:pPr>
      <w:r>
        <w:rPr>
          <w:rFonts w:ascii="Times New Roman" w:hAnsi="Times New Roman" w:cs="Times New Roman"/>
          <w:color w:val="4F4F4F"/>
          <w:position w:val="5"/>
          <w:sz w:val="16"/>
          <w:szCs w:val="16"/>
        </w:rPr>
        <w:t xml:space="preserve">2 </w:t>
      </w:r>
      <w:r>
        <w:rPr>
          <w:rFonts w:ascii="Times New Roman" w:hAnsi="Times New Roman" w:cs="Times New Roman"/>
          <w:color w:val="4F4F4F"/>
          <w:sz w:val="23"/>
          <w:szCs w:val="23"/>
        </w:rPr>
        <w:t>Token representation is not meaningful; representation of members and their advocates must be substantial in terms of number and ability to represent member  perspectives.</w:t>
      </w:r>
    </w:p>
    <w:p w:rsidR="002C5025" w:rsidRDefault="002C5025">
      <w:pPr>
        <w:pStyle w:val="BodyText"/>
        <w:kinsoku w:val="0"/>
        <w:overflowPunct w:val="0"/>
        <w:spacing w:line="247" w:lineRule="auto"/>
        <w:ind w:left="105" w:right="399" w:firstLine="4"/>
        <w:rPr>
          <w:rFonts w:ascii="Times New Roman" w:hAnsi="Times New Roman" w:cs="Times New Roman"/>
          <w:color w:val="4F4F4F"/>
          <w:sz w:val="23"/>
          <w:szCs w:val="23"/>
        </w:rPr>
      </w:pPr>
      <w:r>
        <w:rPr>
          <w:rFonts w:ascii="Times New Roman" w:hAnsi="Times New Roman" w:cs="Times New Roman"/>
          <w:color w:val="4F4F4F"/>
          <w:position w:val="5"/>
          <w:sz w:val="16"/>
          <w:szCs w:val="16"/>
        </w:rPr>
        <w:t xml:space="preserve">3 </w:t>
      </w:r>
      <w:r>
        <w:rPr>
          <w:rFonts w:ascii="Times New Roman" w:hAnsi="Times New Roman" w:cs="Times New Roman"/>
          <w:color w:val="4F4F4F"/>
          <w:sz w:val="23"/>
          <w:szCs w:val="23"/>
        </w:rPr>
        <w:t>Patient Reported Outcome Measurements are valuable measurements of the success of any pilot. Please see pages 4-6 of MHLAC's April 30, 2016 comments, attached, for suggestions on quality</w:t>
      </w:r>
      <w:r>
        <w:rPr>
          <w:rFonts w:ascii="Times New Roman" w:hAnsi="Times New Roman" w:cs="Times New Roman"/>
          <w:color w:val="4F4F4F"/>
          <w:spacing w:val="2"/>
          <w:sz w:val="23"/>
          <w:szCs w:val="23"/>
        </w:rPr>
        <w:t xml:space="preserve"> </w:t>
      </w:r>
      <w:r>
        <w:rPr>
          <w:rFonts w:ascii="Times New Roman" w:hAnsi="Times New Roman" w:cs="Times New Roman"/>
          <w:color w:val="4F4F4F"/>
          <w:sz w:val="23"/>
          <w:szCs w:val="23"/>
        </w:rPr>
        <w:t>criteria.</w:t>
      </w:r>
    </w:p>
    <w:p w:rsidR="002C5025" w:rsidRDefault="002C5025">
      <w:pPr>
        <w:pStyle w:val="BodyText"/>
        <w:kinsoku w:val="0"/>
        <w:overflowPunct w:val="0"/>
        <w:spacing w:before="1" w:line="249" w:lineRule="auto"/>
        <w:ind w:left="100" w:right="197" w:firstLine="4"/>
        <w:rPr>
          <w:rFonts w:ascii="Times New Roman" w:hAnsi="Times New Roman" w:cs="Times New Roman"/>
          <w:color w:val="4F4F4F"/>
          <w:sz w:val="23"/>
          <w:szCs w:val="23"/>
        </w:rPr>
      </w:pPr>
      <w:r>
        <w:rPr>
          <w:rFonts w:ascii="Times New Roman" w:hAnsi="Times New Roman" w:cs="Times New Roman"/>
          <w:color w:val="4F4F4F"/>
          <w:position w:val="5"/>
          <w:sz w:val="15"/>
          <w:szCs w:val="15"/>
        </w:rPr>
        <w:t xml:space="preserve">4 </w:t>
      </w:r>
      <w:r>
        <w:rPr>
          <w:rFonts w:ascii="Times New Roman" w:hAnsi="Times New Roman" w:cs="Times New Roman"/>
          <w:color w:val="4F4F4F"/>
          <w:sz w:val="23"/>
          <w:szCs w:val="23"/>
        </w:rPr>
        <w:t xml:space="preserve">Person-centered care can only be actualized if members are given choice of services and providers. The sparseness </w:t>
      </w:r>
      <w:proofErr w:type="spellStart"/>
      <w:r>
        <w:rPr>
          <w:rFonts w:ascii="Times New Roman" w:hAnsi="Times New Roman" w:cs="Times New Roman"/>
          <w:color w:val="4F4F4F"/>
          <w:sz w:val="23"/>
          <w:szCs w:val="23"/>
        </w:rPr>
        <w:t>oflinguistically</w:t>
      </w:r>
      <w:proofErr w:type="spellEnd"/>
      <w:r>
        <w:rPr>
          <w:rFonts w:ascii="Times New Roman" w:hAnsi="Times New Roman" w:cs="Times New Roman"/>
          <w:color w:val="4F4F4F"/>
          <w:sz w:val="23"/>
          <w:szCs w:val="23"/>
        </w:rPr>
        <w:t xml:space="preserve"> and culturally competent mental health providers reinforces the need for single-case out-of-network  agreements.</w:t>
      </w:r>
    </w:p>
    <w:p w:rsidR="002C5025" w:rsidRDefault="002C5025">
      <w:pPr>
        <w:pStyle w:val="BodyText"/>
        <w:kinsoku w:val="0"/>
        <w:overflowPunct w:val="0"/>
        <w:spacing w:line="247" w:lineRule="auto"/>
        <w:ind w:left="105" w:right="261" w:firstLine="5"/>
        <w:rPr>
          <w:rFonts w:ascii="Times New Roman" w:hAnsi="Times New Roman" w:cs="Times New Roman"/>
          <w:color w:val="4F4F4F"/>
          <w:sz w:val="23"/>
          <w:szCs w:val="23"/>
        </w:rPr>
      </w:pPr>
      <w:r>
        <w:rPr>
          <w:rFonts w:ascii="Times New Roman" w:hAnsi="Times New Roman" w:cs="Times New Roman"/>
          <w:color w:val="4F4F4F"/>
          <w:position w:val="5"/>
          <w:sz w:val="15"/>
          <w:szCs w:val="15"/>
        </w:rPr>
        <w:t xml:space="preserve">5 </w:t>
      </w:r>
      <w:r>
        <w:rPr>
          <w:rFonts w:ascii="Times New Roman" w:hAnsi="Times New Roman" w:cs="Times New Roman"/>
          <w:color w:val="4F4F4F"/>
          <w:sz w:val="23"/>
          <w:szCs w:val="23"/>
        </w:rPr>
        <w:t>The Veteran's administration study of its Housing First implementation found that with the initiative, emergency room visits decreased 27%, total inpatient costs decreased 54.3%, and  overall healthcare costs decreased 32%. Montgomery, et al., U.S. Dep't of Veterans Affairs, Housing First Implementation  Brief (April 2014).  See also, Guerin, City of Albuquerque  Housing First Cost Study Final Report (Institute for Social Research 201 l )(outlining cost savings of Housing First in various locations, including</w:t>
      </w:r>
      <w:r>
        <w:rPr>
          <w:rFonts w:ascii="Times New Roman" w:hAnsi="Times New Roman" w:cs="Times New Roman"/>
          <w:color w:val="4F4F4F"/>
          <w:spacing w:val="50"/>
          <w:sz w:val="23"/>
          <w:szCs w:val="23"/>
        </w:rPr>
        <w:t xml:space="preserve"> </w:t>
      </w:r>
      <w:r>
        <w:rPr>
          <w:rFonts w:ascii="Times New Roman" w:hAnsi="Times New Roman" w:cs="Times New Roman"/>
          <w:color w:val="4F4F4F"/>
          <w:sz w:val="23"/>
          <w:szCs w:val="23"/>
        </w:rPr>
        <w:t>Massachusetts).</w:t>
      </w:r>
    </w:p>
    <w:p w:rsidR="002C5025" w:rsidRDefault="002C5025">
      <w:pPr>
        <w:pStyle w:val="BodyText"/>
        <w:kinsoku w:val="0"/>
        <w:overflowPunct w:val="0"/>
        <w:spacing w:before="4" w:line="249" w:lineRule="auto"/>
        <w:ind w:left="105" w:right="399" w:firstLine="4"/>
        <w:rPr>
          <w:rFonts w:ascii="Times New Roman" w:hAnsi="Times New Roman" w:cs="Times New Roman"/>
          <w:color w:val="4F4F4F"/>
          <w:sz w:val="23"/>
          <w:szCs w:val="23"/>
        </w:rPr>
      </w:pPr>
      <w:r>
        <w:rPr>
          <w:rFonts w:ascii="Times New Roman" w:hAnsi="Times New Roman" w:cs="Times New Roman"/>
          <w:color w:val="4F4F4F"/>
          <w:position w:val="5"/>
          <w:sz w:val="15"/>
          <w:szCs w:val="15"/>
        </w:rPr>
        <w:t xml:space="preserve">6 </w:t>
      </w:r>
      <w:r>
        <w:rPr>
          <w:rFonts w:ascii="Times New Roman" w:hAnsi="Times New Roman" w:cs="Times New Roman"/>
          <w:color w:val="4F4F4F"/>
          <w:sz w:val="23"/>
          <w:szCs w:val="23"/>
        </w:rPr>
        <w:t>Of course, members should have ultimate control over who of their providers are included in their health care team.</w:t>
      </w:r>
    </w:p>
    <w:p w:rsidR="002C5025" w:rsidRDefault="002C5025">
      <w:pPr>
        <w:pStyle w:val="BodyText"/>
        <w:kinsoku w:val="0"/>
        <w:overflowPunct w:val="0"/>
        <w:spacing w:before="3"/>
        <w:rPr>
          <w:rFonts w:ascii="Times New Roman" w:hAnsi="Times New Roman" w:cs="Times New Roman"/>
          <w:sz w:val="10"/>
          <w:szCs w:val="10"/>
        </w:rPr>
      </w:pPr>
    </w:p>
    <w:p w:rsidR="002C5025" w:rsidRDefault="002C5025">
      <w:pPr>
        <w:pStyle w:val="BodyText"/>
        <w:kinsoku w:val="0"/>
        <w:overflowPunct w:val="0"/>
        <w:spacing w:before="74"/>
        <w:ind w:right="100"/>
        <w:jc w:val="right"/>
        <w:rPr>
          <w:rFonts w:ascii="Times New Roman" w:hAnsi="Times New Roman" w:cs="Times New Roman"/>
          <w:color w:val="595958"/>
          <w:w w:val="111"/>
          <w:sz w:val="20"/>
          <w:szCs w:val="20"/>
        </w:rPr>
      </w:pPr>
      <w:r>
        <w:rPr>
          <w:rFonts w:ascii="Times New Roman" w:hAnsi="Times New Roman" w:cs="Times New Roman"/>
          <w:color w:val="595958"/>
          <w:w w:val="111"/>
          <w:sz w:val="20"/>
          <w:szCs w:val="20"/>
        </w:rPr>
        <w:t>2</w:t>
      </w:r>
    </w:p>
    <w:p w:rsidR="002C5025" w:rsidRDefault="002C5025">
      <w:pPr>
        <w:pStyle w:val="BodyText"/>
        <w:kinsoku w:val="0"/>
        <w:overflowPunct w:val="0"/>
        <w:spacing w:before="74"/>
        <w:ind w:right="100"/>
        <w:jc w:val="right"/>
        <w:rPr>
          <w:rFonts w:ascii="Times New Roman" w:hAnsi="Times New Roman" w:cs="Times New Roman"/>
          <w:color w:val="595958"/>
          <w:w w:val="111"/>
          <w:sz w:val="20"/>
          <w:szCs w:val="20"/>
        </w:rPr>
        <w:sectPr w:rsidR="002C5025">
          <w:pgSz w:w="12240" w:h="15840"/>
          <w:pgMar w:top="1340" w:right="1360" w:bottom="280" w:left="1440" w:header="720" w:footer="720" w:gutter="0"/>
          <w:cols w:space="720" w:equalWidth="0">
            <w:col w:w="9440"/>
          </w:cols>
          <w:noEndnote/>
        </w:sectPr>
      </w:pPr>
    </w:p>
    <w:p w:rsidR="002C5025" w:rsidRDefault="002C5025">
      <w:pPr>
        <w:pStyle w:val="BodyText"/>
        <w:numPr>
          <w:ilvl w:val="1"/>
          <w:numId w:val="30"/>
        </w:numPr>
        <w:tabs>
          <w:tab w:val="left" w:pos="1180"/>
        </w:tabs>
        <w:kinsoku w:val="0"/>
        <w:overflowPunct w:val="0"/>
        <w:spacing w:before="52" w:line="264" w:lineRule="auto"/>
        <w:ind w:right="2324" w:hanging="351"/>
        <w:rPr>
          <w:rFonts w:ascii="Times New Roman" w:hAnsi="Times New Roman" w:cs="Times New Roman"/>
          <w:color w:val="595958"/>
          <w:sz w:val="27"/>
          <w:szCs w:val="27"/>
        </w:rPr>
      </w:pPr>
      <w:r>
        <w:rPr>
          <w:rFonts w:ascii="Times New Roman" w:hAnsi="Times New Roman" w:cs="Times New Roman"/>
          <w:color w:val="595958"/>
          <w:sz w:val="27"/>
          <w:szCs w:val="27"/>
        </w:rPr>
        <w:lastRenderedPageBreak/>
        <w:t>Perpetuation of the goal of keeping care in the community rather than institutional</w:t>
      </w:r>
      <w:r>
        <w:rPr>
          <w:rFonts w:ascii="Times New Roman" w:hAnsi="Times New Roman" w:cs="Times New Roman"/>
          <w:color w:val="595958"/>
          <w:spacing w:val="13"/>
          <w:sz w:val="27"/>
          <w:szCs w:val="27"/>
        </w:rPr>
        <w:t xml:space="preserve"> </w:t>
      </w:r>
      <w:r>
        <w:rPr>
          <w:rFonts w:ascii="Times New Roman" w:hAnsi="Times New Roman" w:cs="Times New Roman"/>
          <w:color w:val="595958"/>
          <w:sz w:val="27"/>
          <w:szCs w:val="27"/>
        </w:rPr>
        <w:t>settings;</w:t>
      </w:r>
    </w:p>
    <w:p w:rsidR="002C5025" w:rsidRDefault="002C5025">
      <w:pPr>
        <w:pStyle w:val="ListParagraph"/>
        <w:numPr>
          <w:ilvl w:val="1"/>
          <w:numId w:val="30"/>
        </w:numPr>
        <w:tabs>
          <w:tab w:val="left" w:pos="1184"/>
        </w:tabs>
        <w:kinsoku w:val="0"/>
        <w:overflowPunct w:val="0"/>
        <w:spacing w:before="24"/>
        <w:ind w:hanging="351"/>
        <w:rPr>
          <w:color w:val="595958"/>
          <w:sz w:val="16"/>
          <w:szCs w:val="16"/>
        </w:rPr>
      </w:pPr>
      <w:r>
        <w:rPr>
          <w:color w:val="595958"/>
          <w:sz w:val="27"/>
          <w:szCs w:val="27"/>
        </w:rPr>
        <w:t xml:space="preserve">Investment in community-based </w:t>
      </w:r>
      <w:r>
        <w:rPr>
          <w:color w:val="595958"/>
          <w:spacing w:val="18"/>
          <w:sz w:val="27"/>
          <w:szCs w:val="27"/>
        </w:rPr>
        <w:t xml:space="preserve"> </w:t>
      </w:r>
      <w:r>
        <w:rPr>
          <w:color w:val="595958"/>
          <w:sz w:val="27"/>
          <w:szCs w:val="27"/>
        </w:rPr>
        <w:t>LTSS</w:t>
      </w:r>
      <w:r>
        <w:rPr>
          <w:color w:val="595958"/>
          <w:position w:val="6"/>
          <w:sz w:val="16"/>
          <w:szCs w:val="16"/>
        </w:rPr>
        <w:t>7</w:t>
      </w:r>
      <w:r>
        <w:rPr>
          <w:color w:val="595958"/>
          <w:sz w:val="16"/>
          <w:szCs w:val="16"/>
        </w:rPr>
        <w:t>;</w:t>
      </w:r>
    </w:p>
    <w:p w:rsidR="002C5025" w:rsidRDefault="002C5025">
      <w:pPr>
        <w:pStyle w:val="ListParagraph"/>
        <w:numPr>
          <w:ilvl w:val="1"/>
          <w:numId w:val="30"/>
        </w:numPr>
        <w:tabs>
          <w:tab w:val="left" w:pos="1175"/>
        </w:tabs>
        <w:kinsoku w:val="0"/>
        <w:overflowPunct w:val="0"/>
        <w:spacing w:before="52"/>
        <w:ind w:left="1174"/>
        <w:rPr>
          <w:color w:val="595958"/>
          <w:sz w:val="27"/>
          <w:szCs w:val="27"/>
        </w:rPr>
      </w:pPr>
      <w:r>
        <w:rPr>
          <w:color w:val="595958"/>
          <w:sz w:val="27"/>
          <w:szCs w:val="27"/>
        </w:rPr>
        <w:t>The expansion of substance abuse</w:t>
      </w:r>
      <w:r>
        <w:rPr>
          <w:color w:val="595958"/>
          <w:spacing w:val="45"/>
          <w:sz w:val="27"/>
          <w:szCs w:val="27"/>
        </w:rPr>
        <w:t xml:space="preserve"> </w:t>
      </w:r>
      <w:r>
        <w:rPr>
          <w:color w:val="595958"/>
          <w:sz w:val="27"/>
          <w:szCs w:val="27"/>
        </w:rPr>
        <w:t>services.</w:t>
      </w:r>
    </w:p>
    <w:p w:rsidR="002C5025" w:rsidRDefault="002C5025">
      <w:pPr>
        <w:pStyle w:val="BodyText"/>
        <w:kinsoku w:val="0"/>
        <w:overflowPunct w:val="0"/>
        <w:spacing w:before="8"/>
        <w:rPr>
          <w:rFonts w:ascii="Times New Roman" w:hAnsi="Times New Roman" w:cs="Times New Roman"/>
          <w:sz w:val="29"/>
          <w:szCs w:val="29"/>
        </w:rPr>
      </w:pPr>
    </w:p>
    <w:p w:rsidR="002C5025" w:rsidRDefault="002C5025">
      <w:pPr>
        <w:pStyle w:val="BodyText"/>
        <w:kinsoku w:val="0"/>
        <w:overflowPunct w:val="0"/>
        <w:spacing w:before="1" w:line="247" w:lineRule="auto"/>
        <w:ind w:left="468" w:right="1680" w:hanging="5"/>
        <w:jc w:val="both"/>
        <w:rPr>
          <w:rFonts w:ascii="Times New Roman" w:hAnsi="Times New Roman" w:cs="Times New Roman"/>
          <w:color w:val="595958"/>
          <w:sz w:val="27"/>
          <w:szCs w:val="27"/>
        </w:rPr>
      </w:pPr>
      <w:r>
        <w:rPr>
          <w:rFonts w:ascii="Times New Roman" w:hAnsi="Times New Roman" w:cs="Times New Roman"/>
          <w:color w:val="595958"/>
          <w:sz w:val="27"/>
          <w:szCs w:val="27"/>
        </w:rPr>
        <w:t>Additional detail on some of the items above and further suggested modifications are included in prior MHLAC comments that are attached to these comments and in two other sets of comments on the waiver request that MHLAC has co-signed.</w:t>
      </w:r>
    </w:p>
    <w:p w:rsidR="002C5025" w:rsidRDefault="002C5025">
      <w:pPr>
        <w:pStyle w:val="BodyText"/>
        <w:kinsoku w:val="0"/>
        <w:overflowPunct w:val="0"/>
        <w:spacing w:before="3"/>
        <w:rPr>
          <w:rFonts w:ascii="Times New Roman" w:hAnsi="Times New Roman" w:cs="Times New Roman"/>
          <w:sz w:val="27"/>
          <w:szCs w:val="27"/>
        </w:rPr>
      </w:pPr>
    </w:p>
    <w:p w:rsidR="002C5025" w:rsidRDefault="00FB027C">
      <w:pPr>
        <w:pStyle w:val="BodyText"/>
        <w:kinsoku w:val="0"/>
        <w:overflowPunct w:val="0"/>
        <w:spacing w:line="244" w:lineRule="auto"/>
        <w:ind w:left="458" w:right="1702" w:firstLine="11"/>
        <w:rPr>
          <w:rFonts w:ascii="Times New Roman" w:hAnsi="Times New Roman" w:cs="Times New Roman"/>
          <w:color w:val="595958"/>
          <w:sz w:val="27"/>
          <w:szCs w:val="27"/>
        </w:rPr>
      </w:pPr>
      <w:r>
        <w:rPr>
          <w:noProof/>
        </w:rPr>
        <mc:AlternateContent>
          <mc:Choice Requires="wpg">
            <w:drawing>
              <wp:anchor distT="0" distB="0" distL="0" distR="0" simplePos="0" relativeHeight="251753984" behindDoc="0" locked="0" layoutInCell="0" allowOverlap="1">
                <wp:simplePos x="0" y="0"/>
                <wp:positionH relativeFrom="page">
                  <wp:posOffset>776605</wp:posOffset>
                </wp:positionH>
                <wp:positionV relativeFrom="paragraph">
                  <wp:posOffset>1483995</wp:posOffset>
                </wp:positionV>
                <wp:extent cx="2929255" cy="1498600"/>
                <wp:effectExtent l="0" t="0" r="0" b="0"/>
                <wp:wrapTopAndBottom/>
                <wp:docPr id="203" name="Group 7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9255" cy="1498600"/>
                          <a:chOff x="1223" y="2337"/>
                          <a:chExt cx="4613" cy="2360"/>
                        </a:xfrm>
                      </wpg:grpSpPr>
                      <pic:pic xmlns:pic="http://schemas.openxmlformats.org/drawingml/2006/picture">
                        <pic:nvPicPr>
                          <pic:cNvPr id="205" name="Picture 742"/>
                          <pic:cNvPicPr>
                            <a:picLocks noChangeAspect="1" noChangeArrowheads="1"/>
                          </pic:cNvPicPr>
                        </pic:nvPicPr>
                        <pic:blipFill>
                          <a:blip r:embed="rId517">
                            <a:extLst>
                              <a:ext uri="{28A0092B-C50C-407E-A947-70E740481C1C}">
                                <a14:useLocalDpi xmlns:a14="http://schemas.microsoft.com/office/drawing/2010/main" val="0"/>
                              </a:ext>
                            </a:extLst>
                          </a:blip>
                          <a:srcRect/>
                          <a:stretch>
                            <a:fillRect/>
                          </a:stretch>
                        </pic:blipFill>
                        <pic:spPr bwMode="auto">
                          <a:xfrm>
                            <a:off x="1224" y="2338"/>
                            <a:ext cx="4620" cy="2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7" name="Text Box 743"/>
                        <wps:cNvSpPr txBox="1">
                          <a:spLocks noChangeArrowheads="1"/>
                        </wps:cNvSpPr>
                        <wps:spPr bwMode="auto">
                          <a:xfrm>
                            <a:off x="1579" y="4426"/>
                            <a:ext cx="1368" cy="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pStyle w:val="BodyText"/>
                                <w:kinsoku w:val="0"/>
                                <w:overflowPunct w:val="0"/>
                                <w:spacing w:line="271" w:lineRule="exact"/>
                                <w:ind w:right="-17"/>
                                <w:rPr>
                                  <w:rFonts w:ascii="Times New Roman" w:hAnsi="Times New Roman" w:cs="Times New Roman"/>
                                  <w:color w:val="595958"/>
                                  <w:sz w:val="27"/>
                                  <w:szCs w:val="27"/>
                                </w:rPr>
                              </w:pPr>
                              <w:r>
                                <w:rPr>
                                  <w:rFonts w:ascii="Times New Roman" w:hAnsi="Times New Roman" w:cs="Times New Roman"/>
                                  <w:color w:val="595958"/>
                                  <w:sz w:val="27"/>
                                  <w:szCs w:val="27"/>
                                </w:rPr>
                                <w:t>Attachments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41" o:spid="_x0000_s1262" style="position:absolute;left:0;text-align:left;margin-left:61.15pt;margin-top:116.85pt;width:230.65pt;height:118pt;z-index:251753984;mso-wrap-distance-left:0;mso-wrap-distance-right:0;mso-position-horizontal-relative:page;mso-position-vertical-relative:text" coordorigin="1223,2337" coordsize="4613,23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" o:allowincell="f">
                <v:shape id="Picture 742" o:spid="_x0000_s1263" type="#_x0000_t75" style="position:absolute;left:1224;top:2338;width:4620;height:22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jjrybEAAAA3AAAAA8AAABkcnMvZG93bnJldi54bWxEj92KwjAUhO+FfYdwFrwRTVUUtxplFQT/&#10;QNT1/tAc27LNSWlirW+/WRC8HGbmG2a2aEwhaqpcbllBvxeBIE6szjlV8HNZdycgnEfWWFgmBU9y&#10;sJh/tGYYa/vgE9Vnn4oAYRejgsz7MpbSJRkZdD1bEgfvZiuDPsgqlbrCR4CbQg6iaCwN5hwWMixp&#10;lVHye74bBbvjfVgf9tvr8muIq45b0nUnO0q1P5vvKQhPjX+HX+2NVjCIRvB/JhwBOf8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jjrybEAAAA3AAAAA8AAAAAAAAAAAAAAAAA&#10;nwIAAGRycy9kb3ducmV2LnhtbFBLBQYAAAAABAAEAPcAAACQAwAAAAA=&#10;">
                  <v:imagedata r:id="rId518" o:title=""/>
                </v:shape>
                <v:shape id="Text Box 743" o:spid="_x0000_s1264" type="#_x0000_t202" style="position:absolute;left:1579;top:4426;width:1368;height: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Ko58UA&#10;AADcAAAADwAAAGRycy9kb3ducmV2LnhtbESPQWsCMRSE70L/Q3iF3jSpB61bo4goFArFdT30+Lp5&#10;7gY3L+sm1e2/N0LB4zAz3zDzZe8acaEuWM8aXkcKBHHpjeVKw6HYDt9AhIhssPFMGv4owHLxNJhj&#10;ZvyVc7rsYyUShEOGGuoY20zKUNbkMIx8S5y8o+8cxiS7SpoOrwnuGjlWaiIdWk4LNba0rqk87X+d&#10;htU35xt7/vrZ5cfcFsVM8efkpPXLc796BxGpj4/wf/vDaBirKdzPpCM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EqjnxQAAANwAAAAPAAAAAAAAAAAAAAAAAJgCAABkcnMv&#10;ZG93bnJldi54bWxQSwUGAAAAAAQABAD1AAAAigMAAAAA&#10;" filled="f" stroked="f">
                  <v:textbox inset="0,0,0,0">
                    <w:txbxContent>
                      <w:p w:rsidR="007B2B7B" w:rsidRDefault="007B2B7B">
                        <w:pPr>
                          <w:pStyle w:val="BodyText"/>
                          <w:kinsoku w:val="0"/>
                          <w:overflowPunct w:val="0"/>
                          <w:spacing w:line="271" w:lineRule="exact"/>
                          <w:ind w:right="-17"/>
                          <w:rPr>
                            <w:rFonts w:ascii="Times New Roman" w:hAnsi="Times New Roman" w:cs="Times New Roman"/>
                            <w:color w:val="595958"/>
                            <w:sz w:val="27"/>
                            <w:szCs w:val="27"/>
                          </w:rPr>
                        </w:pPr>
                        <w:r>
                          <w:rPr>
                            <w:rFonts w:ascii="Times New Roman" w:hAnsi="Times New Roman" w:cs="Times New Roman"/>
                            <w:color w:val="595958"/>
                            <w:sz w:val="27"/>
                            <w:szCs w:val="27"/>
                          </w:rPr>
                          <w:t>Attachments</w:t>
                        </w:r>
                      </w:p>
                    </w:txbxContent>
                  </v:textbox>
                </v:shape>
                <w10:wrap type="topAndBottom" anchorx="page"/>
              </v:group>
            </w:pict>
          </mc:Fallback>
        </mc:AlternateContent>
      </w:r>
      <w:r w:rsidR="002C5025">
        <w:rPr>
          <w:rFonts w:ascii="Times New Roman" w:hAnsi="Times New Roman" w:cs="Times New Roman"/>
          <w:color w:val="595958"/>
          <w:sz w:val="27"/>
          <w:szCs w:val="27"/>
        </w:rPr>
        <w:t>Integration of behavioral health and physical health services does not in and of itself reliably reduce costs or improve outcomes.</w:t>
      </w:r>
      <w:r w:rsidR="002C5025">
        <w:rPr>
          <w:rFonts w:ascii="Arial" w:hAnsi="Arial" w:cs="Arial"/>
          <w:color w:val="595958"/>
          <w:position w:val="6"/>
          <w:sz w:val="17"/>
          <w:szCs w:val="17"/>
        </w:rPr>
        <w:t xml:space="preserve">8 </w:t>
      </w:r>
      <w:r w:rsidR="002C5025">
        <w:rPr>
          <w:rFonts w:ascii="Times New Roman" w:hAnsi="Times New Roman" w:cs="Times New Roman"/>
          <w:color w:val="595958"/>
          <w:sz w:val="27"/>
          <w:szCs w:val="27"/>
        </w:rPr>
        <w:t>The same is true for pay-for- performance and value-based purchasing. However, with modifications to ensure innovative service funding, protection of member choice, and careful monitoring of ACOs to both protect against under-utilization and promote best practices, the Section 1115 Demonstration Project Amendment and Extension Request has the potential to improve quality of care and be financially viable.</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FB027C">
      <w:pPr>
        <w:pStyle w:val="BodyText"/>
        <w:kinsoku w:val="0"/>
        <w:overflowPunct w:val="0"/>
        <w:spacing w:before="1"/>
        <w:rPr>
          <w:rFonts w:ascii="Times New Roman" w:hAnsi="Times New Roman" w:cs="Times New Roman"/>
          <w:sz w:val="26"/>
          <w:szCs w:val="26"/>
        </w:rPr>
      </w:pPr>
      <w:r>
        <w:rPr>
          <w:noProof/>
        </w:rPr>
        <mc:AlternateContent>
          <mc:Choice Requires="wps">
            <w:drawing>
              <wp:anchor distT="0" distB="0" distL="0" distR="0" simplePos="0" relativeHeight="251755008" behindDoc="0" locked="0" layoutInCell="0" allowOverlap="1">
                <wp:simplePos x="0" y="0"/>
                <wp:positionH relativeFrom="page">
                  <wp:posOffset>1010285</wp:posOffset>
                </wp:positionH>
                <wp:positionV relativeFrom="paragraph">
                  <wp:posOffset>219710</wp:posOffset>
                </wp:positionV>
                <wp:extent cx="1797050" cy="12700"/>
                <wp:effectExtent l="0" t="0" r="0" b="0"/>
                <wp:wrapTopAndBottom/>
                <wp:docPr id="201" name="Freeform 7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97050" cy="12700"/>
                        </a:xfrm>
                        <a:custGeom>
                          <a:avLst/>
                          <a:gdLst>
                            <a:gd name="T0" fmla="*/ 0 w 2830"/>
                            <a:gd name="T1" fmla="*/ 0 h 20"/>
                            <a:gd name="T2" fmla="*/ 2830 w 2830"/>
                            <a:gd name="T3" fmla="*/ 0 h 20"/>
                          </a:gdLst>
                          <a:ahLst/>
                          <a:cxnLst>
                            <a:cxn ang="0">
                              <a:pos x="T0" y="T1"/>
                            </a:cxn>
                            <a:cxn ang="0">
                              <a:pos x="T2" y="T3"/>
                            </a:cxn>
                          </a:cxnLst>
                          <a:rect l="0" t="0" r="r" b="b"/>
                          <a:pathLst>
                            <a:path w="2830" h="20">
                              <a:moveTo>
                                <a:pt x="0" y="0"/>
                              </a:moveTo>
                              <a:lnTo>
                                <a:pt x="2830" y="0"/>
                              </a:lnTo>
                            </a:path>
                          </a:pathLst>
                        </a:custGeom>
                        <a:noFill/>
                        <a:ln w="90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44" o:spid="_x0000_s1026" style="position:absolute;z-index:251755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9.55pt,17.3pt,221.05pt,17.3pt" coordsize="283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" o:allowincell="f" filled="f" strokeweight=".25011mm">
                <v:path arrowok="t" o:connecttype="custom" o:connectlocs="0,0;1797050,0" o:connectangles="0,0"/>
                <w10:wrap type="topAndBottom" anchorx="page"/>
              </v:polyline>
            </w:pict>
          </mc:Fallback>
        </mc:AlternateContent>
      </w:r>
    </w:p>
    <w:p w:rsidR="002C5025" w:rsidRDefault="002C5025">
      <w:pPr>
        <w:pStyle w:val="BodyText"/>
        <w:kinsoku w:val="0"/>
        <w:overflowPunct w:val="0"/>
        <w:spacing w:before="51" w:line="247" w:lineRule="auto"/>
        <w:ind w:left="449" w:right="1702" w:firstLine="9"/>
        <w:rPr>
          <w:rFonts w:ascii="Times New Roman" w:hAnsi="Times New Roman" w:cs="Times New Roman"/>
          <w:color w:val="595958"/>
          <w:sz w:val="23"/>
          <w:szCs w:val="23"/>
        </w:rPr>
      </w:pPr>
      <w:r>
        <w:rPr>
          <w:rFonts w:ascii="Arial" w:hAnsi="Arial" w:cs="Arial"/>
          <w:color w:val="595958"/>
          <w:position w:val="5"/>
          <w:sz w:val="16"/>
          <w:szCs w:val="16"/>
        </w:rPr>
        <w:t xml:space="preserve">7 </w:t>
      </w:r>
      <w:r>
        <w:rPr>
          <w:rFonts w:ascii="Times New Roman" w:hAnsi="Times New Roman" w:cs="Times New Roman"/>
          <w:color w:val="595958"/>
          <w:sz w:val="23"/>
          <w:szCs w:val="23"/>
        </w:rPr>
        <w:t>We are concerned that peer services are not going to receive sufficient investment and utilization given the certification requirements for Behavioral Health Community Partners. Whether as Community Partners or in other capacities, it should be clear that peer services must be available to ACO members. In addition, DSRIP funds should be available to invest in peer respites, which are cost effective alternatives to hospitalization, but of which only one exists in the Commonwealth.</w:t>
      </w:r>
    </w:p>
    <w:p w:rsidR="002C5025" w:rsidRDefault="002C5025">
      <w:pPr>
        <w:pStyle w:val="BodyText"/>
        <w:kinsoku w:val="0"/>
        <w:overflowPunct w:val="0"/>
        <w:spacing w:before="4" w:line="261" w:lineRule="auto"/>
        <w:ind w:left="449" w:right="1702" w:firstLine="9"/>
        <w:rPr>
          <w:rFonts w:ascii="Times New Roman" w:hAnsi="Times New Roman" w:cs="Times New Roman"/>
          <w:color w:val="595958"/>
          <w:sz w:val="23"/>
          <w:szCs w:val="23"/>
        </w:rPr>
      </w:pPr>
      <w:r>
        <w:rPr>
          <w:rFonts w:ascii="Times New Roman" w:hAnsi="Times New Roman" w:cs="Times New Roman"/>
          <w:color w:val="595958"/>
          <w:position w:val="5"/>
          <w:sz w:val="16"/>
          <w:szCs w:val="16"/>
        </w:rPr>
        <w:t xml:space="preserve">8 </w:t>
      </w:r>
      <w:r>
        <w:rPr>
          <w:rFonts w:ascii="Times New Roman" w:hAnsi="Times New Roman" w:cs="Times New Roman"/>
          <w:color w:val="595958"/>
          <w:sz w:val="23"/>
          <w:szCs w:val="23"/>
        </w:rPr>
        <w:t xml:space="preserve">See, e.g., Reilly, et al., </w:t>
      </w:r>
      <w:r>
        <w:rPr>
          <w:rFonts w:ascii="Times New Roman" w:hAnsi="Times New Roman" w:cs="Times New Roman"/>
          <w:i/>
          <w:iCs/>
          <w:color w:val="595958"/>
          <w:sz w:val="23"/>
          <w:szCs w:val="23"/>
        </w:rPr>
        <w:t xml:space="preserve">Collaborative </w:t>
      </w:r>
      <w:r>
        <w:rPr>
          <w:rFonts w:ascii="Times New Roman" w:hAnsi="Times New Roman" w:cs="Times New Roman"/>
          <w:i/>
          <w:iCs/>
          <w:color w:val="6D6D6D"/>
          <w:sz w:val="23"/>
          <w:szCs w:val="23"/>
        </w:rPr>
        <w:t xml:space="preserve">care </w:t>
      </w:r>
      <w:r>
        <w:rPr>
          <w:rFonts w:ascii="Times New Roman" w:hAnsi="Times New Roman" w:cs="Times New Roman"/>
          <w:i/>
          <w:iCs/>
          <w:color w:val="595958"/>
          <w:sz w:val="23"/>
          <w:szCs w:val="23"/>
        </w:rPr>
        <w:t>approaches</w:t>
      </w:r>
      <w:r w:rsidR="00347C9E">
        <w:rPr>
          <w:rFonts w:ascii="Times New Roman" w:hAnsi="Times New Roman" w:cs="Times New Roman"/>
          <w:i/>
          <w:iCs/>
          <w:color w:val="595958"/>
          <w:sz w:val="23"/>
          <w:szCs w:val="23"/>
        </w:rPr>
        <w:t xml:space="preserve"> </w:t>
      </w:r>
      <w:r>
        <w:rPr>
          <w:rFonts w:ascii="Times New Roman" w:hAnsi="Times New Roman" w:cs="Times New Roman"/>
          <w:i/>
          <w:iCs/>
          <w:color w:val="595958"/>
          <w:sz w:val="23"/>
          <w:szCs w:val="23"/>
        </w:rPr>
        <w:t xml:space="preserve">for people with severe mental illness, </w:t>
      </w:r>
      <w:r>
        <w:rPr>
          <w:rFonts w:ascii="Times New Roman" w:hAnsi="Times New Roman" w:cs="Times New Roman"/>
          <w:color w:val="595958"/>
          <w:sz w:val="23"/>
          <w:szCs w:val="23"/>
        </w:rPr>
        <w:t>Issue 1 (Cochrane Database of Systematic Reviews 2013) (While improvement in the mental health component of quality of</w:t>
      </w:r>
      <w:r w:rsidR="00347C9E">
        <w:rPr>
          <w:rFonts w:ascii="Times New Roman" w:hAnsi="Times New Roman" w:cs="Times New Roman"/>
          <w:color w:val="595958"/>
          <w:sz w:val="23"/>
          <w:szCs w:val="23"/>
        </w:rPr>
        <w:t xml:space="preserve"> </w:t>
      </w:r>
      <w:r>
        <w:rPr>
          <w:rFonts w:ascii="Times New Roman" w:hAnsi="Times New Roman" w:cs="Times New Roman"/>
          <w:color w:val="595958"/>
          <w:sz w:val="23"/>
          <w:szCs w:val="23"/>
        </w:rPr>
        <w:t>life improved, collaborative care showed no statistically significant improvement in the physical component of quality of</w:t>
      </w:r>
      <w:r w:rsidR="00347C9E">
        <w:rPr>
          <w:rFonts w:ascii="Times New Roman" w:hAnsi="Times New Roman" w:cs="Times New Roman"/>
          <w:color w:val="595958"/>
          <w:sz w:val="23"/>
          <w:szCs w:val="23"/>
        </w:rPr>
        <w:t xml:space="preserve"> </w:t>
      </w:r>
      <w:r>
        <w:rPr>
          <w:rFonts w:ascii="Times New Roman" w:hAnsi="Times New Roman" w:cs="Times New Roman"/>
          <w:color w:val="595958"/>
          <w:sz w:val="23"/>
          <w:szCs w:val="23"/>
        </w:rPr>
        <w:t xml:space="preserve">life or a statistically significant difference </w:t>
      </w:r>
      <w:r>
        <w:rPr>
          <w:rFonts w:ascii="Times New Roman" w:hAnsi="Times New Roman" w:cs="Times New Roman"/>
          <w:color w:val="6D6D6D"/>
          <w:sz w:val="23"/>
          <w:szCs w:val="23"/>
        </w:rPr>
        <w:t xml:space="preserve">in </w:t>
      </w:r>
      <w:r>
        <w:rPr>
          <w:rFonts w:ascii="Times New Roman" w:hAnsi="Times New Roman" w:cs="Times New Roman"/>
          <w:color w:val="595958"/>
          <w:sz w:val="23"/>
          <w:szCs w:val="23"/>
        </w:rPr>
        <w:t xml:space="preserve">the cost of care compared to </w:t>
      </w:r>
      <w:r>
        <w:rPr>
          <w:rFonts w:ascii="Times New Roman" w:hAnsi="Times New Roman" w:cs="Times New Roman"/>
          <w:color w:val="6D6D6D"/>
          <w:sz w:val="23"/>
          <w:szCs w:val="23"/>
        </w:rPr>
        <w:t xml:space="preserve">standard </w:t>
      </w:r>
      <w:r>
        <w:rPr>
          <w:rFonts w:ascii="Times New Roman" w:hAnsi="Times New Roman" w:cs="Times New Roman"/>
          <w:color w:val="6D6D6D"/>
          <w:spacing w:val="13"/>
          <w:sz w:val="23"/>
          <w:szCs w:val="23"/>
        </w:rPr>
        <w:t xml:space="preserve"> </w:t>
      </w:r>
      <w:r>
        <w:rPr>
          <w:rFonts w:ascii="Times New Roman" w:hAnsi="Times New Roman" w:cs="Times New Roman"/>
          <w:color w:val="595958"/>
          <w:sz w:val="23"/>
          <w:szCs w:val="23"/>
        </w:rPr>
        <w:t>care.)</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9"/>
        <w:rPr>
          <w:rFonts w:ascii="Times New Roman" w:hAnsi="Times New Roman" w:cs="Times New Roman"/>
          <w:sz w:val="26"/>
          <w:szCs w:val="26"/>
        </w:rPr>
      </w:pPr>
    </w:p>
    <w:p w:rsidR="002C5025" w:rsidRDefault="002C5025">
      <w:pPr>
        <w:pStyle w:val="BodyText"/>
        <w:kinsoku w:val="0"/>
        <w:overflowPunct w:val="0"/>
        <w:spacing w:before="74"/>
        <w:ind w:right="1440"/>
        <w:jc w:val="right"/>
        <w:rPr>
          <w:rFonts w:ascii="Times New Roman" w:hAnsi="Times New Roman" w:cs="Times New Roman"/>
          <w:color w:val="595958"/>
          <w:w w:val="111"/>
          <w:sz w:val="20"/>
          <w:szCs w:val="20"/>
        </w:rPr>
      </w:pPr>
      <w:r>
        <w:rPr>
          <w:rFonts w:ascii="Times New Roman" w:hAnsi="Times New Roman" w:cs="Times New Roman"/>
          <w:color w:val="595958"/>
          <w:w w:val="111"/>
          <w:sz w:val="20"/>
          <w:szCs w:val="20"/>
        </w:rPr>
        <w:t>3</w:t>
      </w:r>
    </w:p>
    <w:p w:rsidR="002C5025" w:rsidRDefault="00FB027C">
      <w:pPr>
        <w:pStyle w:val="BodyText"/>
        <w:kinsoku w:val="0"/>
        <w:overflowPunct w:val="0"/>
        <w:spacing w:before="6"/>
        <w:rPr>
          <w:rFonts w:ascii="Times New Roman" w:hAnsi="Times New Roman" w:cs="Times New Roman"/>
          <w:sz w:val="28"/>
          <w:szCs w:val="28"/>
        </w:rPr>
      </w:pPr>
      <w:r>
        <w:rPr>
          <w:noProof/>
        </w:rPr>
        <mc:AlternateContent>
          <mc:Choice Requires="wps">
            <w:drawing>
              <wp:anchor distT="0" distB="0" distL="0" distR="0" simplePos="0" relativeHeight="251756032" behindDoc="0" locked="0" layoutInCell="0" allowOverlap="1">
                <wp:simplePos x="0" y="0"/>
                <wp:positionH relativeFrom="page">
                  <wp:posOffset>7689850</wp:posOffset>
                </wp:positionH>
                <wp:positionV relativeFrom="paragraph">
                  <wp:posOffset>237490</wp:posOffset>
                </wp:positionV>
                <wp:extent cx="12700" cy="247650"/>
                <wp:effectExtent l="0" t="0" r="0" b="0"/>
                <wp:wrapTopAndBottom/>
                <wp:docPr id="199" name="Freeform 7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247650"/>
                        </a:xfrm>
                        <a:custGeom>
                          <a:avLst/>
                          <a:gdLst>
                            <a:gd name="T0" fmla="*/ 0 w 20"/>
                            <a:gd name="T1" fmla="*/ 390 h 390"/>
                            <a:gd name="T2" fmla="*/ 0 w 20"/>
                            <a:gd name="T3" fmla="*/ 0 h 390"/>
                          </a:gdLst>
                          <a:ahLst/>
                          <a:cxnLst>
                            <a:cxn ang="0">
                              <a:pos x="T0" y="T1"/>
                            </a:cxn>
                            <a:cxn ang="0">
                              <a:pos x="T2" y="T3"/>
                            </a:cxn>
                          </a:cxnLst>
                          <a:rect l="0" t="0" r="r" b="b"/>
                          <a:pathLst>
                            <a:path w="20" h="390">
                              <a:moveTo>
                                <a:pt x="0" y="390"/>
                              </a:moveTo>
                              <a:lnTo>
                                <a:pt x="0" y="0"/>
                              </a:lnTo>
                            </a:path>
                          </a:pathLst>
                        </a:custGeom>
                        <a:noFill/>
                        <a:ln w="90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45" o:spid="_x0000_s1026" style="position:absolute;z-index:251756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605.5pt,38.2pt,605.5pt,18.7pt" coordsize="20,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" o:allowincell="f" filled="f" strokeweight=".25011mm">
                <v:path arrowok="t" o:connecttype="custom" o:connectlocs="0,247650;0,0" o:connectangles="0,0"/>
                <w10:wrap type="topAndBottom" anchorx="page"/>
              </v:polyline>
            </w:pict>
          </mc:Fallback>
        </mc:AlternateContent>
      </w:r>
    </w:p>
    <w:p w:rsidR="002C5025" w:rsidRDefault="002C5025">
      <w:pPr>
        <w:pStyle w:val="BodyText"/>
        <w:kinsoku w:val="0"/>
        <w:overflowPunct w:val="0"/>
        <w:spacing w:before="6"/>
        <w:rPr>
          <w:rFonts w:ascii="Times New Roman" w:hAnsi="Times New Roman" w:cs="Times New Roman"/>
          <w:sz w:val="28"/>
          <w:szCs w:val="28"/>
        </w:rPr>
        <w:sectPr w:rsidR="002C5025">
          <w:pgSz w:w="12240" w:h="15840"/>
          <w:pgMar w:top="1340" w:right="20" w:bottom="280" w:left="1120" w:header="720" w:footer="720" w:gutter="0"/>
          <w:cols w:space="720" w:equalWidth="0">
            <w:col w:w="11100"/>
          </w:cols>
          <w:noEndnote/>
        </w:sectPr>
      </w:pPr>
    </w:p>
    <w:p w:rsidR="002C5025" w:rsidRDefault="002C5025">
      <w:pPr>
        <w:pStyle w:val="BodyText"/>
        <w:kinsoku w:val="0"/>
        <w:overflowPunct w:val="0"/>
        <w:spacing w:before="9"/>
        <w:rPr>
          <w:rFonts w:ascii="Times New Roman" w:hAnsi="Times New Roman" w:cs="Times New Roman"/>
          <w:sz w:val="13"/>
          <w:szCs w:val="13"/>
        </w:rPr>
      </w:pPr>
    </w:p>
    <w:p w:rsidR="002C5025" w:rsidRDefault="002C5025">
      <w:pPr>
        <w:pStyle w:val="BodyText"/>
        <w:kinsoku w:val="0"/>
        <w:overflowPunct w:val="0"/>
        <w:spacing w:before="9"/>
        <w:rPr>
          <w:rFonts w:ascii="Times New Roman" w:hAnsi="Times New Roman" w:cs="Times New Roman"/>
          <w:sz w:val="13"/>
          <w:szCs w:val="13"/>
        </w:rPr>
        <w:sectPr w:rsidR="002C5025">
          <w:pgSz w:w="12240" w:h="15840"/>
          <w:pgMar w:top="560" w:right="1420" w:bottom="280" w:left="1060" w:header="720" w:footer="720" w:gutter="0"/>
          <w:cols w:space="720" w:equalWidth="0">
            <w:col w:w="9760"/>
          </w:cols>
          <w:noEndnote/>
        </w:sectPr>
      </w:pPr>
    </w:p>
    <w:p w:rsidR="002C5025" w:rsidRDefault="002C5025">
      <w:pPr>
        <w:pStyle w:val="BodyText"/>
        <w:kinsoku w:val="0"/>
        <w:overflowPunct w:val="0"/>
        <w:rPr>
          <w:rFonts w:ascii="Times New Roman" w:hAnsi="Times New Roman" w:cs="Times New Roman"/>
          <w:sz w:val="14"/>
          <w:szCs w:val="14"/>
        </w:rPr>
      </w:pPr>
    </w:p>
    <w:p w:rsidR="002C5025" w:rsidRDefault="002C5025">
      <w:pPr>
        <w:pStyle w:val="BodyText"/>
        <w:kinsoku w:val="0"/>
        <w:overflowPunct w:val="0"/>
        <w:rPr>
          <w:rFonts w:ascii="Times New Roman" w:hAnsi="Times New Roman" w:cs="Times New Roman"/>
          <w:sz w:val="14"/>
          <w:szCs w:val="14"/>
        </w:rPr>
      </w:pPr>
    </w:p>
    <w:p w:rsidR="002C5025" w:rsidRDefault="002C5025">
      <w:pPr>
        <w:pStyle w:val="BodyText"/>
        <w:kinsoku w:val="0"/>
        <w:overflowPunct w:val="0"/>
        <w:rPr>
          <w:rFonts w:ascii="Times New Roman" w:hAnsi="Times New Roman" w:cs="Times New Roman"/>
          <w:sz w:val="14"/>
          <w:szCs w:val="14"/>
        </w:rPr>
      </w:pPr>
    </w:p>
    <w:p w:rsidR="002C5025" w:rsidRDefault="002C5025">
      <w:pPr>
        <w:pStyle w:val="BodyText"/>
        <w:kinsoku w:val="0"/>
        <w:overflowPunct w:val="0"/>
        <w:rPr>
          <w:rFonts w:ascii="Times New Roman" w:hAnsi="Times New Roman" w:cs="Times New Roman"/>
          <w:sz w:val="14"/>
          <w:szCs w:val="14"/>
        </w:rPr>
      </w:pPr>
    </w:p>
    <w:p w:rsidR="002C5025" w:rsidRDefault="002C5025">
      <w:pPr>
        <w:pStyle w:val="BodyText"/>
        <w:kinsoku w:val="0"/>
        <w:overflowPunct w:val="0"/>
        <w:rPr>
          <w:rFonts w:ascii="Times New Roman" w:hAnsi="Times New Roman" w:cs="Times New Roman"/>
          <w:sz w:val="14"/>
          <w:szCs w:val="14"/>
        </w:rPr>
      </w:pPr>
    </w:p>
    <w:p w:rsidR="002C5025" w:rsidRDefault="002C5025">
      <w:pPr>
        <w:pStyle w:val="BodyText"/>
        <w:kinsoku w:val="0"/>
        <w:overflowPunct w:val="0"/>
        <w:rPr>
          <w:rFonts w:ascii="Times New Roman" w:hAnsi="Times New Roman" w:cs="Times New Roman"/>
          <w:sz w:val="14"/>
          <w:szCs w:val="14"/>
        </w:rPr>
      </w:pPr>
    </w:p>
    <w:p w:rsidR="002C5025" w:rsidRDefault="002C5025">
      <w:pPr>
        <w:pStyle w:val="BodyText"/>
        <w:kinsoku w:val="0"/>
        <w:overflowPunct w:val="0"/>
        <w:rPr>
          <w:rFonts w:ascii="Times New Roman" w:hAnsi="Times New Roman" w:cs="Times New Roman"/>
          <w:sz w:val="14"/>
          <w:szCs w:val="14"/>
        </w:rPr>
      </w:pPr>
    </w:p>
    <w:p w:rsidR="002C5025" w:rsidRDefault="002C5025">
      <w:pPr>
        <w:pStyle w:val="BodyText"/>
        <w:kinsoku w:val="0"/>
        <w:overflowPunct w:val="0"/>
        <w:rPr>
          <w:rFonts w:ascii="Times New Roman" w:hAnsi="Times New Roman" w:cs="Times New Roman"/>
          <w:sz w:val="14"/>
          <w:szCs w:val="14"/>
        </w:rPr>
      </w:pPr>
    </w:p>
    <w:p w:rsidR="002C5025" w:rsidRDefault="002C5025">
      <w:pPr>
        <w:pStyle w:val="BodyText"/>
        <w:kinsoku w:val="0"/>
        <w:overflowPunct w:val="0"/>
        <w:rPr>
          <w:rFonts w:ascii="Times New Roman" w:hAnsi="Times New Roman" w:cs="Times New Roman"/>
          <w:sz w:val="14"/>
          <w:szCs w:val="14"/>
        </w:rPr>
      </w:pPr>
    </w:p>
    <w:p w:rsidR="002C5025" w:rsidRDefault="002C5025">
      <w:pPr>
        <w:pStyle w:val="BodyText"/>
        <w:kinsoku w:val="0"/>
        <w:overflowPunct w:val="0"/>
        <w:rPr>
          <w:rFonts w:ascii="Times New Roman" w:hAnsi="Times New Roman" w:cs="Times New Roman"/>
          <w:sz w:val="14"/>
          <w:szCs w:val="14"/>
        </w:rPr>
      </w:pPr>
    </w:p>
    <w:p w:rsidR="002C5025" w:rsidRDefault="002C5025">
      <w:pPr>
        <w:pStyle w:val="BodyText"/>
        <w:kinsoku w:val="0"/>
        <w:overflowPunct w:val="0"/>
        <w:rPr>
          <w:rFonts w:ascii="Times New Roman" w:hAnsi="Times New Roman" w:cs="Times New Roman"/>
          <w:sz w:val="14"/>
          <w:szCs w:val="14"/>
        </w:rPr>
      </w:pPr>
    </w:p>
    <w:p w:rsidR="002C5025" w:rsidRDefault="002C5025">
      <w:pPr>
        <w:pStyle w:val="BodyText"/>
        <w:kinsoku w:val="0"/>
        <w:overflowPunct w:val="0"/>
        <w:spacing w:before="6"/>
        <w:rPr>
          <w:rFonts w:ascii="Times New Roman" w:hAnsi="Times New Roman" w:cs="Times New Roman"/>
          <w:sz w:val="15"/>
          <w:szCs w:val="15"/>
        </w:rPr>
      </w:pPr>
    </w:p>
    <w:p w:rsidR="002C5025" w:rsidRDefault="00FB027C">
      <w:pPr>
        <w:pStyle w:val="BodyText"/>
        <w:kinsoku w:val="0"/>
        <w:overflowPunct w:val="0"/>
        <w:spacing w:line="171" w:lineRule="exact"/>
        <w:ind w:left="216"/>
        <w:rPr>
          <w:rFonts w:ascii="Times New Roman" w:hAnsi="Times New Roman" w:cs="Times New Roman"/>
          <w:color w:val="8F8F8F"/>
          <w:sz w:val="15"/>
          <w:szCs w:val="15"/>
        </w:rPr>
      </w:pPr>
      <w:r>
        <w:rPr>
          <w:noProof/>
        </w:rPr>
        <mc:AlternateContent>
          <mc:Choice Requires="wps">
            <w:drawing>
              <wp:anchor distT="0" distB="0" distL="114300" distR="114300" simplePos="0" relativeHeight="251757056" behindDoc="0" locked="0" layoutInCell="0" allowOverlap="1">
                <wp:simplePos x="0" y="0"/>
                <wp:positionH relativeFrom="page">
                  <wp:posOffset>740410</wp:posOffset>
                </wp:positionH>
                <wp:positionV relativeFrom="paragraph">
                  <wp:posOffset>-1343660</wp:posOffset>
                </wp:positionV>
                <wp:extent cx="927100" cy="1206500"/>
                <wp:effectExtent l="0" t="0" r="0" b="0"/>
                <wp:wrapNone/>
                <wp:docPr id="197" name="Rectangle 7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7100" cy="1206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1900" w:lineRule="atLeast"/>
                            </w:pPr>
                            <w:r>
                              <w:rPr>
                                <w:noProof/>
                              </w:rPr>
                              <w:drawing>
                                <wp:inline distT="0" distB="0" distL="0" distR="0">
                                  <wp:extent cx="923925" cy="1209675"/>
                                  <wp:effectExtent l="0" t="0" r="9525" b="9525"/>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519">
                                            <a:extLst>
                                              <a:ext uri="{28A0092B-C50C-407E-A947-70E740481C1C}">
                                                <a14:useLocalDpi xmlns:a14="http://schemas.microsoft.com/office/drawing/2010/main" val="0"/>
                                              </a:ext>
                                            </a:extLst>
                                          </a:blip>
                                          <a:srcRect/>
                                          <a:stretch>
                                            <a:fillRect/>
                                          </a:stretch>
                                        </pic:blipFill>
                                        <pic:spPr bwMode="auto">
                                          <a:xfrm>
                                            <a:off x="0" y="0"/>
                                            <a:ext cx="923925" cy="1209675"/>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46" o:spid="_x0000_s1265" style="position:absolute;left:0;text-align:left;margin-left:58.3pt;margin-top:-105.8pt;width:73pt;height:95pt;z-index:251757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" o:allowincell="f" filled="f" stroked="f">
                <v:textbox inset="0,0,0,0">
                  <w:txbxContent>
                    <w:p w:rsidR="007B2B7B" w:rsidRDefault="007B2B7B">
                      <w:pPr>
                        <w:widowControl/>
                        <w:autoSpaceDE/>
                        <w:autoSpaceDN/>
                        <w:adjustRightInd/>
                        <w:spacing w:line="1900" w:lineRule="atLeast"/>
                      </w:pPr>
                      <w:r>
                        <w:rPr>
                          <w:noProof/>
                        </w:rPr>
                        <w:drawing>
                          <wp:inline distT="0" distB="0" distL="0" distR="0">
                            <wp:extent cx="923925" cy="1209675"/>
                            <wp:effectExtent l="0" t="0" r="9525" b="9525"/>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520">
                                      <a:extLst>
                                        <a:ext uri="{28A0092B-C50C-407E-A947-70E740481C1C}">
                                          <a14:useLocalDpi xmlns:a14="http://schemas.microsoft.com/office/drawing/2010/main" val="0"/>
                                        </a:ext>
                                      </a:extLst>
                                    </a:blip>
                                    <a:srcRect/>
                                    <a:stretch>
                                      <a:fillRect/>
                                    </a:stretch>
                                  </pic:blipFill>
                                  <pic:spPr bwMode="auto">
                                    <a:xfrm>
                                      <a:off x="0" y="0"/>
                                      <a:ext cx="923925" cy="1209675"/>
                                    </a:xfrm>
                                    <a:prstGeom prst="rect">
                                      <a:avLst/>
                                    </a:prstGeom>
                                    <a:noFill/>
                                    <a:ln>
                                      <a:noFill/>
                                    </a:ln>
                                  </pic:spPr>
                                </pic:pic>
                              </a:graphicData>
                            </a:graphic>
                          </wp:inline>
                        </w:drawing>
                      </w:r>
                    </w:p>
                    <w:p w:rsidR="007B2B7B" w:rsidRDefault="007B2B7B"/>
                  </w:txbxContent>
                </v:textbox>
                <w10:wrap anchorx="page"/>
              </v:rect>
            </w:pict>
          </mc:Fallback>
        </mc:AlternateContent>
      </w:r>
      <w:r w:rsidR="002C5025">
        <w:rPr>
          <w:rFonts w:ascii="Times New Roman" w:hAnsi="Times New Roman" w:cs="Times New Roman"/>
          <w:color w:val="8F8F8F"/>
          <w:sz w:val="15"/>
          <w:szCs w:val="15"/>
        </w:rPr>
        <w:t>PHILLIP KASSEL</w:t>
      </w:r>
    </w:p>
    <w:p w:rsidR="002C5025" w:rsidRDefault="002C5025">
      <w:pPr>
        <w:pStyle w:val="BodyText"/>
        <w:kinsoku w:val="0"/>
        <w:overflowPunct w:val="0"/>
        <w:spacing w:line="113" w:lineRule="exact"/>
        <w:ind w:left="226"/>
        <w:rPr>
          <w:rFonts w:ascii="Times New Roman" w:hAnsi="Times New Roman" w:cs="Times New Roman"/>
          <w:color w:val="9E9E9E"/>
          <w:sz w:val="10"/>
          <w:szCs w:val="10"/>
        </w:rPr>
      </w:pPr>
      <w:r>
        <w:rPr>
          <w:rFonts w:ascii="Times New Roman" w:hAnsi="Times New Roman" w:cs="Times New Roman"/>
          <w:color w:val="9E9E9E"/>
          <w:sz w:val="10"/>
          <w:szCs w:val="10"/>
        </w:rPr>
        <w:t>EXECUTI\'E   DIRECTOR</w:t>
      </w:r>
    </w:p>
    <w:p w:rsidR="002C5025" w:rsidRDefault="002C5025">
      <w:pPr>
        <w:pStyle w:val="BodyText"/>
        <w:kinsoku w:val="0"/>
        <w:overflowPunct w:val="0"/>
        <w:spacing w:before="66" w:line="310" w:lineRule="exact"/>
        <w:ind w:left="129" w:right="333"/>
        <w:jc w:val="center"/>
        <w:rPr>
          <w:rFonts w:ascii="Times New Roman" w:hAnsi="Times New Roman" w:cs="Times New Roman"/>
          <w:b/>
          <w:bCs/>
          <w:color w:val="7C7C7C"/>
          <w:sz w:val="27"/>
          <w:szCs w:val="27"/>
        </w:rPr>
      </w:pPr>
      <w:r>
        <w:rPr>
          <w:rFonts w:ascii="Times New Roman" w:hAnsi="Times New Roman" w:cs="Times New Roman"/>
          <w:sz w:val="24"/>
          <w:szCs w:val="24"/>
        </w:rPr>
        <w:br w:type="column"/>
      </w:r>
      <w:r>
        <w:rPr>
          <w:rFonts w:ascii="Times New Roman" w:hAnsi="Times New Roman" w:cs="Times New Roman"/>
          <w:b/>
          <w:bCs/>
          <w:color w:val="7C7C7C"/>
          <w:sz w:val="27"/>
          <w:szCs w:val="27"/>
        </w:rPr>
        <w:lastRenderedPageBreak/>
        <w:t>MENTAL  HEALTH  LEGAL  ADVISORS  COMMITTEE</w:t>
      </w:r>
    </w:p>
    <w:p w:rsidR="002C5025" w:rsidRDefault="002C5025">
      <w:pPr>
        <w:pStyle w:val="BodyText"/>
        <w:tabs>
          <w:tab w:val="left" w:pos="4701"/>
        </w:tabs>
        <w:kinsoku w:val="0"/>
        <w:overflowPunct w:val="0"/>
        <w:spacing w:line="273" w:lineRule="auto"/>
        <w:ind w:left="2844" w:right="2036" w:hanging="1004"/>
        <w:rPr>
          <w:rFonts w:ascii="Times New Roman" w:hAnsi="Times New Roman" w:cs="Times New Roman"/>
          <w:color w:val="7C7C7C"/>
          <w:w w:val="90"/>
          <w:sz w:val="29"/>
          <w:szCs w:val="29"/>
        </w:rPr>
      </w:pPr>
      <w:r>
        <w:rPr>
          <w:rFonts w:ascii="Times New Roman" w:hAnsi="Times New Roman" w:cs="Times New Roman"/>
          <w:color w:val="7C7C7C"/>
          <w:spacing w:val="-5"/>
          <w:w w:val="85"/>
          <w:sz w:val="29"/>
          <w:szCs w:val="29"/>
        </w:rPr>
        <w:t>W:qe</w:t>
      </w:r>
      <w:r>
        <w:rPr>
          <w:rFonts w:ascii="Times New Roman" w:hAnsi="Times New Roman" w:cs="Times New Roman"/>
          <w:color w:val="7C7C7C"/>
          <w:spacing w:val="-53"/>
          <w:w w:val="85"/>
          <w:sz w:val="29"/>
          <w:szCs w:val="29"/>
        </w:rPr>
        <w:t xml:space="preserve"> </w:t>
      </w:r>
      <w:proofErr w:type="spellStart"/>
      <w:r>
        <w:rPr>
          <w:rFonts w:ascii="Times New Roman" w:hAnsi="Times New Roman" w:cs="Times New Roman"/>
          <w:color w:val="7C7C7C"/>
          <w:w w:val="85"/>
          <w:sz w:val="29"/>
          <w:szCs w:val="29"/>
        </w:rPr>
        <w:t>filnmmonfuezclf</w:t>
      </w:r>
      <w:proofErr w:type="spellEnd"/>
      <w:r>
        <w:rPr>
          <w:rFonts w:ascii="Times New Roman" w:hAnsi="Times New Roman" w:cs="Times New Roman"/>
          <w:color w:val="7C7C7C"/>
          <w:spacing w:val="-53"/>
          <w:w w:val="85"/>
          <w:sz w:val="29"/>
          <w:szCs w:val="29"/>
        </w:rPr>
        <w:t xml:space="preserve"> </w:t>
      </w:r>
      <w:proofErr w:type="spellStart"/>
      <w:r>
        <w:rPr>
          <w:rFonts w:ascii="Arial" w:hAnsi="Arial" w:cs="Arial"/>
          <w:i/>
          <w:iCs/>
          <w:color w:val="7C7C7C"/>
          <w:spacing w:val="8"/>
          <w:w w:val="85"/>
          <w:sz w:val="41"/>
          <w:szCs w:val="41"/>
        </w:rPr>
        <w:t>q</w:t>
      </w:r>
      <w:r>
        <w:rPr>
          <w:rFonts w:ascii="Times New Roman" w:hAnsi="Times New Roman" w:cs="Times New Roman"/>
          <w:color w:val="7C7C7C"/>
          <w:spacing w:val="8"/>
          <w:w w:val="85"/>
          <w:sz w:val="29"/>
          <w:szCs w:val="29"/>
        </w:rPr>
        <w:t>nf</w:t>
      </w:r>
      <w:proofErr w:type="spellEnd"/>
      <w:r>
        <w:rPr>
          <w:rFonts w:ascii="Times New Roman" w:hAnsi="Times New Roman" w:cs="Times New Roman"/>
          <w:color w:val="7C7C7C"/>
          <w:spacing w:val="8"/>
          <w:w w:val="85"/>
          <w:sz w:val="29"/>
          <w:szCs w:val="29"/>
        </w:rPr>
        <w:tab/>
      </w:r>
      <w:r>
        <w:rPr>
          <w:rFonts w:ascii="Times New Roman" w:hAnsi="Times New Roman" w:cs="Times New Roman"/>
          <w:color w:val="7C7C7C"/>
          <w:spacing w:val="-3"/>
          <w:w w:val="95"/>
          <w:sz w:val="29"/>
          <w:szCs w:val="29"/>
        </w:rPr>
        <w:t xml:space="preserve">assac4uscfts: </w:t>
      </w:r>
      <w:proofErr w:type="spellStart"/>
      <w:r>
        <w:rPr>
          <w:rFonts w:ascii="Times New Roman" w:hAnsi="Times New Roman" w:cs="Times New Roman"/>
          <w:color w:val="7C7C7C"/>
          <w:w w:val="90"/>
          <w:sz w:val="29"/>
          <w:szCs w:val="29"/>
        </w:rPr>
        <w:t>uprrme</w:t>
      </w:r>
      <w:proofErr w:type="spellEnd"/>
      <w:r>
        <w:rPr>
          <w:rFonts w:ascii="Times New Roman" w:hAnsi="Times New Roman" w:cs="Times New Roman"/>
          <w:color w:val="7C7C7C"/>
          <w:w w:val="90"/>
          <w:sz w:val="29"/>
          <w:szCs w:val="29"/>
        </w:rPr>
        <w:t xml:space="preserve"> </w:t>
      </w:r>
      <w:proofErr w:type="spellStart"/>
      <w:r>
        <w:rPr>
          <w:rFonts w:ascii="Times New Roman" w:hAnsi="Times New Roman" w:cs="Times New Roman"/>
          <w:color w:val="7C7C7C"/>
          <w:w w:val="90"/>
          <w:sz w:val="29"/>
          <w:szCs w:val="29"/>
        </w:rPr>
        <w:t>IDunirial</w:t>
      </w:r>
      <w:proofErr w:type="spellEnd"/>
      <w:r>
        <w:rPr>
          <w:rFonts w:ascii="Times New Roman" w:hAnsi="Times New Roman" w:cs="Times New Roman"/>
          <w:color w:val="7C7C7C"/>
          <w:spacing w:val="-48"/>
          <w:w w:val="90"/>
          <w:sz w:val="29"/>
          <w:szCs w:val="29"/>
        </w:rPr>
        <w:t xml:space="preserve"> </w:t>
      </w:r>
      <w:proofErr w:type="spellStart"/>
      <w:r>
        <w:rPr>
          <w:rFonts w:ascii="Times New Roman" w:hAnsi="Times New Roman" w:cs="Times New Roman"/>
          <w:color w:val="7C7C7C"/>
          <w:w w:val="90"/>
          <w:sz w:val="29"/>
          <w:szCs w:val="29"/>
        </w:rPr>
        <w:t>filnurt</w:t>
      </w:r>
      <w:proofErr w:type="spellEnd"/>
    </w:p>
    <w:p w:rsidR="002C5025" w:rsidRDefault="002C5025">
      <w:pPr>
        <w:pStyle w:val="BodyText"/>
        <w:kinsoku w:val="0"/>
        <w:overflowPunct w:val="0"/>
        <w:spacing w:before="68" w:line="283" w:lineRule="auto"/>
        <w:ind w:left="2489" w:right="2696" w:firstLine="9"/>
        <w:jc w:val="center"/>
        <w:rPr>
          <w:rFonts w:ascii="Arial" w:hAnsi="Arial" w:cs="Arial"/>
          <w:color w:val="8F8F8F"/>
          <w:w w:val="115"/>
          <w:sz w:val="15"/>
          <w:szCs w:val="15"/>
        </w:rPr>
      </w:pPr>
      <w:r>
        <w:rPr>
          <w:rFonts w:ascii="Arial" w:hAnsi="Arial" w:cs="Arial"/>
          <w:color w:val="8F8F8F"/>
          <w:w w:val="115"/>
          <w:sz w:val="15"/>
          <w:szCs w:val="15"/>
        </w:rPr>
        <w:t xml:space="preserve">24 </w:t>
      </w:r>
      <w:r>
        <w:rPr>
          <w:rFonts w:ascii="Arial" w:hAnsi="Arial" w:cs="Arial"/>
          <w:color w:val="7C7C7C"/>
          <w:w w:val="115"/>
          <w:sz w:val="15"/>
          <w:szCs w:val="15"/>
        </w:rPr>
        <w:t xml:space="preserve">SCHOOL STREET </w:t>
      </w:r>
      <w:r>
        <w:rPr>
          <w:rFonts w:ascii="Arial" w:hAnsi="Arial" w:cs="Arial"/>
          <w:color w:val="8F8F8F"/>
          <w:w w:val="115"/>
          <w:sz w:val="15"/>
          <w:szCs w:val="15"/>
        </w:rPr>
        <w:t xml:space="preserve">- </w:t>
      </w:r>
      <w:r>
        <w:rPr>
          <w:rFonts w:ascii="Arial" w:hAnsi="Arial" w:cs="Arial"/>
          <w:color w:val="7C7C7C"/>
          <w:w w:val="115"/>
          <w:sz w:val="15"/>
          <w:szCs w:val="15"/>
        </w:rPr>
        <w:t>8</w:t>
      </w:r>
      <w:r>
        <w:rPr>
          <w:rFonts w:ascii="Times New Roman" w:hAnsi="Times New Roman" w:cs="Times New Roman"/>
          <w:color w:val="7C7C7C"/>
          <w:w w:val="115"/>
          <w:position w:val="2"/>
          <w:sz w:val="8"/>
          <w:szCs w:val="8"/>
        </w:rPr>
        <w:t>1</w:t>
      </w:r>
      <w:r>
        <w:rPr>
          <w:rFonts w:ascii="Arial" w:hAnsi="Arial" w:cs="Arial"/>
          <w:color w:val="7C7C7C"/>
          <w:w w:val="115"/>
          <w:sz w:val="10"/>
          <w:szCs w:val="10"/>
        </w:rPr>
        <w:t xml:space="preserve">h </w:t>
      </w:r>
      <w:r>
        <w:rPr>
          <w:rFonts w:ascii="Arial" w:hAnsi="Arial" w:cs="Arial"/>
          <w:color w:val="7C7C7C"/>
          <w:w w:val="115"/>
          <w:sz w:val="15"/>
          <w:szCs w:val="15"/>
        </w:rPr>
        <w:t xml:space="preserve">FLOOR BOSTON,  MASSACHUSETTS </w:t>
      </w:r>
      <w:r>
        <w:rPr>
          <w:rFonts w:ascii="Arial" w:hAnsi="Arial" w:cs="Arial"/>
          <w:color w:val="8F8F8F"/>
          <w:w w:val="115"/>
          <w:sz w:val="15"/>
          <w:szCs w:val="15"/>
        </w:rPr>
        <w:t>02108</w:t>
      </w:r>
    </w:p>
    <w:p w:rsidR="002C5025" w:rsidRDefault="002C5025">
      <w:pPr>
        <w:pStyle w:val="BodyText"/>
        <w:kinsoku w:val="0"/>
        <w:overflowPunct w:val="0"/>
        <w:spacing w:line="169" w:lineRule="exact"/>
        <w:ind w:left="129" w:right="328"/>
        <w:jc w:val="center"/>
        <w:rPr>
          <w:rFonts w:ascii="Arial" w:hAnsi="Arial" w:cs="Arial"/>
          <w:color w:val="7C7C7C"/>
          <w:w w:val="120"/>
          <w:sz w:val="15"/>
          <w:szCs w:val="15"/>
        </w:rPr>
      </w:pPr>
      <w:r>
        <w:rPr>
          <w:rFonts w:ascii="Arial" w:hAnsi="Arial" w:cs="Arial"/>
          <w:color w:val="7C7C7C"/>
          <w:w w:val="120"/>
          <w:sz w:val="15"/>
          <w:szCs w:val="15"/>
        </w:rPr>
        <w:t>TEL:  (617) 338-2345</w:t>
      </w:r>
    </w:p>
    <w:p w:rsidR="002C5025" w:rsidRDefault="002C5025">
      <w:pPr>
        <w:pStyle w:val="BodyText"/>
        <w:kinsoku w:val="0"/>
        <w:overflowPunct w:val="0"/>
        <w:spacing w:before="22"/>
        <w:ind w:left="129" w:right="313"/>
        <w:jc w:val="center"/>
        <w:rPr>
          <w:rFonts w:ascii="Arial" w:hAnsi="Arial" w:cs="Arial"/>
          <w:color w:val="7C7C7C"/>
          <w:w w:val="120"/>
          <w:sz w:val="15"/>
          <w:szCs w:val="15"/>
        </w:rPr>
      </w:pPr>
      <w:r>
        <w:rPr>
          <w:rFonts w:ascii="Arial" w:hAnsi="Arial" w:cs="Arial"/>
          <w:color w:val="7C7C7C"/>
          <w:w w:val="120"/>
          <w:sz w:val="15"/>
          <w:szCs w:val="15"/>
        </w:rPr>
        <w:t>FAX: (617)  338-2347</w:t>
      </w:r>
    </w:p>
    <w:p w:rsidR="002C5025" w:rsidRDefault="00FD19EE">
      <w:pPr>
        <w:pStyle w:val="BodyText"/>
        <w:kinsoku w:val="0"/>
        <w:overflowPunct w:val="0"/>
        <w:spacing w:before="11"/>
        <w:ind w:left="129" w:right="344"/>
        <w:jc w:val="center"/>
        <w:rPr>
          <w:rFonts w:ascii="Times New Roman" w:hAnsi="Times New Roman" w:cs="Times New Roman"/>
          <w:color w:val="7C7C7C"/>
          <w:w w:val="120"/>
          <w:sz w:val="16"/>
          <w:szCs w:val="16"/>
        </w:rPr>
      </w:pPr>
      <w:hyperlink r:id="rId521" w:history="1">
        <w:r w:rsidR="002C5025">
          <w:rPr>
            <w:rFonts w:ascii="Times New Roman" w:hAnsi="Times New Roman" w:cs="Times New Roman"/>
            <w:color w:val="7C7C7C"/>
            <w:w w:val="120"/>
            <w:sz w:val="16"/>
            <w:szCs w:val="16"/>
          </w:rPr>
          <w:t>www.mhlac.org</w:t>
        </w:r>
      </w:hyperlink>
    </w:p>
    <w:p w:rsidR="002C5025" w:rsidRDefault="002C5025">
      <w:pPr>
        <w:pStyle w:val="BodyText"/>
        <w:kinsoku w:val="0"/>
        <w:overflowPunct w:val="0"/>
        <w:rPr>
          <w:rFonts w:ascii="Times New Roman" w:hAnsi="Times New Roman" w:cs="Times New Roman"/>
          <w:sz w:val="16"/>
          <w:szCs w:val="16"/>
        </w:rPr>
      </w:pPr>
    </w:p>
    <w:p w:rsidR="002C5025" w:rsidRDefault="002C5025">
      <w:pPr>
        <w:pStyle w:val="BodyText"/>
        <w:kinsoku w:val="0"/>
        <w:overflowPunct w:val="0"/>
        <w:rPr>
          <w:rFonts w:ascii="Times New Roman" w:hAnsi="Times New Roman" w:cs="Times New Roman"/>
          <w:sz w:val="16"/>
          <w:szCs w:val="16"/>
        </w:rPr>
      </w:pPr>
    </w:p>
    <w:p w:rsidR="002C5025" w:rsidRDefault="002C5025">
      <w:pPr>
        <w:pStyle w:val="BodyText"/>
        <w:kinsoku w:val="0"/>
        <w:overflowPunct w:val="0"/>
        <w:rPr>
          <w:rFonts w:ascii="Times New Roman" w:hAnsi="Times New Roman" w:cs="Times New Roman"/>
          <w:sz w:val="16"/>
          <w:szCs w:val="16"/>
        </w:rPr>
      </w:pPr>
    </w:p>
    <w:p w:rsidR="002C5025" w:rsidRDefault="002C5025">
      <w:pPr>
        <w:pStyle w:val="BodyText"/>
        <w:kinsoku w:val="0"/>
        <w:overflowPunct w:val="0"/>
        <w:rPr>
          <w:rFonts w:ascii="Times New Roman" w:hAnsi="Times New Roman" w:cs="Times New Roman"/>
          <w:sz w:val="16"/>
          <w:szCs w:val="16"/>
        </w:rPr>
      </w:pPr>
    </w:p>
    <w:p w:rsidR="002C5025" w:rsidRDefault="002C5025">
      <w:pPr>
        <w:pStyle w:val="BodyText"/>
        <w:kinsoku w:val="0"/>
        <w:overflowPunct w:val="0"/>
        <w:rPr>
          <w:rFonts w:ascii="Times New Roman" w:hAnsi="Times New Roman" w:cs="Times New Roman"/>
          <w:sz w:val="16"/>
          <w:szCs w:val="16"/>
        </w:rPr>
      </w:pPr>
    </w:p>
    <w:p w:rsidR="002C5025" w:rsidRDefault="002C5025">
      <w:pPr>
        <w:pStyle w:val="BodyText"/>
        <w:kinsoku w:val="0"/>
        <w:overflowPunct w:val="0"/>
        <w:rPr>
          <w:rFonts w:ascii="Times New Roman" w:hAnsi="Times New Roman" w:cs="Times New Roman"/>
          <w:sz w:val="16"/>
          <w:szCs w:val="16"/>
        </w:rPr>
      </w:pPr>
    </w:p>
    <w:p w:rsidR="002C5025" w:rsidRDefault="002C5025">
      <w:pPr>
        <w:pStyle w:val="BodyText"/>
        <w:kinsoku w:val="0"/>
        <w:overflowPunct w:val="0"/>
        <w:rPr>
          <w:rFonts w:ascii="Times New Roman" w:hAnsi="Times New Roman" w:cs="Times New Roman"/>
          <w:sz w:val="16"/>
          <w:szCs w:val="16"/>
        </w:rPr>
      </w:pPr>
    </w:p>
    <w:p w:rsidR="002C5025" w:rsidRDefault="002C5025">
      <w:pPr>
        <w:pStyle w:val="BodyText"/>
        <w:kinsoku w:val="0"/>
        <w:overflowPunct w:val="0"/>
        <w:rPr>
          <w:rFonts w:ascii="Times New Roman" w:hAnsi="Times New Roman" w:cs="Times New Roman"/>
          <w:sz w:val="16"/>
          <w:szCs w:val="16"/>
        </w:rPr>
      </w:pPr>
    </w:p>
    <w:p w:rsidR="002C5025" w:rsidRDefault="002C5025">
      <w:pPr>
        <w:pStyle w:val="BodyText"/>
        <w:kinsoku w:val="0"/>
        <w:overflowPunct w:val="0"/>
        <w:spacing w:before="4"/>
        <w:rPr>
          <w:rFonts w:ascii="Times New Roman" w:hAnsi="Times New Roman" w:cs="Times New Roman"/>
          <w:sz w:val="23"/>
          <w:szCs w:val="23"/>
        </w:rPr>
      </w:pPr>
    </w:p>
    <w:p w:rsidR="002C5025" w:rsidRDefault="002C5025">
      <w:pPr>
        <w:pStyle w:val="BodyText"/>
        <w:kinsoku w:val="0"/>
        <w:overflowPunct w:val="0"/>
        <w:spacing w:before="1" w:line="436" w:lineRule="auto"/>
        <w:ind w:left="129" w:right="1212"/>
        <w:jc w:val="center"/>
        <w:rPr>
          <w:rFonts w:ascii="Times New Roman" w:hAnsi="Times New Roman" w:cs="Times New Roman"/>
          <w:b/>
          <w:bCs/>
          <w:color w:val="606060"/>
          <w:sz w:val="27"/>
          <w:szCs w:val="27"/>
        </w:rPr>
      </w:pPr>
      <w:bookmarkStart w:id="227" w:name="Comments_of_Mental_Health_Legal_Advisors"/>
      <w:bookmarkEnd w:id="227"/>
      <w:r>
        <w:rPr>
          <w:rFonts w:ascii="Times New Roman" w:hAnsi="Times New Roman" w:cs="Times New Roman"/>
          <w:b/>
          <w:bCs/>
          <w:color w:val="606060"/>
          <w:sz w:val="27"/>
          <w:szCs w:val="27"/>
        </w:rPr>
        <w:t>Comments of Mental Health Legal Advisors Committee on Exceptions to Closed Enrollment Period</w:t>
      </w:r>
      <w:r>
        <w:rPr>
          <w:rFonts w:ascii="Times New Roman" w:hAnsi="Times New Roman" w:cs="Times New Roman"/>
          <w:b/>
          <w:bCs/>
          <w:color w:val="606060"/>
          <w:spacing w:val="58"/>
          <w:sz w:val="27"/>
          <w:szCs w:val="27"/>
        </w:rPr>
        <w:t xml:space="preserve"> </w:t>
      </w:r>
      <w:r>
        <w:rPr>
          <w:rFonts w:ascii="Times New Roman" w:hAnsi="Times New Roman" w:cs="Times New Roman"/>
          <w:b/>
          <w:bCs/>
          <w:color w:val="606060"/>
          <w:sz w:val="27"/>
          <w:szCs w:val="27"/>
        </w:rPr>
        <w:t>(Lock-In)</w:t>
      </w:r>
    </w:p>
    <w:p w:rsidR="002C5025" w:rsidRDefault="002C5025">
      <w:pPr>
        <w:pStyle w:val="BodyText"/>
        <w:kinsoku w:val="0"/>
        <w:overflowPunct w:val="0"/>
        <w:rPr>
          <w:rFonts w:ascii="Times New Roman" w:hAnsi="Times New Roman" w:cs="Times New Roman"/>
          <w:b/>
          <w:bCs/>
          <w:sz w:val="26"/>
          <w:szCs w:val="26"/>
        </w:rPr>
      </w:pPr>
    </w:p>
    <w:p w:rsidR="002C5025" w:rsidRDefault="002C5025">
      <w:pPr>
        <w:pStyle w:val="BodyText"/>
        <w:kinsoku w:val="0"/>
        <w:overflowPunct w:val="0"/>
        <w:spacing w:before="8"/>
        <w:rPr>
          <w:rFonts w:ascii="Times New Roman" w:hAnsi="Times New Roman" w:cs="Times New Roman"/>
          <w:b/>
          <w:bCs/>
          <w:sz w:val="23"/>
          <w:szCs w:val="23"/>
        </w:rPr>
      </w:pPr>
    </w:p>
    <w:p w:rsidR="002C5025" w:rsidRDefault="002C5025">
      <w:pPr>
        <w:pStyle w:val="BodyText"/>
        <w:kinsoku w:val="0"/>
        <w:overflowPunct w:val="0"/>
        <w:ind w:left="113" w:right="1212"/>
        <w:jc w:val="center"/>
        <w:rPr>
          <w:rFonts w:ascii="Times New Roman" w:hAnsi="Times New Roman" w:cs="Times New Roman"/>
          <w:color w:val="606060"/>
          <w:sz w:val="27"/>
          <w:szCs w:val="27"/>
        </w:rPr>
      </w:pPr>
      <w:r>
        <w:rPr>
          <w:rFonts w:ascii="Times New Roman" w:hAnsi="Times New Roman" w:cs="Times New Roman"/>
          <w:color w:val="606060"/>
          <w:sz w:val="27"/>
          <w:szCs w:val="27"/>
        </w:rPr>
        <w:t>April 21, 2016</w:t>
      </w:r>
    </w:p>
    <w:p w:rsidR="002C5025" w:rsidRDefault="002C5025">
      <w:pPr>
        <w:pStyle w:val="BodyText"/>
        <w:kinsoku w:val="0"/>
        <w:overflowPunct w:val="0"/>
        <w:ind w:left="113" w:right="1212"/>
        <w:jc w:val="center"/>
        <w:rPr>
          <w:rFonts w:ascii="Times New Roman" w:hAnsi="Times New Roman" w:cs="Times New Roman"/>
          <w:color w:val="606060"/>
          <w:sz w:val="27"/>
          <w:szCs w:val="27"/>
        </w:rPr>
        <w:sectPr w:rsidR="002C5025">
          <w:type w:val="continuous"/>
          <w:pgSz w:w="12240" w:h="15840"/>
          <w:pgMar w:top="720" w:right="1420" w:bottom="280" w:left="1060" w:header="720" w:footer="720" w:gutter="0"/>
          <w:cols w:num="2" w:space="720" w:equalWidth="0">
            <w:col w:w="1566" w:space="40"/>
            <w:col w:w="8154"/>
          </w:cols>
          <w:noEndnote/>
        </w:sect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4"/>
        <w:rPr>
          <w:rFonts w:ascii="Times New Roman" w:hAnsi="Times New Roman" w:cs="Times New Roman"/>
          <w:sz w:val="20"/>
          <w:szCs w:val="20"/>
        </w:rPr>
      </w:pPr>
    </w:p>
    <w:p w:rsidR="002C5025" w:rsidRDefault="002C5025">
      <w:pPr>
        <w:pStyle w:val="BodyText"/>
        <w:kinsoku w:val="0"/>
        <w:overflowPunct w:val="0"/>
        <w:spacing w:line="280" w:lineRule="auto"/>
        <w:ind w:left="514" w:right="123" w:firstLine="717"/>
        <w:rPr>
          <w:rFonts w:ascii="Times New Roman" w:hAnsi="Times New Roman" w:cs="Times New Roman"/>
          <w:color w:val="606060"/>
          <w:sz w:val="27"/>
          <w:szCs w:val="27"/>
        </w:rPr>
      </w:pPr>
      <w:r>
        <w:rPr>
          <w:rFonts w:ascii="Times New Roman" w:hAnsi="Times New Roman" w:cs="Times New Roman"/>
          <w:color w:val="606060"/>
          <w:sz w:val="27"/>
          <w:szCs w:val="27"/>
        </w:rPr>
        <w:t>Mental Health Legal Advisors Committee supports the ability of MassHealth MCO members to enroll or dis</w:t>
      </w:r>
      <w:r w:rsidR="00347C9E">
        <w:rPr>
          <w:rFonts w:ascii="Times New Roman" w:hAnsi="Times New Roman" w:cs="Times New Roman"/>
          <w:color w:val="606060"/>
          <w:sz w:val="27"/>
          <w:szCs w:val="27"/>
        </w:rPr>
        <w:t>-</w:t>
      </w:r>
      <w:r>
        <w:rPr>
          <w:rFonts w:ascii="Times New Roman" w:hAnsi="Times New Roman" w:cs="Times New Roman"/>
          <w:color w:val="606060"/>
          <w:sz w:val="27"/>
          <w:szCs w:val="27"/>
        </w:rPr>
        <w:t>enroll from an MCO at any time. We believe that prohibiting changes in enrollment undermines quality care by limiting member choice and reducing MCO incentives to provide person-centered  care. Members will not dis</w:t>
      </w:r>
      <w:r w:rsidR="00347C9E">
        <w:rPr>
          <w:rFonts w:ascii="Times New Roman" w:hAnsi="Times New Roman" w:cs="Times New Roman"/>
          <w:color w:val="606060"/>
          <w:sz w:val="27"/>
          <w:szCs w:val="27"/>
        </w:rPr>
        <w:t>-</w:t>
      </w:r>
      <w:r>
        <w:rPr>
          <w:rFonts w:ascii="Times New Roman" w:hAnsi="Times New Roman" w:cs="Times New Roman"/>
          <w:color w:val="606060"/>
          <w:sz w:val="27"/>
          <w:szCs w:val="27"/>
        </w:rPr>
        <w:t>enroll from an MCO if quality of care is high and access to desired services is provided.</w:t>
      </w:r>
    </w:p>
    <w:p w:rsidR="002C5025" w:rsidRDefault="002C5025">
      <w:pPr>
        <w:pStyle w:val="BodyText"/>
        <w:kinsoku w:val="0"/>
        <w:overflowPunct w:val="0"/>
        <w:spacing w:before="206" w:line="283" w:lineRule="auto"/>
        <w:ind w:left="514" w:right="235" w:firstLine="715"/>
        <w:rPr>
          <w:rFonts w:ascii="Times New Roman" w:hAnsi="Times New Roman" w:cs="Times New Roman"/>
          <w:color w:val="606060"/>
          <w:sz w:val="27"/>
          <w:szCs w:val="27"/>
        </w:rPr>
      </w:pPr>
      <w:r>
        <w:rPr>
          <w:rFonts w:ascii="Arial" w:hAnsi="Arial" w:cs="Arial"/>
          <w:color w:val="606060"/>
          <w:sz w:val="27"/>
          <w:szCs w:val="27"/>
        </w:rPr>
        <w:t>If</w:t>
      </w:r>
      <w:r w:rsidR="00347C9E">
        <w:rPr>
          <w:rFonts w:ascii="Arial" w:hAnsi="Arial" w:cs="Arial"/>
          <w:color w:val="606060"/>
          <w:sz w:val="27"/>
          <w:szCs w:val="27"/>
        </w:rPr>
        <w:t xml:space="preserve"> </w:t>
      </w:r>
      <w:r>
        <w:rPr>
          <w:rFonts w:ascii="Times New Roman" w:hAnsi="Times New Roman" w:cs="Times New Roman"/>
          <w:color w:val="606060"/>
          <w:sz w:val="27"/>
          <w:szCs w:val="27"/>
        </w:rPr>
        <w:t>MassHealth makes the decision to limit disenrollment to a 90-day period, we encourage MassHealth to add or modify the following  exceptions:</w:t>
      </w:r>
    </w:p>
    <w:p w:rsidR="002C5025" w:rsidRDefault="002C5025">
      <w:pPr>
        <w:pStyle w:val="BodyText"/>
        <w:kinsoku w:val="0"/>
        <w:overflowPunct w:val="0"/>
        <w:spacing w:before="204" w:line="247" w:lineRule="auto"/>
        <w:ind w:left="509" w:right="179" w:firstLine="4"/>
        <w:rPr>
          <w:rFonts w:ascii="Times New Roman" w:hAnsi="Times New Roman" w:cs="Times New Roman"/>
          <w:b/>
          <w:bCs/>
          <w:color w:val="606060"/>
          <w:sz w:val="27"/>
          <w:szCs w:val="27"/>
        </w:rPr>
      </w:pPr>
      <w:bookmarkStart w:id="228" w:name="Enrollee_is_in_continuing_care_with_a_pr"/>
      <w:bookmarkEnd w:id="228"/>
      <w:r>
        <w:rPr>
          <w:rFonts w:ascii="Times New Roman" w:hAnsi="Times New Roman" w:cs="Times New Roman"/>
          <w:b/>
          <w:bCs/>
          <w:color w:val="606060"/>
          <w:sz w:val="27"/>
          <w:szCs w:val="27"/>
        </w:rPr>
        <w:t>Enrollee is in continuing care with a provider who is no longer contracting  with the MCO for reasons other than malpractice or fraud. Continuing care is established if the enrollee has been seen by this provider in the past three months;</w:t>
      </w:r>
    </w:p>
    <w:p w:rsidR="002C5025" w:rsidRDefault="002C5025">
      <w:pPr>
        <w:pStyle w:val="BodyText"/>
        <w:kinsoku w:val="0"/>
        <w:overflowPunct w:val="0"/>
        <w:spacing w:before="7"/>
        <w:rPr>
          <w:rFonts w:ascii="Times New Roman" w:hAnsi="Times New Roman" w:cs="Times New Roman"/>
          <w:b/>
          <w:bCs/>
          <w:sz w:val="26"/>
          <w:szCs w:val="26"/>
        </w:rPr>
      </w:pPr>
    </w:p>
    <w:p w:rsidR="002C5025" w:rsidRDefault="002C5025">
      <w:pPr>
        <w:pStyle w:val="BodyText"/>
        <w:kinsoku w:val="0"/>
        <w:overflowPunct w:val="0"/>
        <w:spacing w:before="1" w:line="249" w:lineRule="auto"/>
        <w:ind w:left="514" w:right="235"/>
        <w:rPr>
          <w:rFonts w:ascii="Times New Roman" w:hAnsi="Times New Roman" w:cs="Times New Roman"/>
          <w:color w:val="606060"/>
          <w:sz w:val="27"/>
          <w:szCs w:val="27"/>
        </w:rPr>
      </w:pPr>
      <w:r>
        <w:rPr>
          <w:rFonts w:ascii="Times New Roman" w:hAnsi="Times New Roman" w:cs="Times New Roman"/>
          <w:color w:val="606060"/>
          <w:sz w:val="27"/>
          <w:szCs w:val="27"/>
        </w:rPr>
        <w:t>This exception is particularly important for members with psychiatric challenges. Th</w:t>
      </w:r>
      <w:r>
        <w:rPr>
          <w:rFonts w:ascii="Times New Roman" w:hAnsi="Times New Roman" w:cs="Times New Roman"/>
          <w:color w:val="7C7C7C"/>
          <w:sz w:val="27"/>
          <w:szCs w:val="27"/>
        </w:rPr>
        <w:t xml:space="preserve">e </w:t>
      </w:r>
      <w:r>
        <w:rPr>
          <w:rFonts w:ascii="Times New Roman" w:hAnsi="Times New Roman" w:cs="Times New Roman"/>
          <w:color w:val="606060"/>
          <w:sz w:val="27"/>
          <w:szCs w:val="27"/>
        </w:rPr>
        <w:t>therapeutic alliance is the single mo</w:t>
      </w:r>
      <w:r>
        <w:rPr>
          <w:rFonts w:ascii="Times New Roman" w:hAnsi="Times New Roman" w:cs="Times New Roman"/>
          <w:color w:val="7C7C7C"/>
          <w:sz w:val="27"/>
          <w:szCs w:val="27"/>
        </w:rPr>
        <w:t>s</w:t>
      </w:r>
      <w:r>
        <w:rPr>
          <w:rFonts w:ascii="Times New Roman" w:hAnsi="Times New Roman" w:cs="Times New Roman"/>
          <w:color w:val="606060"/>
          <w:sz w:val="27"/>
          <w:szCs w:val="27"/>
        </w:rPr>
        <w:t>t accurate indicator of  successful</w:t>
      </w:r>
    </w:p>
    <w:p w:rsidR="002C5025" w:rsidRDefault="002C5025">
      <w:pPr>
        <w:pStyle w:val="BodyText"/>
        <w:kinsoku w:val="0"/>
        <w:overflowPunct w:val="0"/>
        <w:spacing w:before="1" w:line="249" w:lineRule="auto"/>
        <w:ind w:left="514" w:right="235"/>
        <w:rPr>
          <w:rFonts w:ascii="Times New Roman" w:hAnsi="Times New Roman" w:cs="Times New Roman"/>
          <w:color w:val="606060"/>
          <w:sz w:val="27"/>
          <w:szCs w:val="27"/>
        </w:rPr>
        <w:sectPr w:rsidR="002C5025">
          <w:type w:val="continuous"/>
          <w:pgSz w:w="12240" w:h="15840"/>
          <w:pgMar w:top="720" w:right="1420" w:bottom="280" w:left="1060" w:header="720" w:footer="720" w:gutter="0"/>
          <w:cols w:space="720" w:equalWidth="0">
            <w:col w:w="9760"/>
          </w:cols>
          <w:noEndnote/>
        </w:sectPr>
      </w:pPr>
    </w:p>
    <w:p w:rsidR="002C5025" w:rsidRDefault="002C5025">
      <w:pPr>
        <w:pStyle w:val="BodyText"/>
        <w:kinsoku w:val="0"/>
        <w:overflowPunct w:val="0"/>
        <w:spacing w:before="40" w:line="242" w:lineRule="auto"/>
        <w:ind w:left="140" w:right="1645"/>
        <w:rPr>
          <w:rFonts w:ascii="Times New Roman" w:hAnsi="Times New Roman" w:cs="Times New Roman"/>
          <w:color w:val="595958"/>
          <w:sz w:val="27"/>
          <w:szCs w:val="27"/>
        </w:rPr>
      </w:pPr>
      <w:r>
        <w:rPr>
          <w:rFonts w:ascii="Times New Roman" w:hAnsi="Times New Roman" w:cs="Times New Roman"/>
          <w:color w:val="595958"/>
          <w:sz w:val="27"/>
          <w:szCs w:val="27"/>
        </w:rPr>
        <w:lastRenderedPageBreak/>
        <w:t>outcomes. Unnecessarily breaching this alliance diminishes quality of care and decreases the likelihood of recovery.</w:t>
      </w:r>
    </w:p>
    <w:p w:rsidR="002C5025" w:rsidRDefault="002C5025">
      <w:pPr>
        <w:pStyle w:val="BodyText"/>
        <w:kinsoku w:val="0"/>
        <w:overflowPunct w:val="0"/>
        <w:spacing w:before="10"/>
        <w:rPr>
          <w:rFonts w:ascii="Times New Roman" w:hAnsi="Times New Roman" w:cs="Times New Roman"/>
          <w:sz w:val="28"/>
          <w:szCs w:val="28"/>
        </w:rPr>
      </w:pPr>
    </w:p>
    <w:p w:rsidR="002C5025" w:rsidRDefault="002C5025">
      <w:pPr>
        <w:pStyle w:val="BodyText"/>
        <w:kinsoku w:val="0"/>
        <w:overflowPunct w:val="0"/>
        <w:spacing w:line="244" w:lineRule="auto"/>
        <w:ind w:left="135" w:right="1645" w:hanging="1"/>
        <w:rPr>
          <w:rFonts w:ascii="Times New Roman" w:hAnsi="Times New Roman" w:cs="Times New Roman"/>
          <w:b/>
          <w:bCs/>
          <w:color w:val="595958"/>
          <w:sz w:val="27"/>
          <w:szCs w:val="27"/>
        </w:rPr>
      </w:pPr>
      <w:bookmarkStart w:id="229" w:name="Enrollee_demonstrates_that_the_MCO_has_n"/>
      <w:bookmarkEnd w:id="229"/>
      <w:r>
        <w:rPr>
          <w:rFonts w:ascii="Times New Roman" w:hAnsi="Times New Roman" w:cs="Times New Roman"/>
          <w:b/>
          <w:bCs/>
          <w:color w:val="595958"/>
          <w:sz w:val="27"/>
          <w:szCs w:val="27"/>
        </w:rPr>
        <w:t>Enrollee demonstrates that the MCO has not provided the enrollee with access to a health care provider that meets the enrollee's health care, geographic, and temporal needs in a timely manner, even after the enrollee has asked the MCO for help;</w:t>
      </w:r>
    </w:p>
    <w:p w:rsidR="002C5025" w:rsidRDefault="002C5025">
      <w:pPr>
        <w:pStyle w:val="BodyText"/>
        <w:kinsoku w:val="0"/>
        <w:overflowPunct w:val="0"/>
        <w:spacing w:before="11"/>
        <w:rPr>
          <w:rFonts w:ascii="Times New Roman" w:hAnsi="Times New Roman" w:cs="Times New Roman"/>
          <w:b/>
          <w:bCs/>
          <w:sz w:val="26"/>
          <w:szCs w:val="26"/>
        </w:rPr>
      </w:pPr>
    </w:p>
    <w:p w:rsidR="002C5025" w:rsidRDefault="002C5025">
      <w:pPr>
        <w:pStyle w:val="BodyText"/>
        <w:kinsoku w:val="0"/>
        <w:overflowPunct w:val="0"/>
        <w:spacing w:line="244" w:lineRule="auto"/>
        <w:ind w:left="126" w:right="1579" w:firstLine="4"/>
        <w:rPr>
          <w:rFonts w:ascii="Times New Roman" w:hAnsi="Times New Roman" w:cs="Times New Roman"/>
          <w:color w:val="595958"/>
          <w:sz w:val="27"/>
          <w:szCs w:val="27"/>
        </w:rPr>
      </w:pPr>
      <w:r>
        <w:rPr>
          <w:rFonts w:ascii="Times New Roman" w:hAnsi="Times New Roman" w:cs="Times New Roman"/>
          <w:color w:val="595958"/>
          <w:sz w:val="27"/>
          <w:szCs w:val="27"/>
        </w:rPr>
        <w:t xml:space="preserve">The enrollee should not have to prove that he or she has been denied access to care for more than one condition or to more than one provider who meets his or her needs. The denial of access to just one needed provider is sufficient to warrant disenrollment. Furthermore, the needs of an enrollee include the ability to meet with a provider who has hours that are appropriate for the enrollee, </w:t>
      </w:r>
      <w:r>
        <w:rPr>
          <w:rFonts w:ascii="Arial" w:hAnsi="Arial" w:cs="Arial"/>
          <w:color w:val="595958"/>
          <w:position w:val="6"/>
          <w:sz w:val="17"/>
          <w:szCs w:val="17"/>
        </w:rPr>
        <w:t xml:space="preserve">1 </w:t>
      </w:r>
      <w:r>
        <w:rPr>
          <w:rFonts w:ascii="Times New Roman" w:hAnsi="Times New Roman" w:cs="Times New Roman"/>
          <w:color w:val="595958"/>
          <w:sz w:val="27"/>
          <w:szCs w:val="27"/>
        </w:rPr>
        <w:t>in a place that is viable for the enrollee, and who can see the enrollee without undue delay. From MHLAC experience with MassHealth MCO enrollees, waiting periods for culturally and linguistically competent mental health care providers are excessive.</w:t>
      </w:r>
    </w:p>
    <w:p w:rsidR="002C5025" w:rsidRDefault="002C5025">
      <w:pPr>
        <w:pStyle w:val="BodyText"/>
        <w:kinsoku w:val="0"/>
        <w:overflowPunct w:val="0"/>
        <w:spacing w:before="7"/>
        <w:rPr>
          <w:rFonts w:ascii="Times New Roman" w:hAnsi="Times New Roman" w:cs="Times New Roman"/>
          <w:sz w:val="28"/>
          <w:szCs w:val="28"/>
        </w:rPr>
      </w:pPr>
    </w:p>
    <w:p w:rsidR="002C5025" w:rsidRDefault="002C5025">
      <w:pPr>
        <w:pStyle w:val="BodyText"/>
        <w:kinsoku w:val="0"/>
        <w:overflowPunct w:val="0"/>
        <w:spacing w:line="242" w:lineRule="auto"/>
        <w:ind w:left="126" w:right="1645" w:hanging="1"/>
        <w:rPr>
          <w:rFonts w:ascii="Times New Roman" w:hAnsi="Times New Roman" w:cs="Times New Roman"/>
          <w:b/>
          <w:bCs/>
          <w:color w:val="595958"/>
          <w:sz w:val="27"/>
          <w:szCs w:val="27"/>
        </w:rPr>
      </w:pPr>
      <w:bookmarkStart w:id="230" w:name="Enrollee_adequately_demonstrates_to_Mass"/>
      <w:bookmarkEnd w:id="230"/>
      <w:r>
        <w:rPr>
          <w:rFonts w:ascii="Times New Roman" w:hAnsi="Times New Roman" w:cs="Times New Roman"/>
          <w:b/>
          <w:bCs/>
          <w:color w:val="595958"/>
          <w:sz w:val="27"/>
          <w:szCs w:val="27"/>
        </w:rPr>
        <w:t>Enrollee adequately demonstrates to MassHealth that the MCO violated a provision of its contract in relation to the enrollee;</w:t>
      </w:r>
    </w:p>
    <w:p w:rsidR="002C5025" w:rsidRDefault="002C5025">
      <w:pPr>
        <w:pStyle w:val="BodyText"/>
        <w:kinsoku w:val="0"/>
        <w:overflowPunct w:val="0"/>
        <w:spacing w:before="4"/>
        <w:rPr>
          <w:rFonts w:ascii="Times New Roman" w:hAnsi="Times New Roman" w:cs="Times New Roman"/>
          <w:b/>
          <w:bCs/>
          <w:sz w:val="26"/>
          <w:szCs w:val="26"/>
        </w:rPr>
      </w:pPr>
    </w:p>
    <w:p w:rsidR="002C5025" w:rsidRDefault="002C5025">
      <w:pPr>
        <w:pStyle w:val="BodyText"/>
        <w:kinsoku w:val="0"/>
        <w:overflowPunct w:val="0"/>
        <w:spacing w:line="244" w:lineRule="auto"/>
        <w:ind w:left="121" w:right="1645" w:firstLine="4"/>
        <w:rPr>
          <w:rFonts w:ascii="Times New Roman" w:hAnsi="Times New Roman" w:cs="Times New Roman"/>
          <w:color w:val="595958"/>
          <w:w w:val="105"/>
          <w:sz w:val="27"/>
          <w:szCs w:val="27"/>
        </w:rPr>
      </w:pPr>
      <w:r>
        <w:rPr>
          <w:rFonts w:ascii="Arial" w:hAnsi="Arial" w:cs="Arial"/>
          <w:color w:val="595958"/>
          <w:spacing w:val="3"/>
          <w:w w:val="105"/>
          <w:sz w:val="26"/>
          <w:szCs w:val="26"/>
        </w:rPr>
        <w:t>It</w:t>
      </w:r>
      <w:r w:rsidR="00347C9E">
        <w:rPr>
          <w:rFonts w:ascii="Arial" w:hAnsi="Arial" w:cs="Arial"/>
          <w:color w:val="595958"/>
          <w:spacing w:val="3"/>
          <w:w w:val="105"/>
          <w:sz w:val="26"/>
          <w:szCs w:val="26"/>
        </w:rPr>
        <w:t xml:space="preserve"> </w:t>
      </w:r>
      <w:r>
        <w:rPr>
          <w:rFonts w:ascii="Times New Roman" w:hAnsi="Times New Roman" w:cs="Times New Roman"/>
          <w:color w:val="595958"/>
          <w:spacing w:val="3"/>
          <w:w w:val="105"/>
          <w:sz w:val="27"/>
          <w:szCs w:val="27"/>
        </w:rPr>
        <w:t>is</w:t>
      </w:r>
      <w:r w:rsidR="00347C9E">
        <w:rPr>
          <w:rFonts w:ascii="Times New Roman" w:hAnsi="Times New Roman" w:cs="Times New Roman"/>
          <w:color w:val="595958"/>
          <w:spacing w:val="3"/>
          <w:w w:val="105"/>
          <w:sz w:val="27"/>
          <w:szCs w:val="27"/>
        </w:rPr>
        <w:t xml:space="preserve"> </w:t>
      </w:r>
      <w:r>
        <w:rPr>
          <w:rFonts w:ascii="Times New Roman" w:hAnsi="Times New Roman" w:cs="Times New Roman"/>
          <w:color w:val="595958"/>
          <w:spacing w:val="3"/>
          <w:w w:val="105"/>
          <w:sz w:val="27"/>
          <w:szCs w:val="27"/>
        </w:rPr>
        <w:t xml:space="preserve">unclear </w:t>
      </w:r>
      <w:r>
        <w:rPr>
          <w:rFonts w:ascii="Times New Roman" w:hAnsi="Times New Roman" w:cs="Times New Roman"/>
          <w:color w:val="595958"/>
          <w:spacing w:val="4"/>
          <w:w w:val="105"/>
          <w:sz w:val="27"/>
          <w:szCs w:val="27"/>
        </w:rPr>
        <w:t>what</w:t>
      </w:r>
      <w:r w:rsidR="00347C9E">
        <w:rPr>
          <w:rFonts w:ascii="Times New Roman" w:hAnsi="Times New Roman" w:cs="Times New Roman"/>
          <w:color w:val="595958"/>
          <w:spacing w:val="4"/>
          <w:w w:val="105"/>
          <w:sz w:val="27"/>
          <w:szCs w:val="27"/>
        </w:rPr>
        <w:t xml:space="preserve"> </w:t>
      </w:r>
      <w:r>
        <w:rPr>
          <w:rFonts w:ascii="Times New Roman" w:hAnsi="Times New Roman" w:cs="Times New Roman"/>
          <w:color w:val="595958"/>
          <w:spacing w:val="4"/>
          <w:w w:val="105"/>
          <w:sz w:val="27"/>
          <w:szCs w:val="27"/>
        </w:rPr>
        <w:t>is</w:t>
      </w:r>
      <w:r w:rsidR="00347C9E">
        <w:rPr>
          <w:rFonts w:ascii="Times New Roman" w:hAnsi="Times New Roman" w:cs="Times New Roman"/>
          <w:color w:val="595958"/>
          <w:spacing w:val="4"/>
          <w:w w:val="105"/>
          <w:sz w:val="27"/>
          <w:szCs w:val="27"/>
        </w:rPr>
        <w:t xml:space="preserve"> </w:t>
      </w:r>
      <w:r>
        <w:rPr>
          <w:rFonts w:ascii="Times New Roman" w:hAnsi="Times New Roman" w:cs="Times New Roman"/>
          <w:color w:val="595958"/>
          <w:spacing w:val="4"/>
          <w:w w:val="105"/>
          <w:sz w:val="27"/>
          <w:szCs w:val="27"/>
        </w:rPr>
        <w:t>meant</w:t>
      </w:r>
      <w:r w:rsidR="00347C9E">
        <w:rPr>
          <w:rFonts w:ascii="Times New Roman" w:hAnsi="Times New Roman" w:cs="Times New Roman"/>
          <w:color w:val="595958"/>
          <w:spacing w:val="4"/>
          <w:w w:val="105"/>
          <w:sz w:val="27"/>
          <w:szCs w:val="27"/>
        </w:rPr>
        <w:t xml:space="preserve"> </w:t>
      </w:r>
      <w:r>
        <w:rPr>
          <w:rFonts w:ascii="Times New Roman" w:hAnsi="Times New Roman" w:cs="Times New Roman"/>
          <w:color w:val="595958"/>
          <w:spacing w:val="4"/>
          <w:w w:val="105"/>
          <w:sz w:val="27"/>
          <w:szCs w:val="27"/>
        </w:rPr>
        <w:t>by</w:t>
      </w:r>
      <w:r w:rsidR="00347C9E">
        <w:rPr>
          <w:rFonts w:ascii="Times New Roman" w:hAnsi="Times New Roman" w:cs="Times New Roman"/>
          <w:color w:val="595958"/>
          <w:spacing w:val="4"/>
          <w:w w:val="105"/>
          <w:sz w:val="27"/>
          <w:szCs w:val="27"/>
        </w:rPr>
        <w:t xml:space="preserve"> </w:t>
      </w:r>
      <w:r>
        <w:rPr>
          <w:rFonts w:ascii="Times New Roman" w:hAnsi="Times New Roman" w:cs="Times New Roman"/>
          <w:color w:val="595958"/>
          <w:spacing w:val="4"/>
          <w:w w:val="105"/>
          <w:sz w:val="27"/>
          <w:szCs w:val="27"/>
        </w:rPr>
        <w:t xml:space="preserve">"substantially" </w:t>
      </w:r>
      <w:r>
        <w:rPr>
          <w:rFonts w:ascii="Times New Roman" w:hAnsi="Times New Roman" w:cs="Times New Roman"/>
          <w:color w:val="595958"/>
          <w:spacing w:val="3"/>
          <w:w w:val="105"/>
          <w:sz w:val="27"/>
          <w:szCs w:val="27"/>
        </w:rPr>
        <w:t>in</w:t>
      </w:r>
      <w:r w:rsidR="00347C9E">
        <w:rPr>
          <w:rFonts w:ascii="Times New Roman" w:hAnsi="Times New Roman" w:cs="Times New Roman"/>
          <w:color w:val="595958"/>
          <w:spacing w:val="3"/>
          <w:w w:val="105"/>
          <w:sz w:val="27"/>
          <w:szCs w:val="27"/>
        </w:rPr>
        <w:t xml:space="preserve"> </w:t>
      </w:r>
      <w:r>
        <w:rPr>
          <w:rFonts w:ascii="Times New Roman" w:hAnsi="Times New Roman" w:cs="Times New Roman"/>
          <w:color w:val="595958"/>
          <w:spacing w:val="3"/>
          <w:w w:val="105"/>
          <w:sz w:val="27"/>
          <w:szCs w:val="27"/>
        </w:rPr>
        <w:t>this</w:t>
      </w:r>
      <w:r w:rsidR="00347C9E">
        <w:rPr>
          <w:rFonts w:ascii="Times New Roman" w:hAnsi="Times New Roman" w:cs="Times New Roman"/>
          <w:color w:val="595958"/>
          <w:spacing w:val="3"/>
          <w:w w:val="105"/>
          <w:sz w:val="27"/>
          <w:szCs w:val="27"/>
        </w:rPr>
        <w:t xml:space="preserve"> </w:t>
      </w:r>
      <w:r>
        <w:rPr>
          <w:rFonts w:ascii="Times New Roman" w:hAnsi="Times New Roman" w:cs="Times New Roman"/>
          <w:color w:val="595958"/>
          <w:spacing w:val="3"/>
          <w:w w:val="105"/>
          <w:sz w:val="27"/>
          <w:szCs w:val="27"/>
        </w:rPr>
        <w:t xml:space="preserve">context. </w:t>
      </w:r>
      <w:r>
        <w:rPr>
          <w:rFonts w:ascii="Arial" w:hAnsi="Arial" w:cs="Arial"/>
          <w:color w:val="595958"/>
          <w:spacing w:val="6"/>
          <w:w w:val="105"/>
          <w:sz w:val="26"/>
          <w:szCs w:val="26"/>
        </w:rPr>
        <w:t>If</w:t>
      </w:r>
      <w:r w:rsidR="00347C9E">
        <w:rPr>
          <w:rFonts w:ascii="Arial" w:hAnsi="Arial" w:cs="Arial"/>
          <w:color w:val="595958"/>
          <w:spacing w:val="6"/>
          <w:w w:val="105"/>
          <w:sz w:val="26"/>
          <w:szCs w:val="26"/>
        </w:rPr>
        <w:t xml:space="preserve"> </w:t>
      </w:r>
      <w:r>
        <w:rPr>
          <w:rFonts w:ascii="Times New Roman" w:hAnsi="Times New Roman" w:cs="Times New Roman"/>
          <w:color w:val="595958"/>
          <w:spacing w:val="6"/>
          <w:w w:val="105"/>
          <w:sz w:val="27"/>
          <w:szCs w:val="27"/>
        </w:rPr>
        <w:t>it</w:t>
      </w:r>
      <w:r w:rsidR="00347C9E">
        <w:rPr>
          <w:rFonts w:ascii="Times New Roman" w:hAnsi="Times New Roman" w:cs="Times New Roman"/>
          <w:color w:val="595958"/>
          <w:spacing w:val="6"/>
          <w:w w:val="105"/>
          <w:sz w:val="27"/>
          <w:szCs w:val="27"/>
        </w:rPr>
        <w:t xml:space="preserve"> </w:t>
      </w:r>
      <w:r>
        <w:rPr>
          <w:rFonts w:ascii="Times New Roman" w:hAnsi="Times New Roman" w:cs="Times New Roman"/>
          <w:color w:val="595958"/>
          <w:spacing w:val="6"/>
          <w:w w:val="105"/>
          <w:sz w:val="27"/>
          <w:szCs w:val="27"/>
        </w:rPr>
        <w:t>means</w:t>
      </w:r>
      <w:r w:rsidR="00347C9E">
        <w:rPr>
          <w:rFonts w:ascii="Times New Roman" w:hAnsi="Times New Roman" w:cs="Times New Roman"/>
          <w:color w:val="595958"/>
          <w:spacing w:val="6"/>
          <w:w w:val="105"/>
          <w:sz w:val="27"/>
          <w:szCs w:val="27"/>
        </w:rPr>
        <w:t xml:space="preserve"> </w:t>
      </w:r>
      <w:r>
        <w:rPr>
          <w:rFonts w:ascii="Times New Roman" w:hAnsi="Times New Roman" w:cs="Times New Roman"/>
          <w:color w:val="595958"/>
          <w:spacing w:val="6"/>
          <w:w w:val="105"/>
          <w:sz w:val="27"/>
          <w:szCs w:val="27"/>
        </w:rPr>
        <w:t xml:space="preserve">that </w:t>
      </w:r>
      <w:r>
        <w:rPr>
          <w:rFonts w:ascii="Times New Roman" w:hAnsi="Times New Roman" w:cs="Times New Roman"/>
          <w:color w:val="595958"/>
          <w:w w:val="105"/>
          <w:sz w:val="27"/>
          <w:szCs w:val="27"/>
        </w:rPr>
        <w:t>the MCO</w:t>
      </w:r>
      <w:r>
        <w:rPr>
          <w:rFonts w:ascii="Times New Roman" w:hAnsi="Times New Roman" w:cs="Times New Roman"/>
          <w:color w:val="595958"/>
          <w:spacing w:val="-34"/>
          <w:w w:val="105"/>
          <w:sz w:val="27"/>
          <w:szCs w:val="27"/>
        </w:rPr>
        <w:t xml:space="preserve"> </w:t>
      </w:r>
      <w:r>
        <w:rPr>
          <w:rFonts w:ascii="Times New Roman" w:hAnsi="Times New Roman" w:cs="Times New Roman"/>
          <w:i/>
          <w:iCs/>
          <w:color w:val="595958"/>
          <w:w w:val="105"/>
          <w:sz w:val="27"/>
          <w:szCs w:val="27"/>
        </w:rPr>
        <w:t>effectively</w:t>
      </w:r>
      <w:r>
        <w:rPr>
          <w:rFonts w:ascii="Times New Roman" w:hAnsi="Times New Roman" w:cs="Times New Roman"/>
          <w:i/>
          <w:iCs/>
          <w:color w:val="595958"/>
          <w:spacing w:val="-32"/>
          <w:w w:val="105"/>
          <w:sz w:val="27"/>
          <w:szCs w:val="27"/>
        </w:rPr>
        <w:t xml:space="preserve"> </w:t>
      </w:r>
      <w:r>
        <w:rPr>
          <w:rFonts w:ascii="Times New Roman" w:hAnsi="Times New Roman" w:cs="Times New Roman"/>
          <w:color w:val="595958"/>
          <w:w w:val="105"/>
          <w:sz w:val="27"/>
          <w:szCs w:val="27"/>
        </w:rPr>
        <w:t>violated</w:t>
      </w:r>
      <w:r>
        <w:rPr>
          <w:rFonts w:ascii="Times New Roman" w:hAnsi="Times New Roman" w:cs="Times New Roman"/>
          <w:color w:val="595958"/>
          <w:spacing w:val="-30"/>
          <w:w w:val="105"/>
          <w:sz w:val="27"/>
          <w:szCs w:val="27"/>
        </w:rPr>
        <w:t xml:space="preserve"> </w:t>
      </w:r>
      <w:r>
        <w:rPr>
          <w:rFonts w:ascii="Times New Roman" w:hAnsi="Times New Roman" w:cs="Times New Roman"/>
          <w:color w:val="595958"/>
          <w:spacing w:val="3"/>
          <w:w w:val="105"/>
          <w:sz w:val="27"/>
          <w:szCs w:val="27"/>
        </w:rPr>
        <w:t>a</w:t>
      </w:r>
      <w:r w:rsidR="00347C9E">
        <w:rPr>
          <w:rFonts w:ascii="Times New Roman" w:hAnsi="Times New Roman" w:cs="Times New Roman"/>
          <w:color w:val="595958"/>
          <w:spacing w:val="3"/>
          <w:w w:val="105"/>
          <w:sz w:val="27"/>
          <w:szCs w:val="27"/>
        </w:rPr>
        <w:t xml:space="preserve"> </w:t>
      </w:r>
      <w:r>
        <w:rPr>
          <w:rFonts w:ascii="Times New Roman" w:hAnsi="Times New Roman" w:cs="Times New Roman"/>
          <w:color w:val="595958"/>
          <w:spacing w:val="3"/>
          <w:w w:val="105"/>
          <w:sz w:val="27"/>
          <w:szCs w:val="27"/>
        </w:rPr>
        <w:t>material</w:t>
      </w:r>
      <w:r>
        <w:rPr>
          <w:rFonts w:ascii="Times New Roman" w:hAnsi="Times New Roman" w:cs="Times New Roman"/>
          <w:color w:val="595958"/>
          <w:spacing w:val="-31"/>
          <w:w w:val="105"/>
          <w:sz w:val="27"/>
          <w:szCs w:val="27"/>
        </w:rPr>
        <w:t xml:space="preserve"> </w:t>
      </w:r>
      <w:r>
        <w:rPr>
          <w:rFonts w:ascii="Times New Roman" w:hAnsi="Times New Roman" w:cs="Times New Roman"/>
          <w:color w:val="595958"/>
          <w:w w:val="105"/>
          <w:sz w:val="27"/>
          <w:szCs w:val="27"/>
        </w:rPr>
        <w:t>provision</w:t>
      </w:r>
      <w:r>
        <w:rPr>
          <w:rFonts w:ascii="Times New Roman" w:hAnsi="Times New Roman" w:cs="Times New Roman"/>
          <w:color w:val="595958"/>
          <w:spacing w:val="-30"/>
          <w:w w:val="105"/>
          <w:sz w:val="27"/>
          <w:szCs w:val="27"/>
        </w:rPr>
        <w:t xml:space="preserve"> </w:t>
      </w:r>
      <w:r>
        <w:rPr>
          <w:rFonts w:ascii="Times New Roman" w:hAnsi="Times New Roman" w:cs="Times New Roman"/>
          <w:color w:val="595958"/>
          <w:spacing w:val="6"/>
          <w:w w:val="105"/>
          <w:sz w:val="27"/>
          <w:szCs w:val="27"/>
        </w:rPr>
        <w:t>of</w:t>
      </w:r>
      <w:r w:rsidR="00347C9E">
        <w:rPr>
          <w:rFonts w:ascii="Times New Roman" w:hAnsi="Times New Roman" w:cs="Times New Roman"/>
          <w:color w:val="595958"/>
          <w:spacing w:val="6"/>
          <w:w w:val="105"/>
          <w:sz w:val="27"/>
          <w:szCs w:val="27"/>
        </w:rPr>
        <w:t xml:space="preserve"> </w:t>
      </w:r>
      <w:r>
        <w:rPr>
          <w:rFonts w:ascii="Times New Roman" w:hAnsi="Times New Roman" w:cs="Times New Roman"/>
          <w:color w:val="595958"/>
          <w:spacing w:val="6"/>
          <w:w w:val="105"/>
          <w:sz w:val="27"/>
          <w:szCs w:val="27"/>
        </w:rPr>
        <w:t>its</w:t>
      </w:r>
      <w:r>
        <w:rPr>
          <w:rFonts w:ascii="Times New Roman" w:hAnsi="Times New Roman" w:cs="Times New Roman"/>
          <w:color w:val="595958"/>
          <w:spacing w:val="-38"/>
          <w:w w:val="105"/>
          <w:sz w:val="27"/>
          <w:szCs w:val="27"/>
        </w:rPr>
        <w:t xml:space="preserve"> </w:t>
      </w:r>
      <w:r>
        <w:rPr>
          <w:rFonts w:ascii="Times New Roman" w:hAnsi="Times New Roman" w:cs="Times New Roman"/>
          <w:color w:val="595958"/>
          <w:w w:val="105"/>
          <w:sz w:val="27"/>
          <w:szCs w:val="27"/>
        </w:rPr>
        <w:t>contract</w:t>
      </w:r>
      <w:r>
        <w:rPr>
          <w:rFonts w:ascii="Times New Roman" w:hAnsi="Times New Roman" w:cs="Times New Roman"/>
          <w:color w:val="595958"/>
          <w:spacing w:val="-29"/>
          <w:w w:val="105"/>
          <w:sz w:val="27"/>
          <w:szCs w:val="27"/>
        </w:rPr>
        <w:t xml:space="preserve"> </w:t>
      </w:r>
      <w:r>
        <w:rPr>
          <w:rFonts w:ascii="Times New Roman" w:hAnsi="Times New Roman" w:cs="Times New Roman"/>
          <w:color w:val="595958"/>
          <w:w w:val="105"/>
          <w:sz w:val="27"/>
          <w:szCs w:val="27"/>
        </w:rPr>
        <w:t>even</w:t>
      </w:r>
      <w:r>
        <w:rPr>
          <w:rFonts w:ascii="Times New Roman" w:hAnsi="Times New Roman" w:cs="Times New Roman"/>
          <w:color w:val="595958"/>
          <w:spacing w:val="-36"/>
          <w:w w:val="105"/>
          <w:sz w:val="27"/>
          <w:szCs w:val="27"/>
        </w:rPr>
        <w:t xml:space="preserve"> </w:t>
      </w:r>
      <w:r>
        <w:rPr>
          <w:rFonts w:ascii="Times New Roman" w:hAnsi="Times New Roman" w:cs="Times New Roman"/>
          <w:color w:val="595958"/>
          <w:w w:val="105"/>
          <w:sz w:val="27"/>
          <w:szCs w:val="27"/>
        </w:rPr>
        <w:t>though</w:t>
      </w:r>
      <w:r>
        <w:rPr>
          <w:rFonts w:ascii="Times New Roman" w:hAnsi="Times New Roman" w:cs="Times New Roman"/>
          <w:color w:val="595958"/>
          <w:spacing w:val="-34"/>
          <w:w w:val="105"/>
          <w:sz w:val="27"/>
          <w:szCs w:val="27"/>
        </w:rPr>
        <w:t xml:space="preserve"> </w:t>
      </w:r>
      <w:r>
        <w:rPr>
          <w:rFonts w:ascii="Times New Roman" w:hAnsi="Times New Roman" w:cs="Times New Roman"/>
          <w:color w:val="595958"/>
          <w:w w:val="105"/>
          <w:sz w:val="27"/>
          <w:szCs w:val="27"/>
        </w:rPr>
        <w:t>it</w:t>
      </w:r>
      <w:r>
        <w:rPr>
          <w:rFonts w:ascii="Times New Roman" w:hAnsi="Times New Roman" w:cs="Times New Roman"/>
          <w:color w:val="595958"/>
          <w:spacing w:val="-38"/>
          <w:w w:val="105"/>
          <w:sz w:val="27"/>
          <w:szCs w:val="27"/>
        </w:rPr>
        <w:t xml:space="preserve"> </w:t>
      </w:r>
      <w:r>
        <w:rPr>
          <w:rFonts w:ascii="Times New Roman" w:hAnsi="Times New Roman" w:cs="Times New Roman"/>
          <w:color w:val="595958"/>
          <w:spacing w:val="5"/>
          <w:w w:val="105"/>
          <w:sz w:val="27"/>
          <w:szCs w:val="27"/>
        </w:rPr>
        <w:t>did</w:t>
      </w:r>
      <w:r w:rsidR="00347C9E">
        <w:rPr>
          <w:rFonts w:ascii="Times New Roman" w:hAnsi="Times New Roman" w:cs="Times New Roman"/>
          <w:color w:val="595958"/>
          <w:spacing w:val="5"/>
          <w:w w:val="105"/>
          <w:sz w:val="27"/>
          <w:szCs w:val="27"/>
        </w:rPr>
        <w:t xml:space="preserve"> </w:t>
      </w:r>
      <w:r>
        <w:rPr>
          <w:rFonts w:ascii="Times New Roman" w:hAnsi="Times New Roman" w:cs="Times New Roman"/>
          <w:color w:val="595958"/>
          <w:spacing w:val="5"/>
          <w:w w:val="105"/>
          <w:sz w:val="27"/>
          <w:szCs w:val="27"/>
        </w:rPr>
        <w:t xml:space="preserve">not </w:t>
      </w:r>
      <w:r>
        <w:rPr>
          <w:rFonts w:ascii="Times New Roman" w:hAnsi="Times New Roman" w:cs="Times New Roman"/>
          <w:color w:val="595958"/>
          <w:w w:val="105"/>
          <w:sz w:val="27"/>
          <w:szCs w:val="27"/>
        </w:rPr>
        <w:t>violate</w:t>
      </w:r>
      <w:r>
        <w:rPr>
          <w:rFonts w:ascii="Times New Roman" w:hAnsi="Times New Roman" w:cs="Times New Roman"/>
          <w:color w:val="595958"/>
          <w:spacing w:val="-36"/>
          <w:w w:val="105"/>
          <w:sz w:val="27"/>
          <w:szCs w:val="27"/>
        </w:rPr>
        <w:t xml:space="preserve"> </w:t>
      </w:r>
      <w:r>
        <w:rPr>
          <w:rFonts w:ascii="Times New Roman" w:hAnsi="Times New Roman" w:cs="Times New Roman"/>
          <w:color w:val="595958"/>
          <w:w w:val="105"/>
          <w:sz w:val="27"/>
          <w:szCs w:val="27"/>
        </w:rPr>
        <w:t>the</w:t>
      </w:r>
      <w:r>
        <w:rPr>
          <w:rFonts w:ascii="Times New Roman" w:hAnsi="Times New Roman" w:cs="Times New Roman"/>
          <w:color w:val="595958"/>
          <w:spacing w:val="-35"/>
          <w:w w:val="105"/>
          <w:sz w:val="27"/>
          <w:szCs w:val="27"/>
        </w:rPr>
        <w:t xml:space="preserve"> </w:t>
      </w:r>
      <w:r>
        <w:rPr>
          <w:rFonts w:ascii="Times New Roman" w:hAnsi="Times New Roman" w:cs="Times New Roman"/>
          <w:color w:val="595958"/>
          <w:w w:val="105"/>
          <w:sz w:val="27"/>
          <w:szCs w:val="27"/>
        </w:rPr>
        <w:t>contract</w:t>
      </w:r>
      <w:r>
        <w:rPr>
          <w:rFonts w:ascii="Times New Roman" w:hAnsi="Times New Roman" w:cs="Times New Roman"/>
          <w:color w:val="595958"/>
          <w:spacing w:val="-23"/>
          <w:w w:val="105"/>
          <w:sz w:val="27"/>
          <w:szCs w:val="27"/>
        </w:rPr>
        <w:t xml:space="preserve"> </w:t>
      </w:r>
      <w:r>
        <w:rPr>
          <w:rFonts w:ascii="Times New Roman" w:hAnsi="Times New Roman" w:cs="Times New Roman"/>
          <w:color w:val="595958"/>
          <w:w w:val="105"/>
          <w:sz w:val="27"/>
          <w:szCs w:val="27"/>
        </w:rPr>
        <w:t>if</w:t>
      </w:r>
      <w:r>
        <w:rPr>
          <w:rFonts w:ascii="Times New Roman" w:hAnsi="Times New Roman" w:cs="Times New Roman"/>
          <w:color w:val="595958"/>
          <w:spacing w:val="-40"/>
          <w:w w:val="105"/>
          <w:sz w:val="27"/>
          <w:szCs w:val="27"/>
        </w:rPr>
        <w:t xml:space="preserve"> </w:t>
      </w:r>
      <w:r>
        <w:rPr>
          <w:rFonts w:ascii="Times New Roman" w:hAnsi="Times New Roman" w:cs="Times New Roman"/>
          <w:color w:val="595958"/>
          <w:w w:val="105"/>
          <w:sz w:val="27"/>
          <w:szCs w:val="27"/>
        </w:rPr>
        <w:t>the</w:t>
      </w:r>
      <w:r>
        <w:rPr>
          <w:rFonts w:ascii="Times New Roman" w:hAnsi="Times New Roman" w:cs="Times New Roman"/>
          <w:color w:val="595958"/>
          <w:spacing w:val="-35"/>
          <w:w w:val="105"/>
          <w:sz w:val="27"/>
          <w:szCs w:val="27"/>
        </w:rPr>
        <w:t xml:space="preserve"> </w:t>
      </w:r>
      <w:r>
        <w:rPr>
          <w:rFonts w:ascii="Times New Roman" w:hAnsi="Times New Roman" w:cs="Times New Roman"/>
          <w:color w:val="595958"/>
          <w:w w:val="105"/>
          <w:sz w:val="27"/>
          <w:szCs w:val="27"/>
        </w:rPr>
        <w:t>contract</w:t>
      </w:r>
      <w:r>
        <w:rPr>
          <w:rFonts w:ascii="Times New Roman" w:hAnsi="Times New Roman" w:cs="Times New Roman"/>
          <w:color w:val="595958"/>
          <w:spacing w:val="-30"/>
          <w:w w:val="105"/>
          <w:sz w:val="27"/>
          <w:szCs w:val="27"/>
        </w:rPr>
        <w:t xml:space="preserve"> </w:t>
      </w:r>
      <w:r>
        <w:rPr>
          <w:rFonts w:ascii="Times New Roman" w:hAnsi="Times New Roman" w:cs="Times New Roman"/>
          <w:color w:val="595958"/>
          <w:w w:val="105"/>
          <w:sz w:val="27"/>
          <w:szCs w:val="27"/>
        </w:rPr>
        <w:t>is</w:t>
      </w:r>
      <w:r>
        <w:rPr>
          <w:rFonts w:ascii="Times New Roman" w:hAnsi="Times New Roman" w:cs="Times New Roman"/>
          <w:color w:val="595958"/>
          <w:spacing w:val="-42"/>
          <w:w w:val="105"/>
          <w:sz w:val="27"/>
          <w:szCs w:val="27"/>
        </w:rPr>
        <w:t xml:space="preserve"> </w:t>
      </w:r>
      <w:r>
        <w:rPr>
          <w:rFonts w:ascii="Times New Roman" w:hAnsi="Times New Roman" w:cs="Times New Roman"/>
          <w:color w:val="595958"/>
          <w:w w:val="105"/>
          <w:sz w:val="27"/>
          <w:szCs w:val="27"/>
        </w:rPr>
        <w:t>read</w:t>
      </w:r>
      <w:r>
        <w:rPr>
          <w:rFonts w:ascii="Times New Roman" w:hAnsi="Times New Roman" w:cs="Times New Roman"/>
          <w:color w:val="595958"/>
          <w:spacing w:val="-27"/>
          <w:w w:val="105"/>
          <w:sz w:val="27"/>
          <w:szCs w:val="27"/>
        </w:rPr>
        <w:t xml:space="preserve"> </w:t>
      </w:r>
      <w:r>
        <w:rPr>
          <w:rFonts w:ascii="Times New Roman" w:hAnsi="Times New Roman" w:cs="Times New Roman"/>
          <w:color w:val="595958"/>
          <w:w w:val="105"/>
          <w:sz w:val="27"/>
          <w:szCs w:val="27"/>
        </w:rPr>
        <w:t>strictly,</w:t>
      </w:r>
      <w:r>
        <w:rPr>
          <w:rFonts w:ascii="Times New Roman" w:hAnsi="Times New Roman" w:cs="Times New Roman"/>
          <w:color w:val="595958"/>
          <w:spacing w:val="-38"/>
          <w:w w:val="105"/>
          <w:sz w:val="27"/>
          <w:szCs w:val="27"/>
        </w:rPr>
        <w:t xml:space="preserve"> </w:t>
      </w:r>
      <w:r>
        <w:rPr>
          <w:rFonts w:ascii="Times New Roman" w:hAnsi="Times New Roman" w:cs="Times New Roman"/>
          <w:color w:val="595958"/>
          <w:w w:val="105"/>
          <w:sz w:val="27"/>
          <w:szCs w:val="27"/>
        </w:rPr>
        <w:t>then</w:t>
      </w:r>
      <w:r>
        <w:rPr>
          <w:rFonts w:ascii="Times New Roman" w:hAnsi="Times New Roman" w:cs="Times New Roman"/>
          <w:color w:val="595958"/>
          <w:spacing w:val="-35"/>
          <w:w w:val="105"/>
          <w:sz w:val="27"/>
          <w:szCs w:val="27"/>
        </w:rPr>
        <w:t xml:space="preserve"> </w:t>
      </w:r>
      <w:r>
        <w:rPr>
          <w:rFonts w:ascii="Times New Roman" w:hAnsi="Times New Roman" w:cs="Times New Roman"/>
          <w:color w:val="595958"/>
          <w:w w:val="105"/>
          <w:sz w:val="27"/>
          <w:szCs w:val="27"/>
        </w:rPr>
        <w:t>that</w:t>
      </w:r>
      <w:r>
        <w:rPr>
          <w:rFonts w:ascii="Times New Roman" w:hAnsi="Times New Roman" w:cs="Times New Roman"/>
          <w:color w:val="595958"/>
          <w:spacing w:val="-29"/>
          <w:w w:val="105"/>
          <w:sz w:val="27"/>
          <w:szCs w:val="27"/>
        </w:rPr>
        <w:t xml:space="preserve"> </w:t>
      </w:r>
      <w:r>
        <w:rPr>
          <w:rFonts w:ascii="Times New Roman" w:hAnsi="Times New Roman" w:cs="Times New Roman"/>
          <w:color w:val="595958"/>
          <w:w w:val="105"/>
          <w:sz w:val="27"/>
          <w:szCs w:val="27"/>
        </w:rPr>
        <w:t>should</w:t>
      </w:r>
      <w:r>
        <w:rPr>
          <w:rFonts w:ascii="Times New Roman" w:hAnsi="Times New Roman" w:cs="Times New Roman"/>
          <w:color w:val="595958"/>
          <w:spacing w:val="-32"/>
          <w:w w:val="105"/>
          <w:sz w:val="27"/>
          <w:szCs w:val="27"/>
        </w:rPr>
        <w:t xml:space="preserve"> </w:t>
      </w:r>
      <w:r>
        <w:rPr>
          <w:rFonts w:ascii="Times New Roman" w:hAnsi="Times New Roman" w:cs="Times New Roman"/>
          <w:color w:val="595958"/>
          <w:w w:val="105"/>
          <w:sz w:val="27"/>
          <w:szCs w:val="27"/>
        </w:rPr>
        <w:t>be</w:t>
      </w:r>
      <w:r>
        <w:rPr>
          <w:rFonts w:ascii="Times New Roman" w:hAnsi="Times New Roman" w:cs="Times New Roman"/>
          <w:color w:val="595958"/>
          <w:spacing w:val="-38"/>
          <w:w w:val="105"/>
          <w:sz w:val="27"/>
          <w:szCs w:val="27"/>
        </w:rPr>
        <w:t xml:space="preserve"> </w:t>
      </w:r>
      <w:r>
        <w:rPr>
          <w:rFonts w:ascii="Times New Roman" w:hAnsi="Times New Roman" w:cs="Times New Roman"/>
          <w:color w:val="595958"/>
          <w:w w:val="105"/>
          <w:sz w:val="27"/>
          <w:szCs w:val="27"/>
        </w:rPr>
        <w:t>clarified.</w:t>
      </w:r>
    </w:p>
    <w:p w:rsidR="002C5025" w:rsidRDefault="002C5025">
      <w:pPr>
        <w:pStyle w:val="BodyText"/>
        <w:kinsoku w:val="0"/>
        <w:overflowPunct w:val="0"/>
        <w:spacing w:before="2" w:line="242" w:lineRule="auto"/>
        <w:ind w:left="116" w:right="1645" w:firstLine="2"/>
        <w:rPr>
          <w:rFonts w:ascii="Times New Roman" w:hAnsi="Times New Roman" w:cs="Times New Roman"/>
          <w:color w:val="595958"/>
          <w:w w:val="105"/>
          <w:sz w:val="27"/>
          <w:szCs w:val="27"/>
        </w:rPr>
      </w:pPr>
      <w:r>
        <w:rPr>
          <w:rFonts w:ascii="Times New Roman" w:hAnsi="Times New Roman" w:cs="Times New Roman"/>
          <w:color w:val="595958"/>
          <w:w w:val="105"/>
          <w:sz w:val="27"/>
          <w:szCs w:val="27"/>
        </w:rPr>
        <w:t xml:space="preserve">However, any violation </w:t>
      </w:r>
      <w:r>
        <w:rPr>
          <w:rFonts w:ascii="Times New Roman" w:hAnsi="Times New Roman" w:cs="Times New Roman"/>
          <w:color w:val="595958"/>
          <w:spacing w:val="6"/>
          <w:w w:val="105"/>
          <w:sz w:val="27"/>
          <w:szCs w:val="27"/>
        </w:rPr>
        <w:t>of</w:t>
      </w:r>
      <w:r w:rsidR="00347C9E">
        <w:rPr>
          <w:rFonts w:ascii="Times New Roman" w:hAnsi="Times New Roman" w:cs="Times New Roman"/>
          <w:color w:val="595958"/>
          <w:spacing w:val="6"/>
          <w:w w:val="105"/>
          <w:sz w:val="27"/>
          <w:szCs w:val="27"/>
        </w:rPr>
        <w:t xml:space="preserve"> </w:t>
      </w:r>
      <w:r>
        <w:rPr>
          <w:rFonts w:ascii="Times New Roman" w:hAnsi="Times New Roman" w:cs="Times New Roman"/>
          <w:color w:val="595958"/>
          <w:spacing w:val="6"/>
          <w:w w:val="105"/>
          <w:sz w:val="27"/>
          <w:szCs w:val="27"/>
        </w:rPr>
        <w:t xml:space="preserve">the </w:t>
      </w:r>
      <w:r>
        <w:rPr>
          <w:rFonts w:ascii="Times New Roman" w:hAnsi="Times New Roman" w:cs="Times New Roman"/>
          <w:color w:val="595958"/>
          <w:w w:val="105"/>
          <w:sz w:val="27"/>
          <w:szCs w:val="27"/>
        </w:rPr>
        <w:t xml:space="preserve">contract </w:t>
      </w:r>
      <w:r>
        <w:rPr>
          <w:rFonts w:ascii="Times New Roman" w:hAnsi="Times New Roman" w:cs="Times New Roman"/>
          <w:color w:val="595958"/>
          <w:spacing w:val="3"/>
          <w:w w:val="105"/>
          <w:sz w:val="27"/>
          <w:szCs w:val="27"/>
        </w:rPr>
        <w:t>in</w:t>
      </w:r>
      <w:r w:rsidR="00347C9E">
        <w:rPr>
          <w:rFonts w:ascii="Times New Roman" w:hAnsi="Times New Roman" w:cs="Times New Roman"/>
          <w:color w:val="595958"/>
          <w:spacing w:val="3"/>
          <w:w w:val="105"/>
          <w:sz w:val="27"/>
          <w:szCs w:val="27"/>
        </w:rPr>
        <w:t xml:space="preserve"> </w:t>
      </w:r>
      <w:r>
        <w:rPr>
          <w:rFonts w:ascii="Times New Roman" w:hAnsi="Times New Roman" w:cs="Times New Roman"/>
          <w:color w:val="595958"/>
          <w:spacing w:val="3"/>
          <w:w w:val="105"/>
          <w:sz w:val="27"/>
          <w:szCs w:val="27"/>
        </w:rPr>
        <w:t xml:space="preserve">relation </w:t>
      </w:r>
      <w:r>
        <w:rPr>
          <w:rFonts w:ascii="Times New Roman" w:hAnsi="Times New Roman" w:cs="Times New Roman"/>
          <w:color w:val="595958"/>
          <w:spacing w:val="7"/>
          <w:w w:val="105"/>
          <w:sz w:val="27"/>
          <w:szCs w:val="27"/>
        </w:rPr>
        <w:t>to</w:t>
      </w:r>
      <w:r w:rsidR="00347C9E">
        <w:rPr>
          <w:rFonts w:ascii="Times New Roman" w:hAnsi="Times New Roman" w:cs="Times New Roman"/>
          <w:color w:val="595958"/>
          <w:spacing w:val="7"/>
          <w:w w:val="105"/>
          <w:sz w:val="27"/>
          <w:szCs w:val="27"/>
        </w:rPr>
        <w:t xml:space="preserve"> </w:t>
      </w:r>
      <w:r>
        <w:rPr>
          <w:rFonts w:ascii="Times New Roman" w:hAnsi="Times New Roman" w:cs="Times New Roman"/>
          <w:color w:val="595958"/>
          <w:spacing w:val="7"/>
          <w:w w:val="105"/>
          <w:sz w:val="27"/>
          <w:szCs w:val="27"/>
        </w:rPr>
        <w:t xml:space="preserve">the </w:t>
      </w:r>
      <w:r>
        <w:rPr>
          <w:rFonts w:ascii="Times New Roman" w:hAnsi="Times New Roman" w:cs="Times New Roman"/>
          <w:color w:val="595958"/>
          <w:w w:val="105"/>
          <w:sz w:val="27"/>
          <w:szCs w:val="27"/>
        </w:rPr>
        <w:t xml:space="preserve">enrollee </w:t>
      </w:r>
      <w:r>
        <w:rPr>
          <w:rFonts w:ascii="Times New Roman" w:hAnsi="Times New Roman" w:cs="Times New Roman"/>
          <w:color w:val="595958"/>
          <w:spacing w:val="2"/>
          <w:w w:val="105"/>
          <w:sz w:val="27"/>
          <w:szCs w:val="27"/>
        </w:rPr>
        <w:t>should</w:t>
      </w:r>
      <w:r w:rsidR="00347C9E">
        <w:rPr>
          <w:rFonts w:ascii="Times New Roman" w:hAnsi="Times New Roman" w:cs="Times New Roman"/>
          <w:color w:val="595958"/>
          <w:spacing w:val="2"/>
          <w:w w:val="105"/>
          <w:sz w:val="27"/>
          <w:szCs w:val="27"/>
        </w:rPr>
        <w:t xml:space="preserve"> </w:t>
      </w:r>
      <w:r>
        <w:rPr>
          <w:rFonts w:ascii="Times New Roman" w:hAnsi="Times New Roman" w:cs="Times New Roman"/>
          <w:color w:val="595958"/>
          <w:spacing w:val="2"/>
          <w:w w:val="105"/>
          <w:sz w:val="27"/>
          <w:szCs w:val="27"/>
        </w:rPr>
        <w:t xml:space="preserve">warrant </w:t>
      </w:r>
      <w:r>
        <w:rPr>
          <w:rFonts w:ascii="Times New Roman" w:hAnsi="Times New Roman" w:cs="Times New Roman"/>
          <w:color w:val="595958"/>
          <w:w w:val="105"/>
          <w:sz w:val="27"/>
          <w:szCs w:val="27"/>
        </w:rPr>
        <w:t>the</w:t>
      </w:r>
      <w:r>
        <w:rPr>
          <w:rFonts w:ascii="Times New Roman" w:hAnsi="Times New Roman" w:cs="Times New Roman"/>
          <w:color w:val="595958"/>
          <w:spacing w:val="-35"/>
          <w:w w:val="105"/>
          <w:sz w:val="27"/>
          <w:szCs w:val="27"/>
        </w:rPr>
        <w:t xml:space="preserve"> </w:t>
      </w:r>
      <w:r>
        <w:rPr>
          <w:rFonts w:ascii="Times New Roman" w:hAnsi="Times New Roman" w:cs="Times New Roman"/>
          <w:color w:val="595958"/>
          <w:w w:val="105"/>
          <w:sz w:val="27"/>
          <w:szCs w:val="27"/>
        </w:rPr>
        <w:t>ability</w:t>
      </w:r>
      <w:r>
        <w:rPr>
          <w:rFonts w:ascii="Times New Roman" w:hAnsi="Times New Roman" w:cs="Times New Roman"/>
          <w:color w:val="595958"/>
          <w:spacing w:val="-30"/>
          <w:w w:val="105"/>
          <w:sz w:val="27"/>
          <w:szCs w:val="27"/>
        </w:rPr>
        <w:t xml:space="preserve"> </w:t>
      </w:r>
      <w:r>
        <w:rPr>
          <w:rFonts w:ascii="Times New Roman" w:hAnsi="Times New Roman" w:cs="Times New Roman"/>
          <w:color w:val="595958"/>
          <w:spacing w:val="6"/>
          <w:w w:val="105"/>
          <w:sz w:val="27"/>
          <w:szCs w:val="27"/>
        </w:rPr>
        <w:t>of</w:t>
      </w:r>
      <w:r w:rsidR="00347C9E">
        <w:rPr>
          <w:rFonts w:ascii="Times New Roman" w:hAnsi="Times New Roman" w:cs="Times New Roman"/>
          <w:color w:val="595958"/>
          <w:spacing w:val="6"/>
          <w:w w:val="105"/>
          <w:sz w:val="27"/>
          <w:szCs w:val="27"/>
        </w:rPr>
        <w:t xml:space="preserve"> </w:t>
      </w:r>
      <w:r>
        <w:rPr>
          <w:rFonts w:ascii="Times New Roman" w:hAnsi="Times New Roman" w:cs="Times New Roman"/>
          <w:color w:val="595958"/>
          <w:spacing w:val="6"/>
          <w:w w:val="105"/>
          <w:sz w:val="27"/>
          <w:szCs w:val="27"/>
        </w:rPr>
        <w:t>the</w:t>
      </w:r>
      <w:r>
        <w:rPr>
          <w:rFonts w:ascii="Times New Roman" w:hAnsi="Times New Roman" w:cs="Times New Roman"/>
          <w:color w:val="595958"/>
          <w:spacing w:val="-28"/>
          <w:w w:val="105"/>
          <w:sz w:val="27"/>
          <w:szCs w:val="27"/>
        </w:rPr>
        <w:t xml:space="preserve"> </w:t>
      </w:r>
      <w:r>
        <w:rPr>
          <w:rFonts w:ascii="Times New Roman" w:hAnsi="Times New Roman" w:cs="Times New Roman"/>
          <w:color w:val="595958"/>
          <w:w w:val="105"/>
          <w:sz w:val="27"/>
          <w:szCs w:val="27"/>
        </w:rPr>
        <w:t>enrollee</w:t>
      </w:r>
      <w:r>
        <w:rPr>
          <w:rFonts w:ascii="Times New Roman" w:hAnsi="Times New Roman" w:cs="Times New Roman"/>
          <w:color w:val="595958"/>
          <w:spacing w:val="-33"/>
          <w:w w:val="105"/>
          <w:sz w:val="27"/>
          <w:szCs w:val="27"/>
        </w:rPr>
        <w:t xml:space="preserve"> </w:t>
      </w:r>
      <w:r>
        <w:rPr>
          <w:rFonts w:ascii="Times New Roman" w:hAnsi="Times New Roman" w:cs="Times New Roman"/>
          <w:color w:val="595958"/>
          <w:w w:val="105"/>
          <w:sz w:val="27"/>
          <w:szCs w:val="27"/>
        </w:rPr>
        <w:t>to</w:t>
      </w:r>
      <w:r>
        <w:rPr>
          <w:rFonts w:ascii="Times New Roman" w:hAnsi="Times New Roman" w:cs="Times New Roman"/>
          <w:color w:val="595958"/>
          <w:spacing w:val="-32"/>
          <w:w w:val="105"/>
          <w:sz w:val="27"/>
          <w:szCs w:val="27"/>
        </w:rPr>
        <w:t xml:space="preserve"> </w:t>
      </w:r>
      <w:r>
        <w:rPr>
          <w:rFonts w:ascii="Times New Roman" w:hAnsi="Times New Roman" w:cs="Times New Roman"/>
          <w:color w:val="595958"/>
          <w:w w:val="105"/>
          <w:sz w:val="27"/>
          <w:szCs w:val="27"/>
        </w:rPr>
        <w:t>dis</w:t>
      </w:r>
      <w:r w:rsidR="00347C9E">
        <w:rPr>
          <w:rFonts w:ascii="Times New Roman" w:hAnsi="Times New Roman" w:cs="Times New Roman"/>
          <w:color w:val="595958"/>
          <w:w w:val="105"/>
          <w:sz w:val="27"/>
          <w:szCs w:val="27"/>
        </w:rPr>
        <w:t>-</w:t>
      </w:r>
      <w:r>
        <w:rPr>
          <w:rFonts w:ascii="Times New Roman" w:hAnsi="Times New Roman" w:cs="Times New Roman"/>
          <w:color w:val="595958"/>
          <w:w w:val="105"/>
          <w:sz w:val="27"/>
          <w:szCs w:val="27"/>
        </w:rPr>
        <w:t>enroll.</w:t>
      </w:r>
      <w:r>
        <w:rPr>
          <w:rFonts w:ascii="Times New Roman" w:hAnsi="Times New Roman" w:cs="Times New Roman"/>
          <w:color w:val="595958"/>
          <w:spacing w:val="-28"/>
          <w:w w:val="105"/>
          <w:sz w:val="27"/>
          <w:szCs w:val="27"/>
        </w:rPr>
        <w:t xml:space="preserve"> </w:t>
      </w:r>
      <w:r>
        <w:rPr>
          <w:rFonts w:ascii="Times New Roman" w:hAnsi="Times New Roman" w:cs="Times New Roman"/>
          <w:color w:val="595958"/>
          <w:w w:val="105"/>
          <w:sz w:val="27"/>
          <w:szCs w:val="27"/>
        </w:rPr>
        <w:t>The</w:t>
      </w:r>
      <w:r>
        <w:rPr>
          <w:rFonts w:ascii="Times New Roman" w:hAnsi="Times New Roman" w:cs="Times New Roman"/>
          <w:color w:val="595958"/>
          <w:spacing w:val="-33"/>
          <w:w w:val="105"/>
          <w:sz w:val="27"/>
          <w:szCs w:val="27"/>
        </w:rPr>
        <w:t xml:space="preserve"> </w:t>
      </w:r>
      <w:r>
        <w:rPr>
          <w:rFonts w:ascii="Times New Roman" w:hAnsi="Times New Roman" w:cs="Times New Roman"/>
          <w:color w:val="595958"/>
          <w:w w:val="105"/>
          <w:sz w:val="27"/>
          <w:szCs w:val="27"/>
        </w:rPr>
        <w:t>interpretation</w:t>
      </w:r>
      <w:r>
        <w:rPr>
          <w:rFonts w:ascii="Times New Roman" w:hAnsi="Times New Roman" w:cs="Times New Roman"/>
          <w:color w:val="595958"/>
          <w:spacing w:val="-25"/>
          <w:w w:val="105"/>
          <w:sz w:val="27"/>
          <w:szCs w:val="27"/>
        </w:rPr>
        <w:t xml:space="preserve"> </w:t>
      </w:r>
      <w:r>
        <w:rPr>
          <w:rFonts w:ascii="Times New Roman" w:hAnsi="Times New Roman" w:cs="Times New Roman"/>
          <w:color w:val="595958"/>
          <w:w w:val="105"/>
          <w:sz w:val="27"/>
          <w:szCs w:val="27"/>
        </w:rPr>
        <w:t>of</w:t>
      </w:r>
      <w:r>
        <w:rPr>
          <w:rFonts w:ascii="Times New Roman" w:hAnsi="Times New Roman" w:cs="Times New Roman"/>
          <w:color w:val="595958"/>
          <w:spacing w:val="-35"/>
          <w:w w:val="105"/>
          <w:sz w:val="27"/>
          <w:szCs w:val="27"/>
        </w:rPr>
        <w:t xml:space="preserve"> </w:t>
      </w:r>
      <w:r>
        <w:rPr>
          <w:rFonts w:ascii="Times New Roman" w:hAnsi="Times New Roman" w:cs="Times New Roman"/>
          <w:color w:val="595958"/>
          <w:w w:val="105"/>
          <w:sz w:val="27"/>
          <w:szCs w:val="27"/>
        </w:rPr>
        <w:t>"material"</w:t>
      </w:r>
      <w:r>
        <w:rPr>
          <w:rFonts w:ascii="Times New Roman" w:hAnsi="Times New Roman" w:cs="Times New Roman"/>
          <w:color w:val="595958"/>
          <w:spacing w:val="-38"/>
          <w:w w:val="105"/>
          <w:sz w:val="27"/>
          <w:szCs w:val="27"/>
        </w:rPr>
        <w:t xml:space="preserve"> </w:t>
      </w:r>
      <w:r>
        <w:rPr>
          <w:rFonts w:ascii="Times New Roman" w:hAnsi="Times New Roman" w:cs="Times New Roman"/>
          <w:color w:val="595958"/>
          <w:w w:val="105"/>
          <w:sz w:val="27"/>
          <w:szCs w:val="27"/>
        </w:rPr>
        <w:t>is</w:t>
      </w:r>
      <w:r>
        <w:rPr>
          <w:rFonts w:ascii="Times New Roman" w:hAnsi="Times New Roman" w:cs="Times New Roman"/>
          <w:color w:val="595958"/>
          <w:spacing w:val="-34"/>
          <w:w w:val="105"/>
          <w:sz w:val="27"/>
          <w:szCs w:val="27"/>
        </w:rPr>
        <w:t xml:space="preserve"> </w:t>
      </w:r>
      <w:r>
        <w:rPr>
          <w:rFonts w:ascii="Times New Roman" w:hAnsi="Times New Roman" w:cs="Times New Roman"/>
          <w:color w:val="595958"/>
          <w:w w:val="105"/>
          <w:sz w:val="27"/>
          <w:szCs w:val="27"/>
        </w:rPr>
        <w:t>subject</w:t>
      </w:r>
      <w:r>
        <w:rPr>
          <w:rFonts w:ascii="Times New Roman" w:hAnsi="Times New Roman" w:cs="Times New Roman"/>
          <w:color w:val="595958"/>
          <w:spacing w:val="-34"/>
          <w:w w:val="105"/>
          <w:sz w:val="27"/>
          <w:szCs w:val="27"/>
        </w:rPr>
        <w:t xml:space="preserve"> </w:t>
      </w:r>
      <w:r>
        <w:rPr>
          <w:rFonts w:ascii="Times New Roman" w:hAnsi="Times New Roman" w:cs="Times New Roman"/>
          <w:color w:val="595958"/>
          <w:w w:val="105"/>
          <w:sz w:val="27"/>
          <w:szCs w:val="27"/>
        </w:rPr>
        <w:t>to variation.</w:t>
      </w:r>
      <w:r>
        <w:rPr>
          <w:rFonts w:ascii="Times New Roman" w:hAnsi="Times New Roman" w:cs="Times New Roman"/>
          <w:color w:val="595958"/>
          <w:spacing w:val="16"/>
          <w:w w:val="105"/>
          <w:sz w:val="27"/>
          <w:szCs w:val="27"/>
        </w:rPr>
        <w:t xml:space="preserve"> </w:t>
      </w:r>
      <w:r>
        <w:rPr>
          <w:rFonts w:ascii="Arial" w:hAnsi="Arial" w:cs="Arial"/>
          <w:color w:val="595958"/>
          <w:w w:val="105"/>
          <w:sz w:val="26"/>
          <w:szCs w:val="26"/>
        </w:rPr>
        <w:t>It</w:t>
      </w:r>
      <w:r>
        <w:rPr>
          <w:rFonts w:ascii="Arial" w:hAnsi="Arial" w:cs="Arial"/>
          <w:color w:val="595958"/>
          <w:spacing w:val="-50"/>
          <w:w w:val="105"/>
          <w:sz w:val="26"/>
          <w:szCs w:val="26"/>
        </w:rPr>
        <w:t xml:space="preserve"> </w:t>
      </w:r>
      <w:r>
        <w:rPr>
          <w:rFonts w:ascii="Times New Roman" w:hAnsi="Times New Roman" w:cs="Times New Roman"/>
          <w:color w:val="595958"/>
          <w:w w:val="105"/>
          <w:sz w:val="27"/>
          <w:szCs w:val="27"/>
        </w:rPr>
        <w:t>should</w:t>
      </w:r>
      <w:r>
        <w:rPr>
          <w:rFonts w:ascii="Times New Roman" w:hAnsi="Times New Roman" w:cs="Times New Roman"/>
          <w:color w:val="595958"/>
          <w:spacing w:val="-30"/>
          <w:w w:val="105"/>
          <w:sz w:val="27"/>
          <w:szCs w:val="27"/>
        </w:rPr>
        <w:t xml:space="preserve"> </w:t>
      </w:r>
      <w:r>
        <w:rPr>
          <w:rFonts w:ascii="Times New Roman" w:hAnsi="Times New Roman" w:cs="Times New Roman"/>
          <w:color w:val="595958"/>
          <w:w w:val="105"/>
          <w:sz w:val="27"/>
          <w:szCs w:val="27"/>
        </w:rPr>
        <w:t>be</w:t>
      </w:r>
      <w:r>
        <w:rPr>
          <w:rFonts w:ascii="Times New Roman" w:hAnsi="Times New Roman" w:cs="Times New Roman"/>
          <w:color w:val="595958"/>
          <w:spacing w:val="-28"/>
          <w:w w:val="105"/>
          <w:sz w:val="27"/>
          <w:szCs w:val="27"/>
        </w:rPr>
        <w:t xml:space="preserve"> </w:t>
      </w:r>
      <w:r>
        <w:rPr>
          <w:rFonts w:ascii="Times New Roman" w:hAnsi="Times New Roman" w:cs="Times New Roman"/>
          <w:color w:val="595958"/>
          <w:w w:val="105"/>
          <w:sz w:val="27"/>
          <w:szCs w:val="27"/>
        </w:rPr>
        <w:t>clear</w:t>
      </w:r>
      <w:r>
        <w:rPr>
          <w:rFonts w:ascii="Times New Roman" w:hAnsi="Times New Roman" w:cs="Times New Roman"/>
          <w:color w:val="595958"/>
          <w:spacing w:val="-40"/>
          <w:w w:val="105"/>
          <w:sz w:val="27"/>
          <w:szCs w:val="27"/>
        </w:rPr>
        <w:t xml:space="preserve"> </w:t>
      </w:r>
      <w:r>
        <w:rPr>
          <w:rFonts w:ascii="Times New Roman" w:hAnsi="Times New Roman" w:cs="Times New Roman"/>
          <w:color w:val="595958"/>
          <w:w w:val="105"/>
          <w:sz w:val="27"/>
          <w:szCs w:val="27"/>
        </w:rPr>
        <w:t>that</w:t>
      </w:r>
      <w:r>
        <w:rPr>
          <w:rFonts w:ascii="Times New Roman" w:hAnsi="Times New Roman" w:cs="Times New Roman"/>
          <w:color w:val="595958"/>
          <w:spacing w:val="-25"/>
          <w:w w:val="105"/>
          <w:sz w:val="27"/>
          <w:szCs w:val="27"/>
        </w:rPr>
        <w:t xml:space="preserve"> </w:t>
      </w:r>
      <w:r>
        <w:rPr>
          <w:rFonts w:ascii="Times New Roman" w:hAnsi="Times New Roman" w:cs="Times New Roman"/>
          <w:color w:val="595958"/>
          <w:spacing w:val="3"/>
          <w:w w:val="105"/>
          <w:sz w:val="27"/>
          <w:szCs w:val="27"/>
        </w:rPr>
        <w:t>a</w:t>
      </w:r>
      <w:r w:rsidR="00347C9E">
        <w:rPr>
          <w:rFonts w:ascii="Times New Roman" w:hAnsi="Times New Roman" w:cs="Times New Roman"/>
          <w:color w:val="595958"/>
          <w:spacing w:val="3"/>
          <w:w w:val="105"/>
          <w:sz w:val="27"/>
          <w:szCs w:val="27"/>
        </w:rPr>
        <w:t xml:space="preserve"> </w:t>
      </w:r>
      <w:r>
        <w:rPr>
          <w:rFonts w:ascii="Times New Roman" w:hAnsi="Times New Roman" w:cs="Times New Roman"/>
          <w:color w:val="595958"/>
          <w:spacing w:val="3"/>
          <w:w w:val="105"/>
          <w:sz w:val="27"/>
          <w:szCs w:val="27"/>
        </w:rPr>
        <w:t>violation</w:t>
      </w:r>
      <w:r>
        <w:rPr>
          <w:rFonts w:ascii="Times New Roman" w:hAnsi="Times New Roman" w:cs="Times New Roman"/>
          <w:color w:val="595958"/>
          <w:spacing w:val="-21"/>
          <w:w w:val="105"/>
          <w:sz w:val="27"/>
          <w:szCs w:val="27"/>
        </w:rPr>
        <w:t xml:space="preserve"> </w:t>
      </w:r>
      <w:r>
        <w:rPr>
          <w:rFonts w:ascii="Times New Roman" w:hAnsi="Times New Roman" w:cs="Times New Roman"/>
          <w:color w:val="595958"/>
          <w:w w:val="105"/>
          <w:sz w:val="27"/>
          <w:szCs w:val="27"/>
        </w:rPr>
        <w:t>of</w:t>
      </w:r>
      <w:r>
        <w:rPr>
          <w:rFonts w:ascii="Times New Roman" w:hAnsi="Times New Roman" w:cs="Times New Roman"/>
          <w:color w:val="595958"/>
          <w:spacing w:val="-35"/>
          <w:w w:val="105"/>
          <w:sz w:val="27"/>
          <w:szCs w:val="27"/>
        </w:rPr>
        <w:t xml:space="preserve"> </w:t>
      </w:r>
      <w:r>
        <w:rPr>
          <w:rFonts w:ascii="Times New Roman" w:hAnsi="Times New Roman" w:cs="Times New Roman"/>
          <w:color w:val="595958"/>
          <w:w w:val="105"/>
          <w:sz w:val="27"/>
          <w:szCs w:val="27"/>
        </w:rPr>
        <w:t>the</w:t>
      </w:r>
      <w:r>
        <w:rPr>
          <w:rFonts w:ascii="Times New Roman" w:hAnsi="Times New Roman" w:cs="Times New Roman"/>
          <w:color w:val="595958"/>
          <w:spacing w:val="-33"/>
          <w:w w:val="105"/>
          <w:sz w:val="27"/>
          <w:szCs w:val="27"/>
        </w:rPr>
        <w:t xml:space="preserve"> </w:t>
      </w:r>
      <w:r>
        <w:rPr>
          <w:rFonts w:ascii="Times New Roman" w:hAnsi="Times New Roman" w:cs="Times New Roman"/>
          <w:color w:val="595958"/>
          <w:w w:val="105"/>
          <w:sz w:val="27"/>
          <w:szCs w:val="27"/>
        </w:rPr>
        <w:t>contract</w:t>
      </w:r>
      <w:r>
        <w:rPr>
          <w:rFonts w:ascii="Times New Roman" w:hAnsi="Times New Roman" w:cs="Times New Roman"/>
          <w:color w:val="595958"/>
          <w:spacing w:val="-22"/>
          <w:w w:val="105"/>
          <w:sz w:val="27"/>
          <w:szCs w:val="27"/>
        </w:rPr>
        <w:t xml:space="preserve"> </w:t>
      </w:r>
      <w:r>
        <w:rPr>
          <w:rFonts w:ascii="Times New Roman" w:hAnsi="Times New Roman" w:cs="Times New Roman"/>
          <w:color w:val="595958"/>
          <w:w w:val="105"/>
          <w:sz w:val="27"/>
          <w:szCs w:val="27"/>
        </w:rPr>
        <w:t>sufficient</w:t>
      </w:r>
      <w:r>
        <w:rPr>
          <w:rFonts w:ascii="Times New Roman" w:hAnsi="Times New Roman" w:cs="Times New Roman"/>
          <w:color w:val="595958"/>
          <w:spacing w:val="-27"/>
          <w:w w:val="105"/>
          <w:sz w:val="27"/>
          <w:szCs w:val="27"/>
        </w:rPr>
        <w:t xml:space="preserve"> </w:t>
      </w:r>
      <w:r>
        <w:rPr>
          <w:rFonts w:ascii="Times New Roman" w:hAnsi="Times New Roman" w:cs="Times New Roman"/>
          <w:color w:val="595958"/>
          <w:w w:val="105"/>
          <w:sz w:val="27"/>
          <w:szCs w:val="27"/>
        </w:rPr>
        <w:t>to</w:t>
      </w:r>
      <w:r>
        <w:rPr>
          <w:rFonts w:ascii="Times New Roman" w:hAnsi="Times New Roman" w:cs="Times New Roman"/>
          <w:color w:val="595958"/>
          <w:spacing w:val="-30"/>
          <w:w w:val="105"/>
          <w:sz w:val="27"/>
          <w:szCs w:val="27"/>
        </w:rPr>
        <w:t xml:space="preserve"> </w:t>
      </w:r>
      <w:r>
        <w:rPr>
          <w:rFonts w:ascii="Times New Roman" w:hAnsi="Times New Roman" w:cs="Times New Roman"/>
          <w:color w:val="595958"/>
          <w:w w:val="105"/>
          <w:sz w:val="27"/>
          <w:szCs w:val="27"/>
        </w:rPr>
        <w:t>motivate an</w:t>
      </w:r>
      <w:r>
        <w:rPr>
          <w:rFonts w:ascii="Times New Roman" w:hAnsi="Times New Roman" w:cs="Times New Roman"/>
          <w:color w:val="595958"/>
          <w:spacing w:val="-34"/>
          <w:w w:val="105"/>
          <w:sz w:val="27"/>
          <w:szCs w:val="27"/>
        </w:rPr>
        <w:t xml:space="preserve"> </w:t>
      </w:r>
      <w:r>
        <w:rPr>
          <w:rFonts w:ascii="Times New Roman" w:hAnsi="Times New Roman" w:cs="Times New Roman"/>
          <w:color w:val="595958"/>
          <w:w w:val="105"/>
          <w:sz w:val="27"/>
          <w:szCs w:val="27"/>
        </w:rPr>
        <w:t>enrollee</w:t>
      </w:r>
      <w:r>
        <w:rPr>
          <w:rFonts w:ascii="Times New Roman" w:hAnsi="Times New Roman" w:cs="Times New Roman"/>
          <w:color w:val="595958"/>
          <w:spacing w:val="-38"/>
          <w:w w:val="105"/>
          <w:sz w:val="27"/>
          <w:szCs w:val="27"/>
        </w:rPr>
        <w:t xml:space="preserve"> </w:t>
      </w:r>
      <w:r>
        <w:rPr>
          <w:rFonts w:ascii="Times New Roman" w:hAnsi="Times New Roman" w:cs="Times New Roman"/>
          <w:color w:val="595958"/>
          <w:w w:val="105"/>
          <w:sz w:val="27"/>
          <w:szCs w:val="27"/>
        </w:rPr>
        <w:t>to</w:t>
      </w:r>
      <w:r>
        <w:rPr>
          <w:rFonts w:ascii="Times New Roman" w:hAnsi="Times New Roman" w:cs="Times New Roman"/>
          <w:color w:val="595958"/>
          <w:spacing w:val="-33"/>
          <w:w w:val="105"/>
          <w:sz w:val="27"/>
          <w:szCs w:val="27"/>
        </w:rPr>
        <w:t xml:space="preserve"> </w:t>
      </w:r>
      <w:r>
        <w:rPr>
          <w:rFonts w:ascii="Times New Roman" w:hAnsi="Times New Roman" w:cs="Times New Roman"/>
          <w:color w:val="595958"/>
          <w:w w:val="105"/>
          <w:sz w:val="27"/>
          <w:szCs w:val="27"/>
        </w:rPr>
        <w:t>dis</w:t>
      </w:r>
      <w:r w:rsidR="00347C9E">
        <w:rPr>
          <w:rFonts w:ascii="Times New Roman" w:hAnsi="Times New Roman" w:cs="Times New Roman"/>
          <w:color w:val="595958"/>
          <w:w w:val="105"/>
          <w:sz w:val="27"/>
          <w:szCs w:val="27"/>
        </w:rPr>
        <w:t>-</w:t>
      </w:r>
      <w:r>
        <w:rPr>
          <w:rFonts w:ascii="Times New Roman" w:hAnsi="Times New Roman" w:cs="Times New Roman"/>
          <w:color w:val="595958"/>
          <w:w w:val="105"/>
          <w:sz w:val="27"/>
          <w:szCs w:val="27"/>
        </w:rPr>
        <w:t>enroll</w:t>
      </w:r>
      <w:r>
        <w:rPr>
          <w:rFonts w:ascii="Times New Roman" w:hAnsi="Times New Roman" w:cs="Times New Roman"/>
          <w:color w:val="595958"/>
          <w:spacing w:val="-23"/>
          <w:w w:val="105"/>
          <w:sz w:val="27"/>
          <w:szCs w:val="27"/>
        </w:rPr>
        <w:t xml:space="preserve"> </w:t>
      </w:r>
      <w:r>
        <w:rPr>
          <w:rFonts w:ascii="Times New Roman" w:hAnsi="Times New Roman" w:cs="Times New Roman"/>
          <w:color w:val="595958"/>
          <w:w w:val="105"/>
          <w:sz w:val="27"/>
          <w:szCs w:val="27"/>
        </w:rPr>
        <w:t>from</w:t>
      </w:r>
      <w:r>
        <w:rPr>
          <w:rFonts w:ascii="Times New Roman" w:hAnsi="Times New Roman" w:cs="Times New Roman"/>
          <w:color w:val="595958"/>
          <w:spacing w:val="-32"/>
          <w:w w:val="105"/>
          <w:sz w:val="27"/>
          <w:szCs w:val="27"/>
        </w:rPr>
        <w:t xml:space="preserve"> </w:t>
      </w:r>
      <w:r>
        <w:rPr>
          <w:rFonts w:ascii="Times New Roman" w:hAnsi="Times New Roman" w:cs="Times New Roman"/>
          <w:color w:val="595958"/>
          <w:w w:val="105"/>
          <w:sz w:val="27"/>
          <w:szCs w:val="27"/>
        </w:rPr>
        <w:t>an</w:t>
      </w:r>
      <w:r>
        <w:rPr>
          <w:rFonts w:ascii="Times New Roman" w:hAnsi="Times New Roman" w:cs="Times New Roman"/>
          <w:color w:val="595958"/>
          <w:spacing w:val="-33"/>
          <w:w w:val="105"/>
          <w:sz w:val="27"/>
          <w:szCs w:val="27"/>
        </w:rPr>
        <w:t xml:space="preserve"> </w:t>
      </w:r>
      <w:r>
        <w:rPr>
          <w:rFonts w:ascii="Times New Roman" w:hAnsi="Times New Roman" w:cs="Times New Roman"/>
          <w:color w:val="595958"/>
          <w:w w:val="105"/>
          <w:sz w:val="27"/>
          <w:szCs w:val="27"/>
        </w:rPr>
        <w:t>MCO</w:t>
      </w:r>
      <w:r>
        <w:rPr>
          <w:rFonts w:ascii="Times New Roman" w:hAnsi="Times New Roman" w:cs="Times New Roman"/>
          <w:color w:val="595958"/>
          <w:spacing w:val="-31"/>
          <w:w w:val="105"/>
          <w:sz w:val="27"/>
          <w:szCs w:val="27"/>
        </w:rPr>
        <w:t xml:space="preserve"> </w:t>
      </w:r>
      <w:r>
        <w:rPr>
          <w:rFonts w:ascii="Times New Roman" w:hAnsi="Times New Roman" w:cs="Times New Roman"/>
          <w:color w:val="595958"/>
          <w:w w:val="105"/>
          <w:sz w:val="27"/>
          <w:szCs w:val="27"/>
        </w:rPr>
        <w:t>is</w:t>
      </w:r>
      <w:r>
        <w:rPr>
          <w:rFonts w:ascii="Times New Roman" w:hAnsi="Times New Roman" w:cs="Times New Roman"/>
          <w:color w:val="595958"/>
          <w:spacing w:val="-37"/>
          <w:w w:val="105"/>
          <w:sz w:val="27"/>
          <w:szCs w:val="27"/>
        </w:rPr>
        <w:t xml:space="preserve"> </w:t>
      </w:r>
      <w:r>
        <w:rPr>
          <w:rFonts w:ascii="Times New Roman" w:hAnsi="Times New Roman" w:cs="Times New Roman"/>
          <w:color w:val="595958"/>
          <w:w w:val="105"/>
          <w:sz w:val="27"/>
          <w:szCs w:val="27"/>
        </w:rPr>
        <w:t>de</w:t>
      </w:r>
      <w:r>
        <w:rPr>
          <w:rFonts w:ascii="Times New Roman" w:hAnsi="Times New Roman" w:cs="Times New Roman"/>
          <w:color w:val="595958"/>
          <w:spacing w:val="-36"/>
          <w:w w:val="105"/>
          <w:sz w:val="27"/>
          <w:szCs w:val="27"/>
        </w:rPr>
        <w:t xml:space="preserve"> </w:t>
      </w:r>
      <w:r>
        <w:rPr>
          <w:rFonts w:ascii="Times New Roman" w:hAnsi="Times New Roman" w:cs="Times New Roman"/>
          <w:color w:val="595958"/>
          <w:w w:val="105"/>
          <w:sz w:val="27"/>
          <w:szCs w:val="27"/>
        </w:rPr>
        <w:t>facto</w:t>
      </w:r>
      <w:r>
        <w:rPr>
          <w:rFonts w:ascii="Times New Roman" w:hAnsi="Times New Roman" w:cs="Times New Roman"/>
          <w:color w:val="595958"/>
          <w:spacing w:val="-35"/>
          <w:w w:val="105"/>
          <w:sz w:val="27"/>
          <w:szCs w:val="27"/>
        </w:rPr>
        <w:t xml:space="preserve"> </w:t>
      </w:r>
      <w:r>
        <w:rPr>
          <w:rFonts w:ascii="Times New Roman" w:hAnsi="Times New Roman" w:cs="Times New Roman"/>
          <w:color w:val="595958"/>
          <w:w w:val="105"/>
          <w:sz w:val="27"/>
          <w:szCs w:val="27"/>
        </w:rPr>
        <w:t>material.</w:t>
      </w:r>
    </w:p>
    <w:p w:rsidR="002C5025" w:rsidRDefault="002C5025">
      <w:pPr>
        <w:pStyle w:val="BodyText"/>
        <w:kinsoku w:val="0"/>
        <w:overflowPunct w:val="0"/>
        <w:spacing w:before="7"/>
        <w:rPr>
          <w:rFonts w:ascii="Times New Roman" w:hAnsi="Times New Roman" w:cs="Times New Roman"/>
          <w:sz w:val="28"/>
          <w:szCs w:val="28"/>
        </w:rPr>
      </w:pPr>
    </w:p>
    <w:p w:rsidR="002C5025" w:rsidRDefault="002C5025">
      <w:pPr>
        <w:pStyle w:val="BodyText"/>
        <w:kinsoku w:val="0"/>
        <w:overflowPunct w:val="0"/>
        <w:spacing w:before="1" w:line="242" w:lineRule="auto"/>
        <w:ind w:left="121" w:right="1144" w:firstLine="4"/>
        <w:rPr>
          <w:rFonts w:ascii="Times New Roman" w:hAnsi="Times New Roman" w:cs="Times New Roman"/>
          <w:b/>
          <w:bCs/>
          <w:color w:val="595958"/>
          <w:sz w:val="27"/>
          <w:szCs w:val="27"/>
        </w:rPr>
      </w:pPr>
      <w:bookmarkStart w:id="231" w:name="The_enrollee_has_successfully_appealed_t"/>
      <w:bookmarkEnd w:id="231"/>
      <w:r>
        <w:rPr>
          <w:rFonts w:ascii="Times New Roman" w:hAnsi="Times New Roman" w:cs="Times New Roman"/>
          <w:b/>
          <w:bCs/>
          <w:color w:val="595958"/>
          <w:sz w:val="27"/>
          <w:szCs w:val="27"/>
        </w:rPr>
        <w:t>The enrollee has successfully appealed to MassHealth for coverage of a service that the plan denied or modified;</w:t>
      </w:r>
    </w:p>
    <w:p w:rsidR="002C5025" w:rsidRDefault="002C5025">
      <w:pPr>
        <w:pStyle w:val="BodyText"/>
        <w:kinsoku w:val="0"/>
        <w:overflowPunct w:val="0"/>
        <w:spacing w:before="9"/>
        <w:rPr>
          <w:rFonts w:ascii="Times New Roman" w:hAnsi="Times New Roman" w:cs="Times New Roman"/>
          <w:b/>
          <w:bCs/>
          <w:sz w:val="26"/>
          <w:szCs w:val="26"/>
        </w:rPr>
      </w:pPr>
    </w:p>
    <w:p w:rsidR="002C5025" w:rsidRDefault="00FB027C">
      <w:pPr>
        <w:pStyle w:val="BodyText"/>
        <w:kinsoku w:val="0"/>
        <w:overflowPunct w:val="0"/>
        <w:spacing w:line="244" w:lineRule="auto"/>
        <w:ind w:left="116" w:right="1569" w:hanging="1"/>
        <w:rPr>
          <w:rFonts w:ascii="Times New Roman" w:hAnsi="Times New Roman" w:cs="Times New Roman"/>
          <w:color w:val="595958"/>
          <w:sz w:val="27"/>
          <w:szCs w:val="27"/>
        </w:rPr>
      </w:pPr>
      <w:r>
        <w:rPr>
          <w:noProof/>
        </w:rPr>
        <mc:AlternateContent>
          <mc:Choice Requires="wps">
            <w:drawing>
              <wp:anchor distT="0" distB="0" distL="114300" distR="114300" simplePos="0" relativeHeight="251758080" behindDoc="0" locked="0" layoutInCell="0" allowOverlap="1">
                <wp:simplePos x="0" y="0"/>
                <wp:positionH relativeFrom="page">
                  <wp:posOffset>7655560</wp:posOffset>
                </wp:positionH>
                <wp:positionV relativeFrom="paragraph">
                  <wp:posOffset>692785</wp:posOffset>
                </wp:positionV>
                <wp:extent cx="12700" cy="378460"/>
                <wp:effectExtent l="0" t="0" r="0" b="0"/>
                <wp:wrapNone/>
                <wp:docPr id="194" name="Freeform 7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78460"/>
                        </a:xfrm>
                        <a:custGeom>
                          <a:avLst/>
                          <a:gdLst>
                            <a:gd name="T0" fmla="*/ 0 w 20"/>
                            <a:gd name="T1" fmla="*/ 596 h 596"/>
                            <a:gd name="T2" fmla="*/ 0 w 20"/>
                            <a:gd name="T3" fmla="*/ 0 h 596"/>
                          </a:gdLst>
                          <a:ahLst/>
                          <a:cxnLst>
                            <a:cxn ang="0">
                              <a:pos x="T0" y="T1"/>
                            </a:cxn>
                            <a:cxn ang="0">
                              <a:pos x="T2" y="T3"/>
                            </a:cxn>
                          </a:cxnLst>
                          <a:rect l="0" t="0" r="r" b="b"/>
                          <a:pathLst>
                            <a:path w="20" h="596">
                              <a:moveTo>
                                <a:pt x="0" y="596"/>
                              </a:moveTo>
                              <a:lnTo>
                                <a:pt x="0" y="0"/>
                              </a:lnTo>
                            </a:path>
                          </a:pathLst>
                        </a:custGeom>
                        <a:noFill/>
                        <a:ln w="59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47" o:spid="_x0000_s1026" style="position:absolute;z-index:251758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02.8pt,84.35pt,602.8pt,54.55pt" coordsize="20,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" o:allowincell="f" filled="f" strokeweight=".16508mm">
                <v:path arrowok="t" o:connecttype="custom" o:connectlocs="0,378460;0,0" o:connectangles="0,0"/>
                <w10:wrap anchorx="page"/>
              </v:polyline>
            </w:pict>
          </mc:Fallback>
        </mc:AlternateContent>
      </w:r>
      <w:r w:rsidR="002C5025">
        <w:rPr>
          <w:rFonts w:ascii="Times New Roman" w:hAnsi="Times New Roman" w:cs="Times New Roman"/>
          <w:color w:val="595958"/>
          <w:sz w:val="27"/>
          <w:szCs w:val="27"/>
        </w:rPr>
        <w:t xml:space="preserve">An enrollee should not be required to maintain her or his relationship with an  MCO with which she has had to fight for a service that MassHealth has affirmed </w:t>
      </w:r>
      <w:r w:rsidR="002C5025">
        <w:rPr>
          <w:rFonts w:ascii="Times New Roman" w:hAnsi="Times New Roman" w:cs="Times New Roman"/>
          <w:color w:val="595958"/>
          <w:spacing w:val="-3"/>
          <w:sz w:val="27"/>
          <w:szCs w:val="27"/>
        </w:rPr>
        <w:t xml:space="preserve">as </w:t>
      </w:r>
      <w:r w:rsidR="002C5025">
        <w:rPr>
          <w:rFonts w:ascii="Times New Roman" w:hAnsi="Times New Roman" w:cs="Times New Roman"/>
          <w:color w:val="595958"/>
          <w:sz w:val="27"/>
          <w:szCs w:val="27"/>
        </w:rPr>
        <w:t>necessary.</w:t>
      </w:r>
    </w:p>
    <w:p w:rsidR="002C5025" w:rsidRDefault="002C5025">
      <w:pPr>
        <w:pStyle w:val="BodyText"/>
        <w:kinsoku w:val="0"/>
        <w:overflowPunct w:val="0"/>
        <w:spacing w:before="2"/>
        <w:rPr>
          <w:rFonts w:ascii="Times New Roman" w:hAnsi="Times New Roman" w:cs="Times New Roman"/>
          <w:sz w:val="28"/>
          <w:szCs w:val="28"/>
        </w:rPr>
      </w:pPr>
    </w:p>
    <w:p w:rsidR="002C5025" w:rsidRDefault="00FB027C">
      <w:pPr>
        <w:pStyle w:val="BodyText"/>
        <w:kinsoku w:val="0"/>
        <w:overflowPunct w:val="0"/>
        <w:spacing w:line="242" w:lineRule="auto"/>
        <w:ind w:left="116" w:right="1645" w:firstLine="2"/>
        <w:rPr>
          <w:rFonts w:ascii="Times New Roman" w:hAnsi="Times New Roman" w:cs="Times New Roman"/>
          <w:b/>
          <w:bCs/>
          <w:color w:val="595958"/>
          <w:sz w:val="27"/>
          <w:szCs w:val="27"/>
        </w:rPr>
      </w:pPr>
      <w:r>
        <w:rPr>
          <w:noProof/>
        </w:rPr>
        <mc:AlternateContent>
          <mc:Choice Requires="wps">
            <w:drawing>
              <wp:anchor distT="0" distB="0" distL="114300" distR="114300" simplePos="0" relativeHeight="251759104" behindDoc="0" locked="0" layoutInCell="0" allowOverlap="1">
                <wp:simplePos x="0" y="0"/>
                <wp:positionH relativeFrom="page">
                  <wp:posOffset>7655560</wp:posOffset>
                </wp:positionH>
                <wp:positionV relativeFrom="paragraph">
                  <wp:posOffset>375920</wp:posOffset>
                </wp:positionV>
                <wp:extent cx="12700" cy="276225"/>
                <wp:effectExtent l="0" t="0" r="0" b="0"/>
                <wp:wrapNone/>
                <wp:docPr id="192" name="Freeform 7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276225"/>
                        </a:xfrm>
                        <a:custGeom>
                          <a:avLst/>
                          <a:gdLst>
                            <a:gd name="T0" fmla="*/ 0 w 20"/>
                            <a:gd name="T1" fmla="*/ 434 h 435"/>
                            <a:gd name="T2" fmla="*/ 0 w 20"/>
                            <a:gd name="T3" fmla="*/ 0 h 435"/>
                          </a:gdLst>
                          <a:ahLst/>
                          <a:cxnLst>
                            <a:cxn ang="0">
                              <a:pos x="T0" y="T1"/>
                            </a:cxn>
                            <a:cxn ang="0">
                              <a:pos x="T2" y="T3"/>
                            </a:cxn>
                          </a:cxnLst>
                          <a:rect l="0" t="0" r="r" b="b"/>
                          <a:pathLst>
                            <a:path w="20" h="435">
                              <a:moveTo>
                                <a:pt x="0" y="434"/>
                              </a:moveTo>
                              <a:lnTo>
                                <a:pt x="0" y="0"/>
                              </a:lnTo>
                            </a:path>
                          </a:pathLst>
                        </a:custGeom>
                        <a:noFill/>
                        <a:ln w="59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48" o:spid="_x0000_s1026" style="position:absolute;z-index:251759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02.8pt,51.3pt,602.8pt,29.6pt" coordsize="2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" o:allowincell="f" filled="f" strokeweight=".16508mm">
                <v:path arrowok="t" o:connecttype="custom" o:connectlocs="0,275590;0,0" o:connectangles="0,0"/>
                <w10:wrap anchorx="page"/>
              </v:polyline>
            </w:pict>
          </mc:Fallback>
        </mc:AlternateContent>
      </w:r>
      <w:r>
        <w:rPr>
          <w:noProof/>
        </w:rPr>
        <mc:AlternateContent>
          <mc:Choice Requires="wps">
            <w:drawing>
              <wp:anchor distT="0" distB="0" distL="114300" distR="114300" simplePos="0" relativeHeight="251760128" behindDoc="0" locked="0" layoutInCell="0" allowOverlap="1">
                <wp:simplePos x="0" y="0"/>
                <wp:positionH relativeFrom="page">
                  <wp:posOffset>7655560</wp:posOffset>
                </wp:positionH>
                <wp:positionV relativeFrom="paragraph">
                  <wp:posOffset>788670</wp:posOffset>
                </wp:positionV>
                <wp:extent cx="12700" cy="1092200"/>
                <wp:effectExtent l="0" t="0" r="0" b="0"/>
                <wp:wrapNone/>
                <wp:docPr id="190" name="Freeform 7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092200"/>
                        </a:xfrm>
                        <a:custGeom>
                          <a:avLst/>
                          <a:gdLst>
                            <a:gd name="T0" fmla="*/ 0 w 20"/>
                            <a:gd name="T1" fmla="*/ 1719 h 1720"/>
                            <a:gd name="T2" fmla="*/ 0 w 20"/>
                            <a:gd name="T3" fmla="*/ 0 h 1720"/>
                          </a:gdLst>
                          <a:ahLst/>
                          <a:cxnLst>
                            <a:cxn ang="0">
                              <a:pos x="T0" y="T1"/>
                            </a:cxn>
                            <a:cxn ang="0">
                              <a:pos x="T2" y="T3"/>
                            </a:cxn>
                          </a:cxnLst>
                          <a:rect l="0" t="0" r="r" b="b"/>
                          <a:pathLst>
                            <a:path w="20" h="1720">
                              <a:moveTo>
                                <a:pt x="0" y="1719"/>
                              </a:moveTo>
                              <a:lnTo>
                                <a:pt x="0" y="0"/>
                              </a:lnTo>
                            </a:path>
                          </a:pathLst>
                        </a:custGeom>
                        <a:noFill/>
                        <a:ln w="1487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49" o:spid="_x0000_s1026" style="position:absolute;z-index:251760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02.8pt,148.05pt,602.8pt,62.1pt" coordsize="20,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" o:allowincell="f" filled="f" strokeweight=".41308mm">
                <v:path arrowok="t" o:connecttype="custom" o:connectlocs="0,1091565;0,0" o:connectangles="0,0"/>
                <w10:wrap anchorx="page"/>
              </v:polyline>
            </w:pict>
          </mc:Fallback>
        </mc:AlternateContent>
      </w:r>
      <w:bookmarkStart w:id="232" w:name="The_enrollee_needs_related_services_(for"/>
      <w:bookmarkEnd w:id="232"/>
      <w:r w:rsidR="002C5025">
        <w:rPr>
          <w:rFonts w:ascii="Times New Roman" w:hAnsi="Times New Roman" w:cs="Times New Roman"/>
          <w:b/>
          <w:bCs/>
          <w:color w:val="595958"/>
          <w:sz w:val="27"/>
          <w:szCs w:val="27"/>
        </w:rPr>
        <w:t>The enrollee needs related services (for example a caesarean section and a tubal ligation) to be performed at the same time; not all related services are</w:t>
      </w:r>
    </w:p>
    <w:p w:rsidR="002C5025" w:rsidRDefault="002C5025">
      <w:pPr>
        <w:pStyle w:val="BodyText"/>
        <w:kinsoku w:val="0"/>
        <w:overflowPunct w:val="0"/>
        <w:rPr>
          <w:rFonts w:ascii="Times New Roman" w:hAnsi="Times New Roman" w:cs="Times New Roman"/>
          <w:b/>
          <w:bCs/>
          <w:sz w:val="20"/>
          <w:szCs w:val="20"/>
        </w:rPr>
      </w:pPr>
    </w:p>
    <w:p w:rsidR="002C5025" w:rsidRDefault="00FB027C">
      <w:pPr>
        <w:pStyle w:val="BodyText"/>
        <w:kinsoku w:val="0"/>
        <w:overflowPunct w:val="0"/>
        <w:spacing w:before="1"/>
        <w:rPr>
          <w:rFonts w:ascii="Times New Roman" w:hAnsi="Times New Roman" w:cs="Times New Roman"/>
          <w:b/>
          <w:bCs/>
          <w:sz w:val="13"/>
          <w:szCs w:val="13"/>
        </w:rPr>
      </w:pPr>
      <w:r>
        <w:rPr>
          <w:noProof/>
        </w:rPr>
        <mc:AlternateContent>
          <mc:Choice Requires="wps">
            <w:drawing>
              <wp:anchor distT="0" distB="0" distL="0" distR="0" simplePos="0" relativeHeight="251761152" behindDoc="0" locked="0" layoutInCell="0" allowOverlap="1">
                <wp:simplePos x="0" y="0"/>
                <wp:positionH relativeFrom="page">
                  <wp:posOffset>1006475</wp:posOffset>
                </wp:positionH>
                <wp:positionV relativeFrom="paragraph">
                  <wp:posOffset>125730</wp:posOffset>
                </wp:positionV>
                <wp:extent cx="1790065" cy="12700"/>
                <wp:effectExtent l="0" t="0" r="0" b="0"/>
                <wp:wrapTopAndBottom/>
                <wp:docPr id="188" name="Freeform 7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90065" cy="12700"/>
                        </a:xfrm>
                        <a:custGeom>
                          <a:avLst/>
                          <a:gdLst>
                            <a:gd name="T0" fmla="*/ 0 w 2819"/>
                            <a:gd name="T1" fmla="*/ 0 h 20"/>
                            <a:gd name="T2" fmla="*/ 2819 w 2819"/>
                            <a:gd name="T3" fmla="*/ 0 h 20"/>
                          </a:gdLst>
                          <a:ahLst/>
                          <a:cxnLst>
                            <a:cxn ang="0">
                              <a:pos x="T0" y="T1"/>
                            </a:cxn>
                            <a:cxn ang="0">
                              <a:pos x="T2" y="T3"/>
                            </a:cxn>
                          </a:cxnLst>
                          <a:rect l="0" t="0" r="r" b="b"/>
                          <a:pathLst>
                            <a:path w="2819" h="20">
                              <a:moveTo>
                                <a:pt x="0" y="0"/>
                              </a:moveTo>
                              <a:lnTo>
                                <a:pt x="2819" y="0"/>
                              </a:lnTo>
                            </a:path>
                          </a:pathLst>
                        </a:custGeom>
                        <a:noFill/>
                        <a:ln w="10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50" o:spid="_x0000_s1026" style="position:absolute;z-index:251761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9.25pt,9.9pt,220.2pt,9.9pt" coordsize="28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" o:allowincell="f" filled="f" strokeweight=".28892mm">
                <v:path arrowok="t" o:connecttype="custom" o:connectlocs="0,0;1790065,0" o:connectangles="0,0"/>
                <w10:wrap type="topAndBottom" anchorx="page"/>
              </v:polyline>
            </w:pict>
          </mc:Fallback>
        </mc:AlternateContent>
      </w:r>
    </w:p>
    <w:p w:rsidR="002C5025" w:rsidRDefault="002C5025">
      <w:pPr>
        <w:pStyle w:val="BodyText"/>
        <w:kinsoku w:val="0"/>
        <w:overflowPunct w:val="0"/>
        <w:spacing w:before="73" w:line="244" w:lineRule="auto"/>
        <w:ind w:left="111" w:right="1645" w:firstLine="9"/>
        <w:rPr>
          <w:rFonts w:ascii="Times New Roman" w:hAnsi="Times New Roman" w:cs="Times New Roman"/>
          <w:color w:val="595958"/>
          <w:sz w:val="21"/>
          <w:szCs w:val="21"/>
        </w:rPr>
      </w:pPr>
      <w:r>
        <w:rPr>
          <w:rFonts w:ascii="Arial" w:hAnsi="Arial" w:cs="Arial"/>
          <w:color w:val="595958"/>
          <w:position w:val="5"/>
          <w:sz w:val="11"/>
          <w:szCs w:val="11"/>
        </w:rPr>
        <w:t>1</w:t>
      </w:r>
      <w:r>
        <w:rPr>
          <w:rFonts w:ascii="Times New Roman" w:hAnsi="Times New Roman" w:cs="Times New Roman"/>
          <w:color w:val="595958"/>
          <w:sz w:val="21"/>
          <w:szCs w:val="21"/>
        </w:rPr>
        <w:t>Certain medications and conditions make morning appointments inappropriate. Evening hours may be necessary for members who experience their greatest difficulties after  sunset.</w:t>
      </w:r>
    </w:p>
    <w:p w:rsidR="002C5025" w:rsidRDefault="002C5025">
      <w:pPr>
        <w:pStyle w:val="BodyText"/>
        <w:kinsoku w:val="0"/>
        <w:overflowPunct w:val="0"/>
        <w:spacing w:before="7"/>
        <w:rPr>
          <w:rFonts w:ascii="Times New Roman" w:hAnsi="Times New Roman" w:cs="Times New Roman"/>
          <w:sz w:val="11"/>
          <w:szCs w:val="11"/>
        </w:rPr>
      </w:pPr>
    </w:p>
    <w:p w:rsidR="002C5025" w:rsidRDefault="002C5025">
      <w:pPr>
        <w:pStyle w:val="BodyText"/>
        <w:kinsoku w:val="0"/>
        <w:overflowPunct w:val="0"/>
        <w:spacing w:before="74"/>
        <w:ind w:right="1336"/>
        <w:jc w:val="center"/>
        <w:rPr>
          <w:rFonts w:ascii="Times New Roman" w:hAnsi="Times New Roman" w:cs="Times New Roman"/>
          <w:color w:val="5D5D5D"/>
          <w:w w:val="109"/>
          <w:sz w:val="21"/>
          <w:szCs w:val="21"/>
        </w:rPr>
      </w:pPr>
      <w:r>
        <w:rPr>
          <w:rFonts w:ascii="Times New Roman" w:hAnsi="Times New Roman" w:cs="Times New Roman"/>
          <w:color w:val="5D5D5D"/>
          <w:w w:val="109"/>
          <w:sz w:val="21"/>
          <w:szCs w:val="21"/>
        </w:rPr>
        <w:t>2</w:t>
      </w:r>
    </w:p>
    <w:p w:rsidR="002C5025" w:rsidRDefault="002C5025">
      <w:pPr>
        <w:pStyle w:val="BodyText"/>
        <w:kinsoku w:val="0"/>
        <w:overflowPunct w:val="0"/>
        <w:spacing w:before="74"/>
        <w:ind w:right="1336"/>
        <w:jc w:val="center"/>
        <w:rPr>
          <w:rFonts w:ascii="Times New Roman" w:hAnsi="Times New Roman" w:cs="Times New Roman"/>
          <w:color w:val="5D5D5D"/>
          <w:w w:val="109"/>
          <w:sz w:val="21"/>
          <w:szCs w:val="21"/>
        </w:rPr>
        <w:sectPr w:rsidR="002C5025">
          <w:pgSz w:w="12240" w:h="15840"/>
          <w:pgMar w:top="1440" w:right="60" w:bottom="0" w:left="1460" w:header="720" w:footer="720" w:gutter="0"/>
          <w:cols w:space="720" w:equalWidth="0">
            <w:col w:w="10720"/>
          </w:cols>
          <w:noEndnote/>
        </w:sectPr>
      </w:pPr>
    </w:p>
    <w:p w:rsidR="002C5025" w:rsidRDefault="002C5025">
      <w:pPr>
        <w:pStyle w:val="BodyText"/>
        <w:kinsoku w:val="0"/>
        <w:overflowPunct w:val="0"/>
        <w:spacing w:before="44" w:line="244" w:lineRule="auto"/>
        <w:ind w:left="115" w:right="1439" w:firstLine="5"/>
        <w:rPr>
          <w:rFonts w:ascii="Times New Roman" w:hAnsi="Times New Roman" w:cs="Times New Roman"/>
          <w:b/>
          <w:bCs/>
          <w:color w:val="5D5D5D"/>
          <w:sz w:val="27"/>
          <w:szCs w:val="27"/>
        </w:rPr>
      </w:pPr>
      <w:bookmarkStart w:id="233" w:name="available_within_the_network;_and_the_en"/>
      <w:bookmarkEnd w:id="233"/>
      <w:r>
        <w:rPr>
          <w:rFonts w:ascii="Times New Roman" w:hAnsi="Times New Roman" w:cs="Times New Roman"/>
          <w:b/>
          <w:bCs/>
          <w:color w:val="5D5D5D"/>
          <w:sz w:val="27"/>
          <w:szCs w:val="27"/>
        </w:rPr>
        <w:lastRenderedPageBreak/>
        <w:t>available within the network; and the enrollee's primary care provider or another provider determines that receiving the services separately would be less effective, subject the enrollee to unnecessary risk or subject the enrollee to prolonged treatment or additional discomfort;</w:t>
      </w:r>
    </w:p>
    <w:p w:rsidR="002C5025" w:rsidRDefault="002C5025">
      <w:pPr>
        <w:pStyle w:val="BodyText"/>
        <w:kinsoku w:val="0"/>
        <w:overflowPunct w:val="0"/>
        <w:spacing w:before="8"/>
        <w:rPr>
          <w:rFonts w:ascii="Times New Roman" w:hAnsi="Times New Roman" w:cs="Times New Roman"/>
          <w:b/>
          <w:bCs/>
          <w:sz w:val="26"/>
          <w:szCs w:val="26"/>
        </w:rPr>
      </w:pPr>
    </w:p>
    <w:p w:rsidR="002C5025" w:rsidRDefault="002C5025">
      <w:pPr>
        <w:pStyle w:val="BodyText"/>
        <w:kinsoku w:val="0"/>
        <w:overflowPunct w:val="0"/>
        <w:spacing w:line="244" w:lineRule="auto"/>
        <w:ind w:left="120" w:right="1532" w:hanging="10"/>
        <w:rPr>
          <w:rFonts w:ascii="Times New Roman" w:hAnsi="Times New Roman" w:cs="Times New Roman"/>
          <w:color w:val="5D5D5D"/>
          <w:sz w:val="27"/>
          <w:szCs w:val="27"/>
        </w:rPr>
      </w:pPr>
      <w:r>
        <w:rPr>
          <w:rFonts w:ascii="Times New Roman" w:hAnsi="Times New Roman" w:cs="Times New Roman"/>
          <w:color w:val="5D5D5D"/>
          <w:sz w:val="27"/>
          <w:szCs w:val="27"/>
        </w:rPr>
        <w:t>Unnecessary risk is an obvious reason for disenrollment. Provision of less effective care or requiring an enrollee to undergo lengthier treatment or additional discomfort to receive in-network care are just as valid reasons for disenrollment.</w:t>
      </w:r>
    </w:p>
    <w:p w:rsidR="002C5025" w:rsidRDefault="002C5025">
      <w:pPr>
        <w:pStyle w:val="BodyText"/>
        <w:kinsoku w:val="0"/>
        <w:overflowPunct w:val="0"/>
        <w:spacing w:before="4"/>
        <w:rPr>
          <w:rFonts w:ascii="Times New Roman" w:hAnsi="Times New Roman" w:cs="Times New Roman"/>
          <w:sz w:val="28"/>
          <w:szCs w:val="28"/>
        </w:rPr>
      </w:pPr>
    </w:p>
    <w:p w:rsidR="002C5025" w:rsidRDefault="002C5025">
      <w:pPr>
        <w:pStyle w:val="BodyText"/>
        <w:kinsoku w:val="0"/>
        <w:overflowPunct w:val="0"/>
        <w:spacing w:before="1"/>
        <w:ind w:left="115" w:right="1439"/>
        <w:rPr>
          <w:rFonts w:ascii="Times New Roman" w:hAnsi="Times New Roman" w:cs="Times New Roman"/>
          <w:b/>
          <w:bCs/>
          <w:color w:val="5D5D5D"/>
          <w:sz w:val="27"/>
          <w:szCs w:val="27"/>
        </w:rPr>
      </w:pPr>
      <w:bookmarkStart w:id="234" w:name="Enrollee_demonstrates_that_their_languag"/>
      <w:bookmarkEnd w:id="234"/>
      <w:r>
        <w:rPr>
          <w:rFonts w:ascii="Times New Roman" w:hAnsi="Times New Roman" w:cs="Times New Roman"/>
          <w:b/>
          <w:bCs/>
          <w:color w:val="5D5D5D"/>
          <w:sz w:val="27"/>
          <w:szCs w:val="27"/>
        </w:rPr>
        <w:t>Enrollee demonstrates that their language, communication, or other</w:t>
      </w:r>
    </w:p>
    <w:p w:rsidR="002C5025" w:rsidRDefault="002C5025">
      <w:pPr>
        <w:pStyle w:val="BodyText"/>
        <w:kinsoku w:val="0"/>
        <w:overflowPunct w:val="0"/>
        <w:spacing w:before="4"/>
        <w:ind w:left="115" w:right="1439" w:firstLine="4"/>
        <w:rPr>
          <w:rFonts w:ascii="Times New Roman" w:hAnsi="Times New Roman" w:cs="Times New Roman"/>
          <w:b/>
          <w:bCs/>
          <w:color w:val="5D5D5D"/>
          <w:sz w:val="27"/>
          <w:szCs w:val="27"/>
        </w:rPr>
      </w:pPr>
      <w:r>
        <w:rPr>
          <w:rFonts w:ascii="Times New Roman" w:hAnsi="Times New Roman" w:cs="Times New Roman"/>
          <w:b/>
          <w:bCs/>
          <w:color w:val="5D5D5D"/>
          <w:sz w:val="27"/>
          <w:szCs w:val="27"/>
        </w:rPr>
        <w:t>accessibility needs are not met by one or more relevant providers within the MCO·</w:t>
      </w:r>
    </w:p>
    <w:p w:rsidR="002C5025" w:rsidRDefault="002C5025">
      <w:pPr>
        <w:pStyle w:val="BodyText"/>
        <w:kinsoku w:val="0"/>
        <w:overflowPunct w:val="0"/>
        <w:spacing w:line="274" w:lineRule="exact"/>
        <w:ind w:left="807"/>
        <w:rPr>
          <w:rFonts w:ascii="Arial" w:hAnsi="Arial" w:cs="Arial"/>
          <w:color w:val="5D5D5D"/>
          <w:w w:val="133"/>
          <w:sz w:val="37"/>
          <w:szCs w:val="37"/>
        </w:rPr>
      </w:pPr>
      <w:r>
        <w:rPr>
          <w:rFonts w:ascii="Arial" w:hAnsi="Arial" w:cs="Arial"/>
          <w:color w:val="5D5D5D"/>
          <w:w w:val="133"/>
          <w:sz w:val="37"/>
          <w:szCs w:val="37"/>
        </w:rPr>
        <w:t>'</w:t>
      </w:r>
    </w:p>
    <w:p w:rsidR="002C5025" w:rsidRDefault="002C5025">
      <w:pPr>
        <w:pStyle w:val="BodyText"/>
        <w:kinsoku w:val="0"/>
        <w:overflowPunct w:val="0"/>
        <w:spacing w:before="36" w:line="244" w:lineRule="auto"/>
        <w:ind w:left="115" w:right="1673"/>
        <w:rPr>
          <w:rFonts w:ascii="Times New Roman" w:hAnsi="Times New Roman" w:cs="Times New Roman"/>
          <w:color w:val="5D5D5D"/>
          <w:sz w:val="27"/>
          <w:szCs w:val="27"/>
        </w:rPr>
      </w:pPr>
      <w:r>
        <w:rPr>
          <w:rFonts w:ascii="Times New Roman" w:hAnsi="Times New Roman" w:cs="Times New Roman"/>
          <w:color w:val="5D5D5D"/>
          <w:sz w:val="27"/>
          <w:szCs w:val="27"/>
        </w:rPr>
        <w:t>The exception should clarify that accessibility within the network of just one relevant provider is sufficient. An enrollee should not have to be denied a variety of services or access to more than one needed provider to dis</w:t>
      </w:r>
      <w:r w:rsidR="00347C9E">
        <w:rPr>
          <w:rFonts w:ascii="Times New Roman" w:hAnsi="Times New Roman" w:cs="Times New Roman"/>
          <w:color w:val="5D5D5D"/>
          <w:sz w:val="27"/>
          <w:szCs w:val="27"/>
        </w:rPr>
        <w:t>-</w:t>
      </w:r>
      <w:r>
        <w:rPr>
          <w:rFonts w:ascii="Times New Roman" w:hAnsi="Times New Roman" w:cs="Times New Roman"/>
          <w:color w:val="5D5D5D"/>
          <w:sz w:val="27"/>
          <w:szCs w:val="27"/>
        </w:rPr>
        <w:t>enroll.</w:t>
      </w:r>
    </w:p>
    <w:p w:rsidR="002C5025" w:rsidRDefault="002C5025">
      <w:pPr>
        <w:pStyle w:val="BodyText"/>
        <w:kinsoku w:val="0"/>
        <w:overflowPunct w:val="0"/>
        <w:spacing w:before="4"/>
        <w:rPr>
          <w:rFonts w:ascii="Times New Roman" w:hAnsi="Times New Roman" w:cs="Times New Roman"/>
          <w:sz w:val="28"/>
          <w:szCs w:val="28"/>
        </w:rPr>
      </w:pPr>
    </w:p>
    <w:p w:rsidR="002C5025" w:rsidRDefault="002C5025">
      <w:pPr>
        <w:pStyle w:val="BodyText"/>
        <w:kinsoku w:val="0"/>
        <w:overflowPunct w:val="0"/>
        <w:spacing w:before="1" w:line="242" w:lineRule="auto"/>
        <w:ind w:left="115" w:right="1439"/>
        <w:rPr>
          <w:rFonts w:ascii="Times New Roman" w:hAnsi="Times New Roman" w:cs="Times New Roman"/>
          <w:b/>
          <w:bCs/>
          <w:color w:val="5D5D5D"/>
          <w:sz w:val="27"/>
          <w:szCs w:val="27"/>
        </w:rPr>
      </w:pPr>
      <w:bookmarkStart w:id="235" w:name="Enrollee_is_unable_to_access_desired_tre"/>
      <w:bookmarkEnd w:id="235"/>
      <w:r>
        <w:rPr>
          <w:rFonts w:ascii="Times New Roman" w:hAnsi="Times New Roman" w:cs="Times New Roman"/>
          <w:b/>
          <w:bCs/>
          <w:color w:val="5D5D5D"/>
          <w:sz w:val="27"/>
          <w:szCs w:val="27"/>
        </w:rPr>
        <w:t>Enrollee is unable to access desired treatment providers due to a change in MCO network, unless the MCO contracts with the desired treatment provider for the enrollee's care.</w:t>
      </w:r>
    </w:p>
    <w:p w:rsidR="002C5025" w:rsidRDefault="002C5025">
      <w:pPr>
        <w:pStyle w:val="BodyText"/>
        <w:kinsoku w:val="0"/>
        <w:overflowPunct w:val="0"/>
        <w:spacing w:before="9"/>
        <w:rPr>
          <w:rFonts w:ascii="Times New Roman" w:hAnsi="Times New Roman" w:cs="Times New Roman"/>
          <w:b/>
          <w:bCs/>
          <w:sz w:val="26"/>
          <w:szCs w:val="26"/>
        </w:rPr>
      </w:pPr>
    </w:p>
    <w:p w:rsidR="002C5025" w:rsidRDefault="002C5025">
      <w:pPr>
        <w:pStyle w:val="BodyText"/>
        <w:kinsoku w:val="0"/>
        <w:overflowPunct w:val="0"/>
        <w:spacing w:line="280" w:lineRule="auto"/>
        <w:ind w:left="110" w:right="1532" w:firstLine="4"/>
        <w:rPr>
          <w:rFonts w:ascii="Times New Roman" w:hAnsi="Times New Roman" w:cs="Times New Roman"/>
          <w:color w:val="5D5D5D"/>
          <w:position w:val="6"/>
          <w:sz w:val="17"/>
          <w:szCs w:val="17"/>
        </w:rPr>
      </w:pPr>
      <w:r>
        <w:rPr>
          <w:rFonts w:ascii="Times New Roman" w:hAnsi="Times New Roman" w:cs="Times New Roman"/>
          <w:color w:val="5D5D5D"/>
          <w:sz w:val="27"/>
          <w:szCs w:val="27"/>
        </w:rPr>
        <w:t xml:space="preserve">Enrollee decisions on what MCO to choose are based on information at the time of enrollment, including the network composition. </w:t>
      </w:r>
      <w:r>
        <w:rPr>
          <w:rFonts w:ascii="Arial" w:hAnsi="Arial" w:cs="Arial"/>
          <w:color w:val="5D5D5D"/>
          <w:sz w:val="26"/>
          <w:szCs w:val="26"/>
        </w:rPr>
        <w:t>If</w:t>
      </w:r>
      <w:r w:rsidR="00347C9E">
        <w:rPr>
          <w:rFonts w:ascii="Times New Roman" w:hAnsi="Times New Roman" w:cs="Times New Roman"/>
          <w:color w:val="5D5D5D"/>
          <w:sz w:val="27"/>
          <w:szCs w:val="27"/>
        </w:rPr>
        <w:t xml:space="preserve"> t</w:t>
      </w:r>
      <w:r>
        <w:rPr>
          <w:rFonts w:ascii="Times New Roman" w:hAnsi="Times New Roman" w:cs="Times New Roman"/>
          <w:color w:val="5D5D5D"/>
          <w:sz w:val="27"/>
          <w:szCs w:val="27"/>
        </w:rPr>
        <w:t>hat network composition changes, enrollees also should be able to change their enrollment decisions.</w:t>
      </w:r>
      <w:r>
        <w:rPr>
          <w:rFonts w:ascii="Times New Roman" w:hAnsi="Times New Roman" w:cs="Times New Roman"/>
          <w:color w:val="5D5D5D"/>
          <w:position w:val="6"/>
          <w:sz w:val="17"/>
          <w:szCs w:val="17"/>
        </w:rPr>
        <w:t>2</w:t>
      </w:r>
    </w:p>
    <w:p w:rsidR="002C5025" w:rsidRDefault="002C5025">
      <w:pPr>
        <w:pStyle w:val="BodyText"/>
        <w:kinsoku w:val="0"/>
        <w:overflowPunct w:val="0"/>
        <w:rPr>
          <w:rFonts w:ascii="Times New Roman" w:hAnsi="Times New Roman" w:cs="Times New Roman"/>
          <w:sz w:val="26"/>
          <w:szCs w:val="26"/>
        </w:rPr>
      </w:pPr>
    </w:p>
    <w:p w:rsidR="002C5025" w:rsidRDefault="002C5025">
      <w:pPr>
        <w:pStyle w:val="BodyText"/>
        <w:kinsoku w:val="0"/>
        <w:overflowPunct w:val="0"/>
        <w:rPr>
          <w:rFonts w:ascii="Times New Roman" w:hAnsi="Times New Roman" w:cs="Times New Roman"/>
          <w:sz w:val="26"/>
          <w:szCs w:val="26"/>
        </w:rPr>
      </w:pPr>
    </w:p>
    <w:p w:rsidR="002C5025" w:rsidRDefault="00FB027C">
      <w:pPr>
        <w:pStyle w:val="BodyText"/>
        <w:kinsoku w:val="0"/>
        <w:overflowPunct w:val="0"/>
        <w:spacing w:before="154" w:line="280" w:lineRule="auto"/>
        <w:ind w:left="106" w:right="1673" w:firstLine="4"/>
        <w:rPr>
          <w:rFonts w:ascii="Times New Roman" w:hAnsi="Times New Roman" w:cs="Times New Roman"/>
          <w:color w:val="5D5D5D"/>
          <w:sz w:val="27"/>
          <w:szCs w:val="27"/>
        </w:rPr>
      </w:pPr>
      <w:r>
        <w:rPr>
          <w:noProof/>
        </w:rPr>
        <mc:AlternateContent>
          <mc:Choice Requires="wps">
            <w:drawing>
              <wp:anchor distT="0" distB="0" distL="114300" distR="114300" simplePos="0" relativeHeight="251762176" behindDoc="0" locked="0" layoutInCell="0" allowOverlap="1">
                <wp:simplePos x="0" y="0"/>
                <wp:positionH relativeFrom="page">
                  <wp:posOffset>7642860</wp:posOffset>
                </wp:positionH>
                <wp:positionV relativeFrom="paragraph">
                  <wp:posOffset>1322705</wp:posOffset>
                </wp:positionV>
                <wp:extent cx="12700" cy="370840"/>
                <wp:effectExtent l="0" t="0" r="0" b="0"/>
                <wp:wrapNone/>
                <wp:docPr id="186" name="Freeform 7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70840"/>
                        </a:xfrm>
                        <a:custGeom>
                          <a:avLst/>
                          <a:gdLst>
                            <a:gd name="T0" fmla="*/ 0 w 20"/>
                            <a:gd name="T1" fmla="*/ 583 h 584"/>
                            <a:gd name="T2" fmla="*/ 0 w 20"/>
                            <a:gd name="T3" fmla="*/ 0 h 584"/>
                          </a:gdLst>
                          <a:ahLst/>
                          <a:cxnLst>
                            <a:cxn ang="0">
                              <a:pos x="T0" y="T1"/>
                            </a:cxn>
                            <a:cxn ang="0">
                              <a:pos x="T2" y="T3"/>
                            </a:cxn>
                          </a:cxnLst>
                          <a:rect l="0" t="0" r="r" b="b"/>
                          <a:pathLst>
                            <a:path w="20" h="584">
                              <a:moveTo>
                                <a:pt x="0" y="583"/>
                              </a:moveTo>
                              <a:lnTo>
                                <a:pt x="0" y="0"/>
                              </a:lnTo>
                            </a:path>
                          </a:pathLst>
                        </a:custGeom>
                        <a:noFill/>
                        <a:ln w="295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51" o:spid="_x0000_s1026" style="position:absolute;z-index:251762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01.8pt,133.3pt,601.8pt,104.15pt" coordsize="2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" o:allowincell="f" filled="f" strokeweight=".08219mm">
                <v:path arrowok="t" o:connecttype="custom" o:connectlocs="0,370205;0,0" o:connectangles="0,0"/>
                <w10:wrap anchorx="page"/>
              </v:polyline>
            </w:pict>
          </mc:Fallback>
        </mc:AlternateContent>
      </w:r>
      <w:r w:rsidR="002C5025">
        <w:rPr>
          <w:rFonts w:ascii="Times New Roman" w:hAnsi="Times New Roman" w:cs="Times New Roman"/>
          <w:color w:val="5D5D5D"/>
          <w:sz w:val="27"/>
          <w:szCs w:val="27"/>
        </w:rPr>
        <w:t>Attached please find an MHLAC white paper on the importance of choice of providers and services to positive outcomes. We understand the interest of MCOs in the stability of its enrollees. However, providing high quality person-centered care, access to services, and adequate networks of providers, which can be supplemented by single-case agreements when necessary, will ensure stability of enrollees because such MCOs will retain satisfied members.</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FB027C">
      <w:pPr>
        <w:pStyle w:val="BodyText"/>
        <w:kinsoku w:val="0"/>
        <w:overflowPunct w:val="0"/>
        <w:rPr>
          <w:rFonts w:ascii="Times New Roman" w:hAnsi="Times New Roman" w:cs="Times New Roman"/>
        </w:rPr>
      </w:pPr>
      <w:r>
        <w:rPr>
          <w:noProof/>
        </w:rPr>
        <mc:AlternateContent>
          <mc:Choice Requires="wps">
            <w:drawing>
              <wp:anchor distT="0" distB="0" distL="0" distR="0" simplePos="0" relativeHeight="251763200" behindDoc="0" locked="0" layoutInCell="0" allowOverlap="1">
                <wp:simplePos x="0" y="0"/>
                <wp:positionH relativeFrom="page">
                  <wp:posOffset>1016635</wp:posOffset>
                </wp:positionH>
                <wp:positionV relativeFrom="paragraph">
                  <wp:posOffset>190500</wp:posOffset>
                </wp:positionV>
                <wp:extent cx="1782445" cy="12700"/>
                <wp:effectExtent l="0" t="0" r="0" b="0"/>
                <wp:wrapTopAndBottom/>
                <wp:docPr id="183" name="Freeform 7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2445" cy="12700"/>
                        </a:xfrm>
                        <a:custGeom>
                          <a:avLst/>
                          <a:gdLst>
                            <a:gd name="T0" fmla="*/ 0 w 2807"/>
                            <a:gd name="T1" fmla="*/ 0 h 20"/>
                            <a:gd name="T2" fmla="*/ 2807 w 2807"/>
                            <a:gd name="T3" fmla="*/ 0 h 20"/>
                          </a:gdLst>
                          <a:ahLst/>
                          <a:cxnLst>
                            <a:cxn ang="0">
                              <a:pos x="T0" y="T1"/>
                            </a:cxn>
                            <a:cxn ang="0">
                              <a:pos x="T2" y="T3"/>
                            </a:cxn>
                          </a:cxnLst>
                          <a:rect l="0" t="0" r="r" b="b"/>
                          <a:pathLst>
                            <a:path w="2807" h="20">
                              <a:moveTo>
                                <a:pt x="0" y="0"/>
                              </a:moveTo>
                              <a:lnTo>
                                <a:pt x="2807" y="0"/>
                              </a:lnTo>
                            </a:path>
                          </a:pathLst>
                        </a:custGeom>
                        <a:noFill/>
                        <a:ln w="10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52" o:spid="_x0000_s1026" style="position:absolute;z-index:251763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80.05pt,15pt,220.4pt,15pt" coordsize="28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" o:allowincell="f" filled="f" strokeweight=".2875mm">
                <v:path arrowok="t" o:connecttype="custom" o:connectlocs="0,0;1782445,0" o:connectangles="0,0"/>
                <w10:wrap type="topAndBottom" anchorx="page"/>
              </v:polyline>
            </w:pict>
          </mc:Fallback>
        </mc:AlternateContent>
      </w:r>
    </w:p>
    <w:p w:rsidR="002C5025" w:rsidRDefault="002C5025">
      <w:pPr>
        <w:pStyle w:val="BodyText"/>
        <w:kinsoku w:val="0"/>
        <w:overflowPunct w:val="0"/>
        <w:spacing w:before="68" w:line="247" w:lineRule="auto"/>
        <w:ind w:left="106" w:right="1673" w:firstLine="5"/>
        <w:rPr>
          <w:rFonts w:ascii="Times New Roman" w:hAnsi="Times New Roman" w:cs="Times New Roman"/>
          <w:color w:val="5D5D5D"/>
          <w:sz w:val="21"/>
          <w:szCs w:val="21"/>
        </w:rPr>
      </w:pPr>
      <w:r>
        <w:rPr>
          <w:rFonts w:ascii="Times New Roman" w:hAnsi="Times New Roman" w:cs="Times New Roman"/>
          <w:color w:val="5D5D5D"/>
          <w:position w:val="5"/>
          <w:sz w:val="12"/>
          <w:szCs w:val="12"/>
        </w:rPr>
        <w:t xml:space="preserve">2 </w:t>
      </w:r>
      <w:r>
        <w:rPr>
          <w:rFonts w:ascii="Arial" w:hAnsi="Arial" w:cs="Arial"/>
          <w:color w:val="5D5D5D"/>
          <w:sz w:val="20"/>
          <w:szCs w:val="20"/>
        </w:rPr>
        <w:t xml:space="preserve">It </w:t>
      </w:r>
      <w:r>
        <w:rPr>
          <w:rFonts w:ascii="Times New Roman" w:hAnsi="Times New Roman" w:cs="Times New Roman"/>
          <w:color w:val="5D5D5D"/>
          <w:sz w:val="21"/>
          <w:szCs w:val="21"/>
        </w:rPr>
        <w:t>is highly unlikely that enrollees will change plans unless a particularly desired provider who is relevant to their care leaves the MCO network and the enrollee is sufficiently dissatisfied with the rest of their care.</w:t>
      </w:r>
    </w:p>
    <w:p w:rsidR="002C5025" w:rsidRDefault="002C5025">
      <w:pPr>
        <w:pStyle w:val="BodyText"/>
        <w:kinsoku w:val="0"/>
        <w:overflowPunct w:val="0"/>
        <w:spacing w:before="3"/>
        <w:rPr>
          <w:rFonts w:ascii="Times New Roman" w:hAnsi="Times New Roman" w:cs="Times New Roman"/>
          <w:sz w:val="9"/>
          <w:szCs w:val="9"/>
        </w:rPr>
      </w:pPr>
    </w:p>
    <w:p w:rsidR="002C5025" w:rsidRDefault="00FB027C">
      <w:pPr>
        <w:pStyle w:val="BodyText"/>
        <w:kinsoku w:val="0"/>
        <w:overflowPunct w:val="0"/>
        <w:spacing w:before="74"/>
        <w:ind w:right="1316"/>
        <w:jc w:val="center"/>
        <w:rPr>
          <w:rFonts w:ascii="Times New Roman" w:hAnsi="Times New Roman" w:cs="Times New Roman"/>
          <w:color w:val="5D5D5D"/>
          <w:w w:val="109"/>
          <w:sz w:val="21"/>
          <w:szCs w:val="21"/>
        </w:rPr>
      </w:pPr>
      <w:r>
        <w:rPr>
          <w:noProof/>
        </w:rPr>
        <mc:AlternateContent>
          <mc:Choice Requires="wps">
            <w:drawing>
              <wp:anchor distT="0" distB="0" distL="114300" distR="114300" simplePos="0" relativeHeight="251764224" behindDoc="0" locked="0" layoutInCell="0" allowOverlap="1">
                <wp:simplePos x="0" y="0"/>
                <wp:positionH relativeFrom="page">
                  <wp:posOffset>7642225</wp:posOffset>
                </wp:positionH>
                <wp:positionV relativeFrom="paragraph">
                  <wp:posOffset>208280</wp:posOffset>
                </wp:positionV>
                <wp:extent cx="12700" cy="490855"/>
                <wp:effectExtent l="0" t="0" r="0" b="0"/>
                <wp:wrapNone/>
                <wp:docPr id="182" name="Freeform 7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490855"/>
                        </a:xfrm>
                        <a:custGeom>
                          <a:avLst/>
                          <a:gdLst>
                            <a:gd name="T0" fmla="*/ 0 w 20"/>
                            <a:gd name="T1" fmla="*/ 772 h 773"/>
                            <a:gd name="T2" fmla="*/ 0 w 20"/>
                            <a:gd name="T3" fmla="*/ 0 h 773"/>
                          </a:gdLst>
                          <a:ahLst/>
                          <a:cxnLst>
                            <a:cxn ang="0">
                              <a:pos x="T0" y="T1"/>
                            </a:cxn>
                            <a:cxn ang="0">
                              <a:pos x="T2" y="T3"/>
                            </a:cxn>
                          </a:cxnLst>
                          <a:rect l="0" t="0" r="r" b="b"/>
                          <a:pathLst>
                            <a:path w="20" h="773">
                              <a:moveTo>
                                <a:pt x="0" y="772"/>
                              </a:moveTo>
                              <a:lnTo>
                                <a:pt x="0" y="0"/>
                              </a:lnTo>
                            </a:path>
                          </a:pathLst>
                        </a:custGeom>
                        <a:noFill/>
                        <a:ln w="44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53" o:spid="_x0000_s1026" style="position:absolute;z-index:251764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01.75pt,55pt,601.75pt,16.4pt" coordsize="20,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" o:allowincell="f" filled="f" strokeweight=".1231mm">
                <v:path arrowok="t" o:connecttype="custom" o:connectlocs="0,490220;0,0" o:connectangles="0,0"/>
                <w10:wrap anchorx="page"/>
              </v:polyline>
            </w:pict>
          </mc:Fallback>
        </mc:AlternateContent>
      </w:r>
      <w:r w:rsidR="002C5025">
        <w:rPr>
          <w:rFonts w:ascii="Times New Roman" w:hAnsi="Times New Roman" w:cs="Times New Roman"/>
          <w:color w:val="5D5D5D"/>
          <w:w w:val="109"/>
          <w:sz w:val="21"/>
          <w:szCs w:val="21"/>
        </w:rPr>
        <w:t>3</w:t>
      </w:r>
    </w:p>
    <w:p w:rsidR="002C5025" w:rsidRDefault="002C5025">
      <w:pPr>
        <w:pStyle w:val="BodyText"/>
        <w:kinsoku w:val="0"/>
        <w:overflowPunct w:val="0"/>
        <w:spacing w:before="74"/>
        <w:ind w:right="1316"/>
        <w:jc w:val="center"/>
        <w:rPr>
          <w:rFonts w:ascii="Times New Roman" w:hAnsi="Times New Roman" w:cs="Times New Roman"/>
          <w:color w:val="5D5D5D"/>
          <w:w w:val="109"/>
          <w:sz w:val="21"/>
          <w:szCs w:val="21"/>
        </w:rPr>
        <w:sectPr w:rsidR="002C5025">
          <w:pgSz w:w="12240" w:h="15840"/>
          <w:pgMar w:top="1480" w:right="100" w:bottom="280" w:left="1480" w:header="720" w:footer="720" w:gutter="0"/>
          <w:cols w:space="720" w:equalWidth="0">
            <w:col w:w="10660"/>
          </w:cols>
          <w:noEndnote/>
        </w:sectPr>
      </w:pPr>
    </w:p>
    <w:p w:rsidR="002C5025" w:rsidRDefault="002C5025">
      <w:pPr>
        <w:pStyle w:val="BodyText"/>
        <w:kinsoku w:val="0"/>
        <w:overflowPunct w:val="0"/>
        <w:spacing w:before="81" w:line="278" w:lineRule="auto"/>
        <w:ind w:left="629" w:right="1526" w:firstLine="2"/>
        <w:rPr>
          <w:rFonts w:ascii="Times New Roman" w:hAnsi="Times New Roman" w:cs="Times New Roman"/>
          <w:color w:val="646464"/>
          <w:w w:val="95"/>
          <w:sz w:val="27"/>
          <w:szCs w:val="27"/>
        </w:rPr>
      </w:pPr>
      <w:r>
        <w:rPr>
          <w:rFonts w:ascii="Times New Roman" w:hAnsi="Times New Roman" w:cs="Times New Roman"/>
          <w:color w:val="646464"/>
          <w:sz w:val="27"/>
          <w:szCs w:val="27"/>
        </w:rPr>
        <w:lastRenderedPageBreak/>
        <w:t>We</w:t>
      </w:r>
      <w:r>
        <w:rPr>
          <w:rFonts w:ascii="Times New Roman" w:hAnsi="Times New Roman" w:cs="Times New Roman"/>
          <w:color w:val="646464"/>
          <w:spacing w:val="-10"/>
          <w:sz w:val="27"/>
          <w:szCs w:val="27"/>
        </w:rPr>
        <w:t xml:space="preserve"> </w:t>
      </w:r>
      <w:r>
        <w:rPr>
          <w:rFonts w:ascii="Times New Roman" w:hAnsi="Times New Roman" w:cs="Times New Roman"/>
          <w:color w:val="646464"/>
          <w:sz w:val="27"/>
          <w:szCs w:val="27"/>
        </w:rPr>
        <w:t>look</w:t>
      </w:r>
      <w:r>
        <w:rPr>
          <w:rFonts w:ascii="Times New Roman" w:hAnsi="Times New Roman" w:cs="Times New Roman"/>
          <w:color w:val="646464"/>
          <w:spacing w:val="-5"/>
          <w:sz w:val="27"/>
          <w:szCs w:val="27"/>
        </w:rPr>
        <w:t xml:space="preserve"> </w:t>
      </w:r>
      <w:r>
        <w:rPr>
          <w:rFonts w:ascii="Times New Roman" w:hAnsi="Times New Roman" w:cs="Times New Roman"/>
          <w:color w:val="646464"/>
          <w:sz w:val="27"/>
          <w:szCs w:val="27"/>
        </w:rPr>
        <w:t>forward</w:t>
      </w:r>
      <w:r>
        <w:rPr>
          <w:rFonts w:ascii="Times New Roman" w:hAnsi="Times New Roman" w:cs="Times New Roman"/>
          <w:color w:val="646464"/>
          <w:spacing w:val="-8"/>
          <w:sz w:val="27"/>
          <w:szCs w:val="27"/>
        </w:rPr>
        <w:t xml:space="preserve"> </w:t>
      </w:r>
      <w:r>
        <w:rPr>
          <w:rFonts w:ascii="Times New Roman" w:hAnsi="Times New Roman" w:cs="Times New Roman"/>
          <w:color w:val="646464"/>
          <w:sz w:val="27"/>
          <w:szCs w:val="27"/>
        </w:rPr>
        <w:t>to</w:t>
      </w:r>
      <w:r>
        <w:rPr>
          <w:rFonts w:ascii="Times New Roman" w:hAnsi="Times New Roman" w:cs="Times New Roman"/>
          <w:color w:val="646464"/>
          <w:spacing w:val="-17"/>
          <w:sz w:val="27"/>
          <w:szCs w:val="27"/>
        </w:rPr>
        <w:t xml:space="preserve"> </w:t>
      </w:r>
      <w:r>
        <w:rPr>
          <w:rFonts w:ascii="Times New Roman" w:hAnsi="Times New Roman" w:cs="Times New Roman"/>
          <w:color w:val="646464"/>
          <w:sz w:val="27"/>
          <w:szCs w:val="27"/>
        </w:rPr>
        <w:t>working</w:t>
      </w:r>
      <w:r>
        <w:rPr>
          <w:rFonts w:ascii="Times New Roman" w:hAnsi="Times New Roman" w:cs="Times New Roman"/>
          <w:color w:val="646464"/>
          <w:spacing w:val="-7"/>
          <w:sz w:val="27"/>
          <w:szCs w:val="27"/>
        </w:rPr>
        <w:t xml:space="preserve"> </w:t>
      </w:r>
      <w:r>
        <w:rPr>
          <w:rFonts w:ascii="Times New Roman" w:hAnsi="Times New Roman" w:cs="Times New Roman"/>
          <w:color w:val="646464"/>
          <w:sz w:val="27"/>
          <w:szCs w:val="27"/>
        </w:rPr>
        <w:t>with</w:t>
      </w:r>
      <w:r>
        <w:rPr>
          <w:rFonts w:ascii="Times New Roman" w:hAnsi="Times New Roman" w:cs="Times New Roman"/>
          <w:color w:val="646464"/>
          <w:spacing w:val="-12"/>
          <w:sz w:val="27"/>
          <w:szCs w:val="27"/>
        </w:rPr>
        <w:t xml:space="preserve"> </w:t>
      </w:r>
      <w:r>
        <w:rPr>
          <w:rFonts w:ascii="Times New Roman" w:hAnsi="Times New Roman" w:cs="Times New Roman"/>
          <w:color w:val="646464"/>
          <w:sz w:val="27"/>
          <w:szCs w:val="27"/>
        </w:rPr>
        <w:t>you</w:t>
      </w:r>
      <w:r>
        <w:rPr>
          <w:rFonts w:ascii="Times New Roman" w:hAnsi="Times New Roman" w:cs="Times New Roman"/>
          <w:color w:val="646464"/>
          <w:spacing w:val="-3"/>
          <w:sz w:val="27"/>
          <w:szCs w:val="27"/>
        </w:rPr>
        <w:t xml:space="preserve"> </w:t>
      </w:r>
      <w:r>
        <w:rPr>
          <w:rFonts w:ascii="Times New Roman" w:hAnsi="Times New Roman" w:cs="Times New Roman"/>
          <w:color w:val="646464"/>
          <w:sz w:val="27"/>
          <w:szCs w:val="27"/>
        </w:rPr>
        <w:t>to</w:t>
      </w:r>
      <w:r>
        <w:rPr>
          <w:rFonts w:ascii="Times New Roman" w:hAnsi="Times New Roman" w:cs="Times New Roman"/>
          <w:color w:val="646464"/>
          <w:spacing w:val="-12"/>
          <w:sz w:val="27"/>
          <w:szCs w:val="27"/>
        </w:rPr>
        <w:t xml:space="preserve"> </w:t>
      </w:r>
      <w:r>
        <w:rPr>
          <w:rFonts w:ascii="Times New Roman" w:hAnsi="Times New Roman" w:cs="Times New Roman"/>
          <w:color w:val="646464"/>
          <w:sz w:val="27"/>
          <w:szCs w:val="27"/>
        </w:rPr>
        <w:t>improve</w:t>
      </w:r>
      <w:r>
        <w:rPr>
          <w:rFonts w:ascii="Times New Roman" w:hAnsi="Times New Roman" w:cs="Times New Roman"/>
          <w:color w:val="646464"/>
          <w:spacing w:val="-12"/>
          <w:sz w:val="27"/>
          <w:szCs w:val="27"/>
        </w:rPr>
        <w:t xml:space="preserve"> </w:t>
      </w:r>
      <w:r>
        <w:rPr>
          <w:rFonts w:ascii="Times New Roman" w:hAnsi="Times New Roman" w:cs="Times New Roman"/>
          <w:color w:val="646464"/>
          <w:sz w:val="27"/>
          <w:szCs w:val="27"/>
        </w:rPr>
        <w:t>health</w:t>
      </w:r>
      <w:r>
        <w:rPr>
          <w:rFonts w:ascii="Times New Roman" w:hAnsi="Times New Roman" w:cs="Times New Roman"/>
          <w:color w:val="646464"/>
          <w:spacing w:val="-1"/>
          <w:sz w:val="27"/>
          <w:szCs w:val="27"/>
        </w:rPr>
        <w:t xml:space="preserve"> </w:t>
      </w:r>
      <w:r>
        <w:rPr>
          <w:rFonts w:ascii="Times New Roman" w:hAnsi="Times New Roman" w:cs="Times New Roman"/>
          <w:color w:val="646464"/>
          <w:sz w:val="27"/>
          <w:szCs w:val="27"/>
        </w:rPr>
        <w:t>care</w:t>
      </w:r>
      <w:r>
        <w:rPr>
          <w:rFonts w:ascii="Times New Roman" w:hAnsi="Times New Roman" w:cs="Times New Roman"/>
          <w:color w:val="646464"/>
          <w:spacing w:val="-14"/>
          <w:sz w:val="27"/>
          <w:szCs w:val="27"/>
        </w:rPr>
        <w:t xml:space="preserve"> </w:t>
      </w:r>
      <w:r>
        <w:rPr>
          <w:rFonts w:ascii="Times New Roman" w:hAnsi="Times New Roman" w:cs="Times New Roman"/>
          <w:color w:val="646464"/>
          <w:sz w:val="27"/>
          <w:szCs w:val="27"/>
        </w:rPr>
        <w:t>delivery</w:t>
      </w:r>
      <w:r>
        <w:rPr>
          <w:rFonts w:ascii="Times New Roman" w:hAnsi="Times New Roman" w:cs="Times New Roman"/>
          <w:color w:val="646464"/>
          <w:spacing w:val="-10"/>
          <w:sz w:val="27"/>
          <w:szCs w:val="27"/>
        </w:rPr>
        <w:t xml:space="preserve"> </w:t>
      </w:r>
      <w:r>
        <w:rPr>
          <w:rFonts w:ascii="Times New Roman" w:hAnsi="Times New Roman" w:cs="Times New Roman"/>
          <w:color w:val="646464"/>
          <w:sz w:val="27"/>
          <w:szCs w:val="27"/>
        </w:rPr>
        <w:t xml:space="preserve">to </w:t>
      </w:r>
      <w:r>
        <w:rPr>
          <w:rFonts w:ascii="Times New Roman" w:hAnsi="Times New Roman" w:cs="Times New Roman"/>
          <w:color w:val="646464"/>
          <w:w w:val="95"/>
          <w:sz w:val="27"/>
          <w:szCs w:val="27"/>
        </w:rPr>
        <w:t>MassHealth</w:t>
      </w:r>
      <w:r>
        <w:rPr>
          <w:rFonts w:ascii="Times New Roman" w:hAnsi="Times New Roman" w:cs="Times New Roman"/>
          <w:color w:val="646464"/>
          <w:spacing w:val="52"/>
          <w:w w:val="95"/>
          <w:sz w:val="27"/>
          <w:szCs w:val="27"/>
        </w:rPr>
        <w:t xml:space="preserve"> </w:t>
      </w:r>
      <w:r>
        <w:rPr>
          <w:rFonts w:ascii="Times New Roman" w:hAnsi="Times New Roman" w:cs="Times New Roman"/>
          <w:color w:val="646464"/>
          <w:w w:val="95"/>
          <w:sz w:val="27"/>
          <w:szCs w:val="27"/>
        </w:rPr>
        <w:t>recipients.</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10"/>
        <w:rPr>
          <w:rFonts w:ascii="Times New Roman" w:hAnsi="Times New Roman" w:cs="Times New Roman"/>
          <w:sz w:val="16"/>
          <w:szCs w:val="16"/>
        </w:rPr>
      </w:pPr>
    </w:p>
    <w:p w:rsidR="002C5025" w:rsidRDefault="002C5025">
      <w:pPr>
        <w:pStyle w:val="BodyText"/>
        <w:kinsoku w:val="0"/>
        <w:overflowPunct w:val="0"/>
        <w:spacing w:before="10"/>
        <w:rPr>
          <w:rFonts w:ascii="Times New Roman" w:hAnsi="Times New Roman" w:cs="Times New Roman"/>
          <w:sz w:val="16"/>
          <w:szCs w:val="16"/>
        </w:rPr>
        <w:sectPr w:rsidR="002C5025">
          <w:pgSz w:w="12240" w:h="15840"/>
          <w:pgMar w:top="1500" w:right="160" w:bottom="280" w:left="1000" w:header="720" w:footer="720" w:gutter="0"/>
          <w:cols w:space="720" w:equalWidth="0">
            <w:col w:w="11080"/>
          </w:cols>
          <w:noEndnote/>
        </w:sectPr>
      </w:pPr>
    </w:p>
    <w:p w:rsidR="002C5025" w:rsidRDefault="002C5025">
      <w:pPr>
        <w:pStyle w:val="BodyText"/>
        <w:kinsoku w:val="0"/>
        <w:overflowPunct w:val="0"/>
        <w:spacing w:before="67"/>
        <w:ind w:left="115" w:right="-16"/>
        <w:rPr>
          <w:rFonts w:ascii="Times New Roman" w:hAnsi="Times New Roman" w:cs="Times New Roman"/>
          <w:i/>
          <w:iCs/>
          <w:color w:val="B2B2B2"/>
          <w:w w:val="95"/>
          <w:sz w:val="27"/>
          <w:szCs w:val="27"/>
        </w:rPr>
      </w:pPr>
      <w:r>
        <w:rPr>
          <w:rFonts w:ascii="Times New Roman" w:hAnsi="Times New Roman" w:cs="Times New Roman"/>
          <w:i/>
          <w:iCs/>
          <w:color w:val="B2B2B2"/>
          <w:spacing w:val="5"/>
          <w:w w:val="95"/>
          <w:sz w:val="27"/>
          <w:szCs w:val="27"/>
        </w:rPr>
        <w:lastRenderedPageBreak/>
        <w:t>,,/</w:t>
      </w:r>
      <w:r>
        <w:rPr>
          <w:rFonts w:ascii="Times New Roman" w:hAnsi="Times New Roman" w:cs="Times New Roman"/>
          <w:i/>
          <w:iCs/>
          <w:color w:val="B2B2B2"/>
          <w:spacing w:val="-49"/>
          <w:w w:val="95"/>
          <w:sz w:val="27"/>
          <w:szCs w:val="27"/>
        </w:rPr>
        <w:t xml:space="preserve"> </w:t>
      </w:r>
      <w:r>
        <w:rPr>
          <w:rFonts w:ascii="Times New Roman" w:hAnsi="Times New Roman" w:cs="Times New Roman"/>
          <w:i/>
          <w:iCs/>
          <w:color w:val="B2B2B2"/>
          <w:w w:val="95"/>
          <w:sz w:val="27"/>
          <w:szCs w:val="27"/>
        </w:rPr>
        <w:t>/</w:t>
      </w:r>
    </w:p>
    <w:p w:rsidR="002C5025" w:rsidRDefault="002C5025">
      <w:pPr>
        <w:pStyle w:val="BodyText"/>
        <w:kinsoku w:val="0"/>
        <w:overflowPunct w:val="0"/>
        <w:spacing w:before="3"/>
        <w:rPr>
          <w:rFonts w:ascii="Times New Roman" w:hAnsi="Times New Roman" w:cs="Times New Roman"/>
          <w:i/>
          <w:iCs/>
          <w:sz w:val="38"/>
          <w:szCs w:val="38"/>
        </w:rPr>
      </w:pPr>
      <w:r>
        <w:rPr>
          <w:rFonts w:ascii="Times New Roman" w:hAnsi="Times New Roman" w:cs="Times New Roman"/>
          <w:sz w:val="24"/>
          <w:szCs w:val="24"/>
        </w:rPr>
        <w:br w:type="column"/>
      </w:r>
    </w:p>
    <w:p w:rsidR="002C5025" w:rsidRDefault="00FB027C">
      <w:pPr>
        <w:pStyle w:val="BodyText"/>
        <w:tabs>
          <w:tab w:val="left" w:pos="1148"/>
          <w:tab w:val="left" w:pos="2172"/>
        </w:tabs>
        <w:kinsoku w:val="0"/>
        <w:overflowPunct w:val="0"/>
        <w:spacing w:line="350" w:lineRule="atLeast"/>
        <w:ind w:left="115" w:right="5962"/>
        <w:rPr>
          <w:rFonts w:ascii="Times New Roman" w:hAnsi="Times New Roman" w:cs="Times New Roman"/>
          <w:color w:val="646464"/>
          <w:sz w:val="27"/>
          <w:szCs w:val="27"/>
        </w:rPr>
      </w:pPr>
      <w:r>
        <w:rPr>
          <w:noProof/>
        </w:rPr>
        <mc:AlternateContent>
          <mc:Choice Requires="wpg">
            <w:drawing>
              <wp:anchor distT="0" distB="0" distL="114300" distR="114300" simplePos="0" relativeHeight="251765248" behindDoc="1" locked="0" layoutInCell="0" allowOverlap="1">
                <wp:simplePos x="0" y="0"/>
                <wp:positionH relativeFrom="page">
                  <wp:posOffset>901065</wp:posOffset>
                </wp:positionH>
                <wp:positionV relativeFrom="paragraph">
                  <wp:posOffset>-910590</wp:posOffset>
                </wp:positionV>
                <wp:extent cx="3048000" cy="938530"/>
                <wp:effectExtent l="0" t="0" r="0" b="0"/>
                <wp:wrapNone/>
                <wp:docPr id="175" name="Group 7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00" cy="938530"/>
                          <a:chOff x="1419" y="-1434"/>
                          <a:chExt cx="4800" cy="1478"/>
                        </a:xfrm>
                      </wpg:grpSpPr>
                      <pic:pic xmlns:pic="http://schemas.openxmlformats.org/drawingml/2006/picture">
                        <pic:nvPicPr>
                          <pic:cNvPr id="241" name="Picture 755"/>
                          <pic:cNvPicPr>
                            <a:picLocks noChangeAspect="1" noChangeArrowheads="1"/>
                          </pic:cNvPicPr>
                        </pic:nvPicPr>
                        <pic:blipFill>
                          <a:blip r:embed="rId522">
                            <a:extLst>
                              <a:ext uri="{28A0092B-C50C-407E-A947-70E740481C1C}">
                                <a14:useLocalDpi xmlns:a14="http://schemas.microsoft.com/office/drawing/2010/main" val="0"/>
                              </a:ext>
                            </a:extLst>
                          </a:blip>
                          <a:srcRect/>
                          <a:stretch>
                            <a:fillRect/>
                          </a:stretch>
                        </pic:blipFill>
                        <pic:spPr bwMode="auto">
                          <a:xfrm>
                            <a:off x="1420" y="-1434"/>
                            <a:ext cx="4800" cy="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2" name="Text Box 756"/>
                        <wps:cNvSpPr txBox="1">
                          <a:spLocks noChangeArrowheads="1"/>
                        </wps:cNvSpPr>
                        <wps:spPr bwMode="auto">
                          <a:xfrm>
                            <a:off x="1642" y="-339"/>
                            <a:ext cx="668" cy="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pStyle w:val="BodyText"/>
                                <w:kinsoku w:val="0"/>
                                <w:overflowPunct w:val="0"/>
                                <w:spacing w:line="271" w:lineRule="exact"/>
                                <w:ind w:right="-16"/>
                                <w:rPr>
                                  <w:rFonts w:ascii="Times New Roman" w:hAnsi="Times New Roman" w:cs="Times New Roman"/>
                                  <w:color w:val="646464"/>
                                  <w:spacing w:val="-1"/>
                                  <w:w w:val="95"/>
                                  <w:sz w:val="27"/>
                                  <w:szCs w:val="27"/>
                                </w:rPr>
                              </w:pPr>
                              <w:r>
                                <w:rPr>
                                  <w:rFonts w:ascii="Times New Roman" w:hAnsi="Times New Roman" w:cs="Times New Roman"/>
                                  <w:color w:val="646464"/>
                                  <w:spacing w:val="-1"/>
                                  <w:w w:val="95"/>
                                  <w:sz w:val="27"/>
                                  <w:szCs w:val="27"/>
                                </w:rPr>
                                <w:t>Senior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54" o:spid="_x0000_s1266" style="position:absolute;left:0;text-align:left;margin-left:70.95pt;margin-top:-71.7pt;width:240pt;height:73.9pt;z-index:-251551232;mso-position-horizontal-relative:page;mso-position-vertical-relative:text" coordorigin="1419,-1434" coordsize="4800,1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" o:allowincell="f">
                <v:shape id="Picture 755" o:spid="_x0000_s1267" type="#_x0000_t75" style="position:absolute;left:1420;top:-1434;width:4800;height:14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UabH7GAAAA3AAAAA8AAABkcnMvZG93bnJldi54bWxEj0FrwkAUhO8F/8PyBG+6SRCV6CYUoVCh&#10;UrQ20Nsz+5pEs29Ddqvpv+8WCj0OM/MNs8kH04ob9a6xrCCeRSCIS6sbrhSc3p6mKxDOI2tsLZOC&#10;b3KQZ6OHDaba3vlAt6OvRICwS1FB7X2XSunKmgy6me2Ig/dpe4M+yL6Susd7gJtWJlG0kAYbDgs1&#10;drStqbwev4yC6LKPX4p3czm8Juzm513xgctCqcl4eFyD8DT4//Bf+1krSOYx/J4JR0Bm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1RpsfsYAAADcAAAADwAAAAAAAAAAAAAA&#10;AACfAgAAZHJzL2Rvd25yZXYueG1sUEsFBgAAAAAEAAQA9wAAAJIDAAAAAA==&#10;">
                  <v:imagedata r:id="rId523" o:title=""/>
                </v:shape>
                <v:shape id="Text Box 756" o:spid="_x0000_s1268" type="#_x0000_t202" style="position:absolute;left:1642;top:-339;width:668;height: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yv8UA&#10;AADcAAAADwAAAGRycy9kb3ducmV2LnhtbESPQWvCQBSE7wX/w/KE3urGUKRGVxFpQSgUYzx4fGaf&#10;yWL2bcyumv77rlDwOMzMN8x82dtG3KjzxrGC8SgBQVw6bbhSsC++3j5A+ICssXFMCn7Jw3IxeJlj&#10;pt2dc7rtQiUihH2GCuoQ2kxKX9Zk0Y9cSxy9k+sshii7SuoO7xFuG5kmyURaNBwXamxpXVN53l2t&#10;gtWB809z+Tlu81NuimKa8PfkrNTrsF/NQATqwzP8395oBel7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D7K/xQAAANwAAAAPAAAAAAAAAAAAAAAAAJgCAABkcnMv&#10;ZG93bnJldi54bWxQSwUGAAAAAAQABAD1AAAAigMAAAAA&#10;" filled="f" stroked="f">
                  <v:textbox inset="0,0,0,0">
                    <w:txbxContent>
                      <w:p w:rsidR="007B2B7B" w:rsidRDefault="007B2B7B">
                        <w:pPr>
                          <w:pStyle w:val="BodyText"/>
                          <w:kinsoku w:val="0"/>
                          <w:overflowPunct w:val="0"/>
                          <w:spacing w:line="271" w:lineRule="exact"/>
                          <w:ind w:right="-16"/>
                          <w:rPr>
                            <w:rFonts w:ascii="Times New Roman" w:hAnsi="Times New Roman" w:cs="Times New Roman"/>
                            <w:color w:val="646464"/>
                            <w:spacing w:val="-1"/>
                            <w:w w:val="95"/>
                            <w:sz w:val="27"/>
                            <w:szCs w:val="27"/>
                          </w:rPr>
                        </w:pPr>
                        <w:r>
                          <w:rPr>
                            <w:rFonts w:ascii="Times New Roman" w:hAnsi="Times New Roman" w:cs="Times New Roman"/>
                            <w:color w:val="646464"/>
                            <w:spacing w:val="-1"/>
                            <w:w w:val="95"/>
                            <w:sz w:val="27"/>
                            <w:szCs w:val="27"/>
                          </w:rPr>
                          <w:t>Senior</w:t>
                        </w:r>
                      </w:p>
                    </w:txbxContent>
                  </v:textbox>
                </v:shape>
                <w10:wrap anchorx="page"/>
              </v:group>
            </w:pict>
          </mc:Fallback>
        </mc:AlternateContent>
      </w:r>
      <w:r w:rsidR="002C5025">
        <w:rPr>
          <w:rFonts w:ascii="Times New Roman" w:hAnsi="Times New Roman" w:cs="Times New Roman"/>
          <w:color w:val="646464"/>
          <w:sz w:val="27"/>
          <w:szCs w:val="27"/>
        </w:rPr>
        <w:t>Mental</w:t>
      </w:r>
      <w:r w:rsidR="002C5025">
        <w:rPr>
          <w:rFonts w:ascii="Times New Roman" w:hAnsi="Times New Roman" w:cs="Times New Roman"/>
          <w:color w:val="646464"/>
          <w:sz w:val="27"/>
          <w:szCs w:val="27"/>
        </w:rPr>
        <w:tab/>
      </w:r>
      <w:proofErr w:type="spellStart"/>
      <w:r w:rsidR="002C5025">
        <w:rPr>
          <w:rFonts w:ascii="Times New Roman" w:hAnsi="Times New Roman" w:cs="Times New Roman"/>
          <w:color w:val="646464"/>
          <w:sz w:val="27"/>
          <w:szCs w:val="27"/>
        </w:rPr>
        <w:t>ealth</w:t>
      </w:r>
      <w:proofErr w:type="spellEnd"/>
      <w:r w:rsidR="002C5025">
        <w:rPr>
          <w:rFonts w:ascii="Times New Roman" w:hAnsi="Times New Roman" w:cs="Times New Roman"/>
          <w:color w:val="646464"/>
          <w:sz w:val="27"/>
          <w:szCs w:val="27"/>
        </w:rPr>
        <w:t xml:space="preserve"> Le</w:t>
      </w:r>
      <w:r w:rsidR="002C5025">
        <w:rPr>
          <w:rFonts w:ascii="Times New Roman" w:hAnsi="Times New Roman" w:cs="Times New Roman"/>
          <w:color w:val="646464"/>
          <w:spacing w:val="-35"/>
          <w:sz w:val="27"/>
          <w:szCs w:val="27"/>
        </w:rPr>
        <w:t xml:space="preserve"> </w:t>
      </w:r>
      <w:proofErr w:type="spellStart"/>
      <w:r w:rsidR="002C5025">
        <w:rPr>
          <w:rFonts w:ascii="Times New Roman" w:hAnsi="Times New Roman" w:cs="Times New Roman"/>
          <w:color w:val="646464"/>
          <w:sz w:val="27"/>
          <w:szCs w:val="27"/>
        </w:rPr>
        <w:t>aVAdvisors</w:t>
      </w:r>
      <w:proofErr w:type="spellEnd"/>
      <w:r w:rsidR="002C5025">
        <w:rPr>
          <w:rFonts w:ascii="Times New Roman" w:hAnsi="Times New Roman" w:cs="Times New Roman"/>
          <w:color w:val="646464"/>
          <w:spacing w:val="-28"/>
          <w:sz w:val="27"/>
          <w:szCs w:val="27"/>
        </w:rPr>
        <w:t xml:space="preserve"> </w:t>
      </w:r>
      <w:r w:rsidR="002C5025">
        <w:rPr>
          <w:rFonts w:ascii="Times New Roman" w:hAnsi="Times New Roman" w:cs="Times New Roman"/>
          <w:color w:val="646464"/>
          <w:sz w:val="27"/>
          <w:szCs w:val="27"/>
        </w:rPr>
        <w:t>Committee 24</w:t>
      </w:r>
      <w:r w:rsidR="002C5025">
        <w:rPr>
          <w:rFonts w:ascii="Times New Roman" w:hAnsi="Times New Roman" w:cs="Times New Roman"/>
          <w:color w:val="646464"/>
          <w:spacing w:val="-12"/>
          <w:sz w:val="27"/>
          <w:szCs w:val="27"/>
        </w:rPr>
        <w:t xml:space="preserve"> </w:t>
      </w:r>
      <w:r w:rsidR="002C5025">
        <w:rPr>
          <w:rFonts w:ascii="Times New Roman" w:hAnsi="Times New Roman" w:cs="Times New Roman"/>
          <w:color w:val="646464"/>
          <w:sz w:val="27"/>
          <w:szCs w:val="27"/>
        </w:rPr>
        <w:t>School</w:t>
      </w:r>
      <w:r w:rsidR="002C5025">
        <w:rPr>
          <w:rFonts w:ascii="Times New Roman" w:hAnsi="Times New Roman" w:cs="Times New Roman"/>
          <w:color w:val="646464"/>
          <w:spacing w:val="-12"/>
          <w:sz w:val="27"/>
          <w:szCs w:val="27"/>
        </w:rPr>
        <w:t xml:space="preserve"> </w:t>
      </w:r>
      <w:r w:rsidR="002C5025">
        <w:rPr>
          <w:rFonts w:ascii="Times New Roman" w:hAnsi="Times New Roman" w:cs="Times New Roman"/>
          <w:color w:val="646464"/>
          <w:sz w:val="27"/>
          <w:szCs w:val="27"/>
        </w:rPr>
        <w:t>Street,</w:t>
      </w:r>
      <w:r w:rsidR="002C5025">
        <w:rPr>
          <w:rFonts w:ascii="Times New Roman" w:hAnsi="Times New Roman" w:cs="Times New Roman"/>
          <w:color w:val="646464"/>
          <w:sz w:val="27"/>
          <w:szCs w:val="27"/>
        </w:rPr>
        <w:tab/>
      </w:r>
      <w:proofErr w:type="spellStart"/>
      <w:r w:rsidR="002C5025">
        <w:rPr>
          <w:rFonts w:ascii="Times New Roman" w:hAnsi="Times New Roman" w:cs="Times New Roman"/>
          <w:color w:val="646464"/>
          <w:sz w:val="27"/>
          <w:szCs w:val="27"/>
        </w:rPr>
        <w:t>uite</w:t>
      </w:r>
      <w:proofErr w:type="spellEnd"/>
      <w:r w:rsidR="002C5025">
        <w:rPr>
          <w:rFonts w:ascii="Times New Roman" w:hAnsi="Times New Roman" w:cs="Times New Roman"/>
          <w:color w:val="646464"/>
          <w:spacing w:val="7"/>
          <w:sz w:val="27"/>
          <w:szCs w:val="27"/>
        </w:rPr>
        <w:t xml:space="preserve"> </w:t>
      </w:r>
      <w:r w:rsidR="002C5025">
        <w:rPr>
          <w:rFonts w:ascii="Times New Roman" w:hAnsi="Times New Roman" w:cs="Times New Roman"/>
          <w:color w:val="646464"/>
          <w:sz w:val="27"/>
          <w:szCs w:val="27"/>
        </w:rPr>
        <w:t>804</w:t>
      </w:r>
    </w:p>
    <w:p w:rsidR="002C5025" w:rsidRDefault="002C5025">
      <w:pPr>
        <w:pStyle w:val="BodyText"/>
        <w:kinsoku w:val="0"/>
        <w:overflowPunct w:val="0"/>
        <w:spacing w:line="61" w:lineRule="exact"/>
        <w:ind w:left="2038"/>
        <w:rPr>
          <w:rFonts w:ascii="Times New Roman" w:hAnsi="Times New Roman" w:cs="Times New Roman"/>
          <w:color w:val="8A8A8A"/>
          <w:w w:val="298"/>
          <w:sz w:val="7"/>
          <w:szCs w:val="7"/>
        </w:rPr>
      </w:pPr>
      <w:r>
        <w:rPr>
          <w:rFonts w:ascii="Times New Roman" w:hAnsi="Times New Roman" w:cs="Times New Roman"/>
          <w:color w:val="8A8A8A"/>
          <w:w w:val="298"/>
          <w:sz w:val="7"/>
          <w:szCs w:val="7"/>
        </w:rPr>
        <w:t>/</w:t>
      </w:r>
    </w:p>
    <w:p w:rsidR="002C5025" w:rsidRDefault="002C5025">
      <w:pPr>
        <w:pStyle w:val="BodyText"/>
        <w:kinsoku w:val="0"/>
        <w:overflowPunct w:val="0"/>
        <w:spacing w:line="302" w:lineRule="exact"/>
        <w:ind w:left="116" w:right="5962"/>
        <w:rPr>
          <w:rFonts w:ascii="Times New Roman" w:hAnsi="Times New Roman" w:cs="Times New Roman"/>
          <w:color w:val="646464"/>
          <w:sz w:val="27"/>
          <w:szCs w:val="27"/>
        </w:rPr>
      </w:pPr>
      <w:r>
        <w:rPr>
          <w:rFonts w:ascii="Times New Roman" w:hAnsi="Times New Roman" w:cs="Times New Roman"/>
          <w:color w:val="646464"/>
          <w:sz w:val="27"/>
          <w:szCs w:val="27"/>
        </w:rPr>
        <w:t>Boston, MA 02108</w:t>
      </w:r>
    </w:p>
    <w:p w:rsidR="002C5025" w:rsidRDefault="002C5025">
      <w:pPr>
        <w:pStyle w:val="BodyText"/>
        <w:kinsoku w:val="0"/>
        <w:overflowPunct w:val="0"/>
        <w:spacing w:before="44"/>
        <w:ind w:left="118" w:right="5962"/>
        <w:rPr>
          <w:rFonts w:ascii="Times New Roman" w:hAnsi="Times New Roman" w:cs="Times New Roman"/>
          <w:color w:val="646464"/>
          <w:sz w:val="27"/>
          <w:szCs w:val="27"/>
        </w:rPr>
      </w:pPr>
      <w:r>
        <w:rPr>
          <w:rFonts w:ascii="Times New Roman" w:hAnsi="Times New Roman" w:cs="Times New Roman"/>
          <w:color w:val="646464"/>
          <w:sz w:val="27"/>
          <w:szCs w:val="27"/>
        </w:rPr>
        <w:t>617-338-2345 x129</w:t>
      </w:r>
    </w:p>
    <w:p w:rsidR="002C5025" w:rsidRDefault="002C5025">
      <w:pPr>
        <w:pStyle w:val="BodyText"/>
        <w:kinsoku w:val="0"/>
        <w:overflowPunct w:val="0"/>
        <w:spacing w:before="44"/>
        <w:ind w:left="118" w:right="5962"/>
        <w:rPr>
          <w:rFonts w:ascii="Times New Roman" w:hAnsi="Times New Roman" w:cs="Times New Roman"/>
          <w:color w:val="646464"/>
          <w:sz w:val="27"/>
          <w:szCs w:val="27"/>
        </w:rPr>
        <w:sectPr w:rsidR="002C5025">
          <w:type w:val="continuous"/>
          <w:pgSz w:w="12240" w:h="15840"/>
          <w:pgMar w:top="720" w:right="160" w:bottom="280" w:left="1000" w:header="720" w:footer="720" w:gutter="0"/>
          <w:cols w:num="2" w:space="720" w:equalWidth="0">
            <w:col w:w="420" w:space="99"/>
            <w:col w:w="10561"/>
          </w:cols>
          <w:noEndnote/>
        </w:sect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9"/>
        <w:rPr>
          <w:rFonts w:ascii="Times New Roman" w:hAnsi="Times New Roman" w:cs="Times New Roman"/>
          <w:sz w:val="27"/>
          <w:szCs w:val="27"/>
        </w:rPr>
      </w:pPr>
    </w:p>
    <w:p w:rsidR="002C5025" w:rsidRDefault="00FB027C">
      <w:pPr>
        <w:pStyle w:val="BodyText"/>
        <w:kinsoku w:val="0"/>
        <w:overflowPunct w:val="0"/>
        <w:spacing w:before="74"/>
        <w:ind w:right="776"/>
        <w:jc w:val="center"/>
        <w:rPr>
          <w:rFonts w:ascii="Times New Roman" w:hAnsi="Times New Roman" w:cs="Times New Roman"/>
          <w:color w:val="5D5D5D"/>
          <w:w w:val="109"/>
          <w:sz w:val="21"/>
          <w:szCs w:val="21"/>
        </w:rPr>
      </w:pPr>
      <w:r>
        <w:rPr>
          <w:noProof/>
        </w:rPr>
        <mc:AlternateContent>
          <mc:Choice Requires="wps">
            <w:drawing>
              <wp:anchor distT="0" distB="0" distL="114300" distR="114300" simplePos="0" relativeHeight="251766272" behindDoc="0" locked="0" layoutInCell="0" allowOverlap="1">
                <wp:simplePos x="0" y="0"/>
                <wp:positionH relativeFrom="page">
                  <wp:posOffset>7601585</wp:posOffset>
                </wp:positionH>
                <wp:positionV relativeFrom="paragraph">
                  <wp:posOffset>-490855</wp:posOffset>
                </wp:positionV>
                <wp:extent cx="12700" cy="1172210"/>
                <wp:effectExtent l="0" t="0" r="0" b="0"/>
                <wp:wrapNone/>
                <wp:docPr id="172" name="Freeform 7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172210"/>
                        </a:xfrm>
                        <a:custGeom>
                          <a:avLst/>
                          <a:gdLst>
                            <a:gd name="T0" fmla="*/ 0 w 20"/>
                            <a:gd name="T1" fmla="*/ 1846 h 1846"/>
                            <a:gd name="T2" fmla="*/ 0 w 20"/>
                            <a:gd name="T3" fmla="*/ 0 h 1846"/>
                          </a:gdLst>
                          <a:ahLst/>
                          <a:cxnLst>
                            <a:cxn ang="0">
                              <a:pos x="T0" y="T1"/>
                            </a:cxn>
                            <a:cxn ang="0">
                              <a:pos x="T2" y="T3"/>
                            </a:cxn>
                          </a:cxnLst>
                          <a:rect l="0" t="0" r="r" b="b"/>
                          <a:pathLst>
                            <a:path w="20" h="1846">
                              <a:moveTo>
                                <a:pt x="0" y="1846"/>
                              </a:moveTo>
                              <a:lnTo>
                                <a:pt x="0" y="0"/>
                              </a:lnTo>
                            </a:path>
                          </a:pathLst>
                        </a:custGeom>
                        <a:noFill/>
                        <a:ln w="43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57" o:spid="_x0000_s1026" style="position:absolute;z-index:251766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98.55pt,53.65pt,598.55pt,-38.65pt" coordsize="20,1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" o:allowincell="f" filled="f" strokeweight=".1221mm">
                <v:path arrowok="t" o:connecttype="custom" o:connectlocs="0,1172210;0,0" o:connectangles="0,0"/>
                <w10:wrap anchorx="page"/>
              </v:polyline>
            </w:pict>
          </mc:Fallback>
        </mc:AlternateContent>
      </w:r>
      <w:r w:rsidR="002C5025">
        <w:rPr>
          <w:rFonts w:ascii="Times New Roman" w:hAnsi="Times New Roman" w:cs="Times New Roman"/>
          <w:color w:val="5D5D5D"/>
          <w:w w:val="109"/>
          <w:sz w:val="21"/>
          <w:szCs w:val="21"/>
        </w:rPr>
        <w:t>4</w:t>
      </w:r>
    </w:p>
    <w:p w:rsidR="002C5025" w:rsidRDefault="002C5025">
      <w:pPr>
        <w:pStyle w:val="BodyText"/>
        <w:kinsoku w:val="0"/>
        <w:overflowPunct w:val="0"/>
        <w:spacing w:before="74"/>
        <w:ind w:right="776"/>
        <w:jc w:val="center"/>
        <w:rPr>
          <w:rFonts w:ascii="Times New Roman" w:hAnsi="Times New Roman" w:cs="Times New Roman"/>
          <w:color w:val="5D5D5D"/>
          <w:w w:val="109"/>
          <w:sz w:val="21"/>
          <w:szCs w:val="21"/>
        </w:rPr>
        <w:sectPr w:rsidR="002C5025">
          <w:type w:val="continuous"/>
          <w:pgSz w:w="12240" w:h="15840"/>
          <w:pgMar w:top="720" w:right="160" w:bottom="280" w:left="1000" w:header="720" w:footer="720" w:gutter="0"/>
          <w:cols w:space="720" w:equalWidth="0">
            <w:col w:w="11080"/>
          </w:cols>
          <w:noEndnote/>
        </w:sectPr>
      </w:pPr>
    </w:p>
    <w:p w:rsidR="002C5025" w:rsidRDefault="002C5025">
      <w:pPr>
        <w:pStyle w:val="BodyText"/>
        <w:kinsoku w:val="0"/>
        <w:overflowPunct w:val="0"/>
        <w:spacing w:before="11"/>
        <w:rPr>
          <w:rFonts w:ascii="Times New Roman" w:hAnsi="Times New Roman" w:cs="Times New Roman"/>
          <w:sz w:val="12"/>
          <w:szCs w:val="12"/>
        </w:rPr>
      </w:pPr>
    </w:p>
    <w:p w:rsidR="002C5025" w:rsidRDefault="002C5025">
      <w:pPr>
        <w:pStyle w:val="BodyText"/>
        <w:kinsoku w:val="0"/>
        <w:overflowPunct w:val="0"/>
        <w:spacing w:before="11"/>
        <w:rPr>
          <w:rFonts w:ascii="Times New Roman" w:hAnsi="Times New Roman" w:cs="Times New Roman"/>
          <w:sz w:val="12"/>
          <w:szCs w:val="12"/>
        </w:rPr>
        <w:sectPr w:rsidR="002C5025">
          <w:pgSz w:w="12240" w:h="15840"/>
          <w:pgMar w:top="560" w:right="1500" w:bottom="280" w:left="1040" w:header="720" w:footer="720" w:gutter="0"/>
          <w:cols w:space="720" w:equalWidth="0">
            <w:col w:w="9700"/>
          </w:cols>
          <w:noEndnote/>
        </w:sectPr>
      </w:pPr>
    </w:p>
    <w:p w:rsidR="002C5025" w:rsidRDefault="002C5025">
      <w:pPr>
        <w:pStyle w:val="BodyText"/>
        <w:kinsoku w:val="0"/>
        <w:overflowPunct w:val="0"/>
        <w:rPr>
          <w:rFonts w:ascii="Times New Roman" w:hAnsi="Times New Roman" w:cs="Times New Roman"/>
          <w:sz w:val="14"/>
          <w:szCs w:val="14"/>
        </w:rPr>
      </w:pPr>
    </w:p>
    <w:p w:rsidR="002C5025" w:rsidRDefault="002C5025">
      <w:pPr>
        <w:pStyle w:val="BodyText"/>
        <w:kinsoku w:val="0"/>
        <w:overflowPunct w:val="0"/>
        <w:rPr>
          <w:rFonts w:ascii="Times New Roman" w:hAnsi="Times New Roman" w:cs="Times New Roman"/>
          <w:sz w:val="14"/>
          <w:szCs w:val="14"/>
        </w:rPr>
      </w:pPr>
    </w:p>
    <w:p w:rsidR="002C5025" w:rsidRDefault="002C5025">
      <w:pPr>
        <w:pStyle w:val="BodyText"/>
        <w:kinsoku w:val="0"/>
        <w:overflowPunct w:val="0"/>
        <w:rPr>
          <w:rFonts w:ascii="Times New Roman" w:hAnsi="Times New Roman" w:cs="Times New Roman"/>
          <w:sz w:val="14"/>
          <w:szCs w:val="14"/>
        </w:rPr>
      </w:pPr>
    </w:p>
    <w:p w:rsidR="002C5025" w:rsidRDefault="002C5025">
      <w:pPr>
        <w:pStyle w:val="BodyText"/>
        <w:kinsoku w:val="0"/>
        <w:overflowPunct w:val="0"/>
        <w:rPr>
          <w:rFonts w:ascii="Times New Roman" w:hAnsi="Times New Roman" w:cs="Times New Roman"/>
          <w:sz w:val="14"/>
          <w:szCs w:val="14"/>
        </w:rPr>
      </w:pPr>
    </w:p>
    <w:p w:rsidR="002C5025" w:rsidRDefault="002C5025">
      <w:pPr>
        <w:pStyle w:val="BodyText"/>
        <w:kinsoku w:val="0"/>
        <w:overflowPunct w:val="0"/>
        <w:rPr>
          <w:rFonts w:ascii="Times New Roman" w:hAnsi="Times New Roman" w:cs="Times New Roman"/>
          <w:sz w:val="14"/>
          <w:szCs w:val="14"/>
        </w:rPr>
      </w:pPr>
    </w:p>
    <w:p w:rsidR="002C5025" w:rsidRDefault="002C5025">
      <w:pPr>
        <w:pStyle w:val="BodyText"/>
        <w:kinsoku w:val="0"/>
        <w:overflowPunct w:val="0"/>
        <w:rPr>
          <w:rFonts w:ascii="Times New Roman" w:hAnsi="Times New Roman" w:cs="Times New Roman"/>
          <w:sz w:val="14"/>
          <w:szCs w:val="14"/>
        </w:rPr>
      </w:pPr>
    </w:p>
    <w:p w:rsidR="002C5025" w:rsidRDefault="002C5025">
      <w:pPr>
        <w:pStyle w:val="BodyText"/>
        <w:kinsoku w:val="0"/>
        <w:overflowPunct w:val="0"/>
        <w:rPr>
          <w:rFonts w:ascii="Times New Roman" w:hAnsi="Times New Roman" w:cs="Times New Roman"/>
          <w:sz w:val="14"/>
          <w:szCs w:val="14"/>
        </w:rPr>
      </w:pPr>
    </w:p>
    <w:p w:rsidR="002C5025" w:rsidRDefault="002C5025">
      <w:pPr>
        <w:pStyle w:val="BodyText"/>
        <w:kinsoku w:val="0"/>
        <w:overflowPunct w:val="0"/>
        <w:rPr>
          <w:rFonts w:ascii="Times New Roman" w:hAnsi="Times New Roman" w:cs="Times New Roman"/>
          <w:sz w:val="14"/>
          <w:szCs w:val="14"/>
        </w:rPr>
      </w:pPr>
    </w:p>
    <w:p w:rsidR="002C5025" w:rsidRDefault="002C5025">
      <w:pPr>
        <w:pStyle w:val="BodyText"/>
        <w:kinsoku w:val="0"/>
        <w:overflowPunct w:val="0"/>
        <w:rPr>
          <w:rFonts w:ascii="Times New Roman" w:hAnsi="Times New Roman" w:cs="Times New Roman"/>
          <w:sz w:val="14"/>
          <w:szCs w:val="14"/>
        </w:rPr>
      </w:pPr>
    </w:p>
    <w:p w:rsidR="002C5025" w:rsidRDefault="002C5025">
      <w:pPr>
        <w:pStyle w:val="BodyText"/>
        <w:kinsoku w:val="0"/>
        <w:overflowPunct w:val="0"/>
        <w:rPr>
          <w:rFonts w:ascii="Times New Roman" w:hAnsi="Times New Roman" w:cs="Times New Roman"/>
          <w:sz w:val="14"/>
          <w:szCs w:val="14"/>
        </w:rPr>
      </w:pPr>
    </w:p>
    <w:p w:rsidR="002C5025" w:rsidRDefault="002C5025">
      <w:pPr>
        <w:pStyle w:val="BodyText"/>
        <w:kinsoku w:val="0"/>
        <w:overflowPunct w:val="0"/>
        <w:rPr>
          <w:rFonts w:ascii="Times New Roman" w:hAnsi="Times New Roman" w:cs="Times New Roman"/>
          <w:sz w:val="14"/>
          <w:szCs w:val="14"/>
        </w:rPr>
      </w:pPr>
    </w:p>
    <w:p w:rsidR="002C5025" w:rsidRDefault="002C5025">
      <w:pPr>
        <w:pStyle w:val="BodyText"/>
        <w:kinsoku w:val="0"/>
        <w:overflowPunct w:val="0"/>
        <w:spacing w:before="1"/>
        <w:rPr>
          <w:rFonts w:ascii="Times New Roman" w:hAnsi="Times New Roman" w:cs="Times New Roman"/>
          <w:sz w:val="16"/>
          <w:szCs w:val="16"/>
        </w:rPr>
      </w:pPr>
    </w:p>
    <w:p w:rsidR="002C5025" w:rsidRDefault="00FB027C">
      <w:pPr>
        <w:pStyle w:val="BodyText"/>
        <w:kinsoku w:val="0"/>
        <w:overflowPunct w:val="0"/>
        <w:spacing w:line="168" w:lineRule="exact"/>
        <w:ind w:left="222"/>
        <w:rPr>
          <w:rFonts w:ascii="Times New Roman" w:hAnsi="Times New Roman" w:cs="Times New Roman"/>
          <w:color w:val="989898"/>
          <w:sz w:val="15"/>
          <w:szCs w:val="15"/>
        </w:rPr>
      </w:pPr>
      <w:r>
        <w:rPr>
          <w:noProof/>
        </w:rPr>
        <mc:AlternateContent>
          <mc:Choice Requires="wps">
            <w:drawing>
              <wp:anchor distT="0" distB="0" distL="114300" distR="114300" simplePos="0" relativeHeight="251767296" behindDoc="0" locked="0" layoutInCell="0" allowOverlap="1">
                <wp:simplePos x="0" y="0"/>
                <wp:positionH relativeFrom="page">
                  <wp:posOffset>728345</wp:posOffset>
                </wp:positionH>
                <wp:positionV relativeFrom="paragraph">
                  <wp:posOffset>-1342390</wp:posOffset>
                </wp:positionV>
                <wp:extent cx="939800" cy="1206500"/>
                <wp:effectExtent l="0" t="0" r="0" b="0"/>
                <wp:wrapNone/>
                <wp:docPr id="169" name="Rectangle 7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9800" cy="1206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1900" w:lineRule="atLeast"/>
                            </w:pPr>
                            <w:r>
                              <w:rPr>
                                <w:noProof/>
                              </w:rPr>
                              <w:drawing>
                                <wp:inline distT="0" distB="0" distL="0" distR="0">
                                  <wp:extent cx="942975" cy="1209675"/>
                                  <wp:effectExtent l="0" t="0" r="9525" b="9525"/>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524">
                                            <a:extLst>
                                              <a:ext uri="{28A0092B-C50C-407E-A947-70E740481C1C}">
                                                <a14:useLocalDpi xmlns:a14="http://schemas.microsoft.com/office/drawing/2010/main" val="0"/>
                                              </a:ext>
                                            </a:extLst>
                                          </a:blip>
                                          <a:srcRect/>
                                          <a:stretch>
                                            <a:fillRect/>
                                          </a:stretch>
                                        </pic:blipFill>
                                        <pic:spPr bwMode="auto">
                                          <a:xfrm>
                                            <a:off x="0" y="0"/>
                                            <a:ext cx="942975" cy="1209675"/>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58" o:spid="_x0000_s1269" style="position:absolute;left:0;text-align:left;margin-left:57.35pt;margin-top:-105.7pt;width:74pt;height:95pt;z-index:251767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" o:allowincell="f" filled="f" stroked="f">
                <v:textbox inset="0,0,0,0">
                  <w:txbxContent>
                    <w:p w:rsidR="007B2B7B" w:rsidRDefault="007B2B7B">
                      <w:pPr>
                        <w:widowControl/>
                        <w:autoSpaceDE/>
                        <w:autoSpaceDN/>
                        <w:adjustRightInd/>
                        <w:spacing w:line="1900" w:lineRule="atLeast"/>
                      </w:pPr>
                      <w:r>
                        <w:rPr>
                          <w:noProof/>
                        </w:rPr>
                        <w:drawing>
                          <wp:inline distT="0" distB="0" distL="0" distR="0">
                            <wp:extent cx="942975" cy="1209675"/>
                            <wp:effectExtent l="0" t="0" r="9525" b="9525"/>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525">
                                      <a:extLst>
                                        <a:ext uri="{28A0092B-C50C-407E-A947-70E740481C1C}">
                                          <a14:useLocalDpi xmlns:a14="http://schemas.microsoft.com/office/drawing/2010/main" val="0"/>
                                        </a:ext>
                                      </a:extLst>
                                    </a:blip>
                                    <a:srcRect/>
                                    <a:stretch>
                                      <a:fillRect/>
                                    </a:stretch>
                                  </pic:blipFill>
                                  <pic:spPr bwMode="auto">
                                    <a:xfrm>
                                      <a:off x="0" y="0"/>
                                      <a:ext cx="942975" cy="1209675"/>
                                    </a:xfrm>
                                    <a:prstGeom prst="rect">
                                      <a:avLst/>
                                    </a:prstGeom>
                                    <a:noFill/>
                                    <a:ln>
                                      <a:noFill/>
                                    </a:ln>
                                  </pic:spPr>
                                </pic:pic>
                              </a:graphicData>
                            </a:graphic>
                          </wp:inline>
                        </w:drawing>
                      </w:r>
                    </w:p>
                    <w:p w:rsidR="007B2B7B" w:rsidRDefault="007B2B7B"/>
                  </w:txbxContent>
                </v:textbox>
                <w10:wrap anchorx="page"/>
              </v:rect>
            </w:pict>
          </mc:Fallback>
        </mc:AlternateContent>
      </w:r>
      <w:r w:rsidR="002C5025">
        <w:rPr>
          <w:rFonts w:ascii="Times New Roman" w:hAnsi="Times New Roman" w:cs="Times New Roman"/>
          <w:color w:val="989898"/>
          <w:sz w:val="15"/>
          <w:szCs w:val="15"/>
        </w:rPr>
        <w:t>P</w:t>
      </w:r>
      <w:r w:rsidR="002C5025">
        <w:rPr>
          <w:rFonts w:ascii="Times New Roman" w:hAnsi="Times New Roman" w:cs="Times New Roman"/>
          <w:color w:val="7D7D7D"/>
          <w:sz w:val="15"/>
          <w:szCs w:val="15"/>
        </w:rPr>
        <w:t>H</w:t>
      </w:r>
      <w:r w:rsidR="002C5025">
        <w:rPr>
          <w:rFonts w:ascii="Times New Roman" w:hAnsi="Times New Roman" w:cs="Times New Roman"/>
          <w:color w:val="989898"/>
          <w:sz w:val="15"/>
          <w:szCs w:val="15"/>
        </w:rPr>
        <w:t>ILLIP KASSEL</w:t>
      </w:r>
    </w:p>
    <w:p w:rsidR="002C5025" w:rsidRDefault="002C5025">
      <w:pPr>
        <w:pStyle w:val="BodyText"/>
        <w:kinsoku w:val="0"/>
        <w:overflowPunct w:val="0"/>
        <w:spacing w:line="111" w:lineRule="exact"/>
        <w:ind w:left="227"/>
        <w:rPr>
          <w:rFonts w:ascii="Arial" w:hAnsi="Arial" w:cs="Arial"/>
          <w:color w:val="989898"/>
          <w:sz w:val="10"/>
          <w:szCs w:val="10"/>
        </w:rPr>
      </w:pPr>
      <w:proofErr w:type="spellStart"/>
      <w:r>
        <w:rPr>
          <w:rFonts w:ascii="Arial" w:hAnsi="Arial" w:cs="Arial"/>
          <w:color w:val="989898"/>
          <w:sz w:val="10"/>
          <w:szCs w:val="10"/>
        </w:rPr>
        <w:t>EXECUTt</w:t>
      </w:r>
      <w:proofErr w:type="spellEnd"/>
      <w:r>
        <w:rPr>
          <w:rFonts w:ascii="Arial" w:hAnsi="Arial" w:cs="Arial"/>
          <w:color w:val="989898"/>
          <w:sz w:val="10"/>
          <w:szCs w:val="10"/>
        </w:rPr>
        <w:t>\'E  DIRECTOR</w:t>
      </w:r>
    </w:p>
    <w:p w:rsidR="002C5025" w:rsidRDefault="002C5025">
      <w:pPr>
        <w:pStyle w:val="BodyText"/>
        <w:kinsoku w:val="0"/>
        <w:overflowPunct w:val="0"/>
        <w:spacing w:before="66"/>
        <w:ind w:left="95" w:right="619"/>
        <w:jc w:val="center"/>
        <w:rPr>
          <w:rFonts w:ascii="Times New Roman" w:hAnsi="Times New Roman" w:cs="Times New Roman"/>
          <w:b/>
          <w:bCs/>
          <w:color w:val="7D7D7D"/>
          <w:sz w:val="27"/>
          <w:szCs w:val="27"/>
        </w:rPr>
      </w:pPr>
      <w:r>
        <w:rPr>
          <w:rFonts w:ascii="Times New Roman" w:hAnsi="Times New Roman" w:cs="Times New Roman"/>
          <w:sz w:val="24"/>
          <w:szCs w:val="24"/>
        </w:rPr>
        <w:br w:type="column"/>
      </w:r>
      <w:bookmarkStart w:id="236" w:name="MENTAL__HEALTH__LEGAL_ADVISORS__COMMITTE"/>
      <w:bookmarkEnd w:id="236"/>
      <w:r>
        <w:rPr>
          <w:rFonts w:ascii="Times New Roman" w:hAnsi="Times New Roman" w:cs="Times New Roman"/>
          <w:b/>
          <w:bCs/>
          <w:color w:val="7D7D7D"/>
          <w:sz w:val="27"/>
          <w:szCs w:val="27"/>
        </w:rPr>
        <w:lastRenderedPageBreak/>
        <w:t>MENTAL  HEALTH  LEGAL  ADVISORS</w:t>
      </w:r>
      <w:r>
        <w:rPr>
          <w:rFonts w:ascii="Times New Roman" w:hAnsi="Times New Roman" w:cs="Times New Roman"/>
          <w:b/>
          <w:bCs/>
          <w:color w:val="7D7D7D"/>
          <w:spacing w:val="66"/>
          <w:sz w:val="27"/>
          <w:szCs w:val="27"/>
        </w:rPr>
        <w:t xml:space="preserve"> </w:t>
      </w:r>
      <w:r>
        <w:rPr>
          <w:rFonts w:ascii="Times New Roman" w:hAnsi="Times New Roman" w:cs="Times New Roman"/>
          <w:b/>
          <w:bCs/>
          <w:color w:val="7D7D7D"/>
          <w:sz w:val="27"/>
          <w:szCs w:val="27"/>
        </w:rPr>
        <w:t>COMMITTEE</w:t>
      </w:r>
    </w:p>
    <w:p w:rsidR="002C5025" w:rsidRDefault="002C5025">
      <w:pPr>
        <w:pStyle w:val="BodyText"/>
        <w:tabs>
          <w:tab w:val="left" w:pos="4328"/>
        </w:tabs>
        <w:kinsoku w:val="0"/>
        <w:overflowPunct w:val="0"/>
        <w:spacing w:before="96" w:line="295" w:lineRule="auto"/>
        <w:ind w:left="2468" w:right="2089" w:hanging="1008"/>
        <w:rPr>
          <w:rFonts w:ascii="Times New Roman" w:hAnsi="Times New Roman" w:cs="Times New Roman"/>
          <w:color w:val="7D7D7D"/>
          <w:spacing w:val="-4"/>
          <w:w w:val="80"/>
          <w:sz w:val="30"/>
          <w:szCs w:val="30"/>
        </w:rPr>
      </w:pPr>
      <w:r>
        <w:rPr>
          <w:rFonts w:ascii="Times New Roman" w:hAnsi="Times New Roman" w:cs="Times New Roman"/>
          <w:color w:val="7D7D7D"/>
          <w:w w:val="90"/>
          <w:sz w:val="30"/>
          <w:szCs w:val="30"/>
        </w:rPr>
        <w:t>m4c</w:t>
      </w:r>
      <w:r>
        <w:rPr>
          <w:rFonts w:ascii="Times New Roman" w:hAnsi="Times New Roman" w:cs="Times New Roman"/>
          <w:color w:val="7D7D7D"/>
          <w:spacing w:val="-49"/>
          <w:w w:val="90"/>
          <w:sz w:val="30"/>
          <w:szCs w:val="30"/>
        </w:rPr>
        <w:t xml:space="preserve"> </w:t>
      </w:r>
      <w:proofErr w:type="spellStart"/>
      <w:r>
        <w:rPr>
          <w:rFonts w:ascii="Times New Roman" w:hAnsi="Times New Roman" w:cs="Times New Roman"/>
          <w:color w:val="7D7D7D"/>
          <w:w w:val="90"/>
          <w:sz w:val="30"/>
          <w:szCs w:val="30"/>
        </w:rPr>
        <w:t>filnmmnnfucalf</w:t>
      </w:r>
      <w:proofErr w:type="spellEnd"/>
      <w:r>
        <w:rPr>
          <w:rFonts w:ascii="Times New Roman" w:hAnsi="Times New Roman" w:cs="Times New Roman"/>
          <w:color w:val="7D7D7D"/>
          <w:spacing w:val="-50"/>
          <w:w w:val="90"/>
          <w:sz w:val="30"/>
          <w:szCs w:val="30"/>
        </w:rPr>
        <w:t xml:space="preserve"> </w:t>
      </w:r>
      <w:r>
        <w:rPr>
          <w:rFonts w:ascii="Times New Roman" w:hAnsi="Times New Roman" w:cs="Times New Roman"/>
          <w:color w:val="7D7D7D"/>
          <w:w w:val="90"/>
          <w:sz w:val="30"/>
          <w:szCs w:val="30"/>
        </w:rPr>
        <w:t>4</w:t>
      </w:r>
      <w:r>
        <w:rPr>
          <w:rFonts w:ascii="Times New Roman" w:hAnsi="Times New Roman" w:cs="Times New Roman"/>
          <w:color w:val="7D7D7D"/>
          <w:spacing w:val="-48"/>
          <w:w w:val="90"/>
          <w:sz w:val="30"/>
          <w:szCs w:val="30"/>
        </w:rPr>
        <w:t xml:space="preserve"> </w:t>
      </w:r>
      <w:proofErr w:type="spellStart"/>
      <w:r>
        <w:rPr>
          <w:rFonts w:ascii="Times New Roman" w:hAnsi="Times New Roman" w:cs="Times New Roman"/>
          <w:color w:val="7D7D7D"/>
          <w:w w:val="90"/>
          <w:sz w:val="30"/>
          <w:szCs w:val="30"/>
        </w:rPr>
        <w:t>nf</w:t>
      </w:r>
      <w:proofErr w:type="spellEnd"/>
      <w:r>
        <w:rPr>
          <w:rFonts w:ascii="Times New Roman" w:hAnsi="Times New Roman" w:cs="Times New Roman"/>
          <w:color w:val="7D7D7D"/>
          <w:w w:val="90"/>
          <w:sz w:val="30"/>
          <w:szCs w:val="30"/>
        </w:rPr>
        <w:tab/>
        <w:t xml:space="preserve">assar4usdfs </w:t>
      </w:r>
      <w:proofErr w:type="spellStart"/>
      <w:r>
        <w:rPr>
          <w:rFonts w:ascii="Times New Roman" w:hAnsi="Times New Roman" w:cs="Times New Roman"/>
          <w:color w:val="7D7D7D"/>
          <w:w w:val="80"/>
          <w:sz w:val="30"/>
          <w:szCs w:val="30"/>
        </w:rPr>
        <w:t>uprcmc</w:t>
      </w:r>
      <w:proofErr w:type="spellEnd"/>
      <w:r>
        <w:rPr>
          <w:rFonts w:ascii="Times New Roman" w:hAnsi="Times New Roman" w:cs="Times New Roman"/>
          <w:color w:val="7D7D7D"/>
          <w:w w:val="80"/>
          <w:sz w:val="30"/>
          <w:szCs w:val="30"/>
        </w:rPr>
        <w:t xml:space="preserve"> </w:t>
      </w:r>
      <w:proofErr w:type="spellStart"/>
      <w:r>
        <w:rPr>
          <w:rFonts w:ascii="Times New Roman" w:hAnsi="Times New Roman" w:cs="Times New Roman"/>
          <w:color w:val="7D7D7D"/>
          <w:w w:val="80"/>
          <w:sz w:val="24"/>
          <w:szCs w:val="24"/>
        </w:rPr>
        <w:t>ID'</w:t>
      </w:r>
      <w:r>
        <w:rPr>
          <w:rFonts w:ascii="Times New Roman" w:hAnsi="Times New Roman" w:cs="Times New Roman"/>
          <w:color w:val="7D7D7D"/>
          <w:w w:val="80"/>
          <w:sz w:val="30"/>
          <w:szCs w:val="30"/>
        </w:rPr>
        <w:t>uni:cial</w:t>
      </w:r>
      <w:proofErr w:type="spellEnd"/>
      <w:r>
        <w:rPr>
          <w:rFonts w:ascii="Times New Roman" w:hAnsi="Times New Roman" w:cs="Times New Roman"/>
          <w:color w:val="7D7D7D"/>
          <w:spacing w:val="-29"/>
          <w:w w:val="80"/>
          <w:sz w:val="30"/>
          <w:szCs w:val="30"/>
        </w:rPr>
        <w:t xml:space="preserve"> </w:t>
      </w:r>
      <w:r>
        <w:rPr>
          <w:rFonts w:ascii="Times New Roman" w:hAnsi="Times New Roman" w:cs="Times New Roman"/>
          <w:color w:val="7D7D7D"/>
          <w:spacing w:val="-4"/>
          <w:w w:val="80"/>
          <w:sz w:val="30"/>
          <w:szCs w:val="30"/>
        </w:rPr>
        <w:t>&lt;!</w:t>
      </w:r>
      <w:proofErr w:type="spellStart"/>
      <w:r>
        <w:rPr>
          <w:rFonts w:ascii="Times New Roman" w:hAnsi="Times New Roman" w:cs="Times New Roman"/>
          <w:color w:val="7D7D7D"/>
          <w:spacing w:val="-4"/>
          <w:w w:val="80"/>
          <w:sz w:val="30"/>
          <w:szCs w:val="30"/>
        </w:rPr>
        <w:t>lnurf</w:t>
      </w:r>
      <w:proofErr w:type="spellEnd"/>
    </w:p>
    <w:p w:rsidR="002C5025" w:rsidRDefault="002C5025">
      <w:pPr>
        <w:pStyle w:val="BodyText"/>
        <w:kinsoku w:val="0"/>
        <w:overflowPunct w:val="0"/>
        <w:spacing w:before="37"/>
        <w:ind w:left="95" w:right="597"/>
        <w:jc w:val="center"/>
        <w:rPr>
          <w:rFonts w:ascii="Arial" w:hAnsi="Arial" w:cs="Arial"/>
          <w:color w:val="7D7D7D"/>
          <w:w w:val="115"/>
          <w:sz w:val="15"/>
          <w:szCs w:val="15"/>
        </w:rPr>
      </w:pPr>
      <w:r>
        <w:rPr>
          <w:rFonts w:ascii="Arial" w:hAnsi="Arial" w:cs="Arial"/>
          <w:color w:val="7D7D7D"/>
          <w:w w:val="115"/>
          <w:sz w:val="15"/>
          <w:szCs w:val="15"/>
        </w:rPr>
        <w:t>24 SCHOOL STREET -  8</w:t>
      </w:r>
      <w:r>
        <w:rPr>
          <w:rFonts w:ascii="Times New Roman" w:hAnsi="Times New Roman" w:cs="Times New Roman"/>
          <w:color w:val="7D7D7D"/>
          <w:w w:val="115"/>
          <w:position w:val="3"/>
          <w:sz w:val="10"/>
          <w:szCs w:val="10"/>
        </w:rPr>
        <w:t xml:space="preserve">11    </w:t>
      </w:r>
      <w:r>
        <w:rPr>
          <w:rFonts w:ascii="Arial" w:hAnsi="Arial" w:cs="Arial"/>
          <w:color w:val="7D7D7D"/>
          <w:w w:val="115"/>
          <w:sz w:val="15"/>
          <w:szCs w:val="15"/>
        </w:rPr>
        <w:t>FLOOR</w:t>
      </w:r>
    </w:p>
    <w:p w:rsidR="002C5025" w:rsidRDefault="002C5025">
      <w:pPr>
        <w:pStyle w:val="BodyText"/>
        <w:kinsoku w:val="0"/>
        <w:overflowPunct w:val="0"/>
        <w:spacing w:before="24"/>
        <w:ind w:left="95" w:right="607"/>
        <w:jc w:val="center"/>
        <w:rPr>
          <w:rFonts w:ascii="Arial" w:hAnsi="Arial" w:cs="Arial"/>
          <w:color w:val="989898"/>
          <w:w w:val="115"/>
          <w:sz w:val="15"/>
          <w:szCs w:val="15"/>
        </w:rPr>
      </w:pPr>
      <w:r>
        <w:rPr>
          <w:rFonts w:ascii="Arial" w:hAnsi="Arial" w:cs="Arial"/>
          <w:color w:val="7D7D7D"/>
          <w:w w:val="115"/>
          <w:sz w:val="15"/>
          <w:szCs w:val="15"/>
        </w:rPr>
        <w:t>BOSTON</w:t>
      </w:r>
      <w:r>
        <w:rPr>
          <w:rFonts w:ascii="Arial" w:hAnsi="Arial" w:cs="Arial"/>
          <w:color w:val="989898"/>
          <w:w w:val="115"/>
          <w:sz w:val="15"/>
          <w:szCs w:val="15"/>
        </w:rPr>
        <w:t xml:space="preserve">, </w:t>
      </w:r>
      <w:r>
        <w:rPr>
          <w:rFonts w:ascii="Arial" w:hAnsi="Arial" w:cs="Arial"/>
          <w:color w:val="7D7D7D"/>
          <w:w w:val="115"/>
          <w:sz w:val="15"/>
          <w:szCs w:val="15"/>
        </w:rPr>
        <w:t>MASSACHUSETTS  0</w:t>
      </w:r>
      <w:r>
        <w:rPr>
          <w:rFonts w:ascii="Arial" w:hAnsi="Arial" w:cs="Arial"/>
          <w:color w:val="989898"/>
          <w:w w:val="115"/>
          <w:sz w:val="15"/>
          <w:szCs w:val="15"/>
        </w:rPr>
        <w:t xml:space="preserve">2 </w:t>
      </w:r>
      <w:r>
        <w:rPr>
          <w:rFonts w:ascii="Arial" w:hAnsi="Arial" w:cs="Arial"/>
          <w:color w:val="7D7D7D"/>
          <w:w w:val="115"/>
          <w:sz w:val="15"/>
          <w:szCs w:val="15"/>
        </w:rPr>
        <w:t>10</w:t>
      </w:r>
      <w:r>
        <w:rPr>
          <w:rFonts w:ascii="Arial" w:hAnsi="Arial" w:cs="Arial"/>
          <w:color w:val="989898"/>
          <w:w w:val="115"/>
          <w:sz w:val="15"/>
          <w:szCs w:val="15"/>
        </w:rPr>
        <w:t>8</w:t>
      </w:r>
    </w:p>
    <w:p w:rsidR="002C5025" w:rsidRDefault="002C5025">
      <w:pPr>
        <w:pStyle w:val="BodyText"/>
        <w:kinsoku w:val="0"/>
        <w:overflowPunct w:val="0"/>
        <w:spacing w:before="24"/>
        <w:ind w:left="95" w:right="599"/>
        <w:jc w:val="center"/>
        <w:rPr>
          <w:rFonts w:ascii="Arial" w:hAnsi="Arial" w:cs="Arial"/>
          <w:color w:val="7D7D7D"/>
          <w:w w:val="120"/>
          <w:sz w:val="15"/>
          <w:szCs w:val="15"/>
        </w:rPr>
      </w:pPr>
      <w:r>
        <w:rPr>
          <w:rFonts w:ascii="Arial" w:hAnsi="Arial" w:cs="Arial"/>
          <w:color w:val="7D7D7D"/>
          <w:w w:val="120"/>
          <w:sz w:val="15"/>
          <w:szCs w:val="15"/>
        </w:rPr>
        <w:t>TEL:  (617) 338-2345</w:t>
      </w:r>
    </w:p>
    <w:p w:rsidR="002C5025" w:rsidRDefault="002C5025">
      <w:pPr>
        <w:pStyle w:val="BodyText"/>
        <w:kinsoku w:val="0"/>
        <w:overflowPunct w:val="0"/>
        <w:spacing w:before="29"/>
        <w:ind w:left="95" w:right="588"/>
        <w:jc w:val="center"/>
        <w:rPr>
          <w:rFonts w:ascii="Arial" w:hAnsi="Arial" w:cs="Arial"/>
          <w:color w:val="7D7D7D"/>
          <w:w w:val="120"/>
          <w:sz w:val="15"/>
          <w:szCs w:val="15"/>
        </w:rPr>
      </w:pPr>
      <w:r>
        <w:rPr>
          <w:rFonts w:ascii="Arial" w:hAnsi="Arial" w:cs="Arial"/>
          <w:color w:val="7D7D7D"/>
          <w:w w:val="120"/>
          <w:sz w:val="15"/>
          <w:szCs w:val="15"/>
        </w:rPr>
        <w:t>FAX:  (617) 338-2347</w:t>
      </w:r>
    </w:p>
    <w:p w:rsidR="002C5025" w:rsidRDefault="002C5025">
      <w:pPr>
        <w:pStyle w:val="BodyText"/>
        <w:kinsoku w:val="0"/>
        <w:overflowPunct w:val="0"/>
        <w:spacing w:before="11"/>
        <w:ind w:left="95" w:right="593"/>
        <w:jc w:val="center"/>
        <w:rPr>
          <w:rFonts w:ascii="Times New Roman" w:hAnsi="Times New Roman" w:cs="Times New Roman"/>
          <w:color w:val="7D7D7D"/>
          <w:w w:val="120"/>
          <w:sz w:val="16"/>
          <w:szCs w:val="16"/>
        </w:rPr>
      </w:pPr>
      <w:r>
        <w:rPr>
          <w:rFonts w:ascii="Times New Roman" w:hAnsi="Times New Roman" w:cs="Times New Roman"/>
          <w:color w:val="7D7D7D"/>
          <w:w w:val="120"/>
          <w:sz w:val="16"/>
          <w:szCs w:val="16"/>
        </w:rPr>
        <w:t xml:space="preserve">www </w:t>
      </w:r>
      <w:r>
        <w:rPr>
          <w:rFonts w:ascii="Times New Roman" w:hAnsi="Times New Roman" w:cs="Times New Roman"/>
          <w:color w:val="989898"/>
          <w:w w:val="120"/>
          <w:sz w:val="16"/>
          <w:szCs w:val="16"/>
        </w:rPr>
        <w:t>.</w:t>
      </w:r>
      <w:r>
        <w:rPr>
          <w:rFonts w:ascii="Times New Roman" w:hAnsi="Times New Roman" w:cs="Times New Roman"/>
          <w:color w:val="7D7D7D"/>
          <w:w w:val="120"/>
          <w:sz w:val="16"/>
          <w:szCs w:val="16"/>
        </w:rPr>
        <w:t>mhlac.o</w:t>
      </w:r>
      <w:r>
        <w:rPr>
          <w:rFonts w:ascii="Times New Roman" w:hAnsi="Times New Roman" w:cs="Times New Roman"/>
          <w:color w:val="989898"/>
          <w:w w:val="120"/>
          <w:sz w:val="16"/>
          <w:szCs w:val="16"/>
        </w:rPr>
        <w:t>r</w:t>
      </w:r>
      <w:r>
        <w:rPr>
          <w:rFonts w:ascii="Times New Roman" w:hAnsi="Times New Roman" w:cs="Times New Roman"/>
          <w:color w:val="7D7D7D"/>
          <w:w w:val="120"/>
          <w:sz w:val="16"/>
          <w:szCs w:val="16"/>
        </w:rPr>
        <w:t>g</w:t>
      </w:r>
    </w:p>
    <w:p w:rsidR="002C5025" w:rsidRDefault="002C5025">
      <w:pPr>
        <w:pStyle w:val="BodyText"/>
        <w:kinsoku w:val="0"/>
        <w:overflowPunct w:val="0"/>
        <w:rPr>
          <w:rFonts w:ascii="Times New Roman" w:hAnsi="Times New Roman" w:cs="Times New Roman"/>
          <w:sz w:val="16"/>
          <w:szCs w:val="16"/>
        </w:rPr>
      </w:pPr>
    </w:p>
    <w:p w:rsidR="002C5025" w:rsidRDefault="002C5025">
      <w:pPr>
        <w:pStyle w:val="BodyText"/>
        <w:kinsoku w:val="0"/>
        <w:overflowPunct w:val="0"/>
        <w:rPr>
          <w:rFonts w:ascii="Times New Roman" w:hAnsi="Times New Roman" w:cs="Times New Roman"/>
          <w:sz w:val="16"/>
          <w:szCs w:val="16"/>
        </w:rPr>
      </w:pPr>
    </w:p>
    <w:p w:rsidR="002C5025" w:rsidRDefault="002C5025">
      <w:pPr>
        <w:pStyle w:val="BodyText"/>
        <w:kinsoku w:val="0"/>
        <w:overflowPunct w:val="0"/>
        <w:rPr>
          <w:rFonts w:ascii="Times New Roman" w:hAnsi="Times New Roman" w:cs="Times New Roman"/>
          <w:sz w:val="16"/>
          <w:szCs w:val="16"/>
        </w:rPr>
      </w:pPr>
    </w:p>
    <w:p w:rsidR="002C5025" w:rsidRDefault="002C5025">
      <w:pPr>
        <w:pStyle w:val="BodyText"/>
        <w:kinsoku w:val="0"/>
        <w:overflowPunct w:val="0"/>
        <w:rPr>
          <w:rFonts w:ascii="Times New Roman" w:hAnsi="Times New Roman" w:cs="Times New Roman"/>
          <w:sz w:val="16"/>
          <w:szCs w:val="16"/>
        </w:rPr>
      </w:pPr>
    </w:p>
    <w:p w:rsidR="002C5025" w:rsidRDefault="002C5025">
      <w:pPr>
        <w:pStyle w:val="BodyText"/>
        <w:kinsoku w:val="0"/>
        <w:overflowPunct w:val="0"/>
        <w:rPr>
          <w:rFonts w:ascii="Times New Roman" w:hAnsi="Times New Roman" w:cs="Times New Roman"/>
          <w:sz w:val="16"/>
          <w:szCs w:val="16"/>
        </w:rPr>
      </w:pPr>
    </w:p>
    <w:p w:rsidR="002C5025" w:rsidRDefault="002C5025">
      <w:pPr>
        <w:pStyle w:val="BodyText"/>
        <w:kinsoku w:val="0"/>
        <w:overflowPunct w:val="0"/>
        <w:rPr>
          <w:rFonts w:ascii="Times New Roman" w:hAnsi="Times New Roman" w:cs="Times New Roman"/>
          <w:sz w:val="16"/>
          <w:szCs w:val="16"/>
        </w:rPr>
      </w:pPr>
    </w:p>
    <w:p w:rsidR="002C5025" w:rsidRDefault="002C5025">
      <w:pPr>
        <w:pStyle w:val="BodyText"/>
        <w:kinsoku w:val="0"/>
        <w:overflowPunct w:val="0"/>
        <w:rPr>
          <w:rFonts w:ascii="Times New Roman" w:hAnsi="Times New Roman" w:cs="Times New Roman"/>
          <w:sz w:val="16"/>
          <w:szCs w:val="16"/>
        </w:rPr>
      </w:pPr>
    </w:p>
    <w:p w:rsidR="002C5025" w:rsidRDefault="002C5025">
      <w:pPr>
        <w:pStyle w:val="BodyText"/>
        <w:kinsoku w:val="0"/>
        <w:overflowPunct w:val="0"/>
        <w:rPr>
          <w:rFonts w:ascii="Times New Roman" w:hAnsi="Times New Roman" w:cs="Times New Roman"/>
          <w:sz w:val="16"/>
          <w:szCs w:val="16"/>
        </w:rPr>
      </w:pPr>
    </w:p>
    <w:p w:rsidR="002C5025" w:rsidRDefault="002C5025">
      <w:pPr>
        <w:pStyle w:val="BodyText"/>
        <w:kinsoku w:val="0"/>
        <w:overflowPunct w:val="0"/>
        <w:rPr>
          <w:rFonts w:ascii="Times New Roman" w:hAnsi="Times New Roman" w:cs="Times New Roman"/>
          <w:sz w:val="16"/>
          <w:szCs w:val="16"/>
        </w:rPr>
      </w:pPr>
    </w:p>
    <w:p w:rsidR="002C5025" w:rsidRDefault="002C5025">
      <w:pPr>
        <w:pStyle w:val="BodyText"/>
        <w:kinsoku w:val="0"/>
        <w:overflowPunct w:val="0"/>
        <w:rPr>
          <w:rFonts w:ascii="Times New Roman" w:hAnsi="Times New Roman" w:cs="Times New Roman"/>
          <w:sz w:val="16"/>
          <w:szCs w:val="16"/>
        </w:rPr>
      </w:pPr>
    </w:p>
    <w:p w:rsidR="002C5025" w:rsidRDefault="002C5025">
      <w:pPr>
        <w:pStyle w:val="BodyText"/>
        <w:kinsoku w:val="0"/>
        <w:overflowPunct w:val="0"/>
        <w:rPr>
          <w:rFonts w:ascii="Times New Roman" w:hAnsi="Times New Roman" w:cs="Times New Roman"/>
          <w:sz w:val="16"/>
          <w:szCs w:val="16"/>
        </w:rPr>
      </w:pPr>
    </w:p>
    <w:p w:rsidR="002C5025" w:rsidRDefault="002C5025">
      <w:pPr>
        <w:pStyle w:val="BodyText"/>
        <w:kinsoku w:val="0"/>
        <w:overflowPunct w:val="0"/>
        <w:rPr>
          <w:rFonts w:ascii="Times New Roman" w:hAnsi="Times New Roman" w:cs="Times New Roman"/>
          <w:sz w:val="16"/>
          <w:szCs w:val="16"/>
        </w:rPr>
      </w:pPr>
    </w:p>
    <w:p w:rsidR="002C5025" w:rsidRDefault="002C5025">
      <w:pPr>
        <w:pStyle w:val="BodyText"/>
        <w:kinsoku w:val="0"/>
        <w:overflowPunct w:val="0"/>
        <w:spacing w:before="92" w:line="434" w:lineRule="auto"/>
        <w:ind w:left="702" w:right="2089" w:firstLine="1104"/>
        <w:rPr>
          <w:rFonts w:ascii="Times New Roman" w:hAnsi="Times New Roman" w:cs="Times New Roman"/>
          <w:color w:val="626262"/>
          <w:sz w:val="27"/>
          <w:szCs w:val="27"/>
        </w:rPr>
      </w:pPr>
      <w:r>
        <w:rPr>
          <w:rFonts w:ascii="Times New Roman" w:hAnsi="Times New Roman" w:cs="Times New Roman"/>
          <w:color w:val="626262"/>
          <w:sz w:val="27"/>
          <w:szCs w:val="27"/>
        </w:rPr>
        <w:t>MHLAC Comments on MassHealth Delivery System Restructuring</w:t>
      </w:r>
    </w:p>
    <w:p w:rsidR="002C5025" w:rsidRDefault="002C5025">
      <w:pPr>
        <w:pStyle w:val="BodyText"/>
        <w:kinsoku w:val="0"/>
        <w:overflowPunct w:val="0"/>
        <w:spacing w:before="26"/>
        <w:ind w:left="2298" w:right="2089"/>
        <w:rPr>
          <w:rFonts w:ascii="Times New Roman" w:hAnsi="Times New Roman" w:cs="Times New Roman"/>
          <w:color w:val="626262"/>
          <w:sz w:val="27"/>
          <w:szCs w:val="27"/>
        </w:rPr>
      </w:pPr>
      <w:r>
        <w:rPr>
          <w:rFonts w:ascii="Times New Roman" w:hAnsi="Times New Roman" w:cs="Times New Roman"/>
          <w:color w:val="626262"/>
          <w:sz w:val="27"/>
          <w:szCs w:val="27"/>
        </w:rPr>
        <w:t>April 30, 2016</w:t>
      </w:r>
    </w:p>
    <w:p w:rsidR="002C5025" w:rsidRDefault="002C5025">
      <w:pPr>
        <w:pStyle w:val="BodyText"/>
        <w:kinsoku w:val="0"/>
        <w:overflowPunct w:val="0"/>
        <w:spacing w:before="26"/>
        <w:ind w:left="2298" w:right="2089"/>
        <w:rPr>
          <w:rFonts w:ascii="Times New Roman" w:hAnsi="Times New Roman" w:cs="Times New Roman"/>
          <w:color w:val="626262"/>
          <w:sz w:val="27"/>
          <w:szCs w:val="27"/>
        </w:rPr>
        <w:sectPr w:rsidR="002C5025">
          <w:type w:val="continuous"/>
          <w:pgSz w:w="12240" w:h="15840"/>
          <w:pgMar w:top="720" w:right="1500" w:bottom="280" w:left="1040" w:header="720" w:footer="720" w:gutter="0"/>
          <w:cols w:num="2" w:space="720" w:equalWidth="0">
            <w:col w:w="1586" w:space="399"/>
            <w:col w:w="7715"/>
          </w:cols>
          <w:noEndnote/>
        </w:sect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3"/>
        <w:rPr>
          <w:rFonts w:ascii="Times New Roman" w:hAnsi="Times New Roman" w:cs="Times New Roman"/>
          <w:sz w:val="25"/>
          <w:szCs w:val="25"/>
        </w:rPr>
      </w:pPr>
    </w:p>
    <w:p w:rsidR="002C5025" w:rsidRDefault="002C5025">
      <w:pPr>
        <w:pStyle w:val="BodyText"/>
        <w:kinsoku w:val="0"/>
        <w:overflowPunct w:val="0"/>
        <w:spacing w:before="67" w:line="280" w:lineRule="auto"/>
        <w:ind w:left="467" w:right="106" w:firstLine="9"/>
        <w:rPr>
          <w:rFonts w:ascii="Times New Roman" w:hAnsi="Times New Roman" w:cs="Times New Roman"/>
          <w:color w:val="626262"/>
          <w:sz w:val="27"/>
          <w:szCs w:val="27"/>
        </w:rPr>
      </w:pPr>
      <w:r>
        <w:rPr>
          <w:rFonts w:ascii="Times New Roman" w:hAnsi="Times New Roman" w:cs="Times New Roman"/>
          <w:color w:val="626262"/>
          <w:sz w:val="27"/>
          <w:szCs w:val="27"/>
        </w:rPr>
        <w:t>Thank you for the opportunity to comment on MassHealth's proposal to restructure its delivery system. There are many elements of the restructuring plan that are positive:</w:t>
      </w:r>
    </w:p>
    <w:p w:rsidR="002C5025" w:rsidRDefault="002C5025">
      <w:pPr>
        <w:pStyle w:val="BodyText"/>
        <w:kinsoku w:val="0"/>
        <w:overflowPunct w:val="0"/>
        <w:spacing w:before="205" w:line="285" w:lineRule="auto"/>
        <w:ind w:left="1189" w:right="106" w:hanging="332"/>
        <w:rPr>
          <w:rFonts w:ascii="Times New Roman" w:hAnsi="Times New Roman" w:cs="Times New Roman"/>
          <w:color w:val="626262"/>
          <w:sz w:val="27"/>
          <w:szCs w:val="27"/>
        </w:rPr>
      </w:pPr>
      <w:r>
        <w:rPr>
          <w:rFonts w:ascii="Arial" w:hAnsi="Arial" w:cs="Arial"/>
          <w:b/>
          <w:bCs/>
          <w:color w:val="626262"/>
          <w:sz w:val="26"/>
          <w:szCs w:val="26"/>
        </w:rPr>
        <w:t xml:space="preserve">1. </w:t>
      </w:r>
      <w:r>
        <w:rPr>
          <w:rFonts w:ascii="Times New Roman" w:hAnsi="Times New Roman" w:cs="Times New Roman"/>
          <w:color w:val="626262"/>
          <w:sz w:val="27"/>
          <w:szCs w:val="27"/>
        </w:rPr>
        <w:t>DSRIP funding for services not traditionally reimbursed as medical care to address health-related social needs;</w:t>
      </w:r>
    </w:p>
    <w:p w:rsidR="002C5025" w:rsidRDefault="002C5025">
      <w:pPr>
        <w:pStyle w:val="BodyText"/>
        <w:kinsoku w:val="0"/>
        <w:overflowPunct w:val="0"/>
        <w:spacing w:before="5"/>
        <w:rPr>
          <w:rFonts w:ascii="Times New Roman" w:hAnsi="Times New Roman" w:cs="Times New Roman"/>
          <w:sz w:val="31"/>
          <w:szCs w:val="31"/>
        </w:rPr>
      </w:pPr>
    </w:p>
    <w:p w:rsidR="002C5025" w:rsidRDefault="002C5025">
      <w:pPr>
        <w:pStyle w:val="ListParagraph"/>
        <w:numPr>
          <w:ilvl w:val="0"/>
          <w:numId w:val="29"/>
        </w:numPr>
        <w:tabs>
          <w:tab w:val="left" w:pos="1192"/>
        </w:tabs>
        <w:kinsoku w:val="0"/>
        <w:overflowPunct w:val="0"/>
        <w:spacing w:line="280" w:lineRule="auto"/>
        <w:ind w:right="502" w:hanging="362"/>
        <w:rPr>
          <w:color w:val="626262"/>
          <w:sz w:val="27"/>
          <w:szCs w:val="27"/>
        </w:rPr>
      </w:pPr>
      <w:r>
        <w:rPr>
          <w:color w:val="626262"/>
          <w:sz w:val="27"/>
          <w:szCs w:val="27"/>
        </w:rPr>
        <w:t xml:space="preserve">A portion of DSRIP funding designated for </w:t>
      </w:r>
      <w:r>
        <w:rPr>
          <w:color w:val="626262"/>
          <w:spacing w:val="-3"/>
          <w:sz w:val="27"/>
          <w:szCs w:val="27"/>
        </w:rPr>
        <w:t xml:space="preserve">"flexible </w:t>
      </w:r>
      <w:r>
        <w:rPr>
          <w:color w:val="626262"/>
          <w:sz w:val="27"/>
          <w:szCs w:val="27"/>
        </w:rPr>
        <w:t>services" to address social</w:t>
      </w:r>
      <w:r>
        <w:rPr>
          <w:color w:val="626262"/>
          <w:spacing w:val="-3"/>
          <w:sz w:val="27"/>
          <w:szCs w:val="27"/>
        </w:rPr>
        <w:t xml:space="preserve"> </w:t>
      </w:r>
      <w:r>
        <w:rPr>
          <w:color w:val="626262"/>
          <w:sz w:val="27"/>
          <w:szCs w:val="27"/>
        </w:rPr>
        <w:t>determinants;</w:t>
      </w:r>
    </w:p>
    <w:p w:rsidR="002C5025" w:rsidRDefault="002C5025">
      <w:pPr>
        <w:pStyle w:val="BodyText"/>
        <w:kinsoku w:val="0"/>
        <w:overflowPunct w:val="0"/>
        <w:spacing w:before="9"/>
        <w:rPr>
          <w:rFonts w:ascii="Times New Roman" w:hAnsi="Times New Roman" w:cs="Times New Roman"/>
          <w:sz w:val="32"/>
          <w:szCs w:val="32"/>
        </w:rPr>
      </w:pPr>
    </w:p>
    <w:p w:rsidR="002C5025" w:rsidRDefault="002C5025">
      <w:pPr>
        <w:pStyle w:val="ListParagraph"/>
        <w:numPr>
          <w:ilvl w:val="0"/>
          <w:numId w:val="29"/>
        </w:numPr>
        <w:tabs>
          <w:tab w:val="left" w:pos="1188"/>
        </w:tabs>
        <w:kinsoku w:val="0"/>
        <w:overflowPunct w:val="0"/>
        <w:spacing w:before="1"/>
        <w:ind w:left="1187" w:hanging="355"/>
        <w:rPr>
          <w:color w:val="626262"/>
          <w:sz w:val="27"/>
          <w:szCs w:val="27"/>
        </w:rPr>
      </w:pPr>
      <w:r>
        <w:rPr>
          <w:color w:val="626262"/>
          <w:sz w:val="27"/>
          <w:szCs w:val="27"/>
        </w:rPr>
        <w:t>Funding for BH and LTSS community</w:t>
      </w:r>
      <w:r>
        <w:rPr>
          <w:color w:val="626262"/>
          <w:spacing w:val="48"/>
          <w:sz w:val="27"/>
          <w:szCs w:val="27"/>
        </w:rPr>
        <w:t xml:space="preserve"> </w:t>
      </w:r>
      <w:r>
        <w:rPr>
          <w:color w:val="626262"/>
          <w:sz w:val="27"/>
          <w:szCs w:val="27"/>
        </w:rPr>
        <w:t>organizations;</w:t>
      </w:r>
    </w:p>
    <w:p w:rsidR="002C5025" w:rsidRDefault="002C5025">
      <w:pPr>
        <w:pStyle w:val="BodyText"/>
        <w:kinsoku w:val="0"/>
        <w:overflowPunct w:val="0"/>
        <w:rPr>
          <w:rFonts w:ascii="Times New Roman" w:hAnsi="Times New Roman" w:cs="Times New Roman"/>
          <w:sz w:val="35"/>
          <w:szCs w:val="35"/>
        </w:rPr>
      </w:pPr>
    </w:p>
    <w:p w:rsidR="002C5025" w:rsidRDefault="002C5025">
      <w:pPr>
        <w:pStyle w:val="ListParagraph"/>
        <w:numPr>
          <w:ilvl w:val="0"/>
          <w:numId w:val="29"/>
        </w:numPr>
        <w:tabs>
          <w:tab w:val="left" w:pos="1188"/>
        </w:tabs>
        <w:kinsoku w:val="0"/>
        <w:overflowPunct w:val="0"/>
        <w:spacing w:line="273" w:lineRule="auto"/>
        <w:ind w:left="1187" w:right="287"/>
        <w:rPr>
          <w:color w:val="626262"/>
          <w:sz w:val="27"/>
          <w:szCs w:val="27"/>
        </w:rPr>
      </w:pPr>
      <w:r>
        <w:rPr>
          <w:color w:val="626262"/>
          <w:sz w:val="27"/>
          <w:szCs w:val="27"/>
        </w:rPr>
        <w:t xml:space="preserve">An explicit requirement that ACOs partner with </w:t>
      </w:r>
      <w:r>
        <w:rPr>
          <w:b/>
          <w:bCs/>
          <w:color w:val="626262"/>
          <w:sz w:val="29"/>
          <w:szCs w:val="29"/>
        </w:rPr>
        <w:t xml:space="preserve">BH </w:t>
      </w:r>
      <w:r>
        <w:rPr>
          <w:color w:val="626262"/>
          <w:sz w:val="27"/>
          <w:szCs w:val="27"/>
        </w:rPr>
        <w:t>and LTSS Community Partners;</w:t>
      </w:r>
    </w:p>
    <w:p w:rsidR="002C5025" w:rsidRDefault="002C5025">
      <w:pPr>
        <w:pStyle w:val="BodyText"/>
        <w:kinsoku w:val="0"/>
        <w:overflowPunct w:val="0"/>
        <w:spacing w:before="6"/>
        <w:rPr>
          <w:rFonts w:ascii="Times New Roman" w:hAnsi="Times New Roman" w:cs="Times New Roman"/>
          <w:sz w:val="32"/>
          <w:szCs w:val="32"/>
        </w:rPr>
      </w:pPr>
    </w:p>
    <w:p w:rsidR="002C5025" w:rsidRDefault="002C5025">
      <w:pPr>
        <w:pStyle w:val="ListParagraph"/>
        <w:numPr>
          <w:ilvl w:val="0"/>
          <w:numId w:val="29"/>
        </w:numPr>
        <w:tabs>
          <w:tab w:val="left" w:pos="1188"/>
        </w:tabs>
        <w:kinsoku w:val="0"/>
        <w:overflowPunct w:val="0"/>
        <w:spacing w:before="1"/>
        <w:ind w:left="1187" w:hanging="355"/>
        <w:rPr>
          <w:rFonts w:ascii="Arial" w:hAnsi="Arial" w:cs="Arial"/>
          <w:color w:val="626262"/>
          <w:position w:val="6"/>
          <w:sz w:val="17"/>
          <w:szCs w:val="17"/>
        </w:rPr>
      </w:pPr>
      <w:r>
        <w:rPr>
          <w:color w:val="626262"/>
          <w:sz w:val="27"/>
          <w:szCs w:val="27"/>
        </w:rPr>
        <w:t>Building of linkages with social</w:t>
      </w:r>
      <w:r>
        <w:rPr>
          <w:color w:val="626262"/>
          <w:spacing w:val="42"/>
          <w:sz w:val="27"/>
          <w:szCs w:val="27"/>
        </w:rPr>
        <w:t xml:space="preserve"> </w:t>
      </w:r>
      <w:r>
        <w:rPr>
          <w:color w:val="626262"/>
          <w:sz w:val="27"/>
          <w:szCs w:val="27"/>
        </w:rPr>
        <w:t>services;</w:t>
      </w:r>
      <w:r>
        <w:rPr>
          <w:rFonts w:ascii="Arial" w:hAnsi="Arial" w:cs="Arial"/>
          <w:color w:val="626262"/>
          <w:position w:val="6"/>
          <w:sz w:val="17"/>
          <w:szCs w:val="17"/>
        </w:rPr>
        <w:t>1</w:t>
      </w:r>
    </w:p>
    <w:p w:rsidR="002C5025" w:rsidRDefault="002C5025">
      <w:pPr>
        <w:pStyle w:val="BodyText"/>
        <w:kinsoku w:val="0"/>
        <w:overflowPunct w:val="0"/>
        <w:rPr>
          <w:rFonts w:ascii="Arial" w:hAnsi="Arial" w:cs="Arial"/>
          <w:sz w:val="20"/>
          <w:szCs w:val="20"/>
        </w:rPr>
      </w:pPr>
    </w:p>
    <w:p w:rsidR="002C5025" w:rsidRDefault="00FB027C">
      <w:pPr>
        <w:pStyle w:val="BodyText"/>
        <w:kinsoku w:val="0"/>
        <w:overflowPunct w:val="0"/>
        <w:rPr>
          <w:rFonts w:ascii="Arial" w:hAnsi="Arial" w:cs="Arial"/>
          <w:sz w:val="10"/>
          <w:szCs w:val="10"/>
        </w:rPr>
      </w:pPr>
      <w:r>
        <w:rPr>
          <w:noProof/>
        </w:rPr>
        <mc:AlternateContent>
          <mc:Choice Requires="wps">
            <w:drawing>
              <wp:anchor distT="0" distB="0" distL="0" distR="0" simplePos="0" relativeHeight="251768320" behindDoc="0" locked="0" layoutInCell="0" allowOverlap="1">
                <wp:simplePos x="0" y="0"/>
                <wp:positionH relativeFrom="page">
                  <wp:posOffset>967105</wp:posOffset>
                </wp:positionH>
                <wp:positionV relativeFrom="paragraph">
                  <wp:posOffset>102870</wp:posOffset>
                </wp:positionV>
                <wp:extent cx="1804670" cy="12700"/>
                <wp:effectExtent l="0" t="0" r="0" b="0"/>
                <wp:wrapTopAndBottom/>
                <wp:docPr id="168" name="Freeform 7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4670" cy="12700"/>
                        </a:xfrm>
                        <a:custGeom>
                          <a:avLst/>
                          <a:gdLst>
                            <a:gd name="T0" fmla="*/ 0 w 2842"/>
                            <a:gd name="T1" fmla="*/ 0 h 20"/>
                            <a:gd name="T2" fmla="*/ 2842 w 2842"/>
                            <a:gd name="T3" fmla="*/ 0 h 20"/>
                          </a:gdLst>
                          <a:ahLst/>
                          <a:cxnLst>
                            <a:cxn ang="0">
                              <a:pos x="T0" y="T1"/>
                            </a:cxn>
                            <a:cxn ang="0">
                              <a:pos x="T2" y="T3"/>
                            </a:cxn>
                          </a:cxnLst>
                          <a:rect l="0" t="0" r="r" b="b"/>
                          <a:pathLst>
                            <a:path w="2842" h="20">
                              <a:moveTo>
                                <a:pt x="0" y="0"/>
                              </a:moveTo>
                              <a:lnTo>
                                <a:pt x="2842" y="0"/>
                              </a:lnTo>
                            </a:path>
                          </a:pathLst>
                        </a:custGeom>
                        <a:noFill/>
                        <a:ln w="90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59" o:spid="_x0000_s1026" style="position:absolute;z-index:251768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6.15pt,8.1pt,218.25pt,8.1pt" coordsize="284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" o:allowincell="f" filled="f" strokeweight=".25011mm">
                <v:path arrowok="t" o:connecttype="custom" o:connectlocs="0,0;1804670,0" o:connectangles="0,0"/>
                <w10:wrap type="topAndBottom" anchorx="page"/>
              </v:polyline>
            </w:pict>
          </mc:Fallback>
        </mc:AlternateContent>
      </w:r>
    </w:p>
    <w:p w:rsidR="002C5025" w:rsidRDefault="002C5025">
      <w:pPr>
        <w:pStyle w:val="BodyText"/>
        <w:kinsoku w:val="0"/>
        <w:overflowPunct w:val="0"/>
        <w:spacing w:before="56" w:line="249" w:lineRule="auto"/>
        <w:ind w:left="472" w:right="106" w:firstLine="13"/>
        <w:rPr>
          <w:rFonts w:ascii="Times New Roman" w:hAnsi="Times New Roman" w:cs="Times New Roman"/>
          <w:color w:val="626262"/>
          <w:w w:val="105"/>
          <w:sz w:val="21"/>
          <w:szCs w:val="21"/>
        </w:rPr>
      </w:pPr>
      <w:r>
        <w:rPr>
          <w:rFonts w:ascii="Times New Roman" w:hAnsi="Times New Roman" w:cs="Times New Roman"/>
          <w:color w:val="626262"/>
          <w:w w:val="105"/>
          <w:position w:val="5"/>
          <w:sz w:val="14"/>
          <w:szCs w:val="14"/>
        </w:rPr>
        <w:t xml:space="preserve">1 </w:t>
      </w:r>
      <w:r>
        <w:rPr>
          <w:rFonts w:ascii="Times New Roman" w:hAnsi="Times New Roman" w:cs="Times New Roman"/>
          <w:color w:val="626262"/>
          <w:w w:val="105"/>
          <w:sz w:val="21"/>
          <w:szCs w:val="21"/>
        </w:rPr>
        <w:t xml:space="preserve">Social service linkages and case management should not be limited to referrals. </w:t>
      </w:r>
      <w:r>
        <w:rPr>
          <w:rFonts w:ascii="Times New Roman" w:hAnsi="Times New Roman" w:cs="Times New Roman"/>
          <w:color w:val="7D7D7D"/>
          <w:w w:val="105"/>
          <w:sz w:val="21"/>
          <w:szCs w:val="21"/>
        </w:rPr>
        <w:t>T</w:t>
      </w:r>
      <w:r>
        <w:rPr>
          <w:rFonts w:ascii="Times New Roman" w:hAnsi="Times New Roman" w:cs="Times New Roman"/>
          <w:color w:val="626262"/>
          <w:w w:val="105"/>
          <w:sz w:val="21"/>
          <w:szCs w:val="21"/>
        </w:rPr>
        <w:t xml:space="preserve">he same is true for Community Partner </w:t>
      </w:r>
      <w:r>
        <w:rPr>
          <w:rFonts w:ascii="Times New Roman" w:hAnsi="Times New Roman" w:cs="Times New Roman"/>
          <w:color w:val="7D7D7D"/>
          <w:w w:val="105"/>
          <w:sz w:val="21"/>
          <w:szCs w:val="21"/>
        </w:rPr>
        <w:t>"</w:t>
      </w:r>
      <w:r>
        <w:rPr>
          <w:rFonts w:ascii="Times New Roman" w:hAnsi="Times New Roman" w:cs="Times New Roman"/>
          <w:color w:val="626262"/>
          <w:w w:val="105"/>
          <w:sz w:val="21"/>
          <w:szCs w:val="21"/>
        </w:rPr>
        <w:t>navigational a</w:t>
      </w:r>
      <w:r>
        <w:rPr>
          <w:rFonts w:ascii="Times New Roman" w:hAnsi="Times New Roman" w:cs="Times New Roman"/>
          <w:color w:val="7D7D7D"/>
          <w:w w:val="105"/>
          <w:sz w:val="21"/>
          <w:szCs w:val="21"/>
        </w:rPr>
        <w:t>s</w:t>
      </w:r>
      <w:r>
        <w:rPr>
          <w:rFonts w:ascii="Times New Roman" w:hAnsi="Times New Roman" w:cs="Times New Roman"/>
          <w:color w:val="626262"/>
          <w:w w:val="105"/>
          <w:sz w:val="21"/>
          <w:szCs w:val="21"/>
        </w:rPr>
        <w:t>sist</w:t>
      </w:r>
      <w:r>
        <w:rPr>
          <w:rFonts w:ascii="Times New Roman" w:hAnsi="Times New Roman" w:cs="Times New Roman"/>
          <w:color w:val="7D7D7D"/>
          <w:w w:val="105"/>
          <w:sz w:val="21"/>
          <w:szCs w:val="21"/>
        </w:rPr>
        <w:t>a</w:t>
      </w:r>
      <w:r>
        <w:rPr>
          <w:rFonts w:ascii="Times New Roman" w:hAnsi="Times New Roman" w:cs="Times New Roman"/>
          <w:color w:val="626262"/>
          <w:w w:val="105"/>
          <w:sz w:val="21"/>
          <w:szCs w:val="21"/>
        </w:rPr>
        <w:t>nc</w:t>
      </w:r>
      <w:r>
        <w:rPr>
          <w:rFonts w:ascii="Times New Roman" w:hAnsi="Times New Roman" w:cs="Times New Roman"/>
          <w:color w:val="7D7D7D"/>
          <w:w w:val="105"/>
          <w:sz w:val="21"/>
          <w:szCs w:val="21"/>
        </w:rPr>
        <w:t xml:space="preserve">e </w:t>
      </w:r>
      <w:r>
        <w:rPr>
          <w:rFonts w:ascii="Times New Roman" w:hAnsi="Times New Roman" w:cs="Times New Roman"/>
          <w:color w:val="626262"/>
          <w:w w:val="105"/>
          <w:sz w:val="21"/>
          <w:szCs w:val="21"/>
        </w:rPr>
        <w:t>for accessin</w:t>
      </w:r>
      <w:r>
        <w:rPr>
          <w:rFonts w:ascii="Times New Roman" w:hAnsi="Times New Roman" w:cs="Times New Roman"/>
          <w:color w:val="7D7D7D"/>
          <w:w w:val="105"/>
          <w:sz w:val="21"/>
          <w:szCs w:val="21"/>
        </w:rPr>
        <w:t xml:space="preserve">g </w:t>
      </w:r>
      <w:r>
        <w:rPr>
          <w:rFonts w:ascii="Times New Roman" w:hAnsi="Times New Roman" w:cs="Times New Roman"/>
          <w:color w:val="626262"/>
          <w:w w:val="105"/>
          <w:sz w:val="21"/>
          <w:szCs w:val="21"/>
        </w:rPr>
        <w:t xml:space="preserve">social </w:t>
      </w:r>
      <w:r>
        <w:rPr>
          <w:rFonts w:ascii="Times New Roman" w:hAnsi="Times New Roman" w:cs="Times New Roman"/>
          <w:color w:val="7D7D7D"/>
          <w:w w:val="105"/>
          <w:sz w:val="21"/>
          <w:szCs w:val="21"/>
        </w:rPr>
        <w:t>se</w:t>
      </w:r>
      <w:r>
        <w:rPr>
          <w:rFonts w:ascii="Times New Roman" w:hAnsi="Times New Roman" w:cs="Times New Roman"/>
          <w:color w:val="626262"/>
          <w:w w:val="105"/>
          <w:sz w:val="21"/>
          <w:szCs w:val="21"/>
        </w:rPr>
        <w:t>rvice</w:t>
      </w:r>
      <w:r>
        <w:rPr>
          <w:rFonts w:ascii="Times New Roman" w:hAnsi="Times New Roman" w:cs="Times New Roman"/>
          <w:color w:val="7D7D7D"/>
          <w:w w:val="105"/>
          <w:sz w:val="21"/>
          <w:szCs w:val="21"/>
        </w:rPr>
        <w:t>s."</w:t>
      </w:r>
      <w:r>
        <w:rPr>
          <w:rFonts w:ascii="Times New Roman" w:hAnsi="Times New Roman" w:cs="Times New Roman"/>
          <w:color w:val="626262"/>
          <w:w w:val="105"/>
          <w:sz w:val="21"/>
          <w:szCs w:val="21"/>
        </w:rPr>
        <w:t>(37) Members with ph</w:t>
      </w:r>
      <w:r>
        <w:rPr>
          <w:rFonts w:ascii="Times New Roman" w:hAnsi="Times New Roman" w:cs="Times New Roman"/>
          <w:color w:val="7D7D7D"/>
          <w:w w:val="105"/>
          <w:sz w:val="21"/>
          <w:szCs w:val="21"/>
        </w:rPr>
        <w:t>y</w:t>
      </w:r>
      <w:r>
        <w:rPr>
          <w:rFonts w:ascii="Times New Roman" w:hAnsi="Times New Roman" w:cs="Times New Roman"/>
          <w:color w:val="626262"/>
          <w:w w:val="105"/>
          <w:sz w:val="21"/>
          <w:szCs w:val="21"/>
        </w:rPr>
        <w:t>sic</w:t>
      </w:r>
      <w:r>
        <w:rPr>
          <w:rFonts w:ascii="Times New Roman" w:hAnsi="Times New Roman" w:cs="Times New Roman"/>
          <w:color w:val="7D7D7D"/>
          <w:w w:val="105"/>
          <w:sz w:val="21"/>
          <w:szCs w:val="21"/>
        </w:rPr>
        <w:t>a</w:t>
      </w:r>
      <w:r>
        <w:rPr>
          <w:rFonts w:ascii="Times New Roman" w:hAnsi="Times New Roman" w:cs="Times New Roman"/>
          <w:color w:val="626262"/>
          <w:w w:val="105"/>
          <w:sz w:val="21"/>
          <w:szCs w:val="21"/>
        </w:rPr>
        <w:t>l</w:t>
      </w:r>
    </w:p>
    <w:p w:rsidR="002C5025" w:rsidRDefault="002C5025">
      <w:pPr>
        <w:pStyle w:val="BodyText"/>
        <w:kinsoku w:val="0"/>
        <w:overflowPunct w:val="0"/>
        <w:spacing w:before="8"/>
        <w:rPr>
          <w:rFonts w:ascii="Times New Roman" w:hAnsi="Times New Roman" w:cs="Times New Roman"/>
          <w:sz w:val="9"/>
          <w:szCs w:val="9"/>
        </w:rPr>
      </w:pPr>
    </w:p>
    <w:p w:rsidR="002C5025" w:rsidRDefault="002C5025">
      <w:pPr>
        <w:pStyle w:val="BodyText"/>
        <w:kinsoku w:val="0"/>
        <w:overflowPunct w:val="0"/>
        <w:spacing w:before="74"/>
        <w:ind w:left="507"/>
        <w:jc w:val="center"/>
        <w:rPr>
          <w:rFonts w:ascii="Times New Roman" w:hAnsi="Times New Roman" w:cs="Times New Roman"/>
          <w:color w:val="626262"/>
          <w:w w:val="109"/>
          <w:sz w:val="21"/>
          <w:szCs w:val="21"/>
        </w:rPr>
      </w:pPr>
      <w:r>
        <w:rPr>
          <w:rFonts w:ascii="Times New Roman" w:hAnsi="Times New Roman" w:cs="Times New Roman"/>
          <w:color w:val="626262"/>
          <w:w w:val="109"/>
          <w:sz w:val="21"/>
          <w:szCs w:val="21"/>
        </w:rPr>
        <w:t>1</w:t>
      </w:r>
    </w:p>
    <w:p w:rsidR="002C5025" w:rsidRDefault="002C5025">
      <w:pPr>
        <w:pStyle w:val="BodyText"/>
        <w:kinsoku w:val="0"/>
        <w:overflowPunct w:val="0"/>
        <w:spacing w:before="74"/>
        <w:ind w:left="507"/>
        <w:jc w:val="center"/>
        <w:rPr>
          <w:rFonts w:ascii="Times New Roman" w:hAnsi="Times New Roman" w:cs="Times New Roman"/>
          <w:color w:val="626262"/>
          <w:w w:val="109"/>
          <w:sz w:val="21"/>
          <w:szCs w:val="21"/>
        </w:rPr>
        <w:sectPr w:rsidR="002C5025">
          <w:type w:val="continuous"/>
          <w:pgSz w:w="12240" w:h="15840"/>
          <w:pgMar w:top="720" w:right="1500" w:bottom="280" w:left="1040" w:header="720" w:footer="720" w:gutter="0"/>
          <w:cols w:space="720" w:equalWidth="0">
            <w:col w:w="9700"/>
          </w:cols>
          <w:noEndnote/>
        </w:sectPr>
      </w:pPr>
    </w:p>
    <w:p w:rsidR="002C5025" w:rsidRDefault="002C5025">
      <w:pPr>
        <w:pStyle w:val="BodyText"/>
        <w:kinsoku w:val="0"/>
        <w:overflowPunct w:val="0"/>
        <w:spacing w:before="49" w:line="283" w:lineRule="auto"/>
        <w:ind w:left="833" w:right="1601" w:firstLine="4"/>
        <w:rPr>
          <w:rFonts w:ascii="Times New Roman" w:hAnsi="Times New Roman" w:cs="Times New Roman"/>
          <w:color w:val="5E5E5E"/>
          <w:sz w:val="27"/>
          <w:szCs w:val="27"/>
        </w:rPr>
      </w:pPr>
      <w:r>
        <w:rPr>
          <w:rFonts w:ascii="Times New Roman" w:hAnsi="Times New Roman" w:cs="Times New Roman"/>
          <w:color w:val="5E5E5E"/>
          <w:sz w:val="27"/>
          <w:szCs w:val="27"/>
        </w:rPr>
        <w:lastRenderedPageBreak/>
        <w:t>alternative services (i.e., not traditionally included in the medical model of care);</w:t>
      </w:r>
    </w:p>
    <w:p w:rsidR="002C5025" w:rsidRDefault="002C5025">
      <w:pPr>
        <w:pStyle w:val="BodyText"/>
        <w:kinsoku w:val="0"/>
        <w:overflowPunct w:val="0"/>
        <w:spacing w:before="1"/>
        <w:rPr>
          <w:rFonts w:ascii="Times New Roman" w:hAnsi="Times New Roman" w:cs="Times New Roman"/>
          <w:sz w:val="31"/>
          <w:szCs w:val="31"/>
        </w:rPr>
      </w:pPr>
    </w:p>
    <w:p w:rsidR="002C5025" w:rsidRDefault="002C5025">
      <w:pPr>
        <w:pStyle w:val="ListParagraph"/>
        <w:numPr>
          <w:ilvl w:val="0"/>
          <w:numId w:val="28"/>
        </w:numPr>
        <w:tabs>
          <w:tab w:val="left" w:pos="852"/>
        </w:tabs>
        <w:kinsoku w:val="0"/>
        <w:overflowPunct w:val="0"/>
        <w:spacing w:line="280" w:lineRule="auto"/>
        <w:ind w:right="1608" w:hanging="324"/>
        <w:rPr>
          <w:color w:val="5E5E5E"/>
          <w:sz w:val="27"/>
          <w:szCs w:val="27"/>
        </w:rPr>
      </w:pPr>
      <w:r>
        <w:rPr>
          <w:color w:val="5E5E5E"/>
          <w:sz w:val="27"/>
          <w:szCs w:val="27"/>
        </w:rPr>
        <w:t>Under</w:t>
      </w:r>
      <w:r>
        <w:rPr>
          <w:color w:val="5E5E5E"/>
          <w:spacing w:val="-22"/>
          <w:sz w:val="27"/>
          <w:szCs w:val="27"/>
        </w:rPr>
        <w:t xml:space="preserve"> </w:t>
      </w:r>
      <w:r>
        <w:rPr>
          <w:color w:val="5E5E5E"/>
          <w:sz w:val="27"/>
          <w:szCs w:val="27"/>
        </w:rPr>
        <w:t>ACO</w:t>
      </w:r>
      <w:r>
        <w:rPr>
          <w:color w:val="5E5E5E"/>
          <w:spacing w:val="-8"/>
          <w:sz w:val="27"/>
          <w:szCs w:val="27"/>
        </w:rPr>
        <w:t xml:space="preserve"> </w:t>
      </w:r>
      <w:r>
        <w:rPr>
          <w:color w:val="5E5E5E"/>
          <w:sz w:val="27"/>
          <w:szCs w:val="27"/>
        </w:rPr>
        <w:t>Model B,</w:t>
      </w:r>
      <w:r>
        <w:rPr>
          <w:color w:val="5E5E5E"/>
          <w:spacing w:val="-7"/>
          <w:sz w:val="27"/>
          <w:szCs w:val="27"/>
        </w:rPr>
        <w:t xml:space="preserve"> </w:t>
      </w:r>
      <w:r>
        <w:rPr>
          <w:color w:val="5E5E5E"/>
          <w:sz w:val="27"/>
          <w:szCs w:val="27"/>
        </w:rPr>
        <w:t>shared</w:t>
      </w:r>
      <w:r>
        <w:rPr>
          <w:color w:val="5E5E5E"/>
          <w:spacing w:val="-8"/>
          <w:sz w:val="27"/>
          <w:szCs w:val="27"/>
        </w:rPr>
        <w:t xml:space="preserve"> </w:t>
      </w:r>
      <w:r>
        <w:rPr>
          <w:color w:val="5E5E5E"/>
          <w:sz w:val="27"/>
          <w:szCs w:val="27"/>
        </w:rPr>
        <w:t>savings/losses</w:t>
      </w:r>
      <w:r>
        <w:rPr>
          <w:color w:val="5E5E5E"/>
          <w:spacing w:val="-11"/>
          <w:sz w:val="27"/>
          <w:szCs w:val="27"/>
        </w:rPr>
        <w:t xml:space="preserve"> </w:t>
      </w:r>
      <w:r>
        <w:rPr>
          <w:color w:val="5E5E5E"/>
          <w:sz w:val="27"/>
          <w:szCs w:val="27"/>
        </w:rPr>
        <w:t>paid out</w:t>
      </w:r>
      <w:r>
        <w:rPr>
          <w:color w:val="5E5E5E"/>
          <w:spacing w:val="-22"/>
          <w:sz w:val="27"/>
          <w:szCs w:val="27"/>
        </w:rPr>
        <w:t xml:space="preserve"> </w:t>
      </w:r>
      <w:r>
        <w:rPr>
          <w:color w:val="5E5E5E"/>
          <w:sz w:val="27"/>
          <w:szCs w:val="27"/>
        </w:rPr>
        <w:t>proportionally</w:t>
      </w:r>
      <w:r>
        <w:rPr>
          <w:color w:val="5E5E5E"/>
          <w:spacing w:val="6"/>
          <w:sz w:val="27"/>
          <w:szCs w:val="27"/>
        </w:rPr>
        <w:t xml:space="preserve"> </w:t>
      </w:r>
      <w:r>
        <w:rPr>
          <w:color w:val="5E5E5E"/>
          <w:sz w:val="27"/>
          <w:szCs w:val="27"/>
        </w:rPr>
        <w:t>to</w:t>
      </w:r>
      <w:r>
        <w:rPr>
          <w:color w:val="5E5E5E"/>
          <w:spacing w:val="-10"/>
          <w:sz w:val="27"/>
          <w:szCs w:val="27"/>
        </w:rPr>
        <w:t xml:space="preserve"> </w:t>
      </w:r>
      <w:r>
        <w:rPr>
          <w:color w:val="5E5E5E"/>
          <w:spacing w:val="-3"/>
          <w:sz w:val="27"/>
          <w:szCs w:val="27"/>
        </w:rPr>
        <w:t xml:space="preserve">ACO </w:t>
      </w:r>
      <w:r>
        <w:rPr>
          <w:color w:val="5E5E5E"/>
          <w:sz w:val="27"/>
          <w:szCs w:val="27"/>
        </w:rPr>
        <w:t>quality scores</w:t>
      </w:r>
      <w:r>
        <w:rPr>
          <w:color w:val="5E5E5E"/>
          <w:spacing w:val="-9"/>
          <w:sz w:val="27"/>
          <w:szCs w:val="27"/>
        </w:rPr>
        <w:t xml:space="preserve"> </w:t>
      </w:r>
      <w:r>
        <w:rPr>
          <w:color w:val="5E5E5E"/>
          <w:sz w:val="27"/>
          <w:szCs w:val="27"/>
        </w:rPr>
        <w:t>(25);</w:t>
      </w:r>
    </w:p>
    <w:p w:rsidR="002C5025" w:rsidRDefault="002C5025">
      <w:pPr>
        <w:pStyle w:val="BodyText"/>
        <w:kinsoku w:val="0"/>
        <w:overflowPunct w:val="0"/>
        <w:spacing w:before="9"/>
        <w:rPr>
          <w:rFonts w:ascii="Times New Roman" w:hAnsi="Times New Roman" w:cs="Times New Roman"/>
          <w:sz w:val="32"/>
          <w:szCs w:val="32"/>
        </w:rPr>
      </w:pPr>
    </w:p>
    <w:p w:rsidR="002C5025" w:rsidRDefault="002C5025">
      <w:pPr>
        <w:pStyle w:val="ListParagraph"/>
        <w:numPr>
          <w:ilvl w:val="0"/>
          <w:numId w:val="28"/>
        </w:numPr>
        <w:tabs>
          <w:tab w:val="left" w:pos="847"/>
        </w:tabs>
        <w:kinsoku w:val="0"/>
        <w:overflowPunct w:val="0"/>
        <w:spacing w:before="1" w:line="273" w:lineRule="auto"/>
        <w:ind w:right="1518" w:hanging="329"/>
        <w:rPr>
          <w:color w:val="5E5E5E"/>
          <w:position w:val="6"/>
          <w:sz w:val="17"/>
          <w:szCs w:val="17"/>
        </w:rPr>
      </w:pPr>
      <w:r>
        <w:rPr>
          <w:color w:val="5E5E5E"/>
          <w:sz w:val="27"/>
          <w:szCs w:val="27"/>
        </w:rPr>
        <w:t>Financial</w:t>
      </w:r>
      <w:r>
        <w:rPr>
          <w:color w:val="5E5E5E"/>
          <w:spacing w:val="-15"/>
          <w:sz w:val="27"/>
          <w:szCs w:val="27"/>
        </w:rPr>
        <w:t xml:space="preserve"> </w:t>
      </w:r>
      <w:r>
        <w:rPr>
          <w:color w:val="5E5E5E"/>
          <w:sz w:val="27"/>
          <w:szCs w:val="27"/>
        </w:rPr>
        <w:t>incentives</w:t>
      </w:r>
      <w:r>
        <w:rPr>
          <w:color w:val="5E5E5E"/>
          <w:spacing w:val="-7"/>
          <w:sz w:val="27"/>
          <w:szCs w:val="27"/>
        </w:rPr>
        <w:t xml:space="preserve"> </w:t>
      </w:r>
      <w:r>
        <w:rPr>
          <w:color w:val="5E5E5E"/>
          <w:sz w:val="27"/>
          <w:szCs w:val="27"/>
        </w:rPr>
        <w:t>based</w:t>
      </w:r>
      <w:r>
        <w:rPr>
          <w:color w:val="5E5E5E"/>
          <w:spacing w:val="5"/>
          <w:sz w:val="27"/>
          <w:szCs w:val="27"/>
        </w:rPr>
        <w:t xml:space="preserve"> </w:t>
      </w:r>
      <w:r>
        <w:rPr>
          <w:color w:val="5E5E5E"/>
          <w:sz w:val="27"/>
          <w:szCs w:val="27"/>
        </w:rPr>
        <w:t>on</w:t>
      </w:r>
      <w:r>
        <w:rPr>
          <w:color w:val="5E5E5E"/>
          <w:spacing w:val="-15"/>
          <w:sz w:val="27"/>
          <w:szCs w:val="27"/>
        </w:rPr>
        <w:t xml:space="preserve"> </w:t>
      </w:r>
      <w:r>
        <w:rPr>
          <w:color w:val="5E5E5E"/>
          <w:sz w:val="27"/>
          <w:szCs w:val="27"/>
        </w:rPr>
        <w:t>quality</w:t>
      </w:r>
      <w:r>
        <w:rPr>
          <w:color w:val="5E5E5E"/>
          <w:spacing w:val="-10"/>
          <w:sz w:val="27"/>
          <w:szCs w:val="27"/>
        </w:rPr>
        <w:t xml:space="preserve"> </w:t>
      </w:r>
      <w:r>
        <w:rPr>
          <w:color w:val="5E5E5E"/>
          <w:sz w:val="27"/>
          <w:szCs w:val="27"/>
        </w:rPr>
        <w:t>(which</w:t>
      </w:r>
      <w:r>
        <w:rPr>
          <w:color w:val="5E5E5E"/>
          <w:spacing w:val="-1"/>
          <w:sz w:val="27"/>
          <w:szCs w:val="27"/>
        </w:rPr>
        <w:t xml:space="preserve"> </w:t>
      </w:r>
      <w:r>
        <w:rPr>
          <w:color w:val="5E5E5E"/>
          <w:sz w:val="27"/>
          <w:szCs w:val="27"/>
        </w:rPr>
        <w:t>should</w:t>
      </w:r>
      <w:r>
        <w:rPr>
          <w:color w:val="5E5E5E"/>
          <w:spacing w:val="-15"/>
          <w:sz w:val="27"/>
          <w:szCs w:val="27"/>
        </w:rPr>
        <w:t xml:space="preserve"> </w:t>
      </w:r>
      <w:r>
        <w:rPr>
          <w:color w:val="5E5E5E"/>
          <w:sz w:val="27"/>
          <w:szCs w:val="27"/>
        </w:rPr>
        <w:t>be</w:t>
      </w:r>
      <w:r>
        <w:rPr>
          <w:color w:val="5E5E5E"/>
          <w:spacing w:val="-12"/>
          <w:sz w:val="27"/>
          <w:szCs w:val="27"/>
        </w:rPr>
        <w:t xml:space="preserve"> </w:t>
      </w:r>
      <w:r>
        <w:rPr>
          <w:color w:val="5E5E5E"/>
          <w:sz w:val="27"/>
          <w:szCs w:val="27"/>
        </w:rPr>
        <w:t>measured</w:t>
      </w:r>
      <w:r>
        <w:rPr>
          <w:color w:val="5E5E5E"/>
          <w:spacing w:val="5"/>
          <w:sz w:val="27"/>
          <w:szCs w:val="27"/>
        </w:rPr>
        <w:t xml:space="preserve"> </w:t>
      </w:r>
      <w:r>
        <w:rPr>
          <w:color w:val="5E5E5E"/>
          <w:sz w:val="27"/>
          <w:szCs w:val="27"/>
        </w:rPr>
        <w:t>by</w:t>
      </w:r>
      <w:r>
        <w:rPr>
          <w:color w:val="5E5E5E"/>
          <w:spacing w:val="-10"/>
          <w:sz w:val="27"/>
          <w:szCs w:val="27"/>
        </w:rPr>
        <w:t xml:space="preserve"> </w:t>
      </w:r>
      <w:r>
        <w:rPr>
          <w:color w:val="5E5E5E"/>
          <w:sz w:val="27"/>
          <w:szCs w:val="27"/>
        </w:rPr>
        <w:t>member experience and</w:t>
      </w:r>
      <w:r>
        <w:rPr>
          <w:color w:val="5E5E5E"/>
          <w:spacing w:val="-35"/>
          <w:sz w:val="27"/>
          <w:szCs w:val="27"/>
        </w:rPr>
        <w:t xml:space="preserve"> </w:t>
      </w:r>
      <w:r>
        <w:rPr>
          <w:color w:val="5E5E5E"/>
          <w:sz w:val="27"/>
          <w:szCs w:val="27"/>
        </w:rPr>
        <w:t>outcomes).</w:t>
      </w:r>
      <w:r>
        <w:rPr>
          <w:color w:val="5E5E5E"/>
          <w:position w:val="6"/>
          <w:sz w:val="17"/>
          <w:szCs w:val="17"/>
        </w:rPr>
        <w:t>4</w:t>
      </w:r>
    </w:p>
    <w:p w:rsidR="002C5025" w:rsidRDefault="002C5025">
      <w:pPr>
        <w:pStyle w:val="BodyText"/>
        <w:kinsoku w:val="0"/>
        <w:overflowPunct w:val="0"/>
        <w:spacing w:before="221"/>
        <w:ind w:left="132" w:right="414"/>
        <w:rPr>
          <w:rFonts w:ascii="Times New Roman" w:hAnsi="Times New Roman" w:cs="Times New Roman"/>
          <w:b/>
          <w:bCs/>
          <w:color w:val="5E5E5E"/>
          <w:sz w:val="27"/>
          <w:szCs w:val="27"/>
        </w:rPr>
      </w:pPr>
      <w:bookmarkStart w:id="237" w:name="Suggestions_to_improve_elements_of_the_r"/>
      <w:bookmarkEnd w:id="237"/>
      <w:r>
        <w:rPr>
          <w:rFonts w:ascii="Times New Roman" w:hAnsi="Times New Roman" w:cs="Times New Roman"/>
          <w:b/>
          <w:bCs/>
          <w:color w:val="5E5E5E"/>
          <w:sz w:val="27"/>
          <w:szCs w:val="27"/>
        </w:rPr>
        <w:t>Suggestions to improve elements of the restructuring plan</w:t>
      </w:r>
    </w:p>
    <w:p w:rsidR="002C5025" w:rsidRDefault="002C5025">
      <w:pPr>
        <w:pStyle w:val="BodyText"/>
        <w:kinsoku w:val="0"/>
        <w:overflowPunct w:val="0"/>
        <w:spacing w:before="6"/>
        <w:rPr>
          <w:rFonts w:ascii="Times New Roman" w:hAnsi="Times New Roman" w:cs="Times New Roman"/>
          <w:b/>
          <w:bCs/>
          <w:sz w:val="20"/>
          <w:szCs w:val="20"/>
        </w:rPr>
      </w:pPr>
    </w:p>
    <w:p w:rsidR="002C5025" w:rsidRDefault="002C5025">
      <w:pPr>
        <w:pStyle w:val="BodyText"/>
        <w:kinsoku w:val="0"/>
        <w:overflowPunct w:val="0"/>
        <w:ind w:left="113" w:right="414"/>
        <w:rPr>
          <w:rFonts w:ascii="Times New Roman" w:hAnsi="Times New Roman" w:cs="Times New Roman"/>
          <w:i/>
          <w:iCs/>
          <w:color w:val="5E5E5E"/>
          <w:sz w:val="27"/>
          <w:szCs w:val="27"/>
        </w:rPr>
      </w:pPr>
      <w:r>
        <w:rPr>
          <w:rFonts w:ascii="Times New Roman" w:hAnsi="Times New Roman" w:cs="Times New Roman"/>
          <w:i/>
          <w:iCs/>
          <w:color w:val="5E5E5E"/>
          <w:sz w:val="27"/>
          <w:szCs w:val="27"/>
        </w:rPr>
        <w:t>Member</w:t>
      </w:r>
      <w:r w:rsidR="00347C9E">
        <w:rPr>
          <w:rFonts w:ascii="Times New Roman" w:hAnsi="Times New Roman" w:cs="Times New Roman"/>
          <w:i/>
          <w:iCs/>
          <w:color w:val="5E5E5E"/>
          <w:sz w:val="27"/>
          <w:szCs w:val="27"/>
        </w:rPr>
        <w:t xml:space="preserve"> </w:t>
      </w:r>
      <w:r>
        <w:rPr>
          <w:rFonts w:ascii="Times New Roman" w:hAnsi="Times New Roman" w:cs="Times New Roman"/>
          <w:i/>
          <w:iCs/>
          <w:color w:val="5E5E5E"/>
          <w:sz w:val="27"/>
          <w:szCs w:val="27"/>
        </w:rPr>
        <w:t>privacy</w:t>
      </w:r>
    </w:p>
    <w:p w:rsidR="002C5025" w:rsidRDefault="002C5025">
      <w:pPr>
        <w:pStyle w:val="BodyText"/>
        <w:kinsoku w:val="0"/>
        <w:overflowPunct w:val="0"/>
        <w:rPr>
          <w:rFonts w:ascii="Times New Roman" w:hAnsi="Times New Roman" w:cs="Times New Roman"/>
          <w:i/>
          <w:iCs/>
          <w:sz w:val="21"/>
          <w:szCs w:val="21"/>
        </w:rPr>
      </w:pPr>
    </w:p>
    <w:p w:rsidR="002C5025" w:rsidRDefault="002C5025">
      <w:pPr>
        <w:pStyle w:val="BodyText"/>
        <w:kinsoku w:val="0"/>
        <w:overflowPunct w:val="0"/>
        <w:spacing w:line="280" w:lineRule="auto"/>
        <w:ind w:left="122" w:right="1601" w:firstLine="5"/>
        <w:rPr>
          <w:rFonts w:ascii="Times New Roman" w:hAnsi="Times New Roman" w:cs="Times New Roman"/>
          <w:color w:val="5E5E5E"/>
          <w:sz w:val="27"/>
          <w:szCs w:val="27"/>
        </w:rPr>
      </w:pPr>
      <w:r>
        <w:rPr>
          <w:rFonts w:ascii="Times New Roman" w:hAnsi="Times New Roman" w:cs="Times New Roman"/>
          <w:color w:val="5E5E5E"/>
          <w:sz w:val="27"/>
          <w:szCs w:val="27"/>
        </w:rPr>
        <w:t>Integration of physical and behavioral health care, while a laudable goal in theory, will only be a positive move if done with the recognition of the potential for negative impact on care delivery to persons with psychiatric challenges.</w:t>
      </w:r>
    </w:p>
    <w:p w:rsidR="002C5025" w:rsidRDefault="002C5025">
      <w:pPr>
        <w:pStyle w:val="BodyText"/>
        <w:kinsoku w:val="0"/>
        <w:overflowPunct w:val="0"/>
        <w:spacing w:before="6" w:line="278" w:lineRule="auto"/>
        <w:ind w:left="117" w:right="1601" w:firstLine="5"/>
        <w:rPr>
          <w:rFonts w:ascii="Times New Roman" w:hAnsi="Times New Roman" w:cs="Times New Roman"/>
          <w:color w:val="5E5E5E"/>
          <w:sz w:val="27"/>
          <w:szCs w:val="27"/>
        </w:rPr>
      </w:pPr>
      <w:r>
        <w:rPr>
          <w:rFonts w:ascii="Times New Roman" w:hAnsi="Times New Roman" w:cs="Times New Roman"/>
          <w:color w:val="5E5E5E"/>
          <w:sz w:val="27"/>
          <w:szCs w:val="27"/>
        </w:rPr>
        <w:t>MassHealth is aware of the research verifying that stigma against persons with psychiatric diagnoses exists within the health care profession and jeopardizes the quality of physical health care. Members should therefore have the right to choose between risks of receiving inferior care, for different reasons, due to sharing or withholding psychiatric information from health care providers. For this reason, ACO contracts should include adherence to the Privacy Principles and Best Practices formulated by MassHealth, OneCare members, advocates, and the OneCare plans. Adherence to these principles and best practices also should constitute part of the quality measures used to allo</w:t>
      </w:r>
      <w:r w:rsidR="00347C9E">
        <w:rPr>
          <w:rFonts w:ascii="Times New Roman" w:hAnsi="Times New Roman" w:cs="Times New Roman"/>
          <w:color w:val="5E5E5E"/>
          <w:sz w:val="27"/>
          <w:szCs w:val="27"/>
        </w:rPr>
        <w:t>cate DSRIP funds and shared savin</w:t>
      </w:r>
      <w:r>
        <w:rPr>
          <w:rFonts w:ascii="Times New Roman" w:hAnsi="Times New Roman" w:cs="Times New Roman"/>
          <w:color w:val="5E5E5E"/>
          <w:sz w:val="27"/>
          <w:szCs w:val="27"/>
        </w:rPr>
        <w:t>gs.</w:t>
      </w:r>
    </w:p>
    <w:p w:rsidR="002C5025" w:rsidRDefault="002C5025">
      <w:pPr>
        <w:pStyle w:val="BodyText"/>
        <w:kinsoku w:val="0"/>
        <w:overflowPunct w:val="0"/>
        <w:spacing w:before="203"/>
        <w:ind w:left="108" w:right="414"/>
        <w:rPr>
          <w:rFonts w:ascii="Times New Roman" w:hAnsi="Times New Roman" w:cs="Times New Roman"/>
          <w:i/>
          <w:iCs/>
          <w:color w:val="5E5E5E"/>
          <w:sz w:val="27"/>
          <w:szCs w:val="27"/>
        </w:rPr>
      </w:pPr>
      <w:r>
        <w:rPr>
          <w:rFonts w:ascii="Times New Roman" w:hAnsi="Times New Roman" w:cs="Times New Roman"/>
          <w:i/>
          <w:iCs/>
          <w:color w:val="5E5E5E"/>
          <w:sz w:val="27"/>
          <w:szCs w:val="27"/>
        </w:rPr>
        <w:t>Member protections</w:t>
      </w:r>
    </w:p>
    <w:p w:rsidR="002C5025" w:rsidRDefault="002C5025">
      <w:pPr>
        <w:pStyle w:val="BodyText"/>
        <w:kinsoku w:val="0"/>
        <w:overflowPunct w:val="0"/>
        <w:spacing w:before="6"/>
        <w:rPr>
          <w:rFonts w:ascii="Times New Roman" w:hAnsi="Times New Roman" w:cs="Times New Roman"/>
          <w:i/>
          <w:iCs/>
          <w:sz w:val="20"/>
          <w:szCs w:val="20"/>
        </w:rPr>
      </w:pPr>
    </w:p>
    <w:p w:rsidR="002C5025" w:rsidRDefault="002C5025">
      <w:pPr>
        <w:pStyle w:val="BodyText"/>
        <w:kinsoku w:val="0"/>
        <w:overflowPunct w:val="0"/>
        <w:spacing w:line="280" w:lineRule="auto"/>
        <w:ind w:left="122" w:right="1331"/>
        <w:rPr>
          <w:rFonts w:ascii="Times New Roman" w:hAnsi="Times New Roman" w:cs="Times New Roman"/>
          <w:color w:val="5E5E5E"/>
          <w:sz w:val="27"/>
          <w:szCs w:val="27"/>
        </w:rPr>
      </w:pPr>
      <w:r>
        <w:rPr>
          <w:rFonts w:ascii="Times New Roman" w:hAnsi="Times New Roman" w:cs="Times New Roman"/>
          <w:color w:val="5E5E5E"/>
          <w:sz w:val="27"/>
          <w:szCs w:val="27"/>
        </w:rPr>
        <w:t>We are glad that MassHealth recognizes that a delivery system in which providers are incentivized to cut costs requires an increase in member protections (16). An ombudsman office is helpful to members if members can receive help waging appeals and grievances. Because providers are subject to pressure or have a direct financial interest in cutting costs, denials and limitation of services and referrals by an ACO provider must constitute an appealable action. Members must have access</w:t>
      </w:r>
    </w:p>
    <w:p w:rsidR="002C5025" w:rsidRDefault="002C5025">
      <w:pPr>
        <w:pStyle w:val="BodyText"/>
        <w:kinsoku w:val="0"/>
        <w:overflowPunct w:val="0"/>
        <w:rPr>
          <w:rFonts w:ascii="Times New Roman" w:hAnsi="Times New Roman" w:cs="Times New Roman"/>
          <w:sz w:val="20"/>
          <w:szCs w:val="20"/>
        </w:rPr>
      </w:pPr>
    </w:p>
    <w:p w:rsidR="002C5025" w:rsidRDefault="00FB027C">
      <w:pPr>
        <w:pStyle w:val="BodyText"/>
        <w:kinsoku w:val="0"/>
        <w:overflowPunct w:val="0"/>
        <w:spacing w:before="3"/>
        <w:rPr>
          <w:rFonts w:ascii="Times New Roman" w:hAnsi="Times New Roman" w:cs="Times New Roman"/>
          <w:sz w:val="20"/>
          <w:szCs w:val="20"/>
        </w:rPr>
      </w:pPr>
      <w:r>
        <w:rPr>
          <w:noProof/>
        </w:rPr>
        <mc:AlternateContent>
          <mc:Choice Requires="wps">
            <w:drawing>
              <wp:anchor distT="0" distB="0" distL="0" distR="0" simplePos="0" relativeHeight="251769344" behindDoc="0" locked="0" layoutInCell="0" allowOverlap="1">
                <wp:simplePos x="0" y="0"/>
                <wp:positionH relativeFrom="page">
                  <wp:posOffset>1026160</wp:posOffset>
                </wp:positionH>
                <wp:positionV relativeFrom="paragraph">
                  <wp:posOffset>177165</wp:posOffset>
                </wp:positionV>
                <wp:extent cx="1775460" cy="12700"/>
                <wp:effectExtent l="0" t="0" r="0" b="0"/>
                <wp:wrapTopAndBottom/>
                <wp:docPr id="161" name="Freeform 7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5460" cy="12700"/>
                        </a:xfrm>
                        <a:custGeom>
                          <a:avLst/>
                          <a:gdLst>
                            <a:gd name="T0" fmla="*/ 0 w 2796"/>
                            <a:gd name="T1" fmla="*/ 0 h 20"/>
                            <a:gd name="T2" fmla="*/ 2796 w 2796"/>
                            <a:gd name="T3" fmla="*/ 0 h 20"/>
                          </a:gdLst>
                          <a:ahLst/>
                          <a:cxnLst>
                            <a:cxn ang="0">
                              <a:pos x="T0" y="T1"/>
                            </a:cxn>
                            <a:cxn ang="0">
                              <a:pos x="T2" y="T3"/>
                            </a:cxn>
                          </a:cxnLst>
                          <a:rect l="0" t="0" r="r" b="b"/>
                          <a:pathLst>
                            <a:path w="2796" h="20">
                              <a:moveTo>
                                <a:pt x="0" y="0"/>
                              </a:moveTo>
                              <a:lnTo>
                                <a:pt x="2796" y="0"/>
                              </a:lnTo>
                            </a:path>
                          </a:pathLst>
                        </a:custGeom>
                        <a:noFill/>
                        <a:ln w="88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60" o:spid="_x0000_s1026" style="position:absolute;z-index:251769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80.8pt,13.95pt,220.6pt,13.95pt" coordsize="279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" o:allowincell="f" filled="f" strokeweight=".24586mm">
                <v:path arrowok="t" o:connecttype="custom" o:connectlocs="0,0;1775460,0" o:connectangles="0,0"/>
                <w10:wrap type="topAndBottom" anchorx="page"/>
              </v:polyline>
            </w:pict>
          </mc:Fallback>
        </mc:AlternateContent>
      </w:r>
    </w:p>
    <w:p w:rsidR="002C5025" w:rsidRDefault="002C5025">
      <w:pPr>
        <w:pStyle w:val="BodyText"/>
        <w:kinsoku w:val="0"/>
        <w:overflowPunct w:val="0"/>
        <w:spacing w:before="45"/>
        <w:ind w:left="118" w:right="414"/>
        <w:rPr>
          <w:rFonts w:ascii="Times New Roman" w:hAnsi="Times New Roman" w:cs="Times New Roman"/>
          <w:i/>
          <w:iCs/>
          <w:color w:val="707170"/>
          <w:sz w:val="21"/>
          <w:szCs w:val="21"/>
        </w:rPr>
      </w:pPr>
      <w:r>
        <w:rPr>
          <w:rFonts w:ascii="Times New Roman" w:hAnsi="Times New Roman" w:cs="Times New Roman"/>
          <w:color w:val="5E5E5E"/>
          <w:position w:val="4"/>
          <w:sz w:val="13"/>
          <w:szCs w:val="13"/>
        </w:rPr>
        <w:t xml:space="preserve">4  </w:t>
      </w:r>
      <w:r>
        <w:rPr>
          <w:rFonts w:ascii="Times New Roman" w:hAnsi="Times New Roman" w:cs="Times New Roman"/>
          <w:color w:val="5E5E5E"/>
          <w:sz w:val="21"/>
          <w:szCs w:val="21"/>
        </w:rPr>
        <w:t xml:space="preserve">Quality measures </w:t>
      </w:r>
      <w:r>
        <w:rPr>
          <w:rFonts w:ascii="Times New Roman" w:hAnsi="Times New Roman" w:cs="Times New Roman"/>
          <w:color w:val="707170"/>
          <w:sz w:val="21"/>
          <w:szCs w:val="21"/>
        </w:rPr>
        <w:t xml:space="preserve">are </w:t>
      </w:r>
      <w:r>
        <w:rPr>
          <w:rFonts w:ascii="Times New Roman" w:hAnsi="Times New Roman" w:cs="Times New Roman"/>
          <w:color w:val="5E5E5E"/>
          <w:sz w:val="21"/>
          <w:szCs w:val="21"/>
        </w:rPr>
        <w:t xml:space="preserve">explored more fully </w:t>
      </w:r>
      <w:r>
        <w:rPr>
          <w:rFonts w:ascii="Times New Roman" w:hAnsi="Times New Roman" w:cs="Times New Roman"/>
          <w:i/>
          <w:iCs/>
          <w:color w:val="707170"/>
          <w:sz w:val="21"/>
          <w:szCs w:val="21"/>
        </w:rPr>
        <w:t>infra.</w:t>
      </w:r>
    </w:p>
    <w:p w:rsidR="002C5025" w:rsidRDefault="002C5025">
      <w:pPr>
        <w:pStyle w:val="BodyText"/>
        <w:kinsoku w:val="0"/>
        <w:overflowPunct w:val="0"/>
        <w:spacing w:before="4"/>
        <w:rPr>
          <w:rFonts w:ascii="Times New Roman" w:hAnsi="Times New Roman" w:cs="Times New Roman"/>
          <w:i/>
          <w:iCs/>
          <w:sz w:val="11"/>
          <w:szCs w:val="11"/>
        </w:rPr>
      </w:pPr>
    </w:p>
    <w:p w:rsidR="002C5025" w:rsidRDefault="00FB027C">
      <w:pPr>
        <w:pStyle w:val="BodyText"/>
        <w:kinsoku w:val="0"/>
        <w:overflowPunct w:val="0"/>
        <w:spacing w:before="74"/>
        <w:ind w:right="1305"/>
        <w:jc w:val="center"/>
        <w:rPr>
          <w:rFonts w:ascii="Times New Roman" w:hAnsi="Times New Roman" w:cs="Times New Roman"/>
          <w:color w:val="5E5E5E"/>
          <w:w w:val="109"/>
          <w:sz w:val="21"/>
          <w:szCs w:val="21"/>
        </w:rPr>
      </w:pPr>
      <w:r>
        <w:rPr>
          <w:noProof/>
        </w:rPr>
        <mc:AlternateContent>
          <mc:Choice Requires="wps">
            <w:drawing>
              <wp:anchor distT="0" distB="0" distL="114300" distR="114300" simplePos="0" relativeHeight="251770368" behindDoc="0" locked="0" layoutInCell="0" allowOverlap="1">
                <wp:simplePos x="0" y="0"/>
                <wp:positionH relativeFrom="page">
                  <wp:posOffset>7629525</wp:posOffset>
                </wp:positionH>
                <wp:positionV relativeFrom="paragraph">
                  <wp:posOffset>303530</wp:posOffset>
                </wp:positionV>
                <wp:extent cx="12700" cy="394335"/>
                <wp:effectExtent l="0" t="0" r="0" b="0"/>
                <wp:wrapNone/>
                <wp:docPr id="157" name="Freeform 7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94335"/>
                        </a:xfrm>
                        <a:custGeom>
                          <a:avLst/>
                          <a:gdLst>
                            <a:gd name="T0" fmla="*/ 0 w 20"/>
                            <a:gd name="T1" fmla="*/ 621 h 621"/>
                            <a:gd name="T2" fmla="*/ 0 w 20"/>
                            <a:gd name="T3" fmla="*/ 0 h 621"/>
                          </a:gdLst>
                          <a:ahLst/>
                          <a:cxnLst>
                            <a:cxn ang="0">
                              <a:pos x="T0" y="T1"/>
                            </a:cxn>
                            <a:cxn ang="0">
                              <a:pos x="T2" y="T3"/>
                            </a:cxn>
                          </a:cxnLst>
                          <a:rect l="0" t="0" r="r" b="b"/>
                          <a:pathLst>
                            <a:path w="20" h="621">
                              <a:moveTo>
                                <a:pt x="0" y="621"/>
                              </a:moveTo>
                              <a:lnTo>
                                <a:pt x="0" y="0"/>
                              </a:lnTo>
                            </a:path>
                          </a:pathLst>
                        </a:custGeom>
                        <a:noFill/>
                        <a:ln w="59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61" o:spid="_x0000_s1026" style="position:absolute;z-index:251770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00.75pt,54.95pt,600.75pt,23.9pt" coordsize="20,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" o:allowincell="f" filled="f" strokeweight=".16403mm">
                <v:path arrowok="t" o:connecttype="custom" o:connectlocs="0,394335;0,0" o:connectangles="0,0"/>
                <w10:wrap anchorx="page"/>
              </v:polyline>
            </w:pict>
          </mc:Fallback>
        </mc:AlternateContent>
      </w:r>
      <w:r w:rsidR="002C5025">
        <w:rPr>
          <w:rFonts w:ascii="Times New Roman" w:hAnsi="Times New Roman" w:cs="Times New Roman"/>
          <w:color w:val="5E5E5E"/>
          <w:w w:val="109"/>
          <w:sz w:val="21"/>
          <w:szCs w:val="21"/>
        </w:rPr>
        <w:t>3</w:t>
      </w:r>
    </w:p>
    <w:p w:rsidR="002C5025" w:rsidRDefault="002C5025">
      <w:pPr>
        <w:pStyle w:val="BodyText"/>
        <w:kinsoku w:val="0"/>
        <w:overflowPunct w:val="0"/>
        <w:spacing w:before="74"/>
        <w:ind w:right="1305"/>
        <w:jc w:val="center"/>
        <w:rPr>
          <w:rFonts w:ascii="Times New Roman" w:hAnsi="Times New Roman" w:cs="Times New Roman"/>
          <w:color w:val="5E5E5E"/>
          <w:w w:val="109"/>
          <w:sz w:val="21"/>
          <w:szCs w:val="21"/>
        </w:rPr>
        <w:sectPr w:rsidR="002C5025">
          <w:pgSz w:w="12240" w:h="15840"/>
          <w:pgMar w:top="1460" w:right="120" w:bottom="280" w:left="1480" w:header="720" w:footer="720" w:gutter="0"/>
          <w:cols w:space="720" w:equalWidth="0">
            <w:col w:w="10640"/>
          </w:cols>
          <w:noEndnote/>
        </w:sectPr>
      </w:pPr>
    </w:p>
    <w:p w:rsidR="002C5025" w:rsidRDefault="002C5025">
      <w:pPr>
        <w:pStyle w:val="BodyText"/>
        <w:kinsoku w:val="0"/>
        <w:overflowPunct w:val="0"/>
        <w:spacing w:before="45" w:line="283" w:lineRule="auto"/>
        <w:ind w:left="122" w:right="1015" w:hanging="5"/>
        <w:rPr>
          <w:rFonts w:ascii="Times New Roman" w:hAnsi="Times New Roman" w:cs="Times New Roman"/>
          <w:color w:val="606060"/>
          <w:sz w:val="27"/>
          <w:szCs w:val="27"/>
        </w:rPr>
      </w:pPr>
      <w:r>
        <w:rPr>
          <w:rFonts w:ascii="Times New Roman" w:hAnsi="Times New Roman" w:cs="Times New Roman"/>
          <w:color w:val="606060"/>
          <w:sz w:val="27"/>
          <w:szCs w:val="27"/>
        </w:rPr>
        <w:lastRenderedPageBreak/>
        <w:t>to free and independent second opinions to support their appeals of service/referral denials or limitations to MassHealth.</w:t>
      </w:r>
    </w:p>
    <w:p w:rsidR="002C5025" w:rsidRDefault="002C5025">
      <w:pPr>
        <w:pStyle w:val="BodyText"/>
        <w:kinsoku w:val="0"/>
        <w:overflowPunct w:val="0"/>
        <w:spacing w:before="207"/>
        <w:ind w:left="122"/>
        <w:rPr>
          <w:rFonts w:ascii="Times New Roman" w:hAnsi="Times New Roman" w:cs="Times New Roman"/>
          <w:i/>
          <w:iCs/>
          <w:color w:val="606060"/>
          <w:sz w:val="27"/>
          <w:szCs w:val="27"/>
        </w:rPr>
      </w:pPr>
      <w:r>
        <w:rPr>
          <w:rFonts w:ascii="Times New Roman" w:hAnsi="Times New Roman" w:cs="Times New Roman"/>
          <w:i/>
          <w:iCs/>
          <w:color w:val="606060"/>
          <w:sz w:val="27"/>
          <w:szCs w:val="27"/>
        </w:rPr>
        <w:t>Quality metrics</w:t>
      </w:r>
    </w:p>
    <w:p w:rsidR="002C5025" w:rsidRDefault="002C5025">
      <w:pPr>
        <w:pStyle w:val="BodyText"/>
        <w:kinsoku w:val="0"/>
        <w:overflowPunct w:val="0"/>
        <w:spacing w:before="10"/>
        <w:rPr>
          <w:rFonts w:ascii="Times New Roman" w:hAnsi="Times New Roman" w:cs="Times New Roman"/>
          <w:i/>
          <w:iCs/>
          <w:sz w:val="27"/>
          <w:szCs w:val="27"/>
        </w:rPr>
      </w:pPr>
    </w:p>
    <w:p w:rsidR="002C5025" w:rsidRDefault="002C5025">
      <w:pPr>
        <w:pStyle w:val="BodyText"/>
        <w:kinsoku w:val="0"/>
        <w:overflowPunct w:val="0"/>
        <w:spacing w:line="249" w:lineRule="auto"/>
        <w:ind w:left="122" w:right="1544" w:hanging="5"/>
        <w:rPr>
          <w:rFonts w:ascii="Times New Roman" w:hAnsi="Times New Roman" w:cs="Times New Roman"/>
          <w:color w:val="606060"/>
          <w:sz w:val="27"/>
          <w:szCs w:val="27"/>
        </w:rPr>
      </w:pPr>
      <w:r>
        <w:rPr>
          <w:rFonts w:ascii="Times New Roman" w:hAnsi="Times New Roman" w:cs="Times New Roman"/>
          <w:color w:val="606060"/>
          <w:sz w:val="27"/>
          <w:szCs w:val="27"/>
        </w:rPr>
        <w:t>We agree with MassHealth that member experience is a vital indicator of quality of care.</w:t>
      </w:r>
      <w:r>
        <w:rPr>
          <w:rFonts w:ascii="Times New Roman" w:hAnsi="Times New Roman" w:cs="Times New Roman"/>
          <w:color w:val="606060"/>
          <w:position w:val="7"/>
          <w:sz w:val="18"/>
          <w:szCs w:val="18"/>
        </w:rPr>
        <w:t xml:space="preserve">5 </w:t>
      </w:r>
      <w:r>
        <w:rPr>
          <w:rFonts w:ascii="Times New Roman" w:hAnsi="Times New Roman" w:cs="Times New Roman"/>
          <w:color w:val="606060"/>
          <w:sz w:val="27"/>
          <w:szCs w:val="27"/>
        </w:rPr>
        <w:t>(24) CARPS, however, does not address key elements of that  experience.</w:t>
      </w:r>
    </w:p>
    <w:p w:rsidR="002C5025" w:rsidRDefault="002C5025">
      <w:pPr>
        <w:pStyle w:val="BodyText"/>
        <w:kinsoku w:val="0"/>
        <w:overflowPunct w:val="0"/>
        <w:spacing w:line="244" w:lineRule="auto"/>
        <w:ind w:left="112" w:right="1706" w:firstLine="2"/>
        <w:rPr>
          <w:rFonts w:ascii="Times New Roman" w:hAnsi="Times New Roman" w:cs="Times New Roman"/>
          <w:color w:val="606060"/>
          <w:sz w:val="27"/>
          <w:szCs w:val="27"/>
        </w:rPr>
      </w:pPr>
      <w:r>
        <w:rPr>
          <w:rFonts w:ascii="Times New Roman" w:hAnsi="Times New Roman" w:cs="Times New Roman"/>
          <w:color w:val="606060"/>
          <w:sz w:val="27"/>
          <w:szCs w:val="27"/>
        </w:rPr>
        <w:t xml:space="preserve">While it tangentially addresses the stigma experienced by persons with psychiatric challenges in health care settings, it does not elicit information about whether the member has a psychiatric diagnosis or history that would allow for correlation of survey responses to questions about "respect" and whether the provider </w:t>
      </w:r>
      <w:r>
        <w:rPr>
          <w:rFonts w:ascii="Times New Roman" w:hAnsi="Times New Roman" w:cs="Times New Roman"/>
          <w:color w:val="606060"/>
          <w:spacing w:val="-5"/>
          <w:sz w:val="27"/>
          <w:szCs w:val="27"/>
        </w:rPr>
        <w:t>"listens."</w:t>
      </w:r>
      <w:r>
        <w:rPr>
          <w:rFonts w:ascii="Times New Roman" w:hAnsi="Times New Roman" w:cs="Times New Roman"/>
          <w:color w:val="606060"/>
          <w:spacing w:val="-5"/>
          <w:position w:val="6"/>
          <w:sz w:val="18"/>
          <w:szCs w:val="18"/>
        </w:rPr>
        <w:t xml:space="preserve">6   </w:t>
      </w:r>
      <w:r>
        <w:rPr>
          <w:rFonts w:ascii="Times New Roman" w:hAnsi="Times New Roman" w:cs="Times New Roman"/>
          <w:color w:val="606060"/>
          <w:sz w:val="27"/>
          <w:szCs w:val="27"/>
        </w:rPr>
        <w:t xml:space="preserve">A question that goes to a provider's cultural competency in treating persons with behavioral health challenges might be </w:t>
      </w:r>
      <w:r>
        <w:rPr>
          <w:rFonts w:ascii="Times New Roman" w:hAnsi="Times New Roman" w:cs="Times New Roman"/>
          <w:color w:val="606060"/>
          <w:spacing w:val="-5"/>
          <w:sz w:val="27"/>
          <w:szCs w:val="27"/>
        </w:rPr>
        <w:t xml:space="preserve">"Provider </w:t>
      </w:r>
      <w:r>
        <w:rPr>
          <w:rFonts w:ascii="Times New Roman" w:hAnsi="Times New Roman" w:cs="Times New Roman"/>
          <w:color w:val="606060"/>
          <w:sz w:val="27"/>
          <w:szCs w:val="27"/>
        </w:rPr>
        <w:t>views me as more than a 'case' or  a diagnosis, and treats me as a whole person with a body, mind, and emotions." This question points to whether the provider unduly emphasizes a member's psychiatric diagnosis to the detriment of his or her physical health care or ignores the emotional and mental experience of members in treating physical</w:t>
      </w:r>
      <w:r>
        <w:rPr>
          <w:rFonts w:ascii="Times New Roman" w:hAnsi="Times New Roman" w:cs="Times New Roman"/>
          <w:color w:val="606060"/>
          <w:spacing w:val="39"/>
          <w:sz w:val="27"/>
          <w:szCs w:val="27"/>
        </w:rPr>
        <w:t xml:space="preserve"> </w:t>
      </w:r>
      <w:r>
        <w:rPr>
          <w:rFonts w:ascii="Times New Roman" w:hAnsi="Times New Roman" w:cs="Times New Roman"/>
          <w:color w:val="606060"/>
          <w:sz w:val="27"/>
          <w:szCs w:val="27"/>
        </w:rPr>
        <w:t>illnesses.</w:t>
      </w:r>
    </w:p>
    <w:p w:rsidR="002C5025" w:rsidRDefault="002C5025">
      <w:pPr>
        <w:pStyle w:val="BodyText"/>
        <w:kinsoku w:val="0"/>
        <w:overflowPunct w:val="0"/>
        <w:spacing w:before="2"/>
        <w:rPr>
          <w:rFonts w:ascii="Times New Roman" w:hAnsi="Times New Roman" w:cs="Times New Roman"/>
          <w:sz w:val="27"/>
          <w:szCs w:val="27"/>
        </w:rPr>
      </w:pPr>
    </w:p>
    <w:p w:rsidR="002C5025" w:rsidRDefault="002C5025">
      <w:pPr>
        <w:pStyle w:val="BodyText"/>
        <w:kinsoku w:val="0"/>
        <w:overflowPunct w:val="0"/>
        <w:ind w:left="117"/>
        <w:rPr>
          <w:rFonts w:ascii="Times New Roman" w:hAnsi="Times New Roman" w:cs="Times New Roman"/>
          <w:color w:val="606060"/>
          <w:sz w:val="27"/>
          <w:szCs w:val="27"/>
        </w:rPr>
      </w:pPr>
      <w:r>
        <w:rPr>
          <w:rFonts w:ascii="Times New Roman" w:hAnsi="Times New Roman" w:cs="Times New Roman"/>
          <w:color w:val="606060"/>
          <w:sz w:val="27"/>
          <w:szCs w:val="27"/>
        </w:rPr>
        <w:t>The survey also should be supplemented to address access issues, such as:</w:t>
      </w:r>
    </w:p>
    <w:p w:rsidR="002C5025" w:rsidRDefault="002C5025">
      <w:pPr>
        <w:pStyle w:val="BodyText"/>
        <w:kinsoku w:val="0"/>
        <w:overflowPunct w:val="0"/>
        <w:spacing w:before="4"/>
        <w:rPr>
          <w:rFonts w:ascii="Times New Roman" w:hAnsi="Times New Roman" w:cs="Times New Roman"/>
          <w:sz w:val="30"/>
          <w:szCs w:val="30"/>
        </w:rPr>
      </w:pPr>
    </w:p>
    <w:p w:rsidR="002C5025" w:rsidRDefault="002C5025">
      <w:pPr>
        <w:pStyle w:val="ListParagraph"/>
        <w:numPr>
          <w:ilvl w:val="0"/>
          <w:numId w:val="30"/>
        </w:numPr>
        <w:tabs>
          <w:tab w:val="left" w:pos="828"/>
        </w:tabs>
        <w:kinsoku w:val="0"/>
        <w:overflowPunct w:val="0"/>
        <w:spacing w:line="244" w:lineRule="auto"/>
        <w:ind w:left="828" w:right="1908" w:hanging="344"/>
        <w:rPr>
          <w:color w:val="606060"/>
          <w:sz w:val="18"/>
          <w:szCs w:val="18"/>
        </w:rPr>
      </w:pPr>
      <w:r>
        <w:rPr>
          <w:color w:val="606060"/>
          <w:sz w:val="27"/>
          <w:szCs w:val="27"/>
        </w:rPr>
        <w:t xml:space="preserve">the ability to get medical advice/care after normal business hours (not just being told where to get care after normal business </w:t>
      </w:r>
      <w:r>
        <w:rPr>
          <w:color w:val="606060"/>
          <w:spacing w:val="11"/>
          <w:sz w:val="27"/>
          <w:szCs w:val="27"/>
        </w:rPr>
        <w:t xml:space="preserve"> </w:t>
      </w:r>
      <w:r>
        <w:rPr>
          <w:color w:val="606060"/>
          <w:sz w:val="27"/>
          <w:szCs w:val="27"/>
        </w:rPr>
        <w:t>hours</w:t>
      </w:r>
      <w:r>
        <w:rPr>
          <w:color w:val="606060"/>
          <w:position w:val="6"/>
          <w:sz w:val="18"/>
          <w:szCs w:val="18"/>
        </w:rPr>
        <w:t>7</w:t>
      </w:r>
      <w:r>
        <w:rPr>
          <w:color w:val="606060"/>
          <w:sz w:val="18"/>
          <w:szCs w:val="18"/>
        </w:rPr>
        <w:t>),</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FB027C">
      <w:pPr>
        <w:pStyle w:val="BodyText"/>
        <w:kinsoku w:val="0"/>
        <w:overflowPunct w:val="0"/>
        <w:spacing w:before="2"/>
        <w:rPr>
          <w:rFonts w:ascii="Times New Roman" w:hAnsi="Times New Roman" w:cs="Times New Roman"/>
          <w:sz w:val="20"/>
          <w:szCs w:val="20"/>
        </w:rPr>
      </w:pPr>
      <w:r>
        <w:rPr>
          <w:noProof/>
        </w:rPr>
        <mc:AlternateContent>
          <mc:Choice Requires="wps">
            <w:drawing>
              <wp:anchor distT="0" distB="0" distL="0" distR="0" simplePos="0" relativeHeight="251771392" behindDoc="0" locked="0" layoutInCell="0" allowOverlap="1">
                <wp:simplePos x="0" y="0"/>
                <wp:positionH relativeFrom="page">
                  <wp:posOffset>995680</wp:posOffset>
                </wp:positionH>
                <wp:positionV relativeFrom="paragraph">
                  <wp:posOffset>177800</wp:posOffset>
                </wp:positionV>
                <wp:extent cx="1794510" cy="12700"/>
                <wp:effectExtent l="0" t="0" r="0" b="0"/>
                <wp:wrapTopAndBottom/>
                <wp:docPr id="155" name="Freeform 7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94510" cy="12700"/>
                        </a:xfrm>
                        <a:custGeom>
                          <a:avLst/>
                          <a:gdLst>
                            <a:gd name="T0" fmla="*/ 0 w 2826"/>
                            <a:gd name="T1" fmla="*/ 0 h 20"/>
                            <a:gd name="T2" fmla="*/ 2826 w 2826"/>
                            <a:gd name="T3" fmla="*/ 0 h 20"/>
                          </a:gdLst>
                          <a:ahLst/>
                          <a:cxnLst>
                            <a:cxn ang="0">
                              <a:pos x="T0" y="T1"/>
                            </a:cxn>
                            <a:cxn ang="0">
                              <a:pos x="T2" y="T3"/>
                            </a:cxn>
                          </a:cxnLst>
                          <a:rect l="0" t="0" r="r" b="b"/>
                          <a:pathLst>
                            <a:path w="2826" h="20">
                              <a:moveTo>
                                <a:pt x="0" y="0"/>
                              </a:moveTo>
                              <a:lnTo>
                                <a:pt x="2826" y="0"/>
                              </a:lnTo>
                            </a:path>
                          </a:pathLst>
                        </a:custGeom>
                        <a:noFill/>
                        <a:ln w="104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62" o:spid="_x0000_s1026" style="position:absolute;z-index:251771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8.4pt,14pt,219.7pt,14pt" coordsize="282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" o:allowincell="f" filled="f" strokeweight=".29033mm">
                <v:path arrowok="t" o:connecttype="custom" o:connectlocs="0,0;1794510,0" o:connectangles="0,0"/>
                <w10:wrap type="topAndBottom" anchorx="page"/>
              </v:polyline>
            </w:pict>
          </mc:Fallback>
        </mc:AlternateContent>
      </w:r>
    </w:p>
    <w:p w:rsidR="002C5025" w:rsidRDefault="002C5025">
      <w:pPr>
        <w:pStyle w:val="BodyText"/>
        <w:kinsoku w:val="0"/>
        <w:overflowPunct w:val="0"/>
        <w:spacing w:before="64" w:line="247" w:lineRule="auto"/>
        <w:ind w:left="112" w:right="1621" w:firstLine="2"/>
        <w:rPr>
          <w:rFonts w:ascii="Times New Roman" w:hAnsi="Times New Roman" w:cs="Times New Roman"/>
          <w:color w:val="606060"/>
          <w:w w:val="105"/>
          <w:sz w:val="21"/>
          <w:szCs w:val="21"/>
        </w:rPr>
      </w:pPr>
      <w:r>
        <w:rPr>
          <w:rFonts w:ascii="Times New Roman" w:hAnsi="Times New Roman" w:cs="Times New Roman"/>
          <w:color w:val="606060"/>
          <w:w w:val="105"/>
          <w:position w:val="5"/>
          <w:sz w:val="13"/>
          <w:szCs w:val="13"/>
        </w:rPr>
        <w:t>5</w:t>
      </w:r>
      <w:r>
        <w:rPr>
          <w:rFonts w:ascii="Times New Roman" w:hAnsi="Times New Roman" w:cs="Times New Roman"/>
          <w:color w:val="606060"/>
          <w:spacing w:val="-3"/>
          <w:w w:val="105"/>
          <w:position w:val="5"/>
          <w:sz w:val="13"/>
          <w:szCs w:val="13"/>
        </w:rPr>
        <w:t xml:space="preserve"> </w:t>
      </w:r>
      <w:r>
        <w:rPr>
          <w:rFonts w:ascii="Times New Roman" w:hAnsi="Times New Roman" w:cs="Times New Roman"/>
          <w:color w:val="606060"/>
          <w:w w:val="105"/>
          <w:sz w:val="21"/>
          <w:szCs w:val="21"/>
        </w:rPr>
        <w:t>MHLAC</w:t>
      </w:r>
      <w:r>
        <w:rPr>
          <w:rFonts w:ascii="Times New Roman" w:hAnsi="Times New Roman" w:cs="Times New Roman"/>
          <w:color w:val="606060"/>
          <w:spacing w:val="-10"/>
          <w:w w:val="105"/>
          <w:sz w:val="21"/>
          <w:szCs w:val="21"/>
        </w:rPr>
        <w:t xml:space="preserve"> </w:t>
      </w:r>
      <w:r>
        <w:rPr>
          <w:rFonts w:ascii="Times New Roman" w:hAnsi="Times New Roman" w:cs="Times New Roman"/>
          <w:color w:val="606060"/>
          <w:w w:val="105"/>
          <w:sz w:val="21"/>
          <w:szCs w:val="21"/>
        </w:rPr>
        <w:t>is</w:t>
      </w:r>
      <w:r>
        <w:rPr>
          <w:rFonts w:ascii="Times New Roman" w:hAnsi="Times New Roman" w:cs="Times New Roman"/>
          <w:color w:val="606060"/>
          <w:spacing w:val="-26"/>
          <w:w w:val="105"/>
          <w:sz w:val="21"/>
          <w:szCs w:val="21"/>
        </w:rPr>
        <w:t xml:space="preserve"> </w:t>
      </w:r>
      <w:r>
        <w:rPr>
          <w:rFonts w:ascii="Times New Roman" w:hAnsi="Times New Roman" w:cs="Times New Roman"/>
          <w:color w:val="606060"/>
          <w:w w:val="105"/>
          <w:sz w:val="21"/>
          <w:szCs w:val="21"/>
        </w:rPr>
        <w:t>delighted</w:t>
      </w:r>
      <w:r>
        <w:rPr>
          <w:rFonts w:ascii="Times New Roman" w:hAnsi="Times New Roman" w:cs="Times New Roman"/>
          <w:color w:val="606060"/>
          <w:spacing w:val="-23"/>
          <w:w w:val="105"/>
          <w:sz w:val="21"/>
          <w:szCs w:val="21"/>
        </w:rPr>
        <w:t xml:space="preserve"> </w:t>
      </w:r>
      <w:r>
        <w:rPr>
          <w:rFonts w:ascii="Times New Roman" w:hAnsi="Times New Roman" w:cs="Times New Roman"/>
          <w:color w:val="606060"/>
          <w:spacing w:val="-4"/>
          <w:w w:val="105"/>
          <w:sz w:val="21"/>
          <w:szCs w:val="21"/>
        </w:rPr>
        <w:t>th</w:t>
      </w:r>
      <w:r>
        <w:rPr>
          <w:rFonts w:ascii="Times New Roman" w:hAnsi="Times New Roman" w:cs="Times New Roman"/>
          <w:color w:val="7D7D7D"/>
          <w:spacing w:val="-4"/>
          <w:w w:val="105"/>
          <w:sz w:val="21"/>
          <w:szCs w:val="21"/>
        </w:rPr>
        <w:t>a</w:t>
      </w:r>
      <w:r>
        <w:rPr>
          <w:rFonts w:ascii="Times New Roman" w:hAnsi="Times New Roman" w:cs="Times New Roman"/>
          <w:color w:val="606060"/>
          <w:spacing w:val="-4"/>
          <w:w w:val="105"/>
          <w:sz w:val="21"/>
          <w:szCs w:val="21"/>
        </w:rPr>
        <w:t>t</w:t>
      </w:r>
      <w:r>
        <w:rPr>
          <w:rFonts w:ascii="Times New Roman" w:hAnsi="Times New Roman" w:cs="Times New Roman"/>
          <w:color w:val="606060"/>
          <w:spacing w:val="-29"/>
          <w:w w:val="105"/>
          <w:sz w:val="21"/>
          <w:szCs w:val="21"/>
        </w:rPr>
        <w:t xml:space="preserve"> </w:t>
      </w:r>
      <w:r>
        <w:rPr>
          <w:rFonts w:ascii="Times New Roman" w:hAnsi="Times New Roman" w:cs="Times New Roman"/>
          <w:color w:val="606060"/>
          <w:w w:val="105"/>
          <w:sz w:val="21"/>
          <w:szCs w:val="21"/>
        </w:rPr>
        <w:t>patient</w:t>
      </w:r>
      <w:r>
        <w:rPr>
          <w:rFonts w:ascii="Times New Roman" w:hAnsi="Times New Roman" w:cs="Times New Roman"/>
          <w:color w:val="606060"/>
          <w:spacing w:val="-10"/>
          <w:w w:val="105"/>
          <w:sz w:val="21"/>
          <w:szCs w:val="21"/>
        </w:rPr>
        <w:t xml:space="preserve"> </w:t>
      </w:r>
      <w:r>
        <w:rPr>
          <w:rFonts w:ascii="Times New Roman" w:hAnsi="Times New Roman" w:cs="Times New Roman"/>
          <w:color w:val="606060"/>
          <w:w w:val="105"/>
          <w:sz w:val="21"/>
          <w:szCs w:val="21"/>
        </w:rPr>
        <w:t>experience</w:t>
      </w:r>
      <w:r>
        <w:rPr>
          <w:rFonts w:ascii="Times New Roman" w:hAnsi="Times New Roman" w:cs="Times New Roman"/>
          <w:color w:val="606060"/>
          <w:spacing w:val="-18"/>
          <w:w w:val="105"/>
          <w:sz w:val="21"/>
          <w:szCs w:val="21"/>
        </w:rPr>
        <w:t xml:space="preserve"> </w:t>
      </w:r>
      <w:r>
        <w:rPr>
          <w:rFonts w:ascii="Times New Roman" w:hAnsi="Times New Roman" w:cs="Times New Roman"/>
          <w:color w:val="606060"/>
          <w:w w:val="105"/>
          <w:sz w:val="21"/>
          <w:szCs w:val="21"/>
        </w:rPr>
        <w:t>is</w:t>
      </w:r>
      <w:r>
        <w:rPr>
          <w:rFonts w:ascii="Times New Roman" w:hAnsi="Times New Roman" w:cs="Times New Roman"/>
          <w:color w:val="606060"/>
          <w:spacing w:val="-28"/>
          <w:w w:val="105"/>
          <w:sz w:val="21"/>
          <w:szCs w:val="21"/>
        </w:rPr>
        <w:t xml:space="preserve"> </w:t>
      </w:r>
      <w:r>
        <w:rPr>
          <w:rFonts w:ascii="Times New Roman" w:hAnsi="Times New Roman" w:cs="Times New Roman"/>
          <w:color w:val="606060"/>
          <w:w w:val="105"/>
          <w:sz w:val="21"/>
          <w:szCs w:val="21"/>
        </w:rPr>
        <w:t>part</w:t>
      </w:r>
      <w:r>
        <w:rPr>
          <w:rFonts w:ascii="Times New Roman" w:hAnsi="Times New Roman" w:cs="Times New Roman"/>
          <w:color w:val="606060"/>
          <w:spacing w:val="-12"/>
          <w:w w:val="105"/>
          <w:sz w:val="21"/>
          <w:szCs w:val="21"/>
        </w:rPr>
        <w:t xml:space="preserve"> </w:t>
      </w:r>
      <w:r>
        <w:rPr>
          <w:rFonts w:ascii="Times New Roman" w:hAnsi="Times New Roman" w:cs="Times New Roman"/>
          <w:color w:val="606060"/>
          <w:w w:val="105"/>
          <w:sz w:val="21"/>
          <w:szCs w:val="21"/>
        </w:rPr>
        <w:t>of</w:t>
      </w:r>
      <w:r>
        <w:rPr>
          <w:rFonts w:ascii="Times New Roman" w:hAnsi="Times New Roman" w:cs="Times New Roman"/>
          <w:color w:val="606060"/>
          <w:spacing w:val="-28"/>
          <w:w w:val="105"/>
          <w:sz w:val="21"/>
          <w:szCs w:val="21"/>
        </w:rPr>
        <w:t xml:space="preserve"> </w:t>
      </w:r>
      <w:r>
        <w:rPr>
          <w:rFonts w:ascii="Times New Roman" w:hAnsi="Times New Roman" w:cs="Times New Roman"/>
          <w:color w:val="606060"/>
          <w:w w:val="105"/>
          <w:sz w:val="21"/>
          <w:szCs w:val="21"/>
        </w:rPr>
        <w:t>the</w:t>
      </w:r>
      <w:r>
        <w:rPr>
          <w:rFonts w:ascii="Times New Roman" w:hAnsi="Times New Roman" w:cs="Times New Roman"/>
          <w:color w:val="606060"/>
          <w:spacing w:val="-19"/>
          <w:w w:val="105"/>
          <w:sz w:val="21"/>
          <w:szCs w:val="21"/>
        </w:rPr>
        <w:t xml:space="preserve"> </w:t>
      </w:r>
      <w:r>
        <w:rPr>
          <w:rFonts w:ascii="Times New Roman" w:hAnsi="Times New Roman" w:cs="Times New Roman"/>
          <w:color w:val="606060"/>
          <w:w w:val="105"/>
          <w:sz w:val="21"/>
          <w:szCs w:val="21"/>
        </w:rPr>
        <w:t>quality</w:t>
      </w:r>
      <w:r>
        <w:rPr>
          <w:rFonts w:ascii="Times New Roman" w:hAnsi="Times New Roman" w:cs="Times New Roman"/>
          <w:color w:val="606060"/>
          <w:spacing w:val="-19"/>
          <w:w w:val="105"/>
          <w:sz w:val="21"/>
          <w:szCs w:val="21"/>
        </w:rPr>
        <w:t xml:space="preserve"> </w:t>
      </w:r>
      <w:r>
        <w:rPr>
          <w:rFonts w:ascii="Times New Roman" w:hAnsi="Times New Roman" w:cs="Times New Roman"/>
          <w:color w:val="606060"/>
          <w:spacing w:val="3"/>
          <w:w w:val="105"/>
          <w:sz w:val="21"/>
          <w:szCs w:val="21"/>
        </w:rPr>
        <w:t>domain</w:t>
      </w:r>
      <w:r>
        <w:rPr>
          <w:rFonts w:ascii="Times New Roman" w:hAnsi="Times New Roman" w:cs="Times New Roman"/>
          <w:color w:val="7D7D7D"/>
          <w:spacing w:val="3"/>
          <w:w w:val="105"/>
          <w:sz w:val="21"/>
          <w:szCs w:val="21"/>
        </w:rPr>
        <w:t>.</w:t>
      </w:r>
      <w:r>
        <w:rPr>
          <w:rFonts w:ascii="Times New Roman" w:hAnsi="Times New Roman" w:cs="Times New Roman"/>
          <w:color w:val="7D7D7D"/>
          <w:spacing w:val="-38"/>
          <w:w w:val="105"/>
          <w:sz w:val="21"/>
          <w:szCs w:val="21"/>
        </w:rPr>
        <w:t xml:space="preserve"> </w:t>
      </w:r>
      <w:r>
        <w:rPr>
          <w:rFonts w:ascii="Times New Roman" w:hAnsi="Times New Roman" w:cs="Times New Roman"/>
          <w:color w:val="606060"/>
          <w:spacing w:val="2"/>
          <w:w w:val="105"/>
          <w:sz w:val="21"/>
          <w:szCs w:val="21"/>
        </w:rPr>
        <w:t>Indeed</w:t>
      </w:r>
      <w:r>
        <w:rPr>
          <w:rFonts w:ascii="Times New Roman" w:hAnsi="Times New Roman" w:cs="Times New Roman"/>
          <w:color w:val="7D7D7D"/>
          <w:spacing w:val="2"/>
          <w:w w:val="105"/>
          <w:sz w:val="21"/>
          <w:szCs w:val="21"/>
        </w:rPr>
        <w:t>,</w:t>
      </w:r>
      <w:r>
        <w:rPr>
          <w:rFonts w:ascii="Times New Roman" w:hAnsi="Times New Roman" w:cs="Times New Roman"/>
          <w:color w:val="7D7D7D"/>
          <w:spacing w:val="-31"/>
          <w:w w:val="105"/>
          <w:sz w:val="21"/>
          <w:szCs w:val="21"/>
        </w:rPr>
        <w:t xml:space="preserve"> </w:t>
      </w:r>
      <w:r>
        <w:rPr>
          <w:rFonts w:ascii="Times New Roman" w:hAnsi="Times New Roman" w:cs="Times New Roman"/>
          <w:color w:val="606060"/>
          <w:w w:val="105"/>
          <w:sz w:val="21"/>
          <w:szCs w:val="21"/>
        </w:rPr>
        <w:t>patient</w:t>
      </w:r>
      <w:r>
        <w:rPr>
          <w:rFonts w:ascii="Times New Roman" w:hAnsi="Times New Roman" w:cs="Times New Roman"/>
          <w:color w:val="606060"/>
          <w:spacing w:val="-10"/>
          <w:w w:val="105"/>
          <w:sz w:val="21"/>
          <w:szCs w:val="21"/>
        </w:rPr>
        <w:t xml:space="preserve"> </w:t>
      </w:r>
      <w:r>
        <w:rPr>
          <w:rFonts w:ascii="Times New Roman" w:hAnsi="Times New Roman" w:cs="Times New Roman"/>
          <w:color w:val="606060"/>
          <w:w w:val="105"/>
          <w:sz w:val="21"/>
          <w:szCs w:val="21"/>
        </w:rPr>
        <w:t>experience</w:t>
      </w:r>
      <w:r>
        <w:rPr>
          <w:rFonts w:ascii="Times New Roman" w:hAnsi="Times New Roman" w:cs="Times New Roman"/>
          <w:color w:val="7D7D7D"/>
          <w:w w:val="105"/>
          <w:sz w:val="21"/>
          <w:szCs w:val="21"/>
        </w:rPr>
        <w:t xml:space="preserve">, </w:t>
      </w:r>
      <w:r>
        <w:rPr>
          <w:rFonts w:ascii="Times New Roman" w:hAnsi="Times New Roman" w:cs="Times New Roman"/>
          <w:color w:val="606060"/>
          <w:w w:val="105"/>
          <w:sz w:val="21"/>
          <w:szCs w:val="21"/>
        </w:rPr>
        <w:t>including</w:t>
      </w:r>
      <w:r>
        <w:rPr>
          <w:rFonts w:ascii="Times New Roman" w:hAnsi="Times New Roman" w:cs="Times New Roman"/>
          <w:color w:val="606060"/>
          <w:spacing w:val="-18"/>
          <w:w w:val="105"/>
          <w:sz w:val="21"/>
          <w:szCs w:val="21"/>
        </w:rPr>
        <w:t xml:space="preserve"> </w:t>
      </w:r>
      <w:r>
        <w:rPr>
          <w:rFonts w:ascii="Times New Roman" w:hAnsi="Times New Roman" w:cs="Times New Roman"/>
          <w:color w:val="606060"/>
          <w:w w:val="105"/>
          <w:sz w:val="21"/>
          <w:szCs w:val="21"/>
        </w:rPr>
        <w:t>experience</w:t>
      </w:r>
      <w:r>
        <w:rPr>
          <w:rFonts w:ascii="Times New Roman" w:hAnsi="Times New Roman" w:cs="Times New Roman"/>
          <w:color w:val="606060"/>
          <w:spacing w:val="-16"/>
          <w:w w:val="105"/>
          <w:sz w:val="21"/>
          <w:szCs w:val="21"/>
        </w:rPr>
        <w:t xml:space="preserve"> </w:t>
      </w:r>
      <w:r>
        <w:rPr>
          <w:rFonts w:ascii="Times New Roman" w:hAnsi="Times New Roman" w:cs="Times New Roman"/>
          <w:color w:val="606060"/>
          <w:w w:val="105"/>
          <w:sz w:val="21"/>
          <w:szCs w:val="21"/>
        </w:rPr>
        <w:t>of</w:t>
      </w:r>
      <w:r>
        <w:rPr>
          <w:rFonts w:ascii="Times New Roman" w:hAnsi="Times New Roman" w:cs="Times New Roman"/>
          <w:color w:val="606060"/>
          <w:spacing w:val="-28"/>
          <w:w w:val="105"/>
          <w:sz w:val="21"/>
          <w:szCs w:val="21"/>
        </w:rPr>
        <w:t xml:space="preserve"> </w:t>
      </w:r>
      <w:r>
        <w:rPr>
          <w:rFonts w:ascii="Times New Roman" w:hAnsi="Times New Roman" w:cs="Times New Roman"/>
          <w:color w:val="606060"/>
          <w:w w:val="105"/>
          <w:sz w:val="21"/>
          <w:szCs w:val="21"/>
        </w:rPr>
        <w:t>recovery</w:t>
      </w:r>
      <w:r>
        <w:rPr>
          <w:rFonts w:ascii="Times New Roman" w:hAnsi="Times New Roman" w:cs="Times New Roman"/>
          <w:color w:val="606060"/>
          <w:spacing w:val="-16"/>
          <w:w w:val="105"/>
          <w:sz w:val="21"/>
          <w:szCs w:val="21"/>
        </w:rPr>
        <w:t xml:space="preserve"> </w:t>
      </w:r>
      <w:r>
        <w:rPr>
          <w:rFonts w:ascii="Times New Roman" w:hAnsi="Times New Roman" w:cs="Times New Roman"/>
          <w:color w:val="606060"/>
          <w:w w:val="105"/>
          <w:sz w:val="21"/>
          <w:szCs w:val="21"/>
        </w:rPr>
        <w:t>and</w:t>
      </w:r>
      <w:r>
        <w:rPr>
          <w:rFonts w:ascii="Times New Roman" w:hAnsi="Times New Roman" w:cs="Times New Roman"/>
          <w:color w:val="606060"/>
          <w:spacing w:val="-27"/>
          <w:w w:val="105"/>
          <w:sz w:val="21"/>
          <w:szCs w:val="21"/>
        </w:rPr>
        <w:t xml:space="preserve"> </w:t>
      </w:r>
      <w:r>
        <w:rPr>
          <w:rFonts w:ascii="Times New Roman" w:hAnsi="Times New Roman" w:cs="Times New Roman"/>
          <w:color w:val="606060"/>
          <w:w w:val="105"/>
          <w:sz w:val="21"/>
          <w:szCs w:val="21"/>
        </w:rPr>
        <w:t>wellness,</w:t>
      </w:r>
      <w:r>
        <w:rPr>
          <w:rFonts w:ascii="Times New Roman" w:hAnsi="Times New Roman" w:cs="Times New Roman"/>
          <w:color w:val="606060"/>
          <w:spacing w:val="-15"/>
          <w:w w:val="105"/>
          <w:sz w:val="21"/>
          <w:szCs w:val="21"/>
        </w:rPr>
        <w:t xml:space="preserve"> </w:t>
      </w:r>
      <w:r>
        <w:rPr>
          <w:rFonts w:ascii="Times New Roman" w:hAnsi="Times New Roman" w:cs="Times New Roman"/>
          <w:color w:val="606060"/>
          <w:w w:val="105"/>
          <w:sz w:val="21"/>
          <w:szCs w:val="21"/>
        </w:rPr>
        <w:t>should</w:t>
      </w:r>
      <w:r>
        <w:rPr>
          <w:rFonts w:ascii="Times New Roman" w:hAnsi="Times New Roman" w:cs="Times New Roman"/>
          <w:color w:val="606060"/>
          <w:spacing w:val="-25"/>
          <w:w w:val="105"/>
          <w:sz w:val="21"/>
          <w:szCs w:val="21"/>
        </w:rPr>
        <w:t xml:space="preserve"> </w:t>
      </w:r>
      <w:r>
        <w:rPr>
          <w:rFonts w:ascii="Times New Roman" w:hAnsi="Times New Roman" w:cs="Times New Roman"/>
          <w:color w:val="606060"/>
          <w:w w:val="105"/>
          <w:sz w:val="21"/>
          <w:szCs w:val="21"/>
        </w:rPr>
        <w:t>be</w:t>
      </w:r>
      <w:r>
        <w:rPr>
          <w:rFonts w:ascii="Times New Roman" w:hAnsi="Times New Roman" w:cs="Times New Roman"/>
          <w:color w:val="606060"/>
          <w:spacing w:val="-22"/>
          <w:w w:val="105"/>
          <w:sz w:val="21"/>
          <w:szCs w:val="21"/>
        </w:rPr>
        <w:t xml:space="preserve"> </w:t>
      </w:r>
      <w:r>
        <w:rPr>
          <w:rFonts w:ascii="Times New Roman" w:hAnsi="Times New Roman" w:cs="Times New Roman"/>
          <w:color w:val="606060"/>
          <w:w w:val="105"/>
          <w:sz w:val="21"/>
          <w:szCs w:val="21"/>
        </w:rPr>
        <w:t>the</w:t>
      </w:r>
      <w:r>
        <w:rPr>
          <w:rFonts w:ascii="Times New Roman" w:hAnsi="Times New Roman" w:cs="Times New Roman"/>
          <w:color w:val="606060"/>
          <w:spacing w:val="-24"/>
          <w:w w:val="105"/>
          <w:sz w:val="21"/>
          <w:szCs w:val="21"/>
        </w:rPr>
        <w:t xml:space="preserve"> </w:t>
      </w:r>
      <w:r>
        <w:rPr>
          <w:rFonts w:ascii="Times New Roman" w:hAnsi="Times New Roman" w:cs="Times New Roman"/>
          <w:color w:val="606060"/>
          <w:w w:val="105"/>
          <w:sz w:val="21"/>
          <w:szCs w:val="21"/>
        </w:rPr>
        <w:t>most</w:t>
      </w:r>
      <w:r>
        <w:rPr>
          <w:rFonts w:ascii="Times New Roman" w:hAnsi="Times New Roman" w:cs="Times New Roman"/>
          <w:color w:val="606060"/>
          <w:spacing w:val="-18"/>
          <w:w w:val="105"/>
          <w:sz w:val="21"/>
          <w:szCs w:val="21"/>
        </w:rPr>
        <w:t xml:space="preserve"> </w:t>
      </w:r>
      <w:r>
        <w:rPr>
          <w:rFonts w:ascii="Times New Roman" w:hAnsi="Times New Roman" w:cs="Times New Roman"/>
          <w:color w:val="606060"/>
          <w:w w:val="105"/>
          <w:sz w:val="21"/>
          <w:szCs w:val="21"/>
        </w:rPr>
        <w:t>heavily</w:t>
      </w:r>
      <w:r>
        <w:rPr>
          <w:rFonts w:ascii="Times New Roman" w:hAnsi="Times New Roman" w:cs="Times New Roman"/>
          <w:color w:val="606060"/>
          <w:spacing w:val="-16"/>
          <w:w w:val="105"/>
          <w:sz w:val="21"/>
          <w:szCs w:val="21"/>
        </w:rPr>
        <w:t xml:space="preserve"> </w:t>
      </w:r>
      <w:r>
        <w:rPr>
          <w:rFonts w:ascii="Times New Roman" w:hAnsi="Times New Roman" w:cs="Times New Roman"/>
          <w:color w:val="606060"/>
          <w:w w:val="105"/>
          <w:sz w:val="21"/>
          <w:szCs w:val="21"/>
        </w:rPr>
        <w:t>weighted</w:t>
      </w:r>
      <w:r>
        <w:rPr>
          <w:rFonts w:ascii="Times New Roman" w:hAnsi="Times New Roman" w:cs="Times New Roman"/>
          <w:color w:val="606060"/>
          <w:spacing w:val="-12"/>
          <w:w w:val="105"/>
          <w:sz w:val="21"/>
          <w:szCs w:val="21"/>
        </w:rPr>
        <w:t xml:space="preserve"> </w:t>
      </w:r>
      <w:r>
        <w:rPr>
          <w:rFonts w:ascii="Times New Roman" w:hAnsi="Times New Roman" w:cs="Times New Roman"/>
          <w:color w:val="606060"/>
          <w:w w:val="105"/>
          <w:sz w:val="21"/>
          <w:szCs w:val="21"/>
        </w:rPr>
        <w:t>quality</w:t>
      </w:r>
      <w:r>
        <w:rPr>
          <w:rFonts w:ascii="Times New Roman" w:hAnsi="Times New Roman" w:cs="Times New Roman"/>
          <w:color w:val="606060"/>
          <w:spacing w:val="-20"/>
          <w:w w:val="105"/>
          <w:sz w:val="21"/>
          <w:szCs w:val="21"/>
        </w:rPr>
        <w:t xml:space="preserve"> </w:t>
      </w:r>
      <w:r>
        <w:rPr>
          <w:rFonts w:ascii="Times New Roman" w:hAnsi="Times New Roman" w:cs="Times New Roman"/>
          <w:color w:val="606060"/>
          <w:w w:val="105"/>
          <w:sz w:val="21"/>
          <w:szCs w:val="21"/>
        </w:rPr>
        <w:t>indicator.</w:t>
      </w:r>
      <w:r>
        <w:rPr>
          <w:rFonts w:ascii="Times New Roman" w:hAnsi="Times New Roman" w:cs="Times New Roman"/>
          <w:color w:val="606060"/>
          <w:spacing w:val="9"/>
          <w:w w:val="105"/>
          <w:sz w:val="21"/>
          <w:szCs w:val="21"/>
        </w:rPr>
        <w:t xml:space="preserve"> </w:t>
      </w:r>
      <w:r>
        <w:rPr>
          <w:rFonts w:ascii="Arial" w:hAnsi="Arial" w:cs="Arial"/>
          <w:color w:val="606060"/>
          <w:w w:val="105"/>
          <w:sz w:val="20"/>
          <w:szCs w:val="20"/>
        </w:rPr>
        <w:t xml:space="preserve">It </w:t>
      </w:r>
      <w:r>
        <w:rPr>
          <w:rFonts w:ascii="Times New Roman" w:hAnsi="Times New Roman" w:cs="Times New Roman"/>
          <w:color w:val="606060"/>
          <w:w w:val="105"/>
          <w:sz w:val="21"/>
          <w:szCs w:val="21"/>
        </w:rPr>
        <w:t>is one of the major reasons we oppose annual enrollment lock-ins. Please see attached comments previously</w:t>
      </w:r>
      <w:r>
        <w:rPr>
          <w:rFonts w:ascii="Times New Roman" w:hAnsi="Times New Roman" w:cs="Times New Roman"/>
          <w:color w:val="606060"/>
          <w:spacing w:val="-19"/>
          <w:w w:val="105"/>
          <w:sz w:val="21"/>
          <w:szCs w:val="21"/>
        </w:rPr>
        <w:t xml:space="preserve"> </w:t>
      </w:r>
      <w:r>
        <w:rPr>
          <w:rFonts w:ascii="Times New Roman" w:hAnsi="Times New Roman" w:cs="Times New Roman"/>
          <w:color w:val="606060"/>
          <w:w w:val="105"/>
          <w:sz w:val="21"/>
          <w:szCs w:val="21"/>
        </w:rPr>
        <w:t>submitted</w:t>
      </w:r>
      <w:r>
        <w:rPr>
          <w:rFonts w:ascii="Times New Roman" w:hAnsi="Times New Roman" w:cs="Times New Roman"/>
          <w:color w:val="606060"/>
          <w:spacing w:val="-26"/>
          <w:w w:val="105"/>
          <w:sz w:val="21"/>
          <w:szCs w:val="21"/>
        </w:rPr>
        <w:t xml:space="preserve"> </w:t>
      </w:r>
      <w:r>
        <w:rPr>
          <w:rFonts w:ascii="Times New Roman" w:hAnsi="Times New Roman" w:cs="Times New Roman"/>
          <w:color w:val="606060"/>
          <w:w w:val="105"/>
          <w:sz w:val="21"/>
          <w:szCs w:val="21"/>
        </w:rPr>
        <w:t>to</w:t>
      </w:r>
      <w:r>
        <w:rPr>
          <w:rFonts w:ascii="Times New Roman" w:hAnsi="Times New Roman" w:cs="Times New Roman"/>
          <w:color w:val="606060"/>
          <w:spacing w:val="-30"/>
          <w:w w:val="105"/>
          <w:sz w:val="21"/>
          <w:szCs w:val="21"/>
        </w:rPr>
        <w:t xml:space="preserve"> </w:t>
      </w:r>
      <w:r>
        <w:rPr>
          <w:rFonts w:ascii="Times New Roman" w:hAnsi="Times New Roman" w:cs="Times New Roman"/>
          <w:color w:val="606060"/>
          <w:w w:val="105"/>
          <w:sz w:val="21"/>
          <w:szCs w:val="21"/>
        </w:rPr>
        <w:t>MassHealth</w:t>
      </w:r>
      <w:r>
        <w:rPr>
          <w:rFonts w:ascii="Times New Roman" w:hAnsi="Times New Roman" w:cs="Times New Roman"/>
          <w:color w:val="606060"/>
          <w:spacing w:val="-23"/>
          <w:w w:val="105"/>
          <w:sz w:val="21"/>
          <w:szCs w:val="21"/>
        </w:rPr>
        <w:t xml:space="preserve"> </w:t>
      </w:r>
      <w:r>
        <w:rPr>
          <w:rFonts w:ascii="Times New Roman" w:hAnsi="Times New Roman" w:cs="Times New Roman"/>
          <w:color w:val="606060"/>
          <w:w w:val="105"/>
          <w:sz w:val="21"/>
          <w:szCs w:val="21"/>
        </w:rPr>
        <w:t>on</w:t>
      </w:r>
      <w:r>
        <w:rPr>
          <w:rFonts w:ascii="Times New Roman" w:hAnsi="Times New Roman" w:cs="Times New Roman"/>
          <w:color w:val="606060"/>
          <w:spacing w:val="-33"/>
          <w:w w:val="105"/>
          <w:sz w:val="21"/>
          <w:szCs w:val="21"/>
        </w:rPr>
        <w:t xml:space="preserve"> </w:t>
      </w:r>
      <w:r>
        <w:rPr>
          <w:rFonts w:ascii="Times New Roman" w:hAnsi="Times New Roman" w:cs="Times New Roman"/>
          <w:color w:val="606060"/>
          <w:w w:val="105"/>
          <w:sz w:val="21"/>
          <w:szCs w:val="21"/>
        </w:rPr>
        <w:t>the</w:t>
      </w:r>
      <w:r>
        <w:rPr>
          <w:rFonts w:ascii="Times New Roman" w:hAnsi="Times New Roman" w:cs="Times New Roman"/>
          <w:color w:val="606060"/>
          <w:spacing w:val="-26"/>
          <w:w w:val="105"/>
          <w:sz w:val="21"/>
          <w:szCs w:val="21"/>
        </w:rPr>
        <w:t xml:space="preserve"> </w:t>
      </w:r>
      <w:r>
        <w:rPr>
          <w:rFonts w:ascii="Times New Roman" w:hAnsi="Times New Roman" w:cs="Times New Roman"/>
          <w:color w:val="606060"/>
          <w:w w:val="105"/>
          <w:sz w:val="21"/>
          <w:szCs w:val="21"/>
        </w:rPr>
        <w:t>lock-in</w:t>
      </w:r>
      <w:r>
        <w:rPr>
          <w:rFonts w:ascii="Times New Roman" w:hAnsi="Times New Roman" w:cs="Times New Roman"/>
          <w:color w:val="606060"/>
          <w:spacing w:val="-27"/>
          <w:w w:val="105"/>
          <w:sz w:val="21"/>
          <w:szCs w:val="21"/>
        </w:rPr>
        <w:t xml:space="preserve"> </w:t>
      </w:r>
      <w:r>
        <w:rPr>
          <w:rFonts w:ascii="Times New Roman" w:hAnsi="Times New Roman" w:cs="Times New Roman"/>
          <w:color w:val="606060"/>
          <w:w w:val="105"/>
          <w:sz w:val="21"/>
          <w:szCs w:val="21"/>
        </w:rPr>
        <w:t>issue.</w:t>
      </w:r>
    </w:p>
    <w:p w:rsidR="002C5025" w:rsidRDefault="002C5025">
      <w:pPr>
        <w:pStyle w:val="BodyText"/>
        <w:kinsoku w:val="0"/>
        <w:overflowPunct w:val="0"/>
        <w:spacing w:before="4"/>
        <w:rPr>
          <w:rFonts w:ascii="Times New Roman" w:hAnsi="Times New Roman" w:cs="Times New Roman"/>
        </w:rPr>
      </w:pPr>
    </w:p>
    <w:p w:rsidR="002C5025" w:rsidRDefault="002C5025">
      <w:pPr>
        <w:pStyle w:val="BodyText"/>
        <w:kinsoku w:val="0"/>
        <w:overflowPunct w:val="0"/>
        <w:spacing w:before="1" w:line="247" w:lineRule="auto"/>
        <w:ind w:left="112" w:right="1621" w:firstLine="2"/>
        <w:rPr>
          <w:rFonts w:ascii="Times New Roman" w:hAnsi="Times New Roman" w:cs="Times New Roman"/>
          <w:color w:val="7D7D7D"/>
          <w:sz w:val="21"/>
          <w:szCs w:val="21"/>
        </w:rPr>
      </w:pPr>
      <w:r>
        <w:rPr>
          <w:rFonts w:ascii="Times New Roman" w:hAnsi="Times New Roman" w:cs="Times New Roman"/>
          <w:color w:val="606060"/>
          <w:position w:val="5"/>
          <w:sz w:val="12"/>
          <w:szCs w:val="12"/>
        </w:rPr>
        <w:t xml:space="preserve">6 </w:t>
      </w:r>
      <w:r>
        <w:rPr>
          <w:rFonts w:ascii="Times New Roman" w:hAnsi="Times New Roman" w:cs="Times New Roman"/>
          <w:color w:val="606060"/>
          <w:sz w:val="21"/>
          <w:szCs w:val="21"/>
        </w:rPr>
        <w:t xml:space="preserve">Persons with psychiatric histories frequently report that providers do not respect or listen to them, to the detriment of their physical health care. Given the early death rate of persons with psychiatric challenges  due to avoidable causes, the correlation of these metrics to psychiatric diagnosis should be monitored and used to inform quality improvement </w:t>
      </w:r>
      <w:r>
        <w:rPr>
          <w:rFonts w:ascii="Times New Roman" w:hAnsi="Times New Roman" w:cs="Times New Roman"/>
          <w:color w:val="606060"/>
          <w:spacing w:val="26"/>
          <w:sz w:val="21"/>
          <w:szCs w:val="21"/>
        </w:rPr>
        <w:t xml:space="preserve"> </w:t>
      </w:r>
      <w:r>
        <w:rPr>
          <w:rFonts w:ascii="Times New Roman" w:hAnsi="Times New Roman" w:cs="Times New Roman"/>
          <w:color w:val="606060"/>
          <w:sz w:val="21"/>
          <w:szCs w:val="21"/>
        </w:rPr>
        <w:t>initiatives</w:t>
      </w:r>
      <w:r>
        <w:rPr>
          <w:rFonts w:ascii="Times New Roman" w:hAnsi="Times New Roman" w:cs="Times New Roman"/>
          <w:color w:val="7D7D7D"/>
          <w:sz w:val="21"/>
          <w:szCs w:val="21"/>
        </w:rPr>
        <w:t>.</w:t>
      </w:r>
    </w:p>
    <w:p w:rsidR="002C5025" w:rsidRDefault="002C5025">
      <w:pPr>
        <w:pStyle w:val="BodyText"/>
        <w:kinsoku w:val="0"/>
        <w:overflowPunct w:val="0"/>
        <w:spacing w:before="6"/>
        <w:rPr>
          <w:rFonts w:ascii="Times New Roman" w:hAnsi="Times New Roman" w:cs="Times New Roman"/>
          <w:sz w:val="21"/>
          <w:szCs w:val="21"/>
        </w:rPr>
      </w:pPr>
    </w:p>
    <w:p w:rsidR="002C5025" w:rsidRDefault="002C5025">
      <w:pPr>
        <w:pStyle w:val="BodyText"/>
        <w:kinsoku w:val="0"/>
        <w:overflowPunct w:val="0"/>
        <w:spacing w:before="1" w:line="247" w:lineRule="auto"/>
        <w:ind w:left="107" w:right="1712" w:firstLine="7"/>
        <w:rPr>
          <w:rFonts w:ascii="Times New Roman" w:hAnsi="Times New Roman" w:cs="Times New Roman"/>
          <w:color w:val="7D7D7D"/>
          <w:sz w:val="21"/>
          <w:szCs w:val="21"/>
        </w:rPr>
      </w:pPr>
      <w:r>
        <w:rPr>
          <w:rFonts w:ascii="Arial" w:hAnsi="Arial" w:cs="Arial"/>
          <w:color w:val="606060"/>
          <w:position w:val="5"/>
          <w:sz w:val="11"/>
          <w:szCs w:val="11"/>
        </w:rPr>
        <w:t xml:space="preserve">7 </w:t>
      </w:r>
      <w:r>
        <w:rPr>
          <w:rFonts w:ascii="Times New Roman" w:hAnsi="Times New Roman" w:cs="Times New Roman"/>
          <w:color w:val="606060"/>
          <w:sz w:val="21"/>
          <w:szCs w:val="21"/>
        </w:rPr>
        <w:t>As previously stated, many members may not be able to effectively access care on their own, and this is particularly true if the member is seeking service after normal business hours and is in the midst of a   crisis</w:t>
      </w:r>
      <w:r>
        <w:rPr>
          <w:rFonts w:ascii="Times New Roman" w:hAnsi="Times New Roman" w:cs="Times New Roman"/>
          <w:color w:val="7D7D7D"/>
          <w:sz w:val="21"/>
          <w:szCs w:val="21"/>
        </w:rPr>
        <w:t xml:space="preserve">. </w:t>
      </w:r>
      <w:r>
        <w:rPr>
          <w:rFonts w:ascii="Times New Roman" w:hAnsi="Times New Roman" w:cs="Times New Roman"/>
          <w:color w:val="606060"/>
          <w:sz w:val="21"/>
          <w:szCs w:val="21"/>
        </w:rPr>
        <w:t>Referrals to other providers require the member to make an additional phone call to a stranger   and/or potentially finding one's way to a location with which the member is not acquainted. People utilize emergency departments</w:t>
      </w:r>
      <w:r>
        <w:rPr>
          <w:rFonts w:ascii="Times New Roman" w:hAnsi="Times New Roman" w:cs="Times New Roman"/>
          <w:color w:val="7D7D7D"/>
          <w:sz w:val="21"/>
          <w:szCs w:val="21"/>
        </w:rPr>
        <w:t xml:space="preserve">, </w:t>
      </w:r>
      <w:r>
        <w:rPr>
          <w:rFonts w:ascii="Times New Roman" w:hAnsi="Times New Roman" w:cs="Times New Roman"/>
          <w:color w:val="606060"/>
          <w:sz w:val="21"/>
          <w:szCs w:val="21"/>
        </w:rPr>
        <w:t>in part, because they are familiar</w:t>
      </w:r>
      <w:r>
        <w:rPr>
          <w:rFonts w:ascii="Times New Roman" w:hAnsi="Times New Roman" w:cs="Times New Roman"/>
          <w:color w:val="7D7D7D"/>
          <w:sz w:val="21"/>
          <w:szCs w:val="21"/>
        </w:rPr>
        <w:t xml:space="preserve">, </w:t>
      </w:r>
      <w:r>
        <w:rPr>
          <w:rFonts w:ascii="Times New Roman" w:hAnsi="Times New Roman" w:cs="Times New Roman"/>
          <w:color w:val="606060"/>
          <w:sz w:val="21"/>
          <w:szCs w:val="21"/>
        </w:rPr>
        <w:t>open at all hours, and their locations are   known. To avoid this pattern of ED use</w:t>
      </w:r>
      <w:r>
        <w:rPr>
          <w:rFonts w:ascii="Times New Roman" w:hAnsi="Times New Roman" w:cs="Times New Roman"/>
          <w:color w:val="7D7D7D"/>
          <w:sz w:val="21"/>
          <w:szCs w:val="21"/>
        </w:rPr>
        <w:t xml:space="preserve">, </w:t>
      </w:r>
      <w:r>
        <w:rPr>
          <w:rFonts w:ascii="Times New Roman" w:hAnsi="Times New Roman" w:cs="Times New Roman"/>
          <w:color w:val="606060"/>
          <w:sz w:val="21"/>
          <w:szCs w:val="21"/>
        </w:rPr>
        <w:t>after hours care should be availabl</w:t>
      </w:r>
      <w:r>
        <w:rPr>
          <w:rFonts w:ascii="Times New Roman" w:hAnsi="Times New Roman" w:cs="Times New Roman"/>
          <w:color w:val="7D7D7D"/>
          <w:sz w:val="21"/>
          <w:szCs w:val="21"/>
        </w:rPr>
        <w:t xml:space="preserve">e </w:t>
      </w:r>
      <w:r>
        <w:rPr>
          <w:rFonts w:ascii="Times New Roman" w:hAnsi="Times New Roman" w:cs="Times New Roman"/>
          <w:color w:val="606060"/>
          <w:sz w:val="21"/>
          <w:szCs w:val="21"/>
        </w:rPr>
        <w:t>at the member</w:t>
      </w:r>
      <w:r>
        <w:rPr>
          <w:rFonts w:ascii="Times New Roman" w:hAnsi="Times New Roman" w:cs="Times New Roman"/>
          <w:color w:val="7D7D7D"/>
          <w:sz w:val="21"/>
          <w:szCs w:val="21"/>
        </w:rPr>
        <w:t>'</w:t>
      </w:r>
      <w:r>
        <w:rPr>
          <w:rFonts w:ascii="Times New Roman" w:hAnsi="Times New Roman" w:cs="Times New Roman"/>
          <w:color w:val="606060"/>
          <w:sz w:val="21"/>
          <w:szCs w:val="21"/>
        </w:rPr>
        <w:t>s usual care location or the ACO should arran</w:t>
      </w:r>
      <w:r>
        <w:rPr>
          <w:rFonts w:ascii="Times New Roman" w:hAnsi="Times New Roman" w:cs="Times New Roman"/>
          <w:color w:val="7D7D7D"/>
          <w:sz w:val="21"/>
          <w:szCs w:val="21"/>
        </w:rPr>
        <w:t>g</w:t>
      </w:r>
      <w:r>
        <w:rPr>
          <w:rFonts w:ascii="Times New Roman" w:hAnsi="Times New Roman" w:cs="Times New Roman"/>
          <w:color w:val="606060"/>
          <w:sz w:val="21"/>
          <w:szCs w:val="21"/>
        </w:rPr>
        <w:t>e th</w:t>
      </w:r>
      <w:r>
        <w:rPr>
          <w:rFonts w:ascii="Times New Roman" w:hAnsi="Times New Roman" w:cs="Times New Roman"/>
          <w:color w:val="7D7D7D"/>
          <w:sz w:val="21"/>
          <w:szCs w:val="21"/>
        </w:rPr>
        <w:t xml:space="preserve">e </w:t>
      </w:r>
      <w:r>
        <w:rPr>
          <w:rFonts w:ascii="Times New Roman" w:hAnsi="Times New Roman" w:cs="Times New Roman"/>
          <w:color w:val="606060"/>
          <w:sz w:val="21"/>
          <w:szCs w:val="21"/>
        </w:rPr>
        <w:t xml:space="preserve">appointment </w:t>
      </w:r>
      <w:r>
        <w:rPr>
          <w:rFonts w:ascii="Times New Roman" w:hAnsi="Times New Roman" w:cs="Times New Roman"/>
          <w:color w:val="7D7D7D"/>
          <w:sz w:val="21"/>
          <w:szCs w:val="21"/>
        </w:rPr>
        <w:t>a</w:t>
      </w:r>
      <w:r>
        <w:rPr>
          <w:rFonts w:ascii="Times New Roman" w:hAnsi="Times New Roman" w:cs="Times New Roman"/>
          <w:color w:val="606060"/>
          <w:sz w:val="21"/>
          <w:szCs w:val="21"/>
        </w:rPr>
        <w:t>nd investigate wheth</w:t>
      </w:r>
      <w:r>
        <w:rPr>
          <w:rFonts w:ascii="Times New Roman" w:hAnsi="Times New Roman" w:cs="Times New Roman"/>
          <w:color w:val="7D7D7D"/>
          <w:sz w:val="21"/>
          <w:szCs w:val="21"/>
        </w:rPr>
        <w:t>e</w:t>
      </w:r>
      <w:r>
        <w:rPr>
          <w:rFonts w:ascii="Times New Roman" w:hAnsi="Times New Roman" w:cs="Times New Roman"/>
          <w:color w:val="606060"/>
          <w:sz w:val="21"/>
          <w:szCs w:val="21"/>
        </w:rPr>
        <w:t xml:space="preserve">r the </w:t>
      </w:r>
      <w:r>
        <w:rPr>
          <w:rFonts w:ascii="Times New Roman" w:hAnsi="Times New Roman" w:cs="Times New Roman"/>
          <w:color w:val="606060"/>
          <w:spacing w:val="-4"/>
          <w:sz w:val="21"/>
          <w:szCs w:val="21"/>
        </w:rPr>
        <w:t>m</w:t>
      </w:r>
      <w:r>
        <w:rPr>
          <w:rFonts w:ascii="Times New Roman" w:hAnsi="Times New Roman" w:cs="Times New Roman"/>
          <w:color w:val="7D7D7D"/>
          <w:spacing w:val="-4"/>
          <w:sz w:val="21"/>
          <w:szCs w:val="21"/>
        </w:rPr>
        <w:t>e</w:t>
      </w:r>
      <w:r>
        <w:rPr>
          <w:rFonts w:ascii="Times New Roman" w:hAnsi="Times New Roman" w:cs="Times New Roman"/>
          <w:color w:val="606060"/>
          <w:spacing w:val="-4"/>
          <w:sz w:val="21"/>
          <w:szCs w:val="21"/>
        </w:rPr>
        <w:t>mb</w:t>
      </w:r>
      <w:r>
        <w:rPr>
          <w:rFonts w:ascii="Times New Roman" w:hAnsi="Times New Roman" w:cs="Times New Roman"/>
          <w:color w:val="7D7D7D"/>
          <w:spacing w:val="-4"/>
          <w:sz w:val="21"/>
          <w:szCs w:val="21"/>
        </w:rPr>
        <w:t>e</w:t>
      </w:r>
      <w:r>
        <w:rPr>
          <w:rFonts w:ascii="Times New Roman" w:hAnsi="Times New Roman" w:cs="Times New Roman"/>
          <w:color w:val="606060"/>
          <w:spacing w:val="-4"/>
          <w:sz w:val="21"/>
          <w:szCs w:val="21"/>
        </w:rPr>
        <w:t xml:space="preserve">r </w:t>
      </w:r>
      <w:r>
        <w:rPr>
          <w:rFonts w:ascii="Times New Roman" w:hAnsi="Times New Roman" w:cs="Times New Roman"/>
          <w:color w:val="606060"/>
          <w:sz w:val="21"/>
          <w:szCs w:val="21"/>
        </w:rPr>
        <w:t>ne</w:t>
      </w:r>
      <w:r>
        <w:rPr>
          <w:rFonts w:ascii="Times New Roman" w:hAnsi="Times New Roman" w:cs="Times New Roman"/>
          <w:color w:val="7D7D7D"/>
          <w:sz w:val="21"/>
          <w:szCs w:val="21"/>
        </w:rPr>
        <w:t>e</w:t>
      </w:r>
      <w:r>
        <w:rPr>
          <w:rFonts w:ascii="Times New Roman" w:hAnsi="Times New Roman" w:cs="Times New Roman"/>
          <w:color w:val="606060"/>
          <w:sz w:val="21"/>
          <w:szCs w:val="21"/>
        </w:rPr>
        <w:t>d</w:t>
      </w:r>
      <w:r>
        <w:rPr>
          <w:rFonts w:ascii="Times New Roman" w:hAnsi="Times New Roman" w:cs="Times New Roman"/>
          <w:color w:val="7D7D7D"/>
          <w:sz w:val="21"/>
          <w:szCs w:val="21"/>
        </w:rPr>
        <w:t xml:space="preserve">s </w:t>
      </w:r>
      <w:r>
        <w:rPr>
          <w:rFonts w:ascii="Times New Roman" w:hAnsi="Times New Roman" w:cs="Times New Roman"/>
          <w:color w:val="606060"/>
          <w:sz w:val="21"/>
          <w:szCs w:val="21"/>
        </w:rPr>
        <w:t>transportation assistance</w:t>
      </w:r>
      <w:r>
        <w:rPr>
          <w:rFonts w:ascii="Times New Roman" w:hAnsi="Times New Roman" w:cs="Times New Roman"/>
          <w:color w:val="7D7D7D"/>
          <w:sz w:val="21"/>
          <w:szCs w:val="21"/>
        </w:rPr>
        <w:t xml:space="preserve">, </w:t>
      </w:r>
      <w:r>
        <w:rPr>
          <w:rFonts w:ascii="Times New Roman" w:hAnsi="Times New Roman" w:cs="Times New Roman"/>
          <w:color w:val="606060"/>
          <w:sz w:val="21"/>
          <w:szCs w:val="21"/>
        </w:rPr>
        <w:t xml:space="preserve">providing it to the member when necessary </w:t>
      </w:r>
      <w:r>
        <w:rPr>
          <w:rFonts w:ascii="Times New Roman" w:hAnsi="Times New Roman" w:cs="Times New Roman"/>
          <w:color w:val="7D7D7D"/>
          <w:sz w:val="21"/>
          <w:szCs w:val="21"/>
        </w:rPr>
        <w:t xml:space="preserve">. </w:t>
      </w:r>
      <w:r>
        <w:rPr>
          <w:rFonts w:ascii="Times New Roman" w:hAnsi="Times New Roman" w:cs="Times New Roman"/>
          <w:color w:val="606060"/>
          <w:sz w:val="21"/>
          <w:szCs w:val="21"/>
        </w:rPr>
        <w:t>In some instances</w:t>
      </w:r>
      <w:r>
        <w:rPr>
          <w:rFonts w:ascii="Times New Roman" w:hAnsi="Times New Roman" w:cs="Times New Roman"/>
          <w:color w:val="7D7D7D"/>
          <w:sz w:val="21"/>
          <w:szCs w:val="21"/>
        </w:rPr>
        <w:t xml:space="preserve">, </w:t>
      </w:r>
      <w:r>
        <w:rPr>
          <w:rFonts w:ascii="Times New Roman" w:hAnsi="Times New Roman" w:cs="Times New Roman"/>
          <w:color w:val="606060"/>
          <w:sz w:val="21"/>
          <w:szCs w:val="21"/>
        </w:rPr>
        <w:t xml:space="preserve">individuals also need peer or other support to accompany them to </w:t>
      </w:r>
      <w:r>
        <w:rPr>
          <w:rFonts w:ascii="Times New Roman" w:hAnsi="Times New Roman" w:cs="Times New Roman"/>
          <w:color w:val="606060"/>
          <w:spacing w:val="45"/>
          <w:sz w:val="21"/>
          <w:szCs w:val="21"/>
        </w:rPr>
        <w:t xml:space="preserve"> </w:t>
      </w:r>
      <w:r>
        <w:rPr>
          <w:rFonts w:ascii="Times New Roman" w:hAnsi="Times New Roman" w:cs="Times New Roman"/>
          <w:color w:val="606060"/>
          <w:sz w:val="21"/>
          <w:szCs w:val="21"/>
        </w:rPr>
        <w:t>care</w:t>
      </w:r>
      <w:r>
        <w:rPr>
          <w:rFonts w:ascii="Times New Roman" w:hAnsi="Times New Roman" w:cs="Times New Roman"/>
          <w:color w:val="7D7D7D"/>
          <w:sz w:val="21"/>
          <w:szCs w:val="21"/>
        </w:rPr>
        <w:t>.</w:t>
      </w:r>
    </w:p>
    <w:p w:rsidR="002C5025" w:rsidRDefault="00FB027C">
      <w:pPr>
        <w:pStyle w:val="BodyText"/>
        <w:kinsoku w:val="0"/>
        <w:overflowPunct w:val="0"/>
        <w:spacing w:before="171"/>
        <w:ind w:right="1345"/>
        <w:jc w:val="center"/>
        <w:rPr>
          <w:rFonts w:ascii="Times New Roman" w:hAnsi="Times New Roman" w:cs="Times New Roman"/>
          <w:color w:val="5E5E5E"/>
          <w:w w:val="109"/>
          <w:sz w:val="21"/>
          <w:szCs w:val="21"/>
        </w:rPr>
      </w:pPr>
      <w:r>
        <w:rPr>
          <w:noProof/>
        </w:rPr>
        <mc:AlternateContent>
          <mc:Choice Requires="wps">
            <w:drawing>
              <wp:anchor distT="0" distB="0" distL="114300" distR="114300" simplePos="0" relativeHeight="251772416" behindDoc="0" locked="0" layoutInCell="0" allowOverlap="1">
                <wp:simplePos x="0" y="0"/>
                <wp:positionH relativeFrom="page">
                  <wp:posOffset>7669530</wp:posOffset>
                </wp:positionH>
                <wp:positionV relativeFrom="paragraph">
                  <wp:posOffset>275590</wp:posOffset>
                </wp:positionV>
                <wp:extent cx="12700" cy="511810"/>
                <wp:effectExtent l="0" t="0" r="0" b="0"/>
                <wp:wrapNone/>
                <wp:docPr id="153" name="Freeform 7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511810"/>
                        </a:xfrm>
                        <a:custGeom>
                          <a:avLst/>
                          <a:gdLst>
                            <a:gd name="T0" fmla="*/ 0 w 20"/>
                            <a:gd name="T1" fmla="*/ 806 h 806"/>
                            <a:gd name="T2" fmla="*/ 0 w 20"/>
                            <a:gd name="T3" fmla="*/ 0 h 806"/>
                          </a:gdLst>
                          <a:ahLst/>
                          <a:cxnLst>
                            <a:cxn ang="0">
                              <a:pos x="T0" y="T1"/>
                            </a:cxn>
                            <a:cxn ang="0">
                              <a:pos x="T2" y="T3"/>
                            </a:cxn>
                          </a:cxnLst>
                          <a:rect l="0" t="0" r="r" b="b"/>
                          <a:pathLst>
                            <a:path w="20" h="806">
                              <a:moveTo>
                                <a:pt x="0" y="806"/>
                              </a:moveTo>
                              <a:lnTo>
                                <a:pt x="0" y="0"/>
                              </a:lnTo>
                            </a:path>
                          </a:pathLst>
                        </a:custGeom>
                        <a:noFill/>
                        <a:ln w="5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63" o:spid="_x0000_s1026" style="position:absolute;z-index:251772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03.9pt,62pt,603.9pt,21.7pt" coordsize="20,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" o:allowincell="f" filled="f" strokeweight=".47pt">
                <v:path arrowok="t" o:connecttype="custom" o:connectlocs="0,511810;0,0" o:connectangles="0,0"/>
                <w10:wrap anchorx="page"/>
              </v:polyline>
            </w:pict>
          </mc:Fallback>
        </mc:AlternateContent>
      </w:r>
      <w:r w:rsidR="002C5025">
        <w:rPr>
          <w:rFonts w:ascii="Times New Roman" w:hAnsi="Times New Roman" w:cs="Times New Roman"/>
          <w:color w:val="5E5E5E"/>
          <w:w w:val="109"/>
          <w:sz w:val="21"/>
          <w:szCs w:val="21"/>
        </w:rPr>
        <w:t>4</w:t>
      </w:r>
    </w:p>
    <w:p w:rsidR="002C5025" w:rsidRDefault="002C5025">
      <w:pPr>
        <w:pStyle w:val="BodyText"/>
        <w:kinsoku w:val="0"/>
        <w:overflowPunct w:val="0"/>
        <w:spacing w:before="171"/>
        <w:ind w:right="1345"/>
        <w:jc w:val="center"/>
        <w:rPr>
          <w:rFonts w:ascii="Times New Roman" w:hAnsi="Times New Roman" w:cs="Times New Roman"/>
          <w:color w:val="5E5E5E"/>
          <w:w w:val="109"/>
          <w:sz w:val="21"/>
          <w:szCs w:val="21"/>
        </w:rPr>
        <w:sectPr w:rsidR="002C5025">
          <w:pgSz w:w="12240" w:h="15840"/>
          <w:pgMar w:top="1380" w:right="40" w:bottom="0" w:left="1440" w:header="720" w:footer="720" w:gutter="0"/>
          <w:cols w:space="720" w:equalWidth="0">
            <w:col w:w="10760"/>
          </w:cols>
          <w:noEndnote/>
        </w:sectPr>
      </w:pPr>
    </w:p>
    <w:p w:rsidR="002C5025" w:rsidRDefault="002C5025">
      <w:pPr>
        <w:pStyle w:val="BodyText"/>
        <w:numPr>
          <w:ilvl w:val="0"/>
          <w:numId w:val="30"/>
        </w:numPr>
        <w:tabs>
          <w:tab w:val="left" w:pos="820"/>
        </w:tabs>
        <w:kinsoku w:val="0"/>
        <w:overflowPunct w:val="0"/>
        <w:spacing w:before="56" w:line="247" w:lineRule="auto"/>
        <w:ind w:left="819" w:right="1736" w:hanging="341"/>
        <w:rPr>
          <w:rFonts w:ascii="Arial" w:hAnsi="Arial" w:cs="Arial"/>
          <w:color w:val="626262"/>
          <w:sz w:val="17"/>
          <w:szCs w:val="17"/>
        </w:rPr>
      </w:pPr>
      <w:r>
        <w:rPr>
          <w:rFonts w:ascii="Times New Roman" w:hAnsi="Times New Roman" w:cs="Times New Roman"/>
          <w:color w:val="626262"/>
          <w:sz w:val="27"/>
          <w:szCs w:val="27"/>
        </w:rPr>
        <w:lastRenderedPageBreak/>
        <w:t xml:space="preserve">whether care is provided in a manner that accommodates his or her disabilities or challenges (e.g., </w:t>
      </w:r>
      <w:r>
        <w:rPr>
          <w:rFonts w:ascii="Times New Roman" w:hAnsi="Times New Roman" w:cs="Times New Roman"/>
          <w:color w:val="626262"/>
          <w:spacing w:val="-7"/>
          <w:sz w:val="27"/>
          <w:szCs w:val="27"/>
        </w:rPr>
        <w:t xml:space="preserve">"The </w:t>
      </w:r>
      <w:r>
        <w:rPr>
          <w:rFonts w:ascii="Times New Roman" w:hAnsi="Times New Roman" w:cs="Times New Roman"/>
          <w:color w:val="626262"/>
          <w:sz w:val="27"/>
          <w:szCs w:val="27"/>
        </w:rPr>
        <w:t xml:space="preserve">provider offers individualized services to meet my unique </w:t>
      </w:r>
      <w:r>
        <w:rPr>
          <w:rFonts w:ascii="Times New Roman" w:hAnsi="Times New Roman" w:cs="Times New Roman"/>
          <w:color w:val="626262"/>
          <w:spacing w:val="27"/>
          <w:sz w:val="27"/>
          <w:szCs w:val="27"/>
        </w:rPr>
        <w:t xml:space="preserve"> </w:t>
      </w:r>
      <w:r>
        <w:rPr>
          <w:rFonts w:ascii="Times New Roman" w:hAnsi="Times New Roman" w:cs="Times New Roman"/>
          <w:color w:val="626262"/>
          <w:sz w:val="27"/>
          <w:szCs w:val="27"/>
        </w:rPr>
        <w:t>needs."</w:t>
      </w:r>
      <w:r>
        <w:rPr>
          <w:rFonts w:ascii="Arial" w:hAnsi="Arial" w:cs="Arial"/>
          <w:color w:val="626262"/>
          <w:position w:val="6"/>
          <w:sz w:val="17"/>
          <w:szCs w:val="17"/>
        </w:rPr>
        <w:t>8</w:t>
      </w:r>
      <w:r>
        <w:rPr>
          <w:rFonts w:ascii="Arial" w:hAnsi="Arial" w:cs="Arial"/>
          <w:color w:val="626262"/>
          <w:sz w:val="17"/>
          <w:szCs w:val="17"/>
        </w:rPr>
        <w:t>);</w:t>
      </w:r>
    </w:p>
    <w:p w:rsidR="002C5025" w:rsidRDefault="002C5025">
      <w:pPr>
        <w:pStyle w:val="ListParagraph"/>
        <w:numPr>
          <w:ilvl w:val="0"/>
          <w:numId w:val="30"/>
        </w:numPr>
        <w:tabs>
          <w:tab w:val="left" w:pos="824"/>
        </w:tabs>
        <w:kinsoku w:val="0"/>
        <w:overflowPunct w:val="0"/>
        <w:spacing w:before="19"/>
        <w:ind w:left="824" w:hanging="346"/>
        <w:rPr>
          <w:color w:val="626262"/>
          <w:sz w:val="27"/>
          <w:szCs w:val="27"/>
        </w:rPr>
      </w:pPr>
      <w:r>
        <w:rPr>
          <w:color w:val="626262"/>
          <w:sz w:val="27"/>
          <w:szCs w:val="27"/>
        </w:rPr>
        <w:t>whether the member was given or referred to the services s/he</w:t>
      </w:r>
      <w:r>
        <w:rPr>
          <w:color w:val="626262"/>
          <w:spacing w:val="-22"/>
          <w:sz w:val="27"/>
          <w:szCs w:val="27"/>
        </w:rPr>
        <w:t xml:space="preserve"> </w:t>
      </w:r>
      <w:r>
        <w:rPr>
          <w:color w:val="626262"/>
          <w:sz w:val="27"/>
          <w:szCs w:val="27"/>
        </w:rPr>
        <w:t>desired;</w:t>
      </w:r>
    </w:p>
    <w:p w:rsidR="002C5025" w:rsidRDefault="002C5025">
      <w:pPr>
        <w:pStyle w:val="ListParagraph"/>
        <w:numPr>
          <w:ilvl w:val="0"/>
          <w:numId w:val="30"/>
        </w:numPr>
        <w:tabs>
          <w:tab w:val="left" w:pos="820"/>
        </w:tabs>
        <w:kinsoku w:val="0"/>
        <w:overflowPunct w:val="0"/>
        <w:spacing w:before="18" w:line="247" w:lineRule="auto"/>
        <w:ind w:left="824" w:right="1476" w:hanging="346"/>
        <w:jc w:val="both"/>
        <w:rPr>
          <w:color w:val="626262"/>
          <w:sz w:val="27"/>
          <w:szCs w:val="27"/>
        </w:rPr>
      </w:pPr>
      <w:r>
        <w:rPr>
          <w:color w:val="626262"/>
          <w:sz w:val="27"/>
          <w:szCs w:val="27"/>
        </w:rPr>
        <w:t xml:space="preserve">whether the provider helped arrange appointments to which the member </w:t>
      </w:r>
      <w:r>
        <w:rPr>
          <w:color w:val="626262"/>
          <w:spacing w:val="-3"/>
          <w:sz w:val="27"/>
          <w:szCs w:val="27"/>
        </w:rPr>
        <w:t xml:space="preserve">was </w:t>
      </w:r>
      <w:r>
        <w:rPr>
          <w:color w:val="626262"/>
          <w:sz w:val="27"/>
          <w:szCs w:val="27"/>
        </w:rPr>
        <w:t>referred and whether the provider helped the member get those appointments in a timely</w:t>
      </w:r>
      <w:r>
        <w:rPr>
          <w:color w:val="626262"/>
          <w:spacing w:val="-25"/>
          <w:sz w:val="27"/>
          <w:szCs w:val="27"/>
        </w:rPr>
        <w:t xml:space="preserve"> </w:t>
      </w:r>
      <w:r>
        <w:rPr>
          <w:color w:val="626262"/>
          <w:sz w:val="27"/>
          <w:szCs w:val="27"/>
        </w:rPr>
        <w:t>manner.</w:t>
      </w:r>
    </w:p>
    <w:p w:rsidR="002C5025" w:rsidRDefault="002C5025">
      <w:pPr>
        <w:pStyle w:val="BodyText"/>
        <w:kinsoku w:val="0"/>
        <w:overflowPunct w:val="0"/>
        <w:spacing w:before="3"/>
        <w:rPr>
          <w:rFonts w:ascii="Times New Roman" w:hAnsi="Times New Roman" w:cs="Times New Roman"/>
          <w:sz w:val="26"/>
          <w:szCs w:val="26"/>
        </w:rPr>
      </w:pPr>
    </w:p>
    <w:p w:rsidR="002C5025" w:rsidRDefault="002C5025">
      <w:pPr>
        <w:pStyle w:val="BodyText"/>
        <w:kinsoku w:val="0"/>
        <w:overflowPunct w:val="0"/>
        <w:spacing w:line="280" w:lineRule="auto"/>
        <w:ind w:left="113" w:right="1572"/>
        <w:rPr>
          <w:rFonts w:ascii="Times New Roman" w:hAnsi="Times New Roman" w:cs="Times New Roman"/>
          <w:color w:val="626262"/>
          <w:sz w:val="27"/>
          <w:szCs w:val="27"/>
        </w:rPr>
      </w:pPr>
      <w:r>
        <w:rPr>
          <w:rFonts w:ascii="Times New Roman" w:hAnsi="Times New Roman" w:cs="Times New Roman"/>
          <w:color w:val="626262"/>
          <w:sz w:val="27"/>
          <w:szCs w:val="27"/>
        </w:rPr>
        <w:t xml:space="preserve">Member experience of </w:t>
      </w:r>
      <w:r>
        <w:rPr>
          <w:rFonts w:ascii="Times New Roman" w:hAnsi="Times New Roman" w:cs="Times New Roman"/>
          <w:i/>
          <w:iCs/>
          <w:color w:val="626262"/>
          <w:sz w:val="28"/>
          <w:szCs w:val="28"/>
        </w:rPr>
        <w:t xml:space="preserve">outcome/ </w:t>
      </w:r>
      <w:r>
        <w:rPr>
          <w:rFonts w:ascii="Times New Roman" w:hAnsi="Times New Roman" w:cs="Times New Roman"/>
          <w:color w:val="626262"/>
          <w:sz w:val="27"/>
          <w:szCs w:val="27"/>
        </w:rPr>
        <w:t>is perhaps the most important indicator of quality of care.</w:t>
      </w:r>
      <w:r>
        <w:rPr>
          <w:rFonts w:ascii="Arial" w:hAnsi="Arial" w:cs="Arial"/>
          <w:color w:val="626262"/>
          <w:position w:val="6"/>
          <w:sz w:val="17"/>
          <w:szCs w:val="17"/>
        </w:rPr>
        <w:t xml:space="preserve">10 </w:t>
      </w:r>
      <w:r>
        <w:rPr>
          <w:rFonts w:ascii="Times New Roman" w:hAnsi="Times New Roman" w:cs="Times New Roman"/>
          <w:color w:val="626262"/>
          <w:sz w:val="27"/>
          <w:szCs w:val="27"/>
        </w:rPr>
        <w:t>A serious omission of the CARPS survey (24), and one that goes to outcomes, is whether the person thought the doctor's recommendations  were helpful and assisted in achieving wellness. Any primary care provider survey should include components of the Recovery Enhancing Environment Measure (REE), also known as the Developing Recovery Enhancing Environment Measure (DREEM) (attached), in order to capture member experience and progress toward wellness (i.e. outcomes) with respect to behavioral health issues in the primary case setting. Individuals often receive mental health care from primary care clinicians. Some basic measures that can be used to monitor over time outcomes of mental</w:t>
      </w:r>
      <w:r>
        <w:rPr>
          <w:rFonts w:ascii="Times New Roman" w:hAnsi="Times New Roman" w:cs="Times New Roman"/>
          <w:color w:val="626262"/>
          <w:spacing w:val="8"/>
          <w:sz w:val="27"/>
          <w:szCs w:val="27"/>
        </w:rPr>
        <w:t xml:space="preserve"> </w:t>
      </w:r>
      <w:r>
        <w:rPr>
          <w:rFonts w:ascii="Times New Roman" w:hAnsi="Times New Roman" w:cs="Times New Roman"/>
          <w:color w:val="626262"/>
          <w:sz w:val="27"/>
          <w:szCs w:val="27"/>
        </w:rPr>
        <w:t>health</w:t>
      </w:r>
      <w:r>
        <w:rPr>
          <w:rFonts w:ascii="Times New Roman" w:hAnsi="Times New Roman" w:cs="Times New Roman"/>
          <w:color w:val="626262"/>
          <w:spacing w:val="-2"/>
          <w:sz w:val="27"/>
          <w:szCs w:val="27"/>
        </w:rPr>
        <w:t xml:space="preserve"> </w:t>
      </w:r>
      <w:r>
        <w:rPr>
          <w:rFonts w:ascii="Times New Roman" w:hAnsi="Times New Roman" w:cs="Times New Roman"/>
          <w:color w:val="626262"/>
          <w:sz w:val="27"/>
          <w:szCs w:val="27"/>
        </w:rPr>
        <w:t>care</w:t>
      </w:r>
      <w:r>
        <w:rPr>
          <w:rFonts w:ascii="Times New Roman" w:hAnsi="Times New Roman" w:cs="Times New Roman"/>
          <w:color w:val="626262"/>
          <w:spacing w:val="-18"/>
          <w:sz w:val="27"/>
          <w:szCs w:val="27"/>
        </w:rPr>
        <w:t xml:space="preserve"> </w:t>
      </w:r>
      <w:r>
        <w:rPr>
          <w:rFonts w:ascii="Times New Roman" w:hAnsi="Times New Roman" w:cs="Times New Roman"/>
          <w:color w:val="626262"/>
          <w:sz w:val="27"/>
          <w:szCs w:val="27"/>
        </w:rPr>
        <w:t>by</w:t>
      </w:r>
      <w:r>
        <w:rPr>
          <w:rFonts w:ascii="Times New Roman" w:hAnsi="Times New Roman" w:cs="Times New Roman"/>
          <w:color w:val="626262"/>
          <w:spacing w:val="-9"/>
          <w:sz w:val="27"/>
          <w:szCs w:val="27"/>
        </w:rPr>
        <w:t xml:space="preserve"> </w:t>
      </w:r>
      <w:r>
        <w:rPr>
          <w:rFonts w:ascii="Times New Roman" w:hAnsi="Times New Roman" w:cs="Times New Roman"/>
          <w:color w:val="626262"/>
          <w:sz w:val="27"/>
          <w:szCs w:val="27"/>
        </w:rPr>
        <w:t>primary</w:t>
      </w:r>
      <w:r>
        <w:rPr>
          <w:rFonts w:ascii="Times New Roman" w:hAnsi="Times New Roman" w:cs="Times New Roman"/>
          <w:color w:val="626262"/>
          <w:spacing w:val="10"/>
          <w:sz w:val="27"/>
          <w:szCs w:val="27"/>
        </w:rPr>
        <w:t xml:space="preserve"> </w:t>
      </w:r>
      <w:r>
        <w:rPr>
          <w:rFonts w:ascii="Times New Roman" w:hAnsi="Times New Roman" w:cs="Times New Roman"/>
          <w:color w:val="626262"/>
          <w:sz w:val="27"/>
          <w:szCs w:val="27"/>
        </w:rPr>
        <w:t>care</w:t>
      </w:r>
      <w:r>
        <w:rPr>
          <w:rFonts w:ascii="Times New Roman" w:hAnsi="Times New Roman" w:cs="Times New Roman"/>
          <w:color w:val="626262"/>
          <w:spacing w:val="-22"/>
          <w:sz w:val="27"/>
          <w:szCs w:val="27"/>
        </w:rPr>
        <w:t xml:space="preserve"> </w:t>
      </w:r>
      <w:r>
        <w:rPr>
          <w:rFonts w:ascii="Times New Roman" w:hAnsi="Times New Roman" w:cs="Times New Roman"/>
          <w:color w:val="626262"/>
          <w:sz w:val="27"/>
          <w:szCs w:val="27"/>
        </w:rPr>
        <w:t>providers</w:t>
      </w:r>
      <w:r>
        <w:rPr>
          <w:rFonts w:ascii="Times New Roman" w:hAnsi="Times New Roman" w:cs="Times New Roman"/>
          <w:color w:val="626262"/>
          <w:spacing w:val="-42"/>
          <w:sz w:val="27"/>
          <w:szCs w:val="27"/>
        </w:rPr>
        <w:t xml:space="preserve"> </w:t>
      </w:r>
      <w:r>
        <w:rPr>
          <w:rFonts w:ascii="Arial" w:hAnsi="Arial" w:cs="Arial"/>
          <w:color w:val="626262"/>
          <w:position w:val="7"/>
          <w:sz w:val="17"/>
          <w:szCs w:val="17"/>
        </w:rPr>
        <w:t>11</w:t>
      </w:r>
      <w:r>
        <w:rPr>
          <w:rFonts w:ascii="Arial" w:hAnsi="Arial" w:cs="Arial"/>
          <w:color w:val="626262"/>
          <w:spacing w:val="-3"/>
          <w:position w:val="7"/>
          <w:sz w:val="17"/>
          <w:szCs w:val="17"/>
        </w:rPr>
        <w:t xml:space="preserve"> </w:t>
      </w:r>
      <w:r>
        <w:rPr>
          <w:rFonts w:ascii="Times New Roman" w:hAnsi="Times New Roman" w:cs="Times New Roman"/>
          <w:color w:val="626262"/>
          <w:sz w:val="27"/>
          <w:szCs w:val="27"/>
        </w:rPr>
        <w:t>are:</w:t>
      </w:r>
    </w:p>
    <w:p w:rsidR="002C5025" w:rsidRDefault="002C5025">
      <w:pPr>
        <w:pStyle w:val="ListParagraph"/>
        <w:numPr>
          <w:ilvl w:val="1"/>
          <w:numId w:val="30"/>
        </w:numPr>
        <w:tabs>
          <w:tab w:val="left" w:pos="1520"/>
        </w:tabs>
        <w:kinsoku w:val="0"/>
        <w:overflowPunct w:val="0"/>
        <w:spacing w:before="214"/>
        <w:ind w:left="1523" w:hanging="339"/>
        <w:rPr>
          <w:color w:val="626262"/>
          <w:sz w:val="27"/>
          <w:szCs w:val="27"/>
        </w:rPr>
      </w:pPr>
      <w:r>
        <w:rPr>
          <w:color w:val="626262"/>
          <w:sz w:val="27"/>
          <w:szCs w:val="27"/>
        </w:rPr>
        <w:t>I have at least one close mutual (give-and-take)</w:t>
      </w:r>
      <w:r>
        <w:rPr>
          <w:color w:val="626262"/>
          <w:spacing w:val="-35"/>
          <w:sz w:val="27"/>
          <w:szCs w:val="27"/>
        </w:rPr>
        <w:t xml:space="preserve"> </w:t>
      </w:r>
      <w:r>
        <w:rPr>
          <w:color w:val="626262"/>
          <w:sz w:val="27"/>
          <w:szCs w:val="27"/>
        </w:rPr>
        <w:t>relationship.</w:t>
      </w:r>
    </w:p>
    <w:p w:rsidR="002C5025" w:rsidRDefault="002C5025">
      <w:pPr>
        <w:pStyle w:val="ListParagraph"/>
        <w:numPr>
          <w:ilvl w:val="1"/>
          <w:numId w:val="30"/>
        </w:numPr>
        <w:tabs>
          <w:tab w:val="left" w:pos="1518"/>
        </w:tabs>
        <w:kinsoku w:val="0"/>
        <w:overflowPunct w:val="0"/>
        <w:spacing w:before="23"/>
        <w:ind w:left="1517" w:hanging="333"/>
        <w:rPr>
          <w:color w:val="626262"/>
          <w:sz w:val="27"/>
          <w:szCs w:val="27"/>
        </w:rPr>
      </w:pPr>
      <w:r>
        <w:rPr>
          <w:color w:val="626262"/>
          <w:sz w:val="27"/>
          <w:szCs w:val="27"/>
        </w:rPr>
        <w:t>I am involved in meaningful productive</w:t>
      </w:r>
      <w:r>
        <w:rPr>
          <w:color w:val="626262"/>
          <w:spacing w:val="-21"/>
          <w:sz w:val="27"/>
          <w:szCs w:val="27"/>
        </w:rPr>
        <w:t xml:space="preserve"> </w:t>
      </w:r>
      <w:r>
        <w:rPr>
          <w:color w:val="626262"/>
          <w:sz w:val="27"/>
          <w:szCs w:val="27"/>
        </w:rPr>
        <w:t>activities.</w:t>
      </w:r>
    </w:p>
    <w:p w:rsidR="002C5025" w:rsidRDefault="002C5025">
      <w:pPr>
        <w:pStyle w:val="BodyText"/>
        <w:kinsoku w:val="0"/>
        <w:overflowPunct w:val="0"/>
        <w:rPr>
          <w:rFonts w:ascii="Times New Roman" w:hAnsi="Times New Roman" w:cs="Times New Roman"/>
          <w:sz w:val="20"/>
          <w:szCs w:val="20"/>
        </w:rPr>
      </w:pPr>
    </w:p>
    <w:p w:rsidR="002C5025" w:rsidRDefault="00FB027C">
      <w:pPr>
        <w:pStyle w:val="BodyText"/>
        <w:kinsoku w:val="0"/>
        <w:overflowPunct w:val="0"/>
        <w:spacing w:before="9"/>
        <w:rPr>
          <w:rFonts w:ascii="Times New Roman" w:hAnsi="Times New Roman" w:cs="Times New Roman"/>
          <w:sz w:val="15"/>
          <w:szCs w:val="15"/>
        </w:rPr>
      </w:pPr>
      <w:r>
        <w:rPr>
          <w:noProof/>
        </w:rPr>
        <mc:AlternateContent>
          <mc:Choice Requires="wps">
            <w:drawing>
              <wp:anchor distT="0" distB="0" distL="0" distR="0" simplePos="0" relativeHeight="251773440" behindDoc="0" locked="0" layoutInCell="0" allowOverlap="1">
                <wp:simplePos x="0" y="0"/>
                <wp:positionH relativeFrom="page">
                  <wp:posOffset>1019175</wp:posOffset>
                </wp:positionH>
                <wp:positionV relativeFrom="paragraph">
                  <wp:posOffset>145415</wp:posOffset>
                </wp:positionV>
                <wp:extent cx="1782445" cy="12700"/>
                <wp:effectExtent l="0" t="0" r="0" b="0"/>
                <wp:wrapTopAndBottom/>
                <wp:docPr id="147" name="Freeform 7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2445" cy="12700"/>
                        </a:xfrm>
                        <a:custGeom>
                          <a:avLst/>
                          <a:gdLst>
                            <a:gd name="T0" fmla="*/ 0 w 2807"/>
                            <a:gd name="T1" fmla="*/ 0 h 20"/>
                            <a:gd name="T2" fmla="*/ 2807 w 2807"/>
                            <a:gd name="T3" fmla="*/ 0 h 20"/>
                          </a:gdLst>
                          <a:ahLst/>
                          <a:cxnLst>
                            <a:cxn ang="0">
                              <a:pos x="T0" y="T1"/>
                            </a:cxn>
                            <a:cxn ang="0">
                              <a:pos x="T2" y="T3"/>
                            </a:cxn>
                          </a:cxnLst>
                          <a:rect l="0" t="0" r="r" b="b"/>
                          <a:pathLst>
                            <a:path w="2807" h="20">
                              <a:moveTo>
                                <a:pt x="0" y="0"/>
                              </a:moveTo>
                              <a:lnTo>
                                <a:pt x="2807" y="0"/>
                              </a:lnTo>
                            </a:path>
                          </a:pathLst>
                        </a:custGeom>
                        <a:noFill/>
                        <a:ln w="103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64" o:spid="_x0000_s1026" style="position:absolute;z-index:251773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80.25pt,11.45pt,220.6pt,11.45pt" coordsize="28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" o:allowincell="f" filled="f" strokeweight=".28819mm">
                <v:path arrowok="t" o:connecttype="custom" o:connectlocs="0,0;1782445,0" o:connectangles="0,0"/>
                <w10:wrap type="topAndBottom" anchorx="page"/>
              </v:polyline>
            </w:pict>
          </mc:Fallback>
        </mc:AlternateContent>
      </w:r>
    </w:p>
    <w:p w:rsidR="002C5025" w:rsidRDefault="002C5025">
      <w:pPr>
        <w:pStyle w:val="BodyText"/>
        <w:kinsoku w:val="0"/>
        <w:overflowPunct w:val="0"/>
        <w:spacing w:before="69" w:line="244" w:lineRule="auto"/>
        <w:ind w:left="108" w:right="1520" w:firstLine="5"/>
        <w:rPr>
          <w:rFonts w:ascii="Times New Roman" w:hAnsi="Times New Roman" w:cs="Times New Roman"/>
          <w:color w:val="848484"/>
          <w:spacing w:val="-3"/>
          <w:sz w:val="21"/>
          <w:szCs w:val="21"/>
        </w:rPr>
      </w:pPr>
      <w:r>
        <w:rPr>
          <w:rFonts w:ascii="Times New Roman" w:hAnsi="Times New Roman" w:cs="Times New Roman"/>
          <w:color w:val="626262"/>
          <w:position w:val="5"/>
          <w:sz w:val="12"/>
          <w:szCs w:val="12"/>
        </w:rPr>
        <w:t xml:space="preserve">8 </w:t>
      </w:r>
      <w:r>
        <w:rPr>
          <w:rFonts w:ascii="Times New Roman" w:hAnsi="Times New Roman" w:cs="Times New Roman"/>
          <w:color w:val="626262"/>
          <w:sz w:val="21"/>
          <w:szCs w:val="21"/>
        </w:rPr>
        <w:t>This question relates to not just  disability accommodations, but whether the provider delivers services that address the life circumstances, preferences and goals of the member</w:t>
      </w:r>
      <w:r>
        <w:rPr>
          <w:rFonts w:ascii="Times New Roman" w:hAnsi="Times New Roman" w:cs="Times New Roman"/>
          <w:color w:val="848484"/>
          <w:sz w:val="21"/>
          <w:szCs w:val="21"/>
        </w:rPr>
        <w:t xml:space="preserve">. </w:t>
      </w:r>
      <w:r>
        <w:rPr>
          <w:rFonts w:ascii="Times New Roman" w:hAnsi="Times New Roman" w:cs="Times New Roman"/>
          <w:color w:val="626262"/>
          <w:sz w:val="21"/>
          <w:szCs w:val="21"/>
        </w:rPr>
        <w:t>The question goes beyond whether the provider listens to the member; it is about whether the provider takes action on what he or she hears from the member</w:t>
      </w:r>
      <w:r>
        <w:rPr>
          <w:rFonts w:ascii="Times New Roman" w:hAnsi="Times New Roman" w:cs="Times New Roman"/>
          <w:color w:val="848484"/>
          <w:sz w:val="21"/>
          <w:szCs w:val="21"/>
        </w:rPr>
        <w:t xml:space="preserve">. </w:t>
      </w:r>
      <w:r>
        <w:rPr>
          <w:rFonts w:ascii="Times New Roman" w:hAnsi="Times New Roman" w:cs="Times New Roman"/>
          <w:color w:val="626262"/>
          <w:sz w:val="21"/>
          <w:szCs w:val="21"/>
        </w:rPr>
        <w:t xml:space="preserve">Cambridge Health Alliance, which recognizes that a "mismatch between   treatment and patient preferences worsens health outcomes via lower patient engagement, poorer  adherence, and higher attrition," is embarking on a project to effectively elicit patient preferences </w:t>
      </w:r>
      <w:r>
        <w:rPr>
          <w:rFonts w:ascii="Times New Roman" w:hAnsi="Times New Roman" w:cs="Times New Roman"/>
          <w:color w:val="848484"/>
          <w:sz w:val="21"/>
          <w:szCs w:val="21"/>
        </w:rPr>
        <w:t xml:space="preserve">. </w:t>
      </w:r>
      <w:r>
        <w:rPr>
          <w:rFonts w:ascii="Times New Roman" w:hAnsi="Times New Roman" w:cs="Times New Roman"/>
          <w:i/>
          <w:iCs/>
          <w:color w:val="626262"/>
          <w:spacing w:val="-3"/>
          <w:sz w:val="21"/>
          <w:szCs w:val="21"/>
        </w:rPr>
        <w:t>S</w:t>
      </w:r>
      <w:r>
        <w:rPr>
          <w:rFonts w:ascii="Times New Roman" w:hAnsi="Times New Roman" w:cs="Times New Roman"/>
          <w:i/>
          <w:iCs/>
          <w:color w:val="848484"/>
          <w:spacing w:val="-3"/>
          <w:sz w:val="21"/>
          <w:szCs w:val="21"/>
        </w:rPr>
        <w:t>ee</w:t>
      </w:r>
      <w:r>
        <w:rPr>
          <w:rFonts w:ascii="Times New Roman" w:hAnsi="Times New Roman" w:cs="Times New Roman"/>
          <w:i/>
          <w:iCs/>
          <w:color w:val="9E9E9E"/>
          <w:spacing w:val="-3"/>
          <w:sz w:val="21"/>
          <w:szCs w:val="21"/>
        </w:rPr>
        <w:t xml:space="preserve">, </w:t>
      </w:r>
      <w:hyperlink r:id="rId526" w:history="1">
        <w:r>
          <w:rPr>
            <w:rFonts w:ascii="Times New Roman" w:hAnsi="Times New Roman" w:cs="Times New Roman"/>
            <w:color w:val="848484"/>
            <w:sz w:val="21"/>
            <w:szCs w:val="21"/>
            <w:u w:val="single" w:color="000000"/>
          </w:rPr>
          <w:t>http:/</w:t>
        </w:r>
        <w:r>
          <w:rPr>
            <w:rFonts w:ascii="Times New Roman" w:hAnsi="Times New Roman" w:cs="Times New Roman"/>
            <w:color w:val="9E9E9E"/>
            <w:sz w:val="21"/>
            <w:szCs w:val="21"/>
            <w:u w:val="single" w:color="000000"/>
          </w:rPr>
          <w:t>/</w:t>
        </w:r>
        <w:r>
          <w:rPr>
            <w:rFonts w:ascii="Times New Roman" w:hAnsi="Times New Roman" w:cs="Times New Roman"/>
            <w:color w:val="848484"/>
            <w:sz w:val="21"/>
            <w:szCs w:val="21"/>
            <w:u w:val="single" w:color="000000"/>
          </w:rPr>
          <w:t>www.pcori.org/researc</w:t>
        </w:r>
        <w:r>
          <w:rPr>
            <w:rFonts w:ascii="Times New Roman" w:hAnsi="Times New Roman" w:cs="Times New Roman"/>
            <w:color w:val="626262"/>
            <w:sz w:val="21"/>
            <w:szCs w:val="21"/>
            <w:u w:val="single" w:color="000000"/>
          </w:rPr>
          <w:t>h-</w:t>
        </w:r>
        <w:r>
          <w:rPr>
            <w:rFonts w:ascii="Times New Roman" w:hAnsi="Times New Roman" w:cs="Times New Roman"/>
            <w:color w:val="848484"/>
            <w:sz w:val="21"/>
            <w:szCs w:val="21"/>
            <w:u w:val="single" w:color="000000"/>
          </w:rPr>
          <w:t>results/2016</w:t>
        </w:r>
        <w:r>
          <w:rPr>
            <w:rFonts w:ascii="Times New Roman" w:hAnsi="Times New Roman" w:cs="Times New Roman"/>
            <w:color w:val="9E9E9E"/>
            <w:sz w:val="21"/>
            <w:szCs w:val="21"/>
            <w:u w:val="single" w:color="000000"/>
          </w:rPr>
          <w:t>/</w:t>
        </w:r>
        <w:r>
          <w:rPr>
            <w:rFonts w:ascii="Times New Roman" w:hAnsi="Times New Roman" w:cs="Times New Roman"/>
            <w:color w:val="848484"/>
            <w:sz w:val="21"/>
            <w:szCs w:val="21"/>
            <w:u w:val="single" w:color="000000"/>
          </w:rPr>
          <w:t>improving</w:t>
        </w:r>
        <w:r>
          <w:rPr>
            <w:rFonts w:ascii="Times New Roman" w:hAnsi="Times New Roman" w:cs="Times New Roman"/>
            <w:color w:val="626262"/>
            <w:sz w:val="21"/>
            <w:szCs w:val="21"/>
            <w:u w:val="single" w:color="000000"/>
          </w:rPr>
          <w:t>-</w:t>
        </w:r>
        <w:r>
          <w:rPr>
            <w:rFonts w:ascii="Times New Roman" w:hAnsi="Times New Roman" w:cs="Times New Roman"/>
            <w:color w:val="848484"/>
            <w:sz w:val="21"/>
            <w:szCs w:val="21"/>
            <w:u w:val="single" w:color="000000"/>
          </w:rPr>
          <w:t>methods</w:t>
        </w:r>
        <w:r>
          <w:rPr>
            <w:rFonts w:ascii="Times New Roman" w:hAnsi="Times New Roman" w:cs="Times New Roman"/>
            <w:color w:val="626262"/>
            <w:sz w:val="21"/>
            <w:szCs w:val="21"/>
            <w:u w:val="single" w:color="000000"/>
          </w:rPr>
          <w:t>-</w:t>
        </w:r>
        <w:r>
          <w:rPr>
            <w:rFonts w:ascii="Times New Roman" w:hAnsi="Times New Roman" w:cs="Times New Roman"/>
            <w:color w:val="848484"/>
            <w:sz w:val="21"/>
            <w:szCs w:val="21"/>
            <w:u w:val="single" w:color="000000"/>
          </w:rPr>
          <w:t>incorpora ting</w:t>
        </w:r>
        <w:r>
          <w:rPr>
            <w:rFonts w:ascii="Times New Roman" w:hAnsi="Times New Roman" w:cs="Times New Roman"/>
            <w:color w:val="626262"/>
            <w:sz w:val="21"/>
            <w:szCs w:val="21"/>
            <w:u w:val="single" w:color="000000"/>
          </w:rPr>
          <w:t>-</w:t>
        </w:r>
        <w:proofErr w:type="spellStart"/>
        <w:r>
          <w:rPr>
            <w:rFonts w:ascii="Times New Roman" w:hAnsi="Times New Roman" w:cs="Times New Roman"/>
            <w:color w:val="848484"/>
            <w:sz w:val="21"/>
            <w:szCs w:val="21"/>
            <w:u w:val="single" w:color="000000"/>
          </w:rPr>
          <w:t>racialethnic</w:t>
        </w:r>
        <w:proofErr w:type="spellEnd"/>
        <w:r>
          <w:rPr>
            <w:rFonts w:ascii="Times New Roman" w:hAnsi="Times New Roman" w:cs="Times New Roman"/>
            <w:color w:val="848484"/>
            <w:sz w:val="21"/>
            <w:szCs w:val="21"/>
            <w:u w:val="single" w:color="000000"/>
          </w:rPr>
          <w:t>-minority</w:t>
        </w:r>
        <w:r>
          <w:rPr>
            <w:rFonts w:ascii="Times New Roman" w:hAnsi="Times New Roman" w:cs="Times New Roman"/>
            <w:color w:val="626262"/>
            <w:sz w:val="21"/>
            <w:szCs w:val="21"/>
            <w:u w:val="single" w:color="000000"/>
          </w:rPr>
          <w:t>-</w:t>
        </w:r>
      </w:hyperlink>
      <w:r>
        <w:rPr>
          <w:rFonts w:ascii="Times New Roman" w:hAnsi="Times New Roman" w:cs="Times New Roman"/>
          <w:color w:val="626262"/>
          <w:sz w:val="21"/>
          <w:szCs w:val="21"/>
          <w:u w:val="single" w:color="000000"/>
        </w:rPr>
        <w:t xml:space="preserve"> </w:t>
      </w:r>
      <w:r>
        <w:rPr>
          <w:rFonts w:ascii="Times New Roman" w:hAnsi="Times New Roman" w:cs="Times New Roman"/>
          <w:color w:val="848484"/>
          <w:sz w:val="21"/>
          <w:szCs w:val="21"/>
        </w:rPr>
        <w:t>patients</w:t>
      </w:r>
      <w:r>
        <w:rPr>
          <w:rFonts w:ascii="Times New Roman" w:hAnsi="Times New Roman" w:cs="Times New Roman"/>
          <w:color w:val="626262"/>
          <w:sz w:val="21"/>
          <w:szCs w:val="21"/>
        </w:rPr>
        <w:t>-</w:t>
      </w:r>
      <w:r>
        <w:rPr>
          <w:rFonts w:ascii="Times New Roman" w:hAnsi="Times New Roman" w:cs="Times New Roman"/>
          <w:color w:val="848484"/>
          <w:sz w:val="21"/>
          <w:szCs w:val="21"/>
        </w:rPr>
        <w:t>treatment (last accessed</w:t>
      </w:r>
      <w:r>
        <w:rPr>
          <w:rFonts w:ascii="Times New Roman" w:hAnsi="Times New Roman" w:cs="Times New Roman"/>
          <w:color w:val="848484"/>
          <w:spacing w:val="24"/>
          <w:sz w:val="21"/>
          <w:szCs w:val="21"/>
        </w:rPr>
        <w:t xml:space="preserve"> </w:t>
      </w:r>
      <w:r>
        <w:rPr>
          <w:rFonts w:ascii="Times New Roman" w:hAnsi="Times New Roman" w:cs="Times New Roman"/>
          <w:color w:val="626262"/>
          <w:spacing w:val="-3"/>
          <w:sz w:val="21"/>
          <w:szCs w:val="21"/>
        </w:rPr>
        <w:t>4</w:t>
      </w:r>
      <w:r>
        <w:rPr>
          <w:rFonts w:ascii="Times New Roman" w:hAnsi="Times New Roman" w:cs="Times New Roman"/>
          <w:color w:val="848484"/>
          <w:spacing w:val="-3"/>
          <w:sz w:val="21"/>
          <w:szCs w:val="21"/>
        </w:rPr>
        <w:t>/29/16).</w:t>
      </w:r>
    </w:p>
    <w:p w:rsidR="002C5025" w:rsidRDefault="002C5025">
      <w:pPr>
        <w:pStyle w:val="BodyText"/>
        <w:kinsoku w:val="0"/>
        <w:overflowPunct w:val="0"/>
        <w:spacing w:before="6"/>
        <w:rPr>
          <w:rFonts w:ascii="Times New Roman" w:hAnsi="Times New Roman" w:cs="Times New Roman"/>
          <w:sz w:val="21"/>
          <w:szCs w:val="21"/>
        </w:rPr>
      </w:pPr>
    </w:p>
    <w:p w:rsidR="002C5025" w:rsidRDefault="002C5025">
      <w:pPr>
        <w:pStyle w:val="BodyText"/>
        <w:kinsoku w:val="0"/>
        <w:overflowPunct w:val="0"/>
        <w:ind w:left="113" w:right="1992"/>
        <w:rPr>
          <w:rFonts w:ascii="Times New Roman" w:hAnsi="Times New Roman" w:cs="Times New Roman"/>
          <w:color w:val="626262"/>
          <w:sz w:val="21"/>
          <w:szCs w:val="21"/>
        </w:rPr>
      </w:pPr>
      <w:r>
        <w:rPr>
          <w:rFonts w:ascii="Times New Roman" w:hAnsi="Times New Roman" w:cs="Times New Roman"/>
          <w:color w:val="848484"/>
          <w:position w:val="5"/>
          <w:sz w:val="13"/>
          <w:szCs w:val="13"/>
        </w:rPr>
        <w:t xml:space="preserve">9  </w:t>
      </w:r>
      <w:r>
        <w:rPr>
          <w:rFonts w:ascii="Times New Roman" w:hAnsi="Times New Roman" w:cs="Times New Roman"/>
          <w:color w:val="626262"/>
          <w:sz w:val="21"/>
          <w:szCs w:val="21"/>
        </w:rPr>
        <w:t>The questions in the CAHPs tend to look at the manner in which care was provided.</w:t>
      </w:r>
    </w:p>
    <w:p w:rsidR="002C5025" w:rsidRDefault="002C5025">
      <w:pPr>
        <w:pStyle w:val="BodyText"/>
        <w:kinsoku w:val="0"/>
        <w:overflowPunct w:val="0"/>
        <w:spacing w:before="7"/>
        <w:rPr>
          <w:rFonts w:ascii="Times New Roman" w:hAnsi="Times New Roman" w:cs="Times New Roman"/>
        </w:rPr>
      </w:pPr>
    </w:p>
    <w:p w:rsidR="002C5025" w:rsidRDefault="002C5025">
      <w:pPr>
        <w:pStyle w:val="BodyText"/>
        <w:kinsoku w:val="0"/>
        <w:overflowPunct w:val="0"/>
        <w:spacing w:line="242" w:lineRule="auto"/>
        <w:ind w:left="108" w:right="1602" w:firstLine="14"/>
        <w:rPr>
          <w:rFonts w:ascii="Times New Roman" w:hAnsi="Times New Roman" w:cs="Times New Roman"/>
          <w:color w:val="626262"/>
          <w:sz w:val="21"/>
          <w:szCs w:val="21"/>
        </w:rPr>
      </w:pPr>
      <w:r>
        <w:rPr>
          <w:rFonts w:ascii="Times New Roman" w:hAnsi="Times New Roman" w:cs="Times New Roman"/>
          <w:color w:val="626262"/>
          <w:position w:val="5"/>
          <w:sz w:val="13"/>
          <w:szCs w:val="13"/>
        </w:rPr>
        <w:t xml:space="preserve">10 </w:t>
      </w:r>
      <w:r>
        <w:rPr>
          <w:rFonts w:ascii="Times New Roman" w:hAnsi="Times New Roman" w:cs="Times New Roman"/>
          <w:color w:val="626262"/>
          <w:sz w:val="21"/>
          <w:szCs w:val="21"/>
        </w:rPr>
        <w:t xml:space="preserve">Research into patient experience of outcomes, including symptom control, is becoming recognized as a key indicator of quality of care. </w:t>
      </w:r>
      <w:r>
        <w:rPr>
          <w:rFonts w:ascii="Times New Roman" w:hAnsi="Times New Roman" w:cs="Times New Roman"/>
          <w:i/>
          <w:iCs/>
          <w:color w:val="626262"/>
          <w:sz w:val="21"/>
          <w:szCs w:val="21"/>
        </w:rPr>
        <w:t>See</w:t>
      </w:r>
      <w:r>
        <w:rPr>
          <w:rFonts w:ascii="Times New Roman" w:hAnsi="Times New Roman" w:cs="Times New Roman"/>
          <w:i/>
          <w:iCs/>
          <w:color w:val="848484"/>
          <w:sz w:val="21"/>
          <w:szCs w:val="21"/>
        </w:rPr>
        <w:t>, e</w:t>
      </w:r>
      <w:r>
        <w:rPr>
          <w:rFonts w:ascii="Times New Roman" w:hAnsi="Times New Roman" w:cs="Times New Roman"/>
          <w:i/>
          <w:iCs/>
          <w:color w:val="626262"/>
          <w:sz w:val="21"/>
          <w:szCs w:val="21"/>
        </w:rPr>
        <w:t>.g</w:t>
      </w:r>
      <w:r>
        <w:rPr>
          <w:rFonts w:ascii="Times New Roman" w:hAnsi="Times New Roman" w:cs="Times New Roman"/>
          <w:i/>
          <w:iCs/>
          <w:color w:val="848484"/>
          <w:sz w:val="21"/>
          <w:szCs w:val="21"/>
        </w:rPr>
        <w:t>.</w:t>
      </w:r>
      <w:r>
        <w:rPr>
          <w:rFonts w:ascii="Times New Roman" w:hAnsi="Times New Roman" w:cs="Times New Roman"/>
          <w:i/>
          <w:iCs/>
          <w:color w:val="626262"/>
          <w:sz w:val="21"/>
          <w:szCs w:val="21"/>
        </w:rPr>
        <w:t xml:space="preserve">, </w:t>
      </w:r>
      <w:hyperlink r:id="rId527" w:history="1">
        <w:r>
          <w:rPr>
            <w:rFonts w:ascii="Times New Roman" w:hAnsi="Times New Roman" w:cs="Times New Roman"/>
            <w:color w:val="626262"/>
            <w:sz w:val="21"/>
            <w:szCs w:val="21"/>
          </w:rPr>
          <w:t>http:</w:t>
        </w:r>
        <w:r>
          <w:rPr>
            <w:rFonts w:ascii="Times New Roman" w:hAnsi="Times New Roman" w:cs="Times New Roman"/>
            <w:color w:val="848484"/>
            <w:sz w:val="21"/>
            <w:szCs w:val="21"/>
          </w:rPr>
          <w:t>//</w:t>
        </w:r>
        <w:r>
          <w:rPr>
            <w:rFonts w:ascii="Times New Roman" w:hAnsi="Times New Roman" w:cs="Times New Roman"/>
            <w:color w:val="626262"/>
            <w:sz w:val="21"/>
            <w:szCs w:val="21"/>
          </w:rPr>
          <w:t>www.pcori.org</w:t>
        </w:r>
      </w:hyperlink>
      <w:r>
        <w:rPr>
          <w:rFonts w:ascii="Times New Roman" w:hAnsi="Times New Roman" w:cs="Times New Roman"/>
          <w:color w:val="626262"/>
          <w:sz w:val="21"/>
          <w:szCs w:val="21"/>
        </w:rPr>
        <w:t xml:space="preserve"> </w:t>
      </w:r>
      <w:r>
        <w:rPr>
          <w:rFonts w:ascii="Times New Roman" w:hAnsi="Times New Roman" w:cs="Times New Roman"/>
          <w:color w:val="9E9E9E"/>
          <w:sz w:val="21"/>
          <w:szCs w:val="21"/>
        </w:rPr>
        <w:t>/</w:t>
      </w:r>
      <w:r>
        <w:rPr>
          <w:rFonts w:ascii="Times New Roman" w:hAnsi="Times New Roman" w:cs="Times New Roman"/>
          <w:color w:val="626262"/>
          <w:sz w:val="21"/>
          <w:szCs w:val="21"/>
        </w:rPr>
        <w:t>research-results</w:t>
      </w:r>
      <w:r>
        <w:rPr>
          <w:rFonts w:ascii="Times New Roman" w:hAnsi="Times New Roman" w:cs="Times New Roman"/>
          <w:color w:val="9E9E9E"/>
          <w:sz w:val="21"/>
          <w:szCs w:val="21"/>
        </w:rPr>
        <w:t>/</w:t>
      </w:r>
      <w:r>
        <w:rPr>
          <w:rFonts w:ascii="Times New Roman" w:hAnsi="Times New Roman" w:cs="Times New Roman"/>
          <w:color w:val="626262"/>
          <w:sz w:val="21"/>
          <w:szCs w:val="21"/>
        </w:rPr>
        <w:t>2016</w:t>
      </w:r>
      <w:r>
        <w:rPr>
          <w:rFonts w:ascii="Times New Roman" w:hAnsi="Times New Roman" w:cs="Times New Roman"/>
          <w:color w:val="848484"/>
          <w:sz w:val="21"/>
          <w:szCs w:val="21"/>
        </w:rPr>
        <w:t>/</w:t>
      </w:r>
      <w:r>
        <w:rPr>
          <w:rFonts w:ascii="Times New Roman" w:hAnsi="Times New Roman" w:cs="Times New Roman"/>
          <w:color w:val="626262"/>
          <w:sz w:val="21"/>
          <w:szCs w:val="21"/>
        </w:rPr>
        <w:t>development-and- evaluation-patient-centered-approach-assess-</w:t>
      </w:r>
      <w:proofErr w:type="spellStart"/>
      <w:r>
        <w:rPr>
          <w:rFonts w:ascii="Times New Roman" w:hAnsi="Times New Roman" w:cs="Times New Roman"/>
          <w:color w:val="626262"/>
          <w:sz w:val="21"/>
          <w:szCs w:val="21"/>
        </w:rPr>
        <w:t>guality</w:t>
      </w:r>
      <w:proofErr w:type="spellEnd"/>
      <w:r>
        <w:rPr>
          <w:rFonts w:ascii="Times New Roman" w:hAnsi="Times New Roman" w:cs="Times New Roman"/>
          <w:color w:val="626262"/>
          <w:sz w:val="21"/>
          <w:szCs w:val="21"/>
        </w:rPr>
        <w:t>-care  (last accessed 4/29</w:t>
      </w:r>
      <w:r>
        <w:rPr>
          <w:rFonts w:ascii="Times New Roman" w:hAnsi="Times New Roman" w:cs="Times New Roman"/>
          <w:color w:val="848484"/>
          <w:sz w:val="21"/>
          <w:szCs w:val="21"/>
        </w:rPr>
        <w:t>/</w:t>
      </w:r>
      <w:r>
        <w:rPr>
          <w:rFonts w:ascii="Times New Roman" w:hAnsi="Times New Roman" w:cs="Times New Roman"/>
          <w:color w:val="626262"/>
          <w:sz w:val="21"/>
          <w:szCs w:val="21"/>
        </w:rPr>
        <w:t>16).</w:t>
      </w:r>
    </w:p>
    <w:p w:rsidR="002C5025" w:rsidRDefault="002C5025">
      <w:pPr>
        <w:pStyle w:val="BodyText"/>
        <w:kinsoku w:val="0"/>
        <w:overflowPunct w:val="0"/>
        <w:spacing w:before="9"/>
        <w:rPr>
          <w:rFonts w:ascii="Times New Roman" w:hAnsi="Times New Roman" w:cs="Times New Roman"/>
          <w:sz w:val="21"/>
          <w:szCs w:val="21"/>
        </w:rPr>
      </w:pPr>
    </w:p>
    <w:p w:rsidR="002C5025" w:rsidRDefault="00FB027C">
      <w:pPr>
        <w:pStyle w:val="BodyText"/>
        <w:kinsoku w:val="0"/>
        <w:overflowPunct w:val="0"/>
        <w:spacing w:line="247" w:lineRule="auto"/>
        <w:ind w:left="108" w:right="1687" w:firstLine="19"/>
        <w:rPr>
          <w:rFonts w:ascii="Times New Roman" w:hAnsi="Times New Roman" w:cs="Times New Roman"/>
          <w:color w:val="626262"/>
          <w:sz w:val="21"/>
          <w:szCs w:val="21"/>
        </w:rPr>
      </w:pPr>
      <w:r>
        <w:rPr>
          <w:noProof/>
        </w:rPr>
        <mc:AlternateContent>
          <mc:Choice Requires="wpg">
            <w:drawing>
              <wp:anchor distT="0" distB="0" distL="114300" distR="114300" simplePos="0" relativeHeight="251774464" behindDoc="0" locked="0" layoutInCell="0" allowOverlap="1">
                <wp:simplePos x="0" y="0"/>
                <wp:positionH relativeFrom="page">
                  <wp:posOffset>7639685</wp:posOffset>
                </wp:positionH>
                <wp:positionV relativeFrom="paragraph">
                  <wp:posOffset>640715</wp:posOffset>
                </wp:positionV>
                <wp:extent cx="12700" cy="808355"/>
                <wp:effectExtent l="0" t="0" r="0" b="0"/>
                <wp:wrapNone/>
                <wp:docPr id="139" name="Group 7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808355"/>
                          <a:chOff x="12031" y="1009"/>
                          <a:chExt cx="20" cy="1273"/>
                        </a:xfrm>
                      </wpg:grpSpPr>
                      <wps:wsp>
                        <wps:cNvPr id="252" name="Freeform 766"/>
                        <wps:cNvSpPr>
                          <a:spLocks/>
                        </wps:cNvSpPr>
                        <wps:spPr bwMode="auto">
                          <a:xfrm>
                            <a:off x="12038" y="1011"/>
                            <a:ext cx="20" cy="524"/>
                          </a:xfrm>
                          <a:custGeom>
                            <a:avLst/>
                            <a:gdLst>
                              <a:gd name="T0" fmla="*/ 0 w 20"/>
                              <a:gd name="T1" fmla="*/ 524 h 524"/>
                              <a:gd name="T2" fmla="*/ 0 w 20"/>
                              <a:gd name="T3" fmla="*/ 0 h 524"/>
                            </a:gdLst>
                            <a:ahLst/>
                            <a:cxnLst>
                              <a:cxn ang="0">
                                <a:pos x="T0" y="T1"/>
                              </a:cxn>
                              <a:cxn ang="0">
                                <a:pos x="T2" y="T3"/>
                              </a:cxn>
                            </a:cxnLst>
                            <a:rect l="0" t="0" r="r" b="b"/>
                            <a:pathLst>
                              <a:path w="20" h="524">
                                <a:moveTo>
                                  <a:pt x="0" y="524"/>
                                </a:moveTo>
                                <a:lnTo>
                                  <a:pt x="0" y="0"/>
                                </a:lnTo>
                              </a:path>
                            </a:pathLst>
                          </a:custGeom>
                          <a:noFill/>
                          <a:ln w="297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 name="Freeform 767"/>
                        <wps:cNvSpPr>
                          <a:spLocks/>
                        </wps:cNvSpPr>
                        <wps:spPr bwMode="auto">
                          <a:xfrm>
                            <a:off x="12036" y="1303"/>
                            <a:ext cx="20" cy="973"/>
                          </a:xfrm>
                          <a:custGeom>
                            <a:avLst/>
                            <a:gdLst>
                              <a:gd name="T0" fmla="*/ 0 w 20"/>
                              <a:gd name="T1" fmla="*/ 973 h 973"/>
                              <a:gd name="T2" fmla="*/ 0 w 20"/>
                              <a:gd name="T3" fmla="*/ 0 h 973"/>
                            </a:gdLst>
                            <a:ahLst/>
                            <a:cxnLst>
                              <a:cxn ang="0">
                                <a:pos x="T0" y="T1"/>
                              </a:cxn>
                              <a:cxn ang="0">
                                <a:pos x="T2" y="T3"/>
                              </a:cxn>
                            </a:cxnLst>
                            <a:rect l="0" t="0" r="r" b="b"/>
                            <a:pathLst>
                              <a:path w="20" h="973">
                                <a:moveTo>
                                  <a:pt x="0" y="973"/>
                                </a:moveTo>
                                <a:lnTo>
                                  <a:pt x="0" y="0"/>
                                </a:lnTo>
                              </a:path>
                            </a:pathLst>
                          </a:custGeom>
                          <a:noFill/>
                          <a:ln w="59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65" o:spid="_x0000_s1026" style="position:absolute;margin-left:601.55pt;margin-top:50.45pt;width:1pt;height:63.65pt;z-index:251774464;mso-position-horizontal-relative:page" coordorigin="12031,1009" coordsize="20,1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" o:allowincell="f">
                <v:shape id="Freeform 766" o:spid="_x0000_s1027" style="position:absolute;left:12038;top:1011;width:20;height:524;visibility:visible;mso-wrap-style:square;v-text-anchor:top" coordsize="20,5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3lcMUA&#10;AADcAAAADwAAAGRycy9kb3ducmV2LnhtbESP3WrCQBCF7wu+wzJCb4puDFI0uopUpFVK8e8BhuyY&#10;LGZn0+zWxLd3C4XezXDOd+bMfNnZStyo8caxgtEwAUGcO224UHA+bQYTED4ga6wck4I7eVguek9z&#10;zLRr+UC3YyhEDGGfoYIyhDqT0uclWfRDVxNH7eIaiyGuTSF1g20Mt5VMk+RVWjQcL5RY01tJ+fX4&#10;Y2ON73S7m7bU3ddf6f7z/cUYfzJKPfe71QxEoC78m//oDx258Qh+n4kT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feVwxQAAANwAAAAPAAAAAAAAAAAAAAAAAJgCAABkcnMv&#10;ZG93bnJldi54bWxQSwUGAAAAAAQABAD1AAAAigMAAAAA&#10;" path="m,524l,e" filled="f" strokeweight=".08253mm">
                  <v:path arrowok="t" o:connecttype="custom" o:connectlocs="0,524;0,0" o:connectangles="0,0"/>
                </v:shape>
                <v:shape id="Freeform 767" o:spid="_x0000_s1028" style="position:absolute;left:12036;top:1303;width:20;height:973;visibility:visible;mso-wrap-style:square;v-text-anchor:top" coordsize="20,9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eA78QA&#10;AADcAAAADwAAAGRycy9kb3ducmV2LnhtbERP22rCQBB9L/gPywh9qxslbSVmFbEIBaHQRAXfxuzk&#10;gtnZkN1q2q/vFoS+zeFcJ10NphVX6l1jWcF0EoEgLqxuuFKwz7dPcxDOI2tsLZOCb3KwWo4eUky0&#10;vfEnXTNfiRDCLkEFtfddIqUrajLoJrYjDlxpe4M+wL6SusdbCDetnEXRizTYcGiosaNNTcUl+zIK&#10;5uXwkW+Ln+PzLovzN349bw6nnVKP42G9AOFp8P/iu/tdh/lxDH/PhAv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HgO/EAAAA3AAAAA8AAAAAAAAAAAAAAAAAmAIAAGRycy9k&#10;b3ducmV2LnhtbFBLBQYAAAAABAAEAPUAAACJAwAAAAA=&#10;" path="m,973l,e" filled="f" strokeweight=".16472mm">
                  <v:path arrowok="t" o:connecttype="custom" o:connectlocs="0,973;0,0" o:connectangles="0,0"/>
                </v:shape>
                <w10:wrap anchorx="page"/>
              </v:group>
            </w:pict>
          </mc:Fallback>
        </mc:AlternateContent>
      </w:r>
      <w:r w:rsidR="002C5025">
        <w:rPr>
          <w:rFonts w:ascii="Times New Roman" w:hAnsi="Times New Roman" w:cs="Times New Roman"/>
          <w:color w:val="626262"/>
          <w:position w:val="5"/>
          <w:sz w:val="13"/>
          <w:szCs w:val="13"/>
        </w:rPr>
        <w:t xml:space="preserve">11 </w:t>
      </w:r>
      <w:r w:rsidR="002C5025">
        <w:rPr>
          <w:rFonts w:ascii="Times New Roman" w:hAnsi="Times New Roman" w:cs="Times New Roman"/>
          <w:color w:val="626262"/>
          <w:spacing w:val="-5"/>
          <w:sz w:val="21"/>
          <w:szCs w:val="21"/>
        </w:rPr>
        <w:t xml:space="preserve">"Every </w:t>
      </w:r>
      <w:r w:rsidR="002C5025">
        <w:rPr>
          <w:rFonts w:ascii="Times New Roman" w:hAnsi="Times New Roman" w:cs="Times New Roman"/>
          <w:color w:val="626262"/>
          <w:sz w:val="21"/>
          <w:szCs w:val="21"/>
        </w:rPr>
        <w:t>member in an ACO will have a PCP with accountability for their total care."(22)  A  deterioration in the mental status of a member is a reflection on the PCP</w:t>
      </w:r>
      <w:r w:rsidR="002C5025">
        <w:rPr>
          <w:rFonts w:ascii="Times New Roman" w:hAnsi="Times New Roman" w:cs="Times New Roman"/>
          <w:color w:val="848484"/>
          <w:sz w:val="21"/>
          <w:szCs w:val="21"/>
        </w:rPr>
        <w:t>'</w:t>
      </w:r>
      <w:r w:rsidR="002C5025">
        <w:rPr>
          <w:rFonts w:ascii="Times New Roman" w:hAnsi="Times New Roman" w:cs="Times New Roman"/>
          <w:color w:val="626262"/>
          <w:sz w:val="21"/>
          <w:szCs w:val="21"/>
        </w:rPr>
        <w:t xml:space="preserve">s </w:t>
      </w:r>
      <w:proofErr w:type="spellStart"/>
      <w:r w:rsidR="002C5025">
        <w:rPr>
          <w:rFonts w:ascii="Times New Roman" w:hAnsi="Times New Roman" w:cs="Times New Roman"/>
          <w:color w:val="626262"/>
          <w:sz w:val="21"/>
          <w:szCs w:val="21"/>
        </w:rPr>
        <w:t>perfonnance</w:t>
      </w:r>
      <w:proofErr w:type="spellEnd"/>
      <w:r w:rsidR="002C5025">
        <w:rPr>
          <w:rFonts w:ascii="Times New Roman" w:hAnsi="Times New Roman" w:cs="Times New Roman"/>
          <w:color w:val="626262"/>
          <w:sz w:val="21"/>
          <w:szCs w:val="21"/>
        </w:rPr>
        <w:t xml:space="preserve"> in that </w:t>
      </w:r>
      <w:r w:rsidR="002C5025">
        <w:rPr>
          <w:rFonts w:ascii="Times New Roman" w:hAnsi="Times New Roman" w:cs="Times New Roman"/>
          <w:color w:val="626262"/>
          <w:spacing w:val="-4"/>
          <w:sz w:val="21"/>
          <w:szCs w:val="21"/>
        </w:rPr>
        <w:t>role.</w:t>
      </w:r>
      <w:r w:rsidR="002C5025">
        <w:rPr>
          <w:rFonts w:ascii="Times New Roman" w:hAnsi="Times New Roman" w:cs="Times New Roman"/>
          <w:color w:val="626262"/>
          <w:spacing w:val="-4"/>
          <w:position w:val="5"/>
          <w:sz w:val="12"/>
          <w:szCs w:val="12"/>
        </w:rPr>
        <w:t>1</w:t>
      </w:r>
      <w:r w:rsidR="002C5025">
        <w:rPr>
          <w:rFonts w:ascii="Times New Roman" w:hAnsi="Times New Roman" w:cs="Times New Roman"/>
          <w:color w:val="848484"/>
          <w:spacing w:val="-4"/>
          <w:position w:val="5"/>
          <w:sz w:val="12"/>
          <w:szCs w:val="12"/>
        </w:rPr>
        <w:t xml:space="preserve">2 </w:t>
      </w:r>
      <w:r w:rsidR="002C5025">
        <w:rPr>
          <w:rFonts w:ascii="Times New Roman" w:hAnsi="Times New Roman" w:cs="Times New Roman"/>
          <w:color w:val="626262"/>
          <w:sz w:val="21"/>
          <w:szCs w:val="21"/>
        </w:rPr>
        <w:t>We are disturbed that benefits under the fee-for-service plan will be reduced prior to a comparison of patient- reported outcomes under fee-for-service and ACO</w:t>
      </w:r>
      <w:r w:rsidR="002C5025">
        <w:rPr>
          <w:rFonts w:ascii="Times New Roman" w:hAnsi="Times New Roman" w:cs="Times New Roman"/>
          <w:color w:val="626262"/>
          <w:spacing w:val="30"/>
          <w:sz w:val="21"/>
          <w:szCs w:val="21"/>
        </w:rPr>
        <w:t xml:space="preserve"> </w:t>
      </w:r>
      <w:r w:rsidR="002C5025">
        <w:rPr>
          <w:rFonts w:ascii="Times New Roman" w:hAnsi="Times New Roman" w:cs="Times New Roman"/>
          <w:color w:val="626262"/>
          <w:sz w:val="21"/>
          <w:szCs w:val="21"/>
        </w:rPr>
        <w:t>models.</w:t>
      </w:r>
    </w:p>
    <w:p w:rsidR="002C5025" w:rsidRDefault="002C5025">
      <w:pPr>
        <w:pStyle w:val="BodyText"/>
        <w:kinsoku w:val="0"/>
        <w:overflowPunct w:val="0"/>
        <w:rPr>
          <w:rFonts w:ascii="Times New Roman" w:hAnsi="Times New Roman" w:cs="Times New Roman"/>
          <w:sz w:val="17"/>
          <w:szCs w:val="17"/>
        </w:rPr>
      </w:pPr>
    </w:p>
    <w:p w:rsidR="002C5025" w:rsidRDefault="002C5025">
      <w:pPr>
        <w:pStyle w:val="BodyText"/>
        <w:kinsoku w:val="0"/>
        <w:overflowPunct w:val="0"/>
        <w:ind w:right="1324"/>
        <w:jc w:val="center"/>
        <w:rPr>
          <w:rFonts w:ascii="Times New Roman" w:hAnsi="Times New Roman" w:cs="Times New Roman"/>
          <w:color w:val="626262"/>
          <w:w w:val="103"/>
          <w:sz w:val="21"/>
          <w:szCs w:val="21"/>
        </w:rPr>
      </w:pPr>
      <w:r>
        <w:rPr>
          <w:rFonts w:ascii="Times New Roman" w:hAnsi="Times New Roman" w:cs="Times New Roman"/>
          <w:color w:val="626262"/>
          <w:w w:val="103"/>
          <w:sz w:val="21"/>
          <w:szCs w:val="21"/>
        </w:rPr>
        <w:t>5</w:t>
      </w:r>
    </w:p>
    <w:p w:rsidR="002C5025" w:rsidRDefault="002C5025">
      <w:pPr>
        <w:pStyle w:val="BodyText"/>
        <w:kinsoku w:val="0"/>
        <w:overflowPunct w:val="0"/>
        <w:ind w:right="1324"/>
        <w:jc w:val="center"/>
        <w:rPr>
          <w:rFonts w:ascii="Times New Roman" w:hAnsi="Times New Roman" w:cs="Times New Roman"/>
          <w:color w:val="626262"/>
          <w:w w:val="103"/>
          <w:sz w:val="21"/>
          <w:szCs w:val="21"/>
        </w:rPr>
        <w:sectPr w:rsidR="002C5025">
          <w:pgSz w:w="12240" w:h="15840"/>
          <w:pgMar w:top="1420" w:right="80" w:bottom="0" w:left="1480" w:header="720" w:footer="720" w:gutter="0"/>
          <w:cols w:space="720" w:equalWidth="0">
            <w:col w:w="10680"/>
          </w:cols>
          <w:noEndnote/>
        </w:sectPr>
      </w:pPr>
    </w:p>
    <w:p w:rsidR="002C5025" w:rsidRDefault="002C5025">
      <w:pPr>
        <w:pStyle w:val="BodyText"/>
        <w:numPr>
          <w:ilvl w:val="1"/>
          <w:numId w:val="30"/>
        </w:numPr>
        <w:tabs>
          <w:tab w:val="left" w:pos="1538"/>
        </w:tabs>
        <w:kinsoku w:val="0"/>
        <w:overflowPunct w:val="0"/>
        <w:spacing w:before="44"/>
        <w:ind w:left="1537" w:hanging="336"/>
        <w:rPr>
          <w:rFonts w:ascii="Times New Roman" w:hAnsi="Times New Roman" w:cs="Times New Roman"/>
          <w:color w:val="5E5E5E"/>
          <w:sz w:val="27"/>
          <w:szCs w:val="27"/>
        </w:rPr>
      </w:pPr>
      <w:r>
        <w:rPr>
          <w:rFonts w:ascii="Times New Roman" w:hAnsi="Times New Roman" w:cs="Times New Roman"/>
          <w:color w:val="5E5E5E"/>
          <w:sz w:val="27"/>
          <w:szCs w:val="27"/>
        </w:rPr>
        <w:lastRenderedPageBreak/>
        <w:t>My psychiatric symptoms are under</w:t>
      </w:r>
      <w:r>
        <w:rPr>
          <w:rFonts w:ascii="Times New Roman" w:hAnsi="Times New Roman" w:cs="Times New Roman"/>
          <w:color w:val="5E5E5E"/>
          <w:spacing w:val="-9"/>
          <w:sz w:val="27"/>
          <w:szCs w:val="27"/>
        </w:rPr>
        <w:t xml:space="preserve"> </w:t>
      </w:r>
      <w:r>
        <w:rPr>
          <w:rFonts w:ascii="Times New Roman" w:hAnsi="Times New Roman" w:cs="Times New Roman"/>
          <w:color w:val="5E5E5E"/>
          <w:sz w:val="27"/>
          <w:szCs w:val="27"/>
        </w:rPr>
        <w:t>control.</w:t>
      </w:r>
    </w:p>
    <w:p w:rsidR="002C5025" w:rsidRDefault="002C5025">
      <w:pPr>
        <w:pStyle w:val="ListParagraph"/>
        <w:numPr>
          <w:ilvl w:val="1"/>
          <w:numId w:val="30"/>
        </w:numPr>
        <w:tabs>
          <w:tab w:val="left" w:pos="1543"/>
        </w:tabs>
        <w:kinsoku w:val="0"/>
        <w:overflowPunct w:val="0"/>
        <w:spacing w:before="28"/>
        <w:ind w:left="1542" w:hanging="341"/>
        <w:rPr>
          <w:color w:val="5E5E5E"/>
          <w:sz w:val="27"/>
          <w:szCs w:val="27"/>
        </w:rPr>
      </w:pPr>
      <w:r>
        <w:rPr>
          <w:color w:val="5E5E5E"/>
          <w:sz w:val="27"/>
          <w:szCs w:val="27"/>
        </w:rPr>
        <w:t>I have enough income to meet my</w:t>
      </w:r>
      <w:r>
        <w:rPr>
          <w:color w:val="5E5E5E"/>
          <w:spacing w:val="-19"/>
          <w:sz w:val="27"/>
          <w:szCs w:val="27"/>
        </w:rPr>
        <w:t xml:space="preserve"> </w:t>
      </w:r>
      <w:r>
        <w:rPr>
          <w:color w:val="5E5E5E"/>
          <w:sz w:val="27"/>
          <w:szCs w:val="27"/>
        </w:rPr>
        <w:t>needs.</w:t>
      </w:r>
    </w:p>
    <w:p w:rsidR="002C5025" w:rsidRDefault="002C5025">
      <w:pPr>
        <w:pStyle w:val="ListParagraph"/>
        <w:numPr>
          <w:ilvl w:val="1"/>
          <w:numId w:val="30"/>
        </w:numPr>
        <w:tabs>
          <w:tab w:val="left" w:pos="1538"/>
        </w:tabs>
        <w:kinsoku w:val="0"/>
        <w:overflowPunct w:val="0"/>
        <w:spacing w:before="28"/>
        <w:ind w:left="1537" w:hanging="336"/>
        <w:rPr>
          <w:color w:val="5E5E5E"/>
          <w:sz w:val="27"/>
          <w:szCs w:val="27"/>
        </w:rPr>
      </w:pPr>
      <w:r>
        <w:rPr>
          <w:color w:val="5E5E5E"/>
          <w:sz w:val="27"/>
          <w:szCs w:val="27"/>
        </w:rPr>
        <w:t>I'm not working, but see myself working within 6</w:t>
      </w:r>
      <w:r>
        <w:rPr>
          <w:color w:val="5E5E5E"/>
          <w:spacing w:val="-26"/>
          <w:sz w:val="27"/>
          <w:szCs w:val="27"/>
        </w:rPr>
        <w:t xml:space="preserve"> </w:t>
      </w:r>
      <w:r>
        <w:rPr>
          <w:color w:val="5E5E5E"/>
          <w:sz w:val="27"/>
          <w:szCs w:val="27"/>
        </w:rPr>
        <w:t>months.</w:t>
      </w:r>
    </w:p>
    <w:p w:rsidR="002C5025" w:rsidRDefault="002C5025">
      <w:pPr>
        <w:pStyle w:val="ListParagraph"/>
        <w:numPr>
          <w:ilvl w:val="1"/>
          <w:numId w:val="30"/>
        </w:numPr>
        <w:tabs>
          <w:tab w:val="left" w:pos="1538"/>
        </w:tabs>
        <w:kinsoku w:val="0"/>
        <w:overflowPunct w:val="0"/>
        <w:spacing w:before="25"/>
        <w:ind w:left="1537" w:hanging="341"/>
        <w:rPr>
          <w:color w:val="5E5E5E"/>
          <w:sz w:val="27"/>
          <w:szCs w:val="27"/>
        </w:rPr>
      </w:pPr>
      <w:r>
        <w:rPr>
          <w:color w:val="5E5E5E"/>
          <w:sz w:val="27"/>
          <w:szCs w:val="27"/>
        </w:rPr>
        <w:t>I like and respect</w:t>
      </w:r>
      <w:r>
        <w:rPr>
          <w:color w:val="5E5E5E"/>
          <w:spacing w:val="-17"/>
          <w:sz w:val="27"/>
          <w:szCs w:val="27"/>
        </w:rPr>
        <w:t xml:space="preserve"> </w:t>
      </w:r>
      <w:r>
        <w:rPr>
          <w:color w:val="5E5E5E"/>
          <w:sz w:val="27"/>
          <w:szCs w:val="27"/>
        </w:rPr>
        <w:t>myself.</w:t>
      </w:r>
    </w:p>
    <w:p w:rsidR="002C5025" w:rsidRDefault="002C5025">
      <w:pPr>
        <w:pStyle w:val="ListParagraph"/>
        <w:numPr>
          <w:ilvl w:val="1"/>
          <w:numId w:val="30"/>
        </w:numPr>
        <w:tabs>
          <w:tab w:val="left" w:pos="1538"/>
        </w:tabs>
        <w:kinsoku w:val="0"/>
        <w:overflowPunct w:val="0"/>
        <w:spacing w:before="18"/>
        <w:ind w:left="1537" w:hanging="341"/>
        <w:rPr>
          <w:color w:val="5E5E5E"/>
          <w:sz w:val="27"/>
          <w:szCs w:val="27"/>
        </w:rPr>
      </w:pPr>
      <w:r>
        <w:rPr>
          <w:color w:val="5E5E5E"/>
          <w:sz w:val="27"/>
          <w:szCs w:val="27"/>
        </w:rPr>
        <w:t>I have goals I'm working to</w:t>
      </w:r>
      <w:r>
        <w:rPr>
          <w:color w:val="5E5E5E"/>
          <w:spacing w:val="-16"/>
          <w:sz w:val="27"/>
          <w:szCs w:val="27"/>
        </w:rPr>
        <w:t xml:space="preserve"> </w:t>
      </w:r>
      <w:r>
        <w:rPr>
          <w:color w:val="5E5E5E"/>
          <w:sz w:val="27"/>
          <w:szCs w:val="27"/>
        </w:rPr>
        <w:t>achieve.</w:t>
      </w:r>
    </w:p>
    <w:p w:rsidR="002C5025" w:rsidRDefault="002C5025">
      <w:pPr>
        <w:pStyle w:val="ListParagraph"/>
        <w:numPr>
          <w:ilvl w:val="1"/>
          <w:numId w:val="30"/>
        </w:numPr>
        <w:tabs>
          <w:tab w:val="left" w:pos="1538"/>
        </w:tabs>
        <w:kinsoku w:val="0"/>
        <w:overflowPunct w:val="0"/>
        <w:spacing w:before="30"/>
        <w:ind w:left="1537" w:hanging="341"/>
        <w:rPr>
          <w:color w:val="5E5E5E"/>
          <w:sz w:val="27"/>
          <w:szCs w:val="27"/>
        </w:rPr>
      </w:pPr>
      <w:r>
        <w:rPr>
          <w:color w:val="5E5E5E"/>
          <w:sz w:val="27"/>
          <w:szCs w:val="27"/>
        </w:rPr>
        <w:t>I control the important decisions in my</w:t>
      </w:r>
      <w:r>
        <w:rPr>
          <w:color w:val="5E5E5E"/>
          <w:spacing w:val="-5"/>
          <w:sz w:val="27"/>
          <w:szCs w:val="27"/>
        </w:rPr>
        <w:t xml:space="preserve"> </w:t>
      </w:r>
      <w:r>
        <w:rPr>
          <w:color w:val="5E5E5E"/>
          <w:sz w:val="27"/>
          <w:szCs w:val="27"/>
        </w:rPr>
        <w:t>life.</w:t>
      </w:r>
    </w:p>
    <w:p w:rsidR="002C5025" w:rsidRDefault="002C5025">
      <w:pPr>
        <w:pStyle w:val="ListParagraph"/>
        <w:numPr>
          <w:ilvl w:val="1"/>
          <w:numId w:val="30"/>
        </w:numPr>
        <w:tabs>
          <w:tab w:val="left" w:pos="1538"/>
        </w:tabs>
        <w:kinsoku w:val="0"/>
        <w:overflowPunct w:val="0"/>
        <w:spacing w:before="28"/>
        <w:ind w:left="1537" w:hanging="341"/>
        <w:rPr>
          <w:color w:val="5E5E5E"/>
          <w:sz w:val="27"/>
          <w:szCs w:val="27"/>
        </w:rPr>
      </w:pPr>
      <w:r>
        <w:rPr>
          <w:color w:val="5E5E5E"/>
          <w:sz w:val="27"/>
          <w:szCs w:val="27"/>
        </w:rPr>
        <w:t>I contribute to my</w:t>
      </w:r>
      <w:r>
        <w:rPr>
          <w:color w:val="5E5E5E"/>
          <w:spacing w:val="-28"/>
          <w:sz w:val="27"/>
          <w:szCs w:val="27"/>
        </w:rPr>
        <w:t xml:space="preserve"> </w:t>
      </w:r>
      <w:r>
        <w:rPr>
          <w:color w:val="5E5E5E"/>
          <w:sz w:val="27"/>
          <w:szCs w:val="27"/>
        </w:rPr>
        <w:t>community.</w:t>
      </w:r>
    </w:p>
    <w:p w:rsidR="002C5025" w:rsidRDefault="002C5025">
      <w:pPr>
        <w:pStyle w:val="ListParagraph"/>
        <w:numPr>
          <w:ilvl w:val="1"/>
          <w:numId w:val="30"/>
        </w:numPr>
        <w:tabs>
          <w:tab w:val="left" w:pos="1538"/>
        </w:tabs>
        <w:kinsoku w:val="0"/>
        <w:overflowPunct w:val="0"/>
        <w:spacing w:before="30"/>
        <w:ind w:left="1537" w:hanging="341"/>
        <w:rPr>
          <w:color w:val="5E5E5E"/>
          <w:sz w:val="27"/>
          <w:szCs w:val="27"/>
        </w:rPr>
      </w:pPr>
      <w:r>
        <w:rPr>
          <w:color w:val="5E5E5E"/>
          <w:sz w:val="27"/>
          <w:szCs w:val="27"/>
        </w:rPr>
        <w:t>I have a sense of</w:t>
      </w:r>
      <w:r>
        <w:rPr>
          <w:color w:val="5E5E5E"/>
          <w:spacing w:val="-29"/>
          <w:sz w:val="27"/>
          <w:szCs w:val="27"/>
        </w:rPr>
        <w:t xml:space="preserve"> </w:t>
      </w:r>
      <w:r>
        <w:rPr>
          <w:color w:val="5E5E5E"/>
          <w:sz w:val="27"/>
          <w:szCs w:val="27"/>
        </w:rPr>
        <w:t>belonging.</w:t>
      </w:r>
    </w:p>
    <w:p w:rsidR="002C5025" w:rsidRDefault="002C5025">
      <w:pPr>
        <w:pStyle w:val="ListParagraph"/>
        <w:numPr>
          <w:ilvl w:val="1"/>
          <w:numId w:val="30"/>
        </w:numPr>
        <w:tabs>
          <w:tab w:val="left" w:pos="1538"/>
        </w:tabs>
        <w:kinsoku w:val="0"/>
        <w:overflowPunct w:val="0"/>
        <w:spacing w:before="18"/>
        <w:ind w:left="1537" w:hanging="341"/>
        <w:rPr>
          <w:color w:val="5E5E5E"/>
          <w:sz w:val="27"/>
          <w:szCs w:val="27"/>
        </w:rPr>
      </w:pPr>
      <w:r>
        <w:rPr>
          <w:color w:val="5E5E5E"/>
          <w:sz w:val="27"/>
          <w:szCs w:val="27"/>
        </w:rPr>
        <w:t>I feel alert and alive.</w:t>
      </w:r>
    </w:p>
    <w:p w:rsidR="002C5025" w:rsidRDefault="002C5025">
      <w:pPr>
        <w:pStyle w:val="ListParagraph"/>
        <w:numPr>
          <w:ilvl w:val="1"/>
          <w:numId w:val="30"/>
        </w:numPr>
        <w:tabs>
          <w:tab w:val="left" w:pos="1538"/>
        </w:tabs>
        <w:kinsoku w:val="0"/>
        <w:overflowPunct w:val="0"/>
        <w:spacing w:before="25"/>
        <w:ind w:left="1537" w:hanging="341"/>
        <w:rPr>
          <w:color w:val="5E5E5E"/>
          <w:sz w:val="27"/>
          <w:szCs w:val="27"/>
        </w:rPr>
      </w:pPr>
      <w:r>
        <w:rPr>
          <w:color w:val="5E5E5E"/>
          <w:sz w:val="27"/>
          <w:szCs w:val="27"/>
        </w:rPr>
        <w:t>I feel hopeful about my</w:t>
      </w:r>
      <w:r>
        <w:rPr>
          <w:color w:val="5E5E5E"/>
          <w:spacing w:val="-9"/>
          <w:sz w:val="27"/>
          <w:szCs w:val="27"/>
        </w:rPr>
        <w:t xml:space="preserve"> </w:t>
      </w:r>
      <w:r>
        <w:rPr>
          <w:color w:val="5E5E5E"/>
          <w:sz w:val="27"/>
          <w:szCs w:val="27"/>
        </w:rPr>
        <w:t>future.</w:t>
      </w:r>
    </w:p>
    <w:p w:rsidR="002C5025" w:rsidRDefault="002C5025">
      <w:pPr>
        <w:pStyle w:val="ListParagraph"/>
        <w:numPr>
          <w:ilvl w:val="1"/>
          <w:numId w:val="30"/>
        </w:numPr>
        <w:tabs>
          <w:tab w:val="left" w:pos="1538"/>
        </w:tabs>
        <w:kinsoku w:val="0"/>
        <w:overflowPunct w:val="0"/>
        <w:spacing w:before="28"/>
        <w:ind w:left="1537" w:hanging="341"/>
        <w:rPr>
          <w:color w:val="5E5E5E"/>
          <w:sz w:val="27"/>
          <w:szCs w:val="27"/>
        </w:rPr>
      </w:pPr>
      <w:r>
        <w:rPr>
          <w:color w:val="5E5E5E"/>
          <w:sz w:val="27"/>
          <w:szCs w:val="27"/>
        </w:rPr>
        <w:t>I believe I can make positive changes in my</w:t>
      </w:r>
      <w:r>
        <w:rPr>
          <w:color w:val="5E5E5E"/>
          <w:spacing w:val="-2"/>
          <w:sz w:val="27"/>
          <w:szCs w:val="27"/>
        </w:rPr>
        <w:t xml:space="preserve"> </w:t>
      </w:r>
      <w:r>
        <w:rPr>
          <w:color w:val="5E5E5E"/>
          <w:sz w:val="27"/>
          <w:szCs w:val="27"/>
        </w:rPr>
        <w:t>life.</w:t>
      </w:r>
    </w:p>
    <w:p w:rsidR="002C5025" w:rsidRDefault="002C5025">
      <w:pPr>
        <w:pStyle w:val="BodyText"/>
        <w:kinsoku w:val="0"/>
        <w:overflowPunct w:val="0"/>
        <w:spacing w:before="7"/>
        <w:rPr>
          <w:rFonts w:ascii="Times New Roman" w:hAnsi="Times New Roman" w:cs="Times New Roman"/>
          <w:sz w:val="27"/>
          <w:szCs w:val="27"/>
        </w:rPr>
      </w:pPr>
    </w:p>
    <w:p w:rsidR="002C5025" w:rsidRDefault="002C5025">
      <w:pPr>
        <w:pStyle w:val="BodyText"/>
        <w:kinsoku w:val="0"/>
        <w:overflowPunct w:val="0"/>
        <w:spacing w:before="1" w:line="242" w:lineRule="auto"/>
        <w:ind w:left="135" w:right="853" w:hanging="5"/>
        <w:rPr>
          <w:rFonts w:ascii="Times New Roman" w:hAnsi="Times New Roman" w:cs="Times New Roman"/>
          <w:color w:val="5E5E5E"/>
          <w:sz w:val="27"/>
          <w:szCs w:val="27"/>
        </w:rPr>
      </w:pPr>
      <w:r>
        <w:rPr>
          <w:rFonts w:ascii="Times New Roman" w:hAnsi="Times New Roman" w:cs="Times New Roman"/>
          <w:color w:val="5E5E5E"/>
          <w:sz w:val="27"/>
          <w:szCs w:val="27"/>
        </w:rPr>
        <w:t>The full set of DREEM recovery measures should be used to ascertain member experience and outcomes in mental health care settings.</w:t>
      </w:r>
    </w:p>
    <w:p w:rsidR="002C5025" w:rsidRDefault="002C5025">
      <w:pPr>
        <w:pStyle w:val="BodyText"/>
        <w:kinsoku w:val="0"/>
        <w:overflowPunct w:val="0"/>
        <w:spacing w:before="2"/>
        <w:rPr>
          <w:rFonts w:ascii="Times New Roman" w:hAnsi="Times New Roman" w:cs="Times New Roman"/>
          <w:sz w:val="28"/>
          <w:szCs w:val="28"/>
        </w:rPr>
      </w:pPr>
    </w:p>
    <w:p w:rsidR="002C5025" w:rsidRDefault="002C5025">
      <w:pPr>
        <w:pStyle w:val="BodyText"/>
        <w:kinsoku w:val="0"/>
        <w:overflowPunct w:val="0"/>
        <w:spacing w:before="1" w:line="278" w:lineRule="auto"/>
        <w:ind w:left="134" w:right="1520"/>
        <w:rPr>
          <w:rFonts w:ascii="Times New Roman" w:hAnsi="Times New Roman" w:cs="Times New Roman"/>
          <w:color w:val="5E5E5E"/>
          <w:sz w:val="27"/>
          <w:szCs w:val="27"/>
        </w:rPr>
      </w:pPr>
      <w:r>
        <w:rPr>
          <w:rFonts w:ascii="Times New Roman" w:hAnsi="Times New Roman" w:cs="Times New Roman"/>
          <w:color w:val="5E5E5E"/>
          <w:sz w:val="27"/>
          <w:szCs w:val="27"/>
        </w:rPr>
        <w:t>CAHPS supplements include health information technology questions (e.g., HIT 18). Because privacy principles and best practices are indicative of quality of care, some basic survey questions should address ACO compliance with them. These include:</w:t>
      </w:r>
    </w:p>
    <w:p w:rsidR="002C5025" w:rsidRDefault="002C5025">
      <w:pPr>
        <w:pStyle w:val="ListParagraph"/>
        <w:numPr>
          <w:ilvl w:val="1"/>
          <w:numId w:val="30"/>
        </w:numPr>
        <w:tabs>
          <w:tab w:val="left" w:pos="1528"/>
        </w:tabs>
        <w:kinsoku w:val="0"/>
        <w:overflowPunct w:val="0"/>
        <w:spacing w:before="232"/>
        <w:ind w:left="1528" w:hanging="336"/>
        <w:rPr>
          <w:color w:val="5E5E5E"/>
          <w:sz w:val="27"/>
          <w:szCs w:val="27"/>
        </w:rPr>
      </w:pPr>
      <w:r>
        <w:rPr>
          <w:color w:val="5E5E5E"/>
          <w:sz w:val="27"/>
          <w:szCs w:val="27"/>
        </w:rPr>
        <w:t>Did you request your medical</w:t>
      </w:r>
      <w:r>
        <w:rPr>
          <w:color w:val="5E5E5E"/>
          <w:spacing w:val="-14"/>
          <w:sz w:val="27"/>
          <w:szCs w:val="27"/>
        </w:rPr>
        <w:t xml:space="preserve"> </w:t>
      </w:r>
      <w:r>
        <w:rPr>
          <w:color w:val="5E5E5E"/>
          <w:sz w:val="27"/>
          <w:szCs w:val="27"/>
        </w:rPr>
        <w:t>records?</w:t>
      </w:r>
    </w:p>
    <w:p w:rsidR="002C5025" w:rsidRDefault="002C5025">
      <w:pPr>
        <w:pStyle w:val="ListParagraph"/>
        <w:numPr>
          <w:ilvl w:val="1"/>
          <w:numId w:val="30"/>
        </w:numPr>
        <w:tabs>
          <w:tab w:val="left" w:pos="1528"/>
        </w:tabs>
        <w:kinsoku w:val="0"/>
        <w:overflowPunct w:val="0"/>
        <w:spacing w:before="20"/>
        <w:ind w:left="1528" w:hanging="336"/>
        <w:rPr>
          <w:color w:val="5E5E5E"/>
          <w:sz w:val="27"/>
          <w:szCs w:val="27"/>
        </w:rPr>
      </w:pPr>
      <w:r>
        <w:rPr>
          <w:color w:val="5E5E5E"/>
          <w:sz w:val="27"/>
          <w:szCs w:val="27"/>
        </w:rPr>
        <w:t>Did provider give you the records that you</w:t>
      </w:r>
      <w:r>
        <w:rPr>
          <w:color w:val="5E5E5E"/>
          <w:spacing w:val="-25"/>
          <w:sz w:val="27"/>
          <w:szCs w:val="27"/>
        </w:rPr>
        <w:t xml:space="preserve"> </w:t>
      </w:r>
      <w:r>
        <w:rPr>
          <w:color w:val="5E5E5E"/>
          <w:sz w:val="27"/>
          <w:szCs w:val="27"/>
        </w:rPr>
        <w:t>requested?</w:t>
      </w:r>
    </w:p>
    <w:p w:rsidR="002C5025" w:rsidRDefault="002C5025">
      <w:pPr>
        <w:pStyle w:val="ListParagraph"/>
        <w:numPr>
          <w:ilvl w:val="1"/>
          <w:numId w:val="30"/>
        </w:numPr>
        <w:tabs>
          <w:tab w:val="left" w:pos="1524"/>
        </w:tabs>
        <w:kinsoku w:val="0"/>
        <w:overflowPunct w:val="0"/>
        <w:spacing w:before="25" w:line="242" w:lineRule="auto"/>
        <w:ind w:left="1523" w:right="2061" w:hanging="331"/>
        <w:rPr>
          <w:color w:val="5E5E5E"/>
          <w:sz w:val="27"/>
          <w:szCs w:val="27"/>
        </w:rPr>
      </w:pPr>
      <w:r>
        <w:rPr>
          <w:color w:val="5E5E5E"/>
          <w:sz w:val="27"/>
          <w:szCs w:val="27"/>
        </w:rPr>
        <w:t>Did provider respect your choices about with whom to share your behavioral health</w:t>
      </w:r>
      <w:r>
        <w:rPr>
          <w:color w:val="5E5E5E"/>
          <w:spacing w:val="-25"/>
          <w:sz w:val="27"/>
          <w:szCs w:val="27"/>
        </w:rPr>
        <w:t xml:space="preserve"> </w:t>
      </w:r>
      <w:r>
        <w:rPr>
          <w:color w:val="5E5E5E"/>
          <w:sz w:val="27"/>
          <w:szCs w:val="27"/>
        </w:rPr>
        <w:t>information?</w:t>
      </w:r>
    </w:p>
    <w:p w:rsidR="002C5025" w:rsidRDefault="002C5025">
      <w:pPr>
        <w:pStyle w:val="BodyText"/>
        <w:kinsoku w:val="0"/>
        <w:overflowPunct w:val="0"/>
        <w:spacing w:before="9"/>
        <w:rPr>
          <w:rFonts w:ascii="Times New Roman" w:hAnsi="Times New Roman" w:cs="Times New Roman"/>
          <w:sz w:val="27"/>
          <w:szCs w:val="27"/>
        </w:rPr>
      </w:pPr>
    </w:p>
    <w:p w:rsidR="002C5025" w:rsidRDefault="002C5025">
      <w:pPr>
        <w:pStyle w:val="BodyText"/>
        <w:kinsoku w:val="0"/>
        <w:overflowPunct w:val="0"/>
        <w:ind w:left="126" w:right="1529"/>
        <w:rPr>
          <w:rFonts w:ascii="Times New Roman" w:hAnsi="Times New Roman" w:cs="Times New Roman"/>
          <w:color w:val="5E5E5E"/>
          <w:sz w:val="27"/>
          <w:szCs w:val="27"/>
        </w:rPr>
      </w:pPr>
      <w:r>
        <w:rPr>
          <w:rFonts w:ascii="Times New Roman" w:hAnsi="Times New Roman" w:cs="Times New Roman"/>
          <w:color w:val="5E5E5E"/>
          <w:sz w:val="27"/>
          <w:szCs w:val="27"/>
        </w:rPr>
        <w:t>Whatever outcome measurements are used, members should have a substantial role in their development.</w:t>
      </w:r>
    </w:p>
    <w:p w:rsidR="002C5025" w:rsidRDefault="002C5025">
      <w:pPr>
        <w:pStyle w:val="BodyText"/>
        <w:kinsoku w:val="0"/>
        <w:overflowPunct w:val="0"/>
        <w:spacing w:before="10"/>
        <w:rPr>
          <w:rFonts w:ascii="Times New Roman" w:hAnsi="Times New Roman" w:cs="Times New Roman"/>
          <w:sz w:val="27"/>
          <w:szCs w:val="27"/>
        </w:rPr>
      </w:pPr>
    </w:p>
    <w:p w:rsidR="002C5025" w:rsidRDefault="002C5025">
      <w:pPr>
        <w:pStyle w:val="BodyText"/>
        <w:kinsoku w:val="0"/>
        <w:overflowPunct w:val="0"/>
        <w:ind w:left="126" w:right="1992"/>
        <w:rPr>
          <w:rFonts w:ascii="Times New Roman" w:hAnsi="Times New Roman" w:cs="Times New Roman"/>
          <w:color w:val="5E5E5E"/>
          <w:sz w:val="27"/>
          <w:szCs w:val="27"/>
        </w:rPr>
      </w:pPr>
      <w:r>
        <w:rPr>
          <w:rFonts w:ascii="Times New Roman" w:hAnsi="Times New Roman" w:cs="Times New Roman"/>
          <w:color w:val="5E5E5E"/>
          <w:sz w:val="27"/>
          <w:szCs w:val="27"/>
        </w:rPr>
        <w:t>Areas of concern</w:t>
      </w:r>
    </w:p>
    <w:p w:rsidR="002C5025" w:rsidRDefault="002C5025">
      <w:pPr>
        <w:pStyle w:val="BodyText"/>
        <w:kinsoku w:val="0"/>
        <w:overflowPunct w:val="0"/>
        <w:rPr>
          <w:rFonts w:ascii="Times New Roman" w:hAnsi="Times New Roman" w:cs="Times New Roman"/>
          <w:sz w:val="21"/>
          <w:szCs w:val="21"/>
        </w:rPr>
      </w:pPr>
    </w:p>
    <w:p w:rsidR="002C5025" w:rsidRDefault="002C5025">
      <w:pPr>
        <w:pStyle w:val="BodyText"/>
        <w:kinsoku w:val="0"/>
        <w:overflowPunct w:val="0"/>
        <w:ind w:left="150" w:right="1992"/>
        <w:rPr>
          <w:rFonts w:ascii="Times New Roman" w:hAnsi="Times New Roman" w:cs="Times New Roman"/>
          <w:i/>
          <w:iCs/>
          <w:color w:val="5E5E5E"/>
          <w:sz w:val="27"/>
          <w:szCs w:val="27"/>
        </w:rPr>
      </w:pPr>
      <w:r>
        <w:rPr>
          <w:rFonts w:ascii="Times New Roman" w:hAnsi="Times New Roman" w:cs="Times New Roman"/>
          <w:i/>
          <w:iCs/>
          <w:color w:val="5E5E5E"/>
          <w:sz w:val="27"/>
          <w:szCs w:val="27"/>
        </w:rPr>
        <w:t>Under-service</w:t>
      </w:r>
    </w:p>
    <w:p w:rsidR="002C5025" w:rsidRDefault="002C5025">
      <w:pPr>
        <w:pStyle w:val="BodyText"/>
        <w:kinsoku w:val="0"/>
        <w:overflowPunct w:val="0"/>
        <w:spacing w:before="2"/>
        <w:rPr>
          <w:rFonts w:ascii="Times New Roman" w:hAnsi="Times New Roman" w:cs="Times New Roman"/>
          <w:i/>
          <w:iCs/>
        </w:rPr>
      </w:pPr>
    </w:p>
    <w:p w:rsidR="002C5025" w:rsidRDefault="00FB027C">
      <w:pPr>
        <w:pStyle w:val="BodyText"/>
        <w:kinsoku w:val="0"/>
        <w:overflowPunct w:val="0"/>
        <w:spacing w:before="1" w:line="283" w:lineRule="auto"/>
        <w:ind w:left="126" w:right="1745"/>
        <w:rPr>
          <w:rFonts w:ascii="Times New Roman" w:hAnsi="Times New Roman" w:cs="Times New Roman"/>
          <w:color w:val="5E5E5E"/>
          <w:sz w:val="27"/>
          <w:szCs w:val="27"/>
        </w:rPr>
      </w:pPr>
      <w:r>
        <w:rPr>
          <w:noProof/>
        </w:rPr>
        <mc:AlternateContent>
          <mc:Choice Requires="wps">
            <w:drawing>
              <wp:anchor distT="0" distB="0" distL="114300" distR="114300" simplePos="0" relativeHeight="251775488" behindDoc="0" locked="0" layoutInCell="0" allowOverlap="1">
                <wp:simplePos x="0" y="0"/>
                <wp:positionH relativeFrom="page">
                  <wp:posOffset>7631430</wp:posOffset>
                </wp:positionH>
                <wp:positionV relativeFrom="paragraph">
                  <wp:posOffset>513080</wp:posOffset>
                </wp:positionV>
                <wp:extent cx="12700" cy="440690"/>
                <wp:effectExtent l="0" t="0" r="0" b="0"/>
                <wp:wrapNone/>
                <wp:docPr id="136" name="Freeform 7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440690"/>
                        </a:xfrm>
                        <a:custGeom>
                          <a:avLst/>
                          <a:gdLst>
                            <a:gd name="T0" fmla="*/ 0 w 20"/>
                            <a:gd name="T1" fmla="*/ 693 h 694"/>
                            <a:gd name="T2" fmla="*/ 0 w 20"/>
                            <a:gd name="T3" fmla="*/ 0 h 694"/>
                          </a:gdLst>
                          <a:ahLst/>
                          <a:cxnLst>
                            <a:cxn ang="0">
                              <a:pos x="T0" y="T1"/>
                            </a:cxn>
                            <a:cxn ang="0">
                              <a:pos x="T2" y="T3"/>
                            </a:cxn>
                          </a:cxnLst>
                          <a:rect l="0" t="0" r="r" b="b"/>
                          <a:pathLst>
                            <a:path w="20" h="694">
                              <a:moveTo>
                                <a:pt x="0" y="693"/>
                              </a:moveTo>
                              <a:lnTo>
                                <a:pt x="0" y="0"/>
                              </a:lnTo>
                            </a:path>
                          </a:pathLst>
                        </a:custGeom>
                        <a:noFill/>
                        <a:ln w="297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68" o:spid="_x0000_s1026" style="position:absolute;z-index:251775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00.9pt,75.05pt,600.9pt,40.4pt" coordsize="20,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" o:allowincell="f" filled="f" strokeweight=".08253mm">
                <v:path arrowok="t" o:connecttype="custom" o:connectlocs="0,440055;0,0" o:connectangles="0,0"/>
                <w10:wrap anchorx="page"/>
              </v:polyline>
            </w:pict>
          </mc:Fallback>
        </mc:AlternateContent>
      </w:r>
      <w:r w:rsidR="002C5025">
        <w:rPr>
          <w:rFonts w:ascii="Times New Roman" w:hAnsi="Times New Roman" w:cs="Times New Roman"/>
          <w:color w:val="5E5E5E"/>
          <w:sz w:val="27"/>
          <w:szCs w:val="27"/>
        </w:rPr>
        <w:t>Implicit in the restructuring plan is the presumption that ACOs will both improve outcomes and reduce costs.</w:t>
      </w:r>
      <w:r w:rsidR="002C5025">
        <w:rPr>
          <w:rFonts w:ascii="Times New Roman" w:hAnsi="Times New Roman" w:cs="Times New Roman"/>
          <w:color w:val="5E5E5E"/>
          <w:position w:val="7"/>
          <w:sz w:val="17"/>
          <w:szCs w:val="17"/>
        </w:rPr>
        <w:t xml:space="preserve">12 </w:t>
      </w:r>
      <w:r w:rsidR="002C5025">
        <w:rPr>
          <w:rFonts w:ascii="Times New Roman" w:hAnsi="Times New Roman" w:cs="Times New Roman"/>
          <w:color w:val="5E5E5E"/>
          <w:sz w:val="27"/>
          <w:szCs w:val="27"/>
        </w:rPr>
        <w:t>Capitated rates, shared savings, and even</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FB027C">
      <w:pPr>
        <w:pStyle w:val="BodyText"/>
        <w:kinsoku w:val="0"/>
        <w:overflowPunct w:val="0"/>
        <w:spacing w:before="3"/>
        <w:rPr>
          <w:rFonts w:ascii="Times New Roman" w:hAnsi="Times New Roman" w:cs="Times New Roman"/>
          <w:sz w:val="10"/>
          <w:szCs w:val="10"/>
        </w:rPr>
      </w:pPr>
      <w:r>
        <w:rPr>
          <w:noProof/>
        </w:rPr>
        <mc:AlternateContent>
          <mc:Choice Requires="wps">
            <w:drawing>
              <wp:anchor distT="0" distB="0" distL="0" distR="0" simplePos="0" relativeHeight="251776512" behindDoc="0" locked="0" layoutInCell="0" allowOverlap="1">
                <wp:simplePos x="0" y="0"/>
                <wp:positionH relativeFrom="page">
                  <wp:posOffset>1012825</wp:posOffset>
                </wp:positionH>
                <wp:positionV relativeFrom="paragraph">
                  <wp:posOffset>104775</wp:posOffset>
                </wp:positionV>
                <wp:extent cx="1779905" cy="12700"/>
                <wp:effectExtent l="0" t="0" r="0" b="0"/>
                <wp:wrapTopAndBottom/>
                <wp:docPr id="134" name="Freeform 7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0"/>
                        </a:xfrm>
                        <a:custGeom>
                          <a:avLst/>
                          <a:gdLst>
                            <a:gd name="T0" fmla="*/ 0 w 2803"/>
                            <a:gd name="T1" fmla="*/ 0 h 20"/>
                            <a:gd name="T2" fmla="*/ 2803 w 2803"/>
                            <a:gd name="T3" fmla="*/ 0 h 20"/>
                          </a:gdLst>
                          <a:ahLst/>
                          <a:cxnLst>
                            <a:cxn ang="0">
                              <a:pos x="T0" y="T1"/>
                            </a:cxn>
                            <a:cxn ang="0">
                              <a:pos x="T2" y="T3"/>
                            </a:cxn>
                          </a:cxnLst>
                          <a:rect l="0" t="0" r="r" b="b"/>
                          <a:pathLst>
                            <a:path w="2803" h="20">
                              <a:moveTo>
                                <a:pt x="0" y="0"/>
                              </a:moveTo>
                              <a:lnTo>
                                <a:pt x="2803" y="0"/>
                              </a:lnTo>
                            </a:path>
                          </a:pathLst>
                        </a:custGeom>
                        <a:noFill/>
                        <a:ln w="103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69" o:spid="_x0000_s1026" style="position:absolute;z-index:251776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9.75pt,8.25pt,219.9pt,8.25pt" coordsize="280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" o:allowincell="f" filled="f" strokeweight=".28819mm">
                <v:path arrowok="t" o:connecttype="custom" o:connectlocs="0,0;1779905,0" o:connectangles="0,0"/>
                <w10:wrap type="topAndBottom" anchorx="page"/>
              </v:polyline>
            </w:pict>
          </mc:Fallback>
        </mc:AlternateContent>
      </w:r>
    </w:p>
    <w:p w:rsidR="002C5025" w:rsidRDefault="002C5025">
      <w:pPr>
        <w:pStyle w:val="BodyText"/>
        <w:kinsoku w:val="0"/>
        <w:overflowPunct w:val="0"/>
        <w:spacing w:before="73"/>
        <w:ind w:left="116" w:right="1805" w:firstLine="9"/>
        <w:rPr>
          <w:rFonts w:ascii="Times New Roman" w:hAnsi="Times New Roman" w:cs="Times New Roman"/>
          <w:color w:val="5E5E5E"/>
          <w:sz w:val="21"/>
          <w:szCs w:val="21"/>
        </w:rPr>
      </w:pPr>
      <w:r>
        <w:rPr>
          <w:rFonts w:ascii="Times New Roman" w:hAnsi="Times New Roman" w:cs="Times New Roman"/>
          <w:color w:val="5E5E5E"/>
          <w:position w:val="5"/>
          <w:sz w:val="12"/>
          <w:szCs w:val="12"/>
        </w:rPr>
        <w:t xml:space="preserve">12 </w:t>
      </w:r>
      <w:r>
        <w:rPr>
          <w:rFonts w:ascii="Times New Roman" w:hAnsi="Times New Roman" w:cs="Times New Roman"/>
          <w:color w:val="5E5E5E"/>
          <w:sz w:val="21"/>
          <w:szCs w:val="21"/>
        </w:rPr>
        <w:t xml:space="preserve">We are disturbed that benefits under the fee-for-service plan will be reduced prior to </w:t>
      </w:r>
      <w:r>
        <w:rPr>
          <w:rFonts w:ascii="Times New Roman" w:hAnsi="Times New Roman" w:cs="Times New Roman"/>
          <w:color w:val="707170"/>
          <w:sz w:val="21"/>
          <w:szCs w:val="21"/>
        </w:rPr>
        <w:t xml:space="preserve">a </w:t>
      </w:r>
      <w:r>
        <w:rPr>
          <w:rFonts w:ascii="Times New Roman" w:hAnsi="Times New Roman" w:cs="Times New Roman"/>
          <w:color w:val="5E5E5E"/>
          <w:sz w:val="21"/>
          <w:szCs w:val="21"/>
        </w:rPr>
        <w:t xml:space="preserve">comparison of patient-reported outcomes under fee-for-service </w:t>
      </w:r>
      <w:r>
        <w:rPr>
          <w:rFonts w:ascii="Times New Roman" w:hAnsi="Times New Roman" w:cs="Times New Roman"/>
          <w:color w:val="707170"/>
          <w:sz w:val="21"/>
          <w:szCs w:val="21"/>
        </w:rPr>
        <w:t xml:space="preserve">and </w:t>
      </w:r>
      <w:r>
        <w:rPr>
          <w:rFonts w:ascii="Times New Roman" w:hAnsi="Times New Roman" w:cs="Times New Roman"/>
          <w:color w:val="5E5E5E"/>
          <w:sz w:val="21"/>
          <w:szCs w:val="21"/>
        </w:rPr>
        <w:t>ACO models.</w:t>
      </w:r>
    </w:p>
    <w:p w:rsidR="002C5025" w:rsidRDefault="002C5025">
      <w:pPr>
        <w:pStyle w:val="BodyText"/>
        <w:kinsoku w:val="0"/>
        <w:overflowPunct w:val="0"/>
        <w:spacing w:before="4"/>
        <w:rPr>
          <w:rFonts w:ascii="Times New Roman" w:hAnsi="Times New Roman" w:cs="Times New Roman"/>
          <w:sz w:val="11"/>
          <w:szCs w:val="11"/>
        </w:rPr>
      </w:pPr>
    </w:p>
    <w:p w:rsidR="002C5025" w:rsidRDefault="00FB027C">
      <w:pPr>
        <w:pStyle w:val="BodyText"/>
        <w:kinsoku w:val="0"/>
        <w:overflowPunct w:val="0"/>
        <w:spacing w:before="74"/>
        <w:ind w:right="1278"/>
        <w:jc w:val="center"/>
        <w:rPr>
          <w:rFonts w:ascii="Times New Roman" w:hAnsi="Times New Roman" w:cs="Times New Roman"/>
          <w:color w:val="606060"/>
          <w:w w:val="103"/>
          <w:sz w:val="21"/>
          <w:szCs w:val="21"/>
        </w:rPr>
      </w:pPr>
      <w:r>
        <w:rPr>
          <w:noProof/>
        </w:rPr>
        <mc:AlternateContent>
          <mc:Choice Requires="wps">
            <w:drawing>
              <wp:anchor distT="0" distB="0" distL="114300" distR="114300" simplePos="0" relativeHeight="251777536" behindDoc="0" locked="0" layoutInCell="0" allowOverlap="1">
                <wp:simplePos x="0" y="0"/>
                <wp:positionH relativeFrom="page">
                  <wp:posOffset>7631430</wp:posOffset>
                </wp:positionH>
                <wp:positionV relativeFrom="paragraph">
                  <wp:posOffset>135255</wp:posOffset>
                </wp:positionV>
                <wp:extent cx="12700" cy="581025"/>
                <wp:effectExtent l="0" t="0" r="0" b="0"/>
                <wp:wrapNone/>
                <wp:docPr id="132" name="Freeform 7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581025"/>
                        </a:xfrm>
                        <a:custGeom>
                          <a:avLst/>
                          <a:gdLst>
                            <a:gd name="T0" fmla="*/ 0 w 20"/>
                            <a:gd name="T1" fmla="*/ 914 h 915"/>
                            <a:gd name="T2" fmla="*/ 0 w 20"/>
                            <a:gd name="T3" fmla="*/ 0 h 915"/>
                          </a:gdLst>
                          <a:ahLst/>
                          <a:cxnLst>
                            <a:cxn ang="0">
                              <a:pos x="T0" y="T1"/>
                            </a:cxn>
                            <a:cxn ang="0">
                              <a:pos x="T2" y="T3"/>
                            </a:cxn>
                          </a:cxnLst>
                          <a:rect l="0" t="0" r="r" b="b"/>
                          <a:pathLst>
                            <a:path w="20" h="915">
                              <a:moveTo>
                                <a:pt x="0" y="914"/>
                              </a:moveTo>
                              <a:lnTo>
                                <a:pt x="0" y="0"/>
                              </a:lnTo>
                            </a:path>
                          </a:pathLst>
                        </a:custGeom>
                        <a:noFill/>
                        <a:ln w="44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70" o:spid="_x0000_s1026" style="position:absolute;z-index:251777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00.9pt,56.35pt,600.9pt,10.65pt" coordsize="20,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" o:allowincell="f" filled="f" strokeweight=".35pt">
                <v:path arrowok="t" o:connecttype="custom" o:connectlocs="0,580390;0,0" o:connectangles="0,0"/>
                <w10:wrap anchorx="page"/>
              </v:polyline>
            </w:pict>
          </mc:Fallback>
        </mc:AlternateContent>
      </w:r>
      <w:r w:rsidR="002C5025">
        <w:rPr>
          <w:rFonts w:ascii="Times New Roman" w:hAnsi="Times New Roman" w:cs="Times New Roman"/>
          <w:color w:val="606060"/>
          <w:w w:val="103"/>
          <w:sz w:val="21"/>
          <w:szCs w:val="21"/>
        </w:rPr>
        <w:t>6</w:t>
      </w:r>
    </w:p>
    <w:p w:rsidR="002C5025" w:rsidRDefault="002C5025">
      <w:pPr>
        <w:pStyle w:val="BodyText"/>
        <w:kinsoku w:val="0"/>
        <w:overflowPunct w:val="0"/>
        <w:spacing w:before="74"/>
        <w:ind w:right="1278"/>
        <w:jc w:val="center"/>
        <w:rPr>
          <w:rFonts w:ascii="Times New Roman" w:hAnsi="Times New Roman" w:cs="Times New Roman"/>
          <w:color w:val="606060"/>
          <w:w w:val="103"/>
          <w:sz w:val="21"/>
          <w:szCs w:val="21"/>
        </w:rPr>
        <w:sectPr w:rsidR="002C5025">
          <w:pgSz w:w="12240" w:h="15840"/>
          <w:pgMar w:top="1420" w:right="100" w:bottom="280" w:left="1460" w:header="720" w:footer="720" w:gutter="0"/>
          <w:cols w:space="720"/>
          <w:noEndnote/>
        </w:sectPr>
      </w:pPr>
    </w:p>
    <w:p w:rsidR="002C5025" w:rsidRDefault="002C5025">
      <w:pPr>
        <w:pStyle w:val="BodyText"/>
        <w:kinsoku w:val="0"/>
        <w:overflowPunct w:val="0"/>
        <w:spacing w:before="49" w:line="283" w:lineRule="auto"/>
        <w:ind w:left="128" w:right="1617" w:hanging="15"/>
        <w:rPr>
          <w:rFonts w:ascii="Times New Roman" w:hAnsi="Times New Roman" w:cs="Times New Roman"/>
          <w:color w:val="606060"/>
          <w:sz w:val="27"/>
          <w:szCs w:val="27"/>
        </w:rPr>
      </w:pPr>
      <w:r>
        <w:rPr>
          <w:rFonts w:ascii="Times New Roman" w:hAnsi="Times New Roman" w:cs="Times New Roman"/>
          <w:color w:val="606060"/>
          <w:sz w:val="27"/>
          <w:szCs w:val="27"/>
        </w:rPr>
        <w:lastRenderedPageBreak/>
        <w:t xml:space="preserve">performance bonuses (depending on the metrics used </w:t>
      </w:r>
      <w:r>
        <w:rPr>
          <w:rFonts w:ascii="Arial" w:hAnsi="Arial" w:cs="Arial"/>
          <w:color w:val="606060"/>
          <w:position w:val="6"/>
          <w:sz w:val="17"/>
          <w:szCs w:val="17"/>
        </w:rPr>
        <w:t>13</w:t>
      </w:r>
      <w:r>
        <w:rPr>
          <w:rFonts w:ascii="Arial" w:hAnsi="Arial" w:cs="Arial"/>
          <w:color w:val="606060"/>
          <w:sz w:val="17"/>
          <w:szCs w:val="17"/>
        </w:rPr>
        <w:t xml:space="preserve">) </w:t>
      </w:r>
      <w:r>
        <w:rPr>
          <w:rFonts w:ascii="Times New Roman" w:hAnsi="Times New Roman" w:cs="Times New Roman"/>
          <w:color w:val="606060"/>
          <w:sz w:val="27"/>
          <w:szCs w:val="27"/>
        </w:rPr>
        <w:t>risk the denial of needed services to obtain cost reductions. Therefore, MassHealth must closely monitor:</w:t>
      </w:r>
    </w:p>
    <w:p w:rsidR="002C5025" w:rsidRDefault="002C5025">
      <w:pPr>
        <w:pStyle w:val="ListParagraph"/>
        <w:numPr>
          <w:ilvl w:val="0"/>
          <w:numId w:val="27"/>
        </w:numPr>
        <w:tabs>
          <w:tab w:val="left" w:pos="1178"/>
        </w:tabs>
        <w:kinsoku w:val="0"/>
        <w:overflowPunct w:val="0"/>
        <w:spacing w:before="231" w:line="276" w:lineRule="auto"/>
        <w:ind w:right="1531" w:hanging="343"/>
        <w:rPr>
          <w:color w:val="606060"/>
          <w:sz w:val="27"/>
          <w:szCs w:val="27"/>
        </w:rPr>
      </w:pPr>
      <w:r>
        <w:rPr>
          <w:color w:val="606060"/>
          <w:sz w:val="27"/>
          <w:szCs w:val="27"/>
        </w:rPr>
        <w:t xml:space="preserve">Claims data and complaints, as well as member grievances and </w:t>
      </w:r>
      <w:proofErr w:type="spellStart"/>
      <w:r>
        <w:rPr>
          <w:color w:val="606060"/>
          <w:sz w:val="27"/>
          <w:szCs w:val="27"/>
        </w:rPr>
        <w:t>appeais</w:t>
      </w:r>
      <w:proofErr w:type="spellEnd"/>
      <w:r>
        <w:rPr>
          <w:color w:val="606060"/>
          <w:sz w:val="27"/>
          <w:szCs w:val="27"/>
        </w:rPr>
        <w:t xml:space="preserve"> to unearth signs of</w:t>
      </w:r>
      <w:r>
        <w:rPr>
          <w:color w:val="606060"/>
          <w:spacing w:val="-14"/>
          <w:sz w:val="27"/>
          <w:szCs w:val="27"/>
        </w:rPr>
        <w:t xml:space="preserve"> </w:t>
      </w:r>
      <w:r>
        <w:rPr>
          <w:color w:val="606060"/>
          <w:sz w:val="27"/>
          <w:szCs w:val="27"/>
        </w:rPr>
        <w:t>under-service.</w:t>
      </w:r>
    </w:p>
    <w:p w:rsidR="002C5025" w:rsidRDefault="002C5025">
      <w:pPr>
        <w:pStyle w:val="ListParagraph"/>
        <w:numPr>
          <w:ilvl w:val="0"/>
          <w:numId w:val="27"/>
        </w:numPr>
        <w:tabs>
          <w:tab w:val="left" w:pos="1178"/>
        </w:tabs>
        <w:kinsoku w:val="0"/>
        <w:overflowPunct w:val="0"/>
        <w:spacing w:before="33" w:line="280" w:lineRule="auto"/>
        <w:ind w:right="1683" w:hanging="343"/>
        <w:jc w:val="both"/>
        <w:rPr>
          <w:rFonts w:ascii="Arial" w:hAnsi="Arial" w:cs="Arial"/>
          <w:color w:val="606060"/>
          <w:position w:val="6"/>
          <w:sz w:val="17"/>
          <w:szCs w:val="17"/>
        </w:rPr>
      </w:pPr>
      <w:r>
        <w:rPr>
          <w:color w:val="606060"/>
          <w:sz w:val="27"/>
          <w:szCs w:val="27"/>
        </w:rPr>
        <w:t>Claims and/or data on the use of capitated payments and DSRIP funds, all of which should be presented to MassHealth in a uniform fashion by ACOs and Community Partners of all</w:t>
      </w:r>
      <w:r>
        <w:rPr>
          <w:color w:val="606060"/>
          <w:spacing w:val="21"/>
          <w:sz w:val="27"/>
          <w:szCs w:val="27"/>
        </w:rPr>
        <w:t xml:space="preserve"> </w:t>
      </w:r>
      <w:r>
        <w:rPr>
          <w:color w:val="606060"/>
          <w:sz w:val="27"/>
          <w:szCs w:val="27"/>
        </w:rPr>
        <w:t>types.</w:t>
      </w:r>
      <w:r>
        <w:rPr>
          <w:rFonts w:ascii="Arial" w:hAnsi="Arial" w:cs="Arial"/>
          <w:color w:val="606060"/>
          <w:position w:val="6"/>
          <w:sz w:val="17"/>
          <w:szCs w:val="17"/>
        </w:rPr>
        <w:t>14</w:t>
      </w:r>
    </w:p>
    <w:p w:rsidR="002C5025" w:rsidRDefault="002C5025">
      <w:pPr>
        <w:pStyle w:val="ListParagraph"/>
        <w:numPr>
          <w:ilvl w:val="0"/>
          <w:numId w:val="27"/>
        </w:numPr>
        <w:tabs>
          <w:tab w:val="left" w:pos="1183"/>
        </w:tabs>
        <w:kinsoku w:val="0"/>
        <w:overflowPunct w:val="0"/>
        <w:spacing w:before="25" w:line="283" w:lineRule="auto"/>
        <w:ind w:left="1182" w:right="1598" w:hanging="353"/>
        <w:rPr>
          <w:color w:val="606060"/>
          <w:sz w:val="27"/>
          <w:szCs w:val="27"/>
        </w:rPr>
      </w:pPr>
      <w:r>
        <w:rPr>
          <w:color w:val="606060"/>
          <w:sz w:val="27"/>
          <w:szCs w:val="27"/>
        </w:rPr>
        <w:t xml:space="preserve">Quality measurements must not be process measurements (e.g., member appointment with PCP within X days of hospital discharge </w:t>
      </w:r>
      <w:r>
        <w:rPr>
          <w:rFonts w:ascii="Arial" w:hAnsi="Arial" w:cs="Arial"/>
          <w:color w:val="606060"/>
          <w:spacing w:val="-4"/>
          <w:position w:val="6"/>
          <w:sz w:val="17"/>
          <w:szCs w:val="17"/>
        </w:rPr>
        <w:t>15</w:t>
      </w:r>
      <w:r>
        <w:rPr>
          <w:rFonts w:ascii="Arial" w:hAnsi="Arial" w:cs="Arial"/>
          <w:color w:val="606060"/>
          <w:spacing w:val="-4"/>
          <w:sz w:val="17"/>
          <w:szCs w:val="17"/>
        </w:rPr>
        <w:t xml:space="preserve">) </w:t>
      </w:r>
      <w:r>
        <w:rPr>
          <w:color w:val="606060"/>
          <w:sz w:val="27"/>
          <w:szCs w:val="27"/>
        </w:rPr>
        <w:t>or data that lends itself to manipulation by denial of referral to or authorization of necessary services (e.g., all-cause readmissions vs.</w:t>
      </w:r>
      <w:r>
        <w:rPr>
          <w:color w:val="606060"/>
          <w:spacing w:val="6"/>
          <w:sz w:val="27"/>
          <w:szCs w:val="27"/>
        </w:rPr>
        <w:t xml:space="preserve"> </w:t>
      </w:r>
      <w:r>
        <w:rPr>
          <w:color w:val="606060"/>
          <w:sz w:val="27"/>
          <w:szCs w:val="27"/>
        </w:rPr>
        <w:t>preventable</w:t>
      </w:r>
    </w:p>
    <w:p w:rsidR="002C5025" w:rsidRDefault="002C5025">
      <w:pPr>
        <w:pStyle w:val="BodyText"/>
        <w:kinsoku w:val="0"/>
        <w:overflowPunct w:val="0"/>
        <w:rPr>
          <w:rFonts w:ascii="Times New Roman" w:hAnsi="Times New Roman" w:cs="Times New Roman"/>
          <w:sz w:val="20"/>
          <w:szCs w:val="20"/>
        </w:rPr>
      </w:pPr>
    </w:p>
    <w:p w:rsidR="002C5025" w:rsidRDefault="00FB027C">
      <w:pPr>
        <w:pStyle w:val="BodyText"/>
        <w:kinsoku w:val="0"/>
        <w:overflowPunct w:val="0"/>
        <w:spacing w:before="1"/>
        <w:rPr>
          <w:rFonts w:ascii="Times New Roman" w:hAnsi="Times New Roman" w:cs="Times New Roman"/>
          <w:sz w:val="12"/>
          <w:szCs w:val="12"/>
        </w:rPr>
      </w:pPr>
      <w:r>
        <w:rPr>
          <w:noProof/>
        </w:rPr>
        <mc:AlternateContent>
          <mc:Choice Requires="wps">
            <w:drawing>
              <wp:anchor distT="0" distB="0" distL="0" distR="0" simplePos="0" relativeHeight="251778560" behindDoc="0" locked="0" layoutInCell="0" allowOverlap="1">
                <wp:simplePos x="0" y="0"/>
                <wp:positionH relativeFrom="page">
                  <wp:posOffset>1009650</wp:posOffset>
                </wp:positionH>
                <wp:positionV relativeFrom="paragraph">
                  <wp:posOffset>118110</wp:posOffset>
                </wp:positionV>
                <wp:extent cx="1792605" cy="12700"/>
                <wp:effectExtent l="0" t="0" r="0" b="0"/>
                <wp:wrapTopAndBottom/>
                <wp:docPr id="130" name="Freeform 7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92605" cy="12700"/>
                        </a:xfrm>
                        <a:custGeom>
                          <a:avLst/>
                          <a:gdLst>
                            <a:gd name="T0" fmla="*/ 0 w 2823"/>
                            <a:gd name="T1" fmla="*/ 0 h 20"/>
                            <a:gd name="T2" fmla="*/ 2823 w 2823"/>
                            <a:gd name="T3" fmla="*/ 0 h 20"/>
                          </a:gdLst>
                          <a:ahLst/>
                          <a:cxnLst>
                            <a:cxn ang="0">
                              <a:pos x="T0" y="T1"/>
                            </a:cxn>
                            <a:cxn ang="0">
                              <a:pos x="T2" y="T3"/>
                            </a:cxn>
                          </a:cxnLst>
                          <a:rect l="0" t="0" r="r" b="b"/>
                          <a:pathLst>
                            <a:path w="2823" h="20">
                              <a:moveTo>
                                <a:pt x="0" y="0"/>
                              </a:moveTo>
                              <a:lnTo>
                                <a:pt x="2823" y="0"/>
                              </a:lnTo>
                            </a:path>
                          </a:pathLst>
                        </a:custGeom>
                        <a:noFill/>
                        <a:ln w="104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71" o:spid="_x0000_s1026" style="position:absolute;z-index:251778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9.5pt,9.3pt,220.65pt,9.3pt" coordsize="282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" o:allowincell="f" filled="f" strokeweight=".29033mm">
                <v:path arrowok="t" o:connecttype="custom" o:connectlocs="0,0;1792605,0" o:connectangles="0,0"/>
                <w10:wrap type="topAndBottom" anchorx="page"/>
              </v:polyline>
            </w:pict>
          </mc:Fallback>
        </mc:AlternateContent>
      </w:r>
    </w:p>
    <w:p w:rsidR="002C5025" w:rsidRDefault="002C5025">
      <w:pPr>
        <w:pStyle w:val="BodyText"/>
        <w:kinsoku w:val="0"/>
        <w:overflowPunct w:val="0"/>
        <w:spacing w:before="75"/>
        <w:ind w:left="104" w:right="1617" w:firstLine="14"/>
        <w:rPr>
          <w:rFonts w:ascii="Times New Roman" w:hAnsi="Times New Roman" w:cs="Times New Roman"/>
          <w:color w:val="606060"/>
          <w:sz w:val="21"/>
          <w:szCs w:val="21"/>
        </w:rPr>
      </w:pPr>
      <w:r>
        <w:rPr>
          <w:rFonts w:ascii="Times New Roman" w:hAnsi="Times New Roman" w:cs="Times New Roman"/>
          <w:color w:val="606060"/>
          <w:position w:val="5"/>
          <w:sz w:val="12"/>
          <w:szCs w:val="12"/>
        </w:rPr>
        <w:t xml:space="preserve">13 </w:t>
      </w:r>
      <w:r>
        <w:rPr>
          <w:rFonts w:ascii="Times New Roman" w:hAnsi="Times New Roman" w:cs="Times New Roman"/>
          <w:color w:val="606060"/>
          <w:sz w:val="21"/>
          <w:szCs w:val="21"/>
        </w:rPr>
        <w:t xml:space="preserve">Studies have shown that paying bonuses for performing processes can lead to the neglect of care that is not incentivized. Campbell et al., </w:t>
      </w:r>
      <w:r>
        <w:rPr>
          <w:rFonts w:ascii="Times New Roman" w:hAnsi="Times New Roman" w:cs="Times New Roman"/>
          <w:i/>
          <w:iCs/>
          <w:color w:val="606060"/>
          <w:sz w:val="21"/>
          <w:szCs w:val="21"/>
        </w:rPr>
        <w:t xml:space="preserve">Effects of </w:t>
      </w:r>
      <w:proofErr w:type="spellStart"/>
      <w:r>
        <w:rPr>
          <w:rFonts w:ascii="Times New Roman" w:hAnsi="Times New Roman" w:cs="Times New Roman"/>
          <w:i/>
          <w:iCs/>
          <w:color w:val="606060"/>
          <w:sz w:val="21"/>
          <w:szCs w:val="21"/>
        </w:rPr>
        <w:t>Payfor</w:t>
      </w:r>
      <w:proofErr w:type="spellEnd"/>
      <w:r>
        <w:rPr>
          <w:rFonts w:ascii="Times New Roman" w:hAnsi="Times New Roman" w:cs="Times New Roman"/>
          <w:i/>
          <w:iCs/>
          <w:color w:val="606060"/>
          <w:sz w:val="21"/>
          <w:szCs w:val="21"/>
        </w:rPr>
        <w:t xml:space="preserve"> Performance on the Quality </w:t>
      </w:r>
      <w:r>
        <w:rPr>
          <w:rFonts w:ascii="Times New Roman" w:hAnsi="Times New Roman" w:cs="Times New Roman"/>
          <w:i/>
          <w:iCs/>
          <w:color w:val="707170"/>
          <w:sz w:val="21"/>
          <w:szCs w:val="21"/>
        </w:rPr>
        <w:t xml:space="preserve">of </w:t>
      </w:r>
      <w:r>
        <w:rPr>
          <w:rFonts w:ascii="Times New Roman" w:hAnsi="Times New Roman" w:cs="Times New Roman"/>
          <w:i/>
          <w:iCs/>
          <w:color w:val="606060"/>
          <w:sz w:val="21"/>
          <w:szCs w:val="21"/>
        </w:rPr>
        <w:t xml:space="preserve">Primary Care in </w:t>
      </w:r>
      <w:r>
        <w:rPr>
          <w:rFonts w:ascii="Times New Roman" w:hAnsi="Times New Roman" w:cs="Times New Roman"/>
          <w:i/>
          <w:iCs/>
          <w:color w:val="707170"/>
          <w:sz w:val="21"/>
          <w:szCs w:val="21"/>
        </w:rPr>
        <w:t xml:space="preserve">England, </w:t>
      </w:r>
      <w:r>
        <w:rPr>
          <w:rFonts w:ascii="Times New Roman" w:hAnsi="Times New Roman" w:cs="Times New Roman"/>
          <w:color w:val="606060"/>
          <w:sz w:val="21"/>
          <w:szCs w:val="21"/>
        </w:rPr>
        <w:t xml:space="preserve">361 New </w:t>
      </w:r>
      <w:r>
        <w:rPr>
          <w:rFonts w:ascii="Times New Roman" w:hAnsi="Times New Roman" w:cs="Times New Roman"/>
          <w:color w:val="707170"/>
          <w:sz w:val="21"/>
          <w:szCs w:val="21"/>
        </w:rPr>
        <w:t xml:space="preserve">Eng. </w:t>
      </w:r>
      <w:r>
        <w:rPr>
          <w:rFonts w:ascii="Times New Roman" w:hAnsi="Times New Roman" w:cs="Times New Roman"/>
          <w:color w:val="606060"/>
        </w:rPr>
        <w:t xml:space="preserve">J. </w:t>
      </w:r>
      <w:r>
        <w:rPr>
          <w:rFonts w:ascii="Times New Roman" w:hAnsi="Times New Roman" w:cs="Times New Roman"/>
          <w:color w:val="606060"/>
          <w:sz w:val="21"/>
          <w:szCs w:val="21"/>
        </w:rPr>
        <w:t>Med. 368  (2009).</w:t>
      </w:r>
    </w:p>
    <w:p w:rsidR="002C5025" w:rsidRDefault="002C5025">
      <w:pPr>
        <w:pStyle w:val="BodyText"/>
        <w:kinsoku w:val="0"/>
        <w:overflowPunct w:val="0"/>
        <w:spacing w:before="7"/>
        <w:rPr>
          <w:rFonts w:ascii="Times New Roman" w:hAnsi="Times New Roman" w:cs="Times New Roman"/>
          <w:sz w:val="23"/>
          <w:szCs w:val="23"/>
        </w:rPr>
      </w:pPr>
    </w:p>
    <w:p w:rsidR="002C5025" w:rsidRDefault="002C5025">
      <w:pPr>
        <w:pStyle w:val="BodyText"/>
        <w:kinsoku w:val="0"/>
        <w:overflowPunct w:val="0"/>
        <w:spacing w:before="1" w:line="247" w:lineRule="auto"/>
        <w:ind w:left="109" w:right="1617" w:firstLine="19"/>
        <w:rPr>
          <w:rFonts w:ascii="Times New Roman" w:hAnsi="Times New Roman" w:cs="Times New Roman"/>
          <w:color w:val="606060"/>
          <w:sz w:val="21"/>
          <w:szCs w:val="21"/>
        </w:rPr>
      </w:pPr>
      <w:r>
        <w:rPr>
          <w:rFonts w:ascii="Times New Roman" w:hAnsi="Times New Roman" w:cs="Times New Roman"/>
          <w:color w:val="606060"/>
          <w:position w:val="5"/>
          <w:sz w:val="13"/>
          <w:szCs w:val="13"/>
        </w:rPr>
        <w:t xml:space="preserve">14 </w:t>
      </w:r>
      <w:r>
        <w:rPr>
          <w:rFonts w:ascii="Times New Roman" w:hAnsi="Times New Roman" w:cs="Times New Roman"/>
          <w:color w:val="606060"/>
          <w:sz w:val="21"/>
          <w:szCs w:val="21"/>
        </w:rPr>
        <w:t xml:space="preserve">Massachusetts Behavioral Health Partnership (MBHP), for example, reports claims data to MassHealth for each individual service (not aggregated  by categories  such as "inpatient" and </w:t>
      </w:r>
      <w:r>
        <w:rPr>
          <w:rFonts w:ascii="Times New Roman" w:hAnsi="Times New Roman" w:cs="Times New Roman"/>
          <w:color w:val="707170"/>
          <w:spacing w:val="-3"/>
          <w:sz w:val="21"/>
          <w:szCs w:val="21"/>
        </w:rPr>
        <w:t xml:space="preserve">"outpatient") </w:t>
      </w:r>
      <w:r>
        <w:rPr>
          <w:rFonts w:ascii="Times New Roman" w:hAnsi="Times New Roman" w:cs="Times New Roman"/>
          <w:color w:val="606060"/>
          <w:sz w:val="21"/>
          <w:szCs w:val="21"/>
        </w:rPr>
        <w:t xml:space="preserve">broken down by units utilized, cost, number of unduplicated recipients using the service, age of recipients, and total enrolled members. Other categories may be substituted or added for the ACOs and Community Partners. </w:t>
      </w:r>
      <w:r>
        <w:rPr>
          <w:rFonts w:ascii="Arial" w:hAnsi="Arial" w:cs="Arial"/>
          <w:color w:val="606060"/>
          <w:sz w:val="20"/>
          <w:szCs w:val="20"/>
        </w:rPr>
        <w:t xml:space="preserve">It </w:t>
      </w:r>
      <w:r>
        <w:rPr>
          <w:rFonts w:ascii="Times New Roman" w:hAnsi="Times New Roman" w:cs="Times New Roman"/>
          <w:color w:val="606060"/>
          <w:sz w:val="21"/>
          <w:szCs w:val="21"/>
        </w:rPr>
        <w:t xml:space="preserve">is particularly important to track the use of flexible services </w:t>
      </w:r>
      <w:r>
        <w:rPr>
          <w:rFonts w:ascii="Times New Roman" w:hAnsi="Times New Roman" w:cs="Times New Roman"/>
          <w:color w:val="707170"/>
          <w:sz w:val="21"/>
          <w:szCs w:val="21"/>
        </w:rPr>
        <w:t xml:space="preserve">and </w:t>
      </w:r>
      <w:r>
        <w:rPr>
          <w:rFonts w:ascii="Times New Roman" w:hAnsi="Times New Roman" w:cs="Times New Roman"/>
          <w:color w:val="606060"/>
          <w:sz w:val="21"/>
          <w:szCs w:val="21"/>
        </w:rPr>
        <w:t xml:space="preserve">Community Partners, as each of </w:t>
      </w:r>
      <w:r>
        <w:rPr>
          <w:rFonts w:ascii="Times New Roman" w:hAnsi="Times New Roman" w:cs="Times New Roman"/>
          <w:color w:val="707170"/>
          <w:sz w:val="21"/>
          <w:szCs w:val="21"/>
        </w:rPr>
        <w:t xml:space="preserve">these </w:t>
      </w:r>
      <w:r>
        <w:rPr>
          <w:rFonts w:ascii="Times New Roman" w:hAnsi="Times New Roman" w:cs="Times New Roman"/>
          <w:color w:val="606060"/>
          <w:sz w:val="21"/>
          <w:szCs w:val="21"/>
        </w:rPr>
        <w:t xml:space="preserve">may be the keys to improving outcomes and the course of health care costs. Uniformity of claims and data presentation  </w:t>
      </w:r>
      <w:r>
        <w:rPr>
          <w:rFonts w:ascii="Times New Roman" w:hAnsi="Times New Roman" w:cs="Times New Roman"/>
          <w:color w:val="707170"/>
          <w:sz w:val="21"/>
          <w:szCs w:val="21"/>
        </w:rPr>
        <w:t xml:space="preserve">is </w:t>
      </w:r>
      <w:r>
        <w:rPr>
          <w:rFonts w:ascii="Times New Roman" w:hAnsi="Times New Roman" w:cs="Times New Roman"/>
          <w:color w:val="606060"/>
          <w:sz w:val="21"/>
          <w:szCs w:val="21"/>
        </w:rPr>
        <w:t xml:space="preserve">essential for </w:t>
      </w:r>
      <w:r>
        <w:rPr>
          <w:rFonts w:ascii="Times New Roman" w:hAnsi="Times New Roman" w:cs="Times New Roman"/>
          <w:color w:val="707170"/>
          <w:sz w:val="21"/>
          <w:szCs w:val="21"/>
        </w:rPr>
        <w:t xml:space="preserve">comparability </w:t>
      </w:r>
      <w:r>
        <w:rPr>
          <w:rFonts w:ascii="Times New Roman" w:hAnsi="Times New Roman" w:cs="Times New Roman"/>
          <w:color w:val="606060"/>
          <w:sz w:val="21"/>
          <w:szCs w:val="21"/>
        </w:rPr>
        <w:t>of models of care and the ACOs</w:t>
      </w:r>
      <w:r>
        <w:rPr>
          <w:rFonts w:ascii="Times New Roman" w:hAnsi="Times New Roman" w:cs="Times New Roman"/>
          <w:color w:val="606060"/>
          <w:spacing w:val="46"/>
          <w:sz w:val="21"/>
          <w:szCs w:val="21"/>
        </w:rPr>
        <w:t xml:space="preserve"> </w:t>
      </w:r>
      <w:r>
        <w:rPr>
          <w:rFonts w:ascii="Times New Roman" w:hAnsi="Times New Roman" w:cs="Times New Roman"/>
          <w:color w:val="606060"/>
          <w:sz w:val="21"/>
          <w:szCs w:val="21"/>
        </w:rPr>
        <w:t>themselves.</w:t>
      </w:r>
    </w:p>
    <w:p w:rsidR="002C5025" w:rsidRDefault="002C5025">
      <w:pPr>
        <w:pStyle w:val="BodyText"/>
        <w:kinsoku w:val="0"/>
        <w:overflowPunct w:val="0"/>
        <w:spacing w:before="2"/>
        <w:rPr>
          <w:rFonts w:ascii="Times New Roman" w:hAnsi="Times New Roman" w:cs="Times New Roman"/>
        </w:rPr>
      </w:pPr>
    </w:p>
    <w:p w:rsidR="002C5025" w:rsidRDefault="002C5025">
      <w:pPr>
        <w:pStyle w:val="BodyText"/>
        <w:kinsoku w:val="0"/>
        <w:overflowPunct w:val="0"/>
        <w:spacing w:line="247" w:lineRule="auto"/>
        <w:ind w:left="109" w:right="1660" w:firstLine="14"/>
        <w:jc w:val="both"/>
        <w:rPr>
          <w:rFonts w:ascii="Times New Roman" w:hAnsi="Times New Roman" w:cs="Times New Roman"/>
          <w:color w:val="606060"/>
          <w:sz w:val="21"/>
          <w:szCs w:val="21"/>
        </w:rPr>
      </w:pPr>
      <w:r>
        <w:rPr>
          <w:rFonts w:ascii="Times New Roman" w:hAnsi="Times New Roman" w:cs="Times New Roman"/>
          <w:color w:val="606060"/>
          <w:position w:val="5"/>
          <w:sz w:val="14"/>
          <w:szCs w:val="14"/>
        </w:rPr>
        <w:t xml:space="preserve">15 </w:t>
      </w:r>
      <w:r>
        <w:rPr>
          <w:rFonts w:ascii="Times New Roman" w:hAnsi="Times New Roman" w:cs="Times New Roman"/>
          <w:color w:val="606060"/>
          <w:sz w:val="21"/>
          <w:szCs w:val="21"/>
        </w:rPr>
        <w:t>For example, "follow-up after hospitalization for mental  illness." (53) This measure  does not address the quality of the follow-up or its usefulness to the individual. Furthermore, hospitalization follow-up is already established  as a basic standard of care and was an MBHP bonus criterion over a decade  ago.</w:t>
      </w:r>
    </w:p>
    <w:p w:rsidR="002C5025" w:rsidRDefault="002C5025">
      <w:pPr>
        <w:pStyle w:val="BodyText"/>
        <w:kinsoku w:val="0"/>
        <w:overflowPunct w:val="0"/>
        <w:spacing w:line="247" w:lineRule="auto"/>
        <w:ind w:left="104" w:right="1542" w:firstLine="5"/>
        <w:rPr>
          <w:rFonts w:ascii="Times New Roman" w:hAnsi="Times New Roman" w:cs="Times New Roman"/>
          <w:color w:val="606060"/>
          <w:sz w:val="21"/>
          <w:szCs w:val="21"/>
        </w:rPr>
      </w:pPr>
      <w:r>
        <w:rPr>
          <w:rFonts w:ascii="Times New Roman" w:hAnsi="Times New Roman" w:cs="Times New Roman"/>
          <w:color w:val="606060"/>
          <w:sz w:val="21"/>
          <w:szCs w:val="21"/>
        </w:rPr>
        <w:t xml:space="preserve">Likewise, the performance of weight assessment (including </w:t>
      </w:r>
      <w:r>
        <w:rPr>
          <w:rFonts w:ascii="Times New Roman" w:hAnsi="Times New Roman" w:cs="Times New Roman"/>
          <w:color w:val="707170"/>
          <w:sz w:val="21"/>
          <w:szCs w:val="21"/>
        </w:rPr>
        <w:t xml:space="preserve">adult </w:t>
      </w:r>
      <w:r>
        <w:rPr>
          <w:rFonts w:ascii="Times New Roman" w:hAnsi="Times New Roman" w:cs="Times New Roman"/>
          <w:color w:val="606060"/>
          <w:sz w:val="21"/>
          <w:szCs w:val="21"/>
        </w:rPr>
        <w:t xml:space="preserve">BMI) </w:t>
      </w:r>
      <w:r>
        <w:rPr>
          <w:rFonts w:ascii="Times New Roman" w:hAnsi="Times New Roman" w:cs="Times New Roman"/>
          <w:color w:val="707170"/>
          <w:sz w:val="21"/>
          <w:szCs w:val="21"/>
        </w:rPr>
        <w:t xml:space="preserve">and </w:t>
      </w:r>
      <w:r>
        <w:rPr>
          <w:rFonts w:ascii="Times New Roman" w:hAnsi="Times New Roman" w:cs="Times New Roman"/>
          <w:color w:val="606060"/>
          <w:sz w:val="21"/>
          <w:szCs w:val="21"/>
        </w:rPr>
        <w:t xml:space="preserve">counseling for nutrition and physical activity </w:t>
      </w:r>
      <w:r>
        <w:rPr>
          <w:rFonts w:ascii="Times New Roman" w:hAnsi="Times New Roman" w:cs="Times New Roman"/>
          <w:color w:val="707170"/>
          <w:sz w:val="21"/>
          <w:szCs w:val="21"/>
        </w:rPr>
        <w:t xml:space="preserve">for </w:t>
      </w:r>
      <w:r>
        <w:rPr>
          <w:rFonts w:ascii="Times New Roman" w:hAnsi="Times New Roman" w:cs="Times New Roman"/>
          <w:color w:val="606060"/>
          <w:sz w:val="21"/>
          <w:szCs w:val="21"/>
        </w:rPr>
        <w:t xml:space="preserve">children/adolescents is also of questionable value </w:t>
      </w:r>
      <w:r>
        <w:rPr>
          <w:rFonts w:ascii="Times New Roman" w:hAnsi="Times New Roman" w:cs="Times New Roman"/>
          <w:color w:val="707170"/>
          <w:sz w:val="21"/>
          <w:szCs w:val="21"/>
        </w:rPr>
        <w:t xml:space="preserve">as </w:t>
      </w:r>
      <w:r>
        <w:rPr>
          <w:rFonts w:ascii="Times New Roman" w:hAnsi="Times New Roman" w:cs="Times New Roman"/>
          <w:color w:val="606060"/>
          <w:sz w:val="21"/>
          <w:szCs w:val="21"/>
        </w:rPr>
        <w:t xml:space="preserve">a quality measure, regardless of  its obvious connection with wellness. Like follow-up after hospitalization, weight assessment and counseling are low bars to set for the receipt of shared savings. ACO initiatives to facilitate the provision   of healthy and attractive </w:t>
      </w:r>
      <w:r>
        <w:rPr>
          <w:rFonts w:ascii="Times New Roman" w:hAnsi="Times New Roman" w:cs="Times New Roman"/>
          <w:color w:val="707170"/>
          <w:sz w:val="21"/>
          <w:szCs w:val="21"/>
        </w:rPr>
        <w:t xml:space="preserve">school </w:t>
      </w:r>
      <w:r>
        <w:rPr>
          <w:rFonts w:ascii="Times New Roman" w:hAnsi="Times New Roman" w:cs="Times New Roman"/>
          <w:color w:val="606060"/>
          <w:sz w:val="21"/>
          <w:szCs w:val="21"/>
        </w:rPr>
        <w:t>lunches in low-income schools</w:t>
      </w:r>
      <w:r>
        <w:rPr>
          <w:rFonts w:ascii="Times New Roman" w:hAnsi="Times New Roman" w:cs="Times New Roman"/>
          <w:color w:val="818181"/>
          <w:sz w:val="21"/>
          <w:szCs w:val="21"/>
        </w:rPr>
        <w:t xml:space="preserve">, </w:t>
      </w:r>
      <w:r>
        <w:rPr>
          <w:rFonts w:ascii="Times New Roman" w:hAnsi="Times New Roman" w:cs="Times New Roman"/>
          <w:color w:val="707170"/>
          <w:sz w:val="21"/>
          <w:szCs w:val="21"/>
        </w:rPr>
        <w:t xml:space="preserve">to </w:t>
      </w:r>
      <w:r>
        <w:rPr>
          <w:rFonts w:ascii="Times New Roman" w:hAnsi="Times New Roman" w:cs="Times New Roman"/>
          <w:color w:val="606060"/>
          <w:sz w:val="21"/>
          <w:szCs w:val="21"/>
        </w:rPr>
        <w:t xml:space="preserve">organize or pay for opportunities to participate in physical </w:t>
      </w:r>
      <w:r>
        <w:rPr>
          <w:rFonts w:ascii="Times New Roman" w:hAnsi="Times New Roman" w:cs="Times New Roman"/>
          <w:color w:val="707170"/>
          <w:sz w:val="21"/>
          <w:szCs w:val="21"/>
        </w:rPr>
        <w:t xml:space="preserve">activities, </w:t>
      </w:r>
      <w:r>
        <w:rPr>
          <w:rFonts w:ascii="Times New Roman" w:hAnsi="Times New Roman" w:cs="Times New Roman"/>
          <w:color w:val="606060"/>
          <w:sz w:val="21"/>
          <w:szCs w:val="21"/>
        </w:rPr>
        <w:t xml:space="preserve">and to remove common barriers to exercise are a more likely to produce better outcomes </w:t>
      </w:r>
      <w:r>
        <w:rPr>
          <w:rFonts w:ascii="Times New Roman" w:hAnsi="Times New Roman" w:cs="Times New Roman"/>
          <w:color w:val="707170"/>
          <w:sz w:val="21"/>
          <w:szCs w:val="21"/>
        </w:rPr>
        <w:t xml:space="preserve">and </w:t>
      </w:r>
      <w:r>
        <w:rPr>
          <w:rFonts w:ascii="Times New Roman" w:hAnsi="Times New Roman" w:cs="Times New Roman"/>
          <w:color w:val="606060"/>
          <w:sz w:val="21"/>
          <w:szCs w:val="21"/>
        </w:rPr>
        <w:t xml:space="preserve">are more worthy of </w:t>
      </w:r>
      <w:r>
        <w:rPr>
          <w:rFonts w:ascii="Times New Roman" w:hAnsi="Times New Roman" w:cs="Times New Roman"/>
          <w:color w:val="707170"/>
          <w:sz w:val="21"/>
          <w:szCs w:val="21"/>
        </w:rPr>
        <w:t xml:space="preserve">warranting </w:t>
      </w:r>
      <w:r>
        <w:rPr>
          <w:rFonts w:ascii="Times New Roman" w:hAnsi="Times New Roman" w:cs="Times New Roman"/>
          <w:color w:val="606060"/>
          <w:sz w:val="21"/>
          <w:szCs w:val="21"/>
        </w:rPr>
        <w:t xml:space="preserve">the award of shared savings than just performing what should be a basic part of care. </w:t>
      </w:r>
      <w:r>
        <w:rPr>
          <w:rFonts w:ascii="Arial" w:hAnsi="Arial" w:cs="Arial"/>
          <w:color w:val="606060"/>
          <w:sz w:val="20"/>
          <w:szCs w:val="20"/>
        </w:rPr>
        <w:t>(</w:t>
      </w:r>
      <w:proofErr w:type="spellStart"/>
      <w:r>
        <w:rPr>
          <w:rFonts w:ascii="Arial" w:hAnsi="Arial" w:cs="Arial"/>
          <w:color w:val="606060"/>
          <w:sz w:val="20"/>
          <w:szCs w:val="20"/>
        </w:rPr>
        <w:t>In</w:t>
      </w:r>
      <w:r>
        <w:rPr>
          <w:rFonts w:ascii="Times New Roman" w:hAnsi="Times New Roman" w:cs="Times New Roman"/>
          <w:color w:val="606060"/>
          <w:sz w:val="21"/>
          <w:szCs w:val="21"/>
        </w:rPr>
        <w:t>any</w:t>
      </w:r>
      <w:proofErr w:type="spellEnd"/>
      <w:r>
        <w:rPr>
          <w:rFonts w:ascii="Times New Roman" w:hAnsi="Times New Roman" w:cs="Times New Roman"/>
          <w:color w:val="606060"/>
          <w:sz w:val="21"/>
          <w:szCs w:val="21"/>
        </w:rPr>
        <w:t xml:space="preserve"> case, very few people eat better or </w:t>
      </w:r>
      <w:r>
        <w:rPr>
          <w:rFonts w:ascii="Times New Roman" w:hAnsi="Times New Roman" w:cs="Times New Roman"/>
          <w:color w:val="707170"/>
          <w:sz w:val="21"/>
          <w:szCs w:val="21"/>
        </w:rPr>
        <w:t xml:space="preserve">exercise </w:t>
      </w:r>
      <w:r>
        <w:rPr>
          <w:rFonts w:ascii="Times New Roman" w:hAnsi="Times New Roman" w:cs="Times New Roman"/>
          <w:color w:val="606060"/>
          <w:sz w:val="21"/>
          <w:szCs w:val="21"/>
        </w:rPr>
        <w:t xml:space="preserve">more merely because    they </w:t>
      </w:r>
      <w:r>
        <w:rPr>
          <w:rFonts w:ascii="Times New Roman" w:hAnsi="Times New Roman" w:cs="Times New Roman"/>
          <w:color w:val="707170"/>
          <w:sz w:val="21"/>
          <w:szCs w:val="21"/>
        </w:rPr>
        <w:t xml:space="preserve">are </w:t>
      </w:r>
      <w:r>
        <w:rPr>
          <w:rFonts w:ascii="Times New Roman" w:hAnsi="Times New Roman" w:cs="Times New Roman"/>
          <w:color w:val="606060"/>
          <w:sz w:val="21"/>
          <w:szCs w:val="21"/>
        </w:rPr>
        <w:t xml:space="preserve">aware doing so improves their health. People tend to </w:t>
      </w:r>
      <w:r>
        <w:rPr>
          <w:rFonts w:ascii="Times New Roman" w:hAnsi="Times New Roman" w:cs="Times New Roman"/>
          <w:color w:val="818181"/>
          <w:spacing w:val="-4"/>
          <w:sz w:val="21"/>
          <w:szCs w:val="21"/>
        </w:rPr>
        <w:t>e</w:t>
      </w:r>
      <w:r>
        <w:rPr>
          <w:rFonts w:ascii="Times New Roman" w:hAnsi="Times New Roman" w:cs="Times New Roman"/>
          <w:color w:val="606060"/>
          <w:spacing w:val="-4"/>
          <w:sz w:val="21"/>
          <w:szCs w:val="21"/>
        </w:rPr>
        <w:t xml:space="preserve">ngage </w:t>
      </w:r>
      <w:r>
        <w:rPr>
          <w:rFonts w:ascii="Times New Roman" w:hAnsi="Times New Roman" w:cs="Times New Roman"/>
          <w:color w:val="606060"/>
          <w:sz w:val="21"/>
          <w:szCs w:val="21"/>
        </w:rPr>
        <w:t xml:space="preserve">in healthy activities the </w:t>
      </w:r>
      <w:r>
        <w:rPr>
          <w:rFonts w:ascii="Times New Roman" w:hAnsi="Times New Roman" w:cs="Times New Roman"/>
          <w:color w:val="707170"/>
          <w:sz w:val="21"/>
          <w:szCs w:val="21"/>
        </w:rPr>
        <w:t xml:space="preserve">easier </w:t>
      </w:r>
      <w:r>
        <w:rPr>
          <w:rFonts w:ascii="Times New Roman" w:hAnsi="Times New Roman" w:cs="Times New Roman"/>
          <w:color w:val="606060"/>
          <w:sz w:val="21"/>
          <w:szCs w:val="21"/>
        </w:rPr>
        <w:t xml:space="preserve">it is to do. </w:t>
      </w:r>
      <w:r>
        <w:rPr>
          <w:rFonts w:ascii="Times New Roman" w:hAnsi="Times New Roman" w:cs="Times New Roman"/>
          <w:i/>
          <w:iCs/>
          <w:color w:val="606060"/>
          <w:sz w:val="21"/>
          <w:szCs w:val="21"/>
        </w:rPr>
        <w:t>Se</w:t>
      </w:r>
      <w:r>
        <w:rPr>
          <w:rFonts w:ascii="Times New Roman" w:hAnsi="Times New Roman" w:cs="Times New Roman"/>
          <w:i/>
          <w:iCs/>
          <w:color w:val="818181"/>
          <w:sz w:val="21"/>
          <w:szCs w:val="21"/>
        </w:rPr>
        <w:t>e, e</w:t>
      </w:r>
      <w:r>
        <w:rPr>
          <w:rFonts w:ascii="Times New Roman" w:hAnsi="Times New Roman" w:cs="Times New Roman"/>
          <w:i/>
          <w:iCs/>
          <w:color w:val="606060"/>
          <w:sz w:val="21"/>
          <w:szCs w:val="21"/>
        </w:rPr>
        <w:t xml:space="preserve">.g., </w:t>
      </w:r>
      <w:r>
        <w:rPr>
          <w:rFonts w:ascii="Times New Roman" w:hAnsi="Times New Roman" w:cs="Times New Roman"/>
          <w:color w:val="606060"/>
        </w:rPr>
        <w:t>J</w:t>
      </w:r>
      <w:r>
        <w:rPr>
          <w:rFonts w:ascii="Times New Roman" w:hAnsi="Times New Roman" w:cs="Times New Roman"/>
          <w:color w:val="818181"/>
        </w:rPr>
        <w:t xml:space="preserve">. </w:t>
      </w:r>
      <w:proofErr w:type="spellStart"/>
      <w:r>
        <w:rPr>
          <w:rFonts w:ascii="Times New Roman" w:hAnsi="Times New Roman" w:cs="Times New Roman"/>
          <w:color w:val="606060"/>
          <w:sz w:val="21"/>
          <w:szCs w:val="21"/>
        </w:rPr>
        <w:t>Sallis</w:t>
      </w:r>
      <w:proofErr w:type="spellEnd"/>
      <w:r>
        <w:rPr>
          <w:rFonts w:ascii="Times New Roman" w:hAnsi="Times New Roman" w:cs="Times New Roman"/>
          <w:color w:val="606060"/>
          <w:sz w:val="21"/>
          <w:szCs w:val="21"/>
        </w:rPr>
        <w:t xml:space="preserve">, et al., </w:t>
      </w:r>
      <w:r>
        <w:rPr>
          <w:rFonts w:ascii="Times New Roman" w:hAnsi="Times New Roman" w:cs="Times New Roman"/>
          <w:i/>
          <w:iCs/>
          <w:color w:val="606060"/>
          <w:sz w:val="21"/>
          <w:szCs w:val="21"/>
        </w:rPr>
        <w:t>Physical activity in r</w:t>
      </w:r>
      <w:r>
        <w:rPr>
          <w:rFonts w:ascii="Times New Roman" w:hAnsi="Times New Roman" w:cs="Times New Roman"/>
          <w:i/>
          <w:iCs/>
          <w:color w:val="818181"/>
          <w:sz w:val="21"/>
          <w:szCs w:val="21"/>
        </w:rPr>
        <w:t>e</w:t>
      </w:r>
      <w:r>
        <w:rPr>
          <w:rFonts w:ascii="Times New Roman" w:hAnsi="Times New Roman" w:cs="Times New Roman"/>
          <w:i/>
          <w:iCs/>
          <w:color w:val="606060"/>
          <w:sz w:val="21"/>
          <w:szCs w:val="21"/>
        </w:rPr>
        <w:t xml:space="preserve">lation to urban </w:t>
      </w:r>
      <w:r>
        <w:rPr>
          <w:rFonts w:ascii="Times New Roman" w:hAnsi="Times New Roman" w:cs="Times New Roman"/>
          <w:i/>
          <w:iCs/>
          <w:color w:val="707170"/>
          <w:sz w:val="21"/>
          <w:szCs w:val="21"/>
        </w:rPr>
        <w:t xml:space="preserve">environments </w:t>
      </w:r>
      <w:r>
        <w:rPr>
          <w:rFonts w:ascii="Times New Roman" w:hAnsi="Times New Roman" w:cs="Times New Roman"/>
          <w:i/>
          <w:iCs/>
          <w:color w:val="606060"/>
          <w:sz w:val="21"/>
          <w:szCs w:val="21"/>
        </w:rPr>
        <w:t xml:space="preserve">in 14 </w:t>
      </w:r>
      <w:r>
        <w:rPr>
          <w:rFonts w:ascii="Times New Roman" w:hAnsi="Times New Roman" w:cs="Times New Roman"/>
          <w:i/>
          <w:iCs/>
          <w:color w:val="707170"/>
          <w:sz w:val="21"/>
          <w:szCs w:val="21"/>
        </w:rPr>
        <w:t xml:space="preserve">cities </w:t>
      </w:r>
      <w:r>
        <w:rPr>
          <w:rFonts w:ascii="Times New Roman" w:hAnsi="Times New Roman" w:cs="Times New Roman"/>
          <w:i/>
          <w:iCs/>
          <w:color w:val="606060"/>
          <w:sz w:val="21"/>
          <w:szCs w:val="21"/>
        </w:rPr>
        <w:t>worldwid</w:t>
      </w:r>
      <w:r>
        <w:rPr>
          <w:rFonts w:ascii="Times New Roman" w:hAnsi="Times New Roman" w:cs="Times New Roman"/>
          <w:i/>
          <w:iCs/>
          <w:color w:val="818181"/>
          <w:sz w:val="21"/>
          <w:szCs w:val="21"/>
        </w:rPr>
        <w:t xml:space="preserve">e: </w:t>
      </w:r>
      <w:r>
        <w:rPr>
          <w:rFonts w:ascii="Times New Roman" w:hAnsi="Times New Roman" w:cs="Times New Roman"/>
          <w:i/>
          <w:iCs/>
          <w:color w:val="606060"/>
          <w:sz w:val="21"/>
          <w:szCs w:val="21"/>
        </w:rPr>
        <w:t>a cross-s</w:t>
      </w:r>
      <w:r>
        <w:rPr>
          <w:rFonts w:ascii="Times New Roman" w:hAnsi="Times New Roman" w:cs="Times New Roman"/>
          <w:i/>
          <w:iCs/>
          <w:color w:val="818181"/>
          <w:sz w:val="21"/>
          <w:szCs w:val="21"/>
        </w:rPr>
        <w:t>ec</w:t>
      </w:r>
      <w:r>
        <w:rPr>
          <w:rFonts w:ascii="Times New Roman" w:hAnsi="Times New Roman" w:cs="Times New Roman"/>
          <w:i/>
          <w:iCs/>
          <w:color w:val="606060"/>
          <w:sz w:val="21"/>
          <w:szCs w:val="21"/>
        </w:rPr>
        <w:t xml:space="preserve">tional </w:t>
      </w:r>
      <w:r>
        <w:rPr>
          <w:rFonts w:ascii="Times New Roman" w:hAnsi="Times New Roman" w:cs="Times New Roman"/>
          <w:i/>
          <w:iCs/>
          <w:color w:val="707170"/>
          <w:sz w:val="21"/>
          <w:szCs w:val="21"/>
        </w:rPr>
        <w:t xml:space="preserve">study, </w:t>
      </w:r>
      <w:r>
        <w:rPr>
          <w:rFonts w:ascii="Times New Roman" w:hAnsi="Times New Roman" w:cs="Times New Roman"/>
          <w:color w:val="606060"/>
          <w:sz w:val="21"/>
          <w:szCs w:val="21"/>
        </w:rPr>
        <w:t xml:space="preserve">The </w:t>
      </w:r>
      <w:r>
        <w:rPr>
          <w:rFonts w:ascii="Times New Roman" w:hAnsi="Times New Roman" w:cs="Times New Roman"/>
          <w:color w:val="707170"/>
          <w:sz w:val="21"/>
          <w:szCs w:val="21"/>
        </w:rPr>
        <w:t xml:space="preserve">Lancet </w:t>
      </w:r>
      <w:r>
        <w:rPr>
          <w:rFonts w:ascii="Times New Roman" w:hAnsi="Times New Roman" w:cs="Times New Roman"/>
          <w:color w:val="606060"/>
          <w:sz w:val="21"/>
          <w:szCs w:val="21"/>
        </w:rPr>
        <w:t>(April  1,</w:t>
      </w:r>
      <w:r>
        <w:rPr>
          <w:rFonts w:ascii="Times New Roman" w:hAnsi="Times New Roman" w:cs="Times New Roman"/>
          <w:color w:val="606060"/>
          <w:spacing w:val="3"/>
          <w:sz w:val="21"/>
          <w:szCs w:val="21"/>
        </w:rPr>
        <w:t xml:space="preserve"> </w:t>
      </w:r>
      <w:r>
        <w:rPr>
          <w:rFonts w:ascii="Times New Roman" w:hAnsi="Times New Roman" w:cs="Times New Roman"/>
          <w:color w:val="606060"/>
          <w:sz w:val="21"/>
          <w:szCs w:val="21"/>
        </w:rPr>
        <w:t>2016)</w:t>
      </w:r>
    </w:p>
    <w:p w:rsidR="002C5025" w:rsidRDefault="00FB027C">
      <w:pPr>
        <w:pStyle w:val="BodyText"/>
        <w:kinsoku w:val="0"/>
        <w:overflowPunct w:val="0"/>
        <w:spacing w:line="247" w:lineRule="auto"/>
        <w:ind w:left="102" w:right="1617" w:firstLine="2"/>
        <w:rPr>
          <w:rFonts w:ascii="Times New Roman" w:hAnsi="Times New Roman" w:cs="Times New Roman"/>
          <w:color w:val="606060"/>
          <w:sz w:val="21"/>
          <w:szCs w:val="21"/>
        </w:rPr>
      </w:pPr>
      <w:r>
        <w:rPr>
          <w:noProof/>
        </w:rPr>
        <mc:AlternateContent>
          <mc:Choice Requires="wps">
            <w:drawing>
              <wp:anchor distT="0" distB="0" distL="114300" distR="114300" simplePos="0" relativeHeight="251779584" behindDoc="0" locked="0" layoutInCell="0" allowOverlap="1">
                <wp:simplePos x="0" y="0"/>
                <wp:positionH relativeFrom="page">
                  <wp:posOffset>7670165</wp:posOffset>
                </wp:positionH>
                <wp:positionV relativeFrom="paragraph">
                  <wp:posOffset>263525</wp:posOffset>
                </wp:positionV>
                <wp:extent cx="12700" cy="535940"/>
                <wp:effectExtent l="0" t="0" r="0" b="0"/>
                <wp:wrapNone/>
                <wp:docPr id="129" name="Freeform 7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535940"/>
                        </a:xfrm>
                        <a:custGeom>
                          <a:avLst/>
                          <a:gdLst>
                            <a:gd name="T0" fmla="*/ 0 w 20"/>
                            <a:gd name="T1" fmla="*/ 844 h 844"/>
                            <a:gd name="T2" fmla="*/ 0 w 20"/>
                            <a:gd name="T3" fmla="*/ 0 h 844"/>
                          </a:gdLst>
                          <a:ahLst/>
                          <a:cxnLst>
                            <a:cxn ang="0">
                              <a:pos x="T0" y="T1"/>
                            </a:cxn>
                            <a:cxn ang="0">
                              <a:pos x="T2" y="T3"/>
                            </a:cxn>
                          </a:cxnLst>
                          <a:rect l="0" t="0" r="r" b="b"/>
                          <a:pathLst>
                            <a:path w="20" h="844">
                              <a:moveTo>
                                <a:pt x="0" y="844"/>
                              </a:moveTo>
                              <a:lnTo>
                                <a:pt x="0" y="0"/>
                              </a:lnTo>
                            </a:path>
                          </a:pathLst>
                        </a:custGeom>
                        <a:noFill/>
                        <a:ln w="44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72" o:spid="_x0000_s1026" style="position:absolute;z-index:251779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03.95pt,62.95pt,603.95pt,20.75pt" coordsize="20,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" o:allowincell="f" filled="f" strokeweight=".1245mm">
                <v:path arrowok="t" o:connecttype="custom" o:connectlocs="0,535940;0,0" o:connectangles="0,0"/>
                <w10:wrap anchorx="page"/>
              </v:polyline>
            </w:pict>
          </mc:Fallback>
        </mc:AlternateContent>
      </w:r>
      <w:hyperlink r:id="rId528" w:history="1">
        <w:r w:rsidR="002C5025">
          <w:rPr>
            <w:rFonts w:ascii="Times New Roman" w:hAnsi="Times New Roman" w:cs="Times New Roman"/>
            <w:color w:val="818181"/>
            <w:sz w:val="21"/>
            <w:szCs w:val="21"/>
            <w:u w:val="single" w:color="000000"/>
          </w:rPr>
          <w:t>http://www.thelancet.com/pdfs/joumals/lance</w:t>
        </w:r>
      </w:hyperlink>
      <w:r w:rsidR="002C5025">
        <w:rPr>
          <w:rFonts w:ascii="Times New Roman" w:hAnsi="Times New Roman" w:cs="Times New Roman"/>
          <w:color w:val="818181"/>
          <w:sz w:val="21"/>
          <w:szCs w:val="21"/>
          <w:u w:val="single" w:color="000000"/>
        </w:rPr>
        <w:t xml:space="preserve">t  </w:t>
      </w:r>
      <w:r w:rsidR="002C5025">
        <w:rPr>
          <w:rFonts w:ascii="Times New Roman" w:hAnsi="Times New Roman" w:cs="Times New Roman"/>
          <w:color w:val="B0B0B0"/>
          <w:sz w:val="21"/>
          <w:szCs w:val="21"/>
          <w:u w:val="single" w:color="000000"/>
        </w:rPr>
        <w:t>/</w:t>
      </w:r>
      <w:r w:rsidR="002C5025">
        <w:rPr>
          <w:rFonts w:ascii="Times New Roman" w:hAnsi="Times New Roman" w:cs="Times New Roman"/>
          <w:color w:val="818181"/>
          <w:sz w:val="21"/>
          <w:szCs w:val="21"/>
          <w:u w:val="single" w:color="000000"/>
        </w:rPr>
        <w:t xml:space="preserve">PIISO 140-6736%2815%2901284-2.pdf  </w:t>
      </w:r>
      <w:r w:rsidR="002C5025">
        <w:rPr>
          <w:rFonts w:ascii="Times New Roman" w:hAnsi="Times New Roman" w:cs="Times New Roman"/>
          <w:color w:val="818181"/>
          <w:sz w:val="21"/>
          <w:szCs w:val="21"/>
        </w:rPr>
        <w:t xml:space="preserve">(last accessed </w:t>
      </w:r>
      <w:r w:rsidR="002C5025">
        <w:rPr>
          <w:rFonts w:ascii="Times New Roman" w:hAnsi="Times New Roman" w:cs="Times New Roman"/>
          <w:color w:val="606060"/>
          <w:sz w:val="21"/>
          <w:szCs w:val="21"/>
        </w:rPr>
        <w:t>4/29</w:t>
      </w:r>
      <w:r w:rsidR="002C5025">
        <w:rPr>
          <w:rFonts w:ascii="Times New Roman" w:hAnsi="Times New Roman" w:cs="Times New Roman"/>
          <w:color w:val="818181"/>
          <w:sz w:val="21"/>
          <w:szCs w:val="21"/>
        </w:rPr>
        <w:t xml:space="preserve">/ </w:t>
      </w:r>
      <w:r w:rsidR="002C5025">
        <w:rPr>
          <w:rFonts w:ascii="Times New Roman" w:hAnsi="Times New Roman" w:cs="Times New Roman"/>
          <w:color w:val="606060"/>
          <w:sz w:val="21"/>
          <w:szCs w:val="21"/>
        </w:rPr>
        <w:t xml:space="preserve">16)(Study participants living in the most </w:t>
      </w:r>
      <w:r w:rsidR="002C5025">
        <w:rPr>
          <w:rFonts w:ascii="Times New Roman" w:hAnsi="Times New Roman" w:cs="Times New Roman"/>
          <w:color w:val="707170"/>
          <w:sz w:val="21"/>
          <w:szCs w:val="21"/>
        </w:rPr>
        <w:t xml:space="preserve">activity-friendly </w:t>
      </w:r>
      <w:r w:rsidR="002C5025">
        <w:rPr>
          <w:rFonts w:ascii="Times New Roman" w:hAnsi="Times New Roman" w:cs="Times New Roman"/>
          <w:color w:val="606060"/>
          <w:sz w:val="21"/>
          <w:szCs w:val="21"/>
        </w:rPr>
        <w:t xml:space="preserve">neighborhoods </w:t>
      </w:r>
      <w:r w:rsidR="002C5025">
        <w:rPr>
          <w:rFonts w:ascii="Times New Roman" w:hAnsi="Times New Roman" w:cs="Times New Roman"/>
          <w:color w:val="707170"/>
          <w:sz w:val="21"/>
          <w:szCs w:val="21"/>
        </w:rPr>
        <w:t xml:space="preserve">exercised from </w:t>
      </w:r>
      <w:r w:rsidR="002C5025">
        <w:rPr>
          <w:rFonts w:ascii="Times New Roman" w:hAnsi="Times New Roman" w:cs="Times New Roman"/>
          <w:color w:val="606060"/>
          <w:sz w:val="21"/>
          <w:szCs w:val="21"/>
        </w:rPr>
        <w:t xml:space="preserve">68 to </w:t>
      </w:r>
      <w:r w:rsidR="002C5025">
        <w:rPr>
          <w:rFonts w:ascii="Times New Roman" w:hAnsi="Times New Roman" w:cs="Times New Roman"/>
          <w:color w:val="707170"/>
          <w:sz w:val="21"/>
          <w:szCs w:val="21"/>
        </w:rPr>
        <w:t xml:space="preserve">89 </w:t>
      </w:r>
      <w:r w:rsidR="002C5025">
        <w:rPr>
          <w:rFonts w:ascii="Times New Roman" w:hAnsi="Times New Roman" w:cs="Times New Roman"/>
          <w:color w:val="606060"/>
          <w:sz w:val="21"/>
          <w:szCs w:val="21"/>
        </w:rPr>
        <w:t xml:space="preserve">minutes a week more </w:t>
      </w:r>
      <w:r w:rsidR="002C5025">
        <w:rPr>
          <w:rFonts w:ascii="Times New Roman" w:hAnsi="Times New Roman" w:cs="Times New Roman"/>
          <w:color w:val="606060"/>
          <w:spacing w:val="-4"/>
          <w:sz w:val="21"/>
          <w:szCs w:val="21"/>
        </w:rPr>
        <w:t>th</w:t>
      </w:r>
      <w:r w:rsidR="002C5025">
        <w:rPr>
          <w:rFonts w:ascii="Times New Roman" w:hAnsi="Times New Roman" w:cs="Times New Roman"/>
          <w:color w:val="818181"/>
          <w:spacing w:val="-4"/>
          <w:sz w:val="21"/>
          <w:szCs w:val="21"/>
        </w:rPr>
        <w:t>a</w:t>
      </w:r>
      <w:r w:rsidR="002C5025">
        <w:rPr>
          <w:rFonts w:ascii="Times New Roman" w:hAnsi="Times New Roman" w:cs="Times New Roman"/>
          <w:color w:val="606060"/>
          <w:spacing w:val="-4"/>
          <w:sz w:val="21"/>
          <w:szCs w:val="21"/>
        </w:rPr>
        <w:t xml:space="preserve">n </w:t>
      </w:r>
      <w:r w:rsidR="002C5025">
        <w:rPr>
          <w:rFonts w:ascii="Times New Roman" w:hAnsi="Times New Roman" w:cs="Times New Roman"/>
          <w:color w:val="606060"/>
          <w:sz w:val="21"/>
          <w:szCs w:val="21"/>
        </w:rPr>
        <w:t xml:space="preserve">in the least </w:t>
      </w:r>
      <w:r w:rsidR="002C5025">
        <w:rPr>
          <w:rFonts w:ascii="Times New Roman" w:hAnsi="Times New Roman" w:cs="Times New Roman"/>
          <w:color w:val="707170"/>
          <w:sz w:val="21"/>
          <w:szCs w:val="21"/>
        </w:rPr>
        <w:t xml:space="preserve">activity-friendly </w:t>
      </w:r>
      <w:r w:rsidR="002C5025">
        <w:rPr>
          <w:rFonts w:ascii="Times New Roman" w:hAnsi="Times New Roman" w:cs="Times New Roman"/>
          <w:color w:val="606060"/>
          <w:sz w:val="21"/>
          <w:szCs w:val="21"/>
        </w:rPr>
        <w:t xml:space="preserve">neighborhoods, which </w:t>
      </w:r>
      <w:r w:rsidR="002C5025">
        <w:rPr>
          <w:rFonts w:ascii="Times New Roman" w:hAnsi="Times New Roman" w:cs="Times New Roman"/>
          <w:color w:val="707170"/>
          <w:sz w:val="21"/>
          <w:szCs w:val="21"/>
        </w:rPr>
        <w:t xml:space="preserve">represents </w:t>
      </w:r>
      <w:r w:rsidR="002C5025">
        <w:rPr>
          <w:rFonts w:ascii="Times New Roman" w:hAnsi="Times New Roman" w:cs="Times New Roman"/>
          <w:color w:val="606060"/>
          <w:spacing w:val="-6"/>
          <w:sz w:val="21"/>
          <w:szCs w:val="21"/>
        </w:rPr>
        <w:t>45</w:t>
      </w:r>
      <w:r w:rsidR="002C5025">
        <w:rPr>
          <w:rFonts w:ascii="Times New Roman" w:hAnsi="Times New Roman" w:cs="Times New Roman"/>
          <w:color w:val="949494"/>
          <w:spacing w:val="-6"/>
          <w:sz w:val="21"/>
          <w:szCs w:val="21"/>
        </w:rPr>
        <w:t>-</w:t>
      </w:r>
      <w:r w:rsidR="002C5025">
        <w:rPr>
          <w:rFonts w:ascii="Times New Roman" w:hAnsi="Times New Roman" w:cs="Times New Roman"/>
          <w:color w:val="606060"/>
          <w:spacing w:val="-6"/>
          <w:sz w:val="21"/>
          <w:szCs w:val="21"/>
        </w:rPr>
        <w:t>59</w:t>
      </w:r>
      <w:r w:rsidR="002C5025">
        <w:rPr>
          <w:rFonts w:ascii="Times New Roman" w:hAnsi="Times New Roman" w:cs="Times New Roman"/>
          <w:color w:val="818181"/>
          <w:spacing w:val="-6"/>
          <w:sz w:val="21"/>
          <w:szCs w:val="21"/>
        </w:rPr>
        <w:t xml:space="preserve">% </w:t>
      </w:r>
      <w:r w:rsidR="002C5025">
        <w:rPr>
          <w:rFonts w:ascii="Times New Roman" w:hAnsi="Times New Roman" w:cs="Times New Roman"/>
          <w:color w:val="606060"/>
          <w:sz w:val="21"/>
          <w:szCs w:val="21"/>
        </w:rPr>
        <w:t xml:space="preserve">of the of the </w:t>
      </w:r>
      <w:r w:rsidR="002C5025">
        <w:rPr>
          <w:rFonts w:ascii="Times New Roman" w:hAnsi="Times New Roman" w:cs="Times New Roman"/>
          <w:color w:val="606060"/>
          <w:spacing w:val="-4"/>
          <w:sz w:val="21"/>
          <w:szCs w:val="21"/>
        </w:rPr>
        <w:t>we</w:t>
      </w:r>
      <w:r w:rsidR="002C5025">
        <w:rPr>
          <w:rFonts w:ascii="Times New Roman" w:hAnsi="Times New Roman" w:cs="Times New Roman"/>
          <w:color w:val="818181"/>
          <w:spacing w:val="-4"/>
          <w:sz w:val="21"/>
          <w:szCs w:val="21"/>
        </w:rPr>
        <w:t>e</w:t>
      </w:r>
      <w:r w:rsidR="002C5025">
        <w:rPr>
          <w:rFonts w:ascii="Times New Roman" w:hAnsi="Times New Roman" w:cs="Times New Roman"/>
          <w:color w:val="606060"/>
          <w:spacing w:val="-4"/>
          <w:sz w:val="21"/>
          <w:szCs w:val="21"/>
        </w:rPr>
        <w:t xml:space="preserve">kly </w:t>
      </w:r>
      <w:r w:rsidR="002C5025">
        <w:rPr>
          <w:rFonts w:ascii="Times New Roman" w:hAnsi="Times New Roman" w:cs="Times New Roman"/>
          <w:color w:val="606060"/>
          <w:sz w:val="21"/>
          <w:szCs w:val="21"/>
        </w:rPr>
        <w:t xml:space="preserve">recommended by </w:t>
      </w:r>
      <w:r w:rsidR="002C5025">
        <w:rPr>
          <w:rFonts w:ascii="Times New Roman" w:hAnsi="Times New Roman" w:cs="Times New Roman"/>
          <w:color w:val="707170"/>
          <w:sz w:val="21"/>
          <w:szCs w:val="21"/>
        </w:rPr>
        <w:t xml:space="preserve">guidelines for physical activity.); </w:t>
      </w:r>
      <w:r w:rsidR="002C5025">
        <w:rPr>
          <w:rFonts w:ascii="Arial" w:hAnsi="Arial" w:cs="Arial"/>
          <w:color w:val="707170"/>
          <w:sz w:val="20"/>
          <w:szCs w:val="20"/>
        </w:rPr>
        <w:t xml:space="preserve">A. </w:t>
      </w:r>
      <w:proofErr w:type="spellStart"/>
      <w:r w:rsidR="002C5025">
        <w:rPr>
          <w:rFonts w:ascii="Times New Roman" w:hAnsi="Times New Roman" w:cs="Times New Roman"/>
          <w:color w:val="818181"/>
          <w:sz w:val="21"/>
          <w:szCs w:val="21"/>
        </w:rPr>
        <w:t>E</w:t>
      </w:r>
      <w:r w:rsidR="002C5025">
        <w:rPr>
          <w:rFonts w:ascii="Times New Roman" w:hAnsi="Times New Roman" w:cs="Times New Roman"/>
          <w:color w:val="606060"/>
          <w:sz w:val="21"/>
          <w:szCs w:val="21"/>
        </w:rPr>
        <w:t>yler</w:t>
      </w:r>
      <w:proofErr w:type="spellEnd"/>
      <w:r w:rsidR="002C5025">
        <w:rPr>
          <w:rFonts w:ascii="Times New Roman" w:hAnsi="Times New Roman" w:cs="Times New Roman"/>
          <w:color w:val="818181"/>
          <w:sz w:val="21"/>
          <w:szCs w:val="21"/>
        </w:rPr>
        <w:t>, Envi</w:t>
      </w:r>
      <w:r w:rsidR="002C5025">
        <w:rPr>
          <w:rFonts w:ascii="Times New Roman" w:hAnsi="Times New Roman" w:cs="Times New Roman"/>
          <w:color w:val="606060"/>
          <w:sz w:val="21"/>
          <w:szCs w:val="21"/>
        </w:rPr>
        <w:t xml:space="preserve">ronmental, Policy, and  </w:t>
      </w:r>
      <w:r w:rsidR="002C5025">
        <w:rPr>
          <w:rFonts w:ascii="Times New Roman" w:hAnsi="Times New Roman" w:cs="Times New Roman"/>
          <w:color w:val="707170"/>
          <w:sz w:val="21"/>
          <w:szCs w:val="21"/>
        </w:rPr>
        <w:t xml:space="preserve">Cultural Factors </w:t>
      </w:r>
      <w:r w:rsidR="002C5025">
        <w:rPr>
          <w:rFonts w:ascii="Times New Roman" w:hAnsi="Times New Roman" w:cs="Times New Roman"/>
          <w:color w:val="606060"/>
          <w:sz w:val="21"/>
          <w:szCs w:val="21"/>
        </w:rPr>
        <w:t xml:space="preserve">Related to Physical Activity at </w:t>
      </w:r>
      <w:r w:rsidR="002C5025">
        <w:rPr>
          <w:rFonts w:ascii="Times New Roman" w:hAnsi="Times New Roman" w:cs="Times New Roman"/>
          <w:color w:val="707170"/>
          <w:sz w:val="21"/>
          <w:szCs w:val="21"/>
        </w:rPr>
        <w:t xml:space="preserve">88 </w:t>
      </w:r>
      <w:r w:rsidR="002C5025">
        <w:rPr>
          <w:rFonts w:ascii="Times New Roman" w:hAnsi="Times New Roman" w:cs="Times New Roman"/>
          <w:color w:val="606060"/>
          <w:sz w:val="21"/>
          <w:szCs w:val="21"/>
        </w:rPr>
        <w:t xml:space="preserve">(2002)(convenience promoted  </w:t>
      </w:r>
      <w:r w:rsidR="002C5025">
        <w:rPr>
          <w:rFonts w:ascii="Times New Roman" w:hAnsi="Times New Roman" w:cs="Times New Roman"/>
          <w:color w:val="707170"/>
          <w:sz w:val="21"/>
          <w:szCs w:val="21"/>
        </w:rPr>
        <w:t xml:space="preserve">exercise; </w:t>
      </w:r>
      <w:r w:rsidR="002C5025">
        <w:rPr>
          <w:rFonts w:ascii="Times New Roman" w:hAnsi="Times New Roman" w:cs="Times New Roman"/>
          <w:color w:val="606060"/>
          <w:sz w:val="21"/>
          <w:szCs w:val="21"/>
        </w:rPr>
        <w:t xml:space="preserve">family  priorities </w:t>
      </w:r>
      <w:r w:rsidR="002C5025">
        <w:rPr>
          <w:rFonts w:ascii="Times New Roman" w:hAnsi="Times New Roman" w:cs="Times New Roman"/>
          <w:color w:val="707170"/>
          <w:sz w:val="21"/>
          <w:szCs w:val="21"/>
        </w:rPr>
        <w:t xml:space="preserve">and financial considerations </w:t>
      </w:r>
      <w:r w:rsidR="002C5025">
        <w:rPr>
          <w:rFonts w:ascii="Times New Roman" w:hAnsi="Times New Roman" w:cs="Times New Roman"/>
          <w:color w:val="606060"/>
          <w:sz w:val="21"/>
          <w:szCs w:val="21"/>
        </w:rPr>
        <w:t xml:space="preserve">were </w:t>
      </w:r>
      <w:r w:rsidR="002C5025">
        <w:rPr>
          <w:rFonts w:ascii="Times New Roman" w:hAnsi="Times New Roman" w:cs="Times New Roman"/>
          <w:color w:val="606060"/>
          <w:spacing w:val="1"/>
          <w:sz w:val="21"/>
          <w:szCs w:val="21"/>
        </w:rPr>
        <w:t xml:space="preserve"> </w:t>
      </w:r>
      <w:r w:rsidR="002C5025">
        <w:rPr>
          <w:rFonts w:ascii="Times New Roman" w:hAnsi="Times New Roman" w:cs="Times New Roman"/>
          <w:color w:val="606060"/>
          <w:sz w:val="21"/>
          <w:szCs w:val="21"/>
        </w:rPr>
        <w:t>barriers).)</w:t>
      </w:r>
    </w:p>
    <w:p w:rsidR="002C5025" w:rsidRDefault="002C5025">
      <w:pPr>
        <w:pStyle w:val="BodyText"/>
        <w:kinsoku w:val="0"/>
        <w:overflowPunct w:val="0"/>
        <w:spacing w:before="174"/>
        <w:ind w:right="1338"/>
        <w:jc w:val="center"/>
        <w:rPr>
          <w:rFonts w:ascii="Times New Roman" w:hAnsi="Times New Roman" w:cs="Times New Roman"/>
          <w:color w:val="606060"/>
          <w:w w:val="103"/>
          <w:sz w:val="21"/>
          <w:szCs w:val="21"/>
        </w:rPr>
      </w:pPr>
      <w:r>
        <w:rPr>
          <w:rFonts w:ascii="Times New Roman" w:hAnsi="Times New Roman" w:cs="Times New Roman"/>
          <w:color w:val="606060"/>
          <w:w w:val="103"/>
          <w:sz w:val="21"/>
          <w:szCs w:val="21"/>
        </w:rPr>
        <w:t>7</w:t>
      </w:r>
    </w:p>
    <w:p w:rsidR="002C5025" w:rsidRDefault="00FB027C">
      <w:pPr>
        <w:pStyle w:val="BodyText"/>
        <w:kinsoku w:val="0"/>
        <w:overflowPunct w:val="0"/>
        <w:spacing w:before="8"/>
        <w:rPr>
          <w:rFonts w:ascii="Times New Roman" w:hAnsi="Times New Roman" w:cs="Times New Roman"/>
          <w:sz w:val="18"/>
          <w:szCs w:val="18"/>
        </w:rPr>
      </w:pPr>
      <w:r>
        <w:rPr>
          <w:noProof/>
        </w:rPr>
        <mc:AlternateContent>
          <mc:Choice Requires="wps">
            <w:drawing>
              <wp:anchor distT="0" distB="0" distL="0" distR="0" simplePos="0" relativeHeight="251780608" behindDoc="0" locked="0" layoutInCell="0" allowOverlap="1">
                <wp:simplePos x="0" y="0"/>
                <wp:positionH relativeFrom="page">
                  <wp:posOffset>7669530</wp:posOffset>
                </wp:positionH>
                <wp:positionV relativeFrom="paragraph">
                  <wp:posOffset>164465</wp:posOffset>
                </wp:positionV>
                <wp:extent cx="12700" cy="252730"/>
                <wp:effectExtent l="0" t="0" r="0" b="0"/>
                <wp:wrapTopAndBottom/>
                <wp:docPr id="128" name="Freeform 7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252730"/>
                        </a:xfrm>
                        <a:custGeom>
                          <a:avLst/>
                          <a:gdLst>
                            <a:gd name="T0" fmla="*/ 0 w 20"/>
                            <a:gd name="T1" fmla="*/ 398 h 398"/>
                            <a:gd name="T2" fmla="*/ 0 w 20"/>
                            <a:gd name="T3" fmla="*/ 0 h 398"/>
                          </a:gdLst>
                          <a:ahLst/>
                          <a:cxnLst>
                            <a:cxn ang="0">
                              <a:pos x="T0" y="T1"/>
                            </a:cxn>
                            <a:cxn ang="0">
                              <a:pos x="T2" y="T3"/>
                            </a:cxn>
                          </a:cxnLst>
                          <a:rect l="0" t="0" r="r" b="b"/>
                          <a:pathLst>
                            <a:path w="20" h="398">
                              <a:moveTo>
                                <a:pt x="0" y="398"/>
                              </a:moveTo>
                              <a:lnTo>
                                <a:pt x="0" y="0"/>
                              </a:lnTo>
                            </a:path>
                          </a:pathLst>
                        </a:custGeom>
                        <a:noFill/>
                        <a:ln w="5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73" o:spid="_x0000_s1026" style="position:absolute;z-index:251780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603.9pt,32.85pt,603.9pt,12.95pt" coordsize="20,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" o:allowincell="f" filled="f" strokeweight=".47pt">
                <v:path arrowok="t" o:connecttype="custom" o:connectlocs="0,252730;0,0" o:connectangles="0,0"/>
                <w10:wrap type="topAndBottom" anchorx="page"/>
              </v:polyline>
            </w:pict>
          </mc:Fallback>
        </mc:AlternateContent>
      </w:r>
    </w:p>
    <w:p w:rsidR="002C5025" w:rsidRDefault="002C5025">
      <w:pPr>
        <w:pStyle w:val="BodyText"/>
        <w:kinsoku w:val="0"/>
        <w:overflowPunct w:val="0"/>
        <w:spacing w:before="8"/>
        <w:rPr>
          <w:rFonts w:ascii="Times New Roman" w:hAnsi="Times New Roman" w:cs="Times New Roman"/>
          <w:sz w:val="18"/>
          <w:szCs w:val="18"/>
        </w:rPr>
        <w:sectPr w:rsidR="002C5025">
          <w:pgSz w:w="12240" w:h="15840"/>
          <w:pgMar w:top="1340" w:right="40" w:bottom="280" w:left="1460" w:header="720" w:footer="720" w:gutter="0"/>
          <w:cols w:space="720" w:equalWidth="0">
            <w:col w:w="10740"/>
          </w:cols>
          <w:noEndnote/>
        </w:sectPr>
      </w:pPr>
    </w:p>
    <w:p w:rsidR="002C5025" w:rsidRDefault="002C5025">
      <w:pPr>
        <w:pStyle w:val="BodyText"/>
        <w:kinsoku w:val="0"/>
        <w:overflowPunct w:val="0"/>
        <w:spacing w:before="52" w:line="280" w:lineRule="auto"/>
        <w:ind w:left="1188" w:right="526" w:hanging="12"/>
        <w:rPr>
          <w:rFonts w:ascii="Times New Roman" w:hAnsi="Times New Roman" w:cs="Times New Roman"/>
          <w:color w:val="5B5B5B"/>
          <w:position w:val="7"/>
          <w:sz w:val="17"/>
          <w:szCs w:val="17"/>
        </w:rPr>
      </w:pPr>
      <w:r>
        <w:rPr>
          <w:rFonts w:ascii="Times New Roman" w:hAnsi="Times New Roman" w:cs="Times New Roman"/>
          <w:color w:val="5B5B5B"/>
          <w:sz w:val="27"/>
          <w:szCs w:val="27"/>
        </w:rPr>
        <w:lastRenderedPageBreak/>
        <w:t xml:space="preserve">readmissions </w:t>
      </w:r>
      <w:r>
        <w:rPr>
          <w:rFonts w:ascii="Times New Roman" w:hAnsi="Times New Roman" w:cs="Times New Roman"/>
          <w:color w:val="5B5B5B"/>
          <w:position w:val="7"/>
          <w:sz w:val="17"/>
          <w:szCs w:val="17"/>
        </w:rPr>
        <w:t>16</w:t>
      </w:r>
      <w:r>
        <w:rPr>
          <w:rFonts w:ascii="Times New Roman" w:hAnsi="Times New Roman" w:cs="Times New Roman"/>
          <w:color w:val="5B5B5B"/>
          <w:sz w:val="17"/>
          <w:szCs w:val="17"/>
        </w:rPr>
        <w:t xml:space="preserve">) </w:t>
      </w:r>
      <w:r>
        <w:rPr>
          <w:rFonts w:ascii="Times New Roman" w:hAnsi="Times New Roman" w:cs="Times New Roman"/>
          <w:color w:val="5B5B5B"/>
          <w:sz w:val="27"/>
          <w:szCs w:val="27"/>
        </w:rPr>
        <w:t xml:space="preserve">(53), but must be outcome measurements that include self-reported, recovery-based measurements. </w:t>
      </w:r>
      <w:r>
        <w:rPr>
          <w:rFonts w:ascii="Times New Roman" w:hAnsi="Times New Roman" w:cs="Times New Roman"/>
          <w:color w:val="5B5B5B"/>
          <w:position w:val="7"/>
          <w:sz w:val="17"/>
          <w:szCs w:val="17"/>
        </w:rPr>
        <w:t>17</w:t>
      </w:r>
    </w:p>
    <w:p w:rsidR="002C5025" w:rsidRDefault="002C5025">
      <w:pPr>
        <w:pStyle w:val="ListParagraph"/>
        <w:numPr>
          <w:ilvl w:val="0"/>
          <w:numId w:val="27"/>
        </w:numPr>
        <w:tabs>
          <w:tab w:val="left" w:pos="1176"/>
        </w:tabs>
        <w:kinsoku w:val="0"/>
        <w:overflowPunct w:val="0"/>
        <w:spacing w:before="25" w:line="283" w:lineRule="auto"/>
        <w:ind w:left="1176" w:right="471"/>
        <w:rPr>
          <w:color w:val="5B5B5B"/>
          <w:sz w:val="27"/>
          <w:szCs w:val="27"/>
        </w:rPr>
      </w:pPr>
      <w:r>
        <w:rPr>
          <w:color w:val="5B5B5B"/>
          <w:sz w:val="27"/>
          <w:szCs w:val="27"/>
        </w:rPr>
        <w:t xml:space="preserve">Cost reduction must be balanced by risk adjustment for the population and improvements in outcomes/quality. Cost reductions (9) may begin later than scheduled as some quality improvements require initial investment/contracting, working out the bugs in implementation, and time for wellness and recovery initiatives (e.g., diet/exercise, development of social relationships) to show results. Further, DSRIP funding doesn't start until </w:t>
      </w:r>
      <w:r>
        <w:rPr>
          <w:color w:val="5B5B5B"/>
          <w:spacing w:val="9"/>
          <w:sz w:val="27"/>
          <w:szCs w:val="27"/>
        </w:rPr>
        <w:t xml:space="preserve">FYI </w:t>
      </w:r>
      <w:r>
        <w:rPr>
          <w:color w:val="5B5B5B"/>
          <w:sz w:val="27"/>
          <w:szCs w:val="27"/>
        </w:rPr>
        <w:t>8, and Community Partners are not launched until</w:t>
      </w:r>
      <w:r>
        <w:rPr>
          <w:color w:val="5B5B5B"/>
          <w:spacing w:val="13"/>
          <w:sz w:val="27"/>
          <w:szCs w:val="27"/>
        </w:rPr>
        <w:t xml:space="preserve"> </w:t>
      </w:r>
      <w:r>
        <w:rPr>
          <w:color w:val="5B5B5B"/>
          <w:sz w:val="27"/>
          <w:szCs w:val="27"/>
        </w:rPr>
        <w:t>FY18.</w:t>
      </w:r>
    </w:p>
    <w:p w:rsidR="002C5025" w:rsidRDefault="002C5025">
      <w:pPr>
        <w:pStyle w:val="ListParagraph"/>
        <w:numPr>
          <w:ilvl w:val="0"/>
          <w:numId w:val="27"/>
        </w:numPr>
        <w:tabs>
          <w:tab w:val="left" w:pos="1176"/>
        </w:tabs>
        <w:kinsoku w:val="0"/>
        <w:overflowPunct w:val="0"/>
        <w:spacing w:before="17" w:line="283" w:lineRule="auto"/>
        <w:ind w:left="1175" w:right="263" w:hanging="343"/>
        <w:rPr>
          <w:color w:val="5B5B5B"/>
          <w:spacing w:val="2"/>
          <w:position w:val="7"/>
          <w:sz w:val="17"/>
          <w:szCs w:val="17"/>
        </w:rPr>
      </w:pPr>
      <w:r>
        <w:rPr>
          <w:color w:val="5B5B5B"/>
          <w:sz w:val="27"/>
          <w:szCs w:val="27"/>
        </w:rPr>
        <w:t xml:space="preserve">Under Model B payment provisions, ACOs will only receive shared savings if they manage costs to below the savings target. (25) Some portion of shared savings should be awarded to an ACO even if its costs are not kept below the savings target if its outcomes and quality metrics are good. Quality and outcome improvements merit reward and may </w:t>
      </w:r>
      <w:r>
        <w:rPr>
          <w:color w:val="5B5B5B"/>
          <w:spacing w:val="-3"/>
          <w:sz w:val="27"/>
          <w:szCs w:val="27"/>
        </w:rPr>
        <w:t xml:space="preserve">lay </w:t>
      </w:r>
      <w:r>
        <w:rPr>
          <w:color w:val="5B5B5B"/>
          <w:sz w:val="27"/>
          <w:szCs w:val="27"/>
        </w:rPr>
        <w:t>the basis for best practices that return long-term</w:t>
      </w:r>
      <w:r>
        <w:rPr>
          <w:color w:val="5B5B5B"/>
          <w:spacing w:val="53"/>
          <w:sz w:val="27"/>
          <w:szCs w:val="27"/>
        </w:rPr>
        <w:t xml:space="preserve"> </w:t>
      </w:r>
      <w:r>
        <w:rPr>
          <w:color w:val="5B5B5B"/>
          <w:spacing w:val="2"/>
          <w:sz w:val="27"/>
          <w:szCs w:val="27"/>
        </w:rPr>
        <w:t>savings.</w:t>
      </w:r>
      <w:r>
        <w:rPr>
          <w:color w:val="5B5B5B"/>
          <w:spacing w:val="2"/>
          <w:position w:val="7"/>
          <w:sz w:val="17"/>
          <w:szCs w:val="17"/>
        </w:rPr>
        <w:t>18</w:t>
      </w:r>
    </w:p>
    <w:p w:rsidR="002C5025" w:rsidRDefault="002C5025">
      <w:pPr>
        <w:pStyle w:val="BodyText"/>
        <w:kinsoku w:val="0"/>
        <w:overflowPunct w:val="0"/>
        <w:rPr>
          <w:rFonts w:ascii="Times New Roman" w:hAnsi="Times New Roman" w:cs="Times New Roman"/>
          <w:sz w:val="26"/>
          <w:szCs w:val="26"/>
        </w:rPr>
      </w:pPr>
    </w:p>
    <w:p w:rsidR="002C5025" w:rsidRDefault="002C5025">
      <w:pPr>
        <w:pStyle w:val="BodyText"/>
        <w:kinsoku w:val="0"/>
        <w:overflowPunct w:val="0"/>
        <w:spacing w:before="5"/>
        <w:rPr>
          <w:rFonts w:ascii="Times New Roman" w:hAnsi="Times New Roman" w:cs="Times New Roman"/>
          <w:sz w:val="23"/>
          <w:szCs w:val="23"/>
        </w:rPr>
      </w:pPr>
    </w:p>
    <w:p w:rsidR="002C5025" w:rsidRDefault="002C5025">
      <w:pPr>
        <w:pStyle w:val="BodyText"/>
        <w:kinsoku w:val="0"/>
        <w:overflowPunct w:val="0"/>
        <w:spacing w:before="1"/>
        <w:ind w:left="124" w:right="170"/>
        <w:rPr>
          <w:rFonts w:ascii="Times New Roman" w:hAnsi="Times New Roman" w:cs="Times New Roman"/>
          <w:i/>
          <w:iCs/>
          <w:color w:val="5B5B5B"/>
          <w:sz w:val="27"/>
          <w:szCs w:val="27"/>
        </w:rPr>
      </w:pPr>
      <w:r>
        <w:rPr>
          <w:rFonts w:ascii="Times New Roman" w:hAnsi="Times New Roman" w:cs="Times New Roman"/>
          <w:i/>
          <w:iCs/>
          <w:color w:val="5B5B5B"/>
          <w:sz w:val="27"/>
          <w:szCs w:val="27"/>
        </w:rPr>
        <w:t>Community Partners and ACOs</w:t>
      </w:r>
    </w:p>
    <w:p w:rsidR="002C5025" w:rsidRDefault="002C5025">
      <w:pPr>
        <w:pStyle w:val="BodyText"/>
        <w:kinsoku w:val="0"/>
        <w:overflowPunct w:val="0"/>
        <w:spacing w:before="4"/>
        <w:rPr>
          <w:rFonts w:ascii="Times New Roman" w:hAnsi="Times New Roman" w:cs="Times New Roman"/>
          <w:i/>
          <w:iCs/>
          <w:sz w:val="21"/>
          <w:szCs w:val="21"/>
        </w:rPr>
      </w:pPr>
    </w:p>
    <w:p w:rsidR="002C5025" w:rsidRDefault="002C5025">
      <w:pPr>
        <w:pStyle w:val="BodyText"/>
        <w:kinsoku w:val="0"/>
        <w:overflowPunct w:val="0"/>
        <w:spacing w:before="1" w:line="283" w:lineRule="auto"/>
        <w:ind w:left="115" w:right="123"/>
        <w:rPr>
          <w:rFonts w:ascii="Times New Roman" w:hAnsi="Times New Roman" w:cs="Times New Roman"/>
          <w:color w:val="5B5B5B"/>
          <w:sz w:val="27"/>
          <w:szCs w:val="27"/>
        </w:rPr>
      </w:pPr>
      <w:r>
        <w:rPr>
          <w:rFonts w:ascii="Times New Roman" w:hAnsi="Times New Roman" w:cs="Times New Roman"/>
          <w:color w:val="5B5B5B"/>
          <w:sz w:val="27"/>
          <w:szCs w:val="27"/>
        </w:rPr>
        <w:t>Community Partners that are part of an ACO (32) be considered immune from interest conflicts. Self-referral is not the only conflict of interest. Internal financial incentives and administrative pressures, even if DSRIP streams are separate, may alter the independence of the Community Partner and its willingness to recommend necessary services that cut into ACO earnings.</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FB027C">
      <w:pPr>
        <w:pStyle w:val="BodyText"/>
        <w:kinsoku w:val="0"/>
        <w:overflowPunct w:val="0"/>
        <w:spacing w:before="7"/>
        <w:rPr>
          <w:rFonts w:ascii="Times New Roman" w:hAnsi="Times New Roman" w:cs="Times New Roman"/>
          <w:sz w:val="13"/>
          <w:szCs w:val="13"/>
        </w:rPr>
      </w:pPr>
      <w:r>
        <w:rPr>
          <w:noProof/>
        </w:rPr>
        <mc:AlternateContent>
          <mc:Choice Requires="wps">
            <w:drawing>
              <wp:anchor distT="0" distB="0" distL="0" distR="0" simplePos="0" relativeHeight="251781632" behindDoc="0" locked="0" layoutInCell="0" allowOverlap="1">
                <wp:simplePos x="0" y="0"/>
                <wp:positionH relativeFrom="page">
                  <wp:posOffset>992505</wp:posOffset>
                </wp:positionH>
                <wp:positionV relativeFrom="paragraph">
                  <wp:posOffset>129540</wp:posOffset>
                </wp:positionV>
                <wp:extent cx="1801495" cy="12700"/>
                <wp:effectExtent l="0" t="0" r="0" b="0"/>
                <wp:wrapTopAndBottom/>
                <wp:docPr id="127" name="Freeform 7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1495" cy="12700"/>
                        </a:xfrm>
                        <a:custGeom>
                          <a:avLst/>
                          <a:gdLst>
                            <a:gd name="T0" fmla="*/ 0 w 2837"/>
                            <a:gd name="T1" fmla="*/ 0 h 20"/>
                            <a:gd name="T2" fmla="*/ 2837 w 2837"/>
                            <a:gd name="T3" fmla="*/ 0 h 20"/>
                          </a:gdLst>
                          <a:ahLst/>
                          <a:cxnLst>
                            <a:cxn ang="0">
                              <a:pos x="T0" y="T1"/>
                            </a:cxn>
                            <a:cxn ang="0">
                              <a:pos x="T2" y="T3"/>
                            </a:cxn>
                          </a:cxnLst>
                          <a:rect l="0" t="0" r="r" b="b"/>
                          <a:pathLst>
                            <a:path w="2837" h="20">
                              <a:moveTo>
                                <a:pt x="0" y="0"/>
                              </a:moveTo>
                              <a:lnTo>
                                <a:pt x="2837" y="0"/>
                              </a:lnTo>
                            </a:path>
                          </a:pathLst>
                        </a:custGeom>
                        <a:noFill/>
                        <a:ln w="104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74" o:spid="_x0000_s1026" style="position:absolute;z-index:251781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8.15pt,10.2pt,220pt,10.2pt" coordsize="283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" o:allowincell="f" filled="f" strokeweight=".29103mm">
                <v:path arrowok="t" o:connecttype="custom" o:connectlocs="0,0;1801495,0" o:connectangles="0,0"/>
                <w10:wrap type="topAndBottom" anchorx="page"/>
              </v:polyline>
            </w:pict>
          </mc:Fallback>
        </mc:AlternateContent>
      </w:r>
    </w:p>
    <w:p w:rsidR="002C5025" w:rsidRDefault="002C5025">
      <w:pPr>
        <w:pStyle w:val="BodyText"/>
        <w:kinsoku w:val="0"/>
        <w:overflowPunct w:val="0"/>
        <w:spacing w:before="75" w:line="244" w:lineRule="auto"/>
        <w:ind w:left="115" w:right="170" w:firstLine="4"/>
        <w:rPr>
          <w:rFonts w:ascii="Times New Roman" w:hAnsi="Times New Roman" w:cs="Times New Roman"/>
          <w:color w:val="5B5B5B"/>
          <w:sz w:val="21"/>
          <w:szCs w:val="21"/>
        </w:rPr>
      </w:pPr>
      <w:r>
        <w:rPr>
          <w:rFonts w:ascii="Times New Roman" w:hAnsi="Times New Roman" w:cs="Times New Roman"/>
          <w:color w:val="5B5B5B"/>
          <w:position w:val="5"/>
          <w:sz w:val="12"/>
          <w:szCs w:val="12"/>
        </w:rPr>
        <w:t xml:space="preserve">16 </w:t>
      </w:r>
      <w:r>
        <w:rPr>
          <w:rFonts w:ascii="Times New Roman" w:hAnsi="Times New Roman" w:cs="Times New Roman"/>
          <w:color w:val="5B5B5B"/>
          <w:sz w:val="21"/>
          <w:szCs w:val="21"/>
        </w:rPr>
        <w:t>We suggest the removal of all-cause readmissions as a quality measure upon which shared savings are dependent. MassHealth should carefully define what is or is not preventable and should include readmissions caused by social determinants of health that the ACO had the ability to address but   did not.</w:t>
      </w:r>
    </w:p>
    <w:p w:rsidR="002C5025" w:rsidRDefault="002C5025">
      <w:pPr>
        <w:pStyle w:val="BodyText"/>
        <w:kinsoku w:val="0"/>
        <w:overflowPunct w:val="0"/>
        <w:spacing w:before="6"/>
        <w:rPr>
          <w:rFonts w:ascii="Times New Roman" w:hAnsi="Times New Roman" w:cs="Times New Roman"/>
          <w:sz w:val="21"/>
          <w:szCs w:val="21"/>
        </w:rPr>
      </w:pPr>
    </w:p>
    <w:p w:rsidR="002C5025" w:rsidRDefault="002C5025">
      <w:pPr>
        <w:pStyle w:val="BodyText"/>
        <w:kinsoku w:val="0"/>
        <w:overflowPunct w:val="0"/>
        <w:spacing w:line="247" w:lineRule="auto"/>
        <w:ind w:left="108" w:right="170" w:firstLine="12"/>
        <w:rPr>
          <w:rFonts w:ascii="Times New Roman" w:hAnsi="Times New Roman" w:cs="Times New Roman"/>
          <w:color w:val="5B5B5B"/>
          <w:sz w:val="21"/>
          <w:szCs w:val="21"/>
        </w:rPr>
      </w:pPr>
      <w:r>
        <w:rPr>
          <w:rFonts w:ascii="Times New Roman" w:hAnsi="Times New Roman" w:cs="Times New Roman"/>
          <w:color w:val="5B5B5B"/>
          <w:position w:val="5"/>
          <w:sz w:val="12"/>
          <w:szCs w:val="12"/>
        </w:rPr>
        <w:t xml:space="preserve">17 </w:t>
      </w:r>
      <w:r>
        <w:rPr>
          <w:rFonts w:ascii="Times New Roman" w:hAnsi="Times New Roman" w:cs="Times New Roman"/>
          <w:i/>
          <w:iCs/>
          <w:color w:val="5B5B5B"/>
          <w:sz w:val="21"/>
          <w:szCs w:val="21"/>
        </w:rPr>
        <w:t xml:space="preserve">See generally, </w:t>
      </w:r>
      <w:r>
        <w:rPr>
          <w:rFonts w:ascii="Times New Roman" w:hAnsi="Times New Roman" w:cs="Times New Roman"/>
          <w:color w:val="5B5B5B"/>
          <w:sz w:val="21"/>
          <w:szCs w:val="21"/>
        </w:rPr>
        <w:t xml:space="preserve">Chiu et al., </w:t>
      </w:r>
      <w:r>
        <w:rPr>
          <w:rFonts w:ascii="Times New Roman" w:hAnsi="Times New Roman" w:cs="Times New Roman"/>
          <w:i/>
          <w:iCs/>
          <w:color w:val="5B5B5B"/>
          <w:sz w:val="21"/>
          <w:szCs w:val="21"/>
        </w:rPr>
        <w:t xml:space="preserve">Operationalization of the SAMHSA Model of Recovery: A Quality of Life Perspective,  </w:t>
      </w:r>
      <w:r>
        <w:rPr>
          <w:rFonts w:ascii="Times New Roman" w:hAnsi="Times New Roman" w:cs="Times New Roman"/>
          <w:color w:val="5B5B5B"/>
          <w:sz w:val="21"/>
          <w:szCs w:val="21"/>
        </w:rPr>
        <w:t>19 Qual. Life Res.  1 (Feb. 2010).</w:t>
      </w:r>
    </w:p>
    <w:p w:rsidR="002C5025" w:rsidRDefault="002C5025">
      <w:pPr>
        <w:pStyle w:val="BodyText"/>
        <w:kinsoku w:val="0"/>
        <w:overflowPunct w:val="0"/>
        <w:spacing w:before="2"/>
        <w:rPr>
          <w:rFonts w:ascii="Times New Roman" w:hAnsi="Times New Roman" w:cs="Times New Roman"/>
        </w:rPr>
      </w:pPr>
    </w:p>
    <w:p w:rsidR="002C5025" w:rsidRDefault="002C5025">
      <w:pPr>
        <w:pStyle w:val="BodyText"/>
        <w:kinsoku w:val="0"/>
        <w:overflowPunct w:val="0"/>
        <w:spacing w:line="247" w:lineRule="auto"/>
        <w:ind w:left="115" w:right="170" w:firstLine="4"/>
        <w:rPr>
          <w:rFonts w:ascii="Times New Roman" w:hAnsi="Times New Roman" w:cs="Times New Roman"/>
          <w:color w:val="5B5B5B"/>
          <w:sz w:val="21"/>
          <w:szCs w:val="21"/>
        </w:rPr>
      </w:pPr>
      <w:r>
        <w:rPr>
          <w:rFonts w:ascii="Times New Roman" w:hAnsi="Times New Roman" w:cs="Times New Roman"/>
          <w:color w:val="5B5B5B"/>
          <w:position w:val="5"/>
          <w:sz w:val="12"/>
          <w:szCs w:val="12"/>
        </w:rPr>
        <w:t xml:space="preserve">18 </w:t>
      </w:r>
      <w:r>
        <w:rPr>
          <w:rFonts w:ascii="Times New Roman" w:hAnsi="Times New Roman" w:cs="Times New Roman"/>
          <w:color w:val="5B5B5B"/>
          <w:sz w:val="21"/>
          <w:szCs w:val="21"/>
        </w:rPr>
        <w:t>Commercial insurance commonly seeks short-term returns to present its stockholders at its annual meeting. Commercial insurance has not been terrifically successful in holding down health care costs. MassHealth should have the foresight to focus on outcomes, which will provide savings   over time.</w:t>
      </w:r>
    </w:p>
    <w:p w:rsidR="002C5025" w:rsidRDefault="002C5025">
      <w:pPr>
        <w:pStyle w:val="BodyText"/>
        <w:kinsoku w:val="0"/>
        <w:overflowPunct w:val="0"/>
        <w:spacing w:before="4"/>
        <w:rPr>
          <w:rFonts w:ascii="Times New Roman" w:hAnsi="Times New Roman" w:cs="Times New Roman"/>
          <w:sz w:val="10"/>
          <w:szCs w:val="10"/>
        </w:rPr>
      </w:pPr>
    </w:p>
    <w:p w:rsidR="002C5025" w:rsidRDefault="002C5025">
      <w:pPr>
        <w:pStyle w:val="BodyText"/>
        <w:kinsoku w:val="0"/>
        <w:overflowPunct w:val="0"/>
        <w:spacing w:before="74"/>
        <w:ind w:left="119"/>
        <w:jc w:val="center"/>
        <w:rPr>
          <w:rFonts w:ascii="Times New Roman" w:hAnsi="Times New Roman" w:cs="Times New Roman"/>
          <w:color w:val="606060"/>
          <w:w w:val="103"/>
          <w:sz w:val="21"/>
          <w:szCs w:val="21"/>
        </w:rPr>
      </w:pPr>
      <w:r>
        <w:rPr>
          <w:rFonts w:ascii="Times New Roman" w:hAnsi="Times New Roman" w:cs="Times New Roman"/>
          <w:color w:val="606060"/>
          <w:w w:val="103"/>
          <w:sz w:val="21"/>
          <w:szCs w:val="21"/>
        </w:rPr>
        <w:t>8</w:t>
      </w:r>
    </w:p>
    <w:p w:rsidR="002C5025" w:rsidRDefault="002C5025">
      <w:pPr>
        <w:pStyle w:val="BodyText"/>
        <w:kinsoku w:val="0"/>
        <w:overflowPunct w:val="0"/>
        <w:spacing w:before="74"/>
        <w:ind w:left="119"/>
        <w:jc w:val="center"/>
        <w:rPr>
          <w:rFonts w:ascii="Times New Roman" w:hAnsi="Times New Roman" w:cs="Times New Roman"/>
          <w:color w:val="606060"/>
          <w:w w:val="103"/>
          <w:sz w:val="21"/>
          <w:szCs w:val="21"/>
        </w:rPr>
        <w:sectPr w:rsidR="002C5025">
          <w:pgSz w:w="12240" w:h="15840"/>
          <w:pgMar w:top="1320" w:right="1480" w:bottom="280" w:left="1440" w:header="720" w:footer="720" w:gutter="0"/>
          <w:cols w:space="720" w:equalWidth="0">
            <w:col w:w="9320"/>
          </w:cols>
          <w:noEndnote/>
        </w:sectPr>
      </w:pPr>
    </w:p>
    <w:p w:rsidR="002C5025" w:rsidRDefault="002C5025">
      <w:pPr>
        <w:pStyle w:val="BodyText"/>
        <w:kinsoku w:val="0"/>
        <w:overflowPunct w:val="0"/>
        <w:spacing w:before="38"/>
        <w:ind w:left="125" w:right="1839"/>
        <w:rPr>
          <w:rFonts w:ascii="Times New Roman" w:hAnsi="Times New Roman" w:cs="Times New Roman"/>
          <w:i/>
          <w:iCs/>
          <w:color w:val="606060"/>
          <w:sz w:val="27"/>
          <w:szCs w:val="27"/>
        </w:rPr>
      </w:pPr>
      <w:r>
        <w:rPr>
          <w:rFonts w:ascii="Times New Roman" w:hAnsi="Times New Roman" w:cs="Times New Roman"/>
          <w:i/>
          <w:iCs/>
          <w:color w:val="606060"/>
          <w:sz w:val="27"/>
          <w:szCs w:val="27"/>
        </w:rPr>
        <w:lastRenderedPageBreak/>
        <w:t>Certification of Community Partners</w:t>
      </w:r>
    </w:p>
    <w:p w:rsidR="002C5025" w:rsidRDefault="002C5025">
      <w:pPr>
        <w:pStyle w:val="BodyText"/>
        <w:kinsoku w:val="0"/>
        <w:overflowPunct w:val="0"/>
        <w:spacing w:before="5"/>
        <w:rPr>
          <w:rFonts w:ascii="Times New Roman" w:hAnsi="Times New Roman" w:cs="Times New Roman"/>
          <w:i/>
          <w:iCs/>
        </w:rPr>
      </w:pPr>
    </w:p>
    <w:p w:rsidR="002C5025" w:rsidRDefault="002C5025">
      <w:pPr>
        <w:pStyle w:val="BodyText"/>
        <w:kinsoku w:val="0"/>
        <w:overflowPunct w:val="0"/>
        <w:spacing w:line="280" w:lineRule="auto"/>
        <w:ind w:left="111" w:right="1839" w:firstLine="4"/>
        <w:rPr>
          <w:rFonts w:ascii="Times New Roman" w:hAnsi="Times New Roman" w:cs="Times New Roman"/>
          <w:color w:val="606060"/>
          <w:sz w:val="27"/>
          <w:szCs w:val="27"/>
        </w:rPr>
      </w:pPr>
      <w:r>
        <w:rPr>
          <w:rFonts w:ascii="Times New Roman" w:hAnsi="Times New Roman" w:cs="Times New Roman"/>
          <w:color w:val="606060"/>
          <w:sz w:val="27"/>
          <w:szCs w:val="27"/>
        </w:rPr>
        <w:t>Infrastructure and capacity should not per se disqualify (31) Community Partners from certification. Part of the purpose of DSRIP funds is to expand Community Partner infrastructure and capacity, and DSRIP doesn't start until after certification. (41)</w:t>
      </w:r>
    </w:p>
    <w:p w:rsidR="002C5025" w:rsidRDefault="002C5025">
      <w:pPr>
        <w:pStyle w:val="BodyText"/>
        <w:kinsoku w:val="0"/>
        <w:overflowPunct w:val="0"/>
        <w:spacing w:before="210"/>
        <w:ind w:left="101" w:right="1839"/>
        <w:rPr>
          <w:rFonts w:ascii="Times New Roman" w:hAnsi="Times New Roman" w:cs="Times New Roman"/>
          <w:i/>
          <w:iCs/>
          <w:color w:val="606060"/>
          <w:sz w:val="27"/>
          <w:szCs w:val="27"/>
        </w:rPr>
      </w:pPr>
      <w:r>
        <w:rPr>
          <w:rFonts w:ascii="Times New Roman" w:hAnsi="Times New Roman" w:cs="Times New Roman"/>
          <w:i/>
          <w:iCs/>
          <w:color w:val="606060"/>
          <w:sz w:val="27"/>
          <w:szCs w:val="27"/>
        </w:rPr>
        <w:t>Limited networks</w:t>
      </w:r>
    </w:p>
    <w:p w:rsidR="002C5025" w:rsidRDefault="002C5025">
      <w:pPr>
        <w:pStyle w:val="BodyText"/>
        <w:kinsoku w:val="0"/>
        <w:overflowPunct w:val="0"/>
        <w:spacing w:before="10"/>
        <w:rPr>
          <w:rFonts w:ascii="Times New Roman" w:hAnsi="Times New Roman" w:cs="Times New Roman"/>
          <w:i/>
          <w:iCs/>
          <w:sz w:val="23"/>
          <w:szCs w:val="23"/>
        </w:rPr>
      </w:pPr>
    </w:p>
    <w:p w:rsidR="002C5025" w:rsidRDefault="002C5025">
      <w:pPr>
        <w:pStyle w:val="ListParagraph"/>
        <w:numPr>
          <w:ilvl w:val="0"/>
          <w:numId w:val="30"/>
        </w:numPr>
        <w:tabs>
          <w:tab w:val="left" w:pos="827"/>
        </w:tabs>
        <w:kinsoku w:val="0"/>
        <w:overflowPunct w:val="0"/>
        <w:spacing w:line="283" w:lineRule="auto"/>
        <w:ind w:left="826" w:right="1632" w:hanging="350"/>
        <w:rPr>
          <w:color w:val="606060"/>
          <w:sz w:val="27"/>
          <w:szCs w:val="27"/>
        </w:rPr>
      </w:pPr>
      <w:r>
        <w:rPr>
          <w:color w:val="606060"/>
          <w:sz w:val="27"/>
          <w:szCs w:val="27"/>
        </w:rPr>
        <w:t xml:space="preserve">MassHealth network adequacy rules should include geographic, temporal </w:t>
      </w:r>
      <w:r>
        <w:rPr>
          <w:rFonts w:ascii="Arial" w:hAnsi="Arial" w:cs="Arial"/>
          <w:color w:val="606060"/>
          <w:spacing w:val="-3"/>
          <w:position w:val="6"/>
          <w:sz w:val="17"/>
          <w:szCs w:val="17"/>
        </w:rPr>
        <w:t>19</w:t>
      </w:r>
      <w:r>
        <w:rPr>
          <w:rFonts w:ascii="Arial" w:hAnsi="Arial" w:cs="Arial"/>
          <w:color w:val="606060"/>
          <w:spacing w:val="-3"/>
          <w:sz w:val="17"/>
          <w:szCs w:val="17"/>
        </w:rPr>
        <w:t xml:space="preserve">, </w:t>
      </w:r>
      <w:r>
        <w:rPr>
          <w:color w:val="606060"/>
          <w:sz w:val="27"/>
          <w:szCs w:val="27"/>
        </w:rPr>
        <w:t>disability specific expertise, disability accommodations for all disabilities including psychiatric disabilities, and be part of Model A and C  contracts.</w:t>
      </w:r>
    </w:p>
    <w:p w:rsidR="002C5025" w:rsidRDefault="002C5025">
      <w:pPr>
        <w:pStyle w:val="ListParagraph"/>
        <w:numPr>
          <w:ilvl w:val="0"/>
          <w:numId w:val="30"/>
        </w:numPr>
        <w:tabs>
          <w:tab w:val="left" w:pos="827"/>
        </w:tabs>
        <w:kinsoku w:val="0"/>
        <w:overflowPunct w:val="0"/>
        <w:spacing w:before="24" w:line="276" w:lineRule="auto"/>
        <w:ind w:left="828" w:right="1812" w:hanging="357"/>
        <w:rPr>
          <w:color w:val="606060"/>
          <w:sz w:val="27"/>
          <w:szCs w:val="27"/>
        </w:rPr>
      </w:pPr>
      <w:r>
        <w:rPr>
          <w:color w:val="606060"/>
          <w:sz w:val="27"/>
          <w:szCs w:val="27"/>
        </w:rPr>
        <w:t>MCO/ACO networks should allow for continuity of care (single-case, out- of-network</w:t>
      </w:r>
      <w:r>
        <w:rPr>
          <w:color w:val="606060"/>
          <w:spacing w:val="-5"/>
          <w:sz w:val="27"/>
          <w:szCs w:val="27"/>
        </w:rPr>
        <w:t xml:space="preserve"> </w:t>
      </w:r>
      <w:r>
        <w:rPr>
          <w:color w:val="606060"/>
          <w:sz w:val="27"/>
          <w:szCs w:val="27"/>
        </w:rPr>
        <w:t>agreements).</w:t>
      </w:r>
    </w:p>
    <w:p w:rsidR="002C5025" w:rsidRDefault="002C5025">
      <w:pPr>
        <w:pStyle w:val="ListParagraph"/>
        <w:numPr>
          <w:ilvl w:val="0"/>
          <w:numId w:val="30"/>
        </w:numPr>
        <w:tabs>
          <w:tab w:val="left" w:pos="827"/>
        </w:tabs>
        <w:kinsoku w:val="0"/>
        <w:overflowPunct w:val="0"/>
        <w:spacing w:before="35" w:line="283" w:lineRule="auto"/>
        <w:ind w:left="826" w:right="1924" w:hanging="350"/>
        <w:rPr>
          <w:color w:val="606060"/>
          <w:sz w:val="27"/>
          <w:szCs w:val="27"/>
        </w:rPr>
      </w:pPr>
      <w:r>
        <w:rPr>
          <w:color w:val="606060"/>
          <w:sz w:val="27"/>
          <w:szCs w:val="27"/>
        </w:rPr>
        <w:t>MassHealth should monitor the ability of individuals to obtain out-of- MCO/ACO referrals, the denial of which referral should be an appealable action.</w:t>
      </w:r>
    </w:p>
    <w:p w:rsidR="002C5025" w:rsidRDefault="002C5025">
      <w:pPr>
        <w:pStyle w:val="ListParagraph"/>
        <w:numPr>
          <w:ilvl w:val="0"/>
          <w:numId w:val="30"/>
        </w:numPr>
        <w:tabs>
          <w:tab w:val="left" w:pos="820"/>
        </w:tabs>
        <w:kinsoku w:val="0"/>
        <w:overflowPunct w:val="0"/>
        <w:spacing w:before="22" w:line="283" w:lineRule="auto"/>
        <w:ind w:left="819" w:right="1635" w:hanging="343"/>
        <w:rPr>
          <w:color w:val="606060"/>
          <w:sz w:val="27"/>
          <w:szCs w:val="27"/>
        </w:rPr>
      </w:pPr>
      <w:r>
        <w:rPr>
          <w:color w:val="606060"/>
          <w:sz w:val="27"/>
          <w:szCs w:val="27"/>
        </w:rPr>
        <w:t xml:space="preserve">Attribution of members based on their choice of PCP is not appropriate for all members as some members' most important provider might be someone other than their PCP. This is particularly true for mental health care. The therapeutic alliance is the single most accurate predictor of successful outcomes. </w:t>
      </w:r>
      <w:r>
        <w:rPr>
          <w:rFonts w:ascii="Arial" w:hAnsi="Arial" w:cs="Arial"/>
          <w:color w:val="606060"/>
          <w:sz w:val="26"/>
          <w:szCs w:val="26"/>
        </w:rPr>
        <w:t>If</w:t>
      </w:r>
      <w:r w:rsidR="00347C9E">
        <w:rPr>
          <w:rFonts w:ascii="Arial" w:hAnsi="Arial" w:cs="Arial"/>
          <w:color w:val="606060"/>
          <w:sz w:val="26"/>
          <w:szCs w:val="26"/>
        </w:rPr>
        <w:t xml:space="preserve"> </w:t>
      </w:r>
      <w:r>
        <w:rPr>
          <w:color w:val="606060"/>
          <w:sz w:val="27"/>
          <w:szCs w:val="27"/>
        </w:rPr>
        <w:t>the attribution of members is made on the basis of PCP, ACOs must enter into single-case agreements to maintain (or if the network is inadequate, to begin) treatment with a trusted</w:t>
      </w:r>
      <w:r>
        <w:rPr>
          <w:color w:val="606060"/>
          <w:spacing w:val="47"/>
          <w:sz w:val="27"/>
          <w:szCs w:val="27"/>
        </w:rPr>
        <w:t xml:space="preserve"> </w:t>
      </w:r>
      <w:r>
        <w:rPr>
          <w:color w:val="606060"/>
          <w:sz w:val="27"/>
          <w:szCs w:val="27"/>
        </w:rPr>
        <w:t>provider.</w:t>
      </w:r>
    </w:p>
    <w:p w:rsidR="002C5025" w:rsidRDefault="002C5025">
      <w:pPr>
        <w:pStyle w:val="ListParagraph"/>
        <w:numPr>
          <w:ilvl w:val="0"/>
          <w:numId w:val="30"/>
        </w:numPr>
        <w:tabs>
          <w:tab w:val="left" w:pos="820"/>
        </w:tabs>
        <w:kinsoku w:val="0"/>
        <w:overflowPunct w:val="0"/>
        <w:spacing w:before="22" w:line="280" w:lineRule="auto"/>
        <w:ind w:left="818" w:right="1584" w:hanging="347"/>
        <w:rPr>
          <w:color w:val="606060"/>
          <w:sz w:val="27"/>
          <w:szCs w:val="27"/>
        </w:rPr>
      </w:pPr>
      <w:r>
        <w:rPr>
          <w:color w:val="606060"/>
          <w:sz w:val="27"/>
          <w:szCs w:val="27"/>
        </w:rPr>
        <w:t>Preferred networks, if they do not limit member choice or result in care from a non-preferred provider being more expensive to the member or being delayed, are fine as indications of PCP preference. Limited networks aren't needed to coordinate care -coordination is a matter of communication, not contract or co-location.</w:t>
      </w:r>
      <w:r>
        <w:rPr>
          <w:color w:val="606060"/>
          <w:position w:val="6"/>
          <w:sz w:val="18"/>
          <w:szCs w:val="18"/>
        </w:rPr>
        <w:t xml:space="preserve">20  </w:t>
      </w:r>
      <w:r>
        <w:rPr>
          <w:color w:val="606060"/>
          <w:sz w:val="27"/>
          <w:szCs w:val="27"/>
        </w:rPr>
        <w:t>In fact, limited networks are a barrier to</w:t>
      </w:r>
      <w:r>
        <w:rPr>
          <w:color w:val="606060"/>
          <w:spacing w:val="17"/>
          <w:sz w:val="27"/>
          <w:szCs w:val="27"/>
        </w:rPr>
        <w:t xml:space="preserve"> </w:t>
      </w:r>
      <w:r>
        <w:rPr>
          <w:color w:val="606060"/>
          <w:sz w:val="27"/>
          <w:szCs w:val="27"/>
        </w:rPr>
        <w:t>necessary</w:t>
      </w:r>
    </w:p>
    <w:p w:rsidR="002C5025" w:rsidRDefault="00FB027C">
      <w:pPr>
        <w:pStyle w:val="BodyText"/>
        <w:kinsoku w:val="0"/>
        <w:overflowPunct w:val="0"/>
        <w:spacing w:before="11"/>
        <w:rPr>
          <w:rFonts w:ascii="Times New Roman" w:hAnsi="Times New Roman" w:cs="Times New Roman"/>
          <w:sz w:val="18"/>
          <w:szCs w:val="18"/>
        </w:rPr>
      </w:pPr>
      <w:r>
        <w:rPr>
          <w:noProof/>
        </w:rPr>
        <mc:AlternateContent>
          <mc:Choice Requires="wps">
            <w:drawing>
              <wp:anchor distT="0" distB="0" distL="0" distR="0" simplePos="0" relativeHeight="251782656" behindDoc="0" locked="0" layoutInCell="0" allowOverlap="1">
                <wp:simplePos x="0" y="0"/>
                <wp:positionH relativeFrom="page">
                  <wp:posOffset>978535</wp:posOffset>
                </wp:positionH>
                <wp:positionV relativeFrom="paragraph">
                  <wp:posOffset>168275</wp:posOffset>
                </wp:positionV>
                <wp:extent cx="1797050" cy="12700"/>
                <wp:effectExtent l="0" t="0" r="0" b="0"/>
                <wp:wrapTopAndBottom/>
                <wp:docPr id="126" name="Freeform 7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97050" cy="12700"/>
                        </a:xfrm>
                        <a:custGeom>
                          <a:avLst/>
                          <a:gdLst>
                            <a:gd name="T0" fmla="*/ 0 w 2830"/>
                            <a:gd name="T1" fmla="*/ 0 h 20"/>
                            <a:gd name="T2" fmla="*/ 2830 w 2830"/>
                            <a:gd name="T3" fmla="*/ 0 h 20"/>
                          </a:gdLst>
                          <a:ahLst/>
                          <a:cxnLst>
                            <a:cxn ang="0">
                              <a:pos x="T0" y="T1"/>
                            </a:cxn>
                            <a:cxn ang="0">
                              <a:pos x="T2" y="T3"/>
                            </a:cxn>
                          </a:cxnLst>
                          <a:rect l="0" t="0" r="r" b="b"/>
                          <a:pathLst>
                            <a:path w="2830" h="20">
                              <a:moveTo>
                                <a:pt x="0" y="0"/>
                              </a:moveTo>
                              <a:lnTo>
                                <a:pt x="2830" y="0"/>
                              </a:lnTo>
                            </a:path>
                          </a:pathLst>
                        </a:custGeom>
                        <a:noFill/>
                        <a:ln w="1050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75" o:spid="_x0000_s1026" style="position:absolute;z-index:251782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7.05pt,13.25pt,218.55pt,13.25pt" coordsize="283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" o:allowincell="f" filled="f" strokeweight=".29172mm">
                <v:path arrowok="t" o:connecttype="custom" o:connectlocs="0,0;1797050,0" o:connectangles="0,0"/>
                <w10:wrap type="topAndBottom" anchorx="page"/>
              </v:polyline>
            </w:pict>
          </mc:Fallback>
        </mc:AlternateContent>
      </w:r>
    </w:p>
    <w:p w:rsidR="002C5025" w:rsidRDefault="002C5025">
      <w:pPr>
        <w:pStyle w:val="BodyText"/>
        <w:kinsoku w:val="0"/>
        <w:overflowPunct w:val="0"/>
        <w:spacing w:before="72" w:line="247" w:lineRule="auto"/>
        <w:ind w:left="101" w:right="1659" w:firstLine="14"/>
        <w:rPr>
          <w:rFonts w:ascii="Times New Roman" w:hAnsi="Times New Roman" w:cs="Times New Roman"/>
          <w:color w:val="606060"/>
          <w:sz w:val="21"/>
          <w:szCs w:val="21"/>
        </w:rPr>
      </w:pPr>
      <w:r>
        <w:rPr>
          <w:rFonts w:ascii="Times New Roman" w:hAnsi="Times New Roman" w:cs="Times New Roman"/>
          <w:color w:val="737373"/>
          <w:spacing w:val="-8"/>
          <w:w w:val="105"/>
          <w:position w:val="5"/>
          <w:sz w:val="12"/>
          <w:szCs w:val="12"/>
        </w:rPr>
        <w:t xml:space="preserve">19 </w:t>
      </w:r>
      <w:r>
        <w:rPr>
          <w:rFonts w:ascii="Times New Roman" w:hAnsi="Times New Roman" w:cs="Times New Roman"/>
          <w:color w:val="606060"/>
          <w:w w:val="105"/>
          <w:sz w:val="21"/>
          <w:szCs w:val="21"/>
        </w:rPr>
        <w:t xml:space="preserve">Temporal </w:t>
      </w:r>
      <w:r>
        <w:rPr>
          <w:rFonts w:ascii="Times New Roman" w:hAnsi="Times New Roman" w:cs="Times New Roman"/>
          <w:color w:val="737373"/>
          <w:w w:val="105"/>
          <w:sz w:val="21"/>
          <w:szCs w:val="21"/>
        </w:rPr>
        <w:t xml:space="preserve">accessibility </w:t>
      </w:r>
      <w:r>
        <w:rPr>
          <w:rFonts w:ascii="Times New Roman" w:hAnsi="Times New Roman" w:cs="Times New Roman"/>
          <w:color w:val="606060"/>
          <w:w w:val="105"/>
          <w:sz w:val="21"/>
          <w:szCs w:val="21"/>
        </w:rPr>
        <w:t xml:space="preserve">means </w:t>
      </w:r>
      <w:r>
        <w:rPr>
          <w:rFonts w:ascii="Times New Roman" w:hAnsi="Times New Roman" w:cs="Times New Roman"/>
          <w:color w:val="737373"/>
          <w:w w:val="105"/>
          <w:sz w:val="21"/>
          <w:szCs w:val="21"/>
        </w:rPr>
        <w:t xml:space="preserve">that care </w:t>
      </w:r>
      <w:r>
        <w:rPr>
          <w:rFonts w:ascii="Times New Roman" w:hAnsi="Times New Roman" w:cs="Times New Roman"/>
          <w:color w:val="606060"/>
          <w:w w:val="105"/>
          <w:sz w:val="21"/>
          <w:szCs w:val="21"/>
        </w:rPr>
        <w:t xml:space="preserve">is </w:t>
      </w:r>
      <w:r>
        <w:rPr>
          <w:rFonts w:ascii="Times New Roman" w:hAnsi="Times New Roman" w:cs="Times New Roman"/>
          <w:color w:val="737373"/>
          <w:w w:val="105"/>
          <w:sz w:val="21"/>
          <w:szCs w:val="21"/>
        </w:rPr>
        <w:t xml:space="preserve">available </w:t>
      </w:r>
      <w:r>
        <w:rPr>
          <w:rFonts w:ascii="Times New Roman" w:hAnsi="Times New Roman" w:cs="Times New Roman"/>
          <w:color w:val="606060"/>
          <w:w w:val="105"/>
          <w:sz w:val="21"/>
          <w:szCs w:val="21"/>
        </w:rPr>
        <w:t xml:space="preserve">when members need it. </w:t>
      </w:r>
      <w:r>
        <w:rPr>
          <w:rFonts w:ascii="Arial" w:hAnsi="Arial" w:cs="Arial"/>
          <w:color w:val="606060"/>
          <w:w w:val="105"/>
          <w:sz w:val="21"/>
          <w:szCs w:val="21"/>
        </w:rPr>
        <w:t xml:space="preserve">It </w:t>
      </w:r>
      <w:r>
        <w:rPr>
          <w:rFonts w:ascii="Times New Roman" w:hAnsi="Times New Roman" w:cs="Times New Roman"/>
          <w:color w:val="606060"/>
          <w:w w:val="105"/>
          <w:sz w:val="21"/>
          <w:szCs w:val="21"/>
        </w:rPr>
        <w:t>includes the ability to obtain</w:t>
      </w:r>
      <w:r>
        <w:rPr>
          <w:rFonts w:ascii="Times New Roman" w:hAnsi="Times New Roman" w:cs="Times New Roman"/>
          <w:color w:val="606060"/>
          <w:spacing w:val="-17"/>
          <w:w w:val="105"/>
          <w:sz w:val="21"/>
          <w:szCs w:val="21"/>
        </w:rPr>
        <w:t xml:space="preserve"> </w:t>
      </w:r>
      <w:r>
        <w:rPr>
          <w:rFonts w:ascii="Times New Roman" w:hAnsi="Times New Roman" w:cs="Times New Roman"/>
          <w:color w:val="606060"/>
          <w:w w:val="105"/>
          <w:sz w:val="21"/>
          <w:szCs w:val="21"/>
        </w:rPr>
        <w:t>appointments</w:t>
      </w:r>
      <w:r>
        <w:rPr>
          <w:rFonts w:ascii="Times New Roman" w:hAnsi="Times New Roman" w:cs="Times New Roman"/>
          <w:color w:val="606060"/>
          <w:spacing w:val="-12"/>
          <w:w w:val="105"/>
          <w:sz w:val="21"/>
          <w:szCs w:val="21"/>
        </w:rPr>
        <w:t xml:space="preserve"> </w:t>
      </w:r>
      <w:r>
        <w:rPr>
          <w:rFonts w:ascii="Times New Roman" w:hAnsi="Times New Roman" w:cs="Times New Roman"/>
          <w:color w:val="606060"/>
          <w:w w:val="105"/>
          <w:sz w:val="21"/>
          <w:szCs w:val="21"/>
        </w:rPr>
        <w:t>in</w:t>
      </w:r>
      <w:r>
        <w:rPr>
          <w:rFonts w:ascii="Times New Roman" w:hAnsi="Times New Roman" w:cs="Times New Roman"/>
          <w:color w:val="606060"/>
          <w:spacing w:val="-21"/>
          <w:w w:val="105"/>
          <w:sz w:val="21"/>
          <w:szCs w:val="21"/>
        </w:rPr>
        <w:t xml:space="preserve"> </w:t>
      </w:r>
      <w:r>
        <w:rPr>
          <w:rFonts w:ascii="Times New Roman" w:hAnsi="Times New Roman" w:cs="Times New Roman"/>
          <w:color w:val="737373"/>
          <w:w w:val="105"/>
          <w:sz w:val="21"/>
          <w:szCs w:val="21"/>
        </w:rPr>
        <w:t>a</w:t>
      </w:r>
      <w:r>
        <w:rPr>
          <w:rFonts w:ascii="Times New Roman" w:hAnsi="Times New Roman" w:cs="Times New Roman"/>
          <w:color w:val="737373"/>
          <w:spacing w:val="-26"/>
          <w:w w:val="105"/>
          <w:sz w:val="21"/>
          <w:szCs w:val="21"/>
        </w:rPr>
        <w:t xml:space="preserve"> </w:t>
      </w:r>
      <w:r>
        <w:rPr>
          <w:rFonts w:ascii="Times New Roman" w:hAnsi="Times New Roman" w:cs="Times New Roman"/>
          <w:color w:val="606060"/>
          <w:w w:val="105"/>
          <w:sz w:val="21"/>
          <w:szCs w:val="21"/>
        </w:rPr>
        <w:t>timely</w:t>
      </w:r>
      <w:r>
        <w:rPr>
          <w:rFonts w:ascii="Times New Roman" w:hAnsi="Times New Roman" w:cs="Times New Roman"/>
          <w:color w:val="606060"/>
          <w:spacing w:val="-17"/>
          <w:w w:val="105"/>
          <w:sz w:val="21"/>
          <w:szCs w:val="21"/>
        </w:rPr>
        <w:t xml:space="preserve"> </w:t>
      </w:r>
      <w:r>
        <w:rPr>
          <w:rFonts w:ascii="Times New Roman" w:hAnsi="Times New Roman" w:cs="Times New Roman"/>
          <w:color w:val="606060"/>
          <w:w w:val="105"/>
          <w:sz w:val="21"/>
          <w:szCs w:val="21"/>
        </w:rPr>
        <w:t>manner</w:t>
      </w:r>
      <w:r>
        <w:rPr>
          <w:rFonts w:ascii="Times New Roman" w:hAnsi="Times New Roman" w:cs="Times New Roman"/>
          <w:color w:val="606060"/>
          <w:spacing w:val="-10"/>
          <w:w w:val="105"/>
          <w:sz w:val="21"/>
          <w:szCs w:val="21"/>
        </w:rPr>
        <w:t xml:space="preserve"> </w:t>
      </w:r>
      <w:r>
        <w:rPr>
          <w:rFonts w:ascii="Times New Roman" w:hAnsi="Times New Roman" w:cs="Times New Roman"/>
          <w:color w:val="606060"/>
          <w:w w:val="105"/>
          <w:sz w:val="21"/>
          <w:szCs w:val="21"/>
        </w:rPr>
        <w:t>and</w:t>
      </w:r>
      <w:r>
        <w:rPr>
          <w:rFonts w:ascii="Times New Roman" w:hAnsi="Times New Roman" w:cs="Times New Roman"/>
          <w:color w:val="606060"/>
          <w:spacing w:val="-19"/>
          <w:w w:val="105"/>
          <w:sz w:val="21"/>
          <w:szCs w:val="21"/>
        </w:rPr>
        <w:t xml:space="preserve"> </w:t>
      </w:r>
      <w:r>
        <w:rPr>
          <w:rFonts w:ascii="Times New Roman" w:hAnsi="Times New Roman" w:cs="Times New Roman"/>
          <w:color w:val="606060"/>
          <w:w w:val="105"/>
          <w:sz w:val="21"/>
          <w:szCs w:val="21"/>
        </w:rPr>
        <w:t>without</w:t>
      </w:r>
      <w:r>
        <w:rPr>
          <w:rFonts w:ascii="Times New Roman" w:hAnsi="Times New Roman" w:cs="Times New Roman"/>
          <w:color w:val="606060"/>
          <w:spacing w:val="-10"/>
          <w:w w:val="105"/>
          <w:sz w:val="21"/>
          <w:szCs w:val="21"/>
        </w:rPr>
        <w:t xml:space="preserve"> </w:t>
      </w:r>
      <w:r>
        <w:rPr>
          <w:rFonts w:ascii="Times New Roman" w:hAnsi="Times New Roman" w:cs="Times New Roman"/>
          <w:color w:val="606060"/>
          <w:w w:val="105"/>
          <w:sz w:val="21"/>
          <w:szCs w:val="21"/>
        </w:rPr>
        <w:t>long</w:t>
      </w:r>
      <w:r>
        <w:rPr>
          <w:rFonts w:ascii="Times New Roman" w:hAnsi="Times New Roman" w:cs="Times New Roman"/>
          <w:color w:val="606060"/>
          <w:spacing w:val="-19"/>
          <w:w w:val="105"/>
          <w:sz w:val="21"/>
          <w:szCs w:val="21"/>
        </w:rPr>
        <w:t xml:space="preserve"> </w:t>
      </w:r>
      <w:r>
        <w:rPr>
          <w:rFonts w:ascii="Times New Roman" w:hAnsi="Times New Roman" w:cs="Times New Roman"/>
          <w:color w:val="606060"/>
          <w:w w:val="105"/>
          <w:sz w:val="21"/>
          <w:szCs w:val="21"/>
        </w:rPr>
        <w:t>waits</w:t>
      </w:r>
      <w:r>
        <w:rPr>
          <w:rFonts w:ascii="Times New Roman" w:hAnsi="Times New Roman" w:cs="Times New Roman"/>
          <w:color w:val="606060"/>
          <w:spacing w:val="-17"/>
          <w:w w:val="105"/>
          <w:sz w:val="21"/>
          <w:szCs w:val="21"/>
        </w:rPr>
        <w:t xml:space="preserve"> </w:t>
      </w:r>
      <w:r>
        <w:rPr>
          <w:rFonts w:ascii="Times New Roman" w:hAnsi="Times New Roman" w:cs="Times New Roman"/>
          <w:color w:val="606060"/>
          <w:w w:val="105"/>
          <w:sz w:val="21"/>
          <w:szCs w:val="21"/>
        </w:rPr>
        <w:t>at</w:t>
      </w:r>
      <w:r>
        <w:rPr>
          <w:rFonts w:ascii="Times New Roman" w:hAnsi="Times New Roman" w:cs="Times New Roman"/>
          <w:color w:val="606060"/>
          <w:spacing w:val="-19"/>
          <w:w w:val="105"/>
          <w:sz w:val="21"/>
          <w:szCs w:val="21"/>
        </w:rPr>
        <w:t xml:space="preserve"> </w:t>
      </w:r>
      <w:r>
        <w:rPr>
          <w:rFonts w:ascii="Times New Roman" w:hAnsi="Times New Roman" w:cs="Times New Roman"/>
          <w:color w:val="606060"/>
          <w:w w:val="105"/>
          <w:sz w:val="21"/>
          <w:szCs w:val="21"/>
        </w:rPr>
        <w:t>a</w:t>
      </w:r>
      <w:r>
        <w:rPr>
          <w:rFonts w:ascii="Times New Roman" w:hAnsi="Times New Roman" w:cs="Times New Roman"/>
          <w:color w:val="606060"/>
          <w:spacing w:val="-26"/>
          <w:w w:val="105"/>
          <w:sz w:val="21"/>
          <w:szCs w:val="21"/>
        </w:rPr>
        <w:t xml:space="preserve"> </w:t>
      </w:r>
      <w:r>
        <w:rPr>
          <w:rFonts w:ascii="Times New Roman" w:hAnsi="Times New Roman" w:cs="Times New Roman"/>
          <w:color w:val="606060"/>
          <w:w w:val="105"/>
          <w:sz w:val="21"/>
          <w:szCs w:val="21"/>
        </w:rPr>
        <w:t>time</w:t>
      </w:r>
      <w:r>
        <w:rPr>
          <w:rFonts w:ascii="Times New Roman" w:hAnsi="Times New Roman" w:cs="Times New Roman"/>
          <w:color w:val="606060"/>
          <w:spacing w:val="-15"/>
          <w:w w:val="105"/>
          <w:sz w:val="21"/>
          <w:szCs w:val="21"/>
        </w:rPr>
        <w:t xml:space="preserve"> </w:t>
      </w:r>
      <w:r>
        <w:rPr>
          <w:rFonts w:ascii="Times New Roman" w:hAnsi="Times New Roman" w:cs="Times New Roman"/>
          <w:color w:val="606060"/>
          <w:w w:val="105"/>
          <w:sz w:val="21"/>
          <w:szCs w:val="21"/>
        </w:rPr>
        <w:t>appropriate</w:t>
      </w:r>
      <w:r>
        <w:rPr>
          <w:rFonts w:ascii="Times New Roman" w:hAnsi="Times New Roman" w:cs="Times New Roman"/>
          <w:color w:val="606060"/>
          <w:spacing w:val="-12"/>
          <w:w w:val="105"/>
          <w:sz w:val="21"/>
          <w:szCs w:val="21"/>
        </w:rPr>
        <w:t xml:space="preserve"> </w:t>
      </w:r>
      <w:r>
        <w:rPr>
          <w:rFonts w:ascii="Times New Roman" w:hAnsi="Times New Roman" w:cs="Times New Roman"/>
          <w:color w:val="606060"/>
          <w:w w:val="105"/>
          <w:sz w:val="21"/>
          <w:szCs w:val="21"/>
        </w:rPr>
        <w:t>to</w:t>
      </w:r>
      <w:r>
        <w:rPr>
          <w:rFonts w:ascii="Times New Roman" w:hAnsi="Times New Roman" w:cs="Times New Roman"/>
          <w:color w:val="606060"/>
          <w:spacing w:val="-21"/>
          <w:w w:val="105"/>
          <w:sz w:val="21"/>
          <w:szCs w:val="21"/>
        </w:rPr>
        <w:t xml:space="preserve"> </w:t>
      </w:r>
      <w:r>
        <w:rPr>
          <w:rFonts w:ascii="Times New Roman" w:hAnsi="Times New Roman" w:cs="Times New Roman"/>
          <w:color w:val="606060"/>
          <w:w w:val="105"/>
          <w:sz w:val="21"/>
          <w:szCs w:val="21"/>
        </w:rPr>
        <w:t>the</w:t>
      </w:r>
      <w:r>
        <w:rPr>
          <w:rFonts w:ascii="Times New Roman" w:hAnsi="Times New Roman" w:cs="Times New Roman"/>
          <w:color w:val="606060"/>
          <w:spacing w:val="-23"/>
          <w:w w:val="105"/>
          <w:sz w:val="21"/>
          <w:szCs w:val="21"/>
        </w:rPr>
        <w:t xml:space="preserve"> </w:t>
      </w:r>
      <w:r>
        <w:rPr>
          <w:rFonts w:ascii="Times New Roman" w:hAnsi="Times New Roman" w:cs="Times New Roman"/>
          <w:color w:val="606060"/>
          <w:w w:val="105"/>
          <w:sz w:val="21"/>
          <w:szCs w:val="21"/>
        </w:rPr>
        <w:t>member</w:t>
      </w:r>
      <w:r>
        <w:rPr>
          <w:rFonts w:ascii="Times New Roman" w:hAnsi="Times New Roman" w:cs="Times New Roman"/>
          <w:color w:val="606060"/>
          <w:spacing w:val="-12"/>
          <w:w w:val="105"/>
          <w:sz w:val="21"/>
          <w:szCs w:val="21"/>
        </w:rPr>
        <w:t xml:space="preserve"> </w:t>
      </w:r>
      <w:r>
        <w:rPr>
          <w:rFonts w:ascii="Times New Roman" w:hAnsi="Times New Roman" w:cs="Times New Roman"/>
          <w:color w:val="606060"/>
          <w:w w:val="105"/>
          <w:sz w:val="21"/>
          <w:szCs w:val="21"/>
        </w:rPr>
        <w:t xml:space="preserve">(e.g., after-hours care for uncomfortable conditions or if the member is reliant on relatives who work during business hours </w:t>
      </w:r>
      <w:proofErr w:type="spellStart"/>
      <w:r>
        <w:rPr>
          <w:rFonts w:ascii="Times New Roman" w:hAnsi="Times New Roman" w:cs="Times New Roman"/>
          <w:color w:val="606060"/>
          <w:w w:val="105"/>
          <w:sz w:val="21"/>
          <w:szCs w:val="21"/>
        </w:rPr>
        <w:t>fortransportation</w:t>
      </w:r>
      <w:proofErr w:type="spellEnd"/>
      <w:r>
        <w:rPr>
          <w:rFonts w:ascii="Times New Roman" w:hAnsi="Times New Roman" w:cs="Times New Roman"/>
          <w:color w:val="606060"/>
          <w:w w:val="105"/>
          <w:sz w:val="21"/>
          <w:szCs w:val="21"/>
        </w:rPr>
        <w:t xml:space="preserve">/support, and </w:t>
      </w:r>
      <w:r>
        <w:rPr>
          <w:rFonts w:ascii="Times New Roman" w:hAnsi="Times New Roman" w:cs="Times New Roman"/>
          <w:color w:val="737373"/>
          <w:w w:val="105"/>
          <w:sz w:val="21"/>
          <w:szCs w:val="21"/>
        </w:rPr>
        <w:t xml:space="preserve">afternoon appointments </w:t>
      </w:r>
      <w:r>
        <w:rPr>
          <w:rFonts w:ascii="Times New Roman" w:hAnsi="Times New Roman" w:cs="Times New Roman"/>
          <w:color w:val="606060"/>
          <w:w w:val="105"/>
          <w:sz w:val="21"/>
          <w:szCs w:val="21"/>
        </w:rPr>
        <w:t xml:space="preserve">if their disability </w:t>
      </w:r>
      <w:proofErr w:type="spellStart"/>
      <w:r>
        <w:rPr>
          <w:rFonts w:ascii="Times New Roman" w:hAnsi="Times New Roman" w:cs="Times New Roman"/>
          <w:color w:val="606060"/>
          <w:spacing w:val="2"/>
          <w:w w:val="105"/>
          <w:sz w:val="21"/>
          <w:szCs w:val="21"/>
        </w:rPr>
        <w:t>ormedication</w:t>
      </w:r>
      <w:proofErr w:type="spellEnd"/>
      <w:r>
        <w:rPr>
          <w:rFonts w:ascii="Times New Roman" w:hAnsi="Times New Roman" w:cs="Times New Roman"/>
          <w:color w:val="606060"/>
          <w:spacing w:val="2"/>
          <w:w w:val="105"/>
          <w:sz w:val="21"/>
          <w:szCs w:val="21"/>
        </w:rPr>
        <w:t xml:space="preserve"> </w:t>
      </w:r>
      <w:proofErr w:type="spellStart"/>
      <w:r>
        <w:rPr>
          <w:rFonts w:ascii="Times New Roman" w:hAnsi="Times New Roman" w:cs="Times New Roman"/>
          <w:color w:val="606060"/>
          <w:spacing w:val="2"/>
          <w:sz w:val="21"/>
          <w:szCs w:val="21"/>
        </w:rPr>
        <w:t>makesmorningappointments</w:t>
      </w:r>
      <w:proofErr w:type="spellEnd"/>
      <w:r>
        <w:rPr>
          <w:rFonts w:ascii="Times New Roman" w:hAnsi="Times New Roman" w:cs="Times New Roman"/>
          <w:color w:val="606060"/>
          <w:spacing w:val="2"/>
          <w:sz w:val="21"/>
          <w:szCs w:val="21"/>
        </w:rPr>
        <w:t xml:space="preserve"> </w:t>
      </w:r>
      <w:r>
        <w:rPr>
          <w:rFonts w:ascii="Times New Roman" w:hAnsi="Times New Roman" w:cs="Times New Roman"/>
          <w:color w:val="606060"/>
          <w:spacing w:val="53"/>
          <w:sz w:val="21"/>
          <w:szCs w:val="21"/>
        </w:rPr>
        <w:t xml:space="preserve"> </w:t>
      </w:r>
      <w:r>
        <w:rPr>
          <w:rFonts w:ascii="Times New Roman" w:hAnsi="Times New Roman" w:cs="Times New Roman"/>
          <w:color w:val="606060"/>
          <w:sz w:val="21"/>
          <w:szCs w:val="21"/>
        </w:rPr>
        <w:t>difficult).</w:t>
      </w:r>
    </w:p>
    <w:p w:rsidR="002C5025" w:rsidRDefault="00FB027C">
      <w:pPr>
        <w:pStyle w:val="BodyText"/>
        <w:kinsoku w:val="0"/>
        <w:overflowPunct w:val="0"/>
        <w:spacing w:before="107" w:line="235" w:lineRule="auto"/>
        <w:ind w:left="101" w:right="1839"/>
        <w:rPr>
          <w:rFonts w:ascii="Times New Roman" w:hAnsi="Times New Roman" w:cs="Times New Roman"/>
          <w:color w:val="606060"/>
          <w:sz w:val="21"/>
          <w:szCs w:val="21"/>
        </w:rPr>
      </w:pPr>
      <w:r>
        <w:rPr>
          <w:noProof/>
        </w:rPr>
        <mc:AlternateContent>
          <mc:Choice Requires="wps">
            <w:drawing>
              <wp:anchor distT="0" distB="0" distL="114300" distR="114300" simplePos="0" relativeHeight="251783680" behindDoc="0" locked="0" layoutInCell="0" allowOverlap="1">
                <wp:simplePos x="0" y="0"/>
                <wp:positionH relativeFrom="page">
                  <wp:posOffset>7684135</wp:posOffset>
                </wp:positionH>
                <wp:positionV relativeFrom="paragraph">
                  <wp:posOffset>688975</wp:posOffset>
                </wp:positionV>
                <wp:extent cx="12700" cy="727710"/>
                <wp:effectExtent l="0" t="0" r="0" b="0"/>
                <wp:wrapNone/>
                <wp:docPr id="122" name="Freeform 7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27710"/>
                        </a:xfrm>
                        <a:custGeom>
                          <a:avLst/>
                          <a:gdLst>
                            <a:gd name="T0" fmla="*/ 0 w 20"/>
                            <a:gd name="T1" fmla="*/ 1146 h 1146"/>
                            <a:gd name="T2" fmla="*/ 0 w 20"/>
                            <a:gd name="T3" fmla="*/ 0 h 1146"/>
                          </a:gdLst>
                          <a:ahLst/>
                          <a:cxnLst>
                            <a:cxn ang="0">
                              <a:pos x="T0" y="T1"/>
                            </a:cxn>
                            <a:cxn ang="0">
                              <a:pos x="T2" y="T3"/>
                            </a:cxn>
                          </a:cxnLst>
                          <a:rect l="0" t="0" r="r" b="b"/>
                          <a:pathLst>
                            <a:path w="20" h="1146">
                              <a:moveTo>
                                <a:pt x="0" y="1146"/>
                              </a:moveTo>
                              <a:lnTo>
                                <a:pt x="0" y="0"/>
                              </a:lnTo>
                            </a:path>
                          </a:pathLst>
                        </a:custGeom>
                        <a:noFill/>
                        <a:ln w="45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76" o:spid="_x0000_s1026" style="position:absolute;z-index:251783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05.05pt,111.55pt,605.05pt,54.25pt" coordsize="20,1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" o:allowincell="f" filled="f" strokeweight=".1252mm">
                <v:path arrowok="t" o:connecttype="custom" o:connectlocs="0,727710;0,0" o:connectangles="0,0"/>
                <w10:wrap anchorx="page"/>
              </v:polyline>
            </w:pict>
          </mc:Fallback>
        </mc:AlternateContent>
      </w:r>
      <w:r w:rsidR="002C5025">
        <w:rPr>
          <w:rFonts w:ascii="Arial" w:hAnsi="Arial" w:cs="Arial"/>
          <w:color w:val="9B9B9B"/>
          <w:w w:val="99"/>
          <w:position w:val="5"/>
          <w:sz w:val="14"/>
          <w:szCs w:val="14"/>
        </w:rPr>
        <w:t>2</w:t>
      </w:r>
      <w:r w:rsidR="002C5025">
        <w:rPr>
          <w:rFonts w:ascii="Arial" w:hAnsi="Arial" w:cs="Arial"/>
          <w:color w:val="737373"/>
          <w:w w:val="99"/>
          <w:sz w:val="38"/>
          <w:szCs w:val="38"/>
        </w:rPr>
        <w:t xml:space="preserve">° </w:t>
      </w:r>
      <w:r w:rsidR="002C5025">
        <w:rPr>
          <w:rFonts w:ascii="Times New Roman" w:hAnsi="Times New Roman" w:cs="Times New Roman"/>
          <w:color w:val="737373"/>
          <w:sz w:val="21"/>
          <w:szCs w:val="21"/>
        </w:rPr>
        <w:t xml:space="preserve">Co-location </w:t>
      </w:r>
      <w:r w:rsidR="002C5025">
        <w:rPr>
          <w:rFonts w:ascii="Times New Roman" w:hAnsi="Times New Roman" w:cs="Times New Roman"/>
          <w:color w:val="606060"/>
          <w:sz w:val="21"/>
          <w:szCs w:val="21"/>
        </w:rPr>
        <w:t xml:space="preserve">requirements </w:t>
      </w:r>
      <w:r w:rsidR="002C5025">
        <w:rPr>
          <w:rFonts w:ascii="Times New Roman" w:hAnsi="Times New Roman" w:cs="Times New Roman"/>
          <w:color w:val="737373"/>
          <w:sz w:val="21"/>
          <w:szCs w:val="21"/>
        </w:rPr>
        <w:t xml:space="preserve">actually </w:t>
      </w:r>
      <w:r w:rsidR="002C5025">
        <w:rPr>
          <w:rFonts w:ascii="Times New Roman" w:hAnsi="Times New Roman" w:cs="Times New Roman"/>
          <w:color w:val="606060"/>
          <w:sz w:val="21"/>
          <w:szCs w:val="21"/>
        </w:rPr>
        <w:t xml:space="preserve">impede care. Several MHLAC clients have had trouble </w:t>
      </w:r>
      <w:r w:rsidR="002C5025">
        <w:rPr>
          <w:rFonts w:ascii="Times New Roman" w:hAnsi="Times New Roman" w:cs="Times New Roman"/>
          <w:color w:val="737373"/>
          <w:sz w:val="21"/>
          <w:szCs w:val="21"/>
        </w:rPr>
        <w:t xml:space="preserve">finding a </w:t>
      </w:r>
      <w:r w:rsidR="002C5025">
        <w:rPr>
          <w:rFonts w:ascii="Times New Roman" w:hAnsi="Times New Roman" w:cs="Times New Roman"/>
          <w:color w:val="606060"/>
          <w:sz w:val="21"/>
          <w:szCs w:val="21"/>
        </w:rPr>
        <w:t xml:space="preserve">psychiatrist because the clinics insist they </w:t>
      </w:r>
      <w:r w:rsidR="002C5025">
        <w:rPr>
          <w:rFonts w:ascii="Times New Roman" w:hAnsi="Times New Roman" w:cs="Times New Roman"/>
          <w:color w:val="737373"/>
          <w:sz w:val="21"/>
          <w:szCs w:val="21"/>
        </w:rPr>
        <w:t xml:space="preserve">switch </w:t>
      </w:r>
      <w:r w:rsidR="002C5025">
        <w:rPr>
          <w:rFonts w:ascii="Times New Roman" w:hAnsi="Times New Roman" w:cs="Times New Roman"/>
          <w:color w:val="606060"/>
          <w:sz w:val="21"/>
          <w:szCs w:val="21"/>
        </w:rPr>
        <w:t xml:space="preserve">therapists, with </w:t>
      </w:r>
      <w:r w:rsidR="002C5025">
        <w:rPr>
          <w:rFonts w:ascii="Times New Roman" w:hAnsi="Times New Roman" w:cs="Times New Roman"/>
          <w:color w:val="737373"/>
          <w:sz w:val="21"/>
          <w:szCs w:val="21"/>
        </w:rPr>
        <w:t xml:space="preserve">whom </w:t>
      </w:r>
      <w:r w:rsidR="002C5025">
        <w:rPr>
          <w:rFonts w:ascii="Times New Roman" w:hAnsi="Times New Roman" w:cs="Times New Roman"/>
          <w:color w:val="606060"/>
          <w:sz w:val="21"/>
          <w:szCs w:val="21"/>
        </w:rPr>
        <w:t xml:space="preserve">they had </w:t>
      </w:r>
      <w:r w:rsidR="002C5025">
        <w:rPr>
          <w:rFonts w:ascii="Times New Roman" w:hAnsi="Times New Roman" w:cs="Times New Roman"/>
          <w:color w:val="737373"/>
          <w:sz w:val="21"/>
          <w:szCs w:val="21"/>
        </w:rPr>
        <w:t xml:space="preserve">good </w:t>
      </w:r>
      <w:r w:rsidR="002C5025">
        <w:rPr>
          <w:rFonts w:ascii="Times New Roman" w:hAnsi="Times New Roman" w:cs="Times New Roman"/>
          <w:color w:val="606060"/>
          <w:sz w:val="21"/>
          <w:szCs w:val="21"/>
        </w:rPr>
        <w:t>relations, to therapists  in the clinics if they wanted to see the clinics'  psychiatrists.</w:t>
      </w:r>
    </w:p>
    <w:p w:rsidR="002C5025" w:rsidRDefault="002C5025">
      <w:pPr>
        <w:pStyle w:val="BodyText"/>
        <w:kinsoku w:val="0"/>
        <w:overflowPunct w:val="0"/>
        <w:spacing w:before="177"/>
        <w:ind w:right="1318"/>
        <w:jc w:val="center"/>
        <w:rPr>
          <w:rFonts w:ascii="Times New Roman" w:hAnsi="Times New Roman" w:cs="Times New Roman"/>
          <w:color w:val="606060"/>
          <w:w w:val="103"/>
          <w:sz w:val="21"/>
          <w:szCs w:val="21"/>
        </w:rPr>
      </w:pPr>
      <w:r>
        <w:rPr>
          <w:rFonts w:ascii="Times New Roman" w:hAnsi="Times New Roman" w:cs="Times New Roman"/>
          <w:color w:val="606060"/>
          <w:w w:val="103"/>
          <w:sz w:val="21"/>
          <w:szCs w:val="21"/>
        </w:rPr>
        <w:t>9</w:t>
      </w:r>
    </w:p>
    <w:p w:rsidR="002C5025" w:rsidRDefault="002C5025">
      <w:pPr>
        <w:pStyle w:val="BodyText"/>
        <w:kinsoku w:val="0"/>
        <w:overflowPunct w:val="0"/>
        <w:spacing w:before="177"/>
        <w:ind w:right="1318"/>
        <w:jc w:val="center"/>
        <w:rPr>
          <w:rFonts w:ascii="Times New Roman" w:hAnsi="Times New Roman" w:cs="Times New Roman"/>
          <w:color w:val="606060"/>
          <w:w w:val="103"/>
          <w:sz w:val="21"/>
          <w:szCs w:val="21"/>
        </w:rPr>
        <w:sectPr w:rsidR="002C5025">
          <w:pgSz w:w="12240" w:h="15840"/>
          <w:pgMar w:top="1320" w:right="20" w:bottom="280" w:left="1420" w:header="720" w:footer="720" w:gutter="0"/>
          <w:cols w:space="720" w:equalWidth="0">
            <w:col w:w="10800"/>
          </w:cols>
          <w:noEndnote/>
        </w:sectPr>
      </w:pPr>
    </w:p>
    <w:p w:rsidR="002C5025" w:rsidRDefault="002C5025">
      <w:pPr>
        <w:pStyle w:val="BodyText"/>
        <w:kinsoku w:val="0"/>
        <w:overflowPunct w:val="0"/>
        <w:spacing w:before="48" w:line="285" w:lineRule="auto"/>
        <w:ind w:left="836" w:right="1489" w:firstLine="4"/>
        <w:rPr>
          <w:rFonts w:ascii="Times New Roman" w:hAnsi="Times New Roman" w:cs="Times New Roman"/>
          <w:color w:val="626262"/>
          <w:position w:val="6"/>
          <w:sz w:val="17"/>
          <w:szCs w:val="17"/>
        </w:rPr>
      </w:pPr>
      <w:r>
        <w:rPr>
          <w:rFonts w:ascii="Times New Roman" w:hAnsi="Times New Roman" w:cs="Times New Roman"/>
          <w:color w:val="626262"/>
          <w:sz w:val="27"/>
          <w:szCs w:val="27"/>
        </w:rPr>
        <w:lastRenderedPageBreak/>
        <w:t>care. For example, the American College of Emergency Physician found that limited networks contribute to emergency room boarding of persons with psychiatric crises and recommends the elimination of out-of-network insurance issues.</w:t>
      </w:r>
      <w:r>
        <w:rPr>
          <w:rFonts w:ascii="Times New Roman" w:hAnsi="Times New Roman" w:cs="Times New Roman"/>
          <w:color w:val="626262"/>
          <w:position w:val="6"/>
          <w:sz w:val="17"/>
          <w:szCs w:val="17"/>
        </w:rPr>
        <w:t>21</w:t>
      </w:r>
    </w:p>
    <w:p w:rsidR="002C5025" w:rsidRDefault="002C5025">
      <w:pPr>
        <w:pStyle w:val="BodyText"/>
        <w:kinsoku w:val="0"/>
        <w:overflowPunct w:val="0"/>
        <w:spacing w:before="192"/>
        <w:ind w:left="113" w:right="1839"/>
        <w:rPr>
          <w:rFonts w:ascii="Times New Roman" w:hAnsi="Times New Roman" w:cs="Times New Roman"/>
          <w:color w:val="626262"/>
          <w:sz w:val="27"/>
          <w:szCs w:val="27"/>
        </w:rPr>
      </w:pPr>
      <w:r>
        <w:rPr>
          <w:rFonts w:ascii="Times New Roman" w:hAnsi="Times New Roman" w:cs="Times New Roman"/>
          <w:i/>
          <w:iCs/>
          <w:color w:val="626262"/>
          <w:sz w:val="27"/>
          <w:szCs w:val="27"/>
        </w:rPr>
        <w:t xml:space="preserve">Annual enrollment for MCO program  </w:t>
      </w:r>
      <w:r>
        <w:rPr>
          <w:rFonts w:ascii="Times New Roman" w:hAnsi="Times New Roman" w:cs="Times New Roman"/>
          <w:color w:val="626262"/>
          <w:sz w:val="27"/>
          <w:szCs w:val="27"/>
        </w:rPr>
        <w:t>(11)</w:t>
      </w:r>
    </w:p>
    <w:p w:rsidR="002C5025" w:rsidRDefault="002C5025">
      <w:pPr>
        <w:pStyle w:val="BodyText"/>
        <w:kinsoku w:val="0"/>
        <w:overflowPunct w:val="0"/>
        <w:spacing w:before="1"/>
        <w:rPr>
          <w:rFonts w:ascii="Times New Roman" w:hAnsi="Times New Roman" w:cs="Times New Roman"/>
          <w:sz w:val="23"/>
          <w:szCs w:val="23"/>
        </w:rPr>
      </w:pPr>
    </w:p>
    <w:p w:rsidR="002C5025" w:rsidRDefault="002C5025">
      <w:pPr>
        <w:pStyle w:val="BodyText"/>
        <w:kinsoku w:val="0"/>
        <w:overflowPunct w:val="0"/>
        <w:spacing w:line="283" w:lineRule="auto"/>
        <w:ind w:left="127" w:right="1659" w:firstLine="3"/>
        <w:rPr>
          <w:rFonts w:ascii="Times New Roman" w:hAnsi="Times New Roman" w:cs="Times New Roman"/>
          <w:color w:val="626262"/>
          <w:sz w:val="27"/>
          <w:szCs w:val="27"/>
        </w:rPr>
      </w:pPr>
      <w:r>
        <w:rPr>
          <w:rFonts w:ascii="Times New Roman" w:hAnsi="Times New Roman" w:cs="Times New Roman"/>
          <w:color w:val="626262"/>
          <w:sz w:val="27"/>
          <w:szCs w:val="27"/>
        </w:rPr>
        <w:t>MHLAC opposes enrollment lock-in. (See attached comments.) Members should not be locked in for a year when providers are not locked-in for the year and MCO internal policies, protocols and services may change. Further, the health needs of a member may change, affecting the desirability of the MCO for that</w:t>
      </w:r>
      <w:r>
        <w:rPr>
          <w:rFonts w:ascii="Times New Roman" w:hAnsi="Times New Roman" w:cs="Times New Roman"/>
          <w:color w:val="626262"/>
          <w:spacing w:val="54"/>
          <w:sz w:val="27"/>
          <w:szCs w:val="27"/>
        </w:rPr>
        <w:t xml:space="preserve"> </w:t>
      </w:r>
      <w:r>
        <w:rPr>
          <w:rFonts w:ascii="Times New Roman" w:hAnsi="Times New Roman" w:cs="Times New Roman"/>
          <w:color w:val="626262"/>
          <w:sz w:val="27"/>
          <w:szCs w:val="27"/>
        </w:rPr>
        <w:t>member.</w:t>
      </w:r>
    </w:p>
    <w:p w:rsidR="002C5025" w:rsidRDefault="002C5025">
      <w:pPr>
        <w:pStyle w:val="BodyText"/>
        <w:kinsoku w:val="0"/>
        <w:overflowPunct w:val="0"/>
        <w:rPr>
          <w:rFonts w:ascii="Times New Roman" w:hAnsi="Times New Roman" w:cs="Times New Roman"/>
          <w:sz w:val="26"/>
          <w:szCs w:val="26"/>
        </w:rPr>
      </w:pPr>
    </w:p>
    <w:p w:rsidR="002C5025" w:rsidRDefault="002C5025">
      <w:pPr>
        <w:pStyle w:val="BodyText"/>
        <w:kinsoku w:val="0"/>
        <w:overflowPunct w:val="0"/>
        <w:rPr>
          <w:rFonts w:ascii="Times New Roman" w:hAnsi="Times New Roman" w:cs="Times New Roman"/>
          <w:sz w:val="26"/>
          <w:szCs w:val="26"/>
        </w:rPr>
      </w:pPr>
    </w:p>
    <w:p w:rsidR="002C5025" w:rsidRDefault="002C5025">
      <w:pPr>
        <w:pStyle w:val="BodyText"/>
        <w:kinsoku w:val="0"/>
        <w:overflowPunct w:val="0"/>
        <w:spacing w:before="163"/>
        <w:ind w:left="130" w:right="1839"/>
        <w:rPr>
          <w:rFonts w:ascii="Times New Roman" w:hAnsi="Times New Roman" w:cs="Times New Roman"/>
          <w:color w:val="626262"/>
          <w:sz w:val="27"/>
          <w:szCs w:val="27"/>
        </w:rPr>
      </w:pPr>
      <w:r>
        <w:rPr>
          <w:rFonts w:ascii="Times New Roman" w:hAnsi="Times New Roman" w:cs="Times New Roman"/>
          <w:color w:val="626262"/>
          <w:sz w:val="27"/>
          <w:szCs w:val="27"/>
        </w:rPr>
        <w:t>Proposals</w:t>
      </w:r>
    </w:p>
    <w:p w:rsidR="002C5025" w:rsidRDefault="002C5025">
      <w:pPr>
        <w:pStyle w:val="BodyText"/>
        <w:kinsoku w:val="0"/>
        <w:overflowPunct w:val="0"/>
        <w:spacing w:before="5"/>
        <w:rPr>
          <w:rFonts w:ascii="Times New Roman" w:hAnsi="Times New Roman" w:cs="Times New Roman"/>
        </w:rPr>
      </w:pPr>
    </w:p>
    <w:p w:rsidR="002C5025" w:rsidRDefault="002C5025">
      <w:pPr>
        <w:pStyle w:val="BodyText"/>
        <w:kinsoku w:val="0"/>
        <w:overflowPunct w:val="0"/>
        <w:spacing w:line="280" w:lineRule="auto"/>
        <w:ind w:left="120" w:right="1839" w:firstLine="4"/>
        <w:rPr>
          <w:rFonts w:ascii="Times New Roman" w:hAnsi="Times New Roman" w:cs="Times New Roman"/>
          <w:color w:val="626262"/>
          <w:sz w:val="27"/>
          <w:szCs w:val="27"/>
        </w:rPr>
      </w:pPr>
      <w:r>
        <w:rPr>
          <w:rFonts w:ascii="Times New Roman" w:hAnsi="Times New Roman" w:cs="Times New Roman"/>
          <w:color w:val="626262"/>
          <w:sz w:val="27"/>
          <w:szCs w:val="27"/>
        </w:rPr>
        <w:t>MassHealth should structure the delivery system so that it relies more heavily on alternatives, LTSS, peer services</w:t>
      </w:r>
      <w:r>
        <w:rPr>
          <w:rFonts w:ascii="Times New Roman" w:hAnsi="Times New Roman" w:cs="Times New Roman"/>
          <w:color w:val="7D7D7D"/>
          <w:sz w:val="27"/>
          <w:szCs w:val="27"/>
        </w:rPr>
        <w:t xml:space="preserve">, </w:t>
      </w:r>
      <w:r>
        <w:rPr>
          <w:rFonts w:ascii="Times New Roman" w:hAnsi="Times New Roman" w:cs="Times New Roman"/>
          <w:color w:val="626262"/>
          <w:sz w:val="27"/>
          <w:szCs w:val="27"/>
        </w:rPr>
        <w:t>and meeting the social needs of persons with behavioral health challenges, by:</w:t>
      </w:r>
    </w:p>
    <w:p w:rsidR="002C5025" w:rsidRDefault="002C5025">
      <w:pPr>
        <w:pStyle w:val="ListParagraph"/>
        <w:numPr>
          <w:ilvl w:val="1"/>
          <w:numId w:val="30"/>
        </w:numPr>
        <w:tabs>
          <w:tab w:val="left" w:pos="1537"/>
        </w:tabs>
        <w:kinsoku w:val="0"/>
        <w:overflowPunct w:val="0"/>
        <w:spacing w:before="231"/>
        <w:ind w:left="1536" w:hanging="336"/>
        <w:rPr>
          <w:color w:val="626262"/>
          <w:sz w:val="27"/>
          <w:szCs w:val="27"/>
        </w:rPr>
      </w:pPr>
      <w:r>
        <w:rPr>
          <w:color w:val="626262"/>
          <w:sz w:val="27"/>
          <w:szCs w:val="27"/>
        </w:rPr>
        <w:t>Expanding the definition of social service</w:t>
      </w:r>
      <w:r>
        <w:rPr>
          <w:color w:val="626262"/>
          <w:spacing w:val="40"/>
          <w:sz w:val="27"/>
          <w:szCs w:val="27"/>
        </w:rPr>
        <w:t xml:space="preserve"> </w:t>
      </w:r>
      <w:r>
        <w:rPr>
          <w:color w:val="626262"/>
          <w:sz w:val="27"/>
          <w:szCs w:val="27"/>
        </w:rPr>
        <w:t>providers;</w:t>
      </w:r>
    </w:p>
    <w:p w:rsidR="002C5025" w:rsidRDefault="002C5025">
      <w:pPr>
        <w:pStyle w:val="ListParagraph"/>
        <w:numPr>
          <w:ilvl w:val="1"/>
          <w:numId w:val="30"/>
        </w:numPr>
        <w:tabs>
          <w:tab w:val="left" w:pos="1537"/>
        </w:tabs>
        <w:kinsoku w:val="0"/>
        <w:overflowPunct w:val="0"/>
        <w:spacing w:before="73" w:line="278" w:lineRule="auto"/>
        <w:ind w:left="1536" w:right="1998" w:hanging="336"/>
        <w:rPr>
          <w:color w:val="626262"/>
          <w:sz w:val="27"/>
          <w:szCs w:val="27"/>
        </w:rPr>
      </w:pPr>
      <w:r>
        <w:rPr>
          <w:color w:val="626262"/>
          <w:sz w:val="27"/>
          <w:szCs w:val="27"/>
        </w:rPr>
        <w:t>Educating providers with respect to the recovery model of metal health care and about alternative models of behavioral health</w:t>
      </w:r>
      <w:r>
        <w:rPr>
          <w:color w:val="626262"/>
          <w:spacing w:val="64"/>
          <w:sz w:val="27"/>
          <w:szCs w:val="27"/>
        </w:rPr>
        <w:t xml:space="preserve"> </w:t>
      </w:r>
      <w:r>
        <w:rPr>
          <w:color w:val="626262"/>
          <w:sz w:val="27"/>
          <w:szCs w:val="27"/>
        </w:rPr>
        <w:t>care;</w:t>
      </w:r>
    </w:p>
    <w:p w:rsidR="002C5025" w:rsidRDefault="002C5025">
      <w:pPr>
        <w:pStyle w:val="ListParagraph"/>
        <w:numPr>
          <w:ilvl w:val="1"/>
          <w:numId w:val="30"/>
        </w:numPr>
        <w:tabs>
          <w:tab w:val="left" w:pos="1537"/>
        </w:tabs>
        <w:kinsoku w:val="0"/>
        <w:overflowPunct w:val="0"/>
        <w:spacing w:before="28" w:line="283" w:lineRule="auto"/>
        <w:ind w:left="1536" w:right="1671" w:hanging="336"/>
        <w:rPr>
          <w:color w:val="626262"/>
          <w:sz w:val="27"/>
          <w:szCs w:val="27"/>
        </w:rPr>
      </w:pPr>
      <w:r>
        <w:rPr>
          <w:color w:val="626262"/>
          <w:sz w:val="27"/>
          <w:szCs w:val="27"/>
        </w:rPr>
        <w:t>Initiating a pilot program for a control group of non-ACO fee-for- service providers that allows reimbursement for flexible services and care coordination with community-based organizations/peer services. This will allow at least a rough look at whether it is the services offered or the payment mechanism that alters quality of</w:t>
      </w:r>
      <w:r>
        <w:rPr>
          <w:color w:val="626262"/>
          <w:spacing w:val="62"/>
          <w:sz w:val="27"/>
          <w:szCs w:val="27"/>
        </w:rPr>
        <w:t xml:space="preserve"> </w:t>
      </w:r>
      <w:r>
        <w:rPr>
          <w:color w:val="626262"/>
          <w:sz w:val="27"/>
          <w:szCs w:val="27"/>
        </w:rPr>
        <w:t>care;</w:t>
      </w:r>
    </w:p>
    <w:p w:rsidR="002C5025" w:rsidRDefault="002C5025">
      <w:pPr>
        <w:pStyle w:val="ListParagraph"/>
        <w:numPr>
          <w:ilvl w:val="1"/>
          <w:numId w:val="30"/>
        </w:numPr>
        <w:tabs>
          <w:tab w:val="left" w:pos="1532"/>
        </w:tabs>
        <w:kinsoku w:val="0"/>
        <w:overflowPunct w:val="0"/>
        <w:spacing w:before="27" w:line="280" w:lineRule="auto"/>
        <w:ind w:left="1532" w:right="1753" w:hanging="339"/>
        <w:rPr>
          <w:color w:val="626262"/>
          <w:spacing w:val="4"/>
          <w:w w:val="110"/>
          <w:sz w:val="27"/>
          <w:szCs w:val="27"/>
        </w:rPr>
      </w:pPr>
      <w:r>
        <w:rPr>
          <w:color w:val="626262"/>
          <w:w w:val="105"/>
          <w:sz w:val="27"/>
          <w:szCs w:val="27"/>
        </w:rPr>
        <w:t xml:space="preserve">Funding much-needed alternative service capacity. DSRIP money </w:t>
      </w:r>
      <w:r>
        <w:rPr>
          <w:color w:val="626262"/>
          <w:w w:val="110"/>
          <w:sz w:val="27"/>
          <w:szCs w:val="27"/>
        </w:rPr>
        <w:t>should</w:t>
      </w:r>
      <w:r>
        <w:rPr>
          <w:color w:val="626262"/>
          <w:spacing w:val="-52"/>
          <w:w w:val="110"/>
          <w:sz w:val="27"/>
          <w:szCs w:val="27"/>
        </w:rPr>
        <w:t xml:space="preserve"> </w:t>
      </w:r>
      <w:r>
        <w:rPr>
          <w:color w:val="626262"/>
          <w:w w:val="110"/>
          <w:sz w:val="27"/>
          <w:szCs w:val="27"/>
        </w:rPr>
        <w:t>go</w:t>
      </w:r>
      <w:r>
        <w:rPr>
          <w:color w:val="626262"/>
          <w:spacing w:val="-52"/>
          <w:w w:val="110"/>
          <w:sz w:val="27"/>
          <w:szCs w:val="27"/>
        </w:rPr>
        <w:t xml:space="preserve"> </w:t>
      </w:r>
      <w:r>
        <w:rPr>
          <w:color w:val="626262"/>
          <w:w w:val="110"/>
          <w:sz w:val="27"/>
          <w:szCs w:val="27"/>
        </w:rPr>
        <w:t>directly</w:t>
      </w:r>
      <w:r>
        <w:rPr>
          <w:color w:val="626262"/>
          <w:spacing w:val="-51"/>
          <w:w w:val="110"/>
          <w:sz w:val="27"/>
          <w:szCs w:val="27"/>
        </w:rPr>
        <w:t xml:space="preserve"> </w:t>
      </w:r>
      <w:r>
        <w:rPr>
          <w:color w:val="626262"/>
          <w:w w:val="110"/>
          <w:sz w:val="27"/>
          <w:szCs w:val="27"/>
        </w:rPr>
        <w:t>to</w:t>
      </w:r>
      <w:r>
        <w:rPr>
          <w:color w:val="626262"/>
          <w:spacing w:val="-50"/>
          <w:w w:val="110"/>
          <w:sz w:val="27"/>
          <w:szCs w:val="27"/>
        </w:rPr>
        <w:t xml:space="preserve"> </w:t>
      </w:r>
      <w:r>
        <w:rPr>
          <w:color w:val="626262"/>
          <w:w w:val="110"/>
          <w:sz w:val="27"/>
          <w:szCs w:val="27"/>
        </w:rPr>
        <w:t>invest</w:t>
      </w:r>
      <w:r>
        <w:rPr>
          <w:color w:val="626262"/>
          <w:spacing w:val="-51"/>
          <w:w w:val="110"/>
          <w:sz w:val="27"/>
          <w:szCs w:val="27"/>
        </w:rPr>
        <w:t xml:space="preserve"> </w:t>
      </w:r>
      <w:r>
        <w:rPr>
          <w:color w:val="626262"/>
          <w:w w:val="110"/>
          <w:sz w:val="27"/>
          <w:szCs w:val="27"/>
        </w:rPr>
        <w:t>in</w:t>
      </w:r>
      <w:r>
        <w:rPr>
          <w:color w:val="626262"/>
          <w:spacing w:val="-53"/>
          <w:w w:val="110"/>
          <w:sz w:val="27"/>
          <w:szCs w:val="27"/>
        </w:rPr>
        <w:t xml:space="preserve"> </w:t>
      </w:r>
      <w:r>
        <w:rPr>
          <w:color w:val="626262"/>
          <w:w w:val="110"/>
          <w:sz w:val="27"/>
          <w:szCs w:val="27"/>
        </w:rPr>
        <w:t>services</w:t>
      </w:r>
      <w:r>
        <w:rPr>
          <w:color w:val="626262"/>
          <w:spacing w:val="-55"/>
          <w:w w:val="110"/>
          <w:sz w:val="27"/>
          <w:szCs w:val="27"/>
        </w:rPr>
        <w:t xml:space="preserve"> </w:t>
      </w:r>
      <w:r>
        <w:rPr>
          <w:color w:val="626262"/>
          <w:w w:val="110"/>
          <w:sz w:val="27"/>
          <w:szCs w:val="27"/>
        </w:rPr>
        <w:t>that</w:t>
      </w:r>
      <w:r>
        <w:rPr>
          <w:color w:val="626262"/>
          <w:spacing w:val="-47"/>
          <w:w w:val="110"/>
          <w:sz w:val="27"/>
          <w:szCs w:val="27"/>
        </w:rPr>
        <w:t xml:space="preserve"> </w:t>
      </w:r>
      <w:r>
        <w:rPr>
          <w:color w:val="626262"/>
          <w:w w:val="110"/>
          <w:sz w:val="27"/>
          <w:szCs w:val="27"/>
        </w:rPr>
        <w:t>are</w:t>
      </w:r>
      <w:r>
        <w:rPr>
          <w:color w:val="626262"/>
          <w:spacing w:val="-55"/>
          <w:w w:val="110"/>
          <w:sz w:val="27"/>
          <w:szCs w:val="27"/>
        </w:rPr>
        <w:t xml:space="preserve"> </w:t>
      </w:r>
      <w:r>
        <w:rPr>
          <w:color w:val="626262"/>
          <w:w w:val="110"/>
          <w:sz w:val="27"/>
          <w:szCs w:val="27"/>
        </w:rPr>
        <w:t>in</w:t>
      </w:r>
      <w:r>
        <w:rPr>
          <w:color w:val="626262"/>
          <w:spacing w:val="-53"/>
          <w:w w:val="110"/>
          <w:sz w:val="27"/>
          <w:szCs w:val="27"/>
        </w:rPr>
        <w:t xml:space="preserve"> </w:t>
      </w:r>
      <w:r>
        <w:rPr>
          <w:color w:val="626262"/>
          <w:w w:val="110"/>
          <w:sz w:val="27"/>
          <w:szCs w:val="27"/>
        </w:rPr>
        <w:t>short</w:t>
      </w:r>
      <w:r>
        <w:rPr>
          <w:color w:val="626262"/>
          <w:spacing w:val="-48"/>
          <w:w w:val="110"/>
          <w:sz w:val="27"/>
          <w:szCs w:val="27"/>
        </w:rPr>
        <w:t xml:space="preserve"> </w:t>
      </w:r>
      <w:r>
        <w:rPr>
          <w:color w:val="626262"/>
          <w:w w:val="110"/>
          <w:sz w:val="27"/>
          <w:szCs w:val="27"/>
        </w:rPr>
        <w:t>supply</w:t>
      </w:r>
      <w:r>
        <w:rPr>
          <w:color w:val="626262"/>
          <w:spacing w:val="-55"/>
          <w:w w:val="110"/>
          <w:sz w:val="27"/>
          <w:szCs w:val="27"/>
        </w:rPr>
        <w:t xml:space="preserve"> </w:t>
      </w:r>
      <w:r>
        <w:rPr>
          <w:color w:val="626262"/>
          <w:w w:val="110"/>
          <w:sz w:val="27"/>
          <w:szCs w:val="27"/>
        </w:rPr>
        <w:t>and</w:t>
      </w:r>
      <w:r>
        <w:rPr>
          <w:color w:val="626262"/>
          <w:spacing w:val="-53"/>
          <w:w w:val="110"/>
          <w:sz w:val="27"/>
          <w:szCs w:val="27"/>
        </w:rPr>
        <w:t xml:space="preserve"> </w:t>
      </w:r>
      <w:r>
        <w:rPr>
          <w:color w:val="626262"/>
          <w:w w:val="110"/>
          <w:sz w:val="27"/>
          <w:szCs w:val="27"/>
        </w:rPr>
        <w:t>to develop</w:t>
      </w:r>
      <w:r>
        <w:rPr>
          <w:color w:val="626262"/>
          <w:spacing w:val="-45"/>
          <w:w w:val="110"/>
          <w:sz w:val="27"/>
          <w:szCs w:val="27"/>
        </w:rPr>
        <w:t xml:space="preserve"> </w:t>
      </w:r>
      <w:r>
        <w:rPr>
          <w:color w:val="626262"/>
          <w:w w:val="110"/>
          <w:sz w:val="27"/>
          <w:szCs w:val="27"/>
        </w:rPr>
        <w:t>the</w:t>
      </w:r>
      <w:r>
        <w:rPr>
          <w:color w:val="626262"/>
          <w:spacing w:val="-52"/>
          <w:w w:val="110"/>
          <w:sz w:val="27"/>
          <w:szCs w:val="27"/>
        </w:rPr>
        <w:t xml:space="preserve"> </w:t>
      </w:r>
      <w:r>
        <w:rPr>
          <w:color w:val="626262"/>
          <w:w w:val="110"/>
          <w:sz w:val="27"/>
          <w:szCs w:val="27"/>
        </w:rPr>
        <w:t>peer</w:t>
      </w:r>
      <w:r>
        <w:rPr>
          <w:color w:val="626262"/>
          <w:spacing w:val="-43"/>
          <w:w w:val="110"/>
          <w:sz w:val="27"/>
          <w:szCs w:val="27"/>
        </w:rPr>
        <w:t xml:space="preserve"> </w:t>
      </w:r>
      <w:r>
        <w:rPr>
          <w:color w:val="626262"/>
          <w:w w:val="110"/>
          <w:sz w:val="27"/>
          <w:szCs w:val="27"/>
        </w:rPr>
        <w:t>workforce</w:t>
      </w:r>
      <w:r>
        <w:rPr>
          <w:color w:val="626262"/>
          <w:spacing w:val="-47"/>
          <w:w w:val="110"/>
          <w:sz w:val="27"/>
          <w:szCs w:val="27"/>
        </w:rPr>
        <w:t xml:space="preserve"> </w:t>
      </w:r>
      <w:r>
        <w:rPr>
          <w:color w:val="626262"/>
          <w:spacing w:val="4"/>
          <w:w w:val="110"/>
          <w:sz w:val="27"/>
          <w:szCs w:val="27"/>
        </w:rPr>
        <w:t>-for</w:t>
      </w:r>
      <w:r>
        <w:rPr>
          <w:color w:val="626262"/>
          <w:spacing w:val="-48"/>
          <w:w w:val="110"/>
          <w:sz w:val="27"/>
          <w:szCs w:val="27"/>
        </w:rPr>
        <w:t xml:space="preserve"> </w:t>
      </w:r>
      <w:r>
        <w:rPr>
          <w:color w:val="626262"/>
          <w:w w:val="110"/>
          <w:sz w:val="27"/>
          <w:szCs w:val="27"/>
        </w:rPr>
        <w:t>example,</w:t>
      </w:r>
      <w:r>
        <w:rPr>
          <w:color w:val="626262"/>
          <w:spacing w:val="-46"/>
          <w:w w:val="110"/>
          <w:sz w:val="27"/>
          <w:szCs w:val="27"/>
        </w:rPr>
        <w:t xml:space="preserve"> </w:t>
      </w:r>
      <w:r>
        <w:rPr>
          <w:color w:val="626262"/>
          <w:w w:val="110"/>
          <w:sz w:val="27"/>
          <w:szCs w:val="27"/>
        </w:rPr>
        <w:t>peer-based</w:t>
      </w:r>
      <w:r>
        <w:rPr>
          <w:color w:val="626262"/>
          <w:spacing w:val="-34"/>
          <w:w w:val="110"/>
          <w:sz w:val="27"/>
          <w:szCs w:val="27"/>
        </w:rPr>
        <w:t xml:space="preserve"> </w:t>
      </w:r>
      <w:r>
        <w:rPr>
          <w:color w:val="626262"/>
          <w:w w:val="110"/>
          <w:sz w:val="27"/>
          <w:szCs w:val="27"/>
        </w:rPr>
        <w:t>respites</w:t>
      </w:r>
      <w:r>
        <w:rPr>
          <w:color w:val="626262"/>
          <w:spacing w:val="-43"/>
          <w:w w:val="110"/>
          <w:sz w:val="27"/>
          <w:szCs w:val="27"/>
        </w:rPr>
        <w:t xml:space="preserve"> </w:t>
      </w:r>
      <w:r>
        <w:rPr>
          <w:color w:val="626262"/>
          <w:w w:val="110"/>
          <w:sz w:val="27"/>
          <w:szCs w:val="27"/>
        </w:rPr>
        <w:t>of which</w:t>
      </w:r>
      <w:r>
        <w:rPr>
          <w:color w:val="626262"/>
          <w:spacing w:val="-49"/>
          <w:w w:val="110"/>
          <w:sz w:val="27"/>
          <w:szCs w:val="27"/>
        </w:rPr>
        <w:t xml:space="preserve"> </w:t>
      </w:r>
      <w:r>
        <w:rPr>
          <w:color w:val="626262"/>
          <w:spacing w:val="4"/>
          <w:w w:val="110"/>
          <w:sz w:val="27"/>
          <w:szCs w:val="27"/>
        </w:rPr>
        <w:t>there</w:t>
      </w:r>
      <w:r w:rsidR="00347C9E">
        <w:rPr>
          <w:color w:val="626262"/>
          <w:spacing w:val="4"/>
          <w:w w:val="110"/>
          <w:sz w:val="27"/>
          <w:szCs w:val="27"/>
        </w:rPr>
        <w:t xml:space="preserve"> </w:t>
      </w:r>
      <w:r>
        <w:rPr>
          <w:color w:val="626262"/>
          <w:spacing w:val="4"/>
          <w:w w:val="110"/>
          <w:sz w:val="27"/>
          <w:szCs w:val="27"/>
        </w:rPr>
        <w:t>is</w:t>
      </w:r>
      <w:r w:rsidR="00347C9E">
        <w:rPr>
          <w:color w:val="626262"/>
          <w:spacing w:val="4"/>
          <w:w w:val="110"/>
          <w:sz w:val="27"/>
          <w:szCs w:val="27"/>
        </w:rPr>
        <w:t xml:space="preserve"> </w:t>
      </w:r>
      <w:r>
        <w:rPr>
          <w:color w:val="626262"/>
          <w:spacing w:val="4"/>
          <w:w w:val="110"/>
          <w:sz w:val="27"/>
          <w:szCs w:val="27"/>
        </w:rPr>
        <w:t>only</w:t>
      </w:r>
      <w:r w:rsidR="00347C9E">
        <w:rPr>
          <w:color w:val="626262"/>
          <w:spacing w:val="4"/>
          <w:w w:val="110"/>
          <w:sz w:val="27"/>
          <w:szCs w:val="27"/>
        </w:rPr>
        <w:t xml:space="preserve"> </w:t>
      </w:r>
      <w:r>
        <w:rPr>
          <w:color w:val="626262"/>
          <w:spacing w:val="4"/>
          <w:w w:val="110"/>
          <w:sz w:val="27"/>
          <w:szCs w:val="27"/>
        </w:rPr>
        <w:t>one</w:t>
      </w:r>
      <w:r w:rsidR="00347C9E">
        <w:rPr>
          <w:color w:val="626262"/>
          <w:spacing w:val="4"/>
          <w:w w:val="110"/>
          <w:sz w:val="27"/>
          <w:szCs w:val="27"/>
        </w:rPr>
        <w:t xml:space="preserve"> </w:t>
      </w:r>
      <w:r>
        <w:rPr>
          <w:color w:val="626262"/>
          <w:spacing w:val="4"/>
          <w:w w:val="110"/>
          <w:sz w:val="27"/>
          <w:szCs w:val="27"/>
        </w:rPr>
        <w:t>in</w:t>
      </w:r>
      <w:r w:rsidR="00347C9E">
        <w:rPr>
          <w:color w:val="626262"/>
          <w:spacing w:val="4"/>
          <w:w w:val="110"/>
          <w:sz w:val="27"/>
          <w:szCs w:val="27"/>
        </w:rPr>
        <w:t xml:space="preserve"> </w:t>
      </w:r>
      <w:r>
        <w:rPr>
          <w:color w:val="626262"/>
          <w:spacing w:val="4"/>
          <w:w w:val="110"/>
          <w:sz w:val="27"/>
          <w:szCs w:val="27"/>
        </w:rPr>
        <w:t>the</w:t>
      </w:r>
      <w:r w:rsidR="00347C9E">
        <w:rPr>
          <w:color w:val="626262"/>
          <w:spacing w:val="4"/>
          <w:w w:val="110"/>
          <w:sz w:val="27"/>
          <w:szCs w:val="27"/>
        </w:rPr>
        <w:t xml:space="preserve"> </w:t>
      </w:r>
      <w:r>
        <w:rPr>
          <w:color w:val="626262"/>
          <w:spacing w:val="4"/>
          <w:w w:val="110"/>
          <w:sz w:val="27"/>
          <w:szCs w:val="27"/>
        </w:rPr>
        <w:t>Commonwealth</w:t>
      </w:r>
      <w:r>
        <w:rPr>
          <w:color w:val="626262"/>
          <w:spacing w:val="4"/>
          <w:w w:val="110"/>
          <w:position w:val="6"/>
          <w:sz w:val="17"/>
          <w:szCs w:val="17"/>
        </w:rPr>
        <w:t>2</w:t>
      </w:r>
      <w:r>
        <w:rPr>
          <w:color w:val="7D7D7D"/>
          <w:spacing w:val="4"/>
          <w:w w:val="110"/>
          <w:position w:val="6"/>
          <w:sz w:val="17"/>
          <w:szCs w:val="17"/>
        </w:rPr>
        <w:t xml:space="preserve">2 </w:t>
      </w:r>
      <w:r w:rsidR="00347C9E">
        <w:rPr>
          <w:color w:val="8D8D8D"/>
          <w:spacing w:val="4"/>
          <w:w w:val="110"/>
          <w:sz w:val="17"/>
          <w:szCs w:val="17"/>
        </w:rPr>
        <w:t>–</w:t>
      </w:r>
      <w:r>
        <w:rPr>
          <w:color w:val="626262"/>
          <w:spacing w:val="4"/>
          <w:w w:val="110"/>
          <w:sz w:val="27"/>
          <w:szCs w:val="27"/>
        </w:rPr>
        <w:t>and</w:t>
      </w:r>
      <w:r w:rsidR="00347C9E">
        <w:rPr>
          <w:color w:val="626262"/>
          <w:spacing w:val="4"/>
          <w:w w:val="110"/>
          <w:sz w:val="27"/>
          <w:szCs w:val="27"/>
        </w:rPr>
        <w:t xml:space="preserve"> </w:t>
      </w:r>
      <w:r>
        <w:rPr>
          <w:color w:val="626262"/>
          <w:spacing w:val="4"/>
          <w:w w:val="110"/>
          <w:sz w:val="27"/>
          <w:szCs w:val="27"/>
        </w:rPr>
        <w:t>to</w:t>
      </w:r>
      <w:r w:rsidR="00347C9E">
        <w:rPr>
          <w:color w:val="626262"/>
          <w:spacing w:val="4"/>
          <w:w w:val="110"/>
          <w:sz w:val="27"/>
          <w:szCs w:val="27"/>
        </w:rPr>
        <w:t xml:space="preserve"> </w:t>
      </w:r>
      <w:r>
        <w:rPr>
          <w:color w:val="626262"/>
          <w:spacing w:val="4"/>
          <w:w w:val="110"/>
          <w:sz w:val="27"/>
          <w:szCs w:val="27"/>
        </w:rPr>
        <w:t>provide</w:t>
      </w:r>
    </w:p>
    <w:p w:rsidR="002C5025" w:rsidRDefault="00FB027C">
      <w:pPr>
        <w:pStyle w:val="BodyText"/>
        <w:kinsoku w:val="0"/>
        <w:overflowPunct w:val="0"/>
        <w:spacing w:before="9"/>
        <w:rPr>
          <w:rFonts w:ascii="Times New Roman" w:hAnsi="Times New Roman" w:cs="Times New Roman"/>
          <w:sz w:val="12"/>
          <w:szCs w:val="12"/>
        </w:rPr>
      </w:pPr>
      <w:r>
        <w:rPr>
          <w:noProof/>
        </w:rPr>
        <mc:AlternateContent>
          <mc:Choice Requires="wps">
            <w:drawing>
              <wp:anchor distT="0" distB="0" distL="0" distR="0" simplePos="0" relativeHeight="251784704" behindDoc="0" locked="0" layoutInCell="0" allowOverlap="1">
                <wp:simplePos x="0" y="0"/>
                <wp:positionH relativeFrom="page">
                  <wp:posOffset>986155</wp:posOffset>
                </wp:positionH>
                <wp:positionV relativeFrom="paragraph">
                  <wp:posOffset>123190</wp:posOffset>
                </wp:positionV>
                <wp:extent cx="1800225" cy="12700"/>
                <wp:effectExtent l="0" t="0" r="0" b="0"/>
                <wp:wrapTopAndBottom/>
                <wp:docPr id="119" name="Freeform 7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0225" cy="12700"/>
                        </a:xfrm>
                        <a:custGeom>
                          <a:avLst/>
                          <a:gdLst>
                            <a:gd name="T0" fmla="*/ 0 w 2835"/>
                            <a:gd name="T1" fmla="*/ 0 h 20"/>
                            <a:gd name="T2" fmla="*/ 2835 w 2835"/>
                            <a:gd name="T3" fmla="*/ 0 h 20"/>
                          </a:gdLst>
                          <a:ahLst/>
                          <a:cxnLst>
                            <a:cxn ang="0">
                              <a:pos x="T0" y="T1"/>
                            </a:cxn>
                            <a:cxn ang="0">
                              <a:pos x="T2" y="T3"/>
                            </a:cxn>
                          </a:cxnLst>
                          <a:rect l="0" t="0" r="r" b="b"/>
                          <a:pathLst>
                            <a:path w="2835" h="20">
                              <a:moveTo>
                                <a:pt x="0" y="0"/>
                              </a:moveTo>
                              <a:lnTo>
                                <a:pt x="2835" y="0"/>
                              </a:lnTo>
                            </a:path>
                          </a:pathLst>
                        </a:custGeom>
                        <a:noFill/>
                        <a:ln w="1050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77" o:spid="_x0000_s1026" style="position:absolute;z-index:251784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7.65pt,9.7pt,219.4pt,9.7pt" coordsize="283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" o:allowincell="f" filled="f" strokeweight=".29172mm">
                <v:path arrowok="t" o:connecttype="custom" o:connectlocs="0,0;1800225,0" o:connectangles="0,0"/>
                <w10:wrap type="topAndBottom" anchorx="page"/>
              </v:polyline>
            </w:pict>
          </mc:Fallback>
        </mc:AlternateContent>
      </w:r>
    </w:p>
    <w:p w:rsidR="002C5025" w:rsidRDefault="002C5025">
      <w:pPr>
        <w:pStyle w:val="BodyText"/>
        <w:kinsoku w:val="0"/>
        <w:overflowPunct w:val="0"/>
        <w:spacing w:before="69"/>
        <w:ind w:left="120" w:right="1839"/>
        <w:rPr>
          <w:rFonts w:ascii="Times New Roman" w:hAnsi="Times New Roman" w:cs="Times New Roman"/>
          <w:color w:val="626262"/>
          <w:sz w:val="21"/>
          <w:szCs w:val="21"/>
        </w:rPr>
      </w:pPr>
      <w:r>
        <w:rPr>
          <w:rFonts w:ascii="Times New Roman" w:hAnsi="Times New Roman" w:cs="Times New Roman"/>
          <w:color w:val="7D7D7D"/>
          <w:position w:val="5"/>
          <w:sz w:val="13"/>
          <w:szCs w:val="13"/>
        </w:rPr>
        <w:t xml:space="preserve">2 </w:t>
      </w:r>
      <w:r>
        <w:rPr>
          <w:rFonts w:ascii="Times New Roman" w:hAnsi="Times New Roman" w:cs="Times New Roman"/>
          <w:color w:val="626262"/>
          <w:position w:val="5"/>
          <w:sz w:val="13"/>
          <w:szCs w:val="13"/>
        </w:rPr>
        <w:t xml:space="preserve">1 </w:t>
      </w:r>
      <w:r>
        <w:rPr>
          <w:rFonts w:ascii="Times New Roman" w:hAnsi="Times New Roman" w:cs="Times New Roman"/>
          <w:color w:val="626262"/>
          <w:sz w:val="21"/>
          <w:szCs w:val="21"/>
        </w:rPr>
        <w:t>American  College of Emergency Physicians</w:t>
      </w:r>
      <w:r>
        <w:rPr>
          <w:rFonts w:ascii="Times New Roman" w:hAnsi="Times New Roman" w:cs="Times New Roman"/>
          <w:color w:val="7D7D7D"/>
          <w:sz w:val="21"/>
          <w:szCs w:val="21"/>
        </w:rPr>
        <w:t xml:space="preserve">, </w:t>
      </w:r>
      <w:r>
        <w:rPr>
          <w:rFonts w:ascii="Times New Roman" w:hAnsi="Times New Roman" w:cs="Times New Roman"/>
          <w:color w:val="626262"/>
          <w:sz w:val="21"/>
          <w:szCs w:val="21"/>
        </w:rPr>
        <w:t>Psychiatric Emergencies,</w:t>
      </w:r>
    </w:p>
    <w:p w:rsidR="002C5025" w:rsidRDefault="00FD19EE">
      <w:pPr>
        <w:pStyle w:val="BodyText"/>
        <w:kinsoku w:val="0"/>
        <w:overflowPunct w:val="0"/>
        <w:spacing w:before="5" w:line="244" w:lineRule="auto"/>
        <w:ind w:left="120" w:right="1839"/>
        <w:rPr>
          <w:rFonts w:ascii="Times New Roman" w:hAnsi="Times New Roman" w:cs="Times New Roman"/>
          <w:color w:val="626262"/>
          <w:sz w:val="21"/>
          <w:szCs w:val="21"/>
        </w:rPr>
      </w:pPr>
      <w:hyperlink r:id="rId529" w:history="1">
        <w:r w:rsidR="002C5025">
          <w:rPr>
            <w:rFonts w:ascii="Times New Roman" w:hAnsi="Times New Roman" w:cs="Times New Roman"/>
            <w:color w:val="626262"/>
            <w:sz w:val="21"/>
            <w:szCs w:val="21"/>
          </w:rPr>
          <w:t>http:</w:t>
        </w:r>
        <w:r w:rsidR="002C5025">
          <w:rPr>
            <w:rFonts w:ascii="Times New Roman" w:hAnsi="Times New Roman" w:cs="Times New Roman"/>
            <w:color w:val="7D7D7D"/>
            <w:sz w:val="21"/>
            <w:szCs w:val="21"/>
          </w:rPr>
          <w:t>//</w:t>
        </w:r>
        <w:r w:rsidR="002C5025">
          <w:rPr>
            <w:rFonts w:ascii="Times New Roman" w:hAnsi="Times New Roman" w:cs="Times New Roman"/>
            <w:color w:val="626262"/>
            <w:sz w:val="21"/>
            <w:szCs w:val="21"/>
          </w:rPr>
          <w:t>n</w:t>
        </w:r>
        <w:r w:rsidR="002C5025">
          <w:rPr>
            <w:rFonts w:ascii="Times New Roman" w:hAnsi="Times New Roman" w:cs="Times New Roman"/>
            <w:color w:val="7D7D7D"/>
            <w:sz w:val="21"/>
            <w:szCs w:val="21"/>
          </w:rPr>
          <w:t>e</w:t>
        </w:r>
        <w:r w:rsidR="002C5025">
          <w:rPr>
            <w:rFonts w:ascii="Times New Roman" w:hAnsi="Times New Roman" w:cs="Times New Roman"/>
            <w:color w:val="626262"/>
            <w:sz w:val="21"/>
            <w:szCs w:val="21"/>
          </w:rPr>
          <w:t xml:space="preserve">wsroom.acep.org </w:t>
        </w:r>
        <w:r w:rsidR="002C5025">
          <w:rPr>
            <w:rFonts w:ascii="Times New Roman" w:hAnsi="Times New Roman" w:cs="Times New Roman"/>
            <w:color w:val="8D8D8D"/>
            <w:sz w:val="21"/>
            <w:szCs w:val="21"/>
          </w:rPr>
          <w:t>/</w:t>
        </w:r>
      </w:hyperlink>
      <w:r w:rsidR="002C5025">
        <w:rPr>
          <w:rFonts w:ascii="Times New Roman" w:hAnsi="Times New Roman" w:cs="Times New Roman"/>
          <w:color w:val="626262"/>
          <w:sz w:val="21"/>
          <w:szCs w:val="21"/>
        </w:rPr>
        <w:t xml:space="preserve">fact </w:t>
      </w:r>
      <w:proofErr w:type="spellStart"/>
      <w:r w:rsidR="002C5025">
        <w:rPr>
          <w:rFonts w:ascii="Times New Roman" w:hAnsi="Times New Roman" w:cs="Times New Roman"/>
          <w:color w:val="626262"/>
          <w:sz w:val="21"/>
          <w:szCs w:val="21"/>
        </w:rPr>
        <w:t>sheets?it</w:t>
      </w:r>
      <w:r w:rsidR="002C5025">
        <w:rPr>
          <w:rFonts w:ascii="Times New Roman" w:hAnsi="Times New Roman" w:cs="Times New Roman"/>
          <w:color w:val="7D7D7D"/>
          <w:sz w:val="21"/>
          <w:szCs w:val="21"/>
        </w:rPr>
        <w:t>e</w:t>
      </w:r>
      <w:r w:rsidR="002C5025">
        <w:rPr>
          <w:rFonts w:ascii="Times New Roman" w:hAnsi="Times New Roman" w:cs="Times New Roman"/>
          <w:color w:val="626262"/>
          <w:sz w:val="21"/>
          <w:szCs w:val="21"/>
        </w:rPr>
        <w:t>m</w:t>
      </w:r>
      <w:proofErr w:type="spellEnd"/>
      <w:r w:rsidR="002C5025">
        <w:rPr>
          <w:rFonts w:ascii="Times New Roman" w:hAnsi="Times New Roman" w:cs="Times New Roman"/>
          <w:color w:val="8D8D8D"/>
          <w:sz w:val="21"/>
          <w:szCs w:val="21"/>
        </w:rPr>
        <w:t>=</w:t>
      </w:r>
      <w:r w:rsidR="002C5025">
        <w:rPr>
          <w:rFonts w:ascii="Times New Roman" w:hAnsi="Times New Roman" w:cs="Times New Roman"/>
          <w:color w:val="626262"/>
          <w:sz w:val="21"/>
          <w:szCs w:val="21"/>
        </w:rPr>
        <w:t>30093 (last accessed 4/29/16). Limited networks directly work against MassHealth efforts to reduce the number of behavioral health members experiencing long st</w:t>
      </w:r>
      <w:r w:rsidR="002C5025">
        <w:rPr>
          <w:rFonts w:ascii="Times New Roman" w:hAnsi="Times New Roman" w:cs="Times New Roman"/>
          <w:color w:val="7D7D7D"/>
          <w:sz w:val="21"/>
          <w:szCs w:val="21"/>
        </w:rPr>
        <w:t>a</w:t>
      </w:r>
      <w:r w:rsidR="002C5025">
        <w:rPr>
          <w:rFonts w:ascii="Times New Roman" w:hAnsi="Times New Roman" w:cs="Times New Roman"/>
          <w:color w:val="626262"/>
          <w:sz w:val="21"/>
          <w:szCs w:val="21"/>
        </w:rPr>
        <w:t xml:space="preserve">ys in </w:t>
      </w:r>
      <w:proofErr w:type="spellStart"/>
      <w:r w:rsidR="002C5025">
        <w:rPr>
          <w:rFonts w:ascii="Times New Roman" w:hAnsi="Times New Roman" w:cs="Times New Roman"/>
          <w:color w:val="626262"/>
          <w:sz w:val="21"/>
          <w:szCs w:val="21"/>
        </w:rPr>
        <w:t>EDs.</w:t>
      </w:r>
      <w:proofErr w:type="spellEnd"/>
      <w:r w:rsidR="002C5025">
        <w:rPr>
          <w:rFonts w:ascii="Times New Roman" w:hAnsi="Times New Roman" w:cs="Times New Roman"/>
          <w:color w:val="626262"/>
          <w:sz w:val="21"/>
          <w:szCs w:val="21"/>
        </w:rPr>
        <w:t>(39)</w:t>
      </w:r>
    </w:p>
    <w:p w:rsidR="002C5025" w:rsidRDefault="002C5025">
      <w:pPr>
        <w:pStyle w:val="BodyText"/>
        <w:kinsoku w:val="0"/>
        <w:overflowPunct w:val="0"/>
        <w:spacing w:before="4"/>
        <w:rPr>
          <w:rFonts w:ascii="Times New Roman" w:hAnsi="Times New Roman" w:cs="Times New Roman"/>
        </w:rPr>
      </w:pPr>
    </w:p>
    <w:p w:rsidR="002C5025" w:rsidRDefault="00FB027C">
      <w:pPr>
        <w:pStyle w:val="BodyText"/>
        <w:kinsoku w:val="0"/>
        <w:overflowPunct w:val="0"/>
        <w:spacing w:before="1" w:line="249" w:lineRule="auto"/>
        <w:ind w:left="121" w:right="1839" w:hanging="1"/>
        <w:rPr>
          <w:rFonts w:ascii="Times New Roman" w:hAnsi="Times New Roman" w:cs="Times New Roman"/>
          <w:color w:val="626262"/>
          <w:sz w:val="21"/>
          <w:szCs w:val="21"/>
        </w:rPr>
      </w:pPr>
      <w:r>
        <w:rPr>
          <w:noProof/>
        </w:rPr>
        <mc:AlternateContent>
          <mc:Choice Requires="wps">
            <w:drawing>
              <wp:anchor distT="0" distB="0" distL="114300" distR="114300" simplePos="0" relativeHeight="251785728" behindDoc="0" locked="0" layoutInCell="0" allowOverlap="1">
                <wp:simplePos x="0" y="0"/>
                <wp:positionH relativeFrom="page">
                  <wp:posOffset>7680325</wp:posOffset>
                </wp:positionH>
                <wp:positionV relativeFrom="paragraph">
                  <wp:posOffset>305435</wp:posOffset>
                </wp:positionV>
                <wp:extent cx="12700" cy="829945"/>
                <wp:effectExtent l="0" t="0" r="0" b="0"/>
                <wp:wrapNone/>
                <wp:docPr id="117" name="Freeform 7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829945"/>
                        </a:xfrm>
                        <a:custGeom>
                          <a:avLst/>
                          <a:gdLst>
                            <a:gd name="T0" fmla="*/ 0 w 20"/>
                            <a:gd name="T1" fmla="*/ 1307 h 1307"/>
                            <a:gd name="T2" fmla="*/ 0 w 20"/>
                            <a:gd name="T3" fmla="*/ 0 h 1307"/>
                          </a:gdLst>
                          <a:ahLst/>
                          <a:cxnLst>
                            <a:cxn ang="0">
                              <a:pos x="T0" y="T1"/>
                            </a:cxn>
                            <a:cxn ang="0">
                              <a:pos x="T2" y="T3"/>
                            </a:cxn>
                          </a:cxnLst>
                          <a:rect l="0" t="0" r="r" b="b"/>
                          <a:pathLst>
                            <a:path w="20" h="1307">
                              <a:moveTo>
                                <a:pt x="0" y="1307"/>
                              </a:moveTo>
                              <a:lnTo>
                                <a:pt x="0" y="0"/>
                              </a:lnTo>
                            </a:path>
                          </a:pathLst>
                        </a:custGeom>
                        <a:noFill/>
                        <a:ln w="120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78" o:spid="_x0000_s1026" style="position:absolute;z-index:251785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04.75pt,89.4pt,604.75pt,24.05pt" coordsize="20,1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" o:allowincell="f" filled="f" strokeweight=".33372mm">
                <v:path arrowok="t" o:connecttype="custom" o:connectlocs="0,829945;0,0" o:connectangles="0,0"/>
                <w10:wrap anchorx="page"/>
              </v:polyline>
            </w:pict>
          </mc:Fallback>
        </mc:AlternateContent>
      </w:r>
      <w:r w:rsidR="002C5025">
        <w:rPr>
          <w:rFonts w:ascii="Arial" w:hAnsi="Arial" w:cs="Arial"/>
          <w:color w:val="A4A4A4"/>
          <w:position w:val="5"/>
          <w:sz w:val="14"/>
          <w:szCs w:val="14"/>
        </w:rPr>
        <w:t xml:space="preserve">22 </w:t>
      </w:r>
      <w:r w:rsidR="002C5025">
        <w:rPr>
          <w:rFonts w:ascii="Times New Roman" w:hAnsi="Times New Roman" w:cs="Times New Roman"/>
          <w:color w:val="626262"/>
          <w:sz w:val="21"/>
          <w:szCs w:val="21"/>
        </w:rPr>
        <w:t xml:space="preserve">MassHealth notes that some of the DSRIP funding will be used for state priorities </w:t>
      </w:r>
      <w:r w:rsidR="002C5025">
        <w:rPr>
          <w:rFonts w:ascii="Times New Roman" w:hAnsi="Times New Roman" w:cs="Times New Roman"/>
          <w:color w:val="8D8D8D"/>
          <w:sz w:val="21"/>
          <w:szCs w:val="21"/>
        </w:rPr>
        <w:t xml:space="preserve">, </w:t>
      </w:r>
      <w:r w:rsidR="002C5025">
        <w:rPr>
          <w:rFonts w:ascii="Times New Roman" w:hAnsi="Times New Roman" w:cs="Times New Roman"/>
          <w:color w:val="626262"/>
          <w:sz w:val="21"/>
          <w:szCs w:val="21"/>
        </w:rPr>
        <w:t>including Emergency Department  (ED) bo</w:t>
      </w:r>
      <w:r w:rsidR="002C5025">
        <w:rPr>
          <w:rFonts w:ascii="Times New Roman" w:hAnsi="Times New Roman" w:cs="Times New Roman"/>
          <w:color w:val="7D7D7D"/>
          <w:sz w:val="21"/>
          <w:szCs w:val="21"/>
        </w:rPr>
        <w:t>a</w:t>
      </w:r>
      <w:r w:rsidR="002C5025">
        <w:rPr>
          <w:rFonts w:ascii="Times New Roman" w:hAnsi="Times New Roman" w:cs="Times New Roman"/>
          <w:color w:val="626262"/>
          <w:sz w:val="21"/>
          <w:szCs w:val="21"/>
        </w:rPr>
        <w:t>rding. (27) While insurance blind placement  of persons needing</w:t>
      </w:r>
    </w:p>
    <w:p w:rsidR="002C5025" w:rsidRDefault="002C5025">
      <w:pPr>
        <w:pStyle w:val="BodyText"/>
        <w:kinsoku w:val="0"/>
        <w:overflowPunct w:val="0"/>
        <w:spacing w:before="11"/>
        <w:rPr>
          <w:rFonts w:ascii="Times New Roman" w:hAnsi="Times New Roman" w:cs="Times New Roman"/>
          <w:sz w:val="9"/>
          <w:szCs w:val="9"/>
        </w:rPr>
      </w:pPr>
    </w:p>
    <w:p w:rsidR="002C5025" w:rsidRDefault="002C5025">
      <w:pPr>
        <w:pStyle w:val="BodyText"/>
        <w:kinsoku w:val="0"/>
        <w:overflowPunct w:val="0"/>
        <w:spacing w:before="74"/>
        <w:ind w:left="4618" w:right="5920"/>
        <w:jc w:val="center"/>
        <w:rPr>
          <w:rFonts w:ascii="Times New Roman" w:hAnsi="Times New Roman" w:cs="Times New Roman"/>
          <w:color w:val="626262"/>
          <w:w w:val="105"/>
          <w:sz w:val="21"/>
          <w:szCs w:val="21"/>
        </w:rPr>
      </w:pPr>
      <w:r>
        <w:rPr>
          <w:rFonts w:ascii="Times New Roman" w:hAnsi="Times New Roman" w:cs="Times New Roman"/>
          <w:color w:val="626262"/>
          <w:w w:val="105"/>
          <w:sz w:val="21"/>
          <w:szCs w:val="21"/>
        </w:rPr>
        <w:t>10</w:t>
      </w:r>
    </w:p>
    <w:p w:rsidR="002C5025" w:rsidRDefault="002C5025">
      <w:pPr>
        <w:pStyle w:val="BodyText"/>
        <w:kinsoku w:val="0"/>
        <w:overflowPunct w:val="0"/>
        <w:spacing w:before="74"/>
        <w:ind w:left="4618" w:right="5920"/>
        <w:jc w:val="center"/>
        <w:rPr>
          <w:rFonts w:ascii="Times New Roman" w:hAnsi="Times New Roman" w:cs="Times New Roman"/>
          <w:color w:val="626262"/>
          <w:w w:val="105"/>
          <w:sz w:val="21"/>
          <w:szCs w:val="21"/>
        </w:rPr>
        <w:sectPr w:rsidR="002C5025">
          <w:pgSz w:w="12240" w:h="15840"/>
          <w:pgMar w:top="1320" w:right="20" w:bottom="0" w:left="1420" w:header="720" w:footer="720" w:gutter="0"/>
          <w:cols w:space="720"/>
          <w:noEndnote/>
        </w:sectPr>
      </w:pPr>
    </w:p>
    <w:p w:rsidR="002C5025" w:rsidRDefault="002C5025">
      <w:pPr>
        <w:pStyle w:val="BodyText"/>
        <w:kinsoku w:val="0"/>
        <w:overflowPunct w:val="0"/>
        <w:spacing w:before="39" w:line="280" w:lineRule="auto"/>
        <w:ind w:left="1533" w:right="1625" w:firstLine="9"/>
        <w:rPr>
          <w:rFonts w:ascii="Times New Roman" w:hAnsi="Times New Roman" w:cs="Times New Roman"/>
          <w:color w:val="626262"/>
          <w:sz w:val="27"/>
          <w:szCs w:val="27"/>
        </w:rPr>
      </w:pPr>
      <w:r>
        <w:rPr>
          <w:rFonts w:ascii="Times New Roman" w:hAnsi="Times New Roman" w:cs="Times New Roman"/>
          <w:color w:val="626262"/>
          <w:sz w:val="27"/>
          <w:szCs w:val="27"/>
        </w:rPr>
        <w:lastRenderedPageBreak/>
        <w:t>funding for social needs and alternatives. The majority of DSRIP money should not be directed to ACOs (7, 38). While some ACOs may need financial assistance for infrastructure and startup,</w:t>
      </w:r>
      <w:r>
        <w:rPr>
          <w:rFonts w:ascii="Times New Roman" w:hAnsi="Times New Roman" w:cs="Times New Roman"/>
          <w:color w:val="626262"/>
          <w:position w:val="6"/>
          <w:sz w:val="19"/>
          <w:szCs w:val="19"/>
        </w:rPr>
        <w:t xml:space="preserve">23 </w:t>
      </w:r>
      <w:r>
        <w:rPr>
          <w:rFonts w:ascii="Times New Roman" w:hAnsi="Times New Roman" w:cs="Times New Roman"/>
          <w:color w:val="626262"/>
          <w:sz w:val="27"/>
          <w:szCs w:val="27"/>
        </w:rPr>
        <w:t xml:space="preserve">DSRIP funding for infrastructure primarily should be directed to developing the capacity of alternative providers and community-based organizations to deliver services. The predilection of MCOs and most existing ACOs is to default to the medical model of care, resulting in ineffective and expensive care and a lack of investment in alternative means for improving wellness and achieving recovery. DSRIP should support the public interest in a change in </w:t>
      </w:r>
      <w:r>
        <w:rPr>
          <w:rFonts w:ascii="Times New Roman" w:hAnsi="Times New Roman" w:cs="Times New Roman"/>
          <w:color w:val="626262"/>
          <w:sz w:val="27"/>
          <w:szCs w:val="27"/>
          <w:u w:val="single" w:color="000000"/>
        </w:rPr>
        <w:t xml:space="preserve">what </w:t>
      </w:r>
      <w:r>
        <w:rPr>
          <w:rFonts w:ascii="Times New Roman" w:hAnsi="Times New Roman" w:cs="Times New Roman"/>
          <w:color w:val="626262"/>
          <w:sz w:val="27"/>
          <w:szCs w:val="27"/>
        </w:rPr>
        <w:t xml:space="preserve">services are delivered, not just a change in the </w:t>
      </w:r>
      <w:r>
        <w:rPr>
          <w:rFonts w:ascii="Times New Roman" w:hAnsi="Times New Roman" w:cs="Times New Roman"/>
          <w:color w:val="626262"/>
          <w:sz w:val="27"/>
          <w:szCs w:val="27"/>
          <w:u w:val="single" w:color="000000"/>
        </w:rPr>
        <w:t xml:space="preserve">way </w:t>
      </w:r>
      <w:r>
        <w:rPr>
          <w:rFonts w:ascii="Times New Roman" w:hAnsi="Times New Roman" w:cs="Times New Roman"/>
          <w:color w:val="626262"/>
          <w:sz w:val="27"/>
          <w:szCs w:val="27"/>
        </w:rPr>
        <w:t>in which existing modes of care are delivered;</w:t>
      </w:r>
    </w:p>
    <w:p w:rsidR="002C5025" w:rsidRDefault="002C5025">
      <w:pPr>
        <w:pStyle w:val="ListParagraph"/>
        <w:numPr>
          <w:ilvl w:val="1"/>
          <w:numId w:val="30"/>
        </w:numPr>
        <w:tabs>
          <w:tab w:val="left" w:pos="1529"/>
        </w:tabs>
        <w:kinsoku w:val="0"/>
        <w:overflowPunct w:val="0"/>
        <w:spacing w:before="22" w:line="283" w:lineRule="auto"/>
        <w:ind w:left="1528" w:right="1644" w:hanging="336"/>
        <w:rPr>
          <w:color w:val="626262"/>
          <w:sz w:val="27"/>
          <w:szCs w:val="27"/>
        </w:rPr>
      </w:pPr>
      <w:r>
        <w:rPr>
          <w:color w:val="626262"/>
          <w:sz w:val="27"/>
          <w:szCs w:val="27"/>
        </w:rPr>
        <w:t>While we support ACO flexibility in funding social service needs, we do not support unlimited ACO discretion</w:t>
      </w:r>
      <w:r>
        <w:rPr>
          <w:color w:val="626262"/>
          <w:position w:val="6"/>
          <w:sz w:val="17"/>
          <w:szCs w:val="17"/>
        </w:rPr>
        <w:t xml:space="preserve">24 </w:t>
      </w:r>
      <w:r>
        <w:rPr>
          <w:color w:val="626262"/>
          <w:sz w:val="27"/>
          <w:szCs w:val="27"/>
        </w:rPr>
        <w:t xml:space="preserve">in determining the composition of the care teams (32). </w:t>
      </w:r>
      <w:proofErr w:type="spellStart"/>
      <w:r>
        <w:rPr>
          <w:rFonts w:ascii="Arial" w:hAnsi="Arial" w:cs="Arial"/>
          <w:color w:val="626262"/>
          <w:sz w:val="27"/>
          <w:szCs w:val="27"/>
        </w:rPr>
        <w:t>If</w:t>
      </w:r>
      <w:r>
        <w:rPr>
          <w:color w:val="626262"/>
          <w:sz w:val="27"/>
          <w:szCs w:val="27"/>
        </w:rPr>
        <w:t>a</w:t>
      </w:r>
      <w:proofErr w:type="spellEnd"/>
      <w:r>
        <w:rPr>
          <w:color w:val="626262"/>
          <w:sz w:val="27"/>
          <w:szCs w:val="27"/>
        </w:rPr>
        <w:t xml:space="preserve"> member desires a particular provider, including a Community Health Worker/peer support on his or her care team, that person should be included. Likewise, if a member requests the exclusion of a provider from the care team, that request also should be</w:t>
      </w:r>
      <w:r>
        <w:rPr>
          <w:color w:val="626262"/>
          <w:spacing w:val="12"/>
          <w:sz w:val="27"/>
          <w:szCs w:val="27"/>
        </w:rPr>
        <w:t xml:space="preserve"> </w:t>
      </w:r>
      <w:r>
        <w:rPr>
          <w:color w:val="626262"/>
          <w:sz w:val="27"/>
          <w:szCs w:val="27"/>
        </w:rPr>
        <w:t>honored;</w:t>
      </w:r>
    </w:p>
    <w:p w:rsidR="002C5025" w:rsidRDefault="002C5025">
      <w:pPr>
        <w:pStyle w:val="ListParagraph"/>
        <w:numPr>
          <w:ilvl w:val="1"/>
          <w:numId w:val="30"/>
        </w:numPr>
        <w:tabs>
          <w:tab w:val="left" w:pos="1534"/>
        </w:tabs>
        <w:kinsoku w:val="0"/>
        <w:overflowPunct w:val="0"/>
        <w:spacing w:before="19"/>
        <w:ind w:left="1533" w:hanging="341"/>
        <w:rPr>
          <w:color w:val="626262"/>
          <w:sz w:val="27"/>
          <w:szCs w:val="27"/>
        </w:rPr>
      </w:pPr>
      <w:r>
        <w:rPr>
          <w:color w:val="626262"/>
          <w:sz w:val="27"/>
          <w:szCs w:val="27"/>
        </w:rPr>
        <w:t>Transportation (8) should be part of the program from the</w:t>
      </w:r>
      <w:r>
        <w:rPr>
          <w:color w:val="626262"/>
          <w:spacing w:val="39"/>
          <w:sz w:val="27"/>
          <w:szCs w:val="27"/>
        </w:rPr>
        <w:t xml:space="preserve"> </w:t>
      </w:r>
      <w:r>
        <w:rPr>
          <w:color w:val="626262"/>
          <w:sz w:val="27"/>
          <w:szCs w:val="27"/>
        </w:rPr>
        <w:t>start.</w:t>
      </w:r>
    </w:p>
    <w:p w:rsidR="002C5025" w:rsidRDefault="002C5025">
      <w:pPr>
        <w:pStyle w:val="BodyText"/>
        <w:kinsoku w:val="0"/>
        <w:overflowPunct w:val="0"/>
        <w:spacing w:before="2"/>
        <w:rPr>
          <w:rFonts w:ascii="Times New Roman" w:hAnsi="Times New Roman" w:cs="Times New Roman"/>
        </w:rPr>
      </w:pPr>
    </w:p>
    <w:p w:rsidR="002C5025" w:rsidRDefault="002C5025">
      <w:pPr>
        <w:pStyle w:val="BodyText"/>
        <w:kinsoku w:val="0"/>
        <w:overflowPunct w:val="0"/>
        <w:spacing w:before="1"/>
        <w:ind w:left="117" w:right="1625"/>
        <w:rPr>
          <w:rFonts w:ascii="Times New Roman" w:hAnsi="Times New Roman" w:cs="Times New Roman"/>
          <w:i/>
          <w:iCs/>
          <w:color w:val="626262"/>
          <w:sz w:val="27"/>
          <w:szCs w:val="27"/>
        </w:rPr>
      </w:pPr>
      <w:r>
        <w:rPr>
          <w:rFonts w:ascii="Times New Roman" w:hAnsi="Times New Roman" w:cs="Times New Roman"/>
          <w:i/>
          <w:iCs/>
          <w:color w:val="626262"/>
          <w:sz w:val="27"/>
          <w:szCs w:val="27"/>
        </w:rPr>
        <w:t>Privacy pilot</w:t>
      </w:r>
    </w:p>
    <w:p w:rsidR="002C5025" w:rsidRDefault="002C5025">
      <w:pPr>
        <w:pStyle w:val="BodyText"/>
        <w:kinsoku w:val="0"/>
        <w:overflowPunct w:val="0"/>
        <w:spacing w:before="7"/>
        <w:rPr>
          <w:rFonts w:ascii="Times New Roman" w:hAnsi="Times New Roman" w:cs="Times New Roman"/>
          <w:i/>
          <w:iCs/>
          <w:sz w:val="21"/>
          <w:szCs w:val="21"/>
        </w:rPr>
      </w:pPr>
    </w:p>
    <w:p w:rsidR="002C5025" w:rsidRDefault="002C5025">
      <w:pPr>
        <w:pStyle w:val="BodyText"/>
        <w:kinsoku w:val="0"/>
        <w:overflowPunct w:val="0"/>
        <w:spacing w:line="280" w:lineRule="auto"/>
        <w:ind w:left="131" w:right="1625"/>
        <w:rPr>
          <w:rFonts w:ascii="Times New Roman" w:hAnsi="Times New Roman" w:cs="Times New Roman"/>
          <w:color w:val="626262"/>
          <w:sz w:val="27"/>
          <w:szCs w:val="27"/>
        </w:rPr>
      </w:pPr>
      <w:r>
        <w:rPr>
          <w:rFonts w:ascii="Times New Roman" w:hAnsi="Times New Roman" w:cs="Times New Roman"/>
          <w:color w:val="626262"/>
          <w:sz w:val="27"/>
          <w:szCs w:val="27"/>
        </w:rPr>
        <w:t>One intended use of DSRIP is for HIT investments</w:t>
      </w:r>
      <w:r>
        <w:rPr>
          <w:rFonts w:ascii="Times New Roman" w:hAnsi="Times New Roman" w:cs="Times New Roman"/>
          <w:color w:val="868686"/>
          <w:sz w:val="27"/>
          <w:szCs w:val="27"/>
        </w:rPr>
        <w:t xml:space="preserve">. </w:t>
      </w:r>
      <w:r>
        <w:rPr>
          <w:rFonts w:ascii="Times New Roman" w:hAnsi="Times New Roman" w:cs="Times New Roman"/>
          <w:color w:val="626262"/>
          <w:sz w:val="27"/>
          <w:szCs w:val="27"/>
        </w:rPr>
        <w:t>(29) MassHealth has heard from members and is aware of studies describing how the sharing of psychiatric information has resulted in unnecessary delays in treatment and unnecessary and</w:t>
      </w:r>
    </w:p>
    <w:p w:rsidR="002C5025" w:rsidRDefault="00FB027C">
      <w:pPr>
        <w:pStyle w:val="BodyText"/>
        <w:kinsoku w:val="0"/>
        <w:overflowPunct w:val="0"/>
        <w:spacing w:before="8"/>
        <w:rPr>
          <w:rFonts w:ascii="Times New Roman" w:hAnsi="Times New Roman" w:cs="Times New Roman"/>
          <w:sz w:val="21"/>
          <w:szCs w:val="21"/>
        </w:rPr>
      </w:pPr>
      <w:r>
        <w:rPr>
          <w:noProof/>
        </w:rPr>
        <mc:AlternateContent>
          <mc:Choice Requires="wps">
            <w:drawing>
              <wp:anchor distT="0" distB="0" distL="0" distR="0" simplePos="0" relativeHeight="251786752" behindDoc="0" locked="0" layoutInCell="0" allowOverlap="1">
                <wp:simplePos x="0" y="0"/>
                <wp:positionH relativeFrom="page">
                  <wp:posOffset>1003935</wp:posOffset>
                </wp:positionH>
                <wp:positionV relativeFrom="paragraph">
                  <wp:posOffset>187960</wp:posOffset>
                </wp:positionV>
                <wp:extent cx="5821680" cy="12700"/>
                <wp:effectExtent l="0" t="0" r="0" b="0"/>
                <wp:wrapTopAndBottom/>
                <wp:docPr id="115" name="Freeform 7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21680" cy="12700"/>
                        </a:xfrm>
                        <a:custGeom>
                          <a:avLst/>
                          <a:gdLst>
                            <a:gd name="T0" fmla="*/ 0 w 9168"/>
                            <a:gd name="T1" fmla="*/ 0 h 20"/>
                            <a:gd name="T2" fmla="*/ 9168 w 9168"/>
                            <a:gd name="T3" fmla="*/ 0 h 20"/>
                          </a:gdLst>
                          <a:ahLst/>
                          <a:cxnLst>
                            <a:cxn ang="0">
                              <a:pos x="T0" y="T1"/>
                            </a:cxn>
                            <a:cxn ang="0">
                              <a:pos x="T2" y="T3"/>
                            </a:cxn>
                          </a:cxnLst>
                          <a:rect l="0" t="0" r="r" b="b"/>
                          <a:pathLst>
                            <a:path w="9168" h="20">
                              <a:moveTo>
                                <a:pt x="0" y="0"/>
                              </a:moveTo>
                              <a:lnTo>
                                <a:pt x="9168" y="0"/>
                              </a:lnTo>
                            </a:path>
                          </a:pathLst>
                        </a:custGeom>
                        <a:noFill/>
                        <a:ln w="89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79" o:spid="_x0000_s1026" style="position:absolute;z-index:251786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9.05pt,14.8pt,537.45pt,14.8pt" coordsize="916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" o:allowincell="f" filled="f" strokeweight=".24906mm">
                <v:path arrowok="t" o:connecttype="custom" o:connectlocs="0,0;5821680,0" o:connectangles="0,0"/>
                <w10:wrap type="topAndBottom" anchorx="page"/>
              </v:polyline>
            </w:pict>
          </mc:Fallback>
        </mc:AlternateContent>
      </w:r>
    </w:p>
    <w:p w:rsidR="002C5025" w:rsidRDefault="002C5025">
      <w:pPr>
        <w:pStyle w:val="BodyText"/>
        <w:kinsoku w:val="0"/>
        <w:overflowPunct w:val="0"/>
        <w:spacing w:before="50"/>
        <w:ind w:left="131" w:right="1625"/>
        <w:rPr>
          <w:rFonts w:ascii="Times New Roman" w:hAnsi="Times New Roman" w:cs="Times New Roman"/>
          <w:color w:val="626262"/>
          <w:sz w:val="21"/>
          <w:szCs w:val="21"/>
        </w:rPr>
      </w:pPr>
      <w:r>
        <w:rPr>
          <w:rFonts w:ascii="Times New Roman" w:hAnsi="Times New Roman" w:cs="Times New Roman"/>
          <w:color w:val="626262"/>
          <w:sz w:val="21"/>
          <w:szCs w:val="21"/>
        </w:rPr>
        <w:t>inpatient psychiatric care would greatly help,</w:t>
      </w:r>
    </w:p>
    <w:p w:rsidR="002C5025" w:rsidRDefault="00FD19EE">
      <w:pPr>
        <w:pStyle w:val="BodyText"/>
        <w:tabs>
          <w:tab w:val="left" w:pos="4924"/>
        </w:tabs>
        <w:kinsoku w:val="0"/>
        <w:overflowPunct w:val="0"/>
        <w:spacing w:before="8" w:line="247" w:lineRule="auto"/>
        <w:ind w:left="127" w:right="1613" w:hanging="8"/>
        <w:rPr>
          <w:rFonts w:ascii="Times New Roman" w:hAnsi="Times New Roman" w:cs="Times New Roman"/>
          <w:color w:val="626262"/>
          <w:sz w:val="21"/>
          <w:szCs w:val="21"/>
        </w:rPr>
      </w:pPr>
      <w:hyperlink r:id="rId530" w:history="1">
        <w:r w:rsidR="002C5025">
          <w:rPr>
            <w:rFonts w:ascii="Times New Roman" w:hAnsi="Times New Roman" w:cs="Times New Roman"/>
            <w:color w:val="868686"/>
            <w:w w:val="95"/>
            <w:sz w:val="21"/>
            <w:szCs w:val="21"/>
          </w:rPr>
          <w:t>seehttp:</w:t>
        </w:r>
        <w:r w:rsidR="002C5025">
          <w:rPr>
            <w:rFonts w:ascii="Times New Roman" w:hAnsi="Times New Roman" w:cs="Times New Roman"/>
            <w:color w:val="AEAEAE"/>
            <w:w w:val="95"/>
            <w:sz w:val="21"/>
            <w:szCs w:val="21"/>
          </w:rPr>
          <w:t>/</w:t>
        </w:r>
      </w:hyperlink>
      <w:hyperlink r:id="rId531" w:history="1">
        <w:r w:rsidR="002C5025">
          <w:rPr>
            <w:rFonts w:ascii="Times New Roman" w:hAnsi="Times New Roman" w:cs="Times New Roman"/>
            <w:color w:val="AEAEAE"/>
            <w:w w:val="95"/>
            <w:sz w:val="21"/>
            <w:szCs w:val="21"/>
          </w:rPr>
          <w:t>/</w:t>
        </w:r>
        <w:r w:rsidR="002C5025">
          <w:rPr>
            <w:rFonts w:ascii="Times New Roman" w:hAnsi="Times New Roman" w:cs="Times New Roman"/>
            <w:color w:val="868686"/>
            <w:w w:val="95"/>
            <w:sz w:val="21"/>
            <w:szCs w:val="21"/>
          </w:rPr>
          <w:t>www</w:t>
        </w:r>
        <w:r w:rsidR="002C5025">
          <w:rPr>
            <w:rFonts w:ascii="Times New Roman" w:hAnsi="Times New Roman" w:cs="Times New Roman"/>
            <w:color w:val="868686"/>
            <w:spacing w:val="-35"/>
            <w:w w:val="95"/>
            <w:sz w:val="21"/>
            <w:szCs w:val="21"/>
          </w:rPr>
          <w:t xml:space="preserve"> </w:t>
        </w:r>
        <w:r w:rsidR="002C5025">
          <w:rPr>
            <w:rFonts w:ascii="Times New Roman" w:hAnsi="Times New Roman" w:cs="Times New Roman"/>
            <w:color w:val="626262"/>
            <w:w w:val="95"/>
            <w:sz w:val="21"/>
            <w:szCs w:val="21"/>
          </w:rPr>
          <w:t>.</w:t>
        </w:r>
      </w:hyperlink>
      <w:r w:rsidR="002C5025">
        <w:rPr>
          <w:rFonts w:ascii="Times New Roman" w:hAnsi="Times New Roman" w:cs="Times New Roman"/>
          <w:color w:val="868686"/>
          <w:w w:val="95"/>
          <w:sz w:val="21"/>
          <w:szCs w:val="21"/>
        </w:rPr>
        <w:t>jointcommission.org/assets/1/23/Quick</w:t>
      </w:r>
      <w:r w:rsidR="002C5025">
        <w:rPr>
          <w:rFonts w:ascii="Times New Roman" w:hAnsi="Times New Roman" w:cs="Times New Roman"/>
          <w:color w:val="868686"/>
          <w:w w:val="95"/>
          <w:sz w:val="21"/>
          <w:szCs w:val="21"/>
        </w:rPr>
        <w:tab/>
      </w:r>
      <w:r w:rsidR="002C5025">
        <w:rPr>
          <w:rFonts w:ascii="Times New Roman" w:hAnsi="Times New Roman" w:cs="Times New Roman"/>
          <w:color w:val="868686"/>
          <w:sz w:val="21"/>
          <w:szCs w:val="21"/>
        </w:rPr>
        <w:t>Safety  Issue   19  Dec  20151.PDF</w:t>
      </w:r>
      <w:r w:rsidR="002C5025">
        <w:rPr>
          <w:rFonts w:ascii="Times New Roman" w:hAnsi="Times New Roman" w:cs="Times New Roman"/>
          <w:color w:val="868686"/>
          <w:spacing w:val="-15"/>
          <w:sz w:val="21"/>
          <w:szCs w:val="21"/>
        </w:rPr>
        <w:t xml:space="preserve"> </w:t>
      </w:r>
      <w:r w:rsidR="002C5025">
        <w:rPr>
          <w:rFonts w:ascii="Times New Roman" w:hAnsi="Times New Roman" w:cs="Times New Roman"/>
          <w:color w:val="868686"/>
          <w:sz w:val="21"/>
          <w:szCs w:val="21"/>
        </w:rPr>
        <w:t>)(last</w:t>
      </w:r>
      <w:r w:rsidR="002C5025">
        <w:rPr>
          <w:rFonts w:ascii="Times New Roman" w:hAnsi="Times New Roman" w:cs="Times New Roman"/>
          <w:color w:val="868686"/>
          <w:spacing w:val="11"/>
          <w:sz w:val="21"/>
          <w:szCs w:val="21"/>
        </w:rPr>
        <w:t xml:space="preserve"> </w:t>
      </w:r>
      <w:r w:rsidR="002C5025">
        <w:rPr>
          <w:rFonts w:ascii="Times New Roman" w:hAnsi="Times New Roman" w:cs="Times New Roman"/>
          <w:color w:val="868686"/>
          <w:sz w:val="21"/>
          <w:szCs w:val="21"/>
        </w:rPr>
        <w:t>accessed</w:t>
      </w:r>
      <w:r w:rsidR="002C5025">
        <w:rPr>
          <w:rFonts w:ascii="Times New Roman" w:hAnsi="Times New Roman" w:cs="Times New Roman"/>
          <w:color w:val="868686"/>
          <w:spacing w:val="-1"/>
          <w:sz w:val="21"/>
          <w:szCs w:val="21"/>
        </w:rPr>
        <w:t xml:space="preserve"> </w:t>
      </w:r>
      <w:r w:rsidR="002C5025">
        <w:rPr>
          <w:rFonts w:ascii="Times New Roman" w:hAnsi="Times New Roman" w:cs="Times New Roman"/>
          <w:color w:val="626262"/>
          <w:sz w:val="21"/>
          <w:szCs w:val="21"/>
        </w:rPr>
        <w:t>4/29</w:t>
      </w:r>
      <w:r w:rsidR="002C5025">
        <w:rPr>
          <w:rFonts w:ascii="Times New Roman" w:hAnsi="Times New Roman" w:cs="Times New Roman"/>
          <w:color w:val="868686"/>
          <w:sz w:val="21"/>
          <w:szCs w:val="21"/>
        </w:rPr>
        <w:t>/</w:t>
      </w:r>
      <w:r w:rsidR="002C5025">
        <w:rPr>
          <w:rFonts w:ascii="Times New Roman" w:hAnsi="Times New Roman" w:cs="Times New Roman"/>
          <w:color w:val="626262"/>
          <w:sz w:val="21"/>
          <w:szCs w:val="21"/>
        </w:rPr>
        <w:t>30) (noting estimated boarding times for Medicaid patients and the uninsured were longer than the average ED waiting time of six hours or more), peer respites also would be of huge benefit in reducing expensive ED use and in accommodating the preference of many persons in crisis to use peer respites rather than</w:t>
      </w:r>
      <w:r w:rsidR="002C5025">
        <w:rPr>
          <w:rFonts w:ascii="Times New Roman" w:hAnsi="Times New Roman" w:cs="Times New Roman"/>
          <w:color w:val="626262"/>
          <w:spacing w:val="2"/>
          <w:sz w:val="21"/>
          <w:szCs w:val="21"/>
        </w:rPr>
        <w:t xml:space="preserve"> </w:t>
      </w:r>
      <w:r w:rsidR="002C5025">
        <w:rPr>
          <w:rFonts w:ascii="Times New Roman" w:hAnsi="Times New Roman" w:cs="Times New Roman"/>
          <w:color w:val="626262"/>
          <w:sz w:val="21"/>
          <w:szCs w:val="21"/>
        </w:rPr>
        <w:t>hospitals.</w:t>
      </w:r>
    </w:p>
    <w:p w:rsidR="002C5025" w:rsidRDefault="002C5025">
      <w:pPr>
        <w:pStyle w:val="BodyText"/>
        <w:kinsoku w:val="0"/>
        <w:overflowPunct w:val="0"/>
        <w:spacing w:before="6"/>
        <w:rPr>
          <w:rFonts w:ascii="Times New Roman" w:hAnsi="Times New Roman" w:cs="Times New Roman"/>
          <w:sz w:val="21"/>
          <w:szCs w:val="21"/>
        </w:rPr>
      </w:pPr>
    </w:p>
    <w:p w:rsidR="002C5025" w:rsidRDefault="002C5025">
      <w:pPr>
        <w:pStyle w:val="BodyText"/>
        <w:kinsoku w:val="0"/>
        <w:overflowPunct w:val="0"/>
        <w:spacing w:before="1" w:line="247" w:lineRule="auto"/>
        <w:ind w:left="131" w:right="1625" w:hanging="5"/>
        <w:rPr>
          <w:rFonts w:ascii="Times New Roman" w:hAnsi="Times New Roman" w:cs="Times New Roman"/>
          <w:color w:val="868686"/>
          <w:sz w:val="21"/>
          <w:szCs w:val="21"/>
        </w:rPr>
      </w:pPr>
      <w:r>
        <w:rPr>
          <w:rFonts w:ascii="Times New Roman" w:hAnsi="Times New Roman" w:cs="Times New Roman"/>
          <w:color w:val="868686"/>
          <w:position w:val="5"/>
          <w:sz w:val="12"/>
          <w:szCs w:val="12"/>
        </w:rPr>
        <w:t xml:space="preserve">23 </w:t>
      </w:r>
      <w:r>
        <w:rPr>
          <w:rFonts w:ascii="Times New Roman" w:hAnsi="Times New Roman" w:cs="Times New Roman"/>
          <w:color w:val="626262"/>
          <w:sz w:val="21"/>
          <w:szCs w:val="21"/>
        </w:rPr>
        <w:t>We agree eligibility for that funding should be contingent on meeting MassHealth requirements on formalizing relationships  with Community Partners</w:t>
      </w:r>
      <w:r>
        <w:rPr>
          <w:rFonts w:ascii="Times New Roman" w:hAnsi="Times New Roman" w:cs="Times New Roman"/>
          <w:color w:val="868686"/>
          <w:sz w:val="21"/>
          <w:szCs w:val="21"/>
        </w:rPr>
        <w:t>.</w:t>
      </w:r>
    </w:p>
    <w:p w:rsidR="002C5025" w:rsidRDefault="002C5025">
      <w:pPr>
        <w:pStyle w:val="BodyText"/>
        <w:kinsoku w:val="0"/>
        <w:overflowPunct w:val="0"/>
        <w:spacing w:before="6"/>
        <w:rPr>
          <w:rFonts w:ascii="Times New Roman" w:hAnsi="Times New Roman" w:cs="Times New Roman"/>
          <w:sz w:val="21"/>
          <w:szCs w:val="21"/>
        </w:rPr>
      </w:pPr>
    </w:p>
    <w:p w:rsidR="002C5025" w:rsidRDefault="00FB027C">
      <w:pPr>
        <w:pStyle w:val="BodyText"/>
        <w:kinsoku w:val="0"/>
        <w:overflowPunct w:val="0"/>
        <w:spacing w:before="1" w:line="259" w:lineRule="auto"/>
        <w:ind w:left="131" w:right="1625" w:hanging="5"/>
        <w:rPr>
          <w:rFonts w:ascii="Times New Roman" w:hAnsi="Times New Roman" w:cs="Times New Roman"/>
          <w:color w:val="9B9B9B"/>
          <w:sz w:val="21"/>
          <w:szCs w:val="21"/>
        </w:rPr>
      </w:pPr>
      <w:r>
        <w:rPr>
          <w:noProof/>
        </w:rPr>
        <mc:AlternateContent>
          <mc:Choice Requires="wps">
            <w:drawing>
              <wp:anchor distT="0" distB="0" distL="114300" distR="114300" simplePos="0" relativeHeight="251787776" behindDoc="0" locked="0" layoutInCell="0" allowOverlap="1">
                <wp:simplePos x="0" y="0"/>
                <wp:positionH relativeFrom="page">
                  <wp:posOffset>7669530</wp:posOffset>
                </wp:positionH>
                <wp:positionV relativeFrom="paragraph">
                  <wp:posOffset>-38100</wp:posOffset>
                </wp:positionV>
                <wp:extent cx="12700" cy="233680"/>
                <wp:effectExtent l="0" t="0" r="0" b="0"/>
                <wp:wrapNone/>
                <wp:docPr id="114" name="Freeform 7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233680"/>
                        </a:xfrm>
                        <a:custGeom>
                          <a:avLst/>
                          <a:gdLst>
                            <a:gd name="T0" fmla="*/ 0 w 20"/>
                            <a:gd name="T1" fmla="*/ 369 h 368"/>
                            <a:gd name="T2" fmla="*/ 0 w 20"/>
                            <a:gd name="T3" fmla="*/ 0 h 368"/>
                          </a:gdLst>
                          <a:ahLst/>
                          <a:cxnLst>
                            <a:cxn ang="0">
                              <a:pos x="T0" y="T1"/>
                            </a:cxn>
                            <a:cxn ang="0">
                              <a:pos x="T2" y="T3"/>
                            </a:cxn>
                          </a:cxnLst>
                          <a:rect l="0" t="0" r="r" b="b"/>
                          <a:pathLst>
                            <a:path w="20" h="368">
                              <a:moveTo>
                                <a:pt x="0" y="369"/>
                              </a:moveTo>
                              <a:lnTo>
                                <a:pt x="0" y="0"/>
                              </a:lnTo>
                            </a:path>
                          </a:pathLst>
                        </a:custGeom>
                        <a:noFill/>
                        <a:ln w="5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80" o:spid="_x0000_s1026" style="position:absolute;z-index:251787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03.9pt,15.45pt,603.9pt,-3pt" coordsize="20,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" o:allowincell="f" filled="f" strokeweight=".47pt">
                <v:path arrowok="t" o:connecttype="custom" o:connectlocs="0,234315;0,0" o:connectangles="0,0"/>
                <w10:wrap anchorx="page"/>
              </v:polyline>
            </w:pict>
          </mc:Fallback>
        </mc:AlternateContent>
      </w:r>
      <w:r w:rsidR="002C5025">
        <w:rPr>
          <w:rFonts w:ascii="Times New Roman" w:hAnsi="Times New Roman" w:cs="Times New Roman"/>
          <w:color w:val="868686"/>
          <w:position w:val="5"/>
          <w:sz w:val="13"/>
          <w:szCs w:val="13"/>
        </w:rPr>
        <w:t>2</w:t>
      </w:r>
      <w:r w:rsidR="002C5025">
        <w:rPr>
          <w:rFonts w:ascii="Times New Roman" w:hAnsi="Times New Roman" w:cs="Times New Roman"/>
          <w:color w:val="626262"/>
          <w:position w:val="5"/>
          <w:sz w:val="13"/>
          <w:szCs w:val="13"/>
        </w:rPr>
        <w:t xml:space="preserve">4 </w:t>
      </w:r>
      <w:r w:rsidR="002C5025">
        <w:rPr>
          <w:rFonts w:ascii="Times New Roman" w:hAnsi="Times New Roman" w:cs="Times New Roman"/>
          <w:color w:val="626262"/>
          <w:sz w:val="21"/>
          <w:szCs w:val="21"/>
        </w:rPr>
        <w:t>We wholeheart</w:t>
      </w:r>
      <w:r w:rsidR="002C5025">
        <w:rPr>
          <w:rFonts w:ascii="Times New Roman" w:hAnsi="Times New Roman" w:cs="Times New Roman"/>
          <w:color w:val="868686"/>
          <w:sz w:val="21"/>
          <w:szCs w:val="21"/>
        </w:rPr>
        <w:t>e</w:t>
      </w:r>
      <w:r w:rsidR="002C5025">
        <w:rPr>
          <w:rFonts w:ascii="Times New Roman" w:hAnsi="Times New Roman" w:cs="Times New Roman"/>
          <w:color w:val="626262"/>
          <w:sz w:val="21"/>
          <w:szCs w:val="21"/>
        </w:rPr>
        <w:t>dly support the inclu</w:t>
      </w:r>
      <w:r w:rsidR="002C5025">
        <w:rPr>
          <w:rFonts w:ascii="Times New Roman" w:hAnsi="Times New Roman" w:cs="Times New Roman"/>
          <w:color w:val="868686"/>
          <w:sz w:val="21"/>
          <w:szCs w:val="21"/>
        </w:rPr>
        <w:t>s</w:t>
      </w:r>
      <w:r w:rsidR="002C5025">
        <w:rPr>
          <w:rFonts w:ascii="Times New Roman" w:hAnsi="Times New Roman" w:cs="Times New Roman"/>
          <w:color w:val="626262"/>
          <w:sz w:val="21"/>
          <w:szCs w:val="21"/>
        </w:rPr>
        <w:t>ion of th</w:t>
      </w:r>
      <w:r w:rsidR="002C5025">
        <w:rPr>
          <w:rFonts w:ascii="Times New Roman" w:hAnsi="Times New Roman" w:cs="Times New Roman"/>
          <w:color w:val="868686"/>
          <w:sz w:val="21"/>
          <w:szCs w:val="21"/>
        </w:rPr>
        <w:t xml:space="preserve">e </w:t>
      </w:r>
      <w:r w:rsidR="002C5025">
        <w:rPr>
          <w:rFonts w:ascii="Times New Roman" w:hAnsi="Times New Roman" w:cs="Times New Roman"/>
          <w:color w:val="626262"/>
          <w:sz w:val="21"/>
          <w:szCs w:val="21"/>
        </w:rPr>
        <w:t>LTSS CP on the care t</w:t>
      </w:r>
      <w:r w:rsidR="002C5025">
        <w:rPr>
          <w:rFonts w:ascii="Times New Roman" w:hAnsi="Times New Roman" w:cs="Times New Roman"/>
          <w:color w:val="868686"/>
          <w:sz w:val="21"/>
          <w:szCs w:val="21"/>
        </w:rPr>
        <w:t>e</w:t>
      </w:r>
      <w:r w:rsidR="002C5025">
        <w:rPr>
          <w:rFonts w:ascii="Times New Roman" w:hAnsi="Times New Roman" w:cs="Times New Roman"/>
          <w:color w:val="626262"/>
          <w:sz w:val="21"/>
          <w:szCs w:val="21"/>
        </w:rPr>
        <w:t xml:space="preserve">am (48) </w:t>
      </w:r>
      <w:r w:rsidR="002C5025">
        <w:rPr>
          <w:rFonts w:ascii="Times New Roman" w:hAnsi="Times New Roman" w:cs="Times New Roman"/>
          <w:color w:val="626262"/>
          <w:sz w:val="20"/>
          <w:szCs w:val="20"/>
        </w:rPr>
        <w:t xml:space="preserve">if </w:t>
      </w:r>
      <w:r w:rsidR="002C5025">
        <w:rPr>
          <w:rFonts w:ascii="Times New Roman" w:hAnsi="Times New Roman" w:cs="Times New Roman"/>
          <w:color w:val="626262"/>
          <w:sz w:val="21"/>
          <w:szCs w:val="21"/>
        </w:rPr>
        <w:t>the member doe</w:t>
      </w:r>
      <w:r w:rsidR="002C5025">
        <w:rPr>
          <w:rFonts w:ascii="Times New Roman" w:hAnsi="Times New Roman" w:cs="Times New Roman"/>
          <w:color w:val="868686"/>
          <w:sz w:val="21"/>
          <w:szCs w:val="21"/>
        </w:rPr>
        <w:t xml:space="preserve">s </w:t>
      </w:r>
      <w:r w:rsidR="002C5025">
        <w:rPr>
          <w:rFonts w:ascii="Times New Roman" w:hAnsi="Times New Roman" w:cs="Times New Roman"/>
          <w:color w:val="626262"/>
          <w:sz w:val="21"/>
          <w:szCs w:val="21"/>
        </w:rPr>
        <w:t>not ask for the exclusion of the LTSS  CP</w:t>
      </w:r>
      <w:r w:rsidR="002C5025">
        <w:rPr>
          <w:rFonts w:ascii="Times New Roman" w:hAnsi="Times New Roman" w:cs="Times New Roman"/>
          <w:color w:val="9B9B9B"/>
          <w:sz w:val="21"/>
          <w:szCs w:val="21"/>
        </w:rPr>
        <w:t>.</w:t>
      </w:r>
    </w:p>
    <w:p w:rsidR="002C5025" w:rsidRDefault="002C5025">
      <w:pPr>
        <w:pStyle w:val="BodyText"/>
        <w:kinsoku w:val="0"/>
        <w:overflowPunct w:val="0"/>
        <w:spacing w:before="4"/>
        <w:rPr>
          <w:rFonts w:ascii="Times New Roman" w:hAnsi="Times New Roman" w:cs="Times New Roman"/>
          <w:sz w:val="29"/>
          <w:szCs w:val="29"/>
        </w:rPr>
      </w:pPr>
    </w:p>
    <w:p w:rsidR="002C5025" w:rsidRDefault="00FB027C">
      <w:pPr>
        <w:pStyle w:val="BodyText"/>
        <w:kinsoku w:val="0"/>
        <w:overflowPunct w:val="0"/>
        <w:spacing w:before="74"/>
        <w:ind w:left="3556" w:right="4878"/>
        <w:jc w:val="center"/>
        <w:rPr>
          <w:rFonts w:ascii="Times New Roman" w:hAnsi="Times New Roman" w:cs="Times New Roman"/>
          <w:color w:val="626262"/>
          <w:w w:val="105"/>
          <w:sz w:val="21"/>
          <w:szCs w:val="21"/>
        </w:rPr>
      </w:pPr>
      <w:r>
        <w:rPr>
          <w:noProof/>
        </w:rPr>
        <mc:AlternateContent>
          <mc:Choice Requires="wps">
            <w:drawing>
              <wp:anchor distT="0" distB="0" distL="114300" distR="114300" simplePos="0" relativeHeight="251788800" behindDoc="0" locked="0" layoutInCell="0" allowOverlap="1">
                <wp:simplePos x="0" y="0"/>
                <wp:positionH relativeFrom="page">
                  <wp:posOffset>7680325</wp:posOffset>
                </wp:positionH>
                <wp:positionV relativeFrom="paragraph">
                  <wp:posOffset>-86360</wp:posOffset>
                </wp:positionV>
                <wp:extent cx="12700" cy="829310"/>
                <wp:effectExtent l="0" t="0" r="0" b="0"/>
                <wp:wrapNone/>
                <wp:docPr id="112" name="Freeform 7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829310"/>
                        </a:xfrm>
                        <a:custGeom>
                          <a:avLst/>
                          <a:gdLst>
                            <a:gd name="T0" fmla="*/ 0 w 20"/>
                            <a:gd name="T1" fmla="*/ 1307 h 1306"/>
                            <a:gd name="T2" fmla="*/ 0 w 20"/>
                            <a:gd name="T3" fmla="*/ 0 h 1306"/>
                          </a:gdLst>
                          <a:ahLst/>
                          <a:cxnLst>
                            <a:cxn ang="0">
                              <a:pos x="T0" y="T1"/>
                            </a:cxn>
                            <a:cxn ang="0">
                              <a:pos x="T2" y="T3"/>
                            </a:cxn>
                          </a:cxnLst>
                          <a:rect l="0" t="0" r="r" b="b"/>
                          <a:pathLst>
                            <a:path w="20" h="1306">
                              <a:moveTo>
                                <a:pt x="0" y="1307"/>
                              </a:moveTo>
                              <a:lnTo>
                                <a:pt x="0" y="0"/>
                              </a:lnTo>
                            </a:path>
                          </a:pathLst>
                        </a:custGeom>
                        <a:noFill/>
                        <a:ln w="120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81" o:spid="_x0000_s1026" style="position:absolute;z-index:251788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04.75pt,58.55pt,604.75pt,-6.8pt" coordsize="20,1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" o:allowincell="f" filled="f" strokeweight=".33372mm">
                <v:path arrowok="t" o:connecttype="custom" o:connectlocs="0,829945;0,0" o:connectangles="0,0"/>
                <w10:wrap anchorx="page"/>
              </v:polyline>
            </w:pict>
          </mc:Fallback>
        </mc:AlternateContent>
      </w:r>
      <w:r w:rsidR="002C5025">
        <w:rPr>
          <w:rFonts w:ascii="Times New Roman" w:hAnsi="Times New Roman" w:cs="Times New Roman"/>
          <w:color w:val="626262"/>
          <w:w w:val="105"/>
          <w:sz w:val="21"/>
          <w:szCs w:val="21"/>
        </w:rPr>
        <w:t>11</w:t>
      </w:r>
    </w:p>
    <w:p w:rsidR="002C5025" w:rsidRDefault="002C5025">
      <w:pPr>
        <w:pStyle w:val="BodyText"/>
        <w:kinsoku w:val="0"/>
        <w:overflowPunct w:val="0"/>
        <w:spacing w:before="74"/>
        <w:ind w:left="3556" w:right="4878"/>
        <w:jc w:val="center"/>
        <w:rPr>
          <w:rFonts w:ascii="Times New Roman" w:hAnsi="Times New Roman" w:cs="Times New Roman"/>
          <w:color w:val="626262"/>
          <w:w w:val="105"/>
          <w:sz w:val="21"/>
          <w:szCs w:val="21"/>
        </w:rPr>
        <w:sectPr w:rsidR="002C5025">
          <w:pgSz w:w="12240" w:h="15840"/>
          <w:pgMar w:top="1360" w:right="20" w:bottom="0" w:left="1440" w:header="720" w:footer="720" w:gutter="0"/>
          <w:cols w:space="720" w:equalWidth="0">
            <w:col w:w="10780"/>
          </w:cols>
          <w:noEndnote/>
        </w:sectPr>
      </w:pPr>
    </w:p>
    <w:p w:rsidR="002C5025" w:rsidRDefault="002C5025">
      <w:pPr>
        <w:pStyle w:val="BodyText"/>
        <w:kinsoku w:val="0"/>
        <w:overflowPunct w:val="0"/>
        <w:spacing w:before="46" w:line="280" w:lineRule="auto"/>
        <w:ind w:left="691" w:right="98" w:firstLine="9"/>
        <w:rPr>
          <w:rFonts w:ascii="Times New Roman" w:hAnsi="Times New Roman" w:cs="Times New Roman"/>
          <w:color w:val="5B5B5B"/>
          <w:sz w:val="27"/>
          <w:szCs w:val="27"/>
        </w:rPr>
      </w:pPr>
      <w:r>
        <w:rPr>
          <w:rFonts w:ascii="Times New Roman" w:hAnsi="Times New Roman" w:cs="Times New Roman"/>
          <w:color w:val="5B5B5B"/>
          <w:sz w:val="27"/>
          <w:szCs w:val="27"/>
        </w:rPr>
        <w:lastRenderedPageBreak/>
        <w:t>costly visits to both behavioral health providers and specialists. Given that one of the</w:t>
      </w:r>
      <w:r>
        <w:rPr>
          <w:rFonts w:ascii="Times New Roman" w:hAnsi="Times New Roman" w:cs="Times New Roman"/>
          <w:color w:val="5B5B5B"/>
          <w:spacing w:val="-13"/>
          <w:sz w:val="27"/>
          <w:szCs w:val="27"/>
        </w:rPr>
        <w:t xml:space="preserve"> </w:t>
      </w:r>
      <w:r>
        <w:rPr>
          <w:rFonts w:ascii="Times New Roman" w:hAnsi="Times New Roman" w:cs="Times New Roman"/>
          <w:color w:val="5B5B5B"/>
          <w:sz w:val="27"/>
          <w:szCs w:val="27"/>
        </w:rPr>
        <w:t>goals</w:t>
      </w:r>
      <w:r>
        <w:rPr>
          <w:rFonts w:ascii="Times New Roman" w:hAnsi="Times New Roman" w:cs="Times New Roman"/>
          <w:color w:val="5B5B5B"/>
          <w:spacing w:val="-5"/>
          <w:sz w:val="27"/>
          <w:szCs w:val="27"/>
        </w:rPr>
        <w:t xml:space="preserve"> </w:t>
      </w:r>
      <w:r>
        <w:rPr>
          <w:rFonts w:ascii="Times New Roman" w:hAnsi="Times New Roman" w:cs="Times New Roman"/>
          <w:color w:val="5B5B5B"/>
          <w:sz w:val="27"/>
          <w:szCs w:val="27"/>
        </w:rPr>
        <w:t>of</w:t>
      </w:r>
      <w:r>
        <w:rPr>
          <w:rFonts w:ascii="Times New Roman" w:hAnsi="Times New Roman" w:cs="Times New Roman"/>
          <w:color w:val="5B5B5B"/>
          <w:spacing w:val="-14"/>
          <w:sz w:val="27"/>
          <w:szCs w:val="27"/>
        </w:rPr>
        <w:t xml:space="preserve"> </w:t>
      </w:r>
      <w:r>
        <w:rPr>
          <w:rFonts w:ascii="Times New Roman" w:hAnsi="Times New Roman" w:cs="Times New Roman"/>
          <w:color w:val="5B5B5B"/>
          <w:sz w:val="27"/>
          <w:szCs w:val="27"/>
        </w:rPr>
        <w:t>DSRIP</w:t>
      </w:r>
      <w:r>
        <w:rPr>
          <w:rFonts w:ascii="Times New Roman" w:hAnsi="Times New Roman" w:cs="Times New Roman"/>
          <w:color w:val="5B5B5B"/>
          <w:spacing w:val="-2"/>
          <w:sz w:val="27"/>
          <w:szCs w:val="27"/>
        </w:rPr>
        <w:t xml:space="preserve"> </w:t>
      </w:r>
      <w:r>
        <w:rPr>
          <w:rFonts w:ascii="Times New Roman" w:hAnsi="Times New Roman" w:cs="Times New Roman"/>
          <w:color w:val="5B5B5B"/>
          <w:sz w:val="27"/>
          <w:szCs w:val="27"/>
        </w:rPr>
        <w:t>is</w:t>
      </w:r>
      <w:r>
        <w:rPr>
          <w:rFonts w:ascii="Times New Roman" w:hAnsi="Times New Roman" w:cs="Times New Roman"/>
          <w:color w:val="5B5B5B"/>
          <w:spacing w:val="-14"/>
          <w:sz w:val="27"/>
          <w:szCs w:val="27"/>
        </w:rPr>
        <w:t xml:space="preserve"> </w:t>
      </w:r>
      <w:r>
        <w:rPr>
          <w:rFonts w:ascii="Times New Roman" w:hAnsi="Times New Roman" w:cs="Times New Roman"/>
          <w:color w:val="5B5B5B"/>
          <w:sz w:val="27"/>
          <w:szCs w:val="27"/>
        </w:rPr>
        <w:t>a</w:t>
      </w:r>
      <w:r>
        <w:rPr>
          <w:rFonts w:ascii="Times New Roman" w:hAnsi="Times New Roman" w:cs="Times New Roman"/>
          <w:color w:val="5B5B5B"/>
          <w:spacing w:val="-19"/>
          <w:sz w:val="27"/>
          <w:szCs w:val="27"/>
        </w:rPr>
        <w:t xml:space="preserve"> </w:t>
      </w:r>
      <w:r>
        <w:rPr>
          <w:rFonts w:ascii="Times New Roman" w:hAnsi="Times New Roman" w:cs="Times New Roman"/>
          <w:color w:val="5B5B5B"/>
          <w:sz w:val="27"/>
          <w:szCs w:val="27"/>
        </w:rPr>
        <w:t>reduction</w:t>
      </w:r>
      <w:r>
        <w:rPr>
          <w:rFonts w:ascii="Times New Roman" w:hAnsi="Times New Roman" w:cs="Times New Roman"/>
          <w:color w:val="5B5B5B"/>
          <w:spacing w:val="8"/>
          <w:sz w:val="27"/>
          <w:szCs w:val="27"/>
        </w:rPr>
        <w:t xml:space="preserve"> </w:t>
      </w:r>
      <w:r>
        <w:rPr>
          <w:rFonts w:ascii="Times New Roman" w:hAnsi="Times New Roman" w:cs="Times New Roman"/>
          <w:color w:val="5B5B5B"/>
          <w:sz w:val="27"/>
          <w:szCs w:val="27"/>
        </w:rPr>
        <w:t>in</w:t>
      </w:r>
      <w:r>
        <w:rPr>
          <w:rFonts w:ascii="Times New Roman" w:hAnsi="Times New Roman" w:cs="Times New Roman"/>
          <w:color w:val="5B5B5B"/>
          <w:spacing w:val="-9"/>
          <w:sz w:val="27"/>
          <w:szCs w:val="27"/>
        </w:rPr>
        <w:t xml:space="preserve"> </w:t>
      </w:r>
      <w:r>
        <w:rPr>
          <w:rFonts w:ascii="Times New Roman" w:hAnsi="Times New Roman" w:cs="Times New Roman"/>
          <w:color w:val="5B5B5B"/>
          <w:sz w:val="27"/>
          <w:szCs w:val="27"/>
        </w:rPr>
        <w:t>avoidable</w:t>
      </w:r>
      <w:r>
        <w:rPr>
          <w:rFonts w:ascii="Times New Roman" w:hAnsi="Times New Roman" w:cs="Times New Roman"/>
          <w:color w:val="5B5B5B"/>
          <w:spacing w:val="-13"/>
          <w:sz w:val="27"/>
          <w:szCs w:val="27"/>
        </w:rPr>
        <w:t xml:space="preserve"> </w:t>
      </w:r>
      <w:r>
        <w:rPr>
          <w:rFonts w:ascii="Times New Roman" w:hAnsi="Times New Roman" w:cs="Times New Roman"/>
          <w:color w:val="5B5B5B"/>
          <w:sz w:val="27"/>
          <w:szCs w:val="27"/>
        </w:rPr>
        <w:t>utilization</w:t>
      </w:r>
      <w:r>
        <w:rPr>
          <w:rFonts w:ascii="Times New Roman" w:hAnsi="Times New Roman" w:cs="Times New Roman"/>
          <w:color w:val="5B5B5B"/>
          <w:spacing w:val="10"/>
          <w:sz w:val="27"/>
          <w:szCs w:val="27"/>
        </w:rPr>
        <w:t xml:space="preserve"> </w:t>
      </w:r>
      <w:r>
        <w:rPr>
          <w:rFonts w:ascii="Times New Roman" w:hAnsi="Times New Roman" w:cs="Times New Roman"/>
          <w:color w:val="5B5B5B"/>
          <w:sz w:val="27"/>
          <w:szCs w:val="27"/>
        </w:rPr>
        <w:t>and</w:t>
      </w:r>
      <w:r>
        <w:rPr>
          <w:rFonts w:ascii="Times New Roman" w:hAnsi="Times New Roman" w:cs="Times New Roman"/>
          <w:color w:val="5B5B5B"/>
          <w:spacing w:val="-2"/>
          <w:sz w:val="27"/>
          <w:szCs w:val="27"/>
        </w:rPr>
        <w:t xml:space="preserve"> </w:t>
      </w:r>
      <w:r>
        <w:rPr>
          <w:rFonts w:ascii="Times New Roman" w:hAnsi="Times New Roman" w:cs="Times New Roman"/>
          <w:color w:val="5B5B5B"/>
          <w:sz w:val="27"/>
          <w:szCs w:val="27"/>
        </w:rPr>
        <w:t>an</w:t>
      </w:r>
      <w:r>
        <w:rPr>
          <w:rFonts w:ascii="Times New Roman" w:hAnsi="Times New Roman" w:cs="Times New Roman"/>
          <w:color w:val="5B5B5B"/>
          <w:spacing w:val="-9"/>
          <w:sz w:val="27"/>
          <w:szCs w:val="27"/>
        </w:rPr>
        <w:t xml:space="preserve"> </w:t>
      </w:r>
      <w:r>
        <w:rPr>
          <w:rFonts w:ascii="Times New Roman" w:hAnsi="Times New Roman" w:cs="Times New Roman"/>
          <w:color w:val="5B5B5B"/>
          <w:sz w:val="27"/>
          <w:szCs w:val="27"/>
        </w:rPr>
        <w:t>increase</w:t>
      </w:r>
      <w:r>
        <w:rPr>
          <w:rFonts w:ascii="Times New Roman" w:hAnsi="Times New Roman" w:cs="Times New Roman"/>
          <w:color w:val="5B5B5B"/>
          <w:spacing w:val="-3"/>
          <w:sz w:val="27"/>
          <w:szCs w:val="27"/>
        </w:rPr>
        <w:t xml:space="preserve"> </w:t>
      </w:r>
      <w:r>
        <w:rPr>
          <w:rFonts w:ascii="Times New Roman" w:hAnsi="Times New Roman" w:cs="Times New Roman"/>
          <w:color w:val="5B5B5B"/>
          <w:sz w:val="27"/>
          <w:szCs w:val="27"/>
        </w:rPr>
        <w:t>in</w:t>
      </w:r>
      <w:r>
        <w:rPr>
          <w:rFonts w:ascii="Times New Roman" w:hAnsi="Times New Roman" w:cs="Times New Roman"/>
          <w:color w:val="5B5B5B"/>
          <w:spacing w:val="-11"/>
          <w:sz w:val="27"/>
          <w:szCs w:val="27"/>
        </w:rPr>
        <w:t xml:space="preserve"> </w:t>
      </w:r>
      <w:r>
        <w:rPr>
          <w:rFonts w:ascii="Times New Roman" w:hAnsi="Times New Roman" w:cs="Times New Roman"/>
          <w:color w:val="5B5B5B"/>
          <w:sz w:val="27"/>
          <w:szCs w:val="27"/>
        </w:rPr>
        <w:t>quality of care (28), it is therefore appropriate that a modest investment be made to pilot an electronic medical records system that does not disrupt work flow, respects member choice,</w:t>
      </w:r>
      <w:r>
        <w:rPr>
          <w:rFonts w:ascii="Times New Roman" w:hAnsi="Times New Roman" w:cs="Times New Roman"/>
          <w:color w:val="5B5B5B"/>
          <w:spacing w:val="-15"/>
          <w:sz w:val="27"/>
          <w:szCs w:val="27"/>
        </w:rPr>
        <w:t xml:space="preserve"> </w:t>
      </w:r>
      <w:r>
        <w:rPr>
          <w:rFonts w:ascii="Times New Roman" w:hAnsi="Times New Roman" w:cs="Times New Roman"/>
          <w:color w:val="5B5B5B"/>
          <w:sz w:val="27"/>
          <w:szCs w:val="27"/>
        </w:rPr>
        <w:t>and</w:t>
      </w:r>
      <w:r>
        <w:rPr>
          <w:rFonts w:ascii="Times New Roman" w:hAnsi="Times New Roman" w:cs="Times New Roman"/>
          <w:color w:val="5B5B5B"/>
          <w:spacing w:val="-19"/>
          <w:sz w:val="27"/>
          <w:szCs w:val="27"/>
        </w:rPr>
        <w:t xml:space="preserve"> </w:t>
      </w:r>
      <w:r>
        <w:rPr>
          <w:rFonts w:ascii="Times New Roman" w:hAnsi="Times New Roman" w:cs="Times New Roman"/>
          <w:color w:val="5B5B5B"/>
          <w:sz w:val="27"/>
          <w:szCs w:val="27"/>
        </w:rPr>
        <w:t>ultimately</w:t>
      </w:r>
      <w:r>
        <w:rPr>
          <w:rFonts w:ascii="Times New Roman" w:hAnsi="Times New Roman" w:cs="Times New Roman"/>
          <w:color w:val="5B5B5B"/>
          <w:spacing w:val="4"/>
          <w:sz w:val="27"/>
          <w:szCs w:val="27"/>
        </w:rPr>
        <w:t xml:space="preserve"> </w:t>
      </w:r>
      <w:r>
        <w:rPr>
          <w:rFonts w:ascii="Times New Roman" w:hAnsi="Times New Roman" w:cs="Times New Roman"/>
          <w:color w:val="5B5B5B"/>
          <w:sz w:val="27"/>
          <w:szCs w:val="27"/>
        </w:rPr>
        <w:t>improves</w:t>
      </w:r>
      <w:r>
        <w:rPr>
          <w:rFonts w:ascii="Times New Roman" w:hAnsi="Times New Roman" w:cs="Times New Roman"/>
          <w:color w:val="5B5B5B"/>
          <w:spacing w:val="-5"/>
          <w:sz w:val="27"/>
          <w:szCs w:val="27"/>
        </w:rPr>
        <w:t xml:space="preserve"> </w:t>
      </w:r>
      <w:r>
        <w:rPr>
          <w:rFonts w:ascii="Times New Roman" w:hAnsi="Times New Roman" w:cs="Times New Roman"/>
          <w:color w:val="5B5B5B"/>
          <w:sz w:val="27"/>
          <w:szCs w:val="27"/>
        </w:rPr>
        <w:t>care</w:t>
      </w:r>
      <w:r>
        <w:rPr>
          <w:rFonts w:ascii="Times New Roman" w:hAnsi="Times New Roman" w:cs="Times New Roman"/>
          <w:color w:val="5B5B5B"/>
          <w:spacing w:val="-15"/>
          <w:sz w:val="27"/>
          <w:szCs w:val="27"/>
        </w:rPr>
        <w:t xml:space="preserve"> </w:t>
      </w:r>
      <w:r>
        <w:rPr>
          <w:rFonts w:ascii="Times New Roman" w:hAnsi="Times New Roman" w:cs="Times New Roman"/>
          <w:color w:val="5B5B5B"/>
          <w:sz w:val="27"/>
          <w:szCs w:val="27"/>
        </w:rPr>
        <w:t>and</w:t>
      </w:r>
      <w:r>
        <w:rPr>
          <w:rFonts w:ascii="Times New Roman" w:hAnsi="Times New Roman" w:cs="Times New Roman"/>
          <w:color w:val="5B5B5B"/>
          <w:spacing w:val="-14"/>
          <w:sz w:val="27"/>
          <w:szCs w:val="27"/>
        </w:rPr>
        <w:t xml:space="preserve"> </w:t>
      </w:r>
      <w:r>
        <w:rPr>
          <w:rFonts w:ascii="Times New Roman" w:hAnsi="Times New Roman" w:cs="Times New Roman"/>
          <w:color w:val="5B5B5B"/>
          <w:sz w:val="27"/>
          <w:szCs w:val="27"/>
        </w:rPr>
        <w:t>reduces</w:t>
      </w:r>
      <w:r>
        <w:rPr>
          <w:rFonts w:ascii="Times New Roman" w:hAnsi="Times New Roman" w:cs="Times New Roman"/>
          <w:color w:val="5B5B5B"/>
          <w:spacing w:val="-8"/>
          <w:sz w:val="27"/>
          <w:szCs w:val="27"/>
        </w:rPr>
        <w:t xml:space="preserve"> </w:t>
      </w:r>
      <w:r>
        <w:rPr>
          <w:rFonts w:ascii="Times New Roman" w:hAnsi="Times New Roman" w:cs="Times New Roman"/>
          <w:color w:val="5B5B5B"/>
          <w:sz w:val="27"/>
          <w:szCs w:val="27"/>
        </w:rPr>
        <w:t>costs</w:t>
      </w:r>
      <w:r>
        <w:rPr>
          <w:rFonts w:ascii="Times New Roman" w:hAnsi="Times New Roman" w:cs="Times New Roman"/>
          <w:color w:val="5B5B5B"/>
          <w:spacing w:val="-22"/>
          <w:sz w:val="27"/>
          <w:szCs w:val="27"/>
        </w:rPr>
        <w:t xml:space="preserve"> </w:t>
      </w:r>
      <w:r>
        <w:rPr>
          <w:rFonts w:ascii="Times New Roman" w:hAnsi="Times New Roman" w:cs="Times New Roman"/>
          <w:color w:val="5B5B5B"/>
          <w:sz w:val="27"/>
          <w:szCs w:val="27"/>
        </w:rPr>
        <w:t>to</w:t>
      </w:r>
      <w:r>
        <w:rPr>
          <w:rFonts w:ascii="Times New Roman" w:hAnsi="Times New Roman" w:cs="Times New Roman"/>
          <w:color w:val="5B5B5B"/>
          <w:spacing w:val="-13"/>
          <w:sz w:val="27"/>
          <w:szCs w:val="27"/>
        </w:rPr>
        <w:t xml:space="preserve"> </w:t>
      </w:r>
      <w:r>
        <w:rPr>
          <w:rFonts w:ascii="Times New Roman" w:hAnsi="Times New Roman" w:cs="Times New Roman"/>
          <w:color w:val="5B5B5B"/>
          <w:sz w:val="27"/>
          <w:szCs w:val="27"/>
        </w:rPr>
        <w:t>MassHealth.</w:t>
      </w:r>
    </w:p>
    <w:p w:rsidR="002C5025" w:rsidRDefault="002C5025">
      <w:pPr>
        <w:pStyle w:val="BodyText"/>
        <w:kinsoku w:val="0"/>
        <w:overflowPunct w:val="0"/>
        <w:spacing w:before="1" w:line="278" w:lineRule="auto"/>
        <w:ind w:left="691" w:right="286"/>
        <w:rPr>
          <w:rFonts w:ascii="Times New Roman" w:hAnsi="Times New Roman" w:cs="Times New Roman"/>
          <w:color w:val="5B5B5B"/>
          <w:sz w:val="27"/>
          <w:szCs w:val="27"/>
        </w:rPr>
      </w:pPr>
      <w:r>
        <w:rPr>
          <w:rFonts w:ascii="Times New Roman" w:hAnsi="Times New Roman" w:cs="Times New Roman"/>
          <w:color w:val="5B5B5B"/>
          <w:sz w:val="27"/>
          <w:szCs w:val="27"/>
        </w:rPr>
        <w:t>MassHealth should provide assistance to provider-led ACOs and small group providers associated with these ACOs to pilot software or other tools to facilitate technical implementation of member choice of sharing options.</w:t>
      </w:r>
    </w:p>
    <w:p w:rsidR="002C5025" w:rsidRDefault="002C5025">
      <w:pPr>
        <w:pStyle w:val="BodyText"/>
        <w:kinsoku w:val="0"/>
        <w:overflowPunct w:val="0"/>
        <w:rPr>
          <w:rFonts w:ascii="Times New Roman" w:hAnsi="Times New Roman" w:cs="Times New Roman"/>
          <w:sz w:val="26"/>
          <w:szCs w:val="26"/>
        </w:rPr>
      </w:pPr>
    </w:p>
    <w:p w:rsidR="002C5025" w:rsidRDefault="002C5025">
      <w:pPr>
        <w:pStyle w:val="BodyText"/>
        <w:kinsoku w:val="0"/>
        <w:overflowPunct w:val="0"/>
        <w:rPr>
          <w:rFonts w:ascii="Times New Roman" w:hAnsi="Times New Roman" w:cs="Times New Roman"/>
          <w:sz w:val="26"/>
          <w:szCs w:val="26"/>
        </w:rPr>
      </w:pPr>
    </w:p>
    <w:p w:rsidR="002C5025" w:rsidRDefault="002C5025">
      <w:pPr>
        <w:pStyle w:val="BodyText"/>
        <w:kinsoku w:val="0"/>
        <w:overflowPunct w:val="0"/>
        <w:spacing w:before="181" w:line="280" w:lineRule="auto"/>
        <w:ind w:left="691" w:right="98" w:firstLine="9"/>
        <w:rPr>
          <w:rFonts w:ascii="Times New Roman" w:hAnsi="Times New Roman" w:cs="Times New Roman"/>
          <w:color w:val="5B5B5B"/>
          <w:sz w:val="27"/>
          <w:szCs w:val="27"/>
        </w:rPr>
      </w:pPr>
      <w:r>
        <w:rPr>
          <w:rFonts w:ascii="Times New Roman" w:hAnsi="Times New Roman" w:cs="Times New Roman"/>
          <w:color w:val="5B5B5B"/>
          <w:sz w:val="27"/>
          <w:szCs w:val="27"/>
        </w:rPr>
        <w:t>MHLAC appreciates the time and effort that MassHealth has invested in the restructuring of the delivery system. Our comments and proposals are directed to making that restructuring a success for members, for MassHealth, and for all participants in the process. We look forward to working with you to promote wellness and recovery.</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FB027C">
      <w:pPr>
        <w:pStyle w:val="BodyText"/>
        <w:kinsoku w:val="0"/>
        <w:overflowPunct w:val="0"/>
        <w:spacing w:before="5"/>
        <w:rPr>
          <w:rFonts w:ascii="Times New Roman" w:hAnsi="Times New Roman" w:cs="Times New Roman"/>
          <w:sz w:val="21"/>
          <w:szCs w:val="21"/>
        </w:rPr>
      </w:pPr>
      <w:r>
        <w:rPr>
          <w:noProof/>
        </w:rPr>
        <mc:AlternateContent>
          <mc:Choice Requires="wps">
            <w:drawing>
              <wp:anchor distT="0" distB="0" distL="0" distR="0" simplePos="0" relativeHeight="251789824" behindDoc="0" locked="0" layoutInCell="0" allowOverlap="1">
                <wp:simplePos x="0" y="0"/>
                <wp:positionH relativeFrom="page">
                  <wp:posOffset>670560</wp:posOffset>
                </wp:positionH>
                <wp:positionV relativeFrom="paragraph">
                  <wp:posOffset>181610</wp:posOffset>
                </wp:positionV>
                <wp:extent cx="3124200" cy="1295400"/>
                <wp:effectExtent l="0" t="0" r="0" b="0"/>
                <wp:wrapTopAndBottom/>
                <wp:docPr id="110" name="Rectangle 7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0" cy="1295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2040" w:lineRule="atLeast"/>
                            </w:pPr>
                            <w:r>
                              <w:rPr>
                                <w:noProof/>
                              </w:rPr>
                              <w:drawing>
                                <wp:inline distT="0" distB="0" distL="0" distR="0">
                                  <wp:extent cx="3124200" cy="1295400"/>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532">
                                            <a:extLst>
                                              <a:ext uri="{28A0092B-C50C-407E-A947-70E740481C1C}">
                                                <a14:useLocalDpi xmlns:a14="http://schemas.microsoft.com/office/drawing/2010/main" val="0"/>
                                              </a:ext>
                                            </a:extLst>
                                          </a:blip>
                                          <a:srcRect/>
                                          <a:stretch>
                                            <a:fillRect/>
                                          </a:stretch>
                                        </pic:blipFill>
                                        <pic:spPr bwMode="auto">
                                          <a:xfrm>
                                            <a:off x="0" y="0"/>
                                            <a:ext cx="3124200" cy="1295400"/>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2" o:spid="_x0000_s1270" style="position:absolute;margin-left:52.8pt;margin-top:14.3pt;width:246pt;height:102pt;z-index:251789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" o:allowincell="f" filled="f" stroked="f">
                <v:textbox inset="0,0,0,0">
                  <w:txbxContent>
                    <w:p w:rsidR="007B2B7B" w:rsidRDefault="007B2B7B">
                      <w:pPr>
                        <w:widowControl/>
                        <w:autoSpaceDE/>
                        <w:autoSpaceDN/>
                        <w:adjustRightInd/>
                        <w:spacing w:line="2040" w:lineRule="atLeast"/>
                      </w:pPr>
                      <w:r>
                        <w:rPr>
                          <w:noProof/>
                        </w:rPr>
                        <w:drawing>
                          <wp:inline distT="0" distB="0" distL="0" distR="0">
                            <wp:extent cx="3124200" cy="1295400"/>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533">
                                      <a:extLst>
                                        <a:ext uri="{28A0092B-C50C-407E-A947-70E740481C1C}">
                                          <a14:useLocalDpi xmlns:a14="http://schemas.microsoft.com/office/drawing/2010/main" val="0"/>
                                        </a:ext>
                                      </a:extLst>
                                    </a:blip>
                                    <a:srcRect/>
                                    <a:stretch>
                                      <a:fillRect/>
                                    </a:stretch>
                                  </pic:blipFill>
                                  <pic:spPr bwMode="auto">
                                    <a:xfrm>
                                      <a:off x="0" y="0"/>
                                      <a:ext cx="3124200" cy="1295400"/>
                                    </a:xfrm>
                                    <a:prstGeom prst="rect">
                                      <a:avLst/>
                                    </a:prstGeom>
                                    <a:noFill/>
                                    <a:ln>
                                      <a:noFill/>
                                    </a:ln>
                                  </pic:spPr>
                                </pic:pic>
                              </a:graphicData>
                            </a:graphic>
                          </wp:inline>
                        </w:drawing>
                      </w:r>
                    </w:p>
                    <w:p w:rsidR="007B2B7B" w:rsidRDefault="007B2B7B"/>
                  </w:txbxContent>
                </v:textbox>
                <w10:wrap type="topAndBottom" anchorx="page"/>
              </v:rect>
            </w:pict>
          </mc:Fallback>
        </mc:AlternateContent>
      </w:r>
    </w:p>
    <w:p w:rsidR="002C5025" w:rsidRDefault="002C5025">
      <w:pPr>
        <w:pStyle w:val="BodyText"/>
        <w:kinsoku w:val="0"/>
        <w:overflowPunct w:val="0"/>
        <w:spacing w:before="158"/>
        <w:ind w:left="696" w:right="98"/>
        <w:rPr>
          <w:rFonts w:ascii="Times New Roman" w:hAnsi="Times New Roman" w:cs="Times New Roman"/>
          <w:color w:val="5B5B5B"/>
          <w:sz w:val="27"/>
          <w:szCs w:val="27"/>
        </w:rPr>
      </w:pPr>
      <w:r>
        <w:rPr>
          <w:rFonts w:ascii="Times New Roman" w:hAnsi="Times New Roman" w:cs="Times New Roman"/>
          <w:color w:val="5B5B5B"/>
          <w:sz w:val="27"/>
          <w:szCs w:val="27"/>
        </w:rPr>
        <w:t>Attachments</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6"/>
        <w:rPr>
          <w:rFonts w:ascii="Times New Roman" w:hAnsi="Times New Roman" w:cs="Times New Roman"/>
          <w:sz w:val="29"/>
          <w:szCs w:val="29"/>
        </w:rPr>
      </w:pPr>
    </w:p>
    <w:p w:rsidR="002C5025" w:rsidRDefault="002C5025">
      <w:pPr>
        <w:pStyle w:val="BodyText"/>
        <w:kinsoku w:val="0"/>
        <w:overflowPunct w:val="0"/>
        <w:spacing w:before="74"/>
        <w:ind w:left="5116" w:right="4362"/>
        <w:jc w:val="center"/>
        <w:rPr>
          <w:rFonts w:ascii="Times New Roman" w:hAnsi="Times New Roman" w:cs="Times New Roman"/>
          <w:color w:val="5B5B5B"/>
          <w:w w:val="105"/>
          <w:sz w:val="21"/>
          <w:szCs w:val="21"/>
        </w:rPr>
      </w:pPr>
      <w:r>
        <w:rPr>
          <w:rFonts w:ascii="Times New Roman" w:hAnsi="Times New Roman" w:cs="Times New Roman"/>
          <w:color w:val="5B5B5B"/>
          <w:w w:val="105"/>
          <w:sz w:val="21"/>
          <w:szCs w:val="21"/>
        </w:rPr>
        <w:t>12</w:t>
      </w:r>
    </w:p>
    <w:p w:rsidR="002C5025" w:rsidRDefault="002C5025">
      <w:pPr>
        <w:pStyle w:val="BodyText"/>
        <w:kinsoku w:val="0"/>
        <w:overflowPunct w:val="0"/>
        <w:spacing w:before="74"/>
        <w:ind w:left="5116" w:right="4362"/>
        <w:jc w:val="center"/>
        <w:rPr>
          <w:rFonts w:ascii="Times New Roman" w:hAnsi="Times New Roman" w:cs="Times New Roman"/>
          <w:color w:val="5B5B5B"/>
          <w:w w:val="105"/>
          <w:sz w:val="21"/>
          <w:szCs w:val="21"/>
        </w:rPr>
        <w:sectPr w:rsidR="002C5025">
          <w:pgSz w:w="12240" w:h="15840"/>
          <w:pgMar w:top="1480" w:right="1560" w:bottom="280" w:left="940" w:header="720" w:footer="720" w:gutter="0"/>
          <w:cols w:space="720" w:equalWidth="0">
            <w:col w:w="9740"/>
          </w:cols>
          <w:noEndnote/>
        </w:sectPr>
      </w:pPr>
    </w:p>
    <w:p w:rsidR="002C5025" w:rsidRDefault="00FB027C">
      <w:pPr>
        <w:pStyle w:val="BodyText"/>
        <w:kinsoku w:val="0"/>
        <w:overflowPunct w:val="0"/>
        <w:ind w:left="4395"/>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extent cx="990600" cy="990600"/>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534">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p w:rsidR="002C5025" w:rsidRDefault="002C5025">
      <w:pPr>
        <w:pStyle w:val="BodyText"/>
        <w:kinsoku w:val="0"/>
        <w:overflowPunct w:val="0"/>
        <w:spacing w:before="2"/>
        <w:rPr>
          <w:rFonts w:ascii="Times New Roman" w:hAnsi="Times New Roman" w:cs="Times New Roman"/>
          <w:sz w:val="9"/>
          <w:szCs w:val="9"/>
        </w:rPr>
      </w:pPr>
    </w:p>
    <w:p w:rsidR="002C5025" w:rsidRDefault="002C5025">
      <w:pPr>
        <w:pStyle w:val="BodyText"/>
        <w:kinsoku w:val="0"/>
        <w:overflowPunct w:val="0"/>
        <w:spacing w:before="65"/>
        <w:ind w:left="2715" w:right="1407"/>
        <w:rPr>
          <w:rFonts w:ascii="Times New Roman" w:hAnsi="Times New Roman" w:cs="Times New Roman"/>
          <w:b/>
          <w:bCs/>
          <w:color w:val="933F3D"/>
          <w:w w:val="80"/>
          <w:sz w:val="28"/>
          <w:szCs w:val="28"/>
        </w:rPr>
      </w:pPr>
      <w:bookmarkStart w:id="238" w:name="New_England_College_of_Optometry"/>
      <w:bookmarkEnd w:id="238"/>
      <w:r>
        <w:rPr>
          <w:rFonts w:ascii="Times New Roman" w:hAnsi="Times New Roman" w:cs="Times New Roman"/>
          <w:b/>
          <w:bCs/>
          <w:color w:val="933F3D"/>
          <w:w w:val="80"/>
          <w:sz w:val="28"/>
          <w:szCs w:val="28"/>
        </w:rPr>
        <w:t>NEW ENGLAND COLLEGE OF OPTOMETRY</w:t>
      </w:r>
    </w:p>
    <w:p w:rsidR="002C5025" w:rsidRDefault="002C5025">
      <w:pPr>
        <w:pStyle w:val="BodyText"/>
        <w:kinsoku w:val="0"/>
        <w:overflowPunct w:val="0"/>
        <w:spacing w:before="3"/>
        <w:rPr>
          <w:rFonts w:ascii="Times New Roman" w:hAnsi="Times New Roman" w:cs="Times New Roman"/>
          <w:b/>
          <w:bCs/>
          <w:sz w:val="29"/>
          <w:szCs w:val="29"/>
        </w:rPr>
      </w:pPr>
    </w:p>
    <w:p w:rsidR="002C5025" w:rsidRDefault="002C5025">
      <w:pPr>
        <w:pStyle w:val="BodyText"/>
        <w:kinsoku w:val="0"/>
        <w:overflowPunct w:val="0"/>
        <w:spacing w:before="71"/>
        <w:ind w:left="101"/>
        <w:jc w:val="both"/>
        <w:rPr>
          <w:rFonts w:ascii="Arial" w:hAnsi="Arial" w:cs="Arial"/>
          <w:b/>
          <w:bCs/>
          <w:color w:val="933F3D"/>
          <w:sz w:val="23"/>
          <w:szCs w:val="23"/>
        </w:rPr>
      </w:pPr>
      <w:r>
        <w:rPr>
          <w:rFonts w:ascii="Arial" w:hAnsi="Arial" w:cs="Arial"/>
          <w:b/>
          <w:bCs/>
          <w:color w:val="933F3D"/>
          <w:sz w:val="23"/>
          <w:szCs w:val="23"/>
        </w:rPr>
        <w:t>Clifford Scott, OD, MPH</w:t>
      </w:r>
    </w:p>
    <w:p w:rsidR="002C5025" w:rsidRDefault="002C5025">
      <w:pPr>
        <w:pStyle w:val="BodyText"/>
        <w:kinsoku w:val="0"/>
        <w:overflowPunct w:val="0"/>
        <w:spacing w:before="51"/>
        <w:ind w:left="104"/>
        <w:jc w:val="both"/>
        <w:rPr>
          <w:rFonts w:ascii="Arial" w:hAnsi="Arial" w:cs="Arial"/>
          <w:color w:val="933F3D"/>
          <w:sz w:val="17"/>
          <w:szCs w:val="17"/>
        </w:rPr>
      </w:pPr>
      <w:r>
        <w:rPr>
          <w:rFonts w:ascii="Arial" w:hAnsi="Arial" w:cs="Arial"/>
          <w:color w:val="933F3D"/>
          <w:sz w:val="17"/>
          <w:szCs w:val="17"/>
        </w:rPr>
        <w:t>President</w:t>
      </w:r>
    </w:p>
    <w:p w:rsidR="002C5025" w:rsidRDefault="002C5025">
      <w:pPr>
        <w:pStyle w:val="BodyText"/>
        <w:kinsoku w:val="0"/>
        <w:overflowPunct w:val="0"/>
        <w:rPr>
          <w:rFonts w:ascii="Arial" w:hAnsi="Arial" w:cs="Arial"/>
          <w:sz w:val="16"/>
          <w:szCs w:val="16"/>
        </w:rPr>
      </w:pPr>
    </w:p>
    <w:p w:rsidR="002C5025" w:rsidRDefault="002C5025">
      <w:pPr>
        <w:pStyle w:val="BodyText"/>
        <w:kinsoku w:val="0"/>
        <w:overflowPunct w:val="0"/>
        <w:rPr>
          <w:rFonts w:ascii="Arial" w:hAnsi="Arial" w:cs="Arial"/>
          <w:sz w:val="16"/>
          <w:szCs w:val="16"/>
        </w:rPr>
      </w:pPr>
    </w:p>
    <w:p w:rsidR="002C5025" w:rsidRDefault="002C5025">
      <w:pPr>
        <w:pStyle w:val="BodyText"/>
        <w:kinsoku w:val="0"/>
        <w:overflowPunct w:val="0"/>
        <w:spacing w:before="1"/>
        <w:rPr>
          <w:rFonts w:ascii="Arial" w:hAnsi="Arial" w:cs="Arial"/>
        </w:rPr>
      </w:pPr>
    </w:p>
    <w:p w:rsidR="002C5025" w:rsidRDefault="002C5025">
      <w:pPr>
        <w:pStyle w:val="BodyText"/>
        <w:kinsoku w:val="0"/>
        <w:overflowPunct w:val="0"/>
        <w:ind w:left="152"/>
        <w:jc w:val="both"/>
        <w:rPr>
          <w:rFonts w:ascii="Times New Roman" w:hAnsi="Times New Roman" w:cs="Times New Roman"/>
          <w:color w:val="262626"/>
          <w:sz w:val="21"/>
          <w:szCs w:val="21"/>
        </w:rPr>
      </w:pPr>
      <w:r>
        <w:rPr>
          <w:rFonts w:ascii="Times New Roman" w:hAnsi="Times New Roman" w:cs="Times New Roman"/>
          <w:color w:val="262626"/>
        </w:rPr>
        <w:t xml:space="preserve">July  </w:t>
      </w:r>
      <w:r>
        <w:rPr>
          <w:rFonts w:ascii="Times New Roman" w:hAnsi="Times New Roman" w:cs="Times New Roman"/>
          <w:color w:val="262626"/>
          <w:sz w:val="21"/>
          <w:szCs w:val="21"/>
        </w:rPr>
        <w:t>15, 2016</w:t>
      </w:r>
    </w:p>
    <w:p w:rsidR="002C5025" w:rsidRDefault="002C5025">
      <w:pPr>
        <w:pStyle w:val="BodyText"/>
        <w:kinsoku w:val="0"/>
        <w:overflowPunct w:val="0"/>
        <w:spacing w:before="5"/>
        <w:rPr>
          <w:rFonts w:ascii="Times New Roman" w:hAnsi="Times New Roman" w:cs="Times New Roman"/>
          <w:sz w:val="28"/>
          <w:szCs w:val="28"/>
        </w:rPr>
      </w:pPr>
    </w:p>
    <w:p w:rsidR="002C5025" w:rsidRDefault="002C5025">
      <w:pPr>
        <w:pStyle w:val="BodyText"/>
        <w:kinsoku w:val="0"/>
        <w:overflowPunct w:val="0"/>
        <w:spacing w:before="1"/>
        <w:ind w:left="147"/>
        <w:jc w:val="both"/>
        <w:rPr>
          <w:rFonts w:ascii="Times New Roman" w:hAnsi="Times New Roman" w:cs="Times New Roman"/>
          <w:color w:val="262626"/>
        </w:rPr>
      </w:pPr>
      <w:r>
        <w:rPr>
          <w:rFonts w:ascii="Times New Roman" w:hAnsi="Times New Roman" w:cs="Times New Roman"/>
          <w:color w:val="262626"/>
        </w:rPr>
        <w:t>Ms. Marylou Sudders, Secretary</w:t>
      </w:r>
    </w:p>
    <w:p w:rsidR="002C5025" w:rsidRDefault="002C5025">
      <w:pPr>
        <w:pStyle w:val="BodyText"/>
        <w:kinsoku w:val="0"/>
        <w:overflowPunct w:val="0"/>
        <w:spacing w:before="35" w:line="266" w:lineRule="auto"/>
        <w:ind w:left="147" w:right="5414"/>
        <w:rPr>
          <w:rFonts w:ascii="Times New Roman" w:hAnsi="Times New Roman" w:cs="Times New Roman"/>
          <w:color w:val="262626"/>
        </w:rPr>
      </w:pPr>
      <w:r>
        <w:rPr>
          <w:rFonts w:ascii="Times New Roman" w:hAnsi="Times New Roman" w:cs="Times New Roman"/>
          <w:color w:val="262626"/>
        </w:rPr>
        <w:t xml:space="preserve">Executive Office of Health and Human Services One Ashburton Place, </w:t>
      </w:r>
      <w:r>
        <w:rPr>
          <w:rFonts w:ascii="Times New Roman" w:hAnsi="Times New Roman" w:cs="Times New Roman"/>
          <w:color w:val="262626"/>
          <w:sz w:val="21"/>
          <w:szCs w:val="21"/>
        </w:rPr>
        <w:t xml:space="preserve">11th </w:t>
      </w:r>
      <w:r>
        <w:rPr>
          <w:rFonts w:ascii="Times New Roman" w:hAnsi="Times New Roman" w:cs="Times New Roman"/>
          <w:color w:val="262626"/>
        </w:rPr>
        <w:t>Floor</w:t>
      </w:r>
    </w:p>
    <w:p w:rsidR="002C5025" w:rsidRDefault="002C5025">
      <w:pPr>
        <w:pStyle w:val="BodyText"/>
        <w:kinsoku w:val="0"/>
        <w:overflowPunct w:val="0"/>
        <w:spacing w:before="15"/>
        <w:ind w:left="147"/>
        <w:jc w:val="both"/>
        <w:rPr>
          <w:rFonts w:ascii="Times New Roman" w:hAnsi="Times New Roman" w:cs="Times New Roman"/>
          <w:color w:val="262626"/>
          <w:sz w:val="21"/>
          <w:szCs w:val="21"/>
        </w:rPr>
      </w:pPr>
      <w:r>
        <w:rPr>
          <w:rFonts w:ascii="Times New Roman" w:hAnsi="Times New Roman" w:cs="Times New Roman"/>
          <w:color w:val="262626"/>
        </w:rPr>
        <w:t xml:space="preserve">Boston, MA </w:t>
      </w:r>
      <w:r>
        <w:rPr>
          <w:rFonts w:ascii="Times New Roman" w:hAnsi="Times New Roman" w:cs="Times New Roman"/>
          <w:color w:val="262626"/>
          <w:sz w:val="21"/>
          <w:szCs w:val="21"/>
        </w:rPr>
        <w:t>02108</w:t>
      </w:r>
    </w:p>
    <w:p w:rsidR="002C5025" w:rsidRDefault="002C5025">
      <w:pPr>
        <w:pStyle w:val="BodyText"/>
        <w:kinsoku w:val="0"/>
        <w:overflowPunct w:val="0"/>
        <w:spacing w:before="8"/>
        <w:rPr>
          <w:rFonts w:ascii="Times New Roman" w:hAnsi="Times New Roman" w:cs="Times New Roman"/>
          <w:sz w:val="28"/>
          <w:szCs w:val="28"/>
        </w:rPr>
      </w:pPr>
    </w:p>
    <w:p w:rsidR="002C5025" w:rsidRDefault="002C5025">
      <w:pPr>
        <w:pStyle w:val="BodyText"/>
        <w:kinsoku w:val="0"/>
        <w:overflowPunct w:val="0"/>
        <w:ind w:left="144"/>
        <w:jc w:val="both"/>
        <w:rPr>
          <w:rFonts w:ascii="Times New Roman" w:hAnsi="Times New Roman" w:cs="Times New Roman"/>
          <w:color w:val="262626"/>
        </w:rPr>
      </w:pPr>
      <w:r>
        <w:rPr>
          <w:rFonts w:ascii="Times New Roman" w:hAnsi="Times New Roman" w:cs="Times New Roman"/>
          <w:color w:val="262626"/>
        </w:rPr>
        <w:t>Mr. Daniel Tsai, Assistant Secretary</w:t>
      </w:r>
    </w:p>
    <w:p w:rsidR="002C5025" w:rsidRDefault="002C5025">
      <w:pPr>
        <w:pStyle w:val="BodyText"/>
        <w:kinsoku w:val="0"/>
        <w:overflowPunct w:val="0"/>
        <w:spacing w:before="40" w:line="266" w:lineRule="auto"/>
        <w:ind w:left="152" w:right="3323" w:hanging="10"/>
        <w:rPr>
          <w:rFonts w:ascii="Times New Roman" w:hAnsi="Times New Roman" w:cs="Times New Roman"/>
          <w:color w:val="262626"/>
        </w:rPr>
      </w:pPr>
      <w:r>
        <w:rPr>
          <w:rFonts w:ascii="Times New Roman" w:hAnsi="Times New Roman" w:cs="Times New Roman"/>
          <w:color w:val="262626"/>
        </w:rPr>
        <w:t>Executive</w:t>
      </w:r>
      <w:r>
        <w:rPr>
          <w:rFonts w:ascii="Times New Roman" w:hAnsi="Times New Roman" w:cs="Times New Roman"/>
          <w:color w:val="262626"/>
          <w:spacing w:val="-7"/>
        </w:rPr>
        <w:t xml:space="preserve"> </w:t>
      </w:r>
      <w:r>
        <w:rPr>
          <w:rFonts w:ascii="Times New Roman" w:hAnsi="Times New Roman" w:cs="Times New Roman"/>
          <w:color w:val="262626"/>
        </w:rPr>
        <w:t>Office</w:t>
      </w:r>
      <w:r>
        <w:rPr>
          <w:rFonts w:ascii="Times New Roman" w:hAnsi="Times New Roman" w:cs="Times New Roman"/>
          <w:color w:val="262626"/>
          <w:spacing w:val="-18"/>
        </w:rPr>
        <w:t xml:space="preserve"> </w:t>
      </w:r>
      <w:r>
        <w:rPr>
          <w:rFonts w:ascii="Times New Roman" w:hAnsi="Times New Roman" w:cs="Times New Roman"/>
          <w:color w:val="262626"/>
        </w:rPr>
        <w:t>of</w:t>
      </w:r>
      <w:r>
        <w:rPr>
          <w:rFonts w:ascii="Times New Roman" w:hAnsi="Times New Roman" w:cs="Times New Roman"/>
          <w:color w:val="262626"/>
          <w:spacing w:val="-17"/>
        </w:rPr>
        <w:t xml:space="preserve"> </w:t>
      </w:r>
      <w:r>
        <w:rPr>
          <w:rFonts w:ascii="Times New Roman" w:hAnsi="Times New Roman" w:cs="Times New Roman"/>
          <w:color w:val="262626"/>
        </w:rPr>
        <w:t>Health</w:t>
      </w:r>
      <w:r>
        <w:rPr>
          <w:rFonts w:ascii="Times New Roman" w:hAnsi="Times New Roman" w:cs="Times New Roman"/>
          <w:color w:val="262626"/>
          <w:spacing w:val="-13"/>
        </w:rPr>
        <w:t xml:space="preserve"> </w:t>
      </w:r>
      <w:r>
        <w:rPr>
          <w:rFonts w:ascii="Times New Roman" w:hAnsi="Times New Roman" w:cs="Times New Roman"/>
          <w:color w:val="262626"/>
        </w:rPr>
        <w:t>and</w:t>
      </w:r>
      <w:r>
        <w:rPr>
          <w:rFonts w:ascii="Times New Roman" w:hAnsi="Times New Roman" w:cs="Times New Roman"/>
          <w:color w:val="262626"/>
          <w:spacing w:val="-13"/>
        </w:rPr>
        <w:t xml:space="preserve"> </w:t>
      </w:r>
      <w:r>
        <w:rPr>
          <w:rFonts w:ascii="Times New Roman" w:hAnsi="Times New Roman" w:cs="Times New Roman"/>
          <w:color w:val="262626"/>
        </w:rPr>
        <w:t>Human</w:t>
      </w:r>
      <w:r>
        <w:rPr>
          <w:rFonts w:ascii="Times New Roman" w:hAnsi="Times New Roman" w:cs="Times New Roman"/>
          <w:color w:val="262626"/>
          <w:spacing w:val="-2"/>
        </w:rPr>
        <w:t xml:space="preserve"> </w:t>
      </w:r>
      <w:r>
        <w:rPr>
          <w:rFonts w:ascii="Times New Roman" w:hAnsi="Times New Roman" w:cs="Times New Roman"/>
          <w:color w:val="262626"/>
        </w:rPr>
        <w:t>Services,</w:t>
      </w:r>
      <w:r>
        <w:rPr>
          <w:rFonts w:ascii="Times New Roman" w:hAnsi="Times New Roman" w:cs="Times New Roman"/>
          <w:color w:val="262626"/>
          <w:spacing w:val="-21"/>
        </w:rPr>
        <w:t xml:space="preserve"> </w:t>
      </w:r>
      <w:r>
        <w:rPr>
          <w:rFonts w:ascii="Times New Roman" w:hAnsi="Times New Roman" w:cs="Times New Roman"/>
          <w:color w:val="262626"/>
        </w:rPr>
        <w:t>Division</w:t>
      </w:r>
      <w:r>
        <w:rPr>
          <w:rFonts w:ascii="Times New Roman" w:hAnsi="Times New Roman" w:cs="Times New Roman"/>
          <w:color w:val="262626"/>
          <w:spacing w:val="-5"/>
        </w:rPr>
        <w:t xml:space="preserve"> </w:t>
      </w:r>
      <w:r>
        <w:rPr>
          <w:rFonts w:ascii="Times New Roman" w:hAnsi="Times New Roman" w:cs="Times New Roman"/>
          <w:color w:val="262626"/>
        </w:rPr>
        <w:t>of</w:t>
      </w:r>
      <w:r>
        <w:rPr>
          <w:rFonts w:ascii="Times New Roman" w:hAnsi="Times New Roman" w:cs="Times New Roman"/>
          <w:color w:val="262626"/>
          <w:spacing w:val="-20"/>
        </w:rPr>
        <w:t xml:space="preserve"> </w:t>
      </w:r>
      <w:r>
        <w:rPr>
          <w:rFonts w:ascii="Times New Roman" w:hAnsi="Times New Roman" w:cs="Times New Roman"/>
          <w:color w:val="262626"/>
        </w:rPr>
        <w:t>MassHealth One</w:t>
      </w:r>
      <w:r>
        <w:rPr>
          <w:rFonts w:ascii="Times New Roman" w:hAnsi="Times New Roman" w:cs="Times New Roman"/>
          <w:color w:val="262626"/>
          <w:spacing w:val="-33"/>
        </w:rPr>
        <w:t xml:space="preserve"> </w:t>
      </w:r>
      <w:r>
        <w:rPr>
          <w:rFonts w:ascii="Times New Roman" w:hAnsi="Times New Roman" w:cs="Times New Roman"/>
          <w:color w:val="262626"/>
        </w:rPr>
        <w:t>Ashburton</w:t>
      </w:r>
      <w:r>
        <w:rPr>
          <w:rFonts w:ascii="Times New Roman" w:hAnsi="Times New Roman" w:cs="Times New Roman"/>
          <w:color w:val="262626"/>
          <w:spacing w:val="-23"/>
        </w:rPr>
        <w:t xml:space="preserve"> </w:t>
      </w:r>
      <w:r>
        <w:rPr>
          <w:rFonts w:ascii="Times New Roman" w:hAnsi="Times New Roman" w:cs="Times New Roman"/>
          <w:color w:val="262626"/>
        </w:rPr>
        <w:t>Place,</w:t>
      </w:r>
      <w:r>
        <w:rPr>
          <w:rFonts w:ascii="Times New Roman" w:hAnsi="Times New Roman" w:cs="Times New Roman"/>
          <w:color w:val="262626"/>
          <w:spacing w:val="-20"/>
        </w:rPr>
        <w:t xml:space="preserve"> </w:t>
      </w:r>
      <w:r>
        <w:rPr>
          <w:rFonts w:ascii="Arial" w:hAnsi="Arial" w:cs="Arial"/>
          <w:color w:val="262626"/>
          <w:sz w:val="21"/>
          <w:szCs w:val="21"/>
        </w:rPr>
        <w:t>11th</w:t>
      </w:r>
      <w:r>
        <w:rPr>
          <w:rFonts w:ascii="Times New Roman" w:hAnsi="Times New Roman" w:cs="Times New Roman"/>
          <w:color w:val="262626"/>
        </w:rPr>
        <w:t>Floor</w:t>
      </w:r>
    </w:p>
    <w:p w:rsidR="002C5025" w:rsidRDefault="002C5025">
      <w:pPr>
        <w:pStyle w:val="BodyText"/>
        <w:kinsoku w:val="0"/>
        <w:overflowPunct w:val="0"/>
        <w:spacing w:before="15"/>
        <w:ind w:left="144"/>
        <w:jc w:val="both"/>
        <w:rPr>
          <w:rFonts w:ascii="Times New Roman" w:hAnsi="Times New Roman" w:cs="Times New Roman"/>
          <w:color w:val="262626"/>
          <w:sz w:val="21"/>
          <w:szCs w:val="21"/>
        </w:rPr>
      </w:pPr>
      <w:r>
        <w:rPr>
          <w:rFonts w:ascii="Times New Roman" w:hAnsi="Times New Roman" w:cs="Times New Roman"/>
          <w:color w:val="262626"/>
        </w:rPr>
        <w:t xml:space="preserve">Boston, MA </w:t>
      </w:r>
      <w:r>
        <w:rPr>
          <w:rFonts w:ascii="Times New Roman" w:hAnsi="Times New Roman" w:cs="Times New Roman"/>
          <w:color w:val="262626"/>
          <w:sz w:val="21"/>
          <w:szCs w:val="21"/>
        </w:rPr>
        <w:t>02108</w:t>
      </w:r>
    </w:p>
    <w:p w:rsidR="002C5025" w:rsidRDefault="002C5025">
      <w:pPr>
        <w:pStyle w:val="BodyText"/>
        <w:kinsoku w:val="0"/>
        <w:overflowPunct w:val="0"/>
        <w:spacing w:before="1"/>
        <w:rPr>
          <w:rFonts w:ascii="Times New Roman" w:hAnsi="Times New Roman" w:cs="Times New Roman"/>
          <w:sz w:val="29"/>
          <w:szCs w:val="29"/>
        </w:rPr>
      </w:pPr>
    </w:p>
    <w:p w:rsidR="002C5025" w:rsidRDefault="002C5025">
      <w:pPr>
        <w:pStyle w:val="BodyText"/>
        <w:kinsoku w:val="0"/>
        <w:overflowPunct w:val="0"/>
        <w:spacing w:line="549" w:lineRule="auto"/>
        <w:ind w:left="144" w:right="4336"/>
        <w:rPr>
          <w:rFonts w:ascii="Times New Roman" w:hAnsi="Times New Roman" w:cs="Times New Roman"/>
          <w:color w:val="262626"/>
        </w:rPr>
      </w:pPr>
      <w:r>
        <w:rPr>
          <w:rFonts w:ascii="Times New Roman" w:hAnsi="Times New Roman" w:cs="Times New Roman"/>
          <w:color w:val="262626"/>
        </w:rPr>
        <w:t xml:space="preserve">Re: MassHealth Section </w:t>
      </w:r>
      <w:r>
        <w:rPr>
          <w:rFonts w:ascii="Times New Roman" w:hAnsi="Times New Roman" w:cs="Times New Roman"/>
          <w:color w:val="262626"/>
          <w:sz w:val="21"/>
          <w:szCs w:val="21"/>
        </w:rPr>
        <w:t xml:space="preserve">1115 </w:t>
      </w:r>
      <w:r>
        <w:rPr>
          <w:rFonts w:ascii="Times New Roman" w:hAnsi="Times New Roman" w:cs="Times New Roman"/>
          <w:color w:val="262626"/>
        </w:rPr>
        <w:t>Demonstration Extension Request Dear Secretary Sudders and Assistant Secretary Tsai,</w:t>
      </w:r>
    </w:p>
    <w:p w:rsidR="002C5025" w:rsidRDefault="002C5025">
      <w:pPr>
        <w:pStyle w:val="BodyText"/>
        <w:kinsoku w:val="0"/>
        <w:overflowPunct w:val="0"/>
        <w:spacing w:before="30" w:line="273" w:lineRule="auto"/>
        <w:ind w:left="137" w:right="119" w:firstLine="10"/>
        <w:jc w:val="both"/>
        <w:rPr>
          <w:rFonts w:ascii="Times New Roman" w:hAnsi="Times New Roman" w:cs="Times New Roman"/>
          <w:color w:val="4C4C4C"/>
        </w:rPr>
      </w:pPr>
      <w:r>
        <w:rPr>
          <w:rFonts w:ascii="Times New Roman" w:hAnsi="Times New Roman" w:cs="Times New Roman"/>
          <w:color w:val="262626"/>
        </w:rPr>
        <w:t xml:space="preserve">On behalf of the New England College of Optometry ("NECO"), I am writing to submit comments relative to MassHealth' s Proposed </w:t>
      </w:r>
      <w:r>
        <w:rPr>
          <w:rFonts w:ascii="Times New Roman" w:hAnsi="Times New Roman" w:cs="Times New Roman"/>
          <w:color w:val="262626"/>
          <w:sz w:val="21"/>
          <w:szCs w:val="21"/>
        </w:rPr>
        <w:t xml:space="preserve">1115 </w:t>
      </w:r>
      <w:r>
        <w:rPr>
          <w:rFonts w:ascii="Times New Roman" w:hAnsi="Times New Roman" w:cs="Times New Roman"/>
          <w:color w:val="262626"/>
        </w:rPr>
        <w:t>Waiver Demonstration Extension proposal. As you may know, NECO has been educating optometrists in Massachusetts for over a century and is acutely aware of the importance of vision screenings, comprehensive eye exams and corrective treatment in children, patients with behavioral health concerns and intellectual or physical disabilities. Optometrists can and will play a key role in ACOs by working to contain costs through the provision of high-value health services as part of a care coordination team. That said, and as MassHealth's Extension proposal recognizes through the establishment of a Student Loan Repayment Program, there are challenges in recruiting and retaining primary care providers to practice in underserved areas. This issue is also prevalent for primary eye care providers. As such. NECO respectfully recommends that the Student Loan Repayment Program be expanded to include eligible full-time optometrists employed at community health centers</w:t>
      </w:r>
      <w:r>
        <w:rPr>
          <w:rFonts w:ascii="Times New Roman" w:hAnsi="Times New Roman" w:cs="Times New Roman"/>
          <w:color w:val="4C4C4C"/>
        </w:rPr>
        <w:t>.</w:t>
      </w:r>
    </w:p>
    <w:p w:rsidR="002C5025" w:rsidRDefault="002C5025">
      <w:pPr>
        <w:pStyle w:val="BodyText"/>
        <w:kinsoku w:val="0"/>
        <w:overflowPunct w:val="0"/>
        <w:spacing w:before="11"/>
        <w:rPr>
          <w:rFonts w:ascii="Times New Roman" w:hAnsi="Times New Roman" w:cs="Times New Roman"/>
          <w:sz w:val="25"/>
          <w:szCs w:val="25"/>
        </w:rPr>
      </w:pPr>
    </w:p>
    <w:p w:rsidR="002C5025" w:rsidRDefault="002C5025">
      <w:pPr>
        <w:pStyle w:val="BodyText"/>
        <w:kinsoku w:val="0"/>
        <w:overflowPunct w:val="0"/>
        <w:spacing w:line="276" w:lineRule="auto"/>
        <w:ind w:left="144" w:right="113" w:hanging="7"/>
        <w:jc w:val="both"/>
        <w:rPr>
          <w:rFonts w:ascii="Times New Roman" w:hAnsi="Times New Roman" w:cs="Times New Roman"/>
          <w:color w:val="4C4C4C"/>
        </w:rPr>
      </w:pPr>
      <w:r>
        <w:rPr>
          <w:rFonts w:ascii="Times New Roman" w:hAnsi="Times New Roman" w:cs="Times New Roman"/>
          <w:color w:val="262626"/>
        </w:rPr>
        <w:t xml:space="preserve">A recent analysis by the George Washington University School of Public Health and Health Services, entitled "Assessing the Need for On-Site Eye Care Professionals in Community Health Centers'', found that while eye and vision problems are often associated with age; low income and racial and ethnic minorities also have elevated risk of eye problems. Federally-funded community health centers, which are mandated to provide comprehensive primary care in underserved communities, are often the only option to improve vision health for low-income residents. However, as the study also found, </w:t>
      </w:r>
      <w:r>
        <w:rPr>
          <w:rFonts w:ascii="Times New Roman" w:hAnsi="Times New Roman" w:cs="Times New Roman"/>
          <w:i/>
          <w:iCs/>
          <w:color w:val="262626"/>
        </w:rPr>
        <w:t xml:space="preserve">seven out of ten </w:t>
      </w:r>
      <w:r>
        <w:rPr>
          <w:rFonts w:ascii="Times New Roman" w:hAnsi="Times New Roman" w:cs="Times New Roman"/>
          <w:color w:val="262626"/>
        </w:rPr>
        <w:t>health centers do not staff on-site eye care professionals to provide comprehensive eye exams</w:t>
      </w:r>
      <w:r>
        <w:rPr>
          <w:rFonts w:ascii="Times New Roman" w:hAnsi="Times New Roman" w:cs="Times New Roman"/>
          <w:color w:val="4C4C4C"/>
        </w:rPr>
        <w:t>.</w:t>
      </w: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spacing w:before="153" w:line="321" w:lineRule="auto"/>
        <w:ind w:left="3802" w:right="1407" w:hanging="1781"/>
        <w:rPr>
          <w:rFonts w:ascii="Arial" w:hAnsi="Arial" w:cs="Arial"/>
          <w:color w:val="933F3D"/>
          <w:sz w:val="17"/>
          <w:szCs w:val="17"/>
        </w:rPr>
      </w:pPr>
      <w:r>
        <w:rPr>
          <w:rFonts w:ascii="Arial" w:hAnsi="Arial" w:cs="Arial"/>
          <w:color w:val="933F3D"/>
          <w:sz w:val="17"/>
          <w:szCs w:val="17"/>
        </w:rPr>
        <w:t>Tel</w:t>
      </w:r>
      <w:r>
        <w:rPr>
          <w:rFonts w:ascii="Arial" w:hAnsi="Arial" w:cs="Arial"/>
          <w:color w:val="A15957"/>
          <w:sz w:val="17"/>
          <w:szCs w:val="17"/>
        </w:rPr>
        <w:t xml:space="preserve">: </w:t>
      </w:r>
      <w:r>
        <w:rPr>
          <w:rFonts w:ascii="Arial" w:hAnsi="Arial" w:cs="Arial"/>
          <w:color w:val="933F3D"/>
          <w:sz w:val="17"/>
          <w:szCs w:val="17"/>
        </w:rPr>
        <w:t>617</w:t>
      </w:r>
      <w:r>
        <w:rPr>
          <w:rFonts w:ascii="Arial" w:hAnsi="Arial" w:cs="Arial"/>
          <w:color w:val="B37979"/>
          <w:sz w:val="17"/>
          <w:szCs w:val="17"/>
        </w:rPr>
        <w:t>.</w:t>
      </w:r>
      <w:r>
        <w:rPr>
          <w:rFonts w:ascii="Arial" w:hAnsi="Arial" w:cs="Arial"/>
          <w:color w:val="933F3D"/>
          <w:sz w:val="17"/>
          <w:szCs w:val="17"/>
        </w:rPr>
        <w:t>587</w:t>
      </w:r>
      <w:r>
        <w:rPr>
          <w:rFonts w:ascii="Arial" w:hAnsi="Arial" w:cs="Arial"/>
          <w:color w:val="A15957"/>
          <w:sz w:val="17"/>
          <w:szCs w:val="17"/>
        </w:rPr>
        <w:t>.</w:t>
      </w:r>
      <w:r>
        <w:rPr>
          <w:rFonts w:ascii="Arial" w:hAnsi="Arial" w:cs="Arial"/>
          <w:color w:val="933F3D"/>
          <w:sz w:val="17"/>
          <w:szCs w:val="17"/>
        </w:rPr>
        <w:t>5584 Fa</w:t>
      </w:r>
      <w:r>
        <w:rPr>
          <w:rFonts w:ascii="Arial" w:hAnsi="Arial" w:cs="Arial"/>
          <w:color w:val="A15957"/>
          <w:sz w:val="17"/>
          <w:szCs w:val="17"/>
        </w:rPr>
        <w:t xml:space="preserve">x: </w:t>
      </w:r>
      <w:r>
        <w:rPr>
          <w:rFonts w:ascii="Arial" w:hAnsi="Arial" w:cs="Arial"/>
          <w:color w:val="933F3D"/>
          <w:sz w:val="17"/>
          <w:szCs w:val="17"/>
        </w:rPr>
        <w:t xml:space="preserve">617 </w:t>
      </w:r>
      <w:r>
        <w:rPr>
          <w:rFonts w:ascii="Arial" w:hAnsi="Arial" w:cs="Arial"/>
          <w:color w:val="A15957"/>
          <w:sz w:val="17"/>
          <w:szCs w:val="17"/>
        </w:rPr>
        <w:t>.</w:t>
      </w:r>
      <w:r>
        <w:rPr>
          <w:rFonts w:ascii="Arial" w:hAnsi="Arial" w:cs="Arial"/>
          <w:color w:val="933F3D"/>
          <w:sz w:val="17"/>
          <w:szCs w:val="17"/>
        </w:rPr>
        <w:t xml:space="preserve">587.5555 424 Beacon Street Boston, MA 02115 </w:t>
      </w:r>
      <w:hyperlink r:id="rId535" w:history="1">
        <w:r>
          <w:rPr>
            <w:rFonts w:ascii="Arial" w:hAnsi="Arial" w:cs="Arial"/>
            <w:color w:val="933F3D"/>
            <w:sz w:val="17"/>
            <w:szCs w:val="17"/>
          </w:rPr>
          <w:t>scottc@neco.edu</w:t>
        </w:r>
      </w:hyperlink>
      <w:r>
        <w:rPr>
          <w:rFonts w:ascii="Arial" w:hAnsi="Arial" w:cs="Arial"/>
          <w:color w:val="933F3D"/>
          <w:sz w:val="17"/>
          <w:szCs w:val="17"/>
        </w:rPr>
        <w:t xml:space="preserve">   www.neco </w:t>
      </w:r>
      <w:r>
        <w:rPr>
          <w:rFonts w:ascii="Arial" w:hAnsi="Arial" w:cs="Arial"/>
          <w:color w:val="AA9C9A"/>
          <w:sz w:val="17"/>
          <w:szCs w:val="17"/>
        </w:rPr>
        <w:t>.</w:t>
      </w:r>
      <w:proofErr w:type="spellStart"/>
      <w:r>
        <w:rPr>
          <w:rFonts w:ascii="Arial" w:hAnsi="Arial" w:cs="Arial"/>
          <w:color w:val="933F3D"/>
          <w:sz w:val="17"/>
          <w:szCs w:val="17"/>
        </w:rPr>
        <w:t>edu</w:t>
      </w:r>
      <w:proofErr w:type="spellEnd"/>
    </w:p>
    <w:p w:rsidR="002C5025" w:rsidRDefault="002C5025">
      <w:pPr>
        <w:pStyle w:val="BodyText"/>
        <w:kinsoku w:val="0"/>
        <w:overflowPunct w:val="0"/>
        <w:spacing w:before="153" w:line="321" w:lineRule="auto"/>
        <w:ind w:left="3802" w:right="1407" w:hanging="1781"/>
        <w:rPr>
          <w:rFonts w:ascii="Arial" w:hAnsi="Arial" w:cs="Arial"/>
          <w:color w:val="933F3D"/>
          <w:sz w:val="17"/>
          <w:szCs w:val="17"/>
        </w:rPr>
        <w:sectPr w:rsidR="002C5025">
          <w:pgSz w:w="12240" w:h="15840"/>
          <w:pgMar w:top="520" w:right="1080" w:bottom="280" w:left="1000" w:header="720" w:footer="720" w:gutter="0"/>
          <w:cols w:space="720" w:equalWidth="0">
            <w:col w:w="10160"/>
          </w:cols>
          <w:noEndnote/>
        </w:sectPr>
      </w:pPr>
    </w:p>
    <w:p w:rsidR="002C5025" w:rsidRDefault="002C5025">
      <w:pPr>
        <w:pStyle w:val="BodyText"/>
        <w:kinsoku w:val="0"/>
        <w:overflowPunct w:val="0"/>
        <w:spacing w:before="46" w:line="276" w:lineRule="auto"/>
        <w:ind w:left="453" w:right="101" w:firstLine="9"/>
        <w:jc w:val="both"/>
        <w:rPr>
          <w:rFonts w:ascii="Times New Roman" w:hAnsi="Times New Roman" w:cs="Times New Roman"/>
          <w:color w:val="262626"/>
        </w:rPr>
      </w:pPr>
      <w:r>
        <w:rPr>
          <w:rFonts w:ascii="Times New Roman" w:hAnsi="Times New Roman" w:cs="Times New Roman"/>
          <w:color w:val="262626"/>
        </w:rPr>
        <w:lastRenderedPageBreak/>
        <w:t>In the Commonwealth, there are approximately 1,000 practicing optometrists. Among optometrists alone, there is a national ratio of one optometrist to 7,820 individuals; in Massachusetts' rural areas this figure can exceed a ratio of one optometrist to 12,000 individuals and in some communities in Southern Worcester and Hampshire County, there are no optometrists. As recognized by the American Optometric Association, the American Academy of Ophthalmology and the American Public Health Association, rural and inner city communities have a tremendous need for trained eye care professionals. Chronic systemic conditions such as hypertension and diabetes among older adults have been linked to eye diseases like glaucoma and diabetic retinopathy. Macular degeneration and injuries to the eyes are also common in rural and inner city communities. Finally, childhood</w:t>
      </w:r>
      <w:r>
        <w:rPr>
          <w:rFonts w:ascii="Times New Roman" w:hAnsi="Times New Roman" w:cs="Times New Roman"/>
          <w:color w:val="262626"/>
          <w:spacing w:val="4"/>
        </w:rPr>
        <w:t xml:space="preserve"> </w:t>
      </w:r>
      <w:r>
        <w:rPr>
          <w:rFonts w:ascii="Times New Roman" w:hAnsi="Times New Roman" w:cs="Times New Roman"/>
          <w:color w:val="262626"/>
        </w:rPr>
        <w:t>learning</w:t>
      </w:r>
      <w:r>
        <w:rPr>
          <w:rFonts w:ascii="Times New Roman" w:hAnsi="Times New Roman" w:cs="Times New Roman"/>
          <w:color w:val="262626"/>
          <w:spacing w:val="-9"/>
        </w:rPr>
        <w:t xml:space="preserve"> </w:t>
      </w:r>
      <w:r>
        <w:rPr>
          <w:rFonts w:ascii="Times New Roman" w:hAnsi="Times New Roman" w:cs="Times New Roman"/>
          <w:color w:val="262626"/>
        </w:rPr>
        <w:t>has</w:t>
      </w:r>
      <w:r>
        <w:rPr>
          <w:rFonts w:ascii="Times New Roman" w:hAnsi="Times New Roman" w:cs="Times New Roman"/>
          <w:color w:val="262626"/>
          <w:spacing w:val="-10"/>
        </w:rPr>
        <w:t xml:space="preserve"> </w:t>
      </w:r>
      <w:r>
        <w:rPr>
          <w:rFonts w:ascii="Times New Roman" w:hAnsi="Times New Roman" w:cs="Times New Roman"/>
          <w:color w:val="262626"/>
        </w:rPr>
        <w:t>been</w:t>
      </w:r>
      <w:r>
        <w:rPr>
          <w:rFonts w:ascii="Times New Roman" w:hAnsi="Times New Roman" w:cs="Times New Roman"/>
          <w:color w:val="262626"/>
          <w:spacing w:val="-1"/>
        </w:rPr>
        <w:t xml:space="preserve"> </w:t>
      </w:r>
      <w:r>
        <w:rPr>
          <w:rFonts w:ascii="Times New Roman" w:hAnsi="Times New Roman" w:cs="Times New Roman"/>
          <w:color w:val="262626"/>
        </w:rPr>
        <w:t>found</w:t>
      </w:r>
      <w:r>
        <w:rPr>
          <w:rFonts w:ascii="Times New Roman" w:hAnsi="Times New Roman" w:cs="Times New Roman"/>
          <w:color w:val="262626"/>
          <w:spacing w:val="-11"/>
        </w:rPr>
        <w:t xml:space="preserve"> </w:t>
      </w:r>
      <w:r>
        <w:rPr>
          <w:rFonts w:ascii="Times New Roman" w:hAnsi="Times New Roman" w:cs="Times New Roman"/>
          <w:color w:val="262626"/>
        </w:rPr>
        <w:t>to</w:t>
      </w:r>
      <w:r>
        <w:rPr>
          <w:rFonts w:ascii="Times New Roman" w:hAnsi="Times New Roman" w:cs="Times New Roman"/>
          <w:color w:val="262626"/>
          <w:spacing w:val="-11"/>
        </w:rPr>
        <w:t xml:space="preserve"> </w:t>
      </w:r>
      <w:r>
        <w:rPr>
          <w:rFonts w:ascii="Times New Roman" w:hAnsi="Times New Roman" w:cs="Times New Roman"/>
          <w:color w:val="262626"/>
        </w:rPr>
        <w:t>be</w:t>
      </w:r>
      <w:r>
        <w:rPr>
          <w:rFonts w:ascii="Times New Roman" w:hAnsi="Times New Roman" w:cs="Times New Roman"/>
          <w:color w:val="262626"/>
          <w:spacing w:val="-6"/>
        </w:rPr>
        <w:t xml:space="preserve"> </w:t>
      </w:r>
      <w:r>
        <w:rPr>
          <w:rFonts w:ascii="Times New Roman" w:hAnsi="Times New Roman" w:cs="Times New Roman"/>
          <w:color w:val="262626"/>
        </w:rPr>
        <w:t>directly</w:t>
      </w:r>
      <w:r>
        <w:rPr>
          <w:rFonts w:ascii="Times New Roman" w:hAnsi="Times New Roman" w:cs="Times New Roman"/>
          <w:color w:val="262626"/>
          <w:spacing w:val="-9"/>
        </w:rPr>
        <w:t xml:space="preserve"> </w:t>
      </w:r>
      <w:r>
        <w:rPr>
          <w:rFonts w:ascii="Times New Roman" w:hAnsi="Times New Roman" w:cs="Times New Roman"/>
          <w:color w:val="262626"/>
        </w:rPr>
        <w:t>and</w:t>
      </w:r>
      <w:r>
        <w:rPr>
          <w:rFonts w:ascii="Times New Roman" w:hAnsi="Times New Roman" w:cs="Times New Roman"/>
          <w:color w:val="262626"/>
          <w:spacing w:val="-4"/>
        </w:rPr>
        <w:t xml:space="preserve"> </w:t>
      </w:r>
      <w:r>
        <w:rPr>
          <w:rFonts w:ascii="Times New Roman" w:hAnsi="Times New Roman" w:cs="Times New Roman"/>
          <w:color w:val="262626"/>
        </w:rPr>
        <w:t>significantly</w:t>
      </w:r>
      <w:r>
        <w:rPr>
          <w:rFonts w:ascii="Times New Roman" w:hAnsi="Times New Roman" w:cs="Times New Roman"/>
          <w:color w:val="262626"/>
          <w:spacing w:val="-4"/>
        </w:rPr>
        <w:t xml:space="preserve"> </w:t>
      </w:r>
      <w:r>
        <w:rPr>
          <w:rFonts w:ascii="Times New Roman" w:hAnsi="Times New Roman" w:cs="Times New Roman"/>
          <w:color w:val="262626"/>
        </w:rPr>
        <w:t>impacted</w:t>
      </w:r>
      <w:r>
        <w:rPr>
          <w:rFonts w:ascii="Times New Roman" w:hAnsi="Times New Roman" w:cs="Times New Roman"/>
          <w:color w:val="262626"/>
          <w:spacing w:val="8"/>
        </w:rPr>
        <w:t xml:space="preserve"> </w:t>
      </w:r>
      <w:r>
        <w:rPr>
          <w:rFonts w:ascii="Times New Roman" w:hAnsi="Times New Roman" w:cs="Times New Roman"/>
          <w:color w:val="262626"/>
        </w:rPr>
        <w:t>by</w:t>
      </w:r>
      <w:r>
        <w:rPr>
          <w:rFonts w:ascii="Times New Roman" w:hAnsi="Times New Roman" w:cs="Times New Roman"/>
          <w:color w:val="262626"/>
          <w:spacing w:val="-9"/>
        </w:rPr>
        <w:t xml:space="preserve"> </w:t>
      </w:r>
      <w:r>
        <w:rPr>
          <w:rFonts w:ascii="Times New Roman" w:hAnsi="Times New Roman" w:cs="Times New Roman"/>
          <w:color w:val="262626"/>
        </w:rPr>
        <w:t>eye</w:t>
      </w:r>
      <w:r>
        <w:rPr>
          <w:rFonts w:ascii="Times New Roman" w:hAnsi="Times New Roman" w:cs="Times New Roman"/>
          <w:color w:val="262626"/>
          <w:spacing w:val="-8"/>
        </w:rPr>
        <w:t xml:space="preserve"> </w:t>
      </w:r>
      <w:r>
        <w:rPr>
          <w:rFonts w:ascii="Times New Roman" w:hAnsi="Times New Roman" w:cs="Times New Roman"/>
          <w:color w:val="262626"/>
        </w:rPr>
        <w:t>and</w:t>
      </w:r>
      <w:r>
        <w:rPr>
          <w:rFonts w:ascii="Times New Roman" w:hAnsi="Times New Roman" w:cs="Times New Roman"/>
          <w:color w:val="262626"/>
          <w:spacing w:val="-6"/>
        </w:rPr>
        <w:t xml:space="preserve"> </w:t>
      </w:r>
      <w:r>
        <w:rPr>
          <w:rFonts w:ascii="Times New Roman" w:hAnsi="Times New Roman" w:cs="Times New Roman"/>
          <w:color w:val="262626"/>
        </w:rPr>
        <w:t>vision</w:t>
      </w:r>
      <w:r>
        <w:rPr>
          <w:rFonts w:ascii="Times New Roman" w:hAnsi="Times New Roman" w:cs="Times New Roman"/>
          <w:color w:val="262626"/>
          <w:spacing w:val="-4"/>
        </w:rPr>
        <w:t xml:space="preserve"> </w:t>
      </w:r>
      <w:r>
        <w:rPr>
          <w:rFonts w:ascii="Times New Roman" w:hAnsi="Times New Roman" w:cs="Times New Roman"/>
          <w:color w:val="262626"/>
        </w:rPr>
        <w:t>problems.</w:t>
      </w:r>
      <w:r>
        <w:rPr>
          <w:rFonts w:ascii="Times New Roman" w:hAnsi="Times New Roman" w:cs="Times New Roman"/>
          <w:color w:val="262626"/>
          <w:spacing w:val="-4"/>
        </w:rPr>
        <w:t xml:space="preserve"> </w:t>
      </w:r>
      <w:r>
        <w:rPr>
          <w:rFonts w:ascii="Times New Roman" w:hAnsi="Times New Roman" w:cs="Times New Roman"/>
          <w:color w:val="262626"/>
        </w:rPr>
        <w:t>Despite our knowledge about the advantages of treating eye and vision problems early, access to eye and vision care providers</w:t>
      </w:r>
      <w:r>
        <w:rPr>
          <w:rFonts w:ascii="Times New Roman" w:hAnsi="Times New Roman" w:cs="Times New Roman"/>
          <w:color w:val="262626"/>
          <w:spacing w:val="-12"/>
        </w:rPr>
        <w:t xml:space="preserve"> </w:t>
      </w:r>
      <w:r>
        <w:rPr>
          <w:rFonts w:ascii="Times New Roman" w:hAnsi="Times New Roman" w:cs="Times New Roman"/>
          <w:color w:val="262626"/>
        </w:rPr>
        <w:t>in</w:t>
      </w:r>
      <w:r>
        <w:rPr>
          <w:rFonts w:ascii="Times New Roman" w:hAnsi="Times New Roman" w:cs="Times New Roman"/>
          <w:color w:val="262626"/>
          <w:spacing w:val="-22"/>
        </w:rPr>
        <w:t xml:space="preserve"> </w:t>
      </w:r>
      <w:r>
        <w:rPr>
          <w:rFonts w:ascii="Times New Roman" w:hAnsi="Times New Roman" w:cs="Times New Roman"/>
          <w:color w:val="262626"/>
        </w:rPr>
        <w:t>these</w:t>
      </w:r>
      <w:r>
        <w:rPr>
          <w:rFonts w:ascii="Times New Roman" w:hAnsi="Times New Roman" w:cs="Times New Roman"/>
          <w:color w:val="262626"/>
          <w:spacing w:val="-22"/>
        </w:rPr>
        <w:t xml:space="preserve"> </w:t>
      </w:r>
      <w:r>
        <w:rPr>
          <w:rFonts w:ascii="Times New Roman" w:hAnsi="Times New Roman" w:cs="Times New Roman"/>
          <w:color w:val="262626"/>
        </w:rPr>
        <w:t>communities</w:t>
      </w:r>
      <w:r>
        <w:rPr>
          <w:rFonts w:ascii="Times New Roman" w:hAnsi="Times New Roman" w:cs="Times New Roman"/>
          <w:color w:val="262626"/>
          <w:spacing w:val="-15"/>
        </w:rPr>
        <w:t xml:space="preserve"> </w:t>
      </w:r>
      <w:r>
        <w:rPr>
          <w:rFonts w:ascii="Times New Roman" w:hAnsi="Times New Roman" w:cs="Times New Roman"/>
          <w:color w:val="262626"/>
        </w:rPr>
        <w:t>remains</w:t>
      </w:r>
      <w:r>
        <w:rPr>
          <w:rFonts w:ascii="Times New Roman" w:hAnsi="Times New Roman" w:cs="Times New Roman"/>
          <w:color w:val="262626"/>
          <w:spacing w:val="-15"/>
        </w:rPr>
        <w:t xml:space="preserve"> </w:t>
      </w:r>
      <w:r>
        <w:rPr>
          <w:rFonts w:ascii="Times New Roman" w:hAnsi="Times New Roman" w:cs="Times New Roman"/>
          <w:color w:val="262626"/>
        </w:rPr>
        <w:t>lacking.</w:t>
      </w:r>
    </w:p>
    <w:p w:rsidR="002C5025" w:rsidRDefault="002C5025">
      <w:pPr>
        <w:pStyle w:val="BodyText"/>
        <w:kinsoku w:val="0"/>
        <w:overflowPunct w:val="0"/>
        <w:spacing w:before="6"/>
        <w:rPr>
          <w:rFonts w:ascii="Times New Roman" w:hAnsi="Times New Roman" w:cs="Times New Roman"/>
          <w:sz w:val="25"/>
          <w:szCs w:val="25"/>
        </w:rPr>
      </w:pPr>
    </w:p>
    <w:p w:rsidR="002C5025" w:rsidRDefault="002C5025">
      <w:pPr>
        <w:pStyle w:val="BodyText"/>
        <w:kinsoku w:val="0"/>
        <w:overflowPunct w:val="0"/>
        <w:spacing w:line="273" w:lineRule="auto"/>
        <w:ind w:left="444" w:right="100" w:firstLine="9"/>
        <w:jc w:val="both"/>
        <w:rPr>
          <w:rFonts w:ascii="Times New Roman" w:hAnsi="Times New Roman" w:cs="Times New Roman"/>
          <w:color w:val="262626"/>
        </w:rPr>
      </w:pPr>
      <w:r>
        <w:rPr>
          <w:rFonts w:ascii="Times New Roman" w:hAnsi="Times New Roman" w:cs="Times New Roman"/>
          <w:color w:val="262626"/>
        </w:rPr>
        <w:t xml:space="preserve">The proposed Student Loan Repayment Program includes a range of primary care providers, including, but not limited to: physicians, advanced practice nurses, nurse midwives and physician assistants as well as a variety </w:t>
      </w:r>
      <w:r>
        <w:rPr>
          <w:rFonts w:ascii="Times New Roman" w:hAnsi="Times New Roman" w:cs="Times New Roman"/>
          <w:color w:val="262626"/>
          <w:spacing w:val="-3"/>
        </w:rPr>
        <w:t xml:space="preserve">of </w:t>
      </w:r>
      <w:r>
        <w:rPr>
          <w:rFonts w:ascii="Times New Roman" w:hAnsi="Times New Roman" w:cs="Times New Roman"/>
          <w:color w:val="262626"/>
        </w:rPr>
        <w:t xml:space="preserve">behavioral health providers. NECO respectfully urges MassHealth and the Executive Office of Health and Human Services to extend this Student Loan Repayment Program to include full-time optometrists employed at community health centers, in exchange for a two-year commitment. Similar programs have proven to </w:t>
      </w:r>
      <w:r>
        <w:rPr>
          <w:rFonts w:ascii="Times New Roman" w:hAnsi="Times New Roman" w:cs="Times New Roman"/>
          <w:color w:val="262626"/>
          <w:spacing w:val="-3"/>
        </w:rPr>
        <w:t xml:space="preserve">be </w:t>
      </w:r>
      <w:r>
        <w:rPr>
          <w:rFonts w:ascii="Times New Roman" w:hAnsi="Times New Roman" w:cs="Times New Roman"/>
          <w:color w:val="262626"/>
        </w:rPr>
        <w:t xml:space="preserve">effective at establishing providers in underserved areas even long after their commitment expires. Given that  the goal is to ensure that a long-term plan is </w:t>
      </w:r>
      <w:r>
        <w:rPr>
          <w:rFonts w:ascii="Times New Roman" w:hAnsi="Times New Roman" w:cs="Times New Roman"/>
          <w:color w:val="383838"/>
        </w:rPr>
        <w:t xml:space="preserve">in </w:t>
      </w:r>
      <w:r>
        <w:rPr>
          <w:rFonts w:ascii="Times New Roman" w:hAnsi="Times New Roman" w:cs="Times New Roman"/>
          <w:color w:val="262626"/>
        </w:rPr>
        <w:t xml:space="preserve">place to drive access to care to all for </w:t>
      </w:r>
      <w:r>
        <w:rPr>
          <w:rFonts w:ascii="Times New Roman" w:hAnsi="Times New Roman" w:cs="Times New Roman"/>
          <w:i/>
          <w:iCs/>
          <w:color w:val="262626"/>
          <w:sz w:val="21"/>
          <w:szCs w:val="21"/>
        </w:rPr>
        <w:t xml:space="preserve">all </w:t>
      </w:r>
      <w:r>
        <w:rPr>
          <w:rFonts w:ascii="Times New Roman" w:hAnsi="Times New Roman" w:cs="Times New Roman"/>
          <w:color w:val="262626"/>
        </w:rPr>
        <w:t>primary health services throughout</w:t>
      </w:r>
      <w:r>
        <w:rPr>
          <w:rFonts w:ascii="Times New Roman" w:hAnsi="Times New Roman" w:cs="Times New Roman"/>
          <w:color w:val="262626"/>
          <w:spacing w:val="-10"/>
        </w:rPr>
        <w:t xml:space="preserve"> </w:t>
      </w:r>
      <w:r>
        <w:rPr>
          <w:rFonts w:ascii="Times New Roman" w:hAnsi="Times New Roman" w:cs="Times New Roman"/>
          <w:color w:val="262626"/>
        </w:rPr>
        <w:t>the</w:t>
      </w:r>
      <w:r>
        <w:rPr>
          <w:rFonts w:ascii="Times New Roman" w:hAnsi="Times New Roman" w:cs="Times New Roman"/>
          <w:color w:val="262626"/>
          <w:spacing w:val="-15"/>
        </w:rPr>
        <w:t xml:space="preserve"> </w:t>
      </w:r>
      <w:r>
        <w:rPr>
          <w:rFonts w:ascii="Times New Roman" w:hAnsi="Times New Roman" w:cs="Times New Roman"/>
          <w:color w:val="262626"/>
        </w:rPr>
        <w:t>Commonwealth; optometrists</w:t>
      </w:r>
      <w:r>
        <w:rPr>
          <w:rFonts w:ascii="Times New Roman" w:hAnsi="Times New Roman" w:cs="Times New Roman"/>
          <w:color w:val="262626"/>
          <w:spacing w:val="-3"/>
        </w:rPr>
        <w:t xml:space="preserve"> </w:t>
      </w:r>
      <w:r>
        <w:rPr>
          <w:rFonts w:ascii="Times New Roman" w:hAnsi="Times New Roman" w:cs="Times New Roman"/>
          <w:color w:val="262626"/>
        </w:rPr>
        <w:t>can</w:t>
      </w:r>
      <w:r>
        <w:rPr>
          <w:rFonts w:ascii="Times New Roman" w:hAnsi="Times New Roman" w:cs="Times New Roman"/>
          <w:color w:val="262626"/>
          <w:spacing w:val="-18"/>
        </w:rPr>
        <w:t xml:space="preserve"> </w:t>
      </w:r>
      <w:r>
        <w:rPr>
          <w:rFonts w:ascii="Times New Roman" w:hAnsi="Times New Roman" w:cs="Times New Roman"/>
          <w:color w:val="262626"/>
        </w:rPr>
        <w:t>play</w:t>
      </w:r>
      <w:r>
        <w:rPr>
          <w:rFonts w:ascii="Times New Roman" w:hAnsi="Times New Roman" w:cs="Times New Roman"/>
          <w:color w:val="262626"/>
          <w:spacing w:val="-13"/>
        </w:rPr>
        <w:t xml:space="preserve"> </w:t>
      </w:r>
      <w:r>
        <w:rPr>
          <w:rFonts w:ascii="Times New Roman" w:hAnsi="Times New Roman" w:cs="Times New Roman"/>
          <w:color w:val="262626"/>
        </w:rPr>
        <w:t>a</w:t>
      </w:r>
      <w:r>
        <w:rPr>
          <w:rFonts w:ascii="Times New Roman" w:hAnsi="Times New Roman" w:cs="Times New Roman"/>
          <w:color w:val="262626"/>
          <w:spacing w:val="-25"/>
        </w:rPr>
        <w:t xml:space="preserve"> </w:t>
      </w:r>
      <w:r>
        <w:rPr>
          <w:rFonts w:ascii="Times New Roman" w:hAnsi="Times New Roman" w:cs="Times New Roman"/>
          <w:color w:val="262626"/>
        </w:rPr>
        <w:t>key</w:t>
      </w:r>
      <w:r>
        <w:rPr>
          <w:rFonts w:ascii="Times New Roman" w:hAnsi="Times New Roman" w:cs="Times New Roman"/>
          <w:color w:val="262626"/>
          <w:spacing w:val="-16"/>
        </w:rPr>
        <w:t xml:space="preserve"> </w:t>
      </w:r>
      <w:r>
        <w:rPr>
          <w:rFonts w:ascii="Times New Roman" w:hAnsi="Times New Roman" w:cs="Times New Roman"/>
          <w:color w:val="262626"/>
        </w:rPr>
        <w:t>role</w:t>
      </w:r>
      <w:r>
        <w:rPr>
          <w:rFonts w:ascii="Times New Roman" w:hAnsi="Times New Roman" w:cs="Times New Roman"/>
          <w:color w:val="262626"/>
          <w:spacing w:val="-10"/>
        </w:rPr>
        <w:t xml:space="preserve"> </w:t>
      </w:r>
      <w:r>
        <w:rPr>
          <w:rFonts w:ascii="Times New Roman" w:hAnsi="Times New Roman" w:cs="Times New Roman"/>
          <w:color w:val="262626"/>
        </w:rPr>
        <w:t>in</w:t>
      </w:r>
      <w:r>
        <w:rPr>
          <w:rFonts w:ascii="Times New Roman" w:hAnsi="Times New Roman" w:cs="Times New Roman"/>
          <w:color w:val="262626"/>
          <w:spacing w:val="-18"/>
        </w:rPr>
        <w:t xml:space="preserve"> </w:t>
      </w:r>
      <w:r>
        <w:rPr>
          <w:rFonts w:ascii="Times New Roman" w:hAnsi="Times New Roman" w:cs="Times New Roman"/>
          <w:color w:val="262626"/>
        </w:rPr>
        <w:t>this</w:t>
      </w:r>
      <w:r>
        <w:rPr>
          <w:rFonts w:ascii="Times New Roman" w:hAnsi="Times New Roman" w:cs="Times New Roman"/>
          <w:color w:val="262626"/>
          <w:spacing w:val="-13"/>
        </w:rPr>
        <w:t xml:space="preserve"> </w:t>
      </w:r>
      <w:r>
        <w:rPr>
          <w:rFonts w:ascii="Times New Roman" w:hAnsi="Times New Roman" w:cs="Times New Roman"/>
          <w:color w:val="262626"/>
        </w:rPr>
        <w:t>initiative.</w:t>
      </w:r>
    </w:p>
    <w:p w:rsidR="002C5025" w:rsidRDefault="002C5025">
      <w:pPr>
        <w:pStyle w:val="BodyText"/>
        <w:kinsoku w:val="0"/>
        <w:overflowPunct w:val="0"/>
        <w:spacing w:before="8"/>
        <w:rPr>
          <w:rFonts w:ascii="Times New Roman" w:hAnsi="Times New Roman" w:cs="Times New Roman"/>
          <w:sz w:val="25"/>
          <w:szCs w:val="25"/>
        </w:rPr>
      </w:pPr>
    </w:p>
    <w:p w:rsidR="002C5025" w:rsidRDefault="002C5025">
      <w:pPr>
        <w:pStyle w:val="BodyText"/>
        <w:kinsoku w:val="0"/>
        <w:overflowPunct w:val="0"/>
        <w:spacing w:line="276" w:lineRule="auto"/>
        <w:ind w:left="444" w:right="99" w:firstLine="4"/>
        <w:jc w:val="both"/>
        <w:rPr>
          <w:rFonts w:ascii="Times New Roman" w:hAnsi="Times New Roman" w:cs="Times New Roman"/>
          <w:color w:val="262626"/>
        </w:rPr>
      </w:pPr>
      <w:r>
        <w:rPr>
          <w:rFonts w:ascii="Times New Roman" w:hAnsi="Times New Roman" w:cs="Times New Roman"/>
          <w:color w:val="262626"/>
        </w:rPr>
        <w:t>In order to prevent greater future health costs, we must provide those living in underserved and rural areas with access to eye care today. Many eye and vision problems can be successfully treated if addressed early on; a lack of access to an eye care provider should not be the place at which our health care system breaks down. Trained eye care professionals living and working in rural and inner city communities are an important part of the health care team needed to keep residents of the Commonwealth healthy. We must remove the barriers to entry and create incentives for eye care providers to work in communities of need to ensure that the eye and vision care of all our residents is being met.</w:t>
      </w:r>
    </w:p>
    <w:p w:rsidR="002C5025" w:rsidRDefault="002C5025">
      <w:pPr>
        <w:pStyle w:val="BodyText"/>
        <w:kinsoku w:val="0"/>
        <w:overflowPunct w:val="0"/>
        <w:spacing w:before="6"/>
        <w:rPr>
          <w:rFonts w:ascii="Times New Roman" w:hAnsi="Times New Roman" w:cs="Times New Roman"/>
          <w:sz w:val="25"/>
          <w:szCs w:val="25"/>
        </w:rPr>
      </w:pPr>
    </w:p>
    <w:p w:rsidR="002C5025" w:rsidRDefault="00FB027C">
      <w:pPr>
        <w:pStyle w:val="BodyText"/>
        <w:kinsoku w:val="0"/>
        <w:overflowPunct w:val="0"/>
        <w:spacing w:line="276" w:lineRule="auto"/>
        <w:ind w:left="444" w:right="103"/>
        <w:jc w:val="both"/>
        <w:rPr>
          <w:rFonts w:ascii="Times New Roman" w:hAnsi="Times New Roman" w:cs="Times New Roman"/>
          <w:color w:val="262626"/>
        </w:rPr>
      </w:pPr>
      <w:r>
        <w:rPr>
          <w:noProof/>
        </w:rPr>
        <mc:AlternateContent>
          <mc:Choice Requires="wps">
            <w:drawing>
              <wp:anchor distT="0" distB="0" distL="114300" distR="114300" simplePos="0" relativeHeight="251790848" behindDoc="1" locked="0" layoutInCell="0" allowOverlap="1">
                <wp:simplePos x="0" y="0"/>
                <wp:positionH relativeFrom="page">
                  <wp:posOffset>524510</wp:posOffset>
                </wp:positionH>
                <wp:positionV relativeFrom="paragraph">
                  <wp:posOffset>1098550</wp:posOffset>
                </wp:positionV>
                <wp:extent cx="2311400" cy="673100"/>
                <wp:effectExtent l="0" t="0" r="0" b="0"/>
                <wp:wrapNone/>
                <wp:docPr id="101" name="Rectangle 7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1400" cy="67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1060" w:lineRule="atLeast"/>
                            </w:pPr>
                            <w:r>
                              <w:rPr>
                                <w:noProof/>
                              </w:rPr>
                              <w:drawing>
                                <wp:inline distT="0" distB="0" distL="0" distR="0">
                                  <wp:extent cx="2314575" cy="666750"/>
                                  <wp:effectExtent l="0" t="0" r="9525"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536">
                                            <a:extLst>
                                              <a:ext uri="{28A0092B-C50C-407E-A947-70E740481C1C}">
                                                <a14:useLocalDpi xmlns:a14="http://schemas.microsoft.com/office/drawing/2010/main" val="0"/>
                                              </a:ext>
                                            </a:extLst>
                                          </a:blip>
                                          <a:srcRect/>
                                          <a:stretch>
                                            <a:fillRect/>
                                          </a:stretch>
                                        </pic:blipFill>
                                        <pic:spPr bwMode="auto">
                                          <a:xfrm>
                                            <a:off x="0" y="0"/>
                                            <a:ext cx="2314575" cy="666750"/>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3" o:spid="_x0000_s1271" style="position:absolute;left:0;text-align:left;margin-left:41.3pt;margin-top:86.5pt;width:182pt;height:53pt;z-index:-251525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" o:allowincell="f" filled="f" stroked="f">
                <v:textbox inset="0,0,0,0">
                  <w:txbxContent>
                    <w:p w:rsidR="007B2B7B" w:rsidRDefault="007B2B7B">
                      <w:pPr>
                        <w:widowControl/>
                        <w:autoSpaceDE/>
                        <w:autoSpaceDN/>
                        <w:adjustRightInd/>
                        <w:spacing w:line="1060" w:lineRule="atLeast"/>
                      </w:pPr>
                      <w:r>
                        <w:rPr>
                          <w:noProof/>
                        </w:rPr>
                        <w:drawing>
                          <wp:inline distT="0" distB="0" distL="0" distR="0">
                            <wp:extent cx="2314575" cy="666750"/>
                            <wp:effectExtent l="0" t="0" r="9525"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537">
                                      <a:extLst>
                                        <a:ext uri="{28A0092B-C50C-407E-A947-70E740481C1C}">
                                          <a14:useLocalDpi xmlns:a14="http://schemas.microsoft.com/office/drawing/2010/main" val="0"/>
                                        </a:ext>
                                      </a:extLst>
                                    </a:blip>
                                    <a:srcRect/>
                                    <a:stretch>
                                      <a:fillRect/>
                                    </a:stretch>
                                  </pic:blipFill>
                                  <pic:spPr bwMode="auto">
                                    <a:xfrm>
                                      <a:off x="0" y="0"/>
                                      <a:ext cx="2314575" cy="666750"/>
                                    </a:xfrm>
                                    <a:prstGeom prst="rect">
                                      <a:avLst/>
                                    </a:prstGeom>
                                    <a:noFill/>
                                    <a:ln>
                                      <a:noFill/>
                                    </a:ln>
                                  </pic:spPr>
                                </pic:pic>
                              </a:graphicData>
                            </a:graphic>
                          </wp:inline>
                        </w:drawing>
                      </w:r>
                    </w:p>
                    <w:p w:rsidR="007B2B7B" w:rsidRDefault="007B2B7B"/>
                  </w:txbxContent>
                </v:textbox>
                <w10:wrap anchorx="page"/>
              </v:rect>
            </w:pict>
          </mc:Fallback>
        </mc:AlternateContent>
      </w:r>
      <w:r w:rsidR="002C5025">
        <w:rPr>
          <w:rFonts w:ascii="Times New Roman" w:hAnsi="Times New Roman" w:cs="Times New Roman"/>
          <w:color w:val="262626"/>
        </w:rPr>
        <w:t>On</w:t>
      </w:r>
      <w:r w:rsidR="002C5025">
        <w:rPr>
          <w:rFonts w:ascii="Times New Roman" w:hAnsi="Times New Roman" w:cs="Times New Roman"/>
          <w:color w:val="262626"/>
          <w:spacing w:val="-4"/>
        </w:rPr>
        <w:t xml:space="preserve"> </w:t>
      </w:r>
      <w:r w:rsidR="002C5025">
        <w:rPr>
          <w:rFonts w:ascii="Times New Roman" w:hAnsi="Times New Roman" w:cs="Times New Roman"/>
          <w:color w:val="262626"/>
        </w:rPr>
        <w:t>behalf of</w:t>
      </w:r>
      <w:r w:rsidR="002C5025">
        <w:rPr>
          <w:rFonts w:ascii="Times New Roman" w:hAnsi="Times New Roman" w:cs="Times New Roman"/>
          <w:color w:val="262626"/>
          <w:spacing w:val="-15"/>
        </w:rPr>
        <w:t xml:space="preserve"> </w:t>
      </w:r>
      <w:r w:rsidR="002C5025">
        <w:rPr>
          <w:rFonts w:ascii="Times New Roman" w:hAnsi="Times New Roman" w:cs="Times New Roman"/>
          <w:color w:val="262626"/>
        </w:rPr>
        <w:t>the</w:t>
      </w:r>
      <w:r w:rsidR="002C5025">
        <w:rPr>
          <w:rFonts w:ascii="Times New Roman" w:hAnsi="Times New Roman" w:cs="Times New Roman"/>
          <w:color w:val="262626"/>
          <w:spacing w:val="-6"/>
        </w:rPr>
        <w:t xml:space="preserve"> </w:t>
      </w:r>
      <w:r w:rsidR="002C5025">
        <w:rPr>
          <w:rFonts w:ascii="Times New Roman" w:hAnsi="Times New Roman" w:cs="Times New Roman"/>
          <w:color w:val="262626"/>
        </w:rPr>
        <w:t>faculty,</w:t>
      </w:r>
      <w:r w:rsidR="002C5025">
        <w:rPr>
          <w:rFonts w:ascii="Times New Roman" w:hAnsi="Times New Roman" w:cs="Times New Roman"/>
          <w:color w:val="262626"/>
          <w:spacing w:val="4"/>
        </w:rPr>
        <w:t xml:space="preserve"> </w:t>
      </w:r>
      <w:r w:rsidR="002C5025">
        <w:rPr>
          <w:rFonts w:ascii="Times New Roman" w:hAnsi="Times New Roman" w:cs="Times New Roman"/>
          <w:color w:val="262626"/>
        </w:rPr>
        <w:t>students</w:t>
      </w:r>
      <w:r w:rsidR="002C5025">
        <w:rPr>
          <w:rFonts w:ascii="Times New Roman" w:hAnsi="Times New Roman" w:cs="Times New Roman"/>
          <w:color w:val="262626"/>
          <w:spacing w:val="-3"/>
        </w:rPr>
        <w:t xml:space="preserve"> </w:t>
      </w:r>
      <w:r w:rsidR="002C5025">
        <w:rPr>
          <w:rFonts w:ascii="Times New Roman" w:hAnsi="Times New Roman" w:cs="Times New Roman"/>
          <w:color w:val="262626"/>
        </w:rPr>
        <w:t>and</w:t>
      </w:r>
      <w:r w:rsidR="002C5025">
        <w:rPr>
          <w:rFonts w:ascii="Times New Roman" w:hAnsi="Times New Roman" w:cs="Times New Roman"/>
          <w:color w:val="262626"/>
          <w:spacing w:val="-1"/>
        </w:rPr>
        <w:t xml:space="preserve"> </w:t>
      </w:r>
      <w:r w:rsidR="002C5025">
        <w:rPr>
          <w:rFonts w:ascii="Times New Roman" w:hAnsi="Times New Roman" w:cs="Times New Roman"/>
          <w:color w:val="262626"/>
        </w:rPr>
        <w:t>staff</w:t>
      </w:r>
      <w:r w:rsidR="002C5025">
        <w:rPr>
          <w:rFonts w:ascii="Times New Roman" w:hAnsi="Times New Roman" w:cs="Times New Roman"/>
          <w:color w:val="262626"/>
          <w:spacing w:val="-8"/>
        </w:rPr>
        <w:t xml:space="preserve"> </w:t>
      </w:r>
      <w:r w:rsidR="002C5025">
        <w:rPr>
          <w:rFonts w:ascii="Times New Roman" w:hAnsi="Times New Roman" w:cs="Times New Roman"/>
          <w:color w:val="262626"/>
        </w:rPr>
        <w:t>of</w:t>
      </w:r>
      <w:r w:rsidR="002C5025">
        <w:rPr>
          <w:rFonts w:ascii="Times New Roman" w:hAnsi="Times New Roman" w:cs="Times New Roman"/>
          <w:color w:val="262626"/>
          <w:spacing w:val="-12"/>
        </w:rPr>
        <w:t xml:space="preserve"> </w:t>
      </w:r>
      <w:r w:rsidR="002C5025">
        <w:rPr>
          <w:rFonts w:ascii="Times New Roman" w:hAnsi="Times New Roman" w:cs="Times New Roman"/>
          <w:color w:val="262626"/>
        </w:rPr>
        <w:t>the</w:t>
      </w:r>
      <w:r w:rsidR="002C5025">
        <w:rPr>
          <w:rFonts w:ascii="Times New Roman" w:hAnsi="Times New Roman" w:cs="Times New Roman"/>
          <w:color w:val="262626"/>
          <w:spacing w:val="-13"/>
        </w:rPr>
        <w:t xml:space="preserve"> </w:t>
      </w:r>
      <w:r w:rsidR="002C5025">
        <w:rPr>
          <w:rFonts w:ascii="Times New Roman" w:hAnsi="Times New Roman" w:cs="Times New Roman"/>
          <w:color w:val="262626"/>
        </w:rPr>
        <w:t>New</w:t>
      </w:r>
      <w:r w:rsidR="002C5025">
        <w:rPr>
          <w:rFonts w:ascii="Times New Roman" w:hAnsi="Times New Roman" w:cs="Times New Roman"/>
          <w:color w:val="262626"/>
          <w:spacing w:val="-7"/>
        </w:rPr>
        <w:t xml:space="preserve"> </w:t>
      </w:r>
      <w:r w:rsidR="002C5025">
        <w:rPr>
          <w:rFonts w:ascii="Times New Roman" w:hAnsi="Times New Roman" w:cs="Times New Roman"/>
          <w:color w:val="262626"/>
        </w:rPr>
        <w:t>England</w:t>
      </w:r>
      <w:r w:rsidR="002C5025">
        <w:rPr>
          <w:rFonts w:ascii="Times New Roman" w:hAnsi="Times New Roman" w:cs="Times New Roman"/>
          <w:color w:val="262626"/>
          <w:spacing w:val="6"/>
        </w:rPr>
        <w:t xml:space="preserve"> </w:t>
      </w:r>
      <w:r w:rsidR="002C5025">
        <w:rPr>
          <w:rFonts w:ascii="Times New Roman" w:hAnsi="Times New Roman" w:cs="Times New Roman"/>
          <w:color w:val="262626"/>
        </w:rPr>
        <w:t>College</w:t>
      </w:r>
      <w:r w:rsidR="002C5025">
        <w:rPr>
          <w:rFonts w:ascii="Times New Roman" w:hAnsi="Times New Roman" w:cs="Times New Roman"/>
          <w:color w:val="262626"/>
          <w:spacing w:val="2"/>
        </w:rPr>
        <w:t xml:space="preserve"> </w:t>
      </w:r>
      <w:r w:rsidR="002C5025">
        <w:rPr>
          <w:rFonts w:ascii="Times New Roman" w:hAnsi="Times New Roman" w:cs="Times New Roman"/>
          <w:color w:val="262626"/>
        </w:rPr>
        <w:t>of</w:t>
      </w:r>
      <w:r w:rsidR="002C5025">
        <w:rPr>
          <w:rFonts w:ascii="Times New Roman" w:hAnsi="Times New Roman" w:cs="Times New Roman"/>
          <w:color w:val="262626"/>
          <w:spacing w:val="-10"/>
        </w:rPr>
        <w:t xml:space="preserve"> </w:t>
      </w:r>
      <w:r w:rsidR="002C5025">
        <w:rPr>
          <w:rFonts w:ascii="Times New Roman" w:hAnsi="Times New Roman" w:cs="Times New Roman"/>
          <w:color w:val="262626"/>
        </w:rPr>
        <w:t>Optometry,</w:t>
      </w:r>
      <w:r w:rsidR="002C5025">
        <w:rPr>
          <w:rFonts w:ascii="Times New Roman" w:hAnsi="Times New Roman" w:cs="Times New Roman"/>
          <w:color w:val="262626"/>
          <w:spacing w:val="-4"/>
        </w:rPr>
        <w:t xml:space="preserve"> </w:t>
      </w:r>
      <w:r w:rsidR="002C5025">
        <w:rPr>
          <w:rFonts w:ascii="Times New Roman" w:hAnsi="Times New Roman" w:cs="Times New Roman"/>
          <w:color w:val="262626"/>
        </w:rPr>
        <w:t>I</w:t>
      </w:r>
      <w:r w:rsidR="002C5025">
        <w:rPr>
          <w:rFonts w:ascii="Times New Roman" w:hAnsi="Times New Roman" w:cs="Times New Roman"/>
          <w:color w:val="262626"/>
          <w:spacing w:val="-15"/>
        </w:rPr>
        <w:t xml:space="preserve"> </w:t>
      </w:r>
      <w:r w:rsidR="002C5025">
        <w:rPr>
          <w:rFonts w:ascii="Times New Roman" w:hAnsi="Times New Roman" w:cs="Times New Roman"/>
          <w:color w:val="262626"/>
        </w:rPr>
        <w:t>respectfully</w:t>
      </w:r>
      <w:r w:rsidR="002C5025">
        <w:rPr>
          <w:rFonts w:ascii="Times New Roman" w:hAnsi="Times New Roman" w:cs="Times New Roman"/>
          <w:color w:val="262626"/>
          <w:spacing w:val="6"/>
        </w:rPr>
        <w:t xml:space="preserve"> </w:t>
      </w:r>
      <w:r w:rsidR="002C5025">
        <w:rPr>
          <w:rFonts w:ascii="Times New Roman" w:hAnsi="Times New Roman" w:cs="Times New Roman"/>
          <w:color w:val="262626"/>
        </w:rPr>
        <w:t>request</w:t>
      </w:r>
      <w:r w:rsidR="002C5025">
        <w:rPr>
          <w:rFonts w:ascii="Times New Roman" w:hAnsi="Times New Roman" w:cs="Times New Roman"/>
          <w:color w:val="262626"/>
          <w:spacing w:val="-3"/>
        </w:rPr>
        <w:t xml:space="preserve"> </w:t>
      </w:r>
      <w:r w:rsidR="002C5025">
        <w:rPr>
          <w:rFonts w:ascii="Times New Roman" w:hAnsi="Times New Roman" w:cs="Times New Roman"/>
          <w:color w:val="262626"/>
        </w:rPr>
        <w:t>that you expand the Student Loan Repayment Program proposed in MassHealth's Proposed 1115 Waiver Demonstration Extension to include optometrists. This program could go a long way to making sure that residents of the Commonwealth are able to access an eye care provider -regardless of the community they live in.</w:t>
      </w:r>
      <w:r w:rsidR="002C5025">
        <w:rPr>
          <w:rFonts w:ascii="Times New Roman" w:hAnsi="Times New Roman" w:cs="Times New Roman"/>
          <w:color w:val="262626"/>
          <w:spacing w:val="-20"/>
        </w:rPr>
        <w:t xml:space="preserve"> </w:t>
      </w:r>
      <w:r w:rsidR="002C5025">
        <w:rPr>
          <w:rFonts w:ascii="Times New Roman" w:hAnsi="Times New Roman" w:cs="Times New Roman"/>
          <w:color w:val="262626"/>
        </w:rPr>
        <w:t>Thank</w:t>
      </w:r>
      <w:r w:rsidR="002C5025">
        <w:rPr>
          <w:rFonts w:ascii="Times New Roman" w:hAnsi="Times New Roman" w:cs="Times New Roman"/>
          <w:color w:val="262626"/>
          <w:spacing w:val="-21"/>
        </w:rPr>
        <w:t xml:space="preserve"> </w:t>
      </w:r>
      <w:r w:rsidR="002C5025">
        <w:rPr>
          <w:rFonts w:ascii="Times New Roman" w:hAnsi="Times New Roman" w:cs="Times New Roman"/>
          <w:color w:val="262626"/>
        </w:rPr>
        <w:t>you</w:t>
      </w:r>
      <w:r w:rsidR="002C5025">
        <w:rPr>
          <w:rFonts w:ascii="Times New Roman" w:hAnsi="Times New Roman" w:cs="Times New Roman"/>
          <w:color w:val="262626"/>
          <w:spacing w:val="-11"/>
        </w:rPr>
        <w:t xml:space="preserve"> </w:t>
      </w:r>
      <w:r w:rsidR="002C5025">
        <w:rPr>
          <w:rFonts w:ascii="Times New Roman" w:hAnsi="Times New Roman" w:cs="Times New Roman"/>
          <w:color w:val="262626"/>
        </w:rPr>
        <w:t>for</w:t>
      </w:r>
      <w:r w:rsidR="002C5025">
        <w:rPr>
          <w:rFonts w:ascii="Times New Roman" w:hAnsi="Times New Roman" w:cs="Times New Roman"/>
          <w:color w:val="262626"/>
          <w:spacing w:val="-15"/>
        </w:rPr>
        <w:t xml:space="preserve"> </w:t>
      </w:r>
      <w:r w:rsidR="002C5025">
        <w:rPr>
          <w:rFonts w:ascii="Times New Roman" w:hAnsi="Times New Roman" w:cs="Times New Roman"/>
          <w:color w:val="262626"/>
        </w:rPr>
        <w:t>considering</w:t>
      </w:r>
      <w:r w:rsidR="002C5025">
        <w:rPr>
          <w:rFonts w:ascii="Times New Roman" w:hAnsi="Times New Roman" w:cs="Times New Roman"/>
          <w:color w:val="262626"/>
          <w:spacing w:val="-16"/>
        </w:rPr>
        <w:t xml:space="preserve"> </w:t>
      </w:r>
      <w:r w:rsidR="002C5025">
        <w:rPr>
          <w:rFonts w:ascii="Times New Roman" w:hAnsi="Times New Roman" w:cs="Times New Roman"/>
          <w:color w:val="262626"/>
        </w:rPr>
        <w:t>this</w:t>
      </w:r>
      <w:r w:rsidR="002C5025">
        <w:rPr>
          <w:rFonts w:ascii="Times New Roman" w:hAnsi="Times New Roman" w:cs="Times New Roman"/>
          <w:color w:val="262626"/>
          <w:spacing w:val="-18"/>
        </w:rPr>
        <w:t xml:space="preserve"> </w:t>
      </w:r>
      <w:r w:rsidR="002C5025">
        <w:rPr>
          <w:rFonts w:ascii="Times New Roman" w:hAnsi="Times New Roman" w:cs="Times New Roman"/>
          <w:color w:val="262626"/>
        </w:rPr>
        <w:t>recommendation.</w:t>
      </w:r>
      <w:r w:rsidR="002C5025">
        <w:rPr>
          <w:rFonts w:ascii="Times New Roman" w:hAnsi="Times New Roman" w:cs="Times New Roman"/>
          <w:color w:val="262626"/>
          <w:spacing w:val="11"/>
        </w:rPr>
        <w:t xml:space="preserve"> </w:t>
      </w:r>
      <w:r w:rsidR="002C5025">
        <w:rPr>
          <w:rFonts w:ascii="Times New Roman" w:hAnsi="Times New Roman" w:cs="Times New Roman"/>
          <w:color w:val="262626"/>
        </w:rPr>
        <w:t>Please</w:t>
      </w:r>
      <w:r w:rsidR="002C5025">
        <w:rPr>
          <w:rFonts w:ascii="Times New Roman" w:hAnsi="Times New Roman" w:cs="Times New Roman"/>
          <w:color w:val="262626"/>
          <w:spacing w:val="-10"/>
        </w:rPr>
        <w:t xml:space="preserve"> </w:t>
      </w:r>
      <w:r w:rsidR="002C5025">
        <w:rPr>
          <w:rFonts w:ascii="Times New Roman" w:hAnsi="Times New Roman" w:cs="Times New Roman"/>
          <w:color w:val="262626"/>
        </w:rPr>
        <w:t>contact</w:t>
      </w:r>
      <w:r w:rsidR="002C5025">
        <w:rPr>
          <w:rFonts w:ascii="Times New Roman" w:hAnsi="Times New Roman" w:cs="Times New Roman"/>
          <w:color w:val="262626"/>
          <w:spacing w:val="-8"/>
        </w:rPr>
        <w:t xml:space="preserve"> </w:t>
      </w:r>
      <w:r w:rsidR="002C5025">
        <w:rPr>
          <w:rFonts w:ascii="Times New Roman" w:hAnsi="Times New Roman" w:cs="Times New Roman"/>
          <w:color w:val="262626"/>
        </w:rPr>
        <w:t>me</w:t>
      </w:r>
      <w:r w:rsidR="002C5025">
        <w:rPr>
          <w:rFonts w:ascii="Times New Roman" w:hAnsi="Times New Roman" w:cs="Times New Roman"/>
          <w:color w:val="262626"/>
          <w:spacing w:val="-15"/>
        </w:rPr>
        <w:t xml:space="preserve"> </w:t>
      </w:r>
      <w:r w:rsidR="002C5025">
        <w:rPr>
          <w:rFonts w:ascii="Times New Roman" w:hAnsi="Times New Roman" w:cs="Times New Roman"/>
          <w:color w:val="262626"/>
        </w:rPr>
        <w:t>with</w:t>
      </w:r>
      <w:r w:rsidR="002C5025">
        <w:rPr>
          <w:rFonts w:ascii="Times New Roman" w:hAnsi="Times New Roman" w:cs="Times New Roman"/>
          <w:color w:val="262626"/>
          <w:spacing w:val="-9"/>
        </w:rPr>
        <w:t xml:space="preserve"> </w:t>
      </w:r>
      <w:r w:rsidR="002C5025">
        <w:rPr>
          <w:rFonts w:ascii="Times New Roman" w:hAnsi="Times New Roman" w:cs="Times New Roman"/>
          <w:color w:val="262626"/>
        </w:rPr>
        <w:t>any</w:t>
      </w:r>
      <w:r w:rsidR="002C5025">
        <w:rPr>
          <w:rFonts w:ascii="Times New Roman" w:hAnsi="Times New Roman" w:cs="Times New Roman"/>
          <w:color w:val="262626"/>
          <w:spacing w:val="-23"/>
        </w:rPr>
        <w:t xml:space="preserve"> </w:t>
      </w:r>
      <w:r w:rsidR="002C5025">
        <w:rPr>
          <w:rFonts w:ascii="Times New Roman" w:hAnsi="Times New Roman" w:cs="Times New Roman"/>
          <w:color w:val="262626"/>
        </w:rPr>
        <w:t>questions.</w:t>
      </w: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spacing w:before="9"/>
        <w:rPr>
          <w:rFonts w:ascii="Times New Roman" w:hAnsi="Times New Roman" w:cs="Times New Roman"/>
          <w:sz w:val="21"/>
          <w:szCs w:val="21"/>
        </w:rPr>
      </w:pPr>
    </w:p>
    <w:p w:rsidR="002C5025" w:rsidRDefault="002C5025">
      <w:pPr>
        <w:pStyle w:val="BodyText"/>
        <w:kinsoku w:val="0"/>
        <w:overflowPunct w:val="0"/>
        <w:spacing w:before="1" w:line="271" w:lineRule="auto"/>
        <w:ind w:left="439" w:right="6947" w:firstLine="4"/>
        <w:rPr>
          <w:rFonts w:ascii="Times New Roman" w:hAnsi="Times New Roman" w:cs="Times New Roman"/>
          <w:color w:val="262626"/>
        </w:rPr>
      </w:pPr>
      <w:r>
        <w:rPr>
          <w:rFonts w:ascii="Times New Roman" w:hAnsi="Times New Roman" w:cs="Times New Roman"/>
          <w:color w:val="262626"/>
        </w:rPr>
        <w:t>Clifford Scott, OD, MPH President</w:t>
      </w:r>
    </w:p>
    <w:p w:rsidR="002C5025" w:rsidRDefault="002C5025">
      <w:pPr>
        <w:pStyle w:val="BodyText"/>
        <w:kinsoku w:val="0"/>
        <w:overflowPunct w:val="0"/>
        <w:spacing w:before="1" w:line="271" w:lineRule="auto"/>
        <w:ind w:left="439" w:right="6947" w:firstLine="4"/>
        <w:rPr>
          <w:rFonts w:ascii="Times New Roman" w:hAnsi="Times New Roman" w:cs="Times New Roman"/>
          <w:color w:val="262626"/>
        </w:rPr>
        <w:sectPr w:rsidR="002C5025">
          <w:pgSz w:w="12240" w:h="15840"/>
          <w:pgMar w:top="1160" w:right="1100" w:bottom="280" w:left="720" w:header="720" w:footer="720" w:gutter="0"/>
          <w:cols w:space="720" w:equalWidth="0">
            <w:col w:w="10420"/>
          </w:cols>
          <w:noEndnote/>
        </w:sectPr>
      </w:pPr>
    </w:p>
    <w:p w:rsidR="002C5025" w:rsidRDefault="00FB027C">
      <w:pPr>
        <w:pStyle w:val="BodyText"/>
        <w:kinsoku w:val="0"/>
        <w:overflowPunct w:val="0"/>
        <w:ind w:left="3750"/>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extent cx="1323975" cy="1495425"/>
            <wp:effectExtent l="0" t="0" r="9525" b="9525"/>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538">
                      <a:extLst>
                        <a:ext uri="{28A0092B-C50C-407E-A947-70E740481C1C}">
                          <a14:useLocalDpi xmlns:a14="http://schemas.microsoft.com/office/drawing/2010/main" val="0"/>
                        </a:ext>
                      </a:extLst>
                    </a:blip>
                    <a:srcRect/>
                    <a:stretch>
                      <a:fillRect/>
                    </a:stretch>
                  </pic:blipFill>
                  <pic:spPr bwMode="auto">
                    <a:xfrm>
                      <a:off x="0" y="0"/>
                      <a:ext cx="1323975" cy="1495425"/>
                    </a:xfrm>
                    <a:prstGeom prst="rect">
                      <a:avLst/>
                    </a:prstGeom>
                    <a:noFill/>
                    <a:ln>
                      <a:noFill/>
                    </a:ln>
                  </pic:spPr>
                </pic:pic>
              </a:graphicData>
            </a:graphic>
          </wp:inline>
        </w:drawing>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4"/>
        <w:rPr>
          <w:rFonts w:ascii="Times New Roman" w:hAnsi="Times New Roman" w:cs="Times New Roman"/>
          <w:sz w:val="23"/>
          <w:szCs w:val="23"/>
        </w:rPr>
      </w:pPr>
    </w:p>
    <w:p w:rsidR="002C5025" w:rsidRDefault="002C5025">
      <w:pPr>
        <w:pStyle w:val="BodyText"/>
        <w:kinsoku w:val="0"/>
        <w:overflowPunct w:val="0"/>
        <w:spacing w:before="57"/>
        <w:ind w:left="120" w:right="296"/>
      </w:pPr>
      <w:bookmarkStart w:id="239" w:name="On_Solid_Ground"/>
      <w:bookmarkEnd w:id="239"/>
      <w:r>
        <w:t>July 15, 2016</w:t>
      </w:r>
    </w:p>
    <w:p w:rsidR="002C5025" w:rsidRDefault="002C5025">
      <w:pPr>
        <w:pStyle w:val="BodyText"/>
        <w:kinsoku w:val="0"/>
        <w:overflowPunct w:val="0"/>
      </w:pPr>
    </w:p>
    <w:p w:rsidR="002C5025" w:rsidRDefault="002C5025">
      <w:pPr>
        <w:pStyle w:val="BodyText"/>
        <w:kinsoku w:val="0"/>
        <w:overflowPunct w:val="0"/>
        <w:ind w:left="120" w:right="296"/>
      </w:pPr>
      <w:r>
        <w:t>Daniel Tsai</w:t>
      </w:r>
    </w:p>
    <w:p w:rsidR="002C5025" w:rsidRDefault="002C5025">
      <w:pPr>
        <w:pStyle w:val="BodyText"/>
        <w:kinsoku w:val="0"/>
        <w:overflowPunct w:val="0"/>
        <w:ind w:left="120" w:right="296"/>
      </w:pPr>
      <w:r>
        <w:t>Assistant Secretary for MassHealth</w:t>
      </w:r>
    </w:p>
    <w:p w:rsidR="002C5025" w:rsidRDefault="002C5025">
      <w:pPr>
        <w:pStyle w:val="BodyText"/>
        <w:kinsoku w:val="0"/>
        <w:overflowPunct w:val="0"/>
        <w:ind w:left="119" w:right="5269"/>
      </w:pPr>
      <w:r>
        <w:t>Executive Office of Health and Human Services One Ashburton Place, 11th Floor</w:t>
      </w:r>
    </w:p>
    <w:p w:rsidR="002C5025" w:rsidRDefault="002C5025">
      <w:pPr>
        <w:pStyle w:val="BodyText"/>
        <w:kinsoku w:val="0"/>
        <w:overflowPunct w:val="0"/>
        <w:ind w:left="119" w:right="296"/>
      </w:pPr>
      <w:r>
        <w:t>Boston, MA 02108</w:t>
      </w:r>
    </w:p>
    <w:p w:rsidR="002C5025" w:rsidRDefault="002C5025">
      <w:pPr>
        <w:pStyle w:val="BodyText"/>
        <w:kinsoku w:val="0"/>
        <w:overflowPunct w:val="0"/>
      </w:pPr>
    </w:p>
    <w:p w:rsidR="002C5025" w:rsidRDefault="002C5025">
      <w:pPr>
        <w:pStyle w:val="BodyText"/>
        <w:kinsoku w:val="0"/>
        <w:overflowPunct w:val="0"/>
        <w:spacing w:line="477" w:lineRule="auto"/>
        <w:ind w:left="120" w:right="4166"/>
      </w:pPr>
      <w:r>
        <w:t>RE: Comments on MassHealth 1115 Demonstration Project Dear Assistant Secretary Tsai,</w:t>
      </w:r>
    </w:p>
    <w:p w:rsidR="002C5025" w:rsidRDefault="002C5025">
      <w:pPr>
        <w:pStyle w:val="BodyText"/>
        <w:kinsoku w:val="0"/>
        <w:overflowPunct w:val="0"/>
        <w:spacing w:before="3"/>
        <w:ind w:left="119" w:right="97"/>
      </w:pPr>
      <w:r>
        <w:t>I’m writing on behalf of the On Solid Ground Coalition, a cross-sector group of more than 30 organizations committed to a research-based approach to increasing housing stability and economic mobility. We believe the best way to do that is to bring housing, workforce development, education and health and wellness policies together to build a proactive comprehensive system to support housing and income stability. In that vein we are pleased with the innovative steps this waiver takes to support a comprehensive understanding of the social determinants of health.</w:t>
      </w:r>
    </w:p>
    <w:p w:rsidR="002C5025" w:rsidRDefault="002C5025">
      <w:pPr>
        <w:pStyle w:val="BodyText"/>
        <w:kinsoku w:val="0"/>
        <w:overflowPunct w:val="0"/>
        <w:spacing w:before="10"/>
        <w:rPr>
          <w:sz w:val="21"/>
          <w:szCs w:val="21"/>
        </w:rPr>
      </w:pPr>
    </w:p>
    <w:p w:rsidR="002C5025" w:rsidRDefault="002C5025">
      <w:pPr>
        <w:pStyle w:val="BodyText"/>
        <w:kinsoku w:val="0"/>
        <w:overflowPunct w:val="0"/>
        <w:ind w:left="119" w:right="114"/>
      </w:pPr>
      <w:r>
        <w:t>Of particular interest to the Coalition is section 5.3.2.3 (on page 42). We strongly approve of the dedication of funds to costs not normally reimbursable by MassHealth, but which address health-related service needs. We think spending by ACOs on issues like housing stabilization, domestic violence supports, and utility assistance, will go a long way to reducing negative health outcomes. We encourage you to continue with this focus on social needs, and the funding necessary to make it happen. We ask for further clarity on how Community Partners (CP) will be selected and an explicit additional focus on families. Further, AS ACOs allocate those funds, we strongly encourage them to work with community partners in the housing support, childcare, and antipoverty fields to distribute those funds through those existing CP pipelines rather than reinvent the wheel. This will allow those funds to support a growing</w:t>
      </w:r>
      <w:r>
        <w:rPr>
          <w:spacing w:val="-4"/>
        </w:rPr>
        <w:t xml:space="preserve"> </w:t>
      </w:r>
      <w:r>
        <w:t>infrastructure</w:t>
      </w:r>
      <w:r>
        <w:rPr>
          <w:spacing w:val="-5"/>
        </w:rPr>
        <w:t xml:space="preserve"> </w:t>
      </w:r>
      <w:r>
        <w:t>of</w:t>
      </w:r>
      <w:r>
        <w:rPr>
          <w:spacing w:val="-3"/>
        </w:rPr>
        <w:t xml:space="preserve"> </w:t>
      </w:r>
      <w:r>
        <w:t>supports</w:t>
      </w:r>
      <w:r>
        <w:rPr>
          <w:spacing w:val="-3"/>
        </w:rPr>
        <w:t xml:space="preserve"> </w:t>
      </w:r>
      <w:r>
        <w:t>rather</w:t>
      </w:r>
      <w:r>
        <w:rPr>
          <w:spacing w:val="-3"/>
        </w:rPr>
        <w:t xml:space="preserve"> </w:t>
      </w:r>
      <w:r>
        <w:t>than</w:t>
      </w:r>
      <w:r>
        <w:rPr>
          <w:spacing w:val="-4"/>
        </w:rPr>
        <w:t xml:space="preserve"> </w:t>
      </w:r>
      <w:r>
        <w:t>have</w:t>
      </w:r>
      <w:r>
        <w:rPr>
          <w:spacing w:val="-5"/>
        </w:rPr>
        <w:t xml:space="preserve"> </w:t>
      </w:r>
      <w:r>
        <w:t>to</w:t>
      </w:r>
      <w:r>
        <w:rPr>
          <w:spacing w:val="-2"/>
        </w:rPr>
        <w:t xml:space="preserve"> </w:t>
      </w:r>
      <w:r>
        <w:t>waste</w:t>
      </w:r>
      <w:r>
        <w:rPr>
          <w:spacing w:val="-5"/>
        </w:rPr>
        <w:t xml:space="preserve"> </w:t>
      </w:r>
      <w:r>
        <w:t>some</w:t>
      </w:r>
      <w:r>
        <w:rPr>
          <w:spacing w:val="-2"/>
        </w:rPr>
        <w:t xml:space="preserve"> </w:t>
      </w:r>
      <w:r>
        <w:t>on</w:t>
      </w:r>
      <w:r>
        <w:rPr>
          <w:spacing w:val="-6"/>
        </w:rPr>
        <w:t xml:space="preserve"> </w:t>
      </w:r>
      <w:r>
        <w:t>duplicative</w:t>
      </w:r>
      <w:r>
        <w:rPr>
          <w:spacing w:val="-2"/>
        </w:rPr>
        <w:t xml:space="preserve"> </w:t>
      </w:r>
      <w:r>
        <w:t>overhead.</w:t>
      </w:r>
    </w:p>
    <w:p w:rsidR="002C5025" w:rsidRDefault="002C5025">
      <w:pPr>
        <w:pStyle w:val="BodyText"/>
        <w:kinsoku w:val="0"/>
        <w:overflowPunct w:val="0"/>
        <w:spacing w:before="10"/>
        <w:rPr>
          <w:sz w:val="21"/>
          <w:szCs w:val="21"/>
        </w:rPr>
      </w:pPr>
    </w:p>
    <w:p w:rsidR="002C5025" w:rsidRDefault="002C5025">
      <w:pPr>
        <w:pStyle w:val="BodyText"/>
        <w:kinsoku w:val="0"/>
        <w:overflowPunct w:val="0"/>
        <w:ind w:left="119" w:right="94"/>
      </w:pPr>
      <w:r>
        <w:t>Additionally we support the efforts on page 76 to include improvement in National Outcomes Measures, such as increased housing and increases in education and employment, in MassHealth’s global measures of success. The evidence is clear that housing and economic instability being adverse health effects to people, so we’re excited that MassHealth sees progress towards housing and economic stability as what it is: progress to good health. We ask that the waiver explicitly arrange for working with community partners to develop further shared measures dealing with social determinants of health.</w:t>
      </w:r>
    </w:p>
    <w:p w:rsidR="002C5025" w:rsidRDefault="002C5025">
      <w:pPr>
        <w:pStyle w:val="BodyText"/>
        <w:kinsoku w:val="0"/>
        <w:overflowPunct w:val="0"/>
        <w:ind w:left="119" w:right="94"/>
        <w:sectPr w:rsidR="002C5025">
          <w:pgSz w:w="12240" w:h="15840"/>
          <w:pgMar w:top="1440" w:right="1340" w:bottom="280" w:left="1320" w:header="720" w:footer="720" w:gutter="0"/>
          <w:cols w:space="720" w:equalWidth="0">
            <w:col w:w="9580"/>
          </w:cols>
          <w:noEndnote/>
        </w:sectPr>
      </w:pPr>
    </w:p>
    <w:p w:rsidR="002C5025" w:rsidRDefault="002C5025">
      <w:pPr>
        <w:pStyle w:val="BodyText"/>
        <w:kinsoku w:val="0"/>
        <w:overflowPunct w:val="0"/>
        <w:spacing w:before="37"/>
        <w:ind w:left="300" w:right="326"/>
      </w:pPr>
      <w:r>
        <w:lastRenderedPageBreak/>
        <w:t>Again, we appreciate the general thrust of MassHealth’s efforts and especially endorse the role of housing stabilization and supports in your plan for better community health.</w:t>
      </w:r>
    </w:p>
    <w:p w:rsidR="002C5025" w:rsidRDefault="002C5025">
      <w:pPr>
        <w:pStyle w:val="BodyText"/>
        <w:kinsoku w:val="0"/>
        <w:overflowPunct w:val="0"/>
        <w:ind w:left="300" w:right="269"/>
      </w:pPr>
      <w:r>
        <w:t>Andre Green</w:t>
      </w:r>
    </w:p>
    <w:p w:rsidR="002C5025" w:rsidRDefault="002C5025">
      <w:pPr>
        <w:pStyle w:val="BodyText"/>
        <w:kinsoku w:val="0"/>
        <w:overflowPunct w:val="0"/>
        <w:ind w:left="300" w:right="6742"/>
      </w:pPr>
      <w:r>
        <w:t>Senior Project Manager On Solid Ground Coalition</w:t>
      </w:r>
    </w:p>
    <w:p w:rsidR="002C5025" w:rsidRDefault="002C5025">
      <w:pPr>
        <w:pStyle w:val="BodyText"/>
        <w:kinsoku w:val="0"/>
        <w:overflowPunct w:val="0"/>
      </w:pPr>
    </w:p>
    <w:p w:rsidR="002C5025" w:rsidRDefault="002C5025">
      <w:pPr>
        <w:pStyle w:val="BodyText"/>
        <w:kinsoku w:val="0"/>
        <w:overflowPunct w:val="0"/>
        <w:spacing w:before="10"/>
        <w:rPr>
          <w:sz w:val="21"/>
          <w:szCs w:val="21"/>
        </w:rPr>
      </w:pPr>
    </w:p>
    <w:p w:rsidR="002C5025" w:rsidRDefault="002C5025">
      <w:pPr>
        <w:pStyle w:val="BodyText"/>
        <w:kinsoku w:val="0"/>
        <w:overflowPunct w:val="0"/>
        <w:spacing w:after="20"/>
        <w:ind w:left="300" w:right="269"/>
        <w:rPr>
          <w:rFonts w:ascii="Times New Roman" w:hAnsi="Times New Roman" w:cs="Times New Roman"/>
          <w:b/>
          <w:bCs/>
          <w:sz w:val="24"/>
          <w:szCs w:val="24"/>
        </w:rPr>
      </w:pPr>
      <w:r>
        <w:rPr>
          <w:rFonts w:ascii="Times New Roman" w:hAnsi="Times New Roman" w:cs="Times New Roman"/>
          <w:b/>
          <w:bCs/>
          <w:sz w:val="24"/>
          <w:szCs w:val="24"/>
        </w:rPr>
        <w:t>COALITION MEMBERS:</w:t>
      </w:r>
    </w:p>
    <w:tbl>
      <w:tblPr>
        <w:tblW w:w="0" w:type="auto"/>
        <w:tblInd w:w="100" w:type="dxa"/>
        <w:tblLayout w:type="fixed"/>
        <w:tblCellMar>
          <w:left w:w="0" w:type="dxa"/>
          <w:right w:w="0" w:type="dxa"/>
        </w:tblCellMar>
        <w:tblLook w:val="0000" w:firstRow="0" w:lastRow="0" w:firstColumn="0" w:lastColumn="0" w:noHBand="0" w:noVBand="0"/>
      </w:tblPr>
      <w:tblGrid>
        <w:gridCol w:w="3108"/>
        <w:gridCol w:w="3038"/>
        <w:gridCol w:w="2704"/>
      </w:tblGrid>
      <w:tr w:rsidR="002C5025">
        <w:trPr>
          <w:trHeight w:hRule="exact" w:val="3454"/>
        </w:trPr>
        <w:tc>
          <w:tcPr>
            <w:tcW w:w="3108" w:type="dxa"/>
            <w:tcBorders>
              <w:top w:val="nil"/>
              <w:left w:val="nil"/>
              <w:bottom w:val="nil"/>
              <w:right w:val="nil"/>
            </w:tcBorders>
          </w:tcPr>
          <w:p w:rsidR="002C5025" w:rsidRDefault="002C5025">
            <w:pPr>
              <w:pStyle w:val="TableParagraph"/>
              <w:kinsoku w:val="0"/>
              <w:overflowPunct w:val="0"/>
              <w:spacing w:line="174" w:lineRule="exact"/>
              <w:ind w:left="200" w:right="546"/>
              <w:rPr>
                <w:rFonts w:ascii="Times New Roman" w:hAnsi="Times New Roman" w:cs="Times New Roman"/>
                <w:sz w:val="17"/>
                <w:szCs w:val="17"/>
              </w:rPr>
            </w:pPr>
            <w:r>
              <w:rPr>
                <w:rFonts w:ascii="Times New Roman" w:hAnsi="Times New Roman" w:cs="Times New Roman"/>
                <w:sz w:val="17"/>
                <w:szCs w:val="17"/>
              </w:rPr>
              <w:t>Action for Boston Community</w:t>
            </w:r>
          </w:p>
          <w:p w:rsidR="002C5025" w:rsidRDefault="002C5025">
            <w:pPr>
              <w:pStyle w:val="TableParagraph"/>
              <w:kinsoku w:val="0"/>
              <w:overflowPunct w:val="0"/>
              <w:spacing w:before="1" w:line="195" w:lineRule="exact"/>
              <w:ind w:left="416" w:right="546"/>
              <w:rPr>
                <w:rFonts w:ascii="Times New Roman" w:hAnsi="Times New Roman" w:cs="Times New Roman"/>
                <w:sz w:val="17"/>
                <w:szCs w:val="17"/>
              </w:rPr>
            </w:pPr>
            <w:r>
              <w:rPr>
                <w:rFonts w:ascii="Times New Roman" w:hAnsi="Times New Roman" w:cs="Times New Roman"/>
                <w:sz w:val="17"/>
                <w:szCs w:val="17"/>
              </w:rPr>
              <w:t>Development</w:t>
            </w:r>
          </w:p>
          <w:p w:rsidR="002C5025" w:rsidRDefault="002C5025">
            <w:pPr>
              <w:pStyle w:val="TableParagraph"/>
              <w:kinsoku w:val="0"/>
              <w:overflowPunct w:val="0"/>
              <w:ind w:left="416" w:right="546" w:hanging="217"/>
              <w:rPr>
                <w:rFonts w:ascii="Times New Roman" w:hAnsi="Times New Roman" w:cs="Times New Roman"/>
                <w:sz w:val="17"/>
                <w:szCs w:val="17"/>
              </w:rPr>
            </w:pPr>
            <w:r>
              <w:rPr>
                <w:rFonts w:ascii="Times New Roman" w:hAnsi="Times New Roman" w:cs="Times New Roman"/>
                <w:sz w:val="17"/>
                <w:szCs w:val="17"/>
              </w:rPr>
              <w:t>Advocacy Network to End Family Homelessness (ANEFH)</w:t>
            </w:r>
          </w:p>
          <w:p w:rsidR="002C5025" w:rsidRDefault="002C5025">
            <w:pPr>
              <w:pStyle w:val="TableParagraph"/>
              <w:kinsoku w:val="0"/>
              <w:overflowPunct w:val="0"/>
              <w:ind w:left="416" w:right="641" w:hanging="217"/>
              <w:rPr>
                <w:rFonts w:ascii="Times New Roman" w:hAnsi="Times New Roman" w:cs="Times New Roman"/>
                <w:sz w:val="17"/>
                <w:szCs w:val="17"/>
              </w:rPr>
            </w:pPr>
            <w:r>
              <w:rPr>
                <w:rFonts w:ascii="Times New Roman" w:hAnsi="Times New Roman" w:cs="Times New Roman"/>
                <w:sz w:val="17"/>
                <w:szCs w:val="17"/>
              </w:rPr>
              <w:t xml:space="preserve">Bessie </w:t>
            </w:r>
            <w:proofErr w:type="spellStart"/>
            <w:r>
              <w:rPr>
                <w:rFonts w:ascii="Times New Roman" w:hAnsi="Times New Roman" w:cs="Times New Roman"/>
                <w:sz w:val="17"/>
                <w:szCs w:val="17"/>
              </w:rPr>
              <w:t>Tartt</w:t>
            </w:r>
            <w:proofErr w:type="spellEnd"/>
            <w:r>
              <w:rPr>
                <w:rFonts w:ascii="Times New Roman" w:hAnsi="Times New Roman" w:cs="Times New Roman"/>
                <w:sz w:val="17"/>
                <w:szCs w:val="17"/>
              </w:rPr>
              <w:t xml:space="preserve"> Wilson Initiative for Children</w:t>
            </w:r>
          </w:p>
          <w:p w:rsidR="002C5025" w:rsidRDefault="002C5025">
            <w:pPr>
              <w:pStyle w:val="TableParagraph"/>
              <w:kinsoku w:val="0"/>
              <w:overflowPunct w:val="0"/>
              <w:ind w:left="200" w:right="1494"/>
              <w:rPr>
                <w:rFonts w:ascii="Times New Roman" w:hAnsi="Times New Roman" w:cs="Times New Roman"/>
                <w:sz w:val="17"/>
                <w:szCs w:val="17"/>
              </w:rPr>
            </w:pPr>
            <w:r>
              <w:rPr>
                <w:rFonts w:ascii="Times New Roman" w:hAnsi="Times New Roman" w:cs="Times New Roman"/>
                <w:sz w:val="17"/>
                <w:szCs w:val="17"/>
              </w:rPr>
              <w:t>B'nai B'rith Housing Casa Myrna</w:t>
            </w:r>
          </w:p>
          <w:p w:rsidR="002C5025" w:rsidRDefault="002C5025">
            <w:pPr>
              <w:pStyle w:val="TableParagraph"/>
              <w:kinsoku w:val="0"/>
              <w:overflowPunct w:val="0"/>
              <w:spacing w:before="1" w:line="195" w:lineRule="exact"/>
              <w:ind w:left="200" w:right="546"/>
              <w:rPr>
                <w:rFonts w:ascii="Times New Roman" w:hAnsi="Times New Roman" w:cs="Times New Roman"/>
                <w:sz w:val="17"/>
                <w:szCs w:val="17"/>
              </w:rPr>
            </w:pPr>
            <w:r>
              <w:rPr>
                <w:rFonts w:ascii="Times New Roman" w:hAnsi="Times New Roman" w:cs="Times New Roman"/>
                <w:sz w:val="17"/>
                <w:szCs w:val="17"/>
              </w:rPr>
              <w:t xml:space="preserve">Children’s </w:t>
            </w:r>
            <w:proofErr w:type="spellStart"/>
            <w:r>
              <w:rPr>
                <w:rFonts w:ascii="Times New Roman" w:hAnsi="Times New Roman" w:cs="Times New Roman"/>
                <w:sz w:val="17"/>
                <w:szCs w:val="17"/>
              </w:rPr>
              <w:t>HealthWatch</w:t>
            </w:r>
            <w:proofErr w:type="spellEnd"/>
          </w:p>
          <w:p w:rsidR="002C5025" w:rsidRDefault="002C5025">
            <w:pPr>
              <w:pStyle w:val="TableParagraph"/>
              <w:kinsoku w:val="0"/>
              <w:overflowPunct w:val="0"/>
              <w:ind w:left="413" w:right="267" w:hanging="214"/>
              <w:rPr>
                <w:rFonts w:ascii="Times New Roman" w:hAnsi="Times New Roman" w:cs="Times New Roman"/>
                <w:sz w:val="17"/>
                <w:szCs w:val="17"/>
              </w:rPr>
            </w:pPr>
            <w:r>
              <w:rPr>
                <w:rFonts w:ascii="Times New Roman" w:hAnsi="Times New Roman" w:cs="Times New Roman"/>
                <w:sz w:val="17"/>
                <w:szCs w:val="17"/>
              </w:rPr>
              <w:t>Citizens for Affordable Housing in Newton Development Organization (CAN-DO)</w:t>
            </w:r>
          </w:p>
          <w:p w:rsidR="002C5025" w:rsidRDefault="002C5025">
            <w:pPr>
              <w:pStyle w:val="TableParagraph"/>
              <w:kinsoku w:val="0"/>
              <w:overflowPunct w:val="0"/>
              <w:spacing w:before="1"/>
              <w:ind w:left="416" w:right="721" w:hanging="217"/>
              <w:rPr>
                <w:rFonts w:ascii="Times New Roman" w:hAnsi="Times New Roman" w:cs="Times New Roman"/>
                <w:sz w:val="17"/>
                <w:szCs w:val="17"/>
              </w:rPr>
            </w:pPr>
            <w:r>
              <w:rPr>
                <w:rFonts w:ascii="Times New Roman" w:hAnsi="Times New Roman" w:cs="Times New Roman"/>
                <w:sz w:val="17"/>
                <w:szCs w:val="17"/>
              </w:rPr>
              <w:t>Citizens’ Housing and Planning Association</w:t>
            </w:r>
          </w:p>
          <w:p w:rsidR="002C5025" w:rsidRDefault="002C5025">
            <w:pPr>
              <w:pStyle w:val="TableParagraph"/>
              <w:kinsoku w:val="0"/>
              <w:overflowPunct w:val="0"/>
              <w:spacing w:before="1"/>
              <w:ind w:left="200" w:right="782"/>
              <w:rPr>
                <w:rFonts w:ascii="Times New Roman" w:hAnsi="Times New Roman" w:cs="Times New Roman"/>
              </w:rPr>
            </w:pPr>
            <w:proofErr w:type="spellStart"/>
            <w:r>
              <w:rPr>
                <w:rFonts w:ascii="Times New Roman" w:hAnsi="Times New Roman" w:cs="Times New Roman"/>
                <w:sz w:val="17"/>
                <w:szCs w:val="17"/>
              </w:rPr>
              <w:t>Crittenton</w:t>
            </w:r>
            <w:proofErr w:type="spellEnd"/>
            <w:r>
              <w:rPr>
                <w:rFonts w:ascii="Times New Roman" w:hAnsi="Times New Roman" w:cs="Times New Roman"/>
                <w:sz w:val="17"/>
                <w:szCs w:val="17"/>
              </w:rPr>
              <w:t xml:space="preserve"> Women’s Union Family Independence Initiative Family-to-Family Project</w:t>
            </w:r>
          </w:p>
        </w:tc>
        <w:tc>
          <w:tcPr>
            <w:tcW w:w="3038" w:type="dxa"/>
            <w:tcBorders>
              <w:top w:val="nil"/>
              <w:left w:val="nil"/>
              <w:bottom w:val="nil"/>
              <w:right w:val="nil"/>
            </w:tcBorders>
          </w:tcPr>
          <w:p w:rsidR="002C5025" w:rsidRDefault="002C5025">
            <w:pPr>
              <w:pStyle w:val="TableParagraph"/>
              <w:kinsoku w:val="0"/>
              <w:overflowPunct w:val="0"/>
              <w:spacing w:line="174" w:lineRule="exact"/>
              <w:ind w:left="178" w:right="601"/>
              <w:rPr>
                <w:rFonts w:ascii="Times New Roman" w:hAnsi="Times New Roman" w:cs="Times New Roman"/>
                <w:sz w:val="17"/>
                <w:szCs w:val="17"/>
              </w:rPr>
            </w:pPr>
            <w:r>
              <w:rPr>
                <w:rFonts w:ascii="Times New Roman" w:hAnsi="Times New Roman" w:cs="Times New Roman"/>
                <w:sz w:val="17"/>
                <w:szCs w:val="17"/>
              </w:rPr>
              <w:t>Father Bill’s &amp; Mainspring</w:t>
            </w:r>
          </w:p>
          <w:p w:rsidR="002C5025" w:rsidRDefault="002C5025">
            <w:pPr>
              <w:pStyle w:val="TableParagraph"/>
              <w:kinsoku w:val="0"/>
              <w:overflowPunct w:val="0"/>
              <w:spacing w:before="1"/>
              <w:ind w:left="178" w:right="601"/>
              <w:rPr>
                <w:rFonts w:ascii="Times New Roman" w:hAnsi="Times New Roman" w:cs="Times New Roman"/>
                <w:sz w:val="17"/>
                <w:szCs w:val="17"/>
              </w:rPr>
            </w:pPr>
            <w:r>
              <w:rPr>
                <w:rFonts w:ascii="Times New Roman" w:hAnsi="Times New Roman" w:cs="Times New Roman"/>
                <w:sz w:val="17"/>
                <w:szCs w:val="17"/>
              </w:rPr>
              <w:t xml:space="preserve">Friends of Families in Transition </w:t>
            </w:r>
            <w:proofErr w:type="spellStart"/>
            <w:r>
              <w:rPr>
                <w:rFonts w:ascii="Times New Roman" w:hAnsi="Times New Roman" w:cs="Times New Roman"/>
                <w:sz w:val="17"/>
                <w:szCs w:val="17"/>
              </w:rPr>
              <w:t>HAPHousing</w:t>
            </w:r>
            <w:proofErr w:type="spellEnd"/>
          </w:p>
          <w:p w:rsidR="002C5025" w:rsidRDefault="002C5025">
            <w:pPr>
              <w:pStyle w:val="TableParagraph"/>
              <w:kinsoku w:val="0"/>
              <w:overflowPunct w:val="0"/>
              <w:spacing w:before="1"/>
              <w:ind w:left="178" w:right="1489"/>
              <w:rPr>
                <w:rFonts w:ascii="Times New Roman" w:hAnsi="Times New Roman" w:cs="Times New Roman"/>
                <w:sz w:val="17"/>
                <w:szCs w:val="17"/>
              </w:rPr>
            </w:pPr>
            <w:r>
              <w:rPr>
                <w:rFonts w:ascii="Times New Roman" w:hAnsi="Times New Roman" w:cs="Times New Roman"/>
                <w:sz w:val="17"/>
                <w:szCs w:val="17"/>
              </w:rPr>
              <w:t>Home Funders Homes for Families</w:t>
            </w:r>
          </w:p>
          <w:p w:rsidR="002C5025" w:rsidRDefault="002C5025">
            <w:pPr>
              <w:pStyle w:val="TableParagraph"/>
              <w:kinsoku w:val="0"/>
              <w:overflowPunct w:val="0"/>
              <w:spacing w:before="1"/>
              <w:ind w:left="178" w:right="593"/>
              <w:rPr>
                <w:rFonts w:ascii="Times New Roman" w:hAnsi="Times New Roman" w:cs="Times New Roman"/>
                <w:sz w:val="17"/>
                <w:szCs w:val="17"/>
              </w:rPr>
            </w:pPr>
            <w:r>
              <w:rPr>
                <w:rFonts w:ascii="Times New Roman" w:hAnsi="Times New Roman" w:cs="Times New Roman"/>
                <w:sz w:val="17"/>
                <w:szCs w:val="17"/>
              </w:rPr>
              <w:t>Horizons for Homeless Children Jane Doe Inc., the Massachusetts</w:t>
            </w:r>
          </w:p>
          <w:p w:rsidR="002C5025" w:rsidRDefault="002C5025">
            <w:pPr>
              <w:pStyle w:val="TableParagraph"/>
              <w:kinsoku w:val="0"/>
              <w:overflowPunct w:val="0"/>
              <w:ind w:left="392" w:right="257" w:firstLine="2"/>
              <w:rPr>
                <w:rFonts w:ascii="Times New Roman" w:hAnsi="Times New Roman" w:cs="Times New Roman"/>
                <w:sz w:val="17"/>
                <w:szCs w:val="17"/>
              </w:rPr>
            </w:pPr>
            <w:r>
              <w:rPr>
                <w:rFonts w:ascii="Times New Roman" w:hAnsi="Times New Roman" w:cs="Times New Roman"/>
                <w:sz w:val="17"/>
                <w:szCs w:val="17"/>
              </w:rPr>
              <w:t>Coalition Against Sexual Assault and Domestic Violence</w:t>
            </w:r>
          </w:p>
          <w:p w:rsidR="002C5025" w:rsidRDefault="002C5025">
            <w:pPr>
              <w:pStyle w:val="TableParagraph"/>
              <w:kinsoku w:val="0"/>
              <w:overflowPunct w:val="0"/>
              <w:ind w:left="178" w:right="257"/>
              <w:rPr>
                <w:rFonts w:ascii="Times New Roman" w:hAnsi="Times New Roman" w:cs="Times New Roman"/>
                <w:sz w:val="17"/>
                <w:szCs w:val="17"/>
              </w:rPr>
            </w:pPr>
            <w:r>
              <w:rPr>
                <w:rFonts w:ascii="Times New Roman" w:hAnsi="Times New Roman" w:cs="Times New Roman"/>
                <w:sz w:val="17"/>
                <w:szCs w:val="17"/>
              </w:rPr>
              <w:t>Jewish Community Relations Council Massachusetts Association for</w:t>
            </w:r>
          </w:p>
          <w:p w:rsidR="002C5025" w:rsidRDefault="002C5025">
            <w:pPr>
              <w:pStyle w:val="TableParagraph"/>
              <w:kinsoku w:val="0"/>
              <w:overflowPunct w:val="0"/>
              <w:ind w:left="178" w:right="691" w:firstLine="216"/>
              <w:rPr>
                <w:rFonts w:ascii="Times New Roman" w:hAnsi="Times New Roman" w:cs="Times New Roman"/>
                <w:sz w:val="17"/>
                <w:szCs w:val="17"/>
              </w:rPr>
            </w:pPr>
            <w:r>
              <w:rPr>
                <w:rFonts w:ascii="Times New Roman" w:hAnsi="Times New Roman" w:cs="Times New Roman"/>
                <w:sz w:val="17"/>
                <w:szCs w:val="17"/>
              </w:rPr>
              <w:t>Community Action Massachusetts Coalition for the</w:t>
            </w:r>
          </w:p>
          <w:p w:rsidR="002C5025" w:rsidRDefault="002C5025">
            <w:pPr>
              <w:pStyle w:val="TableParagraph"/>
              <w:kinsoku w:val="0"/>
              <w:overflowPunct w:val="0"/>
              <w:spacing w:line="194" w:lineRule="exact"/>
              <w:ind w:left="394" w:right="601"/>
              <w:rPr>
                <w:rFonts w:ascii="Times New Roman" w:hAnsi="Times New Roman" w:cs="Times New Roman"/>
                <w:sz w:val="17"/>
                <w:szCs w:val="17"/>
              </w:rPr>
            </w:pPr>
            <w:r>
              <w:rPr>
                <w:rFonts w:ascii="Times New Roman" w:hAnsi="Times New Roman" w:cs="Times New Roman"/>
                <w:sz w:val="17"/>
                <w:szCs w:val="17"/>
              </w:rPr>
              <w:t>Homeless</w:t>
            </w:r>
          </w:p>
          <w:p w:rsidR="002C5025" w:rsidRDefault="002C5025">
            <w:pPr>
              <w:pStyle w:val="TableParagraph"/>
              <w:kinsoku w:val="0"/>
              <w:overflowPunct w:val="0"/>
              <w:spacing w:before="1"/>
              <w:ind w:left="178" w:right="352"/>
              <w:rPr>
                <w:rFonts w:ascii="Times New Roman" w:hAnsi="Times New Roman" w:cs="Times New Roman"/>
                <w:sz w:val="17"/>
                <w:szCs w:val="17"/>
              </w:rPr>
            </w:pPr>
            <w:r>
              <w:rPr>
                <w:rFonts w:ascii="Times New Roman" w:hAnsi="Times New Roman" w:cs="Times New Roman"/>
                <w:sz w:val="17"/>
                <w:szCs w:val="17"/>
              </w:rPr>
              <w:t>Massachusetts Law Reform Institute Massachusetts Public Health</w:t>
            </w:r>
          </w:p>
          <w:p w:rsidR="002C5025" w:rsidRDefault="002C5025">
            <w:pPr>
              <w:pStyle w:val="TableParagraph"/>
              <w:kinsoku w:val="0"/>
              <w:overflowPunct w:val="0"/>
              <w:spacing w:line="194" w:lineRule="exact"/>
              <w:ind w:left="394" w:right="601"/>
              <w:rPr>
                <w:rFonts w:ascii="Times New Roman" w:hAnsi="Times New Roman" w:cs="Times New Roman"/>
              </w:rPr>
            </w:pPr>
            <w:r>
              <w:rPr>
                <w:rFonts w:ascii="Times New Roman" w:hAnsi="Times New Roman" w:cs="Times New Roman"/>
                <w:sz w:val="17"/>
                <w:szCs w:val="17"/>
              </w:rPr>
              <w:t>Association</w:t>
            </w:r>
          </w:p>
        </w:tc>
        <w:tc>
          <w:tcPr>
            <w:tcW w:w="2704" w:type="dxa"/>
            <w:tcBorders>
              <w:top w:val="nil"/>
              <w:left w:val="nil"/>
              <w:bottom w:val="nil"/>
              <w:right w:val="nil"/>
            </w:tcBorders>
          </w:tcPr>
          <w:p w:rsidR="002C5025" w:rsidRDefault="002C5025">
            <w:pPr>
              <w:pStyle w:val="TableParagraph"/>
              <w:kinsoku w:val="0"/>
              <w:overflowPunct w:val="0"/>
              <w:spacing w:line="174" w:lineRule="exact"/>
              <w:ind w:left="272" w:right="358"/>
              <w:rPr>
                <w:rFonts w:ascii="Times New Roman" w:hAnsi="Times New Roman" w:cs="Times New Roman"/>
                <w:sz w:val="17"/>
                <w:szCs w:val="17"/>
              </w:rPr>
            </w:pPr>
            <w:r>
              <w:rPr>
                <w:rFonts w:ascii="Times New Roman" w:hAnsi="Times New Roman" w:cs="Times New Roman"/>
                <w:sz w:val="17"/>
                <w:szCs w:val="17"/>
              </w:rPr>
              <w:t>Metropolitan Boston Housing</w:t>
            </w:r>
          </w:p>
          <w:p w:rsidR="002C5025" w:rsidRDefault="002C5025">
            <w:pPr>
              <w:pStyle w:val="TableParagraph"/>
              <w:kinsoku w:val="0"/>
              <w:overflowPunct w:val="0"/>
              <w:spacing w:before="1"/>
              <w:ind w:left="272" w:right="1259" w:firstLine="213"/>
              <w:rPr>
                <w:rFonts w:ascii="Times New Roman" w:hAnsi="Times New Roman" w:cs="Times New Roman"/>
                <w:sz w:val="17"/>
                <w:szCs w:val="17"/>
              </w:rPr>
            </w:pPr>
            <w:r>
              <w:rPr>
                <w:rFonts w:ascii="Times New Roman" w:hAnsi="Times New Roman" w:cs="Times New Roman"/>
                <w:sz w:val="17"/>
                <w:szCs w:val="17"/>
              </w:rPr>
              <w:t>Partnership One Family, Inc. Project Bread Project Hope Project Place</w:t>
            </w:r>
          </w:p>
          <w:p w:rsidR="002C5025" w:rsidRDefault="002C5025">
            <w:pPr>
              <w:pStyle w:val="TableParagraph"/>
              <w:kinsoku w:val="0"/>
              <w:overflowPunct w:val="0"/>
              <w:ind w:left="488" w:right="358" w:hanging="217"/>
              <w:rPr>
                <w:rFonts w:ascii="Times New Roman" w:hAnsi="Times New Roman" w:cs="Times New Roman"/>
                <w:sz w:val="17"/>
                <w:szCs w:val="17"/>
              </w:rPr>
            </w:pPr>
            <w:r>
              <w:rPr>
                <w:rFonts w:ascii="Times New Roman" w:hAnsi="Times New Roman" w:cs="Times New Roman"/>
                <w:sz w:val="17"/>
                <w:szCs w:val="17"/>
              </w:rPr>
              <w:t>Regional Housing Network of Massachusetts</w:t>
            </w:r>
          </w:p>
          <w:p w:rsidR="002C5025" w:rsidRDefault="002C5025">
            <w:pPr>
              <w:pStyle w:val="TableParagraph"/>
              <w:kinsoku w:val="0"/>
              <w:overflowPunct w:val="0"/>
              <w:spacing w:before="1"/>
              <w:ind w:left="272" w:right="277"/>
              <w:rPr>
                <w:rFonts w:ascii="Times New Roman" w:hAnsi="Times New Roman" w:cs="Times New Roman"/>
                <w:sz w:val="17"/>
                <w:szCs w:val="17"/>
              </w:rPr>
            </w:pPr>
            <w:r>
              <w:rPr>
                <w:rFonts w:ascii="Times New Roman" w:hAnsi="Times New Roman" w:cs="Times New Roman"/>
                <w:sz w:val="17"/>
                <w:szCs w:val="17"/>
              </w:rPr>
              <w:t>Somerville Homeless Coalition Square One</w:t>
            </w:r>
          </w:p>
          <w:p w:rsidR="002C5025" w:rsidRDefault="002C5025">
            <w:pPr>
              <w:pStyle w:val="TableParagraph"/>
              <w:kinsoku w:val="0"/>
              <w:overflowPunct w:val="0"/>
              <w:spacing w:before="1"/>
              <w:ind w:left="272" w:right="773"/>
              <w:rPr>
                <w:rFonts w:ascii="Times New Roman" w:hAnsi="Times New Roman" w:cs="Times New Roman"/>
                <w:sz w:val="17"/>
                <w:szCs w:val="17"/>
              </w:rPr>
            </w:pPr>
            <w:r>
              <w:rPr>
                <w:rFonts w:ascii="Times New Roman" w:hAnsi="Times New Roman" w:cs="Times New Roman"/>
                <w:sz w:val="17"/>
                <w:szCs w:val="17"/>
              </w:rPr>
              <w:t xml:space="preserve">Thrive In Five Initiative </w:t>
            </w:r>
            <w:proofErr w:type="spellStart"/>
            <w:r>
              <w:rPr>
                <w:rFonts w:ascii="Times New Roman" w:hAnsi="Times New Roman" w:cs="Times New Roman"/>
                <w:sz w:val="17"/>
                <w:szCs w:val="17"/>
              </w:rPr>
              <w:t>Tzedek</w:t>
            </w:r>
            <w:proofErr w:type="spellEnd"/>
            <w:r>
              <w:rPr>
                <w:rFonts w:ascii="Times New Roman" w:hAnsi="Times New Roman" w:cs="Times New Roman"/>
                <w:sz w:val="17"/>
                <w:szCs w:val="17"/>
              </w:rPr>
              <w:t xml:space="preserve"> Reflection</w:t>
            </w:r>
          </w:p>
          <w:p w:rsidR="002C5025" w:rsidRDefault="002C5025">
            <w:pPr>
              <w:pStyle w:val="TableParagraph"/>
              <w:kinsoku w:val="0"/>
              <w:overflowPunct w:val="0"/>
              <w:spacing w:before="1"/>
              <w:ind w:left="486" w:right="183" w:hanging="214"/>
              <w:rPr>
                <w:rFonts w:ascii="Times New Roman" w:hAnsi="Times New Roman" w:cs="Times New Roman"/>
                <w:sz w:val="17"/>
                <w:szCs w:val="17"/>
              </w:rPr>
            </w:pPr>
            <w:r>
              <w:rPr>
                <w:rFonts w:ascii="Times New Roman" w:hAnsi="Times New Roman" w:cs="Times New Roman"/>
                <w:sz w:val="17"/>
                <w:szCs w:val="17"/>
              </w:rPr>
              <w:t>Western Massachusetts Network to End Homelessness</w:t>
            </w:r>
          </w:p>
          <w:p w:rsidR="002C5025" w:rsidRDefault="002C5025">
            <w:pPr>
              <w:pStyle w:val="TableParagraph"/>
              <w:kinsoku w:val="0"/>
              <w:overflowPunct w:val="0"/>
              <w:spacing w:before="1"/>
              <w:ind w:left="272"/>
              <w:rPr>
                <w:rFonts w:ascii="Times New Roman" w:hAnsi="Times New Roman" w:cs="Times New Roman"/>
              </w:rPr>
            </w:pPr>
            <w:r>
              <w:rPr>
                <w:rFonts w:ascii="Times New Roman" w:hAnsi="Times New Roman" w:cs="Times New Roman"/>
                <w:sz w:val="17"/>
                <w:szCs w:val="17"/>
              </w:rPr>
              <w:t>Worcester Area Mission Society</w:t>
            </w:r>
          </w:p>
        </w:tc>
      </w:tr>
      <w:tr w:rsidR="002C5025">
        <w:trPr>
          <w:trHeight w:hRule="exact" w:val="430"/>
        </w:trPr>
        <w:tc>
          <w:tcPr>
            <w:tcW w:w="3108" w:type="dxa"/>
            <w:tcBorders>
              <w:top w:val="nil"/>
              <w:left w:val="nil"/>
              <w:bottom w:val="nil"/>
              <w:right w:val="nil"/>
            </w:tcBorders>
          </w:tcPr>
          <w:p w:rsidR="002C5025" w:rsidRDefault="002C5025">
            <w:pPr>
              <w:pStyle w:val="TableParagraph"/>
              <w:kinsoku w:val="0"/>
              <w:overflowPunct w:val="0"/>
              <w:spacing w:before="126"/>
              <w:ind w:left="179" w:right="119"/>
              <w:jc w:val="center"/>
              <w:rPr>
                <w:rFonts w:ascii="Times New Roman" w:hAnsi="Times New Roman" w:cs="Times New Roman"/>
              </w:rPr>
            </w:pPr>
            <w:r>
              <w:rPr>
                <w:rFonts w:ascii="Times New Roman" w:hAnsi="Times New Roman" w:cs="Times New Roman"/>
                <w:b/>
                <w:bCs/>
              </w:rPr>
              <w:t>RESEARCH PARTNERS:</w:t>
            </w:r>
          </w:p>
        </w:tc>
        <w:tc>
          <w:tcPr>
            <w:tcW w:w="3038" w:type="dxa"/>
            <w:tcBorders>
              <w:top w:val="nil"/>
              <w:left w:val="nil"/>
              <w:bottom w:val="nil"/>
              <w:right w:val="nil"/>
            </w:tcBorders>
          </w:tcPr>
          <w:p w:rsidR="002C5025" w:rsidRDefault="002C5025"/>
        </w:tc>
        <w:tc>
          <w:tcPr>
            <w:tcW w:w="2704" w:type="dxa"/>
            <w:tcBorders>
              <w:top w:val="nil"/>
              <w:left w:val="nil"/>
              <w:bottom w:val="nil"/>
              <w:right w:val="nil"/>
            </w:tcBorders>
          </w:tcPr>
          <w:p w:rsidR="002C5025" w:rsidRDefault="002C5025"/>
        </w:tc>
      </w:tr>
      <w:tr w:rsidR="002C5025">
        <w:trPr>
          <w:trHeight w:hRule="exact" w:val="236"/>
        </w:trPr>
        <w:tc>
          <w:tcPr>
            <w:tcW w:w="3108" w:type="dxa"/>
            <w:tcBorders>
              <w:top w:val="nil"/>
              <w:left w:val="nil"/>
              <w:bottom w:val="nil"/>
              <w:right w:val="nil"/>
            </w:tcBorders>
          </w:tcPr>
          <w:p w:rsidR="002C5025" w:rsidRDefault="002C5025">
            <w:pPr>
              <w:pStyle w:val="TableParagraph"/>
              <w:kinsoku w:val="0"/>
              <w:overflowPunct w:val="0"/>
              <w:spacing w:before="11"/>
              <w:ind w:left="141" w:right="120"/>
              <w:jc w:val="center"/>
              <w:rPr>
                <w:rFonts w:ascii="Times New Roman" w:hAnsi="Times New Roman" w:cs="Times New Roman"/>
              </w:rPr>
            </w:pPr>
            <w:r>
              <w:rPr>
                <w:rFonts w:ascii="Times New Roman" w:hAnsi="Times New Roman" w:cs="Times New Roman"/>
                <w:sz w:val="17"/>
                <w:szCs w:val="17"/>
              </w:rPr>
              <w:t>Center for Social Policy, UMass Boston</w:t>
            </w:r>
          </w:p>
        </w:tc>
        <w:tc>
          <w:tcPr>
            <w:tcW w:w="3038" w:type="dxa"/>
            <w:tcBorders>
              <w:top w:val="nil"/>
              <w:left w:val="nil"/>
              <w:bottom w:val="nil"/>
              <w:right w:val="nil"/>
            </w:tcBorders>
          </w:tcPr>
          <w:p w:rsidR="002C5025" w:rsidRDefault="002C5025">
            <w:pPr>
              <w:pStyle w:val="TableParagraph"/>
              <w:kinsoku w:val="0"/>
              <w:overflowPunct w:val="0"/>
              <w:spacing w:before="11"/>
              <w:ind w:left="478" w:right="257"/>
              <w:rPr>
                <w:rFonts w:ascii="Times New Roman" w:hAnsi="Times New Roman" w:cs="Times New Roman"/>
              </w:rPr>
            </w:pPr>
            <w:r>
              <w:rPr>
                <w:rFonts w:ascii="Times New Roman" w:hAnsi="Times New Roman" w:cs="Times New Roman"/>
                <w:sz w:val="17"/>
                <w:szCs w:val="17"/>
              </w:rPr>
              <w:t>Collins Center, UMass Boston</w:t>
            </w:r>
          </w:p>
        </w:tc>
        <w:tc>
          <w:tcPr>
            <w:tcW w:w="2704" w:type="dxa"/>
            <w:tcBorders>
              <w:top w:val="nil"/>
              <w:left w:val="nil"/>
              <w:bottom w:val="nil"/>
              <w:right w:val="nil"/>
            </w:tcBorders>
          </w:tcPr>
          <w:p w:rsidR="002C5025" w:rsidRDefault="002C5025"/>
        </w:tc>
      </w:tr>
      <w:tr w:rsidR="002C5025">
        <w:trPr>
          <w:trHeight w:hRule="exact" w:val="203"/>
        </w:trPr>
        <w:tc>
          <w:tcPr>
            <w:tcW w:w="3108" w:type="dxa"/>
            <w:tcBorders>
              <w:top w:val="nil"/>
              <w:left w:val="nil"/>
              <w:bottom w:val="nil"/>
              <w:right w:val="nil"/>
            </w:tcBorders>
          </w:tcPr>
          <w:p w:rsidR="002C5025" w:rsidRDefault="002C5025">
            <w:pPr>
              <w:pStyle w:val="TableParagraph"/>
              <w:kinsoku w:val="0"/>
              <w:overflowPunct w:val="0"/>
              <w:spacing w:before="11"/>
              <w:ind w:left="77" w:right="120"/>
              <w:jc w:val="center"/>
              <w:rPr>
                <w:rFonts w:ascii="Times New Roman" w:hAnsi="Times New Roman" w:cs="Times New Roman"/>
              </w:rPr>
            </w:pPr>
            <w:r>
              <w:rPr>
                <w:rFonts w:ascii="Times New Roman" w:hAnsi="Times New Roman" w:cs="Times New Roman"/>
                <w:sz w:val="17"/>
                <w:szCs w:val="17"/>
              </w:rPr>
              <w:t>Massachusetts Budget &amp; Policy Center</w:t>
            </w:r>
          </w:p>
        </w:tc>
        <w:tc>
          <w:tcPr>
            <w:tcW w:w="3038" w:type="dxa"/>
            <w:tcBorders>
              <w:top w:val="nil"/>
              <w:left w:val="nil"/>
              <w:bottom w:val="nil"/>
              <w:right w:val="nil"/>
            </w:tcBorders>
          </w:tcPr>
          <w:p w:rsidR="002C5025" w:rsidRDefault="002C5025"/>
        </w:tc>
        <w:tc>
          <w:tcPr>
            <w:tcW w:w="2704" w:type="dxa"/>
            <w:tcBorders>
              <w:top w:val="nil"/>
              <w:left w:val="nil"/>
              <w:bottom w:val="nil"/>
              <w:right w:val="nil"/>
            </w:tcBorders>
          </w:tcPr>
          <w:p w:rsidR="002C5025" w:rsidRDefault="002C5025"/>
        </w:tc>
      </w:tr>
    </w:tbl>
    <w:p w:rsidR="002C5025" w:rsidRDefault="002C5025">
      <w:pPr>
        <w:pStyle w:val="BodyText"/>
        <w:kinsoku w:val="0"/>
        <w:overflowPunct w:val="0"/>
        <w:rPr>
          <w:rFonts w:ascii="Times New Roman" w:hAnsi="Times New Roman" w:cs="Times New Roman"/>
          <w:b/>
          <w:bCs/>
          <w:sz w:val="20"/>
          <w:szCs w:val="20"/>
        </w:rPr>
      </w:pPr>
    </w:p>
    <w:p w:rsidR="002C5025" w:rsidRDefault="002C5025">
      <w:pPr>
        <w:pStyle w:val="BodyText"/>
        <w:kinsoku w:val="0"/>
        <w:overflowPunct w:val="0"/>
        <w:rPr>
          <w:rFonts w:ascii="Times New Roman" w:hAnsi="Times New Roman" w:cs="Times New Roman"/>
          <w:b/>
          <w:bCs/>
          <w:sz w:val="20"/>
          <w:szCs w:val="20"/>
        </w:rPr>
      </w:pPr>
    </w:p>
    <w:p w:rsidR="002C5025" w:rsidRDefault="002C5025">
      <w:pPr>
        <w:pStyle w:val="BodyText"/>
        <w:kinsoku w:val="0"/>
        <w:overflowPunct w:val="0"/>
        <w:rPr>
          <w:rFonts w:ascii="Times New Roman" w:hAnsi="Times New Roman" w:cs="Times New Roman"/>
          <w:b/>
          <w:bCs/>
          <w:sz w:val="20"/>
          <w:szCs w:val="20"/>
        </w:rPr>
      </w:pPr>
    </w:p>
    <w:p w:rsidR="002C5025" w:rsidRDefault="002C5025">
      <w:pPr>
        <w:pStyle w:val="BodyText"/>
        <w:kinsoku w:val="0"/>
        <w:overflowPunct w:val="0"/>
        <w:rPr>
          <w:rFonts w:ascii="Times New Roman" w:hAnsi="Times New Roman" w:cs="Times New Roman"/>
          <w:b/>
          <w:bCs/>
          <w:sz w:val="20"/>
          <w:szCs w:val="20"/>
        </w:rPr>
      </w:pPr>
    </w:p>
    <w:p w:rsidR="002C5025" w:rsidRDefault="002C5025">
      <w:pPr>
        <w:pStyle w:val="BodyText"/>
        <w:kinsoku w:val="0"/>
        <w:overflowPunct w:val="0"/>
        <w:rPr>
          <w:rFonts w:ascii="Times New Roman" w:hAnsi="Times New Roman" w:cs="Times New Roman"/>
          <w:b/>
          <w:bCs/>
          <w:sz w:val="20"/>
          <w:szCs w:val="20"/>
        </w:rPr>
      </w:pPr>
    </w:p>
    <w:p w:rsidR="002C5025" w:rsidRDefault="002C5025">
      <w:pPr>
        <w:pStyle w:val="BodyText"/>
        <w:kinsoku w:val="0"/>
        <w:overflowPunct w:val="0"/>
        <w:rPr>
          <w:rFonts w:ascii="Times New Roman" w:hAnsi="Times New Roman" w:cs="Times New Roman"/>
          <w:b/>
          <w:bCs/>
          <w:sz w:val="20"/>
          <w:szCs w:val="20"/>
        </w:rPr>
      </w:pPr>
    </w:p>
    <w:p w:rsidR="002C5025" w:rsidRDefault="002C5025">
      <w:pPr>
        <w:pStyle w:val="BodyText"/>
        <w:kinsoku w:val="0"/>
        <w:overflowPunct w:val="0"/>
        <w:spacing w:before="4"/>
        <w:rPr>
          <w:rFonts w:ascii="Times New Roman" w:hAnsi="Times New Roman" w:cs="Times New Roman"/>
          <w:b/>
          <w:bCs/>
          <w:sz w:val="16"/>
          <w:szCs w:val="16"/>
        </w:rPr>
      </w:pPr>
    </w:p>
    <w:p w:rsidR="002C5025" w:rsidRDefault="002C5025">
      <w:pPr>
        <w:pStyle w:val="BodyText"/>
        <w:kinsoku w:val="0"/>
        <w:overflowPunct w:val="0"/>
        <w:spacing w:before="56"/>
        <w:ind w:left="300" w:right="269"/>
      </w:pPr>
      <w:r>
        <w:t>Andre Green</w:t>
      </w:r>
    </w:p>
    <w:p w:rsidR="002C5025" w:rsidRDefault="002C5025">
      <w:pPr>
        <w:pStyle w:val="BodyText"/>
        <w:kinsoku w:val="0"/>
        <w:overflowPunct w:val="0"/>
        <w:ind w:left="299" w:right="6743"/>
      </w:pPr>
      <w:r>
        <w:t>On Solid Ground Coalition 617.201.9512</w:t>
      </w:r>
    </w:p>
    <w:p w:rsidR="002C5025" w:rsidRDefault="002C5025">
      <w:pPr>
        <w:pStyle w:val="BodyText"/>
        <w:kinsoku w:val="0"/>
        <w:overflowPunct w:val="0"/>
        <w:ind w:left="299" w:right="6743"/>
        <w:sectPr w:rsidR="002C5025">
          <w:pgSz w:w="12240" w:h="15840"/>
          <w:pgMar w:top="1400" w:right="1720" w:bottom="280" w:left="1140" w:header="720" w:footer="720" w:gutter="0"/>
          <w:cols w:space="720" w:equalWidth="0">
            <w:col w:w="9380"/>
          </w:cols>
          <w:noEndnote/>
        </w:sectPr>
      </w:pPr>
    </w:p>
    <w:p w:rsidR="002C5025" w:rsidRDefault="00FB027C">
      <w:pPr>
        <w:pStyle w:val="BodyText"/>
        <w:kinsoku w:val="0"/>
        <w:overflowPunct w:val="0"/>
        <w:ind w:left="7836"/>
        <w:rPr>
          <w:sz w:val="20"/>
          <w:szCs w:val="20"/>
        </w:rPr>
      </w:pPr>
      <w:r>
        <w:rPr>
          <w:noProof/>
          <w:sz w:val="20"/>
          <w:szCs w:val="20"/>
        </w:rPr>
        <w:lastRenderedPageBreak/>
        <w:drawing>
          <wp:inline distT="0" distB="0" distL="0" distR="0">
            <wp:extent cx="1495425" cy="1009650"/>
            <wp:effectExtent l="0" t="0" r="9525"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539">
                      <a:extLst>
                        <a:ext uri="{28A0092B-C50C-407E-A947-70E740481C1C}">
                          <a14:useLocalDpi xmlns:a14="http://schemas.microsoft.com/office/drawing/2010/main" val="0"/>
                        </a:ext>
                      </a:extLst>
                    </a:blip>
                    <a:srcRect/>
                    <a:stretch>
                      <a:fillRect/>
                    </a:stretch>
                  </pic:blipFill>
                  <pic:spPr bwMode="auto">
                    <a:xfrm>
                      <a:off x="0" y="0"/>
                      <a:ext cx="1495425" cy="1009650"/>
                    </a:xfrm>
                    <a:prstGeom prst="rect">
                      <a:avLst/>
                    </a:prstGeom>
                    <a:noFill/>
                    <a:ln>
                      <a:noFill/>
                    </a:ln>
                  </pic:spPr>
                </pic:pic>
              </a:graphicData>
            </a:graphic>
          </wp:inline>
        </w:drawing>
      </w:r>
    </w:p>
    <w:p w:rsidR="002C5025" w:rsidRDefault="00FB027C">
      <w:pPr>
        <w:pStyle w:val="BodyText"/>
        <w:kinsoku w:val="0"/>
        <w:overflowPunct w:val="0"/>
        <w:spacing w:before="9"/>
        <w:rPr>
          <w:sz w:val="8"/>
          <w:szCs w:val="8"/>
        </w:rPr>
      </w:pPr>
      <w:r>
        <w:rPr>
          <w:noProof/>
        </w:rPr>
        <mc:AlternateContent>
          <mc:Choice Requires="wps">
            <w:drawing>
              <wp:anchor distT="0" distB="0" distL="0" distR="0" simplePos="0" relativeHeight="251791872" behindDoc="0" locked="0" layoutInCell="0" allowOverlap="1">
                <wp:simplePos x="0" y="0"/>
                <wp:positionH relativeFrom="page">
                  <wp:posOffset>685800</wp:posOffset>
                </wp:positionH>
                <wp:positionV relativeFrom="paragraph">
                  <wp:posOffset>92710</wp:posOffset>
                </wp:positionV>
                <wp:extent cx="6397625" cy="61595"/>
                <wp:effectExtent l="0" t="0" r="0" b="0"/>
                <wp:wrapTopAndBottom/>
                <wp:docPr id="99" name="Freeform 7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7625" cy="61595"/>
                        </a:xfrm>
                        <a:custGeom>
                          <a:avLst/>
                          <a:gdLst>
                            <a:gd name="T0" fmla="*/ 0 w 10075"/>
                            <a:gd name="T1" fmla="*/ 97 h 97"/>
                            <a:gd name="T2" fmla="*/ 10075 w 10075"/>
                            <a:gd name="T3" fmla="*/ 97 h 97"/>
                            <a:gd name="T4" fmla="*/ 10075 w 10075"/>
                            <a:gd name="T5" fmla="*/ 0 h 97"/>
                            <a:gd name="T6" fmla="*/ 0 w 10075"/>
                            <a:gd name="T7" fmla="*/ 0 h 97"/>
                            <a:gd name="T8" fmla="*/ 0 w 10075"/>
                            <a:gd name="T9" fmla="*/ 97 h 97"/>
                          </a:gdLst>
                          <a:ahLst/>
                          <a:cxnLst>
                            <a:cxn ang="0">
                              <a:pos x="T0" y="T1"/>
                            </a:cxn>
                            <a:cxn ang="0">
                              <a:pos x="T2" y="T3"/>
                            </a:cxn>
                            <a:cxn ang="0">
                              <a:pos x="T4" y="T5"/>
                            </a:cxn>
                            <a:cxn ang="0">
                              <a:pos x="T6" y="T7"/>
                            </a:cxn>
                            <a:cxn ang="0">
                              <a:pos x="T8" y="T9"/>
                            </a:cxn>
                          </a:cxnLst>
                          <a:rect l="0" t="0" r="r" b="b"/>
                          <a:pathLst>
                            <a:path w="10075" h="97">
                              <a:moveTo>
                                <a:pt x="0" y="97"/>
                              </a:moveTo>
                              <a:lnTo>
                                <a:pt x="10075" y="97"/>
                              </a:lnTo>
                              <a:lnTo>
                                <a:pt x="10075" y="0"/>
                              </a:lnTo>
                              <a:lnTo>
                                <a:pt x="0" y="0"/>
                              </a:lnTo>
                              <a:lnTo>
                                <a:pt x="0" y="97"/>
                              </a:lnTo>
                              <a:close/>
                            </a:path>
                          </a:pathLst>
                        </a:custGeom>
                        <a:solidFill>
                          <a:srgbClr val="ED5A0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84" o:spid="_x0000_s1026" style="position:absolute;margin-left:54pt;margin-top:7.3pt;width:503.75pt;height:4.85pt;z-index:251791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" o:allowincell="f" path="m,97r10075,l10075,,,,,97xe" fillcolor="#ed5a08" stroked="f">
                <v:path arrowok="t" o:connecttype="custom" o:connectlocs="0,61595;6397625,61595;6397625,0;0,0;0,61595" o:connectangles="0,0,0,0,0"/>
                <w10:wrap type="topAndBottom" anchorx="page"/>
              </v:shape>
            </w:pict>
          </mc:Fallback>
        </mc:AlternateContent>
      </w:r>
    </w:p>
    <w:p w:rsidR="002C5025" w:rsidRDefault="002C5025">
      <w:pPr>
        <w:pStyle w:val="BodyText"/>
        <w:kinsoku w:val="0"/>
        <w:overflowPunct w:val="0"/>
        <w:rPr>
          <w:sz w:val="24"/>
          <w:szCs w:val="24"/>
        </w:rPr>
      </w:pPr>
    </w:p>
    <w:p w:rsidR="002C5025" w:rsidRDefault="002C5025">
      <w:pPr>
        <w:pStyle w:val="BodyText"/>
        <w:kinsoku w:val="0"/>
        <w:overflowPunct w:val="0"/>
        <w:spacing w:before="77"/>
        <w:ind w:left="460" w:right="5318"/>
        <w:rPr>
          <w:rFonts w:ascii="Garamond" w:hAnsi="Garamond" w:cs="Garamond"/>
          <w:sz w:val="24"/>
          <w:szCs w:val="24"/>
        </w:rPr>
      </w:pPr>
      <w:bookmarkStart w:id="240" w:name="OHIP_ACO_comments_FINAL_DRAFT"/>
      <w:bookmarkEnd w:id="240"/>
      <w:r>
        <w:rPr>
          <w:rFonts w:ascii="Garamond" w:hAnsi="Garamond" w:cs="Garamond"/>
          <w:sz w:val="24"/>
          <w:szCs w:val="24"/>
        </w:rPr>
        <w:t>July 15th, 2016</w:t>
      </w:r>
    </w:p>
    <w:p w:rsidR="002C5025" w:rsidRDefault="002C5025">
      <w:pPr>
        <w:pStyle w:val="BodyText"/>
        <w:kinsoku w:val="0"/>
        <w:overflowPunct w:val="0"/>
        <w:spacing w:before="2"/>
        <w:rPr>
          <w:rFonts w:ascii="Garamond" w:hAnsi="Garamond" w:cs="Garamond"/>
          <w:sz w:val="31"/>
          <w:szCs w:val="31"/>
        </w:rPr>
      </w:pPr>
    </w:p>
    <w:p w:rsidR="002C5025" w:rsidRDefault="002C5025">
      <w:pPr>
        <w:pStyle w:val="BodyText"/>
        <w:kinsoku w:val="0"/>
        <w:overflowPunct w:val="0"/>
        <w:spacing w:before="1"/>
        <w:ind w:left="460" w:right="5318"/>
        <w:rPr>
          <w:rFonts w:ascii="Garamond" w:hAnsi="Garamond" w:cs="Garamond"/>
          <w:sz w:val="24"/>
          <w:szCs w:val="24"/>
        </w:rPr>
      </w:pPr>
      <w:r>
        <w:rPr>
          <w:rFonts w:ascii="Garamond" w:hAnsi="Garamond" w:cs="Garamond"/>
          <w:sz w:val="24"/>
          <w:szCs w:val="24"/>
        </w:rPr>
        <w:t>Daniel Tsai</w:t>
      </w:r>
    </w:p>
    <w:p w:rsidR="002C5025" w:rsidRDefault="002C5025">
      <w:pPr>
        <w:pStyle w:val="BodyText"/>
        <w:kinsoku w:val="0"/>
        <w:overflowPunct w:val="0"/>
        <w:spacing w:before="39"/>
        <w:ind w:left="460" w:right="5318"/>
        <w:rPr>
          <w:rFonts w:ascii="Garamond" w:hAnsi="Garamond" w:cs="Garamond"/>
          <w:sz w:val="24"/>
          <w:szCs w:val="24"/>
        </w:rPr>
      </w:pPr>
      <w:r>
        <w:rPr>
          <w:rFonts w:ascii="Garamond" w:hAnsi="Garamond" w:cs="Garamond"/>
          <w:sz w:val="24"/>
          <w:szCs w:val="24"/>
        </w:rPr>
        <w:t>Assistant Secretary for MassHealth</w:t>
      </w:r>
    </w:p>
    <w:p w:rsidR="002C5025" w:rsidRDefault="002C5025">
      <w:pPr>
        <w:pStyle w:val="BodyText"/>
        <w:kinsoku w:val="0"/>
        <w:overflowPunct w:val="0"/>
        <w:spacing w:before="39" w:line="264" w:lineRule="auto"/>
        <w:ind w:left="460" w:right="5318"/>
        <w:rPr>
          <w:rFonts w:ascii="Garamond" w:hAnsi="Garamond" w:cs="Garamond"/>
          <w:sz w:val="24"/>
          <w:szCs w:val="24"/>
        </w:rPr>
      </w:pPr>
      <w:r>
        <w:rPr>
          <w:rFonts w:ascii="Garamond" w:hAnsi="Garamond" w:cs="Garamond"/>
          <w:sz w:val="24"/>
          <w:szCs w:val="24"/>
        </w:rPr>
        <w:t>Executive Office of Health and Human Services One Ashburton Place, 11</w:t>
      </w:r>
      <w:proofErr w:type="spellStart"/>
      <w:r>
        <w:rPr>
          <w:rFonts w:ascii="Garamond" w:hAnsi="Garamond" w:cs="Garamond"/>
          <w:position w:val="10"/>
          <w:sz w:val="14"/>
          <w:szCs w:val="14"/>
        </w:rPr>
        <w:t>th</w:t>
      </w:r>
      <w:proofErr w:type="spellEnd"/>
      <w:r>
        <w:rPr>
          <w:rFonts w:ascii="Garamond" w:hAnsi="Garamond" w:cs="Garamond"/>
          <w:position w:val="10"/>
          <w:sz w:val="14"/>
          <w:szCs w:val="14"/>
        </w:rPr>
        <w:t xml:space="preserve"> </w:t>
      </w:r>
      <w:r>
        <w:rPr>
          <w:rFonts w:ascii="Garamond" w:hAnsi="Garamond" w:cs="Garamond"/>
          <w:sz w:val="24"/>
          <w:szCs w:val="24"/>
        </w:rPr>
        <w:t>Floor</w:t>
      </w:r>
    </w:p>
    <w:p w:rsidR="002C5025" w:rsidRDefault="002C5025">
      <w:pPr>
        <w:pStyle w:val="BodyText"/>
        <w:kinsoku w:val="0"/>
        <w:overflowPunct w:val="0"/>
        <w:spacing w:before="9"/>
        <w:ind w:left="460" w:right="5318"/>
        <w:rPr>
          <w:rFonts w:ascii="Garamond" w:hAnsi="Garamond" w:cs="Garamond"/>
          <w:sz w:val="24"/>
          <w:szCs w:val="24"/>
        </w:rPr>
      </w:pPr>
      <w:r>
        <w:rPr>
          <w:rFonts w:ascii="Garamond" w:hAnsi="Garamond" w:cs="Garamond"/>
          <w:sz w:val="24"/>
          <w:szCs w:val="24"/>
        </w:rPr>
        <w:t>Boston, MA 02108</w:t>
      </w:r>
    </w:p>
    <w:p w:rsidR="002C5025" w:rsidRDefault="002C5025">
      <w:pPr>
        <w:pStyle w:val="BodyText"/>
        <w:kinsoku w:val="0"/>
        <w:overflowPunct w:val="0"/>
        <w:spacing w:before="2"/>
        <w:rPr>
          <w:rFonts w:ascii="Garamond" w:hAnsi="Garamond" w:cs="Garamond"/>
          <w:sz w:val="31"/>
          <w:szCs w:val="31"/>
        </w:rPr>
      </w:pPr>
    </w:p>
    <w:p w:rsidR="002C5025" w:rsidRDefault="002C5025">
      <w:pPr>
        <w:pStyle w:val="BodyText"/>
        <w:kinsoku w:val="0"/>
        <w:overflowPunct w:val="0"/>
        <w:spacing w:before="1" w:line="552" w:lineRule="auto"/>
        <w:ind w:left="460" w:right="2268"/>
        <w:rPr>
          <w:rFonts w:ascii="Garamond" w:hAnsi="Garamond" w:cs="Garamond"/>
          <w:sz w:val="24"/>
          <w:szCs w:val="24"/>
        </w:rPr>
      </w:pPr>
      <w:r>
        <w:rPr>
          <w:rFonts w:ascii="Garamond" w:hAnsi="Garamond" w:cs="Garamond"/>
          <w:sz w:val="24"/>
          <w:szCs w:val="24"/>
        </w:rPr>
        <w:t>RE:</w:t>
      </w:r>
      <w:r>
        <w:rPr>
          <w:rFonts w:ascii="Garamond" w:hAnsi="Garamond" w:cs="Garamond"/>
          <w:spacing w:val="-16"/>
          <w:sz w:val="24"/>
          <w:szCs w:val="24"/>
        </w:rPr>
        <w:t xml:space="preserve"> </w:t>
      </w:r>
      <w:r>
        <w:rPr>
          <w:rFonts w:ascii="Garamond" w:hAnsi="Garamond" w:cs="Garamond"/>
          <w:sz w:val="24"/>
          <w:szCs w:val="24"/>
        </w:rPr>
        <w:t>Section</w:t>
      </w:r>
      <w:r>
        <w:rPr>
          <w:rFonts w:ascii="Garamond" w:hAnsi="Garamond" w:cs="Garamond"/>
          <w:spacing w:val="-17"/>
          <w:sz w:val="24"/>
          <w:szCs w:val="24"/>
        </w:rPr>
        <w:t xml:space="preserve"> </w:t>
      </w:r>
      <w:r>
        <w:rPr>
          <w:rFonts w:ascii="Garamond" w:hAnsi="Garamond" w:cs="Garamond"/>
          <w:sz w:val="24"/>
          <w:szCs w:val="24"/>
        </w:rPr>
        <w:t>1115</w:t>
      </w:r>
      <w:r>
        <w:rPr>
          <w:rFonts w:ascii="Garamond" w:hAnsi="Garamond" w:cs="Garamond"/>
          <w:spacing w:val="-12"/>
          <w:sz w:val="24"/>
          <w:szCs w:val="24"/>
        </w:rPr>
        <w:t xml:space="preserve"> </w:t>
      </w:r>
      <w:r>
        <w:rPr>
          <w:rFonts w:ascii="Garamond" w:hAnsi="Garamond" w:cs="Garamond"/>
          <w:sz w:val="24"/>
          <w:szCs w:val="24"/>
        </w:rPr>
        <w:t>Demonstration</w:t>
      </w:r>
      <w:r>
        <w:rPr>
          <w:rFonts w:ascii="Garamond" w:hAnsi="Garamond" w:cs="Garamond"/>
          <w:spacing w:val="-17"/>
          <w:sz w:val="24"/>
          <w:szCs w:val="24"/>
        </w:rPr>
        <w:t xml:space="preserve"> </w:t>
      </w:r>
      <w:r>
        <w:rPr>
          <w:rFonts w:ascii="Garamond" w:hAnsi="Garamond" w:cs="Garamond"/>
          <w:sz w:val="24"/>
          <w:szCs w:val="24"/>
        </w:rPr>
        <w:t>Project</w:t>
      </w:r>
      <w:r>
        <w:rPr>
          <w:rFonts w:ascii="Garamond" w:hAnsi="Garamond" w:cs="Garamond"/>
          <w:spacing w:val="-17"/>
          <w:sz w:val="24"/>
          <w:szCs w:val="24"/>
        </w:rPr>
        <w:t xml:space="preserve"> </w:t>
      </w:r>
      <w:r>
        <w:rPr>
          <w:rFonts w:ascii="Garamond" w:hAnsi="Garamond" w:cs="Garamond"/>
          <w:sz w:val="24"/>
          <w:szCs w:val="24"/>
        </w:rPr>
        <w:t>Amendment</w:t>
      </w:r>
      <w:r>
        <w:rPr>
          <w:rFonts w:ascii="Garamond" w:hAnsi="Garamond" w:cs="Garamond"/>
          <w:spacing w:val="-15"/>
          <w:sz w:val="24"/>
          <w:szCs w:val="24"/>
        </w:rPr>
        <w:t xml:space="preserve"> </w:t>
      </w:r>
      <w:r>
        <w:rPr>
          <w:rFonts w:ascii="Garamond" w:hAnsi="Garamond" w:cs="Garamond"/>
          <w:sz w:val="24"/>
          <w:szCs w:val="24"/>
        </w:rPr>
        <w:t>and</w:t>
      </w:r>
      <w:r>
        <w:rPr>
          <w:rFonts w:ascii="Garamond" w:hAnsi="Garamond" w:cs="Garamond"/>
          <w:spacing w:val="-17"/>
          <w:sz w:val="24"/>
          <w:szCs w:val="24"/>
        </w:rPr>
        <w:t xml:space="preserve"> </w:t>
      </w:r>
      <w:r>
        <w:rPr>
          <w:rFonts w:ascii="Garamond" w:hAnsi="Garamond" w:cs="Garamond"/>
          <w:sz w:val="24"/>
          <w:szCs w:val="24"/>
        </w:rPr>
        <w:t>Extension</w:t>
      </w:r>
      <w:r>
        <w:rPr>
          <w:rFonts w:ascii="Garamond" w:hAnsi="Garamond" w:cs="Garamond"/>
          <w:spacing w:val="-14"/>
          <w:sz w:val="24"/>
          <w:szCs w:val="24"/>
        </w:rPr>
        <w:t xml:space="preserve"> </w:t>
      </w:r>
      <w:r>
        <w:rPr>
          <w:rFonts w:ascii="Garamond" w:hAnsi="Garamond" w:cs="Garamond"/>
          <w:sz w:val="24"/>
          <w:szCs w:val="24"/>
        </w:rPr>
        <w:t>Request Dear</w:t>
      </w:r>
      <w:r>
        <w:rPr>
          <w:rFonts w:ascii="Garamond" w:hAnsi="Garamond" w:cs="Garamond"/>
          <w:spacing w:val="-23"/>
          <w:sz w:val="24"/>
          <w:szCs w:val="24"/>
        </w:rPr>
        <w:t xml:space="preserve"> </w:t>
      </w:r>
      <w:r>
        <w:rPr>
          <w:rFonts w:ascii="Garamond" w:hAnsi="Garamond" w:cs="Garamond"/>
          <w:sz w:val="24"/>
          <w:szCs w:val="24"/>
        </w:rPr>
        <w:t>Assistant</w:t>
      </w:r>
      <w:r>
        <w:rPr>
          <w:rFonts w:ascii="Garamond" w:hAnsi="Garamond" w:cs="Garamond"/>
          <w:spacing w:val="-22"/>
          <w:sz w:val="24"/>
          <w:szCs w:val="24"/>
        </w:rPr>
        <w:t xml:space="preserve"> </w:t>
      </w:r>
      <w:r>
        <w:rPr>
          <w:rFonts w:ascii="Garamond" w:hAnsi="Garamond" w:cs="Garamond"/>
          <w:sz w:val="24"/>
          <w:szCs w:val="24"/>
        </w:rPr>
        <w:t>Secretary</w:t>
      </w:r>
      <w:r>
        <w:rPr>
          <w:rFonts w:ascii="Garamond" w:hAnsi="Garamond" w:cs="Garamond"/>
          <w:spacing w:val="-20"/>
          <w:sz w:val="24"/>
          <w:szCs w:val="24"/>
        </w:rPr>
        <w:t xml:space="preserve"> </w:t>
      </w:r>
      <w:r>
        <w:rPr>
          <w:rFonts w:ascii="Garamond" w:hAnsi="Garamond" w:cs="Garamond"/>
          <w:sz w:val="24"/>
          <w:szCs w:val="24"/>
        </w:rPr>
        <w:t>Tsai,</w:t>
      </w:r>
    </w:p>
    <w:p w:rsidR="002C5025" w:rsidRDefault="002C5025">
      <w:pPr>
        <w:pStyle w:val="BodyText"/>
        <w:kinsoku w:val="0"/>
        <w:overflowPunct w:val="0"/>
        <w:spacing w:line="276" w:lineRule="auto"/>
        <w:ind w:left="460" w:right="585"/>
        <w:rPr>
          <w:rFonts w:ascii="Garamond" w:hAnsi="Garamond" w:cs="Garamond"/>
          <w:sz w:val="24"/>
          <w:szCs w:val="24"/>
        </w:rPr>
      </w:pPr>
      <w:r>
        <w:rPr>
          <w:rFonts w:ascii="Garamond" w:hAnsi="Garamond" w:cs="Garamond"/>
          <w:sz w:val="24"/>
          <w:szCs w:val="24"/>
        </w:rPr>
        <w:t xml:space="preserve">On behalf of the members of the Oral Health Integration Project (OHIP), thank you for the opportunity to offer our comments on the proposed Section 1115 waiver request. OHIP is a new initiative of the Oral Health Advocacy Taskforce (OHAT), a longstanding coalition of diverse stakeholders dedicated to improving the oral health of the Commonwealth. </w:t>
      </w:r>
      <w:r>
        <w:rPr>
          <w:rFonts w:ascii="Garamond" w:hAnsi="Garamond" w:cs="Garamond"/>
          <w:spacing w:val="-3"/>
          <w:sz w:val="24"/>
          <w:szCs w:val="24"/>
        </w:rPr>
        <w:t xml:space="preserve">The </w:t>
      </w:r>
      <w:r>
        <w:rPr>
          <w:rFonts w:ascii="Garamond" w:hAnsi="Garamond" w:cs="Garamond"/>
          <w:sz w:val="24"/>
          <w:szCs w:val="24"/>
        </w:rPr>
        <w:t>members of OHIP firmly</w:t>
      </w:r>
      <w:r>
        <w:rPr>
          <w:rFonts w:ascii="Garamond" w:hAnsi="Garamond" w:cs="Garamond"/>
          <w:spacing w:val="-9"/>
          <w:sz w:val="24"/>
          <w:szCs w:val="24"/>
        </w:rPr>
        <w:t xml:space="preserve"> </w:t>
      </w:r>
      <w:r>
        <w:rPr>
          <w:rFonts w:ascii="Garamond" w:hAnsi="Garamond" w:cs="Garamond"/>
          <w:sz w:val="24"/>
          <w:szCs w:val="24"/>
        </w:rPr>
        <w:t>believe</w:t>
      </w:r>
      <w:r>
        <w:rPr>
          <w:rFonts w:ascii="Garamond" w:hAnsi="Garamond" w:cs="Garamond"/>
          <w:spacing w:val="-8"/>
          <w:sz w:val="24"/>
          <w:szCs w:val="24"/>
        </w:rPr>
        <w:t xml:space="preserve"> </w:t>
      </w:r>
      <w:r>
        <w:rPr>
          <w:rFonts w:ascii="Garamond" w:hAnsi="Garamond" w:cs="Garamond"/>
          <w:sz w:val="24"/>
          <w:szCs w:val="24"/>
        </w:rPr>
        <w:t>that</w:t>
      </w:r>
      <w:r>
        <w:rPr>
          <w:rFonts w:ascii="Garamond" w:hAnsi="Garamond" w:cs="Garamond"/>
          <w:spacing w:val="-9"/>
          <w:sz w:val="24"/>
          <w:szCs w:val="24"/>
        </w:rPr>
        <w:t xml:space="preserve"> </w:t>
      </w:r>
      <w:r>
        <w:rPr>
          <w:rFonts w:ascii="Garamond" w:hAnsi="Garamond" w:cs="Garamond"/>
          <w:sz w:val="24"/>
          <w:szCs w:val="24"/>
        </w:rPr>
        <w:t>oral</w:t>
      </w:r>
      <w:r>
        <w:rPr>
          <w:rFonts w:ascii="Garamond" w:hAnsi="Garamond" w:cs="Garamond"/>
          <w:spacing w:val="-9"/>
          <w:sz w:val="24"/>
          <w:szCs w:val="24"/>
        </w:rPr>
        <w:t xml:space="preserve"> </w:t>
      </w:r>
      <w:r>
        <w:rPr>
          <w:rFonts w:ascii="Garamond" w:hAnsi="Garamond" w:cs="Garamond"/>
          <w:sz w:val="24"/>
          <w:szCs w:val="24"/>
        </w:rPr>
        <w:t>health</w:t>
      </w:r>
      <w:r>
        <w:rPr>
          <w:rFonts w:ascii="Garamond" w:hAnsi="Garamond" w:cs="Garamond"/>
          <w:spacing w:val="-9"/>
          <w:sz w:val="24"/>
          <w:szCs w:val="24"/>
        </w:rPr>
        <w:t xml:space="preserve"> </w:t>
      </w:r>
      <w:r>
        <w:rPr>
          <w:rFonts w:ascii="Garamond" w:hAnsi="Garamond" w:cs="Garamond"/>
          <w:sz w:val="24"/>
          <w:szCs w:val="24"/>
        </w:rPr>
        <w:t>has</w:t>
      </w:r>
      <w:r>
        <w:rPr>
          <w:rFonts w:ascii="Garamond" w:hAnsi="Garamond" w:cs="Garamond"/>
          <w:spacing w:val="-14"/>
          <w:sz w:val="24"/>
          <w:szCs w:val="24"/>
        </w:rPr>
        <w:t xml:space="preserve"> </w:t>
      </w:r>
      <w:r>
        <w:rPr>
          <w:rFonts w:ascii="Garamond" w:hAnsi="Garamond" w:cs="Garamond"/>
          <w:sz w:val="24"/>
          <w:szCs w:val="24"/>
        </w:rPr>
        <w:t>a</w:t>
      </w:r>
      <w:r>
        <w:rPr>
          <w:rFonts w:ascii="Garamond" w:hAnsi="Garamond" w:cs="Garamond"/>
          <w:spacing w:val="-8"/>
          <w:sz w:val="24"/>
          <w:szCs w:val="24"/>
        </w:rPr>
        <w:t xml:space="preserve"> </w:t>
      </w:r>
      <w:r>
        <w:rPr>
          <w:rFonts w:ascii="Garamond" w:hAnsi="Garamond" w:cs="Garamond"/>
          <w:sz w:val="24"/>
          <w:szCs w:val="24"/>
        </w:rPr>
        <w:t>critical</w:t>
      </w:r>
      <w:r>
        <w:rPr>
          <w:rFonts w:ascii="Garamond" w:hAnsi="Garamond" w:cs="Garamond"/>
          <w:spacing w:val="-9"/>
          <w:sz w:val="24"/>
          <w:szCs w:val="24"/>
        </w:rPr>
        <w:t xml:space="preserve"> </w:t>
      </w:r>
      <w:r>
        <w:rPr>
          <w:rFonts w:ascii="Garamond" w:hAnsi="Garamond" w:cs="Garamond"/>
          <w:sz w:val="24"/>
          <w:szCs w:val="24"/>
        </w:rPr>
        <w:t>role</w:t>
      </w:r>
      <w:r>
        <w:rPr>
          <w:rFonts w:ascii="Garamond" w:hAnsi="Garamond" w:cs="Garamond"/>
          <w:spacing w:val="-9"/>
          <w:sz w:val="24"/>
          <w:szCs w:val="24"/>
        </w:rPr>
        <w:t xml:space="preserve"> </w:t>
      </w:r>
      <w:r>
        <w:rPr>
          <w:rFonts w:ascii="Garamond" w:hAnsi="Garamond" w:cs="Garamond"/>
          <w:sz w:val="24"/>
          <w:szCs w:val="24"/>
        </w:rPr>
        <w:t>in</w:t>
      </w:r>
      <w:r>
        <w:rPr>
          <w:rFonts w:ascii="Garamond" w:hAnsi="Garamond" w:cs="Garamond"/>
          <w:spacing w:val="-10"/>
          <w:sz w:val="24"/>
          <w:szCs w:val="24"/>
        </w:rPr>
        <w:t xml:space="preserve"> </w:t>
      </w:r>
      <w:r>
        <w:rPr>
          <w:rFonts w:ascii="Garamond" w:hAnsi="Garamond" w:cs="Garamond"/>
          <w:sz w:val="24"/>
          <w:szCs w:val="24"/>
        </w:rPr>
        <w:t>improving</w:t>
      </w:r>
      <w:r>
        <w:rPr>
          <w:rFonts w:ascii="Garamond" w:hAnsi="Garamond" w:cs="Garamond"/>
          <w:spacing w:val="-8"/>
          <w:sz w:val="24"/>
          <w:szCs w:val="24"/>
        </w:rPr>
        <w:t xml:space="preserve"> </w:t>
      </w:r>
      <w:r>
        <w:rPr>
          <w:rFonts w:ascii="Garamond" w:hAnsi="Garamond" w:cs="Garamond"/>
          <w:sz w:val="24"/>
          <w:szCs w:val="24"/>
        </w:rPr>
        <w:t>overall</w:t>
      </w:r>
      <w:r>
        <w:rPr>
          <w:rFonts w:ascii="Garamond" w:hAnsi="Garamond" w:cs="Garamond"/>
          <w:spacing w:val="-10"/>
          <w:sz w:val="24"/>
          <w:szCs w:val="24"/>
        </w:rPr>
        <w:t xml:space="preserve"> </w:t>
      </w:r>
      <w:r>
        <w:rPr>
          <w:rFonts w:ascii="Garamond" w:hAnsi="Garamond" w:cs="Garamond"/>
          <w:sz w:val="24"/>
          <w:szCs w:val="24"/>
        </w:rPr>
        <w:t>health</w:t>
      </w:r>
      <w:r>
        <w:rPr>
          <w:rFonts w:ascii="Garamond" w:hAnsi="Garamond" w:cs="Garamond"/>
          <w:spacing w:val="-13"/>
          <w:sz w:val="24"/>
          <w:szCs w:val="24"/>
        </w:rPr>
        <w:t xml:space="preserve"> </w:t>
      </w:r>
      <w:r>
        <w:rPr>
          <w:rFonts w:ascii="Garamond" w:hAnsi="Garamond" w:cs="Garamond"/>
          <w:sz w:val="24"/>
          <w:szCs w:val="24"/>
        </w:rPr>
        <w:t>and</w:t>
      </w:r>
      <w:r>
        <w:rPr>
          <w:rFonts w:ascii="Garamond" w:hAnsi="Garamond" w:cs="Garamond"/>
          <w:spacing w:val="-10"/>
          <w:sz w:val="24"/>
          <w:szCs w:val="24"/>
        </w:rPr>
        <w:t xml:space="preserve"> </w:t>
      </w:r>
      <w:r>
        <w:rPr>
          <w:rFonts w:ascii="Garamond" w:hAnsi="Garamond" w:cs="Garamond"/>
          <w:sz w:val="24"/>
          <w:szCs w:val="24"/>
        </w:rPr>
        <w:t>wellbeing</w:t>
      </w:r>
      <w:r>
        <w:rPr>
          <w:rFonts w:ascii="Garamond" w:hAnsi="Garamond" w:cs="Garamond"/>
          <w:spacing w:val="-12"/>
          <w:sz w:val="24"/>
          <w:szCs w:val="24"/>
        </w:rPr>
        <w:t xml:space="preserve"> </w:t>
      </w:r>
      <w:r>
        <w:rPr>
          <w:rFonts w:ascii="Garamond" w:hAnsi="Garamond" w:cs="Garamond"/>
          <w:sz w:val="24"/>
          <w:szCs w:val="24"/>
        </w:rPr>
        <w:t>and</w:t>
      </w:r>
      <w:r>
        <w:rPr>
          <w:rFonts w:ascii="Garamond" w:hAnsi="Garamond" w:cs="Garamond"/>
          <w:spacing w:val="-9"/>
          <w:sz w:val="24"/>
          <w:szCs w:val="24"/>
        </w:rPr>
        <w:t xml:space="preserve"> </w:t>
      </w:r>
      <w:r>
        <w:rPr>
          <w:rFonts w:ascii="Garamond" w:hAnsi="Garamond" w:cs="Garamond"/>
          <w:sz w:val="24"/>
          <w:szCs w:val="24"/>
        </w:rPr>
        <w:t>seek</w:t>
      </w:r>
      <w:r>
        <w:rPr>
          <w:rFonts w:ascii="Garamond" w:hAnsi="Garamond" w:cs="Garamond"/>
          <w:spacing w:val="-9"/>
          <w:sz w:val="24"/>
          <w:szCs w:val="24"/>
        </w:rPr>
        <w:t xml:space="preserve"> </w:t>
      </w:r>
      <w:r>
        <w:rPr>
          <w:rFonts w:ascii="Garamond" w:hAnsi="Garamond" w:cs="Garamond"/>
          <w:sz w:val="24"/>
          <w:szCs w:val="24"/>
        </w:rPr>
        <w:t>to promote</w:t>
      </w:r>
      <w:r>
        <w:rPr>
          <w:rFonts w:ascii="Garamond" w:hAnsi="Garamond" w:cs="Garamond"/>
          <w:spacing w:val="-8"/>
          <w:sz w:val="24"/>
          <w:szCs w:val="24"/>
        </w:rPr>
        <w:t xml:space="preserve"> </w:t>
      </w:r>
      <w:r>
        <w:rPr>
          <w:rFonts w:ascii="Garamond" w:hAnsi="Garamond" w:cs="Garamond"/>
          <w:sz w:val="24"/>
          <w:szCs w:val="24"/>
        </w:rPr>
        <w:t>the</w:t>
      </w:r>
      <w:r>
        <w:rPr>
          <w:rFonts w:ascii="Garamond" w:hAnsi="Garamond" w:cs="Garamond"/>
          <w:spacing w:val="-10"/>
          <w:sz w:val="24"/>
          <w:szCs w:val="24"/>
        </w:rPr>
        <w:t xml:space="preserve"> </w:t>
      </w:r>
      <w:r>
        <w:rPr>
          <w:rFonts w:ascii="Garamond" w:hAnsi="Garamond" w:cs="Garamond"/>
          <w:sz w:val="24"/>
          <w:szCs w:val="24"/>
        </w:rPr>
        <w:t>integration</w:t>
      </w:r>
      <w:r>
        <w:rPr>
          <w:rFonts w:ascii="Garamond" w:hAnsi="Garamond" w:cs="Garamond"/>
          <w:spacing w:val="-9"/>
          <w:sz w:val="24"/>
          <w:szCs w:val="24"/>
        </w:rPr>
        <w:t xml:space="preserve"> </w:t>
      </w:r>
      <w:r>
        <w:rPr>
          <w:rFonts w:ascii="Garamond" w:hAnsi="Garamond" w:cs="Garamond"/>
          <w:sz w:val="24"/>
          <w:szCs w:val="24"/>
        </w:rPr>
        <w:t>of</w:t>
      </w:r>
      <w:r>
        <w:rPr>
          <w:rFonts w:ascii="Garamond" w:hAnsi="Garamond" w:cs="Garamond"/>
          <w:spacing w:val="-12"/>
          <w:sz w:val="24"/>
          <w:szCs w:val="24"/>
        </w:rPr>
        <w:t xml:space="preserve"> </w:t>
      </w:r>
      <w:r>
        <w:rPr>
          <w:rFonts w:ascii="Garamond" w:hAnsi="Garamond" w:cs="Garamond"/>
          <w:sz w:val="24"/>
          <w:szCs w:val="24"/>
        </w:rPr>
        <w:t>dental</w:t>
      </w:r>
      <w:r>
        <w:rPr>
          <w:rFonts w:ascii="Garamond" w:hAnsi="Garamond" w:cs="Garamond"/>
          <w:spacing w:val="-11"/>
          <w:sz w:val="24"/>
          <w:szCs w:val="24"/>
        </w:rPr>
        <w:t xml:space="preserve"> </w:t>
      </w:r>
      <w:r>
        <w:rPr>
          <w:rFonts w:ascii="Garamond" w:hAnsi="Garamond" w:cs="Garamond"/>
          <w:sz w:val="24"/>
          <w:szCs w:val="24"/>
        </w:rPr>
        <w:t>care</w:t>
      </w:r>
      <w:r>
        <w:rPr>
          <w:rFonts w:ascii="Garamond" w:hAnsi="Garamond" w:cs="Garamond"/>
          <w:spacing w:val="-8"/>
          <w:sz w:val="24"/>
          <w:szCs w:val="24"/>
        </w:rPr>
        <w:t xml:space="preserve"> </w:t>
      </w:r>
      <w:r>
        <w:rPr>
          <w:rFonts w:ascii="Garamond" w:hAnsi="Garamond" w:cs="Garamond"/>
          <w:sz w:val="24"/>
          <w:szCs w:val="24"/>
        </w:rPr>
        <w:t>into</w:t>
      </w:r>
      <w:r>
        <w:rPr>
          <w:rFonts w:ascii="Garamond" w:hAnsi="Garamond" w:cs="Garamond"/>
          <w:spacing w:val="-9"/>
          <w:sz w:val="24"/>
          <w:szCs w:val="24"/>
        </w:rPr>
        <w:t xml:space="preserve"> </w:t>
      </w:r>
      <w:r>
        <w:rPr>
          <w:rFonts w:ascii="Garamond" w:hAnsi="Garamond" w:cs="Garamond"/>
          <w:sz w:val="24"/>
          <w:szCs w:val="24"/>
        </w:rPr>
        <w:t>the</w:t>
      </w:r>
      <w:r>
        <w:rPr>
          <w:rFonts w:ascii="Garamond" w:hAnsi="Garamond" w:cs="Garamond"/>
          <w:spacing w:val="-8"/>
          <w:sz w:val="24"/>
          <w:szCs w:val="24"/>
        </w:rPr>
        <w:t xml:space="preserve"> </w:t>
      </w:r>
      <w:r>
        <w:rPr>
          <w:rFonts w:ascii="Garamond" w:hAnsi="Garamond" w:cs="Garamond"/>
          <w:sz w:val="24"/>
          <w:szCs w:val="24"/>
        </w:rPr>
        <w:t>rest</w:t>
      </w:r>
      <w:r>
        <w:rPr>
          <w:rFonts w:ascii="Garamond" w:hAnsi="Garamond" w:cs="Garamond"/>
          <w:spacing w:val="-12"/>
          <w:sz w:val="24"/>
          <w:szCs w:val="24"/>
        </w:rPr>
        <w:t xml:space="preserve"> </w:t>
      </w:r>
      <w:r>
        <w:rPr>
          <w:rFonts w:ascii="Garamond" w:hAnsi="Garamond" w:cs="Garamond"/>
          <w:sz w:val="24"/>
          <w:szCs w:val="24"/>
        </w:rPr>
        <w:t>of</w:t>
      </w:r>
      <w:r>
        <w:rPr>
          <w:rFonts w:ascii="Garamond" w:hAnsi="Garamond" w:cs="Garamond"/>
          <w:spacing w:val="-12"/>
          <w:sz w:val="24"/>
          <w:szCs w:val="24"/>
        </w:rPr>
        <w:t xml:space="preserve"> </w:t>
      </w:r>
      <w:r>
        <w:rPr>
          <w:rFonts w:ascii="Garamond" w:hAnsi="Garamond" w:cs="Garamond"/>
          <w:sz w:val="24"/>
          <w:szCs w:val="24"/>
        </w:rPr>
        <w:t>the</w:t>
      </w:r>
      <w:r>
        <w:rPr>
          <w:rFonts w:ascii="Garamond" w:hAnsi="Garamond" w:cs="Garamond"/>
          <w:spacing w:val="-8"/>
          <w:sz w:val="24"/>
          <w:szCs w:val="24"/>
        </w:rPr>
        <w:t xml:space="preserve"> </w:t>
      </w:r>
      <w:r>
        <w:rPr>
          <w:rFonts w:ascii="Garamond" w:hAnsi="Garamond" w:cs="Garamond"/>
          <w:sz w:val="24"/>
          <w:szCs w:val="24"/>
        </w:rPr>
        <w:t>health</w:t>
      </w:r>
      <w:r>
        <w:rPr>
          <w:rFonts w:ascii="Garamond" w:hAnsi="Garamond" w:cs="Garamond"/>
          <w:spacing w:val="-11"/>
          <w:sz w:val="24"/>
          <w:szCs w:val="24"/>
        </w:rPr>
        <w:t xml:space="preserve"> </w:t>
      </w:r>
      <w:r>
        <w:rPr>
          <w:rFonts w:ascii="Garamond" w:hAnsi="Garamond" w:cs="Garamond"/>
          <w:sz w:val="24"/>
          <w:szCs w:val="24"/>
        </w:rPr>
        <w:t>care</w:t>
      </w:r>
      <w:r>
        <w:rPr>
          <w:rFonts w:ascii="Garamond" w:hAnsi="Garamond" w:cs="Garamond"/>
          <w:spacing w:val="-10"/>
          <w:sz w:val="24"/>
          <w:szCs w:val="24"/>
        </w:rPr>
        <w:t xml:space="preserve"> </w:t>
      </w:r>
      <w:r>
        <w:rPr>
          <w:rFonts w:ascii="Garamond" w:hAnsi="Garamond" w:cs="Garamond"/>
          <w:sz w:val="24"/>
          <w:szCs w:val="24"/>
        </w:rPr>
        <w:t>system.</w:t>
      </w:r>
    </w:p>
    <w:p w:rsidR="002C5025" w:rsidRDefault="002C5025">
      <w:pPr>
        <w:pStyle w:val="BodyText"/>
        <w:kinsoku w:val="0"/>
        <w:overflowPunct w:val="0"/>
        <w:spacing w:before="9"/>
        <w:rPr>
          <w:rFonts w:ascii="Garamond" w:hAnsi="Garamond" w:cs="Garamond"/>
          <w:sz w:val="27"/>
          <w:szCs w:val="27"/>
        </w:rPr>
      </w:pPr>
    </w:p>
    <w:p w:rsidR="002C5025" w:rsidRDefault="002C5025">
      <w:pPr>
        <w:pStyle w:val="BodyText"/>
        <w:kinsoku w:val="0"/>
        <w:overflowPunct w:val="0"/>
        <w:spacing w:line="264" w:lineRule="auto"/>
        <w:ind w:left="459" w:right="588"/>
        <w:rPr>
          <w:rFonts w:ascii="Garamond" w:hAnsi="Garamond" w:cs="Garamond"/>
          <w:position w:val="10"/>
          <w:sz w:val="14"/>
          <w:szCs w:val="14"/>
        </w:rPr>
      </w:pPr>
      <w:r>
        <w:rPr>
          <w:rFonts w:ascii="Garamond" w:hAnsi="Garamond" w:cs="Garamond"/>
          <w:sz w:val="24"/>
          <w:szCs w:val="24"/>
        </w:rPr>
        <w:t>Although largely preventable, oral diseases continue to be among the most common chronic diseases in the U.S., resulting in millions of hours of missed school and work days annually.</w:t>
      </w:r>
      <w:r>
        <w:rPr>
          <w:rFonts w:ascii="Garamond" w:hAnsi="Garamond" w:cs="Garamond"/>
          <w:position w:val="10"/>
          <w:sz w:val="14"/>
          <w:szCs w:val="14"/>
        </w:rPr>
        <w:t xml:space="preserve">1 </w:t>
      </w:r>
      <w:r>
        <w:rPr>
          <w:rFonts w:ascii="Garamond" w:hAnsi="Garamond" w:cs="Garamond"/>
          <w:sz w:val="24"/>
          <w:szCs w:val="24"/>
        </w:rPr>
        <w:t>Preventable</w:t>
      </w:r>
      <w:r>
        <w:rPr>
          <w:rFonts w:ascii="Garamond" w:hAnsi="Garamond" w:cs="Garamond"/>
          <w:spacing w:val="-14"/>
          <w:sz w:val="24"/>
          <w:szCs w:val="24"/>
        </w:rPr>
        <w:t xml:space="preserve"> </w:t>
      </w:r>
      <w:r>
        <w:rPr>
          <w:rFonts w:ascii="Garamond" w:hAnsi="Garamond" w:cs="Garamond"/>
          <w:sz w:val="24"/>
          <w:szCs w:val="24"/>
        </w:rPr>
        <w:t>dental</w:t>
      </w:r>
      <w:r>
        <w:rPr>
          <w:rFonts w:ascii="Garamond" w:hAnsi="Garamond" w:cs="Garamond"/>
          <w:spacing w:val="-14"/>
          <w:sz w:val="24"/>
          <w:szCs w:val="24"/>
        </w:rPr>
        <w:t xml:space="preserve"> </w:t>
      </w:r>
      <w:r>
        <w:rPr>
          <w:rFonts w:ascii="Garamond" w:hAnsi="Garamond" w:cs="Garamond"/>
          <w:sz w:val="24"/>
          <w:szCs w:val="24"/>
        </w:rPr>
        <w:t>visits</w:t>
      </w:r>
      <w:r>
        <w:rPr>
          <w:rFonts w:ascii="Garamond" w:hAnsi="Garamond" w:cs="Garamond"/>
          <w:spacing w:val="-16"/>
          <w:sz w:val="24"/>
          <w:szCs w:val="24"/>
        </w:rPr>
        <w:t xml:space="preserve"> </w:t>
      </w:r>
      <w:r>
        <w:rPr>
          <w:rFonts w:ascii="Garamond" w:hAnsi="Garamond" w:cs="Garamond"/>
          <w:sz w:val="24"/>
          <w:szCs w:val="24"/>
        </w:rPr>
        <w:t>to</w:t>
      </w:r>
      <w:r>
        <w:rPr>
          <w:rFonts w:ascii="Garamond" w:hAnsi="Garamond" w:cs="Garamond"/>
          <w:spacing w:val="-15"/>
          <w:sz w:val="24"/>
          <w:szCs w:val="24"/>
        </w:rPr>
        <w:t xml:space="preserve"> </w:t>
      </w:r>
      <w:r>
        <w:rPr>
          <w:rFonts w:ascii="Garamond" w:hAnsi="Garamond" w:cs="Garamond"/>
          <w:sz w:val="24"/>
          <w:szCs w:val="24"/>
        </w:rPr>
        <w:t>emergency</w:t>
      </w:r>
      <w:r>
        <w:rPr>
          <w:rFonts w:ascii="Garamond" w:hAnsi="Garamond" w:cs="Garamond"/>
          <w:spacing w:val="-11"/>
          <w:sz w:val="24"/>
          <w:szCs w:val="24"/>
        </w:rPr>
        <w:t xml:space="preserve"> </w:t>
      </w:r>
      <w:r>
        <w:rPr>
          <w:rFonts w:ascii="Garamond" w:hAnsi="Garamond" w:cs="Garamond"/>
          <w:sz w:val="24"/>
          <w:szCs w:val="24"/>
        </w:rPr>
        <w:t>departments</w:t>
      </w:r>
      <w:r>
        <w:rPr>
          <w:rFonts w:ascii="Garamond" w:hAnsi="Garamond" w:cs="Garamond"/>
          <w:spacing w:val="-16"/>
          <w:sz w:val="24"/>
          <w:szCs w:val="24"/>
        </w:rPr>
        <w:t xml:space="preserve"> </w:t>
      </w:r>
      <w:r>
        <w:rPr>
          <w:rFonts w:ascii="Garamond" w:hAnsi="Garamond" w:cs="Garamond"/>
          <w:sz w:val="24"/>
          <w:szCs w:val="24"/>
        </w:rPr>
        <w:t>(ED)</w:t>
      </w:r>
      <w:r>
        <w:rPr>
          <w:rFonts w:ascii="Garamond" w:hAnsi="Garamond" w:cs="Garamond"/>
          <w:spacing w:val="-15"/>
          <w:sz w:val="24"/>
          <w:szCs w:val="24"/>
        </w:rPr>
        <w:t xml:space="preserve"> </w:t>
      </w:r>
      <w:r>
        <w:rPr>
          <w:rFonts w:ascii="Garamond" w:hAnsi="Garamond" w:cs="Garamond"/>
          <w:sz w:val="24"/>
          <w:szCs w:val="24"/>
        </w:rPr>
        <w:t>also</w:t>
      </w:r>
      <w:r>
        <w:rPr>
          <w:rFonts w:ascii="Garamond" w:hAnsi="Garamond" w:cs="Garamond"/>
          <w:spacing w:val="-15"/>
          <w:sz w:val="24"/>
          <w:szCs w:val="24"/>
        </w:rPr>
        <w:t xml:space="preserve"> </w:t>
      </w:r>
      <w:r>
        <w:rPr>
          <w:rFonts w:ascii="Garamond" w:hAnsi="Garamond" w:cs="Garamond"/>
          <w:sz w:val="24"/>
          <w:szCs w:val="24"/>
        </w:rPr>
        <w:t>cost</w:t>
      </w:r>
      <w:r>
        <w:rPr>
          <w:rFonts w:ascii="Garamond" w:hAnsi="Garamond" w:cs="Garamond"/>
          <w:spacing w:val="-15"/>
          <w:sz w:val="24"/>
          <w:szCs w:val="24"/>
        </w:rPr>
        <w:t xml:space="preserve"> </w:t>
      </w:r>
      <w:r>
        <w:rPr>
          <w:rFonts w:ascii="Garamond" w:hAnsi="Garamond" w:cs="Garamond"/>
          <w:sz w:val="24"/>
          <w:szCs w:val="24"/>
        </w:rPr>
        <w:t>the</w:t>
      </w:r>
      <w:r>
        <w:rPr>
          <w:rFonts w:ascii="Garamond" w:hAnsi="Garamond" w:cs="Garamond"/>
          <w:spacing w:val="-14"/>
          <w:sz w:val="24"/>
          <w:szCs w:val="24"/>
        </w:rPr>
        <w:t xml:space="preserve"> </w:t>
      </w:r>
      <w:r>
        <w:rPr>
          <w:rFonts w:ascii="Garamond" w:hAnsi="Garamond" w:cs="Garamond"/>
          <w:sz w:val="24"/>
          <w:szCs w:val="24"/>
        </w:rPr>
        <w:t>Commonwealth</w:t>
      </w:r>
      <w:r>
        <w:rPr>
          <w:rFonts w:ascii="Garamond" w:hAnsi="Garamond" w:cs="Garamond"/>
          <w:spacing w:val="-12"/>
          <w:sz w:val="24"/>
          <w:szCs w:val="24"/>
        </w:rPr>
        <w:t xml:space="preserve"> </w:t>
      </w:r>
      <w:r>
        <w:rPr>
          <w:rFonts w:ascii="Garamond" w:hAnsi="Garamond" w:cs="Garamond"/>
          <w:sz w:val="24"/>
          <w:szCs w:val="24"/>
        </w:rPr>
        <w:t>millions</w:t>
      </w:r>
      <w:r>
        <w:rPr>
          <w:rFonts w:ascii="Garamond" w:hAnsi="Garamond" w:cs="Garamond"/>
          <w:spacing w:val="-13"/>
          <w:sz w:val="24"/>
          <w:szCs w:val="24"/>
        </w:rPr>
        <w:t xml:space="preserve"> </w:t>
      </w:r>
      <w:r>
        <w:rPr>
          <w:rFonts w:ascii="Garamond" w:hAnsi="Garamond" w:cs="Garamond"/>
          <w:sz w:val="24"/>
          <w:szCs w:val="24"/>
        </w:rPr>
        <w:t xml:space="preserve">each year, </w:t>
      </w:r>
      <w:r>
        <w:rPr>
          <w:rFonts w:ascii="Garamond" w:hAnsi="Garamond" w:cs="Garamond"/>
          <w:position w:val="10"/>
          <w:sz w:val="14"/>
          <w:szCs w:val="14"/>
        </w:rPr>
        <w:t xml:space="preserve">2 </w:t>
      </w:r>
      <w:r>
        <w:rPr>
          <w:rFonts w:ascii="Garamond" w:hAnsi="Garamond" w:cs="Garamond"/>
          <w:sz w:val="24"/>
          <w:szCs w:val="24"/>
        </w:rPr>
        <w:t>and almost half of all ED visits are by MassHealth members.</w:t>
      </w:r>
      <w:r>
        <w:rPr>
          <w:rFonts w:ascii="Garamond" w:hAnsi="Garamond" w:cs="Garamond"/>
          <w:position w:val="10"/>
          <w:sz w:val="14"/>
          <w:szCs w:val="14"/>
        </w:rPr>
        <w:t xml:space="preserve">3 </w:t>
      </w:r>
      <w:r>
        <w:rPr>
          <w:rFonts w:ascii="Garamond" w:hAnsi="Garamond" w:cs="Garamond"/>
          <w:sz w:val="24"/>
          <w:szCs w:val="24"/>
        </w:rPr>
        <w:t>Nonetheless, there is mounting evidence</w:t>
      </w:r>
      <w:r>
        <w:rPr>
          <w:rFonts w:ascii="Garamond" w:hAnsi="Garamond" w:cs="Garamond"/>
          <w:spacing w:val="-9"/>
          <w:sz w:val="24"/>
          <w:szCs w:val="24"/>
        </w:rPr>
        <w:t xml:space="preserve"> </w:t>
      </w:r>
      <w:r>
        <w:rPr>
          <w:rFonts w:ascii="Garamond" w:hAnsi="Garamond" w:cs="Garamond"/>
          <w:sz w:val="24"/>
          <w:szCs w:val="24"/>
        </w:rPr>
        <w:t>to</w:t>
      </w:r>
      <w:r>
        <w:rPr>
          <w:rFonts w:ascii="Garamond" w:hAnsi="Garamond" w:cs="Garamond"/>
          <w:spacing w:val="-12"/>
          <w:sz w:val="24"/>
          <w:szCs w:val="24"/>
        </w:rPr>
        <w:t xml:space="preserve"> </w:t>
      </w:r>
      <w:r>
        <w:rPr>
          <w:rFonts w:ascii="Garamond" w:hAnsi="Garamond" w:cs="Garamond"/>
          <w:sz w:val="24"/>
          <w:szCs w:val="24"/>
        </w:rPr>
        <w:t>suggest</w:t>
      </w:r>
      <w:r>
        <w:rPr>
          <w:rFonts w:ascii="Garamond" w:hAnsi="Garamond" w:cs="Garamond"/>
          <w:spacing w:val="-13"/>
          <w:sz w:val="24"/>
          <w:szCs w:val="24"/>
        </w:rPr>
        <w:t xml:space="preserve"> </w:t>
      </w:r>
      <w:r>
        <w:rPr>
          <w:rFonts w:ascii="Garamond" w:hAnsi="Garamond" w:cs="Garamond"/>
          <w:sz w:val="24"/>
          <w:szCs w:val="24"/>
        </w:rPr>
        <w:t>that</w:t>
      </w:r>
      <w:r>
        <w:rPr>
          <w:rFonts w:ascii="Garamond" w:hAnsi="Garamond" w:cs="Garamond"/>
          <w:spacing w:val="-13"/>
          <w:sz w:val="24"/>
          <w:szCs w:val="24"/>
        </w:rPr>
        <w:t xml:space="preserve"> </w:t>
      </w:r>
      <w:r>
        <w:rPr>
          <w:rFonts w:ascii="Garamond" w:hAnsi="Garamond" w:cs="Garamond"/>
          <w:sz w:val="24"/>
          <w:szCs w:val="24"/>
        </w:rPr>
        <w:t>the</w:t>
      </w:r>
      <w:r>
        <w:rPr>
          <w:rFonts w:ascii="Garamond" w:hAnsi="Garamond" w:cs="Garamond"/>
          <w:spacing w:val="-11"/>
          <w:sz w:val="24"/>
          <w:szCs w:val="24"/>
        </w:rPr>
        <w:t xml:space="preserve"> </w:t>
      </w:r>
      <w:r>
        <w:rPr>
          <w:rFonts w:ascii="Garamond" w:hAnsi="Garamond" w:cs="Garamond"/>
          <w:sz w:val="24"/>
          <w:szCs w:val="24"/>
        </w:rPr>
        <w:t>provision</w:t>
      </w:r>
      <w:r>
        <w:rPr>
          <w:rFonts w:ascii="Garamond" w:hAnsi="Garamond" w:cs="Garamond"/>
          <w:spacing w:val="-15"/>
          <w:sz w:val="24"/>
          <w:szCs w:val="24"/>
        </w:rPr>
        <w:t xml:space="preserve"> </w:t>
      </w:r>
      <w:r>
        <w:rPr>
          <w:rFonts w:ascii="Garamond" w:hAnsi="Garamond" w:cs="Garamond"/>
          <w:sz w:val="24"/>
          <w:szCs w:val="24"/>
        </w:rPr>
        <w:t>of</w:t>
      </w:r>
      <w:r>
        <w:rPr>
          <w:rFonts w:ascii="Garamond" w:hAnsi="Garamond" w:cs="Garamond"/>
          <w:spacing w:val="-11"/>
          <w:sz w:val="24"/>
          <w:szCs w:val="24"/>
        </w:rPr>
        <w:t xml:space="preserve"> </w:t>
      </w:r>
      <w:r>
        <w:rPr>
          <w:rFonts w:ascii="Garamond" w:hAnsi="Garamond" w:cs="Garamond"/>
          <w:sz w:val="24"/>
          <w:szCs w:val="24"/>
        </w:rPr>
        <w:t>oral</w:t>
      </w:r>
      <w:r>
        <w:rPr>
          <w:rFonts w:ascii="Garamond" w:hAnsi="Garamond" w:cs="Garamond"/>
          <w:spacing w:val="-12"/>
          <w:sz w:val="24"/>
          <w:szCs w:val="24"/>
        </w:rPr>
        <w:t xml:space="preserve"> </w:t>
      </w:r>
      <w:r>
        <w:rPr>
          <w:rFonts w:ascii="Garamond" w:hAnsi="Garamond" w:cs="Garamond"/>
          <w:sz w:val="24"/>
          <w:szCs w:val="24"/>
        </w:rPr>
        <w:t>health</w:t>
      </w:r>
      <w:r>
        <w:rPr>
          <w:rFonts w:ascii="Garamond" w:hAnsi="Garamond" w:cs="Garamond"/>
          <w:spacing w:val="-12"/>
          <w:sz w:val="24"/>
          <w:szCs w:val="24"/>
        </w:rPr>
        <w:t xml:space="preserve"> </w:t>
      </w:r>
      <w:r>
        <w:rPr>
          <w:rFonts w:ascii="Garamond" w:hAnsi="Garamond" w:cs="Garamond"/>
          <w:sz w:val="24"/>
          <w:szCs w:val="24"/>
        </w:rPr>
        <w:t>care</w:t>
      </w:r>
      <w:r>
        <w:rPr>
          <w:rFonts w:ascii="Garamond" w:hAnsi="Garamond" w:cs="Garamond"/>
          <w:spacing w:val="-11"/>
          <w:sz w:val="24"/>
          <w:szCs w:val="24"/>
        </w:rPr>
        <w:t xml:space="preserve"> </w:t>
      </w:r>
      <w:r>
        <w:rPr>
          <w:rFonts w:ascii="Garamond" w:hAnsi="Garamond" w:cs="Garamond"/>
          <w:sz w:val="24"/>
          <w:szCs w:val="24"/>
        </w:rPr>
        <w:t>actually</w:t>
      </w:r>
      <w:r>
        <w:rPr>
          <w:rFonts w:ascii="Garamond" w:hAnsi="Garamond" w:cs="Garamond"/>
          <w:spacing w:val="-11"/>
          <w:sz w:val="24"/>
          <w:szCs w:val="24"/>
        </w:rPr>
        <w:t xml:space="preserve"> </w:t>
      </w:r>
      <w:r>
        <w:rPr>
          <w:rFonts w:ascii="Garamond" w:hAnsi="Garamond" w:cs="Garamond"/>
          <w:sz w:val="24"/>
          <w:szCs w:val="24"/>
        </w:rPr>
        <w:t>lowers</w:t>
      </w:r>
      <w:r>
        <w:rPr>
          <w:rFonts w:ascii="Garamond" w:hAnsi="Garamond" w:cs="Garamond"/>
          <w:spacing w:val="-15"/>
          <w:sz w:val="24"/>
          <w:szCs w:val="24"/>
        </w:rPr>
        <w:t xml:space="preserve"> </w:t>
      </w:r>
      <w:r>
        <w:rPr>
          <w:rFonts w:ascii="Garamond" w:hAnsi="Garamond" w:cs="Garamond"/>
          <w:sz w:val="24"/>
          <w:szCs w:val="24"/>
        </w:rPr>
        <w:t>overall</w:t>
      </w:r>
      <w:r>
        <w:rPr>
          <w:rFonts w:ascii="Garamond" w:hAnsi="Garamond" w:cs="Garamond"/>
          <w:spacing w:val="-12"/>
          <w:sz w:val="24"/>
          <w:szCs w:val="24"/>
        </w:rPr>
        <w:t xml:space="preserve"> </w:t>
      </w:r>
      <w:r>
        <w:rPr>
          <w:rFonts w:ascii="Garamond" w:hAnsi="Garamond" w:cs="Garamond"/>
          <w:sz w:val="24"/>
          <w:szCs w:val="24"/>
        </w:rPr>
        <w:t>health</w:t>
      </w:r>
      <w:r>
        <w:rPr>
          <w:rFonts w:ascii="Garamond" w:hAnsi="Garamond" w:cs="Garamond"/>
          <w:spacing w:val="-16"/>
          <w:sz w:val="24"/>
          <w:szCs w:val="24"/>
        </w:rPr>
        <w:t xml:space="preserve"> </w:t>
      </w:r>
      <w:r>
        <w:rPr>
          <w:rFonts w:ascii="Garamond" w:hAnsi="Garamond" w:cs="Garamond"/>
          <w:sz w:val="24"/>
          <w:szCs w:val="24"/>
        </w:rPr>
        <w:t>care</w:t>
      </w:r>
      <w:r>
        <w:rPr>
          <w:rFonts w:ascii="Garamond" w:hAnsi="Garamond" w:cs="Garamond"/>
          <w:spacing w:val="-11"/>
          <w:sz w:val="24"/>
          <w:szCs w:val="24"/>
        </w:rPr>
        <w:t xml:space="preserve"> </w:t>
      </w:r>
      <w:r>
        <w:rPr>
          <w:rFonts w:ascii="Garamond" w:hAnsi="Garamond" w:cs="Garamond"/>
          <w:sz w:val="24"/>
          <w:szCs w:val="24"/>
        </w:rPr>
        <w:t>costs.</w:t>
      </w:r>
      <w:r>
        <w:rPr>
          <w:rFonts w:ascii="Garamond" w:hAnsi="Garamond" w:cs="Garamond"/>
          <w:position w:val="10"/>
          <w:sz w:val="14"/>
          <w:szCs w:val="14"/>
        </w:rPr>
        <w:t>4</w:t>
      </w:r>
    </w:p>
    <w:p w:rsidR="002C5025" w:rsidRDefault="002C5025">
      <w:pPr>
        <w:pStyle w:val="BodyText"/>
        <w:kinsoku w:val="0"/>
        <w:overflowPunct w:val="0"/>
        <w:spacing w:before="8"/>
        <w:rPr>
          <w:rFonts w:ascii="Garamond" w:hAnsi="Garamond" w:cs="Garamond"/>
          <w:sz w:val="28"/>
          <w:szCs w:val="28"/>
        </w:rPr>
      </w:pPr>
    </w:p>
    <w:p w:rsidR="002C5025" w:rsidRDefault="002C5025">
      <w:pPr>
        <w:pStyle w:val="BodyText"/>
        <w:kinsoku w:val="0"/>
        <w:overflowPunct w:val="0"/>
        <w:spacing w:line="278" w:lineRule="auto"/>
        <w:ind w:left="460" w:right="585"/>
        <w:rPr>
          <w:rFonts w:ascii="Garamond" w:hAnsi="Garamond" w:cs="Garamond"/>
          <w:sz w:val="24"/>
          <w:szCs w:val="24"/>
        </w:rPr>
      </w:pPr>
      <w:r>
        <w:rPr>
          <w:rFonts w:ascii="Garamond" w:hAnsi="Garamond" w:cs="Garamond"/>
          <w:sz w:val="24"/>
          <w:szCs w:val="24"/>
        </w:rPr>
        <w:t>Aside</w:t>
      </w:r>
      <w:r>
        <w:rPr>
          <w:rFonts w:ascii="Garamond" w:hAnsi="Garamond" w:cs="Garamond"/>
          <w:spacing w:val="-10"/>
          <w:sz w:val="24"/>
          <w:szCs w:val="24"/>
        </w:rPr>
        <w:t xml:space="preserve"> </w:t>
      </w:r>
      <w:r>
        <w:rPr>
          <w:rFonts w:ascii="Garamond" w:hAnsi="Garamond" w:cs="Garamond"/>
          <w:sz w:val="24"/>
          <w:szCs w:val="24"/>
        </w:rPr>
        <w:t>from</w:t>
      </w:r>
      <w:r>
        <w:rPr>
          <w:rFonts w:ascii="Garamond" w:hAnsi="Garamond" w:cs="Garamond"/>
          <w:spacing w:val="-12"/>
          <w:sz w:val="24"/>
          <w:szCs w:val="24"/>
        </w:rPr>
        <w:t xml:space="preserve"> </w:t>
      </w:r>
      <w:r>
        <w:rPr>
          <w:rFonts w:ascii="Garamond" w:hAnsi="Garamond" w:cs="Garamond"/>
          <w:sz w:val="24"/>
          <w:szCs w:val="24"/>
        </w:rPr>
        <w:t>the</w:t>
      </w:r>
      <w:r>
        <w:rPr>
          <w:rFonts w:ascii="Garamond" w:hAnsi="Garamond" w:cs="Garamond"/>
          <w:spacing w:val="-10"/>
          <w:sz w:val="24"/>
          <w:szCs w:val="24"/>
        </w:rPr>
        <w:t xml:space="preserve"> </w:t>
      </w:r>
      <w:r>
        <w:rPr>
          <w:rFonts w:ascii="Garamond" w:hAnsi="Garamond" w:cs="Garamond"/>
          <w:sz w:val="24"/>
          <w:szCs w:val="24"/>
        </w:rPr>
        <w:t>economic</w:t>
      </w:r>
      <w:r>
        <w:rPr>
          <w:rFonts w:ascii="Garamond" w:hAnsi="Garamond" w:cs="Garamond"/>
          <w:spacing w:val="-13"/>
          <w:sz w:val="24"/>
          <w:szCs w:val="24"/>
        </w:rPr>
        <w:t xml:space="preserve"> </w:t>
      </w:r>
      <w:r>
        <w:rPr>
          <w:rFonts w:ascii="Garamond" w:hAnsi="Garamond" w:cs="Garamond"/>
          <w:sz w:val="24"/>
          <w:szCs w:val="24"/>
        </w:rPr>
        <w:t>toll,</w:t>
      </w:r>
      <w:r>
        <w:rPr>
          <w:rFonts w:ascii="Garamond" w:hAnsi="Garamond" w:cs="Garamond"/>
          <w:spacing w:val="-11"/>
          <w:sz w:val="24"/>
          <w:szCs w:val="24"/>
        </w:rPr>
        <w:t xml:space="preserve"> </w:t>
      </w:r>
      <w:r>
        <w:rPr>
          <w:rFonts w:ascii="Garamond" w:hAnsi="Garamond" w:cs="Garamond"/>
          <w:sz w:val="24"/>
          <w:szCs w:val="24"/>
        </w:rPr>
        <w:t>poor</w:t>
      </w:r>
      <w:r>
        <w:rPr>
          <w:rFonts w:ascii="Garamond" w:hAnsi="Garamond" w:cs="Garamond"/>
          <w:spacing w:val="-12"/>
          <w:sz w:val="24"/>
          <w:szCs w:val="24"/>
        </w:rPr>
        <w:t xml:space="preserve"> </w:t>
      </w:r>
      <w:r>
        <w:rPr>
          <w:rFonts w:ascii="Garamond" w:hAnsi="Garamond" w:cs="Garamond"/>
          <w:sz w:val="24"/>
          <w:szCs w:val="24"/>
        </w:rPr>
        <w:t>oral</w:t>
      </w:r>
      <w:r>
        <w:rPr>
          <w:rFonts w:ascii="Garamond" w:hAnsi="Garamond" w:cs="Garamond"/>
          <w:spacing w:val="-11"/>
          <w:sz w:val="24"/>
          <w:szCs w:val="24"/>
        </w:rPr>
        <w:t xml:space="preserve"> </w:t>
      </w:r>
      <w:r>
        <w:rPr>
          <w:rFonts w:ascii="Garamond" w:hAnsi="Garamond" w:cs="Garamond"/>
          <w:sz w:val="24"/>
          <w:szCs w:val="24"/>
        </w:rPr>
        <w:t>health</w:t>
      </w:r>
      <w:r>
        <w:rPr>
          <w:rFonts w:ascii="Garamond" w:hAnsi="Garamond" w:cs="Garamond"/>
          <w:spacing w:val="-9"/>
          <w:sz w:val="24"/>
          <w:szCs w:val="24"/>
        </w:rPr>
        <w:t xml:space="preserve"> </w:t>
      </w:r>
      <w:r>
        <w:rPr>
          <w:rFonts w:ascii="Garamond" w:hAnsi="Garamond" w:cs="Garamond"/>
          <w:sz w:val="24"/>
          <w:szCs w:val="24"/>
        </w:rPr>
        <w:t>severely</w:t>
      </w:r>
      <w:r>
        <w:rPr>
          <w:rFonts w:ascii="Garamond" w:hAnsi="Garamond" w:cs="Garamond"/>
          <w:spacing w:val="-10"/>
          <w:sz w:val="24"/>
          <w:szCs w:val="24"/>
        </w:rPr>
        <w:t xml:space="preserve"> </w:t>
      </w:r>
      <w:r>
        <w:rPr>
          <w:rFonts w:ascii="Garamond" w:hAnsi="Garamond" w:cs="Garamond"/>
          <w:sz w:val="24"/>
          <w:szCs w:val="24"/>
        </w:rPr>
        <w:t>impacts</w:t>
      </w:r>
      <w:r>
        <w:rPr>
          <w:rFonts w:ascii="Garamond" w:hAnsi="Garamond" w:cs="Garamond"/>
          <w:spacing w:val="-12"/>
          <w:sz w:val="24"/>
          <w:szCs w:val="24"/>
        </w:rPr>
        <w:t xml:space="preserve"> </w:t>
      </w:r>
      <w:r>
        <w:rPr>
          <w:rFonts w:ascii="Garamond" w:hAnsi="Garamond" w:cs="Garamond"/>
          <w:sz w:val="24"/>
          <w:szCs w:val="24"/>
        </w:rPr>
        <w:t>quality</w:t>
      </w:r>
      <w:r>
        <w:rPr>
          <w:rFonts w:ascii="Garamond" w:hAnsi="Garamond" w:cs="Garamond"/>
          <w:spacing w:val="-8"/>
          <w:sz w:val="24"/>
          <w:szCs w:val="24"/>
        </w:rPr>
        <w:t xml:space="preserve"> </w:t>
      </w:r>
      <w:r>
        <w:rPr>
          <w:rFonts w:ascii="Garamond" w:hAnsi="Garamond" w:cs="Garamond"/>
          <w:sz w:val="24"/>
          <w:szCs w:val="24"/>
        </w:rPr>
        <w:t>of</w:t>
      </w:r>
      <w:r>
        <w:rPr>
          <w:rFonts w:ascii="Garamond" w:hAnsi="Garamond" w:cs="Garamond"/>
          <w:spacing w:val="-12"/>
          <w:sz w:val="24"/>
          <w:szCs w:val="24"/>
        </w:rPr>
        <w:t xml:space="preserve"> </w:t>
      </w:r>
      <w:r>
        <w:rPr>
          <w:rFonts w:ascii="Garamond" w:hAnsi="Garamond" w:cs="Garamond"/>
          <w:sz w:val="24"/>
          <w:szCs w:val="24"/>
        </w:rPr>
        <w:t>life,</w:t>
      </w:r>
      <w:r>
        <w:rPr>
          <w:rFonts w:ascii="Garamond" w:hAnsi="Garamond" w:cs="Garamond"/>
          <w:spacing w:val="-13"/>
          <w:sz w:val="24"/>
          <w:szCs w:val="24"/>
        </w:rPr>
        <w:t xml:space="preserve"> </w:t>
      </w:r>
      <w:r>
        <w:rPr>
          <w:rFonts w:ascii="Garamond" w:hAnsi="Garamond" w:cs="Garamond"/>
          <w:sz w:val="24"/>
          <w:szCs w:val="24"/>
        </w:rPr>
        <w:t>particularly</w:t>
      </w:r>
      <w:r>
        <w:rPr>
          <w:rFonts w:ascii="Garamond" w:hAnsi="Garamond" w:cs="Garamond"/>
          <w:spacing w:val="-8"/>
          <w:sz w:val="24"/>
          <w:szCs w:val="24"/>
        </w:rPr>
        <w:t xml:space="preserve"> </w:t>
      </w:r>
      <w:r>
        <w:rPr>
          <w:rFonts w:ascii="Garamond" w:hAnsi="Garamond" w:cs="Garamond"/>
          <w:sz w:val="24"/>
          <w:szCs w:val="24"/>
        </w:rPr>
        <w:t>for</w:t>
      </w:r>
      <w:r>
        <w:rPr>
          <w:rFonts w:ascii="Garamond" w:hAnsi="Garamond" w:cs="Garamond"/>
          <w:spacing w:val="-12"/>
          <w:sz w:val="24"/>
          <w:szCs w:val="24"/>
        </w:rPr>
        <w:t xml:space="preserve"> </w:t>
      </w:r>
      <w:r>
        <w:rPr>
          <w:rFonts w:ascii="Garamond" w:hAnsi="Garamond" w:cs="Garamond"/>
          <w:sz w:val="24"/>
          <w:szCs w:val="24"/>
        </w:rPr>
        <w:t>the most</w:t>
      </w:r>
      <w:r>
        <w:rPr>
          <w:rFonts w:ascii="Garamond" w:hAnsi="Garamond" w:cs="Garamond"/>
          <w:spacing w:val="-15"/>
          <w:sz w:val="24"/>
          <w:szCs w:val="24"/>
        </w:rPr>
        <w:t xml:space="preserve"> </w:t>
      </w:r>
      <w:r>
        <w:rPr>
          <w:rFonts w:ascii="Garamond" w:hAnsi="Garamond" w:cs="Garamond"/>
          <w:sz w:val="24"/>
          <w:szCs w:val="24"/>
        </w:rPr>
        <w:t>vulnerable,</w:t>
      </w:r>
      <w:r>
        <w:rPr>
          <w:rFonts w:ascii="Garamond" w:hAnsi="Garamond" w:cs="Garamond"/>
          <w:spacing w:val="-12"/>
          <w:sz w:val="24"/>
          <w:szCs w:val="24"/>
        </w:rPr>
        <w:t xml:space="preserve"> </w:t>
      </w:r>
      <w:r>
        <w:rPr>
          <w:rFonts w:ascii="Garamond" w:hAnsi="Garamond" w:cs="Garamond"/>
          <w:sz w:val="24"/>
          <w:szCs w:val="24"/>
        </w:rPr>
        <w:t>including</w:t>
      </w:r>
      <w:r>
        <w:rPr>
          <w:rFonts w:ascii="Garamond" w:hAnsi="Garamond" w:cs="Garamond"/>
          <w:spacing w:val="-16"/>
          <w:sz w:val="24"/>
          <w:szCs w:val="24"/>
        </w:rPr>
        <w:t xml:space="preserve"> </w:t>
      </w:r>
      <w:r>
        <w:rPr>
          <w:rFonts w:ascii="Garamond" w:hAnsi="Garamond" w:cs="Garamond"/>
          <w:sz w:val="24"/>
          <w:szCs w:val="24"/>
        </w:rPr>
        <w:t>MassHealth</w:t>
      </w:r>
      <w:r>
        <w:rPr>
          <w:rFonts w:ascii="Garamond" w:hAnsi="Garamond" w:cs="Garamond"/>
          <w:spacing w:val="-12"/>
          <w:sz w:val="24"/>
          <w:szCs w:val="24"/>
        </w:rPr>
        <w:t xml:space="preserve"> </w:t>
      </w:r>
      <w:r>
        <w:rPr>
          <w:rFonts w:ascii="Garamond" w:hAnsi="Garamond" w:cs="Garamond"/>
          <w:sz w:val="24"/>
          <w:szCs w:val="24"/>
        </w:rPr>
        <w:t>enrollees.</w:t>
      </w:r>
      <w:r>
        <w:rPr>
          <w:rFonts w:ascii="Garamond" w:hAnsi="Garamond" w:cs="Garamond"/>
          <w:spacing w:val="-12"/>
          <w:sz w:val="24"/>
          <w:szCs w:val="24"/>
        </w:rPr>
        <w:t xml:space="preserve"> </w:t>
      </w:r>
      <w:r>
        <w:rPr>
          <w:rFonts w:ascii="Garamond" w:hAnsi="Garamond" w:cs="Garamond"/>
          <w:sz w:val="24"/>
          <w:szCs w:val="24"/>
        </w:rPr>
        <w:t>According</w:t>
      </w:r>
      <w:r>
        <w:rPr>
          <w:rFonts w:ascii="Garamond" w:hAnsi="Garamond" w:cs="Garamond"/>
          <w:spacing w:val="-12"/>
          <w:sz w:val="24"/>
          <w:szCs w:val="24"/>
        </w:rPr>
        <w:t xml:space="preserve"> </w:t>
      </w:r>
      <w:r>
        <w:rPr>
          <w:rFonts w:ascii="Garamond" w:hAnsi="Garamond" w:cs="Garamond"/>
          <w:sz w:val="24"/>
          <w:szCs w:val="24"/>
        </w:rPr>
        <w:t>to</w:t>
      </w:r>
      <w:r>
        <w:rPr>
          <w:rFonts w:ascii="Garamond" w:hAnsi="Garamond" w:cs="Garamond"/>
          <w:spacing w:val="-15"/>
          <w:sz w:val="24"/>
          <w:szCs w:val="24"/>
        </w:rPr>
        <w:t xml:space="preserve"> </w:t>
      </w:r>
      <w:r>
        <w:rPr>
          <w:rFonts w:ascii="Garamond" w:hAnsi="Garamond" w:cs="Garamond"/>
          <w:sz w:val="24"/>
          <w:szCs w:val="24"/>
        </w:rPr>
        <w:t>a</w:t>
      </w:r>
      <w:r>
        <w:rPr>
          <w:rFonts w:ascii="Garamond" w:hAnsi="Garamond" w:cs="Garamond"/>
          <w:spacing w:val="-11"/>
          <w:sz w:val="24"/>
          <w:szCs w:val="24"/>
        </w:rPr>
        <w:t xml:space="preserve"> </w:t>
      </w:r>
      <w:r>
        <w:rPr>
          <w:rFonts w:ascii="Garamond" w:hAnsi="Garamond" w:cs="Garamond"/>
          <w:sz w:val="24"/>
          <w:szCs w:val="24"/>
        </w:rPr>
        <w:t>recent</w:t>
      </w:r>
      <w:r>
        <w:rPr>
          <w:rFonts w:ascii="Garamond" w:hAnsi="Garamond" w:cs="Garamond"/>
          <w:spacing w:val="-13"/>
          <w:sz w:val="24"/>
          <w:szCs w:val="24"/>
        </w:rPr>
        <w:t xml:space="preserve"> </w:t>
      </w:r>
      <w:r>
        <w:rPr>
          <w:rFonts w:ascii="Garamond" w:hAnsi="Garamond" w:cs="Garamond"/>
          <w:sz w:val="24"/>
          <w:szCs w:val="24"/>
        </w:rPr>
        <w:t>survey</w:t>
      </w:r>
      <w:r>
        <w:rPr>
          <w:rFonts w:ascii="Garamond" w:hAnsi="Garamond" w:cs="Garamond"/>
          <w:spacing w:val="-15"/>
          <w:sz w:val="24"/>
          <w:szCs w:val="24"/>
        </w:rPr>
        <w:t xml:space="preserve"> </w:t>
      </w:r>
      <w:r>
        <w:rPr>
          <w:rFonts w:ascii="Garamond" w:hAnsi="Garamond" w:cs="Garamond"/>
          <w:sz w:val="24"/>
          <w:szCs w:val="24"/>
        </w:rPr>
        <w:t>by</w:t>
      </w:r>
      <w:r>
        <w:rPr>
          <w:rFonts w:ascii="Garamond" w:hAnsi="Garamond" w:cs="Garamond"/>
          <w:spacing w:val="-11"/>
          <w:sz w:val="24"/>
          <w:szCs w:val="24"/>
        </w:rPr>
        <w:t xml:space="preserve"> </w:t>
      </w:r>
      <w:r>
        <w:rPr>
          <w:rFonts w:ascii="Garamond" w:hAnsi="Garamond" w:cs="Garamond"/>
          <w:sz w:val="24"/>
          <w:szCs w:val="24"/>
        </w:rPr>
        <w:t>the</w:t>
      </w:r>
      <w:r>
        <w:rPr>
          <w:rFonts w:ascii="Garamond" w:hAnsi="Garamond" w:cs="Garamond"/>
          <w:spacing w:val="-11"/>
          <w:sz w:val="24"/>
          <w:szCs w:val="24"/>
        </w:rPr>
        <w:t xml:space="preserve"> </w:t>
      </w:r>
      <w:r>
        <w:rPr>
          <w:rFonts w:ascii="Garamond" w:hAnsi="Garamond" w:cs="Garamond"/>
          <w:sz w:val="24"/>
          <w:szCs w:val="24"/>
        </w:rPr>
        <w:t>American</w:t>
      </w:r>
    </w:p>
    <w:p w:rsidR="002C5025" w:rsidRDefault="00FB027C">
      <w:pPr>
        <w:pStyle w:val="BodyText"/>
        <w:kinsoku w:val="0"/>
        <w:overflowPunct w:val="0"/>
        <w:spacing w:before="7"/>
        <w:rPr>
          <w:rFonts w:ascii="Garamond" w:hAnsi="Garamond" w:cs="Garamond"/>
          <w:sz w:val="11"/>
          <w:szCs w:val="11"/>
        </w:rPr>
      </w:pPr>
      <w:r>
        <w:rPr>
          <w:noProof/>
        </w:rPr>
        <mc:AlternateContent>
          <mc:Choice Requires="wps">
            <w:drawing>
              <wp:anchor distT="0" distB="0" distL="0" distR="0" simplePos="0" relativeHeight="251792896" behindDoc="0" locked="0" layoutInCell="0" allowOverlap="1">
                <wp:simplePos x="0" y="0"/>
                <wp:positionH relativeFrom="page">
                  <wp:posOffset>923925</wp:posOffset>
                </wp:positionH>
                <wp:positionV relativeFrom="paragraph">
                  <wp:posOffset>113030</wp:posOffset>
                </wp:positionV>
                <wp:extent cx="1829435" cy="12700"/>
                <wp:effectExtent l="0" t="0" r="0" b="0"/>
                <wp:wrapTopAndBottom/>
                <wp:docPr id="97" name="Freeform 7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1 w 2881"/>
                            <a:gd name="T3" fmla="*/ 0 h 20"/>
                          </a:gdLst>
                          <a:ahLst/>
                          <a:cxnLst>
                            <a:cxn ang="0">
                              <a:pos x="T0" y="T1"/>
                            </a:cxn>
                            <a:cxn ang="0">
                              <a:pos x="T2" y="T3"/>
                            </a:cxn>
                          </a:cxnLst>
                          <a:rect l="0" t="0" r="r" b="b"/>
                          <a:pathLst>
                            <a:path w="2881" h="20">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85" o:spid="_x0000_s1026" style="position:absolute;z-index:251792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2.75pt,8.9pt,216.8pt,8.9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" o:allowincell="f" filled="f" strokeweight=".82pt">
                <v:path arrowok="t" o:connecttype="custom" o:connectlocs="0,0;1829435,0" o:connectangles="0,0"/>
                <w10:wrap type="topAndBottom" anchorx="page"/>
              </v:polyline>
            </w:pict>
          </mc:Fallback>
        </mc:AlternateContent>
      </w:r>
    </w:p>
    <w:p w:rsidR="002C5025" w:rsidRDefault="002C5025">
      <w:pPr>
        <w:pStyle w:val="BodyText"/>
        <w:kinsoku w:val="0"/>
        <w:overflowPunct w:val="0"/>
        <w:spacing w:before="71"/>
        <w:ind w:left="460" w:right="585"/>
        <w:rPr>
          <w:rFonts w:ascii="Garamond" w:hAnsi="Garamond" w:cs="Garamond"/>
          <w:i/>
          <w:iCs/>
          <w:sz w:val="20"/>
          <w:szCs w:val="20"/>
        </w:rPr>
      </w:pPr>
      <w:r>
        <w:rPr>
          <w:rFonts w:ascii="Garamond" w:hAnsi="Garamond" w:cs="Garamond"/>
          <w:position w:val="5"/>
          <w:sz w:val="13"/>
          <w:szCs w:val="13"/>
        </w:rPr>
        <w:t xml:space="preserve">1 </w:t>
      </w:r>
      <w:r>
        <w:rPr>
          <w:rFonts w:ascii="Garamond" w:hAnsi="Garamond" w:cs="Garamond"/>
          <w:sz w:val="20"/>
          <w:szCs w:val="20"/>
        </w:rPr>
        <w:t xml:space="preserve">National Center for Chronic Disease Prevention and Health Promotion, (2002). </w:t>
      </w:r>
      <w:r>
        <w:rPr>
          <w:rFonts w:ascii="Garamond" w:hAnsi="Garamond" w:cs="Garamond"/>
          <w:i/>
          <w:iCs/>
          <w:sz w:val="20"/>
          <w:szCs w:val="20"/>
        </w:rPr>
        <w:t>Fact Sheet: “Preventing Dental Cavities.”</w:t>
      </w:r>
    </w:p>
    <w:p w:rsidR="002C5025" w:rsidRDefault="002C5025">
      <w:pPr>
        <w:pStyle w:val="BodyText"/>
        <w:kinsoku w:val="0"/>
        <w:overflowPunct w:val="0"/>
        <w:spacing w:before="3" w:line="222" w:lineRule="exact"/>
        <w:ind w:left="460" w:right="5318"/>
        <w:rPr>
          <w:rFonts w:ascii="Garamond" w:hAnsi="Garamond" w:cs="Garamond"/>
          <w:sz w:val="20"/>
          <w:szCs w:val="20"/>
        </w:rPr>
      </w:pPr>
      <w:r>
        <w:rPr>
          <w:rFonts w:ascii="Garamond" w:hAnsi="Garamond" w:cs="Garamond"/>
          <w:sz w:val="20"/>
          <w:szCs w:val="20"/>
        </w:rPr>
        <w:t>Centers for Disease Control and Prevention.</w:t>
      </w:r>
    </w:p>
    <w:p w:rsidR="002C5025" w:rsidRDefault="002C5025">
      <w:pPr>
        <w:pStyle w:val="BodyText"/>
        <w:kinsoku w:val="0"/>
        <w:overflowPunct w:val="0"/>
        <w:spacing w:line="242" w:lineRule="auto"/>
        <w:ind w:left="460" w:right="585"/>
        <w:rPr>
          <w:rFonts w:ascii="Garamond" w:hAnsi="Garamond" w:cs="Garamond"/>
          <w:sz w:val="20"/>
          <w:szCs w:val="20"/>
        </w:rPr>
      </w:pPr>
      <w:r>
        <w:rPr>
          <w:rFonts w:ascii="Garamond" w:hAnsi="Garamond" w:cs="Garamond"/>
          <w:position w:val="10"/>
          <w:sz w:val="14"/>
          <w:szCs w:val="14"/>
        </w:rPr>
        <w:t>2</w:t>
      </w:r>
      <w:r>
        <w:rPr>
          <w:rFonts w:ascii="Garamond" w:hAnsi="Garamond" w:cs="Garamond"/>
          <w:spacing w:val="10"/>
          <w:position w:val="10"/>
          <w:sz w:val="14"/>
          <w:szCs w:val="14"/>
        </w:rPr>
        <w:t xml:space="preserve"> </w:t>
      </w:r>
      <w:r>
        <w:rPr>
          <w:rFonts w:ascii="Garamond" w:hAnsi="Garamond" w:cs="Garamond"/>
          <w:sz w:val="20"/>
          <w:szCs w:val="20"/>
        </w:rPr>
        <w:t>Division</w:t>
      </w:r>
      <w:r>
        <w:rPr>
          <w:rFonts w:ascii="Garamond" w:hAnsi="Garamond" w:cs="Garamond"/>
          <w:spacing w:val="-13"/>
          <w:sz w:val="20"/>
          <w:szCs w:val="20"/>
        </w:rPr>
        <w:t xml:space="preserve"> </w:t>
      </w:r>
      <w:r>
        <w:rPr>
          <w:rFonts w:ascii="Garamond" w:hAnsi="Garamond" w:cs="Garamond"/>
          <w:sz w:val="20"/>
          <w:szCs w:val="20"/>
        </w:rPr>
        <w:t>of</w:t>
      </w:r>
      <w:r>
        <w:rPr>
          <w:rFonts w:ascii="Garamond" w:hAnsi="Garamond" w:cs="Garamond"/>
          <w:spacing w:val="-10"/>
          <w:sz w:val="20"/>
          <w:szCs w:val="20"/>
        </w:rPr>
        <w:t xml:space="preserve"> </w:t>
      </w:r>
      <w:r>
        <w:rPr>
          <w:rFonts w:ascii="Garamond" w:hAnsi="Garamond" w:cs="Garamond"/>
          <w:sz w:val="20"/>
          <w:szCs w:val="20"/>
        </w:rPr>
        <w:t>Health</w:t>
      </w:r>
      <w:r>
        <w:rPr>
          <w:rFonts w:ascii="Garamond" w:hAnsi="Garamond" w:cs="Garamond"/>
          <w:spacing w:val="-13"/>
          <w:sz w:val="20"/>
          <w:szCs w:val="20"/>
        </w:rPr>
        <w:t xml:space="preserve"> </w:t>
      </w:r>
      <w:r>
        <w:rPr>
          <w:rFonts w:ascii="Garamond" w:hAnsi="Garamond" w:cs="Garamond"/>
          <w:sz w:val="20"/>
          <w:szCs w:val="20"/>
        </w:rPr>
        <w:t>Care</w:t>
      </w:r>
      <w:r>
        <w:rPr>
          <w:rFonts w:ascii="Garamond" w:hAnsi="Garamond" w:cs="Garamond"/>
          <w:spacing w:val="-10"/>
          <w:sz w:val="20"/>
          <w:szCs w:val="20"/>
        </w:rPr>
        <w:t xml:space="preserve"> </w:t>
      </w:r>
      <w:r>
        <w:rPr>
          <w:rFonts w:ascii="Garamond" w:hAnsi="Garamond" w:cs="Garamond"/>
          <w:sz w:val="20"/>
          <w:szCs w:val="20"/>
        </w:rPr>
        <w:t>Finance</w:t>
      </w:r>
      <w:r>
        <w:rPr>
          <w:rFonts w:ascii="Garamond" w:hAnsi="Garamond" w:cs="Garamond"/>
          <w:spacing w:val="-10"/>
          <w:sz w:val="20"/>
          <w:szCs w:val="20"/>
        </w:rPr>
        <w:t xml:space="preserve"> </w:t>
      </w:r>
      <w:r>
        <w:rPr>
          <w:rFonts w:ascii="Garamond" w:hAnsi="Garamond" w:cs="Garamond"/>
          <w:sz w:val="20"/>
          <w:szCs w:val="20"/>
        </w:rPr>
        <w:t>and</w:t>
      </w:r>
      <w:r>
        <w:rPr>
          <w:rFonts w:ascii="Garamond" w:hAnsi="Garamond" w:cs="Garamond"/>
          <w:spacing w:val="-10"/>
          <w:sz w:val="20"/>
          <w:szCs w:val="20"/>
        </w:rPr>
        <w:t xml:space="preserve"> </w:t>
      </w:r>
      <w:r>
        <w:rPr>
          <w:rFonts w:ascii="Garamond" w:hAnsi="Garamond" w:cs="Garamond"/>
          <w:sz w:val="20"/>
          <w:szCs w:val="20"/>
        </w:rPr>
        <w:t>Policy.</w:t>
      </w:r>
      <w:r>
        <w:rPr>
          <w:rFonts w:ascii="Garamond" w:hAnsi="Garamond" w:cs="Garamond"/>
          <w:spacing w:val="-13"/>
          <w:sz w:val="20"/>
          <w:szCs w:val="20"/>
        </w:rPr>
        <w:t xml:space="preserve"> </w:t>
      </w:r>
      <w:r>
        <w:rPr>
          <w:rFonts w:ascii="Garamond" w:hAnsi="Garamond" w:cs="Garamond"/>
          <w:sz w:val="20"/>
          <w:szCs w:val="20"/>
        </w:rPr>
        <w:t>(2012).</w:t>
      </w:r>
      <w:r>
        <w:rPr>
          <w:rFonts w:ascii="Garamond" w:hAnsi="Garamond" w:cs="Garamond"/>
          <w:spacing w:val="-9"/>
          <w:sz w:val="20"/>
          <w:szCs w:val="20"/>
        </w:rPr>
        <w:t xml:space="preserve"> </w:t>
      </w:r>
      <w:r>
        <w:rPr>
          <w:rFonts w:ascii="Garamond" w:hAnsi="Garamond" w:cs="Garamond"/>
          <w:i/>
          <w:iCs/>
          <w:sz w:val="20"/>
          <w:szCs w:val="20"/>
        </w:rPr>
        <w:t>Massachusetts’</w:t>
      </w:r>
      <w:r>
        <w:rPr>
          <w:rFonts w:ascii="Garamond" w:hAnsi="Garamond" w:cs="Garamond"/>
          <w:i/>
          <w:iCs/>
          <w:spacing w:val="-13"/>
          <w:sz w:val="20"/>
          <w:szCs w:val="20"/>
        </w:rPr>
        <w:t xml:space="preserve"> </w:t>
      </w:r>
      <w:r>
        <w:rPr>
          <w:rFonts w:ascii="Garamond" w:hAnsi="Garamond" w:cs="Garamond"/>
          <w:i/>
          <w:iCs/>
          <w:sz w:val="20"/>
          <w:szCs w:val="20"/>
        </w:rPr>
        <w:t>Emergency</w:t>
      </w:r>
      <w:r>
        <w:rPr>
          <w:rFonts w:ascii="Garamond" w:hAnsi="Garamond" w:cs="Garamond"/>
          <w:i/>
          <w:iCs/>
          <w:spacing w:val="-10"/>
          <w:sz w:val="20"/>
          <w:szCs w:val="20"/>
        </w:rPr>
        <w:t xml:space="preserve"> </w:t>
      </w:r>
      <w:r>
        <w:rPr>
          <w:rFonts w:ascii="Garamond" w:hAnsi="Garamond" w:cs="Garamond"/>
          <w:i/>
          <w:iCs/>
          <w:sz w:val="20"/>
          <w:szCs w:val="20"/>
        </w:rPr>
        <w:t>Departments</w:t>
      </w:r>
      <w:r>
        <w:rPr>
          <w:rFonts w:ascii="Garamond" w:hAnsi="Garamond" w:cs="Garamond"/>
          <w:i/>
          <w:iCs/>
          <w:spacing w:val="-15"/>
          <w:sz w:val="20"/>
          <w:szCs w:val="20"/>
        </w:rPr>
        <w:t xml:space="preserve"> </w:t>
      </w:r>
      <w:r>
        <w:rPr>
          <w:rFonts w:ascii="Garamond" w:hAnsi="Garamond" w:cs="Garamond"/>
          <w:i/>
          <w:iCs/>
          <w:sz w:val="20"/>
          <w:szCs w:val="20"/>
        </w:rPr>
        <w:t>and</w:t>
      </w:r>
      <w:r>
        <w:rPr>
          <w:rFonts w:ascii="Garamond" w:hAnsi="Garamond" w:cs="Garamond"/>
          <w:i/>
          <w:iCs/>
          <w:spacing w:val="-10"/>
          <w:sz w:val="20"/>
          <w:szCs w:val="20"/>
        </w:rPr>
        <w:t xml:space="preserve"> </w:t>
      </w:r>
      <w:r>
        <w:rPr>
          <w:rFonts w:ascii="Garamond" w:hAnsi="Garamond" w:cs="Garamond"/>
          <w:i/>
          <w:iCs/>
          <w:sz w:val="20"/>
          <w:szCs w:val="20"/>
        </w:rPr>
        <w:t>Preventable</w:t>
      </w:r>
      <w:r>
        <w:rPr>
          <w:rFonts w:ascii="Garamond" w:hAnsi="Garamond" w:cs="Garamond"/>
          <w:i/>
          <w:iCs/>
          <w:spacing w:val="-13"/>
          <w:sz w:val="20"/>
          <w:szCs w:val="20"/>
        </w:rPr>
        <w:t xml:space="preserve"> </w:t>
      </w:r>
      <w:r>
        <w:rPr>
          <w:rFonts w:ascii="Garamond" w:hAnsi="Garamond" w:cs="Garamond"/>
          <w:i/>
          <w:iCs/>
          <w:sz w:val="20"/>
          <w:szCs w:val="20"/>
        </w:rPr>
        <w:t>Adult</w:t>
      </w:r>
      <w:r>
        <w:rPr>
          <w:rFonts w:ascii="Garamond" w:hAnsi="Garamond" w:cs="Garamond"/>
          <w:i/>
          <w:iCs/>
          <w:spacing w:val="-10"/>
          <w:sz w:val="20"/>
          <w:szCs w:val="20"/>
        </w:rPr>
        <w:t xml:space="preserve"> </w:t>
      </w:r>
      <w:r>
        <w:rPr>
          <w:rFonts w:ascii="Garamond" w:hAnsi="Garamond" w:cs="Garamond"/>
          <w:i/>
          <w:iCs/>
          <w:sz w:val="20"/>
          <w:szCs w:val="20"/>
        </w:rPr>
        <w:t>Oral</w:t>
      </w:r>
      <w:r>
        <w:rPr>
          <w:rFonts w:ascii="Garamond" w:hAnsi="Garamond" w:cs="Garamond"/>
          <w:i/>
          <w:iCs/>
          <w:spacing w:val="-13"/>
          <w:sz w:val="20"/>
          <w:szCs w:val="20"/>
        </w:rPr>
        <w:t xml:space="preserve"> </w:t>
      </w:r>
      <w:r>
        <w:rPr>
          <w:rFonts w:ascii="Garamond" w:hAnsi="Garamond" w:cs="Garamond"/>
          <w:i/>
          <w:iCs/>
          <w:sz w:val="20"/>
          <w:szCs w:val="20"/>
        </w:rPr>
        <w:t xml:space="preserve">Health Conditions: Utilization, Impact and Missed Opportunities (2008-2011). </w:t>
      </w:r>
      <w:r>
        <w:rPr>
          <w:rFonts w:ascii="Garamond" w:hAnsi="Garamond" w:cs="Garamond"/>
          <w:sz w:val="20"/>
          <w:szCs w:val="20"/>
        </w:rPr>
        <w:t xml:space="preserve">Boston, MA: Center for Health Information </w:t>
      </w:r>
      <w:r>
        <w:rPr>
          <w:rFonts w:ascii="Garamond" w:hAnsi="Garamond" w:cs="Garamond"/>
          <w:spacing w:val="-3"/>
          <w:sz w:val="20"/>
          <w:szCs w:val="20"/>
        </w:rPr>
        <w:t xml:space="preserve">and </w:t>
      </w:r>
      <w:r>
        <w:rPr>
          <w:rFonts w:ascii="Garamond" w:hAnsi="Garamond" w:cs="Garamond"/>
          <w:sz w:val="20"/>
          <w:szCs w:val="20"/>
        </w:rPr>
        <w:t>Analysis.</w:t>
      </w:r>
    </w:p>
    <w:p w:rsidR="002C5025" w:rsidRDefault="002C5025">
      <w:pPr>
        <w:pStyle w:val="BodyText"/>
        <w:kinsoku w:val="0"/>
        <w:overflowPunct w:val="0"/>
        <w:ind w:left="460" w:right="624"/>
        <w:rPr>
          <w:rFonts w:ascii="Garamond" w:hAnsi="Garamond" w:cs="Garamond"/>
          <w:sz w:val="20"/>
          <w:szCs w:val="20"/>
        </w:rPr>
      </w:pPr>
      <w:r>
        <w:rPr>
          <w:rFonts w:ascii="Garamond" w:hAnsi="Garamond" w:cs="Garamond"/>
          <w:position w:val="5"/>
          <w:sz w:val="13"/>
          <w:szCs w:val="13"/>
        </w:rPr>
        <w:t>3</w:t>
      </w:r>
      <w:r>
        <w:rPr>
          <w:rFonts w:ascii="Garamond" w:hAnsi="Garamond" w:cs="Garamond"/>
          <w:spacing w:val="3"/>
          <w:position w:val="5"/>
          <w:sz w:val="13"/>
          <w:szCs w:val="13"/>
        </w:rPr>
        <w:t xml:space="preserve"> </w:t>
      </w:r>
      <w:r>
        <w:rPr>
          <w:rFonts w:ascii="Garamond" w:hAnsi="Garamond" w:cs="Garamond"/>
          <w:sz w:val="20"/>
          <w:szCs w:val="20"/>
        </w:rPr>
        <w:t>Massachusetts</w:t>
      </w:r>
      <w:r>
        <w:rPr>
          <w:rFonts w:ascii="Garamond" w:hAnsi="Garamond" w:cs="Garamond"/>
          <w:spacing w:val="-14"/>
          <w:sz w:val="20"/>
          <w:szCs w:val="20"/>
        </w:rPr>
        <w:t xml:space="preserve"> </w:t>
      </w:r>
      <w:r>
        <w:rPr>
          <w:rFonts w:ascii="Garamond" w:hAnsi="Garamond" w:cs="Garamond"/>
          <w:sz w:val="20"/>
          <w:szCs w:val="20"/>
        </w:rPr>
        <w:t>Health</w:t>
      </w:r>
      <w:r>
        <w:rPr>
          <w:rFonts w:ascii="Garamond" w:hAnsi="Garamond" w:cs="Garamond"/>
          <w:spacing w:val="-14"/>
          <w:sz w:val="20"/>
          <w:szCs w:val="20"/>
        </w:rPr>
        <w:t xml:space="preserve"> </w:t>
      </w:r>
      <w:r>
        <w:rPr>
          <w:rFonts w:ascii="Garamond" w:hAnsi="Garamond" w:cs="Garamond"/>
          <w:sz w:val="20"/>
          <w:szCs w:val="20"/>
        </w:rPr>
        <w:t>Policy</w:t>
      </w:r>
      <w:r>
        <w:rPr>
          <w:rFonts w:ascii="Garamond" w:hAnsi="Garamond" w:cs="Garamond"/>
          <w:spacing w:val="-10"/>
          <w:sz w:val="20"/>
          <w:szCs w:val="20"/>
        </w:rPr>
        <w:t xml:space="preserve"> </w:t>
      </w:r>
      <w:r>
        <w:rPr>
          <w:rFonts w:ascii="Garamond" w:hAnsi="Garamond" w:cs="Garamond"/>
          <w:sz w:val="20"/>
          <w:szCs w:val="20"/>
        </w:rPr>
        <w:t>Commission.</w:t>
      </w:r>
      <w:r>
        <w:rPr>
          <w:rFonts w:ascii="Garamond" w:hAnsi="Garamond" w:cs="Garamond"/>
          <w:spacing w:val="-14"/>
          <w:sz w:val="20"/>
          <w:szCs w:val="20"/>
        </w:rPr>
        <w:t xml:space="preserve"> </w:t>
      </w:r>
      <w:r>
        <w:rPr>
          <w:rFonts w:ascii="Garamond" w:hAnsi="Garamond" w:cs="Garamond"/>
          <w:sz w:val="20"/>
          <w:szCs w:val="20"/>
        </w:rPr>
        <w:t>(2016).</w:t>
      </w:r>
      <w:r>
        <w:rPr>
          <w:rFonts w:ascii="Garamond" w:hAnsi="Garamond" w:cs="Garamond"/>
          <w:spacing w:val="-9"/>
          <w:sz w:val="20"/>
          <w:szCs w:val="20"/>
        </w:rPr>
        <w:t xml:space="preserve"> </w:t>
      </w:r>
      <w:r>
        <w:rPr>
          <w:rFonts w:ascii="Garamond" w:hAnsi="Garamond" w:cs="Garamond"/>
          <w:i/>
          <w:iCs/>
          <w:sz w:val="20"/>
          <w:szCs w:val="20"/>
        </w:rPr>
        <w:t>ED</w:t>
      </w:r>
      <w:r>
        <w:rPr>
          <w:rFonts w:ascii="Garamond" w:hAnsi="Garamond" w:cs="Garamond"/>
          <w:i/>
          <w:iCs/>
          <w:spacing w:val="-10"/>
          <w:sz w:val="20"/>
          <w:szCs w:val="20"/>
        </w:rPr>
        <w:t xml:space="preserve"> </w:t>
      </w:r>
      <w:r>
        <w:rPr>
          <w:rFonts w:ascii="Garamond" w:hAnsi="Garamond" w:cs="Garamond"/>
          <w:i/>
          <w:iCs/>
          <w:sz w:val="20"/>
          <w:szCs w:val="20"/>
        </w:rPr>
        <w:t>Utilization</w:t>
      </w:r>
      <w:r>
        <w:rPr>
          <w:rFonts w:ascii="Garamond" w:hAnsi="Garamond" w:cs="Garamond"/>
          <w:i/>
          <w:iCs/>
          <w:spacing w:val="-14"/>
          <w:sz w:val="20"/>
          <w:szCs w:val="20"/>
        </w:rPr>
        <w:t xml:space="preserve"> </w:t>
      </w:r>
      <w:r>
        <w:rPr>
          <w:rFonts w:ascii="Garamond" w:hAnsi="Garamond" w:cs="Garamond"/>
          <w:i/>
          <w:iCs/>
          <w:sz w:val="20"/>
          <w:szCs w:val="20"/>
        </w:rPr>
        <w:t>for</w:t>
      </w:r>
      <w:r>
        <w:rPr>
          <w:rFonts w:ascii="Garamond" w:hAnsi="Garamond" w:cs="Garamond"/>
          <w:i/>
          <w:iCs/>
          <w:spacing w:val="-13"/>
          <w:sz w:val="20"/>
          <w:szCs w:val="20"/>
        </w:rPr>
        <w:t xml:space="preserve"> </w:t>
      </w:r>
      <w:r>
        <w:rPr>
          <w:rFonts w:ascii="Garamond" w:hAnsi="Garamond" w:cs="Garamond"/>
          <w:i/>
          <w:iCs/>
          <w:sz w:val="20"/>
          <w:szCs w:val="20"/>
        </w:rPr>
        <w:t>Preventable</w:t>
      </w:r>
      <w:r>
        <w:rPr>
          <w:rFonts w:ascii="Garamond" w:hAnsi="Garamond" w:cs="Garamond"/>
          <w:i/>
          <w:iCs/>
          <w:spacing w:val="-14"/>
          <w:sz w:val="20"/>
          <w:szCs w:val="20"/>
        </w:rPr>
        <w:t xml:space="preserve"> </w:t>
      </w:r>
      <w:r>
        <w:rPr>
          <w:rFonts w:ascii="Garamond" w:hAnsi="Garamond" w:cs="Garamond"/>
          <w:i/>
          <w:iCs/>
          <w:sz w:val="20"/>
          <w:szCs w:val="20"/>
        </w:rPr>
        <w:t>Oral</w:t>
      </w:r>
      <w:r>
        <w:rPr>
          <w:rFonts w:ascii="Garamond" w:hAnsi="Garamond" w:cs="Garamond"/>
          <w:i/>
          <w:iCs/>
          <w:spacing w:val="-14"/>
          <w:sz w:val="20"/>
          <w:szCs w:val="20"/>
        </w:rPr>
        <w:t xml:space="preserve"> </w:t>
      </w:r>
      <w:r>
        <w:rPr>
          <w:rFonts w:ascii="Garamond" w:hAnsi="Garamond" w:cs="Garamond"/>
          <w:i/>
          <w:iCs/>
          <w:sz w:val="20"/>
          <w:szCs w:val="20"/>
        </w:rPr>
        <w:t>Health</w:t>
      </w:r>
      <w:r>
        <w:rPr>
          <w:rFonts w:ascii="Garamond" w:hAnsi="Garamond" w:cs="Garamond"/>
          <w:i/>
          <w:iCs/>
          <w:spacing w:val="-10"/>
          <w:sz w:val="20"/>
          <w:szCs w:val="20"/>
        </w:rPr>
        <w:t xml:space="preserve"> </w:t>
      </w:r>
      <w:r>
        <w:rPr>
          <w:rFonts w:ascii="Garamond" w:hAnsi="Garamond" w:cs="Garamond"/>
          <w:i/>
          <w:iCs/>
          <w:sz w:val="20"/>
          <w:szCs w:val="20"/>
        </w:rPr>
        <w:t>Conditions</w:t>
      </w:r>
      <w:r>
        <w:rPr>
          <w:rFonts w:ascii="Garamond" w:hAnsi="Garamond" w:cs="Garamond"/>
          <w:i/>
          <w:iCs/>
          <w:spacing w:val="-11"/>
          <w:sz w:val="20"/>
          <w:szCs w:val="20"/>
        </w:rPr>
        <w:t xml:space="preserve"> </w:t>
      </w:r>
      <w:r>
        <w:rPr>
          <w:rFonts w:ascii="Garamond" w:hAnsi="Garamond" w:cs="Garamond"/>
          <w:i/>
          <w:iCs/>
          <w:sz w:val="20"/>
          <w:szCs w:val="20"/>
        </w:rPr>
        <w:t>in</w:t>
      </w:r>
      <w:r>
        <w:rPr>
          <w:rFonts w:ascii="Garamond" w:hAnsi="Garamond" w:cs="Garamond"/>
          <w:i/>
          <w:iCs/>
          <w:spacing w:val="-14"/>
          <w:sz w:val="20"/>
          <w:szCs w:val="20"/>
        </w:rPr>
        <w:t xml:space="preserve"> </w:t>
      </w:r>
      <w:r>
        <w:rPr>
          <w:rFonts w:ascii="Garamond" w:hAnsi="Garamond" w:cs="Garamond"/>
          <w:i/>
          <w:iCs/>
          <w:sz w:val="20"/>
          <w:szCs w:val="20"/>
        </w:rPr>
        <w:t>MA</w:t>
      </w:r>
      <w:r>
        <w:rPr>
          <w:rFonts w:ascii="Garamond" w:hAnsi="Garamond" w:cs="Garamond"/>
          <w:i/>
          <w:iCs/>
          <w:spacing w:val="-7"/>
          <w:sz w:val="20"/>
          <w:szCs w:val="20"/>
        </w:rPr>
        <w:t xml:space="preserve"> </w:t>
      </w:r>
      <w:r>
        <w:rPr>
          <w:rFonts w:ascii="Garamond" w:hAnsi="Garamond" w:cs="Garamond"/>
          <w:sz w:val="20"/>
          <w:szCs w:val="20"/>
        </w:rPr>
        <w:t>[</w:t>
      </w:r>
      <w:proofErr w:type="spellStart"/>
      <w:r>
        <w:rPr>
          <w:rFonts w:ascii="Garamond" w:hAnsi="Garamond" w:cs="Garamond"/>
          <w:sz w:val="20"/>
          <w:szCs w:val="20"/>
        </w:rPr>
        <w:t>Powerpoint</w:t>
      </w:r>
      <w:proofErr w:type="spellEnd"/>
      <w:r>
        <w:rPr>
          <w:rFonts w:ascii="Garamond" w:hAnsi="Garamond" w:cs="Garamond"/>
          <w:sz w:val="20"/>
          <w:szCs w:val="20"/>
        </w:rPr>
        <w:t xml:space="preserve"> slides]</w:t>
      </w:r>
      <w:r>
        <w:rPr>
          <w:rFonts w:ascii="Garamond" w:hAnsi="Garamond" w:cs="Garamond"/>
          <w:i/>
          <w:iCs/>
          <w:sz w:val="20"/>
          <w:szCs w:val="20"/>
        </w:rPr>
        <w:t xml:space="preserve">. </w:t>
      </w:r>
      <w:r>
        <w:rPr>
          <w:rFonts w:ascii="Garamond" w:hAnsi="Garamond" w:cs="Garamond"/>
          <w:sz w:val="20"/>
          <w:szCs w:val="20"/>
        </w:rPr>
        <w:t xml:space="preserve">Boston, MA. Retrieved from </w:t>
      </w:r>
      <w:hyperlink r:id="rId540" w:history="1">
        <w:r>
          <w:rPr>
            <w:rFonts w:ascii="Garamond" w:hAnsi="Garamond" w:cs="Garamond"/>
            <w:sz w:val="20"/>
            <w:szCs w:val="20"/>
          </w:rPr>
          <w:t>http://www.mass.gov/anf/budget-taxes-and-procurement/oversight-</w:t>
        </w:r>
      </w:hyperlink>
      <w:r>
        <w:rPr>
          <w:rFonts w:ascii="Garamond" w:hAnsi="Garamond" w:cs="Garamond"/>
          <w:sz w:val="20"/>
          <w:szCs w:val="20"/>
        </w:rPr>
        <w:t xml:space="preserve"> agencies/health-policy-commission/public-meetings/committee-meetings/20160401-public-presentation-dental- findings.pdf</w:t>
      </w:r>
    </w:p>
    <w:p w:rsidR="002C5025" w:rsidRDefault="002C5025">
      <w:pPr>
        <w:pStyle w:val="BodyText"/>
        <w:kinsoku w:val="0"/>
        <w:overflowPunct w:val="0"/>
        <w:ind w:left="460" w:right="853"/>
        <w:jc w:val="both"/>
        <w:rPr>
          <w:rFonts w:ascii="Garamond" w:hAnsi="Garamond" w:cs="Garamond"/>
          <w:sz w:val="20"/>
          <w:szCs w:val="20"/>
        </w:rPr>
      </w:pPr>
      <w:r>
        <w:rPr>
          <w:rFonts w:ascii="Garamond" w:hAnsi="Garamond" w:cs="Garamond"/>
          <w:position w:val="5"/>
          <w:sz w:val="13"/>
          <w:szCs w:val="13"/>
        </w:rPr>
        <w:t>4</w:t>
      </w:r>
      <w:r>
        <w:rPr>
          <w:rFonts w:ascii="Garamond" w:hAnsi="Garamond" w:cs="Garamond"/>
          <w:spacing w:val="8"/>
          <w:position w:val="5"/>
          <w:sz w:val="13"/>
          <w:szCs w:val="13"/>
        </w:rPr>
        <w:t xml:space="preserve"> </w:t>
      </w:r>
      <w:proofErr w:type="spellStart"/>
      <w:r>
        <w:rPr>
          <w:rFonts w:ascii="Garamond" w:hAnsi="Garamond" w:cs="Garamond"/>
          <w:sz w:val="20"/>
          <w:szCs w:val="20"/>
        </w:rPr>
        <w:t>Jeffcoat</w:t>
      </w:r>
      <w:proofErr w:type="spellEnd"/>
      <w:r>
        <w:rPr>
          <w:rFonts w:ascii="Garamond" w:hAnsi="Garamond" w:cs="Garamond"/>
          <w:sz w:val="20"/>
          <w:szCs w:val="20"/>
        </w:rPr>
        <w:t>,</w:t>
      </w:r>
      <w:r>
        <w:rPr>
          <w:rFonts w:ascii="Garamond" w:hAnsi="Garamond" w:cs="Garamond"/>
          <w:spacing w:val="-12"/>
          <w:sz w:val="20"/>
          <w:szCs w:val="20"/>
        </w:rPr>
        <w:t xml:space="preserve"> </w:t>
      </w:r>
      <w:r>
        <w:rPr>
          <w:rFonts w:ascii="Garamond" w:hAnsi="Garamond" w:cs="Garamond"/>
          <w:sz w:val="20"/>
          <w:szCs w:val="20"/>
        </w:rPr>
        <w:t>M.K.,</w:t>
      </w:r>
      <w:r>
        <w:rPr>
          <w:rFonts w:ascii="Garamond" w:hAnsi="Garamond" w:cs="Garamond"/>
          <w:spacing w:val="-14"/>
          <w:sz w:val="20"/>
          <w:szCs w:val="20"/>
        </w:rPr>
        <w:t xml:space="preserve"> </w:t>
      </w:r>
      <w:proofErr w:type="spellStart"/>
      <w:r>
        <w:rPr>
          <w:rFonts w:ascii="Garamond" w:hAnsi="Garamond" w:cs="Garamond"/>
          <w:sz w:val="20"/>
          <w:szCs w:val="20"/>
        </w:rPr>
        <w:t>Jeffcoat</w:t>
      </w:r>
      <w:proofErr w:type="spellEnd"/>
      <w:r>
        <w:rPr>
          <w:rFonts w:ascii="Garamond" w:hAnsi="Garamond" w:cs="Garamond"/>
          <w:sz w:val="20"/>
          <w:szCs w:val="20"/>
        </w:rPr>
        <w:t>,</w:t>
      </w:r>
      <w:r>
        <w:rPr>
          <w:rFonts w:ascii="Garamond" w:hAnsi="Garamond" w:cs="Garamond"/>
          <w:spacing w:val="-12"/>
          <w:sz w:val="20"/>
          <w:szCs w:val="20"/>
        </w:rPr>
        <w:t xml:space="preserve"> </w:t>
      </w:r>
      <w:r>
        <w:rPr>
          <w:rFonts w:ascii="Garamond" w:hAnsi="Garamond" w:cs="Garamond"/>
          <w:sz w:val="20"/>
          <w:szCs w:val="20"/>
        </w:rPr>
        <w:t>R.L.,</w:t>
      </w:r>
      <w:r>
        <w:rPr>
          <w:rFonts w:ascii="Garamond" w:hAnsi="Garamond" w:cs="Garamond"/>
          <w:spacing w:val="-9"/>
          <w:sz w:val="20"/>
          <w:szCs w:val="20"/>
        </w:rPr>
        <w:t xml:space="preserve"> </w:t>
      </w:r>
      <w:proofErr w:type="spellStart"/>
      <w:r>
        <w:rPr>
          <w:rFonts w:ascii="Garamond" w:hAnsi="Garamond" w:cs="Garamond"/>
          <w:sz w:val="20"/>
          <w:szCs w:val="20"/>
        </w:rPr>
        <w:t>Gladkowski</w:t>
      </w:r>
      <w:proofErr w:type="spellEnd"/>
      <w:r>
        <w:rPr>
          <w:rFonts w:ascii="Garamond" w:hAnsi="Garamond" w:cs="Garamond"/>
          <w:sz w:val="20"/>
          <w:szCs w:val="20"/>
        </w:rPr>
        <w:t>,</w:t>
      </w:r>
      <w:r>
        <w:rPr>
          <w:rFonts w:ascii="Garamond" w:hAnsi="Garamond" w:cs="Garamond"/>
          <w:spacing w:val="-12"/>
          <w:sz w:val="20"/>
          <w:szCs w:val="20"/>
        </w:rPr>
        <w:t xml:space="preserve"> </w:t>
      </w:r>
      <w:r>
        <w:rPr>
          <w:rFonts w:ascii="Garamond" w:hAnsi="Garamond" w:cs="Garamond"/>
          <w:sz w:val="20"/>
          <w:szCs w:val="20"/>
        </w:rPr>
        <w:t>P.A.,</w:t>
      </w:r>
      <w:r>
        <w:rPr>
          <w:rFonts w:ascii="Garamond" w:hAnsi="Garamond" w:cs="Garamond"/>
          <w:spacing w:val="-12"/>
          <w:sz w:val="20"/>
          <w:szCs w:val="20"/>
        </w:rPr>
        <w:t xml:space="preserve"> </w:t>
      </w:r>
      <w:proofErr w:type="spellStart"/>
      <w:r>
        <w:rPr>
          <w:rFonts w:ascii="Garamond" w:hAnsi="Garamond" w:cs="Garamond"/>
          <w:sz w:val="20"/>
          <w:szCs w:val="20"/>
        </w:rPr>
        <w:t>Bramson</w:t>
      </w:r>
      <w:proofErr w:type="spellEnd"/>
      <w:r>
        <w:rPr>
          <w:rFonts w:ascii="Garamond" w:hAnsi="Garamond" w:cs="Garamond"/>
          <w:sz w:val="20"/>
          <w:szCs w:val="20"/>
        </w:rPr>
        <w:t>,</w:t>
      </w:r>
      <w:r>
        <w:rPr>
          <w:rFonts w:ascii="Garamond" w:hAnsi="Garamond" w:cs="Garamond"/>
          <w:spacing w:val="-12"/>
          <w:sz w:val="20"/>
          <w:szCs w:val="20"/>
        </w:rPr>
        <w:t xml:space="preserve"> </w:t>
      </w:r>
      <w:r>
        <w:rPr>
          <w:rFonts w:ascii="Garamond" w:hAnsi="Garamond" w:cs="Garamond"/>
          <w:sz w:val="20"/>
          <w:szCs w:val="20"/>
        </w:rPr>
        <w:t>J.B.,</w:t>
      </w:r>
      <w:r>
        <w:rPr>
          <w:rFonts w:ascii="Garamond" w:hAnsi="Garamond" w:cs="Garamond"/>
          <w:spacing w:val="-12"/>
          <w:sz w:val="20"/>
          <w:szCs w:val="20"/>
        </w:rPr>
        <w:t xml:space="preserve"> </w:t>
      </w:r>
      <w:r>
        <w:rPr>
          <w:rFonts w:ascii="Garamond" w:hAnsi="Garamond" w:cs="Garamond"/>
          <w:sz w:val="20"/>
          <w:szCs w:val="20"/>
        </w:rPr>
        <w:t>Blum,</w:t>
      </w:r>
      <w:r>
        <w:rPr>
          <w:rFonts w:ascii="Garamond" w:hAnsi="Garamond" w:cs="Garamond"/>
          <w:spacing w:val="-9"/>
          <w:sz w:val="20"/>
          <w:szCs w:val="20"/>
        </w:rPr>
        <w:t xml:space="preserve"> </w:t>
      </w:r>
      <w:r>
        <w:rPr>
          <w:rFonts w:ascii="Garamond" w:hAnsi="Garamond" w:cs="Garamond"/>
          <w:sz w:val="20"/>
          <w:szCs w:val="20"/>
        </w:rPr>
        <w:t>J.J.</w:t>
      </w:r>
      <w:r>
        <w:rPr>
          <w:rFonts w:ascii="Garamond" w:hAnsi="Garamond" w:cs="Garamond"/>
          <w:spacing w:val="-9"/>
          <w:sz w:val="20"/>
          <w:szCs w:val="20"/>
        </w:rPr>
        <w:t xml:space="preserve"> </w:t>
      </w:r>
      <w:r>
        <w:rPr>
          <w:rFonts w:ascii="Garamond" w:hAnsi="Garamond" w:cs="Garamond"/>
          <w:sz w:val="20"/>
          <w:szCs w:val="20"/>
        </w:rPr>
        <w:t>(2014).</w:t>
      </w:r>
      <w:r>
        <w:rPr>
          <w:rFonts w:ascii="Garamond" w:hAnsi="Garamond" w:cs="Garamond"/>
          <w:spacing w:val="-12"/>
          <w:sz w:val="20"/>
          <w:szCs w:val="20"/>
        </w:rPr>
        <w:t xml:space="preserve"> </w:t>
      </w:r>
      <w:r>
        <w:rPr>
          <w:rFonts w:ascii="Garamond" w:hAnsi="Garamond" w:cs="Garamond"/>
          <w:sz w:val="20"/>
          <w:szCs w:val="20"/>
        </w:rPr>
        <w:t>Impact</w:t>
      </w:r>
      <w:r>
        <w:rPr>
          <w:rFonts w:ascii="Garamond" w:hAnsi="Garamond" w:cs="Garamond"/>
          <w:spacing w:val="-12"/>
          <w:sz w:val="20"/>
          <w:szCs w:val="20"/>
        </w:rPr>
        <w:t xml:space="preserve"> </w:t>
      </w:r>
      <w:r>
        <w:rPr>
          <w:rFonts w:ascii="Garamond" w:hAnsi="Garamond" w:cs="Garamond"/>
          <w:sz w:val="20"/>
          <w:szCs w:val="20"/>
        </w:rPr>
        <w:t>of</w:t>
      </w:r>
      <w:r>
        <w:rPr>
          <w:rFonts w:ascii="Garamond" w:hAnsi="Garamond" w:cs="Garamond"/>
          <w:spacing w:val="-6"/>
          <w:sz w:val="20"/>
          <w:szCs w:val="20"/>
        </w:rPr>
        <w:t xml:space="preserve"> </w:t>
      </w:r>
      <w:r>
        <w:rPr>
          <w:rFonts w:ascii="Garamond" w:hAnsi="Garamond" w:cs="Garamond"/>
          <w:sz w:val="20"/>
          <w:szCs w:val="20"/>
        </w:rPr>
        <w:t>Periodontal</w:t>
      </w:r>
      <w:r>
        <w:rPr>
          <w:rFonts w:ascii="Garamond" w:hAnsi="Garamond" w:cs="Garamond"/>
          <w:spacing w:val="-9"/>
          <w:sz w:val="20"/>
          <w:szCs w:val="20"/>
        </w:rPr>
        <w:t xml:space="preserve"> </w:t>
      </w:r>
      <w:r>
        <w:rPr>
          <w:rFonts w:ascii="Garamond" w:hAnsi="Garamond" w:cs="Garamond"/>
          <w:sz w:val="20"/>
          <w:szCs w:val="20"/>
        </w:rPr>
        <w:t>Therapy</w:t>
      </w:r>
      <w:r>
        <w:rPr>
          <w:rFonts w:ascii="Garamond" w:hAnsi="Garamond" w:cs="Garamond"/>
          <w:spacing w:val="-8"/>
          <w:sz w:val="20"/>
          <w:szCs w:val="20"/>
        </w:rPr>
        <w:t xml:space="preserve"> </w:t>
      </w:r>
      <w:r>
        <w:rPr>
          <w:rFonts w:ascii="Garamond" w:hAnsi="Garamond" w:cs="Garamond"/>
          <w:sz w:val="20"/>
          <w:szCs w:val="20"/>
        </w:rPr>
        <w:t>on General</w:t>
      </w:r>
      <w:r>
        <w:rPr>
          <w:rFonts w:ascii="Garamond" w:hAnsi="Garamond" w:cs="Garamond"/>
          <w:spacing w:val="-13"/>
          <w:sz w:val="20"/>
          <w:szCs w:val="20"/>
        </w:rPr>
        <w:t xml:space="preserve"> </w:t>
      </w:r>
      <w:r>
        <w:rPr>
          <w:rFonts w:ascii="Garamond" w:hAnsi="Garamond" w:cs="Garamond"/>
          <w:sz w:val="20"/>
          <w:szCs w:val="20"/>
        </w:rPr>
        <w:t>Health:</w:t>
      </w:r>
      <w:r>
        <w:rPr>
          <w:rFonts w:ascii="Garamond" w:hAnsi="Garamond" w:cs="Garamond"/>
          <w:spacing w:val="-14"/>
          <w:sz w:val="20"/>
          <w:szCs w:val="20"/>
        </w:rPr>
        <w:t xml:space="preserve"> </w:t>
      </w:r>
      <w:r>
        <w:rPr>
          <w:rFonts w:ascii="Garamond" w:hAnsi="Garamond" w:cs="Garamond"/>
          <w:sz w:val="20"/>
          <w:szCs w:val="20"/>
        </w:rPr>
        <w:t>Evidence</w:t>
      </w:r>
      <w:r>
        <w:rPr>
          <w:rFonts w:ascii="Garamond" w:hAnsi="Garamond" w:cs="Garamond"/>
          <w:spacing w:val="-10"/>
          <w:sz w:val="20"/>
          <w:szCs w:val="20"/>
        </w:rPr>
        <w:t xml:space="preserve"> </w:t>
      </w:r>
      <w:r>
        <w:rPr>
          <w:rFonts w:ascii="Garamond" w:hAnsi="Garamond" w:cs="Garamond"/>
          <w:sz w:val="20"/>
          <w:szCs w:val="20"/>
        </w:rPr>
        <w:t>from</w:t>
      </w:r>
      <w:r>
        <w:rPr>
          <w:rFonts w:ascii="Garamond" w:hAnsi="Garamond" w:cs="Garamond"/>
          <w:spacing w:val="-13"/>
          <w:sz w:val="20"/>
          <w:szCs w:val="20"/>
        </w:rPr>
        <w:t xml:space="preserve"> </w:t>
      </w:r>
      <w:r>
        <w:rPr>
          <w:rFonts w:ascii="Garamond" w:hAnsi="Garamond" w:cs="Garamond"/>
          <w:sz w:val="20"/>
          <w:szCs w:val="20"/>
        </w:rPr>
        <w:t>Insurance</w:t>
      </w:r>
      <w:r>
        <w:rPr>
          <w:rFonts w:ascii="Garamond" w:hAnsi="Garamond" w:cs="Garamond"/>
          <w:spacing w:val="-10"/>
          <w:sz w:val="20"/>
          <w:szCs w:val="20"/>
        </w:rPr>
        <w:t xml:space="preserve"> </w:t>
      </w:r>
      <w:r>
        <w:rPr>
          <w:rFonts w:ascii="Garamond" w:hAnsi="Garamond" w:cs="Garamond"/>
          <w:sz w:val="20"/>
          <w:szCs w:val="20"/>
        </w:rPr>
        <w:t>Data</w:t>
      </w:r>
      <w:r>
        <w:rPr>
          <w:rFonts w:ascii="Garamond" w:hAnsi="Garamond" w:cs="Garamond"/>
          <w:spacing w:val="-12"/>
          <w:sz w:val="20"/>
          <w:szCs w:val="20"/>
        </w:rPr>
        <w:t xml:space="preserve"> </w:t>
      </w:r>
      <w:r>
        <w:rPr>
          <w:rFonts w:ascii="Garamond" w:hAnsi="Garamond" w:cs="Garamond"/>
          <w:sz w:val="20"/>
          <w:szCs w:val="20"/>
        </w:rPr>
        <w:t>for</w:t>
      </w:r>
      <w:r>
        <w:rPr>
          <w:rFonts w:ascii="Garamond" w:hAnsi="Garamond" w:cs="Garamond"/>
          <w:spacing w:val="-10"/>
          <w:sz w:val="20"/>
          <w:szCs w:val="20"/>
        </w:rPr>
        <w:t xml:space="preserve"> </w:t>
      </w:r>
      <w:r>
        <w:rPr>
          <w:rFonts w:ascii="Garamond" w:hAnsi="Garamond" w:cs="Garamond"/>
          <w:sz w:val="20"/>
          <w:szCs w:val="20"/>
        </w:rPr>
        <w:t>Five</w:t>
      </w:r>
      <w:r>
        <w:rPr>
          <w:rFonts w:ascii="Garamond" w:hAnsi="Garamond" w:cs="Garamond"/>
          <w:spacing w:val="-10"/>
          <w:sz w:val="20"/>
          <w:szCs w:val="20"/>
        </w:rPr>
        <w:t xml:space="preserve"> </w:t>
      </w:r>
      <w:r>
        <w:rPr>
          <w:rFonts w:ascii="Garamond" w:hAnsi="Garamond" w:cs="Garamond"/>
          <w:sz w:val="20"/>
          <w:szCs w:val="20"/>
        </w:rPr>
        <w:t>Systemic</w:t>
      </w:r>
      <w:r>
        <w:rPr>
          <w:rFonts w:ascii="Garamond" w:hAnsi="Garamond" w:cs="Garamond"/>
          <w:spacing w:val="-10"/>
          <w:sz w:val="20"/>
          <w:szCs w:val="20"/>
        </w:rPr>
        <w:t xml:space="preserve"> </w:t>
      </w:r>
      <w:r>
        <w:rPr>
          <w:rFonts w:ascii="Garamond" w:hAnsi="Garamond" w:cs="Garamond"/>
          <w:sz w:val="20"/>
          <w:szCs w:val="20"/>
        </w:rPr>
        <w:t>Conditions,</w:t>
      </w:r>
      <w:r>
        <w:rPr>
          <w:rFonts w:ascii="Garamond" w:hAnsi="Garamond" w:cs="Garamond"/>
          <w:spacing w:val="-7"/>
          <w:sz w:val="20"/>
          <w:szCs w:val="20"/>
        </w:rPr>
        <w:t xml:space="preserve"> </w:t>
      </w:r>
      <w:r>
        <w:rPr>
          <w:rFonts w:ascii="Garamond" w:hAnsi="Garamond" w:cs="Garamond"/>
          <w:i/>
          <w:iCs/>
          <w:sz w:val="20"/>
          <w:szCs w:val="20"/>
        </w:rPr>
        <w:t>American</w:t>
      </w:r>
      <w:r>
        <w:rPr>
          <w:rFonts w:ascii="Garamond" w:hAnsi="Garamond" w:cs="Garamond"/>
          <w:i/>
          <w:iCs/>
          <w:spacing w:val="-14"/>
          <w:sz w:val="20"/>
          <w:szCs w:val="20"/>
        </w:rPr>
        <w:t xml:space="preserve"> </w:t>
      </w:r>
      <w:r>
        <w:rPr>
          <w:rFonts w:ascii="Garamond" w:hAnsi="Garamond" w:cs="Garamond"/>
          <w:i/>
          <w:iCs/>
          <w:sz w:val="20"/>
          <w:szCs w:val="20"/>
        </w:rPr>
        <w:t>Journal</w:t>
      </w:r>
      <w:r>
        <w:rPr>
          <w:rFonts w:ascii="Garamond" w:hAnsi="Garamond" w:cs="Garamond"/>
          <w:i/>
          <w:iCs/>
          <w:spacing w:val="-14"/>
          <w:sz w:val="20"/>
          <w:szCs w:val="20"/>
        </w:rPr>
        <w:t xml:space="preserve"> </w:t>
      </w:r>
      <w:r>
        <w:rPr>
          <w:rFonts w:ascii="Garamond" w:hAnsi="Garamond" w:cs="Garamond"/>
          <w:i/>
          <w:iCs/>
          <w:sz w:val="20"/>
          <w:szCs w:val="20"/>
        </w:rPr>
        <w:t>of</w:t>
      </w:r>
      <w:r>
        <w:rPr>
          <w:rFonts w:ascii="Garamond" w:hAnsi="Garamond" w:cs="Garamond"/>
          <w:i/>
          <w:iCs/>
          <w:spacing w:val="-16"/>
          <w:sz w:val="20"/>
          <w:szCs w:val="20"/>
        </w:rPr>
        <w:t xml:space="preserve"> </w:t>
      </w:r>
      <w:r>
        <w:rPr>
          <w:rFonts w:ascii="Garamond" w:hAnsi="Garamond" w:cs="Garamond"/>
          <w:i/>
          <w:iCs/>
          <w:sz w:val="20"/>
          <w:szCs w:val="20"/>
        </w:rPr>
        <w:t>Preventive</w:t>
      </w:r>
      <w:r>
        <w:rPr>
          <w:rFonts w:ascii="Garamond" w:hAnsi="Garamond" w:cs="Garamond"/>
          <w:i/>
          <w:iCs/>
          <w:spacing w:val="-14"/>
          <w:sz w:val="20"/>
          <w:szCs w:val="20"/>
        </w:rPr>
        <w:t xml:space="preserve"> </w:t>
      </w:r>
      <w:r>
        <w:rPr>
          <w:rFonts w:ascii="Garamond" w:hAnsi="Garamond" w:cs="Garamond"/>
          <w:i/>
          <w:iCs/>
          <w:sz w:val="20"/>
          <w:szCs w:val="20"/>
        </w:rPr>
        <w:t>Medicine</w:t>
      </w:r>
      <w:r>
        <w:rPr>
          <w:rFonts w:ascii="Garamond" w:hAnsi="Garamond" w:cs="Garamond"/>
          <w:sz w:val="20"/>
          <w:szCs w:val="20"/>
        </w:rPr>
        <w:t>,</w:t>
      </w:r>
      <w:r>
        <w:rPr>
          <w:rFonts w:ascii="Garamond" w:hAnsi="Garamond" w:cs="Garamond"/>
          <w:spacing w:val="-14"/>
          <w:sz w:val="20"/>
          <w:szCs w:val="20"/>
        </w:rPr>
        <w:t xml:space="preserve"> </w:t>
      </w:r>
      <w:r>
        <w:rPr>
          <w:rFonts w:ascii="Garamond" w:hAnsi="Garamond" w:cs="Garamond"/>
          <w:sz w:val="20"/>
          <w:szCs w:val="20"/>
        </w:rPr>
        <w:t>47: 174-182.</w:t>
      </w:r>
    </w:p>
    <w:p w:rsidR="002C5025" w:rsidRDefault="002C5025">
      <w:pPr>
        <w:pStyle w:val="BodyText"/>
        <w:kinsoku w:val="0"/>
        <w:overflowPunct w:val="0"/>
        <w:ind w:left="460" w:right="853"/>
        <w:jc w:val="both"/>
        <w:rPr>
          <w:rFonts w:ascii="Garamond" w:hAnsi="Garamond" w:cs="Garamond"/>
          <w:sz w:val="20"/>
          <w:szCs w:val="20"/>
        </w:rPr>
        <w:sectPr w:rsidR="002C5025">
          <w:pgSz w:w="12240" w:h="15840"/>
          <w:pgMar w:top="740" w:right="960" w:bottom="280" w:left="980" w:header="720" w:footer="720" w:gutter="0"/>
          <w:cols w:space="720" w:equalWidth="0">
            <w:col w:w="10300"/>
          </w:cols>
          <w:noEndnote/>
        </w:sectPr>
      </w:pPr>
    </w:p>
    <w:p w:rsidR="002C5025" w:rsidRDefault="002C5025">
      <w:pPr>
        <w:pStyle w:val="BodyText"/>
        <w:kinsoku w:val="0"/>
        <w:overflowPunct w:val="0"/>
        <w:spacing w:before="59" w:line="271" w:lineRule="auto"/>
        <w:ind w:left="119" w:right="160"/>
        <w:rPr>
          <w:rFonts w:ascii="Garamond" w:hAnsi="Garamond" w:cs="Garamond"/>
          <w:sz w:val="24"/>
          <w:szCs w:val="24"/>
        </w:rPr>
      </w:pPr>
      <w:r>
        <w:rPr>
          <w:rFonts w:ascii="Garamond" w:hAnsi="Garamond" w:cs="Garamond"/>
          <w:sz w:val="24"/>
          <w:szCs w:val="24"/>
        </w:rPr>
        <w:lastRenderedPageBreak/>
        <w:t>Dental</w:t>
      </w:r>
      <w:r>
        <w:rPr>
          <w:rFonts w:ascii="Garamond" w:hAnsi="Garamond" w:cs="Garamond"/>
          <w:spacing w:val="-12"/>
          <w:sz w:val="24"/>
          <w:szCs w:val="24"/>
        </w:rPr>
        <w:t xml:space="preserve"> </w:t>
      </w:r>
      <w:r>
        <w:rPr>
          <w:rFonts w:ascii="Garamond" w:hAnsi="Garamond" w:cs="Garamond"/>
          <w:sz w:val="24"/>
          <w:szCs w:val="24"/>
        </w:rPr>
        <w:t>Association,</w:t>
      </w:r>
      <w:r>
        <w:rPr>
          <w:rFonts w:ascii="Garamond" w:hAnsi="Garamond" w:cs="Garamond"/>
          <w:spacing w:val="-12"/>
          <w:sz w:val="24"/>
          <w:szCs w:val="24"/>
        </w:rPr>
        <w:t xml:space="preserve"> </w:t>
      </w:r>
      <w:r>
        <w:rPr>
          <w:rFonts w:ascii="Garamond" w:hAnsi="Garamond" w:cs="Garamond"/>
          <w:sz w:val="24"/>
          <w:szCs w:val="24"/>
        </w:rPr>
        <w:t>the</w:t>
      </w:r>
      <w:r>
        <w:rPr>
          <w:rFonts w:ascii="Garamond" w:hAnsi="Garamond" w:cs="Garamond"/>
          <w:spacing w:val="-11"/>
          <w:sz w:val="24"/>
          <w:szCs w:val="24"/>
        </w:rPr>
        <w:t xml:space="preserve"> </w:t>
      </w:r>
      <w:r>
        <w:rPr>
          <w:rFonts w:ascii="Garamond" w:hAnsi="Garamond" w:cs="Garamond"/>
          <w:sz w:val="24"/>
          <w:szCs w:val="24"/>
        </w:rPr>
        <w:t>top</w:t>
      </w:r>
      <w:r>
        <w:rPr>
          <w:rFonts w:ascii="Garamond" w:hAnsi="Garamond" w:cs="Garamond"/>
          <w:spacing w:val="-12"/>
          <w:sz w:val="24"/>
          <w:szCs w:val="24"/>
        </w:rPr>
        <w:t xml:space="preserve"> </w:t>
      </w:r>
      <w:r>
        <w:rPr>
          <w:rFonts w:ascii="Garamond" w:hAnsi="Garamond" w:cs="Garamond"/>
          <w:sz w:val="24"/>
          <w:szCs w:val="24"/>
        </w:rPr>
        <w:t>oral</w:t>
      </w:r>
      <w:r>
        <w:rPr>
          <w:rFonts w:ascii="Garamond" w:hAnsi="Garamond" w:cs="Garamond"/>
          <w:spacing w:val="-12"/>
          <w:sz w:val="24"/>
          <w:szCs w:val="24"/>
        </w:rPr>
        <w:t xml:space="preserve"> </w:t>
      </w:r>
      <w:r>
        <w:rPr>
          <w:rFonts w:ascii="Garamond" w:hAnsi="Garamond" w:cs="Garamond"/>
          <w:sz w:val="24"/>
          <w:szCs w:val="24"/>
        </w:rPr>
        <w:t>health</w:t>
      </w:r>
      <w:r>
        <w:rPr>
          <w:rFonts w:ascii="Garamond" w:hAnsi="Garamond" w:cs="Garamond"/>
          <w:spacing w:val="-12"/>
          <w:sz w:val="24"/>
          <w:szCs w:val="24"/>
        </w:rPr>
        <w:t xml:space="preserve"> </w:t>
      </w:r>
      <w:r>
        <w:rPr>
          <w:rFonts w:ascii="Garamond" w:hAnsi="Garamond" w:cs="Garamond"/>
          <w:sz w:val="24"/>
          <w:szCs w:val="24"/>
        </w:rPr>
        <w:t>problem</w:t>
      </w:r>
      <w:r>
        <w:rPr>
          <w:rFonts w:ascii="Garamond" w:hAnsi="Garamond" w:cs="Garamond"/>
          <w:spacing w:val="-13"/>
          <w:sz w:val="24"/>
          <w:szCs w:val="24"/>
        </w:rPr>
        <w:t xml:space="preserve"> </w:t>
      </w:r>
      <w:r>
        <w:rPr>
          <w:rFonts w:ascii="Garamond" w:hAnsi="Garamond" w:cs="Garamond"/>
          <w:sz w:val="24"/>
          <w:szCs w:val="24"/>
        </w:rPr>
        <w:t>for</w:t>
      </w:r>
      <w:r>
        <w:rPr>
          <w:rFonts w:ascii="Garamond" w:hAnsi="Garamond" w:cs="Garamond"/>
          <w:spacing w:val="-13"/>
          <w:sz w:val="24"/>
          <w:szCs w:val="24"/>
        </w:rPr>
        <w:t xml:space="preserve"> </w:t>
      </w:r>
      <w:r>
        <w:rPr>
          <w:rFonts w:ascii="Garamond" w:hAnsi="Garamond" w:cs="Garamond"/>
          <w:sz w:val="24"/>
          <w:szCs w:val="24"/>
        </w:rPr>
        <w:t>low</w:t>
      </w:r>
      <w:r>
        <w:rPr>
          <w:rFonts w:ascii="Garamond" w:hAnsi="Garamond" w:cs="Garamond"/>
          <w:spacing w:val="-11"/>
          <w:sz w:val="24"/>
          <w:szCs w:val="24"/>
        </w:rPr>
        <w:t xml:space="preserve"> </w:t>
      </w:r>
      <w:r>
        <w:rPr>
          <w:rFonts w:ascii="Garamond" w:hAnsi="Garamond" w:cs="Garamond"/>
          <w:sz w:val="24"/>
          <w:szCs w:val="24"/>
        </w:rPr>
        <w:t>income</w:t>
      </w:r>
      <w:r>
        <w:rPr>
          <w:rFonts w:ascii="Garamond" w:hAnsi="Garamond" w:cs="Garamond"/>
          <w:spacing w:val="-11"/>
          <w:sz w:val="24"/>
          <w:szCs w:val="24"/>
        </w:rPr>
        <w:t xml:space="preserve"> </w:t>
      </w:r>
      <w:r>
        <w:rPr>
          <w:rFonts w:ascii="Garamond" w:hAnsi="Garamond" w:cs="Garamond"/>
          <w:sz w:val="24"/>
          <w:szCs w:val="24"/>
        </w:rPr>
        <w:t>adults</w:t>
      </w:r>
      <w:r>
        <w:rPr>
          <w:rFonts w:ascii="Garamond" w:hAnsi="Garamond" w:cs="Garamond"/>
          <w:spacing w:val="-15"/>
          <w:sz w:val="24"/>
          <w:szCs w:val="24"/>
        </w:rPr>
        <w:t xml:space="preserve"> </w:t>
      </w:r>
      <w:r>
        <w:rPr>
          <w:rFonts w:ascii="Garamond" w:hAnsi="Garamond" w:cs="Garamond"/>
          <w:sz w:val="24"/>
          <w:szCs w:val="24"/>
        </w:rPr>
        <w:t>in</w:t>
      </w:r>
      <w:r>
        <w:rPr>
          <w:rFonts w:ascii="Garamond" w:hAnsi="Garamond" w:cs="Garamond"/>
          <w:spacing w:val="-12"/>
          <w:sz w:val="24"/>
          <w:szCs w:val="24"/>
        </w:rPr>
        <w:t xml:space="preserve"> </w:t>
      </w:r>
      <w:r>
        <w:rPr>
          <w:rFonts w:ascii="Garamond" w:hAnsi="Garamond" w:cs="Garamond"/>
          <w:sz w:val="24"/>
          <w:szCs w:val="24"/>
        </w:rPr>
        <w:t>Massachusetts</w:t>
      </w:r>
      <w:r>
        <w:rPr>
          <w:rFonts w:ascii="Garamond" w:hAnsi="Garamond" w:cs="Garamond"/>
          <w:spacing w:val="-15"/>
          <w:sz w:val="24"/>
          <w:szCs w:val="24"/>
        </w:rPr>
        <w:t xml:space="preserve"> </w:t>
      </w:r>
      <w:r>
        <w:rPr>
          <w:rFonts w:ascii="Garamond" w:hAnsi="Garamond" w:cs="Garamond"/>
          <w:sz w:val="24"/>
          <w:szCs w:val="24"/>
        </w:rPr>
        <w:t>is</w:t>
      </w:r>
      <w:r>
        <w:rPr>
          <w:rFonts w:ascii="Garamond" w:hAnsi="Garamond" w:cs="Garamond"/>
          <w:spacing w:val="-13"/>
          <w:sz w:val="24"/>
          <w:szCs w:val="24"/>
        </w:rPr>
        <w:t xml:space="preserve"> </w:t>
      </w:r>
      <w:r>
        <w:rPr>
          <w:rFonts w:ascii="Garamond" w:hAnsi="Garamond" w:cs="Garamond"/>
          <w:sz w:val="24"/>
          <w:szCs w:val="24"/>
        </w:rPr>
        <w:t>difficulty biting</w:t>
      </w:r>
      <w:r>
        <w:rPr>
          <w:rFonts w:ascii="Garamond" w:hAnsi="Garamond" w:cs="Garamond"/>
          <w:spacing w:val="-7"/>
          <w:sz w:val="24"/>
          <w:szCs w:val="24"/>
        </w:rPr>
        <w:t xml:space="preserve"> </w:t>
      </w:r>
      <w:r>
        <w:rPr>
          <w:rFonts w:ascii="Garamond" w:hAnsi="Garamond" w:cs="Garamond"/>
          <w:sz w:val="24"/>
          <w:szCs w:val="24"/>
        </w:rPr>
        <w:t>and</w:t>
      </w:r>
      <w:r>
        <w:rPr>
          <w:rFonts w:ascii="Garamond" w:hAnsi="Garamond" w:cs="Garamond"/>
          <w:spacing w:val="-10"/>
          <w:sz w:val="24"/>
          <w:szCs w:val="24"/>
        </w:rPr>
        <w:t xml:space="preserve"> </w:t>
      </w:r>
      <w:r>
        <w:rPr>
          <w:rFonts w:ascii="Garamond" w:hAnsi="Garamond" w:cs="Garamond"/>
          <w:sz w:val="24"/>
          <w:szCs w:val="24"/>
        </w:rPr>
        <w:t>chewing,</w:t>
      </w:r>
      <w:r>
        <w:rPr>
          <w:rFonts w:ascii="Garamond" w:hAnsi="Garamond" w:cs="Garamond"/>
          <w:spacing w:val="-10"/>
          <w:sz w:val="24"/>
          <w:szCs w:val="24"/>
        </w:rPr>
        <w:t xml:space="preserve"> </w:t>
      </w:r>
      <w:r>
        <w:rPr>
          <w:rFonts w:ascii="Garamond" w:hAnsi="Garamond" w:cs="Garamond"/>
          <w:sz w:val="24"/>
          <w:szCs w:val="24"/>
        </w:rPr>
        <w:t>posing</w:t>
      </w:r>
      <w:r>
        <w:rPr>
          <w:rFonts w:ascii="Garamond" w:hAnsi="Garamond" w:cs="Garamond"/>
          <w:spacing w:val="-10"/>
          <w:sz w:val="24"/>
          <w:szCs w:val="24"/>
        </w:rPr>
        <w:t xml:space="preserve"> </w:t>
      </w:r>
      <w:r>
        <w:rPr>
          <w:rFonts w:ascii="Garamond" w:hAnsi="Garamond" w:cs="Garamond"/>
          <w:sz w:val="24"/>
          <w:szCs w:val="24"/>
        </w:rPr>
        <w:t>challenges</w:t>
      </w:r>
      <w:r>
        <w:rPr>
          <w:rFonts w:ascii="Garamond" w:hAnsi="Garamond" w:cs="Garamond"/>
          <w:spacing w:val="-11"/>
          <w:sz w:val="24"/>
          <w:szCs w:val="24"/>
        </w:rPr>
        <w:t xml:space="preserve"> </w:t>
      </w:r>
      <w:r>
        <w:rPr>
          <w:rFonts w:ascii="Garamond" w:hAnsi="Garamond" w:cs="Garamond"/>
          <w:sz w:val="24"/>
          <w:szCs w:val="24"/>
        </w:rPr>
        <w:t>to</w:t>
      </w:r>
      <w:r>
        <w:rPr>
          <w:rFonts w:ascii="Garamond" w:hAnsi="Garamond" w:cs="Garamond"/>
          <w:spacing w:val="-10"/>
          <w:sz w:val="24"/>
          <w:szCs w:val="24"/>
        </w:rPr>
        <w:t xml:space="preserve"> </w:t>
      </w:r>
      <w:r>
        <w:rPr>
          <w:rFonts w:ascii="Garamond" w:hAnsi="Garamond" w:cs="Garamond"/>
          <w:sz w:val="24"/>
          <w:szCs w:val="24"/>
        </w:rPr>
        <w:t>good</w:t>
      </w:r>
      <w:r>
        <w:rPr>
          <w:rFonts w:ascii="Garamond" w:hAnsi="Garamond" w:cs="Garamond"/>
          <w:spacing w:val="-10"/>
          <w:sz w:val="24"/>
          <w:szCs w:val="24"/>
        </w:rPr>
        <w:t xml:space="preserve"> </w:t>
      </w:r>
      <w:r>
        <w:rPr>
          <w:rFonts w:ascii="Garamond" w:hAnsi="Garamond" w:cs="Garamond"/>
          <w:sz w:val="24"/>
          <w:szCs w:val="24"/>
        </w:rPr>
        <w:t>nutrition;</w:t>
      </w:r>
      <w:r>
        <w:rPr>
          <w:rFonts w:ascii="Garamond" w:hAnsi="Garamond" w:cs="Garamond"/>
          <w:spacing w:val="-8"/>
          <w:sz w:val="24"/>
          <w:szCs w:val="24"/>
        </w:rPr>
        <w:t xml:space="preserve"> </w:t>
      </w:r>
      <w:r>
        <w:rPr>
          <w:rFonts w:ascii="Garamond" w:hAnsi="Garamond" w:cs="Garamond"/>
          <w:sz w:val="24"/>
          <w:szCs w:val="24"/>
        </w:rPr>
        <w:t>36%</w:t>
      </w:r>
      <w:r>
        <w:rPr>
          <w:rFonts w:ascii="Garamond" w:hAnsi="Garamond" w:cs="Garamond"/>
          <w:spacing w:val="-11"/>
          <w:sz w:val="24"/>
          <w:szCs w:val="24"/>
        </w:rPr>
        <w:t xml:space="preserve"> </w:t>
      </w:r>
      <w:r>
        <w:rPr>
          <w:rFonts w:ascii="Garamond" w:hAnsi="Garamond" w:cs="Garamond"/>
          <w:sz w:val="24"/>
          <w:szCs w:val="24"/>
        </w:rPr>
        <w:t>of</w:t>
      </w:r>
      <w:r>
        <w:rPr>
          <w:rFonts w:ascii="Garamond" w:hAnsi="Garamond" w:cs="Garamond"/>
          <w:spacing w:val="-11"/>
          <w:sz w:val="24"/>
          <w:szCs w:val="24"/>
        </w:rPr>
        <w:t xml:space="preserve"> </w:t>
      </w:r>
      <w:r>
        <w:rPr>
          <w:rFonts w:ascii="Garamond" w:hAnsi="Garamond" w:cs="Garamond"/>
          <w:sz w:val="24"/>
          <w:szCs w:val="24"/>
        </w:rPr>
        <w:t>low</w:t>
      </w:r>
      <w:r>
        <w:rPr>
          <w:rFonts w:ascii="Garamond" w:hAnsi="Garamond" w:cs="Garamond"/>
          <w:spacing w:val="-9"/>
          <w:sz w:val="24"/>
          <w:szCs w:val="24"/>
        </w:rPr>
        <w:t xml:space="preserve"> </w:t>
      </w:r>
      <w:r>
        <w:rPr>
          <w:rFonts w:ascii="Garamond" w:hAnsi="Garamond" w:cs="Garamond"/>
          <w:sz w:val="24"/>
          <w:szCs w:val="24"/>
        </w:rPr>
        <w:t>income</w:t>
      </w:r>
      <w:r>
        <w:rPr>
          <w:rFonts w:ascii="Garamond" w:hAnsi="Garamond" w:cs="Garamond"/>
          <w:spacing w:val="-12"/>
          <w:sz w:val="24"/>
          <w:szCs w:val="24"/>
        </w:rPr>
        <w:t xml:space="preserve"> </w:t>
      </w:r>
      <w:r>
        <w:rPr>
          <w:rFonts w:ascii="Garamond" w:hAnsi="Garamond" w:cs="Garamond"/>
          <w:sz w:val="24"/>
          <w:szCs w:val="24"/>
        </w:rPr>
        <w:t>MA</w:t>
      </w:r>
      <w:r>
        <w:rPr>
          <w:rFonts w:ascii="Garamond" w:hAnsi="Garamond" w:cs="Garamond"/>
          <w:spacing w:val="-7"/>
          <w:sz w:val="24"/>
          <w:szCs w:val="24"/>
        </w:rPr>
        <w:t xml:space="preserve"> </w:t>
      </w:r>
      <w:r>
        <w:rPr>
          <w:rFonts w:ascii="Garamond" w:hAnsi="Garamond" w:cs="Garamond"/>
          <w:sz w:val="24"/>
          <w:szCs w:val="24"/>
        </w:rPr>
        <w:t>adults</w:t>
      </w:r>
      <w:r>
        <w:rPr>
          <w:rFonts w:ascii="Garamond" w:hAnsi="Garamond" w:cs="Garamond"/>
          <w:spacing w:val="-14"/>
          <w:sz w:val="24"/>
          <w:szCs w:val="24"/>
        </w:rPr>
        <w:t xml:space="preserve"> </w:t>
      </w:r>
      <w:r>
        <w:rPr>
          <w:rFonts w:ascii="Garamond" w:hAnsi="Garamond" w:cs="Garamond"/>
          <w:sz w:val="24"/>
          <w:szCs w:val="24"/>
        </w:rPr>
        <w:t>also</w:t>
      </w:r>
      <w:r>
        <w:rPr>
          <w:rFonts w:ascii="Garamond" w:hAnsi="Garamond" w:cs="Garamond"/>
          <w:spacing w:val="-10"/>
          <w:sz w:val="24"/>
          <w:szCs w:val="24"/>
        </w:rPr>
        <w:t xml:space="preserve"> </w:t>
      </w:r>
      <w:r>
        <w:rPr>
          <w:rFonts w:ascii="Garamond" w:hAnsi="Garamond" w:cs="Garamond"/>
          <w:sz w:val="24"/>
          <w:szCs w:val="24"/>
        </w:rPr>
        <w:t>report avoiding smiling and 20% reducing participation in social activities due to the condition of their mouth</w:t>
      </w:r>
      <w:r>
        <w:rPr>
          <w:rFonts w:ascii="Garamond" w:hAnsi="Garamond" w:cs="Garamond"/>
          <w:spacing w:val="-14"/>
          <w:sz w:val="24"/>
          <w:szCs w:val="24"/>
        </w:rPr>
        <w:t xml:space="preserve"> </w:t>
      </w:r>
      <w:r>
        <w:rPr>
          <w:rFonts w:ascii="Garamond" w:hAnsi="Garamond" w:cs="Garamond"/>
          <w:sz w:val="24"/>
          <w:szCs w:val="24"/>
        </w:rPr>
        <w:t>and</w:t>
      </w:r>
      <w:r>
        <w:rPr>
          <w:rFonts w:ascii="Garamond" w:hAnsi="Garamond" w:cs="Garamond"/>
          <w:spacing w:val="-11"/>
          <w:sz w:val="24"/>
          <w:szCs w:val="24"/>
        </w:rPr>
        <w:t xml:space="preserve"> </w:t>
      </w:r>
      <w:r>
        <w:rPr>
          <w:rFonts w:ascii="Garamond" w:hAnsi="Garamond" w:cs="Garamond"/>
          <w:sz w:val="24"/>
          <w:szCs w:val="24"/>
        </w:rPr>
        <w:t>teeth.</w:t>
      </w:r>
      <w:r>
        <w:rPr>
          <w:rFonts w:ascii="Garamond" w:hAnsi="Garamond" w:cs="Garamond"/>
          <w:position w:val="10"/>
          <w:sz w:val="14"/>
          <w:szCs w:val="14"/>
        </w:rPr>
        <w:t>5</w:t>
      </w:r>
      <w:r>
        <w:rPr>
          <w:rFonts w:ascii="Garamond" w:hAnsi="Garamond" w:cs="Garamond"/>
          <w:spacing w:val="13"/>
          <w:position w:val="10"/>
          <w:sz w:val="14"/>
          <w:szCs w:val="14"/>
        </w:rPr>
        <w:t xml:space="preserve"> </w:t>
      </w:r>
      <w:r>
        <w:rPr>
          <w:rFonts w:ascii="Garamond" w:hAnsi="Garamond" w:cs="Garamond"/>
          <w:sz w:val="24"/>
          <w:szCs w:val="24"/>
        </w:rPr>
        <w:t>Patients</w:t>
      </w:r>
      <w:r>
        <w:rPr>
          <w:rFonts w:ascii="Garamond" w:hAnsi="Garamond" w:cs="Garamond"/>
          <w:spacing w:val="-15"/>
          <w:sz w:val="24"/>
          <w:szCs w:val="24"/>
        </w:rPr>
        <w:t xml:space="preserve"> </w:t>
      </w:r>
      <w:r>
        <w:rPr>
          <w:rFonts w:ascii="Garamond" w:hAnsi="Garamond" w:cs="Garamond"/>
          <w:sz w:val="24"/>
          <w:szCs w:val="24"/>
        </w:rPr>
        <w:t>unable</w:t>
      </w:r>
      <w:r>
        <w:rPr>
          <w:rFonts w:ascii="Garamond" w:hAnsi="Garamond" w:cs="Garamond"/>
          <w:spacing w:val="-11"/>
          <w:sz w:val="24"/>
          <w:szCs w:val="24"/>
        </w:rPr>
        <w:t xml:space="preserve"> </w:t>
      </w:r>
      <w:r>
        <w:rPr>
          <w:rFonts w:ascii="Garamond" w:hAnsi="Garamond" w:cs="Garamond"/>
          <w:sz w:val="24"/>
          <w:szCs w:val="24"/>
        </w:rPr>
        <w:t>to</w:t>
      </w:r>
      <w:r>
        <w:rPr>
          <w:rFonts w:ascii="Garamond" w:hAnsi="Garamond" w:cs="Garamond"/>
          <w:spacing w:val="-11"/>
          <w:sz w:val="24"/>
          <w:szCs w:val="24"/>
        </w:rPr>
        <w:t xml:space="preserve"> </w:t>
      </w:r>
      <w:r>
        <w:rPr>
          <w:rFonts w:ascii="Garamond" w:hAnsi="Garamond" w:cs="Garamond"/>
          <w:sz w:val="24"/>
          <w:szCs w:val="24"/>
        </w:rPr>
        <w:t>adequately</w:t>
      </w:r>
      <w:r>
        <w:rPr>
          <w:rFonts w:ascii="Garamond" w:hAnsi="Garamond" w:cs="Garamond"/>
          <w:spacing w:val="-15"/>
          <w:sz w:val="24"/>
          <w:szCs w:val="24"/>
        </w:rPr>
        <w:t xml:space="preserve"> </w:t>
      </w:r>
      <w:r>
        <w:rPr>
          <w:rFonts w:ascii="Garamond" w:hAnsi="Garamond" w:cs="Garamond"/>
          <w:sz w:val="24"/>
          <w:szCs w:val="24"/>
        </w:rPr>
        <w:t>address</w:t>
      </w:r>
      <w:r>
        <w:rPr>
          <w:rFonts w:ascii="Garamond" w:hAnsi="Garamond" w:cs="Garamond"/>
          <w:spacing w:val="-15"/>
          <w:sz w:val="24"/>
          <w:szCs w:val="24"/>
        </w:rPr>
        <w:t xml:space="preserve"> </w:t>
      </w:r>
      <w:r>
        <w:rPr>
          <w:rFonts w:ascii="Garamond" w:hAnsi="Garamond" w:cs="Garamond"/>
          <w:sz w:val="24"/>
          <w:szCs w:val="24"/>
        </w:rPr>
        <w:t>their</w:t>
      </w:r>
      <w:r>
        <w:rPr>
          <w:rFonts w:ascii="Garamond" w:hAnsi="Garamond" w:cs="Garamond"/>
          <w:spacing w:val="-11"/>
          <w:sz w:val="24"/>
          <w:szCs w:val="24"/>
        </w:rPr>
        <w:t xml:space="preserve"> </w:t>
      </w:r>
      <w:r>
        <w:rPr>
          <w:rFonts w:ascii="Garamond" w:hAnsi="Garamond" w:cs="Garamond"/>
          <w:sz w:val="24"/>
          <w:szCs w:val="24"/>
        </w:rPr>
        <w:t>oral</w:t>
      </w:r>
      <w:r>
        <w:rPr>
          <w:rFonts w:ascii="Garamond" w:hAnsi="Garamond" w:cs="Garamond"/>
          <w:spacing w:val="-11"/>
          <w:sz w:val="24"/>
          <w:szCs w:val="24"/>
        </w:rPr>
        <w:t xml:space="preserve"> </w:t>
      </w:r>
      <w:r>
        <w:rPr>
          <w:rFonts w:ascii="Garamond" w:hAnsi="Garamond" w:cs="Garamond"/>
          <w:sz w:val="24"/>
          <w:szCs w:val="24"/>
        </w:rPr>
        <w:t>health</w:t>
      </w:r>
      <w:r>
        <w:rPr>
          <w:rFonts w:ascii="Garamond" w:hAnsi="Garamond" w:cs="Garamond"/>
          <w:spacing w:val="-11"/>
          <w:sz w:val="24"/>
          <w:szCs w:val="24"/>
        </w:rPr>
        <w:t xml:space="preserve"> </w:t>
      </w:r>
      <w:r>
        <w:rPr>
          <w:rFonts w:ascii="Garamond" w:hAnsi="Garamond" w:cs="Garamond"/>
          <w:sz w:val="24"/>
          <w:szCs w:val="24"/>
        </w:rPr>
        <w:t>needs</w:t>
      </w:r>
      <w:r>
        <w:rPr>
          <w:rFonts w:ascii="Garamond" w:hAnsi="Garamond" w:cs="Garamond"/>
          <w:spacing w:val="-15"/>
          <w:sz w:val="24"/>
          <w:szCs w:val="24"/>
        </w:rPr>
        <w:t xml:space="preserve"> </w:t>
      </w:r>
      <w:r>
        <w:rPr>
          <w:rFonts w:ascii="Garamond" w:hAnsi="Garamond" w:cs="Garamond"/>
          <w:sz w:val="24"/>
          <w:szCs w:val="24"/>
        </w:rPr>
        <w:t>often</w:t>
      </w:r>
      <w:r>
        <w:rPr>
          <w:rFonts w:ascii="Garamond" w:hAnsi="Garamond" w:cs="Garamond"/>
          <w:spacing w:val="-11"/>
          <w:sz w:val="24"/>
          <w:szCs w:val="24"/>
        </w:rPr>
        <w:t xml:space="preserve"> </w:t>
      </w:r>
      <w:r>
        <w:rPr>
          <w:rFonts w:ascii="Garamond" w:hAnsi="Garamond" w:cs="Garamond"/>
          <w:sz w:val="24"/>
          <w:szCs w:val="24"/>
        </w:rPr>
        <w:t>turn</w:t>
      </w:r>
      <w:r>
        <w:rPr>
          <w:rFonts w:ascii="Garamond" w:hAnsi="Garamond" w:cs="Garamond"/>
          <w:spacing w:val="-11"/>
          <w:sz w:val="24"/>
          <w:szCs w:val="24"/>
        </w:rPr>
        <w:t xml:space="preserve"> </w:t>
      </w:r>
      <w:r>
        <w:rPr>
          <w:rFonts w:ascii="Garamond" w:hAnsi="Garamond" w:cs="Garamond"/>
          <w:sz w:val="24"/>
          <w:szCs w:val="24"/>
        </w:rPr>
        <w:t>to</w:t>
      </w:r>
      <w:r>
        <w:rPr>
          <w:rFonts w:ascii="Garamond" w:hAnsi="Garamond" w:cs="Garamond"/>
          <w:spacing w:val="-14"/>
          <w:sz w:val="24"/>
          <w:szCs w:val="24"/>
        </w:rPr>
        <w:t xml:space="preserve"> </w:t>
      </w:r>
      <w:r>
        <w:rPr>
          <w:rFonts w:ascii="Garamond" w:hAnsi="Garamond" w:cs="Garamond"/>
          <w:sz w:val="24"/>
          <w:szCs w:val="24"/>
        </w:rPr>
        <w:t>opioids to</w:t>
      </w:r>
      <w:r>
        <w:rPr>
          <w:rFonts w:ascii="Garamond" w:hAnsi="Garamond" w:cs="Garamond"/>
          <w:spacing w:val="-11"/>
          <w:sz w:val="24"/>
          <w:szCs w:val="24"/>
        </w:rPr>
        <w:t xml:space="preserve"> </w:t>
      </w:r>
      <w:r>
        <w:rPr>
          <w:rFonts w:ascii="Garamond" w:hAnsi="Garamond" w:cs="Garamond"/>
          <w:sz w:val="24"/>
          <w:szCs w:val="24"/>
        </w:rPr>
        <w:t>address</w:t>
      </w:r>
      <w:r>
        <w:rPr>
          <w:rFonts w:ascii="Garamond" w:hAnsi="Garamond" w:cs="Garamond"/>
          <w:spacing w:val="-15"/>
          <w:sz w:val="24"/>
          <w:szCs w:val="24"/>
        </w:rPr>
        <w:t xml:space="preserve"> </w:t>
      </w:r>
      <w:r>
        <w:rPr>
          <w:rFonts w:ascii="Garamond" w:hAnsi="Garamond" w:cs="Garamond"/>
          <w:sz w:val="24"/>
          <w:szCs w:val="24"/>
        </w:rPr>
        <w:t>pain,</w:t>
      </w:r>
      <w:r>
        <w:rPr>
          <w:rFonts w:ascii="Garamond" w:hAnsi="Garamond" w:cs="Garamond"/>
          <w:spacing w:val="-11"/>
          <w:sz w:val="24"/>
          <w:szCs w:val="24"/>
        </w:rPr>
        <w:t xml:space="preserve"> </w:t>
      </w:r>
      <w:r>
        <w:rPr>
          <w:rFonts w:ascii="Garamond" w:hAnsi="Garamond" w:cs="Garamond"/>
          <w:sz w:val="24"/>
          <w:szCs w:val="24"/>
        </w:rPr>
        <w:t>which</w:t>
      </w:r>
      <w:r>
        <w:rPr>
          <w:rFonts w:ascii="Garamond" w:hAnsi="Garamond" w:cs="Garamond"/>
          <w:spacing w:val="-11"/>
          <w:sz w:val="24"/>
          <w:szCs w:val="24"/>
        </w:rPr>
        <w:t xml:space="preserve"> </w:t>
      </w:r>
      <w:r>
        <w:rPr>
          <w:rFonts w:ascii="Garamond" w:hAnsi="Garamond" w:cs="Garamond"/>
          <w:sz w:val="24"/>
          <w:szCs w:val="24"/>
        </w:rPr>
        <w:t>is</w:t>
      </w:r>
      <w:r>
        <w:rPr>
          <w:rFonts w:ascii="Garamond" w:hAnsi="Garamond" w:cs="Garamond"/>
          <w:spacing w:val="-12"/>
          <w:sz w:val="24"/>
          <w:szCs w:val="24"/>
        </w:rPr>
        <w:t xml:space="preserve"> </w:t>
      </w:r>
      <w:r>
        <w:rPr>
          <w:rFonts w:ascii="Garamond" w:hAnsi="Garamond" w:cs="Garamond"/>
          <w:sz w:val="24"/>
          <w:szCs w:val="24"/>
        </w:rPr>
        <w:t>especially</w:t>
      </w:r>
      <w:r>
        <w:rPr>
          <w:rFonts w:ascii="Garamond" w:hAnsi="Garamond" w:cs="Garamond"/>
          <w:spacing w:val="-13"/>
          <w:sz w:val="24"/>
          <w:szCs w:val="24"/>
        </w:rPr>
        <w:t xml:space="preserve"> </w:t>
      </w:r>
      <w:r>
        <w:rPr>
          <w:rFonts w:ascii="Garamond" w:hAnsi="Garamond" w:cs="Garamond"/>
          <w:sz w:val="24"/>
          <w:szCs w:val="24"/>
        </w:rPr>
        <w:t>concerning</w:t>
      </w:r>
      <w:r>
        <w:rPr>
          <w:rFonts w:ascii="Garamond" w:hAnsi="Garamond" w:cs="Garamond"/>
          <w:spacing w:val="-11"/>
          <w:sz w:val="24"/>
          <w:szCs w:val="24"/>
        </w:rPr>
        <w:t xml:space="preserve"> </w:t>
      </w:r>
      <w:r>
        <w:rPr>
          <w:rFonts w:ascii="Garamond" w:hAnsi="Garamond" w:cs="Garamond"/>
          <w:sz w:val="24"/>
          <w:szCs w:val="24"/>
        </w:rPr>
        <w:t>in</w:t>
      </w:r>
      <w:r>
        <w:rPr>
          <w:rFonts w:ascii="Garamond" w:hAnsi="Garamond" w:cs="Garamond"/>
          <w:spacing w:val="-11"/>
          <w:sz w:val="24"/>
          <w:szCs w:val="24"/>
        </w:rPr>
        <w:t xml:space="preserve"> </w:t>
      </w:r>
      <w:r>
        <w:rPr>
          <w:rFonts w:ascii="Garamond" w:hAnsi="Garamond" w:cs="Garamond"/>
          <w:sz w:val="24"/>
          <w:szCs w:val="24"/>
        </w:rPr>
        <w:t>light</w:t>
      </w:r>
      <w:r>
        <w:rPr>
          <w:rFonts w:ascii="Garamond" w:hAnsi="Garamond" w:cs="Garamond"/>
          <w:spacing w:val="-12"/>
          <w:sz w:val="24"/>
          <w:szCs w:val="24"/>
        </w:rPr>
        <w:t xml:space="preserve"> </w:t>
      </w:r>
      <w:r>
        <w:rPr>
          <w:rFonts w:ascii="Garamond" w:hAnsi="Garamond" w:cs="Garamond"/>
          <w:sz w:val="24"/>
          <w:szCs w:val="24"/>
        </w:rPr>
        <w:t>of</w:t>
      </w:r>
      <w:r>
        <w:rPr>
          <w:rFonts w:ascii="Garamond" w:hAnsi="Garamond" w:cs="Garamond"/>
          <w:spacing w:val="-12"/>
          <w:sz w:val="24"/>
          <w:szCs w:val="24"/>
        </w:rPr>
        <w:t xml:space="preserve"> </w:t>
      </w:r>
      <w:r>
        <w:rPr>
          <w:rFonts w:ascii="Garamond" w:hAnsi="Garamond" w:cs="Garamond"/>
          <w:sz w:val="24"/>
          <w:szCs w:val="24"/>
        </w:rPr>
        <w:t>the</w:t>
      </w:r>
      <w:r>
        <w:rPr>
          <w:rFonts w:ascii="Garamond" w:hAnsi="Garamond" w:cs="Garamond"/>
          <w:spacing w:val="-13"/>
          <w:sz w:val="24"/>
          <w:szCs w:val="24"/>
        </w:rPr>
        <w:t xml:space="preserve"> </w:t>
      </w:r>
      <w:r>
        <w:rPr>
          <w:rFonts w:ascii="Garamond" w:hAnsi="Garamond" w:cs="Garamond"/>
          <w:sz w:val="24"/>
          <w:szCs w:val="24"/>
        </w:rPr>
        <w:t>escalating</w:t>
      </w:r>
      <w:r>
        <w:rPr>
          <w:rFonts w:ascii="Garamond" w:hAnsi="Garamond" w:cs="Garamond"/>
          <w:spacing w:val="-11"/>
          <w:sz w:val="24"/>
          <w:szCs w:val="24"/>
        </w:rPr>
        <w:t xml:space="preserve"> </w:t>
      </w:r>
      <w:r>
        <w:rPr>
          <w:rFonts w:ascii="Garamond" w:hAnsi="Garamond" w:cs="Garamond"/>
          <w:sz w:val="24"/>
          <w:szCs w:val="24"/>
        </w:rPr>
        <w:t>opioid</w:t>
      </w:r>
      <w:r>
        <w:rPr>
          <w:rFonts w:ascii="Garamond" w:hAnsi="Garamond" w:cs="Garamond"/>
          <w:spacing w:val="-11"/>
          <w:sz w:val="24"/>
          <w:szCs w:val="24"/>
        </w:rPr>
        <w:t xml:space="preserve"> </w:t>
      </w:r>
      <w:r>
        <w:rPr>
          <w:rFonts w:ascii="Garamond" w:hAnsi="Garamond" w:cs="Garamond"/>
          <w:sz w:val="24"/>
          <w:szCs w:val="24"/>
        </w:rPr>
        <w:t>use</w:t>
      </w:r>
      <w:r>
        <w:rPr>
          <w:rFonts w:ascii="Garamond" w:hAnsi="Garamond" w:cs="Garamond"/>
          <w:spacing w:val="-10"/>
          <w:sz w:val="24"/>
          <w:szCs w:val="24"/>
        </w:rPr>
        <w:t xml:space="preserve"> </w:t>
      </w:r>
      <w:r>
        <w:rPr>
          <w:rFonts w:ascii="Garamond" w:hAnsi="Garamond" w:cs="Garamond"/>
          <w:sz w:val="24"/>
          <w:szCs w:val="24"/>
        </w:rPr>
        <w:t>disorder</w:t>
      </w:r>
      <w:r>
        <w:rPr>
          <w:rFonts w:ascii="Garamond" w:hAnsi="Garamond" w:cs="Garamond"/>
          <w:spacing w:val="-12"/>
          <w:sz w:val="24"/>
          <w:szCs w:val="24"/>
        </w:rPr>
        <w:t xml:space="preserve"> </w:t>
      </w:r>
      <w:r>
        <w:rPr>
          <w:rFonts w:ascii="Garamond" w:hAnsi="Garamond" w:cs="Garamond"/>
          <w:sz w:val="24"/>
          <w:szCs w:val="24"/>
        </w:rPr>
        <w:t>crisis.</w:t>
      </w:r>
    </w:p>
    <w:p w:rsidR="002C5025" w:rsidRDefault="002C5025">
      <w:pPr>
        <w:pStyle w:val="BodyText"/>
        <w:kinsoku w:val="0"/>
        <w:overflowPunct w:val="0"/>
        <w:spacing w:before="1"/>
        <w:rPr>
          <w:rFonts w:ascii="Garamond" w:hAnsi="Garamond" w:cs="Garamond"/>
          <w:sz w:val="28"/>
          <w:szCs w:val="28"/>
        </w:rPr>
      </w:pPr>
    </w:p>
    <w:p w:rsidR="002C5025" w:rsidRDefault="002C5025">
      <w:pPr>
        <w:pStyle w:val="BodyText"/>
        <w:kinsoku w:val="0"/>
        <w:overflowPunct w:val="0"/>
        <w:spacing w:line="276" w:lineRule="auto"/>
        <w:ind w:left="119" w:right="10"/>
        <w:rPr>
          <w:rFonts w:ascii="Garamond" w:hAnsi="Garamond" w:cs="Garamond"/>
          <w:sz w:val="24"/>
          <w:szCs w:val="24"/>
        </w:rPr>
      </w:pPr>
      <w:r>
        <w:rPr>
          <w:rFonts w:ascii="Garamond" w:hAnsi="Garamond" w:cs="Garamond"/>
          <w:sz w:val="24"/>
          <w:szCs w:val="24"/>
        </w:rPr>
        <w:t>The current dental care delivery and payment system does not focus on outcomes and fails a significant part of the population. The existing fee-for-service reimbursement model needs readjustment;</w:t>
      </w:r>
      <w:r>
        <w:rPr>
          <w:rFonts w:ascii="Garamond" w:hAnsi="Garamond" w:cs="Garamond"/>
          <w:spacing w:val="-13"/>
          <w:sz w:val="24"/>
          <w:szCs w:val="24"/>
        </w:rPr>
        <w:t xml:space="preserve"> </w:t>
      </w:r>
      <w:r>
        <w:rPr>
          <w:rFonts w:ascii="Garamond" w:hAnsi="Garamond" w:cs="Garamond"/>
          <w:sz w:val="24"/>
          <w:szCs w:val="24"/>
        </w:rPr>
        <w:t>it</w:t>
      </w:r>
      <w:r>
        <w:rPr>
          <w:rFonts w:ascii="Garamond" w:hAnsi="Garamond" w:cs="Garamond"/>
          <w:spacing w:val="-12"/>
          <w:sz w:val="24"/>
          <w:szCs w:val="24"/>
        </w:rPr>
        <w:t xml:space="preserve"> </w:t>
      </w:r>
      <w:r>
        <w:rPr>
          <w:rFonts w:ascii="Garamond" w:hAnsi="Garamond" w:cs="Garamond"/>
          <w:sz w:val="24"/>
          <w:szCs w:val="24"/>
        </w:rPr>
        <w:t>has</w:t>
      </w:r>
      <w:r>
        <w:rPr>
          <w:rFonts w:ascii="Garamond" w:hAnsi="Garamond" w:cs="Garamond"/>
          <w:spacing w:val="-15"/>
          <w:sz w:val="24"/>
          <w:szCs w:val="24"/>
        </w:rPr>
        <w:t xml:space="preserve"> </w:t>
      </w:r>
      <w:r>
        <w:rPr>
          <w:rFonts w:ascii="Garamond" w:hAnsi="Garamond" w:cs="Garamond"/>
          <w:sz w:val="24"/>
          <w:szCs w:val="24"/>
        </w:rPr>
        <w:t>not</w:t>
      </w:r>
      <w:r>
        <w:rPr>
          <w:rFonts w:ascii="Garamond" w:hAnsi="Garamond" w:cs="Garamond"/>
          <w:spacing w:val="-10"/>
          <w:sz w:val="24"/>
          <w:szCs w:val="24"/>
        </w:rPr>
        <w:t xml:space="preserve"> </w:t>
      </w:r>
      <w:r>
        <w:rPr>
          <w:rFonts w:ascii="Garamond" w:hAnsi="Garamond" w:cs="Garamond"/>
          <w:sz w:val="24"/>
          <w:szCs w:val="24"/>
        </w:rPr>
        <w:t>kept</w:t>
      </w:r>
      <w:r>
        <w:rPr>
          <w:rFonts w:ascii="Garamond" w:hAnsi="Garamond" w:cs="Garamond"/>
          <w:spacing w:val="-12"/>
          <w:sz w:val="24"/>
          <w:szCs w:val="24"/>
        </w:rPr>
        <w:t xml:space="preserve"> </w:t>
      </w:r>
      <w:r>
        <w:rPr>
          <w:rFonts w:ascii="Garamond" w:hAnsi="Garamond" w:cs="Garamond"/>
          <w:sz w:val="24"/>
          <w:szCs w:val="24"/>
        </w:rPr>
        <w:t>up</w:t>
      </w:r>
      <w:r>
        <w:rPr>
          <w:rFonts w:ascii="Garamond" w:hAnsi="Garamond" w:cs="Garamond"/>
          <w:spacing w:val="-11"/>
          <w:sz w:val="24"/>
          <w:szCs w:val="24"/>
        </w:rPr>
        <w:t xml:space="preserve"> </w:t>
      </w:r>
      <w:r>
        <w:rPr>
          <w:rFonts w:ascii="Garamond" w:hAnsi="Garamond" w:cs="Garamond"/>
          <w:sz w:val="24"/>
          <w:szCs w:val="24"/>
        </w:rPr>
        <w:t>with</w:t>
      </w:r>
      <w:r>
        <w:rPr>
          <w:rFonts w:ascii="Garamond" w:hAnsi="Garamond" w:cs="Garamond"/>
          <w:spacing w:val="-11"/>
          <w:sz w:val="24"/>
          <w:szCs w:val="24"/>
        </w:rPr>
        <w:t xml:space="preserve"> </w:t>
      </w:r>
      <w:r>
        <w:rPr>
          <w:rFonts w:ascii="Garamond" w:hAnsi="Garamond" w:cs="Garamond"/>
          <w:sz w:val="24"/>
          <w:szCs w:val="24"/>
        </w:rPr>
        <w:t>the</w:t>
      </w:r>
      <w:r>
        <w:rPr>
          <w:rFonts w:ascii="Garamond" w:hAnsi="Garamond" w:cs="Garamond"/>
          <w:spacing w:val="-11"/>
          <w:sz w:val="24"/>
          <w:szCs w:val="24"/>
        </w:rPr>
        <w:t xml:space="preserve"> </w:t>
      </w:r>
      <w:r>
        <w:rPr>
          <w:rFonts w:ascii="Garamond" w:hAnsi="Garamond" w:cs="Garamond"/>
          <w:sz w:val="24"/>
          <w:szCs w:val="24"/>
        </w:rPr>
        <w:t>development</w:t>
      </w:r>
      <w:r>
        <w:rPr>
          <w:rFonts w:ascii="Garamond" w:hAnsi="Garamond" w:cs="Garamond"/>
          <w:spacing w:val="-12"/>
          <w:sz w:val="24"/>
          <w:szCs w:val="24"/>
        </w:rPr>
        <w:t xml:space="preserve"> </w:t>
      </w:r>
      <w:r>
        <w:rPr>
          <w:rFonts w:ascii="Garamond" w:hAnsi="Garamond" w:cs="Garamond"/>
          <w:sz w:val="24"/>
          <w:szCs w:val="24"/>
        </w:rPr>
        <w:t>of</w:t>
      </w:r>
      <w:r>
        <w:rPr>
          <w:rFonts w:ascii="Garamond" w:hAnsi="Garamond" w:cs="Garamond"/>
          <w:spacing w:val="-12"/>
          <w:sz w:val="24"/>
          <w:szCs w:val="24"/>
        </w:rPr>
        <w:t xml:space="preserve"> </w:t>
      </w:r>
      <w:r>
        <w:rPr>
          <w:rFonts w:ascii="Garamond" w:hAnsi="Garamond" w:cs="Garamond"/>
          <w:sz w:val="24"/>
          <w:szCs w:val="24"/>
        </w:rPr>
        <w:t>the</w:t>
      </w:r>
      <w:r>
        <w:rPr>
          <w:rFonts w:ascii="Garamond" w:hAnsi="Garamond" w:cs="Garamond"/>
          <w:spacing w:val="-11"/>
          <w:sz w:val="24"/>
          <w:szCs w:val="24"/>
        </w:rPr>
        <w:t xml:space="preserve"> </w:t>
      </w:r>
      <w:r>
        <w:rPr>
          <w:rFonts w:ascii="Garamond" w:hAnsi="Garamond" w:cs="Garamond"/>
          <w:sz w:val="24"/>
          <w:szCs w:val="24"/>
        </w:rPr>
        <w:t>oral</w:t>
      </w:r>
      <w:r>
        <w:rPr>
          <w:rFonts w:ascii="Garamond" w:hAnsi="Garamond" w:cs="Garamond"/>
          <w:spacing w:val="-10"/>
          <w:sz w:val="24"/>
          <w:szCs w:val="24"/>
        </w:rPr>
        <w:t xml:space="preserve"> </w:t>
      </w:r>
      <w:r>
        <w:rPr>
          <w:rFonts w:ascii="Garamond" w:hAnsi="Garamond" w:cs="Garamond"/>
          <w:sz w:val="24"/>
          <w:szCs w:val="24"/>
        </w:rPr>
        <w:t>health</w:t>
      </w:r>
      <w:r>
        <w:rPr>
          <w:rFonts w:ascii="Garamond" w:hAnsi="Garamond" w:cs="Garamond"/>
          <w:spacing w:val="-11"/>
          <w:sz w:val="24"/>
          <w:szCs w:val="24"/>
        </w:rPr>
        <w:t xml:space="preserve"> </w:t>
      </w:r>
      <w:r>
        <w:rPr>
          <w:rFonts w:ascii="Garamond" w:hAnsi="Garamond" w:cs="Garamond"/>
          <w:sz w:val="24"/>
          <w:szCs w:val="24"/>
        </w:rPr>
        <w:t>evidence</w:t>
      </w:r>
      <w:r>
        <w:rPr>
          <w:rFonts w:ascii="Garamond" w:hAnsi="Garamond" w:cs="Garamond"/>
          <w:spacing w:val="-11"/>
          <w:sz w:val="24"/>
          <w:szCs w:val="24"/>
        </w:rPr>
        <w:t xml:space="preserve"> </w:t>
      </w:r>
      <w:r>
        <w:rPr>
          <w:rFonts w:ascii="Garamond" w:hAnsi="Garamond" w:cs="Garamond"/>
          <w:sz w:val="24"/>
          <w:szCs w:val="24"/>
        </w:rPr>
        <w:t>base,</w:t>
      </w:r>
      <w:r>
        <w:rPr>
          <w:rFonts w:ascii="Garamond" w:hAnsi="Garamond" w:cs="Garamond"/>
          <w:spacing w:val="-7"/>
          <w:sz w:val="24"/>
          <w:szCs w:val="24"/>
        </w:rPr>
        <w:t xml:space="preserve"> </w:t>
      </w:r>
      <w:r>
        <w:rPr>
          <w:rFonts w:ascii="Garamond" w:hAnsi="Garamond" w:cs="Garamond"/>
          <w:sz w:val="24"/>
          <w:szCs w:val="24"/>
        </w:rPr>
        <w:t>insufficiently prioritizes prevention by rewarding volume, not value, and perpetuates an ineffective surgical approach to infectious disease processes. Additionally, the arbitrary historical separation of dental services</w:t>
      </w:r>
      <w:r>
        <w:rPr>
          <w:rFonts w:ascii="Garamond" w:hAnsi="Garamond" w:cs="Garamond"/>
          <w:spacing w:val="-14"/>
          <w:sz w:val="24"/>
          <w:szCs w:val="24"/>
        </w:rPr>
        <w:t xml:space="preserve"> </w:t>
      </w:r>
      <w:r>
        <w:rPr>
          <w:rFonts w:ascii="Garamond" w:hAnsi="Garamond" w:cs="Garamond"/>
          <w:sz w:val="24"/>
          <w:szCs w:val="24"/>
        </w:rPr>
        <w:t>from</w:t>
      </w:r>
      <w:r>
        <w:rPr>
          <w:rFonts w:ascii="Garamond" w:hAnsi="Garamond" w:cs="Garamond"/>
          <w:spacing w:val="-11"/>
          <w:sz w:val="24"/>
          <w:szCs w:val="24"/>
        </w:rPr>
        <w:t xml:space="preserve"> </w:t>
      </w:r>
      <w:r>
        <w:rPr>
          <w:rFonts w:ascii="Garamond" w:hAnsi="Garamond" w:cs="Garamond"/>
          <w:sz w:val="24"/>
          <w:szCs w:val="24"/>
        </w:rPr>
        <w:t>the</w:t>
      </w:r>
      <w:r>
        <w:rPr>
          <w:rFonts w:ascii="Garamond" w:hAnsi="Garamond" w:cs="Garamond"/>
          <w:spacing w:val="-9"/>
          <w:sz w:val="24"/>
          <w:szCs w:val="24"/>
        </w:rPr>
        <w:t xml:space="preserve"> </w:t>
      </w:r>
      <w:r>
        <w:rPr>
          <w:rFonts w:ascii="Garamond" w:hAnsi="Garamond" w:cs="Garamond"/>
          <w:sz w:val="24"/>
          <w:szCs w:val="24"/>
        </w:rPr>
        <w:t>rest</w:t>
      </w:r>
      <w:r>
        <w:rPr>
          <w:rFonts w:ascii="Garamond" w:hAnsi="Garamond" w:cs="Garamond"/>
          <w:spacing w:val="-11"/>
          <w:sz w:val="24"/>
          <w:szCs w:val="24"/>
        </w:rPr>
        <w:t xml:space="preserve"> </w:t>
      </w:r>
      <w:r>
        <w:rPr>
          <w:rFonts w:ascii="Garamond" w:hAnsi="Garamond" w:cs="Garamond"/>
          <w:sz w:val="24"/>
          <w:szCs w:val="24"/>
        </w:rPr>
        <w:t>of</w:t>
      </w:r>
      <w:r>
        <w:rPr>
          <w:rFonts w:ascii="Garamond" w:hAnsi="Garamond" w:cs="Garamond"/>
          <w:spacing w:val="-11"/>
          <w:sz w:val="24"/>
          <w:szCs w:val="24"/>
        </w:rPr>
        <w:t xml:space="preserve"> </w:t>
      </w:r>
      <w:r>
        <w:rPr>
          <w:rFonts w:ascii="Garamond" w:hAnsi="Garamond" w:cs="Garamond"/>
          <w:sz w:val="24"/>
          <w:szCs w:val="24"/>
        </w:rPr>
        <w:t>health</w:t>
      </w:r>
      <w:r>
        <w:rPr>
          <w:rFonts w:ascii="Garamond" w:hAnsi="Garamond" w:cs="Garamond"/>
          <w:spacing w:val="-10"/>
          <w:sz w:val="24"/>
          <w:szCs w:val="24"/>
        </w:rPr>
        <w:t xml:space="preserve"> </w:t>
      </w:r>
      <w:r>
        <w:rPr>
          <w:rFonts w:ascii="Garamond" w:hAnsi="Garamond" w:cs="Garamond"/>
          <w:sz w:val="24"/>
          <w:szCs w:val="24"/>
        </w:rPr>
        <w:t>care</w:t>
      </w:r>
      <w:r>
        <w:rPr>
          <w:rFonts w:ascii="Garamond" w:hAnsi="Garamond" w:cs="Garamond"/>
          <w:spacing w:val="-9"/>
          <w:sz w:val="24"/>
          <w:szCs w:val="24"/>
        </w:rPr>
        <w:t xml:space="preserve"> </w:t>
      </w:r>
      <w:r>
        <w:rPr>
          <w:rFonts w:ascii="Garamond" w:hAnsi="Garamond" w:cs="Garamond"/>
          <w:sz w:val="24"/>
          <w:szCs w:val="24"/>
        </w:rPr>
        <w:t>means</w:t>
      </w:r>
      <w:r>
        <w:rPr>
          <w:rFonts w:ascii="Garamond" w:hAnsi="Garamond" w:cs="Garamond"/>
          <w:spacing w:val="-14"/>
          <w:sz w:val="24"/>
          <w:szCs w:val="24"/>
        </w:rPr>
        <w:t xml:space="preserve"> </w:t>
      </w:r>
      <w:r>
        <w:rPr>
          <w:rFonts w:ascii="Garamond" w:hAnsi="Garamond" w:cs="Garamond"/>
          <w:sz w:val="24"/>
          <w:szCs w:val="24"/>
        </w:rPr>
        <w:t>there</w:t>
      </w:r>
      <w:r>
        <w:rPr>
          <w:rFonts w:ascii="Garamond" w:hAnsi="Garamond" w:cs="Garamond"/>
          <w:spacing w:val="-7"/>
          <w:sz w:val="24"/>
          <w:szCs w:val="24"/>
        </w:rPr>
        <w:t xml:space="preserve"> </w:t>
      </w:r>
      <w:r>
        <w:rPr>
          <w:rFonts w:ascii="Garamond" w:hAnsi="Garamond" w:cs="Garamond"/>
          <w:sz w:val="24"/>
          <w:szCs w:val="24"/>
        </w:rPr>
        <w:t>is</w:t>
      </w:r>
      <w:r>
        <w:rPr>
          <w:rFonts w:ascii="Garamond" w:hAnsi="Garamond" w:cs="Garamond"/>
          <w:spacing w:val="-11"/>
          <w:sz w:val="24"/>
          <w:szCs w:val="24"/>
        </w:rPr>
        <w:t xml:space="preserve"> </w:t>
      </w:r>
      <w:r>
        <w:rPr>
          <w:rFonts w:ascii="Garamond" w:hAnsi="Garamond" w:cs="Garamond"/>
          <w:sz w:val="24"/>
          <w:szCs w:val="24"/>
        </w:rPr>
        <w:t>very</w:t>
      </w:r>
      <w:r>
        <w:rPr>
          <w:rFonts w:ascii="Garamond" w:hAnsi="Garamond" w:cs="Garamond"/>
          <w:spacing w:val="-9"/>
          <w:sz w:val="24"/>
          <w:szCs w:val="24"/>
        </w:rPr>
        <w:t xml:space="preserve"> </w:t>
      </w:r>
      <w:r>
        <w:rPr>
          <w:rFonts w:ascii="Garamond" w:hAnsi="Garamond" w:cs="Garamond"/>
          <w:sz w:val="24"/>
          <w:szCs w:val="24"/>
        </w:rPr>
        <w:t>little</w:t>
      </w:r>
      <w:r>
        <w:rPr>
          <w:rFonts w:ascii="Garamond" w:hAnsi="Garamond" w:cs="Garamond"/>
          <w:spacing w:val="-7"/>
          <w:sz w:val="24"/>
          <w:szCs w:val="24"/>
        </w:rPr>
        <w:t xml:space="preserve"> </w:t>
      </w:r>
      <w:r>
        <w:rPr>
          <w:rFonts w:ascii="Garamond" w:hAnsi="Garamond" w:cs="Garamond"/>
          <w:sz w:val="24"/>
          <w:szCs w:val="24"/>
        </w:rPr>
        <w:t>incentive</w:t>
      </w:r>
      <w:r>
        <w:rPr>
          <w:rFonts w:ascii="Garamond" w:hAnsi="Garamond" w:cs="Garamond"/>
          <w:spacing w:val="-9"/>
          <w:sz w:val="24"/>
          <w:szCs w:val="24"/>
        </w:rPr>
        <w:t xml:space="preserve"> </w:t>
      </w:r>
      <w:r>
        <w:rPr>
          <w:rFonts w:ascii="Garamond" w:hAnsi="Garamond" w:cs="Garamond"/>
          <w:sz w:val="24"/>
          <w:szCs w:val="24"/>
        </w:rPr>
        <w:t>for</w:t>
      </w:r>
      <w:r>
        <w:rPr>
          <w:rFonts w:ascii="Garamond" w:hAnsi="Garamond" w:cs="Garamond"/>
          <w:spacing w:val="-11"/>
          <w:sz w:val="24"/>
          <w:szCs w:val="24"/>
        </w:rPr>
        <w:t xml:space="preserve"> </w:t>
      </w:r>
      <w:r>
        <w:rPr>
          <w:rFonts w:ascii="Garamond" w:hAnsi="Garamond" w:cs="Garamond"/>
          <w:sz w:val="24"/>
          <w:szCs w:val="24"/>
        </w:rPr>
        <w:t>providers</w:t>
      </w:r>
      <w:r>
        <w:rPr>
          <w:rFonts w:ascii="Garamond" w:hAnsi="Garamond" w:cs="Garamond"/>
          <w:spacing w:val="-14"/>
          <w:sz w:val="24"/>
          <w:szCs w:val="24"/>
        </w:rPr>
        <w:t xml:space="preserve"> </w:t>
      </w:r>
      <w:r>
        <w:rPr>
          <w:rFonts w:ascii="Garamond" w:hAnsi="Garamond" w:cs="Garamond"/>
          <w:sz w:val="24"/>
          <w:szCs w:val="24"/>
        </w:rPr>
        <w:t>to</w:t>
      </w:r>
      <w:r>
        <w:rPr>
          <w:rFonts w:ascii="Garamond" w:hAnsi="Garamond" w:cs="Garamond"/>
          <w:spacing w:val="-10"/>
          <w:sz w:val="24"/>
          <w:szCs w:val="24"/>
        </w:rPr>
        <w:t xml:space="preserve"> </w:t>
      </w:r>
      <w:r>
        <w:rPr>
          <w:rFonts w:ascii="Garamond" w:hAnsi="Garamond" w:cs="Garamond"/>
          <w:sz w:val="24"/>
          <w:szCs w:val="24"/>
        </w:rPr>
        <w:t>communicate with</w:t>
      </w:r>
      <w:r>
        <w:rPr>
          <w:rFonts w:ascii="Garamond" w:hAnsi="Garamond" w:cs="Garamond"/>
          <w:spacing w:val="-11"/>
          <w:sz w:val="24"/>
          <w:szCs w:val="24"/>
        </w:rPr>
        <w:t xml:space="preserve"> </w:t>
      </w:r>
      <w:r>
        <w:rPr>
          <w:rFonts w:ascii="Garamond" w:hAnsi="Garamond" w:cs="Garamond"/>
          <w:sz w:val="24"/>
          <w:szCs w:val="24"/>
        </w:rPr>
        <w:t>each</w:t>
      </w:r>
      <w:r>
        <w:rPr>
          <w:rFonts w:ascii="Garamond" w:hAnsi="Garamond" w:cs="Garamond"/>
          <w:spacing w:val="-11"/>
          <w:sz w:val="24"/>
          <w:szCs w:val="24"/>
        </w:rPr>
        <w:t xml:space="preserve"> </w:t>
      </w:r>
      <w:r>
        <w:rPr>
          <w:rFonts w:ascii="Garamond" w:hAnsi="Garamond" w:cs="Garamond"/>
          <w:sz w:val="24"/>
          <w:szCs w:val="24"/>
        </w:rPr>
        <w:t>other,</w:t>
      </w:r>
      <w:r>
        <w:rPr>
          <w:rFonts w:ascii="Garamond" w:hAnsi="Garamond" w:cs="Garamond"/>
          <w:spacing w:val="-11"/>
          <w:sz w:val="24"/>
          <w:szCs w:val="24"/>
        </w:rPr>
        <w:t xml:space="preserve"> </w:t>
      </w:r>
      <w:r>
        <w:rPr>
          <w:rFonts w:ascii="Garamond" w:hAnsi="Garamond" w:cs="Garamond"/>
          <w:sz w:val="24"/>
          <w:szCs w:val="24"/>
        </w:rPr>
        <w:t>again</w:t>
      </w:r>
      <w:r>
        <w:rPr>
          <w:rFonts w:ascii="Garamond" w:hAnsi="Garamond" w:cs="Garamond"/>
          <w:spacing w:val="-9"/>
          <w:sz w:val="24"/>
          <w:szCs w:val="24"/>
        </w:rPr>
        <w:t xml:space="preserve"> </w:t>
      </w:r>
      <w:r>
        <w:rPr>
          <w:rFonts w:ascii="Garamond" w:hAnsi="Garamond" w:cs="Garamond"/>
          <w:sz w:val="24"/>
          <w:szCs w:val="24"/>
        </w:rPr>
        <w:t>posing</w:t>
      </w:r>
      <w:r>
        <w:rPr>
          <w:rFonts w:ascii="Garamond" w:hAnsi="Garamond" w:cs="Garamond"/>
          <w:spacing w:val="-8"/>
          <w:sz w:val="24"/>
          <w:szCs w:val="24"/>
        </w:rPr>
        <w:t xml:space="preserve"> </w:t>
      </w:r>
      <w:r>
        <w:rPr>
          <w:rFonts w:ascii="Garamond" w:hAnsi="Garamond" w:cs="Garamond"/>
          <w:sz w:val="24"/>
          <w:szCs w:val="24"/>
        </w:rPr>
        <w:t>risks</w:t>
      </w:r>
      <w:r>
        <w:rPr>
          <w:rFonts w:ascii="Garamond" w:hAnsi="Garamond" w:cs="Garamond"/>
          <w:spacing w:val="-12"/>
          <w:sz w:val="24"/>
          <w:szCs w:val="24"/>
        </w:rPr>
        <w:t xml:space="preserve"> </w:t>
      </w:r>
      <w:r>
        <w:rPr>
          <w:rFonts w:ascii="Garamond" w:hAnsi="Garamond" w:cs="Garamond"/>
          <w:sz w:val="24"/>
          <w:szCs w:val="24"/>
        </w:rPr>
        <w:t>in</w:t>
      </w:r>
      <w:r>
        <w:rPr>
          <w:rFonts w:ascii="Garamond" w:hAnsi="Garamond" w:cs="Garamond"/>
          <w:spacing w:val="-11"/>
          <w:sz w:val="24"/>
          <w:szCs w:val="24"/>
        </w:rPr>
        <w:t xml:space="preserve"> </w:t>
      </w:r>
      <w:r>
        <w:rPr>
          <w:rFonts w:ascii="Garamond" w:hAnsi="Garamond" w:cs="Garamond"/>
          <w:sz w:val="24"/>
          <w:szCs w:val="24"/>
        </w:rPr>
        <w:t>areas</w:t>
      </w:r>
      <w:r>
        <w:rPr>
          <w:rFonts w:ascii="Garamond" w:hAnsi="Garamond" w:cs="Garamond"/>
          <w:spacing w:val="-12"/>
          <w:sz w:val="24"/>
          <w:szCs w:val="24"/>
        </w:rPr>
        <w:t xml:space="preserve"> </w:t>
      </w:r>
      <w:r>
        <w:rPr>
          <w:rFonts w:ascii="Garamond" w:hAnsi="Garamond" w:cs="Garamond"/>
          <w:sz w:val="24"/>
          <w:szCs w:val="24"/>
        </w:rPr>
        <w:t>like</w:t>
      </w:r>
      <w:r>
        <w:rPr>
          <w:rFonts w:ascii="Garamond" w:hAnsi="Garamond" w:cs="Garamond"/>
          <w:spacing w:val="-10"/>
          <w:sz w:val="24"/>
          <w:szCs w:val="24"/>
        </w:rPr>
        <w:t xml:space="preserve"> </w:t>
      </w:r>
      <w:r>
        <w:rPr>
          <w:rFonts w:ascii="Garamond" w:hAnsi="Garamond" w:cs="Garamond"/>
          <w:sz w:val="24"/>
          <w:szCs w:val="24"/>
        </w:rPr>
        <w:t>pain</w:t>
      </w:r>
      <w:r>
        <w:rPr>
          <w:rFonts w:ascii="Garamond" w:hAnsi="Garamond" w:cs="Garamond"/>
          <w:spacing w:val="-13"/>
          <w:sz w:val="24"/>
          <w:szCs w:val="24"/>
        </w:rPr>
        <w:t xml:space="preserve"> </w:t>
      </w:r>
      <w:r>
        <w:rPr>
          <w:rFonts w:ascii="Garamond" w:hAnsi="Garamond" w:cs="Garamond"/>
          <w:sz w:val="24"/>
          <w:szCs w:val="24"/>
        </w:rPr>
        <w:t>medication</w:t>
      </w:r>
      <w:r>
        <w:rPr>
          <w:rFonts w:ascii="Garamond" w:hAnsi="Garamond" w:cs="Garamond"/>
          <w:spacing w:val="-13"/>
          <w:sz w:val="24"/>
          <w:szCs w:val="24"/>
        </w:rPr>
        <w:t xml:space="preserve"> </w:t>
      </w:r>
      <w:r>
        <w:rPr>
          <w:rFonts w:ascii="Garamond" w:hAnsi="Garamond" w:cs="Garamond"/>
          <w:sz w:val="24"/>
          <w:szCs w:val="24"/>
        </w:rPr>
        <w:t>management</w:t>
      </w:r>
      <w:r>
        <w:rPr>
          <w:rFonts w:ascii="Garamond" w:hAnsi="Garamond" w:cs="Garamond"/>
          <w:spacing w:val="-15"/>
          <w:sz w:val="24"/>
          <w:szCs w:val="24"/>
        </w:rPr>
        <w:t xml:space="preserve"> </w:t>
      </w:r>
      <w:r>
        <w:rPr>
          <w:rFonts w:ascii="Garamond" w:hAnsi="Garamond" w:cs="Garamond"/>
          <w:sz w:val="24"/>
          <w:szCs w:val="24"/>
        </w:rPr>
        <w:t>and</w:t>
      </w:r>
    </w:p>
    <w:p w:rsidR="002C5025" w:rsidRDefault="002C5025">
      <w:pPr>
        <w:pStyle w:val="BodyText"/>
        <w:kinsoku w:val="0"/>
        <w:overflowPunct w:val="0"/>
        <w:spacing w:before="1"/>
        <w:ind w:left="119" w:right="814"/>
        <w:rPr>
          <w:rFonts w:ascii="Garamond" w:hAnsi="Garamond" w:cs="Garamond"/>
          <w:sz w:val="24"/>
          <w:szCs w:val="24"/>
        </w:rPr>
      </w:pPr>
      <w:r>
        <w:rPr>
          <w:rFonts w:ascii="Garamond" w:hAnsi="Garamond" w:cs="Garamond"/>
          <w:sz w:val="24"/>
          <w:szCs w:val="24"/>
        </w:rPr>
        <w:t>chronic disease care coordination.</w:t>
      </w:r>
    </w:p>
    <w:p w:rsidR="002C5025" w:rsidRDefault="002C5025">
      <w:pPr>
        <w:pStyle w:val="BodyText"/>
        <w:kinsoku w:val="0"/>
        <w:overflowPunct w:val="0"/>
        <w:spacing w:before="2"/>
        <w:rPr>
          <w:rFonts w:ascii="Garamond" w:hAnsi="Garamond" w:cs="Garamond"/>
          <w:sz w:val="31"/>
          <w:szCs w:val="31"/>
        </w:rPr>
      </w:pPr>
    </w:p>
    <w:p w:rsidR="002C5025" w:rsidRDefault="002C5025">
      <w:pPr>
        <w:pStyle w:val="BodyText"/>
        <w:kinsoku w:val="0"/>
        <w:overflowPunct w:val="0"/>
        <w:spacing w:before="1" w:line="276" w:lineRule="auto"/>
        <w:ind w:left="119" w:right="10"/>
        <w:rPr>
          <w:rFonts w:ascii="Garamond" w:hAnsi="Garamond" w:cs="Garamond"/>
          <w:sz w:val="24"/>
          <w:szCs w:val="24"/>
        </w:rPr>
      </w:pPr>
      <w:r>
        <w:rPr>
          <w:rFonts w:ascii="Garamond" w:hAnsi="Garamond" w:cs="Garamond"/>
          <w:sz w:val="24"/>
          <w:szCs w:val="24"/>
        </w:rPr>
        <w:t xml:space="preserve">The new 1115 waiver is a tremendous opportunity to improve the way that </w:t>
      </w:r>
      <w:r>
        <w:rPr>
          <w:rFonts w:ascii="Garamond" w:hAnsi="Garamond" w:cs="Garamond"/>
          <w:spacing w:val="-3"/>
          <w:sz w:val="24"/>
          <w:szCs w:val="24"/>
        </w:rPr>
        <w:t xml:space="preserve">oral </w:t>
      </w:r>
      <w:r>
        <w:rPr>
          <w:rFonts w:ascii="Garamond" w:hAnsi="Garamond" w:cs="Garamond"/>
          <w:sz w:val="24"/>
          <w:szCs w:val="24"/>
        </w:rPr>
        <w:t>health care is financed</w:t>
      </w:r>
      <w:r>
        <w:rPr>
          <w:rFonts w:ascii="Garamond" w:hAnsi="Garamond" w:cs="Garamond"/>
          <w:spacing w:val="-15"/>
          <w:sz w:val="24"/>
          <w:szCs w:val="24"/>
        </w:rPr>
        <w:t xml:space="preserve"> </w:t>
      </w:r>
      <w:r>
        <w:rPr>
          <w:rFonts w:ascii="Garamond" w:hAnsi="Garamond" w:cs="Garamond"/>
          <w:sz w:val="24"/>
          <w:szCs w:val="24"/>
        </w:rPr>
        <w:t>and</w:t>
      </w:r>
      <w:r>
        <w:rPr>
          <w:rFonts w:ascii="Garamond" w:hAnsi="Garamond" w:cs="Garamond"/>
          <w:spacing w:val="-11"/>
          <w:sz w:val="24"/>
          <w:szCs w:val="24"/>
        </w:rPr>
        <w:t xml:space="preserve"> </w:t>
      </w:r>
      <w:r>
        <w:rPr>
          <w:rFonts w:ascii="Garamond" w:hAnsi="Garamond" w:cs="Garamond"/>
          <w:sz w:val="24"/>
          <w:szCs w:val="24"/>
        </w:rPr>
        <w:t>delivered,</w:t>
      </w:r>
      <w:r>
        <w:rPr>
          <w:rFonts w:ascii="Garamond" w:hAnsi="Garamond" w:cs="Garamond"/>
          <w:spacing w:val="-14"/>
          <w:sz w:val="24"/>
          <w:szCs w:val="24"/>
        </w:rPr>
        <w:t xml:space="preserve"> </w:t>
      </w:r>
      <w:r>
        <w:rPr>
          <w:rFonts w:ascii="Garamond" w:hAnsi="Garamond" w:cs="Garamond"/>
          <w:sz w:val="24"/>
          <w:szCs w:val="24"/>
        </w:rPr>
        <w:t>and</w:t>
      </w:r>
      <w:r>
        <w:rPr>
          <w:rFonts w:ascii="Garamond" w:hAnsi="Garamond" w:cs="Garamond"/>
          <w:spacing w:val="-12"/>
          <w:sz w:val="24"/>
          <w:szCs w:val="24"/>
        </w:rPr>
        <w:t xml:space="preserve"> </w:t>
      </w:r>
      <w:r>
        <w:rPr>
          <w:rFonts w:ascii="Garamond" w:hAnsi="Garamond" w:cs="Garamond"/>
          <w:sz w:val="24"/>
          <w:szCs w:val="24"/>
        </w:rPr>
        <w:t>elevate</w:t>
      </w:r>
      <w:r>
        <w:rPr>
          <w:rFonts w:ascii="Garamond" w:hAnsi="Garamond" w:cs="Garamond"/>
          <w:spacing w:val="-10"/>
          <w:sz w:val="24"/>
          <w:szCs w:val="24"/>
        </w:rPr>
        <w:t xml:space="preserve"> </w:t>
      </w:r>
      <w:r>
        <w:rPr>
          <w:rFonts w:ascii="Garamond" w:hAnsi="Garamond" w:cs="Garamond"/>
          <w:spacing w:val="-3"/>
          <w:sz w:val="24"/>
          <w:szCs w:val="24"/>
        </w:rPr>
        <w:t>oral</w:t>
      </w:r>
      <w:r>
        <w:rPr>
          <w:rFonts w:ascii="Garamond" w:hAnsi="Garamond" w:cs="Garamond"/>
          <w:spacing w:val="-12"/>
          <w:sz w:val="24"/>
          <w:szCs w:val="24"/>
        </w:rPr>
        <w:t xml:space="preserve"> </w:t>
      </w:r>
      <w:r>
        <w:rPr>
          <w:rFonts w:ascii="Garamond" w:hAnsi="Garamond" w:cs="Garamond"/>
          <w:sz w:val="24"/>
          <w:szCs w:val="24"/>
        </w:rPr>
        <w:t>health</w:t>
      </w:r>
      <w:r>
        <w:rPr>
          <w:rFonts w:ascii="Garamond" w:hAnsi="Garamond" w:cs="Garamond"/>
          <w:spacing w:val="-12"/>
          <w:sz w:val="24"/>
          <w:szCs w:val="24"/>
        </w:rPr>
        <w:t xml:space="preserve"> </w:t>
      </w:r>
      <w:r>
        <w:rPr>
          <w:rFonts w:ascii="Garamond" w:hAnsi="Garamond" w:cs="Garamond"/>
          <w:sz w:val="24"/>
          <w:szCs w:val="24"/>
        </w:rPr>
        <w:t>throughout</w:t>
      </w:r>
      <w:r>
        <w:rPr>
          <w:rFonts w:ascii="Garamond" w:hAnsi="Garamond" w:cs="Garamond"/>
          <w:spacing w:val="-13"/>
          <w:sz w:val="24"/>
          <w:szCs w:val="24"/>
        </w:rPr>
        <w:t xml:space="preserve"> </w:t>
      </w:r>
      <w:r>
        <w:rPr>
          <w:rFonts w:ascii="Garamond" w:hAnsi="Garamond" w:cs="Garamond"/>
          <w:sz w:val="24"/>
          <w:szCs w:val="24"/>
        </w:rPr>
        <w:t>health</w:t>
      </w:r>
      <w:r>
        <w:rPr>
          <w:rFonts w:ascii="Garamond" w:hAnsi="Garamond" w:cs="Garamond"/>
          <w:spacing w:val="-11"/>
          <w:sz w:val="24"/>
          <w:szCs w:val="24"/>
        </w:rPr>
        <w:t xml:space="preserve"> </w:t>
      </w:r>
      <w:r>
        <w:rPr>
          <w:rFonts w:ascii="Garamond" w:hAnsi="Garamond" w:cs="Garamond"/>
          <w:sz w:val="24"/>
          <w:szCs w:val="24"/>
        </w:rPr>
        <w:t>care</w:t>
      </w:r>
      <w:r>
        <w:rPr>
          <w:rFonts w:ascii="Garamond" w:hAnsi="Garamond" w:cs="Garamond"/>
          <w:spacing w:val="-10"/>
          <w:sz w:val="24"/>
          <w:szCs w:val="24"/>
        </w:rPr>
        <w:t xml:space="preserve"> </w:t>
      </w:r>
      <w:r>
        <w:rPr>
          <w:rFonts w:ascii="Garamond" w:hAnsi="Garamond" w:cs="Garamond"/>
          <w:sz w:val="24"/>
          <w:szCs w:val="24"/>
        </w:rPr>
        <w:t>more</w:t>
      </w:r>
      <w:r>
        <w:rPr>
          <w:rFonts w:ascii="Garamond" w:hAnsi="Garamond" w:cs="Garamond"/>
          <w:spacing w:val="-11"/>
          <w:sz w:val="24"/>
          <w:szCs w:val="24"/>
        </w:rPr>
        <w:t xml:space="preserve"> </w:t>
      </w:r>
      <w:r>
        <w:rPr>
          <w:rFonts w:ascii="Garamond" w:hAnsi="Garamond" w:cs="Garamond"/>
          <w:sz w:val="24"/>
          <w:szCs w:val="24"/>
        </w:rPr>
        <w:t>broadly.</w:t>
      </w:r>
      <w:r>
        <w:rPr>
          <w:rFonts w:ascii="Garamond" w:hAnsi="Garamond" w:cs="Garamond"/>
          <w:spacing w:val="-12"/>
          <w:sz w:val="24"/>
          <w:szCs w:val="24"/>
        </w:rPr>
        <w:t xml:space="preserve"> </w:t>
      </w:r>
      <w:r>
        <w:rPr>
          <w:rFonts w:ascii="Garamond" w:hAnsi="Garamond" w:cs="Garamond"/>
          <w:sz w:val="24"/>
          <w:szCs w:val="24"/>
        </w:rPr>
        <w:t>OHIP</w:t>
      </w:r>
      <w:r>
        <w:rPr>
          <w:rFonts w:ascii="Garamond" w:hAnsi="Garamond" w:cs="Garamond"/>
          <w:spacing w:val="-13"/>
          <w:sz w:val="24"/>
          <w:szCs w:val="24"/>
        </w:rPr>
        <w:t xml:space="preserve"> </w:t>
      </w:r>
      <w:r>
        <w:rPr>
          <w:rFonts w:ascii="Garamond" w:hAnsi="Garamond" w:cs="Garamond"/>
          <w:sz w:val="24"/>
          <w:szCs w:val="24"/>
        </w:rPr>
        <w:t>applauds the inclusion of oral health in its proposed ACO models as an important first step to oral health integration. All members should have access to patient-centered, integrated, and continuous quality oral</w:t>
      </w:r>
      <w:r>
        <w:rPr>
          <w:rFonts w:ascii="Garamond" w:hAnsi="Garamond" w:cs="Garamond"/>
          <w:spacing w:val="-10"/>
          <w:sz w:val="24"/>
          <w:szCs w:val="24"/>
        </w:rPr>
        <w:t xml:space="preserve"> </w:t>
      </w:r>
      <w:r>
        <w:rPr>
          <w:rFonts w:ascii="Garamond" w:hAnsi="Garamond" w:cs="Garamond"/>
          <w:sz w:val="24"/>
          <w:szCs w:val="24"/>
        </w:rPr>
        <w:t>health</w:t>
      </w:r>
      <w:r>
        <w:rPr>
          <w:rFonts w:ascii="Garamond" w:hAnsi="Garamond" w:cs="Garamond"/>
          <w:spacing w:val="-12"/>
          <w:sz w:val="24"/>
          <w:szCs w:val="24"/>
        </w:rPr>
        <w:t xml:space="preserve"> </w:t>
      </w:r>
      <w:r>
        <w:rPr>
          <w:rFonts w:ascii="Garamond" w:hAnsi="Garamond" w:cs="Garamond"/>
          <w:sz w:val="24"/>
          <w:szCs w:val="24"/>
        </w:rPr>
        <w:t>care.</w:t>
      </w:r>
      <w:r>
        <w:rPr>
          <w:rFonts w:ascii="Garamond" w:hAnsi="Garamond" w:cs="Garamond"/>
          <w:spacing w:val="-12"/>
          <w:sz w:val="24"/>
          <w:szCs w:val="24"/>
        </w:rPr>
        <w:t xml:space="preserve"> </w:t>
      </w:r>
      <w:r>
        <w:rPr>
          <w:rFonts w:ascii="Garamond" w:hAnsi="Garamond" w:cs="Garamond"/>
          <w:sz w:val="24"/>
          <w:szCs w:val="24"/>
        </w:rPr>
        <w:t>We</w:t>
      </w:r>
      <w:r>
        <w:rPr>
          <w:rFonts w:ascii="Garamond" w:hAnsi="Garamond" w:cs="Garamond"/>
          <w:spacing w:val="-14"/>
          <w:sz w:val="24"/>
          <w:szCs w:val="24"/>
        </w:rPr>
        <w:t xml:space="preserve"> </w:t>
      </w:r>
      <w:r>
        <w:rPr>
          <w:rFonts w:ascii="Garamond" w:hAnsi="Garamond" w:cs="Garamond"/>
          <w:sz w:val="24"/>
          <w:szCs w:val="24"/>
        </w:rPr>
        <w:t>encourage</w:t>
      </w:r>
      <w:r>
        <w:rPr>
          <w:rFonts w:ascii="Garamond" w:hAnsi="Garamond" w:cs="Garamond"/>
          <w:spacing w:val="-10"/>
          <w:sz w:val="24"/>
          <w:szCs w:val="24"/>
        </w:rPr>
        <w:t xml:space="preserve"> </w:t>
      </w:r>
      <w:r>
        <w:rPr>
          <w:rFonts w:ascii="Garamond" w:hAnsi="Garamond" w:cs="Garamond"/>
          <w:sz w:val="24"/>
          <w:szCs w:val="24"/>
        </w:rPr>
        <w:t>MassHealth</w:t>
      </w:r>
      <w:r>
        <w:rPr>
          <w:rFonts w:ascii="Garamond" w:hAnsi="Garamond" w:cs="Garamond"/>
          <w:spacing w:val="-10"/>
          <w:sz w:val="24"/>
          <w:szCs w:val="24"/>
        </w:rPr>
        <w:t xml:space="preserve"> </w:t>
      </w:r>
      <w:r>
        <w:rPr>
          <w:rFonts w:ascii="Garamond" w:hAnsi="Garamond" w:cs="Garamond"/>
          <w:sz w:val="24"/>
          <w:szCs w:val="24"/>
        </w:rPr>
        <w:t>to</w:t>
      </w:r>
      <w:r>
        <w:rPr>
          <w:rFonts w:ascii="Garamond" w:hAnsi="Garamond" w:cs="Garamond"/>
          <w:spacing w:val="-12"/>
          <w:sz w:val="24"/>
          <w:szCs w:val="24"/>
        </w:rPr>
        <w:t xml:space="preserve"> </w:t>
      </w:r>
      <w:r>
        <w:rPr>
          <w:rFonts w:ascii="Garamond" w:hAnsi="Garamond" w:cs="Garamond"/>
          <w:sz w:val="24"/>
          <w:szCs w:val="24"/>
        </w:rPr>
        <w:t>take</w:t>
      </w:r>
      <w:r>
        <w:rPr>
          <w:rFonts w:ascii="Garamond" w:hAnsi="Garamond" w:cs="Garamond"/>
          <w:spacing w:val="-14"/>
          <w:sz w:val="24"/>
          <w:szCs w:val="24"/>
        </w:rPr>
        <w:t xml:space="preserve"> </w:t>
      </w:r>
      <w:r>
        <w:rPr>
          <w:rFonts w:ascii="Garamond" w:hAnsi="Garamond" w:cs="Garamond"/>
          <w:sz w:val="24"/>
          <w:szCs w:val="24"/>
        </w:rPr>
        <w:t>additional</w:t>
      </w:r>
      <w:r>
        <w:rPr>
          <w:rFonts w:ascii="Garamond" w:hAnsi="Garamond" w:cs="Garamond"/>
          <w:spacing w:val="-10"/>
          <w:sz w:val="24"/>
          <w:szCs w:val="24"/>
        </w:rPr>
        <w:t xml:space="preserve"> </w:t>
      </w:r>
      <w:r>
        <w:rPr>
          <w:rFonts w:ascii="Garamond" w:hAnsi="Garamond" w:cs="Garamond"/>
          <w:sz w:val="24"/>
          <w:szCs w:val="24"/>
        </w:rPr>
        <w:t>steps</w:t>
      </w:r>
      <w:r>
        <w:rPr>
          <w:rFonts w:ascii="Garamond" w:hAnsi="Garamond" w:cs="Garamond"/>
          <w:spacing w:val="-13"/>
          <w:sz w:val="24"/>
          <w:szCs w:val="24"/>
        </w:rPr>
        <w:t xml:space="preserve"> </w:t>
      </w:r>
      <w:r>
        <w:rPr>
          <w:rFonts w:ascii="Garamond" w:hAnsi="Garamond" w:cs="Garamond"/>
          <w:sz w:val="24"/>
          <w:szCs w:val="24"/>
        </w:rPr>
        <w:t>beyond</w:t>
      </w:r>
      <w:r>
        <w:rPr>
          <w:rFonts w:ascii="Garamond" w:hAnsi="Garamond" w:cs="Garamond"/>
          <w:spacing w:val="-12"/>
          <w:sz w:val="24"/>
          <w:szCs w:val="24"/>
        </w:rPr>
        <w:t xml:space="preserve"> </w:t>
      </w:r>
      <w:r>
        <w:rPr>
          <w:rFonts w:ascii="Garamond" w:hAnsi="Garamond" w:cs="Garamond"/>
          <w:sz w:val="24"/>
          <w:szCs w:val="24"/>
        </w:rPr>
        <w:t>incorporating</w:t>
      </w:r>
      <w:r>
        <w:rPr>
          <w:rFonts w:ascii="Garamond" w:hAnsi="Garamond" w:cs="Garamond"/>
          <w:spacing w:val="-12"/>
          <w:sz w:val="24"/>
          <w:szCs w:val="24"/>
        </w:rPr>
        <w:t xml:space="preserve"> </w:t>
      </w:r>
      <w:r>
        <w:rPr>
          <w:rFonts w:ascii="Garamond" w:hAnsi="Garamond" w:cs="Garamond"/>
          <w:sz w:val="24"/>
          <w:szCs w:val="24"/>
        </w:rPr>
        <w:t>oral</w:t>
      </w:r>
      <w:r>
        <w:rPr>
          <w:rFonts w:ascii="Garamond" w:hAnsi="Garamond" w:cs="Garamond"/>
          <w:spacing w:val="-12"/>
          <w:sz w:val="24"/>
          <w:szCs w:val="24"/>
        </w:rPr>
        <w:t xml:space="preserve"> </w:t>
      </w:r>
      <w:r>
        <w:rPr>
          <w:rFonts w:ascii="Garamond" w:hAnsi="Garamond" w:cs="Garamond"/>
          <w:sz w:val="24"/>
          <w:szCs w:val="24"/>
        </w:rPr>
        <w:t xml:space="preserve">health incentives on the primary care side, including requirements for increased ACO accountability for dental services. MassHealth’s primary goal of promoting truly integrated, coordinated, and accountable care cannot </w:t>
      </w:r>
      <w:r>
        <w:rPr>
          <w:rFonts w:ascii="Garamond" w:hAnsi="Garamond" w:cs="Garamond"/>
          <w:spacing w:val="-3"/>
          <w:sz w:val="24"/>
          <w:szCs w:val="24"/>
        </w:rPr>
        <w:t xml:space="preserve">be </w:t>
      </w:r>
      <w:r>
        <w:rPr>
          <w:rFonts w:ascii="Garamond" w:hAnsi="Garamond" w:cs="Garamond"/>
          <w:sz w:val="24"/>
          <w:szCs w:val="24"/>
        </w:rPr>
        <w:t>achieved without an additional focus on oral health and dental services and</w:t>
      </w:r>
      <w:r>
        <w:rPr>
          <w:rFonts w:ascii="Garamond" w:hAnsi="Garamond" w:cs="Garamond"/>
          <w:spacing w:val="-15"/>
          <w:sz w:val="24"/>
          <w:szCs w:val="24"/>
        </w:rPr>
        <w:t xml:space="preserve"> </w:t>
      </w:r>
      <w:r>
        <w:rPr>
          <w:rFonts w:ascii="Garamond" w:hAnsi="Garamond" w:cs="Garamond"/>
          <w:sz w:val="24"/>
          <w:szCs w:val="24"/>
        </w:rPr>
        <w:t>sufficient</w:t>
      </w:r>
      <w:r>
        <w:rPr>
          <w:rFonts w:ascii="Garamond" w:hAnsi="Garamond" w:cs="Garamond"/>
          <w:spacing w:val="-16"/>
          <w:sz w:val="24"/>
          <w:szCs w:val="24"/>
        </w:rPr>
        <w:t xml:space="preserve"> </w:t>
      </w:r>
      <w:r>
        <w:rPr>
          <w:rFonts w:ascii="Garamond" w:hAnsi="Garamond" w:cs="Garamond"/>
          <w:sz w:val="24"/>
          <w:szCs w:val="24"/>
        </w:rPr>
        <w:t>resources</w:t>
      </w:r>
      <w:r>
        <w:rPr>
          <w:rFonts w:ascii="Garamond" w:hAnsi="Garamond" w:cs="Garamond"/>
          <w:spacing w:val="-20"/>
          <w:sz w:val="24"/>
          <w:szCs w:val="24"/>
        </w:rPr>
        <w:t xml:space="preserve"> </w:t>
      </w:r>
      <w:r>
        <w:rPr>
          <w:rFonts w:ascii="Garamond" w:hAnsi="Garamond" w:cs="Garamond"/>
          <w:sz w:val="24"/>
          <w:szCs w:val="24"/>
        </w:rPr>
        <w:t>allocated</w:t>
      </w:r>
      <w:r>
        <w:rPr>
          <w:rFonts w:ascii="Garamond" w:hAnsi="Garamond" w:cs="Garamond"/>
          <w:spacing w:val="-15"/>
          <w:sz w:val="24"/>
          <w:szCs w:val="24"/>
        </w:rPr>
        <w:t xml:space="preserve"> </w:t>
      </w:r>
      <w:r>
        <w:rPr>
          <w:rFonts w:ascii="Garamond" w:hAnsi="Garamond" w:cs="Garamond"/>
          <w:sz w:val="24"/>
          <w:szCs w:val="24"/>
        </w:rPr>
        <w:t>for</w:t>
      </w:r>
      <w:r>
        <w:rPr>
          <w:rFonts w:ascii="Garamond" w:hAnsi="Garamond" w:cs="Garamond"/>
          <w:spacing w:val="-19"/>
          <w:sz w:val="24"/>
          <w:szCs w:val="24"/>
        </w:rPr>
        <w:t xml:space="preserve"> </w:t>
      </w:r>
      <w:r>
        <w:rPr>
          <w:rFonts w:ascii="Garamond" w:hAnsi="Garamond" w:cs="Garamond"/>
          <w:sz w:val="24"/>
          <w:szCs w:val="24"/>
        </w:rPr>
        <w:t>oral</w:t>
      </w:r>
      <w:r>
        <w:rPr>
          <w:rFonts w:ascii="Garamond" w:hAnsi="Garamond" w:cs="Garamond"/>
          <w:spacing w:val="-15"/>
          <w:sz w:val="24"/>
          <w:szCs w:val="24"/>
        </w:rPr>
        <w:t xml:space="preserve"> </w:t>
      </w:r>
      <w:r>
        <w:rPr>
          <w:rFonts w:ascii="Garamond" w:hAnsi="Garamond" w:cs="Garamond"/>
          <w:sz w:val="24"/>
          <w:szCs w:val="24"/>
        </w:rPr>
        <w:t>health</w:t>
      </w:r>
      <w:r>
        <w:rPr>
          <w:rFonts w:ascii="Garamond" w:hAnsi="Garamond" w:cs="Garamond"/>
          <w:spacing w:val="-15"/>
          <w:sz w:val="24"/>
          <w:szCs w:val="24"/>
        </w:rPr>
        <w:t xml:space="preserve"> </w:t>
      </w:r>
      <w:r>
        <w:rPr>
          <w:rFonts w:ascii="Garamond" w:hAnsi="Garamond" w:cs="Garamond"/>
          <w:sz w:val="24"/>
          <w:szCs w:val="24"/>
        </w:rPr>
        <w:t>system</w:t>
      </w:r>
      <w:r>
        <w:rPr>
          <w:rFonts w:ascii="Garamond" w:hAnsi="Garamond" w:cs="Garamond"/>
          <w:spacing w:val="-18"/>
          <w:sz w:val="24"/>
          <w:szCs w:val="24"/>
        </w:rPr>
        <w:t xml:space="preserve"> </w:t>
      </w:r>
      <w:r>
        <w:rPr>
          <w:rFonts w:ascii="Garamond" w:hAnsi="Garamond" w:cs="Garamond"/>
          <w:sz w:val="24"/>
          <w:szCs w:val="24"/>
        </w:rPr>
        <w:t>transformation.</w:t>
      </w:r>
    </w:p>
    <w:p w:rsidR="002C5025" w:rsidRDefault="002C5025">
      <w:pPr>
        <w:pStyle w:val="BodyText"/>
        <w:kinsoku w:val="0"/>
        <w:overflowPunct w:val="0"/>
        <w:spacing w:before="6"/>
        <w:rPr>
          <w:rFonts w:ascii="Garamond" w:hAnsi="Garamond" w:cs="Garamond"/>
          <w:sz w:val="26"/>
          <w:szCs w:val="26"/>
        </w:rPr>
      </w:pPr>
    </w:p>
    <w:p w:rsidR="002C5025" w:rsidRDefault="002C5025">
      <w:pPr>
        <w:pStyle w:val="BodyText"/>
        <w:kinsoku w:val="0"/>
        <w:overflowPunct w:val="0"/>
        <w:ind w:left="120" w:right="814"/>
        <w:rPr>
          <w:rFonts w:ascii="Garamond" w:hAnsi="Garamond" w:cs="Garamond"/>
          <w:b/>
          <w:bCs/>
          <w:i/>
          <w:iCs/>
          <w:w w:val="90"/>
          <w:sz w:val="26"/>
          <w:szCs w:val="26"/>
        </w:rPr>
      </w:pPr>
      <w:bookmarkStart w:id="241" w:name="ACOs_must_have_accountability_for_oral_h"/>
      <w:bookmarkEnd w:id="241"/>
      <w:r>
        <w:rPr>
          <w:rFonts w:ascii="Garamond" w:hAnsi="Garamond" w:cs="Garamond"/>
          <w:b/>
          <w:bCs/>
          <w:i/>
          <w:iCs/>
          <w:w w:val="90"/>
          <w:sz w:val="26"/>
          <w:szCs w:val="26"/>
        </w:rPr>
        <w:t>ACOs must have accountability for oral health and dental services</w:t>
      </w:r>
    </w:p>
    <w:p w:rsidR="002C5025" w:rsidRDefault="002C5025">
      <w:pPr>
        <w:pStyle w:val="BodyText"/>
        <w:kinsoku w:val="0"/>
        <w:overflowPunct w:val="0"/>
        <w:spacing w:before="154" w:line="276" w:lineRule="auto"/>
        <w:ind w:left="119" w:right="89"/>
        <w:rPr>
          <w:rFonts w:ascii="Garamond" w:hAnsi="Garamond" w:cs="Garamond"/>
          <w:sz w:val="24"/>
          <w:szCs w:val="24"/>
        </w:rPr>
      </w:pPr>
      <w:r>
        <w:rPr>
          <w:rFonts w:ascii="Garamond" w:hAnsi="Garamond" w:cs="Garamond"/>
          <w:sz w:val="24"/>
          <w:szCs w:val="24"/>
        </w:rPr>
        <w:t>Oral health care is a vital part of overall health care. As such, ACOs must have accountability for dental services, which can help address unmet population need and help the overall system save money. To start, MassHealth should require ACOs to establish referral relationships and/or partnerships with dental providers and delineate accountable referral processes, with the goal of ultimately moving all dental services to risk-sharing arrangements and value-based reimbursement. This must involve an incremental phasing-in of dental services into ACO total cost of care, with safeguards to ensure the population’s service needs can be adequately met. We propose MassHealth consider a similar process for oral health integration as is currently proposed in the waiver request for LTSS integration.</w:t>
      </w:r>
    </w:p>
    <w:p w:rsidR="002C5025" w:rsidRDefault="002C5025">
      <w:pPr>
        <w:pStyle w:val="BodyText"/>
        <w:kinsoku w:val="0"/>
        <w:overflowPunct w:val="0"/>
        <w:spacing w:before="4"/>
        <w:rPr>
          <w:rFonts w:ascii="Garamond" w:hAnsi="Garamond" w:cs="Garamond"/>
          <w:sz w:val="27"/>
          <w:szCs w:val="27"/>
        </w:rPr>
      </w:pPr>
    </w:p>
    <w:p w:rsidR="002C5025" w:rsidRDefault="002C5025">
      <w:pPr>
        <w:pStyle w:val="BodyText"/>
        <w:kinsoku w:val="0"/>
        <w:overflowPunct w:val="0"/>
        <w:spacing w:before="1" w:line="276" w:lineRule="auto"/>
        <w:ind w:left="119" w:right="10"/>
        <w:rPr>
          <w:rFonts w:ascii="Garamond" w:hAnsi="Garamond" w:cs="Garamond"/>
          <w:sz w:val="24"/>
          <w:szCs w:val="24"/>
        </w:rPr>
      </w:pPr>
      <w:r>
        <w:rPr>
          <w:rFonts w:ascii="Garamond" w:hAnsi="Garamond" w:cs="Garamond"/>
          <w:sz w:val="24"/>
          <w:szCs w:val="24"/>
        </w:rPr>
        <w:t>Dental providers should be explicitly allowed to join ACOs and/or establish relationships with ACOs</w:t>
      </w:r>
      <w:r>
        <w:rPr>
          <w:rFonts w:ascii="Garamond" w:hAnsi="Garamond" w:cs="Garamond"/>
          <w:spacing w:val="-15"/>
          <w:sz w:val="24"/>
          <w:szCs w:val="24"/>
        </w:rPr>
        <w:t xml:space="preserve"> </w:t>
      </w:r>
      <w:r>
        <w:rPr>
          <w:rFonts w:ascii="Garamond" w:hAnsi="Garamond" w:cs="Garamond"/>
          <w:sz w:val="24"/>
          <w:szCs w:val="24"/>
        </w:rPr>
        <w:t>and</w:t>
      </w:r>
      <w:r>
        <w:rPr>
          <w:rFonts w:ascii="Garamond" w:hAnsi="Garamond" w:cs="Garamond"/>
          <w:spacing w:val="-11"/>
          <w:sz w:val="24"/>
          <w:szCs w:val="24"/>
        </w:rPr>
        <w:t xml:space="preserve"> </w:t>
      </w:r>
      <w:r>
        <w:rPr>
          <w:rFonts w:ascii="Garamond" w:hAnsi="Garamond" w:cs="Garamond"/>
          <w:sz w:val="24"/>
          <w:szCs w:val="24"/>
        </w:rPr>
        <w:t>take</w:t>
      </w:r>
      <w:r>
        <w:rPr>
          <w:rFonts w:ascii="Garamond" w:hAnsi="Garamond" w:cs="Garamond"/>
          <w:spacing w:val="-10"/>
          <w:sz w:val="24"/>
          <w:szCs w:val="24"/>
        </w:rPr>
        <w:t xml:space="preserve"> </w:t>
      </w:r>
      <w:r>
        <w:rPr>
          <w:rFonts w:ascii="Garamond" w:hAnsi="Garamond" w:cs="Garamond"/>
          <w:sz w:val="24"/>
          <w:szCs w:val="24"/>
        </w:rPr>
        <w:t>part</w:t>
      </w:r>
      <w:r>
        <w:rPr>
          <w:rFonts w:ascii="Garamond" w:hAnsi="Garamond" w:cs="Garamond"/>
          <w:spacing w:val="-12"/>
          <w:sz w:val="24"/>
          <w:szCs w:val="24"/>
        </w:rPr>
        <w:t xml:space="preserve"> </w:t>
      </w:r>
      <w:r>
        <w:rPr>
          <w:rFonts w:ascii="Garamond" w:hAnsi="Garamond" w:cs="Garamond"/>
          <w:sz w:val="24"/>
          <w:szCs w:val="24"/>
        </w:rPr>
        <w:t>in</w:t>
      </w:r>
      <w:r>
        <w:rPr>
          <w:rFonts w:ascii="Garamond" w:hAnsi="Garamond" w:cs="Garamond"/>
          <w:spacing w:val="-11"/>
          <w:sz w:val="24"/>
          <w:szCs w:val="24"/>
        </w:rPr>
        <w:t xml:space="preserve"> </w:t>
      </w:r>
      <w:r>
        <w:rPr>
          <w:rFonts w:ascii="Garamond" w:hAnsi="Garamond" w:cs="Garamond"/>
          <w:sz w:val="24"/>
          <w:szCs w:val="24"/>
        </w:rPr>
        <w:t>risk-sharing</w:t>
      </w:r>
      <w:r>
        <w:rPr>
          <w:rFonts w:ascii="Garamond" w:hAnsi="Garamond" w:cs="Garamond"/>
          <w:spacing w:val="-11"/>
          <w:sz w:val="24"/>
          <w:szCs w:val="24"/>
        </w:rPr>
        <w:t xml:space="preserve"> </w:t>
      </w:r>
      <w:r>
        <w:rPr>
          <w:rFonts w:ascii="Garamond" w:hAnsi="Garamond" w:cs="Garamond"/>
          <w:sz w:val="24"/>
          <w:szCs w:val="24"/>
        </w:rPr>
        <w:t>arrangements</w:t>
      </w:r>
      <w:r>
        <w:rPr>
          <w:rFonts w:ascii="Garamond" w:hAnsi="Garamond" w:cs="Garamond"/>
          <w:spacing w:val="-12"/>
          <w:sz w:val="24"/>
          <w:szCs w:val="24"/>
        </w:rPr>
        <w:t xml:space="preserve"> </w:t>
      </w:r>
      <w:r>
        <w:rPr>
          <w:rFonts w:ascii="Garamond" w:hAnsi="Garamond" w:cs="Garamond"/>
          <w:sz w:val="24"/>
          <w:szCs w:val="24"/>
        </w:rPr>
        <w:t>that</w:t>
      </w:r>
      <w:r>
        <w:rPr>
          <w:rFonts w:ascii="Garamond" w:hAnsi="Garamond" w:cs="Garamond"/>
          <w:spacing w:val="-12"/>
          <w:sz w:val="24"/>
          <w:szCs w:val="24"/>
        </w:rPr>
        <w:t xml:space="preserve"> </w:t>
      </w:r>
      <w:r>
        <w:rPr>
          <w:rFonts w:ascii="Garamond" w:hAnsi="Garamond" w:cs="Garamond"/>
          <w:sz w:val="24"/>
          <w:szCs w:val="24"/>
        </w:rPr>
        <w:t>align</w:t>
      </w:r>
      <w:r>
        <w:rPr>
          <w:rFonts w:ascii="Garamond" w:hAnsi="Garamond" w:cs="Garamond"/>
          <w:spacing w:val="-11"/>
          <w:sz w:val="24"/>
          <w:szCs w:val="24"/>
        </w:rPr>
        <w:t xml:space="preserve"> </w:t>
      </w:r>
      <w:r>
        <w:rPr>
          <w:rFonts w:ascii="Garamond" w:hAnsi="Garamond" w:cs="Garamond"/>
          <w:sz w:val="24"/>
          <w:szCs w:val="24"/>
        </w:rPr>
        <w:t>financing</w:t>
      </w:r>
      <w:r>
        <w:rPr>
          <w:rFonts w:ascii="Garamond" w:hAnsi="Garamond" w:cs="Garamond"/>
          <w:spacing w:val="-11"/>
          <w:sz w:val="24"/>
          <w:szCs w:val="24"/>
        </w:rPr>
        <w:t xml:space="preserve"> </w:t>
      </w:r>
      <w:r>
        <w:rPr>
          <w:rFonts w:ascii="Garamond" w:hAnsi="Garamond" w:cs="Garamond"/>
          <w:sz w:val="24"/>
          <w:szCs w:val="24"/>
        </w:rPr>
        <w:t>with</w:t>
      </w:r>
      <w:r>
        <w:rPr>
          <w:rFonts w:ascii="Garamond" w:hAnsi="Garamond" w:cs="Garamond"/>
          <w:spacing w:val="-11"/>
          <w:sz w:val="24"/>
          <w:szCs w:val="24"/>
        </w:rPr>
        <w:t xml:space="preserve"> </w:t>
      </w:r>
      <w:r>
        <w:rPr>
          <w:rFonts w:ascii="Garamond" w:hAnsi="Garamond" w:cs="Garamond"/>
          <w:sz w:val="24"/>
          <w:szCs w:val="24"/>
        </w:rPr>
        <w:t>better</w:t>
      </w:r>
      <w:r>
        <w:rPr>
          <w:rFonts w:ascii="Garamond" w:hAnsi="Garamond" w:cs="Garamond"/>
          <w:spacing w:val="-12"/>
          <w:sz w:val="24"/>
          <w:szCs w:val="24"/>
        </w:rPr>
        <w:t xml:space="preserve"> </w:t>
      </w:r>
      <w:r>
        <w:rPr>
          <w:rFonts w:ascii="Garamond" w:hAnsi="Garamond" w:cs="Garamond"/>
          <w:sz w:val="24"/>
          <w:szCs w:val="24"/>
        </w:rPr>
        <w:t>outcomes.</w:t>
      </w:r>
      <w:r>
        <w:rPr>
          <w:rFonts w:ascii="Garamond" w:hAnsi="Garamond" w:cs="Garamond"/>
          <w:spacing w:val="-11"/>
          <w:sz w:val="24"/>
          <w:szCs w:val="24"/>
        </w:rPr>
        <w:t xml:space="preserve"> </w:t>
      </w:r>
      <w:r>
        <w:rPr>
          <w:rFonts w:ascii="Garamond" w:hAnsi="Garamond" w:cs="Garamond"/>
          <w:sz w:val="24"/>
          <w:szCs w:val="24"/>
        </w:rPr>
        <w:t>This</w:t>
      </w:r>
      <w:r>
        <w:rPr>
          <w:rFonts w:ascii="Garamond" w:hAnsi="Garamond" w:cs="Garamond"/>
          <w:spacing w:val="-12"/>
          <w:sz w:val="24"/>
          <w:szCs w:val="24"/>
        </w:rPr>
        <w:t xml:space="preserve"> </w:t>
      </w:r>
      <w:r>
        <w:rPr>
          <w:rFonts w:ascii="Garamond" w:hAnsi="Garamond" w:cs="Garamond"/>
          <w:sz w:val="24"/>
          <w:szCs w:val="24"/>
        </w:rPr>
        <w:t>can occur</w:t>
      </w:r>
      <w:r>
        <w:rPr>
          <w:rFonts w:ascii="Garamond" w:hAnsi="Garamond" w:cs="Garamond"/>
          <w:spacing w:val="-12"/>
          <w:sz w:val="24"/>
          <w:szCs w:val="24"/>
        </w:rPr>
        <w:t xml:space="preserve"> </w:t>
      </w:r>
      <w:r>
        <w:rPr>
          <w:rFonts w:ascii="Garamond" w:hAnsi="Garamond" w:cs="Garamond"/>
          <w:sz w:val="24"/>
          <w:szCs w:val="24"/>
        </w:rPr>
        <w:t>during</w:t>
      </w:r>
      <w:r>
        <w:rPr>
          <w:rFonts w:ascii="Garamond" w:hAnsi="Garamond" w:cs="Garamond"/>
          <w:spacing w:val="-9"/>
          <w:sz w:val="24"/>
          <w:szCs w:val="24"/>
        </w:rPr>
        <w:t xml:space="preserve"> </w:t>
      </w:r>
      <w:r>
        <w:rPr>
          <w:rFonts w:ascii="Garamond" w:hAnsi="Garamond" w:cs="Garamond"/>
          <w:sz w:val="24"/>
          <w:szCs w:val="24"/>
        </w:rPr>
        <w:t>Year</w:t>
      </w:r>
      <w:r>
        <w:rPr>
          <w:rFonts w:ascii="Garamond" w:hAnsi="Garamond" w:cs="Garamond"/>
          <w:spacing w:val="-12"/>
          <w:sz w:val="24"/>
          <w:szCs w:val="24"/>
        </w:rPr>
        <w:t xml:space="preserve"> </w:t>
      </w:r>
      <w:r>
        <w:rPr>
          <w:rFonts w:ascii="Garamond" w:hAnsi="Garamond" w:cs="Garamond"/>
          <w:sz w:val="24"/>
          <w:szCs w:val="24"/>
        </w:rPr>
        <w:t>1</w:t>
      </w:r>
      <w:r>
        <w:rPr>
          <w:rFonts w:ascii="Garamond" w:hAnsi="Garamond" w:cs="Garamond"/>
          <w:spacing w:val="-11"/>
          <w:sz w:val="24"/>
          <w:szCs w:val="24"/>
        </w:rPr>
        <w:t xml:space="preserve"> </w:t>
      </w:r>
      <w:r>
        <w:rPr>
          <w:rFonts w:ascii="Garamond" w:hAnsi="Garamond" w:cs="Garamond"/>
          <w:sz w:val="24"/>
          <w:szCs w:val="24"/>
        </w:rPr>
        <w:t>of</w:t>
      </w:r>
      <w:r>
        <w:rPr>
          <w:rFonts w:ascii="Garamond" w:hAnsi="Garamond" w:cs="Garamond"/>
          <w:spacing w:val="-12"/>
          <w:sz w:val="24"/>
          <w:szCs w:val="24"/>
        </w:rPr>
        <w:t xml:space="preserve"> </w:t>
      </w:r>
      <w:r>
        <w:rPr>
          <w:rFonts w:ascii="Garamond" w:hAnsi="Garamond" w:cs="Garamond"/>
          <w:sz w:val="24"/>
          <w:szCs w:val="24"/>
        </w:rPr>
        <w:t>ACO</w:t>
      </w:r>
      <w:r>
        <w:rPr>
          <w:rFonts w:ascii="Garamond" w:hAnsi="Garamond" w:cs="Garamond"/>
          <w:spacing w:val="-10"/>
          <w:sz w:val="24"/>
          <w:szCs w:val="24"/>
        </w:rPr>
        <w:t xml:space="preserve"> </w:t>
      </w:r>
      <w:r>
        <w:rPr>
          <w:rFonts w:ascii="Garamond" w:hAnsi="Garamond" w:cs="Garamond"/>
          <w:sz w:val="24"/>
          <w:szCs w:val="24"/>
        </w:rPr>
        <w:t>roll-out.</w:t>
      </w:r>
      <w:r>
        <w:rPr>
          <w:rFonts w:ascii="Garamond" w:hAnsi="Garamond" w:cs="Garamond"/>
          <w:spacing w:val="-10"/>
          <w:sz w:val="24"/>
          <w:szCs w:val="24"/>
        </w:rPr>
        <w:t xml:space="preserve"> </w:t>
      </w:r>
      <w:r>
        <w:rPr>
          <w:rFonts w:ascii="Garamond" w:hAnsi="Garamond" w:cs="Garamond"/>
          <w:sz w:val="24"/>
          <w:szCs w:val="24"/>
        </w:rPr>
        <w:t>In</w:t>
      </w:r>
      <w:r>
        <w:rPr>
          <w:rFonts w:ascii="Garamond" w:hAnsi="Garamond" w:cs="Garamond"/>
          <w:spacing w:val="-11"/>
          <w:sz w:val="24"/>
          <w:szCs w:val="24"/>
        </w:rPr>
        <w:t xml:space="preserve"> </w:t>
      </w:r>
      <w:r>
        <w:rPr>
          <w:rFonts w:ascii="Garamond" w:hAnsi="Garamond" w:cs="Garamond"/>
          <w:sz w:val="24"/>
          <w:szCs w:val="24"/>
        </w:rPr>
        <w:t>order</w:t>
      </w:r>
      <w:r>
        <w:rPr>
          <w:rFonts w:ascii="Garamond" w:hAnsi="Garamond" w:cs="Garamond"/>
          <w:spacing w:val="-12"/>
          <w:sz w:val="24"/>
          <w:szCs w:val="24"/>
        </w:rPr>
        <w:t xml:space="preserve"> </w:t>
      </w:r>
      <w:r>
        <w:rPr>
          <w:rFonts w:ascii="Garamond" w:hAnsi="Garamond" w:cs="Garamond"/>
          <w:sz w:val="24"/>
          <w:szCs w:val="24"/>
        </w:rPr>
        <w:t>to</w:t>
      </w:r>
      <w:r>
        <w:rPr>
          <w:rFonts w:ascii="Garamond" w:hAnsi="Garamond" w:cs="Garamond"/>
          <w:spacing w:val="-11"/>
          <w:sz w:val="24"/>
          <w:szCs w:val="24"/>
        </w:rPr>
        <w:t xml:space="preserve"> </w:t>
      </w:r>
      <w:r>
        <w:rPr>
          <w:rFonts w:ascii="Garamond" w:hAnsi="Garamond" w:cs="Garamond"/>
          <w:sz w:val="24"/>
          <w:szCs w:val="24"/>
        </w:rPr>
        <w:t>facilitate</w:t>
      </w:r>
      <w:r>
        <w:rPr>
          <w:rFonts w:ascii="Garamond" w:hAnsi="Garamond" w:cs="Garamond"/>
          <w:spacing w:val="-7"/>
          <w:sz w:val="24"/>
          <w:szCs w:val="24"/>
        </w:rPr>
        <w:t xml:space="preserve"> </w:t>
      </w:r>
      <w:r>
        <w:rPr>
          <w:rFonts w:ascii="Garamond" w:hAnsi="Garamond" w:cs="Garamond"/>
          <w:sz w:val="24"/>
          <w:szCs w:val="24"/>
        </w:rPr>
        <w:t>phasing</w:t>
      </w:r>
      <w:r>
        <w:rPr>
          <w:rFonts w:ascii="Garamond" w:hAnsi="Garamond" w:cs="Garamond"/>
          <w:spacing w:val="-9"/>
          <w:sz w:val="24"/>
          <w:szCs w:val="24"/>
        </w:rPr>
        <w:t xml:space="preserve"> </w:t>
      </w:r>
      <w:r>
        <w:rPr>
          <w:rFonts w:ascii="Garamond" w:hAnsi="Garamond" w:cs="Garamond"/>
          <w:sz w:val="24"/>
          <w:szCs w:val="24"/>
        </w:rPr>
        <w:t>in</w:t>
      </w:r>
      <w:r>
        <w:rPr>
          <w:rFonts w:ascii="Garamond" w:hAnsi="Garamond" w:cs="Garamond"/>
          <w:spacing w:val="-11"/>
          <w:sz w:val="24"/>
          <w:szCs w:val="24"/>
        </w:rPr>
        <w:t xml:space="preserve"> </w:t>
      </w:r>
      <w:r>
        <w:rPr>
          <w:rFonts w:ascii="Garamond" w:hAnsi="Garamond" w:cs="Garamond"/>
          <w:sz w:val="24"/>
          <w:szCs w:val="24"/>
        </w:rPr>
        <w:t>dental</w:t>
      </w:r>
      <w:r>
        <w:rPr>
          <w:rFonts w:ascii="Garamond" w:hAnsi="Garamond" w:cs="Garamond"/>
          <w:spacing w:val="-11"/>
          <w:sz w:val="24"/>
          <w:szCs w:val="24"/>
        </w:rPr>
        <w:t xml:space="preserve"> </w:t>
      </w:r>
      <w:r>
        <w:rPr>
          <w:rFonts w:ascii="Garamond" w:hAnsi="Garamond" w:cs="Garamond"/>
          <w:sz w:val="24"/>
          <w:szCs w:val="24"/>
        </w:rPr>
        <w:t>services,</w:t>
      </w:r>
      <w:r>
        <w:rPr>
          <w:rFonts w:ascii="Garamond" w:hAnsi="Garamond" w:cs="Garamond"/>
          <w:spacing w:val="-10"/>
          <w:sz w:val="24"/>
          <w:szCs w:val="24"/>
        </w:rPr>
        <w:t xml:space="preserve"> </w:t>
      </w:r>
      <w:r>
        <w:rPr>
          <w:rFonts w:ascii="Garamond" w:hAnsi="Garamond" w:cs="Garamond"/>
          <w:sz w:val="24"/>
          <w:szCs w:val="24"/>
        </w:rPr>
        <w:t>MassHealth</w:t>
      </w:r>
    </w:p>
    <w:p w:rsidR="002C5025" w:rsidRDefault="00FB027C">
      <w:pPr>
        <w:pStyle w:val="BodyText"/>
        <w:kinsoku w:val="0"/>
        <w:overflowPunct w:val="0"/>
        <w:spacing w:before="9"/>
        <w:rPr>
          <w:rFonts w:ascii="Garamond" w:hAnsi="Garamond" w:cs="Garamond"/>
          <w:sz w:val="11"/>
          <w:szCs w:val="11"/>
        </w:rPr>
      </w:pPr>
      <w:r>
        <w:rPr>
          <w:noProof/>
        </w:rPr>
        <mc:AlternateContent>
          <mc:Choice Requires="wps">
            <w:drawing>
              <wp:anchor distT="0" distB="0" distL="0" distR="0" simplePos="0" relativeHeight="251793920" behindDoc="0" locked="0" layoutInCell="0" allowOverlap="1">
                <wp:simplePos x="0" y="0"/>
                <wp:positionH relativeFrom="page">
                  <wp:posOffset>923925</wp:posOffset>
                </wp:positionH>
                <wp:positionV relativeFrom="paragraph">
                  <wp:posOffset>114300</wp:posOffset>
                </wp:positionV>
                <wp:extent cx="1829435" cy="12700"/>
                <wp:effectExtent l="0" t="0" r="0" b="0"/>
                <wp:wrapTopAndBottom/>
                <wp:docPr id="95" name="Freeform 7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1 w 2881"/>
                            <a:gd name="T3" fmla="*/ 0 h 20"/>
                          </a:gdLst>
                          <a:ahLst/>
                          <a:cxnLst>
                            <a:cxn ang="0">
                              <a:pos x="T0" y="T1"/>
                            </a:cxn>
                            <a:cxn ang="0">
                              <a:pos x="T2" y="T3"/>
                            </a:cxn>
                          </a:cxnLst>
                          <a:rect l="0" t="0" r="r" b="b"/>
                          <a:pathLst>
                            <a:path w="2881" h="20">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86" o:spid="_x0000_s1026" style="position:absolute;z-index:251793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2.75pt,9pt,216.8pt,9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" o:allowincell="f" filled="f" strokeweight=".82pt">
                <v:path arrowok="t" o:connecttype="custom" o:connectlocs="0,0;1829435,0" o:connectangles="0,0"/>
                <w10:wrap type="topAndBottom" anchorx="page"/>
              </v:polyline>
            </w:pict>
          </mc:Fallback>
        </mc:AlternateContent>
      </w:r>
    </w:p>
    <w:p w:rsidR="002C5025" w:rsidRDefault="002C5025">
      <w:pPr>
        <w:pStyle w:val="BodyText"/>
        <w:kinsoku w:val="0"/>
        <w:overflowPunct w:val="0"/>
        <w:spacing w:before="72"/>
        <w:ind w:left="120" w:right="708"/>
        <w:rPr>
          <w:rFonts w:ascii="Garamond" w:hAnsi="Garamond" w:cs="Garamond"/>
          <w:w w:val="95"/>
          <w:sz w:val="20"/>
          <w:szCs w:val="20"/>
        </w:rPr>
      </w:pPr>
      <w:r>
        <w:rPr>
          <w:rFonts w:ascii="Garamond" w:hAnsi="Garamond" w:cs="Garamond"/>
          <w:position w:val="5"/>
          <w:sz w:val="13"/>
          <w:szCs w:val="13"/>
        </w:rPr>
        <w:t xml:space="preserve">5 </w:t>
      </w:r>
      <w:r>
        <w:rPr>
          <w:rFonts w:ascii="Garamond" w:hAnsi="Garamond" w:cs="Garamond"/>
          <w:sz w:val="20"/>
          <w:szCs w:val="20"/>
        </w:rPr>
        <w:t xml:space="preserve">Health Policy Institute. (2016). </w:t>
      </w:r>
      <w:r>
        <w:rPr>
          <w:rFonts w:ascii="Garamond" w:hAnsi="Garamond" w:cs="Garamond"/>
          <w:i/>
          <w:iCs/>
          <w:sz w:val="20"/>
          <w:szCs w:val="20"/>
        </w:rPr>
        <w:t>Massachusetts’ Oral Health and Well-Being</w:t>
      </w:r>
      <w:r>
        <w:rPr>
          <w:rFonts w:ascii="Garamond" w:hAnsi="Garamond" w:cs="Garamond"/>
          <w:sz w:val="20"/>
          <w:szCs w:val="20"/>
        </w:rPr>
        <w:t xml:space="preserve">. Retrieved from </w:t>
      </w:r>
      <w:hyperlink r:id="rId541" w:history="1">
        <w:r>
          <w:rPr>
            <w:rFonts w:ascii="Garamond" w:hAnsi="Garamond" w:cs="Garamond"/>
            <w:w w:val="95"/>
            <w:sz w:val="20"/>
            <w:szCs w:val="20"/>
          </w:rPr>
          <w:t>http://www.ada.org/en/science-research/health-policy-institute/oral-health-and-well-being/Massachusetts-facts</w:t>
        </w:r>
      </w:hyperlink>
    </w:p>
    <w:p w:rsidR="002C5025" w:rsidRDefault="002C5025">
      <w:pPr>
        <w:pStyle w:val="BodyText"/>
        <w:kinsoku w:val="0"/>
        <w:overflowPunct w:val="0"/>
        <w:spacing w:before="5"/>
        <w:rPr>
          <w:rFonts w:ascii="Garamond" w:hAnsi="Garamond" w:cs="Garamond"/>
          <w:sz w:val="11"/>
          <w:szCs w:val="11"/>
        </w:rPr>
      </w:pPr>
    </w:p>
    <w:p w:rsidR="002C5025" w:rsidRDefault="002C5025">
      <w:pPr>
        <w:pStyle w:val="BodyText"/>
        <w:kinsoku w:val="0"/>
        <w:overflowPunct w:val="0"/>
        <w:spacing w:before="80"/>
        <w:ind w:left="21"/>
        <w:jc w:val="center"/>
        <w:rPr>
          <w:rFonts w:ascii="Garamond" w:hAnsi="Garamond" w:cs="Garamond"/>
        </w:rPr>
      </w:pPr>
      <w:r>
        <w:rPr>
          <w:rFonts w:ascii="Garamond" w:hAnsi="Garamond" w:cs="Garamond"/>
        </w:rPr>
        <w:t>2</w:t>
      </w:r>
    </w:p>
    <w:p w:rsidR="002C5025" w:rsidRDefault="002C5025">
      <w:pPr>
        <w:pStyle w:val="BodyText"/>
        <w:kinsoku w:val="0"/>
        <w:overflowPunct w:val="0"/>
        <w:spacing w:before="80"/>
        <w:ind w:left="21"/>
        <w:jc w:val="center"/>
        <w:rPr>
          <w:rFonts w:ascii="Garamond" w:hAnsi="Garamond" w:cs="Garamond"/>
        </w:rPr>
        <w:sectPr w:rsidR="002C5025">
          <w:pgSz w:w="12240" w:h="15840"/>
          <w:pgMar w:top="1380" w:right="1440" w:bottom="280" w:left="1320" w:header="720" w:footer="720" w:gutter="0"/>
          <w:cols w:space="720" w:equalWidth="0">
            <w:col w:w="9480"/>
          </w:cols>
          <w:noEndnote/>
        </w:sectPr>
      </w:pPr>
    </w:p>
    <w:p w:rsidR="002C5025" w:rsidRDefault="002C5025">
      <w:pPr>
        <w:pStyle w:val="BodyText"/>
        <w:kinsoku w:val="0"/>
        <w:overflowPunct w:val="0"/>
        <w:spacing w:before="57" w:line="276" w:lineRule="auto"/>
        <w:ind w:left="119" w:right="252"/>
        <w:rPr>
          <w:rFonts w:ascii="Garamond" w:hAnsi="Garamond" w:cs="Garamond"/>
          <w:sz w:val="24"/>
          <w:szCs w:val="24"/>
        </w:rPr>
      </w:pPr>
      <w:r>
        <w:rPr>
          <w:rFonts w:ascii="Garamond" w:hAnsi="Garamond" w:cs="Garamond"/>
          <w:sz w:val="24"/>
          <w:szCs w:val="24"/>
        </w:rPr>
        <w:lastRenderedPageBreak/>
        <w:t>should</w:t>
      </w:r>
      <w:r>
        <w:rPr>
          <w:rFonts w:ascii="Garamond" w:hAnsi="Garamond" w:cs="Garamond"/>
          <w:spacing w:val="-8"/>
          <w:sz w:val="24"/>
          <w:szCs w:val="24"/>
        </w:rPr>
        <w:t xml:space="preserve"> </w:t>
      </w:r>
      <w:r>
        <w:rPr>
          <w:rFonts w:ascii="Garamond" w:hAnsi="Garamond" w:cs="Garamond"/>
          <w:sz w:val="24"/>
          <w:szCs w:val="24"/>
        </w:rPr>
        <w:t>incentivize</w:t>
      </w:r>
      <w:r>
        <w:rPr>
          <w:rFonts w:ascii="Garamond" w:hAnsi="Garamond" w:cs="Garamond"/>
          <w:spacing w:val="-7"/>
          <w:sz w:val="24"/>
          <w:szCs w:val="24"/>
        </w:rPr>
        <w:t xml:space="preserve"> </w:t>
      </w:r>
      <w:r>
        <w:rPr>
          <w:rFonts w:ascii="Garamond" w:hAnsi="Garamond" w:cs="Garamond"/>
          <w:sz w:val="24"/>
          <w:szCs w:val="24"/>
        </w:rPr>
        <w:t>oral</w:t>
      </w:r>
      <w:r>
        <w:rPr>
          <w:rFonts w:ascii="Garamond" w:hAnsi="Garamond" w:cs="Garamond"/>
          <w:spacing w:val="-9"/>
          <w:sz w:val="24"/>
          <w:szCs w:val="24"/>
        </w:rPr>
        <w:t xml:space="preserve"> </w:t>
      </w:r>
      <w:r>
        <w:rPr>
          <w:rFonts w:ascii="Garamond" w:hAnsi="Garamond" w:cs="Garamond"/>
          <w:sz w:val="24"/>
          <w:szCs w:val="24"/>
        </w:rPr>
        <w:t>health</w:t>
      </w:r>
      <w:r>
        <w:rPr>
          <w:rFonts w:ascii="Garamond" w:hAnsi="Garamond" w:cs="Garamond"/>
          <w:spacing w:val="-9"/>
          <w:sz w:val="24"/>
          <w:szCs w:val="24"/>
        </w:rPr>
        <w:t xml:space="preserve"> </w:t>
      </w:r>
      <w:r>
        <w:rPr>
          <w:rFonts w:ascii="Garamond" w:hAnsi="Garamond" w:cs="Garamond"/>
          <w:sz w:val="24"/>
          <w:szCs w:val="24"/>
        </w:rPr>
        <w:t>providers</w:t>
      </w:r>
      <w:r>
        <w:rPr>
          <w:rFonts w:ascii="Garamond" w:hAnsi="Garamond" w:cs="Garamond"/>
          <w:spacing w:val="-10"/>
          <w:sz w:val="24"/>
          <w:szCs w:val="24"/>
        </w:rPr>
        <w:t xml:space="preserve"> </w:t>
      </w:r>
      <w:r>
        <w:rPr>
          <w:rFonts w:ascii="Garamond" w:hAnsi="Garamond" w:cs="Garamond"/>
          <w:sz w:val="24"/>
          <w:szCs w:val="24"/>
        </w:rPr>
        <w:t>to</w:t>
      </w:r>
      <w:r>
        <w:rPr>
          <w:rFonts w:ascii="Garamond" w:hAnsi="Garamond" w:cs="Garamond"/>
          <w:spacing w:val="-8"/>
          <w:sz w:val="24"/>
          <w:szCs w:val="24"/>
        </w:rPr>
        <w:t xml:space="preserve"> </w:t>
      </w:r>
      <w:r>
        <w:rPr>
          <w:rFonts w:ascii="Garamond" w:hAnsi="Garamond" w:cs="Garamond"/>
          <w:sz w:val="24"/>
          <w:szCs w:val="24"/>
        </w:rPr>
        <w:t>join</w:t>
      </w:r>
      <w:r>
        <w:rPr>
          <w:rFonts w:ascii="Garamond" w:hAnsi="Garamond" w:cs="Garamond"/>
          <w:spacing w:val="-9"/>
          <w:sz w:val="24"/>
          <w:szCs w:val="24"/>
        </w:rPr>
        <w:t xml:space="preserve"> </w:t>
      </w:r>
      <w:r>
        <w:rPr>
          <w:rFonts w:ascii="Garamond" w:hAnsi="Garamond" w:cs="Garamond"/>
          <w:sz w:val="24"/>
          <w:szCs w:val="24"/>
        </w:rPr>
        <w:t>or</w:t>
      </w:r>
      <w:r>
        <w:rPr>
          <w:rFonts w:ascii="Garamond" w:hAnsi="Garamond" w:cs="Garamond"/>
          <w:spacing w:val="-8"/>
          <w:sz w:val="24"/>
          <w:szCs w:val="24"/>
        </w:rPr>
        <w:t xml:space="preserve"> </w:t>
      </w:r>
      <w:r>
        <w:rPr>
          <w:rFonts w:ascii="Garamond" w:hAnsi="Garamond" w:cs="Garamond"/>
          <w:sz w:val="24"/>
          <w:szCs w:val="24"/>
        </w:rPr>
        <w:t>partner</w:t>
      </w:r>
      <w:r>
        <w:rPr>
          <w:rFonts w:ascii="Garamond" w:hAnsi="Garamond" w:cs="Garamond"/>
          <w:spacing w:val="-10"/>
          <w:sz w:val="24"/>
          <w:szCs w:val="24"/>
        </w:rPr>
        <w:t xml:space="preserve"> </w:t>
      </w:r>
      <w:r>
        <w:rPr>
          <w:rFonts w:ascii="Garamond" w:hAnsi="Garamond" w:cs="Garamond"/>
          <w:sz w:val="24"/>
          <w:szCs w:val="24"/>
        </w:rPr>
        <w:t>with</w:t>
      </w:r>
      <w:r>
        <w:rPr>
          <w:rFonts w:ascii="Garamond" w:hAnsi="Garamond" w:cs="Garamond"/>
          <w:spacing w:val="-8"/>
          <w:sz w:val="24"/>
          <w:szCs w:val="24"/>
        </w:rPr>
        <w:t xml:space="preserve"> </w:t>
      </w:r>
      <w:r>
        <w:rPr>
          <w:rFonts w:ascii="Garamond" w:hAnsi="Garamond" w:cs="Garamond"/>
          <w:sz w:val="24"/>
          <w:szCs w:val="24"/>
        </w:rPr>
        <w:t>ACOs</w:t>
      </w:r>
      <w:r>
        <w:rPr>
          <w:rFonts w:ascii="Garamond" w:hAnsi="Garamond" w:cs="Garamond"/>
          <w:spacing w:val="-10"/>
          <w:sz w:val="24"/>
          <w:szCs w:val="24"/>
        </w:rPr>
        <w:t xml:space="preserve"> </w:t>
      </w:r>
      <w:r>
        <w:rPr>
          <w:rFonts w:ascii="Garamond" w:hAnsi="Garamond" w:cs="Garamond"/>
          <w:sz w:val="24"/>
          <w:szCs w:val="24"/>
        </w:rPr>
        <w:t>at</w:t>
      </w:r>
      <w:r>
        <w:rPr>
          <w:rFonts w:ascii="Garamond" w:hAnsi="Garamond" w:cs="Garamond"/>
          <w:spacing w:val="-8"/>
          <w:sz w:val="24"/>
          <w:szCs w:val="24"/>
        </w:rPr>
        <w:t xml:space="preserve"> </w:t>
      </w:r>
      <w:r>
        <w:rPr>
          <w:rFonts w:ascii="Garamond" w:hAnsi="Garamond" w:cs="Garamond"/>
          <w:sz w:val="24"/>
          <w:szCs w:val="24"/>
        </w:rPr>
        <w:t>the</w:t>
      </w:r>
      <w:r>
        <w:rPr>
          <w:rFonts w:ascii="Garamond" w:hAnsi="Garamond" w:cs="Garamond"/>
          <w:spacing w:val="-7"/>
          <w:sz w:val="24"/>
          <w:szCs w:val="24"/>
        </w:rPr>
        <w:t xml:space="preserve"> </w:t>
      </w:r>
      <w:r>
        <w:rPr>
          <w:rFonts w:ascii="Garamond" w:hAnsi="Garamond" w:cs="Garamond"/>
          <w:sz w:val="24"/>
          <w:szCs w:val="24"/>
        </w:rPr>
        <w:t>start</w:t>
      </w:r>
      <w:r>
        <w:rPr>
          <w:rFonts w:ascii="Garamond" w:hAnsi="Garamond" w:cs="Garamond"/>
          <w:spacing w:val="-8"/>
          <w:sz w:val="24"/>
          <w:szCs w:val="24"/>
        </w:rPr>
        <w:t xml:space="preserve"> </w:t>
      </w:r>
      <w:r>
        <w:rPr>
          <w:rFonts w:ascii="Garamond" w:hAnsi="Garamond" w:cs="Garamond"/>
          <w:sz w:val="24"/>
          <w:szCs w:val="24"/>
        </w:rPr>
        <w:t>of</w:t>
      </w:r>
      <w:r>
        <w:rPr>
          <w:rFonts w:ascii="Garamond" w:hAnsi="Garamond" w:cs="Garamond"/>
          <w:spacing w:val="-10"/>
          <w:sz w:val="24"/>
          <w:szCs w:val="24"/>
        </w:rPr>
        <w:t xml:space="preserve"> </w:t>
      </w:r>
      <w:r>
        <w:rPr>
          <w:rFonts w:ascii="Garamond" w:hAnsi="Garamond" w:cs="Garamond"/>
          <w:sz w:val="24"/>
          <w:szCs w:val="24"/>
        </w:rPr>
        <w:t>Year</w:t>
      </w:r>
      <w:r>
        <w:rPr>
          <w:rFonts w:ascii="Garamond" w:hAnsi="Garamond" w:cs="Garamond"/>
          <w:spacing w:val="-10"/>
          <w:sz w:val="24"/>
          <w:szCs w:val="24"/>
        </w:rPr>
        <w:t xml:space="preserve"> </w:t>
      </w:r>
      <w:r>
        <w:rPr>
          <w:rFonts w:ascii="Garamond" w:hAnsi="Garamond" w:cs="Garamond"/>
          <w:sz w:val="24"/>
          <w:szCs w:val="24"/>
        </w:rPr>
        <w:t>1.</w:t>
      </w:r>
      <w:r>
        <w:rPr>
          <w:rFonts w:ascii="Garamond" w:hAnsi="Garamond" w:cs="Garamond"/>
          <w:spacing w:val="-8"/>
          <w:sz w:val="24"/>
          <w:szCs w:val="24"/>
        </w:rPr>
        <w:t xml:space="preserve"> </w:t>
      </w:r>
      <w:r>
        <w:rPr>
          <w:rFonts w:ascii="Garamond" w:hAnsi="Garamond" w:cs="Garamond"/>
          <w:sz w:val="24"/>
          <w:szCs w:val="24"/>
        </w:rPr>
        <w:t>This</w:t>
      </w:r>
      <w:r>
        <w:rPr>
          <w:rFonts w:ascii="Garamond" w:hAnsi="Garamond" w:cs="Garamond"/>
          <w:spacing w:val="-10"/>
          <w:sz w:val="24"/>
          <w:szCs w:val="24"/>
        </w:rPr>
        <w:t xml:space="preserve"> </w:t>
      </w:r>
      <w:r>
        <w:rPr>
          <w:rFonts w:ascii="Garamond" w:hAnsi="Garamond" w:cs="Garamond"/>
          <w:sz w:val="24"/>
          <w:szCs w:val="24"/>
        </w:rPr>
        <w:t>will also support ACOs to be flexible in meeting the needs of its members while helping providers transition to a new culture of integrated, collaborative care. We ask that MassHealth be more specific</w:t>
      </w:r>
      <w:r>
        <w:rPr>
          <w:rFonts w:ascii="Garamond" w:hAnsi="Garamond" w:cs="Garamond"/>
          <w:spacing w:val="-15"/>
          <w:sz w:val="24"/>
          <w:szCs w:val="24"/>
        </w:rPr>
        <w:t xml:space="preserve"> </w:t>
      </w:r>
      <w:r>
        <w:rPr>
          <w:rFonts w:ascii="Garamond" w:hAnsi="Garamond" w:cs="Garamond"/>
          <w:sz w:val="24"/>
          <w:szCs w:val="24"/>
        </w:rPr>
        <w:t>about</w:t>
      </w:r>
      <w:r>
        <w:rPr>
          <w:rFonts w:ascii="Garamond" w:hAnsi="Garamond" w:cs="Garamond"/>
          <w:spacing w:val="-14"/>
          <w:sz w:val="24"/>
          <w:szCs w:val="24"/>
        </w:rPr>
        <w:t xml:space="preserve"> </w:t>
      </w:r>
      <w:r>
        <w:rPr>
          <w:rFonts w:ascii="Garamond" w:hAnsi="Garamond" w:cs="Garamond"/>
          <w:sz w:val="24"/>
          <w:szCs w:val="24"/>
        </w:rPr>
        <w:t>the</w:t>
      </w:r>
      <w:r>
        <w:rPr>
          <w:rFonts w:ascii="Garamond" w:hAnsi="Garamond" w:cs="Garamond"/>
          <w:spacing w:val="-12"/>
          <w:sz w:val="24"/>
          <w:szCs w:val="24"/>
        </w:rPr>
        <w:t xml:space="preserve"> </w:t>
      </w:r>
      <w:r>
        <w:rPr>
          <w:rFonts w:ascii="Garamond" w:hAnsi="Garamond" w:cs="Garamond"/>
          <w:sz w:val="24"/>
          <w:szCs w:val="24"/>
        </w:rPr>
        <w:t>timeline</w:t>
      </w:r>
      <w:r>
        <w:rPr>
          <w:rFonts w:ascii="Garamond" w:hAnsi="Garamond" w:cs="Garamond"/>
          <w:spacing w:val="-17"/>
          <w:sz w:val="24"/>
          <w:szCs w:val="24"/>
        </w:rPr>
        <w:t xml:space="preserve"> </w:t>
      </w:r>
      <w:r>
        <w:rPr>
          <w:rFonts w:ascii="Garamond" w:hAnsi="Garamond" w:cs="Garamond"/>
          <w:sz w:val="24"/>
          <w:szCs w:val="24"/>
        </w:rPr>
        <w:t>of</w:t>
      </w:r>
      <w:r>
        <w:rPr>
          <w:rFonts w:ascii="Garamond" w:hAnsi="Garamond" w:cs="Garamond"/>
          <w:spacing w:val="-14"/>
          <w:sz w:val="24"/>
          <w:szCs w:val="24"/>
        </w:rPr>
        <w:t xml:space="preserve"> </w:t>
      </w:r>
      <w:r>
        <w:rPr>
          <w:rFonts w:ascii="Garamond" w:hAnsi="Garamond" w:cs="Garamond"/>
          <w:sz w:val="24"/>
          <w:szCs w:val="24"/>
        </w:rPr>
        <w:t>implementation</w:t>
      </w:r>
      <w:r>
        <w:rPr>
          <w:rFonts w:ascii="Garamond" w:hAnsi="Garamond" w:cs="Garamond"/>
          <w:spacing w:val="-16"/>
          <w:sz w:val="24"/>
          <w:szCs w:val="24"/>
        </w:rPr>
        <w:t xml:space="preserve"> </w:t>
      </w:r>
      <w:r>
        <w:rPr>
          <w:rFonts w:ascii="Garamond" w:hAnsi="Garamond" w:cs="Garamond"/>
          <w:sz w:val="24"/>
          <w:szCs w:val="24"/>
        </w:rPr>
        <w:t>of</w:t>
      </w:r>
      <w:r>
        <w:rPr>
          <w:rFonts w:ascii="Garamond" w:hAnsi="Garamond" w:cs="Garamond"/>
          <w:spacing w:val="-16"/>
          <w:sz w:val="24"/>
          <w:szCs w:val="24"/>
        </w:rPr>
        <w:t xml:space="preserve"> </w:t>
      </w:r>
      <w:r>
        <w:rPr>
          <w:rFonts w:ascii="Garamond" w:hAnsi="Garamond" w:cs="Garamond"/>
          <w:sz w:val="24"/>
          <w:szCs w:val="24"/>
        </w:rPr>
        <w:t>ACO</w:t>
      </w:r>
      <w:r>
        <w:rPr>
          <w:rFonts w:ascii="Garamond" w:hAnsi="Garamond" w:cs="Garamond"/>
          <w:spacing w:val="-16"/>
          <w:sz w:val="24"/>
          <w:szCs w:val="24"/>
        </w:rPr>
        <w:t xml:space="preserve"> </w:t>
      </w:r>
      <w:r>
        <w:rPr>
          <w:rFonts w:ascii="Garamond" w:hAnsi="Garamond" w:cs="Garamond"/>
          <w:sz w:val="24"/>
          <w:szCs w:val="24"/>
        </w:rPr>
        <w:t>accountability</w:t>
      </w:r>
      <w:r>
        <w:rPr>
          <w:rFonts w:ascii="Garamond" w:hAnsi="Garamond" w:cs="Garamond"/>
          <w:spacing w:val="-12"/>
          <w:sz w:val="24"/>
          <w:szCs w:val="24"/>
        </w:rPr>
        <w:t xml:space="preserve"> </w:t>
      </w:r>
      <w:r>
        <w:rPr>
          <w:rFonts w:ascii="Garamond" w:hAnsi="Garamond" w:cs="Garamond"/>
          <w:sz w:val="24"/>
          <w:szCs w:val="24"/>
        </w:rPr>
        <w:t>for</w:t>
      </w:r>
      <w:r>
        <w:rPr>
          <w:rFonts w:ascii="Garamond" w:hAnsi="Garamond" w:cs="Garamond"/>
          <w:spacing w:val="-17"/>
          <w:sz w:val="24"/>
          <w:szCs w:val="24"/>
        </w:rPr>
        <w:t xml:space="preserve"> </w:t>
      </w:r>
      <w:r>
        <w:rPr>
          <w:rFonts w:ascii="Garamond" w:hAnsi="Garamond" w:cs="Garamond"/>
          <w:sz w:val="24"/>
          <w:szCs w:val="24"/>
        </w:rPr>
        <w:t>dental</w:t>
      </w:r>
      <w:r>
        <w:rPr>
          <w:rFonts w:ascii="Garamond" w:hAnsi="Garamond" w:cs="Garamond"/>
          <w:spacing w:val="-13"/>
          <w:sz w:val="24"/>
          <w:szCs w:val="24"/>
        </w:rPr>
        <w:t xml:space="preserve"> </w:t>
      </w:r>
      <w:r>
        <w:rPr>
          <w:rFonts w:ascii="Garamond" w:hAnsi="Garamond" w:cs="Garamond"/>
          <w:sz w:val="24"/>
          <w:szCs w:val="24"/>
        </w:rPr>
        <w:t>services.</w:t>
      </w:r>
    </w:p>
    <w:p w:rsidR="002C5025" w:rsidRDefault="002C5025">
      <w:pPr>
        <w:pStyle w:val="BodyText"/>
        <w:kinsoku w:val="0"/>
        <w:overflowPunct w:val="0"/>
        <w:spacing w:before="7"/>
        <w:rPr>
          <w:rFonts w:ascii="Garamond" w:hAnsi="Garamond" w:cs="Garamond"/>
          <w:sz w:val="27"/>
          <w:szCs w:val="27"/>
        </w:rPr>
      </w:pPr>
    </w:p>
    <w:p w:rsidR="002C5025" w:rsidRDefault="002C5025">
      <w:pPr>
        <w:pStyle w:val="BodyText"/>
        <w:kinsoku w:val="0"/>
        <w:overflowPunct w:val="0"/>
        <w:ind w:left="120" w:right="8033"/>
        <w:rPr>
          <w:rFonts w:ascii="Garamond" w:hAnsi="Garamond" w:cs="Garamond"/>
          <w:i/>
          <w:iCs/>
          <w:sz w:val="24"/>
          <w:szCs w:val="24"/>
        </w:rPr>
      </w:pPr>
      <w:r>
        <w:rPr>
          <w:rFonts w:ascii="Garamond" w:hAnsi="Garamond" w:cs="Garamond"/>
          <w:i/>
          <w:iCs/>
          <w:sz w:val="24"/>
          <w:szCs w:val="24"/>
        </w:rPr>
        <w:t>Examples:</w:t>
      </w:r>
    </w:p>
    <w:p w:rsidR="002C5025" w:rsidRDefault="002C5025">
      <w:pPr>
        <w:pStyle w:val="ListParagraph"/>
        <w:numPr>
          <w:ilvl w:val="0"/>
          <w:numId w:val="26"/>
        </w:numPr>
        <w:tabs>
          <w:tab w:val="left" w:pos="840"/>
        </w:tabs>
        <w:kinsoku w:val="0"/>
        <w:overflowPunct w:val="0"/>
        <w:spacing w:before="37" w:line="273" w:lineRule="auto"/>
        <w:ind w:right="117" w:hanging="359"/>
        <w:rPr>
          <w:rFonts w:ascii="Garamond" w:hAnsi="Garamond" w:cs="Garamond"/>
          <w:position w:val="5"/>
          <w:sz w:val="15"/>
          <w:szCs w:val="15"/>
        </w:rPr>
      </w:pPr>
      <w:r>
        <w:rPr>
          <w:rFonts w:ascii="Garamond" w:hAnsi="Garamond" w:cs="Garamond"/>
          <w:sz w:val="23"/>
          <w:szCs w:val="23"/>
        </w:rPr>
        <w:t xml:space="preserve">Several states’ Medicaid innovation models have already integrated oral health care. Oregon Medicaid’s Coordinated Care Organizations (CCOs) </w:t>
      </w:r>
      <w:r>
        <w:rPr>
          <w:rFonts w:ascii="Garamond" w:hAnsi="Garamond" w:cs="Garamond"/>
          <w:spacing w:val="-3"/>
          <w:sz w:val="23"/>
          <w:szCs w:val="23"/>
        </w:rPr>
        <w:t xml:space="preserve">have </w:t>
      </w:r>
      <w:r>
        <w:rPr>
          <w:rFonts w:ascii="Garamond" w:hAnsi="Garamond" w:cs="Garamond"/>
          <w:sz w:val="23"/>
          <w:szCs w:val="23"/>
        </w:rPr>
        <w:t>a global budget and are responsible for coordinating all care, including medical, behavioral, and dental. CCOs are specifically required to have</w:t>
      </w:r>
      <w:r>
        <w:rPr>
          <w:rFonts w:ascii="Garamond" w:hAnsi="Garamond" w:cs="Garamond"/>
          <w:spacing w:val="-9"/>
          <w:sz w:val="23"/>
          <w:szCs w:val="23"/>
        </w:rPr>
        <w:t xml:space="preserve"> </w:t>
      </w:r>
      <w:r>
        <w:rPr>
          <w:rFonts w:ascii="Garamond" w:hAnsi="Garamond" w:cs="Garamond"/>
          <w:sz w:val="23"/>
          <w:szCs w:val="23"/>
        </w:rPr>
        <w:t>formal</w:t>
      </w:r>
      <w:r>
        <w:rPr>
          <w:rFonts w:ascii="Garamond" w:hAnsi="Garamond" w:cs="Garamond"/>
          <w:spacing w:val="-11"/>
          <w:sz w:val="23"/>
          <w:szCs w:val="23"/>
        </w:rPr>
        <w:t xml:space="preserve"> </w:t>
      </w:r>
      <w:r>
        <w:rPr>
          <w:rFonts w:ascii="Garamond" w:hAnsi="Garamond" w:cs="Garamond"/>
          <w:sz w:val="23"/>
          <w:szCs w:val="23"/>
        </w:rPr>
        <w:t>contractual</w:t>
      </w:r>
      <w:r>
        <w:rPr>
          <w:rFonts w:ascii="Garamond" w:hAnsi="Garamond" w:cs="Garamond"/>
          <w:spacing w:val="-9"/>
          <w:sz w:val="23"/>
          <w:szCs w:val="23"/>
        </w:rPr>
        <w:t xml:space="preserve"> </w:t>
      </w:r>
      <w:r>
        <w:rPr>
          <w:rFonts w:ascii="Garamond" w:hAnsi="Garamond" w:cs="Garamond"/>
          <w:sz w:val="23"/>
          <w:szCs w:val="23"/>
        </w:rPr>
        <w:t>relationships</w:t>
      </w:r>
      <w:r>
        <w:rPr>
          <w:rFonts w:ascii="Garamond" w:hAnsi="Garamond" w:cs="Garamond"/>
          <w:spacing w:val="-9"/>
          <w:sz w:val="23"/>
          <w:szCs w:val="23"/>
        </w:rPr>
        <w:t xml:space="preserve"> </w:t>
      </w:r>
      <w:r>
        <w:rPr>
          <w:rFonts w:ascii="Garamond" w:hAnsi="Garamond" w:cs="Garamond"/>
          <w:sz w:val="23"/>
          <w:szCs w:val="23"/>
        </w:rPr>
        <w:t>with</w:t>
      </w:r>
      <w:r>
        <w:rPr>
          <w:rFonts w:ascii="Garamond" w:hAnsi="Garamond" w:cs="Garamond"/>
          <w:spacing w:val="-11"/>
          <w:sz w:val="23"/>
          <w:szCs w:val="23"/>
        </w:rPr>
        <w:t xml:space="preserve"> </w:t>
      </w:r>
      <w:r>
        <w:rPr>
          <w:rFonts w:ascii="Garamond" w:hAnsi="Garamond" w:cs="Garamond"/>
          <w:sz w:val="23"/>
          <w:szCs w:val="23"/>
        </w:rPr>
        <w:t>dental</w:t>
      </w:r>
      <w:r>
        <w:rPr>
          <w:rFonts w:ascii="Garamond" w:hAnsi="Garamond" w:cs="Garamond"/>
          <w:spacing w:val="-9"/>
          <w:sz w:val="23"/>
          <w:szCs w:val="23"/>
        </w:rPr>
        <w:t xml:space="preserve"> </w:t>
      </w:r>
      <w:r>
        <w:rPr>
          <w:rFonts w:ascii="Garamond" w:hAnsi="Garamond" w:cs="Garamond"/>
          <w:sz w:val="23"/>
          <w:szCs w:val="23"/>
        </w:rPr>
        <w:t>care</w:t>
      </w:r>
      <w:r>
        <w:rPr>
          <w:rFonts w:ascii="Garamond" w:hAnsi="Garamond" w:cs="Garamond"/>
          <w:spacing w:val="-13"/>
          <w:sz w:val="23"/>
          <w:szCs w:val="23"/>
        </w:rPr>
        <w:t xml:space="preserve"> </w:t>
      </w:r>
      <w:r>
        <w:rPr>
          <w:rFonts w:ascii="Garamond" w:hAnsi="Garamond" w:cs="Garamond"/>
          <w:sz w:val="23"/>
          <w:szCs w:val="23"/>
        </w:rPr>
        <w:t>organizations</w:t>
      </w:r>
      <w:r>
        <w:rPr>
          <w:rFonts w:ascii="Garamond" w:hAnsi="Garamond" w:cs="Garamond"/>
          <w:spacing w:val="-10"/>
          <w:sz w:val="23"/>
          <w:szCs w:val="23"/>
        </w:rPr>
        <w:t xml:space="preserve"> </w:t>
      </w:r>
      <w:r>
        <w:rPr>
          <w:rFonts w:ascii="Garamond" w:hAnsi="Garamond" w:cs="Garamond"/>
          <w:sz w:val="23"/>
          <w:szCs w:val="23"/>
        </w:rPr>
        <w:t>in</w:t>
      </w:r>
      <w:r>
        <w:rPr>
          <w:rFonts w:ascii="Garamond" w:hAnsi="Garamond" w:cs="Garamond"/>
          <w:spacing w:val="-9"/>
          <w:sz w:val="23"/>
          <w:szCs w:val="23"/>
        </w:rPr>
        <w:t xml:space="preserve"> </w:t>
      </w:r>
      <w:r>
        <w:rPr>
          <w:rFonts w:ascii="Garamond" w:hAnsi="Garamond" w:cs="Garamond"/>
          <w:sz w:val="23"/>
          <w:szCs w:val="23"/>
        </w:rPr>
        <w:t>their</w:t>
      </w:r>
      <w:r>
        <w:rPr>
          <w:rFonts w:ascii="Garamond" w:hAnsi="Garamond" w:cs="Garamond"/>
          <w:spacing w:val="-10"/>
          <w:sz w:val="23"/>
          <w:szCs w:val="23"/>
        </w:rPr>
        <w:t xml:space="preserve"> </w:t>
      </w:r>
      <w:r>
        <w:rPr>
          <w:rFonts w:ascii="Garamond" w:hAnsi="Garamond" w:cs="Garamond"/>
          <w:sz w:val="23"/>
          <w:szCs w:val="23"/>
        </w:rPr>
        <w:t>region.</w:t>
      </w:r>
      <w:r>
        <w:rPr>
          <w:rFonts w:ascii="Garamond" w:hAnsi="Garamond" w:cs="Garamond"/>
          <w:position w:val="5"/>
          <w:sz w:val="15"/>
          <w:szCs w:val="15"/>
        </w:rPr>
        <w:t>6</w:t>
      </w:r>
    </w:p>
    <w:p w:rsidR="002C5025" w:rsidRDefault="002C5025">
      <w:pPr>
        <w:pStyle w:val="ListParagraph"/>
        <w:numPr>
          <w:ilvl w:val="0"/>
          <w:numId w:val="26"/>
        </w:numPr>
        <w:tabs>
          <w:tab w:val="left" w:pos="840"/>
        </w:tabs>
        <w:kinsoku w:val="0"/>
        <w:overflowPunct w:val="0"/>
        <w:spacing w:before="3" w:line="273" w:lineRule="auto"/>
        <w:ind w:right="264" w:hanging="359"/>
        <w:rPr>
          <w:rFonts w:ascii="Garamond" w:hAnsi="Garamond" w:cs="Garamond"/>
          <w:position w:val="5"/>
          <w:sz w:val="15"/>
          <w:szCs w:val="15"/>
        </w:rPr>
      </w:pPr>
      <w:r>
        <w:rPr>
          <w:rFonts w:ascii="Garamond" w:hAnsi="Garamond" w:cs="Garamond"/>
          <w:sz w:val="23"/>
          <w:szCs w:val="23"/>
        </w:rPr>
        <w:t xml:space="preserve">A number of health </w:t>
      </w:r>
      <w:r>
        <w:rPr>
          <w:rFonts w:ascii="Garamond" w:hAnsi="Garamond" w:cs="Garamond"/>
          <w:spacing w:val="-3"/>
          <w:sz w:val="23"/>
          <w:szCs w:val="23"/>
        </w:rPr>
        <w:t xml:space="preserve">insurance </w:t>
      </w:r>
      <w:r>
        <w:rPr>
          <w:rFonts w:ascii="Garamond" w:hAnsi="Garamond" w:cs="Garamond"/>
          <w:sz w:val="23"/>
          <w:szCs w:val="23"/>
        </w:rPr>
        <w:t>companies have piloted oral health integration, with remarkable results in cost savings and improved outcomes, particularly for those with chronic disease. United</w:t>
      </w:r>
      <w:r>
        <w:rPr>
          <w:rFonts w:ascii="Garamond" w:hAnsi="Garamond" w:cs="Garamond"/>
          <w:spacing w:val="-6"/>
          <w:sz w:val="23"/>
          <w:szCs w:val="23"/>
        </w:rPr>
        <w:t xml:space="preserve"> </w:t>
      </w:r>
      <w:r>
        <w:rPr>
          <w:rFonts w:ascii="Garamond" w:hAnsi="Garamond" w:cs="Garamond"/>
          <w:sz w:val="23"/>
          <w:szCs w:val="23"/>
        </w:rPr>
        <w:t>Concordia</w:t>
      </w:r>
      <w:r>
        <w:rPr>
          <w:rFonts w:ascii="Garamond" w:hAnsi="Garamond" w:cs="Garamond"/>
          <w:spacing w:val="-9"/>
          <w:sz w:val="23"/>
          <w:szCs w:val="23"/>
        </w:rPr>
        <w:t xml:space="preserve"> </w:t>
      </w:r>
      <w:r>
        <w:rPr>
          <w:rFonts w:ascii="Garamond" w:hAnsi="Garamond" w:cs="Garamond"/>
          <w:sz w:val="23"/>
          <w:szCs w:val="23"/>
        </w:rPr>
        <w:t>found</w:t>
      </w:r>
      <w:r>
        <w:rPr>
          <w:rFonts w:ascii="Garamond" w:hAnsi="Garamond" w:cs="Garamond"/>
          <w:spacing w:val="-6"/>
          <w:sz w:val="23"/>
          <w:szCs w:val="23"/>
        </w:rPr>
        <w:t xml:space="preserve"> </w:t>
      </w:r>
      <w:r>
        <w:rPr>
          <w:rFonts w:ascii="Garamond" w:hAnsi="Garamond" w:cs="Garamond"/>
          <w:spacing w:val="-3"/>
          <w:sz w:val="23"/>
          <w:szCs w:val="23"/>
        </w:rPr>
        <w:t>annual</w:t>
      </w:r>
      <w:r>
        <w:rPr>
          <w:rFonts w:ascii="Garamond" w:hAnsi="Garamond" w:cs="Garamond"/>
          <w:spacing w:val="-9"/>
          <w:sz w:val="23"/>
          <w:szCs w:val="23"/>
        </w:rPr>
        <w:t xml:space="preserve"> </w:t>
      </w:r>
      <w:r>
        <w:rPr>
          <w:rFonts w:ascii="Garamond" w:hAnsi="Garamond" w:cs="Garamond"/>
          <w:sz w:val="23"/>
          <w:szCs w:val="23"/>
        </w:rPr>
        <w:t>medical</w:t>
      </w:r>
      <w:r>
        <w:rPr>
          <w:rFonts w:ascii="Garamond" w:hAnsi="Garamond" w:cs="Garamond"/>
          <w:spacing w:val="-6"/>
          <w:sz w:val="23"/>
          <w:szCs w:val="23"/>
        </w:rPr>
        <w:t xml:space="preserve"> </w:t>
      </w:r>
      <w:r>
        <w:rPr>
          <w:rFonts w:ascii="Garamond" w:hAnsi="Garamond" w:cs="Garamond"/>
          <w:sz w:val="23"/>
          <w:szCs w:val="23"/>
        </w:rPr>
        <w:t>cost</w:t>
      </w:r>
      <w:r>
        <w:rPr>
          <w:rFonts w:ascii="Garamond" w:hAnsi="Garamond" w:cs="Garamond"/>
          <w:spacing w:val="-9"/>
          <w:sz w:val="23"/>
          <w:szCs w:val="23"/>
        </w:rPr>
        <w:t xml:space="preserve"> </w:t>
      </w:r>
      <w:r>
        <w:rPr>
          <w:rFonts w:ascii="Garamond" w:hAnsi="Garamond" w:cs="Garamond"/>
          <w:sz w:val="23"/>
          <w:szCs w:val="23"/>
        </w:rPr>
        <w:t>savings</w:t>
      </w:r>
      <w:r>
        <w:rPr>
          <w:rFonts w:ascii="Garamond" w:hAnsi="Garamond" w:cs="Garamond"/>
          <w:spacing w:val="-11"/>
          <w:sz w:val="23"/>
          <w:szCs w:val="23"/>
        </w:rPr>
        <w:t xml:space="preserve"> </w:t>
      </w:r>
      <w:r>
        <w:rPr>
          <w:rFonts w:ascii="Garamond" w:hAnsi="Garamond" w:cs="Garamond"/>
          <w:sz w:val="23"/>
          <w:szCs w:val="23"/>
        </w:rPr>
        <w:t>ranging</w:t>
      </w:r>
      <w:r>
        <w:rPr>
          <w:rFonts w:ascii="Garamond" w:hAnsi="Garamond" w:cs="Garamond"/>
          <w:spacing w:val="-7"/>
          <w:sz w:val="23"/>
          <w:szCs w:val="23"/>
        </w:rPr>
        <w:t xml:space="preserve"> </w:t>
      </w:r>
      <w:r>
        <w:rPr>
          <w:rFonts w:ascii="Garamond" w:hAnsi="Garamond" w:cs="Garamond"/>
          <w:sz w:val="23"/>
          <w:szCs w:val="23"/>
        </w:rPr>
        <w:t>from</w:t>
      </w:r>
      <w:r>
        <w:rPr>
          <w:rFonts w:ascii="Garamond" w:hAnsi="Garamond" w:cs="Garamond"/>
          <w:spacing w:val="-7"/>
          <w:sz w:val="23"/>
          <w:szCs w:val="23"/>
        </w:rPr>
        <w:t xml:space="preserve"> </w:t>
      </w:r>
      <w:r>
        <w:rPr>
          <w:rFonts w:ascii="Garamond" w:hAnsi="Garamond" w:cs="Garamond"/>
          <w:sz w:val="23"/>
          <w:szCs w:val="23"/>
        </w:rPr>
        <w:t>$1,090</w:t>
      </w:r>
      <w:r>
        <w:rPr>
          <w:rFonts w:ascii="Garamond" w:hAnsi="Garamond" w:cs="Garamond"/>
          <w:spacing w:val="-6"/>
          <w:sz w:val="23"/>
          <w:szCs w:val="23"/>
        </w:rPr>
        <w:t xml:space="preserve"> </w:t>
      </w:r>
      <w:r>
        <w:rPr>
          <w:rFonts w:ascii="Garamond" w:hAnsi="Garamond" w:cs="Garamond"/>
          <w:sz w:val="23"/>
          <w:szCs w:val="23"/>
        </w:rPr>
        <w:t>annually</w:t>
      </w:r>
      <w:r>
        <w:rPr>
          <w:rFonts w:ascii="Garamond" w:hAnsi="Garamond" w:cs="Garamond"/>
          <w:spacing w:val="-9"/>
          <w:sz w:val="23"/>
          <w:szCs w:val="23"/>
        </w:rPr>
        <w:t xml:space="preserve"> </w:t>
      </w:r>
      <w:r>
        <w:rPr>
          <w:rFonts w:ascii="Garamond" w:hAnsi="Garamond" w:cs="Garamond"/>
          <w:sz w:val="23"/>
          <w:szCs w:val="23"/>
        </w:rPr>
        <w:t>for</w:t>
      </w:r>
      <w:r>
        <w:rPr>
          <w:rFonts w:ascii="Garamond" w:hAnsi="Garamond" w:cs="Garamond"/>
          <w:spacing w:val="-7"/>
          <w:sz w:val="23"/>
          <w:szCs w:val="23"/>
        </w:rPr>
        <w:t xml:space="preserve"> </w:t>
      </w:r>
      <w:r>
        <w:rPr>
          <w:rFonts w:ascii="Garamond" w:hAnsi="Garamond" w:cs="Garamond"/>
          <w:sz w:val="23"/>
          <w:szCs w:val="23"/>
        </w:rPr>
        <w:t xml:space="preserve">members with coronary heart disease to $5,681 annually for stroke patients that underwent periodontal treatment and maintenance. Hospitalizations were also at least 21% lower </w:t>
      </w:r>
      <w:r>
        <w:rPr>
          <w:rFonts w:ascii="Garamond" w:hAnsi="Garamond" w:cs="Garamond"/>
          <w:spacing w:val="-3"/>
          <w:sz w:val="23"/>
          <w:szCs w:val="23"/>
        </w:rPr>
        <w:t xml:space="preserve">among </w:t>
      </w:r>
      <w:r>
        <w:rPr>
          <w:rFonts w:ascii="Garamond" w:hAnsi="Garamond" w:cs="Garamond"/>
          <w:sz w:val="23"/>
          <w:szCs w:val="23"/>
        </w:rPr>
        <w:t>patients with chronic disease who underwent dental treatment versus patients with chronic disease without dental</w:t>
      </w:r>
      <w:r>
        <w:rPr>
          <w:rFonts w:ascii="Garamond" w:hAnsi="Garamond" w:cs="Garamond"/>
          <w:spacing w:val="-19"/>
          <w:sz w:val="23"/>
          <w:szCs w:val="23"/>
        </w:rPr>
        <w:t xml:space="preserve"> </w:t>
      </w:r>
      <w:r>
        <w:rPr>
          <w:rFonts w:ascii="Garamond" w:hAnsi="Garamond" w:cs="Garamond"/>
          <w:sz w:val="23"/>
          <w:szCs w:val="23"/>
        </w:rPr>
        <w:t>intervention.</w:t>
      </w:r>
      <w:r>
        <w:rPr>
          <w:rFonts w:ascii="Garamond" w:hAnsi="Garamond" w:cs="Garamond"/>
          <w:position w:val="5"/>
          <w:sz w:val="15"/>
          <w:szCs w:val="15"/>
        </w:rPr>
        <w:t>7</w:t>
      </w:r>
    </w:p>
    <w:p w:rsidR="002C5025" w:rsidRDefault="002C5025">
      <w:pPr>
        <w:pStyle w:val="ListParagraph"/>
        <w:numPr>
          <w:ilvl w:val="0"/>
          <w:numId w:val="26"/>
        </w:numPr>
        <w:tabs>
          <w:tab w:val="left" w:pos="840"/>
        </w:tabs>
        <w:kinsoku w:val="0"/>
        <w:overflowPunct w:val="0"/>
        <w:spacing w:before="5" w:line="273" w:lineRule="auto"/>
        <w:ind w:right="284" w:hanging="359"/>
        <w:rPr>
          <w:rFonts w:ascii="Garamond" w:hAnsi="Garamond" w:cs="Garamond"/>
          <w:spacing w:val="-3"/>
          <w:position w:val="5"/>
          <w:sz w:val="15"/>
          <w:szCs w:val="15"/>
        </w:rPr>
      </w:pPr>
      <w:r>
        <w:rPr>
          <w:rFonts w:ascii="Garamond" w:hAnsi="Garamond" w:cs="Garamond"/>
          <w:sz w:val="23"/>
          <w:szCs w:val="23"/>
        </w:rPr>
        <w:t>Access</w:t>
      </w:r>
      <w:r>
        <w:rPr>
          <w:rFonts w:ascii="Garamond" w:hAnsi="Garamond" w:cs="Garamond"/>
          <w:spacing w:val="-4"/>
          <w:sz w:val="23"/>
          <w:szCs w:val="23"/>
        </w:rPr>
        <w:t xml:space="preserve"> </w:t>
      </w:r>
      <w:r>
        <w:rPr>
          <w:rFonts w:ascii="Garamond" w:hAnsi="Garamond" w:cs="Garamond"/>
          <w:sz w:val="23"/>
          <w:szCs w:val="23"/>
        </w:rPr>
        <w:t>to</w:t>
      </w:r>
      <w:r>
        <w:rPr>
          <w:rFonts w:ascii="Garamond" w:hAnsi="Garamond" w:cs="Garamond"/>
          <w:spacing w:val="-6"/>
          <w:sz w:val="23"/>
          <w:szCs w:val="23"/>
        </w:rPr>
        <w:t xml:space="preserve"> </w:t>
      </w:r>
      <w:r>
        <w:rPr>
          <w:rFonts w:ascii="Garamond" w:hAnsi="Garamond" w:cs="Garamond"/>
          <w:sz w:val="23"/>
          <w:szCs w:val="23"/>
        </w:rPr>
        <w:t>full</w:t>
      </w:r>
      <w:r>
        <w:rPr>
          <w:rFonts w:ascii="Garamond" w:hAnsi="Garamond" w:cs="Garamond"/>
          <w:spacing w:val="-6"/>
          <w:sz w:val="23"/>
          <w:szCs w:val="23"/>
        </w:rPr>
        <w:t xml:space="preserve"> </w:t>
      </w:r>
      <w:r>
        <w:rPr>
          <w:rFonts w:ascii="Garamond" w:hAnsi="Garamond" w:cs="Garamond"/>
          <w:sz w:val="23"/>
          <w:szCs w:val="23"/>
        </w:rPr>
        <w:t>oral</w:t>
      </w:r>
      <w:r>
        <w:rPr>
          <w:rFonts w:ascii="Garamond" w:hAnsi="Garamond" w:cs="Garamond"/>
          <w:spacing w:val="-6"/>
          <w:sz w:val="23"/>
          <w:szCs w:val="23"/>
        </w:rPr>
        <w:t xml:space="preserve"> </w:t>
      </w:r>
      <w:r>
        <w:rPr>
          <w:rFonts w:ascii="Garamond" w:hAnsi="Garamond" w:cs="Garamond"/>
          <w:sz w:val="23"/>
          <w:szCs w:val="23"/>
        </w:rPr>
        <w:t>health</w:t>
      </w:r>
      <w:r>
        <w:rPr>
          <w:rFonts w:ascii="Garamond" w:hAnsi="Garamond" w:cs="Garamond"/>
          <w:spacing w:val="-6"/>
          <w:sz w:val="23"/>
          <w:szCs w:val="23"/>
        </w:rPr>
        <w:t xml:space="preserve"> </w:t>
      </w:r>
      <w:r>
        <w:rPr>
          <w:rFonts w:ascii="Garamond" w:hAnsi="Garamond" w:cs="Garamond"/>
          <w:sz w:val="23"/>
          <w:szCs w:val="23"/>
        </w:rPr>
        <w:t>benefits</w:t>
      </w:r>
      <w:r>
        <w:rPr>
          <w:rFonts w:ascii="Garamond" w:hAnsi="Garamond" w:cs="Garamond"/>
          <w:spacing w:val="-4"/>
          <w:sz w:val="23"/>
          <w:szCs w:val="23"/>
        </w:rPr>
        <w:t xml:space="preserve"> </w:t>
      </w:r>
      <w:r>
        <w:rPr>
          <w:rFonts w:ascii="Garamond" w:hAnsi="Garamond" w:cs="Garamond"/>
          <w:sz w:val="23"/>
          <w:szCs w:val="23"/>
        </w:rPr>
        <w:t>can</w:t>
      </w:r>
      <w:r>
        <w:rPr>
          <w:rFonts w:ascii="Garamond" w:hAnsi="Garamond" w:cs="Garamond"/>
          <w:spacing w:val="-6"/>
          <w:sz w:val="23"/>
          <w:szCs w:val="23"/>
        </w:rPr>
        <w:t xml:space="preserve"> </w:t>
      </w:r>
      <w:r>
        <w:rPr>
          <w:rFonts w:ascii="Garamond" w:hAnsi="Garamond" w:cs="Garamond"/>
          <w:sz w:val="23"/>
          <w:szCs w:val="23"/>
        </w:rPr>
        <w:t>be</w:t>
      </w:r>
      <w:r>
        <w:rPr>
          <w:rFonts w:ascii="Garamond" w:hAnsi="Garamond" w:cs="Garamond"/>
          <w:spacing w:val="-4"/>
          <w:sz w:val="23"/>
          <w:szCs w:val="23"/>
        </w:rPr>
        <w:t xml:space="preserve"> </w:t>
      </w:r>
      <w:r>
        <w:rPr>
          <w:rFonts w:ascii="Garamond" w:hAnsi="Garamond" w:cs="Garamond"/>
          <w:sz w:val="23"/>
          <w:szCs w:val="23"/>
        </w:rPr>
        <w:t>a</w:t>
      </w:r>
      <w:r>
        <w:rPr>
          <w:rFonts w:ascii="Garamond" w:hAnsi="Garamond" w:cs="Garamond"/>
          <w:spacing w:val="-4"/>
          <w:sz w:val="23"/>
          <w:szCs w:val="23"/>
        </w:rPr>
        <w:t xml:space="preserve"> </w:t>
      </w:r>
      <w:r>
        <w:rPr>
          <w:rFonts w:ascii="Garamond" w:hAnsi="Garamond" w:cs="Garamond"/>
          <w:sz w:val="23"/>
          <w:szCs w:val="23"/>
        </w:rPr>
        <w:t>draw</w:t>
      </w:r>
      <w:r>
        <w:rPr>
          <w:rFonts w:ascii="Garamond" w:hAnsi="Garamond" w:cs="Garamond"/>
          <w:spacing w:val="-6"/>
          <w:sz w:val="23"/>
          <w:szCs w:val="23"/>
        </w:rPr>
        <w:t xml:space="preserve"> </w:t>
      </w:r>
      <w:r>
        <w:rPr>
          <w:rFonts w:ascii="Garamond" w:hAnsi="Garamond" w:cs="Garamond"/>
          <w:sz w:val="23"/>
          <w:szCs w:val="23"/>
        </w:rPr>
        <w:t>for</w:t>
      </w:r>
      <w:r>
        <w:rPr>
          <w:rFonts w:ascii="Garamond" w:hAnsi="Garamond" w:cs="Garamond"/>
          <w:spacing w:val="-6"/>
          <w:sz w:val="23"/>
          <w:szCs w:val="23"/>
        </w:rPr>
        <w:t xml:space="preserve"> </w:t>
      </w:r>
      <w:r>
        <w:rPr>
          <w:rFonts w:ascii="Garamond" w:hAnsi="Garamond" w:cs="Garamond"/>
          <w:sz w:val="23"/>
          <w:szCs w:val="23"/>
        </w:rPr>
        <w:t>members.</w:t>
      </w:r>
      <w:r>
        <w:rPr>
          <w:rFonts w:ascii="Garamond" w:hAnsi="Garamond" w:cs="Garamond"/>
          <w:spacing w:val="-6"/>
          <w:sz w:val="23"/>
          <w:szCs w:val="23"/>
        </w:rPr>
        <w:t xml:space="preserve"> </w:t>
      </w:r>
      <w:r>
        <w:rPr>
          <w:rFonts w:ascii="Garamond" w:hAnsi="Garamond" w:cs="Garamond"/>
          <w:sz w:val="23"/>
          <w:szCs w:val="23"/>
        </w:rPr>
        <w:t>For</w:t>
      </w:r>
      <w:r>
        <w:rPr>
          <w:rFonts w:ascii="Garamond" w:hAnsi="Garamond" w:cs="Garamond"/>
          <w:spacing w:val="-6"/>
          <w:sz w:val="23"/>
          <w:szCs w:val="23"/>
        </w:rPr>
        <w:t xml:space="preserve"> </w:t>
      </w:r>
      <w:r>
        <w:rPr>
          <w:rFonts w:ascii="Garamond" w:hAnsi="Garamond" w:cs="Garamond"/>
          <w:sz w:val="23"/>
          <w:szCs w:val="23"/>
        </w:rPr>
        <w:t>example,</w:t>
      </w:r>
      <w:r>
        <w:rPr>
          <w:rFonts w:ascii="Garamond" w:hAnsi="Garamond" w:cs="Garamond"/>
          <w:spacing w:val="-9"/>
          <w:sz w:val="23"/>
          <w:szCs w:val="23"/>
        </w:rPr>
        <w:t xml:space="preserve"> </w:t>
      </w:r>
      <w:r>
        <w:rPr>
          <w:rFonts w:ascii="Garamond" w:hAnsi="Garamond" w:cs="Garamond"/>
          <w:sz w:val="23"/>
          <w:szCs w:val="23"/>
        </w:rPr>
        <w:t>One</w:t>
      </w:r>
      <w:r>
        <w:rPr>
          <w:rFonts w:ascii="Garamond" w:hAnsi="Garamond" w:cs="Garamond"/>
          <w:spacing w:val="-8"/>
          <w:sz w:val="23"/>
          <w:szCs w:val="23"/>
        </w:rPr>
        <w:t xml:space="preserve"> </w:t>
      </w:r>
      <w:r>
        <w:rPr>
          <w:rFonts w:ascii="Garamond" w:hAnsi="Garamond" w:cs="Garamond"/>
          <w:sz w:val="23"/>
          <w:szCs w:val="23"/>
        </w:rPr>
        <w:t>Care</w:t>
      </w:r>
      <w:r>
        <w:rPr>
          <w:rFonts w:ascii="Garamond" w:hAnsi="Garamond" w:cs="Garamond"/>
          <w:spacing w:val="-4"/>
          <w:sz w:val="23"/>
          <w:szCs w:val="23"/>
        </w:rPr>
        <w:t xml:space="preserve"> </w:t>
      </w:r>
      <w:r>
        <w:rPr>
          <w:rFonts w:ascii="Garamond" w:hAnsi="Garamond" w:cs="Garamond"/>
          <w:sz w:val="23"/>
          <w:szCs w:val="23"/>
        </w:rPr>
        <w:t xml:space="preserve">members report the availability of dental care is a significant incentive for enrolling in the </w:t>
      </w:r>
      <w:r>
        <w:rPr>
          <w:rFonts w:ascii="Garamond" w:hAnsi="Garamond" w:cs="Garamond"/>
          <w:spacing w:val="-3"/>
          <w:sz w:val="23"/>
          <w:szCs w:val="23"/>
        </w:rPr>
        <w:t xml:space="preserve">program, </w:t>
      </w:r>
      <w:r>
        <w:rPr>
          <w:rFonts w:ascii="Garamond" w:hAnsi="Garamond" w:cs="Garamond"/>
          <w:sz w:val="23"/>
          <w:szCs w:val="23"/>
        </w:rPr>
        <w:t xml:space="preserve">with 48% of voluntary enrollees describing getting better dental benefits as a </w:t>
      </w:r>
      <w:r>
        <w:rPr>
          <w:rFonts w:ascii="Garamond" w:hAnsi="Garamond" w:cs="Garamond"/>
          <w:spacing w:val="-3"/>
          <w:sz w:val="23"/>
          <w:szCs w:val="23"/>
        </w:rPr>
        <w:t xml:space="preserve">primary reason </w:t>
      </w:r>
      <w:r>
        <w:rPr>
          <w:rFonts w:ascii="Garamond" w:hAnsi="Garamond" w:cs="Garamond"/>
          <w:sz w:val="23"/>
          <w:szCs w:val="23"/>
        </w:rPr>
        <w:t>for joining One</w:t>
      </w:r>
      <w:r>
        <w:rPr>
          <w:rFonts w:ascii="Garamond" w:hAnsi="Garamond" w:cs="Garamond"/>
          <w:spacing w:val="3"/>
          <w:sz w:val="23"/>
          <w:szCs w:val="23"/>
        </w:rPr>
        <w:t xml:space="preserve"> </w:t>
      </w:r>
      <w:r>
        <w:rPr>
          <w:rFonts w:ascii="Garamond" w:hAnsi="Garamond" w:cs="Garamond"/>
          <w:spacing w:val="-3"/>
          <w:sz w:val="23"/>
          <w:szCs w:val="23"/>
        </w:rPr>
        <w:t>Care.</w:t>
      </w:r>
      <w:r>
        <w:rPr>
          <w:rFonts w:ascii="Garamond" w:hAnsi="Garamond" w:cs="Garamond"/>
          <w:spacing w:val="-3"/>
          <w:position w:val="5"/>
          <w:sz w:val="15"/>
          <w:szCs w:val="15"/>
        </w:rPr>
        <w:t>8</w:t>
      </w:r>
    </w:p>
    <w:p w:rsidR="002C5025" w:rsidRDefault="002C5025">
      <w:pPr>
        <w:pStyle w:val="BodyText"/>
        <w:kinsoku w:val="0"/>
        <w:overflowPunct w:val="0"/>
        <w:spacing w:before="3"/>
        <w:rPr>
          <w:rFonts w:ascii="Garamond" w:hAnsi="Garamond" w:cs="Garamond"/>
          <w:sz w:val="26"/>
          <w:szCs w:val="26"/>
        </w:rPr>
      </w:pPr>
    </w:p>
    <w:p w:rsidR="002C5025" w:rsidRDefault="002C5025">
      <w:pPr>
        <w:pStyle w:val="BodyText"/>
        <w:kinsoku w:val="0"/>
        <w:overflowPunct w:val="0"/>
        <w:ind w:left="120"/>
        <w:rPr>
          <w:rFonts w:ascii="Garamond" w:hAnsi="Garamond" w:cs="Garamond"/>
          <w:b/>
          <w:bCs/>
          <w:i/>
          <w:iCs/>
          <w:w w:val="90"/>
          <w:sz w:val="26"/>
          <w:szCs w:val="26"/>
        </w:rPr>
      </w:pPr>
      <w:bookmarkStart w:id="242" w:name="ACO_payment_methodologies_for_dental_and"/>
      <w:bookmarkEnd w:id="242"/>
      <w:r>
        <w:rPr>
          <w:rFonts w:ascii="Garamond" w:hAnsi="Garamond" w:cs="Garamond"/>
          <w:b/>
          <w:bCs/>
          <w:i/>
          <w:iCs/>
          <w:w w:val="90"/>
          <w:sz w:val="26"/>
          <w:szCs w:val="26"/>
        </w:rPr>
        <w:t>ACO payment methodologies for dental and oral health services should be value-based and</w:t>
      </w:r>
    </w:p>
    <w:p w:rsidR="002C5025" w:rsidRDefault="002C5025">
      <w:pPr>
        <w:pStyle w:val="BodyText"/>
        <w:kinsoku w:val="0"/>
        <w:overflowPunct w:val="0"/>
        <w:spacing w:before="17"/>
        <w:ind w:left="120" w:right="5427"/>
        <w:rPr>
          <w:rFonts w:ascii="Garamond" w:hAnsi="Garamond" w:cs="Garamond"/>
          <w:b/>
          <w:bCs/>
          <w:i/>
          <w:iCs/>
          <w:w w:val="90"/>
          <w:sz w:val="26"/>
          <w:szCs w:val="26"/>
        </w:rPr>
      </w:pPr>
      <w:r>
        <w:rPr>
          <w:rFonts w:ascii="Garamond" w:hAnsi="Garamond" w:cs="Garamond"/>
          <w:b/>
          <w:bCs/>
          <w:i/>
          <w:iCs/>
          <w:w w:val="90"/>
          <w:sz w:val="26"/>
          <w:szCs w:val="26"/>
        </w:rPr>
        <w:t>not volume-based</w:t>
      </w:r>
    </w:p>
    <w:p w:rsidR="002C5025" w:rsidRDefault="002C5025">
      <w:pPr>
        <w:pStyle w:val="BodyText"/>
        <w:kinsoku w:val="0"/>
        <w:overflowPunct w:val="0"/>
        <w:spacing w:before="154" w:line="276" w:lineRule="auto"/>
        <w:ind w:left="119" w:right="301"/>
        <w:rPr>
          <w:rFonts w:ascii="Garamond" w:hAnsi="Garamond" w:cs="Garamond"/>
          <w:sz w:val="24"/>
          <w:szCs w:val="24"/>
        </w:rPr>
      </w:pPr>
      <w:r>
        <w:rPr>
          <w:rFonts w:ascii="Garamond" w:hAnsi="Garamond" w:cs="Garamond"/>
          <w:sz w:val="24"/>
          <w:szCs w:val="24"/>
        </w:rPr>
        <w:t xml:space="preserve">To develop a patient-centered model in dentistry similar to that in medicine, there must be both upfront investments to help dental providers implement the model as well as sustaining reimbursement mechanisms that are aligned with value. Dental providers, like other health </w:t>
      </w:r>
      <w:r>
        <w:rPr>
          <w:rFonts w:ascii="Garamond" w:hAnsi="Garamond" w:cs="Garamond"/>
          <w:spacing w:val="-3"/>
          <w:sz w:val="24"/>
          <w:szCs w:val="24"/>
        </w:rPr>
        <w:t xml:space="preserve">care </w:t>
      </w:r>
      <w:r>
        <w:rPr>
          <w:rFonts w:ascii="Garamond" w:hAnsi="Garamond" w:cs="Garamond"/>
          <w:sz w:val="24"/>
          <w:szCs w:val="24"/>
        </w:rPr>
        <w:t>providers,</w:t>
      </w:r>
      <w:r>
        <w:rPr>
          <w:rFonts w:ascii="Garamond" w:hAnsi="Garamond" w:cs="Garamond"/>
          <w:spacing w:val="-12"/>
          <w:sz w:val="24"/>
          <w:szCs w:val="24"/>
        </w:rPr>
        <w:t xml:space="preserve"> </w:t>
      </w:r>
      <w:r>
        <w:rPr>
          <w:rFonts w:ascii="Garamond" w:hAnsi="Garamond" w:cs="Garamond"/>
          <w:sz w:val="24"/>
          <w:szCs w:val="24"/>
        </w:rPr>
        <w:t>should</w:t>
      </w:r>
      <w:r>
        <w:rPr>
          <w:rFonts w:ascii="Garamond" w:hAnsi="Garamond" w:cs="Garamond"/>
          <w:spacing w:val="-12"/>
          <w:sz w:val="24"/>
          <w:szCs w:val="24"/>
        </w:rPr>
        <w:t xml:space="preserve"> </w:t>
      </w:r>
      <w:r>
        <w:rPr>
          <w:rFonts w:ascii="Garamond" w:hAnsi="Garamond" w:cs="Garamond"/>
          <w:sz w:val="24"/>
          <w:szCs w:val="24"/>
        </w:rPr>
        <w:t>be</w:t>
      </w:r>
      <w:r>
        <w:rPr>
          <w:rFonts w:ascii="Garamond" w:hAnsi="Garamond" w:cs="Garamond"/>
          <w:spacing w:val="-11"/>
          <w:sz w:val="24"/>
          <w:szCs w:val="24"/>
        </w:rPr>
        <w:t xml:space="preserve"> </w:t>
      </w:r>
      <w:r>
        <w:rPr>
          <w:rFonts w:ascii="Garamond" w:hAnsi="Garamond" w:cs="Garamond"/>
          <w:sz w:val="24"/>
          <w:szCs w:val="24"/>
        </w:rPr>
        <w:t>held</w:t>
      </w:r>
      <w:r>
        <w:rPr>
          <w:rFonts w:ascii="Garamond" w:hAnsi="Garamond" w:cs="Garamond"/>
          <w:spacing w:val="-15"/>
          <w:sz w:val="24"/>
          <w:szCs w:val="24"/>
        </w:rPr>
        <w:t xml:space="preserve"> </w:t>
      </w:r>
      <w:r>
        <w:rPr>
          <w:rFonts w:ascii="Garamond" w:hAnsi="Garamond" w:cs="Garamond"/>
          <w:sz w:val="24"/>
          <w:szCs w:val="24"/>
        </w:rPr>
        <w:t>accountable</w:t>
      </w:r>
      <w:r>
        <w:rPr>
          <w:rFonts w:ascii="Garamond" w:hAnsi="Garamond" w:cs="Garamond"/>
          <w:spacing w:val="-11"/>
          <w:sz w:val="24"/>
          <w:szCs w:val="24"/>
        </w:rPr>
        <w:t xml:space="preserve"> </w:t>
      </w:r>
      <w:r>
        <w:rPr>
          <w:rFonts w:ascii="Garamond" w:hAnsi="Garamond" w:cs="Garamond"/>
          <w:sz w:val="24"/>
          <w:szCs w:val="24"/>
        </w:rPr>
        <w:t>for</w:t>
      </w:r>
      <w:r>
        <w:rPr>
          <w:rFonts w:ascii="Garamond" w:hAnsi="Garamond" w:cs="Garamond"/>
          <w:spacing w:val="-13"/>
          <w:sz w:val="24"/>
          <w:szCs w:val="24"/>
        </w:rPr>
        <w:t xml:space="preserve"> </w:t>
      </w:r>
      <w:r>
        <w:rPr>
          <w:rFonts w:ascii="Garamond" w:hAnsi="Garamond" w:cs="Garamond"/>
          <w:sz w:val="24"/>
          <w:szCs w:val="24"/>
        </w:rPr>
        <w:t>quality</w:t>
      </w:r>
      <w:r>
        <w:rPr>
          <w:rFonts w:ascii="Garamond" w:hAnsi="Garamond" w:cs="Garamond"/>
          <w:spacing w:val="-11"/>
          <w:sz w:val="24"/>
          <w:szCs w:val="24"/>
        </w:rPr>
        <w:t xml:space="preserve"> </w:t>
      </w:r>
      <w:r>
        <w:rPr>
          <w:rFonts w:ascii="Garamond" w:hAnsi="Garamond" w:cs="Garamond"/>
          <w:sz w:val="24"/>
          <w:szCs w:val="24"/>
        </w:rPr>
        <w:t>metrics</w:t>
      </w:r>
      <w:r>
        <w:rPr>
          <w:rFonts w:ascii="Garamond" w:hAnsi="Garamond" w:cs="Garamond"/>
          <w:spacing w:val="-13"/>
          <w:sz w:val="24"/>
          <w:szCs w:val="24"/>
        </w:rPr>
        <w:t xml:space="preserve"> </w:t>
      </w:r>
      <w:r>
        <w:rPr>
          <w:rFonts w:ascii="Garamond" w:hAnsi="Garamond" w:cs="Garamond"/>
          <w:sz w:val="24"/>
          <w:szCs w:val="24"/>
        </w:rPr>
        <w:t>and</w:t>
      </w:r>
      <w:r>
        <w:rPr>
          <w:rFonts w:ascii="Garamond" w:hAnsi="Garamond" w:cs="Garamond"/>
          <w:spacing w:val="-12"/>
          <w:sz w:val="24"/>
          <w:szCs w:val="24"/>
        </w:rPr>
        <w:t xml:space="preserve"> </w:t>
      </w:r>
      <w:r>
        <w:rPr>
          <w:rFonts w:ascii="Garamond" w:hAnsi="Garamond" w:cs="Garamond"/>
          <w:sz w:val="24"/>
          <w:szCs w:val="24"/>
        </w:rPr>
        <w:t>reporting.</w:t>
      </w:r>
      <w:r>
        <w:rPr>
          <w:rFonts w:ascii="Garamond" w:hAnsi="Garamond" w:cs="Garamond"/>
          <w:spacing w:val="-8"/>
          <w:sz w:val="24"/>
          <w:szCs w:val="24"/>
        </w:rPr>
        <w:t xml:space="preserve"> </w:t>
      </w:r>
      <w:r>
        <w:rPr>
          <w:rFonts w:ascii="Garamond" w:hAnsi="Garamond" w:cs="Garamond"/>
          <w:sz w:val="24"/>
          <w:szCs w:val="24"/>
        </w:rPr>
        <w:t>This</w:t>
      </w:r>
      <w:r>
        <w:rPr>
          <w:rFonts w:ascii="Garamond" w:hAnsi="Garamond" w:cs="Garamond"/>
          <w:spacing w:val="-13"/>
          <w:sz w:val="24"/>
          <w:szCs w:val="24"/>
        </w:rPr>
        <w:t xml:space="preserve"> </w:t>
      </w:r>
      <w:r>
        <w:rPr>
          <w:rFonts w:ascii="Garamond" w:hAnsi="Garamond" w:cs="Garamond"/>
          <w:sz w:val="24"/>
          <w:szCs w:val="24"/>
        </w:rPr>
        <w:t>must</w:t>
      </w:r>
      <w:r>
        <w:rPr>
          <w:rFonts w:ascii="Garamond" w:hAnsi="Garamond" w:cs="Garamond"/>
          <w:spacing w:val="-13"/>
          <w:sz w:val="24"/>
          <w:szCs w:val="24"/>
        </w:rPr>
        <w:t xml:space="preserve"> </w:t>
      </w:r>
      <w:r>
        <w:rPr>
          <w:rFonts w:ascii="Garamond" w:hAnsi="Garamond" w:cs="Garamond"/>
          <w:sz w:val="24"/>
          <w:szCs w:val="24"/>
        </w:rPr>
        <w:t>involve</w:t>
      </w:r>
      <w:r>
        <w:rPr>
          <w:rFonts w:ascii="Garamond" w:hAnsi="Garamond" w:cs="Garamond"/>
          <w:spacing w:val="-11"/>
          <w:sz w:val="24"/>
          <w:szCs w:val="24"/>
        </w:rPr>
        <w:t xml:space="preserve"> </w:t>
      </w:r>
      <w:r>
        <w:rPr>
          <w:rFonts w:ascii="Garamond" w:hAnsi="Garamond" w:cs="Garamond"/>
          <w:sz w:val="24"/>
          <w:szCs w:val="24"/>
        </w:rPr>
        <w:t>changes to</w:t>
      </w:r>
      <w:r>
        <w:rPr>
          <w:rFonts w:ascii="Garamond" w:hAnsi="Garamond" w:cs="Garamond"/>
          <w:spacing w:val="-18"/>
          <w:sz w:val="24"/>
          <w:szCs w:val="24"/>
        </w:rPr>
        <w:t xml:space="preserve"> </w:t>
      </w:r>
      <w:r>
        <w:rPr>
          <w:rFonts w:ascii="Garamond" w:hAnsi="Garamond" w:cs="Garamond"/>
          <w:sz w:val="24"/>
          <w:szCs w:val="24"/>
        </w:rPr>
        <w:t>the</w:t>
      </w:r>
      <w:r>
        <w:rPr>
          <w:rFonts w:ascii="Garamond" w:hAnsi="Garamond" w:cs="Garamond"/>
          <w:spacing w:val="-17"/>
          <w:sz w:val="24"/>
          <w:szCs w:val="24"/>
        </w:rPr>
        <w:t xml:space="preserve"> </w:t>
      </w:r>
      <w:r>
        <w:rPr>
          <w:rFonts w:ascii="Garamond" w:hAnsi="Garamond" w:cs="Garamond"/>
          <w:sz w:val="24"/>
          <w:szCs w:val="24"/>
        </w:rPr>
        <w:t>existing</w:t>
      </w:r>
      <w:r>
        <w:rPr>
          <w:rFonts w:ascii="Garamond" w:hAnsi="Garamond" w:cs="Garamond"/>
          <w:spacing w:val="-17"/>
          <w:sz w:val="24"/>
          <w:szCs w:val="24"/>
        </w:rPr>
        <w:t xml:space="preserve"> </w:t>
      </w:r>
      <w:r>
        <w:rPr>
          <w:rFonts w:ascii="Garamond" w:hAnsi="Garamond" w:cs="Garamond"/>
          <w:sz w:val="24"/>
          <w:szCs w:val="24"/>
        </w:rPr>
        <w:t>fee-for-service</w:t>
      </w:r>
      <w:r>
        <w:rPr>
          <w:rFonts w:ascii="Garamond" w:hAnsi="Garamond" w:cs="Garamond"/>
          <w:spacing w:val="-14"/>
          <w:sz w:val="24"/>
          <w:szCs w:val="24"/>
        </w:rPr>
        <w:t xml:space="preserve"> </w:t>
      </w:r>
      <w:r>
        <w:rPr>
          <w:rFonts w:ascii="Garamond" w:hAnsi="Garamond" w:cs="Garamond"/>
          <w:sz w:val="24"/>
          <w:szCs w:val="24"/>
        </w:rPr>
        <w:t>reimbursement</w:t>
      </w:r>
      <w:r>
        <w:rPr>
          <w:rFonts w:ascii="Garamond" w:hAnsi="Garamond" w:cs="Garamond"/>
          <w:spacing w:val="-18"/>
          <w:sz w:val="24"/>
          <w:szCs w:val="24"/>
        </w:rPr>
        <w:t xml:space="preserve"> </w:t>
      </w:r>
      <w:r>
        <w:rPr>
          <w:rFonts w:ascii="Garamond" w:hAnsi="Garamond" w:cs="Garamond"/>
          <w:sz w:val="24"/>
          <w:szCs w:val="24"/>
        </w:rPr>
        <w:t>system,</w:t>
      </w:r>
      <w:r>
        <w:rPr>
          <w:rFonts w:ascii="Garamond" w:hAnsi="Garamond" w:cs="Garamond"/>
          <w:spacing w:val="-17"/>
          <w:sz w:val="24"/>
          <w:szCs w:val="24"/>
        </w:rPr>
        <w:t xml:space="preserve"> </w:t>
      </w:r>
      <w:r>
        <w:rPr>
          <w:rFonts w:ascii="Garamond" w:hAnsi="Garamond" w:cs="Garamond"/>
          <w:sz w:val="24"/>
          <w:szCs w:val="24"/>
        </w:rPr>
        <w:t>creating</w:t>
      </w:r>
      <w:r>
        <w:rPr>
          <w:rFonts w:ascii="Garamond" w:hAnsi="Garamond" w:cs="Garamond"/>
          <w:spacing w:val="-17"/>
          <w:sz w:val="24"/>
          <w:szCs w:val="24"/>
        </w:rPr>
        <w:t xml:space="preserve"> </w:t>
      </w:r>
      <w:r>
        <w:rPr>
          <w:rFonts w:ascii="Garamond" w:hAnsi="Garamond" w:cs="Garamond"/>
          <w:sz w:val="24"/>
          <w:szCs w:val="24"/>
        </w:rPr>
        <w:t>incentives</w:t>
      </w:r>
      <w:r>
        <w:rPr>
          <w:rFonts w:ascii="Garamond" w:hAnsi="Garamond" w:cs="Garamond"/>
          <w:spacing w:val="-18"/>
          <w:sz w:val="24"/>
          <w:szCs w:val="24"/>
        </w:rPr>
        <w:t xml:space="preserve"> </w:t>
      </w:r>
      <w:r>
        <w:rPr>
          <w:rFonts w:ascii="Garamond" w:hAnsi="Garamond" w:cs="Garamond"/>
          <w:sz w:val="24"/>
          <w:szCs w:val="24"/>
        </w:rPr>
        <w:t>for</w:t>
      </w:r>
      <w:r>
        <w:rPr>
          <w:rFonts w:ascii="Garamond" w:hAnsi="Garamond" w:cs="Garamond"/>
          <w:spacing w:val="-18"/>
          <w:sz w:val="24"/>
          <w:szCs w:val="24"/>
        </w:rPr>
        <w:t xml:space="preserve"> </w:t>
      </w:r>
      <w:r>
        <w:rPr>
          <w:rFonts w:ascii="Garamond" w:hAnsi="Garamond" w:cs="Garamond"/>
          <w:sz w:val="24"/>
          <w:szCs w:val="24"/>
        </w:rPr>
        <w:t>disease</w:t>
      </w:r>
      <w:r>
        <w:rPr>
          <w:rFonts w:ascii="Garamond" w:hAnsi="Garamond" w:cs="Garamond"/>
          <w:spacing w:val="-17"/>
          <w:sz w:val="24"/>
          <w:szCs w:val="24"/>
        </w:rPr>
        <w:t xml:space="preserve"> </w:t>
      </w:r>
      <w:r>
        <w:rPr>
          <w:rFonts w:ascii="Garamond" w:hAnsi="Garamond" w:cs="Garamond"/>
          <w:sz w:val="24"/>
          <w:szCs w:val="24"/>
        </w:rPr>
        <w:t>prevention</w:t>
      </w:r>
      <w:r>
        <w:rPr>
          <w:rFonts w:ascii="Garamond" w:hAnsi="Garamond" w:cs="Garamond"/>
          <w:spacing w:val="-19"/>
          <w:sz w:val="24"/>
          <w:szCs w:val="24"/>
        </w:rPr>
        <w:t xml:space="preserve"> </w:t>
      </w:r>
      <w:r>
        <w:rPr>
          <w:rFonts w:ascii="Garamond" w:hAnsi="Garamond" w:cs="Garamond"/>
          <w:sz w:val="24"/>
          <w:szCs w:val="24"/>
        </w:rPr>
        <w:t xml:space="preserve">and health maintenance rather than procedure-based care and the treatment of active disease. </w:t>
      </w:r>
      <w:r>
        <w:rPr>
          <w:rFonts w:ascii="Garamond" w:hAnsi="Garamond" w:cs="Garamond"/>
          <w:spacing w:val="-3"/>
          <w:sz w:val="24"/>
          <w:szCs w:val="24"/>
        </w:rPr>
        <w:t xml:space="preserve">These </w:t>
      </w:r>
      <w:r>
        <w:rPr>
          <w:rFonts w:ascii="Garamond" w:hAnsi="Garamond" w:cs="Garamond"/>
          <w:sz w:val="24"/>
          <w:szCs w:val="24"/>
        </w:rPr>
        <w:t>modifications should involve the use of shared savings and risk models that reward patient outcomes.</w:t>
      </w:r>
      <w:r>
        <w:rPr>
          <w:rFonts w:ascii="Garamond" w:hAnsi="Garamond" w:cs="Garamond"/>
          <w:spacing w:val="-15"/>
          <w:sz w:val="24"/>
          <w:szCs w:val="24"/>
        </w:rPr>
        <w:t xml:space="preserve"> </w:t>
      </w:r>
      <w:r>
        <w:rPr>
          <w:rFonts w:ascii="Garamond" w:hAnsi="Garamond" w:cs="Garamond"/>
          <w:sz w:val="24"/>
          <w:szCs w:val="24"/>
        </w:rPr>
        <w:t>There</w:t>
      </w:r>
      <w:r>
        <w:rPr>
          <w:rFonts w:ascii="Garamond" w:hAnsi="Garamond" w:cs="Garamond"/>
          <w:spacing w:val="-12"/>
          <w:sz w:val="24"/>
          <w:szCs w:val="24"/>
        </w:rPr>
        <w:t xml:space="preserve"> </w:t>
      </w:r>
      <w:r>
        <w:rPr>
          <w:rFonts w:ascii="Garamond" w:hAnsi="Garamond" w:cs="Garamond"/>
          <w:sz w:val="24"/>
          <w:szCs w:val="24"/>
        </w:rPr>
        <w:t>should</w:t>
      </w:r>
      <w:r>
        <w:rPr>
          <w:rFonts w:ascii="Garamond" w:hAnsi="Garamond" w:cs="Garamond"/>
          <w:spacing w:val="-16"/>
          <w:sz w:val="24"/>
          <w:szCs w:val="24"/>
        </w:rPr>
        <w:t xml:space="preserve"> </w:t>
      </w:r>
      <w:r>
        <w:rPr>
          <w:rFonts w:ascii="Garamond" w:hAnsi="Garamond" w:cs="Garamond"/>
          <w:sz w:val="24"/>
          <w:szCs w:val="24"/>
        </w:rPr>
        <w:t>also</w:t>
      </w:r>
      <w:r>
        <w:rPr>
          <w:rFonts w:ascii="Garamond" w:hAnsi="Garamond" w:cs="Garamond"/>
          <w:spacing w:val="-13"/>
          <w:sz w:val="24"/>
          <w:szCs w:val="24"/>
        </w:rPr>
        <w:t xml:space="preserve"> </w:t>
      </w:r>
      <w:r>
        <w:rPr>
          <w:rFonts w:ascii="Garamond" w:hAnsi="Garamond" w:cs="Garamond"/>
          <w:sz w:val="24"/>
          <w:szCs w:val="24"/>
        </w:rPr>
        <w:t>be</w:t>
      </w:r>
      <w:r>
        <w:rPr>
          <w:rFonts w:ascii="Garamond" w:hAnsi="Garamond" w:cs="Garamond"/>
          <w:spacing w:val="-15"/>
          <w:sz w:val="24"/>
          <w:szCs w:val="24"/>
        </w:rPr>
        <w:t xml:space="preserve"> </w:t>
      </w:r>
      <w:r>
        <w:rPr>
          <w:rFonts w:ascii="Garamond" w:hAnsi="Garamond" w:cs="Garamond"/>
          <w:sz w:val="24"/>
          <w:szCs w:val="24"/>
        </w:rPr>
        <w:t>better</w:t>
      </w:r>
      <w:r>
        <w:rPr>
          <w:rFonts w:ascii="Garamond" w:hAnsi="Garamond" w:cs="Garamond"/>
          <w:spacing w:val="-14"/>
          <w:sz w:val="24"/>
          <w:szCs w:val="24"/>
        </w:rPr>
        <w:t xml:space="preserve"> </w:t>
      </w:r>
      <w:r>
        <w:rPr>
          <w:rFonts w:ascii="Garamond" w:hAnsi="Garamond" w:cs="Garamond"/>
          <w:sz w:val="24"/>
          <w:szCs w:val="24"/>
        </w:rPr>
        <w:t>alignment</w:t>
      </w:r>
      <w:r>
        <w:rPr>
          <w:rFonts w:ascii="Garamond" w:hAnsi="Garamond" w:cs="Garamond"/>
          <w:spacing w:val="-14"/>
          <w:sz w:val="24"/>
          <w:szCs w:val="24"/>
        </w:rPr>
        <w:t xml:space="preserve"> </w:t>
      </w:r>
      <w:r>
        <w:rPr>
          <w:rFonts w:ascii="Garamond" w:hAnsi="Garamond" w:cs="Garamond"/>
          <w:sz w:val="24"/>
          <w:szCs w:val="24"/>
        </w:rPr>
        <w:t>of</w:t>
      </w:r>
      <w:r>
        <w:rPr>
          <w:rFonts w:ascii="Garamond" w:hAnsi="Garamond" w:cs="Garamond"/>
          <w:spacing w:val="-18"/>
          <w:sz w:val="24"/>
          <w:szCs w:val="24"/>
        </w:rPr>
        <w:t xml:space="preserve"> </w:t>
      </w:r>
      <w:r>
        <w:rPr>
          <w:rFonts w:ascii="Garamond" w:hAnsi="Garamond" w:cs="Garamond"/>
          <w:sz w:val="24"/>
          <w:szCs w:val="24"/>
        </w:rPr>
        <w:t>payment</w:t>
      </w:r>
      <w:r>
        <w:rPr>
          <w:rFonts w:ascii="Garamond" w:hAnsi="Garamond" w:cs="Garamond"/>
          <w:spacing w:val="-14"/>
          <w:sz w:val="24"/>
          <w:szCs w:val="24"/>
        </w:rPr>
        <w:t xml:space="preserve"> </w:t>
      </w:r>
      <w:r>
        <w:rPr>
          <w:rFonts w:ascii="Garamond" w:hAnsi="Garamond" w:cs="Garamond"/>
          <w:sz w:val="24"/>
          <w:szCs w:val="24"/>
        </w:rPr>
        <w:t>periodicity</w:t>
      </w:r>
      <w:r>
        <w:rPr>
          <w:rFonts w:ascii="Garamond" w:hAnsi="Garamond" w:cs="Garamond"/>
          <w:spacing w:val="-15"/>
          <w:sz w:val="24"/>
          <w:szCs w:val="24"/>
        </w:rPr>
        <w:t xml:space="preserve"> </w:t>
      </w:r>
      <w:r>
        <w:rPr>
          <w:rFonts w:ascii="Garamond" w:hAnsi="Garamond" w:cs="Garamond"/>
          <w:sz w:val="24"/>
          <w:szCs w:val="24"/>
        </w:rPr>
        <w:t>with</w:t>
      </w:r>
      <w:r>
        <w:rPr>
          <w:rFonts w:ascii="Garamond" w:hAnsi="Garamond" w:cs="Garamond"/>
          <w:spacing w:val="-17"/>
          <w:sz w:val="24"/>
          <w:szCs w:val="24"/>
        </w:rPr>
        <w:t xml:space="preserve"> </w:t>
      </w:r>
      <w:r>
        <w:rPr>
          <w:rFonts w:ascii="Garamond" w:hAnsi="Garamond" w:cs="Garamond"/>
          <w:sz w:val="24"/>
          <w:szCs w:val="24"/>
        </w:rPr>
        <w:t>established</w:t>
      </w:r>
      <w:r>
        <w:rPr>
          <w:rFonts w:ascii="Garamond" w:hAnsi="Garamond" w:cs="Garamond"/>
          <w:spacing w:val="-13"/>
          <w:sz w:val="24"/>
          <w:szCs w:val="24"/>
        </w:rPr>
        <w:t xml:space="preserve"> </w:t>
      </w:r>
      <w:r>
        <w:rPr>
          <w:rFonts w:ascii="Garamond" w:hAnsi="Garamond" w:cs="Garamond"/>
          <w:sz w:val="24"/>
          <w:szCs w:val="24"/>
        </w:rPr>
        <w:t>evidence- based</w:t>
      </w:r>
      <w:r>
        <w:rPr>
          <w:rFonts w:ascii="Garamond" w:hAnsi="Garamond" w:cs="Garamond"/>
          <w:spacing w:val="-14"/>
          <w:sz w:val="24"/>
          <w:szCs w:val="24"/>
        </w:rPr>
        <w:t xml:space="preserve"> </w:t>
      </w:r>
      <w:r>
        <w:rPr>
          <w:rFonts w:ascii="Garamond" w:hAnsi="Garamond" w:cs="Garamond"/>
          <w:sz w:val="24"/>
          <w:szCs w:val="24"/>
        </w:rPr>
        <w:t>clinical</w:t>
      </w:r>
      <w:r>
        <w:rPr>
          <w:rFonts w:ascii="Garamond" w:hAnsi="Garamond" w:cs="Garamond"/>
          <w:spacing w:val="-12"/>
          <w:sz w:val="24"/>
          <w:szCs w:val="24"/>
        </w:rPr>
        <w:t xml:space="preserve"> </w:t>
      </w:r>
      <w:r>
        <w:rPr>
          <w:rFonts w:ascii="Garamond" w:hAnsi="Garamond" w:cs="Garamond"/>
          <w:sz w:val="24"/>
          <w:szCs w:val="24"/>
        </w:rPr>
        <w:t>guidelines,</w:t>
      </w:r>
      <w:r>
        <w:rPr>
          <w:rFonts w:ascii="Garamond" w:hAnsi="Garamond" w:cs="Garamond"/>
          <w:spacing w:val="-12"/>
          <w:sz w:val="24"/>
          <w:szCs w:val="24"/>
        </w:rPr>
        <w:t xml:space="preserve"> </w:t>
      </w:r>
      <w:r>
        <w:rPr>
          <w:rFonts w:ascii="Garamond" w:hAnsi="Garamond" w:cs="Garamond"/>
          <w:sz w:val="24"/>
          <w:szCs w:val="24"/>
        </w:rPr>
        <w:t>encouraging</w:t>
      </w:r>
      <w:r>
        <w:rPr>
          <w:rFonts w:ascii="Garamond" w:hAnsi="Garamond" w:cs="Garamond"/>
          <w:spacing w:val="-9"/>
          <w:sz w:val="24"/>
          <w:szCs w:val="24"/>
        </w:rPr>
        <w:t xml:space="preserve"> </w:t>
      </w:r>
      <w:r>
        <w:rPr>
          <w:rFonts w:ascii="Garamond" w:hAnsi="Garamond" w:cs="Garamond"/>
          <w:sz w:val="24"/>
          <w:szCs w:val="24"/>
        </w:rPr>
        <w:t>the</w:t>
      </w:r>
      <w:r>
        <w:rPr>
          <w:rFonts w:ascii="Garamond" w:hAnsi="Garamond" w:cs="Garamond"/>
          <w:spacing w:val="-11"/>
          <w:sz w:val="24"/>
          <w:szCs w:val="24"/>
        </w:rPr>
        <w:t xml:space="preserve"> </w:t>
      </w:r>
      <w:r>
        <w:rPr>
          <w:rFonts w:ascii="Garamond" w:hAnsi="Garamond" w:cs="Garamond"/>
          <w:sz w:val="24"/>
          <w:szCs w:val="24"/>
        </w:rPr>
        <w:t>use</w:t>
      </w:r>
      <w:r>
        <w:rPr>
          <w:rFonts w:ascii="Garamond" w:hAnsi="Garamond" w:cs="Garamond"/>
          <w:spacing w:val="-11"/>
          <w:sz w:val="24"/>
          <w:szCs w:val="24"/>
        </w:rPr>
        <w:t xml:space="preserve"> </w:t>
      </w:r>
      <w:r>
        <w:rPr>
          <w:rFonts w:ascii="Garamond" w:hAnsi="Garamond" w:cs="Garamond"/>
          <w:sz w:val="24"/>
          <w:szCs w:val="24"/>
        </w:rPr>
        <w:t>of</w:t>
      </w:r>
      <w:r>
        <w:rPr>
          <w:rFonts w:ascii="Garamond" w:hAnsi="Garamond" w:cs="Garamond"/>
          <w:spacing w:val="-13"/>
          <w:sz w:val="24"/>
          <w:szCs w:val="24"/>
        </w:rPr>
        <w:t xml:space="preserve"> </w:t>
      </w:r>
      <w:r>
        <w:rPr>
          <w:rFonts w:ascii="Garamond" w:hAnsi="Garamond" w:cs="Garamond"/>
          <w:sz w:val="24"/>
          <w:szCs w:val="24"/>
        </w:rPr>
        <w:t>treatment</w:t>
      </w:r>
      <w:r>
        <w:rPr>
          <w:rFonts w:ascii="Garamond" w:hAnsi="Garamond" w:cs="Garamond"/>
          <w:spacing w:val="-10"/>
          <w:sz w:val="24"/>
          <w:szCs w:val="24"/>
        </w:rPr>
        <w:t xml:space="preserve"> </w:t>
      </w:r>
      <w:r>
        <w:rPr>
          <w:rFonts w:ascii="Garamond" w:hAnsi="Garamond" w:cs="Garamond"/>
          <w:sz w:val="24"/>
          <w:szCs w:val="24"/>
        </w:rPr>
        <w:t>protocols</w:t>
      </w:r>
      <w:r>
        <w:rPr>
          <w:rFonts w:ascii="Garamond" w:hAnsi="Garamond" w:cs="Garamond"/>
          <w:spacing w:val="-13"/>
          <w:sz w:val="24"/>
          <w:szCs w:val="24"/>
        </w:rPr>
        <w:t xml:space="preserve"> </w:t>
      </w:r>
      <w:r>
        <w:rPr>
          <w:rFonts w:ascii="Garamond" w:hAnsi="Garamond" w:cs="Garamond"/>
          <w:sz w:val="24"/>
          <w:szCs w:val="24"/>
        </w:rPr>
        <w:t>that</w:t>
      </w:r>
      <w:r>
        <w:rPr>
          <w:rFonts w:ascii="Garamond" w:hAnsi="Garamond" w:cs="Garamond"/>
          <w:spacing w:val="-13"/>
          <w:sz w:val="24"/>
          <w:szCs w:val="24"/>
        </w:rPr>
        <w:t xml:space="preserve"> </w:t>
      </w:r>
      <w:r>
        <w:rPr>
          <w:rFonts w:ascii="Garamond" w:hAnsi="Garamond" w:cs="Garamond"/>
          <w:sz w:val="24"/>
          <w:szCs w:val="24"/>
        </w:rPr>
        <w:t>are</w:t>
      </w:r>
      <w:r>
        <w:rPr>
          <w:rFonts w:ascii="Garamond" w:hAnsi="Garamond" w:cs="Garamond"/>
          <w:spacing w:val="-11"/>
          <w:sz w:val="24"/>
          <w:szCs w:val="24"/>
        </w:rPr>
        <w:t xml:space="preserve"> </w:t>
      </w:r>
      <w:r>
        <w:rPr>
          <w:rFonts w:ascii="Garamond" w:hAnsi="Garamond" w:cs="Garamond"/>
          <w:sz w:val="24"/>
          <w:szCs w:val="24"/>
        </w:rPr>
        <w:t>based</w:t>
      </w:r>
      <w:r>
        <w:rPr>
          <w:rFonts w:ascii="Garamond" w:hAnsi="Garamond" w:cs="Garamond"/>
          <w:spacing w:val="-14"/>
          <w:sz w:val="24"/>
          <w:szCs w:val="24"/>
        </w:rPr>
        <w:t xml:space="preserve"> </w:t>
      </w:r>
      <w:r>
        <w:rPr>
          <w:rFonts w:ascii="Garamond" w:hAnsi="Garamond" w:cs="Garamond"/>
          <w:sz w:val="24"/>
          <w:szCs w:val="24"/>
        </w:rPr>
        <w:t>on</w:t>
      </w:r>
      <w:r>
        <w:rPr>
          <w:rFonts w:ascii="Garamond" w:hAnsi="Garamond" w:cs="Garamond"/>
          <w:spacing w:val="-12"/>
          <w:sz w:val="24"/>
          <w:szCs w:val="24"/>
        </w:rPr>
        <w:t xml:space="preserve"> </w:t>
      </w:r>
      <w:r>
        <w:rPr>
          <w:rFonts w:ascii="Garamond" w:hAnsi="Garamond" w:cs="Garamond"/>
          <w:sz w:val="24"/>
          <w:szCs w:val="24"/>
        </w:rPr>
        <w:t>an</w:t>
      </w:r>
      <w:r>
        <w:rPr>
          <w:rFonts w:ascii="Garamond" w:hAnsi="Garamond" w:cs="Garamond"/>
          <w:spacing w:val="-12"/>
          <w:sz w:val="24"/>
          <w:szCs w:val="24"/>
        </w:rPr>
        <w:t xml:space="preserve"> </w:t>
      </w:r>
      <w:r>
        <w:rPr>
          <w:rFonts w:ascii="Garamond" w:hAnsi="Garamond" w:cs="Garamond"/>
          <w:sz w:val="24"/>
          <w:szCs w:val="24"/>
        </w:rPr>
        <w:t>individual patient’s</w:t>
      </w:r>
      <w:r>
        <w:rPr>
          <w:rFonts w:ascii="Garamond" w:hAnsi="Garamond" w:cs="Garamond"/>
          <w:spacing w:val="-11"/>
          <w:sz w:val="24"/>
          <w:szCs w:val="24"/>
        </w:rPr>
        <w:t xml:space="preserve"> </w:t>
      </w:r>
      <w:r>
        <w:rPr>
          <w:rFonts w:ascii="Garamond" w:hAnsi="Garamond" w:cs="Garamond"/>
          <w:sz w:val="24"/>
          <w:szCs w:val="24"/>
        </w:rPr>
        <w:t>risk</w:t>
      </w:r>
      <w:r>
        <w:rPr>
          <w:rFonts w:ascii="Garamond" w:hAnsi="Garamond" w:cs="Garamond"/>
          <w:spacing w:val="-10"/>
          <w:sz w:val="24"/>
          <w:szCs w:val="24"/>
        </w:rPr>
        <w:t xml:space="preserve"> </w:t>
      </w:r>
      <w:r>
        <w:rPr>
          <w:rFonts w:ascii="Garamond" w:hAnsi="Garamond" w:cs="Garamond"/>
          <w:sz w:val="24"/>
          <w:szCs w:val="24"/>
        </w:rPr>
        <w:t>for</w:t>
      </w:r>
      <w:r>
        <w:rPr>
          <w:rFonts w:ascii="Garamond" w:hAnsi="Garamond" w:cs="Garamond"/>
          <w:spacing w:val="-11"/>
          <w:sz w:val="24"/>
          <w:szCs w:val="24"/>
        </w:rPr>
        <w:t xml:space="preserve"> </w:t>
      </w:r>
      <w:r>
        <w:rPr>
          <w:rFonts w:ascii="Garamond" w:hAnsi="Garamond" w:cs="Garamond"/>
          <w:sz w:val="24"/>
          <w:szCs w:val="24"/>
        </w:rPr>
        <w:t>oral</w:t>
      </w:r>
      <w:r>
        <w:rPr>
          <w:rFonts w:ascii="Garamond" w:hAnsi="Garamond" w:cs="Garamond"/>
          <w:spacing w:val="-10"/>
          <w:sz w:val="24"/>
          <w:szCs w:val="24"/>
        </w:rPr>
        <w:t xml:space="preserve"> </w:t>
      </w:r>
      <w:r>
        <w:rPr>
          <w:rFonts w:ascii="Garamond" w:hAnsi="Garamond" w:cs="Garamond"/>
          <w:sz w:val="24"/>
          <w:szCs w:val="24"/>
        </w:rPr>
        <w:t>disease</w:t>
      </w:r>
      <w:r>
        <w:rPr>
          <w:rFonts w:ascii="Garamond" w:hAnsi="Garamond" w:cs="Garamond"/>
          <w:spacing w:val="-8"/>
          <w:sz w:val="24"/>
          <w:szCs w:val="24"/>
        </w:rPr>
        <w:t xml:space="preserve"> </w:t>
      </w:r>
      <w:r>
        <w:rPr>
          <w:rFonts w:ascii="Garamond" w:hAnsi="Garamond" w:cs="Garamond"/>
          <w:sz w:val="24"/>
          <w:szCs w:val="24"/>
        </w:rPr>
        <w:t>rather</w:t>
      </w:r>
      <w:r>
        <w:rPr>
          <w:rFonts w:ascii="Garamond" w:hAnsi="Garamond" w:cs="Garamond"/>
          <w:spacing w:val="-11"/>
          <w:sz w:val="24"/>
          <w:szCs w:val="24"/>
        </w:rPr>
        <w:t xml:space="preserve"> </w:t>
      </w:r>
      <w:r>
        <w:rPr>
          <w:rFonts w:ascii="Garamond" w:hAnsi="Garamond" w:cs="Garamond"/>
          <w:sz w:val="24"/>
          <w:szCs w:val="24"/>
        </w:rPr>
        <w:t>than</w:t>
      </w:r>
      <w:r>
        <w:rPr>
          <w:rFonts w:ascii="Garamond" w:hAnsi="Garamond" w:cs="Garamond"/>
          <w:spacing w:val="-10"/>
          <w:sz w:val="24"/>
          <w:szCs w:val="24"/>
        </w:rPr>
        <w:t xml:space="preserve"> </w:t>
      </w:r>
      <w:r>
        <w:rPr>
          <w:rFonts w:ascii="Garamond" w:hAnsi="Garamond" w:cs="Garamond"/>
          <w:sz w:val="24"/>
          <w:szCs w:val="24"/>
        </w:rPr>
        <w:t>third</w:t>
      </w:r>
      <w:r>
        <w:rPr>
          <w:rFonts w:ascii="Garamond" w:hAnsi="Garamond" w:cs="Garamond"/>
          <w:spacing w:val="-10"/>
          <w:sz w:val="24"/>
          <w:szCs w:val="24"/>
        </w:rPr>
        <w:t xml:space="preserve"> </w:t>
      </w:r>
      <w:r>
        <w:rPr>
          <w:rFonts w:ascii="Garamond" w:hAnsi="Garamond" w:cs="Garamond"/>
          <w:sz w:val="24"/>
          <w:szCs w:val="24"/>
        </w:rPr>
        <w:t>party</w:t>
      </w:r>
      <w:r>
        <w:rPr>
          <w:rFonts w:ascii="Garamond" w:hAnsi="Garamond" w:cs="Garamond"/>
          <w:spacing w:val="-11"/>
          <w:sz w:val="24"/>
          <w:szCs w:val="24"/>
        </w:rPr>
        <w:t xml:space="preserve"> </w:t>
      </w:r>
      <w:r>
        <w:rPr>
          <w:rFonts w:ascii="Garamond" w:hAnsi="Garamond" w:cs="Garamond"/>
          <w:sz w:val="24"/>
          <w:szCs w:val="24"/>
        </w:rPr>
        <w:t>payer</w:t>
      </w:r>
      <w:r>
        <w:rPr>
          <w:rFonts w:ascii="Garamond" w:hAnsi="Garamond" w:cs="Garamond"/>
          <w:spacing w:val="-8"/>
          <w:sz w:val="24"/>
          <w:szCs w:val="24"/>
        </w:rPr>
        <w:t xml:space="preserve"> </w:t>
      </w:r>
      <w:r>
        <w:rPr>
          <w:rFonts w:ascii="Garamond" w:hAnsi="Garamond" w:cs="Garamond"/>
          <w:sz w:val="24"/>
          <w:szCs w:val="24"/>
        </w:rPr>
        <w:t>frequency</w:t>
      </w:r>
      <w:r>
        <w:rPr>
          <w:rFonts w:ascii="Garamond" w:hAnsi="Garamond" w:cs="Garamond"/>
          <w:spacing w:val="-11"/>
          <w:sz w:val="24"/>
          <w:szCs w:val="24"/>
        </w:rPr>
        <w:t xml:space="preserve"> </w:t>
      </w:r>
      <w:r>
        <w:rPr>
          <w:rFonts w:ascii="Garamond" w:hAnsi="Garamond" w:cs="Garamond"/>
          <w:sz w:val="24"/>
          <w:szCs w:val="24"/>
        </w:rPr>
        <w:t>limits.</w:t>
      </w:r>
    </w:p>
    <w:p w:rsidR="002C5025" w:rsidRDefault="00FB027C">
      <w:pPr>
        <w:pStyle w:val="BodyText"/>
        <w:kinsoku w:val="0"/>
        <w:overflowPunct w:val="0"/>
        <w:spacing w:before="8"/>
        <w:rPr>
          <w:rFonts w:ascii="Garamond" w:hAnsi="Garamond" w:cs="Garamond"/>
          <w:sz w:val="18"/>
          <w:szCs w:val="18"/>
        </w:rPr>
      </w:pPr>
      <w:r>
        <w:rPr>
          <w:noProof/>
        </w:rPr>
        <mc:AlternateContent>
          <mc:Choice Requires="wps">
            <w:drawing>
              <wp:anchor distT="0" distB="0" distL="0" distR="0" simplePos="0" relativeHeight="251794944" behindDoc="0" locked="0" layoutInCell="0" allowOverlap="1">
                <wp:simplePos x="0" y="0"/>
                <wp:positionH relativeFrom="page">
                  <wp:posOffset>923925</wp:posOffset>
                </wp:positionH>
                <wp:positionV relativeFrom="paragraph">
                  <wp:posOffset>163830</wp:posOffset>
                </wp:positionV>
                <wp:extent cx="1829435" cy="12700"/>
                <wp:effectExtent l="0" t="0" r="0" b="0"/>
                <wp:wrapTopAndBottom/>
                <wp:docPr id="93" name="Freeform 7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1 w 2881"/>
                            <a:gd name="T3" fmla="*/ 0 h 20"/>
                          </a:gdLst>
                          <a:ahLst/>
                          <a:cxnLst>
                            <a:cxn ang="0">
                              <a:pos x="T0" y="T1"/>
                            </a:cxn>
                            <a:cxn ang="0">
                              <a:pos x="T2" y="T3"/>
                            </a:cxn>
                          </a:cxnLst>
                          <a:rect l="0" t="0" r="r" b="b"/>
                          <a:pathLst>
                            <a:path w="2881" h="20">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87" o:spid="_x0000_s1026" style="position:absolute;z-index:251794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2.75pt,12.9pt,216.8pt,12.9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" o:allowincell="f" filled="f" strokeweight=".82pt">
                <v:path arrowok="t" o:connecttype="custom" o:connectlocs="0,0;1829435,0" o:connectangles="0,0"/>
                <w10:wrap type="topAndBottom" anchorx="page"/>
              </v:polyline>
            </w:pict>
          </mc:Fallback>
        </mc:AlternateContent>
      </w:r>
    </w:p>
    <w:p w:rsidR="002C5025" w:rsidRDefault="002C5025">
      <w:pPr>
        <w:pStyle w:val="BodyText"/>
        <w:kinsoku w:val="0"/>
        <w:overflowPunct w:val="0"/>
        <w:spacing w:before="71"/>
        <w:ind w:left="120"/>
        <w:rPr>
          <w:rFonts w:ascii="Garamond" w:hAnsi="Garamond" w:cs="Garamond"/>
          <w:sz w:val="20"/>
          <w:szCs w:val="20"/>
        </w:rPr>
      </w:pPr>
      <w:r>
        <w:rPr>
          <w:rFonts w:ascii="Garamond" w:hAnsi="Garamond" w:cs="Garamond"/>
          <w:position w:val="5"/>
          <w:sz w:val="13"/>
          <w:szCs w:val="13"/>
        </w:rPr>
        <w:t>6</w:t>
      </w:r>
      <w:r>
        <w:rPr>
          <w:rFonts w:ascii="Garamond" w:hAnsi="Garamond" w:cs="Garamond"/>
          <w:spacing w:val="5"/>
          <w:position w:val="5"/>
          <w:sz w:val="13"/>
          <w:szCs w:val="13"/>
        </w:rPr>
        <w:t xml:space="preserve"> </w:t>
      </w:r>
      <w:proofErr w:type="spellStart"/>
      <w:r>
        <w:rPr>
          <w:rFonts w:ascii="Garamond" w:hAnsi="Garamond" w:cs="Garamond"/>
          <w:sz w:val="20"/>
          <w:szCs w:val="20"/>
        </w:rPr>
        <w:t>Vujicic</w:t>
      </w:r>
      <w:proofErr w:type="spellEnd"/>
      <w:r>
        <w:rPr>
          <w:rFonts w:ascii="Garamond" w:hAnsi="Garamond" w:cs="Garamond"/>
          <w:sz w:val="20"/>
          <w:szCs w:val="20"/>
        </w:rPr>
        <w:t>,</w:t>
      </w:r>
      <w:r>
        <w:rPr>
          <w:rFonts w:ascii="Garamond" w:hAnsi="Garamond" w:cs="Garamond"/>
          <w:spacing w:val="-15"/>
          <w:sz w:val="20"/>
          <w:szCs w:val="20"/>
        </w:rPr>
        <w:t xml:space="preserve"> </w:t>
      </w:r>
      <w:r>
        <w:rPr>
          <w:rFonts w:ascii="Garamond" w:hAnsi="Garamond" w:cs="Garamond"/>
          <w:sz w:val="20"/>
          <w:szCs w:val="20"/>
        </w:rPr>
        <w:t>M</w:t>
      </w:r>
      <w:r>
        <w:rPr>
          <w:rFonts w:ascii="Garamond" w:hAnsi="Garamond" w:cs="Garamond"/>
          <w:spacing w:val="-15"/>
          <w:sz w:val="20"/>
          <w:szCs w:val="20"/>
        </w:rPr>
        <w:t xml:space="preserve"> </w:t>
      </w:r>
      <w:r>
        <w:rPr>
          <w:rFonts w:ascii="Garamond" w:hAnsi="Garamond" w:cs="Garamond"/>
          <w:sz w:val="20"/>
          <w:szCs w:val="20"/>
        </w:rPr>
        <w:t>and</w:t>
      </w:r>
      <w:r>
        <w:rPr>
          <w:rFonts w:ascii="Garamond" w:hAnsi="Garamond" w:cs="Garamond"/>
          <w:spacing w:val="-11"/>
          <w:sz w:val="20"/>
          <w:szCs w:val="20"/>
        </w:rPr>
        <w:t xml:space="preserve"> </w:t>
      </w:r>
      <w:proofErr w:type="spellStart"/>
      <w:r>
        <w:rPr>
          <w:rFonts w:ascii="Garamond" w:hAnsi="Garamond" w:cs="Garamond"/>
          <w:sz w:val="20"/>
          <w:szCs w:val="20"/>
        </w:rPr>
        <w:t>Nasseh</w:t>
      </w:r>
      <w:proofErr w:type="spellEnd"/>
      <w:r>
        <w:rPr>
          <w:rFonts w:ascii="Garamond" w:hAnsi="Garamond" w:cs="Garamond"/>
          <w:sz w:val="20"/>
          <w:szCs w:val="20"/>
        </w:rPr>
        <w:t>,</w:t>
      </w:r>
      <w:r>
        <w:rPr>
          <w:rFonts w:ascii="Garamond" w:hAnsi="Garamond" w:cs="Garamond"/>
          <w:spacing w:val="-12"/>
          <w:sz w:val="20"/>
          <w:szCs w:val="20"/>
        </w:rPr>
        <w:t xml:space="preserve"> </w:t>
      </w:r>
      <w:r>
        <w:rPr>
          <w:rFonts w:ascii="Garamond" w:hAnsi="Garamond" w:cs="Garamond"/>
          <w:sz w:val="20"/>
          <w:szCs w:val="20"/>
        </w:rPr>
        <w:t>K.</w:t>
      </w:r>
      <w:r>
        <w:rPr>
          <w:rFonts w:ascii="Garamond" w:hAnsi="Garamond" w:cs="Garamond"/>
          <w:spacing w:val="-15"/>
          <w:sz w:val="20"/>
          <w:szCs w:val="20"/>
        </w:rPr>
        <w:t xml:space="preserve"> </w:t>
      </w:r>
      <w:r>
        <w:rPr>
          <w:rFonts w:ascii="Garamond" w:hAnsi="Garamond" w:cs="Garamond"/>
          <w:sz w:val="20"/>
          <w:szCs w:val="20"/>
        </w:rPr>
        <w:t>(2013).</w:t>
      </w:r>
      <w:r>
        <w:rPr>
          <w:rFonts w:ascii="Garamond" w:hAnsi="Garamond" w:cs="Garamond"/>
          <w:spacing w:val="-11"/>
          <w:sz w:val="20"/>
          <w:szCs w:val="20"/>
        </w:rPr>
        <w:t xml:space="preserve"> </w:t>
      </w:r>
      <w:r>
        <w:rPr>
          <w:rFonts w:ascii="Garamond" w:hAnsi="Garamond" w:cs="Garamond"/>
          <w:i/>
          <w:iCs/>
          <w:sz w:val="20"/>
          <w:szCs w:val="20"/>
        </w:rPr>
        <w:t>Accountable</w:t>
      </w:r>
      <w:r>
        <w:rPr>
          <w:rFonts w:ascii="Garamond" w:hAnsi="Garamond" w:cs="Garamond"/>
          <w:i/>
          <w:iCs/>
          <w:spacing w:val="-15"/>
          <w:sz w:val="20"/>
          <w:szCs w:val="20"/>
        </w:rPr>
        <w:t xml:space="preserve"> </w:t>
      </w:r>
      <w:r>
        <w:rPr>
          <w:rFonts w:ascii="Garamond" w:hAnsi="Garamond" w:cs="Garamond"/>
          <w:i/>
          <w:iCs/>
          <w:sz w:val="20"/>
          <w:szCs w:val="20"/>
        </w:rPr>
        <w:t>Care</w:t>
      </w:r>
      <w:r>
        <w:rPr>
          <w:rFonts w:ascii="Garamond" w:hAnsi="Garamond" w:cs="Garamond"/>
          <w:i/>
          <w:iCs/>
          <w:spacing w:val="-15"/>
          <w:sz w:val="20"/>
          <w:szCs w:val="20"/>
        </w:rPr>
        <w:t xml:space="preserve"> </w:t>
      </w:r>
      <w:r>
        <w:rPr>
          <w:rFonts w:ascii="Garamond" w:hAnsi="Garamond" w:cs="Garamond"/>
          <w:i/>
          <w:iCs/>
          <w:sz w:val="20"/>
          <w:szCs w:val="20"/>
        </w:rPr>
        <w:t>Organizations</w:t>
      </w:r>
      <w:r>
        <w:rPr>
          <w:rFonts w:ascii="Garamond" w:hAnsi="Garamond" w:cs="Garamond"/>
          <w:i/>
          <w:iCs/>
          <w:spacing w:val="-15"/>
          <w:sz w:val="20"/>
          <w:szCs w:val="20"/>
        </w:rPr>
        <w:t xml:space="preserve"> </w:t>
      </w:r>
      <w:r>
        <w:rPr>
          <w:rFonts w:ascii="Garamond" w:hAnsi="Garamond" w:cs="Garamond"/>
          <w:i/>
          <w:iCs/>
          <w:sz w:val="20"/>
          <w:szCs w:val="20"/>
        </w:rPr>
        <w:t>Present</w:t>
      </w:r>
      <w:r>
        <w:rPr>
          <w:rFonts w:ascii="Garamond" w:hAnsi="Garamond" w:cs="Garamond"/>
          <w:i/>
          <w:iCs/>
          <w:spacing w:val="-11"/>
          <w:sz w:val="20"/>
          <w:szCs w:val="20"/>
        </w:rPr>
        <w:t xml:space="preserve"> </w:t>
      </w:r>
      <w:r>
        <w:rPr>
          <w:rFonts w:ascii="Garamond" w:hAnsi="Garamond" w:cs="Garamond"/>
          <w:i/>
          <w:iCs/>
          <w:sz w:val="20"/>
          <w:szCs w:val="20"/>
        </w:rPr>
        <w:t>Key</w:t>
      </w:r>
      <w:r>
        <w:rPr>
          <w:rFonts w:ascii="Garamond" w:hAnsi="Garamond" w:cs="Garamond"/>
          <w:i/>
          <w:iCs/>
          <w:spacing w:val="-13"/>
          <w:sz w:val="20"/>
          <w:szCs w:val="20"/>
        </w:rPr>
        <w:t xml:space="preserve"> </w:t>
      </w:r>
      <w:r>
        <w:rPr>
          <w:rFonts w:ascii="Garamond" w:hAnsi="Garamond" w:cs="Garamond"/>
          <w:i/>
          <w:iCs/>
          <w:sz w:val="20"/>
          <w:szCs w:val="20"/>
        </w:rPr>
        <w:t>Opportunities</w:t>
      </w:r>
      <w:r>
        <w:rPr>
          <w:rFonts w:ascii="Garamond" w:hAnsi="Garamond" w:cs="Garamond"/>
          <w:i/>
          <w:iCs/>
          <w:spacing w:val="-12"/>
          <w:sz w:val="20"/>
          <w:szCs w:val="20"/>
        </w:rPr>
        <w:t xml:space="preserve"> </w:t>
      </w:r>
      <w:r>
        <w:rPr>
          <w:rFonts w:ascii="Garamond" w:hAnsi="Garamond" w:cs="Garamond"/>
          <w:i/>
          <w:iCs/>
          <w:sz w:val="20"/>
          <w:szCs w:val="20"/>
        </w:rPr>
        <w:t>for</w:t>
      </w:r>
      <w:r>
        <w:rPr>
          <w:rFonts w:ascii="Garamond" w:hAnsi="Garamond" w:cs="Garamond"/>
          <w:i/>
          <w:iCs/>
          <w:spacing w:val="-14"/>
          <w:sz w:val="20"/>
          <w:szCs w:val="20"/>
        </w:rPr>
        <w:t xml:space="preserve"> </w:t>
      </w:r>
      <w:r>
        <w:rPr>
          <w:rFonts w:ascii="Garamond" w:hAnsi="Garamond" w:cs="Garamond"/>
          <w:i/>
          <w:iCs/>
          <w:sz w:val="20"/>
          <w:szCs w:val="20"/>
        </w:rPr>
        <w:t>Dental</w:t>
      </w:r>
      <w:r>
        <w:rPr>
          <w:rFonts w:ascii="Garamond" w:hAnsi="Garamond" w:cs="Garamond"/>
          <w:i/>
          <w:iCs/>
          <w:spacing w:val="-15"/>
          <w:sz w:val="20"/>
          <w:szCs w:val="20"/>
        </w:rPr>
        <w:t xml:space="preserve"> </w:t>
      </w:r>
      <w:r>
        <w:rPr>
          <w:rFonts w:ascii="Garamond" w:hAnsi="Garamond" w:cs="Garamond"/>
          <w:i/>
          <w:iCs/>
          <w:sz w:val="20"/>
          <w:szCs w:val="20"/>
        </w:rPr>
        <w:t>Profession</w:t>
      </w:r>
      <w:r>
        <w:rPr>
          <w:rFonts w:ascii="Garamond" w:hAnsi="Garamond" w:cs="Garamond"/>
          <w:i/>
          <w:iCs/>
          <w:spacing w:val="-15"/>
          <w:sz w:val="20"/>
          <w:szCs w:val="20"/>
        </w:rPr>
        <w:t xml:space="preserve"> </w:t>
      </w:r>
      <w:r>
        <w:rPr>
          <w:rFonts w:ascii="Garamond" w:hAnsi="Garamond" w:cs="Garamond"/>
          <w:i/>
          <w:iCs/>
          <w:sz w:val="20"/>
          <w:szCs w:val="20"/>
        </w:rPr>
        <w:t>[research</w:t>
      </w:r>
      <w:r>
        <w:rPr>
          <w:rFonts w:ascii="Garamond" w:hAnsi="Garamond" w:cs="Garamond"/>
          <w:i/>
          <w:iCs/>
          <w:spacing w:val="-11"/>
          <w:sz w:val="20"/>
          <w:szCs w:val="20"/>
        </w:rPr>
        <w:t xml:space="preserve"> </w:t>
      </w:r>
      <w:r>
        <w:rPr>
          <w:rFonts w:ascii="Garamond" w:hAnsi="Garamond" w:cs="Garamond"/>
          <w:i/>
          <w:iCs/>
          <w:sz w:val="20"/>
          <w:szCs w:val="20"/>
        </w:rPr>
        <w:t>brief]</w:t>
      </w:r>
      <w:r>
        <w:rPr>
          <w:rFonts w:ascii="Garamond" w:hAnsi="Garamond" w:cs="Garamond"/>
          <w:sz w:val="20"/>
          <w:szCs w:val="20"/>
        </w:rPr>
        <w:t xml:space="preserve">. American Dental Association and the Health Policy Resources Center. Retrieved from </w:t>
      </w:r>
      <w:hyperlink r:id="rId542" w:history="1">
        <w:r>
          <w:rPr>
            <w:rFonts w:ascii="Garamond" w:hAnsi="Garamond" w:cs="Garamond"/>
            <w:sz w:val="20"/>
            <w:szCs w:val="20"/>
          </w:rPr>
          <w:t>http://www.ada.org/~/media/ADA/Science%20and%20Research/HPI/Files/HPIBrief_0413_2.ashx</w:t>
        </w:r>
      </w:hyperlink>
    </w:p>
    <w:p w:rsidR="002C5025" w:rsidRDefault="002C5025">
      <w:pPr>
        <w:pStyle w:val="BodyText"/>
        <w:kinsoku w:val="0"/>
        <w:overflowPunct w:val="0"/>
        <w:ind w:left="120" w:right="484"/>
        <w:jc w:val="both"/>
        <w:rPr>
          <w:rFonts w:ascii="Garamond" w:hAnsi="Garamond" w:cs="Garamond"/>
          <w:sz w:val="20"/>
          <w:szCs w:val="20"/>
        </w:rPr>
      </w:pPr>
      <w:r>
        <w:rPr>
          <w:rFonts w:ascii="Garamond" w:hAnsi="Garamond" w:cs="Garamond"/>
          <w:position w:val="5"/>
          <w:sz w:val="13"/>
          <w:szCs w:val="13"/>
        </w:rPr>
        <w:t>7</w:t>
      </w:r>
      <w:r>
        <w:rPr>
          <w:rFonts w:ascii="Garamond" w:hAnsi="Garamond" w:cs="Garamond"/>
          <w:spacing w:val="8"/>
          <w:position w:val="5"/>
          <w:sz w:val="13"/>
          <w:szCs w:val="13"/>
        </w:rPr>
        <w:t xml:space="preserve"> </w:t>
      </w:r>
      <w:proofErr w:type="spellStart"/>
      <w:r>
        <w:rPr>
          <w:rFonts w:ascii="Garamond" w:hAnsi="Garamond" w:cs="Garamond"/>
          <w:sz w:val="20"/>
          <w:szCs w:val="20"/>
        </w:rPr>
        <w:t>Jeffcoat</w:t>
      </w:r>
      <w:proofErr w:type="spellEnd"/>
      <w:r>
        <w:rPr>
          <w:rFonts w:ascii="Garamond" w:hAnsi="Garamond" w:cs="Garamond"/>
          <w:sz w:val="20"/>
          <w:szCs w:val="20"/>
        </w:rPr>
        <w:t>,</w:t>
      </w:r>
      <w:r>
        <w:rPr>
          <w:rFonts w:ascii="Garamond" w:hAnsi="Garamond" w:cs="Garamond"/>
          <w:spacing w:val="-12"/>
          <w:sz w:val="20"/>
          <w:szCs w:val="20"/>
        </w:rPr>
        <w:t xml:space="preserve"> </w:t>
      </w:r>
      <w:r>
        <w:rPr>
          <w:rFonts w:ascii="Garamond" w:hAnsi="Garamond" w:cs="Garamond"/>
          <w:sz w:val="20"/>
          <w:szCs w:val="20"/>
        </w:rPr>
        <w:t>M.K.,</w:t>
      </w:r>
      <w:r>
        <w:rPr>
          <w:rFonts w:ascii="Garamond" w:hAnsi="Garamond" w:cs="Garamond"/>
          <w:spacing w:val="-14"/>
          <w:sz w:val="20"/>
          <w:szCs w:val="20"/>
        </w:rPr>
        <w:t xml:space="preserve"> </w:t>
      </w:r>
      <w:proofErr w:type="spellStart"/>
      <w:r>
        <w:rPr>
          <w:rFonts w:ascii="Garamond" w:hAnsi="Garamond" w:cs="Garamond"/>
          <w:sz w:val="20"/>
          <w:szCs w:val="20"/>
        </w:rPr>
        <w:t>Jeffcoat</w:t>
      </w:r>
      <w:proofErr w:type="spellEnd"/>
      <w:r>
        <w:rPr>
          <w:rFonts w:ascii="Garamond" w:hAnsi="Garamond" w:cs="Garamond"/>
          <w:sz w:val="20"/>
          <w:szCs w:val="20"/>
        </w:rPr>
        <w:t>,</w:t>
      </w:r>
      <w:r>
        <w:rPr>
          <w:rFonts w:ascii="Garamond" w:hAnsi="Garamond" w:cs="Garamond"/>
          <w:spacing w:val="-12"/>
          <w:sz w:val="20"/>
          <w:szCs w:val="20"/>
        </w:rPr>
        <w:t xml:space="preserve"> </w:t>
      </w:r>
      <w:r>
        <w:rPr>
          <w:rFonts w:ascii="Garamond" w:hAnsi="Garamond" w:cs="Garamond"/>
          <w:sz w:val="20"/>
          <w:szCs w:val="20"/>
        </w:rPr>
        <w:t>R.L.,</w:t>
      </w:r>
      <w:r>
        <w:rPr>
          <w:rFonts w:ascii="Garamond" w:hAnsi="Garamond" w:cs="Garamond"/>
          <w:spacing w:val="-9"/>
          <w:sz w:val="20"/>
          <w:szCs w:val="20"/>
        </w:rPr>
        <w:t xml:space="preserve"> </w:t>
      </w:r>
      <w:proofErr w:type="spellStart"/>
      <w:r>
        <w:rPr>
          <w:rFonts w:ascii="Garamond" w:hAnsi="Garamond" w:cs="Garamond"/>
          <w:sz w:val="20"/>
          <w:szCs w:val="20"/>
        </w:rPr>
        <w:t>Gladkowski</w:t>
      </w:r>
      <w:proofErr w:type="spellEnd"/>
      <w:r>
        <w:rPr>
          <w:rFonts w:ascii="Garamond" w:hAnsi="Garamond" w:cs="Garamond"/>
          <w:sz w:val="20"/>
          <w:szCs w:val="20"/>
        </w:rPr>
        <w:t>,</w:t>
      </w:r>
      <w:r>
        <w:rPr>
          <w:rFonts w:ascii="Garamond" w:hAnsi="Garamond" w:cs="Garamond"/>
          <w:spacing w:val="-12"/>
          <w:sz w:val="20"/>
          <w:szCs w:val="20"/>
        </w:rPr>
        <w:t xml:space="preserve"> </w:t>
      </w:r>
      <w:r>
        <w:rPr>
          <w:rFonts w:ascii="Garamond" w:hAnsi="Garamond" w:cs="Garamond"/>
          <w:sz w:val="20"/>
          <w:szCs w:val="20"/>
        </w:rPr>
        <w:t>P.A.,</w:t>
      </w:r>
      <w:r>
        <w:rPr>
          <w:rFonts w:ascii="Garamond" w:hAnsi="Garamond" w:cs="Garamond"/>
          <w:spacing w:val="-12"/>
          <w:sz w:val="20"/>
          <w:szCs w:val="20"/>
        </w:rPr>
        <w:t xml:space="preserve"> </w:t>
      </w:r>
      <w:proofErr w:type="spellStart"/>
      <w:r>
        <w:rPr>
          <w:rFonts w:ascii="Garamond" w:hAnsi="Garamond" w:cs="Garamond"/>
          <w:sz w:val="20"/>
          <w:szCs w:val="20"/>
        </w:rPr>
        <w:t>Bramson</w:t>
      </w:r>
      <w:proofErr w:type="spellEnd"/>
      <w:r>
        <w:rPr>
          <w:rFonts w:ascii="Garamond" w:hAnsi="Garamond" w:cs="Garamond"/>
          <w:sz w:val="20"/>
          <w:szCs w:val="20"/>
        </w:rPr>
        <w:t>,</w:t>
      </w:r>
      <w:r>
        <w:rPr>
          <w:rFonts w:ascii="Garamond" w:hAnsi="Garamond" w:cs="Garamond"/>
          <w:spacing w:val="-12"/>
          <w:sz w:val="20"/>
          <w:szCs w:val="20"/>
        </w:rPr>
        <w:t xml:space="preserve"> </w:t>
      </w:r>
      <w:r>
        <w:rPr>
          <w:rFonts w:ascii="Garamond" w:hAnsi="Garamond" w:cs="Garamond"/>
          <w:sz w:val="20"/>
          <w:szCs w:val="20"/>
        </w:rPr>
        <w:t>J.B.,</w:t>
      </w:r>
      <w:r>
        <w:rPr>
          <w:rFonts w:ascii="Garamond" w:hAnsi="Garamond" w:cs="Garamond"/>
          <w:spacing w:val="-12"/>
          <w:sz w:val="20"/>
          <w:szCs w:val="20"/>
        </w:rPr>
        <w:t xml:space="preserve"> </w:t>
      </w:r>
      <w:r>
        <w:rPr>
          <w:rFonts w:ascii="Garamond" w:hAnsi="Garamond" w:cs="Garamond"/>
          <w:sz w:val="20"/>
          <w:szCs w:val="20"/>
        </w:rPr>
        <w:t>Blum,</w:t>
      </w:r>
      <w:r>
        <w:rPr>
          <w:rFonts w:ascii="Garamond" w:hAnsi="Garamond" w:cs="Garamond"/>
          <w:spacing w:val="-9"/>
          <w:sz w:val="20"/>
          <w:szCs w:val="20"/>
        </w:rPr>
        <w:t xml:space="preserve"> </w:t>
      </w:r>
      <w:r>
        <w:rPr>
          <w:rFonts w:ascii="Garamond" w:hAnsi="Garamond" w:cs="Garamond"/>
          <w:sz w:val="20"/>
          <w:szCs w:val="20"/>
        </w:rPr>
        <w:t>J.J.</w:t>
      </w:r>
      <w:r>
        <w:rPr>
          <w:rFonts w:ascii="Garamond" w:hAnsi="Garamond" w:cs="Garamond"/>
          <w:spacing w:val="-9"/>
          <w:sz w:val="20"/>
          <w:szCs w:val="20"/>
        </w:rPr>
        <w:t xml:space="preserve"> </w:t>
      </w:r>
      <w:r>
        <w:rPr>
          <w:rFonts w:ascii="Garamond" w:hAnsi="Garamond" w:cs="Garamond"/>
          <w:sz w:val="20"/>
          <w:szCs w:val="20"/>
        </w:rPr>
        <w:t>(2014).</w:t>
      </w:r>
      <w:r>
        <w:rPr>
          <w:rFonts w:ascii="Garamond" w:hAnsi="Garamond" w:cs="Garamond"/>
          <w:spacing w:val="-12"/>
          <w:sz w:val="20"/>
          <w:szCs w:val="20"/>
        </w:rPr>
        <w:t xml:space="preserve"> </w:t>
      </w:r>
      <w:r>
        <w:rPr>
          <w:rFonts w:ascii="Garamond" w:hAnsi="Garamond" w:cs="Garamond"/>
          <w:sz w:val="20"/>
          <w:szCs w:val="20"/>
        </w:rPr>
        <w:t>Impact</w:t>
      </w:r>
      <w:r>
        <w:rPr>
          <w:rFonts w:ascii="Garamond" w:hAnsi="Garamond" w:cs="Garamond"/>
          <w:spacing w:val="-12"/>
          <w:sz w:val="20"/>
          <w:szCs w:val="20"/>
        </w:rPr>
        <w:t xml:space="preserve"> </w:t>
      </w:r>
      <w:r>
        <w:rPr>
          <w:rFonts w:ascii="Garamond" w:hAnsi="Garamond" w:cs="Garamond"/>
          <w:sz w:val="20"/>
          <w:szCs w:val="20"/>
        </w:rPr>
        <w:t>of</w:t>
      </w:r>
      <w:r>
        <w:rPr>
          <w:rFonts w:ascii="Garamond" w:hAnsi="Garamond" w:cs="Garamond"/>
          <w:spacing w:val="-7"/>
          <w:sz w:val="20"/>
          <w:szCs w:val="20"/>
        </w:rPr>
        <w:t xml:space="preserve"> </w:t>
      </w:r>
      <w:r>
        <w:rPr>
          <w:rFonts w:ascii="Garamond" w:hAnsi="Garamond" w:cs="Garamond"/>
          <w:sz w:val="20"/>
          <w:szCs w:val="20"/>
        </w:rPr>
        <w:t>Periodontal</w:t>
      </w:r>
      <w:r>
        <w:rPr>
          <w:rFonts w:ascii="Garamond" w:hAnsi="Garamond" w:cs="Garamond"/>
          <w:spacing w:val="-9"/>
          <w:sz w:val="20"/>
          <w:szCs w:val="20"/>
        </w:rPr>
        <w:t xml:space="preserve"> </w:t>
      </w:r>
      <w:r>
        <w:rPr>
          <w:rFonts w:ascii="Garamond" w:hAnsi="Garamond" w:cs="Garamond"/>
          <w:sz w:val="20"/>
          <w:szCs w:val="20"/>
        </w:rPr>
        <w:t>Therapy</w:t>
      </w:r>
      <w:r>
        <w:rPr>
          <w:rFonts w:ascii="Garamond" w:hAnsi="Garamond" w:cs="Garamond"/>
          <w:spacing w:val="-8"/>
          <w:sz w:val="20"/>
          <w:szCs w:val="20"/>
        </w:rPr>
        <w:t xml:space="preserve"> </w:t>
      </w:r>
      <w:r>
        <w:rPr>
          <w:rFonts w:ascii="Garamond" w:hAnsi="Garamond" w:cs="Garamond"/>
          <w:sz w:val="20"/>
          <w:szCs w:val="20"/>
        </w:rPr>
        <w:t>on General</w:t>
      </w:r>
      <w:r>
        <w:rPr>
          <w:rFonts w:ascii="Garamond" w:hAnsi="Garamond" w:cs="Garamond"/>
          <w:spacing w:val="-12"/>
          <w:sz w:val="20"/>
          <w:szCs w:val="20"/>
        </w:rPr>
        <w:t xml:space="preserve"> </w:t>
      </w:r>
      <w:r>
        <w:rPr>
          <w:rFonts w:ascii="Garamond" w:hAnsi="Garamond" w:cs="Garamond"/>
          <w:sz w:val="20"/>
          <w:szCs w:val="20"/>
        </w:rPr>
        <w:t>Health:</w:t>
      </w:r>
      <w:r>
        <w:rPr>
          <w:rFonts w:ascii="Garamond" w:hAnsi="Garamond" w:cs="Garamond"/>
          <w:spacing w:val="-13"/>
          <w:sz w:val="20"/>
          <w:szCs w:val="20"/>
        </w:rPr>
        <w:t xml:space="preserve"> </w:t>
      </w:r>
      <w:r>
        <w:rPr>
          <w:rFonts w:ascii="Garamond" w:hAnsi="Garamond" w:cs="Garamond"/>
          <w:sz w:val="20"/>
          <w:szCs w:val="20"/>
        </w:rPr>
        <w:t>Evidence</w:t>
      </w:r>
      <w:r>
        <w:rPr>
          <w:rFonts w:ascii="Garamond" w:hAnsi="Garamond" w:cs="Garamond"/>
          <w:spacing w:val="-10"/>
          <w:sz w:val="20"/>
          <w:szCs w:val="20"/>
        </w:rPr>
        <w:t xml:space="preserve"> </w:t>
      </w:r>
      <w:r>
        <w:rPr>
          <w:rFonts w:ascii="Garamond" w:hAnsi="Garamond" w:cs="Garamond"/>
          <w:sz w:val="20"/>
          <w:szCs w:val="20"/>
        </w:rPr>
        <w:t>from</w:t>
      </w:r>
      <w:r>
        <w:rPr>
          <w:rFonts w:ascii="Garamond" w:hAnsi="Garamond" w:cs="Garamond"/>
          <w:spacing w:val="-12"/>
          <w:sz w:val="20"/>
          <w:szCs w:val="20"/>
        </w:rPr>
        <w:t xml:space="preserve"> </w:t>
      </w:r>
      <w:r>
        <w:rPr>
          <w:rFonts w:ascii="Garamond" w:hAnsi="Garamond" w:cs="Garamond"/>
          <w:sz w:val="20"/>
          <w:szCs w:val="20"/>
        </w:rPr>
        <w:t>Insurance</w:t>
      </w:r>
      <w:r>
        <w:rPr>
          <w:rFonts w:ascii="Garamond" w:hAnsi="Garamond" w:cs="Garamond"/>
          <w:spacing w:val="-10"/>
          <w:sz w:val="20"/>
          <w:szCs w:val="20"/>
        </w:rPr>
        <w:t xml:space="preserve"> </w:t>
      </w:r>
      <w:r>
        <w:rPr>
          <w:rFonts w:ascii="Garamond" w:hAnsi="Garamond" w:cs="Garamond"/>
          <w:sz w:val="20"/>
          <w:szCs w:val="20"/>
        </w:rPr>
        <w:t>Data</w:t>
      </w:r>
      <w:r>
        <w:rPr>
          <w:rFonts w:ascii="Garamond" w:hAnsi="Garamond" w:cs="Garamond"/>
          <w:spacing w:val="-10"/>
          <w:sz w:val="20"/>
          <w:szCs w:val="20"/>
        </w:rPr>
        <w:t xml:space="preserve"> </w:t>
      </w:r>
      <w:r>
        <w:rPr>
          <w:rFonts w:ascii="Garamond" w:hAnsi="Garamond" w:cs="Garamond"/>
          <w:sz w:val="20"/>
          <w:szCs w:val="20"/>
        </w:rPr>
        <w:t>for</w:t>
      </w:r>
      <w:r>
        <w:rPr>
          <w:rFonts w:ascii="Garamond" w:hAnsi="Garamond" w:cs="Garamond"/>
          <w:spacing w:val="-12"/>
          <w:sz w:val="20"/>
          <w:szCs w:val="20"/>
        </w:rPr>
        <w:t xml:space="preserve"> </w:t>
      </w:r>
      <w:r>
        <w:rPr>
          <w:rFonts w:ascii="Garamond" w:hAnsi="Garamond" w:cs="Garamond"/>
          <w:sz w:val="20"/>
          <w:szCs w:val="20"/>
        </w:rPr>
        <w:t>Five</w:t>
      </w:r>
      <w:r>
        <w:rPr>
          <w:rFonts w:ascii="Garamond" w:hAnsi="Garamond" w:cs="Garamond"/>
          <w:spacing w:val="-10"/>
          <w:sz w:val="20"/>
          <w:szCs w:val="20"/>
        </w:rPr>
        <w:t xml:space="preserve"> </w:t>
      </w:r>
      <w:r>
        <w:rPr>
          <w:rFonts w:ascii="Garamond" w:hAnsi="Garamond" w:cs="Garamond"/>
          <w:sz w:val="20"/>
          <w:szCs w:val="20"/>
        </w:rPr>
        <w:t>Systemic</w:t>
      </w:r>
      <w:r>
        <w:rPr>
          <w:rFonts w:ascii="Garamond" w:hAnsi="Garamond" w:cs="Garamond"/>
          <w:spacing w:val="-10"/>
          <w:sz w:val="20"/>
          <w:szCs w:val="20"/>
        </w:rPr>
        <w:t xml:space="preserve"> </w:t>
      </w:r>
      <w:r>
        <w:rPr>
          <w:rFonts w:ascii="Garamond" w:hAnsi="Garamond" w:cs="Garamond"/>
          <w:sz w:val="20"/>
          <w:szCs w:val="20"/>
        </w:rPr>
        <w:t>Conditions.</w:t>
      </w:r>
      <w:r>
        <w:rPr>
          <w:rFonts w:ascii="Garamond" w:hAnsi="Garamond" w:cs="Garamond"/>
          <w:spacing w:val="-11"/>
          <w:sz w:val="20"/>
          <w:szCs w:val="20"/>
        </w:rPr>
        <w:t xml:space="preserve"> </w:t>
      </w:r>
      <w:r>
        <w:rPr>
          <w:rFonts w:ascii="Garamond" w:hAnsi="Garamond" w:cs="Garamond"/>
          <w:i/>
          <w:iCs/>
          <w:sz w:val="20"/>
          <w:szCs w:val="20"/>
        </w:rPr>
        <w:t>American</w:t>
      </w:r>
      <w:r>
        <w:rPr>
          <w:rFonts w:ascii="Garamond" w:hAnsi="Garamond" w:cs="Garamond"/>
          <w:i/>
          <w:iCs/>
          <w:spacing w:val="-13"/>
          <w:sz w:val="20"/>
          <w:szCs w:val="20"/>
        </w:rPr>
        <w:t xml:space="preserve"> </w:t>
      </w:r>
      <w:r>
        <w:rPr>
          <w:rFonts w:ascii="Garamond" w:hAnsi="Garamond" w:cs="Garamond"/>
          <w:i/>
          <w:iCs/>
          <w:sz w:val="20"/>
          <w:szCs w:val="20"/>
        </w:rPr>
        <w:t>Journal</w:t>
      </w:r>
      <w:r>
        <w:rPr>
          <w:rFonts w:ascii="Garamond" w:hAnsi="Garamond" w:cs="Garamond"/>
          <w:i/>
          <w:iCs/>
          <w:spacing w:val="-13"/>
          <w:sz w:val="20"/>
          <w:szCs w:val="20"/>
        </w:rPr>
        <w:t xml:space="preserve"> </w:t>
      </w:r>
      <w:r>
        <w:rPr>
          <w:rFonts w:ascii="Garamond" w:hAnsi="Garamond" w:cs="Garamond"/>
          <w:i/>
          <w:iCs/>
          <w:sz w:val="20"/>
          <w:szCs w:val="20"/>
        </w:rPr>
        <w:t>of</w:t>
      </w:r>
      <w:r>
        <w:rPr>
          <w:rFonts w:ascii="Garamond" w:hAnsi="Garamond" w:cs="Garamond"/>
          <w:i/>
          <w:iCs/>
          <w:spacing w:val="-13"/>
          <w:sz w:val="20"/>
          <w:szCs w:val="20"/>
        </w:rPr>
        <w:t xml:space="preserve"> </w:t>
      </w:r>
      <w:r>
        <w:rPr>
          <w:rFonts w:ascii="Garamond" w:hAnsi="Garamond" w:cs="Garamond"/>
          <w:i/>
          <w:iCs/>
          <w:sz w:val="20"/>
          <w:szCs w:val="20"/>
        </w:rPr>
        <w:t>Preventive</w:t>
      </w:r>
      <w:r>
        <w:rPr>
          <w:rFonts w:ascii="Garamond" w:hAnsi="Garamond" w:cs="Garamond"/>
          <w:i/>
          <w:iCs/>
          <w:spacing w:val="-13"/>
          <w:sz w:val="20"/>
          <w:szCs w:val="20"/>
        </w:rPr>
        <w:t xml:space="preserve"> </w:t>
      </w:r>
      <w:r>
        <w:rPr>
          <w:rFonts w:ascii="Garamond" w:hAnsi="Garamond" w:cs="Garamond"/>
          <w:i/>
          <w:iCs/>
          <w:sz w:val="20"/>
          <w:szCs w:val="20"/>
        </w:rPr>
        <w:t>Medicine</w:t>
      </w:r>
      <w:r>
        <w:rPr>
          <w:rFonts w:ascii="Garamond" w:hAnsi="Garamond" w:cs="Garamond"/>
          <w:sz w:val="20"/>
          <w:szCs w:val="20"/>
        </w:rPr>
        <w:t>,</w:t>
      </w:r>
      <w:r>
        <w:rPr>
          <w:rFonts w:ascii="Garamond" w:hAnsi="Garamond" w:cs="Garamond"/>
          <w:spacing w:val="-13"/>
          <w:sz w:val="20"/>
          <w:szCs w:val="20"/>
        </w:rPr>
        <w:t xml:space="preserve"> </w:t>
      </w:r>
      <w:r>
        <w:rPr>
          <w:rFonts w:ascii="Garamond" w:hAnsi="Garamond" w:cs="Garamond"/>
          <w:sz w:val="20"/>
          <w:szCs w:val="20"/>
        </w:rPr>
        <w:t>47: 174-182.</w:t>
      </w:r>
    </w:p>
    <w:p w:rsidR="002C5025" w:rsidRDefault="002C5025">
      <w:pPr>
        <w:pStyle w:val="BodyText"/>
        <w:kinsoku w:val="0"/>
        <w:overflowPunct w:val="0"/>
        <w:ind w:left="120" w:right="187"/>
        <w:jc w:val="both"/>
        <w:rPr>
          <w:rFonts w:ascii="Garamond" w:hAnsi="Garamond" w:cs="Garamond"/>
          <w:sz w:val="20"/>
          <w:szCs w:val="20"/>
        </w:rPr>
      </w:pPr>
      <w:r>
        <w:rPr>
          <w:rFonts w:ascii="Garamond" w:hAnsi="Garamond" w:cs="Garamond"/>
          <w:position w:val="5"/>
          <w:sz w:val="13"/>
          <w:szCs w:val="13"/>
        </w:rPr>
        <w:t xml:space="preserve">8 </w:t>
      </w:r>
      <w:r>
        <w:rPr>
          <w:rFonts w:ascii="Garamond" w:hAnsi="Garamond" w:cs="Garamond"/>
          <w:sz w:val="20"/>
          <w:szCs w:val="20"/>
        </w:rPr>
        <w:t xml:space="preserve">Henry, A., Fishman, J., </w:t>
      </w:r>
      <w:proofErr w:type="spellStart"/>
      <w:r>
        <w:rPr>
          <w:rFonts w:ascii="Garamond" w:hAnsi="Garamond" w:cs="Garamond"/>
          <w:sz w:val="20"/>
          <w:szCs w:val="20"/>
        </w:rPr>
        <w:t>Gettens</w:t>
      </w:r>
      <w:proofErr w:type="spellEnd"/>
      <w:r>
        <w:rPr>
          <w:rFonts w:ascii="Garamond" w:hAnsi="Garamond" w:cs="Garamond"/>
          <w:sz w:val="20"/>
          <w:szCs w:val="20"/>
        </w:rPr>
        <w:t xml:space="preserve">, J., Goody, M. and Alsentzer, D. (2015). </w:t>
      </w:r>
      <w:r>
        <w:rPr>
          <w:rFonts w:ascii="Garamond" w:hAnsi="Garamond" w:cs="Garamond"/>
          <w:i/>
          <w:iCs/>
          <w:sz w:val="20"/>
          <w:szCs w:val="20"/>
        </w:rPr>
        <w:t xml:space="preserve">Findings from One Care Member Experience Survey: The One Care Early Indicators Project. </w:t>
      </w:r>
      <w:r>
        <w:rPr>
          <w:rFonts w:ascii="Garamond" w:hAnsi="Garamond" w:cs="Garamond"/>
          <w:sz w:val="20"/>
          <w:szCs w:val="20"/>
        </w:rPr>
        <w:t xml:space="preserve">Retrieved from </w:t>
      </w:r>
      <w:hyperlink r:id="rId543" w:history="1">
        <w:r>
          <w:rPr>
            <w:rFonts w:ascii="Garamond" w:hAnsi="Garamond" w:cs="Garamond"/>
            <w:sz w:val="20"/>
            <w:szCs w:val="20"/>
          </w:rPr>
          <w:t>http://www.mass.gov/eohhs/docs/masshealth/onecare/eip-survey-</w:t>
        </w:r>
      </w:hyperlink>
      <w:r>
        <w:rPr>
          <w:rFonts w:ascii="Garamond" w:hAnsi="Garamond" w:cs="Garamond"/>
          <w:sz w:val="20"/>
          <w:szCs w:val="20"/>
        </w:rPr>
        <w:t xml:space="preserve"> 2-report.pdf</w:t>
      </w:r>
    </w:p>
    <w:p w:rsidR="002C5025" w:rsidRDefault="002C5025">
      <w:pPr>
        <w:pStyle w:val="BodyText"/>
        <w:kinsoku w:val="0"/>
        <w:overflowPunct w:val="0"/>
        <w:spacing w:before="4"/>
        <w:rPr>
          <w:rFonts w:ascii="Garamond" w:hAnsi="Garamond" w:cs="Garamond"/>
          <w:sz w:val="12"/>
          <w:szCs w:val="12"/>
        </w:rPr>
      </w:pPr>
    </w:p>
    <w:p w:rsidR="002C5025" w:rsidRDefault="002C5025">
      <w:pPr>
        <w:pStyle w:val="BodyText"/>
        <w:kinsoku w:val="0"/>
        <w:overflowPunct w:val="0"/>
        <w:spacing w:before="79"/>
        <w:ind w:right="96"/>
        <w:jc w:val="center"/>
        <w:rPr>
          <w:rFonts w:ascii="Garamond" w:hAnsi="Garamond" w:cs="Garamond"/>
        </w:rPr>
      </w:pPr>
      <w:r>
        <w:rPr>
          <w:rFonts w:ascii="Garamond" w:hAnsi="Garamond" w:cs="Garamond"/>
        </w:rPr>
        <w:t>3</w:t>
      </w:r>
    </w:p>
    <w:p w:rsidR="002C5025" w:rsidRDefault="002C5025">
      <w:pPr>
        <w:pStyle w:val="BodyText"/>
        <w:kinsoku w:val="0"/>
        <w:overflowPunct w:val="0"/>
        <w:spacing w:before="79"/>
        <w:ind w:right="96"/>
        <w:jc w:val="center"/>
        <w:rPr>
          <w:rFonts w:ascii="Garamond" w:hAnsi="Garamond" w:cs="Garamond"/>
        </w:rPr>
        <w:sectPr w:rsidR="002C5025">
          <w:pgSz w:w="12240" w:h="15840"/>
          <w:pgMar w:top="1380" w:right="1320" w:bottom="280" w:left="1320" w:header="720" w:footer="720" w:gutter="0"/>
          <w:cols w:space="720" w:equalWidth="0">
            <w:col w:w="9600"/>
          </w:cols>
          <w:noEndnote/>
        </w:sectPr>
      </w:pPr>
    </w:p>
    <w:p w:rsidR="002C5025" w:rsidRDefault="002C5025">
      <w:pPr>
        <w:pStyle w:val="BodyText"/>
        <w:kinsoku w:val="0"/>
        <w:overflowPunct w:val="0"/>
        <w:spacing w:before="3"/>
        <w:rPr>
          <w:rFonts w:ascii="Garamond" w:hAnsi="Garamond" w:cs="Garamond"/>
          <w:sz w:val="15"/>
          <w:szCs w:val="15"/>
        </w:rPr>
      </w:pPr>
    </w:p>
    <w:p w:rsidR="002C5025" w:rsidRDefault="002C5025">
      <w:pPr>
        <w:pStyle w:val="BodyText"/>
        <w:kinsoku w:val="0"/>
        <w:overflowPunct w:val="0"/>
        <w:spacing w:before="77" w:line="276" w:lineRule="auto"/>
        <w:ind w:left="119" w:right="225"/>
        <w:rPr>
          <w:rFonts w:ascii="Garamond" w:hAnsi="Garamond" w:cs="Garamond"/>
          <w:sz w:val="24"/>
          <w:szCs w:val="24"/>
        </w:rPr>
      </w:pPr>
      <w:r>
        <w:rPr>
          <w:rFonts w:ascii="Garamond" w:hAnsi="Garamond" w:cs="Garamond"/>
          <w:sz w:val="24"/>
          <w:szCs w:val="24"/>
        </w:rPr>
        <w:t>Additionally, there is an important opportunity to help push dentistry toward using diagnostic coding, which creates greater accountability in treatment by establishing medical necessity for procedures billed. Not only would this more closely align dental services delivery with the rest of health care, but it would also enable better tracking of care quality and patient health outcomes.</w:t>
      </w:r>
    </w:p>
    <w:p w:rsidR="002C5025" w:rsidRDefault="002C5025">
      <w:pPr>
        <w:pStyle w:val="BodyText"/>
        <w:kinsoku w:val="0"/>
        <w:overflowPunct w:val="0"/>
        <w:spacing w:before="7"/>
        <w:rPr>
          <w:rFonts w:ascii="Garamond" w:hAnsi="Garamond" w:cs="Garamond"/>
          <w:sz w:val="27"/>
          <w:szCs w:val="27"/>
        </w:rPr>
      </w:pPr>
    </w:p>
    <w:p w:rsidR="002C5025" w:rsidRDefault="002C5025">
      <w:pPr>
        <w:pStyle w:val="BodyText"/>
        <w:kinsoku w:val="0"/>
        <w:overflowPunct w:val="0"/>
        <w:spacing w:line="276" w:lineRule="auto"/>
        <w:ind w:left="119" w:right="175"/>
        <w:rPr>
          <w:rFonts w:ascii="Garamond" w:hAnsi="Garamond" w:cs="Garamond"/>
          <w:sz w:val="24"/>
          <w:szCs w:val="24"/>
        </w:rPr>
      </w:pPr>
      <w:r>
        <w:rPr>
          <w:rFonts w:ascii="Garamond" w:hAnsi="Garamond" w:cs="Garamond"/>
          <w:sz w:val="24"/>
          <w:szCs w:val="24"/>
        </w:rPr>
        <w:t>Because</w:t>
      </w:r>
      <w:r>
        <w:rPr>
          <w:rFonts w:ascii="Garamond" w:hAnsi="Garamond" w:cs="Garamond"/>
          <w:spacing w:val="-10"/>
          <w:sz w:val="24"/>
          <w:szCs w:val="24"/>
        </w:rPr>
        <w:t xml:space="preserve"> </w:t>
      </w:r>
      <w:r>
        <w:rPr>
          <w:rFonts w:ascii="Garamond" w:hAnsi="Garamond" w:cs="Garamond"/>
          <w:sz w:val="24"/>
          <w:szCs w:val="24"/>
        </w:rPr>
        <w:t>dental</w:t>
      </w:r>
      <w:r>
        <w:rPr>
          <w:rFonts w:ascii="Garamond" w:hAnsi="Garamond" w:cs="Garamond"/>
          <w:spacing w:val="-11"/>
          <w:sz w:val="24"/>
          <w:szCs w:val="24"/>
        </w:rPr>
        <w:t xml:space="preserve"> </w:t>
      </w:r>
      <w:r>
        <w:rPr>
          <w:rFonts w:ascii="Garamond" w:hAnsi="Garamond" w:cs="Garamond"/>
          <w:sz w:val="24"/>
          <w:szCs w:val="24"/>
        </w:rPr>
        <w:t>visits</w:t>
      </w:r>
      <w:r>
        <w:rPr>
          <w:rFonts w:ascii="Garamond" w:hAnsi="Garamond" w:cs="Garamond"/>
          <w:spacing w:val="-15"/>
          <w:sz w:val="24"/>
          <w:szCs w:val="24"/>
        </w:rPr>
        <w:t xml:space="preserve"> </w:t>
      </w:r>
      <w:r>
        <w:rPr>
          <w:rFonts w:ascii="Garamond" w:hAnsi="Garamond" w:cs="Garamond"/>
          <w:sz w:val="24"/>
          <w:szCs w:val="24"/>
        </w:rPr>
        <w:t>are</w:t>
      </w:r>
      <w:r>
        <w:rPr>
          <w:rFonts w:ascii="Garamond" w:hAnsi="Garamond" w:cs="Garamond"/>
          <w:spacing w:val="-10"/>
          <w:sz w:val="24"/>
          <w:szCs w:val="24"/>
        </w:rPr>
        <w:t xml:space="preserve"> </w:t>
      </w:r>
      <w:r>
        <w:rPr>
          <w:rFonts w:ascii="Garamond" w:hAnsi="Garamond" w:cs="Garamond"/>
          <w:sz w:val="24"/>
          <w:szCs w:val="24"/>
        </w:rPr>
        <w:t>typically</w:t>
      </w:r>
      <w:r>
        <w:rPr>
          <w:rFonts w:ascii="Garamond" w:hAnsi="Garamond" w:cs="Garamond"/>
          <w:spacing w:val="-10"/>
          <w:sz w:val="24"/>
          <w:szCs w:val="24"/>
        </w:rPr>
        <w:t xml:space="preserve"> </w:t>
      </w:r>
      <w:r>
        <w:rPr>
          <w:rFonts w:ascii="Garamond" w:hAnsi="Garamond" w:cs="Garamond"/>
          <w:sz w:val="24"/>
          <w:szCs w:val="24"/>
        </w:rPr>
        <w:t>longer</w:t>
      </w:r>
      <w:r>
        <w:rPr>
          <w:rFonts w:ascii="Garamond" w:hAnsi="Garamond" w:cs="Garamond"/>
          <w:spacing w:val="-12"/>
          <w:sz w:val="24"/>
          <w:szCs w:val="24"/>
        </w:rPr>
        <w:t xml:space="preserve"> </w:t>
      </w:r>
      <w:r>
        <w:rPr>
          <w:rFonts w:ascii="Garamond" w:hAnsi="Garamond" w:cs="Garamond"/>
          <w:sz w:val="24"/>
          <w:szCs w:val="24"/>
        </w:rPr>
        <w:t>than</w:t>
      </w:r>
      <w:r>
        <w:rPr>
          <w:rFonts w:ascii="Garamond" w:hAnsi="Garamond" w:cs="Garamond"/>
          <w:spacing w:val="-14"/>
          <w:sz w:val="24"/>
          <w:szCs w:val="24"/>
        </w:rPr>
        <w:t xml:space="preserve"> </w:t>
      </w:r>
      <w:r>
        <w:rPr>
          <w:rFonts w:ascii="Garamond" w:hAnsi="Garamond" w:cs="Garamond"/>
          <w:sz w:val="24"/>
          <w:szCs w:val="24"/>
        </w:rPr>
        <w:t>medical</w:t>
      </w:r>
      <w:r>
        <w:rPr>
          <w:rFonts w:ascii="Garamond" w:hAnsi="Garamond" w:cs="Garamond"/>
          <w:spacing w:val="-13"/>
          <w:sz w:val="24"/>
          <w:szCs w:val="24"/>
        </w:rPr>
        <w:t xml:space="preserve"> </w:t>
      </w:r>
      <w:r>
        <w:rPr>
          <w:rFonts w:ascii="Garamond" w:hAnsi="Garamond" w:cs="Garamond"/>
          <w:sz w:val="24"/>
          <w:szCs w:val="24"/>
        </w:rPr>
        <w:t>visits,</w:t>
      </w:r>
      <w:r>
        <w:rPr>
          <w:rFonts w:ascii="Garamond" w:hAnsi="Garamond" w:cs="Garamond"/>
          <w:spacing w:val="-9"/>
          <w:sz w:val="24"/>
          <w:szCs w:val="24"/>
        </w:rPr>
        <w:t xml:space="preserve"> </w:t>
      </w:r>
      <w:r>
        <w:rPr>
          <w:rFonts w:ascii="Garamond" w:hAnsi="Garamond" w:cs="Garamond"/>
          <w:sz w:val="24"/>
          <w:szCs w:val="24"/>
        </w:rPr>
        <w:t>there</w:t>
      </w:r>
      <w:r>
        <w:rPr>
          <w:rFonts w:ascii="Garamond" w:hAnsi="Garamond" w:cs="Garamond"/>
          <w:spacing w:val="-13"/>
          <w:sz w:val="24"/>
          <w:szCs w:val="24"/>
        </w:rPr>
        <w:t xml:space="preserve"> </w:t>
      </w:r>
      <w:r>
        <w:rPr>
          <w:rFonts w:ascii="Garamond" w:hAnsi="Garamond" w:cs="Garamond"/>
          <w:sz w:val="24"/>
          <w:szCs w:val="24"/>
        </w:rPr>
        <w:t>is</w:t>
      </w:r>
      <w:r>
        <w:rPr>
          <w:rFonts w:ascii="Garamond" w:hAnsi="Garamond" w:cs="Garamond"/>
          <w:spacing w:val="-15"/>
          <w:sz w:val="24"/>
          <w:szCs w:val="24"/>
        </w:rPr>
        <w:t xml:space="preserve"> </w:t>
      </w:r>
      <w:r>
        <w:rPr>
          <w:rFonts w:ascii="Garamond" w:hAnsi="Garamond" w:cs="Garamond"/>
          <w:sz w:val="24"/>
          <w:szCs w:val="24"/>
        </w:rPr>
        <w:t>also</w:t>
      </w:r>
      <w:r>
        <w:rPr>
          <w:rFonts w:ascii="Garamond" w:hAnsi="Garamond" w:cs="Garamond"/>
          <w:spacing w:val="-11"/>
          <w:sz w:val="24"/>
          <w:szCs w:val="24"/>
        </w:rPr>
        <w:t xml:space="preserve"> </w:t>
      </w:r>
      <w:r>
        <w:rPr>
          <w:rFonts w:ascii="Garamond" w:hAnsi="Garamond" w:cs="Garamond"/>
          <w:sz w:val="24"/>
          <w:szCs w:val="24"/>
        </w:rPr>
        <w:t>great</w:t>
      </w:r>
      <w:r>
        <w:rPr>
          <w:rFonts w:ascii="Garamond" w:hAnsi="Garamond" w:cs="Garamond"/>
          <w:spacing w:val="-12"/>
          <w:sz w:val="24"/>
          <w:szCs w:val="24"/>
        </w:rPr>
        <w:t xml:space="preserve"> </w:t>
      </w:r>
      <w:r>
        <w:rPr>
          <w:rFonts w:ascii="Garamond" w:hAnsi="Garamond" w:cs="Garamond"/>
          <w:sz w:val="24"/>
          <w:szCs w:val="24"/>
        </w:rPr>
        <w:t>potential</w:t>
      </w:r>
      <w:r>
        <w:rPr>
          <w:rFonts w:ascii="Garamond" w:hAnsi="Garamond" w:cs="Garamond"/>
          <w:spacing w:val="-9"/>
          <w:sz w:val="24"/>
          <w:szCs w:val="24"/>
        </w:rPr>
        <w:t xml:space="preserve"> </w:t>
      </w:r>
      <w:r>
        <w:rPr>
          <w:rFonts w:ascii="Garamond" w:hAnsi="Garamond" w:cs="Garamond"/>
          <w:sz w:val="24"/>
          <w:szCs w:val="24"/>
        </w:rPr>
        <w:t>in</w:t>
      </w:r>
      <w:r>
        <w:rPr>
          <w:rFonts w:ascii="Garamond" w:hAnsi="Garamond" w:cs="Garamond"/>
          <w:spacing w:val="-14"/>
          <w:sz w:val="24"/>
          <w:szCs w:val="24"/>
        </w:rPr>
        <w:t xml:space="preserve"> </w:t>
      </w:r>
      <w:r>
        <w:rPr>
          <w:rFonts w:ascii="Garamond" w:hAnsi="Garamond" w:cs="Garamond"/>
          <w:sz w:val="24"/>
          <w:szCs w:val="24"/>
        </w:rPr>
        <w:t>dentistry to offer some services and procedures typically done in the primary care setting – for example, certain screenings, vaccinations, and patient education. Adequate risk-sharing in dentistry can support quality care and spur innovations in care delivery. ACOs that incorporate dental services may be better poised to implement such innovative models, provided that appropriate initial investments</w:t>
      </w:r>
      <w:r>
        <w:rPr>
          <w:rFonts w:ascii="Garamond" w:hAnsi="Garamond" w:cs="Garamond"/>
          <w:spacing w:val="-15"/>
          <w:sz w:val="24"/>
          <w:szCs w:val="24"/>
        </w:rPr>
        <w:t xml:space="preserve"> </w:t>
      </w:r>
      <w:r>
        <w:rPr>
          <w:rFonts w:ascii="Garamond" w:hAnsi="Garamond" w:cs="Garamond"/>
          <w:sz w:val="24"/>
          <w:szCs w:val="24"/>
        </w:rPr>
        <w:t>and</w:t>
      </w:r>
      <w:r>
        <w:rPr>
          <w:rFonts w:ascii="Garamond" w:hAnsi="Garamond" w:cs="Garamond"/>
          <w:spacing w:val="-10"/>
          <w:sz w:val="24"/>
          <w:szCs w:val="24"/>
        </w:rPr>
        <w:t xml:space="preserve"> </w:t>
      </w:r>
      <w:r>
        <w:rPr>
          <w:rFonts w:ascii="Garamond" w:hAnsi="Garamond" w:cs="Garamond"/>
          <w:sz w:val="24"/>
          <w:szCs w:val="24"/>
        </w:rPr>
        <w:t>sustaining</w:t>
      </w:r>
      <w:r>
        <w:rPr>
          <w:rFonts w:ascii="Garamond" w:hAnsi="Garamond" w:cs="Garamond"/>
          <w:spacing w:val="-9"/>
          <w:sz w:val="24"/>
          <w:szCs w:val="24"/>
        </w:rPr>
        <w:t xml:space="preserve"> </w:t>
      </w:r>
      <w:r>
        <w:rPr>
          <w:rFonts w:ascii="Garamond" w:hAnsi="Garamond" w:cs="Garamond"/>
          <w:sz w:val="24"/>
          <w:szCs w:val="24"/>
        </w:rPr>
        <w:t>payment</w:t>
      </w:r>
      <w:r>
        <w:rPr>
          <w:rFonts w:ascii="Garamond" w:hAnsi="Garamond" w:cs="Garamond"/>
          <w:spacing w:val="-10"/>
          <w:sz w:val="24"/>
          <w:szCs w:val="24"/>
        </w:rPr>
        <w:t xml:space="preserve"> </w:t>
      </w:r>
      <w:r>
        <w:rPr>
          <w:rFonts w:ascii="Garamond" w:hAnsi="Garamond" w:cs="Garamond"/>
          <w:sz w:val="24"/>
          <w:szCs w:val="24"/>
        </w:rPr>
        <w:t>models</w:t>
      </w:r>
      <w:r>
        <w:rPr>
          <w:rFonts w:ascii="Garamond" w:hAnsi="Garamond" w:cs="Garamond"/>
          <w:spacing w:val="-11"/>
          <w:sz w:val="24"/>
          <w:szCs w:val="24"/>
        </w:rPr>
        <w:t xml:space="preserve"> </w:t>
      </w:r>
      <w:r>
        <w:rPr>
          <w:rFonts w:ascii="Garamond" w:hAnsi="Garamond" w:cs="Garamond"/>
          <w:sz w:val="24"/>
          <w:szCs w:val="24"/>
        </w:rPr>
        <w:t>are</w:t>
      </w:r>
      <w:r>
        <w:rPr>
          <w:rFonts w:ascii="Garamond" w:hAnsi="Garamond" w:cs="Garamond"/>
          <w:spacing w:val="-14"/>
          <w:sz w:val="24"/>
          <w:szCs w:val="24"/>
        </w:rPr>
        <w:t xml:space="preserve"> </w:t>
      </w:r>
      <w:r>
        <w:rPr>
          <w:rFonts w:ascii="Garamond" w:hAnsi="Garamond" w:cs="Garamond"/>
          <w:sz w:val="24"/>
          <w:szCs w:val="24"/>
        </w:rPr>
        <w:t>also</w:t>
      </w:r>
      <w:r>
        <w:rPr>
          <w:rFonts w:ascii="Garamond" w:hAnsi="Garamond" w:cs="Garamond"/>
          <w:spacing w:val="-12"/>
          <w:sz w:val="24"/>
          <w:szCs w:val="24"/>
        </w:rPr>
        <w:t xml:space="preserve"> </w:t>
      </w:r>
      <w:r>
        <w:rPr>
          <w:rFonts w:ascii="Garamond" w:hAnsi="Garamond" w:cs="Garamond"/>
          <w:sz w:val="24"/>
          <w:szCs w:val="24"/>
        </w:rPr>
        <w:t>applied</w:t>
      </w:r>
      <w:r>
        <w:rPr>
          <w:rFonts w:ascii="Garamond" w:hAnsi="Garamond" w:cs="Garamond"/>
          <w:spacing w:val="-10"/>
          <w:sz w:val="24"/>
          <w:szCs w:val="24"/>
        </w:rPr>
        <w:t xml:space="preserve"> </w:t>
      </w:r>
      <w:r>
        <w:rPr>
          <w:rFonts w:ascii="Garamond" w:hAnsi="Garamond" w:cs="Garamond"/>
          <w:sz w:val="24"/>
          <w:szCs w:val="24"/>
        </w:rPr>
        <w:t>in</w:t>
      </w:r>
      <w:r>
        <w:rPr>
          <w:rFonts w:ascii="Garamond" w:hAnsi="Garamond" w:cs="Garamond"/>
          <w:spacing w:val="-12"/>
          <w:sz w:val="24"/>
          <w:szCs w:val="24"/>
        </w:rPr>
        <w:t xml:space="preserve"> </w:t>
      </w:r>
      <w:r>
        <w:rPr>
          <w:rFonts w:ascii="Garamond" w:hAnsi="Garamond" w:cs="Garamond"/>
          <w:sz w:val="24"/>
          <w:szCs w:val="24"/>
        </w:rPr>
        <w:t>areas</w:t>
      </w:r>
      <w:r>
        <w:rPr>
          <w:rFonts w:ascii="Garamond" w:hAnsi="Garamond" w:cs="Garamond"/>
          <w:spacing w:val="-13"/>
          <w:sz w:val="24"/>
          <w:szCs w:val="24"/>
        </w:rPr>
        <w:t xml:space="preserve"> </w:t>
      </w:r>
      <w:r>
        <w:rPr>
          <w:rFonts w:ascii="Garamond" w:hAnsi="Garamond" w:cs="Garamond"/>
          <w:sz w:val="24"/>
          <w:szCs w:val="24"/>
        </w:rPr>
        <w:t>such</w:t>
      </w:r>
      <w:r>
        <w:rPr>
          <w:rFonts w:ascii="Garamond" w:hAnsi="Garamond" w:cs="Garamond"/>
          <w:spacing w:val="-12"/>
          <w:sz w:val="24"/>
          <w:szCs w:val="24"/>
        </w:rPr>
        <w:t xml:space="preserve"> </w:t>
      </w:r>
      <w:r>
        <w:rPr>
          <w:rFonts w:ascii="Garamond" w:hAnsi="Garamond" w:cs="Garamond"/>
          <w:sz w:val="24"/>
          <w:szCs w:val="24"/>
        </w:rPr>
        <w:t>as</w:t>
      </w:r>
      <w:r>
        <w:rPr>
          <w:rFonts w:ascii="Garamond" w:hAnsi="Garamond" w:cs="Garamond"/>
          <w:spacing w:val="-13"/>
          <w:sz w:val="24"/>
          <w:szCs w:val="24"/>
        </w:rPr>
        <w:t xml:space="preserve"> </w:t>
      </w:r>
      <w:r>
        <w:rPr>
          <w:rFonts w:ascii="Garamond" w:hAnsi="Garamond" w:cs="Garamond"/>
          <w:sz w:val="24"/>
          <w:szCs w:val="24"/>
        </w:rPr>
        <w:t>workforce</w:t>
      </w:r>
      <w:r>
        <w:rPr>
          <w:rFonts w:ascii="Garamond" w:hAnsi="Garamond" w:cs="Garamond"/>
          <w:spacing w:val="-9"/>
          <w:sz w:val="24"/>
          <w:szCs w:val="24"/>
        </w:rPr>
        <w:t xml:space="preserve"> </w:t>
      </w:r>
      <w:r>
        <w:rPr>
          <w:rFonts w:ascii="Garamond" w:hAnsi="Garamond" w:cs="Garamond"/>
          <w:sz w:val="24"/>
          <w:szCs w:val="24"/>
        </w:rPr>
        <w:t>training</w:t>
      </w:r>
      <w:r>
        <w:rPr>
          <w:rFonts w:ascii="Garamond" w:hAnsi="Garamond" w:cs="Garamond"/>
          <w:spacing w:val="-12"/>
          <w:sz w:val="24"/>
          <w:szCs w:val="24"/>
        </w:rPr>
        <w:t xml:space="preserve"> </w:t>
      </w:r>
      <w:r>
        <w:rPr>
          <w:rFonts w:ascii="Garamond" w:hAnsi="Garamond" w:cs="Garamond"/>
          <w:sz w:val="24"/>
          <w:szCs w:val="24"/>
        </w:rPr>
        <w:t>and infrastructure</w:t>
      </w:r>
      <w:r>
        <w:rPr>
          <w:rFonts w:ascii="Garamond" w:hAnsi="Garamond" w:cs="Garamond"/>
          <w:spacing w:val="-19"/>
          <w:sz w:val="24"/>
          <w:szCs w:val="24"/>
        </w:rPr>
        <w:t xml:space="preserve"> </w:t>
      </w:r>
      <w:r>
        <w:rPr>
          <w:rFonts w:ascii="Garamond" w:hAnsi="Garamond" w:cs="Garamond"/>
          <w:sz w:val="24"/>
          <w:szCs w:val="24"/>
        </w:rPr>
        <w:t>development,</w:t>
      </w:r>
      <w:r>
        <w:rPr>
          <w:rFonts w:ascii="Garamond" w:hAnsi="Garamond" w:cs="Garamond"/>
          <w:spacing w:val="-17"/>
          <w:sz w:val="24"/>
          <w:szCs w:val="24"/>
        </w:rPr>
        <w:t xml:space="preserve"> </w:t>
      </w:r>
      <w:r>
        <w:rPr>
          <w:rFonts w:ascii="Garamond" w:hAnsi="Garamond" w:cs="Garamond"/>
          <w:sz w:val="24"/>
          <w:szCs w:val="24"/>
        </w:rPr>
        <w:t>including</w:t>
      </w:r>
      <w:r>
        <w:rPr>
          <w:rFonts w:ascii="Garamond" w:hAnsi="Garamond" w:cs="Garamond"/>
          <w:spacing w:val="-17"/>
          <w:sz w:val="24"/>
          <w:szCs w:val="24"/>
        </w:rPr>
        <w:t xml:space="preserve"> </w:t>
      </w:r>
      <w:r>
        <w:rPr>
          <w:rFonts w:ascii="Garamond" w:hAnsi="Garamond" w:cs="Garamond"/>
          <w:sz w:val="24"/>
          <w:szCs w:val="24"/>
        </w:rPr>
        <w:t>in</w:t>
      </w:r>
      <w:r>
        <w:rPr>
          <w:rFonts w:ascii="Garamond" w:hAnsi="Garamond" w:cs="Garamond"/>
          <w:spacing w:val="-20"/>
          <w:sz w:val="24"/>
          <w:szCs w:val="24"/>
        </w:rPr>
        <w:t xml:space="preserve"> </w:t>
      </w:r>
      <w:r>
        <w:rPr>
          <w:rFonts w:ascii="Garamond" w:hAnsi="Garamond" w:cs="Garamond"/>
          <w:sz w:val="24"/>
          <w:szCs w:val="24"/>
        </w:rPr>
        <w:t>health</w:t>
      </w:r>
      <w:r>
        <w:rPr>
          <w:rFonts w:ascii="Garamond" w:hAnsi="Garamond" w:cs="Garamond"/>
          <w:spacing w:val="-17"/>
          <w:sz w:val="24"/>
          <w:szCs w:val="24"/>
        </w:rPr>
        <w:t xml:space="preserve"> </w:t>
      </w:r>
      <w:r>
        <w:rPr>
          <w:rFonts w:ascii="Garamond" w:hAnsi="Garamond" w:cs="Garamond"/>
          <w:sz w:val="24"/>
          <w:szCs w:val="24"/>
        </w:rPr>
        <w:t>information</w:t>
      </w:r>
      <w:r>
        <w:rPr>
          <w:rFonts w:ascii="Garamond" w:hAnsi="Garamond" w:cs="Garamond"/>
          <w:spacing w:val="-20"/>
          <w:sz w:val="24"/>
          <w:szCs w:val="24"/>
        </w:rPr>
        <w:t xml:space="preserve"> </w:t>
      </w:r>
      <w:r>
        <w:rPr>
          <w:rFonts w:ascii="Garamond" w:hAnsi="Garamond" w:cs="Garamond"/>
          <w:sz w:val="24"/>
          <w:szCs w:val="24"/>
        </w:rPr>
        <w:t>technology.</w:t>
      </w:r>
    </w:p>
    <w:p w:rsidR="002C5025" w:rsidRDefault="002C5025">
      <w:pPr>
        <w:pStyle w:val="BodyText"/>
        <w:kinsoku w:val="0"/>
        <w:overflowPunct w:val="0"/>
        <w:spacing w:before="7"/>
        <w:rPr>
          <w:rFonts w:ascii="Garamond" w:hAnsi="Garamond" w:cs="Garamond"/>
          <w:sz w:val="27"/>
          <w:szCs w:val="27"/>
        </w:rPr>
      </w:pPr>
    </w:p>
    <w:p w:rsidR="002C5025" w:rsidRDefault="002C5025">
      <w:pPr>
        <w:pStyle w:val="BodyText"/>
        <w:kinsoku w:val="0"/>
        <w:overflowPunct w:val="0"/>
        <w:spacing w:line="276" w:lineRule="auto"/>
        <w:ind w:left="119" w:right="102"/>
        <w:rPr>
          <w:rFonts w:ascii="Garamond" w:hAnsi="Garamond" w:cs="Garamond"/>
          <w:sz w:val="24"/>
          <w:szCs w:val="24"/>
        </w:rPr>
      </w:pPr>
      <w:r>
        <w:rPr>
          <w:rFonts w:ascii="Garamond" w:hAnsi="Garamond" w:cs="Garamond"/>
          <w:sz w:val="24"/>
          <w:szCs w:val="24"/>
        </w:rPr>
        <w:t>There</w:t>
      </w:r>
      <w:r>
        <w:rPr>
          <w:rFonts w:ascii="Garamond" w:hAnsi="Garamond" w:cs="Garamond"/>
          <w:spacing w:val="-10"/>
          <w:sz w:val="24"/>
          <w:szCs w:val="24"/>
        </w:rPr>
        <w:t xml:space="preserve"> </w:t>
      </w:r>
      <w:r>
        <w:rPr>
          <w:rFonts w:ascii="Garamond" w:hAnsi="Garamond" w:cs="Garamond"/>
          <w:sz w:val="24"/>
          <w:szCs w:val="24"/>
        </w:rPr>
        <w:t>similarly</w:t>
      </w:r>
      <w:r>
        <w:rPr>
          <w:rFonts w:ascii="Garamond" w:hAnsi="Garamond" w:cs="Garamond"/>
          <w:spacing w:val="-10"/>
          <w:sz w:val="24"/>
          <w:szCs w:val="24"/>
        </w:rPr>
        <w:t xml:space="preserve"> </w:t>
      </w:r>
      <w:r>
        <w:rPr>
          <w:rFonts w:ascii="Garamond" w:hAnsi="Garamond" w:cs="Garamond"/>
          <w:sz w:val="24"/>
          <w:szCs w:val="24"/>
        </w:rPr>
        <w:t>should</w:t>
      </w:r>
      <w:r>
        <w:rPr>
          <w:rFonts w:ascii="Garamond" w:hAnsi="Garamond" w:cs="Garamond"/>
          <w:spacing w:val="-11"/>
          <w:sz w:val="24"/>
          <w:szCs w:val="24"/>
        </w:rPr>
        <w:t xml:space="preserve"> </w:t>
      </w:r>
      <w:r>
        <w:rPr>
          <w:rFonts w:ascii="Garamond" w:hAnsi="Garamond" w:cs="Garamond"/>
          <w:sz w:val="24"/>
          <w:szCs w:val="24"/>
        </w:rPr>
        <w:t>be</w:t>
      </w:r>
      <w:r>
        <w:rPr>
          <w:rFonts w:ascii="Garamond" w:hAnsi="Garamond" w:cs="Garamond"/>
          <w:spacing w:val="-10"/>
          <w:sz w:val="24"/>
          <w:szCs w:val="24"/>
        </w:rPr>
        <w:t xml:space="preserve"> </w:t>
      </w:r>
      <w:r>
        <w:rPr>
          <w:rFonts w:ascii="Garamond" w:hAnsi="Garamond" w:cs="Garamond"/>
          <w:sz w:val="24"/>
          <w:szCs w:val="24"/>
        </w:rPr>
        <w:t>sufficient</w:t>
      </w:r>
      <w:r>
        <w:rPr>
          <w:rFonts w:ascii="Garamond" w:hAnsi="Garamond" w:cs="Garamond"/>
          <w:spacing w:val="-12"/>
          <w:sz w:val="24"/>
          <w:szCs w:val="24"/>
        </w:rPr>
        <w:t xml:space="preserve"> </w:t>
      </w:r>
      <w:r>
        <w:rPr>
          <w:rFonts w:ascii="Garamond" w:hAnsi="Garamond" w:cs="Garamond"/>
          <w:sz w:val="24"/>
          <w:szCs w:val="24"/>
        </w:rPr>
        <w:t>investments</w:t>
      </w:r>
      <w:r>
        <w:rPr>
          <w:rFonts w:ascii="Garamond" w:hAnsi="Garamond" w:cs="Garamond"/>
          <w:spacing w:val="-15"/>
          <w:sz w:val="24"/>
          <w:szCs w:val="24"/>
        </w:rPr>
        <w:t xml:space="preserve"> </w:t>
      </w:r>
      <w:r>
        <w:rPr>
          <w:rFonts w:ascii="Garamond" w:hAnsi="Garamond" w:cs="Garamond"/>
          <w:sz w:val="24"/>
          <w:szCs w:val="24"/>
        </w:rPr>
        <w:t>and</w:t>
      </w:r>
      <w:r>
        <w:rPr>
          <w:rFonts w:ascii="Garamond" w:hAnsi="Garamond" w:cs="Garamond"/>
          <w:spacing w:val="-14"/>
          <w:sz w:val="24"/>
          <w:szCs w:val="24"/>
        </w:rPr>
        <w:t xml:space="preserve"> </w:t>
      </w:r>
      <w:r>
        <w:rPr>
          <w:rFonts w:ascii="Garamond" w:hAnsi="Garamond" w:cs="Garamond"/>
          <w:sz w:val="24"/>
          <w:szCs w:val="24"/>
        </w:rPr>
        <w:t>incentives</w:t>
      </w:r>
      <w:r>
        <w:rPr>
          <w:rFonts w:ascii="Garamond" w:hAnsi="Garamond" w:cs="Garamond"/>
          <w:spacing w:val="-12"/>
          <w:sz w:val="24"/>
          <w:szCs w:val="24"/>
        </w:rPr>
        <w:t xml:space="preserve"> </w:t>
      </w:r>
      <w:r>
        <w:rPr>
          <w:rFonts w:ascii="Garamond" w:hAnsi="Garamond" w:cs="Garamond"/>
          <w:sz w:val="24"/>
          <w:szCs w:val="24"/>
        </w:rPr>
        <w:t>for</w:t>
      </w:r>
      <w:r>
        <w:rPr>
          <w:rFonts w:ascii="Garamond" w:hAnsi="Garamond" w:cs="Garamond"/>
          <w:spacing w:val="-12"/>
          <w:sz w:val="24"/>
          <w:szCs w:val="24"/>
        </w:rPr>
        <w:t xml:space="preserve"> </w:t>
      </w:r>
      <w:r>
        <w:rPr>
          <w:rFonts w:ascii="Garamond" w:hAnsi="Garamond" w:cs="Garamond"/>
          <w:sz w:val="24"/>
          <w:szCs w:val="24"/>
        </w:rPr>
        <w:t>oral</w:t>
      </w:r>
      <w:r>
        <w:rPr>
          <w:rFonts w:ascii="Garamond" w:hAnsi="Garamond" w:cs="Garamond"/>
          <w:spacing w:val="-9"/>
          <w:sz w:val="24"/>
          <w:szCs w:val="24"/>
        </w:rPr>
        <w:t xml:space="preserve"> </w:t>
      </w:r>
      <w:r>
        <w:rPr>
          <w:rFonts w:ascii="Garamond" w:hAnsi="Garamond" w:cs="Garamond"/>
          <w:sz w:val="24"/>
          <w:szCs w:val="24"/>
        </w:rPr>
        <w:t>health</w:t>
      </w:r>
      <w:r>
        <w:rPr>
          <w:rFonts w:ascii="Garamond" w:hAnsi="Garamond" w:cs="Garamond"/>
          <w:spacing w:val="-16"/>
          <w:sz w:val="24"/>
          <w:szCs w:val="24"/>
        </w:rPr>
        <w:t xml:space="preserve"> </w:t>
      </w:r>
      <w:r>
        <w:rPr>
          <w:rFonts w:ascii="Garamond" w:hAnsi="Garamond" w:cs="Garamond"/>
          <w:sz w:val="24"/>
          <w:szCs w:val="24"/>
        </w:rPr>
        <w:t>services</w:t>
      </w:r>
      <w:r>
        <w:rPr>
          <w:rFonts w:ascii="Garamond" w:hAnsi="Garamond" w:cs="Garamond"/>
          <w:spacing w:val="-12"/>
          <w:sz w:val="24"/>
          <w:szCs w:val="24"/>
        </w:rPr>
        <w:t xml:space="preserve"> </w:t>
      </w:r>
      <w:r>
        <w:rPr>
          <w:rFonts w:ascii="Garamond" w:hAnsi="Garamond" w:cs="Garamond"/>
          <w:sz w:val="24"/>
          <w:szCs w:val="24"/>
        </w:rPr>
        <w:t>to</w:t>
      </w:r>
      <w:r>
        <w:rPr>
          <w:rFonts w:ascii="Garamond" w:hAnsi="Garamond" w:cs="Garamond"/>
          <w:spacing w:val="-11"/>
          <w:sz w:val="24"/>
          <w:szCs w:val="24"/>
        </w:rPr>
        <w:t xml:space="preserve"> </w:t>
      </w:r>
      <w:r>
        <w:rPr>
          <w:rFonts w:ascii="Garamond" w:hAnsi="Garamond" w:cs="Garamond"/>
          <w:sz w:val="24"/>
          <w:szCs w:val="24"/>
        </w:rPr>
        <w:t>be</w:t>
      </w:r>
      <w:r>
        <w:rPr>
          <w:rFonts w:ascii="Garamond" w:hAnsi="Garamond" w:cs="Garamond"/>
          <w:spacing w:val="-8"/>
          <w:sz w:val="24"/>
          <w:szCs w:val="24"/>
        </w:rPr>
        <w:t xml:space="preserve"> </w:t>
      </w:r>
      <w:r>
        <w:rPr>
          <w:rFonts w:ascii="Garamond" w:hAnsi="Garamond" w:cs="Garamond"/>
          <w:sz w:val="24"/>
          <w:szCs w:val="24"/>
        </w:rPr>
        <w:t>done</w:t>
      </w:r>
      <w:r>
        <w:rPr>
          <w:rFonts w:ascii="Garamond" w:hAnsi="Garamond" w:cs="Garamond"/>
          <w:spacing w:val="-10"/>
          <w:sz w:val="24"/>
          <w:szCs w:val="24"/>
        </w:rPr>
        <w:t xml:space="preserve"> </w:t>
      </w:r>
      <w:r>
        <w:rPr>
          <w:rFonts w:ascii="Garamond" w:hAnsi="Garamond" w:cs="Garamond"/>
          <w:sz w:val="24"/>
          <w:szCs w:val="24"/>
        </w:rPr>
        <w:t>in primary</w:t>
      </w:r>
      <w:r>
        <w:rPr>
          <w:rFonts w:ascii="Garamond" w:hAnsi="Garamond" w:cs="Garamond"/>
          <w:spacing w:val="-13"/>
          <w:sz w:val="24"/>
          <w:szCs w:val="24"/>
        </w:rPr>
        <w:t xml:space="preserve"> </w:t>
      </w:r>
      <w:r>
        <w:rPr>
          <w:rFonts w:ascii="Garamond" w:hAnsi="Garamond" w:cs="Garamond"/>
          <w:sz w:val="24"/>
          <w:szCs w:val="24"/>
        </w:rPr>
        <w:t>care</w:t>
      </w:r>
      <w:r>
        <w:rPr>
          <w:rFonts w:ascii="Garamond" w:hAnsi="Garamond" w:cs="Garamond"/>
          <w:spacing w:val="-13"/>
          <w:sz w:val="24"/>
          <w:szCs w:val="24"/>
        </w:rPr>
        <w:t xml:space="preserve"> </w:t>
      </w:r>
      <w:r>
        <w:rPr>
          <w:rFonts w:ascii="Garamond" w:hAnsi="Garamond" w:cs="Garamond"/>
          <w:sz w:val="24"/>
          <w:szCs w:val="24"/>
        </w:rPr>
        <w:t>settings,</w:t>
      </w:r>
      <w:r>
        <w:rPr>
          <w:rFonts w:ascii="Garamond" w:hAnsi="Garamond" w:cs="Garamond"/>
          <w:spacing w:val="-15"/>
          <w:sz w:val="24"/>
          <w:szCs w:val="24"/>
        </w:rPr>
        <w:t xml:space="preserve"> </w:t>
      </w:r>
      <w:r>
        <w:rPr>
          <w:rFonts w:ascii="Garamond" w:hAnsi="Garamond" w:cs="Garamond"/>
          <w:sz w:val="24"/>
          <w:szCs w:val="24"/>
        </w:rPr>
        <w:t>including</w:t>
      </w:r>
      <w:r>
        <w:rPr>
          <w:rFonts w:ascii="Garamond" w:hAnsi="Garamond" w:cs="Garamond"/>
          <w:spacing w:val="-13"/>
          <w:sz w:val="24"/>
          <w:szCs w:val="24"/>
        </w:rPr>
        <w:t xml:space="preserve"> </w:t>
      </w:r>
      <w:r>
        <w:rPr>
          <w:rFonts w:ascii="Garamond" w:hAnsi="Garamond" w:cs="Garamond"/>
          <w:sz w:val="24"/>
          <w:szCs w:val="24"/>
        </w:rPr>
        <w:t>oral</w:t>
      </w:r>
      <w:r>
        <w:rPr>
          <w:rFonts w:ascii="Garamond" w:hAnsi="Garamond" w:cs="Garamond"/>
          <w:spacing w:val="-13"/>
          <w:sz w:val="24"/>
          <w:szCs w:val="24"/>
        </w:rPr>
        <w:t xml:space="preserve"> </w:t>
      </w:r>
      <w:r>
        <w:rPr>
          <w:rFonts w:ascii="Garamond" w:hAnsi="Garamond" w:cs="Garamond"/>
          <w:sz w:val="24"/>
          <w:szCs w:val="24"/>
        </w:rPr>
        <w:t>health</w:t>
      </w:r>
      <w:r>
        <w:rPr>
          <w:rFonts w:ascii="Garamond" w:hAnsi="Garamond" w:cs="Garamond"/>
          <w:spacing w:val="-12"/>
          <w:sz w:val="24"/>
          <w:szCs w:val="24"/>
        </w:rPr>
        <w:t xml:space="preserve"> </w:t>
      </w:r>
      <w:r>
        <w:rPr>
          <w:rFonts w:ascii="Garamond" w:hAnsi="Garamond" w:cs="Garamond"/>
          <w:sz w:val="24"/>
          <w:szCs w:val="24"/>
        </w:rPr>
        <w:t>risk</w:t>
      </w:r>
      <w:r>
        <w:rPr>
          <w:rFonts w:ascii="Garamond" w:hAnsi="Garamond" w:cs="Garamond"/>
          <w:spacing w:val="-13"/>
          <w:sz w:val="24"/>
          <w:szCs w:val="24"/>
        </w:rPr>
        <w:t xml:space="preserve"> </w:t>
      </w:r>
      <w:r>
        <w:rPr>
          <w:rFonts w:ascii="Garamond" w:hAnsi="Garamond" w:cs="Garamond"/>
          <w:sz w:val="24"/>
          <w:szCs w:val="24"/>
        </w:rPr>
        <w:t>assessments</w:t>
      </w:r>
      <w:r>
        <w:rPr>
          <w:rFonts w:ascii="Garamond" w:hAnsi="Garamond" w:cs="Garamond"/>
          <w:spacing w:val="-17"/>
          <w:sz w:val="24"/>
          <w:szCs w:val="24"/>
        </w:rPr>
        <w:t xml:space="preserve"> </w:t>
      </w:r>
      <w:r>
        <w:rPr>
          <w:rFonts w:ascii="Garamond" w:hAnsi="Garamond" w:cs="Garamond"/>
          <w:sz w:val="24"/>
          <w:szCs w:val="24"/>
        </w:rPr>
        <w:t>and</w:t>
      </w:r>
      <w:r>
        <w:rPr>
          <w:rFonts w:ascii="Garamond" w:hAnsi="Garamond" w:cs="Garamond"/>
          <w:spacing w:val="-12"/>
          <w:sz w:val="24"/>
          <w:szCs w:val="24"/>
        </w:rPr>
        <w:t xml:space="preserve"> </w:t>
      </w:r>
      <w:r>
        <w:rPr>
          <w:rFonts w:ascii="Garamond" w:hAnsi="Garamond" w:cs="Garamond"/>
          <w:sz w:val="24"/>
          <w:szCs w:val="24"/>
        </w:rPr>
        <w:t>screening</w:t>
      </w:r>
      <w:r>
        <w:rPr>
          <w:rFonts w:ascii="Garamond" w:hAnsi="Garamond" w:cs="Garamond"/>
          <w:spacing w:val="-13"/>
          <w:sz w:val="24"/>
          <w:szCs w:val="24"/>
        </w:rPr>
        <w:t xml:space="preserve"> </w:t>
      </w:r>
      <w:r>
        <w:rPr>
          <w:rFonts w:ascii="Garamond" w:hAnsi="Garamond" w:cs="Garamond"/>
          <w:sz w:val="24"/>
          <w:szCs w:val="24"/>
        </w:rPr>
        <w:t>questions,</w:t>
      </w:r>
      <w:r>
        <w:rPr>
          <w:rFonts w:ascii="Garamond" w:hAnsi="Garamond" w:cs="Garamond"/>
          <w:spacing w:val="-12"/>
          <w:sz w:val="24"/>
          <w:szCs w:val="24"/>
        </w:rPr>
        <w:t xml:space="preserve"> </w:t>
      </w:r>
      <w:r>
        <w:rPr>
          <w:rFonts w:ascii="Garamond" w:hAnsi="Garamond" w:cs="Garamond"/>
          <w:sz w:val="24"/>
          <w:szCs w:val="24"/>
        </w:rPr>
        <w:t>fluoride</w:t>
      </w:r>
      <w:r>
        <w:rPr>
          <w:rFonts w:ascii="Garamond" w:hAnsi="Garamond" w:cs="Garamond"/>
          <w:spacing w:val="-13"/>
          <w:sz w:val="24"/>
          <w:szCs w:val="24"/>
        </w:rPr>
        <w:t xml:space="preserve"> </w:t>
      </w:r>
      <w:r>
        <w:rPr>
          <w:rFonts w:ascii="Garamond" w:hAnsi="Garamond" w:cs="Garamond"/>
          <w:spacing w:val="-3"/>
          <w:sz w:val="24"/>
          <w:szCs w:val="24"/>
        </w:rPr>
        <w:t xml:space="preserve">varnish </w:t>
      </w:r>
      <w:r>
        <w:rPr>
          <w:rFonts w:ascii="Garamond" w:hAnsi="Garamond" w:cs="Garamond"/>
          <w:sz w:val="24"/>
          <w:szCs w:val="24"/>
        </w:rPr>
        <w:t xml:space="preserve">application, and oral health patient education. Contemplation of value in oral health and dental </w:t>
      </w:r>
      <w:r>
        <w:rPr>
          <w:rFonts w:ascii="Garamond" w:hAnsi="Garamond" w:cs="Garamond"/>
          <w:spacing w:val="-3"/>
          <w:sz w:val="24"/>
          <w:szCs w:val="24"/>
        </w:rPr>
        <w:t xml:space="preserve">care </w:t>
      </w:r>
      <w:r>
        <w:rPr>
          <w:rFonts w:ascii="Garamond" w:hAnsi="Garamond" w:cs="Garamond"/>
          <w:sz w:val="24"/>
          <w:szCs w:val="24"/>
        </w:rPr>
        <w:t>must also consider incentives for greater coordination of primary medical and dental care, and special attention should be brought to establishing processes and systems for closed-loop, bi- directional</w:t>
      </w:r>
      <w:r>
        <w:rPr>
          <w:rFonts w:ascii="Garamond" w:hAnsi="Garamond" w:cs="Garamond"/>
          <w:spacing w:val="-25"/>
          <w:sz w:val="24"/>
          <w:szCs w:val="24"/>
        </w:rPr>
        <w:t xml:space="preserve"> </w:t>
      </w:r>
      <w:r>
        <w:rPr>
          <w:rFonts w:ascii="Garamond" w:hAnsi="Garamond" w:cs="Garamond"/>
          <w:sz w:val="24"/>
          <w:szCs w:val="24"/>
        </w:rPr>
        <w:t>referrals.</w:t>
      </w:r>
    </w:p>
    <w:p w:rsidR="002C5025" w:rsidRDefault="002C5025">
      <w:pPr>
        <w:pStyle w:val="BodyText"/>
        <w:kinsoku w:val="0"/>
        <w:overflowPunct w:val="0"/>
        <w:spacing w:before="7"/>
        <w:rPr>
          <w:rFonts w:ascii="Garamond" w:hAnsi="Garamond" w:cs="Garamond"/>
          <w:sz w:val="27"/>
          <w:szCs w:val="27"/>
        </w:rPr>
      </w:pPr>
    </w:p>
    <w:p w:rsidR="002C5025" w:rsidRDefault="002C5025">
      <w:pPr>
        <w:pStyle w:val="BodyText"/>
        <w:kinsoku w:val="0"/>
        <w:overflowPunct w:val="0"/>
        <w:ind w:left="120" w:right="225"/>
        <w:rPr>
          <w:rFonts w:ascii="Garamond" w:hAnsi="Garamond" w:cs="Garamond"/>
          <w:i/>
          <w:iCs/>
          <w:sz w:val="24"/>
          <w:szCs w:val="24"/>
        </w:rPr>
      </w:pPr>
      <w:r>
        <w:rPr>
          <w:rFonts w:ascii="Garamond" w:hAnsi="Garamond" w:cs="Garamond"/>
          <w:i/>
          <w:iCs/>
          <w:sz w:val="24"/>
          <w:szCs w:val="24"/>
        </w:rPr>
        <w:t>Examples:</w:t>
      </w:r>
    </w:p>
    <w:p w:rsidR="002C5025" w:rsidRDefault="002C5025">
      <w:pPr>
        <w:pStyle w:val="ListParagraph"/>
        <w:numPr>
          <w:ilvl w:val="0"/>
          <w:numId w:val="26"/>
        </w:numPr>
        <w:tabs>
          <w:tab w:val="left" w:pos="840"/>
        </w:tabs>
        <w:kinsoku w:val="0"/>
        <w:overflowPunct w:val="0"/>
        <w:spacing w:before="39" w:line="273" w:lineRule="auto"/>
        <w:ind w:right="106" w:hanging="359"/>
        <w:rPr>
          <w:rFonts w:ascii="Garamond" w:hAnsi="Garamond" w:cs="Garamond"/>
          <w:position w:val="5"/>
          <w:sz w:val="15"/>
          <w:szCs w:val="15"/>
        </w:rPr>
      </w:pPr>
      <w:r>
        <w:rPr>
          <w:rFonts w:ascii="Garamond" w:hAnsi="Garamond" w:cs="Garamond"/>
          <w:sz w:val="23"/>
          <w:szCs w:val="23"/>
        </w:rPr>
        <w:t xml:space="preserve">Hennepin Health in Minnesota is a county-based Medicaid ACO with advanced </w:t>
      </w:r>
      <w:r>
        <w:rPr>
          <w:rFonts w:ascii="Garamond" w:hAnsi="Garamond" w:cs="Garamond"/>
          <w:spacing w:val="-3"/>
          <w:sz w:val="23"/>
          <w:szCs w:val="23"/>
        </w:rPr>
        <w:t xml:space="preserve">integration </w:t>
      </w:r>
      <w:r>
        <w:rPr>
          <w:rFonts w:ascii="Garamond" w:hAnsi="Garamond" w:cs="Garamond"/>
          <w:sz w:val="23"/>
          <w:szCs w:val="23"/>
        </w:rPr>
        <w:t xml:space="preserve">of dental care, including shared risk and incentives based on performance and outcomes. Recognizing potential cost savings by reducing </w:t>
      </w:r>
      <w:r>
        <w:rPr>
          <w:rFonts w:ascii="Garamond" w:hAnsi="Garamond" w:cs="Garamond"/>
          <w:spacing w:val="-3"/>
          <w:sz w:val="23"/>
          <w:szCs w:val="23"/>
        </w:rPr>
        <w:t xml:space="preserve">hospital </w:t>
      </w:r>
      <w:r>
        <w:rPr>
          <w:rFonts w:ascii="Garamond" w:hAnsi="Garamond" w:cs="Garamond"/>
          <w:sz w:val="23"/>
          <w:szCs w:val="23"/>
        </w:rPr>
        <w:t>admissions for dental emergencies, Hennepin</w:t>
      </w:r>
      <w:r>
        <w:rPr>
          <w:rFonts w:ascii="Garamond" w:hAnsi="Garamond" w:cs="Garamond"/>
          <w:spacing w:val="-7"/>
          <w:sz w:val="23"/>
          <w:szCs w:val="23"/>
        </w:rPr>
        <w:t xml:space="preserve"> </w:t>
      </w:r>
      <w:r>
        <w:rPr>
          <w:rFonts w:ascii="Garamond" w:hAnsi="Garamond" w:cs="Garamond"/>
          <w:sz w:val="23"/>
          <w:szCs w:val="23"/>
        </w:rPr>
        <w:t>Health</w:t>
      </w:r>
      <w:r>
        <w:rPr>
          <w:rFonts w:ascii="Garamond" w:hAnsi="Garamond" w:cs="Garamond"/>
          <w:spacing w:val="-7"/>
          <w:sz w:val="23"/>
          <w:szCs w:val="23"/>
        </w:rPr>
        <w:t xml:space="preserve"> </w:t>
      </w:r>
      <w:r>
        <w:rPr>
          <w:rFonts w:ascii="Garamond" w:hAnsi="Garamond" w:cs="Garamond"/>
          <w:sz w:val="23"/>
          <w:szCs w:val="23"/>
        </w:rPr>
        <w:t>also</w:t>
      </w:r>
      <w:r>
        <w:rPr>
          <w:rFonts w:ascii="Garamond" w:hAnsi="Garamond" w:cs="Garamond"/>
          <w:spacing w:val="-7"/>
          <w:sz w:val="23"/>
          <w:szCs w:val="23"/>
        </w:rPr>
        <w:t xml:space="preserve"> </w:t>
      </w:r>
      <w:r>
        <w:rPr>
          <w:rFonts w:ascii="Garamond" w:hAnsi="Garamond" w:cs="Garamond"/>
          <w:sz w:val="23"/>
          <w:szCs w:val="23"/>
        </w:rPr>
        <w:t>created</w:t>
      </w:r>
      <w:r>
        <w:rPr>
          <w:rFonts w:ascii="Garamond" w:hAnsi="Garamond" w:cs="Garamond"/>
          <w:spacing w:val="-7"/>
          <w:sz w:val="23"/>
          <w:szCs w:val="23"/>
        </w:rPr>
        <w:t xml:space="preserve"> </w:t>
      </w:r>
      <w:r>
        <w:rPr>
          <w:rFonts w:ascii="Garamond" w:hAnsi="Garamond" w:cs="Garamond"/>
          <w:sz w:val="23"/>
          <w:szCs w:val="23"/>
        </w:rPr>
        <w:t>an</w:t>
      </w:r>
      <w:r>
        <w:rPr>
          <w:rFonts w:ascii="Garamond" w:hAnsi="Garamond" w:cs="Garamond"/>
          <w:spacing w:val="-7"/>
          <w:sz w:val="23"/>
          <w:szCs w:val="23"/>
        </w:rPr>
        <w:t xml:space="preserve"> </w:t>
      </w:r>
      <w:r>
        <w:rPr>
          <w:rFonts w:ascii="Garamond" w:hAnsi="Garamond" w:cs="Garamond"/>
          <w:sz w:val="23"/>
          <w:szCs w:val="23"/>
        </w:rPr>
        <w:t>ED</w:t>
      </w:r>
      <w:r>
        <w:rPr>
          <w:rFonts w:ascii="Garamond" w:hAnsi="Garamond" w:cs="Garamond"/>
          <w:spacing w:val="-10"/>
          <w:sz w:val="23"/>
          <w:szCs w:val="23"/>
        </w:rPr>
        <w:t xml:space="preserve"> </w:t>
      </w:r>
      <w:r>
        <w:rPr>
          <w:rFonts w:ascii="Garamond" w:hAnsi="Garamond" w:cs="Garamond"/>
          <w:sz w:val="23"/>
          <w:szCs w:val="23"/>
        </w:rPr>
        <w:t>diversion</w:t>
      </w:r>
      <w:r>
        <w:rPr>
          <w:rFonts w:ascii="Garamond" w:hAnsi="Garamond" w:cs="Garamond"/>
          <w:spacing w:val="-10"/>
          <w:sz w:val="23"/>
          <w:szCs w:val="23"/>
        </w:rPr>
        <w:t xml:space="preserve"> </w:t>
      </w:r>
      <w:r>
        <w:rPr>
          <w:rFonts w:ascii="Garamond" w:hAnsi="Garamond" w:cs="Garamond"/>
          <w:sz w:val="23"/>
          <w:szCs w:val="23"/>
        </w:rPr>
        <w:t>program</w:t>
      </w:r>
      <w:r>
        <w:rPr>
          <w:rFonts w:ascii="Garamond" w:hAnsi="Garamond" w:cs="Garamond"/>
          <w:spacing w:val="-7"/>
          <w:sz w:val="23"/>
          <w:szCs w:val="23"/>
        </w:rPr>
        <w:t xml:space="preserve"> </w:t>
      </w:r>
      <w:r>
        <w:rPr>
          <w:rFonts w:ascii="Garamond" w:hAnsi="Garamond" w:cs="Garamond"/>
          <w:sz w:val="23"/>
          <w:szCs w:val="23"/>
        </w:rPr>
        <w:t>that</w:t>
      </w:r>
      <w:r>
        <w:rPr>
          <w:rFonts w:ascii="Garamond" w:hAnsi="Garamond" w:cs="Garamond"/>
          <w:spacing w:val="-8"/>
          <w:sz w:val="23"/>
          <w:szCs w:val="23"/>
        </w:rPr>
        <w:t xml:space="preserve"> </w:t>
      </w:r>
      <w:r>
        <w:rPr>
          <w:rFonts w:ascii="Garamond" w:hAnsi="Garamond" w:cs="Garamond"/>
          <w:sz w:val="23"/>
          <w:szCs w:val="23"/>
        </w:rPr>
        <w:t>connects</w:t>
      </w:r>
      <w:r>
        <w:rPr>
          <w:rFonts w:ascii="Garamond" w:hAnsi="Garamond" w:cs="Garamond"/>
          <w:spacing w:val="-9"/>
          <w:sz w:val="23"/>
          <w:szCs w:val="23"/>
        </w:rPr>
        <w:t xml:space="preserve"> </w:t>
      </w:r>
      <w:r>
        <w:rPr>
          <w:rFonts w:ascii="Garamond" w:hAnsi="Garamond" w:cs="Garamond"/>
          <w:sz w:val="23"/>
          <w:szCs w:val="23"/>
        </w:rPr>
        <w:t>patients</w:t>
      </w:r>
      <w:r>
        <w:rPr>
          <w:rFonts w:ascii="Garamond" w:hAnsi="Garamond" w:cs="Garamond"/>
          <w:spacing w:val="-7"/>
          <w:sz w:val="23"/>
          <w:szCs w:val="23"/>
        </w:rPr>
        <w:t xml:space="preserve"> </w:t>
      </w:r>
      <w:r>
        <w:rPr>
          <w:rFonts w:ascii="Garamond" w:hAnsi="Garamond" w:cs="Garamond"/>
          <w:sz w:val="23"/>
          <w:szCs w:val="23"/>
        </w:rPr>
        <w:t>to</w:t>
      </w:r>
      <w:r>
        <w:rPr>
          <w:rFonts w:ascii="Garamond" w:hAnsi="Garamond" w:cs="Garamond"/>
          <w:spacing w:val="-12"/>
          <w:sz w:val="23"/>
          <w:szCs w:val="23"/>
        </w:rPr>
        <w:t xml:space="preserve"> </w:t>
      </w:r>
      <w:r>
        <w:rPr>
          <w:rFonts w:ascii="Garamond" w:hAnsi="Garamond" w:cs="Garamond"/>
          <w:sz w:val="23"/>
          <w:szCs w:val="23"/>
        </w:rPr>
        <w:t>local</w:t>
      </w:r>
      <w:r>
        <w:rPr>
          <w:rFonts w:ascii="Garamond" w:hAnsi="Garamond" w:cs="Garamond"/>
          <w:spacing w:val="-7"/>
          <w:sz w:val="23"/>
          <w:szCs w:val="23"/>
        </w:rPr>
        <w:t xml:space="preserve"> </w:t>
      </w:r>
      <w:r>
        <w:rPr>
          <w:rFonts w:ascii="Garamond" w:hAnsi="Garamond" w:cs="Garamond"/>
          <w:sz w:val="23"/>
          <w:szCs w:val="23"/>
        </w:rPr>
        <w:t>dentists.</w:t>
      </w:r>
      <w:r>
        <w:rPr>
          <w:rFonts w:ascii="Garamond" w:hAnsi="Garamond" w:cs="Garamond"/>
          <w:position w:val="5"/>
          <w:sz w:val="15"/>
          <w:szCs w:val="15"/>
        </w:rPr>
        <w:t>9</w:t>
      </w:r>
    </w:p>
    <w:p w:rsidR="002C5025" w:rsidRDefault="002C5025">
      <w:pPr>
        <w:pStyle w:val="ListParagraph"/>
        <w:numPr>
          <w:ilvl w:val="0"/>
          <w:numId w:val="26"/>
        </w:numPr>
        <w:tabs>
          <w:tab w:val="left" w:pos="840"/>
        </w:tabs>
        <w:kinsoku w:val="0"/>
        <w:overflowPunct w:val="0"/>
        <w:spacing w:before="1" w:line="273" w:lineRule="auto"/>
        <w:ind w:left="840" w:right="512"/>
        <w:rPr>
          <w:rFonts w:ascii="Garamond" w:hAnsi="Garamond" w:cs="Garamond"/>
          <w:position w:val="5"/>
          <w:sz w:val="15"/>
          <w:szCs w:val="15"/>
        </w:rPr>
      </w:pPr>
      <w:r>
        <w:rPr>
          <w:rFonts w:ascii="Garamond" w:hAnsi="Garamond" w:cs="Garamond"/>
          <w:sz w:val="23"/>
          <w:szCs w:val="23"/>
        </w:rPr>
        <w:t>Boston</w:t>
      </w:r>
      <w:r>
        <w:rPr>
          <w:rFonts w:ascii="Garamond" w:hAnsi="Garamond" w:cs="Garamond"/>
          <w:spacing w:val="-10"/>
          <w:sz w:val="23"/>
          <w:szCs w:val="23"/>
        </w:rPr>
        <w:t xml:space="preserve"> </w:t>
      </w:r>
      <w:r>
        <w:rPr>
          <w:rFonts w:ascii="Garamond" w:hAnsi="Garamond" w:cs="Garamond"/>
          <w:sz w:val="23"/>
          <w:szCs w:val="23"/>
        </w:rPr>
        <w:t>Children’s</w:t>
      </w:r>
      <w:r>
        <w:rPr>
          <w:rFonts w:ascii="Garamond" w:hAnsi="Garamond" w:cs="Garamond"/>
          <w:spacing w:val="-10"/>
          <w:sz w:val="23"/>
          <w:szCs w:val="23"/>
        </w:rPr>
        <w:t xml:space="preserve"> </w:t>
      </w:r>
      <w:r>
        <w:rPr>
          <w:rFonts w:ascii="Garamond" w:hAnsi="Garamond" w:cs="Garamond"/>
          <w:sz w:val="23"/>
          <w:szCs w:val="23"/>
        </w:rPr>
        <w:t>Hospital</w:t>
      </w:r>
      <w:r>
        <w:rPr>
          <w:rFonts w:ascii="Garamond" w:hAnsi="Garamond" w:cs="Garamond"/>
          <w:spacing w:val="-10"/>
          <w:sz w:val="23"/>
          <w:szCs w:val="23"/>
        </w:rPr>
        <w:t xml:space="preserve"> </w:t>
      </w:r>
      <w:r>
        <w:rPr>
          <w:rFonts w:ascii="Garamond" w:hAnsi="Garamond" w:cs="Garamond"/>
          <w:sz w:val="23"/>
          <w:szCs w:val="23"/>
        </w:rPr>
        <w:t>Early</w:t>
      </w:r>
      <w:r>
        <w:rPr>
          <w:rFonts w:ascii="Garamond" w:hAnsi="Garamond" w:cs="Garamond"/>
          <w:spacing w:val="-7"/>
          <w:sz w:val="23"/>
          <w:szCs w:val="23"/>
        </w:rPr>
        <w:t xml:space="preserve"> </w:t>
      </w:r>
      <w:r>
        <w:rPr>
          <w:rFonts w:ascii="Garamond" w:hAnsi="Garamond" w:cs="Garamond"/>
          <w:sz w:val="23"/>
          <w:szCs w:val="23"/>
        </w:rPr>
        <w:t>Childhood</w:t>
      </w:r>
      <w:r>
        <w:rPr>
          <w:rFonts w:ascii="Garamond" w:hAnsi="Garamond" w:cs="Garamond"/>
          <w:spacing w:val="-9"/>
          <w:sz w:val="23"/>
          <w:szCs w:val="23"/>
        </w:rPr>
        <w:t xml:space="preserve"> </w:t>
      </w:r>
      <w:r>
        <w:rPr>
          <w:rFonts w:ascii="Garamond" w:hAnsi="Garamond" w:cs="Garamond"/>
          <w:sz w:val="23"/>
          <w:szCs w:val="23"/>
        </w:rPr>
        <w:t>Caries</w:t>
      </w:r>
      <w:r>
        <w:rPr>
          <w:rFonts w:ascii="Garamond" w:hAnsi="Garamond" w:cs="Garamond"/>
          <w:spacing w:val="-7"/>
          <w:sz w:val="23"/>
          <w:szCs w:val="23"/>
        </w:rPr>
        <w:t xml:space="preserve"> </w:t>
      </w:r>
      <w:r>
        <w:rPr>
          <w:rFonts w:ascii="Garamond" w:hAnsi="Garamond" w:cs="Garamond"/>
          <w:spacing w:val="-3"/>
          <w:sz w:val="23"/>
          <w:szCs w:val="23"/>
        </w:rPr>
        <w:t>program</w:t>
      </w:r>
      <w:r>
        <w:rPr>
          <w:rFonts w:ascii="Garamond" w:hAnsi="Garamond" w:cs="Garamond"/>
          <w:spacing w:val="-10"/>
          <w:sz w:val="23"/>
          <w:szCs w:val="23"/>
        </w:rPr>
        <w:t xml:space="preserve"> </w:t>
      </w:r>
      <w:r>
        <w:rPr>
          <w:rFonts w:ascii="Garamond" w:hAnsi="Garamond" w:cs="Garamond"/>
          <w:sz w:val="23"/>
          <w:szCs w:val="23"/>
        </w:rPr>
        <w:t>uses</w:t>
      </w:r>
      <w:r>
        <w:rPr>
          <w:rFonts w:ascii="Garamond" w:hAnsi="Garamond" w:cs="Garamond"/>
          <w:spacing w:val="-7"/>
          <w:sz w:val="23"/>
          <w:szCs w:val="23"/>
        </w:rPr>
        <w:t xml:space="preserve"> </w:t>
      </w:r>
      <w:r>
        <w:rPr>
          <w:rFonts w:ascii="Garamond" w:hAnsi="Garamond" w:cs="Garamond"/>
          <w:sz w:val="23"/>
          <w:szCs w:val="23"/>
        </w:rPr>
        <w:t>an</w:t>
      </w:r>
      <w:r>
        <w:rPr>
          <w:rFonts w:ascii="Garamond" w:hAnsi="Garamond" w:cs="Garamond"/>
          <w:spacing w:val="-10"/>
          <w:sz w:val="23"/>
          <w:szCs w:val="23"/>
        </w:rPr>
        <w:t xml:space="preserve"> </w:t>
      </w:r>
      <w:r>
        <w:rPr>
          <w:rFonts w:ascii="Garamond" w:hAnsi="Garamond" w:cs="Garamond"/>
          <w:sz w:val="23"/>
          <w:szCs w:val="23"/>
        </w:rPr>
        <w:t>evidence-based</w:t>
      </w:r>
      <w:r>
        <w:rPr>
          <w:rFonts w:ascii="Garamond" w:hAnsi="Garamond" w:cs="Garamond"/>
          <w:spacing w:val="-7"/>
          <w:sz w:val="23"/>
          <w:szCs w:val="23"/>
        </w:rPr>
        <w:t xml:space="preserve"> </w:t>
      </w:r>
      <w:r>
        <w:rPr>
          <w:rFonts w:ascii="Garamond" w:hAnsi="Garamond" w:cs="Garamond"/>
          <w:sz w:val="23"/>
          <w:szCs w:val="23"/>
        </w:rPr>
        <w:t xml:space="preserve">disease management clinical protocol that treats patients based on disease risk. It has been highly effective in reducing caries rates in children, with significant reductions in </w:t>
      </w:r>
      <w:r>
        <w:rPr>
          <w:rFonts w:ascii="Garamond" w:hAnsi="Garamond" w:cs="Garamond"/>
          <w:spacing w:val="-3"/>
          <w:sz w:val="23"/>
          <w:szCs w:val="23"/>
        </w:rPr>
        <w:t xml:space="preserve">operating </w:t>
      </w:r>
      <w:r>
        <w:rPr>
          <w:rFonts w:ascii="Garamond" w:hAnsi="Garamond" w:cs="Garamond"/>
          <w:sz w:val="23"/>
          <w:szCs w:val="23"/>
        </w:rPr>
        <w:t>room utilization,</w:t>
      </w:r>
      <w:r>
        <w:rPr>
          <w:rFonts w:ascii="Garamond" w:hAnsi="Garamond" w:cs="Garamond"/>
          <w:spacing w:val="-9"/>
          <w:sz w:val="23"/>
          <w:szCs w:val="23"/>
        </w:rPr>
        <w:t xml:space="preserve"> </w:t>
      </w:r>
      <w:r>
        <w:rPr>
          <w:rFonts w:ascii="Garamond" w:hAnsi="Garamond" w:cs="Garamond"/>
          <w:sz w:val="23"/>
          <w:szCs w:val="23"/>
        </w:rPr>
        <w:t>new</w:t>
      </w:r>
      <w:r>
        <w:rPr>
          <w:rFonts w:ascii="Garamond" w:hAnsi="Garamond" w:cs="Garamond"/>
          <w:spacing w:val="-9"/>
          <w:sz w:val="23"/>
          <w:szCs w:val="23"/>
        </w:rPr>
        <w:t xml:space="preserve"> </w:t>
      </w:r>
      <w:r>
        <w:rPr>
          <w:rFonts w:ascii="Garamond" w:hAnsi="Garamond" w:cs="Garamond"/>
          <w:sz w:val="23"/>
          <w:szCs w:val="23"/>
        </w:rPr>
        <w:t>cavities,</w:t>
      </w:r>
      <w:r>
        <w:rPr>
          <w:rFonts w:ascii="Garamond" w:hAnsi="Garamond" w:cs="Garamond"/>
          <w:spacing w:val="-11"/>
          <w:sz w:val="23"/>
          <w:szCs w:val="23"/>
        </w:rPr>
        <w:t xml:space="preserve"> </w:t>
      </w:r>
      <w:r>
        <w:rPr>
          <w:rFonts w:ascii="Garamond" w:hAnsi="Garamond" w:cs="Garamond"/>
          <w:sz w:val="23"/>
          <w:szCs w:val="23"/>
        </w:rPr>
        <w:t>and</w:t>
      </w:r>
      <w:r>
        <w:rPr>
          <w:rFonts w:ascii="Garamond" w:hAnsi="Garamond" w:cs="Garamond"/>
          <w:spacing w:val="-9"/>
          <w:sz w:val="23"/>
          <w:szCs w:val="23"/>
        </w:rPr>
        <w:t xml:space="preserve"> </w:t>
      </w:r>
      <w:r>
        <w:rPr>
          <w:rFonts w:ascii="Garamond" w:hAnsi="Garamond" w:cs="Garamond"/>
          <w:sz w:val="23"/>
          <w:szCs w:val="23"/>
        </w:rPr>
        <w:t>pain</w:t>
      </w:r>
      <w:r>
        <w:rPr>
          <w:rFonts w:ascii="Garamond" w:hAnsi="Garamond" w:cs="Garamond"/>
          <w:spacing w:val="-9"/>
          <w:sz w:val="23"/>
          <w:szCs w:val="23"/>
        </w:rPr>
        <w:t xml:space="preserve"> </w:t>
      </w:r>
      <w:r>
        <w:rPr>
          <w:rFonts w:ascii="Garamond" w:hAnsi="Garamond" w:cs="Garamond"/>
          <w:sz w:val="23"/>
          <w:szCs w:val="23"/>
        </w:rPr>
        <w:t>compared</w:t>
      </w:r>
      <w:r>
        <w:rPr>
          <w:rFonts w:ascii="Garamond" w:hAnsi="Garamond" w:cs="Garamond"/>
          <w:spacing w:val="-9"/>
          <w:sz w:val="23"/>
          <w:szCs w:val="23"/>
        </w:rPr>
        <w:t xml:space="preserve"> </w:t>
      </w:r>
      <w:r>
        <w:rPr>
          <w:rFonts w:ascii="Garamond" w:hAnsi="Garamond" w:cs="Garamond"/>
          <w:sz w:val="23"/>
          <w:szCs w:val="23"/>
        </w:rPr>
        <w:t>to</w:t>
      </w:r>
      <w:r>
        <w:rPr>
          <w:rFonts w:ascii="Garamond" w:hAnsi="Garamond" w:cs="Garamond"/>
          <w:spacing w:val="-10"/>
          <w:sz w:val="23"/>
          <w:szCs w:val="23"/>
        </w:rPr>
        <w:t xml:space="preserve"> </w:t>
      </w:r>
      <w:r>
        <w:rPr>
          <w:rFonts w:ascii="Garamond" w:hAnsi="Garamond" w:cs="Garamond"/>
          <w:sz w:val="23"/>
          <w:szCs w:val="23"/>
        </w:rPr>
        <w:t>a</w:t>
      </w:r>
      <w:r>
        <w:rPr>
          <w:rFonts w:ascii="Garamond" w:hAnsi="Garamond" w:cs="Garamond"/>
          <w:spacing w:val="-13"/>
          <w:sz w:val="23"/>
          <w:szCs w:val="23"/>
        </w:rPr>
        <w:t xml:space="preserve"> </w:t>
      </w:r>
      <w:r>
        <w:rPr>
          <w:rFonts w:ascii="Garamond" w:hAnsi="Garamond" w:cs="Garamond"/>
          <w:sz w:val="23"/>
          <w:szCs w:val="23"/>
        </w:rPr>
        <w:t>historical</w:t>
      </w:r>
      <w:r>
        <w:rPr>
          <w:rFonts w:ascii="Garamond" w:hAnsi="Garamond" w:cs="Garamond"/>
          <w:spacing w:val="-9"/>
          <w:sz w:val="23"/>
          <w:szCs w:val="23"/>
        </w:rPr>
        <w:t xml:space="preserve"> </w:t>
      </w:r>
      <w:r>
        <w:rPr>
          <w:rFonts w:ascii="Garamond" w:hAnsi="Garamond" w:cs="Garamond"/>
          <w:sz w:val="23"/>
          <w:szCs w:val="23"/>
        </w:rPr>
        <w:t>control</w:t>
      </w:r>
      <w:r>
        <w:rPr>
          <w:rFonts w:ascii="Garamond" w:hAnsi="Garamond" w:cs="Garamond"/>
          <w:spacing w:val="-11"/>
          <w:sz w:val="23"/>
          <w:szCs w:val="23"/>
        </w:rPr>
        <w:t xml:space="preserve"> </w:t>
      </w:r>
      <w:r>
        <w:rPr>
          <w:rFonts w:ascii="Garamond" w:hAnsi="Garamond" w:cs="Garamond"/>
          <w:sz w:val="23"/>
          <w:szCs w:val="23"/>
        </w:rPr>
        <w:t>group.</w:t>
      </w:r>
      <w:r>
        <w:rPr>
          <w:rFonts w:ascii="Garamond" w:hAnsi="Garamond" w:cs="Garamond"/>
          <w:position w:val="5"/>
          <w:sz w:val="15"/>
          <w:szCs w:val="15"/>
        </w:rPr>
        <w:t>10</w:t>
      </w:r>
    </w:p>
    <w:p w:rsidR="002C5025" w:rsidRDefault="002C5025">
      <w:pPr>
        <w:pStyle w:val="ListParagraph"/>
        <w:numPr>
          <w:ilvl w:val="0"/>
          <w:numId w:val="26"/>
        </w:numPr>
        <w:tabs>
          <w:tab w:val="left" w:pos="840"/>
        </w:tabs>
        <w:kinsoku w:val="0"/>
        <w:overflowPunct w:val="0"/>
        <w:spacing w:before="1" w:line="273" w:lineRule="auto"/>
        <w:ind w:right="188" w:hanging="359"/>
        <w:rPr>
          <w:rFonts w:ascii="Garamond" w:hAnsi="Garamond" w:cs="Garamond"/>
          <w:position w:val="5"/>
          <w:sz w:val="15"/>
          <w:szCs w:val="15"/>
        </w:rPr>
      </w:pPr>
      <w:r>
        <w:rPr>
          <w:rFonts w:ascii="Garamond" w:hAnsi="Garamond" w:cs="Garamond"/>
          <w:sz w:val="23"/>
          <w:szCs w:val="23"/>
        </w:rPr>
        <w:t>The total cost of care approach in Oregon Medicaid is currently allowing Advantage Dental to pilot</w:t>
      </w:r>
      <w:r>
        <w:rPr>
          <w:rFonts w:ascii="Garamond" w:hAnsi="Garamond" w:cs="Garamond"/>
          <w:spacing w:val="-6"/>
          <w:sz w:val="23"/>
          <w:szCs w:val="23"/>
        </w:rPr>
        <w:t xml:space="preserve"> </w:t>
      </w:r>
      <w:r>
        <w:rPr>
          <w:rFonts w:ascii="Garamond" w:hAnsi="Garamond" w:cs="Garamond"/>
          <w:sz w:val="23"/>
          <w:szCs w:val="23"/>
        </w:rPr>
        <w:t>an</w:t>
      </w:r>
      <w:r>
        <w:rPr>
          <w:rFonts w:ascii="Garamond" w:hAnsi="Garamond" w:cs="Garamond"/>
          <w:spacing w:val="-6"/>
          <w:sz w:val="23"/>
          <w:szCs w:val="23"/>
        </w:rPr>
        <w:t xml:space="preserve"> </w:t>
      </w:r>
      <w:r>
        <w:rPr>
          <w:rFonts w:ascii="Garamond" w:hAnsi="Garamond" w:cs="Garamond"/>
          <w:sz w:val="23"/>
          <w:szCs w:val="23"/>
        </w:rPr>
        <w:t>innovative</w:t>
      </w:r>
      <w:r>
        <w:rPr>
          <w:rFonts w:ascii="Garamond" w:hAnsi="Garamond" w:cs="Garamond"/>
          <w:spacing w:val="-6"/>
          <w:sz w:val="23"/>
          <w:szCs w:val="23"/>
        </w:rPr>
        <w:t xml:space="preserve"> </w:t>
      </w:r>
      <w:r>
        <w:rPr>
          <w:rFonts w:ascii="Garamond" w:hAnsi="Garamond" w:cs="Garamond"/>
          <w:spacing w:val="-3"/>
          <w:sz w:val="23"/>
          <w:szCs w:val="23"/>
        </w:rPr>
        <w:t>care</w:t>
      </w:r>
      <w:r>
        <w:rPr>
          <w:rFonts w:ascii="Garamond" w:hAnsi="Garamond" w:cs="Garamond"/>
          <w:spacing w:val="-9"/>
          <w:sz w:val="23"/>
          <w:szCs w:val="23"/>
        </w:rPr>
        <w:t xml:space="preserve"> </w:t>
      </w:r>
      <w:r>
        <w:rPr>
          <w:rFonts w:ascii="Garamond" w:hAnsi="Garamond" w:cs="Garamond"/>
          <w:sz w:val="23"/>
          <w:szCs w:val="23"/>
        </w:rPr>
        <w:t>delivery</w:t>
      </w:r>
      <w:r>
        <w:rPr>
          <w:rFonts w:ascii="Garamond" w:hAnsi="Garamond" w:cs="Garamond"/>
          <w:spacing w:val="-6"/>
          <w:sz w:val="23"/>
          <w:szCs w:val="23"/>
        </w:rPr>
        <w:t xml:space="preserve"> </w:t>
      </w:r>
      <w:r>
        <w:rPr>
          <w:rFonts w:ascii="Garamond" w:hAnsi="Garamond" w:cs="Garamond"/>
          <w:sz w:val="23"/>
          <w:szCs w:val="23"/>
        </w:rPr>
        <w:t>system</w:t>
      </w:r>
      <w:r>
        <w:rPr>
          <w:rFonts w:ascii="Garamond" w:hAnsi="Garamond" w:cs="Garamond"/>
          <w:spacing w:val="-6"/>
          <w:sz w:val="23"/>
          <w:szCs w:val="23"/>
        </w:rPr>
        <w:t xml:space="preserve"> </w:t>
      </w:r>
      <w:r>
        <w:rPr>
          <w:rFonts w:ascii="Garamond" w:hAnsi="Garamond" w:cs="Garamond"/>
          <w:sz w:val="23"/>
          <w:szCs w:val="23"/>
        </w:rPr>
        <w:t>that</w:t>
      </w:r>
      <w:r>
        <w:rPr>
          <w:rFonts w:ascii="Garamond" w:hAnsi="Garamond" w:cs="Garamond"/>
          <w:spacing w:val="-6"/>
          <w:sz w:val="23"/>
          <w:szCs w:val="23"/>
        </w:rPr>
        <w:t xml:space="preserve"> </w:t>
      </w:r>
      <w:r>
        <w:rPr>
          <w:rFonts w:ascii="Garamond" w:hAnsi="Garamond" w:cs="Garamond"/>
          <w:sz w:val="23"/>
          <w:szCs w:val="23"/>
        </w:rPr>
        <w:t>uses</w:t>
      </w:r>
      <w:r>
        <w:rPr>
          <w:rFonts w:ascii="Garamond" w:hAnsi="Garamond" w:cs="Garamond"/>
          <w:spacing w:val="-9"/>
          <w:sz w:val="23"/>
          <w:szCs w:val="23"/>
        </w:rPr>
        <w:t xml:space="preserve"> </w:t>
      </w:r>
      <w:r>
        <w:rPr>
          <w:rFonts w:ascii="Garamond" w:hAnsi="Garamond" w:cs="Garamond"/>
          <w:sz w:val="23"/>
          <w:szCs w:val="23"/>
        </w:rPr>
        <w:t>community-based</w:t>
      </w:r>
      <w:r>
        <w:rPr>
          <w:rFonts w:ascii="Garamond" w:hAnsi="Garamond" w:cs="Garamond"/>
          <w:spacing w:val="-6"/>
          <w:sz w:val="23"/>
          <w:szCs w:val="23"/>
        </w:rPr>
        <w:t xml:space="preserve"> </w:t>
      </w:r>
      <w:r>
        <w:rPr>
          <w:rFonts w:ascii="Garamond" w:hAnsi="Garamond" w:cs="Garamond"/>
          <w:sz w:val="23"/>
          <w:szCs w:val="23"/>
        </w:rPr>
        <w:t>services</w:t>
      </w:r>
      <w:r>
        <w:rPr>
          <w:rFonts w:ascii="Garamond" w:hAnsi="Garamond" w:cs="Garamond"/>
          <w:spacing w:val="-9"/>
          <w:sz w:val="23"/>
          <w:szCs w:val="23"/>
        </w:rPr>
        <w:t xml:space="preserve"> </w:t>
      </w:r>
      <w:r>
        <w:rPr>
          <w:rFonts w:ascii="Garamond" w:hAnsi="Garamond" w:cs="Garamond"/>
          <w:sz w:val="23"/>
          <w:szCs w:val="23"/>
        </w:rPr>
        <w:t>for</w:t>
      </w:r>
      <w:r>
        <w:rPr>
          <w:rFonts w:ascii="Garamond" w:hAnsi="Garamond" w:cs="Garamond"/>
          <w:spacing w:val="-9"/>
          <w:sz w:val="23"/>
          <w:szCs w:val="23"/>
        </w:rPr>
        <w:t xml:space="preserve"> </w:t>
      </w:r>
      <w:r>
        <w:rPr>
          <w:rFonts w:ascii="Garamond" w:hAnsi="Garamond" w:cs="Garamond"/>
          <w:sz w:val="23"/>
          <w:szCs w:val="23"/>
        </w:rPr>
        <w:t>prevention</w:t>
      </w:r>
      <w:r>
        <w:rPr>
          <w:rFonts w:ascii="Garamond" w:hAnsi="Garamond" w:cs="Garamond"/>
          <w:spacing w:val="-9"/>
          <w:sz w:val="23"/>
          <w:szCs w:val="23"/>
        </w:rPr>
        <w:t xml:space="preserve"> </w:t>
      </w:r>
      <w:r>
        <w:rPr>
          <w:rFonts w:ascii="Garamond" w:hAnsi="Garamond" w:cs="Garamond"/>
          <w:sz w:val="23"/>
          <w:szCs w:val="23"/>
        </w:rPr>
        <w:t xml:space="preserve">and stabilization. The PREDICT program identifies high-risk patients and through </w:t>
      </w:r>
      <w:r>
        <w:rPr>
          <w:rFonts w:ascii="Garamond" w:hAnsi="Garamond" w:cs="Garamond"/>
          <w:spacing w:val="-3"/>
          <w:sz w:val="23"/>
          <w:szCs w:val="23"/>
        </w:rPr>
        <w:t xml:space="preserve">case </w:t>
      </w:r>
      <w:r>
        <w:rPr>
          <w:rFonts w:ascii="Garamond" w:hAnsi="Garamond" w:cs="Garamond"/>
          <w:sz w:val="23"/>
          <w:szCs w:val="23"/>
        </w:rPr>
        <w:t>management,</w:t>
      </w:r>
      <w:r>
        <w:rPr>
          <w:rFonts w:ascii="Garamond" w:hAnsi="Garamond" w:cs="Garamond"/>
          <w:spacing w:val="-9"/>
          <w:sz w:val="23"/>
          <w:szCs w:val="23"/>
        </w:rPr>
        <w:t xml:space="preserve"> </w:t>
      </w:r>
      <w:r>
        <w:rPr>
          <w:rFonts w:ascii="Garamond" w:hAnsi="Garamond" w:cs="Garamond"/>
          <w:sz w:val="23"/>
          <w:szCs w:val="23"/>
        </w:rPr>
        <w:t>facilitates</w:t>
      </w:r>
      <w:r>
        <w:rPr>
          <w:rFonts w:ascii="Garamond" w:hAnsi="Garamond" w:cs="Garamond"/>
          <w:spacing w:val="-9"/>
          <w:sz w:val="23"/>
          <w:szCs w:val="23"/>
        </w:rPr>
        <w:t xml:space="preserve"> </w:t>
      </w:r>
      <w:r>
        <w:rPr>
          <w:rFonts w:ascii="Garamond" w:hAnsi="Garamond" w:cs="Garamond"/>
          <w:sz w:val="23"/>
          <w:szCs w:val="23"/>
        </w:rPr>
        <w:t>seamless</w:t>
      </w:r>
      <w:r>
        <w:rPr>
          <w:rFonts w:ascii="Garamond" w:hAnsi="Garamond" w:cs="Garamond"/>
          <w:spacing w:val="-9"/>
          <w:sz w:val="23"/>
          <w:szCs w:val="23"/>
        </w:rPr>
        <w:t xml:space="preserve"> </w:t>
      </w:r>
      <w:r>
        <w:rPr>
          <w:rFonts w:ascii="Garamond" w:hAnsi="Garamond" w:cs="Garamond"/>
          <w:sz w:val="23"/>
          <w:szCs w:val="23"/>
        </w:rPr>
        <w:t>transitions</w:t>
      </w:r>
      <w:r>
        <w:rPr>
          <w:rFonts w:ascii="Garamond" w:hAnsi="Garamond" w:cs="Garamond"/>
          <w:spacing w:val="-11"/>
          <w:sz w:val="23"/>
          <w:szCs w:val="23"/>
        </w:rPr>
        <w:t xml:space="preserve"> </w:t>
      </w:r>
      <w:r>
        <w:rPr>
          <w:rFonts w:ascii="Garamond" w:hAnsi="Garamond" w:cs="Garamond"/>
          <w:sz w:val="23"/>
          <w:szCs w:val="23"/>
        </w:rPr>
        <w:t>to</w:t>
      </w:r>
      <w:r>
        <w:rPr>
          <w:rFonts w:ascii="Garamond" w:hAnsi="Garamond" w:cs="Garamond"/>
          <w:spacing w:val="-7"/>
          <w:sz w:val="23"/>
          <w:szCs w:val="23"/>
        </w:rPr>
        <w:t xml:space="preserve"> </w:t>
      </w:r>
      <w:r>
        <w:rPr>
          <w:rFonts w:ascii="Garamond" w:hAnsi="Garamond" w:cs="Garamond"/>
          <w:spacing w:val="-3"/>
          <w:sz w:val="23"/>
          <w:szCs w:val="23"/>
        </w:rPr>
        <w:t>dental</w:t>
      </w:r>
      <w:r>
        <w:rPr>
          <w:rFonts w:ascii="Garamond" w:hAnsi="Garamond" w:cs="Garamond"/>
          <w:spacing w:val="-11"/>
          <w:sz w:val="23"/>
          <w:szCs w:val="23"/>
        </w:rPr>
        <w:t xml:space="preserve"> </w:t>
      </w:r>
      <w:r>
        <w:rPr>
          <w:rFonts w:ascii="Garamond" w:hAnsi="Garamond" w:cs="Garamond"/>
          <w:sz w:val="23"/>
          <w:szCs w:val="23"/>
        </w:rPr>
        <w:t>services</w:t>
      </w:r>
      <w:r>
        <w:rPr>
          <w:rFonts w:ascii="Garamond" w:hAnsi="Garamond" w:cs="Garamond"/>
          <w:spacing w:val="-7"/>
          <w:sz w:val="23"/>
          <w:szCs w:val="23"/>
        </w:rPr>
        <w:t xml:space="preserve"> </w:t>
      </w:r>
      <w:r>
        <w:rPr>
          <w:rFonts w:ascii="Garamond" w:hAnsi="Garamond" w:cs="Garamond"/>
          <w:sz w:val="23"/>
          <w:szCs w:val="23"/>
        </w:rPr>
        <w:t>by</w:t>
      </w:r>
      <w:r>
        <w:rPr>
          <w:rFonts w:ascii="Garamond" w:hAnsi="Garamond" w:cs="Garamond"/>
          <w:spacing w:val="-7"/>
          <w:sz w:val="23"/>
          <w:szCs w:val="23"/>
        </w:rPr>
        <w:t xml:space="preserve"> </w:t>
      </w:r>
      <w:r>
        <w:rPr>
          <w:rFonts w:ascii="Garamond" w:hAnsi="Garamond" w:cs="Garamond"/>
          <w:sz w:val="23"/>
          <w:szCs w:val="23"/>
        </w:rPr>
        <w:t>removing</w:t>
      </w:r>
      <w:r>
        <w:rPr>
          <w:rFonts w:ascii="Garamond" w:hAnsi="Garamond" w:cs="Garamond"/>
          <w:spacing w:val="-9"/>
          <w:sz w:val="23"/>
          <w:szCs w:val="23"/>
        </w:rPr>
        <w:t xml:space="preserve"> </w:t>
      </w:r>
      <w:r>
        <w:rPr>
          <w:rFonts w:ascii="Garamond" w:hAnsi="Garamond" w:cs="Garamond"/>
          <w:sz w:val="23"/>
          <w:szCs w:val="23"/>
        </w:rPr>
        <w:t>barriers</w:t>
      </w:r>
      <w:r>
        <w:rPr>
          <w:rFonts w:ascii="Garamond" w:hAnsi="Garamond" w:cs="Garamond"/>
          <w:spacing w:val="-5"/>
          <w:sz w:val="23"/>
          <w:szCs w:val="23"/>
        </w:rPr>
        <w:t xml:space="preserve"> </w:t>
      </w:r>
      <w:r>
        <w:rPr>
          <w:rFonts w:ascii="Garamond" w:hAnsi="Garamond" w:cs="Garamond"/>
          <w:sz w:val="23"/>
          <w:szCs w:val="23"/>
        </w:rPr>
        <w:t>to</w:t>
      </w:r>
      <w:r>
        <w:rPr>
          <w:rFonts w:ascii="Garamond" w:hAnsi="Garamond" w:cs="Garamond"/>
          <w:spacing w:val="-9"/>
          <w:sz w:val="23"/>
          <w:szCs w:val="23"/>
        </w:rPr>
        <w:t xml:space="preserve"> </w:t>
      </w:r>
      <w:r>
        <w:rPr>
          <w:rFonts w:ascii="Garamond" w:hAnsi="Garamond" w:cs="Garamond"/>
          <w:sz w:val="23"/>
          <w:szCs w:val="23"/>
        </w:rPr>
        <w:t xml:space="preserve">accessing in-office care. The </w:t>
      </w:r>
      <w:r>
        <w:rPr>
          <w:rFonts w:ascii="Garamond" w:hAnsi="Garamond" w:cs="Garamond"/>
          <w:spacing w:val="-3"/>
          <w:sz w:val="23"/>
          <w:szCs w:val="23"/>
        </w:rPr>
        <w:t xml:space="preserve">program </w:t>
      </w:r>
      <w:r>
        <w:rPr>
          <w:rFonts w:ascii="Garamond" w:hAnsi="Garamond" w:cs="Garamond"/>
          <w:sz w:val="23"/>
          <w:szCs w:val="23"/>
        </w:rPr>
        <w:t xml:space="preserve">is being evaluated by the University of Washington </w:t>
      </w:r>
      <w:r>
        <w:rPr>
          <w:rFonts w:ascii="Garamond" w:hAnsi="Garamond" w:cs="Garamond"/>
          <w:spacing w:val="-3"/>
          <w:sz w:val="23"/>
          <w:szCs w:val="23"/>
        </w:rPr>
        <w:t xml:space="preserve">and </w:t>
      </w:r>
      <w:r>
        <w:rPr>
          <w:rFonts w:ascii="Garamond" w:hAnsi="Garamond" w:cs="Garamond"/>
          <w:sz w:val="23"/>
          <w:szCs w:val="23"/>
        </w:rPr>
        <w:t>early indicators are very</w:t>
      </w:r>
      <w:r>
        <w:rPr>
          <w:rFonts w:ascii="Garamond" w:hAnsi="Garamond" w:cs="Garamond"/>
          <w:spacing w:val="-23"/>
          <w:sz w:val="23"/>
          <w:szCs w:val="23"/>
        </w:rPr>
        <w:t xml:space="preserve"> </w:t>
      </w:r>
      <w:r>
        <w:rPr>
          <w:rFonts w:ascii="Garamond" w:hAnsi="Garamond" w:cs="Garamond"/>
          <w:sz w:val="23"/>
          <w:szCs w:val="23"/>
        </w:rPr>
        <w:t>positive.</w:t>
      </w:r>
      <w:r>
        <w:rPr>
          <w:rFonts w:ascii="Garamond" w:hAnsi="Garamond" w:cs="Garamond"/>
          <w:position w:val="5"/>
          <w:sz w:val="15"/>
          <w:szCs w:val="15"/>
        </w:rPr>
        <w:t>11</w:t>
      </w:r>
    </w:p>
    <w:p w:rsidR="002C5025" w:rsidRDefault="00FB027C">
      <w:pPr>
        <w:pStyle w:val="BodyText"/>
        <w:kinsoku w:val="0"/>
        <w:overflowPunct w:val="0"/>
        <w:spacing w:before="6"/>
        <w:rPr>
          <w:rFonts w:ascii="Garamond" w:hAnsi="Garamond" w:cs="Garamond"/>
          <w:sz w:val="13"/>
          <w:szCs w:val="13"/>
        </w:rPr>
      </w:pPr>
      <w:r>
        <w:rPr>
          <w:noProof/>
        </w:rPr>
        <mc:AlternateContent>
          <mc:Choice Requires="wps">
            <w:drawing>
              <wp:anchor distT="0" distB="0" distL="0" distR="0" simplePos="0" relativeHeight="251795968" behindDoc="0" locked="0" layoutInCell="0" allowOverlap="1">
                <wp:simplePos x="0" y="0"/>
                <wp:positionH relativeFrom="page">
                  <wp:posOffset>923925</wp:posOffset>
                </wp:positionH>
                <wp:positionV relativeFrom="paragraph">
                  <wp:posOffset>127000</wp:posOffset>
                </wp:positionV>
                <wp:extent cx="1829435" cy="12700"/>
                <wp:effectExtent l="0" t="0" r="0" b="0"/>
                <wp:wrapTopAndBottom/>
                <wp:docPr id="89" name="Freeform 7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1 w 2881"/>
                            <a:gd name="T3" fmla="*/ 0 h 20"/>
                          </a:gdLst>
                          <a:ahLst/>
                          <a:cxnLst>
                            <a:cxn ang="0">
                              <a:pos x="T0" y="T1"/>
                            </a:cxn>
                            <a:cxn ang="0">
                              <a:pos x="T2" y="T3"/>
                            </a:cxn>
                          </a:cxnLst>
                          <a:rect l="0" t="0" r="r" b="b"/>
                          <a:pathLst>
                            <a:path w="2881" h="20">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88" o:spid="_x0000_s1026" style="position:absolute;z-index:251795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2.75pt,10pt,216.8pt,10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" o:allowincell="f" filled="f" strokeweight=".82pt">
                <v:path arrowok="t" o:connecttype="custom" o:connectlocs="0,0;1829435,0" o:connectangles="0,0"/>
                <w10:wrap type="topAndBottom" anchorx="page"/>
              </v:polyline>
            </w:pict>
          </mc:Fallback>
        </mc:AlternateContent>
      </w:r>
    </w:p>
    <w:p w:rsidR="002C5025" w:rsidRDefault="002C5025">
      <w:pPr>
        <w:pStyle w:val="BodyText"/>
        <w:kinsoku w:val="0"/>
        <w:overflowPunct w:val="0"/>
        <w:spacing w:before="71"/>
        <w:ind w:left="120" w:right="225"/>
        <w:rPr>
          <w:rFonts w:ascii="Garamond" w:hAnsi="Garamond" w:cs="Garamond"/>
          <w:sz w:val="20"/>
          <w:szCs w:val="20"/>
        </w:rPr>
      </w:pPr>
      <w:r>
        <w:rPr>
          <w:rFonts w:ascii="Garamond" w:hAnsi="Garamond" w:cs="Garamond"/>
          <w:position w:val="5"/>
          <w:sz w:val="13"/>
          <w:szCs w:val="13"/>
        </w:rPr>
        <w:t>9</w:t>
      </w:r>
      <w:r>
        <w:rPr>
          <w:rFonts w:ascii="Garamond" w:hAnsi="Garamond" w:cs="Garamond"/>
          <w:spacing w:val="7"/>
          <w:position w:val="5"/>
          <w:sz w:val="13"/>
          <w:szCs w:val="13"/>
        </w:rPr>
        <w:t xml:space="preserve"> </w:t>
      </w:r>
      <w:r>
        <w:rPr>
          <w:rFonts w:ascii="Garamond" w:hAnsi="Garamond" w:cs="Garamond"/>
          <w:sz w:val="20"/>
          <w:szCs w:val="20"/>
        </w:rPr>
        <w:t>Edwards,</w:t>
      </w:r>
      <w:r>
        <w:rPr>
          <w:rFonts w:ascii="Garamond" w:hAnsi="Garamond" w:cs="Garamond"/>
          <w:spacing w:val="-13"/>
          <w:sz w:val="20"/>
          <w:szCs w:val="20"/>
        </w:rPr>
        <w:t xml:space="preserve"> </w:t>
      </w:r>
      <w:r>
        <w:rPr>
          <w:rFonts w:ascii="Garamond" w:hAnsi="Garamond" w:cs="Garamond"/>
          <w:sz w:val="20"/>
          <w:szCs w:val="20"/>
        </w:rPr>
        <w:t>J.N.</w:t>
      </w:r>
      <w:r>
        <w:rPr>
          <w:rFonts w:ascii="Garamond" w:hAnsi="Garamond" w:cs="Garamond"/>
          <w:spacing w:val="-13"/>
          <w:sz w:val="20"/>
          <w:szCs w:val="20"/>
        </w:rPr>
        <w:t xml:space="preserve"> </w:t>
      </w:r>
      <w:r>
        <w:rPr>
          <w:rFonts w:ascii="Garamond" w:hAnsi="Garamond" w:cs="Garamond"/>
          <w:sz w:val="20"/>
          <w:szCs w:val="20"/>
        </w:rPr>
        <w:t>(2013).</w:t>
      </w:r>
      <w:r>
        <w:rPr>
          <w:rFonts w:ascii="Garamond" w:hAnsi="Garamond" w:cs="Garamond"/>
          <w:spacing w:val="-10"/>
          <w:sz w:val="20"/>
          <w:szCs w:val="20"/>
        </w:rPr>
        <w:t xml:space="preserve"> </w:t>
      </w:r>
      <w:r>
        <w:rPr>
          <w:rFonts w:ascii="Garamond" w:hAnsi="Garamond" w:cs="Garamond"/>
          <w:sz w:val="20"/>
          <w:szCs w:val="20"/>
        </w:rPr>
        <w:t>Health</w:t>
      </w:r>
      <w:r>
        <w:rPr>
          <w:rFonts w:ascii="Garamond" w:hAnsi="Garamond" w:cs="Garamond"/>
          <w:spacing w:val="-11"/>
          <w:sz w:val="20"/>
          <w:szCs w:val="20"/>
        </w:rPr>
        <w:t xml:space="preserve"> </w:t>
      </w:r>
      <w:r>
        <w:rPr>
          <w:rFonts w:ascii="Garamond" w:hAnsi="Garamond" w:cs="Garamond"/>
          <w:sz w:val="20"/>
          <w:szCs w:val="20"/>
        </w:rPr>
        <w:t>Care</w:t>
      </w:r>
      <w:r>
        <w:rPr>
          <w:rFonts w:ascii="Garamond" w:hAnsi="Garamond" w:cs="Garamond"/>
          <w:spacing w:val="-9"/>
          <w:sz w:val="20"/>
          <w:szCs w:val="20"/>
        </w:rPr>
        <w:t xml:space="preserve"> </w:t>
      </w:r>
      <w:r>
        <w:rPr>
          <w:rFonts w:ascii="Garamond" w:hAnsi="Garamond" w:cs="Garamond"/>
          <w:sz w:val="20"/>
          <w:szCs w:val="20"/>
        </w:rPr>
        <w:t>Payment</w:t>
      </w:r>
      <w:r>
        <w:rPr>
          <w:rFonts w:ascii="Garamond" w:hAnsi="Garamond" w:cs="Garamond"/>
          <w:spacing w:val="-13"/>
          <w:sz w:val="20"/>
          <w:szCs w:val="20"/>
        </w:rPr>
        <w:t xml:space="preserve"> </w:t>
      </w:r>
      <w:r>
        <w:rPr>
          <w:rFonts w:ascii="Garamond" w:hAnsi="Garamond" w:cs="Garamond"/>
          <w:sz w:val="20"/>
          <w:szCs w:val="20"/>
        </w:rPr>
        <w:t>and</w:t>
      </w:r>
      <w:r>
        <w:rPr>
          <w:rFonts w:ascii="Garamond" w:hAnsi="Garamond" w:cs="Garamond"/>
          <w:spacing w:val="-11"/>
          <w:sz w:val="20"/>
          <w:szCs w:val="20"/>
        </w:rPr>
        <w:t xml:space="preserve"> </w:t>
      </w:r>
      <w:r>
        <w:rPr>
          <w:rFonts w:ascii="Garamond" w:hAnsi="Garamond" w:cs="Garamond"/>
          <w:sz w:val="20"/>
          <w:szCs w:val="20"/>
        </w:rPr>
        <w:t>Delivery</w:t>
      </w:r>
      <w:r>
        <w:rPr>
          <w:rFonts w:ascii="Garamond" w:hAnsi="Garamond" w:cs="Garamond"/>
          <w:spacing w:val="-14"/>
          <w:sz w:val="20"/>
          <w:szCs w:val="20"/>
        </w:rPr>
        <w:t xml:space="preserve"> </w:t>
      </w:r>
      <w:r>
        <w:rPr>
          <w:rFonts w:ascii="Garamond" w:hAnsi="Garamond" w:cs="Garamond"/>
          <w:sz w:val="20"/>
          <w:szCs w:val="20"/>
        </w:rPr>
        <w:t>Reform</w:t>
      </w:r>
      <w:r>
        <w:rPr>
          <w:rFonts w:ascii="Garamond" w:hAnsi="Garamond" w:cs="Garamond"/>
          <w:spacing w:val="-10"/>
          <w:sz w:val="20"/>
          <w:szCs w:val="20"/>
        </w:rPr>
        <w:t xml:space="preserve"> </w:t>
      </w:r>
      <w:r>
        <w:rPr>
          <w:rFonts w:ascii="Garamond" w:hAnsi="Garamond" w:cs="Garamond"/>
          <w:sz w:val="20"/>
          <w:szCs w:val="20"/>
        </w:rPr>
        <w:t>in</w:t>
      </w:r>
      <w:r>
        <w:rPr>
          <w:rFonts w:ascii="Garamond" w:hAnsi="Garamond" w:cs="Garamond"/>
          <w:spacing w:val="-13"/>
          <w:sz w:val="20"/>
          <w:szCs w:val="20"/>
        </w:rPr>
        <w:t xml:space="preserve"> </w:t>
      </w:r>
      <w:r>
        <w:rPr>
          <w:rFonts w:ascii="Garamond" w:hAnsi="Garamond" w:cs="Garamond"/>
          <w:sz w:val="20"/>
          <w:szCs w:val="20"/>
        </w:rPr>
        <w:t>Minnesota</w:t>
      </w:r>
      <w:r>
        <w:rPr>
          <w:rFonts w:ascii="Garamond" w:hAnsi="Garamond" w:cs="Garamond"/>
          <w:spacing w:val="-7"/>
          <w:sz w:val="20"/>
          <w:szCs w:val="20"/>
        </w:rPr>
        <w:t xml:space="preserve"> </w:t>
      </w:r>
      <w:r>
        <w:rPr>
          <w:rFonts w:ascii="Garamond" w:hAnsi="Garamond" w:cs="Garamond"/>
          <w:sz w:val="20"/>
          <w:szCs w:val="20"/>
        </w:rPr>
        <w:t>Medicaid.</w:t>
      </w:r>
      <w:r>
        <w:rPr>
          <w:rFonts w:ascii="Garamond" w:hAnsi="Garamond" w:cs="Garamond"/>
          <w:spacing w:val="-6"/>
          <w:sz w:val="20"/>
          <w:szCs w:val="20"/>
        </w:rPr>
        <w:t xml:space="preserve"> </w:t>
      </w:r>
      <w:r>
        <w:rPr>
          <w:rFonts w:ascii="Garamond" w:hAnsi="Garamond" w:cs="Garamond"/>
          <w:i/>
          <w:iCs/>
          <w:sz w:val="20"/>
          <w:szCs w:val="20"/>
        </w:rPr>
        <w:t>The</w:t>
      </w:r>
      <w:r>
        <w:rPr>
          <w:rFonts w:ascii="Garamond" w:hAnsi="Garamond" w:cs="Garamond"/>
          <w:i/>
          <w:iCs/>
          <w:spacing w:val="-13"/>
          <w:sz w:val="20"/>
          <w:szCs w:val="20"/>
        </w:rPr>
        <w:t xml:space="preserve"> </w:t>
      </w:r>
      <w:r>
        <w:rPr>
          <w:rFonts w:ascii="Garamond" w:hAnsi="Garamond" w:cs="Garamond"/>
          <w:i/>
          <w:iCs/>
          <w:sz w:val="20"/>
          <w:szCs w:val="20"/>
        </w:rPr>
        <w:t>Commonwealth</w:t>
      </w:r>
      <w:r>
        <w:rPr>
          <w:rFonts w:ascii="Garamond" w:hAnsi="Garamond" w:cs="Garamond"/>
          <w:i/>
          <w:iCs/>
          <w:spacing w:val="-9"/>
          <w:sz w:val="20"/>
          <w:szCs w:val="20"/>
        </w:rPr>
        <w:t xml:space="preserve"> </w:t>
      </w:r>
      <w:r>
        <w:rPr>
          <w:rFonts w:ascii="Garamond" w:hAnsi="Garamond" w:cs="Garamond"/>
          <w:i/>
          <w:iCs/>
          <w:sz w:val="20"/>
          <w:szCs w:val="20"/>
        </w:rPr>
        <w:t>Fund</w:t>
      </w:r>
      <w:r>
        <w:rPr>
          <w:rFonts w:ascii="Garamond" w:hAnsi="Garamond" w:cs="Garamond"/>
          <w:sz w:val="20"/>
          <w:szCs w:val="20"/>
        </w:rPr>
        <w:t xml:space="preserve">. </w:t>
      </w:r>
      <w:r>
        <w:rPr>
          <w:rFonts w:ascii="Garamond" w:hAnsi="Garamond" w:cs="Garamond"/>
          <w:i/>
          <w:iCs/>
          <w:sz w:val="20"/>
          <w:szCs w:val="20"/>
        </w:rPr>
        <w:t>12</w:t>
      </w:r>
      <w:r>
        <w:rPr>
          <w:rFonts w:ascii="Garamond" w:hAnsi="Garamond" w:cs="Garamond"/>
          <w:sz w:val="20"/>
          <w:szCs w:val="20"/>
        </w:rPr>
        <w:t>:1667.</w:t>
      </w:r>
    </w:p>
    <w:p w:rsidR="002C5025" w:rsidRDefault="002C5025">
      <w:pPr>
        <w:pStyle w:val="BodyText"/>
        <w:kinsoku w:val="0"/>
        <w:overflowPunct w:val="0"/>
        <w:ind w:left="120" w:right="225"/>
        <w:rPr>
          <w:rFonts w:ascii="Garamond" w:hAnsi="Garamond" w:cs="Garamond"/>
          <w:sz w:val="20"/>
          <w:szCs w:val="20"/>
        </w:rPr>
      </w:pPr>
      <w:r>
        <w:rPr>
          <w:rFonts w:ascii="Garamond" w:hAnsi="Garamond" w:cs="Garamond"/>
          <w:position w:val="5"/>
          <w:sz w:val="13"/>
          <w:szCs w:val="13"/>
        </w:rPr>
        <w:t>10</w:t>
      </w:r>
      <w:r>
        <w:rPr>
          <w:rFonts w:ascii="Garamond" w:hAnsi="Garamond" w:cs="Garamond"/>
          <w:spacing w:val="8"/>
          <w:position w:val="5"/>
          <w:sz w:val="13"/>
          <w:szCs w:val="13"/>
        </w:rPr>
        <w:t xml:space="preserve"> </w:t>
      </w:r>
      <w:r>
        <w:rPr>
          <w:rFonts w:ascii="Garamond" w:hAnsi="Garamond" w:cs="Garamond"/>
          <w:sz w:val="20"/>
          <w:szCs w:val="20"/>
        </w:rPr>
        <w:t>Ng,</w:t>
      </w:r>
      <w:r>
        <w:rPr>
          <w:rFonts w:ascii="Garamond" w:hAnsi="Garamond" w:cs="Garamond"/>
          <w:spacing w:val="-9"/>
          <w:sz w:val="20"/>
          <w:szCs w:val="20"/>
        </w:rPr>
        <w:t xml:space="preserve"> </w:t>
      </w:r>
      <w:r>
        <w:rPr>
          <w:rFonts w:ascii="Garamond" w:hAnsi="Garamond" w:cs="Garamond"/>
          <w:sz w:val="20"/>
          <w:szCs w:val="20"/>
        </w:rPr>
        <w:t>M.</w:t>
      </w:r>
      <w:r>
        <w:rPr>
          <w:rFonts w:ascii="Garamond" w:hAnsi="Garamond" w:cs="Garamond"/>
          <w:spacing w:val="-9"/>
          <w:sz w:val="20"/>
          <w:szCs w:val="20"/>
        </w:rPr>
        <w:t xml:space="preserve"> </w:t>
      </w:r>
      <w:r>
        <w:rPr>
          <w:rFonts w:ascii="Garamond" w:hAnsi="Garamond" w:cs="Garamond"/>
          <w:sz w:val="20"/>
          <w:szCs w:val="20"/>
        </w:rPr>
        <w:t>W.,</w:t>
      </w:r>
      <w:r>
        <w:rPr>
          <w:rFonts w:ascii="Garamond" w:hAnsi="Garamond" w:cs="Garamond"/>
          <w:spacing w:val="-9"/>
          <w:sz w:val="20"/>
          <w:szCs w:val="20"/>
        </w:rPr>
        <w:t xml:space="preserve"> </w:t>
      </w:r>
      <w:r>
        <w:rPr>
          <w:rFonts w:ascii="Garamond" w:hAnsi="Garamond" w:cs="Garamond"/>
          <w:sz w:val="20"/>
          <w:szCs w:val="20"/>
        </w:rPr>
        <w:t>Ramos-Gomez,</w:t>
      </w:r>
      <w:r>
        <w:rPr>
          <w:rFonts w:ascii="Garamond" w:hAnsi="Garamond" w:cs="Garamond"/>
          <w:spacing w:val="-9"/>
          <w:sz w:val="20"/>
          <w:szCs w:val="20"/>
        </w:rPr>
        <w:t xml:space="preserve"> </w:t>
      </w:r>
      <w:r>
        <w:rPr>
          <w:rFonts w:ascii="Garamond" w:hAnsi="Garamond" w:cs="Garamond"/>
          <w:sz w:val="20"/>
          <w:szCs w:val="20"/>
        </w:rPr>
        <w:t>F.,</w:t>
      </w:r>
      <w:r>
        <w:rPr>
          <w:rFonts w:ascii="Garamond" w:hAnsi="Garamond" w:cs="Garamond"/>
          <w:spacing w:val="-9"/>
          <w:sz w:val="20"/>
          <w:szCs w:val="20"/>
        </w:rPr>
        <w:t xml:space="preserve"> </w:t>
      </w:r>
      <w:r>
        <w:rPr>
          <w:rFonts w:ascii="Garamond" w:hAnsi="Garamond" w:cs="Garamond"/>
          <w:sz w:val="20"/>
          <w:szCs w:val="20"/>
        </w:rPr>
        <w:t>Lieberman,</w:t>
      </w:r>
      <w:r>
        <w:rPr>
          <w:rFonts w:ascii="Garamond" w:hAnsi="Garamond" w:cs="Garamond"/>
          <w:spacing w:val="-9"/>
          <w:sz w:val="20"/>
          <w:szCs w:val="20"/>
        </w:rPr>
        <w:t xml:space="preserve"> </w:t>
      </w:r>
      <w:r>
        <w:rPr>
          <w:rFonts w:ascii="Garamond" w:hAnsi="Garamond" w:cs="Garamond"/>
          <w:sz w:val="20"/>
          <w:szCs w:val="20"/>
        </w:rPr>
        <w:t>M.,</w:t>
      </w:r>
      <w:r>
        <w:rPr>
          <w:rFonts w:ascii="Garamond" w:hAnsi="Garamond" w:cs="Garamond"/>
          <w:spacing w:val="-9"/>
          <w:sz w:val="20"/>
          <w:szCs w:val="20"/>
        </w:rPr>
        <w:t xml:space="preserve"> </w:t>
      </w:r>
      <w:r>
        <w:rPr>
          <w:rFonts w:ascii="Garamond" w:hAnsi="Garamond" w:cs="Garamond"/>
          <w:sz w:val="20"/>
          <w:szCs w:val="20"/>
        </w:rPr>
        <w:t>Lee,</w:t>
      </w:r>
      <w:r>
        <w:rPr>
          <w:rFonts w:ascii="Garamond" w:hAnsi="Garamond" w:cs="Garamond"/>
          <w:spacing w:val="-9"/>
          <w:sz w:val="20"/>
          <w:szCs w:val="20"/>
        </w:rPr>
        <w:t xml:space="preserve"> </w:t>
      </w:r>
      <w:r>
        <w:rPr>
          <w:rFonts w:ascii="Garamond" w:hAnsi="Garamond" w:cs="Garamond"/>
          <w:sz w:val="20"/>
          <w:szCs w:val="20"/>
        </w:rPr>
        <w:t>J.</w:t>
      </w:r>
      <w:r>
        <w:rPr>
          <w:rFonts w:ascii="Garamond" w:hAnsi="Garamond" w:cs="Garamond"/>
          <w:spacing w:val="-12"/>
          <w:sz w:val="20"/>
          <w:szCs w:val="20"/>
        </w:rPr>
        <w:t xml:space="preserve"> </w:t>
      </w:r>
      <w:r>
        <w:rPr>
          <w:rFonts w:ascii="Garamond" w:hAnsi="Garamond" w:cs="Garamond"/>
          <w:sz w:val="20"/>
          <w:szCs w:val="20"/>
        </w:rPr>
        <w:t>Y.,</w:t>
      </w:r>
      <w:r>
        <w:rPr>
          <w:rFonts w:ascii="Garamond" w:hAnsi="Garamond" w:cs="Garamond"/>
          <w:spacing w:val="-9"/>
          <w:sz w:val="20"/>
          <w:szCs w:val="20"/>
        </w:rPr>
        <w:t xml:space="preserve"> </w:t>
      </w:r>
      <w:proofErr w:type="spellStart"/>
      <w:r>
        <w:rPr>
          <w:rFonts w:ascii="Garamond" w:hAnsi="Garamond" w:cs="Garamond"/>
          <w:sz w:val="20"/>
          <w:szCs w:val="20"/>
        </w:rPr>
        <w:t>Scoville</w:t>
      </w:r>
      <w:proofErr w:type="spellEnd"/>
      <w:r>
        <w:rPr>
          <w:rFonts w:ascii="Garamond" w:hAnsi="Garamond" w:cs="Garamond"/>
          <w:sz w:val="20"/>
          <w:szCs w:val="20"/>
        </w:rPr>
        <w:t>,</w:t>
      </w:r>
      <w:r>
        <w:rPr>
          <w:rFonts w:ascii="Garamond" w:hAnsi="Garamond" w:cs="Garamond"/>
          <w:spacing w:val="-9"/>
          <w:sz w:val="20"/>
          <w:szCs w:val="20"/>
        </w:rPr>
        <w:t xml:space="preserve"> </w:t>
      </w:r>
      <w:r>
        <w:rPr>
          <w:rFonts w:ascii="Garamond" w:hAnsi="Garamond" w:cs="Garamond"/>
          <w:sz w:val="20"/>
          <w:szCs w:val="20"/>
        </w:rPr>
        <w:t>R.,</w:t>
      </w:r>
      <w:r>
        <w:rPr>
          <w:rFonts w:ascii="Garamond" w:hAnsi="Garamond" w:cs="Garamond"/>
          <w:spacing w:val="-9"/>
          <w:sz w:val="20"/>
          <w:szCs w:val="20"/>
        </w:rPr>
        <w:t xml:space="preserve"> </w:t>
      </w:r>
      <w:r>
        <w:rPr>
          <w:rFonts w:ascii="Garamond" w:hAnsi="Garamond" w:cs="Garamond"/>
          <w:sz w:val="20"/>
          <w:szCs w:val="20"/>
        </w:rPr>
        <w:t>Hannon,</w:t>
      </w:r>
      <w:r>
        <w:rPr>
          <w:rFonts w:ascii="Garamond" w:hAnsi="Garamond" w:cs="Garamond"/>
          <w:spacing w:val="-9"/>
          <w:sz w:val="20"/>
          <w:szCs w:val="20"/>
        </w:rPr>
        <w:t xml:space="preserve"> </w:t>
      </w:r>
      <w:r>
        <w:rPr>
          <w:rFonts w:ascii="Garamond" w:hAnsi="Garamond" w:cs="Garamond"/>
          <w:sz w:val="20"/>
          <w:szCs w:val="20"/>
        </w:rPr>
        <w:t>C.,</w:t>
      </w:r>
      <w:r>
        <w:rPr>
          <w:rFonts w:ascii="Garamond" w:hAnsi="Garamond" w:cs="Garamond"/>
          <w:spacing w:val="-12"/>
          <w:sz w:val="20"/>
          <w:szCs w:val="20"/>
        </w:rPr>
        <w:t xml:space="preserve"> </w:t>
      </w:r>
      <w:r>
        <w:rPr>
          <w:rFonts w:ascii="Garamond" w:hAnsi="Garamond" w:cs="Garamond"/>
          <w:sz w:val="20"/>
          <w:szCs w:val="20"/>
        </w:rPr>
        <w:t>&amp;</w:t>
      </w:r>
      <w:r>
        <w:rPr>
          <w:rFonts w:ascii="Garamond" w:hAnsi="Garamond" w:cs="Garamond"/>
          <w:spacing w:val="-5"/>
          <w:sz w:val="20"/>
          <w:szCs w:val="20"/>
        </w:rPr>
        <w:t xml:space="preserve"> </w:t>
      </w:r>
      <w:proofErr w:type="spellStart"/>
      <w:r>
        <w:rPr>
          <w:rFonts w:ascii="Garamond" w:hAnsi="Garamond" w:cs="Garamond"/>
          <w:sz w:val="20"/>
          <w:szCs w:val="20"/>
        </w:rPr>
        <w:t>Maramaldi</w:t>
      </w:r>
      <w:proofErr w:type="spellEnd"/>
      <w:r>
        <w:rPr>
          <w:rFonts w:ascii="Garamond" w:hAnsi="Garamond" w:cs="Garamond"/>
          <w:sz w:val="20"/>
          <w:szCs w:val="20"/>
        </w:rPr>
        <w:t>,</w:t>
      </w:r>
      <w:r>
        <w:rPr>
          <w:rFonts w:ascii="Garamond" w:hAnsi="Garamond" w:cs="Garamond"/>
          <w:spacing w:val="-9"/>
          <w:sz w:val="20"/>
          <w:szCs w:val="20"/>
        </w:rPr>
        <w:t xml:space="preserve"> </w:t>
      </w:r>
      <w:r>
        <w:rPr>
          <w:rFonts w:ascii="Garamond" w:hAnsi="Garamond" w:cs="Garamond"/>
          <w:sz w:val="20"/>
          <w:szCs w:val="20"/>
        </w:rPr>
        <w:t>P.</w:t>
      </w:r>
      <w:r>
        <w:rPr>
          <w:rFonts w:ascii="Garamond" w:hAnsi="Garamond" w:cs="Garamond"/>
          <w:spacing w:val="-2"/>
          <w:sz w:val="20"/>
          <w:szCs w:val="20"/>
        </w:rPr>
        <w:t xml:space="preserve"> </w:t>
      </w:r>
      <w:r>
        <w:rPr>
          <w:rFonts w:ascii="Garamond" w:hAnsi="Garamond" w:cs="Garamond"/>
          <w:sz w:val="20"/>
          <w:szCs w:val="20"/>
        </w:rPr>
        <w:t>(2014).</w:t>
      </w:r>
      <w:r>
        <w:rPr>
          <w:rFonts w:ascii="Garamond" w:hAnsi="Garamond" w:cs="Garamond"/>
          <w:spacing w:val="-9"/>
          <w:sz w:val="20"/>
          <w:szCs w:val="20"/>
        </w:rPr>
        <w:t xml:space="preserve"> </w:t>
      </w:r>
      <w:r>
        <w:rPr>
          <w:rFonts w:ascii="Garamond" w:hAnsi="Garamond" w:cs="Garamond"/>
          <w:sz w:val="20"/>
          <w:szCs w:val="20"/>
        </w:rPr>
        <w:t xml:space="preserve">Disease Management of Early Childhood Caries: ECC Collaborative Project. </w:t>
      </w:r>
      <w:r>
        <w:rPr>
          <w:rFonts w:ascii="Garamond" w:hAnsi="Garamond" w:cs="Garamond"/>
          <w:i/>
          <w:iCs/>
          <w:sz w:val="20"/>
          <w:szCs w:val="20"/>
        </w:rPr>
        <w:t xml:space="preserve">International Journal of Dentistry, 2014, </w:t>
      </w:r>
      <w:r>
        <w:rPr>
          <w:rFonts w:ascii="Garamond" w:hAnsi="Garamond" w:cs="Garamond"/>
          <w:sz w:val="20"/>
          <w:szCs w:val="20"/>
        </w:rPr>
        <w:t xml:space="preserve">327801. </w:t>
      </w:r>
      <w:hyperlink r:id="rId544" w:history="1">
        <w:r>
          <w:rPr>
            <w:rFonts w:ascii="Garamond" w:hAnsi="Garamond" w:cs="Garamond"/>
            <w:sz w:val="20"/>
            <w:szCs w:val="20"/>
          </w:rPr>
          <w:t>http://doi.org/10.1155/2014/327801</w:t>
        </w:r>
      </w:hyperlink>
    </w:p>
    <w:p w:rsidR="002C5025" w:rsidRDefault="002C5025">
      <w:pPr>
        <w:pStyle w:val="BodyText"/>
        <w:kinsoku w:val="0"/>
        <w:overflowPunct w:val="0"/>
        <w:ind w:left="120" w:right="85"/>
        <w:rPr>
          <w:rFonts w:ascii="Garamond" w:hAnsi="Garamond" w:cs="Garamond"/>
          <w:sz w:val="20"/>
          <w:szCs w:val="20"/>
        </w:rPr>
      </w:pPr>
      <w:r>
        <w:rPr>
          <w:rFonts w:ascii="Garamond" w:hAnsi="Garamond" w:cs="Garamond"/>
          <w:position w:val="5"/>
          <w:sz w:val="13"/>
          <w:szCs w:val="13"/>
        </w:rPr>
        <w:t>11</w:t>
      </w:r>
      <w:r>
        <w:rPr>
          <w:rFonts w:ascii="Garamond" w:hAnsi="Garamond" w:cs="Garamond"/>
          <w:spacing w:val="8"/>
          <w:position w:val="5"/>
          <w:sz w:val="13"/>
          <w:szCs w:val="13"/>
        </w:rPr>
        <w:t xml:space="preserve"> </w:t>
      </w:r>
      <w:r>
        <w:rPr>
          <w:rFonts w:ascii="Garamond" w:hAnsi="Garamond" w:cs="Garamond"/>
          <w:sz w:val="20"/>
          <w:szCs w:val="20"/>
        </w:rPr>
        <w:t>Ludwig,</w:t>
      </w:r>
      <w:r>
        <w:rPr>
          <w:rFonts w:ascii="Garamond" w:hAnsi="Garamond" w:cs="Garamond"/>
          <w:spacing w:val="-9"/>
          <w:sz w:val="20"/>
          <w:szCs w:val="20"/>
        </w:rPr>
        <w:t xml:space="preserve"> </w:t>
      </w:r>
      <w:r>
        <w:rPr>
          <w:rFonts w:ascii="Garamond" w:hAnsi="Garamond" w:cs="Garamond"/>
          <w:sz w:val="20"/>
          <w:szCs w:val="20"/>
        </w:rPr>
        <w:t>S.</w:t>
      </w:r>
      <w:r>
        <w:rPr>
          <w:rFonts w:ascii="Garamond" w:hAnsi="Garamond" w:cs="Garamond"/>
          <w:spacing w:val="-9"/>
          <w:sz w:val="20"/>
          <w:szCs w:val="20"/>
        </w:rPr>
        <w:t xml:space="preserve"> </w:t>
      </w:r>
      <w:r>
        <w:rPr>
          <w:rFonts w:ascii="Garamond" w:hAnsi="Garamond" w:cs="Garamond"/>
          <w:sz w:val="20"/>
          <w:szCs w:val="20"/>
        </w:rPr>
        <w:t>(2016).</w:t>
      </w:r>
      <w:r>
        <w:rPr>
          <w:rFonts w:ascii="Garamond" w:hAnsi="Garamond" w:cs="Garamond"/>
          <w:spacing w:val="-9"/>
          <w:sz w:val="20"/>
          <w:szCs w:val="20"/>
        </w:rPr>
        <w:t xml:space="preserve"> </w:t>
      </w:r>
      <w:r>
        <w:rPr>
          <w:rFonts w:ascii="Garamond" w:hAnsi="Garamond" w:cs="Garamond"/>
          <w:i/>
          <w:iCs/>
          <w:sz w:val="20"/>
          <w:szCs w:val="20"/>
        </w:rPr>
        <w:t>PREDICT:</w:t>
      </w:r>
      <w:r>
        <w:rPr>
          <w:rFonts w:ascii="Garamond" w:hAnsi="Garamond" w:cs="Garamond"/>
          <w:i/>
          <w:iCs/>
          <w:spacing w:val="-9"/>
          <w:sz w:val="20"/>
          <w:szCs w:val="20"/>
        </w:rPr>
        <w:t xml:space="preserve"> </w:t>
      </w:r>
      <w:r>
        <w:rPr>
          <w:rFonts w:ascii="Garamond" w:hAnsi="Garamond" w:cs="Garamond"/>
          <w:i/>
          <w:iCs/>
          <w:sz w:val="20"/>
          <w:szCs w:val="20"/>
        </w:rPr>
        <w:t>Delivery</w:t>
      </w:r>
      <w:r>
        <w:rPr>
          <w:rFonts w:ascii="Garamond" w:hAnsi="Garamond" w:cs="Garamond"/>
          <w:i/>
          <w:iCs/>
          <w:spacing w:val="-10"/>
          <w:sz w:val="20"/>
          <w:szCs w:val="20"/>
        </w:rPr>
        <w:t xml:space="preserve"> </w:t>
      </w:r>
      <w:r>
        <w:rPr>
          <w:rFonts w:ascii="Garamond" w:hAnsi="Garamond" w:cs="Garamond"/>
          <w:i/>
          <w:iCs/>
          <w:sz w:val="20"/>
          <w:szCs w:val="20"/>
        </w:rPr>
        <w:t>System</w:t>
      </w:r>
      <w:r>
        <w:rPr>
          <w:rFonts w:ascii="Garamond" w:hAnsi="Garamond" w:cs="Garamond"/>
          <w:i/>
          <w:iCs/>
          <w:spacing w:val="-11"/>
          <w:sz w:val="20"/>
          <w:szCs w:val="20"/>
        </w:rPr>
        <w:t xml:space="preserve"> </w:t>
      </w:r>
      <w:r>
        <w:rPr>
          <w:rFonts w:ascii="Garamond" w:hAnsi="Garamond" w:cs="Garamond"/>
          <w:i/>
          <w:iCs/>
          <w:sz w:val="20"/>
          <w:szCs w:val="20"/>
        </w:rPr>
        <w:t>Design</w:t>
      </w:r>
      <w:r>
        <w:rPr>
          <w:rFonts w:ascii="Garamond" w:hAnsi="Garamond" w:cs="Garamond"/>
          <w:i/>
          <w:iCs/>
          <w:spacing w:val="-12"/>
          <w:sz w:val="20"/>
          <w:szCs w:val="20"/>
        </w:rPr>
        <w:t xml:space="preserve"> </w:t>
      </w:r>
      <w:r>
        <w:rPr>
          <w:rFonts w:ascii="Garamond" w:hAnsi="Garamond" w:cs="Garamond"/>
          <w:i/>
          <w:iCs/>
          <w:sz w:val="20"/>
          <w:szCs w:val="20"/>
        </w:rPr>
        <w:t>&amp;</w:t>
      </w:r>
      <w:r>
        <w:rPr>
          <w:rFonts w:ascii="Garamond" w:hAnsi="Garamond" w:cs="Garamond"/>
          <w:i/>
          <w:iCs/>
          <w:spacing w:val="-9"/>
          <w:sz w:val="20"/>
          <w:szCs w:val="20"/>
        </w:rPr>
        <w:t xml:space="preserve"> </w:t>
      </w:r>
      <w:r>
        <w:rPr>
          <w:rFonts w:ascii="Garamond" w:hAnsi="Garamond" w:cs="Garamond"/>
          <w:i/>
          <w:iCs/>
          <w:sz w:val="20"/>
          <w:szCs w:val="20"/>
        </w:rPr>
        <w:t>Science</w:t>
      </w:r>
      <w:r>
        <w:rPr>
          <w:rFonts w:ascii="Garamond" w:hAnsi="Garamond" w:cs="Garamond"/>
          <w:i/>
          <w:iCs/>
          <w:spacing w:val="-12"/>
          <w:sz w:val="20"/>
          <w:szCs w:val="20"/>
        </w:rPr>
        <w:t xml:space="preserve"> </w:t>
      </w:r>
      <w:r>
        <w:rPr>
          <w:rFonts w:ascii="Garamond" w:hAnsi="Garamond" w:cs="Garamond"/>
          <w:i/>
          <w:iCs/>
          <w:sz w:val="20"/>
          <w:szCs w:val="20"/>
        </w:rPr>
        <w:t>to</w:t>
      </w:r>
      <w:r>
        <w:rPr>
          <w:rFonts w:ascii="Garamond" w:hAnsi="Garamond" w:cs="Garamond"/>
          <w:i/>
          <w:iCs/>
          <w:spacing w:val="-10"/>
          <w:sz w:val="20"/>
          <w:szCs w:val="20"/>
        </w:rPr>
        <w:t xml:space="preserve"> </w:t>
      </w:r>
      <w:r>
        <w:rPr>
          <w:rFonts w:ascii="Garamond" w:hAnsi="Garamond" w:cs="Garamond"/>
          <w:i/>
          <w:iCs/>
          <w:sz w:val="20"/>
          <w:szCs w:val="20"/>
        </w:rPr>
        <w:t>Reduce</w:t>
      </w:r>
      <w:r>
        <w:rPr>
          <w:rFonts w:ascii="Garamond" w:hAnsi="Garamond" w:cs="Garamond"/>
          <w:i/>
          <w:iCs/>
          <w:spacing w:val="-12"/>
          <w:sz w:val="20"/>
          <w:szCs w:val="20"/>
        </w:rPr>
        <w:t xml:space="preserve"> </w:t>
      </w:r>
      <w:r>
        <w:rPr>
          <w:rFonts w:ascii="Garamond" w:hAnsi="Garamond" w:cs="Garamond"/>
          <w:i/>
          <w:iCs/>
          <w:sz w:val="20"/>
          <w:szCs w:val="20"/>
        </w:rPr>
        <w:t>Oral</w:t>
      </w:r>
      <w:r>
        <w:rPr>
          <w:rFonts w:ascii="Garamond" w:hAnsi="Garamond" w:cs="Garamond"/>
          <w:i/>
          <w:iCs/>
          <w:spacing w:val="-9"/>
          <w:sz w:val="20"/>
          <w:szCs w:val="20"/>
        </w:rPr>
        <w:t xml:space="preserve"> </w:t>
      </w:r>
      <w:r>
        <w:rPr>
          <w:rFonts w:ascii="Garamond" w:hAnsi="Garamond" w:cs="Garamond"/>
          <w:i/>
          <w:iCs/>
          <w:sz w:val="20"/>
          <w:szCs w:val="20"/>
        </w:rPr>
        <w:t>Health</w:t>
      </w:r>
      <w:r>
        <w:rPr>
          <w:rFonts w:ascii="Garamond" w:hAnsi="Garamond" w:cs="Garamond"/>
          <w:i/>
          <w:iCs/>
          <w:spacing w:val="-8"/>
          <w:sz w:val="20"/>
          <w:szCs w:val="20"/>
        </w:rPr>
        <w:t xml:space="preserve"> </w:t>
      </w:r>
      <w:r>
        <w:rPr>
          <w:rFonts w:ascii="Garamond" w:hAnsi="Garamond" w:cs="Garamond"/>
          <w:i/>
          <w:iCs/>
          <w:sz w:val="20"/>
          <w:szCs w:val="20"/>
        </w:rPr>
        <w:t>Disparities</w:t>
      </w:r>
      <w:r>
        <w:rPr>
          <w:rFonts w:ascii="Garamond" w:hAnsi="Garamond" w:cs="Garamond"/>
          <w:i/>
          <w:iCs/>
          <w:spacing w:val="-9"/>
          <w:sz w:val="20"/>
          <w:szCs w:val="20"/>
        </w:rPr>
        <w:t xml:space="preserve"> </w:t>
      </w:r>
      <w:r>
        <w:rPr>
          <w:rFonts w:ascii="Garamond" w:hAnsi="Garamond" w:cs="Garamond"/>
          <w:i/>
          <w:iCs/>
          <w:sz w:val="20"/>
          <w:szCs w:val="20"/>
        </w:rPr>
        <w:t>in</w:t>
      </w:r>
      <w:r>
        <w:rPr>
          <w:rFonts w:ascii="Garamond" w:hAnsi="Garamond" w:cs="Garamond"/>
          <w:i/>
          <w:iCs/>
          <w:spacing w:val="-8"/>
          <w:sz w:val="20"/>
          <w:szCs w:val="20"/>
        </w:rPr>
        <w:t xml:space="preserve"> </w:t>
      </w:r>
      <w:r>
        <w:rPr>
          <w:rFonts w:ascii="Garamond" w:hAnsi="Garamond" w:cs="Garamond"/>
          <w:i/>
          <w:iCs/>
          <w:sz w:val="20"/>
          <w:szCs w:val="20"/>
        </w:rPr>
        <w:t>Rural</w:t>
      </w:r>
      <w:r>
        <w:rPr>
          <w:rFonts w:ascii="Garamond" w:hAnsi="Garamond" w:cs="Garamond"/>
          <w:i/>
          <w:iCs/>
          <w:spacing w:val="-9"/>
          <w:sz w:val="20"/>
          <w:szCs w:val="20"/>
        </w:rPr>
        <w:t xml:space="preserve"> </w:t>
      </w:r>
      <w:r>
        <w:rPr>
          <w:rFonts w:ascii="Garamond" w:hAnsi="Garamond" w:cs="Garamond"/>
          <w:i/>
          <w:iCs/>
          <w:sz w:val="20"/>
          <w:szCs w:val="20"/>
        </w:rPr>
        <w:t>Oregon</w:t>
      </w:r>
      <w:r>
        <w:rPr>
          <w:rFonts w:ascii="Garamond" w:hAnsi="Garamond" w:cs="Garamond"/>
          <w:i/>
          <w:iCs/>
          <w:spacing w:val="-10"/>
          <w:sz w:val="20"/>
          <w:szCs w:val="20"/>
        </w:rPr>
        <w:t xml:space="preserve"> </w:t>
      </w:r>
      <w:r>
        <w:rPr>
          <w:rFonts w:ascii="Garamond" w:hAnsi="Garamond" w:cs="Garamond"/>
          <w:sz w:val="20"/>
          <w:szCs w:val="20"/>
        </w:rPr>
        <w:t>[</w:t>
      </w:r>
      <w:proofErr w:type="spellStart"/>
      <w:r>
        <w:rPr>
          <w:rFonts w:ascii="Garamond" w:hAnsi="Garamond" w:cs="Garamond"/>
          <w:sz w:val="20"/>
          <w:szCs w:val="20"/>
        </w:rPr>
        <w:t>Powerpoint</w:t>
      </w:r>
      <w:proofErr w:type="spellEnd"/>
      <w:r>
        <w:rPr>
          <w:rFonts w:ascii="Garamond" w:hAnsi="Garamond" w:cs="Garamond"/>
          <w:sz w:val="20"/>
          <w:szCs w:val="20"/>
        </w:rPr>
        <w:t xml:space="preserve"> slides].</w:t>
      </w:r>
      <w:r>
        <w:rPr>
          <w:rFonts w:ascii="Garamond" w:hAnsi="Garamond" w:cs="Garamond"/>
          <w:spacing w:val="-37"/>
          <w:sz w:val="20"/>
          <w:szCs w:val="20"/>
        </w:rPr>
        <w:t xml:space="preserve"> </w:t>
      </w:r>
      <w:r>
        <w:rPr>
          <w:rFonts w:ascii="Garamond" w:hAnsi="Garamond" w:cs="Garamond"/>
          <w:sz w:val="20"/>
          <w:szCs w:val="20"/>
        </w:rPr>
        <w:t>Retrieved</w:t>
      </w:r>
      <w:r>
        <w:rPr>
          <w:rFonts w:ascii="Garamond" w:hAnsi="Garamond" w:cs="Garamond"/>
          <w:spacing w:val="-36"/>
          <w:sz w:val="20"/>
          <w:szCs w:val="20"/>
        </w:rPr>
        <w:t xml:space="preserve"> </w:t>
      </w:r>
      <w:r>
        <w:rPr>
          <w:rFonts w:ascii="Garamond" w:hAnsi="Garamond" w:cs="Garamond"/>
          <w:sz w:val="20"/>
          <w:szCs w:val="20"/>
        </w:rPr>
        <w:t>from</w:t>
      </w:r>
      <w:r>
        <w:rPr>
          <w:rFonts w:ascii="Garamond" w:hAnsi="Garamond" w:cs="Garamond"/>
          <w:spacing w:val="-35"/>
          <w:sz w:val="20"/>
          <w:szCs w:val="20"/>
        </w:rPr>
        <w:t xml:space="preserve"> </w:t>
      </w:r>
      <w:hyperlink r:id="rId545" w:history="1">
        <w:r>
          <w:rPr>
            <w:rFonts w:ascii="Garamond" w:hAnsi="Garamond" w:cs="Garamond"/>
            <w:sz w:val="20"/>
            <w:szCs w:val="20"/>
          </w:rPr>
          <w:t>http://www.nationaloralhealthconference.com/docs/presentations/2016/04-</w:t>
        </w:r>
      </w:hyperlink>
    </w:p>
    <w:p w:rsidR="002C5025" w:rsidRDefault="002C5025">
      <w:pPr>
        <w:pStyle w:val="BodyText"/>
        <w:kinsoku w:val="0"/>
        <w:overflowPunct w:val="0"/>
        <w:spacing w:before="6"/>
        <w:rPr>
          <w:rFonts w:ascii="Garamond" w:hAnsi="Garamond" w:cs="Garamond"/>
          <w:sz w:val="12"/>
          <w:szCs w:val="12"/>
        </w:rPr>
      </w:pPr>
    </w:p>
    <w:p w:rsidR="002C5025" w:rsidRDefault="002C5025">
      <w:pPr>
        <w:pStyle w:val="BodyText"/>
        <w:kinsoku w:val="0"/>
        <w:overflowPunct w:val="0"/>
        <w:spacing w:before="80"/>
        <w:ind w:left="41"/>
        <w:jc w:val="center"/>
        <w:rPr>
          <w:rFonts w:ascii="Garamond" w:hAnsi="Garamond" w:cs="Garamond"/>
        </w:rPr>
      </w:pPr>
      <w:r>
        <w:rPr>
          <w:rFonts w:ascii="Garamond" w:hAnsi="Garamond" w:cs="Garamond"/>
        </w:rPr>
        <w:t>4</w:t>
      </w:r>
    </w:p>
    <w:p w:rsidR="002C5025" w:rsidRDefault="002C5025">
      <w:pPr>
        <w:pStyle w:val="BodyText"/>
        <w:kinsoku w:val="0"/>
        <w:overflowPunct w:val="0"/>
        <w:spacing w:before="80"/>
        <w:ind w:left="41"/>
        <w:jc w:val="center"/>
        <w:rPr>
          <w:rFonts w:ascii="Garamond" w:hAnsi="Garamond" w:cs="Garamond"/>
        </w:rPr>
        <w:sectPr w:rsidR="002C5025">
          <w:pgSz w:w="12240" w:h="15840"/>
          <w:pgMar w:top="1500" w:right="1460" w:bottom="280" w:left="1320" w:header="720" w:footer="720" w:gutter="0"/>
          <w:cols w:space="720" w:equalWidth="0">
            <w:col w:w="9460"/>
          </w:cols>
          <w:noEndnote/>
        </w:sectPr>
      </w:pPr>
    </w:p>
    <w:p w:rsidR="002C5025" w:rsidRDefault="002C5025">
      <w:pPr>
        <w:pStyle w:val="BodyText"/>
        <w:kinsoku w:val="0"/>
        <w:overflowPunct w:val="0"/>
        <w:spacing w:before="8"/>
        <w:rPr>
          <w:rFonts w:ascii="Garamond" w:hAnsi="Garamond" w:cs="Garamond"/>
          <w:sz w:val="13"/>
          <w:szCs w:val="13"/>
        </w:rPr>
      </w:pPr>
    </w:p>
    <w:p w:rsidR="002C5025" w:rsidRDefault="002C5025">
      <w:pPr>
        <w:pStyle w:val="BodyText"/>
        <w:kinsoku w:val="0"/>
        <w:overflowPunct w:val="0"/>
        <w:spacing w:before="77"/>
        <w:ind w:left="120" w:right="201"/>
        <w:rPr>
          <w:rFonts w:ascii="Garamond" w:hAnsi="Garamond" w:cs="Garamond"/>
          <w:b/>
          <w:bCs/>
          <w:i/>
          <w:iCs/>
          <w:spacing w:val="8"/>
          <w:w w:val="90"/>
          <w:sz w:val="26"/>
          <w:szCs w:val="26"/>
        </w:rPr>
      </w:pPr>
      <w:bookmarkStart w:id="243" w:name="Use_DSRIP_funds_to_transition_delivery_s"/>
      <w:bookmarkEnd w:id="243"/>
      <w:r>
        <w:rPr>
          <w:rFonts w:ascii="Garamond" w:hAnsi="Garamond" w:cs="Garamond"/>
          <w:b/>
          <w:bCs/>
          <w:i/>
          <w:iCs/>
          <w:spacing w:val="6"/>
          <w:w w:val="90"/>
          <w:sz w:val="26"/>
          <w:szCs w:val="26"/>
        </w:rPr>
        <w:t xml:space="preserve">Use DSRIP </w:t>
      </w:r>
      <w:r>
        <w:rPr>
          <w:rFonts w:ascii="Garamond" w:hAnsi="Garamond" w:cs="Garamond"/>
          <w:b/>
          <w:bCs/>
          <w:i/>
          <w:iCs/>
          <w:spacing w:val="5"/>
          <w:w w:val="90"/>
          <w:sz w:val="26"/>
          <w:szCs w:val="26"/>
        </w:rPr>
        <w:t xml:space="preserve">funds </w:t>
      </w:r>
      <w:r>
        <w:rPr>
          <w:rFonts w:ascii="Garamond" w:hAnsi="Garamond" w:cs="Garamond"/>
          <w:b/>
          <w:bCs/>
          <w:i/>
          <w:iCs/>
          <w:spacing w:val="3"/>
          <w:w w:val="90"/>
          <w:sz w:val="26"/>
          <w:szCs w:val="26"/>
        </w:rPr>
        <w:t xml:space="preserve">to </w:t>
      </w:r>
      <w:r>
        <w:rPr>
          <w:rFonts w:ascii="Garamond" w:hAnsi="Garamond" w:cs="Garamond"/>
          <w:b/>
          <w:bCs/>
          <w:i/>
          <w:iCs/>
          <w:spacing w:val="6"/>
          <w:w w:val="90"/>
          <w:sz w:val="26"/>
          <w:szCs w:val="26"/>
        </w:rPr>
        <w:t xml:space="preserve">transition </w:t>
      </w:r>
      <w:r>
        <w:rPr>
          <w:rFonts w:ascii="Garamond" w:hAnsi="Garamond" w:cs="Garamond"/>
          <w:b/>
          <w:bCs/>
          <w:i/>
          <w:iCs/>
          <w:spacing w:val="5"/>
          <w:w w:val="90"/>
          <w:sz w:val="26"/>
          <w:szCs w:val="26"/>
        </w:rPr>
        <w:t xml:space="preserve">delivery </w:t>
      </w:r>
      <w:r>
        <w:rPr>
          <w:rFonts w:ascii="Garamond" w:hAnsi="Garamond" w:cs="Garamond"/>
          <w:b/>
          <w:bCs/>
          <w:i/>
          <w:iCs/>
          <w:spacing w:val="9"/>
          <w:w w:val="90"/>
          <w:sz w:val="26"/>
          <w:szCs w:val="26"/>
        </w:rPr>
        <w:t xml:space="preserve">system </w:t>
      </w:r>
      <w:r>
        <w:rPr>
          <w:rFonts w:ascii="Garamond" w:hAnsi="Garamond" w:cs="Garamond"/>
          <w:b/>
          <w:bCs/>
          <w:i/>
          <w:iCs/>
          <w:spacing w:val="3"/>
          <w:w w:val="90"/>
          <w:sz w:val="26"/>
          <w:szCs w:val="26"/>
        </w:rPr>
        <w:t xml:space="preserve">to </w:t>
      </w:r>
      <w:r>
        <w:rPr>
          <w:rFonts w:ascii="Garamond" w:hAnsi="Garamond" w:cs="Garamond"/>
          <w:b/>
          <w:bCs/>
          <w:i/>
          <w:iCs/>
          <w:spacing w:val="10"/>
          <w:w w:val="90"/>
          <w:sz w:val="26"/>
          <w:szCs w:val="26"/>
        </w:rPr>
        <w:t xml:space="preserve">adequately </w:t>
      </w:r>
      <w:r>
        <w:rPr>
          <w:rFonts w:ascii="Garamond" w:hAnsi="Garamond" w:cs="Garamond"/>
          <w:b/>
          <w:bCs/>
          <w:i/>
          <w:iCs/>
          <w:spacing w:val="8"/>
          <w:w w:val="90"/>
          <w:sz w:val="26"/>
          <w:szCs w:val="26"/>
        </w:rPr>
        <w:t xml:space="preserve">address </w:t>
      </w:r>
      <w:r>
        <w:rPr>
          <w:rFonts w:ascii="Garamond" w:hAnsi="Garamond" w:cs="Garamond"/>
          <w:b/>
          <w:bCs/>
          <w:i/>
          <w:iCs/>
          <w:spacing w:val="6"/>
          <w:w w:val="90"/>
          <w:sz w:val="26"/>
          <w:szCs w:val="26"/>
        </w:rPr>
        <w:t xml:space="preserve">oral </w:t>
      </w:r>
      <w:r>
        <w:rPr>
          <w:rFonts w:ascii="Garamond" w:hAnsi="Garamond" w:cs="Garamond"/>
          <w:b/>
          <w:bCs/>
          <w:i/>
          <w:iCs/>
          <w:spacing w:val="8"/>
          <w:w w:val="90"/>
          <w:sz w:val="26"/>
          <w:szCs w:val="26"/>
        </w:rPr>
        <w:t>health</w:t>
      </w:r>
    </w:p>
    <w:p w:rsidR="002C5025" w:rsidRDefault="002C5025">
      <w:pPr>
        <w:pStyle w:val="BodyText"/>
        <w:kinsoku w:val="0"/>
        <w:overflowPunct w:val="0"/>
        <w:spacing w:before="156" w:line="273" w:lineRule="auto"/>
        <w:ind w:left="120" w:right="241"/>
        <w:rPr>
          <w:rFonts w:ascii="Garamond" w:hAnsi="Garamond" w:cs="Garamond"/>
          <w:sz w:val="24"/>
          <w:szCs w:val="24"/>
        </w:rPr>
      </w:pPr>
      <w:r>
        <w:rPr>
          <w:rFonts w:ascii="Garamond" w:hAnsi="Garamond" w:cs="Garamond"/>
          <w:sz w:val="24"/>
          <w:szCs w:val="24"/>
        </w:rPr>
        <w:t>State and federal investments in ACO development and infrastructure should consider oral health. Because</w:t>
      </w:r>
      <w:r>
        <w:rPr>
          <w:rFonts w:ascii="Garamond" w:hAnsi="Garamond" w:cs="Garamond"/>
          <w:spacing w:val="-17"/>
          <w:sz w:val="24"/>
          <w:szCs w:val="24"/>
        </w:rPr>
        <w:t xml:space="preserve"> </w:t>
      </w:r>
      <w:r>
        <w:rPr>
          <w:rFonts w:ascii="Garamond" w:hAnsi="Garamond" w:cs="Garamond"/>
          <w:sz w:val="24"/>
          <w:szCs w:val="24"/>
        </w:rPr>
        <w:t>of</w:t>
      </w:r>
      <w:r>
        <w:rPr>
          <w:rFonts w:ascii="Garamond" w:hAnsi="Garamond" w:cs="Garamond"/>
          <w:spacing w:val="-18"/>
          <w:sz w:val="24"/>
          <w:szCs w:val="24"/>
        </w:rPr>
        <w:t xml:space="preserve"> </w:t>
      </w:r>
      <w:r>
        <w:rPr>
          <w:rFonts w:ascii="Garamond" w:hAnsi="Garamond" w:cs="Garamond"/>
          <w:sz w:val="24"/>
          <w:szCs w:val="24"/>
        </w:rPr>
        <w:t>the</w:t>
      </w:r>
      <w:r>
        <w:rPr>
          <w:rFonts w:ascii="Garamond" w:hAnsi="Garamond" w:cs="Garamond"/>
          <w:spacing w:val="-17"/>
          <w:sz w:val="24"/>
          <w:szCs w:val="24"/>
        </w:rPr>
        <w:t xml:space="preserve"> </w:t>
      </w:r>
      <w:r>
        <w:rPr>
          <w:rFonts w:ascii="Garamond" w:hAnsi="Garamond" w:cs="Garamond"/>
          <w:sz w:val="24"/>
          <w:szCs w:val="24"/>
        </w:rPr>
        <w:t>longstanding</w:t>
      </w:r>
      <w:r>
        <w:rPr>
          <w:rFonts w:ascii="Garamond" w:hAnsi="Garamond" w:cs="Garamond"/>
          <w:spacing w:val="-16"/>
          <w:sz w:val="24"/>
          <w:szCs w:val="24"/>
        </w:rPr>
        <w:t xml:space="preserve"> </w:t>
      </w:r>
      <w:r>
        <w:rPr>
          <w:rFonts w:ascii="Garamond" w:hAnsi="Garamond" w:cs="Garamond"/>
          <w:sz w:val="24"/>
          <w:szCs w:val="24"/>
        </w:rPr>
        <w:t>separation</w:t>
      </w:r>
      <w:r>
        <w:rPr>
          <w:rFonts w:ascii="Garamond" w:hAnsi="Garamond" w:cs="Garamond"/>
          <w:spacing w:val="-16"/>
          <w:sz w:val="24"/>
          <w:szCs w:val="24"/>
        </w:rPr>
        <w:t xml:space="preserve"> </w:t>
      </w:r>
      <w:r>
        <w:rPr>
          <w:rFonts w:ascii="Garamond" w:hAnsi="Garamond" w:cs="Garamond"/>
          <w:sz w:val="24"/>
          <w:szCs w:val="24"/>
        </w:rPr>
        <w:t>between</w:t>
      </w:r>
      <w:r>
        <w:rPr>
          <w:rFonts w:ascii="Garamond" w:hAnsi="Garamond" w:cs="Garamond"/>
          <w:spacing w:val="-18"/>
          <w:sz w:val="24"/>
          <w:szCs w:val="24"/>
        </w:rPr>
        <w:t xml:space="preserve"> </w:t>
      </w:r>
      <w:r>
        <w:rPr>
          <w:rFonts w:ascii="Garamond" w:hAnsi="Garamond" w:cs="Garamond"/>
          <w:sz w:val="24"/>
          <w:szCs w:val="24"/>
        </w:rPr>
        <w:t>dental</w:t>
      </w:r>
      <w:r>
        <w:rPr>
          <w:rFonts w:ascii="Garamond" w:hAnsi="Garamond" w:cs="Garamond"/>
          <w:spacing w:val="-16"/>
          <w:sz w:val="24"/>
          <w:szCs w:val="24"/>
        </w:rPr>
        <w:t xml:space="preserve"> </w:t>
      </w:r>
      <w:r>
        <w:rPr>
          <w:rFonts w:ascii="Garamond" w:hAnsi="Garamond" w:cs="Garamond"/>
          <w:sz w:val="24"/>
          <w:szCs w:val="24"/>
        </w:rPr>
        <w:t>and</w:t>
      </w:r>
      <w:r>
        <w:rPr>
          <w:rFonts w:ascii="Garamond" w:hAnsi="Garamond" w:cs="Garamond"/>
          <w:spacing w:val="-18"/>
          <w:sz w:val="24"/>
          <w:szCs w:val="24"/>
        </w:rPr>
        <w:t xml:space="preserve"> </w:t>
      </w:r>
      <w:r>
        <w:rPr>
          <w:rFonts w:ascii="Garamond" w:hAnsi="Garamond" w:cs="Garamond"/>
          <w:sz w:val="24"/>
          <w:szCs w:val="24"/>
        </w:rPr>
        <w:t>medical</w:t>
      </w:r>
      <w:r>
        <w:rPr>
          <w:rFonts w:ascii="Garamond" w:hAnsi="Garamond" w:cs="Garamond"/>
          <w:spacing w:val="-16"/>
          <w:sz w:val="24"/>
          <w:szCs w:val="24"/>
        </w:rPr>
        <w:t xml:space="preserve"> </w:t>
      </w:r>
      <w:r>
        <w:rPr>
          <w:rFonts w:ascii="Garamond" w:hAnsi="Garamond" w:cs="Garamond"/>
          <w:sz w:val="24"/>
          <w:szCs w:val="24"/>
        </w:rPr>
        <w:t>services,</w:t>
      </w:r>
      <w:r>
        <w:rPr>
          <w:rFonts w:ascii="Garamond" w:hAnsi="Garamond" w:cs="Garamond"/>
          <w:spacing w:val="-20"/>
          <w:sz w:val="24"/>
          <w:szCs w:val="24"/>
        </w:rPr>
        <w:t xml:space="preserve"> </w:t>
      </w:r>
      <w:r>
        <w:rPr>
          <w:rFonts w:ascii="Garamond" w:hAnsi="Garamond" w:cs="Garamond"/>
          <w:sz w:val="24"/>
          <w:szCs w:val="24"/>
        </w:rPr>
        <w:t>thoughtful</w:t>
      </w:r>
      <w:r>
        <w:rPr>
          <w:rFonts w:ascii="Garamond" w:hAnsi="Garamond" w:cs="Garamond"/>
          <w:spacing w:val="-17"/>
          <w:sz w:val="24"/>
          <w:szCs w:val="24"/>
        </w:rPr>
        <w:t xml:space="preserve"> </w:t>
      </w:r>
      <w:r>
        <w:rPr>
          <w:rFonts w:ascii="Garamond" w:hAnsi="Garamond" w:cs="Garamond"/>
          <w:sz w:val="24"/>
          <w:szCs w:val="24"/>
        </w:rPr>
        <w:t>investments in network development, health information technology, and workforce development and training are particularly critical for successful integration of oral health services and necessary to encourage providers,</w:t>
      </w:r>
      <w:r>
        <w:rPr>
          <w:rFonts w:ascii="Garamond" w:hAnsi="Garamond" w:cs="Garamond"/>
          <w:spacing w:val="-13"/>
          <w:sz w:val="24"/>
          <w:szCs w:val="24"/>
        </w:rPr>
        <w:t xml:space="preserve"> </w:t>
      </w:r>
      <w:r>
        <w:rPr>
          <w:rFonts w:ascii="Garamond" w:hAnsi="Garamond" w:cs="Garamond"/>
          <w:sz w:val="24"/>
          <w:szCs w:val="24"/>
        </w:rPr>
        <w:t>including</w:t>
      </w:r>
      <w:r>
        <w:rPr>
          <w:rFonts w:ascii="Garamond" w:hAnsi="Garamond" w:cs="Garamond"/>
          <w:spacing w:val="-13"/>
          <w:sz w:val="24"/>
          <w:szCs w:val="24"/>
        </w:rPr>
        <w:t xml:space="preserve"> </w:t>
      </w:r>
      <w:r>
        <w:rPr>
          <w:rFonts w:ascii="Garamond" w:hAnsi="Garamond" w:cs="Garamond"/>
          <w:sz w:val="24"/>
          <w:szCs w:val="24"/>
        </w:rPr>
        <w:t>oral</w:t>
      </w:r>
      <w:r>
        <w:rPr>
          <w:rFonts w:ascii="Garamond" w:hAnsi="Garamond" w:cs="Garamond"/>
          <w:spacing w:val="-13"/>
          <w:sz w:val="24"/>
          <w:szCs w:val="24"/>
        </w:rPr>
        <w:t xml:space="preserve"> </w:t>
      </w:r>
      <w:r>
        <w:rPr>
          <w:rFonts w:ascii="Garamond" w:hAnsi="Garamond" w:cs="Garamond"/>
          <w:sz w:val="24"/>
          <w:szCs w:val="24"/>
        </w:rPr>
        <w:t>health</w:t>
      </w:r>
      <w:r>
        <w:rPr>
          <w:rFonts w:ascii="Garamond" w:hAnsi="Garamond" w:cs="Garamond"/>
          <w:spacing w:val="-13"/>
          <w:sz w:val="24"/>
          <w:szCs w:val="24"/>
        </w:rPr>
        <w:t xml:space="preserve"> </w:t>
      </w:r>
      <w:r>
        <w:rPr>
          <w:rFonts w:ascii="Garamond" w:hAnsi="Garamond" w:cs="Garamond"/>
          <w:sz w:val="24"/>
          <w:szCs w:val="24"/>
        </w:rPr>
        <w:t>providers,</w:t>
      </w:r>
      <w:r>
        <w:rPr>
          <w:rFonts w:ascii="Garamond" w:hAnsi="Garamond" w:cs="Garamond"/>
          <w:spacing w:val="-13"/>
          <w:sz w:val="24"/>
          <w:szCs w:val="24"/>
        </w:rPr>
        <w:t xml:space="preserve"> </w:t>
      </w:r>
      <w:r>
        <w:rPr>
          <w:rFonts w:ascii="Garamond" w:hAnsi="Garamond" w:cs="Garamond"/>
          <w:sz w:val="24"/>
          <w:szCs w:val="24"/>
        </w:rPr>
        <w:t>to</w:t>
      </w:r>
      <w:r>
        <w:rPr>
          <w:rFonts w:ascii="Garamond" w:hAnsi="Garamond" w:cs="Garamond"/>
          <w:spacing w:val="-13"/>
          <w:sz w:val="24"/>
          <w:szCs w:val="24"/>
        </w:rPr>
        <w:t xml:space="preserve"> </w:t>
      </w:r>
      <w:r>
        <w:rPr>
          <w:rFonts w:ascii="Garamond" w:hAnsi="Garamond" w:cs="Garamond"/>
          <w:sz w:val="24"/>
          <w:szCs w:val="24"/>
        </w:rPr>
        <w:t>enter</w:t>
      </w:r>
      <w:r>
        <w:rPr>
          <w:rFonts w:ascii="Garamond" w:hAnsi="Garamond" w:cs="Garamond"/>
          <w:spacing w:val="-16"/>
          <w:sz w:val="24"/>
          <w:szCs w:val="24"/>
        </w:rPr>
        <w:t xml:space="preserve"> </w:t>
      </w:r>
      <w:r>
        <w:rPr>
          <w:rFonts w:ascii="Garamond" w:hAnsi="Garamond" w:cs="Garamond"/>
          <w:sz w:val="24"/>
          <w:szCs w:val="24"/>
        </w:rPr>
        <w:t>into</w:t>
      </w:r>
      <w:r>
        <w:rPr>
          <w:rFonts w:ascii="Garamond" w:hAnsi="Garamond" w:cs="Garamond"/>
          <w:spacing w:val="-13"/>
          <w:sz w:val="24"/>
          <w:szCs w:val="24"/>
        </w:rPr>
        <w:t xml:space="preserve"> </w:t>
      </w:r>
      <w:r>
        <w:rPr>
          <w:rFonts w:ascii="Garamond" w:hAnsi="Garamond" w:cs="Garamond"/>
          <w:sz w:val="24"/>
          <w:szCs w:val="24"/>
        </w:rPr>
        <w:t>ACOs.</w:t>
      </w:r>
    </w:p>
    <w:p w:rsidR="002C5025" w:rsidRDefault="002C5025">
      <w:pPr>
        <w:pStyle w:val="BodyText"/>
        <w:kinsoku w:val="0"/>
        <w:overflowPunct w:val="0"/>
        <w:spacing w:before="10"/>
        <w:rPr>
          <w:rFonts w:ascii="Garamond" w:hAnsi="Garamond" w:cs="Garamond"/>
          <w:sz w:val="27"/>
          <w:szCs w:val="27"/>
        </w:rPr>
      </w:pPr>
    </w:p>
    <w:p w:rsidR="002C5025" w:rsidRDefault="002C5025">
      <w:pPr>
        <w:pStyle w:val="BodyText"/>
        <w:kinsoku w:val="0"/>
        <w:overflowPunct w:val="0"/>
        <w:spacing w:line="273" w:lineRule="auto"/>
        <w:ind w:left="119" w:right="342"/>
        <w:rPr>
          <w:rFonts w:ascii="Garamond" w:hAnsi="Garamond" w:cs="Garamond"/>
          <w:sz w:val="24"/>
          <w:szCs w:val="24"/>
        </w:rPr>
      </w:pPr>
      <w:r>
        <w:rPr>
          <w:rFonts w:ascii="Garamond" w:hAnsi="Garamond" w:cs="Garamond"/>
          <w:sz w:val="24"/>
          <w:szCs w:val="24"/>
        </w:rPr>
        <w:t>Much like the proposed certifications for Community Partners in Behavioral Health and LTSS integration,</w:t>
      </w:r>
      <w:r>
        <w:rPr>
          <w:rFonts w:ascii="Garamond" w:hAnsi="Garamond" w:cs="Garamond"/>
          <w:spacing w:val="-13"/>
          <w:sz w:val="24"/>
          <w:szCs w:val="24"/>
        </w:rPr>
        <w:t xml:space="preserve"> </w:t>
      </w:r>
      <w:r>
        <w:rPr>
          <w:rFonts w:ascii="Garamond" w:hAnsi="Garamond" w:cs="Garamond"/>
          <w:sz w:val="24"/>
          <w:szCs w:val="24"/>
        </w:rPr>
        <w:t>MassHealth</w:t>
      </w:r>
      <w:r>
        <w:rPr>
          <w:rFonts w:ascii="Garamond" w:hAnsi="Garamond" w:cs="Garamond"/>
          <w:spacing w:val="-13"/>
          <w:sz w:val="24"/>
          <w:szCs w:val="24"/>
        </w:rPr>
        <w:t xml:space="preserve"> </w:t>
      </w:r>
      <w:r>
        <w:rPr>
          <w:rFonts w:ascii="Garamond" w:hAnsi="Garamond" w:cs="Garamond"/>
          <w:sz w:val="24"/>
          <w:szCs w:val="24"/>
        </w:rPr>
        <w:t>should</w:t>
      </w:r>
      <w:r>
        <w:rPr>
          <w:rFonts w:ascii="Garamond" w:hAnsi="Garamond" w:cs="Garamond"/>
          <w:spacing w:val="-13"/>
          <w:sz w:val="24"/>
          <w:szCs w:val="24"/>
        </w:rPr>
        <w:t xml:space="preserve"> </w:t>
      </w:r>
      <w:r>
        <w:rPr>
          <w:rFonts w:ascii="Garamond" w:hAnsi="Garamond" w:cs="Garamond"/>
          <w:sz w:val="24"/>
          <w:szCs w:val="24"/>
        </w:rPr>
        <w:t>establish</w:t>
      </w:r>
      <w:r>
        <w:rPr>
          <w:rFonts w:ascii="Garamond" w:hAnsi="Garamond" w:cs="Garamond"/>
          <w:spacing w:val="-13"/>
          <w:sz w:val="24"/>
          <w:szCs w:val="24"/>
        </w:rPr>
        <w:t xml:space="preserve"> </w:t>
      </w:r>
      <w:r>
        <w:rPr>
          <w:rFonts w:ascii="Garamond" w:hAnsi="Garamond" w:cs="Garamond"/>
          <w:sz w:val="24"/>
          <w:szCs w:val="24"/>
        </w:rPr>
        <w:t>a</w:t>
      </w:r>
      <w:r>
        <w:rPr>
          <w:rFonts w:ascii="Garamond" w:hAnsi="Garamond" w:cs="Garamond"/>
          <w:spacing w:val="-11"/>
          <w:sz w:val="24"/>
          <w:szCs w:val="24"/>
        </w:rPr>
        <w:t xml:space="preserve"> </w:t>
      </w:r>
      <w:r>
        <w:rPr>
          <w:rFonts w:ascii="Garamond" w:hAnsi="Garamond" w:cs="Garamond"/>
          <w:sz w:val="24"/>
          <w:szCs w:val="24"/>
        </w:rPr>
        <w:t>similar</w:t>
      </w:r>
      <w:r>
        <w:rPr>
          <w:rFonts w:ascii="Garamond" w:hAnsi="Garamond" w:cs="Garamond"/>
          <w:spacing w:val="-14"/>
          <w:sz w:val="24"/>
          <w:szCs w:val="24"/>
        </w:rPr>
        <w:t xml:space="preserve"> </w:t>
      </w:r>
      <w:r>
        <w:rPr>
          <w:rFonts w:ascii="Garamond" w:hAnsi="Garamond" w:cs="Garamond"/>
          <w:sz w:val="24"/>
          <w:szCs w:val="24"/>
        </w:rPr>
        <w:t>stream</w:t>
      </w:r>
      <w:r>
        <w:rPr>
          <w:rFonts w:ascii="Garamond" w:hAnsi="Garamond" w:cs="Garamond"/>
          <w:spacing w:val="-14"/>
          <w:sz w:val="24"/>
          <w:szCs w:val="24"/>
        </w:rPr>
        <w:t xml:space="preserve"> </w:t>
      </w:r>
      <w:r>
        <w:rPr>
          <w:rFonts w:ascii="Garamond" w:hAnsi="Garamond" w:cs="Garamond"/>
          <w:sz w:val="24"/>
          <w:szCs w:val="24"/>
        </w:rPr>
        <w:t>for</w:t>
      </w:r>
      <w:r>
        <w:rPr>
          <w:rFonts w:ascii="Garamond" w:hAnsi="Garamond" w:cs="Garamond"/>
          <w:spacing w:val="-14"/>
          <w:sz w:val="24"/>
          <w:szCs w:val="24"/>
        </w:rPr>
        <w:t xml:space="preserve"> </w:t>
      </w:r>
      <w:r>
        <w:rPr>
          <w:rFonts w:ascii="Garamond" w:hAnsi="Garamond" w:cs="Garamond"/>
          <w:sz w:val="24"/>
          <w:szCs w:val="24"/>
        </w:rPr>
        <w:t>investments</w:t>
      </w:r>
      <w:r>
        <w:rPr>
          <w:rFonts w:ascii="Garamond" w:hAnsi="Garamond" w:cs="Garamond"/>
          <w:spacing w:val="-14"/>
          <w:sz w:val="24"/>
          <w:szCs w:val="24"/>
        </w:rPr>
        <w:t xml:space="preserve"> </w:t>
      </w:r>
      <w:r>
        <w:rPr>
          <w:rFonts w:ascii="Garamond" w:hAnsi="Garamond" w:cs="Garamond"/>
          <w:sz w:val="24"/>
          <w:szCs w:val="24"/>
        </w:rPr>
        <w:t>in</w:t>
      </w:r>
      <w:r>
        <w:rPr>
          <w:rFonts w:ascii="Garamond" w:hAnsi="Garamond" w:cs="Garamond"/>
          <w:spacing w:val="-13"/>
          <w:sz w:val="24"/>
          <w:szCs w:val="24"/>
        </w:rPr>
        <w:t xml:space="preserve"> </w:t>
      </w:r>
      <w:r>
        <w:rPr>
          <w:rFonts w:ascii="Garamond" w:hAnsi="Garamond" w:cs="Garamond"/>
          <w:sz w:val="24"/>
          <w:szCs w:val="24"/>
        </w:rPr>
        <w:t>oral</w:t>
      </w:r>
      <w:r>
        <w:rPr>
          <w:rFonts w:ascii="Garamond" w:hAnsi="Garamond" w:cs="Garamond"/>
          <w:spacing w:val="-12"/>
          <w:sz w:val="24"/>
          <w:szCs w:val="24"/>
        </w:rPr>
        <w:t xml:space="preserve"> </w:t>
      </w:r>
      <w:r>
        <w:rPr>
          <w:rFonts w:ascii="Garamond" w:hAnsi="Garamond" w:cs="Garamond"/>
          <w:sz w:val="24"/>
          <w:szCs w:val="24"/>
        </w:rPr>
        <w:t>health.</w:t>
      </w:r>
      <w:r>
        <w:rPr>
          <w:rFonts w:ascii="Garamond" w:hAnsi="Garamond" w:cs="Garamond"/>
          <w:spacing w:val="-12"/>
          <w:sz w:val="24"/>
          <w:szCs w:val="24"/>
        </w:rPr>
        <w:t xml:space="preserve"> </w:t>
      </w:r>
      <w:r>
        <w:rPr>
          <w:rFonts w:ascii="Garamond" w:hAnsi="Garamond" w:cs="Garamond"/>
          <w:sz w:val="24"/>
          <w:szCs w:val="24"/>
        </w:rPr>
        <w:t>Oral</w:t>
      </w:r>
      <w:r>
        <w:rPr>
          <w:rFonts w:ascii="Garamond" w:hAnsi="Garamond" w:cs="Garamond"/>
          <w:spacing w:val="-13"/>
          <w:sz w:val="24"/>
          <w:szCs w:val="24"/>
        </w:rPr>
        <w:t xml:space="preserve"> </w:t>
      </w:r>
      <w:r>
        <w:rPr>
          <w:rFonts w:ascii="Garamond" w:hAnsi="Garamond" w:cs="Garamond"/>
          <w:sz w:val="24"/>
          <w:szCs w:val="24"/>
        </w:rPr>
        <w:t>health should</w:t>
      </w:r>
      <w:r>
        <w:rPr>
          <w:rFonts w:ascii="Garamond" w:hAnsi="Garamond" w:cs="Garamond"/>
          <w:spacing w:val="-11"/>
          <w:sz w:val="24"/>
          <w:szCs w:val="24"/>
        </w:rPr>
        <w:t xml:space="preserve"> </w:t>
      </w:r>
      <w:r>
        <w:rPr>
          <w:rFonts w:ascii="Garamond" w:hAnsi="Garamond" w:cs="Garamond"/>
          <w:sz w:val="24"/>
          <w:szCs w:val="24"/>
        </w:rPr>
        <w:t>be</w:t>
      </w:r>
      <w:r>
        <w:rPr>
          <w:rFonts w:ascii="Garamond" w:hAnsi="Garamond" w:cs="Garamond"/>
          <w:spacing w:val="-10"/>
          <w:sz w:val="24"/>
          <w:szCs w:val="24"/>
        </w:rPr>
        <w:t xml:space="preserve"> </w:t>
      </w:r>
      <w:r>
        <w:rPr>
          <w:rFonts w:ascii="Garamond" w:hAnsi="Garamond" w:cs="Garamond"/>
          <w:sz w:val="24"/>
          <w:szCs w:val="24"/>
        </w:rPr>
        <w:t>one</w:t>
      </w:r>
      <w:r>
        <w:rPr>
          <w:rFonts w:ascii="Garamond" w:hAnsi="Garamond" w:cs="Garamond"/>
          <w:spacing w:val="-8"/>
          <w:sz w:val="24"/>
          <w:szCs w:val="24"/>
        </w:rPr>
        <w:t xml:space="preserve"> </w:t>
      </w:r>
      <w:r>
        <w:rPr>
          <w:rFonts w:ascii="Garamond" w:hAnsi="Garamond" w:cs="Garamond"/>
          <w:sz w:val="24"/>
          <w:szCs w:val="24"/>
        </w:rPr>
        <w:t>of</w:t>
      </w:r>
      <w:r>
        <w:rPr>
          <w:rFonts w:ascii="Garamond" w:hAnsi="Garamond" w:cs="Garamond"/>
          <w:spacing w:val="-10"/>
          <w:sz w:val="24"/>
          <w:szCs w:val="24"/>
        </w:rPr>
        <w:t xml:space="preserve"> </w:t>
      </w:r>
      <w:r>
        <w:rPr>
          <w:rFonts w:ascii="Garamond" w:hAnsi="Garamond" w:cs="Garamond"/>
          <w:sz w:val="24"/>
          <w:szCs w:val="24"/>
        </w:rPr>
        <w:t>the</w:t>
      </w:r>
      <w:r>
        <w:rPr>
          <w:rFonts w:ascii="Garamond" w:hAnsi="Garamond" w:cs="Garamond"/>
          <w:spacing w:val="-8"/>
          <w:sz w:val="24"/>
          <w:szCs w:val="24"/>
        </w:rPr>
        <w:t xml:space="preserve"> </w:t>
      </w:r>
      <w:r>
        <w:rPr>
          <w:rFonts w:ascii="Garamond" w:hAnsi="Garamond" w:cs="Garamond"/>
          <w:sz w:val="24"/>
          <w:szCs w:val="24"/>
        </w:rPr>
        <w:t>ten</w:t>
      </w:r>
      <w:r>
        <w:rPr>
          <w:rFonts w:ascii="Garamond" w:hAnsi="Garamond" w:cs="Garamond"/>
          <w:spacing w:val="-11"/>
          <w:sz w:val="24"/>
          <w:szCs w:val="24"/>
        </w:rPr>
        <w:t xml:space="preserve"> </w:t>
      </w:r>
      <w:r>
        <w:rPr>
          <w:rFonts w:ascii="Garamond" w:hAnsi="Garamond" w:cs="Garamond"/>
          <w:sz w:val="24"/>
          <w:szCs w:val="24"/>
        </w:rPr>
        <w:t>high</w:t>
      </w:r>
      <w:r>
        <w:rPr>
          <w:rFonts w:ascii="Garamond" w:hAnsi="Garamond" w:cs="Garamond"/>
          <w:spacing w:val="-9"/>
          <w:sz w:val="24"/>
          <w:szCs w:val="24"/>
        </w:rPr>
        <w:t xml:space="preserve"> </w:t>
      </w:r>
      <w:r>
        <w:rPr>
          <w:rFonts w:ascii="Garamond" w:hAnsi="Garamond" w:cs="Garamond"/>
          <w:sz w:val="24"/>
          <w:szCs w:val="24"/>
        </w:rPr>
        <w:t>priority</w:t>
      </w:r>
      <w:r>
        <w:rPr>
          <w:rFonts w:ascii="Garamond" w:hAnsi="Garamond" w:cs="Garamond"/>
          <w:spacing w:val="-10"/>
          <w:sz w:val="24"/>
          <w:szCs w:val="24"/>
        </w:rPr>
        <w:t xml:space="preserve"> </w:t>
      </w:r>
      <w:r>
        <w:rPr>
          <w:rFonts w:ascii="Garamond" w:hAnsi="Garamond" w:cs="Garamond"/>
          <w:sz w:val="24"/>
          <w:szCs w:val="24"/>
        </w:rPr>
        <w:t>initiatives</w:t>
      </w:r>
      <w:r>
        <w:rPr>
          <w:rFonts w:ascii="Garamond" w:hAnsi="Garamond" w:cs="Garamond"/>
          <w:spacing w:val="-10"/>
          <w:sz w:val="24"/>
          <w:szCs w:val="24"/>
        </w:rPr>
        <w:t xml:space="preserve"> </w:t>
      </w:r>
      <w:r>
        <w:rPr>
          <w:rFonts w:ascii="Garamond" w:hAnsi="Garamond" w:cs="Garamond"/>
          <w:sz w:val="24"/>
          <w:szCs w:val="24"/>
        </w:rPr>
        <w:t>in</w:t>
      </w:r>
      <w:r>
        <w:rPr>
          <w:rFonts w:ascii="Garamond" w:hAnsi="Garamond" w:cs="Garamond"/>
          <w:spacing w:val="-11"/>
          <w:sz w:val="24"/>
          <w:szCs w:val="24"/>
        </w:rPr>
        <w:t xml:space="preserve"> </w:t>
      </w:r>
      <w:r>
        <w:rPr>
          <w:rFonts w:ascii="Garamond" w:hAnsi="Garamond" w:cs="Garamond"/>
          <w:sz w:val="24"/>
          <w:szCs w:val="24"/>
        </w:rPr>
        <w:t>alignment</w:t>
      </w:r>
      <w:r>
        <w:rPr>
          <w:rFonts w:ascii="Garamond" w:hAnsi="Garamond" w:cs="Garamond"/>
          <w:spacing w:val="-9"/>
          <w:sz w:val="24"/>
          <w:szCs w:val="24"/>
        </w:rPr>
        <w:t xml:space="preserve"> </w:t>
      </w:r>
      <w:r>
        <w:rPr>
          <w:rFonts w:ascii="Garamond" w:hAnsi="Garamond" w:cs="Garamond"/>
          <w:sz w:val="24"/>
          <w:szCs w:val="24"/>
        </w:rPr>
        <w:t>with</w:t>
      </w:r>
      <w:r>
        <w:rPr>
          <w:rFonts w:ascii="Garamond" w:hAnsi="Garamond" w:cs="Garamond"/>
          <w:spacing w:val="-9"/>
          <w:sz w:val="24"/>
          <w:szCs w:val="24"/>
        </w:rPr>
        <w:t xml:space="preserve"> </w:t>
      </w:r>
      <w:r>
        <w:rPr>
          <w:rFonts w:ascii="Garamond" w:hAnsi="Garamond" w:cs="Garamond"/>
          <w:sz w:val="24"/>
          <w:szCs w:val="24"/>
        </w:rPr>
        <w:t>overall</w:t>
      </w:r>
      <w:r>
        <w:rPr>
          <w:rFonts w:ascii="Garamond" w:hAnsi="Garamond" w:cs="Garamond"/>
          <w:spacing w:val="-9"/>
          <w:sz w:val="24"/>
          <w:szCs w:val="24"/>
        </w:rPr>
        <w:t xml:space="preserve"> </w:t>
      </w:r>
      <w:r>
        <w:rPr>
          <w:rFonts w:ascii="Garamond" w:hAnsi="Garamond" w:cs="Garamond"/>
          <w:sz w:val="24"/>
          <w:szCs w:val="24"/>
        </w:rPr>
        <w:t>DSRIP</w:t>
      </w:r>
      <w:r>
        <w:rPr>
          <w:rFonts w:ascii="Garamond" w:hAnsi="Garamond" w:cs="Garamond"/>
          <w:spacing w:val="-9"/>
          <w:sz w:val="24"/>
          <w:szCs w:val="24"/>
        </w:rPr>
        <w:t xml:space="preserve"> </w:t>
      </w:r>
      <w:r>
        <w:rPr>
          <w:rFonts w:ascii="Garamond" w:hAnsi="Garamond" w:cs="Garamond"/>
          <w:sz w:val="24"/>
          <w:szCs w:val="24"/>
        </w:rPr>
        <w:t>goals.</w:t>
      </w:r>
      <w:r>
        <w:rPr>
          <w:rFonts w:ascii="Garamond" w:hAnsi="Garamond" w:cs="Garamond"/>
          <w:spacing w:val="-9"/>
          <w:sz w:val="24"/>
          <w:szCs w:val="24"/>
        </w:rPr>
        <w:t xml:space="preserve"> </w:t>
      </w:r>
      <w:r>
        <w:rPr>
          <w:rFonts w:ascii="Garamond" w:hAnsi="Garamond" w:cs="Garamond"/>
          <w:sz w:val="24"/>
          <w:szCs w:val="24"/>
        </w:rPr>
        <w:t>Health</w:t>
      </w:r>
      <w:r>
        <w:rPr>
          <w:rFonts w:ascii="Garamond" w:hAnsi="Garamond" w:cs="Garamond"/>
          <w:spacing w:val="-11"/>
          <w:sz w:val="24"/>
          <w:szCs w:val="24"/>
        </w:rPr>
        <w:t xml:space="preserve"> </w:t>
      </w:r>
      <w:r>
        <w:rPr>
          <w:rFonts w:ascii="Garamond" w:hAnsi="Garamond" w:cs="Garamond"/>
          <w:sz w:val="24"/>
          <w:szCs w:val="24"/>
        </w:rPr>
        <w:t xml:space="preserve">care workforce development and training programs should include eligibility for dental providers. </w:t>
      </w:r>
      <w:r>
        <w:rPr>
          <w:rFonts w:ascii="Garamond" w:hAnsi="Garamond" w:cs="Garamond"/>
          <w:spacing w:val="-3"/>
          <w:sz w:val="24"/>
          <w:szCs w:val="24"/>
        </w:rPr>
        <w:t xml:space="preserve">One </w:t>
      </w:r>
      <w:r>
        <w:rPr>
          <w:rFonts w:ascii="Garamond" w:hAnsi="Garamond" w:cs="Garamond"/>
          <w:sz w:val="24"/>
          <w:szCs w:val="24"/>
        </w:rPr>
        <w:t>out of ten Massachusetts residents lives in a dental health professional shortage area (DHPSA)</w:t>
      </w:r>
      <w:r>
        <w:rPr>
          <w:rFonts w:ascii="Garamond" w:hAnsi="Garamond" w:cs="Garamond"/>
          <w:position w:val="10"/>
          <w:sz w:val="14"/>
          <w:szCs w:val="14"/>
        </w:rPr>
        <w:t>12</w:t>
      </w:r>
      <w:r>
        <w:rPr>
          <w:rFonts w:ascii="Garamond" w:hAnsi="Garamond" w:cs="Garamond"/>
          <w:sz w:val="24"/>
          <w:szCs w:val="24"/>
        </w:rPr>
        <w:t>; meanwhile,</w:t>
      </w:r>
      <w:r>
        <w:rPr>
          <w:rFonts w:ascii="Garamond" w:hAnsi="Garamond" w:cs="Garamond"/>
          <w:spacing w:val="-14"/>
          <w:sz w:val="24"/>
          <w:szCs w:val="24"/>
        </w:rPr>
        <w:t xml:space="preserve"> </w:t>
      </w:r>
      <w:r>
        <w:rPr>
          <w:rFonts w:ascii="Garamond" w:hAnsi="Garamond" w:cs="Garamond"/>
          <w:sz w:val="24"/>
          <w:szCs w:val="24"/>
        </w:rPr>
        <w:t>a</w:t>
      </w:r>
      <w:r>
        <w:rPr>
          <w:rFonts w:ascii="Garamond" w:hAnsi="Garamond" w:cs="Garamond"/>
          <w:spacing w:val="-14"/>
          <w:sz w:val="24"/>
          <w:szCs w:val="24"/>
        </w:rPr>
        <w:t xml:space="preserve"> </w:t>
      </w:r>
      <w:r>
        <w:rPr>
          <w:rFonts w:ascii="Garamond" w:hAnsi="Garamond" w:cs="Garamond"/>
          <w:sz w:val="24"/>
          <w:szCs w:val="24"/>
        </w:rPr>
        <w:t>significant</w:t>
      </w:r>
      <w:r>
        <w:rPr>
          <w:rFonts w:ascii="Garamond" w:hAnsi="Garamond" w:cs="Garamond"/>
          <w:spacing w:val="-15"/>
          <w:sz w:val="24"/>
          <w:szCs w:val="24"/>
        </w:rPr>
        <w:t xml:space="preserve"> </w:t>
      </w:r>
      <w:r>
        <w:rPr>
          <w:rFonts w:ascii="Garamond" w:hAnsi="Garamond" w:cs="Garamond"/>
          <w:sz w:val="24"/>
          <w:szCs w:val="24"/>
        </w:rPr>
        <w:t>number</w:t>
      </w:r>
      <w:r>
        <w:rPr>
          <w:rFonts w:ascii="Garamond" w:hAnsi="Garamond" w:cs="Garamond"/>
          <w:spacing w:val="-15"/>
          <w:sz w:val="24"/>
          <w:szCs w:val="24"/>
        </w:rPr>
        <w:t xml:space="preserve"> </w:t>
      </w:r>
      <w:r>
        <w:rPr>
          <w:rFonts w:ascii="Garamond" w:hAnsi="Garamond" w:cs="Garamond"/>
          <w:sz w:val="24"/>
          <w:szCs w:val="24"/>
        </w:rPr>
        <w:t>of</w:t>
      </w:r>
      <w:r>
        <w:rPr>
          <w:rFonts w:ascii="Garamond" w:hAnsi="Garamond" w:cs="Garamond"/>
          <w:spacing w:val="-17"/>
          <w:sz w:val="24"/>
          <w:szCs w:val="24"/>
        </w:rPr>
        <w:t xml:space="preserve"> </w:t>
      </w:r>
      <w:r>
        <w:rPr>
          <w:rFonts w:ascii="Garamond" w:hAnsi="Garamond" w:cs="Garamond"/>
          <w:sz w:val="24"/>
          <w:szCs w:val="24"/>
        </w:rPr>
        <w:t>dentists</w:t>
      </w:r>
      <w:r>
        <w:rPr>
          <w:rFonts w:ascii="Garamond" w:hAnsi="Garamond" w:cs="Garamond"/>
          <w:spacing w:val="-18"/>
          <w:sz w:val="24"/>
          <w:szCs w:val="24"/>
        </w:rPr>
        <w:t xml:space="preserve"> </w:t>
      </w:r>
      <w:r>
        <w:rPr>
          <w:rFonts w:ascii="Garamond" w:hAnsi="Garamond" w:cs="Garamond"/>
          <w:sz w:val="24"/>
          <w:szCs w:val="24"/>
        </w:rPr>
        <w:t>are</w:t>
      </w:r>
      <w:r>
        <w:rPr>
          <w:rFonts w:ascii="Garamond" w:hAnsi="Garamond" w:cs="Garamond"/>
          <w:spacing w:val="-14"/>
          <w:sz w:val="24"/>
          <w:szCs w:val="24"/>
        </w:rPr>
        <w:t xml:space="preserve"> </w:t>
      </w:r>
      <w:r>
        <w:rPr>
          <w:rFonts w:ascii="Garamond" w:hAnsi="Garamond" w:cs="Garamond"/>
          <w:sz w:val="24"/>
          <w:szCs w:val="24"/>
        </w:rPr>
        <w:t>approaching</w:t>
      </w:r>
      <w:r>
        <w:rPr>
          <w:rFonts w:ascii="Garamond" w:hAnsi="Garamond" w:cs="Garamond"/>
          <w:spacing w:val="-14"/>
          <w:sz w:val="24"/>
          <w:szCs w:val="24"/>
        </w:rPr>
        <w:t xml:space="preserve"> </w:t>
      </w:r>
      <w:r>
        <w:rPr>
          <w:rFonts w:ascii="Garamond" w:hAnsi="Garamond" w:cs="Garamond"/>
          <w:sz w:val="24"/>
          <w:szCs w:val="24"/>
        </w:rPr>
        <w:t>retirement,</w:t>
      </w:r>
      <w:r>
        <w:rPr>
          <w:rFonts w:ascii="Garamond" w:hAnsi="Garamond" w:cs="Garamond"/>
          <w:spacing w:val="-14"/>
          <w:sz w:val="24"/>
          <w:szCs w:val="24"/>
        </w:rPr>
        <w:t xml:space="preserve"> </w:t>
      </w:r>
      <w:r>
        <w:rPr>
          <w:rFonts w:ascii="Garamond" w:hAnsi="Garamond" w:cs="Garamond"/>
          <w:sz w:val="24"/>
          <w:szCs w:val="24"/>
        </w:rPr>
        <w:t>threatening</w:t>
      </w:r>
      <w:r>
        <w:rPr>
          <w:rFonts w:ascii="Garamond" w:hAnsi="Garamond" w:cs="Garamond"/>
          <w:spacing w:val="-16"/>
          <w:sz w:val="24"/>
          <w:szCs w:val="24"/>
        </w:rPr>
        <w:t xml:space="preserve"> </w:t>
      </w:r>
      <w:r>
        <w:rPr>
          <w:rFonts w:ascii="Garamond" w:hAnsi="Garamond" w:cs="Garamond"/>
          <w:sz w:val="24"/>
          <w:szCs w:val="24"/>
        </w:rPr>
        <w:t>access</w:t>
      </w:r>
      <w:r>
        <w:rPr>
          <w:rFonts w:ascii="Garamond" w:hAnsi="Garamond" w:cs="Garamond"/>
          <w:spacing w:val="-18"/>
          <w:sz w:val="24"/>
          <w:szCs w:val="24"/>
        </w:rPr>
        <w:t xml:space="preserve"> </w:t>
      </w:r>
      <w:r>
        <w:rPr>
          <w:rFonts w:ascii="Garamond" w:hAnsi="Garamond" w:cs="Garamond"/>
          <w:sz w:val="24"/>
          <w:szCs w:val="24"/>
        </w:rPr>
        <w:t>to</w:t>
      </w:r>
      <w:r>
        <w:rPr>
          <w:rFonts w:ascii="Garamond" w:hAnsi="Garamond" w:cs="Garamond"/>
          <w:spacing w:val="-14"/>
          <w:sz w:val="24"/>
          <w:szCs w:val="24"/>
        </w:rPr>
        <w:t xml:space="preserve"> </w:t>
      </w:r>
      <w:r>
        <w:rPr>
          <w:rFonts w:ascii="Garamond" w:hAnsi="Garamond" w:cs="Garamond"/>
          <w:sz w:val="24"/>
          <w:szCs w:val="24"/>
        </w:rPr>
        <w:t>dental services. MassHealth has the opportunity to help ameliorate this shortage and maldistribution with DSRIP</w:t>
      </w:r>
      <w:r>
        <w:rPr>
          <w:rFonts w:ascii="Garamond" w:hAnsi="Garamond" w:cs="Garamond"/>
          <w:spacing w:val="-25"/>
          <w:sz w:val="24"/>
          <w:szCs w:val="24"/>
        </w:rPr>
        <w:t xml:space="preserve"> </w:t>
      </w:r>
      <w:r>
        <w:rPr>
          <w:rFonts w:ascii="Garamond" w:hAnsi="Garamond" w:cs="Garamond"/>
          <w:sz w:val="24"/>
          <w:szCs w:val="24"/>
        </w:rPr>
        <w:t>funds.</w:t>
      </w:r>
    </w:p>
    <w:p w:rsidR="002C5025" w:rsidRDefault="002C5025">
      <w:pPr>
        <w:pStyle w:val="BodyText"/>
        <w:kinsoku w:val="0"/>
        <w:overflowPunct w:val="0"/>
        <w:spacing w:before="7"/>
        <w:rPr>
          <w:rFonts w:ascii="Garamond" w:hAnsi="Garamond" w:cs="Garamond"/>
          <w:sz w:val="27"/>
          <w:szCs w:val="27"/>
        </w:rPr>
      </w:pPr>
    </w:p>
    <w:p w:rsidR="002C5025" w:rsidRDefault="002C5025">
      <w:pPr>
        <w:pStyle w:val="BodyText"/>
        <w:kinsoku w:val="0"/>
        <w:overflowPunct w:val="0"/>
        <w:spacing w:line="273" w:lineRule="auto"/>
        <w:ind w:left="119" w:right="241"/>
        <w:rPr>
          <w:rFonts w:ascii="Garamond" w:hAnsi="Garamond" w:cs="Garamond"/>
          <w:sz w:val="24"/>
          <w:szCs w:val="24"/>
        </w:rPr>
      </w:pPr>
      <w:r>
        <w:rPr>
          <w:rFonts w:ascii="Garamond" w:hAnsi="Garamond" w:cs="Garamond"/>
          <w:sz w:val="24"/>
          <w:szCs w:val="24"/>
        </w:rPr>
        <w:t>Technical assistance offered to providers should include solutions for oral health integration into primary care practice and promote integration models already developed for safety net providers.</w:t>
      </w:r>
      <w:r>
        <w:rPr>
          <w:rFonts w:ascii="Garamond" w:hAnsi="Garamond" w:cs="Garamond"/>
          <w:position w:val="10"/>
          <w:sz w:val="14"/>
          <w:szCs w:val="14"/>
        </w:rPr>
        <w:t xml:space="preserve">13 </w:t>
      </w:r>
      <w:r>
        <w:rPr>
          <w:rFonts w:ascii="Garamond" w:hAnsi="Garamond" w:cs="Garamond"/>
          <w:sz w:val="24"/>
          <w:szCs w:val="24"/>
        </w:rPr>
        <w:t>According to recent findings from the Health Policy Commission, almost half of all preventable emergency</w:t>
      </w:r>
      <w:r>
        <w:rPr>
          <w:rFonts w:ascii="Garamond" w:hAnsi="Garamond" w:cs="Garamond"/>
          <w:spacing w:val="-13"/>
          <w:sz w:val="24"/>
          <w:szCs w:val="24"/>
        </w:rPr>
        <w:t xml:space="preserve"> </w:t>
      </w:r>
      <w:r>
        <w:rPr>
          <w:rFonts w:ascii="Garamond" w:hAnsi="Garamond" w:cs="Garamond"/>
          <w:sz w:val="24"/>
          <w:szCs w:val="24"/>
        </w:rPr>
        <w:t>department</w:t>
      </w:r>
      <w:r>
        <w:rPr>
          <w:rFonts w:ascii="Garamond" w:hAnsi="Garamond" w:cs="Garamond"/>
          <w:spacing w:val="-15"/>
          <w:sz w:val="24"/>
          <w:szCs w:val="24"/>
        </w:rPr>
        <w:t xml:space="preserve"> </w:t>
      </w:r>
      <w:r>
        <w:rPr>
          <w:rFonts w:ascii="Garamond" w:hAnsi="Garamond" w:cs="Garamond"/>
          <w:sz w:val="24"/>
          <w:szCs w:val="24"/>
        </w:rPr>
        <w:t>visits</w:t>
      </w:r>
      <w:r>
        <w:rPr>
          <w:rFonts w:ascii="Garamond" w:hAnsi="Garamond" w:cs="Garamond"/>
          <w:spacing w:val="-15"/>
          <w:sz w:val="24"/>
          <w:szCs w:val="24"/>
        </w:rPr>
        <w:t xml:space="preserve"> </w:t>
      </w:r>
      <w:r>
        <w:rPr>
          <w:rFonts w:ascii="Garamond" w:hAnsi="Garamond" w:cs="Garamond"/>
          <w:sz w:val="24"/>
          <w:szCs w:val="24"/>
        </w:rPr>
        <w:t>for</w:t>
      </w:r>
      <w:r>
        <w:rPr>
          <w:rFonts w:ascii="Garamond" w:hAnsi="Garamond" w:cs="Garamond"/>
          <w:spacing w:val="-15"/>
          <w:sz w:val="24"/>
          <w:szCs w:val="24"/>
        </w:rPr>
        <w:t xml:space="preserve"> </w:t>
      </w:r>
      <w:r>
        <w:rPr>
          <w:rFonts w:ascii="Garamond" w:hAnsi="Garamond" w:cs="Garamond"/>
          <w:sz w:val="24"/>
          <w:szCs w:val="24"/>
        </w:rPr>
        <w:t>oral</w:t>
      </w:r>
      <w:r>
        <w:rPr>
          <w:rFonts w:ascii="Garamond" w:hAnsi="Garamond" w:cs="Garamond"/>
          <w:spacing w:val="-12"/>
          <w:sz w:val="24"/>
          <w:szCs w:val="24"/>
        </w:rPr>
        <w:t xml:space="preserve"> </w:t>
      </w:r>
      <w:r>
        <w:rPr>
          <w:rFonts w:ascii="Garamond" w:hAnsi="Garamond" w:cs="Garamond"/>
          <w:sz w:val="24"/>
          <w:szCs w:val="24"/>
        </w:rPr>
        <w:t>health</w:t>
      </w:r>
      <w:r>
        <w:rPr>
          <w:rFonts w:ascii="Garamond" w:hAnsi="Garamond" w:cs="Garamond"/>
          <w:spacing w:val="-14"/>
          <w:sz w:val="24"/>
          <w:szCs w:val="24"/>
        </w:rPr>
        <w:t xml:space="preserve"> </w:t>
      </w:r>
      <w:r>
        <w:rPr>
          <w:rFonts w:ascii="Garamond" w:hAnsi="Garamond" w:cs="Garamond"/>
          <w:sz w:val="24"/>
          <w:szCs w:val="24"/>
        </w:rPr>
        <w:t>were</w:t>
      </w:r>
      <w:r>
        <w:rPr>
          <w:rFonts w:ascii="Garamond" w:hAnsi="Garamond" w:cs="Garamond"/>
          <w:spacing w:val="-13"/>
          <w:sz w:val="24"/>
          <w:szCs w:val="24"/>
        </w:rPr>
        <w:t xml:space="preserve"> </w:t>
      </w:r>
      <w:r>
        <w:rPr>
          <w:rFonts w:ascii="Garamond" w:hAnsi="Garamond" w:cs="Garamond"/>
          <w:sz w:val="24"/>
          <w:szCs w:val="24"/>
        </w:rPr>
        <w:t>paid</w:t>
      </w:r>
      <w:r>
        <w:rPr>
          <w:rFonts w:ascii="Garamond" w:hAnsi="Garamond" w:cs="Garamond"/>
          <w:spacing w:val="-14"/>
          <w:sz w:val="24"/>
          <w:szCs w:val="24"/>
        </w:rPr>
        <w:t xml:space="preserve"> </w:t>
      </w:r>
      <w:r>
        <w:rPr>
          <w:rFonts w:ascii="Garamond" w:hAnsi="Garamond" w:cs="Garamond"/>
          <w:sz w:val="24"/>
          <w:szCs w:val="24"/>
        </w:rPr>
        <w:t>for</w:t>
      </w:r>
      <w:r>
        <w:rPr>
          <w:rFonts w:ascii="Garamond" w:hAnsi="Garamond" w:cs="Garamond"/>
          <w:spacing w:val="-15"/>
          <w:sz w:val="24"/>
          <w:szCs w:val="24"/>
        </w:rPr>
        <w:t xml:space="preserve"> </w:t>
      </w:r>
      <w:r>
        <w:rPr>
          <w:rFonts w:ascii="Garamond" w:hAnsi="Garamond" w:cs="Garamond"/>
          <w:sz w:val="24"/>
          <w:szCs w:val="24"/>
        </w:rPr>
        <w:t>by</w:t>
      </w:r>
      <w:r>
        <w:rPr>
          <w:rFonts w:ascii="Garamond" w:hAnsi="Garamond" w:cs="Garamond"/>
          <w:spacing w:val="-11"/>
          <w:sz w:val="24"/>
          <w:szCs w:val="24"/>
        </w:rPr>
        <w:t xml:space="preserve"> </w:t>
      </w:r>
      <w:r>
        <w:rPr>
          <w:rFonts w:ascii="Garamond" w:hAnsi="Garamond" w:cs="Garamond"/>
          <w:sz w:val="24"/>
          <w:szCs w:val="24"/>
        </w:rPr>
        <w:t>MassHealth.</w:t>
      </w:r>
      <w:r>
        <w:rPr>
          <w:rFonts w:ascii="Garamond" w:hAnsi="Garamond" w:cs="Garamond"/>
          <w:position w:val="10"/>
          <w:sz w:val="14"/>
          <w:szCs w:val="14"/>
        </w:rPr>
        <w:t>14</w:t>
      </w:r>
      <w:r>
        <w:rPr>
          <w:rFonts w:ascii="Garamond" w:hAnsi="Garamond" w:cs="Garamond"/>
          <w:spacing w:val="10"/>
          <w:position w:val="10"/>
          <w:sz w:val="14"/>
          <w:szCs w:val="14"/>
        </w:rPr>
        <w:t xml:space="preserve"> </w:t>
      </w:r>
      <w:r>
        <w:rPr>
          <w:rFonts w:ascii="Garamond" w:hAnsi="Garamond" w:cs="Garamond"/>
          <w:sz w:val="24"/>
          <w:szCs w:val="24"/>
        </w:rPr>
        <w:t>Accordingly,</w:t>
      </w:r>
      <w:r>
        <w:rPr>
          <w:rFonts w:ascii="Garamond" w:hAnsi="Garamond" w:cs="Garamond"/>
          <w:spacing w:val="-14"/>
          <w:sz w:val="24"/>
          <w:szCs w:val="24"/>
        </w:rPr>
        <w:t xml:space="preserve"> </w:t>
      </w:r>
      <w:r>
        <w:rPr>
          <w:rFonts w:ascii="Garamond" w:hAnsi="Garamond" w:cs="Garamond"/>
          <w:sz w:val="24"/>
          <w:szCs w:val="24"/>
        </w:rPr>
        <w:t xml:space="preserve">MassHealth should also consider oral health when investing in new care delivery model innovations, especially when examining interventions that may result in the highest return on investment. </w:t>
      </w:r>
      <w:r>
        <w:rPr>
          <w:rFonts w:ascii="Garamond" w:hAnsi="Garamond" w:cs="Garamond"/>
          <w:spacing w:val="-3"/>
          <w:sz w:val="24"/>
          <w:szCs w:val="24"/>
        </w:rPr>
        <w:t xml:space="preserve">These </w:t>
      </w:r>
      <w:r>
        <w:rPr>
          <w:rFonts w:ascii="Garamond" w:hAnsi="Garamond" w:cs="Garamond"/>
          <w:sz w:val="24"/>
          <w:szCs w:val="24"/>
        </w:rPr>
        <w:t>innovations must be flexible and meet people where they are; these might include emergency department diversion programs for oral health-related problems and/or tele</w:t>
      </w:r>
      <w:r w:rsidR="00347C9E">
        <w:rPr>
          <w:rFonts w:ascii="Garamond" w:hAnsi="Garamond" w:cs="Garamond"/>
          <w:sz w:val="24"/>
          <w:szCs w:val="24"/>
        </w:rPr>
        <w:t>-</w:t>
      </w:r>
      <w:r>
        <w:rPr>
          <w:rFonts w:ascii="Garamond" w:hAnsi="Garamond" w:cs="Garamond"/>
          <w:sz w:val="24"/>
          <w:szCs w:val="24"/>
        </w:rPr>
        <w:t>dentistry (notably, Paul Glassman’s Virtual Dental Home model), among others. Tele</w:t>
      </w:r>
      <w:r w:rsidR="00347C9E">
        <w:rPr>
          <w:rFonts w:ascii="Garamond" w:hAnsi="Garamond" w:cs="Garamond"/>
          <w:sz w:val="24"/>
          <w:szCs w:val="24"/>
        </w:rPr>
        <w:t>-</w:t>
      </w:r>
      <w:r>
        <w:rPr>
          <w:rFonts w:ascii="Garamond" w:hAnsi="Garamond" w:cs="Garamond"/>
          <w:sz w:val="24"/>
          <w:szCs w:val="24"/>
        </w:rPr>
        <w:t>dentistry extends dental service access to</w:t>
      </w:r>
      <w:r>
        <w:rPr>
          <w:rFonts w:ascii="Garamond" w:hAnsi="Garamond" w:cs="Garamond"/>
          <w:spacing w:val="-15"/>
          <w:sz w:val="24"/>
          <w:szCs w:val="24"/>
        </w:rPr>
        <w:t xml:space="preserve"> </w:t>
      </w:r>
      <w:r>
        <w:rPr>
          <w:rFonts w:ascii="Garamond" w:hAnsi="Garamond" w:cs="Garamond"/>
          <w:sz w:val="24"/>
          <w:szCs w:val="24"/>
        </w:rPr>
        <w:t>members</w:t>
      </w:r>
      <w:r>
        <w:rPr>
          <w:rFonts w:ascii="Garamond" w:hAnsi="Garamond" w:cs="Garamond"/>
          <w:spacing w:val="-16"/>
          <w:sz w:val="24"/>
          <w:szCs w:val="24"/>
        </w:rPr>
        <w:t xml:space="preserve"> </w:t>
      </w:r>
      <w:r>
        <w:rPr>
          <w:rFonts w:ascii="Garamond" w:hAnsi="Garamond" w:cs="Garamond"/>
          <w:sz w:val="24"/>
          <w:szCs w:val="24"/>
        </w:rPr>
        <w:t>who</w:t>
      </w:r>
      <w:r>
        <w:rPr>
          <w:rFonts w:ascii="Garamond" w:hAnsi="Garamond" w:cs="Garamond"/>
          <w:spacing w:val="-12"/>
          <w:sz w:val="24"/>
          <w:szCs w:val="24"/>
        </w:rPr>
        <w:t xml:space="preserve"> </w:t>
      </w:r>
      <w:r>
        <w:rPr>
          <w:rFonts w:ascii="Garamond" w:hAnsi="Garamond" w:cs="Garamond"/>
          <w:sz w:val="24"/>
          <w:szCs w:val="24"/>
        </w:rPr>
        <w:t>may</w:t>
      </w:r>
      <w:r>
        <w:rPr>
          <w:rFonts w:ascii="Garamond" w:hAnsi="Garamond" w:cs="Garamond"/>
          <w:spacing w:val="-11"/>
          <w:sz w:val="24"/>
          <w:szCs w:val="24"/>
        </w:rPr>
        <w:t xml:space="preserve"> </w:t>
      </w:r>
      <w:r>
        <w:rPr>
          <w:rFonts w:ascii="Garamond" w:hAnsi="Garamond" w:cs="Garamond"/>
          <w:sz w:val="24"/>
          <w:szCs w:val="24"/>
        </w:rPr>
        <w:t>otherwise</w:t>
      </w:r>
      <w:r>
        <w:rPr>
          <w:rFonts w:ascii="Garamond" w:hAnsi="Garamond" w:cs="Garamond"/>
          <w:spacing w:val="-11"/>
          <w:sz w:val="24"/>
          <w:szCs w:val="24"/>
        </w:rPr>
        <w:t xml:space="preserve"> </w:t>
      </w:r>
      <w:r>
        <w:rPr>
          <w:rFonts w:ascii="Garamond" w:hAnsi="Garamond" w:cs="Garamond"/>
          <w:sz w:val="24"/>
          <w:szCs w:val="24"/>
        </w:rPr>
        <w:t>have</w:t>
      </w:r>
      <w:r>
        <w:rPr>
          <w:rFonts w:ascii="Garamond" w:hAnsi="Garamond" w:cs="Garamond"/>
          <w:spacing w:val="-11"/>
          <w:sz w:val="24"/>
          <w:szCs w:val="24"/>
        </w:rPr>
        <w:t xml:space="preserve"> </w:t>
      </w:r>
      <w:r>
        <w:rPr>
          <w:rFonts w:ascii="Garamond" w:hAnsi="Garamond" w:cs="Garamond"/>
          <w:sz w:val="24"/>
          <w:szCs w:val="24"/>
        </w:rPr>
        <w:t>difficulty</w:t>
      </w:r>
      <w:r>
        <w:rPr>
          <w:rFonts w:ascii="Garamond" w:hAnsi="Garamond" w:cs="Garamond"/>
          <w:spacing w:val="-16"/>
          <w:sz w:val="24"/>
          <w:szCs w:val="24"/>
        </w:rPr>
        <w:t xml:space="preserve"> </w:t>
      </w:r>
      <w:r>
        <w:rPr>
          <w:rFonts w:ascii="Garamond" w:hAnsi="Garamond" w:cs="Garamond"/>
          <w:sz w:val="24"/>
          <w:szCs w:val="24"/>
        </w:rPr>
        <w:t>accessing</w:t>
      </w:r>
      <w:r>
        <w:rPr>
          <w:rFonts w:ascii="Garamond" w:hAnsi="Garamond" w:cs="Garamond"/>
          <w:spacing w:val="-14"/>
          <w:sz w:val="24"/>
          <w:szCs w:val="24"/>
        </w:rPr>
        <w:t xml:space="preserve"> </w:t>
      </w:r>
      <w:r>
        <w:rPr>
          <w:rFonts w:ascii="Garamond" w:hAnsi="Garamond" w:cs="Garamond"/>
          <w:sz w:val="24"/>
          <w:szCs w:val="24"/>
        </w:rPr>
        <w:t>care</w:t>
      </w:r>
      <w:r>
        <w:rPr>
          <w:rFonts w:ascii="Garamond" w:hAnsi="Garamond" w:cs="Garamond"/>
          <w:spacing w:val="-11"/>
          <w:sz w:val="24"/>
          <w:szCs w:val="24"/>
        </w:rPr>
        <w:t xml:space="preserve"> </w:t>
      </w:r>
      <w:r>
        <w:rPr>
          <w:rFonts w:ascii="Garamond" w:hAnsi="Garamond" w:cs="Garamond"/>
          <w:sz w:val="24"/>
          <w:szCs w:val="24"/>
        </w:rPr>
        <w:t>and</w:t>
      </w:r>
      <w:r>
        <w:rPr>
          <w:rFonts w:ascii="Garamond" w:hAnsi="Garamond" w:cs="Garamond"/>
          <w:spacing w:val="-12"/>
          <w:sz w:val="24"/>
          <w:szCs w:val="24"/>
        </w:rPr>
        <w:t xml:space="preserve"> </w:t>
      </w:r>
      <w:r>
        <w:rPr>
          <w:rFonts w:ascii="Garamond" w:hAnsi="Garamond" w:cs="Garamond"/>
          <w:sz w:val="24"/>
          <w:szCs w:val="24"/>
        </w:rPr>
        <w:t>would</w:t>
      </w:r>
      <w:r>
        <w:rPr>
          <w:rFonts w:ascii="Garamond" w:hAnsi="Garamond" w:cs="Garamond"/>
          <w:spacing w:val="-15"/>
          <w:sz w:val="24"/>
          <w:szCs w:val="24"/>
        </w:rPr>
        <w:t xml:space="preserve"> </w:t>
      </w:r>
      <w:r>
        <w:rPr>
          <w:rFonts w:ascii="Garamond" w:hAnsi="Garamond" w:cs="Garamond"/>
          <w:sz w:val="24"/>
          <w:szCs w:val="24"/>
        </w:rPr>
        <w:t>utilize</w:t>
      </w:r>
      <w:r>
        <w:rPr>
          <w:rFonts w:ascii="Garamond" w:hAnsi="Garamond" w:cs="Garamond"/>
          <w:spacing w:val="-11"/>
          <w:sz w:val="24"/>
          <w:szCs w:val="24"/>
        </w:rPr>
        <w:t xml:space="preserve"> </w:t>
      </w:r>
      <w:r>
        <w:rPr>
          <w:rFonts w:ascii="Garamond" w:hAnsi="Garamond" w:cs="Garamond"/>
          <w:sz w:val="24"/>
          <w:szCs w:val="24"/>
        </w:rPr>
        <w:t>existing</w:t>
      </w:r>
      <w:r>
        <w:rPr>
          <w:rFonts w:ascii="Garamond" w:hAnsi="Garamond" w:cs="Garamond"/>
          <w:spacing w:val="-12"/>
          <w:sz w:val="24"/>
          <w:szCs w:val="24"/>
        </w:rPr>
        <w:t xml:space="preserve"> </w:t>
      </w:r>
      <w:r>
        <w:rPr>
          <w:rFonts w:ascii="Garamond" w:hAnsi="Garamond" w:cs="Garamond"/>
          <w:sz w:val="24"/>
          <w:szCs w:val="24"/>
        </w:rPr>
        <w:t>public</w:t>
      </w:r>
      <w:r>
        <w:rPr>
          <w:rFonts w:ascii="Garamond" w:hAnsi="Garamond" w:cs="Garamond"/>
          <w:spacing w:val="-14"/>
          <w:sz w:val="24"/>
          <w:szCs w:val="24"/>
        </w:rPr>
        <w:t xml:space="preserve"> </w:t>
      </w:r>
      <w:r>
        <w:rPr>
          <w:rFonts w:ascii="Garamond" w:hAnsi="Garamond" w:cs="Garamond"/>
          <w:sz w:val="24"/>
          <w:szCs w:val="24"/>
        </w:rPr>
        <w:t>health dental</w:t>
      </w:r>
      <w:r>
        <w:rPr>
          <w:rFonts w:ascii="Garamond" w:hAnsi="Garamond" w:cs="Garamond"/>
          <w:spacing w:val="-12"/>
          <w:sz w:val="24"/>
          <w:szCs w:val="24"/>
        </w:rPr>
        <w:t xml:space="preserve"> </w:t>
      </w:r>
      <w:r>
        <w:rPr>
          <w:rFonts w:ascii="Garamond" w:hAnsi="Garamond" w:cs="Garamond"/>
          <w:sz w:val="24"/>
          <w:szCs w:val="24"/>
        </w:rPr>
        <w:t>hygienists</w:t>
      </w:r>
      <w:r>
        <w:rPr>
          <w:rFonts w:ascii="Garamond" w:hAnsi="Garamond" w:cs="Garamond"/>
          <w:spacing w:val="-16"/>
          <w:sz w:val="24"/>
          <w:szCs w:val="24"/>
        </w:rPr>
        <w:t xml:space="preserve"> </w:t>
      </w:r>
      <w:r>
        <w:rPr>
          <w:rFonts w:ascii="Garamond" w:hAnsi="Garamond" w:cs="Garamond"/>
          <w:sz w:val="24"/>
          <w:szCs w:val="24"/>
        </w:rPr>
        <w:t>and</w:t>
      </w:r>
      <w:r>
        <w:rPr>
          <w:rFonts w:ascii="Garamond" w:hAnsi="Garamond" w:cs="Garamond"/>
          <w:spacing w:val="-12"/>
          <w:sz w:val="24"/>
          <w:szCs w:val="24"/>
        </w:rPr>
        <w:t xml:space="preserve"> </w:t>
      </w:r>
      <w:r>
        <w:rPr>
          <w:rFonts w:ascii="Garamond" w:hAnsi="Garamond" w:cs="Garamond"/>
          <w:sz w:val="24"/>
          <w:szCs w:val="24"/>
        </w:rPr>
        <w:t>other</w:t>
      </w:r>
      <w:r>
        <w:rPr>
          <w:rFonts w:ascii="Garamond" w:hAnsi="Garamond" w:cs="Garamond"/>
          <w:spacing w:val="-11"/>
          <w:sz w:val="24"/>
          <w:szCs w:val="24"/>
        </w:rPr>
        <w:t xml:space="preserve"> </w:t>
      </w:r>
      <w:r>
        <w:rPr>
          <w:rFonts w:ascii="Garamond" w:hAnsi="Garamond" w:cs="Garamond"/>
          <w:sz w:val="24"/>
          <w:szCs w:val="24"/>
        </w:rPr>
        <w:t>allied</w:t>
      </w:r>
      <w:r>
        <w:rPr>
          <w:rFonts w:ascii="Garamond" w:hAnsi="Garamond" w:cs="Garamond"/>
          <w:spacing w:val="-12"/>
          <w:sz w:val="24"/>
          <w:szCs w:val="24"/>
        </w:rPr>
        <w:t xml:space="preserve"> </w:t>
      </w:r>
      <w:r>
        <w:rPr>
          <w:rFonts w:ascii="Garamond" w:hAnsi="Garamond" w:cs="Garamond"/>
          <w:sz w:val="24"/>
          <w:szCs w:val="24"/>
        </w:rPr>
        <w:t>health</w:t>
      </w:r>
      <w:r>
        <w:rPr>
          <w:rFonts w:ascii="Garamond" w:hAnsi="Garamond" w:cs="Garamond"/>
          <w:spacing w:val="-10"/>
          <w:sz w:val="24"/>
          <w:szCs w:val="24"/>
        </w:rPr>
        <w:t xml:space="preserve"> </w:t>
      </w:r>
      <w:r>
        <w:rPr>
          <w:rFonts w:ascii="Garamond" w:hAnsi="Garamond" w:cs="Garamond"/>
          <w:sz w:val="24"/>
          <w:szCs w:val="24"/>
        </w:rPr>
        <w:t>providers</w:t>
      </w:r>
      <w:r>
        <w:rPr>
          <w:rFonts w:ascii="Garamond" w:hAnsi="Garamond" w:cs="Garamond"/>
          <w:spacing w:val="-13"/>
          <w:sz w:val="24"/>
          <w:szCs w:val="24"/>
        </w:rPr>
        <w:t xml:space="preserve"> </w:t>
      </w:r>
      <w:r>
        <w:rPr>
          <w:rFonts w:ascii="Garamond" w:hAnsi="Garamond" w:cs="Garamond"/>
          <w:sz w:val="24"/>
          <w:szCs w:val="24"/>
        </w:rPr>
        <w:t>to</w:t>
      </w:r>
      <w:r>
        <w:rPr>
          <w:rFonts w:ascii="Garamond" w:hAnsi="Garamond" w:cs="Garamond"/>
          <w:spacing w:val="-15"/>
          <w:sz w:val="24"/>
          <w:szCs w:val="24"/>
        </w:rPr>
        <w:t xml:space="preserve"> </w:t>
      </w:r>
      <w:r>
        <w:rPr>
          <w:rFonts w:ascii="Garamond" w:hAnsi="Garamond" w:cs="Garamond"/>
          <w:sz w:val="24"/>
          <w:szCs w:val="24"/>
        </w:rPr>
        <w:t>the</w:t>
      </w:r>
      <w:r>
        <w:rPr>
          <w:rFonts w:ascii="Garamond" w:hAnsi="Garamond" w:cs="Garamond"/>
          <w:spacing w:val="-10"/>
          <w:sz w:val="24"/>
          <w:szCs w:val="24"/>
        </w:rPr>
        <w:t xml:space="preserve"> </w:t>
      </w:r>
      <w:r>
        <w:rPr>
          <w:rFonts w:ascii="Garamond" w:hAnsi="Garamond" w:cs="Garamond"/>
          <w:sz w:val="24"/>
          <w:szCs w:val="24"/>
        </w:rPr>
        <w:t>full</w:t>
      </w:r>
      <w:r>
        <w:rPr>
          <w:rFonts w:ascii="Garamond" w:hAnsi="Garamond" w:cs="Garamond"/>
          <w:spacing w:val="-12"/>
          <w:sz w:val="24"/>
          <w:szCs w:val="24"/>
        </w:rPr>
        <w:t xml:space="preserve"> </w:t>
      </w:r>
      <w:r>
        <w:rPr>
          <w:rFonts w:ascii="Garamond" w:hAnsi="Garamond" w:cs="Garamond"/>
          <w:sz w:val="24"/>
          <w:szCs w:val="24"/>
        </w:rPr>
        <w:t>scope</w:t>
      </w:r>
      <w:r>
        <w:rPr>
          <w:rFonts w:ascii="Garamond" w:hAnsi="Garamond" w:cs="Garamond"/>
          <w:spacing w:val="-10"/>
          <w:sz w:val="24"/>
          <w:szCs w:val="24"/>
        </w:rPr>
        <w:t xml:space="preserve"> </w:t>
      </w:r>
      <w:r>
        <w:rPr>
          <w:rFonts w:ascii="Garamond" w:hAnsi="Garamond" w:cs="Garamond"/>
          <w:sz w:val="24"/>
          <w:szCs w:val="24"/>
        </w:rPr>
        <w:t>of</w:t>
      </w:r>
      <w:r>
        <w:rPr>
          <w:rFonts w:ascii="Garamond" w:hAnsi="Garamond" w:cs="Garamond"/>
          <w:spacing w:val="-13"/>
          <w:sz w:val="24"/>
          <w:szCs w:val="24"/>
        </w:rPr>
        <w:t xml:space="preserve"> </w:t>
      </w:r>
      <w:r>
        <w:rPr>
          <w:rFonts w:ascii="Garamond" w:hAnsi="Garamond" w:cs="Garamond"/>
          <w:sz w:val="24"/>
          <w:szCs w:val="24"/>
        </w:rPr>
        <w:t>licensure.</w:t>
      </w:r>
      <w:r>
        <w:rPr>
          <w:rFonts w:ascii="Garamond" w:hAnsi="Garamond" w:cs="Garamond"/>
          <w:spacing w:val="-12"/>
          <w:sz w:val="24"/>
          <w:szCs w:val="24"/>
        </w:rPr>
        <w:t xml:space="preserve"> </w:t>
      </w:r>
      <w:r>
        <w:rPr>
          <w:rFonts w:ascii="Garamond" w:hAnsi="Garamond" w:cs="Garamond"/>
          <w:sz w:val="24"/>
          <w:szCs w:val="24"/>
        </w:rPr>
        <w:t>MassHealth</w:t>
      </w:r>
    </w:p>
    <w:p w:rsidR="002C5025" w:rsidRDefault="002C5025">
      <w:pPr>
        <w:pStyle w:val="BodyText"/>
        <w:kinsoku w:val="0"/>
        <w:overflowPunct w:val="0"/>
        <w:spacing w:line="273" w:lineRule="auto"/>
        <w:ind w:left="120" w:right="201"/>
        <w:rPr>
          <w:rFonts w:ascii="Garamond" w:hAnsi="Garamond" w:cs="Garamond"/>
          <w:sz w:val="24"/>
          <w:szCs w:val="24"/>
        </w:rPr>
      </w:pPr>
      <w:r>
        <w:rPr>
          <w:rFonts w:ascii="Garamond" w:hAnsi="Garamond" w:cs="Garamond"/>
          <w:sz w:val="24"/>
          <w:szCs w:val="24"/>
        </w:rPr>
        <w:t>should</w:t>
      </w:r>
      <w:r>
        <w:rPr>
          <w:rFonts w:ascii="Garamond" w:hAnsi="Garamond" w:cs="Garamond"/>
          <w:spacing w:val="-17"/>
          <w:sz w:val="24"/>
          <w:szCs w:val="24"/>
        </w:rPr>
        <w:t xml:space="preserve"> </w:t>
      </w:r>
      <w:r>
        <w:rPr>
          <w:rFonts w:ascii="Garamond" w:hAnsi="Garamond" w:cs="Garamond"/>
          <w:sz w:val="24"/>
          <w:szCs w:val="24"/>
        </w:rPr>
        <w:t>enable</w:t>
      </w:r>
      <w:r>
        <w:rPr>
          <w:rFonts w:ascii="Garamond" w:hAnsi="Garamond" w:cs="Garamond"/>
          <w:spacing w:val="-14"/>
          <w:sz w:val="24"/>
          <w:szCs w:val="24"/>
        </w:rPr>
        <w:t xml:space="preserve"> </w:t>
      </w:r>
      <w:r>
        <w:rPr>
          <w:rFonts w:ascii="Garamond" w:hAnsi="Garamond" w:cs="Garamond"/>
          <w:sz w:val="24"/>
          <w:szCs w:val="24"/>
        </w:rPr>
        <w:t>reimbursements</w:t>
      </w:r>
      <w:r>
        <w:rPr>
          <w:rFonts w:ascii="Garamond" w:hAnsi="Garamond" w:cs="Garamond"/>
          <w:spacing w:val="-18"/>
          <w:sz w:val="24"/>
          <w:szCs w:val="24"/>
        </w:rPr>
        <w:t xml:space="preserve"> </w:t>
      </w:r>
      <w:r>
        <w:rPr>
          <w:rFonts w:ascii="Garamond" w:hAnsi="Garamond" w:cs="Garamond"/>
          <w:sz w:val="24"/>
          <w:szCs w:val="24"/>
        </w:rPr>
        <w:t>for</w:t>
      </w:r>
      <w:r>
        <w:rPr>
          <w:rFonts w:ascii="Garamond" w:hAnsi="Garamond" w:cs="Garamond"/>
          <w:spacing w:val="-18"/>
          <w:sz w:val="24"/>
          <w:szCs w:val="24"/>
        </w:rPr>
        <w:t xml:space="preserve"> </w:t>
      </w:r>
      <w:r>
        <w:rPr>
          <w:rFonts w:ascii="Garamond" w:hAnsi="Garamond" w:cs="Garamond"/>
          <w:sz w:val="24"/>
          <w:szCs w:val="24"/>
        </w:rPr>
        <w:t>off-site</w:t>
      </w:r>
      <w:r>
        <w:rPr>
          <w:rFonts w:ascii="Garamond" w:hAnsi="Garamond" w:cs="Garamond"/>
          <w:spacing w:val="-14"/>
          <w:sz w:val="24"/>
          <w:szCs w:val="24"/>
        </w:rPr>
        <w:t xml:space="preserve"> </w:t>
      </w:r>
      <w:r>
        <w:rPr>
          <w:rFonts w:ascii="Garamond" w:hAnsi="Garamond" w:cs="Garamond"/>
          <w:sz w:val="24"/>
          <w:szCs w:val="24"/>
        </w:rPr>
        <w:t>screening</w:t>
      </w:r>
      <w:r>
        <w:rPr>
          <w:rFonts w:ascii="Garamond" w:hAnsi="Garamond" w:cs="Garamond"/>
          <w:spacing w:val="-15"/>
          <w:sz w:val="24"/>
          <w:szCs w:val="24"/>
        </w:rPr>
        <w:t xml:space="preserve"> </w:t>
      </w:r>
      <w:r>
        <w:rPr>
          <w:rFonts w:ascii="Garamond" w:hAnsi="Garamond" w:cs="Garamond"/>
          <w:sz w:val="24"/>
          <w:szCs w:val="24"/>
        </w:rPr>
        <w:t>and</w:t>
      </w:r>
      <w:r>
        <w:rPr>
          <w:rFonts w:ascii="Garamond" w:hAnsi="Garamond" w:cs="Garamond"/>
          <w:spacing w:val="-15"/>
          <w:sz w:val="24"/>
          <w:szCs w:val="24"/>
        </w:rPr>
        <w:t xml:space="preserve"> </w:t>
      </w:r>
      <w:r>
        <w:rPr>
          <w:rFonts w:ascii="Garamond" w:hAnsi="Garamond" w:cs="Garamond"/>
          <w:sz w:val="24"/>
          <w:szCs w:val="24"/>
        </w:rPr>
        <w:t>service</w:t>
      </w:r>
      <w:r>
        <w:rPr>
          <w:rFonts w:ascii="Garamond" w:hAnsi="Garamond" w:cs="Garamond"/>
          <w:spacing w:val="-14"/>
          <w:sz w:val="24"/>
          <w:szCs w:val="24"/>
        </w:rPr>
        <w:t xml:space="preserve"> </w:t>
      </w:r>
      <w:r>
        <w:rPr>
          <w:rFonts w:ascii="Garamond" w:hAnsi="Garamond" w:cs="Garamond"/>
          <w:sz w:val="24"/>
          <w:szCs w:val="24"/>
        </w:rPr>
        <w:t>delivery,</w:t>
      </w:r>
      <w:r>
        <w:rPr>
          <w:rFonts w:ascii="Garamond" w:hAnsi="Garamond" w:cs="Garamond"/>
          <w:spacing w:val="-15"/>
          <w:sz w:val="24"/>
          <w:szCs w:val="24"/>
        </w:rPr>
        <w:t xml:space="preserve"> </w:t>
      </w:r>
      <w:r>
        <w:rPr>
          <w:rFonts w:ascii="Garamond" w:hAnsi="Garamond" w:cs="Garamond"/>
          <w:sz w:val="24"/>
          <w:szCs w:val="24"/>
        </w:rPr>
        <w:t>which</w:t>
      </w:r>
      <w:r>
        <w:rPr>
          <w:rFonts w:ascii="Garamond" w:hAnsi="Garamond" w:cs="Garamond"/>
          <w:spacing w:val="-19"/>
          <w:sz w:val="24"/>
          <w:szCs w:val="24"/>
        </w:rPr>
        <w:t xml:space="preserve"> </w:t>
      </w:r>
      <w:r>
        <w:rPr>
          <w:rFonts w:ascii="Garamond" w:hAnsi="Garamond" w:cs="Garamond"/>
          <w:sz w:val="24"/>
          <w:szCs w:val="24"/>
        </w:rPr>
        <w:t>would</w:t>
      </w:r>
      <w:r>
        <w:rPr>
          <w:rFonts w:ascii="Garamond" w:hAnsi="Garamond" w:cs="Garamond"/>
          <w:spacing w:val="-15"/>
          <w:sz w:val="24"/>
          <w:szCs w:val="24"/>
        </w:rPr>
        <w:t xml:space="preserve"> </w:t>
      </w:r>
      <w:r>
        <w:rPr>
          <w:rFonts w:ascii="Garamond" w:hAnsi="Garamond" w:cs="Garamond"/>
          <w:sz w:val="24"/>
          <w:szCs w:val="24"/>
        </w:rPr>
        <w:t>facilitate</w:t>
      </w:r>
      <w:r>
        <w:rPr>
          <w:rFonts w:ascii="Garamond" w:hAnsi="Garamond" w:cs="Garamond"/>
          <w:spacing w:val="-14"/>
          <w:sz w:val="24"/>
          <w:szCs w:val="24"/>
        </w:rPr>
        <w:t xml:space="preserve"> </w:t>
      </w:r>
      <w:r>
        <w:rPr>
          <w:rFonts w:ascii="Garamond" w:hAnsi="Garamond" w:cs="Garamond"/>
          <w:sz w:val="24"/>
          <w:szCs w:val="24"/>
        </w:rPr>
        <w:t>the use</w:t>
      </w:r>
      <w:r>
        <w:rPr>
          <w:rFonts w:ascii="Garamond" w:hAnsi="Garamond" w:cs="Garamond"/>
          <w:spacing w:val="-17"/>
          <w:sz w:val="24"/>
          <w:szCs w:val="24"/>
        </w:rPr>
        <w:t xml:space="preserve"> </w:t>
      </w:r>
      <w:r>
        <w:rPr>
          <w:rFonts w:ascii="Garamond" w:hAnsi="Garamond" w:cs="Garamond"/>
          <w:sz w:val="24"/>
          <w:szCs w:val="24"/>
        </w:rPr>
        <w:t>of</w:t>
      </w:r>
      <w:r>
        <w:rPr>
          <w:rFonts w:ascii="Garamond" w:hAnsi="Garamond" w:cs="Garamond"/>
          <w:spacing w:val="-16"/>
          <w:sz w:val="24"/>
          <w:szCs w:val="24"/>
        </w:rPr>
        <w:t xml:space="preserve"> </w:t>
      </w:r>
      <w:r>
        <w:rPr>
          <w:rFonts w:ascii="Garamond" w:hAnsi="Garamond" w:cs="Garamond"/>
          <w:sz w:val="24"/>
          <w:szCs w:val="24"/>
        </w:rPr>
        <w:t>telemedicine</w:t>
      </w:r>
      <w:r>
        <w:rPr>
          <w:rFonts w:ascii="Garamond" w:hAnsi="Garamond" w:cs="Garamond"/>
          <w:spacing w:val="-14"/>
          <w:sz w:val="24"/>
          <w:szCs w:val="24"/>
        </w:rPr>
        <w:t xml:space="preserve"> </w:t>
      </w:r>
      <w:r>
        <w:rPr>
          <w:rFonts w:ascii="Garamond" w:hAnsi="Garamond" w:cs="Garamond"/>
          <w:sz w:val="24"/>
          <w:szCs w:val="24"/>
        </w:rPr>
        <w:t>and</w:t>
      </w:r>
      <w:r>
        <w:rPr>
          <w:rFonts w:ascii="Garamond" w:hAnsi="Garamond" w:cs="Garamond"/>
          <w:spacing w:val="-17"/>
          <w:sz w:val="24"/>
          <w:szCs w:val="24"/>
        </w:rPr>
        <w:t xml:space="preserve"> </w:t>
      </w:r>
      <w:r>
        <w:rPr>
          <w:rFonts w:ascii="Garamond" w:hAnsi="Garamond" w:cs="Garamond"/>
          <w:sz w:val="24"/>
          <w:szCs w:val="24"/>
        </w:rPr>
        <w:t>tele</w:t>
      </w:r>
      <w:r w:rsidR="00347C9E">
        <w:rPr>
          <w:rFonts w:ascii="Garamond" w:hAnsi="Garamond" w:cs="Garamond"/>
          <w:sz w:val="24"/>
          <w:szCs w:val="24"/>
        </w:rPr>
        <w:t>-</w:t>
      </w:r>
      <w:r>
        <w:rPr>
          <w:rFonts w:ascii="Garamond" w:hAnsi="Garamond" w:cs="Garamond"/>
          <w:sz w:val="24"/>
          <w:szCs w:val="24"/>
        </w:rPr>
        <w:t>dentistry</w:t>
      </w:r>
      <w:r>
        <w:rPr>
          <w:rFonts w:ascii="Garamond" w:hAnsi="Garamond" w:cs="Garamond"/>
          <w:spacing w:val="-14"/>
          <w:sz w:val="24"/>
          <w:szCs w:val="24"/>
        </w:rPr>
        <w:t xml:space="preserve"> </w:t>
      </w:r>
      <w:r>
        <w:rPr>
          <w:rFonts w:ascii="Garamond" w:hAnsi="Garamond" w:cs="Garamond"/>
          <w:sz w:val="24"/>
          <w:szCs w:val="24"/>
        </w:rPr>
        <w:t>in</w:t>
      </w:r>
      <w:r>
        <w:rPr>
          <w:rFonts w:ascii="Garamond" w:hAnsi="Garamond" w:cs="Garamond"/>
          <w:spacing w:val="-17"/>
          <w:sz w:val="24"/>
          <w:szCs w:val="24"/>
        </w:rPr>
        <w:t xml:space="preserve"> </w:t>
      </w:r>
      <w:r>
        <w:rPr>
          <w:rFonts w:ascii="Garamond" w:hAnsi="Garamond" w:cs="Garamond"/>
          <w:sz w:val="24"/>
          <w:szCs w:val="24"/>
        </w:rPr>
        <w:t>ACOs.</w:t>
      </w:r>
    </w:p>
    <w:p w:rsidR="002C5025" w:rsidRDefault="002C5025">
      <w:pPr>
        <w:pStyle w:val="BodyText"/>
        <w:kinsoku w:val="0"/>
        <w:overflowPunct w:val="0"/>
        <w:rPr>
          <w:rFonts w:ascii="Garamond" w:hAnsi="Garamond" w:cs="Garamond"/>
          <w:sz w:val="20"/>
          <w:szCs w:val="20"/>
        </w:rPr>
      </w:pPr>
    </w:p>
    <w:p w:rsidR="002C5025" w:rsidRDefault="002C5025">
      <w:pPr>
        <w:pStyle w:val="BodyText"/>
        <w:kinsoku w:val="0"/>
        <w:overflowPunct w:val="0"/>
        <w:rPr>
          <w:rFonts w:ascii="Garamond" w:hAnsi="Garamond" w:cs="Garamond"/>
          <w:sz w:val="20"/>
          <w:szCs w:val="20"/>
        </w:rPr>
      </w:pPr>
    </w:p>
    <w:p w:rsidR="002C5025" w:rsidRDefault="00FB027C">
      <w:pPr>
        <w:pStyle w:val="BodyText"/>
        <w:kinsoku w:val="0"/>
        <w:overflowPunct w:val="0"/>
        <w:spacing w:before="4"/>
        <w:rPr>
          <w:rFonts w:ascii="Garamond" w:hAnsi="Garamond" w:cs="Garamond"/>
          <w:sz w:val="17"/>
          <w:szCs w:val="17"/>
        </w:rPr>
      </w:pPr>
      <w:r>
        <w:rPr>
          <w:noProof/>
        </w:rPr>
        <mc:AlternateContent>
          <mc:Choice Requires="wps">
            <w:drawing>
              <wp:anchor distT="0" distB="0" distL="0" distR="0" simplePos="0" relativeHeight="251796992" behindDoc="0" locked="0" layoutInCell="0" allowOverlap="1">
                <wp:simplePos x="0" y="0"/>
                <wp:positionH relativeFrom="page">
                  <wp:posOffset>923925</wp:posOffset>
                </wp:positionH>
                <wp:positionV relativeFrom="paragraph">
                  <wp:posOffset>154305</wp:posOffset>
                </wp:positionV>
                <wp:extent cx="5944870" cy="12700"/>
                <wp:effectExtent l="0" t="0" r="0" b="0"/>
                <wp:wrapTopAndBottom/>
                <wp:docPr id="87" name="Freeform 7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4870" cy="12700"/>
                        </a:xfrm>
                        <a:custGeom>
                          <a:avLst/>
                          <a:gdLst>
                            <a:gd name="T0" fmla="*/ 0 w 9362"/>
                            <a:gd name="T1" fmla="*/ 0 h 20"/>
                            <a:gd name="T2" fmla="*/ 9362 w 9362"/>
                            <a:gd name="T3" fmla="*/ 0 h 20"/>
                          </a:gdLst>
                          <a:ahLst/>
                          <a:cxnLst>
                            <a:cxn ang="0">
                              <a:pos x="T0" y="T1"/>
                            </a:cxn>
                            <a:cxn ang="0">
                              <a:pos x="T2" y="T3"/>
                            </a:cxn>
                          </a:cxnLst>
                          <a:rect l="0" t="0" r="r" b="b"/>
                          <a:pathLst>
                            <a:path w="9362" h="20">
                              <a:moveTo>
                                <a:pt x="0" y="0"/>
                              </a:moveTo>
                              <a:lnTo>
                                <a:pt x="9362"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89" o:spid="_x0000_s1026" style="position:absolute;z-index:251796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2.75pt,12.15pt,540.85pt,12.15pt" coordsize="9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" o:allowincell="f" filled="f" strokeweight=".82pt">
                <v:path arrowok="t" o:connecttype="custom" o:connectlocs="0,0;5944870,0" o:connectangles="0,0"/>
                <w10:wrap type="topAndBottom" anchorx="page"/>
              </v:polyline>
            </w:pict>
          </mc:Fallback>
        </mc:AlternateContent>
      </w:r>
    </w:p>
    <w:p w:rsidR="002C5025" w:rsidRDefault="002C5025">
      <w:pPr>
        <w:pStyle w:val="BodyText"/>
        <w:kinsoku w:val="0"/>
        <w:overflowPunct w:val="0"/>
        <w:spacing w:before="83" w:line="223" w:lineRule="auto"/>
        <w:ind w:left="120" w:right="661"/>
        <w:rPr>
          <w:rFonts w:ascii="Garamond" w:hAnsi="Garamond" w:cs="Garamond"/>
          <w:i/>
          <w:iCs/>
          <w:sz w:val="20"/>
          <w:szCs w:val="20"/>
        </w:rPr>
      </w:pPr>
      <w:r>
        <w:rPr>
          <w:rFonts w:ascii="Garamond" w:hAnsi="Garamond" w:cs="Garamond"/>
          <w:w w:val="95"/>
          <w:sz w:val="20"/>
          <w:szCs w:val="20"/>
        </w:rPr>
        <w:t xml:space="preserve">20/Sharity%20Ludwig-Delivery%20and%20Payment%20Systems%20Innovations%20in%20Dentistry-PREDICT- Population-centered%20Risk%20and%20Evidence-based%20Dental%20Interprofessional%20Care%20Team.pdf       </w:t>
      </w:r>
      <w:r>
        <w:rPr>
          <w:position w:val="10"/>
          <w:sz w:val="13"/>
          <w:szCs w:val="13"/>
        </w:rPr>
        <w:t>12</w:t>
      </w:r>
      <w:r>
        <w:rPr>
          <w:spacing w:val="3"/>
          <w:position w:val="10"/>
          <w:sz w:val="13"/>
          <w:szCs w:val="13"/>
        </w:rPr>
        <w:t xml:space="preserve"> </w:t>
      </w:r>
      <w:r>
        <w:rPr>
          <w:rFonts w:ascii="Garamond" w:hAnsi="Garamond" w:cs="Garamond"/>
          <w:sz w:val="20"/>
          <w:szCs w:val="20"/>
        </w:rPr>
        <w:t>Massachusetts</w:t>
      </w:r>
      <w:r>
        <w:rPr>
          <w:rFonts w:ascii="Garamond" w:hAnsi="Garamond" w:cs="Garamond"/>
          <w:spacing w:val="-14"/>
          <w:sz w:val="20"/>
          <w:szCs w:val="20"/>
        </w:rPr>
        <w:t xml:space="preserve"> </w:t>
      </w:r>
      <w:r>
        <w:rPr>
          <w:rFonts w:ascii="Garamond" w:hAnsi="Garamond" w:cs="Garamond"/>
          <w:sz w:val="20"/>
          <w:szCs w:val="20"/>
        </w:rPr>
        <w:t>Health</w:t>
      </w:r>
      <w:r>
        <w:rPr>
          <w:rFonts w:ascii="Garamond" w:hAnsi="Garamond" w:cs="Garamond"/>
          <w:spacing w:val="-14"/>
          <w:sz w:val="20"/>
          <w:szCs w:val="20"/>
        </w:rPr>
        <w:t xml:space="preserve"> </w:t>
      </w:r>
      <w:r>
        <w:rPr>
          <w:rFonts w:ascii="Garamond" w:hAnsi="Garamond" w:cs="Garamond"/>
          <w:sz w:val="20"/>
          <w:szCs w:val="20"/>
        </w:rPr>
        <w:t>Policy</w:t>
      </w:r>
      <w:r>
        <w:rPr>
          <w:rFonts w:ascii="Garamond" w:hAnsi="Garamond" w:cs="Garamond"/>
          <w:spacing w:val="-12"/>
          <w:sz w:val="20"/>
          <w:szCs w:val="20"/>
        </w:rPr>
        <w:t xml:space="preserve"> </w:t>
      </w:r>
      <w:r>
        <w:rPr>
          <w:rFonts w:ascii="Garamond" w:hAnsi="Garamond" w:cs="Garamond"/>
          <w:sz w:val="20"/>
          <w:szCs w:val="20"/>
        </w:rPr>
        <w:t>Commission.</w:t>
      </w:r>
      <w:r>
        <w:rPr>
          <w:rFonts w:ascii="Garamond" w:hAnsi="Garamond" w:cs="Garamond"/>
          <w:spacing w:val="-14"/>
          <w:sz w:val="20"/>
          <w:szCs w:val="20"/>
        </w:rPr>
        <w:t xml:space="preserve"> </w:t>
      </w:r>
      <w:r>
        <w:rPr>
          <w:rFonts w:ascii="Garamond" w:hAnsi="Garamond" w:cs="Garamond"/>
          <w:sz w:val="20"/>
          <w:szCs w:val="20"/>
        </w:rPr>
        <w:t>(2016).</w:t>
      </w:r>
      <w:r>
        <w:rPr>
          <w:rFonts w:ascii="Garamond" w:hAnsi="Garamond" w:cs="Garamond"/>
          <w:spacing w:val="-9"/>
          <w:sz w:val="20"/>
          <w:szCs w:val="20"/>
        </w:rPr>
        <w:t xml:space="preserve"> </w:t>
      </w:r>
      <w:r>
        <w:rPr>
          <w:rFonts w:ascii="Garamond" w:hAnsi="Garamond" w:cs="Garamond"/>
          <w:i/>
          <w:iCs/>
          <w:sz w:val="20"/>
          <w:szCs w:val="20"/>
        </w:rPr>
        <w:t>ED</w:t>
      </w:r>
      <w:r>
        <w:rPr>
          <w:rFonts w:ascii="Garamond" w:hAnsi="Garamond" w:cs="Garamond"/>
          <w:i/>
          <w:iCs/>
          <w:spacing w:val="-10"/>
          <w:sz w:val="20"/>
          <w:szCs w:val="20"/>
        </w:rPr>
        <w:t xml:space="preserve"> </w:t>
      </w:r>
      <w:r>
        <w:rPr>
          <w:rFonts w:ascii="Garamond" w:hAnsi="Garamond" w:cs="Garamond"/>
          <w:i/>
          <w:iCs/>
          <w:sz w:val="20"/>
          <w:szCs w:val="20"/>
        </w:rPr>
        <w:t>Utilization</w:t>
      </w:r>
      <w:r>
        <w:rPr>
          <w:rFonts w:ascii="Garamond" w:hAnsi="Garamond" w:cs="Garamond"/>
          <w:i/>
          <w:iCs/>
          <w:spacing w:val="-14"/>
          <w:sz w:val="20"/>
          <w:szCs w:val="20"/>
        </w:rPr>
        <w:t xml:space="preserve"> </w:t>
      </w:r>
      <w:r>
        <w:rPr>
          <w:rFonts w:ascii="Garamond" w:hAnsi="Garamond" w:cs="Garamond"/>
          <w:i/>
          <w:iCs/>
          <w:sz w:val="20"/>
          <w:szCs w:val="20"/>
        </w:rPr>
        <w:t>for</w:t>
      </w:r>
      <w:r>
        <w:rPr>
          <w:rFonts w:ascii="Garamond" w:hAnsi="Garamond" w:cs="Garamond"/>
          <w:i/>
          <w:iCs/>
          <w:spacing w:val="-13"/>
          <w:sz w:val="20"/>
          <w:szCs w:val="20"/>
        </w:rPr>
        <w:t xml:space="preserve"> </w:t>
      </w:r>
      <w:r>
        <w:rPr>
          <w:rFonts w:ascii="Garamond" w:hAnsi="Garamond" w:cs="Garamond"/>
          <w:i/>
          <w:iCs/>
          <w:sz w:val="20"/>
          <w:szCs w:val="20"/>
        </w:rPr>
        <w:t>Preventable</w:t>
      </w:r>
      <w:r>
        <w:rPr>
          <w:rFonts w:ascii="Garamond" w:hAnsi="Garamond" w:cs="Garamond"/>
          <w:i/>
          <w:iCs/>
          <w:spacing w:val="-14"/>
          <w:sz w:val="20"/>
          <w:szCs w:val="20"/>
        </w:rPr>
        <w:t xml:space="preserve"> </w:t>
      </w:r>
      <w:r>
        <w:rPr>
          <w:rFonts w:ascii="Garamond" w:hAnsi="Garamond" w:cs="Garamond"/>
          <w:i/>
          <w:iCs/>
          <w:sz w:val="20"/>
          <w:szCs w:val="20"/>
        </w:rPr>
        <w:t>Oral</w:t>
      </w:r>
      <w:r>
        <w:rPr>
          <w:rFonts w:ascii="Garamond" w:hAnsi="Garamond" w:cs="Garamond"/>
          <w:i/>
          <w:iCs/>
          <w:spacing w:val="-14"/>
          <w:sz w:val="20"/>
          <w:szCs w:val="20"/>
        </w:rPr>
        <w:t xml:space="preserve"> </w:t>
      </w:r>
      <w:r>
        <w:rPr>
          <w:rFonts w:ascii="Garamond" w:hAnsi="Garamond" w:cs="Garamond"/>
          <w:i/>
          <w:iCs/>
          <w:sz w:val="20"/>
          <w:szCs w:val="20"/>
        </w:rPr>
        <w:t>Health</w:t>
      </w:r>
      <w:r>
        <w:rPr>
          <w:rFonts w:ascii="Garamond" w:hAnsi="Garamond" w:cs="Garamond"/>
          <w:i/>
          <w:iCs/>
          <w:spacing w:val="-10"/>
          <w:sz w:val="20"/>
          <w:szCs w:val="20"/>
        </w:rPr>
        <w:t xml:space="preserve"> </w:t>
      </w:r>
      <w:r>
        <w:rPr>
          <w:rFonts w:ascii="Garamond" w:hAnsi="Garamond" w:cs="Garamond"/>
          <w:i/>
          <w:iCs/>
          <w:sz w:val="20"/>
          <w:szCs w:val="20"/>
        </w:rPr>
        <w:t>Conditions</w:t>
      </w:r>
      <w:r>
        <w:rPr>
          <w:rFonts w:ascii="Garamond" w:hAnsi="Garamond" w:cs="Garamond"/>
          <w:i/>
          <w:iCs/>
          <w:spacing w:val="-14"/>
          <w:sz w:val="20"/>
          <w:szCs w:val="20"/>
        </w:rPr>
        <w:t xml:space="preserve"> </w:t>
      </w:r>
      <w:r>
        <w:rPr>
          <w:rFonts w:ascii="Garamond" w:hAnsi="Garamond" w:cs="Garamond"/>
          <w:i/>
          <w:iCs/>
          <w:sz w:val="20"/>
          <w:szCs w:val="20"/>
        </w:rPr>
        <w:t>in</w:t>
      </w:r>
      <w:r>
        <w:rPr>
          <w:rFonts w:ascii="Garamond" w:hAnsi="Garamond" w:cs="Garamond"/>
          <w:i/>
          <w:iCs/>
          <w:spacing w:val="-12"/>
          <w:sz w:val="20"/>
          <w:szCs w:val="20"/>
        </w:rPr>
        <w:t xml:space="preserve"> </w:t>
      </w:r>
      <w:r>
        <w:rPr>
          <w:rFonts w:ascii="Garamond" w:hAnsi="Garamond" w:cs="Garamond"/>
          <w:i/>
          <w:iCs/>
          <w:sz w:val="20"/>
          <w:szCs w:val="20"/>
        </w:rPr>
        <w:t>MA</w:t>
      </w:r>
    </w:p>
    <w:p w:rsidR="002C5025" w:rsidRDefault="002C5025">
      <w:pPr>
        <w:pStyle w:val="BodyText"/>
        <w:kinsoku w:val="0"/>
        <w:overflowPunct w:val="0"/>
        <w:spacing w:before="1"/>
        <w:ind w:left="120" w:right="307"/>
        <w:rPr>
          <w:rFonts w:ascii="Garamond" w:hAnsi="Garamond" w:cs="Garamond"/>
          <w:sz w:val="20"/>
          <w:szCs w:val="20"/>
        </w:rPr>
      </w:pPr>
      <w:r>
        <w:rPr>
          <w:rFonts w:ascii="Garamond" w:hAnsi="Garamond" w:cs="Garamond"/>
          <w:sz w:val="20"/>
          <w:szCs w:val="20"/>
        </w:rPr>
        <w:t>[</w:t>
      </w:r>
      <w:proofErr w:type="spellStart"/>
      <w:r>
        <w:rPr>
          <w:rFonts w:ascii="Garamond" w:hAnsi="Garamond" w:cs="Garamond"/>
          <w:sz w:val="20"/>
          <w:szCs w:val="20"/>
        </w:rPr>
        <w:t>Powerpoint</w:t>
      </w:r>
      <w:proofErr w:type="spellEnd"/>
      <w:r>
        <w:rPr>
          <w:rFonts w:ascii="Garamond" w:hAnsi="Garamond" w:cs="Garamond"/>
          <w:spacing w:val="-24"/>
          <w:sz w:val="20"/>
          <w:szCs w:val="20"/>
        </w:rPr>
        <w:t xml:space="preserve"> </w:t>
      </w:r>
      <w:r>
        <w:rPr>
          <w:rFonts w:ascii="Garamond" w:hAnsi="Garamond" w:cs="Garamond"/>
          <w:sz w:val="20"/>
          <w:szCs w:val="20"/>
        </w:rPr>
        <w:t>slides]</w:t>
      </w:r>
      <w:r>
        <w:rPr>
          <w:rFonts w:ascii="Garamond" w:hAnsi="Garamond" w:cs="Garamond"/>
          <w:i/>
          <w:iCs/>
          <w:sz w:val="20"/>
          <w:szCs w:val="20"/>
        </w:rPr>
        <w:t>.</w:t>
      </w:r>
      <w:r>
        <w:rPr>
          <w:rFonts w:ascii="Garamond" w:hAnsi="Garamond" w:cs="Garamond"/>
          <w:i/>
          <w:iCs/>
          <w:spacing w:val="-23"/>
          <w:sz w:val="20"/>
          <w:szCs w:val="20"/>
        </w:rPr>
        <w:t xml:space="preserve"> </w:t>
      </w:r>
      <w:r>
        <w:rPr>
          <w:rFonts w:ascii="Garamond" w:hAnsi="Garamond" w:cs="Garamond"/>
          <w:sz w:val="20"/>
          <w:szCs w:val="20"/>
        </w:rPr>
        <w:t>Boston,</w:t>
      </w:r>
      <w:r>
        <w:rPr>
          <w:rFonts w:ascii="Garamond" w:hAnsi="Garamond" w:cs="Garamond"/>
          <w:spacing w:val="-23"/>
          <w:sz w:val="20"/>
          <w:szCs w:val="20"/>
        </w:rPr>
        <w:t xml:space="preserve"> </w:t>
      </w:r>
      <w:r>
        <w:rPr>
          <w:rFonts w:ascii="Garamond" w:hAnsi="Garamond" w:cs="Garamond"/>
          <w:sz w:val="20"/>
          <w:szCs w:val="20"/>
        </w:rPr>
        <w:t>MA.</w:t>
      </w:r>
      <w:r>
        <w:rPr>
          <w:rFonts w:ascii="Garamond" w:hAnsi="Garamond" w:cs="Garamond"/>
          <w:spacing w:val="-23"/>
          <w:sz w:val="20"/>
          <w:szCs w:val="20"/>
        </w:rPr>
        <w:t xml:space="preserve"> </w:t>
      </w:r>
      <w:r>
        <w:rPr>
          <w:rFonts w:ascii="Garamond" w:hAnsi="Garamond" w:cs="Garamond"/>
          <w:sz w:val="20"/>
          <w:szCs w:val="20"/>
        </w:rPr>
        <w:t>Retrieved</w:t>
      </w:r>
      <w:r>
        <w:rPr>
          <w:rFonts w:ascii="Garamond" w:hAnsi="Garamond" w:cs="Garamond"/>
          <w:spacing w:val="-21"/>
          <w:sz w:val="20"/>
          <w:szCs w:val="20"/>
        </w:rPr>
        <w:t xml:space="preserve"> </w:t>
      </w:r>
      <w:r>
        <w:rPr>
          <w:rFonts w:ascii="Garamond" w:hAnsi="Garamond" w:cs="Garamond"/>
          <w:sz w:val="20"/>
          <w:szCs w:val="20"/>
        </w:rPr>
        <w:t>from</w:t>
      </w:r>
      <w:r>
        <w:rPr>
          <w:rFonts w:ascii="Garamond" w:hAnsi="Garamond" w:cs="Garamond"/>
          <w:spacing w:val="-22"/>
          <w:sz w:val="20"/>
          <w:szCs w:val="20"/>
        </w:rPr>
        <w:t xml:space="preserve"> </w:t>
      </w:r>
      <w:hyperlink r:id="rId546" w:history="1">
        <w:r>
          <w:rPr>
            <w:rFonts w:ascii="Garamond" w:hAnsi="Garamond" w:cs="Garamond"/>
            <w:sz w:val="20"/>
            <w:szCs w:val="20"/>
          </w:rPr>
          <w:t>http://www.mass.gov/anf/budget-taxes-and-procurement/oversight-</w:t>
        </w:r>
      </w:hyperlink>
      <w:r>
        <w:rPr>
          <w:rFonts w:ascii="Garamond" w:hAnsi="Garamond" w:cs="Garamond"/>
          <w:sz w:val="20"/>
          <w:szCs w:val="20"/>
        </w:rPr>
        <w:t xml:space="preserve"> agencies/health-policy-commission/public-meetings/committee-meetings/20160401-public-presentation-dental- findings.pdf</w:t>
      </w:r>
    </w:p>
    <w:p w:rsidR="002C5025" w:rsidRDefault="002C5025">
      <w:pPr>
        <w:pStyle w:val="BodyText"/>
        <w:kinsoku w:val="0"/>
        <w:overflowPunct w:val="0"/>
        <w:ind w:left="120" w:right="201"/>
        <w:rPr>
          <w:rFonts w:ascii="Garamond" w:hAnsi="Garamond" w:cs="Garamond"/>
          <w:sz w:val="20"/>
          <w:szCs w:val="20"/>
        </w:rPr>
      </w:pPr>
      <w:r>
        <w:rPr>
          <w:rFonts w:ascii="Garamond" w:hAnsi="Garamond" w:cs="Garamond"/>
          <w:position w:val="5"/>
          <w:sz w:val="13"/>
          <w:szCs w:val="13"/>
        </w:rPr>
        <w:t>13</w:t>
      </w:r>
      <w:r>
        <w:rPr>
          <w:rFonts w:ascii="Garamond" w:hAnsi="Garamond" w:cs="Garamond"/>
          <w:spacing w:val="7"/>
          <w:position w:val="5"/>
          <w:sz w:val="13"/>
          <w:szCs w:val="13"/>
        </w:rPr>
        <w:t xml:space="preserve"> </w:t>
      </w:r>
      <w:r>
        <w:rPr>
          <w:rFonts w:ascii="Garamond" w:hAnsi="Garamond" w:cs="Garamond"/>
          <w:sz w:val="20"/>
          <w:szCs w:val="20"/>
        </w:rPr>
        <w:t>Hummel,</w:t>
      </w:r>
      <w:r>
        <w:rPr>
          <w:rFonts w:ascii="Garamond" w:hAnsi="Garamond" w:cs="Garamond"/>
          <w:spacing w:val="-13"/>
          <w:sz w:val="20"/>
          <w:szCs w:val="20"/>
        </w:rPr>
        <w:t xml:space="preserve"> </w:t>
      </w:r>
      <w:r>
        <w:rPr>
          <w:rFonts w:ascii="Garamond" w:hAnsi="Garamond" w:cs="Garamond"/>
          <w:sz w:val="20"/>
          <w:szCs w:val="20"/>
        </w:rPr>
        <w:t>J.,</w:t>
      </w:r>
      <w:r>
        <w:rPr>
          <w:rFonts w:ascii="Garamond" w:hAnsi="Garamond" w:cs="Garamond"/>
          <w:spacing w:val="-13"/>
          <w:sz w:val="20"/>
          <w:szCs w:val="20"/>
        </w:rPr>
        <w:t xml:space="preserve"> </w:t>
      </w:r>
      <w:r>
        <w:rPr>
          <w:rFonts w:ascii="Garamond" w:hAnsi="Garamond" w:cs="Garamond"/>
          <w:sz w:val="20"/>
          <w:szCs w:val="20"/>
        </w:rPr>
        <w:t>Phillips,</w:t>
      </w:r>
      <w:r>
        <w:rPr>
          <w:rFonts w:ascii="Garamond" w:hAnsi="Garamond" w:cs="Garamond"/>
          <w:spacing w:val="-9"/>
          <w:sz w:val="20"/>
          <w:szCs w:val="20"/>
        </w:rPr>
        <w:t xml:space="preserve"> </w:t>
      </w:r>
      <w:r>
        <w:rPr>
          <w:rFonts w:ascii="Garamond" w:hAnsi="Garamond" w:cs="Garamond"/>
          <w:sz w:val="20"/>
          <w:szCs w:val="20"/>
        </w:rPr>
        <w:t>K.E.,</w:t>
      </w:r>
      <w:r>
        <w:rPr>
          <w:rFonts w:ascii="Garamond" w:hAnsi="Garamond" w:cs="Garamond"/>
          <w:spacing w:val="-13"/>
          <w:sz w:val="20"/>
          <w:szCs w:val="20"/>
        </w:rPr>
        <w:t xml:space="preserve"> </w:t>
      </w:r>
      <w:r>
        <w:rPr>
          <w:rFonts w:ascii="Garamond" w:hAnsi="Garamond" w:cs="Garamond"/>
          <w:sz w:val="20"/>
          <w:szCs w:val="20"/>
        </w:rPr>
        <w:t>Holt,</w:t>
      </w:r>
      <w:r>
        <w:rPr>
          <w:rFonts w:ascii="Garamond" w:hAnsi="Garamond" w:cs="Garamond"/>
          <w:spacing w:val="-11"/>
          <w:sz w:val="20"/>
          <w:szCs w:val="20"/>
        </w:rPr>
        <w:t xml:space="preserve"> </w:t>
      </w:r>
      <w:r>
        <w:rPr>
          <w:rFonts w:ascii="Garamond" w:hAnsi="Garamond" w:cs="Garamond"/>
          <w:sz w:val="20"/>
          <w:szCs w:val="20"/>
        </w:rPr>
        <w:t>B.,</w:t>
      </w:r>
      <w:r>
        <w:rPr>
          <w:rFonts w:ascii="Garamond" w:hAnsi="Garamond" w:cs="Garamond"/>
          <w:spacing w:val="-11"/>
          <w:sz w:val="20"/>
          <w:szCs w:val="20"/>
        </w:rPr>
        <w:t xml:space="preserve"> </w:t>
      </w:r>
      <w:r>
        <w:rPr>
          <w:rFonts w:ascii="Garamond" w:hAnsi="Garamond" w:cs="Garamond"/>
          <w:sz w:val="20"/>
          <w:szCs w:val="20"/>
        </w:rPr>
        <w:t>Hayes,</w:t>
      </w:r>
      <w:r>
        <w:rPr>
          <w:rFonts w:ascii="Garamond" w:hAnsi="Garamond" w:cs="Garamond"/>
          <w:spacing w:val="-11"/>
          <w:sz w:val="20"/>
          <w:szCs w:val="20"/>
        </w:rPr>
        <w:t xml:space="preserve"> </w:t>
      </w:r>
      <w:r>
        <w:rPr>
          <w:rFonts w:ascii="Garamond" w:hAnsi="Garamond" w:cs="Garamond"/>
          <w:sz w:val="20"/>
          <w:szCs w:val="20"/>
        </w:rPr>
        <w:t>C.</w:t>
      </w:r>
      <w:r>
        <w:rPr>
          <w:rFonts w:ascii="Garamond" w:hAnsi="Garamond" w:cs="Garamond"/>
          <w:spacing w:val="-11"/>
          <w:sz w:val="20"/>
          <w:szCs w:val="20"/>
        </w:rPr>
        <w:t xml:space="preserve"> </w:t>
      </w:r>
      <w:r>
        <w:rPr>
          <w:rFonts w:ascii="Garamond" w:hAnsi="Garamond" w:cs="Garamond"/>
          <w:sz w:val="20"/>
          <w:szCs w:val="20"/>
        </w:rPr>
        <w:t>(2015).</w:t>
      </w:r>
      <w:r>
        <w:rPr>
          <w:rFonts w:ascii="Garamond" w:hAnsi="Garamond" w:cs="Garamond"/>
          <w:spacing w:val="-11"/>
          <w:sz w:val="20"/>
          <w:szCs w:val="20"/>
        </w:rPr>
        <w:t xml:space="preserve"> </w:t>
      </w:r>
      <w:r>
        <w:rPr>
          <w:rFonts w:ascii="Garamond" w:hAnsi="Garamond" w:cs="Garamond"/>
          <w:i/>
          <w:iCs/>
          <w:sz w:val="20"/>
          <w:szCs w:val="20"/>
        </w:rPr>
        <w:t>Oral</w:t>
      </w:r>
      <w:r>
        <w:rPr>
          <w:rFonts w:ascii="Garamond" w:hAnsi="Garamond" w:cs="Garamond"/>
          <w:i/>
          <w:iCs/>
          <w:spacing w:val="-11"/>
          <w:sz w:val="20"/>
          <w:szCs w:val="20"/>
        </w:rPr>
        <w:t xml:space="preserve"> </w:t>
      </w:r>
      <w:r>
        <w:rPr>
          <w:rFonts w:ascii="Garamond" w:hAnsi="Garamond" w:cs="Garamond"/>
          <w:i/>
          <w:iCs/>
          <w:sz w:val="20"/>
          <w:szCs w:val="20"/>
        </w:rPr>
        <w:t>Health:</w:t>
      </w:r>
      <w:r>
        <w:rPr>
          <w:rFonts w:ascii="Garamond" w:hAnsi="Garamond" w:cs="Garamond"/>
          <w:i/>
          <w:iCs/>
          <w:spacing w:val="-11"/>
          <w:sz w:val="20"/>
          <w:szCs w:val="20"/>
        </w:rPr>
        <w:t xml:space="preserve"> </w:t>
      </w:r>
      <w:r>
        <w:rPr>
          <w:rFonts w:ascii="Garamond" w:hAnsi="Garamond" w:cs="Garamond"/>
          <w:i/>
          <w:iCs/>
          <w:sz w:val="20"/>
          <w:szCs w:val="20"/>
        </w:rPr>
        <w:t>An</w:t>
      </w:r>
      <w:r>
        <w:rPr>
          <w:rFonts w:ascii="Garamond" w:hAnsi="Garamond" w:cs="Garamond"/>
          <w:i/>
          <w:iCs/>
          <w:spacing w:val="-11"/>
          <w:sz w:val="20"/>
          <w:szCs w:val="20"/>
        </w:rPr>
        <w:t xml:space="preserve"> </w:t>
      </w:r>
      <w:r>
        <w:rPr>
          <w:rFonts w:ascii="Garamond" w:hAnsi="Garamond" w:cs="Garamond"/>
          <w:i/>
          <w:iCs/>
          <w:sz w:val="20"/>
          <w:szCs w:val="20"/>
        </w:rPr>
        <w:t>Essential</w:t>
      </w:r>
      <w:r>
        <w:rPr>
          <w:rFonts w:ascii="Garamond" w:hAnsi="Garamond" w:cs="Garamond"/>
          <w:i/>
          <w:iCs/>
          <w:spacing w:val="-13"/>
          <w:sz w:val="20"/>
          <w:szCs w:val="20"/>
        </w:rPr>
        <w:t xml:space="preserve"> </w:t>
      </w:r>
      <w:r>
        <w:rPr>
          <w:rFonts w:ascii="Garamond" w:hAnsi="Garamond" w:cs="Garamond"/>
          <w:i/>
          <w:iCs/>
          <w:sz w:val="20"/>
          <w:szCs w:val="20"/>
        </w:rPr>
        <w:t>Component</w:t>
      </w:r>
      <w:r>
        <w:rPr>
          <w:rFonts w:ascii="Garamond" w:hAnsi="Garamond" w:cs="Garamond"/>
          <w:i/>
          <w:iCs/>
          <w:spacing w:val="-10"/>
          <w:sz w:val="20"/>
          <w:szCs w:val="20"/>
        </w:rPr>
        <w:t xml:space="preserve"> </w:t>
      </w:r>
      <w:r>
        <w:rPr>
          <w:rFonts w:ascii="Garamond" w:hAnsi="Garamond" w:cs="Garamond"/>
          <w:i/>
          <w:iCs/>
          <w:sz w:val="20"/>
          <w:szCs w:val="20"/>
        </w:rPr>
        <w:t>of</w:t>
      </w:r>
      <w:r>
        <w:rPr>
          <w:rFonts w:ascii="Garamond" w:hAnsi="Garamond" w:cs="Garamond"/>
          <w:i/>
          <w:iCs/>
          <w:spacing w:val="-11"/>
          <w:sz w:val="20"/>
          <w:szCs w:val="20"/>
        </w:rPr>
        <w:t xml:space="preserve"> </w:t>
      </w:r>
      <w:r>
        <w:rPr>
          <w:rFonts w:ascii="Garamond" w:hAnsi="Garamond" w:cs="Garamond"/>
          <w:i/>
          <w:iCs/>
          <w:sz w:val="20"/>
          <w:szCs w:val="20"/>
        </w:rPr>
        <w:t>Primary</w:t>
      </w:r>
      <w:r>
        <w:rPr>
          <w:rFonts w:ascii="Garamond" w:hAnsi="Garamond" w:cs="Garamond"/>
          <w:i/>
          <w:iCs/>
          <w:spacing w:val="-11"/>
          <w:sz w:val="20"/>
          <w:szCs w:val="20"/>
        </w:rPr>
        <w:t xml:space="preserve"> </w:t>
      </w:r>
      <w:r>
        <w:rPr>
          <w:rFonts w:ascii="Garamond" w:hAnsi="Garamond" w:cs="Garamond"/>
          <w:i/>
          <w:iCs/>
          <w:sz w:val="20"/>
          <w:szCs w:val="20"/>
        </w:rPr>
        <w:t>Care.</w:t>
      </w:r>
      <w:r>
        <w:rPr>
          <w:rFonts w:ascii="Garamond" w:hAnsi="Garamond" w:cs="Garamond"/>
          <w:i/>
          <w:iCs/>
          <w:spacing w:val="-9"/>
          <w:sz w:val="20"/>
          <w:szCs w:val="20"/>
        </w:rPr>
        <w:t xml:space="preserve"> </w:t>
      </w:r>
      <w:r>
        <w:rPr>
          <w:rFonts w:ascii="Garamond" w:hAnsi="Garamond" w:cs="Garamond"/>
          <w:sz w:val="20"/>
          <w:szCs w:val="20"/>
        </w:rPr>
        <w:t>Seattle,</w:t>
      </w:r>
      <w:r>
        <w:rPr>
          <w:rFonts w:ascii="Garamond" w:hAnsi="Garamond" w:cs="Garamond"/>
          <w:spacing w:val="-11"/>
          <w:sz w:val="20"/>
          <w:szCs w:val="20"/>
        </w:rPr>
        <w:t xml:space="preserve"> </w:t>
      </w:r>
      <w:r>
        <w:rPr>
          <w:rFonts w:ascii="Garamond" w:hAnsi="Garamond" w:cs="Garamond"/>
          <w:sz w:val="20"/>
          <w:szCs w:val="20"/>
        </w:rPr>
        <w:t xml:space="preserve">WA: </w:t>
      </w:r>
      <w:proofErr w:type="spellStart"/>
      <w:r>
        <w:rPr>
          <w:rFonts w:ascii="Garamond" w:hAnsi="Garamond" w:cs="Garamond"/>
          <w:sz w:val="20"/>
          <w:szCs w:val="20"/>
        </w:rPr>
        <w:t>Qualis</w:t>
      </w:r>
      <w:proofErr w:type="spellEnd"/>
      <w:r>
        <w:rPr>
          <w:rFonts w:ascii="Garamond" w:hAnsi="Garamond" w:cs="Garamond"/>
          <w:spacing w:val="-32"/>
          <w:sz w:val="20"/>
          <w:szCs w:val="20"/>
        </w:rPr>
        <w:t xml:space="preserve"> </w:t>
      </w:r>
      <w:r>
        <w:rPr>
          <w:rFonts w:ascii="Garamond" w:hAnsi="Garamond" w:cs="Garamond"/>
          <w:sz w:val="20"/>
          <w:szCs w:val="20"/>
        </w:rPr>
        <w:t>Health.</w:t>
      </w:r>
      <w:r>
        <w:rPr>
          <w:rFonts w:ascii="Garamond" w:hAnsi="Garamond" w:cs="Garamond"/>
          <w:spacing w:val="-32"/>
          <w:sz w:val="20"/>
          <w:szCs w:val="20"/>
        </w:rPr>
        <w:t xml:space="preserve"> </w:t>
      </w:r>
      <w:r>
        <w:rPr>
          <w:rFonts w:ascii="Garamond" w:hAnsi="Garamond" w:cs="Garamond"/>
          <w:sz w:val="20"/>
          <w:szCs w:val="20"/>
        </w:rPr>
        <w:t>Retrieved</w:t>
      </w:r>
      <w:r>
        <w:rPr>
          <w:rFonts w:ascii="Garamond" w:hAnsi="Garamond" w:cs="Garamond"/>
          <w:spacing w:val="-31"/>
          <w:sz w:val="20"/>
          <w:szCs w:val="20"/>
        </w:rPr>
        <w:t xml:space="preserve"> </w:t>
      </w:r>
      <w:r>
        <w:rPr>
          <w:rFonts w:ascii="Garamond" w:hAnsi="Garamond" w:cs="Garamond"/>
          <w:sz w:val="20"/>
          <w:szCs w:val="20"/>
        </w:rPr>
        <w:t>from</w:t>
      </w:r>
      <w:r>
        <w:rPr>
          <w:rFonts w:ascii="Garamond" w:hAnsi="Garamond" w:cs="Garamond"/>
          <w:spacing w:val="-31"/>
          <w:sz w:val="20"/>
          <w:szCs w:val="20"/>
        </w:rPr>
        <w:t xml:space="preserve"> </w:t>
      </w:r>
      <w:hyperlink r:id="rId547" w:history="1">
        <w:r>
          <w:rPr>
            <w:rFonts w:ascii="Garamond" w:hAnsi="Garamond" w:cs="Garamond"/>
            <w:sz w:val="20"/>
            <w:szCs w:val="20"/>
          </w:rPr>
          <w:t>http://www.safetynetmedicalhome.org/resources-tools/white-papers.</w:t>
        </w:r>
      </w:hyperlink>
    </w:p>
    <w:p w:rsidR="002C5025" w:rsidRDefault="002C5025">
      <w:pPr>
        <w:pStyle w:val="BodyText"/>
        <w:kinsoku w:val="0"/>
        <w:overflowPunct w:val="0"/>
        <w:spacing w:line="249" w:lineRule="exact"/>
        <w:ind w:left="120" w:right="201"/>
        <w:rPr>
          <w:rFonts w:ascii="Garamond" w:hAnsi="Garamond" w:cs="Garamond"/>
          <w:i/>
          <w:iCs/>
          <w:sz w:val="20"/>
          <w:szCs w:val="20"/>
        </w:rPr>
      </w:pPr>
      <w:r>
        <w:rPr>
          <w:position w:val="10"/>
          <w:sz w:val="13"/>
          <w:szCs w:val="13"/>
        </w:rPr>
        <w:t xml:space="preserve">14 </w:t>
      </w:r>
      <w:r>
        <w:rPr>
          <w:rFonts w:ascii="Garamond" w:hAnsi="Garamond" w:cs="Garamond"/>
          <w:sz w:val="20"/>
          <w:szCs w:val="20"/>
        </w:rPr>
        <w:t xml:space="preserve">Massachusetts Health Policy Commission. (2016). </w:t>
      </w:r>
      <w:r>
        <w:rPr>
          <w:rFonts w:ascii="Garamond" w:hAnsi="Garamond" w:cs="Garamond"/>
          <w:i/>
          <w:iCs/>
          <w:sz w:val="20"/>
          <w:szCs w:val="20"/>
        </w:rPr>
        <w:t>ED Utilization for Preventable Oral Health Conditions in MA</w:t>
      </w:r>
    </w:p>
    <w:p w:rsidR="002C5025" w:rsidRDefault="002C5025">
      <w:pPr>
        <w:pStyle w:val="BodyText"/>
        <w:kinsoku w:val="0"/>
        <w:overflowPunct w:val="0"/>
        <w:ind w:left="120" w:right="307"/>
        <w:rPr>
          <w:rFonts w:ascii="Garamond" w:hAnsi="Garamond" w:cs="Garamond"/>
          <w:sz w:val="20"/>
          <w:szCs w:val="20"/>
        </w:rPr>
      </w:pPr>
      <w:r>
        <w:rPr>
          <w:rFonts w:ascii="Garamond" w:hAnsi="Garamond" w:cs="Garamond"/>
          <w:sz w:val="20"/>
          <w:szCs w:val="20"/>
        </w:rPr>
        <w:t>[</w:t>
      </w:r>
      <w:proofErr w:type="spellStart"/>
      <w:r>
        <w:rPr>
          <w:rFonts w:ascii="Garamond" w:hAnsi="Garamond" w:cs="Garamond"/>
          <w:sz w:val="20"/>
          <w:szCs w:val="20"/>
        </w:rPr>
        <w:t>Powerpoint</w:t>
      </w:r>
      <w:proofErr w:type="spellEnd"/>
      <w:r>
        <w:rPr>
          <w:rFonts w:ascii="Garamond" w:hAnsi="Garamond" w:cs="Garamond"/>
          <w:spacing w:val="-24"/>
          <w:sz w:val="20"/>
          <w:szCs w:val="20"/>
        </w:rPr>
        <w:t xml:space="preserve"> </w:t>
      </w:r>
      <w:r>
        <w:rPr>
          <w:rFonts w:ascii="Garamond" w:hAnsi="Garamond" w:cs="Garamond"/>
          <w:sz w:val="20"/>
          <w:szCs w:val="20"/>
        </w:rPr>
        <w:t>slides]</w:t>
      </w:r>
      <w:r>
        <w:rPr>
          <w:rFonts w:ascii="Garamond" w:hAnsi="Garamond" w:cs="Garamond"/>
          <w:i/>
          <w:iCs/>
          <w:sz w:val="20"/>
          <w:szCs w:val="20"/>
        </w:rPr>
        <w:t>.</w:t>
      </w:r>
      <w:r>
        <w:rPr>
          <w:rFonts w:ascii="Garamond" w:hAnsi="Garamond" w:cs="Garamond"/>
          <w:i/>
          <w:iCs/>
          <w:spacing w:val="-23"/>
          <w:sz w:val="20"/>
          <w:szCs w:val="20"/>
        </w:rPr>
        <w:t xml:space="preserve"> </w:t>
      </w:r>
      <w:r>
        <w:rPr>
          <w:rFonts w:ascii="Garamond" w:hAnsi="Garamond" w:cs="Garamond"/>
          <w:sz w:val="20"/>
          <w:szCs w:val="20"/>
        </w:rPr>
        <w:t>Boston,</w:t>
      </w:r>
      <w:r>
        <w:rPr>
          <w:rFonts w:ascii="Garamond" w:hAnsi="Garamond" w:cs="Garamond"/>
          <w:spacing w:val="-23"/>
          <w:sz w:val="20"/>
          <w:szCs w:val="20"/>
        </w:rPr>
        <w:t xml:space="preserve"> </w:t>
      </w:r>
      <w:r>
        <w:rPr>
          <w:rFonts w:ascii="Garamond" w:hAnsi="Garamond" w:cs="Garamond"/>
          <w:sz w:val="20"/>
          <w:szCs w:val="20"/>
        </w:rPr>
        <w:t>MA.</w:t>
      </w:r>
      <w:r>
        <w:rPr>
          <w:rFonts w:ascii="Garamond" w:hAnsi="Garamond" w:cs="Garamond"/>
          <w:spacing w:val="-23"/>
          <w:sz w:val="20"/>
          <w:szCs w:val="20"/>
        </w:rPr>
        <w:t xml:space="preserve"> </w:t>
      </w:r>
      <w:r>
        <w:rPr>
          <w:rFonts w:ascii="Garamond" w:hAnsi="Garamond" w:cs="Garamond"/>
          <w:sz w:val="20"/>
          <w:szCs w:val="20"/>
        </w:rPr>
        <w:t>Retrieved</w:t>
      </w:r>
      <w:r>
        <w:rPr>
          <w:rFonts w:ascii="Garamond" w:hAnsi="Garamond" w:cs="Garamond"/>
          <w:spacing w:val="-21"/>
          <w:sz w:val="20"/>
          <w:szCs w:val="20"/>
        </w:rPr>
        <w:t xml:space="preserve"> </w:t>
      </w:r>
      <w:r>
        <w:rPr>
          <w:rFonts w:ascii="Garamond" w:hAnsi="Garamond" w:cs="Garamond"/>
          <w:sz w:val="20"/>
          <w:szCs w:val="20"/>
        </w:rPr>
        <w:t>from</w:t>
      </w:r>
      <w:r>
        <w:rPr>
          <w:rFonts w:ascii="Garamond" w:hAnsi="Garamond" w:cs="Garamond"/>
          <w:spacing w:val="-22"/>
          <w:sz w:val="20"/>
          <w:szCs w:val="20"/>
        </w:rPr>
        <w:t xml:space="preserve"> </w:t>
      </w:r>
      <w:hyperlink r:id="rId548" w:history="1">
        <w:r>
          <w:rPr>
            <w:rFonts w:ascii="Garamond" w:hAnsi="Garamond" w:cs="Garamond"/>
            <w:sz w:val="20"/>
            <w:szCs w:val="20"/>
          </w:rPr>
          <w:t>http://www.mass.gov/anf/budget-taxes-and-procurement/oversight-</w:t>
        </w:r>
      </w:hyperlink>
      <w:r>
        <w:rPr>
          <w:rFonts w:ascii="Garamond" w:hAnsi="Garamond" w:cs="Garamond"/>
          <w:sz w:val="20"/>
          <w:szCs w:val="20"/>
        </w:rPr>
        <w:t xml:space="preserve"> agencies/health-policy-commission/public-meetings/committee-meetings/20160401-public-presentation-dental- findings.pdf</w:t>
      </w:r>
    </w:p>
    <w:p w:rsidR="002C5025" w:rsidRDefault="002C5025">
      <w:pPr>
        <w:pStyle w:val="BodyText"/>
        <w:kinsoku w:val="0"/>
        <w:overflowPunct w:val="0"/>
        <w:spacing w:before="2"/>
        <w:rPr>
          <w:rFonts w:ascii="Garamond" w:hAnsi="Garamond" w:cs="Garamond"/>
          <w:sz w:val="13"/>
          <w:szCs w:val="13"/>
        </w:rPr>
      </w:pPr>
    </w:p>
    <w:p w:rsidR="002C5025" w:rsidRDefault="002C5025">
      <w:pPr>
        <w:pStyle w:val="BodyText"/>
        <w:kinsoku w:val="0"/>
        <w:overflowPunct w:val="0"/>
        <w:spacing w:before="80"/>
        <w:ind w:right="116"/>
        <w:jc w:val="center"/>
        <w:rPr>
          <w:rFonts w:ascii="Garamond" w:hAnsi="Garamond" w:cs="Garamond"/>
        </w:rPr>
      </w:pPr>
      <w:r>
        <w:rPr>
          <w:rFonts w:ascii="Garamond" w:hAnsi="Garamond" w:cs="Garamond"/>
        </w:rPr>
        <w:t>5</w:t>
      </w:r>
    </w:p>
    <w:p w:rsidR="002C5025" w:rsidRDefault="002C5025">
      <w:pPr>
        <w:pStyle w:val="BodyText"/>
        <w:kinsoku w:val="0"/>
        <w:overflowPunct w:val="0"/>
        <w:spacing w:before="80"/>
        <w:ind w:right="116"/>
        <w:jc w:val="center"/>
        <w:rPr>
          <w:rFonts w:ascii="Garamond" w:hAnsi="Garamond" w:cs="Garamond"/>
        </w:rPr>
        <w:sectPr w:rsidR="002C5025">
          <w:pgSz w:w="12240" w:h="15840"/>
          <w:pgMar w:top="1500" w:right="1300" w:bottom="280" w:left="1320" w:header="720" w:footer="720" w:gutter="0"/>
          <w:cols w:space="720" w:equalWidth="0">
            <w:col w:w="9620"/>
          </w:cols>
          <w:noEndnote/>
        </w:sectPr>
      </w:pPr>
    </w:p>
    <w:p w:rsidR="002C5025" w:rsidRDefault="002C5025">
      <w:pPr>
        <w:pStyle w:val="BodyText"/>
        <w:kinsoku w:val="0"/>
        <w:overflowPunct w:val="0"/>
        <w:spacing w:before="57" w:line="276" w:lineRule="auto"/>
        <w:ind w:left="119" w:right="329"/>
        <w:rPr>
          <w:rFonts w:ascii="Garamond" w:hAnsi="Garamond" w:cs="Garamond"/>
          <w:sz w:val="24"/>
          <w:szCs w:val="24"/>
        </w:rPr>
      </w:pPr>
      <w:r>
        <w:rPr>
          <w:rFonts w:ascii="Garamond" w:hAnsi="Garamond" w:cs="Garamond"/>
          <w:sz w:val="24"/>
          <w:szCs w:val="24"/>
        </w:rPr>
        <w:lastRenderedPageBreak/>
        <w:t>Investments in health information technology are particularly crucial for oral health integration. Currently,</w:t>
      </w:r>
      <w:r>
        <w:rPr>
          <w:rFonts w:ascii="Garamond" w:hAnsi="Garamond" w:cs="Garamond"/>
          <w:spacing w:val="-14"/>
          <w:sz w:val="24"/>
          <w:szCs w:val="24"/>
        </w:rPr>
        <w:t xml:space="preserve"> </w:t>
      </w:r>
      <w:r>
        <w:rPr>
          <w:rFonts w:ascii="Garamond" w:hAnsi="Garamond" w:cs="Garamond"/>
          <w:sz w:val="24"/>
          <w:szCs w:val="24"/>
        </w:rPr>
        <w:t>electronic</w:t>
      </w:r>
      <w:r>
        <w:rPr>
          <w:rFonts w:ascii="Garamond" w:hAnsi="Garamond" w:cs="Garamond"/>
          <w:spacing w:val="-16"/>
          <w:sz w:val="24"/>
          <w:szCs w:val="24"/>
        </w:rPr>
        <w:t xml:space="preserve"> </w:t>
      </w:r>
      <w:r>
        <w:rPr>
          <w:rFonts w:ascii="Garamond" w:hAnsi="Garamond" w:cs="Garamond"/>
          <w:sz w:val="24"/>
          <w:szCs w:val="24"/>
        </w:rPr>
        <w:t>medical</w:t>
      </w:r>
      <w:r>
        <w:rPr>
          <w:rFonts w:ascii="Garamond" w:hAnsi="Garamond" w:cs="Garamond"/>
          <w:spacing w:val="-16"/>
          <w:sz w:val="24"/>
          <w:szCs w:val="24"/>
        </w:rPr>
        <w:t xml:space="preserve"> </w:t>
      </w:r>
      <w:r>
        <w:rPr>
          <w:rFonts w:ascii="Garamond" w:hAnsi="Garamond" w:cs="Garamond"/>
          <w:sz w:val="24"/>
          <w:szCs w:val="24"/>
        </w:rPr>
        <w:t>and</w:t>
      </w:r>
      <w:r>
        <w:rPr>
          <w:rFonts w:ascii="Garamond" w:hAnsi="Garamond" w:cs="Garamond"/>
          <w:spacing w:val="-14"/>
          <w:sz w:val="24"/>
          <w:szCs w:val="24"/>
        </w:rPr>
        <w:t xml:space="preserve"> </w:t>
      </w:r>
      <w:r>
        <w:rPr>
          <w:rFonts w:ascii="Garamond" w:hAnsi="Garamond" w:cs="Garamond"/>
          <w:sz w:val="24"/>
          <w:szCs w:val="24"/>
        </w:rPr>
        <w:t>dental</w:t>
      </w:r>
      <w:r>
        <w:rPr>
          <w:rFonts w:ascii="Garamond" w:hAnsi="Garamond" w:cs="Garamond"/>
          <w:spacing w:val="-14"/>
          <w:sz w:val="24"/>
          <w:szCs w:val="24"/>
        </w:rPr>
        <w:t xml:space="preserve"> </w:t>
      </w:r>
      <w:r>
        <w:rPr>
          <w:rFonts w:ascii="Garamond" w:hAnsi="Garamond" w:cs="Garamond"/>
          <w:sz w:val="24"/>
          <w:szCs w:val="24"/>
        </w:rPr>
        <w:t>health</w:t>
      </w:r>
      <w:r>
        <w:rPr>
          <w:rFonts w:ascii="Garamond" w:hAnsi="Garamond" w:cs="Garamond"/>
          <w:spacing w:val="-14"/>
          <w:sz w:val="24"/>
          <w:szCs w:val="24"/>
        </w:rPr>
        <w:t xml:space="preserve"> </w:t>
      </w:r>
      <w:r>
        <w:rPr>
          <w:rFonts w:ascii="Garamond" w:hAnsi="Garamond" w:cs="Garamond"/>
          <w:sz w:val="24"/>
          <w:szCs w:val="24"/>
        </w:rPr>
        <w:t>records</w:t>
      </w:r>
      <w:r>
        <w:rPr>
          <w:rFonts w:ascii="Garamond" w:hAnsi="Garamond" w:cs="Garamond"/>
          <w:spacing w:val="-18"/>
          <w:sz w:val="24"/>
          <w:szCs w:val="24"/>
        </w:rPr>
        <w:t xml:space="preserve"> </w:t>
      </w:r>
      <w:r>
        <w:rPr>
          <w:rFonts w:ascii="Garamond" w:hAnsi="Garamond" w:cs="Garamond"/>
          <w:sz w:val="24"/>
          <w:szCs w:val="24"/>
        </w:rPr>
        <w:t>are</w:t>
      </w:r>
      <w:r>
        <w:rPr>
          <w:rFonts w:ascii="Garamond" w:hAnsi="Garamond" w:cs="Garamond"/>
          <w:spacing w:val="-13"/>
          <w:sz w:val="24"/>
          <w:szCs w:val="24"/>
        </w:rPr>
        <w:t xml:space="preserve"> </w:t>
      </w:r>
      <w:r>
        <w:rPr>
          <w:rFonts w:ascii="Garamond" w:hAnsi="Garamond" w:cs="Garamond"/>
          <w:sz w:val="24"/>
          <w:szCs w:val="24"/>
        </w:rPr>
        <w:t>largely</w:t>
      </w:r>
      <w:r>
        <w:rPr>
          <w:rFonts w:ascii="Garamond" w:hAnsi="Garamond" w:cs="Garamond"/>
          <w:spacing w:val="-13"/>
          <w:sz w:val="24"/>
          <w:szCs w:val="24"/>
        </w:rPr>
        <w:t xml:space="preserve"> </w:t>
      </w:r>
      <w:r>
        <w:rPr>
          <w:rFonts w:ascii="Garamond" w:hAnsi="Garamond" w:cs="Garamond"/>
          <w:sz w:val="24"/>
          <w:szCs w:val="24"/>
        </w:rPr>
        <w:t>incompatible;</w:t>
      </w:r>
      <w:r>
        <w:rPr>
          <w:rFonts w:ascii="Garamond" w:hAnsi="Garamond" w:cs="Garamond"/>
          <w:spacing w:val="-14"/>
          <w:sz w:val="24"/>
          <w:szCs w:val="24"/>
        </w:rPr>
        <w:t xml:space="preserve"> </w:t>
      </w:r>
      <w:r>
        <w:rPr>
          <w:rFonts w:ascii="Garamond" w:hAnsi="Garamond" w:cs="Garamond"/>
          <w:sz w:val="24"/>
          <w:szCs w:val="24"/>
        </w:rPr>
        <w:t>for</w:t>
      </w:r>
      <w:r>
        <w:rPr>
          <w:rFonts w:ascii="Garamond" w:hAnsi="Garamond" w:cs="Garamond"/>
          <w:spacing w:val="-18"/>
          <w:sz w:val="24"/>
          <w:szCs w:val="24"/>
        </w:rPr>
        <w:t xml:space="preserve"> </w:t>
      </w:r>
      <w:r>
        <w:rPr>
          <w:rFonts w:ascii="Garamond" w:hAnsi="Garamond" w:cs="Garamond"/>
          <w:sz w:val="24"/>
          <w:szCs w:val="24"/>
        </w:rPr>
        <w:t>effective</w:t>
      </w:r>
      <w:r>
        <w:rPr>
          <w:rFonts w:ascii="Garamond" w:hAnsi="Garamond" w:cs="Garamond"/>
          <w:spacing w:val="-16"/>
          <w:sz w:val="24"/>
          <w:szCs w:val="24"/>
        </w:rPr>
        <w:t xml:space="preserve"> </w:t>
      </w:r>
      <w:r>
        <w:rPr>
          <w:rFonts w:ascii="Garamond" w:hAnsi="Garamond" w:cs="Garamond"/>
          <w:sz w:val="24"/>
          <w:szCs w:val="24"/>
        </w:rPr>
        <w:t>care coordination, particularly for complex and high-risk patients, bidirectional data sharing and structured</w:t>
      </w:r>
      <w:r>
        <w:rPr>
          <w:rFonts w:ascii="Garamond" w:hAnsi="Garamond" w:cs="Garamond"/>
          <w:spacing w:val="-16"/>
          <w:sz w:val="24"/>
          <w:szCs w:val="24"/>
        </w:rPr>
        <w:t xml:space="preserve"> </w:t>
      </w:r>
      <w:r>
        <w:rPr>
          <w:rFonts w:ascii="Garamond" w:hAnsi="Garamond" w:cs="Garamond"/>
          <w:sz w:val="24"/>
          <w:szCs w:val="24"/>
        </w:rPr>
        <w:t>referrals</w:t>
      </w:r>
      <w:r>
        <w:rPr>
          <w:rFonts w:ascii="Garamond" w:hAnsi="Garamond" w:cs="Garamond"/>
          <w:spacing w:val="-14"/>
          <w:sz w:val="24"/>
          <w:szCs w:val="24"/>
        </w:rPr>
        <w:t xml:space="preserve"> </w:t>
      </w:r>
      <w:r>
        <w:rPr>
          <w:rFonts w:ascii="Garamond" w:hAnsi="Garamond" w:cs="Garamond"/>
          <w:sz w:val="24"/>
          <w:szCs w:val="24"/>
        </w:rPr>
        <w:t>between</w:t>
      </w:r>
      <w:r>
        <w:rPr>
          <w:rFonts w:ascii="Garamond" w:hAnsi="Garamond" w:cs="Garamond"/>
          <w:spacing w:val="-14"/>
          <w:sz w:val="24"/>
          <w:szCs w:val="24"/>
        </w:rPr>
        <w:t xml:space="preserve"> </w:t>
      </w:r>
      <w:r>
        <w:rPr>
          <w:rFonts w:ascii="Garamond" w:hAnsi="Garamond" w:cs="Garamond"/>
          <w:sz w:val="24"/>
          <w:szCs w:val="24"/>
        </w:rPr>
        <w:t>primary</w:t>
      </w:r>
      <w:r>
        <w:rPr>
          <w:rFonts w:ascii="Garamond" w:hAnsi="Garamond" w:cs="Garamond"/>
          <w:spacing w:val="-13"/>
          <w:sz w:val="24"/>
          <w:szCs w:val="24"/>
        </w:rPr>
        <w:t xml:space="preserve"> </w:t>
      </w:r>
      <w:r>
        <w:rPr>
          <w:rFonts w:ascii="Garamond" w:hAnsi="Garamond" w:cs="Garamond"/>
          <w:sz w:val="24"/>
          <w:szCs w:val="24"/>
        </w:rPr>
        <w:t>care</w:t>
      </w:r>
      <w:r>
        <w:rPr>
          <w:rFonts w:ascii="Garamond" w:hAnsi="Garamond" w:cs="Garamond"/>
          <w:spacing w:val="-15"/>
          <w:sz w:val="24"/>
          <w:szCs w:val="24"/>
        </w:rPr>
        <w:t xml:space="preserve"> </w:t>
      </w:r>
      <w:r>
        <w:rPr>
          <w:rFonts w:ascii="Garamond" w:hAnsi="Garamond" w:cs="Garamond"/>
          <w:sz w:val="24"/>
          <w:szCs w:val="24"/>
        </w:rPr>
        <w:t>and</w:t>
      </w:r>
      <w:r>
        <w:rPr>
          <w:rFonts w:ascii="Garamond" w:hAnsi="Garamond" w:cs="Garamond"/>
          <w:spacing w:val="-14"/>
          <w:sz w:val="24"/>
          <w:szCs w:val="24"/>
        </w:rPr>
        <w:t xml:space="preserve"> </w:t>
      </w:r>
      <w:r>
        <w:rPr>
          <w:rFonts w:ascii="Garamond" w:hAnsi="Garamond" w:cs="Garamond"/>
          <w:sz w:val="24"/>
          <w:szCs w:val="24"/>
        </w:rPr>
        <w:t>dental</w:t>
      </w:r>
      <w:r>
        <w:rPr>
          <w:rFonts w:ascii="Garamond" w:hAnsi="Garamond" w:cs="Garamond"/>
          <w:spacing w:val="-14"/>
          <w:sz w:val="24"/>
          <w:szCs w:val="24"/>
        </w:rPr>
        <w:t xml:space="preserve"> </w:t>
      </w:r>
      <w:r>
        <w:rPr>
          <w:rFonts w:ascii="Garamond" w:hAnsi="Garamond" w:cs="Garamond"/>
          <w:sz w:val="24"/>
          <w:szCs w:val="24"/>
        </w:rPr>
        <w:t>care</w:t>
      </w:r>
      <w:r>
        <w:rPr>
          <w:rFonts w:ascii="Garamond" w:hAnsi="Garamond" w:cs="Garamond"/>
          <w:spacing w:val="-13"/>
          <w:sz w:val="24"/>
          <w:szCs w:val="24"/>
        </w:rPr>
        <w:t xml:space="preserve"> </w:t>
      </w:r>
      <w:r>
        <w:rPr>
          <w:rFonts w:ascii="Garamond" w:hAnsi="Garamond" w:cs="Garamond"/>
          <w:sz w:val="24"/>
          <w:szCs w:val="24"/>
        </w:rPr>
        <w:t>providers</w:t>
      </w:r>
      <w:r>
        <w:rPr>
          <w:rFonts w:ascii="Garamond" w:hAnsi="Garamond" w:cs="Garamond"/>
          <w:spacing w:val="-17"/>
          <w:sz w:val="24"/>
          <w:szCs w:val="24"/>
        </w:rPr>
        <w:t xml:space="preserve"> </w:t>
      </w:r>
      <w:r>
        <w:rPr>
          <w:rFonts w:ascii="Garamond" w:hAnsi="Garamond" w:cs="Garamond"/>
          <w:sz w:val="24"/>
          <w:szCs w:val="24"/>
        </w:rPr>
        <w:t>is</w:t>
      </w:r>
      <w:r>
        <w:rPr>
          <w:rFonts w:ascii="Garamond" w:hAnsi="Garamond" w:cs="Garamond"/>
          <w:spacing w:val="-14"/>
          <w:sz w:val="24"/>
          <w:szCs w:val="24"/>
        </w:rPr>
        <w:t xml:space="preserve"> </w:t>
      </w:r>
      <w:r>
        <w:rPr>
          <w:rFonts w:ascii="Garamond" w:hAnsi="Garamond" w:cs="Garamond"/>
          <w:sz w:val="24"/>
          <w:szCs w:val="24"/>
        </w:rPr>
        <w:t>absolutely</w:t>
      </w:r>
      <w:r>
        <w:rPr>
          <w:rFonts w:ascii="Garamond" w:hAnsi="Garamond" w:cs="Garamond"/>
          <w:spacing w:val="-11"/>
          <w:sz w:val="24"/>
          <w:szCs w:val="24"/>
        </w:rPr>
        <w:t xml:space="preserve"> </w:t>
      </w:r>
      <w:r>
        <w:rPr>
          <w:rFonts w:ascii="Garamond" w:hAnsi="Garamond" w:cs="Garamond"/>
          <w:sz w:val="24"/>
          <w:szCs w:val="24"/>
        </w:rPr>
        <w:t>necessary.</w:t>
      </w:r>
      <w:r>
        <w:rPr>
          <w:rFonts w:ascii="Garamond" w:hAnsi="Garamond" w:cs="Garamond"/>
          <w:spacing w:val="-14"/>
          <w:sz w:val="24"/>
          <w:szCs w:val="24"/>
        </w:rPr>
        <w:t xml:space="preserve"> </w:t>
      </w:r>
      <w:r>
        <w:rPr>
          <w:rFonts w:ascii="Garamond" w:hAnsi="Garamond" w:cs="Garamond"/>
          <w:sz w:val="24"/>
          <w:szCs w:val="24"/>
        </w:rPr>
        <w:t>ACOs should set standards for health information technologies that enable greater inter-professional communication.</w:t>
      </w:r>
    </w:p>
    <w:p w:rsidR="002C5025" w:rsidRDefault="002C5025">
      <w:pPr>
        <w:pStyle w:val="BodyText"/>
        <w:kinsoku w:val="0"/>
        <w:overflowPunct w:val="0"/>
        <w:spacing w:before="7"/>
        <w:rPr>
          <w:rFonts w:ascii="Garamond" w:hAnsi="Garamond" w:cs="Garamond"/>
          <w:sz w:val="27"/>
          <w:szCs w:val="27"/>
        </w:rPr>
      </w:pPr>
    </w:p>
    <w:p w:rsidR="002C5025" w:rsidRDefault="002C5025">
      <w:pPr>
        <w:pStyle w:val="BodyText"/>
        <w:kinsoku w:val="0"/>
        <w:overflowPunct w:val="0"/>
        <w:spacing w:line="276" w:lineRule="auto"/>
        <w:ind w:left="119" w:right="174"/>
        <w:rPr>
          <w:rFonts w:ascii="Garamond" w:hAnsi="Garamond" w:cs="Garamond"/>
          <w:sz w:val="24"/>
          <w:szCs w:val="24"/>
        </w:rPr>
      </w:pPr>
      <w:r>
        <w:rPr>
          <w:rFonts w:ascii="Garamond" w:hAnsi="Garamond" w:cs="Garamond"/>
          <w:sz w:val="24"/>
          <w:szCs w:val="24"/>
        </w:rPr>
        <w:t>Presently,</w:t>
      </w:r>
      <w:r>
        <w:rPr>
          <w:rFonts w:ascii="Garamond" w:hAnsi="Garamond" w:cs="Garamond"/>
          <w:spacing w:val="-13"/>
          <w:sz w:val="24"/>
          <w:szCs w:val="24"/>
        </w:rPr>
        <w:t xml:space="preserve"> </w:t>
      </w:r>
      <w:r>
        <w:rPr>
          <w:rFonts w:ascii="Garamond" w:hAnsi="Garamond" w:cs="Garamond"/>
          <w:sz w:val="24"/>
          <w:szCs w:val="24"/>
        </w:rPr>
        <w:t>the</w:t>
      </w:r>
      <w:r>
        <w:rPr>
          <w:rFonts w:ascii="Garamond" w:hAnsi="Garamond" w:cs="Garamond"/>
          <w:spacing w:val="-14"/>
          <w:sz w:val="24"/>
          <w:szCs w:val="24"/>
        </w:rPr>
        <w:t xml:space="preserve"> </w:t>
      </w:r>
      <w:r>
        <w:rPr>
          <w:rFonts w:ascii="Garamond" w:hAnsi="Garamond" w:cs="Garamond"/>
          <w:sz w:val="24"/>
          <w:szCs w:val="24"/>
        </w:rPr>
        <w:t>vast</w:t>
      </w:r>
      <w:r>
        <w:rPr>
          <w:rFonts w:ascii="Garamond" w:hAnsi="Garamond" w:cs="Garamond"/>
          <w:spacing w:val="-13"/>
          <w:sz w:val="24"/>
          <w:szCs w:val="24"/>
        </w:rPr>
        <w:t xml:space="preserve"> </w:t>
      </w:r>
      <w:r>
        <w:rPr>
          <w:rFonts w:ascii="Garamond" w:hAnsi="Garamond" w:cs="Garamond"/>
          <w:sz w:val="24"/>
          <w:szCs w:val="24"/>
        </w:rPr>
        <w:t>majority</w:t>
      </w:r>
      <w:r>
        <w:rPr>
          <w:rFonts w:ascii="Garamond" w:hAnsi="Garamond" w:cs="Garamond"/>
          <w:spacing w:val="-12"/>
          <w:sz w:val="24"/>
          <w:szCs w:val="24"/>
        </w:rPr>
        <w:t xml:space="preserve"> </w:t>
      </w:r>
      <w:r>
        <w:rPr>
          <w:rFonts w:ascii="Garamond" w:hAnsi="Garamond" w:cs="Garamond"/>
          <w:sz w:val="24"/>
          <w:szCs w:val="24"/>
        </w:rPr>
        <w:t>of</w:t>
      </w:r>
      <w:r>
        <w:rPr>
          <w:rFonts w:ascii="Garamond" w:hAnsi="Garamond" w:cs="Garamond"/>
          <w:spacing w:val="-15"/>
          <w:sz w:val="24"/>
          <w:szCs w:val="24"/>
        </w:rPr>
        <w:t xml:space="preserve"> </w:t>
      </w:r>
      <w:r>
        <w:rPr>
          <w:rFonts w:ascii="Garamond" w:hAnsi="Garamond" w:cs="Garamond"/>
          <w:sz w:val="24"/>
          <w:szCs w:val="24"/>
        </w:rPr>
        <w:t>Massachusetts</w:t>
      </w:r>
      <w:r>
        <w:rPr>
          <w:rFonts w:ascii="Garamond" w:hAnsi="Garamond" w:cs="Garamond"/>
          <w:spacing w:val="-16"/>
          <w:sz w:val="24"/>
          <w:szCs w:val="24"/>
        </w:rPr>
        <w:t xml:space="preserve"> </w:t>
      </w:r>
      <w:r>
        <w:rPr>
          <w:rFonts w:ascii="Garamond" w:hAnsi="Garamond" w:cs="Garamond"/>
          <w:sz w:val="24"/>
          <w:szCs w:val="24"/>
        </w:rPr>
        <w:t>dentists</w:t>
      </w:r>
      <w:r>
        <w:rPr>
          <w:rFonts w:ascii="Garamond" w:hAnsi="Garamond" w:cs="Garamond"/>
          <w:spacing w:val="-16"/>
          <w:sz w:val="24"/>
          <w:szCs w:val="24"/>
        </w:rPr>
        <w:t xml:space="preserve"> </w:t>
      </w:r>
      <w:r>
        <w:rPr>
          <w:rFonts w:ascii="Garamond" w:hAnsi="Garamond" w:cs="Garamond"/>
          <w:sz w:val="24"/>
          <w:szCs w:val="24"/>
        </w:rPr>
        <w:t>do</w:t>
      </w:r>
      <w:r>
        <w:rPr>
          <w:rFonts w:ascii="Garamond" w:hAnsi="Garamond" w:cs="Garamond"/>
          <w:spacing w:val="-13"/>
          <w:sz w:val="24"/>
          <w:szCs w:val="24"/>
        </w:rPr>
        <w:t xml:space="preserve"> </w:t>
      </w:r>
      <w:r>
        <w:rPr>
          <w:rFonts w:ascii="Garamond" w:hAnsi="Garamond" w:cs="Garamond"/>
          <w:sz w:val="24"/>
          <w:szCs w:val="24"/>
        </w:rPr>
        <w:t>not</w:t>
      </w:r>
      <w:r>
        <w:rPr>
          <w:rFonts w:ascii="Garamond" w:hAnsi="Garamond" w:cs="Garamond"/>
          <w:spacing w:val="-13"/>
          <w:sz w:val="24"/>
          <w:szCs w:val="24"/>
        </w:rPr>
        <w:t xml:space="preserve"> </w:t>
      </w:r>
      <w:r>
        <w:rPr>
          <w:rFonts w:ascii="Garamond" w:hAnsi="Garamond" w:cs="Garamond"/>
          <w:sz w:val="24"/>
          <w:szCs w:val="24"/>
        </w:rPr>
        <w:t>accept</w:t>
      </w:r>
      <w:r>
        <w:rPr>
          <w:rFonts w:ascii="Garamond" w:hAnsi="Garamond" w:cs="Garamond"/>
          <w:spacing w:val="-13"/>
          <w:sz w:val="24"/>
          <w:szCs w:val="24"/>
        </w:rPr>
        <w:t xml:space="preserve"> </w:t>
      </w:r>
      <w:r>
        <w:rPr>
          <w:rFonts w:ascii="Garamond" w:hAnsi="Garamond" w:cs="Garamond"/>
          <w:sz w:val="24"/>
          <w:szCs w:val="24"/>
        </w:rPr>
        <w:t>MassHealth.</w:t>
      </w:r>
      <w:r>
        <w:rPr>
          <w:rFonts w:ascii="Garamond" w:hAnsi="Garamond" w:cs="Garamond"/>
          <w:spacing w:val="-13"/>
          <w:sz w:val="24"/>
          <w:szCs w:val="24"/>
        </w:rPr>
        <w:t xml:space="preserve"> </w:t>
      </w:r>
      <w:r>
        <w:rPr>
          <w:rFonts w:ascii="Garamond" w:hAnsi="Garamond" w:cs="Garamond"/>
          <w:sz w:val="24"/>
          <w:szCs w:val="24"/>
        </w:rPr>
        <w:t>Incentives</w:t>
      </w:r>
      <w:r>
        <w:rPr>
          <w:rFonts w:ascii="Garamond" w:hAnsi="Garamond" w:cs="Garamond"/>
          <w:spacing w:val="-16"/>
          <w:sz w:val="24"/>
          <w:szCs w:val="24"/>
        </w:rPr>
        <w:t xml:space="preserve"> </w:t>
      </w:r>
      <w:r>
        <w:rPr>
          <w:rFonts w:ascii="Garamond" w:hAnsi="Garamond" w:cs="Garamond"/>
          <w:sz w:val="24"/>
          <w:szCs w:val="24"/>
        </w:rPr>
        <w:t>to</w:t>
      </w:r>
      <w:r>
        <w:rPr>
          <w:rFonts w:ascii="Garamond" w:hAnsi="Garamond" w:cs="Garamond"/>
          <w:spacing w:val="-15"/>
          <w:sz w:val="24"/>
          <w:szCs w:val="24"/>
        </w:rPr>
        <w:t xml:space="preserve"> </w:t>
      </w:r>
      <w:r>
        <w:rPr>
          <w:rFonts w:ascii="Garamond" w:hAnsi="Garamond" w:cs="Garamond"/>
          <w:sz w:val="24"/>
          <w:szCs w:val="24"/>
        </w:rPr>
        <w:t>help transition dental practices to adopt flexible HIT systems may have the added benefit of recruiting more</w:t>
      </w:r>
      <w:r>
        <w:rPr>
          <w:rFonts w:ascii="Garamond" w:hAnsi="Garamond" w:cs="Garamond"/>
          <w:spacing w:val="-11"/>
          <w:sz w:val="24"/>
          <w:szCs w:val="24"/>
        </w:rPr>
        <w:t xml:space="preserve"> </w:t>
      </w:r>
      <w:r>
        <w:rPr>
          <w:rFonts w:ascii="Garamond" w:hAnsi="Garamond" w:cs="Garamond"/>
          <w:sz w:val="24"/>
          <w:szCs w:val="24"/>
        </w:rPr>
        <w:t>dental</w:t>
      </w:r>
      <w:r>
        <w:rPr>
          <w:rFonts w:ascii="Garamond" w:hAnsi="Garamond" w:cs="Garamond"/>
          <w:spacing w:val="-13"/>
          <w:sz w:val="24"/>
          <w:szCs w:val="24"/>
        </w:rPr>
        <w:t xml:space="preserve"> </w:t>
      </w:r>
      <w:r>
        <w:rPr>
          <w:rFonts w:ascii="Garamond" w:hAnsi="Garamond" w:cs="Garamond"/>
          <w:sz w:val="24"/>
          <w:szCs w:val="24"/>
        </w:rPr>
        <w:t>providers</w:t>
      </w:r>
      <w:r>
        <w:rPr>
          <w:rFonts w:ascii="Garamond" w:hAnsi="Garamond" w:cs="Garamond"/>
          <w:spacing w:val="-14"/>
          <w:sz w:val="24"/>
          <w:szCs w:val="24"/>
        </w:rPr>
        <w:t xml:space="preserve"> </w:t>
      </w:r>
      <w:r>
        <w:rPr>
          <w:rFonts w:ascii="Garamond" w:hAnsi="Garamond" w:cs="Garamond"/>
          <w:sz w:val="24"/>
          <w:szCs w:val="24"/>
        </w:rPr>
        <w:t>to</w:t>
      </w:r>
      <w:r>
        <w:rPr>
          <w:rFonts w:ascii="Garamond" w:hAnsi="Garamond" w:cs="Garamond"/>
          <w:spacing w:val="-13"/>
          <w:sz w:val="24"/>
          <w:szCs w:val="24"/>
        </w:rPr>
        <w:t xml:space="preserve"> </w:t>
      </w:r>
      <w:r>
        <w:rPr>
          <w:rFonts w:ascii="Garamond" w:hAnsi="Garamond" w:cs="Garamond"/>
          <w:sz w:val="24"/>
          <w:szCs w:val="24"/>
        </w:rPr>
        <w:t>serve</w:t>
      </w:r>
      <w:r>
        <w:rPr>
          <w:rFonts w:ascii="Garamond" w:hAnsi="Garamond" w:cs="Garamond"/>
          <w:spacing w:val="-11"/>
          <w:sz w:val="24"/>
          <w:szCs w:val="24"/>
        </w:rPr>
        <w:t xml:space="preserve"> </w:t>
      </w:r>
      <w:r>
        <w:rPr>
          <w:rFonts w:ascii="Garamond" w:hAnsi="Garamond" w:cs="Garamond"/>
          <w:sz w:val="24"/>
          <w:szCs w:val="24"/>
        </w:rPr>
        <w:t>MassHealth</w:t>
      </w:r>
      <w:r>
        <w:rPr>
          <w:rFonts w:ascii="Garamond" w:hAnsi="Garamond" w:cs="Garamond"/>
          <w:spacing w:val="-13"/>
          <w:sz w:val="24"/>
          <w:szCs w:val="24"/>
        </w:rPr>
        <w:t xml:space="preserve"> </w:t>
      </w:r>
      <w:r>
        <w:rPr>
          <w:rFonts w:ascii="Garamond" w:hAnsi="Garamond" w:cs="Garamond"/>
          <w:sz w:val="24"/>
          <w:szCs w:val="24"/>
        </w:rPr>
        <w:t>patients.</w:t>
      </w:r>
      <w:r>
        <w:rPr>
          <w:rFonts w:ascii="Garamond" w:hAnsi="Garamond" w:cs="Garamond"/>
          <w:spacing w:val="-15"/>
          <w:sz w:val="24"/>
          <w:szCs w:val="24"/>
        </w:rPr>
        <w:t xml:space="preserve"> </w:t>
      </w:r>
      <w:r>
        <w:rPr>
          <w:rFonts w:ascii="Garamond" w:hAnsi="Garamond" w:cs="Garamond"/>
          <w:sz w:val="24"/>
          <w:szCs w:val="24"/>
        </w:rPr>
        <w:t>This</w:t>
      </w:r>
      <w:r>
        <w:rPr>
          <w:rFonts w:ascii="Garamond" w:hAnsi="Garamond" w:cs="Garamond"/>
          <w:spacing w:val="-12"/>
          <w:sz w:val="24"/>
          <w:szCs w:val="24"/>
        </w:rPr>
        <w:t xml:space="preserve"> </w:t>
      </w:r>
      <w:r>
        <w:rPr>
          <w:rFonts w:ascii="Garamond" w:hAnsi="Garamond" w:cs="Garamond"/>
          <w:sz w:val="24"/>
          <w:szCs w:val="24"/>
        </w:rPr>
        <w:t>is</w:t>
      </w:r>
      <w:r>
        <w:rPr>
          <w:rFonts w:ascii="Garamond" w:hAnsi="Garamond" w:cs="Garamond"/>
          <w:spacing w:val="-14"/>
          <w:sz w:val="24"/>
          <w:szCs w:val="24"/>
        </w:rPr>
        <w:t xml:space="preserve"> </w:t>
      </w:r>
      <w:r>
        <w:rPr>
          <w:rFonts w:ascii="Garamond" w:hAnsi="Garamond" w:cs="Garamond"/>
          <w:sz w:val="24"/>
          <w:szCs w:val="24"/>
        </w:rPr>
        <w:t>particularly</w:t>
      </w:r>
      <w:r>
        <w:rPr>
          <w:rFonts w:ascii="Garamond" w:hAnsi="Garamond" w:cs="Garamond"/>
          <w:spacing w:val="-12"/>
          <w:sz w:val="24"/>
          <w:szCs w:val="24"/>
        </w:rPr>
        <w:t xml:space="preserve"> </w:t>
      </w:r>
      <w:r>
        <w:rPr>
          <w:rFonts w:ascii="Garamond" w:hAnsi="Garamond" w:cs="Garamond"/>
          <w:sz w:val="24"/>
          <w:szCs w:val="24"/>
        </w:rPr>
        <w:t>opportune</w:t>
      </w:r>
      <w:r>
        <w:rPr>
          <w:rFonts w:ascii="Garamond" w:hAnsi="Garamond" w:cs="Garamond"/>
          <w:spacing w:val="-12"/>
          <w:sz w:val="24"/>
          <w:szCs w:val="24"/>
        </w:rPr>
        <w:t xml:space="preserve"> </w:t>
      </w:r>
      <w:r>
        <w:rPr>
          <w:rFonts w:ascii="Garamond" w:hAnsi="Garamond" w:cs="Garamond"/>
          <w:sz w:val="24"/>
          <w:szCs w:val="24"/>
        </w:rPr>
        <w:t>considering</w:t>
      </w:r>
      <w:r>
        <w:rPr>
          <w:rFonts w:ascii="Garamond" w:hAnsi="Garamond" w:cs="Garamond"/>
          <w:spacing w:val="-11"/>
          <w:sz w:val="24"/>
          <w:szCs w:val="24"/>
        </w:rPr>
        <w:t xml:space="preserve"> </w:t>
      </w:r>
      <w:r>
        <w:rPr>
          <w:rFonts w:ascii="Garamond" w:hAnsi="Garamond" w:cs="Garamond"/>
          <w:sz w:val="24"/>
          <w:szCs w:val="24"/>
        </w:rPr>
        <w:t>the impending requirement in Chapter 224 of the Acts of 2012 for all providers, including dental providers,</w:t>
      </w:r>
      <w:r>
        <w:rPr>
          <w:rFonts w:ascii="Garamond" w:hAnsi="Garamond" w:cs="Garamond"/>
          <w:spacing w:val="-13"/>
          <w:sz w:val="24"/>
          <w:szCs w:val="24"/>
        </w:rPr>
        <w:t xml:space="preserve"> </w:t>
      </w:r>
      <w:r>
        <w:rPr>
          <w:rFonts w:ascii="Garamond" w:hAnsi="Garamond" w:cs="Garamond"/>
          <w:sz w:val="24"/>
          <w:szCs w:val="24"/>
        </w:rPr>
        <w:t>to</w:t>
      </w:r>
      <w:r>
        <w:rPr>
          <w:rFonts w:ascii="Garamond" w:hAnsi="Garamond" w:cs="Garamond"/>
          <w:spacing w:val="-13"/>
          <w:sz w:val="24"/>
          <w:szCs w:val="24"/>
        </w:rPr>
        <w:t xml:space="preserve"> </w:t>
      </w:r>
      <w:r>
        <w:rPr>
          <w:rFonts w:ascii="Garamond" w:hAnsi="Garamond" w:cs="Garamond"/>
          <w:sz w:val="24"/>
          <w:szCs w:val="24"/>
        </w:rPr>
        <w:t>adopt</w:t>
      </w:r>
      <w:r>
        <w:rPr>
          <w:rFonts w:ascii="Garamond" w:hAnsi="Garamond" w:cs="Garamond"/>
          <w:spacing w:val="-14"/>
          <w:sz w:val="24"/>
          <w:szCs w:val="24"/>
        </w:rPr>
        <w:t xml:space="preserve"> </w:t>
      </w:r>
      <w:r>
        <w:rPr>
          <w:rFonts w:ascii="Garamond" w:hAnsi="Garamond" w:cs="Garamond"/>
          <w:sz w:val="24"/>
          <w:szCs w:val="24"/>
        </w:rPr>
        <w:t>electronic</w:t>
      </w:r>
      <w:r>
        <w:rPr>
          <w:rFonts w:ascii="Garamond" w:hAnsi="Garamond" w:cs="Garamond"/>
          <w:spacing w:val="-12"/>
          <w:sz w:val="24"/>
          <w:szCs w:val="24"/>
        </w:rPr>
        <w:t xml:space="preserve"> </w:t>
      </w:r>
      <w:r>
        <w:rPr>
          <w:rFonts w:ascii="Garamond" w:hAnsi="Garamond" w:cs="Garamond"/>
          <w:sz w:val="24"/>
          <w:szCs w:val="24"/>
        </w:rPr>
        <w:t>health</w:t>
      </w:r>
      <w:r>
        <w:rPr>
          <w:rFonts w:ascii="Garamond" w:hAnsi="Garamond" w:cs="Garamond"/>
          <w:spacing w:val="-13"/>
          <w:sz w:val="24"/>
          <w:szCs w:val="24"/>
        </w:rPr>
        <w:t xml:space="preserve"> </w:t>
      </w:r>
      <w:r>
        <w:rPr>
          <w:rFonts w:ascii="Garamond" w:hAnsi="Garamond" w:cs="Garamond"/>
          <w:sz w:val="24"/>
          <w:szCs w:val="24"/>
        </w:rPr>
        <w:t>records</w:t>
      </w:r>
      <w:r>
        <w:rPr>
          <w:rFonts w:ascii="Garamond" w:hAnsi="Garamond" w:cs="Garamond"/>
          <w:spacing w:val="-14"/>
          <w:sz w:val="24"/>
          <w:szCs w:val="24"/>
        </w:rPr>
        <w:t xml:space="preserve"> </w:t>
      </w:r>
      <w:r>
        <w:rPr>
          <w:rFonts w:ascii="Garamond" w:hAnsi="Garamond" w:cs="Garamond"/>
          <w:sz w:val="24"/>
          <w:szCs w:val="24"/>
        </w:rPr>
        <w:t>systems</w:t>
      </w:r>
      <w:r>
        <w:rPr>
          <w:rFonts w:ascii="Garamond" w:hAnsi="Garamond" w:cs="Garamond"/>
          <w:spacing w:val="-14"/>
          <w:sz w:val="24"/>
          <w:szCs w:val="24"/>
        </w:rPr>
        <w:t xml:space="preserve"> </w:t>
      </w:r>
      <w:r>
        <w:rPr>
          <w:rFonts w:ascii="Garamond" w:hAnsi="Garamond" w:cs="Garamond"/>
          <w:sz w:val="24"/>
          <w:szCs w:val="24"/>
        </w:rPr>
        <w:t>by</w:t>
      </w:r>
      <w:r>
        <w:rPr>
          <w:rFonts w:ascii="Garamond" w:hAnsi="Garamond" w:cs="Garamond"/>
          <w:spacing w:val="-12"/>
          <w:sz w:val="24"/>
          <w:szCs w:val="24"/>
        </w:rPr>
        <w:t xml:space="preserve"> </w:t>
      </w:r>
      <w:r>
        <w:rPr>
          <w:rFonts w:ascii="Garamond" w:hAnsi="Garamond" w:cs="Garamond"/>
          <w:sz w:val="24"/>
          <w:szCs w:val="24"/>
        </w:rPr>
        <w:t>next</w:t>
      </w:r>
      <w:r>
        <w:rPr>
          <w:rFonts w:ascii="Garamond" w:hAnsi="Garamond" w:cs="Garamond"/>
          <w:spacing w:val="-14"/>
          <w:sz w:val="24"/>
          <w:szCs w:val="24"/>
        </w:rPr>
        <w:t xml:space="preserve"> </w:t>
      </w:r>
      <w:r>
        <w:rPr>
          <w:rFonts w:ascii="Garamond" w:hAnsi="Garamond" w:cs="Garamond"/>
          <w:sz w:val="24"/>
          <w:szCs w:val="24"/>
        </w:rPr>
        <w:t>year.</w:t>
      </w:r>
    </w:p>
    <w:p w:rsidR="002C5025" w:rsidRDefault="002C5025">
      <w:pPr>
        <w:pStyle w:val="BodyText"/>
        <w:kinsoku w:val="0"/>
        <w:overflowPunct w:val="0"/>
        <w:spacing w:before="7"/>
        <w:rPr>
          <w:rFonts w:ascii="Garamond" w:hAnsi="Garamond" w:cs="Garamond"/>
          <w:sz w:val="27"/>
          <w:szCs w:val="27"/>
        </w:rPr>
      </w:pPr>
    </w:p>
    <w:p w:rsidR="002C5025" w:rsidRDefault="002C5025">
      <w:pPr>
        <w:pStyle w:val="BodyText"/>
        <w:kinsoku w:val="0"/>
        <w:overflowPunct w:val="0"/>
        <w:spacing w:line="276" w:lineRule="auto"/>
        <w:ind w:left="120" w:right="174"/>
        <w:rPr>
          <w:rFonts w:ascii="Garamond" w:hAnsi="Garamond" w:cs="Garamond"/>
          <w:sz w:val="24"/>
          <w:szCs w:val="24"/>
        </w:rPr>
      </w:pPr>
      <w:r>
        <w:rPr>
          <w:rFonts w:ascii="Garamond" w:hAnsi="Garamond" w:cs="Garamond"/>
          <w:sz w:val="24"/>
          <w:szCs w:val="24"/>
        </w:rPr>
        <w:t>Additionally,</w:t>
      </w:r>
      <w:r>
        <w:rPr>
          <w:rFonts w:ascii="Garamond" w:hAnsi="Garamond" w:cs="Garamond"/>
          <w:spacing w:val="-10"/>
          <w:sz w:val="24"/>
          <w:szCs w:val="24"/>
        </w:rPr>
        <w:t xml:space="preserve"> </w:t>
      </w:r>
      <w:r>
        <w:rPr>
          <w:rFonts w:ascii="Garamond" w:hAnsi="Garamond" w:cs="Garamond"/>
          <w:sz w:val="24"/>
          <w:szCs w:val="24"/>
        </w:rPr>
        <w:t>the</w:t>
      </w:r>
      <w:r>
        <w:rPr>
          <w:rFonts w:ascii="Garamond" w:hAnsi="Garamond" w:cs="Garamond"/>
          <w:spacing w:val="-14"/>
          <w:sz w:val="24"/>
          <w:szCs w:val="24"/>
        </w:rPr>
        <w:t xml:space="preserve"> </w:t>
      </w:r>
      <w:r>
        <w:rPr>
          <w:rFonts w:ascii="Garamond" w:hAnsi="Garamond" w:cs="Garamond"/>
          <w:sz w:val="24"/>
          <w:szCs w:val="24"/>
        </w:rPr>
        <w:t>Safety</w:t>
      </w:r>
      <w:r>
        <w:rPr>
          <w:rFonts w:ascii="Garamond" w:hAnsi="Garamond" w:cs="Garamond"/>
          <w:spacing w:val="-9"/>
          <w:sz w:val="24"/>
          <w:szCs w:val="24"/>
        </w:rPr>
        <w:t xml:space="preserve"> </w:t>
      </w:r>
      <w:r>
        <w:rPr>
          <w:rFonts w:ascii="Garamond" w:hAnsi="Garamond" w:cs="Garamond"/>
          <w:sz w:val="24"/>
          <w:szCs w:val="24"/>
        </w:rPr>
        <w:t>Net</w:t>
      </w:r>
      <w:r>
        <w:rPr>
          <w:rFonts w:ascii="Garamond" w:hAnsi="Garamond" w:cs="Garamond"/>
          <w:spacing w:val="-11"/>
          <w:sz w:val="24"/>
          <w:szCs w:val="24"/>
        </w:rPr>
        <w:t xml:space="preserve"> </w:t>
      </w:r>
      <w:r>
        <w:rPr>
          <w:rFonts w:ascii="Garamond" w:hAnsi="Garamond" w:cs="Garamond"/>
          <w:sz w:val="24"/>
          <w:szCs w:val="24"/>
        </w:rPr>
        <w:t>Care</w:t>
      </w:r>
      <w:r>
        <w:rPr>
          <w:rFonts w:ascii="Garamond" w:hAnsi="Garamond" w:cs="Garamond"/>
          <w:spacing w:val="-9"/>
          <w:sz w:val="24"/>
          <w:szCs w:val="24"/>
        </w:rPr>
        <w:t xml:space="preserve"> </w:t>
      </w:r>
      <w:r>
        <w:rPr>
          <w:rFonts w:ascii="Garamond" w:hAnsi="Garamond" w:cs="Garamond"/>
          <w:sz w:val="24"/>
          <w:szCs w:val="24"/>
        </w:rPr>
        <w:t>Pool</w:t>
      </w:r>
      <w:r>
        <w:rPr>
          <w:rFonts w:ascii="Garamond" w:hAnsi="Garamond" w:cs="Garamond"/>
          <w:spacing w:val="-10"/>
          <w:sz w:val="24"/>
          <w:szCs w:val="24"/>
        </w:rPr>
        <w:t xml:space="preserve"> </w:t>
      </w:r>
      <w:r>
        <w:rPr>
          <w:rFonts w:ascii="Garamond" w:hAnsi="Garamond" w:cs="Garamond"/>
          <w:sz w:val="24"/>
          <w:szCs w:val="24"/>
        </w:rPr>
        <w:t>redesign</w:t>
      </w:r>
      <w:r>
        <w:rPr>
          <w:rFonts w:ascii="Garamond" w:hAnsi="Garamond" w:cs="Garamond"/>
          <w:spacing w:val="-10"/>
          <w:sz w:val="24"/>
          <w:szCs w:val="24"/>
        </w:rPr>
        <w:t xml:space="preserve"> </w:t>
      </w:r>
      <w:r>
        <w:rPr>
          <w:rFonts w:ascii="Garamond" w:hAnsi="Garamond" w:cs="Garamond"/>
          <w:sz w:val="24"/>
          <w:szCs w:val="24"/>
        </w:rPr>
        <w:t>must</w:t>
      </w:r>
      <w:r>
        <w:rPr>
          <w:rFonts w:ascii="Garamond" w:hAnsi="Garamond" w:cs="Garamond"/>
          <w:spacing w:val="-9"/>
          <w:sz w:val="24"/>
          <w:szCs w:val="24"/>
        </w:rPr>
        <w:t xml:space="preserve"> </w:t>
      </w:r>
      <w:r>
        <w:rPr>
          <w:rFonts w:ascii="Garamond" w:hAnsi="Garamond" w:cs="Garamond"/>
          <w:sz w:val="24"/>
          <w:szCs w:val="24"/>
        </w:rPr>
        <w:t>ensure</w:t>
      </w:r>
      <w:r>
        <w:rPr>
          <w:rFonts w:ascii="Garamond" w:hAnsi="Garamond" w:cs="Garamond"/>
          <w:spacing w:val="-9"/>
          <w:sz w:val="24"/>
          <w:szCs w:val="24"/>
        </w:rPr>
        <w:t xml:space="preserve"> </w:t>
      </w:r>
      <w:r>
        <w:rPr>
          <w:rFonts w:ascii="Garamond" w:hAnsi="Garamond" w:cs="Garamond"/>
          <w:sz w:val="24"/>
          <w:szCs w:val="24"/>
        </w:rPr>
        <w:t>that</w:t>
      </w:r>
      <w:r>
        <w:rPr>
          <w:rFonts w:ascii="Garamond" w:hAnsi="Garamond" w:cs="Garamond"/>
          <w:spacing w:val="-11"/>
          <w:sz w:val="24"/>
          <w:szCs w:val="24"/>
        </w:rPr>
        <w:t xml:space="preserve"> </w:t>
      </w:r>
      <w:r>
        <w:rPr>
          <w:rFonts w:ascii="Garamond" w:hAnsi="Garamond" w:cs="Garamond"/>
          <w:sz w:val="24"/>
          <w:szCs w:val="24"/>
        </w:rPr>
        <w:t>dental</w:t>
      </w:r>
      <w:r>
        <w:rPr>
          <w:rFonts w:ascii="Garamond" w:hAnsi="Garamond" w:cs="Garamond"/>
          <w:spacing w:val="-10"/>
          <w:sz w:val="24"/>
          <w:szCs w:val="24"/>
        </w:rPr>
        <w:t xml:space="preserve"> </w:t>
      </w:r>
      <w:r>
        <w:rPr>
          <w:rFonts w:ascii="Garamond" w:hAnsi="Garamond" w:cs="Garamond"/>
          <w:sz w:val="24"/>
          <w:szCs w:val="24"/>
        </w:rPr>
        <w:t>services</w:t>
      </w:r>
      <w:r>
        <w:rPr>
          <w:rFonts w:ascii="Garamond" w:hAnsi="Garamond" w:cs="Garamond"/>
          <w:spacing w:val="-11"/>
          <w:sz w:val="24"/>
          <w:szCs w:val="24"/>
        </w:rPr>
        <w:t xml:space="preserve"> </w:t>
      </w:r>
      <w:r>
        <w:rPr>
          <w:rFonts w:ascii="Garamond" w:hAnsi="Garamond" w:cs="Garamond"/>
          <w:sz w:val="24"/>
          <w:szCs w:val="24"/>
        </w:rPr>
        <w:t>will</w:t>
      </w:r>
      <w:r>
        <w:rPr>
          <w:rFonts w:ascii="Garamond" w:hAnsi="Garamond" w:cs="Garamond"/>
          <w:spacing w:val="-10"/>
          <w:sz w:val="24"/>
          <w:szCs w:val="24"/>
        </w:rPr>
        <w:t xml:space="preserve"> </w:t>
      </w:r>
      <w:r>
        <w:rPr>
          <w:rFonts w:ascii="Garamond" w:hAnsi="Garamond" w:cs="Garamond"/>
          <w:sz w:val="24"/>
          <w:szCs w:val="24"/>
        </w:rPr>
        <w:t>continue</w:t>
      </w:r>
      <w:r>
        <w:rPr>
          <w:rFonts w:ascii="Garamond" w:hAnsi="Garamond" w:cs="Garamond"/>
          <w:spacing w:val="-9"/>
          <w:sz w:val="24"/>
          <w:szCs w:val="24"/>
        </w:rPr>
        <w:t xml:space="preserve"> </w:t>
      </w:r>
      <w:r>
        <w:rPr>
          <w:rFonts w:ascii="Garamond" w:hAnsi="Garamond" w:cs="Garamond"/>
          <w:sz w:val="24"/>
          <w:szCs w:val="24"/>
        </w:rPr>
        <w:t>to</w:t>
      </w:r>
      <w:r>
        <w:rPr>
          <w:rFonts w:ascii="Garamond" w:hAnsi="Garamond" w:cs="Garamond"/>
          <w:spacing w:val="-10"/>
          <w:sz w:val="24"/>
          <w:szCs w:val="24"/>
        </w:rPr>
        <w:t xml:space="preserve"> </w:t>
      </w:r>
      <w:r>
        <w:rPr>
          <w:rFonts w:ascii="Garamond" w:hAnsi="Garamond" w:cs="Garamond"/>
          <w:spacing w:val="-3"/>
          <w:sz w:val="24"/>
          <w:szCs w:val="24"/>
        </w:rPr>
        <w:t xml:space="preserve">be </w:t>
      </w:r>
      <w:r>
        <w:rPr>
          <w:rFonts w:ascii="Garamond" w:hAnsi="Garamond" w:cs="Garamond"/>
          <w:sz w:val="24"/>
          <w:szCs w:val="24"/>
        </w:rPr>
        <w:t>covered.</w:t>
      </w:r>
    </w:p>
    <w:p w:rsidR="002C5025" w:rsidRDefault="002C5025">
      <w:pPr>
        <w:pStyle w:val="BodyText"/>
        <w:kinsoku w:val="0"/>
        <w:overflowPunct w:val="0"/>
        <w:spacing w:before="1"/>
        <w:rPr>
          <w:rFonts w:ascii="Garamond" w:hAnsi="Garamond" w:cs="Garamond"/>
          <w:sz w:val="26"/>
          <w:szCs w:val="26"/>
        </w:rPr>
      </w:pPr>
    </w:p>
    <w:p w:rsidR="002C5025" w:rsidRDefault="002C5025">
      <w:pPr>
        <w:pStyle w:val="BodyText"/>
        <w:kinsoku w:val="0"/>
        <w:overflowPunct w:val="0"/>
        <w:ind w:left="120" w:right="329"/>
        <w:rPr>
          <w:rFonts w:ascii="Garamond" w:hAnsi="Garamond" w:cs="Garamond"/>
          <w:b/>
          <w:bCs/>
          <w:i/>
          <w:iCs/>
          <w:w w:val="90"/>
          <w:sz w:val="26"/>
          <w:szCs w:val="26"/>
        </w:rPr>
      </w:pPr>
      <w:bookmarkStart w:id="244" w:name="Oral_Health_Quality_Metrics_can_help_tie"/>
      <w:bookmarkEnd w:id="244"/>
      <w:r>
        <w:rPr>
          <w:rFonts w:ascii="Garamond" w:hAnsi="Garamond" w:cs="Garamond"/>
          <w:b/>
          <w:bCs/>
          <w:i/>
          <w:iCs/>
          <w:w w:val="90"/>
          <w:sz w:val="26"/>
          <w:szCs w:val="26"/>
        </w:rPr>
        <w:t>Oral Health Quality Metrics can help tie oral health into overall health in ACOs</w:t>
      </w:r>
    </w:p>
    <w:p w:rsidR="002C5025" w:rsidRDefault="002C5025">
      <w:pPr>
        <w:pStyle w:val="BodyText"/>
        <w:kinsoku w:val="0"/>
        <w:overflowPunct w:val="0"/>
        <w:spacing w:before="152" w:line="276" w:lineRule="auto"/>
        <w:ind w:left="119" w:right="92"/>
        <w:rPr>
          <w:rFonts w:ascii="Garamond" w:hAnsi="Garamond" w:cs="Garamond"/>
          <w:sz w:val="24"/>
          <w:szCs w:val="24"/>
        </w:rPr>
      </w:pPr>
      <w:r>
        <w:rPr>
          <w:rFonts w:ascii="Garamond" w:hAnsi="Garamond" w:cs="Garamond"/>
          <w:sz w:val="24"/>
          <w:szCs w:val="24"/>
        </w:rPr>
        <w:t xml:space="preserve">We are pleased to see the inclusion of an oral health quality metric within the ACO prevention and wellness quality measure slate. We encourage MassHealth to establish this measure in accordance with national efforts to develop oral health quality metrics – e.g. the HEDIS dental measure and those from the American Dental Association’s Dental Quality Alliance – and also ensure that </w:t>
      </w:r>
      <w:r>
        <w:rPr>
          <w:rFonts w:ascii="Garamond" w:hAnsi="Garamond" w:cs="Garamond"/>
          <w:spacing w:val="-3"/>
          <w:sz w:val="24"/>
          <w:szCs w:val="24"/>
        </w:rPr>
        <w:t xml:space="preserve">the </w:t>
      </w:r>
      <w:r>
        <w:rPr>
          <w:rFonts w:ascii="Garamond" w:hAnsi="Garamond" w:cs="Garamond"/>
          <w:sz w:val="24"/>
          <w:szCs w:val="24"/>
        </w:rPr>
        <w:t>measure adequately captures the incentive for primary care providers to address oral health in a comprehensive manner. For example, the U.S. Preventive Services Task Force recommends that children from birth through age five years receive fluoride varnish application, a reimbursed procedure</w:t>
      </w:r>
      <w:r>
        <w:rPr>
          <w:rFonts w:ascii="Garamond" w:hAnsi="Garamond" w:cs="Garamond"/>
          <w:spacing w:val="-9"/>
          <w:sz w:val="24"/>
          <w:szCs w:val="24"/>
        </w:rPr>
        <w:t xml:space="preserve"> </w:t>
      </w:r>
      <w:r>
        <w:rPr>
          <w:rFonts w:ascii="Garamond" w:hAnsi="Garamond" w:cs="Garamond"/>
          <w:sz w:val="24"/>
          <w:szCs w:val="24"/>
        </w:rPr>
        <w:t>readily</w:t>
      </w:r>
      <w:r>
        <w:rPr>
          <w:rFonts w:ascii="Garamond" w:hAnsi="Garamond" w:cs="Garamond"/>
          <w:spacing w:val="-7"/>
          <w:sz w:val="24"/>
          <w:szCs w:val="24"/>
        </w:rPr>
        <w:t xml:space="preserve"> </w:t>
      </w:r>
      <w:r>
        <w:rPr>
          <w:rFonts w:ascii="Garamond" w:hAnsi="Garamond" w:cs="Garamond"/>
          <w:sz w:val="24"/>
          <w:szCs w:val="24"/>
        </w:rPr>
        <w:t>done</w:t>
      </w:r>
      <w:r>
        <w:rPr>
          <w:rFonts w:ascii="Garamond" w:hAnsi="Garamond" w:cs="Garamond"/>
          <w:spacing w:val="-10"/>
          <w:sz w:val="24"/>
          <w:szCs w:val="24"/>
        </w:rPr>
        <w:t xml:space="preserve"> </w:t>
      </w:r>
      <w:r>
        <w:rPr>
          <w:rFonts w:ascii="Garamond" w:hAnsi="Garamond" w:cs="Garamond"/>
          <w:sz w:val="24"/>
          <w:szCs w:val="24"/>
        </w:rPr>
        <w:t>in</w:t>
      </w:r>
      <w:r>
        <w:rPr>
          <w:rFonts w:ascii="Garamond" w:hAnsi="Garamond" w:cs="Garamond"/>
          <w:spacing w:val="-13"/>
          <w:sz w:val="24"/>
          <w:szCs w:val="24"/>
        </w:rPr>
        <w:t xml:space="preserve"> </w:t>
      </w:r>
      <w:r>
        <w:rPr>
          <w:rFonts w:ascii="Garamond" w:hAnsi="Garamond" w:cs="Garamond"/>
          <w:sz w:val="24"/>
          <w:szCs w:val="24"/>
        </w:rPr>
        <w:t>the</w:t>
      </w:r>
      <w:r>
        <w:rPr>
          <w:rFonts w:ascii="Garamond" w:hAnsi="Garamond" w:cs="Garamond"/>
          <w:spacing w:val="-9"/>
          <w:sz w:val="24"/>
          <w:szCs w:val="24"/>
        </w:rPr>
        <w:t xml:space="preserve"> </w:t>
      </w:r>
      <w:r>
        <w:rPr>
          <w:rFonts w:ascii="Garamond" w:hAnsi="Garamond" w:cs="Garamond"/>
          <w:sz w:val="24"/>
          <w:szCs w:val="24"/>
        </w:rPr>
        <w:t>primary</w:t>
      </w:r>
      <w:r>
        <w:rPr>
          <w:rFonts w:ascii="Garamond" w:hAnsi="Garamond" w:cs="Garamond"/>
          <w:spacing w:val="-7"/>
          <w:sz w:val="24"/>
          <w:szCs w:val="24"/>
        </w:rPr>
        <w:t xml:space="preserve"> </w:t>
      </w:r>
      <w:r>
        <w:rPr>
          <w:rFonts w:ascii="Garamond" w:hAnsi="Garamond" w:cs="Garamond"/>
          <w:sz w:val="24"/>
          <w:szCs w:val="24"/>
        </w:rPr>
        <w:t>care</w:t>
      </w:r>
      <w:r>
        <w:rPr>
          <w:rFonts w:ascii="Garamond" w:hAnsi="Garamond" w:cs="Garamond"/>
          <w:spacing w:val="-7"/>
          <w:sz w:val="24"/>
          <w:szCs w:val="24"/>
        </w:rPr>
        <w:t xml:space="preserve"> </w:t>
      </w:r>
      <w:r>
        <w:rPr>
          <w:rFonts w:ascii="Garamond" w:hAnsi="Garamond" w:cs="Garamond"/>
          <w:sz w:val="24"/>
          <w:szCs w:val="24"/>
        </w:rPr>
        <w:t>setting</w:t>
      </w:r>
      <w:r>
        <w:rPr>
          <w:rFonts w:ascii="Garamond" w:hAnsi="Garamond" w:cs="Garamond"/>
          <w:spacing w:val="-12"/>
          <w:sz w:val="24"/>
          <w:szCs w:val="24"/>
        </w:rPr>
        <w:t xml:space="preserve"> </w:t>
      </w:r>
      <w:r>
        <w:rPr>
          <w:rFonts w:ascii="Garamond" w:hAnsi="Garamond" w:cs="Garamond"/>
          <w:sz w:val="24"/>
          <w:szCs w:val="24"/>
        </w:rPr>
        <w:t>and</w:t>
      </w:r>
      <w:r>
        <w:rPr>
          <w:rFonts w:ascii="Garamond" w:hAnsi="Garamond" w:cs="Garamond"/>
          <w:spacing w:val="-8"/>
          <w:sz w:val="24"/>
          <w:szCs w:val="24"/>
        </w:rPr>
        <w:t xml:space="preserve"> </w:t>
      </w:r>
      <w:r>
        <w:rPr>
          <w:rFonts w:ascii="Garamond" w:hAnsi="Garamond" w:cs="Garamond"/>
          <w:sz w:val="24"/>
          <w:szCs w:val="24"/>
        </w:rPr>
        <w:t>one</w:t>
      </w:r>
      <w:r>
        <w:rPr>
          <w:rFonts w:ascii="Garamond" w:hAnsi="Garamond" w:cs="Garamond"/>
          <w:spacing w:val="-7"/>
          <w:sz w:val="24"/>
          <w:szCs w:val="24"/>
        </w:rPr>
        <w:t xml:space="preserve"> </w:t>
      </w:r>
      <w:r>
        <w:rPr>
          <w:rFonts w:ascii="Garamond" w:hAnsi="Garamond" w:cs="Garamond"/>
          <w:sz w:val="24"/>
          <w:szCs w:val="24"/>
        </w:rPr>
        <w:t>that</w:t>
      </w:r>
      <w:r>
        <w:rPr>
          <w:rFonts w:ascii="Garamond" w:hAnsi="Garamond" w:cs="Garamond"/>
          <w:spacing w:val="-11"/>
          <w:sz w:val="24"/>
          <w:szCs w:val="24"/>
        </w:rPr>
        <w:t xml:space="preserve"> </w:t>
      </w:r>
      <w:r>
        <w:rPr>
          <w:rFonts w:ascii="Garamond" w:hAnsi="Garamond" w:cs="Garamond"/>
          <w:sz w:val="24"/>
          <w:szCs w:val="24"/>
        </w:rPr>
        <w:t>is</w:t>
      </w:r>
      <w:r>
        <w:rPr>
          <w:rFonts w:ascii="Garamond" w:hAnsi="Garamond" w:cs="Garamond"/>
          <w:spacing w:val="-11"/>
          <w:sz w:val="24"/>
          <w:szCs w:val="24"/>
        </w:rPr>
        <w:t xml:space="preserve"> </w:t>
      </w:r>
      <w:r>
        <w:rPr>
          <w:rFonts w:ascii="Garamond" w:hAnsi="Garamond" w:cs="Garamond"/>
          <w:sz w:val="24"/>
          <w:szCs w:val="24"/>
        </w:rPr>
        <w:t>easily</w:t>
      </w:r>
      <w:r>
        <w:rPr>
          <w:rFonts w:ascii="Garamond" w:hAnsi="Garamond" w:cs="Garamond"/>
          <w:spacing w:val="-7"/>
          <w:sz w:val="24"/>
          <w:szCs w:val="24"/>
        </w:rPr>
        <w:t xml:space="preserve"> </w:t>
      </w:r>
      <w:r>
        <w:rPr>
          <w:rFonts w:ascii="Garamond" w:hAnsi="Garamond" w:cs="Garamond"/>
          <w:sz w:val="24"/>
          <w:szCs w:val="24"/>
        </w:rPr>
        <w:t>measured.</w:t>
      </w:r>
      <w:r>
        <w:rPr>
          <w:rFonts w:ascii="Garamond" w:hAnsi="Garamond" w:cs="Garamond"/>
          <w:spacing w:val="-10"/>
          <w:sz w:val="24"/>
          <w:szCs w:val="24"/>
        </w:rPr>
        <w:t xml:space="preserve"> </w:t>
      </w:r>
      <w:r>
        <w:rPr>
          <w:rFonts w:ascii="Garamond" w:hAnsi="Garamond" w:cs="Garamond"/>
          <w:sz w:val="24"/>
          <w:szCs w:val="24"/>
        </w:rPr>
        <w:t>Moreover,</w:t>
      </w:r>
      <w:r>
        <w:rPr>
          <w:rFonts w:ascii="Garamond" w:hAnsi="Garamond" w:cs="Garamond"/>
          <w:spacing w:val="-10"/>
          <w:sz w:val="24"/>
          <w:szCs w:val="24"/>
        </w:rPr>
        <w:t xml:space="preserve"> </w:t>
      </w:r>
      <w:r>
        <w:rPr>
          <w:rFonts w:ascii="Garamond" w:hAnsi="Garamond" w:cs="Garamond"/>
          <w:sz w:val="24"/>
          <w:szCs w:val="24"/>
        </w:rPr>
        <w:t>we</w:t>
      </w:r>
      <w:r>
        <w:rPr>
          <w:rFonts w:ascii="Garamond" w:hAnsi="Garamond" w:cs="Garamond"/>
          <w:spacing w:val="-7"/>
          <w:sz w:val="24"/>
          <w:szCs w:val="24"/>
        </w:rPr>
        <w:t xml:space="preserve"> </w:t>
      </w:r>
      <w:r>
        <w:rPr>
          <w:rFonts w:ascii="Garamond" w:hAnsi="Garamond" w:cs="Garamond"/>
          <w:sz w:val="24"/>
          <w:szCs w:val="24"/>
        </w:rPr>
        <w:t>see the</w:t>
      </w:r>
      <w:r>
        <w:rPr>
          <w:rFonts w:ascii="Garamond" w:hAnsi="Garamond" w:cs="Garamond"/>
          <w:spacing w:val="-12"/>
          <w:sz w:val="24"/>
          <w:szCs w:val="24"/>
        </w:rPr>
        <w:t xml:space="preserve"> </w:t>
      </w:r>
      <w:r>
        <w:rPr>
          <w:rFonts w:ascii="Garamond" w:hAnsi="Garamond" w:cs="Garamond"/>
          <w:sz w:val="24"/>
          <w:szCs w:val="24"/>
        </w:rPr>
        <w:t>proposed</w:t>
      </w:r>
      <w:r>
        <w:rPr>
          <w:rFonts w:ascii="Garamond" w:hAnsi="Garamond" w:cs="Garamond"/>
          <w:spacing w:val="-13"/>
          <w:sz w:val="24"/>
          <w:szCs w:val="24"/>
        </w:rPr>
        <w:t xml:space="preserve"> </w:t>
      </w:r>
      <w:r>
        <w:rPr>
          <w:rFonts w:ascii="Garamond" w:hAnsi="Garamond" w:cs="Garamond"/>
          <w:sz w:val="24"/>
          <w:szCs w:val="24"/>
        </w:rPr>
        <w:t>metrics</w:t>
      </w:r>
      <w:r>
        <w:rPr>
          <w:rFonts w:ascii="Garamond" w:hAnsi="Garamond" w:cs="Garamond"/>
          <w:spacing w:val="-16"/>
          <w:sz w:val="24"/>
          <w:szCs w:val="24"/>
        </w:rPr>
        <w:t xml:space="preserve"> </w:t>
      </w:r>
      <w:r>
        <w:rPr>
          <w:rFonts w:ascii="Garamond" w:hAnsi="Garamond" w:cs="Garamond"/>
          <w:sz w:val="24"/>
          <w:szCs w:val="24"/>
        </w:rPr>
        <w:t>on</w:t>
      </w:r>
      <w:r>
        <w:rPr>
          <w:rFonts w:ascii="Garamond" w:hAnsi="Garamond" w:cs="Garamond"/>
          <w:spacing w:val="-13"/>
          <w:sz w:val="24"/>
          <w:szCs w:val="24"/>
        </w:rPr>
        <w:t xml:space="preserve"> </w:t>
      </w:r>
      <w:r>
        <w:rPr>
          <w:rFonts w:ascii="Garamond" w:hAnsi="Garamond" w:cs="Garamond"/>
          <w:sz w:val="24"/>
          <w:szCs w:val="24"/>
        </w:rPr>
        <w:t>avoidable</w:t>
      </w:r>
      <w:r>
        <w:rPr>
          <w:rFonts w:ascii="Garamond" w:hAnsi="Garamond" w:cs="Garamond"/>
          <w:spacing w:val="-12"/>
          <w:sz w:val="24"/>
          <w:szCs w:val="24"/>
        </w:rPr>
        <w:t xml:space="preserve"> </w:t>
      </w:r>
      <w:r>
        <w:rPr>
          <w:rFonts w:ascii="Garamond" w:hAnsi="Garamond" w:cs="Garamond"/>
          <w:sz w:val="24"/>
          <w:szCs w:val="24"/>
        </w:rPr>
        <w:t>utilization</w:t>
      </w:r>
      <w:r>
        <w:rPr>
          <w:rFonts w:ascii="Garamond" w:hAnsi="Garamond" w:cs="Garamond"/>
          <w:spacing w:val="-13"/>
          <w:sz w:val="24"/>
          <w:szCs w:val="24"/>
        </w:rPr>
        <w:t xml:space="preserve"> </w:t>
      </w:r>
      <w:r>
        <w:rPr>
          <w:rFonts w:ascii="Garamond" w:hAnsi="Garamond" w:cs="Garamond"/>
          <w:sz w:val="24"/>
          <w:szCs w:val="24"/>
        </w:rPr>
        <w:t>as</w:t>
      </w:r>
      <w:r>
        <w:rPr>
          <w:rFonts w:ascii="Garamond" w:hAnsi="Garamond" w:cs="Garamond"/>
          <w:spacing w:val="-16"/>
          <w:sz w:val="24"/>
          <w:szCs w:val="24"/>
        </w:rPr>
        <w:t xml:space="preserve"> </w:t>
      </w:r>
      <w:r>
        <w:rPr>
          <w:rFonts w:ascii="Garamond" w:hAnsi="Garamond" w:cs="Garamond"/>
          <w:sz w:val="24"/>
          <w:szCs w:val="24"/>
        </w:rPr>
        <w:t>another</w:t>
      </w:r>
      <w:r>
        <w:rPr>
          <w:rFonts w:ascii="Garamond" w:hAnsi="Garamond" w:cs="Garamond"/>
          <w:spacing w:val="-14"/>
          <w:sz w:val="24"/>
          <w:szCs w:val="24"/>
        </w:rPr>
        <w:t xml:space="preserve"> </w:t>
      </w:r>
      <w:r>
        <w:rPr>
          <w:rFonts w:ascii="Garamond" w:hAnsi="Garamond" w:cs="Garamond"/>
          <w:sz w:val="24"/>
          <w:szCs w:val="24"/>
        </w:rPr>
        <w:t>important</w:t>
      </w:r>
      <w:r>
        <w:rPr>
          <w:rFonts w:ascii="Garamond" w:hAnsi="Garamond" w:cs="Garamond"/>
          <w:spacing w:val="-14"/>
          <w:sz w:val="24"/>
          <w:szCs w:val="24"/>
        </w:rPr>
        <w:t xml:space="preserve"> </w:t>
      </w:r>
      <w:r>
        <w:rPr>
          <w:rFonts w:ascii="Garamond" w:hAnsi="Garamond" w:cs="Garamond"/>
          <w:sz w:val="24"/>
          <w:szCs w:val="24"/>
        </w:rPr>
        <w:t>opportunity</w:t>
      </w:r>
      <w:r>
        <w:rPr>
          <w:rFonts w:ascii="Garamond" w:hAnsi="Garamond" w:cs="Garamond"/>
          <w:spacing w:val="-12"/>
          <w:sz w:val="24"/>
          <w:szCs w:val="24"/>
        </w:rPr>
        <w:t xml:space="preserve"> </w:t>
      </w:r>
      <w:r>
        <w:rPr>
          <w:rFonts w:ascii="Garamond" w:hAnsi="Garamond" w:cs="Garamond"/>
          <w:sz w:val="24"/>
          <w:szCs w:val="24"/>
        </w:rPr>
        <w:t>to</w:t>
      </w:r>
      <w:r>
        <w:rPr>
          <w:rFonts w:ascii="Garamond" w:hAnsi="Garamond" w:cs="Garamond"/>
          <w:spacing w:val="-13"/>
          <w:sz w:val="24"/>
          <w:szCs w:val="24"/>
        </w:rPr>
        <w:t xml:space="preserve"> </w:t>
      </w:r>
      <w:r>
        <w:rPr>
          <w:rFonts w:ascii="Garamond" w:hAnsi="Garamond" w:cs="Garamond"/>
          <w:sz w:val="24"/>
          <w:szCs w:val="24"/>
        </w:rPr>
        <w:t>evaluate</w:t>
      </w:r>
      <w:r>
        <w:rPr>
          <w:rFonts w:ascii="Garamond" w:hAnsi="Garamond" w:cs="Garamond"/>
          <w:spacing w:val="-12"/>
          <w:sz w:val="24"/>
          <w:szCs w:val="24"/>
        </w:rPr>
        <w:t xml:space="preserve"> </w:t>
      </w:r>
      <w:r>
        <w:rPr>
          <w:rFonts w:ascii="Garamond" w:hAnsi="Garamond" w:cs="Garamond"/>
          <w:sz w:val="24"/>
          <w:szCs w:val="24"/>
        </w:rPr>
        <w:t>progress in oral health prevention in both primary care and dental settings, and ask that the final metric on potentially preventable admissions captures not only admissions but also preventable ED usage for oral</w:t>
      </w:r>
      <w:r>
        <w:rPr>
          <w:rFonts w:ascii="Garamond" w:hAnsi="Garamond" w:cs="Garamond"/>
          <w:spacing w:val="-20"/>
          <w:sz w:val="24"/>
          <w:szCs w:val="24"/>
        </w:rPr>
        <w:t xml:space="preserve"> </w:t>
      </w:r>
      <w:r>
        <w:rPr>
          <w:rFonts w:ascii="Garamond" w:hAnsi="Garamond" w:cs="Garamond"/>
          <w:sz w:val="24"/>
          <w:szCs w:val="24"/>
        </w:rPr>
        <w:t>health.</w:t>
      </w:r>
    </w:p>
    <w:p w:rsidR="002C5025" w:rsidRDefault="002C5025">
      <w:pPr>
        <w:pStyle w:val="BodyText"/>
        <w:kinsoku w:val="0"/>
        <w:overflowPunct w:val="0"/>
        <w:spacing w:before="7"/>
        <w:rPr>
          <w:rFonts w:ascii="Garamond" w:hAnsi="Garamond" w:cs="Garamond"/>
          <w:sz w:val="27"/>
          <w:szCs w:val="27"/>
        </w:rPr>
      </w:pPr>
    </w:p>
    <w:p w:rsidR="002C5025" w:rsidRDefault="002C5025">
      <w:pPr>
        <w:pStyle w:val="BodyText"/>
        <w:kinsoku w:val="0"/>
        <w:overflowPunct w:val="0"/>
        <w:spacing w:line="276" w:lineRule="auto"/>
        <w:ind w:left="119" w:right="196"/>
        <w:rPr>
          <w:rFonts w:ascii="Garamond" w:hAnsi="Garamond" w:cs="Garamond"/>
          <w:sz w:val="24"/>
          <w:szCs w:val="24"/>
        </w:rPr>
      </w:pPr>
      <w:r>
        <w:rPr>
          <w:rFonts w:ascii="Garamond" w:hAnsi="Garamond" w:cs="Garamond"/>
          <w:sz w:val="24"/>
          <w:szCs w:val="24"/>
        </w:rPr>
        <w:t>As dental services are phased in to ACOs, we ask that MassHealth expand oral health quality measures to include metrics evaluating dental provider quality and access to care. These metrics should</w:t>
      </w:r>
      <w:r>
        <w:rPr>
          <w:rFonts w:ascii="Garamond" w:hAnsi="Garamond" w:cs="Garamond"/>
          <w:spacing w:val="-16"/>
          <w:sz w:val="24"/>
          <w:szCs w:val="24"/>
        </w:rPr>
        <w:t xml:space="preserve"> </w:t>
      </w:r>
      <w:r>
        <w:rPr>
          <w:rFonts w:ascii="Garamond" w:hAnsi="Garamond" w:cs="Garamond"/>
          <w:sz w:val="24"/>
          <w:szCs w:val="24"/>
        </w:rPr>
        <w:t>capture</w:t>
      </w:r>
      <w:r>
        <w:rPr>
          <w:rFonts w:ascii="Garamond" w:hAnsi="Garamond" w:cs="Garamond"/>
          <w:spacing w:val="-11"/>
          <w:sz w:val="24"/>
          <w:szCs w:val="24"/>
        </w:rPr>
        <w:t xml:space="preserve"> </w:t>
      </w:r>
      <w:r>
        <w:rPr>
          <w:rFonts w:ascii="Garamond" w:hAnsi="Garamond" w:cs="Garamond"/>
          <w:sz w:val="24"/>
          <w:szCs w:val="24"/>
        </w:rPr>
        <w:t>the</w:t>
      </w:r>
      <w:r>
        <w:rPr>
          <w:rFonts w:ascii="Garamond" w:hAnsi="Garamond" w:cs="Garamond"/>
          <w:spacing w:val="-12"/>
          <w:sz w:val="24"/>
          <w:szCs w:val="24"/>
        </w:rPr>
        <w:t xml:space="preserve"> </w:t>
      </w:r>
      <w:r>
        <w:rPr>
          <w:rFonts w:ascii="Garamond" w:hAnsi="Garamond" w:cs="Garamond"/>
          <w:sz w:val="24"/>
          <w:szCs w:val="24"/>
        </w:rPr>
        <w:t>needed</w:t>
      </w:r>
      <w:r>
        <w:rPr>
          <w:rFonts w:ascii="Garamond" w:hAnsi="Garamond" w:cs="Garamond"/>
          <w:spacing w:val="-18"/>
          <w:sz w:val="24"/>
          <w:szCs w:val="24"/>
        </w:rPr>
        <w:t xml:space="preserve"> </w:t>
      </w:r>
      <w:r>
        <w:rPr>
          <w:rFonts w:ascii="Garamond" w:hAnsi="Garamond" w:cs="Garamond"/>
          <w:sz w:val="24"/>
          <w:szCs w:val="24"/>
        </w:rPr>
        <w:t>shift</w:t>
      </w:r>
      <w:r>
        <w:rPr>
          <w:rFonts w:ascii="Garamond" w:hAnsi="Garamond" w:cs="Garamond"/>
          <w:spacing w:val="-16"/>
          <w:sz w:val="24"/>
          <w:szCs w:val="24"/>
        </w:rPr>
        <w:t xml:space="preserve"> </w:t>
      </w:r>
      <w:r>
        <w:rPr>
          <w:rFonts w:ascii="Garamond" w:hAnsi="Garamond" w:cs="Garamond"/>
          <w:sz w:val="24"/>
          <w:szCs w:val="24"/>
        </w:rPr>
        <w:t>toward</w:t>
      </w:r>
      <w:r>
        <w:rPr>
          <w:rFonts w:ascii="Garamond" w:hAnsi="Garamond" w:cs="Garamond"/>
          <w:spacing w:val="-13"/>
          <w:sz w:val="24"/>
          <w:szCs w:val="24"/>
        </w:rPr>
        <w:t xml:space="preserve"> </w:t>
      </w:r>
      <w:r>
        <w:rPr>
          <w:rFonts w:ascii="Garamond" w:hAnsi="Garamond" w:cs="Garamond"/>
          <w:sz w:val="24"/>
          <w:szCs w:val="24"/>
        </w:rPr>
        <w:t>prevention</w:t>
      </w:r>
      <w:r>
        <w:rPr>
          <w:rFonts w:ascii="Garamond" w:hAnsi="Garamond" w:cs="Garamond"/>
          <w:spacing w:val="-16"/>
          <w:sz w:val="24"/>
          <w:szCs w:val="24"/>
        </w:rPr>
        <w:t xml:space="preserve"> </w:t>
      </w:r>
      <w:r>
        <w:rPr>
          <w:rFonts w:ascii="Garamond" w:hAnsi="Garamond" w:cs="Garamond"/>
          <w:sz w:val="24"/>
          <w:szCs w:val="24"/>
        </w:rPr>
        <w:t>and</w:t>
      </w:r>
      <w:r>
        <w:rPr>
          <w:rFonts w:ascii="Garamond" w:hAnsi="Garamond" w:cs="Garamond"/>
          <w:spacing w:val="-13"/>
          <w:sz w:val="24"/>
          <w:szCs w:val="24"/>
        </w:rPr>
        <w:t xml:space="preserve"> </w:t>
      </w:r>
      <w:r>
        <w:rPr>
          <w:rFonts w:ascii="Garamond" w:hAnsi="Garamond" w:cs="Garamond"/>
          <w:sz w:val="24"/>
          <w:szCs w:val="24"/>
        </w:rPr>
        <w:t>risk-based</w:t>
      </w:r>
      <w:r>
        <w:rPr>
          <w:rFonts w:ascii="Garamond" w:hAnsi="Garamond" w:cs="Garamond"/>
          <w:spacing w:val="-16"/>
          <w:sz w:val="24"/>
          <w:szCs w:val="24"/>
        </w:rPr>
        <w:t xml:space="preserve"> </w:t>
      </w:r>
      <w:r>
        <w:rPr>
          <w:rFonts w:ascii="Garamond" w:hAnsi="Garamond" w:cs="Garamond"/>
          <w:sz w:val="24"/>
          <w:szCs w:val="24"/>
        </w:rPr>
        <w:t>chronic</w:t>
      </w:r>
      <w:r>
        <w:rPr>
          <w:rFonts w:ascii="Garamond" w:hAnsi="Garamond" w:cs="Garamond"/>
          <w:spacing w:val="-15"/>
          <w:sz w:val="24"/>
          <w:szCs w:val="24"/>
        </w:rPr>
        <w:t xml:space="preserve"> </w:t>
      </w:r>
      <w:r>
        <w:rPr>
          <w:rFonts w:ascii="Garamond" w:hAnsi="Garamond" w:cs="Garamond"/>
          <w:sz w:val="24"/>
          <w:szCs w:val="24"/>
        </w:rPr>
        <w:t>oral</w:t>
      </w:r>
      <w:r>
        <w:rPr>
          <w:rFonts w:ascii="Garamond" w:hAnsi="Garamond" w:cs="Garamond"/>
          <w:spacing w:val="-15"/>
          <w:sz w:val="24"/>
          <w:szCs w:val="24"/>
        </w:rPr>
        <w:t xml:space="preserve"> </w:t>
      </w:r>
      <w:r>
        <w:rPr>
          <w:rFonts w:ascii="Garamond" w:hAnsi="Garamond" w:cs="Garamond"/>
          <w:sz w:val="24"/>
          <w:szCs w:val="24"/>
        </w:rPr>
        <w:t>disease</w:t>
      </w:r>
      <w:r>
        <w:rPr>
          <w:rFonts w:ascii="Garamond" w:hAnsi="Garamond" w:cs="Garamond"/>
          <w:spacing w:val="-12"/>
          <w:sz w:val="24"/>
          <w:szCs w:val="24"/>
        </w:rPr>
        <w:t xml:space="preserve"> </w:t>
      </w:r>
      <w:r>
        <w:rPr>
          <w:rFonts w:ascii="Garamond" w:hAnsi="Garamond" w:cs="Garamond"/>
          <w:sz w:val="24"/>
          <w:szCs w:val="24"/>
        </w:rPr>
        <w:t>management in care delivery – which may be facilitated by eventual use of dental diagnostic codes – as well as patient experience and outcomes in dental settings. As an essential part of value-based care, oral health-related</w:t>
      </w:r>
      <w:r>
        <w:rPr>
          <w:rFonts w:ascii="Garamond" w:hAnsi="Garamond" w:cs="Garamond"/>
          <w:spacing w:val="-13"/>
          <w:sz w:val="24"/>
          <w:szCs w:val="24"/>
        </w:rPr>
        <w:t xml:space="preserve"> </w:t>
      </w:r>
      <w:r>
        <w:rPr>
          <w:rFonts w:ascii="Garamond" w:hAnsi="Garamond" w:cs="Garamond"/>
          <w:sz w:val="24"/>
          <w:szCs w:val="24"/>
        </w:rPr>
        <w:t>measures</w:t>
      </w:r>
      <w:r>
        <w:rPr>
          <w:rFonts w:ascii="Garamond" w:hAnsi="Garamond" w:cs="Garamond"/>
          <w:spacing w:val="-14"/>
          <w:sz w:val="24"/>
          <w:szCs w:val="24"/>
        </w:rPr>
        <w:t xml:space="preserve"> </w:t>
      </w:r>
      <w:r>
        <w:rPr>
          <w:rFonts w:ascii="Garamond" w:hAnsi="Garamond" w:cs="Garamond"/>
          <w:sz w:val="24"/>
          <w:szCs w:val="24"/>
        </w:rPr>
        <w:t>need</w:t>
      </w:r>
      <w:r>
        <w:rPr>
          <w:rFonts w:ascii="Garamond" w:hAnsi="Garamond" w:cs="Garamond"/>
          <w:spacing w:val="-13"/>
          <w:sz w:val="24"/>
          <w:szCs w:val="24"/>
        </w:rPr>
        <w:t xml:space="preserve"> </w:t>
      </w:r>
      <w:r>
        <w:rPr>
          <w:rFonts w:ascii="Garamond" w:hAnsi="Garamond" w:cs="Garamond"/>
          <w:sz w:val="24"/>
          <w:szCs w:val="24"/>
        </w:rPr>
        <w:t>to</w:t>
      </w:r>
      <w:r>
        <w:rPr>
          <w:rFonts w:ascii="Garamond" w:hAnsi="Garamond" w:cs="Garamond"/>
          <w:spacing w:val="-13"/>
          <w:sz w:val="24"/>
          <w:szCs w:val="24"/>
        </w:rPr>
        <w:t xml:space="preserve"> </w:t>
      </w:r>
      <w:r>
        <w:rPr>
          <w:rFonts w:ascii="Garamond" w:hAnsi="Garamond" w:cs="Garamond"/>
          <w:sz w:val="24"/>
          <w:szCs w:val="24"/>
        </w:rPr>
        <w:t>be</w:t>
      </w:r>
      <w:r>
        <w:rPr>
          <w:rFonts w:ascii="Garamond" w:hAnsi="Garamond" w:cs="Garamond"/>
          <w:spacing w:val="-12"/>
          <w:sz w:val="24"/>
          <w:szCs w:val="24"/>
        </w:rPr>
        <w:t xml:space="preserve"> </w:t>
      </w:r>
      <w:r>
        <w:rPr>
          <w:rFonts w:ascii="Garamond" w:hAnsi="Garamond" w:cs="Garamond"/>
          <w:sz w:val="24"/>
          <w:szCs w:val="24"/>
        </w:rPr>
        <w:t>tied</w:t>
      </w:r>
      <w:r>
        <w:rPr>
          <w:rFonts w:ascii="Garamond" w:hAnsi="Garamond" w:cs="Garamond"/>
          <w:spacing w:val="-13"/>
          <w:sz w:val="24"/>
          <w:szCs w:val="24"/>
        </w:rPr>
        <w:t xml:space="preserve"> </w:t>
      </w:r>
      <w:r>
        <w:rPr>
          <w:rFonts w:ascii="Garamond" w:hAnsi="Garamond" w:cs="Garamond"/>
          <w:sz w:val="24"/>
          <w:szCs w:val="24"/>
        </w:rPr>
        <w:t>eventually</w:t>
      </w:r>
      <w:r>
        <w:rPr>
          <w:rFonts w:ascii="Garamond" w:hAnsi="Garamond" w:cs="Garamond"/>
          <w:spacing w:val="-12"/>
          <w:sz w:val="24"/>
          <w:szCs w:val="24"/>
        </w:rPr>
        <w:t xml:space="preserve"> </w:t>
      </w:r>
      <w:r>
        <w:rPr>
          <w:rFonts w:ascii="Garamond" w:hAnsi="Garamond" w:cs="Garamond"/>
          <w:sz w:val="24"/>
          <w:szCs w:val="24"/>
        </w:rPr>
        <w:t>to</w:t>
      </w:r>
      <w:r>
        <w:rPr>
          <w:rFonts w:ascii="Garamond" w:hAnsi="Garamond" w:cs="Garamond"/>
          <w:spacing w:val="-15"/>
          <w:sz w:val="24"/>
          <w:szCs w:val="24"/>
        </w:rPr>
        <w:t xml:space="preserve"> </w:t>
      </w:r>
      <w:r>
        <w:rPr>
          <w:rFonts w:ascii="Garamond" w:hAnsi="Garamond" w:cs="Garamond"/>
          <w:sz w:val="24"/>
          <w:szCs w:val="24"/>
        </w:rPr>
        <w:t>shared</w:t>
      </w:r>
      <w:r>
        <w:rPr>
          <w:rFonts w:ascii="Garamond" w:hAnsi="Garamond" w:cs="Garamond"/>
          <w:spacing w:val="-13"/>
          <w:sz w:val="24"/>
          <w:szCs w:val="24"/>
        </w:rPr>
        <w:t xml:space="preserve"> </w:t>
      </w:r>
      <w:r>
        <w:rPr>
          <w:rFonts w:ascii="Garamond" w:hAnsi="Garamond" w:cs="Garamond"/>
          <w:sz w:val="24"/>
          <w:szCs w:val="24"/>
        </w:rPr>
        <w:t>risk</w:t>
      </w:r>
      <w:r>
        <w:rPr>
          <w:rFonts w:ascii="Garamond" w:hAnsi="Garamond" w:cs="Garamond"/>
          <w:spacing w:val="-15"/>
          <w:sz w:val="24"/>
          <w:szCs w:val="24"/>
        </w:rPr>
        <w:t xml:space="preserve"> </w:t>
      </w:r>
      <w:r>
        <w:rPr>
          <w:rFonts w:ascii="Garamond" w:hAnsi="Garamond" w:cs="Garamond"/>
          <w:sz w:val="24"/>
          <w:szCs w:val="24"/>
        </w:rPr>
        <w:t>and</w:t>
      </w:r>
      <w:r>
        <w:rPr>
          <w:rFonts w:ascii="Garamond" w:hAnsi="Garamond" w:cs="Garamond"/>
          <w:spacing w:val="-13"/>
          <w:sz w:val="24"/>
          <w:szCs w:val="24"/>
        </w:rPr>
        <w:t xml:space="preserve"> </w:t>
      </w:r>
      <w:r>
        <w:rPr>
          <w:rFonts w:ascii="Garamond" w:hAnsi="Garamond" w:cs="Garamond"/>
          <w:sz w:val="24"/>
          <w:szCs w:val="24"/>
        </w:rPr>
        <w:t>savings.</w:t>
      </w:r>
    </w:p>
    <w:p w:rsidR="002C5025" w:rsidRDefault="002C5025">
      <w:pPr>
        <w:pStyle w:val="BodyText"/>
        <w:kinsoku w:val="0"/>
        <w:overflowPunct w:val="0"/>
        <w:spacing w:before="7"/>
        <w:rPr>
          <w:rFonts w:ascii="Garamond" w:hAnsi="Garamond" w:cs="Garamond"/>
          <w:sz w:val="27"/>
          <w:szCs w:val="27"/>
        </w:rPr>
      </w:pPr>
    </w:p>
    <w:p w:rsidR="002C5025" w:rsidRDefault="002C5025">
      <w:pPr>
        <w:pStyle w:val="BodyText"/>
        <w:kinsoku w:val="0"/>
        <w:overflowPunct w:val="0"/>
        <w:spacing w:line="276" w:lineRule="auto"/>
        <w:ind w:left="119" w:right="135"/>
        <w:rPr>
          <w:rFonts w:ascii="Garamond" w:hAnsi="Garamond" w:cs="Garamond"/>
          <w:sz w:val="24"/>
          <w:szCs w:val="24"/>
        </w:rPr>
      </w:pPr>
      <w:r>
        <w:rPr>
          <w:rFonts w:ascii="Garamond" w:hAnsi="Garamond" w:cs="Garamond"/>
          <w:sz w:val="24"/>
          <w:szCs w:val="24"/>
        </w:rPr>
        <w:t>MassHealth should ensure that oral health metric development involve oral health providers and receives substantial input from the oral health and medical provider communities, including those practicing</w:t>
      </w:r>
      <w:r>
        <w:rPr>
          <w:rFonts w:ascii="Garamond" w:hAnsi="Garamond" w:cs="Garamond"/>
          <w:spacing w:val="-12"/>
          <w:sz w:val="24"/>
          <w:szCs w:val="24"/>
        </w:rPr>
        <w:t xml:space="preserve"> </w:t>
      </w:r>
      <w:r>
        <w:rPr>
          <w:rFonts w:ascii="Garamond" w:hAnsi="Garamond" w:cs="Garamond"/>
          <w:sz w:val="24"/>
          <w:szCs w:val="24"/>
        </w:rPr>
        <w:t>in</w:t>
      </w:r>
      <w:r>
        <w:rPr>
          <w:rFonts w:ascii="Garamond" w:hAnsi="Garamond" w:cs="Garamond"/>
          <w:spacing w:val="-15"/>
          <w:sz w:val="24"/>
          <w:szCs w:val="24"/>
        </w:rPr>
        <w:t xml:space="preserve"> </w:t>
      </w:r>
      <w:r>
        <w:rPr>
          <w:rFonts w:ascii="Garamond" w:hAnsi="Garamond" w:cs="Garamond"/>
          <w:sz w:val="24"/>
          <w:szCs w:val="24"/>
        </w:rPr>
        <w:t>diverse</w:t>
      </w:r>
      <w:r>
        <w:rPr>
          <w:rFonts w:ascii="Garamond" w:hAnsi="Garamond" w:cs="Garamond"/>
          <w:spacing w:val="-14"/>
          <w:sz w:val="24"/>
          <w:szCs w:val="24"/>
        </w:rPr>
        <w:t xml:space="preserve"> </w:t>
      </w:r>
      <w:r>
        <w:rPr>
          <w:rFonts w:ascii="Garamond" w:hAnsi="Garamond" w:cs="Garamond"/>
          <w:sz w:val="24"/>
          <w:szCs w:val="24"/>
        </w:rPr>
        <w:t>settings</w:t>
      </w:r>
      <w:r>
        <w:rPr>
          <w:rFonts w:ascii="Garamond" w:hAnsi="Garamond" w:cs="Garamond"/>
          <w:spacing w:val="-16"/>
          <w:sz w:val="24"/>
          <w:szCs w:val="24"/>
        </w:rPr>
        <w:t xml:space="preserve"> </w:t>
      </w:r>
      <w:r>
        <w:rPr>
          <w:rFonts w:ascii="Garamond" w:hAnsi="Garamond" w:cs="Garamond"/>
          <w:sz w:val="24"/>
          <w:szCs w:val="24"/>
        </w:rPr>
        <w:t>serving</w:t>
      </w:r>
      <w:r>
        <w:rPr>
          <w:rFonts w:ascii="Garamond" w:hAnsi="Garamond" w:cs="Garamond"/>
          <w:spacing w:val="-15"/>
          <w:sz w:val="24"/>
          <w:szCs w:val="24"/>
        </w:rPr>
        <w:t xml:space="preserve"> </w:t>
      </w:r>
      <w:r>
        <w:rPr>
          <w:rFonts w:ascii="Garamond" w:hAnsi="Garamond" w:cs="Garamond"/>
          <w:sz w:val="24"/>
          <w:szCs w:val="24"/>
        </w:rPr>
        <w:t>various</w:t>
      </w:r>
      <w:r>
        <w:rPr>
          <w:rFonts w:ascii="Garamond" w:hAnsi="Garamond" w:cs="Garamond"/>
          <w:spacing w:val="-16"/>
          <w:sz w:val="24"/>
          <w:szCs w:val="24"/>
        </w:rPr>
        <w:t xml:space="preserve"> </w:t>
      </w:r>
      <w:r>
        <w:rPr>
          <w:rFonts w:ascii="Garamond" w:hAnsi="Garamond" w:cs="Garamond"/>
          <w:sz w:val="24"/>
          <w:szCs w:val="24"/>
        </w:rPr>
        <w:t>populations.</w:t>
      </w:r>
      <w:r>
        <w:rPr>
          <w:rFonts w:ascii="Garamond" w:hAnsi="Garamond" w:cs="Garamond"/>
          <w:spacing w:val="-15"/>
          <w:sz w:val="24"/>
          <w:szCs w:val="24"/>
        </w:rPr>
        <w:t xml:space="preserve"> </w:t>
      </w:r>
      <w:r>
        <w:rPr>
          <w:rFonts w:ascii="Garamond" w:hAnsi="Garamond" w:cs="Garamond"/>
          <w:sz w:val="24"/>
          <w:szCs w:val="24"/>
        </w:rPr>
        <w:t>Measures</w:t>
      </w:r>
      <w:r>
        <w:rPr>
          <w:rFonts w:ascii="Garamond" w:hAnsi="Garamond" w:cs="Garamond"/>
          <w:spacing w:val="-18"/>
          <w:sz w:val="24"/>
          <w:szCs w:val="24"/>
        </w:rPr>
        <w:t xml:space="preserve"> </w:t>
      </w:r>
      <w:r>
        <w:rPr>
          <w:rFonts w:ascii="Garamond" w:hAnsi="Garamond" w:cs="Garamond"/>
          <w:sz w:val="24"/>
          <w:szCs w:val="24"/>
        </w:rPr>
        <w:t>established</w:t>
      </w:r>
      <w:r>
        <w:rPr>
          <w:rFonts w:ascii="Garamond" w:hAnsi="Garamond" w:cs="Garamond"/>
          <w:spacing w:val="-15"/>
          <w:sz w:val="24"/>
          <w:szCs w:val="24"/>
        </w:rPr>
        <w:t xml:space="preserve"> </w:t>
      </w:r>
      <w:r>
        <w:rPr>
          <w:rFonts w:ascii="Garamond" w:hAnsi="Garamond" w:cs="Garamond"/>
          <w:sz w:val="24"/>
          <w:szCs w:val="24"/>
        </w:rPr>
        <w:t>should</w:t>
      </w:r>
      <w:r>
        <w:rPr>
          <w:rFonts w:ascii="Garamond" w:hAnsi="Garamond" w:cs="Garamond"/>
          <w:spacing w:val="-17"/>
          <w:sz w:val="24"/>
          <w:szCs w:val="24"/>
        </w:rPr>
        <w:t xml:space="preserve"> </w:t>
      </w:r>
      <w:r>
        <w:rPr>
          <w:rFonts w:ascii="Garamond" w:hAnsi="Garamond" w:cs="Garamond"/>
          <w:sz w:val="24"/>
          <w:szCs w:val="24"/>
        </w:rPr>
        <w:t>also</w:t>
      </w:r>
      <w:r>
        <w:rPr>
          <w:rFonts w:ascii="Garamond" w:hAnsi="Garamond" w:cs="Garamond"/>
          <w:spacing w:val="-17"/>
          <w:sz w:val="24"/>
          <w:szCs w:val="24"/>
        </w:rPr>
        <w:t xml:space="preserve"> </w:t>
      </w:r>
      <w:r>
        <w:rPr>
          <w:rFonts w:ascii="Garamond" w:hAnsi="Garamond" w:cs="Garamond"/>
          <w:sz w:val="24"/>
          <w:szCs w:val="24"/>
        </w:rPr>
        <w:t>allow</w:t>
      </w:r>
      <w:r>
        <w:rPr>
          <w:rFonts w:ascii="Garamond" w:hAnsi="Garamond" w:cs="Garamond"/>
          <w:spacing w:val="-12"/>
          <w:sz w:val="24"/>
          <w:szCs w:val="24"/>
        </w:rPr>
        <w:t xml:space="preserve"> </w:t>
      </w:r>
      <w:r>
        <w:rPr>
          <w:rFonts w:ascii="Garamond" w:hAnsi="Garamond" w:cs="Garamond"/>
          <w:sz w:val="24"/>
          <w:szCs w:val="24"/>
        </w:rPr>
        <w:t>the</w:t>
      </w:r>
    </w:p>
    <w:p w:rsidR="002C5025" w:rsidRDefault="002C5025">
      <w:pPr>
        <w:pStyle w:val="BodyText"/>
        <w:kinsoku w:val="0"/>
        <w:overflowPunct w:val="0"/>
        <w:rPr>
          <w:rFonts w:ascii="Garamond" w:hAnsi="Garamond" w:cs="Garamond"/>
          <w:sz w:val="20"/>
          <w:szCs w:val="20"/>
        </w:rPr>
      </w:pPr>
    </w:p>
    <w:p w:rsidR="002C5025" w:rsidRDefault="002C5025">
      <w:pPr>
        <w:pStyle w:val="BodyText"/>
        <w:kinsoku w:val="0"/>
        <w:overflowPunct w:val="0"/>
        <w:rPr>
          <w:rFonts w:ascii="Garamond" w:hAnsi="Garamond" w:cs="Garamond"/>
          <w:sz w:val="20"/>
          <w:szCs w:val="20"/>
        </w:rPr>
      </w:pPr>
    </w:p>
    <w:p w:rsidR="002C5025" w:rsidRDefault="002C5025">
      <w:pPr>
        <w:pStyle w:val="BodyText"/>
        <w:kinsoku w:val="0"/>
        <w:overflowPunct w:val="0"/>
        <w:spacing w:before="192"/>
        <w:ind w:left="81"/>
        <w:jc w:val="center"/>
        <w:rPr>
          <w:rFonts w:ascii="Garamond" w:hAnsi="Garamond" w:cs="Garamond"/>
        </w:rPr>
      </w:pPr>
      <w:r>
        <w:rPr>
          <w:rFonts w:ascii="Garamond" w:hAnsi="Garamond" w:cs="Garamond"/>
        </w:rPr>
        <w:t>6</w:t>
      </w:r>
    </w:p>
    <w:p w:rsidR="002C5025" w:rsidRDefault="002C5025">
      <w:pPr>
        <w:pStyle w:val="BodyText"/>
        <w:kinsoku w:val="0"/>
        <w:overflowPunct w:val="0"/>
        <w:spacing w:before="192"/>
        <w:ind w:left="81"/>
        <w:jc w:val="center"/>
        <w:rPr>
          <w:rFonts w:ascii="Garamond" w:hAnsi="Garamond" w:cs="Garamond"/>
        </w:rPr>
        <w:sectPr w:rsidR="002C5025">
          <w:pgSz w:w="12240" w:h="15840"/>
          <w:pgMar w:top="1380" w:right="1500" w:bottom="280" w:left="1320" w:header="720" w:footer="720" w:gutter="0"/>
          <w:cols w:space="720" w:equalWidth="0">
            <w:col w:w="9420"/>
          </w:cols>
          <w:noEndnote/>
        </w:sectPr>
      </w:pPr>
    </w:p>
    <w:p w:rsidR="002C5025" w:rsidRDefault="002C5025">
      <w:pPr>
        <w:pStyle w:val="BodyText"/>
        <w:kinsoku w:val="0"/>
        <w:overflowPunct w:val="0"/>
        <w:spacing w:before="59" w:line="273" w:lineRule="auto"/>
        <w:ind w:left="120" w:right="329"/>
        <w:rPr>
          <w:rFonts w:ascii="Garamond" w:hAnsi="Garamond" w:cs="Garamond"/>
          <w:spacing w:val="-3"/>
          <w:sz w:val="24"/>
          <w:szCs w:val="24"/>
        </w:rPr>
      </w:pPr>
      <w:r>
        <w:rPr>
          <w:rFonts w:ascii="Garamond" w:hAnsi="Garamond" w:cs="Garamond"/>
          <w:sz w:val="24"/>
          <w:szCs w:val="24"/>
        </w:rPr>
        <w:lastRenderedPageBreak/>
        <w:t>monitoring</w:t>
      </w:r>
      <w:r>
        <w:rPr>
          <w:rFonts w:ascii="Garamond" w:hAnsi="Garamond" w:cs="Garamond"/>
          <w:spacing w:val="-12"/>
          <w:sz w:val="24"/>
          <w:szCs w:val="24"/>
        </w:rPr>
        <w:t xml:space="preserve"> </w:t>
      </w:r>
      <w:r>
        <w:rPr>
          <w:rFonts w:ascii="Garamond" w:hAnsi="Garamond" w:cs="Garamond"/>
          <w:sz w:val="24"/>
          <w:szCs w:val="24"/>
        </w:rPr>
        <w:t>and</w:t>
      </w:r>
      <w:r>
        <w:rPr>
          <w:rFonts w:ascii="Garamond" w:hAnsi="Garamond" w:cs="Garamond"/>
          <w:spacing w:val="-10"/>
          <w:sz w:val="24"/>
          <w:szCs w:val="24"/>
        </w:rPr>
        <w:t xml:space="preserve"> </w:t>
      </w:r>
      <w:r>
        <w:rPr>
          <w:rFonts w:ascii="Garamond" w:hAnsi="Garamond" w:cs="Garamond"/>
          <w:sz w:val="24"/>
          <w:szCs w:val="24"/>
        </w:rPr>
        <w:t>evaluation</w:t>
      </w:r>
      <w:r>
        <w:rPr>
          <w:rFonts w:ascii="Garamond" w:hAnsi="Garamond" w:cs="Garamond"/>
          <w:spacing w:val="-16"/>
          <w:sz w:val="24"/>
          <w:szCs w:val="24"/>
        </w:rPr>
        <w:t xml:space="preserve"> </w:t>
      </w:r>
      <w:r>
        <w:rPr>
          <w:rFonts w:ascii="Garamond" w:hAnsi="Garamond" w:cs="Garamond"/>
          <w:sz w:val="24"/>
          <w:szCs w:val="24"/>
        </w:rPr>
        <w:t>of</w:t>
      </w:r>
      <w:r>
        <w:rPr>
          <w:rFonts w:ascii="Garamond" w:hAnsi="Garamond" w:cs="Garamond"/>
          <w:spacing w:val="-11"/>
          <w:sz w:val="24"/>
          <w:szCs w:val="24"/>
        </w:rPr>
        <w:t xml:space="preserve"> </w:t>
      </w:r>
      <w:r>
        <w:rPr>
          <w:rFonts w:ascii="Garamond" w:hAnsi="Garamond" w:cs="Garamond"/>
          <w:sz w:val="24"/>
          <w:szCs w:val="24"/>
        </w:rPr>
        <w:t>care</w:t>
      </w:r>
      <w:r>
        <w:rPr>
          <w:rFonts w:ascii="Garamond" w:hAnsi="Garamond" w:cs="Garamond"/>
          <w:spacing w:val="-9"/>
          <w:sz w:val="24"/>
          <w:szCs w:val="24"/>
        </w:rPr>
        <w:t xml:space="preserve"> </w:t>
      </w:r>
      <w:r>
        <w:rPr>
          <w:rFonts w:ascii="Garamond" w:hAnsi="Garamond" w:cs="Garamond"/>
          <w:sz w:val="24"/>
          <w:szCs w:val="24"/>
        </w:rPr>
        <w:t>for</w:t>
      </w:r>
      <w:r>
        <w:rPr>
          <w:rFonts w:ascii="Garamond" w:hAnsi="Garamond" w:cs="Garamond"/>
          <w:spacing w:val="-13"/>
          <w:sz w:val="24"/>
          <w:szCs w:val="24"/>
        </w:rPr>
        <w:t xml:space="preserve"> </w:t>
      </w:r>
      <w:r>
        <w:rPr>
          <w:rFonts w:ascii="Garamond" w:hAnsi="Garamond" w:cs="Garamond"/>
          <w:sz w:val="24"/>
          <w:szCs w:val="24"/>
        </w:rPr>
        <w:t>unique</w:t>
      </w:r>
      <w:r>
        <w:rPr>
          <w:rFonts w:ascii="Garamond" w:hAnsi="Garamond" w:cs="Garamond"/>
          <w:spacing w:val="-9"/>
          <w:sz w:val="24"/>
          <w:szCs w:val="24"/>
        </w:rPr>
        <w:t xml:space="preserve"> </w:t>
      </w:r>
      <w:r>
        <w:rPr>
          <w:rFonts w:ascii="Garamond" w:hAnsi="Garamond" w:cs="Garamond"/>
          <w:sz w:val="24"/>
          <w:szCs w:val="24"/>
        </w:rPr>
        <w:t>populations,</w:t>
      </w:r>
      <w:r>
        <w:rPr>
          <w:rFonts w:ascii="Garamond" w:hAnsi="Garamond" w:cs="Garamond"/>
          <w:spacing w:val="-10"/>
          <w:sz w:val="24"/>
          <w:szCs w:val="24"/>
        </w:rPr>
        <w:t xml:space="preserve"> </w:t>
      </w:r>
      <w:r>
        <w:rPr>
          <w:rFonts w:ascii="Garamond" w:hAnsi="Garamond" w:cs="Garamond"/>
          <w:sz w:val="24"/>
          <w:szCs w:val="24"/>
        </w:rPr>
        <w:t>including</w:t>
      </w:r>
      <w:r>
        <w:rPr>
          <w:rFonts w:ascii="Garamond" w:hAnsi="Garamond" w:cs="Garamond"/>
          <w:spacing w:val="-12"/>
          <w:sz w:val="24"/>
          <w:szCs w:val="24"/>
        </w:rPr>
        <w:t xml:space="preserve"> </w:t>
      </w:r>
      <w:r>
        <w:rPr>
          <w:rFonts w:ascii="Garamond" w:hAnsi="Garamond" w:cs="Garamond"/>
          <w:sz w:val="24"/>
          <w:szCs w:val="24"/>
        </w:rPr>
        <w:t>children,</w:t>
      </w:r>
      <w:r>
        <w:rPr>
          <w:rFonts w:ascii="Garamond" w:hAnsi="Garamond" w:cs="Garamond"/>
          <w:spacing w:val="-10"/>
          <w:sz w:val="24"/>
          <w:szCs w:val="24"/>
        </w:rPr>
        <w:t xml:space="preserve"> </w:t>
      </w:r>
      <w:r>
        <w:rPr>
          <w:rFonts w:ascii="Garamond" w:hAnsi="Garamond" w:cs="Garamond"/>
          <w:spacing w:val="-3"/>
          <w:sz w:val="24"/>
          <w:szCs w:val="24"/>
        </w:rPr>
        <w:t>the</w:t>
      </w:r>
      <w:r>
        <w:rPr>
          <w:rFonts w:ascii="Garamond" w:hAnsi="Garamond" w:cs="Garamond"/>
          <w:spacing w:val="-11"/>
          <w:sz w:val="24"/>
          <w:szCs w:val="24"/>
        </w:rPr>
        <w:t xml:space="preserve"> </w:t>
      </w:r>
      <w:r>
        <w:rPr>
          <w:rFonts w:ascii="Garamond" w:hAnsi="Garamond" w:cs="Garamond"/>
          <w:sz w:val="24"/>
          <w:szCs w:val="24"/>
        </w:rPr>
        <w:t>elderly,</w:t>
      </w:r>
      <w:r>
        <w:rPr>
          <w:rFonts w:ascii="Garamond" w:hAnsi="Garamond" w:cs="Garamond"/>
          <w:spacing w:val="-13"/>
          <w:sz w:val="24"/>
          <w:szCs w:val="24"/>
        </w:rPr>
        <w:t xml:space="preserve"> </w:t>
      </w:r>
      <w:r>
        <w:rPr>
          <w:rFonts w:ascii="Garamond" w:hAnsi="Garamond" w:cs="Garamond"/>
          <w:sz w:val="24"/>
          <w:szCs w:val="24"/>
        </w:rPr>
        <w:t>and individuals with special</w:t>
      </w:r>
      <w:r>
        <w:rPr>
          <w:rFonts w:ascii="Garamond" w:hAnsi="Garamond" w:cs="Garamond"/>
          <w:spacing w:val="-25"/>
          <w:sz w:val="24"/>
          <w:szCs w:val="24"/>
        </w:rPr>
        <w:t xml:space="preserve"> </w:t>
      </w:r>
      <w:r>
        <w:rPr>
          <w:rFonts w:ascii="Garamond" w:hAnsi="Garamond" w:cs="Garamond"/>
          <w:spacing w:val="-3"/>
          <w:sz w:val="24"/>
          <w:szCs w:val="24"/>
        </w:rPr>
        <w:t>needs.</w:t>
      </w:r>
    </w:p>
    <w:p w:rsidR="002C5025" w:rsidRDefault="002C5025">
      <w:pPr>
        <w:pStyle w:val="BodyText"/>
        <w:kinsoku w:val="0"/>
        <w:overflowPunct w:val="0"/>
        <w:spacing w:before="10"/>
        <w:rPr>
          <w:rFonts w:ascii="Garamond" w:hAnsi="Garamond" w:cs="Garamond"/>
          <w:sz w:val="27"/>
          <w:szCs w:val="27"/>
        </w:rPr>
      </w:pPr>
    </w:p>
    <w:p w:rsidR="002C5025" w:rsidRDefault="002C5025">
      <w:pPr>
        <w:pStyle w:val="BodyText"/>
        <w:kinsoku w:val="0"/>
        <w:overflowPunct w:val="0"/>
        <w:spacing w:line="276" w:lineRule="auto"/>
        <w:ind w:left="119" w:right="174"/>
        <w:rPr>
          <w:rFonts w:ascii="Garamond" w:hAnsi="Garamond" w:cs="Garamond"/>
          <w:sz w:val="24"/>
          <w:szCs w:val="24"/>
        </w:rPr>
      </w:pPr>
      <w:r>
        <w:rPr>
          <w:rFonts w:ascii="Garamond" w:hAnsi="Garamond" w:cs="Garamond"/>
          <w:sz w:val="24"/>
          <w:szCs w:val="24"/>
        </w:rPr>
        <w:t xml:space="preserve">Aside from tying metrics to payment, transparency </w:t>
      </w:r>
      <w:r>
        <w:rPr>
          <w:rFonts w:ascii="Garamond" w:hAnsi="Garamond" w:cs="Garamond"/>
          <w:spacing w:val="-3"/>
          <w:sz w:val="24"/>
          <w:szCs w:val="24"/>
        </w:rPr>
        <w:t xml:space="preserve">of </w:t>
      </w:r>
      <w:r>
        <w:rPr>
          <w:rFonts w:ascii="Garamond" w:hAnsi="Garamond" w:cs="Garamond"/>
          <w:sz w:val="24"/>
          <w:szCs w:val="24"/>
        </w:rPr>
        <w:t xml:space="preserve">data collected is critical </w:t>
      </w:r>
      <w:r>
        <w:rPr>
          <w:rFonts w:ascii="Garamond" w:hAnsi="Garamond" w:cs="Garamond"/>
          <w:spacing w:val="-3"/>
          <w:sz w:val="24"/>
          <w:szCs w:val="24"/>
        </w:rPr>
        <w:t xml:space="preserve">for </w:t>
      </w:r>
      <w:r>
        <w:rPr>
          <w:rFonts w:ascii="Garamond" w:hAnsi="Garamond" w:cs="Garamond"/>
          <w:sz w:val="24"/>
          <w:szCs w:val="24"/>
        </w:rPr>
        <w:t>ACO oversight. Just as CHIA publishes annual, public data on the performance of the state’s health care system, MassHealth and any bodies responsible for oversight must continuously monitor and evaluate program</w:t>
      </w:r>
      <w:r>
        <w:rPr>
          <w:rFonts w:ascii="Garamond" w:hAnsi="Garamond" w:cs="Garamond"/>
          <w:spacing w:val="-13"/>
          <w:sz w:val="24"/>
          <w:szCs w:val="24"/>
        </w:rPr>
        <w:t xml:space="preserve"> </w:t>
      </w:r>
      <w:r>
        <w:rPr>
          <w:rFonts w:ascii="Garamond" w:hAnsi="Garamond" w:cs="Garamond"/>
          <w:sz w:val="24"/>
          <w:szCs w:val="24"/>
        </w:rPr>
        <w:t>implementation,</w:t>
      </w:r>
      <w:r>
        <w:rPr>
          <w:rFonts w:ascii="Garamond" w:hAnsi="Garamond" w:cs="Garamond"/>
          <w:spacing w:val="-14"/>
          <w:sz w:val="24"/>
          <w:szCs w:val="24"/>
        </w:rPr>
        <w:t xml:space="preserve"> </w:t>
      </w:r>
      <w:r>
        <w:rPr>
          <w:rFonts w:ascii="Garamond" w:hAnsi="Garamond" w:cs="Garamond"/>
          <w:sz w:val="24"/>
          <w:szCs w:val="24"/>
        </w:rPr>
        <w:t>including</w:t>
      </w:r>
      <w:r>
        <w:rPr>
          <w:rFonts w:ascii="Garamond" w:hAnsi="Garamond" w:cs="Garamond"/>
          <w:spacing w:val="-12"/>
          <w:sz w:val="24"/>
          <w:szCs w:val="24"/>
        </w:rPr>
        <w:t xml:space="preserve"> </w:t>
      </w:r>
      <w:r>
        <w:rPr>
          <w:rFonts w:ascii="Garamond" w:hAnsi="Garamond" w:cs="Garamond"/>
          <w:sz w:val="24"/>
          <w:szCs w:val="24"/>
        </w:rPr>
        <w:t>roll-out</w:t>
      </w:r>
      <w:r>
        <w:rPr>
          <w:rFonts w:ascii="Garamond" w:hAnsi="Garamond" w:cs="Garamond"/>
          <w:spacing w:val="-15"/>
          <w:sz w:val="24"/>
          <w:szCs w:val="24"/>
        </w:rPr>
        <w:t xml:space="preserve"> </w:t>
      </w:r>
      <w:r>
        <w:rPr>
          <w:rFonts w:ascii="Garamond" w:hAnsi="Garamond" w:cs="Garamond"/>
          <w:sz w:val="24"/>
          <w:szCs w:val="24"/>
        </w:rPr>
        <w:t>of</w:t>
      </w:r>
      <w:r>
        <w:rPr>
          <w:rFonts w:ascii="Garamond" w:hAnsi="Garamond" w:cs="Garamond"/>
          <w:spacing w:val="-13"/>
          <w:sz w:val="24"/>
          <w:szCs w:val="24"/>
        </w:rPr>
        <w:t xml:space="preserve"> </w:t>
      </w:r>
      <w:r>
        <w:rPr>
          <w:rFonts w:ascii="Garamond" w:hAnsi="Garamond" w:cs="Garamond"/>
          <w:sz w:val="24"/>
          <w:szCs w:val="24"/>
        </w:rPr>
        <w:t>dental</w:t>
      </w:r>
      <w:r>
        <w:rPr>
          <w:rFonts w:ascii="Garamond" w:hAnsi="Garamond" w:cs="Garamond"/>
          <w:spacing w:val="-12"/>
          <w:sz w:val="24"/>
          <w:szCs w:val="24"/>
        </w:rPr>
        <w:t xml:space="preserve"> </w:t>
      </w:r>
      <w:r>
        <w:rPr>
          <w:rFonts w:ascii="Garamond" w:hAnsi="Garamond" w:cs="Garamond"/>
          <w:sz w:val="24"/>
          <w:szCs w:val="24"/>
        </w:rPr>
        <w:t>pilot</w:t>
      </w:r>
      <w:r>
        <w:rPr>
          <w:rFonts w:ascii="Garamond" w:hAnsi="Garamond" w:cs="Garamond"/>
          <w:spacing w:val="-13"/>
          <w:sz w:val="24"/>
          <w:szCs w:val="24"/>
        </w:rPr>
        <w:t xml:space="preserve"> </w:t>
      </w:r>
      <w:r>
        <w:rPr>
          <w:rFonts w:ascii="Garamond" w:hAnsi="Garamond" w:cs="Garamond"/>
          <w:sz w:val="24"/>
          <w:szCs w:val="24"/>
        </w:rPr>
        <w:t>programs.</w:t>
      </w:r>
      <w:r>
        <w:rPr>
          <w:rFonts w:ascii="Garamond" w:hAnsi="Garamond" w:cs="Garamond"/>
          <w:spacing w:val="-12"/>
          <w:sz w:val="24"/>
          <w:szCs w:val="24"/>
        </w:rPr>
        <w:t xml:space="preserve"> </w:t>
      </w:r>
      <w:r>
        <w:rPr>
          <w:rFonts w:ascii="Garamond" w:hAnsi="Garamond" w:cs="Garamond"/>
          <w:sz w:val="24"/>
          <w:szCs w:val="24"/>
        </w:rPr>
        <w:t>This</w:t>
      </w:r>
      <w:r>
        <w:rPr>
          <w:rFonts w:ascii="Garamond" w:hAnsi="Garamond" w:cs="Garamond"/>
          <w:spacing w:val="-13"/>
          <w:sz w:val="24"/>
          <w:szCs w:val="24"/>
        </w:rPr>
        <w:t xml:space="preserve"> </w:t>
      </w:r>
      <w:r>
        <w:rPr>
          <w:rFonts w:ascii="Garamond" w:hAnsi="Garamond" w:cs="Garamond"/>
          <w:sz w:val="24"/>
          <w:szCs w:val="24"/>
        </w:rPr>
        <w:t>will</w:t>
      </w:r>
      <w:r>
        <w:rPr>
          <w:rFonts w:ascii="Garamond" w:hAnsi="Garamond" w:cs="Garamond"/>
          <w:spacing w:val="-12"/>
          <w:sz w:val="24"/>
          <w:szCs w:val="24"/>
        </w:rPr>
        <w:t xml:space="preserve"> </w:t>
      </w:r>
      <w:r>
        <w:rPr>
          <w:rFonts w:ascii="Garamond" w:hAnsi="Garamond" w:cs="Garamond"/>
          <w:sz w:val="24"/>
          <w:szCs w:val="24"/>
        </w:rPr>
        <w:t>also</w:t>
      </w:r>
      <w:r>
        <w:rPr>
          <w:rFonts w:ascii="Garamond" w:hAnsi="Garamond" w:cs="Garamond"/>
          <w:spacing w:val="-12"/>
          <w:sz w:val="24"/>
          <w:szCs w:val="24"/>
        </w:rPr>
        <w:t xml:space="preserve"> </w:t>
      </w:r>
      <w:r>
        <w:rPr>
          <w:rFonts w:ascii="Garamond" w:hAnsi="Garamond" w:cs="Garamond"/>
          <w:sz w:val="24"/>
          <w:szCs w:val="24"/>
        </w:rPr>
        <w:t>require</w:t>
      </w:r>
      <w:r>
        <w:rPr>
          <w:rFonts w:ascii="Garamond" w:hAnsi="Garamond" w:cs="Garamond"/>
          <w:spacing w:val="-10"/>
          <w:sz w:val="24"/>
          <w:szCs w:val="24"/>
        </w:rPr>
        <w:t xml:space="preserve"> </w:t>
      </w:r>
      <w:r>
        <w:rPr>
          <w:rFonts w:ascii="Garamond" w:hAnsi="Garamond" w:cs="Garamond"/>
          <w:sz w:val="24"/>
          <w:szCs w:val="24"/>
        </w:rPr>
        <w:t>publicly setting and reporting on system-wide, measurable goals such as reduced ED utilization and improved health outcomes. Any baseline data collection should be disaggregated and also include oral health data. We respectfully direct you to Health Care For All’s comments describing recommendations</w:t>
      </w:r>
      <w:r>
        <w:rPr>
          <w:rFonts w:ascii="Garamond" w:hAnsi="Garamond" w:cs="Garamond"/>
          <w:spacing w:val="-22"/>
          <w:sz w:val="24"/>
          <w:szCs w:val="24"/>
        </w:rPr>
        <w:t xml:space="preserve"> </w:t>
      </w:r>
      <w:r>
        <w:rPr>
          <w:rFonts w:ascii="Garamond" w:hAnsi="Garamond" w:cs="Garamond"/>
          <w:sz w:val="24"/>
          <w:szCs w:val="24"/>
        </w:rPr>
        <w:t>for</w:t>
      </w:r>
      <w:r>
        <w:rPr>
          <w:rFonts w:ascii="Garamond" w:hAnsi="Garamond" w:cs="Garamond"/>
          <w:spacing w:val="-22"/>
          <w:sz w:val="24"/>
          <w:szCs w:val="24"/>
        </w:rPr>
        <w:t xml:space="preserve"> </w:t>
      </w:r>
      <w:r>
        <w:rPr>
          <w:rFonts w:ascii="Garamond" w:hAnsi="Garamond" w:cs="Garamond"/>
          <w:sz w:val="24"/>
          <w:szCs w:val="24"/>
        </w:rPr>
        <w:t>increased</w:t>
      </w:r>
      <w:r>
        <w:rPr>
          <w:rFonts w:ascii="Garamond" w:hAnsi="Garamond" w:cs="Garamond"/>
          <w:spacing w:val="-17"/>
          <w:sz w:val="24"/>
          <w:szCs w:val="24"/>
        </w:rPr>
        <w:t xml:space="preserve"> </w:t>
      </w:r>
      <w:r>
        <w:rPr>
          <w:rFonts w:ascii="Garamond" w:hAnsi="Garamond" w:cs="Garamond"/>
          <w:sz w:val="24"/>
          <w:szCs w:val="24"/>
        </w:rPr>
        <w:t>ACO</w:t>
      </w:r>
      <w:r>
        <w:rPr>
          <w:rFonts w:ascii="Garamond" w:hAnsi="Garamond" w:cs="Garamond"/>
          <w:spacing w:val="-19"/>
          <w:sz w:val="24"/>
          <w:szCs w:val="24"/>
        </w:rPr>
        <w:t xml:space="preserve"> </w:t>
      </w:r>
      <w:r>
        <w:rPr>
          <w:rFonts w:ascii="Garamond" w:hAnsi="Garamond" w:cs="Garamond"/>
          <w:sz w:val="24"/>
          <w:szCs w:val="24"/>
        </w:rPr>
        <w:t>transparency</w:t>
      </w:r>
      <w:r>
        <w:rPr>
          <w:rFonts w:ascii="Garamond" w:hAnsi="Garamond" w:cs="Garamond"/>
          <w:spacing w:val="-22"/>
          <w:sz w:val="24"/>
          <w:szCs w:val="24"/>
        </w:rPr>
        <w:t xml:space="preserve"> </w:t>
      </w:r>
      <w:r>
        <w:rPr>
          <w:rFonts w:ascii="Garamond" w:hAnsi="Garamond" w:cs="Garamond"/>
          <w:sz w:val="24"/>
          <w:szCs w:val="24"/>
        </w:rPr>
        <w:t>and</w:t>
      </w:r>
      <w:r>
        <w:rPr>
          <w:rFonts w:ascii="Garamond" w:hAnsi="Garamond" w:cs="Garamond"/>
          <w:spacing w:val="-19"/>
          <w:sz w:val="24"/>
          <w:szCs w:val="24"/>
        </w:rPr>
        <w:t xml:space="preserve"> </w:t>
      </w:r>
      <w:r>
        <w:rPr>
          <w:rFonts w:ascii="Garamond" w:hAnsi="Garamond" w:cs="Garamond"/>
          <w:sz w:val="24"/>
          <w:szCs w:val="24"/>
        </w:rPr>
        <w:t>oversight.</w:t>
      </w:r>
    </w:p>
    <w:p w:rsidR="002C5025" w:rsidRDefault="002C5025">
      <w:pPr>
        <w:pStyle w:val="BodyText"/>
        <w:kinsoku w:val="0"/>
        <w:overflowPunct w:val="0"/>
        <w:spacing w:before="4"/>
        <w:rPr>
          <w:rFonts w:ascii="Garamond" w:hAnsi="Garamond" w:cs="Garamond"/>
          <w:sz w:val="27"/>
          <w:szCs w:val="27"/>
        </w:rPr>
      </w:pPr>
    </w:p>
    <w:p w:rsidR="002C5025" w:rsidRDefault="002C5025">
      <w:pPr>
        <w:pStyle w:val="BodyText"/>
        <w:kinsoku w:val="0"/>
        <w:overflowPunct w:val="0"/>
        <w:spacing w:before="1"/>
        <w:ind w:left="120" w:right="5109"/>
        <w:rPr>
          <w:rFonts w:ascii="Garamond" w:hAnsi="Garamond" w:cs="Garamond"/>
          <w:i/>
          <w:iCs/>
          <w:sz w:val="24"/>
          <w:szCs w:val="24"/>
        </w:rPr>
      </w:pPr>
      <w:r>
        <w:rPr>
          <w:rFonts w:ascii="Garamond" w:hAnsi="Garamond" w:cs="Garamond"/>
          <w:i/>
          <w:iCs/>
          <w:sz w:val="24"/>
          <w:szCs w:val="24"/>
        </w:rPr>
        <w:t>Examples:</w:t>
      </w:r>
    </w:p>
    <w:p w:rsidR="002C5025" w:rsidRDefault="002C5025">
      <w:pPr>
        <w:pStyle w:val="ListParagraph"/>
        <w:numPr>
          <w:ilvl w:val="0"/>
          <w:numId w:val="26"/>
        </w:numPr>
        <w:tabs>
          <w:tab w:val="left" w:pos="840"/>
        </w:tabs>
        <w:kinsoku w:val="0"/>
        <w:overflowPunct w:val="0"/>
        <w:spacing w:before="41" w:line="273" w:lineRule="auto"/>
        <w:ind w:left="840" w:right="112"/>
        <w:rPr>
          <w:rFonts w:ascii="Garamond" w:hAnsi="Garamond" w:cs="Garamond"/>
          <w:position w:val="5"/>
          <w:sz w:val="15"/>
          <w:szCs w:val="15"/>
        </w:rPr>
      </w:pPr>
      <w:r>
        <w:rPr>
          <w:rFonts w:ascii="Garamond" w:hAnsi="Garamond" w:cs="Garamond"/>
          <w:sz w:val="23"/>
          <w:szCs w:val="23"/>
        </w:rPr>
        <w:t xml:space="preserve">In the recently released quality metrics final </w:t>
      </w:r>
      <w:r>
        <w:rPr>
          <w:rFonts w:ascii="Garamond" w:hAnsi="Garamond" w:cs="Garamond"/>
          <w:spacing w:val="-3"/>
          <w:sz w:val="23"/>
          <w:szCs w:val="23"/>
        </w:rPr>
        <w:t xml:space="preserve">report </w:t>
      </w:r>
      <w:r>
        <w:rPr>
          <w:rFonts w:ascii="Garamond" w:hAnsi="Garamond" w:cs="Garamond"/>
          <w:sz w:val="23"/>
          <w:szCs w:val="23"/>
        </w:rPr>
        <w:t xml:space="preserve">for Oregon’s CCOs, the </w:t>
      </w:r>
      <w:r>
        <w:rPr>
          <w:rFonts w:ascii="Garamond" w:hAnsi="Garamond" w:cs="Garamond"/>
          <w:spacing w:val="-3"/>
          <w:sz w:val="23"/>
          <w:szCs w:val="23"/>
        </w:rPr>
        <w:t xml:space="preserve">sole </w:t>
      </w:r>
      <w:r>
        <w:rPr>
          <w:rFonts w:ascii="Garamond" w:hAnsi="Garamond" w:cs="Garamond"/>
          <w:sz w:val="23"/>
          <w:szCs w:val="23"/>
        </w:rPr>
        <w:t xml:space="preserve">dental metric – the rate of dental sealants </w:t>
      </w:r>
      <w:r>
        <w:rPr>
          <w:rFonts w:ascii="Garamond" w:hAnsi="Garamond" w:cs="Garamond"/>
          <w:spacing w:val="-3"/>
          <w:sz w:val="23"/>
          <w:szCs w:val="23"/>
        </w:rPr>
        <w:t xml:space="preserve">on </w:t>
      </w:r>
      <w:r>
        <w:rPr>
          <w:rFonts w:ascii="Garamond" w:hAnsi="Garamond" w:cs="Garamond"/>
          <w:sz w:val="23"/>
          <w:szCs w:val="23"/>
        </w:rPr>
        <w:t>permanent molars for children – increased by a staggering 65% in one year. This demonstrates the efficacy of tying reimbursement to a dental quality metric. Dental</w:t>
      </w:r>
      <w:r>
        <w:rPr>
          <w:rFonts w:ascii="Garamond" w:hAnsi="Garamond" w:cs="Garamond"/>
          <w:spacing w:val="-4"/>
          <w:sz w:val="23"/>
          <w:szCs w:val="23"/>
        </w:rPr>
        <w:t xml:space="preserve"> </w:t>
      </w:r>
      <w:r>
        <w:rPr>
          <w:rFonts w:ascii="Garamond" w:hAnsi="Garamond" w:cs="Garamond"/>
          <w:sz w:val="23"/>
          <w:szCs w:val="23"/>
        </w:rPr>
        <w:t>services</w:t>
      </w:r>
      <w:r>
        <w:rPr>
          <w:rFonts w:ascii="Garamond" w:hAnsi="Garamond" w:cs="Garamond"/>
          <w:spacing w:val="-4"/>
          <w:sz w:val="23"/>
          <w:szCs w:val="23"/>
        </w:rPr>
        <w:t xml:space="preserve"> </w:t>
      </w:r>
      <w:r>
        <w:rPr>
          <w:rFonts w:ascii="Garamond" w:hAnsi="Garamond" w:cs="Garamond"/>
          <w:sz w:val="23"/>
          <w:szCs w:val="23"/>
        </w:rPr>
        <w:t>are</w:t>
      </w:r>
      <w:r>
        <w:rPr>
          <w:rFonts w:ascii="Garamond" w:hAnsi="Garamond" w:cs="Garamond"/>
          <w:spacing w:val="-5"/>
          <w:sz w:val="23"/>
          <w:szCs w:val="23"/>
        </w:rPr>
        <w:t xml:space="preserve"> </w:t>
      </w:r>
      <w:r>
        <w:rPr>
          <w:rFonts w:ascii="Garamond" w:hAnsi="Garamond" w:cs="Garamond"/>
          <w:spacing w:val="-3"/>
          <w:sz w:val="23"/>
          <w:szCs w:val="23"/>
        </w:rPr>
        <w:t>included</w:t>
      </w:r>
      <w:r>
        <w:rPr>
          <w:rFonts w:ascii="Garamond" w:hAnsi="Garamond" w:cs="Garamond"/>
          <w:spacing w:val="-7"/>
          <w:sz w:val="23"/>
          <w:szCs w:val="23"/>
        </w:rPr>
        <w:t xml:space="preserve"> </w:t>
      </w:r>
      <w:r>
        <w:rPr>
          <w:rFonts w:ascii="Garamond" w:hAnsi="Garamond" w:cs="Garamond"/>
          <w:sz w:val="23"/>
          <w:szCs w:val="23"/>
        </w:rPr>
        <w:t>in</w:t>
      </w:r>
      <w:r>
        <w:rPr>
          <w:rFonts w:ascii="Garamond" w:hAnsi="Garamond" w:cs="Garamond"/>
          <w:spacing w:val="-4"/>
          <w:sz w:val="23"/>
          <w:szCs w:val="23"/>
        </w:rPr>
        <w:t xml:space="preserve"> </w:t>
      </w:r>
      <w:r>
        <w:rPr>
          <w:rFonts w:ascii="Garamond" w:hAnsi="Garamond" w:cs="Garamond"/>
          <w:sz w:val="23"/>
          <w:szCs w:val="23"/>
        </w:rPr>
        <w:t>total</w:t>
      </w:r>
      <w:r>
        <w:rPr>
          <w:rFonts w:ascii="Garamond" w:hAnsi="Garamond" w:cs="Garamond"/>
          <w:spacing w:val="-4"/>
          <w:sz w:val="23"/>
          <w:szCs w:val="23"/>
        </w:rPr>
        <w:t xml:space="preserve"> </w:t>
      </w:r>
      <w:r>
        <w:rPr>
          <w:rFonts w:ascii="Garamond" w:hAnsi="Garamond" w:cs="Garamond"/>
          <w:sz w:val="23"/>
          <w:szCs w:val="23"/>
        </w:rPr>
        <w:t>cost</w:t>
      </w:r>
      <w:r>
        <w:rPr>
          <w:rFonts w:ascii="Garamond" w:hAnsi="Garamond" w:cs="Garamond"/>
          <w:spacing w:val="-7"/>
          <w:sz w:val="23"/>
          <w:szCs w:val="23"/>
        </w:rPr>
        <w:t xml:space="preserve"> </w:t>
      </w:r>
      <w:r>
        <w:rPr>
          <w:rFonts w:ascii="Garamond" w:hAnsi="Garamond" w:cs="Garamond"/>
          <w:sz w:val="23"/>
          <w:szCs w:val="23"/>
        </w:rPr>
        <w:t>of</w:t>
      </w:r>
      <w:r>
        <w:rPr>
          <w:rFonts w:ascii="Garamond" w:hAnsi="Garamond" w:cs="Garamond"/>
          <w:spacing w:val="-4"/>
          <w:sz w:val="23"/>
          <w:szCs w:val="23"/>
        </w:rPr>
        <w:t xml:space="preserve"> </w:t>
      </w:r>
      <w:r>
        <w:rPr>
          <w:rFonts w:ascii="Garamond" w:hAnsi="Garamond" w:cs="Garamond"/>
          <w:sz w:val="23"/>
          <w:szCs w:val="23"/>
        </w:rPr>
        <w:t>care</w:t>
      </w:r>
      <w:r>
        <w:rPr>
          <w:rFonts w:ascii="Garamond" w:hAnsi="Garamond" w:cs="Garamond"/>
          <w:spacing w:val="-9"/>
          <w:sz w:val="23"/>
          <w:szCs w:val="23"/>
        </w:rPr>
        <w:t xml:space="preserve"> </w:t>
      </w:r>
      <w:r>
        <w:rPr>
          <w:rFonts w:ascii="Garamond" w:hAnsi="Garamond" w:cs="Garamond"/>
          <w:sz w:val="23"/>
          <w:szCs w:val="23"/>
        </w:rPr>
        <w:t>and</w:t>
      </w:r>
      <w:r>
        <w:rPr>
          <w:rFonts w:ascii="Garamond" w:hAnsi="Garamond" w:cs="Garamond"/>
          <w:spacing w:val="-7"/>
          <w:sz w:val="23"/>
          <w:szCs w:val="23"/>
        </w:rPr>
        <w:t xml:space="preserve"> </w:t>
      </w:r>
      <w:r>
        <w:rPr>
          <w:rFonts w:ascii="Garamond" w:hAnsi="Garamond" w:cs="Garamond"/>
          <w:sz w:val="23"/>
          <w:szCs w:val="23"/>
        </w:rPr>
        <w:t>CCOs</w:t>
      </w:r>
      <w:r>
        <w:rPr>
          <w:rFonts w:ascii="Garamond" w:hAnsi="Garamond" w:cs="Garamond"/>
          <w:spacing w:val="-4"/>
          <w:sz w:val="23"/>
          <w:szCs w:val="23"/>
        </w:rPr>
        <w:t xml:space="preserve"> </w:t>
      </w:r>
      <w:r>
        <w:rPr>
          <w:rFonts w:ascii="Garamond" w:hAnsi="Garamond" w:cs="Garamond"/>
          <w:sz w:val="23"/>
          <w:szCs w:val="23"/>
        </w:rPr>
        <w:t>are</w:t>
      </w:r>
      <w:r>
        <w:rPr>
          <w:rFonts w:ascii="Garamond" w:hAnsi="Garamond" w:cs="Garamond"/>
          <w:spacing w:val="-4"/>
          <w:sz w:val="23"/>
          <w:szCs w:val="23"/>
        </w:rPr>
        <w:t xml:space="preserve"> </w:t>
      </w:r>
      <w:r>
        <w:rPr>
          <w:rFonts w:ascii="Garamond" w:hAnsi="Garamond" w:cs="Garamond"/>
          <w:sz w:val="23"/>
          <w:szCs w:val="23"/>
        </w:rPr>
        <w:t>eligible</w:t>
      </w:r>
      <w:r>
        <w:rPr>
          <w:rFonts w:ascii="Garamond" w:hAnsi="Garamond" w:cs="Garamond"/>
          <w:spacing w:val="-5"/>
          <w:sz w:val="23"/>
          <w:szCs w:val="23"/>
        </w:rPr>
        <w:t xml:space="preserve"> </w:t>
      </w:r>
      <w:r>
        <w:rPr>
          <w:rFonts w:ascii="Garamond" w:hAnsi="Garamond" w:cs="Garamond"/>
          <w:sz w:val="23"/>
          <w:szCs w:val="23"/>
        </w:rPr>
        <w:t>for</w:t>
      </w:r>
      <w:r>
        <w:rPr>
          <w:rFonts w:ascii="Garamond" w:hAnsi="Garamond" w:cs="Garamond"/>
          <w:spacing w:val="-9"/>
          <w:sz w:val="23"/>
          <w:szCs w:val="23"/>
        </w:rPr>
        <w:t xml:space="preserve"> </w:t>
      </w:r>
      <w:r>
        <w:rPr>
          <w:rFonts w:ascii="Garamond" w:hAnsi="Garamond" w:cs="Garamond"/>
          <w:sz w:val="23"/>
          <w:szCs w:val="23"/>
        </w:rPr>
        <w:t>incentive</w:t>
      </w:r>
      <w:r>
        <w:rPr>
          <w:rFonts w:ascii="Garamond" w:hAnsi="Garamond" w:cs="Garamond"/>
          <w:spacing w:val="-7"/>
          <w:sz w:val="23"/>
          <w:szCs w:val="23"/>
        </w:rPr>
        <w:t xml:space="preserve"> </w:t>
      </w:r>
      <w:r>
        <w:rPr>
          <w:rFonts w:ascii="Garamond" w:hAnsi="Garamond" w:cs="Garamond"/>
          <w:sz w:val="23"/>
          <w:szCs w:val="23"/>
        </w:rPr>
        <w:t>payments</w:t>
      </w:r>
      <w:r>
        <w:rPr>
          <w:rFonts w:ascii="Garamond" w:hAnsi="Garamond" w:cs="Garamond"/>
          <w:spacing w:val="-7"/>
          <w:sz w:val="23"/>
          <w:szCs w:val="23"/>
        </w:rPr>
        <w:t xml:space="preserve"> </w:t>
      </w:r>
      <w:r>
        <w:rPr>
          <w:rFonts w:ascii="Garamond" w:hAnsi="Garamond" w:cs="Garamond"/>
          <w:sz w:val="23"/>
          <w:szCs w:val="23"/>
        </w:rPr>
        <w:t>if they meet the benchmark.</w:t>
      </w:r>
      <w:r>
        <w:rPr>
          <w:rFonts w:ascii="Garamond" w:hAnsi="Garamond" w:cs="Garamond"/>
          <w:spacing w:val="-26"/>
          <w:sz w:val="23"/>
          <w:szCs w:val="23"/>
        </w:rPr>
        <w:t xml:space="preserve"> </w:t>
      </w:r>
      <w:r>
        <w:rPr>
          <w:rFonts w:ascii="Garamond" w:hAnsi="Garamond" w:cs="Garamond"/>
          <w:position w:val="5"/>
          <w:sz w:val="15"/>
          <w:szCs w:val="15"/>
        </w:rPr>
        <w:t>15</w:t>
      </w:r>
    </w:p>
    <w:p w:rsidR="002C5025" w:rsidRDefault="002C5025">
      <w:pPr>
        <w:pStyle w:val="ListParagraph"/>
        <w:numPr>
          <w:ilvl w:val="0"/>
          <w:numId w:val="26"/>
        </w:numPr>
        <w:tabs>
          <w:tab w:val="left" w:pos="840"/>
        </w:tabs>
        <w:kinsoku w:val="0"/>
        <w:overflowPunct w:val="0"/>
        <w:spacing w:before="3" w:line="273" w:lineRule="auto"/>
        <w:ind w:left="840" w:right="170"/>
        <w:rPr>
          <w:rFonts w:ascii="Garamond" w:hAnsi="Garamond" w:cs="Garamond"/>
          <w:position w:val="5"/>
          <w:sz w:val="15"/>
          <w:szCs w:val="15"/>
        </w:rPr>
      </w:pPr>
      <w:r>
        <w:rPr>
          <w:rFonts w:ascii="Garamond" w:hAnsi="Garamond" w:cs="Garamond"/>
          <w:sz w:val="23"/>
          <w:szCs w:val="23"/>
        </w:rPr>
        <w:t xml:space="preserve">New Jersey ACO gainsharing plans submitted to the Department of Human Services will </w:t>
      </w:r>
      <w:r>
        <w:rPr>
          <w:rFonts w:ascii="Garamond" w:hAnsi="Garamond" w:cs="Garamond"/>
          <w:spacing w:val="-3"/>
          <w:sz w:val="23"/>
          <w:szCs w:val="23"/>
        </w:rPr>
        <w:t xml:space="preserve">be </w:t>
      </w:r>
      <w:r>
        <w:rPr>
          <w:rFonts w:ascii="Garamond" w:hAnsi="Garamond" w:cs="Garamond"/>
          <w:sz w:val="23"/>
          <w:szCs w:val="23"/>
        </w:rPr>
        <w:t>evaluated</w:t>
      </w:r>
      <w:r>
        <w:rPr>
          <w:rFonts w:ascii="Garamond" w:hAnsi="Garamond" w:cs="Garamond"/>
          <w:spacing w:val="-7"/>
          <w:sz w:val="23"/>
          <w:szCs w:val="23"/>
        </w:rPr>
        <w:t xml:space="preserve"> </w:t>
      </w:r>
      <w:r>
        <w:rPr>
          <w:rFonts w:ascii="Garamond" w:hAnsi="Garamond" w:cs="Garamond"/>
          <w:sz w:val="23"/>
          <w:szCs w:val="23"/>
        </w:rPr>
        <w:t>in</w:t>
      </w:r>
      <w:r>
        <w:rPr>
          <w:rFonts w:ascii="Garamond" w:hAnsi="Garamond" w:cs="Garamond"/>
          <w:spacing w:val="-7"/>
          <w:sz w:val="23"/>
          <w:szCs w:val="23"/>
        </w:rPr>
        <w:t xml:space="preserve"> </w:t>
      </w:r>
      <w:r>
        <w:rPr>
          <w:rFonts w:ascii="Garamond" w:hAnsi="Garamond" w:cs="Garamond"/>
          <w:sz w:val="23"/>
          <w:szCs w:val="23"/>
        </w:rPr>
        <w:t>part</w:t>
      </w:r>
      <w:r>
        <w:rPr>
          <w:rFonts w:ascii="Garamond" w:hAnsi="Garamond" w:cs="Garamond"/>
          <w:spacing w:val="-7"/>
          <w:sz w:val="23"/>
          <w:szCs w:val="23"/>
        </w:rPr>
        <w:t xml:space="preserve"> </w:t>
      </w:r>
      <w:r>
        <w:rPr>
          <w:rFonts w:ascii="Garamond" w:hAnsi="Garamond" w:cs="Garamond"/>
          <w:sz w:val="23"/>
          <w:szCs w:val="23"/>
        </w:rPr>
        <w:t>on</w:t>
      </w:r>
      <w:r>
        <w:rPr>
          <w:rFonts w:ascii="Garamond" w:hAnsi="Garamond" w:cs="Garamond"/>
          <w:spacing w:val="-9"/>
          <w:sz w:val="23"/>
          <w:szCs w:val="23"/>
        </w:rPr>
        <w:t xml:space="preserve"> </w:t>
      </w:r>
      <w:r>
        <w:rPr>
          <w:rFonts w:ascii="Garamond" w:hAnsi="Garamond" w:cs="Garamond"/>
          <w:sz w:val="23"/>
          <w:szCs w:val="23"/>
        </w:rPr>
        <w:t>whether</w:t>
      </w:r>
      <w:r>
        <w:rPr>
          <w:rFonts w:ascii="Garamond" w:hAnsi="Garamond" w:cs="Garamond"/>
          <w:spacing w:val="-4"/>
          <w:sz w:val="23"/>
          <w:szCs w:val="23"/>
        </w:rPr>
        <w:t xml:space="preserve"> </w:t>
      </w:r>
      <w:r>
        <w:rPr>
          <w:rFonts w:ascii="Garamond" w:hAnsi="Garamond" w:cs="Garamond"/>
          <w:sz w:val="23"/>
          <w:szCs w:val="23"/>
        </w:rPr>
        <w:t>a</w:t>
      </w:r>
      <w:r>
        <w:rPr>
          <w:rFonts w:ascii="Garamond" w:hAnsi="Garamond" w:cs="Garamond"/>
          <w:spacing w:val="-7"/>
          <w:sz w:val="23"/>
          <w:szCs w:val="23"/>
        </w:rPr>
        <w:t xml:space="preserve"> </w:t>
      </w:r>
      <w:r>
        <w:rPr>
          <w:rFonts w:ascii="Garamond" w:hAnsi="Garamond" w:cs="Garamond"/>
          <w:sz w:val="23"/>
          <w:szCs w:val="23"/>
        </w:rPr>
        <w:t>gainsharing</w:t>
      </w:r>
      <w:r>
        <w:rPr>
          <w:rFonts w:ascii="Garamond" w:hAnsi="Garamond" w:cs="Garamond"/>
          <w:spacing w:val="-4"/>
          <w:sz w:val="23"/>
          <w:szCs w:val="23"/>
        </w:rPr>
        <w:t xml:space="preserve"> </w:t>
      </w:r>
      <w:r>
        <w:rPr>
          <w:rFonts w:ascii="Garamond" w:hAnsi="Garamond" w:cs="Garamond"/>
          <w:sz w:val="23"/>
          <w:szCs w:val="23"/>
        </w:rPr>
        <w:t>plan</w:t>
      </w:r>
      <w:r>
        <w:rPr>
          <w:rFonts w:ascii="Garamond" w:hAnsi="Garamond" w:cs="Garamond"/>
          <w:spacing w:val="-9"/>
          <w:sz w:val="23"/>
          <w:szCs w:val="23"/>
        </w:rPr>
        <w:t xml:space="preserve"> </w:t>
      </w:r>
      <w:r>
        <w:rPr>
          <w:rFonts w:ascii="Garamond" w:hAnsi="Garamond" w:cs="Garamond"/>
          <w:sz w:val="23"/>
          <w:szCs w:val="23"/>
        </w:rPr>
        <w:t>provides</w:t>
      </w:r>
      <w:r>
        <w:rPr>
          <w:rFonts w:ascii="Garamond" w:hAnsi="Garamond" w:cs="Garamond"/>
          <w:spacing w:val="-4"/>
          <w:sz w:val="23"/>
          <w:szCs w:val="23"/>
        </w:rPr>
        <w:t xml:space="preserve"> </w:t>
      </w:r>
      <w:r>
        <w:rPr>
          <w:rFonts w:ascii="Garamond" w:hAnsi="Garamond" w:cs="Garamond"/>
          <w:sz w:val="23"/>
          <w:szCs w:val="23"/>
        </w:rPr>
        <w:t>funding</w:t>
      </w:r>
      <w:r>
        <w:rPr>
          <w:rFonts w:ascii="Garamond" w:hAnsi="Garamond" w:cs="Garamond"/>
          <w:spacing w:val="-7"/>
          <w:sz w:val="23"/>
          <w:szCs w:val="23"/>
        </w:rPr>
        <w:t xml:space="preserve"> </w:t>
      </w:r>
      <w:r>
        <w:rPr>
          <w:rFonts w:ascii="Garamond" w:hAnsi="Garamond" w:cs="Garamond"/>
          <w:sz w:val="23"/>
          <w:szCs w:val="23"/>
        </w:rPr>
        <w:t>for</w:t>
      </w:r>
      <w:r>
        <w:rPr>
          <w:rFonts w:ascii="Garamond" w:hAnsi="Garamond" w:cs="Garamond"/>
          <w:spacing w:val="-7"/>
          <w:sz w:val="23"/>
          <w:szCs w:val="23"/>
        </w:rPr>
        <w:t xml:space="preserve"> </w:t>
      </w:r>
      <w:r>
        <w:rPr>
          <w:rFonts w:ascii="Garamond" w:hAnsi="Garamond" w:cs="Garamond"/>
          <w:sz w:val="23"/>
          <w:szCs w:val="23"/>
        </w:rPr>
        <w:t>improved</w:t>
      </w:r>
      <w:r>
        <w:rPr>
          <w:rFonts w:ascii="Garamond" w:hAnsi="Garamond" w:cs="Garamond"/>
          <w:spacing w:val="-7"/>
          <w:sz w:val="23"/>
          <w:szCs w:val="23"/>
        </w:rPr>
        <w:t xml:space="preserve"> </w:t>
      </w:r>
      <w:r>
        <w:rPr>
          <w:rFonts w:ascii="Garamond" w:hAnsi="Garamond" w:cs="Garamond"/>
          <w:sz w:val="23"/>
          <w:szCs w:val="23"/>
        </w:rPr>
        <w:t>access</w:t>
      </w:r>
      <w:r>
        <w:rPr>
          <w:rFonts w:ascii="Garamond" w:hAnsi="Garamond" w:cs="Garamond"/>
          <w:spacing w:val="-7"/>
          <w:sz w:val="23"/>
          <w:szCs w:val="23"/>
        </w:rPr>
        <w:t xml:space="preserve"> </w:t>
      </w:r>
      <w:r>
        <w:rPr>
          <w:rFonts w:ascii="Garamond" w:hAnsi="Garamond" w:cs="Garamond"/>
          <w:sz w:val="23"/>
          <w:szCs w:val="23"/>
        </w:rPr>
        <w:t>to</w:t>
      </w:r>
      <w:r>
        <w:rPr>
          <w:rFonts w:ascii="Garamond" w:hAnsi="Garamond" w:cs="Garamond"/>
          <w:spacing w:val="-7"/>
          <w:sz w:val="23"/>
          <w:szCs w:val="23"/>
        </w:rPr>
        <w:t xml:space="preserve"> </w:t>
      </w:r>
      <w:r>
        <w:rPr>
          <w:rFonts w:ascii="Garamond" w:hAnsi="Garamond" w:cs="Garamond"/>
          <w:sz w:val="23"/>
          <w:szCs w:val="23"/>
        </w:rPr>
        <w:t xml:space="preserve">dental services for high-risk individuals likely to inappropriately access an emergency department and general hospital for </w:t>
      </w:r>
      <w:r>
        <w:rPr>
          <w:rFonts w:ascii="Garamond" w:hAnsi="Garamond" w:cs="Garamond"/>
          <w:spacing w:val="-3"/>
          <w:sz w:val="23"/>
          <w:szCs w:val="23"/>
        </w:rPr>
        <w:t xml:space="preserve">untreated </w:t>
      </w:r>
      <w:r>
        <w:rPr>
          <w:rFonts w:ascii="Garamond" w:hAnsi="Garamond" w:cs="Garamond"/>
          <w:sz w:val="23"/>
          <w:szCs w:val="23"/>
        </w:rPr>
        <w:t>dental</w:t>
      </w:r>
      <w:r>
        <w:rPr>
          <w:rFonts w:ascii="Garamond" w:hAnsi="Garamond" w:cs="Garamond"/>
          <w:spacing w:val="-26"/>
          <w:sz w:val="23"/>
          <w:szCs w:val="23"/>
        </w:rPr>
        <w:t xml:space="preserve"> </w:t>
      </w:r>
      <w:r>
        <w:rPr>
          <w:rFonts w:ascii="Garamond" w:hAnsi="Garamond" w:cs="Garamond"/>
          <w:sz w:val="23"/>
          <w:szCs w:val="23"/>
        </w:rPr>
        <w:t>conditions.</w:t>
      </w:r>
      <w:r>
        <w:rPr>
          <w:rFonts w:ascii="Garamond" w:hAnsi="Garamond" w:cs="Garamond"/>
          <w:position w:val="5"/>
          <w:sz w:val="15"/>
          <w:szCs w:val="15"/>
        </w:rPr>
        <w:t>16</w:t>
      </w:r>
    </w:p>
    <w:p w:rsidR="002C5025" w:rsidRDefault="002C5025">
      <w:pPr>
        <w:pStyle w:val="ListParagraph"/>
        <w:numPr>
          <w:ilvl w:val="0"/>
          <w:numId w:val="26"/>
        </w:numPr>
        <w:tabs>
          <w:tab w:val="left" w:pos="840"/>
        </w:tabs>
        <w:kinsoku w:val="0"/>
        <w:overflowPunct w:val="0"/>
        <w:spacing w:before="1" w:line="273" w:lineRule="auto"/>
        <w:ind w:right="304" w:hanging="359"/>
        <w:rPr>
          <w:rFonts w:ascii="Garamond" w:hAnsi="Garamond" w:cs="Garamond"/>
          <w:position w:val="5"/>
          <w:sz w:val="15"/>
          <w:szCs w:val="15"/>
        </w:rPr>
      </w:pPr>
      <w:r>
        <w:rPr>
          <w:rFonts w:ascii="Garamond" w:hAnsi="Garamond" w:cs="Garamond"/>
          <w:sz w:val="23"/>
          <w:szCs w:val="23"/>
        </w:rPr>
        <w:t>The Massachusetts League of Community Health Centers conducted two medical-dental integration</w:t>
      </w:r>
      <w:r>
        <w:rPr>
          <w:rFonts w:ascii="Garamond" w:hAnsi="Garamond" w:cs="Garamond"/>
          <w:spacing w:val="-5"/>
          <w:sz w:val="23"/>
          <w:szCs w:val="23"/>
        </w:rPr>
        <w:t xml:space="preserve"> </w:t>
      </w:r>
      <w:r>
        <w:rPr>
          <w:rFonts w:ascii="Garamond" w:hAnsi="Garamond" w:cs="Garamond"/>
          <w:sz w:val="23"/>
          <w:szCs w:val="23"/>
        </w:rPr>
        <w:t>pilots</w:t>
      </w:r>
      <w:r>
        <w:rPr>
          <w:rFonts w:ascii="Garamond" w:hAnsi="Garamond" w:cs="Garamond"/>
          <w:spacing w:val="-5"/>
          <w:sz w:val="23"/>
          <w:szCs w:val="23"/>
        </w:rPr>
        <w:t xml:space="preserve"> </w:t>
      </w:r>
      <w:r>
        <w:rPr>
          <w:rFonts w:ascii="Garamond" w:hAnsi="Garamond" w:cs="Garamond"/>
          <w:spacing w:val="-3"/>
          <w:sz w:val="23"/>
          <w:szCs w:val="23"/>
        </w:rPr>
        <w:t>programs</w:t>
      </w:r>
      <w:r>
        <w:rPr>
          <w:rFonts w:ascii="Garamond" w:hAnsi="Garamond" w:cs="Garamond"/>
          <w:spacing w:val="-10"/>
          <w:sz w:val="23"/>
          <w:szCs w:val="23"/>
        </w:rPr>
        <w:t xml:space="preserve"> </w:t>
      </w:r>
      <w:r>
        <w:rPr>
          <w:rFonts w:ascii="Garamond" w:hAnsi="Garamond" w:cs="Garamond"/>
          <w:sz w:val="23"/>
          <w:szCs w:val="23"/>
        </w:rPr>
        <w:t>across</w:t>
      </w:r>
      <w:r>
        <w:rPr>
          <w:rFonts w:ascii="Garamond" w:hAnsi="Garamond" w:cs="Garamond"/>
          <w:spacing w:val="-5"/>
          <w:sz w:val="23"/>
          <w:szCs w:val="23"/>
        </w:rPr>
        <w:t xml:space="preserve"> </w:t>
      </w:r>
      <w:r>
        <w:rPr>
          <w:rFonts w:ascii="Garamond" w:hAnsi="Garamond" w:cs="Garamond"/>
          <w:sz w:val="23"/>
          <w:szCs w:val="23"/>
        </w:rPr>
        <w:t>multiple</w:t>
      </w:r>
      <w:r>
        <w:rPr>
          <w:rFonts w:ascii="Garamond" w:hAnsi="Garamond" w:cs="Garamond"/>
          <w:spacing w:val="-8"/>
          <w:sz w:val="23"/>
          <w:szCs w:val="23"/>
        </w:rPr>
        <w:t xml:space="preserve"> </w:t>
      </w:r>
      <w:r>
        <w:rPr>
          <w:rFonts w:ascii="Garamond" w:hAnsi="Garamond" w:cs="Garamond"/>
          <w:sz w:val="23"/>
          <w:szCs w:val="23"/>
        </w:rPr>
        <w:t>community</w:t>
      </w:r>
      <w:r>
        <w:rPr>
          <w:rFonts w:ascii="Garamond" w:hAnsi="Garamond" w:cs="Garamond"/>
          <w:spacing w:val="-8"/>
          <w:sz w:val="23"/>
          <w:szCs w:val="23"/>
        </w:rPr>
        <w:t xml:space="preserve"> </w:t>
      </w:r>
      <w:r>
        <w:rPr>
          <w:rFonts w:ascii="Garamond" w:hAnsi="Garamond" w:cs="Garamond"/>
          <w:sz w:val="23"/>
          <w:szCs w:val="23"/>
        </w:rPr>
        <w:t>health</w:t>
      </w:r>
      <w:r>
        <w:rPr>
          <w:rFonts w:ascii="Garamond" w:hAnsi="Garamond" w:cs="Garamond"/>
          <w:spacing w:val="-5"/>
          <w:sz w:val="23"/>
          <w:szCs w:val="23"/>
        </w:rPr>
        <w:t xml:space="preserve"> </w:t>
      </w:r>
      <w:r>
        <w:rPr>
          <w:rFonts w:ascii="Garamond" w:hAnsi="Garamond" w:cs="Garamond"/>
          <w:sz w:val="23"/>
          <w:szCs w:val="23"/>
        </w:rPr>
        <w:t>centers</w:t>
      </w:r>
      <w:r>
        <w:rPr>
          <w:rFonts w:ascii="Garamond" w:hAnsi="Garamond" w:cs="Garamond"/>
          <w:spacing w:val="-7"/>
          <w:sz w:val="23"/>
          <w:szCs w:val="23"/>
        </w:rPr>
        <w:t xml:space="preserve"> </w:t>
      </w:r>
      <w:r>
        <w:rPr>
          <w:rFonts w:ascii="Garamond" w:hAnsi="Garamond" w:cs="Garamond"/>
          <w:sz w:val="23"/>
          <w:szCs w:val="23"/>
        </w:rPr>
        <w:t>(CHCs).</w:t>
      </w:r>
      <w:r>
        <w:rPr>
          <w:rFonts w:ascii="Garamond" w:hAnsi="Garamond" w:cs="Garamond"/>
          <w:spacing w:val="-5"/>
          <w:sz w:val="23"/>
          <w:szCs w:val="23"/>
        </w:rPr>
        <w:t xml:space="preserve"> </w:t>
      </w:r>
      <w:r>
        <w:rPr>
          <w:rFonts w:ascii="Garamond" w:hAnsi="Garamond" w:cs="Garamond"/>
          <w:sz w:val="23"/>
          <w:szCs w:val="23"/>
        </w:rPr>
        <w:t>Using</w:t>
      </w:r>
      <w:r>
        <w:rPr>
          <w:rFonts w:ascii="Garamond" w:hAnsi="Garamond" w:cs="Garamond"/>
          <w:spacing w:val="-8"/>
          <w:sz w:val="23"/>
          <w:szCs w:val="23"/>
        </w:rPr>
        <w:t xml:space="preserve"> </w:t>
      </w:r>
      <w:r>
        <w:rPr>
          <w:rFonts w:ascii="Garamond" w:hAnsi="Garamond" w:cs="Garamond"/>
          <w:sz w:val="23"/>
          <w:szCs w:val="23"/>
        </w:rPr>
        <w:t>a</w:t>
      </w:r>
      <w:r>
        <w:rPr>
          <w:rFonts w:ascii="Garamond" w:hAnsi="Garamond" w:cs="Garamond"/>
          <w:spacing w:val="-5"/>
          <w:sz w:val="23"/>
          <w:szCs w:val="23"/>
        </w:rPr>
        <w:t xml:space="preserve"> </w:t>
      </w:r>
      <w:r>
        <w:rPr>
          <w:rFonts w:ascii="Garamond" w:hAnsi="Garamond" w:cs="Garamond"/>
          <w:sz w:val="23"/>
          <w:szCs w:val="23"/>
        </w:rPr>
        <w:t xml:space="preserve">quality improvement approach, </w:t>
      </w:r>
      <w:r>
        <w:rPr>
          <w:rFonts w:ascii="Garamond" w:hAnsi="Garamond" w:cs="Garamond"/>
          <w:spacing w:val="-3"/>
          <w:sz w:val="23"/>
          <w:szCs w:val="23"/>
        </w:rPr>
        <w:t xml:space="preserve">CHCs </w:t>
      </w:r>
      <w:r>
        <w:rPr>
          <w:rFonts w:ascii="Garamond" w:hAnsi="Garamond" w:cs="Garamond"/>
          <w:sz w:val="23"/>
          <w:szCs w:val="23"/>
        </w:rPr>
        <w:t xml:space="preserve">monitored metrics ranging from the percentage </w:t>
      </w:r>
      <w:r>
        <w:rPr>
          <w:rFonts w:ascii="Garamond" w:hAnsi="Garamond" w:cs="Garamond"/>
          <w:spacing w:val="-3"/>
          <w:sz w:val="23"/>
          <w:szCs w:val="23"/>
        </w:rPr>
        <w:t xml:space="preserve">of </w:t>
      </w:r>
      <w:r>
        <w:rPr>
          <w:rFonts w:ascii="Garamond" w:hAnsi="Garamond" w:cs="Garamond"/>
          <w:sz w:val="23"/>
          <w:szCs w:val="23"/>
        </w:rPr>
        <w:t>pediatric patients</w:t>
      </w:r>
      <w:r>
        <w:rPr>
          <w:rFonts w:ascii="Garamond" w:hAnsi="Garamond" w:cs="Garamond"/>
          <w:spacing w:val="-6"/>
          <w:sz w:val="23"/>
          <w:szCs w:val="23"/>
        </w:rPr>
        <w:t xml:space="preserve"> </w:t>
      </w:r>
      <w:r>
        <w:rPr>
          <w:rFonts w:ascii="Garamond" w:hAnsi="Garamond" w:cs="Garamond"/>
          <w:sz w:val="23"/>
          <w:szCs w:val="23"/>
        </w:rPr>
        <w:t>asked</w:t>
      </w:r>
      <w:r>
        <w:rPr>
          <w:rFonts w:ascii="Garamond" w:hAnsi="Garamond" w:cs="Garamond"/>
          <w:spacing w:val="-7"/>
          <w:sz w:val="23"/>
          <w:szCs w:val="23"/>
        </w:rPr>
        <w:t xml:space="preserve"> </w:t>
      </w:r>
      <w:r>
        <w:rPr>
          <w:rFonts w:ascii="Garamond" w:hAnsi="Garamond" w:cs="Garamond"/>
          <w:sz w:val="23"/>
          <w:szCs w:val="23"/>
        </w:rPr>
        <w:t>about</w:t>
      </w:r>
      <w:r>
        <w:rPr>
          <w:rFonts w:ascii="Garamond" w:hAnsi="Garamond" w:cs="Garamond"/>
          <w:spacing w:val="-11"/>
          <w:sz w:val="23"/>
          <w:szCs w:val="23"/>
        </w:rPr>
        <w:t xml:space="preserve"> </w:t>
      </w:r>
      <w:r>
        <w:rPr>
          <w:rFonts w:ascii="Garamond" w:hAnsi="Garamond" w:cs="Garamond"/>
          <w:sz w:val="23"/>
          <w:szCs w:val="23"/>
        </w:rPr>
        <w:t>oral</w:t>
      </w:r>
      <w:r>
        <w:rPr>
          <w:rFonts w:ascii="Garamond" w:hAnsi="Garamond" w:cs="Garamond"/>
          <w:spacing w:val="-7"/>
          <w:sz w:val="23"/>
          <w:szCs w:val="23"/>
        </w:rPr>
        <w:t xml:space="preserve"> </w:t>
      </w:r>
      <w:r>
        <w:rPr>
          <w:rFonts w:ascii="Garamond" w:hAnsi="Garamond" w:cs="Garamond"/>
          <w:sz w:val="23"/>
          <w:szCs w:val="23"/>
        </w:rPr>
        <w:t>health</w:t>
      </w:r>
      <w:r>
        <w:rPr>
          <w:rFonts w:ascii="Garamond" w:hAnsi="Garamond" w:cs="Garamond"/>
          <w:spacing w:val="-10"/>
          <w:sz w:val="23"/>
          <w:szCs w:val="23"/>
        </w:rPr>
        <w:t xml:space="preserve"> </w:t>
      </w:r>
      <w:r>
        <w:rPr>
          <w:rFonts w:ascii="Garamond" w:hAnsi="Garamond" w:cs="Garamond"/>
          <w:sz w:val="23"/>
          <w:szCs w:val="23"/>
        </w:rPr>
        <w:t>to</w:t>
      </w:r>
      <w:r>
        <w:rPr>
          <w:rFonts w:ascii="Garamond" w:hAnsi="Garamond" w:cs="Garamond"/>
          <w:spacing w:val="-7"/>
          <w:sz w:val="23"/>
          <w:szCs w:val="23"/>
        </w:rPr>
        <w:t xml:space="preserve"> </w:t>
      </w:r>
      <w:r>
        <w:rPr>
          <w:rFonts w:ascii="Garamond" w:hAnsi="Garamond" w:cs="Garamond"/>
          <w:sz w:val="23"/>
          <w:szCs w:val="23"/>
        </w:rPr>
        <w:t>tracking</w:t>
      </w:r>
      <w:r>
        <w:rPr>
          <w:rFonts w:ascii="Garamond" w:hAnsi="Garamond" w:cs="Garamond"/>
          <w:spacing w:val="-7"/>
          <w:sz w:val="23"/>
          <w:szCs w:val="23"/>
        </w:rPr>
        <w:t xml:space="preserve"> </w:t>
      </w:r>
      <w:r>
        <w:rPr>
          <w:rFonts w:ascii="Garamond" w:hAnsi="Garamond" w:cs="Garamond"/>
          <w:sz w:val="23"/>
          <w:szCs w:val="23"/>
        </w:rPr>
        <w:t>diabetic</w:t>
      </w:r>
      <w:r>
        <w:rPr>
          <w:rFonts w:ascii="Garamond" w:hAnsi="Garamond" w:cs="Garamond"/>
          <w:spacing w:val="-8"/>
          <w:sz w:val="23"/>
          <w:szCs w:val="23"/>
        </w:rPr>
        <w:t xml:space="preserve"> </w:t>
      </w:r>
      <w:r>
        <w:rPr>
          <w:rFonts w:ascii="Garamond" w:hAnsi="Garamond" w:cs="Garamond"/>
          <w:sz w:val="23"/>
          <w:szCs w:val="23"/>
        </w:rPr>
        <w:t>patients’</w:t>
      </w:r>
      <w:r>
        <w:rPr>
          <w:rFonts w:ascii="Garamond" w:hAnsi="Garamond" w:cs="Garamond"/>
          <w:spacing w:val="-7"/>
          <w:sz w:val="23"/>
          <w:szCs w:val="23"/>
        </w:rPr>
        <w:t xml:space="preserve"> </w:t>
      </w:r>
      <w:r>
        <w:rPr>
          <w:rFonts w:ascii="Garamond" w:hAnsi="Garamond" w:cs="Garamond"/>
          <w:sz w:val="23"/>
          <w:szCs w:val="23"/>
        </w:rPr>
        <w:t>referrals</w:t>
      </w:r>
      <w:r>
        <w:rPr>
          <w:rFonts w:ascii="Garamond" w:hAnsi="Garamond" w:cs="Garamond"/>
          <w:spacing w:val="-9"/>
          <w:sz w:val="23"/>
          <w:szCs w:val="23"/>
        </w:rPr>
        <w:t xml:space="preserve"> </w:t>
      </w:r>
      <w:r>
        <w:rPr>
          <w:rFonts w:ascii="Garamond" w:hAnsi="Garamond" w:cs="Garamond"/>
          <w:sz w:val="23"/>
          <w:szCs w:val="23"/>
        </w:rPr>
        <w:t>to</w:t>
      </w:r>
      <w:r>
        <w:rPr>
          <w:rFonts w:ascii="Garamond" w:hAnsi="Garamond" w:cs="Garamond"/>
          <w:spacing w:val="-10"/>
          <w:sz w:val="23"/>
          <w:szCs w:val="23"/>
        </w:rPr>
        <w:t xml:space="preserve"> </w:t>
      </w:r>
      <w:r>
        <w:rPr>
          <w:rFonts w:ascii="Garamond" w:hAnsi="Garamond" w:cs="Garamond"/>
          <w:sz w:val="23"/>
          <w:szCs w:val="23"/>
        </w:rPr>
        <w:t>dental</w:t>
      </w:r>
      <w:r>
        <w:rPr>
          <w:rFonts w:ascii="Garamond" w:hAnsi="Garamond" w:cs="Garamond"/>
          <w:spacing w:val="-10"/>
          <w:sz w:val="23"/>
          <w:szCs w:val="23"/>
        </w:rPr>
        <w:t xml:space="preserve"> </w:t>
      </w:r>
      <w:r>
        <w:rPr>
          <w:rFonts w:ascii="Garamond" w:hAnsi="Garamond" w:cs="Garamond"/>
          <w:sz w:val="23"/>
          <w:szCs w:val="23"/>
        </w:rPr>
        <w:t>care.</w:t>
      </w:r>
      <w:r>
        <w:rPr>
          <w:rFonts w:ascii="Garamond" w:hAnsi="Garamond" w:cs="Garamond"/>
          <w:position w:val="5"/>
          <w:sz w:val="15"/>
          <w:szCs w:val="15"/>
        </w:rPr>
        <w:t>17</w:t>
      </w:r>
    </w:p>
    <w:p w:rsidR="002C5025" w:rsidRDefault="002C5025">
      <w:pPr>
        <w:pStyle w:val="BodyText"/>
        <w:kinsoku w:val="0"/>
        <w:overflowPunct w:val="0"/>
        <w:spacing w:before="1"/>
        <w:rPr>
          <w:rFonts w:ascii="Garamond" w:hAnsi="Garamond" w:cs="Garamond"/>
          <w:sz w:val="26"/>
          <w:szCs w:val="26"/>
        </w:rPr>
      </w:pPr>
    </w:p>
    <w:p w:rsidR="002C5025" w:rsidRDefault="002C5025">
      <w:pPr>
        <w:pStyle w:val="BodyText"/>
        <w:kinsoku w:val="0"/>
        <w:overflowPunct w:val="0"/>
        <w:ind w:left="120" w:right="329"/>
        <w:rPr>
          <w:rFonts w:ascii="Garamond" w:hAnsi="Garamond" w:cs="Garamond"/>
          <w:b/>
          <w:bCs/>
          <w:i/>
          <w:iCs/>
          <w:w w:val="90"/>
          <w:sz w:val="26"/>
          <w:szCs w:val="26"/>
        </w:rPr>
      </w:pPr>
      <w:bookmarkStart w:id="245" w:name="Oral_health_should_be_integrated_into_al"/>
      <w:bookmarkEnd w:id="245"/>
      <w:r>
        <w:rPr>
          <w:rFonts w:ascii="Garamond" w:hAnsi="Garamond" w:cs="Garamond"/>
          <w:b/>
          <w:bCs/>
          <w:i/>
          <w:iCs/>
          <w:w w:val="90"/>
          <w:sz w:val="26"/>
          <w:szCs w:val="26"/>
        </w:rPr>
        <w:t xml:space="preserve">Oral health should be integrated into all aspects </w:t>
      </w:r>
      <w:proofErr w:type="spellStart"/>
      <w:r>
        <w:rPr>
          <w:rFonts w:ascii="Garamond" w:hAnsi="Garamond" w:cs="Garamond"/>
          <w:b/>
          <w:bCs/>
          <w:i/>
          <w:iCs/>
          <w:w w:val="90"/>
          <w:sz w:val="26"/>
          <w:szCs w:val="26"/>
        </w:rPr>
        <w:t>ofcare</w:t>
      </w:r>
      <w:proofErr w:type="spellEnd"/>
      <w:r>
        <w:rPr>
          <w:rFonts w:ascii="Garamond" w:hAnsi="Garamond" w:cs="Garamond"/>
          <w:b/>
          <w:bCs/>
          <w:i/>
          <w:iCs/>
          <w:w w:val="90"/>
          <w:sz w:val="26"/>
          <w:szCs w:val="26"/>
        </w:rPr>
        <w:t xml:space="preserve"> coordination</w:t>
      </w:r>
    </w:p>
    <w:p w:rsidR="002C5025" w:rsidRDefault="002C5025">
      <w:pPr>
        <w:pStyle w:val="BodyText"/>
        <w:kinsoku w:val="0"/>
        <w:overflowPunct w:val="0"/>
        <w:spacing w:before="156" w:line="273" w:lineRule="auto"/>
        <w:ind w:left="119" w:right="141"/>
        <w:rPr>
          <w:rFonts w:ascii="Garamond" w:hAnsi="Garamond" w:cs="Garamond"/>
          <w:sz w:val="24"/>
          <w:szCs w:val="24"/>
        </w:rPr>
      </w:pPr>
      <w:r>
        <w:rPr>
          <w:rFonts w:ascii="Garamond" w:hAnsi="Garamond" w:cs="Garamond"/>
          <w:sz w:val="24"/>
          <w:szCs w:val="24"/>
        </w:rPr>
        <w:t>Case</w:t>
      </w:r>
      <w:r>
        <w:rPr>
          <w:rFonts w:ascii="Garamond" w:hAnsi="Garamond" w:cs="Garamond"/>
          <w:spacing w:val="-12"/>
          <w:sz w:val="24"/>
          <w:szCs w:val="24"/>
        </w:rPr>
        <w:t xml:space="preserve"> </w:t>
      </w:r>
      <w:r>
        <w:rPr>
          <w:rFonts w:ascii="Garamond" w:hAnsi="Garamond" w:cs="Garamond"/>
          <w:sz w:val="24"/>
          <w:szCs w:val="24"/>
        </w:rPr>
        <w:t>managers,</w:t>
      </w:r>
      <w:r>
        <w:rPr>
          <w:rFonts w:ascii="Garamond" w:hAnsi="Garamond" w:cs="Garamond"/>
          <w:spacing w:val="-12"/>
          <w:sz w:val="24"/>
          <w:szCs w:val="24"/>
        </w:rPr>
        <w:t xml:space="preserve"> </w:t>
      </w:r>
      <w:r>
        <w:rPr>
          <w:rFonts w:ascii="Garamond" w:hAnsi="Garamond" w:cs="Garamond"/>
          <w:sz w:val="24"/>
          <w:szCs w:val="24"/>
        </w:rPr>
        <w:t>community</w:t>
      </w:r>
      <w:r>
        <w:rPr>
          <w:rFonts w:ascii="Garamond" w:hAnsi="Garamond" w:cs="Garamond"/>
          <w:spacing w:val="-10"/>
          <w:sz w:val="24"/>
          <w:szCs w:val="24"/>
        </w:rPr>
        <w:t xml:space="preserve"> </w:t>
      </w:r>
      <w:r>
        <w:rPr>
          <w:rFonts w:ascii="Garamond" w:hAnsi="Garamond" w:cs="Garamond"/>
          <w:sz w:val="24"/>
          <w:szCs w:val="24"/>
        </w:rPr>
        <w:t>health</w:t>
      </w:r>
      <w:r>
        <w:rPr>
          <w:rFonts w:ascii="Garamond" w:hAnsi="Garamond" w:cs="Garamond"/>
          <w:spacing w:val="-12"/>
          <w:sz w:val="24"/>
          <w:szCs w:val="24"/>
        </w:rPr>
        <w:t xml:space="preserve"> </w:t>
      </w:r>
      <w:r>
        <w:rPr>
          <w:rFonts w:ascii="Garamond" w:hAnsi="Garamond" w:cs="Garamond"/>
          <w:sz w:val="24"/>
          <w:szCs w:val="24"/>
        </w:rPr>
        <w:t>workers,</w:t>
      </w:r>
      <w:r>
        <w:rPr>
          <w:rFonts w:ascii="Garamond" w:hAnsi="Garamond" w:cs="Garamond"/>
          <w:spacing w:val="-12"/>
          <w:sz w:val="24"/>
          <w:szCs w:val="24"/>
        </w:rPr>
        <w:t xml:space="preserve"> </w:t>
      </w:r>
      <w:r>
        <w:rPr>
          <w:rFonts w:ascii="Garamond" w:hAnsi="Garamond" w:cs="Garamond"/>
          <w:sz w:val="24"/>
          <w:szCs w:val="24"/>
        </w:rPr>
        <w:t>and</w:t>
      </w:r>
      <w:r>
        <w:rPr>
          <w:rFonts w:ascii="Garamond" w:hAnsi="Garamond" w:cs="Garamond"/>
          <w:spacing w:val="-11"/>
          <w:sz w:val="24"/>
          <w:szCs w:val="24"/>
        </w:rPr>
        <w:t xml:space="preserve"> </w:t>
      </w:r>
      <w:r>
        <w:rPr>
          <w:rFonts w:ascii="Garamond" w:hAnsi="Garamond" w:cs="Garamond"/>
          <w:sz w:val="24"/>
          <w:szCs w:val="24"/>
        </w:rPr>
        <w:t>other</w:t>
      </w:r>
      <w:r>
        <w:rPr>
          <w:rFonts w:ascii="Garamond" w:hAnsi="Garamond" w:cs="Garamond"/>
          <w:spacing w:val="-13"/>
          <w:sz w:val="24"/>
          <w:szCs w:val="24"/>
        </w:rPr>
        <w:t xml:space="preserve"> </w:t>
      </w:r>
      <w:r>
        <w:rPr>
          <w:rFonts w:ascii="Garamond" w:hAnsi="Garamond" w:cs="Garamond"/>
          <w:sz w:val="24"/>
          <w:szCs w:val="24"/>
        </w:rPr>
        <w:t>health</w:t>
      </w:r>
      <w:r>
        <w:rPr>
          <w:rFonts w:ascii="Garamond" w:hAnsi="Garamond" w:cs="Garamond"/>
          <w:spacing w:val="-12"/>
          <w:sz w:val="24"/>
          <w:szCs w:val="24"/>
        </w:rPr>
        <w:t xml:space="preserve"> </w:t>
      </w:r>
      <w:r>
        <w:rPr>
          <w:rFonts w:ascii="Garamond" w:hAnsi="Garamond" w:cs="Garamond"/>
          <w:sz w:val="24"/>
          <w:szCs w:val="24"/>
        </w:rPr>
        <w:t>care</w:t>
      </w:r>
      <w:r>
        <w:rPr>
          <w:rFonts w:ascii="Garamond" w:hAnsi="Garamond" w:cs="Garamond"/>
          <w:spacing w:val="-14"/>
          <w:sz w:val="24"/>
          <w:szCs w:val="24"/>
        </w:rPr>
        <w:t xml:space="preserve"> </w:t>
      </w:r>
      <w:r>
        <w:rPr>
          <w:rFonts w:ascii="Garamond" w:hAnsi="Garamond" w:cs="Garamond"/>
          <w:sz w:val="24"/>
          <w:szCs w:val="24"/>
        </w:rPr>
        <w:t>workers</w:t>
      </w:r>
      <w:r>
        <w:rPr>
          <w:rFonts w:ascii="Garamond" w:hAnsi="Garamond" w:cs="Garamond"/>
          <w:spacing w:val="-13"/>
          <w:sz w:val="24"/>
          <w:szCs w:val="24"/>
        </w:rPr>
        <w:t xml:space="preserve"> </w:t>
      </w:r>
      <w:r>
        <w:rPr>
          <w:rFonts w:ascii="Garamond" w:hAnsi="Garamond" w:cs="Garamond"/>
          <w:sz w:val="24"/>
          <w:szCs w:val="24"/>
        </w:rPr>
        <w:t>that</w:t>
      </w:r>
      <w:r>
        <w:rPr>
          <w:rFonts w:ascii="Garamond" w:hAnsi="Garamond" w:cs="Garamond"/>
          <w:spacing w:val="-13"/>
          <w:sz w:val="24"/>
          <w:szCs w:val="24"/>
        </w:rPr>
        <w:t xml:space="preserve"> </w:t>
      </w:r>
      <w:r>
        <w:rPr>
          <w:rFonts w:ascii="Garamond" w:hAnsi="Garamond" w:cs="Garamond"/>
          <w:sz w:val="24"/>
          <w:szCs w:val="24"/>
        </w:rPr>
        <w:t>coordinate</w:t>
      </w:r>
      <w:r>
        <w:rPr>
          <w:rFonts w:ascii="Garamond" w:hAnsi="Garamond" w:cs="Garamond"/>
          <w:spacing w:val="-12"/>
          <w:sz w:val="24"/>
          <w:szCs w:val="24"/>
        </w:rPr>
        <w:t xml:space="preserve"> </w:t>
      </w:r>
      <w:r>
        <w:rPr>
          <w:rFonts w:ascii="Garamond" w:hAnsi="Garamond" w:cs="Garamond"/>
          <w:sz w:val="24"/>
          <w:szCs w:val="24"/>
        </w:rPr>
        <w:t>care</w:t>
      </w:r>
      <w:r>
        <w:rPr>
          <w:rFonts w:ascii="Garamond" w:hAnsi="Garamond" w:cs="Garamond"/>
          <w:spacing w:val="-12"/>
          <w:sz w:val="24"/>
          <w:szCs w:val="24"/>
        </w:rPr>
        <w:t xml:space="preserve"> </w:t>
      </w:r>
      <w:r>
        <w:rPr>
          <w:rFonts w:ascii="Garamond" w:hAnsi="Garamond" w:cs="Garamond"/>
          <w:sz w:val="24"/>
          <w:szCs w:val="24"/>
        </w:rPr>
        <w:t xml:space="preserve">both within the ACO and with community partners </w:t>
      </w:r>
      <w:r>
        <w:rPr>
          <w:rFonts w:ascii="Garamond" w:hAnsi="Garamond" w:cs="Garamond"/>
          <w:spacing w:val="-2"/>
          <w:sz w:val="24"/>
          <w:szCs w:val="24"/>
        </w:rPr>
        <w:t xml:space="preserve">should </w:t>
      </w:r>
      <w:r>
        <w:rPr>
          <w:rFonts w:ascii="Garamond" w:hAnsi="Garamond" w:cs="Garamond"/>
          <w:sz w:val="24"/>
          <w:szCs w:val="24"/>
        </w:rPr>
        <w:t>all consider oral health. These health care workers are key members of the patient care team who can and should have responsibility in supporting members to identify oral health concerns and facilitating connections with oral health providers.</w:t>
      </w:r>
    </w:p>
    <w:p w:rsidR="002C5025" w:rsidRDefault="002C5025">
      <w:pPr>
        <w:pStyle w:val="BodyText"/>
        <w:kinsoku w:val="0"/>
        <w:overflowPunct w:val="0"/>
        <w:spacing w:before="10"/>
        <w:rPr>
          <w:rFonts w:ascii="Garamond" w:hAnsi="Garamond" w:cs="Garamond"/>
          <w:sz w:val="27"/>
          <w:szCs w:val="27"/>
        </w:rPr>
      </w:pPr>
    </w:p>
    <w:p w:rsidR="002C5025" w:rsidRDefault="002C5025">
      <w:pPr>
        <w:pStyle w:val="BodyText"/>
        <w:kinsoku w:val="0"/>
        <w:overflowPunct w:val="0"/>
        <w:spacing w:line="276" w:lineRule="auto"/>
        <w:ind w:left="120" w:right="111"/>
        <w:jc w:val="both"/>
        <w:rPr>
          <w:rFonts w:ascii="Garamond" w:hAnsi="Garamond" w:cs="Garamond"/>
          <w:sz w:val="24"/>
          <w:szCs w:val="24"/>
        </w:rPr>
      </w:pPr>
      <w:r>
        <w:rPr>
          <w:rFonts w:ascii="Garamond" w:hAnsi="Garamond" w:cs="Garamond"/>
          <w:sz w:val="24"/>
          <w:szCs w:val="24"/>
        </w:rPr>
        <w:t>Oral health should be a standard part of any baseline patient assessment or care plan developed by the ACO, MCO, or other provider. Simple screening questions asking about oral health status, oral health self-management, and dental service utilization can identify the need for oral health care. All</w:t>
      </w:r>
    </w:p>
    <w:p w:rsidR="002C5025" w:rsidRDefault="00FB027C">
      <w:pPr>
        <w:pStyle w:val="BodyText"/>
        <w:kinsoku w:val="0"/>
        <w:overflowPunct w:val="0"/>
        <w:spacing w:before="8"/>
        <w:rPr>
          <w:rFonts w:ascii="Garamond" w:hAnsi="Garamond" w:cs="Garamond"/>
          <w:sz w:val="11"/>
          <w:szCs w:val="11"/>
        </w:rPr>
      </w:pPr>
      <w:r>
        <w:rPr>
          <w:noProof/>
        </w:rPr>
        <mc:AlternateContent>
          <mc:Choice Requires="wps">
            <w:drawing>
              <wp:anchor distT="0" distB="0" distL="0" distR="0" simplePos="0" relativeHeight="251798016" behindDoc="0" locked="0" layoutInCell="0" allowOverlap="1">
                <wp:simplePos x="0" y="0"/>
                <wp:positionH relativeFrom="page">
                  <wp:posOffset>923925</wp:posOffset>
                </wp:positionH>
                <wp:positionV relativeFrom="paragraph">
                  <wp:posOffset>113665</wp:posOffset>
                </wp:positionV>
                <wp:extent cx="1829435" cy="12700"/>
                <wp:effectExtent l="0" t="0" r="0" b="0"/>
                <wp:wrapTopAndBottom/>
                <wp:docPr id="85" name="Freeform 7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1 w 2881"/>
                            <a:gd name="T3" fmla="*/ 0 h 20"/>
                          </a:gdLst>
                          <a:ahLst/>
                          <a:cxnLst>
                            <a:cxn ang="0">
                              <a:pos x="T0" y="T1"/>
                            </a:cxn>
                            <a:cxn ang="0">
                              <a:pos x="T2" y="T3"/>
                            </a:cxn>
                          </a:cxnLst>
                          <a:rect l="0" t="0" r="r" b="b"/>
                          <a:pathLst>
                            <a:path w="2881" h="20">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90" o:spid="_x0000_s1026" style="position:absolute;z-index:251798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2.75pt,8.95pt,216.8pt,8.95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" o:allowincell="f" filled="f" strokeweight=".82pt">
                <v:path arrowok="t" o:connecttype="custom" o:connectlocs="0,0;1829435,0" o:connectangles="0,0"/>
                <w10:wrap type="topAndBottom" anchorx="page"/>
              </v:polyline>
            </w:pict>
          </mc:Fallback>
        </mc:AlternateContent>
      </w:r>
    </w:p>
    <w:p w:rsidR="002C5025" w:rsidRDefault="002C5025">
      <w:pPr>
        <w:pStyle w:val="BodyText"/>
        <w:kinsoku w:val="0"/>
        <w:overflowPunct w:val="0"/>
        <w:spacing w:before="71"/>
        <w:ind w:left="120" w:right="174"/>
        <w:rPr>
          <w:rFonts w:ascii="Garamond" w:hAnsi="Garamond" w:cs="Garamond"/>
          <w:sz w:val="20"/>
          <w:szCs w:val="20"/>
        </w:rPr>
      </w:pPr>
      <w:r>
        <w:rPr>
          <w:rFonts w:ascii="Garamond" w:hAnsi="Garamond" w:cs="Garamond"/>
          <w:position w:val="5"/>
          <w:sz w:val="13"/>
          <w:szCs w:val="13"/>
        </w:rPr>
        <w:t>15</w:t>
      </w:r>
      <w:r>
        <w:rPr>
          <w:rFonts w:ascii="Garamond" w:hAnsi="Garamond" w:cs="Garamond"/>
          <w:spacing w:val="7"/>
          <w:position w:val="5"/>
          <w:sz w:val="13"/>
          <w:szCs w:val="13"/>
        </w:rPr>
        <w:t xml:space="preserve"> </w:t>
      </w:r>
      <w:r>
        <w:rPr>
          <w:rFonts w:ascii="Garamond" w:hAnsi="Garamond" w:cs="Garamond"/>
          <w:sz w:val="20"/>
          <w:szCs w:val="20"/>
        </w:rPr>
        <w:t>Office</w:t>
      </w:r>
      <w:r>
        <w:rPr>
          <w:rFonts w:ascii="Garamond" w:hAnsi="Garamond" w:cs="Garamond"/>
          <w:spacing w:val="-9"/>
          <w:sz w:val="20"/>
          <w:szCs w:val="20"/>
        </w:rPr>
        <w:t xml:space="preserve"> </w:t>
      </w:r>
      <w:r>
        <w:rPr>
          <w:rFonts w:ascii="Garamond" w:hAnsi="Garamond" w:cs="Garamond"/>
          <w:sz w:val="20"/>
          <w:szCs w:val="20"/>
        </w:rPr>
        <w:t>of</w:t>
      </w:r>
      <w:r>
        <w:rPr>
          <w:rFonts w:ascii="Garamond" w:hAnsi="Garamond" w:cs="Garamond"/>
          <w:spacing w:val="-12"/>
          <w:sz w:val="20"/>
          <w:szCs w:val="20"/>
        </w:rPr>
        <w:t xml:space="preserve"> </w:t>
      </w:r>
      <w:r>
        <w:rPr>
          <w:rFonts w:ascii="Garamond" w:hAnsi="Garamond" w:cs="Garamond"/>
          <w:sz w:val="20"/>
          <w:szCs w:val="20"/>
        </w:rPr>
        <w:t>Health</w:t>
      </w:r>
      <w:r>
        <w:rPr>
          <w:rFonts w:ascii="Garamond" w:hAnsi="Garamond" w:cs="Garamond"/>
          <w:spacing w:val="-13"/>
          <w:sz w:val="20"/>
          <w:szCs w:val="20"/>
        </w:rPr>
        <w:t xml:space="preserve"> </w:t>
      </w:r>
      <w:r>
        <w:rPr>
          <w:rFonts w:ascii="Garamond" w:hAnsi="Garamond" w:cs="Garamond"/>
          <w:sz w:val="20"/>
          <w:szCs w:val="20"/>
        </w:rPr>
        <w:t>Analytics.</w:t>
      </w:r>
      <w:r>
        <w:rPr>
          <w:rFonts w:ascii="Garamond" w:hAnsi="Garamond" w:cs="Garamond"/>
          <w:spacing w:val="-13"/>
          <w:sz w:val="20"/>
          <w:szCs w:val="20"/>
        </w:rPr>
        <w:t xml:space="preserve"> </w:t>
      </w:r>
      <w:r>
        <w:rPr>
          <w:rFonts w:ascii="Garamond" w:hAnsi="Garamond" w:cs="Garamond"/>
          <w:sz w:val="20"/>
          <w:szCs w:val="20"/>
        </w:rPr>
        <w:t>(2016).</w:t>
      </w:r>
      <w:r>
        <w:rPr>
          <w:rFonts w:ascii="Garamond" w:hAnsi="Garamond" w:cs="Garamond"/>
          <w:spacing w:val="-13"/>
          <w:sz w:val="20"/>
          <w:szCs w:val="20"/>
        </w:rPr>
        <w:t xml:space="preserve"> </w:t>
      </w:r>
      <w:r>
        <w:rPr>
          <w:rFonts w:ascii="Garamond" w:hAnsi="Garamond" w:cs="Garamond"/>
          <w:sz w:val="20"/>
          <w:szCs w:val="20"/>
        </w:rPr>
        <w:t>Oregon’s</w:t>
      </w:r>
      <w:r>
        <w:rPr>
          <w:rFonts w:ascii="Garamond" w:hAnsi="Garamond" w:cs="Garamond"/>
          <w:spacing w:val="-13"/>
          <w:sz w:val="20"/>
          <w:szCs w:val="20"/>
        </w:rPr>
        <w:t xml:space="preserve"> </w:t>
      </w:r>
      <w:r>
        <w:rPr>
          <w:rFonts w:ascii="Garamond" w:hAnsi="Garamond" w:cs="Garamond"/>
          <w:sz w:val="20"/>
          <w:szCs w:val="20"/>
        </w:rPr>
        <w:t>Health</w:t>
      </w:r>
      <w:r>
        <w:rPr>
          <w:rFonts w:ascii="Garamond" w:hAnsi="Garamond" w:cs="Garamond"/>
          <w:spacing w:val="-11"/>
          <w:sz w:val="20"/>
          <w:szCs w:val="20"/>
        </w:rPr>
        <w:t xml:space="preserve"> </w:t>
      </w:r>
      <w:r>
        <w:rPr>
          <w:rFonts w:ascii="Garamond" w:hAnsi="Garamond" w:cs="Garamond"/>
          <w:sz w:val="20"/>
          <w:szCs w:val="20"/>
        </w:rPr>
        <w:t>System</w:t>
      </w:r>
      <w:r>
        <w:rPr>
          <w:rFonts w:ascii="Garamond" w:hAnsi="Garamond" w:cs="Garamond"/>
          <w:spacing w:val="-10"/>
          <w:sz w:val="20"/>
          <w:szCs w:val="20"/>
        </w:rPr>
        <w:t xml:space="preserve"> </w:t>
      </w:r>
      <w:r>
        <w:rPr>
          <w:rFonts w:ascii="Garamond" w:hAnsi="Garamond" w:cs="Garamond"/>
          <w:sz w:val="20"/>
          <w:szCs w:val="20"/>
        </w:rPr>
        <w:t>Transformation:</w:t>
      </w:r>
      <w:r>
        <w:rPr>
          <w:rFonts w:ascii="Garamond" w:hAnsi="Garamond" w:cs="Garamond"/>
          <w:spacing w:val="-13"/>
          <w:sz w:val="20"/>
          <w:szCs w:val="20"/>
        </w:rPr>
        <w:t xml:space="preserve"> </w:t>
      </w:r>
      <w:r>
        <w:rPr>
          <w:rFonts w:ascii="Garamond" w:hAnsi="Garamond" w:cs="Garamond"/>
          <w:sz w:val="20"/>
          <w:szCs w:val="20"/>
        </w:rPr>
        <w:t>CCO</w:t>
      </w:r>
      <w:r>
        <w:rPr>
          <w:rFonts w:ascii="Garamond" w:hAnsi="Garamond" w:cs="Garamond"/>
          <w:spacing w:val="-9"/>
          <w:sz w:val="20"/>
          <w:szCs w:val="20"/>
        </w:rPr>
        <w:t xml:space="preserve"> </w:t>
      </w:r>
      <w:r>
        <w:rPr>
          <w:rFonts w:ascii="Garamond" w:hAnsi="Garamond" w:cs="Garamond"/>
          <w:sz w:val="20"/>
          <w:szCs w:val="20"/>
        </w:rPr>
        <w:t>Metrics</w:t>
      </w:r>
      <w:r>
        <w:rPr>
          <w:rFonts w:ascii="Garamond" w:hAnsi="Garamond" w:cs="Garamond"/>
          <w:spacing w:val="-10"/>
          <w:sz w:val="20"/>
          <w:szCs w:val="20"/>
        </w:rPr>
        <w:t xml:space="preserve"> </w:t>
      </w:r>
      <w:r>
        <w:rPr>
          <w:rFonts w:ascii="Garamond" w:hAnsi="Garamond" w:cs="Garamond"/>
          <w:sz w:val="20"/>
          <w:szCs w:val="20"/>
        </w:rPr>
        <w:t>2015</w:t>
      </w:r>
      <w:r>
        <w:rPr>
          <w:rFonts w:ascii="Garamond" w:hAnsi="Garamond" w:cs="Garamond"/>
          <w:spacing w:val="-10"/>
          <w:sz w:val="20"/>
          <w:szCs w:val="20"/>
        </w:rPr>
        <w:t xml:space="preserve"> </w:t>
      </w:r>
      <w:r>
        <w:rPr>
          <w:rFonts w:ascii="Garamond" w:hAnsi="Garamond" w:cs="Garamond"/>
          <w:sz w:val="20"/>
          <w:szCs w:val="20"/>
        </w:rPr>
        <w:t>Final</w:t>
      </w:r>
      <w:r>
        <w:rPr>
          <w:rFonts w:ascii="Garamond" w:hAnsi="Garamond" w:cs="Garamond"/>
          <w:spacing w:val="-12"/>
          <w:sz w:val="20"/>
          <w:szCs w:val="20"/>
        </w:rPr>
        <w:t xml:space="preserve"> </w:t>
      </w:r>
      <w:r>
        <w:rPr>
          <w:rFonts w:ascii="Garamond" w:hAnsi="Garamond" w:cs="Garamond"/>
          <w:sz w:val="20"/>
          <w:szCs w:val="20"/>
        </w:rPr>
        <w:t>Report.</w:t>
      </w:r>
      <w:r>
        <w:rPr>
          <w:rFonts w:ascii="Garamond" w:hAnsi="Garamond" w:cs="Garamond"/>
          <w:spacing w:val="-4"/>
          <w:sz w:val="20"/>
          <w:szCs w:val="20"/>
        </w:rPr>
        <w:t xml:space="preserve"> </w:t>
      </w:r>
      <w:r>
        <w:rPr>
          <w:rFonts w:ascii="Garamond" w:hAnsi="Garamond" w:cs="Garamond"/>
          <w:i/>
          <w:iCs/>
          <w:sz w:val="20"/>
          <w:szCs w:val="20"/>
        </w:rPr>
        <w:t>Oregon Health</w:t>
      </w:r>
      <w:r>
        <w:rPr>
          <w:rFonts w:ascii="Garamond" w:hAnsi="Garamond" w:cs="Garamond"/>
          <w:i/>
          <w:iCs/>
          <w:spacing w:val="-34"/>
          <w:sz w:val="20"/>
          <w:szCs w:val="20"/>
        </w:rPr>
        <w:t xml:space="preserve"> </w:t>
      </w:r>
      <w:r>
        <w:rPr>
          <w:rFonts w:ascii="Garamond" w:hAnsi="Garamond" w:cs="Garamond"/>
          <w:i/>
          <w:iCs/>
          <w:sz w:val="20"/>
          <w:szCs w:val="20"/>
        </w:rPr>
        <w:t>Authority.</w:t>
      </w:r>
      <w:r>
        <w:rPr>
          <w:rFonts w:ascii="Garamond" w:hAnsi="Garamond" w:cs="Garamond"/>
          <w:i/>
          <w:iCs/>
          <w:spacing w:val="-34"/>
          <w:sz w:val="20"/>
          <w:szCs w:val="20"/>
        </w:rPr>
        <w:t xml:space="preserve"> </w:t>
      </w:r>
      <w:r>
        <w:rPr>
          <w:rFonts w:ascii="Garamond" w:hAnsi="Garamond" w:cs="Garamond"/>
          <w:sz w:val="20"/>
          <w:szCs w:val="20"/>
        </w:rPr>
        <w:t>Retrieved</w:t>
      </w:r>
      <w:r>
        <w:rPr>
          <w:rFonts w:ascii="Garamond" w:hAnsi="Garamond" w:cs="Garamond"/>
          <w:spacing w:val="-33"/>
          <w:sz w:val="20"/>
          <w:szCs w:val="20"/>
        </w:rPr>
        <w:t xml:space="preserve"> </w:t>
      </w:r>
      <w:r>
        <w:rPr>
          <w:rFonts w:ascii="Garamond" w:hAnsi="Garamond" w:cs="Garamond"/>
          <w:sz w:val="20"/>
          <w:szCs w:val="20"/>
        </w:rPr>
        <w:t>from</w:t>
      </w:r>
      <w:r>
        <w:rPr>
          <w:rFonts w:ascii="Garamond" w:hAnsi="Garamond" w:cs="Garamond"/>
          <w:spacing w:val="-34"/>
          <w:sz w:val="20"/>
          <w:szCs w:val="20"/>
        </w:rPr>
        <w:t xml:space="preserve"> </w:t>
      </w:r>
      <w:hyperlink r:id="rId549" w:history="1">
        <w:r>
          <w:rPr>
            <w:rFonts w:ascii="Garamond" w:hAnsi="Garamond" w:cs="Garamond"/>
            <w:sz w:val="20"/>
            <w:szCs w:val="20"/>
          </w:rPr>
          <w:t>http://www.oregon.gov/oha/Metrics/Documents/2015_performance_report.pdf</w:t>
        </w:r>
      </w:hyperlink>
    </w:p>
    <w:p w:rsidR="002C5025" w:rsidRDefault="002C5025">
      <w:pPr>
        <w:pStyle w:val="BodyText"/>
        <w:kinsoku w:val="0"/>
        <w:overflowPunct w:val="0"/>
        <w:spacing w:line="206" w:lineRule="exact"/>
        <w:ind w:left="120" w:right="5109"/>
        <w:rPr>
          <w:rFonts w:ascii="Garamond" w:hAnsi="Garamond" w:cs="Garamond"/>
          <w:sz w:val="20"/>
          <w:szCs w:val="20"/>
        </w:rPr>
      </w:pPr>
      <w:r>
        <w:rPr>
          <w:rFonts w:ascii="Garamond" w:hAnsi="Garamond" w:cs="Garamond"/>
          <w:position w:val="5"/>
          <w:sz w:val="13"/>
          <w:szCs w:val="13"/>
        </w:rPr>
        <w:t xml:space="preserve">16 </w:t>
      </w:r>
      <w:r>
        <w:rPr>
          <w:rFonts w:ascii="Garamond" w:hAnsi="Garamond" w:cs="Garamond"/>
          <w:sz w:val="20"/>
          <w:szCs w:val="20"/>
        </w:rPr>
        <w:t>N.J.A.C. 10:79A-1.6(a)(1)(v).</w:t>
      </w:r>
    </w:p>
    <w:p w:rsidR="002C5025" w:rsidRDefault="002C5025">
      <w:pPr>
        <w:pStyle w:val="BodyText"/>
        <w:kinsoku w:val="0"/>
        <w:overflowPunct w:val="0"/>
        <w:spacing w:before="28" w:line="226" w:lineRule="exact"/>
        <w:ind w:left="120" w:right="141"/>
        <w:rPr>
          <w:rFonts w:ascii="Garamond" w:hAnsi="Garamond" w:cs="Garamond"/>
          <w:sz w:val="20"/>
          <w:szCs w:val="20"/>
        </w:rPr>
      </w:pPr>
      <w:r>
        <w:rPr>
          <w:position w:val="10"/>
          <w:sz w:val="13"/>
          <w:szCs w:val="13"/>
        </w:rPr>
        <w:t>17</w:t>
      </w:r>
      <w:r>
        <w:rPr>
          <w:spacing w:val="4"/>
          <w:position w:val="10"/>
          <w:sz w:val="13"/>
          <w:szCs w:val="13"/>
        </w:rPr>
        <w:t xml:space="preserve"> </w:t>
      </w:r>
      <w:r>
        <w:rPr>
          <w:rFonts w:ascii="Garamond" w:hAnsi="Garamond" w:cs="Garamond"/>
          <w:sz w:val="20"/>
          <w:szCs w:val="20"/>
        </w:rPr>
        <w:t>Wells,</w:t>
      </w:r>
      <w:r>
        <w:rPr>
          <w:rFonts w:ascii="Garamond" w:hAnsi="Garamond" w:cs="Garamond"/>
          <w:spacing w:val="-10"/>
          <w:sz w:val="20"/>
          <w:szCs w:val="20"/>
        </w:rPr>
        <w:t xml:space="preserve"> </w:t>
      </w:r>
      <w:r>
        <w:rPr>
          <w:rFonts w:ascii="Garamond" w:hAnsi="Garamond" w:cs="Garamond"/>
          <w:sz w:val="20"/>
          <w:szCs w:val="20"/>
        </w:rPr>
        <w:t>S.</w:t>
      </w:r>
      <w:r>
        <w:rPr>
          <w:rFonts w:ascii="Garamond" w:hAnsi="Garamond" w:cs="Garamond"/>
          <w:spacing w:val="-10"/>
          <w:sz w:val="20"/>
          <w:szCs w:val="20"/>
        </w:rPr>
        <w:t xml:space="preserve"> </w:t>
      </w:r>
      <w:r>
        <w:rPr>
          <w:rFonts w:ascii="Garamond" w:hAnsi="Garamond" w:cs="Garamond"/>
          <w:sz w:val="20"/>
          <w:szCs w:val="20"/>
        </w:rPr>
        <w:t>(2016).</w:t>
      </w:r>
      <w:r>
        <w:rPr>
          <w:rFonts w:ascii="Garamond" w:hAnsi="Garamond" w:cs="Garamond"/>
          <w:spacing w:val="-10"/>
          <w:sz w:val="20"/>
          <w:szCs w:val="20"/>
        </w:rPr>
        <w:t xml:space="preserve"> </w:t>
      </w:r>
      <w:r>
        <w:rPr>
          <w:rFonts w:ascii="Garamond" w:hAnsi="Garamond" w:cs="Garamond"/>
          <w:i/>
          <w:iCs/>
          <w:sz w:val="20"/>
          <w:szCs w:val="20"/>
        </w:rPr>
        <w:t>The</w:t>
      </w:r>
      <w:r>
        <w:rPr>
          <w:rFonts w:ascii="Garamond" w:hAnsi="Garamond" w:cs="Garamond"/>
          <w:i/>
          <w:iCs/>
          <w:spacing w:val="-8"/>
          <w:sz w:val="20"/>
          <w:szCs w:val="20"/>
        </w:rPr>
        <w:t xml:space="preserve"> </w:t>
      </w:r>
      <w:r>
        <w:rPr>
          <w:rFonts w:ascii="Garamond" w:hAnsi="Garamond" w:cs="Garamond"/>
          <w:i/>
          <w:iCs/>
          <w:sz w:val="20"/>
          <w:szCs w:val="20"/>
        </w:rPr>
        <w:t>Power</w:t>
      </w:r>
      <w:r>
        <w:rPr>
          <w:rFonts w:ascii="Garamond" w:hAnsi="Garamond" w:cs="Garamond"/>
          <w:i/>
          <w:iCs/>
          <w:spacing w:val="-10"/>
          <w:sz w:val="20"/>
          <w:szCs w:val="20"/>
        </w:rPr>
        <w:t xml:space="preserve"> </w:t>
      </w:r>
      <w:r>
        <w:rPr>
          <w:rFonts w:ascii="Garamond" w:hAnsi="Garamond" w:cs="Garamond"/>
          <w:i/>
          <w:iCs/>
          <w:sz w:val="20"/>
          <w:szCs w:val="20"/>
        </w:rPr>
        <w:t>of</w:t>
      </w:r>
      <w:r>
        <w:rPr>
          <w:rFonts w:ascii="Garamond" w:hAnsi="Garamond" w:cs="Garamond"/>
          <w:i/>
          <w:iCs/>
          <w:spacing w:val="-13"/>
          <w:sz w:val="20"/>
          <w:szCs w:val="20"/>
        </w:rPr>
        <w:t xml:space="preserve"> </w:t>
      </w:r>
      <w:r>
        <w:rPr>
          <w:rFonts w:ascii="Garamond" w:hAnsi="Garamond" w:cs="Garamond"/>
          <w:i/>
          <w:iCs/>
          <w:sz w:val="20"/>
          <w:szCs w:val="20"/>
        </w:rPr>
        <w:t>Integrated</w:t>
      </w:r>
      <w:r>
        <w:rPr>
          <w:rFonts w:ascii="Garamond" w:hAnsi="Garamond" w:cs="Garamond"/>
          <w:i/>
          <w:iCs/>
          <w:spacing w:val="-9"/>
          <w:sz w:val="20"/>
          <w:szCs w:val="20"/>
        </w:rPr>
        <w:t xml:space="preserve"> </w:t>
      </w:r>
      <w:r>
        <w:rPr>
          <w:rFonts w:ascii="Garamond" w:hAnsi="Garamond" w:cs="Garamond"/>
          <w:i/>
          <w:iCs/>
          <w:sz w:val="20"/>
          <w:szCs w:val="20"/>
        </w:rPr>
        <w:t>Care</w:t>
      </w:r>
      <w:r>
        <w:rPr>
          <w:rFonts w:ascii="Garamond" w:hAnsi="Garamond" w:cs="Garamond"/>
          <w:i/>
          <w:iCs/>
          <w:spacing w:val="-10"/>
          <w:sz w:val="20"/>
          <w:szCs w:val="20"/>
        </w:rPr>
        <w:t xml:space="preserve"> </w:t>
      </w:r>
      <w:r>
        <w:rPr>
          <w:rFonts w:ascii="Garamond" w:hAnsi="Garamond" w:cs="Garamond"/>
          <w:i/>
          <w:iCs/>
          <w:sz w:val="20"/>
          <w:szCs w:val="20"/>
        </w:rPr>
        <w:t>Teams</w:t>
      </w:r>
      <w:r>
        <w:rPr>
          <w:rFonts w:ascii="Garamond" w:hAnsi="Garamond" w:cs="Garamond"/>
          <w:i/>
          <w:iCs/>
          <w:spacing w:val="-13"/>
          <w:sz w:val="20"/>
          <w:szCs w:val="20"/>
        </w:rPr>
        <w:t xml:space="preserve"> </w:t>
      </w:r>
      <w:r>
        <w:rPr>
          <w:rFonts w:ascii="Garamond" w:hAnsi="Garamond" w:cs="Garamond"/>
          <w:i/>
          <w:iCs/>
          <w:sz w:val="20"/>
          <w:szCs w:val="20"/>
        </w:rPr>
        <w:t>in</w:t>
      </w:r>
      <w:r>
        <w:rPr>
          <w:rFonts w:ascii="Garamond" w:hAnsi="Garamond" w:cs="Garamond"/>
          <w:i/>
          <w:iCs/>
          <w:spacing w:val="-11"/>
          <w:sz w:val="20"/>
          <w:szCs w:val="20"/>
        </w:rPr>
        <w:t xml:space="preserve"> </w:t>
      </w:r>
      <w:r>
        <w:rPr>
          <w:rFonts w:ascii="Garamond" w:hAnsi="Garamond" w:cs="Garamond"/>
          <w:i/>
          <w:iCs/>
          <w:sz w:val="20"/>
          <w:szCs w:val="20"/>
        </w:rPr>
        <w:t>Improving</w:t>
      </w:r>
      <w:r>
        <w:rPr>
          <w:rFonts w:ascii="Garamond" w:hAnsi="Garamond" w:cs="Garamond"/>
          <w:i/>
          <w:iCs/>
          <w:spacing w:val="-12"/>
          <w:sz w:val="20"/>
          <w:szCs w:val="20"/>
        </w:rPr>
        <w:t xml:space="preserve"> </w:t>
      </w:r>
      <w:r>
        <w:rPr>
          <w:rFonts w:ascii="Garamond" w:hAnsi="Garamond" w:cs="Garamond"/>
          <w:i/>
          <w:iCs/>
          <w:sz w:val="20"/>
          <w:szCs w:val="20"/>
        </w:rPr>
        <w:t>Oral</w:t>
      </w:r>
      <w:r>
        <w:rPr>
          <w:rFonts w:ascii="Garamond" w:hAnsi="Garamond" w:cs="Garamond"/>
          <w:i/>
          <w:iCs/>
          <w:spacing w:val="-10"/>
          <w:sz w:val="20"/>
          <w:szCs w:val="20"/>
        </w:rPr>
        <w:t xml:space="preserve"> </w:t>
      </w:r>
      <w:r>
        <w:rPr>
          <w:rFonts w:ascii="Garamond" w:hAnsi="Garamond" w:cs="Garamond"/>
          <w:i/>
          <w:iCs/>
          <w:sz w:val="20"/>
          <w:szCs w:val="20"/>
        </w:rPr>
        <w:t>Health</w:t>
      </w:r>
      <w:r>
        <w:rPr>
          <w:rFonts w:ascii="Garamond" w:hAnsi="Garamond" w:cs="Garamond"/>
          <w:i/>
          <w:iCs/>
          <w:spacing w:val="-9"/>
          <w:sz w:val="20"/>
          <w:szCs w:val="20"/>
        </w:rPr>
        <w:t xml:space="preserve"> </w:t>
      </w:r>
      <w:r>
        <w:rPr>
          <w:rFonts w:ascii="Garamond" w:hAnsi="Garamond" w:cs="Garamond"/>
          <w:i/>
          <w:iCs/>
          <w:sz w:val="20"/>
          <w:szCs w:val="20"/>
        </w:rPr>
        <w:t>Outcomes:</w:t>
      </w:r>
      <w:r>
        <w:rPr>
          <w:rFonts w:ascii="Garamond" w:hAnsi="Garamond" w:cs="Garamond"/>
          <w:i/>
          <w:iCs/>
          <w:spacing w:val="-13"/>
          <w:sz w:val="20"/>
          <w:szCs w:val="20"/>
        </w:rPr>
        <w:t xml:space="preserve"> </w:t>
      </w:r>
      <w:r>
        <w:rPr>
          <w:rFonts w:ascii="Garamond" w:hAnsi="Garamond" w:cs="Garamond"/>
          <w:i/>
          <w:iCs/>
          <w:sz w:val="20"/>
          <w:szCs w:val="20"/>
        </w:rPr>
        <w:t>Lessons</w:t>
      </w:r>
      <w:r>
        <w:rPr>
          <w:rFonts w:ascii="Garamond" w:hAnsi="Garamond" w:cs="Garamond"/>
          <w:i/>
          <w:iCs/>
          <w:spacing w:val="-13"/>
          <w:sz w:val="20"/>
          <w:szCs w:val="20"/>
        </w:rPr>
        <w:t xml:space="preserve"> </w:t>
      </w:r>
      <w:r>
        <w:rPr>
          <w:rFonts w:ascii="Garamond" w:hAnsi="Garamond" w:cs="Garamond"/>
          <w:i/>
          <w:iCs/>
          <w:sz w:val="20"/>
          <w:szCs w:val="20"/>
        </w:rPr>
        <w:t>Learned</w:t>
      </w:r>
      <w:r>
        <w:rPr>
          <w:rFonts w:ascii="Garamond" w:hAnsi="Garamond" w:cs="Garamond"/>
          <w:i/>
          <w:iCs/>
          <w:spacing w:val="-9"/>
          <w:sz w:val="20"/>
          <w:szCs w:val="20"/>
        </w:rPr>
        <w:t xml:space="preserve"> </w:t>
      </w:r>
      <w:r>
        <w:rPr>
          <w:rFonts w:ascii="Garamond" w:hAnsi="Garamond" w:cs="Garamond"/>
          <w:i/>
          <w:iCs/>
          <w:sz w:val="20"/>
          <w:szCs w:val="20"/>
        </w:rPr>
        <w:t>from</w:t>
      </w:r>
      <w:r>
        <w:rPr>
          <w:rFonts w:ascii="Garamond" w:hAnsi="Garamond" w:cs="Garamond"/>
          <w:i/>
          <w:iCs/>
          <w:spacing w:val="-9"/>
          <w:sz w:val="20"/>
          <w:szCs w:val="20"/>
        </w:rPr>
        <w:t xml:space="preserve"> </w:t>
      </w:r>
      <w:r>
        <w:rPr>
          <w:rFonts w:ascii="Garamond" w:hAnsi="Garamond" w:cs="Garamond"/>
          <w:i/>
          <w:iCs/>
          <w:sz w:val="20"/>
          <w:szCs w:val="20"/>
        </w:rPr>
        <w:t>Community</w:t>
      </w:r>
      <w:r>
        <w:rPr>
          <w:rFonts w:ascii="Garamond" w:hAnsi="Garamond" w:cs="Garamond"/>
          <w:i/>
          <w:iCs/>
          <w:spacing w:val="-9"/>
          <w:sz w:val="20"/>
          <w:szCs w:val="20"/>
        </w:rPr>
        <w:t xml:space="preserve"> </w:t>
      </w:r>
      <w:r>
        <w:rPr>
          <w:rFonts w:ascii="Garamond" w:hAnsi="Garamond" w:cs="Garamond"/>
          <w:i/>
          <w:iCs/>
          <w:sz w:val="20"/>
          <w:szCs w:val="20"/>
        </w:rPr>
        <w:t>Health Center</w:t>
      </w:r>
      <w:r>
        <w:rPr>
          <w:rFonts w:ascii="Garamond" w:hAnsi="Garamond" w:cs="Garamond"/>
          <w:i/>
          <w:iCs/>
          <w:spacing w:val="-19"/>
          <w:sz w:val="20"/>
          <w:szCs w:val="20"/>
        </w:rPr>
        <w:t xml:space="preserve"> </w:t>
      </w:r>
      <w:r>
        <w:rPr>
          <w:rFonts w:ascii="Garamond" w:hAnsi="Garamond" w:cs="Garamond"/>
          <w:i/>
          <w:iCs/>
          <w:sz w:val="20"/>
          <w:szCs w:val="20"/>
        </w:rPr>
        <w:t>Integration</w:t>
      </w:r>
      <w:r>
        <w:rPr>
          <w:rFonts w:ascii="Garamond" w:hAnsi="Garamond" w:cs="Garamond"/>
          <w:i/>
          <w:iCs/>
          <w:spacing w:val="-17"/>
          <w:sz w:val="20"/>
          <w:szCs w:val="20"/>
        </w:rPr>
        <w:t xml:space="preserve"> </w:t>
      </w:r>
      <w:r>
        <w:rPr>
          <w:rFonts w:ascii="Garamond" w:hAnsi="Garamond" w:cs="Garamond"/>
          <w:i/>
          <w:iCs/>
          <w:sz w:val="20"/>
          <w:szCs w:val="20"/>
        </w:rPr>
        <w:t>Pilots</w:t>
      </w:r>
      <w:r>
        <w:rPr>
          <w:rFonts w:ascii="Garamond" w:hAnsi="Garamond" w:cs="Garamond"/>
          <w:i/>
          <w:iCs/>
          <w:spacing w:val="-17"/>
          <w:sz w:val="20"/>
          <w:szCs w:val="20"/>
        </w:rPr>
        <w:t xml:space="preserve"> </w:t>
      </w:r>
      <w:r>
        <w:rPr>
          <w:rFonts w:ascii="Garamond" w:hAnsi="Garamond" w:cs="Garamond"/>
          <w:sz w:val="20"/>
          <w:szCs w:val="20"/>
        </w:rPr>
        <w:t>[</w:t>
      </w:r>
      <w:proofErr w:type="spellStart"/>
      <w:r>
        <w:rPr>
          <w:rFonts w:ascii="Garamond" w:hAnsi="Garamond" w:cs="Garamond"/>
          <w:sz w:val="20"/>
          <w:szCs w:val="20"/>
        </w:rPr>
        <w:t>Powerpoint</w:t>
      </w:r>
      <w:proofErr w:type="spellEnd"/>
      <w:r>
        <w:rPr>
          <w:rFonts w:ascii="Garamond" w:hAnsi="Garamond" w:cs="Garamond"/>
          <w:spacing w:val="-19"/>
          <w:sz w:val="20"/>
          <w:szCs w:val="20"/>
        </w:rPr>
        <w:t xml:space="preserve"> </w:t>
      </w:r>
      <w:r>
        <w:rPr>
          <w:rFonts w:ascii="Garamond" w:hAnsi="Garamond" w:cs="Garamond"/>
          <w:sz w:val="20"/>
          <w:szCs w:val="20"/>
        </w:rPr>
        <w:t>presentation].</w:t>
      </w:r>
      <w:r>
        <w:rPr>
          <w:rFonts w:ascii="Garamond" w:hAnsi="Garamond" w:cs="Garamond"/>
          <w:spacing w:val="-17"/>
          <w:sz w:val="20"/>
          <w:szCs w:val="20"/>
        </w:rPr>
        <w:t xml:space="preserve"> </w:t>
      </w:r>
      <w:r>
        <w:rPr>
          <w:rFonts w:ascii="Garamond" w:hAnsi="Garamond" w:cs="Garamond"/>
          <w:sz w:val="20"/>
          <w:szCs w:val="20"/>
        </w:rPr>
        <w:t>Massachusetts</w:t>
      </w:r>
      <w:r>
        <w:rPr>
          <w:rFonts w:ascii="Garamond" w:hAnsi="Garamond" w:cs="Garamond"/>
          <w:spacing w:val="-19"/>
          <w:sz w:val="20"/>
          <w:szCs w:val="20"/>
        </w:rPr>
        <w:t xml:space="preserve"> </w:t>
      </w:r>
      <w:r>
        <w:rPr>
          <w:rFonts w:ascii="Garamond" w:hAnsi="Garamond" w:cs="Garamond"/>
          <w:sz w:val="20"/>
          <w:szCs w:val="20"/>
        </w:rPr>
        <w:t>League</w:t>
      </w:r>
      <w:r>
        <w:rPr>
          <w:rFonts w:ascii="Garamond" w:hAnsi="Garamond" w:cs="Garamond"/>
          <w:spacing w:val="-16"/>
          <w:sz w:val="20"/>
          <w:szCs w:val="20"/>
        </w:rPr>
        <w:t xml:space="preserve"> </w:t>
      </w:r>
      <w:r>
        <w:rPr>
          <w:rFonts w:ascii="Garamond" w:hAnsi="Garamond" w:cs="Garamond"/>
          <w:sz w:val="20"/>
          <w:szCs w:val="20"/>
        </w:rPr>
        <w:t>of</w:t>
      </w:r>
      <w:r>
        <w:rPr>
          <w:rFonts w:ascii="Garamond" w:hAnsi="Garamond" w:cs="Garamond"/>
          <w:spacing w:val="-13"/>
          <w:sz w:val="20"/>
          <w:szCs w:val="20"/>
        </w:rPr>
        <w:t xml:space="preserve"> </w:t>
      </w:r>
      <w:r>
        <w:rPr>
          <w:rFonts w:ascii="Garamond" w:hAnsi="Garamond" w:cs="Garamond"/>
          <w:sz w:val="20"/>
          <w:szCs w:val="20"/>
        </w:rPr>
        <w:t>Community</w:t>
      </w:r>
      <w:r>
        <w:rPr>
          <w:rFonts w:ascii="Garamond" w:hAnsi="Garamond" w:cs="Garamond"/>
          <w:spacing w:val="-16"/>
          <w:sz w:val="20"/>
          <w:szCs w:val="20"/>
        </w:rPr>
        <w:t xml:space="preserve"> </w:t>
      </w:r>
      <w:r>
        <w:rPr>
          <w:rFonts w:ascii="Garamond" w:hAnsi="Garamond" w:cs="Garamond"/>
          <w:sz w:val="20"/>
          <w:szCs w:val="20"/>
        </w:rPr>
        <w:t>Health</w:t>
      </w:r>
      <w:r>
        <w:rPr>
          <w:rFonts w:ascii="Garamond" w:hAnsi="Garamond" w:cs="Garamond"/>
          <w:spacing w:val="-20"/>
          <w:sz w:val="20"/>
          <w:szCs w:val="20"/>
        </w:rPr>
        <w:t xml:space="preserve"> </w:t>
      </w:r>
      <w:r>
        <w:rPr>
          <w:rFonts w:ascii="Garamond" w:hAnsi="Garamond" w:cs="Garamond"/>
          <w:sz w:val="20"/>
          <w:szCs w:val="20"/>
        </w:rPr>
        <w:t>Centers.</w:t>
      </w:r>
    </w:p>
    <w:p w:rsidR="002C5025" w:rsidRDefault="002C5025">
      <w:pPr>
        <w:pStyle w:val="BodyText"/>
        <w:kinsoku w:val="0"/>
        <w:overflowPunct w:val="0"/>
        <w:spacing w:before="9"/>
        <w:rPr>
          <w:rFonts w:ascii="Garamond" w:hAnsi="Garamond" w:cs="Garamond"/>
          <w:sz w:val="13"/>
          <w:szCs w:val="13"/>
        </w:rPr>
      </w:pPr>
    </w:p>
    <w:p w:rsidR="002C5025" w:rsidRDefault="002C5025">
      <w:pPr>
        <w:pStyle w:val="BodyText"/>
        <w:kinsoku w:val="0"/>
        <w:overflowPunct w:val="0"/>
        <w:spacing w:before="80"/>
        <w:ind w:left="81"/>
        <w:jc w:val="center"/>
        <w:rPr>
          <w:rFonts w:ascii="Garamond" w:hAnsi="Garamond" w:cs="Garamond"/>
        </w:rPr>
      </w:pPr>
      <w:r>
        <w:rPr>
          <w:rFonts w:ascii="Garamond" w:hAnsi="Garamond" w:cs="Garamond"/>
        </w:rPr>
        <w:t>7</w:t>
      </w:r>
    </w:p>
    <w:p w:rsidR="002C5025" w:rsidRDefault="002C5025">
      <w:pPr>
        <w:pStyle w:val="BodyText"/>
        <w:kinsoku w:val="0"/>
        <w:overflowPunct w:val="0"/>
        <w:spacing w:before="80"/>
        <w:ind w:left="81"/>
        <w:jc w:val="center"/>
        <w:rPr>
          <w:rFonts w:ascii="Garamond" w:hAnsi="Garamond" w:cs="Garamond"/>
        </w:rPr>
        <w:sectPr w:rsidR="002C5025">
          <w:pgSz w:w="12240" w:h="15840"/>
          <w:pgMar w:top="1380" w:right="1500" w:bottom="280" w:left="1320" w:header="720" w:footer="720" w:gutter="0"/>
          <w:cols w:space="720"/>
          <w:noEndnote/>
        </w:sectPr>
      </w:pPr>
    </w:p>
    <w:p w:rsidR="002C5025" w:rsidRDefault="002C5025">
      <w:pPr>
        <w:pStyle w:val="BodyText"/>
        <w:kinsoku w:val="0"/>
        <w:overflowPunct w:val="0"/>
        <w:spacing w:before="57" w:line="276" w:lineRule="auto"/>
        <w:ind w:left="119" w:right="220"/>
        <w:rPr>
          <w:rFonts w:ascii="Garamond" w:hAnsi="Garamond" w:cs="Garamond"/>
          <w:sz w:val="24"/>
          <w:szCs w:val="24"/>
        </w:rPr>
      </w:pPr>
      <w:r>
        <w:rPr>
          <w:rFonts w:ascii="Garamond" w:hAnsi="Garamond" w:cs="Garamond"/>
          <w:sz w:val="24"/>
          <w:szCs w:val="24"/>
        </w:rPr>
        <w:lastRenderedPageBreak/>
        <w:t>health</w:t>
      </w:r>
      <w:r>
        <w:rPr>
          <w:rFonts w:ascii="Garamond" w:hAnsi="Garamond" w:cs="Garamond"/>
          <w:spacing w:val="-14"/>
          <w:sz w:val="24"/>
          <w:szCs w:val="24"/>
        </w:rPr>
        <w:t xml:space="preserve"> </w:t>
      </w:r>
      <w:r>
        <w:rPr>
          <w:rFonts w:ascii="Garamond" w:hAnsi="Garamond" w:cs="Garamond"/>
          <w:sz w:val="24"/>
          <w:szCs w:val="24"/>
        </w:rPr>
        <w:t>care</w:t>
      </w:r>
      <w:r>
        <w:rPr>
          <w:rFonts w:ascii="Garamond" w:hAnsi="Garamond" w:cs="Garamond"/>
          <w:spacing w:val="-10"/>
          <w:sz w:val="24"/>
          <w:szCs w:val="24"/>
        </w:rPr>
        <w:t xml:space="preserve"> </w:t>
      </w:r>
      <w:r>
        <w:rPr>
          <w:rFonts w:ascii="Garamond" w:hAnsi="Garamond" w:cs="Garamond"/>
          <w:sz w:val="24"/>
          <w:szCs w:val="24"/>
        </w:rPr>
        <w:t>team</w:t>
      </w:r>
      <w:r>
        <w:rPr>
          <w:rFonts w:ascii="Garamond" w:hAnsi="Garamond" w:cs="Garamond"/>
          <w:spacing w:val="-14"/>
          <w:sz w:val="24"/>
          <w:szCs w:val="24"/>
        </w:rPr>
        <w:t xml:space="preserve"> </w:t>
      </w:r>
      <w:r>
        <w:rPr>
          <w:rFonts w:ascii="Garamond" w:hAnsi="Garamond" w:cs="Garamond"/>
          <w:sz w:val="24"/>
          <w:szCs w:val="24"/>
        </w:rPr>
        <w:t>members</w:t>
      </w:r>
      <w:r>
        <w:rPr>
          <w:rFonts w:ascii="Garamond" w:hAnsi="Garamond" w:cs="Garamond"/>
          <w:spacing w:val="-16"/>
          <w:sz w:val="24"/>
          <w:szCs w:val="24"/>
        </w:rPr>
        <w:t xml:space="preserve"> </w:t>
      </w:r>
      <w:r>
        <w:rPr>
          <w:rFonts w:ascii="Garamond" w:hAnsi="Garamond" w:cs="Garamond"/>
          <w:sz w:val="24"/>
          <w:szCs w:val="24"/>
        </w:rPr>
        <w:t>must</w:t>
      </w:r>
      <w:r>
        <w:rPr>
          <w:rFonts w:ascii="Garamond" w:hAnsi="Garamond" w:cs="Garamond"/>
          <w:spacing w:val="-12"/>
          <w:sz w:val="24"/>
          <w:szCs w:val="24"/>
        </w:rPr>
        <w:t xml:space="preserve"> </w:t>
      </w:r>
      <w:r>
        <w:rPr>
          <w:rFonts w:ascii="Garamond" w:hAnsi="Garamond" w:cs="Garamond"/>
          <w:sz w:val="24"/>
          <w:szCs w:val="24"/>
        </w:rPr>
        <w:t>be</w:t>
      </w:r>
      <w:r>
        <w:rPr>
          <w:rFonts w:ascii="Garamond" w:hAnsi="Garamond" w:cs="Garamond"/>
          <w:spacing w:val="-10"/>
          <w:sz w:val="24"/>
          <w:szCs w:val="24"/>
        </w:rPr>
        <w:t xml:space="preserve"> </w:t>
      </w:r>
      <w:r>
        <w:rPr>
          <w:rFonts w:ascii="Garamond" w:hAnsi="Garamond" w:cs="Garamond"/>
          <w:sz w:val="24"/>
          <w:szCs w:val="24"/>
        </w:rPr>
        <w:t>incentivized</w:t>
      </w:r>
      <w:r>
        <w:rPr>
          <w:rFonts w:ascii="Garamond" w:hAnsi="Garamond" w:cs="Garamond"/>
          <w:spacing w:val="-11"/>
          <w:sz w:val="24"/>
          <w:szCs w:val="24"/>
        </w:rPr>
        <w:t xml:space="preserve"> </w:t>
      </w:r>
      <w:r>
        <w:rPr>
          <w:rFonts w:ascii="Garamond" w:hAnsi="Garamond" w:cs="Garamond"/>
          <w:sz w:val="24"/>
          <w:szCs w:val="24"/>
        </w:rPr>
        <w:t>to</w:t>
      </w:r>
      <w:r>
        <w:rPr>
          <w:rFonts w:ascii="Garamond" w:hAnsi="Garamond" w:cs="Garamond"/>
          <w:spacing w:val="-9"/>
          <w:sz w:val="24"/>
          <w:szCs w:val="24"/>
        </w:rPr>
        <w:t xml:space="preserve"> </w:t>
      </w:r>
      <w:r>
        <w:rPr>
          <w:rFonts w:ascii="Garamond" w:hAnsi="Garamond" w:cs="Garamond"/>
          <w:sz w:val="24"/>
          <w:szCs w:val="24"/>
        </w:rPr>
        <w:t>guarantee</w:t>
      </w:r>
      <w:r>
        <w:rPr>
          <w:rFonts w:ascii="Garamond" w:hAnsi="Garamond" w:cs="Garamond"/>
          <w:spacing w:val="-10"/>
          <w:sz w:val="24"/>
          <w:szCs w:val="24"/>
        </w:rPr>
        <w:t xml:space="preserve"> </w:t>
      </w:r>
      <w:r>
        <w:rPr>
          <w:rFonts w:ascii="Garamond" w:hAnsi="Garamond" w:cs="Garamond"/>
          <w:sz w:val="24"/>
          <w:szCs w:val="24"/>
        </w:rPr>
        <w:t>continuous</w:t>
      </w:r>
      <w:r>
        <w:rPr>
          <w:rFonts w:ascii="Garamond" w:hAnsi="Garamond" w:cs="Garamond"/>
          <w:spacing w:val="-14"/>
          <w:sz w:val="24"/>
          <w:szCs w:val="24"/>
        </w:rPr>
        <w:t xml:space="preserve"> </w:t>
      </w:r>
      <w:r>
        <w:rPr>
          <w:rFonts w:ascii="Garamond" w:hAnsi="Garamond" w:cs="Garamond"/>
          <w:sz w:val="24"/>
          <w:szCs w:val="24"/>
        </w:rPr>
        <w:t>quality</w:t>
      </w:r>
      <w:r>
        <w:rPr>
          <w:rFonts w:ascii="Garamond" w:hAnsi="Garamond" w:cs="Garamond"/>
          <w:spacing w:val="-10"/>
          <w:sz w:val="24"/>
          <w:szCs w:val="24"/>
        </w:rPr>
        <w:t xml:space="preserve"> </w:t>
      </w:r>
      <w:r>
        <w:rPr>
          <w:rFonts w:ascii="Garamond" w:hAnsi="Garamond" w:cs="Garamond"/>
          <w:sz w:val="24"/>
          <w:szCs w:val="24"/>
        </w:rPr>
        <w:t>oral</w:t>
      </w:r>
      <w:r>
        <w:rPr>
          <w:rFonts w:ascii="Garamond" w:hAnsi="Garamond" w:cs="Garamond"/>
          <w:spacing w:val="-13"/>
          <w:sz w:val="24"/>
          <w:szCs w:val="24"/>
        </w:rPr>
        <w:t xml:space="preserve"> </w:t>
      </w:r>
      <w:r>
        <w:rPr>
          <w:rFonts w:ascii="Garamond" w:hAnsi="Garamond" w:cs="Garamond"/>
          <w:sz w:val="24"/>
          <w:szCs w:val="24"/>
        </w:rPr>
        <w:t>health</w:t>
      </w:r>
      <w:r>
        <w:rPr>
          <w:rFonts w:ascii="Garamond" w:hAnsi="Garamond" w:cs="Garamond"/>
          <w:spacing w:val="-14"/>
          <w:sz w:val="24"/>
          <w:szCs w:val="24"/>
        </w:rPr>
        <w:t xml:space="preserve"> </w:t>
      </w:r>
      <w:r>
        <w:rPr>
          <w:rFonts w:ascii="Garamond" w:hAnsi="Garamond" w:cs="Garamond"/>
          <w:sz w:val="24"/>
          <w:szCs w:val="24"/>
        </w:rPr>
        <w:t>care</w:t>
      </w:r>
      <w:r>
        <w:rPr>
          <w:rFonts w:ascii="Garamond" w:hAnsi="Garamond" w:cs="Garamond"/>
          <w:spacing w:val="-13"/>
          <w:sz w:val="24"/>
          <w:szCs w:val="24"/>
        </w:rPr>
        <w:t xml:space="preserve"> </w:t>
      </w:r>
      <w:r>
        <w:rPr>
          <w:rFonts w:ascii="Garamond" w:hAnsi="Garamond" w:cs="Garamond"/>
          <w:sz w:val="24"/>
          <w:szCs w:val="24"/>
        </w:rPr>
        <w:t>for each patient. Oral health and dental care providers should also be considered part of the extended patient care team, and adequate, ongoing communications with dental providers must be ensured. This</w:t>
      </w:r>
      <w:r>
        <w:rPr>
          <w:rFonts w:ascii="Garamond" w:hAnsi="Garamond" w:cs="Garamond"/>
          <w:spacing w:val="-13"/>
          <w:sz w:val="24"/>
          <w:szCs w:val="24"/>
        </w:rPr>
        <w:t xml:space="preserve"> </w:t>
      </w:r>
      <w:r>
        <w:rPr>
          <w:rFonts w:ascii="Garamond" w:hAnsi="Garamond" w:cs="Garamond"/>
          <w:sz w:val="24"/>
          <w:szCs w:val="24"/>
        </w:rPr>
        <w:t>is</w:t>
      </w:r>
      <w:r>
        <w:rPr>
          <w:rFonts w:ascii="Garamond" w:hAnsi="Garamond" w:cs="Garamond"/>
          <w:spacing w:val="-11"/>
          <w:sz w:val="24"/>
          <w:szCs w:val="24"/>
        </w:rPr>
        <w:t xml:space="preserve"> </w:t>
      </w:r>
      <w:r>
        <w:rPr>
          <w:rFonts w:ascii="Garamond" w:hAnsi="Garamond" w:cs="Garamond"/>
          <w:sz w:val="24"/>
          <w:szCs w:val="24"/>
        </w:rPr>
        <w:t>especially</w:t>
      </w:r>
      <w:r>
        <w:rPr>
          <w:rFonts w:ascii="Garamond" w:hAnsi="Garamond" w:cs="Garamond"/>
          <w:spacing w:val="-9"/>
          <w:sz w:val="24"/>
          <w:szCs w:val="24"/>
        </w:rPr>
        <w:t xml:space="preserve"> </w:t>
      </w:r>
      <w:r>
        <w:rPr>
          <w:rFonts w:ascii="Garamond" w:hAnsi="Garamond" w:cs="Garamond"/>
          <w:sz w:val="24"/>
          <w:szCs w:val="24"/>
        </w:rPr>
        <w:t>important</w:t>
      </w:r>
      <w:r>
        <w:rPr>
          <w:rFonts w:ascii="Garamond" w:hAnsi="Garamond" w:cs="Garamond"/>
          <w:spacing w:val="-8"/>
          <w:sz w:val="24"/>
          <w:szCs w:val="24"/>
        </w:rPr>
        <w:t xml:space="preserve"> </w:t>
      </w:r>
      <w:r>
        <w:rPr>
          <w:rFonts w:ascii="Garamond" w:hAnsi="Garamond" w:cs="Garamond"/>
          <w:sz w:val="24"/>
          <w:szCs w:val="24"/>
        </w:rPr>
        <w:t>in</w:t>
      </w:r>
      <w:r>
        <w:rPr>
          <w:rFonts w:ascii="Garamond" w:hAnsi="Garamond" w:cs="Garamond"/>
          <w:spacing w:val="-12"/>
          <w:sz w:val="24"/>
          <w:szCs w:val="24"/>
        </w:rPr>
        <w:t xml:space="preserve"> </w:t>
      </w:r>
      <w:r>
        <w:rPr>
          <w:rFonts w:ascii="Garamond" w:hAnsi="Garamond" w:cs="Garamond"/>
          <w:sz w:val="24"/>
          <w:szCs w:val="24"/>
        </w:rPr>
        <w:t>light</w:t>
      </w:r>
      <w:r>
        <w:rPr>
          <w:rFonts w:ascii="Garamond" w:hAnsi="Garamond" w:cs="Garamond"/>
          <w:spacing w:val="-13"/>
          <w:sz w:val="24"/>
          <w:szCs w:val="24"/>
        </w:rPr>
        <w:t xml:space="preserve"> </w:t>
      </w:r>
      <w:r>
        <w:rPr>
          <w:rFonts w:ascii="Garamond" w:hAnsi="Garamond" w:cs="Garamond"/>
          <w:sz w:val="24"/>
          <w:szCs w:val="24"/>
        </w:rPr>
        <w:t>of</w:t>
      </w:r>
      <w:r>
        <w:rPr>
          <w:rFonts w:ascii="Garamond" w:hAnsi="Garamond" w:cs="Garamond"/>
          <w:spacing w:val="-13"/>
          <w:sz w:val="24"/>
          <w:szCs w:val="24"/>
        </w:rPr>
        <w:t xml:space="preserve"> </w:t>
      </w:r>
      <w:r>
        <w:rPr>
          <w:rFonts w:ascii="Garamond" w:hAnsi="Garamond" w:cs="Garamond"/>
          <w:sz w:val="24"/>
          <w:szCs w:val="24"/>
        </w:rPr>
        <w:t>the</w:t>
      </w:r>
      <w:r>
        <w:rPr>
          <w:rFonts w:ascii="Garamond" w:hAnsi="Garamond" w:cs="Garamond"/>
          <w:spacing w:val="-9"/>
          <w:sz w:val="24"/>
          <w:szCs w:val="24"/>
        </w:rPr>
        <w:t xml:space="preserve"> </w:t>
      </w:r>
      <w:r>
        <w:rPr>
          <w:rFonts w:ascii="Garamond" w:hAnsi="Garamond" w:cs="Garamond"/>
          <w:sz w:val="24"/>
          <w:szCs w:val="24"/>
        </w:rPr>
        <w:t>ongoing</w:t>
      </w:r>
      <w:r>
        <w:rPr>
          <w:rFonts w:ascii="Garamond" w:hAnsi="Garamond" w:cs="Garamond"/>
          <w:spacing w:val="-9"/>
          <w:sz w:val="24"/>
          <w:szCs w:val="24"/>
        </w:rPr>
        <w:t xml:space="preserve"> </w:t>
      </w:r>
      <w:r>
        <w:rPr>
          <w:rFonts w:ascii="Garamond" w:hAnsi="Garamond" w:cs="Garamond"/>
          <w:sz w:val="24"/>
          <w:szCs w:val="24"/>
        </w:rPr>
        <w:t>opioid</w:t>
      </w:r>
      <w:r>
        <w:rPr>
          <w:rFonts w:ascii="Garamond" w:hAnsi="Garamond" w:cs="Garamond"/>
          <w:spacing w:val="-12"/>
          <w:sz w:val="24"/>
          <w:szCs w:val="24"/>
        </w:rPr>
        <w:t xml:space="preserve"> </w:t>
      </w:r>
      <w:r>
        <w:rPr>
          <w:rFonts w:ascii="Garamond" w:hAnsi="Garamond" w:cs="Garamond"/>
          <w:sz w:val="24"/>
          <w:szCs w:val="24"/>
        </w:rPr>
        <w:t>crisis.</w:t>
      </w:r>
    </w:p>
    <w:p w:rsidR="002C5025" w:rsidRDefault="002C5025">
      <w:pPr>
        <w:pStyle w:val="BodyText"/>
        <w:kinsoku w:val="0"/>
        <w:overflowPunct w:val="0"/>
        <w:spacing w:before="7"/>
        <w:rPr>
          <w:rFonts w:ascii="Garamond" w:hAnsi="Garamond" w:cs="Garamond"/>
          <w:sz w:val="27"/>
          <w:szCs w:val="27"/>
        </w:rPr>
      </w:pPr>
    </w:p>
    <w:p w:rsidR="002C5025" w:rsidRDefault="002C5025">
      <w:pPr>
        <w:pStyle w:val="BodyText"/>
        <w:kinsoku w:val="0"/>
        <w:overflowPunct w:val="0"/>
        <w:spacing w:line="273" w:lineRule="auto"/>
        <w:ind w:left="119" w:right="197"/>
        <w:rPr>
          <w:rFonts w:ascii="Garamond" w:hAnsi="Garamond" w:cs="Garamond"/>
          <w:sz w:val="24"/>
          <w:szCs w:val="24"/>
        </w:rPr>
      </w:pPr>
      <w:r>
        <w:rPr>
          <w:rFonts w:ascii="Garamond" w:hAnsi="Garamond" w:cs="Garamond"/>
          <w:sz w:val="24"/>
          <w:szCs w:val="24"/>
        </w:rPr>
        <w:t>These</w:t>
      </w:r>
      <w:r>
        <w:rPr>
          <w:rFonts w:ascii="Garamond" w:hAnsi="Garamond" w:cs="Garamond"/>
          <w:spacing w:val="-8"/>
          <w:sz w:val="24"/>
          <w:szCs w:val="24"/>
        </w:rPr>
        <w:t xml:space="preserve"> </w:t>
      </w:r>
      <w:r>
        <w:rPr>
          <w:rFonts w:ascii="Garamond" w:hAnsi="Garamond" w:cs="Garamond"/>
          <w:sz w:val="24"/>
          <w:szCs w:val="24"/>
        </w:rPr>
        <w:t>aims</w:t>
      </w:r>
      <w:r>
        <w:rPr>
          <w:rFonts w:ascii="Garamond" w:hAnsi="Garamond" w:cs="Garamond"/>
          <w:spacing w:val="-12"/>
          <w:sz w:val="24"/>
          <w:szCs w:val="24"/>
        </w:rPr>
        <w:t xml:space="preserve"> </w:t>
      </w:r>
      <w:r>
        <w:rPr>
          <w:rFonts w:ascii="Garamond" w:hAnsi="Garamond" w:cs="Garamond"/>
          <w:sz w:val="24"/>
          <w:szCs w:val="24"/>
        </w:rPr>
        <w:t>will</w:t>
      </w:r>
      <w:r>
        <w:rPr>
          <w:rFonts w:ascii="Garamond" w:hAnsi="Garamond" w:cs="Garamond"/>
          <w:spacing w:val="-6"/>
          <w:sz w:val="24"/>
          <w:szCs w:val="24"/>
        </w:rPr>
        <w:t xml:space="preserve"> </w:t>
      </w:r>
      <w:r>
        <w:rPr>
          <w:rFonts w:ascii="Garamond" w:hAnsi="Garamond" w:cs="Garamond"/>
          <w:sz w:val="24"/>
          <w:szCs w:val="24"/>
        </w:rPr>
        <w:t>require</w:t>
      </w:r>
      <w:r>
        <w:rPr>
          <w:rFonts w:ascii="Garamond" w:hAnsi="Garamond" w:cs="Garamond"/>
          <w:spacing w:val="-10"/>
          <w:sz w:val="24"/>
          <w:szCs w:val="24"/>
        </w:rPr>
        <w:t xml:space="preserve"> </w:t>
      </w:r>
      <w:r>
        <w:rPr>
          <w:rFonts w:ascii="Garamond" w:hAnsi="Garamond" w:cs="Garamond"/>
          <w:sz w:val="24"/>
          <w:szCs w:val="24"/>
        </w:rPr>
        <w:t>ACOs</w:t>
      </w:r>
      <w:r>
        <w:rPr>
          <w:rFonts w:ascii="Garamond" w:hAnsi="Garamond" w:cs="Garamond"/>
          <w:spacing w:val="-12"/>
          <w:sz w:val="24"/>
          <w:szCs w:val="24"/>
        </w:rPr>
        <w:t xml:space="preserve"> </w:t>
      </w:r>
      <w:r>
        <w:rPr>
          <w:rFonts w:ascii="Garamond" w:hAnsi="Garamond" w:cs="Garamond"/>
          <w:sz w:val="24"/>
          <w:szCs w:val="24"/>
        </w:rPr>
        <w:t>to</w:t>
      </w:r>
      <w:r>
        <w:rPr>
          <w:rFonts w:ascii="Garamond" w:hAnsi="Garamond" w:cs="Garamond"/>
          <w:spacing w:val="-11"/>
          <w:sz w:val="24"/>
          <w:szCs w:val="24"/>
        </w:rPr>
        <w:t xml:space="preserve"> </w:t>
      </w:r>
      <w:r>
        <w:rPr>
          <w:rFonts w:ascii="Garamond" w:hAnsi="Garamond" w:cs="Garamond"/>
          <w:sz w:val="24"/>
          <w:szCs w:val="24"/>
        </w:rPr>
        <w:t>invest</w:t>
      </w:r>
      <w:r>
        <w:rPr>
          <w:rFonts w:ascii="Garamond" w:hAnsi="Garamond" w:cs="Garamond"/>
          <w:spacing w:val="-9"/>
          <w:sz w:val="24"/>
          <w:szCs w:val="24"/>
        </w:rPr>
        <w:t xml:space="preserve"> </w:t>
      </w:r>
      <w:r>
        <w:rPr>
          <w:rFonts w:ascii="Garamond" w:hAnsi="Garamond" w:cs="Garamond"/>
          <w:sz w:val="24"/>
          <w:szCs w:val="24"/>
        </w:rPr>
        <w:t>not</w:t>
      </w:r>
      <w:r>
        <w:rPr>
          <w:rFonts w:ascii="Garamond" w:hAnsi="Garamond" w:cs="Garamond"/>
          <w:spacing w:val="-12"/>
          <w:sz w:val="24"/>
          <w:szCs w:val="24"/>
        </w:rPr>
        <w:t xml:space="preserve"> </w:t>
      </w:r>
      <w:r>
        <w:rPr>
          <w:rFonts w:ascii="Garamond" w:hAnsi="Garamond" w:cs="Garamond"/>
          <w:sz w:val="24"/>
          <w:szCs w:val="24"/>
        </w:rPr>
        <w:t>only</w:t>
      </w:r>
      <w:r>
        <w:rPr>
          <w:rFonts w:ascii="Garamond" w:hAnsi="Garamond" w:cs="Garamond"/>
          <w:spacing w:val="-8"/>
          <w:sz w:val="24"/>
          <w:szCs w:val="24"/>
        </w:rPr>
        <w:t xml:space="preserve"> </w:t>
      </w:r>
      <w:r>
        <w:rPr>
          <w:rFonts w:ascii="Garamond" w:hAnsi="Garamond" w:cs="Garamond"/>
          <w:sz w:val="24"/>
          <w:szCs w:val="24"/>
        </w:rPr>
        <w:t>in</w:t>
      </w:r>
      <w:r>
        <w:rPr>
          <w:rFonts w:ascii="Garamond" w:hAnsi="Garamond" w:cs="Garamond"/>
          <w:spacing w:val="-11"/>
          <w:sz w:val="24"/>
          <w:szCs w:val="24"/>
        </w:rPr>
        <w:t xml:space="preserve"> </w:t>
      </w:r>
      <w:r>
        <w:rPr>
          <w:rFonts w:ascii="Garamond" w:hAnsi="Garamond" w:cs="Garamond"/>
          <w:sz w:val="24"/>
          <w:szCs w:val="24"/>
        </w:rPr>
        <w:t>oral</w:t>
      </w:r>
      <w:r>
        <w:rPr>
          <w:rFonts w:ascii="Garamond" w:hAnsi="Garamond" w:cs="Garamond"/>
          <w:spacing w:val="-9"/>
          <w:sz w:val="24"/>
          <w:szCs w:val="24"/>
        </w:rPr>
        <w:t xml:space="preserve"> </w:t>
      </w:r>
      <w:r>
        <w:rPr>
          <w:rFonts w:ascii="Garamond" w:hAnsi="Garamond" w:cs="Garamond"/>
          <w:sz w:val="24"/>
          <w:szCs w:val="24"/>
        </w:rPr>
        <w:t>health</w:t>
      </w:r>
      <w:r>
        <w:rPr>
          <w:rFonts w:ascii="Garamond" w:hAnsi="Garamond" w:cs="Garamond"/>
          <w:spacing w:val="-9"/>
          <w:sz w:val="24"/>
          <w:szCs w:val="24"/>
        </w:rPr>
        <w:t xml:space="preserve"> </w:t>
      </w:r>
      <w:r>
        <w:rPr>
          <w:rFonts w:ascii="Garamond" w:hAnsi="Garamond" w:cs="Garamond"/>
          <w:sz w:val="24"/>
          <w:szCs w:val="24"/>
        </w:rPr>
        <w:t>training</w:t>
      </w:r>
      <w:r>
        <w:rPr>
          <w:rFonts w:ascii="Garamond" w:hAnsi="Garamond" w:cs="Garamond"/>
          <w:spacing w:val="-8"/>
          <w:sz w:val="24"/>
          <w:szCs w:val="24"/>
        </w:rPr>
        <w:t xml:space="preserve"> </w:t>
      </w:r>
      <w:r>
        <w:rPr>
          <w:rFonts w:ascii="Garamond" w:hAnsi="Garamond" w:cs="Garamond"/>
          <w:sz w:val="24"/>
          <w:szCs w:val="24"/>
        </w:rPr>
        <w:t>for</w:t>
      </w:r>
      <w:r>
        <w:rPr>
          <w:rFonts w:ascii="Garamond" w:hAnsi="Garamond" w:cs="Garamond"/>
          <w:spacing w:val="-12"/>
          <w:sz w:val="24"/>
          <w:szCs w:val="24"/>
        </w:rPr>
        <w:t xml:space="preserve"> </w:t>
      </w:r>
      <w:r>
        <w:rPr>
          <w:rFonts w:ascii="Garamond" w:hAnsi="Garamond" w:cs="Garamond"/>
          <w:sz w:val="24"/>
          <w:szCs w:val="24"/>
        </w:rPr>
        <w:t>various</w:t>
      </w:r>
      <w:r>
        <w:rPr>
          <w:rFonts w:ascii="Garamond" w:hAnsi="Garamond" w:cs="Garamond"/>
          <w:spacing w:val="-12"/>
          <w:sz w:val="24"/>
          <w:szCs w:val="24"/>
        </w:rPr>
        <w:t xml:space="preserve"> </w:t>
      </w:r>
      <w:r>
        <w:rPr>
          <w:rFonts w:ascii="Garamond" w:hAnsi="Garamond" w:cs="Garamond"/>
          <w:sz w:val="24"/>
          <w:szCs w:val="24"/>
        </w:rPr>
        <w:t>team</w:t>
      </w:r>
      <w:r>
        <w:rPr>
          <w:rFonts w:ascii="Garamond" w:hAnsi="Garamond" w:cs="Garamond"/>
          <w:spacing w:val="-9"/>
          <w:sz w:val="24"/>
          <w:szCs w:val="24"/>
        </w:rPr>
        <w:t xml:space="preserve"> </w:t>
      </w:r>
      <w:r>
        <w:rPr>
          <w:rFonts w:ascii="Garamond" w:hAnsi="Garamond" w:cs="Garamond"/>
          <w:sz w:val="24"/>
          <w:szCs w:val="24"/>
        </w:rPr>
        <w:t>members, but also require providers to establish formal relationships with dental providers. In addition, investments will need to be made to ensure that patient assessments include questions to assess patient</w:t>
      </w:r>
      <w:r>
        <w:rPr>
          <w:rFonts w:ascii="Garamond" w:hAnsi="Garamond" w:cs="Garamond"/>
          <w:spacing w:val="-13"/>
          <w:sz w:val="24"/>
          <w:szCs w:val="24"/>
        </w:rPr>
        <w:t xml:space="preserve"> </w:t>
      </w:r>
      <w:r>
        <w:rPr>
          <w:rFonts w:ascii="Garamond" w:hAnsi="Garamond" w:cs="Garamond"/>
          <w:sz w:val="24"/>
          <w:szCs w:val="24"/>
        </w:rPr>
        <w:t>oral</w:t>
      </w:r>
      <w:r>
        <w:rPr>
          <w:rFonts w:ascii="Garamond" w:hAnsi="Garamond" w:cs="Garamond"/>
          <w:spacing w:val="-10"/>
          <w:sz w:val="24"/>
          <w:szCs w:val="24"/>
        </w:rPr>
        <w:t xml:space="preserve"> </w:t>
      </w:r>
      <w:r>
        <w:rPr>
          <w:rFonts w:ascii="Garamond" w:hAnsi="Garamond" w:cs="Garamond"/>
          <w:sz w:val="24"/>
          <w:szCs w:val="24"/>
        </w:rPr>
        <w:t>health,</w:t>
      </w:r>
      <w:r>
        <w:rPr>
          <w:rFonts w:ascii="Garamond" w:hAnsi="Garamond" w:cs="Garamond"/>
          <w:spacing w:val="-12"/>
          <w:sz w:val="24"/>
          <w:szCs w:val="24"/>
        </w:rPr>
        <w:t xml:space="preserve"> </w:t>
      </w:r>
      <w:r>
        <w:rPr>
          <w:rFonts w:ascii="Garamond" w:hAnsi="Garamond" w:cs="Garamond"/>
          <w:sz w:val="24"/>
          <w:szCs w:val="24"/>
        </w:rPr>
        <w:t>and</w:t>
      </w:r>
      <w:r>
        <w:rPr>
          <w:rFonts w:ascii="Garamond" w:hAnsi="Garamond" w:cs="Garamond"/>
          <w:spacing w:val="-10"/>
          <w:sz w:val="24"/>
          <w:szCs w:val="24"/>
        </w:rPr>
        <w:t xml:space="preserve"> </w:t>
      </w:r>
      <w:r>
        <w:rPr>
          <w:rFonts w:ascii="Garamond" w:hAnsi="Garamond" w:cs="Garamond"/>
          <w:sz w:val="24"/>
          <w:szCs w:val="24"/>
        </w:rPr>
        <w:t>care</w:t>
      </w:r>
      <w:r>
        <w:rPr>
          <w:rFonts w:ascii="Garamond" w:hAnsi="Garamond" w:cs="Garamond"/>
          <w:spacing w:val="-8"/>
          <w:sz w:val="24"/>
          <w:szCs w:val="24"/>
        </w:rPr>
        <w:t xml:space="preserve"> </w:t>
      </w:r>
      <w:r>
        <w:rPr>
          <w:rFonts w:ascii="Garamond" w:hAnsi="Garamond" w:cs="Garamond"/>
          <w:sz w:val="24"/>
          <w:szCs w:val="24"/>
        </w:rPr>
        <w:t>plan</w:t>
      </w:r>
      <w:r>
        <w:rPr>
          <w:rFonts w:ascii="Garamond" w:hAnsi="Garamond" w:cs="Garamond"/>
          <w:spacing w:val="-10"/>
          <w:sz w:val="24"/>
          <w:szCs w:val="24"/>
        </w:rPr>
        <w:t xml:space="preserve"> </w:t>
      </w:r>
      <w:r>
        <w:rPr>
          <w:rFonts w:ascii="Garamond" w:hAnsi="Garamond" w:cs="Garamond"/>
          <w:sz w:val="24"/>
          <w:szCs w:val="24"/>
        </w:rPr>
        <w:t>formats</w:t>
      </w:r>
      <w:r>
        <w:rPr>
          <w:rFonts w:ascii="Garamond" w:hAnsi="Garamond" w:cs="Garamond"/>
          <w:spacing w:val="-11"/>
          <w:sz w:val="24"/>
          <w:szCs w:val="24"/>
        </w:rPr>
        <w:t xml:space="preserve"> </w:t>
      </w:r>
      <w:r>
        <w:rPr>
          <w:rFonts w:ascii="Garamond" w:hAnsi="Garamond" w:cs="Garamond"/>
          <w:sz w:val="24"/>
          <w:szCs w:val="24"/>
        </w:rPr>
        <w:t>will</w:t>
      </w:r>
      <w:r>
        <w:rPr>
          <w:rFonts w:ascii="Garamond" w:hAnsi="Garamond" w:cs="Garamond"/>
          <w:spacing w:val="-9"/>
          <w:sz w:val="24"/>
          <w:szCs w:val="24"/>
        </w:rPr>
        <w:t xml:space="preserve"> </w:t>
      </w:r>
      <w:r>
        <w:rPr>
          <w:rFonts w:ascii="Garamond" w:hAnsi="Garamond" w:cs="Garamond"/>
          <w:sz w:val="24"/>
          <w:szCs w:val="24"/>
        </w:rPr>
        <w:t>need</w:t>
      </w:r>
      <w:r>
        <w:rPr>
          <w:rFonts w:ascii="Garamond" w:hAnsi="Garamond" w:cs="Garamond"/>
          <w:spacing w:val="-9"/>
          <w:sz w:val="24"/>
          <w:szCs w:val="24"/>
        </w:rPr>
        <w:t xml:space="preserve"> </w:t>
      </w:r>
      <w:r>
        <w:rPr>
          <w:rFonts w:ascii="Garamond" w:hAnsi="Garamond" w:cs="Garamond"/>
          <w:sz w:val="24"/>
          <w:szCs w:val="24"/>
        </w:rPr>
        <w:t>to</w:t>
      </w:r>
      <w:r>
        <w:rPr>
          <w:rFonts w:ascii="Garamond" w:hAnsi="Garamond" w:cs="Garamond"/>
          <w:spacing w:val="-15"/>
          <w:sz w:val="24"/>
          <w:szCs w:val="24"/>
        </w:rPr>
        <w:t xml:space="preserve"> </w:t>
      </w:r>
      <w:r>
        <w:rPr>
          <w:rFonts w:ascii="Garamond" w:hAnsi="Garamond" w:cs="Garamond"/>
          <w:sz w:val="24"/>
          <w:szCs w:val="24"/>
        </w:rPr>
        <w:t>include</w:t>
      </w:r>
      <w:r>
        <w:rPr>
          <w:rFonts w:ascii="Garamond" w:hAnsi="Garamond" w:cs="Garamond"/>
          <w:spacing w:val="-8"/>
          <w:sz w:val="24"/>
          <w:szCs w:val="24"/>
        </w:rPr>
        <w:t xml:space="preserve"> </w:t>
      </w:r>
      <w:r>
        <w:rPr>
          <w:rFonts w:ascii="Garamond" w:hAnsi="Garamond" w:cs="Garamond"/>
          <w:sz w:val="24"/>
          <w:szCs w:val="24"/>
        </w:rPr>
        <w:t>sections</w:t>
      </w:r>
      <w:r>
        <w:rPr>
          <w:rFonts w:ascii="Garamond" w:hAnsi="Garamond" w:cs="Garamond"/>
          <w:spacing w:val="-11"/>
          <w:sz w:val="24"/>
          <w:szCs w:val="24"/>
        </w:rPr>
        <w:t xml:space="preserve"> </w:t>
      </w:r>
      <w:r>
        <w:rPr>
          <w:rFonts w:ascii="Garamond" w:hAnsi="Garamond" w:cs="Garamond"/>
          <w:sz w:val="24"/>
          <w:szCs w:val="24"/>
        </w:rPr>
        <w:t>that</w:t>
      </w:r>
      <w:r>
        <w:rPr>
          <w:rFonts w:ascii="Garamond" w:hAnsi="Garamond" w:cs="Garamond"/>
          <w:spacing w:val="-11"/>
          <w:sz w:val="24"/>
          <w:szCs w:val="24"/>
        </w:rPr>
        <w:t xml:space="preserve"> </w:t>
      </w:r>
      <w:r>
        <w:rPr>
          <w:rFonts w:ascii="Garamond" w:hAnsi="Garamond" w:cs="Garamond"/>
          <w:sz w:val="24"/>
          <w:szCs w:val="24"/>
        </w:rPr>
        <w:t>trigger</w:t>
      </w:r>
      <w:r>
        <w:rPr>
          <w:rFonts w:ascii="Garamond" w:hAnsi="Garamond" w:cs="Garamond"/>
          <w:spacing w:val="-11"/>
          <w:sz w:val="24"/>
          <w:szCs w:val="24"/>
        </w:rPr>
        <w:t xml:space="preserve"> </w:t>
      </w:r>
      <w:r>
        <w:rPr>
          <w:rFonts w:ascii="Garamond" w:hAnsi="Garamond" w:cs="Garamond"/>
          <w:sz w:val="24"/>
          <w:szCs w:val="24"/>
        </w:rPr>
        <w:t>the</w:t>
      </w:r>
      <w:r>
        <w:rPr>
          <w:rFonts w:ascii="Garamond" w:hAnsi="Garamond" w:cs="Garamond"/>
          <w:spacing w:val="-9"/>
          <w:sz w:val="24"/>
          <w:szCs w:val="24"/>
        </w:rPr>
        <w:t xml:space="preserve"> </w:t>
      </w:r>
      <w:r>
        <w:rPr>
          <w:rFonts w:ascii="Garamond" w:hAnsi="Garamond" w:cs="Garamond"/>
          <w:sz w:val="24"/>
          <w:szCs w:val="24"/>
        </w:rPr>
        <w:t>inclusion</w:t>
      </w:r>
      <w:r>
        <w:rPr>
          <w:rFonts w:ascii="Garamond" w:hAnsi="Garamond" w:cs="Garamond"/>
          <w:spacing w:val="-10"/>
          <w:sz w:val="24"/>
          <w:szCs w:val="24"/>
        </w:rPr>
        <w:t xml:space="preserve"> </w:t>
      </w:r>
      <w:r>
        <w:rPr>
          <w:rFonts w:ascii="Garamond" w:hAnsi="Garamond" w:cs="Garamond"/>
          <w:sz w:val="24"/>
          <w:szCs w:val="24"/>
        </w:rPr>
        <w:t>of oral health care</w:t>
      </w:r>
      <w:r>
        <w:rPr>
          <w:rFonts w:ascii="Garamond" w:hAnsi="Garamond" w:cs="Garamond"/>
          <w:spacing w:val="-34"/>
          <w:sz w:val="24"/>
          <w:szCs w:val="24"/>
        </w:rPr>
        <w:t xml:space="preserve"> </w:t>
      </w:r>
      <w:r>
        <w:rPr>
          <w:rFonts w:ascii="Garamond" w:hAnsi="Garamond" w:cs="Garamond"/>
          <w:sz w:val="24"/>
          <w:szCs w:val="24"/>
        </w:rPr>
        <w:t>needs.</w:t>
      </w:r>
    </w:p>
    <w:p w:rsidR="002C5025" w:rsidRDefault="002C5025">
      <w:pPr>
        <w:pStyle w:val="BodyText"/>
        <w:kinsoku w:val="0"/>
        <w:overflowPunct w:val="0"/>
        <w:spacing w:before="10"/>
        <w:rPr>
          <w:rFonts w:ascii="Garamond" w:hAnsi="Garamond" w:cs="Garamond"/>
          <w:sz w:val="27"/>
          <w:szCs w:val="27"/>
        </w:rPr>
      </w:pPr>
    </w:p>
    <w:p w:rsidR="002C5025" w:rsidRDefault="002C5025">
      <w:pPr>
        <w:pStyle w:val="BodyText"/>
        <w:kinsoku w:val="0"/>
        <w:overflowPunct w:val="0"/>
        <w:spacing w:line="276" w:lineRule="auto"/>
        <w:ind w:left="119" w:right="207"/>
        <w:rPr>
          <w:rFonts w:ascii="Garamond" w:hAnsi="Garamond" w:cs="Garamond"/>
          <w:sz w:val="24"/>
          <w:szCs w:val="24"/>
        </w:rPr>
      </w:pPr>
      <w:r>
        <w:rPr>
          <w:rFonts w:ascii="Garamond" w:hAnsi="Garamond" w:cs="Garamond"/>
          <w:sz w:val="24"/>
          <w:szCs w:val="24"/>
        </w:rPr>
        <w:t xml:space="preserve">There is also an opportunity to address oral health in community-based settings. ACOs </w:t>
      </w:r>
      <w:r>
        <w:rPr>
          <w:rFonts w:ascii="Garamond" w:hAnsi="Garamond" w:cs="Garamond"/>
          <w:spacing w:val="-3"/>
          <w:sz w:val="24"/>
          <w:szCs w:val="24"/>
        </w:rPr>
        <w:t xml:space="preserve">should </w:t>
      </w:r>
      <w:r>
        <w:rPr>
          <w:rFonts w:ascii="Garamond" w:hAnsi="Garamond" w:cs="Garamond"/>
          <w:sz w:val="24"/>
          <w:szCs w:val="24"/>
        </w:rPr>
        <w:t>establish</w:t>
      </w:r>
      <w:r>
        <w:rPr>
          <w:rFonts w:ascii="Garamond" w:hAnsi="Garamond" w:cs="Garamond"/>
          <w:spacing w:val="-13"/>
          <w:sz w:val="24"/>
          <w:szCs w:val="24"/>
        </w:rPr>
        <w:t xml:space="preserve"> </w:t>
      </w:r>
      <w:r>
        <w:rPr>
          <w:rFonts w:ascii="Garamond" w:hAnsi="Garamond" w:cs="Garamond"/>
          <w:sz w:val="24"/>
          <w:szCs w:val="24"/>
        </w:rPr>
        <w:t>partnerships</w:t>
      </w:r>
      <w:r>
        <w:rPr>
          <w:rFonts w:ascii="Garamond" w:hAnsi="Garamond" w:cs="Garamond"/>
          <w:spacing w:val="-13"/>
          <w:sz w:val="24"/>
          <w:szCs w:val="24"/>
        </w:rPr>
        <w:t xml:space="preserve"> </w:t>
      </w:r>
      <w:r>
        <w:rPr>
          <w:rFonts w:ascii="Garamond" w:hAnsi="Garamond" w:cs="Garamond"/>
          <w:sz w:val="24"/>
          <w:szCs w:val="24"/>
        </w:rPr>
        <w:t>with</w:t>
      </w:r>
      <w:r>
        <w:rPr>
          <w:rFonts w:ascii="Garamond" w:hAnsi="Garamond" w:cs="Garamond"/>
          <w:spacing w:val="-13"/>
          <w:sz w:val="24"/>
          <w:szCs w:val="24"/>
        </w:rPr>
        <w:t xml:space="preserve"> </w:t>
      </w:r>
      <w:r>
        <w:rPr>
          <w:rFonts w:ascii="Garamond" w:hAnsi="Garamond" w:cs="Garamond"/>
          <w:sz w:val="24"/>
          <w:szCs w:val="24"/>
        </w:rPr>
        <w:t>community</w:t>
      </w:r>
      <w:r>
        <w:rPr>
          <w:rFonts w:ascii="Garamond" w:hAnsi="Garamond" w:cs="Garamond"/>
          <w:spacing w:val="-12"/>
          <w:sz w:val="24"/>
          <w:szCs w:val="24"/>
        </w:rPr>
        <w:t xml:space="preserve"> </w:t>
      </w:r>
      <w:r>
        <w:rPr>
          <w:rFonts w:ascii="Garamond" w:hAnsi="Garamond" w:cs="Garamond"/>
          <w:sz w:val="24"/>
          <w:szCs w:val="24"/>
        </w:rPr>
        <w:t>programs</w:t>
      </w:r>
      <w:r>
        <w:rPr>
          <w:rFonts w:ascii="Garamond" w:hAnsi="Garamond" w:cs="Garamond"/>
          <w:spacing w:val="-16"/>
          <w:sz w:val="24"/>
          <w:szCs w:val="24"/>
        </w:rPr>
        <w:t xml:space="preserve"> </w:t>
      </w:r>
      <w:r>
        <w:rPr>
          <w:rFonts w:ascii="Garamond" w:hAnsi="Garamond" w:cs="Garamond"/>
          <w:sz w:val="24"/>
          <w:szCs w:val="24"/>
        </w:rPr>
        <w:t>and</w:t>
      </w:r>
      <w:r>
        <w:rPr>
          <w:rFonts w:ascii="Garamond" w:hAnsi="Garamond" w:cs="Garamond"/>
          <w:spacing w:val="-15"/>
          <w:sz w:val="24"/>
          <w:szCs w:val="24"/>
        </w:rPr>
        <w:t xml:space="preserve"> </w:t>
      </w:r>
      <w:r>
        <w:rPr>
          <w:rFonts w:ascii="Garamond" w:hAnsi="Garamond" w:cs="Garamond"/>
          <w:sz w:val="24"/>
          <w:szCs w:val="24"/>
        </w:rPr>
        <w:t>social</w:t>
      </w:r>
      <w:r>
        <w:rPr>
          <w:rFonts w:ascii="Garamond" w:hAnsi="Garamond" w:cs="Garamond"/>
          <w:spacing w:val="-13"/>
          <w:sz w:val="24"/>
          <w:szCs w:val="24"/>
        </w:rPr>
        <w:t xml:space="preserve"> </w:t>
      </w:r>
      <w:r>
        <w:rPr>
          <w:rFonts w:ascii="Garamond" w:hAnsi="Garamond" w:cs="Garamond"/>
          <w:sz w:val="24"/>
          <w:szCs w:val="24"/>
        </w:rPr>
        <w:t>and</w:t>
      </w:r>
      <w:r>
        <w:rPr>
          <w:rFonts w:ascii="Garamond" w:hAnsi="Garamond" w:cs="Garamond"/>
          <w:spacing w:val="-13"/>
          <w:sz w:val="24"/>
          <w:szCs w:val="24"/>
        </w:rPr>
        <w:t xml:space="preserve"> </w:t>
      </w:r>
      <w:r>
        <w:rPr>
          <w:rFonts w:ascii="Garamond" w:hAnsi="Garamond" w:cs="Garamond"/>
          <w:sz w:val="24"/>
          <w:szCs w:val="24"/>
        </w:rPr>
        <w:t>support</w:t>
      </w:r>
      <w:r>
        <w:rPr>
          <w:rFonts w:ascii="Garamond" w:hAnsi="Garamond" w:cs="Garamond"/>
          <w:spacing w:val="-13"/>
          <w:sz w:val="24"/>
          <w:szCs w:val="24"/>
        </w:rPr>
        <w:t xml:space="preserve"> </w:t>
      </w:r>
      <w:r>
        <w:rPr>
          <w:rFonts w:ascii="Garamond" w:hAnsi="Garamond" w:cs="Garamond"/>
          <w:sz w:val="24"/>
          <w:szCs w:val="24"/>
        </w:rPr>
        <w:t>services</w:t>
      </w:r>
      <w:r>
        <w:rPr>
          <w:rFonts w:ascii="Garamond" w:hAnsi="Garamond" w:cs="Garamond"/>
          <w:spacing w:val="-13"/>
          <w:sz w:val="24"/>
          <w:szCs w:val="24"/>
        </w:rPr>
        <w:t xml:space="preserve"> </w:t>
      </w:r>
      <w:r>
        <w:rPr>
          <w:rFonts w:ascii="Garamond" w:hAnsi="Garamond" w:cs="Garamond"/>
          <w:sz w:val="24"/>
          <w:szCs w:val="24"/>
        </w:rPr>
        <w:t>that</w:t>
      </w:r>
      <w:r>
        <w:rPr>
          <w:rFonts w:ascii="Garamond" w:hAnsi="Garamond" w:cs="Garamond"/>
          <w:spacing w:val="-13"/>
          <w:sz w:val="24"/>
          <w:szCs w:val="24"/>
        </w:rPr>
        <w:t xml:space="preserve"> </w:t>
      </w:r>
      <w:r>
        <w:rPr>
          <w:rFonts w:ascii="Garamond" w:hAnsi="Garamond" w:cs="Garamond"/>
          <w:sz w:val="24"/>
          <w:szCs w:val="24"/>
        </w:rPr>
        <w:t>address</w:t>
      </w:r>
      <w:r>
        <w:rPr>
          <w:rFonts w:ascii="Garamond" w:hAnsi="Garamond" w:cs="Garamond"/>
          <w:spacing w:val="-16"/>
          <w:sz w:val="24"/>
          <w:szCs w:val="24"/>
        </w:rPr>
        <w:t xml:space="preserve"> </w:t>
      </w:r>
      <w:r>
        <w:rPr>
          <w:rFonts w:ascii="Garamond" w:hAnsi="Garamond" w:cs="Garamond"/>
          <w:sz w:val="24"/>
          <w:szCs w:val="24"/>
        </w:rPr>
        <w:t xml:space="preserve">social determinants of health as well as oral health; these partner organizations </w:t>
      </w:r>
      <w:r>
        <w:rPr>
          <w:rFonts w:ascii="Garamond" w:hAnsi="Garamond" w:cs="Garamond"/>
          <w:spacing w:val="-2"/>
          <w:sz w:val="24"/>
          <w:szCs w:val="24"/>
        </w:rPr>
        <w:t xml:space="preserve">should </w:t>
      </w:r>
      <w:r>
        <w:rPr>
          <w:rFonts w:ascii="Garamond" w:hAnsi="Garamond" w:cs="Garamond"/>
          <w:sz w:val="24"/>
          <w:szCs w:val="24"/>
        </w:rPr>
        <w:t>include existing community-based</w:t>
      </w:r>
      <w:r>
        <w:rPr>
          <w:rFonts w:ascii="Garamond" w:hAnsi="Garamond" w:cs="Garamond"/>
          <w:spacing w:val="-19"/>
          <w:sz w:val="24"/>
          <w:szCs w:val="24"/>
        </w:rPr>
        <w:t xml:space="preserve"> </w:t>
      </w:r>
      <w:r>
        <w:rPr>
          <w:rFonts w:ascii="Garamond" w:hAnsi="Garamond" w:cs="Garamond"/>
          <w:sz w:val="24"/>
          <w:szCs w:val="24"/>
        </w:rPr>
        <w:t>oral</w:t>
      </w:r>
      <w:r>
        <w:rPr>
          <w:rFonts w:ascii="Garamond" w:hAnsi="Garamond" w:cs="Garamond"/>
          <w:spacing w:val="-16"/>
          <w:sz w:val="24"/>
          <w:szCs w:val="24"/>
        </w:rPr>
        <w:t xml:space="preserve"> </w:t>
      </w:r>
      <w:r>
        <w:rPr>
          <w:rFonts w:ascii="Garamond" w:hAnsi="Garamond" w:cs="Garamond"/>
          <w:sz w:val="24"/>
          <w:szCs w:val="24"/>
        </w:rPr>
        <w:t>health</w:t>
      </w:r>
      <w:r>
        <w:rPr>
          <w:rFonts w:ascii="Garamond" w:hAnsi="Garamond" w:cs="Garamond"/>
          <w:spacing w:val="-16"/>
          <w:sz w:val="24"/>
          <w:szCs w:val="24"/>
        </w:rPr>
        <w:t xml:space="preserve"> </w:t>
      </w:r>
      <w:r>
        <w:rPr>
          <w:rFonts w:ascii="Garamond" w:hAnsi="Garamond" w:cs="Garamond"/>
          <w:sz w:val="24"/>
          <w:szCs w:val="24"/>
        </w:rPr>
        <w:t>services</w:t>
      </w:r>
      <w:r>
        <w:rPr>
          <w:rFonts w:ascii="Garamond" w:hAnsi="Garamond" w:cs="Garamond"/>
          <w:spacing w:val="-17"/>
          <w:sz w:val="24"/>
          <w:szCs w:val="24"/>
        </w:rPr>
        <w:t xml:space="preserve"> </w:t>
      </w:r>
      <w:r>
        <w:rPr>
          <w:rFonts w:ascii="Garamond" w:hAnsi="Garamond" w:cs="Garamond"/>
          <w:sz w:val="24"/>
          <w:szCs w:val="24"/>
        </w:rPr>
        <w:t>such</w:t>
      </w:r>
      <w:r>
        <w:rPr>
          <w:rFonts w:ascii="Garamond" w:hAnsi="Garamond" w:cs="Garamond"/>
          <w:spacing w:val="-19"/>
          <w:sz w:val="24"/>
          <w:szCs w:val="24"/>
        </w:rPr>
        <w:t xml:space="preserve"> </w:t>
      </w:r>
      <w:r>
        <w:rPr>
          <w:rFonts w:ascii="Garamond" w:hAnsi="Garamond" w:cs="Garamond"/>
          <w:sz w:val="24"/>
          <w:szCs w:val="24"/>
        </w:rPr>
        <w:t>as</w:t>
      </w:r>
      <w:r>
        <w:rPr>
          <w:rFonts w:ascii="Garamond" w:hAnsi="Garamond" w:cs="Garamond"/>
          <w:spacing w:val="-19"/>
          <w:sz w:val="24"/>
          <w:szCs w:val="24"/>
        </w:rPr>
        <w:t xml:space="preserve"> </w:t>
      </w:r>
      <w:r>
        <w:rPr>
          <w:rFonts w:ascii="Garamond" w:hAnsi="Garamond" w:cs="Garamond"/>
          <w:sz w:val="24"/>
          <w:szCs w:val="24"/>
        </w:rPr>
        <w:t>school-based</w:t>
      </w:r>
      <w:r>
        <w:rPr>
          <w:rFonts w:ascii="Garamond" w:hAnsi="Garamond" w:cs="Garamond"/>
          <w:spacing w:val="-19"/>
          <w:sz w:val="24"/>
          <w:szCs w:val="24"/>
        </w:rPr>
        <w:t xml:space="preserve"> </w:t>
      </w:r>
      <w:r>
        <w:rPr>
          <w:rFonts w:ascii="Garamond" w:hAnsi="Garamond" w:cs="Garamond"/>
          <w:sz w:val="24"/>
          <w:szCs w:val="24"/>
        </w:rPr>
        <w:t>oral</w:t>
      </w:r>
      <w:r>
        <w:rPr>
          <w:rFonts w:ascii="Garamond" w:hAnsi="Garamond" w:cs="Garamond"/>
          <w:spacing w:val="-16"/>
          <w:sz w:val="24"/>
          <w:szCs w:val="24"/>
        </w:rPr>
        <w:t xml:space="preserve"> </w:t>
      </w:r>
      <w:r>
        <w:rPr>
          <w:rFonts w:ascii="Garamond" w:hAnsi="Garamond" w:cs="Garamond"/>
          <w:sz w:val="24"/>
          <w:szCs w:val="24"/>
        </w:rPr>
        <w:t>health</w:t>
      </w:r>
      <w:r>
        <w:rPr>
          <w:rFonts w:ascii="Garamond" w:hAnsi="Garamond" w:cs="Garamond"/>
          <w:spacing w:val="-19"/>
          <w:sz w:val="24"/>
          <w:szCs w:val="24"/>
        </w:rPr>
        <w:t xml:space="preserve"> </w:t>
      </w:r>
      <w:r>
        <w:rPr>
          <w:rFonts w:ascii="Garamond" w:hAnsi="Garamond" w:cs="Garamond"/>
          <w:sz w:val="24"/>
          <w:szCs w:val="24"/>
        </w:rPr>
        <w:t>programs.</w:t>
      </w:r>
    </w:p>
    <w:p w:rsidR="002C5025" w:rsidRDefault="002C5025">
      <w:pPr>
        <w:pStyle w:val="BodyText"/>
        <w:kinsoku w:val="0"/>
        <w:overflowPunct w:val="0"/>
        <w:spacing w:before="3"/>
        <w:rPr>
          <w:rFonts w:ascii="Garamond" w:hAnsi="Garamond" w:cs="Garamond"/>
          <w:sz w:val="26"/>
          <w:szCs w:val="26"/>
        </w:rPr>
      </w:pPr>
    </w:p>
    <w:p w:rsidR="002C5025" w:rsidRDefault="002C5025">
      <w:pPr>
        <w:pStyle w:val="BodyText"/>
        <w:kinsoku w:val="0"/>
        <w:overflowPunct w:val="0"/>
        <w:ind w:left="120" w:right="197"/>
        <w:rPr>
          <w:rFonts w:ascii="Garamond" w:hAnsi="Garamond" w:cs="Garamond"/>
          <w:b/>
          <w:bCs/>
          <w:i/>
          <w:iCs/>
          <w:w w:val="90"/>
          <w:sz w:val="26"/>
          <w:szCs w:val="26"/>
        </w:rPr>
      </w:pPr>
      <w:bookmarkStart w:id="246" w:name="Roll-out_of_dental_services_inclusion_in"/>
      <w:bookmarkEnd w:id="246"/>
      <w:r>
        <w:rPr>
          <w:rFonts w:ascii="Garamond" w:hAnsi="Garamond" w:cs="Garamond"/>
          <w:b/>
          <w:bCs/>
          <w:i/>
          <w:iCs/>
          <w:w w:val="90"/>
          <w:sz w:val="26"/>
          <w:szCs w:val="26"/>
        </w:rPr>
        <w:t>Roll-out of</w:t>
      </w:r>
      <w:r w:rsidR="00347C9E">
        <w:rPr>
          <w:rFonts w:ascii="Garamond" w:hAnsi="Garamond" w:cs="Garamond"/>
          <w:b/>
          <w:bCs/>
          <w:i/>
          <w:iCs/>
          <w:w w:val="90"/>
          <w:sz w:val="26"/>
          <w:szCs w:val="26"/>
        </w:rPr>
        <w:t xml:space="preserve"> </w:t>
      </w:r>
      <w:r>
        <w:rPr>
          <w:rFonts w:ascii="Garamond" w:hAnsi="Garamond" w:cs="Garamond"/>
          <w:b/>
          <w:bCs/>
          <w:i/>
          <w:iCs/>
          <w:w w:val="90"/>
          <w:sz w:val="26"/>
          <w:szCs w:val="26"/>
        </w:rPr>
        <w:t>dental services inclusion in ACOs should consider piloting</w:t>
      </w:r>
    </w:p>
    <w:p w:rsidR="002C5025" w:rsidRDefault="002C5025">
      <w:pPr>
        <w:pStyle w:val="BodyText"/>
        <w:kinsoku w:val="0"/>
        <w:overflowPunct w:val="0"/>
        <w:spacing w:before="152" w:line="276" w:lineRule="auto"/>
        <w:ind w:left="119" w:right="72"/>
        <w:rPr>
          <w:rFonts w:ascii="Garamond" w:hAnsi="Garamond" w:cs="Garamond"/>
          <w:sz w:val="24"/>
          <w:szCs w:val="24"/>
        </w:rPr>
      </w:pPr>
      <w:r>
        <w:rPr>
          <w:rFonts w:ascii="Garamond" w:hAnsi="Garamond" w:cs="Garamond"/>
          <w:sz w:val="24"/>
          <w:szCs w:val="24"/>
        </w:rPr>
        <w:t>MassHealth should directly contract with dental care organizations (DCOs) similar to Oregon’s Medicaid model or assist ACOs in launching pioneering dental-focused integration pilots for each proposed</w:t>
      </w:r>
      <w:r>
        <w:rPr>
          <w:rFonts w:ascii="Garamond" w:hAnsi="Garamond" w:cs="Garamond"/>
          <w:spacing w:val="-16"/>
          <w:sz w:val="24"/>
          <w:szCs w:val="24"/>
        </w:rPr>
        <w:t xml:space="preserve"> </w:t>
      </w:r>
      <w:r>
        <w:rPr>
          <w:rFonts w:ascii="Garamond" w:hAnsi="Garamond" w:cs="Garamond"/>
          <w:sz w:val="24"/>
          <w:szCs w:val="24"/>
        </w:rPr>
        <w:t>ACO</w:t>
      </w:r>
      <w:r>
        <w:rPr>
          <w:rFonts w:ascii="Garamond" w:hAnsi="Garamond" w:cs="Garamond"/>
          <w:spacing w:val="-14"/>
          <w:sz w:val="24"/>
          <w:szCs w:val="24"/>
        </w:rPr>
        <w:t xml:space="preserve"> </w:t>
      </w:r>
      <w:r>
        <w:rPr>
          <w:rFonts w:ascii="Garamond" w:hAnsi="Garamond" w:cs="Garamond"/>
          <w:sz w:val="24"/>
          <w:szCs w:val="24"/>
        </w:rPr>
        <w:t>model.</w:t>
      </w:r>
      <w:r>
        <w:rPr>
          <w:rFonts w:ascii="Garamond" w:hAnsi="Garamond" w:cs="Garamond"/>
          <w:spacing w:val="-13"/>
          <w:sz w:val="24"/>
          <w:szCs w:val="24"/>
        </w:rPr>
        <w:t xml:space="preserve"> </w:t>
      </w:r>
      <w:r>
        <w:rPr>
          <w:rFonts w:ascii="Garamond" w:hAnsi="Garamond" w:cs="Garamond"/>
          <w:sz w:val="24"/>
          <w:szCs w:val="24"/>
        </w:rPr>
        <w:t>To</w:t>
      </w:r>
      <w:r>
        <w:rPr>
          <w:rFonts w:ascii="Garamond" w:hAnsi="Garamond" w:cs="Garamond"/>
          <w:spacing w:val="-16"/>
          <w:sz w:val="24"/>
          <w:szCs w:val="24"/>
        </w:rPr>
        <w:t xml:space="preserve"> </w:t>
      </w:r>
      <w:r>
        <w:rPr>
          <w:rFonts w:ascii="Garamond" w:hAnsi="Garamond" w:cs="Garamond"/>
          <w:sz w:val="24"/>
          <w:szCs w:val="24"/>
        </w:rPr>
        <w:t>promote</w:t>
      </w:r>
      <w:r>
        <w:rPr>
          <w:rFonts w:ascii="Garamond" w:hAnsi="Garamond" w:cs="Garamond"/>
          <w:spacing w:val="-12"/>
          <w:sz w:val="24"/>
          <w:szCs w:val="24"/>
        </w:rPr>
        <w:t xml:space="preserve"> </w:t>
      </w:r>
      <w:r>
        <w:rPr>
          <w:rFonts w:ascii="Garamond" w:hAnsi="Garamond" w:cs="Garamond"/>
          <w:sz w:val="24"/>
          <w:szCs w:val="24"/>
        </w:rPr>
        <w:t>cost-effectiveness</w:t>
      </w:r>
      <w:r>
        <w:rPr>
          <w:rFonts w:ascii="Garamond" w:hAnsi="Garamond" w:cs="Garamond"/>
          <w:spacing w:val="-17"/>
          <w:sz w:val="24"/>
          <w:szCs w:val="24"/>
        </w:rPr>
        <w:t xml:space="preserve"> </w:t>
      </w:r>
      <w:r>
        <w:rPr>
          <w:rFonts w:ascii="Garamond" w:hAnsi="Garamond" w:cs="Garamond"/>
          <w:sz w:val="24"/>
          <w:szCs w:val="24"/>
        </w:rPr>
        <w:t>and</w:t>
      </w:r>
      <w:r>
        <w:rPr>
          <w:rFonts w:ascii="Garamond" w:hAnsi="Garamond" w:cs="Garamond"/>
          <w:spacing w:val="-13"/>
          <w:sz w:val="24"/>
          <w:szCs w:val="24"/>
        </w:rPr>
        <w:t xml:space="preserve"> </w:t>
      </w:r>
      <w:r>
        <w:rPr>
          <w:rFonts w:ascii="Garamond" w:hAnsi="Garamond" w:cs="Garamond"/>
          <w:sz w:val="24"/>
          <w:szCs w:val="24"/>
        </w:rPr>
        <w:t>efficiency,</w:t>
      </w:r>
      <w:r>
        <w:rPr>
          <w:rFonts w:ascii="Garamond" w:hAnsi="Garamond" w:cs="Garamond"/>
          <w:spacing w:val="-13"/>
          <w:sz w:val="24"/>
          <w:szCs w:val="24"/>
        </w:rPr>
        <w:t xml:space="preserve"> </w:t>
      </w:r>
      <w:r>
        <w:rPr>
          <w:rFonts w:ascii="Garamond" w:hAnsi="Garamond" w:cs="Garamond"/>
          <w:sz w:val="24"/>
          <w:szCs w:val="24"/>
        </w:rPr>
        <w:t>MassHealth</w:t>
      </w:r>
      <w:r>
        <w:rPr>
          <w:rFonts w:ascii="Garamond" w:hAnsi="Garamond" w:cs="Garamond"/>
          <w:spacing w:val="-13"/>
          <w:sz w:val="24"/>
          <w:szCs w:val="24"/>
        </w:rPr>
        <w:t xml:space="preserve"> </w:t>
      </w:r>
      <w:r>
        <w:rPr>
          <w:rFonts w:ascii="Garamond" w:hAnsi="Garamond" w:cs="Garamond"/>
          <w:sz w:val="24"/>
          <w:szCs w:val="24"/>
        </w:rPr>
        <w:t>should</w:t>
      </w:r>
      <w:r>
        <w:rPr>
          <w:rFonts w:ascii="Garamond" w:hAnsi="Garamond" w:cs="Garamond"/>
          <w:spacing w:val="-13"/>
          <w:sz w:val="24"/>
          <w:szCs w:val="24"/>
        </w:rPr>
        <w:t xml:space="preserve"> </w:t>
      </w:r>
      <w:r>
        <w:rPr>
          <w:rFonts w:ascii="Garamond" w:hAnsi="Garamond" w:cs="Garamond"/>
          <w:sz w:val="24"/>
          <w:szCs w:val="24"/>
        </w:rPr>
        <w:t>adjust</w:t>
      </w:r>
      <w:r>
        <w:rPr>
          <w:rFonts w:ascii="Garamond" w:hAnsi="Garamond" w:cs="Garamond"/>
          <w:spacing w:val="-14"/>
          <w:sz w:val="24"/>
          <w:szCs w:val="24"/>
        </w:rPr>
        <w:t xml:space="preserve"> </w:t>
      </w:r>
      <w:r>
        <w:rPr>
          <w:rFonts w:ascii="Garamond" w:hAnsi="Garamond" w:cs="Garamond"/>
          <w:sz w:val="24"/>
          <w:szCs w:val="24"/>
        </w:rPr>
        <w:t xml:space="preserve">the free choice of provider clause that has appeared in </w:t>
      </w:r>
      <w:r>
        <w:rPr>
          <w:rFonts w:ascii="Garamond" w:hAnsi="Garamond" w:cs="Garamond"/>
          <w:spacing w:val="-3"/>
          <w:sz w:val="24"/>
          <w:szCs w:val="24"/>
        </w:rPr>
        <w:t xml:space="preserve">previous </w:t>
      </w:r>
      <w:r>
        <w:rPr>
          <w:rFonts w:ascii="Garamond" w:hAnsi="Garamond" w:cs="Garamond"/>
          <w:sz w:val="24"/>
          <w:szCs w:val="24"/>
        </w:rPr>
        <w:t xml:space="preserve">1115 waiver agreements to best </w:t>
      </w:r>
      <w:r>
        <w:rPr>
          <w:rFonts w:ascii="Garamond" w:hAnsi="Garamond" w:cs="Garamond"/>
          <w:spacing w:val="-3"/>
          <w:sz w:val="24"/>
          <w:szCs w:val="24"/>
        </w:rPr>
        <w:t xml:space="preserve">allow </w:t>
      </w:r>
      <w:r>
        <w:rPr>
          <w:rFonts w:ascii="Garamond" w:hAnsi="Garamond" w:cs="Garamond"/>
          <w:sz w:val="24"/>
          <w:szCs w:val="24"/>
        </w:rPr>
        <w:t>for</w:t>
      </w:r>
      <w:r>
        <w:rPr>
          <w:rFonts w:ascii="Garamond" w:hAnsi="Garamond" w:cs="Garamond"/>
          <w:spacing w:val="-13"/>
          <w:sz w:val="24"/>
          <w:szCs w:val="24"/>
        </w:rPr>
        <w:t xml:space="preserve"> </w:t>
      </w:r>
      <w:r>
        <w:rPr>
          <w:rFonts w:ascii="Garamond" w:hAnsi="Garamond" w:cs="Garamond"/>
          <w:sz w:val="24"/>
          <w:szCs w:val="24"/>
        </w:rPr>
        <w:t>optimally-structured</w:t>
      </w:r>
      <w:r>
        <w:rPr>
          <w:rFonts w:ascii="Garamond" w:hAnsi="Garamond" w:cs="Garamond"/>
          <w:spacing w:val="-12"/>
          <w:sz w:val="24"/>
          <w:szCs w:val="24"/>
        </w:rPr>
        <w:t xml:space="preserve"> </w:t>
      </w:r>
      <w:r>
        <w:rPr>
          <w:rFonts w:ascii="Garamond" w:hAnsi="Garamond" w:cs="Garamond"/>
          <w:sz w:val="24"/>
          <w:szCs w:val="24"/>
        </w:rPr>
        <w:t>dental</w:t>
      </w:r>
      <w:r>
        <w:rPr>
          <w:rFonts w:ascii="Garamond" w:hAnsi="Garamond" w:cs="Garamond"/>
          <w:spacing w:val="-12"/>
          <w:sz w:val="24"/>
          <w:szCs w:val="24"/>
        </w:rPr>
        <w:t xml:space="preserve"> </w:t>
      </w:r>
      <w:r>
        <w:rPr>
          <w:rFonts w:ascii="Garamond" w:hAnsi="Garamond" w:cs="Garamond"/>
          <w:sz w:val="24"/>
          <w:szCs w:val="24"/>
        </w:rPr>
        <w:t>pilots.</w:t>
      </w:r>
      <w:r>
        <w:rPr>
          <w:rFonts w:ascii="Garamond" w:hAnsi="Garamond" w:cs="Garamond"/>
          <w:spacing w:val="-10"/>
          <w:sz w:val="24"/>
          <w:szCs w:val="24"/>
        </w:rPr>
        <w:t xml:space="preserve"> </w:t>
      </w:r>
      <w:r>
        <w:rPr>
          <w:rFonts w:ascii="Garamond" w:hAnsi="Garamond" w:cs="Garamond"/>
          <w:sz w:val="24"/>
          <w:szCs w:val="24"/>
        </w:rPr>
        <w:t>All</w:t>
      </w:r>
      <w:r>
        <w:rPr>
          <w:rFonts w:ascii="Garamond" w:hAnsi="Garamond" w:cs="Garamond"/>
          <w:spacing w:val="-12"/>
          <w:sz w:val="24"/>
          <w:szCs w:val="24"/>
        </w:rPr>
        <w:t xml:space="preserve"> </w:t>
      </w:r>
      <w:r>
        <w:rPr>
          <w:rFonts w:ascii="Garamond" w:hAnsi="Garamond" w:cs="Garamond"/>
          <w:sz w:val="24"/>
          <w:szCs w:val="24"/>
        </w:rPr>
        <w:t>pilots</w:t>
      </w:r>
      <w:r>
        <w:rPr>
          <w:rFonts w:ascii="Garamond" w:hAnsi="Garamond" w:cs="Garamond"/>
          <w:spacing w:val="-13"/>
          <w:sz w:val="24"/>
          <w:szCs w:val="24"/>
        </w:rPr>
        <w:t xml:space="preserve"> </w:t>
      </w:r>
      <w:r>
        <w:rPr>
          <w:rFonts w:ascii="Garamond" w:hAnsi="Garamond" w:cs="Garamond"/>
          <w:sz w:val="24"/>
          <w:szCs w:val="24"/>
        </w:rPr>
        <w:t>should</w:t>
      </w:r>
      <w:r>
        <w:rPr>
          <w:rFonts w:ascii="Garamond" w:hAnsi="Garamond" w:cs="Garamond"/>
          <w:spacing w:val="-12"/>
          <w:sz w:val="24"/>
          <w:szCs w:val="24"/>
        </w:rPr>
        <w:t xml:space="preserve"> </w:t>
      </w:r>
      <w:r>
        <w:rPr>
          <w:rFonts w:ascii="Garamond" w:hAnsi="Garamond" w:cs="Garamond"/>
          <w:sz w:val="24"/>
          <w:szCs w:val="24"/>
        </w:rPr>
        <w:t>be</w:t>
      </w:r>
      <w:r>
        <w:rPr>
          <w:rFonts w:ascii="Garamond" w:hAnsi="Garamond" w:cs="Garamond"/>
          <w:spacing w:val="-11"/>
          <w:sz w:val="24"/>
          <w:szCs w:val="24"/>
        </w:rPr>
        <w:t xml:space="preserve"> </w:t>
      </w:r>
      <w:r>
        <w:rPr>
          <w:rFonts w:ascii="Garamond" w:hAnsi="Garamond" w:cs="Garamond"/>
          <w:sz w:val="24"/>
          <w:szCs w:val="24"/>
        </w:rPr>
        <w:t>introduced</w:t>
      </w:r>
      <w:r>
        <w:rPr>
          <w:rFonts w:ascii="Garamond" w:hAnsi="Garamond" w:cs="Garamond"/>
          <w:spacing w:val="-12"/>
          <w:sz w:val="24"/>
          <w:szCs w:val="24"/>
        </w:rPr>
        <w:t xml:space="preserve"> </w:t>
      </w:r>
      <w:r>
        <w:rPr>
          <w:rFonts w:ascii="Garamond" w:hAnsi="Garamond" w:cs="Garamond"/>
          <w:sz w:val="24"/>
          <w:szCs w:val="24"/>
        </w:rPr>
        <w:t>in</w:t>
      </w:r>
      <w:r>
        <w:rPr>
          <w:rFonts w:ascii="Garamond" w:hAnsi="Garamond" w:cs="Garamond"/>
          <w:spacing w:val="-15"/>
          <w:sz w:val="24"/>
          <w:szCs w:val="24"/>
        </w:rPr>
        <w:t xml:space="preserve"> </w:t>
      </w:r>
      <w:r>
        <w:rPr>
          <w:rFonts w:ascii="Garamond" w:hAnsi="Garamond" w:cs="Garamond"/>
          <w:sz w:val="24"/>
          <w:szCs w:val="24"/>
        </w:rPr>
        <w:t>advance</w:t>
      </w:r>
      <w:r>
        <w:rPr>
          <w:rFonts w:ascii="Garamond" w:hAnsi="Garamond" w:cs="Garamond"/>
          <w:spacing w:val="-9"/>
          <w:sz w:val="24"/>
          <w:szCs w:val="24"/>
        </w:rPr>
        <w:t xml:space="preserve"> </w:t>
      </w:r>
      <w:r>
        <w:rPr>
          <w:rFonts w:ascii="Garamond" w:hAnsi="Garamond" w:cs="Garamond"/>
          <w:sz w:val="24"/>
          <w:szCs w:val="24"/>
        </w:rPr>
        <w:t>of</w:t>
      </w:r>
      <w:r>
        <w:rPr>
          <w:rFonts w:ascii="Garamond" w:hAnsi="Garamond" w:cs="Garamond"/>
          <w:spacing w:val="-13"/>
          <w:sz w:val="24"/>
          <w:szCs w:val="24"/>
        </w:rPr>
        <w:t xml:space="preserve"> </w:t>
      </w:r>
      <w:r>
        <w:rPr>
          <w:rFonts w:ascii="Garamond" w:hAnsi="Garamond" w:cs="Garamond"/>
          <w:sz w:val="24"/>
          <w:szCs w:val="24"/>
        </w:rPr>
        <w:t>the</w:t>
      </w:r>
      <w:r>
        <w:rPr>
          <w:rFonts w:ascii="Garamond" w:hAnsi="Garamond" w:cs="Garamond"/>
          <w:spacing w:val="-11"/>
          <w:sz w:val="24"/>
          <w:szCs w:val="24"/>
        </w:rPr>
        <w:t xml:space="preserve"> </w:t>
      </w:r>
      <w:r>
        <w:rPr>
          <w:rFonts w:ascii="Garamond" w:hAnsi="Garamond" w:cs="Garamond"/>
          <w:sz w:val="24"/>
          <w:szCs w:val="24"/>
        </w:rPr>
        <w:t>full</w:t>
      </w:r>
      <w:r>
        <w:rPr>
          <w:rFonts w:ascii="Garamond" w:hAnsi="Garamond" w:cs="Garamond"/>
          <w:spacing w:val="-12"/>
          <w:sz w:val="24"/>
          <w:szCs w:val="24"/>
        </w:rPr>
        <w:t xml:space="preserve"> </w:t>
      </w:r>
      <w:r>
        <w:rPr>
          <w:rFonts w:ascii="Garamond" w:hAnsi="Garamond" w:cs="Garamond"/>
          <w:sz w:val="24"/>
          <w:szCs w:val="24"/>
        </w:rPr>
        <w:t xml:space="preserve">inclusion of dental services in ACO total cost of care and should also consider leveraging the expertise of third party dental benefits administrators and their knowledge in working with dental providers to ensure the adequacy of the dental provider network. Additionally, pilot programs need to </w:t>
      </w:r>
      <w:r>
        <w:rPr>
          <w:rFonts w:ascii="Garamond" w:hAnsi="Garamond" w:cs="Garamond"/>
          <w:spacing w:val="-3"/>
          <w:sz w:val="24"/>
          <w:szCs w:val="24"/>
        </w:rPr>
        <w:t xml:space="preserve">be </w:t>
      </w:r>
      <w:r>
        <w:rPr>
          <w:rFonts w:ascii="Garamond" w:hAnsi="Garamond" w:cs="Garamond"/>
          <w:sz w:val="24"/>
          <w:szCs w:val="24"/>
        </w:rPr>
        <w:t>implemented</w:t>
      </w:r>
      <w:r>
        <w:rPr>
          <w:rFonts w:ascii="Garamond" w:hAnsi="Garamond" w:cs="Garamond"/>
          <w:spacing w:val="-11"/>
          <w:sz w:val="24"/>
          <w:szCs w:val="24"/>
        </w:rPr>
        <w:t xml:space="preserve"> </w:t>
      </w:r>
      <w:r>
        <w:rPr>
          <w:rFonts w:ascii="Garamond" w:hAnsi="Garamond" w:cs="Garamond"/>
          <w:sz w:val="24"/>
          <w:szCs w:val="24"/>
        </w:rPr>
        <w:t>and</w:t>
      </w:r>
      <w:r>
        <w:rPr>
          <w:rFonts w:ascii="Garamond" w:hAnsi="Garamond" w:cs="Garamond"/>
          <w:spacing w:val="-11"/>
          <w:sz w:val="24"/>
          <w:szCs w:val="24"/>
        </w:rPr>
        <w:t xml:space="preserve"> </w:t>
      </w:r>
      <w:r>
        <w:rPr>
          <w:rFonts w:ascii="Garamond" w:hAnsi="Garamond" w:cs="Garamond"/>
          <w:sz w:val="24"/>
          <w:szCs w:val="24"/>
        </w:rPr>
        <w:t>tested</w:t>
      </w:r>
      <w:r>
        <w:rPr>
          <w:rFonts w:ascii="Garamond" w:hAnsi="Garamond" w:cs="Garamond"/>
          <w:spacing w:val="-14"/>
          <w:sz w:val="24"/>
          <w:szCs w:val="24"/>
        </w:rPr>
        <w:t xml:space="preserve"> </w:t>
      </w:r>
      <w:r>
        <w:rPr>
          <w:rFonts w:ascii="Garamond" w:hAnsi="Garamond" w:cs="Garamond"/>
          <w:sz w:val="24"/>
          <w:szCs w:val="24"/>
        </w:rPr>
        <w:t>with</w:t>
      </w:r>
      <w:r>
        <w:rPr>
          <w:rFonts w:ascii="Garamond" w:hAnsi="Garamond" w:cs="Garamond"/>
          <w:spacing w:val="-11"/>
          <w:sz w:val="24"/>
          <w:szCs w:val="24"/>
        </w:rPr>
        <w:t xml:space="preserve"> </w:t>
      </w:r>
      <w:r>
        <w:rPr>
          <w:rFonts w:ascii="Garamond" w:hAnsi="Garamond" w:cs="Garamond"/>
          <w:sz w:val="24"/>
          <w:szCs w:val="24"/>
        </w:rPr>
        <w:t>significant</w:t>
      </w:r>
      <w:r>
        <w:rPr>
          <w:rFonts w:ascii="Garamond" w:hAnsi="Garamond" w:cs="Garamond"/>
          <w:spacing w:val="-12"/>
          <w:sz w:val="24"/>
          <w:szCs w:val="24"/>
        </w:rPr>
        <w:t xml:space="preserve"> </w:t>
      </w:r>
      <w:r>
        <w:rPr>
          <w:rFonts w:ascii="Garamond" w:hAnsi="Garamond" w:cs="Garamond"/>
          <w:sz w:val="24"/>
          <w:szCs w:val="24"/>
        </w:rPr>
        <w:t>and</w:t>
      </w:r>
      <w:r>
        <w:rPr>
          <w:rFonts w:ascii="Garamond" w:hAnsi="Garamond" w:cs="Garamond"/>
          <w:spacing w:val="-11"/>
          <w:sz w:val="24"/>
          <w:szCs w:val="24"/>
        </w:rPr>
        <w:t xml:space="preserve"> </w:t>
      </w:r>
      <w:r>
        <w:rPr>
          <w:rFonts w:ascii="Garamond" w:hAnsi="Garamond" w:cs="Garamond"/>
          <w:sz w:val="24"/>
          <w:szCs w:val="24"/>
        </w:rPr>
        <w:t>meaningful</w:t>
      </w:r>
      <w:r>
        <w:rPr>
          <w:rFonts w:ascii="Garamond" w:hAnsi="Garamond" w:cs="Garamond"/>
          <w:spacing w:val="-11"/>
          <w:sz w:val="24"/>
          <w:szCs w:val="24"/>
        </w:rPr>
        <w:t xml:space="preserve"> </w:t>
      </w:r>
      <w:r>
        <w:rPr>
          <w:rFonts w:ascii="Garamond" w:hAnsi="Garamond" w:cs="Garamond"/>
          <w:sz w:val="24"/>
          <w:szCs w:val="24"/>
        </w:rPr>
        <w:t>input</w:t>
      </w:r>
      <w:r>
        <w:rPr>
          <w:rFonts w:ascii="Garamond" w:hAnsi="Garamond" w:cs="Garamond"/>
          <w:spacing w:val="-12"/>
          <w:sz w:val="24"/>
          <w:szCs w:val="24"/>
        </w:rPr>
        <w:t xml:space="preserve"> </w:t>
      </w:r>
      <w:r>
        <w:rPr>
          <w:rFonts w:ascii="Garamond" w:hAnsi="Garamond" w:cs="Garamond"/>
          <w:sz w:val="24"/>
          <w:szCs w:val="24"/>
        </w:rPr>
        <w:t>from</w:t>
      </w:r>
      <w:r>
        <w:rPr>
          <w:rFonts w:ascii="Garamond" w:hAnsi="Garamond" w:cs="Garamond"/>
          <w:spacing w:val="-12"/>
          <w:sz w:val="24"/>
          <w:szCs w:val="24"/>
        </w:rPr>
        <w:t xml:space="preserve"> </w:t>
      </w:r>
      <w:r>
        <w:rPr>
          <w:rFonts w:ascii="Garamond" w:hAnsi="Garamond" w:cs="Garamond"/>
          <w:sz w:val="24"/>
          <w:szCs w:val="24"/>
        </w:rPr>
        <w:t>the</w:t>
      </w:r>
      <w:r>
        <w:rPr>
          <w:rFonts w:ascii="Garamond" w:hAnsi="Garamond" w:cs="Garamond"/>
          <w:spacing w:val="-10"/>
          <w:sz w:val="24"/>
          <w:szCs w:val="24"/>
        </w:rPr>
        <w:t xml:space="preserve"> </w:t>
      </w:r>
      <w:r>
        <w:rPr>
          <w:rFonts w:ascii="Garamond" w:hAnsi="Garamond" w:cs="Garamond"/>
          <w:sz w:val="24"/>
          <w:szCs w:val="24"/>
        </w:rPr>
        <w:t>dental</w:t>
      </w:r>
      <w:r>
        <w:rPr>
          <w:rFonts w:ascii="Garamond" w:hAnsi="Garamond" w:cs="Garamond"/>
          <w:spacing w:val="-10"/>
          <w:sz w:val="24"/>
          <w:szCs w:val="24"/>
        </w:rPr>
        <w:t xml:space="preserve"> </w:t>
      </w:r>
      <w:r>
        <w:rPr>
          <w:rFonts w:ascii="Garamond" w:hAnsi="Garamond" w:cs="Garamond"/>
          <w:sz w:val="24"/>
          <w:szCs w:val="24"/>
        </w:rPr>
        <w:t>and</w:t>
      </w:r>
      <w:r>
        <w:rPr>
          <w:rFonts w:ascii="Garamond" w:hAnsi="Garamond" w:cs="Garamond"/>
          <w:spacing w:val="-11"/>
          <w:sz w:val="24"/>
          <w:szCs w:val="24"/>
        </w:rPr>
        <w:t xml:space="preserve"> </w:t>
      </w:r>
      <w:r>
        <w:rPr>
          <w:rFonts w:ascii="Garamond" w:hAnsi="Garamond" w:cs="Garamond"/>
          <w:sz w:val="24"/>
          <w:szCs w:val="24"/>
        </w:rPr>
        <w:t>medical</w:t>
      </w:r>
      <w:r>
        <w:rPr>
          <w:rFonts w:ascii="Garamond" w:hAnsi="Garamond" w:cs="Garamond"/>
          <w:spacing w:val="-11"/>
          <w:sz w:val="24"/>
          <w:szCs w:val="24"/>
        </w:rPr>
        <w:t xml:space="preserve"> </w:t>
      </w:r>
      <w:r>
        <w:rPr>
          <w:rFonts w:ascii="Garamond" w:hAnsi="Garamond" w:cs="Garamond"/>
          <w:sz w:val="24"/>
          <w:szCs w:val="24"/>
        </w:rPr>
        <w:t xml:space="preserve">provider communities as well as consumers. This should include benchmarks for each pilot that are consistent across the board, and clearly defined </w:t>
      </w:r>
      <w:r>
        <w:rPr>
          <w:rFonts w:ascii="Garamond" w:hAnsi="Garamond" w:cs="Garamond"/>
          <w:spacing w:val="-3"/>
          <w:sz w:val="24"/>
          <w:szCs w:val="24"/>
        </w:rPr>
        <w:t xml:space="preserve">risks </w:t>
      </w:r>
      <w:r>
        <w:rPr>
          <w:rFonts w:ascii="Garamond" w:hAnsi="Garamond" w:cs="Garamond"/>
          <w:sz w:val="24"/>
          <w:szCs w:val="24"/>
        </w:rPr>
        <w:t>that providers are assuming. MassHealth should</w:t>
      </w:r>
      <w:r>
        <w:rPr>
          <w:rFonts w:ascii="Garamond" w:hAnsi="Garamond" w:cs="Garamond"/>
          <w:spacing w:val="-9"/>
          <w:sz w:val="24"/>
          <w:szCs w:val="24"/>
        </w:rPr>
        <w:t xml:space="preserve"> </w:t>
      </w:r>
      <w:r>
        <w:rPr>
          <w:rFonts w:ascii="Garamond" w:hAnsi="Garamond" w:cs="Garamond"/>
          <w:sz w:val="24"/>
          <w:szCs w:val="24"/>
        </w:rPr>
        <w:t>facilitate</w:t>
      </w:r>
      <w:r>
        <w:rPr>
          <w:rFonts w:ascii="Garamond" w:hAnsi="Garamond" w:cs="Garamond"/>
          <w:spacing w:val="-8"/>
          <w:sz w:val="24"/>
          <w:szCs w:val="24"/>
        </w:rPr>
        <w:t xml:space="preserve"> </w:t>
      </w:r>
      <w:r>
        <w:rPr>
          <w:rFonts w:ascii="Garamond" w:hAnsi="Garamond" w:cs="Garamond"/>
          <w:sz w:val="24"/>
          <w:szCs w:val="24"/>
        </w:rPr>
        <w:t>the</w:t>
      </w:r>
      <w:r>
        <w:rPr>
          <w:rFonts w:ascii="Garamond" w:hAnsi="Garamond" w:cs="Garamond"/>
          <w:spacing w:val="-9"/>
          <w:sz w:val="24"/>
          <w:szCs w:val="24"/>
        </w:rPr>
        <w:t xml:space="preserve"> </w:t>
      </w:r>
      <w:r>
        <w:rPr>
          <w:rFonts w:ascii="Garamond" w:hAnsi="Garamond" w:cs="Garamond"/>
          <w:sz w:val="24"/>
          <w:szCs w:val="24"/>
        </w:rPr>
        <w:t>sharing</w:t>
      </w:r>
      <w:r>
        <w:rPr>
          <w:rFonts w:ascii="Garamond" w:hAnsi="Garamond" w:cs="Garamond"/>
          <w:spacing w:val="-8"/>
          <w:sz w:val="24"/>
          <w:szCs w:val="24"/>
        </w:rPr>
        <w:t xml:space="preserve"> </w:t>
      </w:r>
      <w:r>
        <w:rPr>
          <w:rFonts w:ascii="Garamond" w:hAnsi="Garamond" w:cs="Garamond"/>
          <w:sz w:val="24"/>
          <w:szCs w:val="24"/>
        </w:rPr>
        <w:t>of</w:t>
      </w:r>
      <w:r>
        <w:rPr>
          <w:rFonts w:ascii="Garamond" w:hAnsi="Garamond" w:cs="Garamond"/>
          <w:spacing w:val="-11"/>
          <w:sz w:val="24"/>
          <w:szCs w:val="24"/>
        </w:rPr>
        <w:t xml:space="preserve"> </w:t>
      </w:r>
      <w:r>
        <w:rPr>
          <w:rFonts w:ascii="Garamond" w:hAnsi="Garamond" w:cs="Garamond"/>
          <w:sz w:val="24"/>
          <w:szCs w:val="24"/>
        </w:rPr>
        <w:t>best</w:t>
      </w:r>
      <w:r>
        <w:rPr>
          <w:rFonts w:ascii="Garamond" w:hAnsi="Garamond" w:cs="Garamond"/>
          <w:spacing w:val="-11"/>
          <w:sz w:val="24"/>
          <w:szCs w:val="24"/>
        </w:rPr>
        <w:t xml:space="preserve"> </w:t>
      </w:r>
      <w:r>
        <w:rPr>
          <w:rFonts w:ascii="Garamond" w:hAnsi="Garamond" w:cs="Garamond"/>
          <w:sz w:val="24"/>
          <w:szCs w:val="24"/>
        </w:rPr>
        <w:t>practices</w:t>
      </w:r>
      <w:r>
        <w:rPr>
          <w:rFonts w:ascii="Garamond" w:hAnsi="Garamond" w:cs="Garamond"/>
          <w:spacing w:val="-11"/>
          <w:sz w:val="24"/>
          <w:szCs w:val="24"/>
        </w:rPr>
        <w:t xml:space="preserve"> </w:t>
      </w:r>
      <w:r>
        <w:rPr>
          <w:rFonts w:ascii="Garamond" w:hAnsi="Garamond" w:cs="Garamond"/>
          <w:sz w:val="24"/>
          <w:szCs w:val="24"/>
        </w:rPr>
        <w:t>and</w:t>
      </w:r>
      <w:r>
        <w:rPr>
          <w:rFonts w:ascii="Garamond" w:hAnsi="Garamond" w:cs="Garamond"/>
          <w:spacing w:val="-9"/>
          <w:sz w:val="24"/>
          <w:szCs w:val="24"/>
        </w:rPr>
        <w:t xml:space="preserve"> </w:t>
      </w:r>
      <w:r>
        <w:rPr>
          <w:rFonts w:ascii="Garamond" w:hAnsi="Garamond" w:cs="Garamond"/>
          <w:sz w:val="24"/>
          <w:szCs w:val="24"/>
        </w:rPr>
        <w:t>data</w:t>
      </w:r>
      <w:r>
        <w:rPr>
          <w:rFonts w:ascii="Garamond" w:hAnsi="Garamond" w:cs="Garamond"/>
          <w:spacing w:val="-8"/>
          <w:sz w:val="24"/>
          <w:szCs w:val="24"/>
        </w:rPr>
        <w:t xml:space="preserve"> </w:t>
      </w:r>
      <w:r>
        <w:rPr>
          <w:rFonts w:ascii="Garamond" w:hAnsi="Garamond" w:cs="Garamond"/>
          <w:sz w:val="24"/>
          <w:szCs w:val="24"/>
        </w:rPr>
        <w:t>collected</w:t>
      </w:r>
      <w:r>
        <w:rPr>
          <w:rFonts w:ascii="Garamond" w:hAnsi="Garamond" w:cs="Garamond"/>
          <w:spacing w:val="-6"/>
          <w:sz w:val="24"/>
          <w:szCs w:val="24"/>
        </w:rPr>
        <w:t xml:space="preserve"> </w:t>
      </w:r>
      <w:r>
        <w:rPr>
          <w:rFonts w:ascii="Garamond" w:hAnsi="Garamond" w:cs="Garamond"/>
          <w:sz w:val="24"/>
          <w:szCs w:val="24"/>
        </w:rPr>
        <w:t>through</w:t>
      </w:r>
      <w:r>
        <w:rPr>
          <w:rFonts w:ascii="Garamond" w:hAnsi="Garamond" w:cs="Garamond"/>
          <w:spacing w:val="-10"/>
          <w:sz w:val="24"/>
          <w:szCs w:val="24"/>
        </w:rPr>
        <w:t xml:space="preserve"> </w:t>
      </w:r>
      <w:r>
        <w:rPr>
          <w:rFonts w:ascii="Garamond" w:hAnsi="Garamond" w:cs="Garamond"/>
          <w:sz w:val="24"/>
          <w:szCs w:val="24"/>
        </w:rPr>
        <w:t>and</w:t>
      </w:r>
      <w:r>
        <w:rPr>
          <w:rFonts w:ascii="Garamond" w:hAnsi="Garamond" w:cs="Garamond"/>
          <w:spacing w:val="-9"/>
          <w:sz w:val="24"/>
          <w:szCs w:val="24"/>
        </w:rPr>
        <w:t xml:space="preserve"> </w:t>
      </w:r>
      <w:r>
        <w:rPr>
          <w:rFonts w:ascii="Garamond" w:hAnsi="Garamond" w:cs="Garamond"/>
          <w:sz w:val="24"/>
          <w:szCs w:val="24"/>
        </w:rPr>
        <w:t>at</w:t>
      </w:r>
      <w:r>
        <w:rPr>
          <w:rFonts w:ascii="Garamond" w:hAnsi="Garamond" w:cs="Garamond"/>
          <w:spacing w:val="-13"/>
          <w:sz w:val="24"/>
          <w:szCs w:val="24"/>
        </w:rPr>
        <w:t xml:space="preserve"> </w:t>
      </w:r>
      <w:r>
        <w:rPr>
          <w:rFonts w:ascii="Garamond" w:hAnsi="Garamond" w:cs="Garamond"/>
          <w:sz w:val="24"/>
          <w:szCs w:val="24"/>
        </w:rPr>
        <w:t>the</w:t>
      </w:r>
      <w:r>
        <w:rPr>
          <w:rFonts w:ascii="Garamond" w:hAnsi="Garamond" w:cs="Garamond"/>
          <w:spacing w:val="-9"/>
          <w:sz w:val="24"/>
          <w:szCs w:val="24"/>
        </w:rPr>
        <w:t xml:space="preserve"> </w:t>
      </w:r>
      <w:r>
        <w:rPr>
          <w:rFonts w:ascii="Garamond" w:hAnsi="Garamond" w:cs="Garamond"/>
          <w:sz w:val="24"/>
          <w:szCs w:val="24"/>
        </w:rPr>
        <w:t>end</w:t>
      </w:r>
      <w:r>
        <w:rPr>
          <w:rFonts w:ascii="Garamond" w:hAnsi="Garamond" w:cs="Garamond"/>
          <w:spacing w:val="-10"/>
          <w:sz w:val="24"/>
          <w:szCs w:val="24"/>
        </w:rPr>
        <w:t xml:space="preserve"> </w:t>
      </w:r>
      <w:r>
        <w:rPr>
          <w:rFonts w:ascii="Garamond" w:hAnsi="Garamond" w:cs="Garamond"/>
          <w:sz w:val="24"/>
          <w:szCs w:val="24"/>
        </w:rPr>
        <w:t>of</w:t>
      </w:r>
      <w:r>
        <w:rPr>
          <w:rFonts w:ascii="Garamond" w:hAnsi="Garamond" w:cs="Garamond"/>
          <w:spacing w:val="-9"/>
          <w:sz w:val="24"/>
          <w:szCs w:val="24"/>
        </w:rPr>
        <w:t xml:space="preserve"> </w:t>
      </w:r>
      <w:r>
        <w:rPr>
          <w:rFonts w:ascii="Garamond" w:hAnsi="Garamond" w:cs="Garamond"/>
          <w:sz w:val="24"/>
          <w:szCs w:val="24"/>
        </w:rPr>
        <w:t>the</w:t>
      </w:r>
      <w:r>
        <w:rPr>
          <w:rFonts w:ascii="Garamond" w:hAnsi="Garamond" w:cs="Garamond"/>
          <w:spacing w:val="-8"/>
          <w:sz w:val="24"/>
          <w:szCs w:val="24"/>
        </w:rPr>
        <w:t xml:space="preserve"> </w:t>
      </w:r>
      <w:r>
        <w:rPr>
          <w:rFonts w:ascii="Garamond" w:hAnsi="Garamond" w:cs="Garamond"/>
          <w:sz w:val="24"/>
          <w:szCs w:val="24"/>
        </w:rPr>
        <w:t>dental pilot</w:t>
      </w:r>
      <w:r>
        <w:rPr>
          <w:rFonts w:ascii="Garamond" w:hAnsi="Garamond" w:cs="Garamond"/>
          <w:spacing w:val="-12"/>
          <w:sz w:val="24"/>
          <w:szCs w:val="24"/>
        </w:rPr>
        <w:t xml:space="preserve"> </w:t>
      </w:r>
      <w:r>
        <w:rPr>
          <w:rFonts w:ascii="Garamond" w:hAnsi="Garamond" w:cs="Garamond"/>
          <w:sz w:val="24"/>
          <w:szCs w:val="24"/>
        </w:rPr>
        <w:t>phase</w:t>
      </w:r>
      <w:r>
        <w:rPr>
          <w:rFonts w:ascii="Garamond" w:hAnsi="Garamond" w:cs="Garamond"/>
          <w:spacing w:val="-7"/>
          <w:sz w:val="24"/>
          <w:szCs w:val="24"/>
        </w:rPr>
        <w:t xml:space="preserve"> </w:t>
      </w:r>
      <w:r>
        <w:rPr>
          <w:rFonts w:ascii="Garamond" w:hAnsi="Garamond" w:cs="Garamond"/>
          <w:sz w:val="24"/>
          <w:szCs w:val="24"/>
        </w:rPr>
        <w:t>in</w:t>
      </w:r>
      <w:r>
        <w:rPr>
          <w:rFonts w:ascii="Garamond" w:hAnsi="Garamond" w:cs="Garamond"/>
          <w:spacing w:val="-11"/>
          <w:sz w:val="24"/>
          <w:szCs w:val="24"/>
        </w:rPr>
        <w:t xml:space="preserve"> </w:t>
      </w:r>
      <w:r>
        <w:rPr>
          <w:rFonts w:ascii="Garamond" w:hAnsi="Garamond" w:cs="Garamond"/>
          <w:sz w:val="24"/>
          <w:szCs w:val="24"/>
        </w:rPr>
        <w:t>order</w:t>
      </w:r>
      <w:r>
        <w:rPr>
          <w:rFonts w:ascii="Garamond" w:hAnsi="Garamond" w:cs="Garamond"/>
          <w:spacing w:val="-12"/>
          <w:sz w:val="24"/>
          <w:szCs w:val="24"/>
        </w:rPr>
        <w:t xml:space="preserve"> </w:t>
      </w:r>
      <w:r>
        <w:rPr>
          <w:rFonts w:ascii="Garamond" w:hAnsi="Garamond" w:cs="Garamond"/>
          <w:sz w:val="24"/>
          <w:szCs w:val="24"/>
        </w:rPr>
        <w:t>to</w:t>
      </w:r>
      <w:r>
        <w:rPr>
          <w:rFonts w:ascii="Garamond" w:hAnsi="Garamond" w:cs="Garamond"/>
          <w:spacing w:val="-11"/>
          <w:sz w:val="24"/>
          <w:szCs w:val="24"/>
        </w:rPr>
        <w:t xml:space="preserve"> </w:t>
      </w:r>
      <w:r>
        <w:rPr>
          <w:rFonts w:ascii="Garamond" w:hAnsi="Garamond" w:cs="Garamond"/>
          <w:sz w:val="24"/>
          <w:szCs w:val="24"/>
        </w:rPr>
        <w:t>assist</w:t>
      </w:r>
      <w:r>
        <w:rPr>
          <w:rFonts w:ascii="Garamond" w:hAnsi="Garamond" w:cs="Garamond"/>
          <w:spacing w:val="-9"/>
          <w:sz w:val="24"/>
          <w:szCs w:val="24"/>
        </w:rPr>
        <w:t xml:space="preserve"> </w:t>
      </w:r>
      <w:r>
        <w:rPr>
          <w:rFonts w:ascii="Garamond" w:hAnsi="Garamond" w:cs="Garamond"/>
          <w:sz w:val="24"/>
          <w:szCs w:val="24"/>
        </w:rPr>
        <w:t>with</w:t>
      </w:r>
      <w:r>
        <w:rPr>
          <w:rFonts w:ascii="Garamond" w:hAnsi="Garamond" w:cs="Garamond"/>
          <w:spacing w:val="-9"/>
          <w:sz w:val="24"/>
          <w:szCs w:val="24"/>
        </w:rPr>
        <w:t xml:space="preserve"> </w:t>
      </w:r>
      <w:r>
        <w:rPr>
          <w:rFonts w:ascii="Garamond" w:hAnsi="Garamond" w:cs="Garamond"/>
          <w:sz w:val="24"/>
          <w:szCs w:val="24"/>
        </w:rPr>
        <w:t>the</w:t>
      </w:r>
      <w:r>
        <w:rPr>
          <w:rFonts w:ascii="Garamond" w:hAnsi="Garamond" w:cs="Garamond"/>
          <w:spacing w:val="-10"/>
          <w:sz w:val="24"/>
          <w:szCs w:val="24"/>
        </w:rPr>
        <w:t xml:space="preserve"> </w:t>
      </w:r>
      <w:r>
        <w:rPr>
          <w:rFonts w:ascii="Garamond" w:hAnsi="Garamond" w:cs="Garamond"/>
          <w:sz w:val="24"/>
          <w:szCs w:val="24"/>
        </w:rPr>
        <w:t>next</w:t>
      </w:r>
      <w:r>
        <w:rPr>
          <w:rFonts w:ascii="Garamond" w:hAnsi="Garamond" w:cs="Garamond"/>
          <w:spacing w:val="-12"/>
          <w:sz w:val="24"/>
          <w:szCs w:val="24"/>
        </w:rPr>
        <w:t xml:space="preserve"> </w:t>
      </w:r>
      <w:r>
        <w:rPr>
          <w:rFonts w:ascii="Garamond" w:hAnsi="Garamond" w:cs="Garamond"/>
          <w:sz w:val="24"/>
          <w:szCs w:val="24"/>
        </w:rPr>
        <w:t>stage</w:t>
      </w:r>
      <w:r>
        <w:rPr>
          <w:rFonts w:ascii="Garamond" w:hAnsi="Garamond" w:cs="Garamond"/>
          <w:spacing w:val="-8"/>
          <w:sz w:val="24"/>
          <w:szCs w:val="24"/>
        </w:rPr>
        <w:t xml:space="preserve"> </w:t>
      </w:r>
      <w:r>
        <w:rPr>
          <w:rFonts w:ascii="Garamond" w:hAnsi="Garamond" w:cs="Garamond"/>
          <w:sz w:val="24"/>
          <w:szCs w:val="24"/>
        </w:rPr>
        <w:t>of</w:t>
      </w:r>
      <w:r>
        <w:rPr>
          <w:rFonts w:ascii="Garamond" w:hAnsi="Garamond" w:cs="Garamond"/>
          <w:spacing w:val="-12"/>
          <w:sz w:val="24"/>
          <w:szCs w:val="24"/>
        </w:rPr>
        <w:t xml:space="preserve"> </w:t>
      </w:r>
      <w:r>
        <w:rPr>
          <w:rFonts w:ascii="Garamond" w:hAnsi="Garamond" w:cs="Garamond"/>
          <w:sz w:val="24"/>
          <w:szCs w:val="24"/>
        </w:rPr>
        <w:t>oral</w:t>
      </w:r>
      <w:r>
        <w:rPr>
          <w:rFonts w:ascii="Garamond" w:hAnsi="Garamond" w:cs="Garamond"/>
          <w:spacing w:val="-11"/>
          <w:sz w:val="24"/>
          <w:szCs w:val="24"/>
        </w:rPr>
        <w:t xml:space="preserve"> </w:t>
      </w:r>
      <w:r>
        <w:rPr>
          <w:rFonts w:ascii="Garamond" w:hAnsi="Garamond" w:cs="Garamond"/>
          <w:sz w:val="24"/>
          <w:szCs w:val="24"/>
        </w:rPr>
        <w:t>health</w:t>
      </w:r>
      <w:r>
        <w:rPr>
          <w:rFonts w:ascii="Garamond" w:hAnsi="Garamond" w:cs="Garamond"/>
          <w:spacing w:val="-11"/>
          <w:sz w:val="24"/>
          <w:szCs w:val="24"/>
        </w:rPr>
        <w:t xml:space="preserve"> </w:t>
      </w:r>
      <w:r>
        <w:rPr>
          <w:rFonts w:ascii="Garamond" w:hAnsi="Garamond" w:cs="Garamond"/>
          <w:sz w:val="24"/>
          <w:szCs w:val="24"/>
        </w:rPr>
        <w:t>integration</w:t>
      </w:r>
      <w:r>
        <w:rPr>
          <w:rFonts w:ascii="Garamond" w:hAnsi="Garamond" w:cs="Garamond"/>
          <w:spacing w:val="-9"/>
          <w:sz w:val="24"/>
          <w:szCs w:val="24"/>
        </w:rPr>
        <w:t xml:space="preserve"> </w:t>
      </w:r>
      <w:r>
        <w:rPr>
          <w:rFonts w:ascii="Garamond" w:hAnsi="Garamond" w:cs="Garamond"/>
          <w:sz w:val="24"/>
          <w:szCs w:val="24"/>
        </w:rPr>
        <w:t>roll-out.</w:t>
      </w:r>
    </w:p>
    <w:p w:rsidR="002C5025" w:rsidRDefault="002C5025">
      <w:pPr>
        <w:pStyle w:val="BodyText"/>
        <w:kinsoku w:val="0"/>
        <w:overflowPunct w:val="0"/>
        <w:spacing w:before="4"/>
        <w:rPr>
          <w:rFonts w:ascii="Garamond" w:hAnsi="Garamond" w:cs="Garamond"/>
          <w:sz w:val="27"/>
          <w:szCs w:val="27"/>
        </w:rPr>
      </w:pPr>
    </w:p>
    <w:p w:rsidR="002C5025" w:rsidRDefault="002C5025">
      <w:pPr>
        <w:pStyle w:val="BodyText"/>
        <w:kinsoku w:val="0"/>
        <w:overflowPunct w:val="0"/>
        <w:spacing w:before="1" w:line="276" w:lineRule="auto"/>
        <w:ind w:left="119" w:right="197"/>
        <w:rPr>
          <w:rFonts w:ascii="Garamond" w:hAnsi="Garamond" w:cs="Garamond"/>
          <w:sz w:val="24"/>
          <w:szCs w:val="24"/>
        </w:rPr>
      </w:pPr>
      <w:r>
        <w:rPr>
          <w:rFonts w:ascii="Garamond" w:hAnsi="Garamond" w:cs="Garamond"/>
          <w:sz w:val="24"/>
          <w:szCs w:val="24"/>
        </w:rPr>
        <w:t>A successful pilot that rewards providers for achieving greater patient health may have the added benefit of convincing more providers to accept MassHealth. Piloting should be conducted with diverse</w:t>
      </w:r>
      <w:r>
        <w:rPr>
          <w:rFonts w:ascii="Garamond" w:hAnsi="Garamond" w:cs="Garamond"/>
          <w:spacing w:val="-12"/>
          <w:sz w:val="24"/>
          <w:szCs w:val="24"/>
        </w:rPr>
        <w:t xml:space="preserve"> </w:t>
      </w:r>
      <w:r>
        <w:rPr>
          <w:rFonts w:ascii="Garamond" w:hAnsi="Garamond" w:cs="Garamond"/>
          <w:sz w:val="24"/>
          <w:szCs w:val="24"/>
        </w:rPr>
        <w:t>practices</w:t>
      </w:r>
      <w:r>
        <w:rPr>
          <w:rFonts w:ascii="Garamond" w:hAnsi="Garamond" w:cs="Garamond"/>
          <w:spacing w:val="-17"/>
          <w:sz w:val="24"/>
          <w:szCs w:val="24"/>
        </w:rPr>
        <w:t xml:space="preserve"> </w:t>
      </w:r>
      <w:r>
        <w:rPr>
          <w:rFonts w:ascii="Garamond" w:hAnsi="Garamond" w:cs="Garamond"/>
          <w:sz w:val="24"/>
          <w:szCs w:val="24"/>
        </w:rPr>
        <w:t>and</w:t>
      </w:r>
      <w:r>
        <w:rPr>
          <w:rFonts w:ascii="Garamond" w:hAnsi="Garamond" w:cs="Garamond"/>
          <w:spacing w:val="-13"/>
          <w:sz w:val="24"/>
          <w:szCs w:val="24"/>
        </w:rPr>
        <w:t xml:space="preserve"> </w:t>
      </w:r>
      <w:r>
        <w:rPr>
          <w:rFonts w:ascii="Garamond" w:hAnsi="Garamond" w:cs="Garamond"/>
          <w:sz w:val="24"/>
          <w:szCs w:val="24"/>
        </w:rPr>
        <w:t>in</w:t>
      </w:r>
      <w:r>
        <w:rPr>
          <w:rFonts w:ascii="Garamond" w:hAnsi="Garamond" w:cs="Garamond"/>
          <w:spacing w:val="-13"/>
          <w:sz w:val="24"/>
          <w:szCs w:val="24"/>
        </w:rPr>
        <w:t xml:space="preserve"> </w:t>
      </w:r>
      <w:r>
        <w:rPr>
          <w:rFonts w:ascii="Garamond" w:hAnsi="Garamond" w:cs="Garamond"/>
          <w:sz w:val="24"/>
          <w:szCs w:val="24"/>
        </w:rPr>
        <w:t>varied</w:t>
      </w:r>
      <w:r>
        <w:rPr>
          <w:rFonts w:ascii="Garamond" w:hAnsi="Garamond" w:cs="Garamond"/>
          <w:spacing w:val="-13"/>
          <w:sz w:val="24"/>
          <w:szCs w:val="24"/>
        </w:rPr>
        <w:t xml:space="preserve"> </w:t>
      </w:r>
      <w:r>
        <w:rPr>
          <w:rFonts w:ascii="Garamond" w:hAnsi="Garamond" w:cs="Garamond"/>
          <w:sz w:val="24"/>
          <w:szCs w:val="24"/>
        </w:rPr>
        <w:t>geographical</w:t>
      </w:r>
      <w:r>
        <w:rPr>
          <w:rFonts w:ascii="Garamond" w:hAnsi="Garamond" w:cs="Garamond"/>
          <w:spacing w:val="-13"/>
          <w:sz w:val="24"/>
          <w:szCs w:val="24"/>
        </w:rPr>
        <w:t xml:space="preserve"> </w:t>
      </w:r>
      <w:r>
        <w:rPr>
          <w:rFonts w:ascii="Garamond" w:hAnsi="Garamond" w:cs="Garamond"/>
          <w:sz w:val="24"/>
          <w:szCs w:val="24"/>
        </w:rPr>
        <w:t>settings</w:t>
      </w:r>
      <w:r>
        <w:rPr>
          <w:rFonts w:ascii="Garamond" w:hAnsi="Garamond" w:cs="Garamond"/>
          <w:spacing w:val="-14"/>
          <w:sz w:val="24"/>
          <w:szCs w:val="24"/>
        </w:rPr>
        <w:t xml:space="preserve"> </w:t>
      </w:r>
      <w:r>
        <w:rPr>
          <w:rFonts w:ascii="Garamond" w:hAnsi="Garamond" w:cs="Garamond"/>
          <w:sz w:val="24"/>
          <w:szCs w:val="24"/>
        </w:rPr>
        <w:t>to</w:t>
      </w:r>
      <w:r>
        <w:rPr>
          <w:rFonts w:ascii="Garamond" w:hAnsi="Garamond" w:cs="Garamond"/>
          <w:spacing w:val="-13"/>
          <w:sz w:val="24"/>
          <w:szCs w:val="24"/>
        </w:rPr>
        <w:t xml:space="preserve"> </w:t>
      </w:r>
      <w:r>
        <w:rPr>
          <w:rFonts w:ascii="Garamond" w:hAnsi="Garamond" w:cs="Garamond"/>
          <w:sz w:val="24"/>
          <w:szCs w:val="24"/>
        </w:rPr>
        <w:t>demonstrate</w:t>
      </w:r>
      <w:r>
        <w:rPr>
          <w:rFonts w:ascii="Garamond" w:hAnsi="Garamond" w:cs="Garamond"/>
          <w:spacing w:val="-12"/>
          <w:sz w:val="24"/>
          <w:szCs w:val="24"/>
        </w:rPr>
        <w:t xml:space="preserve"> </w:t>
      </w:r>
      <w:r>
        <w:rPr>
          <w:rFonts w:ascii="Garamond" w:hAnsi="Garamond" w:cs="Garamond"/>
          <w:sz w:val="24"/>
          <w:szCs w:val="24"/>
        </w:rPr>
        <w:t>efficacy</w:t>
      </w:r>
      <w:r>
        <w:rPr>
          <w:rFonts w:ascii="Garamond" w:hAnsi="Garamond" w:cs="Garamond"/>
          <w:spacing w:val="-12"/>
          <w:sz w:val="24"/>
          <w:szCs w:val="24"/>
        </w:rPr>
        <w:t xml:space="preserve"> </w:t>
      </w:r>
      <w:r>
        <w:rPr>
          <w:rFonts w:ascii="Garamond" w:hAnsi="Garamond" w:cs="Garamond"/>
          <w:sz w:val="24"/>
          <w:szCs w:val="24"/>
        </w:rPr>
        <w:t>of</w:t>
      </w:r>
      <w:r>
        <w:rPr>
          <w:rFonts w:ascii="Garamond" w:hAnsi="Garamond" w:cs="Garamond"/>
          <w:spacing w:val="-18"/>
          <w:sz w:val="24"/>
          <w:szCs w:val="24"/>
        </w:rPr>
        <w:t xml:space="preserve"> </w:t>
      </w:r>
      <w:r>
        <w:rPr>
          <w:rFonts w:ascii="Garamond" w:hAnsi="Garamond" w:cs="Garamond"/>
          <w:sz w:val="24"/>
          <w:szCs w:val="24"/>
        </w:rPr>
        <w:t>dental</w:t>
      </w:r>
      <w:r>
        <w:rPr>
          <w:rFonts w:ascii="Garamond" w:hAnsi="Garamond" w:cs="Garamond"/>
          <w:spacing w:val="-13"/>
          <w:sz w:val="24"/>
          <w:szCs w:val="24"/>
        </w:rPr>
        <w:t xml:space="preserve"> </w:t>
      </w:r>
      <w:r>
        <w:rPr>
          <w:rFonts w:ascii="Garamond" w:hAnsi="Garamond" w:cs="Garamond"/>
          <w:sz w:val="24"/>
          <w:szCs w:val="24"/>
        </w:rPr>
        <w:t>integration</w:t>
      </w:r>
      <w:r>
        <w:rPr>
          <w:rFonts w:ascii="Garamond" w:hAnsi="Garamond" w:cs="Garamond"/>
          <w:spacing w:val="-13"/>
          <w:sz w:val="24"/>
          <w:szCs w:val="24"/>
        </w:rPr>
        <w:t xml:space="preserve"> </w:t>
      </w:r>
      <w:r>
        <w:rPr>
          <w:rFonts w:ascii="Garamond" w:hAnsi="Garamond" w:cs="Garamond"/>
          <w:sz w:val="24"/>
          <w:szCs w:val="24"/>
        </w:rPr>
        <w:t>in ACOs, including with solo-practitioner private practices, and in rural and health professional shortage</w:t>
      </w:r>
      <w:r>
        <w:rPr>
          <w:rFonts w:ascii="Garamond" w:hAnsi="Garamond" w:cs="Garamond"/>
          <w:spacing w:val="-25"/>
          <w:sz w:val="24"/>
          <w:szCs w:val="24"/>
        </w:rPr>
        <w:t xml:space="preserve"> </w:t>
      </w:r>
      <w:r>
        <w:rPr>
          <w:rFonts w:ascii="Garamond" w:hAnsi="Garamond" w:cs="Garamond"/>
          <w:sz w:val="24"/>
          <w:szCs w:val="24"/>
        </w:rPr>
        <w:t>areas.</w:t>
      </w:r>
    </w:p>
    <w:p w:rsidR="002C5025" w:rsidRDefault="002C5025">
      <w:pPr>
        <w:pStyle w:val="BodyText"/>
        <w:kinsoku w:val="0"/>
        <w:overflowPunct w:val="0"/>
        <w:spacing w:before="10"/>
        <w:rPr>
          <w:rFonts w:ascii="Garamond" w:hAnsi="Garamond" w:cs="Garamond"/>
          <w:sz w:val="25"/>
          <w:szCs w:val="25"/>
        </w:rPr>
      </w:pPr>
    </w:p>
    <w:p w:rsidR="002C5025" w:rsidRDefault="002C5025">
      <w:pPr>
        <w:pStyle w:val="BodyText"/>
        <w:kinsoku w:val="0"/>
        <w:overflowPunct w:val="0"/>
        <w:ind w:left="120" w:right="72"/>
        <w:rPr>
          <w:rFonts w:ascii="Garamond" w:hAnsi="Garamond" w:cs="Garamond"/>
          <w:b/>
          <w:bCs/>
          <w:i/>
          <w:iCs/>
          <w:spacing w:val="4"/>
          <w:w w:val="90"/>
          <w:sz w:val="26"/>
          <w:szCs w:val="26"/>
        </w:rPr>
      </w:pPr>
      <w:bookmarkStart w:id="247" w:name="ACO_governance,_quality,_and_clinical_co"/>
      <w:bookmarkEnd w:id="247"/>
      <w:r>
        <w:rPr>
          <w:rFonts w:ascii="Garamond" w:hAnsi="Garamond" w:cs="Garamond"/>
          <w:b/>
          <w:bCs/>
          <w:i/>
          <w:iCs/>
          <w:w w:val="90"/>
          <w:sz w:val="26"/>
          <w:szCs w:val="26"/>
        </w:rPr>
        <w:t xml:space="preserve">ACO </w:t>
      </w:r>
      <w:r>
        <w:rPr>
          <w:rFonts w:ascii="Garamond" w:hAnsi="Garamond" w:cs="Garamond"/>
          <w:b/>
          <w:bCs/>
          <w:i/>
          <w:iCs/>
          <w:spacing w:val="7"/>
          <w:w w:val="90"/>
          <w:sz w:val="26"/>
          <w:szCs w:val="26"/>
        </w:rPr>
        <w:t xml:space="preserve">governance, </w:t>
      </w:r>
      <w:r>
        <w:rPr>
          <w:rFonts w:ascii="Garamond" w:hAnsi="Garamond" w:cs="Garamond"/>
          <w:b/>
          <w:bCs/>
          <w:i/>
          <w:iCs/>
          <w:spacing w:val="9"/>
          <w:w w:val="90"/>
          <w:sz w:val="26"/>
          <w:szCs w:val="26"/>
        </w:rPr>
        <w:t>quality, and clinical</w:t>
      </w:r>
      <w:r>
        <w:rPr>
          <w:rFonts w:ascii="Garamond" w:hAnsi="Garamond" w:cs="Garamond"/>
          <w:b/>
          <w:bCs/>
          <w:i/>
          <w:iCs/>
          <w:spacing w:val="-44"/>
          <w:w w:val="90"/>
          <w:sz w:val="26"/>
          <w:szCs w:val="26"/>
        </w:rPr>
        <w:t xml:space="preserve"> </w:t>
      </w:r>
      <w:r>
        <w:rPr>
          <w:rFonts w:ascii="Garamond" w:hAnsi="Garamond" w:cs="Garamond"/>
          <w:b/>
          <w:bCs/>
          <w:i/>
          <w:iCs/>
          <w:spacing w:val="8"/>
          <w:w w:val="90"/>
          <w:sz w:val="26"/>
          <w:szCs w:val="26"/>
        </w:rPr>
        <w:t xml:space="preserve">committees </w:t>
      </w:r>
      <w:r>
        <w:rPr>
          <w:rFonts w:ascii="Garamond" w:hAnsi="Garamond" w:cs="Garamond"/>
          <w:b/>
          <w:bCs/>
          <w:i/>
          <w:iCs/>
          <w:spacing w:val="6"/>
          <w:w w:val="90"/>
          <w:sz w:val="26"/>
          <w:szCs w:val="26"/>
        </w:rPr>
        <w:t xml:space="preserve">should </w:t>
      </w:r>
      <w:r>
        <w:rPr>
          <w:rFonts w:ascii="Garamond" w:hAnsi="Garamond" w:cs="Garamond"/>
          <w:b/>
          <w:bCs/>
          <w:i/>
          <w:iCs/>
          <w:spacing w:val="4"/>
          <w:w w:val="90"/>
          <w:sz w:val="26"/>
          <w:szCs w:val="26"/>
        </w:rPr>
        <w:t xml:space="preserve">have </w:t>
      </w:r>
      <w:r>
        <w:rPr>
          <w:rFonts w:ascii="Garamond" w:hAnsi="Garamond" w:cs="Garamond"/>
          <w:b/>
          <w:bCs/>
          <w:i/>
          <w:iCs/>
          <w:spacing w:val="6"/>
          <w:w w:val="90"/>
          <w:sz w:val="26"/>
          <w:szCs w:val="26"/>
        </w:rPr>
        <w:t xml:space="preserve">representation </w:t>
      </w:r>
      <w:r>
        <w:rPr>
          <w:rFonts w:ascii="Garamond" w:hAnsi="Garamond" w:cs="Garamond"/>
          <w:b/>
          <w:bCs/>
          <w:i/>
          <w:iCs/>
          <w:w w:val="90"/>
          <w:sz w:val="26"/>
          <w:szCs w:val="26"/>
        </w:rPr>
        <w:t xml:space="preserve">from </w:t>
      </w:r>
      <w:r>
        <w:rPr>
          <w:rFonts w:ascii="Garamond" w:hAnsi="Garamond" w:cs="Garamond"/>
          <w:b/>
          <w:bCs/>
          <w:i/>
          <w:iCs/>
          <w:spacing w:val="4"/>
          <w:w w:val="90"/>
          <w:sz w:val="26"/>
          <w:szCs w:val="26"/>
        </w:rPr>
        <w:t>oral</w:t>
      </w:r>
    </w:p>
    <w:p w:rsidR="002C5025" w:rsidRDefault="002C5025">
      <w:pPr>
        <w:pStyle w:val="BodyText"/>
        <w:kinsoku w:val="0"/>
        <w:overflowPunct w:val="0"/>
        <w:spacing w:before="17"/>
        <w:ind w:left="120" w:right="197"/>
        <w:rPr>
          <w:rFonts w:ascii="Garamond" w:hAnsi="Garamond" w:cs="Garamond"/>
          <w:b/>
          <w:bCs/>
          <w:i/>
          <w:iCs/>
          <w:w w:val="90"/>
          <w:sz w:val="26"/>
          <w:szCs w:val="26"/>
        </w:rPr>
      </w:pPr>
      <w:r>
        <w:rPr>
          <w:rFonts w:ascii="Garamond" w:hAnsi="Garamond" w:cs="Garamond"/>
          <w:b/>
          <w:bCs/>
          <w:i/>
          <w:iCs/>
          <w:w w:val="90"/>
          <w:sz w:val="26"/>
          <w:szCs w:val="26"/>
        </w:rPr>
        <w:t>health clinicians</w:t>
      </w:r>
    </w:p>
    <w:p w:rsidR="002C5025" w:rsidRDefault="002C5025">
      <w:pPr>
        <w:pStyle w:val="BodyText"/>
        <w:kinsoku w:val="0"/>
        <w:overflowPunct w:val="0"/>
        <w:spacing w:before="159" w:line="273" w:lineRule="auto"/>
        <w:ind w:left="119" w:right="197"/>
        <w:rPr>
          <w:rFonts w:ascii="Garamond" w:hAnsi="Garamond" w:cs="Garamond"/>
          <w:sz w:val="24"/>
          <w:szCs w:val="24"/>
        </w:rPr>
      </w:pPr>
      <w:r>
        <w:rPr>
          <w:rFonts w:ascii="Garamond" w:hAnsi="Garamond" w:cs="Garamond"/>
          <w:sz w:val="24"/>
          <w:szCs w:val="24"/>
        </w:rPr>
        <w:t>Dental</w:t>
      </w:r>
      <w:r>
        <w:rPr>
          <w:rFonts w:ascii="Garamond" w:hAnsi="Garamond" w:cs="Garamond"/>
          <w:spacing w:val="-15"/>
          <w:sz w:val="24"/>
          <w:szCs w:val="24"/>
        </w:rPr>
        <w:t xml:space="preserve"> </w:t>
      </w:r>
      <w:r>
        <w:rPr>
          <w:rFonts w:ascii="Garamond" w:hAnsi="Garamond" w:cs="Garamond"/>
          <w:sz w:val="24"/>
          <w:szCs w:val="24"/>
        </w:rPr>
        <w:t>providers,</w:t>
      </w:r>
      <w:r>
        <w:rPr>
          <w:rFonts w:ascii="Garamond" w:hAnsi="Garamond" w:cs="Garamond"/>
          <w:spacing w:val="-15"/>
          <w:sz w:val="24"/>
          <w:szCs w:val="24"/>
        </w:rPr>
        <w:t xml:space="preserve"> </w:t>
      </w:r>
      <w:r>
        <w:rPr>
          <w:rFonts w:ascii="Garamond" w:hAnsi="Garamond" w:cs="Garamond"/>
          <w:sz w:val="24"/>
          <w:szCs w:val="24"/>
        </w:rPr>
        <w:t>including</w:t>
      </w:r>
      <w:r>
        <w:rPr>
          <w:rFonts w:ascii="Garamond" w:hAnsi="Garamond" w:cs="Garamond"/>
          <w:spacing w:val="-15"/>
          <w:sz w:val="24"/>
          <w:szCs w:val="24"/>
        </w:rPr>
        <w:t xml:space="preserve"> </w:t>
      </w:r>
      <w:r>
        <w:rPr>
          <w:rFonts w:ascii="Garamond" w:hAnsi="Garamond" w:cs="Garamond"/>
          <w:sz w:val="24"/>
          <w:szCs w:val="24"/>
        </w:rPr>
        <w:t>dental</w:t>
      </w:r>
      <w:r>
        <w:rPr>
          <w:rFonts w:ascii="Garamond" w:hAnsi="Garamond" w:cs="Garamond"/>
          <w:spacing w:val="-15"/>
          <w:sz w:val="24"/>
          <w:szCs w:val="24"/>
        </w:rPr>
        <w:t xml:space="preserve"> </w:t>
      </w:r>
      <w:r>
        <w:rPr>
          <w:rFonts w:ascii="Garamond" w:hAnsi="Garamond" w:cs="Garamond"/>
          <w:sz w:val="24"/>
          <w:szCs w:val="24"/>
        </w:rPr>
        <w:t>specialty</w:t>
      </w:r>
      <w:r>
        <w:rPr>
          <w:rFonts w:ascii="Garamond" w:hAnsi="Garamond" w:cs="Garamond"/>
          <w:spacing w:val="-14"/>
          <w:sz w:val="24"/>
          <w:szCs w:val="24"/>
        </w:rPr>
        <w:t xml:space="preserve"> </w:t>
      </w:r>
      <w:r>
        <w:rPr>
          <w:rFonts w:ascii="Garamond" w:hAnsi="Garamond" w:cs="Garamond"/>
          <w:sz w:val="24"/>
          <w:szCs w:val="24"/>
        </w:rPr>
        <w:t>providers</w:t>
      </w:r>
      <w:r>
        <w:rPr>
          <w:rFonts w:ascii="Garamond" w:hAnsi="Garamond" w:cs="Garamond"/>
          <w:spacing w:val="-18"/>
          <w:sz w:val="24"/>
          <w:szCs w:val="24"/>
        </w:rPr>
        <w:t xml:space="preserve"> </w:t>
      </w:r>
      <w:r>
        <w:rPr>
          <w:rFonts w:ascii="Garamond" w:hAnsi="Garamond" w:cs="Garamond"/>
          <w:sz w:val="24"/>
          <w:szCs w:val="24"/>
        </w:rPr>
        <w:t>and</w:t>
      </w:r>
      <w:r>
        <w:rPr>
          <w:rFonts w:ascii="Garamond" w:hAnsi="Garamond" w:cs="Garamond"/>
          <w:spacing w:val="-15"/>
          <w:sz w:val="24"/>
          <w:szCs w:val="24"/>
        </w:rPr>
        <w:t xml:space="preserve"> </w:t>
      </w:r>
      <w:r>
        <w:rPr>
          <w:rFonts w:ascii="Garamond" w:hAnsi="Garamond" w:cs="Garamond"/>
          <w:sz w:val="24"/>
          <w:szCs w:val="24"/>
        </w:rPr>
        <w:t>those</w:t>
      </w:r>
      <w:r>
        <w:rPr>
          <w:rFonts w:ascii="Garamond" w:hAnsi="Garamond" w:cs="Garamond"/>
          <w:spacing w:val="-14"/>
          <w:sz w:val="24"/>
          <w:szCs w:val="24"/>
        </w:rPr>
        <w:t xml:space="preserve"> </w:t>
      </w:r>
      <w:r>
        <w:rPr>
          <w:rFonts w:ascii="Garamond" w:hAnsi="Garamond" w:cs="Garamond"/>
          <w:sz w:val="24"/>
          <w:szCs w:val="24"/>
        </w:rPr>
        <w:t>serving</w:t>
      </w:r>
      <w:r>
        <w:rPr>
          <w:rFonts w:ascii="Garamond" w:hAnsi="Garamond" w:cs="Garamond"/>
          <w:spacing w:val="-15"/>
          <w:sz w:val="24"/>
          <w:szCs w:val="24"/>
        </w:rPr>
        <w:t xml:space="preserve"> </w:t>
      </w:r>
      <w:r>
        <w:rPr>
          <w:rFonts w:ascii="Garamond" w:hAnsi="Garamond" w:cs="Garamond"/>
          <w:sz w:val="24"/>
          <w:szCs w:val="24"/>
        </w:rPr>
        <w:t>diverse</w:t>
      </w:r>
      <w:r>
        <w:rPr>
          <w:rFonts w:ascii="Garamond" w:hAnsi="Garamond" w:cs="Garamond"/>
          <w:spacing w:val="-14"/>
          <w:sz w:val="24"/>
          <w:szCs w:val="24"/>
        </w:rPr>
        <w:t xml:space="preserve"> </w:t>
      </w:r>
      <w:r>
        <w:rPr>
          <w:rFonts w:ascii="Garamond" w:hAnsi="Garamond" w:cs="Garamond"/>
          <w:sz w:val="24"/>
          <w:szCs w:val="24"/>
        </w:rPr>
        <w:t>populations,</w:t>
      </w:r>
      <w:r>
        <w:rPr>
          <w:rFonts w:ascii="Garamond" w:hAnsi="Garamond" w:cs="Garamond"/>
          <w:spacing w:val="-15"/>
          <w:sz w:val="24"/>
          <w:szCs w:val="24"/>
        </w:rPr>
        <w:t xml:space="preserve"> </w:t>
      </w:r>
      <w:r>
        <w:rPr>
          <w:rFonts w:ascii="Garamond" w:hAnsi="Garamond" w:cs="Garamond"/>
          <w:sz w:val="24"/>
          <w:szCs w:val="24"/>
        </w:rPr>
        <w:t>should be</w:t>
      </w:r>
      <w:r>
        <w:rPr>
          <w:rFonts w:ascii="Garamond" w:hAnsi="Garamond" w:cs="Garamond"/>
          <w:spacing w:val="-15"/>
          <w:sz w:val="24"/>
          <w:szCs w:val="24"/>
        </w:rPr>
        <w:t xml:space="preserve"> </w:t>
      </w:r>
      <w:r>
        <w:rPr>
          <w:rFonts w:ascii="Garamond" w:hAnsi="Garamond" w:cs="Garamond"/>
          <w:sz w:val="24"/>
          <w:szCs w:val="24"/>
        </w:rPr>
        <w:t>represented</w:t>
      </w:r>
      <w:r>
        <w:rPr>
          <w:rFonts w:ascii="Garamond" w:hAnsi="Garamond" w:cs="Garamond"/>
          <w:spacing w:val="-18"/>
          <w:sz w:val="24"/>
          <w:szCs w:val="24"/>
        </w:rPr>
        <w:t xml:space="preserve"> </w:t>
      </w:r>
      <w:r>
        <w:rPr>
          <w:rFonts w:ascii="Garamond" w:hAnsi="Garamond" w:cs="Garamond"/>
          <w:sz w:val="24"/>
          <w:szCs w:val="24"/>
        </w:rPr>
        <w:t>in</w:t>
      </w:r>
      <w:r>
        <w:rPr>
          <w:rFonts w:ascii="Garamond" w:hAnsi="Garamond" w:cs="Garamond"/>
          <w:spacing w:val="-16"/>
          <w:sz w:val="24"/>
          <w:szCs w:val="24"/>
        </w:rPr>
        <w:t xml:space="preserve"> </w:t>
      </w:r>
      <w:r>
        <w:rPr>
          <w:rFonts w:ascii="Garamond" w:hAnsi="Garamond" w:cs="Garamond"/>
          <w:sz w:val="24"/>
          <w:szCs w:val="24"/>
        </w:rPr>
        <w:t>ACO</w:t>
      </w:r>
      <w:r>
        <w:rPr>
          <w:rFonts w:ascii="Garamond" w:hAnsi="Garamond" w:cs="Garamond"/>
          <w:spacing w:val="-18"/>
          <w:sz w:val="24"/>
          <w:szCs w:val="24"/>
        </w:rPr>
        <w:t xml:space="preserve"> </w:t>
      </w:r>
      <w:r>
        <w:rPr>
          <w:rFonts w:ascii="Garamond" w:hAnsi="Garamond" w:cs="Garamond"/>
          <w:sz w:val="24"/>
          <w:szCs w:val="24"/>
        </w:rPr>
        <w:t>governance,</w:t>
      </w:r>
      <w:r>
        <w:rPr>
          <w:rFonts w:ascii="Garamond" w:hAnsi="Garamond" w:cs="Garamond"/>
          <w:spacing w:val="-16"/>
          <w:sz w:val="24"/>
          <w:szCs w:val="24"/>
        </w:rPr>
        <w:t xml:space="preserve"> </w:t>
      </w:r>
      <w:r>
        <w:rPr>
          <w:rFonts w:ascii="Garamond" w:hAnsi="Garamond" w:cs="Garamond"/>
          <w:sz w:val="24"/>
          <w:szCs w:val="24"/>
        </w:rPr>
        <w:t>quality,</w:t>
      </w:r>
      <w:r>
        <w:rPr>
          <w:rFonts w:ascii="Garamond" w:hAnsi="Garamond" w:cs="Garamond"/>
          <w:spacing w:val="-17"/>
          <w:sz w:val="24"/>
          <w:szCs w:val="24"/>
        </w:rPr>
        <w:t xml:space="preserve"> </w:t>
      </w:r>
      <w:r>
        <w:rPr>
          <w:rFonts w:ascii="Garamond" w:hAnsi="Garamond" w:cs="Garamond"/>
          <w:sz w:val="24"/>
          <w:szCs w:val="24"/>
        </w:rPr>
        <w:t>and</w:t>
      </w:r>
      <w:r>
        <w:rPr>
          <w:rFonts w:ascii="Garamond" w:hAnsi="Garamond" w:cs="Garamond"/>
          <w:spacing w:val="-18"/>
          <w:sz w:val="24"/>
          <w:szCs w:val="24"/>
        </w:rPr>
        <w:t xml:space="preserve"> </w:t>
      </w:r>
      <w:r>
        <w:rPr>
          <w:rFonts w:ascii="Garamond" w:hAnsi="Garamond" w:cs="Garamond"/>
          <w:sz w:val="24"/>
          <w:szCs w:val="24"/>
        </w:rPr>
        <w:t>clinical</w:t>
      </w:r>
      <w:r>
        <w:rPr>
          <w:rFonts w:ascii="Garamond" w:hAnsi="Garamond" w:cs="Garamond"/>
          <w:spacing w:val="-16"/>
          <w:sz w:val="24"/>
          <w:szCs w:val="24"/>
        </w:rPr>
        <w:t xml:space="preserve"> </w:t>
      </w:r>
      <w:r>
        <w:rPr>
          <w:rFonts w:ascii="Garamond" w:hAnsi="Garamond" w:cs="Garamond"/>
          <w:sz w:val="24"/>
          <w:szCs w:val="24"/>
        </w:rPr>
        <w:t>committees.</w:t>
      </w:r>
      <w:r>
        <w:rPr>
          <w:rFonts w:ascii="Garamond" w:hAnsi="Garamond" w:cs="Garamond"/>
          <w:spacing w:val="-16"/>
          <w:sz w:val="24"/>
          <w:szCs w:val="24"/>
        </w:rPr>
        <w:t xml:space="preserve"> </w:t>
      </w:r>
      <w:r>
        <w:rPr>
          <w:rFonts w:ascii="Garamond" w:hAnsi="Garamond" w:cs="Garamond"/>
          <w:sz w:val="24"/>
          <w:szCs w:val="24"/>
        </w:rPr>
        <w:t>Oral</w:t>
      </w:r>
      <w:r>
        <w:rPr>
          <w:rFonts w:ascii="Garamond" w:hAnsi="Garamond" w:cs="Garamond"/>
          <w:spacing w:val="-17"/>
          <w:sz w:val="24"/>
          <w:szCs w:val="24"/>
        </w:rPr>
        <w:t xml:space="preserve"> </w:t>
      </w:r>
      <w:r>
        <w:rPr>
          <w:rFonts w:ascii="Garamond" w:hAnsi="Garamond" w:cs="Garamond"/>
          <w:sz w:val="24"/>
          <w:szCs w:val="24"/>
        </w:rPr>
        <w:t>health</w:t>
      </w:r>
      <w:r>
        <w:rPr>
          <w:rFonts w:ascii="Garamond" w:hAnsi="Garamond" w:cs="Garamond"/>
          <w:spacing w:val="-16"/>
          <w:sz w:val="24"/>
          <w:szCs w:val="24"/>
        </w:rPr>
        <w:t xml:space="preserve"> </w:t>
      </w:r>
      <w:r>
        <w:rPr>
          <w:rFonts w:ascii="Garamond" w:hAnsi="Garamond" w:cs="Garamond"/>
          <w:sz w:val="24"/>
          <w:szCs w:val="24"/>
        </w:rPr>
        <w:t>practitioners,</w:t>
      </w:r>
    </w:p>
    <w:p w:rsidR="002C5025" w:rsidRDefault="002C5025">
      <w:pPr>
        <w:pStyle w:val="BodyText"/>
        <w:kinsoku w:val="0"/>
        <w:overflowPunct w:val="0"/>
        <w:spacing w:before="6"/>
        <w:rPr>
          <w:rFonts w:ascii="Garamond" w:hAnsi="Garamond" w:cs="Garamond"/>
          <w:sz w:val="12"/>
          <w:szCs w:val="12"/>
        </w:rPr>
      </w:pPr>
    </w:p>
    <w:p w:rsidR="002C5025" w:rsidRDefault="002C5025">
      <w:pPr>
        <w:pStyle w:val="BodyText"/>
        <w:kinsoku w:val="0"/>
        <w:overflowPunct w:val="0"/>
        <w:spacing w:before="79"/>
        <w:ind w:left="61"/>
        <w:jc w:val="center"/>
        <w:rPr>
          <w:rFonts w:ascii="Garamond" w:hAnsi="Garamond" w:cs="Garamond"/>
        </w:rPr>
      </w:pPr>
      <w:r>
        <w:rPr>
          <w:rFonts w:ascii="Garamond" w:hAnsi="Garamond" w:cs="Garamond"/>
        </w:rPr>
        <w:t>8</w:t>
      </w:r>
    </w:p>
    <w:p w:rsidR="002C5025" w:rsidRDefault="002C5025">
      <w:pPr>
        <w:pStyle w:val="BodyText"/>
        <w:kinsoku w:val="0"/>
        <w:overflowPunct w:val="0"/>
        <w:spacing w:before="79"/>
        <w:ind w:left="61"/>
        <w:jc w:val="center"/>
        <w:rPr>
          <w:rFonts w:ascii="Garamond" w:hAnsi="Garamond" w:cs="Garamond"/>
        </w:rPr>
        <w:sectPr w:rsidR="002C5025">
          <w:pgSz w:w="12240" w:h="15840"/>
          <w:pgMar w:top="1380" w:right="1480" w:bottom="280" w:left="1320" w:header="720" w:footer="720" w:gutter="0"/>
          <w:cols w:space="720" w:equalWidth="0">
            <w:col w:w="9440"/>
          </w:cols>
          <w:noEndnote/>
        </w:sectPr>
      </w:pPr>
    </w:p>
    <w:p w:rsidR="002C5025" w:rsidRDefault="002C5025">
      <w:pPr>
        <w:pStyle w:val="BodyText"/>
        <w:kinsoku w:val="0"/>
        <w:overflowPunct w:val="0"/>
        <w:spacing w:before="59" w:line="273" w:lineRule="auto"/>
        <w:ind w:left="120" w:right="382"/>
        <w:jc w:val="both"/>
        <w:rPr>
          <w:rFonts w:ascii="Garamond" w:hAnsi="Garamond" w:cs="Garamond"/>
          <w:sz w:val="24"/>
          <w:szCs w:val="24"/>
        </w:rPr>
      </w:pPr>
      <w:r>
        <w:rPr>
          <w:rFonts w:ascii="Garamond" w:hAnsi="Garamond" w:cs="Garamond"/>
          <w:sz w:val="24"/>
          <w:szCs w:val="24"/>
        </w:rPr>
        <w:lastRenderedPageBreak/>
        <w:t>particularly those who serve vulnerable populations, represent an important voice to help ACOs ensure adequate resource allocation to populations commonly left out of the dental care system. Additionally, representation from primary care providers and pediatricians knowledgeable in oral health integration may also be helpful in ensuring sufficient consideration of oral health in ACO decision-making.</w:t>
      </w:r>
    </w:p>
    <w:p w:rsidR="002C5025" w:rsidRDefault="002C5025">
      <w:pPr>
        <w:pStyle w:val="BodyText"/>
        <w:kinsoku w:val="0"/>
        <w:overflowPunct w:val="0"/>
        <w:spacing w:before="1"/>
        <w:rPr>
          <w:rFonts w:ascii="Garamond" w:hAnsi="Garamond" w:cs="Garamond"/>
          <w:sz w:val="26"/>
          <w:szCs w:val="26"/>
        </w:rPr>
      </w:pPr>
    </w:p>
    <w:p w:rsidR="002C5025" w:rsidRDefault="002C5025">
      <w:pPr>
        <w:pStyle w:val="BodyText"/>
        <w:kinsoku w:val="0"/>
        <w:overflowPunct w:val="0"/>
        <w:spacing w:line="256" w:lineRule="auto"/>
        <w:ind w:left="120" w:right="1221"/>
        <w:rPr>
          <w:rFonts w:ascii="Garamond" w:hAnsi="Garamond" w:cs="Garamond"/>
          <w:b/>
          <w:bCs/>
          <w:i/>
          <w:iCs/>
          <w:spacing w:val="7"/>
          <w:w w:val="85"/>
          <w:sz w:val="26"/>
          <w:szCs w:val="26"/>
        </w:rPr>
      </w:pPr>
      <w:bookmarkStart w:id="248" w:name="Ensure_adequate_consumer_protections_thr"/>
      <w:bookmarkEnd w:id="248"/>
      <w:r>
        <w:rPr>
          <w:rFonts w:ascii="Garamond" w:hAnsi="Garamond" w:cs="Garamond"/>
          <w:b/>
          <w:bCs/>
          <w:i/>
          <w:iCs/>
          <w:spacing w:val="7"/>
          <w:w w:val="90"/>
          <w:sz w:val="26"/>
          <w:szCs w:val="26"/>
        </w:rPr>
        <w:t>Ensure</w:t>
      </w:r>
      <w:r>
        <w:rPr>
          <w:rFonts w:ascii="Garamond" w:hAnsi="Garamond" w:cs="Garamond"/>
          <w:b/>
          <w:bCs/>
          <w:i/>
          <w:iCs/>
          <w:spacing w:val="-44"/>
          <w:w w:val="90"/>
          <w:sz w:val="26"/>
          <w:szCs w:val="26"/>
        </w:rPr>
        <w:t xml:space="preserve"> </w:t>
      </w:r>
      <w:r>
        <w:rPr>
          <w:rFonts w:ascii="Garamond" w:hAnsi="Garamond" w:cs="Garamond"/>
          <w:b/>
          <w:bCs/>
          <w:i/>
          <w:iCs/>
          <w:spacing w:val="10"/>
          <w:w w:val="90"/>
          <w:sz w:val="26"/>
          <w:szCs w:val="26"/>
        </w:rPr>
        <w:t>adequate</w:t>
      </w:r>
      <w:r>
        <w:rPr>
          <w:rFonts w:ascii="Garamond" w:hAnsi="Garamond" w:cs="Garamond"/>
          <w:b/>
          <w:bCs/>
          <w:i/>
          <w:iCs/>
          <w:spacing w:val="-44"/>
          <w:w w:val="90"/>
          <w:sz w:val="26"/>
          <w:szCs w:val="26"/>
        </w:rPr>
        <w:t xml:space="preserve"> </w:t>
      </w:r>
      <w:r>
        <w:rPr>
          <w:rFonts w:ascii="Garamond" w:hAnsi="Garamond" w:cs="Garamond"/>
          <w:b/>
          <w:bCs/>
          <w:i/>
          <w:iCs/>
          <w:spacing w:val="8"/>
          <w:w w:val="90"/>
          <w:sz w:val="26"/>
          <w:szCs w:val="26"/>
        </w:rPr>
        <w:t>consumer</w:t>
      </w:r>
      <w:r w:rsidR="00347C9E">
        <w:rPr>
          <w:rFonts w:ascii="Garamond" w:hAnsi="Garamond" w:cs="Garamond"/>
          <w:b/>
          <w:bCs/>
          <w:i/>
          <w:iCs/>
          <w:spacing w:val="8"/>
          <w:w w:val="90"/>
          <w:sz w:val="26"/>
          <w:szCs w:val="26"/>
        </w:rPr>
        <w:t xml:space="preserve"> </w:t>
      </w:r>
      <w:r>
        <w:rPr>
          <w:rFonts w:ascii="Garamond" w:hAnsi="Garamond" w:cs="Garamond"/>
          <w:b/>
          <w:bCs/>
          <w:i/>
          <w:iCs/>
          <w:spacing w:val="8"/>
          <w:w w:val="90"/>
          <w:sz w:val="26"/>
          <w:szCs w:val="26"/>
        </w:rPr>
        <w:t>protections</w:t>
      </w:r>
      <w:r>
        <w:rPr>
          <w:rFonts w:ascii="Garamond" w:hAnsi="Garamond" w:cs="Garamond"/>
          <w:b/>
          <w:bCs/>
          <w:i/>
          <w:iCs/>
          <w:spacing w:val="-43"/>
          <w:w w:val="90"/>
          <w:sz w:val="26"/>
          <w:szCs w:val="26"/>
        </w:rPr>
        <w:t xml:space="preserve"> </w:t>
      </w:r>
      <w:r>
        <w:rPr>
          <w:rFonts w:ascii="Garamond" w:hAnsi="Garamond" w:cs="Garamond"/>
          <w:b/>
          <w:bCs/>
          <w:i/>
          <w:iCs/>
          <w:spacing w:val="8"/>
          <w:w w:val="90"/>
          <w:sz w:val="26"/>
          <w:szCs w:val="26"/>
        </w:rPr>
        <w:t>through</w:t>
      </w:r>
      <w:r>
        <w:rPr>
          <w:rFonts w:ascii="Garamond" w:hAnsi="Garamond" w:cs="Garamond"/>
          <w:b/>
          <w:bCs/>
          <w:i/>
          <w:iCs/>
          <w:spacing w:val="-45"/>
          <w:w w:val="90"/>
          <w:sz w:val="26"/>
          <w:szCs w:val="26"/>
        </w:rPr>
        <w:t xml:space="preserve"> </w:t>
      </w:r>
      <w:r>
        <w:rPr>
          <w:rFonts w:ascii="Garamond" w:hAnsi="Garamond" w:cs="Garamond"/>
          <w:b/>
          <w:bCs/>
          <w:i/>
          <w:iCs/>
          <w:spacing w:val="6"/>
          <w:w w:val="90"/>
          <w:sz w:val="26"/>
          <w:szCs w:val="26"/>
        </w:rPr>
        <w:t>representation</w:t>
      </w:r>
      <w:r>
        <w:rPr>
          <w:rFonts w:ascii="Garamond" w:hAnsi="Garamond" w:cs="Garamond"/>
          <w:b/>
          <w:bCs/>
          <w:i/>
          <w:iCs/>
          <w:spacing w:val="-45"/>
          <w:w w:val="90"/>
          <w:sz w:val="26"/>
          <w:szCs w:val="26"/>
        </w:rPr>
        <w:t xml:space="preserve"> </w:t>
      </w:r>
      <w:r>
        <w:rPr>
          <w:rFonts w:ascii="Garamond" w:hAnsi="Garamond" w:cs="Garamond"/>
          <w:b/>
          <w:bCs/>
          <w:i/>
          <w:iCs/>
          <w:spacing w:val="8"/>
          <w:w w:val="90"/>
          <w:sz w:val="26"/>
          <w:szCs w:val="26"/>
        </w:rPr>
        <w:t>and</w:t>
      </w:r>
      <w:r>
        <w:rPr>
          <w:rFonts w:ascii="Garamond" w:hAnsi="Garamond" w:cs="Garamond"/>
          <w:b/>
          <w:bCs/>
          <w:i/>
          <w:iCs/>
          <w:spacing w:val="-43"/>
          <w:w w:val="90"/>
          <w:sz w:val="26"/>
          <w:szCs w:val="26"/>
        </w:rPr>
        <w:t xml:space="preserve"> </w:t>
      </w:r>
      <w:r>
        <w:rPr>
          <w:rFonts w:ascii="Garamond" w:hAnsi="Garamond" w:cs="Garamond"/>
          <w:b/>
          <w:bCs/>
          <w:i/>
          <w:iCs/>
          <w:spacing w:val="11"/>
          <w:w w:val="90"/>
          <w:sz w:val="26"/>
          <w:szCs w:val="26"/>
        </w:rPr>
        <w:t>input</w:t>
      </w:r>
      <w:r w:rsidR="00347C9E">
        <w:rPr>
          <w:rFonts w:ascii="Garamond" w:hAnsi="Garamond" w:cs="Garamond"/>
          <w:b/>
          <w:bCs/>
          <w:i/>
          <w:iCs/>
          <w:spacing w:val="11"/>
          <w:w w:val="90"/>
          <w:sz w:val="26"/>
          <w:szCs w:val="26"/>
        </w:rPr>
        <w:t xml:space="preserve"> </w:t>
      </w:r>
      <w:r>
        <w:rPr>
          <w:rFonts w:ascii="Garamond" w:hAnsi="Garamond" w:cs="Garamond"/>
          <w:b/>
          <w:bCs/>
          <w:i/>
          <w:iCs/>
          <w:spacing w:val="11"/>
          <w:w w:val="90"/>
          <w:sz w:val="26"/>
          <w:szCs w:val="26"/>
        </w:rPr>
        <w:t>in</w:t>
      </w:r>
      <w:r>
        <w:rPr>
          <w:rFonts w:ascii="Garamond" w:hAnsi="Garamond" w:cs="Garamond"/>
          <w:b/>
          <w:bCs/>
          <w:i/>
          <w:iCs/>
          <w:spacing w:val="-45"/>
          <w:w w:val="90"/>
          <w:sz w:val="26"/>
          <w:szCs w:val="26"/>
        </w:rPr>
        <w:t xml:space="preserve"> </w:t>
      </w:r>
      <w:r>
        <w:rPr>
          <w:rFonts w:ascii="Garamond" w:hAnsi="Garamond" w:cs="Garamond"/>
          <w:b/>
          <w:bCs/>
          <w:i/>
          <w:iCs/>
          <w:w w:val="90"/>
          <w:sz w:val="26"/>
          <w:szCs w:val="26"/>
        </w:rPr>
        <w:t xml:space="preserve">ACO </w:t>
      </w:r>
      <w:r>
        <w:rPr>
          <w:rFonts w:ascii="Garamond" w:hAnsi="Garamond" w:cs="Garamond"/>
          <w:b/>
          <w:bCs/>
          <w:i/>
          <w:iCs/>
          <w:spacing w:val="6"/>
          <w:w w:val="85"/>
          <w:sz w:val="26"/>
          <w:szCs w:val="26"/>
        </w:rPr>
        <w:t xml:space="preserve">governance </w:t>
      </w:r>
      <w:r>
        <w:rPr>
          <w:rFonts w:ascii="Garamond" w:hAnsi="Garamond" w:cs="Garamond"/>
          <w:b/>
          <w:bCs/>
          <w:i/>
          <w:iCs/>
          <w:spacing w:val="7"/>
          <w:w w:val="85"/>
          <w:sz w:val="26"/>
          <w:szCs w:val="26"/>
        </w:rPr>
        <w:t xml:space="preserve">bodies </w:t>
      </w:r>
      <w:r>
        <w:rPr>
          <w:rFonts w:ascii="Garamond" w:hAnsi="Garamond" w:cs="Garamond"/>
          <w:b/>
          <w:bCs/>
          <w:i/>
          <w:iCs/>
          <w:spacing w:val="8"/>
          <w:w w:val="85"/>
          <w:sz w:val="26"/>
          <w:szCs w:val="26"/>
        </w:rPr>
        <w:t xml:space="preserve">and </w:t>
      </w:r>
      <w:r>
        <w:rPr>
          <w:rFonts w:ascii="Garamond" w:hAnsi="Garamond" w:cs="Garamond"/>
          <w:b/>
          <w:bCs/>
          <w:i/>
          <w:iCs/>
          <w:spacing w:val="5"/>
          <w:w w:val="85"/>
          <w:sz w:val="26"/>
          <w:szCs w:val="26"/>
        </w:rPr>
        <w:t xml:space="preserve">advisory </w:t>
      </w:r>
      <w:r>
        <w:rPr>
          <w:rFonts w:ascii="Garamond" w:hAnsi="Garamond" w:cs="Garamond"/>
          <w:b/>
          <w:bCs/>
          <w:i/>
          <w:iCs/>
          <w:spacing w:val="7"/>
          <w:w w:val="85"/>
          <w:sz w:val="26"/>
          <w:szCs w:val="26"/>
        </w:rPr>
        <w:t>councils</w:t>
      </w:r>
    </w:p>
    <w:p w:rsidR="002C5025" w:rsidRDefault="002C5025">
      <w:pPr>
        <w:pStyle w:val="BodyText"/>
        <w:kinsoku w:val="0"/>
        <w:overflowPunct w:val="0"/>
        <w:spacing w:before="134" w:line="276" w:lineRule="auto"/>
        <w:ind w:left="119" w:right="372"/>
        <w:rPr>
          <w:rFonts w:ascii="Garamond" w:hAnsi="Garamond" w:cs="Garamond"/>
          <w:sz w:val="24"/>
          <w:szCs w:val="24"/>
        </w:rPr>
      </w:pPr>
      <w:r>
        <w:rPr>
          <w:rFonts w:ascii="Garamond" w:hAnsi="Garamond" w:cs="Garamond"/>
          <w:sz w:val="24"/>
          <w:szCs w:val="24"/>
        </w:rPr>
        <w:t>We</w:t>
      </w:r>
      <w:r>
        <w:rPr>
          <w:rFonts w:ascii="Garamond" w:hAnsi="Garamond" w:cs="Garamond"/>
          <w:spacing w:val="-10"/>
          <w:sz w:val="24"/>
          <w:szCs w:val="24"/>
        </w:rPr>
        <w:t xml:space="preserve"> </w:t>
      </w:r>
      <w:r>
        <w:rPr>
          <w:rFonts w:ascii="Garamond" w:hAnsi="Garamond" w:cs="Garamond"/>
          <w:sz w:val="24"/>
          <w:szCs w:val="24"/>
        </w:rPr>
        <w:t>are</w:t>
      </w:r>
      <w:r>
        <w:rPr>
          <w:rFonts w:ascii="Garamond" w:hAnsi="Garamond" w:cs="Garamond"/>
          <w:spacing w:val="-9"/>
          <w:sz w:val="24"/>
          <w:szCs w:val="24"/>
        </w:rPr>
        <w:t xml:space="preserve"> </w:t>
      </w:r>
      <w:r>
        <w:rPr>
          <w:rFonts w:ascii="Garamond" w:hAnsi="Garamond" w:cs="Garamond"/>
          <w:sz w:val="24"/>
          <w:szCs w:val="24"/>
        </w:rPr>
        <w:t>heartened</w:t>
      </w:r>
      <w:r>
        <w:rPr>
          <w:rFonts w:ascii="Garamond" w:hAnsi="Garamond" w:cs="Garamond"/>
          <w:spacing w:val="-10"/>
          <w:sz w:val="24"/>
          <w:szCs w:val="24"/>
        </w:rPr>
        <w:t xml:space="preserve"> </w:t>
      </w:r>
      <w:r>
        <w:rPr>
          <w:rFonts w:ascii="Garamond" w:hAnsi="Garamond" w:cs="Garamond"/>
          <w:sz w:val="24"/>
          <w:szCs w:val="24"/>
        </w:rPr>
        <w:t>to</w:t>
      </w:r>
      <w:r>
        <w:rPr>
          <w:rFonts w:ascii="Garamond" w:hAnsi="Garamond" w:cs="Garamond"/>
          <w:spacing w:val="-11"/>
          <w:sz w:val="24"/>
          <w:szCs w:val="24"/>
        </w:rPr>
        <w:t xml:space="preserve"> </w:t>
      </w:r>
      <w:r>
        <w:rPr>
          <w:rFonts w:ascii="Garamond" w:hAnsi="Garamond" w:cs="Garamond"/>
          <w:sz w:val="24"/>
          <w:szCs w:val="24"/>
        </w:rPr>
        <w:t>see</w:t>
      </w:r>
      <w:r>
        <w:rPr>
          <w:rFonts w:ascii="Garamond" w:hAnsi="Garamond" w:cs="Garamond"/>
          <w:spacing w:val="-9"/>
          <w:sz w:val="24"/>
          <w:szCs w:val="24"/>
        </w:rPr>
        <w:t xml:space="preserve"> </w:t>
      </w:r>
      <w:r>
        <w:rPr>
          <w:rFonts w:ascii="Garamond" w:hAnsi="Garamond" w:cs="Garamond"/>
          <w:sz w:val="24"/>
          <w:szCs w:val="24"/>
        </w:rPr>
        <w:t>strong</w:t>
      </w:r>
      <w:r>
        <w:rPr>
          <w:rFonts w:ascii="Garamond" w:hAnsi="Garamond" w:cs="Garamond"/>
          <w:spacing w:val="-11"/>
          <w:sz w:val="24"/>
          <w:szCs w:val="24"/>
        </w:rPr>
        <w:t xml:space="preserve"> </w:t>
      </w:r>
      <w:r>
        <w:rPr>
          <w:rFonts w:ascii="Garamond" w:hAnsi="Garamond" w:cs="Garamond"/>
          <w:sz w:val="24"/>
          <w:szCs w:val="24"/>
        </w:rPr>
        <w:t>consumer</w:t>
      </w:r>
      <w:r>
        <w:rPr>
          <w:rFonts w:ascii="Garamond" w:hAnsi="Garamond" w:cs="Garamond"/>
          <w:spacing w:val="-10"/>
          <w:sz w:val="24"/>
          <w:szCs w:val="24"/>
        </w:rPr>
        <w:t xml:space="preserve"> </w:t>
      </w:r>
      <w:r>
        <w:rPr>
          <w:rFonts w:ascii="Garamond" w:hAnsi="Garamond" w:cs="Garamond"/>
          <w:sz w:val="24"/>
          <w:szCs w:val="24"/>
        </w:rPr>
        <w:t>protections</w:t>
      </w:r>
      <w:r>
        <w:rPr>
          <w:rFonts w:ascii="Garamond" w:hAnsi="Garamond" w:cs="Garamond"/>
          <w:spacing w:val="-12"/>
          <w:sz w:val="24"/>
          <w:szCs w:val="24"/>
        </w:rPr>
        <w:t xml:space="preserve"> </w:t>
      </w:r>
      <w:r>
        <w:rPr>
          <w:rFonts w:ascii="Garamond" w:hAnsi="Garamond" w:cs="Garamond"/>
          <w:sz w:val="24"/>
          <w:szCs w:val="24"/>
        </w:rPr>
        <w:t>outlined</w:t>
      </w:r>
      <w:r>
        <w:rPr>
          <w:rFonts w:ascii="Garamond" w:hAnsi="Garamond" w:cs="Garamond"/>
          <w:spacing w:val="-10"/>
          <w:sz w:val="24"/>
          <w:szCs w:val="24"/>
        </w:rPr>
        <w:t xml:space="preserve"> </w:t>
      </w:r>
      <w:r>
        <w:rPr>
          <w:rFonts w:ascii="Garamond" w:hAnsi="Garamond" w:cs="Garamond"/>
          <w:sz w:val="24"/>
          <w:szCs w:val="24"/>
        </w:rPr>
        <w:t>in</w:t>
      </w:r>
      <w:r>
        <w:rPr>
          <w:rFonts w:ascii="Garamond" w:hAnsi="Garamond" w:cs="Garamond"/>
          <w:spacing w:val="-11"/>
          <w:sz w:val="24"/>
          <w:szCs w:val="24"/>
        </w:rPr>
        <w:t xml:space="preserve"> </w:t>
      </w:r>
      <w:r>
        <w:rPr>
          <w:rFonts w:ascii="Garamond" w:hAnsi="Garamond" w:cs="Garamond"/>
          <w:sz w:val="24"/>
          <w:szCs w:val="24"/>
        </w:rPr>
        <w:t>the</w:t>
      </w:r>
      <w:r>
        <w:rPr>
          <w:rFonts w:ascii="Garamond" w:hAnsi="Garamond" w:cs="Garamond"/>
          <w:spacing w:val="-10"/>
          <w:sz w:val="24"/>
          <w:szCs w:val="24"/>
        </w:rPr>
        <w:t xml:space="preserve"> </w:t>
      </w:r>
      <w:r>
        <w:rPr>
          <w:rFonts w:ascii="Garamond" w:hAnsi="Garamond" w:cs="Garamond"/>
          <w:sz w:val="24"/>
          <w:szCs w:val="24"/>
        </w:rPr>
        <w:t>waiver</w:t>
      </w:r>
      <w:r>
        <w:rPr>
          <w:rFonts w:ascii="Garamond" w:hAnsi="Garamond" w:cs="Garamond"/>
          <w:spacing w:val="-12"/>
          <w:sz w:val="24"/>
          <w:szCs w:val="24"/>
        </w:rPr>
        <w:t xml:space="preserve"> </w:t>
      </w:r>
      <w:r>
        <w:rPr>
          <w:rFonts w:ascii="Garamond" w:hAnsi="Garamond" w:cs="Garamond"/>
          <w:spacing w:val="-3"/>
          <w:sz w:val="24"/>
          <w:szCs w:val="24"/>
        </w:rPr>
        <w:t>proposal,</w:t>
      </w:r>
      <w:r>
        <w:rPr>
          <w:rFonts w:ascii="Garamond" w:hAnsi="Garamond" w:cs="Garamond"/>
          <w:spacing w:val="-11"/>
          <w:sz w:val="24"/>
          <w:szCs w:val="24"/>
        </w:rPr>
        <w:t xml:space="preserve"> </w:t>
      </w:r>
      <w:r>
        <w:rPr>
          <w:rFonts w:ascii="Garamond" w:hAnsi="Garamond" w:cs="Garamond"/>
          <w:sz w:val="24"/>
          <w:szCs w:val="24"/>
        </w:rPr>
        <w:t>particularly around meaningful patient engagement in ACO governance structures. We appreciate the preservation</w:t>
      </w:r>
      <w:r>
        <w:rPr>
          <w:rFonts w:ascii="Garamond" w:hAnsi="Garamond" w:cs="Garamond"/>
          <w:spacing w:val="-12"/>
          <w:sz w:val="24"/>
          <w:szCs w:val="24"/>
        </w:rPr>
        <w:t xml:space="preserve"> </w:t>
      </w:r>
      <w:r>
        <w:rPr>
          <w:rFonts w:ascii="Garamond" w:hAnsi="Garamond" w:cs="Garamond"/>
          <w:sz w:val="24"/>
          <w:szCs w:val="24"/>
        </w:rPr>
        <w:t>of</w:t>
      </w:r>
      <w:r>
        <w:rPr>
          <w:rFonts w:ascii="Garamond" w:hAnsi="Garamond" w:cs="Garamond"/>
          <w:spacing w:val="-12"/>
          <w:sz w:val="24"/>
          <w:szCs w:val="24"/>
        </w:rPr>
        <w:t xml:space="preserve"> </w:t>
      </w:r>
      <w:r>
        <w:rPr>
          <w:rFonts w:ascii="Garamond" w:hAnsi="Garamond" w:cs="Garamond"/>
          <w:sz w:val="24"/>
          <w:szCs w:val="24"/>
        </w:rPr>
        <w:t>robust</w:t>
      </w:r>
      <w:r>
        <w:rPr>
          <w:rFonts w:ascii="Garamond" w:hAnsi="Garamond" w:cs="Garamond"/>
          <w:spacing w:val="-10"/>
          <w:sz w:val="24"/>
          <w:szCs w:val="24"/>
        </w:rPr>
        <w:t xml:space="preserve"> </w:t>
      </w:r>
      <w:r>
        <w:rPr>
          <w:rFonts w:ascii="Garamond" w:hAnsi="Garamond" w:cs="Garamond"/>
          <w:sz w:val="24"/>
          <w:szCs w:val="24"/>
        </w:rPr>
        <w:t>member</w:t>
      </w:r>
      <w:r>
        <w:rPr>
          <w:rFonts w:ascii="Garamond" w:hAnsi="Garamond" w:cs="Garamond"/>
          <w:spacing w:val="-12"/>
          <w:sz w:val="24"/>
          <w:szCs w:val="24"/>
        </w:rPr>
        <w:t xml:space="preserve"> </w:t>
      </w:r>
      <w:r>
        <w:rPr>
          <w:rFonts w:ascii="Garamond" w:hAnsi="Garamond" w:cs="Garamond"/>
          <w:sz w:val="24"/>
          <w:szCs w:val="24"/>
        </w:rPr>
        <w:t>appeals</w:t>
      </w:r>
      <w:r>
        <w:rPr>
          <w:rFonts w:ascii="Garamond" w:hAnsi="Garamond" w:cs="Garamond"/>
          <w:spacing w:val="-15"/>
          <w:sz w:val="24"/>
          <w:szCs w:val="24"/>
        </w:rPr>
        <w:t xml:space="preserve"> </w:t>
      </w:r>
      <w:r>
        <w:rPr>
          <w:rFonts w:ascii="Garamond" w:hAnsi="Garamond" w:cs="Garamond"/>
          <w:sz w:val="24"/>
          <w:szCs w:val="24"/>
        </w:rPr>
        <w:t>and</w:t>
      </w:r>
      <w:r>
        <w:rPr>
          <w:rFonts w:ascii="Garamond" w:hAnsi="Garamond" w:cs="Garamond"/>
          <w:spacing w:val="-12"/>
          <w:sz w:val="24"/>
          <w:szCs w:val="24"/>
        </w:rPr>
        <w:t xml:space="preserve"> </w:t>
      </w:r>
      <w:r>
        <w:rPr>
          <w:rFonts w:ascii="Garamond" w:hAnsi="Garamond" w:cs="Garamond"/>
          <w:sz w:val="24"/>
          <w:szCs w:val="24"/>
        </w:rPr>
        <w:t>grievance</w:t>
      </w:r>
      <w:r>
        <w:rPr>
          <w:rFonts w:ascii="Garamond" w:hAnsi="Garamond" w:cs="Garamond"/>
          <w:spacing w:val="-9"/>
          <w:sz w:val="24"/>
          <w:szCs w:val="24"/>
        </w:rPr>
        <w:t xml:space="preserve"> </w:t>
      </w:r>
      <w:r>
        <w:rPr>
          <w:rFonts w:ascii="Garamond" w:hAnsi="Garamond" w:cs="Garamond"/>
          <w:sz w:val="24"/>
          <w:szCs w:val="24"/>
        </w:rPr>
        <w:t>procedures</w:t>
      </w:r>
      <w:r>
        <w:rPr>
          <w:rFonts w:ascii="Garamond" w:hAnsi="Garamond" w:cs="Garamond"/>
          <w:spacing w:val="-11"/>
          <w:sz w:val="24"/>
          <w:szCs w:val="24"/>
        </w:rPr>
        <w:t xml:space="preserve"> </w:t>
      </w:r>
      <w:r>
        <w:rPr>
          <w:rFonts w:ascii="Garamond" w:hAnsi="Garamond" w:cs="Garamond"/>
          <w:sz w:val="24"/>
          <w:szCs w:val="24"/>
        </w:rPr>
        <w:t>as</w:t>
      </w:r>
      <w:r>
        <w:rPr>
          <w:rFonts w:ascii="Garamond" w:hAnsi="Garamond" w:cs="Garamond"/>
          <w:spacing w:val="-12"/>
          <w:sz w:val="24"/>
          <w:szCs w:val="24"/>
        </w:rPr>
        <w:t xml:space="preserve"> </w:t>
      </w:r>
      <w:r>
        <w:rPr>
          <w:rFonts w:ascii="Garamond" w:hAnsi="Garamond" w:cs="Garamond"/>
          <w:sz w:val="24"/>
          <w:szCs w:val="24"/>
        </w:rPr>
        <w:t>well</w:t>
      </w:r>
      <w:r>
        <w:rPr>
          <w:rFonts w:ascii="Garamond" w:hAnsi="Garamond" w:cs="Garamond"/>
          <w:spacing w:val="-13"/>
          <w:sz w:val="24"/>
          <w:szCs w:val="24"/>
        </w:rPr>
        <w:t xml:space="preserve"> </w:t>
      </w:r>
      <w:r>
        <w:rPr>
          <w:rFonts w:ascii="Garamond" w:hAnsi="Garamond" w:cs="Garamond"/>
          <w:sz w:val="24"/>
          <w:szCs w:val="24"/>
        </w:rPr>
        <w:t>as</w:t>
      </w:r>
      <w:r>
        <w:rPr>
          <w:rFonts w:ascii="Garamond" w:hAnsi="Garamond" w:cs="Garamond"/>
          <w:spacing w:val="-12"/>
          <w:sz w:val="24"/>
          <w:szCs w:val="24"/>
        </w:rPr>
        <w:t xml:space="preserve"> </w:t>
      </w:r>
      <w:r>
        <w:rPr>
          <w:rFonts w:ascii="Garamond" w:hAnsi="Garamond" w:cs="Garamond"/>
          <w:sz w:val="24"/>
          <w:szCs w:val="24"/>
        </w:rPr>
        <w:t>the</w:t>
      </w:r>
      <w:r>
        <w:rPr>
          <w:rFonts w:ascii="Garamond" w:hAnsi="Garamond" w:cs="Garamond"/>
          <w:spacing w:val="-13"/>
          <w:sz w:val="24"/>
          <w:szCs w:val="24"/>
        </w:rPr>
        <w:t xml:space="preserve"> </w:t>
      </w:r>
      <w:r>
        <w:rPr>
          <w:rFonts w:ascii="Garamond" w:hAnsi="Garamond" w:cs="Garamond"/>
          <w:sz w:val="24"/>
          <w:szCs w:val="24"/>
        </w:rPr>
        <w:t>establishment</w:t>
      </w:r>
      <w:r>
        <w:rPr>
          <w:rFonts w:ascii="Garamond" w:hAnsi="Garamond" w:cs="Garamond"/>
          <w:spacing w:val="-12"/>
          <w:sz w:val="24"/>
          <w:szCs w:val="24"/>
        </w:rPr>
        <w:t xml:space="preserve"> </w:t>
      </w:r>
      <w:r>
        <w:rPr>
          <w:rFonts w:ascii="Garamond" w:hAnsi="Garamond" w:cs="Garamond"/>
          <w:sz w:val="24"/>
          <w:szCs w:val="24"/>
        </w:rPr>
        <w:t>of</w:t>
      </w:r>
      <w:r>
        <w:rPr>
          <w:rFonts w:ascii="Garamond" w:hAnsi="Garamond" w:cs="Garamond"/>
          <w:spacing w:val="-12"/>
          <w:sz w:val="24"/>
          <w:szCs w:val="24"/>
        </w:rPr>
        <w:t xml:space="preserve"> </w:t>
      </w:r>
      <w:r>
        <w:rPr>
          <w:rFonts w:ascii="Garamond" w:hAnsi="Garamond" w:cs="Garamond"/>
          <w:sz w:val="24"/>
          <w:szCs w:val="24"/>
        </w:rPr>
        <w:t>a new</w:t>
      </w:r>
      <w:r>
        <w:rPr>
          <w:rFonts w:ascii="Garamond" w:hAnsi="Garamond" w:cs="Garamond"/>
          <w:spacing w:val="-10"/>
          <w:sz w:val="24"/>
          <w:szCs w:val="24"/>
        </w:rPr>
        <w:t xml:space="preserve"> </w:t>
      </w:r>
      <w:r>
        <w:rPr>
          <w:rFonts w:ascii="Garamond" w:hAnsi="Garamond" w:cs="Garamond"/>
          <w:sz w:val="24"/>
          <w:szCs w:val="24"/>
        </w:rPr>
        <w:t>ombudsman</w:t>
      </w:r>
      <w:r>
        <w:rPr>
          <w:rFonts w:ascii="Garamond" w:hAnsi="Garamond" w:cs="Garamond"/>
          <w:spacing w:val="-14"/>
          <w:sz w:val="24"/>
          <w:szCs w:val="24"/>
        </w:rPr>
        <w:t xml:space="preserve"> </w:t>
      </w:r>
      <w:r>
        <w:rPr>
          <w:rFonts w:ascii="Garamond" w:hAnsi="Garamond" w:cs="Garamond"/>
          <w:sz w:val="24"/>
          <w:szCs w:val="24"/>
        </w:rPr>
        <w:t>role</w:t>
      </w:r>
      <w:r>
        <w:rPr>
          <w:rFonts w:ascii="Garamond" w:hAnsi="Garamond" w:cs="Garamond"/>
          <w:spacing w:val="-10"/>
          <w:sz w:val="24"/>
          <w:szCs w:val="24"/>
        </w:rPr>
        <w:t xml:space="preserve"> </w:t>
      </w:r>
      <w:r>
        <w:rPr>
          <w:rFonts w:ascii="Garamond" w:hAnsi="Garamond" w:cs="Garamond"/>
          <w:sz w:val="24"/>
          <w:szCs w:val="24"/>
        </w:rPr>
        <w:t>to</w:t>
      </w:r>
      <w:r>
        <w:rPr>
          <w:rFonts w:ascii="Garamond" w:hAnsi="Garamond" w:cs="Garamond"/>
          <w:spacing w:val="-14"/>
          <w:sz w:val="24"/>
          <w:szCs w:val="24"/>
        </w:rPr>
        <w:t xml:space="preserve"> </w:t>
      </w:r>
      <w:r>
        <w:rPr>
          <w:rFonts w:ascii="Garamond" w:hAnsi="Garamond" w:cs="Garamond"/>
          <w:sz w:val="24"/>
          <w:szCs w:val="24"/>
        </w:rPr>
        <w:t>help</w:t>
      </w:r>
      <w:r>
        <w:rPr>
          <w:rFonts w:ascii="Garamond" w:hAnsi="Garamond" w:cs="Garamond"/>
          <w:spacing w:val="-9"/>
          <w:sz w:val="24"/>
          <w:szCs w:val="24"/>
        </w:rPr>
        <w:t xml:space="preserve"> </w:t>
      </w:r>
      <w:r>
        <w:rPr>
          <w:rFonts w:ascii="Garamond" w:hAnsi="Garamond" w:cs="Garamond"/>
          <w:sz w:val="24"/>
          <w:szCs w:val="24"/>
        </w:rPr>
        <w:t>MassHealth</w:t>
      </w:r>
      <w:r>
        <w:rPr>
          <w:rFonts w:ascii="Garamond" w:hAnsi="Garamond" w:cs="Garamond"/>
          <w:spacing w:val="-11"/>
          <w:sz w:val="24"/>
          <w:szCs w:val="24"/>
        </w:rPr>
        <w:t xml:space="preserve"> </w:t>
      </w:r>
      <w:r>
        <w:rPr>
          <w:rFonts w:ascii="Garamond" w:hAnsi="Garamond" w:cs="Garamond"/>
          <w:sz w:val="24"/>
          <w:szCs w:val="24"/>
        </w:rPr>
        <w:t>members</w:t>
      </w:r>
      <w:r>
        <w:rPr>
          <w:rFonts w:ascii="Garamond" w:hAnsi="Garamond" w:cs="Garamond"/>
          <w:spacing w:val="-15"/>
          <w:sz w:val="24"/>
          <w:szCs w:val="24"/>
        </w:rPr>
        <w:t xml:space="preserve"> </w:t>
      </w:r>
      <w:r>
        <w:rPr>
          <w:rFonts w:ascii="Garamond" w:hAnsi="Garamond" w:cs="Garamond"/>
          <w:sz w:val="24"/>
          <w:szCs w:val="24"/>
        </w:rPr>
        <w:t>who</w:t>
      </w:r>
      <w:r>
        <w:rPr>
          <w:rFonts w:ascii="Garamond" w:hAnsi="Garamond" w:cs="Garamond"/>
          <w:spacing w:val="-11"/>
          <w:sz w:val="24"/>
          <w:szCs w:val="24"/>
        </w:rPr>
        <w:t xml:space="preserve"> </w:t>
      </w:r>
      <w:r>
        <w:rPr>
          <w:rFonts w:ascii="Garamond" w:hAnsi="Garamond" w:cs="Garamond"/>
          <w:sz w:val="24"/>
          <w:szCs w:val="24"/>
        </w:rPr>
        <w:t>may</w:t>
      </w:r>
      <w:r>
        <w:rPr>
          <w:rFonts w:ascii="Garamond" w:hAnsi="Garamond" w:cs="Garamond"/>
          <w:spacing w:val="-10"/>
          <w:sz w:val="24"/>
          <w:szCs w:val="24"/>
        </w:rPr>
        <w:t xml:space="preserve"> </w:t>
      </w:r>
      <w:r>
        <w:rPr>
          <w:rFonts w:ascii="Garamond" w:hAnsi="Garamond" w:cs="Garamond"/>
          <w:sz w:val="24"/>
          <w:szCs w:val="24"/>
        </w:rPr>
        <w:t>need</w:t>
      </w:r>
      <w:r>
        <w:rPr>
          <w:rFonts w:ascii="Garamond" w:hAnsi="Garamond" w:cs="Garamond"/>
          <w:spacing w:val="-14"/>
          <w:sz w:val="24"/>
          <w:szCs w:val="24"/>
        </w:rPr>
        <w:t xml:space="preserve"> </w:t>
      </w:r>
      <w:r>
        <w:rPr>
          <w:rFonts w:ascii="Garamond" w:hAnsi="Garamond" w:cs="Garamond"/>
          <w:sz w:val="24"/>
          <w:szCs w:val="24"/>
        </w:rPr>
        <w:t>assistance.</w:t>
      </w:r>
      <w:r>
        <w:rPr>
          <w:rFonts w:ascii="Garamond" w:hAnsi="Garamond" w:cs="Garamond"/>
          <w:spacing w:val="-13"/>
          <w:sz w:val="24"/>
          <w:szCs w:val="24"/>
        </w:rPr>
        <w:t xml:space="preserve"> </w:t>
      </w:r>
      <w:r>
        <w:rPr>
          <w:rFonts w:ascii="Garamond" w:hAnsi="Garamond" w:cs="Garamond"/>
          <w:sz w:val="24"/>
          <w:szCs w:val="24"/>
        </w:rPr>
        <w:t>Member</w:t>
      </w:r>
      <w:r>
        <w:rPr>
          <w:rFonts w:ascii="Garamond" w:hAnsi="Garamond" w:cs="Garamond"/>
          <w:spacing w:val="-15"/>
          <w:sz w:val="24"/>
          <w:szCs w:val="24"/>
        </w:rPr>
        <w:t xml:space="preserve"> </w:t>
      </w:r>
      <w:r>
        <w:rPr>
          <w:rFonts w:ascii="Garamond" w:hAnsi="Garamond" w:cs="Garamond"/>
          <w:sz w:val="24"/>
          <w:szCs w:val="24"/>
        </w:rPr>
        <w:t>choice</w:t>
      </w:r>
      <w:r>
        <w:rPr>
          <w:rFonts w:ascii="Garamond" w:hAnsi="Garamond" w:cs="Garamond"/>
          <w:spacing w:val="-10"/>
          <w:sz w:val="24"/>
          <w:szCs w:val="24"/>
        </w:rPr>
        <w:t xml:space="preserve"> </w:t>
      </w:r>
      <w:r>
        <w:rPr>
          <w:rFonts w:ascii="Garamond" w:hAnsi="Garamond" w:cs="Garamond"/>
          <w:sz w:val="24"/>
          <w:szCs w:val="24"/>
        </w:rPr>
        <w:t>of providers, including dental providers, should be protected. If MassHealth rolls in dental services, members</w:t>
      </w:r>
      <w:r>
        <w:rPr>
          <w:rFonts w:ascii="Garamond" w:hAnsi="Garamond" w:cs="Garamond"/>
          <w:spacing w:val="-16"/>
          <w:sz w:val="24"/>
          <w:szCs w:val="24"/>
        </w:rPr>
        <w:t xml:space="preserve"> </w:t>
      </w:r>
      <w:r>
        <w:rPr>
          <w:rFonts w:ascii="Garamond" w:hAnsi="Garamond" w:cs="Garamond"/>
          <w:sz w:val="24"/>
          <w:szCs w:val="24"/>
        </w:rPr>
        <w:t>should</w:t>
      </w:r>
      <w:r>
        <w:rPr>
          <w:rFonts w:ascii="Garamond" w:hAnsi="Garamond" w:cs="Garamond"/>
          <w:spacing w:val="-12"/>
          <w:sz w:val="24"/>
          <w:szCs w:val="24"/>
        </w:rPr>
        <w:t xml:space="preserve"> </w:t>
      </w:r>
      <w:r>
        <w:rPr>
          <w:rFonts w:ascii="Garamond" w:hAnsi="Garamond" w:cs="Garamond"/>
          <w:sz w:val="24"/>
          <w:szCs w:val="24"/>
        </w:rPr>
        <w:t>still</w:t>
      </w:r>
      <w:r>
        <w:rPr>
          <w:rFonts w:ascii="Garamond" w:hAnsi="Garamond" w:cs="Garamond"/>
          <w:spacing w:val="-12"/>
          <w:sz w:val="24"/>
          <w:szCs w:val="24"/>
        </w:rPr>
        <w:t xml:space="preserve"> </w:t>
      </w:r>
      <w:r>
        <w:rPr>
          <w:rFonts w:ascii="Garamond" w:hAnsi="Garamond" w:cs="Garamond"/>
          <w:sz w:val="24"/>
          <w:szCs w:val="24"/>
        </w:rPr>
        <w:t>have</w:t>
      </w:r>
      <w:r>
        <w:rPr>
          <w:rFonts w:ascii="Garamond" w:hAnsi="Garamond" w:cs="Garamond"/>
          <w:spacing w:val="-11"/>
          <w:sz w:val="24"/>
          <w:szCs w:val="24"/>
        </w:rPr>
        <w:t xml:space="preserve"> </w:t>
      </w:r>
      <w:r>
        <w:rPr>
          <w:rFonts w:ascii="Garamond" w:hAnsi="Garamond" w:cs="Garamond"/>
          <w:sz w:val="24"/>
          <w:szCs w:val="24"/>
        </w:rPr>
        <w:t>access</w:t>
      </w:r>
      <w:r>
        <w:rPr>
          <w:rFonts w:ascii="Garamond" w:hAnsi="Garamond" w:cs="Garamond"/>
          <w:spacing w:val="-13"/>
          <w:sz w:val="24"/>
          <w:szCs w:val="24"/>
        </w:rPr>
        <w:t xml:space="preserve"> </w:t>
      </w:r>
      <w:r>
        <w:rPr>
          <w:rFonts w:ascii="Garamond" w:hAnsi="Garamond" w:cs="Garamond"/>
          <w:sz w:val="24"/>
          <w:szCs w:val="24"/>
        </w:rPr>
        <w:t>to</w:t>
      </w:r>
      <w:r>
        <w:rPr>
          <w:rFonts w:ascii="Garamond" w:hAnsi="Garamond" w:cs="Garamond"/>
          <w:spacing w:val="-12"/>
          <w:sz w:val="24"/>
          <w:szCs w:val="24"/>
        </w:rPr>
        <w:t xml:space="preserve"> </w:t>
      </w:r>
      <w:r>
        <w:rPr>
          <w:rFonts w:ascii="Garamond" w:hAnsi="Garamond" w:cs="Garamond"/>
          <w:sz w:val="24"/>
          <w:szCs w:val="24"/>
        </w:rPr>
        <w:t>the</w:t>
      </w:r>
      <w:r>
        <w:rPr>
          <w:rFonts w:ascii="Garamond" w:hAnsi="Garamond" w:cs="Garamond"/>
          <w:spacing w:val="-9"/>
          <w:sz w:val="24"/>
          <w:szCs w:val="24"/>
        </w:rPr>
        <w:t xml:space="preserve"> </w:t>
      </w:r>
      <w:r>
        <w:rPr>
          <w:rFonts w:ascii="Garamond" w:hAnsi="Garamond" w:cs="Garamond"/>
          <w:sz w:val="24"/>
          <w:szCs w:val="24"/>
        </w:rPr>
        <w:t>full</w:t>
      </w:r>
      <w:r>
        <w:rPr>
          <w:rFonts w:ascii="Garamond" w:hAnsi="Garamond" w:cs="Garamond"/>
          <w:spacing w:val="-12"/>
          <w:sz w:val="24"/>
          <w:szCs w:val="24"/>
        </w:rPr>
        <w:t xml:space="preserve"> </w:t>
      </w:r>
      <w:r>
        <w:rPr>
          <w:rFonts w:ascii="Garamond" w:hAnsi="Garamond" w:cs="Garamond"/>
          <w:sz w:val="24"/>
          <w:szCs w:val="24"/>
        </w:rPr>
        <w:t>network</w:t>
      </w:r>
      <w:r>
        <w:rPr>
          <w:rFonts w:ascii="Garamond" w:hAnsi="Garamond" w:cs="Garamond"/>
          <w:spacing w:val="-16"/>
          <w:sz w:val="24"/>
          <w:szCs w:val="24"/>
        </w:rPr>
        <w:t xml:space="preserve"> </w:t>
      </w:r>
      <w:r>
        <w:rPr>
          <w:rFonts w:ascii="Garamond" w:hAnsi="Garamond" w:cs="Garamond"/>
          <w:sz w:val="24"/>
          <w:szCs w:val="24"/>
        </w:rPr>
        <w:t>of</w:t>
      </w:r>
      <w:r>
        <w:rPr>
          <w:rFonts w:ascii="Garamond" w:hAnsi="Garamond" w:cs="Garamond"/>
          <w:spacing w:val="-13"/>
          <w:sz w:val="24"/>
          <w:szCs w:val="24"/>
        </w:rPr>
        <w:t xml:space="preserve"> </w:t>
      </w:r>
      <w:r>
        <w:rPr>
          <w:rFonts w:ascii="Garamond" w:hAnsi="Garamond" w:cs="Garamond"/>
          <w:sz w:val="24"/>
          <w:szCs w:val="24"/>
        </w:rPr>
        <w:t>MassHealth</w:t>
      </w:r>
      <w:r>
        <w:rPr>
          <w:rFonts w:ascii="Garamond" w:hAnsi="Garamond" w:cs="Garamond"/>
          <w:spacing w:val="-12"/>
          <w:sz w:val="24"/>
          <w:szCs w:val="24"/>
        </w:rPr>
        <w:t xml:space="preserve"> </w:t>
      </w:r>
      <w:r>
        <w:rPr>
          <w:rFonts w:ascii="Garamond" w:hAnsi="Garamond" w:cs="Garamond"/>
          <w:sz w:val="24"/>
          <w:szCs w:val="24"/>
        </w:rPr>
        <w:t>dental</w:t>
      </w:r>
      <w:r>
        <w:rPr>
          <w:rFonts w:ascii="Garamond" w:hAnsi="Garamond" w:cs="Garamond"/>
          <w:spacing w:val="-12"/>
          <w:sz w:val="24"/>
          <w:szCs w:val="24"/>
        </w:rPr>
        <w:t xml:space="preserve"> </w:t>
      </w:r>
      <w:r>
        <w:rPr>
          <w:rFonts w:ascii="Garamond" w:hAnsi="Garamond" w:cs="Garamond"/>
          <w:sz w:val="24"/>
          <w:szCs w:val="24"/>
        </w:rPr>
        <w:t>providers.</w:t>
      </w:r>
    </w:p>
    <w:p w:rsidR="002C5025" w:rsidRDefault="002C5025">
      <w:pPr>
        <w:pStyle w:val="BodyText"/>
        <w:kinsoku w:val="0"/>
        <w:overflowPunct w:val="0"/>
        <w:spacing w:before="7"/>
        <w:rPr>
          <w:rFonts w:ascii="Garamond" w:hAnsi="Garamond" w:cs="Garamond"/>
          <w:sz w:val="27"/>
          <w:szCs w:val="27"/>
        </w:rPr>
      </w:pPr>
    </w:p>
    <w:p w:rsidR="002C5025" w:rsidRDefault="002C5025">
      <w:pPr>
        <w:pStyle w:val="BodyText"/>
        <w:kinsoku w:val="0"/>
        <w:overflowPunct w:val="0"/>
        <w:spacing w:line="276" w:lineRule="auto"/>
        <w:ind w:left="119" w:right="160"/>
        <w:rPr>
          <w:rFonts w:ascii="Garamond" w:hAnsi="Garamond" w:cs="Garamond"/>
          <w:sz w:val="24"/>
          <w:szCs w:val="24"/>
        </w:rPr>
      </w:pPr>
      <w:r>
        <w:rPr>
          <w:rFonts w:ascii="Garamond" w:hAnsi="Garamond" w:cs="Garamond"/>
          <w:sz w:val="24"/>
          <w:szCs w:val="24"/>
        </w:rPr>
        <w:t>Risk</w:t>
      </w:r>
      <w:r>
        <w:rPr>
          <w:rFonts w:ascii="Garamond" w:hAnsi="Garamond" w:cs="Garamond"/>
          <w:spacing w:val="-13"/>
          <w:sz w:val="24"/>
          <w:szCs w:val="24"/>
        </w:rPr>
        <w:t xml:space="preserve"> </w:t>
      </w:r>
      <w:r>
        <w:rPr>
          <w:rFonts w:ascii="Garamond" w:hAnsi="Garamond" w:cs="Garamond"/>
          <w:sz w:val="24"/>
          <w:szCs w:val="24"/>
        </w:rPr>
        <w:t>adjustment</w:t>
      </w:r>
      <w:r>
        <w:rPr>
          <w:rFonts w:ascii="Garamond" w:hAnsi="Garamond" w:cs="Garamond"/>
          <w:spacing w:val="-12"/>
          <w:sz w:val="24"/>
          <w:szCs w:val="24"/>
        </w:rPr>
        <w:t xml:space="preserve"> </w:t>
      </w:r>
      <w:r>
        <w:rPr>
          <w:rFonts w:ascii="Garamond" w:hAnsi="Garamond" w:cs="Garamond"/>
          <w:sz w:val="24"/>
          <w:szCs w:val="24"/>
        </w:rPr>
        <w:t>methodology</w:t>
      </w:r>
      <w:r>
        <w:rPr>
          <w:rFonts w:ascii="Garamond" w:hAnsi="Garamond" w:cs="Garamond"/>
          <w:spacing w:val="-10"/>
          <w:sz w:val="24"/>
          <w:szCs w:val="24"/>
        </w:rPr>
        <w:t xml:space="preserve"> </w:t>
      </w:r>
      <w:r>
        <w:rPr>
          <w:rFonts w:ascii="Garamond" w:hAnsi="Garamond" w:cs="Garamond"/>
          <w:sz w:val="24"/>
          <w:szCs w:val="24"/>
        </w:rPr>
        <w:t>should</w:t>
      </w:r>
      <w:r>
        <w:rPr>
          <w:rFonts w:ascii="Garamond" w:hAnsi="Garamond" w:cs="Garamond"/>
          <w:spacing w:val="-14"/>
          <w:sz w:val="24"/>
          <w:szCs w:val="24"/>
        </w:rPr>
        <w:t xml:space="preserve"> </w:t>
      </w:r>
      <w:r>
        <w:rPr>
          <w:rFonts w:ascii="Garamond" w:hAnsi="Garamond" w:cs="Garamond"/>
          <w:sz w:val="24"/>
          <w:szCs w:val="24"/>
        </w:rPr>
        <w:t>consider</w:t>
      </w:r>
      <w:r>
        <w:rPr>
          <w:rFonts w:ascii="Garamond" w:hAnsi="Garamond" w:cs="Garamond"/>
          <w:spacing w:val="-15"/>
          <w:sz w:val="24"/>
          <w:szCs w:val="24"/>
        </w:rPr>
        <w:t xml:space="preserve"> </w:t>
      </w:r>
      <w:r>
        <w:rPr>
          <w:rFonts w:ascii="Garamond" w:hAnsi="Garamond" w:cs="Garamond"/>
          <w:sz w:val="24"/>
          <w:szCs w:val="24"/>
        </w:rPr>
        <w:t>oral</w:t>
      </w:r>
      <w:r>
        <w:rPr>
          <w:rFonts w:ascii="Garamond" w:hAnsi="Garamond" w:cs="Garamond"/>
          <w:spacing w:val="-11"/>
          <w:sz w:val="24"/>
          <w:szCs w:val="24"/>
        </w:rPr>
        <w:t xml:space="preserve"> </w:t>
      </w:r>
      <w:r>
        <w:rPr>
          <w:rFonts w:ascii="Garamond" w:hAnsi="Garamond" w:cs="Garamond"/>
          <w:sz w:val="24"/>
          <w:szCs w:val="24"/>
        </w:rPr>
        <w:t>health</w:t>
      </w:r>
      <w:r>
        <w:rPr>
          <w:rFonts w:ascii="Garamond" w:hAnsi="Garamond" w:cs="Garamond"/>
          <w:spacing w:val="-11"/>
          <w:sz w:val="24"/>
          <w:szCs w:val="24"/>
        </w:rPr>
        <w:t xml:space="preserve"> </w:t>
      </w:r>
      <w:r>
        <w:rPr>
          <w:rFonts w:ascii="Garamond" w:hAnsi="Garamond" w:cs="Garamond"/>
          <w:sz w:val="24"/>
          <w:szCs w:val="24"/>
        </w:rPr>
        <w:t>and</w:t>
      </w:r>
      <w:r>
        <w:rPr>
          <w:rFonts w:ascii="Garamond" w:hAnsi="Garamond" w:cs="Garamond"/>
          <w:spacing w:val="-11"/>
          <w:sz w:val="24"/>
          <w:szCs w:val="24"/>
        </w:rPr>
        <w:t xml:space="preserve"> </w:t>
      </w:r>
      <w:r>
        <w:rPr>
          <w:rFonts w:ascii="Garamond" w:hAnsi="Garamond" w:cs="Garamond"/>
          <w:sz w:val="24"/>
          <w:szCs w:val="24"/>
        </w:rPr>
        <w:t>social</w:t>
      </w:r>
      <w:r>
        <w:rPr>
          <w:rFonts w:ascii="Garamond" w:hAnsi="Garamond" w:cs="Garamond"/>
          <w:spacing w:val="-13"/>
          <w:sz w:val="24"/>
          <w:szCs w:val="24"/>
        </w:rPr>
        <w:t xml:space="preserve"> </w:t>
      </w:r>
      <w:r>
        <w:rPr>
          <w:rFonts w:ascii="Garamond" w:hAnsi="Garamond" w:cs="Garamond"/>
          <w:sz w:val="24"/>
          <w:szCs w:val="24"/>
        </w:rPr>
        <w:t>determinants</w:t>
      </w:r>
      <w:r>
        <w:rPr>
          <w:rFonts w:ascii="Garamond" w:hAnsi="Garamond" w:cs="Garamond"/>
          <w:spacing w:val="-15"/>
          <w:sz w:val="24"/>
          <w:szCs w:val="24"/>
        </w:rPr>
        <w:t xml:space="preserve"> </w:t>
      </w:r>
      <w:r>
        <w:rPr>
          <w:rFonts w:ascii="Garamond" w:hAnsi="Garamond" w:cs="Garamond"/>
          <w:sz w:val="24"/>
          <w:szCs w:val="24"/>
        </w:rPr>
        <w:t>of</w:t>
      </w:r>
      <w:r>
        <w:rPr>
          <w:rFonts w:ascii="Garamond" w:hAnsi="Garamond" w:cs="Garamond"/>
          <w:spacing w:val="-14"/>
          <w:sz w:val="24"/>
          <w:szCs w:val="24"/>
        </w:rPr>
        <w:t xml:space="preserve"> </w:t>
      </w:r>
      <w:r>
        <w:rPr>
          <w:rFonts w:ascii="Garamond" w:hAnsi="Garamond" w:cs="Garamond"/>
          <w:sz w:val="24"/>
          <w:szCs w:val="24"/>
        </w:rPr>
        <w:t>health.</w:t>
      </w:r>
      <w:r>
        <w:rPr>
          <w:rFonts w:ascii="Garamond" w:hAnsi="Garamond" w:cs="Garamond"/>
          <w:spacing w:val="-11"/>
          <w:sz w:val="24"/>
          <w:szCs w:val="24"/>
        </w:rPr>
        <w:t xml:space="preserve"> </w:t>
      </w:r>
      <w:r>
        <w:rPr>
          <w:rFonts w:ascii="Garamond" w:hAnsi="Garamond" w:cs="Garamond"/>
          <w:sz w:val="24"/>
          <w:szCs w:val="24"/>
        </w:rPr>
        <w:t>Due</w:t>
      </w:r>
      <w:r>
        <w:rPr>
          <w:rFonts w:ascii="Garamond" w:hAnsi="Garamond" w:cs="Garamond"/>
          <w:spacing w:val="-10"/>
          <w:sz w:val="24"/>
          <w:szCs w:val="24"/>
        </w:rPr>
        <w:t xml:space="preserve"> </w:t>
      </w:r>
      <w:r>
        <w:rPr>
          <w:rFonts w:ascii="Garamond" w:hAnsi="Garamond" w:cs="Garamond"/>
          <w:sz w:val="24"/>
          <w:szCs w:val="24"/>
        </w:rPr>
        <w:t xml:space="preserve">to geographical differences in the availability of dental health professionals, certain populations are at exceptionally high risk. Providers serving high-risk populations, including </w:t>
      </w:r>
      <w:r>
        <w:rPr>
          <w:rFonts w:ascii="Garamond" w:hAnsi="Garamond" w:cs="Garamond"/>
          <w:spacing w:val="-3"/>
          <w:sz w:val="24"/>
          <w:szCs w:val="24"/>
        </w:rPr>
        <w:t xml:space="preserve">oral </w:t>
      </w:r>
      <w:r>
        <w:rPr>
          <w:rFonts w:ascii="Garamond" w:hAnsi="Garamond" w:cs="Garamond"/>
          <w:sz w:val="24"/>
          <w:szCs w:val="24"/>
        </w:rPr>
        <w:t xml:space="preserve">health providers, should not be penalized </w:t>
      </w:r>
      <w:r>
        <w:rPr>
          <w:rFonts w:ascii="Garamond" w:hAnsi="Garamond" w:cs="Garamond"/>
          <w:spacing w:val="-3"/>
          <w:sz w:val="24"/>
          <w:szCs w:val="24"/>
        </w:rPr>
        <w:t xml:space="preserve">for </w:t>
      </w:r>
      <w:r>
        <w:rPr>
          <w:rFonts w:ascii="Garamond" w:hAnsi="Garamond" w:cs="Garamond"/>
          <w:sz w:val="24"/>
          <w:szCs w:val="24"/>
        </w:rPr>
        <w:t>serving sicker patients. By the same token, there must be rigorous monitoring</w:t>
      </w:r>
      <w:r>
        <w:rPr>
          <w:rFonts w:ascii="Garamond" w:hAnsi="Garamond" w:cs="Garamond"/>
          <w:spacing w:val="-13"/>
          <w:sz w:val="24"/>
          <w:szCs w:val="24"/>
        </w:rPr>
        <w:t xml:space="preserve"> </w:t>
      </w:r>
      <w:r>
        <w:rPr>
          <w:rFonts w:ascii="Garamond" w:hAnsi="Garamond" w:cs="Garamond"/>
          <w:sz w:val="24"/>
          <w:szCs w:val="24"/>
        </w:rPr>
        <w:t>and</w:t>
      </w:r>
      <w:r>
        <w:rPr>
          <w:rFonts w:ascii="Garamond" w:hAnsi="Garamond" w:cs="Garamond"/>
          <w:spacing w:val="-11"/>
          <w:sz w:val="24"/>
          <w:szCs w:val="24"/>
        </w:rPr>
        <w:t xml:space="preserve"> </w:t>
      </w:r>
      <w:r>
        <w:rPr>
          <w:rFonts w:ascii="Garamond" w:hAnsi="Garamond" w:cs="Garamond"/>
          <w:sz w:val="24"/>
          <w:szCs w:val="24"/>
        </w:rPr>
        <w:t>tracking</w:t>
      </w:r>
      <w:r>
        <w:rPr>
          <w:rFonts w:ascii="Garamond" w:hAnsi="Garamond" w:cs="Garamond"/>
          <w:spacing w:val="-10"/>
          <w:sz w:val="24"/>
          <w:szCs w:val="24"/>
        </w:rPr>
        <w:t xml:space="preserve"> </w:t>
      </w:r>
      <w:r>
        <w:rPr>
          <w:rFonts w:ascii="Garamond" w:hAnsi="Garamond" w:cs="Garamond"/>
          <w:spacing w:val="-3"/>
          <w:sz w:val="24"/>
          <w:szCs w:val="24"/>
        </w:rPr>
        <w:t>of</w:t>
      </w:r>
      <w:r>
        <w:rPr>
          <w:rFonts w:ascii="Garamond" w:hAnsi="Garamond" w:cs="Garamond"/>
          <w:spacing w:val="-16"/>
          <w:sz w:val="24"/>
          <w:szCs w:val="24"/>
        </w:rPr>
        <w:t xml:space="preserve"> </w:t>
      </w:r>
      <w:r>
        <w:rPr>
          <w:rFonts w:ascii="Garamond" w:hAnsi="Garamond" w:cs="Garamond"/>
          <w:sz w:val="24"/>
          <w:szCs w:val="24"/>
        </w:rPr>
        <w:t>underutilization</w:t>
      </w:r>
      <w:r>
        <w:rPr>
          <w:rFonts w:ascii="Garamond" w:hAnsi="Garamond" w:cs="Garamond"/>
          <w:spacing w:val="-13"/>
          <w:sz w:val="24"/>
          <w:szCs w:val="24"/>
        </w:rPr>
        <w:t xml:space="preserve"> </w:t>
      </w:r>
      <w:r>
        <w:rPr>
          <w:rFonts w:ascii="Garamond" w:hAnsi="Garamond" w:cs="Garamond"/>
          <w:sz w:val="24"/>
          <w:szCs w:val="24"/>
        </w:rPr>
        <w:t>where</w:t>
      </w:r>
      <w:r>
        <w:rPr>
          <w:rFonts w:ascii="Garamond" w:hAnsi="Garamond" w:cs="Garamond"/>
          <w:spacing w:val="-10"/>
          <w:sz w:val="24"/>
          <w:szCs w:val="24"/>
        </w:rPr>
        <w:t xml:space="preserve"> </w:t>
      </w:r>
      <w:r>
        <w:rPr>
          <w:rFonts w:ascii="Garamond" w:hAnsi="Garamond" w:cs="Garamond"/>
          <w:spacing w:val="-3"/>
          <w:sz w:val="24"/>
          <w:szCs w:val="24"/>
        </w:rPr>
        <w:t>providers</w:t>
      </w:r>
      <w:r>
        <w:rPr>
          <w:rFonts w:ascii="Garamond" w:hAnsi="Garamond" w:cs="Garamond"/>
          <w:spacing w:val="-14"/>
          <w:sz w:val="24"/>
          <w:szCs w:val="24"/>
        </w:rPr>
        <w:t xml:space="preserve"> </w:t>
      </w:r>
      <w:r>
        <w:rPr>
          <w:rFonts w:ascii="Garamond" w:hAnsi="Garamond" w:cs="Garamond"/>
          <w:sz w:val="24"/>
          <w:szCs w:val="24"/>
        </w:rPr>
        <w:t>may</w:t>
      </w:r>
      <w:r>
        <w:rPr>
          <w:rFonts w:ascii="Garamond" w:hAnsi="Garamond" w:cs="Garamond"/>
          <w:spacing w:val="-10"/>
          <w:sz w:val="24"/>
          <w:szCs w:val="24"/>
        </w:rPr>
        <w:t xml:space="preserve"> </w:t>
      </w:r>
      <w:r>
        <w:rPr>
          <w:rFonts w:ascii="Garamond" w:hAnsi="Garamond" w:cs="Garamond"/>
          <w:sz w:val="24"/>
          <w:szCs w:val="24"/>
        </w:rPr>
        <w:t>be</w:t>
      </w:r>
      <w:r>
        <w:rPr>
          <w:rFonts w:ascii="Garamond" w:hAnsi="Garamond" w:cs="Garamond"/>
          <w:spacing w:val="-10"/>
          <w:sz w:val="24"/>
          <w:szCs w:val="24"/>
        </w:rPr>
        <w:t xml:space="preserve"> </w:t>
      </w:r>
      <w:r>
        <w:rPr>
          <w:rFonts w:ascii="Garamond" w:hAnsi="Garamond" w:cs="Garamond"/>
          <w:sz w:val="24"/>
          <w:szCs w:val="24"/>
        </w:rPr>
        <w:t>potentially</w:t>
      </w:r>
      <w:r>
        <w:rPr>
          <w:rFonts w:ascii="Garamond" w:hAnsi="Garamond" w:cs="Garamond"/>
          <w:spacing w:val="-12"/>
          <w:sz w:val="24"/>
          <w:szCs w:val="24"/>
        </w:rPr>
        <w:t xml:space="preserve"> </w:t>
      </w:r>
      <w:r>
        <w:rPr>
          <w:rFonts w:ascii="Garamond" w:hAnsi="Garamond" w:cs="Garamond"/>
          <w:sz w:val="24"/>
          <w:szCs w:val="24"/>
        </w:rPr>
        <w:t>stinting</w:t>
      </w:r>
      <w:r>
        <w:rPr>
          <w:rFonts w:ascii="Garamond" w:hAnsi="Garamond" w:cs="Garamond"/>
          <w:spacing w:val="-13"/>
          <w:sz w:val="24"/>
          <w:szCs w:val="24"/>
        </w:rPr>
        <w:t xml:space="preserve"> </w:t>
      </w:r>
      <w:r>
        <w:rPr>
          <w:rFonts w:ascii="Garamond" w:hAnsi="Garamond" w:cs="Garamond"/>
          <w:sz w:val="24"/>
          <w:szCs w:val="24"/>
        </w:rPr>
        <w:t>on</w:t>
      </w:r>
      <w:r>
        <w:rPr>
          <w:rFonts w:ascii="Garamond" w:hAnsi="Garamond" w:cs="Garamond"/>
          <w:spacing w:val="-13"/>
          <w:sz w:val="24"/>
          <w:szCs w:val="24"/>
        </w:rPr>
        <w:t xml:space="preserve"> </w:t>
      </w:r>
      <w:r>
        <w:rPr>
          <w:rFonts w:ascii="Garamond" w:hAnsi="Garamond" w:cs="Garamond"/>
          <w:sz w:val="24"/>
          <w:szCs w:val="24"/>
        </w:rPr>
        <w:t>care.</w:t>
      </w:r>
    </w:p>
    <w:p w:rsidR="002C5025" w:rsidRDefault="002C5025">
      <w:pPr>
        <w:pStyle w:val="BodyText"/>
        <w:kinsoku w:val="0"/>
        <w:overflowPunct w:val="0"/>
        <w:spacing w:line="276" w:lineRule="auto"/>
        <w:ind w:left="120" w:right="160"/>
        <w:rPr>
          <w:rFonts w:ascii="Garamond" w:hAnsi="Garamond" w:cs="Garamond"/>
          <w:sz w:val="24"/>
          <w:szCs w:val="24"/>
        </w:rPr>
      </w:pPr>
      <w:r>
        <w:rPr>
          <w:rFonts w:ascii="Garamond" w:hAnsi="Garamond" w:cs="Garamond"/>
          <w:sz w:val="24"/>
          <w:szCs w:val="24"/>
        </w:rPr>
        <w:t>There</w:t>
      </w:r>
      <w:r>
        <w:rPr>
          <w:rFonts w:ascii="Garamond" w:hAnsi="Garamond" w:cs="Garamond"/>
          <w:spacing w:val="-10"/>
          <w:sz w:val="24"/>
          <w:szCs w:val="24"/>
        </w:rPr>
        <w:t xml:space="preserve"> </w:t>
      </w:r>
      <w:r>
        <w:rPr>
          <w:rFonts w:ascii="Garamond" w:hAnsi="Garamond" w:cs="Garamond"/>
          <w:sz w:val="24"/>
          <w:szCs w:val="24"/>
        </w:rPr>
        <w:t>should</w:t>
      </w:r>
      <w:r>
        <w:rPr>
          <w:rFonts w:ascii="Garamond" w:hAnsi="Garamond" w:cs="Garamond"/>
          <w:spacing w:val="-11"/>
          <w:sz w:val="24"/>
          <w:szCs w:val="24"/>
        </w:rPr>
        <w:t xml:space="preserve"> </w:t>
      </w:r>
      <w:r>
        <w:rPr>
          <w:rFonts w:ascii="Garamond" w:hAnsi="Garamond" w:cs="Garamond"/>
          <w:sz w:val="24"/>
          <w:szCs w:val="24"/>
        </w:rPr>
        <w:t>be</w:t>
      </w:r>
      <w:r>
        <w:rPr>
          <w:rFonts w:ascii="Garamond" w:hAnsi="Garamond" w:cs="Garamond"/>
          <w:spacing w:val="-10"/>
          <w:sz w:val="24"/>
          <w:szCs w:val="24"/>
        </w:rPr>
        <w:t xml:space="preserve"> </w:t>
      </w:r>
      <w:r>
        <w:rPr>
          <w:rFonts w:ascii="Garamond" w:hAnsi="Garamond" w:cs="Garamond"/>
          <w:sz w:val="24"/>
          <w:szCs w:val="24"/>
        </w:rPr>
        <w:t>internal</w:t>
      </w:r>
      <w:r>
        <w:rPr>
          <w:rFonts w:ascii="Garamond" w:hAnsi="Garamond" w:cs="Garamond"/>
          <w:spacing w:val="-13"/>
          <w:sz w:val="24"/>
          <w:szCs w:val="24"/>
        </w:rPr>
        <w:t xml:space="preserve"> </w:t>
      </w:r>
      <w:r>
        <w:rPr>
          <w:rFonts w:ascii="Garamond" w:hAnsi="Garamond" w:cs="Garamond"/>
          <w:sz w:val="24"/>
          <w:szCs w:val="24"/>
        </w:rPr>
        <w:t>ACO</w:t>
      </w:r>
      <w:r>
        <w:rPr>
          <w:rFonts w:ascii="Garamond" w:hAnsi="Garamond" w:cs="Garamond"/>
          <w:spacing w:val="-11"/>
          <w:sz w:val="24"/>
          <w:szCs w:val="24"/>
        </w:rPr>
        <w:t xml:space="preserve"> </w:t>
      </w:r>
      <w:r>
        <w:rPr>
          <w:rFonts w:ascii="Garamond" w:hAnsi="Garamond" w:cs="Garamond"/>
          <w:sz w:val="24"/>
          <w:szCs w:val="24"/>
        </w:rPr>
        <w:t>monitoring</w:t>
      </w:r>
      <w:r>
        <w:rPr>
          <w:rFonts w:ascii="Garamond" w:hAnsi="Garamond" w:cs="Garamond"/>
          <w:spacing w:val="-10"/>
          <w:sz w:val="24"/>
          <w:szCs w:val="24"/>
        </w:rPr>
        <w:t xml:space="preserve"> </w:t>
      </w:r>
      <w:r>
        <w:rPr>
          <w:rFonts w:ascii="Garamond" w:hAnsi="Garamond" w:cs="Garamond"/>
          <w:sz w:val="24"/>
          <w:szCs w:val="24"/>
        </w:rPr>
        <w:t>mechanisms</w:t>
      </w:r>
      <w:r>
        <w:rPr>
          <w:rFonts w:ascii="Garamond" w:hAnsi="Garamond" w:cs="Garamond"/>
          <w:spacing w:val="-14"/>
          <w:sz w:val="24"/>
          <w:szCs w:val="24"/>
        </w:rPr>
        <w:t xml:space="preserve"> </w:t>
      </w:r>
      <w:r>
        <w:rPr>
          <w:rFonts w:ascii="Garamond" w:hAnsi="Garamond" w:cs="Garamond"/>
          <w:sz w:val="24"/>
          <w:szCs w:val="24"/>
        </w:rPr>
        <w:t>as</w:t>
      </w:r>
      <w:r>
        <w:rPr>
          <w:rFonts w:ascii="Garamond" w:hAnsi="Garamond" w:cs="Garamond"/>
          <w:spacing w:val="-14"/>
          <w:sz w:val="24"/>
          <w:szCs w:val="24"/>
        </w:rPr>
        <w:t xml:space="preserve"> </w:t>
      </w:r>
      <w:r>
        <w:rPr>
          <w:rFonts w:ascii="Garamond" w:hAnsi="Garamond" w:cs="Garamond"/>
          <w:sz w:val="24"/>
          <w:szCs w:val="24"/>
        </w:rPr>
        <w:t>well</w:t>
      </w:r>
      <w:r>
        <w:rPr>
          <w:rFonts w:ascii="Garamond" w:hAnsi="Garamond" w:cs="Garamond"/>
          <w:spacing w:val="-11"/>
          <w:sz w:val="24"/>
          <w:szCs w:val="24"/>
        </w:rPr>
        <w:t xml:space="preserve"> </w:t>
      </w:r>
      <w:r>
        <w:rPr>
          <w:rFonts w:ascii="Garamond" w:hAnsi="Garamond" w:cs="Garamond"/>
          <w:sz w:val="24"/>
          <w:szCs w:val="24"/>
        </w:rPr>
        <w:t>as</w:t>
      </w:r>
      <w:r>
        <w:rPr>
          <w:rFonts w:ascii="Garamond" w:hAnsi="Garamond" w:cs="Garamond"/>
          <w:spacing w:val="-14"/>
          <w:sz w:val="24"/>
          <w:szCs w:val="24"/>
        </w:rPr>
        <w:t xml:space="preserve"> </w:t>
      </w:r>
      <w:r>
        <w:rPr>
          <w:rFonts w:ascii="Garamond" w:hAnsi="Garamond" w:cs="Garamond"/>
          <w:sz w:val="24"/>
          <w:szCs w:val="24"/>
        </w:rPr>
        <w:t>broader</w:t>
      </w:r>
      <w:r>
        <w:rPr>
          <w:rFonts w:ascii="Garamond" w:hAnsi="Garamond" w:cs="Garamond"/>
          <w:spacing w:val="-12"/>
          <w:sz w:val="24"/>
          <w:szCs w:val="24"/>
        </w:rPr>
        <w:t xml:space="preserve"> </w:t>
      </w:r>
      <w:r>
        <w:rPr>
          <w:rFonts w:ascii="Garamond" w:hAnsi="Garamond" w:cs="Garamond"/>
          <w:sz w:val="24"/>
          <w:szCs w:val="24"/>
        </w:rPr>
        <w:t>MassHealth</w:t>
      </w:r>
      <w:r>
        <w:rPr>
          <w:rFonts w:ascii="Garamond" w:hAnsi="Garamond" w:cs="Garamond"/>
          <w:spacing w:val="-11"/>
          <w:sz w:val="24"/>
          <w:szCs w:val="24"/>
        </w:rPr>
        <w:t xml:space="preserve"> </w:t>
      </w:r>
      <w:r>
        <w:rPr>
          <w:rFonts w:ascii="Garamond" w:hAnsi="Garamond" w:cs="Garamond"/>
          <w:sz w:val="24"/>
          <w:szCs w:val="24"/>
        </w:rPr>
        <w:t>oversight, particularly for vulnerable and high-risk populations, and all public reporting required of ACOs should also include</w:t>
      </w:r>
      <w:r>
        <w:rPr>
          <w:rFonts w:ascii="Garamond" w:hAnsi="Garamond" w:cs="Garamond"/>
          <w:spacing w:val="-37"/>
          <w:sz w:val="24"/>
          <w:szCs w:val="24"/>
        </w:rPr>
        <w:t xml:space="preserve"> </w:t>
      </w:r>
      <w:r>
        <w:rPr>
          <w:rFonts w:ascii="Garamond" w:hAnsi="Garamond" w:cs="Garamond"/>
          <w:sz w:val="24"/>
          <w:szCs w:val="24"/>
        </w:rPr>
        <w:t>dental.</w:t>
      </w:r>
    </w:p>
    <w:p w:rsidR="002C5025" w:rsidRDefault="002C5025">
      <w:pPr>
        <w:pStyle w:val="BodyText"/>
        <w:kinsoku w:val="0"/>
        <w:overflowPunct w:val="0"/>
        <w:rPr>
          <w:rFonts w:ascii="Garamond" w:hAnsi="Garamond" w:cs="Garamond"/>
          <w:sz w:val="20"/>
          <w:szCs w:val="20"/>
        </w:rPr>
      </w:pPr>
    </w:p>
    <w:p w:rsidR="002C5025" w:rsidRDefault="00FB027C">
      <w:pPr>
        <w:pStyle w:val="BodyText"/>
        <w:kinsoku w:val="0"/>
        <w:overflowPunct w:val="0"/>
        <w:spacing w:before="6"/>
        <w:rPr>
          <w:rFonts w:ascii="Garamond" w:hAnsi="Garamond" w:cs="Garamond"/>
          <w:sz w:val="17"/>
          <w:szCs w:val="17"/>
        </w:rPr>
      </w:pPr>
      <w:r>
        <w:rPr>
          <w:noProof/>
        </w:rPr>
        <mc:AlternateContent>
          <mc:Choice Requires="wps">
            <w:drawing>
              <wp:anchor distT="0" distB="0" distL="0" distR="0" simplePos="0" relativeHeight="251799040" behindDoc="0" locked="0" layoutInCell="0" allowOverlap="1">
                <wp:simplePos x="0" y="0"/>
                <wp:positionH relativeFrom="page">
                  <wp:posOffset>3593465</wp:posOffset>
                </wp:positionH>
                <wp:positionV relativeFrom="paragraph">
                  <wp:posOffset>154940</wp:posOffset>
                </wp:positionV>
                <wp:extent cx="562610" cy="12700"/>
                <wp:effectExtent l="0" t="0" r="0" b="0"/>
                <wp:wrapTopAndBottom/>
                <wp:docPr id="82" name="Freeform 7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2610" cy="12700"/>
                        </a:xfrm>
                        <a:custGeom>
                          <a:avLst/>
                          <a:gdLst>
                            <a:gd name="T0" fmla="*/ 0 w 886"/>
                            <a:gd name="T1" fmla="*/ 0 h 20"/>
                            <a:gd name="T2" fmla="*/ 886 w 886"/>
                            <a:gd name="T3" fmla="*/ 0 h 20"/>
                          </a:gdLst>
                          <a:ahLst/>
                          <a:cxnLst>
                            <a:cxn ang="0">
                              <a:pos x="T0" y="T1"/>
                            </a:cxn>
                            <a:cxn ang="0">
                              <a:pos x="T2" y="T3"/>
                            </a:cxn>
                          </a:cxnLst>
                          <a:rect l="0" t="0" r="r" b="b"/>
                          <a:pathLst>
                            <a:path w="886" h="20">
                              <a:moveTo>
                                <a:pt x="0" y="0"/>
                              </a:moveTo>
                              <a:lnTo>
                                <a:pt x="886" y="0"/>
                              </a:lnTo>
                            </a:path>
                          </a:pathLst>
                        </a:custGeom>
                        <a:noFill/>
                        <a:ln w="9525">
                          <a:solidFill>
                            <a:srgbClr val="A7A8A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91" o:spid="_x0000_s1026" style="position:absolute;z-index:251799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282.95pt,12.2pt,327.25pt,12.2pt" coordsize="88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" o:allowincell="f" filled="f" strokecolor="#a7a8a7">
                <v:path arrowok="t" o:connecttype="custom" o:connectlocs="0,0;562610,0" o:connectangles="0,0"/>
                <w10:wrap type="topAndBottom" anchorx="page"/>
              </v:polyline>
            </w:pict>
          </mc:Fallback>
        </mc:AlternateContent>
      </w:r>
    </w:p>
    <w:p w:rsidR="002C5025" w:rsidRDefault="002C5025">
      <w:pPr>
        <w:pStyle w:val="BodyText"/>
        <w:kinsoku w:val="0"/>
        <w:overflowPunct w:val="0"/>
        <w:rPr>
          <w:rFonts w:ascii="Garamond" w:hAnsi="Garamond" w:cs="Garamond"/>
          <w:sz w:val="24"/>
          <w:szCs w:val="24"/>
        </w:rPr>
      </w:pPr>
    </w:p>
    <w:p w:rsidR="002C5025" w:rsidRDefault="002C5025">
      <w:pPr>
        <w:pStyle w:val="BodyText"/>
        <w:kinsoku w:val="0"/>
        <w:overflowPunct w:val="0"/>
        <w:spacing w:before="156" w:line="276" w:lineRule="auto"/>
        <w:ind w:left="119" w:right="10"/>
        <w:rPr>
          <w:rFonts w:ascii="Garamond" w:hAnsi="Garamond" w:cs="Garamond"/>
          <w:color w:val="000000"/>
          <w:sz w:val="24"/>
          <w:szCs w:val="24"/>
        </w:rPr>
      </w:pPr>
      <w:r>
        <w:rPr>
          <w:rFonts w:ascii="Garamond" w:hAnsi="Garamond" w:cs="Garamond"/>
          <w:sz w:val="24"/>
          <w:szCs w:val="24"/>
        </w:rPr>
        <w:t>We</w:t>
      </w:r>
      <w:r>
        <w:rPr>
          <w:rFonts w:ascii="Garamond" w:hAnsi="Garamond" w:cs="Garamond"/>
          <w:spacing w:val="-9"/>
          <w:sz w:val="24"/>
          <w:szCs w:val="24"/>
        </w:rPr>
        <w:t xml:space="preserve"> </w:t>
      </w:r>
      <w:r>
        <w:rPr>
          <w:rFonts w:ascii="Garamond" w:hAnsi="Garamond" w:cs="Garamond"/>
          <w:sz w:val="24"/>
          <w:szCs w:val="24"/>
        </w:rPr>
        <w:t>appreciate</w:t>
      </w:r>
      <w:r>
        <w:rPr>
          <w:rFonts w:ascii="Garamond" w:hAnsi="Garamond" w:cs="Garamond"/>
          <w:spacing w:val="-7"/>
          <w:sz w:val="24"/>
          <w:szCs w:val="24"/>
        </w:rPr>
        <w:t xml:space="preserve"> </w:t>
      </w:r>
      <w:r>
        <w:rPr>
          <w:rFonts w:ascii="Garamond" w:hAnsi="Garamond" w:cs="Garamond"/>
          <w:sz w:val="24"/>
          <w:szCs w:val="24"/>
        </w:rPr>
        <w:t>the</w:t>
      </w:r>
      <w:r>
        <w:rPr>
          <w:rFonts w:ascii="Garamond" w:hAnsi="Garamond" w:cs="Garamond"/>
          <w:spacing w:val="-12"/>
          <w:sz w:val="24"/>
          <w:szCs w:val="24"/>
        </w:rPr>
        <w:t xml:space="preserve"> </w:t>
      </w:r>
      <w:r>
        <w:rPr>
          <w:rFonts w:ascii="Garamond" w:hAnsi="Garamond" w:cs="Garamond"/>
          <w:sz w:val="24"/>
          <w:szCs w:val="24"/>
        </w:rPr>
        <w:t>chance</w:t>
      </w:r>
      <w:r>
        <w:rPr>
          <w:rFonts w:ascii="Garamond" w:hAnsi="Garamond" w:cs="Garamond"/>
          <w:spacing w:val="-12"/>
          <w:sz w:val="24"/>
          <w:szCs w:val="24"/>
        </w:rPr>
        <w:t xml:space="preserve"> </w:t>
      </w:r>
      <w:r>
        <w:rPr>
          <w:rFonts w:ascii="Garamond" w:hAnsi="Garamond" w:cs="Garamond"/>
          <w:sz w:val="24"/>
          <w:szCs w:val="24"/>
        </w:rPr>
        <w:t>to</w:t>
      </w:r>
      <w:r>
        <w:rPr>
          <w:rFonts w:ascii="Garamond" w:hAnsi="Garamond" w:cs="Garamond"/>
          <w:spacing w:val="-10"/>
          <w:sz w:val="24"/>
          <w:szCs w:val="24"/>
        </w:rPr>
        <w:t xml:space="preserve"> </w:t>
      </w:r>
      <w:r>
        <w:rPr>
          <w:rFonts w:ascii="Garamond" w:hAnsi="Garamond" w:cs="Garamond"/>
          <w:sz w:val="24"/>
          <w:szCs w:val="24"/>
        </w:rPr>
        <w:t>offer</w:t>
      </w:r>
      <w:r>
        <w:rPr>
          <w:rFonts w:ascii="Garamond" w:hAnsi="Garamond" w:cs="Garamond"/>
          <w:spacing w:val="-11"/>
          <w:sz w:val="24"/>
          <w:szCs w:val="24"/>
        </w:rPr>
        <w:t xml:space="preserve"> </w:t>
      </w:r>
      <w:r>
        <w:rPr>
          <w:rFonts w:ascii="Garamond" w:hAnsi="Garamond" w:cs="Garamond"/>
          <w:sz w:val="24"/>
          <w:szCs w:val="24"/>
        </w:rPr>
        <w:t>our</w:t>
      </w:r>
      <w:r>
        <w:rPr>
          <w:rFonts w:ascii="Garamond" w:hAnsi="Garamond" w:cs="Garamond"/>
          <w:spacing w:val="-9"/>
          <w:sz w:val="24"/>
          <w:szCs w:val="24"/>
        </w:rPr>
        <w:t xml:space="preserve"> </w:t>
      </w:r>
      <w:r>
        <w:rPr>
          <w:rFonts w:ascii="Garamond" w:hAnsi="Garamond" w:cs="Garamond"/>
          <w:sz w:val="24"/>
          <w:szCs w:val="24"/>
        </w:rPr>
        <w:t>thoughts</w:t>
      </w:r>
      <w:r>
        <w:rPr>
          <w:rFonts w:ascii="Garamond" w:hAnsi="Garamond" w:cs="Garamond"/>
          <w:spacing w:val="-9"/>
          <w:sz w:val="24"/>
          <w:szCs w:val="24"/>
        </w:rPr>
        <w:t xml:space="preserve"> </w:t>
      </w:r>
      <w:r>
        <w:rPr>
          <w:rFonts w:ascii="Garamond" w:hAnsi="Garamond" w:cs="Garamond"/>
          <w:sz w:val="24"/>
          <w:szCs w:val="24"/>
        </w:rPr>
        <w:t>on</w:t>
      </w:r>
      <w:r>
        <w:rPr>
          <w:rFonts w:ascii="Garamond" w:hAnsi="Garamond" w:cs="Garamond"/>
          <w:spacing w:val="-8"/>
          <w:sz w:val="24"/>
          <w:szCs w:val="24"/>
        </w:rPr>
        <w:t xml:space="preserve"> </w:t>
      </w:r>
      <w:r>
        <w:rPr>
          <w:rFonts w:ascii="Garamond" w:hAnsi="Garamond" w:cs="Garamond"/>
          <w:sz w:val="24"/>
          <w:szCs w:val="24"/>
        </w:rPr>
        <w:t>the</w:t>
      </w:r>
      <w:r>
        <w:rPr>
          <w:rFonts w:ascii="Garamond" w:hAnsi="Garamond" w:cs="Garamond"/>
          <w:spacing w:val="-7"/>
          <w:sz w:val="24"/>
          <w:szCs w:val="24"/>
        </w:rPr>
        <w:t xml:space="preserve"> </w:t>
      </w:r>
      <w:r>
        <w:rPr>
          <w:rFonts w:ascii="Garamond" w:hAnsi="Garamond" w:cs="Garamond"/>
          <w:sz w:val="24"/>
          <w:szCs w:val="24"/>
        </w:rPr>
        <w:t>1115</w:t>
      </w:r>
      <w:r>
        <w:rPr>
          <w:rFonts w:ascii="Garamond" w:hAnsi="Garamond" w:cs="Garamond"/>
          <w:spacing w:val="-10"/>
          <w:sz w:val="24"/>
          <w:szCs w:val="24"/>
        </w:rPr>
        <w:t xml:space="preserve"> </w:t>
      </w:r>
      <w:r>
        <w:rPr>
          <w:rFonts w:ascii="Garamond" w:hAnsi="Garamond" w:cs="Garamond"/>
          <w:sz w:val="24"/>
          <w:szCs w:val="24"/>
        </w:rPr>
        <w:t>waiver</w:t>
      </w:r>
      <w:r>
        <w:rPr>
          <w:rFonts w:ascii="Garamond" w:hAnsi="Garamond" w:cs="Garamond"/>
          <w:spacing w:val="-11"/>
          <w:sz w:val="24"/>
          <w:szCs w:val="24"/>
        </w:rPr>
        <w:t xml:space="preserve"> </w:t>
      </w:r>
      <w:r>
        <w:rPr>
          <w:rFonts w:ascii="Garamond" w:hAnsi="Garamond" w:cs="Garamond"/>
          <w:sz w:val="24"/>
          <w:szCs w:val="24"/>
        </w:rPr>
        <w:t>proposal</w:t>
      </w:r>
      <w:r>
        <w:rPr>
          <w:rFonts w:ascii="Garamond" w:hAnsi="Garamond" w:cs="Garamond"/>
          <w:spacing w:val="-8"/>
          <w:sz w:val="24"/>
          <w:szCs w:val="24"/>
        </w:rPr>
        <w:t xml:space="preserve"> </w:t>
      </w:r>
      <w:r>
        <w:rPr>
          <w:rFonts w:ascii="Garamond" w:hAnsi="Garamond" w:cs="Garamond"/>
          <w:sz w:val="24"/>
          <w:szCs w:val="24"/>
        </w:rPr>
        <w:t>and</w:t>
      </w:r>
      <w:r>
        <w:rPr>
          <w:rFonts w:ascii="Garamond" w:hAnsi="Garamond" w:cs="Garamond"/>
          <w:spacing w:val="-8"/>
          <w:sz w:val="24"/>
          <w:szCs w:val="24"/>
        </w:rPr>
        <w:t xml:space="preserve"> </w:t>
      </w:r>
      <w:r>
        <w:rPr>
          <w:rFonts w:ascii="Garamond" w:hAnsi="Garamond" w:cs="Garamond"/>
          <w:sz w:val="24"/>
          <w:szCs w:val="24"/>
        </w:rPr>
        <w:t>ask</w:t>
      </w:r>
      <w:r>
        <w:rPr>
          <w:rFonts w:ascii="Garamond" w:hAnsi="Garamond" w:cs="Garamond"/>
          <w:spacing w:val="-5"/>
          <w:sz w:val="24"/>
          <w:szCs w:val="24"/>
        </w:rPr>
        <w:t xml:space="preserve"> </w:t>
      </w:r>
      <w:r>
        <w:rPr>
          <w:rFonts w:ascii="Garamond" w:hAnsi="Garamond" w:cs="Garamond"/>
          <w:sz w:val="24"/>
          <w:szCs w:val="24"/>
        </w:rPr>
        <w:t>that</w:t>
      </w:r>
      <w:r>
        <w:rPr>
          <w:rFonts w:ascii="Garamond" w:hAnsi="Garamond" w:cs="Garamond"/>
          <w:spacing w:val="-11"/>
          <w:sz w:val="24"/>
          <w:szCs w:val="24"/>
        </w:rPr>
        <w:t xml:space="preserve"> </w:t>
      </w:r>
      <w:r>
        <w:rPr>
          <w:rFonts w:ascii="Garamond" w:hAnsi="Garamond" w:cs="Garamond"/>
          <w:sz w:val="24"/>
          <w:szCs w:val="24"/>
        </w:rPr>
        <w:t>oral</w:t>
      </w:r>
      <w:r>
        <w:rPr>
          <w:rFonts w:ascii="Garamond" w:hAnsi="Garamond" w:cs="Garamond"/>
          <w:spacing w:val="-8"/>
          <w:sz w:val="24"/>
          <w:szCs w:val="24"/>
        </w:rPr>
        <w:t xml:space="preserve"> </w:t>
      </w:r>
      <w:r>
        <w:rPr>
          <w:rFonts w:ascii="Garamond" w:hAnsi="Garamond" w:cs="Garamond"/>
          <w:sz w:val="24"/>
          <w:szCs w:val="24"/>
        </w:rPr>
        <w:t>health be more prominently featured in the final version of the proposal. Fully integrated and coordinated care cannot exclude oral health, and MassHealth has the significant opportunity to lead the dental delivery</w:t>
      </w:r>
      <w:r>
        <w:rPr>
          <w:rFonts w:ascii="Garamond" w:hAnsi="Garamond" w:cs="Garamond"/>
          <w:spacing w:val="-12"/>
          <w:sz w:val="24"/>
          <w:szCs w:val="24"/>
        </w:rPr>
        <w:t xml:space="preserve"> </w:t>
      </w:r>
      <w:r>
        <w:rPr>
          <w:rFonts w:ascii="Garamond" w:hAnsi="Garamond" w:cs="Garamond"/>
          <w:sz w:val="24"/>
          <w:szCs w:val="24"/>
        </w:rPr>
        <w:t>system</w:t>
      </w:r>
      <w:r>
        <w:rPr>
          <w:rFonts w:ascii="Garamond" w:hAnsi="Garamond" w:cs="Garamond"/>
          <w:spacing w:val="-16"/>
          <w:sz w:val="24"/>
          <w:szCs w:val="24"/>
        </w:rPr>
        <w:t xml:space="preserve"> </w:t>
      </w:r>
      <w:r>
        <w:rPr>
          <w:rFonts w:ascii="Garamond" w:hAnsi="Garamond" w:cs="Garamond"/>
          <w:sz w:val="24"/>
          <w:szCs w:val="24"/>
        </w:rPr>
        <w:t>to</w:t>
      </w:r>
      <w:r>
        <w:rPr>
          <w:rFonts w:ascii="Garamond" w:hAnsi="Garamond" w:cs="Garamond"/>
          <w:spacing w:val="-13"/>
          <w:sz w:val="24"/>
          <w:szCs w:val="24"/>
        </w:rPr>
        <w:t xml:space="preserve"> </w:t>
      </w:r>
      <w:r>
        <w:rPr>
          <w:rFonts w:ascii="Garamond" w:hAnsi="Garamond" w:cs="Garamond"/>
          <w:sz w:val="24"/>
          <w:szCs w:val="24"/>
        </w:rPr>
        <w:t>be</w:t>
      </w:r>
      <w:r>
        <w:rPr>
          <w:rFonts w:ascii="Garamond" w:hAnsi="Garamond" w:cs="Garamond"/>
          <w:spacing w:val="-15"/>
          <w:sz w:val="24"/>
          <w:szCs w:val="24"/>
        </w:rPr>
        <w:t xml:space="preserve"> </w:t>
      </w:r>
      <w:r>
        <w:rPr>
          <w:rFonts w:ascii="Garamond" w:hAnsi="Garamond" w:cs="Garamond"/>
          <w:sz w:val="24"/>
          <w:szCs w:val="24"/>
        </w:rPr>
        <w:t>more</w:t>
      </w:r>
      <w:r>
        <w:rPr>
          <w:rFonts w:ascii="Garamond" w:hAnsi="Garamond" w:cs="Garamond"/>
          <w:spacing w:val="-12"/>
          <w:sz w:val="24"/>
          <w:szCs w:val="24"/>
        </w:rPr>
        <w:t xml:space="preserve"> </w:t>
      </w:r>
      <w:r>
        <w:rPr>
          <w:rFonts w:ascii="Garamond" w:hAnsi="Garamond" w:cs="Garamond"/>
          <w:sz w:val="24"/>
          <w:szCs w:val="24"/>
        </w:rPr>
        <w:t>patient-centered,</w:t>
      </w:r>
      <w:r>
        <w:rPr>
          <w:rFonts w:ascii="Garamond" w:hAnsi="Garamond" w:cs="Garamond"/>
          <w:spacing w:val="-15"/>
          <w:sz w:val="24"/>
          <w:szCs w:val="24"/>
        </w:rPr>
        <w:t xml:space="preserve"> </w:t>
      </w:r>
      <w:r>
        <w:rPr>
          <w:rFonts w:ascii="Garamond" w:hAnsi="Garamond" w:cs="Garamond"/>
          <w:sz w:val="24"/>
          <w:szCs w:val="24"/>
        </w:rPr>
        <w:t>accountable,</w:t>
      </w:r>
      <w:r>
        <w:rPr>
          <w:rFonts w:ascii="Garamond" w:hAnsi="Garamond" w:cs="Garamond"/>
          <w:spacing w:val="-15"/>
          <w:sz w:val="24"/>
          <w:szCs w:val="24"/>
        </w:rPr>
        <w:t xml:space="preserve"> </w:t>
      </w:r>
      <w:r>
        <w:rPr>
          <w:rFonts w:ascii="Garamond" w:hAnsi="Garamond" w:cs="Garamond"/>
          <w:sz w:val="24"/>
          <w:szCs w:val="24"/>
        </w:rPr>
        <w:t>and</w:t>
      </w:r>
      <w:r>
        <w:rPr>
          <w:rFonts w:ascii="Garamond" w:hAnsi="Garamond" w:cs="Garamond"/>
          <w:spacing w:val="-16"/>
          <w:sz w:val="24"/>
          <w:szCs w:val="24"/>
        </w:rPr>
        <w:t xml:space="preserve"> </w:t>
      </w:r>
      <w:r>
        <w:rPr>
          <w:rFonts w:ascii="Garamond" w:hAnsi="Garamond" w:cs="Garamond"/>
          <w:sz w:val="24"/>
          <w:szCs w:val="24"/>
        </w:rPr>
        <w:t>value-driven.</w:t>
      </w:r>
      <w:r>
        <w:rPr>
          <w:rFonts w:ascii="Garamond" w:hAnsi="Garamond" w:cs="Garamond"/>
          <w:spacing w:val="-17"/>
          <w:sz w:val="24"/>
          <w:szCs w:val="24"/>
        </w:rPr>
        <w:t xml:space="preserve"> </w:t>
      </w:r>
      <w:r>
        <w:rPr>
          <w:rFonts w:ascii="Garamond" w:hAnsi="Garamond" w:cs="Garamond"/>
          <w:sz w:val="24"/>
          <w:szCs w:val="24"/>
        </w:rPr>
        <w:t>We</w:t>
      </w:r>
      <w:r>
        <w:rPr>
          <w:rFonts w:ascii="Garamond" w:hAnsi="Garamond" w:cs="Garamond"/>
          <w:spacing w:val="-12"/>
          <w:sz w:val="24"/>
          <w:szCs w:val="24"/>
        </w:rPr>
        <w:t xml:space="preserve"> </w:t>
      </w:r>
      <w:r>
        <w:rPr>
          <w:rFonts w:ascii="Garamond" w:hAnsi="Garamond" w:cs="Garamond"/>
          <w:sz w:val="24"/>
          <w:szCs w:val="24"/>
        </w:rPr>
        <w:t>certainly</w:t>
      </w:r>
      <w:r>
        <w:rPr>
          <w:rFonts w:ascii="Garamond" w:hAnsi="Garamond" w:cs="Garamond"/>
          <w:spacing w:val="-12"/>
          <w:sz w:val="24"/>
          <w:szCs w:val="24"/>
        </w:rPr>
        <w:t xml:space="preserve"> </w:t>
      </w:r>
      <w:r>
        <w:rPr>
          <w:rFonts w:ascii="Garamond" w:hAnsi="Garamond" w:cs="Garamond"/>
          <w:sz w:val="24"/>
          <w:szCs w:val="24"/>
        </w:rPr>
        <w:t>understand that</w:t>
      </w:r>
      <w:r>
        <w:rPr>
          <w:rFonts w:ascii="Garamond" w:hAnsi="Garamond" w:cs="Garamond"/>
          <w:spacing w:val="-10"/>
          <w:sz w:val="24"/>
          <w:szCs w:val="24"/>
        </w:rPr>
        <w:t xml:space="preserve"> </w:t>
      </w:r>
      <w:r>
        <w:rPr>
          <w:rFonts w:ascii="Garamond" w:hAnsi="Garamond" w:cs="Garamond"/>
          <w:sz w:val="24"/>
          <w:szCs w:val="24"/>
        </w:rPr>
        <w:t>the</w:t>
      </w:r>
      <w:r>
        <w:rPr>
          <w:rFonts w:ascii="Garamond" w:hAnsi="Garamond" w:cs="Garamond"/>
          <w:spacing w:val="-6"/>
          <w:sz w:val="24"/>
          <w:szCs w:val="24"/>
        </w:rPr>
        <w:t xml:space="preserve"> </w:t>
      </w:r>
      <w:r>
        <w:rPr>
          <w:rFonts w:ascii="Garamond" w:hAnsi="Garamond" w:cs="Garamond"/>
          <w:sz w:val="24"/>
          <w:szCs w:val="24"/>
        </w:rPr>
        <w:t>integration</w:t>
      </w:r>
      <w:r>
        <w:rPr>
          <w:rFonts w:ascii="Garamond" w:hAnsi="Garamond" w:cs="Garamond"/>
          <w:spacing w:val="-7"/>
          <w:sz w:val="24"/>
          <w:szCs w:val="24"/>
        </w:rPr>
        <w:t xml:space="preserve"> </w:t>
      </w:r>
      <w:r>
        <w:rPr>
          <w:rFonts w:ascii="Garamond" w:hAnsi="Garamond" w:cs="Garamond"/>
          <w:sz w:val="24"/>
          <w:szCs w:val="24"/>
        </w:rPr>
        <w:t>of</w:t>
      </w:r>
      <w:r>
        <w:rPr>
          <w:rFonts w:ascii="Garamond" w:hAnsi="Garamond" w:cs="Garamond"/>
          <w:spacing w:val="-10"/>
          <w:sz w:val="24"/>
          <w:szCs w:val="24"/>
        </w:rPr>
        <w:t xml:space="preserve"> </w:t>
      </w:r>
      <w:r>
        <w:rPr>
          <w:rFonts w:ascii="Garamond" w:hAnsi="Garamond" w:cs="Garamond"/>
          <w:sz w:val="24"/>
          <w:szCs w:val="24"/>
        </w:rPr>
        <w:t>oral</w:t>
      </w:r>
      <w:r>
        <w:rPr>
          <w:rFonts w:ascii="Garamond" w:hAnsi="Garamond" w:cs="Garamond"/>
          <w:spacing w:val="-7"/>
          <w:sz w:val="24"/>
          <w:szCs w:val="24"/>
        </w:rPr>
        <w:t xml:space="preserve"> </w:t>
      </w:r>
      <w:r>
        <w:rPr>
          <w:rFonts w:ascii="Garamond" w:hAnsi="Garamond" w:cs="Garamond"/>
          <w:sz w:val="24"/>
          <w:szCs w:val="24"/>
        </w:rPr>
        <w:t>health</w:t>
      </w:r>
      <w:r>
        <w:rPr>
          <w:rFonts w:ascii="Garamond" w:hAnsi="Garamond" w:cs="Garamond"/>
          <w:spacing w:val="-7"/>
          <w:sz w:val="24"/>
          <w:szCs w:val="24"/>
        </w:rPr>
        <w:t xml:space="preserve"> </w:t>
      </w:r>
      <w:r>
        <w:rPr>
          <w:rFonts w:ascii="Garamond" w:hAnsi="Garamond" w:cs="Garamond"/>
          <w:sz w:val="24"/>
          <w:szCs w:val="24"/>
        </w:rPr>
        <w:t>into</w:t>
      </w:r>
      <w:r>
        <w:rPr>
          <w:rFonts w:ascii="Garamond" w:hAnsi="Garamond" w:cs="Garamond"/>
          <w:spacing w:val="-7"/>
          <w:sz w:val="24"/>
          <w:szCs w:val="24"/>
        </w:rPr>
        <w:t xml:space="preserve"> </w:t>
      </w:r>
      <w:r>
        <w:rPr>
          <w:rFonts w:ascii="Garamond" w:hAnsi="Garamond" w:cs="Garamond"/>
          <w:sz w:val="24"/>
          <w:szCs w:val="24"/>
        </w:rPr>
        <w:t>the</w:t>
      </w:r>
      <w:r>
        <w:rPr>
          <w:rFonts w:ascii="Garamond" w:hAnsi="Garamond" w:cs="Garamond"/>
          <w:spacing w:val="-6"/>
          <w:sz w:val="24"/>
          <w:szCs w:val="24"/>
        </w:rPr>
        <w:t xml:space="preserve"> </w:t>
      </w:r>
      <w:r>
        <w:rPr>
          <w:rFonts w:ascii="Garamond" w:hAnsi="Garamond" w:cs="Garamond"/>
          <w:sz w:val="24"/>
          <w:szCs w:val="24"/>
        </w:rPr>
        <w:t>rest</w:t>
      </w:r>
      <w:r>
        <w:rPr>
          <w:rFonts w:ascii="Garamond" w:hAnsi="Garamond" w:cs="Garamond"/>
          <w:spacing w:val="-7"/>
          <w:sz w:val="24"/>
          <w:szCs w:val="24"/>
        </w:rPr>
        <w:t xml:space="preserve"> </w:t>
      </w:r>
      <w:r>
        <w:rPr>
          <w:rFonts w:ascii="Garamond" w:hAnsi="Garamond" w:cs="Garamond"/>
          <w:sz w:val="24"/>
          <w:szCs w:val="24"/>
        </w:rPr>
        <w:t>of</w:t>
      </w:r>
      <w:r>
        <w:rPr>
          <w:rFonts w:ascii="Garamond" w:hAnsi="Garamond" w:cs="Garamond"/>
          <w:spacing w:val="-10"/>
          <w:sz w:val="24"/>
          <w:szCs w:val="24"/>
        </w:rPr>
        <w:t xml:space="preserve"> </w:t>
      </w:r>
      <w:r>
        <w:rPr>
          <w:rFonts w:ascii="Garamond" w:hAnsi="Garamond" w:cs="Garamond"/>
          <w:sz w:val="24"/>
          <w:szCs w:val="24"/>
        </w:rPr>
        <w:t>health</w:t>
      </w:r>
      <w:r>
        <w:rPr>
          <w:rFonts w:ascii="Garamond" w:hAnsi="Garamond" w:cs="Garamond"/>
          <w:spacing w:val="-7"/>
          <w:sz w:val="24"/>
          <w:szCs w:val="24"/>
        </w:rPr>
        <w:t xml:space="preserve"> </w:t>
      </w:r>
      <w:r>
        <w:rPr>
          <w:rFonts w:ascii="Garamond" w:hAnsi="Garamond" w:cs="Garamond"/>
          <w:sz w:val="24"/>
          <w:szCs w:val="24"/>
        </w:rPr>
        <w:t>care</w:t>
      </w:r>
      <w:r>
        <w:rPr>
          <w:rFonts w:ascii="Garamond" w:hAnsi="Garamond" w:cs="Garamond"/>
          <w:spacing w:val="-6"/>
          <w:sz w:val="24"/>
          <w:szCs w:val="24"/>
        </w:rPr>
        <w:t xml:space="preserve"> </w:t>
      </w:r>
      <w:r>
        <w:rPr>
          <w:rFonts w:ascii="Garamond" w:hAnsi="Garamond" w:cs="Garamond"/>
          <w:sz w:val="24"/>
          <w:szCs w:val="24"/>
        </w:rPr>
        <w:t>is</w:t>
      </w:r>
      <w:r>
        <w:rPr>
          <w:rFonts w:ascii="Garamond" w:hAnsi="Garamond" w:cs="Garamond"/>
          <w:spacing w:val="-8"/>
          <w:sz w:val="24"/>
          <w:szCs w:val="24"/>
        </w:rPr>
        <w:t xml:space="preserve"> </w:t>
      </w:r>
      <w:r>
        <w:rPr>
          <w:rFonts w:ascii="Garamond" w:hAnsi="Garamond" w:cs="Garamond"/>
          <w:sz w:val="24"/>
          <w:szCs w:val="24"/>
        </w:rPr>
        <w:t>a</w:t>
      </w:r>
      <w:r>
        <w:rPr>
          <w:rFonts w:ascii="Garamond" w:hAnsi="Garamond" w:cs="Garamond"/>
          <w:spacing w:val="-6"/>
          <w:sz w:val="24"/>
          <w:szCs w:val="24"/>
        </w:rPr>
        <w:t xml:space="preserve"> </w:t>
      </w:r>
      <w:r>
        <w:rPr>
          <w:rFonts w:ascii="Garamond" w:hAnsi="Garamond" w:cs="Garamond"/>
          <w:sz w:val="24"/>
          <w:szCs w:val="24"/>
        </w:rPr>
        <w:t>daunting</w:t>
      </w:r>
      <w:r>
        <w:rPr>
          <w:rFonts w:ascii="Garamond" w:hAnsi="Garamond" w:cs="Garamond"/>
          <w:spacing w:val="-6"/>
          <w:sz w:val="24"/>
          <w:szCs w:val="24"/>
        </w:rPr>
        <w:t xml:space="preserve"> </w:t>
      </w:r>
      <w:r>
        <w:rPr>
          <w:rFonts w:ascii="Garamond" w:hAnsi="Garamond" w:cs="Garamond"/>
          <w:sz w:val="24"/>
          <w:szCs w:val="24"/>
        </w:rPr>
        <w:t>task</w:t>
      </w:r>
      <w:r>
        <w:rPr>
          <w:rFonts w:ascii="Garamond" w:hAnsi="Garamond" w:cs="Garamond"/>
          <w:spacing w:val="-9"/>
          <w:sz w:val="24"/>
          <w:szCs w:val="24"/>
        </w:rPr>
        <w:t xml:space="preserve"> </w:t>
      </w:r>
      <w:r>
        <w:rPr>
          <w:rFonts w:ascii="Garamond" w:hAnsi="Garamond" w:cs="Garamond"/>
          <w:sz w:val="24"/>
          <w:szCs w:val="24"/>
        </w:rPr>
        <w:t>–</w:t>
      </w:r>
      <w:r>
        <w:rPr>
          <w:rFonts w:ascii="Garamond" w:hAnsi="Garamond" w:cs="Garamond"/>
          <w:spacing w:val="-7"/>
          <w:sz w:val="24"/>
          <w:szCs w:val="24"/>
        </w:rPr>
        <w:t xml:space="preserve"> </w:t>
      </w:r>
      <w:r>
        <w:rPr>
          <w:rFonts w:ascii="Garamond" w:hAnsi="Garamond" w:cs="Garamond"/>
          <w:sz w:val="24"/>
          <w:szCs w:val="24"/>
        </w:rPr>
        <w:t>one</w:t>
      </w:r>
      <w:r>
        <w:rPr>
          <w:rFonts w:ascii="Garamond" w:hAnsi="Garamond" w:cs="Garamond"/>
          <w:spacing w:val="-4"/>
          <w:sz w:val="24"/>
          <w:szCs w:val="24"/>
        </w:rPr>
        <w:t xml:space="preserve"> </w:t>
      </w:r>
      <w:r>
        <w:rPr>
          <w:rFonts w:ascii="Garamond" w:hAnsi="Garamond" w:cs="Garamond"/>
          <w:sz w:val="24"/>
          <w:szCs w:val="24"/>
        </w:rPr>
        <w:t>that</w:t>
      </w:r>
      <w:r>
        <w:rPr>
          <w:rFonts w:ascii="Garamond" w:hAnsi="Garamond" w:cs="Garamond"/>
          <w:spacing w:val="-10"/>
          <w:sz w:val="24"/>
          <w:szCs w:val="24"/>
        </w:rPr>
        <w:t xml:space="preserve"> </w:t>
      </w:r>
      <w:r>
        <w:rPr>
          <w:rFonts w:ascii="Garamond" w:hAnsi="Garamond" w:cs="Garamond"/>
          <w:sz w:val="24"/>
          <w:szCs w:val="24"/>
        </w:rPr>
        <w:t>will</w:t>
      </w:r>
      <w:r>
        <w:rPr>
          <w:rFonts w:ascii="Garamond" w:hAnsi="Garamond" w:cs="Garamond"/>
          <w:spacing w:val="-7"/>
          <w:sz w:val="24"/>
          <w:szCs w:val="24"/>
        </w:rPr>
        <w:t xml:space="preserve"> </w:t>
      </w:r>
      <w:r>
        <w:rPr>
          <w:rFonts w:ascii="Garamond" w:hAnsi="Garamond" w:cs="Garamond"/>
          <w:sz w:val="24"/>
          <w:szCs w:val="24"/>
        </w:rPr>
        <w:t>require much thoughtfulness in both planning and implementation. We thank you for your consideration and</w:t>
      </w:r>
      <w:r>
        <w:rPr>
          <w:rFonts w:ascii="Garamond" w:hAnsi="Garamond" w:cs="Garamond"/>
          <w:spacing w:val="-9"/>
          <w:sz w:val="24"/>
          <w:szCs w:val="24"/>
        </w:rPr>
        <w:t xml:space="preserve"> </w:t>
      </w:r>
      <w:r>
        <w:rPr>
          <w:rFonts w:ascii="Garamond" w:hAnsi="Garamond" w:cs="Garamond"/>
          <w:sz w:val="24"/>
          <w:szCs w:val="24"/>
        </w:rPr>
        <w:t>your</w:t>
      </w:r>
      <w:r>
        <w:rPr>
          <w:rFonts w:ascii="Garamond" w:hAnsi="Garamond" w:cs="Garamond"/>
          <w:spacing w:val="-11"/>
          <w:sz w:val="24"/>
          <w:szCs w:val="24"/>
        </w:rPr>
        <w:t xml:space="preserve"> </w:t>
      </w:r>
      <w:r>
        <w:rPr>
          <w:rFonts w:ascii="Garamond" w:hAnsi="Garamond" w:cs="Garamond"/>
          <w:sz w:val="24"/>
          <w:szCs w:val="24"/>
        </w:rPr>
        <w:t>leadership</w:t>
      </w:r>
      <w:r>
        <w:rPr>
          <w:rFonts w:ascii="Garamond" w:hAnsi="Garamond" w:cs="Garamond"/>
          <w:spacing w:val="-11"/>
          <w:sz w:val="24"/>
          <w:szCs w:val="24"/>
        </w:rPr>
        <w:t xml:space="preserve"> </w:t>
      </w:r>
      <w:r>
        <w:rPr>
          <w:rFonts w:ascii="Garamond" w:hAnsi="Garamond" w:cs="Garamond"/>
          <w:sz w:val="24"/>
          <w:szCs w:val="24"/>
        </w:rPr>
        <w:t>and</w:t>
      </w:r>
      <w:r>
        <w:rPr>
          <w:rFonts w:ascii="Garamond" w:hAnsi="Garamond" w:cs="Garamond"/>
          <w:spacing w:val="-11"/>
          <w:sz w:val="24"/>
          <w:szCs w:val="24"/>
        </w:rPr>
        <w:t xml:space="preserve"> </w:t>
      </w:r>
      <w:r>
        <w:rPr>
          <w:rFonts w:ascii="Garamond" w:hAnsi="Garamond" w:cs="Garamond"/>
          <w:sz w:val="24"/>
          <w:szCs w:val="24"/>
        </w:rPr>
        <w:t>are</w:t>
      </w:r>
      <w:r>
        <w:rPr>
          <w:rFonts w:ascii="Garamond" w:hAnsi="Garamond" w:cs="Garamond"/>
          <w:spacing w:val="-8"/>
          <w:sz w:val="24"/>
          <w:szCs w:val="24"/>
        </w:rPr>
        <w:t xml:space="preserve"> </w:t>
      </w:r>
      <w:r>
        <w:rPr>
          <w:rFonts w:ascii="Garamond" w:hAnsi="Garamond" w:cs="Garamond"/>
          <w:sz w:val="24"/>
          <w:szCs w:val="24"/>
        </w:rPr>
        <w:t>eager</w:t>
      </w:r>
      <w:r>
        <w:rPr>
          <w:rFonts w:ascii="Garamond" w:hAnsi="Garamond" w:cs="Garamond"/>
          <w:spacing w:val="-10"/>
          <w:sz w:val="24"/>
          <w:szCs w:val="24"/>
        </w:rPr>
        <w:t xml:space="preserve"> </w:t>
      </w:r>
      <w:r>
        <w:rPr>
          <w:rFonts w:ascii="Garamond" w:hAnsi="Garamond" w:cs="Garamond"/>
          <w:sz w:val="24"/>
          <w:szCs w:val="24"/>
        </w:rPr>
        <w:t>to</w:t>
      </w:r>
      <w:r>
        <w:rPr>
          <w:rFonts w:ascii="Garamond" w:hAnsi="Garamond" w:cs="Garamond"/>
          <w:spacing w:val="-11"/>
          <w:sz w:val="24"/>
          <w:szCs w:val="24"/>
        </w:rPr>
        <w:t xml:space="preserve"> </w:t>
      </w:r>
      <w:r>
        <w:rPr>
          <w:rFonts w:ascii="Garamond" w:hAnsi="Garamond" w:cs="Garamond"/>
          <w:sz w:val="24"/>
          <w:szCs w:val="24"/>
        </w:rPr>
        <w:t>collaborate</w:t>
      </w:r>
      <w:r>
        <w:rPr>
          <w:rFonts w:ascii="Garamond" w:hAnsi="Garamond" w:cs="Garamond"/>
          <w:spacing w:val="-10"/>
          <w:sz w:val="24"/>
          <w:szCs w:val="24"/>
        </w:rPr>
        <w:t xml:space="preserve"> </w:t>
      </w:r>
      <w:r>
        <w:rPr>
          <w:rFonts w:ascii="Garamond" w:hAnsi="Garamond" w:cs="Garamond"/>
          <w:sz w:val="24"/>
          <w:szCs w:val="24"/>
        </w:rPr>
        <w:t>with</w:t>
      </w:r>
      <w:r>
        <w:rPr>
          <w:rFonts w:ascii="Garamond" w:hAnsi="Garamond" w:cs="Garamond"/>
          <w:spacing w:val="-13"/>
          <w:sz w:val="24"/>
          <w:szCs w:val="24"/>
        </w:rPr>
        <w:t xml:space="preserve"> </w:t>
      </w:r>
      <w:r>
        <w:rPr>
          <w:rFonts w:ascii="Garamond" w:hAnsi="Garamond" w:cs="Garamond"/>
          <w:sz w:val="24"/>
          <w:szCs w:val="24"/>
        </w:rPr>
        <w:t>MassHealth</w:t>
      </w:r>
      <w:r>
        <w:rPr>
          <w:rFonts w:ascii="Garamond" w:hAnsi="Garamond" w:cs="Garamond"/>
          <w:spacing w:val="-11"/>
          <w:sz w:val="24"/>
          <w:szCs w:val="24"/>
        </w:rPr>
        <w:t xml:space="preserve"> </w:t>
      </w:r>
      <w:r>
        <w:rPr>
          <w:rFonts w:ascii="Garamond" w:hAnsi="Garamond" w:cs="Garamond"/>
          <w:sz w:val="24"/>
          <w:szCs w:val="24"/>
        </w:rPr>
        <w:t>to</w:t>
      </w:r>
      <w:r>
        <w:rPr>
          <w:rFonts w:ascii="Garamond" w:hAnsi="Garamond" w:cs="Garamond"/>
          <w:spacing w:val="-11"/>
          <w:sz w:val="24"/>
          <w:szCs w:val="24"/>
        </w:rPr>
        <w:t xml:space="preserve"> </w:t>
      </w:r>
      <w:r>
        <w:rPr>
          <w:rFonts w:ascii="Garamond" w:hAnsi="Garamond" w:cs="Garamond"/>
          <w:sz w:val="24"/>
          <w:szCs w:val="24"/>
        </w:rPr>
        <w:t>ensure</w:t>
      </w:r>
      <w:r>
        <w:rPr>
          <w:rFonts w:ascii="Garamond" w:hAnsi="Garamond" w:cs="Garamond"/>
          <w:spacing w:val="-8"/>
          <w:sz w:val="24"/>
          <w:szCs w:val="24"/>
        </w:rPr>
        <w:t xml:space="preserve"> </w:t>
      </w:r>
      <w:r>
        <w:rPr>
          <w:rFonts w:ascii="Garamond" w:hAnsi="Garamond" w:cs="Garamond"/>
          <w:sz w:val="24"/>
          <w:szCs w:val="24"/>
        </w:rPr>
        <w:t>members</w:t>
      </w:r>
      <w:r>
        <w:rPr>
          <w:rFonts w:ascii="Garamond" w:hAnsi="Garamond" w:cs="Garamond"/>
          <w:spacing w:val="-11"/>
          <w:sz w:val="24"/>
          <w:szCs w:val="24"/>
        </w:rPr>
        <w:t xml:space="preserve"> </w:t>
      </w:r>
      <w:r>
        <w:rPr>
          <w:rFonts w:ascii="Garamond" w:hAnsi="Garamond" w:cs="Garamond"/>
          <w:sz w:val="24"/>
          <w:szCs w:val="24"/>
        </w:rPr>
        <w:t>have</w:t>
      </w:r>
      <w:r>
        <w:rPr>
          <w:rFonts w:ascii="Garamond" w:hAnsi="Garamond" w:cs="Garamond"/>
          <w:spacing w:val="-10"/>
          <w:sz w:val="24"/>
          <w:szCs w:val="24"/>
        </w:rPr>
        <w:t xml:space="preserve"> </w:t>
      </w:r>
      <w:r>
        <w:rPr>
          <w:rFonts w:ascii="Garamond" w:hAnsi="Garamond" w:cs="Garamond"/>
          <w:sz w:val="24"/>
          <w:szCs w:val="24"/>
        </w:rPr>
        <w:t>access</w:t>
      </w:r>
      <w:r>
        <w:rPr>
          <w:rFonts w:ascii="Garamond" w:hAnsi="Garamond" w:cs="Garamond"/>
          <w:spacing w:val="-8"/>
          <w:sz w:val="24"/>
          <w:szCs w:val="24"/>
        </w:rPr>
        <w:t xml:space="preserve"> </w:t>
      </w:r>
      <w:r>
        <w:rPr>
          <w:rFonts w:ascii="Garamond" w:hAnsi="Garamond" w:cs="Garamond"/>
          <w:sz w:val="24"/>
          <w:szCs w:val="24"/>
        </w:rPr>
        <w:t>to truly</w:t>
      </w:r>
      <w:r>
        <w:rPr>
          <w:rFonts w:ascii="Garamond" w:hAnsi="Garamond" w:cs="Garamond"/>
          <w:spacing w:val="-10"/>
          <w:sz w:val="24"/>
          <w:szCs w:val="24"/>
        </w:rPr>
        <w:t xml:space="preserve"> </w:t>
      </w:r>
      <w:r>
        <w:rPr>
          <w:rFonts w:ascii="Garamond" w:hAnsi="Garamond" w:cs="Garamond"/>
          <w:sz w:val="24"/>
          <w:szCs w:val="24"/>
        </w:rPr>
        <w:t>whole-person</w:t>
      </w:r>
      <w:r>
        <w:rPr>
          <w:rFonts w:ascii="Garamond" w:hAnsi="Garamond" w:cs="Garamond"/>
          <w:spacing w:val="-11"/>
          <w:sz w:val="24"/>
          <w:szCs w:val="24"/>
        </w:rPr>
        <w:t xml:space="preserve"> </w:t>
      </w:r>
      <w:r>
        <w:rPr>
          <w:rFonts w:ascii="Garamond" w:hAnsi="Garamond" w:cs="Garamond"/>
          <w:sz w:val="24"/>
          <w:szCs w:val="24"/>
        </w:rPr>
        <w:t>care.</w:t>
      </w:r>
      <w:r>
        <w:rPr>
          <w:rFonts w:ascii="Garamond" w:hAnsi="Garamond" w:cs="Garamond"/>
          <w:spacing w:val="-10"/>
          <w:sz w:val="24"/>
          <w:szCs w:val="24"/>
        </w:rPr>
        <w:t xml:space="preserve"> </w:t>
      </w:r>
      <w:r>
        <w:rPr>
          <w:rFonts w:ascii="Garamond" w:hAnsi="Garamond" w:cs="Garamond"/>
          <w:sz w:val="24"/>
          <w:szCs w:val="24"/>
        </w:rPr>
        <w:t>If</w:t>
      </w:r>
      <w:r>
        <w:rPr>
          <w:rFonts w:ascii="Garamond" w:hAnsi="Garamond" w:cs="Garamond"/>
          <w:spacing w:val="-14"/>
          <w:sz w:val="24"/>
          <w:szCs w:val="24"/>
        </w:rPr>
        <w:t xml:space="preserve"> </w:t>
      </w:r>
      <w:r>
        <w:rPr>
          <w:rFonts w:ascii="Garamond" w:hAnsi="Garamond" w:cs="Garamond"/>
          <w:sz w:val="24"/>
          <w:szCs w:val="24"/>
        </w:rPr>
        <w:t>you</w:t>
      </w:r>
      <w:r>
        <w:rPr>
          <w:rFonts w:ascii="Garamond" w:hAnsi="Garamond" w:cs="Garamond"/>
          <w:spacing w:val="-11"/>
          <w:sz w:val="24"/>
          <w:szCs w:val="24"/>
        </w:rPr>
        <w:t xml:space="preserve"> </w:t>
      </w:r>
      <w:r>
        <w:rPr>
          <w:rFonts w:ascii="Garamond" w:hAnsi="Garamond" w:cs="Garamond"/>
          <w:sz w:val="24"/>
          <w:szCs w:val="24"/>
        </w:rPr>
        <w:t>have</w:t>
      </w:r>
      <w:r>
        <w:rPr>
          <w:rFonts w:ascii="Garamond" w:hAnsi="Garamond" w:cs="Garamond"/>
          <w:spacing w:val="-10"/>
          <w:sz w:val="24"/>
          <w:szCs w:val="24"/>
        </w:rPr>
        <w:t xml:space="preserve"> </w:t>
      </w:r>
      <w:r>
        <w:rPr>
          <w:rFonts w:ascii="Garamond" w:hAnsi="Garamond" w:cs="Garamond"/>
          <w:sz w:val="24"/>
          <w:szCs w:val="24"/>
        </w:rPr>
        <w:t>questions</w:t>
      </w:r>
      <w:r>
        <w:rPr>
          <w:rFonts w:ascii="Garamond" w:hAnsi="Garamond" w:cs="Garamond"/>
          <w:spacing w:val="-12"/>
          <w:sz w:val="24"/>
          <w:szCs w:val="24"/>
        </w:rPr>
        <w:t xml:space="preserve"> </w:t>
      </w:r>
      <w:r>
        <w:rPr>
          <w:rFonts w:ascii="Garamond" w:hAnsi="Garamond" w:cs="Garamond"/>
          <w:sz w:val="24"/>
          <w:szCs w:val="24"/>
        </w:rPr>
        <w:t>or</w:t>
      </w:r>
      <w:r>
        <w:rPr>
          <w:rFonts w:ascii="Garamond" w:hAnsi="Garamond" w:cs="Garamond"/>
          <w:spacing w:val="-12"/>
          <w:sz w:val="24"/>
          <w:szCs w:val="24"/>
        </w:rPr>
        <w:t xml:space="preserve"> </w:t>
      </w:r>
      <w:r>
        <w:rPr>
          <w:rFonts w:ascii="Garamond" w:hAnsi="Garamond" w:cs="Garamond"/>
          <w:sz w:val="24"/>
          <w:szCs w:val="24"/>
        </w:rPr>
        <w:t>would</w:t>
      </w:r>
      <w:r>
        <w:rPr>
          <w:rFonts w:ascii="Garamond" w:hAnsi="Garamond" w:cs="Garamond"/>
          <w:spacing w:val="-11"/>
          <w:sz w:val="24"/>
          <w:szCs w:val="24"/>
        </w:rPr>
        <w:t xml:space="preserve"> </w:t>
      </w:r>
      <w:r>
        <w:rPr>
          <w:rFonts w:ascii="Garamond" w:hAnsi="Garamond" w:cs="Garamond"/>
          <w:sz w:val="24"/>
          <w:szCs w:val="24"/>
        </w:rPr>
        <w:t>like</w:t>
      </w:r>
      <w:r>
        <w:rPr>
          <w:rFonts w:ascii="Garamond" w:hAnsi="Garamond" w:cs="Garamond"/>
          <w:spacing w:val="-9"/>
          <w:sz w:val="24"/>
          <w:szCs w:val="24"/>
        </w:rPr>
        <w:t xml:space="preserve"> </w:t>
      </w:r>
      <w:r>
        <w:rPr>
          <w:rFonts w:ascii="Garamond" w:hAnsi="Garamond" w:cs="Garamond"/>
          <w:sz w:val="24"/>
          <w:szCs w:val="24"/>
        </w:rPr>
        <w:t>more</w:t>
      </w:r>
      <w:r>
        <w:rPr>
          <w:rFonts w:ascii="Garamond" w:hAnsi="Garamond" w:cs="Garamond"/>
          <w:spacing w:val="-10"/>
          <w:sz w:val="24"/>
          <w:szCs w:val="24"/>
        </w:rPr>
        <w:t xml:space="preserve"> </w:t>
      </w:r>
      <w:r>
        <w:rPr>
          <w:rFonts w:ascii="Garamond" w:hAnsi="Garamond" w:cs="Garamond"/>
          <w:sz w:val="24"/>
          <w:szCs w:val="24"/>
        </w:rPr>
        <w:t>information,</w:t>
      </w:r>
      <w:r>
        <w:rPr>
          <w:rFonts w:ascii="Garamond" w:hAnsi="Garamond" w:cs="Garamond"/>
          <w:spacing w:val="-11"/>
          <w:sz w:val="24"/>
          <w:szCs w:val="24"/>
        </w:rPr>
        <w:t xml:space="preserve"> </w:t>
      </w:r>
      <w:r>
        <w:rPr>
          <w:rFonts w:ascii="Garamond" w:hAnsi="Garamond" w:cs="Garamond"/>
          <w:sz w:val="24"/>
          <w:szCs w:val="24"/>
        </w:rPr>
        <w:t>please</w:t>
      </w:r>
      <w:r>
        <w:rPr>
          <w:rFonts w:ascii="Garamond" w:hAnsi="Garamond" w:cs="Garamond"/>
          <w:spacing w:val="-10"/>
          <w:sz w:val="24"/>
          <w:szCs w:val="24"/>
        </w:rPr>
        <w:t xml:space="preserve"> </w:t>
      </w:r>
      <w:r>
        <w:rPr>
          <w:rFonts w:ascii="Garamond" w:hAnsi="Garamond" w:cs="Garamond"/>
          <w:sz w:val="24"/>
          <w:szCs w:val="24"/>
        </w:rPr>
        <w:t>contact</w:t>
      </w:r>
      <w:r>
        <w:rPr>
          <w:rFonts w:ascii="Garamond" w:hAnsi="Garamond" w:cs="Garamond"/>
          <w:spacing w:val="-10"/>
          <w:sz w:val="24"/>
          <w:szCs w:val="24"/>
        </w:rPr>
        <w:t xml:space="preserve"> </w:t>
      </w:r>
      <w:r>
        <w:rPr>
          <w:rFonts w:ascii="Garamond" w:hAnsi="Garamond" w:cs="Garamond"/>
          <w:sz w:val="24"/>
          <w:szCs w:val="24"/>
        </w:rPr>
        <w:t xml:space="preserve">Helen Hendrickson, Oral Health Project Manager at Health Care For All, at 617-275-2926 or </w:t>
      </w:r>
      <w:hyperlink r:id="rId550" w:history="1">
        <w:r>
          <w:rPr>
            <w:rFonts w:ascii="Garamond" w:hAnsi="Garamond" w:cs="Garamond"/>
            <w:color w:val="0000FF"/>
            <w:sz w:val="24"/>
            <w:szCs w:val="24"/>
            <w:u w:val="single"/>
          </w:rPr>
          <w:t>hhendrickson@hcfama.org</w:t>
        </w:r>
        <w:r>
          <w:rPr>
            <w:rFonts w:ascii="Garamond" w:hAnsi="Garamond" w:cs="Garamond"/>
            <w:color w:val="000000"/>
            <w:sz w:val="24"/>
            <w:szCs w:val="24"/>
          </w:rPr>
          <w:t>.</w:t>
        </w:r>
      </w:hyperlink>
    </w:p>
    <w:p w:rsidR="002C5025" w:rsidRDefault="002C5025">
      <w:pPr>
        <w:pStyle w:val="BodyText"/>
        <w:kinsoku w:val="0"/>
        <w:overflowPunct w:val="0"/>
        <w:rPr>
          <w:rFonts w:ascii="Garamond" w:hAnsi="Garamond" w:cs="Garamond"/>
          <w:sz w:val="20"/>
          <w:szCs w:val="20"/>
        </w:rPr>
      </w:pPr>
    </w:p>
    <w:p w:rsidR="002C5025" w:rsidRDefault="002C5025">
      <w:pPr>
        <w:pStyle w:val="BodyText"/>
        <w:kinsoku w:val="0"/>
        <w:overflowPunct w:val="0"/>
        <w:rPr>
          <w:rFonts w:ascii="Garamond" w:hAnsi="Garamond" w:cs="Garamond"/>
          <w:sz w:val="20"/>
          <w:szCs w:val="20"/>
        </w:rPr>
      </w:pPr>
    </w:p>
    <w:p w:rsidR="002C5025" w:rsidRDefault="002C5025">
      <w:pPr>
        <w:pStyle w:val="BodyText"/>
        <w:kinsoku w:val="0"/>
        <w:overflowPunct w:val="0"/>
        <w:rPr>
          <w:rFonts w:ascii="Garamond" w:hAnsi="Garamond" w:cs="Garamond"/>
          <w:sz w:val="20"/>
          <w:szCs w:val="20"/>
        </w:rPr>
      </w:pPr>
    </w:p>
    <w:p w:rsidR="002C5025" w:rsidRDefault="002C5025">
      <w:pPr>
        <w:pStyle w:val="BodyText"/>
        <w:kinsoku w:val="0"/>
        <w:overflowPunct w:val="0"/>
        <w:rPr>
          <w:rFonts w:ascii="Garamond" w:hAnsi="Garamond" w:cs="Garamond"/>
          <w:sz w:val="20"/>
          <w:szCs w:val="20"/>
        </w:rPr>
      </w:pPr>
    </w:p>
    <w:p w:rsidR="002C5025" w:rsidRDefault="002C5025">
      <w:pPr>
        <w:pStyle w:val="BodyText"/>
        <w:kinsoku w:val="0"/>
        <w:overflowPunct w:val="0"/>
        <w:rPr>
          <w:rFonts w:ascii="Garamond" w:hAnsi="Garamond" w:cs="Garamond"/>
          <w:sz w:val="20"/>
          <w:szCs w:val="20"/>
        </w:rPr>
      </w:pPr>
    </w:p>
    <w:p w:rsidR="002C5025" w:rsidRDefault="002C5025">
      <w:pPr>
        <w:pStyle w:val="BodyText"/>
        <w:kinsoku w:val="0"/>
        <w:overflowPunct w:val="0"/>
        <w:rPr>
          <w:rFonts w:ascii="Garamond" w:hAnsi="Garamond" w:cs="Garamond"/>
          <w:sz w:val="20"/>
          <w:szCs w:val="20"/>
        </w:rPr>
      </w:pPr>
    </w:p>
    <w:p w:rsidR="002C5025" w:rsidRDefault="002C5025">
      <w:pPr>
        <w:pStyle w:val="BodyText"/>
        <w:kinsoku w:val="0"/>
        <w:overflowPunct w:val="0"/>
        <w:rPr>
          <w:rFonts w:ascii="Garamond" w:hAnsi="Garamond" w:cs="Garamond"/>
          <w:sz w:val="20"/>
          <w:szCs w:val="20"/>
        </w:rPr>
      </w:pPr>
    </w:p>
    <w:p w:rsidR="002C5025" w:rsidRDefault="002C5025">
      <w:pPr>
        <w:pStyle w:val="BodyText"/>
        <w:kinsoku w:val="0"/>
        <w:overflowPunct w:val="0"/>
        <w:spacing w:before="8"/>
        <w:rPr>
          <w:rFonts w:ascii="Garamond" w:hAnsi="Garamond" w:cs="Garamond"/>
          <w:sz w:val="20"/>
          <w:szCs w:val="20"/>
        </w:rPr>
      </w:pPr>
    </w:p>
    <w:p w:rsidR="002C5025" w:rsidRDefault="002C5025">
      <w:pPr>
        <w:pStyle w:val="BodyText"/>
        <w:kinsoku w:val="0"/>
        <w:overflowPunct w:val="0"/>
        <w:spacing w:before="80"/>
        <w:ind w:left="21"/>
        <w:jc w:val="center"/>
        <w:rPr>
          <w:rFonts w:ascii="Garamond" w:hAnsi="Garamond" w:cs="Garamond"/>
        </w:rPr>
      </w:pPr>
      <w:r>
        <w:rPr>
          <w:rFonts w:ascii="Garamond" w:hAnsi="Garamond" w:cs="Garamond"/>
        </w:rPr>
        <w:t>9</w:t>
      </w:r>
    </w:p>
    <w:p w:rsidR="002C5025" w:rsidRDefault="002C5025">
      <w:pPr>
        <w:pStyle w:val="BodyText"/>
        <w:kinsoku w:val="0"/>
        <w:overflowPunct w:val="0"/>
        <w:spacing w:before="80"/>
        <w:ind w:left="21"/>
        <w:jc w:val="center"/>
        <w:rPr>
          <w:rFonts w:ascii="Garamond" w:hAnsi="Garamond" w:cs="Garamond"/>
        </w:rPr>
        <w:sectPr w:rsidR="002C5025">
          <w:pgSz w:w="12240" w:h="15840"/>
          <w:pgMar w:top="1380" w:right="1440" w:bottom="280" w:left="1320" w:header="720" w:footer="720" w:gutter="0"/>
          <w:cols w:space="720" w:equalWidth="0">
            <w:col w:w="9480"/>
          </w:cols>
          <w:noEndnote/>
        </w:sectPr>
      </w:pPr>
    </w:p>
    <w:p w:rsidR="002C5025" w:rsidRDefault="002C5025">
      <w:pPr>
        <w:pStyle w:val="BodyText"/>
        <w:kinsoku w:val="0"/>
        <w:overflowPunct w:val="0"/>
        <w:spacing w:before="59"/>
        <w:ind w:left="120" w:right="269"/>
        <w:rPr>
          <w:rFonts w:ascii="Garamond" w:hAnsi="Garamond" w:cs="Garamond"/>
          <w:sz w:val="24"/>
          <w:szCs w:val="24"/>
        </w:rPr>
      </w:pPr>
      <w:r>
        <w:rPr>
          <w:rFonts w:ascii="Garamond" w:hAnsi="Garamond" w:cs="Garamond"/>
          <w:sz w:val="24"/>
          <w:szCs w:val="24"/>
        </w:rPr>
        <w:lastRenderedPageBreak/>
        <w:t>Sincerely,</w:t>
      </w:r>
    </w:p>
    <w:p w:rsidR="002C5025" w:rsidRDefault="002C5025">
      <w:pPr>
        <w:pStyle w:val="BodyText"/>
        <w:kinsoku w:val="0"/>
        <w:overflowPunct w:val="0"/>
        <w:rPr>
          <w:rFonts w:ascii="Garamond" w:hAnsi="Garamond" w:cs="Garamond"/>
          <w:sz w:val="24"/>
          <w:szCs w:val="24"/>
        </w:rPr>
      </w:pPr>
    </w:p>
    <w:p w:rsidR="002C5025" w:rsidRDefault="002C5025">
      <w:pPr>
        <w:pStyle w:val="BodyText"/>
        <w:kinsoku w:val="0"/>
        <w:overflowPunct w:val="0"/>
        <w:ind w:left="391" w:right="101" w:hanging="274"/>
        <w:rPr>
          <w:rFonts w:ascii="Garamond" w:hAnsi="Garamond" w:cs="Garamond"/>
          <w:color w:val="303030"/>
          <w:sz w:val="24"/>
          <w:szCs w:val="24"/>
        </w:rPr>
      </w:pPr>
      <w:r>
        <w:rPr>
          <w:rFonts w:ascii="Garamond" w:hAnsi="Garamond" w:cs="Garamond"/>
          <w:sz w:val="24"/>
          <w:szCs w:val="24"/>
        </w:rPr>
        <w:t>Hugh</w:t>
      </w:r>
      <w:r>
        <w:rPr>
          <w:rFonts w:ascii="Garamond" w:hAnsi="Garamond" w:cs="Garamond"/>
          <w:spacing w:val="-13"/>
          <w:sz w:val="24"/>
          <w:szCs w:val="24"/>
        </w:rPr>
        <w:t xml:space="preserve"> </w:t>
      </w:r>
      <w:r>
        <w:rPr>
          <w:rFonts w:ascii="Garamond" w:hAnsi="Garamond" w:cs="Garamond"/>
          <w:sz w:val="24"/>
          <w:szCs w:val="24"/>
        </w:rPr>
        <w:t>Silk,</w:t>
      </w:r>
      <w:r>
        <w:rPr>
          <w:rFonts w:ascii="Garamond" w:hAnsi="Garamond" w:cs="Garamond"/>
          <w:spacing w:val="-13"/>
          <w:sz w:val="24"/>
          <w:szCs w:val="24"/>
        </w:rPr>
        <w:t xml:space="preserve"> </w:t>
      </w:r>
      <w:r>
        <w:rPr>
          <w:rFonts w:ascii="Garamond" w:hAnsi="Garamond" w:cs="Garamond"/>
          <w:sz w:val="24"/>
          <w:szCs w:val="24"/>
        </w:rPr>
        <w:t>MD</w:t>
      </w:r>
      <w:r>
        <w:rPr>
          <w:rFonts w:ascii="Garamond" w:hAnsi="Garamond" w:cs="Garamond"/>
          <w:spacing w:val="-14"/>
          <w:sz w:val="24"/>
          <w:szCs w:val="24"/>
        </w:rPr>
        <w:t xml:space="preserve"> </w:t>
      </w:r>
      <w:r>
        <w:rPr>
          <w:rFonts w:ascii="Garamond" w:hAnsi="Garamond" w:cs="Garamond"/>
          <w:sz w:val="24"/>
          <w:szCs w:val="24"/>
        </w:rPr>
        <w:t>MPH,</w:t>
      </w:r>
      <w:r>
        <w:rPr>
          <w:rFonts w:ascii="Garamond" w:hAnsi="Garamond" w:cs="Garamond"/>
          <w:spacing w:val="-13"/>
          <w:sz w:val="24"/>
          <w:szCs w:val="24"/>
        </w:rPr>
        <w:t xml:space="preserve"> </w:t>
      </w:r>
      <w:r>
        <w:rPr>
          <w:rFonts w:ascii="Garamond" w:hAnsi="Garamond" w:cs="Garamond"/>
          <w:sz w:val="24"/>
          <w:szCs w:val="24"/>
        </w:rPr>
        <w:t>FAAFP,</w:t>
      </w:r>
      <w:r>
        <w:rPr>
          <w:rFonts w:ascii="Garamond" w:hAnsi="Garamond" w:cs="Garamond"/>
          <w:spacing w:val="-13"/>
          <w:sz w:val="24"/>
          <w:szCs w:val="24"/>
        </w:rPr>
        <w:t xml:space="preserve"> </w:t>
      </w:r>
      <w:r>
        <w:rPr>
          <w:rFonts w:ascii="Garamond" w:hAnsi="Garamond" w:cs="Garamond"/>
          <w:sz w:val="24"/>
          <w:szCs w:val="24"/>
        </w:rPr>
        <w:t>Professor,</w:t>
      </w:r>
      <w:r>
        <w:rPr>
          <w:rFonts w:ascii="Garamond" w:hAnsi="Garamond" w:cs="Garamond"/>
          <w:spacing w:val="-13"/>
          <w:sz w:val="24"/>
          <w:szCs w:val="24"/>
        </w:rPr>
        <w:t xml:space="preserve"> </w:t>
      </w:r>
      <w:r>
        <w:rPr>
          <w:rFonts w:ascii="Garamond" w:hAnsi="Garamond" w:cs="Garamond"/>
          <w:sz w:val="24"/>
          <w:szCs w:val="24"/>
        </w:rPr>
        <w:t>Department</w:t>
      </w:r>
      <w:r>
        <w:rPr>
          <w:rFonts w:ascii="Garamond" w:hAnsi="Garamond" w:cs="Garamond"/>
          <w:spacing w:val="-11"/>
          <w:sz w:val="24"/>
          <w:szCs w:val="24"/>
        </w:rPr>
        <w:t xml:space="preserve"> </w:t>
      </w:r>
      <w:r>
        <w:rPr>
          <w:rFonts w:ascii="Garamond" w:hAnsi="Garamond" w:cs="Garamond"/>
          <w:color w:val="303030"/>
          <w:sz w:val="24"/>
          <w:szCs w:val="24"/>
        </w:rPr>
        <w:t>of</w:t>
      </w:r>
      <w:r>
        <w:rPr>
          <w:rFonts w:ascii="Garamond" w:hAnsi="Garamond" w:cs="Garamond"/>
          <w:color w:val="303030"/>
          <w:spacing w:val="-15"/>
          <w:sz w:val="24"/>
          <w:szCs w:val="24"/>
        </w:rPr>
        <w:t xml:space="preserve"> </w:t>
      </w:r>
      <w:r>
        <w:rPr>
          <w:rFonts w:ascii="Garamond" w:hAnsi="Garamond" w:cs="Garamond"/>
          <w:color w:val="303030"/>
          <w:sz w:val="24"/>
          <w:szCs w:val="24"/>
        </w:rPr>
        <w:t>Family</w:t>
      </w:r>
      <w:r>
        <w:rPr>
          <w:rFonts w:ascii="Garamond" w:hAnsi="Garamond" w:cs="Garamond"/>
          <w:color w:val="303030"/>
          <w:spacing w:val="-12"/>
          <w:sz w:val="24"/>
          <w:szCs w:val="24"/>
        </w:rPr>
        <w:t xml:space="preserve"> </w:t>
      </w:r>
      <w:r>
        <w:rPr>
          <w:rFonts w:ascii="Garamond" w:hAnsi="Garamond" w:cs="Garamond"/>
          <w:color w:val="303030"/>
          <w:sz w:val="24"/>
          <w:szCs w:val="24"/>
        </w:rPr>
        <w:t>Medicine</w:t>
      </w:r>
      <w:r>
        <w:rPr>
          <w:rFonts w:ascii="Garamond" w:hAnsi="Garamond" w:cs="Garamond"/>
          <w:color w:val="303030"/>
          <w:spacing w:val="-14"/>
          <w:sz w:val="24"/>
          <w:szCs w:val="24"/>
        </w:rPr>
        <w:t xml:space="preserve"> </w:t>
      </w:r>
      <w:r>
        <w:rPr>
          <w:rFonts w:ascii="Garamond" w:hAnsi="Garamond" w:cs="Garamond"/>
          <w:color w:val="303030"/>
          <w:sz w:val="24"/>
          <w:szCs w:val="24"/>
        </w:rPr>
        <w:t>and</w:t>
      </w:r>
      <w:r>
        <w:rPr>
          <w:rFonts w:ascii="Garamond" w:hAnsi="Garamond" w:cs="Garamond"/>
          <w:color w:val="303030"/>
          <w:spacing w:val="-13"/>
          <w:sz w:val="24"/>
          <w:szCs w:val="24"/>
        </w:rPr>
        <w:t xml:space="preserve"> </w:t>
      </w:r>
      <w:r>
        <w:rPr>
          <w:rFonts w:ascii="Garamond" w:hAnsi="Garamond" w:cs="Garamond"/>
          <w:color w:val="303030"/>
          <w:sz w:val="24"/>
          <w:szCs w:val="24"/>
        </w:rPr>
        <w:t>Community</w:t>
      </w:r>
      <w:r>
        <w:rPr>
          <w:rFonts w:ascii="Garamond" w:hAnsi="Garamond" w:cs="Garamond"/>
          <w:color w:val="303030"/>
          <w:spacing w:val="-12"/>
          <w:sz w:val="24"/>
          <w:szCs w:val="24"/>
        </w:rPr>
        <w:t xml:space="preserve"> </w:t>
      </w:r>
      <w:r>
        <w:rPr>
          <w:rFonts w:ascii="Garamond" w:hAnsi="Garamond" w:cs="Garamond"/>
          <w:color w:val="303030"/>
          <w:sz w:val="24"/>
          <w:szCs w:val="24"/>
        </w:rPr>
        <w:t>Health, University</w:t>
      </w:r>
      <w:r>
        <w:rPr>
          <w:rFonts w:ascii="Garamond" w:hAnsi="Garamond" w:cs="Garamond"/>
          <w:color w:val="303030"/>
          <w:spacing w:val="-19"/>
          <w:sz w:val="24"/>
          <w:szCs w:val="24"/>
        </w:rPr>
        <w:t xml:space="preserve"> </w:t>
      </w:r>
      <w:r>
        <w:rPr>
          <w:rFonts w:ascii="Garamond" w:hAnsi="Garamond" w:cs="Garamond"/>
          <w:color w:val="303030"/>
          <w:sz w:val="24"/>
          <w:szCs w:val="24"/>
        </w:rPr>
        <w:t>of</w:t>
      </w:r>
      <w:r>
        <w:rPr>
          <w:rFonts w:ascii="Garamond" w:hAnsi="Garamond" w:cs="Garamond"/>
          <w:color w:val="303030"/>
          <w:spacing w:val="-19"/>
          <w:sz w:val="24"/>
          <w:szCs w:val="24"/>
        </w:rPr>
        <w:t xml:space="preserve"> </w:t>
      </w:r>
      <w:r>
        <w:rPr>
          <w:rFonts w:ascii="Garamond" w:hAnsi="Garamond" w:cs="Garamond"/>
          <w:color w:val="303030"/>
          <w:sz w:val="24"/>
          <w:szCs w:val="24"/>
        </w:rPr>
        <w:t>Massachusetts</w:t>
      </w:r>
      <w:r>
        <w:rPr>
          <w:rFonts w:ascii="Garamond" w:hAnsi="Garamond" w:cs="Garamond"/>
          <w:color w:val="303030"/>
          <w:spacing w:val="-21"/>
          <w:sz w:val="24"/>
          <w:szCs w:val="24"/>
        </w:rPr>
        <w:t xml:space="preserve"> </w:t>
      </w:r>
      <w:r>
        <w:rPr>
          <w:rFonts w:ascii="Garamond" w:hAnsi="Garamond" w:cs="Garamond"/>
          <w:color w:val="303030"/>
          <w:sz w:val="24"/>
          <w:szCs w:val="24"/>
        </w:rPr>
        <w:t>Medical</w:t>
      </w:r>
      <w:r>
        <w:rPr>
          <w:rFonts w:ascii="Garamond" w:hAnsi="Garamond" w:cs="Garamond"/>
          <w:color w:val="303030"/>
          <w:spacing w:val="-19"/>
          <w:sz w:val="24"/>
          <w:szCs w:val="24"/>
        </w:rPr>
        <w:t xml:space="preserve"> </w:t>
      </w:r>
      <w:r>
        <w:rPr>
          <w:rFonts w:ascii="Garamond" w:hAnsi="Garamond" w:cs="Garamond"/>
          <w:color w:val="303030"/>
          <w:sz w:val="24"/>
          <w:szCs w:val="24"/>
        </w:rPr>
        <w:t>School</w:t>
      </w:r>
    </w:p>
    <w:p w:rsidR="002C5025" w:rsidRDefault="002C5025">
      <w:pPr>
        <w:pStyle w:val="BodyText"/>
        <w:kinsoku w:val="0"/>
        <w:overflowPunct w:val="0"/>
        <w:spacing w:before="121"/>
        <w:ind w:left="391" w:right="269" w:hanging="274"/>
        <w:rPr>
          <w:rFonts w:ascii="Garamond" w:hAnsi="Garamond" w:cs="Garamond"/>
          <w:sz w:val="24"/>
          <w:szCs w:val="24"/>
        </w:rPr>
      </w:pPr>
      <w:r>
        <w:rPr>
          <w:rFonts w:ascii="Garamond" w:hAnsi="Garamond" w:cs="Garamond"/>
          <w:sz w:val="24"/>
          <w:szCs w:val="24"/>
        </w:rPr>
        <w:t>Lisa</w:t>
      </w:r>
      <w:r>
        <w:rPr>
          <w:rFonts w:ascii="Garamond" w:hAnsi="Garamond" w:cs="Garamond"/>
          <w:spacing w:val="-11"/>
          <w:sz w:val="24"/>
          <w:szCs w:val="24"/>
        </w:rPr>
        <w:t xml:space="preserve"> </w:t>
      </w:r>
      <w:r>
        <w:rPr>
          <w:rFonts w:ascii="Garamond" w:hAnsi="Garamond" w:cs="Garamond"/>
          <w:sz w:val="24"/>
          <w:szCs w:val="24"/>
        </w:rPr>
        <w:t>Simon,</w:t>
      </w:r>
      <w:r>
        <w:rPr>
          <w:rFonts w:ascii="Garamond" w:hAnsi="Garamond" w:cs="Garamond"/>
          <w:spacing w:val="-12"/>
          <w:sz w:val="24"/>
          <w:szCs w:val="24"/>
        </w:rPr>
        <w:t xml:space="preserve"> </w:t>
      </w:r>
      <w:r>
        <w:rPr>
          <w:rFonts w:ascii="Garamond" w:hAnsi="Garamond" w:cs="Garamond"/>
          <w:sz w:val="24"/>
          <w:szCs w:val="24"/>
        </w:rPr>
        <w:t>DMD,</w:t>
      </w:r>
      <w:r>
        <w:rPr>
          <w:rFonts w:ascii="Garamond" w:hAnsi="Garamond" w:cs="Garamond"/>
          <w:spacing w:val="-10"/>
          <w:sz w:val="24"/>
          <w:szCs w:val="24"/>
        </w:rPr>
        <w:t xml:space="preserve"> </w:t>
      </w:r>
      <w:r>
        <w:rPr>
          <w:rFonts w:ascii="Garamond" w:hAnsi="Garamond" w:cs="Garamond"/>
          <w:sz w:val="24"/>
          <w:szCs w:val="24"/>
        </w:rPr>
        <w:t>Fellow</w:t>
      </w:r>
      <w:r>
        <w:rPr>
          <w:rFonts w:ascii="Garamond" w:hAnsi="Garamond" w:cs="Garamond"/>
          <w:spacing w:val="-11"/>
          <w:sz w:val="24"/>
          <w:szCs w:val="24"/>
        </w:rPr>
        <w:t xml:space="preserve"> </w:t>
      </w:r>
      <w:r>
        <w:rPr>
          <w:rFonts w:ascii="Garamond" w:hAnsi="Garamond" w:cs="Garamond"/>
          <w:sz w:val="24"/>
          <w:szCs w:val="24"/>
        </w:rPr>
        <w:t>in</w:t>
      </w:r>
      <w:r>
        <w:rPr>
          <w:rFonts w:ascii="Garamond" w:hAnsi="Garamond" w:cs="Garamond"/>
          <w:spacing w:val="-12"/>
          <w:sz w:val="24"/>
          <w:szCs w:val="24"/>
        </w:rPr>
        <w:t xml:space="preserve"> </w:t>
      </w:r>
      <w:r>
        <w:rPr>
          <w:rFonts w:ascii="Garamond" w:hAnsi="Garamond" w:cs="Garamond"/>
          <w:sz w:val="24"/>
          <w:szCs w:val="24"/>
        </w:rPr>
        <w:t>Oral</w:t>
      </w:r>
      <w:r>
        <w:rPr>
          <w:rFonts w:ascii="Garamond" w:hAnsi="Garamond" w:cs="Garamond"/>
          <w:spacing w:val="-10"/>
          <w:sz w:val="24"/>
          <w:szCs w:val="24"/>
        </w:rPr>
        <w:t xml:space="preserve"> </w:t>
      </w:r>
      <w:r>
        <w:rPr>
          <w:rFonts w:ascii="Garamond" w:hAnsi="Garamond" w:cs="Garamond"/>
          <w:sz w:val="24"/>
          <w:szCs w:val="24"/>
        </w:rPr>
        <w:t>Health</w:t>
      </w:r>
      <w:r>
        <w:rPr>
          <w:rFonts w:ascii="Garamond" w:hAnsi="Garamond" w:cs="Garamond"/>
          <w:spacing w:val="-12"/>
          <w:sz w:val="24"/>
          <w:szCs w:val="24"/>
        </w:rPr>
        <w:t xml:space="preserve"> </w:t>
      </w:r>
      <w:r>
        <w:rPr>
          <w:rFonts w:ascii="Garamond" w:hAnsi="Garamond" w:cs="Garamond"/>
          <w:sz w:val="24"/>
          <w:szCs w:val="24"/>
        </w:rPr>
        <w:t>and</w:t>
      </w:r>
      <w:r>
        <w:rPr>
          <w:rFonts w:ascii="Garamond" w:hAnsi="Garamond" w:cs="Garamond"/>
          <w:spacing w:val="-10"/>
          <w:sz w:val="24"/>
          <w:szCs w:val="24"/>
        </w:rPr>
        <w:t xml:space="preserve"> </w:t>
      </w:r>
      <w:r>
        <w:rPr>
          <w:rFonts w:ascii="Garamond" w:hAnsi="Garamond" w:cs="Garamond"/>
          <w:sz w:val="24"/>
          <w:szCs w:val="24"/>
        </w:rPr>
        <w:t>Medical</w:t>
      </w:r>
      <w:r>
        <w:rPr>
          <w:rFonts w:ascii="Garamond" w:hAnsi="Garamond" w:cs="Garamond"/>
          <w:spacing w:val="-12"/>
          <w:sz w:val="24"/>
          <w:szCs w:val="24"/>
        </w:rPr>
        <w:t xml:space="preserve"> </w:t>
      </w:r>
      <w:r>
        <w:rPr>
          <w:rFonts w:ascii="Garamond" w:hAnsi="Garamond" w:cs="Garamond"/>
          <w:sz w:val="24"/>
          <w:szCs w:val="24"/>
        </w:rPr>
        <w:t>Integration,</w:t>
      </w:r>
      <w:r>
        <w:rPr>
          <w:rFonts w:ascii="Garamond" w:hAnsi="Garamond" w:cs="Garamond"/>
          <w:spacing w:val="-10"/>
          <w:sz w:val="24"/>
          <w:szCs w:val="24"/>
        </w:rPr>
        <w:t xml:space="preserve"> </w:t>
      </w:r>
      <w:r>
        <w:rPr>
          <w:rFonts w:ascii="Garamond" w:hAnsi="Garamond" w:cs="Garamond"/>
          <w:sz w:val="24"/>
          <w:szCs w:val="24"/>
        </w:rPr>
        <w:t>Department</w:t>
      </w:r>
      <w:r>
        <w:rPr>
          <w:rFonts w:ascii="Garamond" w:hAnsi="Garamond" w:cs="Garamond"/>
          <w:spacing w:val="-10"/>
          <w:sz w:val="24"/>
          <w:szCs w:val="24"/>
        </w:rPr>
        <w:t xml:space="preserve"> </w:t>
      </w:r>
      <w:r>
        <w:rPr>
          <w:rFonts w:ascii="Garamond" w:hAnsi="Garamond" w:cs="Garamond"/>
          <w:sz w:val="24"/>
          <w:szCs w:val="24"/>
        </w:rPr>
        <w:t>of</w:t>
      </w:r>
      <w:r>
        <w:rPr>
          <w:rFonts w:ascii="Garamond" w:hAnsi="Garamond" w:cs="Garamond"/>
          <w:spacing w:val="-13"/>
          <w:sz w:val="24"/>
          <w:szCs w:val="24"/>
        </w:rPr>
        <w:t xml:space="preserve"> </w:t>
      </w:r>
      <w:r>
        <w:rPr>
          <w:rFonts w:ascii="Garamond" w:hAnsi="Garamond" w:cs="Garamond"/>
          <w:sz w:val="24"/>
          <w:szCs w:val="24"/>
        </w:rPr>
        <w:t>Oral</w:t>
      </w:r>
      <w:r>
        <w:rPr>
          <w:rFonts w:ascii="Garamond" w:hAnsi="Garamond" w:cs="Garamond"/>
          <w:spacing w:val="-12"/>
          <w:sz w:val="24"/>
          <w:szCs w:val="24"/>
        </w:rPr>
        <w:t xml:space="preserve"> </w:t>
      </w:r>
      <w:r>
        <w:rPr>
          <w:rFonts w:ascii="Garamond" w:hAnsi="Garamond" w:cs="Garamond"/>
          <w:sz w:val="24"/>
          <w:szCs w:val="24"/>
        </w:rPr>
        <w:t>Health Policy</w:t>
      </w:r>
      <w:r>
        <w:rPr>
          <w:rFonts w:ascii="Garamond" w:hAnsi="Garamond" w:cs="Garamond"/>
          <w:spacing w:val="-14"/>
          <w:sz w:val="24"/>
          <w:szCs w:val="24"/>
        </w:rPr>
        <w:t xml:space="preserve"> </w:t>
      </w:r>
      <w:r>
        <w:rPr>
          <w:rFonts w:ascii="Garamond" w:hAnsi="Garamond" w:cs="Garamond"/>
          <w:sz w:val="24"/>
          <w:szCs w:val="24"/>
        </w:rPr>
        <w:t>and</w:t>
      </w:r>
      <w:r>
        <w:rPr>
          <w:rFonts w:ascii="Garamond" w:hAnsi="Garamond" w:cs="Garamond"/>
          <w:spacing w:val="-17"/>
          <w:sz w:val="24"/>
          <w:szCs w:val="24"/>
        </w:rPr>
        <w:t xml:space="preserve"> </w:t>
      </w:r>
      <w:r>
        <w:rPr>
          <w:rFonts w:ascii="Garamond" w:hAnsi="Garamond" w:cs="Garamond"/>
          <w:sz w:val="24"/>
          <w:szCs w:val="24"/>
        </w:rPr>
        <w:t>Epidemiology,</w:t>
      </w:r>
      <w:r>
        <w:rPr>
          <w:rFonts w:ascii="Garamond" w:hAnsi="Garamond" w:cs="Garamond"/>
          <w:spacing w:val="-16"/>
          <w:sz w:val="24"/>
          <w:szCs w:val="24"/>
        </w:rPr>
        <w:t xml:space="preserve"> </w:t>
      </w:r>
      <w:r>
        <w:rPr>
          <w:rFonts w:ascii="Garamond" w:hAnsi="Garamond" w:cs="Garamond"/>
          <w:sz w:val="24"/>
          <w:szCs w:val="24"/>
        </w:rPr>
        <w:t>Harvard</w:t>
      </w:r>
      <w:r>
        <w:rPr>
          <w:rFonts w:ascii="Garamond" w:hAnsi="Garamond" w:cs="Garamond"/>
          <w:spacing w:val="-15"/>
          <w:sz w:val="24"/>
          <w:szCs w:val="24"/>
        </w:rPr>
        <w:t xml:space="preserve"> </w:t>
      </w:r>
      <w:r>
        <w:rPr>
          <w:rFonts w:ascii="Garamond" w:hAnsi="Garamond" w:cs="Garamond"/>
          <w:sz w:val="24"/>
          <w:szCs w:val="24"/>
        </w:rPr>
        <w:t>School</w:t>
      </w:r>
      <w:r>
        <w:rPr>
          <w:rFonts w:ascii="Garamond" w:hAnsi="Garamond" w:cs="Garamond"/>
          <w:spacing w:val="-15"/>
          <w:sz w:val="24"/>
          <w:szCs w:val="24"/>
        </w:rPr>
        <w:t xml:space="preserve"> </w:t>
      </w:r>
      <w:r>
        <w:rPr>
          <w:rFonts w:ascii="Garamond" w:hAnsi="Garamond" w:cs="Garamond"/>
          <w:sz w:val="24"/>
          <w:szCs w:val="24"/>
        </w:rPr>
        <w:t>of</w:t>
      </w:r>
      <w:r>
        <w:rPr>
          <w:rFonts w:ascii="Garamond" w:hAnsi="Garamond" w:cs="Garamond"/>
          <w:spacing w:val="-15"/>
          <w:sz w:val="24"/>
          <w:szCs w:val="24"/>
        </w:rPr>
        <w:t xml:space="preserve"> </w:t>
      </w:r>
      <w:r>
        <w:rPr>
          <w:rFonts w:ascii="Garamond" w:hAnsi="Garamond" w:cs="Garamond"/>
          <w:sz w:val="24"/>
          <w:szCs w:val="24"/>
        </w:rPr>
        <w:t>Dental</w:t>
      </w:r>
      <w:r>
        <w:rPr>
          <w:rFonts w:ascii="Garamond" w:hAnsi="Garamond" w:cs="Garamond"/>
          <w:spacing w:val="-16"/>
          <w:sz w:val="24"/>
          <w:szCs w:val="24"/>
        </w:rPr>
        <w:t xml:space="preserve"> </w:t>
      </w:r>
      <w:r>
        <w:rPr>
          <w:rFonts w:ascii="Garamond" w:hAnsi="Garamond" w:cs="Garamond"/>
          <w:sz w:val="24"/>
          <w:szCs w:val="24"/>
        </w:rPr>
        <w:t>Medicine</w:t>
      </w:r>
    </w:p>
    <w:p w:rsidR="002C5025" w:rsidRDefault="002C5025">
      <w:pPr>
        <w:pStyle w:val="BodyText"/>
        <w:kinsoku w:val="0"/>
        <w:overflowPunct w:val="0"/>
        <w:spacing w:before="119"/>
        <w:ind w:left="391" w:right="101" w:hanging="274"/>
        <w:rPr>
          <w:rFonts w:ascii="Garamond" w:hAnsi="Garamond" w:cs="Garamond"/>
          <w:sz w:val="24"/>
          <w:szCs w:val="24"/>
        </w:rPr>
      </w:pPr>
      <w:r>
        <w:rPr>
          <w:rFonts w:ascii="Garamond" w:hAnsi="Garamond" w:cs="Garamond"/>
          <w:sz w:val="24"/>
          <w:szCs w:val="24"/>
        </w:rPr>
        <w:t>Michelle</w:t>
      </w:r>
      <w:r>
        <w:rPr>
          <w:rFonts w:ascii="Garamond" w:hAnsi="Garamond" w:cs="Garamond"/>
          <w:spacing w:val="-12"/>
          <w:sz w:val="24"/>
          <w:szCs w:val="24"/>
        </w:rPr>
        <w:t xml:space="preserve"> </w:t>
      </w:r>
      <w:proofErr w:type="spellStart"/>
      <w:r>
        <w:rPr>
          <w:rFonts w:ascii="Garamond" w:hAnsi="Garamond" w:cs="Garamond"/>
          <w:sz w:val="24"/>
          <w:szCs w:val="24"/>
        </w:rPr>
        <w:t>Dalal</w:t>
      </w:r>
      <w:proofErr w:type="spellEnd"/>
      <w:r>
        <w:rPr>
          <w:rFonts w:ascii="Garamond" w:hAnsi="Garamond" w:cs="Garamond"/>
          <w:sz w:val="24"/>
          <w:szCs w:val="24"/>
        </w:rPr>
        <w:t>,</w:t>
      </w:r>
      <w:r>
        <w:rPr>
          <w:rFonts w:ascii="Garamond" w:hAnsi="Garamond" w:cs="Garamond"/>
          <w:spacing w:val="-14"/>
          <w:sz w:val="24"/>
          <w:szCs w:val="24"/>
        </w:rPr>
        <w:t xml:space="preserve"> </w:t>
      </w:r>
      <w:r>
        <w:rPr>
          <w:rFonts w:ascii="Garamond" w:hAnsi="Garamond" w:cs="Garamond"/>
          <w:sz w:val="24"/>
          <w:szCs w:val="24"/>
        </w:rPr>
        <w:t>Chair,</w:t>
      </w:r>
      <w:r>
        <w:rPr>
          <w:rFonts w:ascii="Garamond" w:hAnsi="Garamond" w:cs="Garamond"/>
          <w:spacing w:val="-14"/>
          <w:sz w:val="24"/>
          <w:szCs w:val="24"/>
        </w:rPr>
        <w:t xml:space="preserve"> </w:t>
      </w:r>
      <w:r>
        <w:rPr>
          <w:rFonts w:ascii="Garamond" w:hAnsi="Garamond" w:cs="Garamond"/>
          <w:sz w:val="24"/>
          <w:szCs w:val="24"/>
        </w:rPr>
        <w:t>Oral</w:t>
      </w:r>
      <w:r>
        <w:rPr>
          <w:rFonts w:ascii="Garamond" w:hAnsi="Garamond" w:cs="Garamond"/>
          <w:spacing w:val="-14"/>
          <w:sz w:val="24"/>
          <w:szCs w:val="24"/>
        </w:rPr>
        <w:t xml:space="preserve"> </w:t>
      </w:r>
      <w:r>
        <w:rPr>
          <w:rFonts w:ascii="Garamond" w:hAnsi="Garamond" w:cs="Garamond"/>
          <w:sz w:val="24"/>
          <w:szCs w:val="24"/>
        </w:rPr>
        <w:t>Health</w:t>
      </w:r>
      <w:r>
        <w:rPr>
          <w:rFonts w:ascii="Garamond" w:hAnsi="Garamond" w:cs="Garamond"/>
          <w:spacing w:val="-13"/>
          <w:sz w:val="24"/>
          <w:szCs w:val="24"/>
        </w:rPr>
        <w:t xml:space="preserve"> </w:t>
      </w:r>
      <w:r>
        <w:rPr>
          <w:rFonts w:ascii="Garamond" w:hAnsi="Garamond" w:cs="Garamond"/>
          <w:sz w:val="24"/>
          <w:szCs w:val="24"/>
        </w:rPr>
        <w:t>Committee,</w:t>
      </w:r>
      <w:r>
        <w:rPr>
          <w:rFonts w:ascii="Garamond" w:hAnsi="Garamond" w:cs="Garamond"/>
          <w:spacing w:val="-11"/>
          <w:sz w:val="24"/>
          <w:szCs w:val="24"/>
        </w:rPr>
        <w:t xml:space="preserve"> </w:t>
      </w:r>
      <w:r>
        <w:rPr>
          <w:rFonts w:ascii="Garamond" w:hAnsi="Garamond" w:cs="Garamond"/>
          <w:sz w:val="24"/>
          <w:szCs w:val="24"/>
        </w:rPr>
        <w:t>Massachusetts</w:t>
      </w:r>
      <w:r>
        <w:rPr>
          <w:rFonts w:ascii="Garamond" w:hAnsi="Garamond" w:cs="Garamond"/>
          <w:spacing w:val="-16"/>
          <w:sz w:val="24"/>
          <w:szCs w:val="24"/>
        </w:rPr>
        <w:t xml:space="preserve"> </w:t>
      </w:r>
      <w:r>
        <w:rPr>
          <w:rFonts w:ascii="Garamond" w:hAnsi="Garamond" w:cs="Garamond"/>
          <w:sz w:val="24"/>
          <w:szCs w:val="24"/>
        </w:rPr>
        <w:t>Chapter</w:t>
      </w:r>
      <w:r>
        <w:rPr>
          <w:rFonts w:ascii="Garamond" w:hAnsi="Garamond" w:cs="Garamond"/>
          <w:spacing w:val="-16"/>
          <w:sz w:val="24"/>
          <w:szCs w:val="24"/>
        </w:rPr>
        <w:t xml:space="preserve"> </w:t>
      </w:r>
      <w:r>
        <w:rPr>
          <w:rFonts w:ascii="Garamond" w:hAnsi="Garamond" w:cs="Garamond"/>
          <w:sz w:val="24"/>
          <w:szCs w:val="24"/>
        </w:rPr>
        <w:t>of</w:t>
      </w:r>
      <w:r>
        <w:rPr>
          <w:rFonts w:ascii="Garamond" w:hAnsi="Garamond" w:cs="Garamond"/>
          <w:spacing w:val="-15"/>
          <w:sz w:val="24"/>
          <w:szCs w:val="24"/>
        </w:rPr>
        <w:t xml:space="preserve"> </w:t>
      </w:r>
      <w:r>
        <w:rPr>
          <w:rFonts w:ascii="Garamond" w:hAnsi="Garamond" w:cs="Garamond"/>
          <w:sz w:val="24"/>
          <w:szCs w:val="24"/>
        </w:rPr>
        <w:t>the</w:t>
      </w:r>
      <w:r>
        <w:rPr>
          <w:rFonts w:ascii="Garamond" w:hAnsi="Garamond" w:cs="Garamond"/>
          <w:spacing w:val="-12"/>
          <w:sz w:val="24"/>
          <w:szCs w:val="24"/>
        </w:rPr>
        <w:t xml:space="preserve"> </w:t>
      </w:r>
      <w:r>
        <w:rPr>
          <w:rFonts w:ascii="Garamond" w:hAnsi="Garamond" w:cs="Garamond"/>
          <w:sz w:val="24"/>
          <w:szCs w:val="24"/>
        </w:rPr>
        <w:t>American</w:t>
      </w:r>
      <w:r>
        <w:rPr>
          <w:rFonts w:ascii="Garamond" w:hAnsi="Garamond" w:cs="Garamond"/>
          <w:spacing w:val="-13"/>
          <w:sz w:val="24"/>
          <w:szCs w:val="24"/>
        </w:rPr>
        <w:t xml:space="preserve"> </w:t>
      </w:r>
      <w:r>
        <w:rPr>
          <w:rFonts w:ascii="Garamond" w:hAnsi="Garamond" w:cs="Garamond"/>
          <w:sz w:val="24"/>
          <w:szCs w:val="24"/>
        </w:rPr>
        <w:t>Academy</w:t>
      </w:r>
      <w:r>
        <w:rPr>
          <w:rFonts w:ascii="Garamond" w:hAnsi="Garamond" w:cs="Garamond"/>
          <w:spacing w:val="-12"/>
          <w:sz w:val="24"/>
          <w:szCs w:val="24"/>
        </w:rPr>
        <w:t xml:space="preserve"> </w:t>
      </w:r>
      <w:r>
        <w:rPr>
          <w:rFonts w:ascii="Garamond" w:hAnsi="Garamond" w:cs="Garamond"/>
          <w:sz w:val="24"/>
          <w:szCs w:val="24"/>
        </w:rPr>
        <w:t>of Pediatrics</w:t>
      </w:r>
    </w:p>
    <w:p w:rsidR="002C5025" w:rsidRDefault="002C5025">
      <w:pPr>
        <w:pStyle w:val="BodyText"/>
        <w:kinsoku w:val="0"/>
        <w:overflowPunct w:val="0"/>
        <w:spacing w:before="121" w:line="345" w:lineRule="auto"/>
        <w:ind w:left="120" w:right="1411"/>
        <w:rPr>
          <w:rFonts w:ascii="Garamond" w:hAnsi="Garamond" w:cs="Garamond"/>
          <w:sz w:val="24"/>
          <w:szCs w:val="24"/>
        </w:rPr>
      </w:pPr>
      <w:r>
        <w:rPr>
          <w:rFonts w:ascii="Garamond" w:hAnsi="Garamond" w:cs="Garamond"/>
          <w:sz w:val="24"/>
          <w:szCs w:val="24"/>
        </w:rPr>
        <w:t>Robyn Olson, Chair, Oral Health Advocacy Taskforce Steering Committee Samantha</w:t>
      </w:r>
      <w:r>
        <w:rPr>
          <w:rFonts w:ascii="Garamond" w:hAnsi="Garamond" w:cs="Garamond"/>
          <w:spacing w:val="-14"/>
          <w:sz w:val="24"/>
          <w:szCs w:val="24"/>
        </w:rPr>
        <w:t xml:space="preserve"> </w:t>
      </w:r>
      <w:r>
        <w:rPr>
          <w:rFonts w:ascii="Garamond" w:hAnsi="Garamond" w:cs="Garamond"/>
          <w:sz w:val="24"/>
          <w:szCs w:val="24"/>
        </w:rPr>
        <w:t>Jordan,</w:t>
      </w:r>
      <w:r>
        <w:rPr>
          <w:rFonts w:ascii="Garamond" w:hAnsi="Garamond" w:cs="Garamond"/>
          <w:spacing w:val="-15"/>
          <w:sz w:val="24"/>
          <w:szCs w:val="24"/>
        </w:rPr>
        <w:t xml:space="preserve"> </w:t>
      </w:r>
      <w:r>
        <w:rPr>
          <w:rFonts w:ascii="Garamond" w:hAnsi="Garamond" w:cs="Garamond"/>
          <w:sz w:val="24"/>
          <w:szCs w:val="24"/>
        </w:rPr>
        <w:t>DMD</w:t>
      </w:r>
      <w:r>
        <w:rPr>
          <w:rFonts w:ascii="Garamond" w:hAnsi="Garamond" w:cs="Garamond"/>
          <w:spacing w:val="-18"/>
          <w:sz w:val="24"/>
          <w:szCs w:val="24"/>
        </w:rPr>
        <w:t xml:space="preserve"> </w:t>
      </w:r>
      <w:r>
        <w:rPr>
          <w:rFonts w:ascii="Garamond" w:hAnsi="Garamond" w:cs="Garamond"/>
          <w:sz w:val="24"/>
          <w:szCs w:val="24"/>
        </w:rPr>
        <w:t>MPH,</w:t>
      </w:r>
      <w:r>
        <w:rPr>
          <w:rFonts w:ascii="Garamond" w:hAnsi="Garamond" w:cs="Garamond"/>
          <w:spacing w:val="-15"/>
          <w:sz w:val="24"/>
          <w:szCs w:val="24"/>
        </w:rPr>
        <w:t xml:space="preserve"> </w:t>
      </w:r>
      <w:r>
        <w:rPr>
          <w:rFonts w:ascii="Garamond" w:hAnsi="Garamond" w:cs="Garamond"/>
          <w:sz w:val="24"/>
          <w:szCs w:val="24"/>
        </w:rPr>
        <w:t>Dental</w:t>
      </w:r>
      <w:r>
        <w:rPr>
          <w:rFonts w:ascii="Garamond" w:hAnsi="Garamond" w:cs="Garamond"/>
          <w:spacing w:val="-15"/>
          <w:sz w:val="24"/>
          <w:szCs w:val="24"/>
        </w:rPr>
        <w:t xml:space="preserve"> </w:t>
      </w:r>
      <w:r>
        <w:rPr>
          <w:rFonts w:ascii="Garamond" w:hAnsi="Garamond" w:cs="Garamond"/>
          <w:sz w:val="24"/>
          <w:szCs w:val="24"/>
        </w:rPr>
        <w:t>Director,</w:t>
      </w:r>
      <w:r>
        <w:rPr>
          <w:rFonts w:ascii="Garamond" w:hAnsi="Garamond" w:cs="Garamond"/>
          <w:spacing w:val="-15"/>
          <w:sz w:val="24"/>
          <w:szCs w:val="24"/>
        </w:rPr>
        <w:t xml:space="preserve"> </w:t>
      </w:r>
      <w:r>
        <w:rPr>
          <w:rFonts w:ascii="Garamond" w:hAnsi="Garamond" w:cs="Garamond"/>
          <w:sz w:val="24"/>
          <w:szCs w:val="24"/>
        </w:rPr>
        <w:t>Federally-Qualified</w:t>
      </w:r>
      <w:r>
        <w:rPr>
          <w:rFonts w:ascii="Garamond" w:hAnsi="Garamond" w:cs="Garamond"/>
          <w:spacing w:val="-18"/>
          <w:sz w:val="24"/>
          <w:szCs w:val="24"/>
        </w:rPr>
        <w:t xml:space="preserve"> </w:t>
      </w:r>
      <w:r>
        <w:rPr>
          <w:rFonts w:ascii="Garamond" w:hAnsi="Garamond" w:cs="Garamond"/>
          <w:sz w:val="24"/>
          <w:szCs w:val="24"/>
        </w:rPr>
        <w:t>Health</w:t>
      </w:r>
      <w:r>
        <w:rPr>
          <w:rFonts w:ascii="Garamond" w:hAnsi="Garamond" w:cs="Garamond"/>
          <w:spacing w:val="-18"/>
          <w:sz w:val="24"/>
          <w:szCs w:val="24"/>
        </w:rPr>
        <w:t xml:space="preserve"> </w:t>
      </w:r>
      <w:r>
        <w:rPr>
          <w:rFonts w:ascii="Garamond" w:hAnsi="Garamond" w:cs="Garamond"/>
          <w:sz w:val="24"/>
          <w:szCs w:val="24"/>
        </w:rPr>
        <w:t>Center</w:t>
      </w:r>
    </w:p>
    <w:p w:rsidR="002C5025" w:rsidRDefault="002C5025">
      <w:pPr>
        <w:pStyle w:val="BodyText"/>
        <w:kinsoku w:val="0"/>
        <w:overflowPunct w:val="0"/>
        <w:spacing w:before="8"/>
        <w:rPr>
          <w:rFonts w:ascii="Garamond" w:hAnsi="Garamond" w:cs="Garamond"/>
          <w:sz w:val="34"/>
          <w:szCs w:val="34"/>
        </w:rPr>
      </w:pPr>
    </w:p>
    <w:p w:rsidR="002C5025" w:rsidRDefault="002C5025">
      <w:pPr>
        <w:pStyle w:val="BodyText"/>
        <w:kinsoku w:val="0"/>
        <w:overflowPunct w:val="0"/>
        <w:spacing w:line="345" w:lineRule="auto"/>
        <w:ind w:left="120" w:right="4558"/>
        <w:rPr>
          <w:rFonts w:ascii="Garamond" w:hAnsi="Garamond" w:cs="Garamond"/>
          <w:sz w:val="24"/>
          <w:szCs w:val="24"/>
        </w:rPr>
      </w:pPr>
      <w:r>
        <w:rPr>
          <w:rFonts w:ascii="Garamond" w:hAnsi="Garamond" w:cs="Garamond"/>
          <w:sz w:val="24"/>
          <w:szCs w:val="24"/>
        </w:rPr>
        <w:t>1199SEIU- United Healthcare Workers East Action for Boston Community Development, Inc. AIDS Action Committee</w:t>
      </w:r>
    </w:p>
    <w:p w:rsidR="002C5025" w:rsidRDefault="002C5025">
      <w:pPr>
        <w:pStyle w:val="BodyText"/>
        <w:kinsoku w:val="0"/>
        <w:overflowPunct w:val="0"/>
        <w:spacing w:line="348" w:lineRule="auto"/>
        <w:ind w:left="119" w:right="4869"/>
        <w:rPr>
          <w:rFonts w:ascii="Garamond" w:hAnsi="Garamond" w:cs="Garamond"/>
          <w:sz w:val="24"/>
          <w:szCs w:val="24"/>
        </w:rPr>
      </w:pPr>
      <w:r>
        <w:rPr>
          <w:rFonts w:ascii="Garamond" w:hAnsi="Garamond" w:cs="Garamond"/>
          <w:sz w:val="24"/>
          <w:szCs w:val="24"/>
        </w:rPr>
        <w:t>Better Oral Health for Massachusetts Coalition Boston Center for Independent Living</w:t>
      </w:r>
    </w:p>
    <w:p w:rsidR="002C5025" w:rsidRDefault="002C5025">
      <w:pPr>
        <w:pStyle w:val="BodyText"/>
        <w:kinsoku w:val="0"/>
        <w:overflowPunct w:val="0"/>
        <w:spacing w:line="345" w:lineRule="auto"/>
        <w:ind w:left="120" w:right="4850"/>
        <w:rPr>
          <w:rFonts w:ascii="Garamond" w:hAnsi="Garamond" w:cs="Garamond"/>
          <w:sz w:val="24"/>
          <w:szCs w:val="24"/>
        </w:rPr>
      </w:pPr>
      <w:r>
        <w:rPr>
          <w:rFonts w:ascii="Garamond" w:hAnsi="Garamond" w:cs="Garamond"/>
          <w:sz w:val="24"/>
          <w:szCs w:val="24"/>
        </w:rPr>
        <w:t>Boston Health Care for the Homeless Program Boston Public Health Commission</w:t>
      </w:r>
    </w:p>
    <w:p w:rsidR="002C5025" w:rsidRDefault="002C5025">
      <w:pPr>
        <w:pStyle w:val="BodyText"/>
        <w:kinsoku w:val="0"/>
        <w:overflowPunct w:val="0"/>
        <w:spacing w:before="9"/>
        <w:ind w:left="119" w:right="269"/>
        <w:rPr>
          <w:rFonts w:ascii="Garamond" w:hAnsi="Garamond" w:cs="Garamond"/>
          <w:sz w:val="24"/>
          <w:szCs w:val="24"/>
        </w:rPr>
      </w:pPr>
      <w:r>
        <w:rPr>
          <w:rFonts w:ascii="Garamond" w:hAnsi="Garamond" w:cs="Garamond"/>
          <w:sz w:val="24"/>
          <w:szCs w:val="24"/>
        </w:rPr>
        <w:t>Children’s Dental Health Project</w:t>
      </w:r>
    </w:p>
    <w:p w:rsidR="002C5025" w:rsidRDefault="002C5025">
      <w:pPr>
        <w:pStyle w:val="BodyText"/>
        <w:kinsoku w:val="0"/>
        <w:overflowPunct w:val="0"/>
        <w:spacing w:before="114" w:line="343" w:lineRule="auto"/>
        <w:ind w:left="120" w:right="4913"/>
        <w:rPr>
          <w:rFonts w:ascii="Garamond" w:hAnsi="Garamond" w:cs="Garamond"/>
          <w:sz w:val="24"/>
          <w:szCs w:val="24"/>
        </w:rPr>
      </w:pPr>
      <w:r>
        <w:rPr>
          <w:rFonts w:ascii="Garamond" w:hAnsi="Garamond" w:cs="Garamond"/>
          <w:sz w:val="24"/>
          <w:szCs w:val="24"/>
        </w:rPr>
        <w:t>Community Health Center of Franklin County Community Servings</w:t>
      </w:r>
    </w:p>
    <w:p w:rsidR="002C5025" w:rsidRDefault="002C5025">
      <w:pPr>
        <w:pStyle w:val="BodyText"/>
        <w:kinsoku w:val="0"/>
        <w:overflowPunct w:val="0"/>
        <w:spacing w:before="5"/>
        <w:ind w:left="119" w:right="269"/>
        <w:rPr>
          <w:rFonts w:ascii="Garamond" w:hAnsi="Garamond" w:cs="Garamond"/>
          <w:sz w:val="24"/>
          <w:szCs w:val="24"/>
        </w:rPr>
      </w:pPr>
      <w:proofErr w:type="spellStart"/>
      <w:r>
        <w:rPr>
          <w:rFonts w:ascii="Garamond" w:hAnsi="Garamond" w:cs="Garamond"/>
          <w:sz w:val="24"/>
          <w:szCs w:val="24"/>
        </w:rPr>
        <w:t>DentaQuest</w:t>
      </w:r>
      <w:proofErr w:type="spellEnd"/>
    </w:p>
    <w:p w:rsidR="002C5025" w:rsidRDefault="002C5025">
      <w:pPr>
        <w:pStyle w:val="BodyText"/>
        <w:kinsoku w:val="0"/>
        <w:overflowPunct w:val="0"/>
        <w:spacing w:before="119" w:line="345" w:lineRule="auto"/>
        <w:ind w:left="120" w:right="6048"/>
        <w:rPr>
          <w:rFonts w:ascii="Garamond" w:hAnsi="Garamond" w:cs="Garamond"/>
          <w:sz w:val="24"/>
          <w:szCs w:val="24"/>
        </w:rPr>
      </w:pPr>
      <w:r>
        <w:rPr>
          <w:rFonts w:ascii="Garamond" w:hAnsi="Garamond" w:cs="Garamond"/>
          <w:sz w:val="24"/>
          <w:szCs w:val="24"/>
        </w:rPr>
        <w:t>Disability Policy Consortium Forsyth Institute</w:t>
      </w:r>
    </w:p>
    <w:p w:rsidR="002C5025" w:rsidRDefault="002C5025">
      <w:pPr>
        <w:pStyle w:val="BodyText"/>
        <w:kinsoku w:val="0"/>
        <w:overflowPunct w:val="0"/>
        <w:spacing w:before="2" w:line="348" w:lineRule="auto"/>
        <w:ind w:left="120" w:right="6048"/>
        <w:rPr>
          <w:rFonts w:ascii="Garamond" w:hAnsi="Garamond" w:cs="Garamond"/>
          <w:sz w:val="24"/>
          <w:szCs w:val="24"/>
        </w:rPr>
      </w:pPr>
      <w:r>
        <w:rPr>
          <w:rFonts w:ascii="Garamond" w:hAnsi="Garamond" w:cs="Garamond"/>
          <w:sz w:val="24"/>
          <w:szCs w:val="24"/>
        </w:rPr>
        <w:t>Forsyth School of Dental Hygiene Harbor Health Services, Inc.</w:t>
      </w:r>
    </w:p>
    <w:p w:rsidR="002C5025" w:rsidRDefault="002C5025">
      <w:pPr>
        <w:pStyle w:val="BodyText"/>
        <w:kinsoku w:val="0"/>
        <w:overflowPunct w:val="0"/>
        <w:spacing w:line="348" w:lineRule="auto"/>
        <w:ind w:left="120" w:right="5323"/>
        <w:rPr>
          <w:rFonts w:ascii="Garamond" w:hAnsi="Garamond" w:cs="Garamond"/>
          <w:sz w:val="24"/>
          <w:szCs w:val="24"/>
        </w:rPr>
      </w:pPr>
      <w:r>
        <w:rPr>
          <w:rFonts w:ascii="Garamond" w:hAnsi="Garamond" w:cs="Garamond"/>
          <w:sz w:val="24"/>
          <w:szCs w:val="24"/>
        </w:rPr>
        <w:t>Harvard School of Dental Medicine Health Care For All</w:t>
      </w:r>
    </w:p>
    <w:p w:rsidR="002C5025" w:rsidRDefault="002C5025">
      <w:pPr>
        <w:pStyle w:val="BodyText"/>
        <w:kinsoku w:val="0"/>
        <w:overflowPunct w:val="0"/>
        <w:spacing w:line="345" w:lineRule="auto"/>
        <w:ind w:left="120" w:right="4305"/>
        <w:rPr>
          <w:rFonts w:ascii="Garamond" w:hAnsi="Garamond" w:cs="Garamond"/>
          <w:sz w:val="24"/>
          <w:szCs w:val="24"/>
        </w:rPr>
      </w:pPr>
      <w:r>
        <w:rPr>
          <w:rFonts w:ascii="Garamond" w:hAnsi="Garamond" w:cs="Garamond"/>
          <w:sz w:val="24"/>
          <w:szCs w:val="24"/>
        </w:rPr>
        <w:t>Massachusetts Dental Hygiene Association Massachusetts League of Community Health Centers MCPHS University</w:t>
      </w:r>
    </w:p>
    <w:p w:rsidR="002C5025" w:rsidRDefault="002C5025">
      <w:pPr>
        <w:pStyle w:val="BodyText"/>
        <w:kinsoku w:val="0"/>
        <w:overflowPunct w:val="0"/>
        <w:spacing w:line="345" w:lineRule="auto"/>
        <w:ind w:left="120" w:right="5168"/>
        <w:rPr>
          <w:rFonts w:ascii="Garamond" w:hAnsi="Garamond" w:cs="Garamond"/>
          <w:sz w:val="24"/>
          <w:szCs w:val="24"/>
        </w:rPr>
      </w:pPr>
      <w:r>
        <w:rPr>
          <w:rFonts w:ascii="Garamond" w:hAnsi="Garamond" w:cs="Garamond"/>
          <w:sz w:val="24"/>
          <w:szCs w:val="24"/>
        </w:rPr>
        <w:t>Partners for a Healthier Community, Inc. Tufts University School of Dental Medicine</w:t>
      </w:r>
    </w:p>
    <w:p w:rsidR="002C5025" w:rsidRDefault="002C5025">
      <w:pPr>
        <w:pStyle w:val="BodyText"/>
        <w:kinsoku w:val="0"/>
        <w:overflowPunct w:val="0"/>
        <w:rPr>
          <w:rFonts w:ascii="Garamond" w:hAnsi="Garamond" w:cs="Garamond"/>
          <w:sz w:val="20"/>
          <w:szCs w:val="20"/>
        </w:rPr>
      </w:pPr>
    </w:p>
    <w:p w:rsidR="002C5025" w:rsidRDefault="002C5025">
      <w:pPr>
        <w:pStyle w:val="BodyText"/>
        <w:kinsoku w:val="0"/>
        <w:overflowPunct w:val="0"/>
        <w:rPr>
          <w:rFonts w:ascii="Garamond" w:hAnsi="Garamond" w:cs="Garamond"/>
          <w:sz w:val="20"/>
          <w:szCs w:val="20"/>
        </w:rPr>
      </w:pPr>
    </w:p>
    <w:p w:rsidR="002C5025" w:rsidRDefault="002C5025">
      <w:pPr>
        <w:pStyle w:val="BodyText"/>
        <w:kinsoku w:val="0"/>
        <w:overflowPunct w:val="0"/>
        <w:rPr>
          <w:rFonts w:ascii="Garamond" w:hAnsi="Garamond" w:cs="Garamond"/>
          <w:sz w:val="20"/>
          <w:szCs w:val="20"/>
        </w:rPr>
      </w:pPr>
    </w:p>
    <w:p w:rsidR="002C5025" w:rsidRDefault="002C5025">
      <w:pPr>
        <w:pStyle w:val="BodyText"/>
        <w:kinsoku w:val="0"/>
        <w:overflowPunct w:val="0"/>
        <w:spacing w:before="3"/>
        <w:rPr>
          <w:rFonts w:ascii="Garamond" w:hAnsi="Garamond" w:cs="Garamond"/>
          <w:sz w:val="21"/>
          <w:szCs w:val="21"/>
        </w:rPr>
      </w:pPr>
    </w:p>
    <w:p w:rsidR="002C5025" w:rsidRDefault="002C5025">
      <w:pPr>
        <w:pStyle w:val="BodyText"/>
        <w:kinsoku w:val="0"/>
        <w:overflowPunct w:val="0"/>
        <w:ind w:left="3236" w:right="3011"/>
        <w:jc w:val="center"/>
        <w:rPr>
          <w:rFonts w:ascii="Garamond" w:hAnsi="Garamond" w:cs="Garamond"/>
        </w:rPr>
      </w:pPr>
      <w:r>
        <w:rPr>
          <w:rFonts w:ascii="Garamond" w:hAnsi="Garamond" w:cs="Garamond"/>
        </w:rPr>
        <w:t>10</w:t>
      </w:r>
    </w:p>
    <w:p w:rsidR="002C5025" w:rsidRDefault="002C5025">
      <w:pPr>
        <w:pStyle w:val="BodyText"/>
        <w:kinsoku w:val="0"/>
        <w:overflowPunct w:val="0"/>
        <w:ind w:left="3236" w:right="3011"/>
        <w:jc w:val="center"/>
        <w:rPr>
          <w:rFonts w:ascii="Garamond" w:hAnsi="Garamond" w:cs="Garamond"/>
        </w:rPr>
        <w:sectPr w:rsidR="002C5025">
          <w:pgSz w:w="12240" w:h="15840"/>
          <w:pgMar w:top="1380" w:right="1540" w:bottom="280" w:left="1320" w:header="720" w:footer="720" w:gutter="0"/>
          <w:cols w:space="720" w:equalWidth="0">
            <w:col w:w="9380"/>
          </w:cols>
          <w:noEndnote/>
        </w:sectPr>
      </w:pPr>
    </w:p>
    <w:p w:rsidR="002C5025" w:rsidRDefault="00FB027C">
      <w:pPr>
        <w:pStyle w:val="BodyText"/>
        <w:kinsoku w:val="0"/>
        <w:overflowPunct w:val="0"/>
        <w:ind w:left="1575"/>
        <w:rPr>
          <w:rFonts w:ascii="Garamond" w:hAnsi="Garamond" w:cs="Garamond"/>
          <w:sz w:val="20"/>
          <w:szCs w:val="20"/>
        </w:rPr>
      </w:pPr>
      <w:r>
        <w:rPr>
          <w:rFonts w:ascii="Garamond" w:hAnsi="Garamond" w:cs="Garamond"/>
          <w:noProof/>
          <w:sz w:val="20"/>
          <w:szCs w:val="20"/>
        </w:rPr>
        <w:lastRenderedPageBreak/>
        <w:drawing>
          <wp:inline distT="0" distB="0" distL="0" distR="0">
            <wp:extent cx="4143375" cy="495300"/>
            <wp:effectExtent l="0" t="0" r="9525"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551">
                      <a:extLst>
                        <a:ext uri="{28A0092B-C50C-407E-A947-70E740481C1C}">
                          <a14:useLocalDpi xmlns:a14="http://schemas.microsoft.com/office/drawing/2010/main" val="0"/>
                        </a:ext>
                      </a:extLst>
                    </a:blip>
                    <a:srcRect/>
                    <a:stretch>
                      <a:fillRect/>
                    </a:stretch>
                  </pic:blipFill>
                  <pic:spPr bwMode="auto">
                    <a:xfrm>
                      <a:off x="0" y="0"/>
                      <a:ext cx="4143375" cy="495300"/>
                    </a:xfrm>
                    <a:prstGeom prst="rect">
                      <a:avLst/>
                    </a:prstGeom>
                    <a:noFill/>
                    <a:ln>
                      <a:noFill/>
                    </a:ln>
                  </pic:spPr>
                </pic:pic>
              </a:graphicData>
            </a:graphic>
          </wp:inline>
        </w:drawing>
      </w:r>
    </w:p>
    <w:p w:rsidR="002C5025" w:rsidRDefault="002C5025">
      <w:pPr>
        <w:pStyle w:val="BodyText"/>
        <w:kinsoku w:val="0"/>
        <w:overflowPunct w:val="0"/>
        <w:rPr>
          <w:rFonts w:ascii="Garamond" w:hAnsi="Garamond" w:cs="Garamond"/>
          <w:sz w:val="20"/>
          <w:szCs w:val="20"/>
        </w:rPr>
      </w:pPr>
    </w:p>
    <w:p w:rsidR="002C5025" w:rsidRDefault="002C5025">
      <w:pPr>
        <w:pStyle w:val="BodyText"/>
        <w:kinsoku w:val="0"/>
        <w:overflowPunct w:val="0"/>
        <w:spacing w:before="1"/>
        <w:rPr>
          <w:rFonts w:ascii="Garamond" w:hAnsi="Garamond" w:cs="Garamond"/>
          <w:sz w:val="21"/>
          <w:szCs w:val="21"/>
        </w:rPr>
      </w:pPr>
    </w:p>
    <w:p w:rsidR="002C5025" w:rsidRDefault="002C5025">
      <w:pPr>
        <w:pStyle w:val="BodyText"/>
        <w:kinsoku w:val="0"/>
        <w:overflowPunct w:val="0"/>
        <w:spacing w:before="69"/>
        <w:ind w:left="120" w:right="296"/>
        <w:rPr>
          <w:rFonts w:ascii="Times New Roman" w:hAnsi="Times New Roman" w:cs="Times New Roman"/>
          <w:sz w:val="24"/>
          <w:szCs w:val="24"/>
        </w:rPr>
      </w:pPr>
      <w:bookmarkStart w:id="249" w:name="Partners_Comments_on_1115_Demonstration_"/>
      <w:bookmarkEnd w:id="249"/>
      <w:r>
        <w:rPr>
          <w:rFonts w:ascii="Times New Roman" w:hAnsi="Times New Roman" w:cs="Times New Roman"/>
          <w:sz w:val="24"/>
          <w:szCs w:val="24"/>
        </w:rPr>
        <w:t>July 16, 2016</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20" w:right="296"/>
        <w:rPr>
          <w:rFonts w:ascii="Times New Roman" w:hAnsi="Times New Roman" w:cs="Times New Roman"/>
          <w:sz w:val="24"/>
          <w:szCs w:val="24"/>
        </w:rPr>
      </w:pPr>
      <w:r>
        <w:rPr>
          <w:rFonts w:ascii="Times New Roman" w:hAnsi="Times New Roman" w:cs="Times New Roman"/>
          <w:sz w:val="24"/>
          <w:szCs w:val="24"/>
        </w:rPr>
        <w:t>Daniel Tsai</w:t>
      </w:r>
    </w:p>
    <w:p w:rsidR="002C5025" w:rsidRDefault="002C5025">
      <w:pPr>
        <w:pStyle w:val="BodyText"/>
        <w:kinsoku w:val="0"/>
        <w:overflowPunct w:val="0"/>
        <w:ind w:left="120" w:right="296"/>
        <w:rPr>
          <w:rFonts w:ascii="Times New Roman" w:hAnsi="Times New Roman" w:cs="Times New Roman"/>
          <w:sz w:val="24"/>
          <w:szCs w:val="24"/>
        </w:rPr>
      </w:pPr>
      <w:r>
        <w:rPr>
          <w:rFonts w:ascii="Times New Roman" w:hAnsi="Times New Roman" w:cs="Times New Roman"/>
          <w:sz w:val="24"/>
          <w:szCs w:val="24"/>
        </w:rPr>
        <w:t>Assistant Secretary for MassHealth</w:t>
      </w:r>
    </w:p>
    <w:p w:rsidR="002C5025" w:rsidRDefault="002C5025">
      <w:pPr>
        <w:pStyle w:val="BodyText"/>
        <w:kinsoku w:val="0"/>
        <w:overflowPunct w:val="0"/>
        <w:spacing w:before="3" w:line="276" w:lineRule="exact"/>
        <w:ind w:left="120" w:right="4694"/>
        <w:rPr>
          <w:rFonts w:ascii="Times New Roman" w:hAnsi="Times New Roman" w:cs="Times New Roman"/>
          <w:sz w:val="24"/>
          <w:szCs w:val="24"/>
        </w:rPr>
      </w:pPr>
      <w:r>
        <w:rPr>
          <w:rFonts w:ascii="Times New Roman" w:hAnsi="Times New Roman" w:cs="Times New Roman"/>
          <w:sz w:val="24"/>
          <w:szCs w:val="24"/>
        </w:rPr>
        <w:t>Executive Office of Health and Human Services One Ashburton Place, 11</w:t>
      </w:r>
      <w:proofErr w:type="spellStart"/>
      <w:r>
        <w:rPr>
          <w:rFonts w:ascii="Times New Roman" w:hAnsi="Times New Roman" w:cs="Times New Roman"/>
          <w:position w:val="11"/>
          <w:sz w:val="16"/>
          <w:szCs w:val="16"/>
        </w:rPr>
        <w:t>th</w:t>
      </w:r>
      <w:proofErr w:type="spellEnd"/>
      <w:r>
        <w:rPr>
          <w:rFonts w:ascii="Times New Roman" w:hAnsi="Times New Roman" w:cs="Times New Roman"/>
          <w:position w:val="11"/>
          <w:sz w:val="16"/>
          <w:szCs w:val="16"/>
        </w:rPr>
        <w:t xml:space="preserve"> </w:t>
      </w:r>
      <w:r>
        <w:rPr>
          <w:rFonts w:ascii="Times New Roman" w:hAnsi="Times New Roman" w:cs="Times New Roman"/>
          <w:sz w:val="24"/>
          <w:szCs w:val="24"/>
        </w:rPr>
        <w:t>Floor</w:t>
      </w:r>
    </w:p>
    <w:p w:rsidR="002C5025" w:rsidRDefault="002C5025">
      <w:pPr>
        <w:pStyle w:val="BodyText"/>
        <w:kinsoku w:val="0"/>
        <w:overflowPunct w:val="0"/>
        <w:spacing w:line="273" w:lineRule="exact"/>
        <w:ind w:left="120" w:right="296"/>
        <w:rPr>
          <w:rFonts w:ascii="Times New Roman" w:hAnsi="Times New Roman" w:cs="Times New Roman"/>
          <w:sz w:val="24"/>
          <w:szCs w:val="24"/>
        </w:rPr>
      </w:pPr>
      <w:r>
        <w:rPr>
          <w:rFonts w:ascii="Times New Roman" w:hAnsi="Times New Roman" w:cs="Times New Roman"/>
          <w:sz w:val="24"/>
          <w:szCs w:val="24"/>
        </w:rPr>
        <w:t>Boston, MA 02108</w:t>
      </w:r>
    </w:p>
    <w:p w:rsidR="002C5025" w:rsidRDefault="002C5025">
      <w:pPr>
        <w:pStyle w:val="BodyText"/>
        <w:kinsoku w:val="0"/>
        <w:overflowPunct w:val="0"/>
        <w:spacing w:before="4"/>
        <w:rPr>
          <w:rFonts w:ascii="Times New Roman" w:hAnsi="Times New Roman" w:cs="Times New Roman"/>
          <w:sz w:val="24"/>
          <w:szCs w:val="24"/>
        </w:rPr>
      </w:pPr>
    </w:p>
    <w:p w:rsidR="002C5025" w:rsidRDefault="002C5025">
      <w:pPr>
        <w:pStyle w:val="BodyText"/>
        <w:kinsoku w:val="0"/>
        <w:overflowPunct w:val="0"/>
        <w:spacing w:before="1"/>
        <w:ind w:left="120" w:right="97"/>
        <w:rPr>
          <w:rFonts w:ascii="Times New Roman" w:hAnsi="Times New Roman" w:cs="Times New Roman"/>
          <w:b/>
          <w:bCs/>
          <w:sz w:val="24"/>
          <w:szCs w:val="24"/>
        </w:rPr>
      </w:pPr>
      <w:r>
        <w:rPr>
          <w:rFonts w:ascii="Times New Roman" w:hAnsi="Times New Roman" w:cs="Times New Roman"/>
          <w:b/>
          <w:bCs/>
          <w:sz w:val="24"/>
          <w:szCs w:val="24"/>
        </w:rPr>
        <w:t>Re: Comments on Section 1115 Demonstration Project Amendment and Extension Request</w:t>
      </w:r>
    </w:p>
    <w:p w:rsidR="002C5025" w:rsidRDefault="002C5025">
      <w:pPr>
        <w:pStyle w:val="BodyText"/>
        <w:kinsoku w:val="0"/>
        <w:overflowPunct w:val="0"/>
        <w:spacing w:before="6"/>
        <w:rPr>
          <w:rFonts w:ascii="Times New Roman" w:hAnsi="Times New Roman" w:cs="Times New Roman"/>
          <w:b/>
          <w:bCs/>
          <w:sz w:val="23"/>
          <w:szCs w:val="23"/>
        </w:rPr>
      </w:pPr>
    </w:p>
    <w:p w:rsidR="002C5025" w:rsidRDefault="002C5025">
      <w:pPr>
        <w:pStyle w:val="BodyText"/>
        <w:kinsoku w:val="0"/>
        <w:overflowPunct w:val="0"/>
        <w:ind w:left="120" w:right="296"/>
        <w:rPr>
          <w:rFonts w:ascii="Times New Roman" w:hAnsi="Times New Roman" w:cs="Times New Roman"/>
          <w:sz w:val="24"/>
          <w:szCs w:val="24"/>
        </w:rPr>
      </w:pPr>
      <w:r>
        <w:rPr>
          <w:rFonts w:ascii="Times New Roman" w:hAnsi="Times New Roman" w:cs="Times New Roman"/>
          <w:sz w:val="24"/>
          <w:szCs w:val="24"/>
        </w:rPr>
        <w:t>Dear Assistant Secretary Tsai:</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19" w:right="136"/>
        <w:rPr>
          <w:rFonts w:ascii="Times New Roman" w:hAnsi="Times New Roman" w:cs="Times New Roman"/>
          <w:sz w:val="24"/>
          <w:szCs w:val="24"/>
        </w:rPr>
      </w:pPr>
      <w:r>
        <w:rPr>
          <w:rFonts w:ascii="Times New Roman" w:hAnsi="Times New Roman" w:cs="Times New Roman"/>
          <w:sz w:val="24"/>
          <w:szCs w:val="24"/>
        </w:rPr>
        <w:t>Thank you for the opportunity to submit comments regarding the Executive Office of Health and Human Service’s Section 1115 Demonstration Project Amendment and Extension Request to amend the state’s Medicaid waiver. We have appreciated the opportunities to supply comments and feedback to you in a variety of formats and settings and acknowledge that many of our formal comments in this letter are concerns that we have previously raised. We greatly value these opportunities and our collaborative relationship with MassHealth.</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19" w:right="258"/>
        <w:jc w:val="both"/>
        <w:rPr>
          <w:rFonts w:ascii="Times New Roman" w:hAnsi="Times New Roman" w:cs="Times New Roman"/>
          <w:sz w:val="24"/>
          <w:szCs w:val="24"/>
        </w:rPr>
      </w:pPr>
      <w:r>
        <w:rPr>
          <w:rFonts w:ascii="Times New Roman" w:hAnsi="Times New Roman" w:cs="Times New Roman"/>
          <w:sz w:val="24"/>
          <w:szCs w:val="24"/>
        </w:rPr>
        <w:t>We respectfully submit the following comments to EOHHS on the Section 1115 Demonstration Project Amendment and Extension Request and we look forward to our ongoing discussion and collaboration on new models of care for low-income patients.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20" w:right="296"/>
        <w:rPr>
          <w:rFonts w:ascii="Times New Roman" w:hAnsi="Times New Roman" w:cs="Times New Roman"/>
          <w:i/>
          <w:iCs/>
          <w:sz w:val="24"/>
          <w:szCs w:val="24"/>
        </w:rPr>
      </w:pPr>
      <w:r>
        <w:rPr>
          <w:rFonts w:ascii="Times New Roman" w:hAnsi="Times New Roman" w:cs="Times New Roman"/>
          <w:i/>
          <w:iCs/>
          <w:sz w:val="24"/>
          <w:szCs w:val="24"/>
          <w:u w:val="single" w:color="000000"/>
        </w:rPr>
        <w:t>ACO financing and payment methodologies:</w:t>
      </w:r>
    </w:p>
    <w:p w:rsidR="002C5025" w:rsidRDefault="002C5025">
      <w:pPr>
        <w:pStyle w:val="BodyText"/>
        <w:kinsoku w:val="0"/>
        <w:overflowPunct w:val="0"/>
        <w:spacing w:before="11"/>
        <w:rPr>
          <w:rFonts w:ascii="Times New Roman" w:hAnsi="Times New Roman" w:cs="Times New Roman"/>
          <w:i/>
          <w:iCs/>
          <w:sz w:val="17"/>
          <w:szCs w:val="17"/>
        </w:rPr>
      </w:pPr>
    </w:p>
    <w:p w:rsidR="002C5025" w:rsidRDefault="002C5025">
      <w:pPr>
        <w:pStyle w:val="BodyText"/>
        <w:kinsoku w:val="0"/>
        <w:overflowPunct w:val="0"/>
        <w:spacing w:before="69"/>
        <w:ind w:left="120" w:right="296"/>
        <w:rPr>
          <w:rFonts w:ascii="Times New Roman" w:hAnsi="Times New Roman" w:cs="Times New Roman"/>
          <w:sz w:val="24"/>
          <w:szCs w:val="24"/>
        </w:rPr>
      </w:pPr>
      <w:r>
        <w:rPr>
          <w:rFonts w:ascii="Times New Roman" w:hAnsi="Times New Roman" w:cs="Times New Roman"/>
          <w:sz w:val="24"/>
          <w:szCs w:val="24"/>
        </w:rPr>
        <w:t>As you are well aware, MassHealth members represent a highly complex, heterogeneous group of patients, many of whom experience significant medical and behavioral health complexity.</w:t>
      </w:r>
    </w:p>
    <w:p w:rsidR="002C5025" w:rsidRDefault="002C5025">
      <w:pPr>
        <w:pStyle w:val="BodyText"/>
        <w:kinsoku w:val="0"/>
        <w:overflowPunct w:val="0"/>
        <w:ind w:left="120" w:right="711"/>
        <w:jc w:val="both"/>
        <w:rPr>
          <w:rFonts w:ascii="Times New Roman" w:hAnsi="Times New Roman" w:cs="Times New Roman"/>
          <w:sz w:val="24"/>
          <w:szCs w:val="24"/>
        </w:rPr>
      </w:pPr>
      <w:r>
        <w:rPr>
          <w:rFonts w:ascii="Times New Roman" w:hAnsi="Times New Roman" w:cs="Times New Roman"/>
          <w:sz w:val="24"/>
          <w:szCs w:val="24"/>
        </w:rPr>
        <w:t>Moreover, given the fluid nature of coverage and eligibility, patients frequently move from MassHealth to other coverage, adding further challenge to risk-based payment, particularly downside risk.</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20" w:right="230"/>
        <w:rPr>
          <w:rFonts w:ascii="Times New Roman" w:hAnsi="Times New Roman" w:cs="Times New Roman"/>
          <w:sz w:val="24"/>
          <w:szCs w:val="24"/>
        </w:rPr>
      </w:pPr>
      <w:r>
        <w:rPr>
          <w:rFonts w:ascii="Times New Roman" w:hAnsi="Times New Roman" w:cs="Times New Roman"/>
          <w:sz w:val="24"/>
          <w:szCs w:val="24"/>
        </w:rPr>
        <w:t>Currently, MassHealth reimburses care at a lower rate than cost, which accounted for over $383 million in losses to our delivery system last year for the care we provided to low-income individuals and families on MassHealth. We urge the state to consider flexibility on the down- side risk for this population, particularly as it works to review data, payment, and risk methodologies for this new care delivery model. We are concerned that we have insufficient information on DSRIP PMPY amounts in order to plan and evaluate the feasibility of our potential ACO programs and expect that this information will be available to us very soon. We are also concerned that MassHealth has not been able to provide comprehensive data for our PCC plan patients and what this signals for MassHealth capabilities to support the ACO program.</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10"/>
        <w:rPr>
          <w:rFonts w:ascii="Times New Roman" w:hAnsi="Times New Roman" w:cs="Times New Roman"/>
          <w:sz w:val="28"/>
          <w:szCs w:val="28"/>
        </w:rPr>
      </w:pPr>
    </w:p>
    <w:p w:rsidR="002C5025" w:rsidRDefault="002C5025">
      <w:pPr>
        <w:pStyle w:val="BodyText"/>
        <w:kinsoku w:val="0"/>
        <w:overflowPunct w:val="0"/>
        <w:spacing w:before="77"/>
        <w:ind w:right="99"/>
        <w:jc w:val="right"/>
        <w:rPr>
          <w:rFonts w:ascii="Times New Roman" w:hAnsi="Times New Roman" w:cs="Times New Roman"/>
          <w:b/>
          <w:bCs/>
          <w:sz w:val="18"/>
          <w:szCs w:val="18"/>
        </w:rPr>
      </w:pPr>
      <w:r>
        <w:rPr>
          <w:rFonts w:ascii="Times New Roman" w:hAnsi="Times New Roman" w:cs="Times New Roman"/>
          <w:sz w:val="18"/>
          <w:szCs w:val="18"/>
        </w:rPr>
        <w:t xml:space="preserve">Page </w:t>
      </w:r>
      <w:r>
        <w:rPr>
          <w:rFonts w:ascii="Times New Roman" w:hAnsi="Times New Roman" w:cs="Times New Roman"/>
          <w:b/>
          <w:bCs/>
          <w:sz w:val="18"/>
          <w:szCs w:val="18"/>
        </w:rPr>
        <w:t xml:space="preserve">1 </w:t>
      </w:r>
      <w:r>
        <w:rPr>
          <w:rFonts w:ascii="Times New Roman" w:hAnsi="Times New Roman" w:cs="Times New Roman"/>
          <w:sz w:val="18"/>
          <w:szCs w:val="18"/>
        </w:rPr>
        <w:t xml:space="preserve">of </w:t>
      </w:r>
      <w:r>
        <w:rPr>
          <w:rFonts w:ascii="Times New Roman" w:hAnsi="Times New Roman" w:cs="Times New Roman"/>
          <w:b/>
          <w:bCs/>
          <w:sz w:val="18"/>
          <w:szCs w:val="18"/>
        </w:rPr>
        <w:t>3</w:t>
      </w:r>
    </w:p>
    <w:p w:rsidR="002C5025" w:rsidRDefault="002C5025">
      <w:pPr>
        <w:pStyle w:val="BodyText"/>
        <w:kinsoku w:val="0"/>
        <w:overflowPunct w:val="0"/>
        <w:spacing w:before="77"/>
        <w:ind w:right="99"/>
        <w:jc w:val="right"/>
        <w:rPr>
          <w:rFonts w:ascii="Times New Roman" w:hAnsi="Times New Roman" w:cs="Times New Roman"/>
          <w:b/>
          <w:bCs/>
          <w:sz w:val="18"/>
          <w:szCs w:val="18"/>
        </w:rPr>
        <w:sectPr w:rsidR="002C5025">
          <w:pgSz w:w="12240" w:h="15840"/>
          <w:pgMar w:top="1360" w:right="1340" w:bottom="280" w:left="1320" w:header="720" w:footer="720" w:gutter="0"/>
          <w:cols w:space="720" w:equalWidth="0">
            <w:col w:w="9580"/>
          </w:cols>
          <w:noEndnote/>
        </w:sectPr>
      </w:pPr>
    </w:p>
    <w:p w:rsidR="002C5025" w:rsidRDefault="002C5025">
      <w:pPr>
        <w:pStyle w:val="BodyText"/>
        <w:kinsoku w:val="0"/>
        <w:overflowPunct w:val="0"/>
        <w:spacing w:before="45"/>
        <w:ind w:left="120" w:right="188"/>
        <w:rPr>
          <w:rFonts w:ascii="Times New Roman" w:hAnsi="Times New Roman" w:cs="Times New Roman"/>
          <w:sz w:val="24"/>
          <w:szCs w:val="24"/>
        </w:rPr>
      </w:pPr>
      <w:r>
        <w:rPr>
          <w:rFonts w:ascii="Times New Roman" w:hAnsi="Times New Roman" w:cs="Times New Roman"/>
          <w:sz w:val="24"/>
          <w:szCs w:val="24"/>
        </w:rPr>
        <w:lastRenderedPageBreak/>
        <w:t>We would ask for MassHealth’s commitment to work closely with ACOs to ensure that DSRIP funds are distributed in proportion to the patients whom the money is intended to serve, and in ways that support the work and investments of the ACOs.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20" w:right="296"/>
        <w:rPr>
          <w:rFonts w:ascii="Times New Roman" w:hAnsi="Times New Roman" w:cs="Times New Roman"/>
          <w:i/>
          <w:iCs/>
          <w:sz w:val="24"/>
          <w:szCs w:val="24"/>
        </w:rPr>
      </w:pPr>
      <w:r>
        <w:rPr>
          <w:rFonts w:ascii="Times New Roman" w:hAnsi="Times New Roman" w:cs="Times New Roman"/>
          <w:i/>
          <w:iCs/>
          <w:sz w:val="24"/>
          <w:szCs w:val="24"/>
          <w:u w:val="single" w:color="000000"/>
        </w:rPr>
        <w:t>PCP participation in ACOs:</w:t>
      </w:r>
    </w:p>
    <w:p w:rsidR="002C5025" w:rsidRDefault="002C5025">
      <w:pPr>
        <w:pStyle w:val="BodyText"/>
        <w:kinsoku w:val="0"/>
        <w:overflowPunct w:val="0"/>
        <w:spacing w:before="11"/>
        <w:rPr>
          <w:rFonts w:ascii="Times New Roman" w:hAnsi="Times New Roman" w:cs="Times New Roman"/>
          <w:i/>
          <w:iCs/>
          <w:sz w:val="17"/>
          <w:szCs w:val="17"/>
        </w:rPr>
      </w:pPr>
    </w:p>
    <w:p w:rsidR="002C5025" w:rsidRDefault="002C5025">
      <w:pPr>
        <w:pStyle w:val="BodyText"/>
        <w:kinsoku w:val="0"/>
        <w:overflowPunct w:val="0"/>
        <w:spacing w:before="69"/>
        <w:ind w:left="120" w:right="162"/>
        <w:rPr>
          <w:rFonts w:ascii="Times New Roman" w:hAnsi="Times New Roman" w:cs="Times New Roman"/>
          <w:sz w:val="24"/>
          <w:szCs w:val="24"/>
        </w:rPr>
      </w:pPr>
      <w:r>
        <w:rPr>
          <w:rFonts w:ascii="Times New Roman" w:hAnsi="Times New Roman" w:cs="Times New Roman"/>
          <w:sz w:val="24"/>
          <w:szCs w:val="24"/>
        </w:rPr>
        <w:t>The waiver specifies that PCPs will be limited to serving only those patients who have selected their ACO from day one.  While we understand why a PCP would not be allowed to participate as providers in multiple ACOs, we are concerned about what this means for longstanding patients who have not yet selected the ACO, or for new patients who are not yet able to be attributed to that PCP via the ACO attribution methodology, or for patients who may continue to be in an MCO outside of an ACO. Unless a PCP’s entire panel can be converted over to the ACO on day one and any new patients automatically attributed, we would ask MassHealth to consider flexibility in the timeline for program implementation and launch to address these concerns.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20" w:right="296"/>
        <w:rPr>
          <w:rFonts w:ascii="Times New Roman" w:hAnsi="Times New Roman" w:cs="Times New Roman"/>
          <w:i/>
          <w:iCs/>
          <w:sz w:val="24"/>
          <w:szCs w:val="24"/>
        </w:rPr>
      </w:pPr>
      <w:r>
        <w:rPr>
          <w:rFonts w:ascii="Times New Roman" w:hAnsi="Times New Roman" w:cs="Times New Roman"/>
          <w:i/>
          <w:iCs/>
          <w:sz w:val="24"/>
          <w:szCs w:val="24"/>
          <w:u w:val="single" w:color="000000"/>
        </w:rPr>
        <w:t>Member experience:</w:t>
      </w:r>
    </w:p>
    <w:p w:rsidR="002C5025" w:rsidRDefault="002C5025">
      <w:pPr>
        <w:pStyle w:val="BodyText"/>
        <w:kinsoku w:val="0"/>
        <w:overflowPunct w:val="0"/>
        <w:spacing w:before="11"/>
        <w:rPr>
          <w:rFonts w:ascii="Times New Roman" w:hAnsi="Times New Roman" w:cs="Times New Roman"/>
          <w:i/>
          <w:iCs/>
          <w:sz w:val="17"/>
          <w:szCs w:val="17"/>
        </w:rPr>
      </w:pPr>
    </w:p>
    <w:p w:rsidR="002C5025" w:rsidRDefault="002C5025">
      <w:pPr>
        <w:pStyle w:val="BodyText"/>
        <w:kinsoku w:val="0"/>
        <w:overflowPunct w:val="0"/>
        <w:spacing w:before="69"/>
        <w:ind w:left="120" w:right="166"/>
        <w:rPr>
          <w:rFonts w:ascii="Times New Roman" w:hAnsi="Times New Roman" w:cs="Times New Roman"/>
          <w:sz w:val="24"/>
          <w:szCs w:val="24"/>
        </w:rPr>
      </w:pPr>
      <w:r>
        <w:rPr>
          <w:rFonts w:ascii="Times New Roman" w:hAnsi="Times New Roman" w:cs="Times New Roman"/>
          <w:sz w:val="24"/>
          <w:szCs w:val="24"/>
        </w:rPr>
        <w:t>While we recognize the need to incentivize MassHealth members to select ACOs, we are worried about the reliance on measures that reduce benefits and increase cost sharing for members. The addition of these elements will create confusion for members who are already navigating a complex system of coverage, and adding copays for Medicaid members more often simply results in bad debt for providers. These elements will also contribute to adverse selection between MCO and PCC Plan programs whereby only members with greater service needs will migrate to MCO/ACO program and it is not clear that risk adjustment will compensate for these shifts. We would ask that the state work with the ACOs to devise positive and effective ways to promote the advantages of ACOs, before resorting to these more punitive means of encouragement.</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20" w:right="296"/>
        <w:rPr>
          <w:rFonts w:ascii="Times New Roman" w:hAnsi="Times New Roman" w:cs="Times New Roman"/>
          <w:i/>
          <w:iCs/>
          <w:sz w:val="24"/>
          <w:szCs w:val="24"/>
        </w:rPr>
      </w:pPr>
      <w:r>
        <w:rPr>
          <w:rFonts w:ascii="Times New Roman" w:hAnsi="Times New Roman" w:cs="Times New Roman"/>
          <w:i/>
          <w:iCs/>
          <w:sz w:val="24"/>
          <w:szCs w:val="24"/>
          <w:u w:val="single" w:color="000000"/>
        </w:rPr>
        <w:t>Safety Net Care Pool:</w:t>
      </w:r>
    </w:p>
    <w:p w:rsidR="002C5025" w:rsidRDefault="002C5025">
      <w:pPr>
        <w:pStyle w:val="BodyText"/>
        <w:kinsoku w:val="0"/>
        <w:overflowPunct w:val="0"/>
        <w:spacing w:before="11"/>
        <w:rPr>
          <w:rFonts w:ascii="Times New Roman" w:hAnsi="Times New Roman" w:cs="Times New Roman"/>
          <w:i/>
          <w:iCs/>
          <w:sz w:val="17"/>
          <w:szCs w:val="17"/>
        </w:rPr>
      </w:pPr>
    </w:p>
    <w:p w:rsidR="002C5025" w:rsidRDefault="002C5025">
      <w:pPr>
        <w:pStyle w:val="BodyText"/>
        <w:kinsoku w:val="0"/>
        <w:overflowPunct w:val="0"/>
        <w:spacing w:before="69"/>
        <w:ind w:left="119" w:right="109"/>
        <w:rPr>
          <w:rFonts w:ascii="Times New Roman" w:hAnsi="Times New Roman" w:cs="Times New Roman"/>
          <w:sz w:val="24"/>
          <w:szCs w:val="24"/>
        </w:rPr>
      </w:pPr>
      <w:r>
        <w:rPr>
          <w:rFonts w:ascii="Times New Roman" w:hAnsi="Times New Roman" w:cs="Times New Roman"/>
          <w:sz w:val="24"/>
          <w:szCs w:val="24"/>
        </w:rPr>
        <w:t>We commend the financial support to providers in general, and safety net hospitals in particular, proposed in the SNCP restructuring. This support is critical to safety net hospitals as they do not have strong private sector revenue bases to cross-subsidize public payer losses. We further commend MassHealth for its proposal to increase the number of qualifying hospitals from the current 7 to 11, demonstrating its willingness to continue to recognize the extraordinary commitment of this subset of hospitals to care for the Commonwealth’s most vulnerable citizens.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20" w:right="143"/>
        <w:rPr>
          <w:rFonts w:ascii="Times New Roman" w:hAnsi="Times New Roman" w:cs="Times New Roman"/>
          <w:sz w:val="24"/>
          <w:szCs w:val="24"/>
        </w:rPr>
      </w:pPr>
      <w:r>
        <w:rPr>
          <w:rFonts w:ascii="Times New Roman" w:hAnsi="Times New Roman" w:cs="Times New Roman"/>
          <w:sz w:val="24"/>
          <w:szCs w:val="24"/>
        </w:rPr>
        <w:t>We welcome the proposed establishment of a “UCC Pool” to provide additional payments to hospitals, community health centers, DPH/DMH hospitals and IMDs for uninsured uncompensated care.  We trust these additional payments will ameliorate the significant shortfall</w:t>
      </w:r>
    </w:p>
    <w:p w:rsidR="002C5025" w:rsidRDefault="002C5025">
      <w:pPr>
        <w:pStyle w:val="BodyText"/>
        <w:kinsoku w:val="0"/>
        <w:overflowPunct w:val="0"/>
        <w:ind w:left="120" w:right="296"/>
        <w:rPr>
          <w:rFonts w:ascii="Times New Roman" w:hAnsi="Times New Roman" w:cs="Times New Roman"/>
          <w:sz w:val="24"/>
          <w:szCs w:val="24"/>
        </w:rPr>
      </w:pPr>
      <w:r>
        <w:rPr>
          <w:rFonts w:ascii="Times New Roman" w:hAnsi="Times New Roman" w:cs="Times New Roman"/>
          <w:sz w:val="24"/>
          <w:szCs w:val="24"/>
        </w:rPr>
        <w:t>– with estimates approaching $100 million for FY 2016 - in the Health Safety Net.</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20" w:right="296"/>
        <w:rPr>
          <w:rFonts w:ascii="Times New Roman" w:hAnsi="Times New Roman" w:cs="Times New Roman"/>
          <w:sz w:val="24"/>
          <w:szCs w:val="24"/>
        </w:rPr>
      </w:pPr>
      <w:r>
        <w:rPr>
          <w:rFonts w:ascii="Times New Roman" w:hAnsi="Times New Roman" w:cs="Times New Roman"/>
          <w:sz w:val="24"/>
          <w:szCs w:val="24"/>
        </w:rPr>
        <w:t>Finally, we note that the absence of detailed information regarding the Safety Net Financing in the waiver proposal prevents us from further comment. As stakeholders, it is important that we have a full understanding of the proposed financing and urge MassHealth to provide this information as soon as possible.</w:t>
      </w:r>
    </w:p>
    <w:p w:rsidR="002C5025" w:rsidRDefault="002C5025">
      <w:pPr>
        <w:pStyle w:val="BodyText"/>
        <w:kinsoku w:val="0"/>
        <w:overflowPunct w:val="0"/>
        <w:spacing w:before="8"/>
        <w:rPr>
          <w:rFonts w:ascii="Times New Roman" w:hAnsi="Times New Roman" w:cs="Times New Roman"/>
          <w:sz w:val="20"/>
          <w:szCs w:val="20"/>
        </w:rPr>
      </w:pPr>
    </w:p>
    <w:p w:rsidR="002C5025" w:rsidRDefault="002C5025">
      <w:pPr>
        <w:pStyle w:val="BodyText"/>
        <w:kinsoku w:val="0"/>
        <w:overflowPunct w:val="0"/>
        <w:spacing w:before="77"/>
        <w:ind w:right="99"/>
        <w:jc w:val="right"/>
        <w:rPr>
          <w:rFonts w:ascii="Times New Roman" w:hAnsi="Times New Roman" w:cs="Times New Roman"/>
          <w:b/>
          <w:bCs/>
          <w:sz w:val="18"/>
          <w:szCs w:val="18"/>
        </w:rPr>
      </w:pPr>
      <w:r>
        <w:rPr>
          <w:rFonts w:ascii="Times New Roman" w:hAnsi="Times New Roman" w:cs="Times New Roman"/>
          <w:sz w:val="18"/>
          <w:szCs w:val="18"/>
        </w:rPr>
        <w:t xml:space="preserve">Page </w:t>
      </w:r>
      <w:r>
        <w:rPr>
          <w:rFonts w:ascii="Times New Roman" w:hAnsi="Times New Roman" w:cs="Times New Roman"/>
          <w:b/>
          <w:bCs/>
          <w:sz w:val="18"/>
          <w:szCs w:val="18"/>
        </w:rPr>
        <w:t xml:space="preserve">2 </w:t>
      </w:r>
      <w:r>
        <w:rPr>
          <w:rFonts w:ascii="Times New Roman" w:hAnsi="Times New Roman" w:cs="Times New Roman"/>
          <w:sz w:val="18"/>
          <w:szCs w:val="18"/>
        </w:rPr>
        <w:t xml:space="preserve">of </w:t>
      </w:r>
      <w:r>
        <w:rPr>
          <w:rFonts w:ascii="Times New Roman" w:hAnsi="Times New Roman" w:cs="Times New Roman"/>
          <w:b/>
          <w:bCs/>
          <w:sz w:val="18"/>
          <w:szCs w:val="18"/>
        </w:rPr>
        <w:t>3</w:t>
      </w:r>
    </w:p>
    <w:p w:rsidR="002C5025" w:rsidRDefault="002C5025">
      <w:pPr>
        <w:pStyle w:val="BodyText"/>
        <w:kinsoku w:val="0"/>
        <w:overflowPunct w:val="0"/>
        <w:spacing w:before="77"/>
        <w:ind w:right="99"/>
        <w:jc w:val="right"/>
        <w:rPr>
          <w:rFonts w:ascii="Times New Roman" w:hAnsi="Times New Roman" w:cs="Times New Roman"/>
          <w:b/>
          <w:bCs/>
          <w:sz w:val="18"/>
          <w:szCs w:val="18"/>
        </w:rPr>
        <w:sectPr w:rsidR="002C5025">
          <w:pgSz w:w="12240" w:h="15840"/>
          <w:pgMar w:top="1300" w:right="1340" w:bottom="280" w:left="1320" w:header="720" w:footer="720" w:gutter="0"/>
          <w:cols w:space="720"/>
          <w:noEndnote/>
        </w:sectPr>
      </w:pPr>
    </w:p>
    <w:p w:rsidR="002C5025" w:rsidRDefault="002C5025">
      <w:pPr>
        <w:pStyle w:val="BodyText"/>
        <w:kinsoku w:val="0"/>
        <w:overflowPunct w:val="0"/>
        <w:spacing w:before="45"/>
        <w:ind w:left="120"/>
        <w:rPr>
          <w:rFonts w:ascii="Times New Roman" w:hAnsi="Times New Roman" w:cs="Times New Roman"/>
          <w:i/>
          <w:iCs/>
          <w:sz w:val="24"/>
          <w:szCs w:val="24"/>
        </w:rPr>
      </w:pPr>
      <w:r>
        <w:rPr>
          <w:rFonts w:ascii="Times New Roman" w:hAnsi="Times New Roman" w:cs="Times New Roman"/>
          <w:i/>
          <w:iCs/>
          <w:sz w:val="24"/>
          <w:szCs w:val="24"/>
          <w:u w:val="single" w:color="000000"/>
        </w:rPr>
        <w:lastRenderedPageBreak/>
        <w:t>Community partnerships - behavioral health:</w:t>
      </w:r>
    </w:p>
    <w:p w:rsidR="002C5025" w:rsidRDefault="002C5025">
      <w:pPr>
        <w:pStyle w:val="BodyText"/>
        <w:kinsoku w:val="0"/>
        <w:overflowPunct w:val="0"/>
        <w:spacing w:before="11"/>
        <w:rPr>
          <w:rFonts w:ascii="Times New Roman" w:hAnsi="Times New Roman" w:cs="Times New Roman"/>
          <w:i/>
          <w:iCs/>
          <w:sz w:val="17"/>
          <w:szCs w:val="17"/>
        </w:rPr>
      </w:pPr>
    </w:p>
    <w:p w:rsidR="002C5025" w:rsidRDefault="002C5025">
      <w:pPr>
        <w:pStyle w:val="BodyText"/>
        <w:kinsoku w:val="0"/>
        <w:overflowPunct w:val="0"/>
        <w:spacing w:before="69"/>
        <w:ind w:left="120" w:right="229"/>
        <w:rPr>
          <w:rFonts w:ascii="Times New Roman" w:hAnsi="Times New Roman" w:cs="Times New Roman"/>
          <w:sz w:val="24"/>
          <w:szCs w:val="24"/>
        </w:rPr>
      </w:pPr>
      <w:r>
        <w:rPr>
          <w:rFonts w:ascii="Times New Roman" w:hAnsi="Times New Roman" w:cs="Times New Roman"/>
          <w:sz w:val="24"/>
          <w:szCs w:val="24"/>
        </w:rPr>
        <w:t>We are supportive of the oversight role that the state proposes to play with respect to certified behavioral health providers. Establishing quality and/or process metrics would optimally be a collaborative process among MassHealth, the ACOs, and the community organizations, rather than a top down approach. We would also note that community support services that are already incorporated within potential ACO organizations should not be considered less of a resource than those of an independent entity. As in most aspects of defining the model approach, flexibility is key in defining the roles of care coordination and management for the ACOs and their community partners.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20"/>
        <w:rPr>
          <w:rFonts w:ascii="Times New Roman" w:hAnsi="Times New Roman" w:cs="Times New Roman"/>
          <w:i/>
          <w:iCs/>
          <w:sz w:val="24"/>
          <w:szCs w:val="24"/>
        </w:rPr>
      </w:pPr>
      <w:r>
        <w:rPr>
          <w:rFonts w:ascii="Times New Roman" w:hAnsi="Times New Roman" w:cs="Times New Roman"/>
          <w:i/>
          <w:iCs/>
          <w:sz w:val="24"/>
          <w:szCs w:val="24"/>
          <w:u w:val="single" w:color="000000"/>
        </w:rPr>
        <w:t>Substance use disorders:</w:t>
      </w:r>
    </w:p>
    <w:p w:rsidR="002C5025" w:rsidRDefault="002C5025">
      <w:pPr>
        <w:pStyle w:val="BodyText"/>
        <w:kinsoku w:val="0"/>
        <w:overflowPunct w:val="0"/>
        <w:spacing w:before="11"/>
        <w:rPr>
          <w:rFonts w:ascii="Times New Roman" w:hAnsi="Times New Roman" w:cs="Times New Roman"/>
          <w:i/>
          <w:iCs/>
          <w:sz w:val="17"/>
          <w:szCs w:val="17"/>
        </w:rPr>
      </w:pPr>
    </w:p>
    <w:p w:rsidR="002C5025" w:rsidRDefault="002C5025">
      <w:pPr>
        <w:pStyle w:val="BodyText"/>
        <w:kinsoku w:val="0"/>
        <w:overflowPunct w:val="0"/>
        <w:spacing w:before="69"/>
        <w:ind w:left="120" w:right="329"/>
        <w:rPr>
          <w:rFonts w:ascii="Times New Roman" w:hAnsi="Times New Roman" w:cs="Times New Roman"/>
          <w:sz w:val="24"/>
          <w:szCs w:val="24"/>
        </w:rPr>
      </w:pPr>
      <w:r>
        <w:rPr>
          <w:rFonts w:ascii="Times New Roman" w:hAnsi="Times New Roman" w:cs="Times New Roman"/>
          <w:sz w:val="24"/>
          <w:szCs w:val="24"/>
        </w:rPr>
        <w:t>We applaud the state for its thoughtful and comprehensive approach to enhancing services for people with substance use disorders. We request that the state consider the explicit mention of the need and requirement of pharmacotherapy for patients within transitional support services as well as in residential rehabilitation services.  It is also critically important that we have residential settings that can handle medically co-morbid patients, such as those who need IV antibiotics. We urge the state to consider adding a similar model for those with medical need to its noted accommodation for higher intensity services for those with co-occurring psychological illness.</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20"/>
        <w:rPr>
          <w:rFonts w:ascii="Times New Roman" w:hAnsi="Times New Roman" w:cs="Times New Roman"/>
          <w:i/>
          <w:iCs/>
          <w:sz w:val="24"/>
          <w:szCs w:val="24"/>
        </w:rPr>
      </w:pPr>
      <w:r>
        <w:rPr>
          <w:rFonts w:ascii="Times New Roman" w:hAnsi="Times New Roman" w:cs="Times New Roman"/>
          <w:i/>
          <w:iCs/>
          <w:sz w:val="24"/>
          <w:szCs w:val="24"/>
          <w:u w:val="single" w:color="000000"/>
        </w:rPr>
        <w:t>Pediatrics:</w:t>
      </w:r>
    </w:p>
    <w:p w:rsidR="002C5025" w:rsidRDefault="002C5025">
      <w:pPr>
        <w:pStyle w:val="BodyText"/>
        <w:kinsoku w:val="0"/>
        <w:overflowPunct w:val="0"/>
        <w:spacing w:before="11"/>
        <w:rPr>
          <w:rFonts w:ascii="Times New Roman" w:hAnsi="Times New Roman" w:cs="Times New Roman"/>
          <w:i/>
          <w:iCs/>
          <w:sz w:val="17"/>
          <w:szCs w:val="17"/>
        </w:rPr>
      </w:pPr>
    </w:p>
    <w:p w:rsidR="002C5025" w:rsidRDefault="002C5025">
      <w:pPr>
        <w:pStyle w:val="BodyText"/>
        <w:kinsoku w:val="0"/>
        <w:overflowPunct w:val="0"/>
        <w:spacing w:before="69"/>
        <w:ind w:left="119" w:right="244"/>
        <w:rPr>
          <w:rFonts w:ascii="Times New Roman" w:hAnsi="Times New Roman" w:cs="Times New Roman"/>
          <w:sz w:val="24"/>
          <w:szCs w:val="24"/>
        </w:rPr>
      </w:pPr>
      <w:r>
        <w:rPr>
          <w:rFonts w:ascii="Times New Roman" w:hAnsi="Times New Roman" w:cs="Times New Roman"/>
          <w:sz w:val="24"/>
          <w:szCs w:val="24"/>
        </w:rPr>
        <w:t>Many of the key components of the waiver offer real opportunities to address important items in care for children and youth.  Yet, it is critical to recognize that children and youth – who comprise almost 40% of MassHealth enrollees – have substantially different health care needs, life course health trajectories, and social determinants that affect their health and well-being. We urge the state to take this into consideration when developing plans for children with chronic conditions, network adequacy, timely data sharing, support for the social determinants of care, and appropriate methods for patient attribution for children. On all of these fronts, we encourage the state to reach out to the pediatric community to help determine best care practices for low- income children and youth.</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ind w:left="119" w:right="436"/>
        <w:rPr>
          <w:rFonts w:ascii="Times New Roman" w:hAnsi="Times New Roman" w:cs="Times New Roman"/>
          <w:sz w:val="24"/>
          <w:szCs w:val="24"/>
        </w:rPr>
      </w:pPr>
      <w:r>
        <w:rPr>
          <w:rFonts w:ascii="Times New Roman" w:hAnsi="Times New Roman" w:cs="Times New Roman"/>
          <w:sz w:val="24"/>
          <w:szCs w:val="24"/>
        </w:rPr>
        <w:t>Thank you again for this opportunity to continue to take part in the ongoing dialogue about this important and ambitious work. We look forward to our continued discussion and engagement through the waiver and MassHealth ACO implementation processes.</w:t>
      </w:r>
    </w:p>
    <w:p w:rsidR="002C5025" w:rsidRDefault="002C5025">
      <w:pPr>
        <w:pStyle w:val="BodyText"/>
        <w:kinsoku w:val="0"/>
        <w:overflowPunct w:val="0"/>
        <w:rPr>
          <w:rFonts w:ascii="Times New Roman" w:hAnsi="Times New Roman" w:cs="Times New Roman"/>
          <w:sz w:val="24"/>
          <w:szCs w:val="24"/>
        </w:rPr>
      </w:pPr>
    </w:p>
    <w:p w:rsidR="002C5025" w:rsidRDefault="00FB027C">
      <w:pPr>
        <w:pStyle w:val="BodyText"/>
        <w:kinsoku w:val="0"/>
        <w:overflowPunct w:val="0"/>
        <w:ind w:left="119"/>
        <w:rPr>
          <w:rFonts w:ascii="Times New Roman" w:hAnsi="Times New Roman" w:cs="Times New Roman"/>
          <w:sz w:val="24"/>
          <w:szCs w:val="24"/>
        </w:rPr>
      </w:pPr>
      <w:r>
        <w:rPr>
          <w:noProof/>
        </w:rPr>
        <mc:AlternateContent>
          <mc:Choice Requires="wps">
            <w:drawing>
              <wp:anchor distT="0" distB="0" distL="0" distR="0" simplePos="0" relativeHeight="251800064" behindDoc="0" locked="0" layoutInCell="0" allowOverlap="1">
                <wp:simplePos x="0" y="0"/>
                <wp:positionH relativeFrom="page">
                  <wp:posOffset>913765</wp:posOffset>
                </wp:positionH>
                <wp:positionV relativeFrom="paragraph">
                  <wp:posOffset>258445</wp:posOffset>
                </wp:positionV>
                <wp:extent cx="1016000" cy="393700"/>
                <wp:effectExtent l="0" t="0" r="0" b="0"/>
                <wp:wrapTopAndBottom/>
                <wp:docPr id="79" name="Rectangle 7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0" cy="393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620" w:lineRule="atLeast"/>
                            </w:pPr>
                            <w:r>
                              <w:rPr>
                                <w:noProof/>
                              </w:rPr>
                              <w:drawing>
                                <wp:inline distT="0" distB="0" distL="0" distR="0">
                                  <wp:extent cx="1019175" cy="390525"/>
                                  <wp:effectExtent l="0" t="0" r="9525" b="9525"/>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552">
                                            <a:extLst>
                                              <a:ext uri="{28A0092B-C50C-407E-A947-70E740481C1C}">
                                                <a14:useLocalDpi xmlns:a14="http://schemas.microsoft.com/office/drawing/2010/main" val="0"/>
                                              </a:ext>
                                            </a:extLst>
                                          </a:blip>
                                          <a:srcRect/>
                                          <a:stretch>
                                            <a:fillRect/>
                                          </a:stretch>
                                        </pic:blipFill>
                                        <pic:spPr bwMode="auto">
                                          <a:xfrm>
                                            <a:off x="0" y="0"/>
                                            <a:ext cx="1019175" cy="390525"/>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2" o:spid="_x0000_s1272" style="position:absolute;left:0;text-align:left;margin-left:71.95pt;margin-top:20.35pt;width:80pt;height:31pt;z-index:251800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" o:allowincell="f" filled="f" stroked="f">
                <v:textbox inset="0,0,0,0">
                  <w:txbxContent>
                    <w:p w:rsidR="007B2B7B" w:rsidRDefault="007B2B7B">
                      <w:pPr>
                        <w:widowControl/>
                        <w:autoSpaceDE/>
                        <w:autoSpaceDN/>
                        <w:adjustRightInd/>
                        <w:spacing w:line="620" w:lineRule="atLeast"/>
                      </w:pPr>
                      <w:r>
                        <w:rPr>
                          <w:noProof/>
                        </w:rPr>
                        <w:drawing>
                          <wp:inline distT="0" distB="0" distL="0" distR="0">
                            <wp:extent cx="1019175" cy="390525"/>
                            <wp:effectExtent l="0" t="0" r="9525" b="9525"/>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553">
                                      <a:extLst>
                                        <a:ext uri="{28A0092B-C50C-407E-A947-70E740481C1C}">
                                          <a14:useLocalDpi xmlns:a14="http://schemas.microsoft.com/office/drawing/2010/main" val="0"/>
                                        </a:ext>
                                      </a:extLst>
                                    </a:blip>
                                    <a:srcRect/>
                                    <a:stretch>
                                      <a:fillRect/>
                                    </a:stretch>
                                  </pic:blipFill>
                                  <pic:spPr bwMode="auto">
                                    <a:xfrm>
                                      <a:off x="0" y="0"/>
                                      <a:ext cx="1019175" cy="390525"/>
                                    </a:xfrm>
                                    <a:prstGeom prst="rect">
                                      <a:avLst/>
                                    </a:prstGeom>
                                    <a:noFill/>
                                    <a:ln>
                                      <a:noFill/>
                                    </a:ln>
                                  </pic:spPr>
                                </pic:pic>
                              </a:graphicData>
                            </a:graphic>
                          </wp:inline>
                        </w:drawing>
                      </w:r>
                    </w:p>
                    <w:p w:rsidR="007B2B7B" w:rsidRDefault="007B2B7B"/>
                  </w:txbxContent>
                </v:textbox>
                <w10:wrap type="topAndBottom" anchorx="page"/>
              </v:rect>
            </w:pict>
          </mc:Fallback>
        </mc:AlternateContent>
      </w:r>
      <w:r>
        <w:rPr>
          <w:noProof/>
        </w:rPr>
        <mc:AlternateContent>
          <mc:Choice Requires="wps">
            <w:drawing>
              <wp:anchor distT="0" distB="0" distL="0" distR="0" simplePos="0" relativeHeight="251801088" behindDoc="0" locked="0" layoutInCell="0" allowOverlap="1">
                <wp:simplePos x="0" y="0"/>
                <wp:positionH relativeFrom="page">
                  <wp:posOffset>5585460</wp:posOffset>
                </wp:positionH>
                <wp:positionV relativeFrom="paragraph">
                  <wp:posOffset>190500</wp:posOffset>
                </wp:positionV>
                <wp:extent cx="1371600" cy="304800"/>
                <wp:effectExtent l="0" t="0" r="0" b="0"/>
                <wp:wrapTopAndBottom/>
                <wp:docPr id="77" name="Rectangle 7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480" w:lineRule="atLeast"/>
                            </w:pPr>
                            <w:r>
                              <w:rPr>
                                <w:noProof/>
                              </w:rPr>
                              <w:drawing>
                                <wp:inline distT="0" distB="0" distL="0" distR="0">
                                  <wp:extent cx="1362075" cy="304800"/>
                                  <wp:effectExtent l="0" t="0" r="9525"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554">
                                            <a:extLst>
                                              <a:ext uri="{28A0092B-C50C-407E-A947-70E740481C1C}">
                                                <a14:useLocalDpi xmlns:a14="http://schemas.microsoft.com/office/drawing/2010/main" val="0"/>
                                              </a:ext>
                                            </a:extLst>
                                          </a:blip>
                                          <a:srcRect/>
                                          <a:stretch>
                                            <a:fillRect/>
                                          </a:stretch>
                                        </pic:blipFill>
                                        <pic:spPr bwMode="auto">
                                          <a:xfrm>
                                            <a:off x="0" y="0"/>
                                            <a:ext cx="1362075" cy="304800"/>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3" o:spid="_x0000_s1273" style="position:absolute;left:0;text-align:left;margin-left:439.8pt;margin-top:15pt;width:108pt;height:24pt;z-index:251801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" o:allowincell="f" filled="f" stroked="f">
                <v:textbox inset="0,0,0,0">
                  <w:txbxContent>
                    <w:p w:rsidR="007B2B7B" w:rsidRDefault="007B2B7B">
                      <w:pPr>
                        <w:widowControl/>
                        <w:autoSpaceDE/>
                        <w:autoSpaceDN/>
                        <w:adjustRightInd/>
                        <w:spacing w:line="480" w:lineRule="atLeast"/>
                      </w:pPr>
                      <w:r>
                        <w:rPr>
                          <w:noProof/>
                        </w:rPr>
                        <w:drawing>
                          <wp:inline distT="0" distB="0" distL="0" distR="0">
                            <wp:extent cx="1362075" cy="304800"/>
                            <wp:effectExtent l="0" t="0" r="9525"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555">
                                      <a:extLst>
                                        <a:ext uri="{28A0092B-C50C-407E-A947-70E740481C1C}">
                                          <a14:useLocalDpi xmlns:a14="http://schemas.microsoft.com/office/drawing/2010/main" val="0"/>
                                        </a:ext>
                                      </a:extLst>
                                    </a:blip>
                                    <a:srcRect/>
                                    <a:stretch>
                                      <a:fillRect/>
                                    </a:stretch>
                                  </pic:blipFill>
                                  <pic:spPr bwMode="auto">
                                    <a:xfrm>
                                      <a:off x="0" y="0"/>
                                      <a:ext cx="1362075" cy="304800"/>
                                    </a:xfrm>
                                    <a:prstGeom prst="rect">
                                      <a:avLst/>
                                    </a:prstGeom>
                                    <a:noFill/>
                                    <a:ln>
                                      <a:noFill/>
                                    </a:ln>
                                  </pic:spPr>
                                </pic:pic>
                              </a:graphicData>
                            </a:graphic>
                          </wp:inline>
                        </w:drawing>
                      </w:r>
                    </w:p>
                    <w:p w:rsidR="007B2B7B" w:rsidRDefault="007B2B7B"/>
                  </w:txbxContent>
                </v:textbox>
                <w10:wrap type="topAndBottom" anchorx="page"/>
              </v:rect>
            </w:pict>
          </mc:Fallback>
        </mc:AlternateContent>
      </w:r>
      <w:r w:rsidR="002C5025">
        <w:rPr>
          <w:rFonts w:ascii="Times New Roman" w:hAnsi="Times New Roman" w:cs="Times New Roman"/>
          <w:sz w:val="24"/>
          <w:szCs w:val="24"/>
        </w:rPr>
        <w:t>Sincerely,</w:t>
      </w:r>
    </w:p>
    <w:p w:rsidR="002C5025" w:rsidRDefault="002C5025">
      <w:pPr>
        <w:pStyle w:val="BodyText"/>
        <w:kinsoku w:val="0"/>
        <w:overflowPunct w:val="0"/>
        <w:ind w:left="119"/>
        <w:rPr>
          <w:rFonts w:ascii="Times New Roman" w:hAnsi="Times New Roman" w:cs="Times New Roman"/>
          <w:sz w:val="24"/>
          <w:szCs w:val="24"/>
        </w:rPr>
        <w:sectPr w:rsidR="002C5025">
          <w:pgSz w:w="12240" w:h="15840"/>
          <w:pgMar w:top="1300" w:right="1200" w:bottom="280" w:left="1320" w:header="720" w:footer="720" w:gutter="0"/>
          <w:cols w:space="720" w:equalWidth="0">
            <w:col w:w="9720"/>
          </w:cols>
          <w:noEndnote/>
        </w:sectPr>
      </w:pPr>
    </w:p>
    <w:p w:rsidR="002C5025" w:rsidRDefault="002C5025">
      <w:pPr>
        <w:pStyle w:val="BodyText"/>
        <w:kinsoku w:val="0"/>
        <w:overflowPunct w:val="0"/>
        <w:spacing w:before="53"/>
        <w:ind w:left="119" w:right="787"/>
        <w:rPr>
          <w:rFonts w:ascii="Times New Roman" w:hAnsi="Times New Roman" w:cs="Times New Roman"/>
          <w:sz w:val="24"/>
          <w:szCs w:val="24"/>
        </w:rPr>
      </w:pPr>
      <w:r>
        <w:rPr>
          <w:rFonts w:ascii="Times New Roman" w:hAnsi="Times New Roman" w:cs="Times New Roman"/>
          <w:sz w:val="24"/>
          <w:szCs w:val="24"/>
        </w:rPr>
        <w:t>Timothy G. Ferris, MD Senior Vice President</w:t>
      </w:r>
    </w:p>
    <w:p w:rsidR="002C5025" w:rsidRDefault="002C5025">
      <w:pPr>
        <w:pStyle w:val="BodyText"/>
        <w:kinsoku w:val="0"/>
        <w:overflowPunct w:val="0"/>
        <w:ind w:left="119" w:right="-19"/>
        <w:rPr>
          <w:rFonts w:ascii="Times New Roman" w:hAnsi="Times New Roman" w:cs="Times New Roman"/>
          <w:sz w:val="24"/>
          <w:szCs w:val="24"/>
        </w:rPr>
      </w:pPr>
      <w:r>
        <w:rPr>
          <w:rFonts w:ascii="Times New Roman" w:hAnsi="Times New Roman" w:cs="Times New Roman"/>
          <w:sz w:val="24"/>
          <w:szCs w:val="24"/>
        </w:rPr>
        <w:t>Population Health Management Partners HealthCare</w:t>
      </w:r>
    </w:p>
    <w:p w:rsidR="002C5025" w:rsidRDefault="002C5025">
      <w:pPr>
        <w:pStyle w:val="BodyText"/>
        <w:kinsoku w:val="0"/>
        <w:overflowPunct w:val="0"/>
        <w:spacing w:before="53"/>
        <w:ind w:left="183" w:right="237" w:firstLine="199"/>
        <w:jc w:val="right"/>
        <w:rPr>
          <w:rFonts w:ascii="Times New Roman" w:hAnsi="Times New Roman" w:cs="Times New Roman"/>
          <w:sz w:val="24"/>
          <w:szCs w:val="24"/>
        </w:rPr>
      </w:pPr>
      <w:r>
        <w:rPr>
          <w:rFonts w:ascii="Times New Roman" w:hAnsi="Times New Roman" w:cs="Times New Roman"/>
          <w:sz w:val="24"/>
          <w:szCs w:val="24"/>
        </w:rPr>
        <w:br w:type="column"/>
        <w:t>Matthew Fishman Vice President Community Health Partners HealthCare</w:t>
      </w:r>
    </w:p>
    <w:p w:rsidR="002C5025" w:rsidRDefault="002C5025">
      <w:pPr>
        <w:pStyle w:val="BodyText"/>
        <w:kinsoku w:val="0"/>
        <w:overflowPunct w:val="0"/>
        <w:spacing w:before="53"/>
        <w:ind w:left="183" w:right="237" w:firstLine="199"/>
        <w:jc w:val="right"/>
        <w:rPr>
          <w:rFonts w:ascii="Times New Roman" w:hAnsi="Times New Roman" w:cs="Times New Roman"/>
          <w:sz w:val="24"/>
          <w:szCs w:val="24"/>
        </w:rPr>
        <w:sectPr w:rsidR="002C5025">
          <w:type w:val="continuous"/>
          <w:pgSz w:w="12240" w:h="15840"/>
          <w:pgMar w:top="720" w:right="1200" w:bottom="280" w:left="1320" w:header="720" w:footer="720" w:gutter="0"/>
          <w:cols w:num="2" w:space="720" w:equalWidth="0">
            <w:col w:w="3173" w:space="4184"/>
            <w:col w:w="2363"/>
          </w:cols>
          <w:noEndnote/>
        </w:sectPr>
      </w:pPr>
    </w:p>
    <w:p w:rsidR="002C5025" w:rsidRDefault="002C5025">
      <w:pPr>
        <w:pStyle w:val="BodyText"/>
        <w:kinsoku w:val="0"/>
        <w:overflowPunct w:val="0"/>
        <w:spacing w:before="8"/>
        <w:rPr>
          <w:rFonts w:ascii="Times New Roman" w:hAnsi="Times New Roman" w:cs="Times New Roman"/>
          <w:sz w:val="20"/>
          <w:szCs w:val="20"/>
        </w:rPr>
      </w:pPr>
    </w:p>
    <w:p w:rsidR="002C5025" w:rsidRDefault="002C5025">
      <w:pPr>
        <w:pStyle w:val="BodyText"/>
        <w:kinsoku w:val="0"/>
        <w:overflowPunct w:val="0"/>
        <w:spacing w:before="77"/>
        <w:ind w:right="239"/>
        <w:jc w:val="right"/>
        <w:rPr>
          <w:rFonts w:ascii="Times New Roman" w:hAnsi="Times New Roman" w:cs="Times New Roman"/>
          <w:b/>
          <w:bCs/>
          <w:sz w:val="18"/>
          <w:szCs w:val="18"/>
        </w:rPr>
      </w:pPr>
      <w:r>
        <w:rPr>
          <w:rFonts w:ascii="Times New Roman" w:hAnsi="Times New Roman" w:cs="Times New Roman"/>
          <w:sz w:val="18"/>
          <w:szCs w:val="18"/>
        </w:rPr>
        <w:t xml:space="preserve">Page </w:t>
      </w:r>
      <w:r>
        <w:rPr>
          <w:rFonts w:ascii="Times New Roman" w:hAnsi="Times New Roman" w:cs="Times New Roman"/>
          <w:b/>
          <w:bCs/>
          <w:sz w:val="18"/>
          <w:szCs w:val="18"/>
        </w:rPr>
        <w:t xml:space="preserve">3 </w:t>
      </w:r>
      <w:r>
        <w:rPr>
          <w:rFonts w:ascii="Times New Roman" w:hAnsi="Times New Roman" w:cs="Times New Roman"/>
          <w:sz w:val="18"/>
          <w:szCs w:val="18"/>
        </w:rPr>
        <w:t xml:space="preserve">of </w:t>
      </w:r>
      <w:r>
        <w:rPr>
          <w:rFonts w:ascii="Times New Roman" w:hAnsi="Times New Roman" w:cs="Times New Roman"/>
          <w:b/>
          <w:bCs/>
          <w:sz w:val="18"/>
          <w:szCs w:val="18"/>
        </w:rPr>
        <w:t>3</w:t>
      </w:r>
    </w:p>
    <w:p w:rsidR="002C5025" w:rsidRDefault="002C5025">
      <w:pPr>
        <w:pStyle w:val="BodyText"/>
        <w:kinsoku w:val="0"/>
        <w:overflowPunct w:val="0"/>
        <w:spacing w:before="77"/>
        <w:ind w:right="239"/>
        <w:jc w:val="right"/>
        <w:rPr>
          <w:rFonts w:ascii="Times New Roman" w:hAnsi="Times New Roman" w:cs="Times New Roman"/>
          <w:b/>
          <w:bCs/>
          <w:sz w:val="18"/>
          <w:szCs w:val="18"/>
        </w:rPr>
        <w:sectPr w:rsidR="002C5025">
          <w:type w:val="continuous"/>
          <w:pgSz w:w="12240" w:h="15840"/>
          <w:pgMar w:top="720" w:right="1200" w:bottom="280" w:left="1320" w:header="720" w:footer="720" w:gutter="0"/>
          <w:cols w:space="720" w:equalWidth="0">
            <w:col w:w="9720"/>
          </w:cols>
          <w:noEndnote/>
        </w:sectPr>
      </w:pPr>
    </w:p>
    <w:p w:rsidR="002C5025" w:rsidRDefault="002C5025">
      <w:pPr>
        <w:pStyle w:val="BodyText"/>
        <w:kinsoku w:val="0"/>
        <w:overflowPunct w:val="0"/>
        <w:spacing w:before="37"/>
        <w:ind w:left="119" w:right="449"/>
        <w:jc w:val="both"/>
        <w:rPr>
          <w:color w:val="1F4E79"/>
        </w:rPr>
      </w:pPr>
      <w:bookmarkStart w:id="250" w:name="Pediatric_Associates_of_Greater_Salem"/>
      <w:bookmarkEnd w:id="250"/>
      <w:r>
        <w:rPr>
          <w:color w:val="1F4E79"/>
        </w:rPr>
        <w:lastRenderedPageBreak/>
        <w:t>I am the CFO at Pediatric Associates of Greater Salem with locations in Salem and Beverly. Dr. Ayres D’Souza started the practice in 1977, and one year later, added an additional physician. Almost forty years later, we have fourteen providers and a panel of over 24,000 patients however</w:t>
      </w:r>
    </w:p>
    <w:p w:rsidR="002C5025" w:rsidRDefault="002C5025">
      <w:pPr>
        <w:pStyle w:val="BodyText"/>
        <w:kinsoku w:val="0"/>
        <w:overflowPunct w:val="0"/>
        <w:ind w:left="119" w:right="112"/>
        <w:rPr>
          <w:color w:val="1F4E79"/>
        </w:rPr>
      </w:pPr>
      <w:r>
        <w:rPr>
          <w:color w:val="1F4E79"/>
        </w:rPr>
        <w:t>approximately 16,000+ are considered active. Since our inception, we have been providing quality, comprehensive pediatric services, and we are committed to serving all of our patients and their families with both compassion and first-rate medical care. Using the most current medical information available, it has always been our mission to assure that our patients grow up in a healthy environment so that they can achieve their greatest potential. With this commitment in mind, our patients have unfettered access, as we are open seven days a week, 365 days a year, and have staff on call 24 hours a</w:t>
      </w:r>
      <w:r>
        <w:rPr>
          <w:color w:val="1F4E79"/>
          <w:spacing w:val="-34"/>
        </w:rPr>
        <w:t xml:space="preserve"> </w:t>
      </w:r>
      <w:r>
        <w:rPr>
          <w:color w:val="1F4E79"/>
        </w:rPr>
        <w:t>day.</w:t>
      </w:r>
    </w:p>
    <w:p w:rsidR="002C5025" w:rsidRDefault="002C5025">
      <w:pPr>
        <w:pStyle w:val="BodyText"/>
        <w:kinsoku w:val="0"/>
        <w:overflowPunct w:val="0"/>
        <w:spacing w:before="8"/>
        <w:rPr>
          <w:sz w:val="20"/>
          <w:szCs w:val="20"/>
        </w:rPr>
      </w:pPr>
    </w:p>
    <w:p w:rsidR="002C5025" w:rsidRDefault="002C5025">
      <w:pPr>
        <w:pStyle w:val="BodyText"/>
        <w:kinsoku w:val="0"/>
        <w:overflowPunct w:val="0"/>
        <w:ind w:left="118" w:right="97"/>
        <w:rPr>
          <w:color w:val="1F4E79"/>
        </w:rPr>
      </w:pPr>
      <w:r>
        <w:rPr>
          <w:color w:val="1F4E79"/>
        </w:rPr>
        <w:t>Beginning in February of 2010, we became one of thirteen pediatric practices in the state to join the CHIPRA Massachusetts Medical Home Initiative. Through a learning collaborative lead by the National Institute for Children’s Health Quality (NICHQ), and with the help of world-class medical home and quality improvement experts, we have worked towards successfully implementing a patient-centered, medical home model of care. Over the past four years, we have made multiple changes to our practice, both in terms of the quality of care we provide and the process by which we provide it. This has come at quite a cost.  These changes have necessitated that we make structural alterations to our</w:t>
      </w:r>
    </w:p>
    <w:p w:rsidR="002C5025" w:rsidRDefault="002C5025">
      <w:pPr>
        <w:pStyle w:val="BodyText"/>
        <w:kinsoku w:val="0"/>
        <w:overflowPunct w:val="0"/>
        <w:ind w:left="117" w:right="97"/>
        <w:rPr>
          <w:color w:val="1F4E79"/>
        </w:rPr>
      </w:pPr>
      <w:r>
        <w:rPr>
          <w:color w:val="1F4E79"/>
        </w:rPr>
        <w:t>building. Furthermore, we have undergone substantial re-training of staff to improve flow, and we have hired additional staff to ensure that these quality improvements are maintained. All of this has been done with one, primary goal in mind – to provide each and every one of our patients with the best care possible. We have achieved NCQA Level 3 Recognition as a result of this continuous focus on the quality care we provide.</w:t>
      </w:r>
    </w:p>
    <w:p w:rsidR="002C5025" w:rsidRDefault="002C5025">
      <w:pPr>
        <w:pStyle w:val="BodyText"/>
        <w:kinsoku w:val="0"/>
        <w:overflowPunct w:val="0"/>
        <w:spacing w:before="10"/>
        <w:rPr>
          <w:sz w:val="20"/>
          <w:szCs w:val="20"/>
        </w:rPr>
      </w:pPr>
    </w:p>
    <w:p w:rsidR="002C5025" w:rsidRDefault="002C5025">
      <w:pPr>
        <w:pStyle w:val="BodyText"/>
        <w:kinsoku w:val="0"/>
        <w:overflowPunct w:val="0"/>
        <w:ind w:left="116" w:right="188"/>
        <w:rPr>
          <w:color w:val="1F4E79"/>
        </w:rPr>
      </w:pPr>
      <w:r>
        <w:rPr>
          <w:color w:val="1F4E79"/>
        </w:rPr>
        <w:t>We are now providing the type of quality care that the government, the insurance companies, and society at large want from their healthcare providers, as you know, it comes at a tremendous cost. The cost to our physicians and other staff is significant. The paperwork, electronic and non-electronic, associated with all this “other” non- patient face time has greatly extended the day of all staff. Much of this could be handled by a better EHR systems and/or less restrictions as ICD-10 debacle. Plus we are expected to use the exact same criteria for Patient Centered Medical Home for adults. Based on the current system, the level of care provided to pediatrics patients is threatened by the reimbursement models.</w:t>
      </w:r>
    </w:p>
    <w:p w:rsidR="002C5025" w:rsidRDefault="002C5025">
      <w:pPr>
        <w:pStyle w:val="BodyText"/>
        <w:kinsoku w:val="0"/>
        <w:overflowPunct w:val="0"/>
        <w:spacing w:before="8"/>
        <w:rPr>
          <w:sz w:val="20"/>
          <w:szCs w:val="20"/>
        </w:rPr>
      </w:pPr>
    </w:p>
    <w:p w:rsidR="002C5025" w:rsidRDefault="002C5025">
      <w:pPr>
        <w:pStyle w:val="BodyText"/>
        <w:kinsoku w:val="0"/>
        <w:overflowPunct w:val="0"/>
        <w:ind w:left="116" w:right="296"/>
        <w:rPr>
          <w:color w:val="1F4E79"/>
        </w:rPr>
      </w:pPr>
      <w:r>
        <w:rPr>
          <w:color w:val="1F4E79"/>
        </w:rPr>
        <w:t>I applaud the state’s efforts to reduce overall costs and I have read through the 1115 Waiver</w:t>
      </w:r>
    </w:p>
    <w:p w:rsidR="002C5025" w:rsidRDefault="002C5025">
      <w:pPr>
        <w:pStyle w:val="BodyText"/>
        <w:kinsoku w:val="0"/>
        <w:overflowPunct w:val="0"/>
        <w:ind w:left="116" w:right="297"/>
        <w:jc w:val="both"/>
        <w:rPr>
          <w:color w:val="1F4E79"/>
        </w:rPr>
      </w:pPr>
      <w:r>
        <w:rPr>
          <w:color w:val="1F4E79"/>
        </w:rPr>
        <w:t>proposal. In the end, I expect it will only continue to drive up costs and it will not fix the current issues with the system causing the primary care physician to pay the price. My suggestion for what needs to happen would be to address the current major issues first then implement a new ACO model.</w:t>
      </w:r>
    </w:p>
    <w:p w:rsidR="002C5025" w:rsidRDefault="002C5025">
      <w:pPr>
        <w:pStyle w:val="BodyText"/>
        <w:kinsoku w:val="0"/>
        <w:overflowPunct w:val="0"/>
        <w:spacing w:before="8"/>
        <w:rPr>
          <w:sz w:val="20"/>
          <w:szCs w:val="20"/>
        </w:rPr>
      </w:pPr>
    </w:p>
    <w:p w:rsidR="002C5025" w:rsidRDefault="002C5025">
      <w:pPr>
        <w:pStyle w:val="ListParagraph"/>
        <w:numPr>
          <w:ilvl w:val="0"/>
          <w:numId w:val="5"/>
        </w:numPr>
        <w:tabs>
          <w:tab w:val="left" w:pos="1096"/>
        </w:tabs>
        <w:kinsoku w:val="0"/>
        <w:overflowPunct w:val="0"/>
        <w:ind w:hanging="360"/>
        <w:rPr>
          <w:rFonts w:ascii="Calibri" w:hAnsi="Calibri" w:cs="Calibri"/>
          <w:color w:val="1F4E79"/>
          <w:sz w:val="22"/>
          <w:szCs w:val="22"/>
        </w:rPr>
      </w:pPr>
      <w:r>
        <w:rPr>
          <w:rFonts w:ascii="Calibri" w:hAnsi="Calibri" w:cs="Calibri"/>
          <w:color w:val="1F4E79"/>
          <w:sz w:val="22"/>
          <w:szCs w:val="22"/>
        </w:rPr>
        <w:t>Fix the qualifications for</w:t>
      </w:r>
      <w:r>
        <w:rPr>
          <w:rFonts w:ascii="Calibri" w:hAnsi="Calibri" w:cs="Calibri"/>
          <w:color w:val="1F4E79"/>
          <w:spacing w:val="-19"/>
          <w:sz w:val="22"/>
          <w:szCs w:val="22"/>
        </w:rPr>
        <w:t xml:space="preserve"> </w:t>
      </w:r>
      <w:r>
        <w:rPr>
          <w:rFonts w:ascii="Calibri" w:hAnsi="Calibri" w:cs="Calibri"/>
          <w:color w:val="1F4E79"/>
          <w:sz w:val="22"/>
          <w:szCs w:val="22"/>
        </w:rPr>
        <w:t>Medicaid</w:t>
      </w:r>
    </w:p>
    <w:p w:rsidR="002C5025" w:rsidRDefault="002C5025">
      <w:pPr>
        <w:pStyle w:val="ListParagraph"/>
        <w:numPr>
          <w:ilvl w:val="0"/>
          <w:numId w:val="5"/>
        </w:numPr>
        <w:tabs>
          <w:tab w:val="left" w:pos="1096"/>
        </w:tabs>
        <w:kinsoku w:val="0"/>
        <w:overflowPunct w:val="0"/>
        <w:ind w:right="329" w:hanging="360"/>
        <w:rPr>
          <w:rFonts w:ascii="Calibri" w:hAnsi="Calibri" w:cs="Calibri"/>
          <w:color w:val="1F4E79"/>
          <w:sz w:val="22"/>
          <w:szCs w:val="22"/>
        </w:rPr>
      </w:pPr>
      <w:r>
        <w:rPr>
          <w:rFonts w:ascii="Calibri" w:hAnsi="Calibri" w:cs="Calibri"/>
          <w:color w:val="1F4E79"/>
          <w:sz w:val="22"/>
          <w:szCs w:val="22"/>
        </w:rPr>
        <w:t>Create</w:t>
      </w:r>
      <w:r>
        <w:rPr>
          <w:rFonts w:ascii="Calibri" w:hAnsi="Calibri" w:cs="Calibri"/>
          <w:color w:val="1F4E79"/>
          <w:spacing w:val="-2"/>
          <w:sz w:val="22"/>
          <w:szCs w:val="22"/>
        </w:rPr>
        <w:t xml:space="preserve"> </w:t>
      </w:r>
      <w:r>
        <w:rPr>
          <w:rFonts w:ascii="Calibri" w:hAnsi="Calibri" w:cs="Calibri"/>
          <w:color w:val="1F4E79"/>
          <w:sz w:val="22"/>
          <w:szCs w:val="22"/>
        </w:rPr>
        <w:t>some</w:t>
      </w:r>
      <w:r>
        <w:rPr>
          <w:rFonts w:ascii="Calibri" w:hAnsi="Calibri" w:cs="Calibri"/>
          <w:color w:val="1F4E79"/>
          <w:spacing w:val="-4"/>
          <w:sz w:val="22"/>
          <w:szCs w:val="22"/>
        </w:rPr>
        <w:t xml:space="preserve"> </w:t>
      </w:r>
      <w:r>
        <w:rPr>
          <w:rFonts w:ascii="Calibri" w:hAnsi="Calibri" w:cs="Calibri"/>
          <w:color w:val="1F4E79"/>
          <w:sz w:val="22"/>
          <w:szCs w:val="22"/>
        </w:rPr>
        <w:t>deterrents</w:t>
      </w:r>
      <w:r>
        <w:rPr>
          <w:rFonts w:ascii="Calibri" w:hAnsi="Calibri" w:cs="Calibri"/>
          <w:color w:val="1F4E79"/>
          <w:spacing w:val="-3"/>
          <w:sz w:val="22"/>
          <w:szCs w:val="22"/>
        </w:rPr>
        <w:t xml:space="preserve"> </w:t>
      </w:r>
      <w:r>
        <w:rPr>
          <w:rFonts w:ascii="Calibri" w:hAnsi="Calibri" w:cs="Calibri"/>
          <w:color w:val="1F4E79"/>
          <w:sz w:val="22"/>
          <w:szCs w:val="22"/>
        </w:rPr>
        <w:t>for</w:t>
      </w:r>
      <w:r>
        <w:rPr>
          <w:rFonts w:ascii="Calibri" w:hAnsi="Calibri" w:cs="Calibri"/>
          <w:color w:val="1F4E79"/>
          <w:spacing w:val="-3"/>
          <w:sz w:val="22"/>
          <w:szCs w:val="22"/>
        </w:rPr>
        <w:t xml:space="preserve"> </w:t>
      </w:r>
      <w:r>
        <w:rPr>
          <w:rFonts w:ascii="Calibri" w:hAnsi="Calibri" w:cs="Calibri"/>
          <w:color w:val="1F4E79"/>
          <w:sz w:val="22"/>
          <w:szCs w:val="22"/>
        </w:rPr>
        <w:t>urgent</w:t>
      </w:r>
      <w:r>
        <w:rPr>
          <w:rFonts w:ascii="Calibri" w:hAnsi="Calibri" w:cs="Calibri"/>
          <w:color w:val="1F4E79"/>
          <w:spacing w:val="-4"/>
          <w:sz w:val="22"/>
          <w:szCs w:val="22"/>
        </w:rPr>
        <w:t xml:space="preserve"> </w:t>
      </w:r>
      <w:r>
        <w:rPr>
          <w:rFonts w:ascii="Calibri" w:hAnsi="Calibri" w:cs="Calibri"/>
          <w:color w:val="1F4E79"/>
          <w:sz w:val="22"/>
          <w:szCs w:val="22"/>
        </w:rPr>
        <w:t>care</w:t>
      </w:r>
      <w:r>
        <w:rPr>
          <w:rFonts w:ascii="Calibri" w:hAnsi="Calibri" w:cs="Calibri"/>
          <w:color w:val="1F4E79"/>
          <w:spacing w:val="-4"/>
          <w:sz w:val="22"/>
          <w:szCs w:val="22"/>
        </w:rPr>
        <w:t xml:space="preserve"> </w:t>
      </w:r>
      <w:r>
        <w:rPr>
          <w:rFonts w:ascii="Calibri" w:hAnsi="Calibri" w:cs="Calibri"/>
          <w:color w:val="1F4E79"/>
          <w:sz w:val="22"/>
          <w:szCs w:val="22"/>
        </w:rPr>
        <w:t>and</w:t>
      </w:r>
      <w:r>
        <w:rPr>
          <w:rFonts w:ascii="Calibri" w:hAnsi="Calibri" w:cs="Calibri"/>
          <w:color w:val="1F4E79"/>
          <w:spacing w:val="-3"/>
          <w:sz w:val="22"/>
          <w:szCs w:val="22"/>
        </w:rPr>
        <w:t xml:space="preserve"> </w:t>
      </w:r>
      <w:r>
        <w:rPr>
          <w:rFonts w:ascii="Calibri" w:hAnsi="Calibri" w:cs="Calibri"/>
          <w:color w:val="1F4E79"/>
          <w:sz w:val="22"/>
          <w:szCs w:val="22"/>
        </w:rPr>
        <w:t>specialty</w:t>
      </w:r>
      <w:r>
        <w:rPr>
          <w:rFonts w:ascii="Calibri" w:hAnsi="Calibri" w:cs="Calibri"/>
          <w:color w:val="1F4E79"/>
          <w:spacing w:val="-3"/>
          <w:sz w:val="22"/>
          <w:szCs w:val="22"/>
        </w:rPr>
        <w:t xml:space="preserve"> </w:t>
      </w:r>
      <w:r>
        <w:rPr>
          <w:rFonts w:ascii="Calibri" w:hAnsi="Calibri" w:cs="Calibri"/>
          <w:color w:val="1F4E79"/>
          <w:sz w:val="22"/>
          <w:szCs w:val="22"/>
        </w:rPr>
        <w:t>care;</w:t>
      </w:r>
      <w:r>
        <w:rPr>
          <w:rFonts w:ascii="Calibri" w:hAnsi="Calibri" w:cs="Calibri"/>
          <w:color w:val="1F4E79"/>
          <w:spacing w:val="-2"/>
          <w:sz w:val="22"/>
          <w:szCs w:val="22"/>
        </w:rPr>
        <w:t xml:space="preserve"> </w:t>
      </w:r>
      <w:r>
        <w:rPr>
          <w:rFonts w:ascii="Calibri" w:hAnsi="Calibri" w:cs="Calibri"/>
          <w:color w:val="1F4E79"/>
          <w:sz w:val="22"/>
          <w:szCs w:val="22"/>
        </w:rPr>
        <w:t>the</w:t>
      </w:r>
      <w:r>
        <w:rPr>
          <w:rFonts w:ascii="Calibri" w:hAnsi="Calibri" w:cs="Calibri"/>
          <w:color w:val="1F4E79"/>
          <w:spacing w:val="-2"/>
          <w:sz w:val="22"/>
          <w:szCs w:val="22"/>
        </w:rPr>
        <w:t xml:space="preserve"> </w:t>
      </w:r>
      <w:r>
        <w:rPr>
          <w:rFonts w:ascii="Calibri" w:hAnsi="Calibri" w:cs="Calibri"/>
          <w:color w:val="1F4E79"/>
          <w:sz w:val="22"/>
          <w:szCs w:val="22"/>
        </w:rPr>
        <w:t>provider</w:t>
      </w:r>
      <w:r>
        <w:rPr>
          <w:rFonts w:ascii="Calibri" w:hAnsi="Calibri" w:cs="Calibri"/>
          <w:color w:val="1F4E79"/>
          <w:spacing w:val="-4"/>
          <w:sz w:val="22"/>
          <w:szCs w:val="22"/>
        </w:rPr>
        <w:t xml:space="preserve"> </w:t>
      </w:r>
      <w:r>
        <w:rPr>
          <w:rFonts w:ascii="Calibri" w:hAnsi="Calibri" w:cs="Calibri"/>
          <w:color w:val="1F4E79"/>
          <w:sz w:val="22"/>
          <w:szCs w:val="22"/>
        </w:rPr>
        <w:t>is</w:t>
      </w:r>
      <w:r>
        <w:rPr>
          <w:rFonts w:ascii="Calibri" w:hAnsi="Calibri" w:cs="Calibri"/>
          <w:color w:val="1F4E79"/>
          <w:spacing w:val="-4"/>
          <w:sz w:val="22"/>
          <w:szCs w:val="22"/>
        </w:rPr>
        <w:t xml:space="preserve"> </w:t>
      </w:r>
      <w:r>
        <w:rPr>
          <w:rFonts w:ascii="Calibri" w:hAnsi="Calibri" w:cs="Calibri"/>
          <w:color w:val="1F4E79"/>
          <w:sz w:val="22"/>
          <w:szCs w:val="22"/>
        </w:rPr>
        <w:t>held</w:t>
      </w:r>
      <w:r>
        <w:rPr>
          <w:rFonts w:ascii="Calibri" w:hAnsi="Calibri" w:cs="Calibri"/>
          <w:color w:val="1F4E79"/>
          <w:spacing w:val="-3"/>
          <w:sz w:val="22"/>
          <w:szCs w:val="22"/>
        </w:rPr>
        <w:t xml:space="preserve"> </w:t>
      </w:r>
      <w:r>
        <w:rPr>
          <w:rFonts w:ascii="Calibri" w:hAnsi="Calibri" w:cs="Calibri"/>
          <w:color w:val="1F4E79"/>
          <w:sz w:val="22"/>
          <w:szCs w:val="22"/>
        </w:rPr>
        <w:t>accountable when the patient has no</w:t>
      </w:r>
      <w:r>
        <w:rPr>
          <w:rFonts w:ascii="Calibri" w:hAnsi="Calibri" w:cs="Calibri"/>
          <w:color w:val="1F4E79"/>
          <w:spacing w:val="-14"/>
          <w:sz w:val="22"/>
          <w:szCs w:val="22"/>
        </w:rPr>
        <w:t xml:space="preserve"> </w:t>
      </w:r>
      <w:r>
        <w:rPr>
          <w:rFonts w:ascii="Calibri" w:hAnsi="Calibri" w:cs="Calibri"/>
          <w:color w:val="1F4E79"/>
          <w:sz w:val="22"/>
          <w:szCs w:val="22"/>
        </w:rPr>
        <w:t>accountability</w:t>
      </w:r>
    </w:p>
    <w:p w:rsidR="002C5025" w:rsidRDefault="002C5025">
      <w:pPr>
        <w:pStyle w:val="ListParagraph"/>
        <w:numPr>
          <w:ilvl w:val="0"/>
          <w:numId w:val="5"/>
        </w:numPr>
        <w:tabs>
          <w:tab w:val="left" w:pos="1096"/>
        </w:tabs>
        <w:kinsoku w:val="0"/>
        <w:overflowPunct w:val="0"/>
        <w:ind w:left="835" w:right="884" w:hanging="360"/>
        <w:rPr>
          <w:rFonts w:ascii="Calibri" w:hAnsi="Calibri" w:cs="Calibri"/>
          <w:color w:val="1F4E79"/>
          <w:sz w:val="22"/>
          <w:szCs w:val="22"/>
        </w:rPr>
      </w:pPr>
      <w:r>
        <w:rPr>
          <w:rFonts w:ascii="Calibri" w:hAnsi="Calibri" w:cs="Calibri"/>
          <w:color w:val="1F4E79"/>
          <w:sz w:val="22"/>
          <w:szCs w:val="22"/>
        </w:rPr>
        <w:t>Break down the barriers for the process of integration of behavioral health</w:t>
      </w:r>
      <w:r>
        <w:rPr>
          <w:rFonts w:ascii="Calibri" w:hAnsi="Calibri" w:cs="Calibri"/>
          <w:color w:val="1F4E79"/>
          <w:spacing w:val="-36"/>
          <w:sz w:val="22"/>
          <w:szCs w:val="22"/>
        </w:rPr>
        <w:t xml:space="preserve"> </w:t>
      </w:r>
      <w:r>
        <w:rPr>
          <w:rFonts w:ascii="Calibri" w:hAnsi="Calibri" w:cs="Calibri"/>
          <w:color w:val="1F4E79"/>
          <w:sz w:val="22"/>
          <w:szCs w:val="22"/>
        </w:rPr>
        <w:t>and other specialties in a practice with contracts</w:t>
      </w:r>
      <w:r>
        <w:rPr>
          <w:rFonts w:ascii="Calibri" w:hAnsi="Calibri" w:cs="Calibri"/>
          <w:color w:val="1F4E79"/>
          <w:spacing w:val="-22"/>
          <w:sz w:val="22"/>
          <w:szCs w:val="22"/>
        </w:rPr>
        <w:t xml:space="preserve"> </w:t>
      </w:r>
      <w:r>
        <w:rPr>
          <w:rFonts w:ascii="Calibri" w:hAnsi="Calibri" w:cs="Calibri"/>
          <w:color w:val="1F4E79"/>
          <w:sz w:val="22"/>
          <w:szCs w:val="22"/>
        </w:rPr>
        <w:t>credentialing</w:t>
      </w:r>
    </w:p>
    <w:p w:rsidR="002C5025" w:rsidRDefault="002C5025">
      <w:pPr>
        <w:pStyle w:val="ListParagraph"/>
        <w:numPr>
          <w:ilvl w:val="0"/>
          <w:numId w:val="5"/>
        </w:numPr>
        <w:tabs>
          <w:tab w:val="left" w:pos="1095"/>
        </w:tabs>
        <w:kinsoku w:val="0"/>
        <w:overflowPunct w:val="0"/>
        <w:ind w:left="1094" w:hanging="619"/>
        <w:rPr>
          <w:rFonts w:ascii="Calibri" w:hAnsi="Calibri" w:cs="Calibri"/>
          <w:color w:val="1F4E79"/>
          <w:sz w:val="22"/>
          <w:szCs w:val="22"/>
        </w:rPr>
      </w:pPr>
      <w:r>
        <w:rPr>
          <w:rFonts w:ascii="Calibri" w:hAnsi="Calibri" w:cs="Calibri"/>
          <w:color w:val="1F4E79"/>
          <w:sz w:val="22"/>
          <w:szCs w:val="22"/>
        </w:rPr>
        <w:t>Medicare / Medicaid</w:t>
      </w:r>
      <w:r>
        <w:rPr>
          <w:rFonts w:ascii="Calibri" w:hAnsi="Calibri" w:cs="Calibri"/>
          <w:color w:val="1F4E79"/>
          <w:spacing w:val="-16"/>
          <w:sz w:val="22"/>
          <w:szCs w:val="22"/>
        </w:rPr>
        <w:t xml:space="preserve"> </w:t>
      </w:r>
      <w:r>
        <w:rPr>
          <w:rFonts w:ascii="Calibri" w:hAnsi="Calibri" w:cs="Calibri"/>
          <w:color w:val="1F4E79"/>
          <w:sz w:val="22"/>
          <w:szCs w:val="22"/>
        </w:rPr>
        <w:t>disparity</w:t>
      </w:r>
    </w:p>
    <w:p w:rsidR="002C5025" w:rsidRDefault="002C5025">
      <w:pPr>
        <w:pStyle w:val="ListParagraph"/>
        <w:numPr>
          <w:ilvl w:val="0"/>
          <w:numId w:val="5"/>
        </w:numPr>
        <w:tabs>
          <w:tab w:val="left" w:pos="1229"/>
        </w:tabs>
        <w:kinsoku w:val="0"/>
        <w:overflowPunct w:val="0"/>
        <w:ind w:left="1228" w:hanging="712"/>
        <w:rPr>
          <w:rFonts w:ascii="Calibri" w:hAnsi="Calibri" w:cs="Calibri"/>
          <w:color w:val="1F497D"/>
          <w:sz w:val="22"/>
          <w:szCs w:val="22"/>
        </w:rPr>
      </w:pPr>
      <w:r>
        <w:rPr>
          <w:rFonts w:ascii="Calibri" w:hAnsi="Calibri" w:cs="Calibri"/>
          <w:color w:val="1F497D"/>
          <w:sz w:val="22"/>
          <w:szCs w:val="22"/>
        </w:rPr>
        <w:t>Get rid of facility</w:t>
      </w:r>
      <w:r>
        <w:rPr>
          <w:rFonts w:ascii="Calibri" w:hAnsi="Calibri" w:cs="Calibri"/>
          <w:color w:val="1F497D"/>
          <w:spacing w:val="-9"/>
          <w:sz w:val="22"/>
          <w:szCs w:val="22"/>
        </w:rPr>
        <w:t xml:space="preserve"> </w:t>
      </w:r>
      <w:r>
        <w:rPr>
          <w:rFonts w:ascii="Calibri" w:hAnsi="Calibri" w:cs="Calibri"/>
          <w:color w:val="1F497D"/>
          <w:sz w:val="22"/>
          <w:szCs w:val="22"/>
        </w:rPr>
        <w:t>fees</w:t>
      </w:r>
    </w:p>
    <w:p w:rsidR="002C5025" w:rsidRDefault="002C5025">
      <w:pPr>
        <w:pStyle w:val="BodyText"/>
        <w:kinsoku w:val="0"/>
        <w:overflowPunct w:val="0"/>
        <w:spacing w:before="10"/>
        <w:rPr>
          <w:sz w:val="21"/>
          <w:szCs w:val="21"/>
        </w:rPr>
      </w:pPr>
    </w:p>
    <w:p w:rsidR="002C5025" w:rsidRDefault="002C5025">
      <w:pPr>
        <w:pStyle w:val="BodyText"/>
        <w:kinsoku w:val="0"/>
        <w:overflowPunct w:val="0"/>
        <w:ind w:left="115" w:right="688"/>
        <w:rPr>
          <w:color w:val="1F4E79"/>
        </w:rPr>
      </w:pPr>
      <w:r>
        <w:rPr>
          <w:color w:val="1F4E79"/>
        </w:rPr>
        <w:t>Reimbursements have decreased despite health care costs rising dramatically and it’s not going to primary care or at least private practices.   The number of patients with commercial insurance</w:t>
      </w:r>
    </w:p>
    <w:p w:rsidR="002C5025" w:rsidRDefault="002C5025">
      <w:pPr>
        <w:pStyle w:val="BodyText"/>
        <w:kinsoku w:val="0"/>
        <w:overflowPunct w:val="0"/>
        <w:ind w:left="115" w:right="188"/>
        <w:rPr>
          <w:color w:val="1F4E79"/>
        </w:rPr>
      </w:pPr>
      <w:r>
        <w:rPr>
          <w:color w:val="1F4E79"/>
        </w:rPr>
        <w:t>has decreased by approximately the same amount that our Medicaid population has increased, yet we</w:t>
      </w:r>
    </w:p>
    <w:p w:rsidR="002C5025" w:rsidRDefault="002C5025">
      <w:pPr>
        <w:pStyle w:val="BodyText"/>
        <w:kinsoku w:val="0"/>
        <w:overflowPunct w:val="0"/>
        <w:ind w:left="115" w:right="188"/>
        <w:rPr>
          <w:color w:val="1F4E79"/>
        </w:rPr>
        <w:sectPr w:rsidR="002C5025">
          <w:pgSz w:w="12240" w:h="15840"/>
          <w:pgMar w:top="1400" w:right="1340" w:bottom="280" w:left="1320" w:header="720" w:footer="720" w:gutter="0"/>
          <w:cols w:space="720" w:equalWidth="0">
            <w:col w:w="9580"/>
          </w:cols>
          <w:noEndnote/>
        </w:sectPr>
      </w:pPr>
    </w:p>
    <w:p w:rsidR="002C5025" w:rsidRDefault="002C5025">
      <w:pPr>
        <w:pStyle w:val="BodyText"/>
        <w:kinsoku w:val="0"/>
        <w:overflowPunct w:val="0"/>
        <w:spacing w:before="37"/>
        <w:ind w:left="118" w:right="241" w:firstLine="1"/>
        <w:rPr>
          <w:color w:val="1F4E79"/>
        </w:rPr>
      </w:pPr>
      <w:r>
        <w:rPr>
          <w:color w:val="1F4E79"/>
        </w:rPr>
        <w:lastRenderedPageBreak/>
        <w:t>are reimbursed $100 less per visit. The table below shows Medicaid rates from 1998 to 2016 for 2 common sick visit codes as an example, however, all codes had similar disparity in reimbursements. In 2013 &amp; 2014 reimbursements were increased to Medicare levels if a provider was aware that they needed to signed up for it. Staffing costs have increased about 3%-7% per year due to inflation and other outside influences still reimbursements decreased 7.5% 2007 to 2016.  Where is the money going? Staffing costs have only increased in this time frame and we had increased cost due to meaningful use and NCQA certification.</w:t>
      </w:r>
    </w:p>
    <w:p w:rsidR="002C5025" w:rsidRDefault="002C5025">
      <w:pPr>
        <w:pStyle w:val="BodyText"/>
        <w:kinsoku w:val="0"/>
        <w:overflowPunct w:val="0"/>
        <w:spacing w:before="7"/>
      </w:pPr>
    </w:p>
    <w:p w:rsidR="002C5025" w:rsidRDefault="002C5025">
      <w:pPr>
        <w:pStyle w:val="BodyText"/>
        <w:kinsoku w:val="0"/>
        <w:overflowPunct w:val="0"/>
        <w:spacing w:before="1"/>
        <w:ind w:left="118" w:right="241"/>
        <w:rPr>
          <w:color w:val="1F4E79"/>
        </w:rPr>
      </w:pPr>
      <w:r>
        <w:rPr>
          <w:color w:val="1F4E79"/>
        </w:rPr>
        <w:t>Medicaid Rates</w:t>
      </w:r>
    </w:p>
    <w:p w:rsidR="002C5025" w:rsidRDefault="002C5025">
      <w:pPr>
        <w:pStyle w:val="BodyText"/>
        <w:kinsoku w:val="0"/>
        <w:overflowPunct w:val="0"/>
        <w:spacing w:before="5"/>
        <w:rPr>
          <w:sz w:val="28"/>
          <w:szCs w:val="28"/>
        </w:rPr>
      </w:pPr>
    </w:p>
    <w:p w:rsidR="002C5025" w:rsidRDefault="00FB027C">
      <w:pPr>
        <w:pStyle w:val="BodyText"/>
        <w:kinsoku w:val="0"/>
        <w:overflowPunct w:val="0"/>
        <w:spacing w:before="57"/>
        <w:ind w:left="1267" w:right="241"/>
        <w:rPr>
          <w:color w:val="1F4E79"/>
        </w:rPr>
      </w:pPr>
      <w:r>
        <w:rPr>
          <w:noProof/>
        </w:rPr>
        <mc:AlternateContent>
          <mc:Choice Requires="wps">
            <w:drawing>
              <wp:anchor distT="0" distB="0" distL="114300" distR="114300" simplePos="0" relativeHeight="251802112" behindDoc="0" locked="0" layoutInCell="0" allowOverlap="1">
                <wp:simplePos x="0" y="0"/>
                <wp:positionH relativeFrom="page">
                  <wp:posOffset>2058670</wp:posOffset>
                </wp:positionH>
                <wp:positionV relativeFrom="paragraph">
                  <wp:posOffset>-202565</wp:posOffset>
                </wp:positionV>
                <wp:extent cx="4741545" cy="650875"/>
                <wp:effectExtent l="0" t="0" r="0" b="0"/>
                <wp:wrapNone/>
                <wp:docPr id="73" name="Text Box 7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1545" cy="650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8" w:type="dxa"/>
                              <w:tblLayout w:type="fixed"/>
                              <w:tblCellMar>
                                <w:left w:w="0" w:type="dxa"/>
                                <w:right w:w="0" w:type="dxa"/>
                              </w:tblCellMar>
                              <w:tblLook w:val="0000" w:firstRow="0" w:lastRow="0" w:firstColumn="0" w:lastColumn="0" w:noHBand="0" w:noVBand="0"/>
                            </w:tblPr>
                            <w:tblGrid>
                              <w:gridCol w:w="718"/>
                              <w:gridCol w:w="960"/>
                              <w:gridCol w:w="960"/>
                              <w:gridCol w:w="960"/>
                              <w:gridCol w:w="960"/>
                              <w:gridCol w:w="960"/>
                              <w:gridCol w:w="960"/>
                              <w:gridCol w:w="960"/>
                            </w:tblGrid>
                            <w:tr w:rsidR="007B2B7B">
                              <w:trPr>
                                <w:trHeight w:hRule="exact" w:val="336"/>
                              </w:trPr>
                              <w:tc>
                                <w:tcPr>
                                  <w:tcW w:w="718" w:type="dxa"/>
                                  <w:tcBorders>
                                    <w:top w:val="single" w:sz="6" w:space="0" w:color="000000"/>
                                    <w:left w:val="single" w:sz="6" w:space="0" w:color="000000"/>
                                    <w:bottom w:val="single" w:sz="6" w:space="0" w:color="000000"/>
                                    <w:right w:val="single" w:sz="6" w:space="0" w:color="000000"/>
                                  </w:tcBorders>
                                </w:tcPr>
                                <w:p w:rsidR="007B2B7B" w:rsidRDefault="007B2B7B">
                                  <w:pPr>
                                    <w:pStyle w:val="TableParagraph"/>
                                    <w:kinsoku w:val="0"/>
                                    <w:overflowPunct w:val="0"/>
                                    <w:spacing w:before="21"/>
                                    <w:ind w:left="153"/>
                                    <w:rPr>
                                      <w:rFonts w:ascii="Times New Roman" w:hAnsi="Times New Roman" w:cs="Times New Roman"/>
                                    </w:rPr>
                                  </w:pPr>
                                  <w:r>
                                    <w:rPr>
                                      <w:rFonts w:ascii="Calibri" w:hAnsi="Calibri" w:cs="Calibri"/>
                                      <w:color w:val="1F4E79"/>
                                      <w:sz w:val="22"/>
                                      <w:szCs w:val="22"/>
                                    </w:rPr>
                                    <w:t>1998</w:t>
                                  </w:r>
                                </w:p>
                              </w:tc>
                              <w:tc>
                                <w:tcPr>
                                  <w:tcW w:w="960" w:type="dxa"/>
                                  <w:tcBorders>
                                    <w:top w:val="single" w:sz="6" w:space="0" w:color="000000"/>
                                    <w:left w:val="single" w:sz="6" w:space="0" w:color="000000"/>
                                    <w:bottom w:val="single" w:sz="6" w:space="0" w:color="000000"/>
                                    <w:right w:val="single" w:sz="6" w:space="0" w:color="000000"/>
                                  </w:tcBorders>
                                </w:tcPr>
                                <w:p w:rsidR="007B2B7B" w:rsidRDefault="007B2B7B">
                                  <w:pPr>
                                    <w:pStyle w:val="TableParagraph"/>
                                    <w:kinsoku w:val="0"/>
                                    <w:overflowPunct w:val="0"/>
                                    <w:spacing w:before="21"/>
                                    <w:ind w:left="0" w:right="93"/>
                                    <w:jc w:val="right"/>
                                    <w:rPr>
                                      <w:rFonts w:ascii="Times New Roman" w:hAnsi="Times New Roman" w:cs="Times New Roman"/>
                                    </w:rPr>
                                  </w:pPr>
                                  <w:r>
                                    <w:rPr>
                                      <w:rFonts w:ascii="Calibri" w:hAnsi="Calibri" w:cs="Calibri"/>
                                      <w:color w:val="1F4E79"/>
                                      <w:sz w:val="22"/>
                                      <w:szCs w:val="22"/>
                                    </w:rPr>
                                    <w:t>2001</w:t>
                                  </w:r>
                                </w:p>
                              </w:tc>
                              <w:tc>
                                <w:tcPr>
                                  <w:tcW w:w="960" w:type="dxa"/>
                                  <w:tcBorders>
                                    <w:top w:val="single" w:sz="6" w:space="0" w:color="000000"/>
                                    <w:left w:val="single" w:sz="6" w:space="0" w:color="000000"/>
                                    <w:bottom w:val="single" w:sz="6" w:space="0" w:color="000000"/>
                                    <w:right w:val="single" w:sz="6" w:space="0" w:color="000000"/>
                                  </w:tcBorders>
                                </w:tcPr>
                                <w:p w:rsidR="007B2B7B" w:rsidRDefault="007B2B7B">
                                  <w:pPr>
                                    <w:pStyle w:val="TableParagraph"/>
                                    <w:kinsoku w:val="0"/>
                                    <w:overflowPunct w:val="0"/>
                                    <w:spacing w:before="21"/>
                                    <w:ind w:left="0" w:right="93"/>
                                    <w:jc w:val="right"/>
                                    <w:rPr>
                                      <w:rFonts w:ascii="Times New Roman" w:hAnsi="Times New Roman" w:cs="Times New Roman"/>
                                    </w:rPr>
                                  </w:pPr>
                                  <w:r>
                                    <w:rPr>
                                      <w:rFonts w:ascii="Calibri" w:hAnsi="Calibri" w:cs="Calibri"/>
                                      <w:color w:val="1F4E79"/>
                                      <w:sz w:val="22"/>
                                      <w:szCs w:val="22"/>
                                    </w:rPr>
                                    <w:t>2004</w:t>
                                  </w:r>
                                </w:p>
                              </w:tc>
                              <w:tc>
                                <w:tcPr>
                                  <w:tcW w:w="960" w:type="dxa"/>
                                  <w:tcBorders>
                                    <w:top w:val="single" w:sz="6" w:space="0" w:color="000000"/>
                                    <w:left w:val="single" w:sz="6" w:space="0" w:color="000000"/>
                                    <w:bottom w:val="single" w:sz="6" w:space="0" w:color="000000"/>
                                    <w:right w:val="single" w:sz="6" w:space="0" w:color="000000"/>
                                  </w:tcBorders>
                                  <w:shd w:val="clear" w:color="auto" w:fill="FFFF00"/>
                                </w:tcPr>
                                <w:p w:rsidR="007B2B7B" w:rsidRDefault="007B2B7B">
                                  <w:pPr>
                                    <w:pStyle w:val="TableParagraph"/>
                                    <w:kinsoku w:val="0"/>
                                    <w:overflowPunct w:val="0"/>
                                    <w:spacing w:before="21"/>
                                    <w:ind w:left="0" w:right="93"/>
                                    <w:jc w:val="right"/>
                                    <w:rPr>
                                      <w:rFonts w:ascii="Times New Roman" w:hAnsi="Times New Roman" w:cs="Times New Roman"/>
                                    </w:rPr>
                                  </w:pPr>
                                  <w:r>
                                    <w:rPr>
                                      <w:rFonts w:ascii="Calibri" w:hAnsi="Calibri" w:cs="Calibri"/>
                                      <w:color w:val="1F4E79"/>
                                      <w:sz w:val="22"/>
                                      <w:szCs w:val="22"/>
                                    </w:rPr>
                                    <w:t>2007</w:t>
                                  </w:r>
                                </w:p>
                              </w:tc>
                              <w:tc>
                                <w:tcPr>
                                  <w:tcW w:w="960" w:type="dxa"/>
                                  <w:tcBorders>
                                    <w:top w:val="single" w:sz="6" w:space="0" w:color="000000"/>
                                    <w:left w:val="single" w:sz="6" w:space="0" w:color="000000"/>
                                    <w:bottom w:val="single" w:sz="6" w:space="0" w:color="000000"/>
                                    <w:right w:val="single" w:sz="6" w:space="0" w:color="000000"/>
                                  </w:tcBorders>
                                </w:tcPr>
                                <w:p w:rsidR="007B2B7B" w:rsidRDefault="007B2B7B">
                                  <w:pPr>
                                    <w:pStyle w:val="TableParagraph"/>
                                    <w:kinsoku w:val="0"/>
                                    <w:overflowPunct w:val="0"/>
                                    <w:spacing w:before="21"/>
                                    <w:ind w:left="0" w:right="93"/>
                                    <w:jc w:val="right"/>
                                    <w:rPr>
                                      <w:rFonts w:ascii="Times New Roman" w:hAnsi="Times New Roman" w:cs="Times New Roman"/>
                                    </w:rPr>
                                  </w:pPr>
                                  <w:r>
                                    <w:rPr>
                                      <w:rFonts w:ascii="Calibri" w:hAnsi="Calibri" w:cs="Calibri"/>
                                      <w:color w:val="1F4E79"/>
                                      <w:sz w:val="22"/>
                                      <w:szCs w:val="22"/>
                                    </w:rPr>
                                    <w:t>2010</w:t>
                                  </w:r>
                                </w:p>
                              </w:tc>
                              <w:tc>
                                <w:tcPr>
                                  <w:tcW w:w="960" w:type="dxa"/>
                                  <w:tcBorders>
                                    <w:top w:val="single" w:sz="6" w:space="0" w:color="000000"/>
                                    <w:left w:val="single" w:sz="6" w:space="0" w:color="000000"/>
                                    <w:bottom w:val="single" w:sz="6" w:space="0" w:color="000000"/>
                                    <w:right w:val="single" w:sz="6" w:space="0" w:color="000000"/>
                                  </w:tcBorders>
                                </w:tcPr>
                                <w:p w:rsidR="007B2B7B" w:rsidRDefault="007B2B7B">
                                  <w:pPr>
                                    <w:pStyle w:val="TableParagraph"/>
                                    <w:kinsoku w:val="0"/>
                                    <w:overflowPunct w:val="0"/>
                                    <w:spacing w:before="21"/>
                                    <w:ind w:left="0" w:right="93"/>
                                    <w:jc w:val="right"/>
                                    <w:rPr>
                                      <w:rFonts w:ascii="Times New Roman" w:hAnsi="Times New Roman" w:cs="Times New Roman"/>
                                    </w:rPr>
                                  </w:pPr>
                                  <w:r>
                                    <w:rPr>
                                      <w:rFonts w:ascii="Calibri" w:hAnsi="Calibri" w:cs="Calibri"/>
                                      <w:color w:val="1F4E79"/>
                                      <w:sz w:val="22"/>
                                      <w:szCs w:val="22"/>
                                    </w:rPr>
                                    <w:t>2014</w:t>
                                  </w:r>
                                </w:p>
                              </w:tc>
                              <w:tc>
                                <w:tcPr>
                                  <w:tcW w:w="960" w:type="dxa"/>
                                  <w:tcBorders>
                                    <w:top w:val="single" w:sz="6" w:space="0" w:color="000000"/>
                                    <w:left w:val="single" w:sz="6" w:space="0" w:color="000000"/>
                                    <w:bottom w:val="single" w:sz="6" w:space="0" w:color="000000"/>
                                    <w:right w:val="single" w:sz="6" w:space="0" w:color="000000"/>
                                  </w:tcBorders>
                                </w:tcPr>
                                <w:p w:rsidR="007B2B7B" w:rsidRDefault="007B2B7B">
                                  <w:pPr>
                                    <w:pStyle w:val="TableParagraph"/>
                                    <w:kinsoku w:val="0"/>
                                    <w:overflowPunct w:val="0"/>
                                    <w:spacing w:before="21"/>
                                    <w:ind w:left="0" w:right="93"/>
                                    <w:jc w:val="right"/>
                                    <w:rPr>
                                      <w:rFonts w:ascii="Times New Roman" w:hAnsi="Times New Roman" w:cs="Times New Roman"/>
                                    </w:rPr>
                                  </w:pPr>
                                  <w:r>
                                    <w:rPr>
                                      <w:rFonts w:ascii="Calibri" w:hAnsi="Calibri" w:cs="Calibri"/>
                                      <w:color w:val="1F4E79"/>
                                      <w:sz w:val="22"/>
                                      <w:szCs w:val="22"/>
                                    </w:rPr>
                                    <w:t>2015</w:t>
                                  </w:r>
                                </w:p>
                              </w:tc>
                              <w:tc>
                                <w:tcPr>
                                  <w:tcW w:w="960" w:type="dxa"/>
                                  <w:tcBorders>
                                    <w:top w:val="single" w:sz="6" w:space="0" w:color="000000"/>
                                    <w:left w:val="single" w:sz="6" w:space="0" w:color="000000"/>
                                    <w:bottom w:val="single" w:sz="6" w:space="0" w:color="000000"/>
                                    <w:right w:val="single" w:sz="6" w:space="0" w:color="000000"/>
                                  </w:tcBorders>
                                  <w:shd w:val="clear" w:color="auto" w:fill="FFFF00"/>
                                </w:tcPr>
                                <w:p w:rsidR="007B2B7B" w:rsidRDefault="007B2B7B">
                                  <w:pPr>
                                    <w:pStyle w:val="TableParagraph"/>
                                    <w:kinsoku w:val="0"/>
                                    <w:overflowPunct w:val="0"/>
                                    <w:spacing w:before="21"/>
                                    <w:ind w:left="0" w:right="93"/>
                                    <w:jc w:val="right"/>
                                    <w:rPr>
                                      <w:rFonts w:ascii="Times New Roman" w:hAnsi="Times New Roman" w:cs="Times New Roman"/>
                                    </w:rPr>
                                  </w:pPr>
                                  <w:r>
                                    <w:rPr>
                                      <w:rFonts w:ascii="Calibri" w:hAnsi="Calibri" w:cs="Calibri"/>
                                      <w:color w:val="1F4E79"/>
                                      <w:sz w:val="22"/>
                                      <w:szCs w:val="22"/>
                                    </w:rPr>
                                    <w:t>2016</w:t>
                                  </w:r>
                                </w:p>
                              </w:tc>
                            </w:tr>
                            <w:tr w:rsidR="007B2B7B">
                              <w:trPr>
                                <w:trHeight w:hRule="exact" w:val="334"/>
                              </w:trPr>
                              <w:tc>
                                <w:tcPr>
                                  <w:tcW w:w="718" w:type="dxa"/>
                                  <w:tcBorders>
                                    <w:top w:val="single" w:sz="6" w:space="0" w:color="000000"/>
                                    <w:left w:val="single" w:sz="6" w:space="0" w:color="000000"/>
                                    <w:bottom w:val="single" w:sz="6" w:space="0" w:color="000000"/>
                                    <w:right w:val="single" w:sz="6" w:space="0" w:color="000000"/>
                                  </w:tcBorders>
                                </w:tcPr>
                                <w:p w:rsidR="007B2B7B" w:rsidRDefault="007B2B7B">
                                  <w:pPr>
                                    <w:pStyle w:val="TableParagraph"/>
                                    <w:kinsoku w:val="0"/>
                                    <w:overflowPunct w:val="0"/>
                                    <w:spacing w:before="21"/>
                                    <w:ind w:left="98"/>
                                    <w:rPr>
                                      <w:rFonts w:ascii="Times New Roman" w:hAnsi="Times New Roman" w:cs="Times New Roman"/>
                                    </w:rPr>
                                  </w:pPr>
                                  <w:r>
                                    <w:rPr>
                                      <w:rFonts w:ascii="Calibri" w:hAnsi="Calibri" w:cs="Calibri"/>
                                      <w:color w:val="1F4E79"/>
                                      <w:sz w:val="22"/>
                                      <w:szCs w:val="22"/>
                                    </w:rPr>
                                    <w:t>33.54</w:t>
                                  </w:r>
                                </w:p>
                              </w:tc>
                              <w:tc>
                                <w:tcPr>
                                  <w:tcW w:w="960" w:type="dxa"/>
                                  <w:tcBorders>
                                    <w:top w:val="single" w:sz="6" w:space="0" w:color="000000"/>
                                    <w:left w:val="single" w:sz="6" w:space="0" w:color="000000"/>
                                    <w:bottom w:val="single" w:sz="6" w:space="0" w:color="000000"/>
                                    <w:right w:val="single" w:sz="6" w:space="0" w:color="000000"/>
                                  </w:tcBorders>
                                </w:tcPr>
                                <w:p w:rsidR="007B2B7B" w:rsidRDefault="007B2B7B">
                                  <w:pPr>
                                    <w:pStyle w:val="TableParagraph"/>
                                    <w:kinsoku w:val="0"/>
                                    <w:overflowPunct w:val="0"/>
                                    <w:spacing w:before="21"/>
                                    <w:ind w:left="0" w:right="94"/>
                                    <w:jc w:val="right"/>
                                    <w:rPr>
                                      <w:rFonts w:ascii="Times New Roman" w:hAnsi="Times New Roman" w:cs="Times New Roman"/>
                                    </w:rPr>
                                  </w:pPr>
                                  <w:r>
                                    <w:rPr>
                                      <w:rFonts w:ascii="Calibri" w:hAnsi="Calibri" w:cs="Calibri"/>
                                      <w:color w:val="1F4E79"/>
                                      <w:sz w:val="22"/>
                                      <w:szCs w:val="22"/>
                                    </w:rPr>
                                    <w:t>43.99</w:t>
                                  </w:r>
                                </w:p>
                              </w:tc>
                              <w:tc>
                                <w:tcPr>
                                  <w:tcW w:w="960" w:type="dxa"/>
                                  <w:tcBorders>
                                    <w:top w:val="single" w:sz="6" w:space="0" w:color="000000"/>
                                    <w:left w:val="single" w:sz="6" w:space="0" w:color="000000"/>
                                    <w:bottom w:val="single" w:sz="6" w:space="0" w:color="000000"/>
                                    <w:right w:val="single" w:sz="6" w:space="0" w:color="000000"/>
                                  </w:tcBorders>
                                </w:tcPr>
                                <w:p w:rsidR="007B2B7B" w:rsidRDefault="007B2B7B">
                                  <w:pPr>
                                    <w:pStyle w:val="TableParagraph"/>
                                    <w:kinsoku w:val="0"/>
                                    <w:overflowPunct w:val="0"/>
                                    <w:spacing w:before="21"/>
                                    <w:ind w:left="0" w:right="94"/>
                                    <w:jc w:val="right"/>
                                    <w:rPr>
                                      <w:rFonts w:ascii="Times New Roman" w:hAnsi="Times New Roman" w:cs="Times New Roman"/>
                                    </w:rPr>
                                  </w:pPr>
                                  <w:r>
                                    <w:rPr>
                                      <w:rFonts w:ascii="Calibri" w:hAnsi="Calibri" w:cs="Calibri"/>
                                      <w:color w:val="1F4E79"/>
                                      <w:sz w:val="22"/>
                                      <w:szCs w:val="22"/>
                                    </w:rPr>
                                    <w:t>38.24</w:t>
                                  </w:r>
                                </w:p>
                              </w:tc>
                              <w:tc>
                                <w:tcPr>
                                  <w:tcW w:w="960" w:type="dxa"/>
                                  <w:tcBorders>
                                    <w:top w:val="single" w:sz="6" w:space="0" w:color="000000"/>
                                    <w:left w:val="single" w:sz="6" w:space="0" w:color="000000"/>
                                    <w:bottom w:val="single" w:sz="6" w:space="0" w:color="000000"/>
                                    <w:right w:val="single" w:sz="6" w:space="0" w:color="000000"/>
                                  </w:tcBorders>
                                  <w:shd w:val="clear" w:color="auto" w:fill="FFFF00"/>
                                </w:tcPr>
                                <w:p w:rsidR="007B2B7B" w:rsidRDefault="007B2B7B">
                                  <w:pPr>
                                    <w:pStyle w:val="TableParagraph"/>
                                    <w:kinsoku w:val="0"/>
                                    <w:overflowPunct w:val="0"/>
                                    <w:spacing w:before="21"/>
                                    <w:ind w:left="0" w:right="94"/>
                                    <w:jc w:val="right"/>
                                    <w:rPr>
                                      <w:rFonts w:ascii="Times New Roman" w:hAnsi="Times New Roman" w:cs="Times New Roman"/>
                                    </w:rPr>
                                  </w:pPr>
                                  <w:r>
                                    <w:rPr>
                                      <w:rFonts w:ascii="Calibri" w:hAnsi="Calibri" w:cs="Calibri"/>
                                      <w:color w:val="1F4E79"/>
                                      <w:sz w:val="22"/>
                                      <w:szCs w:val="22"/>
                                    </w:rPr>
                                    <w:t>58.67</w:t>
                                  </w:r>
                                </w:p>
                              </w:tc>
                              <w:tc>
                                <w:tcPr>
                                  <w:tcW w:w="960" w:type="dxa"/>
                                  <w:tcBorders>
                                    <w:top w:val="single" w:sz="6" w:space="0" w:color="000000"/>
                                    <w:left w:val="single" w:sz="6" w:space="0" w:color="000000"/>
                                    <w:bottom w:val="single" w:sz="6" w:space="0" w:color="000000"/>
                                    <w:right w:val="single" w:sz="6" w:space="0" w:color="000000"/>
                                  </w:tcBorders>
                                </w:tcPr>
                                <w:p w:rsidR="007B2B7B" w:rsidRDefault="007B2B7B">
                                  <w:pPr>
                                    <w:pStyle w:val="TableParagraph"/>
                                    <w:kinsoku w:val="0"/>
                                    <w:overflowPunct w:val="0"/>
                                    <w:spacing w:before="21"/>
                                    <w:ind w:left="0" w:right="94"/>
                                    <w:jc w:val="right"/>
                                    <w:rPr>
                                      <w:rFonts w:ascii="Times New Roman" w:hAnsi="Times New Roman" w:cs="Times New Roman"/>
                                    </w:rPr>
                                  </w:pPr>
                                  <w:r>
                                    <w:rPr>
                                      <w:rFonts w:ascii="Calibri" w:hAnsi="Calibri" w:cs="Calibri"/>
                                      <w:color w:val="1F4E79"/>
                                      <w:sz w:val="22"/>
                                      <w:szCs w:val="22"/>
                                    </w:rPr>
                                    <w:t>48.67</w:t>
                                  </w:r>
                                </w:p>
                              </w:tc>
                              <w:tc>
                                <w:tcPr>
                                  <w:tcW w:w="960" w:type="dxa"/>
                                  <w:tcBorders>
                                    <w:top w:val="single" w:sz="6" w:space="0" w:color="000000"/>
                                    <w:left w:val="single" w:sz="6" w:space="0" w:color="000000"/>
                                    <w:bottom w:val="single" w:sz="6" w:space="0" w:color="000000"/>
                                    <w:right w:val="single" w:sz="6" w:space="0" w:color="000000"/>
                                  </w:tcBorders>
                                </w:tcPr>
                                <w:p w:rsidR="007B2B7B" w:rsidRDefault="007B2B7B">
                                  <w:pPr>
                                    <w:pStyle w:val="TableParagraph"/>
                                    <w:kinsoku w:val="0"/>
                                    <w:overflowPunct w:val="0"/>
                                    <w:spacing w:before="21"/>
                                    <w:ind w:left="0" w:right="94"/>
                                    <w:jc w:val="right"/>
                                    <w:rPr>
                                      <w:rFonts w:ascii="Times New Roman" w:hAnsi="Times New Roman" w:cs="Times New Roman"/>
                                    </w:rPr>
                                  </w:pPr>
                                  <w:r>
                                    <w:rPr>
                                      <w:rFonts w:ascii="Calibri" w:hAnsi="Calibri" w:cs="Calibri"/>
                                      <w:color w:val="1F4E79"/>
                                      <w:sz w:val="22"/>
                                      <w:szCs w:val="22"/>
                                    </w:rPr>
                                    <w:t>76.38</w:t>
                                  </w:r>
                                </w:p>
                              </w:tc>
                              <w:tc>
                                <w:tcPr>
                                  <w:tcW w:w="960" w:type="dxa"/>
                                  <w:tcBorders>
                                    <w:top w:val="single" w:sz="6" w:space="0" w:color="000000"/>
                                    <w:left w:val="single" w:sz="6" w:space="0" w:color="000000"/>
                                    <w:bottom w:val="single" w:sz="6" w:space="0" w:color="000000"/>
                                    <w:right w:val="single" w:sz="6" w:space="0" w:color="000000"/>
                                  </w:tcBorders>
                                </w:tcPr>
                                <w:p w:rsidR="007B2B7B" w:rsidRDefault="007B2B7B">
                                  <w:pPr>
                                    <w:pStyle w:val="TableParagraph"/>
                                    <w:kinsoku w:val="0"/>
                                    <w:overflowPunct w:val="0"/>
                                    <w:spacing w:before="21"/>
                                    <w:ind w:left="0" w:right="94"/>
                                    <w:jc w:val="right"/>
                                    <w:rPr>
                                      <w:rFonts w:ascii="Times New Roman" w:hAnsi="Times New Roman" w:cs="Times New Roman"/>
                                    </w:rPr>
                                  </w:pPr>
                                  <w:r>
                                    <w:rPr>
                                      <w:rFonts w:ascii="Calibri" w:hAnsi="Calibri" w:cs="Calibri"/>
                                      <w:color w:val="1F4E79"/>
                                      <w:sz w:val="22"/>
                                      <w:szCs w:val="22"/>
                                    </w:rPr>
                                    <w:t>76.38</w:t>
                                  </w:r>
                                </w:p>
                              </w:tc>
                              <w:tc>
                                <w:tcPr>
                                  <w:tcW w:w="960" w:type="dxa"/>
                                  <w:tcBorders>
                                    <w:top w:val="single" w:sz="6" w:space="0" w:color="000000"/>
                                    <w:left w:val="single" w:sz="6" w:space="0" w:color="000000"/>
                                    <w:bottom w:val="single" w:sz="6" w:space="0" w:color="000000"/>
                                    <w:right w:val="single" w:sz="6" w:space="0" w:color="000000"/>
                                  </w:tcBorders>
                                  <w:shd w:val="clear" w:color="auto" w:fill="FFFF00"/>
                                </w:tcPr>
                                <w:p w:rsidR="007B2B7B" w:rsidRDefault="007B2B7B">
                                  <w:pPr>
                                    <w:pStyle w:val="TableParagraph"/>
                                    <w:kinsoku w:val="0"/>
                                    <w:overflowPunct w:val="0"/>
                                    <w:spacing w:before="21"/>
                                    <w:ind w:left="0" w:right="94"/>
                                    <w:jc w:val="right"/>
                                    <w:rPr>
                                      <w:rFonts w:ascii="Times New Roman" w:hAnsi="Times New Roman" w:cs="Times New Roman"/>
                                    </w:rPr>
                                  </w:pPr>
                                  <w:r>
                                    <w:rPr>
                                      <w:rFonts w:ascii="Calibri" w:hAnsi="Calibri" w:cs="Calibri"/>
                                      <w:color w:val="1F4E79"/>
                                      <w:sz w:val="22"/>
                                      <w:szCs w:val="22"/>
                                    </w:rPr>
                                    <w:t>52.37</w:t>
                                  </w:r>
                                </w:p>
                              </w:tc>
                            </w:tr>
                            <w:tr w:rsidR="007B2B7B">
                              <w:trPr>
                                <w:trHeight w:hRule="exact" w:val="336"/>
                              </w:trPr>
                              <w:tc>
                                <w:tcPr>
                                  <w:tcW w:w="718" w:type="dxa"/>
                                  <w:tcBorders>
                                    <w:top w:val="single" w:sz="6" w:space="0" w:color="000000"/>
                                    <w:left w:val="single" w:sz="6" w:space="0" w:color="000000"/>
                                    <w:bottom w:val="single" w:sz="6" w:space="0" w:color="000000"/>
                                    <w:right w:val="single" w:sz="6" w:space="0" w:color="000000"/>
                                  </w:tcBorders>
                                </w:tcPr>
                                <w:p w:rsidR="007B2B7B" w:rsidRDefault="007B2B7B">
                                  <w:pPr>
                                    <w:pStyle w:val="TableParagraph"/>
                                    <w:kinsoku w:val="0"/>
                                    <w:overflowPunct w:val="0"/>
                                    <w:spacing w:before="21"/>
                                    <w:ind w:left="98"/>
                                    <w:rPr>
                                      <w:rFonts w:ascii="Times New Roman" w:hAnsi="Times New Roman" w:cs="Times New Roman"/>
                                    </w:rPr>
                                  </w:pPr>
                                  <w:r>
                                    <w:rPr>
                                      <w:rFonts w:ascii="Calibri" w:hAnsi="Calibri" w:cs="Calibri"/>
                                      <w:color w:val="1F4E79"/>
                                      <w:sz w:val="22"/>
                                      <w:szCs w:val="22"/>
                                    </w:rPr>
                                    <w:t>50.49</w:t>
                                  </w:r>
                                </w:p>
                              </w:tc>
                              <w:tc>
                                <w:tcPr>
                                  <w:tcW w:w="960" w:type="dxa"/>
                                  <w:tcBorders>
                                    <w:top w:val="single" w:sz="6" w:space="0" w:color="000000"/>
                                    <w:left w:val="single" w:sz="6" w:space="0" w:color="000000"/>
                                    <w:bottom w:val="single" w:sz="6" w:space="0" w:color="000000"/>
                                    <w:right w:val="single" w:sz="6" w:space="0" w:color="000000"/>
                                  </w:tcBorders>
                                </w:tcPr>
                                <w:p w:rsidR="007B2B7B" w:rsidRDefault="007B2B7B">
                                  <w:pPr>
                                    <w:pStyle w:val="TableParagraph"/>
                                    <w:kinsoku w:val="0"/>
                                    <w:overflowPunct w:val="0"/>
                                    <w:spacing w:before="21"/>
                                    <w:ind w:left="0" w:right="94"/>
                                    <w:jc w:val="right"/>
                                    <w:rPr>
                                      <w:rFonts w:ascii="Times New Roman" w:hAnsi="Times New Roman" w:cs="Times New Roman"/>
                                    </w:rPr>
                                  </w:pPr>
                                  <w:r>
                                    <w:rPr>
                                      <w:rFonts w:ascii="Calibri" w:hAnsi="Calibri" w:cs="Calibri"/>
                                      <w:color w:val="1F4E79"/>
                                      <w:sz w:val="22"/>
                                      <w:szCs w:val="22"/>
                                    </w:rPr>
                                    <w:t>62.09</w:t>
                                  </w:r>
                                </w:p>
                              </w:tc>
                              <w:tc>
                                <w:tcPr>
                                  <w:tcW w:w="960" w:type="dxa"/>
                                  <w:tcBorders>
                                    <w:top w:val="single" w:sz="6" w:space="0" w:color="000000"/>
                                    <w:left w:val="single" w:sz="6" w:space="0" w:color="000000"/>
                                    <w:bottom w:val="single" w:sz="6" w:space="0" w:color="000000"/>
                                    <w:right w:val="single" w:sz="6" w:space="0" w:color="000000"/>
                                  </w:tcBorders>
                                </w:tcPr>
                                <w:p w:rsidR="007B2B7B" w:rsidRDefault="007B2B7B">
                                  <w:pPr>
                                    <w:pStyle w:val="TableParagraph"/>
                                    <w:kinsoku w:val="0"/>
                                    <w:overflowPunct w:val="0"/>
                                    <w:spacing w:before="21"/>
                                    <w:ind w:left="0" w:right="94"/>
                                    <w:jc w:val="right"/>
                                    <w:rPr>
                                      <w:rFonts w:ascii="Times New Roman" w:hAnsi="Times New Roman" w:cs="Times New Roman"/>
                                    </w:rPr>
                                  </w:pPr>
                                  <w:r>
                                    <w:rPr>
                                      <w:rFonts w:ascii="Calibri" w:hAnsi="Calibri" w:cs="Calibri"/>
                                      <w:color w:val="1F4E79"/>
                                      <w:sz w:val="22"/>
                                      <w:szCs w:val="22"/>
                                    </w:rPr>
                                    <w:t>59.86</w:t>
                                  </w:r>
                                </w:p>
                              </w:tc>
                              <w:tc>
                                <w:tcPr>
                                  <w:tcW w:w="960" w:type="dxa"/>
                                  <w:tcBorders>
                                    <w:top w:val="single" w:sz="6" w:space="0" w:color="000000"/>
                                    <w:left w:val="single" w:sz="6" w:space="0" w:color="000000"/>
                                    <w:bottom w:val="single" w:sz="6" w:space="0" w:color="000000"/>
                                    <w:right w:val="single" w:sz="6" w:space="0" w:color="000000"/>
                                  </w:tcBorders>
                                  <w:shd w:val="clear" w:color="auto" w:fill="FFFF00"/>
                                </w:tcPr>
                                <w:p w:rsidR="007B2B7B" w:rsidRDefault="007B2B7B">
                                  <w:pPr>
                                    <w:pStyle w:val="TableParagraph"/>
                                    <w:kinsoku w:val="0"/>
                                    <w:overflowPunct w:val="0"/>
                                    <w:spacing w:before="21"/>
                                    <w:ind w:left="0" w:right="94"/>
                                    <w:jc w:val="right"/>
                                    <w:rPr>
                                      <w:rFonts w:ascii="Times New Roman" w:hAnsi="Times New Roman" w:cs="Times New Roman"/>
                                    </w:rPr>
                                  </w:pPr>
                                  <w:r>
                                    <w:rPr>
                                      <w:rFonts w:ascii="Calibri" w:hAnsi="Calibri" w:cs="Calibri"/>
                                      <w:color w:val="1F4E79"/>
                                      <w:sz w:val="22"/>
                                      <w:szCs w:val="22"/>
                                    </w:rPr>
                                    <w:t>83.71</w:t>
                                  </w:r>
                                </w:p>
                              </w:tc>
                              <w:tc>
                                <w:tcPr>
                                  <w:tcW w:w="960" w:type="dxa"/>
                                  <w:tcBorders>
                                    <w:top w:val="single" w:sz="6" w:space="0" w:color="000000"/>
                                    <w:left w:val="single" w:sz="6" w:space="0" w:color="000000"/>
                                    <w:bottom w:val="single" w:sz="6" w:space="0" w:color="000000"/>
                                    <w:right w:val="single" w:sz="6" w:space="0" w:color="000000"/>
                                  </w:tcBorders>
                                </w:tcPr>
                                <w:p w:rsidR="007B2B7B" w:rsidRDefault="007B2B7B">
                                  <w:pPr>
                                    <w:pStyle w:val="TableParagraph"/>
                                    <w:kinsoku w:val="0"/>
                                    <w:overflowPunct w:val="0"/>
                                    <w:spacing w:before="21"/>
                                    <w:ind w:left="0" w:right="94"/>
                                    <w:jc w:val="right"/>
                                    <w:rPr>
                                      <w:rFonts w:ascii="Times New Roman" w:hAnsi="Times New Roman" w:cs="Times New Roman"/>
                                    </w:rPr>
                                  </w:pPr>
                                  <w:r>
                                    <w:rPr>
                                      <w:rFonts w:ascii="Calibri" w:hAnsi="Calibri" w:cs="Calibri"/>
                                      <w:color w:val="1F4E79"/>
                                      <w:sz w:val="22"/>
                                      <w:szCs w:val="22"/>
                                    </w:rPr>
                                    <w:t>73.71</w:t>
                                  </w:r>
                                </w:p>
                              </w:tc>
                              <w:tc>
                                <w:tcPr>
                                  <w:tcW w:w="960" w:type="dxa"/>
                                  <w:tcBorders>
                                    <w:top w:val="single" w:sz="6" w:space="0" w:color="000000"/>
                                    <w:left w:val="single" w:sz="6" w:space="0" w:color="000000"/>
                                    <w:bottom w:val="single" w:sz="6" w:space="0" w:color="000000"/>
                                    <w:right w:val="single" w:sz="6" w:space="0" w:color="000000"/>
                                  </w:tcBorders>
                                </w:tcPr>
                                <w:p w:rsidR="007B2B7B" w:rsidRDefault="007B2B7B">
                                  <w:pPr>
                                    <w:pStyle w:val="TableParagraph"/>
                                    <w:kinsoku w:val="0"/>
                                    <w:overflowPunct w:val="0"/>
                                    <w:spacing w:before="21"/>
                                    <w:ind w:left="0" w:right="96"/>
                                    <w:jc w:val="right"/>
                                    <w:rPr>
                                      <w:rFonts w:ascii="Times New Roman" w:hAnsi="Times New Roman" w:cs="Times New Roman"/>
                                    </w:rPr>
                                  </w:pPr>
                                  <w:r>
                                    <w:rPr>
                                      <w:rFonts w:ascii="Calibri" w:hAnsi="Calibri" w:cs="Calibri"/>
                                      <w:color w:val="1F4E79"/>
                                      <w:sz w:val="22"/>
                                      <w:szCs w:val="22"/>
                                    </w:rPr>
                                    <w:t>112.57</w:t>
                                  </w:r>
                                </w:p>
                              </w:tc>
                              <w:tc>
                                <w:tcPr>
                                  <w:tcW w:w="960" w:type="dxa"/>
                                  <w:tcBorders>
                                    <w:top w:val="single" w:sz="6" w:space="0" w:color="000000"/>
                                    <w:left w:val="single" w:sz="6" w:space="0" w:color="000000"/>
                                    <w:bottom w:val="single" w:sz="6" w:space="0" w:color="000000"/>
                                    <w:right w:val="single" w:sz="6" w:space="0" w:color="000000"/>
                                  </w:tcBorders>
                                </w:tcPr>
                                <w:p w:rsidR="007B2B7B" w:rsidRDefault="007B2B7B">
                                  <w:pPr>
                                    <w:pStyle w:val="TableParagraph"/>
                                    <w:kinsoku w:val="0"/>
                                    <w:overflowPunct w:val="0"/>
                                    <w:spacing w:before="21"/>
                                    <w:ind w:left="0" w:right="96"/>
                                    <w:jc w:val="right"/>
                                    <w:rPr>
                                      <w:rFonts w:ascii="Times New Roman" w:hAnsi="Times New Roman" w:cs="Times New Roman"/>
                                    </w:rPr>
                                  </w:pPr>
                                  <w:r>
                                    <w:rPr>
                                      <w:rFonts w:ascii="Calibri" w:hAnsi="Calibri" w:cs="Calibri"/>
                                      <w:color w:val="1F4E79"/>
                                      <w:sz w:val="22"/>
                                      <w:szCs w:val="22"/>
                                    </w:rPr>
                                    <w:t>112.57</w:t>
                                  </w:r>
                                </w:p>
                              </w:tc>
                              <w:tc>
                                <w:tcPr>
                                  <w:tcW w:w="960" w:type="dxa"/>
                                  <w:tcBorders>
                                    <w:top w:val="single" w:sz="6" w:space="0" w:color="000000"/>
                                    <w:left w:val="single" w:sz="6" w:space="0" w:color="000000"/>
                                    <w:bottom w:val="single" w:sz="6" w:space="0" w:color="000000"/>
                                    <w:right w:val="single" w:sz="6" w:space="0" w:color="000000"/>
                                  </w:tcBorders>
                                  <w:shd w:val="clear" w:color="auto" w:fill="FFFF00"/>
                                </w:tcPr>
                                <w:p w:rsidR="007B2B7B" w:rsidRDefault="007B2B7B">
                                  <w:pPr>
                                    <w:pStyle w:val="TableParagraph"/>
                                    <w:kinsoku w:val="0"/>
                                    <w:overflowPunct w:val="0"/>
                                    <w:spacing w:before="21"/>
                                    <w:ind w:left="0" w:right="94"/>
                                    <w:jc w:val="right"/>
                                    <w:rPr>
                                      <w:rFonts w:ascii="Times New Roman" w:hAnsi="Times New Roman" w:cs="Times New Roman"/>
                                    </w:rPr>
                                  </w:pPr>
                                  <w:r>
                                    <w:rPr>
                                      <w:rFonts w:ascii="Calibri" w:hAnsi="Calibri" w:cs="Calibri"/>
                                      <w:color w:val="1F4E79"/>
                                      <w:sz w:val="22"/>
                                      <w:szCs w:val="22"/>
                                    </w:rPr>
                                    <w:t>77.46</w:t>
                                  </w:r>
                                </w:p>
                              </w:tc>
                            </w:tr>
                          </w:tbl>
                          <w:p w:rsidR="007B2B7B" w:rsidRDefault="007B2B7B">
                            <w:pPr>
                              <w:pStyle w:val="BodyText"/>
                              <w:kinsoku w:val="0"/>
                              <w:overflowPunct w:val="0"/>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4" o:spid="_x0000_s1274" type="#_x0000_t202" style="position:absolute;left:0;text-align:left;margin-left:162.1pt;margin-top:-15.95pt;width:373.35pt;height:51.25pt;z-index:251802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" o:allowincell="f" filled="f" stroked="f">
                <v:textbox inset="0,0,0,0">
                  <w:txbxContent>
                    <w:tbl>
                      <w:tblPr>
                        <w:tblW w:w="0" w:type="auto"/>
                        <w:tblInd w:w="8" w:type="dxa"/>
                        <w:tblLayout w:type="fixed"/>
                        <w:tblCellMar>
                          <w:left w:w="0" w:type="dxa"/>
                          <w:right w:w="0" w:type="dxa"/>
                        </w:tblCellMar>
                        <w:tblLook w:val="0000" w:firstRow="0" w:lastRow="0" w:firstColumn="0" w:lastColumn="0" w:noHBand="0" w:noVBand="0"/>
                      </w:tblPr>
                      <w:tblGrid>
                        <w:gridCol w:w="718"/>
                        <w:gridCol w:w="960"/>
                        <w:gridCol w:w="960"/>
                        <w:gridCol w:w="960"/>
                        <w:gridCol w:w="960"/>
                        <w:gridCol w:w="960"/>
                        <w:gridCol w:w="960"/>
                        <w:gridCol w:w="960"/>
                      </w:tblGrid>
                      <w:tr w:rsidR="007B2B7B">
                        <w:trPr>
                          <w:trHeight w:hRule="exact" w:val="336"/>
                        </w:trPr>
                        <w:tc>
                          <w:tcPr>
                            <w:tcW w:w="718" w:type="dxa"/>
                            <w:tcBorders>
                              <w:top w:val="single" w:sz="6" w:space="0" w:color="000000"/>
                              <w:left w:val="single" w:sz="6" w:space="0" w:color="000000"/>
                              <w:bottom w:val="single" w:sz="6" w:space="0" w:color="000000"/>
                              <w:right w:val="single" w:sz="6" w:space="0" w:color="000000"/>
                            </w:tcBorders>
                          </w:tcPr>
                          <w:p w:rsidR="007B2B7B" w:rsidRDefault="007B2B7B">
                            <w:pPr>
                              <w:pStyle w:val="TableParagraph"/>
                              <w:kinsoku w:val="0"/>
                              <w:overflowPunct w:val="0"/>
                              <w:spacing w:before="21"/>
                              <w:ind w:left="153"/>
                              <w:rPr>
                                <w:rFonts w:ascii="Times New Roman" w:hAnsi="Times New Roman" w:cs="Times New Roman"/>
                              </w:rPr>
                            </w:pPr>
                            <w:r>
                              <w:rPr>
                                <w:rFonts w:ascii="Calibri" w:hAnsi="Calibri" w:cs="Calibri"/>
                                <w:color w:val="1F4E79"/>
                                <w:sz w:val="22"/>
                                <w:szCs w:val="22"/>
                              </w:rPr>
                              <w:t>1998</w:t>
                            </w:r>
                          </w:p>
                        </w:tc>
                        <w:tc>
                          <w:tcPr>
                            <w:tcW w:w="960" w:type="dxa"/>
                            <w:tcBorders>
                              <w:top w:val="single" w:sz="6" w:space="0" w:color="000000"/>
                              <w:left w:val="single" w:sz="6" w:space="0" w:color="000000"/>
                              <w:bottom w:val="single" w:sz="6" w:space="0" w:color="000000"/>
                              <w:right w:val="single" w:sz="6" w:space="0" w:color="000000"/>
                            </w:tcBorders>
                          </w:tcPr>
                          <w:p w:rsidR="007B2B7B" w:rsidRDefault="007B2B7B">
                            <w:pPr>
                              <w:pStyle w:val="TableParagraph"/>
                              <w:kinsoku w:val="0"/>
                              <w:overflowPunct w:val="0"/>
                              <w:spacing w:before="21"/>
                              <w:ind w:left="0" w:right="93"/>
                              <w:jc w:val="right"/>
                              <w:rPr>
                                <w:rFonts w:ascii="Times New Roman" w:hAnsi="Times New Roman" w:cs="Times New Roman"/>
                              </w:rPr>
                            </w:pPr>
                            <w:r>
                              <w:rPr>
                                <w:rFonts w:ascii="Calibri" w:hAnsi="Calibri" w:cs="Calibri"/>
                                <w:color w:val="1F4E79"/>
                                <w:sz w:val="22"/>
                                <w:szCs w:val="22"/>
                              </w:rPr>
                              <w:t>2001</w:t>
                            </w:r>
                          </w:p>
                        </w:tc>
                        <w:tc>
                          <w:tcPr>
                            <w:tcW w:w="960" w:type="dxa"/>
                            <w:tcBorders>
                              <w:top w:val="single" w:sz="6" w:space="0" w:color="000000"/>
                              <w:left w:val="single" w:sz="6" w:space="0" w:color="000000"/>
                              <w:bottom w:val="single" w:sz="6" w:space="0" w:color="000000"/>
                              <w:right w:val="single" w:sz="6" w:space="0" w:color="000000"/>
                            </w:tcBorders>
                          </w:tcPr>
                          <w:p w:rsidR="007B2B7B" w:rsidRDefault="007B2B7B">
                            <w:pPr>
                              <w:pStyle w:val="TableParagraph"/>
                              <w:kinsoku w:val="0"/>
                              <w:overflowPunct w:val="0"/>
                              <w:spacing w:before="21"/>
                              <w:ind w:left="0" w:right="93"/>
                              <w:jc w:val="right"/>
                              <w:rPr>
                                <w:rFonts w:ascii="Times New Roman" w:hAnsi="Times New Roman" w:cs="Times New Roman"/>
                              </w:rPr>
                            </w:pPr>
                            <w:r>
                              <w:rPr>
                                <w:rFonts w:ascii="Calibri" w:hAnsi="Calibri" w:cs="Calibri"/>
                                <w:color w:val="1F4E79"/>
                                <w:sz w:val="22"/>
                                <w:szCs w:val="22"/>
                              </w:rPr>
                              <w:t>2004</w:t>
                            </w:r>
                          </w:p>
                        </w:tc>
                        <w:tc>
                          <w:tcPr>
                            <w:tcW w:w="960" w:type="dxa"/>
                            <w:tcBorders>
                              <w:top w:val="single" w:sz="6" w:space="0" w:color="000000"/>
                              <w:left w:val="single" w:sz="6" w:space="0" w:color="000000"/>
                              <w:bottom w:val="single" w:sz="6" w:space="0" w:color="000000"/>
                              <w:right w:val="single" w:sz="6" w:space="0" w:color="000000"/>
                            </w:tcBorders>
                            <w:shd w:val="clear" w:color="auto" w:fill="FFFF00"/>
                          </w:tcPr>
                          <w:p w:rsidR="007B2B7B" w:rsidRDefault="007B2B7B">
                            <w:pPr>
                              <w:pStyle w:val="TableParagraph"/>
                              <w:kinsoku w:val="0"/>
                              <w:overflowPunct w:val="0"/>
                              <w:spacing w:before="21"/>
                              <w:ind w:left="0" w:right="93"/>
                              <w:jc w:val="right"/>
                              <w:rPr>
                                <w:rFonts w:ascii="Times New Roman" w:hAnsi="Times New Roman" w:cs="Times New Roman"/>
                              </w:rPr>
                            </w:pPr>
                            <w:r>
                              <w:rPr>
                                <w:rFonts w:ascii="Calibri" w:hAnsi="Calibri" w:cs="Calibri"/>
                                <w:color w:val="1F4E79"/>
                                <w:sz w:val="22"/>
                                <w:szCs w:val="22"/>
                              </w:rPr>
                              <w:t>2007</w:t>
                            </w:r>
                          </w:p>
                        </w:tc>
                        <w:tc>
                          <w:tcPr>
                            <w:tcW w:w="960" w:type="dxa"/>
                            <w:tcBorders>
                              <w:top w:val="single" w:sz="6" w:space="0" w:color="000000"/>
                              <w:left w:val="single" w:sz="6" w:space="0" w:color="000000"/>
                              <w:bottom w:val="single" w:sz="6" w:space="0" w:color="000000"/>
                              <w:right w:val="single" w:sz="6" w:space="0" w:color="000000"/>
                            </w:tcBorders>
                          </w:tcPr>
                          <w:p w:rsidR="007B2B7B" w:rsidRDefault="007B2B7B">
                            <w:pPr>
                              <w:pStyle w:val="TableParagraph"/>
                              <w:kinsoku w:val="0"/>
                              <w:overflowPunct w:val="0"/>
                              <w:spacing w:before="21"/>
                              <w:ind w:left="0" w:right="93"/>
                              <w:jc w:val="right"/>
                              <w:rPr>
                                <w:rFonts w:ascii="Times New Roman" w:hAnsi="Times New Roman" w:cs="Times New Roman"/>
                              </w:rPr>
                            </w:pPr>
                            <w:r>
                              <w:rPr>
                                <w:rFonts w:ascii="Calibri" w:hAnsi="Calibri" w:cs="Calibri"/>
                                <w:color w:val="1F4E79"/>
                                <w:sz w:val="22"/>
                                <w:szCs w:val="22"/>
                              </w:rPr>
                              <w:t>2010</w:t>
                            </w:r>
                          </w:p>
                        </w:tc>
                        <w:tc>
                          <w:tcPr>
                            <w:tcW w:w="960" w:type="dxa"/>
                            <w:tcBorders>
                              <w:top w:val="single" w:sz="6" w:space="0" w:color="000000"/>
                              <w:left w:val="single" w:sz="6" w:space="0" w:color="000000"/>
                              <w:bottom w:val="single" w:sz="6" w:space="0" w:color="000000"/>
                              <w:right w:val="single" w:sz="6" w:space="0" w:color="000000"/>
                            </w:tcBorders>
                          </w:tcPr>
                          <w:p w:rsidR="007B2B7B" w:rsidRDefault="007B2B7B">
                            <w:pPr>
                              <w:pStyle w:val="TableParagraph"/>
                              <w:kinsoku w:val="0"/>
                              <w:overflowPunct w:val="0"/>
                              <w:spacing w:before="21"/>
                              <w:ind w:left="0" w:right="93"/>
                              <w:jc w:val="right"/>
                              <w:rPr>
                                <w:rFonts w:ascii="Times New Roman" w:hAnsi="Times New Roman" w:cs="Times New Roman"/>
                              </w:rPr>
                            </w:pPr>
                            <w:r>
                              <w:rPr>
                                <w:rFonts w:ascii="Calibri" w:hAnsi="Calibri" w:cs="Calibri"/>
                                <w:color w:val="1F4E79"/>
                                <w:sz w:val="22"/>
                                <w:szCs w:val="22"/>
                              </w:rPr>
                              <w:t>2014</w:t>
                            </w:r>
                          </w:p>
                        </w:tc>
                        <w:tc>
                          <w:tcPr>
                            <w:tcW w:w="960" w:type="dxa"/>
                            <w:tcBorders>
                              <w:top w:val="single" w:sz="6" w:space="0" w:color="000000"/>
                              <w:left w:val="single" w:sz="6" w:space="0" w:color="000000"/>
                              <w:bottom w:val="single" w:sz="6" w:space="0" w:color="000000"/>
                              <w:right w:val="single" w:sz="6" w:space="0" w:color="000000"/>
                            </w:tcBorders>
                          </w:tcPr>
                          <w:p w:rsidR="007B2B7B" w:rsidRDefault="007B2B7B">
                            <w:pPr>
                              <w:pStyle w:val="TableParagraph"/>
                              <w:kinsoku w:val="0"/>
                              <w:overflowPunct w:val="0"/>
                              <w:spacing w:before="21"/>
                              <w:ind w:left="0" w:right="93"/>
                              <w:jc w:val="right"/>
                              <w:rPr>
                                <w:rFonts w:ascii="Times New Roman" w:hAnsi="Times New Roman" w:cs="Times New Roman"/>
                              </w:rPr>
                            </w:pPr>
                            <w:r>
                              <w:rPr>
                                <w:rFonts w:ascii="Calibri" w:hAnsi="Calibri" w:cs="Calibri"/>
                                <w:color w:val="1F4E79"/>
                                <w:sz w:val="22"/>
                                <w:szCs w:val="22"/>
                              </w:rPr>
                              <w:t>2015</w:t>
                            </w:r>
                          </w:p>
                        </w:tc>
                        <w:tc>
                          <w:tcPr>
                            <w:tcW w:w="960" w:type="dxa"/>
                            <w:tcBorders>
                              <w:top w:val="single" w:sz="6" w:space="0" w:color="000000"/>
                              <w:left w:val="single" w:sz="6" w:space="0" w:color="000000"/>
                              <w:bottom w:val="single" w:sz="6" w:space="0" w:color="000000"/>
                              <w:right w:val="single" w:sz="6" w:space="0" w:color="000000"/>
                            </w:tcBorders>
                            <w:shd w:val="clear" w:color="auto" w:fill="FFFF00"/>
                          </w:tcPr>
                          <w:p w:rsidR="007B2B7B" w:rsidRDefault="007B2B7B">
                            <w:pPr>
                              <w:pStyle w:val="TableParagraph"/>
                              <w:kinsoku w:val="0"/>
                              <w:overflowPunct w:val="0"/>
                              <w:spacing w:before="21"/>
                              <w:ind w:left="0" w:right="93"/>
                              <w:jc w:val="right"/>
                              <w:rPr>
                                <w:rFonts w:ascii="Times New Roman" w:hAnsi="Times New Roman" w:cs="Times New Roman"/>
                              </w:rPr>
                            </w:pPr>
                            <w:r>
                              <w:rPr>
                                <w:rFonts w:ascii="Calibri" w:hAnsi="Calibri" w:cs="Calibri"/>
                                <w:color w:val="1F4E79"/>
                                <w:sz w:val="22"/>
                                <w:szCs w:val="22"/>
                              </w:rPr>
                              <w:t>2016</w:t>
                            </w:r>
                          </w:p>
                        </w:tc>
                      </w:tr>
                      <w:tr w:rsidR="007B2B7B">
                        <w:trPr>
                          <w:trHeight w:hRule="exact" w:val="334"/>
                        </w:trPr>
                        <w:tc>
                          <w:tcPr>
                            <w:tcW w:w="718" w:type="dxa"/>
                            <w:tcBorders>
                              <w:top w:val="single" w:sz="6" w:space="0" w:color="000000"/>
                              <w:left w:val="single" w:sz="6" w:space="0" w:color="000000"/>
                              <w:bottom w:val="single" w:sz="6" w:space="0" w:color="000000"/>
                              <w:right w:val="single" w:sz="6" w:space="0" w:color="000000"/>
                            </w:tcBorders>
                          </w:tcPr>
                          <w:p w:rsidR="007B2B7B" w:rsidRDefault="007B2B7B">
                            <w:pPr>
                              <w:pStyle w:val="TableParagraph"/>
                              <w:kinsoku w:val="0"/>
                              <w:overflowPunct w:val="0"/>
                              <w:spacing w:before="21"/>
                              <w:ind w:left="98"/>
                              <w:rPr>
                                <w:rFonts w:ascii="Times New Roman" w:hAnsi="Times New Roman" w:cs="Times New Roman"/>
                              </w:rPr>
                            </w:pPr>
                            <w:r>
                              <w:rPr>
                                <w:rFonts w:ascii="Calibri" w:hAnsi="Calibri" w:cs="Calibri"/>
                                <w:color w:val="1F4E79"/>
                                <w:sz w:val="22"/>
                                <w:szCs w:val="22"/>
                              </w:rPr>
                              <w:t>33.54</w:t>
                            </w:r>
                          </w:p>
                        </w:tc>
                        <w:tc>
                          <w:tcPr>
                            <w:tcW w:w="960" w:type="dxa"/>
                            <w:tcBorders>
                              <w:top w:val="single" w:sz="6" w:space="0" w:color="000000"/>
                              <w:left w:val="single" w:sz="6" w:space="0" w:color="000000"/>
                              <w:bottom w:val="single" w:sz="6" w:space="0" w:color="000000"/>
                              <w:right w:val="single" w:sz="6" w:space="0" w:color="000000"/>
                            </w:tcBorders>
                          </w:tcPr>
                          <w:p w:rsidR="007B2B7B" w:rsidRDefault="007B2B7B">
                            <w:pPr>
                              <w:pStyle w:val="TableParagraph"/>
                              <w:kinsoku w:val="0"/>
                              <w:overflowPunct w:val="0"/>
                              <w:spacing w:before="21"/>
                              <w:ind w:left="0" w:right="94"/>
                              <w:jc w:val="right"/>
                              <w:rPr>
                                <w:rFonts w:ascii="Times New Roman" w:hAnsi="Times New Roman" w:cs="Times New Roman"/>
                              </w:rPr>
                            </w:pPr>
                            <w:r>
                              <w:rPr>
                                <w:rFonts w:ascii="Calibri" w:hAnsi="Calibri" w:cs="Calibri"/>
                                <w:color w:val="1F4E79"/>
                                <w:sz w:val="22"/>
                                <w:szCs w:val="22"/>
                              </w:rPr>
                              <w:t>43.99</w:t>
                            </w:r>
                          </w:p>
                        </w:tc>
                        <w:tc>
                          <w:tcPr>
                            <w:tcW w:w="960" w:type="dxa"/>
                            <w:tcBorders>
                              <w:top w:val="single" w:sz="6" w:space="0" w:color="000000"/>
                              <w:left w:val="single" w:sz="6" w:space="0" w:color="000000"/>
                              <w:bottom w:val="single" w:sz="6" w:space="0" w:color="000000"/>
                              <w:right w:val="single" w:sz="6" w:space="0" w:color="000000"/>
                            </w:tcBorders>
                          </w:tcPr>
                          <w:p w:rsidR="007B2B7B" w:rsidRDefault="007B2B7B">
                            <w:pPr>
                              <w:pStyle w:val="TableParagraph"/>
                              <w:kinsoku w:val="0"/>
                              <w:overflowPunct w:val="0"/>
                              <w:spacing w:before="21"/>
                              <w:ind w:left="0" w:right="94"/>
                              <w:jc w:val="right"/>
                              <w:rPr>
                                <w:rFonts w:ascii="Times New Roman" w:hAnsi="Times New Roman" w:cs="Times New Roman"/>
                              </w:rPr>
                            </w:pPr>
                            <w:r>
                              <w:rPr>
                                <w:rFonts w:ascii="Calibri" w:hAnsi="Calibri" w:cs="Calibri"/>
                                <w:color w:val="1F4E79"/>
                                <w:sz w:val="22"/>
                                <w:szCs w:val="22"/>
                              </w:rPr>
                              <w:t>38.24</w:t>
                            </w:r>
                          </w:p>
                        </w:tc>
                        <w:tc>
                          <w:tcPr>
                            <w:tcW w:w="960" w:type="dxa"/>
                            <w:tcBorders>
                              <w:top w:val="single" w:sz="6" w:space="0" w:color="000000"/>
                              <w:left w:val="single" w:sz="6" w:space="0" w:color="000000"/>
                              <w:bottom w:val="single" w:sz="6" w:space="0" w:color="000000"/>
                              <w:right w:val="single" w:sz="6" w:space="0" w:color="000000"/>
                            </w:tcBorders>
                            <w:shd w:val="clear" w:color="auto" w:fill="FFFF00"/>
                          </w:tcPr>
                          <w:p w:rsidR="007B2B7B" w:rsidRDefault="007B2B7B">
                            <w:pPr>
                              <w:pStyle w:val="TableParagraph"/>
                              <w:kinsoku w:val="0"/>
                              <w:overflowPunct w:val="0"/>
                              <w:spacing w:before="21"/>
                              <w:ind w:left="0" w:right="94"/>
                              <w:jc w:val="right"/>
                              <w:rPr>
                                <w:rFonts w:ascii="Times New Roman" w:hAnsi="Times New Roman" w:cs="Times New Roman"/>
                              </w:rPr>
                            </w:pPr>
                            <w:r>
                              <w:rPr>
                                <w:rFonts w:ascii="Calibri" w:hAnsi="Calibri" w:cs="Calibri"/>
                                <w:color w:val="1F4E79"/>
                                <w:sz w:val="22"/>
                                <w:szCs w:val="22"/>
                              </w:rPr>
                              <w:t>58.67</w:t>
                            </w:r>
                          </w:p>
                        </w:tc>
                        <w:tc>
                          <w:tcPr>
                            <w:tcW w:w="960" w:type="dxa"/>
                            <w:tcBorders>
                              <w:top w:val="single" w:sz="6" w:space="0" w:color="000000"/>
                              <w:left w:val="single" w:sz="6" w:space="0" w:color="000000"/>
                              <w:bottom w:val="single" w:sz="6" w:space="0" w:color="000000"/>
                              <w:right w:val="single" w:sz="6" w:space="0" w:color="000000"/>
                            </w:tcBorders>
                          </w:tcPr>
                          <w:p w:rsidR="007B2B7B" w:rsidRDefault="007B2B7B">
                            <w:pPr>
                              <w:pStyle w:val="TableParagraph"/>
                              <w:kinsoku w:val="0"/>
                              <w:overflowPunct w:val="0"/>
                              <w:spacing w:before="21"/>
                              <w:ind w:left="0" w:right="94"/>
                              <w:jc w:val="right"/>
                              <w:rPr>
                                <w:rFonts w:ascii="Times New Roman" w:hAnsi="Times New Roman" w:cs="Times New Roman"/>
                              </w:rPr>
                            </w:pPr>
                            <w:r>
                              <w:rPr>
                                <w:rFonts w:ascii="Calibri" w:hAnsi="Calibri" w:cs="Calibri"/>
                                <w:color w:val="1F4E79"/>
                                <w:sz w:val="22"/>
                                <w:szCs w:val="22"/>
                              </w:rPr>
                              <w:t>48.67</w:t>
                            </w:r>
                          </w:p>
                        </w:tc>
                        <w:tc>
                          <w:tcPr>
                            <w:tcW w:w="960" w:type="dxa"/>
                            <w:tcBorders>
                              <w:top w:val="single" w:sz="6" w:space="0" w:color="000000"/>
                              <w:left w:val="single" w:sz="6" w:space="0" w:color="000000"/>
                              <w:bottom w:val="single" w:sz="6" w:space="0" w:color="000000"/>
                              <w:right w:val="single" w:sz="6" w:space="0" w:color="000000"/>
                            </w:tcBorders>
                          </w:tcPr>
                          <w:p w:rsidR="007B2B7B" w:rsidRDefault="007B2B7B">
                            <w:pPr>
                              <w:pStyle w:val="TableParagraph"/>
                              <w:kinsoku w:val="0"/>
                              <w:overflowPunct w:val="0"/>
                              <w:spacing w:before="21"/>
                              <w:ind w:left="0" w:right="94"/>
                              <w:jc w:val="right"/>
                              <w:rPr>
                                <w:rFonts w:ascii="Times New Roman" w:hAnsi="Times New Roman" w:cs="Times New Roman"/>
                              </w:rPr>
                            </w:pPr>
                            <w:r>
                              <w:rPr>
                                <w:rFonts w:ascii="Calibri" w:hAnsi="Calibri" w:cs="Calibri"/>
                                <w:color w:val="1F4E79"/>
                                <w:sz w:val="22"/>
                                <w:szCs w:val="22"/>
                              </w:rPr>
                              <w:t>76.38</w:t>
                            </w:r>
                          </w:p>
                        </w:tc>
                        <w:tc>
                          <w:tcPr>
                            <w:tcW w:w="960" w:type="dxa"/>
                            <w:tcBorders>
                              <w:top w:val="single" w:sz="6" w:space="0" w:color="000000"/>
                              <w:left w:val="single" w:sz="6" w:space="0" w:color="000000"/>
                              <w:bottom w:val="single" w:sz="6" w:space="0" w:color="000000"/>
                              <w:right w:val="single" w:sz="6" w:space="0" w:color="000000"/>
                            </w:tcBorders>
                          </w:tcPr>
                          <w:p w:rsidR="007B2B7B" w:rsidRDefault="007B2B7B">
                            <w:pPr>
                              <w:pStyle w:val="TableParagraph"/>
                              <w:kinsoku w:val="0"/>
                              <w:overflowPunct w:val="0"/>
                              <w:spacing w:before="21"/>
                              <w:ind w:left="0" w:right="94"/>
                              <w:jc w:val="right"/>
                              <w:rPr>
                                <w:rFonts w:ascii="Times New Roman" w:hAnsi="Times New Roman" w:cs="Times New Roman"/>
                              </w:rPr>
                            </w:pPr>
                            <w:r>
                              <w:rPr>
                                <w:rFonts w:ascii="Calibri" w:hAnsi="Calibri" w:cs="Calibri"/>
                                <w:color w:val="1F4E79"/>
                                <w:sz w:val="22"/>
                                <w:szCs w:val="22"/>
                              </w:rPr>
                              <w:t>76.38</w:t>
                            </w:r>
                          </w:p>
                        </w:tc>
                        <w:tc>
                          <w:tcPr>
                            <w:tcW w:w="960" w:type="dxa"/>
                            <w:tcBorders>
                              <w:top w:val="single" w:sz="6" w:space="0" w:color="000000"/>
                              <w:left w:val="single" w:sz="6" w:space="0" w:color="000000"/>
                              <w:bottom w:val="single" w:sz="6" w:space="0" w:color="000000"/>
                              <w:right w:val="single" w:sz="6" w:space="0" w:color="000000"/>
                            </w:tcBorders>
                            <w:shd w:val="clear" w:color="auto" w:fill="FFFF00"/>
                          </w:tcPr>
                          <w:p w:rsidR="007B2B7B" w:rsidRDefault="007B2B7B">
                            <w:pPr>
                              <w:pStyle w:val="TableParagraph"/>
                              <w:kinsoku w:val="0"/>
                              <w:overflowPunct w:val="0"/>
                              <w:spacing w:before="21"/>
                              <w:ind w:left="0" w:right="94"/>
                              <w:jc w:val="right"/>
                              <w:rPr>
                                <w:rFonts w:ascii="Times New Roman" w:hAnsi="Times New Roman" w:cs="Times New Roman"/>
                              </w:rPr>
                            </w:pPr>
                            <w:r>
                              <w:rPr>
                                <w:rFonts w:ascii="Calibri" w:hAnsi="Calibri" w:cs="Calibri"/>
                                <w:color w:val="1F4E79"/>
                                <w:sz w:val="22"/>
                                <w:szCs w:val="22"/>
                              </w:rPr>
                              <w:t>52.37</w:t>
                            </w:r>
                          </w:p>
                        </w:tc>
                      </w:tr>
                      <w:tr w:rsidR="007B2B7B">
                        <w:trPr>
                          <w:trHeight w:hRule="exact" w:val="336"/>
                        </w:trPr>
                        <w:tc>
                          <w:tcPr>
                            <w:tcW w:w="718" w:type="dxa"/>
                            <w:tcBorders>
                              <w:top w:val="single" w:sz="6" w:space="0" w:color="000000"/>
                              <w:left w:val="single" w:sz="6" w:space="0" w:color="000000"/>
                              <w:bottom w:val="single" w:sz="6" w:space="0" w:color="000000"/>
                              <w:right w:val="single" w:sz="6" w:space="0" w:color="000000"/>
                            </w:tcBorders>
                          </w:tcPr>
                          <w:p w:rsidR="007B2B7B" w:rsidRDefault="007B2B7B">
                            <w:pPr>
                              <w:pStyle w:val="TableParagraph"/>
                              <w:kinsoku w:val="0"/>
                              <w:overflowPunct w:val="0"/>
                              <w:spacing w:before="21"/>
                              <w:ind w:left="98"/>
                              <w:rPr>
                                <w:rFonts w:ascii="Times New Roman" w:hAnsi="Times New Roman" w:cs="Times New Roman"/>
                              </w:rPr>
                            </w:pPr>
                            <w:r>
                              <w:rPr>
                                <w:rFonts w:ascii="Calibri" w:hAnsi="Calibri" w:cs="Calibri"/>
                                <w:color w:val="1F4E79"/>
                                <w:sz w:val="22"/>
                                <w:szCs w:val="22"/>
                              </w:rPr>
                              <w:t>50.49</w:t>
                            </w:r>
                          </w:p>
                        </w:tc>
                        <w:tc>
                          <w:tcPr>
                            <w:tcW w:w="960" w:type="dxa"/>
                            <w:tcBorders>
                              <w:top w:val="single" w:sz="6" w:space="0" w:color="000000"/>
                              <w:left w:val="single" w:sz="6" w:space="0" w:color="000000"/>
                              <w:bottom w:val="single" w:sz="6" w:space="0" w:color="000000"/>
                              <w:right w:val="single" w:sz="6" w:space="0" w:color="000000"/>
                            </w:tcBorders>
                          </w:tcPr>
                          <w:p w:rsidR="007B2B7B" w:rsidRDefault="007B2B7B">
                            <w:pPr>
                              <w:pStyle w:val="TableParagraph"/>
                              <w:kinsoku w:val="0"/>
                              <w:overflowPunct w:val="0"/>
                              <w:spacing w:before="21"/>
                              <w:ind w:left="0" w:right="94"/>
                              <w:jc w:val="right"/>
                              <w:rPr>
                                <w:rFonts w:ascii="Times New Roman" w:hAnsi="Times New Roman" w:cs="Times New Roman"/>
                              </w:rPr>
                            </w:pPr>
                            <w:r>
                              <w:rPr>
                                <w:rFonts w:ascii="Calibri" w:hAnsi="Calibri" w:cs="Calibri"/>
                                <w:color w:val="1F4E79"/>
                                <w:sz w:val="22"/>
                                <w:szCs w:val="22"/>
                              </w:rPr>
                              <w:t>62.09</w:t>
                            </w:r>
                          </w:p>
                        </w:tc>
                        <w:tc>
                          <w:tcPr>
                            <w:tcW w:w="960" w:type="dxa"/>
                            <w:tcBorders>
                              <w:top w:val="single" w:sz="6" w:space="0" w:color="000000"/>
                              <w:left w:val="single" w:sz="6" w:space="0" w:color="000000"/>
                              <w:bottom w:val="single" w:sz="6" w:space="0" w:color="000000"/>
                              <w:right w:val="single" w:sz="6" w:space="0" w:color="000000"/>
                            </w:tcBorders>
                          </w:tcPr>
                          <w:p w:rsidR="007B2B7B" w:rsidRDefault="007B2B7B">
                            <w:pPr>
                              <w:pStyle w:val="TableParagraph"/>
                              <w:kinsoku w:val="0"/>
                              <w:overflowPunct w:val="0"/>
                              <w:spacing w:before="21"/>
                              <w:ind w:left="0" w:right="94"/>
                              <w:jc w:val="right"/>
                              <w:rPr>
                                <w:rFonts w:ascii="Times New Roman" w:hAnsi="Times New Roman" w:cs="Times New Roman"/>
                              </w:rPr>
                            </w:pPr>
                            <w:r>
                              <w:rPr>
                                <w:rFonts w:ascii="Calibri" w:hAnsi="Calibri" w:cs="Calibri"/>
                                <w:color w:val="1F4E79"/>
                                <w:sz w:val="22"/>
                                <w:szCs w:val="22"/>
                              </w:rPr>
                              <w:t>59.86</w:t>
                            </w:r>
                          </w:p>
                        </w:tc>
                        <w:tc>
                          <w:tcPr>
                            <w:tcW w:w="960" w:type="dxa"/>
                            <w:tcBorders>
                              <w:top w:val="single" w:sz="6" w:space="0" w:color="000000"/>
                              <w:left w:val="single" w:sz="6" w:space="0" w:color="000000"/>
                              <w:bottom w:val="single" w:sz="6" w:space="0" w:color="000000"/>
                              <w:right w:val="single" w:sz="6" w:space="0" w:color="000000"/>
                            </w:tcBorders>
                            <w:shd w:val="clear" w:color="auto" w:fill="FFFF00"/>
                          </w:tcPr>
                          <w:p w:rsidR="007B2B7B" w:rsidRDefault="007B2B7B">
                            <w:pPr>
                              <w:pStyle w:val="TableParagraph"/>
                              <w:kinsoku w:val="0"/>
                              <w:overflowPunct w:val="0"/>
                              <w:spacing w:before="21"/>
                              <w:ind w:left="0" w:right="94"/>
                              <w:jc w:val="right"/>
                              <w:rPr>
                                <w:rFonts w:ascii="Times New Roman" w:hAnsi="Times New Roman" w:cs="Times New Roman"/>
                              </w:rPr>
                            </w:pPr>
                            <w:r>
                              <w:rPr>
                                <w:rFonts w:ascii="Calibri" w:hAnsi="Calibri" w:cs="Calibri"/>
                                <w:color w:val="1F4E79"/>
                                <w:sz w:val="22"/>
                                <w:szCs w:val="22"/>
                              </w:rPr>
                              <w:t>83.71</w:t>
                            </w:r>
                          </w:p>
                        </w:tc>
                        <w:tc>
                          <w:tcPr>
                            <w:tcW w:w="960" w:type="dxa"/>
                            <w:tcBorders>
                              <w:top w:val="single" w:sz="6" w:space="0" w:color="000000"/>
                              <w:left w:val="single" w:sz="6" w:space="0" w:color="000000"/>
                              <w:bottom w:val="single" w:sz="6" w:space="0" w:color="000000"/>
                              <w:right w:val="single" w:sz="6" w:space="0" w:color="000000"/>
                            </w:tcBorders>
                          </w:tcPr>
                          <w:p w:rsidR="007B2B7B" w:rsidRDefault="007B2B7B">
                            <w:pPr>
                              <w:pStyle w:val="TableParagraph"/>
                              <w:kinsoku w:val="0"/>
                              <w:overflowPunct w:val="0"/>
                              <w:spacing w:before="21"/>
                              <w:ind w:left="0" w:right="94"/>
                              <w:jc w:val="right"/>
                              <w:rPr>
                                <w:rFonts w:ascii="Times New Roman" w:hAnsi="Times New Roman" w:cs="Times New Roman"/>
                              </w:rPr>
                            </w:pPr>
                            <w:r>
                              <w:rPr>
                                <w:rFonts w:ascii="Calibri" w:hAnsi="Calibri" w:cs="Calibri"/>
                                <w:color w:val="1F4E79"/>
                                <w:sz w:val="22"/>
                                <w:szCs w:val="22"/>
                              </w:rPr>
                              <w:t>73.71</w:t>
                            </w:r>
                          </w:p>
                        </w:tc>
                        <w:tc>
                          <w:tcPr>
                            <w:tcW w:w="960" w:type="dxa"/>
                            <w:tcBorders>
                              <w:top w:val="single" w:sz="6" w:space="0" w:color="000000"/>
                              <w:left w:val="single" w:sz="6" w:space="0" w:color="000000"/>
                              <w:bottom w:val="single" w:sz="6" w:space="0" w:color="000000"/>
                              <w:right w:val="single" w:sz="6" w:space="0" w:color="000000"/>
                            </w:tcBorders>
                          </w:tcPr>
                          <w:p w:rsidR="007B2B7B" w:rsidRDefault="007B2B7B">
                            <w:pPr>
                              <w:pStyle w:val="TableParagraph"/>
                              <w:kinsoku w:val="0"/>
                              <w:overflowPunct w:val="0"/>
                              <w:spacing w:before="21"/>
                              <w:ind w:left="0" w:right="96"/>
                              <w:jc w:val="right"/>
                              <w:rPr>
                                <w:rFonts w:ascii="Times New Roman" w:hAnsi="Times New Roman" w:cs="Times New Roman"/>
                              </w:rPr>
                            </w:pPr>
                            <w:r>
                              <w:rPr>
                                <w:rFonts w:ascii="Calibri" w:hAnsi="Calibri" w:cs="Calibri"/>
                                <w:color w:val="1F4E79"/>
                                <w:sz w:val="22"/>
                                <w:szCs w:val="22"/>
                              </w:rPr>
                              <w:t>112.57</w:t>
                            </w:r>
                          </w:p>
                        </w:tc>
                        <w:tc>
                          <w:tcPr>
                            <w:tcW w:w="960" w:type="dxa"/>
                            <w:tcBorders>
                              <w:top w:val="single" w:sz="6" w:space="0" w:color="000000"/>
                              <w:left w:val="single" w:sz="6" w:space="0" w:color="000000"/>
                              <w:bottom w:val="single" w:sz="6" w:space="0" w:color="000000"/>
                              <w:right w:val="single" w:sz="6" w:space="0" w:color="000000"/>
                            </w:tcBorders>
                          </w:tcPr>
                          <w:p w:rsidR="007B2B7B" w:rsidRDefault="007B2B7B">
                            <w:pPr>
                              <w:pStyle w:val="TableParagraph"/>
                              <w:kinsoku w:val="0"/>
                              <w:overflowPunct w:val="0"/>
                              <w:spacing w:before="21"/>
                              <w:ind w:left="0" w:right="96"/>
                              <w:jc w:val="right"/>
                              <w:rPr>
                                <w:rFonts w:ascii="Times New Roman" w:hAnsi="Times New Roman" w:cs="Times New Roman"/>
                              </w:rPr>
                            </w:pPr>
                            <w:r>
                              <w:rPr>
                                <w:rFonts w:ascii="Calibri" w:hAnsi="Calibri" w:cs="Calibri"/>
                                <w:color w:val="1F4E79"/>
                                <w:sz w:val="22"/>
                                <w:szCs w:val="22"/>
                              </w:rPr>
                              <w:t>112.57</w:t>
                            </w:r>
                          </w:p>
                        </w:tc>
                        <w:tc>
                          <w:tcPr>
                            <w:tcW w:w="960" w:type="dxa"/>
                            <w:tcBorders>
                              <w:top w:val="single" w:sz="6" w:space="0" w:color="000000"/>
                              <w:left w:val="single" w:sz="6" w:space="0" w:color="000000"/>
                              <w:bottom w:val="single" w:sz="6" w:space="0" w:color="000000"/>
                              <w:right w:val="single" w:sz="6" w:space="0" w:color="000000"/>
                            </w:tcBorders>
                            <w:shd w:val="clear" w:color="auto" w:fill="FFFF00"/>
                          </w:tcPr>
                          <w:p w:rsidR="007B2B7B" w:rsidRDefault="007B2B7B">
                            <w:pPr>
                              <w:pStyle w:val="TableParagraph"/>
                              <w:kinsoku w:val="0"/>
                              <w:overflowPunct w:val="0"/>
                              <w:spacing w:before="21"/>
                              <w:ind w:left="0" w:right="94"/>
                              <w:jc w:val="right"/>
                              <w:rPr>
                                <w:rFonts w:ascii="Times New Roman" w:hAnsi="Times New Roman" w:cs="Times New Roman"/>
                              </w:rPr>
                            </w:pPr>
                            <w:r>
                              <w:rPr>
                                <w:rFonts w:ascii="Calibri" w:hAnsi="Calibri" w:cs="Calibri"/>
                                <w:color w:val="1F4E79"/>
                                <w:sz w:val="22"/>
                                <w:szCs w:val="22"/>
                              </w:rPr>
                              <w:t>77.46</w:t>
                            </w:r>
                          </w:p>
                        </w:tc>
                      </w:tr>
                    </w:tbl>
                    <w:p w:rsidR="007B2B7B" w:rsidRDefault="007B2B7B">
                      <w:pPr>
                        <w:pStyle w:val="BodyText"/>
                        <w:kinsoku w:val="0"/>
                        <w:overflowPunct w:val="0"/>
                        <w:rPr>
                          <w:rFonts w:ascii="Times New Roman" w:hAnsi="Times New Roman" w:cs="Times New Roman"/>
                          <w:sz w:val="24"/>
                          <w:szCs w:val="24"/>
                        </w:rPr>
                      </w:pPr>
                    </w:p>
                  </w:txbxContent>
                </v:textbox>
                <w10:wrap anchorx="page"/>
              </v:shape>
            </w:pict>
          </mc:Fallback>
        </mc:AlternateContent>
      </w:r>
      <w:r w:rsidR="002C5025">
        <w:rPr>
          <w:color w:val="1F4E79"/>
        </w:rPr>
        <w:t>99213</w:t>
      </w:r>
    </w:p>
    <w:p w:rsidR="002C5025" w:rsidRDefault="002C5025">
      <w:pPr>
        <w:pStyle w:val="BodyText"/>
        <w:kinsoku w:val="0"/>
        <w:overflowPunct w:val="0"/>
        <w:spacing w:before="65"/>
        <w:ind w:left="1267" w:right="241"/>
        <w:rPr>
          <w:color w:val="1F4E79"/>
        </w:rPr>
      </w:pPr>
      <w:r>
        <w:rPr>
          <w:color w:val="1F4E79"/>
        </w:rPr>
        <w:t>99214</w:t>
      </w:r>
    </w:p>
    <w:p w:rsidR="002C5025" w:rsidRDefault="002C5025">
      <w:pPr>
        <w:pStyle w:val="BodyText"/>
        <w:kinsoku w:val="0"/>
        <w:overflowPunct w:val="0"/>
        <w:rPr>
          <w:sz w:val="20"/>
          <w:szCs w:val="20"/>
        </w:rPr>
      </w:pPr>
    </w:p>
    <w:p w:rsidR="002C5025" w:rsidRDefault="002C5025">
      <w:pPr>
        <w:pStyle w:val="BodyText"/>
        <w:kinsoku w:val="0"/>
        <w:overflowPunct w:val="0"/>
        <w:spacing w:before="5"/>
        <w:rPr>
          <w:sz w:val="20"/>
          <w:szCs w:val="20"/>
        </w:rPr>
      </w:pPr>
    </w:p>
    <w:p w:rsidR="002C5025" w:rsidRDefault="002C5025">
      <w:pPr>
        <w:pStyle w:val="BodyText"/>
        <w:kinsoku w:val="0"/>
        <w:overflowPunct w:val="0"/>
        <w:spacing w:before="56"/>
        <w:ind w:left="120" w:right="241"/>
        <w:rPr>
          <w:color w:val="1F4E79"/>
        </w:rPr>
      </w:pPr>
      <w:r>
        <w:rPr>
          <w:color w:val="1F4E79"/>
          <w:u w:val="single"/>
        </w:rPr>
        <w:t>Fix who should qualify for Medicaid</w:t>
      </w:r>
    </w:p>
    <w:p w:rsidR="002C5025" w:rsidRDefault="002C5025">
      <w:pPr>
        <w:pStyle w:val="ListParagraph"/>
        <w:numPr>
          <w:ilvl w:val="0"/>
          <w:numId w:val="25"/>
        </w:numPr>
        <w:tabs>
          <w:tab w:val="left" w:pos="1100"/>
        </w:tabs>
        <w:kinsoku w:val="0"/>
        <w:overflowPunct w:val="0"/>
        <w:ind w:right="803" w:hanging="359"/>
        <w:rPr>
          <w:rFonts w:ascii="Calibri" w:hAnsi="Calibri" w:cs="Calibri"/>
          <w:color w:val="1F4E79"/>
          <w:sz w:val="22"/>
          <w:szCs w:val="22"/>
        </w:rPr>
      </w:pPr>
      <w:r>
        <w:rPr>
          <w:rFonts w:ascii="Calibri" w:hAnsi="Calibri" w:cs="Calibri"/>
          <w:color w:val="1F4E79"/>
          <w:sz w:val="22"/>
          <w:szCs w:val="22"/>
        </w:rPr>
        <w:t>When the ACA started 1/1/2013, our practice mostly saw a switch from a commercial insurance plan to some Medicaid plan and not an increase in patients as</w:t>
      </w:r>
      <w:r>
        <w:rPr>
          <w:rFonts w:ascii="Calibri" w:hAnsi="Calibri" w:cs="Calibri"/>
          <w:color w:val="1F4E79"/>
          <w:spacing w:val="-34"/>
          <w:sz w:val="22"/>
          <w:szCs w:val="22"/>
        </w:rPr>
        <w:t xml:space="preserve"> </w:t>
      </w:r>
      <w:r>
        <w:rPr>
          <w:rFonts w:ascii="Calibri" w:hAnsi="Calibri" w:cs="Calibri"/>
          <w:color w:val="1F4E79"/>
          <w:sz w:val="22"/>
          <w:szCs w:val="22"/>
        </w:rPr>
        <w:t>expected.</w:t>
      </w:r>
    </w:p>
    <w:p w:rsidR="002C5025" w:rsidRDefault="002C5025">
      <w:pPr>
        <w:pStyle w:val="ListParagraph"/>
        <w:numPr>
          <w:ilvl w:val="0"/>
          <w:numId w:val="25"/>
        </w:numPr>
        <w:tabs>
          <w:tab w:val="left" w:pos="1195"/>
        </w:tabs>
        <w:kinsoku w:val="0"/>
        <w:overflowPunct w:val="0"/>
        <w:ind w:right="340" w:hanging="360"/>
        <w:rPr>
          <w:rFonts w:ascii="Calibri" w:hAnsi="Calibri" w:cs="Calibri"/>
          <w:color w:val="1F497D"/>
          <w:sz w:val="22"/>
          <w:szCs w:val="22"/>
        </w:rPr>
      </w:pPr>
      <w:r>
        <w:rPr>
          <w:rFonts w:ascii="Calibri" w:hAnsi="Calibri" w:cs="Calibri"/>
          <w:color w:val="1F4E79"/>
          <w:sz w:val="22"/>
          <w:szCs w:val="22"/>
        </w:rPr>
        <w:t xml:space="preserve">People travel to the United States to deliver their baby so it is born a U.S. citizen. This population tends to pay cash prior to the babies delivery but once the baby is born he/she qualifies for Mass Health immediately. Why should tax payers </w:t>
      </w:r>
      <w:r>
        <w:rPr>
          <w:rFonts w:ascii="Calibri" w:hAnsi="Calibri" w:cs="Calibri"/>
          <w:strike/>
          <w:color w:val="1F4E79"/>
          <w:sz w:val="22"/>
          <w:szCs w:val="22"/>
        </w:rPr>
        <w:t xml:space="preserve">be </w:t>
      </w:r>
      <w:r>
        <w:rPr>
          <w:rFonts w:ascii="Calibri" w:hAnsi="Calibri" w:cs="Calibri"/>
          <w:color w:val="1F4E79"/>
          <w:sz w:val="22"/>
          <w:szCs w:val="22"/>
        </w:rPr>
        <w:t>pay for a baby’s health care when th</w:t>
      </w:r>
      <w:r>
        <w:rPr>
          <w:rFonts w:ascii="Calibri" w:hAnsi="Calibri" w:cs="Calibri"/>
          <w:color w:val="1F497D"/>
          <w:sz w:val="22"/>
          <w:szCs w:val="22"/>
        </w:rPr>
        <w:t>e</w:t>
      </w:r>
      <w:r>
        <w:rPr>
          <w:rFonts w:ascii="Calibri" w:hAnsi="Calibri" w:cs="Calibri"/>
          <w:color w:val="1F497D"/>
          <w:spacing w:val="-6"/>
          <w:sz w:val="22"/>
          <w:szCs w:val="22"/>
        </w:rPr>
        <w:t xml:space="preserve"> </w:t>
      </w:r>
      <w:r>
        <w:rPr>
          <w:rFonts w:ascii="Calibri" w:hAnsi="Calibri" w:cs="Calibri"/>
          <w:color w:val="1F4E79"/>
          <w:sz w:val="22"/>
          <w:szCs w:val="22"/>
        </w:rPr>
        <w:t>family</w:t>
      </w:r>
    </w:p>
    <w:p w:rsidR="002C5025" w:rsidRDefault="002C5025">
      <w:pPr>
        <w:pStyle w:val="BodyText"/>
        <w:kinsoku w:val="0"/>
        <w:overflowPunct w:val="0"/>
        <w:ind w:left="1226" w:right="241"/>
        <w:rPr>
          <w:color w:val="1F4E79"/>
        </w:rPr>
      </w:pPr>
      <w:r>
        <w:rPr>
          <w:color w:val="1F4E79"/>
        </w:rPr>
        <w:t>obviously has the capacity to pay since they are paying for housing etc. for 9+ months.</w:t>
      </w:r>
    </w:p>
    <w:p w:rsidR="002C5025" w:rsidRDefault="002C5025">
      <w:pPr>
        <w:pStyle w:val="ListParagraph"/>
        <w:numPr>
          <w:ilvl w:val="0"/>
          <w:numId w:val="25"/>
        </w:numPr>
        <w:tabs>
          <w:tab w:val="left" w:pos="1195"/>
        </w:tabs>
        <w:kinsoku w:val="0"/>
        <w:overflowPunct w:val="0"/>
        <w:ind w:right="184" w:hanging="360"/>
        <w:rPr>
          <w:rFonts w:ascii="Calibri" w:hAnsi="Calibri" w:cs="Calibri"/>
          <w:color w:val="1F4E79"/>
          <w:sz w:val="22"/>
          <w:szCs w:val="22"/>
        </w:rPr>
      </w:pPr>
      <w:r>
        <w:rPr>
          <w:rFonts w:ascii="Calibri" w:hAnsi="Calibri" w:cs="Calibri"/>
          <w:color w:val="1F4E79"/>
          <w:sz w:val="22"/>
          <w:szCs w:val="22"/>
        </w:rPr>
        <w:t>A personal experience of how I have seen the system fail as currently run is: I have a friend who received a golden parachute from a company. He had a lengthy argument with the employee from the health connector because he wanted to pay for a reasonable plan. The employee at the</w:t>
      </w:r>
      <w:r>
        <w:rPr>
          <w:rFonts w:ascii="Calibri" w:hAnsi="Calibri" w:cs="Calibri"/>
          <w:color w:val="1F4E79"/>
          <w:spacing w:val="-4"/>
          <w:sz w:val="22"/>
          <w:szCs w:val="22"/>
        </w:rPr>
        <w:t xml:space="preserve"> </w:t>
      </w:r>
      <w:r>
        <w:rPr>
          <w:rFonts w:ascii="Calibri" w:hAnsi="Calibri" w:cs="Calibri"/>
          <w:color w:val="1F4E79"/>
          <w:sz w:val="22"/>
          <w:szCs w:val="22"/>
        </w:rPr>
        <w:t>health</w:t>
      </w:r>
    </w:p>
    <w:p w:rsidR="002C5025" w:rsidRDefault="002C5025">
      <w:pPr>
        <w:pStyle w:val="BodyText"/>
        <w:kinsoku w:val="0"/>
        <w:overflowPunct w:val="0"/>
        <w:ind w:left="839" w:right="241" w:firstLine="388"/>
        <w:rPr>
          <w:color w:val="1F4E79"/>
        </w:rPr>
      </w:pPr>
      <w:r>
        <w:rPr>
          <w:color w:val="1F4E79"/>
        </w:rPr>
        <w:t xml:space="preserve">connector tried to convince him that his children qualified for Medicaid because he was “unemployed” when he has millions </w:t>
      </w:r>
      <w:r>
        <w:rPr>
          <w:color w:val="1F497D"/>
        </w:rPr>
        <w:t xml:space="preserve">of dollars </w:t>
      </w:r>
      <w:r>
        <w:rPr>
          <w:color w:val="1F4E79"/>
        </w:rPr>
        <w:t>in his bank account.</w:t>
      </w:r>
    </w:p>
    <w:p w:rsidR="002C5025" w:rsidRDefault="002C5025">
      <w:pPr>
        <w:pStyle w:val="ListParagraph"/>
        <w:numPr>
          <w:ilvl w:val="0"/>
          <w:numId w:val="25"/>
        </w:numPr>
        <w:tabs>
          <w:tab w:val="left" w:pos="1099"/>
        </w:tabs>
        <w:kinsoku w:val="0"/>
        <w:overflowPunct w:val="0"/>
        <w:ind w:right="101" w:hanging="360"/>
        <w:rPr>
          <w:rFonts w:ascii="Calibri" w:hAnsi="Calibri" w:cs="Calibri"/>
          <w:color w:val="1F4E79"/>
          <w:sz w:val="22"/>
          <w:szCs w:val="22"/>
        </w:rPr>
      </w:pPr>
      <w:r>
        <w:rPr>
          <w:rFonts w:ascii="Calibri" w:hAnsi="Calibri" w:cs="Calibri"/>
          <w:color w:val="1F4E79"/>
          <w:sz w:val="22"/>
          <w:szCs w:val="22"/>
        </w:rPr>
        <w:t>Tighten up the criteria and come up with a better qualification for Medicaid because we have plenty of patients parents that have very expensive homes and some pay more in real-estate taxes than what most people make in</w:t>
      </w:r>
      <w:r>
        <w:rPr>
          <w:rFonts w:ascii="Calibri" w:hAnsi="Calibri" w:cs="Calibri"/>
          <w:color w:val="1F4E79"/>
          <w:spacing w:val="-15"/>
          <w:sz w:val="22"/>
          <w:szCs w:val="22"/>
        </w:rPr>
        <w:t xml:space="preserve"> </w:t>
      </w:r>
      <w:r>
        <w:rPr>
          <w:rFonts w:ascii="Calibri" w:hAnsi="Calibri" w:cs="Calibri"/>
          <w:color w:val="1F4E79"/>
          <w:sz w:val="22"/>
          <w:szCs w:val="22"/>
        </w:rPr>
        <w:t>year</w:t>
      </w:r>
      <w:r>
        <w:rPr>
          <w:rFonts w:ascii="Calibri" w:hAnsi="Calibri" w:cs="Calibri"/>
          <w:color w:val="1F497D"/>
          <w:sz w:val="22"/>
          <w:szCs w:val="22"/>
        </w:rPr>
        <w:t>.</w:t>
      </w:r>
    </w:p>
    <w:p w:rsidR="002C5025" w:rsidRDefault="002C5025">
      <w:pPr>
        <w:pStyle w:val="BodyText"/>
        <w:kinsoku w:val="0"/>
        <w:overflowPunct w:val="0"/>
        <w:spacing w:before="11"/>
        <w:rPr>
          <w:sz w:val="20"/>
          <w:szCs w:val="20"/>
        </w:rPr>
      </w:pPr>
    </w:p>
    <w:p w:rsidR="002C5025" w:rsidRDefault="002C5025">
      <w:pPr>
        <w:pStyle w:val="BodyText"/>
        <w:tabs>
          <w:tab w:val="left" w:pos="2212"/>
        </w:tabs>
        <w:kinsoku w:val="0"/>
        <w:overflowPunct w:val="0"/>
        <w:spacing w:line="267" w:lineRule="exact"/>
        <w:ind w:left="120" w:right="241"/>
        <w:rPr>
          <w:color w:val="1F4E79"/>
        </w:rPr>
      </w:pPr>
      <w:r>
        <w:rPr>
          <w:color w:val="1F4E79"/>
          <w:u w:val="single"/>
        </w:rPr>
        <w:t>Creation of</w:t>
      </w:r>
      <w:r>
        <w:rPr>
          <w:color w:val="1F4E79"/>
          <w:spacing w:val="-7"/>
          <w:u w:val="single"/>
        </w:rPr>
        <w:t xml:space="preserve"> </w:t>
      </w:r>
      <w:r>
        <w:rPr>
          <w:color w:val="1F4E79"/>
          <w:u w:val="single"/>
        </w:rPr>
        <w:t>deterrents</w:t>
      </w:r>
      <w:r>
        <w:rPr>
          <w:color w:val="1F4E79"/>
          <w:u w:val="single"/>
        </w:rPr>
        <w:tab/>
      </w:r>
    </w:p>
    <w:p w:rsidR="002C5025" w:rsidRDefault="002C5025">
      <w:pPr>
        <w:pStyle w:val="ListParagraph"/>
        <w:numPr>
          <w:ilvl w:val="0"/>
          <w:numId w:val="25"/>
        </w:numPr>
        <w:tabs>
          <w:tab w:val="left" w:pos="1100"/>
        </w:tabs>
        <w:kinsoku w:val="0"/>
        <w:overflowPunct w:val="0"/>
        <w:ind w:right="166" w:hanging="359"/>
        <w:rPr>
          <w:rFonts w:ascii="Calibri" w:hAnsi="Calibri" w:cs="Calibri"/>
          <w:color w:val="1F4E79"/>
          <w:sz w:val="22"/>
          <w:szCs w:val="22"/>
        </w:rPr>
      </w:pPr>
      <w:r>
        <w:rPr>
          <w:rFonts w:ascii="Calibri" w:hAnsi="Calibri" w:cs="Calibri"/>
          <w:color w:val="1F4E79"/>
          <w:sz w:val="22"/>
          <w:szCs w:val="22"/>
        </w:rPr>
        <w:t xml:space="preserve">Our office is open 365 days per year but yet we have patients that will go to the ER instead because there is no deterrent. We always see the patient the same day that they call </w:t>
      </w:r>
      <w:r>
        <w:rPr>
          <w:rFonts w:ascii="Calibri" w:hAnsi="Calibri" w:cs="Calibri"/>
          <w:color w:val="1F497D"/>
          <w:sz w:val="22"/>
          <w:szCs w:val="22"/>
        </w:rPr>
        <w:t xml:space="preserve">our office for sick calls. </w:t>
      </w:r>
      <w:r>
        <w:rPr>
          <w:rFonts w:ascii="Calibri" w:hAnsi="Calibri" w:cs="Calibri"/>
          <w:color w:val="1F4E79"/>
          <w:sz w:val="22"/>
          <w:szCs w:val="22"/>
        </w:rPr>
        <w:t xml:space="preserve">We </w:t>
      </w:r>
      <w:r>
        <w:rPr>
          <w:rFonts w:ascii="Calibri" w:hAnsi="Calibri" w:cs="Calibri"/>
          <w:color w:val="1F497D"/>
          <w:sz w:val="22"/>
          <w:szCs w:val="22"/>
        </w:rPr>
        <w:t xml:space="preserve">also </w:t>
      </w:r>
      <w:r>
        <w:rPr>
          <w:rFonts w:ascii="Calibri" w:hAnsi="Calibri" w:cs="Calibri"/>
          <w:color w:val="1F4E79"/>
          <w:sz w:val="22"/>
          <w:szCs w:val="22"/>
        </w:rPr>
        <w:t xml:space="preserve">do regular follow up calls to ask why </w:t>
      </w:r>
      <w:r>
        <w:rPr>
          <w:rFonts w:ascii="Calibri" w:hAnsi="Calibri" w:cs="Calibri"/>
          <w:color w:val="1F497D"/>
          <w:sz w:val="22"/>
          <w:szCs w:val="22"/>
        </w:rPr>
        <w:t xml:space="preserve">they went to the ER vs calling our office </w:t>
      </w:r>
      <w:r>
        <w:rPr>
          <w:rFonts w:ascii="Calibri" w:hAnsi="Calibri" w:cs="Calibri"/>
          <w:color w:val="1F4E79"/>
          <w:sz w:val="22"/>
          <w:szCs w:val="22"/>
        </w:rPr>
        <w:t>and</w:t>
      </w:r>
      <w:r>
        <w:rPr>
          <w:rFonts w:ascii="Calibri" w:hAnsi="Calibri" w:cs="Calibri"/>
          <w:color w:val="1F4E79"/>
          <w:spacing w:val="-6"/>
          <w:sz w:val="22"/>
          <w:szCs w:val="22"/>
        </w:rPr>
        <w:t xml:space="preserve"> </w:t>
      </w:r>
      <w:r>
        <w:rPr>
          <w:rFonts w:ascii="Calibri" w:hAnsi="Calibri" w:cs="Calibri"/>
          <w:color w:val="1F497D"/>
          <w:sz w:val="22"/>
          <w:szCs w:val="22"/>
        </w:rPr>
        <w:t>there</w:t>
      </w:r>
    </w:p>
    <w:p w:rsidR="002C5025" w:rsidRDefault="002C5025">
      <w:pPr>
        <w:pStyle w:val="BodyText"/>
        <w:kinsoku w:val="0"/>
        <w:overflowPunct w:val="0"/>
        <w:ind w:left="1227" w:right="241"/>
        <w:rPr>
          <w:color w:val="1F497D"/>
        </w:rPr>
      </w:pPr>
      <w:r>
        <w:rPr>
          <w:color w:val="1F497D"/>
        </w:rPr>
        <w:t>never is a good explanation</w:t>
      </w:r>
    </w:p>
    <w:p w:rsidR="002C5025" w:rsidRDefault="002C5025">
      <w:pPr>
        <w:pStyle w:val="ListParagraph"/>
        <w:numPr>
          <w:ilvl w:val="0"/>
          <w:numId w:val="25"/>
        </w:numPr>
        <w:tabs>
          <w:tab w:val="left" w:pos="1099"/>
        </w:tabs>
        <w:kinsoku w:val="0"/>
        <w:overflowPunct w:val="0"/>
        <w:ind w:right="101" w:hanging="360"/>
        <w:jc w:val="both"/>
        <w:rPr>
          <w:rFonts w:ascii="Calibri" w:hAnsi="Calibri" w:cs="Calibri"/>
          <w:color w:val="1F4E79"/>
          <w:sz w:val="22"/>
          <w:szCs w:val="22"/>
        </w:rPr>
      </w:pPr>
      <w:r>
        <w:rPr>
          <w:rFonts w:ascii="Calibri" w:hAnsi="Calibri" w:cs="Calibri"/>
          <w:color w:val="1F4E79"/>
          <w:sz w:val="22"/>
          <w:szCs w:val="22"/>
        </w:rPr>
        <w:t>We are available 24/7 by phone but yet some patients will not call us for help over the phone and</w:t>
      </w:r>
      <w:r>
        <w:rPr>
          <w:rFonts w:ascii="Calibri" w:hAnsi="Calibri" w:cs="Calibri"/>
          <w:color w:val="1F4E79"/>
          <w:spacing w:val="-3"/>
          <w:sz w:val="22"/>
          <w:szCs w:val="22"/>
        </w:rPr>
        <w:t xml:space="preserve"> </w:t>
      </w:r>
      <w:r>
        <w:rPr>
          <w:rFonts w:ascii="Calibri" w:hAnsi="Calibri" w:cs="Calibri"/>
          <w:color w:val="1F4E79"/>
          <w:sz w:val="22"/>
          <w:szCs w:val="22"/>
        </w:rPr>
        <w:t>will</w:t>
      </w:r>
      <w:r>
        <w:rPr>
          <w:rFonts w:ascii="Calibri" w:hAnsi="Calibri" w:cs="Calibri"/>
          <w:color w:val="1F4E79"/>
          <w:spacing w:val="-2"/>
          <w:sz w:val="22"/>
          <w:szCs w:val="22"/>
        </w:rPr>
        <w:t xml:space="preserve"> </w:t>
      </w:r>
      <w:r>
        <w:rPr>
          <w:rFonts w:ascii="Calibri" w:hAnsi="Calibri" w:cs="Calibri"/>
          <w:color w:val="1F4E79"/>
          <w:sz w:val="22"/>
          <w:szCs w:val="22"/>
        </w:rPr>
        <w:t>automatically</w:t>
      </w:r>
      <w:r>
        <w:rPr>
          <w:rFonts w:ascii="Calibri" w:hAnsi="Calibri" w:cs="Calibri"/>
          <w:color w:val="1F4E79"/>
          <w:spacing w:val="-4"/>
          <w:sz w:val="22"/>
          <w:szCs w:val="22"/>
        </w:rPr>
        <w:t xml:space="preserve"> </w:t>
      </w:r>
      <w:r>
        <w:rPr>
          <w:rFonts w:ascii="Calibri" w:hAnsi="Calibri" w:cs="Calibri"/>
          <w:color w:val="1F4E79"/>
          <w:sz w:val="22"/>
          <w:szCs w:val="22"/>
        </w:rPr>
        <w:t>go</w:t>
      </w:r>
      <w:r>
        <w:rPr>
          <w:rFonts w:ascii="Calibri" w:hAnsi="Calibri" w:cs="Calibri"/>
          <w:color w:val="1F4E79"/>
          <w:spacing w:val="-3"/>
          <w:sz w:val="22"/>
          <w:szCs w:val="22"/>
        </w:rPr>
        <w:t xml:space="preserve"> </w:t>
      </w:r>
      <w:r>
        <w:rPr>
          <w:rFonts w:ascii="Calibri" w:hAnsi="Calibri" w:cs="Calibri"/>
          <w:color w:val="1F4E79"/>
          <w:sz w:val="22"/>
          <w:szCs w:val="22"/>
        </w:rPr>
        <w:t>to</w:t>
      </w:r>
      <w:r>
        <w:rPr>
          <w:rFonts w:ascii="Calibri" w:hAnsi="Calibri" w:cs="Calibri"/>
          <w:color w:val="1F4E79"/>
          <w:spacing w:val="-1"/>
          <w:sz w:val="22"/>
          <w:szCs w:val="22"/>
        </w:rPr>
        <w:t xml:space="preserve"> </w:t>
      </w:r>
      <w:r>
        <w:rPr>
          <w:rFonts w:ascii="Calibri" w:hAnsi="Calibri" w:cs="Calibri"/>
          <w:color w:val="1F4E79"/>
          <w:sz w:val="22"/>
          <w:szCs w:val="22"/>
        </w:rPr>
        <w:t>the</w:t>
      </w:r>
      <w:r>
        <w:rPr>
          <w:rFonts w:ascii="Calibri" w:hAnsi="Calibri" w:cs="Calibri"/>
          <w:color w:val="1F4E79"/>
          <w:spacing w:val="-4"/>
          <w:sz w:val="22"/>
          <w:szCs w:val="22"/>
        </w:rPr>
        <w:t xml:space="preserve"> </w:t>
      </w:r>
      <w:r>
        <w:rPr>
          <w:rFonts w:ascii="Calibri" w:hAnsi="Calibri" w:cs="Calibri"/>
          <w:color w:val="1F4E79"/>
          <w:sz w:val="22"/>
          <w:szCs w:val="22"/>
        </w:rPr>
        <w:t>ER</w:t>
      </w:r>
      <w:r>
        <w:rPr>
          <w:rFonts w:ascii="Calibri" w:hAnsi="Calibri" w:cs="Calibri"/>
          <w:color w:val="1F4E79"/>
          <w:spacing w:val="-2"/>
          <w:sz w:val="22"/>
          <w:szCs w:val="22"/>
        </w:rPr>
        <w:t xml:space="preserve"> </w:t>
      </w:r>
      <w:r>
        <w:rPr>
          <w:rFonts w:ascii="Calibri" w:hAnsi="Calibri" w:cs="Calibri"/>
          <w:color w:val="1F4E79"/>
          <w:sz w:val="22"/>
          <w:szCs w:val="22"/>
        </w:rPr>
        <w:t>if</w:t>
      </w:r>
      <w:r>
        <w:rPr>
          <w:rFonts w:ascii="Calibri" w:hAnsi="Calibri" w:cs="Calibri"/>
          <w:color w:val="1F4E79"/>
          <w:spacing w:val="-4"/>
          <w:sz w:val="22"/>
          <w:szCs w:val="22"/>
        </w:rPr>
        <w:t xml:space="preserve"> </w:t>
      </w:r>
      <w:r>
        <w:rPr>
          <w:rFonts w:ascii="Calibri" w:hAnsi="Calibri" w:cs="Calibri"/>
          <w:color w:val="1F4E79"/>
          <w:sz w:val="22"/>
          <w:szCs w:val="22"/>
        </w:rPr>
        <w:t>its</w:t>
      </w:r>
      <w:r>
        <w:rPr>
          <w:rFonts w:ascii="Calibri" w:hAnsi="Calibri" w:cs="Calibri"/>
          <w:color w:val="1F4E79"/>
          <w:spacing w:val="-4"/>
          <w:sz w:val="22"/>
          <w:szCs w:val="22"/>
        </w:rPr>
        <w:t xml:space="preserve"> </w:t>
      </w:r>
      <w:r>
        <w:rPr>
          <w:rFonts w:ascii="Calibri" w:hAnsi="Calibri" w:cs="Calibri"/>
          <w:color w:val="1F4E79"/>
          <w:sz w:val="22"/>
          <w:szCs w:val="22"/>
        </w:rPr>
        <w:t>outside</w:t>
      </w:r>
      <w:r>
        <w:rPr>
          <w:rFonts w:ascii="Calibri" w:hAnsi="Calibri" w:cs="Calibri"/>
          <w:color w:val="1F4E79"/>
          <w:spacing w:val="-1"/>
          <w:sz w:val="22"/>
          <w:szCs w:val="22"/>
        </w:rPr>
        <w:t xml:space="preserve"> </w:t>
      </w:r>
      <w:r>
        <w:rPr>
          <w:rFonts w:ascii="Calibri" w:hAnsi="Calibri" w:cs="Calibri"/>
          <w:color w:val="1F4E79"/>
          <w:sz w:val="22"/>
          <w:szCs w:val="22"/>
        </w:rPr>
        <w:t>7am</w:t>
      </w:r>
      <w:r>
        <w:rPr>
          <w:rFonts w:ascii="Calibri" w:hAnsi="Calibri" w:cs="Calibri"/>
          <w:color w:val="1F4E79"/>
          <w:spacing w:val="-3"/>
          <w:sz w:val="22"/>
          <w:szCs w:val="22"/>
        </w:rPr>
        <w:t xml:space="preserve"> </w:t>
      </w:r>
      <w:r>
        <w:rPr>
          <w:rFonts w:ascii="Calibri" w:hAnsi="Calibri" w:cs="Calibri"/>
          <w:color w:val="1F4E79"/>
          <w:sz w:val="22"/>
          <w:szCs w:val="22"/>
        </w:rPr>
        <w:t>to</w:t>
      </w:r>
      <w:r>
        <w:rPr>
          <w:rFonts w:ascii="Calibri" w:hAnsi="Calibri" w:cs="Calibri"/>
          <w:color w:val="1F4E79"/>
          <w:spacing w:val="-1"/>
          <w:sz w:val="22"/>
          <w:szCs w:val="22"/>
        </w:rPr>
        <w:t xml:space="preserve"> </w:t>
      </w:r>
      <w:r>
        <w:rPr>
          <w:rFonts w:ascii="Calibri" w:hAnsi="Calibri" w:cs="Calibri"/>
          <w:color w:val="1F4E79"/>
          <w:sz w:val="22"/>
          <w:szCs w:val="22"/>
        </w:rPr>
        <w:t>7pm</w:t>
      </w:r>
      <w:r>
        <w:rPr>
          <w:rFonts w:ascii="Calibri" w:hAnsi="Calibri" w:cs="Calibri"/>
          <w:color w:val="1F4E79"/>
          <w:spacing w:val="-1"/>
          <w:sz w:val="22"/>
          <w:szCs w:val="22"/>
        </w:rPr>
        <w:t xml:space="preserve"> </w:t>
      </w:r>
      <w:r>
        <w:rPr>
          <w:rFonts w:ascii="Calibri" w:hAnsi="Calibri" w:cs="Calibri"/>
          <w:color w:val="1F4E79"/>
          <w:sz w:val="22"/>
          <w:szCs w:val="22"/>
        </w:rPr>
        <w:t>again</w:t>
      </w:r>
      <w:r>
        <w:rPr>
          <w:rFonts w:ascii="Calibri" w:hAnsi="Calibri" w:cs="Calibri"/>
          <w:color w:val="1F4E79"/>
          <w:spacing w:val="-3"/>
          <w:sz w:val="22"/>
          <w:szCs w:val="22"/>
        </w:rPr>
        <w:t xml:space="preserve"> </w:t>
      </w:r>
      <w:r>
        <w:rPr>
          <w:rFonts w:ascii="Calibri" w:hAnsi="Calibri" w:cs="Calibri"/>
          <w:color w:val="1F4E79"/>
          <w:sz w:val="22"/>
          <w:szCs w:val="22"/>
        </w:rPr>
        <w:t>because</w:t>
      </w:r>
      <w:r>
        <w:rPr>
          <w:rFonts w:ascii="Calibri" w:hAnsi="Calibri" w:cs="Calibri"/>
          <w:color w:val="1F4E79"/>
          <w:spacing w:val="-4"/>
          <w:sz w:val="22"/>
          <w:szCs w:val="22"/>
        </w:rPr>
        <w:t xml:space="preserve"> </w:t>
      </w:r>
      <w:r>
        <w:rPr>
          <w:rFonts w:ascii="Calibri" w:hAnsi="Calibri" w:cs="Calibri"/>
          <w:color w:val="1F4E79"/>
          <w:sz w:val="22"/>
          <w:szCs w:val="22"/>
        </w:rPr>
        <w:t>there</w:t>
      </w:r>
      <w:r>
        <w:rPr>
          <w:rFonts w:ascii="Calibri" w:hAnsi="Calibri" w:cs="Calibri"/>
          <w:color w:val="1F4E79"/>
          <w:spacing w:val="-4"/>
          <w:sz w:val="22"/>
          <w:szCs w:val="22"/>
        </w:rPr>
        <w:t xml:space="preserve"> </w:t>
      </w:r>
      <w:r>
        <w:rPr>
          <w:rFonts w:ascii="Calibri" w:hAnsi="Calibri" w:cs="Calibri"/>
          <w:color w:val="1F4E79"/>
          <w:sz w:val="22"/>
          <w:szCs w:val="22"/>
        </w:rPr>
        <w:t>is</w:t>
      </w:r>
      <w:r>
        <w:rPr>
          <w:rFonts w:ascii="Calibri" w:hAnsi="Calibri" w:cs="Calibri"/>
          <w:color w:val="1F4E79"/>
          <w:spacing w:val="-2"/>
          <w:sz w:val="22"/>
          <w:szCs w:val="22"/>
        </w:rPr>
        <w:t xml:space="preserve"> </w:t>
      </w:r>
      <w:r>
        <w:rPr>
          <w:rFonts w:ascii="Calibri" w:hAnsi="Calibri" w:cs="Calibri"/>
          <w:color w:val="1F4E79"/>
          <w:sz w:val="22"/>
          <w:szCs w:val="22"/>
        </w:rPr>
        <w:t>no</w:t>
      </w:r>
      <w:r>
        <w:rPr>
          <w:rFonts w:ascii="Calibri" w:hAnsi="Calibri" w:cs="Calibri"/>
          <w:color w:val="1F4E79"/>
          <w:spacing w:val="-1"/>
          <w:sz w:val="22"/>
          <w:szCs w:val="22"/>
        </w:rPr>
        <w:t xml:space="preserve"> </w:t>
      </w:r>
      <w:r>
        <w:rPr>
          <w:rFonts w:ascii="Calibri" w:hAnsi="Calibri" w:cs="Calibri"/>
          <w:color w:val="1F4E79"/>
          <w:sz w:val="22"/>
          <w:szCs w:val="22"/>
        </w:rPr>
        <w:t>deterrent like a</w:t>
      </w:r>
      <w:r>
        <w:rPr>
          <w:rFonts w:ascii="Calibri" w:hAnsi="Calibri" w:cs="Calibri"/>
          <w:color w:val="1F4E79"/>
          <w:spacing w:val="-3"/>
          <w:sz w:val="22"/>
          <w:szCs w:val="22"/>
        </w:rPr>
        <w:t xml:space="preserve"> </w:t>
      </w:r>
      <w:r>
        <w:rPr>
          <w:rFonts w:ascii="Calibri" w:hAnsi="Calibri" w:cs="Calibri"/>
          <w:color w:val="1F4E79"/>
          <w:sz w:val="22"/>
          <w:szCs w:val="22"/>
        </w:rPr>
        <w:t>copay</w:t>
      </w:r>
      <w:r>
        <w:rPr>
          <w:rFonts w:ascii="Calibri" w:hAnsi="Calibri" w:cs="Calibri"/>
          <w:color w:val="1F497D"/>
          <w:sz w:val="22"/>
          <w:szCs w:val="22"/>
        </w:rPr>
        <w:t>.</w:t>
      </w:r>
    </w:p>
    <w:p w:rsidR="002C5025" w:rsidRDefault="002C5025">
      <w:pPr>
        <w:pStyle w:val="BodyText"/>
        <w:kinsoku w:val="0"/>
        <w:overflowPunct w:val="0"/>
        <w:spacing w:before="10"/>
        <w:rPr>
          <w:sz w:val="21"/>
          <w:szCs w:val="21"/>
        </w:rPr>
      </w:pPr>
    </w:p>
    <w:p w:rsidR="002C5025" w:rsidRDefault="002C5025">
      <w:pPr>
        <w:pStyle w:val="ListParagraph"/>
        <w:numPr>
          <w:ilvl w:val="0"/>
          <w:numId w:val="25"/>
        </w:numPr>
        <w:tabs>
          <w:tab w:val="left" w:pos="1198"/>
        </w:tabs>
        <w:kinsoku w:val="0"/>
        <w:overflowPunct w:val="0"/>
        <w:spacing w:before="1"/>
        <w:ind w:right="190" w:hanging="360"/>
        <w:rPr>
          <w:rFonts w:ascii="Calibri" w:hAnsi="Calibri" w:cs="Calibri"/>
          <w:color w:val="1F497D"/>
          <w:sz w:val="22"/>
          <w:szCs w:val="22"/>
        </w:rPr>
      </w:pPr>
      <w:r>
        <w:rPr>
          <w:rFonts w:ascii="Calibri" w:hAnsi="Calibri" w:cs="Calibri"/>
          <w:color w:val="1F497D"/>
          <w:sz w:val="22"/>
          <w:szCs w:val="22"/>
        </w:rPr>
        <w:t>A great example of the abuse to the system is from a Medicaid patient that was seen in our office for constipation on 7/6/16 then again on</w:t>
      </w:r>
      <w:r>
        <w:rPr>
          <w:rFonts w:ascii="Calibri" w:hAnsi="Calibri" w:cs="Calibri"/>
          <w:color w:val="1F497D"/>
          <w:spacing w:val="-23"/>
          <w:sz w:val="22"/>
          <w:szCs w:val="22"/>
        </w:rPr>
        <w:t xml:space="preserve"> </w:t>
      </w:r>
      <w:r>
        <w:rPr>
          <w:rFonts w:ascii="Calibri" w:hAnsi="Calibri" w:cs="Calibri"/>
          <w:color w:val="1F497D"/>
          <w:sz w:val="22"/>
          <w:szCs w:val="22"/>
        </w:rPr>
        <w:t>7/14/16</w:t>
      </w:r>
    </w:p>
    <w:p w:rsidR="002C5025" w:rsidRDefault="002C5025">
      <w:pPr>
        <w:pStyle w:val="ListParagraph"/>
        <w:numPr>
          <w:ilvl w:val="1"/>
          <w:numId w:val="25"/>
        </w:numPr>
        <w:tabs>
          <w:tab w:val="left" w:pos="1438"/>
        </w:tabs>
        <w:kinsoku w:val="0"/>
        <w:overflowPunct w:val="0"/>
        <w:spacing w:before="7"/>
        <w:rPr>
          <w:rFonts w:ascii="Calibri" w:hAnsi="Calibri" w:cs="Calibri"/>
          <w:color w:val="1F497D"/>
          <w:sz w:val="22"/>
          <w:szCs w:val="22"/>
        </w:rPr>
      </w:pPr>
      <w:r>
        <w:rPr>
          <w:rFonts w:ascii="Calibri" w:hAnsi="Calibri" w:cs="Calibri"/>
          <w:color w:val="1F497D"/>
          <w:sz w:val="22"/>
          <w:szCs w:val="22"/>
        </w:rPr>
        <w:t>7/6 – PAGS-</w:t>
      </w:r>
      <w:r>
        <w:rPr>
          <w:rFonts w:ascii="Calibri" w:hAnsi="Calibri" w:cs="Calibri"/>
          <w:color w:val="1F497D"/>
          <w:spacing w:val="-9"/>
          <w:sz w:val="22"/>
          <w:szCs w:val="22"/>
        </w:rPr>
        <w:t xml:space="preserve"> </w:t>
      </w:r>
      <w:r>
        <w:rPr>
          <w:rFonts w:ascii="Calibri" w:hAnsi="Calibri" w:cs="Calibri"/>
          <w:color w:val="1F497D"/>
          <w:sz w:val="22"/>
          <w:szCs w:val="22"/>
        </w:rPr>
        <w:t>Constipation</w:t>
      </w:r>
    </w:p>
    <w:p w:rsidR="002C5025" w:rsidRDefault="002C5025">
      <w:pPr>
        <w:pStyle w:val="ListParagraph"/>
        <w:numPr>
          <w:ilvl w:val="1"/>
          <w:numId w:val="25"/>
        </w:numPr>
        <w:tabs>
          <w:tab w:val="left" w:pos="1438"/>
        </w:tabs>
        <w:kinsoku w:val="0"/>
        <w:overflowPunct w:val="0"/>
        <w:rPr>
          <w:rFonts w:ascii="Calibri" w:hAnsi="Calibri" w:cs="Calibri"/>
          <w:color w:val="1F497D"/>
          <w:sz w:val="22"/>
          <w:szCs w:val="22"/>
        </w:rPr>
      </w:pPr>
      <w:r>
        <w:rPr>
          <w:rFonts w:ascii="Calibri" w:hAnsi="Calibri" w:cs="Calibri"/>
          <w:color w:val="1F497D"/>
          <w:sz w:val="22"/>
          <w:szCs w:val="22"/>
        </w:rPr>
        <w:t>7/7 - NSMC</w:t>
      </w:r>
      <w:r>
        <w:rPr>
          <w:rFonts w:ascii="Calibri" w:hAnsi="Calibri" w:cs="Calibri"/>
          <w:color w:val="1F497D"/>
          <w:spacing w:val="-5"/>
          <w:sz w:val="22"/>
          <w:szCs w:val="22"/>
        </w:rPr>
        <w:t xml:space="preserve"> </w:t>
      </w:r>
      <w:r>
        <w:rPr>
          <w:rFonts w:ascii="Calibri" w:hAnsi="Calibri" w:cs="Calibri"/>
          <w:color w:val="1F497D"/>
          <w:sz w:val="22"/>
          <w:szCs w:val="22"/>
        </w:rPr>
        <w:t>ED</w:t>
      </w:r>
    </w:p>
    <w:p w:rsidR="002C5025" w:rsidRDefault="002C5025">
      <w:pPr>
        <w:pStyle w:val="ListParagraph"/>
        <w:numPr>
          <w:ilvl w:val="1"/>
          <w:numId w:val="25"/>
        </w:numPr>
        <w:tabs>
          <w:tab w:val="left" w:pos="1438"/>
        </w:tabs>
        <w:kinsoku w:val="0"/>
        <w:overflowPunct w:val="0"/>
        <w:rPr>
          <w:rFonts w:ascii="Calibri" w:hAnsi="Calibri" w:cs="Calibri"/>
          <w:color w:val="1F497D"/>
          <w:sz w:val="22"/>
          <w:szCs w:val="22"/>
        </w:rPr>
      </w:pPr>
      <w:r>
        <w:rPr>
          <w:rFonts w:ascii="Calibri" w:hAnsi="Calibri" w:cs="Calibri"/>
          <w:color w:val="1F497D"/>
          <w:sz w:val="22"/>
          <w:szCs w:val="22"/>
        </w:rPr>
        <w:t>7/8 - NSMC</w:t>
      </w:r>
      <w:r>
        <w:rPr>
          <w:rFonts w:ascii="Calibri" w:hAnsi="Calibri" w:cs="Calibri"/>
          <w:color w:val="1F497D"/>
          <w:spacing w:val="-5"/>
          <w:sz w:val="22"/>
          <w:szCs w:val="22"/>
        </w:rPr>
        <w:t xml:space="preserve"> </w:t>
      </w:r>
      <w:r>
        <w:rPr>
          <w:rFonts w:ascii="Calibri" w:hAnsi="Calibri" w:cs="Calibri"/>
          <w:color w:val="1F497D"/>
          <w:sz w:val="22"/>
          <w:szCs w:val="22"/>
        </w:rPr>
        <w:t>ED</w:t>
      </w:r>
    </w:p>
    <w:p w:rsidR="002C5025" w:rsidRDefault="002C5025">
      <w:pPr>
        <w:pStyle w:val="ListParagraph"/>
        <w:numPr>
          <w:ilvl w:val="1"/>
          <w:numId w:val="25"/>
        </w:numPr>
        <w:tabs>
          <w:tab w:val="left" w:pos="1438"/>
        </w:tabs>
        <w:kinsoku w:val="0"/>
        <w:overflowPunct w:val="0"/>
        <w:rPr>
          <w:rFonts w:ascii="Calibri" w:hAnsi="Calibri" w:cs="Calibri"/>
          <w:color w:val="1F497D"/>
          <w:sz w:val="22"/>
          <w:szCs w:val="22"/>
        </w:rPr>
        <w:sectPr w:rsidR="002C5025">
          <w:pgSz w:w="12240" w:h="15840"/>
          <w:pgMar w:top="1400" w:right="1380" w:bottom="280" w:left="1320" w:header="720" w:footer="720" w:gutter="0"/>
          <w:cols w:space="720" w:equalWidth="0">
            <w:col w:w="9540"/>
          </w:cols>
          <w:noEndnote/>
        </w:sectPr>
      </w:pPr>
    </w:p>
    <w:p w:rsidR="002C5025" w:rsidRDefault="002C5025">
      <w:pPr>
        <w:pStyle w:val="ListParagraph"/>
        <w:numPr>
          <w:ilvl w:val="0"/>
          <w:numId w:val="24"/>
        </w:numPr>
        <w:tabs>
          <w:tab w:val="left" w:pos="1418"/>
        </w:tabs>
        <w:kinsoku w:val="0"/>
        <w:overflowPunct w:val="0"/>
        <w:spacing w:before="44"/>
        <w:ind w:hanging="237"/>
        <w:rPr>
          <w:rFonts w:ascii="Calibri" w:hAnsi="Calibri" w:cs="Calibri"/>
          <w:color w:val="1F497D"/>
          <w:spacing w:val="-3"/>
          <w:sz w:val="22"/>
          <w:szCs w:val="22"/>
        </w:rPr>
      </w:pPr>
      <w:r>
        <w:rPr>
          <w:rFonts w:ascii="Calibri" w:hAnsi="Calibri" w:cs="Calibri"/>
          <w:color w:val="1F497D"/>
          <w:sz w:val="22"/>
          <w:szCs w:val="22"/>
        </w:rPr>
        <w:lastRenderedPageBreak/>
        <w:t>7/9 - BCH</w:t>
      </w:r>
      <w:r>
        <w:rPr>
          <w:rFonts w:ascii="Calibri" w:hAnsi="Calibri" w:cs="Calibri"/>
          <w:color w:val="1F497D"/>
          <w:spacing w:val="-4"/>
          <w:sz w:val="22"/>
          <w:szCs w:val="22"/>
        </w:rPr>
        <w:t xml:space="preserve"> </w:t>
      </w:r>
      <w:r>
        <w:rPr>
          <w:rFonts w:ascii="Calibri" w:hAnsi="Calibri" w:cs="Calibri"/>
          <w:color w:val="1F497D"/>
          <w:spacing w:val="-3"/>
          <w:sz w:val="22"/>
          <w:szCs w:val="22"/>
        </w:rPr>
        <w:t>ED</w:t>
      </w:r>
    </w:p>
    <w:p w:rsidR="002C5025" w:rsidRDefault="002C5025">
      <w:pPr>
        <w:pStyle w:val="ListParagraph"/>
        <w:numPr>
          <w:ilvl w:val="0"/>
          <w:numId w:val="24"/>
        </w:numPr>
        <w:tabs>
          <w:tab w:val="left" w:pos="1418"/>
        </w:tabs>
        <w:kinsoku w:val="0"/>
        <w:overflowPunct w:val="0"/>
        <w:rPr>
          <w:rFonts w:ascii="Calibri" w:hAnsi="Calibri" w:cs="Calibri"/>
          <w:color w:val="1F497D"/>
          <w:sz w:val="22"/>
          <w:szCs w:val="22"/>
        </w:rPr>
      </w:pPr>
      <w:r>
        <w:rPr>
          <w:rFonts w:ascii="Calibri" w:hAnsi="Calibri" w:cs="Calibri"/>
          <w:color w:val="1F497D"/>
          <w:sz w:val="22"/>
          <w:szCs w:val="22"/>
        </w:rPr>
        <w:t>7/12 - NSMC</w:t>
      </w:r>
      <w:r>
        <w:rPr>
          <w:rFonts w:ascii="Calibri" w:hAnsi="Calibri" w:cs="Calibri"/>
          <w:color w:val="1F497D"/>
          <w:spacing w:val="-3"/>
          <w:sz w:val="22"/>
          <w:szCs w:val="22"/>
        </w:rPr>
        <w:t xml:space="preserve"> </w:t>
      </w:r>
      <w:r>
        <w:rPr>
          <w:rFonts w:ascii="Calibri" w:hAnsi="Calibri" w:cs="Calibri"/>
          <w:color w:val="1F497D"/>
          <w:sz w:val="22"/>
          <w:szCs w:val="22"/>
        </w:rPr>
        <w:t>ED</w:t>
      </w:r>
    </w:p>
    <w:p w:rsidR="002C5025" w:rsidRDefault="002C5025">
      <w:pPr>
        <w:pStyle w:val="ListParagraph"/>
        <w:numPr>
          <w:ilvl w:val="0"/>
          <w:numId w:val="24"/>
        </w:numPr>
        <w:tabs>
          <w:tab w:val="left" w:pos="1418"/>
        </w:tabs>
        <w:kinsoku w:val="0"/>
        <w:overflowPunct w:val="0"/>
        <w:spacing w:line="275" w:lineRule="exact"/>
        <w:rPr>
          <w:rFonts w:ascii="Calibri" w:hAnsi="Calibri" w:cs="Calibri"/>
          <w:color w:val="1F497D"/>
          <w:sz w:val="22"/>
          <w:szCs w:val="22"/>
        </w:rPr>
      </w:pPr>
      <w:r>
        <w:rPr>
          <w:rFonts w:ascii="Calibri" w:hAnsi="Calibri" w:cs="Calibri"/>
          <w:color w:val="1F497D"/>
          <w:sz w:val="22"/>
          <w:szCs w:val="22"/>
        </w:rPr>
        <w:t>7/14 - MGH Urgent</w:t>
      </w:r>
      <w:r>
        <w:rPr>
          <w:rFonts w:ascii="Calibri" w:hAnsi="Calibri" w:cs="Calibri"/>
          <w:color w:val="1F497D"/>
          <w:spacing w:val="-11"/>
          <w:sz w:val="22"/>
          <w:szCs w:val="22"/>
        </w:rPr>
        <w:t xml:space="preserve"> </w:t>
      </w:r>
      <w:r>
        <w:rPr>
          <w:rFonts w:ascii="Calibri" w:hAnsi="Calibri" w:cs="Calibri"/>
          <w:color w:val="1F497D"/>
          <w:sz w:val="22"/>
          <w:szCs w:val="22"/>
        </w:rPr>
        <w:t>Care</w:t>
      </w:r>
    </w:p>
    <w:p w:rsidR="002C5025" w:rsidRDefault="002C5025">
      <w:pPr>
        <w:pStyle w:val="ListParagraph"/>
        <w:numPr>
          <w:ilvl w:val="0"/>
          <w:numId w:val="24"/>
        </w:numPr>
        <w:tabs>
          <w:tab w:val="left" w:pos="1418"/>
        </w:tabs>
        <w:kinsoku w:val="0"/>
        <w:overflowPunct w:val="0"/>
        <w:spacing w:line="271" w:lineRule="exact"/>
        <w:rPr>
          <w:rFonts w:ascii="Calibri" w:hAnsi="Calibri" w:cs="Calibri"/>
          <w:color w:val="1F497D"/>
          <w:sz w:val="22"/>
          <w:szCs w:val="22"/>
        </w:rPr>
      </w:pPr>
      <w:r>
        <w:rPr>
          <w:rFonts w:ascii="Calibri" w:hAnsi="Calibri" w:cs="Calibri"/>
          <w:color w:val="1F497D"/>
          <w:sz w:val="22"/>
          <w:szCs w:val="22"/>
        </w:rPr>
        <w:t>7/14 –</w:t>
      </w:r>
      <w:r>
        <w:rPr>
          <w:rFonts w:ascii="Calibri" w:hAnsi="Calibri" w:cs="Calibri"/>
          <w:color w:val="1F497D"/>
          <w:spacing w:val="-3"/>
          <w:sz w:val="22"/>
          <w:szCs w:val="22"/>
        </w:rPr>
        <w:t xml:space="preserve"> </w:t>
      </w:r>
      <w:r>
        <w:rPr>
          <w:rFonts w:ascii="Calibri" w:hAnsi="Calibri" w:cs="Calibri"/>
          <w:color w:val="1F497D"/>
          <w:sz w:val="22"/>
          <w:szCs w:val="22"/>
        </w:rPr>
        <w:t>PAGS</w:t>
      </w:r>
    </w:p>
    <w:p w:rsidR="002C5025" w:rsidRDefault="002C5025">
      <w:pPr>
        <w:pStyle w:val="BodyText"/>
        <w:kinsoku w:val="0"/>
        <w:overflowPunct w:val="0"/>
        <w:ind w:left="1539" w:right="143"/>
        <w:rPr>
          <w:color w:val="1F4E79"/>
        </w:rPr>
      </w:pPr>
      <w:r>
        <w:rPr>
          <w:color w:val="1F497D"/>
        </w:rPr>
        <w:t xml:space="preserve">Because the patient didn’t agree with our diagnosis the patient then went to 4 Emergency Rooms and one urgent care over the course of 8 days before coming back to our office. Granted constipation is not fun but I am guessing this one patient will cost the system well over $8,000 for 9 days.  </w:t>
      </w:r>
      <w:r>
        <w:rPr>
          <w:color w:val="1F4E79"/>
        </w:rPr>
        <w:t>How can you hold a provider accountable for the total cost of care when the patient has no deterrents.</w:t>
      </w:r>
    </w:p>
    <w:p w:rsidR="002C5025" w:rsidRDefault="002C5025">
      <w:pPr>
        <w:pStyle w:val="BodyText"/>
        <w:kinsoku w:val="0"/>
        <w:overflowPunct w:val="0"/>
      </w:pPr>
    </w:p>
    <w:p w:rsidR="002C5025" w:rsidRDefault="002C5025">
      <w:pPr>
        <w:pStyle w:val="BodyText"/>
        <w:kinsoku w:val="0"/>
        <w:overflowPunct w:val="0"/>
        <w:spacing w:before="1"/>
        <w:ind w:left="100" w:right="327"/>
        <w:rPr>
          <w:color w:val="1F4E79"/>
        </w:rPr>
      </w:pPr>
      <w:r>
        <w:rPr>
          <w:color w:val="1F4E79"/>
          <w:u w:val="single"/>
        </w:rPr>
        <w:t>Break down barriers for implementing behavioral health</w:t>
      </w:r>
    </w:p>
    <w:p w:rsidR="002C5025" w:rsidRDefault="002C5025">
      <w:pPr>
        <w:pStyle w:val="ListParagraph"/>
        <w:numPr>
          <w:ilvl w:val="0"/>
          <w:numId w:val="25"/>
        </w:numPr>
        <w:tabs>
          <w:tab w:val="left" w:pos="1080"/>
        </w:tabs>
        <w:kinsoku w:val="0"/>
        <w:overflowPunct w:val="0"/>
        <w:spacing w:before="2" w:line="237" w:lineRule="auto"/>
        <w:ind w:left="820" w:right="530" w:hanging="360"/>
        <w:rPr>
          <w:rFonts w:ascii="Calibri" w:hAnsi="Calibri" w:cs="Calibri"/>
          <w:color w:val="1F4E79"/>
          <w:sz w:val="22"/>
          <w:szCs w:val="22"/>
        </w:rPr>
      </w:pPr>
      <w:r>
        <w:rPr>
          <w:rFonts w:ascii="Calibri" w:hAnsi="Calibri" w:cs="Calibri"/>
          <w:color w:val="1F4E79"/>
          <w:sz w:val="22"/>
          <w:szCs w:val="22"/>
        </w:rPr>
        <w:t xml:space="preserve">To bring in a provider to our practice that is already licensed in Massachusetts </w:t>
      </w:r>
      <w:r>
        <w:rPr>
          <w:rFonts w:ascii="Calibri" w:hAnsi="Calibri" w:cs="Calibri"/>
          <w:strike/>
          <w:color w:val="1F4E79"/>
          <w:sz w:val="22"/>
          <w:szCs w:val="22"/>
        </w:rPr>
        <w:t xml:space="preserve">is </w:t>
      </w:r>
      <w:r>
        <w:rPr>
          <w:rFonts w:ascii="Calibri" w:hAnsi="Calibri" w:cs="Calibri"/>
          <w:color w:val="1F4E79"/>
          <w:sz w:val="22"/>
          <w:szCs w:val="22"/>
        </w:rPr>
        <w:t>takes 3+ months.</w:t>
      </w:r>
    </w:p>
    <w:p w:rsidR="002C5025" w:rsidRDefault="002C5025">
      <w:pPr>
        <w:pStyle w:val="ListParagraph"/>
        <w:numPr>
          <w:ilvl w:val="1"/>
          <w:numId w:val="25"/>
        </w:numPr>
        <w:tabs>
          <w:tab w:val="left" w:pos="1478"/>
        </w:tabs>
        <w:kinsoku w:val="0"/>
        <w:overflowPunct w:val="0"/>
        <w:spacing w:before="3" w:line="268" w:lineRule="exact"/>
        <w:ind w:left="1540" w:right="383" w:hanging="360"/>
        <w:rPr>
          <w:rFonts w:ascii="Calibri" w:hAnsi="Calibri" w:cs="Calibri"/>
          <w:color w:val="1F4E79"/>
          <w:sz w:val="22"/>
          <w:szCs w:val="22"/>
        </w:rPr>
      </w:pPr>
      <w:r>
        <w:rPr>
          <w:rFonts w:ascii="Calibri" w:hAnsi="Calibri" w:cs="Calibri"/>
          <w:color w:val="1F4E79"/>
          <w:sz w:val="22"/>
          <w:szCs w:val="22"/>
        </w:rPr>
        <w:t>Private</w:t>
      </w:r>
      <w:r>
        <w:rPr>
          <w:rFonts w:ascii="Calibri" w:hAnsi="Calibri" w:cs="Calibri"/>
          <w:color w:val="1F4E79"/>
          <w:spacing w:val="-4"/>
          <w:sz w:val="22"/>
          <w:szCs w:val="22"/>
        </w:rPr>
        <w:t xml:space="preserve"> </w:t>
      </w:r>
      <w:r>
        <w:rPr>
          <w:rFonts w:ascii="Calibri" w:hAnsi="Calibri" w:cs="Calibri"/>
          <w:color w:val="1F4E79"/>
          <w:sz w:val="22"/>
          <w:szCs w:val="22"/>
        </w:rPr>
        <w:t>practice</w:t>
      </w:r>
      <w:r>
        <w:rPr>
          <w:rFonts w:ascii="Calibri" w:hAnsi="Calibri" w:cs="Calibri"/>
          <w:color w:val="1F4E79"/>
          <w:spacing w:val="-2"/>
          <w:sz w:val="22"/>
          <w:szCs w:val="22"/>
        </w:rPr>
        <w:t xml:space="preserve"> </w:t>
      </w:r>
      <w:r>
        <w:rPr>
          <w:rFonts w:ascii="Calibri" w:hAnsi="Calibri" w:cs="Calibri"/>
          <w:color w:val="1F4E79"/>
          <w:sz w:val="22"/>
          <w:szCs w:val="22"/>
        </w:rPr>
        <w:t>needs</w:t>
      </w:r>
      <w:r>
        <w:rPr>
          <w:rFonts w:ascii="Calibri" w:hAnsi="Calibri" w:cs="Calibri"/>
          <w:color w:val="1F4E79"/>
          <w:spacing w:val="-4"/>
          <w:sz w:val="22"/>
          <w:szCs w:val="22"/>
        </w:rPr>
        <w:t xml:space="preserve"> </w:t>
      </w:r>
      <w:r>
        <w:rPr>
          <w:rFonts w:ascii="Calibri" w:hAnsi="Calibri" w:cs="Calibri"/>
          <w:color w:val="1F4E79"/>
          <w:sz w:val="22"/>
          <w:szCs w:val="22"/>
        </w:rPr>
        <w:t>to</w:t>
      </w:r>
      <w:r>
        <w:rPr>
          <w:rFonts w:ascii="Calibri" w:hAnsi="Calibri" w:cs="Calibri"/>
          <w:color w:val="1F4E79"/>
          <w:spacing w:val="-2"/>
          <w:sz w:val="22"/>
          <w:szCs w:val="22"/>
        </w:rPr>
        <w:t xml:space="preserve"> </w:t>
      </w:r>
      <w:r>
        <w:rPr>
          <w:rFonts w:ascii="Calibri" w:hAnsi="Calibri" w:cs="Calibri"/>
          <w:color w:val="1F4E79"/>
          <w:sz w:val="22"/>
          <w:szCs w:val="22"/>
        </w:rPr>
        <w:t>fill</w:t>
      </w:r>
      <w:r>
        <w:rPr>
          <w:rFonts w:ascii="Calibri" w:hAnsi="Calibri" w:cs="Calibri"/>
          <w:color w:val="1F4E79"/>
          <w:spacing w:val="-5"/>
          <w:sz w:val="22"/>
          <w:szCs w:val="22"/>
        </w:rPr>
        <w:t xml:space="preserve"> </w:t>
      </w:r>
      <w:r>
        <w:rPr>
          <w:rFonts w:ascii="Calibri" w:hAnsi="Calibri" w:cs="Calibri"/>
          <w:color w:val="1F4E79"/>
          <w:sz w:val="22"/>
          <w:szCs w:val="22"/>
        </w:rPr>
        <w:t>out</w:t>
      </w:r>
      <w:r>
        <w:rPr>
          <w:rFonts w:ascii="Calibri" w:hAnsi="Calibri" w:cs="Calibri"/>
          <w:color w:val="1F4E79"/>
          <w:spacing w:val="-2"/>
          <w:sz w:val="22"/>
          <w:szCs w:val="22"/>
        </w:rPr>
        <w:t xml:space="preserve"> </w:t>
      </w:r>
      <w:r>
        <w:rPr>
          <w:rFonts w:ascii="Calibri" w:hAnsi="Calibri" w:cs="Calibri"/>
          <w:color w:val="1F4E79"/>
          <w:sz w:val="22"/>
          <w:szCs w:val="22"/>
        </w:rPr>
        <w:t>new</w:t>
      </w:r>
      <w:r>
        <w:rPr>
          <w:rFonts w:ascii="Calibri" w:hAnsi="Calibri" w:cs="Calibri"/>
          <w:color w:val="1F4E79"/>
          <w:spacing w:val="-2"/>
          <w:sz w:val="22"/>
          <w:szCs w:val="22"/>
        </w:rPr>
        <w:t xml:space="preserve"> </w:t>
      </w:r>
      <w:r>
        <w:rPr>
          <w:rFonts w:ascii="Calibri" w:hAnsi="Calibri" w:cs="Calibri"/>
          <w:color w:val="1F4E79"/>
          <w:sz w:val="22"/>
          <w:szCs w:val="22"/>
        </w:rPr>
        <w:t>separate</w:t>
      </w:r>
      <w:r>
        <w:rPr>
          <w:rFonts w:ascii="Calibri" w:hAnsi="Calibri" w:cs="Calibri"/>
          <w:color w:val="1F4E79"/>
          <w:spacing w:val="-4"/>
          <w:sz w:val="22"/>
          <w:szCs w:val="22"/>
        </w:rPr>
        <w:t xml:space="preserve"> </w:t>
      </w:r>
      <w:r>
        <w:rPr>
          <w:rFonts w:ascii="Calibri" w:hAnsi="Calibri" w:cs="Calibri"/>
          <w:color w:val="1F4E79"/>
          <w:sz w:val="22"/>
          <w:szCs w:val="22"/>
        </w:rPr>
        <w:t>contracts</w:t>
      </w:r>
      <w:r>
        <w:rPr>
          <w:rFonts w:ascii="Calibri" w:hAnsi="Calibri" w:cs="Calibri"/>
          <w:color w:val="1F4E79"/>
          <w:spacing w:val="-4"/>
          <w:sz w:val="22"/>
          <w:szCs w:val="22"/>
        </w:rPr>
        <w:t xml:space="preserve"> </w:t>
      </w:r>
      <w:r>
        <w:rPr>
          <w:rFonts w:ascii="Calibri" w:hAnsi="Calibri" w:cs="Calibri"/>
          <w:color w:val="1F4E79"/>
          <w:sz w:val="22"/>
          <w:szCs w:val="22"/>
        </w:rPr>
        <w:t>with</w:t>
      </w:r>
      <w:r>
        <w:rPr>
          <w:rFonts w:ascii="Calibri" w:hAnsi="Calibri" w:cs="Calibri"/>
          <w:color w:val="1F4E79"/>
          <w:spacing w:val="-4"/>
          <w:sz w:val="22"/>
          <w:szCs w:val="22"/>
        </w:rPr>
        <w:t xml:space="preserve"> </w:t>
      </w:r>
      <w:r>
        <w:rPr>
          <w:rFonts w:ascii="Calibri" w:hAnsi="Calibri" w:cs="Calibri"/>
          <w:color w:val="1F4E79"/>
          <w:sz w:val="22"/>
          <w:szCs w:val="22"/>
        </w:rPr>
        <w:t>each</w:t>
      </w:r>
      <w:r>
        <w:rPr>
          <w:rFonts w:ascii="Calibri" w:hAnsi="Calibri" w:cs="Calibri"/>
          <w:color w:val="1F4E79"/>
          <w:spacing w:val="-4"/>
          <w:sz w:val="22"/>
          <w:szCs w:val="22"/>
        </w:rPr>
        <w:t xml:space="preserve"> </w:t>
      </w:r>
      <w:r>
        <w:rPr>
          <w:rFonts w:ascii="Calibri" w:hAnsi="Calibri" w:cs="Calibri"/>
          <w:color w:val="1F4E79"/>
          <w:sz w:val="22"/>
          <w:szCs w:val="22"/>
        </w:rPr>
        <w:t>insurance</w:t>
      </w:r>
      <w:r>
        <w:rPr>
          <w:rFonts w:ascii="Calibri" w:hAnsi="Calibri" w:cs="Calibri"/>
          <w:color w:val="1F4E79"/>
          <w:spacing w:val="-4"/>
          <w:sz w:val="22"/>
          <w:szCs w:val="22"/>
        </w:rPr>
        <w:t xml:space="preserve"> </w:t>
      </w:r>
      <w:r>
        <w:rPr>
          <w:rFonts w:ascii="Calibri" w:hAnsi="Calibri" w:cs="Calibri"/>
          <w:color w:val="1F4E79"/>
          <w:sz w:val="22"/>
          <w:szCs w:val="22"/>
        </w:rPr>
        <w:t>company for each of the additional services that you looking at bringing in house for better coordination.</w:t>
      </w:r>
    </w:p>
    <w:p w:rsidR="002C5025" w:rsidRDefault="002C5025">
      <w:pPr>
        <w:pStyle w:val="ListParagraph"/>
        <w:numPr>
          <w:ilvl w:val="1"/>
          <w:numId w:val="25"/>
        </w:numPr>
        <w:tabs>
          <w:tab w:val="left" w:pos="1478"/>
        </w:tabs>
        <w:kinsoku w:val="0"/>
        <w:overflowPunct w:val="0"/>
        <w:spacing w:before="8" w:line="268" w:lineRule="exact"/>
        <w:ind w:left="1539" w:right="421" w:hanging="359"/>
        <w:rPr>
          <w:rFonts w:ascii="Calibri" w:hAnsi="Calibri" w:cs="Calibri"/>
          <w:color w:val="1F4E79"/>
          <w:sz w:val="22"/>
          <w:szCs w:val="22"/>
        </w:rPr>
      </w:pPr>
      <w:r>
        <w:rPr>
          <w:rFonts w:ascii="Calibri" w:hAnsi="Calibri" w:cs="Calibri"/>
          <w:color w:val="1F4E79"/>
          <w:sz w:val="22"/>
          <w:szCs w:val="22"/>
        </w:rPr>
        <w:t>The credentialing piece alone takes 3+ months which is absurd when they are a practicing MD in Massachusetts and most times already credentialed with a different contract</w:t>
      </w:r>
    </w:p>
    <w:p w:rsidR="002C5025" w:rsidRDefault="002C5025">
      <w:pPr>
        <w:pStyle w:val="BodyText"/>
        <w:kinsoku w:val="0"/>
        <w:overflowPunct w:val="0"/>
        <w:spacing w:before="2" w:line="266" w:lineRule="exact"/>
        <w:ind w:left="1539" w:right="317"/>
        <w:rPr>
          <w:color w:val="1F4E79"/>
        </w:rPr>
      </w:pPr>
      <w:r>
        <w:rPr>
          <w:color w:val="1F4E79"/>
        </w:rPr>
        <w:t>(It’ expected that we do a better coordination of care but there are barriers that don’t allow this to happen easily)</w:t>
      </w:r>
    </w:p>
    <w:p w:rsidR="002C5025" w:rsidRDefault="002C5025">
      <w:pPr>
        <w:pStyle w:val="BodyText"/>
        <w:kinsoku w:val="0"/>
        <w:overflowPunct w:val="0"/>
        <w:spacing w:before="6"/>
      </w:pPr>
    </w:p>
    <w:p w:rsidR="002C5025" w:rsidRDefault="002C5025">
      <w:pPr>
        <w:pStyle w:val="BodyText"/>
        <w:kinsoku w:val="0"/>
        <w:overflowPunct w:val="0"/>
        <w:ind w:left="100" w:right="327"/>
        <w:rPr>
          <w:color w:val="1F4E79"/>
        </w:rPr>
      </w:pPr>
      <w:r>
        <w:rPr>
          <w:color w:val="1F4E79"/>
          <w:u w:val="single"/>
        </w:rPr>
        <w:t>Medicare / Medicaid disparity</w:t>
      </w:r>
    </w:p>
    <w:p w:rsidR="002C5025" w:rsidRDefault="002C5025">
      <w:pPr>
        <w:pStyle w:val="ListParagraph"/>
        <w:numPr>
          <w:ilvl w:val="0"/>
          <w:numId w:val="25"/>
        </w:numPr>
        <w:tabs>
          <w:tab w:val="left" w:pos="1080"/>
        </w:tabs>
        <w:kinsoku w:val="0"/>
        <w:overflowPunct w:val="0"/>
        <w:ind w:left="1079" w:hanging="619"/>
        <w:rPr>
          <w:rFonts w:ascii="Calibri" w:hAnsi="Calibri" w:cs="Calibri"/>
          <w:color w:val="1F4E79"/>
          <w:sz w:val="22"/>
          <w:szCs w:val="22"/>
        </w:rPr>
      </w:pPr>
      <w:r>
        <w:rPr>
          <w:rFonts w:ascii="Calibri" w:hAnsi="Calibri" w:cs="Calibri"/>
          <w:color w:val="1F4E79"/>
          <w:sz w:val="22"/>
          <w:szCs w:val="22"/>
        </w:rPr>
        <w:t>Over the years someone decided that those who care for children should</w:t>
      </w:r>
      <w:r>
        <w:rPr>
          <w:rFonts w:ascii="Calibri" w:hAnsi="Calibri" w:cs="Calibri"/>
          <w:color w:val="1F4E79"/>
          <w:spacing w:val="-35"/>
          <w:sz w:val="22"/>
          <w:szCs w:val="22"/>
        </w:rPr>
        <w:t xml:space="preserve"> </w:t>
      </w:r>
      <w:r>
        <w:rPr>
          <w:rFonts w:ascii="Calibri" w:hAnsi="Calibri" w:cs="Calibri"/>
          <w:color w:val="1F4E79"/>
          <w:sz w:val="22"/>
          <w:szCs w:val="22"/>
        </w:rPr>
        <w:t>be reimbursed less.</w:t>
      </w:r>
    </w:p>
    <w:p w:rsidR="002C5025" w:rsidRDefault="002C5025">
      <w:pPr>
        <w:pStyle w:val="ListParagraph"/>
        <w:numPr>
          <w:ilvl w:val="1"/>
          <w:numId w:val="25"/>
        </w:numPr>
        <w:tabs>
          <w:tab w:val="left" w:pos="1478"/>
        </w:tabs>
        <w:kinsoku w:val="0"/>
        <w:overflowPunct w:val="0"/>
        <w:spacing w:before="7" w:line="272" w:lineRule="exact"/>
        <w:ind w:left="1540" w:hanging="361"/>
        <w:rPr>
          <w:rFonts w:ascii="Calibri" w:hAnsi="Calibri" w:cs="Calibri"/>
          <w:color w:val="1F4E79"/>
          <w:sz w:val="22"/>
          <w:szCs w:val="22"/>
        </w:rPr>
      </w:pPr>
      <w:r>
        <w:rPr>
          <w:rFonts w:ascii="Calibri" w:hAnsi="Calibri" w:cs="Calibri"/>
          <w:color w:val="1F4E79"/>
          <w:sz w:val="22"/>
          <w:szCs w:val="22"/>
        </w:rPr>
        <w:t>Children's office visits often need more</w:t>
      </w:r>
      <w:r>
        <w:rPr>
          <w:rFonts w:ascii="Calibri" w:hAnsi="Calibri" w:cs="Calibri"/>
          <w:color w:val="1F4E79"/>
          <w:spacing w:val="-19"/>
          <w:sz w:val="22"/>
          <w:szCs w:val="22"/>
        </w:rPr>
        <w:t xml:space="preserve"> </w:t>
      </w:r>
      <w:r>
        <w:rPr>
          <w:rFonts w:ascii="Calibri" w:hAnsi="Calibri" w:cs="Calibri"/>
          <w:color w:val="1F4E79"/>
          <w:sz w:val="22"/>
          <w:szCs w:val="22"/>
        </w:rPr>
        <w:t>time</w:t>
      </w:r>
    </w:p>
    <w:p w:rsidR="002C5025" w:rsidRDefault="002C5025">
      <w:pPr>
        <w:pStyle w:val="ListParagraph"/>
        <w:numPr>
          <w:ilvl w:val="2"/>
          <w:numId w:val="25"/>
        </w:numPr>
        <w:tabs>
          <w:tab w:val="left" w:pos="2112"/>
        </w:tabs>
        <w:kinsoku w:val="0"/>
        <w:overflowPunct w:val="0"/>
        <w:ind w:right="289" w:hanging="360"/>
        <w:rPr>
          <w:rFonts w:ascii="Calibri" w:hAnsi="Calibri" w:cs="Calibri"/>
          <w:color w:val="1F4E79"/>
          <w:sz w:val="22"/>
          <w:szCs w:val="22"/>
        </w:rPr>
      </w:pPr>
      <w:r>
        <w:rPr>
          <w:rFonts w:ascii="Calibri" w:hAnsi="Calibri" w:cs="Calibri"/>
          <w:color w:val="1F4E79"/>
          <w:sz w:val="22"/>
          <w:szCs w:val="22"/>
        </w:rPr>
        <w:t>Hearing, Vision, and general growth assessments add to the length of time of an appointment</w:t>
      </w:r>
    </w:p>
    <w:p w:rsidR="002C5025" w:rsidRDefault="002C5025">
      <w:pPr>
        <w:pStyle w:val="ListParagraph"/>
        <w:numPr>
          <w:ilvl w:val="2"/>
          <w:numId w:val="25"/>
        </w:numPr>
        <w:tabs>
          <w:tab w:val="left" w:pos="2112"/>
        </w:tabs>
        <w:kinsoku w:val="0"/>
        <w:overflowPunct w:val="0"/>
        <w:ind w:left="2260" w:right="649" w:hanging="361"/>
        <w:rPr>
          <w:rFonts w:ascii="Calibri" w:hAnsi="Calibri" w:cs="Calibri"/>
          <w:color w:val="1F4E79"/>
          <w:sz w:val="22"/>
          <w:szCs w:val="22"/>
        </w:rPr>
      </w:pPr>
      <w:r>
        <w:rPr>
          <w:rFonts w:ascii="Calibri" w:hAnsi="Calibri" w:cs="Calibri"/>
          <w:color w:val="1F4E79"/>
          <w:sz w:val="22"/>
          <w:szCs w:val="22"/>
        </w:rPr>
        <w:t xml:space="preserve">Children cannot accurately communicate their symptoms; </w:t>
      </w:r>
      <w:r>
        <w:rPr>
          <w:rFonts w:ascii="Calibri" w:hAnsi="Calibri" w:cs="Calibri"/>
          <w:strike/>
          <w:color w:val="1F4E79"/>
          <w:sz w:val="22"/>
          <w:szCs w:val="22"/>
        </w:rPr>
        <w:t xml:space="preserve">and </w:t>
      </w:r>
      <w:r>
        <w:rPr>
          <w:rFonts w:ascii="Calibri" w:hAnsi="Calibri" w:cs="Calibri"/>
          <w:color w:val="1F4E79"/>
          <w:sz w:val="22"/>
          <w:szCs w:val="22"/>
        </w:rPr>
        <w:t>the physician therefore faces greater diagnostic challenges than with adult</w:t>
      </w:r>
      <w:r>
        <w:rPr>
          <w:rFonts w:ascii="Calibri" w:hAnsi="Calibri" w:cs="Calibri"/>
          <w:color w:val="1F4E79"/>
          <w:spacing w:val="-24"/>
          <w:sz w:val="22"/>
          <w:szCs w:val="22"/>
        </w:rPr>
        <w:t xml:space="preserve"> </w:t>
      </w:r>
      <w:r>
        <w:rPr>
          <w:rFonts w:ascii="Calibri" w:hAnsi="Calibri" w:cs="Calibri"/>
          <w:color w:val="1F4E79"/>
          <w:sz w:val="22"/>
          <w:szCs w:val="22"/>
        </w:rPr>
        <w:t>care.</w:t>
      </w:r>
    </w:p>
    <w:p w:rsidR="002C5025" w:rsidRDefault="002C5025">
      <w:pPr>
        <w:pStyle w:val="ListParagraph"/>
        <w:numPr>
          <w:ilvl w:val="2"/>
          <w:numId w:val="25"/>
        </w:numPr>
        <w:tabs>
          <w:tab w:val="left" w:pos="2112"/>
        </w:tabs>
        <w:kinsoku w:val="0"/>
        <w:overflowPunct w:val="0"/>
        <w:ind w:left="2260" w:right="179" w:hanging="360"/>
        <w:rPr>
          <w:rFonts w:ascii="Calibri" w:hAnsi="Calibri" w:cs="Calibri"/>
          <w:color w:val="1F4E79"/>
          <w:sz w:val="22"/>
          <w:szCs w:val="22"/>
        </w:rPr>
      </w:pPr>
      <w:r>
        <w:rPr>
          <w:rFonts w:ascii="Calibri" w:hAnsi="Calibri" w:cs="Calibri"/>
          <w:color w:val="1F4E79"/>
          <w:sz w:val="22"/>
          <w:szCs w:val="22"/>
        </w:rPr>
        <w:t>During the visit, Pediatricians manage the parent as well, questions about growth and development etc. also make the visit</w:t>
      </w:r>
      <w:r>
        <w:rPr>
          <w:rFonts w:ascii="Calibri" w:hAnsi="Calibri" w:cs="Calibri"/>
          <w:color w:val="1F4E79"/>
          <w:spacing w:val="-15"/>
          <w:sz w:val="22"/>
          <w:szCs w:val="22"/>
        </w:rPr>
        <w:t xml:space="preserve"> </w:t>
      </w:r>
      <w:r>
        <w:rPr>
          <w:rFonts w:ascii="Calibri" w:hAnsi="Calibri" w:cs="Calibri"/>
          <w:color w:val="1F4E79"/>
          <w:sz w:val="22"/>
          <w:szCs w:val="22"/>
        </w:rPr>
        <w:t>longer.</w:t>
      </w:r>
    </w:p>
    <w:p w:rsidR="002C5025" w:rsidRDefault="002C5025">
      <w:pPr>
        <w:pStyle w:val="ListParagraph"/>
        <w:numPr>
          <w:ilvl w:val="1"/>
          <w:numId w:val="25"/>
        </w:numPr>
        <w:tabs>
          <w:tab w:val="left" w:pos="1478"/>
        </w:tabs>
        <w:kinsoku w:val="0"/>
        <w:overflowPunct w:val="0"/>
        <w:spacing w:before="2" w:line="268" w:lineRule="exact"/>
        <w:ind w:left="1540" w:right="214" w:hanging="360"/>
        <w:rPr>
          <w:rFonts w:ascii="Calibri" w:hAnsi="Calibri" w:cs="Calibri"/>
          <w:color w:val="1F4E79"/>
          <w:sz w:val="22"/>
          <w:szCs w:val="22"/>
        </w:rPr>
      </w:pPr>
      <w:r>
        <w:rPr>
          <w:rFonts w:ascii="Calibri" w:hAnsi="Calibri" w:cs="Calibri"/>
          <w:color w:val="1F4E79"/>
          <w:sz w:val="22"/>
          <w:szCs w:val="22"/>
        </w:rPr>
        <w:t>Pediatricians have the same amount of schooling and expenses as a Family practitioners and other</w:t>
      </w:r>
      <w:r>
        <w:rPr>
          <w:rFonts w:ascii="Calibri" w:hAnsi="Calibri" w:cs="Calibri"/>
          <w:color w:val="1F4E79"/>
          <w:spacing w:val="-5"/>
          <w:sz w:val="22"/>
          <w:szCs w:val="22"/>
        </w:rPr>
        <w:t xml:space="preserve"> </w:t>
      </w:r>
      <w:r>
        <w:rPr>
          <w:rFonts w:ascii="Calibri" w:hAnsi="Calibri" w:cs="Calibri"/>
          <w:color w:val="1F4E79"/>
          <w:sz w:val="22"/>
          <w:szCs w:val="22"/>
        </w:rPr>
        <w:t>providers.</w:t>
      </w:r>
    </w:p>
    <w:p w:rsidR="002C5025" w:rsidRDefault="002C5025">
      <w:pPr>
        <w:pStyle w:val="ListParagraph"/>
        <w:numPr>
          <w:ilvl w:val="0"/>
          <w:numId w:val="25"/>
        </w:numPr>
        <w:tabs>
          <w:tab w:val="left" w:pos="1080"/>
        </w:tabs>
        <w:kinsoku w:val="0"/>
        <w:overflowPunct w:val="0"/>
        <w:spacing w:before="5"/>
        <w:ind w:left="820" w:right="110" w:hanging="360"/>
        <w:rPr>
          <w:rFonts w:ascii="Calibri" w:hAnsi="Calibri" w:cs="Calibri"/>
          <w:color w:val="1F4E79"/>
          <w:sz w:val="22"/>
          <w:szCs w:val="22"/>
        </w:rPr>
      </w:pPr>
      <w:r>
        <w:rPr>
          <w:rFonts w:ascii="Calibri" w:hAnsi="Calibri" w:cs="Calibri"/>
          <w:color w:val="1F4E79"/>
          <w:sz w:val="22"/>
          <w:szCs w:val="22"/>
        </w:rPr>
        <w:t>Part of the ACA for 2013 &amp; 2014 increased reimbursements to Medicare levels (45% Increase) if you signed up for</w:t>
      </w:r>
      <w:r>
        <w:rPr>
          <w:rFonts w:ascii="Calibri" w:hAnsi="Calibri" w:cs="Calibri"/>
          <w:color w:val="1F4E79"/>
          <w:spacing w:val="-6"/>
          <w:sz w:val="22"/>
          <w:szCs w:val="22"/>
        </w:rPr>
        <w:t xml:space="preserve"> </w:t>
      </w:r>
      <w:r>
        <w:rPr>
          <w:rFonts w:ascii="Calibri" w:hAnsi="Calibri" w:cs="Calibri"/>
          <w:color w:val="1F4E79"/>
          <w:sz w:val="22"/>
          <w:szCs w:val="22"/>
        </w:rPr>
        <w:t>it.</w:t>
      </w:r>
    </w:p>
    <w:p w:rsidR="002C5025" w:rsidRDefault="002C5025">
      <w:pPr>
        <w:pStyle w:val="ListParagraph"/>
        <w:numPr>
          <w:ilvl w:val="0"/>
          <w:numId w:val="23"/>
        </w:numPr>
        <w:tabs>
          <w:tab w:val="left" w:pos="2112"/>
        </w:tabs>
        <w:kinsoku w:val="0"/>
        <w:overflowPunct w:val="0"/>
        <w:ind w:right="594" w:hanging="360"/>
        <w:rPr>
          <w:rFonts w:ascii="Calibri" w:hAnsi="Calibri" w:cs="Calibri"/>
          <w:color w:val="1F4E79"/>
          <w:sz w:val="22"/>
          <w:szCs w:val="22"/>
        </w:rPr>
      </w:pPr>
      <w:r>
        <w:rPr>
          <w:rFonts w:ascii="Calibri" w:hAnsi="Calibri" w:cs="Calibri"/>
          <w:color w:val="1F4E79"/>
          <w:sz w:val="22"/>
          <w:szCs w:val="22"/>
        </w:rPr>
        <w:t>This dramatically helped with the transition which was mostly a change from commercial insurance to Medicaid in our</w:t>
      </w:r>
      <w:r>
        <w:rPr>
          <w:rFonts w:ascii="Calibri" w:hAnsi="Calibri" w:cs="Calibri"/>
          <w:color w:val="1F4E79"/>
          <w:spacing w:val="-19"/>
          <w:sz w:val="22"/>
          <w:szCs w:val="22"/>
        </w:rPr>
        <w:t xml:space="preserve"> </w:t>
      </w:r>
      <w:r>
        <w:rPr>
          <w:rFonts w:ascii="Calibri" w:hAnsi="Calibri" w:cs="Calibri"/>
          <w:color w:val="1F4E79"/>
          <w:sz w:val="22"/>
          <w:szCs w:val="22"/>
        </w:rPr>
        <w:t>office.</w:t>
      </w:r>
    </w:p>
    <w:p w:rsidR="002C5025" w:rsidRDefault="002C5025">
      <w:pPr>
        <w:pStyle w:val="ListParagraph"/>
        <w:numPr>
          <w:ilvl w:val="0"/>
          <w:numId w:val="23"/>
        </w:numPr>
        <w:tabs>
          <w:tab w:val="left" w:pos="2112"/>
        </w:tabs>
        <w:kinsoku w:val="0"/>
        <w:overflowPunct w:val="0"/>
        <w:ind w:right="409" w:hanging="360"/>
        <w:rPr>
          <w:rFonts w:ascii="Calibri" w:hAnsi="Calibri" w:cs="Calibri"/>
          <w:color w:val="1F4E79"/>
          <w:sz w:val="22"/>
          <w:szCs w:val="22"/>
        </w:rPr>
      </w:pPr>
      <w:r>
        <w:rPr>
          <w:rFonts w:ascii="Calibri" w:hAnsi="Calibri" w:cs="Calibri"/>
          <w:color w:val="1F4E79"/>
          <w:sz w:val="22"/>
          <w:szCs w:val="22"/>
        </w:rPr>
        <w:t xml:space="preserve">In 2015 we saw a decrease in reimbursements of $700,000+ due to the section 1202 </w:t>
      </w:r>
      <w:r>
        <w:rPr>
          <w:rFonts w:ascii="Calibri" w:hAnsi="Calibri" w:cs="Calibri"/>
          <w:color w:val="1F497D"/>
          <w:sz w:val="22"/>
          <w:szCs w:val="22"/>
        </w:rPr>
        <w:t xml:space="preserve">rates </w:t>
      </w:r>
      <w:r>
        <w:rPr>
          <w:rFonts w:ascii="Calibri" w:hAnsi="Calibri" w:cs="Calibri"/>
          <w:color w:val="1F4E79"/>
          <w:sz w:val="22"/>
          <w:szCs w:val="22"/>
        </w:rPr>
        <w:t>going</w:t>
      </w:r>
      <w:r>
        <w:rPr>
          <w:rFonts w:ascii="Calibri" w:hAnsi="Calibri" w:cs="Calibri"/>
          <w:color w:val="1F4E79"/>
          <w:spacing w:val="-7"/>
          <w:sz w:val="22"/>
          <w:szCs w:val="22"/>
        </w:rPr>
        <w:t xml:space="preserve"> </w:t>
      </w:r>
      <w:r>
        <w:rPr>
          <w:rFonts w:ascii="Calibri" w:hAnsi="Calibri" w:cs="Calibri"/>
          <w:color w:val="1F4E79"/>
          <w:sz w:val="22"/>
          <w:szCs w:val="22"/>
        </w:rPr>
        <w:t>away.</w:t>
      </w:r>
    </w:p>
    <w:p w:rsidR="002C5025" w:rsidRDefault="002C5025">
      <w:pPr>
        <w:pStyle w:val="ListParagraph"/>
        <w:numPr>
          <w:ilvl w:val="0"/>
          <w:numId w:val="23"/>
        </w:numPr>
        <w:tabs>
          <w:tab w:val="left" w:pos="2112"/>
        </w:tabs>
        <w:kinsoku w:val="0"/>
        <w:overflowPunct w:val="0"/>
        <w:ind w:right="667" w:hanging="360"/>
        <w:rPr>
          <w:rFonts w:ascii="Calibri" w:hAnsi="Calibri" w:cs="Calibri"/>
          <w:color w:val="1F4E79"/>
          <w:sz w:val="22"/>
          <w:szCs w:val="22"/>
        </w:rPr>
      </w:pPr>
      <w:r>
        <w:rPr>
          <w:rFonts w:ascii="Calibri" w:hAnsi="Calibri" w:cs="Calibri"/>
          <w:color w:val="1F4E79"/>
          <w:sz w:val="22"/>
          <w:szCs w:val="22"/>
        </w:rPr>
        <w:t>All physicians who service adults complain about Medicare reimbursements however Medicaid is approximately 31% less in</w:t>
      </w:r>
      <w:r>
        <w:rPr>
          <w:rFonts w:ascii="Calibri" w:hAnsi="Calibri" w:cs="Calibri"/>
          <w:color w:val="1F4E79"/>
          <w:spacing w:val="-19"/>
          <w:sz w:val="22"/>
          <w:szCs w:val="22"/>
        </w:rPr>
        <w:t xml:space="preserve"> </w:t>
      </w:r>
      <w:r>
        <w:rPr>
          <w:rFonts w:ascii="Calibri" w:hAnsi="Calibri" w:cs="Calibri"/>
          <w:color w:val="1F4E79"/>
          <w:sz w:val="22"/>
          <w:szCs w:val="22"/>
        </w:rPr>
        <w:t>Massachusetts.</w:t>
      </w:r>
    </w:p>
    <w:p w:rsidR="002C5025" w:rsidRDefault="002C5025">
      <w:pPr>
        <w:pStyle w:val="ListParagraph"/>
        <w:numPr>
          <w:ilvl w:val="0"/>
          <w:numId w:val="23"/>
        </w:numPr>
        <w:tabs>
          <w:tab w:val="left" w:pos="2112"/>
        </w:tabs>
        <w:kinsoku w:val="0"/>
        <w:overflowPunct w:val="0"/>
        <w:ind w:right="303" w:hanging="360"/>
        <w:rPr>
          <w:rFonts w:ascii="Calibri" w:hAnsi="Calibri" w:cs="Calibri"/>
          <w:color w:val="1F4E79"/>
          <w:sz w:val="22"/>
          <w:szCs w:val="22"/>
        </w:rPr>
      </w:pPr>
      <w:r>
        <w:rPr>
          <w:rFonts w:ascii="Calibri" w:hAnsi="Calibri" w:cs="Calibri"/>
          <w:color w:val="1F4E79"/>
          <w:sz w:val="22"/>
          <w:szCs w:val="22"/>
        </w:rPr>
        <w:t>Several states maintained reimbursements at the Medicare levels when the section 1202 rates ended 12/31/2014. Why has Massachusetts not supported their practitioners in the same</w:t>
      </w:r>
      <w:r>
        <w:rPr>
          <w:rFonts w:ascii="Calibri" w:hAnsi="Calibri" w:cs="Calibri"/>
          <w:color w:val="1F4E79"/>
          <w:spacing w:val="-14"/>
          <w:sz w:val="22"/>
          <w:szCs w:val="22"/>
        </w:rPr>
        <w:t xml:space="preserve"> </w:t>
      </w:r>
      <w:r>
        <w:rPr>
          <w:rFonts w:ascii="Calibri" w:hAnsi="Calibri" w:cs="Calibri"/>
          <w:color w:val="1F4E79"/>
          <w:sz w:val="22"/>
          <w:szCs w:val="22"/>
        </w:rPr>
        <w:t>way?</w:t>
      </w:r>
    </w:p>
    <w:p w:rsidR="002C5025" w:rsidRDefault="002C5025">
      <w:pPr>
        <w:pStyle w:val="ListParagraph"/>
        <w:numPr>
          <w:ilvl w:val="0"/>
          <w:numId w:val="23"/>
        </w:numPr>
        <w:tabs>
          <w:tab w:val="left" w:pos="2112"/>
        </w:tabs>
        <w:kinsoku w:val="0"/>
        <w:overflowPunct w:val="0"/>
        <w:ind w:right="169" w:hanging="360"/>
        <w:rPr>
          <w:rFonts w:ascii="Calibri" w:hAnsi="Calibri" w:cs="Calibri"/>
          <w:color w:val="1F4E79"/>
          <w:sz w:val="22"/>
          <w:szCs w:val="22"/>
        </w:rPr>
      </w:pPr>
      <w:r>
        <w:rPr>
          <w:rFonts w:ascii="Calibri" w:hAnsi="Calibri" w:cs="Calibri"/>
          <w:color w:val="1F4E79"/>
          <w:sz w:val="22"/>
          <w:szCs w:val="22"/>
        </w:rPr>
        <w:t>There have been a number of House and Senate bills proposed to maintain the reimbursements at Medicare levels, however nothing has happened except at a state level (in other</w:t>
      </w:r>
      <w:r>
        <w:rPr>
          <w:rFonts w:ascii="Calibri" w:hAnsi="Calibri" w:cs="Calibri"/>
          <w:color w:val="1F4E79"/>
          <w:spacing w:val="-6"/>
          <w:sz w:val="22"/>
          <w:szCs w:val="22"/>
        </w:rPr>
        <w:t xml:space="preserve"> </w:t>
      </w:r>
      <w:r>
        <w:rPr>
          <w:rFonts w:ascii="Calibri" w:hAnsi="Calibri" w:cs="Calibri"/>
          <w:color w:val="1F4E79"/>
          <w:sz w:val="22"/>
          <w:szCs w:val="22"/>
        </w:rPr>
        <w:t>states).</w:t>
      </w:r>
    </w:p>
    <w:p w:rsidR="002C5025" w:rsidRDefault="002C5025">
      <w:pPr>
        <w:pStyle w:val="ListParagraph"/>
        <w:numPr>
          <w:ilvl w:val="0"/>
          <w:numId w:val="23"/>
        </w:numPr>
        <w:tabs>
          <w:tab w:val="left" w:pos="2112"/>
        </w:tabs>
        <w:kinsoku w:val="0"/>
        <w:overflowPunct w:val="0"/>
        <w:ind w:right="169" w:hanging="360"/>
        <w:rPr>
          <w:rFonts w:ascii="Calibri" w:hAnsi="Calibri" w:cs="Calibri"/>
          <w:color w:val="1F4E79"/>
          <w:sz w:val="22"/>
          <w:szCs w:val="22"/>
        </w:rPr>
        <w:sectPr w:rsidR="002C5025">
          <w:pgSz w:w="12240" w:h="15840"/>
          <w:pgMar w:top="1400" w:right="1340" w:bottom="280" w:left="1340" w:header="720" w:footer="720" w:gutter="0"/>
          <w:cols w:space="720" w:equalWidth="0">
            <w:col w:w="9560"/>
          </w:cols>
          <w:noEndnote/>
        </w:sectPr>
      </w:pPr>
    </w:p>
    <w:p w:rsidR="002C5025" w:rsidRDefault="002C5025">
      <w:pPr>
        <w:pStyle w:val="BodyText"/>
        <w:kinsoku w:val="0"/>
        <w:overflowPunct w:val="0"/>
        <w:spacing w:before="37"/>
        <w:ind w:left="120" w:right="296"/>
        <w:rPr>
          <w:color w:val="1F4E79"/>
        </w:rPr>
      </w:pPr>
      <w:r>
        <w:rPr>
          <w:color w:val="1F4E79"/>
          <w:u w:val="single"/>
        </w:rPr>
        <w:lastRenderedPageBreak/>
        <w:t>Facility Fees</w:t>
      </w:r>
    </w:p>
    <w:p w:rsidR="002C5025" w:rsidRDefault="002C5025">
      <w:pPr>
        <w:pStyle w:val="ListParagraph"/>
        <w:numPr>
          <w:ilvl w:val="0"/>
          <w:numId w:val="22"/>
        </w:numPr>
        <w:tabs>
          <w:tab w:val="left" w:pos="740"/>
        </w:tabs>
        <w:kinsoku w:val="0"/>
        <w:overflowPunct w:val="0"/>
        <w:ind w:right="600" w:firstLine="1"/>
        <w:rPr>
          <w:rFonts w:ascii="Calibri" w:hAnsi="Calibri" w:cs="Calibri"/>
          <w:color w:val="1F497D"/>
          <w:sz w:val="22"/>
          <w:szCs w:val="22"/>
        </w:rPr>
      </w:pPr>
      <w:r>
        <w:rPr>
          <w:rFonts w:ascii="Calibri" w:hAnsi="Calibri" w:cs="Calibri"/>
          <w:color w:val="1F497D"/>
          <w:sz w:val="22"/>
          <w:szCs w:val="22"/>
        </w:rPr>
        <w:t>Facility</w:t>
      </w:r>
      <w:r>
        <w:rPr>
          <w:rFonts w:ascii="Calibri" w:hAnsi="Calibri" w:cs="Calibri"/>
          <w:color w:val="1F497D"/>
          <w:spacing w:val="-1"/>
          <w:sz w:val="22"/>
          <w:szCs w:val="22"/>
        </w:rPr>
        <w:t xml:space="preserve"> </w:t>
      </w:r>
      <w:r>
        <w:rPr>
          <w:rFonts w:ascii="Calibri" w:hAnsi="Calibri" w:cs="Calibri"/>
          <w:color w:val="1F497D"/>
          <w:sz w:val="22"/>
          <w:szCs w:val="22"/>
        </w:rPr>
        <w:t>fees</w:t>
      </w:r>
      <w:r>
        <w:rPr>
          <w:rFonts w:ascii="Calibri" w:hAnsi="Calibri" w:cs="Calibri"/>
          <w:color w:val="1F497D"/>
          <w:spacing w:val="-2"/>
          <w:sz w:val="22"/>
          <w:szCs w:val="22"/>
        </w:rPr>
        <w:t xml:space="preserve"> </w:t>
      </w:r>
      <w:r>
        <w:rPr>
          <w:rFonts w:ascii="Calibri" w:hAnsi="Calibri" w:cs="Calibri"/>
          <w:color w:val="1F497D"/>
          <w:sz w:val="22"/>
          <w:szCs w:val="22"/>
        </w:rPr>
        <w:t>are</w:t>
      </w:r>
      <w:r>
        <w:rPr>
          <w:rFonts w:ascii="Calibri" w:hAnsi="Calibri" w:cs="Calibri"/>
          <w:color w:val="1F497D"/>
          <w:spacing w:val="-1"/>
          <w:sz w:val="22"/>
          <w:szCs w:val="22"/>
        </w:rPr>
        <w:t xml:space="preserve"> </w:t>
      </w:r>
      <w:r>
        <w:rPr>
          <w:rFonts w:ascii="Calibri" w:hAnsi="Calibri" w:cs="Calibri"/>
          <w:color w:val="1F497D"/>
          <w:sz w:val="22"/>
          <w:szCs w:val="22"/>
        </w:rPr>
        <w:t>a</w:t>
      </w:r>
      <w:r>
        <w:rPr>
          <w:rFonts w:ascii="Calibri" w:hAnsi="Calibri" w:cs="Calibri"/>
          <w:color w:val="1F497D"/>
          <w:spacing w:val="-4"/>
          <w:sz w:val="22"/>
          <w:szCs w:val="22"/>
        </w:rPr>
        <w:t xml:space="preserve"> </w:t>
      </w:r>
      <w:r>
        <w:rPr>
          <w:rFonts w:ascii="Calibri" w:hAnsi="Calibri" w:cs="Calibri"/>
          <w:color w:val="1F497D"/>
          <w:sz w:val="22"/>
          <w:szCs w:val="22"/>
        </w:rPr>
        <w:t>way</w:t>
      </w:r>
      <w:r>
        <w:rPr>
          <w:rFonts w:ascii="Calibri" w:hAnsi="Calibri" w:cs="Calibri"/>
          <w:color w:val="1F497D"/>
          <w:spacing w:val="-1"/>
          <w:sz w:val="22"/>
          <w:szCs w:val="22"/>
        </w:rPr>
        <w:t xml:space="preserve"> </w:t>
      </w:r>
      <w:r>
        <w:rPr>
          <w:rFonts w:ascii="Calibri" w:hAnsi="Calibri" w:cs="Calibri"/>
          <w:color w:val="1F497D"/>
          <w:sz w:val="22"/>
          <w:szCs w:val="22"/>
        </w:rPr>
        <w:t>for</w:t>
      </w:r>
      <w:r>
        <w:rPr>
          <w:rFonts w:ascii="Calibri" w:hAnsi="Calibri" w:cs="Calibri"/>
          <w:color w:val="1F497D"/>
          <w:spacing w:val="-2"/>
          <w:sz w:val="22"/>
          <w:szCs w:val="22"/>
        </w:rPr>
        <w:t xml:space="preserve"> </w:t>
      </w:r>
      <w:r>
        <w:rPr>
          <w:rFonts w:ascii="Calibri" w:hAnsi="Calibri" w:cs="Calibri"/>
          <w:color w:val="1F497D"/>
          <w:sz w:val="22"/>
          <w:szCs w:val="22"/>
        </w:rPr>
        <w:t>hospitals</w:t>
      </w:r>
      <w:r>
        <w:rPr>
          <w:rFonts w:ascii="Calibri" w:hAnsi="Calibri" w:cs="Calibri"/>
          <w:color w:val="1F497D"/>
          <w:spacing w:val="-2"/>
          <w:sz w:val="22"/>
          <w:szCs w:val="22"/>
        </w:rPr>
        <w:t xml:space="preserve"> </w:t>
      </w:r>
      <w:r>
        <w:rPr>
          <w:rFonts w:ascii="Calibri" w:hAnsi="Calibri" w:cs="Calibri"/>
          <w:color w:val="1F497D"/>
          <w:sz w:val="22"/>
          <w:szCs w:val="22"/>
        </w:rPr>
        <w:t>and</w:t>
      </w:r>
      <w:r>
        <w:rPr>
          <w:rFonts w:ascii="Calibri" w:hAnsi="Calibri" w:cs="Calibri"/>
          <w:color w:val="1F497D"/>
          <w:spacing w:val="-3"/>
          <w:sz w:val="22"/>
          <w:szCs w:val="22"/>
        </w:rPr>
        <w:t xml:space="preserve"> </w:t>
      </w:r>
      <w:r>
        <w:rPr>
          <w:rFonts w:ascii="Calibri" w:hAnsi="Calibri" w:cs="Calibri"/>
          <w:color w:val="1F497D"/>
          <w:sz w:val="22"/>
          <w:szCs w:val="22"/>
        </w:rPr>
        <w:t>hospital</w:t>
      </w:r>
      <w:r>
        <w:rPr>
          <w:rFonts w:ascii="Calibri" w:hAnsi="Calibri" w:cs="Calibri"/>
          <w:color w:val="1F497D"/>
          <w:spacing w:val="-2"/>
          <w:sz w:val="22"/>
          <w:szCs w:val="22"/>
        </w:rPr>
        <w:t xml:space="preserve"> </w:t>
      </w:r>
      <w:r>
        <w:rPr>
          <w:rFonts w:ascii="Calibri" w:hAnsi="Calibri" w:cs="Calibri"/>
          <w:color w:val="1F497D"/>
          <w:sz w:val="22"/>
          <w:szCs w:val="22"/>
        </w:rPr>
        <w:t>off-site</w:t>
      </w:r>
      <w:r>
        <w:rPr>
          <w:rFonts w:ascii="Calibri" w:hAnsi="Calibri" w:cs="Calibri"/>
          <w:color w:val="1F497D"/>
          <w:spacing w:val="-1"/>
          <w:sz w:val="22"/>
          <w:szCs w:val="22"/>
        </w:rPr>
        <w:t xml:space="preserve"> </w:t>
      </w:r>
      <w:r>
        <w:rPr>
          <w:rFonts w:ascii="Calibri" w:hAnsi="Calibri" w:cs="Calibri"/>
          <w:color w:val="1F497D"/>
          <w:sz w:val="22"/>
          <w:szCs w:val="22"/>
        </w:rPr>
        <w:t>hospital</w:t>
      </w:r>
      <w:r>
        <w:rPr>
          <w:rFonts w:ascii="Calibri" w:hAnsi="Calibri" w:cs="Calibri"/>
          <w:color w:val="1F497D"/>
          <w:spacing w:val="-5"/>
          <w:sz w:val="22"/>
          <w:szCs w:val="22"/>
        </w:rPr>
        <w:t xml:space="preserve"> </w:t>
      </w:r>
      <w:r>
        <w:rPr>
          <w:rFonts w:ascii="Calibri" w:hAnsi="Calibri" w:cs="Calibri"/>
          <w:color w:val="1F497D"/>
          <w:sz w:val="22"/>
          <w:szCs w:val="22"/>
        </w:rPr>
        <w:t>owned</w:t>
      </w:r>
      <w:r>
        <w:rPr>
          <w:rFonts w:ascii="Calibri" w:hAnsi="Calibri" w:cs="Calibri"/>
          <w:color w:val="1F497D"/>
          <w:spacing w:val="-5"/>
          <w:sz w:val="22"/>
          <w:szCs w:val="22"/>
        </w:rPr>
        <w:t xml:space="preserve"> </w:t>
      </w:r>
      <w:r>
        <w:rPr>
          <w:rFonts w:ascii="Calibri" w:hAnsi="Calibri" w:cs="Calibri"/>
          <w:color w:val="1F497D"/>
          <w:sz w:val="22"/>
          <w:szCs w:val="22"/>
        </w:rPr>
        <w:t>clinics</w:t>
      </w:r>
      <w:r>
        <w:rPr>
          <w:rFonts w:ascii="Calibri" w:hAnsi="Calibri" w:cs="Calibri"/>
          <w:color w:val="1F497D"/>
          <w:spacing w:val="-2"/>
          <w:sz w:val="22"/>
          <w:szCs w:val="22"/>
        </w:rPr>
        <w:t xml:space="preserve"> </w:t>
      </w:r>
      <w:r>
        <w:rPr>
          <w:rFonts w:ascii="Calibri" w:hAnsi="Calibri" w:cs="Calibri"/>
          <w:color w:val="1F497D"/>
          <w:sz w:val="22"/>
          <w:szCs w:val="22"/>
        </w:rPr>
        <w:t>etc.</w:t>
      </w:r>
      <w:r>
        <w:rPr>
          <w:rFonts w:ascii="Calibri" w:hAnsi="Calibri" w:cs="Calibri"/>
          <w:color w:val="1F497D"/>
          <w:spacing w:val="-5"/>
          <w:sz w:val="22"/>
          <w:szCs w:val="22"/>
        </w:rPr>
        <w:t xml:space="preserve"> </w:t>
      </w:r>
      <w:r>
        <w:rPr>
          <w:rFonts w:ascii="Calibri" w:hAnsi="Calibri" w:cs="Calibri"/>
          <w:color w:val="1F497D"/>
          <w:sz w:val="22"/>
          <w:szCs w:val="22"/>
        </w:rPr>
        <w:t>to</w:t>
      </w:r>
      <w:r>
        <w:rPr>
          <w:rFonts w:ascii="Calibri" w:hAnsi="Calibri" w:cs="Calibri"/>
          <w:color w:val="1F497D"/>
          <w:spacing w:val="-3"/>
          <w:sz w:val="22"/>
          <w:szCs w:val="22"/>
        </w:rPr>
        <w:t xml:space="preserve"> </w:t>
      </w:r>
      <w:r>
        <w:rPr>
          <w:rFonts w:ascii="Calibri" w:hAnsi="Calibri" w:cs="Calibri"/>
          <w:color w:val="1F497D"/>
          <w:sz w:val="22"/>
          <w:szCs w:val="22"/>
        </w:rPr>
        <w:t>charge extra fees on top of the higher reimbursements they are already</w:t>
      </w:r>
      <w:r>
        <w:rPr>
          <w:rFonts w:ascii="Calibri" w:hAnsi="Calibri" w:cs="Calibri"/>
          <w:color w:val="1F497D"/>
          <w:spacing w:val="-23"/>
          <w:sz w:val="22"/>
          <w:szCs w:val="22"/>
        </w:rPr>
        <w:t xml:space="preserve"> </w:t>
      </w:r>
      <w:r>
        <w:rPr>
          <w:rFonts w:ascii="Calibri" w:hAnsi="Calibri" w:cs="Calibri"/>
          <w:color w:val="1F497D"/>
          <w:sz w:val="22"/>
          <w:szCs w:val="22"/>
        </w:rPr>
        <w:t>receiving</w:t>
      </w:r>
    </w:p>
    <w:p w:rsidR="002C5025" w:rsidRDefault="002C5025">
      <w:pPr>
        <w:pStyle w:val="ListParagraph"/>
        <w:numPr>
          <w:ilvl w:val="1"/>
          <w:numId w:val="22"/>
        </w:numPr>
        <w:tabs>
          <w:tab w:val="left" w:pos="1498"/>
        </w:tabs>
        <w:kinsoku w:val="0"/>
        <w:overflowPunct w:val="0"/>
        <w:spacing w:before="9" w:line="265" w:lineRule="exact"/>
        <w:rPr>
          <w:color w:val="1F4E79"/>
          <w:sz w:val="22"/>
          <w:szCs w:val="22"/>
        </w:rPr>
      </w:pPr>
      <w:r>
        <w:rPr>
          <w:color w:val="1F4E79"/>
          <w:sz w:val="22"/>
          <w:szCs w:val="22"/>
        </w:rPr>
        <w:t>Removing the facility fee will level the playing field and reduce</w:t>
      </w:r>
      <w:r>
        <w:rPr>
          <w:color w:val="1F4E79"/>
          <w:spacing w:val="-19"/>
          <w:sz w:val="22"/>
          <w:szCs w:val="22"/>
        </w:rPr>
        <w:t xml:space="preserve"> </w:t>
      </w:r>
      <w:r>
        <w:rPr>
          <w:color w:val="1F4E79"/>
          <w:sz w:val="22"/>
          <w:szCs w:val="22"/>
        </w:rPr>
        <w:t>costs</w:t>
      </w:r>
    </w:p>
    <w:p w:rsidR="002C5025" w:rsidRDefault="002C5025">
      <w:pPr>
        <w:pStyle w:val="ListParagraph"/>
        <w:numPr>
          <w:ilvl w:val="2"/>
          <w:numId w:val="22"/>
        </w:numPr>
        <w:tabs>
          <w:tab w:val="left" w:pos="2132"/>
        </w:tabs>
        <w:kinsoku w:val="0"/>
        <w:overflowPunct w:val="0"/>
        <w:ind w:right="232" w:hanging="360"/>
        <w:rPr>
          <w:rFonts w:ascii="Calibri" w:hAnsi="Calibri" w:cs="Calibri"/>
          <w:color w:val="0000FF"/>
          <w:sz w:val="22"/>
          <w:szCs w:val="22"/>
        </w:rPr>
      </w:pPr>
      <w:r>
        <w:rPr>
          <w:color w:val="1F4E79"/>
          <w:sz w:val="22"/>
          <w:szCs w:val="22"/>
        </w:rPr>
        <w:t>It will potentially slow down the acquisition of smaller practices. AMA released</w:t>
      </w:r>
      <w:r>
        <w:rPr>
          <w:color w:val="1F4E79"/>
          <w:spacing w:val="-20"/>
          <w:sz w:val="22"/>
          <w:szCs w:val="22"/>
        </w:rPr>
        <w:t xml:space="preserve"> </w:t>
      </w:r>
      <w:r>
        <w:rPr>
          <w:color w:val="1F4E79"/>
          <w:sz w:val="22"/>
          <w:szCs w:val="22"/>
        </w:rPr>
        <w:t xml:space="preserve">a statement on 7/7/16 regarding this - </w:t>
      </w:r>
      <w:hyperlink r:id="rId556" w:history="1">
        <w:r>
          <w:rPr>
            <w:rFonts w:ascii="Calibri" w:hAnsi="Calibri" w:cs="Calibri"/>
            <w:color w:val="0000FF"/>
            <w:sz w:val="22"/>
            <w:szCs w:val="22"/>
            <w:u w:val="single"/>
          </w:rPr>
          <w:t xml:space="preserve">http://www.ama- </w:t>
        </w:r>
      </w:hyperlink>
      <w:hyperlink r:id="rId557" w:history="1">
        <w:r>
          <w:rPr>
            <w:rFonts w:ascii="Calibri" w:hAnsi="Calibri" w:cs="Calibri"/>
            <w:color w:val="0000FF"/>
            <w:sz w:val="22"/>
            <w:szCs w:val="22"/>
            <w:u w:val="single"/>
          </w:rPr>
          <w:t>assn.org/</w:t>
        </w:r>
        <w:proofErr w:type="spellStart"/>
        <w:r>
          <w:rPr>
            <w:rFonts w:ascii="Calibri" w:hAnsi="Calibri" w:cs="Calibri"/>
            <w:color w:val="0000FF"/>
            <w:sz w:val="22"/>
            <w:szCs w:val="22"/>
            <w:u w:val="single"/>
          </w:rPr>
          <w:t>ama</w:t>
        </w:r>
        <w:proofErr w:type="spellEnd"/>
        <w:r>
          <w:rPr>
            <w:rFonts w:ascii="Calibri" w:hAnsi="Calibri" w:cs="Calibri"/>
            <w:color w:val="0000FF"/>
            <w:sz w:val="22"/>
            <w:szCs w:val="22"/>
            <w:u w:val="single"/>
          </w:rPr>
          <w:t xml:space="preserve">/pub/news/news/2016/2016-07-07-preserve-independent- </w:t>
        </w:r>
      </w:hyperlink>
      <w:hyperlink r:id="rId558" w:history="1">
        <w:r>
          <w:rPr>
            <w:rFonts w:ascii="Calibri" w:hAnsi="Calibri" w:cs="Calibri"/>
            <w:color w:val="0000FF"/>
            <w:sz w:val="22"/>
            <w:szCs w:val="22"/>
            <w:u w:val="single"/>
          </w:rPr>
          <w:t>medical-</w:t>
        </w:r>
        <w:proofErr w:type="spellStart"/>
        <w:r>
          <w:rPr>
            <w:rFonts w:ascii="Calibri" w:hAnsi="Calibri" w:cs="Calibri"/>
            <w:color w:val="0000FF"/>
            <w:sz w:val="22"/>
            <w:szCs w:val="22"/>
            <w:u w:val="single"/>
          </w:rPr>
          <w:t>practices.page</w:t>
        </w:r>
        <w:proofErr w:type="spellEnd"/>
      </w:hyperlink>
    </w:p>
    <w:p w:rsidR="002C5025" w:rsidRDefault="002C5025">
      <w:pPr>
        <w:pStyle w:val="ListParagraph"/>
        <w:numPr>
          <w:ilvl w:val="2"/>
          <w:numId w:val="22"/>
        </w:numPr>
        <w:tabs>
          <w:tab w:val="left" w:pos="2132"/>
        </w:tabs>
        <w:kinsoku w:val="0"/>
        <w:overflowPunct w:val="0"/>
        <w:ind w:left="2280" w:right="521" w:hanging="360"/>
        <w:rPr>
          <w:rFonts w:ascii="Calibri" w:hAnsi="Calibri" w:cs="Calibri"/>
          <w:color w:val="1F4E79"/>
          <w:sz w:val="22"/>
          <w:szCs w:val="22"/>
        </w:rPr>
      </w:pPr>
      <w:r>
        <w:rPr>
          <w:rFonts w:ascii="Calibri" w:hAnsi="Calibri" w:cs="Calibri"/>
          <w:color w:val="1F4E79"/>
          <w:sz w:val="22"/>
          <w:szCs w:val="22"/>
        </w:rPr>
        <w:t>ER’s may steer patients back to the clinics as it won’t be profitable to see that patient</w:t>
      </w:r>
    </w:p>
    <w:p w:rsidR="002C5025" w:rsidRDefault="002C5025">
      <w:pPr>
        <w:pStyle w:val="BodyText"/>
        <w:kinsoku w:val="0"/>
        <w:overflowPunct w:val="0"/>
      </w:pPr>
    </w:p>
    <w:p w:rsidR="002C5025" w:rsidRDefault="002C5025">
      <w:pPr>
        <w:pStyle w:val="BodyText"/>
        <w:kinsoku w:val="0"/>
        <w:overflowPunct w:val="0"/>
        <w:ind w:left="119" w:right="188"/>
        <w:rPr>
          <w:color w:val="1F4E79"/>
        </w:rPr>
      </w:pPr>
      <w:r>
        <w:rPr>
          <w:color w:val="1F4E79"/>
        </w:rPr>
        <w:t>As a practice, we have always taken pride in the fact that we provide the same level of service to each and every patient, regardless of their ability to pay or the differing levels of reimbursements. Many primary practices have had to sell out to hospital systems in order to survive which in turn has been a factor in driving up health care costs. The remaining practices are in a similar situation as we, although may not have as many Medicaid patients. We only have a few options that are available to us at this point:</w:t>
      </w:r>
    </w:p>
    <w:p w:rsidR="002C5025" w:rsidRDefault="002C5025">
      <w:pPr>
        <w:pStyle w:val="BodyText"/>
        <w:kinsoku w:val="0"/>
        <w:overflowPunct w:val="0"/>
        <w:spacing w:before="8"/>
        <w:rPr>
          <w:sz w:val="20"/>
          <w:szCs w:val="20"/>
        </w:rPr>
      </w:pPr>
    </w:p>
    <w:p w:rsidR="002C5025" w:rsidRDefault="002C5025">
      <w:pPr>
        <w:pStyle w:val="ListParagraph"/>
        <w:numPr>
          <w:ilvl w:val="0"/>
          <w:numId w:val="21"/>
        </w:numPr>
        <w:tabs>
          <w:tab w:val="left" w:pos="934"/>
        </w:tabs>
        <w:kinsoku w:val="0"/>
        <w:overflowPunct w:val="0"/>
        <w:ind w:hanging="406"/>
        <w:rPr>
          <w:rFonts w:ascii="Calibri" w:hAnsi="Calibri" w:cs="Calibri"/>
          <w:color w:val="1F4E79"/>
          <w:sz w:val="22"/>
          <w:szCs w:val="22"/>
        </w:rPr>
      </w:pPr>
      <w:r>
        <w:rPr>
          <w:rFonts w:ascii="Calibri" w:hAnsi="Calibri" w:cs="Calibri"/>
          <w:color w:val="1F4E79"/>
          <w:sz w:val="22"/>
          <w:szCs w:val="22"/>
        </w:rPr>
        <w:t>Sell out to Partners or another hospital system (which will only increase health care</w:t>
      </w:r>
      <w:r>
        <w:rPr>
          <w:rFonts w:ascii="Calibri" w:hAnsi="Calibri" w:cs="Calibri"/>
          <w:color w:val="1F4E79"/>
          <w:spacing w:val="-33"/>
          <w:sz w:val="22"/>
          <w:szCs w:val="22"/>
        </w:rPr>
        <w:t xml:space="preserve"> </w:t>
      </w:r>
      <w:r>
        <w:rPr>
          <w:rFonts w:ascii="Calibri" w:hAnsi="Calibri" w:cs="Calibri"/>
          <w:color w:val="1F4E79"/>
          <w:sz w:val="22"/>
          <w:szCs w:val="22"/>
        </w:rPr>
        <w:t>costs)</w:t>
      </w:r>
    </w:p>
    <w:p w:rsidR="002C5025" w:rsidRDefault="002C5025">
      <w:pPr>
        <w:pStyle w:val="ListParagraph"/>
        <w:numPr>
          <w:ilvl w:val="0"/>
          <w:numId w:val="21"/>
        </w:numPr>
        <w:tabs>
          <w:tab w:val="left" w:pos="934"/>
        </w:tabs>
        <w:kinsoku w:val="0"/>
        <w:overflowPunct w:val="0"/>
        <w:ind w:right="296" w:hanging="405"/>
        <w:rPr>
          <w:rFonts w:ascii="Calibri" w:hAnsi="Calibri" w:cs="Calibri"/>
          <w:color w:val="1F4E79"/>
          <w:sz w:val="22"/>
          <w:szCs w:val="22"/>
        </w:rPr>
      </w:pPr>
      <w:r>
        <w:rPr>
          <w:rFonts w:ascii="Calibri" w:hAnsi="Calibri" w:cs="Calibri"/>
          <w:color w:val="1F4E79"/>
          <w:sz w:val="22"/>
          <w:szCs w:val="22"/>
        </w:rPr>
        <w:t>Providers</w:t>
      </w:r>
      <w:r>
        <w:rPr>
          <w:rFonts w:ascii="Calibri" w:hAnsi="Calibri" w:cs="Calibri"/>
          <w:color w:val="1F4E79"/>
          <w:spacing w:val="-3"/>
          <w:sz w:val="22"/>
          <w:szCs w:val="22"/>
        </w:rPr>
        <w:t xml:space="preserve"> </w:t>
      </w:r>
      <w:r>
        <w:rPr>
          <w:rFonts w:ascii="Calibri" w:hAnsi="Calibri" w:cs="Calibri"/>
          <w:color w:val="1F4E79"/>
          <w:sz w:val="22"/>
          <w:szCs w:val="22"/>
        </w:rPr>
        <w:t>will</w:t>
      </w:r>
      <w:r>
        <w:rPr>
          <w:rFonts w:ascii="Calibri" w:hAnsi="Calibri" w:cs="Calibri"/>
          <w:color w:val="1F4E79"/>
          <w:spacing w:val="-1"/>
          <w:sz w:val="22"/>
          <w:szCs w:val="22"/>
        </w:rPr>
        <w:t xml:space="preserve"> </w:t>
      </w:r>
      <w:r>
        <w:rPr>
          <w:rFonts w:ascii="Calibri" w:hAnsi="Calibri" w:cs="Calibri"/>
          <w:color w:val="1F4E79"/>
          <w:sz w:val="22"/>
          <w:szCs w:val="22"/>
        </w:rPr>
        <w:t>need</w:t>
      </w:r>
      <w:r>
        <w:rPr>
          <w:rFonts w:ascii="Calibri" w:hAnsi="Calibri" w:cs="Calibri"/>
          <w:color w:val="1F4E79"/>
          <w:spacing w:val="-4"/>
          <w:sz w:val="22"/>
          <w:szCs w:val="22"/>
        </w:rPr>
        <w:t xml:space="preserve"> </w:t>
      </w:r>
      <w:r>
        <w:rPr>
          <w:rFonts w:ascii="Calibri" w:hAnsi="Calibri" w:cs="Calibri"/>
          <w:color w:val="1F4E79"/>
          <w:sz w:val="22"/>
          <w:szCs w:val="22"/>
        </w:rPr>
        <w:t>to</w:t>
      </w:r>
      <w:r>
        <w:rPr>
          <w:rFonts w:ascii="Calibri" w:hAnsi="Calibri" w:cs="Calibri"/>
          <w:color w:val="1F4E79"/>
          <w:spacing w:val="-5"/>
          <w:sz w:val="22"/>
          <w:szCs w:val="22"/>
        </w:rPr>
        <w:t xml:space="preserve"> </w:t>
      </w:r>
      <w:r>
        <w:rPr>
          <w:rFonts w:ascii="Calibri" w:hAnsi="Calibri" w:cs="Calibri"/>
          <w:color w:val="1F4E79"/>
          <w:sz w:val="22"/>
          <w:szCs w:val="22"/>
        </w:rPr>
        <w:t>see</w:t>
      </w:r>
      <w:r>
        <w:rPr>
          <w:rFonts w:ascii="Calibri" w:hAnsi="Calibri" w:cs="Calibri"/>
          <w:color w:val="1F4E79"/>
          <w:spacing w:val="-3"/>
          <w:sz w:val="22"/>
          <w:szCs w:val="22"/>
        </w:rPr>
        <w:t xml:space="preserve"> </w:t>
      </w:r>
      <w:r>
        <w:rPr>
          <w:rFonts w:ascii="Calibri" w:hAnsi="Calibri" w:cs="Calibri"/>
          <w:color w:val="1F4E79"/>
          <w:sz w:val="22"/>
          <w:szCs w:val="22"/>
        </w:rPr>
        <w:t>5-6</w:t>
      </w:r>
      <w:r>
        <w:rPr>
          <w:rFonts w:ascii="Calibri" w:hAnsi="Calibri" w:cs="Calibri"/>
          <w:color w:val="1F4E79"/>
          <w:spacing w:val="-1"/>
          <w:sz w:val="22"/>
          <w:szCs w:val="22"/>
        </w:rPr>
        <w:t xml:space="preserve"> </w:t>
      </w:r>
      <w:r>
        <w:rPr>
          <w:rFonts w:ascii="Calibri" w:hAnsi="Calibri" w:cs="Calibri"/>
          <w:color w:val="1F4E79"/>
          <w:sz w:val="22"/>
          <w:szCs w:val="22"/>
        </w:rPr>
        <w:t>patients</w:t>
      </w:r>
      <w:r>
        <w:rPr>
          <w:rFonts w:ascii="Calibri" w:hAnsi="Calibri" w:cs="Calibri"/>
          <w:color w:val="1F4E79"/>
          <w:spacing w:val="-3"/>
          <w:sz w:val="22"/>
          <w:szCs w:val="22"/>
        </w:rPr>
        <w:t xml:space="preserve"> </w:t>
      </w:r>
      <w:r>
        <w:rPr>
          <w:rFonts w:ascii="Calibri" w:hAnsi="Calibri" w:cs="Calibri"/>
          <w:color w:val="1F4E79"/>
          <w:sz w:val="22"/>
          <w:szCs w:val="22"/>
        </w:rPr>
        <w:t>per</w:t>
      </w:r>
      <w:r>
        <w:rPr>
          <w:rFonts w:ascii="Calibri" w:hAnsi="Calibri" w:cs="Calibri"/>
          <w:color w:val="1F4E79"/>
          <w:spacing w:val="-1"/>
          <w:sz w:val="22"/>
          <w:szCs w:val="22"/>
        </w:rPr>
        <w:t xml:space="preserve"> </w:t>
      </w:r>
      <w:r>
        <w:rPr>
          <w:rFonts w:ascii="Calibri" w:hAnsi="Calibri" w:cs="Calibri"/>
          <w:color w:val="1F4E79"/>
          <w:sz w:val="22"/>
          <w:szCs w:val="22"/>
        </w:rPr>
        <w:t>hour</w:t>
      </w:r>
      <w:r>
        <w:rPr>
          <w:rFonts w:ascii="Calibri" w:hAnsi="Calibri" w:cs="Calibri"/>
          <w:color w:val="1F4E79"/>
          <w:spacing w:val="-1"/>
          <w:sz w:val="22"/>
          <w:szCs w:val="22"/>
        </w:rPr>
        <w:t xml:space="preserve"> </w:t>
      </w:r>
      <w:r>
        <w:rPr>
          <w:rFonts w:ascii="Calibri" w:hAnsi="Calibri" w:cs="Calibri"/>
          <w:color w:val="1F4E79"/>
          <w:sz w:val="22"/>
          <w:szCs w:val="22"/>
        </w:rPr>
        <w:t>and</w:t>
      </w:r>
      <w:r>
        <w:rPr>
          <w:rFonts w:ascii="Calibri" w:hAnsi="Calibri" w:cs="Calibri"/>
          <w:color w:val="1F4E79"/>
          <w:spacing w:val="-2"/>
          <w:sz w:val="22"/>
          <w:szCs w:val="22"/>
        </w:rPr>
        <w:t xml:space="preserve"> </w:t>
      </w:r>
      <w:r>
        <w:rPr>
          <w:rFonts w:ascii="Calibri" w:hAnsi="Calibri" w:cs="Calibri"/>
          <w:color w:val="1F4E79"/>
          <w:sz w:val="22"/>
          <w:szCs w:val="22"/>
        </w:rPr>
        <w:t>reduce</w:t>
      </w:r>
      <w:r>
        <w:rPr>
          <w:rFonts w:ascii="Calibri" w:hAnsi="Calibri" w:cs="Calibri"/>
          <w:color w:val="1F4E79"/>
          <w:spacing w:val="-1"/>
          <w:sz w:val="22"/>
          <w:szCs w:val="22"/>
        </w:rPr>
        <w:t xml:space="preserve"> </w:t>
      </w:r>
      <w:r>
        <w:rPr>
          <w:rFonts w:ascii="Calibri" w:hAnsi="Calibri" w:cs="Calibri"/>
          <w:color w:val="1F4E79"/>
          <w:sz w:val="22"/>
          <w:szCs w:val="22"/>
        </w:rPr>
        <w:t>the</w:t>
      </w:r>
      <w:r>
        <w:rPr>
          <w:rFonts w:ascii="Calibri" w:hAnsi="Calibri" w:cs="Calibri"/>
          <w:color w:val="1F4E79"/>
          <w:spacing w:val="-3"/>
          <w:sz w:val="22"/>
          <w:szCs w:val="22"/>
        </w:rPr>
        <w:t xml:space="preserve"> </w:t>
      </w:r>
      <w:r>
        <w:rPr>
          <w:rFonts w:ascii="Calibri" w:hAnsi="Calibri" w:cs="Calibri"/>
          <w:color w:val="1F4E79"/>
          <w:sz w:val="22"/>
          <w:szCs w:val="22"/>
        </w:rPr>
        <w:t>quality</w:t>
      </w:r>
      <w:r>
        <w:rPr>
          <w:rFonts w:ascii="Calibri" w:hAnsi="Calibri" w:cs="Calibri"/>
          <w:color w:val="1F4E79"/>
          <w:spacing w:val="-2"/>
          <w:sz w:val="22"/>
          <w:szCs w:val="22"/>
        </w:rPr>
        <w:t xml:space="preserve"> </w:t>
      </w:r>
      <w:r>
        <w:rPr>
          <w:rFonts w:ascii="Calibri" w:hAnsi="Calibri" w:cs="Calibri"/>
          <w:color w:val="1F4E79"/>
          <w:sz w:val="22"/>
          <w:szCs w:val="22"/>
        </w:rPr>
        <w:t>of</w:t>
      </w:r>
      <w:r>
        <w:rPr>
          <w:rFonts w:ascii="Calibri" w:hAnsi="Calibri" w:cs="Calibri"/>
          <w:color w:val="1F4E79"/>
          <w:spacing w:val="-3"/>
          <w:sz w:val="22"/>
          <w:szCs w:val="22"/>
        </w:rPr>
        <w:t xml:space="preserve"> </w:t>
      </w:r>
      <w:r>
        <w:rPr>
          <w:rFonts w:ascii="Calibri" w:hAnsi="Calibri" w:cs="Calibri"/>
          <w:color w:val="1F4E79"/>
          <w:sz w:val="22"/>
          <w:szCs w:val="22"/>
        </w:rPr>
        <w:t>care</w:t>
      </w:r>
      <w:r>
        <w:rPr>
          <w:rFonts w:ascii="Calibri" w:hAnsi="Calibri" w:cs="Calibri"/>
          <w:color w:val="1F4E79"/>
          <w:spacing w:val="-1"/>
          <w:sz w:val="22"/>
          <w:szCs w:val="22"/>
        </w:rPr>
        <w:t xml:space="preserve"> </w:t>
      </w:r>
      <w:r>
        <w:rPr>
          <w:rFonts w:ascii="Calibri" w:hAnsi="Calibri" w:cs="Calibri"/>
          <w:color w:val="1F4E79"/>
          <w:sz w:val="22"/>
          <w:szCs w:val="22"/>
        </w:rPr>
        <w:t>(which</w:t>
      </w:r>
      <w:r>
        <w:rPr>
          <w:rFonts w:ascii="Calibri" w:hAnsi="Calibri" w:cs="Calibri"/>
          <w:color w:val="1F4E79"/>
          <w:spacing w:val="-4"/>
          <w:sz w:val="22"/>
          <w:szCs w:val="22"/>
        </w:rPr>
        <w:t xml:space="preserve"> </w:t>
      </w:r>
      <w:r>
        <w:rPr>
          <w:rFonts w:ascii="Calibri" w:hAnsi="Calibri" w:cs="Calibri"/>
          <w:color w:val="1F4E79"/>
          <w:sz w:val="22"/>
          <w:szCs w:val="22"/>
        </w:rPr>
        <w:t>is</w:t>
      </w:r>
      <w:r>
        <w:rPr>
          <w:rFonts w:ascii="Calibri" w:hAnsi="Calibri" w:cs="Calibri"/>
          <w:color w:val="1F4E79"/>
          <w:spacing w:val="-1"/>
          <w:sz w:val="22"/>
          <w:szCs w:val="22"/>
        </w:rPr>
        <w:t xml:space="preserve"> </w:t>
      </w:r>
      <w:r>
        <w:rPr>
          <w:rFonts w:ascii="Calibri" w:hAnsi="Calibri" w:cs="Calibri"/>
          <w:color w:val="1F4E79"/>
          <w:sz w:val="22"/>
          <w:szCs w:val="22"/>
        </w:rPr>
        <w:t>really not an option for our</w:t>
      </w:r>
      <w:r>
        <w:rPr>
          <w:rFonts w:ascii="Calibri" w:hAnsi="Calibri" w:cs="Calibri"/>
          <w:color w:val="1F4E79"/>
          <w:spacing w:val="-7"/>
          <w:sz w:val="22"/>
          <w:szCs w:val="22"/>
        </w:rPr>
        <w:t xml:space="preserve"> </w:t>
      </w:r>
      <w:r>
        <w:rPr>
          <w:rFonts w:ascii="Calibri" w:hAnsi="Calibri" w:cs="Calibri"/>
          <w:color w:val="1F4E79"/>
          <w:sz w:val="22"/>
          <w:szCs w:val="22"/>
        </w:rPr>
        <w:t>practice)</w:t>
      </w:r>
    </w:p>
    <w:p w:rsidR="002C5025" w:rsidRDefault="002C5025">
      <w:pPr>
        <w:pStyle w:val="ListParagraph"/>
        <w:numPr>
          <w:ilvl w:val="0"/>
          <w:numId w:val="21"/>
        </w:numPr>
        <w:tabs>
          <w:tab w:val="left" w:pos="934"/>
        </w:tabs>
        <w:kinsoku w:val="0"/>
        <w:overflowPunct w:val="0"/>
        <w:ind w:right="251" w:hanging="406"/>
        <w:rPr>
          <w:rFonts w:ascii="Calibri" w:hAnsi="Calibri" w:cs="Calibri"/>
          <w:color w:val="1F4E79"/>
          <w:sz w:val="22"/>
          <w:szCs w:val="22"/>
        </w:rPr>
      </w:pPr>
      <w:r>
        <w:rPr>
          <w:rFonts w:ascii="Calibri" w:hAnsi="Calibri" w:cs="Calibri"/>
          <w:color w:val="1F4E79"/>
          <w:sz w:val="22"/>
          <w:szCs w:val="22"/>
        </w:rPr>
        <w:t>Stop taking Medicaid which will displace over 5,300+ children in the North Shore in an already crowded system (it will increase ER &amp; Urgent care</w:t>
      </w:r>
      <w:r>
        <w:rPr>
          <w:rFonts w:ascii="Calibri" w:hAnsi="Calibri" w:cs="Calibri"/>
          <w:color w:val="1F4E79"/>
          <w:spacing w:val="-24"/>
          <w:sz w:val="22"/>
          <w:szCs w:val="22"/>
        </w:rPr>
        <w:t xml:space="preserve"> </w:t>
      </w:r>
      <w:r>
        <w:rPr>
          <w:rFonts w:ascii="Calibri" w:hAnsi="Calibri" w:cs="Calibri"/>
          <w:color w:val="1F4E79"/>
          <w:sz w:val="22"/>
          <w:szCs w:val="22"/>
        </w:rPr>
        <w:t>visits)</w:t>
      </w:r>
    </w:p>
    <w:p w:rsidR="002C5025" w:rsidRDefault="002C5025">
      <w:pPr>
        <w:pStyle w:val="BodyText"/>
        <w:kinsoku w:val="0"/>
        <w:overflowPunct w:val="0"/>
        <w:ind w:left="885" w:right="438"/>
        <w:rPr>
          <w:color w:val="1F4E79"/>
        </w:rPr>
      </w:pPr>
      <w:r>
        <w:rPr>
          <w:color w:val="1F4E79"/>
        </w:rPr>
        <w:t>If we stop accepting new Medicaid patients to our existing panel we will still be struggling to survive.</w:t>
      </w:r>
    </w:p>
    <w:p w:rsidR="002C5025" w:rsidRDefault="002C5025">
      <w:pPr>
        <w:pStyle w:val="ListParagraph"/>
        <w:numPr>
          <w:ilvl w:val="0"/>
          <w:numId w:val="21"/>
        </w:numPr>
        <w:tabs>
          <w:tab w:val="left" w:pos="934"/>
        </w:tabs>
        <w:kinsoku w:val="0"/>
        <w:overflowPunct w:val="0"/>
        <w:ind w:right="360" w:hanging="405"/>
        <w:rPr>
          <w:rFonts w:ascii="Calibri" w:hAnsi="Calibri" w:cs="Calibri"/>
          <w:color w:val="1F4E79"/>
          <w:sz w:val="22"/>
          <w:szCs w:val="22"/>
        </w:rPr>
      </w:pPr>
      <w:r>
        <w:rPr>
          <w:rFonts w:ascii="Calibri" w:hAnsi="Calibri" w:cs="Calibri"/>
          <w:color w:val="1F4E79"/>
          <w:sz w:val="22"/>
          <w:szCs w:val="22"/>
        </w:rPr>
        <w:t>Push to encourage the state or federal government to increase reimbursements to Medicare levels like we saw in 2014 &amp; 2015. Reimbursement should be equal for adults and</w:t>
      </w:r>
      <w:r>
        <w:rPr>
          <w:rFonts w:ascii="Calibri" w:hAnsi="Calibri" w:cs="Calibri"/>
          <w:color w:val="1F4E79"/>
          <w:spacing w:val="15"/>
          <w:sz w:val="22"/>
          <w:szCs w:val="22"/>
        </w:rPr>
        <w:t xml:space="preserve"> </w:t>
      </w:r>
      <w:r>
        <w:rPr>
          <w:rFonts w:ascii="Calibri" w:hAnsi="Calibri" w:cs="Calibri"/>
          <w:color w:val="1F4E79"/>
          <w:sz w:val="22"/>
          <w:szCs w:val="22"/>
        </w:rPr>
        <w:t>children.</w:t>
      </w:r>
    </w:p>
    <w:p w:rsidR="002C5025" w:rsidRDefault="002C5025">
      <w:pPr>
        <w:pStyle w:val="BodyText"/>
        <w:kinsoku w:val="0"/>
        <w:overflowPunct w:val="0"/>
        <w:spacing w:before="8"/>
        <w:rPr>
          <w:sz w:val="20"/>
          <w:szCs w:val="20"/>
        </w:rPr>
      </w:pPr>
    </w:p>
    <w:p w:rsidR="002C5025" w:rsidRDefault="002C5025">
      <w:pPr>
        <w:pStyle w:val="BodyText"/>
        <w:kinsoku w:val="0"/>
        <w:overflowPunct w:val="0"/>
        <w:ind w:left="119" w:right="105"/>
        <w:rPr>
          <w:color w:val="1F4E79"/>
        </w:rPr>
      </w:pPr>
      <w:r>
        <w:rPr>
          <w:color w:val="1F4E79"/>
        </w:rPr>
        <w:t>How can primary care providers be held accountable for a population who tend to have more health care issues, are non-compliant with their care, or the system itself has no incentive to keep these patients from inappropriate and over use of the system? I urge you to take another look at what is proposed; this model will ultimately force private practices out of business, ultimately causing additional increase health care costs.</w:t>
      </w:r>
    </w:p>
    <w:p w:rsidR="002C5025" w:rsidRDefault="002C5025">
      <w:pPr>
        <w:pStyle w:val="BodyText"/>
        <w:kinsoku w:val="0"/>
        <w:overflowPunct w:val="0"/>
        <w:spacing w:before="10"/>
        <w:rPr>
          <w:sz w:val="20"/>
          <w:szCs w:val="20"/>
        </w:rPr>
      </w:pPr>
    </w:p>
    <w:p w:rsidR="002C5025" w:rsidRDefault="002C5025">
      <w:pPr>
        <w:pStyle w:val="BodyText"/>
        <w:kinsoku w:val="0"/>
        <w:overflowPunct w:val="0"/>
        <w:spacing w:line="465" w:lineRule="auto"/>
        <w:ind w:left="119" w:right="7330"/>
        <w:rPr>
          <w:color w:val="1F4E79"/>
        </w:rPr>
      </w:pPr>
      <w:r>
        <w:rPr>
          <w:color w:val="1F4E79"/>
        </w:rPr>
        <w:t>Respectfully submitted, Mark McKenna</w:t>
      </w:r>
    </w:p>
    <w:p w:rsidR="002C5025" w:rsidRDefault="002C5025">
      <w:pPr>
        <w:pStyle w:val="BodyText"/>
        <w:kinsoku w:val="0"/>
        <w:overflowPunct w:val="0"/>
        <w:spacing w:before="16"/>
        <w:ind w:left="119" w:right="296"/>
        <w:rPr>
          <w:b/>
          <w:bCs/>
          <w:color w:val="1F4E79"/>
        </w:rPr>
      </w:pPr>
      <w:r>
        <w:rPr>
          <w:b/>
          <w:bCs/>
          <w:color w:val="1F4E79"/>
        </w:rPr>
        <w:t>Mark W. McKenna</w:t>
      </w:r>
    </w:p>
    <w:p w:rsidR="002C5025" w:rsidRDefault="002C5025">
      <w:pPr>
        <w:pStyle w:val="BodyText"/>
        <w:kinsoku w:val="0"/>
        <w:overflowPunct w:val="0"/>
        <w:ind w:left="119" w:right="296"/>
        <w:rPr>
          <w:i/>
          <w:iCs/>
          <w:color w:val="1F4E79"/>
        </w:rPr>
      </w:pPr>
      <w:r>
        <w:rPr>
          <w:i/>
          <w:iCs/>
          <w:color w:val="1F4E79"/>
        </w:rPr>
        <w:t>Chief Financial Officer</w:t>
      </w:r>
    </w:p>
    <w:p w:rsidR="002C5025" w:rsidRDefault="002C5025">
      <w:pPr>
        <w:pStyle w:val="BodyText"/>
        <w:kinsoku w:val="0"/>
        <w:overflowPunct w:val="0"/>
        <w:ind w:left="119" w:right="5735"/>
        <w:rPr>
          <w:color w:val="1F4E79"/>
        </w:rPr>
      </w:pPr>
      <w:r>
        <w:rPr>
          <w:color w:val="1F4E79"/>
        </w:rPr>
        <w:t>Pediatric Associates of Greater Salem Inc. 84 Highland Ave</w:t>
      </w:r>
    </w:p>
    <w:p w:rsidR="002C5025" w:rsidRDefault="002C5025">
      <w:pPr>
        <w:pStyle w:val="BodyText"/>
        <w:kinsoku w:val="0"/>
        <w:overflowPunct w:val="0"/>
        <w:spacing w:line="267" w:lineRule="exact"/>
        <w:ind w:left="119" w:right="296"/>
        <w:rPr>
          <w:color w:val="1F4E79"/>
        </w:rPr>
      </w:pPr>
      <w:r>
        <w:rPr>
          <w:color w:val="1F4E79"/>
        </w:rPr>
        <w:t>Salem, MA 01970</w:t>
      </w:r>
    </w:p>
    <w:p w:rsidR="002C5025" w:rsidRDefault="002C5025">
      <w:pPr>
        <w:pStyle w:val="BodyText"/>
        <w:kinsoku w:val="0"/>
        <w:overflowPunct w:val="0"/>
        <w:ind w:left="119" w:right="296"/>
        <w:rPr>
          <w:rFonts w:ascii="Verdana" w:hAnsi="Verdana" w:cs="Verdana"/>
          <w:color w:val="1F4E79"/>
        </w:rPr>
      </w:pPr>
      <w:r>
        <w:rPr>
          <w:rFonts w:ascii="Wingdings" w:hAnsi="Wingdings" w:cs="Wingdings"/>
          <w:color w:val="1F4E79"/>
        </w:rPr>
        <w:t></w:t>
      </w:r>
      <w:r>
        <w:rPr>
          <w:rFonts w:ascii="Times New Roman" w:hAnsi="Times New Roman" w:cs="Times New Roman"/>
          <w:color w:val="1F4E79"/>
        </w:rPr>
        <w:t xml:space="preserve"> </w:t>
      </w:r>
      <w:r>
        <w:rPr>
          <w:rFonts w:ascii="Verdana" w:hAnsi="Verdana" w:cs="Verdana"/>
          <w:color w:val="1F4E79"/>
        </w:rPr>
        <w:t>Phone: 978-745-3050</w:t>
      </w:r>
    </w:p>
    <w:p w:rsidR="002C5025" w:rsidRDefault="002C5025">
      <w:pPr>
        <w:pStyle w:val="BodyText"/>
        <w:kinsoku w:val="0"/>
        <w:overflowPunct w:val="0"/>
        <w:spacing w:before="1"/>
        <w:ind w:left="119" w:right="296"/>
        <w:rPr>
          <w:rFonts w:ascii="Verdana" w:hAnsi="Verdana" w:cs="Verdana"/>
          <w:color w:val="1F4E79"/>
        </w:rPr>
      </w:pPr>
      <w:r>
        <w:rPr>
          <w:rFonts w:ascii="Wingdings" w:hAnsi="Wingdings" w:cs="Wingdings"/>
          <w:color w:val="1F4E79"/>
        </w:rPr>
        <w:t></w:t>
      </w:r>
      <w:r>
        <w:rPr>
          <w:rFonts w:ascii="Times New Roman" w:hAnsi="Times New Roman" w:cs="Times New Roman"/>
          <w:color w:val="1F4E79"/>
        </w:rPr>
        <w:t xml:space="preserve"> </w:t>
      </w:r>
      <w:r>
        <w:rPr>
          <w:rFonts w:ascii="Verdana" w:hAnsi="Verdana" w:cs="Verdana"/>
          <w:color w:val="1F4E79"/>
        </w:rPr>
        <w:t xml:space="preserve">Email: </w:t>
      </w:r>
      <w:hyperlink r:id="rId559" w:history="1">
        <w:r>
          <w:rPr>
            <w:rFonts w:ascii="Verdana" w:hAnsi="Verdana" w:cs="Verdana"/>
            <w:color w:val="1F4E79"/>
            <w:u w:val="single"/>
          </w:rPr>
          <w:t>mmckenna@pags.com</w:t>
        </w:r>
      </w:hyperlink>
    </w:p>
    <w:p w:rsidR="002C5025" w:rsidRDefault="002C5025">
      <w:pPr>
        <w:pStyle w:val="BodyText"/>
        <w:kinsoku w:val="0"/>
        <w:overflowPunct w:val="0"/>
        <w:spacing w:before="1"/>
        <w:ind w:left="119" w:right="296"/>
        <w:rPr>
          <w:rFonts w:ascii="Verdana" w:hAnsi="Verdana" w:cs="Verdana"/>
          <w:color w:val="1F4E79"/>
        </w:rPr>
        <w:sectPr w:rsidR="002C5025">
          <w:pgSz w:w="12240" w:h="15840"/>
          <w:pgMar w:top="1400" w:right="1340" w:bottom="280" w:left="1320" w:header="720" w:footer="720" w:gutter="0"/>
          <w:cols w:space="720" w:equalWidth="0">
            <w:col w:w="9580"/>
          </w:cols>
          <w:noEndnote/>
        </w:sectPr>
      </w:pPr>
    </w:p>
    <w:p w:rsidR="002C5025" w:rsidRDefault="00FB027C">
      <w:pPr>
        <w:pStyle w:val="BodyText"/>
        <w:kinsoku w:val="0"/>
        <w:overflowPunct w:val="0"/>
        <w:ind w:left="4076"/>
        <w:rPr>
          <w:rFonts w:ascii="Verdana" w:hAnsi="Verdana" w:cs="Verdana"/>
          <w:sz w:val="20"/>
          <w:szCs w:val="20"/>
        </w:rPr>
      </w:pPr>
      <w:r>
        <w:rPr>
          <w:rFonts w:ascii="Verdana" w:hAnsi="Verdana" w:cs="Verdana"/>
          <w:noProof/>
          <w:sz w:val="20"/>
          <w:szCs w:val="20"/>
        </w:rPr>
        <w:lastRenderedPageBreak/>
        <w:drawing>
          <wp:inline distT="0" distB="0" distL="0" distR="0">
            <wp:extent cx="819150" cy="1028700"/>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560">
                      <a:extLst>
                        <a:ext uri="{28A0092B-C50C-407E-A947-70E740481C1C}">
                          <a14:useLocalDpi xmlns:a14="http://schemas.microsoft.com/office/drawing/2010/main" val="0"/>
                        </a:ext>
                      </a:extLst>
                    </a:blip>
                    <a:srcRect/>
                    <a:stretch>
                      <a:fillRect/>
                    </a:stretch>
                  </pic:blipFill>
                  <pic:spPr bwMode="auto">
                    <a:xfrm>
                      <a:off x="0" y="0"/>
                      <a:ext cx="819150" cy="1028700"/>
                    </a:xfrm>
                    <a:prstGeom prst="rect">
                      <a:avLst/>
                    </a:prstGeom>
                    <a:noFill/>
                    <a:ln>
                      <a:noFill/>
                    </a:ln>
                  </pic:spPr>
                </pic:pic>
              </a:graphicData>
            </a:graphic>
          </wp:inline>
        </w:drawing>
      </w:r>
    </w:p>
    <w:p w:rsidR="002C5025" w:rsidRDefault="002C5025">
      <w:pPr>
        <w:pStyle w:val="BodyText"/>
        <w:kinsoku w:val="0"/>
        <w:overflowPunct w:val="0"/>
        <w:spacing w:before="98"/>
        <w:ind w:left="3236" w:right="3071"/>
        <w:jc w:val="center"/>
        <w:rPr>
          <w:rFonts w:ascii="Arial" w:hAnsi="Arial" w:cs="Arial"/>
          <w:b/>
          <w:bCs/>
          <w:sz w:val="42"/>
          <w:szCs w:val="42"/>
        </w:rPr>
      </w:pPr>
      <w:bookmarkStart w:id="251" w:name="Pine_Street_Inn_comments_06.24.2016_DUPL"/>
      <w:bookmarkEnd w:id="251"/>
      <w:r>
        <w:rPr>
          <w:rFonts w:ascii="Arial" w:hAnsi="Arial" w:cs="Arial"/>
          <w:b/>
          <w:bCs/>
          <w:sz w:val="42"/>
          <w:szCs w:val="42"/>
        </w:rPr>
        <w:t>Pine Street</w:t>
      </w:r>
      <w:r>
        <w:rPr>
          <w:rFonts w:ascii="Arial" w:hAnsi="Arial" w:cs="Arial"/>
          <w:b/>
          <w:bCs/>
          <w:spacing w:val="91"/>
          <w:sz w:val="42"/>
          <w:szCs w:val="42"/>
        </w:rPr>
        <w:t xml:space="preserve"> </w:t>
      </w:r>
      <w:r>
        <w:rPr>
          <w:rFonts w:ascii="Arial" w:hAnsi="Arial" w:cs="Arial"/>
          <w:b/>
          <w:bCs/>
          <w:sz w:val="42"/>
          <w:szCs w:val="42"/>
        </w:rPr>
        <w:t>Inn</w:t>
      </w:r>
    </w:p>
    <w:p w:rsidR="002C5025" w:rsidRDefault="002C5025">
      <w:pPr>
        <w:pStyle w:val="BodyText"/>
        <w:kinsoku w:val="0"/>
        <w:overflowPunct w:val="0"/>
        <w:spacing w:before="4"/>
        <w:ind w:left="3183" w:right="3071"/>
        <w:jc w:val="center"/>
        <w:rPr>
          <w:rFonts w:ascii="Arial" w:hAnsi="Arial" w:cs="Arial"/>
          <w:w w:val="115"/>
          <w:sz w:val="19"/>
          <w:szCs w:val="19"/>
        </w:rPr>
      </w:pPr>
      <w:r>
        <w:rPr>
          <w:rFonts w:ascii="Arial" w:hAnsi="Arial" w:cs="Arial"/>
          <w:w w:val="115"/>
          <w:sz w:val="19"/>
          <w:szCs w:val="19"/>
        </w:rPr>
        <w:t>Ending Homelessness</w:t>
      </w:r>
    </w:p>
    <w:p w:rsidR="002C5025" w:rsidRDefault="002C5025">
      <w:pPr>
        <w:pStyle w:val="BodyText"/>
        <w:kinsoku w:val="0"/>
        <w:overflowPunct w:val="0"/>
        <w:spacing w:before="11"/>
        <w:rPr>
          <w:rFonts w:ascii="Arial" w:hAnsi="Arial" w:cs="Arial"/>
          <w:sz w:val="26"/>
          <w:szCs w:val="26"/>
        </w:rPr>
      </w:pPr>
    </w:p>
    <w:p w:rsidR="002C5025" w:rsidRDefault="002C5025">
      <w:pPr>
        <w:pStyle w:val="BodyText"/>
        <w:kinsoku w:val="0"/>
        <w:overflowPunct w:val="0"/>
        <w:spacing w:line="290" w:lineRule="auto"/>
        <w:ind w:left="1187" w:right="1099" w:firstLine="554"/>
        <w:rPr>
          <w:rFonts w:ascii="Arial" w:hAnsi="Arial" w:cs="Arial"/>
          <w:sz w:val="21"/>
          <w:szCs w:val="21"/>
        </w:rPr>
      </w:pPr>
      <w:r>
        <w:rPr>
          <w:rFonts w:ascii="Arial" w:hAnsi="Arial" w:cs="Arial"/>
          <w:sz w:val="21"/>
          <w:szCs w:val="21"/>
        </w:rPr>
        <w:t>Comments: MassHealth Public Stakeholder Listening Sessions Section 1115 Demonstration  Project Amendment and Extension Request</w:t>
      </w:r>
    </w:p>
    <w:p w:rsidR="002C5025" w:rsidRDefault="002C5025">
      <w:pPr>
        <w:pStyle w:val="BodyText"/>
        <w:kinsoku w:val="0"/>
        <w:overflowPunct w:val="0"/>
        <w:spacing w:before="7"/>
        <w:ind w:left="3174" w:right="3071"/>
        <w:jc w:val="center"/>
        <w:rPr>
          <w:rFonts w:ascii="Arial" w:hAnsi="Arial" w:cs="Arial"/>
          <w:w w:val="110"/>
          <w:sz w:val="21"/>
          <w:szCs w:val="21"/>
        </w:rPr>
      </w:pPr>
      <w:r>
        <w:rPr>
          <w:rFonts w:ascii="Arial" w:hAnsi="Arial" w:cs="Arial"/>
          <w:w w:val="110"/>
          <w:sz w:val="21"/>
          <w:szCs w:val="21"/>
        </w:rPr>
        <w:t>June 24, 2016</w:t>
      </w: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133" w:line="336" w:lineRule="auto"/>
        <w:ind w:left="131" w:right="98" w:firstLine="12"/>
        <w:rPr>
          <w:rFonts w:ascii="Arial" w:hAnsi="Arial" w:cs="Arial"/>
          <w:w w:val="105"/>
          <w:sz w:val="21"/>
          <w:szCs w:val="21"/>
        </w:rPr>
      </w:pPr>
      <w:r>
        <w:rPr>
          <w:rFonts w:ascii="Arial" w:hAnsi="Arial" w:cs="Arial"/>
          <w:w w:val="105"/>
          <w:sz w:val="21"/>
          <w:szCs w:val="21"/>
        </w:rPr>
        <w:t>I am here today to speak to the needs of homeless individuals and how the systems that currently serve and support them can be integrated into the delivery system reform model you are proposing.</w:t>
      </w:r>
    </w:p>
    <w:p w:rsidR="002C5025" w:rsidRDefault="002C5025">
      <w:pPr>
        <w:pStyle w:val="BodyText"/>
        <w:kinsoku w:val="0"/>
        <w:overflowPunct w:val="0"/>
        <w:spacing w:before="4"/>
        <w:rPr>
          <w:rFonts w:ascii="Arial" w:hAnsi="Arial" w:cs="Arial"/>
          <w:sz w:val="17"/>
          <w:szCs w:val="17"/>
        </w:rPr>
      </w:pPr>
    </w:p>
    <w:p w:rsidR="002C5025" w:rsidRDefault="002C5025">
      <w:pPr>
        <w:pStyle w:val="BodyText"/>
        <w:kinsoku w:val="0"/>
        <w:overflowPunct w:val="0"/>
        <w:spacing w:line="336" w:lineRule="auto"/>
        <w:ind w:left="101" w:right="100" w:firstLine="19"/>
        <w:rPr>
          <w:rFonts w:ascii="Arial" w:hAnsi="Arial" w:cs="Arial"/>
          <w:w w:val="105"/>
          <w:sz w:val="21"/>
          <w:szCs w:val="21"/>
        </w:rPr>
      </w:pPr>
      <w:r>
        <w:rPr>
          <w:rFonts w:ascii="Arial" w:hAnsi="Arial" w:cs="Arial"/>
          <w:w w:val="105"/>
          <w:sz w:val="21"/>
          <w:szCs w:val="21"/>
        </w:rPr>
        <w:t xml:space="preserve">At Pine Street Inn, we have </w:t>
      </w:r>
      <w:r>
        <w:rPr>
          <w:rFonts w:ascii="Arial" w:hAnsi="Arial" w:cs="Arial"/>
          <w:spacing w:val="-9"/>
          <w:w w:val="105"/>
          <w:sz w:val="21"/>
          <w:szCs w:val="21"/>
        </w:rPr>
        <w:t xml:space="preserve">10,000 </w:t>
      </w:r>
      <w:r>
        <w:rPr>
          <w:rFonts w:ascii="Arial" w:hAnsi="Arial" w:cs="Arial"/>
          <w:w w:val="105"/>
          <w:sz w:val="21"/>
          <w:szCs w:val="21"/>
        </w:rPr>
        <w:t xml:space="preserve">homeless men and women coming to us each year. </w:t>
      </w:r>
      <w:r>
        <w:rPr>
          <w:rFonts w:ascii="Arial" w:hAnsi="Arial" w:cs="Arial"/>
          <w:spacing w:val="4"/>
          <w:w w:val="105"/>
          <w:sz w:val="21"/>
          <w:szCs w:val="21"/>
        </w:rPr>
        <w:t xml:space="preserve">We </w:t>
      </w:r>
      <w:r>
        <w:rPr>
          <w:rFonts w:ascii="Arial" w:hAnsi="Arial" w:cs="Arial"/>
          <w:w w:val="105"/>
          <w:sz w:val="21"/>
          <w:szCs w:val="21"/>
        </w:rPr>
        <w:t>estimate</w:t>
      </w:r>
      <w:r>
        <w:rPr>
          <w:rFonts w:ascii="Arial" w:hAnsi="Arial" w:cs="Arial"/>
          <w:spacing w:val="-18"/>
          <w:w w:val="105"/>
          <w:sz w:val="21"/>
          <w:szCs w:val="21"/>
        </w:rPr>
        <w:t xml:space="preserve"> </w:t>
      </w:r>
      <w:r>
        <w:rPr>
          <w:rFonts w:ascii="Arial" w:hAnsi="Arial" w:cs="Arial"/>
          <w:w w:val="105"/>
          <w:sz w:val="21"/>
          <w:szCs w:val="21"/>
        </w:rPr>
        <w:t>about</w:t>
      </w:r>
      <w:r>
        <w:rPr>
          <w:rFonts w:ascii="Arial" w:hAnsi="Arial" w:cs="Arial"/>
          <w:spacing w:val="-15"/>
          <w:w w:val="105"/>
          <w:sz w:val="21"/>
          <w:szCs w:val="21"/>
        </w:rPr>
        <w:t xml:space="preserve"> </w:t>
      </w:r>
      <w:r>
        <w:rPr>
          <w:rFonts w:ascii="Arial" w:hAnsi="Arial" w:cs="Arial"/>
          <w:w w:val="105"/>
          <w:sz w:val="21"/>
          <w:szCs w:val="21"/>
        </w:rPr>
        <w:t>70%</w:t>
      </w:r>
      <w:r>
        <w:rPr>
          <w:rFonts w:ascii="Arial" w:hAnsi="Arial" w:cs="Arial"/>
          <w:spacing w:val="-33"/>
          <w:w w:val="105"/>
          <w:sz w:val="21"/>
          <w:szCs w:val="21"/>
        </w:rPr>
        <w:t xml:space="preserve"> </w:t>
      </w:r>
      <w:r>
        <w:rPr>
          <w:rFonts w:ascii="Arial" w:hAnsi="Arial" w:cs="Arial"/>
          <w:w w:val="105"/>
          <w:sz w:val="21"/>
          <w:szCs w:val="21"/>
        </w:rPr>
        <w:t>them</w:t>
      </w:r>
      <w:r>
        <w:rPr>
          <w:rFonts w:ascii="Arial" w:hAnsi="Arial" w:cs="Arial"/>
          <w:spacing w:val="-9"/>
          <w:w w:val="105"/>
          <w:sz w:val="21"/>
          <w:szCs w:val="21"/>
        </w:rPr>
        <w:t xml:space="preserve"> </w:t>
      </w:r>
      <w:r>
        <w:rPr>
          <w:rFonts w:ascii="Arial" w:hAnsi="Arial" w:cs="Arial"/>
          <w:w w:val="105"/>
          <w:sz w:val="21"/>
          <w:szCs w:val="21"/>
        </w:rPr>
        <w:t>are</w:t>
      </w:r>
      <w:r>
        <w:rPr>
          <w:rFonts w:ascii="Arial" w:hAnsi="Arial" w:cs="Arial"/>
          <w:spacing w:val="-18"/>
          <w:w w:val="105"/>
          <w:sz w:val="21"/>
          <w:szCs w:val="21"/>
        </w:rPr>
        <w:t xml:space="preserve"> </w:t>
      </w:r>
      <w:r>
        <w:rPr>
          <w:rFonts w:ascii="Arial" w:hAnsi="Arial" w:cs="Arial"/>
          <w:w w:val="105"/>
          <w:sz w:val="21"/>
          <w:szCs w:val="21"/>
        </w:rPr>
        <w:t>MassHealth</w:t>
      </w:r>
      <w:r>
        <w:rPr>
          <w:rFonts w:ascii="Arial" w:hAnsi="Arial" w:cs="Arial"/>
          <w:spacing w:val="-11"/>
          <w:w w:val="105"/>
          <w:sz w:val="21"/>
          <w:szCs w:val="21"/>
        </w:rPr>
        <w:t xml:space="preserve"> </w:t>
      </w:r>
      <w:r>
        <w:rPr>
          <w:rFonts w:ascii="Arial" w:hAnsi="Arial" w:cs="Arial"/>
          <w:w w:val="105"/>
          <w:sz w:val="21"/>
          <w:szCs w:val="21"/>
        </w:rPr>
        <w:t>members</w:t>
      </w:r>
      <w:r>
        <w:rPr>
          <w:rFonts w:ascii="Arial" w:hAnsi="Arial" w:cs="Arial"/>
          <w:spacing w:val="-18"/>
          <w:w w:val="105"/>
          <w:sz w:val="21"/>
          <w:szCs w:val="21"/>
        </w:rPr>
        <w:t xml:space="preserve"> </w:t>
      </w:r>
      <w:r>
        <w:rPr>
          <w:rFonts w:ascii="Arial" w:hAnsi="Arial" w:cs="Arial"/>
          <w:w w:val="105"/>
          <w:sz w:val="21"/>
          <w:szCs w:val="21"/>
        </w:rPr>
        <w:t>and</w:t>
      </w:r>
      <w:r>
        <w:rPr>
          <w:rFonts w:ascii="Arial" w:hAnsi="Arial" w:cs="Arial"/>
          <w:spacing w:val="-28"/>
          <w:w w:val="105"/>
          <w:sz w:val="21"/>
          <w:szCs w:val="21"/>
        </w:rPr>
        <w:t xml:space="preserve"> </w:t>
      </w:r>
      <w:r>
        <w:rPr>
          <w:rFonts w:ascii="Arial" w:hAnsi="Arial" w:cs="Arial"/>
          <w:w w:val="105"/>
          <w:sz w:val="21"/>
          <w:szCs w:val="21"/>
        </w:rPr>
        <w:t>the</w:t>
      </w:r>
      <w:r>
        <w:rPr>
          <w:rFonts w:ascii="Arial" w:hAnsi="Arial" w:cs="Arial"/>
          <w:spacing w:val="-15"/>
          <w:w w:val="105"/>
          <w:sz w:val="21"/>
          <w:szCs w:val="21"/>
        </w:rPr>
        <w:t xml:space="preserve"> </w:t>
      </w:r>
      <w:r>
        <w:rPr>
          <w:rFonts w:ascii="Arial" w:hAnsi="Arial" w:cs="Arial"/>
          <w:w w:val="105"/>
          <w:sz w:val="21"/>
          <w:szCs w:val="21"/>
        </w:rPr>
        <w:t>remaining</w:t>
      </w:r>
      <w:r>
        <w:rPr>
          <w:rFonts w:ascii="Arial" w:hAnsi="Arial" w:cs="Arial"/>
          <w:spacing w:val="-24"/>
          <w:w w:val="105"/>
          <w:sz w:val="21"/>
          <w:szCs w:val="21"/>
        </w:rPr>
        <w:t xml:space="preserve"> </w:t>
      </w:r>
      <w:r>
        <w:rPr>
          <w:rFonts w:ascii="Arial" w:hAnsi="Arial" w:cs="Arial"/>
          <w:w w:val="105"/>
          <w:sz w:val="21"/>
          <w:szCs w:val="21"/>
        </w:rPr>
        <w:t>are</w:t>
      </w:r>
      <w:r>
        <w:rPr>
          <w:rFonts w:ascii="Arial" w:hAnsi="Arial" w:cs="Arial"/>
          <w:spacing w:val="-15"/>
          <w:w w:val="105"/>
          <w:sz w:val="21"/>
          <w:szCs w:val="21"/>
        </w:rPr>
        <w:t xml:space="preserve"> </w:t>
      </w:r>
      <w:r>
        <w:rPr>
          <w:rFonts w:ascii="Arial" w:hAnsi="Arial" w:cs="Arial"/>
          <w:w w:val="105"/>
          <w:sz w:val="21"/>
          <w:szCs w:val="21"/>
        </w:rPr>
        <w:t>uninsured</w:t>
      </w:r>
      <w:r>
        <w:rPr>
          <w:rFonts w:ascii="Arial" w:hAnsi="Arial" w:cs="Arial"/>
          <w:spacing w:val="-18"/>
          <w:w w:val="105"/>
          <w:sz w:val="21"/>
          <w:szCs w:val="21"/>
        </w:rPr>
        <w:t xml:space="preserve"> </w:t>
      </w:r>
      <w:r>
        <w:rPr>
          <w:rFonts w:ascii="Arial" w:hAnsi="Arial" w:cs="Arial"/>
          <w:w w:val="105"/>
          <w:sz w:val="21"/>
          <w:szCs w:val="21"/>
        </w:rPr>
        <w:t>and</w:t>
      </w:r>
      <w:r>
        <w:rPr>
          <w:rFonts w:ascii="Arial" w:hAnsi="Arial" w:cs="Arial"/>
          <w:spacing w:val="-15"/>
          <w:w w:val="105"/>
          <w:sz w:val="21"/>
          <w:szCs w:val="21"/>
        </w:rPr>
        <w:t xml:space="preserve"> </w:t>
      </w:r>
      <w:r>
        <w:rPr>
          <w:rFonts w:ascii="Arial" w:hAnsi="Arial" w:cs="Arial"/>
          <w:w w:val="105"/>
          <w:sz w:val="21"/>
          <w:szCs w:val="21"/>
        </w:rPr>
        <w:t xml:space="preserve">users of the  safety net  at hospitals and community centers.   We know who they are.  We know how </w:t>
      </w:r>
      <w:r>
        <w:rPr>
          <w:rFonts w:ascii="Arial" w:hAnsi="Arial" w:cs="Arial"/>
          <w:spacing w:val="-4"/>
          <w:w w:val="105"/>
          <w:sz w:val="21"/>
          <w:szCs w:val="21"/>
        </w:rPr>
        <w:t xml:space="preserve">long </w:t>
      </w:r>
      <w:r>
        <w:rPr>
          <w:rFonts w:ascii="Arial" w:hAnsi="Arial" w:cs="Arial"/>
          <w:w w:val="105"/>
          <w:sz w:val="21"/>
          <w:szCs w:val="21"/>
        </w:rPr>
        <w:t>they have been homeless (see attached chart). Many of the people we see struggle with</w:t>
      </w:r>
      <w:r>
        <w:rPr>
          <w:rFonts w:ascii="Arial" w:hAnsi="Arial" w:cs="Arial"/>
          <w:spacing w:val="-18"/>
          <w:w w:val="105"/>
          <w:sz w:val="21"/>
          <w:szCs w:val="21"/>
        </w:rPr>
        <w:t xml:space="preserve"> </w:t>
      </w:r>
      <w:r>
        <w:rPr>
          <w:rFonts w:ascii="Arial" w:hAnsi="Arial" w:cs="Arial"/>
          <w:w w:val="105"/>
          <w:sz w:val="21"/>
          <w:szCs w:val="21"/>
        </w:rPr>
        <w:t>mental</w:t>
      </w:r>
      <w:r>
        <w:rPr>
          <w:rFonts w:ascii="Arial" w:hAnsi="Arial" w:cs="Arial"/>
          <w:spacing w:val="-24"/>
          <w:w w:val="105"/>
          <w:sz w:val="21"/>
          <w:szCs w:val="21"/>
        </w:rPr>
        <w:t xml:space="preserve"> </w:t>
      </w:r>
      <w:r>
        <w:rPr>
          <w:rFonts w:ascii="Arial" w:hAnsi="Arial" w:cs="Arial"/>
          <w:w w:val="105"/>
          <w:sz w:val="21"/>
          <w:szCs w:val="21"/>
        </w:rPr>
        <w:t>health</w:t>
      </w:r>
      <w:r>
        <w:rPr>
          <w:rFonts w:ascii="Arial" w:hAnsi="Arial" w:cs="Arial"/>
          <w:spacing w:val="-28"/>
          <w:w w:val="105"/>
          <w:sz w:val="21"/>
          <w:szCs w:val="21"/>
        </w:rPr>
        <w:t xml:space="preserve"> </w:t>
      </w:r>
      <w:r>
        <w:rPr>
          <w:rFonts w:ascii="Arial" w:hAnsi="Arial" w:cs="Arial"/>
          <w:w w:val="105"/>
          <w:sz w:val="21"/>
          <w:szCs w:val="21"/>
        </w:rPr>
        <w:t>and</w:t>
      </w:r>
      <w:r>
        <w:rPr>
          <w:rFonts w:ascii="Arial" w:hAnsi="Arial" w:cs="Arial"/>
          <w:spacing w:val="-24"/>
          <w:w w:val="105"/>
          <w:sz w:val="21"/>
          <w:szCs w:val="21"/>
        </w:rPr>
        <w:t xml:space="preserve"> </w:t>
      </w:r>
      <w:r>
        <w:rPr>
          <w:rFonts w:ascii="Arial" w:hAnsi="Arial" w:cs="Arial"/>
          <w:w w:val="105"/>
          <w:sz w:val="21"/>
          <w:szCs w:val="21"/>
        </w:rPr>
        <w:t>substance</w:t>
      </w:r>
      <w:r>
        <w:rPr>
          <w:rFonts w:ascii="Arial" w:hAnsi="Arial" w:cs="Arial"/>
          <w:spacing w:val="-15"/>
          <w:w w:val="105"/>
          <w:sz w:val="21"/>
          <w:szCs w:val="21"/>
        </w:rPr>
        <w:t xml:space="preserve"> </w:t>
      </w:r>
      <w:r>
        <w:rPr>
          <w:rFonts w:ascii="Arial" w:hAnsi="Arial" w:cs="Arial"/>
          <w:w w:val="105"/>
          <w:sz w:val="21"/>
          <w:szCs w:val="21"/>
        </w:rPr>
        <w:t>abuse</w:t>
      </w:r>
      <w:r>
        <w:rPr>
          <w:rFonts w:ascii="Arial" w:hAnsi="Arial" w:cs="Arial"/>
          <w:spacing w:val="-24"/>
          <w:w w:val="105"/>
          <w:sz w:val="21"/>
          <w:szCs w:val="21"/>
        </w:rPr>
        <w:t xml:space="preserve"> </w:t>
      </w:r>
      <w:r>
        <w:rPr>
          <w:rFonts w:ascii="Arial" w:hAnsi="Arial" w:cs="Arial"/>
          <w:w w:val="105"/>
          <w:sz w:val="21"/>
          <w:szCs w:val="21"/>
        </w:rPr>
        <w:t>issues</w:t>
      </w:r>
      <w:r>
        <w:rPr>
          <w:rFonts w:ascii="Arial" w:hAnsi="Arial" w:cs="Arial"/>
          <w:spacing w:val="-26"/>
          <w:w w:val="105"/>
          <w:sz w:val="21"/>
          <w:szCs w:val="21"/>
        </w:rPr>
        <w:t xml:space="preserve"> </w:t>
      </w:r>
      <w:r>
        <w:rPr>
          <w:rFonts w:ascii="Arial" w:hAnsi="Arial" w:cs="Arial"/>
          <w:w w:val="105"/>
          <w:sz w:val="21"/>
          <w:szCs w:val="21"/>
        </w:rPr>
        <w:t>(60%</w:t>
      </w:r>
      <w:r>
        <w:rPr>
          <w:rFonts w:ascii="Arial" w:hAnsi="Arial" w:cs="Arial"/>
          <w:spacing w:val="-30"/>
          <w:w w:val="105"/>
          <w:sz w:val="21"/>
          <w:szCs w:val="21"/>
        </w:rPr>
        <w:t xml:space="preserve"> </w:t>
      </w:r>
      <w:r>
        <w:rPr>
          <w:rFonts w:ascii="Arial" w:hAnsi="Arial" w:cs="Arial"/>
          <w:w w:val="105"/>
          <w:sz w:val="21"/>
          <w:szCs w:val="21"/>
        </w:rPr>
        <w:t>-</w:t>
      </w:r>
      <w:r>
        <w:rPr>
          <w:rFonts w:ascii="Arial" w:hAnsi="Arial" w:cs="Arial"/>
          <w:spacing w:val="-28"/>
          <w:w w:val="105"/>
          <w:sz w:val="21"/>
          <w:szCs w:val="21"/>
        </w:rPr>
        <w:t xml:space="preserve"> </w:t>
      </w:r>
      <w:r>
        <w:rPr>
          <w:rFonts w:ascii="Arial" w:hAnsi="Arial" w:cs="Arial"/>
          <w:w w:val="105"/>
          <w:sz w:val="21"/>
          <w:szCs w:val="21"/>
        </w:rPr>
        <w:t>70%</w:t>
      </w:r>
      <w:r>
        <w:rPr>
          <w:rFonts w:ascii="Arial" w:hAnsi="Arial" w:cs="Arial"/>
          <w:spacing w:val="-30"/>
          <w:w w:val="105"/>
          <w:sz w:val="21"/>
          <w:szCs w:val="21"/>
        </w:rPr>
        <w:t xml:space="preserve"> </w:t>
      </w:r>
      <w:r>
        <w:rPr>
          <w:rFonts w:ascii="Arial" w:hAnsi="Arial" w:cs="Arial"/>
          <w:w w:val="105"/>
          <w:sz w:val="21"/>
          <w:szCs w:val="21"/>
        </w:rPr>
        <w:t>self-reported)</w:t>
      </w:r>
      <w:r>
        <w:rPr>
          <w:rFonts w:ascii="Arial" w:hAnsi="Arial" w:cs="Arial"/>
          <w:spacing w:val="-15"/>
          <w:w w:val="105"/>
          <w:sz w:val="21"/>
          <w:szCs w:val="21"/>
        </w:rPr>
        <w:t xml:space="preserve"> </w:t>
      </w:r>
      <w:r>
        <w:rPr>
          <w:rFonts w:ascii="Arial" w:hAnsi="Arial" w:cs="Arial"/>
          <w:w w:val="105"/>
          <w:sz w:val="21"/>
          <w:szCs w:val="21"/>
        </w:rPr>
        <w:t>as</w:t>
      </w:r>
      <w:r>
        <w:rPr>
          <w:rFonts w:ascii="Arial" w:hAnsi="Arial" w:cs="Arial"/>
          <w:spacing w:val="-28"/>
          <w:w w:val="105"/>
          <w:sz w:val="21"/>
          <w:szCs w:val="21"/>
        </w:rPr>
        <w:t xml:space="preserve"> </w:t>
      </w:r>
      <w:r>
        <w:rPr>
          <w:rFonts w:ascii="Arial" w:hAnsi="Arial" w:cs="Arial"/>
          <w:w w:val="105"/>
          <w:sz w:val="21"/>
          <w:szCs w:val="21"/>
        </w:rPr>
        <w:t>well</w:t>
      </w:r>
      <w:r>
        <w:rPr>
          <w:rFonts w:ascii="Arial" w:hAnsi="Arial" w:cs="Arial"/>
          <w:spacing w:val="-24"/>
          <w:w w:val="105"/>
          <w:sz w:val="21"/>
          <w:szCs w:val="21"/>
        </w:rPr>
        <w:t xml:space="preserve"> </w:t>
      </w:r>
      <w:r>
        <w:rPr>
          <w:rFonts w:ascii="Arial" w:hAnsi="Arial" w:cs="Arial"/>
          <w:w w:val="105"/>
          <w:sz w:val="21"/>
          <w:szCs w:val="21"/>
        </w:rPr>
        <w:t>as</w:t>
      </w:r>
      <w:r>
        <w:rPr>
          <w:rFonts w:ascii="Arial" w:hAnsi="Arial" w:cs="Arial"/>
          <w:spacing w:val="-30"/>
          <w:w w:val="105"/>
          <w:sz w:val="21"/>
          <w:szCs w:val="21"/>
        </w:rPr>
        <w:t xml:space="preserve"> </w:t>
      </w:r>
      <w:r>
        <w:rPr>
          <w:rFonts w:ascii="Arial" w:hAnsi="Arial" w:cs="Arial"/>
          <w:w w:val="105"/>
          <w:sz w:val="21"/>
          <w:szCs w:val="21"/>
        </w:rPr>
        <w:t xml:space="preserve">challenging medical issues. They are often frequent users of public systems and if we do nothing they will continue to cycle through these systems.  As this group ages, they will become even more costly to insure. We triage each of these individuals into existing systems of care, however these systems are complex and fragmented and as such coordination and navigation through these systems remains an enormous challenge </w:t>
      </w:r>
      <w:r>
        <w:rPr>
          <w:rFonts w:ascii="Arial" w:hAnsi="Arial" w:cs="Arial"/>
          <w:spacing w:val="2"/>
          <w:w w:val="105"/>
          <w:sz w:val="21"/>
          <w:szCs w:val="21"/>
        </w:rPr>
        <w:t xml:space="preserve">for </w:t>
      </w:r>
      <w:r>
        <w:rPr>
          <w:rFonts w:ascii="Arial" w:hAnsi="Arial" w:cs="Arial"/>
          <w:w w:val="105"/>
          <w:sz w:val="21"/>
          <w:szCs w:val="21"/>
        </w:rPr>
        <w:t>our guests. We have learned how to help homeless men and women with this navigation and most importantly we have tripled our permanent</w:t>
      </w:r>
      <w:r>
        <w:rPr>
          <w:rFonts w:ascii="Arial" w:hAnsi="Arial" w:cs="Arial"/>
          <w:spacing w:val="-1"/>
          <w:w w:val="105"/>
          <w:sz w:val="21"/>
          <w:szCs w:val="21"/>
        </w:rPr>
        <w:t xml:space="preserve"> </w:t>
      </w:r>
      <w:r>
        <w:rPr>
          <w:rFonts w:ascii="Arial" w:hAnsi="Arial" w:cs="Arial"/>
          <w:w w:val="105"/>
          <w:sz w:val="21"/>
          <w:szCs w:val="21"/>
        </w:rPr>
        <w:t>supportive</w:t>
      </w:r>
      <w:r>
        <w:rPr>
          <w:rFonts w:ascii="Arial" w:hAnsi="Arial" w:cs="Arial"/>
          <w:spacing w:val="-1"/>
          <w:w w:val="105"/>
          <w:sz w:val="21"/>
          <w:szCs w:val="21"/>
        </w:rPr>
        <w:t xml:space="preserve"> </w:t>
      </w:r>
      <w:r>
        <w:rPr>
          <w:rFonts w:ascii="Arial" w:hAnsi="Arial" w:cs="Arial"/>
          <w:w w:val="105"/>
          <w:sz w:val="21"/>
          <w:szCs w:val="21"/>
        </w:rPr>
        <w:t>housing</w:t>
      </w:r>
      <w:r>
        <w:rPr>
          <w:rFonts w:ascii="Arial" w:hAnsi="Arial" w:cs="Arial"/>
          <w:spacing w:val="-17"/>
          <w:w w:val="105"/>
          <w:sz w:val="21"/>
          <w:szCs w:val="21"/>
        </w:rPr>
        <w:t xml:space="preserve"> </w:t>
      </w:r>
      <w:r>
        <w:rPr>
          <w:rFonts w:ascii="Arial" w:hAnsi="Arial" w:cs="Arial"/>
          <w:w w:val="105"/>
          <w:sz w:val="21"/>
          <w:szCs w:val="21"/>
        </w:rPr>
        <w:t>(we</w:t>
      </w:r>
      <w:r>
        <w:rPr>
          <w:rFonts w:ascii="Arial" w:hAnsi="Arial" w:cs="Arial"/>
          <w:spacing w:val="-17"/>
          <w:w w:val="105"/>
          <w:sz w:val="21"/>
          <w:szCs w:val="21"/>
        </w:rPr>
        <w:t xml:space="preserve"> </w:t>
      </w:r>
      <w:r>
        <w:rPr>
          <w:rFonts w:ascii="Arial" w:hAnsi="Arial" w:cs="Arial"/>
          <w:w w:val="105"/>
          <w:sz w:val="21"/>
          <w:szCs w:val="21"/>
        </w:rPr>
        <w:t>have</w:t>
      </w:r>
      <w:r>
        <w:rPr>
          <w:rFonts w:ascii="Arial" w:hAnsi="Arial" w:cs="Arial"/>
          <w:spacing w:val="-29"/>
          <w:w w:val="105"/>
          <w:sz w:val="21"/>
          <w:szCs w:val="21"/>
        </w:rPr>
        <w:t xml:space="preserve"> </w:t>
      </w:r>
      <w:r>
        <w:rPr>
          <w:rFonts w:ascii="Arial" w:hAnsi="Arial" w:cs="Arial"/>
          <w:w w:val="105"/>
          <w:sz w:val="21"/>
          <w:szCs w:val="21"/>
        </w:rPr>
        <w:t>just</w:t>
      </w:r>
      <w:r>
        <w:rPr>
          <w:rFonts w:ascii="Arial" w:hAnsi="Arial" w:cs="Arial"/>
          <w:spacing w:val="15"/>
          <w:w w:val="105"/>
          <w:sz w:val="21"/>
          <w:szCs w:val="21"/>
        </w:rPr>
        <w:t xml:space="preserve"> </w:t>
      </w:r>
      <w:r>
        <w:rPr>
          <w:rFonts w:ascii="Arial" w:hAnsi="Arial" w:cs="Arial"/>
          <w:w w:val="105"/>
          <w:sz w:val="21"/>
          <w:szCs w:val="21"/>
        </w:rPr>
        <w:t>under</w:t>
      </w:r>
      <w:r>
        <w:rPr>
          <w:rFonts w:ascii="Arial" w:hAnsi="Arial" w:cs="Arial"/>
          <w:spacing w:val="-5"/>
          <w:w w:val="105"/>
          <w:sz w:val="21"/>
          <w:szCs w:val="21"/>
        </w:rPr>
        <w:t xml:space="preserve"> </w:t>
      </w:r>
      <w:r>
        <w:rPr>
          <w:rFonts w:ascii="Arial" w:hAnsi="Arial" w:cs="Arial"/>
          <w:spacing w:val="-16"/>
          <w:w w:val="105"/>
          <w:sz w:val="21"/>
          <w:szCs w:val="21"/>
        </w:rPr>
        <w:t>1,000</w:t>
      </w:r>
      <w:r>
        <w:rPr>
          <w:rFonts w:ascii="Arial" w:hAnsi="Arial" w:cs="Arial"/>
          <w:spacing w:val="-17"/>
          <w:w w:val="105"/>
          <w:sz w:val="21"/>
          <w:szCs w:val="21"/>
        </w:rPr>
        <w:t xml:space="preserve"> </w:t>
      </w:r>
      <w:r>
        <w:rPr>
          <w:rFonts w:ascii="Arial" w:hAnsi="Arial" w:cs="Arial"/>
          <w:w w:val="105"/>
          <w:sz w:val="21"/>
          <w:szCs w:val="21"/>
        </w:rPr>
        <w:t>units),</w:t>
      </w:r>
      <w:r>
        <w:rPr>
          <w:rFonts w:ascii="Arial" w:hAnsi="Arial" w:cs="Arial"/>
          <w:spacing w:val="-16"/>
          <w:w w:val="105"/>
          <w:sz w:val="21"/>
          <w:szCs w:val="21"/>
        </w:rPr>
        <w:t xml:space="preserve"> </w:t>
      </w:r>
      <w:r>
        <w:rPr>
          <w:rFonts w:ascii="Arial" w:hAnsi="Arial" w:cs="Arial"/>
          <w:w w:val="105"/>
          <w:sz w:val="21"/>
          <w:szCs w:val="21"/>
        </w:rPr>
        <w:t>in</w:t>
      </w:r>
      <w:r>
        <w:rPr>
          <w:rFonts w:ascii="Arial" w:hAnsi="Arial" w:cs="Arial"/>
          <w:spacing w:val="-32"/>
          <w:w w:val="105"/>
          <w:sz w:val="21"/>
          <w:szCs w:val="21"/>
        </w:rPr>
        <w:t xml:space="preserve"> </w:t>
      </w:r>
      <w:r>
        <w:rPr>
          <w:rFonts w:ascii="Arial" w:hAnsi="Arial" w:cs="Arial"/>
          <w:w w:val="105"/>
          <w:sz w:val="21"/>
          <w:szCs w:val="21"/>
        </w:rPr>
        <w:t>the</w:t>
      </w:r>
      <w:r>
        <w:rPr>
          <w:rFonts w:ascii="Arial" w:hAnsi="Arial" w:cs="Arial"/>
          <w:spacing w:val="-6"/>
          <w:w w:val="105"/>
          <w:sz w:val="21"/>
          <w:szCs w:val="21"/>
        </w:rPr>
        <w:t xml:space="preserve"> </w:t>
      </w:r>
      <w:r>
        <w:rPr>
          <w:rFonts w:ascii="Arial" w:hAnsi="Arial" w:cs="Arial"/>
          <w:w w:val="105"/>
          <w:sz w:val="21"/>
          <w:szCs w:val="21"/>
        </w:rPr>
        <w:t>past</w:t>
      </w:r>
      <w:r>
        <w:rPr>
          <w:rFonts w:ascii="Arial" w:hAnsi="Arial" w:cs="Arial"/>
          <w:spacing w:val="-9"/>
          <w:w w:val="105"/>
          <w:sz w:val="21"/>
          <w:szCs w:val="21"/>
        </w:rPr>
        <w:t xml:space="preserve"> </w:t>
      </w:r>
      <w:r>
        <w:rPr>
          <w:rFonts w:ascii="Arial" w:hAnsi="Arial" w:cs="Arial"/>
          <w:w w:val="105"/>
          <w:sz w:val="21"/>
          <w:szCs w:val="21"/>
        </w:rPr>
        <w:t>5</w:t>
      </w:r>
      <w:r>
        <w:rPr>
          <w:rFonts w:ascii="Arial" w:hAnsi="Arial" w:cs="Arial"/>
          <w:spacing w:val="-14"/>
          <w:w w:val="105"/>
          <w:sz w:val="21"/>
          <w:szCs w:val="21"/>
        </w:rPr>
        <w:t xml:space="preserve"> </w:t>
      </w:r>
      <w:r>
        <w:rPr>
          <w:rFonts w:ascii="Arial" w:hAnsi="Arial" w:cs="Arial"/>
          <w:w w:val="105"/>
          <w:sz w:val="21"/>
          <w:szCs w:val="21"/>
        </w:rPr>
        <w:t>years</w:t>
      </w:r>
      <w:r>
        <w:rPr>
          <w:rFonts w:ascii="Arial" w:hAnsi="Arial" w:cs="Arial"/>
          <w:spacing w:val="-1"/>
          <w:w w:val="105"/>
          <w:sz w:val="21"/>
          <w:szCs w:val="21"/>
        </w:rPr>
        <w:t xml:space="preserve"> </w:t>
      </w:r>
      <w:r>
        <w:rPr>
          <w:rFonts w:ascii="Arial" w:hAnsi="Arial" w:cs="Arial"/>
          <w:w w:val="105"/>
          <w:sz w:val="21"/>
          <w:szCs w:val="21"/>
        </w:rPr>
        <w:t>because</w:t>
      </w:r>
      <w:r>
        <w:rPr>
          <w:rFonts w:ascii="Arial" w:hAnsi="Arial" w:cs="Arial"/>
          <w:spacing w:val="-14"/>
          <w:w w:val="105"/>
          <w:sz w:val="21"/>
          <w:szCs w:val="21"/>
        </w:rPr>
        <w:t xml:space="preserve"> </w:t>
      </w:r>
      <w:r>
        <w:rPr>
          <w:rFonts w:ascii="Arial" w:hAnsi="Arial" w:cs="Arial"/>
          <w:w w:val="105"/>
          <w:sz w:val="21"/>
          <w:szCs w:val="21"/>
        </w:rPr>
        <w:t xml:space="preserve">we understand that people cannot get healthy if they live on the streets. They need a stable place to </w:t>
      </w:r>
      <w:r>
        <w:rPr>
          <w:rFonts w:ascii="Arial" w:hAnsi="Arial" w:cs="Arial"/>
          <w:spacing w:val="-3"/>
          <w:w w:val="105"/>
          <w:sz w:val="21"/>
          <w:szCs w:val="21"/>
        </w:rPr>
        <w:t xml:space="preserve">live. </w:t>
      </w:r>
      <w:r>
        <w:rPr>
          <w:rFonts w:ascii="Arial" w:hAnsi="Arial" w:cs="Arial"/>
          <w:w w:val="105"/>
          <w:sz w:val="21"/>
          <w:szCs w:val="21"/>
        </w:rPr>
        <w:t>In addition to our housing, we offer job training, mental health and substance abuse counseling, healthcare, outreach, housing search and integrated care coordination. And we know</w:t>
      </w:r>
      <w:r>
        <w:rPr>
          <w:rFonts w:ascii="Arial" w:hAnsi="Arial" w:cs="Arial"/>
          <w:spacing w:val="-24"/>
          <w:w w:val="105"/>
          <w:sz w:val="21"/>
          <w:szCs w:val="21"/>
        </w:rPr>
        <w:t xml:space="preserve"> </w:t>
      </w:r>
      <w:r>
        <w:rPr>
          <w:rFonts w:ascii="Arial" w:hAnsi="Arial" w:cs="Arial"/>
          <w:w w:val="105"/>
          <w:sz w:val="21"/>
          <w:szCs w:val="21"/>
        </w:rPr>
        <w:t>that</w:t>
      </w:r>
      <w:r>
        <w:rPr>
          <w:rFonts w:ascii="Arial" w:hAnsi="Arial" w:cs="Arial"/>
          <w:spacing w:val="-7"/>
          <w:w w:val="105"/>
          <w:sz w:val="21"/>
          <w:szCs w:val="21"/>
        </w:rPr>
        <w:t xml:space="preserve"> </w:t>
      </w:r>
      <w:r>
        <w:rPr>
          <w:rFonts w:ascii="Arial" w:hAnsi="Arial" w:cs="Arial"/>
          <w:w w:val="105"/>
          <w:sz w:val="21"/>
          <w:szCs w:val="21"/>
        </w:rPr>
        <w:t>when</w:t>
      </w:r>
      <w:r>
        <w:rPr>
          <w:rFonts w:ascii="Arial" w:hAnsi="Arial" w:cs="Arial"/>
          <w:spacing w:val="-5"/>
          <w:w w:val="105"/>
          <w:sz w:val="21"/>
          <w:szCs w:val="21"/>
        </w:rPr>
        <w:t xml:space="preserve"> </w:t>
      </w:r>
      <w:r>
        <w:rPr>
          <w:rFonts w:ascii="Arial" w:hAnsi="Arial" w:cs="Arial"/>
          <w:w w:val="105"/>
          <w:sz w:val="21"/>
          <w:szCs w:val="21"/>
        </w:rPr>
        <w:t>our</w:t>
      </w:r>
      <w:r>
        <w:rPr>
          <w:rFonts w:ascii="Arial" w:hAnsi="Arial" w:cs="Arial"/>
          <w:spacing w:val="-16"/>
          <w:w w:val="105"/>
          <w:sz w:val="21"/>
          <w:szCs w:val="21"/>
        </w:rPr>
        <w:t xml:space="preserve"> </w:t>
      </w:r>
      <w:r>
        <w:rPr>
          <w:rFonts w:ascii="Arial" w:hAnsi="Arial" w:cs="Arial"/>
          <w:w w:val="105"/>
          <w:sz w:val="21"/>
          <w:szCs w:val="21"/>
        </w:rPr>
        <w:t>system</w:t>
      </w:r>
      <w:r>
        <w:rPr>
          <w:rFonts w:ascii="Arial" w:hAnsi="Arial" w:cs="Arial"/>
          <w:spacing w:val="-7"/>
          <w:w w:val="105"/>
          <w:sz w:val="21"/>
          <w:szCs w:val="21"/>
        </w:rPr>
        <w:t xml:space="preserve"> </w:t>
      </w:r>
      <w:r>
        <w:rPr>
          <w:rFonts w:ascii="Arial" w:hAnsi="Arial" w:cs="Arial"/>
          <w:w w:val="105"/>
          <w:sz w:val="21"/>
          <w:szCs w:val="21"/>
        </w:rPr>
        <w:t>works,</w:t>
      </w:r>
      <w:r>
        <w:rPr>
          <w:rFonts w:ascii="Arial" w:hAnsi="Arial" w:cs="Arial"/>
          <w:spacing w:val="-12"/>
          <w:w w:val="105"/>
          <w:sz w:val="21"/>
          <w:szCs w:val="21"/>
        </w:rPr>
        <w:t xml:space="preserve"> </w:t>
      </w:r>
      <w:r>
        <w:rPr>
          <w:rFonts w:ascii="Arial" w:hAnsi="Arial" w:cs="Arial"/>
          <w:w w:val="105"/>
          <w:sz w:val="21"/>
          <w:szCs w:val="21"/>
        </w:rPr>
        <w:t>your</w:t>
      </w:r>
      <w:r>
        <w:rPr>
          <w:rFonts w:ascii="Arial" w:hAnsi="Arial" w:cs="Arial"/>
          <w:spacing w:val="-7"/>
          <w:w w:val="105"/>
          <w:sz w:val="21"/>
          <w:szCs w:val="21"/>
        </w:rPr>
        <w:t xml:space="preserve"> </w:t>
      </w:r>
      <w:r>
        <w:rPr>
          <w:rFonts w:ascii="Arial" w:hAnsi="Arial" w:cs="Arial"/>
          <w:w w:val="105"/>
          <w:sz w:val="21"/>
          <w:szCs w:val="21"/>
        </w:rPr>
        <w:t>costs</w:t>
      </w:r>
      <w:r>
        <w:rPr>
          <w:rFonts w:ascii="Arial" w:hAnsi="Arial" w:cs="Arial"/>
          <w:spacing w:val="-12"/>
          <w:w w:val="105"/>
          <w:sz w:val="21"/>
          <w:szCs w:val="21"/>
        </w:rPr>
        <w:t xml:space="preserve"> </w:t>
      </w:r>
      <w:r>
        <w:rPr>
          <w:rFonts w:ascii="Arial" w:hAnsi="Arial" w:cs="Arial"/>
          <w:w w:val="105"/>
          <w:sz w:val="21"/>
          <w:szCs w:val="21"/>
        </w:rPr>
        <w:t>go</w:t>
      </w:r>
      <w:r>
        <w:rPr>
          <w:rFonts w:ascii="Arial" w:hAnsi="Arial" w:cs="Arial"/>
          <w:spacing w:val="-13"/>
          <w:w w:val="105"/>
          <w:sz w:val="21"/>
          <w:szCs w:val="21"/>
        </w:rPr>
        <w:t xml:space="preserve"> </w:t>
      </w:r>
      <w:r>
        <w:rPr>
          <w:rFonts w:ascii="Arial" w:hAnsi="Arial" w:cs="Arial"/>
          <w:w w:val="105"/>
          <w:sz w:val="21"/>
          <w:szCs w:val="21"/>
        </w:rPr>
        <w:t>down.</w:t>
      </w:r>
      <w:r>
        <w:rPr>
          <w:rFonts w:ascii="Arial" w:hAnsi="Arial" w:cs="Arial"/>
          <w:spacing w:val="40"/>
          <w:w w:val="105"/>
          <w:sz w:val="21"/>
          <w:szCs w:val="21"/>
        </w:rPr>
        <w:t xml:space="preserve"> </w:t>
      </w:r>
      <w:r>
        <w:rPr>
          <w:rFonts w:ascii="Arial" w:hAnsi="Arial" w:cs="Arial"/>
          <w:w w:val="105"/>
          <w:sz w:val="21"/>
          <w:szCs w:val="21"/>
        </w:rPr>
        <w:t>Let</w:t>
      </w:r>
      <w:r>
        <w:rPr>
          <w:rFonts w:ascii="Arial" w:hAnsi="Arial" w:cs="Arial"/>
          <w:spacing w:val="-16"/>
          <w:w w:val="105"/>
          <w:sz w:val="21"/>
          <w:szCs w:val="21"/>
        </w:rPr>
        <w:t xml:space="preserve"> </w:t>
      </w:r>
      <w:r>
        <w:rPr>
          <w:rFonts w:ascii="Arial" w:hAnsi="Arial" w:cs="Arial"/>
          <w:w w:val="105"/>
          <w:sz w:val="21"/>
          <w:szCs w:val="21"/>
        </w:rPr>
        <w:t>me</w:t>
      </w:r>
      <w:r>
        <w:rPr>
          <w:rFonts w:ascii="Arial" w:hAnsi="Arial" w:cs="Arial"/>
          <w:spacing w:val="-21"/>
          <w:w w:val="105"/>
          <w:sz w:val="21"/>
          <w:szCs w:val="21"/>
        </w:rPr>
        <w:t xml:space="preserve"> </w:t>
      </w:r>
      <w:r>
        <w:rPr>
          <w:rFonts w:ascii="Arial" w:hAnsi="Arial" w:cs="Arial"/>
          <w:w w:val="105"/>
          <w:sz w:val="21"/>
          <w:szCs w:val="21"/>
        </w:rPr>
        <w:t>give</w:t>
      </w:r>
      <w:r>
        <w:rPr>
          <w:rFonts w:ascii="Arial" w:hAnsi="Arial" w:cs="Arial"/>
          <w:spacing w:val="-12"/>
          <w:w w:val="105"/>
          <w:sz w:val="21"/>
          <w:szCs w:val="21"/>
        </w:rPr>
        <w:t xml:space="preserve"> </w:t>
      </w:r>
      <w:r>
        <w:rPr>
          <w:rFonts w:ascii="Arial" w:hAnsi="Arial" w:cs="Arial"/>
          <w:w w:val="105"/>
          <w:sz w:val="21"/>
          <w:szCs w:val="21"/>
        </w:rPr>
        <w:t>you</w:t>
      </w:r>
      <w:r>
        <w:rPr>
          <w:rFonts w:ascii="Arial" w:hAnsi="Arial" w:cs="Arial"/>
          <w:spacing w:val="-12"/>
          <w:w w:val="105"/>
          <w:sz w:val="21"/>
          <w:szCs w:val="21"/>
        </w:rPr>
        <w:t xml:space="preserve"> </w:t>
      </w:r>
      <w:r>
        <w:rPr>
          <w:rFonts w:ascii="Arial" w:hAnsi="Arial" w:cs="Arial"/>
          <w:w w:val="105"/>
          <w:sz w:val="21"/>
          <w:szCs w:val="21"/>
        </w:rPr>
        <w:t>an</w:t>
      </w:r>
      <w:r>
        <w:rPr>
          <w:rFonts w:ascii="Arial" w:hAnsi="Arial" w:cs="Arial"/>
          <w:spacing w:val="-13"/>
          <w:w w:val="105"/>
          <w:sz w:val="21"/>
          <w:szCs w:val="21"/>
        </w:rPr>
        <w:t xml:space="preserve"> </w:t>
      </w:r>
      <w:r>
        <w:rPr>
          <w:rFonts w:ascii="Arial" w:hAnsi="Arial" w:cs="Arial"/>
          <w:w w:val="105"/>
          <w:sz w:val="21"/>
          <w:szCs w:val="21"/>
        </w:rPr>
        <w:t>example.</w:t>
      </w:r>
    </w:p>
    <w:p w:rsidR="002C5025" w:rsidRDefault="002C5025">
      <w:pPr>
        <w:pStyle w:val="BodyText"/>
        <w:kinsoku w:val="0"/>
        <w:overflowPunct w:val="0"/>
        <w:rPr>
          <w:rFonts w:ascii="Arial" w:hAnsi="Arial" w:cs="Arial"/>
          <w:sz w:val="18"/>
          <w:szCs w:val="18"/>
        </w:rPr>
      </w:pPr>
    </w:p>
    <w:p w:rsidR="002C5025" w:rsidRDefault="002C5025">
      <w:pPr>
        <w:pStyle w:val="BodyText"/>
        <w:kinsoku w:val="0"/>
        <w:overflowPunct w:val="0"/>
        <w:spacing w:line="338" w:lineRule="auto"/>
        <w:ind w:left="102" w:right="269"/>
        <w:rPr>
          <w:rFonts w:ascii="Arial" w:hAnsi="Arial" w:cs="Arial"/>
          <w:w w:val="105"/>
          <w:sz w:val="21"/>
          <w:szCs w:val="21"/>
        </w:rPr>
      </w:pPr>
      <w:r>
        <w:rPr>
          <w:rFonts w:ascii="Arial" w:hAnsi="Arial" w:cs="Arial"/>
          <w:w w:val="105"/>
          <w:sz w:val="21"/>
          <w:szCs w:val="21"/>
        </w:rPr>
        <w:t>We</w:t>
      </w:r>
      <w:r>
        <w:rPr>
          <w:rFonts w:ascii="Arial" w:hAnsi="Arial" w:cs="Arial"/>
          <w:spacing w:val="-10"/>
          <w:w w:val="105"/>
          <w:sz w:val="21"/>
          <w:szCs w:val="21"/>
        </w:rPr>
        <w:t xml:space="preserve"> </w:t>
      </w:r>
      <w:r>
        <w:rPr>
          <w:rFonts w:ascii="Arial" w:hAnsi="Arial" w:cs="Arial"/>
          <w:w w:val="105"/>
          <w:sz w:val="21"/>
          <w:szCs w:val="21"/>
        </w:rPr>
        <w:t>did</w:t>
      </w:r>
      <w:r>
        <w:rPr>
          <w:rFonts w:ascii="Arial" w:hAnsi="Arial" w:cs="Arial"/>
          <w:spacing w:val="-21"/>
          <w:w w:val="105"/>
          <w:sz w:val="21"/>
          <w:szCs w:val="21"/>
        </w:rPr>
        <w:t xml:space="preserve"> </w:t>
      </w:r>
      <w:r>
        <w:rPr>
          <w:rFonts w:ascii="Arial" w:hAnsi="Arial" w:cs="Arial"/>
          <w:w w:val="105"/>
          <w:sz w:val="21"/>
          <w:szCs w:val="21"/>
        </w:rPr>
        <w:t>a</w:t>
      </w:r>
      <w:r>
        <w:rPr>
          <w:rFonts w:ascii="Arial" w:hAnsi="Arial" w:cs="Arial"/>
          <w:spacing w:val="-7"/>
          <w:w w:val="105"/>
          <w:sz w:val="21"/>
          <w:szCs w:val="21"/>
        </w:rPr>
        <w:t xml:space="preserve"> </w:t>
      </w:r>
      <w:r>
        <w:rPr>
          <w:rFonts w:ascii="Arial" w:hAnsi="Arial" w:cs="Arial"/>
          <w:w w:val="105"/>
          <w:sz w:val="21"/>
          <w:szCs w:val="21"/>
        </w:rPr>
        <w:t>study</w:t>
      </w:r>
      <w:r>
        <w:rPr>
          <w:rFonts w:ascii="Arial" w:hAnsi="Arial" w:cs="Arial"/>
          <w:spacing w:val="-10"/>
          <w:w w:val="105"/>
          <w:sz w:val="21"/>
          <w:szCs w:val="21"/>
        </w:rPr>
        <w:t xml:space="preserve"> </w:t>
      </w:r>
      <w:r>
        <w:rPr>
          <w:rFonts w:ascii="Arial" w:hAnsi="Arial" w:cs="Arial"/>
          <w:w w:val="105"/>
          <w:sz w:val="21"/>
          <w:szCs w:val="21"/>
        </w:rPr>
        <w:t>of</w:t>
      </w:r>
      <w:r>
        <w:rPr>
          <w:rFonts w:ascii="Arial" w:hAnsi="Arial" w:cs="Arial"/>
          <w:spacing w:val="-9"/>
          <w:w w:val="105"/>
          <w:sz w:val="21"/>
          <w:szCs w:val="21"/>
        </w:rPr>
        <w:t xml:space="preserve"> </w:t>
      </w:r>
      <w:r>
        <w:rPr>
          <w:rFonts w:ascii="Arial" w:hAnsi="Arial" w:cs="Arial"/>
          <w:spacing w:val="-27"/>
          <w:w w:val="105"/>
          <w:sz w:val="21"/>
          <w:szCs w:val="21"/>
        </w:rPr>
        <w:t>16</w:t>
      </w:r>
      <w:r>
        <w:rPr>
          <w:rFonts w:ascii="Arial" w:hAnsi="Arial" w:cs="Arial"/>
          <w:spacing w:val="-17"/>
          <w:w w:val="105"/>
          <w:sz w:val="21"/>
          <w:szCs w:val="21"/>
        </w:rPr>
        <w:t xml:space="preserve"> </w:t>
      </w:r>
      <w:r>
        <w:rPr>
          <w:rFonts w:ascii="Arial" w:hAnsi="Arial" w:cs="Arial"/>
          <w:w w:val="105"/>
          <w:sz w:val="21"/>
          <w:szCs w:val="21"/>
        </w:rPr>
        <w:t>sheltered</w:t>
      </w:r>
      <w:r>
        <w:rPr>
          <w:rFonts w:ascii="Arial" w:hAnsi="Arial" w:cs="Arial"/>
          <w:spacing w:val="-6"/>
          <w:w w:val="105"/>
          <w:sz w:val="21"/>
          <w:szCs w:val="21"/>
        </w:rPr>
        <w:t xml:space="preserve"> </w:t>
      </w:r>
      <w:r>
        <w:rPr>
          <w:rFonts w:ascii="Arial" w:hAnsi="Arial" w:cs="Arial"/>
          <w:w w:val="105"/>
          <w:sz w:val="21"/>
          <w:szCs w:val="21"/>
        </w:rPr>
        <w:t>and</w:t>
      </w:r>
      <w:r>
        <w:rPr>
          <w:rFonts w:ascii="Arial" w:hAnsi="Arial" w:cs="Arial"/>
          <w:spacing w:val="-12"/>
          <w:w w:val="105"/>
          <w:sz w:val="21"/>
          <w:szCs w:val="21"/>
        </w:rPr>
        <w:t xml:space="preserve"> </w:t>
      </w:r>
      <w:r>
        <w:rPr>
          <w:rFonts w:ascii="Arial" w:hAnsi="Arial" w:cs="Arial"/>
          <w:w w:val="105"/>
          <w:sz w:val="21"/>
          <w:szCs w:val="21"/>
        </w:rPr>
        <w:t>unsheltered</w:t>
      </w:r>
      <w:r>
        <w:rPr>
          <w:rFonts w:ascii="Arial" w:hAnsi="Arial" w:cs="Arial"/>
          <w:spacing w:val="-6"/>
          <w:w w:val="105"/>
          <w:sz w:val="21"/>
          <w:szCs w:val="21"/>
        </w:rPr>
        <w:t xml:space="preserve"> </w:t>
      </w:r>
      <w:r>
        <w:rPr>
          <w:rFonts w:ascii="Arial" w:hAnsi="Arial" w:cs="Arial"/>
          <w:w w:val="105"/>
          <w:sz w:val="21"/>
          <w:szCs w:val="21"/>
        </w:rPr>
        <w:t>homeless</w:t>
      </w:r>
      <w:r>
        <w:rPr>
          <w:rFonts w:ascii="Arial" w:hAnsi="Arial" w:cs="Arial"/>
          <w:spacing w:val="-7"/>
          <w:w w:val="105"/>
          <w:sz w:val="21"/>
          <w:szCs w:val="21"/>
        </w:rPr>
        <w:t xml:space="preserve"> </w:t>
      </w:r>
      <w:r>
        <w:rPr>
          <w:rFonts w:ascii="Arial" w:hAnsi="Arial" w:cs="Arial"/>
          <w:w w:val="105"/>
          <w:sz w:val="21"/>
          <w:szCs w:val="21"/>
        </w:rPr>
        <w:t>individual</w:t>
      </w:r>
      <w:r>
        <w:rPr>
          <w:rFonts w:ascii="Arial" w:hAnsi="Arial" w:cs="Arial"/>
          <w:spacing w:val="-3"/>
          <w:w w:val="105"/>
          <w:sz w:val="21"/>
          <w:szCs w:val="21"/>
        </w:rPr>
        <w:t xml:space="preserve"> </w:t>
      </w:r>
      <w:r>
        <w:rPr>
          <w:rFonts w:ascii="Arial" w:hAnsi="Arial" w:cs="Arial"/>
          <w:w w:val="105"/>
          <w:sz w:val="21"/>
          <w:szCs w:val="21"/>
        </w:rPr>
        <w:t>ED</w:t>
      </w:r>
      <w:r>
        <w:rPr>
          <w:rFonts w:ascii="Arial" w:hAnsi="Arial" w:cs="Arial"/>
          <w:spacing w:val="-21"/>
          <w:w w:val="105"/>
          <w:sz w:val="21"/>
          <w:szCs w:val="21"/>
        </w:rPr>
        <w:t xml:space="preserve"> </w:t>
      </w:r>
      <w:r>
        <w:rPr>
          <w:rFonts w:ascii="Arial" w:hAnsi="Arial" w:cs="Arial"/>
          <w:w w:val="105"/>
          <w:sz w:val="21"/>
          <w:szCs w:val="21"/>
        </w:rPr>
        <w:t>visits</w:t>
      </w:r>
      <w:r>
        <w:rPr>
          <w:rFonts w:ascii="Arial" w:hAnsi="Arial" w:cs="Arial"/>
          <w:spacing w:val="-14"/>
          <w:w w:val="105"/>
          <w:sz w:val="21"/>
          <w:szCs w:val="21"/>
        </w:rPr>
        <w:t xml:space="preserve"> </w:t>
      </w:r>
      <w:r>
        <w:rPr>
          <w:rFonts w:ascii="Arial" w:hAnsi="Arial" w:cs="Arial"/>
          <w:w w:val="105"/>
          <w:sz w:val="21"/>
          <w:szCs w:val="21"/>
        </w:rPr>
        <w:t>from</w:t>
      </w:r>
      <w:r>
        <w:rPr>
          <w:rFonts w:ascii="Arial" w:hAnsi="Arial" w:cs="Arial"/>
          <w:spacing w:val="-6"/>
          <w:w w:val="105"/>
          <w:sz w:val="21"/>
          <w:szCs w:val="21"/>
        </w:rPr>
        <w:t xml:space="preserve"> </w:t>
      </w:r>
      <w:r>
        <w:rPr>
          <w:rFonts w:ascii="Arial" w:hAnsi="Arial" w:cs="Arial"/>
          <w:w w:val="105"/>
          <w:sz w:val="21"/>
          <w:szCs w:val="21"/>
        </w:rPr>
        <w:t>one</w:t>
      </w:r>
      <w:r>
        <w:rPr>
          <w:rFonts w:ascii="Arial" w:hAnsi="Arial" w:cs="Arial"/>
          <w:spacing w:val="-10"/>
          <w:w w:val="105"/>
          <w:sz w:val="21"/>
          <w:szCs w:val="21"/>
        </w:rPr>
        <w:t xml:space="preserve"> </w:t>
      </w:r>
      <w:r>
        <w:rPr>
          <w:rFonts w:ascii="Arial" w:hAnsi="Arial" w:cs="Arial"/>
          <w:w w:val="105"/>
          <w:sz w:val="21"/>
          <w:szCs w:val="21"/>
        </w:rPr>
        <w:t xml:space="preserve">local hospital. We found that in a 28 month period collectively they had </w:t>
      </w:r>
      <w:r>
        <w:rPr>
          <w:rFonts w:ascii="Arial" w:hAnsi="Arial" w:cs="Arial"/>
          <w:spacing w:val="-16"/>
          <w:w w:val="105"/>
          <w:sz w:val="21"/>
          <w:szCs w:val="21"/>
        </w:rPr>
        <w:t xml:space="preserve">1,335 </w:t>
      </w:r>
      <w:r>
        <w:rPr>
          <w:rFonts w:ascii="Arial" w:hAnsi="Arial" w:cs="Arial"/>
          <w:w w:val="105"/>
          <w:sz w:val="21"/>
          <w:szCs w:val="21"/>
        </w:rPr>
        <w:t>emergency department</w:t>
      </w:r>
      <w:r>
        <w:rPr>
          <w:rFonts w:ascii="Arial" w:hAnsi="Arial" w:cs="Arial"/>
          <w:spacing w:val="-1"/>
          <w:w w:val="105"/>
          <w:sz w:val="21"/>
          <w:szCs w:val="21"/>
        </w:rPr>
        <w:t xml:space="preserve"> </w:t>
      </w:r>
      <w:r>
        <w:rPr>
          <w:rFonts w:ascii="Arial" w:hAnsi="Arial" w:cs="Arial"/>
          <w:w w:val="105"/>
          <w:sz w:val="21"/>
          <w:szCs w:val="21"/>
        </w:rPr>
        <w:t>{ED)</w:t>
      </w:r>
      <w:r>
        <w:rPr>
          <w:rFonts w:ascii="Arial" w:hAnsi="Arial" w:cs="Arial"/>
          <w:spacing w:val="-12"/>
          <w:w w:val="105"/>
          <w:sz w:val="21"/>
          <w:szCs w:val="21"/>
        </w:rPr>
        <w:t xml:space="preserve"> </w:t>
      </w:r>
      <w:r>
        <w:rPr>
          <w:rFonts w:ascii="Arial" w:hAnsi="Arial" w:cs="Arial"/>
          <w:w w:val="105"/>
          <w:sz w:val="21"/>
          <w:szCs w:val="21"/>
        </w:rPr>
        <w:t>visits.</w:t>
      </w:r>
      <w:r>
        <w:rPr>
          <w:rFonts w:ascii="Arial" w:hAnsi="Arial" w:cs="Arial"/>
          <w:spacing w:val="28"/>
          <w:w w:val="105"/>
          <w:sz w:val="21"/>
          <w:szCs w:val="21"/>
        </w:rPr>
        <w:t xml:space="preserve"> </w:t>
      </w:r>
      <w:r>
        <w:rPr>
          <w:rFonts w:ascii="Arial" w:hAnsi="Arial" w:cs="Arial"/>
          <w:w w:val="105"/>
          <w:sz w:val="21"/>
          <w:szCs w:val="21"/>
        </w:rPr>
        <w:t>Based</w:t>
      </w:r>
      <w:r>
        <w:rPr>
          <w:rFonts w:ascii="Arial" w:hAnsi="Arial" w:cs="Arial"/>
          <w:spacing w:val="-12"/>
          <w:w w:val="105"/>
          <w:sz w:val="21"/>
          <w:szCs w:val="21"/>
        </w:rPr>
        <w:t xml:space="preserve"> </w:t>
      </w:r>
      <w:r>
        <w:rPr>
          <w:rFonts w:ascii="Arial" w:hAnsi="Arial" w:cs="Arial"/>
          <w:w w:val="105"/>
          <w:sz w:val="21"/>
          <w:szCs w:val="21"/>
        </w:rPr>
        <w:t>on</w:t>
      </w:r>
      <w:r>
        <w:rPr>
          <w:rFonts w:ascii="Arial" w:hAnsi="Arial" w:cs="Arial"/>
          <w:spacing w:val="-21"/>
          <w:w w:val="105"/>
          <w:sz w:val="21"/>
          <w:szCs w:val="21"/>
        </w:rPr>
        <w:t xml:space="preserve"> </w:t>
      </w:r>
      <w:r>
        <w:rPr>
          <w:rFonts w:ascii="Arial" w:hAnsi="Arial" w:cs="Arial"/>
          <w:w w:val="105"/>
          <w:sz w:val="21"/>
          <w:szCs w:val="21"/>
        </w:rPr>
        <w:t>an</w:t>
      </w:r>
      <w:r>
        <w:rPr>
          <w:rFonts w:ascii="Arial" w:hAnsi="Arial" w:cs="Arial"/>
          <w:spacing w:val="-18"/>
          <w:w w:val="105"/>
          <w:sz w:val="21"/>
          <w:szCs w:val="21"/>
        </w:rPr>
        <w:t xml:space="preserve"> </w:t>
      </w:r>
      <w:r>
        <w:rPr>
          <w:rFonts w:ascii="Arial" w:hAnsi="Arial" w:cs="Arial"/>
          <w:w w:val="105"/>
          <w:sz w:val="21"/>
          <w:szCs w:val="21"/>
        </w:rPr>
        <w:t>average</w:t>
      </w:r>
      <w:r>
        <w:rPr>
          <w:rFonts w:ascii="Arial" w:hAnsi="Arial" w:cs="Arial"/>
          <w:spacing w:val="-13"/>
          <w:w w:val="105"/>
          <w:sz w:val="21"/>
          <w:szCs w:val="21"/>
        </w:rPr>
        <w:t xml:space="preserve"> </w:t>
      </w:r>
      <w:r>
        <w:rPr>
          <w:rFonts w:ascii="Arial" w:hAnsi="Arial" w:cs="Arial"/>
          <w:w w:val="105"/>
          <w:sz w:val="21"/>
          <w:szCs w:val="21"/>
        </w:rPr>
        <w:t>cost</w:t>
      </w:r>
      <w:r>
        <w:rPr>
          <w:rFonts w:ascii="Arial" w:hAnsi="Arial" w:cs="Arial"/>
          <w:spacing w:val="-27"/>
          <w:w w:val="105"/>
          <w:sz w:val="21"/>
          <w:szCs w:val="21"/>
        </w:rPr>
        <w:t xml:space="preserve"> </w:t>
      </w:r>
      <w:r>
        <w:rPr>
          <w:rFonts w:ascii="Arial" w:hAnsi="Arial" w:cs="Arial"/>
          <w:w w:val="105"/>
          <w:sz w:val="21"/>
          <w:szCs w:val="21"/>
        </w:rPr>
        <w:t>for</w:t>
      </w:r>
      <w:r>
        <w:rPr>
          <w:rFonts w:ascii="Arial" w:hAnsi="Arial" w:cs="Arial"/>
          <w:spacing w:val="-12"/>
          <w:w w:val="105"/>
          <w:sz w:val="21"/>
          <w:szCs w:val="21"/>
        </w:rPr>
        <w:t xml:space="preserve"> </w:t>
      </w:r>
      <w:r>
        <w:rPr>
          <w:rFonts w:ascii="Arial" w:hAnsi="Arial" w:cs="Arial"/>
          <w:w w:val="105"/>
          <w:sz w:val="21"/>
          <w:szCs w:val="21"/>
        </w:rPr>
        <w:t>an</w:t>
      </w:r>
      <w:r>
        <w:rPr>
          <w:rFonts w:ascii="Arial" w:hAnsi="Arial" w:cs="Arial"/>
          <w:spacing w:val="-10"/>
          <w:w w:val="105"/>
          <w:sz w:val="21"/>
          <w:szCs w:val="21"/>
        </w:rPr>
        <w:t xml:space="preserve"> </w:t>
      </w:r>
      <w:r>
        <w:rPr>
          <w:rFonts w:ascii="Arial" w:hAnsi="Arial" w:cs="Arial"/>
          <w:w w:val="105"/>
          <w:sz w:val="21"/>
          <w:szCs w:val="21"/>
        </w:rPr>
        <w:t>ED</w:t>
      </w:r>
      <w:r>
        <w:rPr>
          <w:rFonts w:ascii="Arial" w:hAnsi="Arial" w:cs="Arial"/>
          <w:spacing w:val="-25"/>
          <w:w w:val="105"/>
          <w:sz w:val="21"/>
          <w:szCs w:val="21"/>
        </w:rPr>
        <w:t xml:space="preserve"> </w:t>
      </w:r>
      <w:r>
        <w:rPr>
          <w:rFonts w:ascii="Arial" w:hAnsi="Arial" w:cs="Arial"/>
          <w:w w:val="105"/>
          <w:sz w:val="21"/>
          <w:szCs w:val="21"/>
        </w:rPr>
        <w:t>visit</w:t>
      </w:r>
      <w:r>
        <w:rPr>
          <w:rFonts w:ascii="Arial" w:hAnsi="Arial" w:cs="Arial"/>
          <w:spacing w:val="-12"/>
          <w:w w:val="105"/>
          <w:sz w:val="21"/>
          <w:szCs w:val="21"/>
        </w:rPr>
        <w:t xml:space="preserve"> </w:t>
      </w:r>
      <w:r>
        <w:rPr>
          <w:rFonts w:ascii="Arial" w:hAnsi="Arial" w:cs="Arial"/>
          <w:w w:val="105"/>
          <w:sz w:val="21"/>
          <w:szCs w:val="21"/>
        </w:rPr>
        <w:t>of</w:t>
      </w:r>
      <w:r>
        <w:rPr>
          <w:rFonts w:ascii="Arial" w:hAnsi="Arial" w:cs="Arial"/>
          <w:spacing w:val="-20"/>
          <w:w w:val="105"/>
          <w:sz w:val="21"/>
          <w:szCs w:val="21"/>
        </w:rPr>
        <w:t xml:space="preserve"> </w:t>
      </w:r>
      <w:r>
        <w:rPr>
          <w:rFonts w:ascii="Arial" w:hAnsi="Arial" w:cs="Arial"/>
          <w:spacing w:val="-8"/>
          <w:w w:val="105"/>
          <w:sz w:val="21"/>
          <w:szCs w:val="21"/>
        </w:rPr>
        <w:t>$1,233,</w:t>
      </w:r>
      <w:r>
        <w:rPr>
          <w:rFonts w:ascii="Arial" w:hAnsi="Arial" w:cs="Arial"/>
          <w:spacing w:val="-23"/>
          <w:w w:val="105"/>
          <w:sz w:val="21"/>
          <w:szCs w:val="21"/>
        </w:rPr>
        <w:t xml:space="preserve"> </w:t>
      </w:r>
      <w:r>
        <w:rPr>
          <w:rFonts w:ascii="Arial" w:hAnsi="Arial" w:cs="Arial"/>
          <w:w w:val="105"/>
          <w:sz w:val="21"/>
          <w:szCs w:val="21"/>
        </w:rPr>
        <w:t>the</w:t>
      </w:r>
      <w:r>
        <w:rPr>
          <w:rFonts w:ascii="Arial" w:hAnsi="Arial" w:cs="Arial"/>
          <w:spacing w:val="-18"/>
          <w:w w:val="105"/>
          <w:sz w:val="21"/>
          <w:szCs w:val="21"/>
        </w:rPr>
        <w:t xml:space="preserve"> </w:t>
      </w:r>
      <w:r>
        <w:rPr>
          <w:rFonts w:ascii="Arial" w:hAnsi="Arial" w:cs="Arial"/>
          <w:w w:val="105"/>
          <w:sz w:val="21"/>
          <w:szCs w:val="21"/>
        </w:rPr>
        <w:t>cost</w:t>
      </w:r>
      <w:r>
        <w:rPr>
          <w:rFonts w:ascii="Arial" w:hAnsi="Arial" w:cs="Arial"/>
          <w:spacing w:val="-21"/>
          <w:w w:val="105"/>
          <w:sz w:val="21"/>
          <w:szCs w:val="21"/>
        </w:rPr>
        <w:t xml:space="preserve"> </w:t>
      </w:r>
      <w:r>
        <w:rPr>
          <w:rFonts w:ascii="Arial" w:hAnsi="Arial" w:cs="Arial"/>
          <w:w w:val="105"/>
          <w:sz w:val="21"/>
          <w:szCs w:val="21"/>
        </w:rPr>
        <w:t>of</w:t>
      </w:r>
      <w:r>
        <w:rPr>
          <w:rFonts w:ascii="Arial" w:hAnsi="Arial" w:cs="Arial"/>
          <w:spacing w:val="-29"/>
          <w:w w:val="105"/>
          <w:sz w:val="21"/>
          <w:szCs w:val="21"/>
        </w:rPr>
        <w:t xml:space="preserve"> </w:t>
      </w:r>
      <w:r>
        <w:rPr>
          <w:rFonts w:ascii="Arial" w:hAnsi="Arial" w:cs="Arial"/>
          <w:w w:val="105"/>
          <w:sz w:val="21"/>
          <w:szCs w:val="21"/>
        </w:rPr>
        <w:t>these visits</w:t>
      </w:r>
      <w:r>
        <w:rPr>
          <w:rFonts w:ascii="Arial" w:hAnsi="Arial" w:cs="Arial"/>
          <w:spacing w:val="-20"/>
          <w:w w:val="105"/>
          <w:sz w:val="21"/>
          <w:szCs w:val="21"/>
        </w:rPr>
        <w:t xml:space="preserve"> </w:t>
      </w:r>
      <w:r>
        <w:rPr>
          <w:rFonts w:ascii="Arial" w:hAnsi="Arial" w:cs="Arial"/>
          <w:w w:val="105"/>
          <w:sz w:val="21"/>
          <w:szCs w:val="21"/>
        </w:rPr>
        <w:t>was</w:t>
      </w:r>
      <w:r>
        <w:rPr>
          <w:rFonts w:ascii="Arial" w:hAnsi="Arial" w:cs="Arial"/>
          <w:spacing w:val="-9"/>
          <w:w w:val="105"/>
          <w:sz w:val="21"/>
          <w:szCs w:val="21"/>
        </w:rPr>
        <w:t xml:space="preserve"> </w:t>
      </w:r>
      <w:r>
        <w:rPr>
          <w:rFonts w:ascii="Arial" w:hAnsi="Arial" w:cs="Arial"/>
          <w:spacing w:val="-4"/>
          <w:w w:val="105"/>
          <w:sz w:val="21"/>
          <w:szCs w:val="21"/>
        </w:rPr>
        <w:t>$1.6</w:t>
      </w:r>
      <w:r>
        <w:rPr>
          <w:rFonts w:ascii="Arial" w:hAnsi="Arial" w:cs="Arial"/>
          <w:spacing w:val="-33"/>
          <w:w w:val="105"/>
          <w:sz w:val="21"/>
          <w:szCs w:val="21"/>
        </w:rPr>
        <w:t xml:space="preserve"> </w:t>
      </w:r>
      <w:r>
        <w:rPr>
          <w:rFonts w:ascii="Arial" w:hAnsi="Arial" w:cs="Arial"/>
          <w:w w:val="105"/>
          <w:sz w:val="21"/>
          <w:szCs w:val="21"/>
        </w:rPr>
        <w:t>million.</w:t>
      </w:r>
      <w:r>
        <w:rPr>
          <w:rFonts w:ascii="Arial" w:hAnsi="Arial" w:cs="Arial"/>
          <w:spacing w:val="6"/>
          <w:w w:val="105"/>
          <w:sz w:val="21"/>
          <w:szCs w:val="21"/>
        </w:rPr>
        <w:t xml:space="preserve"> </w:t>
      </w:r>
      <w:r>
        <w:rPr>
          <w:rFonts w:ascii="Arial" w:hAnsi="Arial" w:cs="Arial"/>
          <w:w w:val="105"/>
          <w:sz w:val="21"/>
          <w:szCs w:val="21"/>
        </w:rPr>
        <w:t>This</w:t>
      </w:r>
      <w:r>
        <w:rPr>
          <w:rFonts w:ascii="Arial" w:hAnsi="Arial" w:cs="Arial"/>
          <w:spacing w:val="-11"/>
          <w:w w:val="105"/>
          <w:sz w:val="21"/>
          <w:szCs w:val="21"/>
        </w:rPr>
        <w:t xml:space="preserve"> </w:t>
      </w:r>
      <w:r>
        <w:rPr>
          <w:rFonts w:ascii="Arial" w:hAnsi="Arial" w:cs="Arial"/>
          <w:w w:val="105"/>
          <w:sz w:val="21"/>
          <w:szCs w:val="21"/>
        </w:rPr>
        <w:t>does</w:t>
      </w:r>
      <w:r>
        <w:rPr>
          <w:rFonts w:ascii="Arial" w:hAnsi="Arial" w:cs="Arial"/>
          <w:spacing w:val="-16"/>
          <w:w w:val="105"/>
          <w:sz w:val="21"/>
          <w:szCs w:val="21"/>
        </w:rPr>
        <w:t xml:space="preserve"> </w:t>
      </w:r>
      <w:r>
        <w:rPr>
          <w:rFonts w:ascii="Arial" w:hAnsi="Arial" w:cs="Arial"/>
          <w:w w:val="105"/>
          <w:sz w:val="21"/>
          <w:szCs w:val="21"/>
        </w:rPr>
        <w:t>not</w:t>
      </w:r>
      <w:r>
        <w:rPr>
          <w:rFonts w:ascii="Arial" w:hAnsi="Arial" w:cs="Arial"/>
          <w:spacing w:val="-23"/>
          <w:w w:val="105"/>
          <w:sz w:val="21"/>
          <w:szCs w:val="21"/>
        </w:rPr>
        <w:t xml:space="preserve"> </w:t>
      </w:r>
      <w:r>
        <w:rPr>
          <w:rFonts w:ascii="Arial" w:hAnsi="Arial" w:cs="Arial"/>
          <w:w w:val="105"/>
          <w:sz w:val="21"/>
          <w:szCs w:val="21"/>
        </w:rPr>
        <w:t>include</w:t>
      </w:r>
      <w:r>
        <w:rPr>
          <w:rFonts w:ascii="Arial" w:hAnsi="Arial" w:cs="Arial"/>
          <w:spacing w:val="-23"/>
          <w:w w:val="105"/>
          <w:sz w:val="21"/>
          <w:szCs w:val="21"/>
        </w:rPr>
        <w:t xml:space="preserve"> </w:t>
      </w:r>
      <w:r>
        <w:rPr>
          <w:rFonts w:ascii="Arial" w:hAnsi="Arial" w:cs="Arial"/>
          <w:w w:val="105"/>
          <w:sz w:val="21"/>
          <w:szCs w:val="21"/>
        </w:rPr>
        <w:t>any</w:t>
      </w:r>
      <w:r>
        <w:rPr>
          <w:rFonts w:ascii="Arial" w:hAnsi="Arial" w:cs="Arial"/>
          <w:spacing w:val="-20"/>
          <w:w w:val="105"/>
          <w:sz w:val="21"/>
          <w:szCs w:val="21"/>
        </w:rPr>
        <w:t xml:space="preserve"> </w:t>
      </w:r>
      <w:r>
        <w:rPr>
          <w:rFonts w:ascii="Arial" w:hAnsi="Arial" w:cs="Arial"/>
          <w:w w:val="105"/>
          <w:sz w:val="21"/>
          <w:szCs w:val="21"/>
        </w:rPr>
        <w:t>hospitalizations,</w:t>
      </w:r>
      <w:r>
        <w:rPr>
          <w:rFonts w:ascii="Arial" w:hAnsi="Arial" w:cs="Arial"/>
          <w:spacing w:val="-17"/>
          <w:w w:val="105"/>
          <w:sz w:val="21"/>
          <w:szCs w:val="21"/>
        </w:rPr>
        <w:t xml:space="preserve"> </w:t>
      </w:r>
      <w:r>
        <w:rPr>
          <w:rFonts w:ascii="Arial" w:hAnsi="Arial" w:cs="Arial"/>
          <w:spacing w:val="2"/>
          <w:w w:val="105"/>
          <w:sz w:val="21"/>
          <w:szCs w:val="21"/>
        </w:rPr>
        <w:t>specialists,</w:t>
      </w:r>
      <w:r>
        <w:rPr>
          <w:rFonts w:ascii="Arial" w:hAnsi="Arial" w:cs="Arial"/>
          <w:spacing w:val="-23"/>
          <w:w w:val="105"/>
          <w:sz w:val="21"/>
          <w:szCs w:val="21"/>
        </w:rPr>
        <w:t xml:space="preserve"> </w:t>
      </w:r>
      <w:r>
        <w:rPr>
          <w:rFonts w:ascii="Arial" w:hAnsi="Arial" w:cs="Arial"/>
          <w:w w:val="105"/>
          <w:sz w:val="21"/>
          <w:szCs w:val="21"/>
        </w:rPr>
        <w:t xml:space="preserve">medications, additional testing or visits to other hospital ERs. On average the expense, per year, per homeless individual, for this cohort </w:t>
      </w:r>
      <w:r>
        <w:rPr>
          <w:rFonts w:ascii="Arial" w:hAnsi="Arial" w:cs="Arial"/>
          <w:spacing w:val="-9"/>
          <w:w w:val="105"/>
          <w:sz w:val="21"/>
          <w:szCs w:val="21"/>
        </w:rPr>
        <w:t xml:space="preserve">is </w:t>
      </w:r>
      <w:r>
        <w:rPr>
          <w:rFonts w:ascii="Arial" w:hAnsi="Arial" w:cs="Arial"/>
          <w:w w:val="105"/>
          <w:sz w:val="21"/>
          <w:szCs w:val="21"/>
        </w:rPr>
        <w:t xml:space="preserve">of </w:t>
      </w:r>
      <w:r>
        <w:rPr>
          <w:rFonts w:ascii="Arial" w:hAnsi="Arial" w:cs="Arial"/>
          <w:spacing w:val="-25"/>
          <w:w w:val="105"/>
          <w:sz w:val="21"/>
          <w:szCs w:val="21"/>
        </w:rPr>
        <w:t xml:space="preserve">16 </w:t>
      </w:r>
      <w:r>
        <w:rPr>
          <w:rFonts w:ascii="Arial" w:hAnsi="Arial" w:cs="Arial"/>
          <w:w w:val="105"/>
          <w:sz w:val="21"/>
          <w:szCs w:val="21"/>
        </w:rPr>
        <w:t xml:space="preserve">is approximately $44K  -  </w:t>
      </w:r>
      <w:r>
        <w:rPr>
          <w:rFonts w:ascii="Arial" w:hAnsi="Arial" w:cs="Arial"/>
          <w:w w:val="105"/>
          <w:sz w:val="21"/>
          <w:szCs w:val="21"/>
          <w:u w:val="single" w:color="000000"/>
        </w:rPr>
        <w:t>for ED visits</w:t>
      </w:r>
      <w:r>
        <w:rPr>
          <w:rFonts w:ascii="Arial" w:hAnsi="Arial" w:cs="Arial"/>
          <w:spacing w:val="-30"/>
          <w:w w:val="105"/>
          <w:sz w:val="21"/>
          <w:szCs w:val="21"/>
          <w:u w:val="single" w:color="000000"/>
        </w:rPr>
        <w:t xml:space="preserve"> </w:t>
      </w:r>
      <w:r>
        <w:rPr>
          <w:rFonts w:ascii="Arial" w:hAnsi="Arial" w:cs="Arial"/>
          <w:w w:val="105"/>
          <w:sz w:val="21"/>
          <w:szCs w:val="21"/>
          <w:u w:val="single" w:color="000000"/>
        </w:rPr>
        <w:t>o</w:t>
      </w:r>
      <w:r>
        <w:rPr>
          <w:rFonts w:ascii="Arial" w:hAnsi="Arial" w:cs="Arial"/>
          <w:w w:val="105"/>
          <w:sz w:val="21"/>
          <w:szCs w:val="21"/>
        </w:rPr>
        <w:t>nly.</w:t>
      </w:r>
    </w:p>
    <w:p w:rsidR="002C5025" w:rsidRDefault="002C5025">
      <w:pPr>
        <w:pStyle w:val="BodyText"/>
        <w:kinsoku w:val="0"/>
        <w:overflowPunct w:val="0"/>
        <w:spacing w:line="338" w:lineRule="auto"/>
        <w:ind w:left="102" w:right="269"/>
        <w:rPr>
          <w:rFonts w:ascii="Arial" w:hAnsi="Arial" w:cs="Arial"/>
          <w:w w:val="105"/>
          <w:sz w:val="21"/>
          <w:szCs w:val="21"/>
        </w:rPr>
        <w:sectPr w:rsidR="002C5025">
          <w:pgSz w:w="12240" w:h="15840"/>
          <w:pgMar w:top="1420" w:right="1580" w:bottom="280" w:left="1280" w:header="720" w:footer="720" w:gutter="0"/>
          <w:cols w:space="720" w:equalWidth="0">
            <w:col w:w="9380"/>
          </w:cols>
          <w:noEndnote/>
        </w:sectPr>
      </w:pPr>
    </w:p>
    <w:p w:rsidR="002C5025" w:rsidRDefault="002C5025">
      <w:pPr>
        <w:pStyle w:val="BodyText"/>
        <w:kinsoku w:val="0"/>
        <w:overflowPunct w:val="0"/>
        <w:spacing w:before="60" w:line="336" w:lineRule="auto"/>
        <w:ind w:left="144" w:right="187" w:firstLine="7"/>
        <w:rPr>
          <w:rFonts w:ascii="Arial" w:hAnsi="Arial" w:cs="Arial"/>
          <w:sz w:val="21"/>
          <w:szCs w:val="21"/>
        </w:rPr>
      </w:pPr>
      <w:r>
        <w:rPr>
          <w:rFonts w:ascii="Arial" w:hAnsi="Arial" w:cs="Arial"/>
          <w:sz w:val="21"/>
          <w:szCs w:val="21"/>
        </w:rPr>
        <w:lastRenderedPageBreak/>
        <w:t>Remember that even after all this these people are still homeless. Because we have had good success in housing chronically homeless individuals, we know that we could have housed this cohort with permanent supportive housing over the same 2+ year period for $933K; instead MassHealth paid $1.GM for just their ED costs.  That's almost a million dollar   difference.</w:t>
      </w:r>
    </w:p>
    <w:p w:rsidR="002C5025" w:rsidRDefault="002C5025">
      <w:pPr>
        <w:pStyle w:val="BodyText"/>
        <w:kinsoku w:val="0"/>
        <w:overflowPunct w:val="0"/>
        <w:rPr>
          <w:rFonts w:ascii="Arial" w:hAnsi="Arial" w:cs="Arial"/>
          <w:sz w:val="18"/>
          <w:szCs w:val="18"/>
        </w:rPr>
      </w:pPr>
    </w:p>
    <w:p w:rsidR="002C5025" w:rsidRDefault="002C5025">
      <w:pPr>
        <w:pStyle w:val="BodyText"/>
        <w:kinsoku w:val="0"/>
        <w:overflowPunct w:val="0"/>
        <w:spacing w:line="338" w:lineRule="auto"/>
        <w:ind w:left="130" w:right="187" w:firstLine="21"/>
        <w:rPr>
          <w:rFonts w:ascii="Arial" w:hAnsi="Arial" w:cs="Arial"/>
          <w:w w:val="105"/>
          <w:sz w:val="21"/>
          <w:szCs w:val="21"/>
        </w:rPr>
      </w:pPr>
      <w:r>
        <w:rPr>
          <w:rFonts w:ascii="Arial" w:hAnsi="Arial" w:cs="Arial"/>
          <w:w w:val="105"/>
          <w:sz w:val="21"/>
          <w:szCs w:val="21"/>
        </w:rPr>
        <w:t>I</w:t>
      </w:r>
      <w:r>
        <w:rPr>
          <w:rFonts w:ascii="Arial" w:hAnsi="Arial" w:cs="Arial"/>
          <w:spacing w:val="-33"/>
          <w:w w:val="105"/>
          <w:sz w:val="21"/>
          <w:szCs w:val="21"/>
        </w:rPr>
        <w:t xml:space="preserve"> </w:t>
      </w:r>
      <w:r>
        <w:rPr>
          <w:rFonts w:ascii="Arial" w:hAnsi="Arial" w:cs="Arial"/>
          <w:w w:val="105"/>
          <w:sz w:val="21"/>
          <w:szCs w:val="21"/>
        </w:rPr>
        <w:t>would</w:t>
      </w:r>
      <w:r>
        <w:rPr>
          <w:rFonts w:ascii="Arial" w:hAnsi="Arial" w:cs="Arial"/>
          <w:spacing w:val="1"/>
          <w:w w:val="105"/>
          <w:sz w:val="21"/>
          <w:szCs w:val="21"/>
        </w:rPr>
        <w:t xml:space="preserve"> </w:t>
      </w:r>
      <w:r>
        <w:rPr>
          <w:rFonts w:ascii="Arial" w:hAnsi="Arial" w:cs="Arial"/>
          <w:w w:val="105"/>
          <w:sz w:val="21"/>
          <w:szCs w:val="21"/>
        </w:rPr>
        <w:t>like</w:t>
      </w:r>
      <w:r>
        <w:rPr>
          <w:rFonts w:ascii="Arial" w:hAnsi="Arial" w:cs="Arial"/>
          <w:spacing w:val="-31"/>
          <w:w w:val="105"/>
          <w:sz w:val="21"/>
          <w:szCs w:val="21"/>
        </w:rPr>
        <w:t xml:space="preserve"> </w:t>
      </w:r>
      <w:r>
        <w:rPr>
          <w:rFonts w:ascii="Arial" w:hAnsi="Arial" w:cs="Arial"/>
          <w:w w:val="105"/>
          <w:sz w:val="21"/>
          <w:szCs w:val="21"/>
        </w:rPr>
        <w:t>to</w:t>
      </w:r>
      <w:r>
        <w:rPr>
          <w:rFonts w:ascii="Arial" w:hAnsi="Arial" w:cs="Arial"/>
          <w:spacing w:val="-12"/>
          <w:w w:val="105"/>
          <w:sz w:val="21"/>
          <w:szCs w:val="21"/>
        </w:rPr>
        <w:t xml:space="preserve"> </w:t>
      </w:r>
      <w:r>
        <w:rPr>
          <w:rFonts w:ascii="Arial" w:hAnsi="Arial" w:cs="Arial"/>
          <w:w w:val="105"/>
          <w:sz w:val="21"/>
          <w:szCs w:val="21"/>
        </w:rPr>
        <w:t>also</w:t>
      </w:r>
      <w:r>
        <w:rPr>
          <w:rFonts w:ascii="Arial" w:hAnsi="Arial" w:cs="Arial"/>
          <w:spacing w:val="-8"/>
          <w:w w:val="105"/>
          <w:sz w:val="21"/>
          <w:szCs w:val="21"/>
        </w:rPr>
        <w:t xml:space="preserve"> </w:t>
      </w:r>
      <w:r>
        <w:rPr>
          <w:rFonts w:ascii="Arial" w:hAnsi="Arial" w:cs="Arial"/>
          <w:w w:val="105"/>
          <w:sz w:val="21"/>
          <w:szCs w:val="21"/>
        </w:rPr>
        <w:t>point</w:t>
      </w:r>
      <w:r>
        <w:rPr>
          <w:rFonts w:ascii="Arial" w:hAnsi="Arial" w:cs="Arial"/>
          <w:spacing w:val="-17"/>
          <w:w w:val="105"/>
          <w:sz w:val="21"/>
          <w:szCs w:val="21"/>
        </w:rPr>
        <w:t xml:space="preserve"> </w:t>
      </w:r>
      <w:r>
        <w:rPr>
          <w:rFonts w:ascii="Arial" w:hAnsi="Arial" w:cs="Arial"/>
          <w:w w:val="105"/>
          <w:sz w:val="21"/>
          <w:szCs w:val="21"/>
        </w:rPr>
        <w:t>out</w:t>
      </w:r>
      <w:r>
        <w:rPr>
          <w:rFonts w:ascii="Arial" w:hAnsi="Arial" w:cs="Arial"/>
          <w:spacing w:val="-10"/>
          <w:w w:val="105"/>
          <w:sz w:val="21"/>
          <w:szCs w:val="21"/>
        </w:rPr>
        <w:t xml:space="preserve"> </w:t>
      </w:r>
      <w:r>
        <w:rPr>
          <w:rFonts w:ascii="Arial" w:hAnsi="Arial" w:cs="Arial"/>
          <w:w w:val="105"/>
          <w:sz w:val="21"/>
          <w:szCs w:val="21"/>
        </w:rPr>
        <w:t>another</w:t>
      </w:r>
      <w:r>
        <w:rPr>
          <w:rFonts w:ascii="Arial" w:hAnsi="Arial" w:cs="Arial"/>
          <w:spacing w:val="-5"/>
          <w:w w:val="105"/>
          <w:sz w:val="21"/>
          <w:szCs w:val="21"/>
        </w:rPr>
        <w:t xml:space="preserve"> </w:t>
      </w:r>
      <w:r>
        <w:rPr>
          <w:rFonts w:ascii="Arial" w:hAnsi="Arial" w:cs="Arial"/>
          <w:w w:val="105"/>
          <w:sz w:val="21"/>
          <w:szCs w:val="21"/>
        </w:rPr>
        <w:t>study</w:t>
      </w:r>
      <w:r>
        <w:rPr>
          <w:rFonts w:ascii="Arial" w:hAnsi="Arial" w:cs="Arial"/>
          <w:spacing w:val="-19"/>
          <w:w w:val="105"/>
          <w:sz w:val="21"/>
          <w:szCs w:val="21"/>
        </w:rPr>
        <w:t xml:space="preserve"> </w:t>
      </w:r>
      <w:r>
        <w:rPr>
          <w:rFonts w:ascii="Arial" w:hAnsi="Arial" w:cs="Arial"/>
          <w:w w:val="105"/>
          <w:sz w:val="21"/>
          <w:szCs w:val="21"/>
        </w:rPr>
        <w:t>from</w:t>
      </w:r>
      <w:r>
        <w:rPr>
          <w:rFonts w:ascii="Arial" w:hAnsi="Arial" w:cs="Arial"/>
          <w:spacing w:val="6"/>
          <w:w w:val="105"/>
          <w:sz w:val="21"/>
          <w:szCs w:val="21"/>
        </w:rPr>
        <w:t xml:space="preserve"> </w:t>
      </w:r>
      <w:r>
        <w:rPr>
          <w:rFonts w:ascii="Arial" w:hAnsi="Arial" w:cs="Arial"/>
          <w:w w:val="105"/>
          <w:sz w:val="21"/>
          <w:szCs w:val="21"/>
        </w:rPr>
        <w:t>Los</w:t>
      </w:r>
      <w:r>
        <w:rPr>
          <w:rFonts w:ascii="Arial" w:hAnsi="Arial" w:cs="Arial"/>
          <w:spacing w:val="-21"/>
          <w:w w:val="105"/>
          <w:sz w:val="21"/>
          <w:szCs w:val="21"/>
        </w:rPr>
        <w:t xml:space="preserve"> </w:t>
      </w:r>
      <w:r>
        <w:rPr>
          <w:rFonts w:ascii="Arial" w:hAnsi="Arial" w:cs="Arial"/>
          <w:w w:val="105"/>
          <w:sz w:val="21"/>
          <w:szCs w:val="21"/>
        </w:rPr>
        <w:t>Angeles</w:t>
      </w:r>
      <w:r>
        <w:rPr>
          <w:rFonts w:ascii="Arial" w:hAnsi="Arial" w:cs="Arial"/>
          <w:spacing w:val="-15"/>
          <w:w w:val="105"/>
          <w:sz w:val="21"/>
          <w:szCs w:val="21"/>
        </w:rPr>
        <w:t xml:space="preserve"> </w:t>
      </w:r>
      <w:r>
        <w:rPr>
          <w:rFonts w:ascii="Arial" w:hAnsi="Arial" w:cs="Arial"/>
          <w:w w:val="140"/>
          <w:sz w:val="21"/>
          <w:szCs w:val="21"/>
        </w:rPr>
        <w:t>-</w:t>
      </w:r>
      <w:r>
        <w:rPr>
          <w:rFonts w:ascii="Arial" w:hAnsi="Arial" w:cs="Arial"/>
          <w:spacing w:val="23"/>
          <w:w w:val="140"/>
          <w:sz w:val="21"/>
          <w:szCs w:val="21"/>
        </w:rPr>
        <w:t xml:space="preserve"> </w:t>
      </w:r>
      <w:r>
        <w:rPr>
          <w:rFonts w:ascii="Arial" w:hAnsi="Arial" w:cs="Arial"/>
          <w:w w:val="105"/>
          <w:sz w:val="21"/>
          <w:szCs w:val="21"/>
        </w:rPr>
        <w:t>The</w:t>
      </w:r>
      <w:r>
        <w:rPr>
          <w:rFonts w:ascii="Arial" w:hAnsi="Arial" w:cs="Arial"/>
          <w:spacing w:val="-8"/>
          <w:w w:val="105"/>
          <w:sz w:val="21"/>
          <w:szCs w:val="21"/>
        </w:rPr>
        <w:t xml:space="preserve"> </w:t>
      </w:r>
      <w:r>
        <w:rPr>
          <w:rFonts w:ascii="Arial" w:hAnsi="Arial" w:cs="Arial"/>
          <w:w w:val="105"/>
          <w:sz w:val="21"/>
          <w:szCs w:val="21"/>
        </w:rPr>
        <w:t>Cost</w:t>
      </w:r>
      <w:r>
        <w:rPr>
          <w:rFonts w:ascii="Arial" w:hAnsi="Arial" w:cs="Arial"/>
          <w:spacing w:val="-10"/>
          <w:w w:val="105"/>
          <w:sz w:val="21"/>
          <w:szCs w:val="21"/>
        </w:rPr>
        <w:t xml:space="preserve"> </w:t>
      </w:r>
      <w:r>
        <w:rPr>
          <w:rFonts w:ascii="Arial" w:hAnsi="Arial" w:cs="Arial"/>
          <w:w w:val="105"/>
          <w:sz w:val="21"/>
          <w:szCs w:val="21"/>
        </w:rPr>
        <w:t>Effectiveness</w:t>
      </w:r>
      <w:r>
        <w:rPr>
          <w:rFonts w:ascii="Arial" w:hAnsi="Arial" w:cs="Arial"/>
          <w:spacing w:val="-15"/>
          <w:w w:val="105"/>
          <w:sz w:val="21"/>
          <w:szCs w:val="21"/>
        </w:rPr>
        <w:t xml:space="preserve"> </w:t>
      </w:r>
      <w:r>
        <w:rPr>
          <w:rFonts w:ascii="Arial" w:hAnsi="Arial" w:cs="Arial"/>
          <w:w w:val="105"/>
          <w:sz w:val="21"/>
          <w:szCs w:val="21"/>
        </w:rPr>
        <w:t>of</w:t>
      </w:r>
      <w:r>
        <w:rPr>
          <w:rFonts w:ascii="Arial" w:hAnsi="Arial" w:cs="Arial"/>
          <w:spacing w:val="-21"/>
          <w:w w:val="105"/>
          <w:sz w:val="21"/>
          <w:szCs w:val="21"/>
        </w:rPr>
        <w:t xml:space="preserve"> </w:t>
      </w:r>
      <w:r>
        <w:rPr>
          <w:rFonts w:ascii="Arial" w:hAnsi="Arial" w:cs="Arial"/>
          <w:w w:val="105"/>
          <w:sz w:val="21"/>
          <w:szCs w:val="21"/>
        </w:rPr>
        <w:t>the Permanent</w:t>
      </w:r>
      <w:r>
        <w:rPr>
          <w:rFonts w:ascii="Arial" w:hAnsi="Arial" w:cs="Arial"/>
          <w:spacing w:val="-19"/>
          <w:w w:val="105"/>
          <w:sz w:val="21"/>
          <w:szCs w:val="21"/>
        </w:rPr>
        <w:t xml:space="preserve"> </w:t>
      </w:r>
      <w:r>
        <w:rPr>
          <w:rFonts w:ascii="Arial" w:hAnsi="Arial" w:cs="Arial"/>
          <w:w w:val="105"/>
          <w:sz w:val="21"/>
          <w:szCs w:val="21"/>
        </w:rPr>
        <w:t>Supportive</w:t>
      </w:r>
      <w:r>
        <w:rPr>
          <w:rFonts w:ascii="Arial" w:hAnsi="Arial" w:cs="Arial"/>
          <w:spacing w:val="-14"/>
          <w:w w:val="105"/>
          <w:sz w:val="21"/>
          <w:szCs w:val="21"/>
        </w:rPr>
        <w:t xml:space="preserve"> </w:t>
      </w:r>
      <w:r>
        <w:rPr>
          <w:rFonts w:ascii="Arial" w:hAnsi="Arial" w:cs="Arial"/>
          <w:w w:val="105"/>
          <w:sz w:val="21"/>
          <w:szCs w:val="21"/>
        </w:rPr>
        <w:t>Housing</w:t>
      </w:r>
      <w:r>
        <w:rPr>
          <w:rFonts w:ascii="Arial" w:hAnsi="Arial" w:cs="Arial"/>
          <w:spacing w:val="-25"/>
          <w:w w:val="105"/>
          <w:sz w:val="21"/>
          <w:szCs w:val="21"/>
        </w:rPr>
        <w:t xml:space="preserve"> </w:t>
      </w:r>
      <w:r>
        <w:rPr>
          <w:rFonts w:ascii="Arial" w:hAnsi="Arial" w:cs="Arial"/>
          <w:w w:val="105"/>
          <w:sz w:val="21"/>
          <w:szCs w:val="21"/>
        </w:rPr>
        <w:t>Model</w:t>
      </w:r>
      <w:r>
        <w:rPr>
          <w:rFonts w:ascii="Arial" w:hAnsi="Arial" w:cs="Arial"/>
          <w:spacing w:val="-25"/>
          <w:w w:val="105"/>
          <w:sz w:val="21"/>
          <w:szCs w:val="21"/>
        </w:rPr>
        <w:t xml:space="preserve"> </w:t>
      </w:r>
      <w:r>
        <w:rPr>
          <w:rFonts w:ascii="Arial" w:hAnsi="Arial" w:cs="Arial"/>
          <w:w w:val="105"/>
          <w:sz w:val="21"/>
          <w:szCs w:val="21"/>
        </w:rPr>
        <w:t>in</w:t>
      </w:r>
      <w:r>
        <w:rPr>
          <w:rFonts w:ascii="Arial" w:hAnsi="Arial" w:cs="Arial"/>
          <w:spacing w:val="-39"/>
          <w:w w:val="105"/>
          <w:sz w:val="21"/>
          <w:szCs w:val="21"/>
        </w:rPr>
        <w:t xml:space="preserve"> </w:t>
      </w:r>
      <w:r>
        <w:rPr>
          <w:rFonts w:ascii="Arial" w:hAnsi="Arial" w:cs="Arial"/>
          <w:w w:val="105"/>
          <w:sz w:val="21"/>
          <w:szCs w:val="21"/>
        </w:rPr>
        <w:t>the</w:t>
      </w:r>
      <w:r>
        <w:rPr>
          <w:rFonts w:ascii="Arial" w:hAnsi="Arial" w:cs="Arial"/>
          <w:spacing w:val="-26"/>
          <w:w w:val="105"/>
          <w:sz w:val="21"/>
          <w:szCs w:val="21"/>
        </w:rPr>
        <w:t xml:space="preserve"> </w:t>
      </w:r>
      <w:r>
        <w:rPr>
          <w:rFonts w:ascii="Arial" w:hAnsi="Arial" w:cs="Arial"/>
          <w:w w:val="105"/>
          <w:sz w:val="21"/>
          <w:szCs w:val="21"/>
        </w:rPr>
        <w:t>Skid</w:t>
      </w:r>
      <w:r>
        <w:rPr>
          <w:rFonts w:ascii="Arial" w:hAnsi="Arial" w:cs="Arial"/>
          <w:spacing w:val="-22"/>
          <w:w w:val="105"/>
          <w:sz w:val="21"/>
          <w:szCs w:val="21"/>
        </w:rPr>
        <w:t xml:space="preserve"> </w:t>
      </w:r>
      <w:r>
        <w:rPr>
          <w:rFonts w:ascii="Arial" w:hAnsi="Arial" w:cs="Arial"/>
          <w:w w:val="105"/>
          <w:sz w:val="21"/>
          <w:szCs w:val="21"/>
        </w:rPr>
        <w:t>Row</w:t>
      </w:r>
      <w:r>
        <w:rPr>
          <w:rFonts w:ascii="Arial" w:hAnsi="Arial" w:cs="Arial"/>
          <w:spacing w:val="-25"/>
          <w:w w:val="105"/>
          <w:sz w:val="21"/>
          <w:szCs w:val="21"/>
        </w:rPr>
        <w:t xml:space="preserve"> </w:t>
      </w:r>
      <w:r>
        <w:rPr>
          <w:rFonts w:ascii="Arial" w:hAnsi="Arial" w:cs="Arial"/>
          <w:w w:val="105"/>
          <w:sz w:val="21"/>
          <w:szCs w:val="21"/>
        </w:rPr>
        <w:t>Section</w:t>
      </w:r>
      <w:r>
        <w:rPr>
          <w:rFonts w:ascii="Arial" w:hAnsi="Arial" w:cs="Arial"/>
          <w:spacing w:val="-22"/>
          <w:w w:val="105"/>
          <w:sz w:val="21"/>
          <w:szCs w:val="21"/>
        </w:rPr>
        <w:t xml:space="preserve"> </w:t>
      </w:r>
      <w:r>
        <w:rPr>
          <w:rFonts w:ascii="Arial" w:hAnsi="Arial" w:cs="Arial"/>
          <w:w w:val="105"/>
          <w:sz w:val="21"/>
          <w:szCs w:val="21"/>
        </w:rPr>
        <w:t>of</w:t>
      </w:r>
      <w:r>
        <w:rPr>
          <w:rFonts w:ascii="Arial" w:hAnsi="Arial" w:cs="Arial"/>
          <w:spacing w:val="-17"/>
          <w:w w:val="105"/>
          <w:sz w:val="21"/>
          <w:szCs w:val="21"/>
        </w:rPr>
        <w:t xml:space="preserve"> </w:t>
      </w:r>
      <w:r>
        <w:rPr>
          <w:rFonts w:ascii="Arial" w:hAnsi="Arial" w:cs="Arial"/>
          <w:w w:val="105"/>
          <w:sz w:val="21"/>
          <w:szCs w:val="21"/>
        </w:rPr>
        <w:t>Los</w:t>
      </w:r>
      <w:r>
        <w:rPr>
          <w:rFonts w:ascii="Arial" w:hAnsi="Arial" w:cs="Arial"/>
          <w:spacing w:val="-23"/>
          <w:w w:val="105"/>
          <w:sz w:val="21"/>
          <w:szCs w:val="21"/>
        </w:rPr>
        <w:t xml:space="preserve"> </w:t>
      </w:r>
      <w:r>
        <w:rPr>
          <w:rFonts w:ascii="Arial" w:hAnsi="Arial" w:cs="Arial"/>
          <w:w w:val="105"/>
          <w:sz w:val="21"/>
          <w:szCs w:val="21"/>
        </w:rPr>
        <w:t>Angeles</w:t>
      </w:r>
      <w:r>
        <w:rPr>
          <w:rFonts w:ascii="Arial" w:hAnsi="Arial" w:cs="Arial"/>
          <w:spacing w:val="26"/>
          <w:w w:val="105"/>
          <w:sz w:val="21"/>
          <w:szCs w:val="21"/>
        </w:rPr>
        <w:t xml:space="preserve"> </w:t>
      </w:r>
      <w:r>
        <w:rPr>
          <w:rFonts w:ascii="Arial" w:hAnsi="Arial" w:cs="Arial"/>
          <w:w w:val="105"/>
          <w:sz w:val="21"/>
          <w:szCs w:val="21"/>
        </w:rPr>
        <w:t>that</w:t>
      </w:r>
      <w:r>
        <w:rPr>
          <w:rFonts w:ascii="Arial" w:hAnsi="Arial" w:cs="Arial"/>
          <w:spacing w:val="-14"/>
          <w:w w:val="105"/>
          <w:sz w:val="21"/>
          <w:szCs w:val="21"/>
        </w:rPr>
        <w:t xml:space="preserve"> </w:t>
      </w:r>
      <w:r>
        <w:rPr>
          <w:rFonts w:ascii="Arial" w:hAnsi="Arial" w:cs="Arial"/>
          <w:w w:val="105"/>
          <w:sz w:val="21"/>
          <w:szCs w:val="21"/>
        </w:rPr>
        <w:t>showed</w:t>
      </w:r>
      <w:r>
        <w:rPr>
          <w:rFonts w:ascii="Arial" w:hAnsi="Arial" w:cs="Arial"/>
          <w:spacing w:val="-13"/>
          <w:w w:val="105"/>
          <w:sz w:val="21"/>
          <w:szCs w:val="21"/>
        </w:rPr>
        <w:t xml:space="preserve"> </w:t>
      </w:r>
      <w:r>
        <w:rPr>
          <w:rFonts w:ascii="Arial" w:hAnsi="Arial" w:cs="Arial"/>
          <w:w w:val="105"/>
          <w:sz w:val="21"/>
          <w:szCs w:val="21"/>
        </w:rPr>
        <w:t>a 68%</w:t>
      </w:r>
      <w:r>
        <w:rPr>
          <w:rFonts w:ascii="Arial" w:hAnsi="Arial" w:cs="Arial"/>
          <w:spacing w:val="-18"/>
          <w:w w:val="105"/>
          <w:sz w:val="21"/>
          <w:szCs w:val="21"/>
        </w:rPr>
        <w:t xml:space="preserve"> </w:t>
      </w:r>
      <w:r>
        <w:rPr>
          <w:rFonts w:ascii="Arial" w:hAnsi="Arial" w:cs="Arial"/>
          <w:w w:val="105"/>
          <w:sz w:val="21"/>
          <w:szCs w:val="21"/>
        </w:rPr>
        <w:t>decline</w:t>
      </w:r>
      <w:r>
        <w:rPr>
          <w:rFonts w:ascii="Arial" w:hAnsi="Arial" w:cs="Arial"/>
          <w:spacing w:val="-7"/>
          <w:w w:val="105"/>
          <w:sz w:val="21"/>
          <w:szCs w:val="21"/>
        </w:rPr>
        <w:t xml:space="preserve"> </w:t>
      </w:r>
      <w:r>
        <w:rPr>
          <w:rFonts w:ascii="Arial" w:hAnsi="Arial" w:cs="Arial"/>
          <w:spacing w:val="-3"/>
          <w:w w:val="105"/>
          <w:sz w:val="21"/>
          <w:szCs w:val="21"/>
        </w:rPr>
        <w:t>in</w:t>
      </w:r>
      <w:r>
        <w:rPr>
          <w:rFonts w:ascii="Arial" w:hAnsi="Arial" w:cs="Arial"/>
          <w:spacing w:val="-32"/>
          <w:w w:val="105"/>
          <w:sz w:val="21"/>
          <w:szCs w:val="21"/>
        </w:rPr>
        <w:t xml:space="preserve"> </w:t>
      </w:r>
      <w:r>
        <w:rPr>
          <w:rFonts w:ascii="Arial" w:hAnsi="Arial" w:cs="Arial"/>
          <w:w w:val="105"/>
          <w:sz w:val="21"/>
          <w:szCs w:val="21"/>
        </w:rPr>
        <w:t>medical</w:t>
      </w:r>
      <w:r>
        <w:rPr>
          <w:rFonts w:ascii="Arial" w:hAnsi="Arial" w:cs="Arial"/>
          <w:spacing w:val="-25"/>
          <w:w w:val="105"/>
          <w:sz w:val="21"/>
          <w:szCs w:val="21"/>
        </w:rPr>
        <w:t xml:space="preserve"> </w:t>
      </w:r>
      <w:r>
        <w:rPr>
          <w:rFonts w:ascii="Arial" w:hAnsi="Arial" w:cs="Arial"/>
          <w:w w:val="105"/>
          <w:sz w:val="21"/>
          <w:szCs w:val="21"/>
        </w:rPr>
        <w:t>costs</w:t>
      </w:r>
      <w:r>
        <w:rPr>
          <w:rFonts w:ascii="Arial" w:hAnsi="Arial" w:cs="Arial"/>
          <w:spacing w:val="-21"/>
          <w:w w:val="105"/>
          <w:sz w:val="21"/>
          <w:szCs w:val="21"/>
        </w:rPr>
        <w:t xml:space="preserve"> </w:t>
      </w:r>
      <w:r>
        <w:rPr>
          <w:rFonts w:ascii="Arial" w:hAnsi="Arial" w:cs="Arial"/>
          <w:w w:val="105"/>
          <w:sz w:val="21"/>
          <w:szCs w:val="21"/>
        </w:rPr>
        <w:t>for</w:t>
      </w:r>
      <w:r>
        <w:rPr>
          <w:rFonts w:ascii="Arial" w:hAnsi="Arial" w:cs="Arial"/>
          <w:spacing w:val="-4"/>
          <w:w w:val="105"/>
          <w:sz w:val="21"/>
          <w:szCs w:val="21"/>
        </w:rPr>
        <w:t xml:space="preserve"> </w:t>
      </w:r>
      <w:r>
        <w:rPr>
          <w:rFonts w:ascii="Arial" w:hAnsi="Arial" w:cs="Arial"/>
          <w:w w:val="105"/>
          <w:sz w:val="21"/>
          <w:szCs w:val="21"/>
        </w:rPr>
        <w:t>a</w:t>
      </w:r>
      <w:r>
        <w:rPr>
          <w:rFonts w:ascii="Arial" w:hAnsi="Arial" w:cs="Arial"/>
          <w:spacing w:val="-21"/>
          <w:w w:val="105"/>
          <w:sz w:val="21"/>
          <w:szCs w:val="21"/>
        </w:rPr>
        <w:t xml:space="preserve"> </w:t>
      </w:r>
      <w:r>
        <w:rPr>
          <w:rFonts w:ascii="Arial" w:hAnsi="Arial" w:cs="Arial"/>
          <w:w w:val="105"/>
          <w:sz w:val="21"/>
          <w:szCs w:val="21"/>
        </w:rPr>
        <w:t>group</w:t>
      </w:r>
      <w:r>
        <w:rPr>
          <w:rFonts w:ascii="Arial" w:hAnsi="Arial" w:cs="Arial"/>
          <w:spacing w:val="-21"/>
          <w:w w:val="105"/>
          <w:sz w:val="21"/>
          <w:szCs w:val="21"/>
        </w:rPr>
        <w:t xml:space="preserve"> </w:t>
      </w:r>
      <w:r>
        <w:rPr>
          <w:rFonts w:ascii="Arial" w:hAnsi="Arial" w:cs="Arial"/>
          <w:w w:val="105"/>
          <w:sz w:val="21"/>
          <w:szCs w:val="21"/>
        </w:rPr>
        <w:t>that</w:t>
      </w:r>
      <w:r>
        <w:rPr>
          <w:rFonts w:ascii="Arial" w:hAnsi="Arial" w:cs="Arial"/>
          <w:spacing w:val="-16"/>
          <w:w w:val="105"/>
          <w:sz w:val="21"/>
          <w:szCs w:val="21"/>
        </w:rPr>
        <w:t xml:space="preserve"> </w:t>
      </w:r>
      <w:r>
        <w:rPr>
          <w:rFonts w:ascii="Arial" w:hAnsi="Arial" w:cs="Arial"/>
          <w:w w:val="105"/>
          <w:sz w:val="21"/>
          <w:szCs w:val="21"/>
        </w:rPr>
        <w:t>was</w:t>
      </w:r>
      <w:r>
        <w:rPr>
          <w:rFonts w:ascii="Arial" w:hAnsi="Arial" w:cs="Arial"/>
          <w:spacing w:val="-12"/>
          <w:w w:val="105"/>
          <w:sz w:val="21"/>
          <w:szCs w:val="21"/>
        </w:rPr>
        <w:t xml:space="preserve"> </w:t>
      </w:r>
      <w:r>
        <w:rPr>
          <w:rFonts w:ascii="Arial" w:hAnsi="Arial" w:cs="Arial"/>
          <w:w w:val="105"/>
          <w:sz w:val="21"/>
          <w:szCs w:val="21"/>
        </w:rPr>
        <w:t>housed</w:t>
      </w:r>
      <w:r>
        <w:rPr>
          <w:rFonts w:ascii="Arial" w:hAnsi="Arial" w:cs="Arial"/>
          <w:spacing w:val="-23"/>
          <w:w w:val="105"/>
          <w:sz w:val="21"/>
          <w:szCs w:val="21"/>
        </w:rPr>
        <w:t xml:space="preserve"> </w:t>
      </w:r>
      <w:r>
        <w:rPr>
          <w:rFonts w:ascii="Arial" w:hAnsi="Arial" w:cs="Arial"/>
          <w:w w:val="105"/>
          <w:sz w:val="21"/>
          <w:szCs w:val="21"/>
        </w:rPr>
        <w:t>verses</w:t>
      </w:r>
      <w:r>
        <w:rPr>
          <w:rFonts w:ascii="Arial" w:hAnsi="Arial" w:cs="Arial"/>
          <w:spacing w:val="-10"/>
          <w:w w:val="105"/>
          <w:sz w:val="21"/>
          <w:szCs w:val="21"/>
        </w:rPr>
        <w:t xml:space="preserve"> </w:t>
      </w:r>
      <w:r>
        <w:rPr>
          <w:rFonts w:ascii="Arial" w:hAnsi="Arial" w:cs="Arial"/>
          <w:w w:val="105"/>
          <w:sz w:val="21"/>
          <w:szCs w:val="21"/>
        </w:rPr>
        <w:t>a</w:t>
      </w:r>
      <w:r>
        <w:rPr>
          <w:rFonts w:ascii="Arial" w:hAnsi="Arial" w:cs="Arial"/>
          <w:spacing w:val="-18"/>
          <w:w w:val="105"/>
          <w:sz w:val="21"/>
          <w:szCs w:val="21"/>
        </w:rPr>
        <w:t xml:space="preserve"> </w:t>
      </w:r>
      <w:r>
        <w:rPr>
          <w:rFonts w:ascii="Arial" w:hAnsi="Arial" w:cs="Arial"/>
          <w:w w:val="105"/>
          <w:sz w:val="21"/>
          <w:szCs w:val="21"/>
        </w:rPr>
        <w:t>group</w:t>
      </w:r>
      <w:r>
        <w:rPr>
          <w:rFonts w:ascii="Arial" w:hAnsi="Arial" w:cs="Arial"/>
          <w:spacing w:val="-21"/>
          <w:w w:val="105"/>
          <w:sz w:val="21"/>
          <w:szCs w:val="21"/>
        </w:rPr>
        <w:t xml:space="preserve"> </w:t>
      </w:r>
      <w:r>
        <w:rPr>
          <w:rFonts w:ascii="Arial" w:hAnsi="Arial" w:cs="Arial"/>
          <w:w w:val="105"/>
          <w:sz w:val="21"/>
          <w:szCs w:val="21"/>
        </w:rPr>
        <w:t>that</w:t>
      </w:r>
      <w:r>
        <w:rPr>
          <w:rFonts w:ascii="Arial" w:hAnsi="Arial" w:cs="Arial"/>
          <w:spacing w:val="-14"/>
          <w:w w:val="105"/>
          <w:sz w:val="21"/>
          <w:szCs w:val="21"/>
        </w:rPr>
        <w:t xml:space="preserve"> </w:t>
      </w:r>
      <w:r>
        <w:rPr>
          <w:rFonts w:ascii="Arial" w:hAnsi="Arial" w:cs="Arial"/>
          <w:w w:val="105"/>
          <w:sz w:val="21"/>
          <w:szCs w:val="21"/>
        </w:rPr>
        <w:t>received</w:t>
      </w:r>
      <w:r>
        <w:rPr>
          <w:rFonts w:ascii="Arial" w:hAnsi="Arial" w:cs="Arial"/>
          <w:spacing w:val="-18"/>
          <w:w w:val="105"/>
          <w:sz w:val="21"/>
          <w:szCs w:val="21"/>
        </w:rPr>
        <w:t xml:space="preserve"> </w:t>
      </w:r>
      <w:r>
        <w:rPr>
          <w:rFonts w:ascii="Arial" w:hAnsi="Arial" w:cs="Arial"/>
          <w:w w:val="105"/>
          <w:sz w:val="21"/>
          <w:szCs w:val="21"/>
        </w:rPr>
        <w:t>usual care (not</w:t>
      </w:r>
      <w:r>
        <w:rPr>
          <w:rFonts w:ascii="Arial" w:hAnsi="Arial" w:cs="Arial"/>
          <w:spacing w:val="-37"/>
          <w:w w:val="105"/>
          <w:sz w:val="21"/>
          <w:szCs w:val="21"/>
        </w:rPr>
        <w:t xml:space="preserve"> </w:t>
      </w:r>
      <w:r>
        <w:rPr>
          <w:rFonts w:ascii="Arial" w:hAnsi="Arial" w:cs="Arial"/>
          <w:w w:val="105"/>
          <w:sz w:val="21"/>
          <w:szCs w:val="21"/>
        </w:rPr>
        <w:t>housed).</w:t>
      </w:r>
    </w:p>
    <w:p w:rsidR="002C5025" w:rsidRDefault="002C5025">
      <w:pPr>
        <w:pStyle w:val="BodyText"/>
        <w:kinsoku w:val="0"/>
        <w:overflowPunct w:val="0"/>
        <w:spacing w:before="1"/>
        <w:rPr>
          <w:rFonts w:ascii="Arial" w:hAnsi="Arial" w:cs="Arial"/>
          <w:sz w:val="17"/>
          <w:szCs w:val="17"/>
        </w:rPr>
      </w:pPr>
    </w:p>
    <w:p w:rsidR="002C5025" w:rsidRDefault="002C5025">
      <w:pPr>
        <w:pStyle w:val="BodyText"/>
        <w:kinsoku w:val="0"/>
        <w:overflowPunct w:val="0"/>
        <w:spacing w:before="1" w:line="336" w:lineRule="auto"/>
        <w:ind w:left="115" w:right="102" w:firstLine="8"/>
        <w:rPr>
          <w:rFonts w:ascii="Arial" w:hAnsi="Arial" w:cs="Arial"/>
          <w:w w:val="105"/>
          <w:sz w:val="21"/>
          <w:szCs w:val="21"/>
        </w:rPr>
      </w:pPr>
      <w:r>
        <w:rPr>
          <w:rFonts w:ascii="Arial" w:hAnsi="Arial" w:cs="Arial"/>
          <w:w w:val="105"/>
          <w:sz w:val="21"/>
          <w:szCs w:val="21"/>
        </w:rPr>
        <w:t xml:space="preserve">These 2 examples illustrate our excitement at your inclusion of CSPECH {Community Support Services for those Experiencing Chronic Homelessness) into the community partners model. This proven model of care provides support services to chronically homeless individuals </w:t>
      </w:r>
      <w:r>
        <w:rPr>
          <w:rFonts w:ascii="Arial" w:hAnsi="Arial" w:cs="Arial"/>
          <w:spacing w:val="-3"/>
          <w:w w:val="105"/>
          <w:sz w:val="21"/>
          <w:szCs w:val="21"/>
        </w:rPr>
        <w:t xml:space="preserve">in </w:t>
      </w:r>
      <w:r>
        <w:rPr>
          <w:rFonts w:ascii="Arial" w:hAnsi="Arial" w:cs="Arial"/>
          <w:w w:val="105"/>
          <w:sz w:val="21"/>
          <w:szCs w:val="21"/>
        </w:rPr>
        <w:t xml:space="preserve">housing. And it works because MassHealth/Medicaid pays for the support services that keep these high end utilizers of expensive systems of care </w:t>
      </w:r>
      <w:r>
        <w:rPr>
          <w:rFonts w:ascii="Arial" w:hAnsi="Arial" w:cs="Arial"/>
          <w:w w:val="105"/>
          <w:sz w:val="21"/>
          <w:szCs w:val="21"/>
          <w:u w:val="single" w:color="000000"/>
        </w:rPr>
        <w:t xml:space="preserve">out </w:t>
      </w:r>
      <w:r>
        <w:rPr>
          <w:rFonts w:ascii="Arial" w:hAnsi="Arial" w:cs="Arial"/>
          <w:w w:val="105"/>
          <w:sz w:val="21"/>
          <w:szCs w:val="21"/>
        </w:rPr>
        <w:t>of those hospital EDs and inpatient beds.</w:t>
      </w:r>
      <w:r>
        <w:rPr>
          <w:rFonts w:ascii="Arial" w:hAnsi="Arial" w:cs="Arial"/>
          <w:spacing w:val="18"/>
          <w:w w:val="105"/>
          <w:sz w:val="21"/>
          <w:szCs w:val="21"/>
        </w:rPr>
        <w:t xml:space="preserve"> </w:t>
      </w:r>
      <w:r>
        <w:rPr>
          <w:rFonts w:ascii="Arial" w:hAnsi="Arial" w:cs="Arial"/>
          <w:w w:val="105"/>
          <w:sz w:val="21"/>
          <w:szCs w:val="21"/>
        </w:rPr>
        <w:t>Pine</w:t>
      </w:r>
      <w:r>
        <w:rPr>
          <w:rFonts w:ascii="Arial" w:hAnsi="Arial" w:cs="Arial"/>
          <w:spacing w:val="-22"/>
          <w:w w:val="105"/>
          <w:sz w:val="21"/>
          <w:szCs w:val="21"/>
        </w:rPr>
        <w:t xml:space="preserve"> </w:t>
      </w:r>
      <w:r>
        <w:rPr>
          <w:rFonts w:ascii="Arial" w:hAnsi="Arial" w:cs="Arial"/>
          <w:w w:val="105"/>
          <w:sz w:val="21"/>
          <w:szCs w:val="21"/>
        </w:rPr>
        <w:t>Street</w:t>
      </w:r>
      <w:r>
        <w:rPr>
          <w:rFonts w:ascii="Arial" w:hAnsi="Arial" w:cs="Arial"/>
          <w:spacing w:val="-13"/>
          <w:w w:val="105"/>
          <w:sz w:val="21"/>
          <w:szCs w:val="21"/>
        </w:rPr>
        <w:t xml:space="preserve"> </w:t>
      </w:r>
      <w:r>
        <w:rPr>
          <w:rFonts w:ascii="Arial" w:hAnsi="Arial" w:cs="Arial"/>
          <w:w w:val="105"/>
          <w:sz w:val="21"/>
          <w:szCs w:val="21"/>
        </w:rPr>
        <w:t>has</w:t>
      </w:r>
      <w:r>
        <w:rPr>
          <w:rFonts w:ascii="Arial" w:hAnsi="Arial" w:cs="Arial"/>
          <w:spacing w:val="-24"/>
          <w:w w:val="105"/>
          <w:sz w:val="21"/>
          <w:szCs w:val="21"/>
        </w:rPr>
        <w:t xml:space="preserve"> </w:t>
      </w:r>
      <w:r>
        <w:rPr>
          <w:rFonts w:ascii="Arial" w:hAnsi="Arial" w:cs="Arial"/>
          <w:w w:val="105"/>
          <w:sz w:val="21"/>
          <w:szCs w:val="21"/>
        </w:rPr>
        <w:t>created</w:t>
      </w:r>
      <w:r>
        <w:rPr>
          <w:rFonts w:ascii="Arial" w:hAnsi="Arial" w:cs="Arial"/>
          <w:spacing w:val="-13"/>
          <w:w w:val="105"/>
          <w:sz w:val="21"/>
          <w:szCs w:val="21"/>
        </w:rPr>
        <w:t xml:space="preserve"> </w:t>
      </w:r>
      <w:r>
        <w:rPr>
          <w:rFonts w:ascii="Arial" w:hAnsi="Arial" w:cs="Arial"/>
          <w:w w:val="105"/>
          <w:sz w:val="21"/>
          <w:szCs w:val="21"/>
        </w:rPr>
        <w:t>40</w:t>
      </w:r>
      <w:r>
        <w:rPr>
          <w:rFonts w:ascii="Arial" w:hAnsi="Arial" w:cs="Arial"/>
          <w:spacing w:val="-22"/>
          <w:w w:val="105"/>
          <w:sz w:val="21"/>
          <w:szCs w:val="21"/>
        </w:rPr>
        <w:t xml:space="preserve"> </w:t>
      </w:r>
      <w:r>
        <w:rPr>
          <w:rFonts w:ascii="Arial" w:hAnsi="Arial" w:cs="Arial"/>
          <w:w w:val="105"/>
          <w:sz w:val="21"/>
          <w:szCs w:val="21"/>
        </w:rPr>
        <w:t>permanent</w:t>
      </w:r>
      <w:r>
        <w:rPr>
          <w:rFonts w:ascii="Arial" w:hAnsi="Arial" w:cs="Arial"/>
          <w:spacing w:val="-13"/>
          <w:w w:val="105"/>
          <w:sz w:val="21"/>
          <w:szCs w:val="21"/>
        </w:rPr>
        <w:t xml:space="preserve"> </w:t>
      </w:r>
      <w:r>
        <w:rPr>
          <w:rFonts w:ascii="Arial" w:hAnsi="Arial" w:cs="Arial"/>
          <w:w w:val="105"/>
          <w:sz w:val="21"/>
          <w:szCs w:val="21"/>
        </w:rPr>
        <w:t>supportive</w:t>
      </w:r>
      <w:r>
        <w:rPr>
          <w:rFonts w:ascii="Arial" w:hAnsi="Arial" w:cs="Arial"/>
          <w:spacing w:val="-13"/>
          <w:w w:val="105"/>
          <w:sz w:val="21"/>
          <w:szCs w:val="21"/>
        </w:rPr>
        <w:t xml:space="preserve"> </w:t>
      </w:r>
      <w:r>
        <w:rPr>
          <w:rFonts w:ascii="Arial" w:hAnsi="Arial" w:cs="Arial"/>
          <w:w w:val="105"/>
          <w:sz w:val="21"/>
          <w:szCs w:val="21"/>
        </w:rPr>
        <w:t>housing</w:t>
      </w:r>
      <w:r>
        <w:rPr>
          <w:rFonts w:ascii="Arial" w:hAnsi="Arial" w:cs="Arial"/>
          <w:spacing w:val="-24"/>
          <w:w w:val="105"/>
          <w:sz w:val="21"/>
          <w:szCs w:val="21"/>
        </w:rPr>
        <w:t xml:space="preserve"> </w:t>
      </w:r>
      <w:r>
        <w:rPr>
          <w:rFonts w:ascii="Arial" w:hAnsi="Arial" w:cs="Arial"/>
          <w:w w:val="105"/>
          <w:sz w:val="21"/>
          <w:szCs w:val="21"/>
        </w:rPr>
        <w:t>programs</w:t>
      </w:r>
      <w:r>
        <w:rPr>
          <w:rFonts w:ascii="Arial" w:hAnsi="Arial" w:cs="Arial"/>
          <w:spacing w:val="-19"/>
          <w:w w:val="105"/>
          <w:sz w:val="21"/>
          <w:szCs w:val="21"/>
        </w:rPr>
        <w:t xml:space="preserve"> </w:t>
      </w:r>
      <w:r>
        <w:rPr>
          <w:rFonts w:ascii="Arial" w:hAnsi="Arial" w:cs="Arial"/>
          <w:w w:val="105"/>
          <w:sz w:val="21"/>
          <w:szCs w:val="21"/>
        </w:rPr>
        <w:t>with</w:t>
      </w:r>
      <w:r>
        <w:rPr>
          <w:rFonts w:ascii="Arial" w:hAnsi="Arial" w:cs="Arial"/>
          <w:spacing w:val="-13"/>
          <w:w w:val="105"/>
          <w:sz w:val="21"/>
          <w:szCs w:val="21"/>
        </w:rPr>
        <w:t xml:space="preserve"> </w:t>
      </w:r>
      <w:r>
        <w:rPr>
          <w:rFonts w:ascii="Arial" w:hAnsi="Arial" w:cs="Arial"/>
          <w:w w:val="105"/>
          <w:sz w:val="21"/>
          <w:szCs w:val="21"/>
        </w:rPr>
        <w:t>a</w:t>
      </w:r>
      <w:r>
        <w:rPr>
          <w:rFonts w:ascii="Arial" w:hAnsi="Arial" w:cs="Arial"/>
          <w:spacing w:val="-22"/>
          <w:w w:val="105"/>
          <w:sz w:val="21"/>
          <w:szCs w:val="21"/>
        </w:rPr>
        <w:t xml:space="preserve"> </w:t>
      </w:r>
      <w:r>
        <w:rPr>
          <w:rFonts w:ascii="Arial" w:hAnsi="Arial" w:cs="Arial"/>
          <w:w w:val="105"/>
          <w:sz w:val="21"/>
          <w:szCs w:val="21"/>
        </w:rPr>
        <w:t>93%</w:t>
      </w:r>
      <w:r>
        <w:rPr>
          <w:rFonts w:ascii="Arial" w:hAnsi="Arial" w:cs="Arial"/>
          <w:spacing w:val="-17"/>
          <w:w w:val="105"/>
          <w:sz w:val="21"/>
          <w:szCs w:val="21"/>
        </w:rPr>
        <w:t xml:space="preserve"> </w:t>
      </w:r>
      <w:r>
        <w:rPr>
          <w:rFonts w:ascii="Arial" w:hAnsi="Arial" w:cs="Arial"/>
          <w:w w:val="105"/>
          <w:sz w:val="21"/>
          <w:szCs w:val="21"/>
        </w:rPr>
        <w:t>retention rate</w:t>
      </w:r>
      <w:r>
        <w:rPr>
          <w:rFonts w:ascii="Arial" w:hAnsi="Arial" w:cs="Arial"/>
          <w:spacing w:val="-14"/>
          <w:w w:val="105"/>
          <w:sz w:val="21"/>
          <w:szCs w:val="21"/>
        </w:rPr>
        <w:t xml:space="preserve"> </w:t>
      </w:r>
      <w:r>
        <w:rPr>
          <w:rFonts w:ascii="Arial" w:hAnsi="Arial" w:cs="Arial"/>
          <w:w w:val="105"/>
          <w:sz w:val="21"/>
          <w:szCs w:val="21"/>
        </w:rPr>
        <w:t>across</w:t>
      </w:r>
      <w:r>
        <w:rPr>
          <w:rFonts w:ascii="Arial" w:hAnsi="Arial" w:cs="Arial"/>
          <w:spacing w:val="-6"/>
          <w:w w:val="105"/>
          <w:sz w:val="21"/>
          <w:szCs w:val="21"/>
        </w:rPr>
        <w:t xml:space="preserve"> </w:t>
      </w:r>
      <w:r>
        <w:rPr>
          <w:rFonts w:ascii="Arial" w:hAnsi="Arial" w:cs="Arial"/>
          <w:w w:val="105"/>
          <w:sz w:val="21"/>
          <w:szCs w:val="21"/>
        </w:rPr>
        <w:t>Boston</w:t>
      </w:r>
      <w:r>
        <w:rPr>
          <w:rFonts w:ascii="Arial" w:hAnsi="Arial" w:cs="Arial"/>
          <w:spacing w:val="-17"/>
          <w:w w:val="105"/>
          <w:sz w:val="21"/>
          <w:szCs w:val="21"/>
        </w:rPr>
        <w:t xml:space="preserve"> </w:t>
      </w:r>
      <w:r>
        <w:rPr>
          <w:rFonts w:ascii="Arial" w:hAnsi="Arial" w:cs="Arial"/>
          <w:w w:val="105"/>
          <w:sz w:val="21"/>
          <w:szCs w:val="21"/>
        </w:rPr>
        <w:t>and</w:t>
      </w:r>
      <w:r>
        <w:rPr>
          <w:rFonts w:ascii="Arial" w:hAnsi="Arial" w:cs="Arial"/>
          <w:spacing w:val="-12"/>
          <w:w w:val="105"/>
          <w:sz w:val="21"/>
          <w:szCs w:val="21"/>
        </w:rPr>
        <w:t xml:space="preserve"> </w:t>
      </w:r>
      <w:r>
        <w:rPr>
          <w:rFonts w:ascii="Arial" w:hAnsi="Arial" w:cs="Arial"/>
          <w:w w:val="105"/>
          <w:sz w:val="21"/>
          <w:szCs w:val="21"/>
        </w:rPr>
        <w:t>while</w:t>
      </w:r>
      <w:r>
        <w:rPr>
          <w:rFonts w:ascii="Arial" w:hAnsi="Arial" w:cs="Arial"/>
          <w:spacing w:val="-14"/>
          <w:w w:val="105"/>
          <w:sz w:val="21"/>
          <w:szCs w:val="21"/>
        </w:rPr>
        <w:t xml:space="preserve"> </w:t>
      </w:r>
      <w:r>
        <w:rPr>
          <w:rFonts w:ascii="Arial" w:hAnsi="Arial" w:cs="Arial"/>
          <w:w w:val="105"/>
          <w:sz w:val="21"/>
          <w:szCs w:val="21"/>
        </w:rPr>
        <w:t>we</w:t>
      </w:r>
      <w:r>
        <w:rPr>
          <w:rFonts w:ascii="Arial" w:hAnsi="Arial" w:cs="Arial"/>
          <w:spacing w:val="-10"/>
          <w:w w:val="105"/>
          <w:sz w:val="21"/>
          <w:szCs w:val="21"/>
        </w:rPr>
        <w:t xml:space="preserve"> </w:t>
      </w:r>
      <w:r>
        <w:rPr>
          <w:rFonts w:ascii="Arial" w:hAnsi="Arial" w:cs="Arial"/>
          <w:w w:val="105"/>
          <w:sz w:val="21"/>
          <w:szCs w:val="21"/>
        </w:rPr>
        <w:t>can</w:t>
      </w:r>
      <w:r>
        <w:rPr>
          <w:rFonts w:ascii="Arial" w:hAnsi="Arial" w:cs="Arial"/>
          <w:spacing w:val="-12"/>
          <w:w w:val="105"/>
          <w:sz w:val="21"/>
          <w:szCs w:val="21"/>
        </w:rPr>
        <w:t xml:space="preserve"> </w:t>
      </w:r>
      <w:r>
        <w:rPr>
          <w:rFonts w:ascii="Arial" w:hAnsi="Arial" w:cs="Arial"/>
          <w:w w:val="105"/>
          <w:sz w:val="21"/>
          <w:szCs w:val="21"/>
        </w:rPr>
        <w:t>secure</w:t>
      </w:r>
      <w:r>
        <w:rPr>
          <w:rFonts w:ascii="Arial" w:hAnsi="Arial" w:cs="Arial"/>
          <w:spacing w:val="-23"/>
          <w:w w:val="105"/>
          <w:sz w:val="21"/>
          <w:szCs w:val="21"/>
        </w:rPr>
        <w:t xml:space="preserve"> </w:t>
      </w:r>
      <w:r>
        <w:rPr>
          <w:rFonts w:ascii="Arial" w:hAnsi="Arial" w:cs="Arial"/>
          <w:w w:val="105"/>
          <w:sz w:val="21"/>
          <w:szCs w:val="21"/>
        </w:rPr>
        <w:t>the</w:t>
      </w:r>
      <w:r>
        <w:rPr>
          <w:rFonts w:ascii="Arial" w:hAnsi="Arial" w:cs="Arial"/>
          <w:spacing w:val="-17"/>
          <w:w w:val="105"/>
          <w:sz w:val="21"/>
          <w:szCs w:val="21"/>
        </w:rPr>
        <w:t xml:space="preserve"> </w:t>
      </w:r>
      <w:r>
        <w:rPr>
          <w:rFonts w:ascii="Arial" w:hAnsi="Arial" w:cs="Arial"/>
          <w:w w:val="105"/>
          <w:sz w:val="21"/>
          <w:szCs w:val="21"/>
        </w:rPr>
        <w:t>capital</w:t>
      </w:r>
      <w:r>
        <w:rPr>
          <w:rFonts w:ascii="Arial" w:hAnsi="Arial" w:cs="Arial"/>
          <w:spacing w:val="-16"/>
          <w:w w:val="105"/>
          <w:sz w:val="21"/>
          <w:szCs w:val="21"/>
        </w:rPr>
        <w:t xml:space="preserve"> </w:t>
      </w:r>
      <w:r>
        <w:rPr>
          <w:rFonts w:ascii="Arial" w:hAnsi="Arial" w:cs="Arial"/>
          <w:w w:val="105"/>
          <w:sz w:val="21"/>
          <w:szCs w:val="21"/>
        </w:rPr>
        <w:t>dollars</w:t>
      </w:r>
      <w:r>
        <w:rPr>
          <w:rFonts w:ascii="Arial" w:hAnsi="Arial" w:cs="Arial"/>
          <w:spacing w:val="-10"/>
          <w:w w:val="105"/>
          <w:sz w:val="21"/>
          <w:szCs w:val="21"/>
        </w:rPr>
        <w:t xml:space="preserve"> </w:t>
      </w:r>
      <w:r>
        <w:rPr>
          <w:rFonts w:ascii="Arial" w:hAnsi="Arial" w:cs="Arial"/>
          <w:w w:val="105"/>
          <w:sz w:val="21"/>
          <w:szCs w:val="21"/>
        </w:rPr>
        <w:t>needed</w:t>
      </w:r>
      <w:r>
        <w:rPr>
          <w:rFonts w:ascii="Arial" w:hAnsi="Arial" w:cs="Arial"/>
          <w:spacing w:val="-19"/>
          <w:w w:val="105"/>
          <w:sz w:val="21"/>
          <w:szCs w:val="21"/>
        </w:rPr>
        <w:t xml:space="preserve"> </w:t>
      </w:r>
      <w:r>
        <w:rPr>
          <w:rFonts w:ascii="Arial" w:hAnsi="Arial" w:cs="Arial"/>
          <w:w w:val="105"/>
          <w:sz w:val="21"/>
          <w:szCs w:val="21"/>
        </w:rPr>
        <w:t>to</w:t>
      </w:r>
      <w:r>
        <w:rPr>
          <w:rFonts w:ascii="Arial" w:hAnsi="Arial" w:cs="Arial"/>
          <w:spacing w:val="-19"/>
          <w:w w:val="105"/>
          <w:sz w:val="21"/>
          <w:szCs w:val="21"/>
        </w:rPr>
        <w:t xml:space="preserve"> </w:t>
      </w:r>
      <w:r>
        <w:rPr>
          <w:rFonts w:ascii="Arial" w:hAnsi="Arial" w:cs="Arial"/>
          <w:w w:val="105"/>
          <w:sz w:val="21"/>
          <w:szCs w:val="21"/>
        </w:rPr>
        <w:t>create</w:t>
      </w:r>
      <w:r>
        <w:rPr>
          <w:rFonts w:ascii="Arial" w:hAnsi="Arial" w:cs="Arial"/>
          <w:spacing w:val="-12"/>
          <w:w w:val="105"/>
          <w:sz w:val="21"/>
          <w:szCs w:val="21"/>
        </w:rPr>
        <w:t xml:space="preserve"> </w:t>
      </w:r>
      <w:r>
        <w:rPr>
          <w:rFonts w:ascii="Arial" w:hAnsi="Arial" w:cs="Arial"/>
          <w:w w:val="105"/>
          <w:sz w:val="21"/>
          <w:szCs w:val="21"/>
        </w:rPr>
        <w:t>housing</w:t>
      </w:r>
      <w:r>
        <w:rPr>
          <w:rFonts w:ascii="Arial" w:hAnsi="Arial" w:cs="Arial"/>
          <w:spacing w:val="-37"/>
          <w:w w:val="105"/>
          <w:sz w:val="21"/>
          <w:szCs w:val="21"/>
        </w:rPr>
        <w:t xml:space="preserve"> </w:t>
      </w:r>
      <w:r>
        <w:rPr>
          <w:rFonts w:ascii="Arial" w:hAnsi="Arial" w:cs="Arial"/>
          <w:w w:val="105"/>
          <w:sz w:val="21"/>
          <w:szCs w:val="21"/>
        </w:rPr>
        <w:t>for</w:t>
      </w:r>
      <w:r>
        <w:rPr>
          <w:rFonts w:ascii="Arial" w:hAnsi="Arial" w:cs="Arial"/>
          <w:spacing w:val="-14"/>
          <w:w w:val="105"/>
          <w:sz w:val="21"/>
          <w:szCs w:val="21"/>
        </w:rPr>
        <w:t xml:space="preserve"> </w:t>
      </w:r>
      <w:r>
        <w:rPr>
          <w:rFonts w:ascii="Arial" w:hAnsi="Arial" w:cs="Arial"/>
          <w:w w:val="105"/>
          <w:sz w:val="21"/>
          <w:szCs w:val="21"/>
        </w:rPr>
        <w:t>this group</w:t>
      </w:r>
      <w:r>
        <w:rPr>
          <w:rFonts w:ascii="Arial" w:hAnsi="Arial" w:cs="Arial"/>
          <w:spacing w:val="-22"/>
          <w:w w:val="105"/>
          <w:sz w:val="21"/>
          <w:szCs w:val="21"/>
        </w:rPr>
        <w:t xml:space="preserve"> </w:t>
      </w:r>
      <w:r>
        <w:rPr>
          <w:rFonts w:ascii="Arial" w:hAnsi="Arial" w:cs="Arial"/>
          <w:w w:val="105"/>
          <w:sz w:val="21"/>
          <w:szCs w:val="21"/>
        </w:rPr>
        <w:t>we</w:t>
      </w:r>
      <w:r>
        <w:rPr>
          <w:rFonts w:ascii="Arial" w:hAnsi="Arial" w:cs="Arial"/>
          <w:spacing w:val="-20"/>
          <w:w w:val="105"/>
          <w:sz w:val="21"/>
          <w:szCs w:val="21"/>
        </w:rPr>
        <w:t xml:space="preserve"> </w:t>
      </w:r>
      <w:r>
        <w:rPr>
          <w:rFonts w:ascii="Arial" w:hAnsi="Arial" w:cs="Arial"/>
          <w:w w:val="105"/>
          <w:sz w:val="21"/>
          <w:szCs w:val="21"/>
        </w:rPr>
        <w:t>are</w:t>
      </w:r>
      <w:r>
        <w:rPr>
          <w:rFonts w:ascii="Arial" w:hAnsi="Arial" w:cs="Arial"/>
          <w:spacing w:val="-20"/>
          <w:w w:val="105"/>
          <w:sz w:val="21"/>
          <w:szCs w:val="21"/>
        </w:rPr>
        <w:t xml:space="preserve"> </w:t>
      </w:r>
      <w:r>
        <w:rPr>
          <w:rFonts w:ascii="Arial" w:hAnsi="Arial" w:cs="Arial"/>
          <w:w w:val="105"/>
          <w:sz w:val="21"/>
          <w:szCs w:val="21"/>
        </w:rPr>
        <w:t>enormously</w:t>
      </w:r>
      <w:r>
        <w:rPr>
          <w:rFonts w:ascii="Arial" w:hAnsi="Arial" w:cs="Arial"/>
          <w:spacing w:val="-18"/>
          <w:w w:val="105"/>
          <w:sz w:val="21"/>
          <w:szCs w:val="21"/>
        </w:rPr>
        <w:t xml:space="preserve"> </w:t>
      </w:r>
      <w:r>
        <w:rPr>
          <w:rFonts w:ascii="Arial" w:hAnsi="Arial" w:cs="Arial"/>
          <w:w w:val="105"/>
          <w:sz w:val="21"/>
          <w:szCs w:val="21"/>
        </w:rPr>
        <w:t>challenged</w:t>
      </w:r>
      <w:r>
        <w:rPr>
          <w:rFonts w:ascii="Arial" w:hAnsi="Arial" w:cs="Arial"/>
          <w:spacing w:val="-18"/>
          <w:w w:val="105"/>
          <w:sz w:val="21"/>
          <w:szCs w:val="21"/>
        </w:rPr>
        <w:t xml:space="preserve"> </w:t>
      </w:r>
      <w:r>
        <w:rPr>
          <w:rFonts w:ascii="Arial" w:hAnsi="Arial" w:cs="Arial"/>
          <w:w w:val="105"/>
          <w:sz w:val="21"/>
          <w:szCs w:val="21"/>
        </w:rPr>
        <w:t>to</w:t>
      </w:r>
      <w:r>
        <w:rPr>
          <w:rFonts w:ascii="Arial" w:hAnsi="Arial" w:cs="Arial"/>
          <w:spacing w:val="-24"/>
          <w:w w:val="105"/>
          <w:sz w:val="21"/>
          <w:szCs w:val="21"/>
        </w:rPr>
        <w:t xml:space="preserve"> </w:t>
      </w:r>
      <w:r>
        <w:rPr>
          <w:rFonts w:ascii="Arial" w:hAnsi="Arial" w:cs="Arial"/>
          <w:w w:val="105"/>
          <w:sz w:val="21"/>
          <w:szCs w:val="21"/>
        </w:rPr>
        <w:t>find</w:t>
      </w:r>
      <w:r>
        <w:rPr>
          <w:rFonts w:ascii="Arial" w:hAnsi="Arial" w:cs="Arial"/>
          <w:spacing w:val="-28"/>
          <w:w w:val="105"/>
          <w:sz w:val="21"/>
          <w:szCs w:val="21"/>
        </w:rPr>
        <w:t xml:space="preserve"> </w:t>
      </w:r>
      <w:r>
        <w:rPr>
          <w:rFonts w:ascii="Arial" w:hAnsi="Arial" w:cs="Arial"/>
          <w:w w:val="105"/>
          <w:sz w:val="21"/>
          <w:szCs w:val="21"/>
        </w:rPr>
        <w:t>the</w:t>
      </w:r>
      <w:r>
        <w:rPr>
          <w:rFonts w:ascii="Arial" w:hAnsi="Arial" w:cs="Arial"/>
          <w:spacing w:val="-22"/>
          <w:w w:val="105"/>
          <w:sz w:val="21"/>
          <w:szCs w:val="21"/>
        </w:rPr>
        <w:t xml:space="preserve"> </w:t>
      </w:r>
      <w:r>
        <w:rPr>
          <w:rFonts w:ascii="Arial" w:hAnsi="Arial" w:cs="Arial"/>
          <w:w w:val="105"/>
          <w:sz w:val="21"/>
          <w:szCs w:val="21"/>
        </w:rPr>
        <w:t>support</w:t>
      </w:r>
      <w:r>
        <w:rPr>
          <w:rFonts w:ascii="Arial" w:hAnsi="Arial" w:cs="Arial"/>
          <w:spacing w:val="-11"/>
          <w:w w:val="105"/>
          <w:sz w:val="21"/>
          <w:szCs w:val="21"/>
        </w:rPr>
        <w:t xml:space="preserve"> </w:t>
      </w:r>
      <w:r>
        <w:rPr>
          <w:rFonts w:ascii="Arial" w:hAnsi="Arial" w:cs="Arial"/>
          <w:w w:val="105"/>
          <w:sz w:val="21"/>
          <w:szCs w:val="21"/>
        </w:rPr>
        <w:t>dollars.</w:t>
      </w:r>
      <w:r>
        <w:rPr>
          <w:rFonts w:ascii="Arial" w:hAnsi="Arial" w:cs="Arial"/>
          <w:spacing w:val="19"/>
          <w:w w:val="105"/>
          <w:sz w:val="21"/>
          <w:szCs w:val="21"/>
        </w:rPr>
        <w:t xml:space="preserve"> </w:t>
      </w:r>
      <w:r>
        <w:rPr>
          <w:rFonts w:ascii="Arial" w:hAnsi="Arial" w:cs="Arial"/>
          <w:w w:val="105"/>
          <w:sz w:val="21"/>
          <w:szCs w:val="21"/>
        </w:rPr>
        <w:t>Expansion</w:t>
      </w:r>
      <w:r>
        <w:rPr>
          <w:rFonts w:ascii="Arial" w:hAnsi="Arial" w:cs="Arial"/>
          <w:spacing w:val="-22"/>
          <w:w w:val="105"/>
          <w:sz w:val="21"/>
          <w:szCs w:val="21"/>
        </w:rPr>
        <w:t xml:space="preserve"> </w:t>
      </w:r>
      <w:r>
        <w:rPr>
          <w:rFonts w:ascii="Arial" w:hAnsi="Arial" w:cs="Arial"/>
          <w:w w:val="105"/>
          <w:sz w:val="21"/>
          <w:szCs w:val="21"/>
        </w:rPr>
        <w:t>of</w:t>
      </w:r>
      <w:r>
        <w:rPr>
          <w:rFonts w:ascii="Arial" w:hAnsi="Arial" w:cs="Arial"/>
          <w:spacing w:val="-26"/>
          <w:w w:val="105"/>
          <w:sz w:val="21"/>
          <w:szCs w:val="21"/>
        </w:rPr>
        <w:t xml:space="preserve"> </w:t>
      </w:r>
      <w:r>
        <w:rPr>
          <w:rFonts w:ascii="Arial" w:hAnsi="Arial" w:cs="Arial"/>
          <w:w w:val="105"/>
          <w:sz w:val="21"/>
          <w:szCs w:val="21"/>
        </w:rPr>
        <w:t>CSPECH</w:t>
      </w:r>
      <w:r>
        <w:rPr>
          <w:rFonts w:ascii="Arial" w:hAnsi="Arial" w:cs="Arial"/>
          <w:spacing w:val="-13"/>
          <w:w w:val="105"/>
          <w:sz w:val="21"/>
          <w:szCs w:val="21"/>
        </w:rPr>
        <w:t xml:space="preserve"> </w:t>
      </w:r>
      <w:r>
        <w:rPr>
          <w:rFonts w:ascii="Arial" w:hAnsi="Arial" w:cs="Arial"/>
          <w:w w:val="105"/>
          <w:sz w:val="21"/>
          <w:szCs w:val="21"/>
        </w:rPr>
        <w:t>will</w:t>
      </w:r>
      <w:r>
        <w:rPr>
          <w:rFonts w:ascii="Arial" w:hAnsi="Arial" w:cs="Arial"/>
          <w:spacing w:val="-15"/>
          <w:w w:val="105"/>
          <w:sz w:val="21"/>
          <w:szCs w:val="21"/>
        </w:rPr>
        <w:t xml:space="preserve"> </w:t>
      </w:r>
      <w:r>
        <w:rPr>
          <w:rFonts w:ascii="Arial" w:hAnsi="Arial" w:cs="Arial"/>
          <w:w w:val="105"/>
          <w:sz w:val="21"/>
          <w:szCs w:val="21"/>
        </w:rPr>
        <w:t>not only bring down costs but it will facilitate a system of care that is integrated, efficient, simple, not</w:t>
      </w:r>
      <w:r>
        <w:rPr>
          <w:rFonts w:ascii="Arial" w:hAnsi="Arial" w:cs="Arial"/>
          <w:spacing w:val="-14"/>
          <w:w w:val="105"/>
          <w:sz w:val="21"/>
          <w:szCs w:val="21"/>
        </w:rPr>
        <w:t xml:space="preserve"> </w:t>
      </w:r>
      <w:r>
        <w:rPr>
          <w:rFonts w:ascii="Arial" w:hAnsi="Arial" w:cs="Arial"/>
          <w:w w:val="105"/>
          <w:sz w:val="21"/>
          <w:szCs w:val="21"/>
        </w:rPr>
        <w:t>overly</w:t>
      </w:r>
      <w:r>
        <w:rPr>
          <w:rFonts w:ascii="Arial" w:hAnsi="Arial" w:cs="Arial"/>
          <w:spacing w:val="4"/>
          <w:w w:val="105"/>
          <w:sz w:val="21"/>
          <w:szCs w:val="21"/>
        </w:rPr>
        <w:t xml:space="preserve"> </w:t>
      </w:r>
      <w:r>
        <w:rPr>
          <w:rFonts w:ascii="Arial" w:hAnsi="Arial" w:cs="Arial"/>
          <w:w w:val="105"/>
          <w:sz w:val="21"/>
          <w:szCs w:val="21"/>
        </w:rPr>
        <w:t>administrative</w:t>
      </w:r>
      <w:r>
        <w:rPr>
          <w:rFonts w:ascii="Arial" w:hAnsi="Arial" w:cs="Arial"/>
          <w:spacing w:val="7"/>
          <w:w w:val="105"/>
          <w:sz w:val="21"/>
          <w:szCs w:val="21"/>
        </w:rPr>
        <w:t xml:space="preserve"> </w:t>
      </w:r>
      <w:r>
        <w:rPr>
          <w:rFonts w:ascii="Arial" w:hAnsi="Arial" w:cs="Arial"/>
          <w:w w:val="105"/>
          <w:sz w:val="21"/>
          <w:szCs w:val="21"/>
        </w:rPr>
        <w:t>and</w:t>
      </w:r>
      <w:r>
        <w:rPr>
          <w:rFonts w:ascii="Arial" w:hAnsi="Arial" w:cs="Arial"/>
          <w:spacing w:val="-7"/>
          <w:w w:val="105"/>
          <w:sz w:val="21"/>
          <w:szCs w:val="21"/>
        </w:rPr>
        <w:t xml:space="preserve"> </w:t>
      </w:r>
      <w:r>
        <w:rPr>
          <w:rFonts w:ascii="Arial" w:hAnsi="Arial" w:cs="Arial"/>
          <w:w w:val="105"/>
          <w:sz w:val="21"/>
          <w:szCs w:val="21"/>
        </w:rPr>
        <w:t>direct.</w:t>
      </w:r>
      <w:r>
        <w:rPr>
          <w:rFonts w:ascii="Arial" w:hAnsi="Arial" w:cs="Arial"/>
          <w:spacing w:val="-5"/>
          <w:w w:val="105"/>
          <w:sz w:val="21"/>
          <w:szCs w:val="21"/>
        </w:rPr>
        <w:t xml:space="preserve"> </w:t>
      </w:r>
      <w:r>
        <w:rPr>
          <w:rFonts w:ascii="Arial" w:hAnsi="Arial" w:cs="Arial"/>
          <w:w w:val="105"/>
          <w:sz w:val="21"/>
          <w:szCs w:val="21"/>
        </w:rPr>
        <w:t>As</w:t>
      </w:r>
      <w:r>
        <w:rPr>
          <w:rFonts w:ascii="Arial" w:hAnsi="Arial" w:cs="Arial"/>
          <w:spacing w:val="6"/>
          <w:w w:val="105"/>
          <w:sz w:val="21"/>
          <w:szCs w:val="21"/>
        </w:rPr>
        <w:t xml:space="preserve"> </w:t>
      </w:r>
      <w:r>
        <w:rPr>
          <w:rFonts w:ascii="Arial" w:hAnsi="Arial" w:cs="Arial"/>
          <w:w w:val="105"/>
          <w:sz w:val="21"/>
          <w:szCs w:val="21"/>
        </w:rPr>
        <w:t>it</w:t>
      </w:r>
      <w:r>
        <w:rPr>
          <w:rFonts w:ascii="Arial" w:hAnsi="Arial" w:cs="Arial"/>
          <w:spacing w:val="-14"/>
          <w:w w:val="105"/>
          <w:sz w:val="21"/>
          <w:szCs w:val="21"/>
        </w:rPr>
        <w:t xml:space="preserve"> </w:t>
      </w:r>
      <w:r>
        <w:rPr>
          <w:rFonts w:ascii="Arial" w:hAnsi="Arial" w:cs="Arial"/>
          <w:w w:val="105"/>
          <w:sz w:val="21"/>
          <w:szCs w:val="21"/>
        </w:rPr>
        <w:t>is</w:t>
      </w:r>
      <w:r>
        <w:rPr>
          <w:rFonts w:ascii="Arial" w:hAnsi="Arial" w:cs="Arial"/>
          <w:spacing w:val="-23"/>
          <w:w w:val="105"/>
          <w:sz w:val="21"/>
          <w:szCs w:val="21"/>
        </w:rPr>
        <w:t xml:space="preserve"> </w:t>
      </w:r>
      <w:r>
        <w:rPr>
          <w:rFonts w:ascii="Arial" w:hAnsi="Arial" w:cs="Arial"/>
          <w:w w:val="105"/>
          <w:sz w:val="21"/>
          <w:szCs w:val="21"/>
        </w:rPr>
        <w:t>currently</w:t>
      </w:r>
      <w:r>
        <w:rPr>
          <w:rFonts w:ascii="Arial" w:hAnsi="Arial" w:cs="Arial"/>
          <w:spacing w:val="-1"/>
          <w:w w:val="105"/>
          <w:sz w:val="21"/>
          <w:szCs w:val="21"/>
        </w:rPr>
        <w:t xml:space="preserve"> </w:t>
      </w:r>
      <w:r>
        <w:rPr>
          <w:rFonts w:ascii="Arial" w:hAnsi="Arial" w:cs="Arial"/>
          <w:w w:val="105"/>
          <w:sz w:val="21"/>
          <w:szCs w:val="21"/>
        </w:rPr>
        <w:t>structured</w:t>
      </w:r>
      <w:r>
        <w:rPr>
          <w:rFonts w:ascii="Arial" w:hAnsi="Arial" w:cs="Arial"/>
          <w:spacing w:val="22"/>
          <w:w w:val="105"/>
          <w:sz w:val="21"/>
          <w:szCs w:val="21"/>
        </w:rPr>
        <w:t xml:space="preserve"> </w:t>
      </w:r>
      <w:r>
        <w:rPr>
          <w:rFonts w:ascii="Arial" w:hAnsi="Arial" w:cs="Arial"/>
          <w:w w:val="105"/>
          <w:sz w:val="21"/>
          <w:szCs w:val="21"/>
        </w:rPr>
        <w:t>it</w:t>
      </w:r>
      <w:r>
        <w:rPr>
          <w:rFonts w:ascii="Arial" w:hAnsi="Arial" w:cs="Arial"/>
          <w:spacing w:val="-25"/>
          <w:w w:val="105"/>
          <w:sz w:val="21"/>
          <w:szCs w:val="21"/>
        </w:rPr>
        <w:t xml:space="preserve"> </w:t>
      </w:r>
      <w:r>
        <w:rPr>
          <w:rFonts w:ascii="Arial" w:hAnsi="Arial" w:cs="Arial"/>
          <w:w w:val="105"/>
          <w:sz w:val="21"/>
          <w:szCs w:val="21"/>
        </w:rPr>
        <w:t>works</w:t>
      </w:r>
      <w:r>
        <w:rPr>
          <w:rFonts w:ascii="Arial" w:hAnsi="Arial" w:cs="Arial"/>
          <w:spacing w:val="-12"/>
          <w:w w:val="105"/>
          <w:sz w:val="21"/>
          <w:szCs w:val="21"/>
        </w:rPr>
        <w:t xml:space="preserve"> </w:t>
      </w:r>
      <w:r>
        <w:rPr>
          <w:rFonts w:ascii="Arial" w:hAnsi="Arial" w:cs="Arial"/>
          <w:w w:val="105"/>
          <w:sz w:val="21"/>
          <w:szCs w:val="21"/>
        </w:rPr>
        <w:t>very</w:t>
      </w:r>
      <w:r>
        <w:rPr>
          <w:rFonts w:ascii="Arial" w:hAnsi="Arial" w:cs="Arial"/>
          <w:spacing w:val="-9"/>
          <w:w w:val="105"/>
          <w:sz w:val="21"/>
          <w:szCs w:val="21"/>
        </w:rPr>
        <w:t xml:space="preserve"> </w:t>
      </w:r>
      <w:r>
        <w:rPr>
          <w:rFonts w:ascii="Arial" w:hAnsi="Arial" w:cs="Arial"/>
          <w:w w:val="105"/>
          <w:sz w:val="21"/>
          <w:szCs w:val="21"/>
        </w:rPr>
        <w:t>well.</w:t>
      </w:r>
    </w:p>
    <w:p w:rsidR="002C5025" w:rsidRDefault="002C5025">
      <w:pPr>
        <w:pStyle w:val="BodyText"/>
        <w:kinsoku w:val="0"/>
        <w:overflowPunct w:val="0"/>
        <w:spacing w:before="2"/>
        <w:rPr>
          <w:rFonts w:ascii="Arial" w:hAnsi="Arial" w:cs="Arial"/>
          <w:sz w:val="18"/>
          <w:szCs w:val="18"/>
        </w:rPr>
      </w:pPr>
    </w:p>
    <w:p w:rsidR="002C5025" w:rsidRDefault="002C5025">
      <w:pPr>
        <w:pStyle w:val="BodyText"/>
        <w:kinsoku w:val="0"/>
        <w:overflowPunct w:val="0"/>
        <w:spacing w:line="333" w:lineRule="auto"/>
        <w:ind w:left="108" w:right="187" w:firstLine="21"/>
        <w:rPr>
          <w:rFonts w:ascii="Arial" w:hAnsi="Arial" w:cs="Arial"/>
          <w:w w:val="105"/>
        </w:rPr>
      </w:pPr>
      <w:r>
        <w:rPr>
          <w:rFonts w:ascii="Arial" w:hAnsi="Arial" w:cs="Arial"/>
          <w:w w:val="105"/>
          <w:sz w:val="21"/>
          <w:szCs w:val="21"/>
        </w:rPr>
        <w:t>Meeting</w:t>
      </w:r>
      <w:r>
        <w:rPr>
          <w:rFonts w:ascii="Arial" w:hAnsi="Arial" w:cs="Arial"/>
          <w:spacing w:val="-32"/>
          <w:w w:val="105"/>
          <w:sz w:val="21"/>
          <w:szCs w:val="21"/>
        </w:rPr>
        <w:t xml:space="preserve"> </w:t>
      </w:r>
      <w:r>
        <w:rPr>
          <w:rFonts w:ascii="Arial" w:hAnsi="Arial" w:cs="Arial"/>
          <w:w w:val="105"/>
          <w:sz w:val="21"/>
          <w:szCs w:val="21"/>
        </w:rPr>
        <w:t>the</w:t>
      </w:r>
      <w:r>
        <w:rPr>
          <w:rFonts w:ascii="Arial" w:hAnsi="Arial" w:cs="Arial"/>
          <w:spacing w:val="-11"/>
          <w:w w:val="105"/>
          <w:sz w:val="21"/>
          <w:szCs w:val="21"/>
        </w:rPr>
        <w:t xml:space="preserve"> </w:t>
      </w:r>
      <w:r>
        <w:rPr>
          <w:rFonts w:ascii="Arial" w:hAnsi="Arial" w:cs="Arial"/>
          <w:w w:val="105"/>
          <w:sz w:val="21"/>
          <w:szCs w:val="21"/>
        </w:rPr>
        <w:t>behavioral</w:t>
      </w:r>
      <w:r>
        <w:rPr>
          <w:rFonts w:ascii="Arial" w:hAnsi="Arial" w:cs="Arial"/>
          <w:spacing w:val="-10"/>
          <w:w w:val="105"/>
          <w:sz w:val="21"/>
          <w:szCs w:val="21"/>
        </w:rPr>
        <w:t xml:space="preserve"> </w:t>
      </w:r>
      <w:r>
        <w:rPr>
          <w:rFonts w:ascii="Arial" w:hAnsi="Arial" w:cs="Arial"/>
          <w:w w:val="105"/>
          <w:sz w:val="21"/>
          <w:szCs w:val="21"/>
        </w:rPr>
        <w:t>health</w:t>
      </w:r>
      <w:r>
        <w:rPr>
          <w:rFonts w:ascii="Arial" w:hAnsi="Arial" w:cs="Arial"/>
          <w:spacing w:val="-19"/>
          <w:w w:val="105"/>
          <w:sz w:val="21"/>
          <w:szCs w:val="21"/>
        </w:rPr>
        <w:t xml:space="preserve"> </w:t>
      </w:r>
      <w:r>
        <w:rPr>
          <w:rFonts w:ascii="Arial" w:hAnsi="Arial" w:cs="Arial"/>
          <w:w w:val="105"/>
          <w:sz w:val="21"/>
          <w:szCs w:val="21"/>
        </w:rPr>
        <w:t>and</w:t>
      </w:r>
      <w:r>
        <w:rPr>
          <w:rFonts w:ascii="Arial" w:hAnsi="Arial" w:cs="Arial"/>
          <w:spacing w:val="-11"/>
          <w:w w:val="105"/>
          <w:sz w:val="21"/>
          <w:szCs w:val="21"/>
        </w:rPr>
        <w:t xml:space="preserve"> </w:t>
      </w:r>
      <w:r>
        <w:rPr>
          <w:rFonts w:ascii="Arial" w:hAnsi="Arial" w:cs="Arial"/>
          <w:w w:val="105"/>
          <w:sz w:val="21"/>
          <w:szCs w:val="21"/>
        </w:rPr>
        <w:t>medical</w:t>
      </w:r>
      <w:r>
        <w:rPr>
          <w:rFonts w:ascii="Arial" w:hAnsi="Arial" w:cs="Arial"/>
          <w:spacing w:val="-19"/>
          <w:w w:val="105"/>
          <w:sz w:val="21"/>
          <w:szCs w:val="21"/>
        </w:rPr>
        <w:t xml:space="preserve"> </w:t>
      </w:r>
      <w:r>
        <w:rPr>
          <w:rFonts w:ascii="Arial" w:hAnsi="Arial" w:cs="Arial"/>
          <w:w w:val="105"/>
          <w:sz w:val="21"/>
          <w:szCs w:val="21"/>
        </w:rPr>
        <w:t>needs</w:t>
      </w:r>
      <w:r>
        <w:rPr>
          <w:rFonts w:ascii="Arial" w:hAnsi="Arial" w:cs="Arial"/>
          <w:spacing w:val="-14"/>
          <w:w w:val="105"/>
          <w:sz w:val="21"/>
          <w:szCs w:val="21"/>
        </w:rPr>
        <w:t xml:space="preserve"> </w:t>
      </w:r>
      <w:r>
        <w:rPr>
          <w:rFonts w:ascii="Arial" w:hAnsi="Arial" w:cs="Arial"/>
          <w:w w:val="105"/>
          <w:sz w:val="21"/>
          <w:szCs w:val="21"/>
        </w:rPr>
        <w:t>of</w:t>
      </w:r>
      <w:r>
        <w:rPr>
          <w:rFonts w:ascii="Arial" w:hAnsi="Arial" w:cs="Arial"/>
          <w:spacing w:val="-19"/>
          <w:w w:val="105"/>
          <w:sz w:val="21"/>
          <w:szCs w:val="21"/>
        </w:rPr>
        <w:t xml:space="preserve"> </w:t>
      </w:r>
      <w:r>
        <w:rPr>
          <w:rFonts w:ascii="Arial" w:hAnsi="Arial" w:cs="Arial"/>
          <w:w w:val="105"/>
          <w:sz w:val="21"/>
          <w:szCs w:val="21"/>
        </w:rPr>
        <w:t>homeless</w:t>
      </w:r>
      <w:r>
        <w:rPr>
          <w:rFonts w:ascii="Arial" w:hAnsi="Arial" w:cs="Arial"/>
          <w:spacing w:val="-14"/>
          <w:w w:val="105"/>
          <w:sz w:val="21"/>
          <w:szCs w:val="21"/>
        </w:rPr>
        <w:t xml:space="preserve"> </w:t>
      </w:r>
      <w:r>
        <w:rPr>
          <w:rFonts w:ascii="Arial" w:hAnsi="Arial" w:cs="Arial"/>
          <w:w w:val="105"/>
          <w:sz w:val="21"/>
          <w:szCs w:val="21"/>
        </w:rPr>
        <w:t>individuals</w:t>
      </w:r>
      <w:r>
        <w:rPr>
          <w:rFonts w:ascii="Arial" w:hAnsi="Arial" w:cs="Arial"/>
          <w:spacing w:val="-14"/>
          <w:w w:val="105"/>
          <w:sz w:val="21"/>
          <w:szCs w:val="21"/>
        </w:rPr>
        <w:t xml:space="preserve"> </w:t>
      </w:r>
      <w:r>
        <w:rPr>
          <w:rFonts w:ascii="Arial" w:hAnsi="Arial" w:cs="Arial"/>
          <w:w w:val="105"/>
          <w:sz w:val="21"/>
          <w:szCs w:val="21"/>
        </w:rPr>
        <w:t>is</w:t>
      </w:r>
      <w:r>
        <w:rPr>
          <w:rFonts w:ascii="Arial" w:hAnsi="Arial" w:cs="Arial"/>
          <w:spacing w:val="-23"/>
          <w:w w:val="105"/>
          <w:sz w:val="21"/>
          <w:szCs w:val="21"/>
        </w:rPr>
        <w:t xml:space="preserve"> </w:t>
      </w:r>
      <w:r>
        <w:rPr>
          <w:rFonts w:ascii="Arial" w:hAnsi="Arial" w:cs="Arial"/>
          <w:w w:val="105"/>
          <w:sz w:val="21"/>
          <w:szCs w:val="21"/>
        </w:rPr>
        <w:t>complicated.</w:t>
      </w:r>
      <w:r>
        <w:rPr>
          <w:rFonts w:ascii="Arial" w:hAnsi="Arial" w:cs="Arial"/>
          <w:spacing w:val="20"/>
          <w:w w:val="105"/>
          <w:sz w:val="21"/>
          <w:szCs w:val="21"/>
        </w:rPr>
        <w:t xml:space="preserve"> </w:t>
      </w:r>
      <w:r>
        <w:rPr>
          <w:rFonts w:ascii="Arial" w:hAnsi="Arial" w:cs="Arial"/>
          <w:w w:val="105"/>
          <w:sz w:val="21"/>
          <w:szCs w:val="21"/>
        </w:rPr>
        <w:t xml:space="preserve">The recognition of social determinants as a response is smart and housing must be the primary focus. We are encouraged at the proposal's intent to bring community partners </w:t>
      </w:r>
      <w:r>
        <w:rPr>
          <w:rFonts w:ascii="Arial" w:hAnsi="Arial" w:cs="Arial"/>
          <w:spacing w:val="-3"/>
          <w:w w:val="105"/>
          <w:sz w:val="21"/>
          <w:szCs w:val="21"/>
        </w:rPr>
        <w:t xml:space="preserve">into </w:t>
      </w:r>
      <w:r>
        <w:rPr>
          <w:rFonts w:ascii="Arial" w:hAnsi="Arial" w:cs="Arial"/>
          <w:w w:val="105"/>
          <w:sz w:val="21"/>
          <w:szCs w:val="21"/>
        </w:rPr>
        <w:t>the delivery</w:t>
      </w:r>
      <w:r>
        <w:rPr>
          <w:rFonts w:ascii="Arial" w:hAnsi="Arial" w:cs="Arial"/>
          <w:spacing w:val="-18"/>
          <w:w w:val="105"/>
          <w:sz w:val="21"/>
          <w:szCs w:val="21"/>
        </w:rPr>
        <w:t xml:space="preserve"> </w:t>
      </w:r>
      <w:r>
        <w:rPr>
          <w:rFonts w:ascii="Arial" w:hAnsi="Arial" w:cs="Arial"/>
          <w:w w:val="105"/>
          <w:sz w:val="21"/>
          <w:szCs w:val="21"/>
        </w:rPr>
        <w:t>system</w:t>
      </w:r>
      <w:r>
        <w:rPr>
          <w:rFonts w:ascii="Arial" w:hAnsi="Arial" w:cs="Arial"/>
          <w:spacing w:val="-10"/>
          <w:w w:val="105"/>
          <w:sz w:val="21"/>
          <w:szCs w:val="21"/>
        </w:rPr>
        <w:t xml:space="preserve"> </w:t>
      </w:r>
      <w:r>
        <w:rPr>
          <w:rFonts w:ascii="Arial" w:hAnsi="Arial" w:cs="Arial"/>
          <w:w w:val="105"/>
          <w:sz w:val="21"/>
          <w:szCs w:val="21"/>
        </w:rPr>
        <w:t>and</w:t>
      </w:r>
      <w:r>
        <w:rPr>
          <w:rFonts w:ascii="Arial" w:hAnsi="Arial" w:cs="Arial"/>
          <w:spacing w:val="-10"/>
          <w:w w:val="105"/>
          <w:sz w:val="21"/>
          <w:szCs w:val="21"/>
        </w:rPr>
        <w:t xml:space="preserve"> </w:t>
      </w:r>
      <w:r>
        <w:rPr>
          <w:rFonts w:ascii="Arial" w:hAnsi="Arial" w:cs="Arial"/>
          <w:w w:val="105"/>
          <w:sz w:val="21"/>
          <w:szCs w:val="21"/>
        </w:rPr>
        <w:t>we</w:t>
      </w:r>
      <w:r>
        <w:rPr>
          <w:rFonts w:ascii="Arial" w:hAnsi="Arial" w:cs="Arial"/>
          <w:spacing w:val="-7"/>
          <w:w w:val="105"/>
          <w:sz w:val="21"/>
          <w:szCs w:val="21"/>
        </w:rPr>
        <w:t xml:space="preserve"> </w:t>
      </w:r>
      <w:r>
        <w:rPr>
          <w:rFonts w:ascii="Arial" w:hAnsi="Arial" w:cs="Arial"/>
          <w:w w:val="105"/>
          <w:sz w:val="21"/>
          <w:szCs w:val="21"/>
        </w:rPr>
        <w:t>are</w:t>
      </w:r>
      <w:r>
        <w:rPr>
          <w:rFonts w:ascii="Arial" w:hAnsi="Arial" w:cs="Arial"/>
          <w:spacing w:val="-7"/>
          <w:w w:val="105"/>
          <w:sz w:val="21"/>
          <w:szCs w:val="21"/>
        </w:rPr>
        <w:t xml:space="preserve"> </w:t>
      </w:r>
      <w:r>
        <w:rPr>
          <w:rFonts w:ascii="Arial" w:hAnsi="Arial" w:cs="Arial"/>
          <w:w w:val="105"/>
          <w:sz w:val="21"/>
          <w:szCs w:val="21"/>
        </w:rPr>
        <w:t>ready</w:t>
      </w:r>
      <w:r>
        <w:rPr>
          <w:rFonts w:ascii="Arial" w:hAnsi="Arial" w:cs="Arial"/>
          <w:spacing w:val="-23"/>
          <w:w w:val="105"/>
          <w:sz w:val="21"/>
          <w:szCs w:val="21"/>
        </w:rPr>
        <w:t xml:space="preserve"> </w:t>
      </w:r>
      <w:r>
        <w:rPr>
          <w:rFonts w:ascii="Arial" w:hAnsi="Arial" w:cs="Arial"/>
          <w:w w:val="105"/>
          <w:sz w:val="21"/>
          <w:szCs w:val="21"/>
        </w:rPr>
        <w:t>to</w:t>
      </w:r>
      <w:r>
        <w:rPr>
          <w:rFonts w:ascii="Arial" w:hAnsi="Arial" w:cs="Arial"/>
          <w:spacing w:val="-7"/>
          <w:w w:val="105"/>
          <w:sz w:val="21"/>
          <w:szCs w:val="21"/>
        </w:rPr>
        <w:t xml:space="preserve"> </w:t>
      </w:r>
      <w:r>
        <w:rPr>
          <w:rFonts w:ascii="Arial" w:hAnsi="Arial" w:cs="Arial"/>
          <w:w w:val="105"/>
          <w:sz w:val="21"/>
          <w:szCs w:val="21"/>
        </w:rPr>
        <w:t>bring</w:t>
      </w:r>
      <w:r>
        <w:rPr>
          <w:rFonts w:ascii="Arial" w:hAnsi="Arial" w:cs="Arial"/>
          <w:spacing w:val="-32"/>
          <w:w w:val="105"/>
          <w:sz w:val="21"/>
          <w:szCs w:val="21"/>
        </w:rPr>
        <w:t xml:space="preserve"> </w:t>
      </w:r>
      <w:r>
        <w:rPr>
          <w:rFonts w:ascii="Arial" w:hAnsi="Arial" w:cs="Arial"/>
          <w:w w:val="105"/>
          <w:sz w:val="21"/>
          <w:szCs w:val="21"/>
        </w:rPr>
        <w:t>to</w:t>
      </w:r>
      <w:r>
        <w:rPr>
          <w:rFonts w:ascii="Arial" w:hAnsi="Arial" w:cs="Arial"/>
          <w:spacing w:val="-18"/>
          <w:w w:val="105"/>
          <w:sz w:val="21"/>
          <w:szCs w:val="21"/>
        </w:rPr>
        <w:t xml:space="preserve"> </w:t>
      </w:r>
      <w:r>
        <w:rPr>
          <w:rFonts w:ascii="Arial" w:hAnsi="Arial" w:cs="Arial"/>
          <w:w w:val="105"/>
          <w:sz w:val="21"/>
          <w:szCs w:val="21"/>
        </w:rPr>
        <w:t>the</w:t>
      </w:r>
      <w:r>
        <w:rPr>
          <w:rFonts w:ascii="Arial" w:hAnsi="Arial" w:cs="Arial"/>
          <w:spacing w:val="-23"/>
          <w:w w:val="105"/>
          <w:sz w:val="21"/>
          <w:szCs w:val="21"/>
        </w:rPr>
        <w:t xml:space="preserve"> </w:t>
      </w:r>
      <w:r>
        <w:rPr>
          <w:rFonts w:ascii="Arial" w:hAnsi="Arial" w:cs="Arial"/>
          <w:w w:val="105"/>
          <w:sz w:val="21"/>
          <w:szCs w:val="21"/>
        </w:rPr>
        <w:t>table</w:t>
      </w:r>
      <w:r>
        <w:rPr>
          <w:rFonts w:ascii="Arial" w:hAnsi="Arial" w:cs="Arial"/>
          <w:spacing w:val="-10"/>
          <w:w w:val="105"/>
          <w:sz w:val="21"/>
          <w:szCs w:val="21"/>
        </w:rPr>
        <w:t xml:space="preserve"> </w:t>
      </w:r>
      <w:r>
        <w:rPr>
          <w:rFonts w:ascii="Arial" w:hAnsi="Arial" w:cs="Arial"/>
          <w:w w:val="105"/>
          <w:sz w:val="21"/>
          <w:szCs w:val="21"/>
        </w:rPr>
        <w:t>our</w:t>
      </w:r>
      <w:r>
        <w:rPr>
          <w:rFonts w:ascii="Arial" w:hAnsi="Arial" w:cs="Arial"/>
          <w:spacing w:val="-7"/>
          <w:w w:val="105"/>
          <w:sz w:val="21"/>
          <w:szCs w:val="21"/>
        </w:rPr>
        <w:t xml:space="preserve"> </w:t>
      </w:r>
      <w:r>
        <w:rPr>
          <w:rFonts w:ascii="Arial" w:hAnsi="Arial" w:cs="Arial"/>
          <w:w w:val="105"/>
          <w:sz w:val="21"/>
          <w:szCs w:val="21"/>
        </w:rPr>
        <w:t>experience</w:t>
      </w:r>
      <w:r>
        <w:rPr>
          <w:rFonts w:ascii="Arial" w:hAnsi="Arial" w:cs="Arial"/>
          <w:spacing w:val="4"/>
          <w:w w:val="105"/>
          <w:sz w:val="21"/>
          <w:szCs w:val="21"/>
        </w:rPr>
        <w:t xml:space="preserve"> </w:t>
      </w:r>
      <w:r>
        <w:rPr>
          <w:rFonts w:ascii="Arial" w:hAnsi="Arial" w:cs="Arial"/>
          <w:w w:val="105"/>
          <w:sz w:val="21"/>
          <w:szCs w:val="21"/>
        </w:rPr>
        <w:t>and</w:t>
      </w:r>
      <w:r>
        <w:rPr>
          <w:rFonts w:ascii="Arial" w:hAnsi="Arial" w:cs="Arial"/>
          <w:spacing w:val="-10"/>
          <w:w w:val="105"/>
          <w:sz w:val="21"/>
          <w:szCs w:val="21"/>
        </w:rPr>
        <w:t xml:space="preserve"> </w:t>
      </w:r>
      <w:r>
        <w:rPr>
          <w:rFonts w:ascii="Arial" w:hAnsi="Arial" w:cs="Arial"/>
          <w:w w:val="105"/>
          <w:sz w:val="21"/>
          <w:szCs w:val="21"/>
        </w:rPr>
        <w:t>outcomes.</w:t>
      </w:r>
      <w:r>
        <w:rPr>
          <w:rFonts w:ascii="Arial" w:hAnsi="Arial" w:cs="Arial"/>
          <w:spacing w:val="-5"/>
          <w:w w:val="105"/>
          <w:sz w:val="21"/>
          <w:szCs w:val="21"/>
        </w:rPr>
        <w:t xml:space="preserve"> </w:t>
      </w:r>
      <w:r>
        <w:rPr>
          <w:rFonts w:ascii="Arial" w:hAnsi="Arial" w:cs="Arial"/>
          <w:w w:val="105"/>
          <w:sz w:val="21"/>
          <w:szCs w:val="21"/>
        </w:rPr>
        <w:t>We</w:t>
      </w:r>
      <w:r>
        <w:rPr>
          <w:rFonts w:ascii="Arial" w:hAnsi="Arial" w:cs="Arial"/>
          <w:spacing w:val="-10"/>
          <w:w w:val="105"/>
          <w:sz w:val="21"/>
          <w:szCs w:val="21"/>
        </w:rPr>
        <w:t xml:space="preserve"> </w:t>
      </w:r>
      <w:r>
        <w:rPr>
          <w:rFonts w:ascii="Arial" w:hAnsi="Arial" w:cs="Arial"/>
          <w:w w:val="105"/>
          <w:sz w:val="21"/>
          <w:szCs w:val="21"/>
        </w:rPr>
        <w:t>have the</w:t>
      </w:r>
      <w:r>
        <w:rPr>
          <w:rFonts w:ascii="Arial" w:hAnsi="Arial" w:cs="Arial"/>
          <w:spacing w:val="-5"/>
          <w:w w:val="105"/>
          <w:sz w:val="21"/>
          <w:szCs w:val="21"/>
        </w:rPr>
        <w:t xml:space="preserve"> </w:t>
      </w:r>
      <w:r>
        <w:rPr>
          <w:rFonts w:ascii="Arial" w:hAnsi="Arial" w:cs="Arial"/>
          <w:w w:val="105"/>
          <w:sz w:val="21"/>
          <w:szCs w:val="21"/>
        </w:rPr>
        <w:t>capacity</w:t>
      </w:r>
      <w:r>
        <w:rPr>
          <w:rFonts w:ascii="Arial" w:hAnsi="Arial" w:cs="Arial"/>
          <w:spacing w:val="9"/>
          <w:w w:val="105"/>
          <w:sz w:val="21"/>
          <w:szCs w:val="21"/>
        </w:rPr>
        <w:t xml:space="preserve"> </w:t>
      </w:r>
      <w:r>
        <w:rPr>
          <w:rFonts w:ascii="Arial" w:hAnsi="Arial" w:cs="Arial"/>
          <w:w w:val="105"/>
          <w:sz w:val="21"/>
          <w:szCs w:val="21"/>
        </w:rPr>
        <w:t>24</w:t>
      </w:r>
      <w:r>
        <w:rPr>
          <w:rFonts w:ascii="Arial" w:hAnsi="Arial" w:cs="Arial"/>
          <w:spacing w:val="-9"/>
          <w:w w:val="105"/>
          <w:sz w:val="21"/>
          <w:szCs w:val="21"/>
        </w:rPr>
        <w:t xml:space="preserve"> </w:t>
      </w:r>
      <w:r>
        <w:rPr>
          <w:rFonts w:ascii="Arial" w:hAnsi="Arial" w:cs="Arial"/>
          <w:w w:val="105"/>
          <w:sz w:val="21"/>
          <w:szCs w:val="21"/>
        </w:rPr>
        <w:t>hours</w:t>
      </w:r>
      <w:r>
        <w:rPr>
          <w:rFonts w:ascii="Arial" w:hAnsi="Arial" w:cs="Arial"/>
          <w:spacing w:val="-6"/>
          <w:w w:val="105"/>
          <w:sz w:val="21"/>
          <w:szCs w:val="21"/>
        </w:rPr>
        <w:t xml:space="preserve"> </w:t>
      </w:r>
      <w:r>
        <w:rPr>
          <w:rFonts w:ascii="Arial" w:hAnsi="Arial" w:cs="Arial"/>
          <w:w w:val="105"/>
          <w:sz w:val="21"/>
          <w:szCs w:val="21"/>
        </w:rPr>
        <w:t>a</w:t>
      </w:r>
      <w:r>
        <w:rPr>
          <w:rFonts w:ascii="Arial" w:hAnsi="Arial" w:cs="Arial"/>
          <w:spacing w:val="-9"/>
          <w:w w:val="105"/>
          <w:sz w:val="21"/>
          <w:szCs w:val="21"/>
        </w:rPr>
        <w:t xml:space="preserve"> </w:t>
      </w:r>
      <w:r>
        <w:rPr>
          <w:rFonts w:ascii="Arial" w:hAnsi="Arial" w:cs="Arial"/>
          <w:w w:val="105"/>
          <w:sz w:val="21"/>
          <w:szCs w:val="21"/>
        </w:rPr>
        <w:t>day</w:t>
      </w:r>
      <w:r>
        <w:rPr>
          <w:rFonts w:ascii="Arial" w:hAnsi="Arial" w:cs="Arial"/>
          <w:spacing w:val="-8"/>
          <w:w w:val="105"/>
          <w:sz w:val="21"/>
          <w:szCs w:val="21"/>
        </w:rPr>
        <w:t xml:space="preserve"> </w:t>
      </w:r>
      <w:r>
        <w:rPr>
          <w:rFonts w:ascii="Arial" w:hAnsi="Arial" w:cs="Arial"/>
          <w:w w:val="105"/>
          <w:sz w:val="21"/>
          <w:szCs w:val="21"/>
        </w:rPr>
        <w:t>for</w:t>
      </w:r>
      <w:r>
        <w:rPr>
          <w:rFonts w:ascii="Arial" w:hAnsi="Arial" w:cs="Arial"/>
          <w:spacing w:val="3"/>
          <w:w w:val="105"/>
          <w:sz w:val="21"/>
          <w:szCs w:val="21"/>
        </w:rPr>
        <w:t xml:space="preserve"> </w:t>
      </w:r>
      <w:r>
        <w:rPr>
          <w:rFonts w:ascii="Arial" w:hAnsi="Arial" w:cs="Arial"/>
          <w:w w:val="105"/>
          <w:sz w:val="21"/>
          <w:szCs w:val="21"/>
        </w:rPr>
        <w:t>boots</w:t>
      </w:r>
      <w:r>
        <w:rPr>
          <w:rFonts w:ascii="Arial" w:hAnsi="Arial" w:cs="Arial"/>
          <w:spacing w:val="-18"/>
          <w:w w:val="105"/>
          <w:sz w:val="21"/>
          <w:szCs w:val="21"/>
        </w:rPr>
        <w:t xml:space="preserve"> </w:t>
      </w:r>
      <w:r>
        <w:rPr>
          <w:rFonts w:ascii="Arial" w:hAnsi="Arial" w:cs="Arial"/>
          <w:w w:val="105"/>
          <w:sz w:val="21"/>
          <w:szCs w:val="21"/>
        </w:rPr>
        <w:t>on</w:t>
      </w:r>
      <w:r>
        <w:rPr>
          <w:rFonts w:ascii="Arial" w:hAnsi="Arial" w:cs="Arial"/>
          <w:spacing w:val="-16"/>
          <w:w w:val="105"/>
          <w:sz w:val="21"/>
          <w:szCs w:val="21"/>
        </w:rPr>
        <w:t xml:space="preserve"> </w:t>
      </w:r>
      <w:r>
        <w:rPr>
          <w:rFonts w:ascii="Arial" w:hAnsi="Arial" w:cs="Arial"/>
          <w:w w:val="105"/>
          <w:sz w:val="21"/>
          <w:szCs w:val="21"/>
        </w:rPr>
        <w:t>the</w:t>
      </w:r>
      <w:r>
        <w:rPr>
          <w:rFonts w:ascii="Arial" w:hAnsi="Arial" w:cs="Arial"/>
          <w:spacing w:val="-9"/>
          <w:w w:val="105"/>
          <w:sz w:val="21"/>
          <w:szCs w:val="21"/>
        </w:rPr>
        <w:t xml:space="preserve"> </w:t>
      </w:r>
      <w:r>
        <w:rPr>
          <w:rFonts w:ascii="Arial" w:hAnsi="Arial" w:cs="Arial"/>
          <w:w w:val="105"/>
          <w:sz w:val="21"/>
          <w:szCs w:val="21"/>
        </w:rPr>
        <w:t>ground in</w:t>
      </w:r>
      <w:r>
        <w:rPr>
          <w:rFonts w:ascii="Arial" w:hAnsi="Arial" w:cs="Arial"/>
          <w:spacing w:val="-32"/>
          <w:w w:val="105"/>
          <w:sz w:val="21"/>
          <w:szCs w:val="21"/>
        </w:rPr>
        <w:t xml:space="preserve"> </w:t>
      </w:r>
      <w:r>
        <w:rPr>
          <w:rFonts w:ascii="Arial" w:hAnsi="Arial" w:cs="Arial"/>
          <w:w w:val="105"/>
          <w:sz w:val="21"/>
          <w:szCs w:val="21"/>
        </w:rPr>
        <w:t>the</w:t>
      </w:r>
      <w:r>
        <w:rPr>
          <w:rFonts w:ascii="Arial" w:hAnsi="Arial" w:cs="Arial"/>
          <w:spacing w:val="-5"/>
          <w:w w:val="105"/>
          <w:sz w:val="21"/>
          <w:szCs w:val="21"/>
        </w:rPr>
        <w:t xml:space="preserve"> </w:t>
      </w:r>
      <w:r>
        <w:rPr>
          <w:rFonts w:ascii="Arial" w:hAnsi="Arial" w:cs="Arial"/>
          <w:w w:val="105"/>
          <w:sz w:val="21"/>
          <w:szCs w:val="21"/>
        </w:rPr>
        <w:t>community</w:t>
      </w:r>
      <w:r>
        <w:rPr>
          <w:rFonts w:ascii="Arial" w:hAnsi="Arial" w:cs="Arial"/>
          <w:spacing w:val="7"/>
          <w:w w:val="105"/>
          <w:sz w:val="21"/>
          <w:szCs w:val="21"/>
        </w:rPr>
        <w:t xml:space="preserve"> </w:t>
      </w:r>
      <w:r>
        <w:rPr>
          <w:rFonts w:ascii="Arial" w:hAnsi="Arial" w:cs="Arial"/>
          <w:w w:val="105"/>
          <w:sz w:val="21"/>
          <w:szCs w:val="21"/>
        </w:rPr>
        <w:t>managing</w:t>
      </w:r>
      <w:r>
        <w:rPr>
          <w:rFonts w:ascii="Arial" w:hAnsi="Arial" w:cs="Arial"/>
          <w:spacing w:val="-20"/>
          <w:w w:val="105"/>
          <w:sz w:val="21"/>
          <w:szCs w:val="21"/>
        </w:rPr>
        <w:t xml:space="preserve"> </w:t>
      </w:r>
      <w:r>
        <w:rPr>
          <w:rFonts w:ascii="Arial" w:hAnsi="Arial" w:cs="Arial"/>
          <w:w w:val="105"/>
          <w:sz w:val="21"/>
          <w:szCs w:val="21"/>
        </w:rPr>
        <w:t>the</w:t>
      </w:r>
      <w:r>
        <w:rPr>
          <w:rFonts w:ascii="Arial" w:hAnsi="Arial" w:cs="Arial"/>
          <w:spacing w:val="-16"/>
          <w:w w:val="105"/>
          <w:sz w:val="21"/>
          <w:szCs w:val="21"/>
        </w:rPr>
        <w:t xml:space="preserve"> </w:t>
      </w:r>
      <w:r>
        <w:rPr>
          <w:rFonts w:ascii="Arial" w:hAnsi="Arial" w:cs="Arial"/>
          <w:w w:val="105"/>
          <w:sz w:val="21"/>
          <w:szCs w:val="21"/>
        </w:rPr>
        <w:t>total</w:t>
      </w:r>
      <w:r>
        <w:rPr>
          <w:rFonts w:ascii="Arial" w:hAnsi="Arial" w:cs="Arial"/>
          <w:spacing w:val="-8"/>
          <w:w w:val="105"/>
          <w:sz w:val="21"/>
          <w:szCs w:val="21"/>
        </w:rPr>
        <w:t xml:space="preserve"> </w:t>
      </w:r>
      <w:r>
        <w:rPr>
          <w:rFonts w:ascii="Arial" w:hAnsi="Arial" w:cs="Arial"/>
          <w:w w:val="105"/>
          <w:sz w:val="21"/>
          <w:szCs w:val="21"/>
        </w:rPr>
        <w:t>care of</w:t>
      </w:r>
      <w:r>
        <w:rPr>
          <w:rFonts w:ascii="Arial" w:hAnsi="Arial" w:cs="Arial"/>
          <w:spacing w:val="-23"/>
          <w:w w:val="105"/>
          <w:sz w:val="21"/>
          <w:szCs w:val="21"/>
        </w:rPr>
        <w:t xml:space="preserve"> </w:t>
      </w:r>
      <w:r>
        <w:rPr>
          <w:rFonts w:ascii="Arial" w:hAnsi="Arial" w:cs="Arial"/>
          <w:w w:val="105"/>
          <w:sz w:val="21"/>
          <w:szCs w:val="21"/>
        </w:rPr>
        <w:t>your</w:t>
      </w:r>
      <w:r>
        <w:rPr>
          <w:rFonts w:ascii="Arial" w:hAnsi="Arial" w:cs="Arial"/>
          <w:spacing w:val="4"/>
          <w:w w:val="105"/>
          <w:sz w:val="21"/>
          <w:szCs w:val="21"/>
        </w:rPr>
        <w:t xml:space="preserve"> </w:t>
      </w:r>
      <w:r>
        <w:rPr>
          <w:rFonts w:ascii="Arial" w:hAnsi="Arial" w:cs="Arial"/>
          <w:w w:val="105"/>
          <w:sz w:val="21"/>
          <w:szCs w:val="21"/>
        </w:rPr>
        <w:t>most</w:t>
      </w:r>
      <w:r>
        <w:rPr>
          <w:rFonts w:ascii="Arial" w:hAnsi="Arial" w:cs="Arial"/>
          <w:spacing w:val="-7"/>
          <w:w w:val="105"/>
          <w:sz w:val="21"/>
          <w:szCs w:val="21"/>
        </w:rPr>
        <w:t xml:space="preserve"> </w:t>
      </w:r>
      <w:r>
        <w:rPr>
          <w:rFonts w:ascii="Arial" w:hAnsi="Arial" w:cs="Arial"/>
          <w:w w:val="105"/>
          <w:sz w:val="21"/>
          <w:szCs w:val="21"/>
        </w:rPr>
        <w:t>expensive</w:t>
      </w:r>
      <w:r>
        <w:rPr>
          <w:rFonts w:ascii="Arial" w:hAnsi="Arial" w:cs="Arial"/>
          <w:spacing w:val="9"/>
          <w:w w:val="105"/>
          <w:sz w:val="21"/>
          <w:szCs w:val="21"/>
        </w:rPr>
        <w:t xml:space="preserve"> </w:t>
      </w:r>
      <w:r>
        <w:rPr>
          <w:rFonts w:ascii="Arial" w:hAnsi="Arial" w:cs="Arial"/>
          <w:w w:val="105"/>
          <w:sz w:val="21"/>
          <w:szCs w:val="21"/>
        </w:rPr>
        <w:t>utilizers</w:t>
      </w:r>
      <w:r>
        <w:rPr>
          <w:rFonts w:ascii="Arial" w:hAnsi="Arial" w:cs="Arial"/>
          <w:spacing w:val="-11"/>
          <w:w w:val="105"/>
          <w:sz w:val="21"/>
          <w:szCs w:val="21"/>
        </w:rPr>
        <w:t xml:space="preserve"> </w:t>
      </w:r>
      <w:r>
        <w:rPr>
          <w:rFonts w:ascii="Arial" w:hAnsi="Arial" w:cs="Arial"/>
          <w:w w:val="105"/>
          <w:sz w:val="21"/>
          <w:szCs w:val="21"/>
        </w:rPr>
        <w:t>of</w:t>
      </w:r>
      <w:r>
        <w:rPr>
          <w:rFonts w:ascii="Arial" w:hAnsi="Arial" w:cs="Arial"/>
          <w:spacing w:val="-16"/>
          <w:w w:val="105"/>
          <w:sz w:val="21"/>
          <w:szCs w:val="21"/>
        </w:rPr>
        <w:t xml:space="preserve"> </w:t>
      </w:r>
      <w:r>
        <w:rPr>
          <w:rFonts w:ascii="Arial" w:hAnsi="Arial" w:cs="Arial"/>
          <w:w w:val="105"/>
          <w:sz w:val="21"/>
          <w:szCs w:val="21"/>
        </w:rPr>
        <w:t>tertiary</w:t>
      </w:r>
      <w:r>
        <w:rPr>
          <w:rFonts w:ascii="Arial" w:hAnsi="Arial" w:cs="Arial"/>
          <w:spacing w:val="6"/>
          <w:w w:val="105"/>
          <w:sz w:val="21"/>
          <w:szCs w:val="21"/>
        </w:rPr>
        <w:t xml:space="preserve"> </w:t>
      </w:r>
      <w:r>
        <w:rPr>
          <w:rFonts w:ascii="Arial" w:hAnsi="Arial" w:cs="Arial"/>
          <w:w w:val="105"/>
          <w:sz w:val="21"/>
          <w:szCs w:val="21"/>
        </w:rPr>
        <w:t>medical</w:t>
      </w:r>
      <w:r>
        <w:rPr>
          <w:rFonts w:ascii="Arial" w:hAnsi="Arial" w:cs="Arial"/>
          <w:spacing w:val="-9"/>
          <w:w w:val="105"/>
          <w:sz w:val="21"/>
          <w:szCs w:val="21"/>
        </w:rPr>
        <w:t xml:space="preserve"> </w:t>
      </w:r>
      <w:r>
        <w:rPr>
          <w:rFonts w:ascii="Arial" w:hAnsi="Arial" w:cs="Arial"/>
          <w:w w:val="105"/>
          <w:sz w:val="21"/>
          <w:szCs w:val="21"/>
        </w:rPr>
        <w:t>care</w:t>
      </w:r>
      <w:r>
        <w:rPr>
          <w:rFonts w:ascii="Arial" w:hAnsi="Arial" w:cs="Arial"/>
          <w:spacing w:val="-3"/>
          <w:w w:val="105"/>
          <w:sz w:val="21"/>
          <w:szCs w:val="21"/>
        </w:rPr>
        <w:t xml:space="preserve"> </w:t>
      </w:r>
      <w:r>
        <w:rPr>
          <w:rFonts w:ascii="Arial" w:hAnsi="Arial" w:cs="Arial"/>
          <w:w w:val="105"/>
          <w:sz w:val="21"/>
          <w:szCs w:val="21"/>
        </w:rPr>
        <w:t>and</w:t>
      </w:r>
      <w:r>
        <w:rPr>
          <w:rFonts w:ascii="Arial" w:hAnsi="Arial" w:cs="Arial"/>
          <w:spacing w:val="-18"/>
          <w:w w:val="105"/>
          <w:sz w:val="21"/>
          <w:szCs w:val="21"/>
        </w:rPr>
        <w:t xml:space="preserve"> </w:t>
      </w:r>
      <w:r>
        <w:rPr>
          <w:rFonts w:ascii="Arial" w:hAnsi="Arial" w:cs="Arial"/>
          <w:w w:val="105"/>
          <w:sz w:val="21"/>
          <w:szCs w:val="21"/>
        </w:rPr>
        <w:t>the</w:t>
      </w:r>
      <w:r>
        <w:rPr>
          <w:rFonts w:ascii="Arial" w:hAnsi="Arial" w:cs="Arial"/>
          <w:spacing w:val="-7"/>
          <w:w w:val="105"/>
          <w:sz w:val="21"/>
          <w:szCs w:val="21"/>
        </w:rPr>
        <w:t xml:space="preserve"> </w:t>
      </w:r>
      <w:r>
        <w:rPr>
          <w:rFonts w:ascii="Arial" w:hAnsi="Arial" w:cs="Arial"/>
          <w:w w:val="105"/>
          <w:sz w:val="21"/>
          <w:szCs w:val="21"/>
        </w:rPr>
        <w:t xml:space="preserve">chronically </w:t>
      </w:r>
      <w:r>
        <w:rPr>
          <w:rFonts w:ascii="Arial" w:hAnsi="Arial" w:cs="Arial"/>
          <w:w w:val="105"/>
        </w:rPr>
        <w:t>ill.</w:t>
      </w:r>
    </w:p>
    <w:p w:rsidR="002C5025" w:rsidRDefault="002C5025">
      <w:pPr>
        <w:pStyle w:val="BodyText"/>
        <w:kinsoku w:val="0"/>
        <w:overflowPunct w:val="0"/>
        <w:spacing w:before="191" w:line="336" w:lineRule="auto"/>
        <w:ind w:left="108" w:right="106" w:firstLine="7"/>
        <w:rPr>
          <w:rFonts w:ascii="Arial" w:hAnsi="Arial" w:cs="Arial"/>
          <w:w w:val="105"/>
          <w:sz w:val="21"/>
          <w:szCs w:val="21"/>
        </w:rPr>
      </w:pPr>
      <w:r>
        <w:rPr>
          <w:rFonts w:ascii="Arial" w:hAnsi="Arial" w:cs="Arial"/>
          <w:w w:val="105"/>
          <w:sz w:val="21"/>
          <w:szCs w:val="21"/>
        </w:rPr>
        <w:t>Within</w:t>
      </w:r>
      <w:r>
        <w:rPr>
          <w:rFonts w:ascii="Arial" w:hAnsi="Arial" w:cs="Arial"/>
          <w:spacing w:val="-26"/>
          <w:w w:val="105"/>
          <w:sz w:val="21"/>
          <w:szCs w:val="21"/>
        </w:rPr>
        <w:t xml:space="preserve"> </w:t>
      </w:r>
      <w:r>
        <w:rPr>
          <w:rFonts w:ascii="Arial" w:hAnsi="Arial" w:cs="Arial"/>
          <w:w w:val="105"/>
          <w:sz w:val="21"/>
          <w:szCs w:val="21"/>
        </w:rPr>
        <w:t>the</w:t>
      </w:r>
      <w:r>
        <w:rPr>
          <w:rFonts w:ascii="Arial" w:hAnsi="Arial" w:cs="Arial"/>
          <w:spacing w:val="-10"/>
          <w:w w:val="105"/>
          <w:sz w:val="21"/>
          <w:szCs w:val="21"/>
        </w:rPr>
        <w:t xml:space="preserve"> </w:t>
      </w:r>
      <w:r>
        <w:rPr>
          <w:rFonts w:ascii="Arial" w:hAnsi="Arial" w:cs="Arial"/>
          <w:w w:val="105"/>
          <w:sz w:val="21"/>
          <w:szCs w:val="21"/>
        </w:rPr>
        <w:t>S</w:t>
      </w:r>
      <w:r>
        <w:rPr>
          <w:rFonts w:ascii="Arial" w:hAnsi="Arial" w:cs="Arial"/>
          <w:spacing w:val="-14"/>
          <w:w w:val="105"/>
          <w:sz w:val="21"/>
          <w:szCs w:val="21"/>
        </w:rPr>
        <w:t xml:space="preserve"> </w:t>
      </w:r>
      <w:r>
        <w:rPr>
          <w:rFonts w:ascii="Arial" w:hAnsi="Arial" w:cs="Arial"/>
          <w:w w:val="105"/>
          <w:sz w:val="21"/>
          <w:szCs w:val="21"/>
        </w:rPr>
        <w:t>goals</w:t>
      </w:r>
      <w:r>
        <w:rPr>
          <w:rFonts w:ascii="Arial" w:hAnsi="Arial" w:cs="Arial"/>
          <w:spacing w:val="-7"/>
          <w:w w:val="105"/>
          <w:sz w:val="21"/>
          <w:szCs w:val="21"/>
        </w:rPr>
        <w:t xml:space="preserve"> </w:t>
      </w:r>
      <w:r>
        <w:rPr>
          <w:rFonts w:ascii="Arial" w:hAnsi="Arial" w:cs="Arial"/>
          <w:w w:val="105"/>
          <w:sz w:val="21"/>
          <w:szCs w:val="21"/>
        </w:rPr>
        <w:t>outlined</w:t>
      </w:r>
      <w:r>
        <w:rPr>
          <w:rFonts w:ascii="Arial" w:hAnsi="Arial" w:cs="Arial"/>
          <w:spacing w:val="-14"/>
          <w:w w:val="105"/>
          <w:sz w:val="21"/>
          <w:szCs w:val="21"/>
        </w:rPr>
        <w:t xml:space="preserve"> </w:t>
      </w:r>
      <w:r>
        <w:rPr>
          <w:rFonts w:ascii="Arial" w:hAnsi="Arial" w:cs="Arial"/>
          <w:w w:val="105"/>
          <w:sz w:val="21"/>
          <w:szCs w:val="21"/>
        </w:rPr>
        <w:t>in</w:t>
      </w:r>
      <w:r>
        <w:rPr>
          <w:rFonts w:ascii="Arial" w:hAnsi="Arial" w:cs="Arial"/>
          <w:spacing w:val="-27"/>
          <w:w w:val="105"/>
          <w:sz w:val="21"/>
          <w:szCs w:val="21"/>
        </w:rPr>
        <w:t xml:space="preserve"> </w:t>
      </w:r>
      <w:r>
        <w:rPr>
          <w:rFonts w:ascii="Arial" w:hAnsi="Arial" w:cs="Arial"/>
          <w:w w:val="105"/>
          <w:sz w:val="21"/>
          <w:szCs w:val="21"/>
        </w:rPr>
        <w:t>this</w:t>
      </w:r>
      <w:r>
        <w:rPr>
          <w:rFonts w:ascii="Arial" w:hAnsi="Arial" w:cs="Arial"/>
          <w:spacing w:val="-7"/>
          <w:w w:val="105"/>
          <w:sz w:val="21"/>
          <w:szCs w:val="21"/>
        </w:rPr>
        <w:t xml:space="preserve"> </w:t>
      </w:r>
      <w:r>
        <w:rPr>
          <w:rFonts w:ascii="Arial" w:hAnsi="Arial" w:cs="Arial"/>
          <w:w w:val="105"/>
          <w:sz w:val="21"/>
          <w:szCs w:val="21"/>
        </w:rPr>
        <w:t>plan,</w:t>
      </w:r>
      <w:r>
        <w:rPr>
          <w:rFonts w:ascii="Arial" w:hAnsi="Arial" w:cs="Arial"/>
          <w:spacing w:val="-23"/>
          <w:w w:val="105"/>
          <w:sz w:val="21"/>
          <w:szCs w:val="21"/>
        </w:rPr>
        <w:t xml:space="preserve"> </w:t>
      </w:r>
      <w:r>
        <w:rPr>
          <w:rFonts w:ascii="Arial" w:hAnsi="Arial" w:cs="Arial"/>
          <w:w w:val="105"/>
          <w:sz w:val="21"/>
          <w:szCs w:val="21"/>
        </w:rPr>
        <w:t>we</w:t>
      </w:r>
      <w:r>
        <w:rPr>
          <w:rFonts w:ascii="Arial" w:hAnsi="Arial" w:cs="Arial"/>
          <w:spacing w:val="-7"/>
          <w:w w:val="105"/>
          <w:sz w:val="21"/>
          <w:szCs w:val="21"/>
        </w:rPr>
        <w:t xml:space="preserve"> </w:t>
      </w:r>
      <w:r>
        <w:rPr>
          <w:rFonts w:ascii="Arial" w:hAnsi="Arial" w:cs="Arial"/>
          <w:w w:val="105"/>
          <w:sz w:val="21"/>
          <w:szCs w:val="21"/>
        </w:rPr>
        <w:t>saw</w:t>
      </w:r>
      <w:r>
        <w:rPr>
          <w:rFonts w:ascii="Arial" w:hAnsi="Arial" w:cs="Arial"/>
          <w:spacing w:val="-3"/>
          <w:w w:val="105"/>
          <w:sz w:val="21"/>
          <w:szCs w:val="21"/>
        </w:rPr>
        <w:t xml:space="preserve"> </w:t>
      </w:r>
      <w:r>
        <w:rPr>
          <w:rFonts w:ascii="Arial" w:hAnsi="Arial" w:cs="Arial"/>
          <w:w w:val="105"/>
          <w:sz w:val="21"/>
          <w:szCs w:val="21"/>
        </w:rPr>
        <w:t>embedded</w:t>
      </w:r>
      <w:r>
        <w:rPr>
          <w:rFonts w:ascii="Arial" w:hAnsi="Arial" w:cs="Arial"/>
          <w:spacing w:val="-10"/>
          <w:w w:val="105"/>
          <w:sz w:val="21"/>
          <w:szCs w:val="21"/>
        </w:rPr>
        <w:t xml:space="preserve"> </w:t>
      </w:r>
      <w:r>
        <w:rPr>
          <w:rFonts w:ascii="Arial" w:hAnsi="Arial" w:cs="Arial"/>
          <w:w w:val="105"/>
          <w:sz w:val="21"/>
          <w:szCs w:val="21"/>
        </w:rPr>
        <w:t>the</w:t>
      </w:r>
      <w:r>
        <w:rPr>
          <w:rFonts w:ascii="Arial" w:hAnsi="Arial" w:cs="Arial"/>
          <w:spacing w:val="-10"/>
          <w:w w:val="105"/>
          <w:sz w:val="21"/>
          <w:szCs w:val="21"/>
        </w:rPr>
        <w:t xml:space="preserve"> </w:t>
      </w:r>
      <w:r>
        <w:rPr>
          <w:rFonts w:ascii="Arial" w:hAnsi="Arial" w:cs="Arial"/>
          <w:w w:val="105"/>
          <w:sz w:val="21"/>
          <w:szCs w:val="21"/>
        </w:rPr>
        <w:t>values</w:t>
      </w:r>
      <w:r>
        <w:rPr>
          <w:rFonts w:ascii="Arial" w:hAnsi="Arial" w:cs="Arial"/>
          <w:spacing w:val="4"/>
          <w:w w:val="105"/>
          <w:sz w:val="21"/>
          <w:szCs w:val="21"/>
        </w:rPr>
        <w:t xml:space="preserve"> </w:t>
      </w:r>
      <w:r>
        <w:rPr>
          <w:rFonts w:ascii="Arial" w:hAnsi="Arial" w:cs="Arial"/>
          <w:w w:val="105"/>
          <w:sz w:val="21"/>
          <w:szCs w:val="21"/>
        </w:rPr>
        <w:t>behind</w:t>
      </w:r>
      <w:r>
        <w:rPr>
          <w:rFonts w:ascii="Arial" w:hAnsi="Arial" w:cs="Arial"/>
          <w:spacing w:val="-14"/>
          <w:w w:val="105"/>
          <w:sz w:val="21"/>
          <w:szCs w:val="21"/>
        </w:rPr>
        <w:t xml:space="preserve"> </w:t>
      </w:r>
      <w:r>
        <w:rPr>
          <w:rFonts w:ascii="Arial" w:hAnsi="Arial" w:cs="Arial"/>
          <w:w w:val="105"/>
          <w:sz w:val="21"/>
          <w:szCs w:val="21"/>
        </w:rPr>
        <w:t>and</w:t>
      </w:r>
      <w:r>
        <w:rPr>
          <w:rFonts w:ascii="Arial" w:hAnsi="Arial" w:cs="Arial"/>
          <w:spacing w:val="-16"/>
          <w:w w:val="105"/>
          <w:sz w:val="21"/>
          <w:szCs w:val="21"/>
        </w:rPr>
        <w:t xml:space="preserve"> </w:t>
      </w:r>
      <w:r>
        <w:rPr>
          <w:rFonts w:ascii="Arial" w:hAnsi="Arial" w:cs="Arial"/>
          <w:w w:val="105"/>
          <w:sz w:val="21"/>
          <w:szCs w:val="21"/>
        </w:rPr>
        <w:t>the</w:t>
      </w:r>
      <w:r>
        <w:rPr>
          <w:rFonts w:ascii="Arial" w:hAnsi="Arial" w:cs="Arial"/>
          <w:spacing w:val="-3"/>
          <w:w w:val="105"/>
          <w:sz w:val="21"/>
          <w:szCs w:val="21"/>
        </w:rPr>
        <w:t xml:space="preserve"> </w:t>
      </w:r>
      <w:r>
        <w:rPr>
          <w:rFonts w:ascii="Arial" w:hAnsi="Arial" w:cs="Arial"/>
          <w:w w:val="105"/>
          <w:sz w:val="21"/>
          <w:szCs w:val="21"/>
        </w:rPr>
        <w:t>alignment with the work we do with and for homeless individuals every day. Integrated coordinated care reflects</w:t>
      </w:r>
      <w:r>
        <w:rPr>
          <w:rFonts w:ascii="Arial" w:hAnsi="Arial" w:cs="Arial"/>
          <w:spacing w:val="-21"/>
          <w:w w:val="105"/>
          <w:sz w:val="21"/>
          <w:szCs w:val="21"/>
        </w:rPr>
        <w:t xml:space="preserve"> </w:t>
      </w:r>
      <w:r>
        <w:rPr>
          <w:rFonts w:ascii="Arial" w:hAnsi="Arial" w:cs="Arial"/>
          <w:w w:val="105"/>
          <w:sz w:val="21"/>
          <w:szCs w:val="21"/>
        </w:rPr>
        <w:t>a</w:t>
      </w:r>
      <w:r>
        <w:rPr>
          <w:rFonts w:ascii="Arial" w:hAnsi="Arial" w:cs="Arial"/>
          <w:spacing w:val="-17"/>
          <w:w w:val="105"/>
          <w:sz w:val="21"/>
          <w:szCs w:val="21"/>
        </w:rPr>
        <w:t xml:space="preserve"> </w:t>
      </w:r>
      <w:r>
        <w:rPr>
          <w:rFonts w:ascii="Arial" w:hAnsi="Arial" w:cs="Arial"/>
          <w:w w:val="105"/>
          <w:sz w:val="21"/>
          <w:szCs w:val="21"/>
        </w:rPr>
        <w:t>concept</w:t>
      </w:r>
      <w:r>
        <w:rPr>
          <w:rFonts w:ascii="Arial" w:hAnsi="Arial" w:cs="Arial"/>
          <w:spacing w:val="-19"/>
          <w:w w:val="105"/>
          <w:sz w:val="21"/>
          <w:szCs w:val="21"/>
        </w:rPr>
        <w:t xml:space="preserve"> </w:t>
      </w:r>
      <w:r>
        <w:rPr>
          <w:rFonts w:ascii="Arial" w:hAnsi="Arial" w:cs="Arial"/>
          <w:w w:val="105"/>
          <w:sz w:val="21"/>
          <w:szCs w:val="21"/>
        </w:rPr>
        <w:t>we</w:t>
      </w:r>
      <w:r>
        <w:rPr>
          <w:rFonts w:ascii="Arial" w:hAnsi="Arial" w:cs="Arial"/>
          <w:spacing w:val="-13"/>
          <w:w w:val="105"/>
          <w:sz w:val="21"/>
          <w:szCs w:val="21"/>
        </w:rPr>
        <w:t xml:space="preserve"> </w:t>
      </w:r>
      <w:r>
        <w:rPr>
          <w:rFonts w:ascii="Arial" w:hAnsi="Arial" w:cs="Arial"/>
          <w:w w:val="105"/>
          <w:sz w:val="21"/>
          <w:szCs w:val="21"/>
        </w:rPr>
        <w:t>have</w:t>
      </w:r>
      <w:r>
        <w:rPr>
          <w:rFonts w:ascii="Arial" w:hAnsi="Arial" w:cs="Arial"/>
          <w:spacing w:val="-19"/>
          <w:w w:val="105"/>
          <w:sz w:val="21"/>
          <w:szCs w:val="21"/>
        </w:rPr>
        <w:t xml:space="preserve"> </w:t>
      </w:r>
      <w:r>
        <w:rPr>
          <w:rFonts w:ascii="Arial" w:hAnsi="Arial" w:cs="Arial"/>
          <w:w w:val="105"/>
          <w:sz w:val="21"/>
          <w:szCs w:val="21"/>
        </w:rPr>
        <w:t>embraced</w:t>
      </w:r>
      <w:r>
        <w:rPr>
          <w:rFonts w:ascii="Arial" w:hAnsi="Arial" w:cs="Arial"/>
          <w:spacing w:val="-11"/>
          <w:w w:val="105"/>
          <w:sz w:val="21"/>
          <w:szCs w:val="21"/>
        </w:rPr>
        <w:t xml:space="preserve"> </w:t>
      </w:r>
      <w:r>
        <w:rPr>
          <w:rFonts w:ascii="Arial" w:hAnsi="Arial" w:cs="Arial"/>
          <w:w w:val="105"/>
          <w:sz w:val="21"/>
          <w:szCs w:val="21"/>
        </w:rPr>
        <w:t>and</w:t>
      </w:r>
      <w:r>
        <w:rPr>
          <w:rFonts w:ascii="Arial" w:hAnsi="Arial" w:cs="Arial"/>
          <w:spacing w:val="-15"/>
          <w:w w:val="105"/>
          <w:sz w:val="21"/>
          <w:szCs w:val="21"/>
        </w:rPr>
        <w:t xml:space="preserve"> </w:t>
      </w:r>
      <w:r>
        <w:rPr>
          <w:rFonts w:ascii="Arial" w:hAnsi="Arial" w:cs="Arial"/>
          <w:w w:val="105"/>
          <w:sz w:val="21"/>
          <w:szCs w:val="21"/>
        </w:rPr>
        <w:t>have</w:t>
      </w:r>
      <w:r>
        <w:rPr>
          <w:rFonts w:ascii="Arial" w:hAnsi="Arial" w:cs="Arial"/>
          <w:spacing w:val="-19"/>
          <w:w w:val="105"/>
          <w:sz w:val="21"/>
          <w:szCs w:val="21"/>
        </w:rPr>
        <w:t xml:space="preserve"> </w:t>
      </w:r>
      <w:r>
        <w:rPr>
          <w:rFonts w:ascii="Arial" w:hAnsi="Arial" w:cs="Arial"/>
          <w:w w:val="105"/>
          <w:sz w:val="21"/>
          <w:szCs w:val="21"/>
        </w:rPr>
        <w:t>many</w:t>
      </w:r>
      <w:r>
        <w:rPr>
          <w:rFonts w:ascii="Arial" w:hAnsi="Arial" w:cs="Arial"/>
          <w:spacing w:val="-28"/>
          <w:w w:val="105"/>
          <w:sz w:val="21"/>
          <w:szCs w:val="21"/>
        </w:rPr>
        <w:t xml:space="preserve"> </w:t>
      </w:r>
      <w:r>
        <w:rPr>
          <w:rFonts w:ascii="Arial" w:hAnsi="Arial" w:cs="Arial"/>
          <w:w w:val="105"/>
          <w:sz w:val="21"/>
          <w:szCs w:val="21"/>
        </w:rPr>
        <w:t>years</w:t>
      </w:r>
      <w:r>
        <w:rPr>
          <w:rFonts w:ascii="Arial" w:hAnsi="Arial" w:cs="Arial"/>
          <w:spacing w:val="-15"/>
          <w:w w:val="105"/>
          <w:sz w:val="21"/>
          <w:szCs w:val="21"/>
        </w:rPr>
        <w:t xml:space="preserve"> </w:t>
      </w:r>
      <w:r>
        <w:rPr>
          <w:rFonts w:ascii="Arial" w:hAnsi="Arial" w:cs="Arial"/>
          <w:w w:val="105"/>
          <w:sz w:val="21"/>
          <w:szCs w:val="21"/>
        </w:rPr>
        <w:t>of</w:t>
      </w:r>
      <w:r>
        <w:rPr>
          <w:rFonts w:ascii="Arial" w:hAnsi="Arial" w:cs="Arial"/>
          <w:spacing w:val="-22"/>
          <w:w w:val="105"/>
          <w:sz w:val="21"/>
          <w:szCs w:val="21"/>
        </w:rPr>
        <w:t xml:space="preserve"> </w:t>
      </w:r>
      <w:r>
        <w:rPr>
          <w:rFonts w:ascii="Arial" w:hAnsi="Arial" w:cs="Arial"/>
          <w:w w:val="105"/>
          <w:sz w:val="21"/>
          <w:szCs w:val="21"/>
        </w:rPr>
        <w:t>successful</w:t>
      </w:r>
      <w:r>
        <w:rPr>
          <w:rFonts w:ascii="Arial" w:hAnsi="Arial" w:cs="Arial"/>
          <w:spacing w:val="-15"/>
          <w:w w:val="105"/>
          <w:sz w:val="21"/>
          <w:szCs w:val="21"/>
        </w:rPr>
        <w:t xml:space="preserve"> </w:t>
      </w:r>
      <w:r>
        <w:rPr>
          <w:rFonts w:ascii="Arial" w:hAnsi="Arial" w:cs="Arial"/>
          <w:w w:val="105"/>
          <w:sz w:val="21"/>
          <w:szCs w:val="21"/>
        </w:rPr>
        <w:t>experience</w:t>
      </w:r>
      <w:r>
        <w:rPr>
          <w:rFonts w:ascii="Arial" w:hAnsi="Arial" w:cs="Arial"/>
          <w:spacing w:val="-19"/>
          <w:w w:val="105"/>
          <w:sz w:val="21"/>
          <w:szCs w:val="21"/>
        </w:rPr>
        <w:t xml:space="preserve"> </w:t>
      </w:r>
      <w:r>
        <w:rPr>
          <w:rFonts w:ascii="Arial" w:hAnsi="Arial" w:cs="Arial"/>
          <w:w w:val="105"/>
          <w:sz w:val="21"/>
          <w:szCs w:val="21"/>
        </w:rPr>
        <w:t>to</w:t>
      </w:r>
      <w:r>
        <w:rPr>
          <w:rFonts w:ascii="Arial" w:hAnsi="Arial" w:cs="Arial"/>
          <w:spacing w:val="-17"/>
          <w:w w:val="105"/>
          <w:sz w:val="21"/>
          <w:szCs w:val="21"/>
        </w:rPr>
        <w:t xml:space="preserve"> </w:t>
      </w:r>
      <w:r>
        <w:rPr>
          <w:rFonts w:ascii="Arial" w:hAnsi="Arial" w:cs="Arial"/>
          <w:spacing w:val="4"/>
          <w:w w:val="105"/>
          <w:sz w:val="21"/>
          <w:szCs w:val="21"/>
        </w:rPr>
        <w:t>bring</w:t>
      </w:r>
      <w:r w:rsidR="00347C9E">
        <w:rPr>
          <w:rFonts w:ascii="Arial" w:hAnsi="Arial" w:cs="Arial"/>
          <w:spacing w:val="4"/>
          <w:w w:val="105"/>
          <w:sz w:val="21"/>
          <w:szCs w:val="21"/>
        </w:rPr>
        <w:t xml:space="preserve"> </w:t>
      </w:r>
      <w:r>
        <w:rPr>
          <w:rFonts w:ascii="Arial" w:hAnsi="Arial" w:cs="Arial"/>
          <w:spacing w:val="4"/>
          <w:w w:val="105"/>
          <w:sz w:val="21"/>
          <w:szCs w:val="21"/>
        </w:rPr>
        <w:t xml:space="preserve">to </w:t>
      </w:r>
      <w:r>
        <w:rPr>
          <w:rFonts w:ascii="Arial" w:hAnsi="Arial" w:cs="Arial"/>
          <w:w w:val="105"/>
          <w:sz w:val="21"/>
          <w:szCs w:val="21"/>
        </w:rPr>
        <w:t xml:space="preserve">the table. From driving someone to an appointment, to assisting with AD Ls, providing food, dispensing medication and connecting people to community supports and resources </w:t>
      </w:r>
      <w:r>
        <w:rPr>
          <w:rFonts w:ascii="Arial" w:hAnsi="Arial" w:cs="Arial"/>
          <w:w w:val="155"/>
          <w:sz w:val="21"/>
          <w:szCs w:val="21"/>
        </w:rPr>
        <w:t xml:space="preserve">- </w:t>
      </w:r>
      <w:r>
        <w:rPr>
          <w:rFonts w:ascii="Arial" w:hAnsi="Arial" w:cs="Arial"/>
          <w:w w:val="105"/>
          <w:sz w:val="21"/>
          <w:szCs w:val="21"/>
        </w:rPr>
        <w:t xml:space="preserve">it has been our work for decades. Additionally, we are working closely with the city of Boston to </w:t>
      </w:r>
      <w:r>
        <w:rPr>
          <w:rFonts w:ascii="Arial" w:hAnsi="Arial" w:cs="Arial"/>
          <w:spacing w:val="-3"/>
          <w:w w:val="105"/>
          <w:sz w:val="21"/>
          <w:szCs w:val="21"/>
        </w:rPr>
        <w:t xml:space="preserve">align </w:t>
      </w:r>
      <w:r>
        <w:rPr>
          <w:rFonts w:ascii="Arial" w:hAnsi="Arial" w:cs="Arial"/>
          <w:w w:val="105"/>
          <w:sz w:val="21"/>
          <w:szCs w:val="21"/>
        </w:rPr>
        <w:t>coordinated</w:t>
      </w:r>
      <w:r>
        <w:rPr>
          <w:rFonts w:ascii="Arial" w:hAnsi="Arial" w:cs="Arial"/>
          <w:spacing w:val="-3"/>
          <w:w w:val="105"/>
          <w:sz w:val="21"/>
          <w:szCs w:val="21"/>
        </w:rPr>
        <w:t xml:space="preserve"> </w:t>
      </w:r>
      <w:r>
        <w:rPr>
          <w:rFonts w:ascii="Arial" w:hAnsi="Arial" w:cs="Arial"/>
          <w:w w:val="105"/>
          <w:sz w:val="21"/>
          <w:szCs w:val="21"/>
        </w:rPr>
        <w:t>access</w:t>
      </w:r>
      <w:r>
        <w:rPr>
          <w:rFonts w:ascii="Arial" w:hAnsi="Arial" w:cs="Arial"/>
          <w:spacing w:val="-22"/>
          <w:w w:val="105"/>
          <w:sz w:val="21"/>
          <w:szCs w:val="21"/>
        </w:rPr>
        <w:t xml:space="preserve"> </w:t>
      </w:r>
      <w:r>
        <w:rPr>
          <w:rFonts w:ascii="Arial" w:hAnsi="Arial" w:cs="Arial"/>
          <w:w w:val="105"/>
          <w:sz w:val="21"/>
          <w:szCs w:val="21"/>
        </w:rPr>
        <w:t>for</w:t>
      </w:r>
      <w:r>
        <w:rPr>
          <w:rFonts w:ascii="Arial" w:hAnsi="Arial" w:cs="Arial"/>
          <w:spacing w:val="-13"/>
          <w:w w:val="105"/>
          <w:sz w:val="21"/>
          <w:szCs w:val="21"/>
        </w:rPr>
        <w:t xml:space="preserve"> </w:t>
      </w:r>
      <w:r>
        <w:rPr>
          <w:rFonts w:ascii="Arial" w:hAnsi="Arial" w:cs="Arial"/>
          <w:w w:val="105"/>
          <w:sz w:val="21"/>
          <w:szCs w:val="21"/>
        </w:rPr>
        <w:t>homeless</w:t>
      </w:r>
      <w:r>
        <w:rPr>
          <w:rFonts w:ascii="Arial" w:hAnsi="Arial" w:cs="Arial"/>
          <w:spacing w:val="-15"/>
          <w:w w:val="105"/>
          <w:sz w:val="21"/>
          <w:szCs w:val="21"/>
        </w:rPr>
        <w:t xml:space="preserve"> </w:t>
      </w:r>
      <w:r>
        <w:rPr>
          <w:rFonts w:ascii="Arial" w:hAnsi="Arial" w:cs="Arial"/>
          <w:w w:val="105"/>
          <w:sz w:val="21"/>
          <w:szCs w:val="21"/>
        </w:rPr>
        <w:t>individuals</w:t>
      </w:r>
      <w:r>
        <w:rPr>
          <w:rFonts w:ascii="Arial" w:hAnsi="Arial" w:cs="Arial"/>
          <w:spacing w:val="-22"/>
          <w:w w:val="105"/>
          <w:sz w:val="21"/>
          <w:szCs w:val="21"/>
        </w:rPr>
        <w:t xml:space="preserve"> </w:t>
      </w:r>
      <w:r>
        <w:rPr>
          <w:rFonts w:ascii="Arial" w:hAnsi="Arial" w:cs="Arial"/>
          <w:spacing w:val="3"/>
          <w:w w:val="105"/>
          <w:sz w:val="21"/>
          <w:szCs w:val="21"/>
        </w:rPr>
        <w:t>ensuring</w:t>
      </w:r>
      <w:r w:rsidR="00347C9E">
        <w:rPr>
          <w:rFonts w:ascii="Arial" w:hAnsi="Arial" w:cs="Arial"/>
          <w:spacing w:val="3"/>
          <w:w w:val="105"/>
          <w:sz w:val="21"/>
          <w:szCs w:val="21"/>
        </w:rPr>
        <w:t xml:space="preserve"> </w:t>
      </w:r>
      <w:r>
        <w:rPr>
          <w:rFonts w:ascii="Arial" w:hAnsi="Arial" w:cs="Arial"/>
          <w:spacing w:val="3"/>
          <w:w w:val="105"/>
          <w:sz w:val="21"/>
          <w:szCs w:val="21"/>
        </w:rPr>
        <w:t>they</w:t>
      </w:r>
      <w:r>
        <w:rPr>
          <w:rFonts w:ascii="Arial" w:hAnsi="Arial" w:cs="Arial"/>
          <w:spacing w:val="-15"/>
          <w:w w:val="105"/>
          <w:sz w:val="21"/>
          <w:szCs w:val="21"/>
        </w:rPr>
        <w:t xml:space="preserve"> </w:t>
      </w:r>
      <w:r>
        <w:rPr>
          <w:rFonts w:ascii="Arial" w:hAnsi="Arial" w:cs="Arial"/>
          <w:w w:val="105"/>
          <w:sz w:val="21"/>
          <w:szCs w:val="21"/>
        </w:rPr>
        <w:t>get</w:t>
      </w:r>
      <w:r>
        <w:rPr>
          <w:rFonts w:ascii="Arial" w:hAnsi="Arial" w:cs="Arial"/>
          <w:spacing w:val="-26"/>
          <w:w w:val="105"/>
          <w:sz w:val="21"/>
          <w:szCs w:val="21"/>
        </w:rPr>
        <w:t xml:space="preserve"> </w:t>
      </w:r>
      <w:r>
        <w:rPr>
          <w:rFonts w:ascii="Arial" w:hAnsi="Arial" w:cs="Arial"/>
          <w:w w:val="105"/>
          <w:sz w:val="21"/>
          <w:szCs w:val="21"/>
        </w:rPr>
        <w:t>the</w:t>
      </w:r>
      <w:r>
        <w:rPr>
          <w:rFonts w:ascii="Arial" w:hAnsi="Arial" w:cs="Arial"/>
          <w:spacing w:val="-18"/>
          <w:w w:val="105"/>
          <w:sz w:val="21"/>
          <w:szCs w:val="21"/>
        </w:rPr>
        <w:t xml:space="preserve"> </w:t>
      </w:r>
      <w:r>
        <w:rPr>
          <w:rFonts w:ascii="Arial" w:hAnsi="Arial" w:cs="Arial"/>
          <w:w w:val="105"/>
          <w:sz w:val="21"/>
          <w:szCs w:val="21"/>
        </w:rPr>
        <w:t>right</w:t>
      </w:r>
      <w:r>
        <w:rPr>
          <w:rFonts w:ascii="Arial" w:hAnsi="Arial" w:cs="Arial"/>
          <w:spacing w:val="-15"/>
          <w:w w:val="105"/>
          <w:sz w:val="21"/>
          <w:szCs w:val="21"/>
        </w:rPr>
        <w:t xml:space="preserve"> </w:t>
      </w:r>
      <w:r>
        <w:rPr>
          <w:rFonts w:ascii="Arial" w:hAnsi="Arial" w:cs="Arial"/>
          <w:w w:val="105"/>
          <w:sz w:val="21"/>
          <w:szCs w:val="21"/>
        </w:rPr>
        <w:t>housing</w:t>
      </w:r>
      <w:r>
        <w:rPr>
          <w:rFonts w:ascii="Arial" w:hAnsi="Arial" w:cs="Arial"/>
          <w:spacing w:val="-28"/>
          <w:w w:val="105"/>
          <w:sz w:val="21"/>
          <w:szCs w:val="21"/>
        </w:rPr>
        <w:t xml:space="preserve"> </w:t>
      </w:r>
      <w:r>
        <w:rPr>
          <w:rFonts w:ascii="Arial" w:hAnsi="Arial" w:cs="Arial"/>
          <w:w w:val="105"/>
          <w:sz w:val="21"/>
          <w:szCs w:val="21"/>
        </w:rPr>
        <w:t>and</w:t>
      </w:r>
      <w:r>
        <w:rPr>
          <w:rFonts w:ascii="Arial" w:hAnsi="Arial" w:cs="Arial"/>
          <w:spacing w:val="-18"/>
          <w:w w:val="105"/>
          <w:sz w:val="21"/>
          <w:szCs w:val="21"/>
        </w:rPr>
        <w:t xml:space="preserve"> </w:t>
      </w:r>
      <w:r>
        <w:rPr>
          <w:rFonts w:ascii="Arial" w:hAnsi="Arial" w:cs="Arial"/>
          <w:w w:val="105"/>
          <w:sz w:val="21"/>
          <w:szCs w:val="21"/>
        </w:rPr>
        <w:t>services</w:t>
      </w:r>
      <w:r>
        <w:rPr>
          <w:rFonts w:ascii="Arial" w:hAnsi="Arial" w:cs="Arial"/>
          <w:spacing w:val="-13"/>
          <w:w w:val="105"/>
          <w:sz w:val="21"/>
          <w:szCs w:val="21"/>
        </w:rPr>
        <w:t xml:space="preserve"> </w:t>
      </w:r>
      <w:r>
        <w:rPr>
          <w:rFonts w:ascii="Arial" w:hAnsi="Arial" w:cs="Arial"/>
          <w:w w:val="105"/>
          <w:sz w:val="21"/>
          <w:szCs w:val="21"/>
        </w:rPr>
        <w:t xml:space="preserve">in the </w:t>
      </w:r>
      <w:r>
        <w:rPr>
          <w:rFonts w:ascii="Arial" w:hAnsi="Arial" w:cs="Arial"/>
          <w:spacing w:val="-3"/>
          <w:w w:val="105"/>
          <w:sz w:val="21"/>
          <w:szCs w:val="21"/>
        </w:rPr>
        <w:t xml:space="preserve">right </w:t>
      </w:r>
      <w:r>
        <w:rPr>
          <w:rFonts w:ascii="Arial" w:hAnsi="Arial" w:cs="Arial"/>
          <w:w w:val="105"/>
          <w:sz w:val="21"/>
          <w:szCs w:val="21"/>
        </w:rPr>
        <w:t>place at the right time. And like many providers, we find ourselves reacting to those with substance addictions, particularly opioids. Expanding the access to a broad spectrum of recovery</w:t>
      </w:r>
      <w:r>
        <w:rPr>
          <w:rFonts w:ascii="Arial" w:hAnsi="Arial" w:cs="Arial"/>
          <w:spacing w:val="-19"/>
          <w:w w:val="105"/>
          <w:sz w:val="21"/>
          <w:szCs w:val="21"/>
        </w:rPr>
        <w:t xml:space="preserve"> </w:t>
      </w:r>
      <w:r>
        <w:rPr>
          <w:rFonts w:ascii="Arial" w:hAnsi="Arial" w:cs="Arial"/>
          <w:w w:val="105"/>
          <w:sz w:val="21"/>
          <w:szCs w:val="21"/>
        </w:rPr>
        <w:t>and</w:t>
      </w:r>
      <w:r>
        <w:rPr>
          <w:rFonts w:ascii="Arial" w:hAnsi="Arial" w:cs="Arial"/>
          <w:spacing w:val="-19"/>
          <w:w w:val="105"/>
          <w:sz w:val="21"/>
          <w:szCs w:val="21"/>
        </w:rPr>
        <w:t xml:space="preserve"> </w:t>
      </w:r>
      <w:r>
        <w:rPr>
          <w:rFonts w:ascii="Arial" w:hAnsi="Arial" w:cs="Arial"/>
          <w:w w:val="105"/>
          <w:sz w:val="21"/>
          <w:szCs w:val="21"/>
        </w:rPr>
        <w:t>substance</w:t>
      </w:r>
      <w:r>
        <w:rPr>
          <w:rFonts w:ascii="Arial" w:hAnsi="Arial" w:cs="Arial"/>
          <w:spacing w:val="-6"/>
          <w:w w:val="105"/>
          <w:sz w:val="21"/>
          <w:szCs w:val="21"/>
        </w:rPr>
        <w:t xml:space="preserve"> </w:t>
      </w:r>
      <w:r>
        <w:rPr>
          <w:rFonts w:ascii="Arial" w:hAnsi="Arial" w:cs="Arial"/>
          <w:w w:val="105"/>
          <w:sz w:val="21"/>
          <w:szCs w:val="21"/>
        </w:rPr>
        <w:t>use</w:t>
      </w:r>
      <w:r>
        <w:rPr>
          <w:rFonts w:ascii="Arial" w:hAnsi="Arial" w:cs="Arial"/>
          <w:spacing w:val="-19"/>
          <w:w w:val="105"/>
          <w:sz w:val="21"/>
          <w:szCs w:val="21"/>
        </w:rPr>
        <w:t xml:space="preserve"> </w:t>
      </w:r>
      <w:r>
        <w:rPr>
          <w:rFonts w:ascii="Arial" w:hAnsi="Arial" w:cs="Arial"/>
          <w:w w:val="105"/>
          <w:sz w:val="21"/>
          <w:szCs w:val="21"/>
        </w:rPr>
        <w:t>disorder</w:t>
      </w:r>
      <w:r>
        <w:rPr>
          <w:rFonts w:ascii="Arial" w:hAnsi="Arial" w:cs="Arial"/>
          <w:spacing w:val="-17"/>
          <w:w w:val="105"/>
          <w:sz w:val="21"/>
          <w:szCs w:val="21"/>
        </w:rPr>
        <w:t xml:space="preserve"> </w:t>
      </w:r>
      <w:r>
        <w:rPr>
          <w:rFonts w:ascii="Arial" w:hAnsi="Arial" w:cs="Arial"/>
          <w:w w:val="105"/>
          <w:sz w:val="21"/>
          <w:szCs w:val="21"/>
        </w:rPr>
        <w:t>treatment</w:t>
      </w:r>
      <w:r>
        <w:rPr>
          <w:rFonts w:ascii="Arial" w:hAnsi="Arial" w:cs="Arial"/>
          <w:spacing w:val="-8"/>
          <w:w w:val="105"/>
          <w:sz w:val="21"/>
          <w:szCs w:val="21"/>
        </w:rPr>
        <w:t xml:space="preserve"> </w:t>
      </w:r>
      <w:r>
        <w:rPr>
          <w:rFonts w:ascii="Arial" w:hAnsi="Arial" w:cs="Arial"/>
          <w:w w:val="105"/>
          <w:sz w:val="21"/>
          <w:szCs w:val="21"/>
        </w:rPr>
        <w:t>is</w:t>
      </w:r>
      <w:r>
        <w:rPr>
          <w:rFonts w:ascii="Arial" w:hAnsi="Arial" w:cs="Arial"/>
          <w:spacing w:val="-26"/>
          <w:w w:val="105"/>
          <w:sz w:val="21"/>
          <w:szCs w:val="21"/>
        </w:rPr>
        <w:t xml:space="preserve"> </w:t>
      </w:r>
      <w:r>
        <w:rPr>
          <w:rFonts w:ascii="Arial" w:hAnsi="Arial" w:cs="Arial"/>
          <w:w w:val="105"/>
          <w:sz w:val="21"/>
          <w:szCs w:val="21"/>
        </w:rPr>
        <w:t>welcome</w:t>
      </w:r>
      <w:r>
        <w:rPr>
          <w:rFonts w:ascii="Arial" w:hAnsi="Arial" w:cs="Arial"/>
          <w:spacing w:val="-2"/>
          <w:w w:val="105"/>
          <w:sz w:val="21"/>
          <w:szCs w:val="21"/>
        </w:rPr>
        <w:t xml:space="preserve"> </w:t>
      </w:r>
      <w:r>
        <w:rPr>
          <w:rFonts w:ascii="Arial" w:hAnsi="Arial" w:cs="Arial"/>
          <w:w w:val="105"/>
          <w:sz w:val="21"/>
          <w:szCs w:val="21"/>
        </w:rPr>
        <w:t>but</w:t>
      </w:r>
      <w:r>
        <w:rPr>
          <w:rFonts w:ascii="Arial" w:hAnsi="Arial" w:cs="Arial"/>
          <w:spacing w:val="-17"/>
          <w:w w:val="105"/>
          <w:sz w:val="21"/>
          <w:szCs w:val="21"/>
        </w:rPr>
        <w:t xml:space="preserve"> </w:t>
      </w:r>
      <w:r>
        <w:rPr>
          <w:rFonts w:ascii="Arial" w:hAnsi="Arial" w:cs="Arial"/>
          <w:w w:val="105"/>
          <w:sz w:val="21"/>
          <w:szCs w:val="21"/>
        </w:rPr>
        <w:t>less</w:t>
      </w:r>
      <w:r>
        <w:rPr>
          <w:rFonts w:ascii="Arial" w:hAnsi="Arial" w:cs="Arial"/>
          <w:spacing w:val="-22"/>
          <w:w w:val="105"/>
          <w:sz w:val="21"/>
          <w:szCs w:val="21"/>
        </w:rPr>
        <w:t xml:space="preserve"> </w:t>
      </w:r>
      <w:r>
        <w:rPr>
          <w:rFonts w:ascii="Arial" w:hAnsi="Arial" w:cs="Arial"/>
          <w:w w:val="105"/>
          <w:sz w:val="21"/>
          <w:szCs w:val="21"/>
        </w:rPr>
        <w:t>costly</w:t>
      </w:r>
      <w:r>
        <w:rPr>
          <w:rFonts w:ascii="Arial" w:hAnsi="Arial" w:cs="Arial"/>
          <w:spacing w:val="-21"/>
          <w:w w:val="105"/>
          <w:sz w:val="21"/>
          <w:szCs w:val="21"/>
        </w:rPr>
        <w:t xml:space="preserve"> </w:t>
      </w:r>
      <w:r>
        <w:rPr>
          <w:rFonts w:ascii="Arial" w:hAnsi="Arial" w:cs="Arial"/>
          <w:w w:val="105"/>
          <w:sz w:val="21"/>
          <w:szCs w:val="21"/>
        </w:rPr>
        <w:t>and</w:t>
      </w:r>
      <w:r>
        <w:rPr>
          <w:rFonts w:ascii="Arial" w:hAnsi="Arial" w:cs="Arial"/>
          <w:spacing w:val="-19"/>
          <w:w w:val="105"/>
          <w:sz w:val="21"/>
          <w:szCs w:val="21"/>
        </w:rPr>
        <w:t xml:space="preserve"> </w:t>
      </w:r>
      <w:r>
        <w:rPr>
          <w:rFonts w:ascii="Arial" w:hAnsi="Arial" w:cs="Arial"/>
          <w:w w:val="105"/>
          <w:sz w:val="21"/>
          <w:szCs w:val="21"/>
        </w:rPr>
        <w:t>equally</w:t>
      </w:r>
      <w:r>
        <w:rPr>
          <w:rFonts w:ascii="Arial" w:hAnsi="Arial" w:cs="Arial"/>
          <w:spacing w:val="-14"/>
          <w:w w:val="105"/>
          <w:sz w:val="21"/>
          <w:szCs w:val="21"/>
        </w:rPr>
        <w:t xml:space="preserve"> </w:t>
      </w:r>
      <w:r>
        <w:rPr>
          <w:rFonts w:ascii="Arial" w:hAnsi="Arial" w:cs="Arial"/>
          <w:w w:val="105"/>
          <w:sz w:val="21"/>
          <w:szCs w:val="21"/>
        </w:rPr>
        <w:t>effective for</w:t>
      </w:r>
      <w:r>
        <w:rPr>
          <w:rFonts w:ascii="Arial" w:hAnsi="Arial" w:cs="Arial"/>
          <w:spacing w:val="-8"/>
          <w:w w:val="105"/>
          <w:sz w:val="21"/>
          <w:szCs w:val="21"/>
        </w:rPr>
        <w:t xml:space="preserve"> </w:t>
      </w:r>
      <w:r>
        <w:rPr>
          <w:rFonts w:ascii="Arial" w:hAnsi="Arial" w:cs="Arial"/>
          <w:w w:val="105"/>
          <w:sz w:val="21"/>
          <w:szCs w:val="21"/>
        </w:rPr>
        <w:t>the</w:t>
      </w:r>
      <w:r>
        <w:rPr>
          <w:rFonts w:ascii="Arial" w:hAnsi="Arial" w:cs="Arial"/>
          <w:spacing w:val="-3"/>
          <w:w w:val="105"/>
          <w:sz w:val="21"/>
          <w:szCs w:val="21"/>
        </w:rPr>
        <w:t xml:space="preserve"> </w:t>
      </w:r>
      <w:r>
        <w:rPr>
          <w:rFonts w:ascii="Arial" w:hAnsi="Arial" w:cs="Arial"/>
          <w:w w:val="105"/>
          <w:sz w:val="21"/>
          <w:szCs w:val="21"/>
        </w:rPr>
        <w:t>homeless</w:t>
      </w:r>
      <w:r>
        <w:rPr>
          <w:rFonts w:ascii="Arial" w:hAnsi="Arial" w:cs="Arial"/>
          <w:spacing w:val="-2"/>
          <w:w w:val="105"/>
          <w:sz w:val="21"/>
          <w:szCs w:val="21"/>
        </w:rPr>
        <w:t xml:space="preserve"> </w:t>
      </w:r>
      <w:r>
        <w:rPr>
          <w:rFonts w:ascii="Arial" w:hAnsi="Arial" w:cs="Arial"/>
          <w:w w:val="105"/>
          <w:sz w:val="21"/>
          <w:szCs w:val="21"/>
        </w:rPr>
        <w:t>population</w:t>
      </w:r>
      <w:r>
        <w:rPr>
          <w:rFonts w:ascii="Arial" w:hAnsi="Arial" w:cs="Arial"/>
          <w:spacing w:val="-9"/>
          <w:w w:val="105"/>
          <w:sz w:val="21"/>
          <w:szCs w:val="21"/>
        </w:rPr>
        <w:t xml:space="preserve"> </w:t>
      </w:r>
      <w:r>
        <w:rPr>
          <w:rFonts w:ascii="Arial" w:hAnsi="Arial" w:cs="Arial"/>
          <w:w w:val="105"/>
          <w:sz w:val="21"/>
          <w:szCs w:val="21"/>
        </w:rPr>
        <w:t>is</w:t>
      </w:r>
      <w:r>
        <w:rPr>
          <w:rFonts w:ascii="Arial" w:hAnsi="Arial" w:cs="Arial"/>
          <w:spacing w:val="-18"/>
          <w:w w:val="105"/>
          <w:sz w:val="21"/>
          <w:szCs w:val="21"/>
        </w:rPr>
        <w:t xml:space="preserve"> </w:t>
      </w:r>
      <w:r>
        <w:rPr>
          <w:rFonts w:ascii="Arial" w:hAnsi="Arial" w:cs="Arial"/>
          <w:w w:val="105"/>
          <w:sz w:val="21"/>
          <w:szCs w:val="21"/>
        </w:rPr>
        <w:t>offering</w:t>
      </w:r>
      <w:r>
        <w:rPr>
          <w:rFonts w:ascii="Arial" w:hAnsi="Arial" w:cs="Arial"/>
          <w:spacing w:val="-22"/>
          <w:w w:val="105"/>
          <w:sz w:val="21"/>
          <w:szCs w:val="21"/>
        </w:rPr>
        <w:t xml:space="preserve"> </w:t>
      </w:r>
      <w:r>
        <w:rPr>
          <w:rFonts w:ascii="Arial" w:hAnsi="Arial" w:cs="Arial"/>
          <w:w w:val="105"/>
          <w:sz w:val="21"/>
          <w:szCs w:val="21"/>
        </w:rPr>
        <w:t>housing</w:t>
      </w:r>
      <w:r>
        <w:rPr>
          <w:rFonts w:ascii="Arial" w:hAnsi="Arial" w:cs="Arial"/>
          <w:spacing w:val="-29"/>
          <w:w w:val="105"/>
          <w:sz w:val="21"/>
          <w:szCs w:val="21"/>
        </w:rPr>
        <w:t xml:space="preserve"> </w:t>
      </w:r>
      <w:r>
        <w:rPr>
          <w:rFonts w:ascii="Arial" w:hAnsi="Arial" w:cs="Arial"/>
          <w:w w:val="155"/>
          <w:sz w:val="21"/>
          <w:szCs w:val="21"/>
        </w:rPr>
        <w:t>-</w:t>
      </w:r>
      <w:r>
        <w:rPr>
          <w:rFonts w:ascii="Arial" w:hAnsi="Arial" w:cs="Arial"/>
          <w:spacing w:val="-65"/>
          <w:w w:val="155"/>
          <w:sz w:val="21"/>
          <w:szCs w:val="21"/>
        </w:rPr>
        <w:t xml:space="preserve"> </w:t>
      </w:r>
      <w:r>
        <w:rPr>
          <w:rFonts w:ascii="Arial" w:hAnsi="Arial" w:cs="Arial"/>
          <w:w w:val="105"/>
          <w:sz w:val="21"/>
          <w:szCs w:val="21"/>
        </w:rPr>
        <w:t>using</w:t>
      </w:r>
      <w:r>
        <w:rPr>
          <w:rFonts w:ascii="Arial" w:hAnsi="Arial" w:cs="Arial"/>
          <w:spacing w:val="-18"/>
          <w:w w:val="105"/>
          <w:sz w:val="21"/>
          <w:szCs w:val="21"/>
        </w:rPr>
        <w:t xml:space="preserve"> </w:t>
      </w:r>
      <w:r>
        <w:rPr>
          <w:rFonts w:ascii="Arial" w:hAnsi="Arial" w:cs="Arial"/>
          <w:w w:val="105"/>
          <w:sz w:val="21"/>
          <w:szCs w:val="21"/>
        </w:rPr>
        <w:t>housing</w:t>
      </w:r>
      <w:r>
        <w:rPr>
          <w:rFonts w:ascii="Arial" w:hAnsi="Arial" w:cs="Arial"/>
          <w:spacing w:val="-34"/>
          <w:w w:val="105"/>
          <w:sz w:val="21"/>
          <w:szCs w:val="21"/>
        </w:rPr>
        <w:t xml:space="preserve"> </w:t>
      </w:r>
      <w:r>
        <w:rPr>
          <w:rFonts w:ascii="Arial" w:hAnsi="Arial" w:cs="Arial"/>
          <w:w w:val="105"/>
          <w:sz w:val="21"/>
          <w:szCs w:val="21"/>
        </w:rPr>
        <w:t>first as</w:t>
      </w:r>
      <w:r>
        <w:rPr>
          <w:rFonts w:ascii="Arial" w:hAnsi="Arial" w:cs="Arial"/>
          <w:spacing w:val="-8"/>
          <w:w w:val="105"/>
          <w:sz w:val="21"/>
          <w:szCs w:val="21"/>
        </w:rPr>
        <w:t xml:space="preserve"> </w:t>
      </w:r>
      <w:r>
        <w:rPr>
          <w:rFonts w:ascii="Arial" w:hAnsi="Arial" w:cs="Arial"/>
          <w:w w:val="105"/>
          <w:sz w:val="21"/>
          <w:szCs w:val="21"/>
        </w:rPr>
        <w:t>a</w:t>
      </w:r>
      <w:r>
        <w:rPr>
          <w:rFonts w:ascii="Arial" w:hAnsi="Arial" w:cs="Arial"/>
          <w:spacing w:val="-5"/>
          <w:w w:val="105"/>
          <w:sz w:val="21"/>
          <w:szCs w:val="21"/>
        </w:rPr>
        <w:t xml:space="preserve"> </w:t>
      </w:r>
      <w:r>
        <w:rPr>
          <w:rFonts w:ascii="Arial" w:hAnsi="Arial" w:cs="Arial"/>
          <w:w w:val="105"/>
          <w:sz w:val="21"/>
          <w:szCs w:val="21"/>
        </w:rPr>
        <w:t>best</w:t>
      </w:r>
      <w:r>
        <w:rPr>
          <w:rFonts w:ascii="Arial" w:hAnsi="Arial" w:cs="Arial"/>
          <w:spacing w:val="-7"/>
          <w:w w:val="105"/>
          <w:sz w:val="21"/>
          <w:szCs w:val="21"/>
        </w:rPr>
        <w:t xml:space="preserve"> </w:t>
      </w:r>
      <w:r>
        <w:rPr>
          <w:rFonts w:ascii="Arial" w:hAnsi="Arial" w:cs="Arial"/>
          <w:w w:val="105"/>
          <w:sz w:val="21"/>
          <w:szCs w:val="21"/>
        </w:rPr>
        <w:t>practice</w:t>
      </w:r>
      <w:r>
        <w:rPr>
          <w:rFonts w:ascii="Arial" w:hAnsi="Arial" w:cs="Arial"/>
          <w:spacing w:val="-2"/>
          <w:w w:val="105"/>
          <w:sz w:val="21"/>
          <w:szCs w:val="21"/>
        </w:rPr>
        <w:t xml:space="preserve"> </w:t>
      </w:r>
      <w:r>
        <w:rPr>
          <w:rFonts w:ascii="Arial" w:hAnsi="Arial" w:cs="Arial"/>
          <w:w w:val="105"/>
          <w:sz w:val="21"/>
          <w:szCs w:val="21"/>
        </w:rPr>
        <w:t>model.</w:t>
      </w:r>
    </w:p>
    <w:p w:rsidR="002C5025" w:rsidRDefault="002C5025">
      <w:pPr>
        <w:pStyle w:val="BodyText"/>
        <w:kinsoku w:val="0"/>
        <w:overflowPunct w:val="0"/>
        <w:spacing w:before="191" w:line="336" w:lineRule="auto"/>
        <w:ind w:left="108" w:right="106" w:firstLine="7"/>
        <w:rPr>
          <w:rFonts w:ascii="Arial" w:hAnsi="Arial" w:cs="Arial"/>
          <w:w w:val="105"/>
          <w:sz w:val="21"/>
          <w:szCs w:val="21"/>
        </w:rPr>
        <w:sectPr w:rsidR="002C5025">
          <w:pgSz w:w="12240" w:h="15840"/>
          <w:pgMar w:top="1360" w:right="1480" w:bottom="280" w:left="1360" w:header="720" w:footer="720" w:gutter="0"/>
          <w:cols w:space="720" w:equalWidth="0">
            <w:col w:w="9400"/>
          </w:cols>
          <w:noEndnote/>
        </w:sectPr>
      </w:pPr>
    </w:p>
    <w:p w:rsidR="002C5025" w:rsidRDefault="002C5025">
      <w:pPr>
        <w:pStyle w:val="BodyText"/>
        <w:kinsoku w:val="0"/>
        <w:overflowPunct w:val="0"/>
        <w:spacing w:before="45" w:line="336" w:lineRule="auto"/>
        <w:ind w:left="154" w:right="269" w:firstLine="14"/>
        <w:rPr>
          <w:rFonts w:ascii="Arial" w:hAnsi="Arial" w:cs="Arial"/>
          <w:spacing w:val="-3"/>
          <w:sz w:val="21"/>
          <w:szCs w:val="21"/>
        </w:rPr>
      </w:pPr>
      <w:r>
        <w:rPr>
          <w:rFonts w:ascii="Arial" w:hAnsi="Arial" w:cs="Arial"/>
          <w:sz w:val="21"/>
          <w:szCs w:val="21"/>
        </w:rPr>
        <w:lastRenderedPageBreak/>
        <w:t xml:space="preserve">In summary, please understand our excitement for your recognition of the role we hope to  play  as   community partners   and the inclusion of CSPECH  in your model. We think you're on the </w:t>
      </w:r>
      <w:r>
        <w:rPr>
          <w:rFonts w:ascii="Arial" w:hAnsi="Arial" w:cs="Arial"/>
          <w:spacing w:val="-4"/>
          <w:sz w:val="21"/>
          <w:szCs w:val="21"/>
        </w:rPr>
        <w:t xml:space="preserve">right </w:t>
      </w:r>
      <w:r>
        <w:rPr>
          <w:rFonts w:ascii="Arial" w:hAnsi="Arial" w:cs="Arial"/>
          <w:sz w:val="21"/>
          <w:szCs w:val="21"/>
        </w:rPr>
        <w:t>path towards making the  necessary connections  with the right  providers to ensure integrated  care for  homeless</w:t>
      </w:r>
      <w:r>
        <w:rPr>
          <w:rFonts w:ascii="Arial" w:hAnsi="Arial" w:cs="Arial"/>
          <w:spacing w:val="-2"/>
          <w:sz w:val="21"/>
          <w:szCs w:val="21"/>
        </w:rPr>
        <w:t xml:space="preserve"> </w:t>
      </w:r>
      <w:r>
        <w:rPr>
          <w:rFonts w:ascii="Arial" w:hAnsi="Arial" w:cs="Arial"/>
          <w:spacing w:val="-3"/>
          <w:sz w:val="21"/>
          <w:szCs w:val="21"/>
        </w:rPr>
        <w:t>individuals.</w:t>
      </w: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spacing w:before="2"/>
        <w:rPr>
          <w:rFonts w:ascii="Arial" w:hAnsi="Arial" w:cs="Arial"/>
          <w:sz w:val="26"/>
          <w:szCs w:val="26"/>
        </w:rPr>
      </w:pPr>
    </w:p>
    <w:p w:rsidR="002C5025" w:rsidRDefault="002C5025">
      <w:pPr>
        <w:pStyle w:val="BodyText"/>
        <w:kinsoku w:val="0"/>
        <w:overflowPunct w:val="0"/>
        <w:spacing w:line="540" w:lineRule="atLeast"/>
        <w:ind w:left="132" w:right="6742" w:firstLine="14"/>
        <w:rPr>
          <w:rFonts w:ascii="Arial" w:hAnsi="Arial" w:cs="Arial"/>
          <w:sz w:val="21"/>
          <w:szCs w:val="21"/>
        </w:rPr>
      </w:pPr>
      <w:r>
        <w:rPr>
          <w:rFonts w:ascii="Arial" w:hAnsi="Arial" w:cs="Arial"/>
          <w:sz w:val="21"/>
          <w:szCs w:val="21"/>
        </w:rPr>
        <w:t>Respectfully submitted, Aimee Coolidge</w:t>
      </w:r>
    </w:p>
    <w:p w:rsidR="002C5025" w:rsidRDefault="002C5025">
      <w:pPr>
        <w:pStyle w:val="BodyText"/>
        <w:kinsoku w:val="0"/>
        <w:overflowPunct w:val="0"/>
        <w:spacing w:before="51" w:line="285" w:lineRule="auto"/>
        <w:ind w:left="140" w:right="4305"/>
        <w:rPr>
          <w:rFonts w:ascii="Arial" w:hAnsi="Arial" w:cs="Arial"/>
          <w:sz w:val="21"/>
          <w:szCs w:val="21"/>
        </w:rPr>
      </w:pPr>
      <w:r>
        <w:rPr>
          <w:rFonts w:ascii="Arial" w:hAnsi="Arial" w:cs="Arial"/>
          <w:sz w:val="21"/>
          <w:szCs w:val="21"/>
        </w:rPr>
        <w:t>Director of Community and Government Relations Pine Street Inn</w:t>
      </w:r>
    </w:p>
    <w:p w:rsidR="002C5025" w:rsidRDefault="002C5025">
      <w:pPr>
        <w:pStyle w:val="BodyText"/>
        <w:kinsoku w:val="0"/>
        <w:overflowPunct w:val="0"/>
        <w:spacing w:before="9"/>
        <w:ind w:left="183" w:right="269"/>
        <w:rPr>
          <w:rFonts w:ascii="Arial" w:hAnsi="Arial" w:cs="Arial"/>
          <w:sz w:val="21"/>
          <w:szCs w:val="21"/>
        </w:rPr>
      </w:pPr>
      <w:r>
        <w:rPr>
          <w:rFonts w:ascii="Arial" w:hAnsi="Arial" w:cs="Arial"/>
          <w:sz w:val="21"/>
          <w:szCs w:val="21"/>
        </w:rPr>
        <w:t>444 Harrison Ave.</w:t>
      </w:r>
    </w:p>
    <w:p w:rsidR="002C5025" w:rsidRDefault="002C5025">
      <w:pPr>
        <w:pStyle w:val="BodyText"/>
        <w:kinsoku w:val="0"/>
        <w:overflowPunct w:val="0"/>
        <w:spacing w:before="36"/>
        <w:ind w:left="140" w:right="269"/>
        <w:rPr>
          <w:rFonts w:ascii="Times New Roman" w:hAnsi="Times New Roman" w:cs="Times New Roman"/>
          <w:w w:val="105"/>
          <w:sz w:val="23"/>
          <w:szCs w:val="23"/>
        </w:rPr>
      </w:pPr>
      <w:r>
        <w:rPr>
          <w:rFonts w:ascii="Arial" w:hAnsi="Arial" w:cs="Arial"/>
          <w:w w:val="105"/>
          <w:sz w:val="21"/>
          <w:szCs w:val="21"/>
        </w:rPr>
        <w:t xml:space="preserve">Boston, MA </w:t>
      </w:r>
      <w:r>
        <w:rPr>
          <w:rFonts w:ascii="Times New Roman" w:hAnsi="Times New Roman" w:cs="Times New Roman"/>
          <w:w w:val="105"/>
          <w:sz w:val="23"/>
          <w:szCs w:val="23"/>
        </w:rPr>
        <w:t>02118</w:t>
      </w:r>
    </w:p>
    <w:p w:rsidR="002C5025" w:rsidRDefault="002C5025">
      <w:pPr>
        <w:pStyle w:val="BodyText"/>
        <w:kinsoku w:val="0"/>
        <w:overflowPunct w:val="0"/>
        <w:spacing w:before="21"/>
        <w:ind w:left="118" w:right="269"/>
        <w:rPr>
          <w:rFonts w:ascii="Times New Roman" w:hAnsi="Times New Roman" w:cs="Times New Roman"/>
          <w:sz w:val="23"/>
          <w:szCs w:val="23"/>
        </w:rPr>
      </w:pPr>
      <w:r>
        <w:rPr>
          <w:rFonts w:ascii="Arial" w:hAnsi="Arial" w:cs="Arial"/>
          <w:sz w:val="21"/>
          <w:szCs w:val="21"/>
        </w:rPr>
        <w:t xml:space="preserve">Tel: </w:t>
      </w:r>
      <w:r>
        <w:rPr>
          <w:rFonts w:ascii="Times New Roman" w:hAnsi="Times New Roman" w:cs="Times New Roman"/>
          <w:sz w:val="23"/>
          <w:szCs w:val="23"/>
        </w:rPr>
        <w:t>(617) 892-9107</w:t>
      </w:r>
    </w:p>
    <w:p w:rsidR="002C5025" w:rsidRDefault="002C5025">
      <w:pPr>
        <w:pStyle w:val="BodyText"/>
        <w:kinsoku w:val="0"/>
        <w:overflowPunct w:val="0"/>
        <w:spacing w:before="51" w:line="292" w:lineRule="auto"/>
        <w:ind w:left="118" w:right="4869" w:firstLine="14"/>
        <w:rPr>
          <w:rFonts w:ascii="Arial" w:hAnsi="Arial" w:cs="Arial"/>
          <w:sz w:val="21"/>
          <w:szCs w:val="21"/>
        </w:rPr>
      </w:pPr>
      <w:r>
        <w:rPr>
          <w:rFonts w:ascii="Arial" w:hAnsi="Arial" w:cs="Arial"/>
          <w:sz w:val="21"/>
          <w:szCs w:val="21"/>
        </w:rPr>
        <w:t xml:space="preserve">Email: </w:t>
      </w:r>
      <w:hyperlink r:id="rId561" w:history="1">
        <w:r>
          <w:rPr>
            <w:rFonts w:ascii="Arial" w:hAnsi="Arial" w:cs="Arial"/>
            <w:sz w:val="21"/>
            <w:szCs w:val="21"/>
          </w:rPr>
          <w:t>aimee.coolidge@pinestreetinn.org</w:t>
        </w:r>
      </w:hyperlink>
      <w:r>
        <w:rPr>
          <w:rFonts w:ascii="Arial" w:hAnsi="Arial" w:cs="Arial"/>
          <w:sz w:val="21"/>
          <w:szCs w:val="21"/>
        </w:rPr>
        <w:t xml:space="preserve"> Website:   </w:t>
      </w:r>
      <w:hyperlink r:id="rId562" w:history="1">
        <w:r>
          <w:rPr>
            <w:rFonts w:ascii="Arial" w:hAnsi="Arial" w:cs="Arial"/>
            <w:sz w:val="21"/>
            <w:szCs w:val="21"/>
          </w:rPr>
          <w:t>www.pinestreetinn.org</w:t>
        </w:r>
      </w:hyperlink>
    </w:p>
    <w:p w:rsidR="002C5025" w:rsidRDefault="002C5025">
      <w:pPr>
        <w:pStyle w:val="BodyText"/>
        <w:kinsoku w:val="0"/>
        <w:overflowPunct w:val="0"/>
        <w:spacing w:before="51" w:line="292" w:lineRule="auto"/>
        <w:ind w:left="118" w:right="4869" w:firstLine="14"/>
        <w:rPr>
          <w:rFonts w:ascii="Arial" w:hAnsi="Arial" w:cs="Arial"/>
          <w:sz w:val="21"/>
          <w:szCs w:val="21"/>
        </w:rPr>
        <w:sectPr w:rsidR="002C5025">
          <w:pgSz w:w="12240" w:h="15840"/>
          <w:pgMar w:top="1380" w:right="1560" w:bottom="280" w:left="1300" w:header="720" w:footer="720" w:gutter="0"/>
          <w:cols w:space="720" w:equalWidth="0">
            <w:col w:w="9380"/>
          </w:cols>
          <w:noEndnote/>
        </w:sectPr>
      </w:pPr>
    </w:p>
    <w:p w:rsidR="002C5025" w:rsidRDefault="00FB027C">
      <w:pPr>
        <w:pStyle w:val="BodyText"/>
        <w:kinsoku w:val="0"/>
        <w:overflowPunct w:val="0"/>
        <w:spacing w:before="18"/>
        <w:ind w:left="703"/>
        <w:rPr>
          <w:rFonts w:ascii="Arial" w:hAnsi="Arial" w:cs="Arial"/>
          <w:b/>
          <w:bCs/>
          <w:spacing w:val="3"/>
          <w:w w:val="105"/>
          <w:sz w:val="46"/>
          <w:szCs w:val="46"/>
        </w:rPr>
      </w:pPr>
      <w:r>
        <w:rPr>
          <w:noProof/>
        </w:rPr>
        <w:lastRenderedPageBreak/>
        <mc:AlternateContent>
          <mc:Choice Requires="wpg">
            <w:drawing>
              <wp:anchor distT="0" distB="0" distL="114300" distR="114300" simplePos="0" relativeHeight="251803136" behindDoc="1" locked="0" layoutInCell="0" allowOverlap="1">
                <wp:simplePos x="0" y="0"/>
                <wp:positionH relativeFrom="page">
                  <wp:posOffset>7038340</wp:posOffset>
                </wp:positionH>
                <wp:positionV relativeFrom="page">
                  <wp:posOffset>4514850</wp:posOffset>
                </wp:positionV>
                <wp:extent cx="992505" cy="1435735"/>
                <wp:effectExtent l="0" t="0" r="0" b="0"/>
                <wp:wrapNone/>
                <wp:docPr id="65" name="Group 7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2505" cy="1435735"/>
                          <a:chOff x="11084" y="7110"/>
                          <a:chExt cx="1563" cy="2261"/>
                        </a:xfrm>
                      </wpg:grpSpPr>
                      <wps:wsp>
                        <wps:cNvPr id="1114" name="Freeform 796"/>
                        <wps:cNvSpPr>
                          <a:spLocks/>
                        </wps:cNvSpPr>
                        <wps:spPr bwMode="auto">
                          <a:xfrm>
                            <a:off x="12643" y="7114"/>
                            <a:ext cx="20" cy="2253"/>
                          </a:xfrm>
                          <a:custGeom>
                            <a:avLst/>
                            <a:gdLst>
                              <a:gd name="T0" fmla="*/ 0 w 20"/>
                              <a:gd name="T1" fmla="*/ 2253 h 2253"/>
                              <a:gd name="T2" fmla="*/ 0 w 20"/>
                              <a:gd name="T3" fmla="*/ 0 h 2253"/>
                            </a:gdLst>
                            <a:ahLst/>
                            <a:cxnLst>
                              <a:cxn ang="0">
                                <a:pos x="T0" y="T1"/>
                              </a:cxn>
                              <a:cxn ang="0">
                                <a:pos x="T2" y="T3"/>
                              </a:cxn>
                            </a:cxnLst>
                            <a:rect l="0" t="0" r="r" b="b"/>
                            <a:pathLst>
                              <a:path w="20" h="2253">
                                <a:moveTo>
                                  <a:pt x="0" y="2253"/>
                                </a:moveTo>
                                <a:lnTo>
                                  <a:pt x="0"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5" name="Freeform 797"/>
                        <wps:cNvSpPr>
                          <a:spLocks/>
                        </wps:cNvSpPr>
                        <wps:spPr bwMode="auto">
                          <a:xfrm>
                            <a:off x="11088" y="9328"/>
                            <a:ext cx="1505" cy="20"/>
                          </a:xfrm>
                          <a:custGeom>
                            <a:avLst/>
                            <a:gdLst>
                              <a:gd name="T0" fmla="*/ 0 w 1505"/>
                              <a:gd name="T1" fmla="*/ 0 h 20"/>
                              <a:gd name="T2" fmla="*/ 1505 w 1505"/>
                              <a:gd name="T3" fmla="*/ 0 h 20"/>
                            </a:gdLst>
                            <a:ahLst/>
                            <a:cxnLst>
                              <a:cxn ang="0">
                                <a:pos x="T0" y="T1"/>
                              </a:cxn>
                              <a:cxn ang="0">
                                <a:pos x="T2" y="T3"/>
                              </a:cxn>
                            </a:cxnLst>
                            <a:rect l="0" t="0" r="r" b="b"/>
                            <a:pathLst>
                              <a:path w="1505" h="20">
                                <a:moveTo>
                                  <a:pt x="0" y="0"/>
                                </a:moveTo>
                                <a:lnTo>
                                  <a:pt x="1505"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95" o:spid="_x0000_s1026" style="position:absolute;margin-left:554.2pt;margin-top:355.5pt;width:78.15pt;height:113.05pt;z-index:-251513344;mso-position-horizontal-relative:page;mso-position-vertical-relative:page" coordorigin="11084,7110" coordsize="1563,2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" o:allowincell="f">
                <v:shape id="Freeform 796" o:spid="_x0000_s1027" style="position:absolute;left:12643;top:7114;width:20;height:2253;visibility:visible;mso-wrap-style:square;v-text-anchor:top" coordsize="20,2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" path="m,2253l,e" filled="f" strokeweight=".36pt">
                  <v:path arrowok="t" o:connecttype="custom" o:connectlocs="0,2253;0,0" o:connectangles="0,0"/>
                </v:shape>
                <v:shape id="Freeform 797" o:spid="_x0000_s1028" style="position:absolute;left:11088;top:9328;width:1505;height:20;visibility:visible;mso-wrap-style:square;v-text-anchor:top" coordsize="1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E8cUA&#10;AADbAAAADwAAAGRycy9kb3ducmV2LnhtbESPT2vCQBTE74LfYXlCb7pJKf6JriJCUemhbfTg8ZF9&#10;JjHZtyG7avz23YLgcZiZ3zCLVWdqcaPWlZYVxKMIBHFmdcm5guPhczgF4TyyxtoyKXiQg9Wy31tg&#10;ou2df+mW+lwECLsEFRTeN4mULivIoBvZhjh4Z9sa9EG2udQt3gPc1PI9isbSYMlhocCGNgVlVXo1&#10;Cr6qvYtnl+rn9DFLrZmcto9vu1XqbdCt5yA8df4VfrZ3WsEkhv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5oTxxQAAANsAAAAPAAAAAAAAAAAAAAAAAJgCAABkcnMv&#10;ZG93bnJldi54bWxQSwUGAAAAAAQABAD1AAAAigMAAAAA&#10;" path="m,l1505,e" filled="f" strokeweight=".36pt">
                  <v:path arrowok="t" o:connecttype="custom" o:connectlocs="0,0;1505,0" o:connectangles="0,0"/>
                </v:shape>
                <w10:wrap anchorx="page" anchory="page"/>
              </v:group>
            </w:pict>
          </mc:Fallback>
        </mc:AlternateContent>
      </w:r>
      <w:r w:rsidR="002C5025">
        <w:rPr>
          <w:rFonts w:ascii="Arial" w:hAnsi="Arial" w:cs="Arial"/>
          <w:b/>
          <w:bCs/>
          <w:w w:val="105"/>
          <w:sz w:val="46"/>
          <w:szCs w:val="46"/>
        </w:rPr>
        <w:t>Shift to Older,</w:t>
      </w:r>
      <w:r w:rsidR="002C5025">
        <w:rPr>
          <w:rFonts w:ascii="Arial" w:hAnsi="Arial" w:cs="Arial"/>
          <w:b/>
          <w:bCs/>
          <w:spacing w:val="-71"/>
          <w:w w:val="105"/>
          <w:sz w:val="46"/>
          <w:szCs w:val="46"/>
        </w:rPr>
        <w:t xml:space="preserve"> </w:t>
      </w:r>
      <w:r w:rsidR="002C5025">
        <w:rPr>
          <w:rFonts w:ascii="Arial" w:hAnsi="Arial" w:cs="Arial"/>
          <w:b/>
          <w:bCs/>
          <w:spacing w:val="-4"/>
          <w:w w:val="105"/>
          <w:sz w:val="46"/>
          <w:szCs w:val="46"/>
        </w:rPr>
        <w:t xml:space="preserve">Higher </w:t>
      </w:r>
      <w:r w:rsidR="002C5025">
        <w:rPr>
          <w:rFonts w:ascii="Arial" w:hAnsi="Arial" w:cs="Arial"/>
          <w:b/>
          <w:bCs/>
          <w:w w:val="105"/>
          <w:sz w:val="46"/>
          <w:szCs w:val="46"/>
        </w:rPr>
        <w:t xml:space="preserve">Acuity </w:t>
      </w:r>
      <w:proofErr w:type="spellStart"/>
      <w:r w:rsidR="002C5025">
        <w:rPr>
          <w:rFonts w:ascii="Arial" w:hAnsi="Arial" w:cs="Arial"/>
          <w:b/>
          <w:bCs/>
          <w:spacing w:val="4"/>
          <w:w w:val="105"/>
          <w:sz w:val="46"/>
          <w:szCs w:val="46"/>
        </w:rPr>
        <w:t>Chronics</w:t>
      </w:r>
      <w:proofErr w:type="spellEnd"/>
      <w:r w:rsidR="002C5025">
        <w:rPr>
          <w:rFonts w:ascii="Arial" w:hAnsi="Arial" w:cs="Arial"/>
          <w:b/>
          <w:bCs/>
          <w:spacing w:val="4"/>
          <w:w w:val="105"/>
          <w:sz w:val="46"/>
          <w:szCs w:val="46"/>
        </w:rPr>
        <w:t xml:space="preserve"> </w:t>
      </w:r>
      <w:r w:rsidR="002C5025">
        <w:rPr>
          <w:rFonts w:ascii="Arial" w:hAnsi="Arial" w:cs="Arial"/>
          <w:b/>
          <w:bCs/>
          <w:spacing w:val="-5"/>
          <w:w w:val="105"/>
          <w:sz w:val="46"/>
          <w:szCs w:val="46"/>
        </w:rPr>
        <w:t xml:space="preserve">in </w:t>
      </w:r>
      <w:r w:rsidR="002C5025">
        <w:rPr>
          <w:rFonts w:ascii="Arial" w:hAnsi="Arial" w:cs="Arial"/>
          <w:b/>
          <w:bCs/>
          <w:spacing w:val="3"/>
          <w:w w:val="105"/>
          <w:sz w:val="46"/>
          <w:szCs w:val="46"/>
        </w:rPr>
        <w:t>Housing</w:t>
      </w:r>
    </w:p>
    <w:p w:rsidR="002C5025" w:rsidRDefault="00FB027C">
      <w:pPr>
        <w:pStyle w:val="BodyText"/>
        <w:kinsoku w:val="0"/>
        <w:overflowPunct w:val="0"/>
        <w:spacing w:before="5"/>
        <w:rPr>
          <w:rFonts w:ascii="Arial" w:hAnsi="Arial" w:cs="Arial"/>
          <w:b/>
          <w:bCs/>
          <w:sz w:val="11"/>
          <w:szCs w:val="11"/>
        </w:rPr>
      </w:pPr>
      <w:r>
        <w:rPr>
          <w:noProof/>
        </w:rPr>
        <mc:AlternateContent>
          <mc:Choice Requires="wps">
            <w:drawing>
              <wp:anchor distT="0" distB="0" distL="0" distR="0" simplePos="0" relativeHeight="251804160" behindDoc="0" locked="0" layoutInCell="0" allowOverlap="1">
                <wp:simplePos x="0" y="0"/>
                <wp:positionH relativeFrom="page">
                  <wp:posOffset>484505</wp:posOffset>
                </wp:positionH>
                <wp:positionV relativeFrom="paragraph">
                  <wp:posOffset>137795</wp:posOffset>
                </wp:positionV>
                <wp:extent cx="9185275" cy="12700"/>
                <wp:effectExtent l="0" t="0" r="0" b="0"/>
                <wp:wrapTopAndBottom/>
                <wp:docPr id="62" name="Freeform 7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85275" cy="12700"/>
                        </a:xfrm>
                        <a:custGeom>
                          <a:avLst/>
                          <a:gdLst>
                            <a:gd name="T0" fmla="*/ 0 w 14465"/>
                            <a:gd name="T1" fmla="*/ 0 h 20"/>
                            <a:gd name="T2" fmla="*/ 14465 w 14465"/>
                            <a:gd name="T3" fmla="*/ 0 h 20"/>
                          </a:gdLst>
                          <a:ahLst/>
                          <a:cxnLst>
                            <a:cxn ang="0">
                              <a:pos x="T0" y="T1"/>
                            </a:cxn>
                            <a:cxn ang="0">
                              <a:pos x="T2" y="T3"/>
                            </a:cxn>
                          </a:cxnLst>
                          <a:rect l="0" t="0" r="r" b="b"/>
                          <a:pathLst>
                            <a:path w="14465" h="20">
                              <a:moveTo>
                                <a:pt x="0" y="0"/>
                              </a:moveTo>
                              <a:lnTo>
                                <a:pt x="14465" y="0"/>
                              </a:lnTo>
                            </a:path>
                          </a:pathLst>
                        </a:custGeom>
                        <a:noFill/>
                        <a:ln w="5943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98" o:spid="_x0000_s1026" style="position:absolute;z-index:251804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38.15pt,10.85pt,761.4pt,10.85pt" coordsize="1446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" o:allowincell="f" filled="f" strokeweight="4.68pt">
                <v:path arrowok="t" o:connecttype="custom" o:connectlocs="0,0;9185275,0" o:connectangles="0,0"/>
                <w10:wrap type="topAndBottom" anchorx="page"/>
              </v:polyline>
            </w:pict>
          </mc:Fallback>
        </mc:AlternateContent>
      </w:r>
    </w:p>
    <w:p w:rsidR="002C5025" w:rsidRDefault="002C5025">
      <w:pPr>
        <w:pStyle w:val="BodyText"/>
        <w:kinsoku w:val="0"/>
        <w:overflowPunct w:val="0"/>
        <w:rPr>
          <w:rFonts w:ascii="Arial" w:hAnsi="Arial" w:cs="Arial"/>
          <w:b/>
          <w:bCs/>
          <w:sz w:val="20"/>
          <w:szCs w:val="20"/>
        </w:rPr>
      </w:pPr>
    </w:p>
    <w:p w:rsidR="002C5025" w:rsidRDefault="002C5025">
      <w:pPr>
        <w:pStyle w:val="BodyText"/>
        <w:kinsoku w:val="0"/>
        <w:overflowPunct w:val="0"/>
        <w:rPr>
          <w:rFonts w:ascii="Arial" w:hAnsi="Arial" w:cs="Arial"/>
          <w:b/>
          <w:bCs/>
          <w:sz w:val="20"/>
          <w:szCs w:val="20"/>
        </w:rPr>
      </w:pPr>
    </w:p>
    <w:p w:rsidR="002C5025" w:rsidRDefault="002C5025">
      <w:pPr>
        <w:pStyle w:val="BodyText"/>
        <w:kinsoku w:val="0"/>
        <w:overflowPunct w:val="0"/>
        <w:spacing w:before="11"/>
        <w:rPr>
          <w:rFonts w:ascii="Arial" w:hAnsi="Arial" w:cs="Arial"/>
          <w:b/>
          <w:bCs/>
          <w:sz w:val="16"/>
          <w:szCs w:val="16"/>
        </w:rPr>
      </w:pPr>
    </w:p>
    <w:tbl>
      <w:tblPr>
        <w:tblW w:w="0" w:type="auto"/>
        <w:tblInd w:w="2533" w:type="dxa"/>
        <w:tblLayout w:type="fixed"/>
        <w:tblCellMar>
          <w:left w:w="0" w:type="dxa"/>
          <w:right w:w="0" w:type="dxa"/>
        </w:tblCellMar>
        <w:tblLook w:val="0000" w:firstRow="0" w:lastRow="0" w:firstColumn="0" w:lastColumn="0" w:noHBand="0" w:noVBand="0"/>
      </w:tblPr>
      <w:tblGrid>
        <w:gridCol w:w="2188"/>
        <w:gridCol w:w="72"/>
        <w:gridCol w:w="3450"/>
        <w:gridCol w:w="2434"/>
        <w:gridCol w:w="1648"/>
      </w:tblGrid>
      <w:tr w:rsidR="002C5025">
        <w:trPr>
          <w:trHeight w:hRule="exact" w:val="666"/>
        </w:trPr>
        <w:tc>
          <w:tcPr>
            <w:tcW w:w="5710" w:type="dxa"/>
            <w:gridSpan w:val="3"/>
            <w:tcBorders>
              <w:top w:val="single" w:sz="2" w:space="0" w:color="000000"/>
              <w:left w:val="single" w:sz="2" w:space="0" w:color="000000"/>
              <w:bottom w:val="nil"/>
              <w:right w:val="single" w:sz="8" w:space="0" w:color="000000"/>
            </w:tcBorders>
          </w:tcPr>
          <w:p w:rsidR="002C5025" w:rsidRDefault="002C5025">
            <w:pPr>
              <w:pStyle w:val="TableParagraph"/>
              <w:kinsoku w:val="0"/>
              <w:overflowPunct w:val="0"/>
              <w:spacing w:before="213"/>
              <w:ind w:left="196"/>
              <w:rPr>
                <w:rFonts w:ascii="Times New Roman" w:hAnsi="Times New Roman" w:cs="Times New Roman"/>
              </w:rPr>
            </w:pPr>
            <w:r>
              <w:rPr>
                <w:w w:val="110"/>
                <w:sz w:val="31"/>
                <w:szCs w:val="31"/>
              </w:rPr>
              <w:t>Age of Tenants in Housing</w:t>
            </w:r>
          </w:p>
        </w:tc>
        <w:tc>
          <w:tcPr>
            <w:tcW w:w="2434" w:type="dxa"/>
            <w:tcBorders>
              <w:top w:val="single" w:sz="2" w:space="0" w:color="000000"/>
              <w:left w:val="single" w:sz="8" w:space="0" w:color="000000"/>
              <w:bottom w:val="single" w:sz="8" w:space="0" w:color="000000"/>
              <w:right w:val="single" w:sz="8" w:space="0" w:color="000000"/>
            </w:tcBorders>
          </w:tcPr>
          <w:p w:rsidR="002C5025" w:rsidRDefault="002C5025">
            <w:pPr>
              <w:pStyle w:val="TableParagraph"/>
              <w:kinsoku w:val="0"/>
              <w:overflowPunct w:val="0"/>
              <w:spacing w:before="191"/>
              <w:ind w:left="718" w:right="722"/>
              <w:jc w:val="center"/>
              <w:rPr>
                <w:rFonts w:ascii="Times New Roman" w:hAnsi="Times New Roman" w:cs="Times New Roman"/>
              </w:rPr>
            </w:pPr>
            <w:r>
              <w:rPr>
                <w:w w:val="105"/>
                <w:sz w:val="31"/>
                <w:szCs w:val="31"/>
              </w:rPr>
              <w:t>2003</w:t>
            </w:r>
          </w:p>
        </w:tc>
        <w:tc>
          <w:tcPr>
            <w:tcW w:w="1648" w:type="dxa"/>
            <w:tcBorders>
              <w:top w:val="single" w:sz="2" w:space="0" w:color="000000"/>
              <w:left w:val="single" w:sz="8" w:space="0" w:color="000000"/>
              <w:bottom w:val="single" w:sz="8" w:space="0" w:color="000000"/>
              <w:right w:val="single" w:sz="2" w:space="0" w:color="000000"/>
            </w:tcBorders>
          </w:tcPr>
          <w:p w:rsidR="002C5025" w:rsidRDefault="002C5025">
            <w:pPr>
              <w:pStyle w:val="TableParagraph"/>
              <w:kinsoku w:val="0"/>
              <w:overflowPunct w:val="0"/>
              <w:spacing w:before="177"/>
              <w:ind w:left="427"/>
              <w:rPr>
                <w:rFonts w:ascii="Times New Roman" w:hAnsi="Times New Roman" w:cs="Times New Roman"/>
              </w:rPr>
            </w:pPr>
            <w:r>
              <w:rPr>
                <w:w w:val="115"/>
                <w:sz w:val="31"/>
                <w:szCs w:val="31"/>
              </w:rPr>
              <w:t>2016</w:t>
            </w:r>
          </w:p>
        </w:tc>
      </w:tr>
      <w:tr w:rsidR="002C5025">
        <w:trPr>
          <w:trHeight w:hRule="exact" w:val="572"/>
        </w:trPr>
        <w:tc>
          <w:tcPr>
            <w:tcW w:w="2260" w:type="dxa"/>
            <w:gridSpan w:val="2"/>
            <w:tcBorders>
              <w:top w:val="nil"/>
              <w:left w:val="single" w:sz="2" w:space="0" w:color="000000"/>
              <w:bottom w:val="nil"/>
              <w:right w:val="nil"/>
            </w:tcBorders>
          </w:tcPr>
          <w:p w:rsidR="002C5025" w:rsidRDefault="002C5025">
            <w:pPr>
              <w:pStyle w:val="TableParagraph"/>
              <w:kinsoku w:val="0"/>
              <w:overflowPunct w:val="0"/>
              <w:spacing w:before="145"/>
              <w:ind w:left="225"/>
              <w:rPr>
                <w:rFonts w:ascii="Times New Roman" w:hAnsi="Times New Roman" w:cs="Times New Roman"/>
              </w:rPr>
            </w:pPr>
            <w:r>
              <w:rPr>
                <w:spacing w:val="-15"/>
                <w:w w:val="110"/>
                <w:sz w:val="31"/>
                <w:szCs w:val="31"/>
              </w:rPr>
              <w:t>18-30</w:t>
            </w:r>
            <w:r>
              <w:rPr>
                <w:spacing w:val="-74"/>
                <w:w w:val="110"/>
                <w:sz w:val="31"/>
                <w:szCs w:val="31"/>
              </w:rPr>
              <w:t xml:space="preserve"> </w:t>
            </w:r>
            <w:r>
              <w:rPr>
                <w:w w:val="110"/>
                <w:sz w:val="31"/>
                <w:szCs w:val="31"/>
              </w:rPr>
              <w:t>years</w:t>
            </w:r>
          </w:p>
        </w:tc>
        <w:tc>
          <w:tcPr>
            <w:tcW w:w="3450" w:type="dxa"/>
            <w:tcBorders>
              <w:top w:val="single" w:sz="8" w:space="0" w:color="000000"/>
              <w:left w:val="nil"/>
              <w:bottom w:val="single" w:sz="10" w:space="0" w:color="000000"/>
              <w:right w:val="single" w:sz="8" w:space="0" w:color="000000"/>
            </w:tcBorders>
          </w:tcPr>
          <w:p w:rsidR="002C5025" w:rsidRDefault="002C5025"/>
        </w:tc>
        <w:tc>
          <w:tcPr>
            <w:tcW w:w="2434" w:type="dxa"/>
            <w:tcBorders>
              <w:top w:val="single" w:sz="8" w:space="0" w:color="000000"/>
              <w:left w:val="single" w:sz="8" w:space="0" w:color="000000"/>
              <w:bottom w:val="single" w:sz="8" w:space="0" w:color="000000"/>
              <w:right w:val="single" w:sz="8" w:space="0" w:color="000000"/>
            </w:tcBorders>
          </w:tcPr>
          <w:p w:rsidR="002C5025" w:rsidRDefault="002C5025">
            <w:pPr>
              <w:pStyle w:val="TableParagraph"/>
              <w:kinsoku w:val="0"/>
              <w:overflowPunct w:val="0"/>
              <w:spacing w:before="95"/>
              <w:ind w:left="726" w:right="722"/>
              <w:jc w:val="center"/>
              <w:rPr>
                <w:rFonts w:ascii="Times New Roman" w:hAnsi="Times New Roman" w:cs="Times New Roman"/>
              </w:rPr>
            </w:pPr>
            <w:r>
              <w:rPr>
                <w:sz w:val="31"/>
                <w:szCs w:val="31"/>
              </w:rPr>
              <w:t>4%</w:t>
            </w:r>
          </w:p>
        </w:tc>
        <w:tc>
          <w:tcPr>
            <w:tcW w:w="1648" w:type="dxa"/>
            <w:tcBorders>
              <w:top w:val="single" w:sz="8" w:space="0" w:color="000000"/>
              <w:left w:val="single" w:sz="8" w:space="0" w:color="000000"/>
              <w:bottom w:val="single" w:sz="8" w:space="0" w:color="000000"/>
              <w:right w:val="single" w:sz="2" w:space="0" w:color="000000"/>
            </w:tcBorders>
          </w:tcPr>
          <w:p w:rsidR="002C5025" w:rsidRDefault="002C5025">
            <w:pPr>
              <w:pStyle w:val="TableParagraph"/>
              <w:kinsoku w:val="0"/>
              <w:overflowPunct w:val="0"/>
              <w:spacing w:before="88"/>
              <w:ind w:left="550" w:right="596"/>
              <w:jc w:val="center"/>
              <w:rPr>
                <w:rFonts w:ascii="Times New Roman" w:hAnsi="Times New Roman" w:cs="Times New Roman"/>
              </w:rPr>
            </w:pPr>
            <w:r>
              <w:rPr>
                <w:sz w:val="31"/>
                <w:szCs w:val="31"/>
              </w:rPr>
              <w:t>2%</w:t>
            </w:r>
          </w:p>
        </w:tc>
      </w:tr>
      <w:tr w:rsidR="002C5025">
        <w:trPr>
          <w:trHeight w:hRule="exact" w:val="576"/>
        </w:trPr>
        <w:tc>
          <w:tcPr>
            <w:tcW w:w="5710" w:type="dxa"/>
            <w:gridSpan w:val="3"/>
            <w:tcBorders>
              <w:top w:val="nil"/>
              <w:left w:val="single" w:sz="2" w:space="0" w:color="000000"/>
              <w:bottom w:val="nil"/>
              <w:right w:val="single" w:sz="8" w:space="0" w:color="000000"/>
            </w:tcBorders>
          </w:tcPr>
          <w:p w:rsidR="002C5025" w:rsidRDefault="002C5025">
            <w:pPr>
              <w:pStyle w:val="TableParagraph"/>
              <w:kinsoku w:val="0"/>
              <w:overflowPunct w:val="0"/>
              <w:spacing w:before="151"/>
              <w:ind w:left="211"/>
              <w:rPr>
                <w:rFonts w:ascii="Times New Roman" w:hAnsi="Times New Roman" w:cs="Times New Roman"/>
              </w:rPr>
            </w:pPr>
            <w:r>
              <w:rPr>
                <w:w w:val="105"/>
                <w:sz w:val="31"/>
                <w:szCs w:val="31"/>
              </w:rPr>
              <w:t>31-50 years</w:t>
            </w:r>
          </w:p>
        </w:tc>
        <w:tc>
          <w:tcPr>
            <w:tcW w:w="2434" w:type="dxa"/>
            <w:tcBorders>
              <w:top w:val="single" w:sz="8" w:space="0" w:color="000000"/>
              <w:left w:val="single" w:sz="8" w:space="0" w:color="000000"/>
              <w:bottom w:val="single" w:sz="8" w:space="0" w:color="000000"/>
              <w:right w:val="single" w:sz="8" w:space="0" w:color="000000"/>
            </w:tcBorders>
          </w:tcPr>
          <w:p w:rsidR="002C5025" w:rsidRDefault="002C5025">
            <w:pPr>
              <w:pStyle w:val="TableParagraph"/>
              <w:kinsoku w:val="0"/>
              <w:overflowPunct w:val="0"/>
              <w:spacing w:before="116"/>
              <w:ind w:left="740" w:right="722"/>
              <w:jc w:val="center"/>
              <w:rPr>
                <w:rFonts w:ascii="Times New Roman" w:hAnsi="Times New Roman" w:cs="Times New Roman"/>
              </w:rPr>
            </w:pPr>
            <w:r>
              <w:rPr>
                <w:sz w:val="31"/>
                <w:szCs w:val="31"/>
              </w:rPr>
              <w:t>50%</w:t>
            </w:r>
          </w:p>
        </w:tc>
        <w:tc>
          <w:tcPr>
            <w:tcW w:w="1648" w:type="dxa"/>
            <w:tcBorders>
              <w:top w:val="single" w:sz="8" w:space="0" w:color="000000"/>
              <w:left w:val="single" w:sz="8" w:space="0" w:color="000000"/>
              <w:bottom w:val="single" w:sz="8" w:space="0" w:color="000000"/>
              <w:right w:val="single" w:sz="2" w:space="0" w:color="000000"/>
            </w:tcBorders>
          </w:tcPr>
          <w:p w:rsidR="002C5025" w:rsidRDefault="002C5025">
            <w:pPr>
              <w:pStyle w:val="TableParagraph"/>
              <w:kinsoku w:val="0"/>
              <w:overflowPunct w:val="0"/>
              <w:spacing w:before="101"/>
              <w:ind w:left="491"/>
              <w:rPr>
                <w:rFonts w:ascii="Times New Roman" w:hAnsi="Times New Roman" w:cs="Times New Roman"/>
              </w:rPr>
            </w:pPr>
            <w:r>
              <w:rPr>
                <w:sz w:val="31"/>
                <w:szCs w:val="31"/>
              </w:rPr>
              <w:t>24%</w:t>
            </w:r>
          </w:p>
        </w:tc>
      </w:tr>
      <w:tr w:rsidR="002C5025">
        <w:trPr>
          <w:trHeight w:hRule="exact" w:val="592"/>
        </w:trPr>
        <w:tc>
          <w:tcPr>
            <w:tcW w:w="2188" w:type="dxa"/>
            <w:tcBorders>
              <w:top w:val="nil"/>
              <w:left w:val="single" w:sz="2" w:space="0" w:color="000000"/>
              <w:bottom w:val="single" w:sz="12" w:space="0" w:color="000000"/>
              <w:right w:val="nil"/>
            </w:tcBorders>
          </w:tcPr>
          <w:p w:rsidR="002C5025" w:rsidRDefault="002C5025">
            <w:pPr>
              <w:pStyle w:val="TableParagraph"/>
              <w:kinsoku w:val="0"/>
              <w:overflowPunct w:val="0"/>
              <w:spacing w:before="158"/>
              <w:ind w:left="211"/>
              <w:rPr>
                <w:rFonts w:ascii="Times New Roman" w:hAnsi="Times New Roman" w:cs="Times New Roman"/>
              </w:rPr>
            </w:pPr>
            <w:r>
              <w:rPr>
                <w:w w:val="105"/>
                <w:sz w:val="31"/>
                <w:szCs w:val="31"/>
              </w:rPr>
              <w:t>51-61 years</w:t>
            </w:r>
          </w:p>
        </w:tc>
        <w:tc>
          <w:tcPr>
            <w:tcW w:w="3522" w:type="dxa"/>
            <w:gridSpan w:val="2"/>
            <w:tcBorders>
              <w:top w:val="single" w:sz="10" w:space="0" w:color="000000"/>
              <w:left w:val="nil"/>
              <w:bottom w:val="single" w:sz="12" w:space="0" w:color="000000"/>
              <w:right w:val="single" w:sz="8" w:space="0" w:color="000000"/>
            </w:tcBorders>
          </w:tcPr>
          <w:p w:rsidR="002C5025" w:rsidRDefault="002C5025"/>
        </w:tc>
        <w:tc>
          <w:tcPr>
            <w:tcW w:w="2434" w:type="dxa"/>
            <w:tcBorders>
              <w:top w:val="single" w:sz="8" w:space="0" w:color="000000"/>
              <w:left w:val="single" w:sz="8" w:space="0" w:color="000000"/>
              <w:bottom w:val="single" w:sz="8" w:space="0" w:color="000000"/>
              <w:right w:val="single" w:sz="8" w:space="0" w:color="000000"/>
            </w:tcBorders>
          </w:tcPr>
          <w:p w:rsidR="002C5025" w:rsidRDefault="002C5025">
            <w:pPr>
              <w:pStyle w:val="TableParagraph"/>
              <w:kinsoku w:val="0"/>
              <w:overflowPunct w:val="0"/>
              <w:spacing w:before="116"/>
              <w:ind w:left="754" w:right="722"/>
              <w:jc w:val="center"/>
              <w:rPr>
                <w:rFonts w:ascii="Times New Roman" w:hAnsi="Times New Roman" w:cs="Times New Roman"/>
              </w:rPr>
            </w:pPr>
            <w:r>
              <w:rPr>
                <w:w w:val="110"/>
                <w:sz w:val="31"/>
                <w:szCs w:val="31"/>
              </w:rPr>
              <w:t>31%</w:t>
            </w:r>
          </w:p>
        </w:tc>
        <w:tc>
          <w:tcPr>
            <w:tcW w:w="1648" w:type="dxa"/>
            <w:tcBorders>
              <w:top w:val="single" w:sz="8" w:space="0" w:color="000000"/>
              <w:left w:val="single" w:sz="8" w:space="0" w:color="000000"/>
              <w:bottom w:val="single" w:sz="8" w:space="0" w:color="000000"/>
              <w:right w:val="single" w:sz="2" w:space="0" w:color="000000"/>
            </w:tcBorders>
          </w:tcPr>
          <w:p w:rsidR="002C5025" w:rsidRDefault="002C5025">
            <w:pPr>
              <w:pStyle w:val="TableParagraph"/>
              <w:kinsoku w:val="0"/>
              <w:overflowPunct w:val="0"/>
              <w:spacing w:before="116"/>
              <w:ind w:left="470"/>
              <w:rPr>
                <w:rFonts w:ascii="Times New Roman" w:hAnsi="Times New Roman" w:cs="Times New Roman"/>
              </w:rPr>
            </w:pPr>
            <w:r>
              <w:rPr>
                <w:sz w:val="31"/>
                <w:szCs w:val="31"/>
              </w:rPr>
              <w:t>48%</w:t>
            </w:r>
          </w:p>
        </w:tc>
      </w:tr>
      <w:tr w:rsidR="002C5025">
        <w:trPr>
          <w:trHeight w:hRule="exact" w:val="571"/>
        </w:trPr>
        <w:tc>
          <w:tcPr>
            <w:tcW w:w="5710" w:type="dxa"/>
            <w:gridSpan w:val="3"/>
            <w:tcBorders>
              <w:top w:val="single" w:sz="12" w:space="0" w:color="000000"/>
              <w:left w:val="single" w:sz="2" w:space="0" w:color="000000"/>
              <w:bottom w:val="single" w:sz="8" w:space="0" w:color="000000"/>
              <w:right w:val="single" w:sz="8" w:space="0" w:color="000000"/>
            </w:tcBorders>
          </w:tcPr>
          <w:p w:rsidR="002C5025" w:rsidRDefault="002C5025">
            <w:pPr>
              <w:pStyle w:val="TableParagraph"/>
              <w:kinsoku w:val="0"/>
              <w:overflowPunct w:val="0"/>
              <w:spacing w:before="105"/>
              <w:ind w:left="218"/>
              <w:rPr>
                <w:rFonts w:ascii="Times New Roman" w:hAnsi="Times New Roman" w:cs="Times New Roman"/>
              </w:rPr>
            </w:pPr>
            <w:r>
              <w:rPr>
                <w:sz w:val="31"/>
                <w:szCs w:val="31"/>
              </w:rPr>
              <w:t>62+ years of age</w:t>
            </w:r>
          </w:p>
        </w:tc>
        <w:tc>
          <w:tcPr>
            <w:tcW w:w="2434" w:type="dxa"/>
            <w:tcBorders>
              <w:top w:val="single" w:sz="8" w:space="0" w:color="000000"/>
              <w:left w:val="single" w:sz="8" w:space="0" w:color="000000"/>
              <w:bottom w:val="single" w:sz="8" w:space="0" w:color="000000"/>
              <w:right w:val="single" w:sz="8" w:space="0" w:color="000000"/>
            </w:tcBorders>
          </w:tcPr>
          <w:p w:rsidR="002C5025" w:rsidRDefault="002C5025">
            <w:pPr>
              <w:pStyle w:val="TableParagraph"/>
              <w:kinsoku w:val="0"/>
              <w:overflowPunct w:val="0"/>
              <w:spacing w:before="93"/>
              <w:ind w:left="767" w:right="722"/>
              <w:jc w:val="center"/>
              <w:rPr>
                <w:rFonts w:ascii="Times New Roman" w:hAnsi="Times New Roman" w:cs="Times New Roman"/>
              </w:rPr>
            </w:pPr>
            <w:r>
              <w:rPr>
                <w:w w:val="110"/>
                <w:sz w:val="31"/>
                <w:szCs w:val="31"/>
              </w:rPr>
              <w:t>15%</w:t>
            </w:r>
          </w:p>
        </w:tc>
        <w:tc>
          <w:tcPr>
            <w:tcW w:w="1648" w:type="dxa"/>
            <w:tcBorders>
              <w:top w:val="single" w:sz="8" w:space="0" w:color="000000"/>
              <w:left w:val="single" w:sz="8" w:space="0" w:color="000000"/>
              <w:bottom w:val="single" w:sz="8" w:space="0" w:color="000000"/>
              <w:right w:val="single" w:sz="2" w:space="0" w:color="000000"/>
            </w:tcBorders>
          </w:tcPr>
          <w:p w:rsidR="002C5025" w:rsidRDefault="002C5025">
            <w:pPr>
              <w:pStyle w:val="TableParagraph"/>
              <w:kinsoku w:val="0"/>
              <w:overflowPunct w:val="0"/>
              <w:spacing w:before="103"/>
              <w:ind w:left="477"/>
              <w:rPr>
                <w:rFonts w:ascii="Times New Roman" w:hAnsi="Times New Roman" w:cs="Times New Roman"/>
              </w:rPr>
            </w:pPr>
            <w:r>
              <w:rPr>
                <w:sz w:val="31"/>
                <w:szCs w:val="31"/>
              </w:rPr>
              <w:t>26%</w:t>
            </w:r>
          </w:p>
        </w:tc>
      </w:tr>
      <w:tr w:rsidR="002C5025">
        <w:trPr>
          <w:trHeight w:hRule="exact" w:val="654"/>
        </w:trPr>
        <w:tc>
          <w:tcPr>
            <w:tcW w:w="5710" w:type="dxa"/>
            <w:gridSpan w:val="3"/>
            <w:tcBorders>
              <w:top w:val="single" w:sz="8" w:space="0" w:color="000000"/>
              <w:left w:val="single" w:sz="2" w:space="0" w:color="000000"/>
              <w:bottom w:val="single" w:sz="2" w:space="0" w:color="000000"/>
              <w:right w:val="single" w:sz="8" w:space="0" w:color="000000"/>
            </w:tcBorders>
          </w:tcPr>
          <w:p w:rsidR="002C5025" w:rsidRDefault="002C5025">
            <w:pPr>
              <w:pStyle w:val="TableParagraph"/>
              <w:kinsoku w:val="0"/>
              <w:overflowPunct w:val="0"/>
              <w:spacing w:before="112"/>
              <w:ind w:left="700"/>
              <w:rPr>
                <w:rFonts w:ascii="Times New Roman" w:hAnsi="Times New Roman" w:cs="Times New Roman"/>
              </w:rPr>
            </w:pPr>
            <w:r>
              <w:rPr>
                <w:w w:val="105"/>
                <w:sz w:val="31"/>
                <w:szCs w:val="31"/>
              </w:rPr>
              <w:t>Total</w:t>
            </w:r>
          </w:p>
        </w:tc>
        <w:tc>
          <w:tcPr>
            <w:tcW w:w="2434" w:type="dxa"/>
            <w:tcBorders>
              <w:top w:val="single" w:sz="8" w:space="0" w:color="000000"/>
              <w:left w:val="single" w:sz="8" w:space="0" w:color="000000"/>
              <w:bottom w:val="single" w:sz="2" w:space="0" w:color="000000"/>
              <w:right w:val="single" w:sz="8" w:space="0" w:color="000000"/>
            </w:tcBorders>
          </w:tcPr>
          <w:p w:rsidR="002C5025" w:rsidRDefault="002C5025">
            <w:pPr>
              <w:pStyle w:val="TableParagraph"/>
              <w:kinsoku w:val="0"/>
              <w:overflowPunct w:val="0"/>
              <w:spacing w:before="98"/>
              <w:ind w:left="776" w:right="722"/>
              <w:jc w:val="center"/>
              <w:rPr>
                <w:rFonts w:ascii="Times New Roman" w:hAnsi="Times New Roman" w:cs="Times New Roman"/>
              </w:rPr>
            </w:pPr>
            <w:r>
              <w:rPr>
                <w:w w:val="110"/>
                <w:sz w:val="31"/>
                <w:szCs w:val="31"/>
              </w:rPr>
              <w:t>100%</w:t>
            </w:r>
          </w:p>
        </w:tc>
        <w:tc>
          <w:tcPr>
            <w:tcW w:w="1648" w:type="dxa"/>
            <w:tcBorders>
              <w:top w:val="single" w:sz="8" w:space="0" w:color="000000"/>
              <w:left w:val="single" w:sz="8" w:space="0" w:color="000000"/>
              <w:bottom w:val="single" w:sz="2" w:space="0" w:color="000000"/>
              <w:right w:val="single" w:sz="2" w:space="0" w:color="000000"/>
            </w:tcBorders>
          </w:tcPr>
          <w:p w:rsidR="002C5025" w:rsidRDefault="002C5025">
            <w:pPr>
              <w:pStyle w:val="TableParagraph"/>
              <w:kinsoku w:val="0"/>
              <w:overflowPunct w:val="0"/>
              <w:spacing w:before="98"/>
              <w:ind w:left="412"/>
              <w:rPr>
                <w:rFonts w:ascii="Times New Roman" w:hAnsi="Times New Roman" w:cs="Times New Roman"/>
              </w:rPr>
            </w:pPr>
            <w:r>
              <w:rPr>
                <w:w w:val="110"/>
                <w:sz w:val="31"/>
                <w:szCs w:val="31"/>
              </w:rPr>
              <w:t>100%</w:t>
            </w:r>
          </w:p>
        </w:tc>
      </w:tr>
    </w:tbl>
    <w:p w:rsidR="002C5025" w:rsidRDefault="002C5025">
      <w:pPr>
        <w:pStyle w:val="BodyText"/>
        <w:kinsoku w:val="0"/>
        <w:overflowPunct w:val="0"/>
        <w:rPr>
          <w:rFonts w:ascii="Arial" w:hAnsi="Arial" w:cs="Arial"/>
          <w:b/>
          <w:bCs/>
          <w:sz w:val="20"/>
          <w:szCs w:val="20"/>
        </w:rPr>
      </w:pPr>
    </w:p>
    <w:p w:rsidR="002C5025" w:rsidRDefault="002C5025">
      <w:pPr>
        <w:pStyle w:val="BodyText"/>
        <w:kinsoku w:val="0"/>
        <w:overflowPunct w:val="0"/>
        <w:rPr>
          <w:rFonts w:ascii="Arial" w:hAnsi="Arial" w:cs="Arial"/>
          <w:b/>
          <w:bCs/>
          <w:sz w:val="20"/>
          <w:szCs w:val="20"/>
        </w:rPr>
      </w:pPr>
    </w:p>
    <w:p w:rsidR="002C5025" w:rsidRDefault="002C5025">
      <w:pPr>
        <w:pStyle w:val="BodyText"/>
        <w:kinsoku w:val="0"/>
        <w:overflowPunct w:val="0"/>
        <w:rPr>
          <w:rFonts w:ascii="Arial" w:hAnsi="Arial" w:cs="Arial"/>
          <w:b/>
          <w:bCs/>
          <w:sz w:val="20"/>
          <w:szCs w:val="20"/>
        </w:rPr>
      </w:pPr>
    </w:p>
    <w:p w:rsidR="002C5025" w:rsidRDefault="002C5025">
      <w:pPr>
        <w:pStyle w:val="BodyText"/>
        <w:kinsoku w:val="0"/>
        <w:overflowPunct w:val="0"/>
        <w:spacing w:before="5"/>
        <w:rPr>
          <w:rFonts w:ascii="Arial" w:hAnsi="Arial" w:cs="Arial"/>
          <w:b/>
          <w:bCs/>
        </w:rPr>
      </w:pPr>
    </w:p>
    <w:tbl>
      <w:tblPr>
        <w:tblW w:w="0" w:type="auto"/>
        <w:tblInd w:w="2849" w:type="dxa"/>
        <w:tblLayout w:type="fixed"/>
        <w:tblCellMar>
          <w:left w:w="0" w:type="dxa"/>
          <w:right w:w="0" w:type="dxa"/>
        </w:tblCellMar>
        <w:tblLook w:val="0000" w:firstRow="0" w:lastRow="0" w:firstColumn="0" w:lastColumn="0" w:noHBand="0" w:noVBand="0"/>
      </w:tblPr>
      <w:tblGrid>
        <w:gridCol w:w="5091"/>
        <w:gridCol w:w="2171"/>
        <w:gridCol w:w="1873"/>
      </w:tblGrid>
      <w:tr w:rsidR="002C5025">
        <w:trPr>
          <w:trHeight w:hRule="exact" w:val="1019"/>
        </w:trPr>
        <w:tc>
          <w:tcPr>
            <w:tcW w:w="5091" w:type="dxa"/>
            <w:tcBorders>
              <w:top w:val="nil"/>
              <w:left w:val="single" w:sz="2" w:space="0" w:color="000000"/>
              <w:bottom w:val="single" w:sz="8" w:space="0" w:color="000000"/>
              <w:right w:val="single" w:sz="10" w:space="0" w:color="000000"/>
            </w:tcBorders>
          </w:tcPr>
          <w:p w:rsidR="002C5025" w:rsidRDefault="002C5025">
            <w:pPr>
              <w:pStyle w:val="TableParagraph"/>
              <w:kinsoku w:val="0"/>
              <w:overflowPunct w:val="0"/>
              <w:spacing w:before="131" w:line="285" w:lineRule="auto"/>
              <w:ind w:left="196"/>
              <w:rPr>
                <w:rFonts w:ascii="Times New Roman" w:hAnsi="Times New Roman" w:cs="Times New Roman"/>
              </w:rPr>
            </w:pPr>
            <w:r>
              <w:rPr>
                <w:w w:val="105"/>
                <w:sz w:val="31"/>
                <w:szCs w:val="31"/>
              </w:rPr>
              <w:t xml:space="preserve">% of </w:t>
            </w:r>
            <w:r>
              <w:rPr>
                <w:spacing w:val="-4"/>
                <w:w w:val="105"/>
                <w:sz w:val="31"/>
                <w:szCs w:val="31"/>
              </w:rPr>
              <w:t xml:space="preserve">Tenants </w:t>
            </w:r>
            <w:r>
              <w:rPr>
                <w:w w:val="105"/>
                <w:sz w:val="31"/>
                <w:szCs w:val="31"/>
              </w:rPr>
              <w:t xml:space="preserve">with MH </w:t>
            </w:r>
            <w:proofErr w:type="spellStart"/>
            <w:r>
              <w:rPr>
                <w:w w:val="105"/>
                <w:sz w:val="31"/>
                <w:szCs w:val="31"/>
              </w:rPr>
              <w:t>Dx</w:t>
            </w:r>
            <w:proofErr w:type="spellEnd"/>
            <w:r>
              <w:rPr>
                <w:w w:val="105"/>
                <w:sz w:val="31"/>
                <w:szCs w:val="31"/>
              </w:rPr>
              <w:t xml:space="preserve"> or Substance</w:t>
            </w:r>
            <w:r>
              <w:rPr>
                <w:spacing w:val="-74"/>
                <w:w w:val="105"/>
                <w:sz w:val="31"/>
                <w:szCs w:val="31"/>
              </w:rPr>
              <w:t xml:space="preserve"> </w:t>
            </w:r>
            <w:r>
              <w:rPr>
                <w:spacing w:val="2"/>
                <w:w w:val="105"/>
                <w:sz w:val="31"/>
                <w:szCs w:val="31"/>
              </w:rPr>
              <w:t>Abuse</w:t>
            </w:r>
          </w:p>
        </w:tc>
        <w:tc>
          <w:tcPr>
            <w:tcW w:w="2171" w:type="dxa"/>
            <w:tcBorders>
              <w:top w:val="single" w:sz="2" w:space="0" w:color="000000"/>
              <w:left w:val="single" w:sz="10" w:space="0" w:color="000000"/>
              <w:bottom w:val="single" w:sz="8" w:space="0" w:color="000000"/>
              <w:right w:val="single" w:sz="8" w:space="0" w:color="000000"/>
            </w:tcBorders>
          </w:tcPr>
          <w:p w:rsidR="002C5025" w:rsidRDefault="002C5025">
            <w:pPr>
              <w:pStyle w:val="TableParagraph"/>
              <w:kinsoku w:val="0"/>
              <w:overflowPunct w:val="0"/>
              <w:spacing w:before="124"/>
              <w:ind w:left="712"/>
              <w:rPr>
                <w:rFonts w:ascii="Times New Roman" w:hAnsi="Times New Roman" w:cs="Times New Roman"/>
              </w:rPr>
            </w:pPr>
            <w:r>
              <w:rPr>
                <w:w w:val="105"/>
                <w:sz w:val="31"/>
                <w:szCs w:val="31"/>
              </w:rPr>
              <w:t>2003</w:t>
            </w:r>
          </w:p>
        </w:tc>
        <w:tc>
          <w:tcPr>
            <w:tcW w:w="1873" w:type="dxa"/>
            <w:tcBorders>
              <w:top w:val="single" w:sz="2" w:space="0" w:color="000000"/>
              <w:left w:val="single" w:sz="8" w:space="0" w:color="000000"/>
              <w:bottom w:val="single" w:sz="8" w:space="0" w:color="000000"/>
              <w:right w:val="nil"/>
            </w:tcBorders>
          </w:tcPr>
          <w:p w:rsidR="002C5025" w:rsidRDefault="002C5025">
            <w:pPr>
              <w:pStyle w:val="TableParagraph"/>
              <w:kinsoku w:val="0"/>
              <w:overflowPunct w:val="0"/>
              <w:spacing w:before="131"/>
              <w:ind w:left="527" w:right="536"/>
              <w:jc w:val="center"/>
              <w:rPr>
                <w:rFonts w:ascii="Times New Roman" w:hAnsi="Times New Roman" w:cs="Times New Roman"/>
              </w:rPr>
            </w:pPr>
            <w:r>
              <w:rPr>
                <w:w w:val="110"/>
                <w:sz w:val="31"/>
                <w:szCs w:val="31"/>
              </w:rPr>
              <w:t>2016</w:t>
            </w:r>
          </w:p>
        </w:tc>
      </w:tr>
      <w:tr w:rsidR="002C5025">
        <w:trPr>
          <w:trHeight w:hRule="exact" w:val="581"/>
        </w:trPr>
        <w:tc>
          <w:tcPr>
            <w:tcW w:w="5091" w:type="dxa"/>
            <w:tcBorders>
              <w:top w:val="single" w:sz="8" w:space="0" w:color="000000"/>
              <w:left w:val="single" w:sz="2" w:space="0" w:color="000000"/>
              <w:bottom w:val="single" w:sz="8" w:space="0" w:color="000000"/>
              <w:right w:val="single" w:sz="10" w:space="0" w:color="000000"/>
            </w:tcBorders>
          </w:tcPr>
          <w:p w:rsidR="002C5025" w:rsidRDefault="002C5025">
            <w:pPr>
              <w:pStyle w:val="TableParagraph"/>
              <w:kinsoku w:val="0"/>
              <w:overflowPunct w:val="0"/>
              <w:spacing w:before="98"/>
              <w:ind w:left="218"/>
              <w:rPr>
                <w:rFonts w:ascii="Times New Roman" w:hAnsi="Times New Roman" w:cs="Times New Roman"/>
              </w:rPr>
            </w:pPr>
            <w:r>
              <w:rPr>
                <w:w w:val="105"/>
                <w:sz w:val="31"/>
                <w:szCs w:val="31"/>
              </w:rPr>
              <w:t>Mental Health Diagnosis</w:t>
            </w:r>
          </w:p>
        </w:tc>
        <w:tc>
          <w:tcPr>
            <w:tcW w:w="2171" w:type="dxa"/>
            <w:tcBorders>
              <w:top w:val="single" w:sz="8" w:space="0" w:color="000000"/>
              <w:left w:val="single" w:sz="10" w:space="0" w:color="000000"/>
              <w:bottom w:val="single" w:sz="8" w:space="0" w:color="000000"/>
              <w:right w:val="single" w:sz="8" w:space="0" w:color="000000"/>
            </w:tcBorders>
          </w:tcPr>
          <w:p w:rsidR="002C5025" w:rsidRDefault="002C5025">
            <w:pPr>
              <w:pStyle w:val="TableParagraph"/>
              <w:kinsoku w:val="0"/>
              <w:overflowPunct w:val="0"/>
              <w:spacing w:before="98"/>
              <w:ind w:left="765"/>
              <w:rPr>
                <w:rFonts w:ascii="Times New Roman" w:hAnsi="Times New Roman" w:cs="Times New Roman"/>
              </w:rPr>
            </w:pPr>
            <w:r>
              <w:rPr>
                <w:sz w:val="31"/>
                <w:szCs w:val="31"/>
              </w:rPr>
              <w:t>27%</w:t>
            </w:r>
          </w:p>
        </w:tc>
        <w:tc>
          <w:tcPr>
            <w:tcW w:w="1873" w:type="dxa"/>
            <w:tcBorders>
              <w:top w:val="single" w:sz="8" w:space="0" w:color="000000"/>
              <w:left w:val="single" w:sz="8" w:space="0" w:color="000000"/>
              <w:bottom w:val="single" w:sz="8" w:space="0" w:color="000000"/>
              <w:right w:val="nil"/>
            </w:tcBorders>
          </w:tcPr>
          <w:p w:rsidR="002C5025" w:rsidRDefault="002C5025">
            <w:pPr>
              <w:pStyle w:val="TableParagraph"/>
              <w:kinsoku w:val="0"/>
              <w:overflowPunct w:val="0"/>
              <w:spacing w:before="112"/>
              <w:ind w:left="516" w:right="536"/>
              <w:jc w:val="center"/>
              <w:rPr>
                <w:rFonts w:ascii="Times New Roman" w:hAnsi="Times New Roman" w:cs="Times New Roman"/>
              </w:rPr>
            </w:pPr>
            <w:r>
              <w:rPr>
                <w:sz w:val="31"/>
                <w:szCs w:val="31"/>
              </w:rPr>
              <w:t>77%</w:t>
            </w:r>
          </w:p>
        </w:tc>
      </w:tr>
      <w:tr w:rsidR="002C5025">
        <w:trPr>
          <w:trHeight w:hRule="exact" w:val="616"/>
        </w:trPr>
        <w:tc>
          <w:tcPr>
            <w:tcW w:w="5091" w:type="dxa"/>
            <w:tcBorders>
              <w:top w:val="single" w:sz="8" w:space="0" w:color="000000"/>
              <w:left w:val="single" w:sz="2" w:space="0" w:color="000000"/>
              <w:bottom w:val="single" w:sz="2" w:space="0" w:color="000000"/>
              <w:right w:val="single" w:sz="10" w:space="0" w:color="000000"/>
            </w:tcBorders>
          </w:tcPr>
          <w:p w:rsidR="002C5025" w:rsidRDefault="002C5025">
            <w:pPr>
              <w:pStyle w:val="TableParagraph"/>
              <w:kinsoku w:val="0"/>
              <w:overflowPunct w:val="0"/>
              <w:spacing w:before="88"/>
              <w:ind w:left="196"/>
              <w:rPr>
                <w:rFonts w:ascii="Times New Roman" w:hAnsi="Times New Roman" w:cs="Times New Roman"/>
              </w:rPr>
            </w:pPr>
            <w:r>
              <w:rPr>
                <w:sz w:val="31"/>
                <w:szCs w:val="31"/>
              </w:rPr>
              <w:t>Substance Abuse</w:t>
            </w:r>
          </w:p>
        </w:tc>
        <w:tc>
          <w:tcPr>
            <w:tcW w:w="2171" w:type="dxa"/>
            <w:tcBorders>
              <w:top w:val="single" w:sz="8" w:space="0" w:color="000000"/>
              <w:left w:val="single" w:sz="10" w:space="0" w:color="000000"/>
              <w:bottom w:val="single" w:sz="2" w:space="0" w:color="000000"/>
              <w:right w:val="single" w:sz="8" w:space="0" w:color="000000"/>
            </w:tcBorders>
          </w:tcPr>
          <w:p w:rsidR="002C5025" w:rsidRDefault="002C5025">
            <w:pPr>
              <w:pStyle w:val="TableParagraph"/>
              <w:kinsoku w:val="0"/>
              <w:overflowPunct w:val="0"/>
              <w:spacing w:before="95"/>
              <w:ind w:left="770"/>
              <w:rPr>
                <w:rFonts w:ascii="Times New Roman" w:hAnsi="Times New Roman" w:cs="Times New Roman"/>
              </w:rPr>
            </w:pPr>
            <w:r>
              <w:rPr>
                <w:w w:val="110"/>
                <w:sz w:val="31"/>
                <w:szCs w:val="31"/>
              </w:rPr>
              <w:t>31%</w:t>
            </w:r>
          </w:p>
        </w:tc>
        <w:tc>
          <w:tcPr>
            <w:tcW w:w="1873" w:type="dxa"/>
            <w:tcBorders>
              <w:top w:val="single" w:sz="8" w:space="0" w:color="000000"/>
              <w:left w:val="single" w:sz="8" w:space="0" w:color="000000"/>
              <w:bottom w:val="nil"/>
              <w:right w:val="nil"/>
            </w:tcBorders>
          </w:tcPr>
          <w:p w:rsidR="002C5025" w:rsidRDefault="002C5025">
            <w:pPr>
              <w:pStyle w:val="TableParagraph"/>
              <w:kinsoku w:val="0"/>
              <w:overflowPunct w:val="0"/>
              <w:spacing w:before="110"/>
              <w:ind w:left="517" w:right="536"/>
              <w:jc w:val="center"/>
              <w:rPr>
                <w:rFonts w:ascii="Times New Roman" w:hAnsi="Times New Roman" w:cs="Times New Roman"/>
              </w:rPr>
            </w:pPr>
            <w:r>
              <w:rPr>
                <w:sz w:val="31"/>
                <w:szCs w:val="31"/>
              </w:rPr>
              <w:t>62%</w:t>
            </w:r>
          </w:p>
        </w:tc>
      </w:tr>
    </w:tbl>
    <w:p w:rsidR="002C5025" w:rsidRDefault="002C5025">
      <w:pPr>
        <w:sectPr w:rsidR="002C5025">
          <w:pgSz w:w="15840" w:h="12240" w:orient="landscape"/>
          <w:pgMar w:top="1060" w:right="460" w:bottom="280" w:left="600" w:header="720" w:footer="720" w:gutter="0"/>
          <w:cols w:space="720" w:equalWidth="0">
            <w:col w:w="14780"/>
          </w:cols>
          <w:noEndnote/>
        </w:sectPr>
      </w:pPr>
    </w:p>
    <w:p w:rsidR="002C5025" w:rsidRDefault="002C5025">
      <w:pPr>
        <w:pStyle w:val="BodyText"/>
        <w:kinsoku w:val="0"/>
        <w:overflowPunct w:val="0"/>
        <w:rPr>
          <w:rFonts w:ascii="Arial" w:hAnsi="Arial" w:cs="Arial"/>
          <w:b/>
          <w:bCs/>
          <w:sz w:val="20"/>
          <w:szCs w:val="20"/>
        </w:rPr>
      </w:pPr>
    </w:p>
    <w:p w:rsidR="002C5025" w:rsidRDefault="002C5025">
      <w:pPr>
        <w:pStyle w:val="BodyText"/>
        <w:kinsoku w:val="0"/>
        <w:overflowPunct w:val="0"/>
        <w:rPr>
          <w:rFonts w:ascii="Arial" w:hAnsi="Arial" w:cs="Arial"/>
          <w:b/>
          <w:bCs/>
          <w:sz w:val="20"/>
          <w:szCs w:val="20"/>
        </w:rPr>
      </w:pPr>
    </w:p>
    <w:p w:rsidR="002C5025" w:rsidRDefault="002C5025">
      <w:pPr>
        <w:pStyle w:val="BodyText"/>
        <w:kinsoku w:val="0"/>
        <w:overflowPunct w:val="0"/>
        <w:rPr>
          <w:rFonts w:ascii="Arial" w:hAnsi="Arial" w:cs="Arial"/>
          <w:b/>
          <w:bCs/>
          <w:sz w:val="20"/>
          <w:szCs w:val="20"/>
        </w:rPr>
      </w:pPr>
    </w:p>
    <w:p w:rsidR="002C5025" w:rsidRDefault="002C5025">
      <w:pPr>
        <w:pStyle w:val="BodyText"/>
        <w:kinsoku w:val="0"/>
        <w:overflowPunct w:val="0"/>
        <w:rPr>
          <w:rFonts w:ascii="Arial" w:hAnsi="Arial" w:cs="Arial"/>
          <w:b/>
          <w:bCs/>
          <w:sz w:val="20"/>
          <w:szCs w:val="20"/>
        </w:rPr>
      </w:pPr>
    </w:p>
    <w:p w:rsidR="002C5025" w:rsidRDefault="002C5025">
      <w:pPr>
        <w:pStyle w:val="BodyText"/>
        <w:kinsoku w:val="0"/>
        <w:overflowPunct w:val="0"/>
        <w:rPr>
          <w:rFonts w:ascii="Arial" w:hAnsi="Arial" w:cs="Arial"/>
          <w:b/>
          <w:bCs/>
          <w:sz w:val="20"/>
          <w:szCs w:val="20"/>
        </w:rPr>
      </w:pPr>
    </w:p>
    <w:p w:rsidR="002C5025" w:rsidRDefault="002C5025">
      <w:pPr>
        <w:pStyle w:val="BodyText"/>
        <w:kinsoku w:val="0"/>
        <w:overflowPunct w:val="0"/>
        <w:rPr>
          <w:rFonts w:ascii="Arial" w:hAnsi="Arial" w:cs="Arial"/>
          <w:b/>
          <w:bCs/>
          <w:sz w:val="20"/>
          <w:szCs w:val="20"/>
        </w:rPr>
      </w:pPr>
    </w:p>
    <w:p w:rsidR="002C5025" w:rsidRDefault="002C5025">
      <w:pPr>
        <w:pStyle w:val="BodyText"/>
        <w:kinsoku w:val="0"/>
        <w:overflowPunct w:val="0"/>
        <w:rPr>
          <w:rFonts w:ascii="Arial" w:hAnsi="Arial" w:cs="Arial"/>
          <w:b/>
          <w:bCs/>
          <w:sz w:val="20"/>
          <w:szCs w:val="20"/>
        </w:rPr>
      </w:pPr>
    </w:p>
    <w:p w:rsidR="002C5025" w:rsidRDefault="002C5025">
      <w:pPr>
        <w:pStyle w:val="BodyText"/>
        <w:kinsoku w:val="0"/>
        <w:overflowPunct w:val="0"/>
        <w:rPr>
          <w:rFonts w:ascii="Arial" w:hAnsi="Arial" w:cs="Arial"/>
          <w:b/>
          <w:bCs/>
          <w:sz w:val="20"/>
          <w:szCs w:val="20"/>
        </w:rPr>
      </w:pPr>
    </w:p>
    <w:p w:rsidR="002C5025" w:rsidRDefault="002C5025">
      <w:pPr>
        <w:pStyle w:val="BodyText"/>
        <w:kinsoku w:val="0"/>
        <w:overflowPunct w:val="0"/>
        <w:rPr>
          <w:rFonts w:ascii="Arial" w:hAnsi="Arial" w:cs="Arial"/>
          <w:b/>
          <w:bCs/>
          <w:sz w:val="20"/>
          <w:szCs w:val="20"/>
        </w:rPr>
      </w:pPr>
    </w:p>
    <w:p w:rsidR="002C5025" w:rsidRDefault="002C5025">
      <w:pPr>
        <w:pStyle w:val="BodyText"/>
        <w:kinsoku w:val="0"/>
        <w:overflowPunct w:val="0"/>
        <w:rPr>
          <w:rFonts w:ascii="Arial" w:hAnsi="Arial" w:cs="Arial"/>
          <w:b/>
          <w:bCs/>
          <w:sz w:val="20"/>
          <w:szCs w:val="20"/>
        </w:rPr>
      </w:pPr>
    </w:p>
    <w:p w:rsidR="002C5025" w:rsidRDefault="002C5025">
      <w:pPr>
        <w:pStyle w:val="BodyText"/>
        <w:kinsoku w:val="0"/>
        <w:overflowPunct w:val="0"/>
        <w:rPr>
          <w:rFonts w:ascii="Arial" w:hAnsi="Arial" w:cs="Arial"/>
          <w:b/>
          <w:bCs/>
          <w:sz w:val="20"/>
          <w:szCs w:val="20"/>
        </w:rPr>
      </w:pPr>
    </w:p>
    <w:p w:rsidR="002C5025" w:rsidRDefault="002C5025">
      <w:pPr>
        <w:pStyle w:val="BodyText"/>
        <w:kinsoku w:val="0"/>
        <w:overflowPunct w:val="0"/>
        <w:rPr>
          <w:rFonts w:ascii="Arial" w:hAnsi="Arial" w:cs="Arial"/>
          <w:b/>
          <w:bCs/>
          <w:sz w:val="20"/>
          <w:szCs w:val="20"/>
        </w:rPr>
      </w:pPr>
    </w:p>
    <w:p w:rsidR="002C5025" w:rsidRDefault="002C5025">
      <w:pPr>
        <w:pStyle w:val="BodyText"/>
        <w:kinsoku w:val="0"/>
        <w:overflowPunct w:val="0"/>
        <w:rPr>
          <w:rFonts w:ascii="Arial" w:hAnsi="Arial" w:cs="Arial"/>
          <w:b/>
          <w:bCs/>
          <w:sz w:val="20"/>
          <w:szCs w:val="20"/>
        </w:rPr>
      </w:pPr>
    </w:p>
    <w:p w:rsidR="002C5025" w:rsidRDefault="002C5025">
      <w:pPr>
        <w:pStyle w:val="BodyText"/>
        <w:kinsoku w:val="0"/>
        <w:overflowPunct w:val="0"/>
        <w:rPr>
          <w:rFonts w:ascii="Arial" w:hAnsi="Arial" w:cs="Arial"/>
          <w:b/>
          <w:bCs/>
          <w:sz w:val="20"/>
          <w:szCs w:val="20"/>
        </w:rPr>
      </w:pPr>
    </w:p>
    <w:p w:rsidR="002C5025" w:rsidRDefault="002C5025">
      <w:pPr>
        <w:pStyle w:val="BodyText"/>
        <w:kinsoku w:val="0"/>
        <w:overflowPunct w:val="0"/>
        <w:rPr>
          <w:rFonts w:ascii="Arial" w:hAnsi="Arial" w:cs="Arial"/>
          <w:b/>
          <w:bCs/>
          <w:sz w:val="20"/>
          <w:szCs w:val="20"/>
        </w:rPr>
      </w:pPr>
    </w:p>
    <w:p w:rsidR="002C5025" w:rsidRDefault="002C5025">
      <w:pPr>
        <w:pStyle w:val="BodyText"/>
        <w:kinsoku w:val="0"/>
        <w:overflowPunct w:val="0"/>
        <w:rPr>
          <w:rFonts w:ascii="Arial" w:hAnsi="Arial" w:cs="Arial"/>
          <w:b/>
          <w:bCs/>
          <w:sz w:val="20"/>
          <w:szCs w:val="20"/>
        </w:rPr>
      </w:pPr>
    </w:p>
    <w:p w:rsidR="002C5025" w:rsidRDefault="002C5025">
      <w:pPr>
        <w:pStyle w:val="BodyText"/>
        <w:kinsoku w:val="0"/>
        <w:overflowPunct w:val="0"/>
        <w:rPr>
          <w:rFonts w:ascii="Arial" w:hAnsi="Arial" w:cs="Arial"/>
          <w:b/>
          <w:bCs/>
          <w:sz w:val="20"/>
          <w:szCs w:val="20"/>
        </w:rPr>
      </w:pPr>
    </w:p>
    <w:p w:rsidR="002C5025" w:rsidRDefault="002C5025">
      <w:pPr>
        <w:pStyle w:val="BodyText"/>
        <w:kinsoku w:val="0"/>
        <w:overflowPunct w:val="0"/>
        <w:rPr>
          <w:rFonts w:ascii="Arial" w:hAnsi="Arial" w:cs="Arial"/>
          <w:b/>
          <w:bCs/>
          <w:sz w:val="20"/>
          <w:szCs w:val="20"/>
        </w:rPr>
      </w:pPr>
    </w:p>
    <w:p w:rsidR="002C5025" w:rsidRDefault="002C5025">
      <w:pPr>
        <w:pStyle w:val="BodyText"/>
        <w:kinsoku w:val="0"/>
        <w:overflowPunct w:val="0"/>
        <w:rPr>
          <w:rFonts w:ascii="Arial" w:hAnsi="Arial" w:cs="Arial"/>
          <w:b/>
          <w:bCs/>
          <w:sz w:val="20"/>
          <w:szCs w:val="20"/>
        </w:rPr>
      </w:pPr>
    </w:p>
    <w:p w:rsidR="002C5025" w:rsidRDefault="002C5025">
      <w:pPr>
        <w:pStyle w:val="BodyText"/>
        <w:kinsoku w:val="0"/>
        <w:overflowPunct w:val="0"/>
        <w:rPr>
          <w:rFonts w:ascii="Arial" w:hAnsi="Arial" w:cs="Arial"/>
          <w:b/>
          <w:bCs/>
          <w:sz w:val="20"/>
          <w:szCs w:val="20"/>
        </w:rPr>
      </w:pPr>
    </w:p>
    <w:p w:rsidR="002C5025" w:rsidRDefault="002C5025">
      <w:pPr>
        <w:pStyle w:val="BodyText"/>
        <w:kinsoku w:val="0"/>
        <w:overflowPunct w:val="0"/>
        <w:rPr>
          <w:rFonts w:ascii="Arial" w:hAnsi="Arial" w:cs="Arial"/>
          <w:b/>
          <w:bCs/>
          <w:sz w:val="20"/>
          <w:szCs w:val="20"/>
        </w:rPr>
      </w:pPr>
    </w:p>
    <w:p w:rsidR="002C5025" w:rsidRDefault="002C5025">
      <w:pPr>
        <w:pStyle w:val="BodyText"/>
        <w:kinsoku w:val="0"/>
        <w:overflowPunct w:val="0"/>
        <w:rPr>
          <w:rFonts w:ascii="Arial" w:hAnsi="Arial" w:cs="Arial"/>
          <w:b/>
          <w:bCs/>
          <w:sz w:val="20"/>
          <w:szCs w:val="20"/>
        </w:rPr>
      </w:pPr>
    </w:p>
    <w:p w:rsidR="002C5025" w:rsidRDefault="002C5025">
      <w:pPr>
        <w:pStyle w:val="BodyText"/>
        <w:kinsoku w:val="0"/>
        <w:overflowPunct w:val="0"/>
        <w:rPr>
          <w:rFonts w:ascii="Arial" w:hAnsi="Arial" w:cs="Arial"/>
          <w:b/>
          <w:bCs/>
          <w:sz w:val="20"/>
          <w:szCs w:val="20"/>
        </w:rPr>
      </w:pPr>
    </w:p>
    <w:p w:rsidR="002C5025" w:rsidRDefault="002C5025">
      <w:pPr>
        <w:pStyle w:val="BodyText"/>
        <w:kinsoku w:val="0"/>
        <w:overflowPunct w:val="0"/>
        <w:rPr>
          <w:rFonts w:ascii="Arial" w:hAnsi="Arial" w:cs="Arial"/>
          <w:b/>
          <w:bCs/>
          <w:sz w:val="20"/>
          <w:szCs w:val="20"/>
        </w:rPr>
      </w:pPr>
    </w:p>
    <w:p w:rsidR="002C5025" w:rsidRDefault="002C5025">
      <w:pPr>
        <w:pStyle w:val="BodyText"/>
        <w:kinsoku w:val="0"/>
        <w:overflowPunct w:val="0"/>
        <w:rPr>
          <w:rFonts w:ascii="Arial" w:hAnsi="Arial" w:cs="Arial"/>
          <w:b/>
          <w:bCs/>
          <w:sz w:val="20"/>
          <w:szCs w:val="20"/>
        </w:rPr>
      </w:pPr>
    </w:p>
    <w:p w:rsidR="002C5025" w:rsidRDefault="002C5025">
      <w:pPr>
        <w:pStyle w:val="BodyText"/>
        <w:kinsoku w:val="0"/>
        <w:overflowPunct w:val="0"/>
        <w:rPr>
          <w:rFonts w:ascii="Arial" w:hAnsi="Arial" w:cs="Arial"/>
          <w:b/>
          <w:bCs/>
          <w:sz w:val="20"/>
          <w:szCs w:val="20"/>
        </w:rPr>
      </w:pPr>
    </w:p>
    <w:p w:rsidR="002C5025" w:rsidRDefault="002C5025">
      <w:pPr>
        <w:pStyle w:val="BodyText"/>
        <w:kinsoku w:val="0"/>
        <w:overflowPunct w:val="0"/>
        <w:rPr>
          <w:rFonts w:ascii="Arial" w:hAnsi="Arial" w:cs="Arial"/>
          <w:b/>
          <w:bCs/>
          <w:sz w:val="20"/>
          <w:szCs w:val="20"/>
        </w:rPr>
      </w:pPr>
    </w:p>
    <w:p w:rsidR="002C5025" w:rsidRDefault="002C5025">
      <w:pPr>
        <w:pStyle w:val="BodyText"/>
        <w:kinsoku w:val="0"/>
        <w:overflowPunct w:val="0"/>
        <w:rPr>
          <w:rFonts w:ascii="Arial" w:hAnsi="Arial" w:cs="Arial"/>
          <w:b/>
          <w:bCs/>
          <w:sz w:val="20"/>
          <w:szCs w:val="20"/>
        </w:rPr>
      </w:pPr>
    </w:p>
    <w:p w:rsidR="002C5025" w:rsidRDefault="002C5025">
      <w:pPr>
        <w:pStyle w:val="BodyText"/>
        <w:kinsoku w:val="0"/>
        <w:overflowPunct w:val="0"/>
        <w:rPr>
          <w:rFonts w:ascii="Arial" w:hAnsi="Arial" w:cs="Arial"/>
          <w:b/>
          <w:bCs/>
          <w:sz w:val="20"/>
          <w:szCs w:val="20"/>
        </w:rPr>
      </w:pPr>
    </w:p>
    <w:p w:rsidR="002C5025" w:rsidRDefault="002C5025">
      <w:pPr>
        <w:pStyle w:val="BodyText"/>
        <w:kinsoku w:val="0"/>
        <w:overflowPunct w:val="0"/>
        <w:rPr>
          <w:rFonts w:ascii="Arial" w:hAnsi="Arial" w:cs="Arial"/>
          <w:b/>
          <w:bCs/>
          <w:sz w:val="20"/>
          <w:szCs w:val="20"/>
        </w:rPr>
      </w:pPr>
    </w:p>
    <w:p w:rsidR="002C5025" w:rsidRDefault="002C5025">
      <w:pPr>
        <w:pStyle w:val="BodyText"/>
        <w:kinsoku w:val="0"/>
        <w:overflowPunct w:val="0"/>
        <w:spacing w:before="3"/>
        <w:rPr>
          <w:rFonts w:ascii="Arial" w:hAnsi="Arial" w:cs="Arial"/>
          <w:b/>
          <w:bCs/>
          <w:sz w:val="29"/>
          <w:szCs w:val="29"/>
        </w:rPr>
      </w:pPr>
    </w:p>
    <w:p w:rsidR="002C5025" w:rsidRDefault="00FB027C">
      <w:pPr>
        <w:pStyle w:val="BodyText"/>
        <w:kinsoku w:val="0"/>
        <w:overflowPunct w:val="0"/>
        <w:spacing w:line="1562" w:lineRule="exact"/>
        <w:ind w:right="-73"/>
        <w:jc w:val="right"/>
        <w:rPr>
          <w:rFonts w:ascii="Arial" w:hAnsi="Arial" w:cs="Arial"/>
          <w:spacing w:val="-131"/>
          <w:w w:val="335"/>
          <w:sz w:val="143"/>
          <w:szCs w:val="143"/>
        </w:rPr>
      </w:pPr>
      <w:r>
        <w:rPr>
          <w:noProof/>
        </w:rPr>
        <mc:AlternateContent>
          <mc:Choice Requires="wps">
            <w:drawing>
              <wp:anchor distT="0" distB="0" distL="114300" distR="114300" simplePos="0" relativeHeight="251805184" behindDoc="0" locked="0" layoutInCell="0" allowOverlap="1">
                <wp:simplePos x="0" y="0"/>
                <wp:positionH relativeFrom="page">
                  <wp:posOffset>1252855</wp:posOffset>
                </wp:positionH>
                <wp:positionV relativeFrom="paragraph">
                  <wp:posOffset>-3317875</wp:posOffset>
                </wp:positionV>
                <wp:extent cx="7194550" cy="4761865"/>
                <wp:effectExtent l="0" t="0" r="0" b="0"/>
                <wp:wrapNone/>
                <wp:docPr id="59" name="Text Box 7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4550" cy="4761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447"/>
                              <w:gridCol w:w="2916"/>
                              <w:gridCol w:w="1767"/>
                              <w:gridCol w:w="1070"/>
                              <w:gridCol w:w="71"/>
                              <w:gridCol w:w="2322"/>
                              <w:gridCol w:w="62"/>
                              <w:gridCol w:w="1674"/>
                            </w:tblGrid>
                            <w:tr w:rsidR="007B2B7B">
                              <w:trPr>
                                <w:trHeight w:hRule="exact" w:val="1566"/>
                              </w:trPr>
                              <w:tc>
                                <w:tcPr>
                                  <w:tcW w:w="11329" w:type="dxa"/>
                                  <w:gridSpan w:val="8"/>
                                  <w:tcBorders>
                                    <w:top w:val="nil"/>
                                    <w:left w:val="nil"/>
                                    <w:bottom w:val="nil"/>
                                    <w:right w:val="nil"/>
                                  </w:tcBorders>
                                </w:tcPr>
                                <w:p w:rsidR="007B2B7B" w:rsidRDefault="007B2B7B">
                                  <w:pPr>
                                    <w:pStyle w:val="TableParagraph"/>
                                    <w:tabs>
                                      <w:tab w:val="left" w:pos="7509"/>
                                    </w:tabs>
                                    <w:kinsoku w:val="0"/>
                                    <w:overflowPunct w:val="0"/>
                                    <w:spacing w:before="143"/>
                                    <w:ind w:left="5975"/>
                                    <w:rPr>
                                      <w:w w:val="105"/>
                                      <w:position w:val="2"/>
                                      <w:sz w:val="21"/>
                                      <w:szCs w:val="21"/>
                                    </w:rPr>
                                  </w:pPr>
                                  <w:r>
                                    <w:rPr>
                                      <w:spacing w:val="-6"/>
                                      <w:w w:val="105"/>
                                      <w:sz w:val="21"/>
                                      <w:szCs w:val="21"/>
                                    </w:rPr>
                                    <w:t>Hospital</w:t>
                                  </w:r>
                                  <w:r>
                                    <w:rPr>
                                      <w:spacing w:val="29"/>
                                      <w:w w:val="105"/>
                                      <w:sz w:val="21"/>
                                      <w:szCs w:val="21"/>
                                    </w:rPr>
                                    <w:t xml:space="preserve"> </w:t>
                                  </w:r>
                                  <w:r>
                                    <w:rPr>
                                      <w:w w:val="105"/>
                                      <w:sz w:val="21"/>
                                      <w:szCs w:val="21"/>
                                    </w:rPr>
                                    <w:t>ED</w:t>
                                  </w:r>
                                  <w:r>
                                    <w:rPr>
                                      <w:w w:val="105"/>
                                      <w:sz w:val="21"/>
                                      <w:szCs w:val="21"/>
                                    </w:rPr>
                                    <w:tab/>
                                  </w:r>
                                  <w:r>
                                    <w:rPr>
                                      <w:w w:val="105"/>
                                      <w:position w:val="2"/>
                                      <w:sz w:val="21"/>
                                      <w:szCs w:val="21"/>
                                    </w:rPr>
                                    <w:t>COST</w:t>
                                  </w:r>
                                  <w:r>
                                    <w:rPr>
                                      <w:spacing w:val="-38"/>
                                      <w:w w:val="105"/>
                                      <w:position w:val="2"/>
                                      <w:sz w:val="21"/>
                                      <w:szCs w:val="21"/>
                                    </w:rPr>
                                    <w:t xml:space="preserve"> </w:t>
                                  </w:r>
                                  <w:r>
                                    <w:rPr>
                                      <w:w w:val="105"/>
                                      <w:position w:val="2"/>
                                      <w:sz w:val="21"/>
                                      <w:szCs w:val="21"/>
                                    </w:rPr>
                                    <w:t>based</w:t>
                                  </w:r>
                                  <w:r>
                                    <w:rPr>
                                      <w:spacing w:val="-38"/>
                                      <w:w w:val="105"/>
                                      <w:position w:val="2"/>
                                      <w:sz w:val="21"/>
                                      <w:szCs w:val="21"/>
                                    </w:rPr>
                                    <w:t xml:space="preserve"> </w:t>
                                  </w:r>
                                  <w:r>
                                    <w:rPr>
                                      <w:w w:val="105"/>
                                      <w:position w:val="2"/>
                                      <w:sz w:val="21"/>
                                      <w:szCs w:val="21"/>
                                    </w:rPr>
                                    <w:t>on</w:t>
                                  </w:r>
                                  <w:r>
                                    <w:rPr>
                                      <w:spacing w:val="-40"/>
                                      <w:w w:val="105"/>
                                      <w:position w:val="2"/>
                                      <w:sz w:val="21"/>
                                      <w:szCs w:val="21"/>
                                    </w:rPr>
                                    <w:t xml:space="preserve"> </w:t>
                                  </w:r>
                                  <w:r>
                                    <w:rPr>
                                      <w:w w:val="105"/>
                                      <w:position w:val="2"/>
                                      <w:sz w:val="21"/>
                                      <w:szCs w:val="21"/>
                                    </w:rPr>
                                    <w:t>an</w:t>
                                  </w:r>
                                </w:p>
                                <w:p w:rsidR="007B2B7B" w:rsidRDefault="007B2B7B">
                                  <w:pPr>
                                    <w:pStyle w:val="TableParagraph"/>
                                    <w:tabs>
                                      <w:tab w:val="left" w:pos="962"/>
                                      <w:tab w:val="left" w:pos="2082"/>
                                      <w:tab w:val="left" w:pos="6018"/>
                                      <w:tab w:val="left" w:pos="7357"/>
                                      <w:tab w:val="left" w:pos="10144"/>
                                    </w:tabs>
                                    <w:kinsoku w:val="0"/>
                                    <w:overflowPunct w:val="0"/>
                                    <w:spacing w:before="26"/>
                                    <w:ind w:left="129"/>
                                    <w:rPr>
                                      <w:rFonts w:ascii="Times New Roman" w:hAnsi="Times New Roman" w:cs="Times New Roman"/>
                                      <w:w w:val="96"/>
                                      <w:position w:val="5"/>
                                      <w:sz w:val="23"/>
                                      <w:szCs w:val="23"/>
                                    </w:rPr>
                                  </w:pPr>
                                  <w:r>
                                    <w:rPr>
                                      <w:spacing w:val="1"/>
                                      <w:w w:val="103"/>
                                      <w:sz w:val="21"/>
                                      <w:szCs w:val="21"/>
                                    </w:rPr>
                                    <w:t>Gue</w:t>
                                  </w:r>
                                  <w:r>
                                    <w:rPr>
                                      <w:spacing w:val="2"/>
                                      <w:w w:val="103"/>
                                      <w:sz w:val="21"/>
                                      <w:szCs w:val="21"/>
                                    </w:rPr>
                                    <w:t>s</w:t>
                                  </w:r>
                                  <w:r>
                                    <w:rPr>
                                      <w:w w:val="103"/>
                                      <w:sz w:val="21"/>
                                      <w:szCs w:val="21"/>
                                    </w:rPr>
                                    <w:t>t</w:t>
                                  </w:r>
                                  <w:r>
                                    <w:rPr>
                                      <w:sz w:val="21"/>
                                      <w:szCs w:val="21"/>
                                    </w:rPr>
                                    <w:tab/>
                                  </w:r>
                                  <w:r>
                                    <w:rPr>
                                      <w:spacing w:val="1"/>
                                      <w:w w:val="103"/>
                                      <w:sz w:val="21"/>
                                      <w:szCs w:val="21"/>
                                    </w:rPr>
                                    <w:t>Nam</w:t>
                                  </w:r>
                                  <w:r>
                                    <w:rPr>
                                      <w:w w:val="103"/>
                                      <w:sz w:val="21"/>
                                      <w:szCs w:val="21"/>
                                    </w:rPr>
                                    <w:t>e</w:t>
                                  </w:r>
                                  <w:r>
                                    <w:rPr>
                                      <w:sz w:val="21"/>
                                      <w:szCs w:val="21"/>
                                    </w:rPr>
                                    <w:tab/>
                                  </w:r>
                                  <w:r>
                                    <w:rPr>
                                      <w:w w:val="103"/>
                                      <w:sz w:val="26"/>
                                      <w:szCs w:val="26"/>
                                    </w:rPr>
                                    <w:t>l</w:t>
                                  </w:r>
                                  <w:r>
                                    <w:rPr>
                                      <w:spacing w:val="4"/>
                                      <w:sz w:val="26"/>
                                      <w:szCs w:val="26"/>
                                    </w:rPr>
                                    <w:t xml:space="preserve"> </w:t>
                                  </w:r>
                                  <w:proofErr w:type="spellStart"/>
                                  <w:r>
                                    <w:rPr>
                                      <w:w w:val="103"/>
                                      <w:sz w:val="26"/>
                                      <w:szCs w:val="26"/>
                                    </w:rPr>
                                    <w:t>l</w:t>
                                  </w:r>
                                  <w:r>
                                    <w:rPr>
                                      <w:spacing w:val="2"/>
                                      <w:w w:val="103"/>
                                      <w:sz w:val="26"/>
                                      <w:szCs w:val="26"/>
                                    </w:rPr>
                                    <w:t>l</w:t>
                                  </w:r>
                                  <w:r>
                                    <w:rPr>
                                      <w:w w:val="103"/>
                                      <w:sz w:val="26"/>
                                      <w:szCs w:val="26"/>
                                    </w:rPr>
                                    <w:t>ll</w:t>
                                  </w:r>
                                  <w:r>
                                    <w:rPr>
                                      <w:spacing w:val="2"/>
                                      <w:w w:val="103"/>
                                      <w:sz w:val="26"/>
                                      <w:szCs w:val="26"/>
                                    </w:rPr>
                                    <w:t>l</w:t>
                                  </w:r>
                                  <w:r>
                                    <w:rPr>
                                      <w:spacing w:val="-6"/>
                                      <w:w w:val="103"/>
                                      <w:sz w:val="26"/>
                                      <w:szCs w:val="26"/>
                                    </w:rPr>
                                    <w:t>J</w:t>
                                  </w:r>
                                  <w:r>
                                    <w:rPr>
                                      <w:spacing w:val="-56"/>
                                      <w:w w:val="103"/>
                                      <w:sz w:val="26"/>
                                      <w:szCs w:val="26"/>
                                    </w:rPr>
                                    <w:t>l</w:t>
                                  </w:r>
                                  <w:proofErr w:type="spellEnd"/>
                                  <w:r>
                                    <w:rPr>
                                      <w:spacing w:val="-11"/>
                                      <w:w w:val="103"/>
                                      <w:sz w:val="26"/>
                                      <w:szCs w:val="26"/>
                                    </w:rPr>
                                    <w:t>_</w:t>
                                  </w:r>
                                  <w:r>
                                    <w:rPr>
                                      <w:spacing w:val="-37"/>
                                      <w:w w:val="103"/>
                                      <w:sz w:val="26"/>
                                      <w:szCs w:val="26"/>
                                    </w:rPr>
                                    <w:t>.</w:t>
                                  </w:r>
                                  <w:proofErr w:type="spellStart"/>
                                  <w:r>
                                    <w:rPr>
                                      <w:spacing w:val="1"/>
                                      <w:w w:val="103"/>
                                      <w:sz w:val="26"/>
                                      <w:szCs w:val="26"/>
                                    </w:rPr>
                                    <w:t>J</w:t>
                                  </w:r>
                                  <w:r>
                                    <w:rPr>
                                      <w:w w:val="103"/>
                                      <w:sz w:val="26"/>
                                      <w:szCs w:val="26"/>
                                    </w:rPr>
                                    <w:t>l</w:t>
                                  </w:r>
                                  <w:r>
                                    <w:rPr>
                                      <w:spacing w:val="-3"/>
                                      <w:w w:val="103"/>
                                      <w:sz w:val="26"/>
                                      <w:szCs w:val="26"/>
                                    </w:rPr>
                                    <w:t>l</w:t>
                                  </w:r>
                                  <w:r>
                                    <w:rPr>
                                      <w:spacing w:val="-27"/>
                                      <w:w w:val="103"/>
                                      <w:sz w:val="26"/>
                                      <w:szCs w:val="26"/>
                                    </w:rPr>
                                    <w:t>l</w:t>
                                  </w:r>
                                  <w:r>
                                    <w:rPr>
                                      <w:spacing w:val="-1"/>
                                      <w:w w:val="103"/>
                                      <w:sz w:val="26"/>
                                      <w:szCs w:val="26"/>
                                    </w:rPr>
                                    <w:t>f</w:t>
                                  </w:r>
                                  <w:r>
                                    <w:rPr>
                                      <w:spacing w:val="-11"/>
                                      <w:w w:val="103"/>
                                      <w:sz w:val="26"/>
                                      <w:szCs w:val="26"/>
                                    </w:rPr>
                                    <w:t>.</w:t>
                                  </w:r>
                                  <w:r>
                                    <w:rPr>
                                      <w:spacing w:val="23"/>
                                      <w:w w:val="103"/>
                                      <w:sz w:val="26"/>
                                      <w:szCs w:val="26"/>
                                    </w:rPr>
                                    <w:t>J</w:t>
                                  </w:r>
                                  <w:r>
                                    <w:rPr>
                                      <w:spacing w:val="-53"/>
                                      <w:w w:val="103"/>
                                      <w:sz w:val="26"/>
                                      <w:szCs w:val="26"/>
                                    </w:rPr>
                                    <w:t>m</w:t>
                                  </w:r>
                                  <w:r>
                                    <w:rPr>
                                      <w:spacing w:val="-8"/>
                                      <w:w w:val="103"/>
                                      <w:sz w:val="26"/>
                                      <w:szCs w:val="26"/>
                                    </w:rPr>
                                    <w:t>l</w:t>
                                  </w:r>
                                  <w:r>
                                    <w:rPr>
                                      <w:w w:val="103"/>
                                      <w:sz w:val="26"/>
                                      <w:szCs w:val="26"/>
                                    </w:rPr>
                                    <w:t>l</w:t>
                                  </w:r>
                                  <w:r>
                                    <w:rPr>
                                      <w:spacing w:val="-8"/>
                                      <w:w w:val="103"/>
                                      <w:sz w:val="26"/>
                                      <w:szCs w:val="26"/>
                                    </w:rPr>
                                    <w:t>l</w:t>
                                  </w:r>
                                  <w:r>
                                    <w:rPr>
                                      <w:spacing w:val="-169"/>
                                      <w:w w:val="103"/>
                                      <w:sz w:val="26"/>
                                      <w:szCs w:val="26"/>
                                    </w:rPr>
                                    <w:t>C</w:t>
                                  </w:r>
                                  <w:r>
                                    <w:rPr>
                                      <w:spacing w:val="-12"/>
                                      <w:w w:val="103"/>
                                      <w:sz w:val="26"/>
                                      <w:szCs w:val="26"/>
                                    </w:rPr>
                                    <w:t>l</w:t>
                                  </w:r>
                                  <w:r>
                                    <w:rPr>
                                      <w:spacing w:val="2"/>
                                      <w:w w:val="103"/>
                                      <w:sz w:val="26"/>
                                      <w:szCs w:val="26"/>
                                    </w:rPr>
                                    <w:t>i</w:t>
                                  </w:r>
                                  <w:proofErr w:type="spellEnd"/>
                                  <w:r>
                                    <w:rPr>
                                      <w:w w:val="103"/>
                                      <w:sz w:val="26"/>
                                      <w:szCs w:val="26"/>
                                    </w:rPr>
                                    <w:t>&gt;</w:t>
                                  </w:r>
                                  <w:proofErr w:type="spellStart"/>
                                  <w:r>
                                    <w:rPr>
                                      <w:w w:val="103"/>
                                      <w:sz w:val="26"/>
                                      <w:szCs w:val="26"/>
                                    </w:rPr>
                                    <w:t>i</w:t>
                                  </w:r>
                                  <w:r>
                                    <w:rPr>
                                      <w:spacing w:val="2"/>
                                      <w:w w:val="103"/>
                                      <w:sz w:val="26"/>
                                      <w:szCs w:val="26"/>
                                    </w:rPr>
                                    <w:t>i</w:t>
                                  </w:r>
                                  <w:r>
                                    <w:rPr>
                                      <w:spacing w:val="-1"/>
                                      <w:w w:val="103"/>
                                      <w:sz w:val="26"/>
                                      <w:szCs w:val="26"/>
                                    </w:rPr>
                                    <w:t>t</w:t>
                                  </w:r>
                                  <w:r>
                                    <w:rPr>
                                      <w:spacing w:val="-22"/>
                                      <w:w w:val="103"/>
                                      <w:sz w:val="26"/>
                                      <w:szCs w:val="26"/>
                                    </w:rPr>
                                    <w:t>l</w:t>
                                  </w:r>
                                  <w:r>
                                    <w:rPr>
                                      <w:w w:val="103"/>
                                      <w:sz w:val="26"/>
                                      <w:szCs w:val="26"/>
                                    </w:rPr>
                                    <w:t>l</w:t>
                                  </w:r>
                                  <w:proofErr w:type="spellEnd"/>
                                  <w:r>
                                    <w:rPr>
                                      <w:w w:val="103"/>
                                      <w:sz w:val="26"/>
                                      <w:szCs w:val="26"/>
                                    </w:rPr>
                                    <w:t>§</w:t>
                                  </w:r>
                                  <w:r>
                                    <w:rPr>
                                      <w:spacing w:val="5"/>
                                      <w:sz w:val="26"/>
                                      <w:szCs w:val="26"/>
                                    </w:rPr>
                                    <w:t xml:space="preserve"> </w:t>
                                  </w:r>
                                  <w:r>
                                    <w:rPr>
                                      <w:spacing w:val="-33"/>
                                      <w:w w:val="103"/>
                                      <w:sz w:val="26"/>
                                      <w:szCs w:val="26"/>
                                    </w:rPr>
                                    <w:t>'</w:t>
                                  </w:r>
                                  <w:proofErr w:type="spellStart"/>
                                  <w:r>
                                    <w:rPr>
                                      <w:w w:val="103"/>
                                      <w:sz w:val="26"/>
                                      <w:szCs w:val="26"/>
                                    </w:rPr>
                                    <w:t>i</w:t>
                                  </w:r>
                                  <w:proofErr w:type="spellEnd"/>
                                  <w:r>
                                    <w:rPr>
                                      <w:sz w:val="26"/>
                                      <w:szCs w:val="26"/>
                                    </w:rPr>
                                    <w:t xml:space="preserve"> </w:t>
                                  </w:r>
                                  <w:r>
                                    <w:rPr>
                                      <w:spacing w:val="-25"/>
                                      <w:sz w:val="26"/>
                                      <w:szCs w:val="26"/>
                                    </w:rPr>
                                    <w:t xml:space="preserve"> </w:t>
                                  </w:r>
                                  <w:r>
                                    <w:rPr>
                                      <w:w w:val="103"/>
                                      <w:sz w:val="26"/>
                                      <w:szCs w:val="26"/>
                                    </w:rPr>
                                    <w:t>l</w:t>
                                  </w:r>
                                  <w:r>
                                    <w:rPr>
                                      <w:spacing w:val="4"/>
                                      <w:sz w:val="26"/>
                                      <w:szCs w:val="26"/>
                                    </w:rPr>
                                    <w:t xml:space="preserve"> </w:t>
                                  </w:r>
                                  <w:proofErr w:type="spellStart"/>
                                  <w:r>
                                    <w:rPr>
                                      <w:spacing w:val="-1"/>
                                      <w:w w:val="103"/>
                                      <w:sz w:val="26"/>
                                      <w:szCs w:val="26"/>
                                    </w:rPr>
                                    <w:t>f</w:t>
                                  </w:r>
                                  <w:r>
                                    <w:rPr>
                                      <w:spacing w:val="1"/>
                                      <w:w w:val="103"/>
                                      <w:sz w:val="26"/>
                                      <w:szCs w:val="26"/>
                                    </w:rPr>
                                    <w:t>J</w:t>
                                  </w:r>
                                  <w:r>
                                    <w:rPr>
                                      <w:w w:val="103"/>
                                      <w:sz w:val="26"/>
                                      <w:szCs w:val="26"/>
                                    </w:rPr>
                                    <w:t>ill</w:t>
                                  </w:r>
                                  <w:proofErr w:type="spellEnd"/>
                                  <w:r>
                                    <w:rPr>
                                      <w:sz w:val="26"/>
                                      <w:szCs w:val="26"/>
                                    </w:rPr>
                                    <w:tab/>
                                  </w:r>
                                  <w:r>
                                    <w:rPr>
                                      <w:spacing w:val="1"/>
                                      <w:w w:val="103"/>
                                      <w:position w:val="4"/>
                                      <w:sz w:val="21"/>
                                      <w:szCs w:val="21"/>
                                    </w:rPr>
                                    <w:t>V</w:t>
                                  </w:r>
                                  <w:r>
                                    <w:rPr>
                                      <w:spacing w:val="2"/>
                                      <w:w w:val="103"/>
                                      <w:position w:val="4"/>
                                      <w:sz w:val="21"/>
                                      <w:szCs w:val="21"/>
                                    </w:rPr>
                                    <w:t>is</w:t>
                                  </w:r>
                                  <w:r>
                                    <w:rPr>
                                      <w:spacing w:val="-8"/>
                                      <w:w w:val="103"/>
                                      <w:position w:val="4"/>
                                      <w:sz w:val="21"/>
                                      <w:szCs w:val="21"/>
                                    </w:rPr>
                                    <w:t>i</w:t>
                                  </w:r>
                                  <w:r>
                                    <w:rPr>
                                      <w:spacing w:val="2"/>
                                      <w:w w:val="103"/>
                                      <w:position w:val="4"/>
                                      <w:sz w:val="21"/>
                                      <w:szCs w:val="21"/>
                                    </w:rPr>
                                    <w:t>t</w:t>
                                  </w:r>
                                  <w:r>
                                    <w:rPr>
                                      <w:w w:val="103"/>
                                      <w:position w:val="4"/>
                                      <w:sz w:val="21"/>
                                      <w:szCs w:val="21"/>
                                    </w:rPr>
                                    <w:t>s</w:t>
                                  </w:r>
                                  <w:r>
                                    <w:rPr>
                                      <w:spacing w:val="22"/>
                                      <w:position w:val="4"/>
                                      <w:sz w:val="21"/>
                                      <w:szCs w:val="21"/>
                                    </w:rPr>
                                    <w:t xml:space="preserve"> </w:t>
                                  </w:r>
                                  <w:r>
                                    <w:rPr>
                                      <w:spacing w:val="-1"/>
                                      <w:w w:val="103"/>
                                      <w:position w:val="4"/>
                                      <w:sz w:val="21"/>
                                      <w:szCs w:val="21"/>
                                    </w:rPr>
                                    <w:t>2</w:t>
                                  </w:r>
                                  <w:r>
                                    <w:rPr>
                                      <w:spacing w:val="2"/>
                                      <w:w w:val="103"/>
                                      <w:position w:val="4"/>
                                      <w:sz w:val="21"/>
                                      <w:szCs w:val="21"/>
                                    </w:rPr>
                                    <w:t>.</w:t>
                                  </w:r>
                                  <w:r>
                                    <w:rPr>
                                      <w:w w:val="103"/>
                                      <w:position w:val="4"/>
                                      <w:sz w:val="21"/>
                                      <w:szCs w:val="21"/>
                                    </w:rPr>
                                    <w:t>4</w:t>
                                  </w:r>
                                  <w:r>
                                    <w:rPr>
                                      <w:position w:val="4"/>
                                      <w:sz w:val="21"/>
                                      <w:szCs w:val="21"/>
                                    </w:rPr>
                                    <w:tab/>
                                  </w:r>
                                  <w:r>
                                    <w:rPr>
                                      <w:spacing w:val="1"/>
                                      <w:w w:val="103"/>
                                      <w:position w:val="4"/>
                                      <w:sz w:val="21"/>
                                      <w:szCs w:val="21"/>
                                    </w:rPr>
                                    <w:t>a</w:t>
                                  </w:r>
                                  <w:r>
                                    <w:rPr>
                                      <w:spacing w:val="2"/>
                                      <w:w w:val="103"/>
                                      <w:position w:val="4"/>
                                      <w:sz w:val="21"/>
                                      <w:szCs w:val="21"/>
                                    </w:rPr>
                                    <w:t>v</w:t>
                                  </w:r>
                                  <w:r>
                                    <w:rPr>
                                      <w:spacing w:val="1"/>
                                      <w:w w:val="103"/>
                                      <w:position w:val="4"/>
                                      <w:sz w:val="21"/>
                                      <w:szCs w:val="21"/>
                                    </w:rPr>
                                    <w:t>e</w:t>
                                  </w:r>
                                  <w:r>
                                    <w:rPr>
                                      <w:spacing w:val="2"/>
                                      <w:w w:val="103"/>
                                      <w:position w:val="4"/>
                                      <w:sz w:val="21"/>
                                      <w:szCs w:val="21"/>
                                    </w:rPr>
                                    <w:t>r</w:t>
                                  </w:r>
                                  <w:r>
                                    <w:rPr>
                                      <w:spacing w:val="1"/>
                                      <w:w w:val="103"/>
                                      <w:position w:val="4"/>
                                      <w:sz w:val="21"/>
                                      <w:szCs w:val="21"/>
                                    </w:rPr>
                                    <w:t>ag</w:t>
                                  </w:r>
                                  <w:r>
                                    <w:rPr>
                                      <w:w w:val="103"/>
                                      <w:position w:val="4"/>
                                      <w:sz w:val="21"/>
                                      <w:szCs w:val="21"/>
                                    </w:rPr>
                                    <w:t>e</w:t>
                                  </w:r>
                                  <w:r>
                                    <w:rPr>
                                      <w:spacing w:val="10"/>
                                      <w:position w:val="4"/>
                                      <w:sz w:val="21"/>
                                      <w:szCs w:val="21"/>
                                    </w:rPr>
                                    <w:t xml:space="preserve"> </w:t>
                                  </w:r>
                                  <w:r>
                                    <w:rPr>
                                      <w:spacing w:val="1"/>
                                      <w:w w:val="103"/>
                                      <w:position w:val="4"/>
                                      <w:sz w:val="21"/>
                                      <w:szCs w:val="21"/>
                                    </w:rPr>
                                    <w:t>da</w:t>
                                  </w:r>
                                  <w:r>
                                    <w:rPr>
                                      <w:spacing w:val="-1"/>
                                      <w:w w:val="103"/>
                                      <w:position w:val="4"/>
                                      <w:sz w:val="21"/>
                                      <w:szCs w:val="21"/>
                                    </w:rPr>
                                    <w:t>i</w:t>
                                  </w:r>
                                  <w:r>
                                    <w:rPr>
                                      <w:spacing w:val="2"/>
                                      <w:w w:val="103"/>
                                      <w:position w:val="4"/>
                                      <w:sz w:val="21"/>
                                      <w:szCs w:val="21"/>
                                    </w:rPr>
                                    <w:t>l</w:t>
                                  </w:r>
                                  <w:r>
                                    <w:rPr>
                                      <w:w w:val="103"/>
                                      <w:position w:val="4"/>
                                      <w:sz w:val="21"/>
                                      <w:szCs w:val="21"/>
                                    </w:rPr>
                                    <w:t>y</w:t>
                                  </w:r>
                                  <w:r>
                                    <w:rPr>
                                      <w:position w:val="4"/>
                                      <w:sz w:val="21"/>
                                      <w:szCs w:val="21"/>
                                    </w:rPr>
                                    <w:t xml:space="preserve"> </w:t>
                                  </w:r>
                                  <w:r>
                                    <w:rPr>
                                      <w:spacing w:val="-26"/>
                                      <w:position w:val="4"/>
                                      <w:sz w:val="21"/>
                                      <w:szCs w:val="21"/>
                                    </w:rPr>
                                    <w:t xml:space="preserve"> </w:t>
                                  </w:r>
                                  <w:r>
                                    <w:rPr>
                                      <w:spacing w:val="2"/>
                                      <w:w w:val="103"/>
                                      <w:position w:val="4"/>
                                      <w:sz w:val="21"/>
                                      <w:szCs w:val="21"/>
                                    </w:rPr>
                                    <w:t>r</w:t>
                                  </w:r>
                                  <w:r>
                                    <w:rPr>
                                      <w:spacing w:val="-1"/>
                                      <w:w w:val="103"/>
                                      <w:position w:val="4"/>
                                      <w:sz w:val="21"/>
                                      <w:szCs w:val="21"/>
                                    </w:rPr>
                                    <w:t>a</w:t>
                                  </w:r>
                                  <w:r>
                                    <w:rPr>
                                      <w:spacing w:val="2"/>
                                      <w:w w:val="103"/>
                                      <w:position w:val="4"/>
                                      <w:sz w:val="21"/>
                                      <w:szCs w:val="21"/>
                                    </w:rPr>
                                    <w:t>t</w:t>
                                  </w:r>
                                  <w:r>
                                    <w:rPr>
                                      <w:w w:val="103"/>
                                      <w:position w:val="4"/>
                                      <w:sz w:val="21"/>
                                      <w:szCs w:val="21"/>
                                    </w:rPr>
                                    <w:t>e</w:t>
                                  </w:r>
                                  <w:r>
                                    <w:rPr>
                                      <w:spacing w:val="1"/>
                                      <w:position w:val="4"/>
                                      <w:sz w:val="21"/>
                                      <w:szCs w:val="21"/>
                                    </w:rPr>
                                    <w:t xml:space="preserve"> </w:t>
                                  </w:r>
                                  <w:r>
                                    <w:rPr>
                                      <w:spacing w:val="1"/>
                                      <w:w w:val="103"/>
                                      <w:position w:val="4"/>
                                      <w:sz w:val="21"/>
                                      <w:szCs w:val="21"/>
                                    </w:rPr>
                                    <w:t>o</w:t>
                                  </w:r>
                                  <w:r>
                                    <w:rPr>
                                      <w:w w:val="103"/>
                                      <w:position w:val="4"/>
                                      <w:sz w:val="21"/>
                                      <w:szCs w:val="21"/>
                                    </w:rPr>
                                    <w:t>f</w:t>
                                  </w:r>
                                  <w:r>
                                    <w:rPr>
                                      <w:position w:val="4"/>
                                      <w:sz w:val="21"/>
                                      <w:szCs w:val="21"/>
                                    </w:rPr>
                                    <w:tab/>
                                  </w:r>
                                  <w:r>
                                    <w:rPr>
                                      <w:rFonts w:ascii="Times New Roman" w:hAnsi="Times New Roman" w:cs="Times New Roman"/>
                                      <w:spacing w:val="-2"/>
                                      <w:w w:val="96"/>
                                      <w:position w:val="5"/>
                                      <w:sz w:val="23"/>
                                      <w:szCs w:val="23"/>
                                    </w:rPr>
                                    <w:t>C</w:t>
                                  </w:r>
                                  <w:r>
                                    <w:rPr>
                                      <w:rFonts w:ascii="Times New Roman" w:hAnsi="Times New Roman" w:cs="Times New Roman"/>
                                      <w:spacing w:val="-1"/>
                                      <w:w w:val="96"/>
                                      <w:position w:val="5"/>
                                      <w:sz w:val="23"/>
                                      <w:szCs w:val="23"/>
                                    </w:rPr>
                                    <w:t>SPE</w:t>
                                  </w:r>
                                  <w:r>
                                    <w:rPr>
                                      <w:rFonts w:ascii="Times New Roman" w:hAnsi="Times New Roman" w:cs="Times New Roman"/>
                                      <w:spacing w:val="-2"/>
                                      <w:w w:val="96"/>
                                      <w:position w:val="5"/>
                                      <w:sz w:val="23"/>
                                      <w:szCs w:val="23"/>
                                    </w:rPr>
                                    <w:t>C</w:t>
                                  </w:r>
                                  <w:r>
                                    <w:rPr>
                                      <w:rFonts w:ascii="Times New Roman" w:hAnsi="Times New Roman" w:cs="Times New Roman"/>
                                      <w:w w:val="96"/>
                                      <w:position w:val="5"/>
                                      <w:sz w:val="23"/>
                                      <w:szCs w:val="23"/>
                                    </w:rPr>
                                    <w:t>H</w:t>
                                  </w:r>
                                </w:p>
                                <w:p w:rsidR="007B2B7B" w:rsidRDefault="007B2B7B">
                                  <w:pPr>
                                    <w:pStyle w:val="TableParagraph"/>
                                    <w:tabs>
                                      <w:tab w:val="left" w:pos="8133"/>
                                    </w:tabs>
                                    <w:kinsoku w:val="0"/>
                                    <w:overflowPunct w:val="0"/>
                                    <w:spacing w:before="28" w:line="237" w:lineRule="exact"/>
                                    <w:ind w:left="5850"/>
                                    <w:rPr>
                                      <w:spacing w:val="-8"/>
                                      <w:w w:val="110"/>
                                      <w:position w:val="1"/>
                                      <w:sz w:val="21"/>
                                      <w:szCs w:val="21"/>
                                    </w:rPr>
                                  </w:pPr>
                                  <w:r>
                                    <w:rPr>
                                      <w:w w:val="110"/>
                                      <w:sz w:val="21"/>
                                      <w:szCs w:val="21"/>
                                    </w:rPr>
                                    <w:t>yrs./28</w:t>
                                  </w:r>
                                  <w:r>
                                    <w:rPr>
                                      <w:spacing w:val="-10"/>
                                      <w:w w:val="110"/>
                                      <w:sz w:val="21"/>
                                      <w:szCs w:val="21"/>
                                    </w:rPr>
                                    <w:t xml:space="preserve"> </w:t>
                                  </w:r>
                                  <w:r>
                                    <w:rPr>
                                      <w:w w:val="110"/>
                                      <w:sz w:val="21"/>
                                      <w:szCs w:val="21"/>
                                    </w:rPr>
                                    <w:t>mos.</w:t>
                                  </w:r>
                                  <w:r>
                                    <w:rPr>
                                      <w:w w:val="110"/>
                                      <w:sz w:val="21"/>
                                      <w:szCs w:val="21"/>
                                    </w:rPr>
                                    <w:tab/>
                                  </w:r>
                                  <w:r>
                                    <w:rPr>
                                      <w:spacing w:val="-8"/>
                                      <w:w w:val="110"/>
                                      <w:position w:val="1"/>
                                      <w:sz w:val="21"/>
                                      <w:szCs w:val="21"/>
                                    </w:rPr>
                                    <w:t>$1233</w:t>
                                  </w:r>
                                </w:p>
                                <w:p w:rsidR="007B2B7B" w:rsidRDefault="007B2B7B">
                                  <w:pPr>
                                    <w:pStyle w:val="TableParagraph"/>
                                    <w:tabs>
                                      <w:tab w:val="left" w:pos="5058"/>
                                      <w:tab w:val="left" w:pos="5793"/>
                                    </w:tabs>
                                    <w:kinsoku w:val="0"/>
                                    <w:overflowPunct w:val="0"/>
                                    <w:spacing w:line="188" w:lineRule="exact"/>
                                    <w:ind w:left="3019"/>
                                    <w:rPr>
                                      <w:i/>
                                      <w:iCs/>
                                      <w:w w:val="140"/>
                                      <w:sz w:val="11"/>
                                      <w:szCs w:val="11"/>
                                    </w:rPr>
                                  </w:pPr>
                                  <w:r>
                                    <w:rPr>
                                      <w:i/>
                                      <w:iCs/>
                                      <w:w w:val="140"/>
                                      <w:sz w:val="11"/>
                                      <w:szCs w:val="11"/>
                                      <w:u w:val="single" w:color="000000"/>
                                    </w:rPr>
                                    <w:t xml:space="preserve"> </w:t>
                                  </w:r>
                                  <w:r>
                                    <w:rPr>
                                      <w:i/>
                                      <w:iCs/>
                                      <w:sz w:val="11"/>
                                      <w:szCs w:val="11"/>
                                      <w:u w:val="single" w:color="000000"/>
                                    </w:rPr>
                                    <w:t xml:space="preserve">     </w:t>
                                  </w:r>
                                  <w:r>
                                    <w:rPr>
                                      <w:i/>
                                      <w:iCs/>
                                      <w:spacing w:val="-1"/>
                                      <w:sz w:val="11"/>
                                      <w:szCs w:val="11"/>
                                      <w:u w:val="single" w:color="000000"/>
                                    </w:rPr>
                                    <w:t xml:space="preserve"> </w:t>
                                  </w:r>
                                  <w:proofErr w:type="spellStart"/>
                                  <w:r>
                                    <w:rPr>
                                      <w:i/>
                                      <w:iCs/>
                                      <w:spacing w:val="-2"/>
                                      <w:w w:val="140"/>
                                      <w:sz w:val="11"/>
                                      <w:szCs w:val="11"/>
                                      <w:u w:val="single" w:color="000000"/>
                                    </w:rPr>
                                    <w:t>w</w:t>
                                  </w:r>
                                  <w:r>
                                    <w:rPr>
                                      <w:i/>
                                      <w:iCs/>
                                      <w:spacing w:val="-1"/>
                                      <w:w w:val="140"/>
                                      <w:sz w:val="11"/>
                                      <w:szCs w:val="11"/>
                                      <w:u w:val="single" w:color="000000"/>
                                    </w:rPr>
                                    <w:t>c</w:t>
                                  </w:r>
                                  <w:r>
                                    <w:rPr>
                                      <w:i/>
                                      <w:iCs/>
                                      <w:spacing w:val="-2"/>
                                      <w:w w:val="140"/>
                                      <w:sz w:val="11"/>
                                      <w:szCs w:val="11"/>
                                      <w:u w:val="single" w:color="000000"/>
                                    </w:rPr>
                                    <w:t>m</w:t>
                                  </w:r>
                                  <w:r>
                                    <w:rPr>
                                      <w:i/>
                                      <w:iCs/>
                                      <w:spacing w:val="-15"/>
                                      <w:w w:val="140"/>
                                      <w:sz w:val="11"/>
                                      <w:szCs w:val="11"/>
                                      <w:u w:val="single" w:color="000000"/>
                                    </w:rPr>
                                    <w:t>t</w:t>
                                  </w:r>
                                  <w:proofErr w:type="spellEnd"/>
                                  <w:r>
                                    <w:rPr>
                                      <w:spacing w:val="-157"/>
                                      <w:w w:val="139"/>
                                      <w:position w:val="2"/>
                                      <w:sz w:val="17"/>
                                      <w:szCs w:val="17"/>
                                      <w:u w:val="single" w:color="000000"/>
                                    </w:rPr>
                                    <w:t>m</w:t>
                                  </w:r>
                                  <w:r>
                                    <w:rPr>
                                      <w:i/>
                                      <w:iCs/>
                                      <w:spacing w:val="-12"/>
                                      <w:w w:val="140"/>
                                      <w:sz w:val="11"/>
                                      <w:szCs w:val="11"/>
                                      <w:u w:val="single" w:color="000000"/>
                                    </w:rPr>
                                    <w:t>M:</w:t>
                                  </w:r>
                                  <w:r>
                                    <w:rPr>
                                      <w:i/>
                                      <w:iCs/>
                                      <w:spacing w:val="-101"/>
                                      <w:w w:val="140"/>
                                      <w:sz w:val="11"/>
                                      <w:szCs w:val="11"/>
                                      <w:u w:val="single" w:color="000000"/>
                                    </w:rPr>
                                    <w:t>B</w:t>
                                  </w:r>
                                  <w:r>
                                    <w:rPr>
                                      <w:spacing w:val="-72"/>
                                      <w:w w:val="139"/>
                                      <w:position w:val="2"/>
                                      <w:sz w:val="17"/>
                                      <w:szCs w:val="17"/>
                                      <w:u w:val="single" w:color="000000"/>
                                    </w:rPr>
                                    <w:t>W</w:t>
                                  </w:r>
                                  <w:r>
                                    <w:rPr>
                                      <w:i/>
                                      <w:iCs/>
                                      <w:spacing w:val="-63"/>
                                      <w:w w:val="140"/>
                                      <w:sz w:val="11"/>
                                      <w:szCs w:val="11"/>
                                      <w:u w:val="single" w:color="000000"/>
                                    </w:rPr>
                                    <w:t>A</w:t>
                                  </w:r>
                                  <w:r>
                                    <w:rPr>
                                      <w:spacing w:val="-45"/>
                                      <w:position w:val="2"/>
                                      <w:sz w:val="17"/>
                                      <w:szCs w:val="17"/>
                                      <w:u w:val="single" w:color="000000"/>
                                    </w:rPr>
                                    <w:t>J</w:t>
                                  </w:r>
                                  <w:r>
                                    <w:rPr>
                                      <w:spacing w:val="-80"/>
                                      <w:position w:val="2"/>
                                      <w:sz w:val="17"/>
                                      <w:szCs w:val="17"/>
                                      <w:u w:val="single" w:color="000000"/>
                                    </w:rPr>
                                    <w:t>R</w:t>
                                  </w:r>
                                  <w:proofErr w:type="spellStart"/>
                                  <w:r>
                                    <w:rPr>
                                      <w:i/>
                                      <w:iCs/>
                                      <w:spacing w:val="-1"/>
                                      <w:w w:val="140"/>
                                      <w:sz w:val="11"/>
                                      <w:szCs w:val="11"/>
                                      <w:u w:val="single" w:color="000000"/>
                                    </w:rPr>
                                    <w:t>i</w:t>
                                  </w:r>
                                  <w:r>
                                    <w:rPr>
                                      <w:i/>
                                      <w:iCs/>
                                      <w:spacing w:val="-62"/>
                                      <w:w w:val="140"/>
                                      <w:sz w:val="11"/>
                                      <w:szCs w:val="11"/>
                                      <w:u w:val="single" w:color="000000"/>
                                    </w:rPr>
                                    <w:t>N</w:t>
                                  </w:r>
                                  <w:proofErr w:type="spellEnd"/>
                                  <w:r>
                                    <w:rPr>
                                      <w:spacing w:val="-5"/>
                                      <w:w w:val="439"/>
                                      <w:position w:val="2"/>
                                      <w:sz w:val="17"/>
                                      <w:szCs w:val="17"/>
                                      <w:u w:val="single" w:color="000000"/>
                                    </w:rPr>
                                    <w:t>•</w:t>
                                  </w:r>
                                  <w:r>
                                    <w:rPr>
                                      <w:spacing w:val="1"/>
                                      <w:w w:val="137"/>
                                      <w:sz w:val="10"/>
                                      <w:szCs w:val="10"/>
                                      <w:u w:val="single" w:color="000000"/>
                                    </w:rPr>
                                    <w:t>&amp;</w:t>
                                  </w:r>
                                  <w:r>
                                    <w:rPr>
                                      <w:w w:val="138"/>
                                      <w:sz w:val="10"/>
                                      <w:szCs w:val="10"/>
                                      <w:u w:val="single" w:color="000000"/>
                                    </w:rPr>
                                    <w:t>f</w:t>
                                  </w:r>
                                  <w:r>
                                    <w:rPr>
                                      <w:w w:val="137"/>
                                      <w:sz w:val="10"/>
                                      <w:szCs w:val="10"/>
                                      <w:u w:val="single" w:color="000000"/>
                                    </w:rPr>
                                    <w:t>il</w:t>
                                  </w:r>
                                  <w:r>
                                    <w:rPr>
                                      <w:w w:val="138"/>
                                      <w:sz w:val="10"/>
                                      <w:szCs w:val="10"/>
                                      <w:u w:val="single" w:color="000000"/>
                                    </w:rPr>
                                    <w:t>;</w:t>
                                  </w:r>
                                  <w:r>
                                    <w:rPr>
                                      <w:spacing w:val="3"/>
                                      <w:sz w:val="10"/>
                                      <w:szCs w:val="10"/>
                                      <w:u w:val="single" w:color="000000"/>
                                    </w:rPr>
                                    <w:t xml:space="preserve"> </w:t>
                                  </w:r>
                                  <w:r>
                                    <w:rPr>
                                      <w:rFonts w:ascii="Times New Roman" w:hAnsi="Times New Roman" w:cs="Times New Roman"/>
                                      <w:spacing w:val="-1"/>
                                      <w:w w:val="136"/>
                                      <w:sz w:val="10"/>
                                      <w:szCs w:val="10"/>
                                      <w:u w:val="single" w:color="000000"/>
                                    </w:rPr>
                                    <w:t>.</w:t>
                                  </w:r>
                                  <w:proofErr w:type="spellStart"/>
                                  <w:r>
                                    <w:rPr>
                                      <w:rFonts w:ascii="Times New Roman" w:hAnsi="Times New Roman" w:cs="Times New Roman"/>
                                      <w:spacing w:val="2"/>
                                      <w:w w:val="136"/>
                                      <w:sz w:val="10"/>
                                      <w:szCs w:val="10"/>
                                      <w:u w:val="single" w:color="000000"/>
                                    </w:rPr>
                                    <w:t>i</w:t>
                                  </w:r>
                                  <w:r>
                                    <w:rPr>
                                      <w:rFonts w:ascii="Times New Roman" w:hAnsi="Times New Roman" w:cs="Times New Roman"/>
                                      <w:w w:val="136"/>
                                      <w:sz w:val="10"/>
                                      <w:szCs w:val="10"/>
                                      <w:u w:val="single" w:color="000000"/>
                                    </w:rPr>
                                    <w:t>D</w:t>
                                  </w:r>
                                  <w:proofErr w:type="spellEnd"/>
                                  <w:r>
                                    <w:rPr>
                                      <w:rFonts w:ascii="Times New Roman" w:hAnsi="Times New Roman" w:cs="Times New Roman"/>
                                      <w:sz w:val="10"/>
                                      <w:szCs w:val="10"/>
                                      <w:u w:val="single" w:color="000000"/>
                                    </w:rPr>
                                    <w:tab/>
                                  </w:r>
                                  <w:r>
                                    <w:rPr>
                                      <w:spacing w:val="-31"/>
                                      <w:position w:val="2"/>
                                      <w:sz w:val="17"/>
                                      <w:szCs w:val="17"/>
                                      <w:u w:val="single" w:color="000000"/>
                                    </w:rPr>
                                    <w:t>'</w:t>
                                  </w:r>
                                  <w:r>
                                    <w:rPr>
                                      <w:sz w:val="11"/>
                                      <w:szCs w:val="11"/>
                                      <w:u w:val="single" w:color="000000"/>
                                    </w:rPr>
                                    <w:t>'</w:t>
                                  </w:r>
                                  <w:r>
                                    <w:rPr>
                                      <w:spacing w:val="-48"/>
                                      <w:position w:val="2"/>
                                      <w:sz w:val="17"/>
                                      <w:szCs w:val="17"/>
                                      <w:u w:val="single" w:color="000000"/>
                                    </w:rPr>
                                    <w:t>.</w:t>
                                  </w:r>
                                  <w:r>
                                    <w:rPr>
                                      <w:spacing w:val="3"/>
                                      <w:sz w:val="11"/>
                                      <w:szCs w:val="11"/>
                                      <w:u w:val="single" w:color="000000"/>
                                    </w:rPr>
                                    <w:t>°</w:t>
                                  </w:r>
                                  <w:r>
                                    <w:rPr>
                                      <w:spacing w:val="-36"/>
                                      <w:position w:val="2"/>
                                      <w:sz w:val="17"/>
                                      <w:szCs w:val="17"/>
                                      <w:u w:val="single" w:color="000000"/>
                                    </w:rPr>
                                    <w:t>l</w:t>
                                  </w:r>
                                  <w:r>
                                    <w:rPr>
                                      <w:sz w:val="11"/>
                                      <w:szCs w:val="11"/>
                                      <w:u w:val="single" w:color="000000"/>
                                    </w:rPr>
                                    <w:t>'</w:t>
                                  </w:r>
                                  <w:r>
                                    <w:rPr>
                                      <w:spacing w:val="-14"/>
                                      <w:sz w:val="11"/>
                                      <w:szCs w:val="11"/>
                                      <w:u w:val="single" w:color="000000"/>
                                    </w:rPr>
                                    <w:t>'</w:t>
                                  </w:r>
                                  <w:r>
                                    <w:rPr>
                                      <w:spacing w:val="-31"/>
                                      <w:position w:val="2"/>
                                      <w:sz w:val="17"/>
                                      <w:szCs w:val="17"/>
                                      <w:u w:val="single" w:color="000000"/>
                                    </w:rPr>
                                    <w:t>f</w:t>
                                  </w:r>
                                  <w:r>
                                    <w:rPr>
                                      <w:sz w:val="11"/>
                                      <w:szCs w:val="11"/>
                                      <w:u w:val="single" w:color="000000"/>
                                    </w:rPr>
                                    <w:t>'</w:t>
                                  </w:r>
                                  <w:r>
                                    <w:rPr>
                                      <w:spacing w:val="-19"/>
                                      <w:sz w:val="11"/>
                                      <w:szCs w:val="11"/>
                                      <w:u w:val="single" w:color="000000"/>
                                    </w:rPr>
                                    <w:t>'</w:t>
                                  </w:r>
                                  <w:r>
                                    <w:rPr>
                                      <w:spacing w:val="-45"/>
                                      <w:position w:val="2"/>
                                      <w:sz w:val="17"/>
                                      <w:szCs w:val="17"/>
                                      <w:u w:val="single" w:color="000000"/>
                                    </w:rPr>
                                    <w:t>f</w:t>
                                  </w:r>
                                  <w:r>
                                    <w:rPr>
                                      <w:spacing w:val="-2"/>
                                      <w:sz w:val="11"/>
                                      <w:szCs w:val="11"/>
                                      <w:u w:val="single" w:color="000000"/>
                                    </w:rPr>
                                    <w:t>'</w:t>
                                  </w:r>
                                  <w:proofErr w:type="spellStart"/>
                                  <w:r>
                                    <w:rPr>
                                      <w:spacing w:val="-7"/>
                                      <w:position w:val="2"/>
                                      <w:sz w:val="17"/>
                                      <w:szCs w:val="17"/>
                                      <w:u w:val="single" w:color="000000"/>
                                    </w:rPr>
                                    <w:t>i</w:t>
                                  </w:r>
                                  <w:r>
                                    <w:rPr>
                                      <w:spacing w:val="12"/>
                                      <w:position w:val="2"/>
                                      <w:sz w:val="17"/>
                                      <w:szCs w:val="17"/>
                                      <w:u w:val="single" w:color="000000"/>
                                    </w:rPr>
                                    <w:t>l</w:t>
                                  </w:r>
                                  <w:proofErr w:type="spellEnd"/>
                                  <w:r>
                                    <w:rPr>
                                      <w:spacing w:val="-5"/>
                                      <w:sz w:val="11"/>
                                      <w:szCs w:val="11"/>
                                      <w:u w:val="single" w:color="000000"/>
                                    </w:rPr>
                                    <w:t>'</w:t>
                                  </w:r>
                                  <w:proofErr w:type="spellStart"/>
                                  <w:r>
                                    <w:rPr>
                                      <w:position w:val="2"/>
                                      <w:sz w:val="17"/>
                                      <w:szCs w:val="17"/>
                                      <w:u w:val="single" w:color="000000"/>
                                    </w:rPr>
                                    <w:t>l</w:t>
                                  </w:r>
                                  <w:r>
                                    <w:rPr>
                                      <w:spacing w:val="-2"/>
                                      <w:position w:val="2"/>
                                      <w:sz w:val="17"/>
                                      <w:szCs w:val="17"/>
                                      <w:u w:val="single" w:color="000000"/>
                                    </w:rPr>
                                    <w:t>l</w:t>
                                  </w:r>
                                  <w:proofErr w:type="spellEnd"/>
                                  <w:r>
                                    <w:rPr>
                                      <w:rFonts w:ascii="Times New Roman" w:hAnsi="Times New Roman" w:cs="Times New Roman"/>
                                      <w:spacing w:val="-28"/>
                                      <w:sz w:val="11"/>
                                      <w:szCs w:val="11"/>
                                      <w:u w:val="single" w:color="000000"/>
                                    </w:rPr>
                                    <w:t>.</w:t>
                                  </w:r>
                                  <w:r>
                                    <w:rPr>
                                      <w:spacing w:val="-19"/>
                                      <w:position w:val="2"/>
                                      <w:sz w:val="17"/>
                                      <w:szCs w:val="17"/>
                                      <w:u w:val="single" w:color="000000"/>
                                    </w:rPr>
                                    <w:t>\</w:t>
                                  </w:r>
                                  <w:r>
                                    <w:rPr>
                                      <w:rFonts w:ascii="Times New Roman" w:hAnsi="Times New Roman" w:cs="Times New Roman"/>
                                      <w:sz w:val="11"/>
                                      <w:szCs w:val="11"/>
                                      <w:u w:val="single" w:color="000000"/>
                                    </w:rPr>
                                    <w:t>J</w:t>
                                  </w:r>
                                  <w:r>
                                    <w:rPr>
                                      <w:rFonts w:ascii="Times New Roman" w:hAnsi="Times New Roman" w:cs="Times New Roman"/>
                                      <w:sz w:val="11"/>
                                      <w:szCs w:val="11"/>
                                      <w:u w:val="single" w:color="000000"/>
                                    </w:rPr>
                                    <w:tab/>
                                  </w:r>
                                  <w:r>
                                    <w:rPr>
                                      <w:position w:val="2"/>
                                      <w:sz w:val="17"/>
                                      <w:szCs w:val="17"/>
                                      <w:u w:val="single" w:color="000000"/>
                                    </w:rPr>
                                    <w:t>I</w:t>
                                  </w:r>
                                </w:p>
                                <w:p w:rsidR="007B2B7B" w:rsidRDefault="007B2B7B">
                                  <w:pPr>
                                    <w:pStyle w:val="TableParagraph"/>
                                    <w:tabs>
                                      <w:tab w:val="left" w:pos="10043"/>
                                    </w:tabs>
                                    <w:kinsoku w:val="0"/>
                                    <w:overflowPunct w:val="0"/>
                                    <w:spacing w:before="13"/>
                                    <w:ind w:left="1547"/>
                                    <w:rPr>
                                      <w:rFonts w:ascii="Times New Roman" w:hAnsi="Times New Roman" w:cs="Times New Roman"/>
                                    </w:rPr>
                                  </w:pPr>
                                  <w:r>
                                    <w:rPr>
                                      <w:sz w:val="21"/>
                                      <w:szCs w:val="21"/>
                                    </w:rPr>
                                    <w:t>Anchor  Inn ,Men's</w:t>
                                  </w:r>
                                  <w:r>
                                    <w:rPr>
                                      <w:spacing w:val="32"/>
                                      <w:sz w:val="21"/>
                                      <w:szCs w:val="21"/>
                                    </w:rPr>
                                    <w:t xml:space="preserve"> </w:t>
                                  </w:r>
                                  <w:r>
                                    <w:rPr>
                                      <w:sz w:val="21"/>
                                      <w:szCs w:val="21"/>
                                    </w:rPr>
                                    <w:t>Inn,</w:t>
                                  </w:r>
                                  <w:r>
                                    <w:rPr>
                                      <w:spacing w:val="13"/>
                                      <w:sz w:val="21"/>
                                      <w:szCs w:val="21"/>
                                    </w:rPr>
                                    <w:t xml:space="preserve"> </w:t>
                                  </w:r>
                                  <w:r>
                                    <w:rPr>
                                      <w:sz w:val="21"/>
                                      <w:szCs w:val="21"/>
                                    </w:rPr>
                                    <w:t>Post</w:t>
                                  </w:r>
                                  <w:r>
                                    <w:rPr>
                                      <w:sz w:val="21"/>
                                      <w:szCs w:val="21"/>
                                    </w:rPr>
                                    <w:tab/>
                                  </w:r>
                                  <w:r>
                                    <w:rPr>
                                      <w:spacing w:val="-5"/>
                                      <w:position w:val="2"/>
                                      <w:sz w:val="21"/>
                                      <w:szCs w:val="21"/>
                                    </w:rPr>
                                    <w:t>$6,314.S</w:t>
                                  </w:r>
                                  <w:r>
                                    <w:rPr>
                                      <w:spacing w:val="10"/>
                                      <w:position w:val="2"/>
                                      <w:sz w:val="21"/>
                                      <w:szCs w:val="21"/>
                                    </w:rPr>
                                    <w:t xml:space="preserve"> </w:t>
                                  </w:r>
                                  <w:r>
                                    <w:rPr>
                                      <w:position w:val="2"/>
                                      <w:sz w:val="21"/>
                                      <w:szCs w:val="21"/>
                                    </w:rPr>
                                    <w:t>&gt;</w:t>
                                  </w:r>
                                </w:p>
                              </w:tc>
                            </w:tr>
                            <w:tr w:rsidR="007B2B7B">
                              <w:trPr>
                                <w:trHeight w:hRule="exact" w:val="277"/>
                              </w:trPr>
                              <w:tc>
                                <w:tcPr>
                                  <w:tcW w:w="4363" w:type="dxa"/>
                                  <w:gridSpan w:val="2"/>
                                  <w:tcBorders>
                                    <w:top w:val="nil"/>
                                    <w:left w:val="nil"/>
                                    <w:bottom w:val="nil"/>
                                    <w:right w:val="nil"/>
                                  </w:tcBorders>
                                </w:tcPr>
                                <w:p w:rsidR="007B2B7B" w:rsidRDefault="007B2B7B">
                                  <w:pPr>
                                    <w:pStyle w:val="TableParagraph"/>
                                    <w:tabs>
                                      <w:tab w:val="left" w:pos="1382"/>
                                    </w:tabs>
                                    <w:kinsoku w:val="0"/>
                                    <w:overflowPunct w:val="0"/>
                                    <w:spacing w:line="249" w:lineRule="exact"/>
                                    <w:ind w:left="50"/>
                                    <w:rPr>
                                      <w:rFonts w:ascii="Times New Roman" w:hAnsi="Times New Roman" w:cs="Times New Roman"/>
                                    </w:rPr>
                                  </w:pPr>
                                  <w:r>
                                    <w:rPr>
                                      <w:w w:val="110"/>
                                      <w:sz w:val="21"/>
                                      <w:szCs w:val="21"/>
                                      <w:u w:val="single" w:color="000000"/>
                                    </w:rPr>
                                    <w:t>Person</w:t>
                                  </w:r>
                                  <w:r>
                                    <w:rPr>
                                      <w:spacing w:val="-24"/>
                                      <w:w w:val="110"/>
                                      <w:sz w:val="21"/>
                                      <w:szCs w:val="21"/>
                                      <w:u w:val="single" w:color="000000"/>
                                    </w:rPr>
                                    <w:t xml:space="preserve"> </w:t>
                                  </w:r>
                                  <w:r>
                                    <w:rPr>
                                      <w:w w:val="110"/>
                                      <w:sz w:val="21"/>
                                      <w:szCs w:val="21"/>
                                      <w:u w:val="single" w:color="000000"/>
                                    </w:rPr>
                                    <w:t>#1</w:t>
                                  </w:r>
                                  <w:r>
                                    <w:rPr>
                                      <w:w w:val="110"/>
                                      <w:sz w:val="21"/>
                                      <w:szCs w:val="21"/>
                                      <w:u w:val="single" w:color="000000"/>
                                    </w:rPr>
                                    <w:tab/>
                                  </w:r>
                                  <w:r>
                                    <w:rPr>
                                      <w:w w:val="110"/>
                                      <w:position w:val="1"/>
                                      <w:sz w:val="21"/>
                                      <w:szCs w:val="21"/>
                                    </w:rPr>
                                    <w:t>Detox</w:t>
                                  </w:r>
                                </w:p>
                              </w:tc>
                              <w:tc>
                                <w:tcPr>
                                  <w:tcW w:w="1767" w:type="dxa"/>
                                  <w:tcBorders>
                                    <w:top w:val="nil"/>
                                    <w:left w:val="nil"/>
                                    <w:bottom w:val="single" w:sz="4" w:space="0" w:color="000000"/>
                                    <w:right w:val="nil"/>
                                  </w:tcBorders>
                                </w:tcPr>
                                <w:p w:rsidR="007B2B7B" w:rsidRDefault="007B2B7B">
                                  <w:pPr>
                                    <w:pStyle w:val="TableParagraph"/>
                                    <w:kinsoku w:val="0"/>
                                    <w:overflowPunct w:val="0"/>
                                    <w:spacing w:line="240" w:lineRule="exact"/>
                                    <w:ind w:left="122"/>
                                    <w:rPr>
                                      <w:rFonts w:ascii="Times New Roman" w:hAnsi="Times New Roman" w:cs="Times New Roman"/>
                                    </w:rPr>
                                  </w:pPr>
                                  <w:r>
                                    <w:rPr>
                                      <w:sz w:val="21"/>
                                      <w:szCs w:val="21"/>
                                    </w:rPr>
                                    <w:t>Outreach</w:t>
                                  </w:r>
                                </w:p>
                              </w:tc>
                              <w:tc>
                                <w:tcPr>
                                  <w:tcW w:w="1070" w:type="dxa"/>
                                  <w:tcBorders>
                                    <w:top w:val="nil"/>
                                    <w:left w:val="nil"/>
                                    <w:bottom w:val="single" w:sz="4" w:space="0" w:color="000000"/>
                                    <w:right w:val="nil"/>
                                  </w:tcBorders>
                                </w:tcPr>
                                <w:p w:rsidR="007B2B7B" w:rsidRDefault="007B2B7B">
                                  <w:pPr>
                                    <w:pStyle w:val="TableParagraph"/>
                                    <w:kinsoku w:val="0"/>
                                    <w:overflowPunct w:val="0"/>
                                    <w:spacing w:line="230" w:lineRule="exact"/>
                                    <w:ind w:left="0" w:right="60"/>
                                    <w:jc w:val="right"/>
                                    <w:rPr>
                                      <w:rFonts w:ascii="Times New Roman" w:hAnsi="Times New Roman" w:cs="Times New Roman"/>
                                    </w:rPr>
                                  </w:pPr>
                                  <w:r>
                                    <w:rPr>
                                      <w:w w:val="105"/>
                                      <w:sz w:val="21"/>
                                      <w:szCs w:val="21"/>
                                    </w:rPr>
                                    <w:t>190</w:t>
                                  </w:r>
                                </w:p>
                              </w:tc>
                              <w:tc>
                                <w:tcPr>
                                  <w:tcW w:w="2455" w:type="dxa"/>
                                  <w:gridSpan w:val="3"/>
                                  <w:tcBorders>
                                    <w:top w:val="nil"/>
                                    <w:left w:val="nil"/>
                                    <w:bottom w:val="single" w:sz="4" w:space="0" w:color="000000"/>
                                    <w:right w:val="nil"/>
                                  </w:tcBorders>
                                </w:tcPr>
                                <w:p w:rsidR="007B2B7B" w:rsidRDefault="007B2B7B">
                                  <w:pPr>
                                    <w:pStyle w:val="TableParagraph"/>
                                    <w:tabs>
                                      <w:tab w:val="left" w:pos="1230"/>
                                    </w:tabs>
                                    <w:kinsoku w:val="0"/>
                                    <w:overflowPunct w:val="0"/>
                                    <w:spacing w:line="247" w:lineRule="exact"/>
                                    <w:ind w:left="112"/>
                                    <w:rPr>
                                      <w:rFonts w:ascii="Times New Roman" w:hAnsi="Times New Roman" w:cs="Times New Roman"/>
                                    </w:rPr>
                                  </w:pPr>
                                  <w:r>
                                    <w:rPr>
                                      <w:rFonts w:ascii="Times New Roman" w:hAnsi="Times New Roman" w:cs="Times New Roman"/>
                                      <w:w w:val="105"/>
                                    </w:rPr>
                                    <w:t>$</w:t>
                                  </w:r>
                                  <w:r>
                                    <w:rPr>
                                      <w:rFonts w:ascii="Times New Roman" w:hAnsi="Times New Roman" w:cs="Times New Roman"/>
                                      <w:w w:val="105"/>
                                    </w:rPr>
                                    <w:tab/>
                                  </w:r>
                                  <w:r>
                                    <w:rPr>
                                      <w:w w:val="105"/>
                                      <w:position w:val="1"/>
                                      <w:sz w:val="21"/>
                                      <w:szCs w:val="21"/>
                                    </w:rPr>
                                    <w:t>234,270.00</w:t>
                                  </w:r>
                                </w:p>
                              </w:tc>
                              <w:tc>
                                <w:tcPr>
                                  <w:tcW w:w="1674" w:type="dxa"/>
                                  <w:tcBorders>
                                    <w:top w:val="nil"/>
                                    <w:left w:val="nil"/>
                                    <w:bottom w:val="nil"/>
                                    <w:right w:val="nil"/>
                                  </w:tcBorders>
                                </w:tcPr>
                                <w:p w:rsidR="007B2B7B" w:rsidRDefault="007B2B7B">
                                  <w:pPr>
                                    <w:pStyle w:val="TableParagraph"/>
                                    <w:kinsoku w:val="0"/>
                                    <w:overflowPunct w:val="0"/>
                                    <w:spacing w:line="216" w:lineRule="exact"/>
                                    <w:ind w:left="338"/>
                                    <w:rPr>
                                      <w:rFonts w:ascii="Times New Roman" w:hAnsi="Times New Roman" w:cs="Times New Roman"/>
                                    </w:rPr>
                                  </w:pPr>
                                  <w:r>
                                    <w:rPr>
                                      <w:sz w:val="21"/>
                                      <w:szCs w:val="21"/>
                                    </w:rPr>
                                    <w:t>p.er person</w:t>
                                  </w:r>
                                </w:p>
                              </w:tc>
                            </w:tr>
                            <w:tr w:rsidR="007B2B7B">
                              <w:trPr>
                                <w:trHeight w:hRule="exact" w:val="320"/>
                              </w:trPr>
                              <w:tc>
                                <w:tcPr>
                                  <w:tcW w:w="4363" w:type="dxa"/>
                                  <w:gridSpan w:val="2"/>
                                  <w:tcBorders>
                                    <w:top w:val="nil"/>
                                    <w:left w:val="nil"/>
                                    <w:bottom w:val="nil"/>
                                    <w:right w:val="nil"/>
                                  </w:tcBorders>
                                </w:tcPr>
                                <w:p w:rsidR="007B2B7B" w:rsidRDefault="007B2B7B">
                                  <w:pPr>
                                    <w:pStyle w:val="TableParagraph"/>
                                    <w:tabs>
                                      <w:tab w:val="left" w:pos="1382"/>
                                    </w:tabs>
                                    <w:kinsoku w:val="0"/>
                                    <w:overflowPunct w:val="0"/>
                                    <w:spacing w:before="32"/>
                                    <w:ind w:left="50"/>
                                    <w:rPr>
                                      <w:rFonts w:ascii="Times New Roman" w:hAnsi="Times New Roman" w:cs="Times New Roman"/>
                                    </w:rPr>
                                  </w:pPr>
                                  <w:r>
                                    <w:rPr>
                                      <w:w w:val="105"/>
                                      <w:sz w:val="21"/>
                                      <w:szCs w:val="21"/>
                                      <w:u w:val="single" w:color="000000"/>
                                    </w:rPr>
                                    <w:t>Person</w:t>
                                  </w:r>
                                  <w:r>
                                    <w:rPr>
                                      <w:spacing w:val="-12"/>
                                      <w:w w:val="105"/>
                                      <w:sz w:val="21"/>
                                      <w:szCs w:val="21"/>
                                      <w:u w:val="single" w:color="000000"/>
                                    </w:rPr>
                                    <w:t xml:space="preserve"> </w:t>
                                  </w:r>
                                  <w:r>
                                    <w:rPr>
                                      <w:w w:val="105"/>
                                      <w:sz w:val="21"/>
                                      <w:szCs w:val="21"/>
                                      <w:u w:val="single" w:color="000000"/>
                                    </w:rPr>
                                    <w:t>#2</w:t>
                                  </w:r>
                                  <w:r>
                                    <w:rPr>
                                      <w:w w:val="105"/>
                                      <w:sz w:val="21"/>
                                      <w:szCs w:val="21"/>
                                      <w:u w:val="single" w:color="000000"/>
                                    </w:rPr>
                                    <w:tab/>
                                  </w:r>
                                  <w:r>
                                    <w:rPr>
                                      <w:w w:val="105"/>
                                      <w:position w:val="1"/>
                                      <w:sz w:val="21"/>
                                      <w:szCs w:val="21"/>
                                    </w:rPr>
                                    <w:t>Men's</w:t>
                                  </w:r>
                                  <w:r>
                                    <w:rPr>
                                      <w:spacing w:val="-7"/>
                                      <w:w w:val="105"/>
                                      <w:position w:val="1"/>
                                      <w:sz w:val="21"/>
                                      <w:szCs w:val="21"/>
                                    </w:rPr>
                                    <w:t xml:space="preserve"> </w:t>
                                  </w:r>
                                  <w:r>
                                    <w:rPr>
                                      <w:w w:val="105"/>
                                      <w:position w:val="1"/>
                                      <w:sz w:val="21"/>
                                      <w:szCs w:val="21"/>
                                    </w:rPr>
                                    <w:t>Inn</w:t>
                                  </w:r>
                                </w:p>
                              </w:tc>
                              <w:tc>
                                <w:tcPr>
                                  <w:tcW w:w="1767" w:type="dxa"/>
                                  <w:tcBorders>
                                    <w:top w:val="single" w:sz="4" w:space="0" w:color="000000"/>
                                    <w:left w:val="nil"/>
                                    <w:bottom w:val="single" w:sz="4" w:space="0" w:color="000000"/>
                                    <w:right w:val="nil"/>
                                  </w:tcBorders>
                                </w:tcPr>
                                <w:p w:rsidR="007B2B7B" w:rsidRDefault="007B2B7B">
                                  <w:pPr>
                                    <w:pStyle w:val="TableParagraph"/>
                                    <w:kinsoku w:val="0"/>
                                    <w:overflowPunct w:val="0"/>
                                    <w:spacing w:before="26"/>
                                    <w:ind w:left="122"/>
                                    <w:rPr>
                                      <w:rFonts w:ascii="Times New Roman" w:hAnsi="Times New Roman" w:cs="Times New Roman"/>
                                    </w:rPr>
                                  </w:pPr>
                                  <w:r>
                                    <w:rPr>
                                      <w:sz w:val="21"/>
                                      <w:szCs w:val="21"/>
                                    </w:rPr>
                                    <w:t>Outreach</w:t>
                                  </w:r>
                                </w:p>
                              </w:tc>
                              <w:tc>
                                <w:tcPr>
                                  <w:tcW w:w="1070" w:type="dxa"/>
                                  <w:tcBorders>
                                    <w:top w:val="single" w:sz="4" w:space="0" w:color="000000"/>
                                    <w:left w:val="nil"/>
                                    <w:bottom w:val="single" w:sz="4" w:space="0" w:color="000000"/>
                                    <w:right w:val="nil"/>
                                  </w:tcBorders>
                                </w:tcPr>
                                <w:p w:rsidR="007B2B7B" w:rsidRDefault="007B2B7B">
                                  <w:pPr>
                                    <w:pStyle w:val="TableParagraph"/>
                                    <w:kinsoku w:val="0"/>
                                    <w:overflowPunct w:val="0"/>
                                    <w:spacing w:before="16"/>
                                    <w:ind w:left="0" w:right="67"/>
                                    <w:jc w:val="right"/>
                                    <w:rPr>
                                      <w:rFonts w:ascii="Times New Roman" w:hAnsi="Times New Roman" w:cs="Times New Roman"/>
                                    </w:rPr>
                                  </w:pPr>
                                  <w:r>
                                    <w:rPr>
                                      <w:sz w:val="21"/>
                                      <w:szCs w:val="21"/>
                                    </w:rPr>
                                    <w:t>171</w:t>
                                  </w:r>
                                </w:p>
                              </w:tc>
                              <w:tc>
                                <w:tcPr>
                                  <w:tcW w:w="2455" w:type="dxa"/>
                                  <w:gridSpan w:val="3"/>
                                  <w:tcBorders>
                                    <w:top w:val="single" w:sz="4" w:space="0" w:color="000000"/>
                                    <w:left w:val="nil"/>
                                    <w:bottom w:val="single" w:sz="4" w:space="0" w:color="000000"/>
                                    <w:right w:val="nil"/>
                                  </w:tcBorders>
                                </w:tcPr>
                                <w:p w:rsidR="007B2B7B" w:rsidRDefault="007B2B7B">
                                  <w:pPr>
                                    <w:pStyle w:val="TableParagraph"/>
                                    <w:tabs>
                                      <w:tab w:val="left" w:pos="1238"/>
                                    </w:tabs>
                                    <w:kinsoku w:val="0"/>
                                    <w:overflowPunct w:val="0"/>
                                    <w:spacing w:line="273" w:lineRule="exact"/>
                                    <w:ind w:left="119"/>
                                    <w:rPr>
                                      <w:rFonts w:ascii="Times New Roman" w:hAnsi="Times New Roman" w:cs="Times New Roman"/>
                                    </w:rPr>
                                  </w:pPr>
                                  <w:r>
                                    <w:rPr>
                                      <w:rFonts w:ascii="Times New Roman" w:hAnsi="Times New Roman" w:cs="Times New Roman"/>
                                      <w:w w:val="105"/>
                                      <w:position w:val="-2"/>
                                    </w:rPr>
                                    <w:t>$</w:t>
                                  </w:r>
                                  <w:r>
                                    <w:rPr>
                                      <w:rFonts w:ascii="Times New Roman" w:hAnsi="Times New Roman" w:cs="Times New Roman"/>
                                      <w:w w:val="105"/>
                                      <w:position w:val="-2"/>
                                    </w:rPr>
                                    <w:tab/>
                                  </w:r>
                                  <w:r>
                                    <w:rPr>
                                      <w:spacing w:val="-3"/>
                                      <w:w w:val="105"/>
                                      <w:sz w:val="21"/>
                                      <w:szCs w:val="21"/>
                                    </w:rPr>
                                    <w:t>210,843.00</w:t>
                                  </w:r>
                                </w:p>
                              </w:tc>
                              <w:tc>
                                <w:tcPr>
                                  <w:tcW w:w="1674" w:type="dxa"/>
                                  <w:tcBorders>
                                    <w:top w:val="nil"/>
                                    <w:left w:val="nil"/>
                                    <w:bottom w:val="nil"/>
                                    <w:right w:val="nil"/>
                                  </w:tcBorders>
                                </w:tcPr>
                                <w:p w:rsidR="007B2B7B" w:rsidRDefault="007B2B7B"/>
                              </w:tc>
                            </w:tr>
                            <w:tr w:rsidR="007B2B7B">
                              <w:trPr>
                                <w:trHeight w:hRule="exact" w:val="320"/>
                              </w:trPr>
                              <w:tc>
                                <w:tcPr>
                                  <w:tcW w:w="1447" w:type="dxa"/>
                                  <w:tcBorders>
                                    <w:top w:val="nil"/>
                                    <w:left w:val="nil"/>
                                    <w:bottom w:val="nil"/>
                                    <w:right w:val="nil"/>
                                  </w:tcBorders>
                                </w:tcPr>
                                <w:p w:rsidR="007B2B7B" w:rsidRDefault="007B2B7B">
                                  <w:pPr>
                                    <w:pStyle w:val="TableParagraph"/>
                                    <w:tabs>
                                      <w:tab w:val="left" w:pos="1612"/>
                                    </w:tabs>
                                    <w:kinsoku w:val="0"/>
                                    <w:overflowPunct w:val="0"/>
                                    <w:spacing w:before="44"/>
                                    <w:ind w:left="50" w:right="-166"/>
                                    <w:rPr>
                                      <w:rFonts w:ascii="Times New Roman" w:hAnsi="Times New Roman" w:cs="Times New Roman"/>
                                    </w:rPr>
                                  </w:pPr>
                                  <w:r>
                                    <w:rPr>
                                      <w:sz w:val="21"/>
                                      <w:szCs w:val="21"/>
                                      <w:u w:val="single" w:color="000000"/>
                                    </w:rPr>
                                    <w:t>Person</w:t>
                                  </w:r>
                                  <w:r>
                                    <w:rPr>
                                      <w:spacing w:val="-14"/>
                                      <w:sz w:val="21"/>
                                      <w:szCs w:val="21"/>
                                      <w:u w:val="single" w:color="000000"/>
                                    </w:rPr>
                                    <w:t xml:space="preserve"> </w:t>
                                  </w:r>
                                  <w:r>
                                    <w:rPr>
                                      <w:sz w:val="21"/>
                                      <w:szCs w:val="21"/>
                                      <w:u w:val="single" w:color="000000"/>
                                    </w:rPr>
                                    <w:t>#3</w:t>
                                  </w:r>
                                  <w:r>
                                    <w:rPr>
                                      <w:sz w:val="21"/>
                                      <w:szCs w:val="21"/>
                                      <w:u w:val="single" w:color="000000"/>
                                    </w:rPr>
                                    <w:tab/>
                                  </w:r>
                                </w:p>
                              </w:tc>
                              <w:tc>
                                <w:tcPr>
                                  <w:tcW w:w="2916" w:type="dxa"/>
                                  <w:tcBorders>
                                    <w:top w:val="single" w:sz="2" w:space="0" w:color="000000"/>
                                    <w:left w:val="nil"/>
                                    <w:bottom w:val="nil"/>
                                    <w:right w:val="nil"/>
                                  </w:tcBorders>
                                </w:tcPr>
                                <w:p w:rsidR="007B2B7B" w:rsidRDefault="007B2B7B">
                                  <w:pPr>
                                    <w:pStyle w:val="TableParagraph"/>
                                    <w:tabs>
                                      <w:tab w:val="left" w:pos="2987"/>
                                    </w:tabs>
                                    <w:kinsoku w:val="0"/>
                                    <w:overflowPunct w:val="0"/>
                                    <w:spacing w:before="31"/>
                                    <w:ind w:left="165" w:right="-72"/>
                                    <w:rPr>
                                      <w:rFonts w:ascii="Times New Roman" w:hAnsi="Times New Roman" w:cs="Times New Roman"/>
                                    </w:rPr>
                                  </w:pPr>
                                  <w:r>
                                    <w:rPr>
                                      <w:w w:val="105"/>
                                      <w:sz w:val="21"/>
                                      <w:szCs w:val="21"/>
                                      <w:u w:val="single" w:color="000000"/>
                                    </w:rPr>
                                    <w:t>Men's Inn</w:t>
                                  </w:r>
                                  <w:r>
                                    <w:rPr>
                                      <w:spacing w:val="4"/>
                                      <w:w w:val="105"/>
                                      <w:sz w:val="21"/>
                                      <w:szCs w:val="21"/>
                                      <w:u w:val="single" w:color="000000"/>
                                    </w:rPr>
                                    <w:t xml:space="preserve"> </w:t>
                                  </w:r>
                                  <w:r>
                                    <w:rPr>
                                      <w:w w:val="105"/>
                                      <w:sz w:val="21"/>
                                      <w:szCs w:val="21"/>
                                      <w:u w:val="single" w:color="000000"/>
                                    </w:rPr>
                                    <w:t>,Shattuck</w:t>
                                  </w:r>
                                  <w:r>
                                    <w:rPr>
                                      <w:sz w:val="21"/>
                                      <w:szCs w:val="21"/>
                                      <w:u w:val="single" w:color="000000"/>
                                    </w:rPr>
                                    <w:tab/>
                                  </w:r>
                                </w:p>
                              </w:tc>
                              <w:tc>
                                <w:tcPr>
                                  <w:tcW w:w="1767" w:type="dxa"/>
                                  <w:tcBorders>
                                    <w:top w:val="single" w:sz="4" w:space="0" w:color="000000"/>
                                    <w:left w:val="nil"/>
                                    <w:bottom w:val="single" w:sz="4" w:space="0" w:color="000000"/>
                                    <w:right w:val="nil"/>
                                  </w:tcBorders>
                                </w:tcPr>
                                <w:p w:rsidR="007B2B7B" w:rsidRDefault="007B2B7B">
                                  <w:pPr>
                                    <w:pStyle w:val="TableParagraph"/>
                                    <w:kinsoku w:val="0"/>
                                    <w:overflowPunct w:val="0"/>
                                    <w:spacing w:before="27"/>
                                    <w:ind w:left="71"/>
                                    <w:rPr>
                                      <w:rFonts w:ascii="Times New Roman" w:hAnsi="Times New Roman" w:cs="Times New Roman"/>
                                    </w:rPr>
                                  </w:pPr>
                                  <w:r>
                                    <w:rPr>
                                      <w:sz w:val="21"/>
                                      <w:szCs w:val="21"/>
                                    </w:rPr>
                                    <w:t>Outreach</w:t>
                                  </w:r>
                                </w:p>
                              </w:tc>
                              <w:tc>
                                <w:tcPr>
                                  <w:tcW w:w="1070" w:type="dxa"/>
                                  <w:tcBorders>
                                    <w:top w:val="single" w:sz="4" w:space="0" w:color="000000"/>
                                    <w:left w:val="nil"/>
                                    <w:bottom w:val="single" w:sz="4" w:space="0" w:color="000000"/>
                                    <w:right w:val="nil"/>
                                  </w:tcBorders>
                                </w:tcPr>
                                <w:p w:rsidR="007B2B7B" w:rsidRDefault="007B2B7B">
                                  <w:pPr>
                                    <w:pStyle w:val="TableParagraph"/>
                                    <w:kinsoku w:val="0"/>
                                    <w:overflowPunct w:val="0"/>
                                    <w:spacing w:before="18"/>
                                    <w:ind w:left="0" w:right="12"/>
                                    <w:jc w:val="right"/>
                                    <w:rPr>
                                      <w:rFonts w:ascii="Times New Roman" w:hAnsi="Times New Roman" w:cs="Times New Roman"/>
                                    </w:rPr>
                                  </w:pPr>
                                  <w:r>
                                    <w:rPr>
                                      <w:sz w:val="21"/>
                                      <w:szCs w:val="21"/>
                                    </w:rPr>
                                    <w:t>137</w:t>
                                  </w:r>
                                </w:p>
                              </w:tc>
                              <w:tc>
                                <w:tcPr>
                                  <w:tcW w:w="71" w:type="dxa"/>
                                  <w:tcBorders>
                                    <w:top w:val="single" w:sz="4" w:space="0" w:color="000000"/>
                                    <w:left w:val="nil"/>
                                    <w:bottom w:val="single" w:sz="4" w:space="0" w:color="000000"/>
                                    <w:right w:val="nil"/>
                                  </w:tcBorders>
                                </w:tcPr>
                                <w:p w:rsidR="007B2B7B" w:rsidRDefault="007B2B7B"/>
                              </w:tc>
                              <w:tc>
                                <w:tcPr>
                                  <w:tcW w:w="2322" w:type="dxa"/>
                                  <w:tcBorders>
                                    <w:top w:val="single" w:sz="4" w:space="0" w:color="000000"/>
                                    <w:left w:val="nil"/>
                                    <w:bottom w:val="single" w:sz="4" w:space="0" w:color="000000"/>
                                    <w:right w:val="nil"/>
                                  </w:tcBorders>
                                </w:tcPr>
                                <w:p w:rsidR="007B2B7B" w:rsidRDefault="007B2B7B">
                                  <w:pPr>
                                    <w:pStyle w:val="TableParagraph"/>
                                    <w:tabs>
                                      <w:tab w:val="left" w:pos="1118"/>
                                    </w:tabs>
                                    <w:kinsoku w:val="0"/>
                                    <w:overflowPunct w:val="0"/>
                                    <w:ind w:left="0" w:right="120"/>
                                    <w:jc w:val="right"/>
                                    <w:rPr>
                                      <w:rFonts w:ascii="Times New Roman" w:hAnsi="Times New Roman" w:cs="Times New Roman"/>
                                    </w:rPr>
                                  </w:pPr>
                                  <w:r>
                                    <w:rPr>
                                      <w:rFonts w:ascii="Times New Roman" w:hAnsi="Times New Roman" w:cs="Times New Roman"/>
                                      <w:w w:val="105"/>
                                    </w:rPr>
                                    <w:t>$</w:t>
                                  </w:r>
                                  <w:r>
                                    <w:rPr>
                                      <w:rFonts w:ascii="Times New Roman" w:hAnsi="Times New Roman" w:cs="Times New Roman"/>
                                      <w:w w:val="105"/>
                                    </w:rPr>
                                    <w:tab/>
                                  </w:r>
                                  <w:r>
                                    <w:rPr>
                                      <w:spacing w:val="-7"/>
                                      <w:position w:val="1"/>
                                      <w:sz w:val="21"/>
                                      <w:szCs w:val="21"/>
                                    </w:rPr>
                                    <w:t>168,921.00</w:t>
                                  </w:r>
                                </w:p>
                              </w:tc>
                              <w:tc>
                                <w:tcPr>
                                  <w:tcW w:w="62" w:type="dxa"/>
                                  <w:tcBorders>
                                    <w:top w:val="nil"/>
                                    <w:left w:val="nil"/>
                                    <w:bottom w:val="nil"/>
                                    <w:right w:val="nil"/>
                                  </w:tcBorders>
                                </w:tcPr>
                                <w:p w:rsidR="007B2B7B" w:rsidRDefault="007B2B7B"/>
                              </w:tc>
                              <w:tc>
                                <w:tcPr>
                                  <w:tcW w:w="1674" w:type="dxa"/>
                                  <w:tcBorders>
                                    <w:top w:val="nil"/>
                                    <w:left w:val="nil"/>
                                    <w:bottom w:val="nil"/>
                                    <w:right w:val="nil"/>
                                  </w:tcBorders>
                                </w:tcPr>
                                <w:p w:rsidR="007B2B7B" w:rsidRDefault="007B2B7B"/>
                              </w:tc>
                            </w:tr>
                            <w:tr w:rsidR="007B2B7B">
                              <w:trPr>
                                <w:trHeight w:hRule="exact" w:val="310"/>
                              </w:trPr>
                              <w:tc>
                                <w:tcPr>
                                  <w:tcW w:w="1447" w:type="dxa"/>
                                  <w:tcBorders>
                                    <w:top w:val="nil"/>
                                    <w:left w:val="nil"/>
                                    <w:bottom w:val="nil"/>
                                    <w:right w:val="nil"/>
                                  </w:tcBorders>
                                </w:tcPr>
                                <w:p w:rsidR="007B2B7B" w:rsidRDefault="007B2B7B">
                                  <w:pPr>
                                    <w:pStyle w:val="TableParagraph"/>
                                    <w:tabs>
                                      <w:tab w:val="left" w:pos="1382"/>
                                    </w:tabs>
                                    <w:kinsoku w:val="0"/>
                                    <w:overflowPunct w:val="0"/>
                                    <w:spacing w:before="41"/>
                                    <w:ind w:left="57"/>
                                    <w:rPr>
                                      <w:rFonts w:ascii="Times New Roman" w:hAnsi="Times New Roman" w:cs="Times New Roman"/>
                                    </w:rPr>
                                  </w:pPr>
                                  <w:r>
                                    <w:rPr>
                                      <w:sz w:val="21"/>
                                      <w:szCs w:val="21"/>
                                      <w:u w:val="single" w:color="000000"/>
                                    </w:rPr>
                                    <w:t>Person</w:t>
                                  </w:r>
                                  <w:r>
                                    <w:rPr>
                                      <w:spacing w:val="-14"/>
                                      <w:sz w:val="21"/>
                                      <w:szCs w:val="21"/>
                                      <w:u w:val="single" w:color="000000"/>
                                    </w:rPr>
                                    <w:t xml:space="preserve"> </w:t>
                                  </w:r>
                                  <w:r>
                                    <w:rPr>
                                      <w:sz w:val="21"/>
                                      <w:szCs w:val="21"/>
                                      <w:u w:val="single" w:color="000000"/>
                                    </w:rPr>
                                    <w:t>#4</w:t>
                                  </w:r>
                                  <w:r>
                                    <w:rPr>
                                      <w:sz w:val="21"/>
                                      <w:szCs w:val="21"/>
                                      <w:u w:val="single" w:color="000000"/>
                                    </w:rPr>
                                    <w:tab/>
                                  </w:r>
                                </w:p>
                              </w:tc>
                              <w:tc>
                                <w:tcPr>
                                  <w:tcW w:w="2916" w:type="dxa"/>
                                  <w:tcBorders>
                                    <w:top w:val="nil"/>
                                    <w:left w:val="nil"/>
                                    <w:bottom w:val="single" w:sz="2" w:space="0" w:color="000000"/>
                                    <w:right w:val="nil"/>
                                  </w:tcBorders>
                                </w:tcPr>
                                <w:p w:rsidR="007B2B7B" w:rsidRDefault="007B2B7B">
                                  <w:pPr>
                                    <w:pStyle w:val="TableParagraph"/>
                                    <w:kinsoku w:val="0"/>
                                    <w:overflowPunct w:val="0"/>
                                    <w:spacing w:before="34"/>
                                    <w:ind w:left="122"/>
                                    <w:rPr>
                                      <w:rFonts w:ascii="Times New Roman" w:hAnsi="Times New Roman" w:cs="Times New Roman"/>
                                    </w:rPr>
                                  </w:pPr>
                                  <w:r>
                                    <w:rPr>
                                      <w:w w:val="105"/>
                                      <w:sz w:val="21"/>
                                      <w:szCs w:val="21"/>
                                    </w:rPr>
                                    <w:t>Men's Inn</w:t>
                                  </w:r>
                                </w:p>
                              </w:tc>
                              <w:tc>
                                <w:tcPr>
                                  <w:tcW w:w="1767" w:type="dxa"/>
                                  <w:tcBorders>
                                    <w:top w:val="single" w:sz="4" w:space="0" w:color="000000"/>
                                    <w:left w:val="nil"/>
                                    <w:bottom w:val="single" w:sz="2" w:space="0" w:color="000000"/>
                                    <w:right w:val="nil"/>
                                  </w:tcBorders>
                                </w:tcPr>
                                <w:p w:rsidR="007B2B7B" w:rsidRDefault="007B2B7B">
                                  <w:pPr>
                                    <w:pStyle w:val="TableParagraph"/>
                                    <w:kinsoku w:val="0"/>
                                    <w:overflowPunct w:val="0"/>
                                    <w:spacing w:before="19"/>
                                    <w:ind w:left="180"/>
                                    <w:rPr>
                                      <w:rFonts w:ascii="Times New Roman" w:hAnsi="Times New Roman" w:cs="Times New Roman"/>
                                    </w:rPr>
                                  </w:pPr>
                                  <w:r>
                                    <w:rPr>
                                      <w:w w:val="105"/>
                                      <w:sz w:val="21"/>
                                      <w:szCs w:val="21"/>
                                    </w:rPr>
                                    <w:t>Outreach</w:t>
                                  </w:r>
                                </w:p>
                              </w:tc>
                              <w:tc>
                                <w:tcPr>
                                  <w:tcW w:w="1070" w:type="dxa"/>
                                  <w:tcBorders>
                                    <w:top w:val="single" w:sz="4" w:space="0" w:color="000000"/>
                                    <w:left w:val="nil"/>
                                    <w:bottom w:val="single" w:sz="2" w:space="0" w:color="000000"/>
                                    <w:right w:val="nil"/>
                                  </w:tcBorders>
                                </w:tcPr>
                                <w:p w:rsidR="007B2B7B" w:rsidRDefault="007B2B7B">
                                  <w:pPr>
                                    <w:pStyle w:val="TableParagraph"/>
                                    <w:kinsoku w:val="0"/>
                                    <w:overflowPunct w:val="0"/>
                                    <w:spacing w:before="12"/>
                                    <w:ind w:left="0" w:right="18"/>
                                    <w:jc w:val="right"/>
                                    <w:rPr>
                                      <w:rFonts w:ascii="Times New Roman" w:hAnsi="Times New Roman" w:cs="Times New Roman"/>
                                    </w:rPr>
                                  </w:pPr>
                                  <w:r>
                                    <w:rPr>
                                      <w:w w:val="115"/>
                                      <w:sz w:val="21"/>
                                      <w:szCs w:val="21"/>
                                    </w:rPr>
                                    <w:t>114</w:t>
                                  </w:r>
                                </w:p>
                              </w:tc>
                              <w:tc>
                                <w:tcPr>
                                  <w:tcW w:w="71" w:type="dxa"/>
                                  <w:tcBorders>
                                    <w:top w:val="single" w:sz="4" w:space="0" w:color="000000"/>
                                    <w:left w:val="nil"/>
                                    <w:bottom w:val="single" w:sz="2" w:space="0" w:color="000000"/>
                                    <w:right w:val="nil"/>
                                  </w:tcBorders>
                                </w:tcPr>
                                <w:p w:rsidR="007B2B7B" w:rsidRDefault="007B2B7B"/>
                              </w:tc>
                              <w:tc>
                                <w:tcPr>
                                  <w:tcW w:w="2322" w:type="dxa"/>
                                  <w:tcBorders>
                                    <w:top w:val="single" w:sz="4" w:space="0" w:color="000000"/>
                                    <w:left w:val="nil"/>
                                    <w:bottom w:val="single" w:sz="2" w:space="0" w:color="000000"/>
                                    <w:right w:val="nil"/>
                                  </w:tcBorders>
                                </w:tcPr>
                                <w:p w:rsidR="007B2B7B" w:rsidRDefault="007B2B7B">
                                  <w:pPr>
                                    <w:pStyle w:val="TableParagraph"/>
                                    <w:tabs>
                                      <w:tab w:val="left" w:pos="1115"/>
                                    </w:tabs>
                                    <w:kinsoku w:val="0"/>
                                    <w:overflowPunct w:val="0"/>
                                    <w:spacing w:line="273" w:lineRule="exact"/>
                                    <w:ind w:left="0" w:right="94"/>
                                    <w:jc w:val="right"/>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spacing w:val="-4"/>
                                      <w:position w:val="1"/>
                                      <w:sz w:val="21"/>
                                      <w:szCs w:val="21"/>
                                    </w:rPr>
                                    <w:t>140,562.00</w:t>
                                  </w:r>
                                </w:p>
                              </w:tc>
                              <w:tc>
                                <w:tcPr>
                                  <w:tcW w:w="62" w:type="dxa"/>
                                  <w:tcBorders>
                                    <w:top w:val="nil"/>
                                    <w:left w:val="nil"/>
                                    <w:bottom w:val="nil"/>
                                    <w:right w:val="nil"/>
                                  </w:tcBorders>
                                </w:tcPr>
                                <w:p w:rsidR="007B2B7B" w:rsidRDefault="007B2B7B"/>
                              </w:tc>
                              <w:tc>
                                <w:tcPr>
                                  <w:tcW w:w="1674" w:type="dxa"/>
                                  <w:tcBorders>
                                    <w:top w:val="nil"/>
                                    <w:left w:val="nil"/>
                                    <w:bottom w:val="nil"/>
                                    <w:right w:val="nil"/>
                                  </w:tcBorders>
                                </w:tcPr>
                                <w:p w:rsidR="007B2B7B" w:rsidRDefault="007B2B7B"/>
                              </w:tc>
                            </w:tr>
                            <w:tr w:rsidR="007B2B7B">
                              <w:trPr>
                                <w:trHeight w:hRule="exact" w:val="334"/>
                              </w:trPr>
                              <w:tc>
                                <w:tcPr>
                                  <w:tcW w:w="1447" w:type="dxa"/>
                                  <w:tcBorders>
                                    <w:top w:val="nil"/>
                                    <w:left w:val="nil"/>
                                    <w:bottom w:val="single" w:sz="2" w:space="0" w:color="000000"/>
                                    <w:right w:val="nil"/>
                                  </w:tcBorders>
                                </w:tcPr>
                                <w:p w:rsidR="007B2B7B" w:rsidRDefault="007B2B7B">
                                  <w:pPr>
                                    <w:pStyle w:val="TableParagraph"/>
                                    <w:kinsoku w:val="0"/>
                                    <w:overflowPunct w:val="0"/>
                                    <w:spacing w:before="50"/>
                                    <w:ind w:left="57"/>
                                    <w:rPr>
                                      <w:rFonts w:ascii="Times New Roman" w:hAnsi="Times New Roman" w:cs="Times New Roman"/>
                                    </w:rPr>
                                  </w:pPr>
                                  <w:r>
                                    <w:rPr>
                                      <w:sz w:val="21"/>
                                      <w:szCs w:val="21"/>
                                    </w:rPr>
                                    <w:t>Person #5</w:t>
                                  </w:r>
                                </w:p>
                              </w:tc>
                              <w:tc>
                                <w:tcPr>
                                  <w:tcW w:w="2916" w:type="dxa"/>
                                  <w:tcBorders>
                                    <w:top w:val="single" w:sz="2" w:space="0" w:color="000000"/>
                                    <w:left w:val="nil"/>
                                    <w:bottom w:val="single" w:sz="4" w:space="0" w:color="000000"/>
                                    <w:right w:val="nil"/>
                                  </w:tcBorders>
                                </w:tcPr>
                                <w:p w:rsidR="007B2B7B" w:rsidRDefault="007B2B7B">
                                  <w:pPr>
                                    <w:pStyle w:val="TableParagraph"/>
                                    <w:kinsoku w:val="0"/>
                                    <w:overflowPunct w:val="0"/>
                                    <w:spacing w:before="38"/>
                                    <w:ind w:left="108"/>
                                    <w:rPr>
                                      <w:rFonts w:ascii="Times New Roman" w:hAnsi="Times New Roman" w:cs="Times New Roman"/>
                                    </w:rPr>
                                  </w:pPr>
                                  <w:r>
                                    <w:rPr>
                                      <w:w w:val="105"/>
                                      <w:sz w:val="21"/>
                                      <w:szCs w:val="21"/>
                                    </w:rPr>
                                    <w:t>Shattuck, Women's Inn</w:t>
                                  </w:r>
                                </w:p>
                              </w:tc>
                              <w:tc>
                                <w:tcPr>
                                  <w:tcW w:w="1767" w:type="dxa"/>
                                  <w:tcBorders>
                                    <w:top w:val="single" w:sz="2" w:space="0" w:color="000000"/>
                                    <w:left w:val="nil"/>
                                    <w:bottom w:val="single" w:sz="4" w:space="0" w:color="000000"/>
                                    <w:right w:val="nil"/>
                                  </w:tcBorders>
                                </w:tcPr>
                                <w:p w:rsidR="007B2B7B" w:rsidRDefault="007B2B7B">
                                  <w:pPr>
                                    <w:pStyle w:val="TableParagraph"/>
                                    <w:kinsoku w:val="0"/>
                                    <w:overflowPunct w:val="0"/>
                                    <w:spacing w:before="38"/>
                                    <w:ind w:left="122"/>
                                    <w:rPr>
                                      <w:rFonts w:ascii="Times New Roman" w:hAnsi="Times New Roman" w:cs="Times New Roman"/>
                                    </w:rPr>
                                  </w:pPr>
                                  <w:r>
                                    <w:rPr>
                                      <w:w w:val="105"/>
                                      <w:sz w:val="21"/>
                                      <w:szCs w:val="21"/>
                                    </w:rPr>
                                    <w:t>Outreach</w:t>
                                  </w:r>
                                </w:p>
                              </w:tc>
                              <w:tc>
                                <w:tcPr>
                                  <w:tcW w:w="1070" w:type="dxa"/>
                                  <w:tcBorders>
                                    <w:top w:val="single" w:sz="2" w:space="0" w:color="000000"/>
                                    <w:left w:val="nil"/>
                                    <w:bottom w:val="single" w:sz="4" w:space="0" w:color="000000"/>
                                    <w:right w:val="nil"/>
                                  </w:tcBorders>
                                </w:tcPr>
                                <w:p w:rsidR="007B2B7B" w:rsidRDefault="007B2B7B">
                                  <w:pPr>
                                    <w:pStyle w:val="TableParagraph"/>
                                    <w:kinsoku w:val="0"/>
                                    <w:overflowPunct w:val="0"/>
                                    <w:spacing w:before="31"/>
                                    <w:ind w:left="0" w:right="36"/>
                                    <w:jc w:val="right"/>
                                    <w:rPr>
                                      <w:rFonts w:ascii="Times New Roman" w:hAnsi="Times New Roman" w:cs="Times New Roman"/>
                                    </w:rPr>
                                  </w:pPr>
                                  <w:r>
                                    <w:rPr>
                                      <w:w w:val="110"/>
                                      <w:sz w:val="21"/>
                                      <w:szCs w:val="21"/>
                                    </w:rPr>
                                    <w:t>105</w:t>
                                  </w:r>
                                </w:p>
                              </w:tc>
                              <w:tc>
                                <w:tcPr>
                                  <w:tcW w:w="71" w:type="dxa"/>
                                  <w:tcBorders>
                                    <w:top w:val="single" w:sz="2" w:space="0" w:color="000000"/>
                                    <w:left w:val="nil"/>
                                    <w:bottom w:val="single" w:sz="4" w:space="0" w:color="000000"/>
                                    <w:right w:val="nil"/>
                                  </w:tcBorders>
                                </w:tcPr>
                                <w:p w:rsidR="007B2B7B" w:rsidRDefault="007B2B7B"/>
                              </w:tc>
                              <w:tc>
                                <w:tcPr>
                                  <w:tcW w:w="2322" w:type="dxa"/>
                                  <w:tcBorders>
                                    <w:top w:val="single" w:sz="2" w:space="0" w:color="000000"/>
                                    <w:left w:val="nil"/>
                                    <w:bottom w:val="single" w:sz="4" w:space="0" w:color="000000"/>
                                    <w:right w:val="nil"/>
                                  </w:tcBorders>
                                </w:tcPr>
                                <w:p w:rsidR="007B2B7B" w:rsidRDefault="007B2B7B">
                                  <w:pPr>
                                    <w:pStyle w:val="TableParagraph"/>
                                    <w:tabs>
                                      <w:tab w:val="left" w:pos="1115"/>
                                    </w:tabs>
                                    <w:kinsoku w:val="0"/>
                                    <w:overflowPunct w:val="0"/>
                                    <w:spacing w:before="16"/>
                                    <w:ind w:left="0" w:right="94"/>
                                    <w:jc w:val="right"/>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spacing w:val="-4"/>
                                      <w:position w:val="1"/>
                                      <w:sz w:val="21"/>
                                      <w:szCs w:val="21"/>
                                    </w:rPr>
                                    <w:t>129,465.00</w:t>
                                  </w:r>
                                </w:p>
                              </w:tc>
                              <w:tc>
                                <w:tcPr>
                                  <w:tcW w:w="62" w:type="dxa"/>
                                  <w:tcBorders>
                                    <w:top w:val="nil"/>
                                    <w:left w:val="nil"/>
                                    <w:bottom w:val="nil"/>
                                    <w:right w:val="nil"/>
                                  </w:tcBorders>
                                </w:tcPr>
                                <w:p w:rsidR="007B2B7B" w:rsidRDefault="007B2B7B"/>
                              </w:tc>
                              <w:tc>
                                <w:tcPr>
                                  <w:tcW w:w="1674" w:type="dxa"/>
                                  <w:tcBorders>
                                    <w:top w:val="nil"/>
                                    <w:left w:val="nil"/>
                                    <w:bottom w:val="nil"/>
                                    <w:right w:val="nil"/>
                                  </w:tcBorders>
                                </w:tcPr>
                                <w:p w:rsidR="007B2B7B" w:rsidRDefault="007B2B7B"/>
                              </w:tc>
                            </w:tr>
                            <w:tr w:rsidR="007B2B7B">
                              <w:trPr>
                                <w:trHeight w:hRule="exact" w:val="307"/>
                              </w:trPr>
                              <w:tc>
                                <w:tcPr>
                                  <w:tcW w:w="1447" w:type="dxa"/>
                                  <w:tcBorders>
                                    <w:top w:val="single" w:sz="2" w:space="0" w:color="000000"/>
                                    <w:left w:val="nil"/>
                                    <w:bottom w:val="nil"/>
                                    <w:right w:val="nil"/>
                                  </w:tcBorders>
                                </w:tcPr>
                                <w:p w:rsidR="007B2B7B" w:rsidRDefault="007B2B7B">
                                  <w:pPr>
                                    <w:pStyle w:val="TableParagraph"/>
                                    <w:tabs>
                                      <w:tab w:val="left" w:pos="1382"/>
                                    </w:tabs>
                                    <w:kinsoku w:val="0"/>
                                    <w:overflowPunct w:val="0"/>
                                    <w:spacing w:before="48"/>
                                    <w:ind w:left="57"/>
                                    <w:rPr>
                                      <w:rFonts w:ascii="Times New Roman" w:hAnsi="Times New Roman" w:cs="Times New Roman"/>
                                    </w:rPr>
                                  </w:pPr>
                                  <w:r>
                                    <w:rPr>
                                      <w:sz w:val="21"/>
                                      <w:szCs w:val="21"/>
                                      <w:u w:val="single" w:color="000000"/>
                                    </w:rPr>
                                    <w:t>Person</w:t>
                                  </w:r>
                                  <w:r>
                                    <w:rPr>
                                      <w:spacing w:val="-14"/>
                                      <w:sz w:val="21"/>
                                      <w:szCs w:val="21"/>
                                      <w:u w:val="single" w:color="000000"/>
                                    </w:rPr>
                                    <w:t xml:space="preserve"> </w:t>
                                  </w:r>
                                  <w:r>
                                    <w:rPr>
                                      <w:sz w:val="21"/>
                                      <w:szCs w:val="21"/>
                                      <w:u w:val="single" w:color="000000"/>
                                    </w:rPr>
                                    <w:t>#6</w:t>
                                  </w:r>
                                  <w:r>
                                    <w:rPr>
                                      <w:sz w:val="21"/>
                                      <w:szCs w:val="21"/>
                                      <w:u w:val="single" w:color="000000"/>
                                    </w:rPr>
                                    <w:tab/>
                                  </w:r>
                                </w:p>
                              </w:tc>
                              <w:tc>
                                <w:tcPr>
                                  <w:tcW w:w="2916" w:type="dxa"/>
                                  <w:tcBorders>
                                    <w:top w:val="single" w:sz="4" w:space="0" w:color="000000"/>
                                    <w:left w:val="nil"/>
                                    <w:bottom w:val="single" w:sz="2" w:space="0" w:color="000000"/>
                                    <w:right w:val="nil"/>
                                  </w:tcBorders>
                                </w:tcPr>
                                <w:p w:rsidR="007B2B7B" w:rsidRDefault="007B2B7B">
                                  <w:pPr>
                                    <w:pStyle w:val="TableParagraph"/>
                                    <w:kinsoku w:val="0"/>
                                    <w:overflowPunct w:val="0"/>
                                    <w:spacing w:before="33"/>
                                    <w:ind w:left="108"/>
                                    <w:rPr>
                                      <w:rFonts w:ascii="Times New Roman" w:hAnsi="Times New Roman" w:cs="Times New Roman"/>
                                    </w:rPr>
                                  </w:pPr>
                                  <w:r>
                                    <w:rPr>
                                      <w:w w:val="105"/>
                                      <w:sz w:val="21"/>
                                      <w:szCs w:val="21"/>
                                    </w:rPr>
                                    <w:t>Shattuck, Men's Inn</w:t>
                                  </w:r>
                                </w:p>
                              </w:tc>
                              <w:tc>
                                <w:tcPr>
                                  <w:tcW w:w="1767" w:type="dxa"/>
                                  <w:tcBorders>
                                    <w:top w:val="single" w:sz="4" w:space="0" w:color="000000"/>
                                    <w:left w:val="nil"/>
                                    <w:bottom w:val="single" w:sz="2" w:space="0" w:color="000000"/>
                                    <w:right w:val="nil"/>
                                  </w:tcBorders>
                                </w:tcPr>
                                <w:p w:rsidR="007B2B7B" w:rsidRDefault="007B2B7B">
                                  <w:pPr>
                                    <w:pStyle w:val="TableParagraph"/>
                                    <w:kinsoku w:val="0"/>
                                    <w:overflowPunct w:val="0"/>
                                    <w:spacing w:before="33"/>
                                    <w:ind w:left="122"/>
                                    <w:rPr>
                                      <w:rFonts w:ascii="Times New Roman" w:hAnsi="Times New Roman" w:cs="Times New Roman"/>
                                    </w:rPr>
                                  </w:pPr>
                                  <w:r>
                                    <w:rPr>
                                      <w:w w:val="105"/>
                                      <w:sz w:val="21"/>
                                      <w:szCs w:val="21"/>
                                    </w:rPr>
                                    <w:t>Outreach</w:t>
                                  </w:r>
                                </w:p>
                              </w:tc>
                              <w:tc>
                                <w:tcPr>
                                  <w:tcW w:w="1141" w:type="dxa"/>
                                  <w:gridSpan w:val="2"/>
                                  <w:tcBorders>
                                    <w:top w:val="single" w:sz="4" w:space="0" w:color="000000"/>
                                    <w:left w:val="nil"/>
                                    <w:bottom w:val="single" w:sz="2" w:space="0" w:color="000000"/>
                                    <w:right w:val="nil"/>
                                  </w:tcBorders>
                                </w:tcPr>
                                <w:p w:rsidR="007B2B7B" w:rsidRDefault="007B2B7B">
                                  <w:pPr>
                                    <w:pStyle w:val="TableParagraph"/>
                                    <w:kinsoku w:val="0"/>
                                    <w:overflowPunct w:val="0"/>
                                    <w:spacing w:before="26"/>
                                    <w:ind w:left="0" w:right="92"/>
                                    <w:jc w:val="right"/>
                                    <w:rPr>
                                      <w:rFonts w:ascii="Times New Roman" w:hAnsi="Times New Roman" w:cs="Times New Roman"/>
                                    </w:rPr>
                                  </w:pPr>
                                  <w:r>
                                    <w:rPr>
                                      <w:sz w:val="21"/>
                                      <w:szCs w:val="21"/>
                                    </w:rPr>
                                    <w:t>73</w:t>
                                  </w:r>
                                </w:p>
                              </w:tc>
                              <w:tc>
                                <w:tcPr>
                                  <w:tcW w:w="2322" w:type="dxa"/>
                                  <w:tcBorders>
                                    <w:top w:val="single" w:sz="4" w:space="0" w:color="000000"/>
                                    <w:left w:val="nil"/>
                                    <w:bottom w:val="single" w:sz="2" w:space="0" w:color="000000"/>
                                    <w:right w:val="nil"/>
                                  </w:tcBorders>
                                </w:tcPr>
                                <w:p w:rsidR="007B2B7B" w:rsidRDefault="007B2B7B">
                                  <w:pPr>
                                    <w:pStyle w:val="TableParagraph"/>
                                    <w:tabs>
                                      <w:tab w:val="left" w:pos="1231"/>
                                    </w:tabs>
                                    <w:kinsoku w:val="0"/>
                                    <w:overflowPunct w:val="0"/>
                                    <w:spacing w:before="11"/>
                                    <w:ind w:left="0" w:right="62"/>
                                    <w:jc w:val="right"/>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position w:val="1"/>
                                      <w:sz w:val="21"/>
                                      <w:szCs w:val="21"/>
                                    </w:rPr>
                                    <w:t>90,009.00</w:t>
                                  </w:r>
                                </w:p>
                              </w:tc>
                              <w:tc>
                                <w:tcPr>
                                  <w:tcW w:w="1736" w:type="dxa"/>
                                  <w:gridSpan w:val="2"/>
                                  <w:tcBorders>
                                    <w:top w:val="nil"/>
                                    <w:left w:val="nil"/>
                                    <w:bottom w:val="nil"/>
                                    <w:right w:val="nil"/>
                                  </w:tcBorders>
                                </w:tcPr>
                                <w:p w:rsidR="007B2B7B" w:rsidRDefault="007B2B7B"/>
                              </w:tc>
                            </w:tr>
                            <w:tr w:rsidR="007B2B7B">
                              <w:trPr>
                                <w:trHeight w:hRule="exact" w:val="329"/>
                              </w:trPr>
                              <w:tc>
                                <w:tcPr>
                                  <w:tcW w:w="1447" w:type="dxa"/>
                                  <w:tcBorders>
                                    <w:top w:val="nil"/>
                                    <w:left w:val="nil"/>
                                    <w:bottom w:val="nil"/>
                                    <w:right w:val="nil"/>
                                  </w:tcBorders>
                                </w:tcPr>
                                <w:p w:rsidR="007B2B7B" w:rsidRDefault="007B2B7B">
                                  <w:pPr>
                                    <w:pStyle w:val="TableParagraph"/>
                                    <w:tabs>
                                      <w:tab w:val="left" w:pos="1382"/>
                                    </w:tabs>
                                    <w:kinsoku w:val="0"/>
                                    <w:overflowPunct w:val="0"/>
                                    <w:spacing w:before="57"/>
                                    <w:ind w:left="57"/>
                                    <w:rPr>
                                      <w:rFonts w:ascii="Times New Roman" w:hAnsi="Times New Roman" w:cs="Times New Roman"/>
                                    </w:rPr>
                                  </w:pPr>
                                  <w:r>
                                    <w:rPr>
                                      <w:sz w:val="21"/>
                                      <w:szCs w:val="21"/>
                                      <w:u w:val="single" w:color="000000"/>
                                    </w:rPr>
                                    <w:t>Person</w:t>
                                  </w:r>
                                  <w:r>
                                    <w:rPr>
                                      <w:spacing w:val="-22"/>
                                      <w:sz w:val="21"/>
                                      <w:szCs w:val="21"/>
                                      <w:u w:val="single" w:color="000000"/>
                                    </w:rPr>
                                    <w:t xml:space="preserve"> </w:t>
                                  </w:r>
                                  <w:r>
                                    <w:rPr>
                                      <w:sz w:val="21"/>
                                      <w:szCs w:val="21"/>
                                      <w:u w:val="single" w:color="000000"/>
                                    </w:rPr>
                                    <w:t>#7</w:t>
                                  </w:r>
                                  <w:r>
                                    <w:rPr>
                                      <w:sz w:val="21"/>
                                      <w:szCs w:val="21"/>
                                      <w:u w:val="single" w:color="000000"/>
                                    </w:rPr>
                                    <w:tab/>
                                  </w:r>
                                </w:p>
                              </w:tc>
                              <w:tc>
                                <w:tcPr>
                                  <w:tcW w:w="2916" w:type="dxa"/>
                                  <w:tcBorders>
                                    <w:top w:val="single" w:sz="2" w:space="0" w:color="000000"/>
                                    <w:left w:val="nil"/>
                                    <w:bottom w:val="nil"/>
                                    <w:right w:val="nil"/>
                                  </w:tcBorders>
                                </w:tcPr>
                                <w:p w:rsidR="007B2B7B" w:rsidRDefault="007B2B7B">
                                  <w:pPr>
                                    <w:pStyle w:val="TableParagraph"/>
                                    <w:kinsoku w:val="0"/>
                                    <w:overflowPunct w:val="0"/>
                                    <w:spacing w:before="45"/>
                                    <w:ind w:left="108"/>
                                    <w:rPr>
                                      <w:rFonts w:ascii="Times New Roman" w:hAnsi="Times New Roman" w:cs="Times New Roman"/>
                                    </w:rPr>
                                  </w:pPr>
                                  <w:r>
                                    <w:rPr>
                                      <w:w w:val="105"/>
                                      <w:sz w:val="21"/>
                                      <w:szCs w:val="21"/>
                                    </w:rPr>
                                    <w:t>Women's Inn</w:t>
                                  </w:r>
                                </w:p>
                              </w:tc>
                              <w:tc>
                                <w:tcPr>
                                  <w:tcW w:w="1767" w:type="dxa"/>
                                  <w:tcBorders>
                                    <w:top w:val="single" w:sz="2" w:space="0" w:color="000000"/>
                                    <w:left w:val="nil"/>
                                    <w:bottom w:val="single" w:sz="4" w:space="0" w:color="000000"/>
                                    <w:right w:val="nil"/>
                                  </w:tcBorders>
                                </w:tcPr>
                                <w:p w:rsidR="007B2B7B" w:rsidRDefault="007B2B7B">
                                  <w:pPr>
                                    <w:pStyle w:val="TableParagraph"/>
                                    <w:kinsoku w:val="0"/>
                                    <w:overflowPunct w:val="0"/>
                                    <w:spacing w:before="38"/>
                                    <w:ind w:left="122"/>
                                    <w:rPr>
                                      <w:rFonts w:ascii="Times New Roman" w:hAnsi="Times New Roman" w:cs="Times New Roman"/>
                                    </w:rPr>
                                  </w:pPr>
                                  <w:r>
                                    <w:rPr>
                                      <w:w w:val="105"/>
                                      <w:sz w:val="21"/>
                                      <w:szCs w:val="21"/>
                                    </w:rPr>
                                    <w:t>Outreach</w:t>
                                  </w:r>
                                </w:p>
                              </w:tc>
                              <w:tc>
                                <w:tcPr>
                                  <w:tcW w:w="1141" w:type="dxa"/>
                                  <w:gridSpan w:val="2"/>
                                  <w:tcBorders>
                                    <w:top w:val="single" w:sz="2" w:space="0" w:color="000000"/>
                                    <w:left w:val="nil"/>
                                    <w:bottom w:val="single" w:sz="4" w:space="0" w:color="000000"/>
                                    <w:right w:val="nil"/>
                                  </w:tcBorders>
                                </w:tcPr>
                                <w:p w:rsidR="007B2B7B" w:rsidRDefault="007B2B7B">
                                  <w:pPr>
                                    <w:pStyle w:val="TableParagraph"/>
                                    <w:kinsoku w:val="0"/>
                                    <w:overflowPunct w:val="0"/>
                                    <w:spacing w:before="38"/>
                                    <w:ind w:left="0" w:right="54"/>
                                    <w:jc w:val="right"/>
                                    <w:rPr>
                                      <w:rFonts w:ascii="Times New Roman" w:hAnsi="Times New Roman" w:cs="Times New Roman"/>
                                    </w:rPr>
                                  </w:pPr>
                                  <w:r>
                                    <w:rPr>
                                      <w:w w:val="110"/>
                                      <w:sz w:val="21"/>
                                      <w:szCs w:val="21"/>
                                    </w:rPr>
                                    <w:t>71</w:t>
                                  </w:r>
                                </w:p>
                              </w:tc>
                              <w:tc>
                                <w:tcPr>
                                  <w:tcW w:w="2322" w:type="dxa"/>
                                  <w:tcBorders>
                                    <w:top w:val="single" w:sz="2" w:space="0" w:color="000000"/>
                                    <w:left w:val="nil"/>
                                    <w:bottom w:val="single" w:sz="4" w:space="0" w:color="000000"/>
                                    <w:right w:val="nil"/>
                                  </w:tcBorders>
                                </w:tcPr>
                                <w:p w:rsidR="007B2B7B" w:rsidRDefault="007B2B7B">
                                  <w:pPr>
                                    <w:pStyle w:val="TableParagraph"/>
                                    <w:tabs>
                                      <w:tab w:val="left" w:pos="1223"/>
                                    </w:tabs>
                                    <w:kinsoku w:val="0"/>
                                    <w:overflowPunct w:val="0"/>
                                    <w:spacing w:before="23"/>
                                    <w:ind w:left="0" w:right="58"/>
                                    <w:jc w:val="right"/>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position w:val="1"/>
                                      <w:sz w:val="21"/>
                                      <w:szCs w:val="21"/>
                                    </w:rPr>
                                    <w:t>87,543.00</w:t>
                                  </w:r>
                                </w:p>
                              </w:tc>
                              <w:tc>
                                <w:tcPr>
                                  <w:tcW w:w="1736" w:type="dxa"/>
                                  <w:gridSpan w:val="2"/>
                                  <w:tcBorders>
                                    <w:top w:val="nil"/>
                                    <w:left w:val="nil"/>
                                    <w:bottom w:val="nil"/>
                                    <w:right w:val="nil"/>
                                  </w:tcBorders>
                                </w:tcPr>
                                <w:p w:rsidR="007B2B7B" w:rsidRDefault="007B2B7B"/>
                              </w:tc>
                            </w:tr>
                            <w:tr w:rsidR="007B2B7B">
                              <w:trPr>
                                <w:trHeight w:hRule="exact" w:val="310"/>
                              </w:trPr>
                              <w:tc>
                                <w:tcPr>
                                  <w:tcW w:w="1447" w:type="dxa"/>
                                  <w:tcBorders>
                                    <w:top w:val="nil"/>
                                    <w:left w:val="nil"/>
                                    <w:bottom w:val="nil"/>
                                    <w:right w:val="nil"/>
                                  </w:tcBorders>
                                </w:tcPr>
                                <w:p w:rsidR="007B2B7B" w:rsidRDefault="007B2B7B">
                                  <w:pPr>
                                    <w:pStyle w:val="TableParagraph"/>
                                    <w:kinsoku w:val="0"/>
                                    <w:overflowPunct w:val="0"/>
                                    <w:spacing w:before="52"/>
                                    <w:ind w:left="57"/>
                                    <w:rPr>
                                      <w:rFonts w:ascii="Times New Roman" w:hAnsi="Times New Roman" w:cs="Times New Roman"/>
                                    </w:rPr>
                                  </w:pPr>
                                  <w:r>
                                    <w:rPr>
                                      <w:sz w:val="21"/>
                                      <w:szCs w:val="21"/>
                                    </w:rPr>
                                    <w:t>Person #8</w:t>
                                  </w:r>
                                </w:p>
                              </w:tc>
                              <w:tc>
                                <w:tcPr>
                                  <w:tcW w:w="2916" w:type="dxa"/>
                                  <w:tcBorders>
                                    <w:top w:val="nil"/>
                                    <w:left w:val="nil"/>
                                    <w:bottom w:val="single" w:sz="2" w:space="0" w:color="000000"/>
                                    <w:right w:val="nil"/>
                                  </w:tcBorders>
                                </w:tcPr>
                                <w:p w:rsidR="007B2B7B" w:rsidRDefault="007B2B7B">
                                  <w:pPr>
                                    <w:pStyle w:val="TableParagraph"/>
                                    <w:kinsoku w:val="0"/>
                                    <w:overflowPunct w:val="0"/>
                                    <w:spacing w:before="45"/>
                                    <w:ind w:left="122"/>
                                    <w:rPr>
                                      <w:rFonts w:ascii="Times New Roman" w:hAnsi="Times New Roman" w:cs="Times New Roman"/>
                                    </w:rPr>
                                  </w:pPr>
                                  <w:r>
                                    <w:rPr>
                                      <w:w w:val="105"/>
                                      <w:sz w:val="21"/>
                                      <w:szCs w:val="21"/>
                                    </w:rPr>
                                    <w:t>Men's Inn, Shattuck</w:t>
                                  </w:r>
                                </w:p>
                              </w:tc>
                              <w:tc>
                                <w:tcPr>
                                  <w:tcW w:w="1767" w:type="dxa"/>
                                  <w:tcBorders>
                                    <w:top w:val="single" w:sz="4" w:space="0" w:color="000000"/>
                                    <w:left w:val="nil"/>
                                    <w:bottom w:val="single" w:sz="2" w:space="0" w:color="000000"/>
                                    <w:right w:val="nil"/>
                                  </w:tcBorders>
                                </w:tcPr>
                                <w:p w:rsidR="007B2B7B" w:rsidRDefault="007B2B7B">
                                  <w:pPr>
                                    <w:pStyle w:val="TableParagraph"/>
                                    <w:kinsoku w:val="0"/>
                                    <w:overflowPunct w:val="0"/>
                                    <w:spacing w:before="31"/>
                                    <w:ind w:left="122"/>
                                    <w:rPr>
                                      <w:rFonts w:ascii="Times New Roman" w:hAnsi="Times New Roman" w:cs="Times New Roman"/>
                                    </w:rPr>
                                  </w:pPr>
                                  <w:r>
                                    <w:rPr>
                                      <w:w w:val="105"/>
                                      <w:sz w:val="21"/>
                                      <w:szCs w:val="21"/>
                                    </w:rPr>
                                    <w:t>Outreach</w:t>
                                  </w:r>
                                </w:p>
                              </w:tc>
                              <w:tc>
                                <w:tcPr>
                                  <w:tcW w:w="1141" w:type="dxa"/>
                                  <w:gridSpan w:val="2"/>
                                  <w:tcBorders>
                                    <w:top w:val="single" w:sz="4" w:space="0" w:color="000000"/>
                                    <w:left w:val="nil"/>
                                    <w:bottom w:val="single" w:sz="2" w:space="0" w:color="000000"/>
                                    <w:right w:val="nil"/>
                                  </w:tcBorders>
                                </w:tcPr>
                                <w:p w:rsidR="007B2B7B" w:rsidRDefault="007B2B7B">
                                  <w:pPr>
                                    <w:pStyle w:val="TableParagraph"/>
                                    <w:kinsoku w:val="0"/>
                                    <w:overflowPunct w:val="0"/>
                                    <w:spacing w:before="31"/>
                                    <w:ind w:left="0" w:right="85"/>
                                    <w:jc w:val="right"/>
                                    <w:rPr>
                                      <w:rFonts w:ascii="Times New Roman" w:hAnsi="Times New Roman" w:cs="Times New Roman"/>
                                    </w:rPr>
                                  </w:pPr>
                                  <w:r>
                                    <w:rPr>
                                      <w:sz w:val="21"/>
                                      <w:szCs w:val="21"/>
                                    </w:rPr>
                                    <w:t>70</w:t>
                                  </w:r>
                                </w:p>
                              </w:tc>
                              <w:tc>
                                <w:tcPr>
                                  <w:tcW w:w="2322" w:type="dxa"/>
                                  <w:tcBorders>
                                    <w:top w:val="single" w:sz="4" w:space="0" w:color="000000"/>
                                    <w:left w:val="nil"/>
                                    <w:bottom w:val="single" w:sz="2" w:space="0" w:color="000000"/>
                                    <w:right w:val="nil"/>
                                  </w:tcBorders>
                                </w:tcPr>
                                <w:p w:rsidR="007B2B7B" w:rsidRDefault="007B2B7B">
                                  <w:pPr>
                                    <w:pStyle w:val="TableParagraph"/>
                                    <w:tabs>
                                      <w:tab w:val="left" w:pos="1231"/>
                                    </w:tabs>
                                    <w:kinsoku w:val="0"/>
                                    <w:overflowPunct w:val="0"/>
                                    <w:spacing w:before="16"/>
                                    <w:ind w:left="0" w:right="82"/>
                                    <w:jc w:val="right"/>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spacing w:val="-3"/>
                                      <w:position w:val="1"/>
                                      <w:sz w:val="21"/>
                                      <w:szCs w:val="21"/>
                                    </w:rPr>
                                    <w:t>86,310.00</w:t>
                                  </w:r>
                                </w:p>
                              </w:tc>
                              <w:tc>
                                <w:tcPr>
                                  <w:tcW w:w="1736" w:type="dxa"/>
                                  <w:gridSpan w:val="2"/>
                                  <w:tcBorders>
                                    <w:top w:val="nil"/>
                                    <w:left w:val="nil"/>
                                    <w:bottom w:val="nil"/>
                                    <w:right w:val="nil"/>
                                  </w:tcBorders>
                                </w:tcPr>
                                <w:p w:rsidR="007B2B7B" w:rsidRDefault="007B2B7B"/>
                              </w:tc>
                            </w:tr>
                            <w:tr w:rsidR="007B2B7B">
                              <w:trPr>
                                <w:trHeight w:hRule="exact" w:val="324"/>
                              </w:trPr>
                              <w:tc>
                                <w:tcPr>
                                  <w:tcW w:w="1447" w:type="dxa"/>
                                  <w:tcBorders>
                                    <w:top w:val="nil"/>
                                    <w:left w:val="nil"/>
                                    <w:bottom w:val="single" w:sz="4" w:space="0" w:color="000000"/>
                                    <w:right w:val="nil"/>
                                  </w:tcBorders>
                                </w:tcPr>
                                <w:p w:rsidR="007B2B7B" w:rsidRDefault="007B2B7B">
                                  <w:pPr>
                                    <w:pStyle w:val="TableParagraph"/>
                                    <w:kinsoku w:val="0"/>
                                    <w:overflowPunct w:val="0"/>
                                    <w:spacing w:before="48"/>
                                    <w:ind w:left="57"/>
                                    <w:rPr>
                                      <w:rFonts w:ascii="Times New Roman" w:hAnsi="Times New Roman" w:cs="Times New Roman"/>
                                    </w:rPr>
                                  </w:pPr>
                                  <w:r>
                                    <w:rPr>
                                      <w:sz w:val="21"/>
                                      <w:szCs w:val="21"/>
                                    </w:rPr>
                                    <w:t>Person #9</w:t>
                                  </w:r>
                                </w:p>
                              </w:tc>
                              <w:tc>
                                <w:tcPr>
                                  <w:tcW w:w="2916" w:type="dxa"/>
                                  <w:tcBorders>
                                    <w:top w:val="single" w:sz="2" w:space="0" w:color="000000"/>
                                    <w:left w:val="nil"/>
                                    <w:bottom w:val="single" w:sz="4" w:space="0" w:color="000000"/>
                                    <w:right w:val="nil"/>
                                  </w:tcBorders>
                                </w:tcPr>
                                <w:p w:rsidR="007B2B7B" w:rsidRDefault="007B2B7B">
                                  <w:pPr>
                                    <w:pStyle w:val="TableParagraph"/>
                                    <w:kinsoku w:val="0"/>
                                    <w:overflowPunct w:val="0"/>
                                    <w:spacing w:before="36"/>
                                    <w:ind w:left="122"/>
                                    <w:rPr>
                                      <w:rFonts w:ascii="Times New Roman" w:hAnsi="Times New Roman" w:cs="Times New Roman"/>
                                    </w:rPr>
                                  </w:pPr>
                                  <w:r>
                                    <w:rPr>
                                      <w:w w:val="105"/>
                                      <w:sz w:val="21"/>
                                      <w:szCs w:val="21"/>
                                    </w:rPr>
                                    <w:t>Men's Inn, Shattuck</w:t>
                                  </w:r>
                                </w:p>
                              </w:tc>
                              <w:tc>
                                <w:tcPr>
                                  <w:tcW w:w="1767" w:type="dxa"/>
                                  <w:tcBorders>
                                    <w:top w:val="single" w:sz="2" w:space="0" w:color="000000"/>
                                    <w:left w:val="nil"/>
                                    <w:bottom w:val="single" w:sz="4" w:space="0" w:color="000000"/>
                                    <w:right w:val="nil"/>
                                  </w:tcBorders>
                                </w:tcPr>
                                <w:p w:rsidR="007B2B7B" w:rsidRDefault="007B2B7B">
                                  <w:pPr>
                                    <w:pStyle w:val="TableParagraph"/>
                                    <w:kinsoku w:val="0"/>
                                    <w:overflowPunct w:val="0"/>
                                    <w:spacing w:before="36"/>
                                    <w:ind w:left="122"/>
                                    <w:rPr>
                                      <w:rFonts w:ascii="Times New Roman" w:hAnsi="Times New Roman" w:cs="Times New Roman"/>
                                    </w:rPr>
                                  </w:pPr>
                                  <w:r>
                                    <w:rPr>
                                      <w:w w:val="105"/>
                                      <w:sz w:val="21"/>
                                      <w:szCs w:val="21"/>
                                    </w:rPr>
                                    <w:t>Outreach</w:t>
                                  </w:r>
                                </w:p>
                              </w:tc>
                              <w:tc>
                                <w:tcPr>
                                  <w:tcW w:w="1141" w:type="dxa"/>
                                  <w:gridSpan w:val="2"/>
                                  <w:tcBorders>
                                    <w:top w:val="single" w:sz="2" w:space="0" w:color="000000"/>
                                    <w:left w:val="nil"/>
                                    <w:bottom w:val="single" w:sz="4" w:space="0" w:color="000000"/>
                                    <w:right w:val="nil"/>
                                  </w:tcBorders>
                                </w:tcPr>
                                <w:p w:rsidR="007B2B7B" w:rsidRDefault="007B2B7B">
                                  <w:pPr>
                                    <w:pStyle w:val="TableParagraph"/>
                                    <w:kinsoku w:val="0"/>
                                    <w:overflowPunct w:val="0"/>
                                    <w:spacing w:before="28"/>
                                    <w:ind w:left="0" w:right="95"/>
                                    <w:jc w:val="right"/>
                                    <w:rPr>
                                      <w:rFonts w:ascii="Times New Roman" w:hAnsi="Times New Roman" w:cs="Times New Roman"/>
                                    </w:rPr>
                                  </w:pPr>
                                  <w:r>
                                    <w:rPr>
                                      <w:sz w:val="21"/>
                                      <w:szCs w:val="21"/>
                                    </w:rPr>
                                    <w:t>67</w:t>
                                  </w:r>
                                </w:p>
                              </w:tc>
                              <w:tc>
                                <w:tcPr>
                                  <w:tcW w:w="2322" w:type="dxa"/>
                                  <w:tcBorders>
                                    <w:top w:val="single" w:sz="2" w:space="0" w:color="000000"/>
                                    <w:left w:val="nil"/>
                                    <w:bottom w:val="single" w:sz="4" w:space="0" w:color="000000"/>
                                    <w:right w:val="nil"/>
                                  </w:tcBorders>
                                </w:tcPr>
                                <w:p w:rsidR="007B2B7B" w:rsidRDefault="007B2B7B">
                                  <w:pPr>
                                    <w:pStyle w:val="TableParagraph"/>
                                    <w:tabs>
                                      <w:tab w:val="left" w:pos="1231"/>
                                    </w:tabs>
                                    <w:kinsoku w:val="0"/>
                                    <w:overflowPunct w:val="0"/>
                                    <w:spacing w:before="18"/>
                                    <w:ind w:left="0" w:right="74"/>
                                    <w:jc w:val="right"/>
                                    <w:rPr>
                                      <w:rFonts w:ascii="Times New Roman" w:hAnsi="Times New Roman" w:cs="Times New Roman"/>
                                    </w:rPr>
                                  </w:pPr>
                                  <w:r>
                                    <w:rPr>
                                      <w:rFonts w:ascii="Times New Roman" w:hAnsi="Times New Roman" w:cs="Times New Roman"/>
                                      <w:w w:val="115"/>
                                    </w:rPr>
                                    <w:t>$</w:t>
                                  </w:r>
                                  <w:r>
                                    <w:rPr>
                                      <w:rFonts w:ascii="Times New Roman" w:hAnsi="Times New Roman" w:cs="Times New Roman"/>
                                      <w:w w:val="115"/>
                                    </w:rPr>
                                    <w:tab/>
                                  </w:r>
                                  <w:r>
                                    <w:rPr>
                                      <w:spacing w:val="-18"/>
                                      <w:w w:val="115"/>
                                      <w:position w:val="1"/>
                                      <w:sz w:val="21"/>
                                      <w:szCs w:val="21"/>
                                    </w:rPr>
                                    <w:t>82,611.00</w:t>
                                  </w:r>
                                </w:p>
                              </w:tc>
                              <w:tc>
                                <w:tcPr>
                                  <w:tcW w:w="1736" w:type="dxa"/>
                                  <w:gridSpan w:val="2"/>
                                  <w:tcBorders>
                                    <w:top w:val="nil"/>
                                    <w:left w:val="nil"/>
                                    <w:bottom w:val="nil"/>
                                    <w:right w:val="nil"/>
                                  </w:tcBorders>
                                </w:tcPr>
                                <w:p w:rsidR="007B2B7B" w:rsidRDefault="007B2B7B"/>
                              </w:tc>
                            </w:tr>
                            <w:tr w:rsidR="007B2B7B">
                              <w:trPr>
                                <w:trHeight w:hRule="exact" w:val="307"/>
                              </w:trPr>
                              <w:tc>
                                <w:tcPr>
                                  <w:tcW w:w="1447" w:type="dxa"/>
                                  <w:tcBorders>
                                    <w:top w:val="single" w:sz="4" w:space="0" w:color="000000"/>
                                    <w:left w:val="nil"/>
                                    <w:bottom w:val="nil"/>
                                    <w:right w:val="nil"/>
                                  </w:tcBorders>
                                </w:tcPr>
                                <w:p w:rsidR="007B2B7B" w:rsidRDefault="007B2B7B">
                                  <w:pPr>
                                    <w:pStyle w:val="TableParagraph"/>
                                    <w:tabs>
                                      <w:tab w:val="left" w:pos="1382"/>
                                    </w:tabs>
                                    <w:kinsoku w:val="0"/>
                                    <w:overflowPunct w:val="0"/>
                                    <w:spacing w:before="36"/>
                                    <w:ind w:left="57"/>
                                    <w:rPr>
                                      <w:rFonts w:ascii="Times New Roman" w:hAnsi="Times New Roman" w:cs="Times New Roman"/>
                                    </w:rPr>
                                  </w:pPr>
                                  <w:r>
                                    <w:rPr>
                                      <w:w w:val="105"/>
                                      <w:sz w:val="21"/>
                                      <w:szCs w:val="21"/>
                                      <w:u w:val="single" w:color="000000"/>
                                    </w:rPr>
                                    <w:t>Person</w:t>
                                  </w:r>
                                  <w:r>
                                    <w:rPr>
                                      <w:spacing w:val="-37"/>
                                      <w:w w:val="105"/>
                                      <w:sz w:val="21"/>
                                      <w:szCs w:val="21"/>
                                      <w:u w:val="single" w:color="000000"/>
                                    </w:rPr>
                                    <w:t xml:space="preserve"> </w:t>
                                  </w:r>
                                  <w:r>
                                    <w:rPr>
                                      <w:spacing w:val="-5"/>
                                      <w:w w:val="105"/>
                                      <w:sz w:val="21"/>
                                      <w:szCs w:val="21"/>
                                      <w:u w:val="single" w:color="000000"/>
                                    </w:rPr>
                                    <w:t>#10</w:t>
                                  </w:r>
                                  <w:r>
                                    <w:rPr>
                                      <w:spacing w:val="-5"/>
                                      <w:sz w:val="21"/>
                                      <w:szCs w:val="21"/>
                                      <w:u w:val="single" w:color="000000"/>
                                    </w:rPr>
                                    <w:tab/>
                                  </w:r>
                                </w:p>
                              </w:tc>
                              <w:tc>
                                <w:tcPr>
                                  <w:tcW w:w="2916" w:type="dxa"/>
                                  <w:tcBorders>
                                    <w:top w:val="single" w:sz="4" w:space="0" w:color="000000"/>
                                    <w:left w:val="nil"/>
                                    <w:bottom w:val="single" w:sz="2" w:space="0" w:color="000000"/>
                                    <w:right w:val="nil"/>
                                  </w:tcBorders>
                                </w:tcPr>
                                <w:p w:rsidR="007B2B7B" w:rsidRDefault="007B2B7B">
                                  <w:pPr>
                                    <w:pStyle w:val="TableParagraph"/>
                                    <w:kinsoku w:val="0"/>
                                    <w:overflowPunct w:val="0"/>
                                    <w:spacing w:before="36"/>
                                    <w:ind w:left="122"/>
                                    <w:rPr>
                                      <w:rFonts w:ascii="Times New Roman" w:hAnsi="Times New Roman" w:cs="Times New Roman"/>
                                    </w:rPr>
                                  </w:pPr>
                                  <w:r>
                                    <w:rPr>
                                      <w:w w:val="105"/>
                                      <w:sz w:val="21"/>
                                      <w:szCs w:val="21"/>
                                    </w:rPr>
                                    <w:t>Men's Inn</w:t>
                                  </w:r>
                                </w:p>
                              </w:tc>
                              <w:tc>
                                <w:tcPr>
                                  <w:tcW w:w="1767" w:type="dxa"/>
                                  <w:tcBorders>
                                    <w:top w:val="single" w:sz="4" w:space="0" w:color="000000"/>
                                    <w:left w:val="nil"/>
                                    <w:bottom w:val="single" w:sz="2" w:space="0" w:color="000000"/>
                                    <w:right w:val="nil"/>
                                  </w:tcBorders>
                                </w:tcPr>
                                <w:p w:rsidR="007B2B7B" w:rsidRDefault="007B2B7B">
                                  <w:pPr>
                                    <w:pStyle w:val="TableParagraph"/>
                                    <w:kinsoku w:val="0"/>
                                    <w:overflowPunct w:val="0"/>
                                    <w:spacing w:before="28"/>
                                    <w:ind w:left="122"/>
                                    <w:rPr>
                                      <w:rFonts w:ascii="Times New Roman" w:hAnsi="Times New Roman" w:cs="Times New Roman"/>
                                    </w:rPr>
                                  </w:pPr>
                                  <w:r>
                                    <w:rPr>
                                      <w:w w:val="105"/>
                                      <w:sz w:val="21"/>
                                      <w:szCs w:val="21"/>
                                    </w:rPr>
                                    <w:t>Outreach</w:t>
                                  </w:r>
                                </w:p>
                              </w:tc>
                              <w:tc>
                                <w:tcPr>
                                  <w:tcW w:w="1141" w:type="dxa"/>
                                  <w:gridSpan w:val="2"/>
                                  <w:tcBorders>
                                    <w:top w:val="single" w:sz="4" w:space="0" w:color="000000"/>
                                    <w:left w:val="nil"/>
                                    <w:bottom w:val="single" w:sz="2" w:space="0" w:color="000000"/>
                                    <w:right w:val="nil"/>
                                  </w:tcBorders>
                                </w:tcPr>
                                <w:p w:rsidR="007B2B7B" w:rsidRDefault="007B2B7B">
                                  <w:pPr>
                                    <w:pStyle w:val="TableParagraph"/>
                                    <w:kinsoku w:val="0"/>
                                    <w:overflowPunct w:val="0"/>
                                    <w:spacing w:before="28"/>
                                    <w:ind w:left="0" w:right="92"/>
                                    <w:jc w:val="right"/>
                                    <w:rPr>
                                      <w:rFonts w:ascii="Times New Roman" w:hAnsi="Times New Roman" w:cs="Times New Roman"/>
                                    </w:rPr>
                                  </w:pPr>
                                  <w:r>
                                    <w:rPr>
                                      <w:sz w:val="21"/>
                                      <w:szCs w:val="21"/>
                                    </w:rPr>
                                    <w:t>57</w:t>
                                  </w:r>
                                </w:p>
                              </w:tc>
                              <w:tc>
                                <w:tcPr>
                                  <w:tcW w:w="2322" w:type="dxa"/>
                                  <w:tcBorders>
                                    <w:top w:val="single" w:sz="4" w:space="0" w:color="000000"/>
                                    <w:left w:val="nil"/>
                                    <w:bottom w:val="single" w:sz="2" w:space="0" w:color="000000"/>
                                    <w:right w:val="nil"/>
                                  </w:tcBorders>
                                </w:tcPr>
                                <w:p w:rsidR="007B2B7B" w:rsidRDefault="007B2B7B">
                                  <w:pPr>
                                    <w:pStyle w:val="TableParagraph"/>
                                    <w:tabs>
                                      <w:tab w:val="left" w:pos="1231"/>
                                    </w:tabs>
                                    <w:kinsoku w:val="0"/>
                                    <w:overflowPunct w:val="0"/>
                                    <w:spacing w:before="13"/>
                                    <w:ind w:left="0" w:right="50"/>
                                    <w:jc w:val="right"/>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position w:val="1"/>
                                      <w:sz w:val="21"/>
                                      <w:szCs w:val="21"/>
                                    </w:rPr>
                                    <w:t>70,281.00</w:t>
                                  </w:r>
                                </w:p>
                              </w:tc>
                              <w:tc>
                                <w:tcPr>
                                  <w:tcW w:w="1736" w:type="dxa"/>
                                  <w:gridSpan w:val="2"/>
                                  <w:tcBorders>
                                    <w:top w:val="nil"/>
                                    <w:left w:val="nil"/>
                                    <w:bottom w:val="nil"/>
                                    <w:right w:val="nil"/>
                                  </w:tcBorders>
                                </w:tcPr>
                                <w:p w:rsidR="007B2B7B" w:rsidRDefault="007B2B7B"/>
                              </w:tc>
                            </w:tr>
                            <w:tr w:rsidR="007B2B7B">
                              <w:trPr>
                                <w:trHeight w:hRule="exact" w:val="324"/>
                              </w:trPr>
                              <w:tc>
                                <w:tcPr>
                                  <w:tcW w:w="1447" w:type="dxa"/>
                                  <w:tcBorders>
                                    <w:top w:val="nil"/>
                                    <w:left w:val="nil"/>
                                    <w:bottom w:val="single" w:sz="2" w:space="0" w:color="000000"/>
                                    <w:right w:val="nil"/>
                                  </w:tcBorders>
                                </w:tcPr>
                                <w:p w:rsidR="007B2B7B" w:rsidRDefault="007B2B7B">
                                  <w:pPr>
                                    <w:pStyle w:val="TableParagraph"/>
                                    <w:kinsoku w:val="0"/>
                                    <w:overflowPunct w:val="0"/>
                                    <w:spacing w:before="50"/>
                                    <w:ind w:left="57"/>
                                    <w:rPr>
                                      <w:rFonts w:ascii="Times New Roman" w:hAnsi="Times New Roman" w:cs="Times New Roman"/>
                                    </w:rPr>
                                  </w:pPr>
                                  <w:r>
                                    <w:rPr>
                                      <w:w w:val="115"/>
                                      <w:sz w:val="21"/>
                                      <w:szCs w:val="21"/>
                                    </w:rPr>
                                    <w:t>Person#11</w:t>
                                  </w:r>
                                </w:p>
                              </w:tc>
                              <w:tc>
                                <w:tcPr>
                                  <w:tcW w:w="2916" w:type="dxa"/>
                                  <w:tcBorders>
                                    <w:top w:val="single" w:sz="2" w:space="0" w:color="000000"/>
                                    <w:left w:val="nil"/>
                                    <w:bottom w:val="single" w:sz="2" w:space="0" w:color="000000"/>
                                    <w:right w:val="nil"/>
                                  </w:tcBorders>
                                </w:tcPr>
                                <w:p w:rsidR="007B2B7B" w:rsidRDefault="007B2B7B">
                                  <w:pPr>
                                    <w:pStyle w:val="TableParagraph"/>
                                    <w:kinsoku w:val="0"/>
                                    <w:overflowPunct w:val="0"/>
                                    <w:spacing w:before="40"/>
                                    <w:ind w:left="108"/>
                                    <w:rPr>
                                      <w:rFonts w:ascii="Times New Roman" w:hAnsi="Times New Roman" w:cs="Times New Roman"/>
                                    </w:rPr>
                                  </w:pPr>
                                  <w:r>
                                    <w:rPr>
                                      <w:w w:val="105"/>
                                      <w:sz w:val="21"/>
                                      <w:szCs w:val="21"/>
                                    </w:rPr>
                                    <w:t>Shattuck,  Men's Inn</w:t>
                                  </w:r>
                                </w:p>
                              </w:tc>
                              <w:tc>
                                <w:tcPr>
                                  <w:tcW w:w="1767" w:type="dxa"/>
                                  <w:tcBorders>
                                    <w:top w:val="single" w:sz="2" w:space="0" w:color="000000"/>
                                    <w:left w:val="nil"/>
                                    <w:bottom w:val="single" w:sz="2" w:space="0" w:color="000000"/>
                                    <w:right w:val="nil"/>
                                  </w:tcBorders>
                                </w:tcPr>
                                <w:p w:rsidR="007B2B7B" w:rsidRDefault="007B2B7B">
                                  <w:pPr>
                                    <w:pStyle w:val="TableParagraph"/>
                                    <w:kinsoku w:val="0"/>
                                    <w:overflowPunct w:val="0"/>
                                    <w:spacing w:before="40"/>
                                    <w:ind w:left="122"/>
                                    <w:rPr>
                                      <w:rFonts w:ascii="Times New Roman" w:hAnsi="Times New Roman" w:cs="Times New Roman"/>
                                    </w:rPr>
                                  </w:pPr>
                                  <w:r>
                                    <w:rPr>
                                      <w:w w:val="105"/>
                                      <w:sz w:val="21"/>
                                      <w:szCs w:val="21"/>
                                    </w:rPr>
                                    <w:t>Outreach</w:t>
                                  </w:r>
                                </w:p>
                              </w:tc>
                              <w:tc>
                                <w:tcPr>
                                  <w:tcW w:w="1141" w:type="dxa"/>
                                  <w:gridSpan w:val="2"/>
                                  <w:tcBorders>
                                    <w:top w:val="single" w:sz="2" w:space="0" w:color="000000"/>
                                    <w:left w:val="nil"/>
                                    <w:bottom w:val="single" w:sz="2" w:space="0" w:color="000000"/>
                                    <w:right w:val="nil"/>
                                  </w:tcBorders>
                                </w:tcPr>
                                <w:p w:rsidR="007B2B7B" w:rsidRDefault="007B2B7B">
                                  <w:pPr>
                                    <w:pStyle w:val="TableParagraph"/>
                                    <w:kinsoku w:val="0"/>
                                    <w:overflowPunct w:val="0"/>
                                    <w:spacing w:before="40"/>
                                    <w:ind w:left="0" w:right="92"/>
                                    <w:jc w:val="right"/>
                                    <w:rPr>
                                      <w:rFonts w:ascii="Times New Roman" w:hAnsi="Times New Roman" w:cs="Times New Roman"/>
                                    </w:rPr>
                                  </w:pPr>
                                  <w:r>
                                    <w:rPr>
                                      <w:sz w:val="21"/>
                                      <w:szCs w:val="21"/>
                                    </w:rPr>
                                    <w:t>53</w:t>
                                  </w:r>
                                </w:p>
                              </w:tc>
                              <w:tc>
                                <w:tcPr>
                                  <w:tcW w:w="2322" w:type="dxa"/>
                                  <w:tcBorders>
                                    <w:top w:val="single" w:sz="2" w:space="0" w:color="000000"/>
                                    <w:left w:val="nil"/>
                                    <w:bottom w:val="single" w:sz="2" w:space="0" w:color="000000"/>
                                    <w:right w:val="nil"/>
                                  </w:tcBorders>
                                </w:tcPr>
                                <w:p w:rsidR="007B2B7B" w:rsidRDefault="007B2B7B">
                                  <w:pPr>
                                    <w:pStyle w:val="TableParagraph"/>
                                    <w:tabs>
                                      <w:tab w:val="left" w:pos="1231"/>
                                    </w:tabs>
                                    <w:kinsoku w:val="0"/>
                                    <w:overflowPunct w:val="0"/>
                                    <w:spacing w:before="25"/>
                                    <w:ind w:left="0" w:right="50"/>
                                    <w:jc w:val="right"/>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position w:val="1"/>
                                      <w:sz w:val="21"/>
                                      <w:szCs w:val="21"/>
                                    </w:rPr>
                                    <w:t>65,349.00</w:t>
                                  </w:r>
                                </w:p>
                              </w:tc>
                              <w:tc>
                                <w:tcPr>
                                  <w:tcW w:w="1736" w:type="dxa"/>
                                  <w:gridSpan w:val="2"/>
                                  <w:tcBorders>
                                    <w:top w:val="nil"/>
                                    <w:left w:val="nil"/>
                                    <w:bottom w:val="nil"/>
                                    <w:right w:val="nil"/>
                                  </w:tcBorders>
                                </w:tcPr>
                                <w:p w:rsidR="007B2B7B" w:rsidRDefault="007B2B7B"/>
                              </w:tc>
                            </w:tr>
                            <w:tr w:rsidR="007B2B7B">
                              <w:trPr>
                                <w:trHeight w:hRule="exact" w:val="322"/>
                              </w:trPr>
                              <w:tc>
                                <w:tcPr>
                                  <w:tcW w:w="1447" w:type="dxa"/>
                                  <w:tcBorders>
                                    <w:top w:val="single" w:sz="2" w:space="0" w:color="000000"/>
                                    <w:left w:val="nil"/>
                                    <w:bottom w:val="single" w:sz="2" w:space="0" w:color="000000"/>
                                    <w:right w:val="nil"/>
                                  </w:tcBorders>
                                </w:tcPr>
                                <w:p w:rsidR="007B2B7B" w:rsidRDefault="007B2B7B">
                                  <w:pPr>
                                    <w:pStyle w:val="TableParagraph"/>
                                    <w:kinsoku w:val="0"/>
                                    <w:overflowPunct w:val="0"/>
                                    <w:spacing w:before="40"/>
                                    <w:ind w:left="57"/>
                                    <w:rPr>
                                      <w:rFonts w:ascii="Times New Roman" w:hAnsi="Times New Roman" w:cs="Times New Roman"/>
                                    </w:rPr>
                                  </w:pPr>
                                  <w:r>
                                    <w:rPr>
                                      <w:w w:val="105"/>
                                      <w:sz w:val="21"/>
                                      <w:szCs w:val="21"/>
                                    </w:rPr>
                                    <w:t>Person #12</w:t>
                                  </w:r>
                                </w:p>
                              </w:tc>
                              <w:tc>
                                <w:tcPr>
                                  <w:tcW w:w="2916" w:type="dxa"/>
                                  <w:tcBorders>
                                    <w:top w:val="single" w:sz="2" w:space="0" w:color="000000"/>
                                    <w:left w:val="nil"/>
                                    <w:bottom w:val="single" w:sz="2" w:space="0" w:color="000000"/>
                                    <w:right w:val="nil"/>
                                  </w:tcBorders>
                                </w:tcPr>
                                <w:p w:rsidR="007B2B7B" w:rsidRDefault="007B2B7B">
                                  <w:pPr>
                                    <w:pStyle w:val="TableParagraph"/>
                                    <w:kinsoku w:val="0"/>
                                    <w:overflowPunct w:val="0"/>
                                    <w:spacing w:before="36"/>
                                    <w:ind w:left="115"/>
                                    <w:rPr>
                                      <w:rFonts w:ascii="Times New Roman" w:hAnsi="Times New Roman" w:cs="Times New Roman"/>
                                    </w:rPr>
                                  </w:pPr>
                                  <w:r>
                                    <w:rPr>
                                      <w:w w:val="105"/>
                                      <w:sz w:val="21"/>
                                      <w:szCs w:val="21"/>
                                    </w:rPr>
                                    <w:t>Women's Inn</w:t>
                                  </w:r>
                                </w:p>
                              </w:tc>
                              <w:tc>
                                <w:tcPr>
                                  <w:tcW w:w="1767" w:type="dxa"/>
                                  <w:tcBorders>
                                    <w:top w:val="single" w:sz="2" w:space="0" w:color="000000"/>
                                    <w:left w:val="nil"/>
                                    <w:bottom w:val="single" w:sz="2" w:space="0" w:color="000000"/>
                                    <w:right w:val="nil"/>
                                  </w:tcBorders>
                                </w:tcPr>
                                <w:p w:rsidR="007B2B7B" w:rsidRDefault="007B2B7B">
                                  <w:pPr>
                                    <w:pStyle w:val="TableParagraph"/>
                                    <w:kinsoku w:val="0"/>
                                    <w:overflowPunct w:val="0"/>
                                    <w:spacing w:before="40"/>
                                    <w:ind w:left="122"/>
                                    <w:rPr>
                                      <w:rFonts w:ascii="Times New Roman" w:hAnsi="Times New Roman" w:cs="Times New Roman"/>
                                    </w:rPr>
                                  </w:pPr>
                                  <w:r>
                                    <w:rPr>
                                      <w:w w:val="105"/>
                                      <w:sz w:val="21"/>
                                      <w:szCs w:val="21"/>
                                    </w:rPr>
                                    <w:t>Outreach</w:t>
                                  </w:r>
                                </w:p>
                              </w:tc>
                              <w:tc>
                                <w:tcPr>
                                  <w:tcW w:w="1141" w:type="dxa"/>
                                  <w:gridSpan w:val="2"/>
                                  <w:tcBorders>
                                    <w:top w:val="single" w:sz="2" w:space="0" w:color="000000"/>
                                    <w:left w:val="nil"/>
                                    <w:bottom w:val="single" w:sz="2" w:space="0" w:color="000000"/>
                                    <w:right w:val="nil"/>
                                  </w:tcBorders>
                                </w:tcPr>
                                <w:p w:rsidR="007B2B7B" w:rsidRDefault="007B2B7B">
                                  <w:pPr>
                                    <w:pStyle w:val="TableParagraph"/>
                                    <w:kinsoku w:val="0"/>
                                    <w:overflowPunct w:val="0"/>
                                    <w:spacing w:before="40"/>
                                    <w:ind w:left="0" w:right="99"/>
                                    <w:jc w:val="right"/>
                                    <w:rPr>
                                      <w:rFonts w:ascii="Times New Roman" w:hAnsi="Times New Roman" w:cs="Times New Roman"/>
                                    </w:rPr>
                                  </w:pPr>
                                  <w:r>
                                    <w:rPr>
                                      <w:sz w:val="21"/>
                                      <w:szCs w:val="21"/>
                                    </w:rPr>
                                    <w:t>49</w:t>
                                  </w:r>
                                </w:p>
                              </w:tc>
                              <w:tc>
                                <w:tcPr>
                                  <w:tcW w:w="2322" w:type="dxa"/>
                                  <w:tcBorders>
                                    <w:top w:val="single" w:sz="2" w:space="0" w:color="000000"/>
                                    <w:left w:val="nil"/>
                                    <w:bottom w:val="single" w:sz="2" w:space="0" w:color="000000"/>
                                    <w:right w:val="nil"/>
                                  </w:tcBorders>
                                </w:tcPr>
                                <w:p w:rsidR="007B2B7B" w:rsidRDefault="007B2B7B">
                                  <w:pPr>
                                    <w:pStyle w:val="TableParagraph"/>
                                    <w:tabs>
                                      <w:tab w:val="left" w:pos="1231"/>
                                    </w:tabs>
                                    <w:kinsoku w:val="0"/>
                                    <w:overflowPunct w:val="0"/>
                                    <w:spacing w:before="25"/>
                                    <w:ind w:left="0" w:right="77"/>
                                    <w:jc w:val="right"/>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spacing w:val="-2"/>
                                      <w:position w:val="1"/>
                                      <w:sz w:val="21"/>
                                      <w:szCs w:val="21"/>
                                    </w:rPr>
                                    <w:t>60,417.00</w:t>
                                  </w:r>
                                </w:p>
                              </w:tc>
                              <w:tc>
                                <w:tcPr>
                                  <w:tcW w:w="1736" w:type="dxa"/>
                                  <w:gridSpan w:val="2"/>
                                  <w:tcBorders>
                                    <w:top w:val="nil"/>
                                    <w:left w:val="nil"/>
                                    <w:bottom w:val="nil"/>
                                    <w:right w:val="nil"/>
                                  </w:tcBorders>
                                </w:tcPr>
                                <w:p w:rsidR="007B2B7B" w:rsidRDefault="007B2B7B"/>
                              </w:tc>
                            </w:tr>
                            <w:tr w:rsidR="007B2B7B">
                              <w:trPr>
                                <w:trHeight w:hRule="exact" w:val="312"/>
                              </w:trPr>
                              <w:tc>
                                <w:tcPr>
                                  <w:tcW w:w="1447" w:type="dxa"/>
                                  <w:tcBorders>
                                    <w:top w:val="single" w:sz="2" w:space="0" w:color="000000"/>
                                    <w:left w:val="nil"/>
                                    <w:bottom w:val="single" w:sz="2" w:space="0" w:color="000000"/>
                                    <w:right w:val="nil"/>
                                  </w:tcBorders>
                                </w:tcPr>
                                <w:p w:rsidR="007B2B7B" w:rsidRDefault="007B2B7B">
                                  <w:pPr>
                                    <w:pStyle w:val="TableParagraph"/>
                                    <w:kinsoku w:val="0"/>
                                    <w:overflowPunct w:val="0"/>
                                    <w:spacing w:before="38"/>
                                    <w:ind w:left="57"/>
                                    <w:rPr>
                                      <w:rFonts w:ascii="Times New Roman" w:hAnsi="Times New Roman" w:cs="Times New Roman"/>
                                    </w:rPr>
                                  </w:pPr>
                                  <w:r>
                                    <w:rPr>
                                      <w:sz w:val="21"/>
                                      <w:szCs w:val="21"/>
                                    </w:rPr>
                                    <w:t>Person #13</w:t>
                                  </w:r>
                                </w:p>
                              </w:tc>
                              <w:tc>
                                <w:tcPr>
                                  <w:tcW w:w="2916" w:type="dxa"/>
                                  <w:tcBorders>
                                    <w:top w:val="single" w:sz="2" w:space="0" w:color="000000"/>
                                    <w:left w:val="nil"/>
                                    <w:bottom w:val="single" w:sz="2" w:space="0" w:color="000000"/>
                                    <w:right w:val="nil"/>
                                  </w:tcBorders>
                                </w:tcPr>
                                <w:p w:rsidR="007B2B7B" w:rsidRDefault="007B2B7B">
                                  <w:pPr>
                                    <w:pStyle w:val="TableParagraph"/>
                                    <w:kinsoku w:val="0"/>
                                    <w:overflowPunct w:val="0"/>
                                    <w:spacing w:before="31"/>
                                    <w:ind w:left="115"/>
                                    <w:rPr>
                                      <w:rFonts w:ascii="Times New Roman" w:hAnsi="Times New Roman" w:cs="Times New Roman"/>
                                    </w:rPr>
                                  </w:pPr>
                                  <w:r>
                                    <w:rPr>
                                      <w:w w:val="110"/>
                                      <w:sz w:val="21"/>
                                      <w:szCs w:val="21"/>
                                    </w:rPr>
                                    <w:t>Shattuck ,Men' Inn</w:t>
                                  </w:r>
                                </w:p>
                              </w:tc>
                              <w:tc>
                                <w:tcPr>
                                  <w:tcW w:w="1767" w:type="dxa"/>
                                  <w:tcBorders>
                                    <w:top w:val="single" w:sz="2" w:space="0" w:color="000000"/>
                                    <w:left w:val="nil"/>
                                    <w:bottom w:val="single" w:sz="2" w:space="0" w:color="000000"/>
                                    <w:right w:val="nil"/>
                                  </w:tcBorders>
                                </w:tcPr>
                                <w:p w:rsidR="007B2B7B" w:rsidRDefault="007B2B7B">
                                  <w:pPr>
                                    <w:pStyle w:val="TableParagraph"/>
                                    <w:kinsoku w:val="0"/>
                                    <w:overflowPunct w:val="0"/>
                                    <w:spacing w:before="38"/>
                                    <w:ind w:left="129"/>
                                    <w:rPr>
                                      <w:rFonts w:ascii="Times New Roman" w:hAnsi="Times New Roman" w:cs="Times New Roman"/>
                                    </w:rPr>
                                  </w:pPr>
                                  <w:r>
                                    <w:rPr>
                                      <w:sz w:val="21"/>
                                      <w:szCs w:val="21"/>
                                    </w:rPr>
                                    <w:t>Outreach</w:t>
                                  </w:r>
                                </w:p>
                              </w:tc>
                              <w:tc>
                                <w:tcPr>
                                  <w:tcW w:w="1141" w:type="dxa"/>
                                  <w:gridSpan w:val="2"/>
                                  <w:tcBorders>
                                    <w:top w:val="single" w:sz="2" w:space="0" w:color="000000"/>
                                    <w:left w:val="nil"/>
                                    <w:bottom w:val="single" w:sz="2" w:space="0" w:color="000000"/>
                                    <w:right w:val="nil"/>
                                  </w:tcBorders>
                                </w:tcPr>
                                <w:p w:rsidR="007B2B7B" w:rsidRDefault="007B2B7B">
                                  <w:pPr>
                                    <w:pStyle w:val="TableParagraph"/>
                                    <w:kinsoku w:val="0"/>
                                    <w:overflowPunct w:val="0"/>
                                    <w:spacing w:before="38"/>
                                    <w:ind w:left="0" w:right="92"/>
                                    <w:jc w:val="right"/>
                                    <w:rPr>
                                      <w:rFonts w:ascii="Times New Roman" w:hAnsi="Times New Roman" w:cs="Times New Roman"/>
                                    </w:rPr>
                                  </w:pPr>
                                  <w:r>
                                    <w:rPr>
                                      <w:sz w:val="21"/>
                                      <w:szCs w:val="21"/>
                                    </w:rPr>
                                    <w:t>48</w:t>
                                  </w:r>
                                </w:p>
                              </w:tc>
                              <w:tc>
                                <w:tcPr>
                                  <w:tcW w:w="2322" w:type="dxa"/>
                                  <w:tcBorders>
                                    <w:top w:val="single" w:sz="2" w:space="0" w:color="000000"/>
                                    <w:left w:val="nil"/>
                                    <w:bottom w:val="single" w:sz="2" w:space="0" w:color="000000"/>
                                    <w:right w:val="nil"/>
                                  </w:tcBorders>
                                </w:tcPr>
                                <w:p w:rsidR="007B2B7B" w:rsidRDefault="007B2B7B">
                                  <w:pPr>
                                    <w:pStyle w:val="TableParagraph"/>
                                    <w:tabs>
                                      <w:tab w:val="left" w:pos="1231"/>
                                    </w:tabs>
                                    <w:kinsoku w:val="0"/>
                                    <w:overflowPunct w:val="0"/>
                                    <w:spacing w:before="23"/>
                                    <w:ind w:left="0" w:right="98"/>
                                    <w:jc w:val="right"/>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spacing w:val="-5"/>
                                      <w:position w:val="1"/>
                                      <w:sz w:val="21"/>
                                      <w:szCs w:val="21"/>
                                    </w:rPr>
                                    <w:t>59,184.00</w:t>
                                  </w:r>
                                </w:p>
                              </w:tc>
                              <w:tc>
                                <w:tcPr>
                                  <w:tcW w:w="1736" w:type="dxa"/>
                                  <w:gridSpan w:val="2"/>
                                  <w:tcBorders>
                                    <w:top w:val="nil"/>
                                    <w:left w:val="nil"/>
                                    <w:bottom w:val="nil"/>
                                    <w:right w:val="nil"/>
                                  </w:tcBorders>
                                </w:tcPr>
                                <w:p w:rsidR="007B2B7B" w:rsidRDefault="007B2B7B"/>
                              </w:tc>
                            </w:tr>
                            <w:tr w:rsidR="007B2B7B">
                              <w:trPr>
                                <w:trHeight w:hRule="exact" w:val="326"/>
                              </w:trPr>
                              <w:tc>
                                <w:tcPr>
                                  <w:tcW w:w="1447" w:type="dxa"/>
                                  <w:tcBorders>
                                    <w:top w:val="single" w:sz="2" w:space="0" w:color="000000"/>
                                    <w:left w:val="nil"/>
                                    <w:bottom w:val="single" w:sz="4" w:space="0" w:color="000000"/>
                                    <w:right w:val="nil"/>
                                  </w:tcBorders>
                                </w:tcPr>
                                <w:p w:rsidR="007B2B7B" w:rsidRDefault="007B2B7B">
                                  <w:pPr>
                                    <w:pStyle w:val="TableParagraph"/>
                                    <w:kinsoku w:val="0"/>
                                    <w:overflowPunct w:val="0"/>
                                    <w:spacing w:before="36"/>
                                    <w:ind w:left="57"/>
                                    <w:rPr>
                                      <w:rFonts w:ascii="Times New Roman" w:hAnsi="Times New Roman" w:cs="Times New Roman"/>
                                    </w:rPr>
                                  </w:pPr>
                                  <w:r>
                                    <w:rPr>
                                      <w:w w:val="105"/>
                                      <w:sz w:val="21"/>
                                      <w:szCs w:val="21"/>
                                    </w:rPr>
                                    <w:t>Person #14</w:t>
                                  </w:r>
                                </w:p>
                              </w:tc>
                              <w:tc>
                                <w:tcPr>
                                  <w:tcW w:w="2916" w:type="dxa"/>
                                  <w:tcBorders>
                                    <w:top w:val="single" w:sz="2" w:space="0" w:color="000000"/>
                                    <w:left w:val="nil"/>
                                    <w:bottom w:val="single" w:sz="4" w:space="0" w:color="000000"/>
                                    <w:right w:val="nil"/>
                                  </w:tcBorders>
                                </w:tcPr>
                                <w:p w:rsidR="007B2B7B" w:rsidRDefault="007B2B7B">
                                  <w:pPr>
                                    <w:pStyle w:val="TableParagraph"/>
                                    <w:kinsoku w:val="0"/>
                                    <w:overflowPunct w:val="0"/>
                                    <w:spacing w:before="36"/>
                                    <w:ind w:left="122"/>
                                    <w:rPr>
                                      <w:rFonts w:ascii="Times New Roman" w:hAnsi="Times New Roman" w:cs="Times New Roman"/>
                                    </w:rPr>
                                  </w:pPr>
                                  <w:r>
                                    <w:rPr>
                                      <w:w w:val="105"/>
                                      <w:sz w:val="21"/>
                                      <w:szCs w:val="21"/>
                                    </w:rPr>
                                    <w:t>Men's Inn</w:t>
                                  </w:r>
                                </w:p>
                              </w:tc>
                              <w:tc>
                                <w:tcPr>
                                  <w:tcW w:w="1767" w:type="dxa"/>
                                  <w:tcBorders>
                                    <w:top w:val="single" w:sz="2" w:space="0" w:color="000000"/>
                                    <w:left w:val="nil"/>
                                    <w:bottom w:val="single" w:sz="4" w:space="0" w:color="000000"/>
                                    <w:right w:val="nil"/>
                                  </w:tcBorders>
                                </w:tcPr>
                                <w:p w:rsidR="007B2B7B" w:rsidRDefault="007B2B7B">
                                  <w:pPr>
                                    <w:pStyle w:val="TableParagraph"/>
                                    <w:kinsoku w:val="0"/>
                                    <w:overflowPunct w:val="0"/>
                                    <w:spacing w:before="40"/>
                                    <w:ind w:left="129"/>
                                    <w:rPr>
                                      <w:rFonts w:ascii="Times New Roman" w:hAnsi="Times New Roman" w:cs="Times New Roman"/>
                                    </w:rPr>
                                  </w:pPr>
                                  <w:r>
                                    <w:rPr>
                                      <w:w w:val="105"/>
                                      <w:sz w:val="21"/>
                                      <w:szCs w:val="21"/>
                                    </w:rPr>
                                    <w:t>Outreach</w:t>
                                  </w:r>
                                </w:p>
                              </w:tc>
                              <w:tc>
                                <w:tcPr>
                                  <w:tcW w:w="1141" w:type="dxa"/>
                                  <w:gridSpan w:val="2"/>
                                  <w:tcBorders>
                                    <w:top w:val="single" w:sz="2" w:space="0" w:color="000000"/>
                                    <w:left w:val="nil"/>
                                    <w:bottom w:val="single" w:sz="4" w:space="0" w:color="000000"/>
                                    <w:right w:val="nil"/>
                                  </w:tcBorders>
                                </w:tcPr>
                                <w:p w:rsidR="007B2B7B" w:rsidRDefault="007B2B7B">
                                  <w:pPr>
                                    <w:pStyle w:val="TableParagraph"/>
                                    <w:kinsoku w:val="0"/>
                                    <w:overflowPunct w:val="0"/>
                                    <w:spacing w:before="40"/>
                                    <w:ind w:left="0" w:right="99"/>
                                    <w:jc w:val="right"/>
                                    <w:rPr>
                                      <w:rFonts w:ascii="Times New Roman" w:hAnsi="Times New Roman" w:cs="Times New Roman"/>
                                    </w:rPr>
                                  </w:pPr>
                                  <w:r>
                                    <w:rPr>
                                      <w:sz w:val="21"/>
                                      <w:szCs w:val="21"/>
                                    </w:rPr>
                                    <w:t>45</w:t>
                                  </w:r>
                                </w:p>
                              </w:tc>
                              <w:tc>
                                <w:tcPr>
                                  <w:tcW w:w="2322" w:type="dxa"/>
                                  <w:tcBorders>
                                    <w:top w:val="single" w:sz="2" w:space="0" w:color="000000"/>
                                    <w:left w:val="nil"/>
                                    <w:bottom w:val="single" w:sz="4" w:space="0" w:color="000000"/>
                                    <w:right w:val="nil"/>
                                  </w:tcBorders>
                                </w:tcPr>
                                <w:p w:rsidR="007B2B7B" w:rsidRDefault="007B2B7B">
                                  <w:pPr>
                                    <w:pStyle w:val="TableParagraph"/>
                                    <w:tabs>
                                      <w:tab w:val="left" w:pos="1231"/>
                                    </w:tabs>
                                    <w:kinsoku w:val="0"/>
                                    <w:overflowPunct w:val="0"/>
                                    <w:spacing w:before="30"/>
                                    <w:ind w:left="0" w:right="74"/>
                                    <w:jc w:val="right"/>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spacing w:val="-2"/>
                                      <w:position w:val="1"/>
                                      <w:sz w:val="21"/>
                                      <w:szCs w:val="21"/>
                                    </w:rPr>
                                    <w:t>55,485.00</w:t>
                                  </w:r>
                                </w:p>
                              </w:tc>
                              <w:tc>
                                <w:tcPr>
                                  <w:tcW w:w="1736" w:type="dxa"/>
                                  <w:gridSpan w:val="2"/>
                                  <w:tcBorders>
                                    <w:top w:val="nil"/>
                                    <w:left w:val="nil"/>
                                    <w:bottom w:val="nil"/>
                                    <w:right w:val="nil"/>
                                  </w:tcBorders>
                                </w:tcPr>
                                <w:p w:rsidR="007B2B7B" w:rsidRDefault="007B2B7B"/>
                              </w:tc>
                            </w:tr>
                            <w:tr w:rsidR="007B2B7B">
                              <w:trPr>
                                <w:trHeight w:hRule="exact" w:val="324"/>
                              </w:trPr>
                              <w:tc>
                                <w:tcPr>
                                  <w:tcW w:w="1447" w:type="dxa"/>
                                  <w:tcBorders>
                                    <w:top w:val="single" w:sz="4" w:space="0" w:color="000000"/>
                                    <w:left w:val="nil"/>
                                    <w:bottom w:val="single" w:sz="4" w:space="0" w:color="000000"/>
                                    <w:right w:val="nil"/>
                                  </w:tcBorders>
                                </w:tcPr>
                                <w:p w:rsidR="007B2B7B" w:rsidRDefault="007B2B7B">
                                  <w:pPr>
                                    <w:pStyle w:val="TableParagraph"/>
                                    <w:kinsoku w:val="0"/>
                                    <w:overflowPunct w:val="0"/>
                                    <w:spacing w:before="36"/>
                                    <w:ind w:left="57"/>
                                    <w:rPr>
                                      <w:rFonts w:ascii="Times New Roman" w:hAnsi="Times New Roman" w:cs="Times New Roman"/>
                                    </w:rPr>
                                  </w:pPr>
                                  <w:r>
                                    <w:rPr>
                                      <w:w w:val="105"/>
                                      <w:sz w:val="21"/>
                                      <w:szCs w:val="21"/>
                                    </w:rPr>
                                    <w:t>Person #15</w:t>
                                  </w:r>
                                </w:p>
                              </w:tc>
                              <w:tc>
                                <w:tcPr>
                                  <w:tcW w:w="2916" w:type="dxa"/>
                                  <w:tcBorders>
                                    <w:top w:val="single" w:sz="4" w:space="0" w:color="000000"/>
                                    <w:left w:val="nil"/>
                                    <w:bottom w:val="single" w:sz="4" w:space="0" w:color="000000"/>
                                    <w:right w:val="nil"/>
                                  </w:tcBorders>
                                </w:tcPr>
                                <w:p w:rsidR="007B2B7B" w:rsidRDefault="007B2B7B">
                                  <w:pPr>
                                    <w:pStyle w:val="TableParagraph"/>
                                    <w:kinsoku w:val="0"/>
                                    <w:overflowPunct w:val="0"/>
                                    <w:spacing w:before="36"/>
                                    <w:ind w:left="122"/>
                                    <w:rPr>
                                      <w:rFonts w:ascii="Times New Roman" w:hAnsi="Times New Roman" w:cs="Times New Roman"/>
                                    </w:rPr>
                                  </w:pPr>
                                  <w:r>
                                    <w:rPr>
                                      <w:w w:val="105"/>
                                      <w:sz w:val="21"/>
                                      <w:szCs w:val="21"/>
                                    </w:rPr>
                                    <w:t>Men's Inn</w:t>
                                  </w:r>
                                </w:p>
                              </w:tc>
                              <w:tc>
                                <w:tcPr>
                                  <w:tcW w:w="1767" w:type="dxa"/>
                                  <w:tcBorders>
                                    <w:top w:val="single" w:sz="4" w:space="0" w:color="000000"/>
                                    <w:left w:val="nil"/>
                                    <w:bottom w:val="single" w:sz="4" w:space="0" w:color="000000"/>
                                    <w:right w:val="nil"/>
                                  </w:tcBorders>
                                </w:tcPr>
                                <w:p w:rsidR="007B2B7B" w:rsidRDefault="007B2B7B">
                                  <w:pPr>
                                    <w:pStyle w:val="TableParagraph"/>
                                    <w:kinsoku w:val="0"/>
                                    <w:overflowPunct w:val="0"/>
                                    <w:spacing w:before="43"/>
                                    <w:ind w:left="129"/>
                                    <w:rPr>
                                      <w:rFonts w:ascii="Times New Roman" w:hAnsi="Times New Roman" w:cs="Times New Roman"/>
                                    </w:rPr>
                                  </w:pPr>
                                  <w:r>
                                    <w:rPr>
                                      <w:w w:val="105"/>
                                      <w:sz w:val="21"/>
                                      <w:szCs w:val="21"/>
                                    </w:rPr>
                                    <w:t>Outreach</w:t>
                                  </w:r>
                                </w:p>
                              </w:tc>
                              <w:tc>
                                <w:tcPr>
                                  <w:tcW w:w="1141" w:type="dxa"/>
                                  <w:gridSpan w:val="2"/>
                                  <w:tcBorders>
                                    <w:top w:val="single" w:sz="4" w:space="0" w:color="000000"/>
                                    <w:left w:val="nil"/>
                                    <w:bottom w:val="single" w:sz="4" w:space="0" w:color="000000"/>
                                    <w:right w:val="nil"/>
                                  </w:tcBorders>
                                </w:tcPr>
                                <w:p w:rsidR="007B2B7B" w:rsidRDefault="007B2B7B">
                                  <w:pPr>
                                    <w:pStyle w:val="TableParagraph"/>
                                    <w:kinsoku w:val="0"/>
                                    <w:overflowPunct w:val="0"/>
                                    <w:spacing w:before="43"/>
                                    <w:ind w:left="0" w:right="92"/>
                                    <w:jc w:val="right"/>
                                    <w:rPr>
                                      <w:rFonts w:ascii="Times New Roman" w:hAnsi="Times New Roman" w:cs="Times New Roman"/>
                                    </w:rPr>
                                  </w:pPr>
                                  <w:r>
                                    <w:rPr>
                                      <w:sz w:val="21"/>
                                      <w:szCs w:val="21"/>
                                    </w:rPr>
                                    <w:t>44</w:t>
                                  </w:r>
                                </w:p>
                              </w:tc>
                              <w:tc>
                                <w:tcPr>
                                  <w:tcW w:w="2322" w:type="dxa"/>
                                  <w:tcBorders>
                                    <w:top w:val="single" w:sz="4" w:space="0" w:color="000000"/>
                                    <w:left w:val="nil"/>
                                    <w:bottom w:val="single" w:sz="4" w:space="0" w:color="000000"/>
                                    <w:right w:val="nil"/>
                                  </w:tcBorders>
                                </w:tcPr>
                                <w:p w:rsidR="007B2B7B" w:rsidRDefault="007B2B7B">
                                  <w:pPr>
                                    <w:pStyle w:val="TableParagraph"/>
                                    <w:tabs>
                                      <w:tab w:val="left" w:pos="1231"/>
                                    </w:tabs>
                                    <w:kinsoku w:val="0"/>
                                    <w:overflowPunct w:val="0"/>
                                    <w:spacing w:before="30"/>
                                    <w:ind w:left="0" w:right="98"/>
                                    <w:jc w:val="right"/>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spacing w:val="-5"/>
                                      <w:position w:val="1"/>
                                      <w:sz w:val="21"/>
                                      <w:szCs w:val="21"/>
                                    </w:rPr>
                                    <w:t>54,252.00</w:t>
                                  </w:r>
                                </w:p>
                              </w:tc>
                              <w:tc>
                                <w:tcPr>
                                  <w:tcW w:w="1736" w:type="dxa"/>
                                  <w:gridSpan w:val="2"/>
                                  <w:tcBorders>
                                    <w:top w:val="nil"/>
                                    <w:left w:val="nil"/>
                                    <w:bottom w:val="nil"/>
                                    <w:right w:val="nil"/>
                                  </w:tcBorders>
                                </w:tcPr>
                                <w:p w:rsidR="007B2B7B" w:rsidRDefault="007B2B7B"/>
                              </w:tc>
                            </w:tr>
                            <w:tr w:rsidR="007B2B7B">
                              <w:trPr>
                                <w:trHeight w:hRule="exact" w:val="319"/>
                              </w:trPr>
                              <w:tc>
                                <w:tcPr>
                                  <w:tcW w:w="1447" w:type="dxa"/>
                                  <w:tcBorders>
                                    <w:top w:val="single" w:sz="4" w:space="0" w:color="000000"/>
                                    <w:left w:val="nil"/>
                                    <w:bottom w:val="single" w:sz="2" w:space="0" w:color="000000"/>
                                    <w:right w:val="nil"/>
                                  </w:tcBorders>
                                </w:tcPr>
                                <w:p w:rsidR="007B2B7B" w:rsidRDefault="007B2B7B">
                                  <w:pPr>
                                    <w:pStyle w:val="TableParagraph"/>
                                    <w:kinsoku w:val="0"/>
                                    <w:overflowPunct w:val="0"/>
                                    <w:spacing w:before="28"/>
                                    <w:ind w:left="57"/>
                                    <w:rPr>
                                      <w:rFonts w:ascii="Times New Roman" w:hAnsi="Times New Roman" w:cs="Times New Roman"/>
                                    </w:rPr>
                                  </w:pPr>
                                  <w:r>
                                    <w:rPr>
                                      <w:w w:val="105"/>
                                      <w:sz w:val="21"/>
                                      <w:szCs w:val="21"/>
                                    </w:rPr>
                                    <w:t>Person #16</w:t>
                                  </w:r>
                                </w:p>
                              </w:tc>
                              <w:tc>
                                <w:tcPr>
                                  <w:tcW w:w="2916" w:type="dxa"/>
                                  <w:tcBorders>
                                    <w:top w:val="single" w:sz="4" w:space="0" w:color="000000"/>
                                    <w:left w:val="nil"/>
                                    <w:bottom w:val="single" w:sz="2" w:space="0" w:color="000000"/>
                                    <w:right w:val="nil"/>
                                  </w:tcBorders>
                                </w:tcPr>
                                <w:p w:rsidR="007B2B7B" w:rsidRDefault="007B2B7B">
                                  <w:pPr>
                                    <w:pStyle w:val="TableParagraph"/>
                                    <w:kinsoku w:val="0"/>
                                    <w:overflowPunct w:val="0"/>
                                    <w:spacing w:before="28"/>
                                    <w:ind w:left="122"/>
                                    <w:rPr>
                                      <w:rFonts w:ascii="Times New Roman" w:hAnsi="Times New Roman" w:cs="Times New Roman"/>
                                    </w:rPr>
                                  </w:pPr>
                                  <w:r>
                                    <w:rPr>
                                      <w:w w:val="105"/>
                                      <w:sz w:val="21"/>
                                      <w:szCs w:val="21"/>
                                    </w:rPr>
                                    <w:t>Men's Inn</w:t>
                                  </w:r>
                                </w:p>
                              </w:tc>
                              <w:tc>
                                <w:tcPr>
                                  <w:tcW w:w="1767" w:type="dxa"/>
                                  <w:tcBorders>
                                    <w:top w:val="single" w:sz="4" w:space="0" w:color="000000"/>
                                    <w:left w:val="nil"/>
                                    <w:bottom w:val="single" w:sz="2" w:space="0" w:color="000000"/>
                                    <w:right w:val="nil"/>
                                  </w:tcBorders>
                                </w:tcPr>
                                <w:p w:rsidR="007B2B7B" w:rsidRDefault="007B2B7B">
                                  <w:pPr>
                                    <w:pStyle w:val="TableParagraph"/>
                                    <w:kinsoku w:val="0"/>
                                    <w:overflowPunct w:val="0"/>
                                    <w:spacing w:before="36"/>
                                    <w:ind w:left="129"/>
                                    <w:rPr>
                                      <w:rFonts w:ascii="Times New Roman" w:hAnsi="Times New Roman" w:cs="Times New Roman"/>
                                    </w:rPr>
                                  </w:pPr>
                                  <w:r>
                                    <w:rPr>
                                      <w:w w:val="105"/>
                                      <w:sz w:val="21"/>
                                      <w:szCs w:val="21"/>
                                    </w:rPr>
                                    <w:t>Outreach</w:t>
                                  </w:r>
                                </w:p>
                              </w:tc>
                              <w:tc>
                                <w:tcPr>
                                  <w:tcW w:w="1141" w:type="dxa"/>
                                  <w:gridSpan w:val="2"/>
                                  <w:tcBorders>
                                    <w:top w:val="single" w:sz="4" w:space="0" w:color="000000"/>
                                    <w:left w:val="nil"/>
                                    <w:bottom w:val="single" w:sz="2" w:space="0" w:color="000000"/>
                                    <w:right w:val="nil"/>
                                  </w:tcBorders>
                                </w:tcPr>
                                <w:p w:rsidR="007B2B7B" w:rsidRDefault="007B2B7B">
                                  <w:pPr>
                                    <w:pStyle w:val="TableParagraph"/>
                                    <w:kinsoku w:val="0"/>
                                    <w:overflowPunct w:val="0"/>
                                    <w:spacing w:before="36"/>
                                    <w:ind w:left="0" w:right="56"/>
                                    <w:jc w:val="right"/>
                                    <w:rPr>
                                      <w:rFonts w:ascii="Times New Roman" w:hAnsi="Times New Roman" w:cs="Times New Roman"/>
                                    </w:rPr>
                                  </w:pPr>
                                  <w:r>
                                    <w:rPr>
                                      <w:w w:val="115"/>
                                      <w:sz w:val="21"/>
                                      <w:szCs w:val="21"/>
                                    </w:rPr>
                                    <w:t>41</w:t>
                                  </w:r>
                                </w:p>
                              </w:tc>
                              <w:tc>
                                <w:tcPr>
                                  <w:tcW w:w="2322" w:type="dxa"/>
                                  <w:tcBorders>
                                    <w:top w:val="single" w:sz="4" w:space="0" w:color="000000"/>
                                    <w:left w:val="nil"/>
                                    <w:bottom w:val="single" w:sz="2" w:space="0" w:color="000000"/>
                                    <w:right w:val="nil"/>
                                  </w:tcBorders>
                                </w:tcPr>
                                <w:p w:rsidR="007B2B7B" w:rsidRDefault="007B2B7B">
                                  <w:pPr>
                                    <w:pStyle w:val="TableParagraph"/>
                                    <w:tabs>
                                      <w:tab w:val="left" w:pos="1287"/>
                                    </w:tabs>
                                    <w:kinsoku w:val="0"/>
                                    <w:overflowPunct w:val="0"/>
                                    <w:spacing w:before="23"/>
                                    <w:ind w:left="56"/>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spacing w:val="1"/>
                                      <w:w w:val="103"/>
                                      <w:position w:val="1"/>
                                      <w:sz w:val="21"/>
                                      <w:szCs w:val="21"/>
                                    </w:rPr>
                                    <w:t>5</w:t>
                                  </w:r>
                                  <w:r>
                                    <w:rPr>
                                      <w:spacing w:val="-90"/>
                                      <w:w w:val="103"/>
                                      <w:position w:val="1"/>
                                      <w:sz w:val="21"/>
                                      <w:szCs w:val="21"/>
                                    </w:rPr>
                                    <w:t>0</w:t>
                                  </w:r>
                                  <w:r>
                                    <w:rPr>
                                      <w:spacing w:val="-53"/>
                                      <w:w w:val="103"/>
                                      <w:position w:val="1"/>
                                      <w:sz w:val="21"/>
                                      <w:szCs w:val="21"/>
                                    </w:rPr>
                                    <w:t>,</w:t>
                                  </w:r>
                                  <w:r>
                                    <w:rPr>
                                      <w:spacing w:val="1"/>
                                      <w:w w:val="103"/>
                                      <w:position w:val="1"/>
                                      <w:sz w:val="21"/>
                                      <w:szCs w:val="21"/>
                                    </w:rPr>
                                    <w:t>553</w:t>
                                  </w:r>
                                  <w:r>
                                    <w:rPr>
                                      <w:spacing w:val="2"/>
                                      <w:w w:val="103"/>
                                      <w:position w:val="1"/>
                                      <w:sz w:val="21"/>
                                      <w:szCs w:val="21"/>
                                    </w:rPr>
                                    <w:t>.</w:t>
                                  </w:r>
                                  <w:r>
                                    <w:rPr>
                                      <w:spacing w:val="1"/>
                                      <w:w w:val="103"/>
                                      <w:position w:val="1"/>
                                      <w:sz w:val="21"/>
                                      <w:szCs w:val="21"/>
                                    </w:rPr>
                                    <w:t>00</w:t>
                                  </w:r>
                                </w:p>
                              </w:tc>
                              <w:tc>
                                <w:tcPr>
                                  <w:tcW w:w="1736" w:type="dxa"/>
                                  <w:gridSpan w:val="2"/>
                                  <w:tcBorders>
                                    <w:top w:val="nil"/>
                                    <w:left w:val="nil"/>
                                    <w:bottom w:val="nil"/>
                                    <w:right w:val="nil"/>
                                  </w:tcBorders>
                                </w:tcPr>
                                <w:p w:rsidR="007B2B7B" w:rsidRDefault="007B2B7B"/>
                              </w:tc>
                            </w:tr>
                            <w:tr w:rsidR="007B2B7B">
                              <w:trPr>
                                <w:trHeight w:hRule="exact" w:val="442"/>
                              </w:trPr>
                              <w:tc>
                                <w:tcPr>
                                  <w:tcW w:w="1447" w:type="dxa"/>
                                  <w:tcBorders>
                                    <w:top w:val="single" w:sz="2" w:space="0" w:color="000000"/>
                                    <w:left w:val="nil"/>
                                    <w:bottom w:val="nil"/>
                                    <w:right w:val="nil"/>
                                  </w:tcBorders>
                                </w:tcPr>
                                <w:p w:rsidR="007B2B7B" w:rsidRDefault="007B2B7B"/>
                              </w:tc>
                              <w:tc>
                                <w:tcPr>
                                  <w:tcW w:w="4683" w:type="dxa"/>
                                  <w:gridSpan w:val="2"/>
                                  <w:tcBorders>
                                    <w:top w:val="single" w:sz="2" w:space="0" w:color="000000"/>
                                    <w:left w:val="nil"/>
                                    <w:bottom w:val="nil"/>
                                    <w:right w:val="nil"/>
                                  </w:tcBorders>
                                </w:tcPr>
                                <w:p w:rsidR="007B2B7B" w:rsidRDefault="007B2B7B">
                                  <w:pPr>
                                    <w:pStyle w:val="TableParagraph"/>
                                    <w:kinsoku w:val="0"/>
                                    <w:overflowPunct w:val="0"/>
                                    <w:spacing w:before="28"/>
                                    <w:ind w:left="2556"/>
                                    <w:rPr>
                                      <w:rFonts w:ascii="Times New Roman" w:hAnsi="Times New Roman" w:cs="Times New Roman"/>
                                    </w:rPr>
                                  </w:pPr>
                                  <w:r>
                                    <w:rPr>
                                      <w:spacing w:val="-6"/>
                                      <w:w w:val="110"/>
                                      <w:sz w:val="21"/>
                                      <w:szCs w:val="21"/>
                                    </w:rPr>
                                    <w:t xml:space="preserve">Total </w:t>
                                  </w:r>
                                  <w:r>
                                    <w:rPr>
                                      <w:w w:val="110"/>
                                      <w:sz w:val="21"/>
                                      <w:szCs w:val="21"/>
                                    </w:rPr>
                                    <w:t>for 28</w:t>
                                  </w:r>
                                  <w:r>
                                    <w:rPr>
                                      <w:spacing w:val="-47"/>
                                      <w:w w:val="110"/>
                                      <w:sz w:val="21"/>
                                      <w:szCs w:val="21"/>
                                    </w:rPr>
                                    <w:t xml:space="preserve"> </w:t>
                                  </w:r>
                                  <w:r>
                                    <w:rPr>
                                      <w:w w:val="110"/>
                                      <w:sz w:val="21"/>
                                      <w:szCs w:val="21"/>
                                    </w:rPr>
                                    <w:t xml:space="preserve">months/ </w:t>
                                  </w:r>
                                  <w:r>
                                    <w:rPr>
                                      <w:spacing w:val="-60"/>
                                      <w:w w:val="110"/>
                                      <w:sz w:val="21"/>
                                      <w:szCs w:val="21"/>
                                    </w:rPr>
                                    <w:t>1</w:t>
                                  </w:r>
                                </w:p>
                              </w:tc>
                              <w:tc>
                                <w:tcPr>
                                  <w:tcW w:w="1141" w:type="dxa"/>
                                  <w:gridSpan w:val="2"/>
                                  <w:tcBorders>
                                    <w:top w:val="single" w:sz="2" w:space="0" w:color="000000"/>
                                    <w:left w:val="nil"/>
                                    <w:bottom w:val="nil"/>
                                    <w:right w:val="nil"/>
                                  </w:tcBorders>
                                </w:tcPr>
                                <w:p w:rsidR="007B2B7B" w:rsidRDefault="007B2B7B">
                                  <w:pPr>
                                    <w:pStyle w:val="TableParagraph"/>
                                    <w:kinsoku w:val="0"/>
                                    <w:overflowPunct w:val="0"/>
                                    <w:spacing w:before="28"/>
                                    <w:ind w:left="-15"/>
                                    <w:rPr>
                                      <w:rFonts w:ascii="Times New Roman" w:hAnsi="Times New Roman" w:cs="Times New Roman"/>
                                    </w:rPr>
                                  </w:pPr>
                                  <w:r>
                                    <w:rPr>
                                      <w:sz w:val="21"/>
                                      <w:szCs w:val="21"/>
                                    </w:rPr>
                                    <w:t>6 guests   .</w:t>
                                  </w:r>
                                </w:p>
                              </w:tc>
                              <w:tc>
                                <w:tcPr>
                                  <w:tcW w:w="2322" w:type="dxa"/>
                                  <w:tcBorders>
                                    <w:top w:val="single" w:sz="2" w:space="0" w:color="000000"/>
                                    <w:left w:val="nil"/>
                                    <w:bottom w:val="nil"/>
                                    <w:right w:val="nil"/>
                                  </w:tcBorders>
                                </w:tcPr>
                                <w:p w:rsidR="007B2B7B" w:rsidRDefault="007B2B7B">
                                  <w:pPr>
                                    <w:pStyle w:val="TableParagraph"/>
                                    <w:tabs>
                                      <w:tab w:val="left" w:pos="980"/>
                                    </w:tabs>
                                    <w:kinsoku w:val="0"/>
                                    <w:overflowPunct w:val="0"/>
                                    <w:spacing w:line="280" w:lineRule="exact"/>
                                    <w:ind w:left="-33" w:right="79"/>
                                    <w:jc w:val="right"/>
                                    <w:rPr>
                                      <w:rFonts w:ascii="Times New Roman" w:hAnsi="Times New Roman" w:cs="Times New Roman"/>
                                    </w:rPr>
                                  </w:pPr>
                                  <w:r>
                                    <w:rPr>
                                      <w:rFonts w:ascii="Times New Roman" w:hAnsi="Times New Roman" w:cs="Times New Roman"/>
                                      <w:w w:val="105"/>
                                      <w:position w:val="1"/>
                                      <w:sz w:val="25"/>
                                      <w:szCs w:val="25"/>
                                    </w:rPr>
                                    <w:t>$</w:t>
                                  </w:r>
                                  <w:r>
                                    <w:rPr>
                                      <w:rFonts w:ascii="Times New Roman" w:hAnsi="Times New Roman" w:cs="Times New Roman"/>
                                      <w:w w:val="105"/>
                                      <w:position w:val="1"/>
                                      <w:sz w:val="25"/>
                                      <w:szCs w:val="25"/>
                                    </w:rPr>
                                    <w:tab/>
                                  </w:r>
                                  <w:r>
                                    <w:rPr>
                                      <w:spacing w:val="-11"/>
                                      <w:sz w:val="21"/>
                                      <w:szCs w:val="21"/>
                                    </w:rPr>
                                    <w:t>1,646,0SS.OO</w:t>
                                  </w:r>
                                </w:p>
                              </w:tc>
                              <w:tc>
                                <w:tcPr>
                                  <w:tcW w:w="1736" w:type="dxa"/>
                                  <w:gridSpan w:val="2"/>
                                  <w:tcBorders>
                                    <w:top w:val="nil"/>
                                    <w:left w:val="nil"/>
                                    <w:bottom w:val="nil"/>
                                    <w:right w:val="nil"/>
                                  </w:tcBorders>
                                </w:tcPr>
                                <w:p w:rsidR="007B2B7B" w:rsidRDefault="007B2B7B">
                                  <w:pPr>
                                    <w:pStyle w:val="TableParagraph"/>
                                    <w:kinsoku w:val="0"/>
                                    <w:overflowPunct w:val="0"/>
                                    <w:spacing w:before="172"/>
                                    <w:ind w:left="813" w:right="-16"/>
                                    <w:rPr>
                                      <w:rFonts w:ascii="Times New Roman" w:hAnsi="Times New Roman" w:cs="Times New Roman"/>
                                    </w:rPr>
                                  </w:pPr>
                                  <w:r>
                                    <w:rPr>
                                      <w:w w:val="105"/>
                                      <w:sz w:val="21"/>
                                      <w:szCs w:val="21"/>
                                    </w:rPr>
                                    <w:t>$176,800</w:t>
                                  </w:r>
                                </w:p>
                              </w:tc>
                            </w:tr>
                            <w:tr w:rsidR="007B2B7B">
                              <w:trPr>
                                <w:trHeight w:hRule="exact" w:val="425"/>
                              </w:trPr>
                              <w:tc>
                                <w:tcPr>
                                  <w:tcW w:w="1447" w:type="dxa"/>
                                  <w:tcBorders>
                                    <w:top w:val="nil"/>
                                    <w:left w:val="nil"/>
                                    <w:bottom w:val="nil"/>
                                    <w:right w:val="nil"/>
                                  </w:tcBorders>
                                </w:tcPr>
                                <w:p w:rsidR="007B2B7B" w:rsidRDefault="007B2B7B"/>
                              </w:tc>
                              <w:tc>
                                <w:tcPr>
                                  <w:tcW w:w="2916" w:type="dxa"/>
                                  <w:tcBorders>
                                    <w:top w:val="nil"/>
                                    <w:left w:val="nil"/>
                                    <w:bottom w:val="nil"/>
                                    <w:right w:val="nil"/>
                                  </w:tcBorders>
                                </w:tcPr>
                                <w:p w:rsidR="007B2B7B" w:rsidRDefault="007B2B7B"/>
                              </w:tc>
                              <w:tc>
                                <w:tcPr>
                                  <w:tcW w:w="1767" w:type="dxa"/>
                                  <w:tcBorders>
                                    <w:top w:val="nil"/>
                                    <w:left w:val="nil"/>
                                    <w:bottom w:val="nil"/>
                                    <w:right w:val="nil"/>
                                  </w:tcBorders>
                                </w:tcPr>
                                <w:p w:rsidR="007B2B7B" w:rsidRDefault="007B2B7B"/>
                              </w:tc>
                              <w:tc>
                                <w:tcPr>
                                  <w:tcW w:w="1141" w:type="dxa"/>
                                  <w:gridSpan w:val="2"/>
                                  <w:tcBorders>
                                    <w:top w:val="nil"/>
                                    <w:left w:val="nil"/>
                                    <w:bottom w:val="nil"/>
                                    <w:right w:val="nil"/>
                                  </w:tcBorders>
                                </w:tcPr>
                                <w:p w:rsidR="007B2B7B" w:rsidRDefault="007B2B7B"/>
                              </w:tc>
                              <w:tc>
                                <w:tcPr>
                                  <w:tcW w:w="2322" w:type="dxa"/>
                                  <w:tcBorders>
                                    <w:top w:val="nil"/>
                                    <w:left w:val="nil"/>
                                    <w:bottom w:val="nil"/>
                                    <w:right w:val="nil"/>
                                  </w:tcBorders>
                                </w:tcPr>
                                <w:p w:rsidR="007B2B7B" w:rsidRDefault="007B2B7B"/>
                              </w:tc>
                              <w:tc>
                                <w:tcPr>
                                  <w:tcW w:w="1736" w:type="dxa"/>
                                  <w:gridSpan w:val="2"/>
                                  <w:tcBorders>
                                    <w:top w:val="nil"/>
                                    <w:left w:val="nil"/>
                                    <w:bottom w:val="nil"/>
                                    <w:right w:val="nil"/>
                                  </w:tcBorders>
                                </w:tcPr>
                                <w:p w:rsidR="007B2B7B" w:rsidRDefault="007B2B7B">
                                  <w:pPr>
                                    <w:pStyle w:val="TableParagraph"/>
                                    <w:kinsoku w:val="0"/>
                                    <w:overflowPunct w:val="0"/>
                                    <w:spacing w:line="451" w:lineRule="exact"/>
                                    <w:ind w:left="1065" w:right="-16"/>
                                    <w:rPr>
                                      <w:rFonts w:ascii="Times New Roman" w:hAnsi="Times New Roman" w:cs="Times New Roman"/>
                                    </w:rPr>
                                  </w:pPr>
                                  <w:r>
                                    <w:rPr>
                                      <w:w w:val="40"/>
                                      <w:sz w:val="57"/>
                                      <w:szCs w:val="57"/>
                                    </w:rPr>
                                    <w:t>...</w:t>
                                  </w:r>
                                </w:p>
                              </w:tc>
                            </w:tr>
                          </w:tbl>
                          <w:p w:rsidR="007B2B7B" w:rsidRDefault="007B2B7B">
                            <w:pPr>
                              <w:pStyle w:val="BodyText"/>
                              <w:kinsoku w:val="0"/>
                              <w:overflowPunct w:val="0"/>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9" o:spid="_x0000_s1275" type="#_x0000_t202" style="position:absolute;left:0;text-align:left;margin-left:98.65pt;margin-top:-261.25pt;width:566.5pt;height:374.95pt;z-index:251805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" o:allowincell="f"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1447"/>
                        <w:gridCol w:w="2916"/>
                        <w:gridCol w:w="1767"/>
                        <w:gridCol w:w="1070"/>
                        <w:gridCol w:w="71"/>
                        <w:gridCol w:w="2322"/>
                        <w:gridCol w:w="62"/>
                        <w:gridCol w:w="1674"/>
                      </w:tblGrid>
                      <w:tr w:rsidR="007B2B7B">
                        <w:trPr>
                          <w:trHeight w:hRule="exact" w:val="1566"/>
                        </w:trPr>
                        <w:tc>
                          <w:tcPr>
                            <w:tcW w:w="11329" w:type="dxa"/>
                            <w:gridSpan w:val="8"/>
                            <w:tcBorders>
                              <w:top w:val="nil"/>
                              <w:left w:val="nil"/>
                              <w:bottom w:val="nil"/>
                              <w:right w:val="nil"/>
                            </w:tcBorders>
                          </w:tcPr>
                          <w:p w:rsidR="007B2B7B" w:rsidRDefault="007B2B7B">
                            <w:pPr>
                              <w:pStyle w:val="TableParagraph"/>
                              <w:tabs>
                                <w:tab w:val="left" w:pos="7509"/>
                              </w:tabs>
                              <w:kinsoku w:val="0"/>
                              <w:overflowPunct w:val="0"/>
                              <w:spacing w:before="143"/>
                              <w:ind w:left="5975"/>
                              <w:rPr>
                                <w:w w:val="105"/>
                                <w:position w:val="2"/>
                                <w:sz w:val="21"/>
                                <w:szCs w:val="21"/>
                              </w:rPr>
                            </w:pPr>
                            <w:r>
                              <w:rPr>
                                <w:spacing w:val="-6"/>
                                <w:w w:val="105"/>
                                <w:sz w:val="21"/>
                                <w:szCs w:val="21"/>
                              </w:rPr>
                              <w:t>Hospital</w:t>
                            </w:r>
                            <w:r>
                              <w:rPr>
                                <w:spacing w:val="29"/>
                                <w:w w:val="105"/>
                                <w:sz w:val="21"/>
                                <w:szCs w:val="21"/>
                              </w:rPr>
                              <w:t xml:space="preserve"> </w:t>
                            </w:r>
                            <w:r>
                              <w:rPr>
                                <w:w w:val="105"/>
                                <w:sz w:val="21"/>
                                <w:szCs w:val="21"/>
                              </w:rPr>
                              <w:t>ED</w:t>
                            </w:r>
                            <w:r>
                              <w:rPr>
                                <w:w w:val="105"/>
                                <w:sz w:val="21"/>
                                <w:szCs w:val="21"/>
                              </w:rPr>
                              <w:tab/>
                            </w:r>
                            <w:r>
                              <w:rPr>
                                <w:w w:val="105"/>
                                <w:position w:val="2"/>
                                <w:sz w:val="21"/>
                                <w:szCs w:val="21"/>
                              </w:rPr>
                              <w:t>COST</w:t>
                            </w:r>
                            <w:r>
                              <w:rPr>
                                <w:spacing w:val="-38"/>
                                <w:w w:val="105"/>
                                <w:position w:val="2"/>
                                <w:sz w:val="21"/>
                                <w:szCs w:val="21"/>
                              </w:rPr>
                              <w:t xml:space="preserve"> </w:t>
                            </w:r>
                            <w:r>
                              <w:rPr>
                                <w:w w:val="105"/>
                                <w:position w:val="2"/>
                                <w:sz w:val="21"/>
                                <w:szCs w:val="21"/>
                              </w:rPr>
                              <w:t>based</w:t>
                            </w:r>
                            <w:r>
                              <w:rPr>
                                <w:spacing w:val="-38"/>
                                <w:w w:val="105"/>
                                <w:position w:val="2"/>
                                <w:sz w:val="21"/>
                                <w:szCs w:val="21"/>
                              </w:rPr>
                              <w:t xml:space="preserve"> </w:t>
                            </w:r>
                            <w:r>
                              <w:rPr>
                                <w:w w:val="105"/>
                                <w:position w:val="2"/>
                                <w:sz w:val="21"/>
                                <w:szCs w:val="21"/>
                              </w:rPr>
                              <w:t>on</w:t>
                            </w:r>
                            <w:r>
                              <w:rPr>
                                <w:spacing w:val="-40"/>
                                <w:w w:val="105"/>
                                <w:position w:val="2"/>
                                <w:sz w:val="21"/>
                                <w:szCs w:val="21"/>
                              </w:rPr>
                              <w:t xml:space="preserve"> </w:t>
                            </w:r>
                            <w:r>
                              <w:rPr>
                                <w:w w:val="105"/>
                                <w:position w:val="2"/>
                                <w:sz w:val="21"/>
                                <w:szCs w:val="21"/>
                              </w:rPr>
                              <w:t>an</w:t>
                            </w:r>
                          </w:p>
                          <w:p w:rsidR="007B2B7B" w:rsidRDefault="007B2B7B">
                            <w:pPr>
                              <w:pStyle w:val="TableParagraph"/>
                              <w:tabs>
                                <w:tab w:val="left" w:pos="962"/>
                                <w:tab w:val="left" w:pos="2082"/>
                                <w:tab w:val="left" w:pos="6018"/>
                                <w:tab w:val="left" w:pos="7357"/>
                                <w:tab w:val="left" w:pos="10144"/>
                              </w:tabs>
                              <w:kinsoku w:val="0"/>
                              <w:overflowPunct w:val="0"/>
                              <w:spacing w:before="26"/>
                              <w:ind w:left="129"/>
                              <w:rPr>
                                <w:rFonts w:ascii="Times New Roman" w:hAnsi="Times New Roman" w:cs="Times New Roman"/>
                                <w:w w:val="96"/>
                                <w:position w:val="5"/>
                                <w:sz w:val="23"/>
                                <w:szCs w:val="23"/>
                              </w:rPr>
                            </w:pPr>
                            <w:r>
                              <w:rPr>
                                <w:spacing w:val="1"/>
                                <w:w w:val="103"/>
                                <w:sz w:val="21"/>
                                <w:szCs w:val="21"/>
                              </w:rPr>
                              <w:t>Gue</w:t>
                            </w:r>
                            <w:r>
                              <w:rPr>
                                <w:spacing w:val="2"/>
                                <w:w w:val="103"/>
                                <w:sz w:val="21"/>
                                <w:szCs w:val="21"/>
                              </w:rPr>
                              <w:t>s</w:t>
                            </w:r>
                            <w:r>
                              <w:rPr>
                                <w:w w:val="103"/>
                                <w:sz w:val="21"/>
                                <w:szCs w:val="21"/>
                              </w:rPr>
                              <w:t>t</w:t>
                            </w:r>
                            <w:r>
                              <w:rPr>
                                <w:sz w:val="21"/>
                                <w:szCs w:val="21"/>
                              </w:rPr>
                              <w:tab/>
                            </w:r>
                            <w:r>
                              <w:rPr>
                                <w:spacing w:val="1"/>
                                <w:w w:val="103"/>
                                <w:sz w:val="21"/>
                                <w:szCs w:val="21"/>
                              </w:rPr>
                              <w:t>Nam</w:t>
                            </w:r>
                            <w:r>
                              <w:rPr>
                                <w:w w:val="103"/>
                                <w:sz w:val="21"/>
                                <w:szCs w:val="21"/>
                              </w:rPr>
                              <w:t>e</w:t>
                            </w:r>
                            <w:r>
                              <w:rPr>
                                <w:sz w:val="21"/>
                                <w:szCs w:val="21"/>
                              </w:rPr>
                              <w:tab/>
                            </w:r>
                            <w:r>
                              <w:rPr>
                                <w:w w:val="103"/>
                                <w:sz w:val="26"/>
                                <w:szCs w:val="26"/>
                              </w:rPr>
                              <w:t>l</w:t>
                            </w:r>
                            <w:r>
                              <w:rPr>
                                <w:spacing w:val="4"/>
                                <w:sz w:val="26"/>
                                <w:szCs w:val="26"/>
                              </w:rPr>
                              <w:t xml:space="preserve"> </w:t>
                            </w:r>
                            <w:proofErr w:type="spellStart"/>
                            <w:r>
                              <w:rPr>
                                <w:w w:val="103"/>
                                <w:sz w:val="26"/>
                                <w:szCs w:val="26"/>
                              </w:rPr>
                              <w:t>l</w:t>
                            </w:r>
                            <w:r>
                              <w:rPr>
                                <w:spacing w:val="2"/>
                                <w:w w:val="103"/>
                                <w:sz w:val="26"/>
                                <w:szCs w:val="26"/>
                              </w:rPr>
                              <w:t>l</w:t>
                            </w:r>
                            <w:r>
                              <w:rPr>
                                <w:w w:val="103"/>
                                <w:sz w:val="26"/>
                                <w:szCs w:val="26"/>
                              </w:rPr>
                              <w:t>ll</w:t>
                            </w:r>
                            <w:r>
                              <w:rPr>
                                <w:spacing w:val="2"/>
                                <w:w w:val="103"/>
                                <w:sz w:val="26"/>
                                <w:szCs w:val="26"/>
                              </w:rPr>
                              <w:t>l</w:t>
                            </w:r>
                            <w:r>
                              <w:rPr>
                                <w:spacing w:val="-6"/>
                                <w:w w:val="103"/>
                                <w:sz w:val="26"/>
                                <w:szCs w:val="26"/>
                              </w:rPr>
                              <w:t>J</w:t>
                            </w:r>
                            <w:r>
                              <w:rPr>
                                <w:spacing w:val="-56"/>
                                <w:w w:val="103"/>
                                <w:sz w:val="26"/>
                                <w:szCs w:val="26"/>
                              </w:rPr>
                              <w:t>l</w:t>
                            </w:r>
                            <w:proofErr w:type="spellEnd"/>
                            <w:r>
                              <w:rPr>
                                <w:spacing w:val="-11"/>
                                <w:w w:val="103"/>
                                <w:sz w:val="26"/>
                                <w:szCs w:val="26"/>
                              </w:rPr>
                              <w:t>_</w:t>
                            </w:r>
                            <w:r>
                              <w:rPr>
                                <w:spacing w:val="-37"/>
                                <w:w w:val="103"/>
                                <w:sz w:val="26"/>
                                <w:szCs w:val="26"/>
                              </w:rPr>
                              <w:t>.</w:t>
                            </w:r>
                            <w:proofErr w:type="spellStart"/>
                            <w:r>
                              <w:rPr>
                                <w:spacing w:val="1"/>
                                <w:w w:val="103"/>
                                <w:sz w:val="26"/>
                                <w:szCs w:val="26"/>
                              </w:rPr>
                              <w:t>J</w:t>
                            </w:r>
                            <w:r>
                              <w:rPr>
                                <w:w w:val="103"/>
                                <w:sz w:val="26"/>
                                <w:szCs w:val="26"/>
                              </w:rPr>
                              <w:t>l</w:t>
                            </w:r>
                            <w:r>
                              <w:rPr>
                                <w:spacing w:val="-3"/>
                                <w:w w:val="103"/>
                                <w:sz w:val="26"/>
                                <w:szCs w:val="26"/>
                              </w:rPr>
                              <w:t>l</w:t>
                            </w:r>
                            <w:r>
                              <w:rPr>
                                <w:spacing w:val="-27"/>
                                <w:w w:val="103"/>
                                <w:sz w:val="26"/>
                                <w:szCs w:val="26"/>
                              </w:rPr>
                              <w:t>l</w:t>
                            </w:r>
                            <w:r>
                              <w:rPr>
                                <w:spacing w:val="-1"/>
                                <w:w w:val="103"/>
                                <w:sz w:val="26"/>
                                <w:szCs w:val="26"/>
                              </w:rPr>
                              <w:t>f</w:t>
                            </w:r>
                            <w:r>
                              <w:rPr>
                                <w:spacing w:val="-11"/>
                                <w:w w:val="103"/>
                                <w:sz w:val="26"/>
                                <w:szCs w:val="26"/>
                              </w:rPr>
                              <w:t>.</w:t>
                            </w:r>
                            <w:r>
                              <w:rPr>
                                <w:spacing w:val="23"/>
                                <w:w w:val="103"/>
                                <w:sz w:val="26"/>
                                <w:szCs w:val="26"/>
                              </w:rPr>
                              <w:t>J</w:t>
                            </w:r>
                            <w:r>
                              <w:rPr>
                                <w:spacing w:val="-53"/>
                                <w:w w:val="103"/>
                                <w:sz w:val="26"/>
                                <w:szCs w:val="26"/>
                              </w:rPr>
                              <w:t>m</w:t>
                            </w:r>
                            <w:r>
                              <w:rPr>
                                <w:spacing w:val="-8"/>
                                <w:w w:val="103"/>
                                <w:sz w:val="26"/>
                                <w:szCs w:val="26"/>
                              </w:rPr>
                              <w:t>l</w:t>
                            </w:r>
                            <w:r>
                              <w:rPr>
                                <w:w w:val="103"/>
                                <w:sz w:val="26"/>
                                <w:szCs w:val="26"/>
                              </w:rPr>
                              <w:t>l</w:t>
                            </w:r>
                            <w:r>
                              <w:rPr>
                                <w:spacing w:val="-8"/>
                                <w:w w:val="103"/>
                                <w:sz w:val="26"/>
                                <w:szCs w:val="26"/>
                              </w:rPr>
                              <w:t>l</w:t>
                            </w:r>
                            <w:r>
                              <w:rPr>
                                <w:spacing w:val="-169"/>
                                <w:w w:val="103"/>
                                <w:sz w:val="26"/>
                                <w:szCs w:val="26"/>
                              </w:rPr>
                              <w:t>C</w:t>
                            </w:r>
                            <w:r>
                              <w:rPr>
                                <w:spacing w:val="-12"/>
                                <w:w w:val="103"/>
                                <w:sz w:val="26"/>
                                <w:szCs w:val="26"/>
                              </w:rPr>
                              <w:t>l</w:t>
                            </w:r>
                            <w:r>
                              <w:rPr>
                                <w:spacing w:val="2"/>
                                <w:w w:val="103"/>
                                <w:sz w:val="26"/>
                                <w:szCs w:val="26"/>
                              </w:rPr>
                              <w:t>i</w:t>
                            </w:r>
                            <w:proofErr w:type="spellEnd"/>
                            <w:r>
                              <w:rPr>
                                <w:w w:val="103"/>
                                <w:sz w:val="26"/>
                                <w:szCs w:val="26"/>
                              </w:rPr>
                              <w:t>&gt;</w:t>
                            </w:r>
                            <w:proofErr w:type="spellStart"/>
                            <w:r>
                              <w:rPr>
                                <w:w w:val="103"/>
                                <w:sz w:val="26"/>
                                <w:szCs w:val="26"/>
                              </w:rPr>
                              <w:t>i</w:t>
                            </w:r>
                            <w:r>
                              <w:rPr>
                                <w:spacing w:val="2"/>
                                <w:w w:val="103"/>
                                <w:sz w:val="26"/>
                                <w:szCs w:val="26"/>
                              </w:rPr>
                              <w:t>i</w:t>
                            </w:r>
                            <w:r>
                              <w:rPr>
                                <w:spacing w:val="-1"/>
                                <w:w w:val="103"/>
                                <w:sz w:val="26"/>
                                <w:szCs w:val="26"/>
                              </w:rPr>
                              <w:t>t</w:t>
                            </w:r>
                            <w:r>
                              <w:rPr>
                                <w:spacing w:val="-22"/>
                                <w:w w:val="103"/>
                                <w:sz w:val="26"/>
                                <w:szCs w:val="26"/>
                              </w:rPr>
                              <w:t>l</w:t>
                            </w:r>
                            <w:r>
                              <w:rPr>
                                <w:w w:val="103"/>
                                <w:sz w:val="26"/>
                                <w:szCs w:val="26"/>
                              </w:rPr>
                              <w:t>l</w:t>
                            </w:r>
                            <w:proofErr w:type="spellEnd"/>
                            <w:r>
                              <w:rPr>
                                <w:w w:val="103"/>
                                <w:sz w:val="26"/>
                                <w:szCs w:val="26"/>
                              </w:rPr>
                              <w:t>§</w:t>
                            </w:r>
                            <w:r>
                              <w:rPr>
                                <w:spacing w:val="5"/>
                                <w:sz w:val="26"/>
                                <w:szCs w:val="26"/>
                              </w:rPr>
                              <w:t xml:space="preserve"> </w:t>
                            </w:r>
                            <w:r>
                              <w:rPr>
                                <w:spacing w:val="-33"/>
                                <w:w w:val="103"/>
                                <w:sz w:val="26"/>
                                <w:szCs w:val="26"/>
                              </w:rPr>
                              <w:t>'</w:t>
                            </w:r>
                            <w:proofErr w:type="spellStart"/>
                            <w:r>
                              <w:rPr>
                                <w:w w:val="103"/>
                                <w:sz w:val="26"/>
                                <w:szCs w:val="26"/>
                              </w:rPr>
                              <w:t>i</w:t>
                            </w:r>
                            <w:proofErr w:type="spellEnd"/>
                            <w:r>
                              <w:rPr>
                                <w:sz w:val="26"/>
                                <w:szCs w:val="26"/>
                              </w:rPr>
                              <w:t xml:space="preserve"> </w:t>
                            </w:r>
                            <w:r>
                              <w:rPr>
                                <w:spacing w:val="-25"/>
                                <w:sz w:val="26"/>
                                <w:szCs w:val="26"/>
                              </w:rPr>
                              <w:t xml:space="preserve"> </w:t>
                            </w:r>
                            <w:r>
                              <w:rPr>
                                <w:w w:val="103"/>
                                <w:sz w:val="26"/>
                                <w:szCs w:val="26"/>
                              </w:rPr>
                              <w:t>l</w:t>
                            </w:r>
                            <w:r>
                              <w:rPr>
                                <w:spacing w:val="4"/>
                                <w:sz w:val="26"/>
                                <w:szCs w:val="26"/>
                              </w:rPr>
                              <w:t xml:space="preserve"> </w:t>
                            </w:r>
                            <w:proofErr w:type="spellStart"/>
                            <w:r>
                              <w:rPr>
                                <w:spacing w:val="-1"/>
                                <w:w w:val="103"/>
                                <w:sz w:val="26"/>
                                <w:szCs w:val="26"/>
                              </w:rPr>
                              <w:t>f</w:t>
                            </w:r>
                            <w:r>
                              <w:rPr>
                                <w:spacing w:val="1"/>
                                <w:w w:val="103"/>
                                <w:sz w:val="26"/>
                                <w:szCs w:val="26"/>
                              </w:rPr>
                              <w:t>J</w:t>
                            </w:r>
                            <w:r>
                              <w:rPr>
                                <w:w w:val="103"/>
                                <w:sz w:val="26"/>
                                <w:szCs w:val="26"/>
                              </w:rPr>
                              <w:t>ill</w:t>
                            </w:r>
                            <w:proofErr w:type="spellEnd"/>
                            <w:r>
                              <w:rPr>
                                <w:sz w:val="26"/>
                                <w:szCs w:val="26"/>
                              </w:rPr>
                              <w:tab/>
                            </w:r>
                            <w:r>
                              <w:rPr>
                                <w:spacing w:val="1"/>
                                <w:w w:val="103"/>
                                <w:position w:val="4"/>
                                <w:sz w:val="21"/>
                                <w:szCs w:val="21"/>
                              </w:rPr>
                              <w:t>V</w:t>
                            </w:r>
                            <w:r>
                              <w:rPr>
                                <w:spacing w:val="2"/>
                                <w:w w:val="103"/>
                                <w:position w:val="4"/>
                                <w:sz w:val="21"/>
                                <w:szCs w:val="21"/>
                              </w:rPr>
                              <w:t>is</w:t>
                            </w:r>
                            <w:r>
                              <w:rPr>
                                <w:spacing w:val="-8"/>
                                <w:w w:val="103"/>
                                <w:position w:val="4"/>
                                <w:sz w:val="21"/>
                                <w:szCs w:val="21"/>
                              </w:rPr>
                              <w:t>i</w:t>
                            </w:r>
                            <w:r>
                              <w:rPr>
                                <w:spacing w:val="2"/>
                                <w:w w:val="103"/>
                                <w:position w:val="4"/>
                                <w:sz w:val="21"/>
                                <w:szCs w:val="21"/>
                              </w:rPr>
                              <w:t>t</w:t>
                            </w:r>
                            <w:r>
                              <w:rPr>
                                <w:w w:val="103"/>
                                <w:position w:val="4"/>
                                <w:sz w:val="21"/>
                                <w:szCs w:val="21"/>
                              </w:rPr>
                              <w:t>s</w:t>
                            </w:r>
                            <w:r>
                              <w:rPr>
                                <w:spacing w:val="22"/>
                                <w:position w:val="4"/>
                                <w:sz w:val="21"/>
                                <w:szCs w:val="21"/>
                              </w:rPr>
                              <w:t xml:space="preserve"> </w:t>
                            </w:r>
                            <w:r>
                              <w:rPr>
                                <w:spacing w:val="-1"/>
                                <w:w w:val="103"/>
                                <w:position w:val="4"/>
                                <w:sz w:val="21"/>
                                <w:szCs w:val="21"/>
                              </w:rPr>
                              <w:t>2</w:t>
                            </w:r>
                            <w:r>
                              <w:rPr>
                                <w:spacing w:val="2"/>
                                <w:w w:val="103"/>
                                <w:position w:val="4"/>
                                <w:sz w:val="21"/>
                                <w:szCs w:val="21"/>
                              </w:rPr>
                              <w:t>.</w:t>
                            </w:r>
                            <w:r>
                              <w:rPr>
                                <w:w w:val="103"/>
                                <w:position w:val="4"/>
                                <w:sz w:val="21"/>
                                <w:szCs w:val="21"/>
                              </w:rPr>
                              <w:t>4</w:t>
                            </w:r>
                            <w:r>
                              <w:rPr>
                                <w:position w:val="4"/>
                                <w:sz w:val="21"/>
                                <w:szCs w:val="21"/>
                              </w:rPr>
                              <w:tab/>
                            </w:r>
                            <w:r>
                              <w:rPr>
                                <w:spacing w:val="1"/>
                                <w:w w:val="103"/>
                                <w:position w:val="4"/>
                                <w:sz w:val="21"/>
                                <w:szCs w:val="21"/>
                              </w:rPr>
                              <w:t>a</w:t>
                            </w:r>
                            <w:r>
                              <w:rPr>
                                <w:spacing w:val="2"/>
                                <w:w w:val="103"/>
                                <w:position w:val="4"/>
                                <w:sz w:val="21"/>
                                <w:szCs w:val="21"/>
                              </w:rPr>
                              <w:t>v</w:t>
                            </w:r>
                            <w:r>
                              <w:rPr>
                                <w:spacing w:val="1"/>
                                <w:w w:val="103"/>
                                <w:position w:val="4"/>
                                <w:sz w:val="21"/>
                                <w:szCs w:val="21"/>
                              </w:rPr>
                              <w:t>e</w:t>
                            </w:r>
                            <w:r>
                              <w:rPr>
                                <w:spacing w:val="2"/>
                                <w:w w:val="103"/>
                                <w:position w:val="4"/>
                                <w:sz w:val="21"/>
                                <w:szCs w:val="21"/>
                              </w:rPr>
                              <w:t>r</w:t>
                            </w:r>
                            <w:r>
                              <w:rPr>
                                <w:spacing w:val="1"/>
                                <w:w w:val="103"/>
                                <w:position w:val="4"/>
                                <w:sz w:val="21"/>
                                <w:szCs w:val="21"/>
                              </w:rPr>
                              <w:t>ag</w:t>
                            </w:r>
                            <w:r>
                              <w:rPr>
                                <w:w w:val="103"/>
                                <w:position w:val="4"/>
                                <w:sz w:val="21"/>
                                <w:szCs w:val="21"/>
                              </w:rPr>
                              <w:t>e</w:t>
                            </w:r>
                            <w:r>
                              <w:rPr>
                                <w:spacing w:val="10"/>
                                <w:position w:val="4"/>
                                <w:sz w:val="21"/>
                                <w:szCs w:val="21"/>
                              </w:rPr>
                              <w:t xml:space="preserve"> </w:t>
                            </w:r>
                            <w:r>
                              <w:rPr>
                                <w:spacing w:val="1"/>
                                <w:w w:val="103"/>
                                <w:position w:val="4"/>
                                <w:sz w:val="21"/>
                                <w:szCs w:val="21"/>
                              </w:rPr>
                              <w:t>da</w:t>
                            </w:r>
                            <w:r>
                              <w:rPr>
                                <w:spacing w:val="-1"/>
                                <w:w w:val="103"/>
                                <w:position w:val="4"/>
                                <w:sz w:val="21"/>
                                <w:szCs w:val="21"/>
                              </w:rPr>
                              <w:t>i</w:t>
                            </w:r>
                            <w:r>
                              <w:rPr>
                                <w:spacing w:val="2"/>
                                <w:w w:val="103"/>
                                <w:position w:val="4"/>
                                <w:sz w:val="21"/>
                                <w:szCs w:val="21"/>
                              </w:rPr>
                              <w:t>l</w:t>
                            </w:r>
                            <w:r>
                              <w:rPr>
                                <w:w w:val="103"/>
                                <w:position w:val="4"/>
                                <w:sz w:val="21"/>
                                <w:szCs w:val="21"/>
                              </w:rPr>
                              <w:t>y</w:t>
                            </w:r>
                            <w:r>
                              <w:rPr>
                                <w:position w:val="4"/>
                                <w:sz w:val="21"/>
                                <w:szCs w:val="21"/>
                              </w:rPr>
                              <w:t xml:space="preserve"> </w:t>
                            </w:r>
                            <w:r>
                              <w:rPr>
                                <w:spacing w:val="-26"/>
                                <w:position w:val="4"/>
                                <w:sz w:val="21"/>
                                <w:szCs w:val="21"/>
                              </w:rPr>
                              <w:t xml:space="preserve"> </w:t>
                            </w:r>
                            <w:r>
                              <w:rPr>
                                <w:spacing w:val="2"/>
                                <w:w w:val="103"/>
                                <w:position w:val="4"/>
                                <w:sz w:val="21"/>
                                <w:szCs w:val="21"/>
                              </w:rPr>
                              <w:t>r</w:t>
                            </w:r>
                            <w:r>
                              <w:rPr>
                                <w:spacing w:val="-1"/>
                                <w:w w:val="103"/>
                                <w:position w:val="4"/>
                                <w:sz w:val="21"/>
                                <w:szCs w:val="21"/>
                              </w:rPr>
                              <w:t>a</w:t>
                            </w:r>
                            <w:r>
                              <w:rPr>
                                <w:spacing w:val="2"/>
                                <w:w w:val="103"/>
                                <w:position w:val="4"/>
                                <w:sz w:val="21"/>
                                <w:szCs w:val="21"/>
                              </w:rPr>
                              <w:t>t</w:t>
                            </w:r>
                            <w:r>
                              <w:rPr>
                                <w:w w:val="103"/>
                                <w:position w:val="4"/>
                                <w:sz w:val="21"/>
                                <w:szCs w:val="21"/>
                              </w:rPr>
                              <w:t>e</w:t>
                            </w:r>
                            <w:r>
                              <w:rPr>
                                <w:spacing w:val="1"/>
                                <w:position w:val="4"/>
                                <w:sz w:val="21"/>
                                <w:szCs w:val="21"/>
                              </w:rPr>
                              <w:t xml:space="preserve"> </w:t>
                            </w:r>
                            <w:r>
                              <w:rPr>
                                <w:spacing w:val="1"/>
                                <w:w w:val="103"/>
                                <w:position w:val="4"/>
                                <w:sz w:val="21"/>
                                <w:szCs w:val="21"/>
                              </w:rPr>
                              <w:t>o</w:t>
                            </w:r>
                            <w:r>
                              <w:rPr>
                                <w:w w:val="103"/>
                                <w:position w:val="4"/>
                                <w:sz w:val="21"/>
                                <w:szCs w:val="21"/>
                              </w:rPr>
                              <w:t>f</w:t>
                            </w:r>
                            <w:r>
                              <w:rPr>
                                <w:position w:val="4"/>
                                <w:sz w:val="21"/>
                                <w:szCs w:val="21"/>
                              </w:rPr>
                              <w:tab/>
                            </w:r>
                            <w:r>
                              <w:rPr>
                                <w:rFonts w:ascii="Times New Roman" w:hAnsi="Times New Roman" w:cs="Times New Roman"/>
                                <w:spacing w:val="-2"/>
                                <w:w w:val="96"/>
                                <w:position w:val="5"/>
                                <w:sz w:val="23"/>
                                <w:szCs w:val="23"/>
                              </w:rPr>
                              <w:t>C</w:t>
                            </w:r>
                            <w:r>
                              <w:rPr>
                                <w:rFonts w:ascii="Times New Roman" w:hAnsi="Times New Roman" w:cs="Times New Roman"/>
                                <w:spacing w:val="-1"/>
                                <w:w w:val="96"/>
                                <w:position w:val="5"/>
                                <w:sz w:val="23"/>
                                <w:szCs w:val="23"/>
                              </w:rPr>
                              <w:t>SPE</w:t>
                            </w:r>
                            <w:r>
                              <w:rPr>
                                <w:rFonts w:ascii="Times New Roman" w:hAnsi="Times New Roman" w:cs="Times New Roman"/>
                                <w:spacing w:val="-2"/>
                                <w:w w:val="96"/>
                                <w:position w:val="5"/>
                                <w:sz w:val="23"/>
                                <w:szCs w:val="23"/>
                              </w:rPr>
                              <w:t>C</w:t>
                            </w:r>
                            <w:r>
                              <w:rPr>
                                <w:rFonts w:ascii="Times New Roman" w:hAnsi="Times New Roman" w:cs="Times New Roman"/>
                                <w:w w:val="96"/>
                                <w:position w:val="5"/>
                                <w:sz w:val="23"/>
                                <w:szCs w:val="23"/>
                              </w:rPr>
                              <w:t>H</w:t>
                            </w:r>
                          </w:p>
                          <w:p w:rsidR="007B2B7B" w:rsidRDefault="007B2B7B">
                            <w:pPr>
                              <w:pStyle w:val="TableParagraph"/>
                              <w:tabs>
                                <w:tab w:val="left" w:pos="8133"/>
                              </w:tabs>
                              <w:kinsoku w:val="0"/>
                              <w:overflowPunct w:val="0"/>
                              <w:spacing w:before="28" w:line="237" w:lineRule="exact"/>
                              <w:ind w:left="5850"/>
                              <w:rPr>
                                <w:spacing w:val="-8"/>
                                <w:w w:val="110"/>
                                <w:position w:val="1"/>
                                <w:sz w:val="21"/>
                                <w:szCs w:val="21"/>
                              </w:rPr>
                            </w:pPr>
                            <w:r>
                              <w:rPr>
                                <w:w w:val="110"/>
                                <w:sz w:val="21"/>
                                <w:szCs w:val="21"/>
                              </w:rPr>
                              <w:t>yrs./28</w:t>
                            </w:r>
                            <w:r>
                              <w:rPr>
                                <w:spacing w:val="-10"/>
                                <w:w w:val="110"/>
                                <w:sz w:val="21"/>
                                <w:szCs w:val="21"/>
                              </w:rPr>
                              <w:t xml:space="preserve"> </w:t>
                            </w:r>
                            <w:r>
                              <w:rPr>
                                <w:w w:val="110"/>
                                <w:sz w:val="21"/>
                                <w:szCs w:val="21"/>
                              </w:rPr>
                              <w:t>mos.</w:t>
                            </w:r>
                            <w:r>
                              <w:rPr>
                                <w:w w:val="110"/>
                                <w:sz w:val="21"/>
                                <w:szCs w:val="21"/>
                              </w:rPr>
                              <w:tab/>
                            </w:r>
                            <w:r>
                              <w:rPr>
                                <w:spacing w:val="-8"/>
                                <w:w w:val="110"/>
                                <w:position w:val="1"/>
                                <w:sz w:val="21"/>
                                <w:szCs w:val="21"/>
                              </w:rPr>
                              <w:t>$1233</w:t>
                            </w:r>
                          </w:p>
                          <w:p w:rsidR="007B2B7B" w:rsidRDefault="007B2B7B">
                            <w:pPr>
                              <w:pStyle w:val="TableParagraph"/>
                              <w:tabs>
                                <w:tab w:val="left" w:pos="5058"/>
                                <w:tab w:val="left" w:pos="5793"/>
                              </w:tabs>
                              <w:kinsoku w:val="0"/>
                              <w:overflowPunct w:val="0"/>
                              <w:spacing w:line="188" w:lineRule="exact"/>
                              <w:ind w:left="3019"/>
                              <w:rPr>
                                <w:i/>
                                <w:iCs/>
                                <w:w w:val="140"/>
                                <w:sz w:val="11"/>
                                <w:szCs w:val="11"/>
                              </w:rPr>
                            </w:pPr>
                            <w:r>
                              <w:rPr>
                                <w:i/>
                                <w:iCs/>
                                <w:w w:val="140"/>
                                <w:sz w:val="11"/>
                                <w:szCs w:val="11"/>
                                <w:u w:val="single" w:color="000000"/>
                              </w:rPr>
                              <w:t xml:space="preserve"> </w:t>
                            </w:r>
                            <w:r>
                              <w:rPr>
                                <w:i/>
                                <w:iCs/>
                                <w:sz w:val="11"/>
                                <w:szCs w:val="11"/>
                                <w:u w:val="single" w:color="000000"/>
                              </w:rPr>
                              <w:t xml:space="preserve">     </w:t>
                            </w:r>
                            <w:r>
                              <w:rPr>
                                <w:i/>
                                <w:iCs/>
                                <w:spacing w:val="-1"/>
                                <w:sz w:val="11"/>
                                <w:szCs w:val="11"/>
                                <w:u w:val="single" w:color="000000"/>
                              </w:rPr>
                              <w:t xml:space="preserve"> </w:t>
                            </w:r>
                            <w:proofErr w:type="spellStart"/>
                            <w:r>
                              <w:rPr>
                                <w:i/>
                                <w:iCs/>
                                <w:spacing w:val="-2"/>
                                <w:w w:val="140"/>
                                <w:sz w:val="11"/>
                                <w:szCs w:val="11"/>
                                <w:u w:val="single" w:color="000000"/>
                              </w:rPr>
                              <w:t>w</w:t>
                            </w:r>
                            <w:r>
                              <w:rPr>
                                <w:i/>
                                <w:iCs/>
                                <w:spacing w:val="-1"/>
                                <w:w w:val="140"/>
                                <w:sz w:val="11"/>
                                <w:szCs w:val="11"/>
                                <w:u w:val="single" w:color="000000"/>
                              </w:rPr>
                              <w:t>c</w:t>
                            </w:r>
                            <w:r>
                              <w:rPr>
                                <w:i/>
                                <w:iCs/>
                                <w:spacing w:val="-2"/>
                                <w:w w:val="140"/>
                                <w:sz w:val="11"/>
                                <w:szCs w:val="11"/>
                                <w:u w:val="single" w:color="000000"/>
                              </w:rPr>
                              <w:t>m</w:t>
                            </w:r>
                            <w:r>
                              <w:rPr>
                                <w:i/>
                                <w:iCs/>
                                <w:spacing w:val="-15"/>
                                <w:w w:val="140"/>
                                <w:sz w:val="11"/>
                                <w:szCs w:val="11"/>
                                <w:u w:val="single" w:color="000000"/>
                              </w:rPr>
                              <w:t>t</w:t>
                            </w:r>
                            <w:proofErr w:type="spellEnd"/>
                            <w:r>
                              <w:rPr>
                                <w:spacing w:val="-157"/>
                                <w:w w:val="139"/>
                                <w:position w:val="2"/>
                                <w:sz w:val="17"/>
                                <w:szCs w:val="17"/>
                                <w:u w:val="single" w:color="000000"/>
                              </w:rPr>
                              <w:t>m</w:t>
                            </w:r>
                            <w:r>
                              <w:rPr>
                                <w:i/>
                                <w:iCs/>
                                <w:spacing w:val="-12"/>
                                <w:w w:val="140"/>
                                <w:sz w:val="11"/>
                                <w:szCs w:val="11"/>
                                <w:u w:val="single" w:color="000000"/>
                              </w:rPr>
                              <w:t>M:</w:t>
                            </w:r>
                            <w:r>
                              <w:rPr>
                                <w:i/>
                                <w:iCs/>
                                <w:spacing w:val="-101"/>
                                <w:w w:val="140"/>
                                <w:sz w:val="11"/>
                                <w:szCs w:val="11"/>
                                <w:u w:val="single" w:color="000000"/>
                              </w:rPr>
                              <w:t>B</w:t>
                            </w:r>
                            <w:r>
                              <w:rPr>
                                <w:spacing w:val="-72"/>
                                <w:w w:val="139"/>
                                <w:position w:val="2"/>
                                <w:sz w:val="17"/>
                                <w:szCs w:val="17"/>
                                <w:u w:val="single" w:color="000000"/>
                              </w:rPr>
                              <w:t>W</w:t>
                            </w:r>
                            <w:r>
                              <w:rPr>
                                <w:i/>
                                <w:iCs/>
                                <w:spacing w:val="-63"/>
                                <w:w w:val="140"/>
                                <w:sz w:val="11"/>
                                <w:szCs w:val="11"/>
                                <w:u w:val="single" w:color="000000"/>
                              </w:rPr>
                              <w:t>A</w:t>
                            </w:r>
                            <w:r>
                              <w:rPr>
                                <w:spacing w:val="-45"/>
                                <w:position w:val="2"/>
                                <w:sz w:val="17"/>
                                <w:szCs w:val="17"/>
                                <w:u w:val="single" w:color="000000"/>
                              </w:rPr>
                              <w:t>J</w:t>
                            </w:r>
                            <w:r>
                              <w:rPr>
                                <w:spacing w:val="-80"/>
                                <w:position w:val="2"/>
                                <w:sz w:val="17"/>
                                <w:szCs w:val="17"/>
                                <w:u w:val="single" w:color="000000"/>
                              </w:rPr>
                              <w:t>R</w:t>
                            </w:r>
                            <w:proofErr w:type="spellStart"/>
                            <w:r>
                              <w:rPr>
                                <w:i/>
                                <w:iCs/>
                                <w:spacing w:val="-1"/>
                                <w:w w:val="140"/>
                                <w:sz w:val="11"/>
                                <w:szCs w:val="11"/>
                                <w:u w:val="single" w:color="000000"/>
                              </w:rPr>
                              <w:t>i</w:t>
                            </w:r>
                            <w:r>
                              <w:rPr>
                                <w:i/>
                                <w:iCs/>
                                <w:spacing w:val="-62"/>
                                <w:w w:val="140"/>
                                <w:sz w:val="11"/>
                                <w:szCs w:val="11"/>
                                <w:u w:val="single" w:color="000000"/>
                              </w:rPr>
                              <w:t>N</w:t>
                            </w:r>
                            <w:proofErr w:type="spellEnd"/>
                            <w:r>
                              <w:rPr>
                                <w:spacing w:val="-5"/>
                                <w:w w:val="439"/>
                                <w:position w:val="2"/>
                                <w:sz w:val="17"/>
                                <w:szCs w:val="17"/>
                                <w:u w:val="single" w:color="000000"/>
                              </w:rPr>
                              <w:t>•</w:t>
                            </w:r>
                            <w:r>
                              <w:rPr>
                                <w:spacing w:val="1"/>
                                <w:w w:val="137"/>
                                <w:sz w:val="10"/>
                                <w:szCs w:val="10"/>
                                <w:u w:val="single" w:color="000000"/>
                              </w:rPr>
                              <w:t>&amp;</w:t>
                            </w:r>
                            <w:r>
                              <w:rPr>
                                <w:w w:val="138"/>
                                <w:sz w:val="10"/>
                                <w:szCs w:val="10"/>
                                <w:u w:val="single" w:color="000000"/>
                              </w:rPr>
                              <w:t>f</w:t>
                            </w:r>
                            <w:r>
                              <w:rPr>
                                <w:w w:val="137"/>
                                <w:sz w:val="10"/>
                                <w:szCs w:val="10"/>
                                <w:u w:val="single" w:color="000000"/>
                              </w:rPr>
                              <w:t>il</w:t>
                            </w:r>
                            <w:r>
                              <w:rPr>
                                <w:w w:val="138"/>
                                <w:sz w:val="10"/>
                                <w:szCs w:val="10"/>
                                <w:u w:val="single" w:color="000000"/>
                              </w:rPr>
                              <w:t>;</w:t>
                            </w:r>
                            <w:r>
                              <w:rPr>
                                <w:spacing w:val="3"/>
                                <w:sz w:val="10"/>
                                <w:szCs w:val="10"/>
                                <w:u w:val="single" w:color="000000"/>
                              </w:rPr>
                              <w:t xml:space="preserve"> </w:t>
                            </w:r>
                            <w:r>
                              <w:rPr>
                                <w:rFonts w:ascii="Times New Roman" w:hAnsi="Times New Roman" w:cs="Times New Roman"/>
                                <w:spacing w:val="-1"/>
                                <w:w w:val="136"/>
                                <w:sz w:val="10"/>
                                <w:szCs w:val="10"/>
                                <w:u w:val="single" w:color="000000"/>
                              </w:rPr>
                              <w:t>.</w:t>
                            </w:r>
                            <w:proofErr w:type="spellStart"/>
                            <w:r>
                              <w:rPr>
                                <w:rFonts w:ascii="Times New Roman" w:hAnsi="Times New Roman" w:cs="Times New Roman"/>
                                <w:spacing w:val="2"/>
                                <w:w w:val="136"/>
                                <w:sz w:val="10"/>
                                <w:szCs w:val="10"/>
                                <w:u w:val="single" w:color="000000"/>
                              </w:rPr>
                              <w:t>i</w:t>
                            </w:r>
                            <w:r>
                              <w:rPr>
                                <w:rFonts w:ascii="Times New Roman" w:hAnsi="Times New Roman" w:cs="Times New Roman"/>
                                <w:w w:val="136"/>
                                <w:sz w:val="10"/>
                                <w:szCs w:val="10"/>
                                <w:u w:val="single" w:color="000000"/>
                              </w:rPr>
                              <w:t>D</w:t>
                            </w:r>
                            <w:proofErr w:type="spellEnd"/>
                            <w:r>
                              <w:rPr>
                                <w:rFonts w:ascii="Times New Roman" w:hAnsi="Times New Roman" w:cs="Times New Roman"/>
                                <w:sz w:val="10"/>
                                <w:szCs w:val="10"/>
                                <w:u w:val="single" w:color="000000"/>
                              </w:rPr>
                              <w:tab/>
                            </w:r>
                            <w:r>
                              <w:rPr>
                                <w:spacing w:val="-31"/>
                                <w:position w:val="2"/>
                                <w:sz w:val="17"/>
                                <w:szCs w:val="17"/>
                                <w:u w:val="single" w:color="000000"/>
                              </w:rPr>
                              <w:t>'</w:t>
                            </w:r>
                            <w:r>
                              <w:rPr>
                                <w:sz w:val="11"/>
                                <w:szCs w:val="11"/>
                                <w:u w:val="single" w:color="000000"/>
                              </w:rPr>
                              <w:t>'</w:t>
                            </w:r>
                            <w:r>
                              <w:rPr>
                                <w:spacing w:val="-48"/>
                                <w:position w:val="2"/>
                                <w:sz w:val="17"/>
                                <w:szCs w:val="17"/>
                                <w:u w:val="single" w:color="000000"/>
                              </w:rPr>
                              <w:t>.</w:t>
                            </w:r>
                            <w:r>
                              <w:rPr>
                                <w:spacing w:val="3"/>
                                <w:sz w:val="11"/>
                                <w:szCs w:val="11"/>
                                <w:u w:val="single" w:color="000000"/>
                              </w:rPr>
                              <w:t>°</w:t>
                            </w:r>
                            <w:r>
                              <w:rPr>
                                <w:spacing w:val="-36"/>
                                <w:position w:val="2"/>
                                <w:sz w:val="17"/>
                                <w:szCs w:val="17"/>
                                <w:u w:val="single" w:color="000000"/>
                              </w:rPr>
                              <w:t>l</w:t>
                            </w:r>
                            <w:r>
                              <w:rPr>
                                <w:sz w:val="11"/>
                                <w:szCs w:val="11"/>
                                <w:u w:val="single" w:color="000000"/>
                              </w:rPr>
                              <w:t>'</w:t>
                            </w:r>
                            <w:r>
                              <w:rPr>
                                <w:spacing w:val="-14"/>
                                <w:sz w:val="11"/>
                                <w:szCs w:val="11"/>
                                <w:u w:val="single" w:color="000000"/>
                              </w:rPr>
                              <w:t>'</w:t>
                            </w:r>
                            <w:r>
                              <w:rPr>
                                <w:spacing w:val="-31"/>
                                <w:position w:val="2"/>
                                <w:sz w:val="17"/>
                                <w:szCs w:val="17"/>
                                <w:u w:val="single" w:color="000000"/>
                              </w:rPr>
                              <w:t>f</w:t>
                            </w:r>
                            <w:r>
                              <w:rPr>
                                <w:sz w:val="11"/>
                                <w:szCs w:val="11"/>
                                <w:u w:val="single" w:color="000000"/>
                              </w:rPr>
                              <w:t>'</w:t>
                            </w:r>
                            <w:r>
                              <w:rPr>
                                <w:spacing w:val="-19"/>
                                <w:sz w:val="11"/>
                                <w:szCs w:val="11"/>
                                <w:u w:val="single" w:color="000000"/>
                              </w:rPr>
                              <w:t>'</w:t>
                            </w:r>
                            <w:r>
                              <w:rPr>
                                <w:spacing w:val="-45"/>
                                <w:position w:val="2"/>
                                <w:sz w:val="17"/>
                                <w:szCs w:val="17"/>
                                <w:u w:val="single" w:color="000000"/>
                              </w:rPr>
                              <w:t>f</w:t>
                            </w:r>
                            <w:r>
                              <w:rPr>
                                <w:spacing w:val="-2"/>
                                <w:sz w:val="11"/>
                                <w:szCs w:val="11"/>
                                <w:u w:val="single" w:color="000000"/>
                              </w:rPr>
                              <w:t>'</w:t>
                            </w:r>
                            <w:proofErr w:type="spellStart"/>
                            <w:r>
                              <w:rPr>
                                <w:spacing w:val="-7"/>
                                <w:position w:val="2"/>
                                <w:sz w:val="17"/>
                                <w:szCs w:val="17"/>
                                <w:u w:val="single" w:color="000000"/>
                              </w:rPr>
                              <w:t>i</w:t>
                            </w:r>
                            <w:r>
                              <w:rPr>
                                <w:spacing w:val="12"/>
                                <w:position w:val="2"/>
                                <w:sz w:val="17"/>
                                <w:szCs w:val="17"/>
                                <w:u w:val="single" w:color="000000"/>
                              </w:rPr>
                              <w:t>l</w:t>
                            </w:r>
                            <w:proofErr w:type="spellEnd"/>
                            <w:r>
                              <w:rPr>
                                <w:spacing w:val="-5"/>
                                <w:sz w:val="11"/>
                                <w:szCs w:val="11"/>
                                <w:u w:val="single" w:color="000000"/>
                              </w:rPr>
                              <w:t>'</w:t>
                            </w:r>
                            <w:proofErr w:type="spellStart"/>
                            <w:r>
                              <w:rPr>
                                <w:position w:val="2"/>
                                <w:sz w:val="17"/>
                                <w:szCs w:val="17"/>
                                <w:u w:val="single" w:color="000000"/>
                              </w:rPr>
                              <w:t>l</w:t>
                            </w:r>
                            <w:r>
                              <w:rPr>
                                <w:spacing w:val="-2"/>
                                <w:position w:val="2"/>
                                <w:sz w:val="17"/>
                                <w:szCs w:val="17"/>
                                <w:u w:val="single" w:color="000000"/>
                              </w:rPr>
                              <w:t>l</w:t>
                            </w:r>
                            <w:proofErr w:type="spellEnd"/>
                            <w:r>
                              <w:rPr>
                                <w:rFonts w:ascii="Times New Roman" w:hAnsi="Times New Roman" w:cs="Times New Roman"/>
                                <w:spacing w:val="-28"/>
                                <w:sz w:val="11"/>
                                <w:szCs w:val="11"/>
                                <w:u w:val="single" w:color="000000"/>
                              </w:rPr>
                              <w:t>.</w:t>
                            </w:r>
                            <w:r>
                              <w:rPr>
                                <w:spacing w:val="-19"/>
                                <w:position w:val="2"/>
                                <w:sz w:val="17"/>
                                <w:szCs w:val="17"/>
                                <w:u w:val="single" w:color="000000"/>
                              </w:rPr>
                              <w:t>\</w:t>
                            </w:r>
                            <w:r>
                              <w:rPr>
                                <w:rFonts w:ascii="Times New Roman" w:hAnsi="Times New Roman" w:cs="Times New Roman"/>
                                <w:sz w:val="11"/>
                                <w:szCs w:val="11"/>
                                <w:u w:val="single" w:color="000000"/>
                              </w:rPr>
                              <w:t>J</w:t>
                            </w:r>
                            <w:r>
                              <w:rPr>
                                <w:rFonts w:ascii="Times New Roman" w:hAnsi="Times New Roman" w:cs="Times New Roman"/>
                                <w:sz w:val="11"/>
                                <w:szCs w:val="11"/>
                                <w:u w:val="single" w:color="000000"/>
                              </w:rPr>
                              <w:tab/>
                            </w:r>
                            <w:r>
                              <w:rPr>
                                <w:position w:val="2"/>
                                <w:sz w:val="17"/>
                                <w:szCs w:val="17"/>
                                <w:u w:val="single" w:color="000000"/>
                              </w:rPr>
                              <w:t>I</w:t>
                            </w:r>
                          </w:p>
                          <w:p w:rsidR="007B2B7B" w:rsidRDefault="007B2B7B">
                            <w:pPr>
                              <w:pStyle w:val="TableParagraph"/>
                              <w:tabs>
                                <w:tab w:val="left" w:pos="10043"/>
                              </w:tabs>
                              <w:kinsoku w:val="0"/>
                              <w:overflowPunct w:val="0"/>
                              <w:spacing w:before="13"/>
                              <w:ind w:left="1547"/>
                              <w:rPr>
                                <w:rFonts w:ascii="Times New Roman" w:hAnsi="Times New Roman" w:cs="Times New Roman"/>
                              </w:rPr>
                            </w:pPr>
                            <w:r>
                              <w:rPr>
                                <w:sz w:val="21"/>
                                <w:szCs w:val="21"/>
                              </w:rPr>
                              <w:t>Anchor  Inn ,Men's</w:t>
                            </w:r>
                            <w:r>
                              <w:rPr>
                                <w:spacing w:val="32"/>
                                <w:sz w:val="21"/>
                                <w:szCs w:val="21"/>
                              </w:rPr>
                              <w:t xml:space="preserve"> </w:t>
                            </w:r>
                            <w:r>
                              <w:rPr>
                                <w:sz w:val="21"/>
                                <w:szCs w:val="21"/>
                              </w:rPr>
                              <w:t>Inn,</w:t>
                            </w:r>
                            <w:r>
                              <w:rPr>
                                <w:spacing w:val="13"/>
                                <w:sz w:val="21"/>
                                <w:szCs w:val="21"/>
                              </w:rPr>
                              <w:t xml:space="preserve"> </w:t>
                            </w:r>
                            <w:r>
                              <w:rPr>
                                <w:sz w:val="21"/>
                                <w:szCs w:val="21"/>
                              </w:rPr>
                              <w:t>Post</w:t>
                            </w:r>
                            <w:r>
                              <w:rPr>
                                <w:sz w:val="21"/>
                                <w:szCs w:val="21"/>
                              </w:rPr>
                              <w:tab/>
                            </w:r>
                            <w:r>
                              <w:rPr>
                                <w:spacing w:val="-5"/>
                                <w:position w:val="2"/>
                                <w:sz w:val="21"/>
                                <w:szCs w:val="21"/>
                              </w:rPr>
                              <w:t>$6,314.S</w:t>
                            </w:r>
                            <w:r>
                              <w:rPr>
                                <w:spacing w:val="10"/>
                                <w:position w:val="2"/>
                                <w:sz w:val="21"/>
                                <w:szCs w:val="21"/>
                              </w:rPr>
                              <w:t xml:space="preserve"> </w:t>
                            </w:r>
                            <w:r>
                              <w:rPr>
                                <w:position w:val="2"/>
                                <w:sz w:val="21"/>
                                <w:szCs w:val="21"/>
                              </w:rPr>
                              <w:t>&gt;</w:t>
                            </w:r>
                          </w:p>
                        </w:tc>
                      </w:tr>
                      <w:tr w:rsidR="007B2B7B">
                        <w:trPr>
                          <w:trHeight w:hRule="exact" w:val="277"/>
                        </w:trPr>
                        <w:tc>
                          <w:tcPr>
                            <w:tcW w:w="4363" w:type="dxa"/>
                            <w:gridSpan w:val="2"/>
                            <w:tcBorders>
                              <w:top w:val="nil"/>
                              <w:left w:val="nil"/>
                              <w:bottom w:val="nil"/>
                              <w:right w:val="nil"/>
                            </w:tcBorders>
                          </w:tcPr>
                          <w:p w:rsidR="007B2B7B" w:rsidRDefault="007B2B7B">
                            <w:pPr>
                              <w:pStyle w:val="TableParagraph"/>
                              <w:tabs>
                                <w:tab w:val="left" w:pos="1382"/>
                              </w:tabs>
                              <w:kinsoku w:val="0"/>
                              <w:overflowPunct w:val="0"/>
                              <w:spacing w:line="249" w:lineRule="exact"/>
                              <w:ind w:left="50"/>
                              <w:rPr>
                                <w:rFonts w:ascii="Times New Roman" w:hAnsi="Times New Roman" w:cs="Times New Roman"/>
                              </w:rPr>
                            </w:pPr>
                            <w:r>
                              <w:rPr>
                                <w:w w:val="110"/>
                                <w:sz w:val="21"/>
                                <w:szCs w:val="21"/>
                                <w:u w:val="single" w:color="000000"/>
                              </w:rPr>
                              <w:t>Person</w:t>
                            </w:r>
                            <w:r>
                              <w:rPr>
                                <w:spacing w:val="-24"/>
                                <w:w w:val="110"/>
                                <w:sz w:val="21"/>
                                <w:szCs w:val="21"/>
                                <w:u w:val="single" w:color="000000"/>
                              </w:rPr>
                              <w:t xml:space="preserve"> </w:t>
                            </w:r>
                            <w:r>
                              <w:rPr>
                                <w:w w:val="110"/>
                                <w:sz w:val="21"/>
                                <w:szCs w:val="21"/>
                                <w:u w:val="single" w:color="000000"/>
                              </w:rPr>
                              <w:t>#1</w:t>
                            </w:r>
                            <w:r>
                              <w:rPr>
                                <w:w w:val="110"/>
                                <w:sz w:val="21"/>
                                <w:szCs w:val="21"/>
                                <w:u w:val="single" w:color="000000"/>
                              </w:rPr>
                              <w:tab/>
                            </w:r>
                            <w:r>
                              <w:rPr>
                                <w:w w:val="110"/>
                                <w:position w:val="1"/>
                                <w:sz w:val="21"/>
                                <w:szCs w:val="21"/>
                              </w:rPr>
                              <w:t>Detox</w:t>
                            </w:r>
                          </w:p>
                        </w:tc>
                        <w:tc>
                          <w:tcPr>
                            <w:tcW w:w="1767" w:type="dxa"/>
                            <w:tcBorders>
                              <w:top w:val="nil"/>
                              <w:left w:val="nil"/>
                              <w:bottom w:val="single" w:sz="4" w:space="0" w:color="000000"/>
                              <w:right w:val="nil"/>
                            </w:tcBorders>
                          </w:tcPr>
                          <w:p w:rsidR="007B2B7B" w:rsidRDefault="007B2B7B">
                            <w:pPr>
                              <w:pStyle w:val="TableParagraph"/>
                              <w:kinsoku w:val="0"/>
                              <w:overflowPunct w:val="0"/>
                              <w:spacing w:line="240" w:lineRule="exact"/>
                              <w:ind w:left="122"/>
                              <w:rPr>
                                <w:rFonts w:ascii="Times New Roman" w:hAnsi="Times New Roman" w:cs="Times New Roman"/>
                              </w:rPr>
                            </w:pPr>
                            <w:r>
                              <w:rPr>
                                <w:sz w:val="21"/>
                                <w:szCs w:val="21"/>
                              </w:rPr>
                              <w:t>Outreach</w:t>
                            </w:r>
                          </w:p>
                        </w:tc>
                        <w:tc>
                          <w:tcPr>
                            <w:tcW w:w="1070" w:type="dxa"/>
                            <w:tcBorders>
                              <w:top w:val="nil"/>
                              <w:left w:val="nil"/>
                              <w:bottom w:val="single" w:sz="4" w:space="0" w:color="000000"/>
                              <w:right w:val="nil"/>
                            </w:tcBorders>
                          </w:tcPr>
                          <w:p w:rsidR="007B2B7B" w:rsidRDefault="007B2B7B">
                            <w:pPr>
                              <w:pStyle w:val="TableParagraph"/>
                              <w:kinsoku w:val="0"/>
                              <w:overflowPunct w:val="0"/>
                              <w:spacing w:line="230" w:lineRule="exact"/>
                              <w:ind w:left="0" w:right="60"/>
                              <w:jc w:val="right"/>
                              <w:rPr>
                                <w:rFonts w:ascii="Times New Roman" w:hAnsi="Times New Roman" w:cs="Times New Roman"/>
                              </w:rPr>
                            </w:pPr>
                            <w:r>
                              <w:rPr>
                                <w:w w:val="105"/>
                                <w:sz w:val="21"/>
                                <w:szCs w:val="21"/>
                              </w:rPr>
                              <w:t>190</w:t>
                            </w:r>
                          </w:p>
                        </w:tc>
                        <w:tc>
                          <w:tcPr>
                            <w:tcW w:w="2455" w:type="dxa"/>
                            <w:gridSpan w:val="3"/>
                            <w:tcBorders>
                              <w:top w:val="nil"/>
                              <w:left w:val="nil"/>
                              <w:bottom w:val="single" w:sz="4" w:space="0" w:color="000000"/>
                              <w:right w:val="nil"/>
                            </w:tcBorders>
                          </w:tcPr>
                          <w:p w:rsidR="007B2B7B" w:rsidRDefault="007B2B7B">
                            <w:pPr>
                              <w:pStyle w:val="TableParagraph"/>
                              <w:tabs>
                                <w:tab w:val="left" w:pos="1230"/>
                              </w:tabs>
                              <w:kinsoku w:val="0"/>
                              <w:overflowPunct w:val="0"/>
                              <w:spacing w:line="247" w:lineRule="exact"/>
                              <w:ind w:left="112"/>
                              <w:rPr>
                                <w:rFonts w:ascii="Times New Roman" w:hAnsi="Times New Roman" w:cs="Times New Roman"/>
                              </w:rPr>
                            </w:pPr>
                            <w:r>
                              <w:rPr>
                                <w:rFonts w:ascii="Times New Roman" w:hAnsi="Times New Roman" w:cs="Times New Roman"/>
                                <w:w w:val="105"/>
                              </w:rPr>
                              <w:t>$</w:t>
                            </w:r>
                            <w:r>
                              <w:rPr>
                                <w:rFonts w:ascii="Times New Roman" w:hAnsi="Times New Roman" w:cs="Times New Roman"/>
                                <w:w w:val="105"/>
                              </w:rPr>
                              <w:tab/>
                            </w:r>
                            <w:r>
                              <w:rPr>
                                <w:w w:val="105"/>
                                <w:position w:val="1"/>
                                <w:sz w:val="21"/>
                                <w:szCs w:val="21"/>
                              </w:rPr>
                              <w:t>234,270.00</w:t>
                            </w:r>
                          </w:p>
                        </w:tc>
                        <w:tc>
                          <w:tcPr>
                            <w:tcW w:w="1674" w:type="dxa"/>
                            <w:tcBorders>
                              <w:top w:val="nil"/>
                              <w:left w:val="nil"/>
                              <w:bottom w:val="nil"/>
                              <w:right w:val="nil"/>
                            </w:tcBorders>
                          </w:tcPr>
                          <w:p w:rsidR="007B2B7B" w:rsidRDefault="007B2B7B">
                            <w:pPr>
                              <w:pStyle w:val="TableParagraph"/>
                              <w:kinsoku w:val="0"/>
                              <w:overflowPunct w:val="0"/>
                              <w:spacing w:line="216" w:lineRule="exact"/>
                              <w:ind w:left="338"/>
                              <w:rPr>
                                <w:rFonts w:ascii="Times New Roman" w:hAnsi="Times New Roman" w:cs="Times New Roman"/>
                              </w:rPr>
                            </w:pPr>
                            <w:r>
                              <w:rPr>
                                <w:sz w:val="21"/>
                                <w:szCs w:val="21"/>
                              </w:rPr>
                              <w:t>p.er person</w:t>
                            </w:r>
                          </w:p>
                        </w:tc>
                      </w:tr>
                      <w:tr w:rsidR="007B2B7B">
                        <w:trPr>
                          <w:trHeight w:hRule="exact" w:val="320"/>
                        </w:trPr>
                        <w:tc>
                          <w:tcPr>
                            <w:tcW w:w="4363" w:type="dxa"/>
                            <w:gridSpan w:val="2"/>
                            <w:tcBorders>
                              <w:top w:val="nil"/>
                              <w:left w:val="nil"/>
                              <w:bottom w:val="nil"/>
                              <w:right w:val="nil"/>
                            </w:tcBorders>
                          </w:tcPr>
                          <w:p w:rsidR="007B2B7B" w:rsidRDefault="007B2B7B">
                            <w:pPr>
                              <w:pStyle w:val="TableParagraph"/>
                              <w:tabs>
                                <w:tab w:val="left" w:pos="1382"/>
                              </w:tabs>
                              <w:kinsoku w:val="0"/>
                              <w:overflowPunct w:val="0"/>
                              <w:spacing w:before="32"/>
                              <w:ind w:left="50"/>
                              <w:rPr>
                                <w:rFonts w:ascii="Times New Roman" w:hAnsi="Times New Roman" w:cs="Times New Roman"/>
                              </w:rPr>
                            </w:pPr>
                            <w:r>
                              <w:rPr>
                                <w:w w:val="105"/>
                                <w:sz w:val="21"/>
                                <w:szCs w:val="21"/>
                                <w:u w:val="single" w:color="000000"/>
                              </w:rPr>
                              <w:t>Person</w:t>
                            </w:r>
                            <w:r>
                              <w:rPr>
                                <w:spacing w:val="-12"/>
                                <w:w w:val="105"/>
                                <w:sz w:val="21"/>
                                <w:szCs w:val="21"/>
                                <w:u w:val="single" w:color="000000"/>
                              </w:rPr>
                              <w:t xml:space="preserve"> </w:t>
                            </w:r>
                            <w:r>
                              <w:rPr>
                                <w:w w:val="105"/>
                                <w:sz w:val="21"/>
                                <w:szCs w:val="21"/>
                                <w:u w:val="single" w:color="000000"/>
                              </w:rPr>
                              <w:t>#2</w:t>
                            </w:r>
                            <w:r>
                              <w:rPr>
                                <w:w w:val="105"/>
                                <w:sz w:val="21"/>
                                <w:szCs w:val="21"/>
                                <w:u w:val="single" w:color="000000"/>
                              </w:rPr>
                              <w:tab/>
                            </w:r>
                            <w:r>
                              <w:rPr>
                                <w:w w:val="105"/>
                                <w:position w:val="1"/>
                                <w:sz w:val="21"/>
                                <w:szCs w:val="21"/>
                              </w:rPr>
                              <w:t>Men's</w:t>
                            </w:r>
                            <w:r>
                              <w:rPr>
                                <w:spacing w:val="-7"/>
                                <w:w w:val="105"/>
                                <w:position w:val="1"/>
                                <w:sz w:val="21"/>
                                <w:szCs w:val="21"/>
                              </w:rPr>
                              <w:t xml:space="preserve"> </w:t>
                            </w:r>
                            <w:r>
                              <w:rPr>
                                <w:w w:val="105"/>
                                <w:position w:val="1"/>
                                <w:sz w:val="21"/>
                                <w:szCs w:val="21"/>
                              </w:rPr>
                              <w:t>Inn</w:t>
                            </w:r>
                          </w:p>
                        </w:tc>
                        <w:tc>
                          <w:tcPr>
                            <w:tcW w:w="1767" w:type="dxa"/>
                            <w:tcBorders>
                              <w:top w:val="single" w:sz="4" w:space="0" w:color="000000"/>
                              <w:left w:val="nil"/>
                              <w:bottom w:val="single" w:sz="4" w:space="0" w:color="000000"/>
                              <w:right w:val="nil"/>
                            </w:tcBorders>
                          </w:tcPr>
                          <w:p w:rsidR="007B2B7B" w:rsidRDefault="007B2B7B">
                            <w:pPr>
                              <w:pStyle w:val="TableParagraph"/>
                              <w:kinsoku w:val="0"/>
                              <w:overflowPunct w:val="0"/>
                              <w:spacing w:before="26"/>
                              <w:ind w:left="122"/>
                              <w:rPr>
                                <w:rFonts w:ascii="Times New Roman" w:hAnsi="Times New Roman" w:cs="Times New Roman"/>
                              </w:rPr>
                            </w:pPr>
                            <w:r>
                              <w:rPr>
                                <w:sz w:val="21"/>
                                <w:szCs w:val="21"/>
                              </w:rPr>
                              <w:t>Outreach</w:t>
                            </w:r>
                          </w:p>
                        </w:tc>
                        <w:tc>
                          <w:tcPr>
                            <w:tcW w:w="1070" w:type="dxa"/>
                            <w:tcBorders>
                              <w:top w:val="single" w:sz="4" w:space="0" w:color="000000"/>
                              <w:left w:val="nil"/>
                              <w:bottom w:val="single" w:sz="4" w:space="0" w:color="000000"/>
                              <w:right w:val="nil"/>
                            </w:tcBorders>
                          </w:tcPr>
                          <w:p w:rsidR="007B2B7B" w:rsidRDefault="007B2B7B">
                            <w:pPr>
                              <w:pStyle w:val="TableParagraph"/>
                              <w:kinsoku w:val="0"/>
                              <w:overflowPunct w:val="0"/>
                              <w:spacing w:before="16"/>
                              <w:ind w:left="0" w:right="67"/>
                              <w:jc w:val="right"/>
                              <w:rPr>
                                <w:rFonts w:ascii="Times New Roman" w:hAnsi="Times New Roman" w:cs="Times New Roman"/>
                              </w:rPr>
                            </w:pPr>
                            <w:r>
                              <w:rPr>
                                <w:sz w:val="21"/>
                                <w:szCs w:val="21"/>
                              </w:rPr>
                              <w:t>171</w:t>
                            </w:r>
                          </w:p>
                        </w:tc>
                        <w:tc>
                          <w:tcPr>
                            <w:tcW w:w="2455" w:type="dxa"/>
                            <w:gridSpan w:val="3"/>
                            <w:tcBorders>
                              <w:top w:val="single" w:sz="4" w:space="0" w:color="000000"/>
                              <w:left w:val="nil"/>
                              <w:bottom w:val="single" w:sz="4" w:space="0" w:color="000000"/>
                              <w:right w:val="nil"/>
                            </w:tcBorders>
                          </w:tcPr>
                          <w:p w:rsidR="007B2B7B" w:rsidRDefault="007B2B7B">
                            <w:pPr>
                              <w:pStyle w:val="TableParagraph"/>
                              <w:tabs>
                                <w:tab w:val="left" w:pos="1238"/>
                              </w:tabs>
                              <w:kinsoku w:val="0"/>
                              <w:overflowPunct w:val="0"/>
                              <w:spacing w:line="273" w:lineRule="exact"/>
                              <w:ind w:left="119"/>
                              <w:rPr>
                                <w:rFonts w:ascii="Times New Roman" w:hAnsi="Times New Roman" w:cs="Times New Roman"/>
                              </w:rPr>
                            </w:pPr>
                            <w:r>
                              <w:rPr>
                                <w:rFonts w:ascii="Times New Roman" w:hAnsi="Times New Roman" w:cs="Times New Roman"/>
                                <w:w w:val="105"/>
                                <w:position w:val="-2"/>
                              </w:rPr>
                              <w:t>$</w:t>
                            </w:r>
                            <w:r>
                              <w:rPr>
                                <w:rFonts w:ascii="Times New Roman" w:hAnsi="Times New Roman" w:cs="Times New Roman"/>
                                <w:w w:val="105"/>
                                <w:position w:val="-2"/>
                              </w:rPr>
                              <w:tab/>
                            </w:r>
                            <w:r>
                              <w:rPr>
                                <w:spacing w:val="-3"/>
                                <w:w w:val="105"/>
                                <w:sz w:val="21"/>
                                <w:szCs w:val="21"/>
                              </w:rPr>
                              <w:t>210,843.00</w:t>
                            </w:r>
                          </w:p>
                        </w:tc>
                        <w:tc>
                          <w:tcPr>
                            <w:tcW w:w="1674" w:type="dxa"/>
                            <w:tcBorders>
                              <w:top w:val="nil"/>
                              <w:left w:val="nil"/>
                              <w:bottom w:val="nil"/>
                              <w:right w:val="nil"/>
                            </w:tcBorders>
                          </w:tcPr>
                          <w:p w:rsidR="007B2B7B" w:rsidRDefault="007B2B7B"/>
                        </w:tc>
                      </w:tr>
                      <w:tr w:rsidR="007B2B7B">
                        <w:trPr>
                          <w:trHeight w:hRule="exact" w:val="320"/>
                        </w:trPr>
                        <w:tc>
                          <w:tcPr>
                            <w:tcW w:w="1447" w:type="dxa"/>
                            <w:tcBorders>
                              <w:top w:val="nil"/>
                              <w:left w:val="nil"/>
                              <w:bottom w:val="nil"/>
                              <w:right w:val="nil"/>
                            </w:tcBorders>
                          </w:tcPr>
                          <w:p w:rsidR="007B2B7B" w:rsidRDefault="007B2B7B">
                            <w:pPr>
                              <w:pStyle w:val="TableParagraph"/>
                              <w:tabs>
                                <w:tab w:val="left" w:pos="1612"/>
                              </w:tabs>
                              <w:kinsoku w:val="0"/>
                              <w:overflowPunct w:val="0"/>
                              <w:spacing w:before="44"/>
                              <w:ind w:left="50" w:right="-166"/>
                              <w:rPr>
                                <w:rFonts w:ascii="Times New Roman" w:hAnsi="Times New Roman" w:cs="Times New Roman"/>
                              </w:rPr>
                            </w:pPr>
                            <w:r>
                              <w:rPr>
                                <w:sz w:val="21"/>
                                <w:szCs w:val="21"/>
                                <w:u w:val="single" w:color="000000"/>
                              </w:rPr>
                              <w:t>Person</w:t>
                            </w:r>
                            <w:r>
                              <w:rPr>
                                <w:spacing w:val="-14"/>
                                <w:sz w:val="21"/>
                                <w:szCs w:val="21"/>
                                <w:u w:val="single" w:color="000000"/>
                              </w:rPr>
                              <w:t xml:space="preserve"> </w:t>
                            </w:r>
                            <w:r>
                              <w:rPr>
                                <w:sz w:val="21"/>
                                <w:szCs w:val="21"/>
                                <w:u w:val="single" w:color="000000"/>
                              </w:rPr>
                              <w:t>#3</w:t>
                            </w:r>
                            <w:r>
                              <w:rPr>
                                <w:sz w:val="21"/>
                                <w:szCs w:val="21"/>
                                <w:u w:val="single" w:color="000000"/>
                              </w:rPr>
                              <w:tab/>
                            </w:r>
                          </w:p>
                        </w:tc>
                        <w:tc>
                          <w:tcPr>
                            <w:tcW w:w="2916" w:type="dxa"/>
                            <w:tcBorders>
                              <w:top w:val="single" w:sz="2" w:space="0" w:color="000000"/>
                              <w:left w:val="nil"/>
                              <w:bottom w:val="nil"/>
                              <w:right w:val="nil"/>
                            </w:tcBorders>
                          </w:tcPr>
                          <w:p w:rsidR="007B2B7B" w:rsidRDefault="007B2B7B">
                            <w:pPr>
                              <w:pStyle w:val="TableParagraph"/>
                              <w:tabs>
                                <w:tab w:val="left" w:pos="2987"/>
                              </w:tabs>
                              <w:kinsoku w:val="0"/>
                              <w:overflowPunct w:val="0"/>
                              <w:spacing w:before="31"/>
                              <w:ind w:left="165" w:right="-72"/>
                              <w:rPr>
                                <w:rFonts w:ascii="Times New Roman" w:hAnsi="Times New Roman" w:cs="Times New Roman"/>
                              </w:rPr>
                            </w:pPr>
                            <w:r>
                              <w:rPr>
                                <w:w w:val="105"/>
                                <w:sz w:val="21"/>
                                <w:szCs w:val="21"/>
                                <w:u w:val="single" w:color="000000"/>
                              </w:rPr>
                              <w:t>Men's Inn</w:t>
                            </w:r>
                            <w:r>
                              <w:rPr>
                                <w:spacing w:val="4"/>
                                <w:w w:val="105"/>
                                <w:sz w:val="21"/>
                                <w:szCs w:val="21"/>
                                <w:u w:val="single" w:color="000000"/>
                              </w:rPr>
                              <w:t xml:space="preserve"> </w:t>
                            </w:r>
                            <w:r>
                              <w:rPr>
                                <w:w w:val="105"/>
                                <w:sz w:val="21"/>
                                <w:szCs w:val="21"/>
                                <w:u w:val="single" w:color="000000"/>
                              </w:rPr>
                              <w:t>,Shattuck</w:t>
                            </w:r>
                            <w:r>
                              <w:rPr>
                                <w:sz w:val="21"/>
                                <w:szCs w:val="21"/>
                                <w:u w:val="single" w:color="000000"/>
                              </w:rPr>
                              <w:tab/>
                            </w:r>
                          </w:p>
                        </w:tc>
                        <w:tc>
                          <w:tcPr>
                            <w:tcW w:w="1767" w:type="dxa"/>
                            <w:tcBorders>
                              <w:top w:val="single" w:sz="4" w:space="0" w:color="000000"/>
                              <w:left w:val="nil"/>
                              <w:bottom w:val="single" w:sz="4" w:space="0" w:color="000000"/>
                              <w:right w:val="nil"/>
                            </w:tcBorders>
                          </w:tcPr>
                          <w:p w:rsidR="007B2B7B" w:rsidRDefault="007B2B7B">
                            <w:pPr>
                              <w:pStyle w:val="TableParagraph"/>
                              <w:kinsoku w:val="0"/>
                              <w:overflowPunct w:val="0"/>
                              <w:spacing w:before="27"/>
                              <w:ind w:left="71"/>
                              <w:rPr>
                                <w:rFonts w:ascii="Times New Roman" w:hAnsi="Times New Roman" w:cs="Times New Roman"/>
                              </w:rPr>
                            </w:pPr>
                            <w:r>
                              <w:rPr>
                                <w:sz w:val="21"/>
                                <w:szCs w:val="21"/>
                              </w:rPr>
                              <w:t>Outreach</w:t>
                            </w:r>
                          </w:p>
                        </w:tc>
                        <w:tc>
                          <w:tcPr>
                            <w:tcW w:w="1070" w:type="dxa"/>
                            <w:tcBorders>
                              <w:top w:val="single" w:sz="4" w:space="0" w:color="000000"/>
                              <w:left w:val="nil"/>
                              <w:bottom w:val="single" w:sz="4" w:space="0" w:color="000000"/>
                              <w:right w:val="nil"/>
                            </w:tcBorders>
                          </w:tcPr>
                          <w:p w:rsidR="007B2B7B" w:rsidRDefault="007B2B7B">
                            <w:pPr>
                              <w:pStyle w:val="TableParagraph"/>
                              <w:kinsoku w:val="0"/>
                              <w:overflowPunct w:val="0"/>
                              <w:spacing w:before="18"/>
                              <w:ind w:left="0" w:right="12"/>
                              <w:jc w:val="right"/>
                              <w:rPr>
                                <w:rFonts w:ascii="Times New Roman" w:hAnsi="Times New Roman" w:cs="Times New Roman"/>
                              </w:rPr>
                            </w:pPr>
                            <w:r>
                              <w:rPr>
                                <w:sz w:val="21"/>
                                <w:szCs w:val="21"/>
                              </w:rPr>
                              <w:t>137</w:t>
                            </w:r>
                          </w:p>
                        </w:tc>
                        <w:tc>
                          <w:tcPr>
                            <w:tcW w:w="71" w:type="dxa"/>
                            <w:tcBorders>
                              <w:top w:val="single" w:sz="4" w:space="0" w:color="000000"/>
                              <w:left w:val="nil"/>
                              <w:bottom w:val="single" w:sz="4" w:space="0" w:color="000000"/>
                              <w:right w:val="nil"/>
                            </w:tcBorders>
                          </w:tcPr>
                          <w:p w:rsidR="007B2B7B" w:rsidRDefault="007B2B7B"/>
                        </w:tc>
                        <w:tc>
                          <w:tcPr>
                            <w:tcW w:w="2322" w:type="dxa"/>
                            <w:tcBorders>
                              <w:top w:val="single" w:sz="4" w:space="0" w:color="000000"/>
                              <w:left w:val="nil"/>
                              <w:bottom w:val="single" w:sz="4" w:space="0" w:color="000000"/>
                              <w:right w:val="nil"/>
                            </w:tcBorders>
                          </w:tcPr>
                          <w:p w:rsidR="007B2B7B" w:rsidRDefault="007B2B7B">
                            <w:pPr>
                              <w:pStyle w:val="TableParagraph"/>
                              <w:tabs>
                                <w:tab w:val="left" w:pos="1118"/>
                              </w:tabs>
                              <w:kinsoku w:val="0"/>
                              <w:overflowPunct w:val="0"/>
                              <w:ind w:left="0" w:right="120"/>
                              <w:jc w:val="right"/>
                              <w:rPr>
                                <w:rFonts w:ascii="Times New Roman" w:hAnsi="Times New Roman" w:cs="Times New Roman"/>
                              </w:rPr>
                            </w:pPr>
                            <w:r>
                              <w:rPr>
                                <w:rFonts w:ascii="Times New Roman" w:hAnsi="Times New Roman" w:cs="Times New Roman"/>
                                <w:w w:val="105"/>
                              </w:rPr>
                              <w:t>$</w:t>
                            </w:r>
                            <w:r>
                              <w:rPr>
                                <w:rFonts w:ascii="Times New Roman" w:hAnsi="Times New Roman" w:cs="Times New Roman"/>
                                <w:w w:val="105"/>
                              </w:rPr>
                              <w:tab/>
                            </w:r>
                            <w:r>
                              <w:rPr>
                                <w:spacing w:val="-7"/>
                                <w:position w:val="1"/>
                                <w:sz w:val="21"/>
                                <w:szCs w:val="21"/>
                              </w:rPr>
                              <w:t>168,921.00</w:t>
                            </w:r>
                          </w:p>
                        </w:tc>
                        <w:tc>
                          <w:tcPr>
                            <w:tcW w:w="62" w:type="dxa"/>
                            <w:tcBorders>
                              <w:top w:val="nil"/>
                              <w:left w:val="nil"/>
                              <w:bottom w:val="nil"/>
                              <w:right w:val="nil"/>
                            </w:tcBorders>
                          </w:tcPr>
                          <w:p w:rsidR="007B2B7B" w:rsidRDefault="007B2B7B"/>
                        </w:tc>
                        <w:tc>
                          <w:tcPr>
                            <w:tcW w:w="1674" w:type="dxa"/>
                            <w:tcBorders>
                              <w:top w:val="nil"/>
                              <w:left w:val="nil"/>
                              <w:bottom w:val="nil"/>
                              <w:right w:val="nil"/>
                            </w:tcBorders>
                          </w:tcPr>
                          <w:p w:rsidR="007B2B7B" w:rsidRDefault="007B2B7B"/>
                        </w:tc>
                      </w:tr>
                      <w:tr w:rsidR="007B2B7B">
                        <w:trPr>
                          <w:trHeight w:hRule="exact" w:val="310"/>
                        </w:trPr>
                        <w:tc>
                          <w:tcPr>
                            <w:tcW w:w="1447" w:type="dxa"/>
                            <w:tcBorders>
                              <w:top w:val="nil"/>
                              <w:left w:val="nil"/>
                              <w:bottom w:val="nil"/>
                              <w:right w:val="nil"/>
                            </w:tcBorders>
                          </w:tcPr>
                          <w:p w:rsidR="007B2B7B" w:rsidRDefault="007B2B7B">
                            <w:pPr>
                              <w:pStyle w:val="TableParagraph"/>
                              <w:tabs>
                                <w:tab w:val="left" w:pos="1382"/>
                              </w:tabs>
                              <w:kinsoku w:val="0"/>
                              <w:overflowPunct w:val="0"/>
                              <w:spacing w:before="41"/>
                              <w:ind w:left="57"/>
                              <w:rPr>
                                <w:rFonts w:ascii="Times New Roman" w:hAnsi="Times New Roman" w:cs="Times New Roman"/>
                              </w:rPr>
                            </w:pPr>
                            <w:r>
                              <w:rPr>
                                <w:sz w:val="21"/>
                                <w:szCs w:val="21"/>
                                <w:u w:val="single" w:color="000000"/>
                              </w:rPr>
                              <w:t>Person</w:t>
                            </w:r>
                            <w:r>
                              <w:rPr>
                                <w:spacing w:val="-14"/>
                                <w:sz w:val="21"/>
                                <w:szCs w:val="21"/>
                                <w:u w:val="single" w:color="000000"/>
                              </w:rPr>
                              <w:t xml:space="preserve"> </w:t>
                            </w:r>
                            <w:r>
                              <w:rPr>
                                <w:sz w:val="21"/>
                                <w:szCs w:val="21"/>
                                <w:u w:val="single" w:color="000000"/>
                              </w:rPr>
                              <w:t>#4</w:t>
                            </w:r>
                            <w:r>
                              <w:rPr>
                                <w:sz w:val="21"/>
                                <w:szCs w:val="21"/>
                                <w:u w:val="single" w:color="000000"/>
                              </w:rPr>
                              <w:tab/>
                            </w:r>
                          </w:p>
                        </w:tc>
                        <w:tc>
                          <w:tcPr>
                            <w:tcW w:w="2916" w:type="dxa"/>
                            <w:tcBorders>
                              <w:top w:val="nil"/>
                              <w:left w:val="nil"/>
                              <w:bottom w:val="single" w:sz="2" w:space="0" w:color="000000"/>
                              <w:right w:val="nil"/>
                            </w:tcBorders>
                          </w:tcPr>
                          <w:p w:rsidR="007B2B7B" w:rsidRDefault="007B2B7B">
                            <w:pPr>
                              <w:pStyle w:val="TableParagraph"/>
                              <w:kinsoku w:val="0"/>
                              <w:overflowPunct w:val="0"/>
                              <w:spacing w:before="34"/>
                              <w:ind w:left="122"/>
                              <w:rPr>
                                <w:rFonts w:ascii="Times New Roman" w:hAnsi="Times New Roman" w:cs="Times New Roman"/>
                              </w:rPr>
                            </w:pPr>
                            <w:r>
                              <w:rPr>
                                <w:w w:val="105"/>
                                <w:sz w:val="21"/>
                                <w:szCs w:val="21"/>
                              </w:rPr>
                              <w:t>Men's Inn</w:t>
                            </w:r>
                          </w:p>
                        </w:tc>
                        <w:tc>
                          <w:tcPr>
                            <w:tcW w:w="1767" w:type="dxa"/>
                            <w:tcBorders>
                              <w:top w:val="single" w:sz="4" w:space="0" w:color="000000"/>
                              <w:left w:val="nil"/>
                              <w:bottom w:val="single" w:sz="2" w:space="0" w:color="000000"/>
                              <w:right w:val="nil"/>
                            </w:tcBorders>
                          </w:tcPr>
                          <w:p w:rsidR="007B2B7B" w:rsidRDefault="007B2B7B">
                            <w:pPr>
                              <w:pStyle w:val="TableParagraph"/>
                              <w:kinsoku w:val="0"/>
                              <w:overflowPunct w:val="0"/>
                              <w:spacing w:before="19"/>
                              <w:ind w:left="180"/>
                              <w:rPr>
                                <w:rFonts w:ascii="Times New Roman" w:hAnsi="Times New Roman" w:cs="Times New Roman"/>
                              </w:rPr>
                            </w:pPr>
                            <w:r>
                              <w:rPr>
                                <w:w w:val="105"/>
                                <w:sz w:val="21"/>
                                <w:szCs w:val="21"/>
                              </w:rPr>
                              <w:t>Outreach</w:t>
                            </w:r>
                          </w:p>
                        </w:tc>
                        <w:tc>
                          <w:tcPr>
                            <w:tcW w:w="1070" w:type="dxa"/>
                            <w:tcBorders>
                              <w:top w:val="single" w:sz="4" w:space="0" w:color="000000"/>
                              <w:left w:val="nil"/>
                              <w:bottom w:val="single" w:sz="2" w:space="0" w:color="000000"/>
                              <w:right w:val="nil"/>
                            </w:tcBorders>
                          </w:tcPr>
                          <w:p w:rsidR="007B2B7B" w:rsidRDefault="007B2B7B">
                            <w:pPr>
                              <w:pStyle w:val="TableParagraph"/>
                              <w:kinsoku w:val="0"/>
                              <w:overflowPunct w:val="0"/>
                              <w:spacing w:before="12"/>
                              <w:ind w:left="0" w:right="18"/>
                              <w:jc w:val="right"/>
                              <w:rPr>
                                <w:rFonts w:ascii="Times New Roman" w:hAnsi="Times New Roman" w:cs="Times New Roman"/>
                              </w:rPr>
                            </w:pPr>
                            <w:r>
                              <w:rPr>
                                <w:w w:val="115"/>
                                <w:sz w:val="21"/>
                                <w:szCs w:val="21"/>
                              </w:rPr>
                              <w:t>114</w:t>
                            </w:r>
                          </w:p>
                        </w:tc>
                        <w:tc>
                          <w:tcPr>
                            <w:tcW w:w="71" w:type="dxa"/>
                            <w:tcBorders>
                              <w:top w:val="single" w:sz="4" w:space="0" w:color="000000"/>
                              <w:left w:val="nil"/>
                              <w:bottom w:val="single" w:sz="2" w:space="0" w:color="000000"/>
                              <w:right w:val="nil"/>
                            </w:tcBorders>
                          </w:tcPr>
                          <w:p w:rsidR="007B2B7B" w:rsidRDefault="007B2B7B"/>
                        </w:tc>
                        <w:tc>
                          <w:tcPr>
                            <w:tcW w:w="2322" w:type="dxa"/>
                            <w:tcBorders>
                              <w:top w:val="single" w:sz="4" w:space="0" w:color="000000"/>
                              <w:left w:val="nil"/>
                              <w:bottom w:val="single" w:sz="2" w:space="0" w:color="000000"/>
                              <w:right w:val="nil"/>
                            </w:tcBorders>
                          </w:tcPr>
                          <w:p w:rsidR="007B2B7B" w:rsidRDefault="007B2B7B">
                            <w:pPr>
                              <w:pStyle w:val="TableParagraph"/>
                              <w:tabs>
                                <w:tab w:val="left" w:pos="1115"/>
                              </w:tabs>
                              <w:kinsoku w:val="0"/>
                              <w:overflowPunct w:val="0"/>
                              <w:spacing w:line="273" w:lineRule="exact"/>
                              <w:ind w:left="0" w:right="94"/>
                              <w:jc w:val="right"/>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spacing w:val="-4"/>
                                <w:position w:val="1"/>
                                <w:sz w:val="21"/>
                                <w:szCs w:val="21"/>
                              </w:rPr>
                              <w:t>140,562.00</w:t>
                            </w:r>
                          </w:p>
                        </w:tc>
                        <w:tc>
                          <w:tcPr>
                            <w:tcW w:w="62" w:type="dxa"/>
                            <w:tcBorders>
                              <w:top w:val="nil"/>
                              <w:left w:val="nil"/>
                              <w:bottom w:val="nil"/>
                              <w:right w:val="nil"/>
                            </w:tcBorders>
                          </w:tcPr>
                          <w:p w:rsidR="007B2B7B" w:rsidRDefault="007B2B7B"/>
                        </w:tc>
                        <w:tc>
                          <w:tcPr>
                            <w:tcW w:w="1674" w:type="dxa"/>
                            <w:tcBorders>
                              <w:top w:val="nil"/>
                              <w:left w:val="nil"/>
                              <w:bottom w:val="nil"/>
                              <w:right w:val="nil"/>
                            </w:tcBorders>
                          </w:tcPr>
                          <w:p w:rsidR="007B2B7B" w:rsidRDefault="007B2B7B"/>
                        </w:tc>
                      </w:tr>
                      <w:tr w:rsidR="007B2B7B">
                        <w:trPr>
                          <w:trHeight w:hRule="exact" w:val="334"/>
                        </w:trPr>
                        <w:tc>
                          <w:tcPr>
                            <w:tcW w:w="1447" w:type="dxa"/>
                            <w:tcBorders>
                              <w:top w:val="nil"/>
                              <w:left w:val="nil"/>
                              <w:bottom w:val="single" w:sz="2" w:space="0" w:color="000000"/>
                              <w:right w:val="nil"/>
                            </w:tcBorders>
                          </w:tcPr>
                          <w:p w:rsidR="007B2B7B" w:rsidRDefault="007B2B7B">
                            <w:pPr>
                              <w:pStyle w:val="TableParagraph"/>
                              <w:kinsoku w:val="0"/>
                              <w:overflowPunct w:val="0"/>
                              <w:spacing w:before="50"/>
                              <w:ind w:left="57"/>
                              <w:rPr>
                                <w:rFonts w:ascii="Times New Roman" w:hAnsi="Times New Roman" w:cs="Times New Roman"/>
                              </w:rPr>
                            </w:pPr>
                            <w:r>
                              <w:rPr>
                                <w:sz w:val="21"/>
                                <w:szCs w:val="21"/>
                              </w:rPr>
                              <w:t>Person #5</w:t>
                            </w:r>
                          </w:p>
                        </w:tc>
                        <w:tc>
                          <w:tcPr>
                            <w:tcW w:w="2916" w:type="dxa"/>
                            <w:tcBorders>
                              <w:top w:val="single" w:sz="2" w:space="0" w:color="000000"/>
                              <w:left w:val="nil"/>
                              <w:bottom w:val="single" w:sz="4" w:space="0" w:color="000000"/>
                              <w:right w:val="nil"/>
                            </w:tcBorders>
                          </w:tcPr>
                          <w:p w:rsidR="007B2B7B" w:rsidRDefault="007B2B7B">
                            <w:pPr>
                              <w:pStyle w:val="TableParagraph"/>
                              <w:kinsoku w:val="0"/>
                              <w:overflowPunct w:val="0"/>
                              <w:spacing w:before="38"/>
                              <w:ind w:left="108"/>
                              <w:rPr>
                                <w:rFonts w:ascii="Times New Roman" w:hAnsi="Times New Roman" w:cs="Times New Roman"/>
                              </w:rPr>
                            </w:pPr>
                            <w:r>
                              <w:rPr>
                                <w:w w:val="105"/>
                                <w:sz w:val="21"/>
                                <w:szCs w:val="21"/>
                              </w:rPr>
                              <w:t>Shattuck, Women's Inn</w:t>
                            </w:r>
                          </w:p>
                        </w:tc>
                        <w:tc>
                          <w:tcPr>
                            <w:tcW w:w="1767" w:type="dxa"/>
                            <w:tcBorders>
                              <w:top w:val="single" w:sz="2" w:space="0" w:color="000000"/>
                              <w:left w:val="nil"/>
                              <w:bottom w:val="single" w:sz="4" w:space="0" w:color="000000"/>
                              <w:right w:val="nil"/>
                            </w:tcBorders>
                          </w:tcPr>
                          <w:p w:rsidR="007B2B7B" w:rsidRDefault="007B2B7B">
                            <w:pPr>
                              <w:pStyle w:val="TableParagraph"/>
                              <w:kinsoku w:val="0"/>
                              <w:overflowPunct w:val="0"/>
                              <w:spacing w:before="38"/>
                              <w:ind w:left="122"/>
                              <w:rPr>
                                <w:rFonts w:ascii="Times New Roman" w:hAnsi="Times New Roman" w:cs="Times New Roman"/>
                              </w:rPr>
                            </w:pPr>
                            <w:r>
                              <w:rPr>
                                <w:w w:val="105"/>
                                <w:sz w:val="21"/>
                                <w:szCs w:val="21"/>
                              </w:rPr>
                              <w:t>Outreach</w:t>
                            </w:r>
                          </w:p>
                        </w:tc>
                        <w:tc>
                          <w:tcPr>
                            <w:tcW w:w="1070" w:type="dxa"/>
                            <w:tcBorders>
                              <w:top w:val="single" w:sz="2" w:space="0" w:color="000000"/>
                              <w:left w:val="nil"/>
                              <w:bottom w:val="single" w:sz="4" w:space="0" w:color="000000"/>
                              <w:right w:val="nil"/>
                            </w:tcBorders>
                          </w:tcPr>
                          <w:p w:rsidR="007B2B7B" w:rsidRDefault="007B2B7B">
                            <w:pPr>
                              <w:pStyle w:val="TableParagraph"/>
                              <w:kinsoku w:val="0"/>
                              <w:overflowPunct w:val="0"/>
                              <w:spacing w:before="31"/>
                              <w:ind w:left="0" w:right="36"/>
                              <w:jc w:val="right"/>
                              <w:rPr>
                                <w:rFonts w:ascii="Times New Roman" w:hAnsi="Times New Roman" w:cs="Times New Roman"/>
                              </w:rPr>
                            </w:pPr>
                            <w:r>
                              <w:rPr>
                                <w:w w:val="110"/>
                                <w:sz w:val="21"/>
                                <w:szCs w:val="21"/>
                              </w:rPr>
                              <w:t>105</w:t>
                            </w:r>
                          </w:p>
                        </w:tc>
                        <w:tc>
                          <w:tcPr>
                            <w:tcW w:w="71" w:type="dxa"/>
                            <w:tcBorders>
                              <w:top w:val="single" w:sz="2" w:space="0" w:color="000000"/>
                              <w:left w:val="nil"/>
                              <w:bottom w:val="single" w:sz="4" w:space="0" w:color="000000"/>
                              <w:right w:val="nil"/>
                            </w:tcBorders>
                          </w:tcPr>
                          <w:p w:rsidR="007B2B7B" w:rsidRDefault="007B2B7B"/>
                        </w:tc>
                        <w:tc>
                          <w:tcPr>
                            <w:tcW w:w="2322" w:type="dxa"/>
                            <w:tcBorders>
                              <w:top w:val="single" w:sz="2" w:space="0" w:color="000000"/>
                              <w:left w:val="nil"/>
                              <w:bottom w:val="single" w:sz="4" w:space="0" w:color="000000"/>
                              <w:right w:val="nil"/>
                            </w:tcBorders>
                          </w:tcPr>
                          <w:p w:rsidR="007B2B7B" w:rsidRDefault="007B2B7B">
                            <w:pPr>
                              <w:pStyle w:val="TableParagraph"/>
                              <w:tabs>
                                <w:tab w:val="left" w:pos="1115"/>
                              </w:tabs>
                              <w:kinsoku w:val="0"/>
                              <w:overflowPunct w:val="0"/>
                              <w:spacing w:before="16"/>
                              <w:ind w:left="0" w:right="94"/>
                              <w:jc w:val="right"/>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spacing w:val="-4"/>
                                <w:position w:val="1"/>
                                <w:sz w:val="21"/>
                                <w:szCs w:val="21"/>
                              </w:rPr>
                              <w:t>129,465.00</w:t>
                            </w:r>
                          </w:p>
                        </w:tc>
                        <w:tc>
                          <w:tcPr>
                            <w:tcW w:w="62" w:type="dxa"/>
                            <w:tcBorders>
                              <w:top w:val="nil"/>
                              <w:left w:val="nil"/>
                              <w:bottom w:val="nil"/>
                              <w:right w:val="nil"/>
                            </w:tcBorders>
                          </w:tcPr>
                          <w:p w:rsidR="007B2B7B" w:rsidRDefault="007B2B7B"/>
                        </w:tc>
                        <w:tc>
                          <w:tcPr>
                            <w:tcW w:w="1674" w:type="dxa"/>
                            <w:tcBorders>
                              <w:top w:val="nil"/>
                              <w:left w:val="nil"/>
                              <w:bottom w:val="nil"/>
                              <w:right w:val="nil"/>
                            </w:tcBorders>
                          </w:tcPr>
                          <w:p w:rsidR="007B2B7B" w:rsidRDefault="007B2B7B"/>
                        </w:tc>
                      </w:tr>
                      <w:tr w:rsidR="007B2B7B">
                        <w:trPr>
                          <w:trHeight w:hRule="exact" w:val="307"/>
                        </w:trPr>
                        <w:tc>
                          <w:tcPr>
                            <w:tcW w:w="1447" w:type="dxa"/>
                            <w:tcBorders>
                              <w:top w:val="single" w:sz="2" w:space="0" w:color="000000"/>
                              <w:left w:val="nil"/>
                              <w:bottom w:val="nil"/>
                              <w:right w:val="nil"/>
                            </w:tcBorders>
                          </w:tcPr>
                          <w:p w:rsidR="007B2B7B" w:rsidRDefault="007B2B7B">
                            <w:pPr>
                              <w:pStyle w:val="TableParagraph"/>
                              <w:tabs>
                                <w:tab w:val="left" w:pos="1382"/>
                              </w:tabs>
                              <w:kinsoku w:val="0"/>
                              <w:overflowPunct w:val="0"/>
                              <w:spacing w:before="48"/>
                              <w:ind w:left="57"/>
                              <w:rPr>
                                <w:rFonts w:ascii="Times New Roman" w:hAnsi="Times New Roman" w:cs="Times New Roman"/>
                              </w:rPr>
                            </w:pPr>
                            <w:r>
                              <w:rPr>
                                <w:sz w:val="21"/>
                                <w:szCs w:val="21"/>
                                <w:u w:val="single" w:color="000000"/>
                              </w:rPr>
                              <w:t>Person</w:t>
                            </w:r>
                            <w:r>
                              <w:rPr>
                                <w:spacing w:val="-14"/>
                                <w:sz w:val="21"/>
                                <w:szCs w:val="21"/>
                                <w:u w:val="single" w:color="000000"/>
                              </w:rPr>
                              <w:t xml:space="preserve"> </w:t>
                            </w:r>
                            <w:r>
                              <w:rPr>
                                <w:sz w:val="21"/>
                                <w:szCs w:val="21"/>
                                <w:u w:val="single" w:color="000000"/>
                              </w:rPr>
                              <w:t>#6</w:t>
                            </w:r>
                            <w:r>
                              <w:rPr>
                                <w:sz w:val="21"/>
                                <w:szCs w:val="21"/>
                                <w:u w:val="single" w:color="000000"/>
                              </w:rPr>
                              <w:tab/>
                            </w:r>
                          </w:p>
                        </w:tc>
                        <w:tc>
                          <w:tcPr>
                            <w:tcW w:w="2916" w:type="dxa"/>
                            <w:tcBorders>
                              <w:top w:val="single" w:sz="4" w:space="0" w:color="000000"/>
                              <w:left w:val="nil"/>
                              <w:bottom w:val="single" w:sz="2" w:space="0" w:color="000000"/>
                              <w:right w:val="nil"/>
                            </w:tcBorders>
                          </w:tcPr>
                          <w:p w:rsidR="007B2B7B" w:rsidRDefault="007B2B7B">
                            <w:pPr>
                              <w:pStyle w:val="TableParagraph"/>
                              <w:kinsoku w:val="0"/>
                              <w:overflowPunct w:val="0"/>
                              <w:spacing w:before="33"/>
                              <w:ind w:left="108"/>
                              <w:rPr>
                                <w:rFonts w:ascii="Times New Roman" w:hAnsi="Times New Roman" w:cs="Times New Roman"/>
                              </w:rPr>
                            </w:pPr>
                            <w:r>
                              <w:rPr>
                                <w:w w:val="105"/>
                                <w:sz w:val="21"/>
                                <w:szCs w:val="21"/>
                              </w:rPr>
                              <w:t>Shattuck, Men's Inn</w:t>
                            </w:r>
                          </w:p>
                        </w:tc>
                        <w:tc>
                          <w:tcPr>
                            <w:tcW w:w="1767" w:type="dxa"/>
                            <w:tcBorders>
                              <w:top w:val="single" w:sz="4" w:space="0" w:color="000000"/>
                              <w:left w:val="nil"/>
                              <w:bottom w:val="single" w:sz="2" w:space="0" w:color="000000"/>
                              <w:right w:val="nil"/>
                            </w:tcBorders>
                          </w:tcPr>
                          <w:p w:rsidR="007B2B7B" w:rsidRDefault="007B2B7B">
                            <w:pPr>
                              <w:pStyle w:val="TableParagraph"/>
                              <w:kinsoku w:val="0"/>
                              <w:overflowPunct w:val="0"/>
                              <w:spacing w:before="33"/>
                              <w:ind w:left="122"/>
                              <w:rPr>
                                <w:rFonts w:ascii="Times New Roman" w:hAnsi="Times New Roman" w:cs="Times New Roman"/>
                              </w:rPr>
                            </w:pPr>
                            <w:r>
                              <w:rPr>
                                <w:w w:val="105"/>
                                <w:sz w:val="21"/>
                                <w:szCs w:val="21"/>
                              </w:rPr>
                              <w:t>Outreach</w:t>
                            </w:r>
                          </w:p>
                        </w:tc>
                        <w:tc>
                          <w:tcPr>
                            <w:tcW w:w="1141" w:type="dxa"/>
                            <w:gridSpan w:val="2"/>
                            <w:tcBorders>
                              <w:top w:val="single" w:sz="4" w:space="0" w:color="000000"/>
                              <w:left w:val="nil"/>
                              <w:bottom w:val="single" w:sz="2" w:space="0" w:color="000000"/>
                              <w:right w:val="nil"/>
                            </w:tcBorders>
                          </w:tcPr>
                          <w:p w:rsidR="007B2B7B" w:rsidRDefault="007B2B7B">
                            <w:pPr>
                              <w:pStyle w:val="TableParagraph"/>
                              <w:kinsoku w:val="0"/>
                              <w:overflowPunct w:val="0"/>
                              <w:spacing w:before="26"/>
                              <w:ind w:left="0" w:right="92"/>
                              <w:jc w:val="right"/>
                              <w:rPr>
                                <w:rFonts w:ascii="Times New Roman" w:hAnsi="Times New Roman" w:cs="Times New Roman"/>
                              </w:rPr>
                            </w:pPr>
                            <w:r>
                              <w:rPr>
                                <w:sz w:val="21"/>
                                <w:szCs w:val="21"/>
                              </w:rPr>
                              <w:t>73</w:t>
                            </w:r>
                          </w:p>
                        </w:tc>
                        <w:tc>
                          <w:tcPr>
                            <w:tcW w:w="2322" w:type="dxa"/>
                            <w:tcBorders>
                              <w:top w:val="single" w:sz="4" w:space="0" w:color="000000"/>
                              <w:left w:val="nil"/>
                              <w:bottom w:val="single" w:sz="2" w:space="0" w:color="000000"/>
                              <w:right w:val="nil"/>
                            </w:tcBorders>
                          </w:tcPr>
                          <w:p w:rsidR="007B2B7B" w:rsidRDefault="007B2B7B">
                            <w:pPr>
                              <w:pStyle w:val="TableParagraph"/>
                              <w:tabs>
                                <w:tab w:val="left" w:pos="1231"/>
                              </w:tabs>
                              <w:kinsoku w:val="0"/>
                              <w:overflowPunct w:val="0"/>
                              <w:spacing w:before="11"/>
                              <w:ind w:left="0" w:right="62"/>
                              <w:jc w:val="right"/>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position w:val="1"/>
                                <w:sz w:val="21"/>
                                <w:szCs w:val="21"/>
                              </w:rPr>
                              <w:t>90,009.00</w:t>
                            </w:r>
                          </w:p>
                        </w:tc>
                        <w:tc>
                          <w:tcPr>
                            <w:tcW w:w="1736" w:type="dxa"/>
                            <w:gridSpan w:val="2"/>
                            <w:tcBorders>
                              <w:top w:val="nil"/>
                              <w:left w:val="nil"/>
                              <w:bottom w:val="nil"/>
                              <w:right w:val="nil"/>
                            </w:tcBorders>
                          </w:tcPr>
                          <w:p w:rsidR="007B2B7B" w:rsidRDefault="007B2B7B"/>
                        </w:tc>
                      </w:tr>
                      <w:tr w:rsidR="007B2B7B">
                        <w:trPr>
                          <w:trHeight w:hRule="exact" w:val="329"/>
                        </w:trPr>
                        <w:tc>
                          <w:tcPr>
                            <w:tcW w:w="1447" w:type="dxa"/>
                            <w:tcBorders>
                              <w:top w:val="nil"/>
                              <w:left w:val="nil"/>
                              <w:bottom w:val="nil"/>
                              <w:right w:val="nil"/>
                            </w:tcBorders>
                          </w:tcPr>
                          <w:p w:rsidR="007B2B7B" w:rsidRDefault="007B2B7B">
                            <w:pPr>
                              <w:pStyle w:val="TableParagraph"/>
                              <w:tabs>
                                <w:tab w:val="left" w:pos="1382"/>
                              </w:tabs>
                              <w:kinsoku w:val="0"/>
                              <w:overflowPunct w:val="0"/>
                              <w:spacing w:before="57"/>
                              <w:ind w:left="57"/>
                              <w:rPr>
                                <w:rFonts w:ascii="Times New Roman" w:hAnsi="Times New Roman" w:cs="Times New Roman"/>
                              </w:rPr>
                            </w:pPr>
                            <w:r>
                              <w:rPr>
                                <w:sz w:val="21"/>
                                <w:szCs w:val="21"/>
                                <w:u w:val="single" w:color="000000"/>
                              </w:rPr>
                              <w:t>Person</w:t>
                            </w:r>
                            <w:r>
                              <w:rPr>
                                <w:spacing w:val="-22"/>
                                <w:sz w:val="21"/>
                                <w:szCs w:val="21"/>
                                <w:u w:val="single" w:color="000000"/>
                              </w:rPr>
                              <w:t xml:space="preserve"> </w:t>
                            </w:r>
                            <w:r>
                              <w:rPr>
                                <w:sz w:val="21"/>
                                <w:szCs w:val="21"/>
                                <w:u w:val="single" w:color="000000"/>
                              </w:rPr>
                              <w:t>#7</w:t>
                            </w:r>
                            <w:r>
                              <w:rPr>
                                <w:sz w:val="21"/>
                                <w:szCs w:val="21"/>
                                <w:u w:val="single" w:color="000000"/>
                              </w:rPr>
                              <w:tab/>
                            </w:r>
                          </w:p>
                        </w:tc>
                        <w:tc>
                          <w:tcPr>
                            <w:tcW w:w="2916" w:type="dxa"/>
                            <w:tcBorders>
                              <w:top w:val="single" w:sz="2" w:space="0" w:color="000000"/>
                              <w:left w:val="nil"/>
                              <w:bottom w:val="nil"/>
                              <w:right w:val="nil"/>
                            </w:tcBorders>
                          </w:tcPr>
                          <w:p w:rsidR="007B2B7B" w:rsidRDefault="007B2B7B">
                            <w:pPr>
                              <w:pStyle w:val="TableParagraph"/>
                              <w:kinsoku w:val="0"/>
                              <w:overflowPunct w:val="0"/>
                              <w:spacing w:before="45"/>
                              <w:ind w:left="108"/>
                              <w:rPr>
                                <w:rFonts w:ascii="Times New Roman" w:hAnsi="Times New Roman" w:cs="Times New Roman"/>
                              </w:rPr>
                            </w:pPr>
                            <w:r>
                              <w:rPr>
                                <w:w w:val="105"/>
                                <w:sz w:val="21"/>
                                <w:szCs w:val="21"/>
                              </w:rPr>
                              <w:t>Women's Inn</w:t>
                            </w:r>
                          </w:p>
                        </w:tc>
                        <w:tc>
                          <w:tcPr>
                            <w:tcW w:w="1767" w:type="dxa"/>
                            <w:tcBorders>
                              <w:top w:val="single" w:sz="2" w:space="0" w:color="000000"/>
                              <w:left w:val="nil"/>
                              <w:bottom w:val="single" w:sz="4" w:space="0" w:color="000000"/>
                              <w:right w:val="nil"/>
                            </w:tcBorders>
                          </w:tcPr>
                          <w:p w:rsidR="007B2B7B" w:rsidRDefault="007B2B7B">
                            <w:pPr>
                              <w:pStyle w:val="TableParagraph"/>
                              <w:kinsoku w:val="0"/>
                              <w:overflowPunct w:val="0"/>
                              <w:spacing w:before="38"/>
                              <w:ind w:left="122"/>
                              <w:rPr>
                                <w:rFonts w:ascii="Times New Roman" w:hAnsi="Times New Roman" w:cs="Times New Roman"/>
                              </w:rPr>
                            </w:pPr>
                            <w:r>
                              <w:rPr>
                                <w:w w:val="105"/>
                                <w:sz w:val="21"/>
                                <w:szCs w:val="21"/>
                              </w:rPr>
                              <w:t>Outreach</w:t>
                            </w:r>
                          </w:p>
                        </w:tc>
                        <w:tc>
                          <w:tcPr>
                            <w:tcW w:w="1141" w:type="dxa"/>
                            <w:gridSpan w:val="2"/>
                            <w:tcBorders>
                              <w:top w:val="single" w:sz="2" w:space="0" w:color="000000"/>
                              <w:left w:val="nil"/>
                              <w:bottom w:val="single" w:sz="4" w:space="0" w:color="000000"/>
                              <w:right w:val="nil"/>
                            </w:tcBorders>
                          </w:tcPr>
                          <w:p w:rsidR="007B2B7B" w:rsidRDefault="007B2B7B">
                            <w:pPr>
                              <w:pStyle w:val="TableParagraph"/>
                              <w:kinsoku w:val="0"/>
                              <w:overflowPunct w:val="0"/>
                              <w:spacing w:before="38"/>
                              <w:ind w:left="0" w:right="54"/>
                              <w:jc w:val="right"/>
                              <w:rPr>
                                <w:rFonts w:ascii="Times New Roman" w:hAnsi="Times New Roman" w:cs="Times New Roman"/>
                              </w:rPr>
                            </w:pPr>
                            <w:r>
                              <w:rPr>
                                <w:w w:val="110"/>
                                <w:sz w:val="21"/>
                                <w:szCs w:val="21"/>
                              </w:rPr>
                              <w:t>71</w:t>
                            </w:r>
                          </w:p>
                        </w:tc>
                        <w:tc>
                          <w:tcPr>
                            <w:tcW w:w="2322" w:type="dxa"/>
                            <w:tcBorders>
                              <w:top w:val="single" w:sz="2" w:space="0" w:color="000000"/>
                              <w:left w:val="nil"/>
                              <w:bottom w:val="single" w:sz="4" w:space="0" w:color="000000"/>
                              <w:right w:val="nil"/>
                            </w:tcBorders>
                          </w:tcPr>
                          <w:p w:rsidR="007B2B7B" w:rsidRDefault="007B2B7B">
                            <w:pPr>
                              <w:pStyle w:val="TableParagraph"/>
                              <w:tabs>
                                <w:tab w:val="left" w:pos="1223"/>
                              </w:tabs>
                              <w:kinsoku w:val="0"/>
                              <w:overflowPunct w:val="0"/>
                              <w:spacing w:before="23"/>
                              <w:ind w:left="0" w:right="58"/>
                              <w:jc w:val="right"/>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position w:val="1"/>
                                <w:sz w:val="21"/>
                                <w:szCs w:val="21"/>
                              </w:rPr>
                              <w:t>87,543.00</w:t>
                            </w:r>
                          </w:p>
                        </w:tc>
                        <w:tc>
                          <w:tcPr>
                            <w:tcW w:w="1736" w:type="dxa"/>
                            <w:gridSpan w:val="2"/>
                            <w:tcBorders>
                              <w:top w:val="nil"/>
                              <w:left w:val="nil"/>
                              <w:bottom w:val="nil"/>
                              <w:right w:val="nil"/>
                            </w:tcBorders>
                          </w:tcPr>
                          <w:p w:rsidR="007B2B7B" w:rsidRDefault="007B2B7B"/>
                        </w:tc>
                      </w:tr>
                      <w:tr w:rsidR="007B2B7B">
                        <w:trPr>
                          <w:trHeight w:hRule="exact" w:val="310"/>
                        </w:trPr>
                        <w:tc>
                          <w:tcPr>
                            <w:tcW w:w="1447" w:type="dxa"/>
                            <w:tcBorders>
                              <w:top w:val="nil"/>
                              <w:left w:val="nil"/>
                              <w:bottom w:val="nil"/>
                              <w:right w:val="nil"/>
                            </w:tcBorders>
                          </w:tcPr>
                          <w:p w:rsidR="007B2B7B" w:rsidRDefault="007B2B7B">
                            <w:pPr>
                              <w:pStyle w:val="TableParagraph"/>
                              <w:kinsoku w:val="0"/>
                              <w:overflowPunct w:val="0"/>
                              <w:spacing w:before="52"/>
                              <w:ind w:left="57"/>
                              <w:rPr>
                                <w:rFonts w:ascii="Times New Roman" w:hAnsi="Times New Roman" w:cs="Times New Roman"/>
                              </w:rPr>
                            </w:pPr>
                            <w:r>
                              <w:rPr>
                                <w:sz w:val="21"/>
                                <w:szCs w:val="21"/>
                              </w:rPr>
                              <w:t>Person #8</w:t>
                            </w:r>
                          </w:p>
                        </w:tc>
                        <w:tc>
                          <w:tcPr>
                            <w:tcW w:w="2916" w:type="dxa"/>
                            <w:tcBorders>
                              <w:top w:val="nil"/>
                              <w:left w:val="nil"/>
                              <w:bottom w:val="single" w:sz="2" w:space="0" w:color="000000"/>
                              <w:right w:val="nil"/>
                            </w:tcBorders>
                          </w:tcPr>
                          <w:p w:rsidR="007B2B7B" w:rsidRDefault="007B2B7B">
                            <w:pPr>
                              <w:pStyle w:val="TableParagraph"/>
                              <w:kinsoku w:val="0"/>
                              <w:overflowPunct w:val="0"/>
                              <w:spacing w:before="45"/>
                              <w:ind w:left="122"/>
                              <w:rPr>
                                <w:rFonts w:ascii="Times New Roman" w:hAnsi="Times New Roman" w:cs="Times New Roman"/>
                              </w:rPr>
                            </w:pPr>
                            <w:r>
                              <w:rPr>
                                <w:w w:val="105"/>
                                <w:sz w:val="21"/>
                                <w:szCs w:val="21"/>
                              </w:rPr>
                              <w:t>Men's Inn, Shattuck</w:t>
                            </w:r>
                          </w:p>
                        </w:tc>
                        <w:tc>
                          <w:tcPr>
                            <w:tcW w:w="1767" w:type="dxa"/>
                            <w:tcBorders>
                              <w:top w:val="single" w:sz="4" w:space="0" w:color="000000"/>
                              <w:left w:val="nil"/>
                              <w:bottom w:val="single" w:sz="2" w:space="0" w:color="000000"/>
                              <w:right w:val="nil"/>
                            </w:tcBorders>
                          </w:tcPr>
                          <w:p w:rsidR="007B2B7B" w:rsidRDefault="007B2B7B">
                            <w:pPr>
                              <w:pStyle w:val="TableParagraph"/>
                              <w:kinsoku w:val="0"/>
                              <w:overflowPunct w:val="0"/>
                              <w:spacing w:before="31"/>
                              <w:ind w:left="122"/>
                              <w:rPr>
                                <w:rFonts w:ascii="Times New Roman" w:hAnsi="Times New Roman" w:cs="Times New Roman"/>
                              </w:rPr>
                            </w:pPr>
                            <w:r>
                              <w:rPr>
                                <w:w w:val="105"/>
                                <w:sz w:val="21"/>
                                <w:szCs w:val="21"/>
                              </w:rPr>
                              <w:t>Outreach</w:t>
                            </w:r>
                          </w:p>
                        </w:tc>
                        <w:tc>
                          <w:tcPr>
                            <w:tcW w:w="1141" w:type="dxa"/>
                            <w:gridSpan w:val="2"/>
                            <w:tcBorders>
                              <w:top w:val="single" w:sz="4" w:space="0" w:color="000000"/>
                              <w:left w:val="nil"/>
                              <w:bottom w:val="single" w:sz="2" w:space="0" w:color="000000"/>
                              <w:right w:val="nil"/>
                            </w:tcBorders>
                          </w:tcPr>
                          <w:p w:rsidR="007B2B7B" w:rsidRDefault="007B2B7B">
                            <w:pPr>
                              <w:pStyle w:val="TableParagraph"/>
                              <w:kinsoku w:val="0"/>
                              <w:overflowPunct w:val="0"/>
                              <w:spacing w:before="31"/>
                              <w:ind w:left="0" w:right="85"/>
                              <w:jc w:val="right"/>
                              <w:rPr>
                                <w:rFonts w:ascii="Times New Roman" w:hAnsi="Times New Roman" w:cs="Times New Roman"/>
                              </w:rPr>
                            </w:pPr>
                            <w:r>
                              <w:rPr>
                                <w:sz w:val="21"/>
                                <w:szCs w:val="21"/>
                              </w:rPr>
                              <w:t>70</w:t>
                            </w:r>
                          </w:p>
                        </w:tc>
                        <w:tc>
                          <w:tcPr>
                            <w:tcW w:w="2322" w:type="dxa"/>
                            <w:tcBorders>
                              <w:top w:val="single" w:sz="4" w:space="0" w:color="000000"/>
                              <w:left w:val="nil"/>
                              <w:bottom w:val="single" w:sz="2" w:space="0" w:color="000000"/>
                              <w:right w:val="nil"/>
                            </w:tcBorders>
                          </w:tcPr>
                          <w:p w:rsidR="007B2B7B" w:rsidRDefault="007B2B7B">
                            <w:pPr>
                              <w:pStyle w:val="TableParagraph"/>
                              <w:tabs>
                                <w:tab w:val="left" w:pos="1231"/>
                              </w:tabs>
                              <w:kinsoku w:val="0"/>
                              <w:overflowPunct w:val="0"/>
                              <w:spacing w:before="16"/>
                              <w:ind w:left="0" w:right="82"/>
                              <w:jc w:val="right"/>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spacing w:val="-3"/>
                                <w:position w:val="1"/>
                                <w:sz w:val="21"/>
                                <w:szCs w:val="21"/>
                              </w:rPr>
                              <w:t>86,310.00</w:t>
                            </w:r>
                          </w:p>
                        </w:tc>
                        <w:tc>
                          <w:tcPr>
                            <w:tcW w:w="1736" w:type="dxa"/>
                            <w:gridSpan w:val="2"/>
                            <w:tcBorders>
                              <w:top w:val="nil"/>
                              <w:left w:val="nil"/>
                              <w:bottom w:val="nil"/>
                              <w:right w:val="nil"/>
                            </w:tcBorders>
                          </w:tcPr>
                          <w:p w:rsidR="007B2B7B" w:rsidRDefault="007B2B7B"/>
                        </w:tc>
                      </w:tr>
                      <w:tr w:rsidR="007B2B7B">
                        <w:trPr>
                          <w:trHeight w:hRule="exact" w:val="324"/>
                        </w:trPr>
                        <w:tc>
                          <w:tcPr>
                            <w:tcW w:w="1447" w:type="dxa"/>
                            <w:tcBorders>
                              <w:top w:val="nil"/>
                              <w:left w:val="nil"/>
                              <w:bottom w:val="single" w:sz="4" w:space="0" w:color="000000"/>
                              <w:right w:val="nil"/>
                            </w:tcBorders>
                          </w:tcPr>
                          <w:p w:rsidR="007B2B7B" w:rsidRDefault="007B2B7B">
                            <w:pPr>
                              <w:pStyle w:val="TableParagraph"/>
                              <w:kinsoku w:val="0"/>
                              <w:overflowPunct w:val="0"/>
                              <w:spacing w:before="48"/>
                              <w:ind w:left="57"/>
                              <w:rPr>
                                <w:rFonts w:ascii="Times New Roman" w:hAnsi="Times New Roman" w:cs="Times New Roman"/>
                              </w:rPr>
                            </w:pPr>
                            <w:r>
                              <w:rPr>
                                <w:sz w:val="21"/>
                                <w:szCs w:val="21"/>
                              </w:rPr>
                              <w:t>Person #9</w:t>
                            </w:r>
                          </w:p>
                        </w:tc>
                        <w:tc>
                          <w:tcPr>
                            <w:tcW w:w="2916" w:type="dxa"/>
                            <w:tcBorders>
                              <w:top w:val="single" w:sz="2" w:space="0" w:color="000000"/>
                              <w:left w:val="nil"/>
                              <w:bottom w:val="single" w:sz="4" w:space="0" w:color="000000"/>
                              <w:right w:val="nil"/>
                            </w:tcBorders>
                          </w:tcPr>
                          <w:p w:rsidR="007B2B7B" w:rsidRDefault="007B2B7B">
                            <w:pPr>
                              <w:pStyle w:val="TableParagraph"/>
                              <w:kinsoku w:val="0"/>
                              <w:overflowPunct w:val="0"/>
                              <w:spacing w:before="36"/>
                              <w:ind w:left="122"/>
                              <w:rPr>
                                <w:rFonts w:ascii="Times New Roman" w:hAnsi="Times New Roman" w:cs="Times New Roman"/>
                              </w:rPr>
                            </w:pPr>
                            <w:r>
                              <w:rPr>
                                <w:w w:val="105"/>
                                <w:sz w:val="21"/>
                                <w:szCs w:val="21"/>
                              </w:rPr>
                              <w:t>Men's Inn, Shattuck</w:t>
                            </w:r>
                          </w:p>
                        </w:tc>
                        <w:tc>
                          <w:tcPr>
                            <w:tcW w:w="1767" w:type="dxa"/>
                            <w:tcBorders>
                              <w:top w:val="single" w:sz="2" w:space="0" w:color="000000"/>
                              <w:left w:val="nil"/>
                              <w:bottom w:val="single" w:sz="4" w:space="0" w:color="000000"/>
                              <w:right w:val="nil"/>
                            </w:tcBorders>
                          </w:tcPr>
                          <w:p w:rsidR="007B2B7B" w:rsidRDefault="007B2B7B">
                            <w:pPr>
                              <w:pStyle w:val="TableParagraph"/>
                              <w:kinsoku w:val="0"/>
                              <w:overflowPunct w:val="0"/>
                              <w:spacing w:before="36"/>
                              <w:ind w:left="122"/>
                              <w:rPr>
                                <w:rFonts w:ascii="Times New Roman" w:hAnsi="Times New Roman" w:cs="Times New Roman"/>
                              </w:rPr>
                            </w:pPr>
                            <w:r>
                              <w:rPr>
                                <w:w w:val="105"/>
                                <w:sz w:val="21"/>
                                <w:szCs w:val="21"/>
                              </w:rPr>
                              <w:t>Outreach</w:t>
                            </w:r>
                          </w:p>
                        </w:tc>
                        <w:tc>
                          <w:tcPr>
                            <w:tcW w:w="1141" w:type="dxa"/>
                            <w:gridSpan w:val="2"/>
                            <w:tcBorders>
                              <w:top w:val="single" w:sz="2" w:space="0" w:color="000000"/>
                              <w:left w:val="nil"/>
                              <w:bottom w:val="single" w:sz="4" w:space="0" w:color="000000"/>
                              <w:right w:val="nil"/>
                            </w:tcBorders>
                          </w:tcPr>
                          <w:p w:rsidR="007B2B7B" w:rsidRDefault="007B2B7B">
                            <w:pPr>
                              <w:pStyle w:val="TableParagraph"/>
                              <w:kinsoku w:val="0"/>
                              <w:overflowPunct w:val="0"/>
                              <w:spacing w:before="28"/>
                              <w:ind w:left="0" w:right="95"/>
                              <w:jc w:val="right"/>
                              <w:rPr>
                                <w:rFonts w:ascii="Times New Roman" w:hAnsi="Times New Roman" w:cs="Times New Roman"/>
                              </w:rPr>
                            </w:pPr>
                            <w:r>
                              <w:rPr>
                                <w:sz w:val="21"/>
                                <w:szCs w:val="21"/>
                              </w:rPr>
                              <w:t>67</w:t>
                            </w:r>
                          </w:p>
                        </w:tc>
                        <w:tc>
                          <w:tcPr>
                            <w:tcW w:w="2322" w:type="dxa"/>
                            <w:tcBorders>
                              <w:top w:val="single" w:sz="2" w:space="0" w:color="000000"/>
                              <w:left w:val="nil"/>
                              <w:bottom w:val="single" w:sz="4" w:space="0" w:color="000000"/>
                              <w:right w:val="nil"/>
                            </w:tcBorders>
                          </w:tcPr>
                          <w:p w:rsidR="007B2B7B" w:rsidRDefault="007B2B7B">
                            <w:pPr>
                              <w:pStyle w:val="TableParagraph"/>
                              <w:tabs>
                                <w:tab w:val="left" w:pos="1231"/>
                              </w:tabs>
                              <w:kinsoku w:val="0"/>
                              <w:overflowPunct w:val="0"/>
                              <w:spacing w:before="18"/>
                              <w:ind w:left="0" w:right="74"/>
                              <w:jc w:val="right"/>
                              <w:rPr>
                                <w:rFonts w:ascii="Times New Roman" w:hAnsi="Times New Roman" w:cs="Times New Roman"/>
                              </w:rPr>
                            </w:pPr>
                            <w:r>
                              <w:rPr>
                                <w:rFonts w:ascii="Times New Roman" w:hAnsi="Times New Roman" w:cs="Times New Roman"/>
                                <w:w w:val="115"/>
                              </w:rPr>
                              <w:t>$</w:t>
                            </w:r>
                            <w:r>
                              <w:rPr>
                                <w:rFonts w:ascii="Times New Roman" w:hAnsi="Times New Roman" w:cs="Times New Roman"/>
                                <w:w w:val="115"/>
                              </w:rPr>
                              <w:tab/>
                            </w:r>
                            <w:r>
                              <w:rPr>
                                <w:spacing w:val="-18"/>
                                <w:w w:val="115"/>
                                <w:position w:val="1"/>
                                <w:sz w:val="21"/>
                                <w:szCs w:val="21"/>
                              </w:rPr>
                              <w:t>82,611.00</w:t>
                            </w:r>
                          </w:p>
                        </w:tc>
                        <w:tc>
                          <w:tcPr>
                            <w:tcW w:w="1736" w:type="dxa"/>
                            <w:gridSpan w:val="2"/>
                            <w:tcBorders>
                              <w:top w:val="nil"/>
                              <w:left w:val="nil"/>
                              <w:bottom w:val="nil"/>
                              <w:right w:val="nil"/>
                            </w:tcBorders>
                          </w:tcPr>
                          <w:p w:rsidR="007B2B7B" w:rsidRDefault="007B2B7B"/>
                        </w:tc>
                      </w:tr>
                      <w:tr w:rsidR="007B2B7B">
                        <w:trPr>
                          <w:trHeight w:hRule="exact" w:val="307"/>
                        </w:trPr>
                        <w:tc>
                          <w:tcPr>
                            <w:tcW w:w="1447" w:type="dxa"/>
                            <w:tcBorders>
                              <w:top w:val="single" w:sz="4" w:space="0" w:color="000000"/>
                              <w:left w:val="nil"/>
                              <w:bottom w:val="nil"/>
                              <w:right w:val="nil"/>
                            </w:tcBorders>
                          </w:tcPr>
                          <w:p w:rsidR="007B2B7B" w:rsidRDefault="007B2B7B">
                            <w:pPr>
                              <w:pStyle w:val="TableParagraph"/>
                              <w:tabs>
                                <w:tab w:val="left" w:pos="1382"/>
                              </w:tabs>
                              <w:kinsoku w:val="0"/>
                              <w:overflowPunct w:val="0"/>
                              <w:spacing w:before="36"/>
                              <w:ind w:left="57"/>
                              <w:rPr>
                                <w:rFonts w:ascii="Times New Roman" w:hAnsi="Times New Roman" w:cs="Times New Roman"/>
                              </w:rPr>
                            </w:pPr>
                            <w:r>
                              <w:rPr>
                                <w:w w:val="105"/>
                                <w:sz w:val="21"/>
                                <w:szCs w:val="21"/>
                                <w:u w:val="single" w:color="000000"/>
                              </w:rPr>
                              <w:t>Person</w:t>
                            </w:r>
                            <w:r>
                              <w:rPr>
                                <w:spacing w:val="-37"/>
                                <w:w w:val="105"/>
                                <w:sz w:val="21"/>
                                <w:szCs w:val="21"/>
                                <w:u w:val="single" w:color="000000"/>
                              </w:rPr>
                              <w:t xml:space="preserve"> </w:t>
                            </w:r>
                            <w:r>
                              <w:rPr>
                                <w:spacing w:val="-5"/>
                                <w:w w:val="105"/>
                                <w:sz w:val="21"/>
                                <w:szCs w:val="21"/>
                                <w:u w:val="single" w:color="000000"/>
                              </w:rPr>
                              <w:t>#10</w:t>
                            </w:r>
                            <w:r>
                              <w:rPr>
                                <w:spacing w:val="-5"/>
                                <w:sz w:val="21"/>
                                <w:szCs w:val="21"/>
                                <w:u w:val="single" w:color="000000"/>
                              </w:rPr>
                              <w:tab/>
                            </w:r>
                          </w:p>
                        </w:tc>
                        <w:tc>
                          <w:tcPr>
                            <w:tcW w:w="2916" w:type="dxa"/>
                            <w:tcBorders>
                              <w:top w:val="single" w:sz="4" w:space="0" w:color="000000"/>
                              <w:left w:val="nil"/>
                              <w:bottom w:val="single" w:sz="2" w:space="0" w:color="000000"/>
                              <w:right w:val="nil"/>
                            </w:tcBorders>
                          </w:tcPr>
                          <w:p w:rsidR="007B2B7B" w:rsidRDefault="007B2B7B">
                            <w:pPr>
                              <w:pStyle w:val="TableParagraph"/>
                              <w:kinsoku w:val="0"/>
                              <w:overflowPunct w:val="0"/>
                              <w:spacing w:before="36"/>
                              <w:ind w:left="122"/>
                              <w:rPr>
                                <w:rFonts w:ascii="Times New Roman" w:hAnsi="Times New Roman" w:cs="Times New Roman"/>
                              </w:rPr>
                            </w:pPr>
                            <w:r>
                              <w:rPr>
                                <w:w w:val="105"/>
                                <w:sz w:val="21"/>
                                <w:szCs w:val="21"/>
                              </w:rPr>
                              <w:t>Men's Inn</w:t>
                            </w:r>
                          </w:p>
                        </w:tc>
                        <w:tc>
                          <w:tcPr>
                            <w:tcW w:w="1767" w:type="dxa"/>
                            <w:tcBorders>
                              <w:top w:val="single" w:sz="4" w:space="0" w:color="000000"/>
                              <w:left w:val="nil"/>
                              <w:bottom w:val="single" w:sz="2" w:space="0" w:color="000000"/>
                              <w:right w:val="nil"/>
                            </w:tcBorders>
                          </w:tcPr>
                          <w:p w:rsidR="007B2B7B" w:rsidRDefault="007B2B7B">
                            <w:pPr>
                              <w:pStyle w:val="TableParagraph"/>
                              <w:kinsoku w:val="0"/>
                              <w:overflowPunct w:val="0"/>
                              <w:spacing w:before="28"/>
                              <w:ind w:left="122"/>
                              <w:rPr>
                                <w:rFonts w:ascii="Times New Roman" w:hAnsi="Times New Roman" w:cs="Times New Roman"/>
                              </w:rPr>
                            </w:pPr>
                            <w:r>
                              <w:rPr>
                                <w:w w:val="105"/>
                                <w:sz w:val="21"/>
                                <w:szCs w:val="21"/>
                              </w:rPr>
                              <w:t>Outreach</w:t>
                            </w:r>
                          </w:p>
                        </w:tc>
                        <w:tc>
                          <w:tcPr>
                            <w:tcW w:w="1141" w:type="dxa"/>
                            <w:gridSpan w:val="2"/>
                            <w:tcBorders>
                              <w:top w:val="single" w:sz="4" w:space="0" w:color="000000"/>
                              <w:left w:val="nil"/>
                              <w:bottom w:val="single" w:sz="2" w:space="0" w:color="000000"/>
                              <w:right w:val="nil"/>
                            </w:tcBorders>
                          </w:tcPr>
                          <w:p w:rsidR="007B2B7B" w:rsidRDefault="007B2B7B">
                            <w:pPr>
                              <w:pStyle w:val="TableParagraph"/>
                              <w:kinsoku w:val="0"/>
                              <w:overflowPunct w:val="0"/>
                              <w:spacing w:before="28"/>
                              <w:ind w:left="0" w:right="92"/>
                              <w:jc w:val="right"/>
                              <w:rPr>
                                <w:rFonts w:ascii="Times New Roman" w:hAnsi="Times New Roman" w:cs="Times New Roman"/>
                              </w:rPr>
                            </w:pPr>
                            <w:r>
                              <w:rPr>
                                <w:sz w:val="21"/>
                                <w:szCs w:val="21"/>
                              </w:rPr>
                              <w:t>57</w:t>
                            </w:r>
                          </w:p>
                        </w:tc>
                        <w:tc>
                          <w:tcPr>
                            <w:tcW w:w="2322" w:type="dxa"/>
                            <w:tcBorders>
                              <w:top w:val="single" w:sz="4" w:space="0" w:color="000000"/>
                              <w:left w:val="nil"/>
                              <w:bottom w:val="single" w:sz="2" w:space="0" w:color="000000"/>
                              <w:right w:val="nil"/>
                            </w:tcBorders>
                          </w:tcPr>
                          <w:p w:rsidR="007B2B7B" w:rsidRDefault="007B2B7B">
                            <w:pPr>
                              <w:pStyle w:val="TableParagraph"/>
                              <w:tabs>
                                <w:tab w:val="left" w:pos="1231"/>
                              </w:tabs>
                              <w:kinsoku w:val="0"/>
                              <w:overflowPunct w:val="0"/>
                              <w:spacing w:before="13"/>
                              <w:ind w:left="0" w:right="50"/>
                              <w:jc w:val="right"/>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position w:val="1"/>
                                <w:sz w:val="21"/>
                                <w:szCs w:val="21"/>
                              </w:rPr>
                              <w:t>70,281.00</w:t>
                            </w:r>
                          </w:p>
                        </w:tc>
                        <w:tc>
                          <w:tcPr>
                            <w:tcW w:w="1736" w:type="dxa"/>
                            <w:gridSpan w:val="2"/>
                            <w:tcBorders>
                              <w:top w:val="nil"/>
                              <w:left w:val="nil"/>
                              <w:bottom w:val="nil"/>
                              <w:right w:val="nil"/>
                            </w:tcBorders>
                          </w:tcPr>
                          <w:p w:rsidR="007B2B7B" w:rsidRDefault="007B2B7B"/>
                        </w:tc>
                      </w:tr>
                      <w:tr w:rsidR="007B2B7B">
                        <w:trPr>
                          <w:trHeight w:hRule="exact" w:val="324"/>
                        </w:trPr>
                        <w:tc>
                          <w:tcPr>
                            <w:tcW w:w="1447" w:type="dxa"/>
                            <w:tcBorders>
                              <w:top w:val="nil"/>
                              <w:left w:val="nil"/>
                              <w:bottom w:val="single" w:sz="2" w:space="0" w:color="000000"/>
                              <w:right w:val="nil"/>
                            </w:tcBorders>
                          </w:tcPr>
                          <w:p w:rsidR="007B2B7B" w:rsidRDefault="007B2B7B">
                            <w:pPr>
                              <w:pStyle w:val="TableParagraph"/>
                              <w:kinsoku w:val="0"/>
                              <w:overflowPunct w:val="0"/>
                              <w:spacing w:before="50"/>
                              <w:ind w:left="57"/>
                              <w:rPr>
                                <w:rFonts w:ascii="Times New Roman" w:hAnsi="Times New Roman" w:cs="Times New Roman"/>
                              </w:rPr>
                            </w:pPr>
                            <w:r>
                              <w:rPr>
                                <w:w w:val="115"/>
                                <w:sz w:val="21"/>
                                <w:szCs w:val="21"/>
                              </w:rPr>
                              <w:t>Person#11</w:t>
                            </w:r>
                          </w:p>
                        </w:tc>
                        <w:tc>
                          <w:tcPr>
                            <w:tcW w:w="2916" w:type="dxa"/>
                            <w:tcBorders>
                              <w:top w:val="single" w:sz="2" w:space="0" w:color="000000"/>
                              <w:left w:val="nil"/>
                              <w:bottom w:val="single" w:sz="2" w:space="0" w:color="000000"/>
                              <w:right w:val="nil"/>
                            </w:tcBorders>
                          </w:tcPr>
                          <w:p w:rsidR="007B2B7B" w:rsidRDefault="007B2B7B">
                            <w:pPr>
                              <w:pStyle w:val="TableParagraph"/>
                              <w:kinsoku w:val="0"/>
                              <w:overflowPunct w:val="0"/>
                              <w:spacing w:before="40"/>
                              <w:ind w:left="108"/>
                              <w:rPr>
                                <w:rFonts w:ascii="Times New Roman" w:hAnsi="Times New Roman" w:cs="Times New Roman"/>
                              </w:rPr>
                            </w:pPr>
                            <w:r>
                              <w:rPr>
                                <w:w w:val="105"/>
                                <w:sz w:val="21"/>
                                <w:szCs w:val="21"/>
                              </w:rPr>
                              <w:t>Shattuck,  Men's Inn</w:t>
                            </w:r>
                          </w:p>
                        </w:tc>
                        <w:tc>
                          <w:tcPr>
                            <w:tcW w:w="1767" w:type="dxa"/>
                            <w:tcBorders>
                              <w:top w:val="single" w:sz="2" w:space="0" w:color="000000"/>
                              <w:left w:val="nil"/>
                              <w:bottom w:val="single" w:sz="2" w:space="0" w:color="000000"/>
                              <w:right w:val="nil"/>
                            </w:tcBorders>
                          </w:tcPr>
                          <w:p w:rsidR="007B2B7B" w:rsidRDefault="007B2B7B">
                            <w:pPr>
                              <w:pStyle w:val="TableParagraph"/>
                              <w:kinsoku w:val="0"/>
                              <w:overflowPunct w:val="0"/>
                              <w:spacing w:before="40"/>
                              <w:ind w:left="122"/>
                              <w:rPr>
                                <w:rFonts w:ascii="Times New Roman" w:hAnsi="Times New Roman" w:cs="Times New Roman"/>
                              </w:rPr>
                            </w:pPr>
                            <w:r>
                              <w:rPr>
                                <w:w w:val="105"/>
                                <w:sz w:val="21"/>
                                <w:szCs w:val="21"/>
                              </w:rPr>
                              <w:t>Outreach</w:t>
                            </w:r>
                          </w:p>
                        </w:tc>
                        <w:tc>
                          <w:tcPr>
                            <w:tcW w:w="1141" w:type="dxa"/>
                            <w:gridSpan w:val="2"/>
                            <w:tcBorders>
                              <w:top w:val="single" w:sz="2" w:space="0" w:color="000000"/>
                              <w:left w:val="nil"/>
                              <w:bottom w:val="single" w:sz="2" w:space="0" w:color="000000"/>
                              <w:right w:val="nil"/>
                            </w:tcBorders>
                          </w:tcPr>
                          <w:p w:rsidR="007B2B7B" w:rsidRDefault="007B2B7B">
                            <w:pPr>
                              <w:pStyle w:val="TableParagraph"/>
                              <w:kinsoku w:val="0"/>
                              <w:overflowPunct w:val="0"/>
                              <w:spacing w:before="40"/>
                              <w:ind w:left="0" w:right="92"/>
                              <w:jc w:val="right"/>
                              <w:rPr>
                                <w:rFonts w:ascii="Times New Roman" w:hAnsi="Times New Roman" w:cs="Times New Roman"/>
                              </w:rPr>
                            </w:pPr>
                            <w:r>
                              <w:rPr>
                                <w:sz w:val="21"/>
                                <w:szCs w:val="21"/>
                              </w:rPr>
                              <w:t>53</w:t>
                            </w:r>
                          </w:p>
                        </w:tc>
                        <w:tc>
                          <w:tcPr>
                            <w:tcW w:w="2322" w:type="dxa"/>
                            <w:tcBorders>
                              <w:top w:val="single" w:sz="2" w:space="0" w:color="000000"/>
                              <w:left w:val="nil"/>
                              <w:bottom w:val="single" w:sz="2" w:space="0" w:color="000000"/>
                              <w:right w:val="nil"/>
                            </w:tcBorders>
                          </w:tcPr>
                          <w:p w:rsidR="007B2B7B" w:rsidRDefault="007B2B7B">
                            <w:pPr>
                              <w:pStyle w:val="TableParagraph"/>
                              <w:tabs>
                                <w:tab w:val="left" w:pos="1231"/>
                              </w:tabs>
                              <w:kinsoku w:val="0"/>
                              <w:overflowPunct w:val="0"/>
                              <w:spacing w:before="25"/>
                              <w:ind w:left="0" w:right="50"/>
                              <w:jc w:val="right"/>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position w:val="1"/>
                                <w:sz w:val="21"/>
                                <w:szCs w:val="21"/>
                              </w:rPr>
                              <w:t>65,349.00</w:t>
                            </w:r>
                          </w:p>
                        </w:tc>
                        <w:tc>
                          <w:tcPr>
                            <w:tcW w:w="1736" w:type="dxa"/>
                            <w:gridSpan w:val="2"/>
                            <w:tcBorders>
                              <w:top w:val="nil"/>
                              <w:left w:val="nil"/>
                              <w:bottom w:val="nil"/>
                              <w:right w:val="nil"/>
                            </w:tcBorders>
                          </w:tcPr>
                          <w:p w:rsidR="007B2B7B" w:rsidRDefault="007B2B7B"/>
                        </w:tc>
                      </w:tr>
                      <w:tr w:rsidR="007B2B7B">
                        <w:trPr>
                          <w:trHeight w:hRule="exact" w:val="322"/>
                        </w:trPr>
                        <w:tc>
                          <w:tcPr>
                            <w:tcW w:w="1447" w:type="dxa"/>
                            <w:tcBorders>
                              <w:top w:val="single" w:sz="2" w:space="0" w:color="000000"/>
                              <w:left w:val="nil"/>
                              <w:bottom w:val="single" w:sz="2" w:space="0" w:color="000000"/>
                              <w:right w:val="nil"/>
                            </w:tcBorders>
                          </w:tcPr>
                          <w:p w:rsidR="007B2B7B" w:rsidRDefault="007B2B7B">
                            <w:pPr>
                              <w:pStyle w:val="TableParagraph"/>
                              <w:kinsoku w:val="0"/>
                              <w:overflowPunct w:val="0"/>
                              <w:spacing w:before="40"/>
                              <w:ind w:left="57"/>
                              <w:rPr>
                                <w:rFonts w:ascii="Times New Roman" w:hAnsi="Times New Roman" w:cs="Times New Roman"/>
                              </w:rPr>
                            </w:pPr>
                            <w:r>
                              <w:rPr>
                                <w:w w:val="105"/>
                                <w:sz w:val="21"/>
                                <w:szCs w:val="21"/>
                              </w:rPr>
                              <w:t>Person #12</w:t>
                            </w:r>
                          </w:p>
                        </w:tc>
                        <w:tc>
                          <w:tcPr>
                            <w:tcW w:w="2916" w:type="dxa"/>
                            <w:tcBorders>
                              <w:top w:val="single" w:sz="2" w:space="0" w:color="000000"/>
                              <w:left w:val="nil"/>
                              <w:bottom w:val="single" w:sz="2" w:space="0" w:color="000000"/>
                              <w:right w:val="nil"/>
                            </w:tcBorders>
                          </w:tcPr>
                          <w:p w:rsidR="007B2B7B" w:rsidRDefault="007B2B7B">
                            <w:pPr>
                              <w:pStyle w:val="TableParagraph"/>
                              <w:kinsoku w:val="0"/>
                              <w:overflowPunct w:val="0"/>
                              <w:spacing w:before="36"/>
                              <w:ind w:left="115"/>
                              <w:rPr>
                                <w:rFonts w:ascii="Times New Roman" w:hAnsi="Times New Roman" w:cs="Times New Roman"/>
                              </w:rPr>
                            </w:pPr>
                            <w:r>
                              <w:rPr>
                                <w:w w:val="105"/>
                                <w:sz w:val="21"/>
                                <w:szCs w:val="21"/>
                              </w:rPr>
                              <w:t>Women's Inn</w:t>
                            </w:r>
                          </w:p>
                        </w:tc>
                        <w:tc>
                          <w:tcPr>
                            <w:tcW w:w="1767" w:type="dxa"/>
                            <w:tcBorders>
                              <w:top w:val="single" w:sz="2" w:space="0" w:color="000000"/>
                              <w:left w:val="nil"/>
                              <w:bottom w:val="single" w:sz="2" w:space="0" w:color="000000"/>
                              <w:right w:val="nil"/>
                            </w:tcBorders>
                          </w:tcPr>
                          <w:p w:rsidR="007B2B7B" w:rsidRDefault="007B2B7B">
                            <w:pPr>
                              <w:pStyle w:val="TableParagraph"/>
                              <w:kinsoku w:val="0"/>
                              <w:overflowPunct w:val="0"/>
                              <w:spacing w:before="40"/>
                              <w:ind w:left="122"/>
                              <w:rPr>
                                <w:rFonts w:ascii="Times New Roman" w:hAnsi="Times New Roman" w:cs="Times New Roman"/>
                              </w:rPr>
                            </w:pPr>
                            <w:r>
                              <w:rPr>
                                <w:w w:val="105"/>
                                <w:sz w:val="21"/>
                                <w:szCs w:val="21"/>
                              </w:rPr>
                              <w:t>Outreach</w:t>
                            </w:r>
                          </w:p>
                        </w:tc>
                        <w:tc>
                          <w:tcPr>
                            <w:tcW w:w="1141" w:type="dxa"/>
                            <w:gridSpan w:val="2"/>
                            <w:tcBorders>
                              <w:top w:val="single" w:sz="2" w:space="0" w:color="000000"/>
                              <w:left w:val="nil"/>
                              <w:bottom w:val="single" w:sz="2" w:space="0" w:color="000000"/>
                              <w:right w:val="nil"/>
                            </w:tcBorders>
                          </w:tcPr>
                          <w:p w:rsidR="007B2B7B" w:rsidRDefault="007B2B7B">
                            <w:pPr>
                              <w:pStyle w:val="TableParagraph"/>
                              <w:kinsoku w:val="0"/>
                              <w:overflowPunct w:val="0"/>
                              <w:spacing w:before="40"/>
                              <w:ind w:left="0" w:right="99"/>
                              <w:jc w:val="right"/>
                              <w:rPr>
                                <w:rFonts w:ascii="Times New Roman" w:hAnsi="Times New Roman" w:cs="Times New Roman"/>
                              </w:rPr>
                            </w:pPr>
                            <w:r>
                              <w:rPr>
                                <w:sz w:val="21"/>
                                <w:szCs w:val="21"/>
                              </w:rPr>
                              <w:t>49</w:t>
                            </w:r>
                          </w:p>
                        </w:tc>
                        <w:tc>
                          <w:tcPr>
                            <w:tcW w:w="2322" w:type="dxa"/>
                            <w:tcBorders>
                              <w:top w:val="single" w:sz="2" w:space="0" w:color="000000"/>
                              <w:left w:val="nil"/>
                              <w:bottom w:val="single" w:sz="2" w:space="0" w:color="000000"/>
                              <w:right w:val="nil"/>
                            </w:tcBorders>
                          </w:tcPr>
                          <w:p w:rsidR="007B2B7B" w:rsidRDefault="007B2B7B">
                            <w:pPr>
                              <w:pStyle w:val="TableParagraph"/>
                              <w:tabs>
                                <w:tab w:val="left" w:pos="1231"/>
                              </w:tabs>
                              <w:kinsoku w:val="0"/>
                              <w:overflowPunct w:val="0"/>
                              <w:spacing w:before="25"/>
                              <w:ind w:left="0" w:right="77"/>
                              <w:jc w:val="right"/>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spacing w:val="-2"/>
                                <w:position w:val="1"/>
                                <w:sz w:val="21"/>
                                <w:szCs w:val="21"/>
                              </w:rPr>
                              <w:t>60,417.00</w:t>
                            </w:r>
                          </w:p>
                        </w:tc>
                        <w:tc>
                          <w:tcPr>
                            <w:tcW w:w="1736" w:type="dxa"/>
                            <w:gridSpan w:val="2"/>
                            <w:tcBorders>
                              <w:top w:val="nil"/>
                              <w:left w:val="nil"/>
                              <w:bottom w:val="nil"/>
                              <w:right w:val="nil"/>
                            </w:tcBorders>
                          </w:tcPr>
                          <w:p w:rsidR="007B2B7B" w:rsidRDefault="007B2B7B"/>
                        </w:tc>
                      </w:tr>
                      <w:tr w:rsidR="007B2B7B">
                        <w:trPr>
                          <w:trHeight w:hRule="exact" w:val="312"/>
                        </w:trPr>
                        <w:tc>
                          <w:tcPr>
                            <w:tcW w:w="1447" w:type="dxa"/>
                            <w:tcBorders>
                              <w:top w:val="single" w:sz="2" w:space="0" w:color="000000"/>
                              <w:left w:val="nil"/>
                              <w:bottom w:val="single" w:sz="2" w:space="0" w:color="000000"/>
                              <w:right w:val="nil"/>
                            </w:tcBorders>
                          </w:tcPr>
                          <w:p w:rsidR="007B2B7B" w:rsidRDefault="007B2B7B">
                            <w:pPr>
                              <w:pStyle w:val="TableParagraph"/>
                              <w:kinsoku w:val="0"/>
                              <w:overflowPunct w:val="0"/>
                              <w:spacing w:before="38"/>
                              <w:ind w:left="57"/>
                              <w:rPr>
                                <w:rFonts w:ascii="Times New Roman" w:hAnsi="Times New Roman" w:cs="Times New Roman"/>
                              </w:rPr>
                            </w:pPr>
                            <w:r>
                              <w:rPr>
                                <w:sz w:val="21"/>
                                <w:szCs w:val="21"/>
                              </w:rPr>
                              <w:t>Person #13</w:t>
                            </w:r>
                          </w:p>
                        </w:tc>
                        <w:tc>
                          <w:tcPr>
                            <w:tcW w:w="2916" w:type="dxa"/>
                            <w:tcBorders>
                              <w:top w:val="single" w:sz="2" w:space="0" w:color="000000"/>
                              <w:left w:val="nil"/>
                              <w:bottom w:val="single" w:sz="2" w:space="0" w:color="000000"/>
                              <w:right w:val="nil"/>
                            </w:tcBorders>
                          </w:tcPr>
                          <w:p w:rsidR="007B2B7B" w:rsidRDefault="007B2B7B">
                            <w:pPr>
                              <w:pStyle w:val="TableParagraph"/>
                              <w:kinsoku w:val="0"/>
                              <w:overflowPunct w:val="0"/>
                              <w:spacing w:before="31"/>
                              <w:ind w:left="115"/>
                              <w:rPr>
                                <w:rFonts w:ascii="Times New Roman" w:hAnsi="Times New Roman" w:cs="Times New Roman"/>
                              </w:rPr>
                            </w:pPr>
                            <w:r>
                              <w:rPr>
                                <w:w w:val="110"/>
                                <w:sz w:val="21"/>
                                <w:szCs w:val="21"/>
                              </w:rPr>
                              <w:t>Shattuck ,Men' Inn</w:t>
                            </w:r>
                          </w:p>
                        </w:tc>
                        <w:tc>
                          <w:tcPr>
                            <w:tcW w:w="1767" w:type="dxa"/>
                            <w:tcBorders>
                              <w:top w:val="single" w:sz="2" w:space="0" w:color="000000"/>
                              <w:left w:val="nil"/>
                              <w:bottom w:val="single" w:sz="2" w:space="0" w:color="000000"/>
                              <w:right w:val="nil"/>
                            </w:tcBorders>
                          </w:tcPr>
                          <w:p w:rsidR="007B2B7B" w:rsidRDefault="007B2B7B">
                            <w:pPr>
                              <w:pStyle w:val="TableParagraph"/>
                              <w:kinsoku w:val="0"/>
                              <w:overflowPunct w:val="0"/>
                              <w:spacing w:before="38"/>
                              <w:ind w:left="129"/>
                              <w:rPr>
                                <w:rFonts w:ascii="Times New Roman" w:hAnsi="Times New Roman" w:cs="Times New Roman"/>
                              </w:rPr>
                            </w:pPr>
                            <w:r>
                              <w:rPr>
                                <w:sz w:val="21"/>
                                <w:szCs w:val="21"/>
                              </w:rPr>
                              <w:t>Outreach</w:t>
                            </w:r>
                          </w:p>
                        </w:tc>
                        <w:tc>
                          <w:tcPr>
                            <w:tcW w:w="1141" w:type="dxa"/>
                            <w:gridSpan w:val="2"/>
                            <w:tcBorders>
                              <w:top w:val="single" w:sz="2" w:space="0" w:color="000000"/>
                              <w:left w:val="nil"/>
                              <w:bottom w:val="single" w:sz="2" w:space="0" w:color="000000"/>
                              <w:right w:val="nil"/>
                            </w:tcBorders>
                          </w:tcPr>
                          <w:p w:rsidR="007B2B7B" w:rsidRDefault="007B2B7B">
                            <w:pPr>
                              <w:pStyle w:val="TableParagraph"/>
                              <w:kinsoku w:val="0"/>
                              <w:overflowPunct w:val="0"/>
                              <w:spacing w:before="38"/>
                              <w:ind w:left="0" w:right="92"/>
                              <w:jc w:val="right"/>
                              <w:rPr>
                                <w:rFonts w:ascii="Times New Roman" w:hAnsi="Times New Roman" w:cs="Times New Roman"/>
                              </w:rPr>
                            </w:pPr>
                            <w:r>
                              <w:rPr>
                                <w:sz w:val="21"/>
                                <w:szCs w:val="21"/>
                              </w:rPr>
                              <w:t>48</w:t>
                            </w:r>
                          </w:p>
                        </w:tc>
                        <w:tc>
                          <w:tcPr>
                            <w:tcW w:w="2322" w:type="dxa"/>
                            <w:tcBorders>
                              <w:top w:val="single" w:sz="2" w:space="0" w:color="000000"/>
                              <w:left w:val="nil"/>
                              <w:bottom w:val="single" w:sz="2" w:space="0" w:color="000000"/>
                              <w:right w:val="nil"/>
                            </w:tcBorders>
                          </w:tcPr>
                          <w:p w:rsidR="007B2B7B" w:rsidRDefault="007B2B7B">
                            <w:pPr>
                              <w:pStyle w:val="TableParagraph"/>
                              <w:tabs>
                                <w:tab w:val="left" w:pos="1231"/>
                              </w:tabs>
                              <w:kinsoku w:val="0"/>
                              <w:overflowPunct w:val="0"/>
                              <w:spacing w:before="23"/>
                              <w:ind w:left="0" w:right="98"/>
                              <w:jc w:val="right"/>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spacing w:val="-5"/>
                                <w:position w:val="1"/>
                                <w:sz w:val="21"/>
                                <w:szCs w:val="21"/>
                              </w:rPr>
                              <w:t>59,184.00</w:t>
                            </w:r>
                          </w:p>
                        </w:tc>
                        <w:tc>
                          <w:tcPr>
                            <w:tcW w:w="1736" w:type="dxa"/>
                            <w:gridSpan w:val="2"/>
                            <w:tcBorders>
                              <w:top w:val="nil"/>
                              <w:left w:val="nil"/>
                              <w:bottom w:val="nil"/>
                              <w:right w:val="nil"/>
                            </w:tcBorders>
                          </w:tcPr>
                          <w:p w:rsidR="007B2B7B" w:rsidRDefault="007B2B7B"/>
                        </w:tc>
                      </w:tr>
                      <w:tr w:rsidR="007B2B7B">
                        <w:trPr>
                          <w:trHeight w:hRule="exact" w:val="326"/>
                        </w:trPr>
                        <w:tc>
                          <w:tcPr>
                            <w:tcW w:w="1447" w:type="dxa"/>
                            <w:tcBorders>
                              <w:top w:val="single" w:sz="2" w:space="0" w:color="000000"/>
                              <w:left w:val="nil"/>
                              <w:bottom w:val="single" w:sz="4" w:space="0" w:color="000000"/>
                              <w:right w:val="nil"/>
                            </w:tcBorders>
                          </w:tcPr>
                          <w:p w:rsidR="007B2B7B" w:rsidRDefault="007B2B7B">
                            <w:pPr>
                              <w:pStyle w:val="TableParagraph"/>
                              <w:kinsoku w:val="0"/>
                              <w:overflowPunct w:val="0"/>
                              <w:spacing w:before="36"/>
                              <w:ind w:left="57"/>
                              <w:rPr>
                                <w:rFonts w:ascii="Times New Roman" w:hAnsi="Times New Roman" w:cs="Times New Roman"/>
                              </w:rPr>
                            </w:pPr>
                            <w:r>
                              <w:rPr>
                                <w:w w:val="105"/>
                                <w:sz w:val="21"/>
                                <w:szCs w:val="21"/>
                              </w:rPr>
                              <w:t>Person #14</w:t>
                            </w:r>
                          </w:p>
                        </w:tc>
                        <w:tc>
                          <w:tcPr>
                            <w:tcW w:w="2916" w:type="dxa"/>
                            <w:tcBorders>
                              <w:top w:val="single" w:sz="2" w:space="0" w:color="000000"/>
                              <w:left w:val="nil"/>
                              <w:bottom w:val="single" w:sz="4" w:space="0" w:color="000000"/>
                              <w:right w:val="nil"/>
                            </w:tcBorders>
                          </w:tcPr>
                          <w:p w:rsidR="007B2B7B" w:rsidRDefault="007B2B7B">
                            <w:pPr>
                              <w:pStyle w:val="TableParagraph"/>
                              <w:kinsoku w:val="0"/>
                              <w:overflowPunct w:val="0"/>
                              <w:spacing w:before="36"/>
                              <w:ind w:left="122"/>
                              <w:rPr>
                                <w:rFonts w:ascii="Times New Roman" w:hAnsi="Times New Roman" w:cs="Times New Roman"/>
                              </w:rPr>
                            </w:pPr>
                            <w:r>
                              <w:rPr>
                                <w:w w:val="105"/>
                                <w:sz w:val="21"/>
                                <w:szCs w:val="21"/>
                              </w:rPr>
                              <w:t>Men's Inn</w:t>
                            </w:r>
                          </w:p>
                        </w:tc>
                        <w:tc>
                          <w:tcPr>
                            <w:tcW w:w="1767" w:type="dxa"/>
                            <w:tcBorders>
                              <w:top w:val="single" w:sz="2" w:space="0" w:color="000000"/>
                              <w:left w:val="nil"/>
                              <w:bottom w:val="single" w:sz="4" w:space="0" w:color="000000"/>
                              <w:right w:val="nil"/>
                            </w:tcBorders>
                          </w:tcPr>
                          <w:p w:rsidR="007B2B7B" w:rsidRDefault="007B2B7B">
                            <w:pPr>
                              <w:pStyle w:val="TableParagraph"/>
                              <w:kinsoku w:val="0"/>
                              <w:overflowPunct w:val="0"/>
                              <w:spacing w:before="40"/>
                              <w:ind w:left="129"/>
                              <w:rPr>
                                <w:rFonts w:ascii="Times New Roman" w:hAnsi="Times New Roman" w:cs="Times New Roman"/>
                              </w:rPr>
                            </w:pPr>
                            <w:r>
                              <w:rPr>
                                <w:w w:val="105"/>
                                <w:sz w:val="21"/>
                                <w:szCs w:val="21"/>
                              </w:rPr>
                              <w:t>Outreach</w:t>
                            </w:r>
                          </w:p>
                        </w:tc>
                        <w:tc>
                          <w:tcPr>
                            <w:tcW w:w="1141" w:type="dxa"/>
                            <w:gridSpan w:val="2"/>
                            <w:tcBorders>
                              <w:top w:val="single" w:sz="2" w:space="0" w:color="000000"/>
                              <w:left w:val="nil"/>
                              <w:bottom w:val="single" w:sz="4" w:space="0" w:color="000000"/>
                              <w:right w:val="nil"/>
                            </w:tcBorders>
                          </w:tcPr>
                          <w:p w:rsidR="007B2B7B" w:rsidRDefault="007B2B7B">
                            <w:pPr>
                              <w:pStyle w:val="TableParagraph"/>
                              <w:kinsoku w:val="0"/>
                              <w:overflowPunct w:val="0"/>
                              <w:spacing w:before="40"/>
                              <w:ind w:left="0" w:right="99"/>
                              <w:jc w:val="right"/>
                              <w:rPr>
                                <w:rFonts w:ascii="Times New Roman" w:hAnsi="Times New Roman" w:cs="Times New Roman"/>
                              </w:rPr>
                            </w:pPr>
                            <w:r>
                              <w:rPr>
                                <w:sz w:val="21"/>
                                <w:szCs w:val="21"/>
                              </w:rPr>
                              <w:t>45</w:t>
                            </w:r>
                          </w:p>
                        </w:tc>
                        <w:tc>
                          <w:tcPr>
                            <w:tcW w:w="2322" w:type="dxa"/>
                            <w:tcBorders>
                              <w:top w:val="single" w:sz="2" w:space="0" w:color="000000"/>
                              <w:left w:val="nil"/>
                              <w:bottom w:val="single" w:sz="4" w:space="0" w:color="000000"/>
                              <w:right w:val="nil"/>
                            </w:tcBorders>
                          </w:tcPr>
                          <w:p w:rsidR="007B2B7B" w:rsidRDefault="007B2B7B">
                            <w:pPr>
                              <w:pStyle w:val="TableParagraph"/>
                              <w:tabs>
                                <w:tab w:val="left" w:pos="1231"/>
                              </w:tabs>
                              <w:kinsoku w:val="0"/>
                              <w:overflowPunct w:val="0"/>
                              <w:spacing w:before="30"/>
                              <w:ind w:left="0" w:right="74"/>
                              <w:jc w:val="right"/>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spacing w:val="-2"/>
                                <w:position w:val="1"/>
                                <w:sz w:val="21"/>
                                <w:szCs w:val="21"/>
                              </w:rPr>
                              <w:t>55,485.00</w:t>
                            </w:r>
                          </w:p>
                        </w:tc>
                        <w:tc>
                          <w:tcPr>
                            <w:tcW w:w="1736" w:type="dxa"/>
                            <w:gridSpan w:val="2"/>
                            <w:tcBorders>
                              <w:top w:val="nil"/>
                              <w:left w:val="nil"/>
                              <w:bottom w:val="nil"/>
                              <w:right w:val="nil"/>
                            </w:tcBorders>
                          </w:tcPr>
                          <w:p w:rsidR="007B2B7B" w:rsidRDefault="007B2B7B"/>
                        </w:tc>
                      </w:tr>
                      <w:tr w:rsidR="007B2B7B">
                        <w:trPr>
                          <w:trHeight w:hRule="exact" w:val="324"/>
                        </w:trPr>
                        <w:tc>
                          <w:tcPr>
                            <w:tcW w:w="1447" w:type="dxa"/>
                            <w:tcBorders>
                              <w:top w:val="single" w:sz="4" w:space="0" w:color="000000"/>
                              <w:left w:val="nil"/>
                              <w:bottom w:val="single" w:sz="4" w:space="0" w:color="000000"/>
                              <w:right w:val="nil"/>
                            </w:tcBorders>
                          </w:tcPr>
                          <w:p w:rsidR="007B2B7B" w:rsidRDefault="007B2B7B">
                            <w:pPr>
                              <w:pStyle w:val="TableParagraph"/>
                              <w:kinsoku w:val="0"/>
                              <w:overflowPunct w:val="0"/>
                              <w:spacing w:before="36"/>
                              <w:ind w:left="57"/>
                              <w:rPr>
                                <w:rFonts w:ascii="Times New Roman" w:hAnsi="Times New Roman" w:cs="Times New Roman"/>
                              </w:rPr>
                            </w:pPr>
                            <w:r>
                              <w:rPr>
                                <w:w w:val="105"/>
                                <w:sz w:val="21"/>
                                <w:szCs w:val="21"/>
                              </w:rPr>
                              <w:t>Person #15</w:t>
                            </w:r>
                          </w:p>
                        </w:tc>
                        <w:tc>
                          <w:tcPr>
                            <w:tcW w:w="2916" w:type="dxa"/>
                            <w:tcBorders>
                              <w:top w:val="single" w:sz="4" w:space="0" w:color="000000"/>
                              <w:left w:val="nil"/>
                              <w:bottom w:val="single" w:sz="4" w:space="0" w:color="000000"/>
                              <w:right w:val="nil"/>
                            </w:tcBorders>
                          </w:tcPr>
                          <w:p w:rsidR="007B2B7B" w:rsidRDefault="007B2B7B">
                            <w:pPr>
                              <w:pStyle w:val="TableParagraph"/>
                              <w:kinsoku w:val="0"/>
                              <w:overflowPunct w:val="0"/>
                              <w:spacing w:before="36"/>
                              <w:ind w:left="122"/>
                              <w:rPr>
                                <w:rFonts w:ascii="Times New Roman" w:hAnsi="Times New Roman" w:cs="Times New Roman"/>
                              </w:rPr>
                            </w:pPr>
                            <w:r>
                              <w:rPr>
                                <w:w w:val="105"/>
                                <w:sz w:val="21"/>
                                <w:szCs w:val="21"/>
                              </w:rPr>
                              <w:t>Men's Inn</w:t>
                            </w:r>
                          </w:p>
                        </w:tc>
                        <w:tc>
                          <w:tcPr>
                            <w:tcW w:w="1767" w:type="dxa"/>
                            <w:tcBorders>
                              <w:top w:val="single" w:sz="4" w:space="0" w:color="000000"/>
                              <w:left w:val="nil"/>
                              <w:bottom w:val="single" w:sz="4" w:space="0" w:color="000000"/>
                              <w:right w:val="nil"/>
                            </w:tcBorders>
                          </w:tcPr>
                          <w:p w:rsidR="007B2B7B" w:rsidRDefault="007B2B7B">
                            <w:pPr>
                              <w:pStyle w:val="TableParagraph"/>
                              <w:kinsoku w:val="0"/>
                              <w:overflowPunct w:val="0"/>
                              <w:spacing w:before="43"/>
                              <w:ind w:left="129"/>
                              <w:rPr>
                                <w:rFonts w:ascii="Times New Roman" w:hAnsi="Times New Roman" w:cs="Times New Roman"/>
                              </w:rPr>
                            </w:pPr>
                            <w:r>
                              <w:rPr>
                                <w:w w:val="105"/>
                                <w:sz w:val="21"/>
                                <w:szCs w:val="21"/>
                              </w:rPr>
                              <w:t>Outreach</w:t>
                            </w:r>
                          </w:p>
                        </w:tc>
                        <w:tc>
                          <w:tcPr>
                            <w:tcW w:w="1141" w:type="dxa"/>
                            <w:gridSpan w:val="2"/>
                            <w:tcBorders>
                              <w:top w:val="single" w:sz="4" w:space="0" w:color="000000"/>
                              <w:left w:val="nil"/>
                              <w:bottom w:val="single" w:sz="4" w:space="0" w:color="000000"/>
                              <w:right w:val="nil"/>
                            </w:tcBorders>
                          </w:tcPr>
                          <w:p w:rsidR="007B2B7B" w:rsidRDefault="007B2B7B">
                            <w:pPr>
                              <w:pStyle w:val="TableParagraph"/>
                              <w:kinsoku w:val="0"/>
                              <w:overflowPunct w:val="0"/>
                              <w:spacing w:before="43"/>
                              <w:ind w:left="0" w:right="92"/>
                              <w:jc w:val="right"/>
                              <w:rPr>
                                <w:rFonts w:ascii="Times New Roman" w:hAnsi="Times New Roman" w:cs="Times New Roman"/>
                              </w:rPr>
                            </w:pPr>
                            <w:r>
                              <w:rPr>
                                <w:sz w:val="21"/>
                                <w:szCs w:val="21"/>
                              </w:rPr>
                              <w:t>44</w:t>
                            </w:r>
                          </w:p>
                        </w:tc>
                        <w:tc>
                          <w:tcPr>
                            <w:tcW w:w="2322" w:type="dxa"/>
                            <w:tcBorders>
                              <w:top w:val="single" w:sz="4" w:space="0" w:color="000000"/>
                              <w:left w:val="nil"/>
                              <w:bottom w:val="single" w:sz="4" w:space="0" w:color="000000"/>
                              <w:right w:val="nil"/>
                            </w:tcBorders>
                          </w:tcPr>
                          <w:p w:rsidR="007B2B7B" w:rsidRDefault="007B2B7B">
                            <w:pPr>
                              <w:pStyle w:val="TableParagraph"/>
                              <w:tabs>
                                <w:tab w:val="left" w:pos="1231"/>
                              </w:tabs>
                              <w:kinsoku w:val="0"/>
                              <w:overflowPunct w:val="0"/>
                              <w:spacing w:before="30"/>
                              <w:ind w:left="0" w:right="98"/>
                              <w:jc w:val="right"/>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spacing w:val="-5"/>
                                <w:position w:val="1"/>
                                <w:sz w:val="21"/>
                                <w:szCs w:val="21"/>
                              </w:rPr>
                              <w:t>54,252.00</w:t>
                            </w:r>
                          </w:p>
                        </w:tc>
                        <w:tc>
                          <w:tcPr>
                            <w:tcW w:w="1736" w:type="dxa"/>
                            <w:gridSpan w:val="2"/>
                            <w:tcBorders>
                              <w:top w:val="nil"/>
                              <w:left w:val="nil"/>
                              <w:bottom w:val="nil"/>
                              <w:right w:val="nil"/>
                            </w:tcBorders>
                          </w:tcPr>
                          <w:p w:rsidR="007B2B7B" w:rsidRDefault="007B2B7B"/>
                        </w:tc>
                      </w:tr>
                      <w:tr w:rsidR="007B2B7B">
                        <w:trPr>
                          <w:trHeight w:hRule="exact" w:val="319"/>
                        </w:trPr>
                        <w:tc>
                          <w:tcPr>
                            <w:tcW w:w="1447" w:type="dxa"/>
                            <w:tcBorders>
                              <w:top w:val="single" w:sz="4" w:space="0" w:color="000000"/>
                              <w:left w:val="nil"/>
                              <w:bottom w:val="single" w:sz="2" w:space="0" w:color="000000"/>
                              <w:right w:val="nil"/>
                            </w:tcBorders>
                          </w:tcPr>
                          <w:p w:rsidR="007B2B7B" w:rsidRDefault="007B2B7B">
                            <w:pPr>
                              <w:pStyle w:val="TableParagraph"/>
                              <w:kinsoku w:val="0"/>
                              <w:overflowPunct w:val="0"/>
                              <w:spacing w:before="28"/>
                              <w:ind w:left="57"/>
                              <w:rPr>
                                <w:rFonts w:ascii="Times New Roman" w:hAnsi="Times New Roman" w:cs="Times New Roman"/>
                              </w:rPr>
                            </w:pPr>
                            <w:r>
                              <w:rPr>
                                <w:w w:val="105"/>
                                <w:sz w:val="21"/>
                                <w:szCs w:val="21"/>
                              </w:rPr>
                              <w:t>Person #16</w:t>
                            </w:r>
                          </w:p>
                        </w:tc>
                        <w:tc>
                          <w:tcPr>
                            <w:tcW w:w="2916" w:type="dxa"/>
                            <w:tcBorders>
                              <w:top w:val="single" w:sz="4" w:space="0" w:color="000000"/>
                              <w:left w:val="nil"/>
                              <w:bottom w:val="single" w:sz="2" w:space="0" w:color="000000"/>
                              <w:right w:val="nil"/>
                            </w:tcBorders>
                          </w:tcPr>
                          <w:p w:rsidR="007B2B7B" w:rsidRDefault="007B2B7B">
                            <w:pPr>
                              <w:pStyle w:val="TableParagraph"/>
                              <w:kinsoku w:val="0"/>
                              <w:overflowPunct w:val="0"/>
                              <w:spacing w:before="28"/>
                              <w:ind w:left="122"/>
                              <w:rPr>
                                <w:rFonts w:ascii="Times New Roman" w:hAnsi="Times New Roman" w:cs="Times New Roman"/>
                              </w:rPr>
                            </w:pPr>
                            <w:r>
                              <w:rPr>
                                <w:w w:val="105"/>
                                <w:sz w:val="21"/>
                                <w:szCs w:val="21"/>
                              </w:rPr>
                              <w:t>Men's Inn</w:t>
                            </w:r>
                          </w:p>
                        </w:tc>
                        <w:tc>
                          <w:tcPr>
                            <w:tcW w:w="1767" w:type="dxa"/>
                            <w:tcBorders>
                              <w:top w:val="single" w:sz="4" w:space="0" w:color="000000"/>
                              <w:left w:val="nil"/>
                              <w:bottom w:val="single" w:sz="2" w:space="0" w:color="000000"/>
                              <w:right w:val="nil"/>
                            </w:tcBorders>
                          </w:tcPr>
                          <w:p w:rsidR="007B2B7B" w:rsidRDefault="007B2B7B">
                            <w:pPr>
                              <w:pStyle w:val="TableParagraph"/>
                              <w:kinsoku w:val="0"/>
                              <w:overflowPunct w:val="0"/>
                              <w:spacing w:before="36"/>
                              <w:ind w:left="129"/>
                              <w:rPr>
                                <w:rFonts w:ascii="Times New Roman" w:hAnsi="Times New Roman" w:cs="Times New Roman"/>
                              </w:rPr>
                            </w:pPr>
                            <w:r>
                              <w:rPr>
                                <w:w w:val="105"/>
                                <w:sz w:val="21"/>
                                <w:szCs w:val="21"/>
                              </w:rPr>
                              <w:t>Outreach</w:t>
                            </w:r>
                          </w:p>
                        </w:tc>
                        <w:tc>
                          <w:tcPr>
                            <w:tcW w:w="1141" w:type="dxa"/>
                            <w:gridSpan w:val="2"/>
                            <w:tcBorders>
                              <w:top w:val="single" w:sz="4" w:space="0" w:color="000000"/>
                              <w:left w:val="nil"/>
                              <w:bottom w:val="single" w:sz="2" w:space="0" w:color="000000"/>
                              <w:right w:val="nil"/>
                            </w:tcBorders>
                          </w:tcPr>
                          <w:p w:rsidR="007B2B7B" w:rsidRDefault="007B2B7B">
                            <w:pPr>
                              <w:pStyle w:val="TableParagraph"/>
                              <w:kinsoku w:val="0"/>
                              <w:overflowPunct w:val="0"/>
                              <w:spacing w:before="36"/>
                              <w:ind w:left="0" w:right="56"/>
                              <w:jc w:val="right"/>
                              <w:rPr>
                                <w:rFonts w:ascii="Times New Roman" w:hAnsi="Times New Roman" w:cs="Times New Roman"/>
                              </w:rPr>
                            </w:pPr>
                            <w:r>
                              <w:rPr>
                                <w:w w:val="115"/>
                                <w:sz w:val="21"/>
                                <w:szCs w:val="21"/>
                              </w:rPr>
                              <w:t>41</w:t>
                            </w:r>
                          </w:p>
                        </w:tc>
                        <w:tc>
                          <w:tcPr>
                            <w:tcW w:w="2322" w:type="dxa"/>
                            <w:tcBorders>
                              <w:top w:val="single" w:sz="4" w:space="0" w:color="000000"/>
                              <w:left w:val="nil"/>
                              <w:bottom w:val="single" w:sz="2" w:space="0" w:color="000000"/>
                              <w:right w:val="nil"/>
                            </w:tcBorders>
                          </w:tcPr>
                          <w:p w:rsidR="007B2B7B" w:rsidRDefault="007B2B7B">
                            <w:pPr>
                              <w:pStyle w:val="TableParagraph"/>
                              <w:tabs>
                                <w:tab w:val="left" w:pos="1287"/>
                              </w:tabs>
                              <w:kinsoku w:val="0"/>
                              <w:overflowPunct w:val="0"/>
                              <w:spacing w:before="23"/>
                              <w:ind w:left="56"/>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spacing w:val="1"/>
                                <w:w w:val="103"/>
                                <w:position w:val="1"/>
                                <w:sz w:val="21"/>
                                <w:szCs w:val="21"/>
                              </w:rPr>
                              <w:t>5</w:t>
                            </w:r>
                            <w:r>
                              <w:rPr>
                                <w:spacing w:val="-90"/>
                                <w:w w:val="103"/>
                                <w:position w:val="1"/>
                                <w:sz w:val="21"/>
                                <w:szCs w:val="21"/>
                              </w:rPr>
                              <w:t>0</w:t>
                            </w:r>
                            <w:r>
                              <w:rPr>
                                <w:spacing w:val="-53"/>
                                <w:w w:val="103"/>
                                <w:position w:val="1"/>
                                <w:sz w:val="21"/>
                                <w:szCs w:val="21"/>
                              </w:rPr>
                              <w:t>,</w:t>
                            </w:r>
                            <w:r>
                              <w:rPr>
                                <w:spacing w:val="1"/>
                                <w:w w:val="103"/>
                                <w:position w:val="1"/>
                                <w:sz w:val="21"/>
                                <w:szCs w:val="21"/>
                              </w:rPr>
                              <w:t>553</w:t>
                            </w:r>
                            <w:r>
                              <w:rPr>
                                <w:spacing w:val="2"/>
                                <w:w w:val="103"/>
                                <w:position w:val="1"/>
                                <w:sz w:val="21"/>
                                <w:szCs w:val="21"/>
                              </w:rPr>
                              <w:t>.</w:t>
                            </w:r>
                            <w:r>
                              <w:rPr>
                                <w:spacing w:val="1"/>
                                <w:w w:val="103"/>
                                <w:position w:val="1"/>
                                <w:sz w:val="21"/>
                                <w:szCs w:val="21"/>
                              </w:rPr>
                              <w:t>00</w:t>
                            </w:r>
                          </w:p>
                        </w:tc>
                        <w:tc>
                          <w:tcPr>
                            <w:tcW w:w="1736" w:type="dxa"/>
                            <w:gridSpan w:val="2"/>
                            <w:tcBorders>
                              <w:top w:val="nil"/>
                              <w:left w:val="nil"/>
                              <w:bottom w:val="nil"/>
                              <w:right w:val="nil"/>
                            </w:tcBorders>
                          </w:tcPr>
                          <w:p w:rsidR="007B2B7B" w:rsidRDefault="007B2B7B"/>
                        </w:tc>
                      </w:tr>
                      <w:tr w:rsidR="007B2B7B">
                        <w:trPr>
                          <w:trHeight w:hRule="exact" w:val="442"/>
                        </w:trPr>
                        <w:tc>
                          <w:tcPr>
                            <w:tcW w:w="1447" w:type="dxa"/>
                            <w:tcBorders>
                              <w:top w:val="single" w:sz="2" w:space="0" w:color="000000"/>
                              <w:left w:val="nil"/>
                              <w:bottom w:val="nil"/>
                              <w:right w:val="nil"/>
                            </w:tcBorders>
                          </w:tcPr>
                          <w:p w:rsidR="007B2B7B" w:rsidRDefault="007B2B7B"/>
                        </w:tc>
                        <w:tc>
                          <w:tcPr>
                            <w:tcW w:w="4683" w:type="dxa"/>
                            <w:gridSpan w:val="2"/>
                            <w:tcBorders>
                              <w:top w:val="single" w:sz="2" w:space="0" w:color="000000"/>
                              <w:left w:val="nil"/>
                              <w:bottom w:val="nil"/>
                              <w:right w:val="nil"/>
                            </w:tcBorders>
                          </w:tcPr>
                          <w:p w:rsidR="007B2B7B" w:rsidRDefault="007B2B7B">
                            <w:pPr>
                              <w:pStyle w:val="TableParagraph"/>
                              <w:kinsoku w:val="0"/>
                              <w:overflowPunct w:val="0"/>
                              <w:spacing w:before="28"/>
                              <w:ind w:left="2556"/>
                              <w:rPr>
                                <w:rFonts w:ascii="Times New Roman" w:hAnsi="Times New Roman" w:cs="Times New Roman"/>
                              </w:rPr>
                            </w:pPr>
                            <w:r>
                              <w:rPr>
                                <w:spacing w:val="-6"/>
                                <w:w w:val="110"/>
                                <w:sz w:val="21"/>
                                <w:szCs w:val="21"/>
                              </w:rPr>
                              <w:t xml:space="preserve">Total </w:t>
                            </w:r>
                            <w:r>
                              <w:rPr>
                                <w:w w:val="110"/>
                                <w:sz w:val="21"/>
                                <w:szCs w:val="21"/>
                              </w:rPr>
                              <w:t>for 28</w:t>
                            </w:r>
                            <w:r>
                              <w:rPr>
                                <w:spacing w:val="-47"/>
                                <w:w w:val="110"/>
                                <w:sz w:val="21"/>
                                <w:szCs w:val="21"/>
                              </w:rPr>
                              <w:t xml:space="preserve"> </w:t>
                            </w:r>
                            <w:r>
                              <w:rPr>
                                <w:w w:val="110"/>
                                <w:sz w:val="21"/>
                                <w:szCs w:val="21"/>
                              </w:rPr>
                              <w:t xml:space="preserve">months/ </w:t>
                            </w:r>
                            <w:r>
                              <w:rPr>
                                <w:spacing w:val="-60"/>
                                <w:w w:val="110"/>
                                <w:sz w:val="21"/>
                                <w:szCs w:val="21"/>
                              </w:rPr>
                              <w:t>1</w:t>
                            </w:r>
                          </w:p>
                        </w:tc>
                        <w:tc>
                          <w:tcPr>
                            <w:tcW w:w="1141" w:type="dxa"/>
                            <w:gridSpan w:val="2"/>
                            <w:tcBorders>
                              <w:top w:val="single" w:sz="2" w:space="0" w:color="000000"/>
                              <w:left w:val="nil"/>
                              <w:bottom w:val="nil"/>
                              <w:right w:val="nil"/>
                            </w:tcBorders>
                          </w:tcPr>
                          <w:p w:rsidR="007B2B7B" w:rsidRDefault="007B2B7B">
                            <w:pPr>
                              <w:pStyle w:val="TableParagraph"/>
                              <w:kinsoku w:val="0"/>
                              <w:overflowPunct w:val="0"/>
                              <w:spacing w:before="28"/>
                              <w:ind w:left="-15"/>
                              <w:rPr>
                                <w:rFonts w:ascii="Times New Roman" w:hAnsi="Times New Roman" w:cs="Times New Roman"/>
                              </w:rPr>
                            </w:pPr>
                            <w:r>
                              <w:rPr>
                                <w:sz w:val="21"/>
                                <w:szCs w:val="21"/>
                              </w:rPr>
                              <w:t>6 guests   .</w:t>
                            </w:r>
                          </w:p>
                        </w:tc>
                        <w:tc>
                          <w:tcPr>
                            <w:tcW w:w="2322" w:type="dxa"/>
                            <w:tcBorders>
                              <w:top w:val="single" w:sz="2" w:space="0" w:color="000000"/>
                              <w:left w:val="nil"/>
                              <w:bottom w:val="nil"/>
                              <w:right w:val="nil"/>
                            </w:tcBorders>
                          </w:tcPr>
                          <w:p w:rsidR="007B2B7B" w:rsidRDefault="007B2B7B">
                            <w:pPr>
                              <w:pStyle w:val="TableParagraph"/>
                              <w:tabs>
                                <w:tab w:val="left" w:pos="980"/>
                              </w:tabs>
                              <w:kinsoku w:val="0"/>
                              <w:overflowPunct w:val="0"/>
                              <w:spacing w:line="280" w:lineRule="exact"/>
                              <w:ind w:left="-33" w:right="79"/>
                              <w:jc w:val="right"/>
                              <w:rPr>
                                <w:rFonts w:ascii="Times New Roman" w:hAnsi="Times New Roman" w:cs="Times New Roman"/>
                              </w:rPr>
                            </w:pPr>
                            <w:r>
                              <w:rPr>
                                <w:rFonts w:ascii="Times New Roman" w:hAnsi="Times New Roman" w:cs="Times New Roman"/>
                                <w:w w:val="105"/>
                                <w:position w:val="1"/>
                                <w:sz w:val="25"/>
                                <w:szCs w:val="25"/>
                              </w:rPr>
                              <w:t>$</w:t>
                            </w:r>
                            <w:r>
                              <w:rPr>
                                <w:rFonts w:ascii="Times New Roman" w:hAnsi="Times New Roman" w:cs="Times New Roman"/>
                                <w:w w:val="105"/>
                                <w:position w:val="1"/>
                                <w:sz w:val="25"/>
                                <w:szCs w:val="25"/>
                              </w:rPr>
                              <w:tab/>
                            </w:r>
                            <w:r>
                              <w:rPr>
                                <w:spacing w:val="-11"/>
                                <w:sz w:val="21"/>
                                <w:szCs w:val="21"/>
                              </w:rPr>
                              <w:t>1,646,0SS.OO</w:t>
                            </w:r>
                          </w:p>
                        </w:tc>
                        <w:tc>
                          <w:tcPr>
                            <w:tcW w:w="1736" w:type="dxa"/>
                            <w:gridSpan w:val="2"/>
                            <w:tcBorders>
                              <w:top w:val="nil"/>
                              <w:left w:val="nil"/>
                              <w:bottom w:val="nil"/>
                              <w:right w:val="nil"/>
                            </w:tcBorders>
                          </w:tcPr>
                          <w:p w:rsidR="007B2B7B" w:rsidRDefault="007B2B7B">
                            <w:pPr>
                              <w:pStyle w:val="TableParagraph"/>
                              <w:kinsoku w:val="0"/>
                              <w:overflowPunct w:val="0"/>
                              <w:spacing w:before="172"/>
                              <w:ind w:left="813" w:right="-16"/>
                              <w:rPr>
                                <w:rFonts w:ascii="Times New Roman" w:hAnsi="Times New Roman" w:cs="Times New Roman"/>
                              </w:rPr>
                            </w:pPr>
                            <w:r>
                              <w:rPr>
                                <w:w w:val="105"/>
                                <w:sz w:val="21"/>
                                <w:szCs w:val="21"/>
                              </w:rPr>
                              <w:t>$176,800</w:t>
                            </w:r>
                          </w:p>
                        </w:tc>
                      </w:tr>
                      <w:tr w:rsidR="007B2B7B">
                        <w:trPr>
                          <w:trHeight w:hRule="exact" w:val="425"/>
                        </w:trPr>
                        <w:tc>
                          <w:tcPr>
                            <w:tcW w:w="1447" w:type="dxa"/>
                            <w:tcBorders>
                              <w:top w:val="nil"/>
                              <w:left w:val="nil"/>
                              <w:bottom w:val="nil"/>
                              <w:right w:val="nil"/>
                            </w:tcBorders>
                          </w:tcPr>
                          <w:p w:rsidR="007B2B7B" w:rsidRDefault="007B2B7B"/>
                        </w:tc>
                        <w:tc>
                          <w:tcPr>
                            <w:tcW w:w="2916" w:type="dxa"/>
                            <w:tcBorders>
                              <w:top w:val="nil"/>
                              <w:left w:val="nil"/>
                              <w:bottom w:val="nil"/>
                              <w:right w:val="nil"/>
                            </w:tcBorders>
                          </w:tcPr>
                          <w:p w:rsidR="007B2B7B" w:rsidRDefault="007B2B7B"/>
                        </w:tc>
                        <w:tc>
                          <w:tcPr>
                            <w:tcW w:w="1767" w:type="dxa"/>
                            <w:tcBorders>
                              <w:top w:val="nil"/>
                              <w:left w:val="nil"/>
                              <w:bottom w:val="nil"/>
                              <w:right w:val="nil"/>
                            </w:tcBorders>
                          </w:tcPr>
                          <w:p w:rsidR="007B2B7B" w:rsidRDefault="007B2B7B"/>
                        </w:tc>
                        <w:tc>
                          <w:tcPr>
                            <w:tcW w:w="1141" w:type="dxa"/>
                            <w:gridSpan w:val="2"/>
                            <w:tcBorders>
                              <w:top w:val="nil"/>
                              <w:left w:val="nil"/>
                              <w:bottom w:val="nil"/>
                              <w:right w:val="nil"/>
                            </w:tcBorders>
                          </w:tcPr>
                          <w:p w:rsidR="007B2B7B" w:rsidRDefault="007B2B7B"/>
                        </w:tc>
                        <w:tc>
                          <w:tcPr>
                            <w:tcW w:w="2322" w:type="dxa"/>
                            <w:tcBorders>
                              <w:top w:val="nil"/>
                              <w:left w:val="nil"/>
                              <w:bottom w:val="nil"/>
                              <w:right w:val="nil"/>
                            </w:tcBorders>
                          </w:tcPr>
                          <w:p w:rsidR="007B2B7B" w:rsidRDefault="007B2B7B"/>
                        </w:tc>
                        <w:tc>
                          <w:tcPr>
                            <w:tcW w:w="1736" w:type="dxa"/>
                            <w:gridSpan w:val="2"/>
                            <w:tcBorders>
                              <w:top w:val="nil"/>
                              <w:left w:val="nil"/>
                              <w:bottom w:val="nil"/>
                              <w:right w:val="nil"/>
                            </w:tcBorders>
                          </w:tcPr>
                          <w:p w:rsidR="007B2B7B" w:rsidRDefault="007B2B7B">
                            <w:pPr>
                              <w:pStyle w:val="TableParagraph"/>
                              <w:kinsoku w:val="0"/>
                              <w:overflowPunct w:val="0"/>
                              <w:spacing w:line="451" w:lineRule="exact"/>
                              <w:ind w:left="1065" w:right="-16"/>
                              <w:rPr>
                                <w:rFonts w:ascii="Times New Roman" w:hAnsi="Times New Roman" w:cs="Times New Roman"/>
                              </w:rPr>
                            </w:pPr>
                            <w:r>
                              <w:rPr>
                                <w:w w:val="40"/>
                                <w:sz w:val="57"/>
                                <w:szCs w:val="57"/>
                              </w:rPr>
                              <w:t>...</w:t>
                            </w:r>
                          </w:p>
                        </w:tc>
                      </w:tr>
                    </w:tbl>
                    <w:p w:rsidR="007B2B7B" w:rsidRDefault="007B2B7B">
                      <w:pPr>
                        <w:pStyle w:val="BodyText"/>
                        <w:kinsoku w:val="0"/>
                        <w:overflowPunct w:val="0"/>
                        <w:rPr>
                          <w:rFonts w:ascii="Times New Roman" w:hAnsi="Times New Roman" w:cs="Times New Roman"/>
                          <w:sz w:val="24"/>
                          <w:szCs w:val="24"/>
                        </w:rPr>
                      </w:pPr>
                    </w:p>
                  </w:txbxContent>
                </v:textbox>
                <w10:wrap anchorx="page"/>
              </v:shape>
            </w:pict>
          </mc:Fallback>
        </mc:AlternateContent>
      </w:r>
      <w:r w:rsidR="002C5025">
        <w:rPr>
          <w:rFonts w:ascii="Arial" w:hAnsi="Arial" w:cs="Arial"/>
          <w:spacing w:val="-131"/>
          <w:w w:val="335"/>
          <w:sz w:val="143"/>
          <w:szCs w:val="143"/>
        </w:rPr>
        <w:t>I.</w:t>
      </w:r>
    </w:p>
    <w:p w:rsidR="002C5025" w:rsidRDefault="002C5025">
      <w:pPr>
        <w:pStyle w:val="BodyText"/>
        <w:kinsoku w:val="0"/>
        <w:overflowPunct w:val="0"/>
        <w:spacing w:before="79" w:line="639" w:lineRule="exact"/>
        <w:ind w:right="1611"/>
        <w:jc w:val="right"/>
        <w:rPr>
          <w:rFonts w:ascii="Arial" w:hAnsi="Arial" w:cs="Arial"/>
          <w:sz w:val="57"/>
          <w:szCs w:val="57"/>
        </w:rPr>
      </w:pPr>
      <w:bookmarkStart w:id="252" w:name="._.."/>
      <w:bookmarkEnd w:id="252"/>
      <w:proofErr w:type="spellStart"/>
      <w:r>
        <w:rPr>
          <w:rFonts w:ascii="Arial" w:hAnsi="Arial" w:cs="Arial"/>
          <w:sz w:val="57"/>
          <w:szCs w:val="57"/>
        </w:rPr>
        <w:t>tlifl</w:t>
      </w:r>
      <w:proofErr w:type="spellEnd"/>
    </w:p>
    <w:p w:rsidR="002C5025" w:rsidRDefault="002C5025">
      <w:pPr>
        <w:pStyle w:val="BodyText"/>
        <w:kinsoku w:val="0"/>
        <w:overflowPunct w:val="0"/>
        <w:spacing w:before="79" w:line="639" w:lineRule="exact"/>
        <w:ind w:right="1611"/>
        <w:jc w:val="right"/>
        <w:rPr>
          <w:rFonts w:ascii="Arial" w:hAnsi="Arial" w:cs="Arial"/>
          <w:sz w:val="57"/>
          <w:szCs w:val="57"/>
        </w:rPr>
        <w:sectPr w:rsidR="002C5025">
          <w:pgSz w:w="15840" w:h="12240" w:orient="landscape"/>
          <w:pgMar w:top="920" w:right="0" w:bottom="280" w:left="640" w:header="720" w:footer="720" w:gutter="0"/>
          <w:cols w:space="720" w:equalWidth="0">
            <w:col w:w="15200"/>
          </w:cols>
          <w:noEndnote/>
        </w:sectPr>
      </w:pPr>
    </w:p>
    <w:p w:rsidR="002C5025" w:rsidRDefault="00FB027C">
      <w:pPr>
        <w:pStyle w:val="BodyText"/>
        <w:kinsoku w:val="0"/>
        <w:overflowPunct w:val="0"/>
        <w:spacing w:line="471" w:lineRule="exact"/>
        <w:ind w:right="159"/>
        <w:jc w:val="center"/>
        <w:rPr>
          <w:rFonts w:ascii="Arial" w:hAnsi="Arial" w:cs="Arial"/>
          <w:w w:val="54"/>
          <w:sz w:val="46"/>
          <w:szCs w:val="46"/>
        </w:rPr>
      </w:pPr>
      <w:r>
        <w:rPr>
          <w:noProof/>
        </w:rPr>
        <w:lastRenderedPageBreak/>
        <mc:AlternateContent>
          <mc:Choice Requires="wpg">
            <w:drawing>
              <wp:anchor distT="0" distB="0" distL="114300" distR="114300" simplePos="0" relativeHeight="251806208" behindDoc="1" locked="0" layoutInCell="0" allowOverlap="1">
                <wp:simplePos x="0" y="0"/>
                <wp:positionH relativeFrom="page">
                  <wp:posOffset>475615</wp:posOffset>
                </wp:positionH>
                <wp:positionV relativeFrom="page">
                  <wp:posOffset>584835</wp:posOffset>
                </wp:positionV>
                <wp:extent cx="9198610" cy="6327775"/>
                <wp:effectExtent l="0" t="0" r="0" b="0"/>
                <wp:wrapNone/>
                <wp:docPr id="286" name="Group 8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98610" cy="6327775"/>
                          <a:chOff x="749" y="921"/>
                          <a:chExt cx="14486" cy="9965"/>
                        </a:xfrm>
                      </wpg:grpSpPr>
                      <pic:pic xmlns:pic="http://schemas.openxmlformats.org/drawingml/2006/picture">
                        <pic:nvPicPr>
                          <pic:cNvPr id="287" name="Picture 801"/>
                          <pic:cNvPicPr>
                            <a:picLocks noChangeAspect="1" noChangeArrowheads="1"/>
                          </pic:cNvPicPr>
                        </pic:nvPicPr>
                        <pic:blipFill>
                          <a:blip r:embed="rId563">
                            <a:extLst>
                              <a:ext uri="{28A0092B-C50C-407E-A947-70E740481C1C}">
                                <a14:useLocalDpi xmlns:a14="http://schemas.microsoft.com/office/drawing/2010/main" val="0"/>
                              </a:ext>
                            </a:extLst>
                          </a:blip>
                          <a:srcRect/>
                          <a:stretch>
                            <a:fillRect/>
                          </a:stretch>
                        </pic:blipFill>
                        <pic:spPr bwMode="auto">
                          <a:xfrm>
                            <a:off x="749" y="922"/>
                            <a:ext cx="14480" cy="1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18" name="Freeform 802"/>
                        <wps:cNvSpPr>
                          <a:spLocks/>
                        </wps:cNvSpPr>
                        <wps:spPr bwMode="auto">
                          <a:xfrm>
                            <a:off x="1973" y="2706"/>
                            <a:ext cx="20" cy="8165"/>
                          </a:xfrm>
                          <a:custGeom>
                            <a:avLst/>
                            <a:gdLst>
                              <a:gd name="T0" fmla="*/ 0 w 20"/>
                              <a:gd name="T1" fmla="*/ 8165 h 8165"/>
                              <a:gd name="T2" fmla="*/ 0 w 20"/>
                              <a:gd name="T3" fmla="*/ 0 h 8165"/>
                            </a:gdLst>
                            <a:ahLst/>
                            <a:cxnLst>
                              <a:cxn ang="0">
                                <a:pos x="T0" y="T1"/>
                              </a:cxn>
                              <a:cxn ang="0">
                                <a:pos x="T2" y="T3"/>
                              </a:cxn>
                            </a:cxnLst>
                            <a:rect l="0" t="0" r="r" b="b"/>
                            <a:pathLst>
                              <a:path w="20" h="8165">
                                <a:moveTo>
                                  <a:pt x="0" y="8165"/>
                                </a:moveTo>
                                <a:lnTo>
                                  <a:pt x="0" y="0"/>
                                </a:lnTo>
                              </a:path>
                            </a:pathLst>
                          </a:custGeom>
                          <a:noFill/>
                          <a:ln w="1371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9" name="Freeform 803"/>
                        <wps:cNvSpPr>
                          <a:spLocks/>
                        </wps:cNvSpPr>
                        <wps:spPr bwMode="auto">
                          <a:xfrm>
                            <a:off x="13391" y="2706"/>
                            <a:ext cx="20" cy="7747"/>
                          </a:xfrm>
                          <a:custGeom>
                            <a:avLst/>
                            <a:gdLst>
                              <a:gd name="T0" fmla="*/ 0 w 20"/>
                              <a:gd name="T1" fmla="*/ 7747 h 7747"/>
                              <a:gd name="T2" fmla="*/ 0 w 20"/>
                              <a:gd name="T3" fmla="*/ 0 h 7747"/>
                            </a:gdLst>
                            <a:ahLst/>
                            <a:cxnLst>
                              <a:cxn ang="0">
                                <a:pos x="T0" y="T1"/>
                              </a:cxn>
                              <a:cxn ang="0">
                                <a:pos x="T2" y="T3"/>
                              </a:cxn>
                            </a:cxnLst>
                            <a:rect l="0" t="0" r="r" b="b"/>
                            <a:pathLst>
                              <a:path w="20" h="7747">
                                <a:moveTo>
                                  <a:pt x="0" y="7747"/>
                                </a:moveTo>
                                <a:lnTo>
                                  <a:pt x="0" y="0"/>
                                </a:lnTo>
                              </a:path>
                            </a:pathLst>
                          </a:custGeom>
                          <a:noFill/>
                          <a:ln w="1371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56" name="Picture 804"/>
                          <pic:cNvPicPr>
                            <a:picLocks noChangeAspect="1" noChangeArrowheads="1"/>
                          </pic:cNvPicPr>
                        </pic:nvPicPr>
                        <pic:blipFill>
                          <a:blip r:embed="rId564">
                            <a:extLst>
                              <a:ext uri="{28A0092B-C50C-407E-A947-70E740481C1C}">
                                <a14:useLocalDpi xmlns:a14="http://schemas.microsoft.com/office/drawing/2010/main" val="0"/>
                              </a:ext>
                            </a:extLst>
                          </a:blip>
                          <a:srcRect/>
                          <a:stretch>
                            <a:fillRect/>
                          </a:stretch>
                        </pic:blipFill>
                        <pic:spPr bwMode="auto">
                          <a:xfrm>
                            <a:off x="3456" y="2909"/>
                            <a:ext cx="43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7" name="Freeform 805"/>
                        <wps:cNvSpPr>
                          <a:spLocks/>
                        </wps:cNvSpPr>
                        <wps:spPr bwMode="auto">
                          <a:xfrm>
                            <a:off x="1950" y="2956"/>
                            <a:ext cx="1505" cy="20"/>
                          </a:xfrm>
                          <a:custGeom>
                            <a:avLst/>
                            <a:gdLst>
                              <a:gd name="T0" fmla="*/ 0 w 1505"/>
                              <a:gd name="T1" fmla="*/ 0 h 20"/>
                              <a:gd name="T2" fmla="*/ 1505 w 1505"/>
                              <a:gd name="T3" fmla="*/ 0 h 20"/>
                            </a:gdLst>
                            <a:ahLst/>
                            <a:cxnLst>
                              <a:cxn ang="0">
                                <a:pos x="T0" y="T1"/>
                              </a:cxn>
                              <a:cxn ang="0">
                                <a:pos x="T2" y="T3"/>
                              </a:cxn>
                            </a:cxnLst>
                            <a:rect l="0" t="0" r="r" b="b"/>
                            <a:pathLst>
                              <a:path w="1505" h="20">
                                <a:moveTo>
                                  <a:pt x="0" y="0"/>
                                </a:moveTo>
                                <a:lnTo>
                                  <a:pt x="1505"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 name="Freeform 806"/>
                        <wps:cNvSpPr>
                          <a:spLocks/>
                        </wps:cNvSpPr>
                        <wps:spPr bwMode="auto">
                          <a:xfrm>
                            <a:off x="4522" y="2905"/>
                            <a:ext cx="8870" cy="20"/>
                          </a:xfrm>
                          <a:custGeom>
                            <a:avLst/>
                            <a:gdLst>
                              <a:gd name="T0" fmla="*/ 0 w 8870"/>
                              <a:gd name="T1" fmla="*/ 0 h 20"/>
                              <a:gd name="T2" fmla="*/ 8870 w 8870"/>
                              <a:gd name="T3" fmla="*/ 0 h 20"/>
                            </a:gdLst>
                            <a:ahLst/>
                            <a:cxnLst>
                              <a:cxn ang="0">
                                <a:pos x="T0" y="T1"/>
                              </a:cxn>
                              <a:cxn ang="0">
                                <a:pos x="T2" y="T3"/>
                              </a:cxn>
                            </a:cxnLst>
                            <a:rect l="0" t="0" r="r" b="b"/>
                            <a:pathLst>
                              <a:path w="8870" h="20">
                                <a:moveTo>
                                  <a:pt x="0" y="0"/>
                                </a:moveTo>
                                <a:lnTo>
                                  <a:pt x="887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 name="Freeform 807"/>
                        <wps:cNvSpPr>
                          <a:spLocks/>
                        </wps:cNvSpPr>
                        <wps:spPr bwMode="auto">
                          <a:xfrm>
                            <a:off x="11628" y="2893"/>
                            <a:ext cx="20" cy="7877"/>
                          </a:xfrm>
                          <a:custGeom>
                            <a:avLst/>
                            <a:gdLst>
                              <a:gd name="T0" fmla="*/ 0 w 20"/>
                              <a:gd name="T1" fmla="*/ 7877 h 7877"/>
                              <a:gd name="T2" fmla="*/ 0 w 20"/>
                              <a:gd name="T3" fmla="*/ 0 h 7877"/>
                            </a:gdLst>
                            <a:ahLst/>
                            <a:cxnLst>
                              <a:cxn ang="0">
                                <a:pos x="T0" y="T1"/>
                              </a:cxn>
                              <a:cxn ang="0">
                                <a:pos x="T2" y="T3"/>
                              </a:cxn>
                            </a:cxnLst>
                            <a:rect l="0" t="0" r="r" b="b"/>
                            <a:pathLst>
                              <a:path w="20" h="7877">
                                <a:moveTo>
                                  <a:pt x="0" y="7877"/>
                                </a:moveTo>
                                <a:lnTo>
                                  <a:pt x="0"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 name="Freeform 808"/>
                        <wps:cNvSpPr>
                          <a:spLocks/>
                        </wps:cNvSpPr>
                        <wps:spPr bwMode="auto">
                          <a:xfrm>
                            <a:off x="7920" y="4132"/>
                            <a:ext cx="5479" cy="20"/>
                          </a:xfrm>
                          <a:custGeom>
                            <a:avLst/>
                            <a:gdLst>
                              <a:gd name="T0" fmla="*/ 0 w 5479"/>
                              <a:gd name="T1" fmla="*/ 0 h 20"/>
                              <a:gd name="T2" fmla="*/ 5479 w 5479"/>
                              <a:gd name="T3" fmla="*/ 0 h 20"/>
                            </a:gdLst>
                            <a:ahLst/>
                            <a:cxnLst>
                              <a:cxn ang="0">
                                <a:pos x="T0" y="T1"/>
                              </a:cxn>
                              <a:cxn ang="0">
                                <a:pos x="T2" y="T3"/>
                              </a:cxn>
                            </a:cxnLst>
                            <a:rect l="0" t="0" r="r" b="b"/>
                            <a:pathLst>
                              <a:path w="5479" h="20">
                                <a:moveTo>
                                  <a:pt x="0" y="0"/>
                                </a:moveTo>
                                <a:lnTo>
                                  <a:pt x="5479"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1" name="Freeform 809"/>
                        <wps:cNvSpPr>
                          <a:spLocks/>
                        </wps:cNvSpPr>
                        <wps:spPr bwMode="auto">
                          <a:xfrm>
                            <a:off x="9172" y="10004"/>
                            <a:ext cx="4233" cy="20"/>
                          </a:xfrm>
                          <a:custGeom>
                            <a:avLst/>
                            <a:gdLst>
                              <a:gd name="T0" fmla="*/ 0 w 4233"/>
                              <a:gd name="T1" fmla="*/ 0 h 20"/>
                              <a:gd name="T2" fmla="*/ 4233 w 4233"/>
                              <a:gd name="T3" fmla="*/ 0 h 20"/>
                            </a:gdLst>
                            <a:ahLst/>
                            <a:cxnLst>
                              <a:cxn ang="0">
                                <a:pos x="T0" y="T1"/>
                              </a:cxn>
                              <a:cxn ang="0">
                                <a:pos x="T2" y="T3"/>
                              </a:cxn>
                            </a:cxnLst>
                            <a:rect l="0" t="0" r="r" b="b"/>
                            <a:pathLst>
                              <a:path w="4233" h="20">
                                <a:moveTo>
                                  <a:pt x="0" y="0"/>
                                </a:moveTo>
                                <a:lnTo>
                                  <a:pt x="423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 name="Freeform 810"/>
                        <wps:cNvSpPr>
                          <a:spLocks/>
                        </wps:cNvSpPr>
                        <wps:spPr bwMode="auto">
                          <a:xfrm>
                            <a:off x="9172" y="10429"/>
                            <a:ext cx="4233" cy="20"/>
                          </a:xfrm>
                          <a:custGeom>
                            <a:avLst/>
                            <a:gdLst>
                              <a:gd name="T0" fmla="*/ 0 w 4233"/>
                              <a:gd name="T1" fmla="*/ 0 h 20"/>
                              <a:gd name="T2" fmla="*/ 4233 w 4233"/>
                              <a:gd name="T3" fmla="*/ 0 h 20"/>
                            </a:gdLst>
                            <a:ahLst/>
                            <a:cxnLst>
                              <a:cxn ang="0">
                                <a:pos x="T0" y="T1"/>
                              </a:cxn>
                              <a:cxn ang="0">
                                <a:pos x="T2" y="T3"/>
                              </a:cxn>
                            </a:cxnLst>
                            <a:rect l="0" t="0" r="r" b="b"/>
                            <a:pathLst>
                              <a:path w="4233" h="20">
                                <a:moveTo>
                                  <a:pt x="0" y="0"/>
                                </a:moveTo>
                                <a:lnTo>
                                  <a:pt x="423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 name="Freeform 811"/>
                        <wps:cNvSpPr>
                          <a:spLocks/>
                        </wps:cNvSpPr>
                        <wps:spPr bwMode="auto">
                          <a:xfrm>
                            <a:off x="3477" y="3383"/>
                            <a:ext cx="2916" cy="20"/>
                          </a:xfrm>
                          <a:custGeom>
                            <a:avLst/>
                            <a:gdLst>
                              <a:gd name="T0" fmla="*/ 0 w 2916"/>
                              <a:gd name="T1" fmla="*/ 0 h 20"/>
                              <a:gd name="T2" fmla="*/ 2916 w 2916"/>
                              <a:gd name="T3" fmla="*/ 0 h 20"/>
                            </a:gdLst>
                            <a:ahLst/>
                            <a:cxnLst>
                              <a:cxn ang="0">
                                <a:pos x="T0" y="T1"/>
                              </a:cxn>
                              <a:cxn ang="0">
                                <a:pos x="T2" y="T3"/>
                              </a:cxn>
                            </a:cxnLst>
                            <a:rect l="0" t="0" r="r" b="b"/>
                            <a:pathLst>
                              <a:path w="2916" h="20">
                                <a:moveTo>
                                  <a:pt x="0" y="0"/>
                                </a:moveTo>
                                <a:lnTo>
                                  <a:pt x="2916" y="0"/>
                                </a:lnTo>
                              </a:path>
                            </a:pathLst>
                          </a:custGeom>
                          <a:noFill/>
                          <a:ln w="457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 name="Freeform 812"/>
                        <wps:cNvSpPr>
                          <a:spLocks/>
                        </wps:cNvSpPr>
                        <wps:spPr bwMode="auto">
                          <a:xfrm>
                            <a:off x="6250" y="3383"/>
                            <a:ext cx="1512" cy="20"/>
                          </a:xfrm>
                          <a:custGeom>
                            <a:avLst/>
                            <a:gdLst>
                              <a:gd name="T0" fmla="*/ 0 w 1512"/>
                              <a:gd name="T1" fmla="*/ 0 h 20"/>
                              <a:gd name="T2" fmla="*/ 1512 w 1512"/>
                              <a:gd name="T3" fmla="*/ 0 h 20"/>
                            </a:gdLst>
                            <a:ahLst/>
                            <a:cxnLst>
                              <a:cxn ang="0">
                                <a:pos x="T0" y="T1"/>
                              </a:cxn>
                              <a:cxn ang="0">
                                <a:pos x="T2" y="T3"/>
                              </a:cxn>
                            </a:cxnLst>
                            <a:rect l="0" t="0" r="r" b="b"/>
                            <a:pathLst>
                              <a:path w="1512" h="20">
                                <a:moveTo>
                                  <a:pt x="0" y="0"/>
                                </a:moveTo>
                                <a:lnTo>
                                  <a:pt x="1512" y="0"/>
                                </a:lnTo>
                              </a:path>
                            </a:pathLst>
                          </a:custGeom>
                          <a:noFill/>
                          <a:ln w="228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 name="Freeform 813"/>
                        <wps:cNvSpPr>
                          <a:spLocks/>
                        </wps:cNvSpPr>
                        <wps:spPr bwMode="auto">
                          <a:xfrm>
                            <a:off x="9172" y="2901"/>
                            <a:ext cx="20" cy="7977"/>
                          </a:xfrm>
                          <a:custGeom>
                            <a:avLst/>
                            <a:gdLst>
                              <a:gd name="T0" fmla="*/ 0 w 20"/>
                              <a:gd name="T1" fmla="*/ 7977 h 7977"/>
                              <a:gd name="T2" fmla="*/ 0 w 20"/>
                              <a:gd name="T3" fmla="*/ 0 h 7977"/>
                            </a:gdLst>
                            <a:ahLst/>
                            <a:cxnLst>
                              <a:cxn ang="0">
                                <a:pos x="T0" y="T1"/>
                              </a:cxn>
                              <a:cxn ang="0">
                                <a:pos x="T2" y="T3"/>
                              </a:cxn>
                            </a:cxnLst>
                            <a:rect l="0" t="0" r="r" b="b"/>
                            <a:pathLst>
                              <a:path w="20" h="7977">
                                <a:moveTo>
                                  <a:pt x="0" y="7977"/>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 name="Freeform 814"/>
                        <wps:cNvSpPr>
                          <a:spLocks/>
                        </wps:cNvSpPr>
                        <wps:spPr bwMode="auto">
                          <a:xfrm>
                            <a:off x="9144" y="8257"/>
                            <a:ext cx="20" cy="641"/>
                          </a:xfrm>
                          <a:custGeom>
                            <a:avLst/>
                            <a:gdLst>
                              <a:gd name="T0" fmla="*/ 0 w 20"/>
                              <a:gd name="T1" fmla="*/ 641 h 641"/>
                              <a:gd name="T2" fmla="*/ 0 w 20"/>
                              <a:gd name="T3" fmla="*/ 0 h 641"/>
                            </a:gdLst>
                            <a:ahLst/>
                            <a:cxnLst>
                              <a:cxn ang="0">
                                <a:pos x="T0" y="T1"/>
                              </a:cxn>
                              <a:cxn ang="0">
                                <a:pos x="T2" y="T3"/>
                              </a:cxn>
                            </a:cxnLst>
                            <a:rect l="0" t="0" r="r" b="b"/>
                            <a:pathLst>
                              <a:path w="20" h="641">
                                <a:moveTo>
                                  <a:pt x="0" y="641"/>
                                </a:moveTo>
                                <a:lnTo>
                                  <a:pt x="0"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 name="Freeform 815"/>
                        <wps:cNvSpPr>
                          <a:spLocks/>
                        </wps:cNvSpPr>
                        <wps:spPr bwMode="auto">
                          <a:xfrm>
                            <a:off x="9112" y="9014"/>
                            <a:ext cx="20" cy="159"/>
                          </a:xfrm>
                          <a:custGeom>
                            <a:avLst/>
                            <a:gdLst>
                              <a:gd name="T0" fmla="*/ 0 w 20"/>
                              <a:gd name="T1" fmla="*/ 158 h 159"/>
                              <a:gd name="T2" fmla="*/ 0 w 20"/>
                              <a:gd name="T3" fmla="*/ 0 h 159"/>
                            </a:gdLst>
                            <a:ahLst/>
                            <a:cxnLst>
                              <a:cxn ang="0">
                                <a:pos x="T0" y="T1"/>
                              </a:cxn>
                              <a:cxn ang="0">
                                <a:pos x="T2" y="T3"/>
                              </a:cxn>
                            </a:cxnLst>
                            <a:rect l="0" t="0" r="r" b="b"/>
                            <a:pathLst>
                              <a:path w="20" h="159">
                                <a:moveTo>
                                  <a:pt x="0" y="158"/>
                                </a:moveTo>
                                <a:lnTo>
                                  <a:pt x="0"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8" name="Freeform 816"/>
                        <wps:cNvSpPr>
                          <a:spLocks/>
                        </wps:cNvSpPr>
                        <wps:spPr bwMode="auto">
                          <a:xfrm>
                            <a:off x="9144" y="9215"/>
                            <a:ext cx="20" cy="331"/>
                          </a:xfrm>
                          <a:custGeom>
                            <a:avLst/>
                            <a:gdLst>
                              <a:gd name="T0" fmla="*/ 0 w 20"/>
                              <a:gd name="T1" fmla="*/ 331 h 331"/>
                              <a:gd name="T2" fmla="*/ 0 w 20"/>
                              <a:gd name="T3" fmla="*/ 0 h 331"/>
                            </a:gdLst>
                            <a:ahLst/>
                            <a:cxnLst>
                              <a:cxn ang="0">
                                <a:pos x="T0" y="T1"/>
                              </a:cxn>
                              <a:cxn ang="0">
                                <a:pos x="T2" y="T3"/>
                              </a:cxn>
                            </a:cxnLst>
                            <a:rect l="0" t="0" r="r" b="b"/>
                            <a:pathLst>
                              <a:path w="20" h="331">
                                <a:moveTo>
                                  <a:pt x="0" y="331"/>
                                </a:moveTo>
                                <a:lnTo>
                                  <a:pt x="0"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69" name="Picture 817"/>
                          <pic:cNvPicPr>
                            <a:picLocks noChangeAspect="1" noChangeArrowheads="1"/>
                          </pic:cNvPicPr>
                        </pic:nvPicPr>
                        <pic:blipFill>
                          <a:blip r:embed="rId565">
                            <a:extLst>
                              <a:ext uri="{28A0092B-C50C-407E-A947-70E740481C1C}">
                                <a14:useLocalDpi xmlns:a14="http://schemas.microsoft.com/office/drawing/2010/main" val="0"/>
                              </a:ext>
                            </a:extLst>
                          </a:blip>
                          <a:srcRect/>
                          <a:stretch>
                            <a:fillRect/>
                          </a:stretch>
                        </pic:blipFill>
                        <pic:spPr bwMode="auto">
                          <a:xfrm>
                            <a:off x="3456" y="3658"/>
                            <a:ext cx="4320"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800" o:spid="_x0000_s1026" style="position:absolute;margin-left:37.45pt;margin-top:46.05pt;width:724.3pt;height:498.25pt;z-index:-251510272;mso-position-horizontal-relative:page;mso-position-vertical-relative:page" coordorigin="749,921" coordsize="14486,99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" o:allowincell="f">
                <v:shape id="Picture 801" o:spid="_x0000_s1027" type="#_x0000_t75" style="position:absolute;left:749;top:922;width:14480;height:18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Q5j7EAAAA3AAAAA8AAABkcnMvZG93bnJldi54bWxEj0GLwjAUhO8L/ofwhL2tqSKuVqOIKOtN&#10;dAU9PppnW21eShK1+uuNsLDHYWa+YSazxlTiRs6XlhV0OwkI4szqknMF+9/V1xCED8gaK8uk4EEe&#10;ZtPWxwRTbe+8pdsu5CJC2KeooAihTqX0WUEGfcfWxNE7WWcwROlyqR3eI9xUspckA2mw5LhQYE2L&#10;grLL7moUlI/R+qdv9ub43Ibz5blJ3GG1VOqz3czHIAI14T/8115rBb3hN7zPxCMgpy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9Q5j7EAAAA3AAAAA8AAAAAAAAAAAAAAAAA&#10;nwIAAGRycy9kb3ducmV2LnhtbFBLBQYAAAAABAAEAPcAAACQAwAAAAA=&#10;">
                  <v:imagedata r:id="rId566" o:title=""/>
                </v:shape>
                <v:shape id="Freeform 802" o:spid="_x0000_s1028" style="position:absolute;left:1973;top:2706;width:20;height:8165;visibility:visible;mso-wrap-style:square;v-text-anchor:top" coordsize="20,8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Wn28MA&#10;AADbAAAADwAAAGRycy9kb3ducmV2LnhtbESPS2sCMRSF9wX/Q7iCm6KZ0SI6GkUsheKm+Fi4vEyu&#10;k8HJzZCkOv77piC4PJzHx1muO9uIG/lQO1aQjzIQxKXTNVcKTsev4QxEiMgaG8ek4EEB1qve2xIL&#10;7e68p9shViKNcChQgYmxLaQMpSGLYeRa4uRdnLcYk/SV1B7vadw2cpxlU2mx5kQw2NLWUHk9/NrE&#10;9T+n3JvtOZx383n7/sCP/HOn1KDfbRYgInXxFX62v7WCyQT+v6Qf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XWn28MAAADbAAAADwAAAAAAAAAAAAAAAACYAgAAZHJzL2Rv&#10;d25yZXYueG1sUEsFBgAAAAAEAAQA9QAAAIgDAAAAAA==&#10;" path="m,8165l,e" filled="f" strokeweight="1.08pt">
                  <v:path arrowok="t" o:connecttype="custom" o:connectlocs="0,8165;0,0" o:connectangles="0,0"/>
                </v:shape>
                <v:shape id="Freeform 803" o:spid="_x0000_s1029" style="position:absolute;left:13391;top:2706;width:20;height:7747;visibility:visible;mso-wrap-style:square;v-text-anchor:top" coordsize="20,77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jLuMQA&#10;AADbAAAADwAAAGRycy9kb3ducmV2LnhtbESPW2sCMRSE34X+h3AKvhTN1mu7GkW2FHwQvBX6etgc&#10;d5cmJ8sm6vrvjVDwcZiZb5j5srVGXKjxlWMF7/0EBHHudMWFgp/jd+8DhA/IGo1jUnAjD8vFS2eO&#10;qXZX3tPlEAoRIexTVFCGUKdS+rwki77vauLonVxjMUTZFFI3eI1wa+QgSSbSYsVxocSaspLyv8PZ&#10;KjCjevf5lb39bm9TbYZht8kK7ZXqvrarGYhAbXiG/9trrWA4hseX+AP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Iy7jEAAAA2wAAAA8AAAAAAAAAAAAAAAAAmAIAAGRycy9k&#10;b3ducmV2LnhtbFBLBQYAAAAABAAEAPUAAACJAwAAAAA=&#10;" path="m,7747l,e" filled="f" strokeweight="1.08pt">
                  <v:path arrowok="t" o:connecttype="custom" o:connectlocs="0,7747;0,0" o:connectangles="0,0"/>
                </v:shape>
                <v:shape id="Picture 804" o:spid="_x0000_s1030" type="#_x0000_t75" style="position:absolute;left:3456;top:2909;width:4320;height:5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padRbCAAAA2wAAAA8AAABkcnMvZG93bnJldi54bWxET8tqAjEU3Rf6D+EK7mrGyhQZjVJaLQVX&#10;PmhdXia3k2knN0MSx9GvN4uCy8N5z5e9bURHPtSOFYxHGQji0umaKwWH/fppCiJEZI2NY1JwoQDL&#10;xePDHAvtzrylbhcrkUI4FKjAxNgWUobSkMUwci1x4n6ctxgT9JXUHs8p3DbyOctepMWaU4PBlt4M&#10;lX+7k1Vw7TLj3/PDZvWb1/kqHPuP76+tUsNB/zoDEamPd/G/+1MrmKSx6Uv6AXJx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6WnUWwgAAANsAAAAPAAAAAAAAAAAAAAAAAJ8C&#10;AABkcnMvZG93bnJldi54bWxQSwUGAAAAAAQABAD3AAAAjgMAAAAA&#10;">
                  <v:imagedata r:id="rId567" o:title=""/>
                </v:shape>
                <v:shape id="Freeform 805" o:spid="_x0000_s1031" style="position:absolute;left:1950;top:2956;width:1505;height:20;visibility:visible;mso-wrap-style:square;v-text-anchor:top" coordsize="1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axacEA&#10;AADbAAAADwAAAGRycy9kb3ducmV2LnhtbERP3WrCMBS+F3yHcITdaeoYY1ajOMewThD/HuDQHNtq&#10;c1KaqNnbmwvBy4/vfzILphY3al1lWcFwkIAgzq2uuFBwPPz2v0A4j6yxtkwK/snBbNrtTDDV9s47&#10;uu19IWIIuxQVlN43qZQuL8mgG9iGOHIn2xr0EbaF1C3eY7ip5XuSfEqDFceGEhtalJRf9lej4Hyc&#10;j1bffz+bLBsuF9vchmq9C0q99cJ8DMJT8C/x051pBR9xffwSf4Cc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msWnBAAAA2wAAAA8AAAAAAAAAAAAAAAAAmAIAAGRycy9kb3du&#10;cmV2LnhtbFBLBQYAAAAABAAEAPUAAACGAwAAAAA=&#10;" path="m,l1505,e" filled="f" strokeweight=".72pt">
                  <v:path arrowok="t" o:connecttype="custom" o:connectlocs="0,0;1505,0" o:connectangles="0,0"/>
                </v:shape>
                <v:shape id="Freeform 806" o:spid="_x0000_s1032" style="position:absolute;left:4522;top:2905;width:8870;height:20;visibility:visible;mso-wrap-style:square;v-text-anchor:top" coordsize="887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EW8sEA&#10;AADbAAAADwAAAGRycy9kb3ducmV2LnhtbESPQYvCMBSE74L/ITxhb5oqIto1iuwqq0frHvb4aN42&#10;1ealNLHWf28EweMwM98wy3VnK9FS40vHCsajBARx7nTJhYLf0244B+EDssbKMSm4k4f1qt9bYqrd&#10;jY/UZqEQEcI+RQUmhDqV0ueGLPqRq4mj9+8aiyHKppC6wVuE20pOkmQmLZYcFwzW9GUov2RXq0C3&#10;h61ZXPPzT8R/n91muphc/pT6GHSbTxCBuvAOv9p7rWA6hueX+APk6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JBFvLBAAAA2wAAAA8AAAAAAAAAAAAAAAAAmAIAAGRycy9kb3du&#10;cmV2LnhtbFBLBQYAAAAABAAEAPUAAACGAwAAAAA=&#10;" path="m,l8870,e" filled="f" strokeweight=".72pt">
                  <v:path arrowok="t" o:connecttype="custom" o:connectlocs="0,0;8870,0" o:connectangles="0,0"/>
                </v:shape>
                <v:shape id="Freeform 807" o:spid="_x0000_s1033" style="position:absolute;left:11628;top:2893;width:20;height:7877;visibility:visible;mso-wrap-style:square;v-text-anchor:top" coordsize="20,7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FTO8QA&#10;AADbAAAADwAAAGRycy9kb3ducmV2LnhtbESPW2sCMRSE3wX/QzhC3zTbWi9sjVIEQSoFb2AfD5vj&#10;ZunmZElSXf+9KQg+DjPzDTNbtLYWF/KhcqzgdZCBIC6crrhUcDys+lMQISJrrB2TghsFWMy7nRnm&#10;2l15R5d9LEWCcMhRgYmxyaUMhSGLYeAa4uSdnbcYk/Sl1B6vCW5r+ZZlY2mx4rRgsKGloeJ3/2cV&#10;fJnv0+68lj+b0XB4m462ZjvxrVIvvfbzA0SkNj7Dj/ZaK3gfw/+X9AP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xUzvEAAAA2wAAAA8AAAAAAAAAAAAAAAAAmAIAAGRycy9k&#10;b3ducmV2LnhtbFBLBQYAAAAABAAEAPUAAACJAwAAAAA=&#10;" path="m,7877l,e" filled="f" strokeweight=".36pt">
                  <v:path arrowok="t" o:connecttype="custom" o:connectlocs="0,7877;0,0" o:connectangles="0,0"/>
                </v:shape>
                <v:shape id="Freeform 808" o:spid="_x0000_s1034" style="position:absolute;left:7920;top:4132;width:5479;height:20;visibility:visible;mso-wrap-style:square;v-text-anchor:top" coordsize="547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OFuccA&#10;AADbAAAADwAAAGRycy9kb3ducmV2LnhtbESPQUsDMRSE70L/Q3hCL9JmLWJl27SoWFBLwW176PGx&#10;eW6Wbl7WJN2u/nojFDwOM/MNM1/2thEd+VA7VnA7zkAQl07XXCnY71ajBxAhImtsHJOCbwqwXAyu&#10;5phrd+aCum2sRIJwyFGBibHNpQylIYth7Fri5H06bzEm6SupPZ4T3DZykmX30mLNacFgS8+GyuP2&#10;ZBX8TIv1pvD248u8PZX7m3d/eOm8UsPr/nEGIlIf/8OX9qtWcDeFvy/pB8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nzhbnHAAAA2wAAAA8AAAAAAAAAAAAAAAAAmAIAAGRy&#10;cy9kb3ducmV2LnhtbFBLBQYAAAAABAAEAPUAAACMAwAAAAA=&#10;" path="m,l5479,e" filled="f" strokeweight=".72pt">
                  <v:path arrowok="t" o:connecttype="custom" o:connectlocs="0,0;5479,0" o:connectangles="0,0"/>
                </v:shape>
                <v:shape id="Freeform 809" o:spid="_x0000_s1035" style="position:absolute;left:9172;top:10004;width:4233;height:20;visibility:visible;mso-wrap-style:square;v-text-anchor:top" coordsize="423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0NuMQA&#10;AADbAAAADwAAAGRycy9kb3ducmV2LnhtbESPQWvCQBSE70L/w/IKvemmpUgS3YQgFIqXUm1pj4/s&#10;M4lm34bdbYz/visIHoeZ+YZZl5PpxUjOd5YVPC8SEMS11R03Cr72b/MUhA/IGnvLpOBCHsriYbbG&#10;XNszf9K4C42IEPY5KmhDGHIpfd2SQb+wA3H0DtYZDFG6RmqH5wg3vXxJkqU02HFcaHGgTUv1afdn&#10;FCy/U3f8ldXPUF82WVrhx9ZsR6WeHqdqBSLQFO7hW/tdK3jN4Pol/gBZ/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dDbjEAAAA2wAAAA8AAAAAAAAAAAAAAAAAmAIAAGRycy9k&#10;b3ducmV2LnhtbFBLBQYAAAAABAAEAPUAAACJAwAAAAA=&#10;" path="m,l4233,e" filled="f" strokeweight=".72pt">
                  <v:path arrowok="t" o:connecttype="custom" o:connectlocs="0,0;4233,0" o:connectangles="0,0"/>
                </v:shape>
                <v:shape id="Freeform 810" o:spid="_x0000_s1036" style="position:absolute;left:9172;top:10429;width:4233;height:20;visibility:visible;mso-wrap-style:square;v-text-anchor:top" coordsize="423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4y+MEA&#10;AADbAAAADwAAAGRycy9kb3ducmV2LnhtbERPyWrDMBC9F/oPYgq51XIKCa5rJZhAoeRSmoX2OFgT&#10;24k1MpLq5e+rQyHHx9uL7WQ6MZDzrWUFyyQFQVxZ3XKt4HR8f85A+ICssbNMCmbysN08PhSYazvy&#10;Fw2HUIsYwj5HBU0IfS6lrxoy6BPbE0fuYp3BEKGrpXY4xnDTyZc0XUuDLceGBnvaNVTdDr9Gwfqc&#10;ueuPLL/7at69ZiV+7s1+UGrxNJVvIAJN4S7+d39oBau4Pn6JP0B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U+MvjBAAAA2wAAAA8AAAAAAAAAAAAAAAAAmAIAAGRycy9kb3du&#10;cmV2LnhtbFBLBQYAAAAABAAEAPUAAACGAwAAAAA=&#10;" path="m,l4233,e" filled="f" strokeweight=".72pt">
                  <v:path arrowok="t" o:connecttype="custom" o:connectlocs="0,0;4233,0" o:connectangles="0,0"/>
                </v:shape>
                <v:shape id="Freeform 811" o:spid="_x0000_s1037" style="position:absolute;left:3477;top:3383;width:2916;height:20;visibility:visible;mso-wrap-style:square;v-text-anchor:top" coordsize="291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3zx8AA&#10;AADbAAAADwAAAGRycy9kb3ducmV2LnhtbDxPS2rDMBDdF3oHMYXuGtmBJK0b2RRTQxZZ1G4PMLXG&#10;H2qNjKXEzu2jQMny8f77bDGDONPkessK4lUEgri2uudWwc938fIKwnlkjYNlUnAhB1n6+LDHRNuZ&#10;SzpXvhUhhF2CCjrvx0RKV3dk0K3sSBy4xk4GfYBTK/WEcwg3g1xH0VYa7Dk0dDhS3lH9V52MguLr&#10;yGVY1Lx97mai5rffLD5X6vlp+XgH4Smgu/jffdAKNjHcvoQfINMr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N3zx8AAAADbAAAADwAAAAAAAAAAAAAAAACYAgAAZHJzL2Rvd25y&#10;ZXYueG1sUEsFBgAAAAAEAAQA9QAAAIUDAAAAAA==&#10;" path="m,l2916,e" filled="f" strokeweight="3.6pt">
                  <v:path arrowok="t" o:connecttype="custom" o:connectlocs="0,0;2916,0" o:connectangles="0,0"/>
                </v:shape>
                <v:shape id="Freeform 812" o:spid="_x0000_s1038" style="position:absolute;left:6250;top:3383;width:1512;height:20;visibility:visible;mso-wrap-style:square;v-text-anchor:top" coordsize="151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57UsQA&#10;AADbAAAADwAAAGRycy9kb3ducmV2LnhtbESPQWsCMRSE74L/ITyhN81W1MpqFClUpPSiLfX62Dyz&#10;SzcvaxJ111/fFAoeh5n5hlmuW1uLK/lQOVbwPMpAEBdOV2wUfH2+DecgQkTWWDsmBR0FWK/6vSXm&#10;2t14T9dDNCJBOOSooIyxyaUMRUkWw8g1xMk7OW8xJumN1B5vCW5rOc6ymbRYcVoosaHXkoqfw8Uq&#10;yL7ttpvtJ0afu93dH832/ePFKvU0aDcLEJHa+Aj/t3dawXQMf1/SD5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ee1LEAAAA2wAAAA8AAAAAAAAAAAAAAAAAmAIAAGRycy9k&#10;b3ducmV2LnhtbFBLBQYAAAAABAAEAPUAAACJAwAAAAA=&#10;" path="m,l1512,e" filled="f" strokeweight="1.8pt">
                  <v:path arrowok="t" o:connecttype="custom" o:connectlocs="0,0;1512,0" o:connectangles="0,0"/>
                </v:shape>
                <v:shape id="Freeform 813" o:spid="_x0000_s1039" style="position:absolute;left:9172;top:2901;width:20;height:7977;visibility:visible;mso-wrap-style:square;v-text-anchor:top" coordsize="20,7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EAl8UA&#10;AADbAAAADwAAAGRycy9kb3ducmV2LnhtbESPT2sCMRTE7wW/Q3iCt5pVWytbo/gHoZeCrj30+Ng8&#10;d4OblyXJ6vbbN4WCx2FmfsMs171txI18MI4VTMYZCOLSacOVgq/z4XkBIkRkjY1jUvBDAdarwdMS&#10;c+3ufKJbESuRIBxyVFDH2OZShrImi2HsWuLkXZy3GJP0ldQe7wluGznNsrm0aDgt1NjSrqbyWnRW&#10;wcK0u+Ox+MxMN9928m364g/7b6VGw37zDiJSHx/h//aHVvA6g78v6Qf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sQCXxQAAANsAAAAPAAAAAAAAAAAAAAAAAJgCAABkcnMv&#10;ZG93bnJldi54bWxQSwUGAAAAAAQABAD1AAAAigMAAAAA&#10;" path="m,7977l,e" filled="f" strokeweight=".72pt">
                  <v:path arrowok="t" o:connecttype="custom" o:connectlocs="0,7977;0,0" o:connectangles="0,0"/>
                </v:shape>
                <v:shape id="Freeform 814" o:spid="_x0000_s1040" style="position:absolute;left:9144;top:8257;width:20;height:641;visibility:visible;mso-wrap-style:square;v-text-anchor:top" coordsize="20,6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jbcIA&#10;AADbAAAADwAAAGRycy9kb3ducmV2LnhtbESPQYvCMBSE78L+h/AW9qap0tWlGkUEQQ8q1r14ezTP&#10;pti8lCar9d+bBcHjMDPfMLNFZ2txo9ZXjhUMBwkI4sLpiksFv6d1/weED8gaa8ek4EEeFvOP3gwz&#10;7e58pFseShEh7DNUYEJoMil9YciiH7iGOHoX11oMUbal1C3eI9zWcpQkY2mx4rhgsKGVoeKa/1kF&#10;O73nc7VK04k5bQ5nlFs+jBqlvj675RREoC68w6/2Riv4TuH/S/wBcv4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ciNtwgAAANsAAAAPAAAAAAAAAAAAAAAAAJgCAABkcnMvZG93&#10;bnJldi54bWxQSwUGAAAAAAQABAD1AAAAhwMAAAAA&#10;" path="m,641l,e" filled="f" strokeweight=".36pt">
                  <v:path arrowok="t" o:connecttype="custom" o:connectlocs="0,641;0,0" o:connectangles="0,0"/>
                </v:shape>
                <v:shape id="Freeform 815" o:spid="_x0000_s1041" style="position:absolute;left:9112;top:9014;width:20;height:159;visibility:visible;mso-wrap-style:square;v-text-anchor:top" coordsize="20,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FBX8MA&#10;AADbAAAADwAAAGRycy9kb3ducmV2LnhtbESP0YrCMBRE3xf8h3CFfVk0VWiRahQRZH0RsfoB1+ba&#10;Fpub2mS169cbQfBxmJkzzGzRmVrcqHWVZQWjYQSCOLe64kLB8bAeTEA4j6yxtkwK/snBYt77mmGq&#10;7Z33dMt8IQKEXYoKSu+bVEqXl2TQDW1DHLyzbQ36INtC6hbvAW5qOY6iRBqsOCyU2NCqpPyS/RkF&#10;v93u53pK9vH2sTsnk4az1Ygypb773XIKwlPnP+F3e6MVxDG8voQfIO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xFBX8MAAADbAAAADwAAAAAAAAAAAAAAAACYAgAAZHJzL2Rv&#10;d25yZXYueG1sUEsFBgAAAAAEAAQA9QAAAIgDAAAAAA==&#10;" path="m,158l,e" filled="f" strokeweight=".36pt">
                  <v:path arrowok="t" o:connecttype="custom" o:connectlocs="0,158;0,0" o:connectangles="0,0"/>
                </v:shape>
                <v:shape id="Freeform 816" o:spid="_x0000_s1042" style="position:absolute;left:9144;top:9215;width:20;height:331;visibility:visible;mso-wrap-style:square;v-text-anchor:top" coordsize="20,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HNnsIA&#10;AADbAAAADwAAAGRycy9kb3ducmV2LnhtbESPQWvCQBCF70L/wzKF3symQqXErBKkJSJSaBTPQ3ZM&#10;gtnZNLvG+O/dguBtZt687/HS1WhaMVDvGssK3qMYBHFpdcOVgsP+e/oJwnlkja1lUnAjB6vlyyTF&#10;RNsr/9JQ+EoECLsEFdTed4mUrqzJoItsRxy0k+0N+rD2ldQ9XgPctHIWx3NpsOGQUGNH65rKc3Ex&#10;CrgJ83b4yZHzjHeX8vj3Fe7q7XXMFiA8jf75/HBvtIKPOfx3CT1AL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4c2ewgAAANsAAAAPAAAAAAAAAAAAAAAAAJgCAABkcnMvZG93&#10;bnJldi54bWxQSwUGAAAAAAQABAD1AAAAhwMAAAAA&#10;" path="m,331l,e" filled="f" strokeweight=".36pt">
                  <v:path arrowok="t" o:connecttype="custom" o:connectlocs="0,331;0,0" o:connectangles="0,0"/>
                </v:shape>
                <v:shape id="Picture 817" o:spid="_x0000_s1043" type="#_x0000_t75" style="position:absolute;left:3456;top:3658;width:4320;height:5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93L0K+AAAA2wAAAA8AAABkcnMvZG93bnJldi54bWxET89rwjAUvg/8H8ITvBRNJzikM4o6BK92&#10;Xrw9m7emW/NSkljrf28Owo4f3+/VZrCt6MmHxrGC91kOgrhyuuFawfn7MF2CCBFZY+uYFDwowGY9&#10;elthod2dT9SXsRYphEOBCkyMXSFlqAxZDDPXESfux3mLMUFfS+3xnsJtK+d5/iEtNpwaDHa0N1T9&#10;lTergHb9l/m9XmzGNzbZ3pdVVj6UmoyH7SeISEP8F7/cR61gkcamL+kHyPUT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E93L0K+AAAA2wAAAA8AAAAAAAAAAAAAAAAAnwIAAGRy&#10;cy9kb3ducmV2LnhtbFBLBQYAAAAABAAEAPcAAACKAwAAAAA=&#10;">
                  <v:imagedata r:id="rId568" o:title=""/>
                </v:shape>
                <w10:wrap anchorx="page" anchory="page"/>
              </v:group>
            </w:pict>
          </mc:Fallback>
        </mc:AlternateContent>
      </w:r>
      <w:r w:rsidR="002C5025">
        <w:rPr>
          <w:rFonts w:ascii="Arial" w:hAnsi="Arial" w:cs="Arial"/>
          <w:w w:val="54"/>
          <w:sz w:val="46"/>
          <w:szCs w:val="46"/>
        </w:rPr>
        <w:t>I</w:t>
      </w:r>
    </w:p>
    <w:p w:rsidR="002C5025" w:rsidRDefault="002C5025">
      <w:pPr>
        <w:pStyle w:val="BodyText"/>
        <w:kinsoku w:val="0"/>
        <w:overflowPunct w:val="0"/>
        <w:spacing w:before="63"/>
        <w:ind w:left="1577" w:right="-13"/>
        <w:rPr>
          <w:rFonts w:ascii="Times New Roman" w:hAnsi="Times New Roman" w:cs="Times New Roman"/>
          <w:w w:val="95"/>
          <w:sz w:val="13"/>
          <w:szCs w:val="13"/>
        </w:rPr>
      </w:pPr>
      <w:r>
        <w:rPr>
          <w:rFonts w:ascii="Times New Roman" w:hAnsi="Times New Roman" w:cs="Times New Roman"/>
          <w:i/>
          <w:iCs/>
          <w:w w:val="95"/>
          <w:sz w:val="18"/>
          <w:szCs w:val="18"/>
        </w:rPr>
        <w:t xml:space="preserve">.2. : </w:t>
      </w:r>
      <w:proofErr w:type="spellStart"/>
      <w:r>
        <w:rPr>
          <w:rFonts w:ascii="Times New Roman" w:hAnsi="Times New Roman" w:cs="Times New Roman"/>
          <w:i/>
          <w:iCs/>
          <w:w w:val="95"/>
          <w:sz w:val="18"/>
          <w:szCs w:val="18"/>
        </w:rPr>
        <w:t>i</w:t>
      </w:r>
      <w:proofErr w:type="spellEnd"/>
      <w:r>
        <w:rPr>
          <w:rFonts w:ascii="Times New Roman" w:hAnsi="Times New Roman" w:cs="Times New Roman"/>
          <w:i/>
          <w:iCs/>
          <w:w w:val="95"/>
          <w:sz w:val="18"/>
          <w:szCs w:val="18"/>
        </w:rPr>
        <w:t xml:space="preserve"> </w:t>
      </w:r>
      <w:r>
        <w:rPr>
          <w:rFonts w:ascii="Times New Roman" w:hAnsi="Times New Roman" w:cs="Times New Roman"/>
          <w:w w:val="95"/>
          <w:sz w:val="18"/>
          <w:szCs w:val="18"/>
        </w:rPr>
        <w:t xml:space="preserve">'. ', </w:t>
      </w:r>
      <w:r>
        <w:rPr>
          <w:rFonts w:ascii="Times New Roman" w:hAnsi="Times New Roman" w:cs="Times New Roman"/>
          <w:w w:val="95"/>
          <w:sz w:val="14"/>
          <w:szCs w:val="14"/>
        </w:rPr>
        <w:t xml:space="preserve">:·. J: ; </w:t>
      </w:r>
      <w:r>
        <w:rPr>
          <w:rFonts w:ascii="Times New Roman" w:hAnsi="Times New Roman" w:cs="Times New Roman"/>
          <w:w w:val="95"/>
          <w:sz w:val="13"/>
          <w:szCs w:val="13"/>
        </w:rPr>
        <w:t xml:space="preserve">,_) </w:t>
      </w:r>
      <w:proofErr w:type="spellStart"/>
      <w:r>
        <w:rPr>
          <w:rFonts w:ascii="Times New Roman" w:hAnsi="Times New Roman" w:cs="Times New Roman"/>
          <w:w w:val="95"/>
          <w:sz w:val="13"/>
          <w:szCs w:val="13"/>
        </w:rPr>
        <w:t>i</w:t>
      </w:r>
      <w:proofErr w:type="spellEnd"/>
      <w:r>
        <w:rPr>
          <w:rFonts w:ascii="Times New Roman" w:hAnsi="Times New Roman" w:cs="Times New Roman"/>
          <w:w w:val="95"/>
          <w:sz w:val="13"/>
          <w:szCs w:val="13"/>
        </w:rPr>
        <w:t>,_(</w:t>
      </w:r>
    </w:p>
    <w:p w:rsidR="002C5025" w:rsidRDefault="002C5025">
      <w:pPr>
        <w:pStyle w:val="BodyText"/>
        <w:tabs>
          <w:tab w:val="left" w:pos="5556"/>
          <w:tab w:val="left" w:pos="5974"/>
        </w:tabs>
        <w:kinsoku w:val="0"/>
        <w:overflowPunct w:val="0"/>
        <w:spacing w:before="83" w:line="499" w:lineRule="exact"/>
        <w:ind w:left="1330"/>
        <w:rPr>
          <w:rFonts w:ascii="Arial" w:hAnsi="Arial" w:cs="Arial"/>
          <w:w w:val="80"/>
          <w:sz w:val="47"/>
          <w:szCs w:val="47"/>
        </w:rPr>
      </w:pPr>
      <w:r>
        <w:rPr>
          <w:rFonts w:ascii="Times New Roman" w:hAnsi="Times New Roman" w:cs="Times New Roman"/>
          <w:sz w:val="24"/>
          <w:szCs w:val="24"/>
        </w:rPr>
        <w:br w:type="column"/>
      </w:r>
      <w:r>
        <w:rPr>
          <w:rFonts w:ascii="Arial" w:hAnsi="Arial" w:cs="Arial"/>
          <w:w w:val="85"/>
          <w:position w:val="15"/>
          <w:sz w:val="21"/>
          <w:szCs w:val="21"/>
        </w:rPr>
        <w:lastRenderedPageBreak/>
        <w:t>Potential</w:t>
      </w:r>
      <w:r>
        <w:rPr>
          <w:rFonts w:ascii="Arial" w:hAnsi="Arial" w:cs="Arial"/>
          <w:spacing w:val="15"/>
          <w:w w:val="85"/>
          <w:position w:val="15"/>
          <w:sz w:val="21"/>
          <w:szCs w:val="21"/>
        </w:rPr>
        <w:t xml:space="preserve"> </w:t>
      </w:r>
      <w:r>
        <w:rPr>
          <w:rFonts w:ascii="Arial" w:hAnsi="Arial" w:cs="Arial"/>
          <w:spacing w:val="-4"/>
          <w:w w:val="85"/>
          <w:position w:val="15"/>
          <w:sz w:val="21"/>
          <w:szCs w:val="21"/>
        </w:rPr>
        <w:t xml:space="preserve">Savings </w:t>
      </w:r>
      <w:r>
        <w:rPr>
          <w:rFonts w:ascii="Arial" w:hAnsi="Arial" w:cs="Arial"/>
          <w:spacing w:val="30"/>
          <w:w w:val="85"/>
          <w:position w:val="15"/>
          <w:sz w:val="21"/>
          <w:szCs w:val="21"/>
        </w:rPr>
        <w:t xml:space="preserve"> </w:t>
      </w:r>
      <w:r>
        <w:rPr>
          <w:rFonts w:ascii="Arial" w:hAnsi="Arial" w:cs="Arial"/>
          <w:w w:val="80"/>
          <w:sz w:val="46"/>
          <w:szCs w:val="46"/>
        </w:rPr>
        <w:t>I</w:t>
      </w:r>
      <w:r>
        <w:rPr>
          <w:rFonts w:ascii="Arial" w:hAnsi="Arial" w:cs="Arial"/>
          <w:w w:val="80"/>
          <w:sz w:val="46"/>
          <w:szCs w:val="46"/>
        </w:rPr>
        <w:tab/>
      </w:r>
      <w:proofErr w:type="spellStart"/>
      <w:r>
        <w:rPr>
          <w:rFonts w:ascii="Arial" w:hAnsi="Arial" w:cs="Arial"/>
          <w:w w:val="50"/>
          <w:sz w:val="46"/>
          <w:szCs w:val="46"/>
        </w:rPr>
        <w:t>I</w:t>
      </w:r>
      <w:proofErr w:type="spellEnd"/>
      <w:r>
        <w:rPr>
          <w:rFonts w:ascii="Arial" w:hAnsi="Arial" w:cs="Arial"/>
          <w:w w:val="50"/>
          <w:sz w:val="46"/>
          <w:szCs w:val="46"/>
        </w:rPr>
        <w:tab/>
      </w:r>
      <w:r>
        <w:rPr>
          <w:rFonts w:ascii="Times New Roman" w:hAnsi="Times New Roman" w:cs="Times New Roman"/>
          <w:spacing w:val="-6"/>
          <w:w w:val="80"/>
          <w:sz w:val="29"/>
          <w:szCs w:val="29"/>
        </w:rPr>
        <w:t xml:space="preserve">$1,469,ZSS </w:t>
      </w:r>
      <w:r>
        <w:rPr>
          <w:rFonts w:ascii="Arial" w:hAnsi="Arial" w:cs="Arial"/>
          <w:w w:val="80"/>
          <w:sz w:val="46"/>
          <w:szCs w:val="46"/>
        </w:rPr>
        <w:t>I</w:t>
      </w:r>
      <w:r>
        <w:rPr>
          <w:rFonts w:ascii="Arial" w:hAnsi="Arial" w:cs="Arial"/>
          <w:spacing w:val="-59"/>
          <w:w w:val="80"/>
          <w:sz w:val="46"/>
          <w:szCs w:val="46"/>
        </w:rPr>
        <w:t xml:space="preserve"> </w:t>
      </w:r>
      <w:r>
        <w:rPr>
          <w:rFonts w:ascii="Arial" w:hAnsi="Arial" w:cs="Arial"/>
          <w:w w:val="80"/>
          <w:sz w:val="47"/>
          <w:szCs w:val="47"/>
        </w:rPr>
        <w:t>&amp;.QP</w:t>
      </w:r>
    </w:p>
    <w:p w:rsidR="002C5025" w:rsidRDefault="002C5025">
      <w:pPr>
        <w:pStyle w:val="BodyText"/>
        <w:kinsoku w:val="0"/>
        <w:overflowPunct w:val="0"/>
        <w:spacing w:line="303" w:lineRule="exact"/>
        <w:ind w:right="850"/>
        <w:jc w:val="right"/>
        <w:rPr>
          <w:rFonts w:ascii="Arial" w:hAnsi="Arial" w:cs="Arial"/>
          <w:w w:val="110"/>
          <w:sz w:val="30"/>
          <w:szCs w:val="30"/>
        </w:rPr>
      </w:pPr>
      <w:r>
        <w:rPr>
          <w:rFonts w:ascii="Arial" w:hAnsi="Arial" w:cs="Arial"/>
          <w:w w:val="110"/>
          <w:sz w:val="30"/>
          <w:szCs w:val="30"/>
        </w:rPr>
        <w:t>Pine Street Inn</w:t>
      </w:r>
    </w:p>
    <w:p w:rsidR="002C5025" w:rsidRDefault="002C5025">
      <w:pPr>
        <w:pStyle w:val="BodyText"/>
        <w:kinsoku w:val="0"/>
        <w:overflowPunct w:val="0"/>
        <w:spacing w:line="149" w:lineRule="exact"/>
        <w:ind w:right="1207"/>
        <w:jc w:val="right"/>
        <w:rPr>
          <w:rFonts w:ascii="Arial" w:hAnsi="Arial" w:cs="Arial"/>
          <w:sz w:val="13"/>
          <w:szCs w:val="13"/>
        </w:rPr>
      </w:pPr>
      <w:r>
        <w:rPr>
          <w:rFonts w:ascii="Arial" w:hAnsi="Arial" w:cs="Arial"/>
          <w:sz w:val="13"/>
          <w:szCs w:val="13"/>
        </w:rPr>
        <w:t xml:space="preserve">Ending      -f </w:t>
      </w:r>
      <w:proofErr w:type="spellStart"/>
      <w:r>
        <w:rPr>
          <w:rFonts w:ascii="Arial" w:hAnsi="Arial" w:cs="Arial"/>
          <w:sz w:val="13"/>
          <w:szCs w:val="13"/>
        </w:rPr>
        <w:t>omelessness</w:t>
      </w:r>
      <w:proofErr w:type="spellEnd"/>
    </w:p>
    <w:p w:rsidR="002C5025" w:rsidRDefault="002C5025">
      <w:pPr>
        <w:pStyle w:val="BodyText"/>
        <w:kinsoku w:val="0"/>
        <w:overflowPunct w:val="0"/>
        <w:spacing w:line="149" w:lineRule="exact"/>
        <w:ind w:right="1207"/>
        <w:jc w:val="right"/>
        <w:rPr>
          <w:rFonts w:ascii="Arial" w:hAnsi="Arial" w:cs="Arial"/>
          <w:sz w:val="13"/>
          <w:szCs w:val="13"/>
        </w:rPr>
        <w:sectPr w:rsidR="002C5025">
          <w:type w:val="continuous"/>
          <w:pgSz w:w="15840" w:h="12240" w:orient="landscape"/>
          <w:pgMar w:top="720" w:right="0" w:bottom="280" w:left="640" w:header="720" w:footer="720" w:gutter="0"/>
          <w:cols w:num="2" w:space="720" w:equalWidth="0">
            <w:col w:w="2893" w:space="2536"/>
            <w:col w:w="9771"/>
          </w:cols>
          <w:noEndnote/>
        </w:sectPr>
      </w:pPr>
    </w:p>
    <w:p w:rsidR="002C5025" w:rsidRDefault="00FB027C">
      <w:pPr>
        <w:pStyle w:val="BodyText"/>
        <w:kinsoku w:val="0"/>
        <w:overflowPunct w:val="0"/>
        <w:ind w:left="108"/>
        <w:rPr>
          <w:rFonts w:ascii="Arial" w:hAnsi="Arial" w:cs="Arial"/>
          <w:sz w:val="20"/>
          <w:szCs w:val="20"/>
        </w:rPr>
      </w:pPr>
      <w:r>
        <w:rPr>
          <w:rFonts w:ascii="Arial" w:hAnsi="Arial" w:cs="Arial"/>
          <w:noProof/>
          <w:sz w:val="20"/>
          <w:szCs w:val="20"/>
        </w:rPr>
        <w:lastRenderedPageBreak/>
        <w:drawing>
          <wp:inline distT="0" distB="0" distL="0" distR="0">
            <wp:extent cx="9201150" cy="1171575"/>
            <wp:effectExtent l="0" t="0" r="0" b="9525"/>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569">
                      <a:extLst>
                        <a:ext uri="{28A0092B-C50C-407E-A947-70E740481C1C}">
                          <a14:useLocalDpi xmlns:a14="http://schemas.microsoft.com/office/drawing/2010/main" val="0"/>
                        </a:ext>
                      </a:extLst>
                    </a:blip>
                    <a:srcRect/>
                    <a:stretch>
                      <a:fillRect/>
                    </a:stretch>
                  </pic:blipFill>
                  <pic:spPr bwMode="auto">
                    <a:xfrm>
                      <a:off x="0" y="0"/>
                      <a:ext cx="9201150" cy="1171575"/>
                    </a:xfrm>
                    <a:prstGeom prst="rect">
                      <a:avLst/>
                    </a:prstGeom>
                    <a:noFill/>
                    <a:ln>
                      <a:noFill/>
                    </a:ln>
                  </pic:spPr>
                </pic:pic>
              </a:graphicData>
            </a:graphic>
          </wp:inline>
        </w:drawing>
      </w:r>
    </w:p>
    <w:p w:rsidR="002C5025" w:rsidRDefault="00FB027C">
      <w:pPr>
        <w:pStyle w:val="BodyText"/>
        <w:kinsoku w:val="0"/>
        <w:overflowPunct w:val="0"/>
        <w:spacing w:before="4"/>
        <w:rPr>
          <w:rFonts w:ascii="Arial" w:hAnsi="Arial" w:cs="Arial"/>
          <w:sz w:val="9"/>
          <w:szCs w:val="9"/>
        </w:rPr>
      </w:pPr>
      <w:r>
        <w:rPr>
          <w:noProof/>
        </w:rPr>
        <mc:AlternateContent>
          <mc:Choice Requires="wpg">
            <w:drawing>
              <wp:anchor distT="0" distB="0" distL="0" distR="0" simplePos="0" relativeHeight="251807232" behindDoc="0" locked="0" layoutInCell="0" allowOverlap="1">
                <wp:simplePos x="0" y="0"/>
                <wp:positionH relativeFrom="page">
                  <wp:posOffset>900430</wp:posOffset>
                </wp:positionH>
                <wp:positionV relativeFrom="paragraph">
                  <wp:posOffset>92710</wp:posOffset>
                </wp:positionV>
                <wp:extent cx="8691880" cy="1627505"/>
                <wp:effectExtent l="0" t="0" r="0" b="0"/>
                <wp:wrapTopAndBottom/>
                <wp:docPr id="281" name="Group 8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91880" cy="1627505"/>
                          <a:chOff x="1418" y="146"/>
                          <a:chExt cx="13688" cy="2563"/>
                        </a:xfrm>
                      </wpg:grpSpPr>
                      <pic:pic xmlns:pic="http://schemas.openxmlformats.org/drawingml/2006/picture">
                        <pic:nvPicPr>
                          <pic:cNvPr id="282" name="Picture 819"/>
                          <pic:cNvPicPr>
                            <a:picLocks noChangeAspect="1" noChangeArrowheads="1"/>
                          </pic:cNvPicPr>
                        </pic:nvPicPr>
                        <pic:blipFill>
                          <a:blip r:embed="rId570">
                            <a:extLst>
                              <a:ext uri="{28A0092B-C50C-407E-A947-70E740481C1C}">
                                <a14:useLocalDpi xmlns:a14="http://schemas.microsoft.com/office/drawing/2010/main" val="0"/>
                              </a:ext>
                            </a:extLst>
                          </a:blip>
                          <a:srcRect/>
                          <a:stretch>
                            <a:fillRect/>
                          </a:stretch>
                        </pic:blipFill>
                        <pic:spPr bwMode="auto">
                          <a:xfrm>
                            <a:off x="10901" y="147"/>
                            <a:ext cx="4200" cy="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3" name="Freeform 820"/>
                        <wps:cNvSpPr>
                          <a:spLocks/>
                        </wps:cNvSpPr>
                        <wps:spPr bwMode="auto">
                          <a:xfrm>
                            <a:off x="1422" y="191"/>
                            <a:ext cx="9420" cy="20"/>
                          </a:xfrm>
                          <a:custGeom>
                            <a:avLst/>
                            <a:gdLst>
                              <a:gd name="T0" fmla="*/ 0 w 9420"/>
                              <a:gd name="T1" fmla="*/ 0 h 20"/>
                              <a:gd name="T2" fmla="*/ 9420 w 9420"/>
                              <a:gd name="T3" fmla="*/ 0 h 20"/>
                            </a:gdLst>
                            <a:ahLst/>
                            <a:cxnLst>
                              <a:cxn ang="0">
                                <a:pos x="T0" y="T1"/>
                              </a:cxn>
                              <a:cxn ang="0">
                                <a:pos x="T2" y="T3"/>
                              </a:cxn>
                            </a:cxnLst>
                            <a:rect l="0" t="0" r="r" b="b"/>
                            <a:pathLst>
                              <a:path w="9420" h="20">
                                <a:moveTo>
                                  <a:pt x="0" y="0"/>
                                </a:moveTo>
                                <a:lnTo>
                                  <a:pt x="9420" y="0"/>
                                </a:lnTo>
                              </a:path>
                            </a:pathLst>
                          </a:custGeom>
                          <a:noFill/>
                          <a:ln w="455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4" name="Freeform 821"/>
                        <wps:cNvSpPr>
                          <a:spLocks/>
                        </wps:cNvSpPr>
                        <wps:spPr bwMode="auto">
                          <a:xfrm>
                            <a:off x="1450" y="2662"/>
                            <a:ext cx="9443" cy="20"/>
                          </a:xfrm>
                          <a:custGeom>
                            <a:avLst/>
                            <a:gdLst>
                              <a:gd name="T0" fmla="*/ 0 w 9443"/>
                              <a:gd name="T1" fmla="*/ 0 h 20"/>
                              <a:gd name="T2" fmla="*/ 9443 w 9443"/>
                              <a:gd name="T3" fmla="*/ 0 h 20"/>
                            </a:gdLst>
                            <a:ahLst/>
                            <a:cxnLst>
                              <a:cxn ang="0">
                                <a:pos x="T0" y="T1"/>
                              </a:cxn>
                              <a:cxn ang="0">
                                <a:pos x="T2" y="T3"/>
                              </a:cxn>
                            </a:cxnLst>
                            <a:rect l="0" t="0" r="r" b="b"/>
                            <a:pathLst>
                              <a:path w="9443" h="20">
                                <a:moveTo>
                                  <a:pt x="0" y="0"/>
                                </a:moveTo>
                                <a:lnTo>
                                  <a:pt x="9443" y="0"/>
                                </a:lnTo>
                              </a:path>
                            </a:pathLst>
                          </a:custGeom>
                          <a:noFill/>
                          <a:ln w="455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 name="Text Box 822"/>
                        <wps:cNvSpPr txBox="1">
                          <a:spLocks noChangeArrowheads="1"/>
                        </wps:cNvSpPr>
                        <wps:spPr bwMode="auto">
                          <a:xfrm>
                            <a:off x="1418" y="147"/>
                            <a:ext cx="13688" cy="2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pStyle w:val="BodyText"/>
                                <w:kinsoku w:val="0"/>
                                <w:overflowPunct w:val="0"/>
                                <w:spacing w:before="278"/>
                                <w:ind w:left="124" w:right="2671"/>
                                <w:rPr>
                                  <w:rFonts w:ascii="Arial" w:hAnsi="Arial" w:cs="Arial"/>
                                  <w:sz w:val="41"/>
                                  <w:szCs w:val="41"/>
                                </w:rPr>
                              </w:pPr>
                              <w:r>
                                <w:rPr>
                                  <w:rFonts w:ascii="Arial" w:hAnsi="Arial" w:cs="Arial"/>
                                  <w:sz w:val="41"/>
                                  <w:szCs w:val="41"/>
                                </w:rPr>
                                <w:t>County of  Los Angeles Project  SO:</w:t>
                              </w:r>
                            </w:p>
                            <w:p w:rsidR="007B2B7B" w:rsidRDefault="007B2B7B">
                              <w:pPr>
                                <w:pStyle w:val="BodyText"/>
                                <w:kinsoku w:val="0"/>
                                <w:overflowPunct w:val="0"/>
                                <w:spacing w:before="95" w:line="290" w:lineRule="auto"/>
                                <w:ind w:left="146" w:right="2671" w:firstLine="124"/>
                                <w:rPr>
                                  <w:rFonts w:ascii="Arial" w:hAnsi="Arial" w:cs="Arial"/>
                                  <w:w w:val="110"/>
                                  <w:sz w:val="41"/>
                                  <w:szCs w:val="41"/>
                                </w:rPr>
                              </w:pPr>
                              <w:r>
                                <w:rPr>
                                  <w:rFonts w:ascii="Arial" w:hAnsi="Arial" w:cs="Arial"/>
                                  <w:w w:val="110"/>
                                  <w:sz w:val="41"/>
                                  <w:szCs w:val="41"/>
                                </w:rPr>
                                <w:t>The</w:t>
                              </w:r>
                              <w:r>
                                <w:rPr>
                                  <w:rFonts w:ascii="Arial" w:hAnsi="Arial" w:cs="Arial"/>
                                  <w:spacing w:val="-55"/>
                                  <w:w w:val="110"/>
                                  <w:sz w:val="41"/>
                                  <w:szCs w:val="41"/>
                                </w:rPr>
                                <w:t xml:space="preserve"> </w:t>
                              </w:r>
                              <w:r>
                                <w:rPr>
                                  <w:rFonts w:ascii="Arial" w:hAnsi="Arial" w:cs="Arial"/>
                                  <w:w w:val="110"/>
                                  <w:sz w:val="41"/>
                                  <w:szCs w:val="41"/>
                                </w:rPr>
                                <w:t>Cost</w:t>
                              </w:r>
                              <w:r>
                                <w:rPr>
                                  <w:rFonts w:ascii="Arial" w:hAnsi="Arial" w:cs="Arial"/>
                                  <w:spacing w:val="-55"/>
                                  <w:w w:val="110"/>
                                  <w:sz w:val="41"/>
                                  <w:szCs w:val="41"/>
                                </w:rPr>
                                <w:t xml:space="preserve"> </w:t>
                              </w:r>
                              <w:r>
                                <w:rPr>
                                  <w:rFonts w:ascii="Arial" w:hAnsi="Arial" w:cs="Arial"/>
                                  <w:w w:val="110"/>
                                  <w:sz w:val="41"/>
                                  <w:szCs w:val="41"/>
                                </w:rPr>
                                <w:t>Effectiveness of</w:t>
                              </w:r>
                              <w:r>
                                <w:rPr>
                                  <w:rFonts w:ascii="Arial" w:hAnsi="Arial" w:cs="Arial"/>
                                  <w:spacing w:val="-65"/>
                                  <w:w w:val="110"/>
                                  <w:sz w:val="41"/>
                                  <w:szCs w:val="41"/>
                                </w:rPr>
                                <w:t xml:space="preserve"> </w:t>
                              </w:r>
                              <w:r>
                                <w:rPr>
                                  <w:rFonts w:ascii="Arial" w:hAnsi="Arial" w:cs="Arial"/>
                                  <w:w w:val="110"/>
                                  <w:sz w:val="41"/>
                                  <w:szCs w:val="41"/>
                                </w:rPr>
                                <w:t>the</w:t>
                              </w:r>
                              <w:r>
                                <w:rPr>
                                  <w:rFonts w:ascii="Arial" w:hAnsi="Arial" w:cs="Arial"/>
                                  <w:spacing w:val="-51"/>
                                  <w:w w:val="110"/>
                                  <w:sz w:val="41"/>
                                  <w:szCs w:val="41"/>
                                </w:rPr>
                                <w:t xml:space="preserve"> </w:t>
                              </w:r>
                              <w:r>
                                <w:rPr>
                                  <w:rFonts w:ascii="Arial" w:hAnsi="Arial" w:cs="Arial"/>
                                  <w:w w:val="110"/>
                                  <w:sz w:val="41"/>
                                  <w:szCs w:val="41"/>
                                </w:rPr>
                                <w:t>Permanent</w:t>
                              </w:r>
                              <w:r>
                                <w:rPr>
                                  <w:rFonts w:ascii="Arial" w:hAnsi="Arial" w:cs="Arial"/>
                                  <w:spacing w:val="-63"/>
                                  <w:w w:val="110"/>
                                  <w:sz w:val="41"/>
                                  <w:szCs w:val="41"/>
                                </w:rPr>
                                <w:t xml:space="preserve"> </w:t>
                              </w:r>
                              <w:proofErr w:type="spellStart"/>
                              <w:r>
                                <w:rPr>
                                  <w:rFonts w:ascii="Arial" w:hAnsi="Arial" w:cs="Arial"/>
                                  <w:w w:val="110"/>
                                  <w:sz w:val="41"/>
                                  <w:szCs w:val="41"/>
                                </w:rPr>
                                <w:t>Supp</w:t>
                              </w:r>
                              <w:proofErr w:type="spellEnd"/>
                              <w:r>
                                <w:rPr>
                                  <w:rFonts w:ascii="Arial" w:hAnsi="Arial" w:cs="Arial"/>
                                  <w:w w:val="110"/>
                                  <w:sz w:val="41"/>
                                  <w:szCs w:val="41"/>
                                </w:rPr>
                                <w:t xml:space="preserve"> Housing Model </w:t>
                              </w:r>
                              <w:r>
                                <w:rPr>
                                  <w:rFonts w:ascii="Arial" w:hAnsi="Arial" w:cs="Arial"/>
                                  <w:spacing w:val="-17"/>
                                  <w:w w:val="110"/>
                                  <w:sz w:val="41"/>
                                  <w:szCs w:val="41"/>
                                </w:rPr>
                                <w:t xml:space="preserve">in </w:t>
                              </w:r>
                              <w:r>
                                <w:rPr>
                                  <w:rFonts w:ascii="Arial" w:hAnsi="Arial" w:cs="Arial"/>
                                  <w:w w:val="110"/>
                                  <w:sz w:val="41"/>
                                  <w:szCs w:val="41"/>
                                </w:rPr>
                                <w:t>the Skid Row Section of</w:t>
                              </w:r>
                            </w:p>
                            <w:p w:rsidR="007B2B7B" w:rsidRDefault="007B2B7B">
                              <w:pPr>
                                <w:pStyle w:val="BodyText"/>
                                <w:tabs>
                                  <w:tab w:val="left" w:pos="2781"/>
                                </w:tabs>
                                <w:kinsoku w:val="0"/>
                                <w:overflowPunct w:val="0"/>
                                <w:spacing w:line="456" w:lineRule="exact"/>
                                <w:ind w:left="139" w:right="2671"/>
                                <w:rPr>
                                  <w:rFonts w:ascii="Arial" w:hAnsi="Arial" w:cs="Arial"/>
                                  <w:spacing w:val="-21"/>
                                  <w:w w:val="105"/>
                                  <w:sz w:val="41"/>
                                  <w:szCs w:val="41"/>
                                </w:rPr>
                              </w:pPr>
                              <w:r>
                                <w:rPr>
                                  <w:rFonts w:ascii="Arial" w:hAnsi="Arial" w:cs="Arial"/>
                                  <w:w w:val="105"/>
                                  <w:sz w:val="41"/>
                                  <w:szCs w:val="41"/>
                                </w:rPr>
                                <w:t>Los</w:t>
                              </w:r>
                              <w:r>
                                <w:rPr>
                                  <w:rFonts w:ascii="Arial" w:hAnsi="Arial" w:cs="Arial"/>
                                  <w:spacing w:val="-13"/>
                                  <w:w w:val="105"/>
                                  <w:sz w:val="41"/>
                                  <w:szCs w:val="41"/>
                                </w:rPr>
                                <w:t xml:space="preserve"> </w:t>
                              </w:r>
                              <w:r>
                                <w:rPr>
                                  <w:rFonts w:ascii="Arial" w:hAnsi="Arial" w:cs="Arial"/>
                                  <w:spacing w:val="2"/>
                                  <w:w w:val="105"/>
                                  <w:sz w:val="41"/>
                                  <w:szCs w:val="41"/>
                                </w:rPr>
                                <w:t>Angeles</w:t>
                              </w:r>
                              <w:r>
                                <w:rPr>
                                  <w:rFonts w:ascii="Arial" w:hAnsi="Arial" w:cs="Arial"/>
                                  <w:spacing w:val="2"/>
                                  <w:w w:val="105"/>
                                  <w:sz w:val="41"/>
                                  <w:szCs w:val="41"/>
                                </w:rPr>
                                <w:tab/>
                              </w:r>
                              <w:r>
                                <w:rPr>
                                  <w:rFonts w:ascii="Arial" w:hAnsi="Arial" w:cs="Arial"/>
                                  <w:w w:val="105"/>
                                  <w:sz w:val="41"/>
                                  <w:szCs w:val="41"/>
                                </w:rPr>
                                <w:t>June</w:t>
                              </w:r>
                              <w:r>
                                <w:rPr>
                                  <w:rFonts w:ascii="Arial" w:hAnsi="Arial" w:cs="Arial"/>
                                  <w:spacing w:val="42"/>
                                  <w:w w:val="105"/>
                                  <w:sz w:val="41"/>
                                  <w:szCs w:val="41"/>
                                </w:rPr>
                                <w:t xml:space="preserve"> </w:t>
                              </w:r>
                              <w:r>
                                <w:rPr>
                                  <w:rFonts w:ascii="Arial" w:hAnsi="Arial" w:cs="Arial"/>
                                  <w:spacing w:val="-21"/>
                                  <w:w w:val="105"/>
                                  <w:sz w:val="41"/>
                                  <w:szCs w:val="41"/>
                                </w:rPr>
                                <w:t>2012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18" o:spid="_x0000_s1276" style="position:absolute;margin-left:70.9pt;margin-top:7.3pt;width:684.4pt;height:128.15pt;z-index:251807232;mso-wrap-distance-left:0;mso-wrap-distance-right:0;mso-position-horizontal-relative:page;mso-position-vertical-relative:text" coordorigin="1418,146" coordsize="13688,25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" o:allowincell="f">
                <v:shape id="Picture 819" o:spid="_x0000_s1277" type="#_x0000_t75" style="position:absolute;left:10901;top:147;width:4200;height:25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DO8/FAAAA3AAAAA8AAABkcnMvZG93bnJldi54bWxEj0FrwkAUhO8F/8PyhN7qxkiLRFcRQRDB&#10;g6mIx2f2mUSzb2N21W1/fbdQ6HGYmW+Y6TyYRjyoc7VlBcNBAoK4sLrmUsH+c/U2BuE8ssbGMin4&#10;IgfzWe9lipm2T97RI/eliBB2GSqovG8zKV1RkUE3sC1x9M62M+ij7EqpO3xGuGlkmiQf0mDNcaHC&#10;lpYVFdf8bhTsLvn3LbyfRovzxi2v5rgN8rBV6rUfFhMQnoL/D/+111pBOk7h90w8AnL2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swzvPxQAAANwAAAAPAAAAAAAAAAAAAAAA&#10;AJ8CAABkcnMvZG93bnJldi54bWxQSwUGAAAAAAQABAD3AAAAkQMAAAAA&#10;">
                  <v:imagedata r:id="rId571" o:title=""/>
                </v:shape>
                <v:shape id="Freeform 820" o:spid="_x0000_s1278" style="position:absolute;left:1422;top:191;width:9420;height:20;visibility:visible;mso-wrap-style:square;v-text-anchor:top" coordsize="94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Y5dMUA&#10;AADcAAAADwAAAGRycy9kb3ducmV2LnhtbESPT2sCMRTE70K/Q3gFb5rtila2RhHBPxcRbXt/3bxu&#10;tm5elk3U1U9vBKHHYWZ+w0xmra3EmRpfOlbw1k9AEOdOl1wo+Ppc9sYgfEDWWDkmBVfyMJu+dCaY&#10;aXfhPZ0PoRARwj5DBSaEOpPS54Ys+r6riaP36xqLIcqmkLrBS4TbSqZJMpIWS44LBmtaGMqPh5NV&#10;0H6/H9O/wWg7pFsiV2uz3v2sWKnuazv/ABGoDf/hZ3ujFaTjATzOxCMgp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Njl0xQAAANwAAAAPAAAAAAAAAAAAAAAAAJgCAABkcnMv&#10;ZG93bnJldi54bWxQSwUGAAAAAAQABAD1AAAAigMAAAAA&#10;" path="m,l9420,e" filled="f" strokeweight=".1266mm">
                  <v:path arrowok="t" o:connecttype="custom" o:connectlocs="0,0;9420,0" o:connectangles="0,0"/>
                </v:shape>
                <v:shape id="Freeform 821" o:spid="_x0000_s1279" style="position:absolute;left:1450;top:2662;width:9443;height:20;visibility:visible;mso-wrap-style:square;v-text-anchor:top" coordsize="944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VfNcQA&#10;AADcAAAADwAAAGRycy9kb3ducmV2LnhtbESPUWvCQBCE3wv+h2MF3+pFkSCpp9SAVKQUtIXi25Jb&#10;k9DcXrjbavz3vUKhj8PMfMOsNoPr1JVCbD0bmE0zUMSVty3XBj7ed49LUFGQLXaeycCdImzWo4cV&#10;Ftbf+EjXk9QqQTgWaKAR6QutY9WQwzj1PXHyLj44lCRDrW3AW4K7Ts+zLNcOW04LDfZUNlR9nb6d&#10;gde3l/PhKOFzqPPtwpeCZdzmxkzGw/MTKKFB/sN/7b01MF8u4PdMOgJ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1XzXEAAAA3AAAAA8AAAAAAAAAAAAAAAAAmAIAAGRycy9k&#10;b3ducmV2LnhtbFBLBQYAAAAABAAEAPUAAACJAwAAAAA=&#10;" path="m,l9443,e" filled="f" strokeweight=".1266mm">
                  <v:path arrowok="t" o:connecttype="custom" o:connectlocs="0,0;9443,0" o:connectangles="0,0"/>
                </v:shape>
                <v:shape id="Text Box 822" o:spid="_x0000_s1280" type="#_x0000_t202" style="position:absolute;left:1418;top:147;width:13688;height:25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QUcQA&#10;AADcAAAADwAAAGRycy9kb3ducmV2LnhtbESPQWvCQBSE74L/YXkFb7qpoNjUVUQqCIIY48Hja/aZ&#10;LGbfptlV4793C4Ueh5n5hpkvO1uLO7XeOFbwPkpAEBdOGy4VnPLNcAbCB2SNtWNS8CQPy0W/N8dU&#10;uwdndD+GUkQI+xQVVCE0qZS+qMiiH7mGOHoX11oMUbal1C0+ItzWcpwkU2nRcFyosKF1RcX1eLMK&#10;VmfOvszP/vuQXTKT5x8J76ZXpQZv3eoTRKAu/If/2lutYDybwO+ZeATk4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fkFHEAAAA3AAAAA8AAAAAAAAAAAAAAAAAmAIAAGRycy9k&#10;b3ducmV2LnhtbFBLBQYAAAAABAAEAPUAAACJAwAAAAA=&#10;" filled="f" stroked="f">
                  <v:textbox inset="0,0,0,0">
                    <w:txbxContent>
                      <w:p w:rsidR="007B2B7B" w:rsidRDefault="007B2B7B">
                        <w:pPr>
                          <w:pStyle w:val="BodyText"/>
                          <w:kinsoku w:val="0"/>
                          <w:overflowPunct w:val="0"/>
                          <w:spacing w:before="278"/>
                          <w:ind w:left="124" w:right="2671"/>
                          <w:rPr>
                            <w:rFonts w:ascii="Arial" w:hAnsi="Arial" w:cs="Arial"/>
                            <w:sz w:val="41"/>
                            <w:szCs w:val="41"/>
                          </w:rPr>
                        </w:pPr>
                        <w:r>
                          <w:rPr>
                            <w:rFonts w:ascii="Arial" w:hAnsi="Arial" w:cs="Arial"/>
                            <w:sz w:val="41"/>
                            <w:szCs w:val="41"/>
                          </w:rPr>
                          <w:t>County of  Los Angeles Project  SO:</w:t>
                        </w:r>
                      </w:p>
                      <w:p w:rsidR="007B2B7B" w:rsidRDefault="007B2B7B">
                        <w:pPr>
                          <w:pStyle w:val="BodyText"/>
                          <w:kinsoku w:val="0"/>
                          <w:overflowPunct w:val="0"/>
                          <w:spacing w:before="95" w:line="290" w:lineRule="auto"/>
                          <w:ind w:left="146" w:right="2671" w:firstLine="124"/>
                          <w:rPr>
                            <w:rFonts w:ascii="Arial" w:hAnsi="Arial" w:cs="Arial"/>
                            <w:w w:val="110"/>
                            <w:sz w:val="41"/>
                            <w:szCs w:val="41"/>
                          </w:rPr>
                        </w:pPr>
                        <w:r>
                          <w:rPr>
                            <w:rFonts w:ascii="Arial" w:hAnsi="Arial" w:cs="Arial"/>
                            <w:w w:val="110"/>
                            <w:sz w:val="41"/>
                            <w:szCs w:val="41"/>
                          </w:rPr>
                          <w:t>The</w:t>
                        </w:r>
                        <w:r>
                          <w:rPr>
                            <w:rFonts w:ascii="Arial" w:hAnsi="Arial" w:cs="Arial"/>
                            <w:spacing w:val="-55"/>
                            <w:w w:val="110"/>
                            <w:sz w:val="41"/>
                            <w:szCs w:val="41"/>
                          </w:rPr>
                          <w:t xml:space="preserve"> </w:t>
                        </w:r>
                        <w:r>
                          <w:rPr>
                            <w:rFonts w:ascii="Arial" w:hAnsi="Arial" w:cs="Arial"/>
                            <w:w w:val="110"/>
                            <w:sz w:val="41"/>
                            <w:szCs w:val="41"/>
                          </w:rPr>
                          <w:t>Cost</w:t>
                        </w:r>
                        <w:r>
                          <w:rPr>
                            <w:rFonts w:ascii="Arial" w:hAnsi="Arial" w:cs="Arial"/>
                            <w:spacing w:val="-55"/>
                            <w:w w:val="110"/>
                            <w:sz w:val="41"/>
                            <w:szCs w:val="41"/>
                          </w:rPr>
                          <w:t xml:space="preserve"> </w:t>
                        </w:r>
                        <w:r>
                          <w:rPr>
                            <w:rFonts w:ascii="Arial" w:hAnsi="Arial" w:cs="Arial"/>
                            <w:w w:val="110"/>
                            <w:sz w:val="41"/>
                            <w:szCs w:val="41"/>
                          </w:rPr>
                          <w:t>Effectiveness of</w:t>
                        </w:r>
                        <w:r>
                          <w:rPr>
                            <w:rFonts w:ascii="Arial" w:hAnsi="Arial" w:cs="Arial"/>
                            <w:spacing w:val="-65"/>
                            <w:w w:val="110"/>
                            <w:sz w:val="41"/>
                            <w:szCs w:val="41"/>
                          </w:rPr>
                          <w:t xml:space="preserve"> </w:t>
                        </w:r>
                        <w:r>
                          <w:rPr>
                            <w:rFonts w:ascii="Arial" w:hAnsi="Arial" w:cs="Arial"/>
                            <w:w w:val="110"/>
                            <w:sz w:val="41"/>
                            <w:szCs w:val="41"/>
                          </w:rPr>
                          <w:t>the</w:t>
                        </w:r>
                        <w:r>
                          <w:rPr>
                            <w:rFonts w:ascii="Arial" w:hAnsi="Arial" w:cs="Arial"/>
                            <w:spacing w:val="-51"/>
                            <w:w w:val="110"/>
                            <w:sz w:val="41"/>
                            <w:szCs w:val="41"/>
                          </w:rPr>
                          <w:t xml:space="preserve"> </w:t>
                        </w:r>
                        <w:r>
                          <w:rPr>
                            <w:rFonts w:ascii="Arial" w:hAnsi="Arial" w:cs="Arial"/>
                            <w:w w:val="110"/>
                            <w:sz w:val="41"/>
                            <w:szCs w:val="41"/>
                          </w:rPr>
                          <w:t>Permanent</w:t>
                        </w:r>
                        <w:r>
                          <w:rPr>
                            <w:rFonts w:ascii="Arial" w:hAnsi="Arial" w:cs="Arial"/>
                            <w:spacing w:val="-63"/>
                            <w:w w:val="110"/>
                            <w:sz w:val="41"/>
                            <w:szCs w:val="41"/>
                          </w:rPr>
                          <w:t xml:space="preserve"> </w:t>
                        </w:r>
                        <w:r>
                          <w:rPr>
                            <w:rFonts w:ascii="Arial" w:hAnsi="Arial" w:cs="Arial"/>
                            <w:w w:val="110"/>
                            <w:sz w:val="41"/>
                            <w:szCs w:val="41"/>
                          </w:rPr>
                          <w:t xml:space="preserve">Supp Housing Model </w:t>
                        </w:r>
                        <w:r>
                          <w:rPr>
                            <w:rFonts w:ascii="Arial" w:hAnsi="Arial" w:cs="Arial"/>
                            <w:spacing w:val="-17"/>
                            <w:w w:val="110"/>
                            <w:sz w:val="41"/>
                            <w:szCs w:val="41"/>
                          </w:rPr>
                          <w:t xml:space="preserve">in </w:t>
                        </w:r>
                        <w:r>
                          <w:rPr>
                            <w:rFonts w:ascii="Arial" w:hAnsi="Arial" w:cs="Arial"/>
                            <w:w w:val="110"/>
                            <w:sz w:val="41"/>
                            <w:szCs w:val="41"/>
                          </w:rPr>
                          <w:t>the Skid Row Section of</w:t>
                        </w:r>
                      </w:p>
                      <w:p w:rsidR="007B2B7B" w:rsidRDefault="007B2B7B">
                        <w:pPr>
                          <w:pStyle w:val="BodyText"/>
                          <w:tabs>
                            <w:tab w:val="left" w:pos="2781"/>
                          </w:tabs>
                          <w:kinsoku w:val="0"/>
                          <w:overflowPunct w:val="0"/>
                          <w:spacing w:line="456" w:lineRule="exact"/>
                          <w:ind w:left="139" w:right="2671"/>
                          <w:rPr>
                            <w:rFonts w:ascii="Arial" w:hAnsi="Arial" w:cs="Arial"/>
                            <w:spacing w:val="-21"/>
                            <w:w w:val="105"/>
                            <w:sz w:val="41"/>
                            <w:szCs w:val="41"/>
                          </w:rPr>
                        </w:pPr>
                        <w:r>
                          <w:rPr>
                            <w:rFonts w:ascii="Arial" w:hAnsi="Arial" w:cs="Arial"/>
                            <w:w w:val="105"/>
                            <w:sz w:val="41"/>
                            <w:szCs w:val="41"/>
                          </w:rPr>
                          <w:t>Los</w:t>
                        </w:r>
                        <w:r>
                          <w:rPr>
                            <w:rFonts w:ascii="Arial" w:hAnsi="Arial" w:cs="Arial"/>
                            <w:spacing w:val="-13"/>
                            <w:w w:val="105"/>
                            <w:sz w:val="41"/>
                            <w:szCs w:val="41"/>
                          </w:rPr>
                          <w:t xml:space="preserve"> </w:t>
                        </w:r>
                        <w:r>
                          <w:rPr>
                            <w:rFonts w:ascii="Arial" w:hAnsi="Arial" w:cs="Arial"/>
                            <w:spacing w:val="2"/>
                            <w:w w:val="105"/>
                            <w:sz w:val="41"/>
                            <w:szCs w:val="41"/>
                          </w:rPr>
                          <w:t>Angeles</w:t>
                        </w:r>
                        <w:r>
                          <w:rPr>
                            <w:rFonts w:ascii="Arial" w:hAnsi="Arial" w:cs="Arial"/>
                            <w:spacing w:val="2"/>
                            <w:w w:val="105"/>
                            <w:sz w:val="41"/>
                            <w:szCs w:val="41"/>
                          </w:rPr>
                          <w:tab/>
                        </w:r>
                        <w:r>
                          <w:rPr>
                            <w:rFonts w:ascii="Arial" w:hAnsi="Arial" w:cs="Arial"/>
                            <w:w w:val="105"/>
                            <w:sz w:val="41"/>
                            <w:szCs w:val="41"/>
                          </w:rPr>
                          <w:t>June</w:t>
                        </w:r>
                        <w:r>
                          <w:rPr>
                            <w:rFonts w:ascii="Arial" w:hAnsi="Arial" w:cs="Arial"/>
                            <w:spacing w:val="42"/>
                            <w:w w:val="105"/>
                            <w:sz w:val="41"/>
                            <w:szCs w:val="41"/>
                          </w:rPr>
                          <w:t xml:space="preserve"> </w:t>
                        </w:r>
                        <w:r>
                          <w:rPr>
                            <w:rFonts w:ascii="Arial" w:hAnsi="Arial" w:cs="Arial"/>
                            <w:spacing w:val="-21"/>
                            <w:w w:val="105"/>
                            <w:sz w:val="41"/>
                            <w:szCs w:val="41"/>
                          </w:rPr>
                          <w:t>2012</w:t>
                        </w:r>
                      </w:p>
                    </w:txbxContent>
                  </v:textbox>
                </v:shape>
                <w10:wrap type="topAndBottom" anchorx="page"/>
              </v:group>
            </w:pict>
          </mc:Fallback>
        </mc:AlternateContent>
      </w:r>
    </w:p>
    <w:p w:rsidR="002C5025" w:rsidRDefault="002C5025">
      <w:pPr>
        <w:pStyle w:val="BodyText"/>
        <w:kinsoku w:val="0"/>
        <w:overflowPunct w:val="0"/>
        <w:spacing w:before="4"/>
        <w:rPr>
          <w:rFonts w:ascii="Arial" w:hAnsi="Arial" w:cs="Arial"/>
          <w:sz w:val="10"/>
          <w:szCs w:val="10"/>
        </w:rPr>
      </w:pPr>
    </w:p>
    <w:p w:rsidR="002C5025" w:rsidRDefault="002C5025">
      <w:pPr>
        <w:pStyle w:val="Heading2"/>
        <w:kinsoku w:val="0"/>
        <w:overflowPunct w:val="0"/>
        <w:spacing w:line="280" w:lineRule="auto"/>
        <w:ind w:left="780" w:right="6291" w:hanging="8"/>
        <w:rPr>
          <w:w w:val="105"/>
        </w:rPr>
      </w:pPr>
      <w:bookmarkStart w:id="253" w:name="SO_chronically_homeless_participants;_50"/>
      <w:bookmarkEnd w:id="253"/>
      <w:r>
        <w:rPr>
          <w:w w:val="105"/>
        </w:rPr>
        <w:t>SO chronically homeless participants; 50 usual care (non-housed</w:t>
      </w:r>
      <w:r>
        <w:rPr>
          <w:spacing w:val="109"/>
          <w:w w:val="105"/>
        </w:rPr>
        <w:t xml:space="preserve"> </w:t>
      </w:r>
      <w:r>
        <w:rPr>
          <w:w w:val="105"/>
        </w:rPr>
        <w:t>Group)</w:t>
      </w:r>
    </w:p>
    <w:bookmarkStart w:id="254" w:name="http://www.latimes.com/loca_l/la-me-home"/>
    <w:bookmarkEnd w:id="254"/>
    <w:p w:rsidR="002C5025" w:rsidRDefault="002C5025">
      <w:pPr>
        <w:pStyle w:val="BodyText"/>
        <w:kinsoku w:val="0"/>
        <w:overflowPunct w:val="0"/>
        <w:spacing w:before="79"/>
        <w:ind w:left="768"/>
        <w:rPr>
          <w:rFonts w:ascii="Arial" w:hAnsi="Arial" w:cs="Arial"/>
          <w:w w:val="105"/>
          <w:sz w:val="28"/>
          <w:szCs w:val="28"/>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"http://www.latimes.com/loca" </w:instrText>
      </w:r>
      <w:r>
        <w:rPr>
          <w:rFonts w:ascii="Times New Roman" w:hAnsi="Times New Roman" w:cs="Times New Roman"/>
          <w:sz w:val="24"/>
          <w:szCs w:val="24"/>
        </w:rPr>
        <w:fldChar w:fldCharType="separate"/>
      </w:r>
      <w:r>
        <w:rPr>
          <w:rFonts w:ascii="Arial" w:hAnsi="Arial" w:cs="Arial"/>
          <w:w w:val="105"/>
          <w:sz w:val="28"/>
          <w:szCs w:val="28"/>
        </w:rPr>
        <w:t>http://www.latimes.com/loca</w:t>
      </w:r>
      <w:r>
        <w:rPr>
          <w:rFonts w:ascii="Times New Roman" w:hAnsi="Times New Roman" w:cs="Times New Roman"/>
          <w:sz w:val="24"/>
          <w:szCs w:val="24"/>
        </w:rPr>
        <w:fldChar w:fldCharType="end"/>
      </w:r>
      <w:r>
        <w:rPr>
          <w:rFonts w:ascii="Arial" w:hAnsi="Arial" w:cs="Arial"/>
          <w:w w:val="105"/>
          <w:sz w:val="28"/>
          <w:szCs w:val="28"/>
        </w:rPr>
        <w:t xml:space="preserve"> l/la-me-homeless-pro ject50-htmlstory.html</w:t>
      </w:r>
    </w:p>
    <w:p w:rsidR="002C5025" w:rsidRDefault="002C5025">
      <w:pPr>
        <w:pStyle w:val="ListParagraph"/>
        <w:numPr>
          <w:ilvl w:val="0"/>
          <w:numId w:val="4"/>
        </w:numPr>
        <w:tabs>
          <w:tab w:val="left" w:pos="1938"/>
        </w:tabs>
        <w:kinsoku w:val="0"/>
        <w:overflowPunct w:val="0"/>
        <w:spacing w:before="182"/>
        <w:rPr>
          <w:rFonts w:ascii="Arial" w:hAnsi="Arial" w:cs="Arial"/>
          <w:spacing w:val="-7"/>
          <w:w w:val="115"/>
          <w:sz w:val="41"/>
          <w:szCs w:val="41"/>
        </w:rPr>
      </w:pPr>
      <w:r>
        <w:rPr>
          <w:rFonts w:ascii="Arial" w:hAnsi="Arial" w:cs="Arial"/>
          <w:spacing w:val="-14"/>
          <w:w w:val="115"/>
          <w:sz w:val="41"/>
          <w:szCs w:val="41"/>
        </w:rPr>
        <w:t>$4,474</w:t>
      </w:r>
      <w:r>
        <w:rPr>
          <w:rFonts w:ascii="Arial" w:hAnsi="Arial" w:cs="Arial"/>
          <w:spacing w:val="-57"/>
          <w:w w:val="115"/>
          <w:sz w:val="41"/>
          <w:szCs w:val="41"/>
        </w:rPr>
        <w:t xml:space="preserve"> </w:t>
      </w:r>
      <w:r>
        <w:rPr>
          <w:rFonts w:ascii="Arial" w:hAnsi="Arial" w:cs="Arial"/>
          <w:spacing w:val="-17"/>
          <w:w w:val="115"/>
          <w:sz w:val="41"/>
          <w:szCs w:val="41"/>
        </w:rPr>
        <w:t>in</w:t>
      </w:r>
      <w:r>
        <w:rPr>
          <w:rFonts w:ascii="Arial" w:hAnsi="Arial" w:cs="Arial"/>
          <w:spacing w:val="-76"/>
          <w:w w:val="115"/>
          <w:sz w:val="41"/>
          <w:szCs w:val="41"/>
        </w:rPr>
        <w:t xml:space="preserve"> </w:t>
      </w:r>
      <w:r>
        <w:rPr>
          <w:rFonts w:ascii="Arial" w:hAnsi="Arial" w:cs="Arial"/>
          <w:spacing w:val="-4"/>
          <w:w w:val="115"/>
          <w:sz w:val="41"/>
          <w:szCs w:val="41"/>
        </w:rPr>
        <w:t>savings</w:t>
      </w:r>
      <w:r>
        <w:rPr>
          <w:rFonts w:ascii="Arial" w:hAnsi="Arial" w:cs="Arial"/>
          <w:spacing w:val="-55"/>
          <w:w w:val="115"/>
          <w:sz w:val="41"/>
          <w:szCs w:val="41"/>
        </w:rPr>
        <w:t xml:space="preserve"> </w:t>
      </w:r>
      <w:r>
        <w:rPr>
          <w:rFonts w:ascii="Arial" w:hAnsi="Arial" w:cs="Arial"/>
          <w:w w:val="115"/>
          <w:sz w:val="41"/>
          <w:szCs w:val="41"/>
        </w:rPr>
        <w:t>per</w:t>
      </w:r>
      <w:r>
        <w:rPr>
          <w:rFonts w:ascii="Arial" w:hAnsi="Arial" w:cs="Arial"/>
          <w:spacing w:val="-60"/>
          <w:w w:val="115"/>
          <w:sz w:val="41"/>
          <w:szCs w:val="41"/>
        </w:rPr>
        <w:t xml:space="preserve"> </w:t>
      </w:r>
      <w:r>
        <w:rPr>
          <w:rFonts w:ascii="Arial" w:hAnsi="Arial" w:cs="Arial"/>
          <w:spacing w:val="2"/>
          <w:w w:val="115"/>
          <w:sz w:val="41"/>
          <w:szCs w:val="41"/>
        </w:rPr>
        <w:t>occupied</w:t>
      </w:r>
      <w:r>
        <w:rPr>
          <w:rFonts w:ascii="Arial" w:hAnsi="Arial" w:cs="Arial"/>
          <w:spacing w:val="-62"/>
          <w:w w:val="115"/>
          <w:sz w:val="41"/>
          <w:szCs w:val="41"/>
        </w:rPr>
        <w:t xml:space="preserve"> </w:t>
      </w:r>
      <w:r>
        <w:rPr>
          <w:rFonts w:ascii="Arial" w:hAnsi="Arial" w:cs="Arial"/>
          <w:spacing w:val="-7"/>
          <w:w w:val="115"/>
          <w:sz w:val="41"/>
          <w:szCs w:val="41"/>
        </w:rPr>
        <w:t>unit</w:t>
      </w:r>
    </w:p>
    <w:p w:rsidR="002C5025" w:rsidRDefault="00FB027C">
      <w:pPr>
        <w:pStyle w:val="Heading2"/>
        <w:numPr>
          <w:ilvl w:val="0"/>
          <w:numId w:val="4"/>
        </w:numPr>
        <w:tabs>
          <w:tab w:val="left" w:pos="1938"/>
        </w:tabs>
        <w:kinsoku w:val="0"/>
        <w:overflowPunct w:val="0"/>
        <w:spacing w:before="215" w:line="280" w:lineRule="auto"/>
        <w:ind w:right="3004"/>
        <w:rPr>
          <w:spacing w:val="-3"/>
          <w:w w:val="110"/>
        </w:rPr>
      </w:pPr>
      <w:r>
        <w:rPr>
          <w:noProof/>
        </w:rPr>
        <mc:AlternateContent>
          <mc:Choice Requires="wps">
            <w:drawing>
              <wp:anchor distT="0" distB="0" distL="114300" distR="114300" simplePos="0" relativeHeight="251808256" behindDoc="1" locked="0" layoutInCell="0" allowOverlap="1">
                <wp:simplePos x="0" y="0"/>
                <wp:positionH relativeFrom="page">
                  <wp:posOffset>8489950</wp:posOffset>
                </wp:positionH>
                <wp:positionV relativeFrom="paragraph">
                  <wp:posOffset>841375</wp:posOffset>
                </wp:positionV>
                <wp:extent cx="334010" cy="870585"/>
                <wp:effectExtent l="0" t="0" r="0" b="0"/>
                <wp:wrapNone/>
                <wp:docPr id="280" name="Text Box 8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 cy="870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pStyle w:val="BodyText"/>
                              <w:kinsoku w:val="0"/>
                              <w:overflowPunct w:val="0"/>
                              <w:spacing w:line="1370" w:lineRule="exact"/>
                              <w:ind w:right="-15"/>
                              <w:rPr>
                                <w:rFonts w:ascii="Arial" w:hAnsi="Arial" w:cs="Arial"/>
                                <w:spacing w:val="-117"/>
                                <w:w w:val="45"/>
                                <w:sz w:val="137"/>
                                <w:szCs w:val="137"/>
                              </w:rPr>
                            </w:pPr>
                            <w:r>
                              <w:rPr>
                                <w:rFonts w:ascii="Arial" w:hAnsi="Arial" w:cs="Arial"/>
                                <w:spacing w:val="-117"/>
                                <w:w w:val="45"/>
                                <w:sz w:val="137"/>
                                <w:szCs w:val="137"/>
                              </w:rPr>
                              <w:t>1'S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3" o:spid="_x0000_s1281" type="#_x0000_t202" style="position:absolute;left:0;text-align:left;margin-left:668.5pt;margin-top:66.25pt;width:26.3pt;height:68.55pt;z-index:-251508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" o:allowincell="f" filled="f" stroked="f">
                <v:textbox inset="0,0,0,0">
                  <w:txbxContent>
                    <w:p w:rsidR="007B2B7B" w:rsidRDefault="007B2B7B">
                      <w:pPr>
                        <w:pStyle w:val="BodyText"/>
                        <w:kinsoku w:val="0"/>
                        <w:overflowPunct w:val="0"/>
                        <w:spacing w:line="1370" w:lineRule="exact"/>
                        <w:ind w:right="-15"/>
                        <w:rPr>
                          <w:rFonts w:ascii="Arial" w:hAnsi="Arial" w:cs="Arial"/>
                          <w:spacing w:val="-117"/>
                          <w:w w:val="45"/>
                          <w:sz w:val="137"/>
                          <w:szCs w:val="137"/>
                        </w:rPr>
                      </w:pPr>
                      <w:r>
                        <w:rPr>
                          <w:rFonts w:ascii="Arial" w:hAnsi="Arial" w:cs="Arial"/>
                          <w:spacing w:val="-117"/>
                          <w:w w:val="45"/>
                          <w:sz w:val="137"/>
                          <w:szCs w:val="137"/>
                        </w:rPr>
                        <w:t>1'S</w:t>
                      </w:r>
                    </w:p>
                  </w:txbxContent>
                </v:textbox>
                <w10:wrap anchorx="page"/>
              </v:shape>
            </w:pict>
          </mc:Fallback>
        </mc:AlternateContent>
      </w:r>
      <w:bookmarkStart w:id="255" w:name="•_Medical_costs_declined_by_68%_for_hous"/>
      <w:bookmarkEnd w:id="255"/>
      <w:r w:rsidR="002C5025">
        <w:rPr>
          <w:spacing w:val="-3"/>
          <w:w w:val="110"/>
        </w:rPr>
        <w:t xml:space="preserve">Medical </w:t>
      </w:r>
      <w:r w:rsidR="002C5025">
        <w:rPr>
          <w:w w:val="110"/>
        </w:rPr>
        <w:t>costs declined by 68% for housed</w:t>
      </w:r>
      <w:r w:rsidR="002C5025">
        <w:rPr>
          <w:spacing w:val="-60"/>
          <w:w w:val="110"/>
        </w:rPr>
        <w:t xml:space="preserve"> </w:t>
      </w:r>
      <w:r w:rsidR="002C5025">
        <w:rPr>
          <w:w w:val="110"/>
        </w:rPr>
        <w:t>group; 37% for non-housed</w:t>
      </w:r>
      <w:r w:rsidR="002C5025">
        <w:rPr>
          <w:spacing w:val="-59"/>
          <w:w w:val="110"/>
        </w:rPr>
        <w:t xml:space="preserve"> </w:t>
      </w:r>
      <w:r w:rsidR="002C5025">
        <w:rPr>
          <w:spacing w:val="-3"/>
          <w:w w:val="110"/>
        </w:rPr>
        <w:t>group</w:t>
      </w:r>
    </w:p>
    <w:p w:rsidR="002C5025" w:rsidRDefault="002C5025">
      <w:pPr>
        <w:pStyle w:val="ListParagraph"/>
        <w:numPr>
          <w:ilvl w:val="0"/>
          <w:numId w:val="4"/>
        </w:numPr>
        <w:tabs>
          <w:tab w:val="left" w:pos="1952"/>
        </w:tabs>
        <w:kinsoku w:val="0"/>
        <w:overflowPunct w:val="0"/>
        <w:spacing w:before="154"/>
        <w:ind w:left="1952" w:hanging="459"/>
        <w:rPr>
          <w:rFonts w:ascii="Arial" w:hAnsi="Arial" w:cs="Arial"/>
          <w:w w:val="110"/>
          <w:sz w:val="41"/>
          <w:szCs w:val="41"/>
        </w:rPr>
      </w:pPr>
      <w:r>
        <w:rPr>
          <w:rFonts w:ascii="Arial" w:hAnsi="Arial" w:cs="Arial"/>
          <w:w w:val="110"/>
          <w:sz w:val="41"/>
          <w:szCs w:val="41"/>
        </w:rPr>
        <w:t>Incarceration</w:t>
      </w:r>
      <w:r>
        <w:rPr>
          <w:rFonts w:ascii="Arial" w:hAnsi="Arial" w:cs="Arial"/>
          <w:spacing w:val="-41"/>
          <w:w w:val="110"/>
          <w:sz w:val="41"/>
          <w:szCs w:val="41"/>
        </w:rPr>
        <w:t xml:space="preserve"> </w:t>
      </w:r>
      <w:r>
        <w:rPr>
          <w:rFonts w:ascii="Arial" w:hAnsi="Arial" w:cs="Arial"/>
          <w:w w:val="110"/>
          <w:sz w:val="41"/>
          <w:szCs w:val="41"/>
        </w:rPr>
        <w:t>costs</w:t>
      </w:r>
      <w:r>
        <w:rPr>
          <w:rFonts w:ascii="Arial" w:hAnsi="Arial" w:cs="Arial"/>
          <w:spacing w:val="-45"/>
          <w:w w:val="110"/>
          <w:sz w:val="41"/>
          <w:szCs w:val="41"/>
        </w:rPr>
        <w:t xml:space="preserve"> </w:t>
      </w:r>
      <w:r>
        <w:rPr>
          <w:rFonts w:ascii="Arial" w:hAnsi="Arial" w:cs="Arial"/>
          <w:w w:val="110"/>
          <w:sz w:val="41"/>
          <w:szCs w:val="41"/>
        </w:rPr>
        <w:t>for</w:t>
      </w:r>
      <w:r>
        <w:rPr>
          <w:rFonts w:ascii="Arial" w:hAnsi="Arial" w:cs="Arial"/>
          <w:spacing w:val="-4"/>
          <w:w w:val="110"/>
          <w:sz w:val="41"/>
          <w:szCs w:val="41"/>
        </w:rPr>
        <w:t xml:space="preserve"> </w:t>
      </w:r>
      <w:r>
        <w:rPr>
          <w:rFonts w:ascii="Arial" w:hAnsi="Arial" w:cs="Arial"/>
          <w:w w:val="110"/>
          <w:sz w:val="41"/>
          <w:szCs w:val="41"/>
        </w:rPr>
        <w:t>non-housed</w:t>
      </w:r>
      <w:r>
        <w:rPr>
          <w:rFonts w:ascii="Arial" w:hAnsi="Arial" w:cs="Arial"/>
          <w:spacing w:val="-19"/>
          <w:w w:val="110"/>
          <w:sz w:val="41"/>
          <w:szCs w:val="41"/>
        </w:rPr>
        <w:t xml:space="preserve"> </w:t>
      </w:r>
      <w:r>
        <w:rPr>
          <w:rFonts w:ascii="Arial" w:hAnsi="Arial" w:cs="Arial"/>
          <w:w w:val="110"/>
          <w:sz w:val="41"/>
          <w:szCs w:val="41"/>
        </w:rPr>
        <w:t>group</w:t>
      </w:r>
      <w:r>
        <w:rPr>
          <w:rFonts w:ascii="Arial" w:hAnsi="Arial" w:cs="Arial"/>
          <w:spacing w:val="-32"/>
          <w:w w:val="110"/>
          <w:sz w:val="41"/>
          <w:szCs w:val="41"/>
        </w:rPr>
        <w:t xml:space="preserve"> </w:t>
      </w:r>
      <w:r>
        <w:rPr>
          <w:rFonts w:ascii="Arial" w:hAnsi="Arial" w:cs="Arial"/>
          <w:spacing w:val="-4"/>
          <w:w w:val="110"/>
          <w:sz w:val="41"/>
          <w:szCs w:val="41"/>
        </w:rPr>
        <w:t>increased</w:t>
      </w:r>
      <w:r>
        <w:rPr>
          <w:rFonts w:ascii="Arial" w:hAnsi="Arial" w:cs="Arial"/>
          <w:spacing w:val="-26"/>
          <w:w w:val="110"/>
          <w:sz w:val="41"/>
          <w:szCs w:val="41"/>
        </w:rPr>
        <w:t xml:space="preserve"> </w:t>
      </w:r>
      <w:r>
        <w:rPr>
          <w:rFonts w:ascii="Arial" w:hAnsi="Arial" w:cs="Arial"/>
          <w:w w:val="110"/>
          <w:sz w:val="41"/>
          <w:szCs w:val="41"/>
        </w:rPr>
        <w:t>by</w:t>
      </w:r>
      <w:r>
        <w:rPr>
          <w:rFonts w:ascii="Arial" w:hAnsi="Arial" w:cs="Arial"/>
          <w:spacing w:val="-46"/>
          <w:w w:val="110"/>
          <w:sz w:val="41"/>
          <w:szCs w:val="41"/>
        </w:rPr>
        <w:t xml:space="preserve"> </w:t>
      </w:r>
      <w:r>
        <w:rPr>
          <w:rFonts w:ascii="Arial" w:hAnsi="Arial" w:cs="Arial"/>
          <w:w w:val="110"/>
          <w:sz w:val="41"/>
          <w:szCs w:val="41"/>
        </w:rPr>
        <w:t>42%</w:t>
      </w:r>
    </w:p>
    <w:p w:rsidR="002C5025" w:rsidRDefault="002C5025">
      <w:pPr>
        <w:pStyle w:val="BodyText"/>
        <w:kinsoku w:val="0"/>
        <w:overflowPunct w:val="0"/>
        <w:spacing w:before="46"/>
        <w:ind w:left="1930" w:right="6291"/>
        <w:rPr>
          <w:rFonts w:ascii="Times New Roman" w:hAnsi="Times New Roman" w:cs="Times New Roman"/>
          <w:w w:val="110"/>
          <w:sz w:val="45"/>
          <w:szCs w:val="45"/>
        </w:rPr>
      </w:pPr>
      <w:r>
        <w:rPr>
          <w:rFonts w:ascii="Times New Roman" w:hAnsi="Times New Roman" w:cs="Times New Roman"/>
          <w:w w:val="110"/>
          <w:sz w:val="45"/>
          <w:szCs w:val="45"/>
        </w:rPr>
        <w:t xml:space="preserve">42% </w:t>
      </w:r>
      <w:r>
        <w:rPr>
          <w:rFonts w:ascii="Times New Roman" w:hAnsi="Times New Roman" w:cs="Times New Roman"/>
          <w:w w:val="110"/>
          <w:sz w:val="49"/>
          <w:szCs w:val="49"/>
        </w:rPr>
        <w:t xml:space="preserve">from </w:t>
      </w:r>
      <w:r>
        <w:rPr>
          <w:rFonts w:ascii="Times New Roman" w:hAnsi="Times New Roman" w:cs="Times New Roman"/>
          <w:w w:val="110"/>
          <w:sz w:val="45"/>
          <w:szCs w:val="45"/>
        </w:rPr>
        <w:t xml:space="preserve">$17,733 </w:t>
      </w:r>
      <w:r>
        <w:rPr>
          <w:rFonts w:ascii="Times New Roman" w:hAnsi="Times New Roman" w:cs="Times New Roman"/>
          <w:w w:val="110"/>
          <w:sz w:val="49"/>
          <w:szCs w:val="49"/>
        </w:rPr>
        <w:t xml:space="preserve">to </w:t>
      </w:r>
      <w:r>
        <w:rPr>
          <w:rFonts w:ascii="Times New Roman" w:hAnsi="Times New Roman" w:cs="Times New Roman"/>
          <w:w w:val="110"/>
          <w:sz w:val="45"/>
          <w:szCs w:val="45"/>
        </w:rPr>
        <w:t>$25,229</w:t>
      </w:r>
    </w:p>
    <w:p w:rsidR="002C5025" w:rsidRDefault="002C5025">
      <w:pPr>
        <w:pStyle w:val="BodyText"/>
        <w:kinsoku w:val="0"/>
        <w:overflowPunct w:val="0"/>
        <w:spacing w:before="4"/>
        <w:rPr>
          <w:rFonts w:ascii="Times New Roman" w:hAnsi="Times New Roman" w:cs="Times New Roman"/>
          <w:sz w:val="55"/>
          <w:szCs w:val="55"/>
        </w:rPr>
      </w:pPr>
    </w:p>
    <w:p w:rsidR="002C5025" w:rsidRDefault="002C5025">
      <w:pPr>
        <w:pStyle w:val="BodyText"/>
        <w:kinsoku w:val="0"/>
        <w:overflowPunct w:val="0"/>
        <w:spacing w:line="321" w:lineRule="exact"/>
        <w:ind w:right="390"/>
        <w:jc w:val="right"/>
        <w:rPr>
          <w:rFonts w:ascii="Arial" w:hAnsi="Arial" w:cs="Arial"/>
          <w:w w:val="115"/>
          <w:sz w:val="28"/>
          <w:szCs w:val="28"/>
        </w:rPr>
      </w:pPr>
      <w:bookmarkStart w:id="256" w:name="Pine_Street_Inn"/>
      <w:bookmarkEnd w:id="256"/>
      <w:r>
        <w:rPr>
          <w:rFonts w:ascii="Arial" w:hAnsi="Arial" w:cs="Arial"/>
          <w:w w:val="115"/>
          <w:sz w:val="28"/>
          <w:szCs w:val="28"/>
        </w:rPr>
        <w:t>Pine Street Inn</w:t>
      </w:r>
    </w:p>
    <w:p w:rsidR="002C5025" w:rsidRDefault="002C5025">
      <w:pPr>
        <w:pStyle w:val="BodyText"/>
        <w:kinsoku w:val="0"/>
        <w:overflowPunct w:val="0"/>
        <w:spacing w:line="149" w:lineRule="exact"/>
        <w:ind w:right="745"/>
        <w:jc w:val="right"/>
        <w:rPr>
          <w:rFonts w:ascii="Arial" w:hAnsi="Arial" w:cs="Arial"/>
          <w:w w:val="110"/>
          <w:sz w:val="13"/>
          <w:szCs w:val="13"/>
        </w:rPr>
      </w:pPr>
      <w:r>
        <w:rPr>
          <w:rFonts w:ascii="Arial" w:hAnsi="Arial" w:cs="Arial"/>
          <w:w w:val="110"/>
          <w:sz w:val="13"/>
          <w:szCs w:val="13"/>
        </w:rPr>
        <w:t>Ending  Homelessness</w:t>
      </w:r>
    </w:p>
    <w:p w:rsidR="002C5025" w:rsidRDefault="002C5025">
      <w:pPr>
        <w:pStyle w:val="BodyText"/>
        <w:kinsoku w:val="0"/>
        <w:overflowPunct w:val="0"/>
        <w:spacing w:line="149" w:lineRule="exact"/>
        <w:ind w:right="745"/>
        <w:jc w:val="right"/>
        <w:rPr>
          <w:rFonts w:ascii="Arial" w:hAnsi="Arial" w:cs="Arial"/>
          <w:w w:val="110"/>
          <w:sz w:val="13"/>
          <w:szCs w:val="13"/>
        </w:rPr>
        <w:sectPr w:rsidR="002C5025">
          <w:pgSz w:w="15840" w:h="12240" w:orient="landscape"/>
          <w:pgMar w:top="860" w:right="500" w:bottom="280" w:left="640" w:header="720" w:footer="720" w:gutter="0"/>
          <w:cols w:space="720" w:equalWidth="0">
            <w:col w:w="14700"/>
          </w:cols>
          <w:noEndnote/>
        </w:sectPr>
      </w:pPr>
    </w:p>
    <w:p w:rsidR="002C5025" w:rsidRDefault="00FB027C">
      <w:pPr>
        <w:pStyle w:val="BodyText"/>
        <w:kinsoku w:val="0"/>
        <w:overflowPunct w:val="0"/>
        <w:ind w:left="120"/>
        <w:rPr>
          <w:rFonts w:ascii="Arial" w:hAnsi="Arial" w:cs="Arial"/>
          <w:sz w:val="20"/>
          <w:szCs w:val="20"/>
        </w:rPr>
      </w:pPr>
      <w:r>
        <w:rPr>
          <w:rFonts w:ascii="Arial" w:hAnsi="Arial" w:cs="Arial"/>
          <w:noProof/>
          <w:sz w:val="20"/>
          <w:szCs w:val="20"/>
        </w:rPr>
        <w:lastRenderedPageBreak/>
        <w:drawing>
          <wp:inline distT="0" distB="0" distL="0" distR="0">
            <wp:extent cx="5962650" cy="866775"/>
            <wp:effectExtent l="0" t="0" r="0" b="9525"/>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572">
                      <a:extLst>
                        <a:ext uri="{28A0092B-C50C-407E-A947-70E740481C1C}">
                          <a14:useLocalDpi xmlns:a14="http://schemas.microsoft.com/office/drawing/2010/main" val="0"/>
                        </a:ext>
                      </a:extLst>
                    </a:blip>
                    <a:srcRect/>
                    <a:stretch>
                      <a:fillRect/>
                    </a:stretch>
                  </pic:blipFill>
                  <pic:spPr bwMode="auto">
                    <a:xfrm>
                      <a:off x="0" y="0"/>
                      <a:ext cx="5962650" cy="866775"/>
                    </a:xfrm>
                    <a:prstGeom prst="rect">
                      <a:avLst/>
                    </a:prstGeom>
                    <a:noFill/>
                    <a:ln>
                      <a:noFill/>
                    </a:ln>
                  </pic:spPr>
                </pic:pic>
              </a:graphicData>
            </a:graphic>
          </wp:inline>
        </w:drawing>
      </w:r>
    </w:p>
    <w:p w:rsidR="002C5025" w:rsidRDefault="002C5025">
      <w:pPr>
        <w:pStyle w:val="BodyText"/>
        <w:kinsoku w:val="0"/>
        <w:overflowPunct w:val="0"/>
        <w:spacing w:before="2"/>
        <w:rPr>
          <w:rFonts w:ascii="Arial" w:hAnsi="Arial" w:cs="Arial"/>
          <w:sz w:val="20"/>
          <w:szCs w:val="20"/>
        </w:rPr>
      </w:pPr>
    </w:p>
    <w:p w:rsidR="002C5025" w:rsidRDefault="002C5025">
      <w:pPr>
        <w:pStyle w:val="BodyText"/>
        <w:kinsoku w:val="0"/>
        <w:overflowPunct w:val="0"/>
        <w:spacing w:before="77"/>
        <w:ind w:left="120" w:right="296"/>
        <w:rPr>
          <w:rFonts w:ascii="Garamond" w:hAnsi="Garamond" w:cs="Garamond"/>
          <w:sz w:val="24"/>
          <w:szCs w:val="24"/>
        </w:rPr>
      </w:pPr>
      <w:bookmarkStart w:id="257" w:name="PPLM_MassHealth_1115_comments_7.15.16_FI"/>
      <w:bookmarkEnd w:id="257"/>
      <w:r>
        <w:rPr>
          <w:rFonts w:ascii="Garamond" w:hAnsi="Garamond" w:cs="Garamond"/>
          <w:sz w:val="24"/>
          <w:szCs w:val="24"/>
        </w:rPr>
        <w:t>15 July 2016</w:t>
      </w:r>
    </w:p>
    <w:p w:rsidR="002C5025" w:rsidRDefault="002C5025">
      <w:pPr>
        <w:pStyle w:val="BodyText"/>
        <w:kinsoku w:val="0"/>
        <w:overflowPunct w:val="0"/>
        <w:spacing w:before="2"/>
        <w:rPr>
          <w:rFonts w:ascii="Garamond" w:hAnsi="Garamond" w:cs="Garamond"/>
          <w:sz w:val="31"/>
          <w:szCs w:val="31"/>
        </w:rPr>
      </w:pPr>
    </w:p>
    <w:p w:rsidR="002C5025" w:rsidRDefault="002C5025">
      <w:pPr>
        <w:pStyle w:val="BodyText"/>
        <w:kinsoku w:val="0"/>
        <w:overflowPunct w:val="0"/>
        <w:spacing w:before="1" w:line="276" w:lineRule="auto"/>
        <w:ind w:left="119" w:right="6078"/>
        <w:rPr>
          <w:rFonts w:ascii="Garamond" w:hAnsi="Garamond" w:cs="Garamond"/>
          <w:sz w:val="24"/>
          <w:szCs w:val="24"/>
        </w:rPr>
      </w:pPr>
      <w:r>
        <w:rPr>
          <w:rFonts w:ascii="Garamond" w:hAnsi="Garamond" w:cs="Garamond"/>
          <w:sz w:val="24"/>
          <w:szCs w:val="24"/>
        </w:rPr>
        <w:t>Secretary Mary Lou Sudders Assistant Secretary Dan Tsai</w:t>
      </w:r>
    </w:p>
    <w:p w:rsidR="002C5025" w:rsidRDefault="002C5025">
      <w:pPr>
        <w:pStyle w:val="BodyText"/>
        <w:kinsoku w:val="0"/>
        <w:overflowPunct w:val="0"/>
        <w:spacing w:line="276" w:lineRule="auto"/>
        <w:ind w:left="120" w:right="5103"/>
        <w:rPr>
          <w:rFonts w:ascii="Garamond" w:hAnsi="Garamond" w:cs="Garamond"/>
          <w:sz w:val="24"/>
          <w:szCs w:val="24"/>
        </w:rPr>
      </w:pPr>
      <w:r>
        <w:rPr>
          <w:rFonts w:ascii="Garamond" w:hAnsi="Garamond" w:cs="Garamond"/>
          <w:sz w:val="24"/>
          <w:szCs w:val="24"/>
        </w:rPr>
        <w:t>Executive Office of Health &amp; Human Services Office of Medicaid</w:t>
      </w:r>
    </w:p>
    <w:p w:rsidR="002C5025" w:rsidRDefault="002C5025">
      <w:pPr>
        <w:pStyle w:val="BodyText"/>
        <w:kinsoku w:val="0"/>
        <w:overflowPunct w:val="0"/>
        <w:spacing w:before="1" w:line="276" w:lineRule="auto"/>
        <w:ind w:left="119" w:right="5879"/>
        <w:rPr>
          <w:rFonts w:ascii="Garamond" w:hAnsi="Garamond" w:cs="Garamond"/>
          <w:sz w:val="24"/>
          <w:szCs w:val="24"/>
        </w:rPr>
      </w:pPr>
      <w:r>
        <w:rPr>
          <w:rFonts w:ascii="Garamond" w:hAnsi="Garamond" w:cs="Garamond"/>
          <w:sz w:val="24"/>
          <w:szCs w:val="24"/>
        </w:rPr>
        <w:t>Attn: 1115 Demonstration Comments One Ashburton Place, 11th Floor Boston, MA 02108</w:t>
      </w:r>
    </w:p>
    <w:p w:rsidR="002C5025" w:rsidRDefault="002C5025">
      <w:pPr>
        <w:pStyle w:val="BodyText"/>
        <w:kinsoku w:val="0"/>
        <w:overflowPunct w:val="0"/>
        <w:spacing w:before="7"/>
        <w:rPr>
          <w:rFonts w:ascii="Garamond" w:hAnsi="Garamond" w:cs="Garamond"/>
          <w:sz w:val="27"/>
          <w:szCs w:val="27"/>
        </w:rPr>
      </w:pPr>
    </w:p>
    <w:p w:rsidR="002C5025" w:rsidRDefault="002C5025">
      <w:pPr>
        <w:pStyle w:val="BodyText"/>
        <w:kinsoku w:val="0"/>
        <w:overflowPunct w:val="0"/>
        <w:ind w:left="120" w:right="296"/>
        <w:rPr>
          <w:rFonts w:ascii="Garamond" w:hAnsi="Garamond" w:cs="Garamond"/>
          <w:sz w:val="24"/>
          <w:szCs w:val="24"/>
        </w:rPr>
      </w:pPr>
      <w:r>
        <w:rPr>
          <w:rFonts w:ascii="Garamond" w:hAnsi="Garamond" w:cs="Garamond"/>
          <w:sz w:val="24"/>
          <w:szCs w:val="24"/>
        </w:rPr>
        <w:t>Secretary Sudders and Assistant Secretary Tsai:</w:t>
      </w:r>
    </w:p>
    <w:p w:rsidR="002C5025" w:rsidRDefault="002C5025">
      <w:pPr>
        <w:pStyle w:val="BodyText"/>
        <w:kinsoku w:val="0"/>
        <w:overflowPunct w:val="0"/>
        <w:rPr>
          <w:rFonts w:ascii="Garamond" w:hAnsi="Garamond" w:cs="Garamond"/>
          <w:sz w:val="31"/>
          <w:szCs w:val="31"/>
        </w:rPr>
      </w:pPr>
    </w:p>
    <w:p w:rsidR="002C5025" w:rsidRDefault="002C5025">
      <w:pPr>
        <w:pStyle w:val="BodyText"/>
        <w:kinsoku w:val="0"/>
        <w:overflowPunct w:val="0"/>
        <w:spacing w:line="276" w:lineRule="auto"/>
        <w:ind w:left="120" w:right="296"/>
        <w:rPr>
          <w:rFonts w:ascii="Garamond" w:hAnsi="Garamond" w:cs="Garamond"/>
          <w:sz w:val="24"/>
          <w:szCs w:val="24"/>
        </w:rPr>
      </w:pPr>
      <w:r>
        <w:rPr>
          <w:rFonts w:ascii="Garamond" w:hAnsi="Garamond" w:cs="Garamond"/>
          <w:sz w:val="24"/>
          <w:szCs w:val="24"/>
        </w:rPr>
        <w:t>Thank you for the opportunity to comment on the MassHealth Section 1115 Waiver proposal. Planned</w:t>
      </w:r>
      <w:r>
        <w:rPr>
          <w:rFonts w:ascii="Garamond" w:hAnsi="Garamond" w:cs="Garamond"/>
          <w:spacing w:val="-17"/>
          <w:sz w:val="24"/>
          <w:szCs w:val="24"/>
        </w:rPr>
        <w:t xml:space="preserve"> </w:t>
      </w:r>
      <w:r>
        <w:rPr>
          <w:rFonts w:ascii="Garamond" w:hAnsi="Garamond" w:cs="Garamond"/>
          <w:sz w:val="24"/>
          <w:szCs w:val="24"/>
        </w:rPr>
        <w:t>Parenthood</w:t>
      </w:r>
      <w:r>
        <w:rPr>
          <w:rFonts w:ascii="Garamond" w:hAnsi="Garamond" w:cs="Garamond"/>
          <w:spacing w:val="-12"/>
          <w:sz w:val="24"/>
          <w:szCs w:val="24"/>
        </w:rPr>
        <w:t xml:space="preserve"> </w:t>
      </w:r>
      <w:r>
        <w:rPr>
          <w:rFonts w:ascii="Garamond" w:hAnsi="Garamond" w:cs="Garamond"/>
          <w:sz w:val="24"/>
          <w:szCs w:val="24"/>
        </w:rPr>
        <w:t>League</w:t>
      </w:r>
      <w:r>
        <w:rPr>
          <w:rFonts w:ascii="Garamond" w:hAnsi="Garamond" w:cs="Garamond"/>
          <w:spacing w:val="-13"/>
          <w:sz w:val="24"/>
          <w:szCs w:val="24"/>
        </w:rPr>
        <w:t xml:space="preserve"> </w:t>
      </w:r>
      <w:r>
        <w:rPr>
          <w:rFonts w:ascii="Garamond" w:hAnsi="Garamond" w:cs="Garamond"/>
          <w:sz w:val="24"/>
          <w:szCs w:val="24"/>
        </w:rPr>
        <w:t>of</w:t>
      </w:r>
      <w:r>
        <w:rPr>
          <w:rFonts w:ascii="Garamond" w:hAnsi="Garamond" w:cs="Garamond"/>
          <w:spacing w:val="-17"/>
          <w:sz w:val="24"/>
          <w:szCs w:val="24"/>
        </w:rPr>
        <w:t xml:space="preserve"> </w:t>
      </w:r>
      <w:r>
        <w:rPr>
          <w:rFonts w:ascii="Garamond" w:hAnsi="Garamond" w:cs="Garamond"/>
          <w:sz w:val="24"/>
          <w:szCs w:val="24"/>
        </w:rPr>
        <w:t>Massachusetts</w:t>
      </w:r>
      <w:r>
        <w:rPr>
          <w:rFonts w:ascii="Garamond" w:hAnsi="Garamond" w:cs="Garamond"/>
          <w:spacing w:val="-17"/>
          <w:sz w:val="24"/>
          <w:szCs w:val="24"/>
        </w:rPr>
        <w:t xml:space="preserve"> </w:t>
      </w:r>
      <w:r>
        <w:rPr>
          <w:rFonts w:ascii="Garamond" w:hAnsi="Garamond" w:cs="Garamond"/>
          <w:sz w:val="24"/>
          <w:szCs w:val="24"/>
        </w:rPr>
        <w:t>(PPLM)</w:t>
      </w:r>
      <w:r>
        <w:rPr>
          <w:rFonts w:ascii="Garamond" w:hAnsi="Garamond" w:cs="Garamond"/>
          <w:spacing w:val="-13"/>
          <w:sz w:val="24"/>
          <w:szCs w:val="24"/>
        </w:rPr>
        <w:t xml:space="preserve"> </w:t>
      </w:r>
      <w:r>
        <w:rPr>
          <w:rFonts w:ascii="Garamond" w:hAnsi="Garamond" w:cs="Garamond"/>
          <w:sz w:val="24"/>
          <w:szCs w:val="24"/>
        </w:rPr>
        <w:t>recognizes</w:t>
      </w:r>
      <w:r>
        <w:rPr>
          <w:rFonts w:ascii="Garamond" w:hAnsi="Garamond" w:cs="Garamond"/>
          <w:spacing w:val="-17"/>
          <w:sz w:val="24"/>
          <w:szCs w:val="24"/>
        </w:rPr>
        <w:t xml:space="preserve"> </w:t>
      </w:r>
      <w:r>
        <w:rPr>
          <w:rFonts w:ascii="Garamond" w:hAnsi="Garamond" w:cs="Garamond"/>
          <w:sz w:val="24"/>
          <w:szCs w:val="24"/>
        </w:rPr>
        <w:t>the</w:t>
      </w:r>
      <w:r>
        <w:rPr>
          <w:rFonts w:ascii="Garamond" w:hAnsi="Garamond" w:cs="Garamond"/>
          <w:spacing w:val="-16"/>
          <w:sz w:val="24"/>
          <w:szCs w:val="24"/>
        </w:rPr>
        <w:t xml:space="preserve"> </w:t>
      </w:r>
      <w:r>
        <w:rPr>
          <w:rFonts w:ascii="Garamond" w:hAnsi="Garamond" w:cs="Garamond"/>
          <w:sz w:val="24"/>
          <w:szCs w:val="24"/>
        </w:rPr>
        <w:t>considerable</w:t>
      </w:r>
      <w:r>
        <w:rPr>
          <w:rFonts w:ascii="Garamond" w:hAnsi="Garamond" w:cs="Garamond"/>
          <w:spacing w:val="-11"/>
          <w:sz w:val="24"/>
          <w:szCs w:val="24"/>
        </w:rPr>
        <w:t xml:space="preserve"> </w:t>
      </w:r>
      <w:r>
        <w:rPr>
          <w:rFonts w:ascii="Garamond" w:hAnsi="Garamond" w:cs="Garamond"/>
          <w:sz w:val="24"/>
          <w:szCs w:val="24"/>
        </w:rPr>
        <w:t>time</w:t>
      </w:r>
      <w:r>
        <w:rPr>
          <w:rFonts w:ascii="Garamond" w:hAnsi="Garamond" w:cs="Garamond"/>
          <w:spacing w:val="-16"/>
          <w:sz w:val="24"/>
          <w:szCs w:val="24"/>
        </w:rPr>
        <w:t xml:space="preserve"> </w:t>
      </w:r>
      <w:r>
        <w:rPr>
          <w:rFonts w:ascii="Garamond" w:hAnsi="Garamond" w:cs="Garamond"/>
          <w:sz w:val="24"/>
          <w:szCs w:val="24"/>
        </w:rPr>
        <w:t>and</w:t>
      </w:r>
      <w:r>
        <w:rPr>
          <w:rFonts w:ascii="Garamond" w:hAnsi="Garamond" w:cs="Garamond"/>
          <w:spacing w:val="-14"/>
          <w:sz w:val="24"/>
          <w:szCs w:val="24"/>
        </w:rPr>
        <w:t xml:space="preserve"> </w:t>
      </w:r>
      <w:r>
        <w:rPr>
          <w:rFonts w:ascii="Garamond" w:hAnsi="Garamond" w:cs="Garamond"/>
          <w:sz w:val="24"/>
          <w:szCs w:val="24"/>
        </w:rPr>
        <w:t>energy that has been spent developing this proposal. We hope you will consider the following comments before</w:t>
      </w:r>
      <w:r>
        <w:rPr>
          <w:rFonts w:ascii="Garamond" w:hAnsi="Garamond" w:cs="Garamond"/>
          <w:spacing w:val="-12"/>
          <w:sz w:val="24"/>
          <w:szCs w:val="24"/>
        </w:rPr>
        <w:t xml:space="preserve"> </w:t>
      </w:r>
      <w:r>
        <w:rPr>
          <w:rFonts w:ascii="Garamond" w:hAnsi="Garamond" w:cs="Garamond"/>
          <w:sz w:val="24"/>
          <w:szCs w:val="24"/>
        </w:rPr>
        <w:t>filing</w:t>
      </w:r>
      <w:r>
        <w:rPr>
          <w:rFonts w:ascii="Garamond" w:hAnsi="Garamond" w:cs="Garamond"/>
          <w:spacing w:val="-13"/>
          <w:sz w:val="24"/>
          <w:szCs w:val="24"/>
        </w:rPr>
        <w:t xml:space="preserve"> </w:t>
      </w:r>
      <w:r>
        <w:rPr>
          <w:rFonts w:ascii="Garamond" w:hAnsi="Garamond" w:cs="Garamond"/>
          <w:sz w:val="24"/>
          <w:szCs w:val="24"/>
        </w:rPr>
        <w:t>with</w:t>
      </w:r>
      <w:r>
        <w:rPr>
          <w:rFonts w:ascii="Garamond" w:hAnsi="Garamond" w:cs="Garamond"/>
          <w:spacing w:val="-13"/>
          <w:sz w:val="24"/>
          <w:szCs w:val="24"/>
        </w:rPr>
        <w:t xml:space="preserve"> </w:t>
      </w:r>
      <w:r>
        <w:rPr>
          <w:rFonts w:ascii="Garamond" w:hAnsi="Garamond" w:cs="Garamond"/>
          <w:sz w:val="24"/>
          <w:szCs w:val="24"/>
        </w:rPr>
        <w:t>the</w:t>
      </w:r>
      <w:r>
        <w:rPr>
          <w:rFonts w:ascii="Garamond" w:hAnsi="Garamond" w:cs="Garamond"/>
          <w:spacing w:val="-12"/>
          <w:sz w:val="24"/>
          <w:szCs w:val="24"/>
        </w:rPr>
        <w:t xml:space="preserve"> </w:t>
      </w:r>
      <w:r>
        <w:rPr>
          <w:rFonts w:ascii="Garamond" w:hAnsi="Garamond" w:cs="Garamond"/>
          <w:sz w:val="24"/>
          <w:szCs w:val="24"/>
        </w:rPr>
        <w:t>Centers</w:t>
      </w:r>
      <w:r>
        <w:rPr>
          <w:rFonts w:ascii="Garamond" w:hAnsi="Garamond" w:cs="Garamond"/>
          <w:spacing w:val="-14"/>
          <w:sz w:val="24"/>
          <w:szCs w:val="24"/>
        </w:rPr>
        <w:t xml:space="preserve"> </w:t>
      </w:r>
      <w:r>
        <w:rPr>
          <w:rFonts w:ascii="Garamond" w:hAnsi="Garamond" w:cs="Garamond"/>
          <w:sz w:val="24"/>
          <w:szCs w:val="24"/>
        </w:rPr>
        <w:t>for</w:t>
      </w:r>
      <w:r>
        <w:rPr>
          <w:rFonts w:ascii="Garamond" w:hAnsi="Garamond" w:cs="Garamond"/>
          <w:spacing w:val="-14"/>
          <w:sz w:val="24"/>
          <w:szCs w:val="24"/>
        </w:rPr>
        <w:t xml:space="preserve"> </w:t>
      </w:r>
      <w:r>
        <w:rPr>
          <w:rFonts w:ascii="Garamond" w:hAnsi="Garamond" w:cs="Garamond"/>
          <w:sz w:val="24"/>
          <w:szCs w:val="24"/>
        </w:rPr>
        <w:t>Medicare</w:t>
      </w:r>
      <w:r>
        <w:rPr>
          <w:rFonts w:ascii="Garamond" w:hAnsi="Garamond" w:cs="Garamond"/>
          <w:spacing w:val="-12"/>
          <w:sz w:val="24"/>
          <w:szCs w:val="24"/>
        </w:rPr>
        <w:t xml:space="preserve"> </w:t>
      </w:r>
      <w:r>
        <w:rPr>
          <w:rFonts w:ascii="Garamond" w:hAnsi="Garamond" w:cs="Garamond"/>
          <w:sz w:val="24"/>
          <w:szCs w:val="24"/>
        </w:rPr>
        <w:t>and</w:t>
      </w:r>
      <w:r>
        <w:rPr>
          <w:rFonts w:ascii="Garamond" w:hAnsi="Garamond" w:cs="Garamond"/>
          <w:spacing w:val="-13"/>
          <w:sz w:val="24"/>
          <w:szCs w:val="24"/>
        </w:rPr>
        <w:t xml:space="preserve"> </w:t>
      </w:r>
      <w:r>
        <w:rPr>
          <w:rFonts w:ascii="Garamond" w:hAnsi="Garamond" w:cs="Garamond"/>
          <w:sz w:val="24"/>
          <w:szCs w:val="24"/>
        </w:rPr>
        <w:t>Medicaid</w:t>
      </w:r>
      <w:r>
        <w:rPr>
          <w:rFonts w:ascii="Garamond" w:hAnsi="Garamond" w:cs="Garamond"/>
          <w:spacing w:val="-16"/>
          <w:sz w:val="24"/>
          <w:szCs w:val="24"/>
        </w:rPr>
        <w:t xml:space="preserve"> </w:t>
      </w:r>
      <w:r>
        <w:rPr>
          <w:rFonts w:ascii="Garamond" w:hAnsi="Garamond" w:cs="Garamond"/>
          <w:sz w:val="24"/>
          <w:szCs w:val="24"/>
        </w:rPr>
        <w:t>Services</w:t>
      </w:r>
      <w:r>
        <w:rPr>
          <w:rFonts w:ascii="Garamond" w:hAnsi="Garamond" w:cs="Garamond"/>
          <w:spacing w:val="-14"/>
          <w:sz w:val="24"/>
          <w:szCs w:val="24"/>
        </w:rPr>
        <w:t xml:space="preserve"> </w:t>
      </w:r>
      <w:r>
        <w:rPr>
          <w:rFonts w:ascii="Garamond" w:hAnsi="Garamond" w:cs="Garamond"/>
          <w:sz w:val="24"/>
          <w:szCs w:val="24"/>
        </w:rPr>
        <w:t>(CMS).</w:t>
      </w:r>
    </w:p>
    <w:p w:rsidR="002C5025" w:rsidRDefault="002C5025">
      <w:pPr>
        <w:pStyle w:val="BodyText"/>
        <w:kinsoku w:val="0"/>
        <w:overflowPunct w:val="0"/>
        <w:spacing w:before="198"/>
        <w:ind w:left="120" w:right="296"/>
        <w:rPr>
          <w:rFonts w:ascii="Garamond" w:hAnsi="Garamond" w:cs="Garamond"/>
          <w:sz w:val="24"/>
          <w:szCs w:val="24"/>
        </w:rPr>
      </w:pPr>
      <w:r>
        <w:rPr>
          <w:rFonts w:ascii="Garamond" w:hAnsi="Garamond" w:cs="Garamond"/>
          <w:sz w:val="24"/>
          <w:szCs w:val="24"/>
          <w:u w:val="single" w:color="000000"/>
        </w:rPr>
        <w:t>Background</w:t>
      </w:r>
    </w:p>
    <w:p w:rsidR="002C5025" w:rsidRDefault="002C5025">
      <w:pPr>
        <w:pStyle w:val="BodyText"/>
        <w:kinsoku w:val="0"/>
        <w:overflowPunct w:val="0"/>
        <w:spacing w:before="9"/>
        <w:rPr>
          <w:rFonts w:ascii="Garamond" w:hAnsi="Garamond" w:cs="Garamond"/>
          <w:sz w:val="14"/>
          <w:szCs w:val="14"/>
        </w:rPr>
      </w:pPr>
    </w:p>
    <w:p w:rsidR="002C5025" w:rsidRDefault="002C5025">
      <w:pPr>
        <w:pStyle w:val="BodyText"/>
        <w:kinsoku w:val="0"/>
        <w:overflowPunct w:val="0"/>
        <w:spacing w:before="77" w:line="276" w:lineRule="auto"/>
        <w:ind w:left="119" w:right="188"/>
        <w:rPr>
          <w:rFonts w:ascii="Garamond" w:hAnsi="Garamond" w:cs="Garamond"/>
          <w:sz w:val="24"/>
          <w:szCs w:val="24"/>
        </w:rPr>
      </w:pPr>
      <w:r>
        <w:rPr>
          <w:rFonts w:ascii="Garamond" w:hAnsi="Garamond" w:cs="Garamond"/>
          <w:sz w:val="24"/>
          <w:szCs w:val="24"/>
        </w:rPr>
        <w:t xml:space="preserve">PPLM plays an important role in the Commonwealth’s health care delivery system, serving as the largest freestanding reproductive health care provider in the state. We provide a wide </w:t>
      </w:r>
      <w:r>
        <w:rPr>
          <w:rFonts w:ascii="Garamond" w:hAnsi="Garamond" w:cs="Garamond"/>
          <w:spacing w:val="-3"/>
          <w:sz w:val="24"/>
          <w:szCs w:val="24"/>
        </w:rPr>
        <w:t xml:space="preserve">range </w:t>
      </w:r>
      <w:r>
        <w:rPr>
          <w:rFonts w:ascii="Garamond" w:hAnsi="Garamond" w:cs="Garamond"/>
          <w:sz w:val="24"/>
          <w:szCs w:val="24"/>
        </w:rPr>
        <w:t xml:space="preserve">of preventive health care services, including lifesaving cancer screenings, birth </w:t>
      </w:r>
      <w:r>
        <w:rPr>
          <w:rFonts w:ascii="Garamond" w:hAnsi="Garamond" w:cs="Garamond"/>
          <w:spacing w:val="-3"/>
          <w:sz w:val="24"/>
          <w:szCs w:val="24"/>
        </w:rPr>
        <w:t xml:space="preserve">control, </w:t>
      </w:r>
      <w:r>
        <w:rPr>
          <w:rFonts w:ascii="Garamond" w:hAnsi="Garamond" w:cs="Garamond"/>
          <w:sz w:val="24"/>
          <w:szCs w:val="24"/>
        </w:rPr>
        <w:t>testing and treatment for sexually transmitted infections (STIs), as well as abortion services.  Additionally, PPLM</w:t>
      </w:r>
      <w:r>
        <w:rPr>
          <w:rFonts w:ascii="Garamond" w:hAnsi="Garamond" w:cs="Garamond"/>
          <w:spacing w:val="-15"/>
          <w:sz w:val="24"/>
          <w:szCs w:val="24"/>
        </w:rPr>
        <w:t xml:space="preserve"> </w:t>
      </w:r>
      <w:r>
        <w:rPr>
          <w:rFonts w:ascii="Garamond" w:hAnsi="Garamond" w:cs="Garamond"/>
          <w:sz w:val="24"/>
          <w:szCs w:val="24"/>
        </w:rPr>
        <w:t>provides</w:t>
      </w:r>
      <w:r>
        <w:rPr>
          <w:rFonts w:ascii="Garamond" w:hAnsi="Garamond" w:cs="Garamond"/>
          <w:spacing w:val="-13"/>
          <w:sz w:val="24"/>
          <w:szCs w:val="24"/>
        </w:rPr>
        <w:t xml:space="preserve"> </w:t>
      </w:r>
      <w:r>
        <w:rPr>
          <w:rFonts w:ascii="Garamond" w:hAnsi="Garamond" w:cs="Garamond"/>
          <w:sz w:val="24"/>
          <w:szCs w:val="24"/>
        </w:rPr>
        <w:t>general</w:t>
      </w:r>
      <w:r>
        <w:rPr>
          <w:rFonts w:ascii="Garamond" w:hAnsi="Garamond" w:cs="Garamond"/>
          <w:spacing w:val="-14"/>
          <w:sz w:val="24"/>
          <w:szCs w:val="24"/>
        </w:rPr>
        <w:t xml:space="preserve"> </w:t>
      </w:r>
      <w:r>
        <w:rPr>
          <w:rFonts w:ascii="Garamond" w:hAnsi="Garamond" w:cs="Garamond"/>
          <w:sz w:val="24"/>
          <w:szCs w:val="24"/>
        </w:rPr>
        <w:t>behavioral</w:t>
      </w:r>
      <w:r>
        <w:rPr>
          <w:rFonts w:ascii="Garamond" w:hAnsi="Garamond" w:cs="Garamond"/>
          <w:spacing w:val="-14"/>
          <w:sz w:val="24"/>
          <w:szCs w:val="24"/>
        </w:rPr>
        <w:t xml:space="preserve"> </w:t>
      </w:r>
      <w:r>
        <w:rPr>
          <w:rFonts w:ascii="Garamond" w:hAnsi="Garamond" w:cs="Garamond"/>
          <w:sz w:val="24"/>
          <w:szCs w:val="24"/>
        </w:rPr>
        <w:t>health</w:t>
      </w:r>
      <w:r>
        <w:rPr>
          <w:rFonts w:ascii="Garamond" w:hAnsi="Garamond" w:cs="Garamond"/>
          <w:spacing w:val="-14"/>
          <w:sz w:val="24"/>
          <w:szCs w:val="24"/>
        </w:rPr>
        <w:t xml:space="preserve"> </w:t>
      </w:r>
      <w:r>
        <w:rPr>
          <w:rFonts w:ascii="Garamond" w:hAnsi="Garamond" w:cs="Garamond"/>
          <w:sz w:val="24"/>
          <w:szCs w:val="24"/>
        </w:rPr>
        <w:t>and</w:t>
      </w:r>
      <w:r>
        <w:rPr>
          <w:rFonts w:ascii="Garamond" w:hAnsi="Garamond" w:cs="Garamond"/>
          <w:spacing w:val="-14"/>
          <w:sz w:val="24"/>
          <w:szCs w:val="24"/>
        </w:rPr>
        <w:t xml:space="preserve"> </w:t>
      </w:r>
      <w:r>
        <w:rPr>
          <w:rFonts w:ascii="Garamond" w:hAnsi="Garamond" w:cs="Garamond"/>
          <w:sz w:val="24"/>
          <w:szCs w:val="24"/>
        </w:rPr>
        <w:t>addiction</w:t>
      </w:r>
      <w:r>
        <w:rPr>
          <w:rFonts w:ascii="Garamond" w:hAnsi="Garamond" w:cs="Garamond"/>
          <w:spacing w:val="-12"/>
          <w:sz w:val="24"/>
          <w:szCs w:val="24"/>
        </w:rPr>
        <w:t xml:space="preserve"> </w:t>
      </w:r>
      <w:r>
        <w:rPr>
          <w:rFonts w:ascii="Garamond" w:hAnsi="Garamond" w:cs="Garamond"/>
          <w:sz w:val="24"/>
          <w:szCs w:val="24"/>
        </w:rPr>
        <w:t>screening</w:t>
      </w:r>
      <w:r>
        <w:rPr>
          <w:rFonts w:ascii="Garamond" w:hAnsi="Garamond" w:cs="Garamond"/>
          <w:spacing w:val="-14"/>
          <w:sz w:val="24"/>
          <w:szCs w:val="24"/>
        </w:rPr>
        <w:t xml:space="preserve"> </w:t>
      </w:r>
      <w:r>
        <w:rPr>
          <w:rFonts w:ascii="Garamond" w:hAnsi="Garamond" w:cs="Garamond"/>
          <w:sz w:val="24"/>
          <w:szCs w:val="24"/>
        </w:rPr>
        <w:t>and</w:t>
      </w:r>
      <w:r>
        <w:rPr>
          <w:rFonts w:ascii="Garamond" w:hAnsi="Garamond" w:cs="Garamond"/>
          <w:spacing w:val="-12"/>
          <w:sz w:val="24"/>
          <w:szCs w:val="24"/>
        </w:rPr>
        <w:t xml:space="preserve"> </w:t>
      </w:r>
      <w:r>
        <w:rPr>
          <w:rFonts w:ascii="Garamond" w:hAnsi="Garamond" w:cs="Garamond"/>
          <w:sz w:val="24"/>
          <w:szCs w:val="24"/>
        </w:rPr>
        <w:t>makes</w:t>
      </w:r>
      <w:r>
        <w:rPr>
          <w:rFonts w:ascii="Garamond" w:hAnsi="Garamond" w:cs="Garamond"/>
          <w:spacing w:val="-17"/>
          <w:sz w:val="24"/>
          <w:szCs w:val="24"/>
        </w:rPr>
        <w:t xml:space="preserve"> </w:t>
      </w:r>
      <w:r>
        <w:rPr>
          <w:rFonts w:ascii="Garamond" w:hAnsi="Garamond" w:cs="Garamond"/>
          <w:sz w:val="24"/>
          <w:szCs w:val="24"/>
        </w:rPr>
        <w:t>referrals</w:t>
      </w:r>
      <w:r>
        <w:rPr>
          <w:rFonts w:ascii="Garamond" w:hAnsi="Garamond" w:cs="Garamond"/>
          <w:spacing w:val="-15"/>
          <w:sz w:val="24"/>
          <w:szCs w:val="24"/>
        </w:rPr>
        <w:t xml:space="preserve"> </w:t>
      </w:r>
      <w:r>
        <w:rPr>
          <w:rFonts w:ascii="Garamond" w:hAnsi="Garamond" w:cs="Garamond"/>
          <w:sz w:val="24"/>
          <w:szCs w:val="24"/>
        </w:rPr>
        <w:t>for</w:t>
      </w:r>
      <w:r>
        <w:rPr>
          <w:rFonts w:ascii="Garamond" w:hAnsi="Garamond" w:cs="Garamond"/>
          <w:spacing w:val="-15"/>
          <w:sz w:val="24"/>
          <w:szCs w:val="24"/>
        </w:rPr>
        <w:t xml:space="preserve"> </w:t>
      </w:r>
      <w:r>
        <w:rPr>
          <w:rFonts w:ascii="Garamond" w:hAnsi="Garamond" w:cs="Garamond"/>
          <w:sz w:val="24"/>
          <w:szCs w:val="24"/>
        </w:rPr>
        <w:t>behavioral health</w:t>
      </w:r>
      <w:r>
        <w:rPr>
          <w:rFonts w:ascii="Garamond" w:hAnsi="Garamond" w:cs="Garamond"/>
          <w:spacing w:val="-11"/>
          <w:sz w:val="24"/>
          <w:szCs w:val="24"/>
        </w:rPr>
        <w:t xml:space="preserve"> </w:t>
      </w:r>
      <w:r>
        <w:rPr>
          <w:rFonts w:ascii="Garamond" w:hAnsi="Garamond" w:cs="Garamond"/>
          <w:sz w:val="24"/>
          <w:szCs w:val="24"/>
        </w:rPr>
        <w:t>services.</w:t>
      </w:r>
      <w:r>
        <w:rPr>
          <w:rFonts w:ascii="Garamond" w:hAnsi="Garamond" w:cs="Garamond"/>
          <w:spacing w:val="41"/>
          <w:sz w:val="24"/>
          <w:szCs w:val="24"/>
        </w:rPr>
        <w:t xml:space="preserve"> </w:t>
      </w:r>
      <w:r>
        <w:rPr>
          <w:rFonts w:ascii="Garamond" w:hAnsi="Garamond" w:cs="Garamond"/>
          <w:sz w:val="24"/>
          <w:szCs w:val="24"/>
        </w:rPr>
        <w:t>Each</w:t>
      </w:r>
      <w:r>
        <w:rPr>
          <w:rFonts w:ascii="Garamond" w:hAnsi="Garamond" w:cs="Garamond"/>
          <w:spacing w:val="-11"/>
          <w:sz w:val="24"/>
          <w:szCs w:val="24"/>
        </w:rPr>
        <w:t xml:space="preserve"> </w:t>
      </w:r>
      <w:r>
        <w:rPr>
          <w:rFonts w:ascii="Garamond" w:hAnsi="Garamond" w:cs="Garamond"/>
          <w:sz w:val="24"/>
          <w:szCs w:val="24"/>
        </w:rPr>
        <w:t>year,</w:t>
      </w:r>
      <w:r>
        <w:rPr>
          <w:rFonts w:ascii="Garamond" w:hAnsi="Garamond" w:cs="Garamond"/>
          <w:spacing w:val="-11"/>
          <w:sz w:val="24"/>
          <w:szCs w:val="24"/>
        </w:rPr>
        <w:t xml:space="preserve"> </w:t>
      </w:r>
      <w:r>
        <w:rPr>
          <w:rFonts w:ascii="Garamond" w:hAnsi="Garamond" w:cs="Garamond"/>
          <w:sz w:val="24"/>
          <w:szCs w:val="24"/>
        </w:rPr>
        <w:t>PPLM</w:t>
      </w:r>
      <w:r>
        <w:rPr>
          <w:rFonts w:ascii="Garamond" w:hAnsi="Garamond" w:cs="Garamond"/>
          <w:spacing w:val="-12"/>
          <w:sz w:val="24"/>
          <w:szCs w:val="24"/>
        </w:rPr>
        <w:t xml:space="preserve"> </w:t>
      </w:r>
      <w:r>
        <w:rPr>
          <w:rFonts w:ascii="Garamond" w:hAnsi="Garamond" w:cs="Garamond"/>
          <w:sz w:val="24"/>
          <w:szCs w:val="24"/>
        </w:rPr>
        <w:t>provides</w:t>
      </w:r>
      <w:r>
        <w:rPr>
          <w:rFonts w:ascii="Garamond" w:hAnsi="Garamond" w:cs="Garamond"/>
          <w:spacing w:val="-10"/>
          <w:sz w:val="24"/>
          <w:szCs w:val="24"/>
        </w:rPr>
        <w:t xml:space="preserve"> </w:t>
      </w:r>
      <w:r>
        <w:rPr>
          <w:rFonts w:ascii="Garamond" w:hAnsi="Garamond" w:cs="Garamond"/>
          <w:sz w:val="24"/>
          <w:szCs w:val="24"/>
        </w:rPr>
        <w:t>sexual</w:t>
      </w:r>
      <w:r>
        <w:rPr>
          <w:rFonts w:ascii="Garamond" w:hAnsi="Garamond" w:cs="Garamond"/>
          <w:spacing w:val="-11"/>
          <w:sz w:val="24"/>
          <w:szCs w:val="24"/>
        </w:rPr>
        <w:t xml:space="preserve"> </w:t>
      </w:r>
      <w:r>
        <w:rPr>
          <w:rFonts w:ascii="Garamond" w:hAnsi="Garamond" w:cs="Garamond"/>
          <w:sz w:val="24"/>
          <w:szCs w:val="24"/>
        </w:rPr>
        <w:t>and</w:t>
      </w:r>
      <w:r>
        <w:rPr>
          <w:rFonts w:ascii="Garamond" w:hAnsi="Garamond" w:cs="Garamond"/>
          <w:spacing w:val="-9"/>
          <w:sz w:val="24"/>
          <w:szCs w:val="24"/>
        </w:rPr>
        <w:t xml:space="preserve"> </w:t>
      </w:r>
      <w:r>
        <w:rPr>
          <w:rFonts w:ascii="Garamond" w:hAnsi="Garamond" w:cs="Garamond"/>
          <w:sz w:val="24"/>
          <w:szCs w:val="24"/>
        </w:rPr>
        <w:t>reproductive</w:t>
      </w:r>
      <w:r>
        <w:rPr>
          <w:rFonts w:ascii="Garamond" w:hAnsi="Garamond" w:cs="Garamond"/>
          <w:spacing w:val="-8"/>
          <w:sz w:val="24"/>
          <w:szCs w:val="24"/>
        </w:rPr>
        <w:t xml:space="preserve"> </w:t>
      </w:r>
      <w:r>
        <w:rPr>
          <w:rFonts w:ascii="Garamond" w:hAnsi="Garamond" w:cs="Garamond"/>
          <w:sz w:val="24"/>
          <w:szCs w:val="24"/>
        </w:rPr>
        <w:t>health</w:t>
      </w:r>
      <w:r>
        <w:rPr>
          <w:rFonts w:ascii="Garamond" w:hAnsi="Garamond" w:cs="Garamond"/>
          <w:spacing w:val="-11"/>
          <w:sz w:val="24"/>
          <w:szCs w:val="24"/>
        </w:rPr>
        <w:t xml:space="preserve"> </w:t>
      </w:r>
      <w:r>
        <w:rPr>
          <w:rFonts w:ascii="Garamond" w:hAnsi="Garamond" w:cs="Garamond"/>
          <w:sz w:val="24"/>
          <w:szCs w:val="24"/>
        </w:rPr>
        <w:t>care</w:t>
      </w:r>
      <w:r>
        <w:rPr>
          <w:rFonts w:ascii="Garamond" w:hAnsi="Garamond" w:cs="Garamond"/>
          <w:spacing w:val="-13"/>
          <w:sz w:val="24"/>
          <w:szCs w:val="24"/>
        </w:rPr>
        <w:t xml:space="preserve"> </w:t>
      </w:r>
      <w:r>
        <w:rPr>
          <w:rFonts w:ascii="Garamond" w:hAnsi="Garamond" w:cs="Garamond"/>
          <w:sz w:val="24"/>
          <w:szCs w:val="24"/>
        </w:rPr>
        <w:t>to</w:t>
      </w:r>
      <w:r>
        <w:rPr>
          <w:rFonts w:ascii="Garamond" w:hAnsi="Garamond" w:cs="Garamond"/>
          <w:spacing w:val="-11"/>
          <w:sz w:val="24"/>
          <w:szCs w:val="24"/>
        </w:rPr>
        <w:t xml:space="preserve"> </w:t>
      </w:r>
      <w:r>
        <w:rPr>
          <w:rFonts w:ascii="Garamond" w:hAnsi="Garamond" w:cs="Garamond"/>
          <w:sz w:val="24"/>
          <w:szCs w:val="24"/>
        </w:rPr>
        <w:t>more</w:t>
      </w:r>
      <w:r>
        <w:rPr>
          <w:rFonts w:ascii="Garamond" w:hAnsi="Garamond" w:cs="Garamond"/>
          <w:spacing w:val="-8"/>
          <w:sz w:val="24"/>
          <w:szCs w:val="24"/>
        </w:rPr>
        <w:t xml:space="preserve"> </w:t>
      </w:r>
      <w:r>
        <w:rPr>
          <w:rFonts w:ascii="Garamond" w:hAnsi="Garamond" w:cs="Garamond"/>
          <w:sz w:val="24"/>
          <w:szCs w:val="24"/>
        </w:rPr>
        <w:t>than</w:t>
      </w:r>
      <w:r>
        <w:rPr>
          <w:rFonts w:ascii="Garamond" w:hAnsi="Garamond" w:cs="Garamond"/>
          <w:spacing w:val="-11"/>
          <w:sz w:val="24"/>
          <w:szCs w:val="24"/>
        </w:rPr>
        <w:t xml:space="preserve"> </w:t>
      </w:r>
      <w:r>
        <w:rPr>
          <w:rFonts w:ascii="Garamond" w:hAnsi="Garamond" w:cs="Garamond"/>
          <w:sz w:val="24"/>
          <w:szCs w:val="24"/>
        </w:rPr>
        <w:t>30,000 patients</w:t>
      </w:r>
      <w:r>
        <w:rPr>
          <w:rFonts w:ascii="Garamond" w:hAnsi="Garamond" w:cs="Garamond"/>
          <w:spacing w:val="-15"/>
          <w:sz w:val="24"/>
          <w:szCs w:val="24"/>
        </w:rPr>
        <w:t xml:space="preserve"> </w:t>
      </w:r>
      <w:r>
        <w:rPr>
          <w:rFonts w:ascii="Garamond" w:hAnsi="Garamond" w:cs="Garamond"/>
          <w:sz w:val="24"/>
          <w:szCs w:val="24"/>
        </w:rPr>
        <w:t>–</w:t>
      </w:r>
      <w:r>
        <w:rPr>
          <w:rFonts w:ascii="Garamond" w:hAnsi="Garamond" w:cs="Garamond"/>
          <w:spacing w:val="-10"/>
          <w:sz w:val="24"/>
          <w:szCs w:val="24"/>
        </w:rPr>
        <w:t xml:space="preserve"> </w:t>
      </w:r>
      <w:r>
        <w:rPr>
          <w:rFonts w:ascii="Garamond" w:hAnsi="Garamond" w:cs="Garamond"/>
          <w:sz w:val="24"/>
          <w:szCs w:val="24"/>
        </w:rPr>
        <w:t>40%</w:t>
      </w:r>
      <w:r>
        <w:rPr>
          <w:rFonts w:ascii="Garamond" w:hAnsi="Garamond" w:cs="Garamond"/>
          <w:spacing w:val="-13"/>
          <w:sz w:val="24"/>
          <w:szCs w:val="24"/>
        </w:rPr>
        <w:t xml:space="preserve"> </w:t>
      </w:r>
      <w:r>
        <w:rPr>
          <w:rFonts w:ascii="Garamond" w:hAnsi="Garamond" w:cs="Garamond"/>
          <w:sz w:val="24"/>
          <w:szCs w:val="24"/>
        </w:rPr>
        <w:t>percent</w:t>
      </w:r>
      <w:r>
        <w:rPr>
          <w:rFonts w:ascii="Garamond" w:hAnsi="Garamond" w:cs="Garamond"/>
          <w:spacing w:val="-13"/>
          <w:sz w:val="24"/>
          <w:szCs w:val="24"/>
        </w:rPr>
        <w:t xml:space="preserve"> </w:t>
      </w:r>
      <w:r>
        <w:rPr>
          <w:rFonts w:ascii="Garamond" w:hAnsi="Garamond" w:cs="Garamond"/>
          <w:sz w:val="24"/>
          <w:szCs w:val="24"/>
        </w:rPr>
        <w:t>of</w:t>
      </w:r>
      <w:r>
        <w:rPr>
          <w:rFonts w:ascii="Garamond" w:hAnsi="Garamond" w:cs="Garamond"/>
          <w:spacing w:val="-13"/>
          <w:sz w:val="24"/>
          <w:szCs w:val="24"/>
        </w:rPr>
        <w:t xml:space="preserve"> </w:t>
      </w:r>
      <w:r>
        <w:rPr>
          <w:rFonts w:ascii="Garamond" w:hAnsi="Garamond" w:cs="Garamond"/>
          <w:sz w:val="24"/>
          <w:szCs w:val="24"/>
        </w:rPr>
        <w:t>these</w:t>
      </w:r>
      <w:r>
        <w:rPr>
          <w:rFonts w:ascii="Garamond" w:hAnsi="Garamond" w:cs="Garamond"/>
          <w:spacing w:val="-9"/>
          <w:sz w:val="24"/>
          <w:szCs w:val="24"/>
        </w:rPr>
        <w:t xml:space="preserve"> </w:t>
      </w:r>
      <w:r>
        <w:rPr>
          <w:rFonts w:ascii="Garamond" w:hAnsi="Garamond" w:cs="Garamond"/>
          <w:sz w:val="24"/>
          <w:szCs w:val="24"/>
        </w:rPr>
        <w:t>patients</w:t>
      </w:r>
      <w:r>
        <w:rPr>
          <w:rFonts w:ascii="Garamond" w:hAnsi="Garamond" w:cs="Garamond"/>
          <w:spacing w:val="-13"/>
          <w:sz w:val="24"/>
          <w:szCs w:val="24"/>
        </w:rPr>
        <w:t xml:space="preserve"> </w:t>
      </w:r>
      <w:r>
        <w:rPr>
          <w:rFonts w:ascii="Garamond" w:hAnsi="Garamond" w:cs="Garamond"/>
          <w:sz w:val="24"/>
          <w:szCs w:val="24"/>
        </w:rPr>
        <w:t>are</w:t>
      </w:r>
      <w:r>
        <w:rPr>
          <w:rFonts w:ascii="Garamond" w:hAnsi="Garamond" w:cs="Garamond"/>
          <w:spacing w:val="-11"/>
          <w:sz w:val="24"/>
          <w:szCs w:val="24"/>
        </w:rPr>
        <w:t xml:space="preserve"> </w:t>
      </w:r>
      <w:r>
        <w:rPr>
          <w:rFonts w:ascii="Garamond" w:hAnsi="Garamond" w:cs="Garamond"/>
          <w:sz w:val="24"/>
          <w:szCs w:val="24"/>
        </w:rPr>
        <w:t>insured</w:t>
      </w:r>
      <w:r>
        <w:rPr>
          <w:rFonts w:ascii="Garamond" w:hAnsi="Garamond" w:cs="Garamond"/>
          <w:spacing w:val="-12"/>
          <w:sz w:val="24"/>
          <w:szCs w:val="24"/>
        </w:rPr>
        <w:t xml:space="preserve"> </w:t>
      </w:r>
      <w:r>
        <w:rPr>
          <w:rFonts w:ascii="Garamond" w:hAnsi="Garamond" w:cs="Garamond"/>
          <w:sz w:val="24"/>
          <w:szCs w:val="24"/>
        </w:rPr>
        <w:t>through</w:t>
      </w:r>
      <w:r>
        <w:rPr>
          <w:rFonts w:ascii="Garamond" w:hAnsi="Garamond" w:cs="Garamond"/>
          <w:spacing w:val="-12"/>
          <w:sz w:val="24"/>
          <w:szCs w:val="24"/>
        </w:rPr>
        <w:t xml:space="preserve"> </w:t>
      </w:r>
      <w:r>
        <w:rPr>
          <w:rFonts w:ascii="Garamond" w:hAnsi="Garamond" w:cs="Garamond"/>
          <w:sz w:val="24"/>
          <w:szCs w:val="24"/>
        </w:rPr>
        <w:t>MassHealth.</w:t>
      </w:r>
    </w:p>
    <w:p w:rsidR="002C5025" w:rsidRDefault="002C5025">
      <w:pPr>
        <w:pStyle w:val="BodyText"/>
        <w:kinsoku w:val="0"/>
        <w:overflowPunct w:val="0"/>
        <w:spacing w:before="198"/>
        <w:ind w:left="120" w:right="296"/>
        <w:rPr>
          <w:rFonts w:ascii="Garamond" w:hAnsi="Garamond" w:cs="Garamond"/>
          <w:sz w:val="24"/>
          <w:szCs w:val="24"/>
        </w:rPr>
      </w:pPr>
      <w:r>
        <w:rPr>
          <w:rFonts w:ascii="Garamond" w:hAnsi="Garamond" w:cs="Garamond"/>
          <w:sz w:val="24"/>
          <w:szCs w:val="24"/>
          <w:u w:val="single" w:color="000000"/>
        </w:rPr>
        <w:t>PPLM’s Role in Accountable Care Organizations (ACOs)</w:t>
      </w:r>
    </w:p>
    <w:p w:rsidR="002C5025" w:rsidRDefault="002C5025">
      <w:pPr>
        <w:pStyle w:val="BodyText"/>
        <w:kinsoku w:val="0"/>
        <w:overflowPunct w:val="0"/>
        <w:spacing w:before="9"/>
        <w:rPr>
          <w:rFonts w:ascii="Garamond" w:hAnsi="Garamond" w:cs="Garamond"/>
          <w:sz w:val="14"/>
          <w:szCs w:val="14"/>
        </w:rPr>
      </w:pPr>
    </w:p>
    <w:p w:rsidR="002C5025" w:rsidRDefault="002C5025">
      <w:pPr>
        <w:pStyle w:val="BodyText"/>
        <w:kinsoku w:val="0"/>
        <w:overflowPunct w:val="0"/>
        <w:spacing w:before="77" w:line="276" w:lineRule="auto"/>
        <w:ind w:left="119" w:right="420"/>
        <w:rPr>
          <w:rFonts w:ascii="Garamond" w:hAnsi="Garamond" w:cs="Garamond"/>
          <w:sz w:val="24"/>
          <w:szCs w:val="24"/>
        </w:rPr>
      </w:pPr>
      <w:r>
        <w:rPr>
          <w:rFonts w:ascii="Garamond" w:hAnsi="Garamond" w:cs="Garamond"/>
          <w:sz w:val="24"/>
          <w:szCs w:val="24"/>
        </w:rPr>
        <w:t>PPLM is eager to play a partnership role as a referral provider in multiple ACO networks. A cost effective option for ACOs, PPLM serves not just as a subcontractor of care, but as an active participant in quality and service metrics, as well as alternative payment models. For example, our on-site lab provides lower cost, faster turnaround for STI and other tests. In spite of this, we recognize that entering into these partnerships may be challenging given PPLM’s the relatively narrower scope of services provided compared to many primary care providers. As such, MassHealth’s work to encourage ACOs to buy/partner for services rather than building them is critical.</w:t>
      </w:r>
    </w:p>
    <w:p w:rsidR="002C5025" w:rsidRDefault="002C5025">
      <w:pPr>
        <w:pStyle w:val="BodyText"/>
        <w:kinsoku w:val="0"/>
        <w:overflowPunct w:val="0"/>
        <w:spacing w:before="77" w:line="276" w:lineRule="auto"/>
        <w:ind w:left="119" w:right="420"/>
        <w:rPr>
          <w:rFonts w:ascii="Garamond" w:hAnsi="Garamond" w:cs="Garamond"/>
          <w:sz w:val="24"/>
          <w:szCs w:val="24"/>
        </w:rPr>
        <w:sectPr w:rsidR="002C5025">
          <w:pgSz w:w="12240" w:h="15840"/>
          <w:pgMar w:top="1440" w:right="1340" w:bottom="280" w:left="1320" w:header="720" w:footer="720" w:gutter="0"/>
          <w:cols w:space="720" w:equalWidth="0">
            <w:col w:w="9580"/>
          </w:cols>
          <w:noEndnote/>
        </w:sectPr>
      </w:pPr>
    </w:p>
    <w:p w:rsidR="002C5025" w:rsidRDefault="002C5025">
      <w:pPr>
        <w:pStyle w:val="BodyText"/>
        <w:kinsoku w:val="0"/>
        <w:overflowPunct w:val="0"/>
        <w:rPr>
          <w:rFonts w:ascii="Garamond" w:hAnsi="Garamond" w:cs="Garamond"/>
          <w:sz w:val="20"/>
          <w:szCs w:val="20"/>
        </w:rPr>
      </w:pPr>
    </w:p>
    <w:p w:rsidR="002C5025" w:rsidRDefault="002C5025">
      <w:pPr>
        <w:pStyle w:val="BodyText"/>
        <w:kinsoku w:val="0"/>
        <w:overflowPunct w:val="0"/>
        <w:spacing w:before="4"/>
        <w:rPr>
          <w:rFonts w:ascii="Garamond" w:hAnsi="Garamond" w:cs="Garamond"/>
        </w:rPr>
      </w:pPr>
    </w:p>
    <w:p w:rsidR="002C5025" w:rsidRDefault="002C5025">
      <w:pPr>
        <w:pStyle w:val="BodyText"/>
        <w:kinsoku w:val="0"/>
        <w:overflowPunct w:val="0"/>
        <w:ind w:left="100" w:right="187"/>
        <w:rPr>
          <w:rFonts w:ascii="Garamond" w:hAnsi="Garamond" w:cs="Garamond"/>
          <w:sz w:val="24"/>
          <w:szCs w:val="24"/>
        </w:rPr>
      </w:pPr>
      <w:r>
        <w:rPr>
          <w:rFonts w:ascii="Garamond" w:hAnsi="Garamond" w:cs="Garamond"/>
          <w:sz w:val="24"/>
          <w:szCs w:val="24"/>
          <w:u w:val="single" w:color="000000"/>
        </w:rPr>
        <w:t>Recommendations:</w:t>
      </w:r>
    </w:p>
    <w:p w:rsidR="002C5025" w:rsidRDefault="002C5025">
      <w:pPr>
        <w:pStyle w:val="BodyText"/>
        <w:kinsoku w:val="0"/>
        <w:overflowPunct w:val="0"/>
        <w:spacing w:before="4"/>
        <w:rPr>
          <w:rFonts w:ascii="Garamond" w:hAnsi="Garamond" w:cs="Garamond"/>
          <w:sz w:val="24"/>
          <w:szCs w:val="24"/>
        </w:rPr>
      </w:pPr>
    </w:p>
    <w:p w:rsidR="002C5025" w:rsidRDefault="002C5025">
      <w:pPr>
        <w:pStyle w:val="ListParagraph"/>
        <w:numPr>
          <w:ilvl w:val="0"/>
          <w:numId w:val="3"/>
        </w:numPr>
        <w:tabs>
          <w:tab w:val="left" w:pos="820"/>
        </w:tabs>
        <w:kinsoku w:val="0"/>
        <w:overflowPunct w:val="0"/>
        <w:spacing w:before="77" w:line="276" w:lineRule="auto"/>
        <w:ind w:right="107"/>
        <w:rPr>
          <w:rFonts w:ascii="Garamond" w:hAnsi="Garamond" w:cs="Garamond"/>
        </w:rPr>
      </w:pPr>
      <w:r>
        <w:rPr>
          <w:rFonts w:ascii="Garamond" w:hAnsi="Garamond" w:cs="Garamond"/>
          <w:b/>
          <w:bCs/>
          <w:u w:val="single" w:color="000000"/>
        </w:rPr>
        <w:t>Additional consideration for small providers is necessary to meet ACO goals</w:t>
      </w:r>
      <w:r>
        <w:rPr>
          <w:rFonts w:ascii="Garamond" w:hAnsi="Garamond" w:cs="Garamond"/>
        </w:rPr>
        <w:t>: We appreciate that the Commonwealth has stated its intention “to balance the needs of large health systems with those of small community providers.” However, the waiver proposal does not provide sufficient attention to this important issue. It is our hope and recommendation that small providers will be able to actively participate in shared savings models</w:t>
      </w:r>
      <w:r>
        <w:rPr>
          <w:rFonts w:ascii="Garamond" w:hAnsi="Garamond" w:cs="Garamond"/>
          <w:spacing w:val="-14"/>
        </w:rPr>
        <w:t xml:space="preserve"> </w:t>
      </w:r>
      <w:r>
        <w:rPr>
          <w:rFonts w:ascii="Garamond" w:hAnsi="Garamond" w:cs="Garamond"/>
        </w:rPr>
        <w:t>and</w:t>
      </w:r>
      <w:r>
        <w:rPr>
          <w:rFonts w:ascii="Garamond" w:hAnsi="Garamond" w:cs="Garamond"/>
          <w:spacing w:val="-10"/>
        </w:rPr>
        <w:t xml:space="preserve"> </w:t>
      </w:r>
      <w:r>
        <w:rPr>
          <w:rFonts w:ascii="Garamond" w:hAnsi="Garamond" w:cs="Garamond"/>
        </w:rPr>
        <w:t>that</w:t>
      </w:r>
      <w:r>
        <w:rPr>
          <w:rFonts w:ascii="Garamond" w:hAnsi="Garamond" w:cs="Garamond"/>
          <w:spacing w:val="-11"/>
        </w:rPr>
        <w:t xml:space="preserve"> </w:t>
      </w:r>
      <w:r>
        <w:rPr>
          <w:rFonts w:ascii="Garamond" w:hAnsi="Garamond" w:cs="Garamond"/>
        </w:rPr>
        <w:t>MassHealth</w:t>
      </w:r>
      <w:r>
        <w:rPr>
          <w:rFonts w:ascii="Garamond" w:hAnsi="Garamond" w:cs="Garamond"/>
          <w:spacing w:val="-10"/>
        </w:rPr>
        <w:t xml:space="preserve"> </w:t>
      </w:r>
      <w:r>
        <w:rPr>
          <w:rFonts w:ascii="Garamond" w:hAnsi="Garamond" w:cs="Garamond"/>
        </w:rPr>
        <w:t>will</w:t>
      </w:r>
      <w:r>
        <w:rPr>
          <w:rFonts w:ascii="Garamond" w:hAnsi="Garamond" w:cs="Garamond"/>
          <w:spacing w:val="-10"/>
        </w:rPr>
        <w:t xml:space="preserve"> </w:t>
      </w:r>
      <w:r>
        <w:rPr>
          <w:rFonts w:ascii="Garamond" w:hAnsi="Garamond" w:cs="Garamond"/>
        </w:rPr>
        <w:t>develop</w:t>
      </w:r>
      <w:r>
        <w:rPr>
          <w:rFonts w:ascii="Garamond" w:hAnsi="Garamond" w:cs="Garamond"/>
          <w:spacing w:val="-8"/>
        </w:rPr>
        <w:t xml:space="preserve"> </w:t>
      </w:r>
      <w:r>
        <w:rPr>
          <w:rFonts w:ascii="Garamond" w:hAnsi="Garamond" w:cs="Garamond"/>
        </w:rPr>
        <w:t>incentives</w:t>
      </w:r>
      <w:r>
        <w:rPr>
          <w:rFonts w:ascii="Garamond" w:hAnsi="Garamond" w:cs="Garamond"/>
          <w:spacing w:val="-14"/>
        </w:rPr>
        <w:t xml:space="preserve"> </w:t>
      </w:r>
      <w:r>
        <w:rPr>
          <w:rFonts w:ascii="Garamond" w:hAnsi="Garamond" w:cs="Garamond"/>
        </w:rPr>
        <w:t>for</w:t>
      </w:r>
      <w:r>
        <w:rPr>
          <w:rFonts w:ascii="Garamond" w:hAnsi="Garamond" w:cs="Garamond"/>
          <w:spacing w:val="-11"/>
        </w:rPr>
        <w:t xml:space="preserve"> </w:t>
      </w:r>
      <w:r>
        <w:rPr>
          <w:rFonts w:ascii="Garamond" w:hAnsi="Garamond" w:cs="Garamond"/>
        </w:rPr>
        <w:t>ACOs</w:t>
      </w:r>
      <w:r>
        <w:rPr>
          <w:rFonts w:ascii="Garamond" w:hAnsi="Garamond" w:cs="Garamond"/>
          <w:spacing w:val="-14"/>
        </w:rPr>
        <w:t xml:space="preserve"> </w:t>
      </w:r>
      <w:r>
        <w:rPr>
          <w:rFonts w:ascii="Garamond" w:hAnsi="Garamond" w:cs="Garamond"/>
        </w:rPr>
        <w:t>to</w:t>
      </w:r>
      <w:r>
        <w:rPr>
          <w:rFonts w:ascii="Garamond" w:hAnsi="Garamond" w:cs="Garamond"/>
          <w:spacing w:val="-10"/>
        </w:rPr>
        <w:t xml:space="preserve"> </w:t>
      </w:r>
      <w:r>
        <w:rPr>
          <w:rFonts w:ascii="Garamond" w:hAnsi="Garamond" w:cs="Garamond"/>
        </w:rPr>
        <w:t>create</w:t>
      </w:r>
      <w:r>
        <w:rPr>
          <w:rFonts w:ascii="Garamond" w:hAnsi="Garamond" w:cs="Garamond"/>
          <w:spacing w:val="-9"/>
        </w:rPr>
        <w:t xml:space="preserve"> </w:t>
      </w:r>
      <w:r>
        <w:rPr>
          <w:rFonts w:ascii="Garamond" w:hAnsi="Garamond" w:cs="Garamond"/>
        </w:rPr>
        <w:t>partnership</w:t>
      </w:r>
      <w:r>
        <w:rPr>
          <w:rFonts w:ascii="Garamond" w:hAnsi="Garamond" w:cs="Garamond"/>
          <w:spacing w:val="-10"/>
        </w:rPr>
        <w:t xml:space="preserve"> </w:t>
      </w:r>
      <w:r>
        <w:rPr>
          <w:rFonts w:ascii="Garamond" w:hAnsi="Garamond" w:cs="Garamond"/>
        </w:rPr>
        <w:t xml:space="preserve">models with smaller providers. As such, we are pleased that the Commonwealth has proposed </w:t>
      </w:r>
      <w:r>
        <w:rPr>
          <w:rFonts w:ascii="Garamond" w:hAnsi="Garamond" w:cs="Garamond"/>
          <w:spacing w:val="-3"/>
        </w:rPr>
        <w:t xml:space="preserve">the </w:t>
      </w:r>
      <w:r>
        <w:rPr>
          <w:rFonts w:ascii="Garamond" w:hAnsi="Garamond" w:cs="Garamond"/>
        </w:rPr>
        <w:t>Alternative Payment Methodology (APM) Preparation Fund. This grant program will help increase ACO participation by supporting smaller providers like PPLM in efforts to join ACOs.</w:t>
      </w:r>
      <w:r>
        <w:rPr>
          <w:rFonts w:ascii="Garamond" w:hAnsi="Garamond" w:cs="Garamond"/>
          <w:spacing w:val="40"/>
        </w:rPr>
        <w:t xml:space="preserve"> </w:t>
      </w:r>
      <w:r>
        <w:rPr>
          <w:rFonts w:ascii="Garamond" w:hAnsi="Garamond" w:cs="Garamond"/>
        </w:rPr>
        <w:t>However,</w:t>
      </w:r>
      <w:r>
        <w:rPr>
          <w:rFonts w:ascii="Garamond" w:hAnsi="Garamond" w:cs="Garamond"/>
          <w:spacing w:val="-10"/>
        </w:rPr>
        <w:t xml:space="preserve"> </w:t>
      </w:r>
      <w:r>
        <w:rPr>
          <w:rFonts w:ascii="Garamond" w:hAnsi="Garamond" w:cs="Garamond"/>
        </w:rPr>
        <w:t>we</w:t>
      </w:r>
      <w:r>
        <w:rPr>
          <w:rFonts w:ascii="Garamond" w:hAnsi="Garamond" w:cs="Garamond"/>
          <w:spacing w:val="-12"/>
        </w:rPr>
        <w:t xml:space="preserve"> </w:t>
      </w:r>
      <w:r>
        <w:rPr>
          <w:rFonts w:ascii="Garamond" w:hAnsi="Garamond" w:cs="Garamond"/>
        </w:rPr>
        <w:t>are</w:t>
      </w:r>
      <w:r>
        <w:rPr>
          <w:rFonts w:ascii="Garamond" w:hAnsi="Garamond" w:cs="Garamond"/>
          <w:spacing w:val="-12"/>
        </w:rPr>
        <w:t xml:space="preserve"> </w:t>
      </w:r>
      <w:r>
        <w:rPr>
          <w:rFonts w:ascii="Garamond" w:hAnsi="Garamond" w:cs="Garamond"/>
        </w:rPr>
        <w:t>concerned</w:t>
      </w:r>
      <w:r>
        <w:rPr>
          <w:rFonts w:ascii="Garamond" w:hAnsi="Garamond" w:cs="Garamond"/>
          <w:spacing w:val="-10"/>
        </w:rPr>
        <w:t xml:space="preserve"> </w:t>
      </w:r>
      <w:r>
        <w:rPr>
          <w:rFonts w:ascii="Garamond" w:hAnsi="Garamond" w:cs="Garamond"/>
        </w:rPr>
        <w:t>that</w:t>
      </w:r>
      <w:r>
        <w:rPr>
          <w:rFonts w:ascii="Garamond" w:hAnsi="Garamond" w:cs="Garamond"/>
          <w:spacing w:val="-11"/>
        </w:rPr>
        <w:t xml:space="preserve"> </w:t>
      </w:r>
      <w:r>
        <w:rPr>
          <w:rFonts w:ascii="Garamond" w:hAnsi="Garamond" w:cs="Garamond"/>
        </w:rPr>
        <w:t>by</w:t>
      </w:r>
      <w:r>
        <w:rPr>
          <w:rFonts w:ascii="Garamond" w:hAnsi="Garamond" w:cs="Garamond"/>
          <w:spacing w:val="-9"/>
        </w:rPr>
        <w:t xml:space="preserve"> </w:t>
      </w:r>
      <w:r>
        <w:rPr>
          <w:rFonts w:ascii="Garamond" w:hAnsi="Garamond" w:cs="Garamond"/>
        </w:rPr>
        <w:t>the</w:t>
      </w:r>
      <w:r>
        <w:rPr>
          <w:rFonts w:ascii="Garamond" w:hAnsi="Garamond" w:cs="Garamond"/>
          <w:spacing w:val="-9"/>
        </w:rPr>
        <w:t xml:space="preserve"> </w:t>
      </w:r>
      <w:r>
        <w:rPr>
          <w:rFonts w:ascii="Garamond" w:hAnsi="Garamond" w:cs="Garamond"/>
        </w:rPr>
        <w:t>time</w:t>
      </w:r>
      <w:r>
        <w:rPr>
          <w:rFonts w:ascii="Garamond" w:hAnsi="Garamond" w:cs="Garamond"/>
          <w:spacing w:val="-12"/>
        </w:rPr>
        <w:t xml:space="preserve"> </w:t>
      </w:r>
      <w:r>
        <w:rPr>
          <w:rFonts w:ascii="Garamond" w:hAnsi="Garamond" w:cs="Garamond"/>
        </w:rPr>
        <w:t>the</w:t>
      </w:r>
      <w:r>
        <w:rPr>
          <w:rFonts w:ascii="Garamond" w:hAnsi="Garamond" w:cs="Garamond"/>
          <w:spacing w:val="-9"/>
        </w:rPr>
        <w:t xml:space="preserve"> </w:t>
      </w:r>
      <w:r>
        <w:rPr>
          <w:rFonts w:ascii="Garamond" w:hAnsi="Garamond" w:cs="Garamond"/>
        </w:rPr>
        <w:t>fund</w:t>
      </w:r>
      <w:r>
        <w:rPr>
          <w:rFonts w:ascii="Garamond" w:hAnsi="Garamond" w:cs="Garamond"/>
          <w:spacing w:val="-10"/>
        </w:rPr>
        <w:t xml:space="preserve"> </w:t>
      </w:r>
      <w:r>
        <w:rPr>
          <w:rFonts w:ascii="Garamond" w:hAnsi="Garamond" w:cs="Garamond"/>
        </w:rPr>
        <w:t>is</w:t>
      </w:r>
      <w:r>
        <w:rPr>
          <w:rFonts w:ascii="Garamond" w:hAnsi="Garamond" w:cs="Garamond"/>
          <w:spacing w:val="-11"/>
        </w:rPr>
        <w:t xml:space="preserve"> </w:t>
      </w:r>
      <w:r>
        <w:rPr>
          <w:rFonts w:ascii="Garamond" w:hAnsi="Garamond" w:cs="Garamond"/>
        </w:rPr>
        <w:t>established</w:t>
      </w:r>
      <w:r>
        <w:rPr>
          <w:rFonts w:ascii="Garamond" w:hAnsi="Garamond" w:cs="Garamond"/>
          <w:spacing w:val="-13"/>
        </w:rPr>
        <w:t xml:space="preserve"> </w:t>
      </w:r>
      <w:r>
        <w:rPr>
          <w:rFonts w:ascii="Garamond" w:hAnsi="Garamond" w:cs="Garamond"/>
        </w:rPr>
        <w:t>and</w:t>
      </w:r>
      <w:r>
        <w:rPr>
          <w:rFonts w:ascii="Garamond" w:hAnsi="Garamond" w:cs="Garamond"/>
          <w:spacing w:val="-13"/>
        </w:rPr>
        <w:t xml:space="preserve"> </w:t>
      </w:r>
      <w:r>
        <w:rPr>
          <w:rFonts w:ascii="Garamond" w:hAnsi="Garamond" w:cs="Garamond"/>
        </w:rPr>
        <w:t xml:space="preserve">investments are made, many large and mid-size providers will have already made decisions about ACO participation. We urge the Commonwealth to consider fast-tracking this APM Preparation Fund so that smaller providers and their patients are not left behind. Such fast-tracking will also be critical for MassHealth to achieve its goal of enrolling at least 60% of eligible MassHealth lives in ACOs by Year 5. In addition, MCOs should be expected to support all providers “in making the shift to accountable care </w:t>
      </w:r>
      <w:r>
        <w:rPr>
          <w:rFonts w:ascii="Garamond" w:hAnsi="Garamond" w:cs="Garamond"/>
          <w:spacing w:val="-3"/>
        </w:rPr>
        <w:t xml:space="preserve">through </w:t>
      </w:r>
      <w:r>
        <w:rPr>
          <w:rFonts w:ascii="Garamond" w:hAnsi="Garamond" w:cs="Garamond"/>
        </w:rPr>
        <w:t>provisions of analytics and reports for population</w:t>
      </w:r>
      <w:r>
        <w:rPr>
          <w:rFonts w:ascii="Garamond" w:hAnsi="Garamond" w:cs="Garamond"/>
          <w:spacing w:val="-27"/>
        </w:rPr>
        <w:t xml:space="preserve"> </w:t>
      </w:r>
      <w:r>
        <w:rPr>
          <w:rFonts w:ascii="Garamond" w:hAnsi="Garamond" w:cs="Garamond"/>
        </w:rPr>
        <w:t>management.”</w:t>
      </w:r>
    </w:p>
    <w:p w:rsidR="002C5025" w:rsidRDefault="002C5025">
      <w:pPr>
        <w:pStyle w:val="ListParagraph"/>
        <w:numPr>
          <w:ilvl w:val="0"/>
          <w:numId w:val="3"/>
        </w:numPr>
        <w:tabs>
          <w:tab w:val="left" w:pos="820"/>
        </w:tabs>
        <w:kinsoku w:val="0"/>
        <w:overflowPunct w:val="0"/>
        <w:spacing w:before="196" w:line="276" w:lineRule="auto"/>
        <w:ind w:right="167"/>
        <w:rPr>
          <w:rFonts w:ascii="Garamond" w:hAnsi="Garamond" w:cs="Garamond"/>
        </w:rPr>
      </w:pPr>
      <w:r>
        <w:rPr>
          <w:rFonts w:ascii="Garamond" w:hAnsi="Garamond" w:cs="Garamond"/>
          <w:b/>
          <w:bCs/>
          <w:u w:val="single" w:color="000000"/>
        </w:rPr>
        <w:t>Expand the definition of Community Partner (CP)</w:t>
      </w:r>
      <w:r>
        <w:rPr>
          <w:rFonts w:ascii="Garamond" w:hAnsi="Garamond" w:cs="Garamond"/>
        </w:rPr>
        <w:t>: PPLM appreciates the importance of Behavioral Health (BH) and Long Term Services and Supports (LTSS) providers. We continue to believe that the CP definition should be expanded to include partners that address</w:t>
      </w:r>
      <w:r>
        <w:rPr>
          <w:rFonts w:ascii="Garamond" w:hAnsi="Garamond" w:cs="Garamond"/>
          <w:spacing w:val="-15"/>
        </w:rPr>
        <w:t xml:space="preserve"> </w:t>
      </w:r>
      <w:r>
        <w:rPr>
          <w:rFonts w:ascii="Garamond" w:hAnsi="Garamond" w:cs="Garamond"/>
        </w:rPr>
        <w:t>other</w:t>
      </w:r>
      <w:r>
        <w:rPr>
          <w:rFonts w:ascii="Garamond" w:hAnsi="Garamond" w:cs="Garamond"/>
          <w:spacing w:val="-11"/>
        </w:rPr>
        <w:t xml:space="preserve"> </w:t>
      </w:r>
      <w:r>
        <w:rPr>
          <w:rFonts w:ascii="Garamond" w:hAnsi="Garamond" w:cs="Garamond"/>
        </w:rPr>
        <w:t>key</w:t>
      </w:r>
      <w:r>
        <w:rPr>
          <w:rFonts w:ascii="Garamond" w:hAnsi="Garamond" w:cs="Garamond"/>
          <w:spacing w:val="-9"/>
        </w:rPr>
        <w:t xml:space="preserve"> </w:t>
      </w:r>
      <w:r>
        <w:rPr>
          <w:rFonts w:ascii="Garamond" w:hAnsi="Garamond" w:cs="Garamond"/>
        </w:rPr>
        <w:t>social</w:t>
      </w:r>
      <w:r>
        <w:rPr>
          <w:rFonts w:ascii="Garamond" w:hAnsi="Garamond" w:cs="Garamond"/>
          <w:spacing w:val="-13"/>
        </w:rPr>
        <w:t xml:space="preserve"> </w:t>
      </w:r>
      <w:r>
        <w:rPr>
          <w:rFonts w:ascii="Garamond" w:hAnsi="Garamond" w:cs="Garamond"/>
        </w:rPr>
        <w:t>determinants</w:t>
      </w:r>
      <w:r>
        <w:rPr>
          <w:rFonts w:ascii="Garamond" w:hAnsi="Garamond" w:cs="Garamond"/>
          <w:spacing w:val="-13"/>
        </w:rPr>
        <w:t xml:space="preserve"> </w:t>
      </w:r>
      <w:r>
        <w:rPr>
          <w:rFonts w:ascii="Garamond" w:hAnsi="Garamond" w:cs="Garamond"/>
        </w:rPr>
        <w:t>of</w:t>
      </w:r>
      <w:r>
        <w:rPr>
          <w:rFonts w:ascii="Garamond" w:hAnsi="Garamond" w:cs="Garamond"/>
          <w:spacing w:val="-13"/>
        </w:rPr>
        <w:t xml:space="preserve"> </w:t>
      </w:r>
      <w:r>
        <w:rPr>
          <w:rFonts w:ascii="Garamond" w:hAnsi="Garamond" w:cs="Garamond"/>
        </w:rPr>
        <w:t>health</w:t>
      </w:r>
      <w:r>
        <w:rPr>
          <w:rFonts w:ascii="Garamond" w:hAnsi="Garamond" w:cs="Garamond"/>
          <w:spacing w:val="-8"/>
        </w:rPr>
        <w:t xml:space="preserve"> </w:t>
      </w:r>
      <w:r>
        <w:rPr>
          <w:rFonts w:ascii="Garamond" w:hAnsi="Garamond" w:cs="Garamond"/>
        </w:rPr>
        <w:t>–</w:t>
      </w:r>
      <w:r>
        <w:rPr>
          <w:rFonts w:ascii="Garamond" w:hAnsi="Garamond" w:cs="Garamond"/>
          <w:spacing w:val="-12"/>
        </w:rPr>
        <w:t xml:space="preserve"> </w:t>
      </w:r>
      <w:r>
        <w:rPr>
          <w:rFonts w:ascii="Garamond" w:hAnsi="Garamond" w:cs="Garamond"/>
        </w:rPr>
        <w:t>including</w:t>
      </w:r>
      <w:r>
        <w:rPr>
          <w:rFonts w:ascii="Garamond" w:hAnsi="Garamond" w:cs="Garamond"/>
          <w:spacing w:val="-9"/>
        </w:rPr>
        <w:t xml:space="preserve"> </w:t>
      </w:r>
      <w:r>
        <w:rPr>
          <w:rFonts w:ascii="Garamond" w:hAnsi="Garamond" w:cs="Garamond"/>
        </w:rPr>
        <w:t>appropriate</w:t>
      </w:r>
      <w:r>
        <w:rPr>
          <w:rFonts w:ascii="Garamond" w:hAnsi="Garamond" w:cs="Garamond"/>
          <w:spacing w:val="-9"/>
        </w:rPr>
        <w:t xml:space="preserve"> </w:t>
      </w:r>
      <w:r>
        <w:rPr>
          <w:rFonts w:ascii="Garamond" w:hAnsi="Garamond" w:cs="Garamond"/>
        </w:rPr>
        <w:t>family</w:t>
      </w:r>
      <w:r>
        <w:rPr>
          <w:rFonts w:ascii="Garamond" w:hAnsi="Garamond" w:cs="Garamond"/>
          <w:spacing w:val="-11"/>
        </w:rPr>
        <w:t xml:space="preserve"> </w:t>
      </w:r>
      <w:r>
        <w:rPr>
          <w:rFonts w:ascii="Garamond" w:hAnsi="Garamond" w:cs="Garamond"/>
        </w:rPr>
        <w:t>planning.</w:t>
      </w:r>
      <w:r>
        <w:rPr>
          <w:rFonts w:ascii="Garamond" w:hAnsi="Garamond" w:cs="Garamond"/>
          <w:spacing w:val="41"/>
        </w:rPr>
        <w:t xml:space="preserve"> </w:t>
      </w:r>
      <w:r>
        <w:rPr>
          <w:rFonts w:ascii="Garamond" w:hAnsi="Garamond" w:cs="Garamond"/>
          <w:spacing w:val="-4"/>
        </w:rPr>
        <w:t xml:space="preserve">To </w:t>
      </w:r>
      <w:r>
        <w:rPr>
          <w:rFonts w:ascii="Garamond" w:hAnsi="Garamond" w:cs="Garamond"/>
        </w:rPr>
        <w:t>this end, we urge MassHealth to create an additional CP category: Complementary Providers. Creation of this additional category will encourage ACOs to “buy” rather than “build” duplicative clinical services already offered by smaller, expert providers. PPLM provides lower-cost clinical services, better access, and equivalent quality &amp; patient satisfaction which will ultimately contribute to the success of an ACO. Notably, HHS recently</w:t>
      </w:r>
      <w:r>
        <w:rPr>
          <w:rFonts w:ascii="Garamond" w:hAnsi="Garamond" w:cs="Garamond"/>
          <w:spacing w:val="-11"/>
        </w:rPr>
        <w:t xml:space="preserve"> </w:t>
      </w:r>
      <w:r>
        <w:rPr>
          <w:rFonts w:ascii="Garamond" w:hAnsi="Garamond" w:cs="Garamond"/>
        </w:rPr>
        <w:t>finalized</w:t>
      </w:r>
      <w:r>
        <w:rPr>
          <w:rFonts w:ascii="Garamond" w:hAnsi="Garamond" w:cs="Garamond"/>
          <w:spacing w:val="-12"/>
        </w:rPr>
        <w:t xml:space="preserve"> </w:t>
      </w:r>
      <w:r>
        <w:rPr>
          <w:rFonts w:ascii="Garamond" w:hAnsi="Garamond" w:cs="Garamond"/>
        </w:rPr>
        <w:t>the</w:t>
      </w:r>
      <w:r>
        <w:rPr>
          <w:rFonts w:ascii="Garamond" w:hAnsi="Garamond" w:cs="Garamond"/>
          <w:spacing w:val="-14"/>
        </w:rPr>
        <w:t xml:space="preserve"> </w:t>
      </w:r>
      <w:r>
        <w:rPr>
          <w:rFonts w:ascii="Garamond" w:hAnsi="Garamond" w:cs="Garamond"/>
        </w:rPr>
        <w:t>2017</w:t>
      </w:r>
      <w:r>
        <w:rPr>
          <w:rFonts w:ascii="Garamond" w:hAnsi="Garamond" w:cs="Garamond"/>
          <w:spacing w:val="-16"/>
        </w:rPr>
        <w:t xml:space="preserve"> </w:t>
      </w:r>
      <w:r>
        <w:rPr>
          <w:rFonts w:ascii="Garamond" w:hAnsi="Garamond" w:cs="Garamond"/>
        </w:rPr>
        <w:t>Notice</w:t>
      </w:r>
      <w:r>
        <w:rPr>
          <w:rFonts w:ascii="Garamond" w:hAnsi="Garamond" w:cs="Garamond"/>
          <w:spacing w:val="-11"/>
        </w:rPr>
        <w:t xml:space="preserve"> </w:t>
      </w:r>
      <w:r>
        <w:rPr>
          <w:rFonts w:ascii="Garamond" w:hAnsi="Garamond" w:cs="Garamond"/>
        </w:rPr>
        <w:t>of</w:t>
      </w:r>
      <w:r>
        <w:rPr>
          <w:rFonts w:ascii="Garamond" w:hAnsi="Garamond" w:cs="Garamond"/>
          <w:spacing w:val="-13"/>
        </w:rPr>
        <w:t xml:space="preserve"> </w:t>
      </w:r>
      <w:r>
        <w:rPr>
          <w:rFonts w:ascii="Garamond" w:hAnsi="Garamond" w:cs="Garamond"/>
        </w:rPr>
        <w:t>Benefits</w:t>
      </w:r>
      <w:r>
        <w:rPr>
          <w:rFonts w:ascii="Garamond" w:hAnsi="Garamond" w:cs="Garamond"/>
          <w:spacing w:val="-15"/>
        </w:rPr>
        <w:t xml:space="preserve"> </w:t>
      </w:r>
      <w:r>
        <w:rPr>
          <w:rFonts w:ascii="Garamond" w:hAnsi="Garamond" w:cs="Garamond"/>
        </w:rPr>
        <w:t>and</w:t>
      </w:r>
      <w:r>
        <w:rPr>
          <w:rFonts w:ascii="Garamond" w:hAnsi="Garamond" w:cs="Garamond"/>
          <w:spacing w:val="-12"/>
        </w:rPr>
        <w:t xml:space="preserve"> </w:t>
      </w:r>
      <w:r>
        <w:rPr>
          <w:rFonts w:ascii="Garamond" w:hAnsi="Garamond" w:cs="Garamond"/>
        </w:rPr>
        <w:t>Payment</w:t>
      </w:r>
      <w:r>
        <w:rPr>
          <w:rFonts w:ascii="Garamond" w:hAnsi="Garamond" w:cs="Garamond"/>
          <w:spacing w:val="-13"/>
        </w:rPr>
        <w:t xml:space="preserve"> </w:t>
      </w:r>
      <w:r>
        <w:rPr>
          <w:rFonts w:ascii="Garamond" w:hAnsi="Garamond" w:cs="Garamond"/>
        </w:rPr>
        <w:t>Parameters</w:t>
      </w:r>
      <w:r>
        <w:rPr>
          <w:rFonts w:ascii="Garamond" w:hAnsi="Garamond" w:cs="Garamond"/>
          <w:spacing w:val="-15"/>
        </w:rPr>
        <w:t xml:space="preserve"> </w:t>
      </w:r>
      <w:r>
        <w:rPr>
          <w:rFonts w:ascii="Garamond" w:hAnsi="Garamond" w:cs="Garamond"/>
        </w:rPr>
        <w:t>rule</w:t>
      </w:r>
      <w:r>
        <w:rPr>
          <w:rFonts w:ascii="Garamond" w:hAnsi="Garamond" w:cs="Garamond"/>
          <w:spacing w:val="-14"/>
        </w:rPr>
        <w:t xml:space="preserve"> </w:t>
      </w:r>
      <w:r>
        <w:rPr>
          <w:rFonts w:ascii="Garamond" w:hAnsi="Garamond" w:cs="Garamond"/>
        </w:rPr>
        <w:t>and</w:t>
      </w:r>
      <w:r>
        <w:rPr>
          <w:rFonts w:ascii="Garamond" w:hAnsi="Garamond" w:cs="Garamond"/>
          <w:spacing w:val="-15"/>
        </w:rPr>
        <w:t xml:space="preserve"> </w:t>
      </w:r>
      <w:r>
        <w:rPr>
          <w:rFonts w:ascii="Garamond" w:hAnsi="Garamond" w:cs="Garamond"/>
        </w:rPr>
        <w:t xml:space="preserve">reaffirmed that family planning providers shall qualify as a unique category of Essential Community Providers.  In so doing, HHS recognized the important role family planning </w:t>
      </w:r>
      <w:r>
        <w:rPr>
          <w:rFonts w:ascii="Garamond" w:hAnsi="Garamond" w:cs="Garamond"/>
          <w:spacing w:val="-3"/>
        </w:rPr>
        <w:t xml:space="preserve">providers </w:t>
      </w:r>
      <w:r>
        <w:rPr>
          <w:rFonts w:ascii="Garamond" w:hAnsi="Garamond" w:cs="Garamond"/>
        </w:rPr>
        <w:t>play in ensuring reasonable and timely access to a broad range of health care services for low- income,</w:t>
      </w:r>
      <w:r>
        <w:rPr>
          <w:rFonts w:ascii="Garamond" w:hAnsi="Garamond" w:cs="Garamond"/>
          <w:spacing w:val="-44"/>
        </w:rPr>
        <w:t xml:space="preserve"> </w:t>
      </w:r>
      <w:r>
        <w:rPr>
          <w:rFonts w:ascii="Garamond" w:hAnsi="Garamond" w:cs="Garamond"/>
        </w:rPr>
        <w:t>medically-underserved</w:t>
      </w:r>
      <w:r>
        <w:rPr>
          <w:rFonts w:ascii="Garamond" w:hAnsi="Garamond" w:cs="Garamond"/>
          <w:spacing w:val="-44"/>
        </w:rPr>
        <w:t xml:space="preserve"> </w:t>
      </w:r>
      <w:r>
        <w:rPr>
          <w:rFonts w:ascii="Garamond" w:hAnsi="Garamond" w:cs="Garamond"/>
        </w:rPr>
        <w:t>individuals.</w:t>
      </w:r>
    </w:p>
    <w:p w:rsidR="002C5025" w:rsidRDefault="002C5025">
      <w:pPr>
        <w:pStyle w:val="ListParagraph"/>
        <w:numPr>
          <w:ilvl w:val="0"/>
          <w:numId w:val="3"/>
        </w:numPr>
        <w:tabs>
          <w:tab w:val="left" w:pos="820"/>
        </w:tabs>
        <w:kinsoku w:val="0"/>
        <w:overflowPunct w:val="0"/>
        <w:spacing w:before="200" w:line="273" w:lineRule="auto"/>
        <w:ind w:right="262"/>
        <w:rPr>
          <w:rFonts w:ascii="Garamond" w:hAnsi="Garamond" w:cs="Garamond"/>
          <w:b/>
          <w:bCs/>
        </w:rPr>
      </w:pPr>
      <w:r>
        <w:rPr>
          <w:rFonts w:ascii="Garamond" w:hAnsi="Garamond" w:cs="Garamond"/>
          <w:b/>
          <w:bCs/>
          <w:u w:val="single" w:color="000000"/>
        </w:rPr>
        <w:t xml:space="preserve">Avoid </w:t>
      </w:r>
      <w:r>
        <w:rPr>
          <w:rFonts w:ascii="Garamond" w:hAnsi="Garamond" w:cs="Garamond"/>
          <w:b/>
          <w:bCs/>
          <w:spacing w:val="-3"/>
          <w:u w:val="single" w:color="000000"/>
        </w:rPr>
        <w:t xml:space="preserve">future </w:t>
      </w:r>
      <w:r>
        <w:rPr>
          <w:rFonts w:ascii="Garamond" w:hAnsi="Garamond" w:cs="Garamond"/>
          <w:b/>
          <w:bCs/>
          <w:u w:val="single" w:color="000000"/>
        </w:rPr>
        <w:t xml:space="preserve">costs by including family planning in the Substance Use Disorder (SUD) Program: </w:t>
      </w:r>
      <w:r>
        <w:rPr>
          <w:rFonts w:ascii="Garamond" w:hAnsi="Garamond" w:cs="Garamond"/>
          <w:u w:val="single" w:color="000000"/>
        </w:rPr>
        <w:t>PPLM applauds MassHealth for its efforts to address the opioid crisis and establish the SUD program. However, we are concerned that family planning is not mentioned</w:t>
      </w:r>
      <w:r>
        <w:rPr>
          <w:rFonts w:ascii="Garamond" w:hAnsi="Garamond" w:cs="Garamond"/>
          <w:spacing w:val="-13"/>
          <w:u w:val="single" w:color="000000"/>
        </w:rPr>
        <w:t xml:space="preserve"> </w:t>
      </w:r>
      <w:r>
        <w:rPr>
          <w:rFonts w:ascii="Garamond" w:hAnsi="Garamond" w:cs="Garamond"/>
          <w:u w:val="single" w:color="000000"/>
        </w:rPr>
        <w:t>in</w:t>
      </w:r>
      <w:r>
        <w:rPr>
          <w:rFonts w:ascii="Garamond" w:hAnsi="Garamond" w:cs="Garamond"/>
          <w:spacing w:val="-13"/>
          <w:u w:val="single" w:color="000000"/>
        </w:rPr>
        <w:t xml:space="preserve"> </w:t>
      </w:r>
      <w:r>
        <w:rPr>
          <w:rFonts w:ascii="Garamond" w:hAnsi="Garamond" w:cs="Garamond"/>
          <w:u w:val="single" w:color="000000"/>
        </w:rPr>
        <w:t>the</w:t>
      </w:r>
      <w:r>
        <w:rPr>
          <w:rFonts w:ascii="Garamond" w:hAnsi="Garamond" w:cs="Garamond"/>
          <w:spacing w:val="-15"/>
          <w:u w:val="single" w:color="000000"/>
        </w:rPr>
        <w:t xml:space="preserve"> </w:t>
      </w:r>
      <w:r>
        <w:rPr>
          <w:rFonts w:ascii="Garamond" w:hAnsi="Garamond" w:cs="Garamond"/>
          <w:u w:val="single" w:color="000000"/>
        </w:rPr>
        <w:t>necessary</w:t>
      </w:r>
      <w:r>
        <w:rPr>
          <w:rFonts w:ascii="Garamond" w:hAnsi="Garamond" w:cs="Garamond"/>
          <w:spacing w:val="-12"/>
          <w:u w:val="single" w:color="000000"/>
        </w:rPr>
        <w:t xml:space="preserve"> </w:t>
      </w:r>
      <w:r>
        <w:rPr>
          <w:rFonts w:ascii="Garamond" w:hAnsi="Garamond" w:cs="Garamond"/>
          <w:u w:val="single" w:color="000000"/>
        </w:rPr>
        <w:t>intervention</w:t>
      </w:r>
      <w:r>
        <w:rPr>
          <w:rFonts w:ascii="Garamond" w:hAnsi="Garamond" w:cs="Garamond"/>
          <w:spacing w:val="-13"/>
          <w:u w:val="single" w:color="000000"/>
        </w:rPr>
        <w:t xml:space="preserve"> </w:t>
      </w:r>
      <w:r>
        <w:rPr>
          <w:rFonts w:ascii="Garamond" w:hAnsi="Garamond" w:cs="Garamond"/>
          <w:u w:val="single" w:color="000000"/>
        </w:rPr>
        <w:t>strategies</w:t>
      </w:r>
      <w:r>
        <w:rPr>
          <w:rFonts w:ascii="Garamond" w:hAnsi="Garamond" w:cs="Garamond"/>
          <w:spacing w:val="-16"/>
          <w:u w:val="single" w:color="000000"/>
        </w:rPr>
        <w:t xml:space="preserve"> </w:t>
      </w:r>
      <w:r>
        <w:rPr>
          <w:rFonts w:ascii="Garamond" w:hAnsi="Garamond" w:cs="Garamond"/>
          <w:u w:val="single" w:color="000000"/>
        </w:rPr>
        <w:t>and</w:t>
      </w:r>
      <w:r>
        <w:rPr>
          <w:rFonts w:ascii="Garamond" w:hAnsi="Garamond" w:cs="Garamond"/>
          <w:spacing w:val="-13"/>
          <w:u w:val="single" w:color="000000"/>
        </w:rPr>
        <w:t xml:space="preserve"> </w:t>
      </w:r>
      <w:r>
        <w:rPr>
          <w:rFonts w:ascii="Garamond" w:hAnsi="Garamond" w:cs="Garamond"/>
          <w:u w:val="single" w:color="000000"/>
        </w:rPr>
        <w:t>request</w:t>
      </w:r>
      <w:r>
        <w:rPr>
          <w:rFonts w:ascii="Garamond" w:hAnsi="Garamond" w:cs="Garamond"/>
          <w:spacing w:val="-14"/>
          <w:u w:val="single" w:color="000000"/>
        </w:rPr>
        <w:t xml:space="preserve"> </w:t>
      </w:r>
      <w:r>
        <w:rPr>
          <w:rFonts w:ascii="Garamond" w:hAnsi="Garamond" w:cs="Garamond"/>
          <w:u w:val="single" w:color="000000"/>
        </w:rPr>
        <w:t>that</w:t>
      </w:r>
      <w:r>
        <w:rPr>
          <w:rFonts w:ascii="Garamond" w:hAnsi="Garamond" w:cs="Garamond"/>
          <w:spacing w:val="-14"/>
          <w:u w:val="single" w:color="000000"/>
        </w:rPr>
        <w:t xml:space="preserve"> </w:t>
      </w:r>
      <w:r>
        <w:rPr>
          <w:rFonts w:ascii="Garamond" w:hAnsi="Garamond" w:cs="Garamond"/>
          <w:u w:val="single" w:color="000000"/>
        </w:rPr>
        <w:t>it</w:t>
      </w:r>
      <w:r>
        <w:rPr>
          <w:rFonts w:ascii="Garamond" w:hAnsi="Garamond" w:cs="Garamond"/>
          <w:spacing w:val="-14"/>
          <w:u w:val="single" w:color="000000"/>
        </w:rPr>
        <w:t xml:space="preserve"> </w:t>
      </w:r>
      <w:r>
        <w:rPr>
          <w:rFonts w:ascii="Garamond" w:hAnsi="Garamond" w:cs="Garamond"/>
          <w:u w:val="single" w:color="000000"/>
        </w:rPr>
        <w:t>be</w:t>
      </w:r>
      <w:r>
        <w:rPr>
          <w:rFonts w:ascii="Garamond" w:hAnsi="Garamond" w:cs="Garamond"/>
          <w:spacing w:val="-15"/>
          <w:u w:val="single" w:color="000000"/>
        </w:rPr>
        <w:t xml:space="preserve"> </w:t>
      </w:r>
      <w:r>
        <w:rPr>
          <w:rFonts w:ascii="Garamond" w:hAnsi="Garamond" w:cs="Garamond"/>
          <w:u w:val="single" w:color="000000"/>
        </w:rPr>
        <w:t>explicitly</w:t>
      </w:r>
      <w:r>
        <w:rPr>
          <w:rFonts w:ascii="Garamond" w:hAnsi="Garamond" w:cs="Garamond"/>
          <w:spacing w:val="-12"/>
          <w:u w:val="single" w:color="000000"/>
        </w:rPr>
        <w:t xml:space="preserve"> </w:t>
      </w:r>
      <w:r>
        <w:rPr>
          <w:rFonts w:ascii="Garamond" w:hAnsi="Garamond" w:cs="Garamond"/>
          <w:u w:val="single" w:color="000000"/>
        </w:rPr>
        <w:t>included. Contraceptive</w:t>
      </w:r>
      <w:r>
        <w:rPr>
          <w:rFonts w:ascii="Garamond" w:hAnsi="Garamond" w:cs="Garamond"/>
          <w:spacing w:val="-14"/>
          <w:u w:val="single" w:color="000000"/>
        </w:rPr>
        <w:t xml:space="preserve"> </w:t>
      </w:r>
      <w:r>
        <w:rPr>
          <w:rFonts w:ascii="Garamond" w:hAnsi="Garamond" w:cs="Garamond"/>
          <w:u w:val="single" w:color="000000"/>
        </w:rPr>
        <w:t>options</w:t>
      </w:r>
      <w:r>
        <w:rPr>
          <w:rFonts w:ascii="Garamond" w:hAnsi="Garamond" w:cs="Garamond"/>
          <w:spacing w:val="-18"/>
          <w:u w:val="single" w:color="000000"/>
        </w:rPr>
        <w:t xml:space="preserve"> </w:t>
      </w:r>
      <w:r>
        <w:rPr>
          <w:rFonts w:ascii="Garamond" w:hAnsi="Garamond" w:cs="Garamond"/>
          <w:u w:val="single" w:color="000000"/>
        </w:rPr>
        <w:t>should</w:t>
      </w:r>
      <w:r>
        <w:rPr>
          <w:rFonts w:ascii="Garamond" w:hAnsi="Garamond" w:cs="Garamond"/>
          <w:spacing w:val="-15"/>
          <w:u w:val="single" w:color="000000"/>
        </w:rPr>
        <w:t xml:space="preserve"> </w:t>
      </w:r>
      <w:r>
        <w:rPr>
          <w:rFonts w:ascii="Garamond" w:hAnsi="Garamond" w:cs="Garamond"/>
          <w:u w:val="single" w:color="000000"/>
        </w:rPr>
        <w:t>be</w:t>
      </w:r>
      <w:r>
        <w:rPr>
          <w:rFonts w:ascii="Garamond" w:hAnsi="Garamond" w:cs="Garamond"/>
          <w:spacing w:val="-16"/>
          <w:u w:val="single" w:color="000000"/>
        </w:rPr>
        <w:t xml:space="preserve"> </w:t>
      </w:r>
      <w:r>
        <w:rPr>
          <w:rFonts w:ascii="Garamond" w:hAnsi="Garamond" w:cs="Garamond"/>
          <w:u w:val="single" w:color="000000"/>
        </w:rPr>
        <w:t>easily</w:t>
      </w:r>
      <w:r>
        <w:rPr>
          <w:rFonts w:ascii="Garamond" w:hAnsi="Garamond" w:cs="Garamond"/>
          <w:spacing w:val="-14"/>
          <w:u w:val="single" w:color="000000"/>
        </w:rPr>
        <w:t xml:space="preserve"> </w:t>
      </w:r>
      <w:r>
        <w:rPr>
          <w:rFonts w:ascii="Garamond" w:hAnsi="Garamond" w:cs="Garamond"/>
          <w:u w:val="single" w:color="000000"/>
        </w:rPr>
        <w:t>accessible</w:t>
      </w:r>
      <w:r>
        <w:rPr>
          <w:rFonts w:ascii="Garamond" w:hAnsi="Garamond" w:cs="Garamond"/>
          <w:spacing w:val="-14"/>
          <w:u w:val="single" w:color="000000"/>
        </w:rPr>
        <w:t xml:space="preserve"> </w:t>
      </w:r>
      <w:r>
        <w:rPr>
          <w:rFonts w:ascii="Garamond" w:hAnsi="Garamond" w:cs="Garamond"/>
          <w:u w:val="single" w:color="000000"/>
        </w:rPr>
        <w:t>to</w:t>
      </w:r>
      <w:r>
        <w:rPr>
          <w:rFonts w:ascii="Garamond" w:hAnsi="Garamond" w:cs="Garamond"/>
          <w:spacing w:val="-17"/>
          <w:u w:val="single" w:color="000000"/>
        </w:rPr>
        <w:t xml:space="preserve"> </w:t>
      </w:r>
      <w:r>
        <w:rPr>
          <w:rFonts w:ascii="Garamond" w:hAnsi="Garamond" w:cs="Garamond"/>
          <w:u w:val="single" w:color="000000"/>
        </w:rPr>
        <w:t>women</w:t>
      </w:r>
      <w:r>
        <w:rPr>
          <w:rFonts w:ascii="Garamond" w:hAnsi="Garamond" w:cs="Garamond"/>
          <w:spacing w:val="-17"/>
          <w:u w:val="single" w:color="000000"/>
        </w:rPr>
        <w:t xml:space="preserve"> </w:t>
      </w:r>
      <w:r>
        <w:rPr>
          <w:rFonts w:ascii="Garamond" w:hAnsi="Garamond" w:cs="Garamond"/>
          <w:u w:val="single" w:color="000000"/>
        </w:rPr>
        <w:t>with</w:t>
      </w:r>
      <w:r>
        <w:rPr>
          <w:rFonts w:ascii="Garamond" w:hAnsi="Garamond" w:cs="Garamond"/>
          <w:spacing w:val="-15"/>
          <w:u w:val="single" w:color="000000"/>
        </w:rPr>
        <w:t xml:space="preserve"> </w:t>
      </w:r>
      <w:r>
        <w:rPr>
          <w:rFonts w:ascii="Garamond" w:hAnsi="Garamond" w:cs="Garamond"/>
          <w:u w:val="single" w:color="000000"/>
        </w:rPr>
        <w:t>substance</w:t>
      </w:r>
      <w:r>
        <w:rPr>
          <w:rFonts w:ascii="Garamond" w:hAnsi="Garamond" w:cs="Garamond"/>
          <w:spacing w:val="-16"/>
          <w:u w:val="single" w:color="000000"/>
        </w:rPr>
        <w:t xml:space="preserve"> </w:t>
      </w:r>
      <w:r>
        <w:rPr>
          <w:rFonts w:ascii="Garamond" w:hAnsi="Garamond" w:cs="Garamond"/>
          <w:u w:val="single" w:color="000000"/>
        </w:rPr>
        <w:t>use</w:t>
      </w:r>
      <w:r>
        <w:rPr>
          <w:rFonts w:ascii="Garamond" w:hAnsi="Garamond" w:cs="Garamond"/>
          <w:spacing w:val="-14"/>
          <w:u w:val="single" w:color="000000"/>
        </w:rPr>
        <w:t xml:space="preserve"> </w:t>
      </w:r>
      <w:r>
        <w:rPr>
          <w:rFonts w:ascii="Garamond" w:hAnsi="Garamond" w:cs="Garamond"/>
          <w:u w:val="single" w:color="000000"/>
        </w:rPr>
        <w:t>challenges,</w:t>
      </w:r>
    </w:p>
    <w:p w:rsidR="002C5025" w:rsidRDefault="002C5025">
      <w:pPr>
        <w:pStyle w:val="ListParagraph"/>
        <w:numPr>
          <w:ilvl w:val="0"/>
          <w:numId w:val="3"/>
        </w:numPr>
        <w:tabs>
          <w:tab w:val="left" w:pos="820"/>
        </w:tabs>
        <w:kinsoku w:val="0"/>
        <w:overflowPunct w:val="0"/>
        <w:spacing w:before="200" w:line="273" w:lineRule="auto"/>
        <w:ind w:right="262"/>
        <w:rPr>
          <w:rFonts w:ascii="Garamond" w:hAnsi="Garamond" w:cs="Garamond"/>
          <w:b/>
          <w:bCs/>
        </w:rPr>
        <w:sectPr w:rsidR="002C5025">
          <w:pgSz w:w="12240" w:h="15840"/>
          <w:pgMar w:top="1500" w:right="1500" w:bottom="280" w:left="1340" w:header="720" w:footer="720" w:gutter="0"/>
          <w:cols w:space="720" w:equalWidth="0">
            <w:col w:w="9400"/>
          </w:cols>
          <w:noEndnote/>
        </w:sectPr>
      </w:pPr>
    </w:p>
    <w:p w:rsidR="002C5025" w:rsidRDefault="002C5025">
      <w:pPr>
        <w:pStyle w:val="BodyText"/>
        <w:kinsoku w:val="0"/>
        <w:overflowPunct w:val="0"/>
        <w:rPr>
          <w:rFonts w:ascii="Garamond" w:hAnsi="Garamond" w:cs="Garamond"/>
          <w:sz w:val="20"/>
          <w:szCs w:val="20"/>
        </w:rPr>
      </w:pPr>
    </w:p>
    <w:p w:rsidR="002C5025" w:rsidRDefault="002C5025">
      <w:pPr>
        <w:pStyle w:val="BodyText"/>
        <w:kinsoku w:val="0"/>
        <w:overflowPunct w:val="0"/>
        <w:spacing w:before="4"/>
        <w:rPr>
          <w:rFonts w:ascii="Garamond" w:hAnsi="Garamond" w:cs="Garamond"/>
        </w:rPr>
      </w:pPr>
    </w:p>
    <w:p w:rsidR="002C5025" w:rsidRDefault="002C5025">
      <w:pPr>
        <w:pStyle w:val="BodyText"/>
        <w:kinsoku w:val="0"/>
        <w:overflowPunct w:val="0"/>
        <w:spacing w:line="276" w:lineRule="auto"/>
        <w:ind w:left="460" w:right="75"/>
        <w:rPr>
          <w:rFonts w:ascii="Garamond" w:hAnsi="Garamond" w:cs="Garamond"/>
          <w:sz w:val="24"/>
          <w:szCs w:val="24"/>
        </w:rPr>
      </w:pPr>
      <w:r>
        <w:rPr>
          <w:rFonts w:ascii="Garamond" w:hAnsi="Garamond" w:cs="Garamond"/>
          <w:sz w:val="24"/>
          <w:szCs w:val="24"/>
        </w:rPr>
        <w:t>including those in treatment. In addition to avoiding costs of unintended pregnancies, improved</w:t>
      </w:r>
      <w:r>
        <w:rPr>
          <w:rFonts w:ascii="Garamond" w:hAnsi="Garamond" w:cs="Garamond"/>
          <w:spacing w:val="-13"/>
          <w:sz w:val="24"/>
          <w:szCs w:val="24"/>
        </w:rPr>
        <w:t xml:space="preserve"> </w:t>
      </w:r>
      <w:r>
        <w:rPr>
          <w:rFonts w:ascii="Garamond" w:hAnsi="Garamond" w:cs="Garamond"/>
          <w:sz w:val="24"/>
          <w:szCs w:val="24"/>
        </w:rPr>
        <w:t>access</w:t>
      </w:r>
      <w:r>
        <w:rPr>
          <w:rFonts w:ascii="Garamond" w:hAnsi="Garamond" w:cs="Garamond"/>
          <w:spacing w:val="-13"/>
          <w:sz w:val="24"/>
          <w:szCs w:val="24"/>
        </w:rPr>
        <w:t xml:space="preserve"> </w:t>
      </w:r>
      <w:r>
        <w:rPr>
          <w:rFonts w:ascii="Garamond" w:hAnsi="Garamond" w:cs="Garamond"/>
          <w:sz w:val="24"/>
          <w:szCs w:val="24"/>
        </w:rPr>
        <w:t>to</w:t>
      </w:r>
      <w:r>
        <w:rPr>
          <w:rFonts w:ascii="Garamond" w:hAnsi="Garamond" w:cs="Garamond"/>
          <w:spacing w:val="-13"/>
          <w:sz w:val="24"/>
          <w:szCs w:val="24"/>
        </w:rPr>
        <w:t xml:space="preserve"> </w:t>
      </w:r>
      <w:r>
        <w:rPr>
          <w:rFonts w:ascii="Garamond" w:hAnsi="Garamond" w:cs="Garamond"/>
          <w:sz w:val="24"/>
          <w:szCs w:val="24"/>
        </w:rPr>
        <w:t>contraception</w:t>
      </w:r>
      <w:r>
        <w:rPr>
          <w:rFonts w:ascii="Garamond" w:hAnsi="Garamond" w:cs="Garamond"/>
          <w:spacing w:val="-15"/>
          <w:sz w:val="24"/>
          <w:szCs w:val="24"/>
        </w:rPr>
        <w:t xml:space="preserve"> </w:t>
      </w:r>
      <w:r>
        <w:rPr>
          <w:rFonts w:ascii="Garamond" w:hAnsi="Garamond" w:cs="Garamond"/>
          <w:sz w:val="24"/>
          <w:szCs w:val="24"/>
        </w:rPr>
        <w:t>and</w:t>
      </w:r>
      <w:r>
        <w:rPr>
          <w:rFonts w:ascii="Garamond" w:hAnsi="Garamond" w:cs="Garamond"/>
          <w:spacing w:val="-11"/>
          <w:sz w:val="24"/>
          <w:szCs w:val="24"/>
        </w:rPr>
        <w:t xml:space="preserve"> </w:t>
      </w:r>
      <w:r>
        <w:rPr>
          <w:rFonts w:ascii="Garamond" w:hAnsi="Garamond" w:cs="Garamond"/>
          <w:sz w:val="24"/>
          <w:szCs w:val="24"/>
        </w:rPr>
        <w:t>other</w:t>
      </w:r>
      <w:r>
        <w:rPr>
          <w:rFonts w:ascii="Garamond" w:hAnsi="Garamond" w:cs="Garamond"/>
          <w:spacing w:val="-13"/>
          <w:sz w:val="24"/>
          <w:szCs w:val="24"/>
        </w:rPr>
        <w:t xml:space="preserve"> </w:t>
      </w:r>
      <w:r>
        <w:rPr>
          <w:rFonts w:ascii="Garamond" w:hAnsi="Garamond" w:cs="Garamond"/>
          <w:sz w:val="24"/>
          <w:szCs w:val="24"/>
        </w:rPr>
        <w:t>preventive</w:t>
      </w:r>
      <w:r>
        <w:rPr>
          <w:rFonts w:ascii="Garamond" w:hAnsi="Garamond" w:cs="Garamond"/>
          <w:spacing w:val="-10"/>
          <w:sz w:val="24"/>
          <w:szCs w:val="24"/>
        </w:rPr>
        <w:t xml:space="preserve"> </w:t>
      </w:r>
      <w:r>
        <w:rPr>
          <w:rFonts w:ascii="Garamond" w:hAnsi="Garamond" w:cs="Garamond"/>
          <w:sz w:val="24"/>
          <w:szCs w:val="24"/>
        </w:rPr>
        <w:t>services</w:t>
      </w:r>
      <w:r>
        <w:rPr>
          <w:rFonts w:ascii="Garamond" w:hAnsi="Garamond" w:cs="Garamond"/>
          <w:spacing w:val="-16"/>
          <w:sz w:val="24"/>
          <w:szCs w:val="24"/>
        </w:rPr>
        <w:t xml:space="preserve"> </w:t>
      </w:r>
      <w:r>
        <w:rPr>
          <w:rFonts w:ascii="Garamond" w:hAnsi="Garamond" w:cs="Garamond"/>
          <w:sz w:val="24"/>
          <w:szCs w:val="24"/>
        </w:rPr>
        <w:t>can</w:t>
      </w:r>
      <w:r>
        <w:rPr>
          <w:rFonts w:ascii="Garamond" w:hAnsi="Garamond" w:cs="Garamond"/>
          <w:spacing w:val="-13"/>
          <w:sz w:val="24"/>
          <w:szCs w:val="24"/>
        </w:rPr>
        <w:t xml:space="preserve"> </w:t>
      </w:r>
      <w:r>
        <w:rPr>
          <w:rFonts w:ascii="Garamond" w:hAnsi="Garamond" w:cs="Garamond"/>
          <w:sz w:val="24"/>
          <w:szCs w:val="24"/>
        </w:rPr>
        <w:t>support</w:t>
      </w:r>
      <w:r>
        <w:rPr>
          <w:rFonts w:ascii="Garamond" w:hAnsi="Garamond" w:cs="Garamond"/>
          <w:spacing w:val="-13"/>
          <w:sz w:val="24"/>
          <w:szCs w:val="24"/>
        </w:rPr>
        <w:t xml:space="preserve"> </w:t>
      </w:r>
      <w:r>
        <w:rPr>
          <w:rFonts w:ascii="Garamond" w:hAnsi="Garamond" w:cs="Garamond"/>
          <w:sz w:val="24"/>
          <w:szCs w:val="24"/>
        </w:rPr>
        <w:t>recovery</w:t>
      </w:r>
      <w:r>
        <w:rPr>
          <w:rFonts w:ascii="Garamond" w:hAnsi="Garamond" w:cs="Garamond"/>
          <w:spacing w:val="-12"/>
          <w:sz w:val="24"/>
          <w:szCs w:val="24"/>
        </w:rPr>
        <w:t xml:space="preserve"> </w:t>
      </w:r>
      <w:r>
        <w:rPr>
          <w:rFonts w:ascii="Garamond" w:hAnsi="Garamond" w:cs="Garamond"/>
          <w:sz w:val="24"/>
          <w:szCs w:val="24"/>
        </w:rPr>
        <w:t>goals. In</w:t>
      </w:r>
      <w:r>
        <w:rPr>
          <w:rFonts w:ascii="Garamond" w:hAnsi="Garamond" w:cs="Garamond"/>
          <w:spacing w:val="-14"/>
          <w:sz w:val="24"/>
          <w:szCs w:val="24"/>
        </w:rPr>
        <w:t xml:space="preserve"> </w:t>
      </w:r>
      <w:r>
        <w:rPr>
          <w:rFonts w:ascii="Garamond" w:hAnsi="Garamond" w:cs="Garamond"/>
          <w:sz w:val="24"/>
          <w:szCs w:val="24"/>
        </w:rPr>
        <w:t>2010,</w:t>
      </w:r>
      <w:r>
        <w:rPr>
          <w:rFonts w:ascii="Garamond" w:hAnsi="Garamond" w:cs="Garamond"/>
          <w:spacing w:val="-11"/>
          <w:sz w:val="24"/>
          <w:szCs w:val="24"/>
        </w:rPr>
        <w:t xml:space="preserve"> </w:t>
      </w:r>
      <w:r>
        <w:rPr>
          <w:rFonts w:ascii="Garamond" w:hAnsi="Garamond" w:cs="Garamond"/>
          <w:sz w:val="24"/>
          <w:szCs w:val="24"/>
        </w:rPr>
        <w:t>there</w:t>
      </w:r>
      <w:r>
        <w:rPr>
          <w:rFonts w:ascii="Garamond" w:hAnsi="Garamond" w:cs="Garamond"/>
          <w:spacing w:val="-10"/>
          <w:sz w:val="24"/>
          <w:szCs w:val="24"/>
        </w:rPr>
        <w:t xml:space="preserve"> </w:t>
      </w:r>
      <w:r>
        <w:rPr>
          <w:rFonts w:ascii="Garamond" w:hAnsi="Garamond" w:cs="Garamond"/>
          <w:sz w:val="24"/>
          <w:szCs w:val="24"/>
        </w:rPr>
        <w:t>were</w:t>
      </w:r>
      <w:r>
        <w:rPr>
          <w:rFonts w:ascii="Garamond" w:hAnsi="Garamond" w:cs="Garamond"/>
          <w:spacing w:val="-10"/>
          <w:sz w:val="24"/>
          <w:szCs w:val="24"/>
        </w:rPr>
        <w:t xml:space="preserve"> </w:t>
      </w:r>
      <w:r>
        <w:rPr>
          <w:rFonts w:ascii="Garamond" w:hAnsi="Garamond" w:cs="Garamond"/>
          <w:sz w:val="24"/>
          <w:szCs w:val="24"/>
        </w:rPr>
        <w:t>25,700</w:t>
      </w:r>
      <w:r>
        <w:rPr>
          <w:rFonts w:ascii="Garamond" w:hAnsi="Garamond" w:cs="Garamond"/>
          <w:spacing w:val="-13"/>
          <w:sz w:val="24"/>
          <w:szCs w:val="24"/>
        </w:rPr>
        <w:t xml:space="preserve"> </w:t>
      </w:r>
      <w:r>
        <w:rPr>
          <w:rFonts w:ascii="Garamond" w:hAnsi="Garamond" w:cs="Garamond"/>
          <w:sz w:val="24"/>
          <w:szCs w:val="24"/>
        </w:rPr>
        <w:t>MassHealth</w:t>
      </w:r>
      <w:r>
        <w:rPr>
          <w:rFonts w:ascii="Garamond" w:hAnsi="Garamond" w:cs="Garamond"/>
          <w:spacing w:val="-14"/>
          <w:sz w:val="24"/>
          <w:szCs w:val="24"/>
        </w:rPr>
        <w:t xml:space="preserve"> </w:t>
      </w:r>
      <w:r>
        <w:rPr>
          <w:rFonts w:ascii="Garamond" w:hAnsi="Garamond" w:cs="Garamond"/>
          <w:sz w:val="24"/>
          <w:szCs w:val="24"/>
        </w:rPr>
        <w:t>births;</w:t>
      </w:r>
      <w:r>
        <w:rPr>
          <w:rFonts w:ascii="Garamond" w:hAnsi="Garamond" w:cs="Garamond"/>
          <w:spacing w:val="-11"/>
          <w:sz w:val="24"/>
          <w:szCs w:val="24"/>
        </w:rPr>
        <w:t xml:space="preserve"> </w:t>
      </w:r>
      <w:r>
        <w:rPr>
          <w:rFonts w:ascii="Garamond" w:hAnsi="Garamond" w:cs="Garamond"/>
          <w:sz w:val="24"/>
          <w:szCs w:val="24"/>
        </w:rPr>
        <w:t>13,200</w:t>
      </w:r>
      <w:r>
        <w:rPr>
          <w:rFonts w:ascii="Garamond" w:hAnsi="Garamond" w:cs="Garamond"/>
          <w:spacing w:val="-13"/>
          <w:sz w:val="24"/>
          <w:szCs w:val="24"/>
        </w:rPr>
        <w:t xml:space="preserve"> </w:t>
      </w:r>
      <w:r>
        <w:rPr>
          <w:rFonts w:ascii="Garamond" w:hAnsi="Garamond" w:cs="Garamond"/>
          <w:sz w:val="24"/>
          <w:szCs w:val="24"/>
        </w:rPr>
        <w:t>of</w:t>
      </w:r>
      <w:r>
        <w:rPr>
          <w:rFonts w:ascii="Garamond" w:hAnsi="Garamond" w:cs="Garamond"/>
          <w:spacing w:val="-12"/>
          <w:sz w:val="24"/>
          <w:szCs w:val="24"/>
        </w:rPr>
        <w:t xml:space="preserve"> </w:t>
      </w:r>
      <w:r>
        <w:rPr>
          <w:rFonts w:ascii="Garamond" w:hAnsi="Garamond" w:cs="Garamond"/>
          <w:sz w:val="24"/>
          <w:szCs w:val="24"/>
        </w:rPr>
        <w:t>these</w:t>
      </w:r>
      <w:r>
        <w:rPr>
          <w:rFonts w:ascii="Garamond" w:hAnsi="Garamond" w:cs="Garamond"/>
          <w:spacing w:val="-10"/>
          <w:sz w:val="24"/>
          <w:szCs w:val="24"/>
        </w:rPr>
        <w:t xml:space="preserve"> </w:t>
      </w:r>
      <w:r>
        <w:rPr>
          <w:rFonts w:ascii="Garamond" w:hAnsi="Garamond" w:cs="Garamond"/>
          <w:sz w:val="24"/>
          <w:szCs w:val="24"/>
        </w:rPr>
        <w:t>pregnancies</w:t>
      </w:r>
      <w:r>
        <w:rPr>
          <w:rFonts w:ascii="Garamond" w:hAnsi="Garamond" w:cs="Garamond"/>
          <w:spacing w:val="-15"/>
          <w:sz w:val="24"/>
          <w:szCs w:val="24"/>
        </w:rPr>
        <w:t xml:space="preserve"> </w:t>
      </w:r>
      <w:r>
        <w:rPr>
          <w:rFonts w:ascii="Garamond" w:hAnsi="Garamond" w:cs="Garamond"/>
          <w:sz w:val="24"/>
          <w:szCs w:val="24"/>
        </w:rPr>
        <w:t>were</w:t>
      </w:r>
      <w:r>
        <w:rPr>
          <w:rFonts w:ascii="Garamond" w:hAnsi="Garamond" w:cs="Garamond"/>
          <w:spacing w:val="-15"/>
          <w:sz w:val="24"/>
          <w:szCs w:val="24"/>
        </w:rPr>
        <w:t xml:space="preserve"> </w:t>
      </w:r>
      <w:r>
        <w:rPr>
          <w:rFonts w:ascii="Garamond" w:hAnsi="Garamond" w:cs="Garamond"/>
          <w:sz w:val="24"/>
          <w:szCs w:val="24"/>
        </w:rPr>
        <w:t xml:space="preserve">unintended. Lowering the number of MassHealth unintended pregnancies by just 1% would </w:t>
      </w:r>
      <w:r>
        <w:rPr>
          <w:rFonts w:ascii="Garamond" w:hAnsi="Garamond" w:cs="Garamond"/>
          <w:spacing w:val="-3"/>
          <w:sz w:val="24"/>
          <w:szCs w:val="24"/>
        </w:rPr>
        <w:t xml:space="preserve">save </w:t>
      </w:r>
      <w:r>
        <w:rPr>
          <w:rFonts w:ascii="Garamond" w:hAnsi="Garamond" w:cs="Garamond"/>
          <w:sz w:val="24"/>
          <w:szCs w:val="24"/>
        </w:rPr>
        <w:t>approximately</w:t>
      </w:r>
      <w:r>
        <w:rPr>
          <w:rFonts w:ascii="Garamond" w:hAnsi="Garamond" w:cs="Garamond"/>
          <w:spacing w:val="-18"/>
          <w:sz w:val="24"/>
          <w:szCs w:val="24"/>
        </w:rPr>
        <w:t xml:space="preserve"> </w:t>
      </w:r>
      <w:r>
        <w:rPr>
          <w:rFonts w:ascii="Garamond" w:hAnsi="Garamond" w:cs="Garamond"/>
          <w:sz w:val="24"/>
          <w:szCs w:val="24"/>
        </w:rPr>
        <w:t>$3.5</w:t>
      </w:r>
      <w:r>
        <w:rPr>
          <w:rFonts w:ascii="Garamond" w:hAnsi="Garamond" w:cs="Garamond"/>
          <w:spacing w:val="-20"/>
          <w:sz w:val="24"/>
          <w:szCs w:val="24"/>
        </w:rPr>
        <w:t xml:space="preserve"> </w:t>
      </w:r>
      <w:r>
        <w:rPr>
          <w:rFonts w:ascii="Garamond" w:hAnsi="Garamond" w:cs="Garamond"/>
          <w:sz w:val="24"/>
          <w:szCs w:val="24"/>
        </w:rPr>
        <w:t>million</w:t>
      </w:r>
      <w:r>
        <w:rPr>
          <w:rFonts w:ascii="Garamond" w:hAnsi="Garamond" w:cs="Garamond"/>
          <w:spacing w:val="-22"/>
          <w:sz w:val="24"/>
          <w:szCs w:val="24"/>
        </w:rPr>
        <w:t xml:space="preserve"> </w:t>
      </w:r>
      <w:r>
        <w:rPr>
          <w:rFonts w:ascii="Garamond" w:hAnsi="Garamond" w:cs="Garamond"/>
          <w:sz w:val="24"/>
          <w:szCs w:val="24"/>
        </w:rPr>
        <w:t>annually.</w:t>
      </w:r>
    </w:p>
    <w:p w:rsidR="002C5025" w:rsidRDefault="002C5025">
      <w:pPr>
        <w:pStyle w:val="ListParagraph"/>
        <w:numPr>
          <w:ilvl w:val="0"/>
          <w:numId w:val="3"/>
        </w:numPr>
        <w:tabs>
          <w:tab w:val="left" w:pos="460"/>
        </w:tabs>
        <w:kinsoku w:val="0"/>
        <w:overflowPunct w:val="0"/>
        <w:spacing w:before="198" w:line="276" w:lineRule="auto"/>
        <w:ind w:left="460" w:right="115"/>
        <w:rPr>
          <w:rFonts w:ascii="Garamond" w:hAnsi="Garamond" w:cs="Garamond"/>
        </w:rPr>
      </w:pPr>
      <w:r>
        <w:rPr>
          <w:rFonts w:ascii="Garamond" w:hAnsi="Garamond" w:cs="Garamond"/>
          <w:b/>
          <w:bCs/>
          <w:u w:val="single" w:color="000000"/>
        </w:rPr>
        <w:t>Permit non-ACOs and non-CPs to access Technical Assistance</w:t>
      </w:r>
      <w:r>
        <w:rPr>
          <w:rFonts w:ascii="Garamond" w:hAnsi="Garamond" w:cs="Garamond"/>
        </w:rPr>
        <w:t xml:space="preserve">: It is unclear in the proposal whether technical assistance is available </w:t>
      </w:r>
      <w:r>
        <w:rPr>
          <w:rFonts w:ascii="Garamond" w:hAnsi="Garamond" w:cs="Garamond"/>
          <w:spacing w:val="-3"/>
        </w:rPr>
        <w:t xml:space="preserve">only </w:t>
      </w:r>
      <w:r>
        <w:rPr>
          <w:rFonts w:ascii="Garamond" w:hAnsi="Garamond" w:cs="Garamond"/>
        </w:rPr>
        <w:t>to ACOs. PPLM urges the Commonwealth to earmark a portion of the funds given to ACOs for technical assistance for</w:t>
      </w:r>
      <w:r>
        <w:rPr>
          <w:rFonts w:ascii="Garamond" w:hAnsi="Garamond" w:cs="Garamond"/>
          <w:spacing w:val="-13"/>
        </w:rPr>
        <w:t xml:space="preserve"> </w:t>
      </w:r>
      <w:r>
        <w:rPr>
          <w:rFonts w:ascii="Garamond" w:hAnsi="Garamond" w:cs="Garamond"/>
        </w:rPr>
        <w:t>small</w:t>
      </w:r>
      <w:r>
        <w:rPr>
          <w:rFonts w:ascii="Garamond" w:hAnsi="Garamond" w:cs="Garamond"/>
          <w:spacing w:val="-10"/>
        </w:rPr>
        <w:t xml:space="preserve"> </w:t>
      </w:r>
      <w:r>
        <w:rPr>
          <w:rFonts w:ascii="Garamond" w:hAnsi="Garamond" w:cs="Garamond"/>
        </w:rPr>
        <w:t>providers,</w:t>
      </w:r>
      <w:r>
        <w:rPr>
          <w:rFonts w:ascii="Garamond" w:hAnsi="Garamond" w:cs="Garamond"/>
          <w:spacing w:val="-12"/>
        </w:rPr>
        <w:t xml:space="preserve"> </w:t>
      </w:r>
      <w:r>
        <w:rPr>
          <w:rFonts w:ascii="Garamond" w:hAnsi="Garamond" w:cs="Garamond"/>
        </w:rPr>
        <w:t>or</w:t>
      </w:r>
      <w:r>
        <w:rPr>
          <w:rFonts w:ascii="Garamond" w:hAnsi="Garamond" w:cs="Garamond"/>
          <w:spacing w:val="-13"/>
        </w:rPr>
        <w:t xml:space="preserve"> </w:t>
      </w:r>
      <w:r>
        <w:rPr>
          <w:rFonts w:ascii="Garamond" w:hAnsi="Garamond" w:cs="Garamond"/>
        </w:rPr>
        <w:t>to</w:t>
      </w:r>
      <w:r>
        <w:rPr>
          <w:rFonts w:ascii="Garamond" w:hAnsi="Garamond" w:cs="Garamond"/>
          <w:spacing w:val="-8"/>
        </w:rPr>
        <w:t xml:space="preserve"> </w:t>
      </w:r>
      <w:r>
        <w:rPr>
          <w:rFonts w:ascii="Garamond" w:hAnsi="Garamond" w:cs="Garamond"/>
        </w:rPr>
        <w:t>dedicate</w:t>
      </w:r>
      <w:r>
        <w:rPr>
          <w:rFonts w:ascii="Garamond" w:hAnsi="Garamond" w:cs="Garamond"/>
          <w:spacing w:val="-15"/>
        </w:rPr>
        <w:t xml:space="preserve"> </w:t>
      </w:r>
      <w:r>
        <w:rPr>
          <w:rFonts w:ascii="Garamond" w:hAnsi="Garamond" w:cs="Garamond"/>
        </w:rPr>
        <w:t>adequate</w:t>
      </w:r>
      <w:r>
        <w:rPr>
          <w:rFonts w:ascii="Garamond" w:hAnsi="Garamond" w:cs="Garamond"/>
          <w:spacing w:val="-11"/>
        </w:rPr>
        <w:t xml:space="preserve"> </w:t>
      </w:r>
      <w:r>
        <w:rPr>
          <w:rFonts w:ascii="Garamond" w:hAnsi="Garamond" w:cs="Garamond"/>
        </w:rPr>
        <w:t>funds</w:t>
      </w:r>
      <w:r>
        <w:rPr>
          <w:rFonts w:ascii="Garamond" w:hAnsi="Garamond" w:cs="Garamond"/>
          <w:spacing w:val="-11"/>
        </w:rPr>
        <w:t xml:space="preserve"> </w:t>
      </w:r>
      <w:r>
        <w:rPr>
          <w:rFonts w:ascii="Garamond" w:hAnsi="Garamond" w:cs="Garamond"/>
        </w:rPr>
        <w:t>allowing</w:t>
      </w:r>
      <w:r>
        <w:rPr>
          <w:rFonts w:ascii="Garamond" w:hAnsi="Garamond" w:cs="Garamond"/>
          <w:spacing w:val="-9"/>
        </w:rPr>
        <w:t xml:space="preserve"> </w:t>
      </w:r>
      <w:r>
        <w:rPr>
          <w:rFonts w:ascii="Garamond" w:hAnsi="Garamond" w:cs="Garamond"/>
        </w:rPr>
        <w:t>all,</w:t>
      </w:r>
      <w:r>
        <w:rPr>
          <w:rFonts w:ascii="Garamond" w:hAnsi="Garamond" w:cs="Garamond"/>
          <w:spacing w:val="-10"/>
        </w:rPr>
        <w:t xml:space="preserve"> </w:t>
      </w:r>
      <w:r>
        <w:rPr>
          <w:rFonts w:ascii="Garamond" w:hAnsi="Garamond" w:cs="Garamond"/>
        </w:rPr>
        <w:t>but</w:t>
      </w:r>
      <w:r>
        <w:rPr>
          <w:rFonts w:ascii="Garamond" w:hAnsi="Garamond" w:cs="Garamond"/>
          <w:spacing w:val="-16"/>
        </w:rPr>
        <w:t xml:space="preserve"> </w:t>
      </w:r>
      <w:r>
        <w:rPr>
          <w:rFonts w:ascii="Garamond" w:hAnsi="Garamond" w:cs="Garamond"/>
        </w:rPr>
        <w:t>especially</w:t>
      </w:r>
      <w:r>
        <w:rPr>
          <w:rFonts w:ascii="Garamond" w:hAnsi="Garamond" w:cs="Garamond"/>
          <w:spacing w:val="-9"/>
        </w:rPr>
        <w:t xml:space="preserve"> </w:t>
      </w:r>
      <w:r>
        <w:rPr>
          <w:rFonts w:ascii="Garamond" w:hAnsi="Garamond" w:cs="Garamond"/>
        </w:rPr>
        <w:t>small</w:t>
      </w:r>
      <w:r>
        <w:rPr>
          <w:rFonts w:ascii="Garamond" w:hAnsi="Garamond" w:cs="Garamond"/>
          <w:spacing w:val="-10"/>
        </w:rPr>
        <w:t xml:space="preserve"> </w:t>
      </w:r>
      <w:r>
        <w:rPr>
          <w:rFonts w:ascii="Garamond" w:hAnsi="Garamond" w:cs="Garamond"/>
        </w:rPr>
        <w:t>providers, to</w:t>
      </w:r>
      <w:r>
        <w:rPr>
          <w:rFonts w:ascii="Garamond" w:hAnsi="Garamond" w:cs="Garamond"/>
          <w:spacing w:val="-14"/>
        </w:rPr>
        <w:t xml:space="preserve"> </w:t>
      </w:r>
      <w:r>
        <w:rPr>
          <w:rFonts w:ascii="Garamond" w:hAnsi="Garamond" w:cs="Garamond"/>
        </w:rPr>
        <w:t>apply</w:t>
      </w:r>
      <w:r>
        <w:rPr>
          <w:rFonts w:ascii="Garamond" w:hAnsi="Garamond" w:cs="Garamond"/>
          <w:spacing w:val="-11"/>
        </w:rPr>
        <w:t xml:space="preserve"> </w:t>
      </w:r>
      <w:r>
        <w:rPr>
          <w:rFonts w:ascii="Garamond" w:hAnsi="Garamond" w:cs="Garamond"/>
        </w:rPr>
        <w:t>for</w:t>
      </w:r>
      <w:r>
        <w:rPr>
          <w:rFonts w:ascii="Garamond" w:hAnsi="Garamond" w:cs="Garamond"/>
          <w:spacing w:val="-15"/>
        </w:rPr>
        <w:t xml:space="preserve"> </w:t>
      </w:r>
      <w:r>
        <w:rPr>
          <w:rFonts w:ascii="Garamond" w:hAnsi="Garamond" w:cs="Garamond"/>
        </w:rPr>
        <w:t>technical</w:t>
      </w:r>
      <w:r>
        <w:rPr>
          <w:rFonts w:ascii="Garamond" w:hAnsi="Garamond" w:cs="Garamond"/>
          <w:spacing w:val="-15"/>
        </w:rPr>
        <w:t xml:space="preserve"> </w:t>
      </w:r>
      <w:r>
        <w:rPr>
          <w:rFonts w:ascii="Garamond" w:hAnsi="Garamond" w:cs="Garamond"/>
        </w:rPr>
        <w:t>assistance.</w:t>
      </w:r>
    </w:p>
    <w:p w:rsidR="002C5025" w:rsidRDefault="002C5025">
      <w:pPr>
        <w:pStyle w:val="ListParagraph"/>
        <w:numPr>
          <w:ilvl w:val="0"/>
          <w:numId w:val="3"/>
        </w:numPr>
        <w:tabs>
          <w:tab w:val="left" w:pos="460"/>
        </w:tabs>
        <w:kinsoku w:val="0"/>
        <w:overflowPunct w:val="0"/>
        <w:spacing w:before="200" w:line="276" w:lineRule="auto"/>
        <w:ind w:left="460" w:right="132"/>
        <w:rPr>
          <w:rFonts w:ascii="Garamond" w:hAnsi="Garamond" w:cs="Garamond"/>
          <w:spacing w:val="-3"/>
        </w:rPr>
      </w:pPr>
      <w:r>
        <w:rPr>
          <w:rFonts w:ascii="Garamond" w:hAnsi="Garamond" w:cs="Garamond"/>
          <w:b/>
          <w:bCs/>
          <w:u w:val="single" w:color="000000"/>
        </w:rPr>
        <w:t xml:space="preserve">Workforce Development Program:  </w:t>
      </w:r>
      <w:r>
        <w:rPr>
          <w:rFonts w:ascii="Garamond" w:hAnsi="Garamond" w:cs="Garamond"/>
        </w:rPr>
        <w:t xml:space="preserve">PPLM appreciates the inclusion of the new Workforce Development Program, recognizing that the shift to ACOs may require new hiring, training, and redeployment plans for existing staff. This workforce development will be particularly important to small providers in two key ways: 1) training staff to </w:t>
      </w:r>
      <w:r>
        <w:rPr>
          <w:rFonts w:ascii="Garamond" w:hAnsi="Garamond" w:cs="Garamond"/>
          <w:spacing w:val="-4"/>
        </w:rPr>
        <w:t xml:space="preserve">provide </w:t>
      </w:r>
      <w:r>
        <w:rPr>
          <w:rFonts w:ascii="Garamond" w:hAnsi="Garamond" w:cs="Garamond"/>
        </w:rPr>
        <w:t>clinical</w:t>
      </w:r>
      <w:r>
        <w:rPr>
          <w:rFonts w:ascii="Garamond" w:hAnsi="Garamond" w:cs="Garamond"/>
          <w:spacing w:val="-10"/>
        </w:rPr>
        <w:t xml:space="preserve"> </w:t>
      </w:r>
      <w:r>
        <w:rPr>
          <w:rFonts w:ascii="Garamond" w:hAnsi="Garamond" w:cs="Garamond"/>
        </w:rPr>
        <w:t>services</w:t>
      </w:r>
      <w:r>
        <w:rPr>
          <w:rFonts w:ascii="Garamond" w:hAnsi="Garamond" w:cs="Garamond"/>
          <w:spacing w:val="-11"/>
        </w:rPr>
        <w:t xml:space="preserve"> </w:t>
      </w:r>
      <w:r>
        <w:rPr>
          <w:rFonts w:ascii="Garamond" w:hAnsi="Garamond" w:cs="Garamond"/>
        </w:rPr>
        <w:t>in</w:t>
      </w:r>
      <w:r>
        <w:rPr>
          <w:rFonts w:ascii="Garamond" w:hAnsi="Garamond" w:cs="Garamond"/>
          <w:spacing w:val="-13"/>
        </w:rPr>
        <w:t xml:space="preserve"> </w:t>
      </w:r>
      <w:r>
        <w:rPr>
          <w:rFonts w:ascii="Garamond" w:hAnsi="Garamond" w:cs="Garamond"/>
        </w:rPr>
        <w:t>collaboration</w:t>
      </w:r>
      <w:r>
        <w:rPr>
          <w:rFonts w:ascii="Garamond" w:hAnsi="Garamond" w:cs="Garamond"/>
          <w:spacing w:val="-10"/>
        </w:rPr>
        <w:t xml:space="preserve"> </w:t>
      </w:r>
      <w:r>
        <w:rPr>
          <w:rFonts w:ascii="Garamond" w:hAnsi="Garamond" w:cs="Garamond"/>
        </w:rPr>
        <w:t>with</w:t>
      </w:r>
      <w:r>
        <w:rPr>
          <w:rFonts w:ascii="Garamond" w:hAnsi="Garamond" w:cs="Garamond"/>
          <w:spacing w:val="-8"/>
        </w:rPr>
        <w:t xml:space="preserve"> </w:t>
      </w:r>
      <w:r>
        <w:rPr>
          <w:rFonts w:ascii="Garamond" w:hAnsi="Garamond" w:cs="Garamond"/>
        </w:rPr>
        <w:t>ACO</w:t>
      </w:r>
      <w:r>
        <w:rPr>
          <w:rFonts w:ascii="Garamond" w:hAnsi="Garamond" w:cs="Garamond"/>
          <w:spacing w:val="-11"/>
        </w:rPr>
        <w:t xml:space="preserve"> </w:t>
      </w:r>
      <w:r>
        <w:rPr>
          <w:rFonts w:ascii="Garamond" w:hAnsi="Garamond" w:cs="Garamond"/>
          <w:spacing w:val="-3"/>
        </w:rPr>
        <w:t>providers;</w:t>
      </w:r>
      <w:r>
        <w:rPr>
          <w:rFonts w:ascii="Garamond" w:hAnsi="Garamond" w:cs="Garamond"/>
          <w:spacing w:val="-10"/>
        </w:rPr>
        <w:t xml:space="preserve"> </w:t>
      </w:r>
      <w:r>
        <w:rPr>
          <w:rFonts w:ascii="Garamond" w:hAnsi="Garamond" w:cs="Garamond"/>
        </w:rPr>
        <w:t>and</w:t>
      </w:r>
      <w:r>
        <w:rPr>
          <w:rFonts w:ascii="Garamond" w:hAnsi="Garamond" w:cs="Garamond"/>
          <w:spacing w:val="-8"/>
        </w:rPr>
        <w:t xml:space="preserve"> </w:t>
      </w:r>
      <w:r>
        <w:rPr>
          <w:rFonts w:ascii="Garamond" w:hAnsi="Garamond" w:cs="Garamond"/>
        </w:rPr>
        <w:t>2)</w:t>
      </w:r>
      <w:r>
        <w:rPr>
          <w:rFonts w:ascii="Garamond" w:hAnsi="Garamond" w:cs="Garamond"/>
          <w:spacing w:val="-11"/>
        </w:rPr>
        <w:t xml:space="preserve"> </w:t>
      </w:r>
      <w:r>
        <w:rPr>
          <w:rFonts w:ascii="Garamond" w:hAnsi="Garamond" w:cs="Garamond"/>
        </w:rPr>
        <w:t>providing</w:t>
      </w:r>
      <w:r>
        <w:rPr>
          <w:rFonts w:ascii="Garamond" w:hAnsi="Garamond" w:cs="Garamond"/>
          <w:spacing w:val="-10"/>
        </w:rPr>
        <w:t xml:space="preserve"> </w:t>
      </w:r>
      <w:r>
        <w:rPr>
          <w:rFonts w:ascii="Garamond" w:hAnsi="Garamond" w:cs="Garamond"/>
        </w:rPr>
        <w:t>training</w:t>
      </w:r>
      <w:r>
        <w:rPr>
          <w:rFonts w:ascii="Garamond" w:hAnsi="Garamond" w:cs="Garamond"/>
          <w:spacing w:val="-10"/>
        </w:rPr>
        <w:t xml:space="preserve"> </w:t>
      </w:r>
      <w:r>
        <w:rPr>
          <w:rFonts w:ascii="Garamond" w:hAnsi="Garamond" w:cs="Garamond"/>
        </w:rPr>
        <w:t>which</w:t>
      </w:r>
      <w:r>
        <w:rPr>
          <w:rFonts w:ascii="Garamond" w:hAnsi="Garamond" w:cs="Garamond"/>
          <w:spacing w:val="-10"/>
        </w:rPr>
        <w:t xml:space="preserve"> </w:t>
      </w:r>
      <w:r>
        <w:rPr>
          <w:rFonts w:ascii="Garamond" w:hAnsi="Garamond" w:cs="Garamond"/>
        </w:rPr>
        <w:t>allows healthcare</w:t>
      </w:r>
      <w:r>
        <w:rPr>
          <w:rFonts w:ascii="Garamond" w:hAnsi="Garamond" w:cs="Garamond"/>
          <w:spacing w:val="-15"/>
        </w:rPr>
        <w:t xml:space="preserve"> </w:t>
      </w:r>
      <w:r>
        <w:rPr>
          <w:rFonts w:ascii="Garamond" w:hAnsi="Garamond" w:cs="Garamond"/>
        </w:rPr>
        <w:t>administrators</w:t>
      </w:r>
      <w:r>
        <w:rPr>
          <w:rFonts w:ascii="Garamond" w:hAnsi="Garamond" w:cs="Garamond"/>
          <w:spacing w:val="-11"/>
        </w:rPr>
        <w:t xml:space="preserve"> </w:t>
      </w:r>
      <w:r>
        <w:rPr>
          <w:rFonts w:ascii="Garamond" w:hAnsi="Garamond" w:cs="Garamond"/>
        </w:rPr>
        <w:t>to</w:t>
      </w:r>
      <w:r>
        <w:rPr>
          <w:rFonts w:ascii="Garamond" w:hAnsi="Garamond" w:cs="Garamond"/>
          <w:spacing w:val="-11"/>
        </w:rPr>
        <w:t xml:space="preserve"> </w:t>
      </w:r>
      <w:r>
        <w:rPr>
          <w:rFonts w:ascii="Garamond" w:hAnsi="Garamond" w:cs="Garamond"/>
        </w:rPr>
        <w:t>gain</w:t>
      </w:r>
      <w:r>
        <w:rPr>
          <w:rFonts w:ascii="Garamond" w:hAnsi="Garamond" w:cs="Garamond"/>
          <w:spacing w:val="-11"/>
        </w:rPr>
        <w:t xml:space="preserve"> </w:t>
      </w:r>
      <w:r>
        <w:rPr>
          <w:rFonts w:ascii="Garamond" w:hAnsi="Garamond" w:cs="Garamond"/>
        </w:rPr>
        <w:t>the</w:t>
      </w:r>
      <w:r>
        <w:rPr>
          <w:rFonts w:ascii="Garamond" w:hAnsi="Garamond" w:cs="Garamond"/>
          <w:spacing w:val="-9"/>
        </w:rPr>
        <w:t xml:space="preserve"> </w:t>
      </w:r>
      <w:r>
        <w:rPr>
          <w:rFonts w:ascii="Garamond" w:hAnsi="Garamond" w:cs="Garamond"/>
        </w:rPr>
        <w:t>expertise</w:t>
      </w:r>
      <w:r>
        <w:rPr>
          <w:rFonts w:ascii="Garamond" w:hAnsi="Garamond" w:cs="Garamond"/>
          <w:spacing w:val="-11"/>
        </w:rPr>
        <w:t xml:space="preserve"> </w:t>
      </w:r>
      <w:r>
        <w:rPr>
          <w:rFonts w:ascii="Garamond" w:hAnsi="Garamond" w:cs="Garamond"/>
        </w:rPr>
        <w:t>to</w:t>
      </w:r>
      <w:r>
        <w:rPr>
          <w:rFonts w:ascii="Garamond" w:hAnsi="Garamond" w:cs="Garamond"/>
          <w:spacing w:val="-11"/>
        </w:rPr>
        <w:t xml:space="preserve"> </w:t>
      </w:r>
      <w:r>
        <w:rPr>
          <w:rFonts w:ascii="Garamond" w:hAnsi="Garamond" w:cs="Garamond"/>
        </w:rPr>
        <w:t>shift</w:t>
      </w:r>
      <w:r>
        <w:rPr>
          <w:rFonts w:ascii="Garamond" w:hAnsi="Garamond" w:cs="Garamond"/>
          <w:spacing w:val="-12"/>
        </w:rPr>
        <w:t xml:space="preserve"> </w:t>
      </w:r>
      <w:r>
        <w:rPr>
          <w:rFonts w:ascii="Garamond" w:hAnsi="Garamond" w:cs="Garamond"/>
        </w:rPr>
        <w:t>to</w:t>
      </w:r>
      <w:r>
        <w:rPr>
          <w:rFonts w:ascii="Garamond" w:hAnsi="Garamond" w:cs="Garamond"/>
          <w:spacing w:val="-11"/>
        </w:rPr>
        <w:t xml:space="preserve"> </w:t>
      </w:r>
      <w:r>
        <w:rPr>
          <w:rFonts w:ascii="Garamond" w:hAnsi="Garamond" w:cs="Garamond"/>
          <w:spacing w:val="-3"/>
        </w:rPr>
        <w:t>APMs.</w:t>
      </w:r>
    </w:p>
    <w:p w:rsidR="002C5025" w:rsidRDefault="002C5025">
      <w:pPr>
        <w:pStyle w:val="ListParagraph"/>
        <w:numPr>
          <w:ilvl w:val="0"/>
          <w:numId w:val="3"/>
        </w:numPr>
        <w:tabs>
          <w:tab w:val="left" w:pos="460"/>
        </w:tabs>
        <w:kinsoku w:val="0"/>
        <w:overflowPunct w:val="0"/>
        <w:spacing w:before="200" w:line="276" w:lineRule="auto"/>
        <w:ind w:left="460" w:right="262"/>
        <w:rPr>
          <w:rFonts w:ascii="Garamond" w:hAnsi="Garamond" w:cs="Garamond"/>
        </w:rPr>
      </w:pPr>
      <w:r>
        <w:rPr>
          <w:rFonts w:ascii="Garamond" w:hAnsi="Garamond" w:cs="Garamond"/>
          <w:b/>
          <w:bCs/>
          <w:u w:val="single" w:color="000000"/>
        </w:rPr>
        <w:t>Add non-claims-based quality metrics</w:t>
      </w:r>
      <w:r>
        <w:rPr>
          <w:rFonts w:ascii="Garamond" w:hAnsi="Garamond" w:cs="Garamond"/>
        </w:rPr>
        <w:t>: PPLM recommends the Commonwealth consider</w:t>
      </w:r>
      <w:r>
        <w:rPr>
          <w:rFonts w:ascii="Garamond" w:hAnsi="Garamond" w:cs="Garamond"/>
          <w:spacing w:val="-14"/>
        </w:rPr>
        <w:t xml:space="preserve"> </w:t>
      </w:r>
      <w:r>
        <w:rPr>
          <w:rFonts w:ascii="Garamond" w:hAnsi="Garamond" w:cs="Garamond"/>
        </w:rPr>
        <w:t>inclusion</w:t>
      </w:r>
      <w:r>
        <w:rPr>
          <w:rFonts w:ascii="Garamond" w:hAnsi="Garamond" w:cs="Garamond"/>
          <w:spacing w:val="-14"/>
        </w:rPr>
        <w:t xml:space="preserve"> </w:t>
      </w:r>
      <w:r>
        <w:rPr>
          <w:rFonts w:ascii="Garamond" w:hAnsi="Garamond" w:cs="Garamond"/>
        </w:rPr>
        <w:t>of</w:t>
      </w:r>
      <w:r>
        <w:rPr>
          <w:rFonts w:ascii="Garamond" w:hAnsi="Garamond" w:cs="Garamond"/>
          <w:spacing w:val="-12"/>
        </w:rPr>
        <w:t xml:space="preserve"> </w:t>
      </w:r>
      <w:r>
        <w:rPr>
          <w:rFonts w:ascii="Garamond" w:hAnsi="Garamond" w:cs="Garamond"/>
        </w:rPr>
        <w:t>non-claims</w:t>
      </w:r>
      <w:r>
        <w:rPr>
          <w:rFonts w:ascii="Garamond" w:hAnsi="Garamond" w:cs="Garamond"/>
          <w:spacing w:val="-12"/>
        </w:rPr>
        <w:t xml:space="preserve"> </w:t>
      </w:r>
      <w:r>
        <w:rPr>
          <w:rFonts w:ascii="Garamond" w:hAnsi="Garamond" w:cs="Garamond"/>
        </w:rPr>
        <w:t>based</w:t>
      </w:r>
      <w:r>
        <w:rPr>
          <w:rFonts w:ascii="Garamond" w:hAnsi="Garamond" w:cs="Garamond"/>
          <w:spacing w:val="-9"/>
        </w:rPr>
        <w:t xml:space="preserve"> </w:t>
      </w:r>
      <w:r>
        <w:rPr>
          <w:rFonts w:ascii="Garamond" w:hAnsi="Garamond" w:cs="Garamond"/>
        </w:rPr>
        <w:t>quality</w:t>
      </w:r>
      <w:r>
        <w:rPr>
          <w:rFonts w:ascii="Garamond" w:hAnsi="Garamond" w:cs="Garamond"/>
          <w:spacing w:val="-10"/>
        </w:rPr>
        <w:t xml:space="preserve"> </w:t>
      </w:r>
      <w:r>
        <w:rPr>
          <w:rFonts w:ascii="Garamond" w:hAnsi="Garamond" w:cs="Garamond"/>
        </w:rPr>
        <w:t>metrics</w:t>
      </w:r>
      <w:r>
        <w:rPr>
          <w:rFonts w:ascii="Garamond" w:hAnsi="Garamond" w:cs="Garamond"/>
          <w:spacing w:val="-12"/>
        </w:rPr>
        <w:t xml:space="preserve"> </w:t>
      </w:r>
      <w:r>
        <w:rPr>
          <w:rFonts w:ascii="Garamond" w:hAnsi="Garamond" w:cs="Garamond"/>
        </w:rPr>
        <w:t>for</w:t>
      </w:r>
      <w:r>
        <w:rPr>
          <w:rFonts w:ascii="Garamond" w:hAnsi="Garamond" w:cs="Garamond"/>
          <w:spacing w:val="-12"/>
        </w:rPr>
        <w:t xml:space="preserve"> </w:t>
      </w:r>
      <w:r>
        <w:rPr>
          <w:rFonts w:ascii="Garamond" w:hAnsi="Garamond" w:cs="Garamond"/>
        </w:rPr>
        <w:t>ACO</w:t>
      </w:r>
      <w:r>
        <w:rPr>
          <w:rFonts w:ascii="Garamond" w:hAnsi="Garamond" w:cs="Garamond"/>
          <w:spacing w:val="-12"/>
        </w:rPr>
        <w:t xml:space="preserve"> </w:t>
      </w:r>
      <w:r>
        <w:rPr>
          <w:rFonts w:ascii="Garamond" w:hAnsi="Garamond" w:cs="Garamond"/>
        </w:rPr>
        <w:t>performance.</w:t>
      </w:r>
      <w:r>
        <w:rPr>
          <w:rFonts w:ascii="Garamond" w:hAnsi="Garamond" w:cs="Garamond"/>
          <w:spacing w:val="41"/>
        </w:rPr>
        <w:t xml:space="preserve"> </w:t>
      </w:r>
      <w:r>
        <w:rPr>
          <w:rFonts w:ascii="Garamond" w:hAnsi="Garamond" w:cs="Garamond"/>
        </w:rPr>
        <w:t>Such</w:t>
      </w:r>
      <w:r>
        <w:rPr>
          <w:rFonts w:ascii="Garamond" w:hAnsi="Garamond" w:cs="Garamond"/>
          <w:spacing w:val="-11"/>
        </w:rPr>
        <w:t xml:space="preserve"> </w:t>
      </w:r>
      <w:r>
        <w:rPr>
          <w:rFonts w:ascii="Garamond" w:hAnsi="Garamond" w:cs="Garamond"/>
        </w:rPr>
        <w:t>action would enable the Commonwealth to capture patient data in confidential cases where a patient</w:t>
      </w:r>
      <w:r>
        <w:rPr>
          <w:rFonts w:ascii="Garamond" w:hAnsi="Garamond" w:cs="Garamond"/>
          <w:spacing w:val="-16"/>
        </w:rPr>
        <w:t xml:space="preserve"> </w:t>
      </w:r>
      <w:r>
        <w:rPr>
          <w:rFonts w:ascii="Garamond" w:hAnsi="Garamond" w:cs="Garamond"/>
        </w:rPr>
        <w:t>chooses</w:t>
      </w:r>
      <w:r>
        <w:rPr>
          <w:rFonts w:ascii="Garamond" w:hAnsi="Garamond" w:cs="Garamond"/>
          <w:spacing w:val="-14"/>
        </w:rPr>
        <w:t xml:space="preserve"> </w:t>
      </w:r>
      <w:r>
        <w:rPr>
          <w:rFonts w:ascii="Garamond" w:hAnsi="Garamond" w:cs="Garamond"/>
        </w:rPr>
        <w:t>to</w:t>
      </w:r>
      <w:r>
        <w:rPr>
          <w:rFonts w:ascii="Garamond" w:hAnsi="Garamond" w:cs="Garamond"/>
          <w:spacing w:val="-14"/>
        </w:rPr>
        <w:t xml:space="preserve"> </w:t>
      </w:r>
      <w:r>
        <w:rPr>
          <w:rFonts w:ascii="Garamond" w:hAnsi="Garamond" w:cs="Garamond"/>
        </w:rPr>
        <w:t>pay-out-of-pocket</w:t>
      </w:r>
      <w:r>
        <w:rPr>
          <w:rFonts w:ascii="Garamond" w:hAnsi="Garamond" w:cs="Garamond"/>
          <w:spacing w:val="-14"/>
        </w:rPr>
        <w:t xml:space="preserve"> </w:t>
      </w:r>
      <w:r>
        <w:rPr>
          <w:rFonts w:ascii="Garamond" w:hAnsi="Garamond" w:cs="Garamond"/>
        </w:rPr>
        <w:t>(e.g.</w:t>
      </w:r>
      <w:r>
        <w:rPr>
          <w:rFonts w:ascii="Garamond" w:hAnsi="Garamond" w:cs="Garamond"/>
          <w:spacing w:val="-14"/>
        </w:rPr>
        <w:t xml:space="preserve"> </w:t>
      </w:r>
      <w:r>
        <w:rPr>
          <w:rFonts w:ascii="Garamond" w:hAnsi="Garamond" w:cs="Garamond"/>
        </w:rPr>
        <w:t>for</w:t>
      </w:r>
      <w:r>
        <w:rPr>
          <w:rFonts w:ascii="Garamond" w:hAnsi="Garamond" w:cs="Garamond"/>
          <w:spacing w:val="-17"/>
        </w:rPr>
        <w:t xml:space="preserve"> </w:t>
      </w:r>
      <w:r>
        <w:rPr>
          <w:rFonts w:ascii="Garamond" w:hAnsi="Garamond" w:cs="Garamond"/>
        </w:rPr>
        <w:t>behavioral</w:t>
      </w:r>
      <w:r>
        <w:rPr>
          <w:rFonts w:ascii="Garamond" w:hAnsi="Garamond" w:cs="Garamond"/>
          <w:spacing w:val="-14"/>
        </w:rPr>
        <w:t xml:space="preserve"> </w:t>
      </w:r>
      <w:r>
        <w:rPr>
          <w:rFonts w:ascii="Garamond" w:hAnsi="Garamond" w:cs="Garamond"/>
        </w:rPr>
        <w:t>health</w:t>
      </w:r>
      <w:r>
        <w:rPr>
          <w:rFonts w:ascii="Garamond" w:hAnsi="Garamond" w:cs="Garamond"/>
          <w:spacing w:val="-12"/>
        </w:rPr>
        <w:t xml:space="preserve"> </w:t>
      </w:r>
      <w:r>
        <w:rPr>
          <w:rFonts w:ascii="Garamond" w:hAnsi="Garamond" w:cs="Garamond"/>
        </w:rPr>
        <w:t>services</w:t>
      </w:r>
      <w:r>
        <w:rPr>
          <w:rFonts w:ascii="Garamond" w:hAnsi="Garamond" w:cs="Garamond"/>
          <w:spacing w:val="-17"/>
        </w:rPr>
        <w:t xml:space="preserve"> </w:t>
      </w:r>
      <w:r>
        <w:rPr>
          <w:rFonts w:ascii="Garamond" w:hAnsi="Garamond" w:cs="Garamond"/>
        </w:rPr>
        <w:t>or</w:t>
      </w:r>
      <w:r>
        <w:rPr>
          <w:rFonts w:ascii="Garamond" w:hAnsi="Garamond" w:cs="Garamond"/>
          <w:spacing w:val="-14"/>
        </w:rPr>
        <w:t xml:space="preserve"> </w:t>
      </w:r>
      <w:r>
        <w:rPr>
          <w:rFonts w:ascii="Garamond" w:hAnsi="Garamond" w:cs="Garamond"/>
        </w:rPr>
        <w:t>family</w:t>
      </w:r>
      <w:r>
        <w:rPr>
          <w:rFonts w:ascii="Garamond" w:hAnsi="Garamond" w:cs="Garamond"/>
          <w:spacing w:val="-13"/>
        </w:rPr>
        <w:t xml:space="preserve"> </w:t>
      </w:r>
      <w:r>
        <w:rPr>
          <w:rFonts w:ascii="Garamond" w:hAnsi="Garamond" w:cs="Garamond"/>
        </w:rPr>
        <w:t xml:space="preserve">planning counseling). When data is not accessed from these patient visits, the Commonwealth also misses data on additional clinical services provided including prenatal care, tobacco use, adult BMI, etc. The ability to capture data from </w:t>
      </w:r>
      <w:r>
        <w:rPr>
          <w:rFonts w:ascii="Garamond" w:hAnsi="Garamond" w:cs="Garamond"/>
          <w:spacing w:val="-3"/>
        </w:rPr>
        <w:t xml:space="preserve">these </w:t>
      </w:r>
      <w:r>
        <w:rPr>
          <w:rFonts w:ascii="Garamond" w:hAnsi="Garamond" w:cs="Garamond"/>
        </w:rPr>
        <w:t>non-claims-based quality metrics is essential where the collaboration between primary care providers and small, specialty providers</w:t>
      </w:r>
      <w:r>
        <w:rPr>
          <w:rFonts w:ascii="Garamond" w:hAnsi="Garamond" w:cs="Garamond"/>
          <w:spacing w:val="-16"/>
        </w:rPr>
        <w:t xml:space="preserve"> </w:t>
      </w:r>
      <w:r>
        <w:rPr>
          <w:rFonts w:ascii="Garamond" w:hAnsi="Garamond" w:cs="Garamond"/>
        </w:rPr>
        <w:t>drives</w:t>
      </w:r>
      <w:r>
        <w:rPr>
          <w:rFonts w:ascii="Garamond" w:hAnsi="Garamond" w:cs="Garamond"/>
          <w:spacing w:val="-16"/>
        </w:rPr>
        <w:t xml:space="preserve"> </w:t>
      </w:r>
      <w:r>
        <w:rPr>
          <w:rFonts w:ascii="Garamond" w:hAnsi="Garamond" w:cs="Garamond"/>
        </w:rPr>
        <w:t>outcomes</w:t>
      </w:r>
      <w:r>
        <w:rPr>
          <w:rFonts w:ascii="Garamond" w:hAnsi="Garamond" w:cs="Garamond"/>
          <w:spacing w:val="-17"/>
        </w:rPr>
        <w:t xml:space="preserve"> </w:t>
      </w:r>
      <w:r>
        <w:rPr>
          <w:rFonts w:ascii="Garamond" w:hAnsi="Garamond" w:cs="Garamond"/>
        </w:rPr>
        <w:t>and</w:t>
      </w:r>
      <w:r>
        <w:rPr>
          <w:rFonts w:ascii="Garamond" w:hAnsi="Garamond" w:cs="Garamond"/>
          <w:spacing w:val="-12"/>
        </w:rPr>
        <w:t xml:space="preserve"> </w:t>
      </w:r>
      <w:r>
        <w:rPr>
          <w:rFonts w:ascii="Garamond" w:hAnsi="Garamond" w:cs="Garamond"/>
        </w:rPr>
        <w:t>is</w:t>
      </w:r>
      <w:r>
        <w:rPr>
          <w:rFonts w:ascii="Garamond" w:hAnsi="Garamond" w:cs="Garamond"/>
          <w:spacing w:val="-13"/>
        </w:rPr>
        <w:t xml:space="preserve"> </w:t>
      </w:r>
      <w:r>
        <w:rPr>
          <w:rFonts w:ascii="Garamond" w:hAnsi="Garamond" w:cs="Garamond"/>
        </w:rPr>
        <w:t>necessary</w:t>
      </w:r>
      <w:r>
        <w:rPr>
          <w:rFonts w:ascii="Garamond" w:hAnsi="Garamond" w:cs="Garamond"/>
          <w:spacing w:val="-11"/>
        </w:rPr>
        <w:t xml:space="preserve"> </w:t>
      </w:r>
      <w:r>
        <w:rPr>
          <w:rFonts w:ascii="Garamond" w:hAnsi="Garamond" w:cs="Garamond"/>
        </w:rPr>
        <w:t>to</w:t>
      </w:r>
      <w:r>
        <w:rPr>
          <w:rFonts w:ascii="Garamond" w:hAnsi="Garamond" w:cs="Garamond"/>
          <w:spacing w:val="-15"/>
        </w:rPr>
        <w:t xml:space="preserve"> </w:t>
      </w:r>
      <w:r>
        <w:rPr>
          <w:rFonts w:ascii="Garamond" w:hAnsi="Garamond" w:cs="Garamond"/>
        </w:rPr>
        <w:t>enhance</w:t>
      </w:r>
      <w:r>
        <w:rPr>
          <w:rFonts w:ascii="Garamond" w:hAnsi="Garamond" w:cs="Garamond"/>
          <w:spacing w:val="-10"/>
        </w:rPr>
        <w:t xml:space="preserve"> </w:t>
      </w:r>
      <w:r>
        <w:rPr>
          <w:rFonts w:ascii="Garamond" w:hAnsi="Garamond" w:cs="Garamond"/>
        </w:rPr>
        <w:t>population</w:t>
      </w:r>
      <w:r>
        <w:rPr>
          <w:rFonts w:ascii="Garamond" w:hAnsi="Garamond" w:cs="Garamond"/>
          <w:spacing w:val="-15"/>
        </w:rPr>
        <w:t xml:space="preserve"> </w:t>
      </w:r>
      <w:r>
        <w:rPr>
          <w:rFonts w:ascii="Garamond" w:hAnsi="Garamond" w:cs="Garamond"/>
        </w:rPr>
        <w:t>management</w:t>
      </w:r>
      <w:r>
        <w:rPr>
          <w:rFonts w:ascii="Garamond" w:hAnsi="Garamond" w:cs="Garamond"/>
          <w:spacing w:val="-13"/>
        </w:rPr>
        <w:t xml:space="preserve"> </w:t>
      </w:r>
      <w:r>
        <w:rPr>
          <w:rFonts w:ascii="Garamond" w:hAnsi="Garamond" w:cs="Garamond"/>
        </w:rPr>
        <w:t>and</w:t>
      </w:r>
      <w:r>
        <w:rPr>
          <w:rFonts w:ascii="Garamond" w:hAnsi="Garamond" w:cs="Garamond"/>
          <w:spacing w:val="-12"/>
        </w:rPr>
        <w:t xml:space="preserve"> </w:t>
      </w:r>
      <w:r>
        <w:rPr>
          <w:rFonts w:ascii="Garamond" w:hAnsi="Garamond" w:cs="Garamond"/>
        </w:rPr>
        <w:t>quality of</w:t>
      </w:r>
      <w:r>
        <w:rPr>
          <w:rFonts w:ascii="Garamond" w:hAnsi="Garamond" w:cs="Garamond"/>
          <w:spacing w:val="-13"/>
        </w:rPr>
        <w:t xml:space="preserve"> </w:t>
      </w:r>
      <w:r>
        <w:rPr>
          <w:rFonts w:ascii="Garamond" w:hAnsi="Garamond" w:cs="Garamond"/>
        </w:rPr>
        <w:t>care.</w:t>
      </w:r>
    </w:p>
    <w:p w:rsidR="002C5025" w:rsidRDefault="002C5025">
      <w:pPr>
        <w:pStyle w:val="ListParagraph"/>
        <w:numPr>
          <w:ilvl w:val="0"/>
          <w:numId w:val="3"/>
        </w:numPr>
        <w:tabs>
          <w:tab w:val="left" w:pos="460"/>
        </w:tabs>
        <w:kinsoku w:val="0"/>
        <w:overflowPunct w:val="0"/>
        <w:spacing w:before="200" w:line="276" w:lineRule="auto"/>
        <w:ind w:left="460" w:right="251"/>
        <w:rPr>
          <w:rFonts w:ascii="Garamond" w:hAnsi="Garamond" w:cs="Garamond"/>
        </w:rPr>
      </w:pPr>
      <w:r>
        <w:rPr>
          <w:rFonts w:ascii="Garamond" w:hAnsi="Garamond" w:cs="Garamond"/>
          <w:b/>
          <w:bCs/>
          <w:u w:val="single" w:color="000000"/>
        </w:rPr>
        <w:t>Maintain</w:t>
      </w:r>
      <w:r>
        <w:rPr>
          <w:rFonts w:ascii="Garamond" w:hAnsi="Garamond" w:cs="Garamond"/>
          <w:b/>
          <w:bCs/>
          <w:spacing w:val="-11"/>
          <w:u w:val="single" w:color="000000"/>
        </w:rPr>
        <w:t xml:space="preserve"> </w:t>
      </w:r>
      <w:r>
        <w:rPr>
          <w:rFonts w:ascii="Garamond" w:hAnsi="Garamond" w:cs="Garamond"/>
          <w:b/>
          <w:bCs/>
          <w:u w:val="single" w:color="000000"/>
        </w:rPr>
        <w:t>the</w:t>
      </w:r>
      <w:r>
        <w:rPr>
          <w:rFonts w:ascii="Garamond" w:hAnsi="Garamond" w:cs="Garamond"/>
          <w:b/>
          <w:bCs/>
          <w:spacing w:val="-12"/>
          <w:u w:val="single" w:color="000000"/>
        </w:rPr>
        <w:t xml:space="preserve"> </w:t>
      </w:r>
      <w:r>
        <w:rPr>
          <w:rFonts w:ascii="Garamond" w:hAnsi="Garamond" w:cs="Garamond"/>
          <w:b/>
          <w:bCs/>
          <w:u w:val="single" w:color="000000"/>
        </w:rPr>
        <w:t>ability</w:t>
      </w:r>
      <w:r>
        <w:rPr>
          <w:rFonts w:ascii="Garamond" w:hAnsi="Garamond" w:cs="Garamond"/>
          <w:b/>
          <w:bCs/>
          <w:spacing w:val="-8"/>
          <w:u w:val="single" w:color="000000"/>
        </w:rPr>
        <w:t xml:space="preserve"> </w:t>
      </w:r>
      <w:r>
        <w:rPr>
          <w:rFonts w:ascii="Garamond" w:hAnsi="Garamond" w:cs="Garamond"/>
          <w:b/>
          <w:bCs/>
          <w:u w:val="single" w:color="000000"/>
        </w:rPr>
        <w:t>of</w:t>
      </w:r>
      <w:r>
        <w:rPr>
          <w:rFonts w:ascii="Garamond" w:hAnsi="Garamond" w:cs="Garamond"/>
          <w:b/>
          <w:bCs/>
          <w:spacing w:val="-11"/>
          <w:u w:val="single" w:color="000000"/>
        </w:rPr>
        <w:t xml:space="preserve"> </w:t>
      </w:r>
      <w:r>
        <w:rPr>
          <w:rFonts w:ascii="Garamond" w:hAnsi="Garamond" w:cs="Garamond"/>
          <w:b/>
          <w:bCs/>
          <w:u w:val="single" w:color="000000"/>
        </w:rPr>
        <w:t>specialty</w:t>
      </w:r>
      <w:r>
        <w:rPr>
          <w:rFonts w:ascii="Garamond" w:hAnsi="Garamond" w:cs="Garamond"/>
          <w:b/>
          <w:bCs/>
          <w:spacing w:val="-10"/>
          <w:u w:val="single" w:color="000000"/>
        </w:rPr>
        <w:t xml:space="preserve"> </w:t>
      </w:r>
      <w:r>
        <w:rPr>
          <w:rFonts w:ascii="Garamond" w:hAnsi="Garamond" w:cs="Garamond"/>
          <w:b/>
          <w:bCs/>
          <w:u w:val="single" w:color="000000"/>
        </w:rPr>
        <w:t>providers</w:t>
      </w:r>
      <w:r>
        <w:rPr>
          <w:rFonts w:ascii="Garamond" w:hAnsi="Garamond" w:cs="Garamond"/>
          <w:b/>
          <w:bCs/>
          <w:spacing w:val="-8"/>
          <w:u w:val="single" w:color="000000"/>
        </w:rPr>
        <w:t xml:space="preserve"> </w:t>
      </w:r>
      <w:r>
        <w:rPr>
          <w:rFonts w:ascii="Garamond" w:hAnsi="Garamond" w:cs="Garamond"/>
          <w:b/>
          <w:bCs/>
          <w:u w:val="single" w:color="000000"/>
        </w:rPr>
        <w:t>to</w:t>
      </w:r>
      <w:r>
        <w:rPr>
          <w:rFonts w:ascii="Garamond" w:hAnsi="Garamond" w:cs="Garamond"/>
          <w:b/>
          <w:bCs/>
          <w:spacing w:val="-8"/>
          <w:u w:val="single" w:color="000000"/>
        </w:rPr>
        <w:t xml:space="preserve"> </w:t>
      </w:r>
      <w:r>
        <w:rPr>
          <w:rFonts w:ascii="Garamond" w:hAnsi="Garamond" w:cs="Garamond"/>
          <w:b/>
          <w:bCs/>
          <w:u w:val="single" w:color="000000"/>
        </w:rPr>
        <w:t>participate</w:t>
      </w:r>
      <w:r>
        <w:rPr>
          <w:rFonts w:ascii="Garamond" w:hAnsi="Garamond" w:cs="Garamond"/>
          <w:b/>
          <w:bCs/>
          <w:spacing w:val="-8"/>
          <w:u w:val="single" w:color="000000"/>
        </w:rPr>
        <w:t xml:space="preserve"> </w:t>
      </w:r>
      <w:r>
        <w:rPr>
          <w:rFonts w:ascii="Garamond" w:hAnsi="Garamond" w:cs="Garamond"/>
          <w:b/>
          <w:bCs/>
          <w:u w:val="single" w:color="000000"/>
        </w:rPr>
        <w:t>in</w:t>
      </w:r>
      <w:r>
        <w:rPr>
          <w:rFonts w:ascii="Garamond" w:hAnsi="Garamond" w:cs="Garamond"/>
          <w:b/>
          <w:bCs/>
          <w:spacing w:val="-11"/>
          <w:u w:val="single" w:color="000000"/>
        </w:rPr>
        <w:t xml:space="preserve"> </w:t>
      </w:r>
      <w:r>
        <w:rPr>
          <w:rFonts w:ascii="Garamond" w:hAnsi="Garamond" w:cs="Garamond"/>
          <w:b/>
          <w:bCs/>
          <w:u w:val="single" w:color="000000"/>
        </w:rPr>
        <w:t>more</w:t>
      </w:r>
      <w:r>
        <w:rPr>
          <w:rFonts w:ascii="Garamond" w:hAnsi="Garamond" w:cs="Garamond"/>
          <w:b/>
          <w:bCs/>
          <w:spacing w:val="-8"/>
          <w:u w:val="single" w:color="000000"/>
        </w:rPr>
        <w:t xml:space="preserve"> </w:t>
      </w:r>
      <w:r>
        <w:rPr>
          <w:rFonts w:ascii="Garamond" w:hAnsi="Garamond" w:cs="Garamond"/>
          <w:b/>
          <w:bCs/>
          <w:u w:val="single" w:color="000000"/>
        </w:rPr>
        <w:t>than</w:t>
      </w:r>
      <w:r>
        <w:rPr>
          <w:rFonts w:ascii="Garamond" w:hAnsi="Garamond" w:cs="Garamond"/>
          <w:b/>
          <w:bCs/>
          <w:spacing w:val="-11"/>
          <w:u w:val="single" w:color="000000"/>
        </w:rPr>
        <w:t xml:space="preserve"> </w:t>
      </w:r>
      <w:r>
        <w:rPr>
          <w:rFonts w:ascii="Garamond" w:hAnsi="Garamond" w:cs="Garamond"/>
          <w:b/>
          <w:bCs/>
          <w:u w:val="single" w:color="000000"/>
        </w:rPr>
        <w:t>one</w:t>
      </w:r>
      <w:r>
        <w:rPr>
          <w:rFonts w:ascii="Garamond" w:hAnsi="Garamond" w:cs="Garamond"/>
          <w:b/>
          <w:bCs/>
          <w:spacing w:val="-8"/>
          <w:u w:val="single" w:color="000000"/>
        </w:rPr>
        <w:t xml:space="preserve"> </w:t>
      </w:r>
      <w:r>
        <w:rPr>
          <w:rFonts w:ascii="Garamond" w:hAnsi="Garamond" w:cs="Garamond"/>
          <w:b/>
          <w:bCs/>
          <w:u w:val="single" w:color="000000"/>
        </w:rPr>
        <w:t>ACO</w:t>
      </w:r>
      <w:r>
        <w:rPr>
          <w:rFonts w:ascii="Garamond" w:hAnsi="Garamond" w:cs="Garamond"/>
        </w:rPr>
        <w:t>:</w:t>
      </w:r>
      <w:r>
        <w:rPr>
          <w:rFonts w:ascii="Garamond" w:hAnsi="Garamond" w:cs="Garamond"/>
          <w:spacing w:val="44"/>
        </w:rPr>
        <w:t xml:space="preserve"> </w:t>
      </w:r>
      <w:r>
        <w:rPr>
          <w:rFonts w:ascii="Garamond" w:hAnsi="Garamond" w:cs="Garamond"/>
        </w:rPr>
        <w:t>We are</w:t>
      </w:r>
      <w:r>
        <w:rPr>
          <w:rFonts w:ascii="Garamond" w:hAnsi="Garamond" w:cs="Garamond"/>
          <w:spacing w:val="-8"/>
        </w:rPr>
        <w:t xml:space="preserve"> </w:t>
      </w:r>
      <w:r>
        <w:rPr>
          <w:rFonts w:ascii="Garamond" w:hAnsi="Garamond" w:cs="Garamond"/>
        </w:rPr>
        <w:t>pleased</w:t>
      </w:r>
      <w:r>
        <w:rPr>
          <w:rFonts w:ascii="Garamond" w:hAnsi="Garamond" w:cs="Garamond"/>
          <w:spacing w:val="-9"/>
        </w:rPr>
        <w:t xml:space="preserve"> </w:t>
      </w:r>
      <w:r>
        <w:rPr>
          <w:rFonts w:ascii="Garamond" w:hAnsi="Garamond" w:cs="Garamond"/>
        </w:rPr>
        <w:t>to</w:t>
      </w:r>
      <w:r>
        <w:rPr>
          <w:rFonts w:ascii="Garamond" w:hAnsi="Garamond" w:cs="Garamond"/>
          <w:spacing w:val="-9"/>
        </w:rPr>
        <w:t xml:space="preserve"> </w:t>
      </w:r>
      <w:r>
        <w:rPr>
          <w:rFonts w:ascii="Garamond" w:hAnsi="Garamond" w:cs="Garamond"/>
          <w:spacing w:val="-2"/>
        </w:rPr>
        <w:t>see</w:t>
      </w:r>
      <w:r>
        <w:rPr>
          <w:rFonts w:ascii="Garamond" w:hAnsi="Garamond" w:cs="Garamond"/>
          <w:spacing w:val="-6"/>
        </w:rPr>
        <w:t xml:space="preserve"> </w:t>
      </w:r>
      <w:r>
        <w:rPr>
          <w:rFonts w:ascii="Garamond" w:hAnsi="Garamond" w:cs="Garamond"/>
        </w:rPr>
        <w:t>that</w:t>
      </w:r>
      <w:r>
        <w:rPr>
          <w:rFonts w:ascii="Garamond" w:hAnsi="Garamond" w:cs="Garamond"/>
          <w:spacing w:val="-9"/>
        </w:rPr>
        <w:t xml:space="preserve"> </w:t>
      </w:r>
      <w:r>
        <w:rPr>
          <w:rFonts w:ascii="Garamond" w:hAnsi="Garamond" w:cs="Garamond"/>
        </w:rPr>
        <w:t>specialty</w:t>
      </w:r>
      <w:r>
        <w:rPr>
          <w:rFonts w:ascii="Garamond" w:hAnsi="Garamond" w:cs="Garamond"/>
          <w:spacing w:val="-8"/>
        </w:rPr>
        <w:t xml:space="preserve"> </w:t>
      </w:r>
      <w:r>
        <w:rPr>
          <w:rFonts w:ascii="Garamond" w:hAnsi="Garamond" w:cs="Garamond"/>
        </w:rPr>
        <w:t>providers</w:t>
      </w:r>
      <w:r>
        <w:rPr>
          <w:rFonts w:ascii="Garamond" w:hAnsi="Garamond" w:cs="Garamond"/>
          <w:spacing w:val="-12"/>
        </w:rPr>
        <w:t xml:space="preserve"> </w:t>
      </w:r>
      <w:r>
        <w:rPr>
          <w:rFonts w:ascii="Garamond" w:hAnsi="Garamond" w:cs="Garamond"/>
        </w:rPr>
        <w:t>are</w:t>
      </w:r>
      <w:r>
        <w:rPr>
          <w:rFonts w:ascii="Garamond" w:hAnsi="Garamond" w:cs="Garamond"/>
          <w:spacing w:val="-8"/>
        </w:rPr>
        <w:t xml:space="preserve"> </w:t>
      </w:r>
      <w:r>
        <w:rPr>
          <w:rFonts w:ascii="Garamond" w:hAnsi="Garamond" w:cs="Garamond"/>
        </w:rPr>
        <w:t>authorized</w:t>
      </w:r>
      <w:r>
        <w:rPr>
          <w:rFonts w:ascii="Garamond" w:hAnsi="Garamond" w:cs="Garamond"/>
          <w:spacing w:val="-9"/>
        </w:rPr>
        <w:t xml:space="preserve"> </w:t>
      </w:r>
      <w:r>
        <w:rPr>
          <w:rFonts w:ascii="Garamond" w:hAnsi="Garamond" w:cs="Garamond"/>
        </w:rPr>
        <w:t>to</w:t>
      </w:r>
      <w:r>
        <w:rPr>
          <w:rFonts w:ascii="Garamond" w:hAnsi="Garamond" w:cs="Garamond"/>
          <w:spacing w:val="-9"/>
        </w:rPr>
        <w:t xml:space="preserve"> </w:t>
      </w:r>
      <w:r>
        <w:rPr>
          <w:rFonts w:ascii="Garamond" w:hAnsi="Garamond" w:cs="Garamond"/>
        </w:rPr>
        <w:t>join</w:t>
      </w:r>
      <w:r>
        <w:rPr>
          <w:rFonts w:ascii="Garamond" w:hAnsi="Garamond" w:cs="Garamond"/>
          <w:spacing w:val="-11"/>
        </w:rPr>
        <w:t xml:space="preserve"> </w:t>
      </w:r>
      <w:r>
        <w:rPr>
          <w:rFonts w:ascii="Garamond" w:hAnsi="Garamond" w:cs="Garamond"/>
        </w:rPr>
        <w:t>or</w:t>
      </w:r>
      <w:r>
        <w:rPr>
          <w:rFonts w:ascii="Garamond" w:hAnsi="Garamond" w:cs="Garamond"/>
          <w:spacing w:val="-12"/>
        </w:rPr>
        <w:t xml:space="preserve"> </w:t>
      </w:r>
      <w:r>
        <w:rPr>
          <w:rFonts w:ascii="Garamond" w:hAnsi="Garamond" w:cs="Garamond"/>
        </w:rPr>
        <w:t>participate</w:t>
      </w:r>
      <w:r>
        <w:rPr>
          <w:rFonts w:ascii="Garamond" w:hAnsi="Garamond" w:cs="Garamond"/>
          <w:spacing w:val="-8"/>
        </w:rPr>
        <w:t xml:space="preserve"> </w:t>
      </w:r>
      <w:r>
        <w:rPr>
          <w:rFonts w:ascii="Garamond" w:hAnsi="Garamond" w:cs="Garamond"/>
        </w:rPr>
        <w:t>in</w:t>
      </w:r>
      <w:r>
        <w:rPr>
          <w:rFonts w:ascii="Garamond" w:hAnsi="Garamond" w:cs="Garamond"/>
          <w:spacing w:val="-9"/>
        </w:rPr>
        <w:t xml:space="preserve"> </w:t>
      </w:r>
      <w:r>
        <w:rPr>
          <w:rFonts w:ascii="Garamond" w:hAnsi="Garamond" w:cs="Garamond"/>
        </w:rPr>
        <w:t>more</w:t>
      </w:r>
      <w:r>
        <w:rPr>
          <w:rFonts w:ascii="Garamond" w:hAnsi="Garamond" w:cs="Garamond"/>
          <w:spacing w:val="-8"/>
        </w:rPr>
        <w:t xml:space="preserve"> </w:t>
      </w:r>
      <w:r>
        <w:rPr>
          <w:rFonts w:ascii="Garamond" w:hAnsi="Garamond" w:cs="Garamond"/>
        </w:rPr>
        <w:t>than one ACO, which will also help increase participation of smaller, value-based providers in ACO</w:t>
      </w:r>
      <w:r>
        <w:rPr>
          <w:rFonts w:ascii="Garamond" w:hAnsi="Garamond" w:cs="Garamond"/>
          <w:spacing w:val="-18"/>
        </w:rPr>
        <w:t xml:space="preserve"> </w:t>
      </w:r>
      <w:r>
        <w:rPr>
          <w:rFonts w:ascii="Garamond" w:hAnsi="Garamond" w:cs="Garamond"/>
        </w:rPr>
        <w:t>models.</w:t>
      </w:r>
    </w:p>
    <w:p w:rsidR="002C5025" w:rsidRDefault="002C5025">
      <w:pPr>
        <w:pStyle w:val="BodyText"/>
        <w:numPr>
          <w:ilvl w:val="0"/>
          <w:numId w:val="3"/>
        </w:numPr>
        <w:tabs>
          <w:tab w:val="left" w:pos="460"/>
        </w:tabs>
        <w:kinsoku w:val="0"/>
        <w:overflowPunct w:val="0"/>
        <w:spacing w:before="203" w:line="276" w:lineRule="auto"/>
        <w:ind w:left="460" w:right="202"/>
        <w:rPr>
          <w:rFonts w:ascii="Garamond" w:hAnsi="Garamond" w:cs="Garamond"/>
          <w:sz w:val="24"/>
          <w:szCs w:val="24"/>
        </w:rPr>
      </w:pPr>
      <w:r>
        <w:rPr>
          <w:rFonts w:ascii="Garamond" w:hAnsi="Garamond" w:cs="Garamond"/>
          <w:b/>
          <w:bCs/>
          <w:sz w:val="24"/>
          <w:szCs w:val="24"/>
          <w:u w:val="single" w:color="000000"/>
        </w:rPr>
        <w:t>APMs for Small Providers</w:t>
      </w:r>
      <w:r>
        <w:rPr>
          <w:rFonts w:ascii="Garamond" w:hAnsi="Garamond" w:cs="Garamond"/>
          <w:sz w:val="24"/>
          <w:szCs w:val="24"/>
          <w:u w:val="single" w:color="000000"/>
        </w:rPr>
        <w:t xml:space="preserve">: </w:t>
      </w:r>
      <w:r>
        <w:rPr>
          <w:rFonts w:ascii="Garamond" w:hAnsi="Garamond" w:cs="Garamond"/>
          <w:sz w:val="24"/>
          <w:szCs w:val="24"/>
        </w:rPr>
        <w:t xml:space="preserve">It is unclear how the Model C ACO Option differs from executing alternative payment directly with MCOs. We are concerned that </w:t>
      </w:r>
      <w:r>
        <w:rPr>
          <w:rFonts w:ascii="Garamond" w:hAnsi="Garamond" w:cs="Garamond"/>
          <w:spacing w:val="-3"/>
          <w:sz w:val="24"/>
          <w:szCs w:val="24"/>
        </w:rPr>
        <w:t xml:space="preserve">there </w:t>
      </w:r>
      <w:r>
        <w:rPr>
          <w:rFonts w:ascii="Garamond" w:hAnsi="Garamond" w:cs="Garamond"/>
          <w:sz w:val="24"/>
          <w:szCs w:val="24"/>
        </w:rPr>
        <w:t>is no clear risk-based payment model for small providers proposed to date. If a risk-based payment model for small providers is not developed within the scope of work under the APM Preparation</w:t>
      </w:r>
      <w:r>
        <w:rPr>
          <w:rFonts w:ascii="Garamond" w:hAnsi="Garamond" w:cs="Garamond"/>
          <w:spacing w:val="-10"/>
          <w:sz w:val="24"/>
          <w:szCs w:val="24"/>
        </w:rPr>
        <w:t xml:space="preserve"> </w:t>
      </w:r>
      <w:r>
        <w:rPr>
          <w:rFonts w:ascii="Garamond" w:hAnsi="Garamond" w:cs="Garamond"/>
          <w:sz w:val="24"/>
          <w:szCs w:val="24"/>
        </w:rPr>
        <w:t>Fund,</w:t>
      </w:r>
      <w:r>
        <w:rPr>
          <w:rFonts w:ascii="Garamond" w:hAnsi="Garamond" w:cs="Garamond"/>
          <w:spacing w:val="-12"/>
          <w:sz w:val="24"/>
          <w:szCs w:val="24"/>
        </w:rPr>
        <w:t xml:space="preserve"> </w:t>
      </w:r>
      <w:r>
        <w:rPr>
          <w:rFonts w:ascii="Garamond" w:hAnsi="Garamond" w:cs="Garamond"/>
          <w:sz w:val="24"/>
          <w:szCs w:val="24"/>
        </w:rPr>
        <w:t>the</w:t>
      </w:r>
      <w:r>
        <w:rPr>
          <w:rFonts w:ascii="Garamond" w:hAnsi="Garamond" w:cs="Garamond"/>
          <w:spacing w:val="-11"/>
          <w:sz w:val="24"/>
          <w:szCs w:val="24"/>
        </w:rPr>
        <w:t xml:space="preserve"> </w:t>
      </w:r>
      <w:r>
        <w:rPr>
          <w:rFonts w:ascii="Garamond" w:hAnsi="Garamond" w:cs="Garamond"/>
          <w:sz w:val="24"/>
          <w:szCs w:val="24"/>
        </w:rPr>
        <w:t>ability</w:t>
      </w:r>
      <w:r>
        <w:rPr>
          <w:rFonts w:ascii="Garamond" w:hAnsi="Garamond" w:cs="Garamond"/>
          <w:spacing w:val="-9"/>
          <w:sz w:val="24"/>
          <w:szCs w:val="24"/>
        </w:rPr>
        <w:t xml:space="preserve"> </w:t>
      </w:r>
      <w:r>
        <w:rPr>
          <w:rFonts w:ascii="Garamond" w:hAnsi="Garamond" w:cs="Garamond"/>
          <w:sz w:val="24"/>
          <w:szCs w:val="24"/>
        </w:rPr>
        <w:t>of</w:t>
      </w:r>
      <w:r>
        <w:rPr>
          <w:rFonts w:ascii="Garamond" w:hAnsi="Garamond" w:cs="Garamond"/>
          <w:spacing w:val="-13"/>
          <w:sz w:val="24"/>
          <w:szCs w:val="24"/>
        </w:rPr>
        <w:t xml:space="preserve"> </w:t>
      </w:r>
      <w:r>
        <w:rPr>
          <w:rFonts w:ascii="Garamond" w:hAnsi="Garamond" w:cs="Garamond"/>
          <w:sz w:val="24"/>
          <w:szCs w:val="24"/>
        </w:rPr>
        <w:t>smaller,</w:t>
      </w:r>
      <w:r>
        <w:rPr>
          <w:rFonts w:ascii="Garamond" w:hAnsi="Garamond" w:cs="Garamond"/>
          <w:spacing w:val="-10"/>
          <w:sz w:val="24"/>
          <w:szCs w:val="24"/>
        </w:rPr>
        <w:t xml:space="preserve"> </w:t>
      </w:r>
      <w:r>
        <w:rPr>
          <w:rFonts w:ascii="Garamond" w:hAnsi="Garamond" w:cs="Garamond"/>
          <w:sz w:val="24"/>
          <w:szCs w:val="24"/>
        </w:rPr>
        <w:t>specialty</w:t>
      </w:r>
      <w:r>
        <w:rPr>
          <w:rFonts w:ascii="Garamond" w:hAnsi="Garamond" w:cs="Garamond"/>
          <w:spacing w:val="-9"/>
          <w:sz w:val="24"/>
          <w:szCs w:val="24"/>
        </w:rPr>
        <w:t xml:space="preserve"> </w:t>
      </w:r>
      <w:r>
        <w:rPr>
          <w:rFonts w:ascii="Garamond" w:hAnsi="Garamond" w:cs="Garamond"/>
          <w:sz w:val="24"/>
          <w:szCs w:val="24"/>
        </w:rPr>
        <w:t>providers</w:t>
      </w:r>
      <w:r>
        <w:rPr>
          <w:rFonts w:ascii="Garamond" w:hAnsi="Garamond" w:cs="Garamond"/>
          <w:spacing w:val="-11"/>
          <w:sz w:val="24"/>
          <w:szCs w:val="24"/>
        </w:rPr>
        <w:t xml:space="preserve"> </w:t>
      </w:r>
      <w:r>
        <w:rPr>
          <w:rFonts w:ascii="Garamond" w:hAnsi="Garamond" w:cs="Garamond"/>
          <w:sz w:val="24"/>
          <w:szCs w:val="24"/>
        </w:rPr>
        <w:t>to</w:t>
      </w:r>
      <w:r>
        <w:rPr>
          <w:rFonts w:ascii="Garamond" w:hAnsi="Garamond" w:cs="Garamond"/>
          <w:spacing w:val="-12"/>
          <w:sz w:val="24"/>
          <w:szCs w:val="24"/>
        </w:rPr>
        <w:t xml:space="preserve"> </w:t>
      </w:r>
      <w:r>
        <w:rPr>
          <w:rFonts w:ascii="Garamond" w:hAnsi="Garamond" w:cs="Garamond"/>
          <w:sz w:val="24"/>
          <w:szCs w:val="24"/>
        </w:rPr>
        <w:t>participate</w:t>
      </w:r>
      <w:r>
        <w:rPr>
          <w:rFonts w:ascii="Garamond" w:hAnsi="Garamond" w:cs="Garamond"/>
          <w:spacing w:val="-9"/>
          <w:sz w:val="24"/>
          <w:szCs w:val="24"/>
        </w:rPr>
        <w:t xml:space="preserve"> </w:t>
      </w:r>
      <w:r>
        <w:rPr>
          <w:rFonts w:ascii="Garamond" w:hAnsi="Garamond" w:cs="Garamond"/>
          <w:sz w:val="24"/>
          <w:szCs w:val="24"/>
        </w:rPr>
        <w:t>in</w:t>
      </w:r>
      <w:r>
        <w:rPr>
          <w:rFonts w:ascii="Garamond" w:hAnsi="Garamond" w:cs="Garamond"/>
          <w:spacing w:val="-12"/>
          <w:sz w:val="24"/>
          <w:szCs w:val="24"/>
        </w:rPr>
        <w:t xml:space="preserve"> </w:t>
      </w:r>
      <w:r>
        <w:rPr>
          <w:rFonts w:ascii="Garamond" w:hAnsi="Garamond" w:cs="Garamond"/>
          <w:sz w:val="24"/>
          <w:szCs w:val="24"/>
        </w:rPr>
        <w:t>Model</w:t>
      </w:r>
      <w:r>
        <w:rPr>
          <w:rFonts w:ascii="Garamond" w:hAnsi="Garamond" w:cs="Garamond"/>
          <w:spacing w:val="-10"/>
          <w:sz w:val="24"/>
          <w:szCs w:val="24"/>
        </w:rPr>
        <w:t xml:space="preserve"> </w:t>
      </w:r>
      <w:r>
        <w:rPr>
          <w:rFonts w:ascii="Garamond" w:hAnsi="Garamond" w:cs="Garamond"/>
          <w:sz w:val="24"/>
          <w:szCs w:val="24"/>
        </w:rPr>
        <w:t>C</w:t>
      </w:r>
      <w:r>
        <w:rPr>
          <w:rFonts w:ascii="Garamond" w:hAnsi="Garamond" w:cs="Garamond"/>
          <w:spacing w:val="-11"/>
          <w:sz w:val="24"/>
          <w:szCs w:val="24"/>
        </w:rPr>
        <w:t xml:space="preserve"> </w:t>
      </w:r>
      <w:r>
        <w:rPr>
          <w:rFonts w:ascii="Garamond" w:hAnsi="Garamond" w:cs="Garamond"/>
          <w:sz w:val="24"/>
          <w:szCs w:val="24"/>
        </w:rPr>
        <w:t>ACOs is limited. This concern applies similarly to Model A and Model B participation.</w:t>
      </w:r>
      <w:r>
        <w:rPr>
          <w:rFonts w:ascii="Garamond" w:hAnsi="Garamond" w:cs="Garamond"/>
          <w:spacing w:val="-7"/>
          <w:sz w:val="24"/>
          <w:szCs w:val="24"/>
        </w:rPr>
        <w:t xml:space="preserve"> </w:t>
      </w:r>
      <w:r>
        <w:rPr>
          <w:rFonts w:ascii="Garamond" w:hAnsi="Garamond" w:cs="Garamond"/>
          <w:sz w:val="24"/>
          <w:szCs w:val="24"/>
        </w:rPr>
        <w:t>We</w:t>
      </w:r>
    </w:p>
    <w:p w:rsidR="002C5025" w:rsidRDefault="002C5025">
      <w:pPr>
        <w:pStyle w:val="BodyText"/>
        <w:numPr>
          <w:ilvl w:val="0"/>
          <w:numId w:val="3"/>
        </w:numPr>
        <w:tabs>
          <w:tab w:val="left" w:pos="460"/>
        </w:tabs>
        <w:kinsoku w:val="0"/>
        <w:overflowPunct w:val="0"/>
        <w:spacing w:before="203" w:line="276" w:lineRule="auto"/>
        <w:ind w:left="460" w:right="202"/>
        <w:rPr>
          <w:rFonts w:ascii="Garamond" w:hAnsi="Garamond" w:cs="Garamond"/>
          <w:sz w:val="24"/>
          <w:szCs w:val="24"/>
        </w:rPr>
        <w:sectPr w:rsidR="002C5025">
          <w:pgSz w:w="12240" w:h="15840"/>
          <w:pgMar w:top="1500" w:right="1460" w:bottom="280" w:left="1700" w:header="720" w:footer="720" w:gutter="0"/>
          <w:cols w:space="720" w:equalWidth="0">
            <w:col w:w="9080"/>
          </w:cols>
          <w:noEndnote/>
        </w:sectPr>
      </w:pPr>
    </w:p>
    <w:p w:rsidR="002C5025" w:rsidRDefault="002C5025">
      <w:pPr>
        <w:pStyle w:val="BodyText"/>
        <w:kinsoku w:val="0"/>
        <w:overflowPunct w:val="0"/>
        <w:rPr>
          <w:rFonts w:ascii="Garamond" w:hAnsi="Garamond" w:cs="Garamond"/>
          <w:sz w:val="20"/>
          <w:szCs w:val="20"/>
        </w:rPr>
      </w:pPr>
    </w:p>
    <w:p w:rsidR="002C5025" w:rsidRDefault="002C5025">
      <w:pPr>
        <w:pStyle w:val="BodyText"/>
        <w:kinsoku w:val="0"/>
        <w:overflowPunct w:val="0"/>
        <w:spacing w:before="4"/>
        <w:rPr>
          <w:rFonts w:ascii="Garamond" w:hAnsi="Garamond" w:cs="Garamond"/>
        </w:rPr>
      </w:pPr>
    </w:p>
    <w:p w:rsidR="002C5025" w:rsidRDefault="002C5025">
      <w:pPr>
        <w:pStyle w:val="BodyText"/>
        <w:kinsoku w:val="0"/>
        <w:overflowPunct w:val="0"/>
        <w:spacing w:line="276" w:lineRule="auto"/>
        <w:ind w:left="840" w:right="554"/>
        <w:rPr>
          <w:rFonts w:ascii="Garamond" w:hAnsi="Garamond" w:cs="Garamond"/>
          <w:sz w:val="24"/>
          <w:szCs w:val="24"/>
        </w:rPr>
      </w:pPr>
      <w:r>
        <w:rPr>
          <w:rFonts w:ascii="Garamond" w:hAnsi="Garamond" w:cs="Garamond"/>
          <w:sz w:val="24"/>
          <w:szCs w:val="24"/>
        </w:rPr>
        <w:t>welcome an opportunity to collaborate with MassHealth to develop an APM model to address this concern.</w:t>
      </w:r>
    </w:p>
    <w:p w:rsidR="002C5025" w:rsidRDefault="002C5025">
      <w:pPr>
        <w:pStyle w:val="BodyText"/>
        <w:kinsoku w:val="0"/>
        <w:overflowPunct w:val="0"/>
        <w:spacing w:before="200" w:line="276" w:lineRule="auto"/>
        <w:ind w:left="119" w:right="42"/>
        <w:rPr>
          <w:rFonts w:ascii="Garamond" w:hAnsi="Garamond" w:cs="Garamond"/>
          <w:sz w:val="24"/>
          <w:szCs w:val="24"/>
        </w:rPr>
      </w:pPr>
      <w:r>
        <w:rPr>
          <w:rFonts w:ascii="Garamond" w:hAnsi="Garamond" w:cs="Garamond"/>
          <w:sz w:val="24"/>
          <w:szCs w:val="24"/>
        </w:rPr>
        <w:t>As EOHHS works to achieve the Triple Aim, it is imperative that the state intentionally designs an enhanced health care system that considers and incorporates the participation of small providers who offer high quality service, often at a lower cost. History has shown that patients want choice and options for care. Including smaller, specialty providers like PPLM as full participants in MassHealth ACOs will enhance care coordination, facilitate cost control, and ultimately will ensure patients access to choice. PPLM looks forward to continuing to be a partner to the Commonwealth on this important work.</w:t>
      </w:r>
    </w:p>
    <w:p w:rsidR="002C5025" w:rsidRDefault="002C5025">
      <w:pPr>
        <w:pStyle w:val="BodyText"/>
        <w:kinsoku w:val="0"/>
        <w:overflowPunct w:val="0"/>
        <w:spacing w:before="7"/>
        <w:rPr>
          <w:rFonts w:ascii="Garamond" w:hAnsi="Garamond" w:cs="Garamond"/>
          <w:sz w:val="27"/>
          <w:szCs w:val="27"/>
        </w:rPr>
      </w:pPr>
    </w:p>
    <w:p w:rsidR="002C5025" w:rsidRDefault="002C5025">
      <w:pPr>
        <w:pStyle w:val="BodyText"/>
        <w:kinsoku w:val="0"/>
        <w:overflowPunct w:val="0"/>
        <w:spacing w:line="276" w:lineRule="auto"/>
        <w:ind w:left="119" w:right="329"/>
        <w:rPr>
          <w:rFonts w:ascii="Garamond" w:hAnsi="Garamond" w:cs="Garamond"/>
          <w:color w:val="000000"/>
          <w:sz w:val="24"/>
          <w:szCs w:val="24"/>
        </w:rPr>
      </w:pPr>
      <w:r>
        <w:rPr>
          <w:rFonts w:ascii="Garamond" w:hAnsi="Garamond" w:cs="Garamond"/>
          <w:sz w:val="24"/>
          <w:szCs w:val="24"/>
        </w:rPr>
        <w:t>Should</w:t>
      </w:r>
      <w:r>
        <w:rPr>
          <w:rFonts w:ascii="Garamond" w:hAnsi="Garamond" w:cs="Garamond"/>
          <w:spacing w:val="-13"/>
          <w:sz w:val="24"/>
          <w:szCs w:val="24"/>
        </w:rPr>
        <w:t xml:space="preserve"> </w:t>
      </w:r>
      <w:r>
        <w:rPr>
          <w:rFonts w:ascii="Garamond" w:hAnsi="Garamond" w:cs="Garamond"/>
          <w:sz w:val="24"/>
          <w:szCs w:val="24"/>
        </w:rPr>
        <w:t>you</w:t>
      </w:r>
      <w:r>
        <w:rPr>
          <w:rFonts w:ascii="Garamond" w:hAnsi="Garamond" w:cs="Garamond"/>
          <w:spacing w:val="-11"/>
          <w:sz w:val="24"/>
          <w:szCs w:val="24"/>
        </w:rPr>
        <w:t xml:space="preserve"> </w:t>
      </w:r>
      <w:r>
        <w:rPr>
          <w:rFonts w:ascii="Garamond" w:hAnsi="Garamond" w:cs="Garamond"/>
          <w:sz w:val="24"/>
          <w:szCs w:val="24"/>
        </w:rPr>
        <w:t>have</w:t>
      </w:r>
      <w:r>
        <w:rPr>
          <w:rFonts w:ascii="Garamond" w:hAnsi="Garamond" w:cs="Garamond"/>
          <w:spacing w:val="-13"/>
          <w:sz w:val="24"/>
          <w:szCs w:val="24"/>
        </w:rPr>
        <w:t xml:space="preserve"> </w:t>
      </w:r>
      <w:r>
        <w:rPr>
          <w:rFonts w:ascii="Garamond" w:hAnsi="Garamond" w:cs="Garamond"/>
          <w:sz w:val="24"/>
          <w:szCs w:val="24"/>
        </w:rPr>
        <w:t>any</w:t>
      </w:r>
      <w:r>
        <w:rPr>
          <w:rFonts w:ascii="Garamond" w:hAnsi="Garamond" w:cs="Garamond"/>
          <w:spacing w:val="-10"/>
          <w:sz w:val="24"/>
          <w:szCs w:val="24"/>
        </w:rPr>
        <w:t xml:space="preserve"> </w:t>
      </w:r>
      <w:r>
        <w:rPr>
          <w:rFonts w:ascii="Garamond" w:hAnsi="Garamond" w:cs="Garamond"/>
          <w:sz w:val="24"/>
          <w:szCs w:val="24"/>
        </w:rPr>
        <w:t>questions</w:t>
      </w:r>
      <w:r>
        <w:rPr>
          <w:rFonts w:ascii="Garamond" w:hAnsi="Garamond" w:cs="Garamond"/>
          <w:spacing w:val="-14"/>
          <w:sz w:val="24"/>
          <w:szCs w:val="24"/>
        </w:rPr>
        <w:t xml:space="preserve"> </w:t>
      </w:r>
      <w:r>
        <w:rPr>
          <w:rFonts w:ascii="Garamond" w:hAnsi="Garamond" w:cs="Garamond"/>
          <w:sz w:val="24"/>
          <w:szCs w:val="24"/>
        </w:rPr>
        <w:t>or</w:t>
      </w:r>
      <w:r>
        <w:rPr>
          <w:rFonts w:ascii="Garamond" w:hAnsi="Garamond" w:cs="Garamond"/>
          <w:spacing w:val="-14"/>
          <w:sz w:val="24"/>
          <w:szCs w:val="24"/>
        </w:rPr>
        <w:t xml:space="preserve"> </w:t>
      </w:r>
      <w:r>
        <w:rPr>
          <w:rFonts w:ascii="Garamond" w:hAnsi="Garamond" w:cs="Garamond"/>
          <w:sz w:val="24"/>
          <w:szCs w:val="24"/>
        </w:rPr>
        <w:t>want</w:t>
      </w:r>
      <w:r>
        <w:rPr>
          <w:rFonts w:ascii="Garamond" w:hAnsi="Garamond" w:cs="Garamond"/>
          <w:spacing w:val="-12"/>
          <w:sz w:val="24"/>
          <w:szCs w:val="24"/>
        </w:rPr>
        <w:t xml:space="preserve"> </w:t>
      </w:r>
      <w:r>
        <w:rPr>
          <w:rFonts w:ascii="Garamond" w:hAnsi="Garamond" w:cs="Garamond"/>
          <w:sz w:val="24"/>
          <w:szCs w:val="24"/>
        </w:rPr>
        <w:t>to</w:t>
      </w:r>
      <w:r>
        <w:rPr>
          <w:rFonts w:ascii="Garamond" w:hAnsi="Garamond" w:cs="Garamond"/>
          <w:spacing w:val="-11"/>
          <w:sz w:val="24"/>
          <w:szCs w:val="24"/>
        </w:rPr>
        <w:t xml:space="preserve"> </w:t>
      </w:r>
      <w:r>
        <w:rPr>
          <w:rFonts w:ascii="Garamond" w:hAnsi="Garamond" w:cs="Garamond"/>
          <w:sz w:val="24"/>
          <w:szCs w:val="24"/>
        </w:rPr>
        <w:t>discuss</w:t>
      </w:r>
      <w:r>
        <w:rPr>
          <w:rFonts w:ascii="Garamond" w:hAnsi="Garamond" w:cs="Garamond"/>
          <w:spacing w:val="-14"/>
          <w:sz w:val="24"/>
          <w:szCs w:val="24"/>
        </w:rPr>
        <w:t xml:space="preserve"> </w:t>
      </w:r>
      <w:r>
        <w:rPr>
          <w:rFonts w:ascii="Garamond" w:hAnsi="Garamond" w:cs="Garamond"/>
          <w:sz w:val="24"/>
          <w:szCs w:val="24"/>
        </w:rPr>
        <w:t>these</w:t>
      </w:r>
      <w:r>
        <w:rPr>
          <w:rFonts w:ascii="Garamond" w:hAnsi="Garamond" w:cs="Garamond"/>
          <w:spacing w:val="-10"/>
          <w:sz w:val="24"/>
          <w:szCs w:val="24"/>
        </w:rPr>
        <w:t xml:space="preserve"> </w:t>
      </w:r>
      <w:r>
        <w:rPr>
          <w:rFonts w:ascii="Garamond" w:hAnsi="Garamond" w:cs="Garamond"/>
          <w:sz w:val="24"/>
          <w:szCs w:val="24"/>
        </w:rPr>
        <w:t>comments</w:t>
      </w:r>
      <w:r>
        <w:rPr>
          <w:rFonts w:ascii="Garamond" w:hAnsi="Garamond" w:cs="Garamond"/>
          <w:spacing w:val="-12"/>
          <w:sz w:val="24"/>
          <w:szCs w:val="24"/>
        </w:rPr>
        <w:t xml:space="preserve"> </w:t>
      </w:r>
      <w:r>
        <w:rPr>
          <w:rFonts w:ascii="Garamond" w:hAnsi="Garamond" w:cs="Garamond"/>
          <w:sz w:val="24"/>
          <w:szCs w:val="24"/>
        </w:rPr>
        <w:t>further,</w:t>
      </w:r>
      <w:r>
        <w:rPr>
          <w:rFonts w:ascii="Garamond" w:hAnsi="Garamond" w:cs="Garamond"/>
          <w:spacing w:val="-11"/>
          <w:sz w:val="24"/>
          <w:szCs w:val="24"/>
        </w:rPr>
        <w:t xml:space="preserve"> </w:t>
      </w:r>
      <w:r>
        <w:rPr>
          <w:rFonts w:ascii="Garamond" w:hAnsi="Garamond" w:cs="Garamond"/>
          <w:sz w:val="24"/>
          <w:szCs w:val="24"/>
        </w:rPr>
        <w:t>please</w:t>
      </w:r>
      <w:r>
        <w:rPr>
          <w:rFonts w:ascii="Garamond" w:hAnsi="Garamond" w:cs="Garamond"/>
          <w:spacing w:val="-10"/>
          <w:sz w:val="24"/>
          <w:szCs w:val="24"/>
        </w:rPr>
        <w:t xml:space="preserve"> </w:t>
      </w:r>
      <w:r>
        <w:rPr>
          <w:rFonts w:ascii="Garamond" w:hAnsi="Garamond" w:cs="Garamond"/>
          <w:sz w:val="24"/>
          <w:szCs w:val="24"/>
        </w:rPr>
        <w:t>contact</w:t>
      </w:r>
      <w:r>
        <w:rPr>
          <w:rFonts w:ascii="Garamond" w:hAnsi="Garamond" w:cs="Garamond"/>
          <w:spacing w:val="-12"/>
          <w:sz w:val="24"/>
          <w:szCs w:val="24"/>
        </w:rPr>
        <w:t xml:space="preserve"> </w:t>
      </w:r>
      <w:r>
        <w:rPr>
          <w:rFonts w:ascii="Garamond" w:hAnsi="Garamond" w:cs="Garamond"/>
          <w:spacing w:val="-3"/>
          <w:sz w:val="24"/>
          <w:szCs w:val="24"/>
        </w:rPr>
        <w:t xml:space="preserve">our </w:t>
      </w:r>
      <w:r>
        <w:rPr>
          <w:rFonts w:ascii="Garamond" w:hAnsi="Garamond" w:cs="Garamond"/>
          <w:sz w:val="24"/>
          <w:szCs w:val="24"/>
        </w:rPr>
        <w:t>Government</w:t>
      </w:r>
      <w:r>
        <w:rPr>
          <w:rFonts w:ascii="Garamond" w:hAnsi="Garamond" w:cs="Garamond"/>
          <w:spacing w:val="-20"/>
          <w:sz w:val="24"/>
          <w:szCs w:val="24"/>
        </w:rPr>
        <w:t xml:space="preserve"> </w:t>
      </w:r>
      <w:r>
        <w:rPr>
          <w:rFonts w:ascii="Garamond" w:hAnsi="Garamond" w:cs="Garamond"/>
          <w:sz w:val="24"/>
          <w:szCs w:val="24"/>
        </w:rPr>
        <w:t>Relations</w:t>
      </w:r>
      <w:r>
        <w:rPr>
          <w:rFonts w:ascii="Garamond" w:hAnsi="Garamond" w:cs="Garamond"/>
          <w:spacing w:val="-20"/>
          <w:sz w:val="24"/>
          <w:szCs w:val="24"/>
        </w:rPr>
        <w:t xml:space="preserve"> </w:t>
      </w:r>
      <w:r>
        <w:rPr>
          <w:rFonts w:ascii="Garamond" w:hAnsi="Garamond" w:cs="Garamond"/>
          <w:sz w:val="24"/>
          <w:szCs w:val="24"/>
        </w:rPr>
        <w:t>Manager,</w:t>
      </w:r>
      <w:r>
        <w:rPr>
          <w:rFonts w:ascii="Garamond" w:hAnsi="Garamond" w:cs="Garamond"/>
          <w:spacing w:val="-17"/>
          <w:sz w:val="24"/>
          <w:szCs w:val="24"/>
        </w:rPr>
        <w:t xml:space="preserve"> </w:t>
      </w:r>
      <w:r>
        <w:rPr>
          <w:rFonts w:ascii="Garamond" w:hAnsi="Garamond" w:cs="Garamond"/>
          <w:sz w:val="24"/>
          <w:szCs w:val="24"/>
        </w:rPr>
        <w:t>Leda</w:t>
      </w:r>
      <w:r>
        <w:rPr>
          <w:rFonts w:ascii="Garamond" w:hAnsi="Garamond" w:cs="Garamond"/>
          <w:spacing w:val="-19"/>
          <w:sz w:val="24"/>
          <w:szCs w:val="24"/>
        </w:rPr>
        <w:t xml:space="preserve"> </w:t>
      </w:r>
      <w:r>
        <w:rPr>
          <w:rFonts w:ascii="Garamond" w:hAnsi="Garamond" w:cs="Garamond"/>
          <w:sz w:val="24"/>
          <w:szCs w:val="24"/>
        </w:rPr>
        <w:t>Anderson,</w:t>
      </w:r>
      <w:r>
        <w:rPr>
          <w:rFonts w:ascii="Garamond" w:hAnsi="Garamond" w:cs="Garamond"/>
          <w:spacing w:val="-17"/>
          <w:sz w:val="24"/>
          <w:szCs w:val="24"/>
        </w:rPr>
        <w:t xml:space="preserve"> </w:t>
      </w:r>
      <w:r>
        <w:rPr>
          <w:rFonts w:ascii="Garamond" w:hAnsi="Garamond" w:cs="Garamond"/>
          <w:sz w:val="24"/>
          <w:szCs w:val="24"/>
        </w:rPr>
        <w:t>at</w:t>
      </w:r>
      <w:r>
        <w:rPr>
          <w:rFonts w:ascii="Garamond" w:hAnsi="Garamond" w:cs="Garamond"/>
          <w:spacing w:val="-21"/>
          <w:sz w:val="24"/>
          <w:szCs w:val="24"/>
        </w:rPr>
        <w:t xml:space="preserve"> </w:t>
      </w:r>
      <w:hyperlink r:id="rId573" w:history="1">
        <w:r>
          <w:rPr>
            <w:rFonts w:ascii="Garamond" w:hAnsi="Garamond" w:cs="Garamond"/>
            <w:color w:val="0000FF"/>
            <w:sz w:val="24"/>
            <w:szCs w:val="24"/>
            <w:u w:val="single"/>
          </w:rPr>
          <w:t>landerson@pplm.org</w:t>
        </w:r>
        <w:r>
          <w:rPr>
            <w:rFonts w:ascii="Garamond" w:hAnsi="Garamond" w:cs="Garamond"/>
            <w:color w:val="000000"/>
            <w:sz w:val="24"/>
            <w:szCs w:val="24"/>
          </w:rPr>
          <w:t>.</w:t>
        </w:r>
      </w:hyperlink>
    </w:p>
    <w:p w:rsidR="002C5025" w:rsidRDefault="002C5025">
      <w:pPr>
        <w:pStyle w:val="BodyText"/>
        <w:kinsoku w:val="0"/>
        <w:overflowPunct w:val="0"/>
        <w:rPr>
          <w:rFonts w:ascii="Garamond" w:hAnsi="Garamond" w:cs="Garamond"/>
          <w:sz w:val="20"/>
          <w:szCs w:val="20"/>
        </w:rPr>
      </w:pPr>
    </w:p>
    <w:p w:rsidR="002C5025" w:rsidRDefault="002C5025">
      <w:pPr>
        <w:pStyle w:val="BodyText"/>
        <w:kinsoku w:val="0"/>
        <w:overflowPunct w:val="0"/>
        <w:spacing w:before="3"/>
        <w:rPr>
          <w:rFonts w:ascii="Garamond" w:hAnsi="Garamond" w:cs="Garamond"/>
          <w:sz w:val="28"/>
          <w:szCs w:val="28"/>
        </w:rPr>
      </w:pPr>
    </w:p>
    <w:p w:rsidR="002C5025" w:rsidRDefault="002C5025">
      <w:pPr>
        <w:pStyle w:val="BodyText"/>
        <w:kinsoku w:val="0"/>
        <w:overflowPunct w:val="0"/>
        <w:spacing w:before="77"/>
        <w:ind w:left="120" w:right="5109"/>
        <w:rPr>
          <w:rFonts w:ascii="Garamond" w:hAnsi="Garamond" w:cs="Garamond"/>
          <w:sz w:val="24"/>
          <w:szCs w:val="24"/>
        </w:rPr>
      </w:pPr>
      <w:r>
        <w:rPr>
          <w:rFonts w:ascii="Garamond" w:hAnsi="Garamond" w:cs="Garamond"/>
          <w:sz w:val="24"/>
          <w:szCs w:val="24"/>
        </w:rPr>
        <w:t>Sincerely,</w:t>
      </w:r>
    </w:p>
    <w:p w:rsidR="002C5025" w:rsidRDefault="002C5025">
      <w:pPr>
        <w:pStyle w:val="BodyText"/>
        <w:kinsoku w:val="0"/>
        <w:overflowPunct w:val="0"/>
        <w:rPr>
          <w:rFonts w:ascii="Garamond" w:hAnsi="Garamond" w:cs="Garamond"/>
          <w:sz w:val="24"/>
          <w:szCs w:val="24"/>
        </w:rPr>
      </w:pPr>
    </w:p>
    <w:p w:rsidR="002C5025" w:rsidRDefault="002C5025">
      <w:pPr>
        <w:pStyle w:val="BodyText"/>
        <w:kinsoku w:val="0"/>
        <w:overflowPunct w:val="0"/>
        <w:spacing w:before="8"/>
        <w:rPr>
          <w:rFonts w:ascii="Garamond" w:hAnsi="Garamond" w:cs="Garamond"/>
          <w:sz w:val="34"/>
          <w:szCs w:val="34"/>
        </w:rPr>
      </w:pPr>
    </w:p>
    <w:p w:rsidR="002C5025" w:rsidRDefault="002C5025">
      <w:pPr>
        <w:pStyle w:val="BodyText"/>
        <w:kinsoku w:val="0"/>
        <w:overflowPunct w:val="0"/>
        <w:spacing w:line="278" w:lineRule="auto"/>
        <w:ind w:left="120" w:right="5272"/>
        <w:rPr>
          <w:rFonts w:ascii="Garamond" w:hAnsi="Garamond" w:cs="Garamond"/>
          <w:sz w:val="24"/>
          <w:szCs w:val="24"/>
        </w:rPr>
      </w:pPr>
      <w:r>
        <w:rPr>
          <w:rFonts w:ascii="Garamond" w:hAnsi="Garamond" w:cs="Garamond"/>
          <w:sz w:val="24"/>
          <w:szCs w:val="24"/>
        </w:rPr>
        <w:t>Jennifer Childs-</w:t>
      </w:r>
      <w:proofErr w:type="spellStart"/>
      <w:r>
        <w:rPr>
          <w:rFonts w:ascii="Garamond" w:hAnsi="Garamond" w:cs="Garamond"/>
          <w:sz w:val="24"/>
          <w:szCs w:val="24"/>
        </w:rPr>
        <w:t>Roshak</w:t>
      </w:r>
      <w:proofErr w:type="spellEnd"/>
      <w:r>
        <w:rPr>
          <w:rFonts w:ascii="Garamond" w:hAnsi="Garamond" w:cs="Garamond"/>
          <w:sz w:val="24"/>
          <w:szCs w:val="24"/>
        </w:rPr>
        <w:t>, M.D., M.B.A. Chief Executive Officer</w:t>
      </w:r>
    </w:p>
    <w:p w:rsidR="002C5025" w:rsidRDefault="002C5025">
      <w:pPr>
        <w:pStyle w:val="BodyText"/>
        <w:kinsoku w:val="0"/>
        <w:overflowPunct w:val="0"/>
        <w:spacing w:line="278" w:lineRule="auto"/>
        <w:ind w:left="120" w:right="5272"/>
        <w:rPr>
          <w:rFonts w:ascii="Garamond" w:hAnsi="Garamond" w:cs="Garamond"/>
          <w:sz w:val="24"/>
          <w:szCs w:val="24"/>
        </w:rPr>
        <w:sectPr w:rsidR="002C5025">
          <w:pgSz w:w="12240" w:h="15840"/>
          <w:pgMar w:top="1500" w:right="1500" w:bottom="280" w:left="1320" w:header="720" w:footer="720" w:gutter="0"/>
          <w:cols w:space="720" w:equalWidth="0">
            <w:col w:w="9420"/>
          </w:cols>
          <w:noEndnote/>
        </w:sectPr>
      </w:pPr>
    </w:p>
    <w:p w:rsidR="002C5025" w:rsidRDefault="002C5025">
      <w:pPr>
        <w:pStyle w:val="BodyText"/>
        <w:kinsoku w:val="0"/>
        <w:overflowPunct w:val="0"/>
        <w:rPr>
          <w:rFonts w:ascii="Garamond" w:hAnsi="Garamond" w:cs="Garamond"/>
          <w:sz w:val="20"/>
          <w:szCs w:val="20"/>
        </w:rPr>
      </w:pPr>
    </w:p>
    <w:p w:rsidR="002C5025" w:rsidRDefault="002C5025">
      <w:pPr>
        <w:pStyle w:val="BodyText"/>
        <w:kinsoku w:val="0"/>
        <w:overflowPunct w:val="0"/>
        <w:rPr>
          <w:rFonts w:ascii="Garamond" w:hAnsi="Garamond" w:cs="Garamond"/>
          <w:sz w:val="20"/>
          <w:szCs w:val="20"/>
        </w:rPr>
      </w:pPr>
    </w:p>
    <w:p w:rsidR="002C5025" w:rsidRDefault="002C5025">
      <w:pPr>
        <w:pStyle w:val="BodyText"/>
        <w:kinsoku w:val="0"/>
        <w:overflowPunct w:val="0"/>
        <w:spacing w:before="2"/>
        <w:rPr>
          <w:rFonts w:ascii="Garamond" w:hAnsi="Garamond" w:cs="Garamond"/>
          <w:sz w:val="21"/>
          <w:szCs w:val="21"/>
        </w:rPr>
      </w:pPr>
    </w:p>
    <w:p w:rsidR="002C5025" w:rsidRDefault="00FB027C">
      <w:pPr>
        <w:pStyle w:val="BodyText"/>
        <w:kinsoku w:val="0"/>
        <w:overflowPunct w:val="0"/>
        <w:ind w:left="543"/>
        <w:rPr>
          <w:rFonts w:ascii="Garamond" w:hAnsi="Garamond" w:cs="Garamond"/>
          <w:sz w:val="20"/>
          <w:szCs w:val="20"/>
        </w:rPr>
      </w:pPr>
      <w:r>
        <w:rPr>
          <w:rFonts w:ascii="Garamond" w:hAnsi="Garamond" w:cs="Garamond"/>
          <w:noProof/>
          <w:sz w:val="20"/>
          <w:szCs w:val="20"/>
        </w:rPr>
        <w:drawing>
          <wp:inline distT="0" distB="0" distL="0" distR="0">
            <wp:extent cx="1038225" cy="1228725"/>
            <wp:effectExtent l="0" t="0" r="9525" b="9525"/>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574">
                      <a:extLst>
                        <a:ext uri="{28A0092B-C50C-407E-A947-70E740481C1C}">
                          <a14:useLocalDpi xmlns:a14="http://schemas.microsoft.com/office/drawing/2010/main" val="0"/>
                        </a:ext>
                      </a:extLst>
                    </a:blip>
                    <a:srcRect/>
                    <a:stretch>
                      <a:fillRect/>
                    </a:stretch>
                  </pic:blipFill>
                  <pic:spPr bwMode="auto">
                    <a:xfrm>
                      <a:off x="0" y="0"/>
                      <a:ext cx="1038225" cy="1228725"/>
                    </a:xfrm>
                    <a:prstGeom prst="rect">
                      <a:avLst/>
                    </a:prstGeom>
                    <a:noFill/>
                    <a:ln>
                      <a:noFill/>
                    </a:ln>
                  </pic:spPr>
                </pic:pic>
              </a:graphicData>
            </a:graphic>
          </wp:inline>
        </w:drawing>
      </w:r>
    </w:p>
    <w:p w:rsidR="002C5025" w:rsidRDefault="002C5025">
      <w:pPr>
        <w:pStyle w:val="BodyText"/>
        <w:kinsoku w:val="0"/>
        <w:overflowPunct w:val="0"/>
        <w:spacing w:before="1"/>
        <w:rPr>
          <w:rFonts w:ascii="Garamond" w:hAnsi="Garamond" w:cs="Garamond"/>
          <w:sz w:val="14"/>
          <w:szCs w:val="14"/>
        </w:rPr>
      </w:pPr>
    </w:p>
    <w:p w:rsidR="002C5025" w:rsidRDefault="00FB027C">
      <w:pPr>
        <w:pStyle w:val="BodyText"/>
        <w:kinsoku w:val="0"/>
        <w:overflowPunct w:val="0"/>
        <w:spacing w:before="1" w:line="300" w:lineRule="auto"/>
        <w:ind w:left="403" w:right="1962"/>
        <w:jc w:val="center"/>
        <w:rPr>
          <w:rFonts w:ascii="Arial" w:hAnsi="Arial" w:cs="Arial"/>
          <w:w w:val="120"/>
          <w:sz w:val="17"/>
          <w:szCs w:val="17"/>
        </w:rPr>
      </w:pPr>
      <w:r>
        <w:rPr>
          <w:noProof/>
        </w:rPr>
        <mc:AlternateContent>
          <mc:Choice Requires="wps">
            <w:drawing>
              <wp:anchor distT="0" distB="0" distL="114300" distR="114300" simplePos="0" relativeHeight="251809280" behindDoc="0" locked="0" layoutInCell="0" allowOverlap="1">
                <wp:simplePos x="0" y="0"/>
                <wp:positionH relativeFrom="page">
                  <wp:posOffset>2286000</wp:posOffset>
                </wp:positionH>
                <wp:positionV relativeFrom="paragraph">
                  <wp:posOffset>-1143635</wp:posOffset>
                </wp:positionV>
                <wp:extent cx="3505200" cy="254000"/>
                <wp:effectExtent l="0" t="0" r="0" b="0"/>
                <wp:wrapNone/>
                <wp:docPr id="279" name="Rectangle 8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400" w:lineRule="atLeast"/>
                            </w:pPr>
                            <w:r>
                              <w:rPr>
                                <w:noProof/>
                              </w:rPr>
                              <w:drawing>
                                <wp:inline distT="0" distB="0" distL="0" distR="0">
                                  <wp:extent cx="3514725" cy="257175"/>
                                  <wp:effectExtent l="0" t="0" r="9525" b="9525"/>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575">
                                            <a:extLst>
                                              <a:ext uri="{28A0092B-C50C-407E-A947-70E740481C1C}">
                                                <a14:useLocalDpi xmlns:a14="http://schemas.microsoft.com/office/drawing/2010/main" val="0"/>
                                              </a:ext>
                                            </a:extLst>
                                          </a:blip>
                                          <a:srcRect/>
                                          <a:stretch>
                                            <a:fillRect/>
                                          </a:stretch>
                                        </pic:blipFill>
                                        <pic:spPr bwMode="auto">
                                          <a:xfrm>
                                            <a:off x="0" y="0"/>
                                            <a:ext cx="3514725" cy="257175"/>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4" o:spid="_x0000_s1282" style="position:absolute;left:0;text-align:left;margin-left:180pt;margin-top:-90.05pt;width:276pt;height:20pt;z-index:251809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" o:allowincell="f" filled="f" stroked="f">
                <v:textbox inset="0,0,0,0">
                  <w:txbxContent>
                    <w:p w:rsidR="007B2B7B" w:rsidRDefault="007B2B7B">
                      <w:pPr>
                        <w:widowControl/>
                        <w:autoSpaceDE/>
                        <w:autoSpaceDN/>
                        <w:adjustRightInd/>
                        <w:spacing w:line="400" w:lineRule="atLeast"/>
                      </w:pPr>
                      <w:r>
                        <w:rPr>
                          <w:noProof/>
                        </w:rPr>
                        <w:drawing>
                          <wp:inline distT="0" distB="0" distL="0" distR="0">
                            <wp:extent cx="3514725" cy="257175"/>
                            <wp:effectExtent l="0" t="0" r="9525" b="9525"/>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576">
                                      <a:extLst>
                                        <a:ext uri="{28A0092B-C50C-407E-A947-70E740481C1C}">
                                          <a14:useLocalDpi xmlns:a14="http://schemas.microsoft.com/office/drawing/2010/main" val="0"/>
                                        </a:ext>
                                      </a:extLst>
                                    </a:blip>
                                    <a:srcRect/>
                                    <a:stretch>
                                      <a:fillRect/>
                                    </a:stretch>
                                  </pic:blipFill>
                                  <pic:spPr bwMode="auto">
                                    <a:xfrm>
                                      <a:off x="0" y="0"/>
                                      <a:ext cx="3514725" cy="257175"/>
                                    </a:xfrm>
                                    <a:prstGeom prst="rect">
                                      <a:avLst/>
                                    </a:prstGeom>
                                    <a:noFill/>
                                    <a:ln>
                                      <a:noFill/>
                                    </a:ln>
                                  </pic:spPr>
                                </pic:pic>
                              </a:graphicData>
                            </a:graphic>
                          </wp:inline>
                        </w:drawing>
                      </w:r>
                    </w:p>
                    <w:p w:rsidR="007B2B7B" w:rsidRDefault="007B2B7B"/>
                  </w:txbxContent>
                </v:textbox>
                <w10:wrap anchorx="page"/>
              </v:rect>
            </w:pict>
          </mc:Fallback>
        </mc:AlternateContent>
      </w:r>
      <w:bookmarkStart w:id="258" w:name="Rep_Malia_Comments_on_DemonstrationExten"/>
      <w:bookmarkEnd w:id="258"/>
      <w:r w:rsidR="002C5025">
        <w:rPr>
          <w:rFonts w:ascii="Arial" w:hAnsi="Arial" w:cs="Arial"/>
          <w:w w:val="115"/>
          <w:sz w:val="17"/>
          <w:szCs w:val="17"/>
        </w:rPr>
        <w:t xml:space="preserve">REPRESENTATIVE </w:t>
      </w:r>
      <w:r w:rsidR="002C5025">
        <w:rPr>
          <w:rFonts w:ascii="Arial" w:hAnsi="Arial" w:cs="Arial"/>
          <w:w w:val="120"/>
          <w:sz w:val="17"/>
          <w:szCs w:val="17"/>
        </w:rPr>
        <w:t>LIZ   MALIA</w:t>
      </w:r>
    </w:p>
    <w:p w:rsidR="002C5025" w:rsidRDefault="002C5025">
      <w:pPr>
        <w:pStyle w:val="BodyText"/>
        <w:kinsoku w:val="0"/>
        <w:overflowPunct w:val="0"/>
        <w:spacing w:before="25"/>
        <w:ind w:left="299" w:right="1856"/>
        <w:jc w:val="center"/>
        <w:rPr>
          <w:rFonts w:ascii="Arial" w:hAnsi="Arial" w:cs="Arial"/>
          <w:w w:val="110"/>
          <w:sz w:val="14"/>
          <w:szCs w:val="14"/>
        </w:rPr>
      </w:pPr>
      <w:r>
        <w:rPr>
          <w:rFonts w:ascii="Arial" w:hAnsi="Arial" w:cs="Arial"/>
          <w:w w:val="110"/>
          <w:sz w:val="13"/>
          <w:szCs w:val="13"/>
        </w:rPr>
        <w:t xml:space="preserve">111H   </w:t>
      </w:r>
      <w:r>
        <w:rPr>
          <w:rFonts w:ascii="Arial" w:hAnsi="Arial" w:cs="Arial"/>
          <w:w w:val="110"/>
          <w:sz w:val="14"/>
          <w:szCs w:val="14"/>
        </w:rPr>
        <w:t>SUFFOLK   DISTRICT</w:t>
      </w:r>
    </w:p>
    <w:p w:rsidR="002C5025" w:rsidRDefault="002C5025">
      <w:pPr>
        <w:pStyle w:val="BodyText"/>
        <w:kinsoku w:val="0"/>
        <w:overflowPunct w:val="0"/>
        <w:rPr>
          <w:rFonts w:ascii="Arial" w:hAnsi="Arial" w:cs="Arial"/>
          <w:sz w:val="14"/>
          <w:szCs w:val="14"/>
        </w:rPr>
      </w:pPr>
    </w:p>
    <w:p w:rsidR="002C5025" w:rsidRDefault="002C5025">
      <w:pPr>
        <w:pStyle w:val="BodyText"/>
        <w:kinsoku w:val="0"/>
        <w:overflowPunct w:val="0"/>
        <w:spacing w:before="8"/>
        <w:rPr>
          <w:rFonts w:ascii="Arial" w:hAnsi="Arial" w:cs="Arial"/>
          <w:sz w:val="13"/>
          <w:szCs w:val="13"/>
        </w:rPr>
      </w:pPr>
    </w:p>
    <w:p w:rsidR="002C5025" w:rsidRDefault="002C5025">
      <w:pPr>
        <w:pStyle w:val="BodyText"/>
        <w:kinsoku w:val="0"/>
        <w:overflowPunct w:val="0"/>
        <w:spacing w:line="355" w:lineRule="auto"/>
        <w:ind w:left="299" w:right="1856"/>
        <w:jc w:val="center"/>
        <w:rPr>
          <w:rFonts w:ascii="Arial" w:hAnsi="Arial" w:cs="Arial"/>
          <w:w w:val="125"/>
          <w:sz w:val="14"/>
          <w:szCs w:val="14"/>
        </w:rPr>
      </w:pPr>
      <w:r>
        <w:rPr>
          <w:rFonts w:ascii="Arial" w:hAnsi="Arial" w:cs="Arial"/>
          <w:w w:val="125"/>
          <w:sz w:val="14"/>
          <w:szCs w:val="14"/>
        </w:rPr>
        <w:t xml:space="preserve">ROOM 33, </w:t>
      </w:r>
      <w:r>
        <w:rPr>
          <w:rFonts w:ascii="Arial" w:hAnsi="Arial" w:cs="Arial"/>
          <w:w w:val="125"/>
          <w:sz w:val="13"/>
          <w:szCs w:val="13"/>
        </w:rPr>
        <w:t xml:space="preserve">STATE </w:t>
      </w:r>
      <w:r>
        <w:rPr>
          <w:rFonts w:ascii="Arial" w:hAnsi="Arial" w:cs="Arial"/>
          <w:w w:val="125"/>
          <w:sz w:val="14"/>
          <w:szCs w:val="14"/>
        </w:rPr>
        <w:t>HOUSE TEL:  (617)  722-2060</w:t>
      </w:r>
    </w:p>
    <w:p w:rsidR="002C5025" w:rsidRDefault="002C5025">
      <w:pPr>
        <w:pStyle w:val="BodyText"/>
        <w:kinsoku w:val="0"/>
        <w:overflowPunct w:val="0"/>
        <w:spacing w:before="20"/>
        <w:ind w:left="403" w:right="1965"/>
        <w:jc w:val="center"/>
        <w:rPr>
          <w:rFonts w:ascii="Arial" w:hAnsi="Arial" w:cs="Arial"/>
          <w:w w:val="135"/>
          <w:sz w:val="13"/>
          <w:szCs w:val="13"/>
        </w:rPr>
      </w:pPr>
      <w:r>
        <w:rPr>
          <w:rFonts w:ascii="Arial" w:hAnsi="Arial" w:cs="Arial"/>
          <w:w w:val="135"/>
          <w:sz w:val="13"/>
          <w:szCs w:val="13"/>
        </w:rPr>
        <w:t>FAX:  (617)  722-2849</w:t>
      </w:r>
    </w:p>
    <w:p w:rsidR="002C5025" w:rsidRDefault="00FD19EE">
      <w:pPr>
        <w:pStyle w:val="BodyText"/>
        <w:kinsoku w:val="0"/>
        <w:overflowPunct w:val="0"/>
        <w:spacing w:before="88"/>
        <w:ind w:left="403" w:right="1976"/>
        <w:jc w:val="center"/>
        <w:rPr>
          <w:rFonts w:ascii="Arial" w:hAnsi="Arial" w:cs="Arial"/>
          <w:w w:val="130"/>
          <w:sz w:val="13"/>
          <w:szCs w:val="13"/>
        </w:rPr>
      </w:pPr>
      <w:hyperlink r:id="rId577" w:history="1">
        <w:r w:rsidR="002C5025">
          <w:rPr>
            <w:rFonts w:ascii="Arial" w:hAnsi="Arial" w:cs="Arial"/>
            <w:w w:val="130"/>
            <w:sz w:val="13"/>
            <w:szCs w:val="13"/>
          </w:rPr>
          <w:t>Liz.Malia@mahouse.gov</w:t>
        </w:r>
      </w:hyperlink>
    </w:p>
    <w:p w:rsidR="002C5025" w:rsidRDefault="002C5025">
      <w:pPr>
        <w:pStyle w:val="BodyText"/>
        <w:kinsoku w:val="0"/>
        <w:overflowPunct w:val="0"/>
        <w:rPr>
          <w:rFonts w:ascii="Arial" w:hAnsi="Arial" w:cs="Arial"/>
          <w:sz w:val="12"/>
          <w:szCs w:val="12"/>
        </w:rPr>
      </w:pPr>
    </w:p>
    <w:p w:rsidR="002C5025" w:rsidRDefault="002C5025">
      <w:pPr>
        <w:pStyle w:val="BodyText"/>
        <w:kinsoku w:val="0"/>
        <w:overflowPunct w:val="0"/>
        <w:spacing w:before="2"/>
        <w:rPr>
          <w:rFonts w:ascii="Arial" w:hAnsi="Arial" w:cs="Arial"/>
          <w:sz w:val="13"/>
          <w:szCs w:val="13"/>
        </w:rPr>
      </w:pPr>
    </w:p>
    <w:p w:rsidR="002C5025" w:rsidRDefault="002C5025">
      <w:pPr>
        <w:pStyle w:val="BodyText"/>
        <w:kinsoku w:val="0"/>
        <w:overflowPunct w:val="0"/>
        <w:spacing w:line="249" w:lineRule="auto"/>
        <w:ind w:left="103"/>
        <w:rPr>
          <w:rFonts w:ascii="Times New Roman" w:hAnsi="Times New Roman" w:cs="Times New Roman"/>
          <w:sz w:val="21"/>
          <w:szCs w:val="21"/>
        </w:rPr>
      </w:pPr>
      <w:r>
        <w:rPr>
          <w:rFonts w:ascii="Times New Roman" w:hAnsi="Times New Roman" w:cs="Times New Roman"/>
          <w:sz w:val="21"/>
          <w:szCs w:val="21"/>
        </w:rPr>
        <w:t>Daniel Tsai, Assistant Secretary for MassHealth EOHHS  Office of Medicaid</w:t>
      </w:r>
    </w:p>
    <w:p w:rsidR="002C5025" w:rsidRDefault="002C5025">
      <w:pPr>
        <w:pStyle w:val="BodyText"/>
        <w:kinsoku w:val="0"/>
        <w:overflowPunct w:val="0"/>
        <w:spacing w:before="1" w:line="256" w:lineRule="auto"/>
        <w:ind w:left="103" w:right="1465" w:firstLine="7"/>
        <w:rPr>
          <w:rFonts w:ascii="Times New Roman" w:hAnsi="Times New Roman" w:cs="Times New Roman"/>
          <w:sz w:val="21"/>
          <w:szCs w:val="21"/>
        </w:rPr>
      </w:pPr>
      <w:r>
        <w:rPr>
          <w:rFonts w:ascii="Times New Roman" w:hAnsi="Times New Roman" w:cs="Times New Roman"/>
          <w:sz w:val="21"/>
          <w:szCs w:val="21"/>
        </w:rPr>
        <w:t xml:space="preserve">One </w:t>
      </w:r>
      <w:proofErr w:type="spellStart"/>
      <w:r>
        <w:rPr>
          <w:rFonts w:ascii="Times New Roman" w:hAnsi="Times New Roman" w:cs="Times New Roman"/>
          <w:sz w:val="21"/>
          <w:szCs w:val="21"/>
        </w:rPr>
        <w:t>Asbnrton</w:t>
      </w:r>
      <w:proofErr w:type="spellEnd"/>
      <w:r>
        <w:rPr>
          <w:rFonts w:ascii="Times New Roman" w:hAnsi="Times New Roman" w:cs="Times New Roman"/>
          <w:sz w:val="21"/>
          <w:szCs w:val="21"/>
        </w:rPr>
        <w:t xml:space="preserve"> Place, 11th Floor Boston,  MA 02108</w:t>
      </w:r>
    </w:p>
    <w:p w:rsidR="002C5025" w:rsidRDefault="002C5025">
      <w:pPr>
        <w:pStyle w:val="BodyText"/>
        <w:kinsoku w:val="0"/>
        <w:overflowPunct w:val="0"/>
        <w:spacing w:before="9"/>
        <w:rPr>
          <w:rFonts w:ascii="Times New Roman" w:hAnsi="Times New Roman" w:cs="Times New Roman"/>
          <w:sz w:val="15"/>
          <w:szCs w:val="15"/>
        </w:rPr>
      </w:pPr>
    </w:p>
    <w:p w:rsidR="002C5025" w:rsidRDefault="002C5025">
      <w:pPr>
        <w:pStyle w:val="BodyText"/>
        <w:kinsoku w:val="0"/>
        <w:overflowPunct w:val="0"/>
        <w:ind w:left="111"/>
        <w:rPr>
          <w:rFonts w:ascii="Times New Roman" w:hAnsi="Times New Roman" w:cs="Times New Roman"/>
          <w:sz w:val="21"/>
          <w:szCs w:val="21"/>
        </w:rPr>
      </w:pPr>
      <w:r>
        <w:rPr>
          <w:rFonts w:ascii="Times New Roman" w:hAnsi="Times New Roman" w:cs="Times New Roman"/>
          <w:sz w:val="21"/>
          <w:szCs w:val="21"/>
        </w:rPr>
        <w:t>July  15, 2016</w:t>
      </w:r>
    </w:p>
    <w:p w:rsidR="002C5025" w:rsidRDefault="002C5025">
      <w:pPr>
        <w:pStyle w:val="BodyText"/>
        <w:kinsoku w:val="0"/>
        <w:overflowPunct w:val="0"/>
        <w:spacing w:line="20" w:lineRule="exact"/>
        <w:ind w:left="5480"/>
        <w:rPr>
          <w:rFonts w:ascii="Times New Roman" w:hAnsi="Times New Roman" w:cs="Times New Roman"/>
          <w:sz w:val="2"/>
          <w:szCs w:val="2"/>
        </w:rPr>
      </w:pPr>
      <w:r>
        <w:rPr>
          <w:rFonts w:ascii="Times New Roman" w:hAnsi="Times New Roman" w:cs="Times New Roman"/>
          <w:sz w:val="24"/>
          <w:szCs w:val="24"/>
        </w:rPr>
        <w:br w:type="column"/>
      </w:r>
      <w:r w:rsidR="00FB027C">
        <w:rPr>
          <w:rFonts w:ascii="Times New Roman" w:hAnsi="Times New Roman" w:cs="Times New Roman"/>
          <w:noProof/>
          <w:sz w:val="2"/>
          <w:szCs w:val="2"/>
        </w:rPr>
        <w:lastRenderedPageBreak/>
        <mc:AlternateContent>
          <mc:Choice Requires="wpg">
            <w:drawing>
              <wp:inline distT="0" distB="0" distL="0" distR="0">
                <wp:extent cx="59690" cy="12700"/>
                <wp:effectExtent l="9525" t="9525" r="6985" b="0"/>
                <wp:docPr id="277" name="Group 8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90" cy="12700"/>
                          <a:chOff x="0" y="0"/>
                          <a:chExt cx="94" cy="20"/>
                        </a:xfrm>
                      </wpg:grpSpPr>
                      <wps:wsp>
                        <wps:cNvPr id="278" name="Freeform 826"/>
                        <wps:cNvSpPr>
                          <a:spLocks/>
                        </wps:cNvSpPr>
                        <wps:spPr bwMode="auto">
                          <a:xfrm>
                            <a:off x="4" y="4"/>
                            <a:ext cx="86" cy="20"/>
                          </a:xfrm>
                          <a:custGeom>
                            <a:avLst/>
                            <a:gdLst>
                              <a:gd name="T0" fmla="*/ 0 w 86"/>
                              <a:gd name="T1" fmla="*/ 0 h 20"/>
                              <a:gd name="T2" fmla="*/ 86 w 86"/>
                              <a:gd name="T3" fmla="*/ 0 h 20"/>
                            </a:gdLst>
                            <a:ahLst/>
                            <a:cxnLst>
                              <a:cxn ang="0">
                                <a:pos x="T0" y="T1"/>
                              </a:cxn>
                              <a:cxn ang="0">
                                <a:pos x="T2" y="T3"/>
                              </a:cxn>
                            </a:cxnLst>
                            <a:rect l="0" t="0" r="r" b="b"/>
                            <a:pathLst>
                              <a:path w="86" h="20">
                                <a:moveTo>
                                  <a:pt x="0" y="0"/>
                                </a:moveTo>
                                <a:lnTo>
                                  <a:pt x="86"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25" o:spid="_x0000_s1026" style="width:4.7pt;height:1pt;mso-position-horizontal-relative:char;mso-position-vertical-relative:line" coordsize="9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">
                <v:shape id="Freeform 826" o:spid="_x0000_s1027" style="position:absolute;left:4;top:4;width:86;height:20;visibility:visible;mso-wrap-style:square;v-text-anchor:top" coordsize="8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7JVsIA&#10;AADcAAAADwAAAGRycy9kb3ducmV2LnhtbERPz2vCMBS+D/wfwhN2m6kdOOmM4oTBGEO0etjx2Tzb&#10;bs1LSTJT/3tzEHb8+H4vVoPpxIWcby0rmE4yEMSV1S3XCo6H96c5CB+QNXaWScGVPKyWo4cFFtpG&#10;3tOlDLVIIewLVNCE0BdS+qohg35ie+LEna0zGBJ0tdQOYwo3ncyzbCYNtpwaGuxp01D1W/4ZBZ9x&#10;126P8fmn/1p/u2m+OeFbdEo9jof1K4hAQ/gX390fWkH+ktamM+kIyO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3slWwgAAANwAAAAPAAAAAAAAAAAAAAAAAJgCAABkcnMvZG93&#10;bnJldi54bWxQSwUGAAAAAAQABAD1AAAAhwMAAAAA&#10;" path="m,l86,e" filled="f" strokeweight=".36pt">
                  <v:path arrowok="t" o:connecttype="custom" o:connectlocs="0,0;86,0" o:connectangles="0,0"/>
                </v:shape>
                <w10:anchorlock/>
              </v:group>
            </w:pict>
          </mc:Fallback>
        </mc:AlternateContent>
      </w:r>
    </w:p>
    <w:p w:rsidR="002C5025" w:rsidRDefault="002C5025">
      <w:pPr>
        <w:pStyle w:val="BodyText"/>
        <w:kinsoku w:val="0"/>
        <w:overflowPunct w:val="0"/>
        <w:rPr>
          <w:rFonts w:ascii="Times New Roman" w:hAnsi="Times New Roman" w:cs="Times New Roman"/>
          <w:sz w:val="14"/>
          <w:szCs w:val="14"/>
        </w:rPr>
      </w:pPr>
    </w:p>
    <w:p w:rsidR="002C5025" w:rsidRDefault="002C5025">
      <w:pPr>
        <w:pStyle w:val="BodyText"/>
        <w:kinsoku w:val="0"/>
        <w:overflowPunct w:val="0"/>
        <w:rPr>
          <w:rFonts w:ascii="Times New Roman" w:hAnsi="Times New Roman" w:cs="Times New Roman"/>
          <w:sz w:val="14"/>
          <w:szCs w:val="14"/>
        </w:rPr>
      </w:pPr>
    </w:p>
    <w:p w:rsidR="002C5025" w:rsidRDefault="002C5025">
      <w:pPr>
        <w:pStyle w:val="BodyText"/>
        <w:kinsoku w:val="0"/>
        <w:overflowPunct w:val="0"/>
        <w:rPr>
          <w:rFonts w:ascii="Times New Roman" w:hAnsi="Times New Roman" w:cs="Times New Roman"/>
          <w:sz w:val="14"/>
          <w:szCs w:val="14"/>
        </w:rPr>
      </w:pPr>
    </w:p>
    <w:p w:rsidR="002C5025" w:rsidRDefault="002C5025">
      <w:pPr>
        <w:pStyle w:val="BodyText"/>
        <w:kinsoku w:val="0"/>
        <w:overflowPunct w:val="0"/>
        <w:rPr>
          <w:rFonts w:ascii="Times New Roman" w:hAnsi="Times New Roman" w:cs="Times New Roman"/>
          <w:sz w:val="14"/>
          <w:szCs w:val="14"/>
        </w:rPr>
      </w:pPr>
    </w:p>
    <w:p w:rsidR="002C5025" w:rsidRDefault="002C5025">
      <w:pPr>
        <w:pStyle w:val="BodyText"/>
        <w:kinsoku w:val="0"/>
        <w:overflowPunct w:val="0"/>
        <w:rPr>
          <w:rFonts w:ascii="Times New Roman" w:hAnsi="Times New Roman" w:cs="Times New Roman"/>
          <w:sz w:val="14"/>
          <w:szCs w:val="14"/>
        </w:rPr>
      </w:pPr>
    </w:p>
    <w:p w:rsidR="002C5025" w:rsidRDefault="002C5025">
      <w:pPr>
        <w:pStyle w:val="BodyText"/>
        <w:kinsoku w:val="0"/>
        <w:overflowPunct w:val="0"/>
        <w:rPr>
          <w:rFonts w:ascii="Times New Roman" w:hAnsi="Times New Roman" w:cs="Times New Roman"/>
          <w:sz w:val="14"/>
          <w:szCs w:val="14"/>
        </w:rPr>
      </w:pPr>
    </w:p>
    <w:p w:rsidR="002C5025" w:rsidRDefault="002C5025">
      <w:pPr>
        <w:pStyle w:val="BodyText"/>
        <w:kinsoku w:val="0"/>
        <w:overflowPunct w:val="0"/>
        <w:rPr>
          <w:rFonts w:ascii="Times New Roman" w:hAnsi="Times New Roman" w:cs="Times New Roman"/>
          <w:sz w:val="14"/>
          <w:szCs w:val="14"/>
        </w:rPr>
      </w:pPr>
    </w:p>
    <w:p w:rsidR="002C5025" w:rsidRDefault="002C5025">
      <w:pPr>
        <w:pStyle w:val="BodyText"/>
        <w:kinsoku w:val="0"/>
        <w:overflowPunct w:val="0"/>
        <w:rPr>
          <w:rFonts w:ascii="Times New Roman" w:hAnsi="Times New Roman" w:cs="Times New Roman"/>
          <w:sz w:val="14"/>
          <w:szCs w:val="14"/>
        </w:rPr>
      </w:pPr>
    </w:p>
    <w:p w:rsidR="002C5025" w:rsidRDefault="002C5025">
      <w:pPr>
        <w:pStyle w:val="BodyText"/>
        <w:kinsoku w:val="0"/>
        <w:overflowPunct w:val="0"/>
        <w:spacing w:before="4"/>
        <w:rPr>
          <w:rFonts w:ascii="Times New Roman" w:hAnsi="Times New Roman" w:cs="Times New Roman"/>
          <w:sz w:val="17"/>
          <w:szCs w:val="17"/>
        </w:rPr>
      </w:pPr>
    </w:p>
    <w:p w:rsidR="002C5025" w:rsidRDefault="00FB027C">
      <w:pPr>
        <w:pStyle w:val="BodyText"/>
        <w:kinsoku w:val="0"/>
        <w:overflowPunct w:val="0"/>
        <w:ind w:right="4269"/>
        <w:jc w:val="center"/>
        <w:rPr>
          <w:rFonts w:ascii="Arial" w:hAnsi="Arial" w:cs="Arial"/>
          <w:w w:val="110"/>
          <w:sz w:val="14"/>
          <w:szCs w:val="14"/>
        </w:rPr>
      </w:pPr>
      <w:r>
        <w:rPr>
          <w:noProof/>
        </w:rPr>
        <mc:AlternateContent>
          <mc:Choice Requires="wps">
            <w:drawing>
              <wp:anchor distT="0" distB="0" distL="114300" distR="114300" simplePos="0" relativeHeight="251810304" behindDoc="0" locked="0" layoutInCell="0" allowOverlap="1">
                <wp:simplePos x="0" y="0"/>
                <wp:positionH relativeFrom="page">
                  <wp:posOffset>7742555</wp:posOffset>
                </wp:positionH>
                <wp:positionV relativeFrom="paragraph">
                  <wp:posOffset>-57150</wp:posOffset>
                </wp:positionV>
                <wp:extent cx="12700" cy="1384935"/>
                <wp:effectExtent l="0" t="0" r="0" b="0"/>
                <wp:wrapNone/>
                <wp:docPr id="276" name="Freeform 8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384935"/>
                        </a:xfrm>
                        <a:custGeom>
                          <a:avLst/>
                          <a:gdLst>
                            <a:gd name="T0" fmla="*/ 0 w 20"/>
                            <a:gd name="T1" fmla="*/ 2182 h 2181"/>
                            <a:gd name="T2" fmla="*/ 0 w 20"/>
                            <a:gd name="T3" fmla="*/ 0 h 2181"/>
                          </a:gdLst>
                          <a:ahLst/>
                          <a:cxnLst>
                            <a:cxn ang="0">
                              <a:pos x="T0" y="T1"/>
                            </a:cxn>
                            <a:cxn ang="0">
                              <a:pos x="T2" y="T3"/>
                            </a:cxn>
                          </a:cxnLst>
                          <a:rect l="0" t="0" r="r" b="b"/>
                          <a:pathLst>
                            <a:path w="20" h="2181">
                              <a:moveTo>
                                <a:pt x="0" y="2182"/>
                              </a:moveTo>
                              <a:lnTo>
                                <a:pt x="0"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827" o:spid="_x0000_s1026" style="position:absolute;z-index:251810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09.65pt,104.6pt,609.65pt,-4.5pt" coordsize="20,2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" o:allowincell="f" filled="f" strokeweight=".36pt">
                <v:path arrowok="t" o:connecttype="custom" o:connectlocs="0,1385570;0,0" o:connectangles="0,0"/>
                <w10:wrap anchorx="page"/>
              </v:polyline>
            </w:pict>
          </mc:Fallback>
        </mc:AlternateContent>
      </w:r>
      <w:r w:rsidR="002C5025">
        <w:rPr>
          <w:rFonts w:ascii="Arial" w:hAnsi="Arial" w:cs="Arial"/>
          <w:w w:val="110"/>
          <w:sz w:val="14"/>
          <w:szCs w:val="14"/>
        </w:rPr>
        <w:t>HOUSE  OF REPRESENTATIVES</w:t>
      </w:r>
    </w:p>
    <w:p w:rsidR="002C5025" w:rsidRDefault="002C5025">
      <w:pPr>
        <w:pStyle w:val="BodyText"/>
        <w:kinsoku w:val="0"/>
        <w:overflowPunct w:val="0"/>
        <w:spacing w:before="57"/>
        <w:ind w:right="4259"/>
        <w:jc w:val="center"/>
        <w:rPr>
          <w:rFonts w:ascii="Arial" w:hAnsi="Arial" w:cs="Arial"/>
          <w:w w:val="115"/>
          <w:sz w:val="15"/>
          <w:szCs w:val="15"/>
        </w:rPr>
      </w:pPr>
      <w:r>
        <w:rPr>
          <w:rFonts w:ascii="Arial" w:hAnsi="Arial" w:cs="Arial"/>
          <w:w w:val="115"/>
          <w:sz w:val="15"/>
          <w:szCs w:val="15"/>
        </w:rPr>
        <w:t>STATE  HOUSE, BOSTON 02133-1054</w:t>
      </w:r>
    </w:p>
    <w:p w:rsidR="002C5025" w:rsidRDefault="002C5025">
      <w:pPr>
        <w:pStyle w:val="BodyText"/>
        <w:kinsoku w:val="0"/>
        <w:overflowPunct w:val="0"/>
        <w:rPr>
          <w:rFonts w:ascii="Arial" w:hAnsi="Arial" w:cs="Arial"/>
          <w:sz w:val="14"/>
          <w:szCs w:val="14"/>
        </w:rPr>
      </w:pPr>
    </w:p>
    <w:p w:rsidR="002C5025" w:rsidRDefault="002C5025">
      <w:pPr>
        <w:pStyle w:val="BodyText"/>
        <w:kinsoku w:val="0"/>
        <w:overflowPunct w:val="0"/>
        <w:rPr>
          <w:rFonts w:ascii="Arial" w:hAnsi="Arial" w:cs="Arial"/>
          <w:sz w:val="14"/>
          <w:szCs w:val="14"/>
        </w:rPr>
      </w:pPr>
    </w:p>
    <w:p w:rsidR="002C5025" w:rsidRDefault="002C5025">
      <w:pPr>
        <w:pStyle w:val="BodyText"/>
        <w:kinsoku w:val="0"/>
        <w:overflowPunct w:val="0"/>
        <w:rPr>
          <w:rFonts w:ascii="Arial" w:hAnsi="Arial" w:cs="Arial"/>
          <w:sz w:val="14"/>
          <w:szCs w:val="14"/>
        </w:rPr>
      </w:pPr>
    </w:p>
    <w:p w:rsidR="002C5025" w:rsidRDefault="002C5025">
      <w:pPr>
        <w:pStyle w:val="BodyText"/>
        <w:kinsoku w:val="0"/>
        <w:overflowPunct w:val="0"/>
        <w:rPr>
          <w:rFonts w:ascii="Arial" w:hAnsi="Arial" w:cs="Arial"/>
          <w:sz w:val="14"/>
          <w:szCs w:val="14"/>
        </w:rPr>
      </w:pPr>
    </w:p>
    <w:p w:rsidR="002C5025" w:rsidRDefault="002C5025">
      <w:pPr>
        <w:pStyle w:val="BodyText"/>
        <w:kinsoku w:val="0"/>
        <w:overflowPunct w:val="0"/>
        <w:spacing w:before="2"/>
        <w:rPr>
          <w:rFonts w:ascii="Arial" w:hAnsi="Arial" w:cs="Arial"/>
          <w:sz w:val="20"/>
          <w:szCs w:val="20"/>
        </w:rPr>
      </w:pPr>
    </w:p>
    <w:p w:rsidR="002C5025" w:rsidRDefault="002C5025">
      <w:pPr>
        <w:pStyle w:val="BodyText"/>
        <w:kinsoku w:val="0"/>
        <w:overflowPunct w:val="0"/>
        <w:ind w:left="2302" w:right="1076"/>
        <w:jc w:val="center"/>
        <w:rPr>
          <w:rFonts w:ascii="Arial" w:hAnsi="Arial" w:cs="Arial"/>
          <w:w w:val="125"/>
          <w:sz w:val="16"/>
          <w:szCs w:val="16"/>
        </w:rPr>
      </w:pPr>
      <w:r>
        <w:rPr>
          <w:rFonts w:ascii="Arial" w:hAnsi="Arial" w:cs="Arial"/>
          <w:w w:val="125"/>
          <w:sz w:val="16"/>
          <w:szCs w:val="16"/>
        </w:rPr>
        <w:t>CHAIR</w:t>
      </w:r>
    </w:p>
    <w:p w:rsidR="002C5025" w:rsidRDefault="002C5025">
      <w:pPr>
        <w:pStyle w:val="BodyText"/>
        <w:kinsoku w:val="0"/>
        <w:overflowPunct w:val="0"/>
        <w:spacing w:before="72"/>
        <w:ind w:left="2309" w:right="1076"/>
        <w:jc w:val="center"/>
        <w:rPr>
          <w:rFonts w:ascii="Arial" w:hAnsi="Arial" w:cs="Arial"/>
          <w:w w:val="125"/>
          <w:sz w:val="13"/>
          <w:szCs w:val="13"/>
        </w:rPr>
      </w:pPr>
      <w:r>
        <w:rPr>
          <w:rFonts w:ascii="Arial" w:hAnsi="Arial" w:cs="Arial"/>
          <w:w w:val="125"/>
          <w:sz w:val="13"/>
          <w:szCs w:val="13"/>
        </w:rPr>
        <w:t xml:space="preserve">Committee  on  </w:t>
      </w:r>
      <w:r>
        <w:rPr>
          <w:rFonts w:ascii="Arial" w:hAnsi="Arial" w:cs="Arial"/>
          <w:b/>
          <w:bCs/>
          <w:w w:val="125"/>
          <w:sz w:val="14"/>
          <w:szCs w:val="14"/>
        </w:rPr>
        <w:t xml:space="preserve">Mental  </w:t>
      </w:r>
      <w:r>
        <w:rPr>
          <w:rFonts w:ascii="Arial" w:hAnsi="Arial" w:cs="Arial"/>
          <w:w w:val="125"/>
          <w:sz w:val="13"/>
          <w:szCs w:val="13"/>
        </w:rPr>
        <w:t>Health  &amp;  Substance   Abuse</w:t>
      </w:r>
    </w:p>
    <w:p w:rsidR="002C5025" w:rsidRDefault="002C5025">
      <w:pPr>
        <w:pStyle w:val="BodyText"/>
        <w:kinsoku w:val="0"/>
        <w:overflowPunct w:val="0"/>
        <w:spacing w:before="72"/>
        <w:ind w:left="2309" w:right="1076"/>
        <w:jc w:val="center"/>
        <w:rPr>
          <w:rFonts w:ascii="Arial" w:hAnsi="Arial" w:cs="Arial"/>
          <w:w w:val="125"/>
          <w:sz w:val="13"/>
          <w:szCs w:val="13"/>
        </w:rPr>
        <w:sectPr w:rsidR="002C5025">
          <w:pgSz w:w="12240" w:h="15840"/>
          <w:pgMar w:top="60" w:right="0" w:bottom="280" w:left="580" w:header="720" w:footer="720" w:gutter="0"/>
          <w:cols w:num="2" w:space="720" w:equalWidth="0">
            <w:col w:w="4273" w:space="40"/>
            <w:col w:w="7347"/>
          </w:cols>
          <w:noEndnote/>
        </w:sectPr>
      </w:pPr>
    </w:p>
    <w:p w:rsidR="002C5025" w:rsidRDefault="002C5025">
      <w:pPr>
        <w:pStyle w:val="BodyText"/>
        <w:kinsoku w:val="0"/>
        <w:overflowPunct w:val="0"/>
        <w:spacing w:before="4"/>
        <w:rPr>
          <w:rFonts w:ascii="Arial" w:hAnsi="Arial" w:cs="Arial"/>
          <w:sz w:val="10"/>
          <w:szCs w:val="10"/>
        </w:rPr>
      </w:pPr>
    </w:p>
    <w:p w:rsidR="002C5025" w:rsidRDefault="002C5025">
      <w:pPr>
        <w:pStyle w:val="BodyText"/>
        <w:kinsoku w:val="0"/>
        <w:overflowPunct w:val="0"/>
        <w:spacing w:before="74" w:line="434" w:lineRule="auto"/>
        <w:ind w:left="103" w:right="6723" w:firstLine="7"/>
        <w:rPr>
          <w:rFonts w:ascii="Times New Roman" w:hAnsi="Times New Roman" w:cs="Times New Roman"/>
          <w:sz w:val="21"/>
          <w:szCs w:val="21"/>
        </w:rPr>
      </w:pPr>
      <w:r>
        <w:rPr>
          <w:rFonts w:ascii="Times New Roman" w:hAnsi="Times New Roman" w:cs="Times New Roman"/>
          <w:sz w:val="21"/>
          <w:szCs w:val="21"/>
        </w:rPr>
        <w:t>Re: Comments on Demonstration Extension Request Dear  Secretary Tsai,</w:t>
      </w:r>
    </w:p>
    <w:p w:rsidR="002C5025" w:rsidRDefault="002C5025">
      <w:pPr>
        <w:pStyle w:val="BodyText"/>
        <w:kinsoku w:val="0"/>
        <w:overflowPunct w:val="0"/>
        <w:spacing w:before="9" w:line="252" w:lineRule="auto"/>
        <w:ind w:left="110" w:right="1102"/>
        <w:rPr>
          <w:rFonts w:ascii="Times New Roman" w:hAnsi="Times New Roman" w:cs="Times New Roman"/>
          <w:sz w:val="21"/>
          <w:szCs w:val="21"/>
        </w:rPr>
      </w:pPr>
      <w:r>
        <w:rPr>
          <w:rFonts w:ascii="Times New Roman" w:hAnsi="Times New Roman" w:cs="Times New Roman"/>
          <w:sz w:val="21"/>
          <w:szCs w:val="21"/>
        </w:rPr>
        <w:t xml:space="preserve">I thank you for the opportunity to comment on the request to amend and extend the MassHealth 1115 Demonstration. It is clear that the transition to the ACO model of integrated healthcare is complex. I commend the efforts of all those involved  and support many of the features  of the proposed  1115 amendments, particularly the strong focus on behavioral  health,  With that said, I write to express my concern  on two </w:t>
      </w:r>
      <w:r>
        <w:rPr>
          <w:rFonts w:ascii="Times New Roman" w:hAnsi="Times New Roman" w:cs="Times New Roman"/>
          <w:spacing w:val="20"/>
          <w:sz w:val="21"/>
          <w:szCs w:val="21"/>
        </w:rPr>
        <w:t xml:space="preserve"> </w:t>
      </w:r>
      <w:r>
        <w:rPr>
          <w:rFonts w:ascii="Times New Roman" w:hAnsi="Times New Roman" w:cs="Times New Roman"/>
          <w:sz w:val="21"/>
          <w:szCs w:val="21"/>
        </w:rPr>
        <w:t>matters:</w:t>
      </w:r>
    </w:p>
    <w:p w:rsidR="002C5025" w:rsidRDefault="002C5025">
      <w:pPr>
        <w:pStyle w:val="BodyText"/>
        <w:kinsoku w:val="0"/>
        <w:overflowPunct w:val="0"/>
        <w:spacing w:before="6"/>
        <w:rPr>
          <w:rFonts w:ascii="Times New Roman" w:hAnsi="Times New Roman" w:cs="Times New Roman"/>
          <w:sz w:val="16"/>
          <w:szCs w:val="16"/>
        </w:rPr>
      </w:pPr>
    </w:p>
    <w:p w:rsidR="002C5025" w:rsidRDefault="002C5025">
      <w:pPr>
        <w:pStyle w:val="ListParagraph"/>
        <w:numPr>
          <w:ilvl w:val="0"/>
          <w:numId w:val="2"/>
        </w:numPr>
        <w:tabs>
          <w:tab w:val="left" w:pos="817"/>
        </w:tabs>
        <w:kinsoku w:val="0"/>
        <w:overflowPunct w:val="0"/>
        <w:spacing w:line="252" w:lineRule="auto"/>
        <w:ind w:right="1004" w:hanging="338"/>
        <w:rPr>
          <w:sz w:val="21"/>
          <w:szCs w:val="21"/>
        </w:rPr>
      </w:pPr>
      <w:r>
        <w:rPr>
          <w:b/>
          <w:bCs/>
          <w:sz w:val="21"/>
          <w:szCs w:val="21"/>
        </w:rPr>
        <w:t xml:space="preserve">Cultural and Linguistic Competence: </w:t>
      </w:r>
      <w:r>
        <w:rPr>
          <w:sz w:val="21"/>
          <w:szCs w:val="21"/>
        </w:rPr>
        <w:t>I am very pleased to see attention to cultural and linguistic behavioral healthcare. It will be essential for ACOs to meet the needs of the people they serve, and have adequate culturally  and  linguistically  appropriate  providers.  Community providers  are best  equipped to address the individual needs of people within the community,  particularly with respect to behavioral  health. Those struggling with substance  use disorder or mental illness face a unique set of issues, Additionally in my district in Boston, for a significant portion of my constituents, English is not their first language, The community providers are uniquely situated to address the types of cultural and linguistic barriers that many people face when trying to find a good provider. As such, I write to strongly encourage the inclusion of language that would ensure ACOs are held to a high standard    in providing culturally competent care, and are required to partner with community  providers to best serve the  needs  of the</w:t>
      </w:r>
      <w:r>
        <w:rPr>
          <w:spacing w:val="-6"/>
          <w:sz w:val="21"/>
          <w:szCs w:val="21"/>
        </w:rPr>
        <w:t xml:space="preserve"> </w:t>
      </w:r>
      <w:r>
        <w:rPr>
          <w:sz w:val="21"/>
          <w:szCs w:val="21"/>
        </w:rPr>
        <w:t>community,</w:t>
      </w:r>
    </w:p>
    <w:p w:rsidR="002C5025" w:rsidRDefault="002C5025">
      <w:pPr>
        <w:pStyle w:val="BodyText"/>
        <w:kinsoku w:val="0"/>
        <w:overflowPunct w:val="0"/>
        <w:spacing w:before="7"/>
        <w:rPr>
          <w:rFonts w:ascii="Times New Roman" w:hAnsi="Times New Roman" w:cs="Times New Roman"/>
          <w:sz w:val="17"/>
          <w:szCs w:val="17"/>
        </w:rPr>
      </w:pPr>
    </w:p>
    <w:p w:rsidR="002C5025" w:rsidRDefault="002C5025">
      <w:pPr>
        <w:pStyle w:val="ListParagraph"/>
        <w:numPr>
          <w:ilvl w:val="0"/>
          <w:numId w:val="2"/>
        </w:numPr>
        <w:tabs>
          <w:tab w:val="left" w:pos="832"/>
        </w:tabs>
        <w:kinsoku w:val="0"/>
        <w:overflowPunct w:val="0"/>
        <w:spacing w:line="254" w:lineRule="auto"/>
        <w:ind w:left="831" w:right="1055" w:hanging="346"/>
        <w:rPr>
          <w:sz w:val="21"/>
          <w:szCs w:val="21"/>
        </w:rPr>
      </w:pPr>
      <w:r>
        <w:rPr>
          <w:sz w:val="21"/>
          <w:szCs w:val="21"/>
        </w:rPr>
        <w:t xml:space="preserve">Access </w:t>
      </w:r>
      <w:r>
        <w:rPr>
          <w:b/>
          <w:bCs/>
          <w:sz w:val="21"/>
          <w:szCs w:val="21"/>
        </w:rPr>
        <w:t xml:space="preserve">to Peer Support for Mental Health: </w:t>
      </w:r>
      <w:r>
        <w:rPr>
          <w:sz w:val="21"/>
          <w:szCs w:val="21"/>
        </w:rPr>
        <w:t xml:space="preserve">I am very encouraged to see such a strong support for the use of     peer recovery for substance use disorders. As Chair of the Committee on Mental Health and Substance Abuse, I know how important peer recovery is for individuals struggling with the disease of addiction. However, peer support is also essential for those with mental health issues. Individuals with lived experience are in a position to offer those who are struggling with mental illness support, inspiration, and resources, by which they are able to thrive. As such, I also strongly encourage the inclusion of language relating to supporting peer specialists for </w:t>
      </w:r>
      <w:r>
        <w:rPr>
          <w:spacing w:val="-3"/>
          <w:sz w:val="21"/>
          <w:szCs w:val="21"/>
        </w:rPr>
        <w:t xml:space="preserve">the </w:t>
      </w:r>
      <w:r>
        <w:rPr>
          <w:sz w:val="21"/>
          <w:szCs w:val="21"/>
        </w:rPr>
        <w:t>treatment  of mental</w:t>
      </w:r>
      <w:r>
        <w:rPr>
          <w:spacing w:val="17"/>
          <w:sz w:val="21"/>
          <w:szCs w:val="21"/>
        </w:rPr>
        <w:t xml:space="preserve"> </w:t>
      </w:r>
      <w:r>
        <w:rPr>
          <w:sz w:val="21"/>
          <w:szCs w:val="21"/>
        </w:rPr>
        <w:t>illness.</w:t>
      </w:r>
    </w:p>
    <w:p w:rsidR="002C5025" w:rsidRDefault="002C5025">
      <w:pPr>
        <w:pStyle w:val="BodyText"/>
        <w:kinsoku w:val="0"/>
        <w:overflowPunct w:val="0"/>
        <w:spacing w:before="174" w:line="247" w:lineRule="auto"/>
        <w:ind w:left="133" w:right="1102" w:hanging="8"/>
        <w:rPr>
          <w:rFonts w:ascii="Times New Roman" w:hAnsi="Times New Roman" w:cs="Times New Roman"/>
          <w:sz w:val="21"/>
          <w:szCs w:val="21"/>
        </w:rPr>
      </w:pPr>
      <w:r>
        <w:rPr>
          <w:rFonts w:ascii="Times New Roman" w:hAnsi="Times New Roman" w:cs="Times New Roman"/>
          <w:sz w:val="21"/>
          <w:szCs w:val="21"/>
        </w:rPr>
        <w:t xml:space="preserve">Again, I thank you for all of your hard work in completing a truly comprehensive piece around behavioral health. Please feel free to contact my office with  any questions at </w:t>
      </w:r>
      <w:r>
        <w:rPr>
          <w:rFonts w:ascii="Times New Roman" w:hAnsi="Times New Roman" w:cs="Times New Roman"/>
          <w:spacing w:val="33"/>
          <w:sz w:val="21"/>
          <w:szCs w:val="21"/>
        </w:rPr>
        <w:t xml:space="preserve"> </w:t>
      </w:r>
      <w:r>
        <w:rPr>
          <w:rFonts w:ascii="Times New Roman" w:hAnsi="Times New Roman" w:cs="Times New Roman"/>
          <w:sz w:val="21"/>
          <w:szCs w:val="21"/>
        </w:rPr>
        <w:t>617-722-2060,</w:t>
      </w:r>
    </w:p>
    <w:p w:rsidR="002C5025" w:rsidRDefault="002C5025">
      <w:pPr>
        <w:pStyle w:val="BodyText"/>
        <w:kinsoku w:val="0"/>
        <w:overflowPunct w:val="0"/>
        <w:spacing w:before="6"/>
        <w:rPr>
          <w:rFonts w:ascii="Times New Roman" w:hAnsi="Times New Roman" w:cs="Times New Roman"/>
          <w:sz w:val="16"/>
          <w:szCs w:val="16"/>
        </w:rPr>
      </w:pPr>
    </w:p>
    <w:p w:rsidR="002C5025" w:rsidRDefault="002C5025">
      <w:pPr>
        <w:pStyle w:val="BodyText"/>
        <w:kinsoku w:val="0"/>
        <w:overflowPunct w:val="0"/>
        <w:ind w:left="140" w:right="102"/>
        <w:rPr>
          <w:rFonts w:ascii="Times New Roman" w:hAnsi="Times New Roman" w:cs="Times New Roman"/>
          <w:sz w:val="21"/>
          <w:szCs w:val="21"/>
        </w:rPr>
      </w:pPr>
      <w:r>
        <w:rPr>
          <w:rFonts w:ascii="Times New Roman" w:hAnsi="Times New Roman" w:cs="Times New Roman"/>
          <w:sz w:val="21"/>
          <w:szCs w:val="21"/>
        </w:rPr>
        <w:t>Sincerely,</w:t>
      </w:r>
    </w:p>
    <w:p w:rsidR="002C5025" w:rsidRDefault="002C5025">
      <w:pPr>
        <w:pStyle w:val="BodyText"/>
        <w:kinsoku w:val="0"/>
        <w:overflowPunct w:val="0"/>
        <w:spacing w:before="5"/>
        <w:rPr>
          <w:rFonts w:ascii="Times New Roman" w:hAnsi="Times New Roman" w:cs="Times New Roman"/>
          <w:sz w:val="23"/>
          <w:szCs w:val="23"/>
        </w:rPr>
      </w:pPr>
    </w:p>
    <w:p w:rsidR="002C5025" w:rsidRDefault="002C5025">
      <w:pPr>
        <w:pStyle w:val="BodyText"/>
        <w:kinsoku w:val="0"/>
        <w:overflowPunct w:val="0"/>
        <w:ind w:left="125" w:right="102"/>
        <w:rPr>
          <w:rFonts w:ascii="Times New Roman" w:hAnsi="Times New Roman" w:cs="Times New Roman"/>
          <w:w w:val="105"/>
          <w:sz w:val="21"/>
          <w:szCs w:val="21"/>
        </w:rPr>
      </w:pPr>
      <w:r>
        <w:rPr>
          <w:rFonts w:ascii="Times New Roman" w:hAnsi="Times New Roman" w:cs="Times New Roman"/>
          <w:w w:val="105"/>
          <w:sz w:val="21"/>
          <w:szCs w:val="21"/>
        </w:rPr>
        <w:t xml:space="preserve">Representative Elizabeth </w:t>
      </w:r>
      <w:r>
        <w:rPr>
          <w:rFonts w:ascii="Arial" w:hAnsi="Arial" w:cs="Arial"/>
          <w:w w:val="105"/>
          <w:sz w:val="20"/>
          <w:szCs w:val="20"/>
        </w:rPr>
        <w:t xml:space="preserve">A </w:t>
      </w:r>
      <w:r>
        <w:rPr>
          <w:rFonts w:ascii="Times New Roman" w:hAnsi="Times New Roman" w:cs="Times New Roman"/>
          <w:w w:val="105"/>
          <w:sz w:val="21"/>
          <w:szCs w:val="21"/>
        </w:rPr>
        <w:t>Malia</w:t>
      </w:r>
    </w:p>
    <w:p w:rsidR="002C5025" w:rsidRDefault="00FB027C">
      <w:pPr>
        <w:pStyle w:val="BodyText"/>
        <w:kinsoku w:val="0"/>
        <w:overflowPunct w:val="0"/>
        <w:spacing w:before="3"/>
        <w:ind w:left="132" w:right="102"/>
        <w:rPr>
          <w:rFonts w:ascii="Times New Roman" w:hAnsi="Times New Roman" w:cs="Times New Roman"/>
          <w:sz w:val="21"/>
          <w:szCs w:val="21"/>
        </w:rPr>
      </w:pPr>
      <w:r>
        <w:rPr>
          <w:noProof/>
        </w:rPr>
        <mc:AlternateContent>
          <mc:Choice Requires="wps">
            <w:drawing>
              <wp:anchor distT="0" distB="0" distL="0" distR="0" simplePos="0" relativeHeight="251811328" behindDoc="0" locked="0" layoutInCell="0" allowOverlap="1">
                <wp:simplePos x="0" y="0"/>
                <wp:positionH relativeFrom="page">
                  <wp:posOffset>493395</wp:posOffset>
                </wp:positionH>
                <wp:positionV relativeFrom="paragraph">
                  <wp:posOffset>203835</wp:posOffset>
                </wp:positionV>
                <wp:extent cx="406400" cy="165100"/>
                <wp:effectExtent l="0" t="0" r="0" b="0"/>
                <wp:wrapTopAndBottom/>
                <wp:docPr id="275" name="Rectangle 8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4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260" w:lineRule="atLeast"/>
                            </w:pPr>
                            <w:r>
                              <w:rPr>
                                <w:noProof/>
                              </w:rPr>
                              <w:drawing>
                                <wp:inline distT="0" distB="0" distL="0" distR="0">
                                  <wp:extent cx="409575" cy="161925"/>
                                  <wp:effectExtent l="0" t="0" r="9525" b="9525"/>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578">
                                            <a:extLst>
                                              <a:ext uri="{28A0092B-C50C-407E-A947-70E740481C1C}">
                                                <a14:useLocalDpi xmlns:a14="http://schemas.microsoft.com/office/drawing/2010/main" val="0"/>
                                              </a:ext>
                                            </a:extLst>
                                          </a:blip>
                                          <a:srcRect/>
                                          <a:stretch>
                                            <a:fillRect/>
                                          </a:stretch>
                                        </pic:blipFill>
                                        <pic:spPr bwMode="auto">
                                          <a:xfrm>
                                            <a:off x="0" y="0"/>
                                            <a:ext cx="409575" cy="161925"/>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8" o:spid="_x0000_s1283" style="position:absolute;left:0;text-align:left;margin-left:38.85pt;margin-top:16.05pt;width:32pt;height:13pt;z-index:251811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" o:allowincell="f" filled="f" stroked="f">
                <v:textbox inset="0,0,0,0">
                  <w:txbxContent>
                    <w:p w:rsidR="007B2B7B" w:rsidRDefault="007B2B7B">
                      <w:pPr>
                        <w:widowControl/>
                        <w:autoSpaceDE/>
                        <w:autoSpaceDN/>
                        <w:adjustRightInd/>
                        <w:spacing w:line="260" w:lineRule="atLeast"/>
                      </w:pPr>
                      <w:r>
                        <w:rPr>
                          <w:noProof/>
                        </w:rPr>
                        <w:drawing>
                          <wp:inline distT="0" distB="0" distL="0" distR="0">
                            <wp:extent cx="409575" cy="161925"/>
                            <wp:effectExtent l="0" t="0" r="9525" b="9525"/>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579">
                                      <a:extLst>
                                        <a:ext uri="{28A0092B-C50C-407E-A947-70E740481C1C}">
                                          <a14:useLocalDpi xmlns:a14="http://schemas.microsoft.com/office/drawing/2010/main" val="0"/>
                                        </a:ext>
                                      </a:extLst>
                                    </a:blip>
                                    <a:srcRect/>
                                    <a:stretch>
                                      <a:fillRect/>
                                    </a:stretch>
                                  </pic:blipFill>
                                  <pic:spPr bwMode="auto">
                                    <a:xfrm>
                                      <a:off x="0" y="0"/>
                                      <a:ext cx="409575" cy="161925"/>
                                    </a:xfrm>
                                    <a:prstGeom prst="rect">
                                      <a:avLst/>
                                    </a:prstGeom>
                                    <a:noFill/>
                                    <a:ln>
                                      <a:noFill/>
                                    </a:ln>
                                  </pic:spPr>
                                </pic:pic>
                              </a:graphicData>
                            </a:graphic>
                          </wp:inline>
                        </w:drawing>
                      </w:r>
                    </w:p>
                    <w:p w:rsidR="007B2B7B" w:rsidRDefault="007B2B7B"/>
                  </w:txbxContent>
                </v:textbox>
                <w10:wrap type="topAndBottom" anchorx="page"/>
              </v:rect>
            </w:pict>
          </mc:Fallback>
        </mc:AlternateContent>
      </w:r>
      <w:r w:rsidR="002C5025">
        <w:rPr>
          <w:rFonts w:ascii="Times New Roman" w:hAnsi="Times New Roman" w:cs="Times New Roman"/>
          <w:sz w:val="21"/>
          <w:szCs w:val="21"/>
        </w:rPr>
        <w:t>Chair, Joint Committee  on Mental  Health  and Substance Abuse</w:t>
      </w:r>
    </w:p>
    <w:p w:rsidR="002C5025" w:rsidRDefault="002C5025">
      <w:pPr>
        <w:pStyle w:val="BodyText"/>
        <w:kinsoku w:val="0"/>
        <w:overflowPunct w:val="0"/>
        <w:spacing w:before="3"/>
        <w:ind w:left="132" w:right="102"/>
        <w:rPr>
          <w:rFonts w:ascii="Times New Roman" w:hAnsi="Times New Roman" w:cs="Times New Roman"/>
          <w:sz w:val="21"/>
          <w:szCs w:val="21"/>
        </w:rPr>
        <w:sectPr w:rsidR="002C5025">
          <w:type w:val="continuous"/>
          <w:pgSz w:w="12240" w:h="15840"/>
          <w:pgMar w:top="720" w:right="0" w:bottom="280" w:left="580" w:header="720" w:footer="720" w:gutter="0"/>
          <w:cols w:space="720" w:equalWidth="0">
            <w:col w:w="11660"/>
          </w:cols>
          <w:noEndnote/>
        </w:sectPr>
      </w:pPr>
    </w:p>
    <w:p w:rsidR="002C5025" w:rsidRDefault="00FB027C">
      <w:pPr>
        <w:pStyle w:val="BodyText"/>
        <w:kinsoku w:val="0"/>
        <w:overflowPunct w:val="0"/>
        <w:ind w:left="111"/>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extent cx="2657475" cy="390525"/>
            <wp:effectExtent l="0" t="0" r="9525" b="9525"/>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580">
                      <a:extLst>
                        <a:ext uri="{28A0092B-C50C-407E-A947-70E740481C1C}">
                          <a14:useLocalDpi xmlns:a14="http://schemas.microsoft.com/office/drawing/2010/main" val="0"/>
                        </a:ext>
                      </a:extLst>
                    </a:blip>
                    <a:srcRect/>
                    <a:stretch>
                      <a:fillRect/>
                    </a:stretch>
                  </pic:blipFill>
                  <pic:spPr bwMode="auto">
                    <a:xfrm>
                      <a:off x="0" y="0"/>
                      <a:ext cx="2657475" cy="390525"/>
                    </a:xfrm>
                    <a:prstGeom prst="rect">
                      <a:avLst/>
                    </a:prstGeom>
                    <a:noFill/>
                    <a:ln>
                      <a:noFill/>
                    </a:ln>
                  </pic:spPr>
                </pic:pic>
              </a:graphicData>
            </a:graphic>
          </wp:inline>
        </w:drawing>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9"/>
        <w:rPr>
          <w:rFonts w:ascii="Times New Roman" w:hAnsi="Times New Roman" w:cs="Times New Roman"/>
          <w:sz w:val="15"/>
          <w:szCs w:val="15"/>
        </w:rPr>
      </w:pPr>
    </w:p>
    <w:p w:rsidR="002C5025" w:rsidRDefault="002C5025">
      <w:pPr>
        <w:pStyle w:val="BodyText"/>
        <w:kinsoku w:val="0"/>
        <w:overflowPunct w:val="0"/>
        <w:spacing w:before="56"/>
        <w:ind w:left="920" w:right="159"/>
      </w:pPr>
      <w:bookmarkStart w:id="259" w:name="Seniorlink-EOHHS_-_Comments_on_MassHealt"/>
      <w:bookmarkEnd w:id="259"/>
      <w:r>
        <w:t>July 17, 2016</w:t>
      </w:r>
    </w:p>
    <w:p w:rsidR="002C5025" w:rsidRDefault="002C5025">
      <w:pPr>
        <w:pStyle w:val="BodyText"/>
        <w:kinsoku w:val="0"/>
        <w:overflowPunct w:val="0"/>
        <w:spacing w:before="10"/>
        <w:rPr>
          <w:sz w:val="21"/>
          <w:szCs w:val="21"/>
        </w:rPr>
      </w:pPr>
    </w:p>
    <w:p w:rsidR="002C5025" w:rsidRDefault="002C5025">
      <w:pPr>
        <w:pStyle w:val="BodyText"/>
        <w:kinsoku w:val="0"/>
        <w:overflowPunct w:val="0"/>
        <w:ind w:left="919" w:right="159"/>
      </w:pPr>
      <w:r>
        <w:t>Daniel Tsai</w:t>
      </w:r>
    </w:p>
    <w:p w:rsidR="002C5025" w:rsidRDefault="002C5025">
      <w:pPr>
        <w:pStyle w:val="BodyText"/>
        <w:kinsoku w:val="0"/>
        <w:overflowPunct w:val="0"/>
        <w:ind w:left="919" w:right="159"/>
      </w:pPr>
      <w:r>
        <w:t>Assistant Secretary for MassHealth</w:t>
      </w:r>
    </w:p>
    <w:p w:rsidR="002C5025" w:rsidRDefault="002C5025">
      <w:pPr>
        <w:pStyle w:val="BodyText"/>
        <w:kinsoku w:val="0"/>
        <w:overflowPunct w:val="0"/>
        <w:spacing w:before="2" w:line="237" w:lineRule="auto"/>
        <w:ind w:left="919" w:right="5309"/>
      </w:pPr>
      <w:r>
        <w:t>Executive Office of Health and Human Services One Ashburton Place, 11</w:t>
      </w:r>
      <w:proofErr w:type="spellStart"/>
      <w:r>
        <w:rPr>
          <w:position w:val="8"/>
          <w:sz w:val="14"/>
          <w:szCs w:val="14"/>
        </w:rPr>
        <w:t>th</w:t>
      </w:r>
      <w:proofErr w:type="spellEnd"/>
      <w:r>
        <w:rPr>
          <w:position w:val="8"/>
          <w:sz w:val="14"/>
          <w:szCs w:val="14"/>
        </w:rPr>
        <w:t xml:space="preserve"> </w:t>
      </w:r>
      <w:r>
        <w:t>Floor</w:t>
      </w:r>
    </w:p>
    <w:p w:rsidR="002C5025" w:rsidRDefault="002C5025">
      <w:pPr>
        <w:pStyle w:val="BodyText"/>
        <w:kinsoku w:val="0"/>
        <w:overflowPunct w:val="0"/>
        <w:ind w:left="919" w:right="159"/>
      </w:pPr>
      <w:r>
        <w:t>Boston, MA 02108</w:t>
      </w:r>
    </w:p>
    <w:p w:rsidR="002C5025" w:rsidRDefault="002C5025">
      <w:pPr>
        <w:pStyle w:val="BodyText"/>
        <w:kinsoku w:val="0"/>
        <w:overflowPunct w:val="0"/>
        <w:spacing w:before="10"/>
        <w:rPr>
          <w:sz w:val="21"/>
          <w:szCs w:val="21"/>
        </w:rPr>
      </w:pPr>
    </w:p>
    <w:p w:rsidR="002C5025" w:rsidRDefault="002C5025">
      <w:pPr>
        <w:pStyle w:val="BodyText"/>
        <w:kinsoku w:val="0"/>
        <w:overflowPunct w:val="0"/>
        <w:ind w:left="919" w:right="159"/>
      </w:pPr>
      <w:r>
        <w:t>Submitted by email to</w:t>
      </w:r>
      <w:hyperlink r:id="rId581" w:history="1">
        <w:r>
          <w:t>: masshealth.innovations@state.ma.us</w:t>
        </w:r>
      </w:hyperlink>
    </w:p>
    <w:p w:rsidR="002C5025" w:rsidRDefault="002C5025">
      <w:pPr>
        <w:pStyle w:val="BodyText"/>
        <w:kinsoku w:val="0"/>
        <w:overflowPunct w:val="0"/>
      </w:pPr>
    </w:p>
    <w:p w:rsidR="002C5025" w:rsidRDefault="002C5025">
      <w:pPr>
        <w:pStyle w:val="BodyText"/>
        <w:kinsoku w:val="0"/>
        <w:overflowPunct w:val="0"/>
        <w:spacing w:line="477" w:lineRule="auto"/>
        <w:ind w:left="919" w:right="3192"/>
      </w:pPr>
      <w:r>
        <w:t>Re: Comments on MassHealth 1115 Demonstration Extension Request Dear Assistant Secretary Tsai:</w:t>
      </w:r>
    </w:p>
    <w:p w:rsidR="002C5025" w:rsidRDefault="002C5025">
      <w:pPr>
        <w:pStyle w:val="BodyText"/>
        <w:kinsoku w:val="0"/>
        <w:overflowPunct w:val="0"/>
        <w:spacing w:before="3"/>
        <w:ind w:left="919" w:right="866"/>
      </w:pPr>
      <w:r>
        <w:t>Thank you for the opportunity to continue to contribute to the development of the MassHealth Innovations initiative and, specifically, the pending 1115 Waiver request. We appreciate the commitment that MassHealth has made to engaging and informing stakeholders throughout the development process.</w:t>
      </w:r>
    </w:p>
    <w:p w:rsidR="002C5025" w:rsidRDefault="002C5025">
      <w:pPr>
        <w:pStyle w:val="BodyText"/>
        <w:kinsoku w:val="0"/>
        <w:overflowPunct w:val="0"/>
        <w:spacing w:before="10"/>
        <w:rPr>
          <w:sz w:val="21"/>
          <w:szCs w:val="21"/>
        </w:rPr>
      </w:pPr>
    </w:p>
    <w:p w:rsidR="002C5025" w:rsidRDefault="002C5025">
      <w:pPr>
        <w:pStyle w:val="BodyText"/>
        <w:kinsoku w:val="0"/>
        <w:overflowPunct w:val="0"/>
        <w:ind w:left="918" w:right="927" w:firstLine="1"/>
      </w:pPr>
      <w:r>
        <w:t>We would like to briefly highlight a couple of issues prompted by our review of the draft 1115 Waiver and to ask that EOHHS address these issues more thoroughly in the RFRs that will be issued to procure Accountable Care Organizations, Managed Care Organizations and Certified Community Partners as well as in other related implementation activities. We would be pleased to participate in future stakeholder discussions to support the progression of MassHealth’s thinking about these matters in advance of the release of the required procurements.</w:t>
      </w:r>
    </w:p>
    <w:p w:rsidR="002C5025" w:rsidRDefault="002C5025">
      <w:pPr>
        <w:pStyle w:val="BodyText"/>
        <w:kinsoku w:val="0"/>
        <w:overflowPunct w:val="0"/>
      </w:pPr>
    </w:p>
    <w:p w:rsidR="002C5025" w:rsidRDefault="002C5025">
      <w:pPr>
        <w:pStyle w:val="BodyText"/>
        <w:kinsoku w:val="0"/>
        <w:overflowPunct w:val="0"/>
        <w:ind w:left="918" w:right="159"/>
        <w:rPr>
          <w:b/>
          <w:bCs/>
        </w:rPr>
      </w:pPr>
      <w:bookmarkStart w:id="260" w:name="Community_First_and_Long-Term_Services_a"/>
      <w:bookmarkEnd w:id="260"/>
      <w:r>
        <w:rPr>
          <w:b/>
          <w:bCs/>
        </w:rPr>
        <w:t>Community First and Long-Term Services and Supports</w:t>
      </w:r>
    </w:p>
    <w:p w:rsidR="002C5025" w:rsidRDefault="002C5025">
      <w:pPr>
        <w:pStyle w:val="BodyText"/>
        <w:kinsoku w:val="0"/>
        <w:overflowPunct w:val="0"/>
        <w:ind w:left="914" w:right="825" w:firstLine="3"/>
      </w:pPr>
      <w:r>
        <w:t xml:space="preserve">We appreciate and applaud the explicit acknowledgement that EOHHS intends to </w:t>
      </w:r>
      <w:r>
        <w:rPr>
          <w:spacing w:val="-3"/>
        </w:rPr>
        <w:t xml:space="preserve">ensure </w:t>
      </w:r>
      <w:r>
        <w:t xml:space="preserve">that </w:t>
      </w:r>
      <w:r>
        <w:rPr>
          <w:spacing w:val="-3"/>
        </w:rPr>
        <w:t xml:space="preserve">the </w:t>
      </w:r>
      <w:r>
        <w:t xml:space="preserve">1115 Demonstration will continue the Commonwealth’s long-standing commitment to Community First, enabling MassHealth members to access community services </w:t>
      </w:r>
      <w:r>
        <w:rPr>
          <w:spacing w:val="-3"/>
        </w:rPr>
        <w:t xml:space="preserve">and </w:t>
      </w:r>
      <w:r>
        <w:t xml:space="preserve">live and </w:t>
      </w:r>
      <w:r>
        <w:rPr>
          <w:spacing w:val="-4"/>
        </w:rPr>
        <w:t xml:space="preserve">be </w:t>
      </w:r>
      <w:r>
        <w:t xml:space="preserve">supported in settings of their choice. It is clear that </w:t>
      </w:r>
      <w:r>
        <w:rPr>
          <w:spacing w:val="-2"/>
        </w:rPr>
        <w:t xml:space="preserve">the </w:t>
      </w:r>
      <w:r>
        <w:t xml:space="preserve">Community First </w:t>
      </w:r>
      <w:r>
        <w:rPr>
          <w:spacing w:val="-3"/>
        </w:rPr>
        <w:t xml:space="preserve">policy </w:t>
      </w:r>
      <w:r>
        <w:t xml:space="preserve">has contributed substantially to a reduction in the utilization of institutional settings and a rebalancing of </w:t>
      </w:r>
      <w:r>
        <w:rPr>
          <w:spacing w:val="-4"/>
        </w:rPr>
        <w:t xml:space="preserve">the </w:t>
      </w:r>
      <w:r>
        <w:t xml:space="preserve">Commonwealth’s spending on LTSS. What is less well studied and documented is how </w:t>
      </w:r>
      <w:r>
        <w:rPr>
          <w:spacing w:val="-3"/>
        </w:rPr>
        <w:t xml:space="preserve">the </w:t>
      </w:r>
      <w:r>
        <w:t xml:space="preserve">increased utilization of community services has contributed to the more appropriate use of primary and acute services, to the total cost of members’ care, or to improved health outcomes for MassHealth members. We are </w:t>
      </w:r>
      <w:r>
        <w:rPr>
          <w:spacing w:val="-3"/>
        </w:rPr>
        <w:t xml:space="preserve">hopeful </w:t>
      </w:r>
      <w:r>
        <w:t xml:space="preserve">that </w:t>
      </w:r>
      <w:r>
        <w:rPr>
          <w:spacing w:val="-3"/>
        </w:rPr>
        <w:t xml:space="preserve">EOHHS </w:t>
      </w:r>
      <w:r>
        <w:t xml:space="preserve">will ensure that the evaluation of </w:t>
      </w:r>
      <w:r>
        <w:rPr>
          <w:spacing w:val="-2"/>
        </w:rPr>
        <w:t xml:space="preserve">new </w:t>
      </w:r>
      <w:r>
        <w:t>accountable care models will address this limitation in our collective understanding.</w:t>
      </w:r>
    </w:p>
    <w:p w:rsidR="002C5025" w:rsidRDefault="002C5025">
      <w:pPr>
        <w:pStyle w:val="BodyText"/>
        <w:kinsoku w:val="0"/>
        <w:overflowPunct w:val="0"/>
        <w:spacing w:before="11"/>
        <w:rPr>
          <w:sz w:val="21"/>
          <w:szCs w:val="21"/>
        </w:rPr>
      </w:pPr>
    </w:p>
    <w:p w:rsidR="002C5025" w:rsidRDefault="002C5025">
      <w:pPr>
        <w:pStyle w:val="BodyText"/>
        <w:kinsoku w:val="0"/>
        <w:overflowPunct w:val="0"/>
        <w:ind w:left="919" w:right="975"/>
        <w:rPr>
          <w:spacing w:val="-3"/>
        </w:rPr>
      </w:pPr>
      <w:r>
        <w:t xml:space="preserve">1115 Waiver discussions regarding members with complex needs </w:t>
      </w:r>
      <w:r>
        <w:rPr>
          <w:spacing w:val="-2"/>
        </w:rPr>
        <w:t xml:space="preserve">who </w:t>
      </w:r>
      <w:r>
        <w:rPr>
          <w:spacing w:val="-3"/>
        </w:rPr>
        <w:t xml:space="preserve">use </w:t>
      </w:r>
      <w:r>
        <w:t xml:space="preserve">community-based LTSS have focused extensively on the mechanism by which the Commonwealth will ensure </w:t>
      </w:r>
      <w:r>
        <w:rPr>
          <w:spacing w:val="-3"/>
        </w:rPr>
        <w:t xml:space="preserve">care </w:t>
      </w:r>
      <w:r>
        <w:t xml:space="preserve">coordination and comprehensive care management for these members. </w:t>
      </w:r>
      <w:r>
        <w:rPr>
          <w:spacing w:val="-3"/>
        </w:rPr>
        <w:t xml:space="preserve">There has been, </w:t>
      </w:r>
      <w:r>
        <w:t xml:space="preserve">however, limited public discussion, led by MassHealth, regarding the </w:t>
      </w:r>
      <w:r>
        <w:rPr>
          <w:spacing w:val="-3"/>
        </w:rPr>
        <w:t>infrastructure</w:t>
      </w:r>
    </w:p>
    <w:p w:rsidR="002C5025" w:rsidRDefault="002C5025">
      <w:pPr>
        <w:pStyle w:val="BodyText"/>
        <w:kinsoku w:val="0"/>
        <w:overflowPunct w:val="0"/>
      </w:pPr>
    </w:p>
    <w:p w:rsidR="002C5025" w:rsidRDefault="002C5025">
      <w:pPr>
        <w:pStyle w:val="BodyText"/>
        <w:kinsoku w:val="0"/>
        <w:overflowPunct w:val="0"/>
        <w:spacing w:before="7"/>
        <w:rPr>
          <w:sz w:val="18"/>
          <w:szCs w:val="18"/>
        </w:rPr>
      </w:pPr>
    </w:p>
    <w:p w:rsidR="002C5025" w:rsidRDefault="002C5025">
      <w:pPr>
        <w:pStyle w:val="BodyText"/>
        <w:kinsoku w:val="0"/>
        <w:overflowPunct w:val="0"/>
        <w:spacing w:before="1"/>
        <w:ind w:left="884" w:right="159"/>
        <w:rPr>
          <w:rFonts w:ascii="Verdana" w:hAnsi="Verdana" w:cs="Verdana"/>
          <w:color w:val="4F5858"/>
          <w:sz w:val="18"/>
          <w:szCs w:val="18"/>
        </w:rPr>
      </w:pPr>
      <w:r>
        <w:rPr>
          <w:rFonts w:ascii="Verdana" w:hAnsi="Verdana" w:cs="Verdana"/>
          <w:color w:val="4F5858"/>
          <w:sz w:val="18"/>
          <w:szCs w:val="18"/>
        </w:rPr>
        <w:t xml:space="preserve">500 Boylston Street  </w:t>
      </w:r>
      <w:r>
        <w:rPr>
          <w:rFonts w:ascii="Verdana" w:hAnsi="Verdana" w:cs="Verdana"/>
          <w:color w:val="BCC5C3"/>
          <w:position w:val="2"/>
          <w:sz w:val="18"/>
          <w:szCs w:val="18"/>
        </w:rPr>
        <w:t xml:space="preserve">|  </w:t>
      </w:r>
      <w:r>
        <w:rPr>
          <w:rFonts w:ascii="Verdana" w:hAnsi="Verdana" w:cs="Verdana"/>
          <w:color w:val="4F5858"/>
          <w:sz w:val="18"/>
          <w:szCs w:val="18"/>
        </w:rPr>
        <w:t xml:space="preserve">Suite 640 </w:t>
      </w:r>
      <w:r>
        <w:rPr>
          <w:rFonts w:ascii="Verdana" w:hAnsi="Verdana" w:cs="Verdana"/>
          <w:color w:val="BCC5C3"/>
          <w:position w:val="2"/>
          <w:sz w:val="18"/>
          <w:szCs w:val="18"/>
        </w:rPr>
        <w:t xml:space="preserve">| </w:t>
      </w:r>
      <w:r>
        <w:rPr>
          <w:rFonts w:ascii="Verdana" w:hAnsi="Verdana" w:cs="Verdana"/>
          <w:color w:val="4F5858"/>
          <w:sz w:val="18"/>
          <w:szCs w:val="18"/>
        </w:rPr>
        <w:t>Boston, MA 02116</w:t>
      </w:r>
    </w:p>
    <w:p w:rsidR="002C5025" w:rsidRDefault="00FB027C">
      <w:pPr>
        <w:pStyle w:val="BodyText"/>
        <w:kinsoku w:val="0"/>
        <w:overflowPunct w:val="0"/>
        <w:spacing w:before="2"/>
        <w:rPr>
          <w:rFonts w:ascii="Verdana" w:hAnsi="Verdana" w:cs="Verdana"/>
          <w:sz w:val="17"/>
          <w:szCs w:val="17"/>
        </w:rPr>
      </w:pPr>
      <w:r>
        <w:rPr>
          <w:noProof/>
        </w:rPr>
        <mc:AlternateContent>
          <mc:Choice Requires="wps">
            <w:drawing>
              <wp:anchor distT="0" distB="0" distL="0" distR="0" simplePos="0" relativeHeight="251812352" behindDoc="0" locked="0" layoutInCell="0" allowOverlap="1">
                <wp:simplePos x="0" y="0"/>
                <wp:positionH relativeFrom="page">
                  <wp:posOffset>5943600</wp:posOffset>
                </wp:positionH>
                <wp:positionV relativeFrom="paragraph">
                  <wp:posOffset>157480</wp:posOffset>
                </wp:positionV>
                <wp:extent cx="1130300" cy="165100"/>
                <wp:effectExtent l="0" t="0" r="0" b="0"/>
                <wp:wrapTopAndBottom/>
                <wp:docPr id="273" name="Rectangle 8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260" w:lineRule="atLeast"/>
                            </w:pPr>
                            <w:r>
                              <w:rPr>
                                <w:noProof/>
                              </w:rPr>
                              <w:drawing>
                                <wp:inline distT="0" distB="0" distL="0" distR="0">
                                  <wp:extent cx="1143000" cy="161925"/>
                                  <wp:effectExtent l="0" t="0" r="0" b="9525"/>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582">
                                            <a:extLst>
                                              <a:ext uri="{28A0092B-C50C-407E-A947-70E740481C1C}">
                                                <a14:useLocalDpi xmlns:a14="http://schemas.microsoft.com/office/drawing/2010/main" val="0"/>
                                              </a:ext>
                                            </a:extLst>
                                          </a:blip>
                                          <a:srcRect/>
                                          <a:stretch>
                                            <a:fillRect/>
                                          </a:stretch>
                                        </pic:blipFill>
                                        <pic:spPr bwMode="auto">
                                          <a:xfrm>
                                            <a:off x="0" y="0"/>
                                            <a:ext cx="1143000" cy="161925"/>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9" o:spid="_x0000_s1284" style="position:absolute;margin-left:468pt;margin-top:12.4pt;width:89pt;height:13pt;z-index:251812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" o:allowincell="f" filled="f" stroked="f">
                <v:textbox inset="0,0,0,0">
                  <w:txbxContent>
                    <w:p w:rsidR="007B2B7B" w:rsidRDefault="007B2B7B">
                      <w:pPr>
                        <w:widowControl/>
                        <w:autoSpaceDE/>
                        <w:autoSpaceDN/>
                        <w:adjustRightInd/>
                        <w:spacing w:line="260" w:lineRule="atLeast"/>
                      </w:pPr>
                      <w:r>
                        <w:rPr>
                          <w:noProof/>
                        </w:rPr>
                        <w:drawing>
                          <wp:inline distT="0" distB="0" distL="0" distR="0">
                            <wp:extent cx="1143000" cy="161925"/>
                            <wp:effectExtent l="0" t="0" r="0" b="9525"/>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583">
                                      <a:extLst>
                                        <a:ext uri="{28A0092B-C50C-407E-A947-70E740481C1C}">
                                          <a14:useLocalDpi xmlns:a14="http://schemas.microsoft.com/office/drawing/2010/main" val="0"/>
                                        </a:ext>
                                      </a:extLst>
                                    </a:blip>
                                    <a:srcRect/>
                                    <a:stretch>
                                      <a:fillRect/>
                                    </a:stretch>
                                  </pic:blipFill>
                                  <pic:spPr bwMode="auto">
                                    <a:xfrm>
                                      <a:off x="0" y="0"/>
                                      <a:ext cx="1143000" cy="161925"/>
                                    </a:xfrm>
                                    <a:prstGeom prst="rect">
                                      <a:avLst/>
                                    </a:prstGeom>
                                    <a:noFill/>
                                    <a:ln>
                                      <a:noFill/>
                                    </a:ln>
                                  </pic:spPr>
                                </pic:pic>
                              </a:graphicData>
                            </a:graphic>
                          </wp:inline>
                        </w:drawing>
                      </w:r>
                    </w:p>
                    <w:p w:rsidR="007B2B7B" w:rsidRDefault="007B2B7B"/>
                  </w:txbxContent>
                </v:textbox>
                <w10:wrap type="topAndBottom" anchorx="page"/>
              </v:rect>
            </w:pict>
          </mc:Fallback>
        </mc:AlternateContent>
      </w:r>
    </w:p>
    <w:p w:rsidR="002C5025" w:rsidRDefault="002C5025">
      <w:pPr>
        <w:pStyle w:val="BodyText"/>
        <w:kinsoku w:val="0"/>
        <w:overflowPunct w:val="0"/>
        <w:spacing w:before="2"/>
        <w:rPr>
          <w:rFonts w:ascii="Verdana" w:hAnsi="Verdana" w:cs="Verdana"/>
          <w:sz w:val="17"/>
          <w:szCs w:val="17"/>
        </w:rPr>
        <w:sectPr w:rsidR="002C5025">
          <w:pgSz w:w="12240" w:h="15840"/>
          <w:pgMar w:top="1000" w:right="940" w:bottom="280" w:left="880" w:header="720" w:footer="720" w:gutter="0"/>
          <w:cols w:space="720" w:equalWidth="0">
            <w:col w:w="10420"/>
          </w:cols>
          <w:noEndnote/>
        </w:sectPr>
      </w:pPr>
    </w:p>
    <w:p w:rsidR="002C5025" w:rsidRDefault="002C5025">
      <w:pPr>
        <w:pStyle w:val="BodyText"/>
        <w:kinsoku w:val="0"/>
        <w:overflowPunct w:val="0"/>
        <w:rPr>
          <w:rFonts w:ascii="Verdana" w:hAnsi="Verdana" w:cs="Verdana"/>
          <w:sz w:val="20"/>
          <w:szCs w:val="20"/>
        </w:rPr>
      </w:pPr>
    </w:p>
    <w:p w:rsidR="002C5025" w:rsidRDefault="002C5025">
      <w:pPr>
        <w:pStyle w:val="BodyText"/>
        <w:kinsoku w:val="0"/>
        <w:overflowPunct w:val="0"/>
        <w:rPr>
          <w:rFonts w:ascii="Verdana" w:hAnsi="Verdana" w:cs="Verdana"/>
          <w:sz w:val="20"/>
          <w:szCs w:val="20"/>
        </w:rPr>
      </w:pPr>
    </w:p>
    <w:p w:rsidR="002C5025" w:rsidRDefault="002C5025">
      <w:pPr>
        <w:pStyle w:val="BodyText"/>
        <w:kinsoku w:val="0"/>
        <w:overflowPunct w:val="0"/>
        <w:rPr>
          <w:rFonts w:ascii="Verdana" w:hAnsi="Verdana" w:cs="Verdana"/>
          <w:sz w:val="20"/>
          <w:szCs w:val="20"/>
        </w:rPr>
      </w:pPr>
    </w:p>
    <w:p w:rsidR="002C5025" w:rsidRDefault="002C5025">
      <w:pPr>
        <w:pStyle w:val="BodyText"/>
        <w:kinsoku w:val="0"/>
        <w:overflowPunct w:val="0"/>
        <w:spacing w:before="7"/>
        <w:rPr>
          <w:rFonts w:ascii="Verdana" w:hAnsi="Verdana" w:cs="Verdana"/>
          <w:sz w:val="21"/>
          <w:szCs w:val="21"/>
        </w:rPr>
      </w:pPr>
    </w:p>
    <w:p w:rsidR="002C5025" w:rsidRDefault="002C5025">
      <w:pPr>
        <w:pStyle w:val="BodyText"/>
        <w:kinsoku w:val="0"/>
        <w:overflowPunct w:val="0"/>
        <w:spacing w:before="53" w:line="266" w:lineRule="exact"/>
        <w:ind w:left="119" w:right="133"/>
      </w:pPr>
      <w:r>
        <w:t xml:space="preserve">improvements necessary to </w:t>
      </w:r>
      <w:r>
        <w:rPr>
          <w:spacing w:val="-3"/>
        </w:rPr>
        <w:t xml:space="preserve">ensure </w:t>
      </w:r>
      <w:r>
        <w:t xml:space="preserve">that LTSS </w:t>
      </w:r>
      <w:r>
        <w:rPr>
          <w:spacing w:val="-3"/>
        </w:rPr>
        <w:t xml:space="preserve">providers </w:t>
      </w:r>
      <w:r>
        <w:t>are fully prepared to participate in MassHealth’s reform efforts.</w:t>
      </w:r>
    </w:p>
    <w:p w:rsidR="002C5025" w:rsidRDefault="002C5025">
      <w:pPr>
        <w:pStyle w:val="BodyText"/>
        <w:kinsoku w:val="0"/>
        <w:overflowPunct w:val="0"/>
        <w:spacing w:before="6"/>
      </w:pPr>
    </w:p>
    <w:p w:rsidR="002C5025" w:rsidRDefault="002C5025">
      <w:pPr>
        <w:pStyle w:val="BodyText"/>
        <w:kinsoku w:val="0"/>
        <w:overflowPunct w:val="0"/>
        <w:ind w:left="118" w:right="133" w:firstLine="1"/>
      </w:pPr>
      <w:r>
        <w:t xml:space="preserve">Neither </w:t>
      </w:r>
      <w:r>
        <w:rPr>
          <w:spacing w:val="-2"/>
        </w:rPr>
        <w:t xml:space="preserve">the </w:t>
      </w:r>
      <w:r>
        <w:t xml:space="preserve">One Care model that MassHealth has indicated will be the model for future LTSS integration and accountability, </w:t>
      </w:r>
      <w:r>
        <w:rPr>
          <w:spacing w:val="-2"/>
        </w:rPr>
        <w:t xml:space="preserve">nor </w:t>
      </w:r>
      <w:r>
        <w:t>other integrated managed care models that have operated in Massachusetts</w:t>
      </w:r>
      <w:r>
        <w:rPr>
          <w:spacing w:val="-8"/>
        </w:rPr>
        <w:t xml:space="preserve"> </w:t>
      </w:r>
      <w:r>
        <w:t>for</w:t>
      </w:r>
      <w:r>
        <w:rPr>
          <w:spacing w:val="-8"/>
        </w:rPr>
        <w:t xml:space="preserve"> </w:t>
      </w:r>
      <w:r>
        <w:t>a</w:t>
      </w:r>
      <w:r>
        <w:rPr>
          <w:spacing w:val="-8"/>
        </w:rPr>
        <w:t xml:space="preserve"> </w:t>
      </w:r>
      <w:r>
        <w:t>number</w:t>
      </w:r>
      <w:r>
        <w:rPr>
          <w:spacing w:val="-7"/>
        </w:rPr>
        <w:t xml:space="preserve"> </w:t>
      </w:r>
      <w:r>
        <w:t>of</w:t>
      </w:r>
      <w:r>
        <w:rPr>
          <w:spacing w:val="-13"/>
        </w:rPr>
        <w:t xml:space="preserve"> </w:t>
      </w:r>
      <w:r>
        <w:t>years,</w:t>
      </w:r>
      <w:r>
        <w:rPr>
          <w:spacing w:val="-8"/>
        </w:rPr>
        <w:t xml:space="preserve"> </w:t>
      </w:r>
      <w:r>
        <w:t>have</w:t>
      </w:r>
      <w:r>
        <w:rPr>
          <w:spacing w:val="-10"/>
        </w:rPr>
        <w:t xml:space="preserve"> </w:t>
      </w:r>
      <w:r>
        <w:t>substantially</w:t>
      </w:r>
      <w:r>
        <w:rPr>
          <w:spacing w:val="-8"/>
        </w:rPr>
        <w:t xml:space="preserve"> </w:t>
      </w:r>
      <w:r>
        <w:t>evolved</w:t>
      </w:r>
      <w:r>
        <w:rPr>
          <w:spacing w:val="-9"/>
        </w:rPr>
        <w:t xml:space="preserve"> </w:t>
      </w:r>
      <w:r>
        <w:t>the</w:t>
      </w:r>
      <w:r>
        <w:rPr>
          <w:spacing w:val="-8"/>
        </w:rPr>
        <w:t xml:space="preserve"> </w:t>
      </w:r>
      <w:r>
        <w:t>capacity</w:t>
      </w:r>
      <w:r>
        <w:rPr>
          <w:spacing w:val="-8"/>
        </w:rPr>
        <w:t xml:space="preserve"> </w:t>
      </w:r>
      <w:r>
        <w:t>of</w:t>
      </w:r>
      <w:r>
        <w:rPr>
          <w:spacing w:val="-13"/>
        </w:rPr>
        <w:t xml:space="preserve"> </w:t>
      </w:r>
      <w:r>
        <w:t>LTSS</w:t>
      </w:r>
      <w:r>
        <w:rPr>
          <w:spacing w:val="-8"/>
        </w:rPr>
        <w:t xml:space="preserve"> </w:t>
      </w:r>
      <w:r>
        <w:t>providers</w:t>
      </w:r>
      <w:r>
        <w:rPr>
          <w:spacing w:val="-11"/>
        </w:rPr>
        <w:t xml:space="preserve"> </w:t>
      </w:r>
      <w:r>
        <w:t>or introduced significant flexibility or innovation in the delivery of such services. There is little evidence that future accountable care models will be positioned to support such an evolution in the near term and it is unclear whether MassHealth intends for the Third Party Administrator for LTSS,</w:t>
      </w:r>
      <w:r>
        <w:rPr>
          <w:spacing w:val="-10"/>
        </w:rPr>
        <w:t xml:space="preserve"> </w:t>
      </w:r>
      <w:r>
        <w:t>to</w:t>
      </w:r>
      <w:r>
        <w:rPr>
          <w:spacing w:val="-7"/>
        </w:rPr>
        <w:t xml:space="preserve"> </w:t>
      </w:r>
      <w:r>
        <w:t>be</w:t>
      </w:r>
      <w:r>
        <w:rPr>
          <w:spacing w:val="-10"/>
        </w:rPr>
        <w:t xml:space="preserve"> </w:t>
      </w:r>
      <w:r>
        <w:t>selected</w:t>
      </w:r>
      <w:r>
        <w:rPr>
          <w:spacing w:val="-10"/>
        </w:rPr>
        <w:t xml:space="preserve"> </w:t>
      </w:r>
      <w:r>
        <w:t>later</w:t>
      </w:r>
      <w:r>
        <w:rPr>
          <w:spacing w:val="-12"/>
        </w:rPr>
        <w:t xml:space="preserve"> </w:t>
      </w:r>
      <w:r>
        <w:t>this</w:t>
      </w:r>
      <w:r>
        <w:rPr>
          <w:spacing w:val="-10"/>
        </w:rPr>
        <w:t xml:space="preserve"> </w:t>
      </w:r>
      <w:r>
        <w:t>year,</w:t>
      </w:r>
      <w:r>
        <w:rPr>
          <w:spacing w:val="-14"/>
        </w:rPr>
        <w:t xml:space="preserve"> </w:t>
      </w:r>
      <w:r>
        <w:t>to</w:t>
      </w:r>
      <w:r>
        <w:rPr>
          <w:spacing w:val="-7"/>
        </w:rPr>
        <w:t xml:space="preserve"> </w:t>
      </w:r>
      <w:r>
        <w:t>contribute</w:t>
      </w:r>
      <w:r>
        <w:rPr>
          <w:spacing w:val="-11"/>
        </w:rPr>
        <w:t xml:space="preserve"> </w:t>
      </w:r>
      <w:r>
        <w:t>substantially</w:t>
      </w:r>
      <w:r>
        <w:rPr>
          <w:spacing w:val="-9"/>
        </w:rPr>
        <w:t xml:space="preserve"> </w:t>
      </w:r>
      <w:r>
        <w:t>to</w:t>
      </w:r>
      <w:r>
        <w:rPr>
          <w:spacing w:val="-9"/>
        </w:rPr>
        <w:t xml:space="preserve"> </w:t>
      </w:r>
      <w:r>
        <w:t>such</w:t>
      </w:r>
      <w:r>
        <w:rPr>
          <w:spacing w:val="-9"/>
        </w:rPr>
        <w:t xml:space="preserve"> </w:t>
      </w:r>
      <w:r>
        <w:t>development.</w:t>
      </w:r>
    </w:p>
    <w:p w:rsidR="002C5025" w:rsidRDefault="002C5025">
      <w:pPr>
        <w:pStyle w:val="BodyText"/>
        <w:kinsoku w:val="0"/>
        <w:overflowPunct w:val="0"/>
        <w:spacing w:before="10"/>
        <w:rPr>
          <w:sz w:val="21"/>
          <w:szCs w:val="21"/>
        </w:rPr>
      </w:pPr>
    </w:p>
    <w:p w:rsidR="002C5025" w:rsidRDefault="002C5025">
      <w:pPr>
        <w:pStyle w:val="BodyText"/>
        <w:kinsoku w:val="0"/>
        <w:overflowPunct w:val="0"/>
        <w:ind w:left="118" w:right="44"/>
      </w:pPr>
      <w:r>
        <w:t xml:space="preserve">It is imperative, therefore, that accountable care-related procurements </w:t>
      </w:r>
      <w:r>
        <w:rPr>
          <w:spacing w:val="-2"/>
        </w:rPr>
        <w:t xml:space="preserve">not </w:t>
      </w:r>
      <w:r>
        <w:t xml:space="preserve">only feature </w:t>
      </w:r>
      <w:r>
        <w:rPr>
          <w:spacing w:val="-3"/>
        </w:rPr>
        <w:t xml:space="preserve">payment </w:t>
      </w:r>
      <w:r>
        <w:t xml:space="preserve">and financial models that are consistent with broad Community </w:t>
      </w:r>
      <w:r>
        <w:rPr>
          <w:spacing w:val="-3"/>
        </w:rPr>
        <w:t xml:space="preserve">First </w:t>
      </w:r>
      <w:r>
        <w:t xml:space="preserve">goals, but also </w:t>
      </w:r>
      <w:r>
        <w:rPr>
          <w:spacing w:val="-2"/>
        </w:rPr>
        <w:t xml:space="preserve">specifically </w:t>
      </w:r>
      <w:r>
        <w:t xml:space="preserve">incentivize the network development, </w:t>
      </w:r>
      <w:r>
        <w:rPr>
          <w:spacing w:val="-3"/>
        </w:rPr>
        <w:t xml:space="preserve">delivery system </w:t>
      </w:r>
      <w:r>
        <w:t>and payment reforms that will enhance the capacity of LTSS providers. We believe that, with nominal infrastructure investments in</w:t>
      </w:r>
    </w:p>
    <w:p w:rsidR="002C5025" w:rsidRDefault="002C5025">
      <w:pPr>
        <w:pStyle w:val="BodyText"/>
        <w:kinsoku w:val="0"/>
        <w:overflowPunct w:val="0"/>
        <w:ind w:left="116" w:right="212" w:firstLine="2"/>
      </w:pPr>
      <w:r>
        <w:t xml:space="preserve">platforms that allow LTSS providers to communicate </w:t>
      </w:r>
      <w:r>
        <w:rPr>
          <w:spacing w:val="-3"/>
        </w:rPr>
        <w:t xml:space="preserve">and </w:t>
      </w:r>
      <w:r>
        <w:t xml:space="preserve">collaborate across community services and with health care providers, MassHealth can encourage long-overdue </w:t>
      </w:r>
      <w:r>
        <w:rPr>
          <w:spacing w:val="-3"/>
        </w:rPr>
        <w:t xml:space="preserve">development </w:t>
      </w:r>
      <w:r>
        <w:t xml:space="preserve">of LTSS organizations and enable such organizations to </w:t>
      </w:r>
      <w:r>
        <w:rPr>
          <w:spacing w:val="-3"/>
        </w:rPr>
        <w:t xml:space="preserve">provide </w:t>
      </w:r>
      <w:r>
        <w:t>substantial insight on MassHealth members, contributing meaningfully to the Commonwealth’s goals for reform.</w:t>
      </w:r>
    </w:p>
    <w:p w:rsidR="002C5025" w:rsidRDefault="002C5025">
      <w:pPr>
        <w:pStyle w:val="BodyText"/>
        <w:kinsoku w:val="0"/>
        <w:overflowPunct w:val="0"/>
        <w:spacing w:before="10"/>
        <w:rPr>
          <w:sz w:val="21"/>
          <w:szCs w:val="21"/>
        </w:rPr>
      </w:pPr>
    </w:p>
    <w:p w:rsidR="002C5025" w:rsidRDefault="002C5025">
      <w:pPr>
        <w:pStyle w:val="BodyText"/>
        <w:kinsoku w:val="0"/>
        <w:overflowPunct w:val="0"/>
        <w:ind w:left="120" w:right="102"/>
      </w:pPr>
      <w:r>
        <w:t xml:space="preserve">In advance of the release of the necessary procurements, we </w:t>
      </w:r>
      <w:r>
        <w:rPr>
          <w:spacing w:val="-3"/>
        </w:rPr>
        <w:t xml:space="preserve">urge </w:t>
      </w:r>
      <w:r>
        <w:t xml:space="preserve">MassHealth to </w:t>
      </w:r>
      <w:r>
        <w:rPr>
          <w:spacing w:val="-3"/>
        </w:rPr>
        <w:t xml:space="preserve">convene </w:t>
      </w:r>
      <w:r>
        <w:t xml:space="preserve">relevant stakeholders for a focused discussion about the requirements that </w:t>
      </w:r>
      <w:r>
        <w:rPr>
          <w:spacing w:val="-3"/>
        </w:rPr>
        <w:t xml:space="preserve">should </w:t>
      </w:r>
      <w:r>
        <w:t xml:space="preserve">be included in those procurements to ensure that selected contractors have a clear understanding of EOHHS’ specific goals for </w:t>
      </w:r>
      <w:r>
        <w:rPr>
          <w:spacing w:val="-2"/>
        </w:rPr>
        <w:t xml:space="preserve">the </w:t>
      </w:r>
      <w:r>
        <w:t>integration and management of LTSS.</w:t>
      </w:r>
    </w:p>
    <w:p w:rsidR="002C5025" w:rsidRDefault="002C5025">
      <w:pPr>
        <w:pStyle w:val="BodyText"/>
        <w:kinsoku w:val="0"/>
        <w:overflowPunct w:val="0"/>
      </w:pPr>
    </w:p>
    <w:p w:rsidR="002C5025" w:rsidRDefault="002C5025">
      <w:pPr>
        <w:pStyle w:val="BodyText"/>
        <w:kinsoku w:val="0"/>
        <w:overflowPunct w:val="0"/>
        <w:ind w:left="120" w:right="133"/>
        <w:rPr>
          <w:b/>
          <w:bCs/>
        </w:rPr>
      </w:pPr>
      <w:bookmarkStart w:id="261" w:name="Family_Caregivers"/>
      <w:bookmarkEnd w:id="261"/>
      <w:r>
        <w:rPr>
          <w:b/>
          <w:bCs/>
        </w:rPr>
        <w:t>Family Caregivers</w:t>
      </w:r>
    </w:p>
    <w:p w:rsidR="002C5025" w:rsidRDefault="002C5025">
      <w:pPr>
        <w:pStyle w:val="BodyText"/>
        <w:kinsoku w:val="0"/>
        <w:overflowPunct w:val="0"/>
        <w:ind w:left="117" w:right="245" w:firstLine="2"/>
        <w:rPr>
          <w:spacing w:val="-3"/>
        </w:rPr>
      </w:pPr>
      <w:r>
        <w:t xml:space="preserve">The 1115 Waiver acknowledges the need to make statewide investments in programs that will support the formal workforce, as the retention and development of that workforce is critical to the Commonwealth’s goals for the delivery of quality care. Unfortunately, despite the relative importance indicated during MassHealth Payment and Care Delivery Workgroup meetings in 2015 and as highlighted in the recent MassHealth LTSS Vision report from the Blue Cross </w:t>
      </w:r>
      <w:r>
        <w:rPr>
          <w:spacing w:val="-3"/>
        </w:rPr>
        <w:t xml:space="preserve">Blue </w:t>
      </w:r>
      <w:r>
        <w:t xml:space="preserve">Shield Foundation/MMPI which specifically identified the importance of caregivers, there is </w:t>
      </w:r>
      <w:r>
        <w:rPr>
          <w:spacing w:val="-4"/>
        </w:rPr>
        <w:t xml:space="preserve">no </w:t>
      </w:r>
      <w:r>
        <w:t xml:space="preserve">substantive mention or implied initiative around informal supports in the 1115 Waiver. There </w:t>
      </w:r>
      <w:r>
        <w:rPr>
          <w:spacing w:val="-3"/>
        </w:rPr>
        <w:t xml:space="preserve">is </w:t>
      </w:r>
      <w:r>
        <w:t xml:space="preserve">abundant evidence that family caregivers contribute as substantially as formal caregivers to </w:t>
      </w:r>
      <w:r>
        <w:rPr>
          <w:spacing w:val="-4"/>
        </w:rPr>
        <w:t xml:space="preserve">the </w:t>
      </w:r>
      <w:r>
        <w:t xml:space="preserve">delivery of care and supports in Massachusetts and across the country and, </w:t>
      </w:r>
      <w:r>
        <w:rPr>
          <w:spacing w:val="-2"/>
        </w:rPr>
        <w:t xml:space="preserve">absent </w:t>
      </w:r>
      <w:r>
        <w:t xml:space="preserve">their continued commitment, our public resources would be appreciably more </w:t>
      </w:r>
      <w:r>
        <w:rPr>
          <w:spacing w:val="-3"/>
        </w:rPr>
        <w:t>strained.</w:t>
      </w:r>
    </w:p>
    <w:p w:rsidR="002C5025" w:rsidRDefault="002C5025">
      <w:pPr>
        <w:pStyle w:val="BodyText"/>
        <w:kinsoku w:val="0"/>
        <w:overflowPunct w:val="0"/>
      </w:pPr>
    </w:p>
    <w:p w:rsidR="002C5025" w:rsidRDefault="002C5025">
      <w:pPr>
        <w:pStyle w:val="BodyText"/>
        <w:kinsoku w:val="0"/>
        <w:overflowPunct w:val="0"/>
        <w:ind w:left="115" w:right="212" w:firstLine="2"/>
        <w:rPr>
          <w:spacing w:val="-3"/>
        </w:rPr>
      </w:pPr>
      <w:r>
        <w:t>We</w:t>
      </w:r>
      <w:r>
        <w:rPr>
          <w:spacing w:val="-5"/>
        </w:rPr>
        <w:t xml:space="preserve"> </w:t>
      </w:r>
      <w:r>
        <w:rPr>
          <w:spacing w:val="-3"/>
        </w:rPr>
        <w:t>urge</w:t>
      </w:r>
      <w:r>
        <w:rPr>
          <w:spacing w:val="-9"/>
        </w:rPr>
        <w:t xml:space="preserve"> </w:t>
      </w:r>
      <w:r>
        <w:t>EOHHS</w:t>
      </w:r>
      <w:r>
        <w:rPr>
          <w:spacing w:val="-9"/>
        </w:rPr>
        <w:t xml:space="preserve"> </w:t>
      </w:r>
      <w:r>
        <w:t>to</w:t>
      </w:r>
      <w:r>
        <w:rPr>
          <w:spacing w:val="-9"/>
        </w:rPr>
        <w:t xml:space="preserve"> </w:t>
      </w:r>
      <w:r>
        <w:t>more</w:t>
      </w:r>
      <w:r>
        <w:rPr>
          <w:spacing w:val="-8"/>
        </w:rPr>
        <w:t xml:space="preserve"> </w:t>
      </w:r>
      <w:r>
        <w:t>explicitly</w:t>
      </w:r>
      <w:r>
        <w:rPr>
          <w:spacing w:val="-7"/>
        </w:rPr>
        <w:t xml:space="preserve"> </w:t>
      </w:r>
      <w:r>
        <w:t>acknowledge</w:t>
      </w:r>
      <w:r>
        <w:rPr>
          <w:spacing w:val="-9"/>
        </w:rPr>
        <w:t xml:space="preserve"> </w:t>
      </w:r>
      <w:r>
        <w:t>the</w:t>
      </w:r>
      <w:r>
        <w:rPr>
          <w:spacing w:val="-8"/>
        </w:rPr>
        <w:t xml:space="preserve"> </w:t>
      </w:r>
      <w:r>
        <w:t>important</w:t>
      </w:r>
      <w:r>
        <w:rPr>
          <w:spacing w:val="-8"/>
        </w:rPr>
        <w:t xml:space="preserve"> </w:t>
      </w:r>
      <w:r>
        <w:t>role</w:t>
      </w:r>
      <w:r>
        <w:rPr>
          <w:spacing w:val="-8"/>
        </w:rPr>
        <w:t xml:space="preserve"> </w:t>
      </w:r>
      <w:r>
        <w:t>that</w:t>
      </w:r>
      <w:r>
        <w:rPr>
          <w:spacing w:val="-5"/>
        </w:rPr>
        <w:t xml:space="preserve"> </w:t>
      </w:r>
      <w:r>
        <w:t>family</w:t>
      </w:r>
      <w:r>
        <w:rPr>
          <w:spacing w:val="-7"/>
        </w:rPr>
        <w:t xml:space="preserve"> </w:t>
      </w:r>
      <w:r>
        <w:t>caregivers</w:t>
      </w:r>
      <w:r>
        <w:rPr>
          <w:spacing w:val="-10"/>
        </w:rPr>
        <w:t xml:space="preserve"> </w:t>
      </w:r>
      <w:r>
        <w:t>play</w:t>
      </w:r>
      <w:r>
        <w:rPr>
          <w:spacing w:val="-5"/>
        </w:rPr>
        <w:t xml:space="preserve"> </w:t>
      </w:r>
      <w:r>
        <w:t xml:space="preserve">in the delivery of care, particularly with children and adults with disabilities. Accountable care reform must ensure that </w:t>
      </w:r>
      <w:r>
        <w:rPr>
          <w:spacing w:val="-3"/>
        </w:rPr>
        <w:t xml:space="preserve">ACOs, </w:t>
      </w:r>
      <w:r>
        <w:t xml:space="preserve">MCOs, and CPs fully engage family caregivers, with members’ consent, where possible, in person-centered care planning, care transitions and ongoing care coordination activities, at a minimum. Procurements </w:t>
      </w:r>
      <w:r>
        <w:rPr>
          <w:spacing w:val="-3"/>
        </w:rPr>
        <w:t xml:space="preserve">issued </w:t>
      </w:r>
      <w:r>
        <w:t xml:space="preserve">by </w:t>
      </w:r>
      <w:r>
        <w:rPr>
          <w:spacing w:val="-3"/>
        </w:rPr>
        <w:t xml:space="preserve">EOHHS </w:t>
      </w:r>
      <w:r>
        <w:t>should explicitly encourage contracted entities to explore innovations that include family caregivers more expansively</w:t>
      </w:r>
      <w:r>
        <w:rPr>
          <w:spacing w:val="-6"/>
        </w:rPr>
        <w:t xml:space="preserve"> </w:t>
      </w:r>
      <w:r>
        <w:t>in</w:t>
      </w:r>
      <w:r>
        <w:rPr>
          <w:spacing w:val="-9"/>
        </w:rPr>
        <w:t xml:space="preserve"> </w:t>
      </w:r>
      <w:r>
        <w:t>the</w:t>
      </w:r>
      <w:r>
        <w:rPr>
          <w:spacing w:val="-10"/>
        </w:rPr>
        <w:t xml:space="preserve"> </w:t>
      </w:r>
      <w:r>
        <w:t>entities’</w:t>
      </w:r>
      <w:r>
        <w:rPr>
          <w:spacing w:val="-10"/>
        </w:rPr>
        <w:t xml:space="preserve"> </w:t>
      </w:r>
      <w:r>
        <w:t>models</w:t>
      </w:r>
      <w:r>
        <w:rPr>
          <w:spacing w:val="-10"/>
        </w:rPr>
        <w:t xml:space="preserve"> </w:t>
      </w:r>
      <w:r>
        <w:t>of</w:t>
      </w:r>
      <w:r>
        <w:rPr>
          <w:spacing w:val="-8"/>
        </w:rPr>
        <w:t xml:space="preserve"> </w:t>
      </w:r>
      <w:r>
        <w:t>care.</w:t>
      </w:r>
      <w:r>
        <w:rPr>
          <w:spacing w:val="-9"/>
        </w:rPr>
        <w:t xml:space="preserve"> </w:t>
      </w:r>
      <w:r>
        <w:t>Finally,</w:t>
      </w:r>
      <w:r>
        <w:rPr>
          <w:spacing w:val="-10"/>
        </w:rPr>
        <w:t xml:space="preserve"> </w:t>
      </w:r>
      <w:r>
        <w:t>we</w:t>
      </w:r>
      <w:r>
        <w:rPr>
          <w:spacing w:val="-12"/>
        </w:rPr>
        <w:t xml:space="preserve"> </w:t>
      </w:r>
      <w:r>
        <w:t>recommend</w:t>
      </w:r>
      <w:r>
        <w:rPr>
          <w:spacing w:val="-9"/>
        </w:rPr>
        <w:t xml:space="preserve"> </w:t>
      </w:r>
      <w:r>
        <w:t>that</w:t>
      </w:r>
      <w:r>
        <w:rPr>
          <w:spacing w:val="-6"/>
        </w:rPr>
        <w:t xml:space="preserve"> </w:t>
      </w:r>
      <w:r>
        <w:t>EOHHS’</w:t>
      </w:r>
      <w:r>
        <w:rPr>
          <w:spacing w:val="-8"/>
        </w:rPr>
        <w:t xml:space="preserve"> </w:t>
      </w:r>
      <w:r>
        <w:t>evaluation</w:t>
      </w:r>
      <w:r>
        <w:rPr>
          <w:spacing w:val="-11"/>
        </w:rPr>
        <w:t xml:space="preserve"> </w:t>
      </w:r>
      <w:r>
        <w:t>of</w:t>
      </w:r>
      <w:r>
        <w:rPr>
          <w:spacing w:val="-13"/>
        </w:rPr>
        <w:t xml:space="preserve"> </w:t>
      </w:r>
      <w:r>
        <w:rPr>
          <w:spacing w:val="-3"/>
        </w:rPr>
        <w:t>the</w:t>
      </w:r>
    </w:p>
    <w:p w:rsidR="002C5025" w:rsidRDefault="002C5025">
      <w:pPr>
        <w:pStyle w:val="BodyText"/>
        <w:kinsoku w:val="0"/>
        <w:overflowPunct w:val="0"/>
        <w:ind w:left="115" w:right="212" w:firstLine="2"/>
        <w:rPr>
          <w:spacing w:val="-3"/>
        </w:rPr>
        <w:sectPr w:rsidR="002C5025">
          <w:pgSz w:w="12240" w:h="15840"/>
          <w:pgMar w:top="1500" w:right="1660" w:bottom="280" w:left="1680" w:header="720" w:footer="720" w:gutter="0"/>
          <w:cols w:space="720" w:equalWidth="0">
            <w:col w:w="8900"/>
          </w:cols>
          <w:noEndnote/>
        </w:sect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spacing w:before="3"/>
        <w:rPr>
          <w:sz w:val="21"/>
          <w:szCs w:val="21"/>
        </w:rPr>
      </w:pPr>
    </w:p>
    <w:p w:rsidR="002C5025" w:rsidRDefault="002C5025">
      <w:pPr>
        <w:pStyle w:val="BodyText"/>
        <w:kinsoku w:val="0"/>
        <w:overflowPunct w:val="0"/>
        <w:spacing w:before="53" w:line="266" w:lineRule="exact"/>
        <w:ind w:left="119" w:right="1251"/>
      </w:pPr>
      <w:r>
        <w:t>accountable care initiative include a specific assessment of such innovations, where implemented, and that EOHHS publish best practices and associated results.</w:t>
      </w:r>
    </w:p>
    <w:p w:rsidR="002C5025" w:rsidRDefault="002C5025">
      <w:pPr>
        <w:pStyle w:val="BodyText"/>
        <w:kinsoku w:val="0"/>
        <w:overflowPunct w:val="0"/>
        <w:spacing w:before="6"/>
      </w:pPr>
    </w:p>
    <w:p w:rsidR="002C5025" w:rsidRDefault="002C5025">
      <w:pPr>
        <w:pStyle w:val="BodyText"/>
        <w:kinsoku w:val="0"/>
        <w:overflowPunct w:val="0"/>
        <w:ind w:left="119" w:right="1251"/>
        <w:rPr>
          <w:b/>
          <w:bCs/>
        </w:rPr>
      </w:pPr>
      <w:bookmarkStart w:id="262" w:name="LTSS_Community_Partners"/>
      <w:bookmarkEnd w:id="262"/>
      <w:r>
        <w:rPr>
          <w:b/>
          <w:bCs/>
        </w:rPr>
        <w:t>LTSS Community Partners</w:t>
      </w:r>
    </w:p>
    <w:p w:rsidR="002C5025" w:rsidRDefault="002C5025">
      <w:pPr>
        <w:pStyle w:val="BodyText"/>
        <w:kinsoku w:val="0"/>
        <w:overflowPunct w:val="0"/>
        <w:ind w:left="119" w:right="372"/>
      </w:pPr>
      <w:r>
        <w:t>We support EOHHS’s proposal to connect ACOs with community-based behavioral health and LTSS organizations and the selection and certification of such organizations as Community Partners through a procurement mechanism that will ensure CPs meet appropriately high performance standards for the delivery of consistent, culturally-competent supports to MassHealth members across the Commonwealth.</w:t>
      </w:r>
    </w:p>
    <w:p w:rsidR="002C5025" w:rsidRDefault="002C5025">
      <w:pPr>
        <w:pStyle w:val="BodyText"/>
        <w:kinsoku w:val="0"/>
        <w:overflowPunct w:val="0"/>
        <w:spacing w:before="10"/>
        <w:rPr>
          <w:sz w:val="21"/>
          <w:szCs w:val="21"/>
        </w:rPr>
      </w:pPr>
    </w:p>
    <w:p w:rsidR="002C5025" w:rsidRDefault="002C5025">
      <w:pPr>
        <w:pStyle w:val="BodyText"/>
        <w:kinsoku w:val="0"/>
        <w:overflowPunct w:val="0"/>
        <w:ind w:left="118" w:firstLine="1"/>
      </w:pPr>
      <w:r>
        <w:t>EOHHS has acknowledged that permitting organizations that will be CPs to also deliver direct services</w:t>
      </w:r>
      <w:r>
        <w:rPr>
          <w:spacing w:val="-9"/>
        </w:rPr>
        <w:t xml:space="preserve"> </w:t>
      </w:r>
      <w:r>
        <w:t>and</w:t>
      </w:r>
      <w:r>
        <w:rPr>
          <w:spacing w:val="-10"/>
        </w:rPr>
        <w:t xml:space="preserve"> </w:t>
      </w:r>
      <w:r>
        <w:t>to</w:t>
      </w:r>
      <w:r>
        <w:rPr>
          <w:spacing w:val="-8"/>
        </w:rPr>
        <w:t xml:space="preserve"> </w:t>
      </w:r>
      <w:r>
        <w:t>self-refer</w:t>
      </w:r>
      <w:r>
        <w:rPr>
          <w:spacing w:val="-12"/>
        </w:rPr>
        <w:t xml:space="preserve"> </w:t>
      </w:r>
      <w:r>
        <w:t>obligates</w:t>
      </w:r>
      <w:r>
        <w:rPr>
          <w:spacing w:val="-9"/>
        </w:rPr>
        <w:t xml:space="preserve"> </w:t>
      </w:r>
      <w:r>
        <w:t>MassHealth</w:t>
      </w:r>
      <w:r>
        <w:rPr>
          <w:spacing w:val="-12"/>
        </w:rPr>
        <w:t xml:space="preserve"> </w:t>
      </w:r>
      <w:r>
        <w:t>to</w:t>
      </w:r>
      <w:r>
        <w:rPr>
          <w:spacing w:val="-10"/>
        </w:rPr>
        <w:t xml:space="preserve"> </w:t>
      </w:r>
      <w:r>
        <w:t>establish</w:t>
      </w:r>
      <w:r>
        <w:rPr>
          <w:spacing w:val="-10"/>
        </w:rPr>
        <w:t xml:space="preserve"> </w:t>
      </w:r>
      <w:r>
        <w:t>checks</w:t>
      </w:r>
      <w:r>
        <w:rPr>
          <w:spacing w:val="-9"/>
        </w:rPr>
        <w:t xml:space="preserve"> </w:t>
      </w:r>
      <w:r>
        <w:t>and</w:t>
      </w:r>
      <w:r>
        <w:rPr>
          <w:spacing w:val="-10"/>
        </w:rPr>
        <w:t xml:space="preserve"> </w:t>
      </w:r>
      <w:r>
        <w:t>balances</w:t>
      </w:r>
      <w:r>
        <w:rPr>
          <w:spacing w:val="-9"/>
        </w:rPr>
        <w:t xml:space="preserve"> </w:t>
      </w:r>
      <w:r>
        <w:t>that</w:t>
      </w:r>
      <w:r>
        <w:rPr>
          <w:spacing w:val="-7"/>
        </w:rPr>
        <w:t xml:space="preserve"> </w:t>
      </w:r>
      <w:r>
        <w:t>will</w:t>
      </w:r>
      <w:r>
        <w:rPr>
          <w:spacing w:val="-12"/>
        </w:rPr>
        <w:t xml:space="preserve"> </w:t>
      </w:r>
      <w:r>
        <w:t xml:space="preserve">mitigate potential conflicts. While there is limited experience across the country that suggests best practices for conflict mitigation in systems comparable to Massachusetts, it is </w:t>
      </w:r>
      <w:r>
        <w:rPr>
          <w:spacing w:val="-3"/>
        </w:rPr>
        <w:t xml:space="preserve">clear </w:t>
      </w:r>
      <w:r>
        <w:t>that such strategies</w:t>
      </w:r>
      <w:r>
        <w:rPr>
          <w:spacing w:val="-11"/>
        </w:rPr>
        <w:t xml:space="preserve"> </w:t>
      </w:r>
      <w:r>
        <w:t>must</w:t>
      </w:r>
      <w:r>
        <w:rPr>
          <w:spacing w:val="-7"/>
        </w:rPr>
        <w:t xml:space="preserve"> </w:t>
      </w:r>
      <w:r>
        <w:t>include,</w:t>
      </w:r>
      <w:r>
        <w:rPr>
          <w:spacing w:val="-9"/>
        </w:rPr>
        <w:t xml:space="preserve"> </w:t>
      </w:r>
      <w:r>
        <w:t>at</w:t>
      </w:r>
      <w:r>
        <w:rPr>
          <w:spacing w:val="-13"/>
        </w:rPr>
        <w:t xml:space="preserve"> </w:t>
      </w:r>
      <w:r>
        <w:t>a</w:t>
      </w:r>
      <w:r>
        <w:rPr>
          <w:spacing w:val="-9"/>
        </w:rPr>
        <w:t xml:space="preserve"> </w:t>
      </w:r>
      <w:r>
        <w:t>minimum:</w:t>
      </w:r>
    </w:p>
    <w:p w:rsidR="002C5025" w:rsidRDefault="002C5025">
      <w:pPr>
        <w:pStyle w:val="ListParagraph"/>
        <w:numPr>
          <w:ilvl w:val="0"/>
          <w:numId w:val="20"/>
        </w:numPr>
        <w:tabs>
          <w:tab w:val="left" w:pos="885"/>
        </w:tabs>
        <w:kinsoku w:val="0"/>
        <w:overflowPunct w:val="0"/>
        <w:ind w:right="306" w:hanging="359"/>
        <w:rPr>
          <w:rFonts w:ascii="Calibri" w:hAnsi="Calibri" w:cs="Calibri"/>
          <w:spacing w:val="-3"/>
          <w:sz w:val="22"/>
          <w:szCs w:val="22"/>
        </w:rPr>
      </w:pPr>
      <w:r>
        <w:rPr>
          <w:rFonts w:ascii="Calibri" w:hAnsi="Calibri" w:cs="Calibri"/>
          <w:sz w:val="22"/>
          <w:szCs w:val="22"/>
        </w:rPr>
        <w:t xml:space="preserve">the establishment of specific performance standards to </w:t>
      </w:r>
      <w:r>
        <w:rPr>
          <w:rFonts w:ascii="Calibri" w:hAnsi="Calibri" w:cs="Calibri"/>
          <w:spacing w:val="-3"/>
          <w:sz w:val="22"/>
          <w:szCs w:val="22"/>
        </w:rPr>
        <w:t xml:space="preserve">ensure </w:t>
      </w:r>
      <w:r>
        <w:rPr>
          <w:rFonts w:ascii="Calibri" w:hAnsi="Calibri" w:cs="Calibri"/>
          <w:sz w:val="22"/>
          <w:szCs w:val="22"/>
        </w:rPr>
        <w:t xml:space="preserve">that care </w:t>
      </w:r>
      <w:r>
        <w:rPr>
          <w:rFonts w:ascii="Calibri" w:hAnsi="Calibri" w:cs="Calibri"/>
          <w:spacing w:val="-3"/>
          <w:sz w:val="22"/>
          <w:szCs w:val="22"/>
        </w:rPr>
        <w:t xml:space="preserve">planning </w:t>
      </w:r>
      <w:r>
        <w:rPr>
          <w:rFonts w:ascii="Calibri" w:hAnsi="Calibri" w:cs="Calibri"/>
          <w:sz w:val="22"/>
          <w:szCs w:val="22"/>
        </w:rPr>
        <w:t>processes</w:t>
      </w:r>
      <w:r>
        <w:rPr>
          <w:rFonts w:ascii="Calibri" w:hAnsi="Calibri" w:cs="Calibri"/>
          <w:spacing w:val="-7"/>
          <w:sz w:val="22"/>
          <w:szCs w:val="22"/>
        </w:rPr>
        <w:t xml:space="preserve"> </w:t>
      </w:r>
      <w:r>
        <w:rPr>
          <w:rFonts w:ascii="Calibri" w:hAnsi="Calibri" w:cs="Calibri"/>
          <w:sz w:val="22"/>
          <w:szCs w:val="22"/>
        </w:rPr>
        <w:t>and</w:t>
      </w:r>
      <w:r>
        <w:rPr>
          <w:rFonts w:ascii="Calibri" w:hAnsi="Calibri" w:cs="Calibri"/>
          <w:spacing w:val="-8"/>
          <w:sz w:val="22"/>
          <w:szCs w:val="22"/>
        </w:rPr>
        <w:t xml:space="preserve"> </w:t>
      </w:r>
      <w:r>
        <w:rPr>
          <w:rFonts w:ascii="Calibri" w:hAnsi="Calibri" w:cs="Calibri"/>
          <w:sz w:val="22"/>
          <w:szCs w:val="22"/>
        </w:rPr>
        <w:t>activities</w:t>
      </w:r>
      <w:r>
        <w:rPr>
          <w:rFonts w:ascii="Calibri" w:hAnsi="Calibri" w:cs="Calibri"/>
          <w:spacing w:val="-7"/>
          <w:sz w:val="22"/>
          <w:szCs w:val="22"/>
        </w:rPr>
        <w:t xml:space="preserve"> </w:t>
      </w:r>
      <w:r>
        <w:rPr>
          <w:rFonts w:ascii="Calibri" w:hAnsi="Calibri" w:cs="Calibri"/>
          <w:sz w:val="22"/>
          <w:szCs w:val="22"/>
        </w:rPr>
        <w:t>are</w:t>
      </w:r>
      <w:r>
        <w:rPr>
          <w:rFonts w:ascii="Calibri" w:hAnsi="Calibri" w:cs="Calibri"/>
          <w:spacing w:val="-9"/>
          <w:sz w:val="22"/>
          <w:szCs w:val="22"/>
        </w:rPr>
        <w:t xml:space="preserve"> </w:t>
      </w:r>
      <w:r>
        <w:rPr>
          <w:rFonts w:ascii="Calibri" w:hAnsi="Calibri" w:cs="Calibri"/>
          <w:sz w:val="22"/>
          <w:szCs w:val="22"/>
        </w:rPr>
        <w:t>focused</w:t>
      </w:r>
      <w:r>
        <w:rPr>
          <w:rFonts w:ascii="Calibri" w:hAnsi="Calibri" w:cs="Calibri"/>
          <w:spacing w:val="-6"/>
          <w:sz w:val="22"/>
          <w:szCs w:val="22"/>
        </w:rPr>
        <w:t xml:space="preserve"> </w:t>
      </w:r>
      <w:r>
        <w:rPr>
          <w:rFonts w:ascii="Calibri" w:hAnsi="Calibri" w:cs="Calibri"/>
          <w:sz w:val="22"/>
          <w:szCs w:val="22"/>
        </w:rPr>
        <w:t>on</w:t>
      </w:r>
      <w:r>
        <w:rPr>
          <w:rFonts w:ascii="Calibri" w:hAnsi="Calibri" w:cs="Calibri"/>
          <w:spacing w:val="-11"/>
          <w:sz w:val="22"/>
          <w:szCs w:val="22"/>
        </w:rPr>
        <w:t xml:space="preserve"> </w:t>
      </w:r>
      <w:r>
        <w:rPr>
          <w:rFonts w:ascii="Calibri" w:hAnsi="Calibri" w:cs="Calibri"/>
          <w:sz w:val="22"/>
          <w:szCs w:val="22"/>
        </w:rPr>
        <w:t>the</w:t>
      </w:r>
      <w:r>
        <w:rPr>
          <w:rFonts w:ascii="Calibri" w:hAnsi="Calibri" w:cs="Calibri"/>
          <w:spacing w:val="-7"/>
          <w:sz w:val="22"/>
          <w:szCs w:val="22"/>
        </w:rPr>
        <w:t xml:space="preserve"> </w:t>
      </w:r>
      <w:r>
        <w:rPr>
          <w:rFonts w:ascii="Calibri" w:hAnsi="Calibri" w:cs="Calibri"/>
          <w:sz w:val="22"/>
          <w:szCs w:val="22"/>
        </w:rPr>
        <w:t>choices,</w:t>
      </w:r>
      <w:r>
        <w:rPr>
          <w:rFonts w:ascii="Calibri" w:hAnsi="Calibri" w:cs="Calibri"/>
          <w:spacing w:val="-5"/>
          <w:sz w:val="22"/>
          <w:szCs w:val="22"/>
        </w:rPr>
        <w:t xml:space="preserve"> </w:t>
      </w:r>
      <w:r>
        <w:rPr>
          <w:rFonts w:ascii="Calibri" w:hAnsi="Calibri" w:cs="Calibri"/>
          <w:spacing w:val="-3"/>
          <w:sz w:val="22"/>
          <w:szCs w:val="22"/>
        </w:rPr>
        <w:t>goals</w:t>
      </w:r>
      <w:r>
        <w:rPr>
          <w:rFonts w:ascii="Calibri" w:hAnsi="Calibri" w:cs="Calibri"/>
          <w:spacing w:val="-7"/>
          <w:sz w:val="22"/>
          <w:szCs w:val="22"/>
        </w:rPr>
        <w:t xml:space="preserve"> </w:t>
      </w:r>
      <w:r>
        <w:rPr>
          <w:rFonts w:ascii="Calibri" w:hAnsi="Calibri" w:cs="Calibri"/>
          <w:sz w:val="22"/>
          <w:szCs w:val="22"/>
        </w:rPr>
        <w:t>and</w:t>
      </w:r>
      <w:r>
        <w:rPr>
          <w:rFonts w:ascii="Calibri" w:hAnsi="Calibri" w:cs="Calibri"/>
          <w:spacing w:val="-8"/>
          <w:sz w:val="22"/>
          <w:szCs w:val="22"/>
        </w:rPr>
        <w:t xml:space="preserve"> </w:t>
      </w:r>
      <w:r>
        <w:rPr>
          <w:rFonts w:ascii="Calibri" w:hAnsi="Calibri" w:cs="Calibri"/>
          <w:sz w:val="22"/>
          <w:szCs w:val="22"/>
        </w:rPr>
        <w:t>preferences</w:t>
      </w:r>
      <w:r>
        <w:rPr>
          <w:rFonts w:ascii="Calibri" w:hAnsi="Calibri" w:cs="Calibri"/>
          <w:spacing w:val="-9"/>
          <w:sz w:val="22"/>
          <w:szCs w:val="22"/>
        </w:rPr>
        <w:t xml:space="preserve"> </w:t>
      </w:r>
      <w:r>
        <w:rPr>
          <w:rFonts w:ascii="Calibri" w:hAnsi="Calibri" w:cs="Calibri"/>
          <w:sz w:val="22"/>
          <w:szCs w:val="22"/>
        </w:rPr>
        <w:t>of</w:t>
      </w:r>
      <w:r>
        <w:rPr>
          <w:rFonts w:ascii="Calibri" w:hAnsi="Calibri" w:cs="Calibri"/>
          <w:spacing w:val="-10"/>
          <w:sz w:val="22"/>
          <w:szCs w:val="22"/>
        </w:rPr>
        <w:t xml:space="preserve"> </w:t>
      </w:r>
      <w:r>
        <w:rPr>
          <w:rFonts w:ascii="Calibri" w:hAnsi="Calibri" w:cs="Calibri"/>
          <w:sz w:val="22"/>
          <w:szCs w:val="22"/>
        </w:rPr>
        <w:t xml:space="preserve">members and free </w:t>
      </w:r>
      <w:r>
        <w:rPr>
          <w:rFonts w:ascii="Calibri" w:hAnsi="Calibri" w:cs="Calibri"/>
          <w:spacing w:val="-3"/>
          <w:sz w:val="22"/>
          <w:szCs w:val="22"/>
        </w:rPr>
        <w:t xml:space="preserve">from </w:t>
      </w:r>
      <w:r>
        <w:rPr>
          <w:rFonts w:ascii="Calibri" w:hAnsi="Calibri" w:cs="Calibri"/>
          <w:sz w:val="22"/>
          <w:szCs w:val="22"/>
        </w:rPr>
        <w:t xml:space="preserve">agency </w:t>
      </w:r>
      <w:r>
        <w:rPr>
          <w:rFonts w:ascii="Calibri" w:hAnsi="Calibri" w:cs="Calibri"/>
          <w:spacing w:val="-3"/>
          <w:sz w:val="22"/>
          <w:szCs w:val="22"/>
        </w:rPr>
        <w:t>bias;</w:t>
      </w:r>
      <w:r>
        <w:rPr>
          <w:rFonts w:ascii="Calibri" w:hAnsi="Calibri" w:cs="Calibri"/>
          <w:spacing w:val="-8"/>
          <w:sz w:val="22"/>
          <w:szCs w:val="22"/>
        </w:rPr>
        <w:t xml:space="preserve"> </w:t>
      </w:r>
      <w:r>
        <w:rPr>
          <w:rFonts w:ascii="Calibri" w:hAnsi="Calibri" w:cs="Calibri"/>
          <w:spacing w:val="-3"/>
          <w:sz w:val="22"/>
          <w:szCs w:val="22"/>
        </w:rPr>
        <w:t>and,</w:t>
      </w:r>
    </w:p>
    <w:p w:rsidR="002C5025" w:rsidRDefault="002C5025">
      <w:pPr>
        <w:pStyle w:val="ListParagraph"/>
        <w:numPr>
          <w:ilvl w:val="0"/>
          <w:numId w:val="20"/>
        </w:numPr>
        <w:tabs>
          <w:tab w:val="left" w:pos="884"/>
        </w:tabs>
        <w:kinsoku w:val="0"/>
        <w:overflowPunct w:val="0"/>
        <w:spacing w:before="9" w:line="266" w:lineRule="exact"/>
        <w:ind w:left="884" w:right="820"/>
        <w:rPr>
          <w:rFonts w:ascii="Calibri" w:hAnsi="Calibri" w:cs="Calibri"/>
          <w:sz w:val="22"/>
          <w:szCs w:val="22"/>
        </w:rPr>
      </w:pPr>
      <w:r>
        <w:rPr>
          <w:rFonts w:ascii="Calibri" w:hAnsi="Calibri" w:cs="Calibri"/>
          <w:sz w:val="22"/>
          <w:szCs w:val="22"/>
        </w:rPr>
        <w:t>a</w:t>
      </w:r>
      <w:r>
        <w:rPr>
          <w:rFonts w:ascii="Calibri" w:hAnsi="Calibri" w:cs="Calibri"/>
          <w:spacing w:val="-7"/>
          <w:sz w:val="22"/>
          <w:szCs w:val="22"/>
        </w:rPr>
        <w:t xml:space="preserve"> </w:t>
      </w:r>
      <w:r>
        <w:rPr>
          <w:rFonts w:ascii="Calibri" w:hAnsi="Calibri" w:cs="Calibri"/>
          <w:sz w:val="22"/>
          <w:szCs w:val="22"/>
        </w:rPr>
        <w:t>commitment</w:t>
      </w:r>
      <w:r>
        <w:rPr>
          <w:rFonts w:ascii="Calibri" w:hAnsi="Calibri" w:cs="Calibri"/>
          <w:spacing w:val="-10"/>
          <w:sz w:val="22"/>
          <w:szCs w:val="22"/>
        </w:rPr>
        <w:t xml:space="preserve"> </w:t>
      </w:r>
      <w:r>
        <w:rPr>
          <w:rFonts w:ascii="Calibri" w:hAnsi="Calibri" w:cs="Calibri"/>
          <w:sz w:val="22"/>
          <w:szCs w:val="22"/>
        </w:rPr>
        <w:t>to</w:t>
      </w:r>
      <w:r>
        <w:rPr>
          <w:rFonts w:ascii="Calibri" w:hAnsi="Calibri" w:cs="Calibri"/>
          <w:spacing w:val="-6"/>
          <w:sz w:val="22"/>
          <w:szCs w:val="22"/>
        </w:rPr>
        <w:t xml:space="preserve"> </w:t>
      </w:r>
      <w:r>
        <w:rPr>
          <w:rFonts w:ascii="Calibri" w:hAnsi="Calibri" w:cs="Calibri"/>
          <w:sz w:val="22"/>
          <w:szCs w:val="22"/>
        </w:rPr>
        <w:t>the</w:t>
      </w:r>
      <w:r>
        <w:rPr>
          <w:rFonts w:ascii="Calibri" w:hAnsi="Calibri" w:cs="Calibri"/>
          <w:spacing w:val="-10"/>
          <w:sz w:val="22"/>
          <w:szCs w:val="22"/>
        </w:rPr>
        <w:t xml:space="preserve"> </w:t>
      </w:r>
      <w:r>
        <w:rPr>
          <w:rFonts w:ascii="Calibri" w:hAnsi="Calibri" w:cs="Calibri"/>
          <w:sz w:val="22"/>
          <w:szCs w:val="22"/>
        </w:rPr>
        <w:t>resourcing</w:t>
      </w:r>
      <w:r>
        <w:rPr>
          <w:rFonts w:ascii="Calibri" w:hAnsi="Calibri" w:cs="Calibri"/>
          <w:spacing w:val="-9"/>
          <w:sz w:val="22"/>
          <w:szCs w:val="22"/>
        </w:rPr>
        <w:t xml:space="preserve"> </w:t>
      </w:r>
      <w:r>
        <w:rPr>
          <w:rFonts w:ascii="Calibri" w:hAnsi="Calibri" w:cs="Calibri"/>
          <w:sz w:val="22"/>
          <w:szCs w:val="22"/>
        </w:rPr>
        <w:t>and</w:t>
      </w:r>
      <w:r>
        <w:rPr>
          <w:rFonts w:ascii="Calibri" w:hAnsi="Calibri" w:cs="Calibri"/>
          <w:spacing w:val="-9"/>
          <w:sz w:val="22"/>
          <w:szCs w:val="22"/>
        </w:rPr>
        <w:t xml:space="preserve"> </w:t>
      </w:r>
      <w:r>
        <w:rPr>
          <w:rFonts w:ascii="Calibri" w:hAnsi="Calibri" w:cs="Calibri"/>
          <w:sz w:val="22"/>
          <w:szCs w:val="22"/>
        </w:rPr>
        <w:t>implementation</w:t>
      </w:r>
      <w:r>
        <w:rPr>
          <w:rFonts w:ascii="Calibri" w:hAnsi="Calibri" w:cs="Calibri"/>
          <w:spacing w:val="-13"/>
          <w:sz w:val="22"/>
          <w:szCs w:val="22"/>
        </w:rPr>
        <w:t xml:space="preserve"> </w:t>
      </w:r>
      <w:r>
        <w:rPr>
          <w:rFonts w:ascii="Calibri" w:hAnsi="Calibri" w:cs="Calibri"/>
          <w:sz w:val="22"/>
          <w:szCs w:val="22"/>
        </w:rPr>
        <w:t>of</w:t>
      </w:r>
      <w:r>
        <w:rPr>
          <w:rFonts w:ascii="Calibri" w:hAnsi="Calibri" w:cs="Calibri"/>
          <w:spacing w:val="-7"/>
          <w:sz w:val="22"/>
          <w:szCs w:val="22"/>
        </w:rPr>
        <w:t xml:space="preserve"> </w:t>
      </w:r>
      <w:r>
        <w:rPr>
          <w:rFonts w:ascii="Calibri" w:hAnsi="Calibri" w:cs="Calibri"/>
          <w:sz w:val="22"/>
          <w:szCs w:val="22"/>
        </w:rPr>
        <w:t>a</w:t>
      </w:r>
      <w:r>
        <w:rPr>
          <w:rFonts w:ascii="Calibri" w:hAnsi="Calibri" w:cs="Calibri"/>
          <w:spacing w:val="-7"/>
          <w:sz w:val="22"/>
          <w:szCs w:val="22"/>
        </w:rPr>
        <w:t xml:space="preserve"> </w:t>
      </w:r>
      <w:r>
        <w:rPr>
          <w:rFonts w:ascii="Calibri" w:hAnsi="Calibri" w:cs="Calibri"/>
          <w:sz w:val="22"/>
          <w:szCs w:val="22"/>
        </w:rPr>
        <w:t>robust</w:t>
      </w:r>
      <w:r>
        <w:rPr>
          <w:rFonts w:ascii="Calibri" w:hAnsi="Calibri" w:cs="Calibri"/>
          <w:spacing w:val="-10"/>
          <w:sz w:val="22"/>
          <w:szCs w:val="22"/>
        </w:rPr>
        <w:t xml:space="preserve"> </w:t>
      </w:r>
      <w:r>
        <w:rPr>
          <w:rFonts w:ascii="Calibri" w:hAnsi="Calibri" w:cs="Calibri"/>
          <w:sz w:val="22"/>
          <w:szCs w:val="22"/>
        </w:rPr>
        <w:t>monitoring</w:t>
      </w:r>
      <w:r>
        <w:rPr>
          <w:rFonts w:ascii="Calibri" w:hAnsi="Calibri" w:cs="Calibri"/>
          <w:spacing w:val="-9"/>
          <w:sz w:val="22"/>
          <w:szCs w:val="22"/>
        </w:rPr>
        <w:t xml:space="preserve"> </w:t>
      </w:r>
      <w:r>
        <w:rPr>
          <w:rFonts w:ascii="Calibri" w:hAnsi="Calibri" w:cs="Calibri"/>
          <w:sz w:val="22"/>
          <w:szCs w:val="22"/>
        </w:rPr>
        <w:t>and oversight process by the</w:t>
      </w:r>
      <w:r>
        <w:rPr>
          <w:rFonts w:ascii="Calibri" w:hAnsi="Calibri" w:cs="Calibri"/>
          <w:spacing w:val="-35"/>
          <w:sz w:val="22"/>
          <w:szCs w:val="22"/>
        </w:rPr>
        <w:t xml:space="preserve"> </w:t>
      </w:r>
      <w:r>
        <w:rPr>
          <w:rFonts w:ascii="Calibri" w:hAnsi="Calibri" w:cs="Calibri"/>
          <w:sz w:val="22"/>
          <w:szCs w:val="22"/>
        </w:rPr>
        <w:t>State.</w:t>
      </w:r>
    </w:p>
    <w:p w:rsidR="002C5025" w:rsidRDefault="002C5025">
      <w:pPr>
        <w:pStyle w:val="BodyText"/>
        <w:kinsoku w:val="0"/>
        <w:overflowPunct w:val="0"/>
        <w:spacing w:before="6"/>
      </w:pPr>
    </w:p>
    <w:p w:rsidR="002C5025" w:rsidRDefault="002C5025">
      <w:pPr>
        <w:pStyle w:val="BodyText"/>
        <w:kinsoku w:val="0"/>
        <w:overflowPunct w:val="0"/>
        <w:ind w:left="118" w:right="386"/>
      </w:pPr>
      <w:r>
        <w:t>EOHHS must use future procurements to articulate goals and establish requirements that will provide appropriate safeguards to reduce the potential for conflict and ensure appropriate member protections. Informed by practices in other States, these requirements may include features such as those listed below.</w:t>
      </w:r>
    </w:p>
    <w:p w:rsidR="002C5025" w:rsidRDefault="002C5025">
      <w:pPr>
        <w:pStyle w:val="ListParagraph"/>
        <w:numPr>
          <w:ilvl w:val="0"/>
          <w:numId w:val="20"/>
        </w:numPr>
        <w:tabs>
          <w:tab w:val="left" w:pos="841"/>
        </w:tabs>
        <w:kinsoku w:val="0"/>
        <w:overflowPunct w:val="0"/>
        <w:spacing w:before="6" w:line="277" w:lineRule="exact"/>
        <w:ind w:left="840" w:hanging="360"/>
        <w:rPr>
          <w:rFonts w:ascii="Calibri" w:hAnsi="Calibri" w:cs="Calibri"/>
          <w:spacing w:val="-4"/>
          <w:sz w:val="22"/>
          <w:szCs w:val="22"/>
        </w:rPr>
      </w:pPr>
      <w:r>
        <w:rPr>
          <w:rFonts w:ascii="Calibri" w:hAnsi="Calibri" w:cs="Calibri"/>
          <w:sz w:val="22"/>
          <w:szCs w:val="22"/>
        </w:rPr>
        <w:t>The</w:t>
      </w:r>
      <w:r>
        <w:rPr>
          <w:rFonts w:ascii="Calibri" w:hAnsi="Calibri" w:cs="Calibri"/>
          <w:spacing w:val="-5"/>
          <w:sz w:val="22"/>
          <w:szCs w:val="22"/>
        </w:rPr>
        <w:t xml:space="preserve"> </w:t>
      </w:r>
      <w:r>
        <w:rPr>
          <w:rFonts w:ascii="Calibri" w:hAnsi="Calibri" w:cs="Calibri"/>
          <w:sz w:val="22"/>
          <w:szCs w:val="22"/>
        </w:rPr>
        <w:t>obligation</w:t>
      </w:r>
      <w:r>
        <w:rPr>
          <w:rFonts w:ascii="Calibri" w:hAnsi="Calibri" w:cs="Calibri"/>
          <w:spacing w:val="-6"/>
          <w:sz w:val="22"/>
          <w:szCs w:val="22"/>
        </w:rPr>
        <w:t xml:space="preserve"> </w:t>
      </w:r>
      <w:r>
        <w:rPr>
          <w:rFonts w:ascii="Calibri" w:hAnsi="Calibri" w:cs="Calibri"/>
          <w:sz w:val="22"/>
          <w:szCs w:val="22"/>
        </w:rPr>
        <w:t>for</w:t>
      </w:r>
      <w:r>
        <w:rPr>
          <w:rFonts w:ascii="Calibri" w:hAnsi="Calibri" w:cs="Calibri"/>
          <w:spacing w:val="-6"/>
          <w:sz w:val="22"/>
          <w:szCs w:val="22"/>
        </w:rPr>
        <w:t xml:space="preserve"> </w:t>
      </w:r>
      <w:r>
        <w:rPr>
          <w:rFonts w:ascii="Calibri" w:hAnsi="Calibri" w:cs="Calibri"/>
          <w:sz w:val="22"/>
          <w:szCs w:val="22"/>
        </w:rPr>
        <w:t>CPs</w:t>
      </w:r>
      <w:r>
        <w:rPr>
          <w:rFonts w:ascii="Calibri" w:hAnsi="Calibri" w:cs="Calibri"/>
          <w:spacing w:val="-8"/>
          <w:sz w:val="22"/>
          <w:szCs w:val="22"/>
        </w:rPr>
        <w:t xml:space="preserve"> </w:t>
      </w:r>
      <w:r>
        <w:rPr>
          <w:rFonts w:ascii="Calibri" w:hAnsi="Calibri" w:cs="Calibri"/>
          <w:sz w:val="22"/>
          <w:szCs w:val="22"/>
        </w:rPr>
        <w:t>to</w:t>
      </w:r>
      <w:r>
        <w:rPr>
          <w:rFonts w:ascii="Calibri" w:hAnsi="Calibri" w:cs="Calibri"/>
          <w:spacing w:val="-6"/>
          <w:sz w:val="22"/>
          <w:szCs w:val="22"/>
        </w:rPr>
        <w:t xml:space="preserve"> </w:t>
      </w:r>
      <w:r>
        <w:rPr>
          <w:rFonts w:ascii="Calibri" w:hAnsi="Calibri" w:cs="Calibri"/>
          <w:sz w:val="22"/>
          <w:szCs w:val="22"/>
        </w:rPr>
        <w:t>include</w:t>
      </w:r>
      <w:r>
        <w:rPr>
          <w:rFonts w:ascii="Calibri" w:hAnsi="Calibri" w:cs="Calibri"/>
          <w:spacing w:val="-5"/>
          <w:sz w:val="22"/>
          <w:szCs w:val="22"/>
        </w:rPr>
        <w:t xml:space="preserve"> </w:t>
      </w:r>
      <w:r>
        <w:rPr>
          <w:rFonts w:ascii="Calibri" w:hAnsi="Calibri" w:cs="Calibri"/>
          <w:sz w:val="22"/>
          <w:szCs w:val="22"/>
        </w:rPr>
        <w:t>in</w:t>
      </w:r>
      <w:r>
        <w:rPr>
          <w:rFonts w:ascii="Calibri" w:hAnsi="Calibri" w:cs="Calibri"/>
          <w:spacing w:val="-6"/>
          <w:sz w:val="22"/>
          <w:szCs w:val="22"/>
        </w:rPr>
        <w:t xml:space="preserve"> </w:t>
      </w:r>
      <w:r>
        <w:rPr>
          <w:rFonts w:ascii="Calibri" w:hAnsi="Calibri" w:cs="Calibri"/>
          <w:sz w:val="22"/>
          <w:szCs w:val="22"/>
        </w:rPr>
        <w:t>their</w:t>
      </w:r>
      <w:r>
        <w:rPr>
          <w:rFonts w:ascii="Calibri" w:hAnsi="Calibri" w:cs="Calibri"/>
          <w:spacing w:val="-5"/>
          <w:sz w:val="22"/>
          <w:szCs w:val="22"/>
        </w:rPr>
        <w:t xml:space="preserve"> </w:t>
      </w:r>
      <w:r>
        <w:rPr>
          <w:rFonts w:ascii="Calibri" w:hAnsi="Calibri" w:cs="Calibri"/>
          <w:sz w:val="22"/>
          <w:szCs w:val="22"/>
        </w:rPr>
        <w:t>RFR</w:t>
      </w:r>
      <w:r>
        <w:rPr>
          <w:rFonts w:ascii="Calibri" w:hAnsi="Calibri" w:cs="Calibri"/>
          <w:spacing w:val="-3"/>
          <w:sz w:val="22"/>
          <w:szCs w:val="22"/>
        </w:rPr>
        <w:t xml:space="preserve"> </w:t>
      </w:r>
      <w:r>
        <w:rPr>
          <w:rFonts w:ascii="Calibri" w:hAnsi="Calibri" w:cs="Calibri"/>
          <w:spacing w:val="-4"/>
          <w:sz w:val="22"/>
          <w:szCs w:val="22"/>
        </w:rPr>
        <w:t>responses:</w:t>
      </w:r>
    </w:p>
    <w:p w:rsidR="002C5025" w:rsidRDefault="002C5025">
      <w:pPr>
        <w:pStyle w:val="ListParagraph"/>
        <w:numPr>
          <w:ilvl w:val="1"/>
          <w:numId w:val="20"/>
        </w:numPr>
        <w:tabs>
          <w:tab w:val="left" w:pos="1560"/>
        </w:tabs>
        <w:kinsoku w:val="0"/>
        <w:overflowPunct w:val="0"/>
        <w:spacing w:before="5" w:line="230" w:lineRule="auto"/>
        <w:ind w:right="359" w:hanging="360"/>
        <w:rPr>
          <w:rFonts w:ascii="Calibri" w:hAnsi="Calibri" w:cs="Calibri"/>
          <w:sz w:val="22"/>
          <w:szCs w:val="22"/>
        </w:rPr>
      </w:pPr>
      <w:r>
        <w:rPr>
          <w:rFonts w:ascii="Calibri" w:hAnsi="Calibri" w:cs="Calibri"/>
          <w:sz w:val="22"/>
          <w:szCs w:val="22"/>
        </w:rPr>
        <w:t>the</w:t>
      </w:r>
      <w:r>
        <w:rPr>
          <w:rFonts w:ascii="Calibri" w:hAnsi="Calibri" w:cs="Calibri"/>
          <w:spacing w:val="-6"/>
          <w:sz w:val="22"/>
          <w:szCs w:val="22"/>
        </w:rPr>
        <w:t xml:space="preserve"> </w:t>
      </w:r>
      <w:r>
        <w:rPr>
          <w:rFonts w:ascii="Calibri" w:hAnsi="Calibri" w:cs="Calibri"/>
          <w:sz w:val="22"/>
          <w:szCs w:val="22"/>
        </w:rPr>
        <w:t>identification</w:t>
      </w:r>
      <w:r>
        <w:rPr>
          <w:rFonts w:ascii="Calibri" w:hAnsi="Calibri" w:cs="Calibri"/>
          <w:spacing w:val="-11"/>
          <w:sz w:val="22"/>
          <w:szCs w:val="22"/>
        </w:rPr>
        <w:t xml:space="preserve"> </w:t>
      </w:r>
      <w:r>
        <w:rPr>
          <w:rFonts w:ascii="Calibri" w:hAnsi="Calibri" w:cs="Calibri"/>
          <w:sz w:val="22"/>
          <w:szCs w:val="22"/>
        </w:rPr>
        <w:t>of</w:t>
      </w:r>
      <w:r>
        <w:rPr>
          <w:rFonts w:ascii="Calibri" w:hAnsi="Calibri" w:cs="Calibri"/>
          <w:spacing w:val="-10"/>
          <w:sz w:val="22"/>
          <w:szCs w:val="22"/>
        </w:rPr>
        <w:t xml:space="preserve"> </w:t>
      </w:r>
      <w:r>
        <w:rPr>
          <w:rFonts w:ascii="Calibri" w:hAnsi="Calibri" w:cs="Calibri"/>
          <w:sz w:val="22"/>
          <w:szCs w:val="22"/>
        </w:rPr>
        <w:t>all</w:t>
      </w:r>
      <w:r>
        <w:rPr>
          <w:rFonts w:ascii="Calibri" w:hAnsi="Calibri" w:cs="Calibri"/>
          <w:spacing w:val="-9"/>
          <w:sz w:val="22"/>
          <w:szCs w:val="22"/>
        </w:rPr>
        <w:t xml:space="preserve"> </w:t>
      </w:r>
      <w:r>
        <w:rPr>
          <w:rFonts w:ascii="Calibri" w:hAnsi="Calibri" w:cs="Calibri"/>
          <w:sz w:val="22"/>
          <w:szCs w:val="22"/>
        </w:rPr>
        <w:t>programs</w:t>
      </w:r>
      <w:r>
        <w:rPr>
          <w:rFonts w:ascii="Calibri" w:hAnsi="Calibri" w:cs="Calibri"/>
          <w:spacing w:val="-7"/>
          <w:sz w:val="22"/>
          <w:szCs w:val="22"/>
        </w:rPr>
        <w:t xml:space="preserve"> </w:t>
      </w:r>
      <w:r>
        <w:rPr>
          <w:rFonts w:ascii="Calibri" w:hAnsi="Calibri" w:cs="Calibri"/>
          <w:spacing w:val="-3"/>
          <w:sz w:val="22"/>
          <w:szCs w:val="22"/>
        </w:rPr>
        <w:t>from</w:t>
      </w:r>
      <w:r>
        <w:rPr>
          <w:rFonts w:ascii="Calibri" w:hAnsi="Calibri" w:cs="Calibri"/>
          <w:spacing w:val="-10"/>
          <w:sz w:val="22"/>
          <w:szCs w:val="22"/>
        </w:rPr>
        <w:t xml:space="preserve"> </w:t>
      </w:r>
      <w:r>
        <w:rPr>
          <w:rFonts w:ascii="Calibri" w:hAnsi="Calibri" w:cs="Calibri"/>
          <w:sz w:val="22"/>
          <w:szCs w:val="22"/>
        </w:rPr>
        <w:t>which</w:t>
      </w:r>
      <w:r>
        <w:rPr>
          <w:rFonts w:ascii="Calibri" w:hAnsi="Calibri" w:cs="Calibri"/>
          <w:spacing w:val="-14"/>
          <w:sz w:val="22"/>
          <w:szCs w:val="22"/>
        </w:rPr>
        <w:t xml:space="preserve"> </w:t>
      </w:r>
      <w:r>
        <w:rPr>
          <w:rFonts w:ascii="Calibri" w:hAnsi="Calibri" w:cs="Calibri"/>
          <w:sz w:val="22"/>
          <w:szCs w:val="22"/>
        </w:rPr>
        <w:t>the</w:t>
      </w:r>
      <w:r>
        <w:rPr>
          <w:rFonts w:ascii="Calibri" w:hAnsi="Calibri" w:cs="Calibri"/>
          <w:spacing w:val="-11"/>
          <w:sz w:val="22"/>
          <w:szCs w:val="22"/>
        </w:rPr>
        <w:t xml:space="preserve"> </w:t>
      </w:r>
      <w:r>
        <w:rPr>
          <w:rFonts w:ascii="Calibri" w:hAnsi="Calibri" w:cs="Calibri"/>
          <w:sz w:val="22"/>
          <w:szCs w:val="22"/>
        </w:rPr>
        <w:t>organizations</w:t>
      </w:r>
      <w:r>
        <w:rPr>
          <w:rFonts w:ascii="Calibri" w:hAnsi="Calibri" w:cs="Calibri"/>
          <w:spacing w:val="-9"/>
          <w:sz w:val="22"/>
          <w:szCs w:val="22"/>
        </w:rPr>
        <w:t xml:space="preserve"> </w:t>
      </w:r>
      <w:r>
        <w:rPr>
          <w:rFonts w:ascii="Calibri" w:hAnsi="Calibri" w:cs="Calibri"/>
          <w:sz w:val="22"/>
          <w:szCs w:val="22"/>
        </w:rPr>
        <w:t>derive</w:t>
      </w:r>
      <w:r>
        <w:rPr>
          <w:rFonts w:ascii="Calibri" w:hAnsi="Calibri" w:cs="Calibri"/>
          <w:spacing w:val="-9"/>
          <w:sz w:val="22"/>
          <w:szCs w:val="22"/>
        </w:rPr>
        <w:t xml:space="preserve"> </w:t>
      </w:r>
      <w:r>
        <w:rPr>
          <w:rFonts w:ascii="Calibri" w:hAnsi="Calibri" w:cs="Calibri"/>
          <w:sz w:val="22"/>
          <w:szCs w:val="22"/>
        </w:rPr>
        <w:t>financial interest;</w:t>
      </w:r>
    </w:p>
    <w:p w:rsidR="002C5025" w:rsidRDefault="002C5025">
      <w:pPr>
        <w:pStyle w:val="ListParagraph"/>
        <w:numPr>
          <w:ilvl w:val="1"/>
          <w:numId w:val="20"/>
        </w:numPr>
        <w:tabs>
          <w:tab w:val="left" w:pos="1561"/>
        </w:tabs>
        <w:kinsoku w:val="0"/>
        <w:overflowPunct w:val="0"/>
        <w:spacing w:line="262" w:lineRule="exact"/>
        <w:ind w:left="1560" w:right="173" w:hanging="360"/>
        <w:rPr>
          <w:rFonts w:ascii="Calibri" w:hAnsi="Calibri" w:cs="Calibri"/>
          <w:sz w:val="22"/>
          <w:szCs w:val="22"/>
        </w:rPr>
      </w:pPr>
      <w:r>
        <w:rPr>
          <w:rFonts w:ascii="Calibri" w:hAnsi="Calibri" w:cs="Calibri"/>
          <w:sz w:val="22"/>
          <w:szCs w:val="22"/>
        </w:rPr>
        <w:t>the</w:t>
      </w:r>
      <w:r>
        <w:rPr>
          <w:rFonts w:ascii="Calibri" w:hAnsi="Calibri" w:cs="Calibri"/>
          <w:spacing w:val="-8"/>
          <w:sz w:val="22"/>
          <w:szCs w:val="22"/>
        </w:rPr>
        <w:t xml:space="preserve"> </w:t>
      </w:r>
      <w:r>
        <w:rPr>
          <w:rFonts w:ascii="Calibri" w:hAnsi="Calibri" w:cs="Calibri"/>
          <w:sz w:val="22"/>
          <w:szCs w:val="22"/>
        </w:rPr>
        <w:t>organization’s</w:t>
      </w:r>
      <w:r>
        <w:rPr>
          <w:rFonts w:ascii="Calibri" w:hAnsi="Calibri" w:cs="Calibri"/>
          <w:spacing w:val="-7"/>
          <w:sz w:val="22"/>
          <w:szCs w:val="22"/>
        </w:rPr>
        <w:t xml:space="preserve"> </w:t>
      </w:r>
      <w:r>
        <w:rPr>
          <w:rFonts w:ascii="Calibri" w:hAnsi="Calibri" w:cs="Calibri"/>
          <w:sz w:val="22"/>
          <w:szCs w:val="22"/>
        </w:rPr>
        <w:t>policies</w:t>
      </w:r>
      <w:r>
        <w:rPr>
          <w:rFonts w:ascii="Calibri" w:hAnsi="Calibri" w:cs="Calibri"/>
          <w:spacing w:val="-10"/>
          <w:sz w:val="22"/>
          <w:szCs w:val="22"/>
        </w:rPr>
        <w:t xml:space="preserve"> </w:t>
      </w:r>
      <w:r>
        <w:rPr>
          <w:rFonts w:ascii="Calibri" w:hAnsi="Calibri" w:cs="Calibri"/>
          <w:sz w:val="22"/>
          <w:szCs w:val="22"/>
        </w:rPr>
        <w:t>and</w:t>
      </w:r>
      <w:r>
        <w:rPr>
          <w:rFonts w:ascii="Calibri" w:hAnsi="Calibri" w:cs="Calibri"/>
          <w:spacing w:val="-9"/>
          <w:sz w:val="22"/>
          <w:szCs w:val="22"/>
        </w:rPr>
        <w:t xml:space="preserve"> </w:t>
      </w:r>
      <w:r>
        <w:rPr>
          <w:rFonts w:ascii="Calibri" w:hAnsi="Calibri" w:cs="Calibri"/>
          <w:sz w:val="22"/>
          <w:szCs w:val="22"/>
        </w:rPr>
        <w:t>procedures</w:t>
      </w:r>
      <w:r>
        <w:rPr>
          <w:rFonts w:ascii="Calibri" w:hAnsi="Calibri" w:cs="Calibri"/>
          <w:spacing w:val="-13"/>
          <w:sz w:val="22"/>
          <w:szCs w:val="22"/>
        </w:rPr>
        <w:t xml:space="preserve"> </w:t>
      </w:r>
      <w:r>
        <w:rPr>
          <w:rFonts w:ascii="Calibri" w:hAnsi="Calibri" w:cs="Calibri"/>
          <w:sz w:val="22"/>
          <w:szCs w:val="22"/>
        </w:rPr>
        <w:t>that</w:t>
      </w:r>
      <w:r>
        <w:rPr>
          <w:rFonts w:ascii="Calibri" w:hAnsi="Calibri" w:cs="Calibri"/>
          <w:spacing w:val="-10"/>
          <w:sz w:val="22"/>
          <w:szCs w:val="22"/>
        </w:rPr>
        <w:t xml:space="preserve"> </w:t>
      </w:r>
      <w:r>
        <w:rPr>
          <w:rFonts w:ascii="Calibri" w:hAnsi="Calibri" w:cs="Calibri"/>
          <w:sz w:val="22"/>
          <w:szCs w:val="22"/>
        </w:rPr>
        <w:t>will</w:t>
      </w:r>
      <w:r>
        <w:rPr>
          <w:rFonts w:ascii="Calibri" w:hAnsi="Calibri" w:cs="Calibri"/>
          <w:spacing w:val="-11"/>
          <w:sz w:val="22"/>
          <w:szCs w:val="22"/>
        </w:rPr>
        <w:t xml:space="preserve"> </w:t>
      </w:r>
      <w:r>
        <w:rPr>
          <w:rFonts w:ascii="Calibri" w:hAnsi="Calibri" w:cs="Calibri"/>
          <w:sz w:val="22"/>
          <w:szCs w:val="22"/>
        </w:rPr>
        <w:t>ensure</w:t>
      </w:r>
      <w:r>
        <w:rPr>
          <w:rFonts w:ascii="Calibri" w:hAnsi="Calibri" w:cs="Calibri"/>
          <w:spacing w:val="-8"/>
          <w:sz w:val="22"/>
          <w:szCs w:val="22"/>
        </w:rPr>
        <w:t xml:space="preserve"> </w:t>
      </w:r>
      <w:r>
        <w:rPr>
          <w:rFonts w:ascii="Calibri" w:hAnsi="Calibri" w:cs="Calibri"/>
          <w:sz w:val="22"/>
          <w:szCs w:val="22"/>
        </w:rPr>
        <w:t>that</w:t>
      </w:r>
      <w:r>
        <w:rPr>
          <w:rFonts w:ascii="Calibri" w:hAnsi="Calibri" w:cs="Calibri"/>
          <w:spacing w:val="-10"/>
          <w:sz w:val="22"/>
          <w:szCs w:val="22"/>
        </w:rPr>
        <w:t xml:space="preserve"> </w:t>
      </w:r>
      <w:r>
        <w:rPr>
          <w:rFonts w:ascii="Calibri" w:hAnsi="Calibri" w:cs="Calibri"/>
          <w:sz w:val="22"/>
          <w:szCs w:val="22"/>
        </w:rPr>
        <w:t>employees</w:t>
      </w:r>
      <w:r>
        <w:rPr>
          <w:rFonts w:ascii="Calibri" w:hAnsi="Calibri" w:cs="Calibri"/>
          <w:spacing w:val="-8"/>
          <w:sz w:val="22"/>
          <w:szCs w:val="22"/>
        </w:rPr>
        <w:t xml:space="preserve"> </w:t>
      </w:r>
      <w:r>
        <w:rPr>
          <w:rFonts w:ascii="Calibri" w:hAnsi="Calibri" w:cs="Calibri"/>
          <w:sz w:val="22"/>
          <w:szCs w:val="22"/>
        </w:rPr>
        <w:t>act</w:t>
      </w:r>
      <w:r>
        <w:rPr>
          <w:rFonts w:ascii="Calibri" w:hAnsi="Calibri" w:cs="Calibri"/>
          <w:spacing w:val="-8"/>
          <w:sz w:val="22"/>
          <w:szCs w:val="22"/>
        </w:rPr>
        <w:t xml:space="preserve"> </w:t>
      </w:r>
      <w:r>
        <w:rPr>
          <w:rFonts w:ascii="Calibri" w:hAnsi="Calibri" w:cs="Calibri"/>
          <w:sz w:val="22"/>
          <w:szCs w:val="22"/>
        </w:rPr>
        <w:t>in the best interest of</w:t>
      </w:r>
      <w:r>
        <w:rPr>
          <w:rFonts w:ascii="Calibri" w:hAnsi="Calibri" w:cs="Calibri"/>
          <w:spacing w:val="-36"/>
          <w:sz w:val="22"/>
          <w:szCs w:val="22"/>
        </w:rPr>
        <w:t xml:space="preserve"> </w:t>
      </w:r>
      <w:r>
        <w:rPr>
          <w:rFonts w:ascii="Calibri" w:hAnsi="Calibri" w:cs="Calibri"/>
          <w:sz w:val="22"/>
          <w:szCs w:val="22"/>
        </w:rPr>
        <w:t>members;</w:t>
      </w:r>
    </w:p>
    <w:p w:rsidR="002C5025" w:rsidRDefault="002C5025">
      <w:pPr>
        <w:pStyle w:val="ListParagraph"/>
        <w:numPr>
          <w:ilvl w:val="1"/>
          <w:numId w:val="20"/>
        </w:numPr>
        <w:tabs>
          <w:tab w:val="left" w:pos="1561"/>
        </w:tabs>
        <w:kinsoku w:val="0"/>
        <w:overflowPunct w:val="0"/>
        <w:spacing w:before="5" w:line="264" w:lineRule="exact"/>
        <w:ind w:left="1561" w:right="322"/>
        <w:rPr>
          <w:rFonts w:ascii="Calibri" w:hAnsi="Calibri" w:cs="Calibri"/>
          <w:sz w:val="22"/>
          <w:szCs w:val="22"/>
        </w:rPr>
      </w:pPr>
      <w:r>
        <w:rPr>
          <w:rFonts w:ascii="Calibri" w:hAnsi="Calibri" w:cs="Calibri"/>
          <w:sz w:val="22"/>
          <w:szCs w:val="22"/>
        </w:rPr>
        <w:t>a</w:t>
      </w:r>
      <w:r>
        <w:rPr>
          <w:rFonts w:ascii="Calibri" w:hAnsi="Calibri" w:cs="Calibri"/>
          <w:spacing w:val="-5"/>
          <w:sz w:val="22"/>
          <w:szCs w:val="22"/>
        </w:rPr>
        <w:t xml:space="preserve"> </w:t>
      </w:r>
      <w:r>
        <w:rPr>
          <w:rFonts w:ascii="Calibri" w:hAnsi="Calibri" w:cs="Calibri"/>
          <w:sz w:val="22"/>
          <w:szCs w:val="22"/>
        </w:rPr>
        <w:t>description</w:t>
      </w:r>
      <w:r>
        <w:rPr>
          <w:rFonts w:ascii="Calibri" w:hAnsi="Calibri" w:cs="Calibri"/>
          <w:spacing w:val="-10"/>
          <w:sz w:val="22"/>
          <w:szCs w:val="22"/>
        </w:rPr>
        <w:t xml:space="preserve"> </w:t>
      </w:r>
      <w:r>
        <w:rPr>
          <w:rFonts w:ascii="Calibri" w:hAnsi="Calibri" w:cs="Calibri"/>
          <w:sz w:val="22"/>
          <w:szCs w:val="22"/>
        </w:rPr>
        <w:t>of</w:t>
      </w:r>
      <w:r>
        <w:rPr>
          <w:rFonts w:ascii="Calibri" w:hAnsi="Calibri" w:cs="Calibri"/>
          <w:spacing w:val="-7"/>
          <w:sz w:val="22"/>
          <w:szCs w:val="22"/>
        </w:rPr>
        <w:t xml:space="preserve"> </w:t>
      </w:r>
      <w:r>
        <w:rPr>
          <w:rFonts w:ascii="Calibri" w:hAnsi="Calibri" w:cs="Calibri"/>
          <w:sz w:val="22"/>
          <w:szCs w:val="22"/>
        </w:rPr>
        <w:t>the</w:t>
      </w:r>
      <w:r>
        <w:rPr>
          <w:rFonts w:ascii="Calibri" w:hAnsi="Calibri" w:cs="Calibri"/>
          <w:spacing w:val="-8"/>
          <w:sz w:val="22"/>
          <w:szCs w:val="22"/>
        </w:rPr>
        <w:t xml:space="preserve"> </w:t>
      </w:r>
      <w:r>
        <w:rPr>
          <w:rFonts w:ascii="Calibri" w:hAnsi="Calibri" w:cs="Calibri"/>
          <w:sz w:val="22"/>
          <w:szCs w:val="22"/>
        </w:rPr>
        <w:t>practices</w:t>
      </w:r>
      <w:r>
        <w:rPr>
          <w:rFonts w:ascii="Calibri" w:hAnsi="Calibri" w:cs="Calibri"/>
          <w:spacing w:val="-7"/>
          <w:sz w:val="22"/>
          <w:szCs w:val="22"/>
        </w:rPr>
        <w:t xml:space="preserve"> </w:t>
      </w:r>
      <w:r>
        <w:rPr>
          <w:rFonts w:ascii="Calibri" w:hAnsi="Calibri" w:cs="Calibri"/>
          <w:sz w:val="22"/>
          <w:szCs w:val="22"/>
        </w:rPr>
        <w:t>the</w:t>
      </w:r>
      <w:r>
        <w:rPr>
          <w:rFonts w:ascii="Calibri" w:hAnsi="Calibri" w:cs="Calibri"/>
          <w:spacing w:val="-10"/>
          <w:sz w:val="22"/>
          <w:szCs w:val="22"/>
        </w:rPr>
        <w:t xml:space="preserve"> </w:t>
      </w:r>
      <w:r>
        <w:rPr>
          <w:rFonts w:ascii="Calibri" w:hAnsi="Calibri" w:cs="Calibri"/>
          <w:sz w:val="22"/>
          <w:szCs w:val="22"/>
        </w:rPr>
        <w:t>organization</w:t>
      </w:r>
      <w:r>
        <w:rPr>
          <w:rFonts w:ascii="Calibri" w:hAnsi="Calibri" w:cs="Calibri"/>
          <w:spacing w:val="-8"/>
          <w:sz w:val="22"/>
          <w:szCs w:val="22"/>
        </w:rPr>
        <w:t xml:space="preserve"> </w:t>
      </w:r>
      <w:r>
        <w:rPr>
          <w:rFonts w:ascii="Calibri" w:hAnsi="Calibri" w:cs="Calibri"/>
          <w:sz w:val="22"/>
          <w:szCs w:val="22"/>
        </w:rPr>
        <w:t>will</w:t>
      </w:r>
      <w:r>
        <w:rPr>
          <w:rFonts w:ascii="Calibri" w:hAnsi="Calibri" w:cs="Calibri"/>
          <w:spacing w:val="-9"/>
          <w:sz w:val="22"/>
          <w:szCs w:val="22"/>
        </w:rPr>
        <w:t xml:space="preserve"> </w:t>
      </w:r>
      <w:r>
        <w:rPr>
          <w:rFonts w:ascii="Calibri" w:hAnsi="Calibri" w:cs="Calibri"/>
          <w:spacing w:val="-3"/>
          <w:sz w:val="22"/>
          <w:szCs w:val="22"/>
        </w:rPr>
        <w:t>use</w:t>
      </w:r>
      <w:r>
        <w:rPr>
          <w:rFonts w:ascii="Calibri" w:hAnsi="Calibri" w:cs="Calibri"/>
          <w:spacing w:val="-8"/>
          <w:sz w:val="22"/>
          <w:szCs w:val="22"/>
        </w:rPr>
        <w:t xml:space="preserve"> </w:t>
      </w:r>
      <w:r>
        <w:rPr>
          <w:rFonts w:ascii="Calibri" w:hAnsi="Calibri" w:cs="Calibri"/>
          <w:sz w:val="22"/>
          <w:szCs w:val="22"/>
        </w:rPr>
        <w:t>to</w:t>
      </w:r>
      <w:r>
        <w:rPr>
          <w:rFonts w:ascii="Calibri" w:hAnsi="Calibri" w:cs="Calibri"/>
          <w:spacing w:val="-6"/>
          <w:sz w:val="22"/>
          <w:szCs w:val="22"/>
        </w:rPr>
        <w:t xml:space="preserve"> </w:t>
      </w:r>
      <w:r>
        <w:rPr>
          <w:rFonts w:ascii="Calibri" w:hAnsi="Calibri" w:cs="Calibri"/>
          <w:sz w:val="22"/>
          <w:szCs w:val="22"/>
        </w:rPr>
        <w:t>ensure</w:t>
      </w:r>
      <w:r>
        <w:rPr>
          <w:rFonts w:ascii="Calibri" w:hAnsi="Calibri" w:cs="Calibri"/>
          <w:spacing w:val="-7"/>
          <w:sz w:val="22"/>
          <w:szCs w:val="22"/>
        </w:rPr>
        <w:t xml:space="preserve"> </w:t>
      </w:r>
      <w:r>
        <w:rPr>
          <w:rFonts w:ascii="Calibri" w:hAnsi="Calibri" w:cs="Calibri"/>
          <w:sz w:val="22"/>
          <w:szCs w:val="22"/>
        </w:rPr>
        <w:t>that</w:t>
      </w:r>
      <w:r>
        <w:rPr>
          <w:rFonts w:ascii="Calibri" w:hAnsi="Calibri" w:cs="Calibri"/>
          <w:spacing w:val="-8"/>
          <w:sz w:val="22"/>
          <w:szCs w:val="22"/>
        </w:rPr>
        <w:t xml:space="preserve"> </w:t>
      </w:r>
      <w:r>
        <w:rPr>
          <w:rFonts w:ascii="Calibri" w:hAnsi="Calibri" w:cs="Calibri"/>
          <w:sz w:val="22"/>
          <w:szCs w:val="22"/>
        </w:rPr>
        <w:t xml:space="preserve">members are informed of all options available to meet their </w:t>
      </w:r>
      <w:r>
        <w:rPr>
          <w:rFonts w:ascii="Calibri" w:hAnsi="Calibri" w:cs="Calibri"/>
          <w:spacing w:val="-3"/>
          <w:sz w:val="22"/>
          <w:szCs w:val="22"/>
        </w:rPr>
        <w:t xml:space="preserve">needs, </w:t>
      </w:r>
      <w:r>
        <w:rPr>
          <w:rFonts w:ascii="Calibri" w:hAnsi="Calibri" w:cs="Calibri"/>
          <w:sz w:val="22"/>
          <w:szCs w:val="22"/>
        </w:rPr>
        <w:t>including when members</w:t>
      </w:r>
      <w:r>
        <w:rPr>
          <w:rFonts w:ascii="Calibri" w:hAnsi="Calibri" w:cs="Calibri"/>
          <w:spacing w:val="-11"/>
          <w:sz w:val="22"/>
          <w:szCs w:val="22"/>
        </w:rPr>
        <w:t xml:space="preserve"> </w:t>
      </w:r>
      <w:r>
        <w:rPr>
          <w:rFonts w:ascii="Calibri" w:hAnsi="Calibri" w:cs="Calibri"/>
          <w:spacing w:val="-3"/>
          <w:sz w:val="22"/>
          <w:szCs w:val="22"/>
        </w:rPr>
        <w:t>present</w:t>
      </w:r>
      <w:r>
        <w:rPr>
          <w:rFonts w:ascii="Calibri" w:hAnsi="Calibri" w:cs="Calibri"/>
          <w:spacing w:val="-8"/>
          <w:sz w:val="22"/>
          <w:szCs w:val="22"/>
        </w:rPr>
        <w:t xml:space="preserve"> </w:t>
      </w:r>
      <w:r>
        <w:rPr>
          <w:rFonts w:ascii="Calibri" w:hAnsi="Calibri" w:cs="Calibri"/>
          <w:sz w:val="22"/>
          <w:szCs w:val="22"/>
        </w:rPr>
        <w:t>requesting</w:t>
      </w:r>
      <w:r>
        <w:rPr>
          <w:rFonts w:ascii="Calibri" w:hAnsi="Calibri" w:cs="Calibri"/>
          <w:spacing w:val="-7"/>
          <w:sz w:val="22"/>
          <w:szCs w:val="22"/>
        </w:rPr>
        <w:t xml:space="preserve"> </w:t>
      </w:r>
      <w:r>
        <w:rPr>
          <w:rFonts w:ascii="Calibri" w:hAnsi="Calibri" w:cs="Calibri"/>
          <w:sz w:val="22"/>
          <w:szCs w:val="22"/>
        </w:rPr>
        <w:t>a</w:t>
      </w:r>
      <w:r>
        <w:rPr>
          <w:rFonts w:ascii="Calibri" w:hAnsi="Calibri" w:cs="Calibri"/>
          <w:spacing w:val="-8"/>
          <w:sz w:val="22"/>
          <w:szCs w:val="22"/>
        </w:rPr>
        <w:t xml:space="preserve"> </w:t>
      </w:r>
      <w:r>
        <w:rPr>
          <w:rFonts w:ascii="Calibri" w:hAnsi="Calibri" w:cs="Calibri"/>
          <w:sz w:val="22"/>
          <w:szCs w:val="22"/>
        </w:rPr>
        <w:t>specific</w:t>
      </w:r>
      <w:r>
        <w:rPr>
          <w:rFonts w:ascii="Calibri" w:hAnsi="Calibri" w:cs="Calibri"/>
          <w:spacing w:val="-10"/>
          <w:sz w:val="22"/>
          <w:szCs w:val="22"/>
        </w:rPr>
        <w:t xml:space="preserve"> </w:t>
      </w:r>
      <w:r>
        <w:rPr>
          <w:rFonts w:ascii="Calibri" w:hAnsi="Calibri" w:cs="Calibri"/>
          <w:sz w:val="22"/>
          <w:szCs w:val="22"/>
        </w:rPr>
        <w:t>service</w:t>
      </w:r>
      <w:r>
        <w:rPr>
          <w:rFonts w:ascii="Calibri" w:hAnsi="Calibri" w:cs="Calibri"/>
          <w:spacing w:val="-10"/>
          <w:sz w:val="22"/>
          <w:szCs w:val="22"/>
        </w:rPr>
        <w:t xml:space="preserve"> </w:t>
      </w:r>
      <w:r>
        <w:rPr>
          <w:rFonts w:ascii="Calibri" w:hAnsi="Calibri" w:cs="Calibri"/>
          <w:sz w:val="22"/>
          <w:szCs w:val="22"/>
        </w:rPr>
        <w:t>or</w:t>
      </w:r>
      <w:r>
        <w:rPr>
          <w:rFonts w:ascii="Calibri" w:hAnsi="Calibri" w:cs="Calibri"/>
          <w:spacing w:val="-7"/>
          <w:sz w:val="22"/>
          <w:szCs w:val="22"/>
        </w:rPr>
        <w:t xml:space="preserve"> </w:t>
      </w:r>
      <w:r>
        <w:rPr>
          <w:rFonts w:ascii="Calibri" w:hAnsi="Calibri" w:cs="Calibri"/>
          <w:sz w:val="22"/>
          <w:szCs w:val="22"/>
        </w:rPr>
        <w:t>a</w:t>
      </w:r>
      <w:r>
        <w:rPr>
          <w:rFonts w:ascii="Calibri" w:hAnsi="Calibri" w:cs="Calibri"/>
          <w:spacing w:val="-11"/>
          <w:sz w:val="22"/>
          <w:szCs w:val="22"/>
        </w:rPr>
        <w:t xml:space="preserve"> </w:t>
      </w:r>
      <w:r>
        <w:rPr>
          <w:rFonts w:ascii="Calibri" w:hAnsi="Calibri" w:cs="Calibri"/>
          <w:sz w:val="22"/>
          <w:szCs w:val="22"/>
        </w:rPr>
        <w:t>specific</w:t>
      </w:r>
      <w:r>
        <w:rPr>
          <w:rFonts w:ascii="Calibri" w:hAnsi="Calibri" w:cs="Calibri"/>
          <w:spacing w:val="-10"/>
          <w:sz w:val="22"/>
          <w:szCs w:val="22"/>
        </w:rPr>
        <w:t xml:space="preserve"> </w:t>
      </w:r>
      <w:r>
        <w:rPr>
          <w:rFonts w:ascii="Calibri" w:hAnsi="Calibri" w:cs="Calibri"/>
          <w:sz w:val="22"/>
          <w:szCs w:val="22"/>
        </w:rPr>
        <w:t>LTSS</w:t>
      </w:r>
      <w:r>
        <w:rPr>
          <w:rFonts w:ascii="Calibri" w:hAnsi="Calibri" w:cs="Calibri"/>
          <w:spacing w:val="-9"/>
          <w:sz w:val="22"/>
          <w:szCs w:val="22"/>
        </w:rPr>
        <w:t xml:space="preserve"> </w:t>
      </w:r>
      <w:r>
        <w:rPr>
          <w:rFonts w:ascii="Calibri" w:hAnsi="Calibri" w:cs="Calibri"/>
          <w:sz w:val="22"/>
          <w:szCs w:val="22"/>
        </w:rPr>
        <w:t>provider.</w:t>
      </w:r>
    </w:p>
    <w:p w:rsidR="002C5025" w:rsidRDefault="002C5025">
      <w:pPr>
        <w:pStyle w:val="ListParagraph"/>
        <w:numPr>
          <w:ilvl w:val="0"/>
          <w:numId w:val="20"/>
        </w:numPr>
        <w:tabs>
          <w:tab w:val="left" w:pos="841"/>
        </w:tabs>
        <w:kinsoku w:val="0"/>
        <w:overflowPunct w:val="0"/>
        <w:spacing w:before="19" w:line="264" w:lineRule="exact"/>
        <w:ind w:left="840" w:right="246" w:hanging="360"/>
        <w:rPr>
          <w:rFonts w:ascii="Calibri" w:hAnsi="Calibri" w:cs="Calibri"/>
          <w:sz w:val="22"/>
          <w:szCs w:val="22"/>
        </w:rPr>
      </w:pPr>
      <w:r>
        <w:rPr>
          <w:rFonts w:ascii="Calibri" w:hAnsi="Calibri" w:cs="Calibri"/>
          <w:sz w:val="22"/>
          <w:szCs w:val="22"/>
        </w:rPr>
        <w:t>An</w:t>
      </w:r>
      <w:r>
        <w:rPr>
          <w:rFonts w:ascii="Calibri" w:hAnsi="Calibri" w:cs="Calibri"/>
          <w:spacing w:val="-10"/>
          <w:sz w:val="22"/>
          <w:szCs w:val="22"/>
        </w:rPr>
        <w:t xml:space="preserve"> </w:t>
      </w:r>
      <w:r>
        <w:rPr>
          <w:rFonts w:ascii="Calibri" w:hAnsi="Calibri" w:cs="Calibri"/>
          <w:sz w:val="22"/>
          <w:szCs w:val="22"/>
        </w:rPr>
        <w:t>express</w:t>
      </w:r>
      <w:r>
        <w:rPr>
          <w:rFonts w:ascii="Calibri" w:hAnsi="Calibri" w:cs="Calibri"/>
          <w:spacing w:val="-12"/>
          <w:sz w:val="22"/>
          <w:szCs w:val="22"/>
        </w:rPr>
        <w:t xml:space="preserve"> </w:t>
      </w:r>
      <w:r>
        <w:rPr>
          <w:rFonts w:ascii="Calibri" w:hAnsi="Calibri" w:cs="Calibri"/>
          <w:sz w:val="22"/>
          <w:szCs w:val="22"/>
        </w:rPr>
        <w:t>prohibition</w:t>
      </w:r>
      <w:r>
        <w:rPr>
          <w:rFonts w:ascii="Calibri" w:hAnsi="Calibri" w:cs="Calibri"/>
          <w:spacing w:val="-10"/>
          <w:sz w:val="22"/>
          <w:szCs w:val="22"/>
        </w:rPr>
        <w:t xml:space="preserve"> </w:t>
      </w:r>
      <w:r>
        <w:rPr>
          <w:rFonts w:ascii="Calibri" w:hAnsi="Calibri" w:cs="Calibri"/>
          <w:sz w:val="22"/>
          <w:szCs w:val="22"/>
        </w:rPr>
        <w:t>on</w:t>
      </w:r>
      <w:r>
        <w:rPr>
          <w:rFonts w:ascii="Calibri" w:hAnsi="Calibri" w:cs="Calibri"/>
          <w:spacing w:val="-13"/>
          <w:sz w:val="22"/>
          <w:szCs w:val="22"/>
        </w:rPr>
        <w:t xml:space="preserve"> </w:t>
      </w:r>
      <w:r>
        <w:rPr>
          <w:rFonts w:ascii="Calibri" w:hAnsi="Calibri" w:cs="Calibri"/>
          <w:sz w:val="22"/>
          <w:szCs w:val="22"/>
        </w:rPr>
        <w:t>CPs</w:t>
      </w:r>
      <w:r>
        <w:rPr>
          <w:rFonts w:ascii="Calibri" w:hAnsi="Calibri" w:cs="Calibri"/>
          <w:spacing w:val="-8"/>
          <w:sz w:val="22"/>
          <w:szCs w:val="22"/>
        </w:rPr>
        <w:t xml:space="preserve"> </w:t>
      </w:r>
      <w:r>
        <w:rPr>
          <w:rFonts w:ascii="Calibri" w:hAnsi="Calibri" w:cs="Calibri"/>
          <w:sz w:val="22"/>
          <w:szCs w:val="22"/>
        </w:rPr>
        <w:t>promoting</w:t>
      </w:r>
      <w:r>
        <w:rPr>
          <w:rFonts w:ascii="Calibri" w:hAnsi="Calibri" w:cs="Calibri"/>
          <w:spacing w:val="-10"/>
          <w:sz w:val="22"/>
          <w:szCs w:val="22"/>
        </w:rPr>
        <w:t xml:space="preserve"> </w:t>
      </w:r>
      <w:r>
        <w:rPr>
          <w:rFonts w:ascii="Calibri" w:hAnsi="Calibri" w:cs="Calibri"/>
          <w:sz w:val="22"/>
          <w:szCs w:val="22"/>
        </w:rPr>
        <w:t>their</w:t>
      </w:r>
      <w:r>
        <w:rPr>
          <w:rFonts w:ascii="Calibri" w:hAnsi="Calibri" w:cs="Calibri"/>
          <w:spacing w:val="-12"/>
          <w:sz w:val="22"/>
          <w:szCs w:val="22"/>
        </w:rPr>
        <w:t xml:space="preserve"> </w:t>
      </w:r>
      <w:r>
        <w:rPr>
          <w:rFonts w:ascii="Calibri" w:hAnsi="Calibri" w:cs="Calibri"/>
          <w:sz w:val="22"/>
          <w:szCs w:val="22"/>
        </w:rPr>
        <w:t>own</w:t>
      </w:r>
      <w:r>
        <w:rPr>
          <w:rFonts w:ascii="Calibri" w:hAnsi="Calibri" w:cs="Calibri"/>
          <w:spacing w:val="-10"/>
          <w:sz w:val="22"/>
          <w:szCs w:val="22"/>
        </w:rPr>
        <w:t xml:space="preserve"> </w:t>
      </w:r>
      <w:r>
        <w:rPr>
          <w:rFonts w:ascii="Calibri" w:hAnsi="Calibri" w:cs="Calibri"/>
          <w:sz w:val="22"/>
          <w:szCs w:val="22"/>
        </w:rPr>
        <w:t>direct</w:t>
      </w:r>
      <w:r>
        <w:rPr>
          <w:rFonts w:ascii="Calibri" w:hAnsi="Calibri" w:cs="Calibri"/>
          <w:spacing w:val="-9"/>
          <w:sz w:val="22"/>
          <w:szCs w:val="22"/>
        </w:rPr>
        <w:t xml:space="preserve"> </w:t>
      </w:r>
      <w:r>
        <w:rPr>
          <w:rFonts w:ascii="Calibri" w:hAnsi="Calibri" w:cs="Calibri"/>
          <w:sz w:val="22"/>
          <w:szCs w:val="22"/>
        </w:rPr>
        <w:t>service</w:t>
      </w:r>
      <w:r>
        <w:rPr>
          <w:rFonts w:ascii="Calibri" w:hAnsi="Calibri" w:cs="Calibri"/>
          <w:spacing w:val="-7"/>
          <w:sz w:val="22"/>
          <w:szCs w:val="22"/>
        </w:rPr>
        <w:t xml:space="preserve"> </w:t>
      </w:r>
      <w:r>
        <w:rPr>
          <w:rFonts w:ascii="Calibri" w:hAnsi="Calibri" w:cs="Calibri"/>
          <w:sz w:val="22"/>
          <w:szCs w:val="22"/>
        </w:rPr>
        <w:t>provider</w:t>
      </w:r>
      <w:r>
        <w:rPr>
          <w:rFonts w:ascii="Calibri" w:hAnsi="Calibri" w:cs="Calibri"/>
          <w:spacing w:val="-12"/>
          <w:sz w:val="22"/>
          <w:szCs w:val="22"/>
        </w:rPr>
        <w:t xml:space="preserve"> </w:t>
      </w:r>
      <w:r>
        <w:rPr>
          <w:rFonts w:ascii="Calibri" w:hAnsi="Calibri" w:cs="Calibri"/>
          <w:sz w:val="22"/>
          <w:szCs w:val="22"/>
        </w:rPr>
        <w:t>organization, if</w:t>
      </w:r>
      <w:r>
        <w:rPr>
          <w:rFonts w:ascii="Calibri" w:hAnsi="Calibri" w:cs="Calibri"/>
          <w:spacing w:val="-5"/>
          <w:sz w:val="22"/>
          <w:szCs w:val="22"/>
        </w:rPr>
        <w:t xml:space="preserve"> </w:t>
      </w:r>
      <w:r>
        <w:rPr>
          <w:rFonts w:ascii="Calibri" w:hAnsi="Calibri" w:cs="Calibri"/>
          <w:sz w:val="22"/>
          <w:szCs w:val="22"/>
        </w:rPr>
        <w:t>any.</w:t>
      </w:r>
    </w:p>
    <w:p w:rsidR="002C5025" w:rsidRDefault="002C5025">
      <w:pPr>
        <w:pStyle w:val="ListParagraph"/>
        <w:numPr>
          <w:ilvl w:val="0"/>
          <w:numId w:val="20"/>
        </w:numPr>
        <w:tabs>
          <w:tab w:val="left" w:pos="841"/>
        </w:tabs>
        <w:kinsoku w:val="0"/>
        <w:overflowPunct w:val="0"/>
        <w:spacing w:before="7"/>
        <w:ind w:left="838" w:right="100" w:hanging="358"/>
        <w:rPr>
          <w:rFonts w:ascii="Calibri" w:hAnsi="Calibri" w:cs="Calibri"/>
          <w:sz w:val="22"/>
          <w:szCs w:val="22"/>
        </w:rPr>
      </w:pPr>
      <w:r>
        <w:rPr>
          <w:rFonts w:ascii="Calibri" w:hAnsi="Calibri" w:cs="Calibri"/>
          <w:sz w:val="22"/>
          <w:szCs w:val="22"/>
        </w:rPr>
        <w:t xml:space="preserve">The obligation for CPs to </w:t>
      </w:r>
      <w:r>
        <w:rPr>
          <w:rFonts w:ascii="Calibri" w:hAnsi="Calibri" w:cs="Calibri"/>
          <w:spacing w:val="-3"/>
          <w:sz w:val="22"/>
          <w:szCs w:val="22"/>
        </w:rPr>
        <w:t xml:space="preserve">provide </w:t>
      </w:r>
      <w:r>
        <w:rPr>
          <w:rFonts w:ascii="Calibri" w:hAnsi="Calibri" w:cs="Calibri"/>
          <w:sz w:val="22"/>
          <w:szCs w:val="22"/>
        </w:rPr>
        <w:t>members with a clear notice that: discloses potential conflicts, if any; informs members that they may select a different CP; advises members that they will receive information about the full range of services for which they are eligible;</w:t>
      </w:r>
      <w:r>
        <w:rPr>
          <w:rFonts w:ascii="Calibri" w:hAnsi="Calibri" w:cs="Calibri"/>
          <w:spacing w:val="-5"/>
          <w:sz w:val="22"/>
          <w:szCs w:val="22"/>
        </w:rPr>
        <w:t xml:space="preserve"> </w:t>
      </w:r>
      <w:r>
        <w:rPr>
          <w:rFonts w:ascii="Calibri" w:hAnsi="Calibri" w:cs="Calibri"/>
          <w:sz w:val="22"/>
          <w:szCs w:val="22"/>
        </w:rPr>
        <w:t>informs</w:t>
      </w:r>
      <w:r>
        <w:rPr>
          <w:rFonts w:ascii="Calibri" w:hAnsi="Calibri" w:cs="Calibri"/>
          <w:spacing w:val="-14"/>
          <w:sz w:val="22"/>
          <w:szCs w:val="22"/>
        </w:rPr>
        <w:t xml:space="preserve"> </w:t>
      </w:r>
      <w:r>
        <w:rPr>
          <w:rFonts w:ascii="Calibri" w:hAnsi="Calibri" w:cs="Calibri"/>
          <w:sz w:val="22"/>
          <w:szCs w:val="22"/>
        </w:rPr>
        <w:t>members</w:t>
      </w:r>
      <w:r>
        <w:rPr>
          <w:rFonts w:ascii="Calibri" w:hAnsi="Calibri" w:cs="Calibri"/>
          <w:spacing w:val="-8"/>
          <w:sz w:val="22"/>
          <w:szCs w:val="22"/>
        </w:rPr>
        <w:t xml:space="preserve"> </w:t>
      </w:r>
      <w:r>
        <w:rPr>
          <w:rFonts w:ascii="Calibri" w:hAnsi="Calibri" w:cs="Calibri"/>
          <w:sz w:val="22"/>
          <w:szCs w:val="22"/>
        </w:rPr>
        <w:t>that</w:t>
      </w:r>
      <w:r>
        <w:rPr>
          <w:rFonts w:ascii="Calibri" w:hAnsi="Calibri" w:cs="Calibri"/>
          <w:spacing w:val="-5"/>
          <w:sz w:val="22"/>
          <w:szCs w:val="22"/>
        </w:rPr>
        <w:t xml:space="preserve"> </w:t>
      </w:r>
      <w:r>
        <w:rPr>
          <w:rFonts w:ascii="Calibri" w:hAnsi="Calibri" w:cs="Calibri"/>
          <w:sz w:val="22"/>
          <w:szCs w:val="22"/>
        </w:rPr>
        <w:t>they</w:t>
      </w:r>
      <w:r>
        <w:rPr>
          <w:rFonts w:ascii="Calibri" w:hAnsi="Calibri" w:cs="Calibri"/>
          <w:spacing w:val="-8"/>
          <w:sz w:val="22"/>
          <w:szCs w:val="22"/>
        </w:rPr>
        <w:t xml:space="preserve"> </w:t>
      </w:r>
      <w:r>
        <w:rPr>
          <w:rFonts w:ascii="Calibri" w:hAnsi="Calibri" w:cs="Calibri"/>
          <w:sz w:val="22"/>
          <w:szCs w:val="22"/>
        </w:rPr>
        <w:t>have</w:t>
      </w:r>
      <w:r>
        <w:rPr>
          <w:rFonts w:ascii="Calibri" w:hAnsi="Calibri" w:cs="Calibri"/>
          <w:spacing w:val="-8"/>
          <w:sz w:val="22"/>
          <w:szCs w:val="22"/>
        </w:rPr>
        <w:t xml:space="preserve"> </w:t>
      </w:r>
      <w:r>
        <w:rPr>
          <w:rFonts w:ascii="Calibri" w:hAnsi="Calibri" w:cs="Calibri"/>
          <w:sz w:val="22"/>
          <w:szCs w:val="22"/>
        </w:rPr>
        <w:t>the</w:t>
      </w:r>
      <w:r>
        <w:rPr>
          <w:rFonts w:ascii="Calibri" w:hAnsi="Calibri" w:cs="Calibri"/>
          <w:spacing w:val="-5"/>
          <w:sz w:val="22"/>
          <w:szCs w:val="22"/>
        </w:rPr>
        <w:t xml:space="preserve"> </w:t>
      </w:r>
      <w:r>
        <w:rPr>
          <w:rFonts w:ascii="Calibri" w:hAnsi="Calibri" w:cs="Calibri"/>
          <w:sz w:val="22"/>
          <w:szCs w:val="22"/>
        </w:rPr>
        <w:t>right</w:t>
      </w:r>
      <w:r>
        <w:rPr>
          <w:rFonts w:ascii="Calibri" w:hAnsi="Calibri" w:cs="Calibri"/>
          <w:spacing w:val="-8"/>
          <w:sz w:val="22"/>
          <w:szCs w:val="22"/>
        </w:rPr>
        <w:t xml:space="preserve"> </w:t>
      </w:r>
      <w:r>
        <w:rPr>
          <w:rFonts w:ascii="Calibri" w:hAnsi="Calibri" w:cs="Calibri"/>
          <w:sz w:val="22"/>
          <w:szCs w:val="22"/>
        </w:rPr>
        <w:t>to</w:t>
      </w:r>
      <w:r>
        <w:rPr>
          <w:rFonts w:ascii="Calibri" w:hAnsi="Calibri" w:cs="Calibri"/>
          <w:spacing w:val="-9"/>
          <w:sz w:val="22"/>
          <w:szCs w:val="22"/>
        </w:rPr>
        <w:t xml:space="preserve"> </w:t>
      </w:r>
      <w:r>
        <w:rPr>
          <w:rFonts w:ascii="Calibri" w:hAnsi="Calibri" w:cs="Calibri"/>
          <w:sz w:val="22"/>
          <w:szCs w:val="22"/>
        </w:rPr>
        <w:t>choose</w:t>
      </w:r>
      <w:r>
        <w:rPr>
          <w:rFonts w:ascii="Calibri" w:hAnsi="Calibri" w:cs="Calibri"/>
          <w:spacing w:val="-5"/>
          <w:sz w:val="22"/>
          <w:szCs w:val="22"/>
        </w:rPr>
        <w:t xml:space="preserve"> </w:t>
      </w:r>
      <w:r>
        <w:rPr>
          <w:rFonts w:ascii="Calibri" w:hAnsi="Calibri" w:cs="Calibri"/>
          <w:sz w:val="22"/>
          <w:szCs w:val="22"/>
        </w:rPr>
        <w:t>their</w:t>
      </w:r>
      <w:r>
        <w:rPr>
          <w:rFonts w:ascii="Calibri" w:hAnsi="Calibri" w:cs="Calibri"/>
          <w:spacing w:val="-8"/>
          <w:sz w:val="22"/>
          <w:szCs w:val="22"/>
        </w:rPr>
        <w:t xml:space="preserve"> </w:t>
      </w:r>
      <w:r>
        <w:rPr>
          <w:rFonts w:ascii="Calibri" w:hAnsi="Calibri" w:cs="Calibri"/>
          <w:sz w:val="22"/>
          <w:szCs w:val="22"/>
        </w:rPr>
        <w:t>providers</w:t>
      </w:r>
      <w:r>
        <w:rPr>
          <w:rFonts w:ascii="Calibri" w:hAnsi="Calibri" w:cs="Calibri"/>
          <w:spacing w:val="-8"/>
          <w:sz w:val="22"/>
          <w:szCs w:val="22"/>
        </w:rPr>
        <w:t xml:space="preserve"> </w:t>
      </w:r>
      <w:r>
        <w:rPr>
          <w:rFonts w:ascii="Calibri" w:hAnsi="Calibri" w:cs="Calibri"/>
          <w:sz w:val="22"/>
          <w:szCs w:val="22"/>
        </w:rPr>
        <w:t>and</w:t>
      </w:r>
      <w:r>
        <w:rPr>
          <w:rFonts w:ascii="Calibri" w:hAnsi="Calibri" w:cs="Calibri"/>
          <w:spacing w:val="-10"/>
          <w:sz w:val="22"/>
          <w:szCs w:val="22"/>
        </w:rPr>
        <w:t xml:space="preserve"> </w:t>
      </w:r>
      <w:r>
        <w:rPr>
          <w:rFonts w:ascii="Calibri" w:hAnsi="Calibri" w:cs="Calibri"/>
          <w:sz w:val="22"/>
          <w:szCs w:val="22"/>
        </w:rPr>
        <w:t>the</w:t>
      </w:r>
      <w:r>
        <w:rPr>
          <w:rFonts w:ascii="Calibri" w:hAnsi="Calibri" w:cs="Calibri"/>
          <w:spacing w:val="-5"/>
          <w:sz w:val="22"/>
          <w:szCs w:val="22"/>
        </w:rPr>
        <w:t xml:space="preserve"> </w:t>
      </w:r>
      <w:r>
        <w:rPr>
          <w:rFonts w:ascii="Calibri" w:hAnsi="Calibri" w:cs="Calibri"/>
          <w:spacing w:val="-3"/>
          <w:sz w:val="22"/>
          <w:szCs w:val="22"/>
        </w:rPr>
        <w:t xml:space="preserve">right </w:t>
      </w:r>
      <w:r>
        <w:rPr>
          <w:rFonts w:ascii="Calibri" w:hAnsi="Calibri" w:cs="Calibri"/>
          <w:sz w:val="22"/>
          <w:szCs w:val="22"/>
        </w:rPr>
        <w:t>to appeal plans of</w:t>
      </w:r>
      <w:r>
        <w:rPr>
          <w:rFonts w:ascii="Calibri" w:hAnsi="Calibri" w:cs="Calibri"/>
          <w:spacing w:val="-29"/>
          <w:sz w:val="22"/>
          <w:szCs w:val="22"/>
        </w:rPr>
        <w:t xml:space="preserve"> </w:t>
      </w:r>
      <w:r>
        <w:rPr>
          <w:rFonts w:ascii="Calibri" w:hAnsi="Calibri" w:cs="Calibri"/>
          <w:sz w:val="22"/>
          <w:szCs w:val="22"/>
        </w:rPr>
        <w:t>care.</w:t>
      </w:r>
    </w:p>
    <w:p w:rsidR="002C5025" w:rsidRDefault="002C5025">
      <w:pPr>
        <w:pStyle w:val="ListParagraph"/>
        <w:numPr>
          <w:ilvl w:val="0"/>
          <w:numId w:val="20"/>
        </w:numPr>
        <w:tabs>
          <w:tab w:val="left" w:pos="840"/>
        </w:tabs>
        <w:kinsoku w:val="0"/>
        <w:overflowPunct w:val="0"/>
        <w:spacing w:before="11" w:line="266" w:lineRule="exact"/>
        <w:ind w:left="838" w:right="711" w:hanging="360"/>
        <w:rPr>
          <w:rFonts w:ascii="Calibri" w:hAnsi="Calibri" w:cs="Calibri"/>
          <w:sz w:val="22"/>
          <w:szCs w:val="22"/>
        </w:rPr>
      </w:pPr>
      <w:r>
        <w:rPr>
          <w:rFonts w:ascii="Calibri" w:hAnsi="Calibri" w:cs="Calibri"/>
          <w:sz w:val="22"/>
          <w:szCs w:val="22"/>
        </w:rPr>
        <w:t>A</w:t>
      </w:r>
      <w:r>
        <w:rPr>
          <w:rFonts w:ascii="Calibri" w:hAnsi="Calibri" w:cs="Calibri"/>
          <w:spacing w:val="-7"/>
          <w:sz w:val="22"/>
          <w:szCs w:val="22"/>
        </w:rPr>
        <w:t xml:space="preserve"> </w:t>
      </w:r>
      <w:r>
        <w:rPr>
          <w:rFonts w:ascii="Calibri" w:hAnsi="Calibri" w:cs="Calibri"/>
          <w:sz w:val="22"/>
          <w:szCs w:val="22"/>
        </w:rPr>
        <w:t>requirement</w:t>
      </w:r>
      <w:r>
        <w:rPr>
          <w:rFonts w:ascii="Calibri" w:hAnsi="Calibri" w:cs="Calibri"/>
          <w:spacing w:val="-9"/>
          <w:sz w:val="22"/>
          <w:szCs w:val="22"/>
        </w:rPr>
        <w:t xml:space="preserve"> </w:t>
      </w:r>
      <w:r>
        <w:rPr>
          <w:rFonts w:ascii="Calibri" w:hAnsi="Calibri" w:cs="Calibri"/>
          <w:sz w:val="22"/>
          <w:szCs w:val="22"/>
        </w:rPr>
        <w:t>that</w:t>
      </w:r>
      <w:r>
        <w:rPr>
          <w:rFonts w:ascii="Calibri" w:hAnsi="Calibri" w:cs="Calibri"/>
          <w:spacing w:val="-9"/>
          <w:sz w:val="22"/>
          <w:szCs w:val="22"/>
        </w:rPr>
        <w:t xml:space="preserve"> </w:t>
      </w:r>
      <w:r>
        <w:rPr>
          <w:rFonts w:ascii="Calibri" w:hAnsi="Calibri" w:cs="Calibri"/>
          <w:sz w:val="22"/>
          <w:szCs w:val="22"/>
        </w:rPr>
        <w:t>selected</w:t>
      </w:r>
      <w:r>
        <w:rPr>
          <w:rFonts w:ascii="Calibri" w:hAnsi="Calibri" w:cs="Calibri"/>
          <w:spacing w:val="-8"/>
          <w:sz w:val="22"/>
          <w:szCs w:val="22"/>
        </w:rPr>
        <w:t xml:space="preserve"> </w:t>
      </w:r>
      <w:r>
        <w:rPr>
          <w:rFonts w:ascii="Calibri" w:hAnsi="Calibri" w:cs="Calibri"/>
          <w:sz w:val="22"/>
          <w:szCs w:val="22"/>
        </w:rPr>
        <w:t>CPs</w:t>
      </w:r>
      <w:r>
        <w:rPr>
          <w:rFonts w:ascii="Calibri" w:hAnsi="Calibri" w:cs="Calibri"/>
          <w:spacing w:val="-7"/>
          <w:sz w:val="22"/>
          <w:szCs w:val="22"/>
        </w:rPr>
        <w:t xml:space="preserve"> </w:t>
      </w:r>
      <w:r>
        <w:rPr>
          <w:rFonts w:ascii="Calibri" w:hAnsi="Calibri" w:cs="Calibri"/>
          <w:sz w:val="22"/>
          <w:szCs w:val="22"/>
        </w:rPr>
        <w:t>provide</w:t>
      </w:r>
      <w:r>
        <w:rPr>
          <w:rFonts w:ascii="Calibri" w:hAnsi="Calibri" w:cs="Calibri"/>
          <w:spacing w:val="-10"/>
          <w:sz w:val="22"/>
          <w:szCs w:val="22"/>
        </w:rPr>
        <w:t xml:space="preserve"> </w:t>
      </w:r>
      <w:r>
        <w:rPr>
          <w:rFonts w:ascii="Calibri" w:hAnsi="Calibri" w:cs="Calibri"/>
          <w:sz w:val="22"/>
          <w:szCs w:val="22"/>
        </w:rPr>
        <w:t>MassHealth,</w:t>
      </w:r>
      <w:r>
        <w:rPr>
          <w:rFonts w:ascii="Calibri" w:hAnsi="Calibri" w:cs="Calibri"/>
          <w:spacing w:val="-13"/>
          <w:sz w:val="22"/>
          <w:szCs w:val="22"/>
        </w:rPr>
        <w:t xml:space="preserve"> </w:t>
      </w:r>
      <w:r>
        <w:rPr>
          <w:rFonts w:ascii="Calibri" w:hAnsi="Calibri" w:cs="Calibri"/>
          <w:sz w:val="22"/>
          <w:szCs w:val="22"/>
        </w:rPr>
        <w:t>for</w:t>
      </w:r>
      <w:r>
        <w:rPr>
          <w:rFonts w:ascii="Calibri" w:hAnsi="Calibri" w:cs="Calibri"/>
          <w:spacing w:val="-11"/>
          <w:sz w:val="22"/>
          <w:szCs w:val="22"/>
        </w:rPr>
        <w:t xml:space="preserve"> </w:t>
      </w:r>
      <w:r>
        <w:rPr>
          <w:rFonts w:ascii="Calibri" w:hAnsi="Calibri" w:cs="Calibri"/>
          <w:sz w:val="22"/>
          <w:szCs w:val="22"/>
        </w:rPr>
        <w:t>MassHealth’s</w:t>
      </w:r>
      <w:r>
        <w:rPr>
          <w:rFonts w:ascii="Calibri" w:hAnsi="Calibri" w:cs="Calibri"/>
          <w:spacing w:val="-9"/>
          <w:sz w:val="22"/>
          <w:szCs w:val="22"/>
        </w:rPr>
        <w:t xml:space="preserve"> </w:t>
      </w:r>
      <w:r>
        <w:rPr>
          <w:rFonts w:ascii="Calibri" w:hAnsi="Calibri" w:cs="Calibri"/>
          <w:sz w:val="22"/>
          <w:szCs w:val="22"/>
        </w:rPr>
        <w:t>review</w:t>
      </w:r>
      <w:r>
        <w:rPr>
          <w:rFonts w:ascii="Calibri" w:hAnsi="Calibri" w:cs="Calibri"/>
          <w:spacing w:val="-6"/>
          <w:sz w:val="22"/>
          <w:szCs w:val="22"/>
        </w:rPr>
        <w:t xml:space="preserve"> </w:t>
      </w:r>
      <w:r>
        <w:rPr>
          <w:rFonts w:ascii="Calibri" w:hAnsi="Calibri" w:cs="Calibri"/>
          <w:spacing w:val="-4"/>
          <w:sz w:val="22"/>
          <w:szCs w:val="22"/>
        </w:rPr>
        <w:t xml:space="preserve">and </w:t>
      </w:r>
      <w:r>
        <w:rPr>
          <w:rFonts w:ascii="Calibri" w:hAnsi="Calibri" w:cs="Calibri"/>
          <w:sz w:val="22"/>
          <w:szCs w:val="22"/>
        </w:rPr>
        <w:t>approval,</w:t>
      </w:r>
      <w:r>
        <w:rPr>
          <w:rFonts w:ascii="Calibri" w:hAnsi="Calibri" w:cs="Calibri"/>
          <w:spacing w:val="-9"/>
          <w:sz w:val="22"/>
          <w:szCs w:val="22"/>
        </w:rPr>
        <w:t xml:space="preserve"> </w:t>
      </w:r>
      <w:r>
        <w:rPr>
          <w:rFonts w:ascii="Calibri" w:hAnsi="Calibri" w:cs="Calibri"/>
          <w:sz w:val="22"/>
          <w:szCs w:val="22"/>
        </w:rPr>
        <w:t>the</w:t>
      </w:r>
      <w:r>
        <w:rPr>
          <w:rFonts w:ascii="Calibri" w:hAnsi="Calibri" w:cs="Calibri"/>
          <w:spacing w:val="-9"/>
          <w:sz w:val="22"/>
          <w:szCs w:val="22"/>
        </w:rPr>
        <w:t xml:space="preserve"> </w:t>
      </w:r>
      <w:r>
        <w:rPr>
          <w:rFonts w:ascii="Calibri" w:hAnsi="Calibri" w:cs="Calibri"/>
          <w:sz w:val="22"/>
          <w:szCs w:val="22"/>
        </w:rPr>
        <w:t>member</w:t>
      </w:r>
      <w:r>
        <w:rPr>
          <w:rFonts w:ascii="Calibri" w:hAnsi="Calibri" w:cs="Calibri"/>
          <w:spacing w:val="-7"/>
          <w:sz w:val="22"/>
          <w:szCs w:val="22"/>
        </w:rPr>
        <w:t xml:space="preserve"> </w:t>
      </w:r>
      <w:r>
        <w:rPr>
          <w:rFonts w:ascii="Calibri" w:hAnsi="Calibri" w:cs="Calibri"/>
          <w:sz w:val="22"/>
          <w:szCs w:val="22"/>
        </w:rPr>
        <w:t>notices</w:t>
      </w:r>
      <w:r>
        <w:rPr>
          <w:rFonts w:ascii="Calibri" w:hAnsi="Calibri" w:cs="Calibri"/>
          <w:spacing w:val="-7"/>
          <w:sz w:val="22"/>
          <w:szCs w:val="22"/>
        </w:rPr>
        <w:t xml:space="preserve"> </w:t>
      </w:r>
      <w:r>
        <w:rPr>
          <w:rFonts w:ascii="Calibri" w:hAnsi="Calibri" w:cs="Calibri"/>
          <w:sz w:val="22"/>
          <w:szCs w:val="22"/>
        </w:rPr>
        <w:t>that</w:t>
      </w:r>
      <w:r>
        <w:rPr>
          <w:rFonts w:ascii="Calibri" w:hAnsi="Calibri" w:cs="Calibri"/>
          <w:spacing w:val="-7"/>
          <w:sz w:val="22"/>
          <w:szCs w:val="22"/>
        </w:rPr>
        <w:t xml:space="preserve"> </w:t>
      </w:r>
      <w:r>
        <w:rPr>
          <w:rFonts w:ascii="Calibri" w:hAnsi="Calibri" w:cs="Calibri"/>
          <w:sz w:val="22"/>
          <w:szCs w:val="22"/>
        </w:rPr>
        <w:t>the</w:t>
      </w:r>
      <w:r>
        <w:rPr>
          <w:rFonts w:ascii="Calibri" w:hAnsi="Calibri" w:cs="Calibri"/>
          <w:spacing w:val="-9"/>
          <w:sz w:val="22"/>
          <w:szCs w:val="22"/>
        </w:rPr>
        <w:t xml:space="preserve"> </w:t>
      </w:r>
      <w:r>
        <w:rPr>
          <w:rFonts w:ascii="Calibri" w:hAnsi="Calibri" w:cs="Calibri"/>
          <w:sz w:val="22"/>
          <w:szCs w:val="22"/>
        </w:rPr>
        <w:t>CP</w:t>
      </w:r>
      <w:r>
        <w:rPr>
          <w:rFonts w:ascii="Calibri" w:hAnsi="Calibri" w:cs="Calibri"/>
          <w:spacing w:val="-9"/>
          <w:sz w:val="22"/>
          <w:szCs w:val="22"/>
        </w:rPr>
        <w:t xml:space="preserve"> </w:t>
      </w:r>
      <w:r>
        <w:rPr>
          <w:rFonts w:ascii="Calibri" w:hAnsi="Calibri" w:cs="Calibri"/>
          <w:sz w:val="22"/>
          <w:szCs w:val="22"/>
        </w:rPr>
        <w:t>will</w:t>
      </w:r>
      <w:r>
        <w:rPr>
          <w:rFonts w:ascii="Calibri" w:hAnsi="Calibri" w:cs="Calibri"/>
          <w:spacing w:val="-5"/>
          <w:sz w:val="22"/>
          <w:szCs w:val="22"/>
        </w:rPr>
        <w:t xml:space="preserve"> </w:t>
      </w:r>
      <w:r>
        <w:rPr>
          <w:rFonts w:ascii="Calibri" w:hAnsi="Calibri" w:cs="Calibri"/>
          <w:sz w:val="22"/>
          <w:szCs w:val="22"/>
        </w:rPr>
        <w:t>use.</w:t>
      </w:r>
    </w:p>
    <w:p w:rsidR="002C5025" w:rsidRDefault="002C5025">
      <w:pPr>
        <w:pStyle w:val="ListParagraph"/>
        <w:numPr>
          <w:ilvl w:val="0"/>
          <w:numId w:val="20"/>
        </w:numPr>
        <w:tabs>
          <w:tab w:val="left" w:pos="839"/>
        </w:tabs>
        <w:kinsoku w:val="0"/>
        <w:overflowPunct w:val="0"/>
        <w:spacing w:before="6"/>
        <w:ind w:left="838" w:hanging="360"/>
        <w:rPr>
          <w:rFonts w:ascii="Calibri" w:hAnsi="Calibri" w:cs="Calibri"/>
          <w:sz w:val="22"/>
          <w:szCs w:val="22"/>
        </w:rPr>
      </w:pPr>
      <w:r>
        <w:rPr>
          <w:rFonts w:ascii="Calibri" w:hAnsi="Calibri" w:cs="Calibri"/>
          <w:sz w:val="22"/>
          <w:szCs w:val="22"/>
        </w:rPr>
        <w:t>A</w:t>
      </w:r>
      <w:r>
        <w:rPr>
          <w:rFonts w:ascii="Calibri" w:hAnsi="Calibri" w:cs="Calibri"/>
          <w:spacing w:val="-7"/>
          <w:sz w:val="22"/>
          <w:szCs w:val="22"/>
        </w:rPr>
        <w:t xml:space="preserve"> </w:t>
      </w:r>
      <w:r>
        <w:rPr>
          <w:rFonts w:ascii="Calibri" w:hAnsi="Calibri" w:cs="Calibri"/>
          <w:sz w:val="22"/>
          <w:szCs w:val="22"/>
        </w:rPr>
        <w:t>signed</w:t>
      </w:r>
      <w:r>
        <w:rPr>
          <w:rFonts w:ascii="Calibri" w:hAnsi="Calibri" w:cs="Calibri"/>
          <w:spacing w:val="-10"/>
          <w:sz w:val="22"/>
          <w:szCs w:val="22"/>
        </w:rPr>
        <w:t xml:space="preserve"> </w:t>
      </w:r>
      <w:r>
        <w:rPr>
          <w:rFonts w:ascii="Calibri" w:hAnsi="Calibri" w:cs="Calibri"/>
          <w:sz w:val="22"/>
          <w:szCs w:val="22"/>
        </w:rPr>
        <w:t>assurance</w:t>
      </w:r>
      <w:r>
        <w:rPr>
          <w:rFonts w:ascii="Calibri" w:hAnsi="Calibri" w:cs="Calibri"/>
          <w:spacing w:val="-9"/>
          <w:sz w:val="22"/>
          <w:szCs w:val="22"/>
        </w:rPr>
        <w:t xml:space="preserve"> </w:t>
      </w:r>
      <w:r>
        <w:rPr>
          <w:rFonts w:ascii="Calibri" w:hAnsi="Calibri" w:cs="Calibri"/>
          <w:sz w:val="22"/>
          <w:szCs w:val="22"/>
        </w:rPr>
        <w:t>from</w:t>
      </w:r>
      <w:r>
        <w:rPr>
          <w:rFonts w:ascii="Calibri" w:hAnsi="Calibri" w:cs="Calibri"/>
          <w:spacing w:val="-8"/>
          <w:sz w:val="22"/>
          <w:szCs w:val="22"/>
        </w:rPr>
        <w:t xml:space="preserve"> </w:t>
      </w:r>
      <w:r>
        <w:rPr>
          <w:rFonts w:ascii="Calibri" w:hAnsi="Calibri" w:cs="Calibri"/>
          <w:sz w:val="22"/>
          <w:szCs w:val="22"/>
        </w:rPr>
        <w:t>each</w:t>
      </w:r>
      <w:r>
        <w:rPr>
          <w:rFonts w:ascii="Calibri" w:hAnsi="Calibri" w:cs="Calibri"/>
          <w:spacing w:val="-10"/>
          <w:sz w:val="22"/>
          <w:szCs w:val="22"/>
        </w:rPr>
        <w:t xml:space="preserve"> </w:t>
      </w:r>
      <w:r>
        <w:rPr>
          <w:rFonts w:ascii="Calibri" w:hAnsi="Calibri" w:cs="Calibri"/>
          <w:sz w:val="22"/>
          <w:szCs w:val="22"/>
        </w:rPr>
        <w:t>member</w:t>
      </w:r>
      <w:r>
        <w:rPr>
          <w:rFonts w:ascii="Calibri" w:hAnsi="Calibri" w:cs="Calibri"/>
          <w:spacing w:val="-9"/>
          <w:sz w:val="22"/>
          <w:szCs w:val="22"/>
        </w:rPr>
        <w:t xml:space="preserve"> </w:t>
      </w:r>
      <w:r>
        <w:rPr>
          <w:rFonts w:ascii="Calibri" w:hAnsi="Calibri" w:cs="Calibri"/>
          <w:sz w:val="22"/>
          <w:szCs w:val="22"/>
        </w:rPr>
        <w:t>that</w:t>
      </w:r>
      <w:r>
        <w:rPr>
          <w:rFonts w:ascii="Calibri" w:hAnsi="Calibri" w:cs="Calibri"/>
          <w:spacing w:val="-11"/>
          <w:sz w:val="22"/>
          <w:szCs w:val="22"/>
        </w:rPr>
        <w:t xml:space="preserve"> </w:t>
      </w:r>
      <w:r>
        <w:rPr>
          <w:rFonts w:ascii="Calibri" w:hAnsi="Calibri" w:cs="Calibri"/>
          <w:sz w:val="22"/>
          <w:szCs w:val="22"/>
        </w:rPr>
        <w:t>s/he</w:t>
      </w:r>
      <w:r>
        <w:rPr>
          <w:rFonts w:ascii="Calibri" w:hAnsi="Calibri" w:cs="Calibri"/>
          <w:spacing w:val="-9"/>
          <w:sz w:val="22"/>
          <w:szCs w:val="22"/>
        </w:rPr>
        <w:t xml:space="preserve"> </w:t>
      </w:r>
      <w:r>
        <w:rPr>
          <w:rFonts w:ascii="Calibri" w:hAnsi="Calibri" w:cs="Calibri"/>
          <w:sz w:val="22"/>
          <w:szCs w:val="22"/>
        </w:rPr>
        <w:t>received</w:t>
      </w:r>
      <w:r>
        <w:rPr>
          <w:rFonts w:ascii="Calibri" w:hAnsi="Calibri" w:cs="Calibri"/>
          <w:spacing w:val="-8"/>
          <w:sz w:val="22"/>
          <w:szCs w:val="22"/>
        </w:rPr>
        <w:t xml:space="preserve"> </w:t>
      </w:r>
      <w:r>
        <w:rPr>
          <w:rFonts w:ascii="Calibri" w:hAnsi="Calibri" w:cs="Calibri"/>
          <w:sz w:val="22"/>
          <w:szCs w:val="22"/>
        </w:rPr>
        <w:t>and</w:t>
      </w:r>
      <w:r>
        <w:rPr>
          <w:rFonts w:ascii="Calibri" w:hAnsi="Calibri" w:cs="Calibri"/>
          <w:spacing w:val="-10"/>
          <w:sz w:val="22"/>
          <w:szCs w:val="22"/>
        </w:rPr>
        <w:t xml:space="preserve"> </w:t>
      </w:r>
      <w:r>
        <w:rPr>
          <w:rFonts w:ascii="Calibri" w:hAnsi="Calibri" w:cs="Calibri"/>
          <w:sz w:val="22"/>
          <w:szCs w:val="22"/>
        </w:rPr>
        <w:t>understood</w:t>
      </w:r>
      <w:r>
        <w:rPr>
          <w:rFonts w:ascii="Calibri" w:hAnsi="Calibri" w:cs="Calibri"/>
          <w:spacing w:val="-10"/>
          <w:sz w:val="22"/>
          <w:szCs w:val="22"/>
        </w:rPr>
        <w:t xml:space="preserve"> </w:t>
      </w:r>
      <w:r>
        <w:rPr>
          <w:rFonts w:ascii="Calibri" w:hAnsi="Calibri" w:cs="Calibri"/>
          <w:sz w:val="22"/>
          <w:szCs w:val="22"/>
        </w:rPr>
        <w:t>such</w:t>
      </w:r>
      <w:r>
        <w:rPr>
          <w:rFonts w:ascii="Calibri" w:hAnsi="Calibri" w:cs="Calibri"/>
          <w:spacing w:val="-10"/>
          <w:sz w:val="22"/>
          <w:szCs w:val="22"/>
        </w:rPr>
        <w:t xml:space="preserve"> </w:t>
      </w:r>
      <w:r>
        <w:rPr>
          <w:rFonts w:ascii="Calibri" w:hAnsi="Calibri" w:cs="Calibri"/>
          <w:sz w:val="22"/>
          <w:szCs w:val="22"/>
        </w:rPr>
        <w:t>notices.</w:t>
      </w:r>
    </w:p>
    <w:p w:rsidR="002C5025" w:rsidRDefault="002C5025">
      <w:pPr>
        <w:pStyle w:val="ListParagraph"/>
        <w:numPr>
          <w:ilvl w:val="0"/>
          <w:numId w:val="20"/>
        </w:numPr>
        <w:tabs>
          <w:tab w:val="left" w:pos="839"/>
        </w:tabs>
        <w:kinsoku w:val="0"/>
        <w:overflowPunct w:val="0"/>
        <w:spacing w:before="6"/>
        <w:ind w:left="838" w:hanging="360"/>
        <w:rPr>
          <w:rFonts w:ascii="Calibri" w:hAnsi="Calibri" w:cs="Calibri"/>
          <w:sz w:val="22"/>
          <w:szCs w:val="22"/>
        </w:rPr>
        <w:sectPr w:rsidR="002C5025">
          <w:pgSz w:w="12240" w:h="15840"/>
          <w:pgMar w:top="1500" w:right="1700" w:bottom="280" w:left="1680" w:header="720" w:footer="720" w:gutter="0"/>
          <w:cols w:space="720" w:equalWidth="0">
            <w:col w:w="8860"/>
          </w:cols>
          <w:noEndnote/>
        </w:sect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rPr>
          <w:sz w:val="20"/>
          <w:szCs w:val="20"/>
        </w:rPr>
      </w:pPr>
    </w:p>
    <w:p w:rsidR="002C5025" w:rsidRDefault="002C5025">
      <w:pPr>
        <w:pStyle w:val="BodyText"/>
        <w:kinsoku w:val="0"/>
        <w:overflowPunct w:val="0"/>
        <w:spacing w:before="9"/>
        <w:rPr>
          <w:sz w:val="20"/>
          <w:szCs w:val="20"/>
        </w:rPr>
      </w:pPr>
    </w:p>
    <w:p w:rsidR="002C5025" w:rsidRDefault="002C5025">
      <w:pPr>
        <w:pStyle w:val="ListParagraph"/>
        <w:numPr>
          <w:ilvl w:val="0"/>
          <w:numId w:val="20"/>
        </w:numPr>
        <w:tabs>
          <w:tab w:val="left" w:pos="841"/>
        </w:tabs>
        <w:kinsoku w:val="0"/>
        <w:overflowPunct w:val="0"/>
        <w:spacing w:before="60"/>
        <w:ind w:left="840" w:right="105" w:hanging="360"/>
        <w:jc w:val="both"/>
        <w:rPr>
          <w:rFonts w:ascii="Calibri" w:hAnsi="Calibri" w:cs="Calibri"/>
          <w:sz w:val="22"/>
          <w:szCs w:val="22"/>
        </w:rPr>
      </w:pPr>
      <w:r>
        <w:rPr>
          <w:rFonts w:ascii="Calibri" w:hAnsi="Calibri" w:cs="Calibri"/>
          <w:sz w:val="22"/>
          <w:szCs w:val="22"/>
        </w:rPr>
        <w:t xml:space="preserve">The obligation for </w:t>
      </w:r>
      <w:r>
        <w:rPr>
          <w:rFonts w:ascii="Calibri" w:hAnsi="Calibri" w:cs="Calibri"/>
          <w:spacing w:val="-2"/>
          <w:sz w:val="22"/>
          <w:szCs w:val="22"/>
        </w:rPr>
        <w:t xml:space="preserve">the </w:t>
      </w:r>
      <w:r>
        <w:rPr>
          <w:rFonts w:ascii="Calibri" w:hAnsi="Calibri" w:cs="Calibri"/>
          <w:sz w:val="22"/>
          <w:szCs w:val="22"/>
        </w:rPr>
        <w:t xml:space="preserve">CP to document that a member was provided with choices and </w:t>
      </w:r>
      <w:r>
        <w:rPr>
          <w:rFonts w:ascii="Calibri" w:hAnsi="Calibri" w:cs="Calibri"/>
          <w:spacing w:val="-4"/>
          <w:sz w:val="22"/>
          <w:szCs w:val="22"/>
        </w:rPr>
        <w:t xml:space="preserve">the </w:t>
      </w:r>
      <w:r>
        <w:rPr>
          <w:rFonts w:ascii="Calibri" w:hAnsi="Calibri" w:cs="Calibri"/>
          <w:sz w:val="22"/>
          <w:szCs w:val="22"/>
        </w:rPr>
        <w:t>systematic storage of such documentation in a manner that enables to State to easily and systematically</w:t>
      </w:r>
      <w:r>
        <w:rPr>
          <w:rFonts w:ascii="Calibri" w:hAnsi="Calibri" w:cs="Calibri"/>
          <w:spacing w:val="-11"/>
          <w:sz w:val="22"/>
          <w:szCs w:val="22"/>
        </w:rPr>
        <w:t xml:space="preserve"> </w:t>
      </w:r>
      <w:r>
        <w:rPr>
          <w:rFonts w:ascii="Calibri" w:hAnsi="Calibri" w:cs="Calibri"/>
          <w:sz w:val="22"/>
          <w:szCs w:val="22"/>
        </w:rPr>
        <w:t>retrieve</w:t>
      </w:r>
      <w:r>
        <w:rPr>
          <w:rFonts w:ascii="Calibri" w:hAnsi="Calibri" w:cs="Calibri"/>
          <w:spacing w:val="-7"/>
          <w:sz w:val="22"/>
          <w:szCs w:val="22"/>
        </w:rPr>
        <w:t xml:space="preserve"> </w:t>
      </w:r>
      <w:r>
        <w:rPr>
          <w:rFonts w:ascii="Calibri" w:hAnsi="Calibri" w:cs="Calibri"/>
          <w:sz w:val="22"/>
          <w:szCs w:val="22"/>
        </w:rPr>
        <w:t>the</w:t>
      </w:r>
      <w:r>
        <w:rPr>
          <w:rFonts w:ascii="Calibri" w:hAnsi="Calibri" w:cs="Calibri"/>
          <w:spacing w:val="-12"/>
          <w:sz w:val="22"/>
          <w:szCs w:val="22"/>
        </w:rPr>
        <w:t xml:space="preserve"> </w:t>
      </w:r>
      <w:r>
        <w:rPr>
          <w:rFonts w:ascii="Calibri" w:hAnsi="Calibri" w:cs="Calibri"/>
          <w:sz w:val="22"/>
          <w:szCs w:val="22"/>
        </w:rPr>
        <w:t>information</w:t>
      </w:r>
      <w:r>
        <w:rPr>
          <w:rFonts w:ascii="Calibri" w:hAnsi="Calibri" w:cs="Calibri"/>
          <w:spacing w:val="-11"/>
          <w:sz w:val="22"/>
          <w:szCs w:val="22"/>
        </w:rPr>
        <w:t xml:space="preserve"> </w:t>
      </w:r>
      <w:r>
        <w:rPr>
          <w:rFonts w:ascii="Calibri" w:hAnsi="Calibri" w:cs="Calibri"/>
          <w:spacing w:val="-2"/>
          <w:sz w:val="22"/>
          <w:szCs w:val="22"/>
        </w:rPr>
        <w:t>necessary</w:t>
      </w:r>
      <w:r>
        <w:rPr>
          <w:rFonts w:ascii="Calibri" w:hAnsi="Calibri" w:cs="Calibri"/>
          <w:spacing w:val="-9"/>
          <w:sz w:val="22"/>
          <w:szCs w:val="22"/>
        </w:rPr>
        <w:t xml:space="preserve"> </w:t>
      </w:r>
      <w:r>
        <w:rPr>
          <w:rFonts w:ascii="Calibri" w:hAnsi="Calibri" w:cs="Calibri"/>
          <w:sz w:val="22"/>
          <w:szCs w:val="22"/>
        </w:rPr>
        <w:t>to</w:t>
      </w:r>
      <w:r>
        <w:rPr>
          <w:rFonts w:ascii="Calibri" w:hAnsi="Calibri" w:cs="Calibri"/>
          <w:spacing w:val="-11"/>
          <w:sz w:val="22"/>
          <w:szCs w:val="22"/>
        </w:rPr>
        <w:t xml:space="preserve"> </w:t>
      </w:r>
      <w:r>
        <w:rPr>
          <w:rFonts w:ascii="Calibri" w:hAnsi="Calibri" w:cs="Calibri"/>
          <w:sz w:val="22"/>
          <w:szCs w:val="22"/>
        </w:rPr>
        <w:t>monitor</w:t>
      </w:r>
      <w:r>
        <w:rPr>
          <w:rFonts w:ascii="Calibri" w:hAnsi="Calibri" w:cs="Calibri"/>
          <w:spacing w:val="-12"/>
          <w:sz w:val="22"/>
          <w:szCs w:val="22"/>
        </w:rPr>
        <w:t xml:space="preserve"> </w:t>
      </w:r>
      <w:r>
        <w:rPr>
          <w:rFonts w:ascii="Calibri" w:hAnsi="Calibri" w:cs="Calibri"/>
          <w:sz w:val="22"/>
          <w:szCs w:val="22"/>
        </w:rPr>
        <w:t>such</w:t>
      </w:r>
      <w:r>
        <w:rPr>
          <w:rFonts w:ascii="Calibri" w:hAnsi="Calibri" w:cs="Calibri"/>
          <w:spacing w:val="-11"/>
          <w:sz w:val="22"/>
          <w:szCs w:val="22"/>
        </w:rPr>
        <w:t xml:space="preserve"> </w:t>
      </w:r>
      <w:r>
        <w:rPr>
          <w:rFonts w:ascii="Calibri" w:hAnsi="Calibri" w:cs="Calibri"/>
          <w:sz w:val="22"/>
          <w:szCs w:val="22"/>
        </w:rPr>
        <w:t>activity.</w:t>
      </w:r>
    </w:p>
    <w:p w:rsidR="002C5025" w:rsidRDefault="002C5025">
      <w:pPr>
        <w:pStyle w:val="ListParagraph"/>
        <w:numPr>
          <w:ilvl w:val="0"/>
          <w:numId w:val="20"/>
        </w:numPr>
        <w:tabs>
          <w:tab w:val="left" w:pos="842"/>
        </w:tabs>
        <w:kinsoku w:val="0"/>
        <w:overflowPunct w:val="0"/>
        <w:ind w:left="840" w:right="288" w:hanging="359"/>
        <w:rPr>
          <w:rFonts w:ascii="Calibri" w:hAnsi="Calibri" w:cs="Calibri"/>
          <w:sz w:val="22"/>
          <w:szCs w:val="22"/>
        </w:rPr>
      </w:pPr>
      <w:r>
        <w:rPr>
          <w:rFonts w:ascii="Calibri" w:hAnsi="Calibri" w:cs="Calibri"/>
          <w:sz w:val="22"/>
          <w:szCs w:val="22"/>
        </w:rPr>
        <w:t>Regular</w:t>
      </w:r>
      <w:r>
        <w:rPr>
          <w:rFonts w:ascii="Calibri" w:hAnsi="Calibri" w:cs="Calibri"/>
          <w:spacing w:val="-7"/>
          <w:sz w:val="22"/>
          <w:szCs w:val="22"/>
        </w:rPr>
        <w:t xml:space="preserve"> </w:t>
      </w:r>
      <w:r>
        <w:rPr>
          <w:rFonts w:ascii="Calibri" w:hAnsi="Calibri" w:cs="Calibri"/>
          <w:sz w:val="22"/>
          <w:szCs w:val="22"/>
        </w:rPr>
        <w:t>reporting</w:t>
      </w:r>
      <w:r>
        <w:rPr>
          <w:rFonts w:ascii="Calibri" w:hAnsi="Calibri" w:cs="Calibri"/>
          <w:spacing w:val="-8"/>
          <w:sz w:val="22"/>
          <w:szCs w:val="22"/>
        </w:rPr>
        <w:t xml:space="preserve"> </w:t>
      </w:r>
      <w:r>
        <w:rPr>
          <w:rFonts w:ascii="Calibri" w:hAnsi="Calibri" w:cs="Calibri"/>
          <w:sz w:val="22"/>
          <w:szCs w:val="22"/>
        </w:rPr>
        <w:t>by</w:t>
      </w:r>
      <w:r>
        <w:rPr>
          <w:rFonts w:ascii="Calibri" w:hAnsi="Calibri" w:cs="Calibri"/>
          <w:spacing w:val="-6"/>
          <w:sz w:val="22"/>
          <w:szCs w:val="22"/>
        </w:rPr>
        <w:t xml:space="preserve"> </w:t>
      </w:r>
      <w:r>
        <w:rPr>
          <w:rFonts w:ascii="Calibri" w:hAnsi="Calibri" w:cs="Calibri"/>
          <w:sz w:val="22"/>
          <w:szCs w:val="22"/>
        </w:rPr>
        <w:t>CPs</w:t>
      </w:r>
      <w:r>
        <w:rPr>
          <w:rFonts w:ascii="Calibri" w:hAnsi="Calibri" w:cs="Calibri"/>
          <w:spacing w:val="-12"/>
          <w:sz w:val="22"/>
          <w:szCs w:val="22"/>
        </w:rPr>
        <w:t xml:space="preserve"> </w:t>
      </w:r>
      <w:r>
        <w:rPr>
          <w:rFonts w:ascii="Calibri" w:hAnsi="Calibri" w:cs="Calibri"/>
          <w:sz w:val="22"/>
          <w:szCs w:val="22"/>
        </w:rPr>
        <w:t>on</w:t>
      </w:r>
      <w:r>
        <w:rPr>
          <w:rFonts w:ascii="Calibri" w:hAnsi="Calibri" w:cs="Calibri"/>
          <w:spacing w:val="-8"/>
          <w:sz w:val="22"/>
          <w:szCs w:val="22"/>
        </w:rPr>
        <w:t xml:space="preserve"> </w:t>
      </w:r>
      <w:r>
        <w:rPr>
          <w:rFonts w:ascii="Calibri" w:hAnsi="Calibri" w:cs="Calibri"/>
          <w:sz w:val="22"/>
          <w:szCs w:val="22"/>
        </w:rPr>
        <w:t>the</w:t>
      </w:r>
      <w:r>
        <w:rPr>
          <w:rFonts w:ascii="Calibri" w:hAnsi="Calibri" w:cs="Calibri"/>
          <w:spacing w:val="-7"/>
          <w:sz w:val="22"/>
          <w:szCs w:val="22"/>
        </w:rPr>
        <w:t xml:space="preserve"> </w:t>
      </w:r>
      <w:r>
        <w:rPr>
          <w:rFonts w:ascii="Calibri" w:hAnsi="Calibri" w:cs="Calibri"/>
          <w:sz w:val="22"/>
          <w:szCs w:val="22"/>
        </w:rPr>
        <w:t>number</w:t>
      </w:r>
      <w:r>
        <w:rPr>
          <w:rFonts w:ascii="Calibri" w:hAnsi="Calibri" w:cs="Calibri"/>
          <w:spacing w:val="-10"/>
          <w:sz w:val="22"/>
          <w:szCs w:val="22"/>
        </w:rPr>
        <w:t xml:space="preserve"> </w:t>
      </w:r>
      <w:r>
        <w:rPr>
          <w:rFonts w:ascii="Calibri" w:hAnsi="Calibri" w:cs="Calibri"/>
          <w:sz w:val="22"/>
          <w:szCs w:val="22"/>
        </w:rPr>
        <w:t>of</w:t>
      </w:r>
      <w:r>
        <w:rPr>
          <w:rFonts w:ascii="Calibri" w:hAnsi="Calibri" w:cs="Calibri"/>
          <w:spacing w:val="-5"/>
          <w:sz w:val="22"/>
          <w:szCs w:val="22"/>
        </w:rPr>
        <w:t xml:space="preserve"> </w:t>
      </w:r>
      <w:r>
        <w:rPr>
          <w:rFonts w:ascii="Calibri" w:hAnsi="Calibri" w:cs="Calibri"/>
          <w:sz w:val="22"/>
          <w:szCs w:val="22"/>
        </w:rPr>
        <w:t>instances</w:t>
      </w:r>
      <w:r>
        <w:rPr>
          <w:rFonts w:ascii="Calibri" w:hAnsi="Calibri" w:cs="Calibri"/>
          <w:spacing w:val="-5"/>
          <w:sz w:val="22"/>
          <w:szCs w:val="22"/>
        </w:rPr>
        <w:t xml:space="preserve"> </w:t>
      </w:r>
      <w:r>
        <w:rPr>
          <w:rFonts w:ascii="Calibri" w:hAnsi="Calibri" w:cs="Calibri"/>
          <w:sz w:val="22"/>
          <w:szCs w:val="22"/>
        </w:rPr>
        <w:t>in</w:t>
      </w:r>
      <w:r>
        <w:rPr>
          <w:rFonts w:ascii="Calibri" w:hAnsi="Calibri" w:cs="Calibri"/>
          <w:spacing w:val="-10"/>
          <w:sz w:val="22"/>
          <w:szCs w:val="22"/>
        </w:rPr>
        <w:t xml:space="preserve"> </w:t>
      </w:r>
      <w:r>
        <w:rPr>
          <w:rFonts w:ascii="Calibri" w:hAnsi="Calibri" w:cs="Calibri"/>
          <w:sz w:val="22"/>
          <w:szCs w:val="22"/>
        </w:rPr>
        <w:t>which</w:t>
      </w:r>
      <w:r>
        <w:rPr>
          <w:rFonts w:ascii="Calibri" w:hAnsi="Calibri" w:cs="Calibri"/>
          <w:spacing w:val="-10"/>
          <w:sz w:val="22"/>
          <w:szCs w:val="22"/>
        </w:rPr>
        <w:t xml:space="preserve"> </w:t>
      </w:r>
      <w:r>
        <w:rPr>
          <w:rFonts w:ascii="Calibri" w:hAnsi="Calibri" w:cs="Calibri"/>
          <w:sz w:val="22"/>
          <w:szCs w:val="22"/>
        </w:rPr>
        <w:t>members</w:t>
      </w:r>
      <w:r>
        <w:rPr>
          <w:rFonts w:ascii="Calibri" w:hAnsi="Calibri" w:cs="Calibri"/>
          <w:spacing w:val="-9"/>
          <w:sz w:val="22"/>
          <w:szCs w:val="22"/>
        </w:rPr>
        <w:t xml:space="preserve"> </w:t>
      </w:r>
      <w:r>
        <w:rPr>
          <w:rFonts w:ascii="Calibri" w:hAnsi="Calibri" w:cs="Calibri"/>
          <w:sz w:val="22"/>
          <w:szCs w:val="22"/>
        </w:rPr>
        <w:t>chose</w:t>
      </w:r>
      <w:r>
        <w:rPr>
          <w:rFonts w:ascii="Calibri" w:hAnsi="Calibri" w:cs="Calibri"/>
          <w:spacing w:val="-5"/>
          <w:sz w:val="22"/>
          <w:szCs w:val="22"/>
        </w:rPr>
        <w:t xml:space="preserve"> </w:t>
      </w:r>
      <w:r>
        <w:rPr>
          <w:rFonts w:ascii="Calibri" w:hAnsi="Calibri" w:cs="Calibri"/>
          <w:sz w:val="22"/>
          <w:szCs w:val="22"/>
        </w:rPr>
        <w:t>to</w:t>
      </w:r>
      <w:r>
        <w:rPr>
          <w:rFonts w:ascii="Calibri" w:hAnsi="Calibri" w:cs="Calibri"/>
          <w:spacing w:val="-9"/>
          <w:sz w:val="22"/>
          <w:szCs w:val="22"/>
        </w:rPr>
        <w:t xml:space="preserve"> </w:t>
      </w:r>
      <w:r>
        <w:rPr>
          <w:rFonts w:ascii="Calibri" w:hAnsi="Calibri" w:cs="Calibri"/>
          <w:sz w:val="22"/>
          <w:szCs w:val="22"/>
        </w:rPr>
        <w:t xml:space="preserve">receive services </w:t>
      </w:r>
      <w:r>
        <w:rPr>
          <w:rFonts w:ascii="Calibri" w:hAnsi="Calibri" w:cs="Calibri"/>
          <w:spacing w:val="-3"/>
          <w:sz w:val="22"/>
          <w:szCs w:val="22"/>
        </w:rPr>
        <w:t xml:space="preserve">from </w:t>
      </w:r>
      <w:r>
        <w:rPr>
          <w:rFonts w:ascii="Calibri" w:hAnsi="Calibri" w:cs="Calibri"/>
          <w:spacing w:val="-2"/>
          <w:sz w:val="22"/>
          <w:szCs w:val="22"/>
        </w:rPr>
        <w:t xml:space="preserve">the </w:t>
      </w:r>
      <w:r>
        <w:rPr>
          <w:rFonts w:ascii="Calibri" w:hAnsi="Calibri" w:cs="Calibri"/>
          <w:sz w:val="22"/>
          <w:szCs w:val="22"/>
        </w:rPr>
        <w:t>CP’s LTSS provider organization and from unrelated provider organizations.</w:t>
      </w:r>
    </w:p>
    <w:p w:rsidR="002C5025" w:rsidRDefault="002C5025">
      <w:pPr>
        <w:pStyle w:val="BodyText"/>
        <w:kinsoku w:val="0"/>
        <w:overflowPunct w:val="0"/>
        <w:spacing w:before="10"/>
        <w:rPr>
          <w:sz w:val="21"/>
          <w:szCs w:val="21"/>
        </w:rPr>
      </w:pPr>
    </w:p>
    <w:p w:rsidR="002C5025" w:rsidRDefault="002C5025">
      <w:pPr>
        <w:pStyle w:val="BodyText"/>
        <w:kinsoku w:val="0"/>
        <w:overflowPunct w:val="0"/>
        <w:ind w:left="119" w:right="341"/>
      </w:pPr>
      <w:r>
        <w:t xml:space="preserve">Thank you again for </w:t>
      </w:r>
      <w:r>
        <w:rPr>
          <w:spacing w:val="-2"/>
        </w:rPr>
        <w:t xml:space="preserve">the </w:t>
      </w:r>
      <w:r>
        <w:t>opportunity to provide these comments. We hope that our feedback is helpful and look forward to continuing our support of EOHHS’ goals for MassHealth reform.</w:t>
      </w:r>
    </w:p>
    <w:p w:rsidR="002C5025" w:rsidRDefault="002C5025">
      <w:pPr>
        <w:pStyle w:val="BodyText"/>
        <w:kinsoku w:val="0"/>
        <w:overflowPunct w:val="0"/>
      </w:pPr>
    </w:p>
    <w:p w:rsidR="002C5025" w:rsidRDefault="002C5025">
      <w:pPr>
        <w:pStyle w:val="BodyText"/>
        <w:kinsoku w:val="0"/>
        <w:overflowPunct w:val="0"/>
        <w:ind w:left="119" w:right="151"/>
      </w:pPr>
      <w:r>
        <w:t>Sincerely,</w:t>
      </w:r>
    </w:p>
    <w:p w:rsidR="002C5025" w:rsidRDefault="00FB027C">
      <w:pPr>
        <w:pStyle w:val="BodyText"/>
        <w:kinsoku w:val="0"/>
        <w:overflowPunct w:val="0"/>
        <w:spacing w:before="4"/>
        <w:rPr>
          <w:sz w:val="19"/>
          <w:szCs w:val="19"/>
        </w:rPr>
      </w:pPr>
      <w:r>
        <w:rPr>
          <w:noProof/>
        </w:rPr>
        <mc:AlternateContent>
          <mc:Choice Requires="wps">
            <w:drawing>
              <wp:anchor distT="0" distB="0" distL="0" distR="0" simplePos="0" relativeHeight="251813376" behindDoc="0" locked="0" layoutInCell="0" allowOverlap="1">
                <wp:simplePos x="0" y="0"/>
                <wp:positionH relativeFrom="page">
                  <wp:posOffset>1143000</wp:posOffset>
                </wp:positionH>
                <wp:positionV relativeFrom="paragraph">
                  <wp:posOffset>174625</wp:posOffset>
                </wp:positionV>
                <wp:extent cx="2349500" cy="825500"/>
                <wp:effectExtent l="0" t="0" r="0" b="0"/>
                <wp:wrapTopAndBottom/>
                <wp:docPr id="271" name="Rectangle 8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9500" cy="825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1300" w:lineRule="atLeast"/>
                            </w:pPr>
                            <w:r>
                              <w:rPr>
                                <w:noProof/>
                              </w:rPr>
                              <w:drawing>
                                <wp:inline distT="0" distB="0" distL="0" distR="0">
                                  <wp:extent cx="2352675" cy="828675"/>
                                  <wp:effectExtent l="0" t="0" r="9525" b="9525"/>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584">
                                            <a:extLst>
                                              <a:ext uri="{28A0092B-C50C-407E-A947-70E740481C1C}">
                                                <a14:useLocalDpi xmlns:a14="http://schemas.microsoft.com/office/drawing/2010/main" val="0"/>
                                              </a:ext>
                                            </a:extLst>
                                          </a:blip>
                                          <a:srcRect/>
                                          <a:stretch>
                                            <a:fillRect/>
                                          </a:stretch>
                                        </pic:blipFill>
                                        <pic:spPr bwMode="auto">
                                          <a:xfrm>
                                            <a:off x="0" y="0"/>
                                            <a:ext cx="2352675" cy="828675"/>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0" o:spid="_x0000_s1285" style="position:absolute;margin-left:90pt;margin-top:13.75pt;width:185pt;height:65pt;z-index:251813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" o:allowincell="f" filled="f" stroked="f">
                <v:textbox inset="0,0,0,0">
                  <w:txbxContent>
                    <w:p w:rsidR="007B2B7B" w:rsidRDefault="007B2B7B">
                      <w:pPr>
                        <w:widowControl/>
                        <w:autoSpaceDE/>
                        <w:autoSpaceDN/>
                        <w:adjustRightInd/>
                        <w:spacing w:line="1300" w:lineRule="atLeast"/>
                      </w:pPr>
                      <w:r>
                        <w:rPr>
                          <w:noProof/>
                        </w:rPr>
                        <w:drawing>
                          <wp:inline distT="0" distB="0" distL="0" distR="0">
                            <wp:extent cx="2352675" cy="828675"/>
                            <wp:effectExtent l="0" t="0" r="9525" b="9525"/>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585">
                                      <a:extLst>
                                        <a:ext uri="{28A0092B-C50C-407E-A947-70E740481C1C}">
                                          <a14:useLocalDpi xmlns:a14="http://schemas.microsoft.com/office/drawing/2010/main" val="0"/>
                                        </a:ext>
                                      </a:extLst>
                                    </a:blip>
                                    <a:srcRect/>
                                    <a:stretch>
                                      <a:fillRect/>
                                    </a:stretch>
                                  </pic:blipFill>
                                  <pic:spPr bwMode="auto">
                                    <a:xfrm>
                                      <a:off x="0" y="0"/>
                                      <a:ext cx="2352675" cy="828675"/>
                                    </a:xfrm>
                                    <a:prstGeom prst="rect">
                                      <a:avLst/>
                                    </a:prstGeom>
                                    <a:noFill/>
                                    <a:ln>
                                      <a:noFill/>
                                    </a:ln>
                                  </pic:spPr>
                                </pic:pic>
                              </a:graphicData>
                            </a:graphic>
                          </wp:inline>
                        </w:drawing>
                      </w:r>
                    </w:p>
                    <w:p w:rsidR="007B2B7B" w:rsidRDefault="007B2B7B"/>
                  </w:txbxContent>
                </v:textbox>
                <w10:wrap type="topAndBottom" anchorx="page"/>
              </v:rect>
            </w:pict>
          </mc:Fallback>
        </mc:AlternateContent>
      </w:r>
    </w:p>
    <w:p w:rsidR="002C5025" w:rsidRDefault="002C5025">
      <w:pPr>
        <w:pStyle w:val="BodyText"/>
        <w:kinsoku w:val="0"/>
        <w:overflowPunct w:val="0"/>
        <w:spacing w:line="250" w:lineRule="exact"/>
        <w:ind w:left="120" w:right="151"/>
      </w:pPr>
      <w:r>
        <w:t>Thomas P. Riley</w:t>
      </w:r>
    </w:p>
    <w:p w:rsidR="002C5025" w:rsidRDefault="002C5025">
      <w:pPr>
        <w:pStyle w:val="BodyText"/>
        <w:kinsoku w:val="0"/>
        <w:overflowPunct w:val="0"/>
        <w:spacing w:line="268" w:lineRule="exact"/>
        <w:ind w:left="120" w:right="151"/>
      </w:pPr>
      <w:r>
        <w:t>Chief Executive Officer and President</w:t>
      </w:r>
    </w:p>
    <w:p w:rsidR="002C5025" w:rsidRDefault="002C5025">
      <w:pPr>
        <w:pStyle w:val="BodyText"/>
        <w:kinsoku w:val="0"/>
        <w:overflowPunct w:val="0"/>
        <w:spacing w:line="268" w:lineRule="exact"/>
        <w:ind w:left="120" w:right="151"/>
        <w:sectPr w:rsidR="002C5025">
          <w:pgSz w:w="12240" w:h="15840"/>
          <w:pgMar w:top="1500" w:right="1600" w:bottom="280" w:left="1680" w:header="720" w:footer="720" w:gutter="0"/>
          <w:cols w:space="720" w:equalWidth="0">
            <w:col w:w="8960"/>
          </w:cols>
          <w:noEndnote/>
        </w:sectPr>
      </w:pPr>
    </w:p>
    <w:p w:rsidR="002C5025" w:rsidRDefault="00FB027C">
      <w:pPr>
        <w:pStyle w:val="Heading1"/>
        <w:kinsoku w:val="0"/>
        <w:overflowPunct w:val="0"/>
        <w:ind w:left="1273" w:right="610"/>
        <w:rPr>
          <w:w w:val="75"/>
        </w:rPr>
      </w:pPr>
      <w:r>
        <w:rPr>
          <w:noProof/>
        </w:rPr>
        <w:lastRenderedPageBreak/>
        <mc:AlternateContent>
          <mc:Choice Requires="wps">
            <w:drawing>
              <wp:anchor distT="0" distB="0" distL="114300" distR="114300" simplePos="0" relativeHeight="251814400" behindDoc="0" locked="0" layoutInCell="0" allowOverlap="1">
                <wp:simplePos x="0" y="0"/>
                <wp:positionH relativeFrom="page">
                  <wp:posOffset>475615</wp:posOffset>
                </wp:positionH>
                <wp:positionV relativeFrom="paragraph">
                  <wp:posOffset>29845</wp:posOffset>
                </wp:positionV>
                <wp:extent cx="1041400" cy="1041400"/>
                <wp:effectExtent l="0" t="0" r="0" b="0"/>
                <wp:wrapNone/>
                <wp:docPr id="270" name="Rectangle 8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1400" cy="104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1640" w:lineRule="atLeast"/>
                            </w:pPr>
                            <w:r>
                              <w:rPr>
                                <w:noProof/>
                              </w:rPr>
                              <w:drawing>
                                <wp:inline distT="0" distB="0" distL="0" distR="0">
                                  <wp:extent cx="1038225" cy="1038225"/>
                                  <wp:effectExtent l="0" t="0" r="9525" b="9525"/>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586">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1" o:spid="_x0000_s1286" style="position:absolute;left:0;text-align:left;margin-left:37.45pt;margin-top:2.35pt;width:82pt;height:82pt;z-index:251814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" o:allowincell="f" filled="f" stroked="f">
                <v:textbox inset="0,0,0,0">
                  <w:txbxContent>
                    <w:p w:rsidR="007B2B7B" w:rsidRDefault="007B2B7B">
                      <w:pPr>
                        <w:widowControl/>
                        <w:autoSpaceDE/>
                        <w:autoSpaceDN/>
                        <w:adjustRightInd/>
                        <w:spacing w:line="1640" w:lineRule="atLeast"/>
                      </w:pPr>
                      <w:r>
                        <w:rPr>
                          <w:noProof/>
                        </w:rPr>
                        <w:drawing>
                          <wp:inline distT="0" distB="0" distL="0" distR="0">
                            <wp:extent cx="1038225" cy="1038225"/>
                            <wp:effectExtent l="0" t="0" r="9525" b="9525"/>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587">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inline>
                        </w:drawing>
                      </w:r>
                    </w:p>
                    <w:p w:rsidR="007B2B7B" w:rsidRDefault="007B2B7B"/>
                  </w:txbxContent>
                </v:textbox>
                <w10:wrap anchorx="page"/>
              </v:rect>
            </w:pict>
          </mc:Fallback>
        </mc:AlternateContent>
      </w:r>
      <w:bookmarkStart w:id="263" w:name="Sheriff_Koutoujian_1115_Comment"/>
      <w:bookmarkEnd w:id="263"/>
      <w:proofErr w:type="spellStart"/>
      <w:r w:rsidR="002C5025">
        <w:rPr>
          <w:w w:val="75"/>
        </w:rPr>
        <w:t>Zlrbe</w:t>
      </w:r>
      <w:proofErr w:type="spellEnd"/>
      <w:r w:rsidR="002C5025">
        <w:rPr>
          <w:spacing w:val="85"/>
          <w:w w:val="75"/>
        </w:rPr>
        <w:t xml:space="preserve"> </w:t>
      </w:r>
      <w:proofErr w:type="spellStart"/>
      <w:r w:rsidR="002C5025">
        <w:rPr>
          <w:w w:val="75"/>
        </w:rPr>
        <w:t>QCommontuealtb</w:t>
      </w:r>
      <w:proofErr w:type="spellEnd"/>
      <w:r w:rsidR="002C5025">
        <w:rPr>
          <w:w w:val="75"/>
        </w:rPr>
        <w:t xml:space="preserve"> </w:t>
      </w:r>
      <w:r w:rsidR="002C5025">
        <w:rPr>
          <w:spacing w:val="4"/>
          <w:w w:val="75"/>
        </w:rPr>
        <w:t>of</w:t>
      </w:r>
      <w:r w:rsidR="002C5025">
        <w:rPr>
          <w:spacing w:val="57"/>
          <w:w w:val="75"/>
        </w:rPr>
        <w:t xml:space="preserve"> </w:t>
      </w:r>
      <w:r w:rsidR="002C5025">
        <w:rPr>
          <w:w w:val="75"/>
        </w:rPr>
        <w:t>;</w:t>
      </w:r>
      <w:proofErr w:type="spellStart"/>
      <w:r w:rsidR="002C5025">
        <w:rPr>
          <w:w w:val="75"/>
        </w:rPr>
        <w:t>ffmassacbusetts</w:t>
      </w:r>
      <w:proofErr w:type="spellEnd"/>
    </w:p>
    <w:p w:rsidR="002C5025" w:rsidRDefault="002C5025">
      <w:pPr>
        <w:pStyle w:val="BodyText"/>
        <w:tabs>
          <w:tab w:val="left" w:pos="2921"/>
          <w:tab w:val="left" w:pos="4650"/>
        </w:tabs>
        <w:kinsoku w:val="0"/>
        <w:overflowPunct w:val="0"/>
        <w:spacing w:before="145"/>
        <w:ind w:left="574"/>
        <w:jc w:val="center"/>
        <w:rPr>
          <w:rFonts w:ascii="Arial" w:hAnsi="Arial" w:cs="Arial"/>
          <w:b/>
          <w:bCs/>
          <w:w w:val="85"/>
          <w:sz w:val="41"/>
          <w:szCs w:val="41"/>
        </w:rPr>
      </w:pPr>
      <w:r>
        <w:rPr>
          <w:rFonts w:ascii="Arial" w:hAnsi="Arial" w:cs="Arial"/>
          <w:b/>
          <w:bCs/>
          <w:w w:val="75"/>
          <w:sz w:val="41"/>
          <w:szCs w:val="41"/>
        </w:rPr>
        <w:t>;</w:t>
      </w:r>
      <w:proofErr w:type="spellStart"/>
      <w:r>
        <w:rPr>
          <w:rFonts w:ascii="Arial" w:hAnsi="Arial" w:cs="Arial"/>
          <w:b/>
          <w:bCs/>
          <w:w w:val="75"/>
          <w:sz w:val="41"/>
          <w:szCs w:val="41"/>
        </w:rPr>
        <w:t>ffmtbblesex</w:t>
      </w:r>
      <w:proofErr w:type="spellEnd"/>
      <w:r>
        <w:rPr>
          <w:rFonts w:ascii="Arial" w:hAnsi="Arial" w:cs="Arial"/>
          <w:b/>
          <w:bCs/>
          <w:w w:val="75"/>
          <w:sz w:val="41"/>
          <w:szCs w:val="41"/>
        </w:rPr>
        <w:tab/>
      </w:r>
      <w:proofErr w:type="spellStart"/>
      <w:r>
        <w:rPr>
          <w:rFonts w:ascii="Arial" w:hAnsi="Arial" w:cs="Arial"/>
          <w:b/>
          <w:bCs/>
          <w:spacing w:val="5"/>
          <w:w w:val="90"/>
          <w:sz w:val="41"/>
          <w:szCs w:val="41"/>
        </w:rPr>
        <w:t>bertff's</w:t>
      </w:r>
      <w:proofErr w:type="spellEnd"/>
      <w:r>
        <w:rPr>
          <w:rFonts w:ascii="Arial" w:hAnsi="Arial" w:cs="Arial"/>
          <w:b/>
          <w:bCs/>
          <w:spacing w:val="5"/>
          <w:w w:val="90"/>
          <w:sz w:val="41"/>
          <w:szCs w:val="41"/>
        </w:rPr>
        <w:tab/>
      </w:r>
      <w:proofErr w:type="spellStart"/>
      <w:r>
        <w:rPr>
          <w:rFonts w:ascii="Arial" w:hAnsi="Arial" w:cs="Arial"/>
          <w:b/>
          <w:bCs/>
          <w:w w:val="85"/>
          <w:sz w:val="41"/>
          <w:szCs w:val="41"/>
        </w:rPr>
        <w:t>ff</w:t>
      </w:r>
      <w:proofErr w:type="spellEnd"/>
      <w:r>
        <w:rPr>
          <w:rFonts w:ascii="Arial" w:hAnsi="Arial" w:cs="Arial"/>
          <w:b/>
          <w:bCs/>
          <w:spacing w:val="-65"/>
          <w:w w:val="85"/>
          <w:sz w:val="41"/>
          <w:szCs w:val="41"/>
        </w:rPr>
        <w:t xml:space="preserve"> </w:t>
      </w:r>
      <w:proofErr w:type="spellStart"/>
      <w:r>
        <w:rPr>
          <w:rFonts w:ascii="Arial" w:hAnsi="Arial" w:cs="Arial"/>
          <w:b/>
          <w:bCs/>
          <w:w w:val="85"/>
          <w:sz w:val="41"/>
          <w:szCs w:val="41"/>
        </w:rPr>
        <w:t>tce</w:t>
      </w:r>
      <w:proofErr w:type="spellEnd"/>
    </w:p>
    <w:p w:rsidR="002C5025" w:rsidRDefault="002C5025">
      <w:pPr>
        <w:pStyle w:val="BodyText"/>
        <w:kinsoku w:val="0"/>
        <w:overflowPunct w:val="0"/>
        <w:spacing w:before="90" w:line="283" w:lineRule="auto"/>
        <w:ind w:left="4059" w:right="3896"/>
        <w:jc w:val="center"/>
        <w:rPr>
          <w:rFonts w:ascii="Arial" w:hAnsi="Arial" w:cs="Arial"/>
          <w:b/>
          <w:bCs/>
          <w:w w:val="105"/>
          <w:sz w:val="28"/>
          <w:szCs w:val="28"/>
        </w:rPr>
      </w:pPr>
      <w:r>
        <w:rPr>
          <w:rFonts w:ascii="Arial" w:hAnsi="Arial" w:cs="Arial"/>
          <w:b/>
          <w:bCs/>
          <w:w w:val="105"/>
          <w:sz w:val="28"/>
          <w:szCs w:val="28"/>
        </w:rPr>
        <w:t xml:space="preserve">Peter </w:t>
      </w:r>
      <w:r>
        <w:rPr>
          <w:rFonts w:ascii="Arial" w:hAnsi="Arial" w:cs="Arial"/>
          <w:b/>
          <w:bCs/>
          <w:w w:val="105"/>
          <w:sz w:val="29"/>
          <w:szCs w:val="29"/>
        </w:rPr>
        <w:t xml:space="preserve">J. </w:t>
      </w:r>
      <w:proofErr w:type="spellStart"/>
      <w:r>
        <w:rPr>
          <w:rFonts w:ascii="Arial" w:hAnsi="Arial" w:cs="Arial"/>
          <w:b/>
          <w:bCs/>
          <w:w w:val="105"/>
          <w:sz w:val="28"/>
          <w:szCs w:val="28"/>
        </w:rPr>
        <w:t>Koutoujian</w:t>
      </w:r>
      <w:proofErr w:type="spellEnd"/>
      <w:r>
        <w:rPr>
          <w:rFonts w:ascii="Arial" w:hAnsi="Arial" w:cs="Arial"/>
          <w:b/>
          <w:bCs/>
          <w:w w:val="105"/>
          <w:sz w:val="28"/>
          <w:szCs w:val="28"/>
        </w:rPr>
        <w:t xml:space="preserve"> Sheriff</w:t>
      </w:r>
    </w:p>
    <w:p w:rsidR="002C5025" w:rsidRDefault="002C5025">
      <w:pPr>
        <w:pStyle w:val="BodyText"/>
        <w:kinsoku w:val="0"/>
        <w:overflowPunct w:val="0"/>
        <w:spacing w:before="3"/>
        <w:rPr>
          <w:rFonts w:ascii="Arial" w:hAnsi="Arial" w:cs="Arial"/>
          <w:b/>
          <w:bCs/>
          <w:sz w:val="21"/>
          <w:szCs w:val="21"/>
        </w:rPr>
      </w:pPr>
    </w:p>
    <w:p w:rsidR="002C5025" w:rsidRDefault="002C5025">
      <w:pPr>
        <w:pStyle w:val="BodyText"/>
        <w:kinsoku w:val="0"/>
        <w:overflowPunct w:val="0"/>
        <w:spacing w:before="3"/>
        <w:rPr>
          <w:rFonts w:ascii="Arial" w:hAnsi="Arial" w:cs="Arial"/>
          <w:b/>
          <w:bCs/>
          <w:sz w:val="21"/>
          <w:szCs w:val="21"/>
        </w:rPr>
        <w:sectPr w:rsidR="002C5025">
          <w:pgSz w:w="12240" w:h="15840"/>
          <w:pgMar w:top="500" w:right="920" w:bottom="0" w:left="640" w:header="720" w:footer="720" w:gutter="0"/>
          <w:cols w:space="720" w:equalWidth="0">
            <w:col w:w="10680"/>
          </w:cols>
          <w:noEndnote/>
        </w:sectPr>
      </w:pPr>
    </w:p>
    <w:p w:rsidR="002C5025" w:rsidRDefault="002C5025">
      <w:pPr>
        <w:pStyle w:val="BodyText"/>
        <w:kinsoku w:val="0"/>
        <w:overflowPunct w:val="0"/>
        <w:spacing w:before="76" w:line="290" w:lineRule="auto"/>
        <w:ind w:left="584" w:right="-8" w:firstLine="208"/>
        <w:rPr>
          <w:rFonts w:ascii="Arial" w:hAnsi="Arial" w:cs="Arial"/>
          <w:sz w:val="19"/>
          <w:szCs w:val="19"/>
        </w:rPr>
      </w:pPr>
      <w:r>
        <w:rPr>
          <w:rFonts w:ascii="Arial" w:hAnsi="Arial" w:cs="Arial"/>
          <w:sz w:val="19"/>
          <w:szCs w:val="19"/>
        </w:rPr>
        <w:lastRenderedPageBreak/>
        <w:t>400 Mystic Avenue Medford,  Massachusetts</w:t>
      </w:r>
    </w:p>
    <w:p w:rsidR="002C5025" w:rsidRDefault="002C5025">
      <w:pPr>
        <w:pStyle w:val="BodyText"/>
        <w:kinsoku w:val="0"/>
        <w:overflowPunct w:val="0"/>
        <w:spacing w:before="119"/>
        <w:ind w:left="584"/>
        <w:rPr>
          <w:rFonts w:ascii="Arial" w:hAnsi="Arial" w:cs="Arial"/>
          <w:w w:val="105"/>
          <w:sz w:val="19"/>
          <w:szCs w:val="19"/>
        </w:rPr>
      </w:pPr>
      <w:r>
        <w:rPr>
          <w:rFonts w:ascii="Times New Roman" w:hAnsi="Times New Roman" w:cs="Times New Roman"/>
          <w:sz w:val="24"/>
          <w:szCs w:val="24"/>
        </w:rPr>
        <w:br w:type="column"/>
      </w:r>
      <w:r>
        <w:rPr>
          <w:rFonts w:ascii="Arial" w:hAnsi="Arial" w:cs="Arial"/>
          <w:w w:val="105"/>
          <w:sz w:val="19"/>
          <w:szCs w:val="19"/>
        </w:rPr>
        <w:lastRenderedPageBreak/>
        <w:t>Phone (781) 960-2800</w:t>
      </w:r>
    </w:p>
    <w:p w:rsidR="002C5025" w:rsidRDefault="002C5025">
      <w:pPr>
        <w:pStyle w:val="BodyText"/>
        <w:kinsoku w:val="0"/>
        <w:overflowPunct w:val="0"/>
        <w:spacing w:before="48"/>
        <w:ind w:left="836"/>
        <w:rPr>
          <w:rFonts w:ascii="Arial" w:hAnsi="Arial" w:cs="Arial"/>
          <w:w w:val="105"/>
          <w:sz w:val="19"/>
          <w:szCs w:val="19"/>
        </w:rPr>
      </w:pPr>
      <w:r>
        <w:rPr>
          <w:rFonts w:ascii="Arial" w:hAnsi="Arial" w:cs="Arial"/>
          <w:w w:val="105"/>
          <w:sz w:val="19"/>
          <w:szCs w:val="19"/>
        </w:rPr>
        <w:t>Fax (781) 960-2902</w:t>
      </w:r>
    </w:p>
    <w:p w:rsidR="002C5025" w:rsidRDefault="002C5025">
      <w:pPr>
        <w:pStyle w:val="BodyText"/>
        <w:kinsoku w:val="0"/>
        <w:overflowPunct w:val="0"/>
        <w:spacing w:before="48"/>
        <w:ind w:left="836"/>
        <w:rPr>
          <w:rFonts w:ascii="Arial" w:hAnsi="Arial" w:cs="Arial"/>
          <w:w w:val="105"/>
          <w:sz w:val="19"/>
          <w:szCs w:val="19"/>
        </w:rPr>
        <w:sectPr w:rsidR="002C5025">
          <w:type w:val="continuous"/>
          <w:pgSz w:w="12240" w:h="15840"/>
          <w:pgMar w:top="720" w:right="920" w:bottom="280" w:left="640" w:header="720" w:footer="720" w:gutter="0"/>
          <w:cols w:num="2" w:space="720" w:equalWidth="0">
            <w:col w:w="2719" w:space="5272"/>
            <w:col w:w="2689"/>
          </w:cols>
          <w:noEndnote/>
        </w:sect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0"/>
          <w:szCs w:val="20"/>
        </w:rPr>
      </w:pPr>
    </w:p>
    <w:p w:rsidR="002C5025" w:rsidRDefault="002C5025">
      <w:pPr>
        <w:pStyle w:val="BodyText"/>
        <w:kinsoku w:val="0"/>
        <w:overflowPunct w:val="0"/>
        <w:rPr>
          <w:rFonts w:ascii="Arial" w:hAnsi="Arial" w:cs="Arial"/>
          <w:sz w:val="23"/>
          <w:szCs w:val="23"/>
        </w:rPr>
      </w:pPr>
    </w:p>
    <w:p w:rsidR="002C5025" w:rsidRDefault="002C5025">
      <w:pPr>
        <w:pStyle w:val="BodyText"/>
        <w:kinsoku w:val="0"/>
        <w:overflowPunct w:val="0"/>
        <w:spacing w:before="69"/>
        <w:ind w:left="1471" w:right="610"/>
        <w:jc w:val="center"/>
        <w:rPr>
          <w:rFonts w:ascii="Times New Roman" w:hAnsi="Times New Roman" w:cs="Times New Roman"/>
          <w:w w:val="105"/>
          <w:sz w:val="23"/>
          <w:szCs w:val="23"/>
        </w:rPr>
      </w:pPr>
      <w:r>
        <w:rPr>
          <w:rFonts w:ascii="Times New Roman" w:hAnsi="Times New Roman" w:cs="Times New Roman"/>
          <w:w w:val="105"/>
          <w:sz w:val="24"/>
          <w:szCs w:val="24"/>
        </w:rPr>
        <w:t xml:space="preserve">July </w:t>
      </w:r>
      <w:r>
        <w:rPr>
          <w:rFonts w:ascii="Times New Roman" w:hAnsi="Times New Roman" w:cs="Times New Roman"/>
          <w:w w:val="105"/>
          <w:sz w:val="23"/>
          <w:szCs w:val="23"/>
        </w:rPr>
        <w:t>14,</w:t>
      </w:r>
      <w:r>
        <w:rPr>
          <w:rFonts w:ascii="Times New Roman" w:hAnsi="Times New Roman" w:cs="Times New Roman"/>
          <w:spacing w:val="-53"/>
          <w:w w:val="105"/>
          <w:sz w:val="23"/>
          <w:szCs w:val="23"/>
        </w:rPr>
        <w:t xml:space="preserve"> </w:t>
      </w:r>
      <w:r>
        <w:rPr>
          <w:rFonts w:ascii="Times New Roman" w:hAnsi="Times New Roman" w:cs="Times New Roman"/>
          <w:w w:val="105"/>
          <w:sz w:val="23"/>
          <w:szCs w:val="23"/>
        </w:rPr>
        <w:t>2016</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spacing w:before="201"/>
        <w:ind w:left="800"/>
        <w:jc w:val="both"/>
        <w:rPr>
          <w:rFonts w:ascii="Times New Roman" w:hAnsi="Times New Roman" w:cs="Times New Roman"/>
          <w:sz w:val="24"/>
          <w:szCs w:val="24"/>
        </w:rPr>
      </w:pPr>
      <w:bookmarkStart w:id="264" w:name="Secretary_Marylou_Sudders"/>
      <w:bookmarkEnd w:id="264"/>
      <w:r>
        <w:rPr>
          <w:rFonts w:ascii="Times New Roman" w:hAnsi="Times New Roman" w:cs="Times New Roman"/>
          <w:sz w:val="24"/>
          <w:szCs w:val="24"/>
        </w:rPr>
        <w:t>Secretary Marylou Sudders</w:t>
      </w:r>
    </w:p>
    <w:p w:rsidR="002C5025" w:rsidRDefault="002C5025">
      <w:pPr>
        <w:pStyle w:val="BodyText"/>
        <w:kinsoku w:val="0"/>
        <w:overflowPunct w:val="0"/>
        <w:spacing w:before="41" w:line="266" w:lineRule="auto"/>
        <w:ind w:left="792" w:right="5436" w:hanging="8"/>
        <w:rPr>
          <w:rFonts w:ascii="Times New Roman" w:hAnsi="Times New Roman" w:cs="Times New Roman"/>
          <w:sz w:val="24"/>
          <w:szCs w:val="24"/>
        </w:rPr>
      </w:pPr>
      <w:r>
        <w:rPr>
          <w:rFonts w:ascii="Times New Roman" w:hAnsi="Times New Roman" w:cs="Times New Roman"/>
          <w:sz w:val="24"/>
          <w:szCs w:val="24"/>
        </w:rPr>
        <w:t xml:space="preserve">Executive Office of Health </w:t>
      </w:r>
      <w:r>
        <w:rPr>
          <w:rFonts w:ascii="Arial" w:hAnsi="Arial" w:cs="Arial"/>
        </w:rPr>
        <w:t xml:space="preserve">&amp; </w:t>
      </w:r>
      <w:r>
        <w:rPr>
          <w:rFonts w:ascii="Times New Roman" w:hAnsi="Times New Roman" w:cs="Times New Roman"/>
          <w:sz w:val="24"/>
          <w:szCs w:val="24"/>
        </w:rPr>
        <w:t xml:space="preserve">Human Services One Ashburton Place, </w:t>
      </w:r>
      <w:r>
        <w:rPr>
          <w:rFonts w:ascii="Times New Roman" w:hAnsi="Times New Roman" w:cs="Times New Roman"/>
          <w:sz w:val="23"/>
          <w:szCs w:val="23"/>
        </w:rPr>
        <w:t xml:space="preserve">11th </w:t>
      </w:r>
      <w:r>
        <w:rPr>
          <w:rFonts w:ascii="Times New Roman" w:hAnsi="Times New Roman" w:cs="Times New Roman"/>
          <w:sz w:val="24"/>
          <w:szCs w:val="24"/>
        </w:rPr>
        <w:t>Floor</w:t>
      </w:r>
    </w:p>
    <w:p w:rsidR="002C5025" w:rsidRDefault="002C5025">
      <w:pPr>
        <w:pStyle w:val="BodyText"/>
        <w:kinsoku w:val="0"/>
        <w:overflowPunct w:val="0"/>
        <w:spacing w:before="28"/>
        <w:ind w:left="785"/>
        <w:jc w:val="both"/>
        <w:rPr>
          <w:rFonts w:ascii="Times New Roman" w:hAnsi="Times New Roman" w:cs="Times New Roman"/>
          <w:sz w:val="23"/>
          <w:szCs w:val="23"/>
        </w:rPr>
      </w:pPr>
      <w:r>
        <w:rPr>
          <w:rFonts w:ascii="Times New Roman" w:hAnsi="Times New Roman" w:cs="Times New Roman"/>
          <w:sz w:val="24"/>
          <w:szCs w:val="24"/>
        </w:rPr>
        <w:t xml:space="preserve">Boston, MA </w:t>
      </w:r>
      <w:r>
        <w:rPr>
          <w:rFonts w:ascii="Times New Roman" w:hAnsi="Times New Roman" w:cs="Times New Roman"/>
          <w:sz w:val="23"/>
          <w:szCs w:val="23"/>
        </w:rPr>
        <w:t>02108</w:t>
      </w:r>
    </w:p>
    <w:p w:rsidR="002C5025" w:rsidRDefault="002C5025">
      <w:pPr>
        <w:pStyle w:val="BodyText"/>
        <w:kinsoku w:val="0"/>
        <w:overflowPunct w:val="0"/>
        <w:spacing w:before="10"/>
        <w:rPr>
          <w:rFonts w:ascii="Times New Roman" w:hAnsi="Times New Roman" w:cs="Times New Roman"/>
          <w:sz w:val="30"/>
          <w:szCs w:val="30"/>
        </w:rPr>
      </w:pPr>
    </w:p>
    <w:p w:rsidR="002C5025" w:rsidRDefault="002C5025">
      <w:pPr>
        <w:pStyle w:val="BodyText"/>
        <w:kinsoku w:val="0"/>
        <w:overflowPunct w:val="0"/>
        <w:ind w:left="785"/>
        <w:jc w:val="both"/>
        <w:rPr>
          <w:rFonts w:ascii="Times New Roman" w:hAnsi="Times New Roman" w:cs="Times New Roman"/>
          <w:sz w:val="24"/>
          <w:szCs w:val="24"/>
        </w:rPr>
      </w:pPr>
      <w:bookmarkStart w:id="265" w:name="Dear_Secretary_Sudders:"/>
      <w:bookmarkEnd w:id="265"/>
      <w:r>
        <w:rPr>
          <w:rFonts w:ascii="Times New Roman" w:hAnsi="Times New Roman" w:cs="Times New Roman"/>
          <w:sz w:val="24"/>
          <w:szCs w:val="24"/>
        </w:rPr>
        <w:t>Dear Secretary Sudders:</w:t>
      </w:r>
    </w:p>
    <w:p w:rsidR="002C5025" w:rsidRDefault="002C5025">
      <w:pPr>
        <w:pStyle w:val="BodyText"/>
        <w:kinsoku w:val="0"/>
        <w:overflowPunct w:val="0"/>
        <w:spacing w:before="8"/>
        <w:rPr>
          <w:rFonts w:ascii="Times New Roman" w:hAnsi="Times New Roman" w:cs="Times New Roman"/>
          <w:sz w:val="31"/>
          <w:szCs w:val="31"/>
        </w:rPr>
      </w:pPr>
    </w:p>
    <w:p w:rsidR="002C5025" w:rsidRDefault="002C5025">
      <w:pPr>
        <w:pStyle w:val="BodyText"/>
        <w:kinsoku w:val="0"/>
        <w:overflowPunct w:val="0"/>
        <w:spacing w:line="276" w:lineRule="auto"/>
        <w:ind w:left="778" w:right="496" w:firstLine="7"/>
        <w:jc w:val="both"/>
        <w:rPr>
          <w:rFonts w:ascii="Times New Roman" w:hAnsi="Times New Roman" w:cs="Times New Roman"/>
          <w:sz w:val="24"/>
          <w:szCs w:val="24"/>
        </w:rPr>
      </w:pPr>
      <w:r>
        <w:rPr>
          <w:rFonts w:ascii="Times New Roman" w:hAnsi="Times New Roman" w:cs="Times New Roman"/>
          <w:sz w:val="24"/>
          <w:szCs w:val="24"/>
        </w:rPr>
        <w:t xml:space="preserve">As you continue your negotiations with the Centers for Medicare and Medicaid Services (CMS) regarding the MassHealth </w:t>
      </w:r>
      <w:r>
        <w:rPr>
          <w:rFonts w:ascii="Times New Roman" w:hAnsi="Times New Roman" w:cs="Times New Roman"/>
          <w:sz w:val="23"/>
          <w:szCs w:val="23"/>
        </w:rPr>
        <w:t xml:space="preserve">1115 </w:t>
      </w:r>
      <w:r>
        <w:rPr>
          <w:rFonts w:ascii="Times New Roman" w:hAnsi="Times New Roman" w:cs="Times New Roman"/>
          <w:sz w:val="24"/>
          <w:szCs w:val="24"/>
        </w:rPr>
        <w:t xml:space="preserve">Demonstration Extension, I am writing to express my </w:t>
      </w:r>
      <w:r>
        <w:rPr>
          <w:rFonts w:ascii="Times New Roman" w:hAnsi="Times New Roman" w:cs="Times New Roman"/>
          <w:spacing w:val="-10"/>
          <w:sz w:val="24"/>
          <w:szCs w:val="24"/>
        </w:rPr>
        <w:t xml:space="preserve">suppo1i </w:t>
      </w:r>
      <w:r>
        <w:rPr>
          <w:rFonts w:ascii="Times New Roman" w:hAnsi="Times New Roman" w:cs="Times New Roman"/>
          <w:sz w:val="24"/>
          <w:szCs w:val="24"/>
        </w:rPr>
        <w:t>for the expansion of treatment  for individuals with a substance use disorder outlined in the waiver.  In addition, I would like to commend your strong commitment to improving the integration and delivery of care for individuals with behavio</w:t>
      </w:r>
      <w:r w:rsidR="00347C9E">
        <w:rPr>
          <w:rFonts w:ascii="Times New Roman" w:hAnsi="Times New Roman" w:cs="Times New Roman"/>
          <w:sz w:val="24"/>
          <w:szCs w:val="24"/>
        </w:rPr>
        <w:t>ral health needs and those with co-occurr</w:t>
      </w:r>
      <w:r>
        <w:rPr>
          <w:rFonts w:ascii="Times New Roman" w:hAnsi="Times New Roman" w:cs="Times New Roman"/>
          <w:sz w:val="24"/>
          <w:szCs w:val="24"/>
        </w:rPr>
        <w:t>ing disorders.</w:t>
      </w:r>
    </w:p>
    <w:p w:rsidR="002C5025" w:rsidRDefault="002C5025">
      <w:pPr>
        <w:pStyle w:val="BodyText"/>
        <w:kinsoku w:val="0"/>
        <w:overflowPunct w:val="0"/>
        <w:rPr>
          <w:rFonts w:ascii="Times New Roman" w:hAnsi="Times New Roman" w:cs="Times New Roman"/>
          <w:sz w:val="28"/>
          <w:szCs w:val="28"/>
        </w:rPr>
      </w:pPr>
    </w:p>
    <w:p w:rsidR="002C5025" w:rsidRDefault="002C5025">
      <w:pPr>
        <w:pStyle w:val="BodyText"/>
        <w:kinsoku w:val="0"/>
        <w:overflowPunct w:val="0"/>
        <w:spacing w:line="276" w:lineRule="auto"/>
        <w:ind w:left="778" w:right="497" w:firstLine="7"/>
        <w:jc w:val="both"/>
        <w:rPr>
          <w:rFonts w:ascii="Times New Roman" w:hAnsi="Times New Roman" w:cs="Times New Roman"/>
          <w:sz w:val="24"/>
          <w:szCs w:val="24"/>
        </w:rPr>
      </w:pPr>
      <w:r>
        <w:rPr>
          <w:rFonts w:ascii="Times New Roman" w:hAnsi="Times New Roman" w:cs="Times New Roman"/>
          <w:sz w:val="24"/>
          <w:szCs w:val="24"/>
        </w:rPr>
        <w:t xml:space="preserve">The Middlesex Sheriff's Office is on the front lines in this effort and shares the urgency to focus more resources in this area. Often times individuals involved in the criminal justice system are in </w:t>
      </w:r>
      <w:r>
        <w:rPr>
          <w:rFonts w:ascii="Times New Roman" w:hAnsi="Times New Roman" w:cs="Times New Roman"/>
          <w:spacing w:val="-5"/>
          <w:sz w:val="24"/>
          <w:szCs w:val="24"/>
        </w:rPr>
        <w:t xml:space="preserve">great </w:t>
      </w:r>
      <w:r>
        <w:rPr>
          <w:rFonts w:ascii="Times New Roman" w:hAnsi="Times New Roman" w:cs="Times New Roman"/>
          <w:sz w:val="24"/>
          <w:szCs w:val="24"/>
        </w:rPr>
        <w:t xml:space="preserve">need of treatment for mental health and/or substance use issues that in many cases have  gone untreated or undiagnosed. For example, on average </w:t>
      </w:r>
      <w:r>
        <w:rPr>
          <w:rFonts w:ascii="Times New Roman" w:hAnsi="Times New Roman" w:cs="Times New Roman"/>
          <w:sz w:val="23"/>
          <w:szCs w:val="23"/>
        </w:rPr>
        <w:t xml:space="preserve">35% </w:t>
      </w:r>
      <w:r>
        <w:rPr>
          <w:rFonts w:ascii="Times New Roman" w:hAnsi="Times New Roman" w:cs="Times New Roman"/>
          <w:sz w:val="24"/>
          <w:szCs w:val="24"/>
        </w:rPr>
        <w:t xml:space="preserve">of the individuals in the custody of the Middlesex Sheriff s Office have open mental health cases and over </w:t>
      </w:r>
      <w:r>
        <w:rPr>
          <w:rFonts w:ascii="Times New Roman" w:hAnsi="Times New Roman" w:cs="Times New Roman"/>
          <w:sz w:val="23"/>
          <w:szCs w:val="23"/>
        </w:rPr>
        <w:t xml:space="preserve">80% </w:t>
      </w:r>
      <w:r>
        <w:rPr>
          <w:rFonts w:ascii="Times New Roman" w:hAnsi="Times New Roman" w:cs="Times New Roman"/>
          <w:sz w:val="24"/>
          <w:szCs w:val="24"/>
        </w:rPr>
        <w:t>have a substance use issue.</w:t>
      </w:r>
    </w:p>
    <w:p w:rsidR="002C5025" w:rsidRDefault="002C5025">
      <w:pPr>
        <w:pStyle w:val="BodyText"/>
        <w:kinsoku w:val="0"/>
        <w:overflowPunct w:val="0"/>
        <w:rPr>
          <w:rFonts w:ascii="Times New Roman" w:hAnsi="Times New Roman" w:cs="Times New Roman"/>
          <w:sz w:val="28"/>
          <w:szCs w:val="28"/>
        </w:rPr>
      </w:pPr>
    </w:p>
    <w:p w:rsidR="002C5025" w:rsidRDefault="002C5025">
      <w:pPr>
        <w:pStyle w:val="BodyText"/>
        <w:kinsoku w:val="0"/>
        <w:overflowPunct w:val="0"/>
        <w:spacing w:line="276" w:lineRule="auto"/>
        <w:ind w:left="778" w:right="504" w:firstLine="7"/>
        <w:jc w:val="both"/>
        <w:rPr>
          <w:rFonts w:ascii="Times New Roman" w:hAnsi="Times New Roman" w:cs="Times New Roman"/>
          <w:sz w:val="24"/>
          <w:szCs w:val="24"/>
        </w:rPr>
      </w:pPr>
      <w:proofErr w:type="spellStart"/>
      <w:r>
        <w:rPr>
          <w:rFonts w:ascii="Times New Roman" w:hAnsi="Times New Roman" w:cs="Times New Roman"/>
          <w:sz w:val="24"/>
          <w:szCs w:val="24"/>
        </w:rPr>
        <w:t>Witli</w:t>
      </w:r>
      <w:proofErr w:type="spellEnd"/>
      <w:r>
        <w:rPr>
          <w:rFonts w:ascii="Times New Roman" w:hAnsi="Times New Roman" w:cs="Times New Roman"/>
          <w:sz w:val="24"/>
          <w:szCs w:val="24"/>
        </w:rPr>
        <w:t xml:space="preserve"> 99% of the justice-involved individuals at the Middlesex House of Con</w:t>
      </w:r>
      <w:r w:rsidR="00347C9E">
        <w:rPr>
          <w:rFonts w:ascii="Times New Roman" w:hAnsi="Times New Roman" w:cs="Times New Roman"/>
          <w:sz w:val="24"/>
          <w:szCs w:val="24"/>
        </w:rPr>
        <w:t>n</w:t>
      </w:r>
      <w:r>
        <w:rPr>
          <w:rFonts w:ascii="Times New Roman" w:hAnsi="Times New Roman" w:cs="Times New Roman"/>
          <w:sz w:val="24"/>
          <w:szCs w:val="24"/>
        </w:rPr>
        <w:t xml:space="preserve">ection </w:t>
      </w:r>
      <w:r>
        <w:rPr>
          <w:rFonts w:ascii="Arial" w:hAnsi="Arial" w:cs="Arial"/>
        </w:rPr>
        <w:t xml:space="preserve">&amp; </w:t>
      </w:r>
      <w:r>
        <w:rPr>
          <w:rFonts w:ascii="Times New Roman" w:hAnsi="Times New Roman" w:cs="Times New Roman"/>
          <w:sz w:val="24"/>
          <w:szCs w:val="24"/>
        </w:rPr>
        <w:t>Jail returning to the community, transitional assistance plays a critical role in a successful re-entry.  To that end, I appreciate the expansion of recovery support services being included in the request as it will help address the needs of justice-involved individuals suffering from addiction. We  have incorporated these services into our medication assisted treatment (MAT) program, and our recovery coach has been vital with assisting individuals in accessing the treatment and health  care</w:t>
      </w:r>
      <w:r>
        <w:rPr>
          <w:rFonts w:ascii="Times New Roman" w:hAnsi="Times New Roman" w:cs="Times New Roman"/>
          <w:spacing w:val="-10"/>
          <w:sz w:val="24"/>
          <w:szCs w:val="24"/>
        </w:rPr>
        <w:t xml:space="preserve"> </w:t>
      </w:r>
      <w:r>
        <w:rPr>
          <w:rFonts w:ascii="Times New Roman" w:hAnsi="Times New Roman" w:cs="Times New Roman"/>
          <w:sz w:val="24"/>
          <w:szCs w:val="24"/>
        </w:rPr>
        <w:t>they</w:t>
      </w:r>
      <w:r>
        <w:rPr>
          <w:rFonts w:ascii="Times New Roman" w:hAnsi="Times New Roman" w:cs="Times New Roman"/>
          <w:spacing w:val="-11"/>
          <w:sz w:val="24"/>
          <w:szCs w:val="24"/>
        </w:rPr>
        <w:t xml:space="preserve"> </w:t>
      </w:r>
      <w:r>
        <w:rPr>
          <w:rFonts w:ascii="Times New Roman" w:hAnsi="Times New Roman" w:cs="Times New Roman"/>
          <w:sz w:val="24"/>
          <w:szCs w:val="24"/>
        </w:rPr>
        <w:t>need</w:t>
      </w:r>
      <w:r>
        <w:rPr>
          <w:rFonts w:ascii="Times New Roman" w:hAnsi="Times New Roman" w:cs="Times New Roman"/>
          <w:spacing w:val="1"/>
          <w:sz w:val="24"/>
          <w:szCs w:val="24"/>
        </w:rPr>
        <w:t xml:space="preserve"> </w:t>
      </w:r>
      <w:r>
        <w:rPr>
          <w:rFonts w:ascii="Times New Roman" w:hAnsi="Times New Roman" w:cs="Times New Roman"/>
          <w:sz w:val="24"/>
          <w:szCs w:val="24"/>
        </w:rPr>
        <w:t>after</w:t>
      </w:r>
      <w:r>
        <w:rPr>
          <w:rFonts w:ascii="Times New Roman" w:hAnsi="Times New Roman" w:cs="Times New Roman"/>
          <w:spacing w:val="-9"/>
          <w:sz w:val="24"/>
          <w:szCs w:val="24"/>
        </w:rPr>
        <w:t xml:space="preserve"> </w:t>
      </w:r>
      <w:r>
        <w:rPr>
          <w:rFonts w:ascii="Times New Roman" w:hAnsi="Times New Roman" w:cs="Times New Roman"/>
          <w:sz w:val="24"/>
          <w:szCs w:val="24"/>
        </w:rPr>
        <w:t>leaving</w:t>
      </w:r>
      <w:r>
        <w:rPr>
          <w:rFonts w:ascii="Times New Roman" w:hAnsi="Times New Roman" w:cs="Times New Roman"/>
          <w:spacing w:val="-13"/>
          <w:sz w:val="24"/>
          <w:szCs w:val="24"/>
        </w:rPr>
        <w:t xml:space="preserve"> </w:t>
      </w:r>
      <w:r>
        <w:rPr>
          <w:rFonts w:ascii="Times New Roman" w:hAnsi="Times New Roman" w:cs="Times New Roman"/>
          <w:sz w:val="24"/>
          <w:szCs w:val="24"/>
        </w:rPr>
        <w:t>our</w:t>
      </w:r>
      <w:r>
        <w:rPr>
          <w:rFonts w:ascii="Times New Roman" w:hAnsi="Times New Roman" w:cs="Times New Roman"/>
          <w:spacing w:val="-12"/>
          <w:sz w:val="24"/>
          <w:szCs w:val="24"/>
        </w:rPr>
        <w:t xml:space="preserve"> </w:t>
      </w:r>
      <w:r>
        <w:rPr>
          <w:rFonts w:ascii="Times New Roman" w:hAnsi="Times New Roman" w:cs="Times New Roman"/>
          <w:sz w:val="24"/>
          <w:szCs w:val="24"/>
        </w:rPr>
        <w:t>custody.</w:t>
      </w: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rPr>
          <w:rFonts w:ascii="Times New Roman" w:hAnsi="Times New Roman" w:cs="Times New Roman"/>
          <w:sz w:val="24"/>
          <w:szCs w:val="24"/>
        </w:rPr>
      </w:pPr>
    </w:p>
    <w:p w:rsidR="002C5025" w:rsidRDefault="002C5025">
      <w:pPr>
        <w:pStyle w:val="BodyText"/>
        <w:kinsoku w:val="0"/>
        <w:overflowPunct w:val="0"/>
        <w:spacing w:before="10"/>
        <w:rPr>
          <w:rFonts w:ascii="Times New Roman" w:hAnsi="Times New Roman" w:cs="Times New Roman"/>
          <w:sz w:val="34"/>
          <w:szCs w:val="34"/>
        </w:rPr>
      </w:pPr>
    </w:p>
    <w:p w:rsidR="002C5025" w:rsidRDefault="00FD19EE">
      <w:pPr>
        <w:pStyle w:val="BodyText"/>
        <w:kinsoku w:val="0"/>
        <w:overflowPunct w:val="0"/>
        <w:spacing w:before="1"/>
        <w:ind w:left="445" w:right="327"/>
        <w:jc w:val="center"/>
        <w:rPr>
          <w:rFonts w:ascii="Arial" w:hAnsi="Arial" w:cs="Arial"/>
          <w:sz w:val="18"/>
          <w:szCs w:val="18"/>
        </w:rPr>
      </w:pPr>
      <w:hyperlink r:id="rId588" w:history="1">
        <w:r w:rsidR="002C5025">
          <w:rPr>
            <w:rFonts w:ascii="Arial" w:hAnsi="Arial" w:cs="Arial"/>
            <w:sz w:val="18"/>
            <w:szCs w:val="18"/>
          </w:rPr>
          <w:t>www.middlesexsheriff.com</w:t>
        </w:r>
      </w:hyperlink>
    </w:p>
    <w:p w:rsidR="002C5025" w:rsidRDefault="002C5025">
      <w:pPr>
        <w:pStyle w:val="BodyText"/>
        <w:kinsoku w:val="0"/>
        <w:overflowPunct w:val="0"/>
        <w:spacing w:before="20"/>
        <w:ind w:left="445" w:right="281"/>
        <w:jc w:val="center"/>
        <w:rPr>
          <w:rFonts w:ascii="Times New Roman" w:hAnsi="Times New Roman" w:cs="Times New Roman"/>
          <w:b/>
          <w:bCs/>
          <w:w w:val="95"/>
          <w:sz w:val="12"/>
          <w:szCs w:val="12"/>
        </w:rPr>
      </w:pPr>
      <w:r>
        <w:rPr>
          <w:rFonts w:ascii="Times New Roman" w:hAnsi="Times New Roman" w:cs="Times New Roman"/>
          <w:b/>
          <w:bCs/>
          <w:w w:val="95"/>
          <w:sz w:val="12"/>
          <w:szCs w:val="12"/>
        </w:rPr>
        <w:t xml:space="preserve">Printed M.S.O. Print </w:t>
      </w:r>
      <w:r>
        <w:rPr>
          <w:rFonts w:ascii="Times New Roman" w:hAnsi="Times New Roman" w:cs="Times New Roman"/>
          <w:w w:val="95"/>
          <w:sz w:val="11"/>
          <w:szCs w:val="11"/>
        </w:rPr>
        <w:t xml:space="preserve">Shop </w:t>
      </w:r>
      <w:r>
        <w:rPr>
          <w:rFonts w:ascii="Times New Roman" w:hAnsi="Times New Roman" w:cs="Times New Roman"/>
          <w:b/>
          <w:bCs/>
          <w:w w:val="95"/>
          <w:sz w:val="12"/>
          <w:szCs w:val="12"/>
        </w:rPr>
        <w:t>#4·500</w:t>
      </w:r>
    </w:p>
    <w:p w:rsidR="002C5025" w:rsidRDefault="002C5025">
      <w:pPr>
        <w:pStyle w:val="BodyText"/>
        <w:kinsoku w:val="0"/>
        <w:overflowPunct w:val="0"/>
        <w:spacing w:before="20"/>
        <w:ind w:left="445" w:right="281"/>
        <w:jc w:val="center"/>
        <w:rPr>
          <w:rFonts w:ascii="Times New Roman" w:hAnsi="Times New Roman" w:cs="Times New Roman"/>
          <w:b/>
          <w:bCs/>
          <w:w w:val="95"/>
          <w:sz w:val="12"/>
          <w:szCs w:val="12"/>
        </w:rPr>
        <w:sectPr w:rsidR="002C5025">
          <w:type w:val="continuous"/>
          <w:pgSz w:w="12240" w:h="15840"/>
          <w:pgMar w:top="720" w:right="920" w:bottom="280" w:left="640" w:header="720" w:footer="720" w:gutter="0"/>
          <w:cols w:space="720" w:equalWidth="0">
            <w:col w:w="10680"/>
          </w:cols>
          <w:noEndnote/>
        </w:sectPr>
      </w:pPr>
    </w:p>
    <w:p w:rsidR="002C5025" w:rsidRDefault="002C5025">
      <w:pPr>
        <w:pStyle w:val="BodyText"/>
        <w:kinsoku w:val="0"/>
        <w:overflowPunct w:val="0"/>
        <w:spacing w:before="45" w:line="276" w:lineRule="auto"/>
        <w:ind w:left="119" w:right="120" w:firstLine="7"/>
        <w:jc w:val="both"/>
        <w:rPr>
          <w:rFonts w:ascii="Times New Roman" w:hAnsi="Times New Roman" w:cs="Times New Roman"/>
          <w:sz w:val="24"/>
          <w:szCs w:val="24"/>
        </w:rPr>
      </w:pPr>
      <w:bookmarkStart w:id="266" w:name="An_additional_key_component_of_transitio"/>
      <w:bookmarkEnd w:id="266"/>
      <w:r>
        <w:rPr>
          <w:rFonts w:ascii="Times New Roman" w:hAnsi="Times New Roman" w:cs="Times New Roman"/>
          <w:sz w:val="24"/>
          <w:szCs w:val="24"/>
        </w:rPr>
        <w:lastRenderedPageBreak/>
        <w:t>An additional key component of transitional assistance provided for individuals re-enterin</w:t>
      </w:r>
      <w:r w:rsidR="00347C9E">
        <w:rPr>
          <w:rFonts w:ascii="Times New Roman" w:hAnsi="Times New Roman" w:cs="Times New Roman"/>
          <w:sz w:val="24"/>
          <w:szCs w:val="24"/>
        </w:rPr>
        <w:t>g the community is MassHealth enr</w:t>
      </w:r>
      <w:r>
        <w:rPr>
          <w:rFonts w:ascii="Times New Roman" w:hAnsi="Times New Roman" w:cs="Times New Roman"/>
          <w:sz w:val="24"/>
          <w:szCs w:val="24"/>
        </w:rPr>
        <w:t xml:space="preserve">ollment. As you know, over the last two years we have been working with the Legislature and the Office of Medicaid on the full implementation of Section </w:t>
      </w:r>
      <w:r>
        <w:rPr>
          <w:rFonts w:ascii="Times New Roman" w:hAnsi="Times New Roman" w:cs="Times New Roman"/>
          <w:sz w:val="23"/>
          <w:szCs w:val="23"/>
        </w:rPr>
        <w:t xml:space="preserve">227 </w:t>
      </w:r>
      <w:r>
        <w:rPr>
          <w:rFonts w:ascii="Times New Roman" w:hAnsi="Times New Roman" w:cs="Times New Roman"/>
          <w:sz w:val="24"/>
          <w:szCs w:val="24"/>
        </w:rPr>
        <w:t xml:space="preserve">of Chapter </w:t>
      </w:r>
      <w:r>
        <w:rPr>
          <w:rFonts w:ascii="Times New Roman" w:hAnsi="Times New Roman" w:cs="Times New Roman"/>
          <w:sz w:val="23"/>
          <w:szCs w:val="23"/>
        </w:rPr>
        <w:t xml:space="preserve">165 </w:t>
      </w:r>
      <w:r>
        <w:rPr>
          <w:rFonts w:ascii="Times New Roman" w:hAnsi="Times New Roman" w:cs="Times New Roman"/>
          <w:sz w:val="24"/>
          <w:szCs w:val="24"/>
        </w:rPr>
        <w:t xml:space="preserve">of the Acts of </w:t>
      </w:r>
      <w:r>
        <w:rPr>
          <w:rFonts w:ascii="Times New Roman" w:hAnsi="Times New Roman" w:cs="Times New Roman"/>
          <w:sz w:val="23"/>
          <w:szCs w:val="23"/>
        </w:rPr>
        <w:t xml:space="preserve">2014 </w:t>
      </w:r>
      <w:r>
        <w:rPr>
          <w:rFonts w:ascii="Times New Roman" w:hAnsi="Times New Roman" w:cs="Times New Roman"/>
          <w:sz w:val="24"/>
          <w:szCs w:val="24"/>
        </w:rPr>
        <w:t>which temporarily "suspends" rather than te1minates MassHealth benefits for incarcerated individuals. A suspension of MassHealth during incarceration and reactivation of benefits after an inmate's release would eliminate the need to re</w:t>
      </w:r>
      <w:r w:rsidR="00347C9E">
        <w:rPr>
          <w:rFonts w:ascii="Times New Roman" w:hAnsi="Times New Roman" w:cs="Times New Roman"/>
          <w:sz w:val="24"/>
          <w:szCs w:val="24"/>
        </w:rPr>
        <w:t>-enr</w:t>
      </w:r>
      <w:r>
        <w:rPr>
          <w:rFonts w:ascii="Times New Roman" w:hAnsi="Times New Roman" w:cs="Times New Roman"/>
          <w:sz w:val="24"/>
          <w:szCs w:val="24"/>
        </w:rPr>
        <w:t>oll upon release, providing them with immediate access to the medical care necessary to often times address the factors that led to their incarceration.</w:t>
      </w:r>
    </w:p>
    <w:p w:rsidR="002C5025" w:rsidRDefault="002C5025">
      <w:pPr>
        <w:pStyle w:val="BodyText"/>
        <w:kinsoku w:val="0"/>
        <w:overflowPunct w:val="0"/>
        <w:rPr>
          <w:rFonts w:ascii="Times New Roman" w:hAnsi="Times New Roman" w:cs="Times New Roman"/>
          <w:sz w:val="28"/>
          <w:szCs w:val="28"/>
        </w:rPr>
      </w:pPr>
    </w:p>
    <w:p w:rsidR="002C5025" w:rsidRDefault="002C5025">
      <w:pPr>
        <w:pStyle w:val="BodyText"/>
        <w:kinsoku w:val="0"/>
        <w:overflowPunct w:val="0"/>
        <w:spacing w:line="276" w:lineRule="auto"/>
        <w:ind w:left="120" w:right="110" w:firstLine="7"/>
        <w:jc w:val="both"/>
        <w:rPr>
          <w:rFonts w:ascii="Times New Roman" w:hAnsi="Times New Roman" w:cs="Times New Roman"/>
          <w:sz w:val="24"/>
          <w:szCs w:val="24"/>
        </w:rPr>
      </w:pPr>
      <w:r>
        <w:rPr>
          <w:rFonts w:ascii="Times New Roman" w:hAnsi="Times New Roman" w:cs="Times New Roman"/>
          <w:sz w:val="24"/>
          <w:szCs w:val="24"/>
        </w:rPr>
        <w:t>I was extremely pleased to see the Centers for Medicare and Medicaid Services (CMS) address this issue in their April guidance letter to state health officials regarding the facilitation of successful re-entry for individuals transitioning from incarceration to the community (attachment enclosed). As EOHHS finalizes negotiations, I respectfully request the Commonwealth explore the possibility of federal funding investment for improving eligibility systems to include the suspension function as outlined in question and answer number thirteen of the attached CMS letter. While the suspension of benefits may seem like a mundane technical change,  several states across the country have embraced it as a tool to improve continuity of care, save tax payer dollars,</w:t>
      </w:r>
      <w:r>
        <w:rPr>
          <w:rFonts w:ascii="Times New Roman" w:hAnsi="Times New Roman" w:cs="Times New Roman"/>
          <w:spacing w:val="-11"/>
          <w:sz w:val="24"/>
          <w:szCs w:val="24"/>
        </w:rPr>
        <w:t xml:space="preserve"> </w:t>
      </w:r>
      <w:r>
        <w:rPr>
          <w:rFonts w:ascii="Times New Roman" w:hAnsi="Times New Roman" w:cs="Times New Roman"/>
          <w:sz w:val="24"/>
          <w:szCs w:val="24"/>
        </w:rPr>
        <w:t>increase</w:t>
      </w:r>
      <w:r>
        <w:rPr>
          <w:rFonts w:ascii="Times New Roman" w:hAnsi="Times New Roman" w:cs="Times New Roman"/>
          <w:spacing w:val="-14"/>
          <w:sz w:val="24"/>
          <w:szCs w:val="24"/>
        </w:rPr>
        <w:t xml:space="preserve"> </w:t>
      </w:r>
      <w:r>
        <w:rPr>
          <w:rFonts w:ascii="Times New Roman" w:hAnsi="Times New Roman" w:cs="Times New Roman"/>
          <w:sz w:val="24"/>
          <w:szCs w:val="24"/>
        </w:rPr>
        <w:t>the</w:t>
      </w:r>
      <w:r>
        <w:rPr>
          <w:rFonts w:ascii="Times New Roman" w:hAnsi="Times New Roman" w:cs="Times New Roman"/>
          <w:spacing w:val="-19"/>
          <w:sz w:val="24"/>
          <w:szCs w:val="24"/>
        </w:rPr>
        <w:t xml:space="preserve"> </w:t>
      </w:r>
      <w:r>
        <w:rPr>
          <w:rFonts w:ascii="Times New Roman" w:hAnsi="Times New Roman" w:cs="Times New Roman"/>
          <w:sz w:val="24"/>
          <w:szCs w:val="24"/>
        </w:rPr>
        <w:t>public</w:t>
      </w:r>
      <w:r>
        <w:rPr>
          <w:rFonts w:ascii="Times New Roman" w:hAnsi="Times New Roman" w:cs="Times New Roman"/>
          <w:spacing w:val="-2"/>
          <w:sz w:val="24"/>
          <w:szCs w:val="24"/>
        </w:rPr>
        <w:t xml:space="preserve"> </w:t>
      </w:r>
      <w:r>
        <w:rPr>
          <w:rFonts w:ascii="Times New Roman" w:hAnsi="Times New Roman" w:cs="Times New Roman"/>
          <w:sz w:val="24"/>
          <w:szCs w:val="24"/>
        </w:rPr>
        <w:t>safety</w:t>
      </w:r>
      <w:r>
        <w:rPr>
          <w:rFonts w:ascii="Times New Roman" w:hAnsi="Times New Roman" w:cs="Times New Roman"/>
          <w:spacing w:val="-16"/>
          <w:sz w:val="24"/>
          <w:szCs w:val="24"/>
        </w:rPr>
        <w:t xml:space="preserve"> </w:t>
      </w:r>
      <w:r>
        <w:rPr>
          <w:rFonts w:ascii="Times New Roman" w:hAnsi="Times New Roman" w:cs="Times New Roman"/>
          <w:sz w:val="24"/>
          <w:szCs w:val="24"/>
        </w:rPr>
        <w:t>and</w:t>
      </w:r>
      <w:r>
        <w:rPr>
          <w:rFonts w:ascii="Times New Roman" w:hAnsi="Times New Roman" w:cs="Times New Roman"/>
          <w:spacing w:val="-9"/>
          <w:sz w:val="24"/>
          <w:szCs w:val="24"/>
        </w:rPr>
        <w:t xml:space="preserve"> </w:t>
      </w:r>
      <w:r>
        <w:rPr>
          <w:rFonts w:ascii="Times New Roman" w:hAnsi="Times New Roman" w:cs="Times New Roman"/>
          <w:sz w:val="24"/>
          <w:szCs w:val="24"/>
        </w:rPr>
        <w:t>reduce</w:t>
      </w:r>
      <w:r>
        <w:rPr>
          <w:rFonts w:ascii="Times New Roman" w:hAnsi="Times New Roman" w:cs="Times New Roman"/>
          <w:spacing w:val="-12"/>
          <w:sz w:val="24"/>
          <w:szCs w:val="24"/>
        </w:rPr>
        <w:t xml:space="preserve"> </w:t>
      </w:r>
      <w:r>
        <w:rPr>
          <w:rFonts w:ascii="Times New Roman" w:hAnsi="Times New Roman" w:cs="Times New Roman"/>
          <w:sz w:val="24"/>
          <w:szCs w:val="24"/>
        </w:rPr>
        <w:t>recidivism.</w:t>
      </w:r>
    </w:p>
    <w:p w:rsidR="002C5025" w:rsidRDefault="002C5025">
      <w:pPr>
        <w:pStyle w:val="BodyText"/>
        <w:kinsoku w:val="0"/>
        <w:overflowPunct w:val="0"/>
        <w:spacing w:before="9"/>
        <w:rPr>
          <w:rFonts w:ascii="Times New Roman" w:hAnsi="Times New Roman" w:cs="Times New Roman"/>
          <w:sz w:val="26"/>
          <w:szCs w:val="26"/>
        </w:rPr>
      </w:pPr>
    </w:p>
    <w:p w:rsidR="002C5025" w:rsidRDefault="002C5025">
      <w:pPr>
        <w:pStyle w:val="BodyText"/>
        <w:kinsoku w:val="0"/>
        <w:overflowPunct w:val="0"/>
        <w:spacing w:line="276" w:lineRule="auto"/>
        <w:ind w:left="127" w:right="104"/>
        <w:jc w:val="both"/>
        <w:rPr>
          <w:rFonts w:ascii="Times New Roman" w:hAnsi="Times New Roman" w:cs="Times New Roman"/>
          <w:sz w:val="24"/>
          <w:szCs w:val="24"/>
        </w:rPr>
      </w:pPr>
      <w:r>
        <w:rPr>
          <w:rFonts w:ascii="Times New Roman" w:hAnsi="Times New Roman" w:cs="Times New Roman"/>
          <w:sz w:val="24"/>
          <w:szCs w:val="24"/>
        </w:rPr>
        <w:t xml:space="preserve">Thank you for the opportunity to provide feedback in advance of the Commonwealth's MassHealth </w:t>
      </w:r>
      <w:r>
        <w:rPr>
          <w:rFonts w:ascii="Times New Roman" w:hAnsi="Times New Roman" w:cs="Times New Roman"/>
          <w:sz w:val="23"/>
          <w:szCs w:val="23"/>
        </w:rPr>
        <w:t xml:space="preserve">1115 </w:t>
      </w:r>
      <w:r>
        <w:rPr>
          <w:rFonts w:ascii="Times New Roman" w:hAnsi="Times New Roman" w:cs="Times New Roman"/>
          <w:sz w:val="24"/>
          <w:szCs w:val="24"/>
        </w:rPr>
        <w:t xml:space="preserve">Demonstration Extension submission. I look forward to continuing  to work with you to utilize health insurance as a tool to break the cycle of addiction and address the critical mental health needs of justice involved populations. </w:t>
      </w:r>
      <w:r>
        <w:rPr>
          <w:rFonts w:ascii="Arial" w:hAnsi="Arial" w:cs="Arial"/>
          <w:sz w:val="23"/>
          <w:szCs w:val="23"/>
        </w:rPr>
        <w:t xml:space="preserve">If </w:t>
      </w:r>
      <w:r>
        <w:rPr>
          <w:rFonts w:ascii="Times New Roman" w:hAnsi="Times New Roman" w:cs="Times New Roman"/>
          <w:spacing w:val="-3"/>
          <w:sz w:val="24"/>
          <w:szCs w:val="24"/>
        </w:rPr>
        <w:t xml:space="preserve">you </w:t>
      </w:r>
      <w:r>
        <w:rPr>
          <w:rFonts w:ascii="Times New Roman" w:hAnsi="Times New Roman" w:cs="Times New Roman"/>
          <w:sz w:val="24"/>
          <w:szCs w:val="24"/>
        </w:rPr>
        <w:t xml:space="preserve">have any questions or concerns, please contact David Ryan, Policy Director at </w:t>
      </w:r>
      <w:r>
        <w:rPr>
          <w:rFonts w:ascii="Times New Roman" w:hAnsi="Times New Roman" w:cs="Times New Roman"/>
          <w:sz w:val="23"/>
          <w:szCs w:val="23"/>
        </w:rPr>
        <w:t xml:space="preserve">(781)960-2833 </w:t>
      </w:r>
      <w:r>
        <w:rPr>
          <w:rFonts w:ascii="Times New Roman" w:hAnsi="Times New Roman" w:cs="Times New Roman"/>
          <w:sz w:val="24"/>
          <w:szCs w:val="24"/>
        </w:rPr>
        <w:t>if you  have  any  questions or</w:t>
      </w:r>
      <w:r>
        <w:rPr>
          <w:rFonts w:ascii="Times New Roman" w:hAnsi="Times New Roman" w:cs="Times New Roman"/>
          <w:spacing w:val="-29"/>
          <w:sz w:val="24"/>
          <w:szCs w:val="24"/>
        </w:rPr>
        <w:t xml:space="preserve"> </w:t>
      </w:r>
      <w:r>
        <w:rPr>
          <w:rFonts w:ascii="Times New Roman" w:hAnsi="Times New Roman" w:cs="Times New Roman"/>
          <w:sz w:val="24"/>
          <w:szCs w:val="24"/>
        </w:rPr>
        <w:t>concerns.</w:t>
      </w:r>
    </w:p>
    <w:p w:rsidR="002C5025" w:rsidRDefault="002C5025">
      <w:pPr>
        <w:pStyle w:val="BodyText"/>
        <w:kinsoku w:val="0"/>
        <w:overflowPunct w:val="0"/>
        <w:rPr>
          <w:rFonts w:ascii="Times New Roman" w:hAnsi="Times New Roman" w:cs="Times New Roman"/>
          <w:sz w:val="27"/>
          <w:szCs w:val="27"/>
        </w:rPr>
      </w:pPr>
    </w:p>
    <w:p w:rsidR="002C5025" w:rsidRDefault="00FB027C">
      <w:pPr>
        <w:pStyle w:val="BodyText"/>
        <w:kinsoku w:val="0"/>
        <w:overflowPunct w:val="0"/>
        <w:ind w:left="4433" w:right="4180"/>
        <w:jc w:val="center"/>
        <w:rPr>
          <w:rFonts w:ascii="Times New Roman" w:hAnsi="Times New Roman" w:cs="Times New Roman"/>
          <w:sz w:val="24"/>
          <w:szCs w:val="24"/>
        </w:rPr>
      </w:pPr>
      <w:r>
        <w:rPr>
          <w:noProof/>
        </w:rPr>
        <mc:AlternateContent>
          <mc:Choice Requires="wps">
            <w:drawing>
              <wp:anchor distT="0" distB="0" distL="0" distR="0" simplePos="0" relativeHeight="251815424" behindDoc="0" locked="0" layoutInCell="0" allowOverlap="1">
                <wp:simplePos x="0" y="0"/>
                <wp:positionH relativeFrom="page">
                  <wp:posOffset>3693795</wp:posOffset>
                </wp:positionH>
                <wp:positionV relativeFrom="paragraph">
                  <wp:posOffset>220345</wp:posOffset>
                </wp:positionV>
                <wp:extent cx="1333500" cy="736600"/>
                <wp:effectExtent l="0" t="0" r="0" b="0"/>
                <wp:wrapTopAndBottom/>
                <wp:docPr id="268" name="Rectangle 8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736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1160" w:lineRule="atLeast"/>
                            </w:pPr>
                            <w:r>
                              <w:rPr>
                                <w:noProof/>
                              </w:rPr>
                              <w:drawing>
                                <wp:inline distT="0" distB="0" distL="0" distR="0">
                                  <wp:extent cx="1333500" cy="733425"/>
                                  <wp:effectExtent l="0" t="0" r="0" b="9525"/>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589">
                                            <a:extLst>
                                              <a:ext uri="{28A0092B-C50C-407E-A947-70E740481C1C}">
                                                <a14:useLocalDpi xmlns:a14="http://schemas.microsoft.com/office/drawing/2010/main" val="0"/>
                                              </a:ext>
                                            </a:extLst>
                                          </a:blip>
                                          <a:srcRect/>
                                          <a:stretch>
                                            <a:fillRect/>
                                          </a:stretch>
                                        </pic:blipFill>
                                        <pic:spPr bwMode="auto">
                                          <a:xfrm>
                                            <a:off x="0" y="0"/>
                                            <a:ext cx="1333500" cy="733425"/>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2" o:spid="_x0000_s1287" style="position:absolute;left:0;text-align:left;margin-left:290.85pt;margin-top:17.35pt;width:105pt;height:58pt;z-index:251815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" o:allowincell="f" filled="f" stroked="f">
                <v:textbox inset="0,0,0,0">
                  <w:txbxContent>
                    <w:p w:rsidR="007B2B7B" w:rsidRDefault="007B2B7B">
                      <w:pPr>
                        <w:widowControl/>
                        <w:autoSpaceDE/>
                        <w:autoSpaceDN/>
                        <w:adjustRightInd/>
                        <w:spacing w:line="1160" w:lineRule="atLeast"/>
                      </w:pPr>
                      <w:r>
                        <w:rPr>
                          <w:noProof/>
                        </w:rPr>
                        <w:drawing>
                          <wp:inline distT="0" distB="0" distL="0" distR="0">
                            <wp:extent cx="1333500" cy="733425"/>
                            <wp:effectExtent l="0" t="0" r="0" b="9525"/>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590">
                                      <a:extLst>
                                        <a:ext uri="{28A0092B-C50C-407E-A947-70E740481C1C}">
                                          <a14:useLocalDpi xmlns:a14="http://schemas.microsoft.com/office/drawing/2010/main" val="0"/>
                                        </a:ext>
                                      </a:extLst>
                                    </a:blip>
                                    <a:srcRect/>
                                    <a:stretch>
                                      <a:fillRect/>
                                    </a:stretch>
                                  </pic:blipFill>
                                  <pic:spPr bwMode="auto">
                                    <a:xfrm>
                                      <a:off x="0" y="0"/>
                                      <a:ext cx="1333500" cy="733425"/>
                                    </a:xfrm>
                                    <a:prstGeom prst="rect">
                                      <a:avLst/>
                                    </a:prstGeom>
                                    <a:noFill/>
                                    <a:ln>
                                      <a:noFill/>
                                    </a:ln>
                                  </pic:spPr>
                                </pic:pic>
                              </a:graphicData>
                            </a:graphic>
                          </wp:inline>
                        </w:drawing>
                      </w:r>
                    </w:p>
                    <w:p w:rsidR="007B2B7B" w:rsidRDefault="007B2B7B"/>
                  </w:txbxContent>
                </v:textbox>
                <w10:wrap type="topAndBottom" anchorx="page"/>
              </v:rect>
            </w:pict>
          </mc:Fallback>
        </mc:AlternateContent>
      </w:r>
      <w:r w:rsidR="002C5025">
        <w:rPr>
          <w:rFonts w:ascii="Times New Roman" w:hAnsi="Times New Roman" w:cs="Times New Roman"/>
          <w:sz w:val="24"/>
          <w:szCs w:val="24"/>
        </w:rPr>
        <w:t>Sincerely,</w:t>
      </w:r>
    </w:p>
    <w:p w:rsidR="002C5025" w:rsidRDefault="002C5025">
      <w:pPr>
        <w:pStyle w:val="BodyText"/>
        <w:kinsoku w:val="0"/>
        <w:overflowPunct w:val="0"/>
        <w:spacing w:before="48"/>
        <w:ind w:left="4452" w:right="201"/>
        <w:rPr>
          <w:rFonts w:ascii="Times New Roman" w:hAnsi="Times New Roman" w:cs="Times New Roman"/>
          <w:b/>
          <w:bCs/>
          <w:sz w:val="23"/>
          <w:szCs w:val="23"/>
        </w:rPr>
      </w:pPr>
      <w:bookmarkStart w:id="267" w:name="PETER_J._KOUTOUJIAN"/>
      <w:bookmarkEnd w:id="267"/>
      <w:r>
        <w:rPr>
          <w:rFonts w:ascii="Times New Roman" w:hAnsi="Times New Roman" w:cs="Times New Roman"/>
          <w:b/>
          <w:bCs/>
          <w:sz w:val="23"/>
          <w:szCs w:val="23"/>
        </w:rPr>
        <w:t>PETER  J. KOUTOUJIAN</w:t>
      </w:r>
    </w:p>
    <w:p w:rsidR="002C5025" w:rsidRDefault="002C5025">
      <w:pPr>
        <w:pStyle w:val="BodyText"/>
        <w:kinsoku w:val="0"/>
        <w:overflowPunct w:val="0"/>
        <w:spacing w:before="48"/>
        <w:ind w:left="4452" w:right="201"/>
        <w:rPr>
          <w:rFonts w:ascii="Times New Roman" w:hAnsi="Times New Roman" w:cs="Times New Roman"/>
          <w:b/>
          <w:bCs/>
          <w:sz w:val="23"/>
          <w:szCs w:val="23"/>
        </w:rPr>
        <w:sectPr w:rsidR="002C5025">
          <w:pgSz w:w="12240" w:h="15840"/>
          <w:pgMar w:top="1480" w:right="1300" w:bottom="280" w:left="1320" w:header="720" w:footer="720" w:gutter="0"/>
          <w:cols w:space="720" w:equalWidth="0">
            <w:col w:w="9620"/>
          </w:cols>
          <w:noEndnote/>
        </w:sectPr>
      </w:pPr>
    </w:p>
    <w:p w:rsidR="002C5025" w:rsidRDefault="002C5025">
      <w:pPr>
        <w:pStyle w:val="BodyText"/>
        <w:kinsoku w:val="0"/>
        <w:overflowPunct w:val="0"/>
        <w:spacing w:before="63"/>
        <w:ind w:left="128" w:right="-1"/>
        <w:rPr>
          <w:rFonts w:ascii="Times New Roman" w:hAnsi="Times New Roman" w:cs="Times New Roman"/>
          <w:spacing w:val="2"/>
          <w:w w:val="110"/>
          <w:sz w:val="17"/>
          <w:szCs w:val="17"/>
        </w:rPr>
      </w:pPr>
      <w:r>
        <w:rPr>
          <w:rFonts w:ascii="Times New Roman" w:hAnsi="Times New Roman" w:cs="Times New Roman"/>
          <w:spacing w:val="2"/>
          <w:w w:val="110"/>
          <w:sz w:val="17"/>
          <w:szCs w:val="17"/>
        </w:rPr>
        <w:lastRenderedPageBreak/>
        <w:t>DEPARTMENT</w:t>
      </w:r>
      <w:r>
        <w:rPr>
          <w:rFonts w:ascii="Times New Roman" w:hAnsi="Times New Roman" w:cs="Times New Roman"/>
          <w:spacing w:val="-20"/>
          <w:w w:val="110"/>
          <w:sz w:val="17"/>
          <w:szCs w:val="17"/>
        </w:rPr>
        <w:t xml:space="preserve"> </w:t>
      </w:r>
      <w:r>
        <w:rPr>
          <w:rFonts w:ascii="Times New Roman" w:hAnsi="Times New Roman" w:cs="Times New Roman"/>
          <w:w w:val="110"/>
          <w:sz w:val="17"/>
          <w:szCs w:val="17"/>
        </w:rPr>
        <w:t>OF</w:t>
      </w:r>
      <w:r>
        <w:rPr>
          <w:rFonts w:ascii="Times New Roman" w:hAnsi="Times New Roman" w:cs="Times New Roman"/>
          <w:spacing w:val="-28"/>
          <w:w w:val="110"/>
          <w:sz w:val="17"/>
          <w:szCs w:val="17"/>
        </w:rPr>
        <w:t xml:space="preserve"> </w:t>
      </w:r>
      <w:r>
        <w:rPr>
          <w:rFonts w:ascii="Times New Roman" w:hAnsi="Times New Roman" w:cs="Times New Roman"/>
          <w:w w:val="110"/>
          <w:sz w:val="17"/>
          <w:szCs w:val="17"/>
        </w:rPr>
        <w:t>HEAL</w:t>
      </w:r>
      <w:r>
        <w:rPr>
          <w:rFonts w:ascii="Arial" w:hAnsi="Arial" w:cs="Arial"/>
          <w:w w:val="110"/>
          <w:sz w:val="17"/>
          <w:szCs w:val="17"/>
        </w:rPr>
        <w:t>TI</w:t>
      </w:r>
      <w:r>
        <w:rPr>
          <w:rFonts w:ascii="Arial" w:hAnsi="Arial" w:cs="Arial"/>
          <w:spacing w:val="-6"/>
          <w:w w:val="110"/>
          <w:sz w:val="17"/>
          <w:szCs w:val="17"/>
        </w:rPr>
        <w:t xml:space="preserve"> </w:t>
      </w:r>
      <w:r>
        <w:rPr>
          <w:rFonts w:ascii="Arial" w:hAnsi="Arial" w:cs="Arial"/>
          <w:w w:val="110"/>
          <w:sz w:val="16"/>
          <w:szCs w:val="16"/>
        </w:rPr>
        <w:t>&amp;</w:t>
      </w:r>
      <w:r>
        <w:rPr>
          <w:rFonts w:ascii="Arial" w:hAnsi="Arial" w:cs="Arial"/>
          <w:spacing w:val="-33"/>
          <w:w w:val="110"/>
          <w:sz w:val="16"/>
          <w:szCs w:val="16"/>
        </w:rPr>
        <w:t xml:space="preserve"> </w:t>
      </w:r>
      <w:r>
        <w:rPr>
          <w:rFonts w:ascii="Times New Roman" w:hAnsi="Times New Roman" w:cs="Times New Roman"/>
          <w:w w:val="110"/>
          <w:sz w:val="17"/>
          <w:szCs w:val="17"/>
        </w:rPr>
        <w:t>HUMAN</w:t>
      </w:r>
      <w:r>
        <w:rPr>
          <w:rFonts w:ascii="Times New Roman" w:hAnsi="Times New Roman" w:cs="Times New Roman"/>
          <w:spacing w:val="-23"/>
          <w:w w:val="110"/>
          <w:sz w:val="17"/>
          <w:szCs w:val="17"/>
        </w:rPr>
        <w:t xml:space="preserve"> </w:t>
      </w:r>
      <w:r>
        <w:rPr>
          <w:rFonts w:ascii="Times New Roman" w:hAnsi="Times New Roman" w:cs="Times New Roman"/>
          <w:spacing w:val="2"/>
          <w:w w:val="110"/>
          <w:sz w:val="17"/>
          <w:szCs w:val="17"/>
        </w:rPr>
        <w:t>SERVICES</w:t>
      </w:r>
    </w:p>
    <w:p w:rsidR="002C5025" w:rsidRDefault="002C5025">
      <w:pPr>
        <w:pStyle w:val="BodyText"/>
        <w:kinsoku w:val="0"/>
        <w:overflowPunct w:val="0"/>
        <w:spacing w:before="23"/>
        <w:ind w:left="128" w:right="-1"/>
        <w:rPr>
          <w:rFonts w:ascii="Times New Roman" w:hAnsi="Times New Roman" w:cs="Times New Roman"/>
          <w:b/>
          <w:bCs/>
          <w:w w:val="105"/>
          <w:sz w:val="17"/>
          <w:szCs w:val="17"/>
        </w:rPr>
      </w:pPr>
      <w:r>
        <w:rPr>
          <w:rFonts w:ascii="Times New Roman" w:hAnsi="Times New Roman" w:cs="Times New Roman"/>
          <w:b/>
          <w:bCs/>
          <w:w w:val="105"/>
          <w:sz w:val="17"/>
          <w:szCs w:val="17"/>
        </w:rPr>
        <w:t xml:space="preserve">Centers for Medicare </w:t>
      </w:r>
      <w:r>
        <w:rPr>
          <w:rFonts w:ascii="Arial" w:hAnsi="Arial" w:cs="Arial"/>
          <w:b/>
          <w:bCs/>
          <w:w w:val="105"/>
          <w:sz w:val="16"/>
          <w:szCs w:val="16"/>
        </w:rPr>
        <w:t xml:space="preserve">&amp; </w:t>
      </w:r>
      <w:r>
        <w:rPr>
          <w:rFonts w:ascii="Times New Roman" w:hAnsi="Times New Roman" w:cs="Times New Roman"/>
          <w:b/>
          <w:bCs/>
          <w:w w:val="105"/>
          <w:sz w:val="17"/>
          <w:szCs w:val="17"/>
        </w:rPr>
        <w:t>Medicaid Se1vices</w:t>
      </w:r>
    </w:p>
    <w:p w:rsidR="002C5025" w:rsidRDefault="002C5025">
      <w:pPr>
        <w:pStyle w:val="BodyText"/>
        <w:kinsoku w:val="0"/>
        <w:overflowPunct w:val="0"/>
        <w:spacing w:before="13"/>
        <w:ind w:left="128" w:right="-1"/>
        <w:rPr>
          <w:rFonts w:ascii="Times New Roman" w:hAnsi="Times New Roman" w:cs="Times New Roman"/>
          <w:w w:val="105"/>
          <w:sz w:val="18"/>
          <w:szCs w:val="18"/>
        </w:rPr>
      </w:pPr>
      <w:r>
        <w:rPr>
          <w:rFonts w:ascii="Times New Roman" w:hAnsi="Times New Roman" w:cs="Times New Roman"/>
          <w:w w:val="105"/>
          <w:sz w:val="18"/>
          <w:szCs w:val="18"/>
        </w:rPr>
        <w:t xml:space="preserve">7500 </w:t>
      </w:r>
      <w:proofErr w:type="spellStart"/>
      <w:r>
        <w:rPr>
          <w:rFonts w:ascii="Times New Roman" w:hAnsi="Times New Roman" w:cs="Times New Roman"/>
          <w:w w:val="105"/>
          <w:sz w:val="18"/>
          <w:szCs w:val="18"/>
        </w:rPr>
        <w:t>Securily</w:t>
      </w:r>
      <w:proofErr w:type="spellEnd"/>
      <w:r>
        <w:rPr>
          <w:rFonts w:ascii="Times New Roman" w:hAnsi="Times New Roman" w:cs="Times New Roman"/>
          <w:w w:val="105"/>
          <w:sz w:val="18"/>
          <w:szCs w:val="18"/>
        </w:rPr>
        <w:t xml:space="preserve"> Boulevard, Mail Stop 82-26-12</w:t>
      </w:r>
    </w:p>
    <w:p w:rsidR="002C5025" w:rsidRDefault="002C5025">
      <w:pPr>
        <w:pStyle w:val="BodyText"/>
        <w:kinsoku w:val="0"/>
        <w:overflowPunct w:val="0"/>
        <w:spacing w:before="16"/>
        <w:ind w:left="128" w:right="-1"/>
        <w:rPr>
          <w:rFonts w:ascii="Times New Roman" w:hAnsi="Times New Roman" w:cs="Times New Roman"/>
          <w:w w:val="105"/>
          <w:sz w:val="18"/>
          <w:szCs w:val="18"/>
        </w:rPr>
      </w:pPr>
      <w:r>
        <w:rPr>
          <w:rFonts w:ascii="Times New Roman" w:hAnsi="Times New Roman" w:cs="Times New Roman"/>
          <w:w w:val="105"/>
          <w:sz w:val="18"/>
          <w:szCs w:val="18"/>
        </w:rPr>
        <w:t>Baltimore, Maryland 21244-1850</w:t>
      </w:r>
    </w:p>
    <w:p w:rsidR="002C5025" w:rsidRDefault="002C5025">
      <w:pPr>
        <w:pStyle w:val="BodyText"/>
        <w:kinsoku w:val="0"/>
        <w:overflowPunct w:val="0"/>
        <w:spacing w:before="240" w:line="632" w:lineRule="exact"/>
        <w:ind w:left="1830"/>
        <w:rPr>
          <w:rFonts w:ascii="Arial" w:hAnsi="Arial" w:cs="Arial"/>
          <w:b/>
          <w:bCs/>
          <w:w w:val="145"/>
          <w:sz w:val="56"/>
          <w:szCs w:val="56"/>
        </w:rPr>
      </w:pPr>
      <w:r>
        <w:rPr>
          <w:rFonts w:ascii="Times New Roman" w:hAnsi="Times New Roman" w:cs="Times New Roman"/>
          <w:sz w:val="24"/>
          <w:szCs w:val="24"/>
        </w:rPr>
        <w:br w:type="column"/>
      </w:r>
      <w:r>
        <w:rPr>
          <w:rFonts w:ascii="Arial" w:hAnsi="Arial" w:cs="Arial"/>
          <w:b/>
          <w:bCs/>
          <w:w w:val="145"/>
          <w:sz w:val="56"/>
          <w:szCs w:val="56"/>
        </w:rPr>
        <w:lastRenderedPageBreak/>
        <w:t>S</w:t>
      </w:r>
    </w:p>
    <w:p w:rsidR="002C5025" w:rsidRDefault="00FB027C">
      <w:pPr>
        <w:pStyle w:val="BodyText"/>
        <w:kinsoku w:val="0"/>
        <w:overflowPunct w:val="0"/>
        <w:spacing w:line="103" w:lineRule="exact"/>
        <w:ind w:left="86" w:right="826"/>
        <w:jc w:val="center"/>
        <w:rPr>
          <w:rFonts w:ascii="Times New Roman" w:hAnsi="Times New Roman" w:cs="Times New Roman"/>
          <w:b/>
          <w:bCs/>
          <w:w w:val="85"/>
          <w:sz w:val="10"/>
          <w:szCs w:val="10"/>
        </w:rPr>
      </w:pPr>
      <w:r>
        <w:rPr>
          <w:noProof/>
        </w:rPr>
        <mc:AlternateContent>
          <mc:Choice Requires="wpg">
            <w:drawing>
              <wp:anchor distT="0" distB="0" distL="114300" distR="114300" simplePos="0" relativeHeight="251816448" behindDoc="1" locked="0" layoutInCell="0" allowOverlap="1">
                <wp:simplePos x="0" y="0"/>
                <wp:positionH relativeFrom="page">
                  <wp:posOffset>4535170</wp:posOffset>
                </wp:positionH>
                <wp:positionV relativeFrom="paragraph">
                  <wp:posOffset>-497205</wp:posOffset>
                </wp:positionV>
                <wp:extent cx="1255395" cy="518795"/>
                <wp:effectExtent l="0" t="0" r="0" b="0"/>
                <wp:wrapNone/>
                <wp:docPr id="259" name="Group 8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5395" cy="518795"/>
                          <a:chOff x="7142" y="-783"/>
                          <a:chExt cx="1977" cy="817"/>
                        </a:xfrm>
                      </wpg:grpSpPr>
                      <pic:pic xmlns:pic="http://schemas.openxmlformats.org/drawingml/2006/picture">
                        <pic:nvPicPr>
                          <pic:cNvPr id="1088" name="Picture 834"/>
                          <pic:cNvPicPr>
                            <a:picLocks noChangeAspect="1" noChangeArrowheads="1"/>
                          </pic:cNvPicPr>
                        </pic:nvPicPr>
                        <pic:blipFill>
                          <a:blip r:embed="rId591">
                            <a:extLst>
                              <a:ext uri="{28A0092B-C50C-407E-A947-70E740481C1C}">
                                <a14:useLocalDpi xmlns:a14="http://schemas.microsoft.com/office/drawing/2010/main" val="0"/>
                              </a:ext>
                            </a:extLst>
                          </a:blip>
                          <a:srcRect/>
                          <a:stretch>
                            <a:fillRect/>
                          </a:stretch>
                        </pic:blipFill>
                        <pic:spPr bwMode="auto">
                          <a:xfrm>
                            <a:off x="7142" y="-772"/>
                            <a:ext cx="840" cy="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89" name="Freeform 835"/>
                        <wps:cNvSpPr>
                          <a:spLocks/>
                        </wps:cNvSpPr>
                        <wps:spPr bwMode="auto">
                          <a:xfrm>
                            <a:off x="7959" y="-772"/>
                            <a:ext cx="1149" cy="20"/>
                          </a:xfrm>
                          <a:custGeom>
                            <a:avLst/>
                            <a:gdLst>
                              <a:gd name="T0" fmla="*/ 0 w 1149"/>
                              <a:gd name="T1" fmla="*/ 0 h 20"/>
                              <a:gd name="T2" fmla="*/ 1149 w 1149"/>
                              <a:gd name="T3" fmla="*/ 0 h 20"/>
                            </a:gdLst>
                            <a:ahLst/>
                            <a:cxnLst>
                              <a:cxn ang="0">
                                <a:pos x="T0" y="T1"/>
                              </a:cxn>
                              <a:cxn ang="0">
                                <a:pos x="T2" y="T3"/>
                              </a:cxn>
                            </a:cxnLst>
                            <a:rect l="0" t="0" r="r" b="b"/>
                            <a:pathLst>
                              <a:path w="1149" h="20">
                                <a:moveTo>
                                  <a:pt x="0" y="0"/>
                                </a:moveTo>
                                <a:lnTo>
                                  <a:pt x="1149" y="0"/>
                                </a:lnTo>
                              </a:path>
                            </a:pathLst>
                          </a:custGeom>
                          <a:noFill/>
                          <a:ln w="136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0" name="Text Box 836"/>
                        <wps:cNvSpPr txBox="1">
                          <a:spLocks noChangeArrowheads="1"/>
                        </wps:cNvSpPr>
                        <wps:spPr bwMode="auto">
                          <a:xfrm>
                            <a:off x="7142" y="-784"/>
                            <a:ext cx="1977" cy="8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pStyle w:val="BodyText"/>
                                <w:kinsoku w:val="0"/>
                                <w:overflowPunct w:val="0"/>
                                <w:spacing w:before="152"/>
                                <w:ind w:left="516"/>
                                <w:rPr>
                                  <w:rFonts w:ascii="Arial" w:hAnsi="Arial" w:cs="Arial"/>
                                  <w:b/>
                                  <w:bCs/>
                                  <w:spacing w:val="-4"/>
                                  <w:w w:val="140"/>
                                  <w:sz w:val="56"/>
                                  <w:szCs w:val="56"/>
                                </w:rPr>
                              </w:pPr>
                              <w:r>
                                <w:rPr>
                                  <w:rFonts w:ascii="Arial" w:hAnsi="Arial" w:cs="Arial"/>
                                  <w:b/>
                                  <w:bCs/>
                                  <w:spacing w:val="-4"/>
                                  <w:w w:val="140"/>
                                  <w:sz w:val="56"/>
                                  <w:szCs w:val="56"/>
                                </w:rPr>
                                <w:t>Cl\</w:t>
                              </w:r>
                              <w:proofErr w:type="spellStart"/>
                              <w:r>
                                <w:rPr>
                                  <w:rFonts w:ascii="Arial" w:hAnsi="Arial" w:cs="Arial"/>
                                  <w:b/>
                                  <w:bCs/>
                                  <w:spacing w:val="-4"/>
                                  <w:w w:val="140"/>
                                  <w:sz w:val="56"/>
                                  <w:szCs w:val="56"/>
                                </w:rPr>
                                <w:t>ll</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33" o:spid="_x0000_s1288" style="position:absolute;left:0;text-align:left;margin-left:357.1pt;margin-top:-39.15pt;width:98.85pt;height:40.85pt;z-index:-251500032;mso-position-horizontal-relative:page;mso-position-vertical-relative:text" coordorigin="7142,-783" coordsize="1977,8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" o:allowincell="f">
                <v:shape id="Picture 834" o:spid="_x0000_s1289" type="#_x0000_t75" style="position:absolute;left:7142;top:-772;width:840;height:8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MKbPGAAAA3QAAAA8AAABkcnMvZG93bnJldi54bWxEj0FrwkAQhe9C/8MyBS+im6QQJHUNbaHF&#10;k1Rb1OOQnSYhu7Mhu9X477sFwdsM78373qzK0RpxpsG3jhWkiwQEceV0y7WC76/3+RKED8gajWNS&#10;cCUP5fphssJCuwvv6LwPtYgh7AtU0ITQF1L6qiGLfuF64qj9uMFiiOtQSz3gJYZbI7MkyaXFliOh&#10;wZ7eGqq6/a+NkKWZBTxu81ybU/eaPn10/HlQavo4vjyDCDSGu/l2vdGxfpql8P9NHEGu/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Awps8YAAADdAAAADwAAAAAAAAAAAAAA&#10;AACfAgAAZHJzL2Rvd25yZXYueG1sUEsFBgAAAAAEAAQA9wAAAJIDAAAAAA==&#10;">
                  <v:imagedata r:id="rId592" o:title=""/>
                </v:shape>
                <v:shape id="Freeform 835" o:spid="_x0000_s1290" style="position:absolute;left:7959;top:-772;width:1149;height:20;visibility:visible;mso-wrap-style:square;v-text-anchor:top" coordsize="114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kC68QA&#10;AADdAAAADwAAAGRycy9kb3ducmV2LnhtbERPTWvCQBC9C/0PyxS86cYcqkTXEFoqgkhpLAVvY3ZM&#10;otnZkF1N+u+7hYK3ebzPWaWDacSdOldbVjCbRiCIC6trLhV8Hd4nCxDOI2tsLJOCH3KQrp9GK0y0&#10;7fmT7rkvRQhhl6CCyvs2kdIVFRl0U9sSB+5sO4M+wK6UusM+hJtGxlH0Ig3WHBoqbOm1ouKa34yC&#10;bf8W7y67j4X5PtFmnm3yPR5rpcbPQ7YE4WnwD/G/e6vD/Fkcw9834QS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ZAuvEAAAA3QAAAA8AAAAAAAAAAAAAAAAAmAIAAGRycy9k&#10;b3ducmV2LnhtbFBLBQYAAAAABAAEAPUAAACJAwAAAAA=&#10;" path="m,l1149,e" filled="f" strokeweight=".37992mm">
                  <v:path arrowok="t" o:connecttype="custom" o:connectlocs="0,0;1149,0" o:connectangles="0,0"/>
                </v:shape>
                <v:shape id="Text Box 836" o:spid="_x0000_s1291" type="#_x0000_t202" style="position:absolute;left:7142;top:-784;width:1977;height:8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6sMsMA&#10;AADdAAAADwAAAGRycy9kb3ducmV2LnhtbERPTYvCMBC9C/6HMII3TVUQrUaRRWFBWLZ2D3scm7EN&#10;NpNuk9X67zcLgrd5vM9Zbztbixu13jhWMBknIIgLpw2XCr7yw2gBwgdkjbVjUvAgD9tNv7fGVLs7&#10;Z3Q7hVLEEPYpKqhCaFIpfVGRRT92DXHkLq61GCJsS6lbvMdwW8tpksylRcOxocKG3ioqrqdfq2D3&#10;zdne/HycP7NLZvJ8mfBxflVqOOh2KxCBuvASP93vOs6fTGfw/008QW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h6sMsMAAADdAAAADwAAAAAAAAAAAAAAAACYAgAAZHJzL2Rv&#10;d25yZXYueG1sUEsFBgAAAAAEAAQA9QAAAIgDAAAAAA==&#10;" filled="f" stroked="f">
                  <v:textbox inset="0,0,0,0">
                    <w:txbxContent>
                      <w:p w:rsidR="007B2B7B" w:rsidRDefault="007B2B7B">
                        <w:pPr>
                          <w:pStyle w:val="BodyText"/>
                          <w:kinsoku w:val="0"/>
                          <w:overflowPunct w:val="0"/>
                          <w:spacing w:before="152"/>
                          <w:ind w:left="516"/>
                          <w:rPr>
                            <w:rFonts w:ascii="Arial" w:hAnsi="Arial" w:cs="Arial"/>
                            <w:b/>
                            <w:bCs/>
                            <w:spacing w:val="-4"/>
                            <w:w w:val="140"/>
                            <w:sz w:val="56"/>
                            <w:szCs w:val="56"/>
                          </w:rPr>
                        </w:pPr>
                        <w:r>
                          <w:rPr>
                            <w:rFonts w:ascii="Arial" w:hAnsi="Arial" w:cs="Arial"/>
                            <w:b/>
                            <w:bCs/>
                            <w:spacing w:val="-4"/>
                            <w:w w:val="140"/>
                            <w:sz w:val="56"/>
                            <w:szCs w:val="56"/>
                          </w:rPr>
                          <w:t>Cl\ll</w:t>
                        </w:r>
                      </w:p>
                    </w:txbxContent>
                  </v:textbox>
                </v:shape>
                <w10:wrap anchorx="page"/>
              </v:group>
            </w:pict>
          </mc:Fallback>
        </mc:AlternateContent>
      </w:r>
      <w:r w:rsidR="002C5025">
        <w:rPr>
          <w:rFonts w:ascii="Times New Roman" w:hAnsi="Times New Roman" w:cs="Times New Roman"/>
          <w:b/>
          <w:bCs/>
          <w:w w:val="85"/>
          <w:sz w:val="10"/>
          <w:szCs w:val="10"/>
        </w:rPr>
        <w:t xml:space="preserve">CENTERS </w:t>
      </w:r>
      <w:proofErr w:type="spellStart"/>
      <w:r w:rsidR="002C5025">
        <w:rPr>
          <w:rFonts w:ascii="Times New Roman" w:hAnsi="Times New Roman" w:cs="Times New Roman"/>
          <w:b/>
          <w:bCs/>
          <w:w w:val="85"/>
          <w:sz w:val="10"/>
          <w:szCs w:val="10"/>
        </w:rPr>
        <w:t>FO!t</w:t>
      </w:r>
      <w:proofErr w:type="spellEnd"/>
      <w:r w:rsidR="002C5025">
        <w:rPr>
          <w:rFonts w:ascii="Times New Roman" w:hAnsi="Times New Roman" w:cs="Times New Roman"/>
          <w:b/>
          <w:bCs/>
          <w:w w:val="85"/>
          <w:sz w:val="10"/>
          <w:szCs w:val="10"/>
        </w:rPr>
        <w:t xml:space="preserve"> MEUICARE </w:t>
      </w:r>
      <w:r w:rsidR="002C5025">
        <w:rPr>
          <w:rFonts w:ascii="Arial" w:hAnsi="Arial" w:cs="Arial"/>
          <w:b/>
          <w:bCs/>
          <w:w w:val="85"/>
          <w:sz w:val="9"/>
          <w:szCs w:val="9"/>
        </w:rPr>
        <w:t xml:space="preserve">&amp; </w:t>
      </w:r>
      <w:r w:rsidR="002C5025">
        <w:rPr>
          <w:rFonts w:ascii="Times New Roman" w:hAnsi="Times New Roman" w:cs="Times New Roman"/>
          <w:b/>
          <w:bCs/>
          <w:w w:val="85"/>
          <w:sz w:val="10"/>
          <w:szCs w:val="10"/>
        </w:rPr>
        <w:t>MEDICAID SERYICES</w:t>
      </w:r>
    </w:p>
    <w:p w:rsidR="002C5025" w:rsidRDefault="002C5025">
      <w:pPr>
        <w:pStyle w:val="BodyText"/>
        <w:kinsoku w:val="0"/>
        <w:overflowPunct w:val="0"/>
        <w:spacing w:before="8"/>
        <w:ind w:left="86" w:right="838"/>
        <w:jc w:val="center"/>
        <w:rPr>
          <w:rFonts w:ascii="Times New Roman" w:hAnsi="Times New Roman" w:cs="Times New Roman"/>
          <w:b/>
          <w:bCs/>
          <w:w w:val="90"/>
          <w:sz w:val="13"/>
          <w:szCs w:val="13"/>
        </w:rPr>
      </w:pPr>
      <w:r>
        <w:rPr>
          <w:rFonts w:ascii="Times New Roman" w:hAnsi="Times New Roman" w:cs="Times New Roman"/>
          <w:b/>
          <w:bCs/>
          <w:w w:val="90"/>
          <w:sz w:val="13"/>
          <w:szCs w:val="13"/>
        </w:rPr>
        <w:t xml:space="preserve">CENTER FOR MEOICAID </w:t>
      </w:r>
      <w:r>
        <w:rPr>
          <w:rFonts w:ascii="Arial" w:hAnsi="Arial" w:cs="Arial"/>
          <w:b/>
          <w:bCs/>
          <w:w w:val="90"/>
          <w:sz w:val="12"/>
          <w:szCs w:val="12"/>
        </w:rPr>
        <w:t xml:space="preserve">&amp; </w:t>
      </w:r>
      <w:r>
        <w:rPr>
          <w:rFonts w:ascii="Times New Roman" w:hAnsi="Times New Roman" w:cs="Times New Roman"/>
          <w:b/>
          <w:bCs/>
          <w:w w:val="90"/>
          <w:sz w:val="13"/>
          <w:szCs w:val="13"/>
        </w:rPr>
        <w:t>CHIP SERVICES</w:t>
      </w:r>
    </w:p>
    <w:p w:rsidR="002C5025" w:rsidRDefault="002C5025">
      <w:pPr>
        <w:pStyle w:val="BodyText"/>
        <w:kinsoku w:val="0"/>
        <w:overflowPunct w:val="0"/>
        <w:spacing w:before="8"/>
        <w:ind w:left="86" w:right="838"/>
        <w:jc w:val="center"/>
        <w:rPr>
          <w:rFonts w:ascii="Times New Roman" w:hAnsi="Times New Roman" w:cs="Times New Roman"/>
          <w:b/>
          <w:bCs/>
          <w:w w:val="90"/>
          <w:sz w:val="13"/>
          <w:szCs w:val="13"/>
        </w:rPr>
        <w:sectPr w:rsidR="002C5025">
          <w:pgSz w:w="12240" w:h="15840"/>
          <w:pgMar w:top="1080" w:right="1520" w:bottom="280" w:left="1480" w:header="720" w:footer="720" w:gutter="0"/>
          <w:cols w:num="2" w:space="720" w:equalWidth="0">
            <w:col w:w="4182" w:space="1631"/>
            <w:col w:w="3427"/>
          </w:cols>
          <w:noEndnote/>
        </w:sectPr>
      </w:pPr>
    </w:p>
    <w:p w:rsidR="002C5025" w:rsidRDefault="002C5025">
      <w:pPr>
        <w:pStyle w:val="BodyText"/>
        <w:kinsoku w:val="0"/>
        <w:overflowPunct w:val="0"/>
        <w:spacing w:before="10"/>
        <w:rPr>
          <w:rFonts w:ascii="Times New Roman" w:hAnsi="Times New Roman" w:cs="Times New Roman"/>
          <w:b/>
          <w:bCs/>
          <w:sz w:val="7"/>
          <w:szCs w:val="7"/>
        </w:rPr>
      </w:pPr>
    </w:p>
    <w:p w:rsidR="002C5025" w:rsidRDefault="00FB027C">
      <w:pPr>
        <w:pStyle w:val="BodyText"/>
        <w:kinsoku w:val="0"/>
        <w:overflowPunct w:val="0"/>
        <w:spacing w:line="29" w:lineRule="exact"/>
        <w:ind w:left="107"/>
        <w:rPr>
          <w:rFonts w:ascii="Times New Roman" w:hAnsi="Times New Roman" w:cs="Times New Roman"/>
          <w:position w:val="-1"/>
          <w:sz w:val="2"/>
          <w:szCs w:val="2"/>
        </w:rPr>
      </w:pPr>
      <w:r>
        <w:rPr>
          <w:rFonts w:ascii="Times New Roman" w:hAnsi="Times New Roman" w:cs="Times New Roman"/>
          <w:noProof/>
          <w:position w:val="-1"/>
          <w:sz w:val="2"/>
          <w:szCs w:val="2"/>
        </w:rPr>
        <mc:AlternateContent>
          <mc:Choice Requires="wpg">
            <w:drawing>
              <wp:inline distT="0" distB="0" distL="0" distR="0">
                <wp:extent cx="5729605" cy="18415"/>
                <wp:effectExtent l="9525" t="9525" r="4445" b="635"/>
                <wp:docPr id="256" name="Group 8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9605" cy="18415"/>
                          <a:chOff x="0" y="0"/>
                          <a:chExt cx="9023" cy="29"/>
                        </a:xfrm>
                      </wpg:grpSpPr>
                      <wps:wsp>
                        <wps:cNvPr id="1092" name="Freeform 838"/>
                        <wps:cNvSpPr>
                          <a:spLocks/>
                        </wps:cNvSpPr>
                        <wps:spPr bwMode="auto">
                          <a:xfrm>
                            <a:off x="14" y="14"/>
                            <a:ext cx="8994" cy="20"/>
                          </a:xfrm>
                          <a:custGeom>
                            <a:avLst/>
                            <a:gdLst>
                              <a:gd name="T0" fmla="*/ 0 w 8994"/>
                              <a:gd name="T1" fmla="*/ 0 h 20"/>
                              <a:gd name="T2" fmla="*/ 8994 w 8994"/>
                              <a:gd name="T3" fmla="*/ 0 h 20"/>
                            </a:gdLst>
                            <a:ahLst/>
                            <a:cxnLst>
                              <a:cxn ang="0">
                                <a:pos x="T0" y="T1"/>
                              </a:cxn>
                              <a:cxn ang="0">
                                <a:pos x="T2" y="T3"/>
                              </a:cxn>
                            </a:cxnLst>
                            <a:rect l="0" t="0" r="r" b="b"/>
                            <a:pathLst>
                              <a:path w="8994" h="20">
                                <a:moveTo>
                                  <a:pt x="0" y="0"/>
                                </a:moveTo>
                                <a:lnTo>
                                  <a:pt x="8994" y="0"/>
                                </a:lnTo>
                              </a:path>
                            </a:pathLst>
                          </a:custGeom>
                          <a:noFill/>
                          <a:ln w="182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37" o:spid="_x0000_s1026" style="width:451.15pt;height:1.45pt;mso-position-horizontal-relative:char;mso-position-vertical-relative:line" coordsize="902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">
                <v:shape id="Freeform 838" o:spid="_x0000_s1027" style="position:absolute;left:14;top:14;width:8994;height:20;visibility:visible;mso-wrap-style:square;v-text-anchor:top" coordsize="899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5X9cIA&#10;AADcAAAADwAAAGRycy9kb3ducmV2LnhtbERPyWrDMBC9F/oPYgq9NXINbYITJZTSmp5C4jQ9D9ZY&#10;NrFGxpKX/H10KOT4ePtmN9tWjNT7xrGC10UCgrh0umGj4Pf0/bIC4QOyxtYxKbiSh9328WGDmXYT&#10;H2ksghExhH2GCuoQukxKX9Zk0S9cRxy5yvUWQ4S9kbrHKYbbVqZJ8i4tNhwbauzos6byUgxWwWrZ&#10;4ZeRVTWbQ3M+59Ow/8v3Sj0/zR9rEIHmcBf/u3+0gvQtro1n4hGQ2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vlf1wgAAANwAAAAPAAAAAAAAAAAAAAAAAJgCAABkcnMvZG93&#10;bnJldi54bWxQSwUGAAAAAAQABAD1AAAAhwMAAAAA&#10;" path="m,l8994,e" filled="f" strokeweight=".50692mm">
                  <v:path arrowok="t" o:connecttype="custom" o:connectlocs="0,0;8994,0" o:connectangles="0,0"/>
                </v:shape>
                <w10:anchorlock/>
              </v:group>
            </w:pict>
          </mc:Fallback>
        </mc:AlternateContent>
      </w:r>
    </w:p>
    <w:p w:rsidR="002C5025" w:rsidRDefault="002C5025">
      <w:pPr>
        <w:pStyle w:val="BodyText"/>
        <w:kinsoku w:val="0"/>
        <w:overflowPunct w:val="0"/>
        <w:spacing w:before="4"/>
        <w:rPr>
          <w:rFonts w:ascii="Times New Roman" w:hAnsi="Times New Roman" w:cs="Times New Roman"/>
          <w:b/>
          <w:bCs/>
          <w:sz w:val="15"/>
          <w:szCs w:val="15"/>
        </w:rPr>
      </w:pPr>
    </w:p>
    <w:p w:rsidR="002C5025" w:rsidRDefault="002C5025">
      <w:pPr>
        <w:pStyle w:val="BodyText"/>
        <w:kinsoku w:val="0"/>
        <w:overflowPunct w:val="0"/>
        <w:spacing w:before="73"/>
        <w:ind w:left="4258" w:right="3568"/>
        <w:jc w:val="center"/>
        <w:rPr>
          <w:rFonts w:ascii="Times New Roman" w:hAnsi="Times New Roman" w:cs="Times New Roman"/>
          <w:b/>
          <w:bCs/>
          <w:w w:val="105"/>
        </w:rPr>
      </w:pPr>
      <w:bookmarkStart w:id="268" w:name="SHO_#_16-007"/>
      <w:bookmarkEnd w:id="268"/>
      <w:r>
        <w:rPr>
          <w:rFonts w:ascii="Times New Roman" w:hAnsi="Times New Roman" w:cs="Times New Roman"/>
          <w:b/>
          <w:bCs/>
          <w:w w:val="105"/>
        </w:rPr>
        <w:t>SHO # 16-007</w:t>
      </w:r>
    </w:p>
    <w:p w:rsidR="002C5025" w:rsidRDefault="002C5025">
      <w:pPr>
        <w:pStyle w:val="BodyText"/>
        <w:kinsoku w:val="0"/>
        <w:overflowPunct w:val="0"/>
        <w:spacing w:before="9"/>
        <w:rPr>
          <w:rFonts w:ascii="Times New Roman" w:hAnsi="Times New Roman" w:cs="Times New Roman"/>
          <w:b/>
          <w:bCs/>
          <w:sz w:val="21"/>
          <w:szCs w:val="21"/>
        </w:rPr>
      </w:pPr>
    </w:p>
    <w:p w:rsidR="002C5025" w:rsidRDefault="002C5025">
      <w:pPr>
        <w:pStyle w:val="BodyText"/>
        <w:kinsoku w:val="0"/>
        <w:overflowPunct w:val="0"/>
        <w:spacing w:line="288" w:lineRule="auto"/>
        <w:ind w:left="4316" w:right="327" w:firstLine="7"/>
        <w:rPr>
          <w:rFonts w:ascii="Times New Roman" w:hAnsi="Times New Roman" w:cs="Times New Roman"/>
          <w:b/>
          <w:bCs/>
        </w:rPr>
      </w:pPr>
      <w:r>
        <w:rPr>
          <w:rFonts w:ascii="Times New Roman" w:hAnsi="Times New Roman" w:cs="Times New Roman"/>
          <w:b/>
          <w:bCs/>
        </w:rPr>
        <w:t>RE: To Facilitate successful re-entry for individuals transitioning from incarceration to their communities</w:t>
      </w:r>
    </w:p>
    <w:p w:rsidR="002C5025" w:rsidRDefault="002C5025">
      <w:pPr>
        <w:pStyle w:val="BodyText"/>
        <w:kinsoku w:val="0"/>
        <w:overflowPunct w:val="0"/>
        <w:spacing w:before="7"/>
        <w:rPr>
          <w:rFonts w:ascii="Times New Roman" w:hAnsi="Times New Roman" w:cs="Times New Roman"/>
          <w:b/>
          <w:bCs/>
          <w:sz w:val="9"/>
          <w:szCs w:val="9"/>
        </w:rPr>
      </w:pPr>
    </w:p>
    <w:p w:rsidR="002C5025" w:rsidRDefault="002C5025">
      <w:pPr>
        <w:pStyle w:val="BodyText"/>
        <w:kinsoku w:val="0"/>
        <w:overflowPunct w:val="0"/>
        <w:spacing w:before="72"/>
        <w:ind w:left="128" w:right="327"/>
        <w:rPr>
          <w:rFonts w:ascii="Times New Roman" w:hAnsi="Times New Roman" w:cs="Times New Roman"/>
        </w:rPr>
      </w:pPr>
      <w:r>
        <w:rPr>
          <w:rFonts w:ascii="Times New Roman" w:hAnsi="Times New Roman" w:cs="Times New Roman"/>
        </w:rPr>
        <w:t>April  28, 2016</w:t>
      </w:r>
    </w:p>
    <w:p w:rsidR="002C5025" w:rsidRDefault="002C5025">
      <w:pPr>
        <w:pStyle w:val="BodyText"/>
        <w:kinsoku w:val="0"/>
        <w:overflowPunct w:val="0"/>
        <w:spacing w:before="2"/>
        <w:rPr>
          <w:rFonts w:ascii="Times New Roman" w:hAnsi="Times New Roman" w:cs="Times New Roman"/>
          <w:sz w:val="21"/>
          <w:szCs w:val="21"/>
        </w:rPr>
      </w:pPr>
    </w:p>
    <w:p w:rsidR="002C5025" w:rsidRDefault="002C5025">
      <w:pPr>
        <w:pStyle w:val="BodyText"/>
        <w:kinsoku w:val="0"/>
        <w:overflowPunct w:val="0"/>
        <w:ind w:left="128" w:right="327"/>
        <w:rPr>
          <w:rFonts w:ascii="Times New Roman" w:hAnsi="Times New Roman" w:cs="Times New Roman"/>
        </w:rPr>
      </w:pPr>
      <w:r>
        <w:rPr>
          <w:rFonts w:ascii="Times New Roman" w:hAnsi="Times New Roman" w:cs="Times New Roman"/>
        </w:rPr>
        <w:t>Dear  State Health Official:</w:t>
      </w:r>
    </w:p>
    <w:p w:rsidR="002C5025" w:rsidRDefault="002C5025">
      <w:pPr>
        <w:pStyle w:val="BodyText"/>
        <w:kinsoku w:val="0"/>
        <w:overflowPunct w:val="0"/>
        <w:spacing w:before="9"/>
        <w:rPr>
          <w:rFonts w:ascii="Times New Roman" w:hAnsi="Times New Roman" w:cs="Times New Roman"/>
          <w:sz w:val="21"/>
          <w:szCs w:val="21"/>
        </w:rPr>
      </w:pPr>
    </w:p>
    <w:p w:rsidR="002C5025" w:rsidRDefault="002C5025">
      <w:pPr>
        <w:pStyle w:val="BodyText"/>
        <w:kinsoku w:val="0"/>
        <w:overflowPunct w:val="0"/>
        <w:spacing w:line="288" w:lineRule="auto"/>
        <w:ind w:left="128" w:right="626"/>
        <w:rPr>
          <w:rFonts w:ascii="Times New Roman" w:hAnsi="Times New Roman" w:cs="Times New Roman"/>
        </w:rPr>
      </w:pPr>
      <w:r>
        <w:rPr>
          <w:rFonts w:ascii="Times New Roman" w:hAnsi="Times New Roman" w:cs="Times New Roman"/>
        </w:rPr>
        <w:t xml:space="preserve">The purpose of this letter and its attachment is to provide guidance on facilitating access to covered Medicaid services for eligible individuals prior to and after a stay in a correctional institution. This State Health Official Letter with attached Questions and Answers (Qs </w:t>
      </w:r>
      <w:r>
        <w:rPr>
          <w:rFonts w:ascii="Arial" w:hAnsi="Arial" w:cs="Arial"/>
          <w:sz w:val="21"/>
          <w:szCs w:val="21"/>
        </w:rPr>
        <w:t xml:space="preserve">&amp; </w:t>
      </w:r>
      <w:r>
        <w:rPr>
          <w:rFonts w:ascii="Times New Roman" w:hAnsi="Times New Roman" w:cs="Times New Roman"/>
        </w:rPr>
        <w:t>As) describes how states can better facilitate access to Medicaid services for individuals transitioning  from  incarceration  to their</w:t>
      </w:r>
      <w:r>
        <w:rPr>
          <w:rFonts w:ascii="Times New Roman" w:hAnsi="Times New Roman" w:cs="Times New Roman"/>
          <w:spacing w:val="-10"/>
        </w:rPr>
        <w:t xml:space="preserve"> </w:t>
      </w:r>
      <w:r>
        <w:rPr>
          <w:rFonts w:ascii="Times New Roman" w:hAnsi="Times New Roman" w:cs="Times New Roman"/>
        </w:rPr>
        <w:t>communities.</w:t>
      </w:r>
    </w:p>
    <w:p w:rsidR="002C5025" w:rsidRDefault="002C5025">
      <w:pPr>
        <w:pStyle w:val="BodyText"/>
        <w:kinsoku w:val="0"/>
        <w:overflowPunct w:val="0"/>
        <w:spacing w:before="195" w:line="288" w:lineRule="auto"/>
        <w:ind w:left="128" w:right="327"/>
        <w:rPr>
          <w:rFonts w:ascii="Times New Roman" w:hAnsi="Times New Roman" w:cs="Times New Roman"/>
        </w:rPr>
      </w:pPr>
      <w:r>
        <w:rPr>
          <w:rFonts w:ascii="Times New Roman" w:hAnsi="Times New Roman" w:cs="Times New Roman"/>
        </w:rPr>
        <w:t>As a result of changes states are adopting in their Medicaid programs, individuals in many states who were previously uninsured now are eligible for Medicaid coverage, including a significant numbers of justice-involved  individuals.  While the Medicaid  statute limits payment  for services for individuals while residing in correctional institutions, Medicaid coverage can be crucial to ensuring  a successful transition  following  incarceration.   Many individuals  in the justice- involved population have a high prevalence of long-untreated, chronic health  care conditions as well as a high incidence of substance use and mental health disorders. Facilitating enrollment in Medicaid and supporting access to services following incarceration has the potential to make a significant difference in the health of this population and in eligible individuals' ability to obtain health  services that  can promote their well-being.  Such enrollment will  also help  individuals with disabilities obtain critical community services to avoid crises and unnecessary institutionalization.</w:t>
      </w:r>
    </w:p>
    <w:p w:rsidR="002C5025" w:rsidRDefault="002C5025">
      <w:pPr>
        <w:pStyle w:val="BodyText"/>
        <w:kinsoku w:val="0"/>
        <w:overflowPunct w:val="0"/>
        <w:spacing w:before="9"/>
        <w:rPr>
          <w:rFonts w:ascii="Times New Roman" w:hAnsi="Times New Roman" w:cs="Times New Roman"/>
          <w:sz w:val="17"/>
          <w:szCs w:val="17"/>
        </w:rPr>
      </w:pPr>
    </w:p>
    <w:p w:rsidR="002C5025" w:rsidRDefault="002C5025">
      <w:pPr>
        <w:pStyle w:val="BodyText"/>
        <w:kinsoku w:val="0"/>
        <w:overflowPunct w:val="0"/>
        <w:spacing w:line="288" w:lineRule="auto"/>
        <w:ind w:left="120" w:right="327" w:firstLine="7"/>
        <w:rPr>
          <w:rFonts w:ascii="Times New Roman" w:hAnsi="Times New Roman" w:cs="Times New Roman"/>
          <w:w w:val="105"/>
        </w:rPr>
      </w:pPr>
      <w:r>
        <w:rPr>
          <w:rFonts w:ascii="Times New Roman" w:hAnsi="Times New Roman" w:cs="Times New Roman"/>
          <w:w w:val="105"/>
        </w:rPr>
        <w:t xml:space="preserve">As states consider eligibility and coverage issues, many have asked questions about the longstanding provision of the </w:t>
      </w:r>
      <w:r>
        <w:rPr>
          <w:rFonts w:ascii="Times New Roman" w:hAnsi="Times New Roman" w:cs="Times New Roman"/>
          <w:spacing w:val="4"/>
          <w:w w:val="105"/>
        </w:rPr>
        <w:t xml:space="preserve">Medicaid </w:t>
      </w:r>
      <w:r>
        <w:rPr>
          <w:rFonts w:ascii="Times New Roman" w:hAnsi="Times New Roman" w:cs="Times New Roman"/>
          <w:w w:val="105"/>
        </w:rPr>
        <w:t>statute that excludes Medicaid payment for services provided</w:t>
      </w:r>
      <w:r>
        <w:rPr>
          <w:rFonts w:ascii="Times New Roman" w:hAnsi="Times New Roman" w:cs="Times New Roman"/>
          <w:spacing w:val="-16"/>
          <w:w w:val="105"/>
        </w:rPr>
        <w:t xml:space="preserve"> </w:t>
      </w:r>
      <w:r>
        <w:rPr>
          <w:rFonts w:ascii="Times New Roman" w:hAnsi="Times New Roman" w:cs="Times New Roman"/>
          <w:w w:val="105"/>
        </w:rPr>
        <w:t>to</w:t>
      </w:r>
      <w:r>
        <w:rPr>
          <w:rFonts w:ascii="Times New Roman" w:hAnsi="Times New Roman" w:cs="Times New Roman"/>
          <w:spacing w:val="-18"/>
          <w:w w:val="105"/>
        </w:rPr>
        <w:t xml:space="preserve"> </w:t>
      </w:r>
      <w:r>
        <w:rPr>
          <w:rFonts w:ascii="Times New Roman" w:hAnsi="Times New Roman" w:cs="Times New Roman"/>
          <w:w w:val="105"/>
        </w:rPr>
        <w:t>inmates</w:t>
      </w:r>
      <w:r>
        <w:rPr>
          <w:rFonts w:ascii="Times New Roman" w:hAnsi="Times New Roman" w:cs="Times New Roman"/>
          <w:spacing w:val="-17"/>
          <w:w w:val="105"/>
        </w:rPr>
        <w:t xml:space="preserve"> </w:t>
      </w:r>
      <w:r>
        <w:rPr>
          <w:rFonts w:ascii="Times New Roman" w:hAnsi="Times New Roman" w:cs="Times New Roman"/>
          <w:w w:val="105"/>
        </w:rPr>
        <w:t>of</w:t>
      </w:r>
      <w:r>
        <w:rPr>
          <w:rFonts w:ascii="Times New Roman" w:hAnsi="Times New Roman" w:cs="Times New Roman"/>
          <w:spacing w:val="-22"/>
          <w:w w:val="105"/>
        </w:rPr>
        <w:t xml:space="preserve"> </w:t>
      </w:r>
      <w:r>
        <w:rPr>
          <w:rFonts w:ascii="Times New Roman" w:hAnsi="Times New Roman" w:cs="Times New Roman"/>
          <w:w w:val="105"/>
        </w:rPr>
        <w:t>public</w:t>
      </w:r>
      <w:r>
        <w:rPr>
          <w:rFonts w:ascii="Times New Roman" w:hAnsi="Times New Roman" w:cs="Times New Roman"/>
          <w:spacing w:val="-15"/>
          <w:w w:val="105"/>
        </w:rPr>
        <w:t xml:space="preserve"> </w:t>
      </w:r>
      <w:r>
        <w:rPr>
          <w:rFonts w:ascii="Times New Roman" w:hAnsi="Times New Roman" w:cs="Times New Roman"/>
          <w:w w:val="105"/>
        </w:rPr>
        <w:t>institutions,</w:t>
      </w:r>
      <w:r>
        <w:rPr>
          <w:rFonts w:ascii="Times New Roman" w:hAnsi="Times New Roman" w:cs="Times New Roman"/>
          <w:spacing w:val="-13"/>
          <w:w w:val="105"/>
        </w:rPr>
        <w:t xml:space="preserve"> </w:t>
      </w:r>
      <w:r>
        <w:rPr>
          <w:rFonts w:ascii="Times New Roman" w:hAnsi="Times New Roman" w:cs="Times New Roman"/>
          <w:w w:val="105"/>
        </w:rPr>
        <w:t>including</w:t>
      </w:r>
      <w:r>
        <w:rPr>
          <w:rFonts w:ascii="Times New Roman" w:hAnsi="Times New Roman" w:cs="Times New Roman"/>
          <w:spacing w:val="-18"/>
          <w:w w:val="105"/>
        </w:rPr>
        <w:t xml:space="preserve"> </w:t>
      </w:r>
      <w:r>
        <w:rPr>
          <w:rFonts w:ascii="Times New Roman" w:hAnsi="Times New Roman" w:cs="Times New Roman"/>
          <w:w w:val="105"/>
        </w:rPr>
        <w:t>con-</w:t>
      </w:r>
      <w:proofErr w:type="spellStart"/>
      <w:r>
        <w:rPr>
          <w:rFonts w:ascii="Times New Roman" w:hAnsi="Times New Roman" w:cs="Times New Roman"/>
          <w:w w:val="105"/>
        </w:rPr>
        <w:t>ectional</w:t>
      </w:r>
      <w:proofErr w:type="spellEnd"/>
      <w:r>
        <w:rPr>
          <w:rFonts w:ascii="Times New Roman" w:hAnsi="Times New Roman" w:cs="Times New Roman"/>
          <w:spacing w:val="-8"/>
          <w:w w:val="105"/>
        </w:rPr>
        <w:t xml:space="preserve"> </w:t>
      </w:r>
      <w:r>
        <w:rPr>
          <w:rFonts w:ascii="Times New Roman" w:hAnsi="Times New Roman" w:cs="Times New Roman"/>
          <w:w w:val="105"/>
        </w:rPr>
        <w:t>institutions,</w:t>
      </w:r>
      <w:r>
        <w:rPr>
          <w:rFonts w:ascii="Times New Roman" w:hAnsi="Times New Roman" w:cs="Times New Roman"/>
          <w:spacing w:val="-17"/>
          <w:w w:val="105"/>
        </w:rPr>
        <w:t xml:space="preserve"> </w:t>
      </w:r>
      <w:r>
        <w:rPr>
          <w:rFonts w:ascii="Times New Roman" w:hAnsi="Times New Roman" w:cs="Times New Roman"/>
          <w:w w:val="105"/>
        </w:rPr>
        <w:t>except</w:t>
      </w:r>
      <w:r>
        <w:rPr>
          <w:rFonts w:ascii="Times New Roman" w:hAnsi="Times New Roman" w:cs="Times New Roman"/>
          <w:spacing w:val="-20"/>
          <w:w w:val="105"/>
        </w:rPr>
        <w:t xml:space="preserve"> </w:t>
      </w:r>
      <w:r>
        <w:rPr>
          <w:rFonts w:ascii="Times New Roman" w:hAnsi="Times New Roman" w:cs="Times New Roman"/>
          <w:w w:val="105"/>
        </w:rPr>
        <w:t>for</w:t>
      </w:r>
      <w:r>
        <w:rPr>
          <w:rFonts w:ascii="Times New Roman" w:hAnsi="Times New Roman" w:cs="Times New Roman"/>
          <w:spacing w:val="-25"/>
          <w:w w:val="105"/>
        </w:rPr>
        <w:t xml:space="preserve"> </w:t>
      </w:r>
      <w:r>
        <w:rPr>
          <w:rFonts w:ascii="Times New Roman" w:hAnsi="Times New Roman" w:cs="Times New Roman"/>
          <w:w w:val="105"/>
        </w:rPr>
        <w:t xml:space="preserve">services provided as "a patient in a medical institution". We address them in the following Qs </w:t>
      </w:r>
      <w:r>
        <w:rPr>
          <w:rFonts w:ascii="Arial" w:hAnsi="Arial" w:cs="Arial"/>
          <w:w w:val="105"/>
          <w:sz w:val="21"/>
          <w:szCs w:val="21"/>
        </w:rPr>
        <w:t>&amp;</w:t>
      </w:r>
      <w:r>
        <w:rPr>
          <w:rFonts w:ascii="Arial" w:hAnsi="Arial" w:cs="Arial"/>
          <w:spacing w:val="-40"/>
          <w:w w:val="105"/>
          <w:sz w:val="21"/>
          <w:szCs w:val="21"/>
        </w:rPr>
        <w:t xml:space="preserve"> </w:t>
      </w:r>
      <w:r>
        <w:rPr>
          <w:rFonts w:ascii="Times New Roman" w:hAnsi="Times New Roman" w:cs="Times New Roman"/>
          <w:w w:val="105"/>
        </w:rPr>
        <w:t>As.</w:t>
      </w:r>
    </w:p>
    <w:p w:rsidR="002C5025" w:rsidRDefault="002C5025">
      <w:pPr>
        <w:pStyle w:val="BodyText"/>
        <w:kinsoku w:val="0"/>
        <w:overflowPunct w:val="0"/>
        <w:spacing w:line="288" w:lineRule="auto"/>
        <w:ind w:left="135" w:right="327" w:hanging="8"/>
        <w:rPr>
          <w:rFonts w:ascii="Times New Roman" w:hAnsi="Times New Roman" w:cs="Times New Roman"/>
        </w:rPr>
      </w:pPr>
      <w:r>
        <w:rPr>
          <w:rFonts w:ascii="Times New Roman" w:hAnsi="Times New Roman" w:cs="Times New Roman"/>
        </w:rPr>
        <w:t xml:space="preserve">The Centers for Medicare </w:t>
      </w:r>
      <w:r>
        <w:rPr>
          <w:rFonts w:ascii="Arial" w:hAnsi="Arial" w:cs="Arial"/>
          <w:sz w:val="21"/>
          <w:szCs w:val="21"/>
        </w:rPr>
        <w:t xml:space="preserve">&amp; </w:t>
      </w:r>
      <w:r>
        <w:rPr>
          <w:rFonts w:ascii="Times New Roman" w:hAnsi="Times New Roman" w:cs="Times New Roman"/>
        </w:rPr>
        <w:t xml:space="preserve">Medicaid Services (CMS) Center for Medicaid and CHIP Services (CMCS) welcomes  the opportunity to work  closely with states to  identify ways to improve   access to needed health  care for individuals  returning to the community  following  </w:t>
      </w:r>
      <w:r>
        <w:rPr>
          <w:rFonts w:ascii="Times New Roman" w:hAnsi="Times New Roman" w:cs="Times New Roman"/>
          <w:spacing w:val="12"/>
        </w:rPr>
        <w:t xml:space="preserve"> </w:t>
      </w:r>
      <w:r>
        <w:rPr>
          <w:rFonts w:ascii="Times New Roman" w:hAnsi="Times New Roman" w:cs="Times New Roman"/>
        </w:rPr>
        <w:t>incarceration.</w:t>
      </w:r>
    </w:p>
    <w:p w:rsidR="002C5025" w:rsidRDefault="002C5025">
      <w:pPr>
        <w:pStyle w:val="BodyText"/>
        <w:kinsoku w:val="0"/>
        <w:overflowPunct w:val="0"/>
        <w:spacing w:line="288" w:lineRule="auto"/>
        <w:ind w:left="135" w:right="327" w:hanging="8"/>
        <w:rPr>
          <w:rFonts w:ascii="Times New Roman" w:hAnsi="Times New Roman" w:cs="Times New Roman"/>
        </w:rPr>
        <w:sectPr w:rsidR="002C5025">
          <w:type w:val="continuous"/>
          <w:pgSz w:w="12240" w:h="15840"/>
          <w:pgMar w:top="720" w:right="1520" w:bottom="280" w:left="1480" w:header="720" w:footer="720" w:gutter="0"/>
          <w:cols w:space="720" w:equalWidth="0">
            <w:col w:w="9240"/>
          </w:cols>
          <w:noEndnote/>
        </w:sect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7"/>
        <w:rPr>
          <w:rFonts w:ascii="Times New Roman" w:hAnsi="Times New Roman" w:cs="Times New Roman"/>
          <w:sz w:val="20"/>
          <w:szCs w:val="20"/>
        </w:rPr>
      </w:pPr>
    </w:p>
    <w:p w:rsidR="002C5025" w:rsidRDefault="00FB027C">
      <w:pPr>
        <w:pStyle w:val="BodyText"/>
        <w:kinsoku w:val="0"/>
        <w:overflowPunct w:val="0"/>
        <w:ind w:left="131" w:right="1625"/>
        <w:rPr>
          <w:rFonts w:ascii="Times New Roman" w:hAnsi="Times New Roman" w:cs="Times New Roman"/>
          <w:sz w:val="20"/>
          <w:szCs w:val="20"/>
        </w:rPr>
      </w:pPr>
      <w:r>
        <w:rPr>
          <w:noProof/>
        </w:rPr>
        <mc:AlternateContent>
          <mc:Choice Requires="wps">
            <w:drawing>
              <wp:anchor distT="0" distB="0" distL="114300" distR="114300" simplePos="0" relativeHeight="251817472" behindDoc="0" locked="0" layoutInCell="0" allowOverlap="1">
                <wp:simplePos x="0" y="0"/>
                <wp:positionH relativeFrom="page">
                  <wp:posOffset>7765415</wp:posOffset>
                </wp:positionH>
                <wp:positionV relativeFrom="paragraph">
                  <wp:posOffset>-289560</wp:posOffset>
                </wp:positionV>
                <wp:extent cx="12700" cy="584835"/>
                <wp:effectExtent l="0" t="0" r="0" b="0"/>
                <wp:wrapNone/>
                <wp:docPr id="250" name="Freeform 8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584835"/>
                        </a:xfrm>
                        <a:custGeom>
                          <a:avLst/>
                          <a:gdLst>
                            <a:gd name="T0" fmla="*/ 0 w 20"/>
                            <a:gd name="T1" fmla="*/ 922 h 921"/>
                            <a:gd name="T2" fmla="*/ 0 w 20"/>
                            <a:gd name="T3" fmla="*/ 0 h 921"/>
                          </a:gdLst>
                          <a:ahLst/>
                          <a:cxnLst>
                            <a:cxn ang="0">
                              <a:pos x="T0" y="T1"/>
                            </a:cxn>
                            <a:cxn ang="0">
                              <a:pos x="T2" y="T3"/>
                            </a:cxn>
                          </a:cxnLst>
                          <a:rect l="0" t="0" r="r" b="b"/>
                          <a:pathLst>
                            <a:path w="20" h="921">
                              <a:moveTo>
                                <a:pt x="0" y="922"/>
                              </a:moveTo>
                              <a:lnTo>
                                <a:pt x="0"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839" o:spid="_x0000_s1026" style="position:absolute;z-index:251817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11.45pt,23.3pt,611.45pt,-22.8pt" coordsize="20,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" o:allowincell="f" filled="f" strokeweight=".36pt">
                <v:path arrowok="t" o:connecttype="custom" o:connectlocs="0,585470;0,0" o:connectangles="0,0"/>
                <w10:wrap anchorx="page"/>
              </v:polyline>
            </w:pict>
          </mc:Fallback>
        </mc:AlternateContent>
      </w:r>
      <w:r w:rsidR="002C5025">
        <w:rPr>
          <w:rFonts w:ascii="Times New Roman" w:hAnsi="Times New Roman" w:cs="Times New Roman"/>
          <w:sz w:val="20"/>
          <w:szCs w:val="20"/>
        </w:rPr>
        <w:t xml:space="preserve">Page 2 -State </w:t>
      </w:r>
      <w:proofErr w:type="spellStart"/>
      <w:r w:rsidR="002C5025">
        <w:rPr>
          <w:rFonts w:ascii="Times New Roman" w:hAnsi="Times New Roman" w:cs="Times New Roman"/>
          <w:sz w:val="20"/>
          <w:szCs w:val="20"/>
        </w:rPr>
        <w:t>Hea</w:t>
      </w:r>
      <w:proofErr w:type="spellEnd"/>
      <w:r w:rsidR="002C5025">
        <w:rPr>
          <w:rFonts w:ascii="Times New Roman" w:hAnsi="Times New Roman" w:cs="Times New Roman"/>
          <w:sz w:val="20"/>
          <w:szCs w:val="20"/>
        </w:rPr>
        <w:t xml:space="preserve"> lth </w:t>
      </w:r>
      <w:proofErr w:type="spellStart"/>
      <w:r w:rsidR="002C5025">
        <w:rPr>
          <w:rFonts w:ascii="Times New Roman" w:hAnsi="Times New Roman" w:cs="Times New Roman"/>
          <w:sz w:val="20"/>
          <w:szCs w:val="20"/>
        </w:rPr>
        <w:t>Officia</w:t>
      </w:r>
      <w:proofErr w:type="spellEnd"/>
      <w:r w:rsidR="002C5025">
        <w:rPr>
          <w:rFonts w:ascii="Times New Roman" w:hAnsi="Times New Roman" w:cs="Times New Roman"/>
          <w:sz w:val="20"/>
          <w:szCs w:val="20"/>
        </w:rPr>
        <w:t xml:space="preserve"> l and State Med </w:t>
      </w:r>
      <w:proofErr w:type="spellStart"/>
      <w:r w:rsidR="002C5025">
        <w:rPr>
          <w:rFonts w:ascii="Times New Roman" w:hAnsi="Times New Roman" w:cs="Times New Roman"/>
          <w:sz w:val="20"/>
          <w:szCs w:val="20"/>
        </w:rPr>
        <w:t>ica</w:t>
      </w:r>
      <w:proofErr w:type="spellEnd"/>
      <w:r w:rsidR="002C5025">
        <w:rPr>
          <w:rFonts w:ascii="Times New Roman" w:hAnsi="Times New Roman" w:cs="Times New Roman"/>
          <w:sz w:val="20"/>
          <w:szCs w:val="20"/>
        </w:rPr>
        <w:t xml:space="preserve"> id Director</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11"/>
        <w:rPr>
          <w:rFonts w:ascii="Times New Roman" w:hAnsi="Times New Roman" w:cs="Times New Roman"/>
          <w:sz w:val="17"/>
          <w:szCs w:val="17"/>
        </w:rPr>
      </w:pPr>
    </w:p>
    <w:p w:rsidR="002C5025" w:rsidRDefault="002C5025">
      <w:pPr>
        <w:pStyle w:val="BodyText"/>
        <w:kinsoku w:val="0"/>
        <w:overflowPunct w:val="0"/>
        <w:spacing w:line="290" w:lineRule="auto"/>
        <w:ind w:left="131" w:right="1625" w:hanging="10"/>
        <w:rPr>
          <w:rFonts w:ascii="Times New Roman" w:hAnsi="Times New Roman" w:cs="Times New Roman"/>
          <w:w w:val="105"/>
        </w:rPr>
      </w:pPr>
      <w:proofErr w:type="spellStart"/>
      <w:r>
        <w:rPr>
          <w:rFonts w:ascii="Arial" w:hAnsi="Arial" w:cs="Arial"/>
          <w:w w:val="105"/>
        </w:rPr>
        <w:t>If</w:t>
      </w:r>
      <w:r>
        <w:rPr>
          <w:rFonts w:ascii="Times New Roman" w:hAnsi="Times New Roman" w:cs="Times New Roman"/>
          <w:w w:val="105"/>
        </w:rPr>
        <w:t>you</w:t>
      </w:r>
      <w:proofErr w:type="spellEnd"/>
      <w:r>
        <w:rPr>
          <w:rFonts w:ascii="Times New Roman" w:hAnsi="Times New Roman" w:cs="Times New Roman"/>
          <w:w w:val="105"/>
        </w:rPr>
        <w:t xml:space="preserve"> have any questions regarding the information in the Qs </w:t>
      </w:r>
      <w:r>
        <w:rPr>
          <w:rFonts w:ascii="Arial" w:hAnsi="Arial" w:cs="Arial"/>
          <w:w w:val="105"/>
          <w:sz w:val="21"/>
          <w:szCs w:val="21"/>
        </w:rPr>
        <w:t xml:space="preserve">&amp; </w:t>
      </w:r>
      <w:r>
        <w:rPr>
          <w:rFonts w:ascii="Times New Roman" w:hAnsi="Times New Roman" w:cs="Times New Roman"/>
          <w:w w:val="105"/>
        </w:rPr>
        <w:t xml:space="preserve">As, please send questions to </w:t>
      </w:r>
      <w:hyperlink r:id="rId593" w:history="1">
        <w:r>
          <w:rPr>
            <w:rFonts w:ascii="Times New Roman" w:hAnsi="Times New Roman" w:cs="Times New Roman"/>
            <w:w w:val="105"/>
          </w:rPr>
          <w:t>CMCSMedicaidQAinmates@cms.hhs.gov.</w:t>
        </w:r>
      </w:hyperlink>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rPr>
          <w:rFonts w:ascii="Times New Roman" w:hAnsi="Times New Roman" w:cs="Times New Roman"/>
        </w:rPr>
      </w:pPr>
    </w:p>
    <w:p w:rsidR="002C5025" w:rsidRDefault="00FB027C">
      <w:pPr>
        <w:pStyle w:val="BodyText"/>
        <w:kinsoku w:val="0"/>
        <w:overflowPunct w:val="0"/>
        <w:spacing w:before="186"/>
        <w:ind w:left="4598" w:right="4501"/>
        <w:jc w:val="center"/>
        <w:rPr>
          <w:rFonts w:ascii="Times New Roman" w:hAnsi="Times New Roman" w:cs="Times New Roman"/>
        </w:rPr>
      </w:pPr>
      <w:r>
        <w:rPr>
          <w:noProof/>
        </w:rPr>
        <mc:AlternateContent>
          <mc:Choice Requires="wps">
            <w:drawing>
              <wp:anchor distT="0" distB="0" distL="114300" distR="114300" simplePos="0" relativeHeight="251818496" behindDoc="0" locked="0" layoutInCell="0" allowOverlap="1">
                <wp:simplePos x="0" y="0"/>
                <wp:positionH relativeFrom="page">
                  <wp:posOffset>7769225</wp:posOffset>
                </wp:positionH>
                <wp:positionV relativeFrom="paragraph">
                  <wp:posOffset>635</wp:posOffset>
                </wp:positionV>
                <wp:extent cx="12700" cy="3191510"/>
                <wp:effectExtent l="0" t="0" r="0" b="0"/>
                <wp:wrapNone/>
                <wp:docPr id="248" name="Freeform 8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191510"/>
                        </a:xfrm>
                        <a:custGeom>
                          <a:avLst/>
                          <a:gdLst>
                            <a:gd name="T0" fmla="*/ 0 w 20"/>
                            <a:gd name="T1" fmla="*/ 5025 h 5026"/>
                            <a:gd name="T2" fmla="*/ 0 w 20"/>
                            <a:gd name="T3" fmla="*/ 0 h 5026"/>
                          </a:gdLst>
                          <a:ahLst/>
                          <a:cxnLst>
                            <a:cxn ang="0">
                              <a:pos x="T0" y="T1"/>
                            </a:cxn>
                            <a:cxn ang="0">
                              <a:pos x="T2" y="T3"/>
                            </a:cxn>
                          </a:cxnLst>
                          <a:rect l="0" t="0" r="r" b="b"/>
                          <a:pathLst>
                            <a:path w="20" h="5026">
                              <a:moveTo>
                                <a:pt x="0" y="5025"/>
                              </a:moveTo>
                              <a:lnTo>
                                <a:pt x="0"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840" o:spid="_x0000_s1026" style="position:absolute;z-index:251818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11.75pt,251.3pt,611.75pt,.05pt" coordsize="20,5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" o:allowincell="f" filled="f" strokeweight=".36pt">
                <v:path arrowok="t" o:connecttype="custom" o:connectlocs="0,3190875;0,0" o:connectangles="0,0"/>
                <w10:wrap anchorx="page"/>
              </v:polyline>
            </w:pict>
          </mc:Fallback>
        </mc:AlternateContent>
      </w:r>
      <w:r w:rsidR="002C5025">
        <w:rPr>
          <w:rFonts w:ascii="Times New Roman" w:hAnsi="Times New Roman" w:cs="Times New Roman"/>
        </w:rPr>
        <w:t>Sincerely,</w:t>
      </w:r>
    </w:p>
    <w:p w:rsidR="002C5025" w:rsidRDefault="002C5025">
      <w:pPr>
        <w:pStyle w:val="BodyText"/>
        <w:kinsoku w:val="0"/>
        <w:overflowPunct w:val="0"/>
        <w:spacing w:before="5"/>
        <w:rPr>
          <w:rFonts w:ascii="Times New Roman" w:hAnsi="Times New Roman" w:cs="Times New Roman"/>
          <w:sz w:val="21"/>
          <w:szCs w:val="21"/>
        </w:rPr>
      </w:pPr>
    </w:p>
    <w:p w:rsidR="002C5025" w:rsidRDefault="002C5025">
      <w:pPr>
        <w:pStyle w:val="BodyText"/>
        <w:kinsoku w:val="0"/>
        <w:overflowPunct w:val="0"/>
        <w:ind w:left="4598" w:right="4600"/>
        <w:jc w:val="center"/>
        <w:rPr>
          <w:rFonts w:ascii="Courier New" w:hAnsi="Courier New" w:cs="Courier New"/>
          <w:i/>
          <w:iCs/>
          <w:w w:val="75"/>
          <w:sz w:val="26"/>
          <w:szCs w:val="26"/>
        </w:rPr>
      </w:pPr>
      <w:proofErr w:type="spellStart"/>
      <w:r>
        <w:rPr>
          <w:rFonts w:ascii="Courier New" w:hAnsi="Courier New" w:cs="Courier New"/>
          <w:i/>
          <w:iCs/>
          <w:w w:val="75"/>
          <w:sz w:val="26"/>
          <w:szCs w:val="26"/>
        </w:rPr>
        <w:t>Isl</w:t>
      </w:r>
      <w:proofErr w:type="spellEnd"/>
    </w:p>
    <w:p w:rsidR="002C5025" w:rsidRDefault="002C5025">
      <w:pPr>
        <w:pStyle w:val="BodyText"/>
        <w:kinsoku w:val="0"/>
        <w:overflowPunct w:val="0"/>
        <w:spacing w:before="199" w:line="292" w:lineRule="auto"/>
        <w:ind w:left="4967" w:right="3742" w:firstLine="7"/>
        <w:rPr>
          <w:rFonts w:ascii="Times New Roman" w:hAnsi="Times New Roman" w:cs="Times New Roman"/>
        </w:rPr>
      </w:pPr>
      <w:r>
        <w:rPr>
          <w:rFonts w:ascii="Times New Roman" w:hAnsi="Times New Roman" w:cs="Times New Roman"/>
        </w:rPr>
        <w:t xml:space="preserve">Vikki </w:t>
      </w:r>
      <w:proofErr w:type="spellStart"/>
      <w:r>
        <w:rPr>
          <w:rFonts w:ascii="Times New Roman" w:hAnsi="Times New Roman" w:cs="Times New Roman"/>
        </w:rPr>
        <w:t>Wachino</w:t>
      </w:r>
      <w:proofErr w:type="spellEnd"/>
      <w:r>
        <w:rPr>
          <w:rFonts w:ascii="Times New Roman" w:hAnsi="Times New Roman" w:cs="Times New Roman"/>
        </w:rPr>
        <w:t xml:space="preserve"> Director</w:t>
      </w: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spacing w:before="188"/>
        <w:ind w:left="131" w:right="1625"/>
        <w:rPr>
          <w:rFonts w:ascii="Times New Roman" w:hAnsi="Times New Roman" w:cs="Times New Roman"/>
        </w:rPr>
      </w:pPr>
      <w:r>
        <w:rPr>
          <w:rFonts w:ascii="Times New Roman" w:hAnsi="Times New Roman" w:cs="Times New Roman"/>
        </w:rPr>
        <w:t>cc:</w:t>
      </w:r>
    </w:p>
    <w:p w:rsidR="002C5025" w:rsidRDefault="002C5025">
      <w:pPr>
        <w:pStyle w:val="BodyText"/>
        <w:kinsoku w:val="0"/>
        <w:overflowPunct w:val="0"/>
        <w:spacing w:before="6"/>
        <w:rPr>
          <w:rFonts w:ascii="Times New Roman" w:hAnsi="Times New Roman" w:cs="Times New Roman"/>
          <w:sz w:val="20"/>
          <w:szCs w:val="20"/>
        </w:rPr>
      </w:pPr>
    </w:p>
    <w:p w:rsidR="002C5025" w:rsidRDefault="002C5025">
      <w:pPr>
        <w:pStyle w:val="BodyText"/>
        <w:kinsoku w:val="0"/>
        <w:overflowPunct w:val="0"/>
        <w:spacing w:line="252" w:lineRule="auto"/>
        <w:ind w:left="114" w:right="6207"/>
        <w:rPr>
          <w:rFonts w:ascii="Times New Roman" w:hAnsi="Times New Roman" w:cs="Times New Roman"/>
        </w:rPr>
      </w:pPr>
      <w:r>
        <w:rPr>
          <w:rFonts w:ascii="Times New Roman" w:hAnsi="Times New Roman" w:cs="Times New Roman"/>
        </w:rPr>
        <w:t>National Association of Medicaid Directors National Academy for State Health Policy National  Governors Association</w:t>
      </w:r>
    </w:p>
    <w:p w:rsidR="002C5025" w:rsidRDefault="002C5025">
      <w:pPr>
        <w:pStyle w:val="BodyText"/>
        <w:kinsoku w:val="0"/>
        <w:overflowPunct w:val="0"/>
        <w:spacing w:before="1" w:line="252" w:lineRule="auto"/>
        <w:ind w:left="124" w:right="6207"/>
        <w:rPr>
          <w:rFonts w:ascii="Times New Roman" w:hAnsi="Times New Roman" w:cs="Times New Roman"/>
        </w:rPr>
      </w:pPr>
      <w:r>
        <w:rPr>
          <w:rFonts w:ascii="Times New Roman" w:hAnsi="Times New Roman" w:cs="Times New Roman"/>
        </w:rPr>
        <w:t xml:space="preserve">American Public Human Services Association </w:t>
      </w:r>
      <w:proofErr w:type="spellStart"/>
      <w:r>
        <w:rPr>
          <w:rFonts w:ascii="Times New Roman" w:hAnsi="Times New Roman" w:cs="Times New Roman"/>
        </w:rPr>
        <w:t>Association</w:t>
      </w:r>
      <w:proofErr w:type="spellEnd"/>
      <w:r>
        <w:rPr>
          <w:rFonts w:ascii="Times New Roman" w:hAnsi="Times New Roman" w:cs="Times New Roman"/>
        </w:rPr>
        <w:t xml:space="preserve"> of State Territorial Health Officials Council  of State Governments</w:t>
      </w:r>
    </w:p>
    <w:p w:rsidR="002C5025" w:rsidRDefault="002C5025">
      <w:pPr>
        <w:pStyle w:val="BodyText"/>
        <w:kinsoku w:val="0"/>
        <w:overflowPunct w:val="0"/>
        <w:spacing w:before="1"/>
        <w:ind w:left="122" w:right="1625"/>
        <w:rPr>
          <w:rFonts w:ascii="Times New Roman" w:hAnsi="Times New Roman" w:cs="Times New Roman"/>
        </w:rPr>
      </w:pPr>
      <w:r>
        <w:rPr>
          <w:rFonts w:ascii="Times New Roman" w:hAnsi="Times New Roman" w:cs="Times New Roman"/>
        </w:rPr>
        <w:t>National  Conference of State  Legislatures</w:t>
      </w: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spacing w:before="11"/>
        <w:rPr>
          <w:rFonts w:ascii="Times New Roman" w:hAnsi="Times New Roman" w:cs="Times New Roman"/>
          <w:sz w:val="20"/>
          <w:szCs w:val="20"/>
        </w:rPr>
      </w:pPr>
    </w:p>
    <w:p w:rsidR="002C5025" w:rsidRDefault="002C5025">
      <w:pPr>
        <w:pStyle w:val="BodyText"/>
        <w:kinsoku w:val="0"/>
        <w:overflowPunct w:val="0"/>
        <w:ind w:left="131" w:right="1625"/>
        <w:rPr>
          <w:rFonts w:ascii="Times New Roman" w:hAnsi="Times New Roman" w:cs="Times New Roman"/>
        </w:rPr>
      </w:pPr>
      <w:r>
        <w:rPr>
          <w:rFonts w:ascii="Times New Roman" w:hAnsi="Times New Roman" w:cs="Times New Roman"/>
        </w:rPr>
        <w:t>Enclosure:</w:t>
      </w:r>
    </w:p>
    <w:p w:rsidR="002C5025" w:rsidRDefault="002C5025">
      <w:pPr>
        <w:pStyle w:val="BodyText"/>
        <w:kinsoku w:val="0"/>
        <w:overflowPunct w:val="0"/>
        <w:ind w:left="131" w:right="1625"/>
        <w:rPr>
          <w:rFonts w:ascii="Times New Roman" w:hAnsi="Times New Roman" w:cs="Times New Roman"/>
        </w:rPr>
        <w:sectPr w:rsidR="002C5025">
          <w:pgSz w:w="12240" w:h="15840"/>
          <w:pgMar w:top="680" w:right="0" w:bottom="280" w:left="1460" w:header="720" w:footer="720" w:gutter="0"/>
          <w:cols w:space="720" w:equalWidth="0">
            <w:col w:w="10780"/>
          </w:cols>
          <w:noEndnote/>
        </w:sectPr>
      </w:pPr>
    </w:p>
    <w:p w:rsidR="002C5025" w:rsidRDefault="00347C9E">
      <w:pPr>
        <w:pStyle w:val="BodyText"/>
        <w:kinsoku w:val="0"/>
        <w:overflowPunct w:val="0"/>
        <w:spacing w:before="47"/>
        <w:ind w:left="111" w:right="205"/>
        <w:rPr>
          <w:rFonts w:ascii="Times New Roman" w:hAnsi="Times New Roman" w:cs="Times New Roman"/>
          <w:sz w:val="20"/>
          <w:szCs w:val="20"/>
        </w:rPr>
      </w:pPr>
      <w:r>
        <w:rPr>
          <w:rFonts w:ascii="Times New Roman" w:hAnsi="Times New Roman" w:cs="Times New Roman"/>
          <w:sz w:val="20"/>
          <w:szCs w:val="20"/>
        </w:rPr>
        <w:lastRenderedPageBreak/>
        <w:t>Page 3 -State Health Official and State Medica</w:t>
      </w:r>
      <w:r w:rsidR="002C5025">
        <w:rPr>
          <w:rFonts w:ascii="Times New Roman" w:hAnsi="Times New Roman" w:cs="Times New Roman"/>
          <w:sz w:val="20"/>
          <w:szCs w:val="20"/>
        </w:rPr>
        <w:t>id Director</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3"/>
        <w:rPr>
          <w:rFonts w:ascii="Times New Roman" w:hAnsi="Times New Roman" w:cs="Times New Roman"/>
          <w:sz w:val="18"/>
          <w:szCs w:val="18"/>
        </w:rPr>
      </w:pPr>
    </w:p>
    <w:p w:rsidR="002C5025" w:rsidRDefault="002C5025">
      <w:pPr>
        <w:pStyle w:val="BodyText"/>
        <w:kinsoku w:val="0"/>
        <w:overflowPunct w:val="0"/>
        <w:ind w:left="3519" w:right="205"/>
        <w:rPr>
          <w:rFonts w:ascii="Times New Roman" w:hAnsi="Times New Roman" w:cs="Times New Roman"/>
          <w:b/>
          <w:bCs/>
          <w:sz w:val="23"/>
          <w:szCs w:val="23"/>
        </w:rPr>
      </w:pPr>
      <w:bookmarkStart w:id="269" w:name="Questions_&amp;_Answers"/>
      <w:bookmarkEnd w:id="269"/>
      <w:r>
        <w:rPr>
          <w:rFonts w:ascii="Times New Roman" w:hAnsi="Times New Roman" w:cs="Times New Roman"/>
          <w:b/>
          <w:bCs/>
          <w:sz w:val="23"/>
          <w:szCs w:val="23"/>
        </w:rPr>
        <w:t xml:space="preserve">Questions </w:t>
      </w:r>
      <w:r>
        <w:rPr>
          <w:rFonts w:ascii="Arial" w:hAnsi="Arial" w:cs="Arial"/>
          <w:b/>
          <w:bCs/>
          <w:sz w:val="21"/>
          <w:szCs w:val="21"/>
        </w:rPr>
        <w:t xml:space="preserve">&amp; </w:t>
      </w:r>
      <w:r>
        <w:rPr>
          <w:rFonts w:ascii="Times New Roman" w:hAnsi="Times New Roman" w:cs="Times New Roman"/>
          <w:b/>
          <w:bCs/>
          <w:sz w:val="23"/>
          <w:szCs w:val="23"/>
        </w:rPr>
        <w:t>Answers</w:t>
      </w:r>
    </w:p>
    <w:p w:rsidR="002C5025" w:rsidRDefault="002C5025">
      <w:pPr>
        <w:pStyle w:val="BodyText"/>
        <w:kinsoku w:val="0"/>
        <w:overflowPunct w:val="0"/>
        <w:rPr>
          <w:rFonts w:ascii="Times New Roman" w:hAnsi="Times New Roman" w:cs="Times New Roman"/>
          <w:b/>
          <w:bCs/>
        </w:rPr>
      </w:pPr>
    </w:p>
    <w:p w:rsidR="002C5025" w:rsidRDefault="002C5025">
      <w:pPr>
        <w:pStyle w:val="BodyText"/>
        <w:kinsoku w:val="0"/>
        <w:overflowPunct w:val="0"/>
        <w:rPr>
          <w:rFonts w:ascii="Times New Roman" w:hAnsi="Times New Roman" w:cs="Times New Roman"/>
          <w:b/>
          <w:bCs/>
        </w:rPr>
      </w:pPr>
    </w:p>
    <w:p w:rsidR="002C5025" w:rsidRDefault="002C5025">
      <w:pPr>
        <w:pStyle w:val="BodyText"/>
        <w:kinsoku w:val="0"/>
        <w:overflowPunct w:val="0"/>
        <w:spacing w:before="4"/>
        <w:rPr>
          <w:rFonts w:ascii="Times New Roman" w:hAnsi="Times New Roman" w:cs="Times New Roman"/>
          <w:b/>
          <w:bCs/>
          <w:sz w:val="19"/>
          <w:szCs w:val="19"/>
        </w:rPr>
      </w:pPr>
    </w:p>
    <w:p w:rsidR="002C5025" w:rsidRDefault="002C5025">
      <w:pPr>
        <w:pStyle w:val="BodyText"/>
        <w:kinsoku w:val="0"/>
        <w:overflowPunct w:val="0"/>
        <w:ind w:left="111" w:right="205"/>
        <w:rPr>
          <w:rFonts w:ascii="Times New Roman" w:hAnsi="Times New Roman" w:cs="Times New Roman"/>
          <w:b/>
          <w:bCs/>
          <w:sz w:val="23"/>
          <w:szCs w:val="23"/>
        </w:rPr>
      </w:pPr>
      <w:r>
        <w:rPr>
          <w:rFonts w:ascii="Times New Roman" w:hAnsi="Times New Roman" w:cs="Times New Roman"/>
          <w:b/>
          <w:bCs/>
          <w:sz w:val="23"/>
          <w:szCs w:val="23"/>
          <w:u w:val="thick" w:color="000000"/>
        </w:rPr>
        <w:t>Section  1:  Inmate Definition</w:t>
      </w:r>
    </w:p>
    <w:p w:rsidR="002C5025" w:rsidRDefault="002C5025">
      <w:pPr>
        <w:pStyle w:val="BodyText"/>
        <w:kinsoku w:val="0"/>
        <w:overflowPunct w:val="0"/>
        <w:spacing w:before="1"/>
        <w:rPr>
          <w:rFonts w:ascii="Times New Roman" w:hAnsi="Times New Roman" w:cs="Times New Roman"/>
          <w:b/>
          <w:bCs/>
          <w:sz w:val="14"/>
          <w:szCs w:val="14"/>
        </w:rPr>
      </w:pPr>
    </w:p>
    <w:p w:rsidR="002C5025" w:rsidRDefault="002C5025">
      <w:pPr>
        <w:pStyle w:val="BodyText"/>
        <w:kinsoku w:val="0"/>
        <w:overflowPunct w:val="0"/>
        <w:spacing w:before="72" w:line="288" w:lineRule="auto"/>
        <w:ind w:left="104" w:right="205"/>
        <w:rPr>
          <w:rFonts w:ascii="Times New Roman" w:hAnsi="Times New Roman" w:cs="Times New Roman"/>
        </w:rPr>
      </w:pPr>
      <w:r>
        <w:rPr>
          <w:rFonts w:ascii="Times New Roman" w:hAnsi="Times New Roman" w:cs="Times New Roman"/>
        </w:rPr>
        <w:t xml:space="preserve">Inmates of a public institution who are held involuntarily may be enrolled in Medicaid,  but may not receive Medicaid covered services. The inmate coverage exclusion  applies to  Medicaid services to inmates, except as inpatients in a medical institution as provided in statute and  described  in Section 3 of this </w:t>
      </w:r>
      <w:r>
        <w:rPr>
          <w:rFonts w:ascii="Times New Roman" w:hAnsi="Times New Roman" w:cs="Times New Roman"/>
          <w:spacing w:val="15"/>
        </w:rPr>
        <w:t xml:space="preserve"> </w:t>
      </w:r>
      <w:r>
        <w:rPr>
          <w:rFonts w:ascii="Times New Roman" w:hAnsi="Times New Roman" w:cs="Times New Roman"/>
        </w:rPr>
        <w:t>document.</w:t>
      </w:r>
    </w:p>
    <w:p w:rsidR="002C5025" w:rsidRDefault="002C5025">
      <w:pPr>
        <w:pStyle w:val="BodyText"/>
        <w:kinsoku w:val="0"/>
        <w:overflowPunct w:val="0"/>
        <w:spacing w:before="4"/>
        <w:rPr>
          <w:rFonts w:ascii="Times New Roman" w:hAnsi="Times New Roman" w:cs="Times New Roman"/>
          <w:sz w:val="17"/>
          <w:szCs w:val="17"/>
        </w:rPr>
      </w:pPr>
    </w:p>
    <w:p w:rsidR="002C5025" w:rsidRDefault="002C5025">
      <w:pPr>
        <w:pStyle w:val="BodyText"/>
        <w:tabs>
          <w:tab w:val="left" w:pos="802"/>
        </w:tabs>
        <w:kinsoku w:val="0"/>
        <w:overflowPunct w:val="0"/>
        <w:ind w:left="111" w:right="205"/>
        <w:rPr>
          <w:rFonts w:ascii="Times New Roman" w:hAnsi="Times New Roman" w:cs="Times New Roman"/>
          <w:b/>
          <w:bCs/>
          <w:i/>
          <w:iCs/>
        </w:rPr>
      </w:pPr>
      <w:r>
        <w:rPr>
          <w:rFonts w:ascii="Times New Roman" w:hAnsi="Times New Roman" w:cs="Times New Roman"/>
          <w:b/>
          <w:bCs/>
          <w:sz w:val="23"/>
          <w:szCs w:val="23"/>
        </w:rPr>
        <w:t>Ql.</w:t>
      </w:r>
      <w:r>
        <w:rPr>
          <w:rFonts w:ascii="Times New Roman" w:hAnsi="Times New Roman" w:cs="Times New Roman"/>
          <w:b/>
          <w:bCs/>
          <w:sz w:val="23"/>
          <w:szCs w:val="23"/>
        </w:rPr>
        <w:tab/>
      </w:r>
      <w:r>
        <w:rPr>
          <w:rFonts w:ascii="Times New Roman" w:hAnsi="Times New Roman" w:cs="Times New Roman"/>
          <w:b/>
          <w:bCs/>
          <w:sz w:val="23"/>
          <w:szCs w:val="23"/>
          <w:u w:val="thick" w:color="000000"/>
        </w:rPr>
        <w:t xml:space="preserve">Inmate Defined:  </w:t>
      </w:r>
      <w:r>
        <w:rPr>
          <w:rFonts w:ascii="Times New Roman" w:hAnsi="Times New Roman" w:cs="Times New Roman"/>
          <w:b/>
          <w:bCs/>
          <w:i/>
          <w:iCs/>
        </w:rPr>
        <w:t xml:space="preserve">Who is an inmate of </w:t>
      </w:r>
      <w:r>
        <w:rPr>
          <w:rFonts w:ascii="Times New Roman" w:hAnsi="Times New Roman" w:cs="Times New Roman"/>
          <w:b/>
          <w:bCs/>
          <w:i/>
          <w:iCs/>
          <w:spacing w:val="3"/>
        </w:rPr>
        <w:t>a</w:t>
      </w:r>
      <w:r w:rsidR="00347C9E">
        <w:rPr>
          <w:rFonts w:ascii="Times New Roman" w:hAnsi="Times New Roman" w:cs="Times New Roman"/>
          <w:b/>
          <w:bCs/>
          <w:i/>
          <w:iCs/>
          <w:spacing w:val="3"/>
        </w:rPr>
        <w:t xml:space="preserve"> </w:t>
      </w:r>
      <w:r>
        <w:rPr>
          <w:rFonts w:ascii="Times New Roman" w:hAnsi="Times New Roman" w:cs="Times New Roman"/>
          <w:b/>
          <w:bCs/>
          <w:i/>
          <w:iCs/>
          <w:spacing w:val="3"/>
        </w:rPr>
        <w:t xml:space="preserve">public </w:t>
      </w:r>
      <w:r>
        <w:rPr>
          <w:rFonts w:ascii="Times New Roman" w:hAnsi="Times New Roman" w:cs="Times New Roman"/>
          <w:b/>
          <w:bCs/>
          <w:i/>
          <w:iCs/>
          <w:spacing w:val="36"/>
        </w:rPr>
        <w:t xml:space="preserve"> </w:t>
      </w:r>
      <w:r>
        <w:rPr>
          <w:rFonts w:ascii="Times New Roman" w:hAnsi="Times New Roman" w:cs="Times New Roman"/>
          <w:b/>
          <w:bCs/>
          <w:i/>
          <w:iCs/>
        </w:rPr>
        <w:t>institution?</w:t>
      </w:r>
    </w:p>
    <w:p w:rsidR="002C5025" w:rsidRDefault="002C5025">
      <w:pPr>
        <w:pStyle w:val="BodyText"/>
        <w:kinsoku w:val="0"/>
        <w:overflowPunct w:val="0"/>
        <w:spacing w:before="2"/>
        <w:rPr>
          <w:rFonts w:ascii="Times New Roman" w:hAnsi="Times New Roman" w:cs="Times New Roman"/>
          <w:b/>
          <w:bCs/>
          <w:i/>
          <w:iCs/>
          <w:sz w:val="13"/>
          <w:szCs w:val="13"/>
        </w:rPr>
      </w:pPr>
    </w:p>
    <w:p w:rsidR="002C5025" w:rsidRDefault="002C5025">
      <w:pPr>
        <w:pStyle w:val="BodyText"/>
        <w:tabs>
          <w:tab w:val="left" w:pos="715"/>
        </w:tabs>
        <w:kinsoku w:val="0"/>
        <w:overflowPunct w:val="0"/>
        <w:spacing w:before="71" w:line="290" w:lineRule="auto"/>
        <w:ind w:left="103" w:right="205"/>
        <w:rPr>
          <w:rFonts w:ascii="Times New Roman" w:hAnsi="Times New Roman" w:cs="Times New Roman"/>
        </w:rPr>
      </w:pPr>
      <w:r>
        <w:rPr>
          <w:rFonts w:ascii="Times New Roman" w:hAnsi="Times New Roman" w:cs="Times New Roman"/>
          <w:b/>
          <w:bCs/>
          <w:sz w:val="23"/>
          <w:szCs w:val="23"/>
        </w:rPr>
        <w:t>Al.</w:t>
      </w:r>
      <w:r>
        <w:rPr>
          <w:rFonts w:ascii="Times New Roman" w:hAnsi="Times New Roman" w:cs="Times New Roman"/>
          <w:b/>
          <w:bCs/>
          <w:sz w:val="23"/>
          <w:szCs w:val="23"/>
        </w:rPr>
        <w:tab/>
      </w:r>
      <w:r>
        <w:rPr>
          <w:rFonts w:ascii="Times New Roman" w:hAnsi="Times New Roman" w:cs="Times New Roman"/>
          <w:sz w:val="23"/>
          <w:szCs w:val="23"/>
        </w:rPr>
        <w:t xml:space="preserve">. </w:t>
      </w:r>
      <w:r>
        <w:rPr>
          <w:rFonts w:ascii="Times New Roman" w:hAnsi="Times New Roman" w:cs="Times New Roman"/>
        </w:rPr>
        <w:t>Medicaid regulations at 42 Code of Federal Regulations  (CFR) 435. l 0 I 0</w:t>
      </w:r>
      <w:r>
        <w:rPr>
          <w:rFonts w:ascii="Times New Roman" w:hAnsi="Times New Roman" w:cs="Times New Roman"/>
          <w:spacing w:val="43"/>
        </w:rPr>
        <w:t xml:space="preserve"> </w:t>
      </w:r>
      <w:r>
        <w:rPr>
          <w:rFonts w:ascii="Times New Roman" w:hAnsi="Times New Roman" w:cs="Times New Roman"/>
        </w:rPr>
        <w:t>define</w:t>
      </w:r>
      <w:r>
        <w:rPr>
          <w:rFonts w:ascii="Times New Roman" w:hAnsi="Times New Roman" w:cs="Times New Roman"/>
          <w:spacing w:val="16"/>
        </w:rPr>
        <w:t xml:space="preserve"> </w:t>
      </w:r>
      <w:r>
        <w:rPr>
          <w:rFonts w:ascii="Times New Roman" w:hAnsi="Times New Roman" w:cs="Times New Roman"/>
        </w:rPr>
        <w:t>an inmate of a public institution as "a person living in a public institution" and define a public institution as "an institution that is the responsibility of a governmental unit or over which a governmental unit exercises administrative control." A public institution includes a co1Tectional institution. There are separate definitions for "child care institutions" and "publicly operated community residences," and we interpret such institutions to be in a separate category  and  therefore  not  included  as public  institutions for the purposes  of identifying who  is in an inmate in this</w:t>
      </w:r>
      <w:r>
        <w:rPr>
          <w:rFonts w:ascii="Times New Roman" w:hAnsi="Times New Roman" w:cs="Times New Roman"/>
          <w:spacing w:val="38"/>
        </w:rPr>
        <w:t xml:space="preserve"> </w:t>
      </w:r>
      <w:r>
        <w:rPr>
          <w:rFonts w:ascii="Times New Roman" w:hAnsi="Times New Roman" w:cs="Times New Roman"/>
        </w:rPr>
        <w:t>guidance.</w:t>
      </w:r>
    </w:p>
    <w:p w:rsidR="002C5025" w:rsidRDefault="002C5025">
      <w:pPr>
        <w:pStyle w:val="BodyText"/>
        <w:kinsoku w:val="0"/>
        <w:overflowPunct w:val="0"/>
        <w:spacing w:before="188" w:line="288" w:lineRule="auto"/>
        <w:ind w:left="110" w:right="149" w:firstLine="7"/>
        <w:rPr>
          <w:rFonts w:ascii="Times New Roman" w:hAnsi="Times New Roman" w:cs="Times New Roman"/>
        </w:rPr>
      </w:pPr>
      <w:r>
        <w:rPr>
          <w:rFonts w:ascii="Times New Roman" w:hAnsi="Times New Roman" w:cs="Times New Roman"/>
        </w:rPr>
        <w:t>CMS considers an individual of any age to be an inmate if the individual is in custody and held involuntarily through  operation  of law enforcement  authorities  in a public  institution, other than a child care institution, publicly operated community residence that serves no more than 1.6 residents, or a public educational or vocati</w:t>
      </w:r>
      <w:r w:rsidR="00347C9E">
        <w:rPr>
          <w:rFonts w:ascii="Times New Roman" w:hAnsi="Times New Roman" w:cs="Times New Roman"/>
        </w:rPr>
        <w:t>onal training institution for pur</w:t>
      </w:r>
      <w:r>
        <w:rPr>
          <w:rFonts w:ascii="Times New Roman" w:hAnsi="Times New Roman" w:cs="Times New Roman"/>
        </w:rPr>
        <w:t>poses of securing educational or vocational training.  Correctional  institutions  include  facilities operated by, or under contract with, the United States, a state, a territory, a political subdivision of a state or territory, or an Indian tribe for the confinement or rehabilitation of persons charged with or convicted of a criminal offense or other persons held involuntarily in lawful custody through · operation of law enforcement  authorities.  Correctional  institutions  include state or federal prisons, local jails, detention facilities,  or other penal  settings (e.g., boot  camps, wilderness camps). While correctional institutions may provide medical and related services, they are organized  for the primary purpose  of  involuntary  confinement.  Thus, correctional  institutions are never considered to be medical institutions (which are defined in 42 CFR 435.1010 to be organized to provide  medical  care).</w:t>
      </w:r>
    </w:p>
    <w:p w:rsidR="002C5025" w:rsidRDefault="002C5025">
      <w:pPr>
        <w:pStyle w:val="BodyText"/>
        <w:kinsoku w:val="0"/>
        <w:overflowPunct w:val="0"/>
        <w:spacing w:before="198" w:line="288" w:lineRule="auto"/>
        <w:ind w:left="125" w:right="205"/>
        <w:rPr>
          <w:rFonts w:ascii="Times New Roman" w:hAnsi="Times New Roman" w:cs="Times New Roman"/>
        </w:rPr>
      </w:pPr>
      <w:r>
        <w:rPr>
          <w:rFonts w:ascii="Times New Roman" w:hAnsi="Times New Roman" w:cs="Times New Roman"/>
        </w:rPr>
        <w:t>We recognize that federal, state, local, and tribal authorities attach  different  names, conditions, and requirements to individuals  in various  custody  arrangements.  Regardless  of the label attached to any pa</w:t>
      </w:r>
      <w:r w:rsidR="00347C9E">
        <w:rPr>
          <w:rFonts w:ascii="Times New Roman" w:hAnsi="Times New Roman" w:cs="Times New Roman"/>
        </w:rPr>
        <w:t>r</w:t>
      </w:r>
      <w:r>
        <w:rPr>
          <w:rFonts w:ascii="Times New Roman" w:hAnsi="Times New Roman" w:cs="Times New Roman"/>
        </w:rPr>
        <w:t xml:space="preserve">ticular custody status, an important consideration of whether  an individual  is  an "inmate" is his or her  legal  ability to exercise personal  </w:t>
      </w:r>
      <w:r>
        <w:rPr>
          <w:rFonts w:ascii="Times New Roman" w:hAnsi="Times New Roman" w:cs="Times New Roman"/>
          <w:spacing w:val="4"/>
        </w:rPr>
        <w:t xml:space="preserve"> </w:t>
      </w:r>
      <w:r>
        <w:rPr>
          <w:rFonts w:ascii="Times New Roman" w:hAnsi="Times New Roman" w:cs="Times New Roman"/>
        </w:rPr>
        <w:t>freedom.</w:t>
      </w:r>
    </w:p>
    <w:p w:rsidR="002C5025" w:rsidRDefault="002C5025">
      <w:pPr>
        <w:pStyle w:val="BodyText"/>
        <w:kinsoku w:val="0"/>
        <w:overflowPunct w:val="0"/>
        <w:spacing w:before="198" w:line="288" w:lineRule="auto"/>
        <w:ind w:left="125" w:right="205"/>
        <w:rPr>
          <w:rFonts w:ascii="Times New Roman" w:hAnsi="Times New Roman" w:cs="Times New Roman"/>
        </w:rPr>
        <w:sectPr w:rsidR="002C5025">
          <w:pgSz w:w="12240" w:h="15840"/>
          <w:pgMar w:top="1100" w:right="1720" w:bottom="280" w:left="1480" w:header="720" w:footer="720" w:gutter="0"/>
          <w:cols w:space="720" w:equalWidth="0">
            <w:col w:w="9040"/>
          </w:cols>
          <w:noEndnote/>
        </w:sectPr>
      </w:pPr>
    </w:p>
    <w:p w:rsidR="002C5025" w:rsidRDefault="00347C9E">
      <w:pPr>
        <w:pStyle w:val="BodyText"/>
        <w:kinsoku w:val="0"/>
        <w:overflowPunct w:val="0"/>
        <w:spacing w:before="47"/>
        <w:ind w:left="191" w:right="258"/>
        <w:rPr>
          <w:rFonts w:ascii="Times New Roman" w:hAnsi="Times New Roman" w:cs="Times New Roman"/>
          <w:sz w:val="20"/>
          <w:szCs w:val="20"/>
        </w:rPr>
      </w:pPr>
      <w:r>
        <w:rPr>
          <w:rFonts w:ascii="Times New Roman" w:hAnsi="Times New Roman" w:cs="Times New Roman"/>
          <w:sz w:val="20"/>
          <w:szCs w:val="20"/>
        </w:rPr>
        <w:lastRenderedPageBreak/>
        <w:t>Page 4 -State Hea</w:t>
      </w:r>
      <w:r w:rsidR="002C5025">
        <w:rPr>
          <w:rFonts w:ascii="Times New Roman" w:hAnsi="Times New Roman" w:cs="Times New Roman"/>
          <w:sz w:val="20"/>
          <w:szCs w:val="20"/>
        </w:rPr>
        <w:t>lth</w:t>
      </w:r>
      <w:r>
        <w:rPr>
          <w:rFonts w:ascii="Times New Roman" w:hAnsi="Times New Roman" w:cs="Times New Roman"/>
          <w:sz w:val="20"/>
          <w:szCs w:val="20"/>
        </w:rPr>
        <w:t xml:space="preserve"> Official and State Medica</w:t>
      </w:r>
      <w:r w:rsidR="002C5025">
        <w:rPr>
          <w:rFonts w:ascii="Times New Roman" w:hAnsi="Times New Roman" w:cs="Times New Roman"/>
          <w:sz w:val="20"/>
          <w:szCs w:val="20"/>
        </w:rPr>
        <w:t>id Director</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4"/>
        <w:rPr>
          <w:rFonts w:ascii="Times New Roman" w:hAnsi="Times New Roman" w:cs="Times New Roman"/>
          <w:sz w:val="25"/>
          <w:szCs w:val="25"/>
        </w:rPr>
      </w:pPr>
    </w:p>
    <w:p w:rsidR="002C5025" w:rsidRDefault="002C5025">
      <w:pPr>
        <w:pStyle w:val="BodyText"/>
        <w:tabs>
          <w:tab w:val="left" w:pos="886"/>
        </w:tabs>
        <w:kinsoku w:val="0"/>
        <w:overflowPunct w:val="0"/>
        <w:spacing w:before="1" w:line="276" w:lineRule="auto"/>
        <w:ind w:left="195" w:right="258" w:firstLine="7"/>
        <w:rPr>
          <w:rFonts w:ascii="Times New Roman" w:hAnsi="Times New Roman" w:cs="Times New Roman"/>
          <w:i/>
          <w:iCs/>
          <w:sz w:val="23"/>
          <w:szCs w:val="23"/>
        </w:rPr>
      </w:pPr>
      <w:bookmarkStart w:id="270" w:name="Q2._Individuals__on_Parole_or_Probation:"/>
      <w:bookmarkEnd w:id="270"/>
      <w:r>
        <w:rPr>
          <w:rFonts w:ascii="Times New Roman" w:hAnsi="Times New Roman" w:cs="Times New Roman"/>
        </w:rPr>
        <w:t>Q2.</w:t>
      </w:r>
      <w:r>
        <w:rPr>
          <w:rFonts w:ascii="Times New Roman" w:hAnsi="Times New Roman" w:cs="Times New Roman"/>
        </w:rPr>
        <w:tab/>
      </w:r>
      <w:r>
        <w:rPr>
          <w:rFonts w:ascii="Times New Roman" w:hAnsi="Times New Roman" w:cs="Times New Roman"/>
          <w:u w:val="thick" w:color="000000"/>
        </w:rPr>
        <w:t xml:space="preserve">Individuals  on  Parole or  Probation:  </w:t>
      </w:r>
      <w:r>
        <w:rPr>
          <w:rFonts w:ascii="Times New Roman" w:hAnsi="Times New Roman" w:cs="Times New Roman"/>
          <w:i/>
          <w:iCs/>
          <w:sz w:val="23"/>
          <w:szCs w:val="23"/>
        </w:rPr>
        <w:t xml:space="preserve">Is Federal  Financial </w:t>
      </w:r>
      <w:r>
        <w:rPr>
          <w:rFonts w:ascii="Times New Roman" w:hAnsi="Times New Roman" w:cs="Times New Roman"/>
          <w:i/>
          <w:iCs/>
          <w:spacing w:val="29"/>
          <w:sz w:val="23"/>
          <w:szCs w:val="23"/>
        </w:rPr>
        <w:t xml:space="preserve"> </w:t>
      </w:r>
      <w:r>
        <w:rPr>
          <w:rFonts w:ascii="Times New Roman" w:hAnsi="Times New Roman" w:cs="Times New Roman"/>
          <w:i/>
          <w:iCs/>
          <w:sz w:val="23"/>
          <w:szCs w:val="23"/>
        </w:rPr>
        <w:t xml:space="preserve">Participation </w:t>
      </w:r>
      <w:r>
        <w:rPr>
          <w:rFonts w:ascii="Times New Roman" w:hAnsi="Times New Roman" w:cs="Times New Roman"/>
          <w:i/>
          <w:iCs/>
          <w:spacing w:val="43"/>
          <w:sz w:val="23"/>
          <w:szCs w:val="23"/>
        </w:rPr>
        <w:t xml:space="preserve"> </w:t>
      </w:r>
      <w:r>
        <w:rPr>
          <w:rFonts w:ascii="Times New Roman" w:hAnsi="Times New Roman" w:cs="Times New Roman"/>
          <w:i/>
          <w:iCs/>
          <w:sz w:val="23"/>
          <w:szCs w:val="23"/>
        </w:rPr>
        <w:t xml:space="preserve">(FFP) available for eligible individuals who are in the community on parole </w:t>
      </w:r>
      <w:r>
        <w:rPr>
          <w:rFonts w:ascii="Times New Roman" w:hAnsi="Times New Roman" w:cs="Times New Roman"/>
          <w:i/>
          <w:iCs/>
          <w:spacing w:val="2"/>
          <w:sz w:val="23"/>
          <w:szCs w:val="23"/>
        </w:rPr>
        <w:t>or</w:t>
      </w:r>
      <w:r w:rsidR="00347C9E">
        <w:rPr>
          <w:rFonts w:ascii="Times New Roman" w:hAnsi="Times New Roman" w:cs="Times New Roman"/>
          <w:i/>
          <w:iCs/>
          <w:spacing w:val="2"/>
          <w:sz w:val="23"/>
          <w:szCs w:val="23"/>
        </w:rPr>
        <w:t xml:space="preserve"> </w:t>
      </w:r>
      <w:r>
        <w:rPr>
          <w:rFonts w:ascii="Times New Roman" w:hAnsi="Times New Roman" w:cs="Times New Roman"/>
          <w:i/>
          <w:iCs/>
          <w:spacing w:val="2"/>
          <w:sz w:val="23"/>
          <w:szCs w:val="23"/>
        </w:rPr>
        <w:t xml:space="preserve">probation, </w:t>
      </w:r>
      <w:r>
        <w:rPr>
          <w:rFonts w:ascii="Times New Roman" w:hAnsi="Times New Roman" w:cs="Times New Roman"/>
          <w:i/>
          <w:iCs/>
          <w:sz w:val="23"/>
          <w:szCs w:val="23"/>
        </w:rPr>
        <w:t xml:space="preserve">or have been released to the community pending  trial (including those under pre-trial </w:t>
      </w:r>
      <w:r>
        <w:rPr>
          <w:rFonts w:ascii="Times New Roman" w:hAnsi="Times New Roman" w:cs="Times New Roman"/>
          <w:i/>
          <w:iCs/>
          <w:spacing w:val="8"/>
          <w:sz w:val="23"/>
          <w:szCs w:val="23"/>
        </w:rPr>
        <w:t xml:space="preserve"> </w:t>
      </w:r>
      <w:r>
        <w:rPr>
          <w:rFonts w:ascii="Times New Roman" w:hAnsi="Times New Roman" w:cs="Times New Roman"/>
          <w:i/>
          <w:iCs/>
          <w:sz w:val="23"/>
          <w:szCs w:val="23"/>
        </w:rPr>
        <w:t>supervision)?</w:t>
      </w:r>
    </w:p>
    <w:p w:rsidR="002C5025" w:rsidRDefault="002C5025">
      <w:pPr>
        <w:pStyle w:val="BodyText"/>
        <w:kinsoku w:val="0"/>
        <w:overflowPunct w:val="0"/>
        <w:spacing w:before="7"/>
        <w:rPr>
          <w:rFonts w:ascii="Times New Roman" w:hAnsi="Times New Roman" w:cs="Times New Roman"/>
          <w:i/>
          <w:iCs/>
          <w:sz w:val="17"/>
          <w:szCs w:val="17"/>
        </w:rPr>
      </w:pPr>
    </w:p>
    <w:p w:rsidR="002C5025" w:rsidRDefault="002C5025">
      <w:pPr>
        <w:pStyle w:val="BodyText"/>
        <w:tabs>
          <w:tab w:val="left" w:pos="894"/>
        </w:tabs>
        <w:kinsoku w:val="0"/>
        <w:overflowPunct w:val="0"/>
        <w:spacing w:before="1"/>
        <w:ind w:left="195" w:right="135"/>
        <w:rPr>
          <w:rFonts w:ascii="Times New Roman" w:hAnsi="Times New Roman" w:cs="Times New Roman"/>
        </w:rPr>
      </w:pPr>
      <w:r>
        <w:rPr>
          <w:rFonts w:ascii="Times New Roman" w:hAnsi="Times New Roman" w:cs="Times New Roman"/>
        </w:rPr>
        <w:t>A2.</w:t>
      </w:r>
      <w:r>
        <w:rPr>
          <w:rFonts w:ascii="Times New Roman" w:hAnsi="Times New Roman" w:cs="Times New Roman"/>
        </w:rPr>
        <w:tab/>
        <w:t xml:space="preserve">Yes.   Individuals who are on parole, probation,  or have been  released  to the </w:t>
      </w:r>
      <w:r>
        <w:rPr>
          <w:rFonts w:ascii="Times New Roman" w:hAnsi="Times New Roman" w:cs="Times New Roman"/>
          <w:spacing w:val="11"/>
        </w:rPr>
        <w:t xml:space="preserve"> </w:t>
      </w:r>
      <w:r>
        <w:rPr>
          <w:rFonts w:ascii="Times New Roman" w:hAnsi="Times New Roman" w:cs="Times New Roman"/>
        </w:rPr>
        <w:t>community</w:t>
      </w:r>
    </w:p>
    <w:p w:rsidR="002C5025" w:rsidRDefault="002C5025">
      <w:pPr>
        <w:pStyle w:val="BodyText"/>
        <w:kinsoku w:val="0"/>
        <w:overflowPunct w:val="0"/>
        <w:spacing w:before="51" w:line="290" w:lineRule="auto"/>
        <w:ind w:left="202" w:right="135" w:hanging="87"/>
        <w:rPr>
          <w:rFonts w:ascii="Times New Roman" w:hAnsi="Times New Roman" w:cs="Times New Roman"/>
          <w:w w:val="105"/>
        </w:rPr>
      </w:pPr>
      <w:r>
        <w:rPr>
          <w:rFonts w:ascii="Times New Roman" w:hAnsi="Times New Roman" w:cs="Times New Roman"/>
          <w:w w:val="105"/>
        </w:rPr>
        <w:t xml:space="preserve">. pending trial (including those under pre-trial supervision) are not considered inmates, and thus are not subject to the prohibition on providing Medicaid covered services to inmates. </w:t>
      </w:r>
      <w:r>
        <w:rPr>
          <w:rFonts w:ascii="Arial" w:hAnsi="Arial" w:cs="Arial"/>
          <w:w w:val="105"/>
        </w:rPr>
        <w:t>If</w:t>
      </w:r>
      <w:r w:rsidR="00347C9E">
        <w:rPr>
          <w:rFonts w:ascii="Arial" w:hAnsi="Arial" w:cs="Arial"/>
          <w:w w:val="105"/>
        </w:rPr>
        <w:t xml:space="preserve"> </w:t>
      </w:r>
      <w:r>
        <w:rPr>
          <w:rFonts w:ascii="Times New Roman" w:hAnsi="Times New Roman" w:cs="Times New Roman"/>
          <w:w w:val="105"/>
        </w:rPr>
        <w:t>they are otherwise eligible for Medicaid, FFP is available for covered services provided to such individuals.</w:t>
      </w:r>
    </w:p>
    <w:p w:rsidR="002C5025" w:rsidRDefault="00344961">
      <w:pPr>
        <w:pStyle w:val="BodyText"/>
        <w:tabs>
          <w:tab w:val="left" w:pos="894"/>
        </w:tabs>
        <w:kinsoku w:val="0"/>
        <w:overflowPunct w:val="0"/>
        <w:spacing w:before="183" w:line="283" w:lineRule="auto"/>
        <w:ind w:left="203" w:right="135"/>
        <w:rPr>
          <w:rFonts w:ascii="Times New Roman" w:hAnsi="Times New Roman" w:cs="Times New Roman"/>
          <w:i/>
          <w:iCs/>
          <w:sz w:val="23"/>
          <w:szCs w:val="23"/>
        </w:rPr>
      </w:pPr>
      <w:bookmarkStart w:id="271" w:name="Q3._Residence_in_a_Halfway_Honse:__When_"/>
      <w:bookmarkEnd w:id="271"/>
      <w:r>
        <w:rPr>
          <w:rFonts w:ascii="Times New Roman" w:hAnsi="Times New Roman" w:cs="Times New Roman"/>
        </w:rPr>
        <w:t>Q3.</w:t>
      </w:r>
      <w:r>
        <w:rPr>
          <w:rFonts w:ascii="Times New Roman" w:hAnsi="Times New Roman" w:cs="Times New Roman"/>
        </w:rPr>
        <w:tab/>
        <w:t>Residence  in  a Halfway Hou</w:t>
      </w:r>
      <w:r w:rsidR="002C5025">
        <w:rPr>
          <w:rFonts w:ascii="Times New Roman" w:hAnsi="Times New Roman" w:cs="Times New Roman"/>
        </w:rPr>
        <w:t xml:space="preserve">se:  </w:t>
      </w:r>
      <w:r w:rsidR="002C5025">
        <w:rPr>
          <w:rFonts w:ascii="Times New Roman" w:hAnsi="Times New Roman" w:cs="Times New Roman"/>
          <w:i/>
          <w:iCs/>
          <w:sz w:val="23"/>
          <w:szCs w:val="23"/>
        </w:rPr>
        <w:t>When is FFP available for</w:t>
      </w:r>
      <w:r w:rsidR="002C5025">
        <w:rPr>
          <w:rFonts w:ascii="Times New Roman" w:hAnsi="Times New Roman" w:cs="Times New Roman"/>
          <w:i/>
          <w:iCs/>
          <w:spacing w:val="57"/>
          <w:sz w:val="23"/>
          <w:szCs w:val="23"/>
        </w:rPr>
        <w:t xml:space="preserve"> </w:t>
      </w:r>
      <w:r w:rsidR="002C5025">
        <w:rPr>
          <w:rFonts w:ascii="Times New Roman" w:hAnsi="Times New Roman" w:cs="Times New Roman"/>
          <w:i/>
          <w:iCs/>
          <w:sz w:val="23"/>
          <w:szCs w:val="23"/>
        </w:rPr>
        <w:t xml:space="preserve">Medicaid-covered </w:t>
      </w:r>
      <w:r w:rsidR="002C5025">
        <w:rPr>
          <w:rFonts w:ascii="Times New Roman" w:hAnsi="Times New Roman" w:cs="Times New Roman"/>
          <w:i/>
          <w:iCs/>
          <w:spacing w:val="5"/>
          <w:sz w:val="23"/>
          <w:szCs w:val="23"/>
        </w:rPr>
        <w:t xml:space="preserve"> </w:t>
      </w:r>
      <w:r w:rsidR="002C5025">
        <w:rPr>
          <w:rFonts w:ascii="Times New Roman" w:hAnsi="Times New Roman" w:cs="Times New Roman"/>
          <w:i/>
          <w:iCs/>
          <w:sz w:val="23"/>
          <w:szCs w:val="23"/>
        </w:rPr>
        <w:t>services to individuals residing in state or local private or</w:t>
      </w:r>
      <w:r>
        <w:rPr>
          <w:rFonts w:ascii="Times New Roman" w:hAnsi="Times New Roman" w:cs="Times New Roman"/>
          <w:i/>
          <w:iCs/>
          <w:sz w:val="23"/>
          <w:szCs w:val="23"/>
        </w:rPr>
        <w:t xml:space="preserve"> </w:t>
      </w:r>
      <w:r w:rsidR="002C5025">
        <w:rPr>
          <w:rFonts w:ascii="Times New Roman" w:hAnsi="Times New Roman" w:cs="Times New Roman"/>
          <w:i/>
          <w:iCs/>
          <w:sz w:val="23"/>
          <w:szCs w:val="23"/>
        </w:rPr>
        <w:t>publicly operated corrections-related "supervised community residential</w:t>
      </w:r>
      <w:r w:rsidR="002C5025">
        <w:rPr>
          <w:rFonts w:ascii="Times New Roman" w:hAnsi="Times New Roman" w:cs="Times New Roman"/>
          <w:i/>
          <w:iCs/>
          <w:spacing w:val="7"/>
          <w:sz w:val="23"/>
          <w:szCs w:val="23"/>
        </w:rPr>
        <w:t xml:space="preserve"> </w:t>
      </w:r>
      <w:r w:rsidR="002C5025">
        <w:rPr>
          <w:rFonts w:ascii="Times New Roman" w:hAnsi="Times New Roman" w:cs="Times New Roman"/>
          <w:i/>
          <w:iCs/>
          <w:sz w:val="23"/>
          <w:szCs w:val="23"/>
        </w:rPr>
        <w:t>facilities"?</w:t>
      </w:r>
    </w:p>
    <w:p w:rsidR="002C5025" w:rsidRDefault="002C5025">
      <w:pPr>
        <w:pStyle w:val="BodyText"/>
        <w:tabs>
          <w:tab w:val="left" w:pos="894"/>
        </w:tabs>
        <w:kinsoku w:val="0"/>
        <w:overflowPunct w:val="0"/>
        <w:spacing w:before="181" w:line="290" w:lineRule="auto"/>
        <w:ind w:left="183" w:right="175" w:firstLine="19"/>
        <w:rPr>
          <w:rFonts w:ascii="Times New Roman" w:hAnsi="Times New Roman" w:cs="Times New Roman"/>
        </w:rPr>
      </w:pPr>
      <w:r>
        <w:rPr>
          <w:rFonts w:ascii="Times New Roman" w:hAnsi="Times New Roman" w:cs="Times New Roman"/>
        </w:rPr>
        <w:t>A3.</w:t>
      </w:r>
      <w:r>
        <w:rPr>
          <w:rFonts w:ascii="Times New Roman" w:hAnsi="Times New Roman" w:cs="Times New Roman"/>
        </w:rPr>
        <w:tab/>
        <w:t xml:space="preserve">FFP  is available  for covered  services for Medicaid-eligible  individuals living in </w:t>
      </w:r>
      <w:r>
        <w:rPr>
          <w:rFonts w:ascii="Times New Roman" w:hAnsi="Times New Roman" w:cs="Times New Roman"/>
          <w:spacing w:val="17"/>
        </w:rPr>
        <w:t xml:space="preserve"> </w:t>
      </w:r>
      <w:r>
        <w:rPr>
          <w:rFonts w:ascii="Times New Roman" w:hAnsi="Times New Roman" w:cs="Times New Roman"/>
        </w:rPr>
        <w:t>state</w:t>
      </w:r>
      <w:r>
        <w:rPr>
          <w:rFonts w:ascii="Times New Roman" w:hAnsi="Times New Roman" w:cs="Times New Roman"/>
          <w:spacing w:val="16"/>
        </w:rPr>
        <w:t xml:space="preserve"> </w:t>
      </w:r>
      <w:r>
        <w:rPr>
          <w:rFonts w:ascii="Times New Roman" w:hAnsi="Times New Roman" w:cs="Times New Roman"/>
        </w:rPr>
        <w:t>or local corrections-related supervised community residential facilities (whether operated by a governmental  entity or a private  entity) unless the individual  does not have  freedom of  movement and association while residing at the facility. In order for FFP to be available  for covered  services for Medicaid-eligible  individuals  living in such a facility, the facility would  have to operate in .such a way as to ensure that individuals  living there have freedom of   movement  and association  according to the following tenets:   (1) residents  are not precluded  from working outside the facility in employment  available to  individuals  who  are not  under justice system supervision; (2) residents can use community resources (libraries, grocery stores, recreation,  education,  etc.) at will; and  (3) residents  can seek health  care treatment  in the broader  community to the same or simi</w:t>
      </w:r>
      <w:r w:rsidR="00344961">
        <w:rPr>
          <w:rFonts w:ascii="Times New Roman" w:hAnsi="Times New Roman" w:cs="Times New Roman"/>
        </w:rPr>
        <w:t>lar extent as other Medicaid  enr</w:t>
      </w:r>
      <w:r>
        <w:rPr>
          <w:rFonts w:ascii="Times New Roman" w:hAnsi="Times New Roman" w:cs="Times New Roman"/>
        </w:rPr>
        <w:t>olle</w:t>
      </w:r>
      <w:r w:rsidR="00344961">
        <w:rPr>
          <w:rFonts w:ascii="Times New Roman" w:hAnsi="Times New Roman" w:cs="Times New Roman"/>
        </w:rPr>
        <w:t>es  in the state.  For   this pur</w:t>
      </w:r>
      <w:r>
        <w:rPr>
          <w:rFonts w:ascii="Times New Roman" w:hAnsi="Times New Roman" w:cs="Times New Roman"/>
        </w:rPr>
        <w:t>pose,  "at will"   includes  and  is consistent with requirements  related  to</w:t>
      </w:r>
      <w:r>
        <w:rPr>
          <w:rFonts w:ascii="Times New Roman" w:hAnsi="Times New Roman" w:cs="Times New Roman"/>
          <w:spacing w:val="-12"/>
        </w:rPr>
        <w:t xml:space="preserve"> </w:t>
      </w:r>
      <w:r>
        <w:rPr>
          <w:rFonts w:ascii="Times New Roman" w:hAnsi="Times New Roman" w:cs="Times New Roman"/>
        </w:rPr>
        <w:t>operational</w:t>
      </w:r>
    </w:p>
    <w:p w:rsidR="002C5025" w:rsidRDefault="002C5025">
      <w:pPr>
        <w:pStyle w:val="BodyText"/>
        <w:kinsoku w:val="0"/>
        <w:overflowPunct w:val="0"/>
        <w:spacing w:before="5" w:line="290" w:lineRule="auto"/>
        <w:ind w:left="202" w:right="258" w:firstLine="7"/>
        <w:rPr>
          <w:rFonts w:ascii="Times New Roman" w:hAnsi="Times New Roman" w:cs="Times New Roman"/>
        </w:rPr>
      </w:pPr>
      <w:r>
        <w:rPr>
          <w:rFonts w:ascii="Times New Roman" w:hAnsi="Times New Roman" w:cs="Times New Roman"/>
        </w:rPr>
        <w:t>"house rules" where, for example, the residence ma</w:t>
      </w:r>
      <w:r w:rsidR="00344961">
        <w:rPr>
          <w:rFonts w:ascii="Times New Roman" w:hAnsi="Times New Roman" w:cs="Times New Roman"/>
        </w:rPr>
        <w:t>y be closed or locked during cer</w:t>
      </w:r>
      <w:r>
        <w:rPr>
          <w:rFonts w:ascii="Times New Roman" w:hAnsi="Times New Roman" w:cs="Times New Roman"/>
        </w:rPr>
        <w:t>tain hours or where residents are required to report during certain times and sign in and out. Similarly, an individual's supervisory requirements  may  restrict  travelling to or frequenting  certain  locations that may be associated with high criminal activity. To claim FFP for Medicaid-covered services famished to Medicaid-eligible individuals while they are living in a supervised community residential  facility, the state Medicaid  agency must  ensure that the facility meets the   requirements  described</w:t>
      </w:r>
      <w:r>
        <w:rPr>
          <w:rFonts w:ascii="Times New Roman" w:hAnsi="Times New Roman" w:cs="Times New Roman"/>
          <w:spacing w:val="41"/>
        </w:rPr>
        <w:t xml:space="preserve"> </w:t>
      </w:r>
      <w:r>
        <w:rPr>
          <w:rFonts w:ascii="Times New Roman" w:hAnsi="Times New Roman" w:cs="Times New Roman"/>
        </w:rPr>
        <w:t>above.</w:t>
      </w:r>
    </w:p>
    <w:p w:rsidR="002C5025" w:rsidRDefault="002C5025">
      <w:pPr>
        <w:pStyle w:val="BodyText"/>
        <w:tabs>
          <w:tab w:val="left" w:pos="901"/>
        </w:tabs>
        <w:kinsoku w:val="0"/>
        <w:overflowPunct w:val="0"/>
        <w:spacing w:before="183" w:line="280" w:lineRule="auto"/>
        <w:ind w:left="220" w:right="652"/>
        <w:rPr>
          <w:rFonts w:ascii="Times New Roman" w:hAnsi="Times New Roman" w:cs="Times New Roman"/>
          <w:i/>
          <w:iCs/>
          <w:sz w:val="23"/>
          <w:szCs w:val="23"/>
        </w:rPr>
      </w:pPr>
      <w:r>
        <w:rPr>
          <w:rFonts w:ascii="Times New Roman" w:hAnsi="Times New Roman" w:cs="Times New Roman"/>
        </w:rPr>
        <w:t>Q4.</w:t>
      </w:r>
      <w:r>
        <w:rPr>
          <w:rFonts w:ascii="Times New Roman" w:hAnsi="Times New Roman" w:cs="Times New Roman"/>
        </w:rPr>
        <w:tab/>
        <w:t xml:space="preserve">Residential  Reentry  Centers: </w:t>
      </w:r>
      <w:r>
        <w:rPr>
          <w:rFonts w:ascii="Times New Roman" w:hAnsi="Times New Roman" w:cs="Times New Roman"/>
          <w:i/>
          <w:iCs/>
          <w:sz w:val="23"/>
          <w:szCs w:val="23"/>
        </w:rPr>
        <w:t>Is FFP  available</w:t>
      </w:r>
      <w:r w:rsidR="00344961">
        <w:rPr>
          <w:rFonts w:ascii="Times New Roman" w:hAnsi="Times New Roman" w:cs="Times New Roman"/>
          <w:i/>
          <w:iCs/>
          <w:sz w:val="23"/>
          <w:szCs w:val="23"/>
        </w:rPr>
        <w:t xml:space="preserve"> </w:t>
      </w:r>
      <w:r>
        <w:rPr>
          <w:rFonts w:ascii="Times New Roman" w:hAnsi="Times New Roman" w:cs="Times New Roman"/>
          <w:i/>
          <w:iCs/>
          <w:sz w:val="23"/>
          <w:szCs w:val="23"/>
        </w:rPr>
        <w:t xml:space="preserve">for  Medicaid-covered  </w:t>
      </w:r>
      <w:r>
        <w:rPr>
          <w:rFonts w:ascii="Times New Roman" w:hAnsi="Times New Roman" w:cs="Times New Roman"/>
          <w:i/>
          <w:iCs/>
          <w:spacing w:val="11"/>
          <w:sz w:val="23"/>
          <w:szCs w:val="23"/>
        </w:rPr>
        <w:t xml:space="preserve"> </w:t>
      </w:r>
      <w:r>
        <w:rPr>
          <w:rFonts w:ascii="Times New Roman" w:hAnsi="Times New Roman" w:cs="Times New Roman"/>
          <w:i/>
          <w:iCs/>
          <w:sz w:val="23"/>
          <w:szCs w:val="23"/>
        </w:rPr>
        <w:t>services</w:t>
      </w:r>
      <w:r>
        <w:rPr>
          <w:rFonts w:ascii="Times New Roman" w:hAnsi="Times New Roman" w:cs="Times New Roman"/>
          <w:i/>
          <w:iCs/>
          <w:spacing w:val="45"/>
          <w:sz w:val="23"/>
          <w:szCs w:val="23"/>
        </w:rPr>
        <w:t xml:space="preserve"> </w:t>
      </w:r>
      <w:r>
        <w:rPr>
          <w:rFonts w:ascii="Times New Roman" w:hAnsi="Times New Roman" w:cs="Times New Roman"/>
          <w:i/>
          <w:iCs/>
          <w:sz w:val="23"/>
          <w:szCs w:val="23"/>
        </w:rPr>
        <w:t>to individuals residing  in</w:t>
      </w:r>
      <w:r w:rsidR="00344961">
        <w:rPr>
          <w:rFonts w:ascii="Times New Roman" w:hAnsi="Times New Roman" w:cs="Times New Roman"/>
          <w:i/>
          <w:iCs/>
          <w:sz w:val="23"/>
          <w:szCs w:val="23"/>
        </w:rPr>
        <w:t xml:space="preserve"> </w:t>
      </w:r>
      <w:r>
        <w:rPr>
          <w:rFonts w:ascii="Times New Roman" w:hAnsi="Times New Roman" w:cs="Times New Roman"/>
          <w:i/>
          <w:iCs/>
          <w:sz w:val="23"/>
          <w:szCs w:val="23"/>
        </w:rPr>
        <w:t>federal   "Residential Reentry</w:t>
      </w:r>
      <w:r>
        <w:rPr>
          <w:rFonts w:ascii="Times New Roman" w:hAnsi="Times New Roman" w:cs="Times New Roman"/>
          <w:i/>
          <w:iCs/>
          <w:spacing w:val="-18"/>
          <w:sz w:val="23"/>
          <w:szCs w:val="23"/>
        </w:rPr>
        <w:t xml:space="preserve"> </w:t>
      </w:r>
      <w:r>
        <w:rPr>
          <w:rFonts w:ascii="Times New Roman" w:hAnsi="Times New Roman" w:cs="Times New Roman"/>
          <w:i/>
          <w:iCs/>
          <w:sz w:val="23"/>
          <w:szCs w:val="23"/>
        </w:rPr>
        <w:t>Centers"?</w:t>
      </w:r>
    </w:p>
    <w:p w:rsidR="002C5025" w:rsidRDefault="002C5025">
      <w:pPr>
        <w:pStyle w:val="BodyText"/>
        <w:tabs>
          <w:tab w:val="left" w:pos="894"/>
        </w:tabs>
        <w:kinsoku w:val="0"/>
        <w:overflowPunct w:val="0"/>
        <w:spacing w:before="191" w:line="288" w:lineRule="auto"/>
        <w:ind w:left="210" w:right="135"/>
        <w:rPr>
          <w:rFonts w:ascii="Times New Roman" w:hAnsi="Times New Roman" w:cs="Times New Roman"/>
          <w:w w:val="105"/>
        </w:rPr>
      </w:pPr>
      <w:r>
        <w:rPr>
          <w:rFonts w:ascii="Times New Roman" w:hAnsi="Times New Roman" w:cs="Times New Roman"/>
          <w:w w:val="105"/>
        </w:rPr>
        <w:t>A4.</w:t>
      </w:r>
      <w:r>
        <w:rPr>
          <w:rFonts w:ascii="Times New Roman" w:hAnsi="Times New Roman" w:cs="Times New Roman"/>
          <w:w w:val="105"/>
        </w:rPr>
        <w:tab/>
        <w:t>No.</w:t>
      </w:r>
      <w:r>
        <w:rPr>
          <w:rFonts w:ascii="Times New Roman" w:hAnsi="Times New Roman" w:cs="Times New Roman"/>
          <w:spacing w:val="-13"/>
          <w:w w:val="105"/>
        </w:rPr>
        <w:t xml:space="preserve"> </w:t>
      </w:r>
      <w:r>
        <w:rPr>
          <w:rFonts w:ascii="Times New Roman" w:hAnsi="Times New Roman" w:cs="Times New Roman"/>
          <w:w w:val="105"/>
        </w:rPr>
        <w:t>The</w:t>
      </w:r>
      <w:r>
        <w:rPr>
          <w:rFonts w:ascii="Times New Roman" w:hAnsi="Times New Roman" w:cs="Times New Roman"/>
          <w:spacing w:val="-15"/>
          <w:w w:val="105"/>
        </w:rPr>
        <w:t xml:space="preserve"> </w:t>
      </w:r>
      <w:r>
        <w:rPr>
          <w:rFonts w:ascii="Times New Roman" w:hAnsi="Times New Roman" w:cs="Times New Roman"/>
          <w:w w:val="105"/>
        </w:rPr>
        <w:t>Department</w:t>
      </w:r>
      <w:r>
        <w:rPr>
          <w:rFonts w:ascii="Times New Roman" w:hAnsi="Times New Roman" w:cs="Times New Roman"/>
          <w:spacing w:val="-4"/>
          <w:w w:val="105"/>
        </w:rPr>
        <w:t xml:space="preserve"> </w:t>
      </w:r>
      <w:r>
        <w:rPr>
          <w:rFonts w:ascii="Times New Roman" w:hAnsi="Times New Roman" w:cs="Times New Roman"/>
          <w:w w:val="105"/>
        </w:rPr>
        <w:t>of</w:t>
      </w:r>
      <w:r>
        <w:rPr>
          <w:rFonts w:ascii="Times New Roman" w:hAnsi="Times New Roman" w:cs="Times New Roman"/>
          <w:spacing w:val="-14"/>
          <w:w w:val="105"/>
        </w:rPr>
        <w:t xml:space="preserve"> </w:t>
      </w:r>
      <w:r>
        <w:rPr>
          <w:rFonts w:ascii="Times New Roman" w:hAnsi="Times New Roman" w:cs="Times New Roman"/>
          <w:w w:val="105"/>
        </w:rPr>
        <w:t>Justice,</w:t>
      </w:r>
      <w:r>
        <w:rPr>
          <w:rFonts w:ascii="Times New Roman" w:hAnsi="Times New Roman" w:cs="Times New Roman"/>
          <w:spacing w:val="-6"/>
          <w:w w:val="105"/>
        </w:rPr>
        <w:t xml:space="preserve"> </w:t>
      </w:r>
      <w:r>
        <w:rPr>
          <w:rFonts w:ascii="Times New Roman" w:hAnsi="Times New Roman" w:cs="Times New Roman"/>
          <w:w w:val="105"/>
        </w:rPr>
        <w:t>Bureau</w:t>
      </w:r>
      <w:r>
        <w:rPr>
          <w:rFonts w:ascii="Times New Roman" w:hAnsi="Times New Roman" w:cs="Times New Roman"/>
          <w:spacing w:val="-4"/>
          <w:w w:val="105"/>
        </w:rPr>
        <w:t xml:space="preserve"> </w:t>
      </w:r>
      <w:r>
        <w:rPr>
          <w:rFonts w:ascii="Times New Roman" w:hAnsi="Times New Roman" w:cs="Times New Roman"/>
          <w:w w:val="105"/>
        </w:rPr>
        <w:t>of</w:t>
      </w:r>
      <w:r>
        <w:rPr>
          <w:rFonts w:ascii="Times New Roman" w:hAnsi="Times New Roman" w:cs="Times New Roman"/>
          <w:spacing w:val="-13"/>
          <w:w w:val="105"/>
        </w:rPr>
        <w:t xml:space="preserve"> </w:t>
      </w:r>
      <w:r>
        <w:rPr>
          <w:rFonts w:ascii="Times New Roman" w:hAnsi="Times New Roman" w:cs="Times New Roman"/>
          <w:w w:val="105"/>
        </w:rPr>
        <w:t>Prisons</w:t>
      </w:r>
      <w:r>
        <w:rPr>
          <w:rFonts w:ascii="Times New Roman" w:hAnsi="Times New Roman" w:cs="Times New Roman"/>
          <w:spacing w:val="-3"/>
          <w:w w:val="105"/>
        </w:rPr>
        <w:t xml:space="preserve"> </w:t>
      </w:r>
      <w:r>
        <w:rPr>
          <w:rFonts w:ascii="Times New Roman" w:hAnsi="Times New Roman" w:cs="Times New Roman"/>
          <w:w w:val="105"/>
        </w:rPr>
        <w:t>(BOP)</w:t>
      </w:r>
      <w:r>
        <w:rPr>
          <w:rFonts w:ascii="Times New Roman" w:hAnsi="Times New Roman" w:cs="Times New Roman"/>
          <w:spacing w:val="-13"/>
          <w:w w:val="105"/>
        </w:rPr>
        <w:t xml:space="preserve"> </w:t>
      </w:r>
      <w:r>
        <w:rPr>
          <w:rFonts w:ascii="Times New Roman" w:hAnsi="Times New Roman" w:cs="Times New Roman"/>
          <w:w w:val="105"/>
        </w:rPr>
        <w:t>retains</w:t>
      </w:r>
      <w:r>
        <w:rPr>
          <w:rFonts w:ascii="Times New Roman" w:hAnsi="Times New Roman" w:cs="Times New Roman"/>
          <w:spacing w:val="-11"/>
          <w:w w:val="105"/>
        </w:rPr>
        <w:t xml:space="preserve"> </w:t>
      </w:r>
      <w:r>
        <w:rPr>
          <w:rFonts w:ascii="Times New Roman" w:hAnsi="Times New Roman" w:cs="Times New Roman"/>
          <w:w w:val="105"/>
        </w:rPr>
        <w:t>responsibility</w:t>
      </w:r>
      <w:r>
        <w:rPr>
          <w:rFonts w:ascii="Times New Roman" w:hAnsi="Times New Roman" w:cs="Times New Roman"/>
          <w:spacing w:val="-4"/>
          <w:w w:val="105"/>
        </w:rPr>
        <w:t xml:space="preserve"> </w:t>
      </w:r>
      <w:r>
        <w:rPr>
          <w:rFonts w:ascii="Times New Roman" w:hAnsi="Times New Roman" w:cs="Times New Roman"/>
          <w:w w:val="105"/>
        </w:rPr>
        <w:t>for</w:t>
      </w:r>
      <w:r>
        <w:rPr>
          <w:rFonts w:ascii="Times New Roman" w:hAnsi="Times New Roman" w:cs="Times New Roman"/>
          <w:spacing w:val="-1"/>
          <w:w w:val="103"/>
        </w:rPr>
        <w:t xml:space="preserve"> </w:t>
      </w:r>
      <w:r>
        <w:rPr>
          <w:rFonts w:ascii="Times New Roman" w:hAnsi="Times New Roman" w:cs="Times New Roman"/>
          <w:w w:val="105"/>
        </w:rPr>
        <w:t>payment</w:t>
      </w:r>
      <w:r>
        <w:rPr>
          <w:rFonts w:ascii="Times New Roman" w:hAnsi="Times New Roman" w:cs="Times New Roman"/>
          <w:spacing w:val="-3"/>
          <w:w w:val="105"/>
        </w:rPr>
        <w:t xml:space="preserve"> </w:t>
      </w:r>
      <w:r>
        <w:rPr>
          <w:rFonts w:ascii="Times New Roman" w:hAnsi="Times New Roman" w:cs="Times New Roman"/>
          <w:w w:val="105"/>
        </w:rPr>
        <w:t>of</w:t>
      </w:r>
      <w:r>
        <w:rPr>
          <w:rFonts w:ascii="Times New Roman" w:hAnsi="Times New Roman" w:cs="Times New Roman"/>
          <w:spacing w:val="-12"/>
          <w:w w:val="105"/>
        </w:rPr>
        <w:t xml:space="preserve"> </w:t>
      </w:r>
      <w:r>
        <w:rPr>
          <w:rFonts w:ascii="Times New Roman" w:hAnsi="Times New Roman" w:cs="Times New Roman"/>
          <w:w w:val="105"/>
        </w:rPr>
        <w:t>health</w:t>
      </w:r>
      <w:r>
        <w:rPr>
          <w:rFonts w:ascii="Times New Roman" w:hAnsi="Times New Roman" w:cs="Times New Roman"/>
          <w:spacing w:val="-11"/>
          <w:w w:val="105"/>
        </w:rPr>
        <w:t xml:space="preserve"> </w:t>
      </w:r>
      <w:r>
        <w:rPr>
          <w:rFonts w:ascii="Times New Roman" w:hAnsi="Times New Roman" w:cs="Times New Roman"/>
          <w:w w:val="105"/>
        </w:rPr>
        <w:t>care</w:t>
      </w:r>
      <w:r>
        <w:rPr>
          <w:rFonts w:ascii="Times New Roman" w:hAnsi="Times New Roman" w:cs="Times New Roman"/>
          <w:spacing w:val="-10"/>
          <w:w w:val="105"/>
        </w:rPr>
        <w:t xml:space="preserve"> </w:t>
      </w:r>
      <w:r>
        <w:rPr>
          <w:rFonts w:ascii="Times New Roman" w:hAnsi="Times New Roman" w:cs="Times New Roman"/>
          <w:w w:val="105"/>
        </w:rPr>
        <w:t>services</w:t>
      </w:r>
      <w:r>
        <w:rPr>
          <w:rFonts w:ascii="Times New Roman" w:hAnsi="Times New Roman" w:cs="Times New Roman"/>
          <w:spacing w:val="-17"/>
          <w:w w:val="105"/>
        </w:rPr>
        <w:t xml:space="preserve"> </w:t>
      </w:r>
      <w:r>
        <w:rPr>
          <w:rFonts w:ascii="Times New Roman" w:hAnsi="Times New Roman" w:cs="Times New Roman"/>
          <w:w w:val="105"/>
        </w:rPr>
        <w:t>rendered</w:t>
      </w:r>
      <w:r>
        <w:rPr>
          <w:rFonts w:ascii="Times New Roman" w:hAnsi="Times New Roman" w:cs="Times New Roman"/>
          <w:spacing w:val="-5"/>
          <w:w w:val="105"/>
        </w:rPr>
        <w:t xml:space="preserve"> </w:t>
      </w:r>
      <w:r>
        <w:rPr>
          <w:rFonts w:ascii="Times New Roman" w:hAnsi="Times New Roman" w:cs="Times New Roman"/>
          <w:w w:val="105"/>
        </w:rPr>
        <w:t>to</w:t>
      </w:r>
      <w:r>
        <w:rPr>
          <w:rFonts w:ascii="Times New Roman" w:hAnsi="Times New Roman" w:cs="Times New Roman"/>
          <w:spacing w:val="-11"/>
          <w:w w:val="105"/>
        </w:rPr>
        <w:t xml:space="preserve"> </w:t>
      </w:r>
      <w:r>
        <w:rPr>
          <w:rFonts w:ascii="Times New Roman" w:hAnsi="Times New Roman" w:cs="Times New Roman"/>
          <w:w w:val="105"/>
        </w:rPr>
        <w:t>individuals</w:t>
      </w:r>
      <w:r>
        <w:rPr>
          <w:rFonts w:ascii="Times New Roman" w:hAnsi="Times New Roman" w:cs="Times New Roman"/>
          <w:spacing w:val="-2"/>
          <w:w w:val="105"/>
        </w:rPr>
        <w:t xml:space="preserve"> </w:t>
      </w:r>
      <w:r>
        <w:rPr>
          <w:rFonts w:ascii="Times New Roman" w:hAnsi="Times New Roman" w:cs="Times New Roman"/>
          <w:w w:val="105"/>
        </w:rPr>
        <w:t>in</w:t>
      </w:r>
      <w:r>
        <w:rPr>
          <w:rFonts w:ascii="Times New Roman" w:hAnsi="Times New Roman" w:cs="Times New Roman"/>
          <w:spacing w:val="-18"/>
          <w:w w:val="105"/>
        </w:rPr>
        <w:t xml:space="preserve"> </w:t>
      </w:r>
      <w:r>
        <w:rPr>
          <w:rFonts w:ascii="Times New Roman" w:hAnsi="Times New Roman" w:cs="Times New Roman"/>
          <w:w w:val="105"/>
        </w:rPr>
        <w:t>Residential</w:t>
      </w:r>
      <w:r>
        <w:rPr>
          <w:rFonts w:ascii="Times New Roman" w:hAnsi="Times New Roman" w:cs="Times New Roman"/>
          <w:spacing w:val="-3"/>
          <w:w w:val="105"/>
        </w:rPr>
        <w:t xml:space="preserve"> </w:t>
      </w:r>
      <w:r>
        <w:rPr>
          <w:rFonts w:ascii="Times New Roman" w:hAnsi="Times New Roman" w:cs="Times New Roman"/>
          <w:w w:val="105"/>
        </w:rPr>
        <w:t>Re-entry</w:t>
      </w:r>
      <w:r>
        <w:rPr>
          <w:rFonts w:ascii="Times New Roman" w:hAnsi="Times New Roman" w:cs="Times New Roman"/>
          <w:spacing w:val="-11"/>
          <w:w w:val="105"/>
        </w:rPr>
        <w:t xml:space="preserve"> </w:t>
      </w:r>
      <w:r>
        <w:rPr>
          <w:rFonts w:ascii="Times New Roman" w:hAnsi="Times New Roman" w:cs="Times New Roman"/>
          <w:w w:val="105"/>
        </w:rPr>
        <w:t>Centers</w:t>
      </w:r>
      <w:r>
        <w:rPr>
          <w:rFonts w:ascii="Times New Roman" w:hAnsi="Times New Roman" w:cs="Times New Roman"/>
          <w:spacing w:val="-13"/>
          <w:w w:val="105"/>
        </w:rPr>
        <w:t xml:space="preserve"> </w:t>
      </w:r>
      <w:r>
        <w:rPr>
          <w:rFonts w:ascii="Times New Roman" w:hAnsi="Times New Roman" w:cs="Times New Roman"/>
          <w:w w:val="105"/>
        </w:rPr>
        <w:t>(RRCs). RRC residents previously enrolled in their state Medicaid program would have benefits suspended</w:t>
      </w:r>
      <w:r>
        <w:rPr>
          <w:rFonts w:ascii="Times New Roman" w:hAnsi="Times New Roman" w:cs="Times New Roman"/>
          <w:spacing w:val="-7"/>
          <w:w w:val="105"/>
        </w:rPr>
        <w:t xml:space="preserve"> </w:t>
      </w:r>
      <w:r>
        <w:rPr>
          <w:rFonts w:ascii="Times New Roman" w:hAnsi="Times New Roman" w:cs="Times New Roman"/>
          <w:w w:val="105"/>
        </w:rPr>
        <w:t>while</w:t>
      </w:r>
      <w:r>
        <w:rPr>
          <w:rFonts w:ascii="Times New Roman" w:hAnsi="Times New Roman" w:cs="Times New Roman"/>
          <w:spacing w:val="-3"/>
          <w:w w:val="105"/>
        </w:rPr>
        <w:t xml:space="preserve"> </w:t>
      </w:r>
      <w:r>
        <w:rPr>
          <w:rFonts w:ascii="Times New Roman" w:hAnsi="Times New Roman" w:cs="Times New Roman"/>
          <w:w w:val="105"/>
        </w:rPr>
        <w:t>serving</w:t>
      </w:r>
      <w:r>
        <w:rPr>
          <w:rFonts w:ascii="Times New Roman" w:hAnsi="Times New Roman" w:cs="Times New Roman"/>
          <w:spacing w:val="-13"/>
          <w:w w:val="105"/>
        </w:rPr>
        <w:t xml:space="preserve"> </w:t>
      </w:r>
      <w:r>
        <w:rPr>
          <w:rFonts w:ascii="Times New Roman" w:hAnsi="Times New Roman" w:cs="Times New Roman"/>
          <w:w w:val="105"/>
        </w:rPr>
        <w:t>a</w:t>
      </w:r>
      <w:r>
        <w:rPr>
          <w:rFonts w:ascii="Times New Roman" w:hAnsi="Times New Roman" w:cs="Times New Roman"/>
          <w:spacing w:val="-14"/>
          <w:w w:val="105"/>
        </w:rPr>
        <w:t xml:space="preserve"> </w:t>
      </w:r>
      <w:r>
        <w:rPr>
          <w:rFonts w:ascii="Times New Roman" w:hAnsi="Times New Roman" w:cs="Times New Roman"/>
          <w:w w:val="105"/>
        </w:rPr>
        <w:t>duly</w:t>
      </w:r>
      <w:r>
        <w:rPr>
          <w:rFonts w:ascii="Times New Roman" w:hAnsi="Times New Roman" w:cs="Times New Roman"/>
          <w:spacing w:val="-13"/>
          <w:w w:val="105"/>
        </w:rPr>
        <w:t xml:space="preserve"> </w:t>
      </w:r>
      <w:r>
        <w:rPr>
          <w:rFonts w:ascii="Times New Roman" w:hAnsi="Times New Roman" w:cs="Times New Roman"/>
          <w:w w:val="105"/>
        </w:rPr>
        <w:t>adjudicated</w:t>
      </w:r>
      <w:r>
        <w:rPr>
          <w:rFonts w:ascii="Times New Roman" w:hAnsi="Times New Roman" w:cs="Times New Roman"/>
          <w:spacing w:val="-7"/>
          <w:w w:val="105"/>
        </w:rPr>
        <w:t xml:space="preserve"> </w:t>
      </w:r>
      <w:r>
        <w:rPr>
          <w:rFonts w:ascii="Times New Roman" w:hAnsi="Times New Roman" w:cs="Times New Roman"/>
          <w:w w:val="105"/>
        </w:rPr>
        <w:t>term</w:t>
      </w:r>
      <w:r>
        <w:rPr>
          <w:rFonts w:ascii="Times New Roman" w:hAnsi="Times New Roman" w:cs="Times New Roman"/>
          <w:spacing w:val="-2"/>
          <w:w w:val="105"/>
        </w:rPr>
        <w:t xml:space="preserve"> </w:t>
      </w:r>
      <w:r>
        <w:rPr>
          <w:rFonts w:ascii="Times New Roman" w:hAnsi="Times New Roman" w:cs="Times New Roman"/>
          <w:w w:val="105"/>
        </w:rPr>
        <w:t>of</w:t>
      </w:r>
      <w:r>
        <w:rPr>
          <w:rFonts w:ascii="Times New Roman" w:hAnsi="Times New Roman" w:cs="Times New Roman"/>
          <w:spacing w:val="-12"/>
          <w:w w:val="105"/>
        </w:rPr>
        <w:t xml:space="preserve"> </w:t>
      </w:r>
      <w:r>
        <w:rPr>
          <w:rFonts w:ascii="Times New Roman" w:hAnsi="Times New Roman" w:cs="Times New Roman"/>
          <w:w w:val="105"/>
        </w:rPr>
        <w:t>incarceration</w:t>
      </w:r>
      <w:r>
        <w:rPr>
          <w:rFonts w:ascii="Times New Roman" w:hAnsi="Times New Roman" w:cs="Times New Roman"/>
          <w:spacing w:val="-2"/>
          <w:w w:val="105"/>
        </w:rPr>
        <w:t xml:space="preserve"> </w:t>
      </w:r>
      <w:r>
        <w:rPr>
          <w:rFonts w:ascii="Times New Roman" w:hAnsi="Times New Roman" w:cs="Times New Roman"/>
          <w:w w:val="105"/>
        </w:rPr>
        <w:t>in</w:t>
      </w:r>
      <w:r>
        <w:rPr>
          <w:rFonts w:ascii="Times New Roman" w:hAnsi="Times New Roman" w:cs="Times New Roman"/>
          <w:spacing w:val="-15"/>
          <w:w w:val="105"/>
        </w:rPr>
        <w:t xml:space="preserve"> </w:t>
      </w:r>
      <w:r>
        <w:rPr>
          <w:rFonts w:ascii="Times New Roman" w:hAnsi="Times New Roman" w:cs="Times New Roman"/>
          <w:w w:val="105"/>
        </w:rPr>
        <w:t>a</w:t>
      </w:r>
      <w:r>
        <w:rPr>
          <w:rFonts w:ascii="Times New Roman" w:hAnsi="Times New Roman" w:cs="Times New Roman"/>
          <w:spacing w:val="-17"/>
          <w:w w:val="105"/>
        </w:rPr>
        <w:t xml:space="preserve"> </w:t>
      </w:r>
      <w:r>
        <w:rPr>
          <w:rFonts w:ascii="Times New Roman" w:hAnsi="Times New Roman" w:cs="Times New Roman"/>
          <w:w w:val="105"/>
        </w:rPr>
        <w:t>federal</w:t>
      </w:r>
      <w:r>
        <w:rPr>
          <w:rFonts w:ascii="Times New Roman" w:hAnsi="Times New Roman" w:cs="Times New Roman"/>
          <w:spacing w:val="-9"/>
          <w:w w:val="105"/>
        </w:rPr>
        <w:t xml:space="preserve"> </w:t>
      </w:r>
      <w:r>
        <w:rPr>
          <w:rFonts w:ascii="Times New Roman" w:hAnsi="Times New Roman" w:cs="Times New Roman"/>
          <w:w w:val="105"/>
        </w:rPr>
        <w:t>facility</w:t>
      </w:r>
      <w:r>
        <w:rPr>
          <w:rFonts w:ascii="Times New Roman" w:hAnsi="Times New Roman" w:cs="Times New Roman"/>
          <w:spacing w:val="-9"/>
          <w:w w:val="105"/>
        </w:rPr>
        <w:t xml:space="preserve"> </w:t>
      </w:r>
      <w:r>
        <w:rPr>
          <w:rFonts w:ascii="Times New Roman" w:hAnsi="Times New Roman" w:cs="Times New Roman"/>
          <w:w w:val="105"/>
        </w:rPr>
        <w:t>or</w:t>
      </w:r>
      <w:r>
        <w:rPr>
          <w:rFonts w:ascii="Times New Roman" w:hAnsi="Times New Roman" w:cs="Times New Roman"/>
          <w:spacing w:val="-12"/>
          <w:w w:val="105"/>
        </w:rPr>
        <w:t xml:space="preserve"> </w:t>
      </w:r>
      <w:r>
        <w:rPr>
          <w:rFonts w:ascii="Times New Roman" w:hAnsi="Times New Roman" w:cs="Times New Roman"/>
          <w:w w:val="105"/>
        </w:rPr>
        <w:t>RRC.</w:t>
      </w:r>
    </w:p>
    <w:p w:rsidR="002C5025" w:rsidRDefault="002C5025">
      <w:pPr>
        <w:pStyle w:val="BodyText"/>
        <w:tabs>
          <w:tab w:val="left" w:pos="894"/>
        </w:tabs>
        <w:kinsoku w:val="0"/>
        <w:overflowPunct w:val="0"/>
        <w:spacing w:before="191" w:line="288" w:lineRule="auto"/>
        <w:ind w:left="210" w:right="135"/>
        <w:rPr>
          <w:rFonts w:ascii="Times New Roman" w:hAnsi="Times New Roman" w:cs="Times New Roman"/>
          <w:w w:val="105"/>
        </w:rPr>
        <w:sectPr w:rsidR="002C5025">
          <w:pgSz w:w="12240" w:h="15840"/>
          <w:pgMar w:top="1100" w:right="1680" w:bottom="280" w:left="1400" w:header="720" w:footer="720" w:gutter="0"/>
          <w:cols w:space="720" w:equalWidth="0">
            <w:col w:w="9160"/>
          </w:cols>
          <w:noEndnote/>
        </w:sect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11"/>
        <w:rPr>
          <w:rFonts w:ascii="Times New Roman" w:hAnsi="Times New Roman" w:cs="Times New Roman"/>
        </w:rPr>
      </w:pPr>
    </w:p>
    <w:p w:rsidR="002C5025" w:rsidRDefault="00FB027C">
      <w:pPr>
        <w:pStyle w:val="BodyText"/>
        <w:kinsoku w:val="0"/>
        <w:overflowPunct w:val="0"/>
        <w:spacing w:before="73"/>
        <w:ind w:left="151" w:right="1839"/>
        <w:rPr>
          <w:rFonts w:ascii="Times New Roman" w:hAnsi="Times New Roman" w:cs="Times New Roman"/>
          <w:sz w:val="20"/>
          <w:szCs w:val="20"/>
        </w:rPr>
      </w:pPr>
      <w:r>
        <w:rPr>
          <w:noProof/>
        </w:rPr>
        <mc:AlternateContent>
          <mc:Choice Requires="wps">
            <w:drawing>
              <wp:anchor distT="0" distB="0" distL="114300" distR="114300" simplePos="0" relativeHeight="251819520" behindDoc="0" locked="0" layoutInCell="0" allowOverlap="1">
                <wp:simplePos x="0" y="0"/>
                <wp:positionH relativeFrom="page">
                  <wp:posOffset>7769225</wp:posOffset>
                </wp:positionH>
                <wp:positionV relativeFrom="paragraph">
                  <wp:posOffset>-604520</wp:posOffset>
                </wp:positionV>
                <wp:extent cx="12700" cy="635000"/>
                <wp:effectExtent l="0" t="0" r="0" b="0"/>
                <wp:wrapNone/>
                <wp:docPr id="243" name="Freeform 8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635000"/>
                        </a:xfrm>
                        <a:custGeom>
                          <a:avLst/>
                          <a:gdLst>
                            <a:gd name="T0" fmla="*/ 0 w 20"/>
                            <a:gd name="T1" fmla="*/ 1000 h 1000"/>
                            <a:gd name="T2" fmla="*/ 0 w 20"/>
                            <a:gd name="T3" fmla="*/ 0 h 1000"/>
                          </a:gdLst>
                          <a:ahLst/>
                          <a:cxnLst>
                            <a:cxn ang="0">
                              <a:pos x="T0" y="T1"/>
                            </a:cxn>
                            <a:cxn ang="0">
                              <a:pos x="T2" y="T3"/>
                            </a:cxn>
                          </a:cxnLst>
                          <a:rect l="0" t="0" r="r" b="b"/>
                          <a:pathLst>
                            <a:path w="20" h="1000">
                              <a:moveTo>
                                <a:pt x="0" y="1000"/>
                              </a:moveTo>
                              <a:lnTo>
                                <a:pt x="0"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841" o:spid="_x0000_s1026" style="position:absolute;z-index:251819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11.75pt,2.4pt,611.75pt,-47.6pt" coordsize="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" o:allowincell="f" filled="f" strokeweight=".36pt">
                <v:path arrowok="t" o:connecttype="custom" o:connectlocs="0,635000;0,0" o:connectangles="0,0"/>
                <w10:wrap anchorx="page"/>
              </v:polyline>
            </w:pict>
          </mc:Fallback>
        </mc:AlternateContent>
      </w:r>
      <w:r w:rsidR="00344961">
        <w:rPr>
          <w:rFonts w:ascii="Times New Roman" w:hAnsi="Times New Roman" w:cs="Times New Roman"/>
          <w:sz w:val="20"/>
          <w:szCs w:val="20"/>
        </w:rPr>
        <w:t>Page 5 -State Health Official and State Medica</w:t>
      </w:r>
      <w:r w:rsidR="002C5025">
        <w:rPr>
          <w:rFonts w:ascii="Times New Roman" w:hAnsi="Times New Roman" w:cs="Times New Roman"/>
          <w:sz w:val="20"/>
          <w:szCs w:val="20"/>
        </w:rPr>
        <w:t>id Director</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4"/>
        <w:rPr>
          <w:rFonts w:ascii="Times New Roman" w:hAnsi="Times New Roman" w:cs="Times New Roman"/>
          <w:sz w:val="25"/>
          <w:szCs w:val="25"/>
        </w:rPr>
      </w:pPr>
    </w:p>
    <w:p w:rsidR="002C5025" w:rsidRDefault="002C5025">
      <w:pPr>
        <w:pStyle w:val="BodyText"/>
        <w:kinsoku w:val="0"/>
        <w:overflowPunct w:val="0"/>
        <w:spacing w:line="288" w:lineRule="auto"/>
        <w:ind w:left="129" w:right="2060"/>
        <w:rPr>
          <w:rFonts w:ascii="Times New Roman" w:hAnsi="Times New Roman" w:cs="Times New Roman"/>
        </w:rPr>
      </w:pPr>
      <w:r>
        <w:rPr>
          <w:rFonts w:ascii="Times New Roman" w:hAnsi="Times New Roman" w:cs="Times New Roman"/>
        </w:rPr>
        <w:t>RRC residents not previously enrolled in their state Medicaid program would be able to apply to their intended  release  state of residency  for eligibility  determination  while  incarcerated,  but would not be eligible to receive Medicaid  benefits until their status changed to home     confinement,  parole,  probation,  or full-term</w:t>
      </w:r>
      <w:r>
        <w:rPr>
          <w:rFonts w:ascii="Times New Roman" w:hAnsi="Times New Roman" w:cs="Times New Roman"/>
          <w:spacing w:val="1"/>
        </w:rPr>
        <w:t xml:space="preserve"> </w:t>
      </w:r>
      <w:r>
        <w:rPr>
          <w:rFonts w:ascii="Times New Roman" w:hAnsi="Times New Roman" w:cs="Times New Roman"/>
        </w:rPr>
        <w:t>release.</w:t>
      </w:r>
    </w:p>
    <w:p w:rsidR="002C5025" w:rsidRDefault="002C5025">
      <w:pPr>
        <w:pStyle w:val="BodyText"/>
        <w:tabs>
          <w:tab w:val="left" w:pos="827"/>
        </w:tabs>
        <w:kinsoku w:val="0"/>
        <w:overflowPunct w:val="0"/>
        <w:spacing w:before="195" w:line="283" w:lineRule="auto"/>
        <w:ind w:left="136" w:right="2521" w:firstLine="7"/>
        <w:rPr>
          <w:rFonts w:ascii="Times New Roman" w:hAnsi="Times New Roman" w:cs="Times New Roman"/>
          <w:i/>
          <w:iCs/>
          <w:sz w:val="23"/>
          <w:szCs w:val="23"/>
        </w:rPr>
      </w:pPr>
      <w:bookmarkStart w:id="272" w:name="QS._Free_Choice_of_Provider:_Must_indivi"/>
      <w:bookmarkEnd w:id="272"/>
      <w:r>
        <w:rPr>
          <w:rFonts w:ascii="Times New Roman" w:hAnsi="Times New Roman" w:cs="Times New Roman"/>
        </w:rPr>
        <w:t>QS.</w:t>
      </w:r>
      <w:r>
        <w:rPr>
          <w:rFonts w:ascii="Times New Roman" w:hAnsi="Times New Roman" w:cs="Times New Roman"/>
        </w:rPr>
        <w:tab/>
      </w:r>
      <w:r>
        <w:rPr>
          <w:rFonts w:ascii="Times New Roman" w:hAnsi="Times New Roman" w:cs="Times New Roman"/>
          <w:u w:val="thick" w:color="000000"/>
        </w:rPr>
        <w:t xml:space="preserve">Free  Choice  of  Provider: </w:t>
      </w:r>
      <w:r>
        <w:rPr>
          <w:rFonts w:ascii="Times New Roman" w:hAnsi="Times New Roman" w:cs="Times New Roman"/>
          <w:i/>
          <w:iCs/>
          <w:sz w:val="23"/>
          <w:szCs w:val="23"/>
        </w:rPr>
        <w:t>Must  individuals  in transitional</w:t>
      </w:r>
      <w:r>
        <w:rPr>
          <w:rFonts w:ascii="Times New Roman" w:hAnsi="Times New Roman" w:cs="Times New Roman"/>
          <w:i/>
          <w:iCs/>
          <w:spacing w:val="-12"/>
          <w:sz w:val="23"/>
          <w:szCs w:val="23"/>
        </w:rPr>
        <w:t xml:space="preserve"> </w:t>
      </w:r>
      <w:r>
        <w:rPr>
          <w:rFonts w:ascii="Times New Roman" w:hAnsi="Times New Roman" w:cs="Times New Roman"/>
          <w:i/>
          <w:iCs/>
          <w:sz w:val="23"/>
          <w:szCs w:val="23"/>
        </w:rPr>
        <w:t>or</w:t>
      </w:r>
      <w:r>
        <w:rPr>
          <w:rFonts w:ascii="Times New Roman" w:hAnsi="Times New Roman" w:cs="Times New Roman"/>
          <w:i/>
          <w:iCs/>
          <w:spacing w:val="11"/>
          <w:sz w:val="23"/>
          <w:szCs w:val="23"/>
        </w:rPr>
        <w:t xml:space="preserve"> </w:t>
      </w:r>
      <w:r>
        <w:rPr>
          <w:rFonts w:ascii="Times New Roman" w:hAnsi="Times New Roman" w:cs="Times New Roman"/>
          <w:i/>
          <w:iCs/>
          <w:sz w:val="23"/>
          <w:szCs w:val="23"/>
        </w:rPr>
        <w:t>supervisory</w:t>
      </w:r>
      <w:r>
        <w:rPr>
          <w:rFonts w:ascii="Times New Roman" w:hAnsi="Times New Roman" w:cs="Times New Roman"/>
          <w:i/>
          <w:iCs/>
          <w:spacing w:val="-1"/>
          <w:sz w:val="23"/>
          <w:szCs w:val="23"/>
        </w:rPr>
        <w:t xml:space="preserve"> </w:t>
      </w:r>
      <w:r>
        <w:rPr>
          <w:rFonts w:ascii="Times New Roman" w:hAnsi="Times New Roman" w:cs="Times New Roman"/>
          <w:i/>
          <w:iCs/>
          <w:sz w:val="23"/>
          <w:szCs w:val="23"/>
        </w:rPr>
        <w:t xml:space="preserve">arrangements have the ability </w:t>
      </w:r>
      <w:proofErr w:type="spellStart"/>
      <w:r>
        <w:rPr>
          <w:rFonts w:ascii="Times New Roman" w:hAnsi="Times New Roman" w:cs="Times New Roman"/>
          <w:i/>
          <w:iCs/>
          <w:sz w:val="23"/>
          <w:szCs w:val="23"/>
        </w:rPr>
        <w:t>tofi"eely</w:t>
      </w:r>
      <w:proofErr w:type="spellEnd"/>
      <w:r>
        <w:rPr>
          <w:rFonts w:ascii="Times New Roman" w:hAnsi="Times New Roman" w:cs="Times New Roman"/>
          <w:i/>
          <w:iCs/>
          <w:sz w:val="23"/>
          <w:szCs w:val="23"/>
        </w:rPr>
        <w:t xml:space="preserve"> choose their Medicaid providers, as required in Federal law at Section 1902 (a)(23) of the</w:t>
      </w:r>
      <w:r>
        <w:rPr>
          <w:rFonts w:ascii="Times New Roman" w:hAnsi="Times New Roman" w:cs="Times New Roman"/>
          <w:i/>
          <w:iCs/>
          <w:spacing w:val="34"/>
          <w:sz w:val="23"/>
          <w:szCs w:val="23"/>
        </w:rPr>
        <w:t xml:space="preserve"> </w:t>
      </w:r>
      <w:r>
        <w:rPr>
          <w:rFonts w:ascii="Times New Roman" w:hAnsi="Times New Roman" w:cs="Times New Roman"/>
          <w:i/>
          <w:iCs/>
          <w:sz w:val="23"/>
          <w:szCs w:val="23"/>
        </w:rPr>
        <w:t>Act?</w:t>
      </w:r>
    </w:p>
    <w:p w:rsidR="002C5025" w:rsidRDefault="002C5025">
      <w:pPr>
        <w:pStyle w:val="BodyText"/>
        <w:tabs>
          <w:tab w:val="left" w:pos="835"/>
        </w:tabs>
        <w:kinsoku w:val="0"/>
        <w:overflowPunct w:val="0"/>
        <w:spacing w:before="181" w:line="292" w:lineRule="auto"/>
        <w:ind w:left="144" w:right="1839" w:hanging="8"/>
        <w:rPr>
          <w:rFonts w:ascii="Times New Roman" w:hAnsi="Times New Roman" w:cs="Times New Roman"/>
        </w:rPr>
      </w:pPr>
      <w:r>
        <w:rPr>
          <w:rFonts w:ascii="Times New Roman" w:hAnsi="Times New Roman" w:cs="Times New Roman"/>
        </w:rPr>
        <w:t>AS.</w:t>
      </w:r>
      <w:r>
        <w:rPr>
          <w:rFonts w:ascii="Times New Roman" w:hAnsi="Times New Roman" w:cs="Times New Roman"/>
        </w:rPr>
        <w:tab/>
        <w:t xml:space="preserve">Yes.  Eligible individuals who  are not  inmates but rather who  are in </w:t>
      </w:r>
      <w:r>
        <w:rPr>
          <w:rFonts w:ascii="Times New Roman" w:hAnsi="Times New Roman" w:cs="Times New Roman"/>
          <w:spacing w:val="27"/>
        </w:rPr>
        <w:t xml:space="preserve"> </w:t>
      </w:r>
      <w:r>
        <w:rPr>
          <w:rFonts w:ascii="Times New Roman" w:hAnsi="Times New Roman" w:cs="Times New Roman"/>
        </w:rPr>
        <w:t>transitional</w:t>
      </w:r>
      <w:r>
        <w:rPr>
          <w:rFonts w:ascii="Times New Roman" w:hAnsi="Times New Roman" w:cs="Times New Roman"/>
          <w:spacing w:val="36"/>
        </w:rPr>
        <w:t xml:space="preserve"> </w:t>
      </w:r>
      <w:r>
        <w:rPr>
          <w:rFonts w:ascii="Times New Roman" w:hAnsi="Times New Roman" w:cs="Times New Roman"/>
        </w:rPr>
        <w:t>or supervisory arrangements, as beneficiaries of the Medicaid program, have the same ability to  choose their providers of health care services as afforded to other Medicaid beneficiaries in their states.</w:t>
      </w:r>
    </w:p>
    <w:p w:rsidR="002C5025" w:rsidRDefault="00FB027C">
      <w:pPr>
        <w:pStyle w:val="BodyText"/>
        <w:tabs>
          <w:tab w:val="left" w:pos="835"/>
        </w:tabs>
        <w:kinsoku w:val="0"/>
        <w:overflowPunct w:val="0"/>
        <w:spacing w:before="140" w:line="268" w:lineRule="auto"/>
        <w:ind w:left="144" w:right="2261"/>
        <w:rPr>
          <w:rFonts w:ascii="Times New Roman" w:hAnsi="Times New Roman" w:cs="Times New Roman"/>
          <w:i/>
          <w:iCs/>
          <w:w w:val="105"/>
          <w:sz w:val="23"/>
          <w:szCs w:val="23"/>
        </w:rPr>
      </w:pPr>
      <w:r>
        <w:rPr>
          <w:noProof/>
        </w:rPr>
        <mc:AlternateContent>
          <mc:Choice Requires="wps">
            <w:drawing>
              <wp:anchor distT="0" distB="0" distL="114300" distR="114300" simplePos="0" relativeHeight="251820544" behindDoc="1" locked="0" layoutInCell="0" allowOverlap="1">
                <wp:simplePos x="0" y="0"/>
                <wp:positionH relativeFrom="page">
                  <wp:posOffset>1444625</wp:posOffset>
                </wp:positionH>
                <wp:positionV relativeFrom="paragraph">
                  <wp:posOffset>267970</wp:posOffset>
                </wp:positionV>
                <wp:extent cx="48895" cy="12700"/>
                <wp:effectExtent l="0" t="0" r="0" b="0"/>
                <wp:wrapNone/>
                <wp:docPr id="240" name="Freeform 8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95" cy="12700"/>
                        </a:xfrm>
                        <a:custGeom>
                          <a:avLst/>
                          <a:gdLst>
                            <a:gd name="T0" fmla="*/ 0 w 77"/>
                            <a:gd name="T1" fmla="*/ 0 h 20"/>
                            <a:gd name="T2" fmla="*/ 76 w 77"/>
                            <a:gd name="T3" fmla="*/ 0 h 20"/>
                          </a:gdLst>
                          <a:ahLst/>
                          <a:cxnLst>
                            <a:cxn ang="0">
                              <a:pos x="T0" y="T1"/>
                            </a:cxn>
                            <a:cxn ang="0">
                              <a:pos x="T2" y="T3"/>
                            </a:cxn>
                          </a:cxnLst>
                          <a:rect l="0" t="0" r="r" b="b"/>
                          <a:pathLst>
                            <a:path w="77" h="20">
                              <a:moveTo>
                                <a:pt x="0" y="0"/>
                              </a:moveTo>
                              <a:lnTo>
                                <a:pt x="76" y="0"/>
                              </a:lnTo>
                            </a:path>
                          </a:pathLst>
                        </a:custGeom>
                        <a:noFill/>
                        <a:ln w="61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842" o:spid="_x0000_s1026" style="position:absolute;z-index:-251495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13.75pt,21.1pt,117.55pt,21.1pt" coordsize="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" o:allowincell="f" filled="f" strokeweight=".16967mm">
                <v:path arrowok="t" o:connecttype="custom" o:connectlocs="0,0;48260,0" o:connectangles="0,0"/>
                <w10:wrap anchorx="page"/>
              </v:polyline>
            </w:pict>
          </mc:Fallback>
        </mc:AlternateContent>
      </w:r>
      <w:r w:rsidR="002C5025">
        <w:rPr>
          <w:rFonts w:ascii="Times New Roman" w:hAnsi="Times New Roman" w:cs="Times New Roman"/>
          <w:w w:val="105"/>
        </w:rPr>
        <w:t>Q6.</w:t>
      </w:r>
      <w:r w:rsidR="002C5025">
        <w:rPr>
          <w:rFonts w:ascii="Times New Roman" w:hAnsi="Times New Roman" w:cs="Times New Roman"/>
          <w:w w:val="105"/>
        </w:rPr>
        <w:tab/>
        <w:t xml:space="preserve">Individuals on Home Confinement: </w:t>
      </w:r>
      <w:r w:rsidR="002C5025">
        <w:rPr>
          <w:rFonts w:ascii="Times New Roman" w:hAnsi="Times New Roman" w:cs="Times New Roman"/>
          <w:i/>
          <w:iCs/>
          <w:w w:val="105"/>
          <w:sz w:val="23"/>
          <w:szCs w:val="23"/>
        </w:rPr>
        <w:t xml:space="preserve">Is </w:t>
      </w:r>
      <w:r w:rsidR="002C5025">
        <w:rPr>
          <w:rFonts w:ascii="Times New Roman" w:hAnsi="Times New Roman" w:cs="Times New Roman"/>
          <w:i/>
          <w:iCs/>
          <w:spacing w:val="2"/>
          <w:w w:val="105"/>
          <w:sz w:val="23"/>
          <w:szCs w:val="23"/>
        </w:rPr>
        <w:t xml:space="preserve">FFP </w:t>
      </w:r>
      <w:r w:rsidR="002C5025">
        <w:rPr>
          <w:rFonts w:ascii="Times New Roman" w:hAnsi="Times New Roman" w:cs="Times New Roman"/>
          <w:i/>
          <w:iCs/>
          <w:w w:val="105"/>
          <w:sz w:val="23"/>
          <w:szCs w:val="23"/>
        </w:rPr>
        <w:t xml:space="preserve">available </w:t>
      </w:r>
      <w:r w:rsidR="002C5025">
        <w:rPr>
          <w:rFonts w:ascii="Arial" w:hAnsi="Arial" w:cs="Arial"/>
          <w:i/>
          <w:iCs/>
          <w:w w:val="105"/>
          <w:sz w:val="27"/>
          <w:szCs w:val="27"/>
        </w:rPr>
        <w:t xml:space="preserve">if </w:t>
      </w:r>
      <w:r w:rsidR="002C5025">
        <w:rPr>
          <w:rFonts w:ascii="Times New Roman" w:hAnsi="Times New Roman" w:cs="Times New Roman"/>
          <w:i/>
          <w:iCs/>
          <w:w w:val="105"/>
          <w:sz w:val="23"/>
          <w:szCs w:val="23"/>
        </w:rPr>
        <w:t>an individual is</w:t>
      </w:r>
      <w:r w:rsidR="002C5025">
        <w:rPr>
          <w:rFonts w:ascii="Times New Roman" w:hAnsi="Times New Roman" w:cs="Times New Roman"/>
          <w:i/>
          <w:iCs/>
          <w:spacing w:val="8"/>
          <w:w w:val="105"/>
          <w:sz w:val="23"/>
          <w:szCs w:val="23"/>
        </w:rPr>
        <w:t xml:space="preserve"> </w:t>
      </w:r>
      <w:r w:rsidR="002C5025">
        <w:rPr>
          <w:rFonts w:ascii="Times New Roman" w:hAnsi="Times New Roman" w:cs="Times New Roman"/>
          <w:i/>
          <w:iCs/>
          <w:w w:val="105"/>
          <w:sz w:val="23"/>
          <w:szCs w:val="23"/>
        </w:rPr>
        <w:t>on</w:t>
      </w:r>
      <w:r w:rsidR="002C5025">
        <w:rPr>
          <w:rFonts w:ascii="Times New Roman" w:hAnsi="Times New Roman" w:cs="Times New Roman"/>
          <w:i/>
          <w:iCs/>
          <w:spacing w:val="-3"/>
          <w:w w:val="105"/>
          <w:sz w:val="23"/>
          <w:szCs w:val="23"/>
        </w:rPr>
        <w:t xml:space="preserve"> </w:t>
      </w:r>
      <w:r w:rsidR="002C5025">
        <w:rPr>
          <w:rFonts w:ascii="Times New Roman" w:hAnsi="Times New Roman" w:cs="Times New Roman"/>
          <w:i/>
          <w:iCs/>
          <w:spacing w:val="2"/>
          <w:w w:val="105"/>
          <w:sz w:val="23"/>
          <w:szCs w:val="23"/>
        </w:rPr>
        <w:t>home</w:t>
      </w:r>
      <w:r w:rsidR="002C5025">
        <w:rPr>
          <w:rFonts w:ascii="Times New Roman" w:hAnsi="Times New Roman" w:cs="Times New Roman"/>
          <w:i/>
          <w:iCs/>
          <w:w w:val="102"/>
          <w:sz w:val="23"/>
          <w:szCs w:val="23"/>
        </w:rPr>
        <w:t xml:space="preserve"> </w:t>
      </w:r>
      <w:r w:rsidR="002C5025">
        <w:rPr>
          <w:rFonts w:ascii="Times New Roman" w:hAnsi="Times New Roman" w:cs="Times New Roman"/>
          <w:i/>
          <w:iCs/>
          <w:w w:val="105"/>
          <w:sz w:val="23"/>
          <w:szCs w:val="23"/>
        </w:rPr>
        <w:t>confinement?</w:t>
      </w:r>
    </w:p>
    <w:p w:rsidR="002C5025" w:rsidRDefault="002C5025">
      <w:pPr>
        <w:pStyle w:val="BodyText"/>
        <w:kinsoku w:val="0"/>
        <w:overflowPunct w:val="0"/>
        <w:spacing w:before="3"/>
        <w:rPr>
          <w:rFonts w:ascii="Times New Roman" w:hAnsi="Times New Roman" w:cs="Times New Roman"/>
          <w:i/>
          <w:iCs/>
          <w:sz w:val="17"/>
          <w:szCs w:val="17"/>
        </w:rPr>
      </w:pPr>
    </w:p>
    <w:p w:rsidR="002C5025" w:rsidRDefault="002C5025">
      <w:pPr>
        <w:pStyle w:val="BodyText"/>
        <w:tabs>
          <w:tab w:val="left" w:pos="842"/>
        </w:tabs>
        <w:kinsoku w:val="0"/>
        <w:overflowPunct w:val="0"/>
        <w:spacing w:line="290" w:lineRule="auto"/>
        <w:ind w:left="136" w:right="1921" w:firstLine="7"/>
        <w:rPr>
          <w:rFonts w:ascii="Times New Roman" w:hAnsi="Times New Roman" w:cs="Times New Roman"/>
        </w:rPr>
      </w:pPr>
      <w:r>
        <w:rPr>
          <w:rFonts w:ascii="Times New Roman" w:hAnsi="Times New Roman" w:cs="Times New Roman"/>
        </w:rPr>
        <w:t>A6.</w:t>
      </w:r>
      <w:r>
        <w:rPr>
          <w:rFonts w:ascii="Times New Roman" w:hAnsi="Times New Roman" w:cs="Times New Roman"/>
        </w:rPr>
        <w:tab/>
        <w:t>Yes.  An  individual's private  place  of residence  generally would  not meet</w:t>
      </w:r>
      <w:r>
        <w:rPr>
          <w:rFonts w:ascii="Times New Roman" w:hAnsi="Times New Roman" w:cs="Times New Roman"/>
          <w:spacing w:val="19"/>
        </w:rPr>
        <w:t xml:space="preserve"> </w:t>
      </w:r>
      <w:r>
        <w:rPr>
          <w:rFonts w:ascii="Times New Roman" w:hAnsi="Times New Roman" w:cs="Times New Roman"/>
        </w:rPr>
        <w:t>the</w:t>
      </w:r>
      <w:r>
        <w:rPr>
          <w:rFonts w:ascii="Times New Roman" w:hAnsi="Times New Roman" w:cs="Times New Roman"/>
          <w:spacing w:val="26"/>
        </w:rPr>
        <w:t xml:space="preserve"> </w:t>
      </w:r>
      <w:r>
        <w:rPr>
          <w:rFonts w:ascii="Times New Roman" w:hAnsi="Times New Roman" w:cs="Times New Roman"/>
        </w:rPr>
        <w:t>definition of a "public  institution", which  is a component  of the coverage  exclusion,  despite the involuntary nature of the home confinement  scenario.  FFP is available for expenditures  under  the approved state plan for covered Medicaid benefits furnished to eligible individuals living at home  under  home</w:t>
      </w:r>
      <w:r>
        <w:rPr>
          <w:rFonts w:ascii="Times New Roman" w:hAnsi="Times New Roman" w:cs="Times New Roman"/>
          <w:spacing w:val="-11"/>
        </w:rPr>
        <w:t xml:space="preserve"> </w:t>
      </w:r>
      <w:r>
        <w:rPr>
          <w:rFonts w:ascii="Times New Roman" w:hAnsi="Times New Roman" w:cs="Times New Roman"/>
        </w:rPr>
        <w:t>confinement.</w:t>
      </w:r>
    </w:p>
    <w:p w:rsidR="002C5025" w:rsidRDefault="002C5025">
      <w:pPr>
        <w:pStyle w:val="BodyText"/>
        <w:tabs>
          <w:tab w:val="left" w:pos="842"/>
        </w:tabs>
        <w:kinsoku w:val="0"/>
        <w:overflowPunct w:val="0"/>
        <w:spacing w:before="183" w:line="256" w:lineRule="auto"/>
        <w:ind w:left="115" w:right="2408" w:firstLine="36"/>
        <w:rPr>
          <w:rFonts w:ascii="Times New Roman" w:hAnsi="Times New Roman" w:cs="Times New Roman"/>
          <w:i/>
          <w:iCs/>
          <w:w w:val="105"/>
          <w:sz w:val="23"/>
          <w:szCs w:val="23"/>
        </w:rPr>
      </w:pPr>
      <w:r>
        <w:rPr>
          <w:rFonts w:ascii="Times New Roman" w:hAnsi="Times New Roman" w:cs="Times New Roman"/>
          <w:w w:val="105"/>
        </w:rPr>
        <w:t>Q7.</w:t>
      </w:r>
      <w:r>
        <w:rPr>
          <w:rFonts w:ascii="Times New Roman" w:hAnsi="Times New Roman" w:cs="Times New Roman"/>
          <w:w w:val="105"/>
        </w:rPr>
        <w:tab/>
        <w:t xml:space="preserve">Voluntary  and  Temporary  Residence  in  a Public Institution: </w:t>
      </w:r>
      <w:r>
        <w:rPr>
          <w:rFonts w:ascii="Times New Roman" w:hAnsi="Times New Roman" w:cs="Times New Roman"/>
          <w:i/>
          <w:iCs/>
          <w:w w:val="105"/>
          <w:sz w:val="23"/>
          <w:szCs w:val="23"/>
        </w:rPr>
        <w:t>Is</w:t>
      </w:r>
      <w:r>
        <w:rPr>
          <w:rFonts w:ascii="Times New Roman" w:hAnsi="Times New Roman" w:cs="Times New Roman"/>
          <w:i/>
          <w:iCs/>
          <w:spacing w:val="-19"/>
          <w:w w:val="105"/>
          <w:sz w:val="23"/>
          <w:szCs w:val="23"/>
        </w:rPr>
        <w:t xml:space="preserve"> </w:t>
      </w:r>
      <w:r>
        <w:rPr>
          <w:rFonts w:ascii="Times New Roman" w:hAnsi="Times New Roman" w:cs="Times New Roman"/>
          <w:i/>
          <w:iCs/>
          <w:w w:val="105"/>
          <w:sz w:val="23"/>
          <w:szCs w:val="23"/>
        </w:rPr>
        <w:t>an</w:t>
      </w:r>
      <w:r>
        <w:rPr>
          <w:rFonts w:ascii="Times New Roman" w:hAnsi="Times New Roman" w:cs="Times New Roman"/>
          <w:i/>
          <w:iCs/>
          <w:spacing w:val="31"/>
          <w:w w:val="105"/>
          <w:sz w:val="23"/>
          <w:szCs w:val="23"/>
        </w:rPr>
        <w:t xml:space="preserve"> </w:t>
      </w:r>
      <w:r>
        <w:rPr>
          <w:rFonts w:ascii="Times New Roman" w:hAnsi="Times New Roman" w:cs="Times New Roman"/>
          <w:i/>
          <w:iCs/>
          <w:w w:val="105"/>
          <w:sz w:val="23"/>
          <w:szCs w:val="23"/>
        </w:rPr>
        <w:t>individual</w:t>
      </w:r>
      <w:r>
        <w:rPr>
          <w:rFonts w:ascii="Times New Roman" w:hAnsi="Times New Roman" w:cs="Times New Roman"/>
          <w:i/>
          <w:iCs/>
          <w:spacing w:val="1"/>
          <w:w w:val="102"/>
          <w:sz w:val="23"/>
          <w:szCs w:val="23"/>
        </w:rPr>
        <w:t xml:space="preserve"> </w:t>
      </w:r>
      <w:r>
        <w:rPr>
          <w:rFonts w:ascii="Times New Roman" w:hAnsi="Times New Roman" w:cs="Times New Roman"/>
          <w:i/>
          <w:iCs/>
          <w:w w:val="105"/>
          <w:sz w:val="23"/>
          <w:szCs w:val="23"/>
        </w:rPr>
        <w:t>considered</w:t>
      </w:r>
      <w:r>
        <w:rPr>
          <w:rFonts w:ascii="Times New Roman" w:hAnsi="Times New Roman" w:cs="Times New Roman"/>
          <w:i/>
          <w:iCs/>
          <w:spacing w:val="-16"/>
          <w:w w:val="105"/>
          <w:sz w:val="23"/>
          <w:szCs w:val="23"/>
        </w:rPr>
        <w:t xml:space="preserve"> </w:t>
      </w:r>
      <w:r>
        <w:rPr>
          <w:rFonts w:ascii="Times New Roman" w:hAnsi="Times New Roman" w:cs="Times New Roman"/>
          <w:i/>
          <w:iCs/>
          <w:w w:val="105"/>
          <w:sz w:val="23"/>
          <w:szCs w:val="23"/>
        </w:rPr>
        <w:t>an</w:t>
      </w:r>
      <w:r>
        <w:rPr>
          <w:rFonts w:ascii="Times New Roman" w:hAnsi="Times New Roman" w:cs="Times New Roman"/>
          <w:i/>
          <w:iCs/>
          <w:spacing w:val="-30"/>
          <w:w w:val="105"/>
          <w:sz w:val="23"/>
          <w:szCs w:val="23"/>
        </w:rPr>
        <w:t xml:space="preserve"> </w:t>
      </w:r>
      <w:r>
        <w:rPr>
          <w:rFonts w:ascii="Times New Roman" w:hAnsi="Times New Roman" w:cs="Times New Roman"/>
          <w:i/>
          <w:iCs/>
          <w:w w:val="105"/>
          <w:sz w:val="23"/>
          <w:szCs w:val="23"/>
        </w:rPr>
        <w:t>inmate</w:t>
      </w:r>
      <w:r>
        <w:rPr>
          <w:rFonts w:ascii="Times New Roman" w:hAnsi="Times New Roman" w:cs="Times New Roman"/>
          <w:i/>
          <w:iCs/>
          <w:spacing w:val="-33"/>
          <w:w w:val="105"/>
          <w:sz w:val="23"/>
          <w:szCs w:val="23"/>
        </w:rPr>
        <w:t xml:space="preserve"> </w:t>
      </w:r>
      <w:r>
        <w:rPr>
          <w:rFonts w:ascii="Times New Roman" w:hAnsi="Times New Roman" w:cs="Times New Roman"/>
          <w:i/>
          <w:iCs/>
          <w:w w:val="105"/>
          <w:sz w:val="23"/>
          <w:szCs w:val="23"/>
        </w:rPr>
        <w:t>of</w:t>
      </w:r>
      <w:r>
        <w:rPr>
          <w:rFonts w:ascii="Times New Roman" w:hAnsi="Times New Roman" w:cs="Times New Roman"/>
          <w:i/>
          <w:iCs/>
          <w:spacing w:val="-26"/>
          <w:w w:val="105"/>
          <w:sz w:val="23"/>
          <w:szCs w:val="23"/>
        </w:rPr>
        <w:t xml:space="preserve"> </w:t>
      </w:r>
      <w:r>
        <w:rPr>
          <w:rFonts w:ascii="Times New Roman" w:hAnsi="Times New Roman" w:cs="Times New Roman"/>
          <w:i/>
          <w:iCs/>
          <w:spacing w:val="4"/>
          <w:w w:val="105"/>
          <w:sz w:val="23"/>
          <w:szCs w:val="23"/>
        </w:rPr>
        <w:t>a</w:t>
      </w:r>
      <w:r w:rsidR="00344961">
        <w:rPr>
          <w:rFonts w:ascii="Times New Roman" w:hAnsi="Times New Roman" w:cs="Times New Roman"/>
          <w:i/>
          <w:iCs/>
          <w:spacing w:val="4"/>
          <w:w w:val="105"/>
          <w:sz w:val="23"/>
          <w:szCs w:val="23"/>
        </w:rPr>
        <w:t xml:space="preserve"> </w:t>
      </w:r>
      <w:r>
        <w:rPr>
          <w:rFonts w:ascii="Times New Roman" w:hAnsi="Times New Roman" w:cs="Times New Roman"/>
          <w:i/>
          <w:iCs/>
          <w:spacing w:val="4"/>
          <w:w w:val="105"/>
          <w:sz w:val="23"/>
          <w:szCs w:val="23"/>
        </w:rPr>
        <w:t>public</w:t>
      </w:r>
      <w:r>
        <w:rPr>
          <w:rFonts w:ascii="Times New Roman" w:hAnsi="Times New Roman" w:cs="Times New Roman"/>
          <w:i/>
          <w:iCs/>
          <w:spacing w:val="-13"/>
          <w:w w:val="105"/>
          <w:sz w:val="23"/>
          <w:szCs w:val="23"/>
        </w:rPr>
        <w:t xml:space="preserve"> </w:t>
      </w:r>
      <w:r>
        <w:rPr>
          <w:rFonts w:ascii="Times New Roman" w:hAnsi="Times New Roman" w:cs="Times New Roman"/>
          <w:i/>
          <w:iCs/>
          <w:w w:val="105"/>
          <w:sz w:val="23"/>
          <w:szCs w:val="23"/>
        </w:rPr>
        <w:t>institution</w:t>
      </w:r>
      <w:r>
        <w:rPr>
          <w:rFonts w:ascii="Times New Roman" w:hAnsi="Times New Roman" w:cs="Times New Roman"/>
          <w:i/>
          <w:iCs/>
          <w:spacing w:val="-22"/>
          <w:w w:val="105"/>
          <w:sz w:val="23"/>
          <w:szCs w:val="23"/>
        </w:rPr>
        <w:t xml:space="preserve"> </w:t>
      </w:r>
      <w:r>
        <w:rPr>
          <w:rFonts w:ascii="Arial" w:hAnsi="Arial" w:cs="Arial"/>
          <w:i/>
          <w:iCs/>
          <w:w w:val="105"/>
          <w:sz w:val="27"/>
          <w:szCs w:val="27"/>
        </w:rPr>
        <w:t>if</w:t>
      </w:r>
      <w:r>
        <w:rPr>
          <w:rFonts w:ascii="Arial" w:hAnsi="Arial" w:cs="Arial"/>
          <w:i/>
          <w:iCs/>
          <w:spacing w:val="-49"/>
          <w:w w:val="105"/>
          <w:sz w:val="27"/>
          <w:szCs w:val="27"/>
        </w:rPr>
        <w:t xml:space="preserve"> </w:t>
      </w:r>
      <w:r>
        <w:rPr>
          <w:rFonts w:ascii="Times New Roman" w:hAnsi="Times New Roman" w:cs="Times New Roman"/>
          <w:i/>
          <w:iCs/>
          <w:w w:val="105"/>
          <w:sz w:val="23"/>
          <w:szCs w:val="23"/>
        </w:rPr>
        <w:t>residing</w:t>
      </w:r>
      <w:r>
        <w:rPr>
          <w:rFonts w:ascii="Times New Roman" w:hAnsi="Times New Roman" w:cs="Times New Roman"/>
          <w:i/>
          <w:iCs/>
          <w:spacing w:val="-24"/>
          <w:w w:val="105"/>
          <w:sz w:val="23"/>
          <w:szCs w:val="23"/>
        </w:rPr>
        <w:t xml:space="preserve"> </w:t>
      </w:r>
      <w:r>
        <w:rPr>
          <w:rFonts w:ascii="Times New Roman" w:hAnsi="Times New Roman" w:cs="Times New Roman"/>
          <w:i/>
          <w:iCs/>
          <w:w w:val="105"/>
          <w:sz w:val="23"/>
          <w:szCs w:val="23"/>
        </w:rPr>
        <w:t>there</w:t>
      </w:r>
      <w:r>
        <w:rPr>
          <w:rFonts w:ascii="Times New Roman" w:hAnsi="Times New Roman" w:cs="Times New Roman"/>
          <w:i/>
          <w:iCs/>
          <w:spacing w:val="-26"/>
          <w:w w:val="105"/>
          <w:sz w:val="23"/>
          <w:szCs w:val="23"/>
        </w:rPr>
        <w:t xml:space="preserve"> </w:t>
      </w:r>
      <w:r>
        <w:rPr>
          <w:rFonts w:ascii="Times New Roman" w:hAnsi="Times New Roman" w:cs="Times New Roman"/>
          <w:i/>
          <w:iCs/>
          <w:spacing w:val="3"/>
          <w:w w:val="105"/>
          <w:sz w:val="23"/>
          <w:szCs w:val="23"/>
        </w:rPr>
        <w:t>voluntarily</w:t>
      </w:r>
      <w:r w:rsidR="00344961">
        <w:rPr>
          <w:rFonts w:ascii="Times New Roman" w:hAnsi="Times New Roman" w:cs="Times New Roman"/>
          <w:i/>
          <w:iCs/>
          <w:spacing w:val="3"/>
          <w:w w:val="105"/>
          <w:sz w:val="23"/>
          <w:szCs w:val="23"/>
        </w:rPr>
        <w:t xml:space="preserve"> </w:t>
      </w:r>
      <w:r>
        <w:rPr>
          <w:rFonts w:ascii="Times New Roman" w:hAnsi="Times New Roman" w:cs="Times New Roman"/>
          <w:i/>
          <w:iCs/>
          <w:spacing w:val="3"/>
          <w:w w:val="105"/>
          <w:sz w:val="23"/>
          <w:szCs w:val="23"/>
        </w:rPr>
        <w:t>for</w:t>
      </w:r>
      <w:r>
        <w:rPr>
          <w:rFonts w:ascii="Times New Roman" w:hAnsi="Times New Roman" w:cs="Times New Roman"/>
          <w:i/>
          <w:iCs/>
          <w:spacing w:val="-7"/>
          <w:w w:val="105"/>
          <w:sz w:val="23"/>
          <w:szCs w:val="23"/>
        </w:rPr>
        <w:t xml:space="preserve"> </w:t>
      </w:r>
      <w:r>
        <w:rPr>
          <w:rFonts w:ascii="Times New Roman" w:hAnsi="Times New Roman" w:cs="Times New Roman"/>
          <w:i/>
          <w:iCs/>
          <w:w w:val="105"/>
          <w:sz w:val="23"/>
          <w:szCs w:val="23"/>
        </w:rPr>
        <w:t>a</w:t>
      </w:r>
      <w:r>
        <w:rPr>
          <w:rFonts w:ascii="Times New Roman" w:hAnsi="Times New Roman" w:cs="Times New Roman"/>
          <w:i/>
          <w:iCs/>
          <w:spacing w:val="-28"/>
          <w:w w:val="105"/>
          <w:sz w:val="23"/>
          <w:szCs w:val="23"/>
        </w:rPr>
        <w:t xml:space="preserve"> </w:t>
      </w:r>
      <w:r>
        <w:rPr>
          <w:rFonts w:ascii="Times New Roman" w:hAnsi="Times New Roman" w:cs="Times New Roman"/>
          <w:i/>
          <w:iCs/>
          <w:w w:val="105"/>
          <w:sz w:val="23"/>
          <w:szCs w:val="23"/>
        </w:rPr>
        <w:t>temporary period?</w:t>
      </w:r>
    </w:p>
    <w:p w:rsidR="002C5025" w:rsidRDefault="002C5025">
      <w:pPr>
        <w:pStyle w:val="BodyText"/>
        <w:kinsoku w:val="0"/>
        <w:overflowPunct w:val="0"/>
        <w:spacing w:before="2"/>
        <w:rPr>
          <w:rFonts w:ascii="Times New Roman" w:hAnsi="Times New Roman" w:cs="Times New Roman"/>
          <w:i/>
          <w:iCs/>
          <w:sz w:val="18"/>
          <w:szCs w:val="18"/>
        </w:rPr>
      </w:pPr>
    </w:p>
    <w:p w:rsidR="002C5025" w:rsidRDefault="002C5025">
      <w:pPr>
        <w:pStyle w:val="BodyText"/>
        <w:tabs>
          <w:tab w:val="left" w:pos="827"/>
        </w:tabs>
        <w:kinsoku w:val="0"/>
        <w:overflowPunct w:val="0"/>
        <w:spacing w:line="290" w:lineRule="auto"/>
        <w:ind w:left="143" w:right="2060"/>
        <w:rPr>
          <w:rFonts w:ascii="Times New Roman" w:hAnsi="Times New Roman" w:cs="Times New Roman"/>
        </w:rPr>
      </w:pPr>
      <w:r>
        <w:rPr>
          <w:rFonts w:ascii="Times New Roman" w:hAnsi="Times New Roman" w:cs="Times New Roman"/>
        </w:rPr>
        <w:t>A7.</w:t>
      </w:r>
      <w:r>
        <w:rPr>
          <w:rFonts w:ascii="Times New Roman" w:hAnsi="Times New Roman" w:cs="Times New Roman"/>
        </w:rPr>
        <w:tab/>
        <w:t>No. An  individual  is not considered  an inmate when  residing  in a</w:t>
      </w:r>
      <w:r>
        <w:rPr>
          <w:rFonts w:ascii="Times New Roman" w:hAnsi="Times New Roman" w:cs="Times New Roman"/>
          <w:spacing w:val="-34"/>
        </w:rPr>
        <w:t xml:space="preserve"> </w:t>
      </w:r>
      <w:r>
        <w:rPr>
          <w:rFonts w:ascii="Times New Roman" w:hAnsi="Times New Roman" w:cs="Times New Roman"/>
        </w:rPr>
        <w:t>public</w:t>
      </w:r>
      <w:r>
        <w:rPr>
          <w:rFonts w:ascii="Times New Roman" w:hAnsi="Times New Roman" w:cs="Times New Roman"/>
          <w:spacing w:val="35"/>
        </w:rPr>
        <w:t xml:space="preserve"> </w:t>
      </w:r>
      <w:r>
        <w:rPr>
          <w:rFonts w:ascii="Times New Roman" w:hAnsi="Times New Roman" w:cs="Times New Roman"/>
        </w:rPr>
        <w:t>institution voluntarily and the coverage exclusion does not apply. For example, FFP is available for  services when an individual (if eligible and enrolled in Medicaid) is living voluntarily in a detention center for a temporary period of time after his</w:t>
      </w:r>
      <w:r w:rsidR="00344961">
        <w:rPr>
          <w:rFonts w:ascii="Times New Roman" w:hAnsi="Times New Roman" w:cs="Times New Roman"/>
        </w:rPr>
        <w:t xml:space="preserve"> case has been adjudicated and arra</w:t>
      </w:r>
      <w:r>
        <w:rPr>
          <w:rFonts w:ascii="Times New Roman" w:hAnsi="Times New Roman" w:cs="Times New Roman"/>
        </w:rPr>
        <w:t xml:space="preserve">ngements are being made for his transfer  to a community  residence.  The voluntary nature  of the residence is critical; an individual would be considered an inmate during temporary involuntary residence in a public institution imposed by the justice system (for example when confined pending trial) but not when the individual is free to leave, but is "residing in a public institution for a temporary period pending other  arrangements  appropriate to his needs" consistent with  42 CPR </w:t>
      </w:r>
      <w:r>
        <w:rPr>
          <w:rFonts w:ascii="Times New Roman" w:hAnsi="Times New Roman" w:cs="Times New Roman"/>
          <w:spacing w:val="8"/>
        </w:rPr>
        <w:t xml:space="preserve"> </w:t>
      </w:r>
      <w:r>
        <w:rPr>
          <w:rFonts w:ascii="Times New Roman" w:hAnsi="Times New Roman" w:cs="Times New Roman"/>
        </w:rPr>
        <w:t>435.1010.</w:t>
      </w:r>
    </w:p>
    <w:p w:rsidR="002C5025" w:rsidRDefault="002C5025">
      <w:pPr>
        <w:pStyle w:val="BodyText"/>
        <w:tabs>
          <w:tab w:val="left" w:pos="842"/>
        </w:tabs>
        <w:kinsoku w:val="0"/>
        <w:overflowPunct w:val="0"/>
        <w:spacing w:before="178" w:line="280" w:lineRule="auto"/>
        <w:ind w:left="150" w:right="1847" w:firstLine="7"/>
        <w:rPr>
          <w:rFonts w:ascii="Times New Roman" w:hAnsi="Times New Roman" w:cs="Times New Roman"/>
          <w:i/>
          <w:iCs/>
          <w:sz w:val="23"/>
          <w:szCs w:val="23"/>
        </w:rPr>
      </w:pPr>
      <w:r>
        <w:rPr>
          <w:rFonts w:ascii="Times New Roman" w:hAnsi="Times New Roman" w:cs="Times New Roman"/>
        </w:rPr>
        <w:t>Q8.</w:t>
      </w:r>
      <w:r>
        <w:rPr>
          <w:rFonts w:ascii="Times New Roman" w:hAnsi="Times New Roman" w:cs="Times New Roman"/>
        </w:rPr>
        <w:tab/>
        <w:t>Residence   in  Facilities   for  Treating  Mental  Health   and  Substance  Use</w:t>
      </w:r>
      <w:r>
        <w:rPr>
          <w:rFonts w:ascii="Times New Roman" w:hAnsi="Times New Roman" w:cs="Times New Roman"/>
          <w:spacing w:val="32"/>
        </w:rPr>
        <w:t xml:space="preserve"> </w:t>
      </w:r>
      <w:r>
        <w:rPr>
          <w:rFonts w:ascii="Times New Roman" w:hAnsi="Times New Roman" w:cs="Times New Roman"/>
        </w:rPr>
        <w:t xml:space="preserve">Disorders: </w:t>
      </w:r>
      <w:r>
        <w:rPr>
          <w:rFonts w:ascii="Times New Roman" w:hAnsi="Times New Roman" w:cs="Times New Roman"/>
          <w:spacing w:val="4"/>
        </w:rPr>
        <w:t xml:space="preserve"> </w:t>
      </w:r>
      <w:r>
        <w:rPr>
          <w:rFonts w:ascii="Times New Roman" w:hAnsi="Times New Roman" w:cs="Times New Roman"/>
          <w:i/>
          <w:iCs/>
          <w:sz w:val="23"/>
          <w:szCs w:val="23"/>
        </w:rPr>
        <w:t>Is FFP available for mental health or substance use disorder services, furnished exclusively to inmates, in a residential</w:t>
      </w:r>
      <w:r>
        <w:rPr>
          <w:rFonts w:ascii="Times New Roman" w:hAnsi="Times New Roman" w:cs="Times New Roman"/>
          <w:i/>
          <w:iCs/>
          <w:spacing w:val="49"/>
          <w:sz w:val="23"/>
          <w:szCs w:val="23"/>
        </w:rPr>
        <w:t xml:space="preserve"> </w:t>
      </w:r>
      <w:r>
        <w:rPr>
          <w:rFonts w:ascii="Times New Roman" w:hAnsi="Times New Roman" w:cs="Times New Roman"/>
          <w:i/>
          <w:iCs/>
          <w:sz w:val="23"/>
          <w:szCs w:val="23"/>
        </w:rPr>
        <w:t>treatment</w:t>
      </w:r>
      <w:r w:rsidR="00344961">
        <w:rPr>
          <w:rFonts w:ascii="Times New Roman" w:hAnsi="Times New Roman" w:cs="Times New Roman"/>
          <w:i/>
          <w:iCs/>
          <w:sz w:val="23"/>
          <w:szCs w:val="23"/>
        </w:rPr>
        <w:t xml:space="preserve"> </w:t>
      </w:r>
      <w:r>
        <w:rPr>
          <w:rFonts w:ascii="Times New Roman" w:hAnsi="Times New Roman" w:cs="Times New Roman"/>
          <w:i/>
          <w:iCs/>
          <w:sz w:val="23"/>
          <w:szCs w:val="23"/>
        </w:rPr>
        <w:t>facility?</w:t>
      </w:r>
    </w:p>
    <w:p w:rsidR="002C5025" w:rsidRDefault="002C5025">
      <w:pPr>
        <w:pStyle w:val="BodyText"/>
        <w:tabs>
          <w:tab w:val="left" w:pos="842"/>
        </w:tabs>
        <w:kinsoku w:val="0"/>
        <w:overflowPunct w:val="0"/>
        <w:spacing w:before="178" w:line="280" w:lineRule="auto"/>
        <w:ind w:left="150" w:right="1847" w:firstLine="7"/>
        <w:rPr>
          <w:rFonts w:ascii="Times New Roman" w:hAnsi="Times New Roman" w:cs="Times New Roman"/>
          <w:i/>
          <w:iCs/>
          <w:sz w:val="23"/>
          <w:szCs w:val="23"/>
        </w:rPr>
        <w:sectPr w:rsidR="002C5025">
          <w:pgSz w:w="12240" w:h="15840"/>
          <w:pgMar w:top="120" w:right="0" w:bottom="280" w:left="1440" w:header="720" w:footer="720" w:gutter="0"/>
          <w:cols w:space="720" w:equalWidth="0">
            <w:col w:w="10800"/>
          </w:cols>
          <w:noEndnote/>
        </w:sectPr>
      </w:pPr>
    </w:p>
    <w:p w:rsidR="002C5025" w:rsidRDefault="00344961">
      <w:pPr>
        <w:pStyle w:val="BodyText"/>
        <w:kinsoku w:val="0"/>
        <w:overflowPunct w:val="0"/>
        <w:spacing w:before="54"/>
        <w:ind w:left="151" w:right="1839"/>
        <w:rPr>
          <w:rFonts w:ascii="Times New Roman" w:hAnsi="Times New Roman" w:cs="Times New Roman"/>
          <w:w w:val="105"/>
          <w:sz w:val="19"/>
          <w:szCs w:val="19"/>
        </w:rPr>
      </w:pPr>
      <w:r>
        <w:rPr>
          <w:rFonts w:ascii="Times New Roman" w:hAnsi="Times New Roman" w:cs="Times New Roman"/>
          <w:w w:val="105"/>
          <w:sz w:val="19"/>
          <w:szCs w:val="19"/>
        </w:rPr>
        <w:lastRenderedPageBreak/>
        <w:t>Page 6 -State Health Official an d State Medicaid Di</w:t>
      </w:r>
      <w:r w:rsidR="002C5025">
        <w:rPr>
          <w:rFonts w:ascii="Times New Roman" w:hAnsi="Times New Roman" w:cs="Times New Roman"/>
          <w:w w:val="105"/>
          <w:sz w:val="19"/>
          <w:szCs w:val="19"/>
        </w:rPr>
        <w:t>rector</w:t>
      </w:r>
    </w:p>
    <w:p w:rsidR="002C5025" w:rsidRDefault="002C5025">
      <w:pPr>
        <w:pStyle w:val="BodyText"/>
        <w:kinsoku w:val="0"/>
        <w:overflowPunct w:val="0"/>
        <w:rPr>
          <w:rFonts w:ascii="Times New Roman" w:hAnsi="Times New Roman" w:cs="Times New Roman"/>
          <w:sz w:val="18"/>
          <w:szCs w:val="18"/>
        </w:rPr>
      </w:pPr>
    </w:p>
    <w:p w:rsidR="002C5025" w:rsidRDefault="002C5025">
      <w:pPr>
        <w:pStyle w:val="BodyText"/>
        <w:kinsoku w:val="0"/>
        <w:overflowPunct w:val="0"/>
        <w:rPr>
          <w:rFonts w:ascii="Times New Roman" w:hAnsi="Times New Roman" w:cs="Times New Roman"/>
          <w:sz w:val="18"/>
          <w:szCs w:val="18"/>
        </w:rPr>
      </w:pPr>
    </w:p>
    <w:p w:rsidR="002C5025" w:rsidRDefault="002C5025">
      <w:pPr>
        <w:pStyle w:val="BodyText"/>
        <w:kinsoku w:val="0"/>
        <w:overflowPunct w:val="0"/>
        <w:rPr>
          <w:rFonts w:ascii="Times New Roman" w:hAnsi="Times New Roman" w:cs="Times New Roman"/>
          <w:sz w:val="18"/>
          <w:szCs w:val="18"/>
        </w:rPr>
      </w:pPr>
    </w:p>
    <w:p w:rsidR="002C5025" w:rsidRDefault="00FB027C">
      <w:pPr>
        <w:pStyle w:val="BodyText"/>
        <w:tabs>
          <w:tab w:val="left" w:pos="828"/>
        </w:tabs>
        <w:kinsoku w:val="0"/>
        <w:overflowPunct w:val="0"/>
        <w:spacing w:before="147" w:line="292" w:lineRule="auto"/>
        <w:ind w:left="144" w:right="1985" w:hanging="8"/>
        <w:rPr>
          <w:rFonts w:ascii="Times New Roman" w:hAnsi="Times New Roman" w:cs="Times New Roman"/>
        </w:rPr>
      </w:pPr>
      <w:r>
        <w:rPr>
          <w:noProof/>
        </w:rPr>
        <mc:AlternateContent>
          <mc:Choice Requires="wps">
            <w:drawing>
              <wp:anchor distT="0" distB="0" distL="114300" distR="114300" simplePos="0" relativeHeight="251821568" behindDoc="0" locked="0" layoutInCell="0" allowOverlap="1">
                <wp:simplePos x="0" y="0"/>
                <wp:positionH relativeFrom="page">
                  <wp:posOffset>7769225</wp:posOffset>
                </wp:positionH>
                <wp:positionV relativeFrom="paragraph">
                  <wp:posOffset>488315</wp:posOffset>
                </wp:positionV>
                <wp:extent cx="12700" cy="5701030"/>
                <wp:effectExtent l="0" t="0" r="0" b="0"/>
                <wp:wrapNone/>
                <wp:docPr id="238" name="Freeform 8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5701030"/>
                        </a:xfrm>
                        <a:custGeom>
                          <a:avLst/>
                          <a:gdLst>
                            <a:gd name="T0" fmla="*/ 0 w 20"/>
                            <a:gd name="T1" fmla="*/ 8978 h 8978"/>
                            <a:gd name="T2" fmla="*/ 0 w 20"/>
                            <a:gd name="T3" fmla="*/ 0 h 8978"/>
                          </a:gdLst>
                          <a:ahLst/>
                          <a:cxnLst>
                            <a:cxn ang="0">
                              <a:pos x="T0" y="T1"/>
                            </a:cxn>
                            <a:cxn ang="0">
                              <a:pos x="T2" y="T3"/>
                            </a:cxn>
                          </a:cxnLst>
                          <a:rect l="0" t="0" r="r" b="b"/>
                          <a:pathLst>
                            <a:path w="20" h="8978">
                              <a:moveTo>
                                <a:pt x="0" y="8978"/>
                              </a:moveTo>
                              <a:lnTo>
                                <a:pt x="0"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843" o:spid="_x0000_s1026" style="position:absolute;z-index:251821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11.75pt,487.35pt,611.75pt,38.45pt" coordsize="20,8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" o:allowincell="f" filled="f" strokeweight=".36pt">
                <v:path arrowok="t" o:connecttype="custom" o:connectlocs="0,5701030;0,0" o:connectangles="0,0"/>
                <w10:wrap anchorx="page"/>
              </v:polyline>
            </w:pict>
          </mc:Fallback>
        </mc:AlternateContent>
      </w:r>
      <w:r w:rsidR="002C5025">
        <w:rPr>
          <w:rFonts w:ascii="Times New Roman" w:hAnsi="Times New Roman" w:cs="Times New Roman"/>
        </w:rPr>
        <w:t>AS.</w:t>
      </w:r>
      <w:r w:rsidR="002C5025">
        <w:rPr>
          <w:rFonts w:ascii="Times New Roman" w:hAnsi="Times New Roman" w:cs="Times New Roman"/>
        </w:rPr>
        <w:tab/>
        <w:t>No.   FFP  is not available  for services  in a residential treatment  facility for</w:t>
      </w:r>
      <w:r w:rsidR="002C5025">
        <w:rPr>
          <w:rFonts w:ascii="Times New Roman" w:hAnsi="Times New Roman" w:cs="Times New Roman"/>
          <w:spacing w:val="2"/>
        </w:rPr>
        <w:t xml:space="preserve"> </w:t>
      </w:r>
      <w:r w:rsidR="002C5025">
        <w:rPr>
          <w:rFonts w:ascii="Times New Roman" w:hAnsi="Times New Roman" w:cs="Times New Roman"/>
        </w:rPr>
        <w:t>inmates</w:t>
      </w:r>
      <w:r w:rsidR="002C5025">
        <w:rPr>
          <w:rFonts w:ascii="Times New Roman" w:hAnsi="Times New Roman" w:cs="Times New Roman"/>
          <w:spacing w:val="18"/>
        </w:rPr>
        <w:t xml:space="preserve"> </w:t>
      </w:r>
      <w:r w:rsidR="002C5025">
        <w:rPr>
          <w:rFonts w:ascii="Times New Roman" w:hAnsi="Times New Roman" w:cs="Times New Roman"/>
        </w:rPr>
        <w:t>who are involuntarily residing in the facility by operation of law enforcement authorities, since this facility would be a correctional institution (even if it were operated by a private entity under contract).</w:t>
      </w:r>
    </w:p>
    <w:p w:rsidR="002C5025" w:rsidRDefault="002C5025">
      <w:pPr>
        <w:pStyle w:val="BodyText"/>
        <w:kinsoku w:val="0"/>
        <w:overflowPunct w:val="0"/>
        <w:spacing w:before="183" w:line="280" w:lineRule="auto"/>
        <w:ind w:left="136" w:right="2060" w:firstLine="7"/>
        <w:rPr>
          <w:rFonts w:ascii="Times New Roman" w:hAnsi="Times New Roman" w:cs="Times New Roman"/>
          <w:position w:val="9"/>
          <w:sz w:val="15"/>
          <w:szCs w:val="15"/>
        </w:rPr>
      </w:pPr>
      <w:r>
        <w:rPr>
          <w:rFonts w:ascii="Times New Roman" w:hAnsi="Times New Roman" w:cs="Times New Roman"/>
        </w:rPr>
        <w:t xml:space="preserve">In addition to the inmate exclusion, the Medicaid statute also includes a coverage exclusion related to services for patients in Institutions for Mental Diseases (IMDs), which include residential treatment facilities of over sixteen beds that are primarily engaged in the diagnosis, treatment, or care of persons  with mental  diseases. </w:t>
      </w:r>
      <w:r>
        <w:rPr>
          <w:rFonts w:ascii="Times New Roman" w:hAnsi="Times New Roman" w:cs="Times New Roman"/>
          <w:position w:val="9"/>
          <w:sz w:val="15"/>
          <w:szCs w:val="15"/>
        </w:rPr>
        <w:t>1</w:t>
      </w:r>
    </w:p>
    <w:p w:rsidR="002C5025" w:rsidRDefault="002C5025">
      <w:pPr>
        <w:pStyle w:val="BodyText"/>
        <w:tabs>
          <w:tab w:val="left" w:pos="834"/>
        </w:tabs>
        <w:kinsoku w:val="0"/>
        <w:overflowPunct w:val="0"/>
        <w:spacing w:before="190" w:line="278" w:lineRule="auto"/>
        <w:ind w:left="143" w:right="2261" w:firstLine="7"/>
        <w:rPr>
          <w:rFonts w:ascii="Times New Roman" w:hAnsi="Times New Roman" w:cs="Times New Roman"/>
          <w:i/>
          <w:iCs/>
          <w:sz w:val="23"/>
          <w:szCs w:val="23"/>
        </w:rPr>
      </w:pPr>
      <w:r>
        <w:rPr>
          <w:rFonts w:ascii="Times New Roman" w:hAnsi="Times New Roman" w:cs="Times New Roman"/>
        </w:rPr>
        <w:t>Q9.</w:t>
      </w:r>
      <w:r>
        <w:rPr>
          <w:rFonts w:ascii="Times New Roman" w:hAnsi="Times New Roman" w:cs="Times New Roman"/>
        </w:rPr>
        <w:tab/>
      </w:r>
      <w:r>
        <w:rPr>
          <w:rFonts w:ascii="Times New Roman" w:hAnsi="Times New Roman" w:cs="Times New Roman"/>
          <w:u w:val="thick" w:color="000000"/>
        </w:rPr>
        <w:t>Applicabil</w:t>
      </w:r>
      <w:r w:rsidR="00344961">
        <w:rPr>
          <w:rFonts w:ascii="Times New Roman" w:hAnsi="Times New Roman" w:cs="Times New Roman"/>
          <w:u w:val="thick" w:color="000000"/>
        </w:rPr>
        <w:t>ity   of  other  Medicaid   Req</w:t>
      </w:r>
      <w:r>
        <w:rPr>
          <w:rFonts w:ascii="Times New Roman" w:hAnsi="Times New Roman" w:cs="Times New Roman"/>
          <w:u w:val="thick" w:color="000000"/>
        </w:rPr>
        <w:t xml:space="preserve">uirements:  </w:t>
      </w:r>
      <w:r>
        <w:rPr>
          <w:rFonts w:ascii="Times New Roman" w:hAnsi="Times New Roman" w:cs="Times New Roman"/>
          <w:i/>
          <w:iCs/>
          <w:sz w:val="23"/>
          <w:szCs w:val="23"/>
        </w:rPr>
        <w:t>Will services</w:t>
      </w:r>
      <w:r>
        <w:rPr>
          <w:rFonts w:ascii="Times New Roman" w:hAnsi="Times New Roman" w:cs="Times New Roman"/>
          <w:i/>
          <w:iCs/>
          <w:spacing w:val="-13"/>
          <w:sz w:val="23"/>
          <w:szCs w:val="23"/>
        </w:rPr>
        <w:t xml:space="preserve"> </w:t>
      </w:r>
      <w:r>
        <w:rPr>
          <w:rFonts w:ascii="Times New Roman" w:hAnsi="Times New Roman" w:cs="Times New Roman"/>
          <w:i/>
          <w:iCs/>
          <w:sz w:val="23"/>
          <w:szCs w:val="23"/>
        </w:rPr>
        <w:t xml:space="preserve">provided </w:t>
      </w:r>
      <w:r>
        <w:rPr>
          <w:rFonts w:ascii="Times New Roman" w:hAnsi="Times New Roman" w:cs="Times New Roman"/>
          <w:i/>
          <w:iCs/>
          <w:spacing w:val="37"/>
          <w:sz w:val="23"/>
          <w:szCs w:val="23"/>
        </w:rPr>
        <w:t xml:space="preserve"> </w:t>
      </w:r>
      <w:r>
        <w:rPr>
          <w:rFonts w:ascii="Times New Roman" w:hAnsi="Times New Roman" w:cs="Times New Roman"/>
          <w:i/>
          <w:iCs/>
          <w:sz w:val="23"/>
          <w:szCs w:val="23"/>
        </w:rPr>
        <w:t>to individuals who have been released to the community be subject to any other requirements before being qualified for  Medicaid</w:t>
      </w:r>
      <w:r>
        <w:rPr>
          <w:rFonts w:ascii="Times New Roman" w:hAnsi="Times New Roman" w:cs="Times New Roman"/>
          <w:i/>
          <w:iCs/>
          <w:spacing w:val="-6"/>
          <w:sz w:val="23"/>
          <w:szCs w:val="23"/>
        </w:rPr>
        <w:t xml:space="preserve"> </w:t>
      </w:r>
      <w:r>
        <w:rPr>
          <w:rFonts w:ascii="Times New Roman" w:hAnsi="Times New Roman" w:cs="Times New Roman"/>
          <w:i/>
          <w:iCs/>
          <w:sz w:val="23"/>
          <w:szCs w:val="23"/>
        </w:rPr>
        <w:t>reimbursement?</w:t>
      </w:r>
    </w:p>
    <w:p w:rsidR="002C5025" w:rsidRDefault="002C5025">
      <w:pPr>
        <w:pStyle w:val="BodyText"/>
        <w:tabs>
          <w:tab w:val="left" w:pos="835"/>
        </w:tabs>
        <w:kinsoku w:val="0"/>
        <w:overflowPunct w:val="0"/>
        <w:spacing w:before="193" w:line="285" w:lineRule="auto"/>
        <w:ind w:left="143" w:right="2521" w:hanging="7"/>
        <w:rPr>
          <w:rFonts w:ascii="Times New Roman" w:hAnsi="Times New Roman" w:cs="Times New Roman"/>
          <w:position w:val="9"/>
          <w:sz w:val="15"/>
          <w:szCs w:val="15"/>
        </w:rPr>
      </w:pPr>
      <w:r>
        <w:rPr>
          <w:rFonts w:ascii="Times New Roman" w:hAnsi="Times New Roman" w:cs="Times New Roman"/>
        </w:rPr>
        <w:t>A9.</w:t>
      </w:r>
      <w:r>
        <w:rPr>
          <w:rFonts w:ascii="Times New Roman" w:hAnsi="Times New Roman" w:cs="Times New Roman"/>
        </w:rPr>
        <w:tab/>
        <w:t>Yes.  All Medicaid  rules  apply  in determining the circumstances</w:t>
      </w:r>
      <w:r>
        <w:rPr>
          <w:rFonts w:ascii="Times New Roman" w:hAnsi="Times New Roman" w:cs="Times New Roman"/>
          <w:spacing w:val="53"/>
        </w:rPr>
        <w:t xml:space="preserve"> </w:t>
      </w:r>
      <w:r>
        <w:rPr>
          <w:rFonts w:ascii="Times New Roman" w:hAnsi="Times New Roman" w:cs="Times New Roman"/>
        </w:rPr>
        <w:t>in</w:t>
      </w:r>
      <w:r>
        <w:rPr>
          <w:rFonts w:ascii="Times New Roman" w:hAnsi="Times New Roman" w:cs="Times New Roman"/>
          <w:spacing w:val="12"/>
        </w:rPr>
        <w:t xml:space="preserve"> </w:t>
      </w:r>
      <w:r>
        <w:rPr>
          <w:rFonts w:ascii="Times New Roman" w:hAnsi="Times New Roman" w:cs="Times New Roman"/>
        </w:rPr>
        <w:t xml:space="preserve">which reimbursement is available, including the coverage exclusion for services provided to individuals who are in an </w:t>
      </w:r>
      <w:r>
        <w:rPr>
          <w:rFonts w:ascii="Arial" w:hAnsi="Arial" w:cs="Arial"/>
          <w:sz w:val="21"/>
          <w:szCs w:val="21"/>
        </w:rPr>
        <w:t xml:space="preserve">MD </w:t>
      </w:r>
      <w:r>
        <w:rPr>
          <w:rFonts w:ascii="Times New Roman" w:hAnsi="Times New Roman" w:cs="Times New Roman"/>
        </w:rPr>
        <w:t>and the Home and Community Based Services (HCBS) requirements relating to the provision of services authorized under 1915(c) HCBS waivers, 1915(</w:t>
      </w:r>
      <w:proofErr w:type="spellStart"/>
      <w:r>
        <w:rPr>
          <w:rFonts w:ascii="Times New Roman" w:hAnsi="Times New Roman" w:cs="Times New Roman"/>
        </w:rPr>
        <w:t>i</w:t>
      </w:r>
      <w:proofErr w:type="spellEnd"/>
      <w:r>
        <w:rPr>
          <w:rFonts w:ascii="Times New Roman" w:hAnsi="Times New Roman" w:cs="Times New Roman"/>
        </w:rPr>
        <w:t>) HCBS  state plan  options, and  1915(k) Community First  Choice programs.</w:t>
      </w:r>
      <w:r>
        <w:rPr>
          <w:rFonts w:ascii="Times New Roman" w:hAnsi="Times New Roman" w:cs="Times New Roman"/>
          <w:spacing w:val="-5"/>
        </w:rPr>
        <w:t xml:space="preserve"> </w:t>
      </w:r>
      <w:r>
        <w:rPr>
          <w:rFonts w:ascii="Times New Roman" w:hAnsi="Times New Roman" w:cs="Times New Roman"/>
          <w:position w:val="9"/>
          <w:sz w:val="15"/>
          <w:szCs w:val="15"/>
        </w:rPr>
        <w:t>2</w:t>
      </w:r>
    </w:p>
    <w:p w:rsidR="002C5025" w:rsidRDefault="002C5025">
      <w:pPr>
        <w:pStyle w:val="BodyText"/>
        <w:kinsoku w:val="0"/>
        <w:overflowPunct w:val="0"/>
        <w:spacing w:before="192"/>
        <w:ind w:left="151" w:right="1839"/>
        <w:rPr>
          <w:rFonts w:ascii="Times New Roman" w:hAnsi="Times New Roman" w:cs="Times New Roman"/>
          <w:w w:val="110"/>
        </w:rPr>
      </w:pPr>
      <w:r>
        <w:rPr>
          <w:rFonts w:ascii="Times New Roman" w:hAnsi="Times New Roman" w:cs="Times New Roman"/>
          <w:w w:val="110"/>
          <w:u w:val="thick" w:color="000000"/>
        </w:rPr>
        <w:t>Section 2: Eligibility and Enrollment</w:t>
      </w:r>
    </w:p>
    <w:p w:rsidR="002C5025" w:rsidRDefault="002C5025">
      <w:pPr>
        <w:pStyle w:val="BodyText"/>
        <w:kinsoku w:val="0"/>
        <w:overflowPunct w:val="0"/>
        <w:rPr>
          <w:rFonts w:ascii="Times New Roman" w:hAnsi="Times New Roman" w:cs="Times New Roman"/>
          <w:sz w:val="14"/>
          <w:szCs w:val="14"/>
        </w:rPr>
      </w:pPr>
    </w:p>
    <w:p w:rsidR="002C5025" w:rsidRDefault="002C5025">
      <w:pPr>
        <w:pStyle w:val="BodyText"/>
        <w:tabs>
          <w:tab w:val="left" w:pos="835"/>
        </w:tabs>
        <w:kinsoku w:val="0"/>
        <w:overflowPunct w:val="0"/>
        <w:spacing w:before="71" w:line="273" w:lineRule="auto"/>
        <w:ind w:left="100" w:right="1839" w:firstLine="50"/>
        <w:rPr>
          <w:rFonts w:ascii="Times New Roman" w:hAnsi="Times New Roman" w:cs="Times New Roman"/>
          <w:i/>
          <w:iCs/>
          <w:w w:val="105"/>
          <w:sz w:val="23"/>
          <w:szCs w:val="23"/>
        </w:rPr>
      </w:pPr>
      <w:r>
        <w:rPr>
          <w:rFonts w:ascii="Times New Roman" w:hAnsi="Times New Roman" w:cs="Times New Roman"/>
          <w:w w:val="105"/>
        </w:rPr>
        <w:t>Q10.</w:t>
      </w:r>
      <w:r>
        <w:rPr>
          <w:rFonts w:ascii="Times New Roman" w:hAnsi="Times New Roman" w:cs="Times New Roman"/>
          <w:w w:val="105"/>
        </w:rPr>
        <w:tab/>
      </w:r>
      <w:r>
        <w:rPr>
          <w:rFonts w:ascii="Times New Roman" w:hAnsi="Times New Roman" w:cs="Times New Roman"/>
          <w:w w:val="105"/>
          <w:u w:val="thick" w:color="000000"/>
        </w:rPr>
        <w:t xml:space="preserve">Medicaid  Eligibility While Incarcerated: </w:t>
      </w:r>
      <w:r>
        <w:rPr>
          <w:rFonts w:ascii="Times New Roman" w:hAnsi="Times New Roman" w:cs="Times New Roman"/>
          <w:i/>
          <w:iCs/>
          <w:w w:val="105"/>
          <w:sz w:val="23"/>
          <w:szCs w:val="23"/>
        </w:rPr>
        <w:t>Does being incarcerated prevent</w:t>
      </w:r>
      <w:r>
        <w:rPr>
          <w:rFonts w:ascii="Times New Roman" w:hAnsi="Times New Roman" w:cs="Times New Roman"/>
          <w:i/>
          <w:iCs/>
          <w:spacing w:val="26"/>
          <w:w w:val="105"/>
          <w:sz w:val="23"/>
          <w:szCs w:val="23"/>
        </w:rPr>
        <w:t xml:space="preserve"> </w:t>
      </w:r>
      <w:r>
        <w:rPr>
          <w:rFonts w:ascii="Times New Roman" w:hAnsi="Times New Roman" w:cs="Times New Roman"/>
          <w:i/>
          <w:iCs/>
          <w:w w:val="105"/>
          <w:sz w:val="23"/>
          <w:szCs w:val="23"/>
        </w:rPr>
        <w:t>an</w:t>
      </w:r>
      <w:r>
        <w:rPr>
          <w:rFonts w:ascii="Times New Roman" w:hAnsi="Times New Roman" w:cs="Times New Roman"/>
          <w:i/>
          <w:iCs/>
          <w:spacing w:val="-2"/>
          <w:w w:val="105"/>
          <w:sz w:val="23"/>
          <w:szCs w:val="23"/>
        </w:rPr>
        <w:t xml:space="preserve"> </w:t>
      </w:r>
      <w:r>
        <w:rPr>
          <w:rFonts w:ascii="Times New Roman" w:hAnsi="Times New Roman" w:cs="Times New Roman"/>
          <w:i/>
          <w:iCs/>
          <w:w w:val="105"/>
          <w:sz w:val="23"/>
          <w:szCs w:val="23"/>
        </w:rPr>
        <w:t>inmate</w:t>
      </w:r>
      <w:r>
        <w:rPr>
          <w:rFonts w:ascii="Times New Roman" w:hAnsi="Times New Roman" w:cs="Times New Roman"/>
          <w:i/>
          <w:iCs/>
          <w:w w:val="102"/>
          <w:sz w:val="23"/>
          <w:szCs w:val="23"/>
        </w:rPr>
        <w:t xml:space="preserve"> </w:t>
      </w:r>
      <w:r w:rsidR="00344961">
        <w:rPr>
          <w:rFonts w:ascii="Times New Roman" w:hAnsi="Times New Roman" w:cs="Times New Roman"/>
          <w:i/>
          <w:iCs/>
          <w:spacing w:val="4"/>
          <w:w w:val="105"/>
          <w:sz w:val="23"/>
          <w:szCs w:val="23"/>
        </w:rPr>
        <w:t>fr</w:t>
      </w:r>
      <w:r>
        <w:rPr>
          <w:rFonts w:ascii="Times New Roman" w:hAnsi="Times New Roman" w:cs="Times New Roman"/>
          <w:i/>
          <w:iCs/>
          <w:spacing w:val="4"/>
          <w:w w:val="105"/>
          <w:sz w:val="23"/>
          <w:szCs w:val="23"/>
        </w:rPr>
        <w:t>om</w:t>
      </w:r>
      <w:r>
        <w:rPr>
          <w:rFonts w:ascii="Times New Roman" w:hAnsi="Times New Roman" w:cs="Times New Roman"/>
          <w:i/>
          <w:iCs/>
          <w:spacing w:val="-36"/>
          <w:w w:val="105"/>
          <w:sz w:val="23"/>
          <w:szCs w:val="23"/>
        </w:rPr>
        <w:t xml:space="preserve"> </w:t>
      </w:r>
      <w:r>
        <w:rPr>
          <w:rFonts w:ascii="Times New Roman" w:hAnsi="Times New Roman" w:cs="Times New Roman"/>
          <w:i/>
          <w:iCs/>
          <w:w w:val="105"/>
          <w:sz w:val="23"/>
          <w:szCs w:val="23"/>
        </w:rPr>
        <w:t>being</w:t>
      </w:r>
      <w:r>
        <w:rPr>
          <w:rFonts w:ascii="Times New Roman" w:hAnsi="Times New Roman" w:cs="Times New Roman"/>
          <w:i/>
          <w:iCs/>
          <w:spacing w:val="-35"/>
          <w:w w:val="105"/>
          <w:sz w:val="23"/>
          <w:szCs w:val="23"/>
        </w:rPr>
        <w:t xml:space="preserve"> </w:t>
      </w:r>
      <w:r>
        <w:rPr>
          <w:rFonts w:ascii="Times New Roman" w:hAnsi="Times New Roman" w:cs="Times New Roman"/>
          <w:i/>
          <w:iCs/>
          <w:w w:val="105"/>
          <w:sz w:val="23"/>
          <w:szCs w:val="23"/>
        </w:rPr>
        <w:t>determined</w:t>
      </w:r>
      <w:r>
        <w:rPr>
          <w:rFonts w:ascii="Times New Roman" w:hAnsi="Times New Roman" w:cs="Times New Roman"/>
          <w:i/>
          <w:iCs/>
          <w:spacing w:val="-32"/>
          <w:w w:val="105"/>
          <w:sz w:val="23"/>
          <w:szCs w:val="23"/>
        </w:rPr>
        <w:t xml:space="preserve"> </w:t>
      </w:r>
      <w:r>
        <w:rPr>
          <w:rFonts w:ascii="Times New Roman" w:hAnsi="Times New Roman" w:cs="Times New Roman"/>
          <w:i/>
          <w:iCs/>
          <w:spacing w:val="3"/>
          <w:w w:val="105"/>
          <w:sz w:val="23"/>
          <w:szCs w:val="23"/>
        </w:rPr>
        <w:t>eligible</w:t>
      </w:r>
      <w:r w:rsidR="00344961">
        <w:rPr>
          <w:rFonts w:ascii="Times New Roman" w:hAnsi="Times New Roman" w:cs="Times New Roman"/>
          <w:i/>
          <w:iCs/>
          <w:spacing w:val="3"/>
          <w:w w:val="105"/>
          <w:sz w:val="23"/>
          <w:szCs w:val="23"/>
        </w:rPr>
        <w:t xml:space="preserve"> </w:t>
      </w:r>
      <w:r>
        <w:rPr>
          <w:rFonts w:ascii="Times New Roman" w:hAnsi="Times New Roman" w:cs="Times New Roman"/>
          <w:i/>
          <w:iCs/>
          <w:spacing w:val="3"/>
          <w:w w:val="105"/>
          <w:sz w:val="23"/>
          <w:szCs w:val="23"/>
        </w:rPr>
        <w:t>for</w:t>
      </w:r>
      <w:r w:rsidR="00344961">
        <w:rPr>
          <w:rFonts w:ascii="Times New Roman" w:hAnsi="Times New Roman" w:cs="Times New Roman"/>
          <w:i/>
          <w:iCs/>
          <w:w w:val="105"/>
          <w:sz w:val="16"/>
          <w:szCs w:val="16"/>
        </w:rPr>
        <w:t xml:space="preserve"> or  </w:t>
      </w:r>
      <w:r>
        <w:rPr>
          <w:rFonts w:ascii="Times New Roman" w:hAnsi="Times New Roman" w:cs="Times New Roman"/>
          <w:i/>
          <w:iCs/>
          <w:w w:val="105"/>
          <w:sz w:val="23"/>
          <w:szCs w:val="23"/>
        </w:rPr>
        <w:t>maintaining</w:t>
      </w:r>
      <w:r>
        <w:rPr>
          <w:rFonts w:ascii="Times New Roman" w:hAnsi="Times New Roman" w:cs="Times New Roman"/>
          <w:i/>
          <w:iCs/>
          <w:spacing w:val="-30"/>
          <w:w w:val="105"/>
          <w:sz w:val="23"/>
          <w:szCs w:val="23"/>
        </w:rPr>
        <w:t xml:space="preserve"> </w:t>
      </w:r>
      <w:r>
        <w:rPr>
          <w:rFonts w:ascii="Times New Roman" w:hAnsi="Times New Roman" w:cs="Times New Roman"/>
          <w:i/>
          <w:iCs/>
          <w:spacing w:val="2"/>
          <w:w w:val="105"/>
          <w:sz w:val="23"/>
          <w:szCs w:val="23"/>
        </w:rPr>
        <w:t>eligibility</w:t>
      </w:r>
      <w:r w:rsidR="00344961">
        <w:rPr>
          <w:rFonts w:ascii="Times New Roman" w:hAnsi="Times New Roman" w:cs="Times New Roman"/>
          <w:i/>
          <w:iCs/>
          <w:spacing w:val="2"/>
          <w:w w:val="105"/>
          <w:sz w:val="23"/>
          <w:szCs w:val="23"/>
        </w:rPr>
        <w:t xml:space="preserve"> </w:t>
      </w:r>
      <w:r>
        <w:rPr>
          <w:rFonts w:ascii="Times New Roman" w:hAnsi="Times New Roman" w:cs="Times New Roman"/>
          <w:i/>
          <w:iCs/>
          <w:spacing w:val="2"/>
          <w:w w:val="105"/>
          <w:sz w:val="23"/>
          <w:szCs w:val="23"/>
        </w:rPr>
        <w:t>for</w:t>
      </w:r>
      <w:r>
        <w:rPr>
          <w:rFonts w:ascii="Times New Roman" w:hAnsi="Times New Roman" w:cs="Times New Roman"/>
          <w:i/>
          <w:iCs/>
          <w:spacing w:val="-24"/>
          <w:w w:val="105"/>
          <w:sz w:val="23"/>
          <w:szCs w:val="23"/>
        </w:rPr>
        <w:t xml:space="preserve"> </w:t>
      </w:r>
      <w:r>
        <w:rPr>
          <w:rFonts w:ascii="Times New Roman" w:hAnsi="Times New Roman" w:cs="Times New Roman"/>
          <w:i/>
          <w:iCs/>
          <w:w w:val="105"/>
          <w:sz w:val="23"/>
          <w:szCs w:val="23"/>
        </w:rPr>
        <w:t>Medicaid?</w:t>
      </w:r>
    </w:p>
    <w:p w:rsidR="002C5025" w:rsidRDefault="002C5025">
      <w:pPr>
        <w:pStyle w:val="BodyText"/>
        <w:kinsoku w:val="0"/>
        <w:overflowPunct w:val="0"/>
        <w:spacing w:before="8"/>
        <w:rPr>
          <w:rFonts w:ascii="Times New Roman" w:hAnsi="Times New Roman" w:cs="Times New Roman"/>
          <w:i/>
          <w:iCs/>
          <w:sz w:val="17"/>
          <w:szCs w:val="17"/>
        </w:rPr>
      </w:pPr>
    </w:p>
    <w:p w:rsidR="002C5025" w:rsidRDefault="002C5025">
      <w:pPr>
        <w:pStyle w:val="BodyText"/>
        <w:tabs>
          <w:tab w:val="left" w:pos="827"/>
        </w:tabs>
        <w:kinsoku w:val="0"/>
        <w:overflowPunct w:val="0"/>
        <w:spacing w:line="290" w:lineRule="auto"/>
        <w:ind w:left="144" w:right="2060"/>
        <w:rPr>
          <w:rFonts w:ascii="Times New Roman" w:hAnsi="Times New Roman" w:cs="Times New Roman"/>
        </w:rPr>
      </w:pPr>
      <w:r>
        <w:rPr>
          <w:rFonts w:ascii="Times New Roman" w:hAnsi="Times New Roman" w:cs="Times New Roman"/>
        </w:rPr>
        <w:t>A10.</w:t>
      </w:r>
      <w:r>
        <w:rPr>
          <w:rFonts w:ascii="Times New Roman" w:hAnsi="Times New Roman" w:cs="Times New Roman"/>
        </w:rPr>
        <w:tab/>
        <w:t xml:space="preserve">No.   The inmate exclusion  is a general  coverage exclusion; it is not </w:t>
      </w:r>
      <w:r>
        <w:rPr>
          <w:rFonts w:ascii="Times New Roman" w:hAnsi="Times New Roman" w:cs="Times New Roman"/>
          <w:spacing w:val="30"/>
        </w:rPr>
        <w:t xml:space="preserve"> </w:t>
      </w:r>
      <w:r>
        <w:rPr>
          <w:rFonts w:ascii="Times New Roman" w:hAnsi="Times New Roman" w:cs="Times New Roman"/>
        </w:rPr>
        <w:t>an</w:t>
      </w:r>
      <w:r>
        <w:rPr>
          <w:rFonts w:ascii="Times New Roman" w:hAnsi="Times New Roman" w:cs="Times New Roman"/>
          <w:spacing w:val="18"/>
        </w:rPr>
        <w:t xml:space="preserve"> </w:t>
      </w:r>
      <w:r>
        <w:rPr>
          <w:rFonts w:ascii="Times New Roman" w:hAnsi="Times New Roman" w:cs="Times New Roman"/>
        </w:rPr>
        <w:t xml:space="preserve">eligibility exclusion. Incarceration does not preclude an inmate from being determined Medicaid-eligible.  The state Medicaid  agency must  accept applications  from inmates to enroll in Medicaid  or  renew Medicaid enrollment during the time of their incarceration. </w:t>
      </w:r>
      <w:r>
        <w:rPr>
          <w:rFonts w:ascii="Arial" w:hAnsi="Arial" w:cs="Arial"/>
        </w:rPr>
        <w:t>If</w:t>
      </w:r>
      <w:r w:rsidR="00344961">
        <w:rPr>
          <w:rFonts w:ascii="Arial" w:hAnsi="Arial" w:cs="Arial"/>
        </w:rPr>
        <w:t xml:space="preserve"> </w:t>
      </w:r>
      <w:r>
        <w:rPr>
          <w:rFonts w:ascii="Times New Roman" w:hAnsi="Times New Roman" w:cs="Times New Roman"/>
        </w:rPr>
        <w:t xml:space="preserve">the individual meets all · applicable Medicaid  eligibility requirements,  the state must  enroll or renew  the enrollment  </w:t>
      </w:r>
      <w:r>
        <w:rPr>
          <w:rFonts w:ascii="Times New Roman" w:hAnsi="Times New Roman" w:cs="Times New Roman"/>
          <w:spacing w:val="-3"/>
        </w:rPr>
        <w:t xml:space="preserve">of </w:t>
      </w:r>
      <w:r>
        <w:rPr>
          <w:rFonts w:ascii="Times New Roman" w:hAnsi="Times New Roman" w:cs="Times New Roman"/>
        </w:rPr>
        <w:t xml:space="preserve">the  individual  effective before, during, and after the period  of time spent in the  </w:t>
      </w:r>
      <w:r>
        <w:rPr>
          <w:rFonts w:ascii="Times New Roman" w:hAnsi="Times New Roman" w:cs="Times New Roman"/>
          <w:spacing w:val="5"/>
        </w:rPr>
        <w:t xml:space="preserve"> </w:t>
      </w:r>
      <w:r>
        <w:rPr>
          <w:rFonts w:ascii="Times New Roman" w:hAnsi="Times New Roman" w:cs="Times New Roman"/>
        </w:rPr>
        <w:t>correctional</w:t>
      </w:r>
    </w:p>
    <w:p w:rsidR="002C5025" w:rsidRDefault="002C5025">
      <w:pPr>
        <w:pStyle w:val="BodyText"/>
        <w:kinsoku w:val="0"/>
        <w:overflowPunct w:val="0"/>
        <w:spacing w:line="288" w:lineRule="auto"/>
        <w:ind w:left="151" w:right="1741" w:hanging="1"/>
        <w:jc w:val="both"/>
        <w:rPr>
          <w:rFonts w:ascii="Times New Roman" w:hAnsi="Times New Roman" w:cs="Times New Roman"/>
        </w:rPr>
      </w:pPr>
      <w:r>
        <w:rPr>
          <w:rFonts w:ascii="Times New Roman" w:hAnsi="Times New Roman" w:cs="Times New Roman"/>
        </w:rPr>
        <w:t xml:space="preserve">facility. Once enrolled, however, the state may place the inmate in a suspended eligibility status during the period of incarceration, or it may suspend  coverage  by  establishing  markers  and edits in the claims processing  system to deny claims for excluded  services, as discussed  </w:t>
      </w:r>
      <w:r>
        <w:rPr>
          <w:rFonts w:ascii="Times New Roman" w:hAnsi="Times New Roman" w:cs="Times New Roman"/>
          <w:spacing w:val="51"/>
        </w:rPr>
        <w:t xml:space="preserve"> </w:t>
      </w:r>
      <w:r>
        <w:rPr>
          <w:rFonts w:ascii="Times New Roman" w:hAnsi="Times New Roman" w:cs="Times New Roman"/>
        </w:rPr>
        <w:t>below.</w:t>
      </w:r>
    </w:p>
    <w:p w:rsidR="002C5025" w:rsidRDefault="002C5025">
      <w:pPr>
        <w:pStyle w:val="BodyText"/>
        <w:kinsoku w:val="0"/>
        <w:overflowPunct w:val="0"/>
        <w:spacing w:before="6"/>
        <w:rPr>
          <w:rFonts w:ascii="Times New Roman" w:hAnsi="Times New Roman" w:cs="Times New Roman"/>
          <w:sz w:val="17"/>
          <w:szCs w:val="17"/>
        </w:rPr>
      </w:pPr>
    </w:p>
    <w:p w:rsidR="002C5025" w:rsidRDefault="002C5025">
      <w:pPr>
        <w:pStyle w:val="BodyText"/>
        <w:kinsoku w:val="0"/>
        <w:overflowPunct w:val="0"/>
        <w:spacing w:before="1" w:line="288" w:lineRule="auto"/>
        <w:ind w:left="150" w:right="1790"/>
        <w:rPr>
          <w:rFonts w:ascii="Times New Roman" w:hAnsi="Times New Roman" w:cs="Times New Roman"/>
          <w:w w:val="105"/>
        </w:rPr>
      </w:pPr>
      <w:r>
        <w:rPr>
          <w:rFonts w:ascii="Arial" w:hAnsi="Arial" w:cs="Arial"/>
          <w:w w:val="105"/>
          <w:sz w:val="21"/>
          <w:szCs w:val="21"/>
        </w:rPr>
        <w:t xml:space="preserve">It </w:t>
      </w:r>
      <w:r>
        <w:rPr>
          <w:rFonts w:ascii="Times New Roman" w:hAnsi="Times New Roman" w:cs="Times New Roman"/>
          <w:w w:val="105"/>
        </w:rPr>
        <w:t>should be noted that, due to Medicaid retroactive eligibility provisions at section 1902(a)(34) of the Social Security Act, FFP is available for Medicaid-covered inpatient services provided in</w:t>
      </w:r>
    </w:p>
    <w:p w:rsidR="002C5025" w:rsidRDefault="002C5025">
      <w:pPr>
        <w:pStyle w:val="BodyText"/>
        <w:kinsoku w:val="0"/>
        <w:overflowPunct w:val="0"/>
        <w:rPr>
          <w:rFonts w:ascii="Times New Roman" w:hAnsi="Times New Roman" w:cs="Times New Roman"/>
          <w:sz w:val="20"/>
          <w:szCs w:val="20"/>
        </w:rPr>
      </w:pPr>
    </w:p>
    <w:p w:rsidR="002C5025" w:rsidRDefault="00FB027C">
      <w:pPr>
        <w:pStyle w:val="BodyText"/>
        <w:kinsoku w:val="0"/>
        <w:overflowPunct w:val="0"/>
        <w:spacing w:before="5"/>
        <w:rPr>
          <w:rFonts w:ascii="Times New Roman" w:hAnsi="Times New Roman" w:cs="Times New Roman"/>
          <w:sz w:val="14"/>
          <w:szCs w:val="14"/>
        </w:rPr>
      </w:pPr>
      <w:r>
        <w:rPr>
          <w:noProof/>
        </w:rPr>
        <mc:AlternateContent>
          <mc:Choice Requires="wps">
            <w:drawing>
              <wp:anchor distT="0" distB="0" distL="0" distR="0" simplePos="0" relativeHeight="251822592" behindDoc="0" locked="0" layoutInCell="0" allowOverlap="1">
                <wp:simplePos x="0" y="0"/>
                <wp:positionH relativeFrom="page">
                  <wp:posOffset>1014730</wp:posOffset>
                </wp:positionH>
                <wp:positionV relativeFrom="paragraph">
                  <wp:posOffset>135255</wp:posOffset>
                </wp:positionV>
                <wp:extent cx="1760220" cy="12700"/>
                <wp:effectExtent l="0" t="0" r="0" b="0"/>
                <wp:wrapTopAndBottom/>
                <wp:docPr id="236" name="Freeform 8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60220" cy="12700"/>
                        </a:xfrm>
                        <a:custGeom>
                          <a:avLst/>
                          <a:gdLst>
                            <a:gd name="T0" fmla="*/ 0 w 2772"/>
                            <a:gd name="T1" fmla="*/ 0 h 20"/>
                            <a:gd name="T2" fmla="*/ 2772 w 2772"/>
                            <a:gd name="T3" fmla="*/ 0 h 20"/>
                          </a:gdLst>
                          <a:ahLst/>
                          <a:cxnLst>
                            <a:cxn ang="0">
                              <a:pos x="T0" y="T1"/>
                            </a:cxn>
                            <a:cxn ang="0">
                              <a:pos x="T2" y="T3"/>
                            </a:cxn>
                          </a:cxnLst>
                          <a:rect l="0" t="0" r="r" b="b"/>
                          <a:pathLst>
                            <a:path w="2772" h="20">
                              <a:moveTo>
                                <a:pt x="0" y="0"/>
                              </a:moveTo>
                              <a:lnTo>
                                <a:pt x="2772"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844" o:spid="_x0000_s1026" style="position:absolute;z-index:251822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9.9pt,10.65pt,218.5pt,10.65pt" coordsize="27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" o:allowincell="f" filled="f" strokeweight=".72pt">
                <v:path arrowok="t" o:connecttype="custom" o:connectlocs="0,0;1760220,0" o:connectangles="0,0"/>
                <w10:wrap type="topAndBottom" anchorx="page"/>
              </v:polyline>
            </w:pict>
          </mc:Fallback>
        </mc:AlternateContent>
      </w:r>
    </w:p>
    <w:p w:rsidR="002C5025" w:rsidRDefault="002C5025">
      <w:pPr>
        <w:pStyle w:val="BodyText"/>
        <w:kinsoku w:val="0"/>
        <w:overflowPunct w:val="0"/>
        <w:spacing w:before="60" w:line="259" w:lineRule="auto"/>
        <w:ind w:left="151" w:right="1839"/>
        <w:rPr>
          <w:rFonts w:ascii="Times New Roman" w:hAnsi="Times New Roman" w:cs="Times New Roman"/>
          <w:w w:val="105"/>
          <w:sz w:val="18"/>
          <w:szCs w:val="18"/>
        </w:rPr>
      </w:pPr>
      <w:r>
        <w:rPr>
          <w:rFonts w:ascii="Times New Roman" w:hAnsi="Times New Roman" w:cs="Times New Roman"/>
          <w:w w:val="105"/>
          <w:position w:val="6"/>
          <w:sz w:val="12"/>
          <w:szCs w:val="12"/>
        </w:rPr>
        <w:t>1</w:t>
      </w:r>
      <w:r>
        <w:rPr>
          <w:rFonts w:ascii="Times New Roman" w:hAnsi="Times New Roman" w:cs="Times New Roman"/>
          <w:w w:val="105"/>
          <w:sz w:val="18"/>
          <w:szCs w:val="18"/>
        </w:rPr>
        <w:t>The exclusion for services provided to individuals who are in an Institution for Mental Disease can be found at section 1905(a)(29)(B) of the Act.</w:t>
      </w:r>
    </w:p>
    <w:p w:rsidR="002C5025" w:rsidRDefault="002C5025">
      <w:pPr>
        <w:pStyle w:val="BodyText"/>
        <w:kinsoku w:val="0"/>
        <w:overflowPunct w:val="0"/>
        <w:spacing w:line="256" w:lineRule="auto"/>
        <w:ind w:left="151" w:right="2060"/>
        <w:rPr>
          <w:rFonts w:ascii="Times New Roman" w:hAnsi="Times New Roman" w:cs="Times New Roman"/>
          <w:w w:val="105"/>
          <w:sz w:val="18"/>
          <w:szCs w:val="18"/>
        </w:rPr>
      </w:pPr>
      <w:r>
        <w:rPr>
          <w:rFonts w:ascii="Times New Roman" w:hAnsi="Times New Roman" w:cs="Times New Roman"/>
          <w:w w:val="105"/>
          <w:position w:val="6"/>
          <w:sz w:val="11"/>
          <w:szCs w:val="11"/>
        </w:rPr>
        <w:t>2</w:t>
      </w:r>
      <w:r>
        <w:rPr>
          <w:rFonts w:ascii="Times New Roman" w:hAnsi="Times New Roman" w:cs="Times New Roman"/>
          <w:w w:val="105"/>
          <w:sz w:val="18"/>
          <w:szCs w:val="18"/>
        </w:rPr>
        <w:t>The exclusion for services provided to individuals who are in an Institution for Mental Disease can be found at section 1905(a)(29)(B) of the Act; qualities of a home and community based setting are outlined in 42 CFR 441.30l (c)(4).</w:t>
      </w:r>
    </w:p>
    <w:p w:rsidR="002C5025" w:rsidRDefault="002C5025">
      <w:pPr>
        <w:pStyle w:val="BodyText"/>
        <w:kinsoku w:val="0"/>
        <w:overflowPunct w:val="0"/>
        <w:spacing w:line="256" w:lineRule="auto"/>
        <w:ind w:left="151" w:right="2060"/>
        <w:rPr>
          <w:rFonts w:ascii="Times New Roman" w:hAnsi="Times New Roman" w:cs="Times New Roman"/>
          <w:w w:val="105"/>
          <w:sz w:val="18"/>
          <w:szCs w:val="18"/>
        </w:rPr>
        <w:sectPr w:rsidR="002C5025">
          <w:pgSz w:w="12240" w:h="15840"/>
          <w:pgMar w:top="1100" w:right="0" w:bottom="280" w:left="1440" w:header="720" w:footer="720" w:gutter="0"/>
          <w:cols w:space="720"/>
          <w:noEndnote/>
        </w:sect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8"/>
        <w:rPr>
          <w:rFonts w:ascii="Times New Roman" w:hAnsi="Times New Roman" w:cs="Times New Roman"/>
          <w:sz w:val="15"/>
          <w:szCs w:val="15"/>
        </w:rPr>
      </w:pPr>
    </w:p>
    <w:p w:rsidR="002C5025" w:rsidRDefault="00FB027C">
      <w:pPr>
        <w:pStyle w:val="BodyText"/>
        <w:kinsoku w:val="0"/>
        <w:overflowPunct w:val="0"/>
        <w:spacing w:before="76"/>
        <w:ind w:left="111"/>
        <w:rPr>
          <w:rFonts w:ascii="Arial" w:hAnsi="Arial" w:cs="Arial"/>
          <w:w w:val="105"/>
          <w:sz w:val="19"/>
          <w:szCs w:val="19"/>
        </w:rPr>
      </w:pPr>
      <w:r>
        <w:rPr>
          <w:noProof/>
        </w:rPr>
        <mc:AlternateContent>
          <mc:Choice Requires="wps">
            <w:drawing>
              <wp:anchor distT="0" distB="0" distL="114300" distR="114300" simplePos="0" relativeHeight="251823616" behindDoc="0" locked="0" layoutInCell="0" allowOverlap="1">
                <wp:simplePos x="0" y="0"/>
                <wp:positionH relativeFrom="page">
                  <wp:posOffset>7765415</wp:posOffset>
                </wp:positionH>
                <wp:positionV relativeFrom="paragraph">
                  <wp:posOffset>-551815</wp:posOffset>
                </wp:positionV>
                <wp:extent cx="12700" cy="634365"/>
                <wp:effectExtent l="0" t="0" r="0" b="0"/>
                <wp:wrapNone/>
                <wp:docPr id="234" name="Freeform 8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634365"/>
                        </a:xfrm>
                        <a:custGeom>
                          <a:avLst/>
                          <a:gdLst>
                            <a:gd name="T0" fmla="*/ 0 w 20"/>
                            <a:gd name="T1" fmla="*/ 1000 h 999"/>
                            <a:gd name="T2" fmla="*/ 0 w 20"/>
                            <a:gd name="T3" fmla="*/ 0 h 999"/>
                          </a:gdLst>
                          <a:ahLst/>
                          <a:cxnLst>
                            <a:cxn ang="0">
                              <a:pos x="T0" y="T1"/>
                            </a:cxn>
                            <a:cxn ang="0">
                              <a:pos x="T2" y="T3"/>
                            </a:cxn>
                          </a:cxnLst>
                          <a:rect l="0" t="0" r="r" b="b"/>
                          <a:pathLst>
                            <a:path w="20" h="999">
                              <a:moveTo>
                                <a:pt x="0" y="1000"/>
                              </a:moveTo>
                              <a:lnTo>
                                <a:pt x="0" y="0"/>
                              </a:lnTo>
                            </a:path>
                          </a:pathLst>
                        </a:custGeom>
                        <a:noFill/>
                        <a:ln w="455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845" o:spid="_x0000_s1026" style="position:absolute;z-index:251823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11.45pt,6.55pt,611.45pt,-43.45pt" coordsize="20,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" o:allowincell="f" filled="f" strokeweight=".1266mm">
                <v:path arrowok="t" o:connecttype="custom" o:connectlocs="0,635000;0,0" o:connectangles="0,0"/>
                <w10:wrap anchorx="page"/>
              </v:polyline>
            </w:pict>
          </mc:Fallback>
        </mc:AlternateContent>
      </w:r>
      <w:r w:rsidR="002C5025">
        <w:rPr>
          <w:rFonts w:ascii="Arial" w:hAnsi="Arial" w:cs="Arial"/>
          <w:w w:val="105"/>
          <w:sz w:val="19"/>
          <w:szCs w:val="19"/>
        </w:rPr>
        <w:t>Page 7 - State Health Official and State Medicaid Director</w:t>
      </w:r>
    </w:p>
    <w:p w:rsidR="002C5025" w:rsidRDefault="002C5025">
      <w:pPr>
        <w:pStyle w:val="BodyText"/>
        <w:kinsoku w:val="0"/>
        <w:overflowPunct w:val="0"/>
        <w:rPr>
          <w:rFonts w:ascii="Arial" w:hAnsi="Arial" w:cs="Arial"/>
          <w:sz w:val="18"/>
          <w:szCs w:val="18"/>
        </w:rPr>
      </w:pPr>
    </w:p>
    <w:p w:rsidR="002C5025" w:rsidRDefault="002C5025">
      <w:pPr>
        <w:pStyle w:val="BodyText"/>
        <w:kinsoku w:val="0"/>
        <w:overflowPunct w:val="0"/>
        <w:rPr>
          <w:rFonts w:ascii="Arial" w:hAnsi="Arial" w:cs="Arial"/>
          <w:sz w:val="18"/>
          <w:szCs w:val="18"/>
        </w:rPr>
      </w:pPr>
    </w:p>
    <w:p w:rsidR="002C5025" w:rsidRDefault="002C5025">
      <w:pPr>
        <w:pStyle w:val="BodyText"/>
        <w:kinsoku w:val="0"/>
        <w:overflowPunct w:val="0"/>
        <w:rPr>
          <w:rFonts w:ascii="Arial" w:hAnsi="Arial" w:cs="Arial"/>
          <w:sz w:val="18"/>
          <w:szCs w:val="18"/>
        </w:rPr>
      </w:pPr>
    </w:p>
    <w:p w:rsidR="002C5025" w:rsidRDefault="00FB027C">
      <w:pPr>
        <w:pStyle w:val="BodyText"/>
        <w:kinsoku w:val="0"/>
        <w:overflowPunct w:val="0"/>
        <w:spacing w:before="153" w:line="285" w:lineRule="auto"/>
        <w:ind w:left="130" w:right="2162" w:firstLine="7"/>
        <w:rPr>
          <w:rFonts w:ascii="Times New Roman" w:hAnsi="Times New Roman" w:cs="Times New Roman"/>
        </w:rPr>
      </w:pPr>
      <w:r>
        <w:rPr>
          <w:noProof/>
        </w:rPr>
        <mc:AlternateContent>
          <mc:Choice Requires="wps">
            <w:drawing>
              <wp:anchor distT="0" distB="0" distL="114300" distR="114300" simplePos="0" relativeHeight="251824640" behindDoc="0" locked="0" layoutInCell="0" allowOverlap="1">
                <wp:simplePos x="0" y="0"/>
                <wp:positionH relativeFrom="page">
                  <wp:posOffset>7767955</wp:posOffset>
                </wp:positionH>
                <wp:positionV relativeFrom="paragraph">
                  <wp:posOffset>138430</wp:posOffset>
                </wp:positionV>
                <wp:extent cx="12700" cy="1397000"/>
                <wp:effectExtent l="0" t="0" r="0" b="0"/>
                <wp:wrapNone/>
                <wp:docPr id="232" name="Freeform 8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397000"/>
                        </a:xfrm>
                        <a:custGeom>
                          <a:avLst/>
                          <a:gdLst>
                            <a:gd name="T0" fmla="*/ 0 w 20"/>
                            <a:gd name="T1" fmla="*/ 2200 h 2200"/>
                            <a:gd name="T2" fmla="*/ 0 w 20"/>
                            <a:gd name="T3" fmla="*/ 0 h 2200"/>
                          </a:gdLst>
                          <a:ahLst/>
                          <a:cxnLst>
                            <a:cxn ang="0">
                              <a:pos x="T0" y="T1"/>
                            </a:cxn>
                            <a:cxn ang="0">
                              <a:pos x="T2" y="T3"/>
                            </a:cxn>
                          </a:cxnLst>
                          <a:rect l="0" t="0" r="r" b="b"/>
                          <a:pathLst>
                            <a:path w="20" h="2200">
                              <a:moveTo>
                                <a:pt x="0" y="2200"/>
                              </a:moveTo>
                              <a:lnTo>
                                <a:pt x="0" y="0"/>
                              </a:lnTo>
                            </a:path>
                          </a:pathLst>
                        </a:custGeom>
                        <a:noFill/>
                        <a:ln w="455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846" o:spid="_x0000_s1026" style="position:absolute;z-index:251824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11.65pt,120.9pt,611.65pt,10.9pt" coordsize="20,2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" o:allowincell="f" filled="f" strokeweight=".1266mm">
                <v:path arrowok="t" o:connecttype="custom" o:connectlocs="0,1397000;0,0" o:connectangles="0,0"/>
                <w10:wrap anchorx="page"/>
              </v:polyline>
            </w:pict>
          </mc:Fallback>
        </mc:AlternateContent>
      </w:r>
      <w:r w:rsidR="002C5025">
        <w:rPr>
          <w:rFonts w:ascii="Times New Roman" w:hAnsi="Times New Roman" w:cs="Times New Roman"/>
        </w:rPr>
        <w:t>a medical institution to an inmate in the 3-month period prior to application, if the individual would  have been Medicaid-eligible.</w:t>
      </w:r>
    </w:p>
    <w:p w:rsidR="002C5025" w:rsidRDefault="002C5025">
      <w:pPr>
        <w:pStyle w:val="BodyText"/>
        <w:kinsoku w:val="0"/>
        <w:overflowPunct w:val="0"/>
        <w:spacing w:before="195" w:line="288" w:lineRule="auto"/>
        <w:ind w:left="120" w:right="1943" w:firstLine="14"/>
        <w:rPr>
          <w:rFonts w:ascii="Times New Roman" w:hAnsi="Times New Roman" w:cs="Times New Roman"/>
        </w:rPr>
      </w:pPr>
      <w:r>
        <w:rPr>
          <w:rFonts w:ascii="Times New Roman" w:hAnsi="Times New Roman" w:cs="Times New Roman"/>
        </w:rPr>
        <w:t xml:space="preserve">We strongly encourage correctional  institutions  and other state, local, or tribal  agencies to take  an active role in preparing inmates for release by assisting or facilitating the application process prior to release. Individuals can apply for Medicaid online at </w:t>
      </w:r>
      <w:hyperlink r:id="rId594" w:history="1">
        <w:r>
          <w:rPr>
            <w:rFonts w:ascii="Times New Roman" w:hAnsi="Times New Roman" w:cs="Times New Roman"/>
            <w:u w:val="single" w:color="000000"/>
          </w:rPr>
          <w:t>www.HealthCare.gov</w:t>
        </w:r>
      </w:hyperlink>
      <w:r>
        <w:rPr>
          <w:rFonts w:ascii="Times New Roman" w:hAnsi="Times New Roman" w:cs="Times New Roman"/>
          <w:u w:val="single" w:color="000000"/>
        </w:rPr>
        <w:t xml:space="preserve">  </w:t>
      </w:r>
      <w:r>
        <w:rPr>
          <w:rFonts w:ascii="Times New Roman" w:hAnsi="Times New Roman" w:cs="Times New Roman"/>
        </w:rPr>
        <w:t xml:space="preserve">or </w:t>
      </w:r>
      <w:r w:rsidR="00344961">
        <w:rPr>
          <w:rFonts w:ascii="Times New Roman" w:hAnsi="Times New Roman" w:cs="Times New Roman"/>
          <w:spacing w:val="-9"/>
        </w:rPr>
        <w:t>th</w:t>
      </w:r>
      <w:r>
        <w:rPr>
          <w:rFonts w:ascii="Times New Roman" w:hAnsi="Times New Roman" w:cs="Times New Roman"/>
          <w:spacing w:val="-9"/>
        </w:rPr>
        <w:t xml:space="preserve">ough  </w:t>
      </w:r>
      <w:r>
        <w:rPr>
          <w:rFonts w:ascii="Times New Roman" w:hAnsi="Times New Roman" w:cs="Times New Roman"/>
        </w:rPr>
        <w:t xml:space="preserve">their  state Medicaid  agency or state-based  Marketplace.   </w:t>
      </w:r>
      <w:r>
        <w:rPr>
          <w:rFonts w:ascii="Arial" w:hAnsi="Arial" w:cs="Arial"/>
        </w:rPr>
        <w:t xml:space="preserve">If </w:t>
      </w:r>
      <w:r>
        <w:rPr>
          <w:rFonts w:ascii="Times New Roman" w:hAnsi="Times New Roman" w:cs="Times New Roman"/>
        </w:rPr>
        <w:t>restrictions  on internet  access make it impossible or impractical for an inmate to file an online application, then a paper application  may be used. A telephone  application  is another option;  individuals may call the Marketplace  call center at 1-800-318-2596 to apply 24 hours a day, 7 days a week. Correctional  institutions  and other entities should coordinate with their state Medicaid agencies in order to receive paper copies of forms. In accordance with fe</w:t>
      </w:r>
      <w:r w:rsidR="00344961">
        <w:rPr>
          <w:rFonts w:ascii="Times New Roman" w:hAnsi="Times New Roman" w:cs="Times New Roman"/>
        </w:rPr>
        <w:t>deral regulations governing Medi</w:t>
      </w:r>
      <w:r>
        <w:rPr>
          <w:rFonts w:ascii="Times New Roman" w:hAnsi="Times New Roman" w:cs="Times New Roman"/>
        </w:rPr>
        <w:t xml:space="preserve">caid applications at 42 CFR 435.907, state Medicaid agencies must  accept applications that are submitted  online,  through the mail, or by </w:t>
      </w:r>
      <w:r>
        <w:rPr>
          <w:rFonts w:ascii="Times New Roman" w:hAnsi="Times New Roman" w:cs="Times New Roman"/>
          <w:spacing w:val="37"/>
        </w:rPr>
        <w:t xml:space="preserve"> </w:t>
      </w:r>
      <w:r>
        <w:rPr>
          <w:rFonts w:ascii="Times New Roman" w:hAnsi="Times New Roman" w:cs="Times New Roman"/>
        </w:rPr>
        <w:t>phone.</w:t>
      </w:r>
    </w:p>
    <w:p w:rsidR="002C5025" w:rsidRDefault="002C5025">
      <w:pPr>
        <w:pStyle w:val="BodyText"/>
        <w:kinsoku w:val="0"/>
        <w:overflowPunct w:val="0"/>
        <w:spacing w:before="9"/>
        <w:rPr>
          <w:rFonts w:ascii="Times New Roman" w:hAnsi="Times New Roman" w:cs="Times New Roman"/>
          <w:sz w:val="17"/>
          <w:szCs w:val="17"/>
        </w:rPr>
      </w:pPr>
    </w:p>
    <w:p w:rsidR="002C5025" w:rsidRDefault="002C5025">
      <w:pPr>
        <w:pStyle w:val="BodyText"/>
        <w:kinsoku w:val="0"/>
        <w:overflowPunct w:val="0"/>
        <w:spacing w:line="288" w:lineRule="auto"/>
        <w:ind w:left="120" w:right="2162" w:firstLine="14"/>
        <w:rPr>
          <w:rFonts w:ascii="Times New Roman" w:hAnsi="Times New Roman" w:cs="Times New Roman"/>
        </w:rPr>
      </w:pPr>
      <w:r>
        <w:rPr>
          <w:rFonts w:ascii="Times New Roman" w:hAnsi="Times New Roman" w:cs="Times New Roman"/>
        </w:rPr>
        <w:t>We also support correctional institutions' efforts to transfer medical records to new primary  care, mental health providers, substance use treatment providers, other specialists, and other providers to ensure continuity of care, including electronic means of maintaining  and transferring such records. Various types of financial match ar</w:t>
      </w:r>
      <w:r w:rsidR="00344961">
        <w:rPr>
          <w:rFonts w:ascii="Times New Roman" w:hAnsi="Times New Roman" w:cs="Times New Roman"/>
        </w:rPr>
        <w:t>e available for states to suppor</w:t>
      </w:r>
      <w:r>
        <w:rPr>
          <w:rFonts w:ascii="Times New Roman" w:hAnsi="Times New Roman" w:cs="Times New Roman"/>
        </w:rPr>
        <w:t>t these activities. In addition, federal Medicaid matching funds are available for application assistance and  eligibility  determination,  assuming  all other qualifications  are</w:t>
      </w:r>
      <w:r>
        <w:rPr>
          <w:rFonts w:ascii="Times New Roman" w:hAnsi="Times New Roman" w:cs="Times New Roman"/>
          <w:spacing w:val="-28"/>
        </w:rPr>
        <w:t xml:space="preserve"> </w:t>
      </w:r>
      <w:r>
        <w:rPr>
          <w:rFonts w:ascii="Times New Roman" w:hAnsi="Times New Roman" w:cs="Times New Roman"/>
        </w:rPr>
        <w:t>met.</w:t>
      </w:r>
    </w:p>
    <w:p w:rsidR="002C5025" w:rsidRDefault="002C5025">
      <w:pPr>
        <w:pStyle w:val="BodyText"/>
        <w:kinsoku w:val="0"/>
        <w:overflowPunct w:val="0"/>
        <w:spacing w:before="193" w:line="280" w:lineRule="auto"/>
        <w:ind w:left="130" w:right="1544" w:firstLine="7"/>
        <w:rPr>
          <w:rFonts w:ascii="Times New Roman" w:hAnsi="Times New Roman" w:cs="Times New Roman"/>
          <w:i/>
          <w:iCs/>
          <w:sz w:val="23"/>
          <w:szCs w:val="23"/>
        </w:rPr>
      </w:pPr>
      <w:proofErr w:type="spellStart"/>
      <w:r>
        <w:rPr>
          <w:rFonts w:ascii="Times New Roman" w:hAnsi="Times New Roman" w:cs="Times New Roman"/>
          <w:sz w:val="23"/>
          <w:szCs w:val="23"/>
        </w:rPr>
        <w:t>Qll</w:t>
      </w:r>
      <w:proofErr w:type="spellEnd"/>
      <w:r>
        <w:rPr>
          <w:rFonts w:ascii="Times New Roman" w:hAnsi="Times New Roman" w:cs="Times New Roman"/>
          <w:sz w:val="23"/>
          <w:szCs w:val="23"/>
        </w:rPr>
        <w:t xml:space="preserve">. </w:t>
      </w:r>
      <w:r>
        <w:rPr>
          <w:rFonts w:ascii="Times New Roman" w:hAnsi="Times New Roman" w:cs="Times New Roman"/>
          <w:u w:val="thick" w:color="000000"/>
        </w:rPr>
        <w:t xml:space="preserve">Financial Eligibility: </w:t>
      </w:r>
      <w:r>
        <w:rPr>
          <w:rFonts w:ascii="Times New Roman" w:hAnsi="Times New Roman" w:cs="Times New Roman"/>
          <w:i/>
          <w:iCs/>
          <w:sz w:val="23"/>
          <w:szCs w:val="23"/>
        </w:rPr>
        <w:t>How does incarceration affect a Medicaid-enrolled individual's household income?</w:t>
      </w:r>
    </w:p>
    <w:p w:rsidR="002C5025" w:rsidRDefault="002C5025">
      <w:pPr>
        <w:pStyle w:val="BodyText"/>
        <w:kinsoku w:val="0"/>
        <w:overflowPunct w:val="0"/>
        <w:spacing w:before="182" w:line="285" w:lineRule="auto"/>
        <w:ind w:left="120" w:right="1736" w:firstLine="7"/>
        <w:rPr>
          <w:rFonts w:ascii="Times New Roman" w:hAnsi="Times New Roman" w:cs="Times New Roman"/>
          <w:w w:val="105"/>
        </w:rPr>
      </w:pPr>
      <w:r>
        <w:rPr>
          <w:rFonts w:ascii="Times New Roman" w:hAnsi="Times New Roman" w:cs="Times New Roman"/>
          <w:w w:val="105"/>
          <w:sz w:val="23"/>
          <w:szCs w:val="23"/>
        </w:rPr>
        <w:t xml:space="preserve">All. </w:t>
      </w:r>
      <w:r>
        <w:rPr>
          <w:rFonts w:ascii="Times New Roman" w:hAnsi="Times New Roman" w:cs="Times New Roman"/>
          <w:w w:val="105"/>
        </w:rPr>
        <w:t xml:space="preserve">The effect of incarceration on an individual's financial eligibility for Medicaid depends on the individual's circumstances. For most individuals, financial eligibility is determined using modified adjusted gross income (MAGI), which is generally based on tax filing relationships and taxable income. There are no special rules or exceptions for incarcerated individuals. </w:t>
      </w:r>
      <w:r>
        <w:rPr>
          <w:rFonts w:ascii="Arial" w:hAnsi="Arial" w:cs="Arial"/>
          <w:w w:val="105"/>
        </w:rPr>
        <w:t>If</w:t>
      </w:r>
      <w:r w:rsidR="00344961">
        <w:rPr>
          <w:rFonts w:ascii="Arial" w:hAnsi="Arial" w:cs="Arial"/>
          <w:w w:val="105"/>
        </w:rPr>
        <w:t xml:space="preserve"> </w:t>
      </w:r>
      <w:r>
        <w:rPr>
          <w:rFonts w:ascii="Times New Roman" w:hAnsi="Times New Roman" w:cs="Times New Roman"/>
          <w:w w:val="105"/>
        </w:rPr>
        <w:t>the incarcerated individual does not expect to file taxes, then Medicaid financial eligibility would</w:t>
      </w:r>
    </w:p>
    <w:p w:rsidR="002C5025" w:rsidRDefault="002C5025">
      <w:pPr>
        <w:pStyle w:val="BodyText"/>
        <w:tabs>
          <w:tab w:val="left" w:pos="4748"/>
        </w:tabs>
        <w:kinsoku w:val="0"/>
        <w:overflowPunct w:val="0"/>
        <w:spacing w:before="10"/>
        <w:ind w:left="137"/>
        <w:rPr>
          <w:rFonts w:ascii="Times New Roman" w:hAnsi="Times New Roman" w:cs="Times New Roman"/>
        </w:rPr>
      </w:pPr>
      <w:r>
        <w:rPr>
          <w:rFonts w:ascii="Times New Roman" w:hAnsi="Times New Roman" w:cs="Times New Roman"/>
        </w:rPr>
        <w:t xml:space="preserve">be based  solely on the income of </w:t>
      </w:r>
      <w:r>
        <w:rPr>
          <w:rFonts w:ascii="Times New Roman" w:hAnsi="Times New Roman" w:cs="Times New Roman"/>
          <w:spacing w:val="8"/>
        </w:rPr>
        <w:t xml:space="preserve"> </w:t>
      </w:r>
      <w:r>
        <w:rPr>
          <w:rFonts w:ascii="Times New Roman" w:hAnsi="Times New Roman" w:cs="Times New Roman"/>
        </w:rPr>
        <w:t>the</w:t>
      </w:r>
      <w:r>
        <w:rPr>
          <w:rFonts w:ascii="Times New Roman" w:hAnsi="Times New Roman" w:cs="Times New Roman"/>
          <w:spacing w:val="16"/>
        </w:rPr>
        <w:t xml:space="preserve"> </w:t>
      </w:r>
      <w:r>
        <w:rPr>
          <w:rFonts w:ascii="Times New Roman" w:hAnsi="Times New Roman" w:cs="Times New Roman"/>
        </w:rPr>
        <w:t>individual.</w:t>
      </w:r>
      <w:r>
        <w:rPr>
          <w:rFonts w:ascii="Times New Roman" w:hAnsi="Times New Roman" w:cs="Times New Roman"/>
        </w:rPr>
        <w:tab/>
        <w:t>.</w:t>
      </w:r>
    </w:p>
    <w:p w:rsidR="002C5025" w:rsidRDefault="002C5025">
      <w:pPr>
        <w:pStyle w:val="BodyText"/>
        <w:kinsoku w:val="0"/>
        <w:overflowPunct w:val="0"/>
        <w:rPr>
          <w:rFonts w:ascii="Times New Roman" w:hAnsi="Times New Roman" w:cs="Times New Roman"/>
          <w:sz w:val="21"/>
          <w:szCs w:val="21"/>
        </w:rPr>
      </w:pPr>
    </w:p>
    <w:p w:rsidR="002C5025" w:rsidRDefault="002C5025">
      <w:pPr>
        <w:pStyle w:val="BodyText"/>
        <w:tabs>
          <w:tab w:val="left" w:pos="819"/>
        </w:tabs>
        <w:kinsoku w:val="0"/>
        <w:overflowPunct w:val="0"/>
        <w:spacing w:line="271" w:lineRule="auto"/>
        <w:ind w:left="130" w:right="1958"/>
        <w:rPr>
          <w:rFonts w:ascii="Times New Roman" w:hAnsi="Times New Roman" w:cs="Times New Roman"/>
          <w:i/>
          <w:iCs/>
          <w:sz w:val="23"/>
          <w:szCs w:val="23"/>
        </w:rPr>
      </w:pPr>
      <w:bookmarkStart w:id="273" w:name="Q12._Suspended_Status:_How_should_states"/>
      <w:bookmarkEnd w:id="273"/>
      <w:r>
        <w:rPr>
          <w:rFonts w:ascii="Times New Roman" w:hAnsi="Times New Roman" w:cs="Times New Roman"/>
          <w:spacing w:val="-4"/>
          <w:sz w:val="23"/>
          <w:szCs w:val="23"/>
        </w:rPr>
        <w:t>Q12.</w:t>
      </w:r>
      <w:r>
        <w:rPr>
          <w:rFonts w:ascii="Times New Roman" w:hAnsi="Times New Roman" w:cs="Times New Roman"/>
          <w:spacing w:val="-4"/>
          <w:sz w:val="23"/>
          <w:szCs w:val="23"/>
        </w:rPr>
        <w:tab/>
      </w:r>
      <w:r>
        <w:rPr>
          <w:rFonts w:ascii="Times New Roman" w:hAnsi="Times New Roman" w:cs="Times New Roman"/>
          <w:sz w:val="23"/>
          <w:szCs w:val="23"/>
          <w:u w:val="thick" w:color="000000"/>
        </w:rPr>
        <w:t xml:space="preserve">Suspended  Status: </w:t>
      </w:r>
      <w:r>
        <w:rPr>
          <w:rFonts w:ascii="Times New Roman" w:hAnsi="Times New Roman" w:cs="Times New Roman"/>
          <w:i/>
          <w:iCs/>
          <w:sz w:val="23"/>
          <w:szCs w:val="23"/>
        </w:rPr>
        <w:t>How should  states handle the situation  when</w:t>
      </w:r>
      <w:r>
        <w:rPr>
          <w:rFonts w:ascii="Times New Roman" w:hAnsi="Times New Roman" w:cs="Times New Roman"/>
          <w:i/>
          <w:iCs/>
          <w:spacing w:val="-5"/>
          <w:sz w:val="23"/>
          <w:szCs w:val="23"/>
        </w:rPr>
        <w:t xml:space="preserve"> </w:t>
      </w:r>
      <w:r>
        <w:rPr>
          <w:rFonts w:ascii="Times New Roman" w:hAnsi="Times New Roman" w:cs="Times New Roman"/>
          <w:i/>
          <w:iCs/>
          <w:sz w:val="23"/>
          <w:szCs w:val="23"/>
        </w:rPr>
        <w:t>a</w:t>
      </w:r>
      <w:r>
        <w:rPr>
          <w:rFonts w:ascii="Times New Roman" w:hAnsi="Times New Roman" w:cs="Times New Roman"/>
          <w:i/>
          <w:iCs/>
          <w:spacing w:val="-9"/>
          <w:sz w:val="23"/>
          <w:szCs w:val="23"/>
        </w:rPr>
        <w:t xml:space="preserve"> </w:t>
      </w:r>
      <w:r>
        <w:rPr>
          <w:rFonts w:ascii="Times New Roman" w:hAnsi="Times New Roman" w:cs="Times New Roman"/>
          <w:i/>
          <w:iCs/>
          <w:sz w:val="23"/>
          <w:szCs w:val="23"/>
        </w:rPr>
        <w:t>Medicaid-enrolled individual is or becomes</w:t>
      </w:r>
      <w:r>
        <w:rPr>
          <w:rFonts w:ascii="Times New Roman" w:hAnsi="Times New Roman" w:cs="Times New Roman"/>
          <w:i/>
          <w:iCs/>
          <w:spacing w:val="-7"/>
          <w:sz w:val="23"/>
          <w:szCs w:val="23"/>
        </w:rPr>
        <w:t xml:space="preserve"> </w:t>
      </w:r>
      <w:r>
        <w:rPr>
          <w:rFonts w:ascii="Times New Roman" w:hAnsi="Times New Roman" w:cs="Times New Roman"/>
          <w:i/>
          <w:iCs/>
          <w:sz w:val="23"/>
          <w:szCs w:val="23"/>
        </w:rPr>
        <w:t>incarcerated?</w:t>
      </w:r>
    </w:p>
    <w:p w:rsidR="002C5025" w:rsidRDefault="002C5025">
      <w:pPr>
        <w:pStyle w:val="BodyText"/>
        <w:kinsoku w:val="0"/>
        <w:overflowPunct w:val="0"/>
        <w:spacing w:before="6"/>
        <w:rPr>
          <w:rFonts w:ascii="Times New Roman" w:hAnsi="Times New Roman" w:cs="Times New Roman"/>
          <w:i/>
          <w:iCs/>
          <w:sz w:val="17"/>
          <w:szCs w:val="17"/>
        </w:rPr>
      </w:pPr>
    </w:p>
    <w:p w:rsidR="002C5025" w:rsidRDefault="002C5025">
      <w:pPr>
        <w:pStyle w:val="BodyText"/>
        <w:tabs>
          <w:tab w:val="left" w:pos="819"/>
        </w:tabs>
        <w:kinsoku w:val="0"/>
        <w:overflowPunct w:val="0"/>
        <w:spacing w:line="288" w:lineRule="auto"/>
        <w:ind w:left="130" w:right="1904"/>
        <w:rPr>
          <w:rFonts w:ascii="Times New Roman" w:hAnsi="Times New Roman" w:cs="Times New Roman"/>
        </w:rPr>
      </w:pPr>
      <w:r>
        <w:rPr>
          <w:rFonts w:ascii="Times New Roman" w:hAnsi="Times New Roman" w:cs="Times New Roman"/>
          <w:sz w:val="23"/>
          <w:szCs w:val="23"/>
        </w:rPr>
        <w:t>A12.</w:t>
      </w:r>
      <w:r>
        <w:rPr>
          <w:rFonts w:ascii="Times New Roman" w:hAnsi="Times New Roman" w:cs="Times New Roman"/>
          <w:sz w:val="23"/>
          <w:szCs w:val="23"/>
        </w:rPr>
        <w:tab/>
      </w:r>
      <w:r>
        <w:rPr>
          <w:rFonts w:ascii="Times New Roman" w:hAnsi="Times New Roman" w:cs="Times New Roman"/>
        </w:rPr>
        <w:t xml:space="preserve">To ensure that FFP is only claimed  for Medicaid-covered  inpatient services  </w:t>
      </w:r>
      <w:r>
        <w:rPr>
          <w:rFonts w:ascii="Times New Roman" w:hAnsi="Times New Roman" w:cs="Times New Roman"/>
          <w:spacing w:val="25"/>
        </w:rPr>
        <w:t xml:space="preserve"> </w:t>
      </w:r>
      <w:r>
        <w:rPr>
          <w:rFonts w:ascii="Times New Roman" w:hAnsi="Times New Roman" w:cs="Times New Roman"/>
        </w:rPr>
        <w:t>delivered</w:t>
      </w:r>
      <w:r>
        <w:rPr>
          <w:rFonts w:ascii="Times New Roman" w:hAnsi="Times New Roman" w:cs="Times New Roman"/>
          <w:spacing w:val="30"/>
        </w:rPr>
        <w:t xml:space="preserve"> </w:t>
      </w:r>
      <w:r>
        <w:rPr>
          <w:rFonts w:ascii="Times New Roman" w:hAnsi="Times New Roman" w:cs="Times New Roman"/>
        </w:rPr>
        <w:t>to</w:t>
      </w:r>
      <w:r>
        <w:rPr>
          <w:rFonts w:ascii="Times New Roman" w:hAnsi="Times New Roman" w:cs="Times New Roman"/>
          <w:spacing w:val="1"/>
        </w:rPr>
        <w:t xml:space="preserve"> </w:t>
      </w:r>
      <w:r>
        <w:rPr>
          <w:rFonts w:ascii="Times New Roman" w:hAnsi="Times New Roman" w:cs="Times New Roman"/>
        </w:rPr>
        <w:t xml:space="preserve">inmates in a medical institution, states should consider placing the eligibility of a Medicaid- enrolled inmate in a suspended status upon incarceration and/or setting up claims processing markers and edits to ensure that services are limited to only inpatient services.  Other methods  may also be used to accomplish the same result (suspending coverage instead of eligibility). A temporary suspension process  maintains  the individual 's eligibility for Medicaid  and provides for continuity  of care so that the individual  can  immediately  access Medicaid-covered </w:t>
      </w:r>
      <w:r>
        <w:rPr>
          <w:rFonts w:ascii="Times New Roman" w:hAnsi="Times New Roman" w:cs="Times New Roman"/>
          <w:spacing w:val="20"/>
        </w:rPr>
        <w:t xml:space="preserve"> </w:t>
      </w:r>
      <w:r>
        <w:rPr>
          <w:rFonts w:ascii="Times New Roman" w:hAnsi="Times New Roman" w:cs="Times New Roman"/>
        </w:rPr>
        <w:t>services</w:t>
      </w:r>
    </w:p>
    <w:p w:rsidR="002C5025" w:rsidRDefault="002C5025">
      <w:pPr>
        <w:pStyle w:val="BodyText"/>
        <w:tabs>
          <w:tab w:val="left" w:pos="819"/>
        </w:tabs>
        <w:kinsoku w:val="0"/>
        <w:overflowPunct w:val="0"/>
        <w:spacing w:line="288" w:lineRule="auto"/>
        <w:ind w:left="130" w:right="1904"/>
        <w:rPr>
          <w:rFonts w:ascii="Times New Roman" w:hAnsi="Times New Roman" w:cs="Times New Roman"/>
        </w:rPr>
        <w:sectPr w:rsidR="002C5025">
          <w:pgSz w:w="12240" w:h="15840"/>
          <w:pgMar w:top="200" w:right="0" w:bottom="280" w:left="1480" w:header="720" w:footer="720" w:gutter="0"/>
          <w:cols w:space="720" w:equalWidth="0">
            <w:col w:w="10760"/>
          </w:cols>
          <w:noEndnote/>
        </w:sectPr>
      </w:pPr>
    </w:p>
    <w:p w:rsidR="002C5025" w:rsidRDefault="00FB027C">
      <w:pPr>
        <w:pStyle w:val="BodyText"/>
        <w:kinsoku w:val="0"/>
        <w:overflowPunct w:val="0"/>
        <w:spacing w:before="46"/>
        <w:ind w:left="131" w:right="1625"/>
        <w:rPr>
          <w:rFonts w:ascii="Arial" w:hAnsi="Arial" w:cs="Arial"/>
          <w:w w:val="105"/>
          <w:sz w:val="19"/>
          <w:szCs w:val="19"/>
        </w:rPr>
      </w:pPr>
      <w:r>
        <w:rPr>
          <w:noProof/>
        </w:rPr>
        <w:lastRenderedPageBreak/>
        <mc:AlternateContent>
          <mc:Choice Requires="wps">
            <w:drawing>
              <wp:anchor distT="0" distB="0" distL="114300" distR="114300" simplePos="0" relativeHeight="251825664" behindDoc="0" locked="0" layoutInCell="0" allowOverlap="1">
                <wp:simplePos x="0" y="0"/>
                <wp:positionH relativeFrom="page">
                  <wp:posOffset>7769225</wp:posOffset>
                </wp:positionH>
                <wp:positionV relativeFrom="paragraph">
                  <wp:posOffset>18415</wp:posOffset>
                </wp:positionV>
                <wp:extent cx="12700" cy="818515"/>
                <wp:effectExtent l="0" t="0" r="0" b="0"/>
                <wp:wrapNone/>
                <wp:docPr id="230" name="Freeform 8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818515"/>
                        </a:xfrm>
                        <a:custGeom>
                          <a:avLst/>
                          <a:gdLst>
                            <a:gd name="T0" fmla="*/ 0 w 20"/>
                            <a:gd name="T1" fmla="*/ 1289 h 1289"/>
                            <a:gd name="T2" fmla="*/ 0 w 20"/>
                            <a:gd name="T3" fmla="*/ 0 h 1289"/>
                          </a:gdLst>
                          <a:ahLst/>
                          <a:cxnLst>
                            <a:cxn ang="0">
                              <a:pos x="T0" y="T1"/>
                            </a:cxn>
                            <a:cxn ang="0">
                              <a:pos x="T2" y="T3"/>
                            </a:cxn>
                          </a:cxnLst>
                          <a:rect l="0" t="0" r="r" b="b"/>
                          <a:pathLst>
                            <a:path w="20" h="1289">
                              <a:moveTo>
                                <a:pt x="0" y="1289"/>
                              </a:moveTo>
                              <a:lnTo>
                                <a:pt x="0"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847" o:spid="_x0000_s1026" style="position:absolute;z-index:251825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11.75pt,65.9pt,611.75pt,1.45pt" coordsize="20,1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" o:allowincell="f" filled="f" strokeweight=".36pt">
                <v:path arrowok="t" o:connecttype="custom" o:connectlocs="0,818515;0,0" o:connectangles="0,0"/>
                <w10:wrap anchorx="page"/>
              </v:polyline>
            </w:pict>
          </mc:Fallback>
        </mc:AlternateContent>
      </w:r>
      <w:r w:rsidR="002C5025">
        <w:rPr>
          <w:rFonts w:ascii="Arial" w:hAnsi="Arial" w:cs="Arial"/>
          <w:w w:val="105"/>
          <w:sz w:val="19"/>
          <w:szCs w:val="19"/>
        </w:rPr>
        <w:t>Page 8 - State Health Official and State Medicaid Director</w:t>
      </w:r>
    </w:p>
    <w:p w:rsidR="002C5025" w:rsidRDefault="002C5025">
      <w:pPr>
        <w:pStyle w:val="BodyText"/>
        <w:kinsoku w:val="0"/>
        <w:overflowPunct w:val="0"/>
        <w:rPr>
          <w:rFonts w:ascii="Arial" w:hAnsi="Arial" w:cs="Arial"/>
          <w:sz w:val="18"/>
          <w:szCs w:val="18"/>
        </w:rPr>
      </w:pPr>
    </w:p>
    <w:p w:rsidR="002C5025" w:rsidRDefault="002C5025">
      <w:pPr>
        <w:pStyle w:val="BodyText"/>
        <w:kinsoku w:val="0"/>
        <w:overflowPunct w:val="0"/>
        <w:rPr>
          <w:rFonts w:ascii="Arial" w:hAnsi="Arial" w:cs="Arial"/>
          <w:sz w:val="18"/>
          <w:szCs w:val="18"/>
        </w:rPr>
      </w:pPr>
    </w:p>
    <w:p w:rsidR="002C5025" w:rsidRDefault="002C5025">
      <w:pPr>
        <w:pStyle w:val="BodyText"/>
        <w:kinsoku w:val="0"/>
        <w:overflowPunct w:val="0"/>
        <w:rPr>
          <w:rFonts w:ascii="Arial" w:hAnsi="Arial" w:cs="Arial"/>
          <w:sz w:val="18"/>
          <w:szCs w:val="18"/>
        </w:rPr>
      </w:pPr>
    </w:p>
    <w:p w:rsidR="002C5025" w:rsidRDefault="002C5025">
      <w:pPr>
        <w:pStyle w:val="BodyText"/>
        <w:kinsoku w:val="0"/>
        <w:overflowPunct w:val="0"/>
        <w:spacing w:before="146" w:line="288" w:lineRule="auto"/>
        <w:ind w:left="124" w:right="1895"/>
        <w:rPr>
          <w:rFonts w:ascii="Times New Roman" w:hAnsi="Times New Roman" w:cs="Times New Roman"/>
        </w:rPr>
      </w:pPr>
      <w:r>
        <w:rPr>
          <w:rFonts w:ascii="Times New Roman" w:hAnsi="Times New Roman" w:cs="Times New Roman"/>
        </w:rPr>
        <w:t>upon release from the facility.  Whatever  approach  is used, the suspension  must be promptly lifted when the inmate exclusion no longer applies (e.g., upon release, or when the individual is admitted as a patient for inpatient treatment in a medical institution). Establishing proactive communication processes between the state Medicaid agency and state and local correctional facilities can help to ensure prompt  notification  of release  and timely  access to  coverage.</w:t>
      </w:r>
    </w:p>
    <w:p w:rsidR="002C5025" w:rsidRDefault="002C5025">
      <w:pPr>
        <w:pStyle w:val="BodyText"/>
        <w:tabs>
          <w:tab w:val="left" w:pos="822"/>
        </w:tabs>
        <w:kinsoku w:val="0"/>
        <w:overflowPunct w:val="0"/>
        <w:spacing w:before="193" w:line="278" w:lineRule="auto"/>
        <w:ind w:left="114" w:right="1895" w:firstLine="14"/>
        <w:rPr>
          <w:rFonts w:ascii="Times New Roman" w:hAnsi="Times New Roman" w:cs="Times New Roman"/>
          <w:i/>
          <w:iCs/>
          <w:sz w:val="23"/>
          <w:szCs w:val="23"/>
        </w:rPr>
      </w:pPr>
      <w:bookmarkStart w:id="274" w:name="Q13._Feasibility_of_Suspended_Status:_Is"/>
      <w:bookmarkEnd w:id="274"/>
      <w:r>
        <w:rPr>
          <w:rFonts w:ascii="Times New Roman" w:hAnsi="Times New Roman" w:cs="Times New Roman"/>
          <w:sz w:val="23"/>
          <w:szCs w:val="23"/>
        </w:rPr>
        <w:t>Q13.</w:t>
      </w:r>
      <w:r>
        <w:rPr>
          <w:rFonts w:ascii="Times New Roman" w:hAnsi="Times New Roman" w:cs="Times New Roman"/>
          <w:sz w:val="23"/>
          <w:szCs w:val="23"/>
        </w:rPr>
        <w:tab/>
        <w:t xml:space="preserve">Feasibility of Suspended  Status: </w:t>
      </w:r>
      <w:r>
        <w:rPr>
          <w:rFonts w:ascii="Times New Roman" w:hAnsi="Times New Roman" w:cs="Times New Roman"/>
          <w:i/>
          <w:iCs/>
          <w:sz w:val="23"/>
          <w:szCs w:val="23"/>
        </w:rPr>
        <w:t>Is it</w:t>
      </w:r>
      <w:r w:rsidR="00344961">
        <w:rPr>
          <w:rFonts w:ascii="Times New Roman" w:hAnsi="Times New Roman" w:cs="Times New Roman"/>
          <w:i/>
          <w:iCs/>
          <w:sz w:val="23"/>
          <w:szCs w:val="23"/>
        </w:rPr>
        <w:t xml:space="preserve"> </w:t>
      </w:r>
      <w:r>
        <w:rPr>
          <w:rFonts w:ascii="Times New Roman" w:hAnsi="Times New Roman" w:cs="Times New Roman"/>
          <w:i/>
          <w:iCs/>
          <w:sz w:val="23"/>
          <w:szCs w:val="23"/>
        </w:rPr>
        <w:t xml:space="preserve">feasible for  states' </w:t>
      </w:r>
      <w:r>
        <w:rPr>
          <w:rFonts w:ascii="Times New Roman" w:hAnsi="Times New Roman" w:cs="Times New Roman"/>
          <w:i/>
          <w:iCs/>
          <w:spacing w:val="41"/>
          <w:sz w:val="23"/>
          <w:szCs w:val="23"/>
        </w:rPr>
        <w:t xml:space="preserve"> </w:t>
      </w:r>
      <w:r>
        <w:rPr>
          <w:rFonts w:ascii="Times New Roman" w:hAnsi="Times New Roman" w:cs="Times New Roman"/>
          <w:i/>
          <w:iCs/>
          <w:sz w:val="23"/>
          <w:szCs w:val="23"/>
        </w:rPr>
        <w:t>eligibility</w:t>
      </w:r>
      <w:r>
        <w:rPr>
          <w:rFonts w:ascii="Times New Roman" w:hAnsi="Times New Roman" w:cs="Times New Roman"/>
          <w:i/>
          <w:iCs/>
          <w:spacing w:val="25"/>
          <w:sz w:val="23"/>
          <w:szCs w:val="23"/>
        </w:rPr>
        <w:t xml:space="preserve"> </w:t>
      </w:r>
      <w:r>
        <w:rPr>
          <w:rFonts w:ascii="Times New Roman" w:hAnsi="Times New Roman" w:cs="Times New Roman"/>
          <w:i/>
          <w:iCs/>
          <w:sz w:val="23"/>
          <w:szCs w:val="23"/>
        </w:rPr>
        <w:t xml:space="preserve">determination systems to accommodate a suspension process when a Medicaid-eligible individual is incarcerated? Are there resources available to support modernizing states' eligibility systems, to </w:t>
      </w:r>
      <w:r>
        <w:rPr>
          <w:rFonts w:ascii="Times New Roman" w:hAnsi="Times New Roman" w:cs="Times New Roman"/>
          <w:i/>
          <w:iCs/>
          <w:spacing w:val="3"/>
          <w:sz w:val="23"/>
          <w:szCs w:val="23"/>
        </w:rPr>
        <w:t>allow</w:t>
      </w:r>
      <w:r w:rsidR="00344961">
        <w:rPr>
          <w:rFonts w:ascii="Times New Roman" w:hAnsi="Times New Roman" w:cs="Times New Roman"/>
          <w:i/>
          <w:iCs/>
          <w:spacing w:val="3"/>
          <w:sz w:val="23"/>
          <w:szCs w:val="23"/>
        </w:rPr>
        <w:t xml:space="preserve"> </w:t>
      </w:r>
      <w:r>
        <w:rPr>
          <w:rFonts w:ascii="Times New Roman" w:hAnsi="Times New Roman" w:cs="Times New Roman"/>
          <w:i/>
          <w:iCs/>
          <w:spacing w:val="3"/>
          <w:sz w:val="23"/>
          <w:szCs w:val="23"/>
        </w:rPr>
        <w:t xml:space="preserve">for  </w:t>
      </w:r>
      <w:r>
        <w:rPr>
          <w:rFonts w:ascii="Times New Roman" w:hAnsi="Times New Roman" w:cs="Times New Roman"/>
          <w:i/>
          <w:iCs/>
          <w:sz w:val="23"/>
          <w:szCs w:val="23"/>
        </w:rPr>
        <w:t>suspended enrollment</w:t>
      </w:r>
      <w:r>
        <w:rPr>
          <w:rFonts w:ascii="Times New Roman" w:hAnsi="Times New Roman" w:cs="Times New Roman"/>
          <w:i/>
          <w:iCs/>
          <w:spacing w:val="15"/>
          <w:sz w:val="23"/>
          <w:szCs w:val="23"/>
        </w:rPr>
        <w:t xml:space="preserve"> </w:t>
      </w:r>
      <w:r>
        <w:rPr>
          <w:rFonts w:ascii="Times New Roman" w:hAnsi="Times New Roman" w:cs="Times New Roman"/>
          <w:i/>
          <w:iCs/>
          <w:sz w:val="23"/>
          <w:szCs w:val="23"/>
        </w:rPr>
        <w:t>status?</w:t>
      </w:r>
    </w:p>
    <w:p w:rsidR="002C5025" w:rsidRDefault="002C5025">
      <w:pPr>
        <w:pStyle w:val="BodyText"/>
        <w:tabs>
          <w:tab w:val="left" w:pos="827"/>
        </w:tabs>
        <w:kinsoku w:val="0"/>
        <w:overflowPunct w:val="0"/>
        <w:spacing w:before="184" w:line="290" w:lineRule="auto"/>
        <w:ind w:left="123" w:right="1857" w:firstLine="1"/>
        <w:rPr>
          <w:rFonts w:ascii="Times New Roman" w:hAnsi="Times New Roman" w:cs="Times New Roman"/>
        </w:rPr>
      </w:pPr>
      <w:r>
        <w:rPr>
          <w:rFonts w:ascii="Times New Roman" w:hAnsi="Times New Roman" w:cs="Times New Roman"/>
          <w:spacing w:val="-3"/>
          <w:sz w:val="23"/>
          <w:szCs w:val="23"/>
        </w:rPr>
        <w:t>A13.</w:t>
      </w:r>
      <w:r>
        <w:rPr>
          <w:rFonts w:ascii="Times New Roman" w:hAnsi="Times New Roman" w:cs="Times New Roman"/>
          <w:spacing w:val="-3"/>
          <w:sz w:val="23"/>
          <w:szCs w:val="23"/>
        </w:rPr>
        <w:tab/>
      </w:r>
      <w:r>
        <w:rPr>
          <w:rFonts w:ascii="Times New Roman" w:hAnsi="Times New Roman" w:cs="Times New Roman"/>
        </w:rPr>
        <w:t xml:space="preserve">Yes for both.   While some states have  a history of suspending eligibility  </w:t>
      </w:r>
      <w:r>
        <w:rPr>
          <w:rFonts w:ascii="Times New Roman" w:hAnsi="Times New Roman" w:cs="Times New Roman"/>
          <w:spacing w:val="40"/>
        </w:rPr>
        <w:t xml:space="preserve"> </w:t>
      </w:r>
      <w:r>
        <w:rPr>
          <w:rFonts w:ascii="Times New Roman" w:hAnsi="Times New Roman" w:cs="Times New Roman"/>
        </w:rPr>
        <w:t>for</w:t>
      </w:r>
      <w:r>
        <w:rPr>
          <w:rFonts w:ascii="Times New Roman" w:hAnsi="Times New Roman" w:cs="Times New Roman"/>
          <w:spacing w:val="14"/>
        </w:rPr>
        <w:t xml:space="preserve"> </w:t>
      </w:r>
      <w:r>
        <w:rPr>
          <w:rFonts w:ascii="Times New Roman" w:hAnsi="Times New Roman" w:cs="Times New Roman"/>
        </w:rPr>
        <w:t>incarcerated</w:t>
      </w:r>
      <w:r>
        <w:rPr>
          <w:rFonts w:ascii="Times New Roman" w:hAnsi="Times New Roman" w:cs="Times New Roman"/>
          <w:spacing w:val="-2"/>
        </w:rPr>
        <w:t xml:space="preserve"> </w:t>
      </w:r>
      <w:r>
        <w:rPr>
          <w:rFonts w:ascii="Times New Roman" w:hAnsi="Times New Roman" w:cs="Times New Roman"/>
        </w:rPr>
        <w:t xml:space="preserve">individuals, others have faced challenges with their legacy  eligibility  and enrollment  systems when placing Medicaid-eligible inmates in a suspended  status.  Addressing these  challenges should be possible with the availability of enhanced  federal funding for new or improved  eligibility systems, as specified in the final rule,  codified  at 42 CFR 433.112,  "Federal Funding  for Medicaid  Eligibility  </w:t>
      </w:r>
      <w:r>
        <w:rPr>
          <w:rFonts w:ascii="Times New Roman" w:hAnsi="Times New Roman" w:cs="Times New Roman"/>
          <w:spacing w:val="-5"/>
        </w:rPr>
        <w:t xml:space="preserve">Dete1mination  </w:t>
      </w:r>
      <w:r>
        <w:rPr>
          <w:rFonts w:ascii="Times New Roman" w:hAnsi="Times New Roman" w:cs="Times New Roman"/>
        </w:rPr>
        <w:t>and  Enrollment  Activities,  FR   2011-09340,"  published in April 2011</w:t>
      </w:r>
      <w:r>
        <w:rPr>
          <w:rFonts w:ascii="Times New Roman" w:hAnsi="Times New Roman" w:cs="Times New Roman"/>
          <w:spacing w:val="5"/>
        </w:rPr>
        <w:t xml:space="preserve"> </w:t>
      </w:r>
      <w:r>
        <w:rPr>
          <w:rFonts w:ascii="Times New Roman" w:hAnsi="Times New Roman" w:cs="Times New Roman"/>
        </w:rPr>
        <w:t>.</w:t>
      </w:r>
    </w:p>
    <w:p w:rsidR="002C5025" w:rsidRDefault="002C5025">
      <w:pPr>
        <w:pStyle w:val="BodyText"/>
        <w:tabs>
          <w:tab w:val="left" w:pos="822"/>
        </w:tabs>
        <w:kinsoku w:val="0"/>
        <w:overflowPunct w:val="0"/>
        <w:spacing w:before="178" w:line="280" w:lineRule="auto"/>
        <w:ind w:left="102" w:right="1854" w:firstLine="33"/>
        <w:rPr>
          <w:rFonts w:ascii="Times New Roman" w:hAnsi="Times New Roman" w:cs="Times New Roman"/>
          <w:i/>
          <w:iCs/>
          <w:sz w:val="23"/>
          <w:szCs w:val="23"/>
        </w:rPr>
      </w:pPr>
      <w:r>
        <w:rPr>
          <w:rFonts w:ascii="Times New Roman" w:hAnsi="Times New Roman" w:cs="Times New Roman"/>
          <w:spacing w:val="-4"/>
          <w:sz w:val="23"/>
          <w:szCs w:val="23"/>
        </w:rPr>
        <w:t>Q14.</w:t>
      </w:r>
      <w:r>
        <w:rPr>
          <w:rFonts w:ascii="Times New Roman" w:hAnsi="Times New Roman" w:cs="Times New Roman"/>
          <w:spacing w:val="-4"/>
          <w:sz w:val="23"/>
          <w:szCs w:val="23"/>
        </w:rPr>
        <w:tab/>
      </w:r>
      <w:r>
        <w:rPr>
          <w:rFonts w:ascii="Times New Roman" w:hAnsi="Times New Roman" w:cs="Times New Roman"/>
          <w:sz w:val="23"/>
          <w:szCs w:val="23"/>
        </w:rPr>
        <w:t xml:space="preserve">Promoting  Enrollment  to Ensure  Continuity  of Care:  </w:t>
      </w:r>
      <w:r>
        <w:rPr>
          <w:rFonts w:ascii="Times New Roman" w:hAnsi="Times New Roman" w:cs="Times New Roman"/>
          <w:i/>
          <w:iCs/>
          <w:sz w:val="23"/>
          <w:szCs w:val="23"/>
        </w:rPr>
        <w:t>What can states  do in</w:t>
      </w:r>
      <w:r>
        <w:rPr>
          <w:rFonts w:ascii="Times New Roman" w:hAnsi="Times New Roman" w:cs="Times New Roman"/>
          <w:i/>
          <w:iCs/>
          <w:spacing w:val="12"/>
          <w:sz w:val="23"/>
          <w:szCs w:val="23"/>
        </w:rPr>
        <w:t xml:space="preserve"> </w:t>
      </w:r>
      <w:r>
        <w:rPr>
          <w:rFonts w:ascii="Times New Roman" w:hAnsi="Times New Roman" w:cs="Times New Roman"/>
          <w:i/>
          <w:iCs/>
          <w:sz w:val="23"/>
          <w:szCs w:val="23"/>
        </w:rPr>
        <w:t>order</w:t>
      </w:r>
      <w:r>
        <w:rPr>
          <w:rFonts w:ascii="Times New Roman" w:hAnsi="Times New Roman" w:cs="Times New Roman"/>
          <w:i/>
          <w:iCs/>
          <w:spacing w:val="32"/>
          <w:sz w:val="23"/>
          <w:szCs w:val="23"/>
        </w:rPr>
        <w:t xml:space="preserve"> </w:t>
      </w:r>
      <w:r>
        <w:rPr>
          <w:rFonts w:ascii="Times New Roman" w:hAnsi="Times New Roman" w:cs="Times New Roman"/>
          <w:i/>
          <w:iCs/>
          <w:sz w:val="23"/>
          <w:szCs w:val="23"/>
        </w:rPr>
        <w:t>to promote  enrollment for Medicaid-eligible  individuals who are</w:t>
      </w:r>
      <w:r>
        <w:rPr>
          <w:rFonts w:ascii="Times New Roman" w:hAnsi="Times New Roman" w:cs="Times New Roman"/>
          <w:i/>
          <w:iCs/>
          <w:spacing w:val="-34"/>
          <w:sz w:val="23"/>
          <w:szCs w:val="23"/>
        </w:rPr>
        <w:t xml:space="preserve"> </w:t>
      </w:r>
      <w:r>
        <w:rPr>
          <w:rFonts w:ascii="Times New Roman" w:hAnsi="Times New Roman" w:cs="Times New Roman"/>
          <w:i/>
          <w:iCs/>
          <w:sz w:val="23"/>
          <w:szCs w:val="23"/>
        </w:rPr>
        <w:t>incarcerated?</w:t>
      </w:r>
    </w:p>
    <w:p w:rsidR="002C5025" w:rsidRDefault="002C5025">
      <w:pPr>
        <w:pStyle w:val="BodyText"/>
        <w:tabs>
          <w:tab w:val="left" w:pos="834"/>
        </w:tabs>
        <w:kinsoku w:val="0"/>
        <w:overflowPunct w:val="0"/>
        <w:spacing w:before="184" w:line="290" w:lineRule="auto"/>
        <w:ind w:left="130" w:right="1895"/>
        <w:rPr>
          <w:rFonts w:ascii="Times New Roman" w:hAnsi="Times New Roman" w:cs="Times New Roman"/>
        </w:rPr>
      </w:pPr>
      <w:r>
        <w:rPr>
          <w:rFonts w:ascii="Times New Roman" w:hAnsi="Times New Roman" w:cs="Times New Roman"/>
          <w:spacing w:val="-3"/>
          <w:sz w:val="23"/>
          <w:szCs w:val="23"/>
        </w:rPr>
        <w:t>A14.</w:t>
      </w:r>
      <w:r>
        <w:rPr>
          <w:rFonts w:ascii="Times New Roman" w:hAnsi="Times New Roman" w:cs="Times New Roman"/>
          <w:spacing w:val="-3"/>
          <w:sz w:val="23"/>
          <w:szCs w:val="23"/>
        </w:rPr>
        <w:tab/>
      </w:r>
      <w:r>
        <w:rPr>
          <w:rFonts w:ascii="Times New Roman" w:hAnsi="Times New Roman" w:cs="Times New Roman"/>
        </w:rPr>
        <w:t xml:space="preserve">State Medicaid  agencies can work with their local departments  of  </w:t>
      </w:r>
      <w:r>
        <w:rPr>
          <w:rFonts w:ascii="Times New Roman" w:hAnsi="Times New Roman" w:cs="Times New Roman"/>
          <w:spacing w:val="22"/>
        </w:rPr>
        <w:t xml:space="preserve"> </w:t>
      </w:r>
      <w:r>
        <w:rPr>
          <w:rFonts w:ascii="Times New Roman" w:hAnsi="Times New Roman" w:cs="Times New Roman"/>
        </w:rPr>
        <w:t>corrections,</w:t>
      </w:r>
      <w:r>
        <w:rPr>
          <w:rFonts w:ascii="Times New Roman" w:hAnsi="Times New Roman" w:cs="Times New Roman"/>
          <w:spacing w:val="29"/>
        </w:rPr>
        <w:t xml:space="preserve"> </w:t>
      </w:r>
      <w:r>
        <w:rPr>
          <w:rFonts w:ascii="Times New Roman" w:hAnsi="Times New Roman" w:cs="Times New Roman"/>
        </w:rPr>
        <w:t>prisons, and jails to assist incarcerated individuals, who may not have been enrolled  in Medicaid  at the time of their incarceration, to apply and receive an eligibility determination for Medicaid. Once enrolled, states may employ various approaches to suspend eligibility, such as implementing a claims processing edit, instead of terminating the Medicaid eligibility  of an  incarcerated  individual. Suspension of eligibility or claims processing edits allow for individuals to retain eligibility for Medicaid-covered inpatient services provided in a medical institution while incarcerated.   States and local jurisdictions,  or their  contractors,  need  to be proactive  in notifying the state Medicaid agency  of an inmate's release, to  ensure timely  removal  of suspension or claims processing  edits.   This will  ensure active Medicaid  coverage  at re-entry  and timely access to the full array of Medicaid-covered services upon release. To further assist individuals exiting incarceration, states can encourage or require their Medicaid managed care entities to work with state and local correctional agencies to connect such individuals to needed health  services upon</w:t>
      </w:r>
      <w:r>
        <w:rPr>
          <w:rFonts w:ascii="Times New Roman" w:hAnsi="Times New Roman" w:cs="Times New Roman"/>
          <w:spacing w:val="33"/>
        </w:rPr>
        <w:t xml:space="preserve"> </w:t>
      </w:r>
      <w:r>
        <w:rPr>
          <w:rFonts w:ascii="Times New Roman" w:hAnsi="Times New Roman" w:cs="Times New Roman"/>
        </w:rPr>
        <w:t>release.</w:t>
      </w:r>
    </w:p>
    <w:p w:rsidR="002C5025" w:rsidRDefault="002C5025">
      <w:pPr>
        <w:pStyle w:val="BodyText"/>
        <w:tabs>
          <w:tab w:val="left" w:pos="834"/>
        </w:tabs>
        <w:kinsoku w:val="0"/>
        <w:overflowPunct w:val="0"/>
        <w:spacing w:before="181" w:line="276" w:lineRule="auto"/>
        <w:ind w:left="143" w:right="2137"/>
        <w:rPr>
          <w:rFonts w:ascii="Times New Roman" w:hAnsi="Times New Roman" w:cs="Times New Roman"/>
          <w:i/>
          <w:iCs/>
          <w:sz w:val="23"/>
          <w:szCs w:val="23"/>
        </w:rPr>
      </w:pPr>
      <w:bookmarkStart w:id="275" w:name="QlS._Eligibility_and_Transfers_to_Anothe"/>
      <w:bookmarkEnd w:id="275"/>
      <w:proofErr w:type="spellStart"/>
      <w:r>
        <w:rPr>
          <w:rFonts w:ascii="Times New Roman" w:hAnsi="Times New Roman" w:cs="Times New Roman"/>
          <w:sz w:val="23"/>
          <w:szCs w:val="23"/>
        </w:rPr>
        <w:t>QlS</w:t>
      </w:r>
      <w:proofErr w:type="spellEnd"/>
      <w:r>
        <w:rPr>
          <w:rFonts w:ascii="Times New Roman" w:hAnsi="Times New Roman" w:cs="Times New Roman"/>
          <w:sz w:val="23"/>
          <w:szCs w:val="23"/>
        </w:rPr>
        <w:t>.</w:t>
      </w:r>
      <w:r>
        <w:rPr>
          <w:rFonts w:ascii="Times New Roman" w:hAnsi="Times New Roman" w:cs="Times New Roman"/>
          <w:sz w:val="23"/>
          <w:szCs w:val="23"/>
        </w:rPr>
        <w:tab/>
      </w:r>
      <w:r>
        <w:rPr>
          <w:rFonts w:ascii="Times New Roman" w:hAnsi="Times New Roman" w:cs="Times New Roman"/>
          <w:sz w:val="23"/>
          <w:szCs w:val="23"/>
          <w:u w:val="thick" w:color="000000"/>
        </w:rPr>
        <w:t xml:space="preserve">Eligibility  and  Transfers  to Another  State:  </w:t>
      </w:r>
      <w:r>
        <w:rPr>
          <w:rFonts w:ascii="Times New Roman" w:hAnsi="Times New Roman" w:cs="Times New Roman"/>
          <w:i/>
          <w:iCs/>
          <w:sz w:val="23"/>
          <w:szCs w:val="23"/>
        </w:rPr>
        <w:t>When an  inmate</w:t>
      </w:r>
      <w:r>
        <w:rPr>
          <w:rFonts w:ascii="Times New Roman" w:hAnsi="Times New Roman" w:cs="Times New Roman"/>
          <w:i/>
          <w:iCs/>
          <w:spacing w:val="-20"/>
          <w:sz w:val="23"/>
          <w:szCs w:val="23"/>
        </w:rPr>
        <w:t xml:space="preserve"> </w:t>
      </w:r>
      <w:r>
        <w:rPr>
          <w:rFonts w:ascii="Times New Roman" w:hAnsi="Times New Roman" w:cs="Times New Roman"/>
          <w:i/>
          <w:iCs/>
          <w:sz w:val="23"/>
          <w:szCs w:val="23"/>
        </w:rPr>
        <w:t>is</w:t>
      </w:r>
      <w:r>
        <w:rPr>
          <w:rFonts w:ascii="Times New Roman" w:hAnsi="Times New Roman" w:cs="Times New Roman"/>
          <w:i/>
          <w:iCs/>
          <w:spacing w:val="9"/>
          <w:sz w:val="23"/>
          <w:szCs w:val="23"/>
        </w:rPr>
        <w:t xml:space="preserve"> </w:t>
      </w:r>
      <w:r>
        <w:rPr>
          <w:rFonts w:ascii="Times New Roman" w:hAnsi="Times New Roman" w:cs="Times New Roman"/>
          <w:i/>
          <w:iCs/>
          <w:sz w:val="23"/>
          <w:szCs w:val="23"/>
        </w:rPr>
        <w:t>involuntarily transferred to a correctional institution out of the individual's home state, how does that affect the individual's eligibility for Medicaid and a state's ability to maintain, suspend, or terminate existing</w:t>
      </w:r>
      <w:r>
        <w:rPr>
          <w:rFonts w:ascii="Times New Roman" w:hAnsi="Times New Roman" w:cs="Times New Roman"/>
          <w:i/>
          <w:iCs/>
          <w:spacing w:val="3"/>
          <w:sz w:val="23"/>
          <w:szCs w:val="23"/>
        </w:rPr>
        <w:t xml:space="preserve"> </w:t>
      </w:r>
      <w:r>
        <w:rPr>
          <w:rFonts w:ascii="Times New Roman" w:hAnsi="Times New Roman" w:cs="Times New Roman"/>
          <w:i/>
          <w:iCs/>
          <w:sz w:val="23"/>
          <w:szCs w:val="23"/>
        </w:rPr>
        <w:t>coverage?</w:t>
      </w:r>
    </w:p>
    <w:p w:rsidR="002C5025" w:rsidRDefault="002C5025">
      <w:pPr>
        <w:pStyle w:val="BodyText"/>
        <w:tabs>
          <w:tab w:val="left" w:pos="834"/>
        </w:tabs>
        <w:kinsoku w:val="0"/>
        <w:overflowPunct w:val="0"/>
        <w:spacing w:before="181" w:line="276" w:lineRule="auto"/>
        <w:ind w:left="143" w:right="2137"/>
        <w:rPr>
          <w:rFonts w:ascii="Times New Roman" w:hAnsi="Times New Roman" w:cs="Times New Roman"/>
          <w:i/>
          <w:iCs/>
          <w:sz w:val="23"/>
          <w:szCs w:val="23"/>
        </w:rPr>
        <w:sectPr w:rsidR="002C5025">
          <w:pgSz w:w="12240" w:h="15840"/>
          <w:pgMar w:top="1100" w:right="0" w:bottom="280" w:left="1460" w:header="720" w:footer="720" w:gutter="0"/>
          <w:cols w:space="720" w:equalWidth="0">
            <w:col w:w="10780"/>
          </w:cols>
          <w:noEndnote/>
        </w:sectPr>
      </w:pPr>
    </w:p>
    <w:p w:rsidR="002C5025" w:rsidRDefault="002C5025">
      <w:pPr>
        <w:pStyle w:val="BodyText"/>
        <w:kinsoku w:val="0"/>
        <w:overflowPunct w:val="0"/>
        <w:rPr>
          <w:rFonts w:ascii="Times New Roman" w:hAnsi="Times New Roman" w:cs="Times New Roman"/>
          <w:i/>
          <w:iCs/>
          <w:sz w:val="20"/>
          <w:szCs w:val="20"/>
        </w:rPr>
      </w:pPr>
    </w:p>
    <w:p w:rsidR="002C5025" w:rsidRDefault="002C5025">
      <w:pPr>
        <w:pStyle w:val="BodyText"/>
        <w:kinsoku w:val="0"/>
        <w:overflowPunct w:val="0"/>
        <w:spacing w:before="2"/>
        <w:rPr>
          <w:rFonts w:ascii="Times New Roman" w:hAnsi="Times New Roman" w:cs="Times New Roman"/>
          <w:i/>
          <w:iCs/>
          <w:sz w:val="19"/>
          <w:szCs w:val="19"/>
        </w:rPr>
      </w:pPr>
    </w:p>
    <w:p w:rsidR="002C5025" w:rsidRDefault="00FB027C">
      <w:pPr>
        <w:pStyle w:val="BodyText"/>
        <w:kinsoku w:val="0"/>
        <w:overflowPunct w:val="0"/>
        <w:spacing w:before="76"/>
        <w:ind w:left="111"/>
        <w:rPr>
          <w:rFonts w:ascii="Arial" w:hAnsi="Arial" w:cs="Arial"/>
          <w:w w:val="105"/>
          <w:sz w:val="19"/>
          <w:szCs w:val="19"/>
        </w:rPr>
      </w:pPr>
      <w:r>
        <w:rPr>
          <w:noProof/>
        </w:rPr>
        <mc:AlternateContent>
          <mc:Choice Requires="wps">
            <w:drawing>
              <wp:anchor distT="0" distB="0" distL="114300" distR="114300" simplePos="0" relativeHeight="251826688" behindDoc="0" locked="0" layoutInCell="0" allowOverlap="1">
                <wp:simplePos x="0" y="0"/>
                <wp:positionH relativeFrom="page">
                  <wp:posOffset>7765415</wp:posOffset>
                </wp:positionH>
                <wp:positionV relativeFrom="paragraph">
                  <wp:posOffset>-277495</wp:posOffset>
                </wp:positionV>
                <wp:extent cx="12700" cy="688340"/>
                <wp:effectExtent l="0" t="0" r="0" b="0"/>
                <wp:wrapNone/>
                <wp:docPr id="228" name="Freeform 8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688340"/>
                        </a:xfrm>
                        <a:custGeom>
                          <a:avLst/>
                          <a:gdLst>
                            <a:gd name="T0" fmla="*/ 0 w 20"/>
                            <a:gd name="T1" fmla="*/ 1085 h 1084"/>
                            <a:gd name="T2" fmla="*/ 0 w 20"/>
                            <a:gd name="T3" fmla="*/ 0 h 1084"/>
                          </a:gdLst>
                          <a:ahLst/>
                          <a:cxnLst>
                            <a:cxn ang="0">
                              <a:pos x="T0" y="T1"/>
                            </a:cxn>
                            <a:cxn ang="0">
                              <a:pos x="T2" y="T3"/>
                            </a:cxn>
                          </a:cxnLst>
                          <a:rect l="0" t="0" r="r" b="b"/>
                          <a:pathLst>
                            <a:path w="20" h="1084">
                              <a:moveTo>
                                <a:pt x="0" y="1085"/>
                              </a:moveTo>
                              <a:lnTo>
                                <a:pt x="0" y="0"/>
                              </a:lnTo>
                            </a:path>
                          </a:pathLst>
                        </a:custGeom>
                        <a:noFill/>
                        <a:ln w="455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848" o:spid="_x0000_s1026" style="position:absolute;z-index:251826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11.45pt,32.4pt,611.45pt,-21.85pt" coordsize="20,10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" o:allowincell="f" filled="f" strokeweight=".1266mm">
                <v:path arrowok="t" o:connecttype="custom" o:connectlocs="0,688975;0,0" o:connectangles="0,0"/>
                <w10:wrap anchorx="page"/>
              </v:polyline>
            </w:pict>
          </mc:Fallback>
        </mc:AlternateContent>
      </w:r>
      <w:r w:rsidR="002C5025">
        <w:rPr>
          <w:rFonts w:ascii="Arial" w:hAnsi="Arial" w:cs="Arial"/>
          <w:w w:val="105"/>
          <w:sz w:val="19"/>
          <w:szCs w:val="19"/>
        </w:rPr>
        <w:t>Page 9 - State Health Official and State Medicaid Director</w:t>
      </w:r>
    </w:p>
    <w:p w:rsidR="002C5025" w:rsidRDefault="002C5025">
      <w:pPr>
        <w:pStyle w:val="BodyText"/>
        <w:kinsoku w:val="0"/>
        <w:overflowPunct w:val="0"/>
        <w:rPr>
          <w:rFonts w:ascii="Arial" w:hAnsi="Arial" w:cs="Arial"/>
          <w:sz w:val="18"/>
          <w:szCs w:val="18"/>
        </w:rPr>
      </w:pPr>
    </w:p>
    <w:p w:rsidR="002C5025" w:rsidRDefault="002C5025">
      <w:pPr>
        <w:pStyle w:val="BodyText"/>
        <w:kinsoku w:val="0"/>
        <w:overflowPunct w:val="0"/>
        <w:rPr>
          <w:rFonts w:ascii="Arial" w:hAnsi="Arial" w:cs="Arial"/>
          <w:sz w:val="18"/>
          <w:szCs w:val="18"/>
        </w:rPr>
      </w:pPr>
    </w:p>
    <w:p w:rsidR="002C5025" w:rsidRDefault="002C5025">
      <w:pPr>
        <w:pStyle w:val="BodyText"/>
        <w:kinsoku w:val="0"/>
        <w:overflowPunct w:val="0"/>
        <w:rPr>
          <w:rFonts w:ascii="Arial" w:hAnsi="Arial" w:cs="Arial"/>
          <w:sz w:val="18"/>
          <w:szCs w:val="18"/>
        </w:rPr>
      </w:pPr>
    </w:p>
    <w:p w:rsidR="002C5025" w:rsidRDefault="00FB027C">
      <w:pPr>
        <w:pStyle w:val="BodyText"/>
        <w:tabs>
          <w:tab w:val="left" w:pos="826"/>
        </w:tabs>
        <w:kinsoku w:val="0"/>
        <w:overflowPunct w:val="0"/>
        <w:spacing w:before="134" w:line="288" w:lineRule="auto"/>
        <w:ind w:left="130" w:right="2162"/>
        <w:rPr>
          <w:rFonts w:ascii="Times New Roman" w:hAnsi="Times New Roman" w:cs="Times New Roman"/>
        </w:rPr>
      </w:pPr>
      <w:r>
        <w:rPr>
          <w:noProof/>
        </w:rPr>
        <mc:AlternateContent>
          <mc:Choice Requires="wps">
            <w:drawing>
              <wp:anchor distT="0" distB="0" distL="114300" distR="114300" simplePos="0" relativeHeight="251827712" behindDoc="0" locked="0" layoutInCell="0" allowOverlap="1">
                <wp:simplePos x="0" y="0"/>
                <wp:positionH relativeFrom="page">
                  <wp:posOffset>7767955</wp:posOffset>
                </wp:positionH>
                <wp:positionV relativeFrom="paragraph">
                  <wp:posOffset>371475</wp:posOffset>
                </wp:positionV>
                <wp:extent cx="12700" cy="1716405"/>
                <wp:effectExtent l="0" t="0" r="0" b="0"/>
                <wp:wrapNone/>
                <wp:docPr id="226" name="Freeform 8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716405"/>
                        </a:xfrm>
                        <a:custGeom>
                          <a:avLst/>
                          <a:gdLst>
                            <a:gd name="T0" fmla="*/ 0 w 20"/>
                            <a:gd name="T1" fmla="*/ 2702 h 2703"/>
                            <a:gd name="T2" fmla="*/ 0 w 20"/>
                            <a:gd name="T3" fmla="*/ 0 h 2703"/>
                          </a:gdLst>
                          <a:ahLst/>
                          <a:cxnLst>
                            <a:cxn ang="0">
                              <a:pos x="T0" y="T1"/>
                            </a:cxn>
                            <a:cxn ang="0">
                              <a:pos x="T2" y="T3"/>
                            </a:cxn>
                          </a:cxnLst>
                          <a:rect l="0" t="0" r="r" b="b"/>
                          <a:pathLst>
                            <a:path w="20" h="2703">
                              <a:moveTo>
                                <a:pt x="0" y="2702"/>
                              </a:moveTo>
                              <a:lnTo>
                                <a:pt x="0" y="0"/>
                              </a:lnTo>
                            </a:path>
                          </a:pathLst>
                        </a:custGeom>
                        <a:noFill/>
                        <a:ln w="455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849" o:spid="_x0000_s1026" style="position:absolute;z-index:251827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11.65pt,164.35pt,611.65pt,29.25pt" coordsize="20,2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" o:allowincell="f" filled="f" strokeweight=".1266mm">
                <v:path arrowok="t" o:connecttype="custom" o:connectlocs="0,1715770;0,0" o:connectangles="0,0"/>
                <w10:wrap anchorx="page"/>
              </v:polyline>
            </w:pict>
          </mc:Fallback>
        </mc:AlternateContent>
      </w:r>
      <w:proofErr w:type="spellStart"/>
      <w:r w:rsidR="002C5025">
        <w:rPr>
          <w:rFonts w:ascii="Times New Roman" w:hAnsi="Times New Roman" w:cs="Times New Roman"/>
          <w:sz w:val="23"/>
          <w:szCs w:val="23"/>
        </w:rPr>
        <w:t>AlS</w:t>
      </w:r>
      <w:proofErr w:type="spellEnd"/>
      <w:r w:rsidR="002C5025">
        <w:rPr>
          <w:rFonts w:ascii="Times New Roman" w:hAnsi="Times New Roman" w:cs="Times New Roman"/>
          <w:sz w:val="23"/>
          <w:szCs w:val="23"/>
        </w:rPr>
        <w:t>.</w:t>
      </w:r>
      <w:r w:rsidR="002C5025">
        <w:rPr>
          <w:rFonts w:ascii="Times New Roman" w:hAnsi="Times New Roman" w:cs="Times New Roman"/>
          <w:sz w:val="23"/>
          <w:szCs w:val="23"/>
        </w:rPr>
        <w:tab/>
      </w:r>
      <w:r w:rsidR="002C5025">
        <w:rPr>
          <w:rFonts w:ascii="Arial" w:hAnsi="Arial" w:cs="Arial"/>
          <w:spacing w:val="3"/>
        </w:rPr>
        <w:t>If</w:t>
      </w:r>
      <w:r w:rsidR="00344961">
        <w:rPr>
          <w:rFonts w:ascii="Arial" w:hAnsi="Arial" w:cs="Arial"/>
          <w:spacing w:val="3"/>
        </w:rPr>
        <w:t xml:space="preserve"> </w:t>
      </w:r>
      <w:r w:rsidR="002C5025">
        <w:rPr>
          <w:rFonts w:ascii="Times New Roman" w:hAnsi="Times New Roman" w:cs="Times New Roman"/>
          <w:spacing w:val="3"/>
        </w:rPr>
        <w:t xml:space="preserve">the </w:t>
      </w:r>
      <w:r w:rsidR="002C5025">
        <w:rPr>
          <w:rFonts w:ascii="Times New Roman" w:hAnsi="Times New Roman" w:cs="Times New Roman"/>
        </w:rPr>
        <w:t xml:space="preserve">inmate was  incarcerated  by a home  state but  sent to an </w:t>
      </w:r>
      <w:r w:rsidR="002C5025">
        <w:rPr>
          <w:rFonts w:ascii="Times New Roman" w:hAnsi="Times New Roman" w:cs="Times New Roman"/>
          <w:spacing w:val="9"/>
        </w:rPr>
        <w:t xml:space="preserve"> </w:t>
      </w:r>
      <w:r w:rsidR="002C5025">
        <w:rPr>
          <w:rFonts w:ascii="Times New Roman" w:hAnsi="Times New Roman" w:cs="Times New Roman"/>
        </w:rPr>
        <w:t>out-of-state</w:t>
      </w:r>
      <w:r w:rsidR="002C5025">
        <w:rPr>
          <w:rFonts w:ascii="Times New Roman" w:hAnsi="Times New Roman" w:cs="Times New Roman"/>
          <w:spacing w:val="38"/>
        </w:rPr>
        <w:t xml:space="preserve"> </w:t>
      </w:r>
      <w:r w:rsidR="002C5025">
        <w:rPr>
          <w:rFonts w:ascii="Times New Roman" w:hAnsi="Times New Roman" w:cs="Times New Roman"/>
        </w:rPr>
        <w:t>institution meeting the definition of "a public institution" under 42 CFR 435.1010, for any reason,  including the home state not havin</w:t>
      </w:r>
      <w:r w:rsidR="00344961">
        <w:rPr>
          <w:rFonts w:ascii="Times New Roman" w:hAnsi="Times New Roman" w:cs="Times New Roman"/>
        </w:rPr>
        <w:t>g capacity to house the individ</w:t>
      </w:r>
      <w:r w:rsidR="002C5025">
        <w:rPr>
          <w:rFonts w:ascii="Times New Roman" w:hAnsi="Times New Roman" w:cs="Times New Roman"/>
        </w:rPr>
        <w:t xml:space="preserve">ual,  the home state remains  the state of residence (see 42 CFR 435.403(b) and(e)). Therefore, in this scenario, the inmate would retain residency for purposes  of Medicaid  eligibility  in the home state.  The inmate would have Medicaid coverage from the home state for incurred costs for inpatient services provided within the exception to the inmate exclusion, even if such services were provided outside the home </w:t>
      </w:r>
      <w:r w:rsidR="002C5025">
        <w:rPr>
          <w:rFonts w:ascii="Times New Roman" w:hAnsi="Times New Roman" w:cs="Times New Roman"/>
          <w:spacing w:val="19"/>
        </w:rPr>
        <w:t xml:space="preserve"> </w:t>
      </w:r>
      <w:r w:rsidR="002C5025">
        <w:rPr>
          <w:rFonts w:ascii="Times New Roman" w:hAnsi="Times New Roman" w:cs="Times New Roman"/>
        </w:rPr>
        <w:t>state.</w:t>
      </w:r>
    </w:p>
    <w:p w:rsidR="002C5025" w:rsidRDefault="002C5025">
      <w:pPr>
        <w:pStyle w:val="BodyText"/>
        <w:kinsoku w:val="0"/>
        <w:overflowPunct w:val="0"/>
        <w:spacing w:before="195" w:line="288" w:lineRule="auto"/>
        <w:ind w:left="137" w:right="1958"/>
        <w:rPr>
          <w:rFonts w:ascii="Times New Roman" w:hAnsi="Times New Roman" w:cs="Times New Roman"/>
        </w:rPr>
      </w:pPr>
      <w:r>
        <w:rPr>
          <w:rFonts w:ascii="Times New Roman" w:hAnsi="Times New Roman" w:cs="Times New Roman"/>
        </w:rPr>
        <w:t>Individuals who have committed a crime outside of their home state and are placed in a  correctional  institution  in and by the state in which the crime was committed would  be  considered to be residents of that state while incarcerated,  as provided  at 42 CFR 435.403(h)(5).  In these circumstances, it is, therefore, the responsibility of the state in which the individual is incarcerated to determine how eligibility is established and h</w:t>
      </w:r>
      <w:r w:rsidR="00344961">
        <w:rPr>
          <w:rFonts w:ascii="Times New Roman" w:hAnsi="Times New Roman" w:cs="Times New Roman"/>
        </w:rPr>
        <w:t>ow inpatient costs incarcerate</w:t>
      </w:r>
      <w:r>
        <w:rPr>
          <w:rFonts w:ascii="Times New Roman" w:hAnsi="Times New Roman" w:cs="Times New Roman"/>
        </w:rPr>
        <w:t xml:space="preserve">d for the inmate would be reimbursed (e.g., claimed by the Medicaid agency under the exception to the coverage exclusion, if the individual is eligible for Medicaid in that state, or borne by the </w:t>
      </w:r>
      <w:r>
        <w:rPr>
          <w:rFonts w:ascii="Times New Roman" w:hAnsi="Times New Roman" w:cs="Times New Roman"/>
          <w:spacing w:val="-4"/>
        </w:rPr>
        <w:t xml:space="preserve">Depa1iment </w:t>
      </w:r>
      <w:r>
        <w:rPr>
          <w:rFonts w:ascii="Times New Roman" w:hAnsi="Times New Roman" w:cs="Times New Roman"/>
        </w:rPr>
        <w:t xml:space="preserve">of Corrections  in that </w:t>
      </w:r>
      <w:r>
        <w:rPr>
          <w:rFonts w:ascii="Times New Roman" w:hAnsi="Times New Roman" w:cs="Times New Roman"/>
          <w:spacing w:val="18"/>
        </w:rPr>
        <w:t xml:space="preserve"> </w:t>
      </w:r>
      <w:r>
        <w:rPr>
          <w:rFonts w:ascii="Times New Roman" w:hAnsi="Times New Roman" w:cs="Times New Roman"/>
        </w:rPr>
        <w:t>state).</w:t>
      </w:r>
    </w:p>
    <w:p w:rsidR="002C5025" w:rsidRDefault="002C5025">
      <w:pPr>
        <w:pStyle w:val="BodyText"/>
        <w:tabs>
          <w:tab w:val="left" w:pos="819"/>
        </w:tabs>
        <w:kinsoku w:val="0"/>
        <w:overflowPunct w:val="0"/>
        <w:spacing w:before="188" w:line="276" w:lineRule="auto"/>
        <w:ind w:left="137" w:right="2306"/>
        <w:rPr>
          <w:rFonts w:ascii="Times New Roman" w:hAnsi="Times New Roman" w:cs="Times New Roman"/>
          <w:i/>
          <w:iCs/>
          <w:sz w:val="23"/>
          <w:szCs w:val="23"/>
        </w:rPr>
      </w:pPr>
      <w:bookmarkStart w:id="276" w:name="Q16._Home_Addresses:_Can_an_individual_i"/>
      <w:bookmarkEnd w:id="276"/>
      <w:r>
        <w:rPr>
          <w:rFonts w:ascii="Times New Roman" w:hAnsi="Times New Roman" w:cs="Times New Roman"/>
          <w:spacing w:val="-4"/>
          <w:sz w:val="23"/>
          <w:szCs w:val="23"/>
        </w:rPr>
        <w:t>Q16.</w:t>
      </w:r>
      <w:r>
        <w:rPr>
          <w:rFonts w:ascii="Times New Roman" w:hAnsi="Times New Roman" w:cs="Times New Roman"/>
          <w:spacing w:val="-4"/>
          <w:sz w:val="23"/>
          <w:szCs w:val="23"/>
        </w:rPr>
        <w:tab/>
      </w:r>
      <w:r>
        <w:rPr>
          <w:rFonts w:ascii="Times New Roman" w:hAnsi="Times New Roman" w:cs="Times New Roman"/>
          <w:sz w:val="23"/>
          <w:szCs w:val="23"/>
          <w:u w:val="thick" w:color="000000"/>
        </w:rPr>
        <w:t xml:space="preserve">Home Addresses:  </w:t>
      </w:r>
      <w:r>
        <w:rPr>
          <w:rFonts w:ascii="Times New Roman" w:hAnsi="Times New Roman" w:cs="Times New Roman"/>
          <w:i/>
          <w:iCs/>
          <w:sz w:val="23"/>
          <w:szCs w:val="23"/>
        </w:rPr>
        <w:t xml:space="preserve">Can an individual incarcerated in a correctional </w:t>
      </w:r>
      <w:r>
        <w:rPr>
          <w:rFonts w:ascii="Times New Roman" w:hAnsi="Times New Roman" w:cs="Times New Roman"/>
          <w:i/>
          <w:iCs/>
          <w:spacing w:val="14"/>
          <w:sz w:val="23"/>
          <w:szCs w:val="23"/>
        </w:rPr>
        <w:t xml:space="preserve"> </w:t>
      </w:r>
      <w:r>
        <w:rPr>
          <w:rFonts w:ascii="Times New Roman" w:hAnsi="Times New Roman" w:cs="Times New Roman"/>
          <w:i/>
          <w:iCs/>
          <w:sz w:val="23"/>
          <w:szCs w:val="23"/>
        </w:rPr>
        <w:t>institution</w:t>
      </w:r>
      <w:r>
        <w:rPr>
          <w:rFonts w:ascii="Times New Roman" w:hAnsi="Times New Roman" w:cs="Times New Roman"/>
          <w:i/>
          <w:iCs/>
          <w:spacing w:val="26"/>
          <w:sz w:val="23"/>
          <w:szCs w:val="23"/>
        </w:rPr>
        <w:t xml:space="preserve"> </w:t>
      </w:r>
      <w:r>
        <w:rPr>
          <w:rFonts w:ascii="Times New Roman" w:hAnsi="Times New Roman" w:cs="Times New Roman"/>
          <w:i/>
          <w:iCs/>
          <w:sz w:val="23"/>
          <w:szCs w:val="23"/>
        </w:rPr>
        <w:t>be determined eligible</w:t>
      </w:r>
      <w:r w:rsidR="00344961">
        <w:rPr>
          <w:rFonts w:ascii="Times New Roman" w:hAnsi="Times New Roman" w:cs="Times New Roman"/>
          <w:i/>
          <w:iCs/>
          <w:sz w:val="23"/>
          <w:szCs w:val="23"/>
        </w:rPr>
        <w:t xml:space="preserve"> </w:t>
      </w:r>
      <w:r>
        <w:rPr>
          <w:rFonts w:ascii="Times New Roman" w:hAnsi="Times New Roman" w:cs="Times New Roman"/>
          <w:i/>
          <w:iCs/>
          <w:sz w:val="23"/>
          <w:szCs w:val="23"/>
        </w:rPr>
        <w:t>for Medicaid in the state of incarceration using the correctional institution as the home</w:t>
      </w:r>
      <w:r>
        <w:rPr>
          <w:rFonts w:ascii="Times New Roman" w:hAnsi="Times New Roman" w:cs="Times New Roman"/>
          <w:i/>
          <w:iCs/>
          <w:spacing w:val="26"/>
          <w:sz w:val="23"/>
          <w:szCs w:val="23"/>
        </w:rPr>
        <w:t xml:space="preserve"> </w:t>
      </w:r>
      <w:r>
        <w:rPr>
          <w:rFonts w:ascii="Times New Roman" w:hAnsi="Times New Roman" w:cs="Times New Roman"/>
          <w:i/>
          <w:iCs/>
          <w:sz w:val="23"/>
          <w:szCs w:val="23"/>
        </w:rPr>
        <w:t>address?</w:t>
      </w:r>
    </w:p>
    <w:p w:rsidR="002C5025" w:rsidRDefault="002C5025">
      <w:pPr>
        <w:pStyle w:val="BodyText"/>
        <w:tabs>
          <w:tab w:val="left" w:pos="826"/>
        </w:tabs>
        <w:kinsoku w:val="0"/>
        <w:overflowPunct w:val="0"/>
        <w:spacing w:before="196" w:line="283" w:lineRule="auto"/>
        <w:ind w:left="137" w:right="2162" w:hanging="10"/>
        <w:rPr>
          <w:rFonts w:ascii="Times New Roman" w:hAnsi="Times New Roman" w:cs="Times New Roman"/>
        </w:rPr>
      </w:pPr>
      <w:r>
        <w:rPr>
          <w:rFonts w:ascii="Times New Roman" w:hAnsi="Times New Roman" w:cs="Times New Roman"/>
          <w:spacing w:val="-3"/>
          <w:sz w:val="23"/>
          <w:szCs w:val="23"/>
        </w:rPr>
        <w:t>A16.</w:t>
      </w:r>
      <w:r>
        <w:rPr>
          <w:rFonts w:ascii="Times New Roman" w:hAnsi="Times New Roman" w:cs="Times New Roman"/>
          <w:spacing w:val="-3"/>
          <w:sz w:val="23"/>
          <w:szCs w:val="23"/>
        </w:rPr>
        <w:tab/>
      </w:r>
      <w:r>
        <w:rPr>
          <w:rFonts w:ascii="Times New Roman" w:hAnsi="Times New Roman" w:cs="Times New Roman"/>
        </w:rPr>
        <w:t>Yes.   The correctional  institution  could be used  as the home address</w:t>
      </w:r>
      <w:r>
        <w:rPr>
          <w:rFonts w:ascii="Times New Roman" w:hAnsi="Times New Roman" w:cs="Times New Roman"/>
          <w:spacing w:val="23"/>
        </w:rPr>
        <w:t xml:space="preserve"> </w:t>
      </w:r>
      <w:r>
        <w:rPr>
          <w:rFonts w:ascii="Times New Roman" w:hAnsi="Times New Roman" w:cs="Times New Roman"/>
        </w:rPr>
        <w:t>for</w:t>
      </w:r>
      <w:r>
        <w:rPr>
          <w:rFonts w:ascii="Times New Roman" w:hAnsi="Times New Roman" w:cs="Times New Roman"/>
          <w:spacing w:val="14"/>
        </w:rPr>
        <w:t xml:space="preserve"> </w:t>
      </w:r>
      <w:r>
        <w:rPr>
          <w:rFonts w:ascii="Times New Roman" w:hAnsi="Times New Roman" w:cs="Times New Roman"/>
        </w:rPr>
        <w:t xml:space="preserve">establishing residency for purposes of Medicaid eligibility, except in the scenario described in the preceding question, when the  individual  is placed  in an out-of-state facility by their home </w:t>
      </w:r>
      <w:r>
        <w:rPr>
          <w:rFonts w:ascii="Times New Roman" w:hAnsi="Times New Roman" w:cs="Times New Roman"/>
          <w:spacing w:val="39"/>
        </w:rPr>
        <w:t xml:space="preserve"> </w:t>
      </w:r>
      <w:r>
        <w:rPr>
          <w:rFonts w:ascii="Times New Roman" w:hAnsi="Times New Roman" w:cs="Times New Roman"/>
        </w:rPr>
        <w:t>state.</w:t>
      </w:r>
    </w:p>
    <w:p w:rsidR="002C5025" w:rsidRDefault="002C5025">
      <w:pPr>
        <w:pStyle w:val="BodyText"/>
        <w:tabs>
          <w:tab w:val="left" w:pos="826"/>
        </w:tabs>
        <w:kinsoku w:val="0"/>
        <w:overflowPunct w:val="0"/>
        <w:spacing w:before="195" w:line="276" w:lineRule="auto"/>
        <w:ind w:left="137" w:right="1991" w:firstLine="7"/>
        <w:rPr>
          <w:rFonts w:ascii="Times New Roman" w:hAnsi="Times New Roman" w:cs="Times New Roman"/>
          <w:i/>
          <w:iCs/>
          <w:w w:val="105"/>
          <w:sz w:val="23"/>
          <w:szCs w:val="23"/>
        </w:rPr>
      </w:pPr>
      <w:bookmarkStart w:id="277" w:name="Q17._Avoiding_Simnltaneons_Eligibility:_"/>
      <w:bookmarkEnd w:id="277"/>
      <w:r>
        <w:rPr>
          <w:rFonts w:ascii="Times New Roman" w:hAnsi="Times New Roman" w:cs="Times New Roman"/>
          <w:spacing w:val="-4"/>
          <w:w w:val="105"/>
          <w:sz w:val="23"/>
          <w:szCs w:val="23"/>
        </w:rPr>
        <w:t>Q17.</w:t>
      </w:r>
      <w:r>
        <w:rPr>
          <w:rFonts w:ascii="Times New Roman" w:hAnsi="Times New Roman" w:cs="Times New Roman"/>
          <w:spacing w:val="-4"/>
          <w:w w:val="105"/>
          <w:sz w:val="23"/>
          <w:szCs w:val="23"/>
        </w:rPr>
        <w:tab/>
      </w:r>
      <w:r>
        <w:rPr>
          <w:rFonts w:ascii="Times New Roman" w:hAnsi="Times New Roman" w:cs="Times New Roman"/>
          <w:w w:val="105"/>
          <w:sz w:val="23"/>
          <w:szCs w:val="23"/>
          <w:u w:val="thick" w:color="000000"/>
        </w:rPr>
        <w:t>Avoiding</w:t>
      </w:r>
      <w:r>
        <w:rPr>
          <w:rFonts w:ascii="Times New Roman" w:hAnsi="Times New Roman" w:cs="Times New Roman"/>
          <w:spacing w:val="-5"/>
          <w:w w:val="105"/>
          <w:sz w:val="23"/>
          <w:szCs w:val="23"/>
          <w:u w:val="thick" w:color="000000"/>
        </w:rPr>
        <w:t xml:space="preserve"> </w:t>
      </w:r>
      <w:proofErr w:type="spellStart"/>
      <w:r>
        <w:rPr>
          <w:rFonts w:ascii="Times New Roman" w:hAnsi="Times New Roman" w:cs="Times New Roman"/>
          <w:w w:val="105"/>
          <w:sz w:val="23"/>
          <w:szCs w:val="23"/>
          <w:u w:val="thick" w:color="000000"/>
        </w:rPr>
        <w:t>Simnltaneons</w:t>
      </w:r>
      <w:proofErr w:type="spellEnd"/>
      <w:r>
        <w:rPr>
          <w:rFonts w:ascii="Times New Roman" w:hAnsi="Times New Roman" w:cs="Times New Roman"/>
          <w:spacing w:val="-9"/>
          <w:w w:val="105"/>
          <w:sz w:val="23"/>
          <w:szCs w:val="23"/>
          <w:u w:val="thick" w:color="000000"/>
        </w:rPr>
        <w:t xml:space="preserve"> </w:t>
      </w:r>
      <w:r>
        <w:rPr>
          <w:rFonts w:ascii="Times New Roman" w:hAnsi="Times New Roman" w:cs="Times New Roman"/>
          <w:w w:val="105"/>
          <w:sz w:val="23"/>
          <w:szCs w:val="23"/>
          <w:u w:val="thick" w:color="000000"/>
        </w:rPr>
        <w:t>Eligibility:</w:t>
      </w:r>
      <w:r>
        <w:rPr>
          <w:rFonts w:ascii="Times New Roman" w:hAnsi="Times New Roman" w:cs="Times New Roman"/>
          <w:spacing w:val="-24"/>
          <w:w w:val="105"/>
          <w:sz w:val="23"/>
          <w:szCs w:val="23"/>
          <w:u w:val="thick" w:color="000000"/>
        </w:rPr>
        <w:t xml:space="preserve"> </w:t>
      </w:r>
      <w:r>
        <w:rPr>
          <w:rFonts w:ascii="Times New Roman" w:hAnsi="Times New Roman" w:cs="Times New Roman"/>
          <w:i/>
          <w:iCs/>
          <w:w w:val="105"/>
          <w:sz w:val="23"/>
          <w:szCs w:val="23"/>
        </w:rPr>
        <w:t>lf</w:t>
      </w:r>
      <w:r>
        <w:rPr>
          <w:rFonts w:ascii="Times New Roman" w:hAnsi="Times New Roman" w:cs="Times New Roman"/>
          <w:i/>
          <w:iCs/>
          <w:spacing w:val="-11"/>
          <w:w w:val="105"/>
          <w:sz w:val="23"/>
          <w:szCs w:val="23"/>
        </w:rPr>
        <w:t xml:space="preserve"> </w:t>
      </w:r>
      <w:r>
        <w:rPr>
          <w:rFonts w:ascii="Times New Roman" w:hAnsi="Times New Roman" w:cs="Times New Roman"/>
          <w:i/>
          <w:iCs/>
          <w:w w:val="105"/>
          <w:sz w:val="23"/>
          <w:szCs w:val="23"/>
        </w:rPr>
        <w:t>an</w:t>
      </w:r>
      <w:r>
        <w:rPr>
          <w:rFonts w:ascii="Times New Roman" w:hAnsi="Times New Roman" w:cs="Times New Roman"/>
          <w:i/>
          <w:iCs/>
          <w:spacing w:val="-15"/>
          <w:w w:val="105"/>
          <w:sz w:val="23"/>
          <w:szCs w:val="23"/>
        </w:rPr>
        <w:t xml:space="preserve"> </w:t>
      </w:r>
      <w:r>
        <w:rPr>
          <w:rFonts w:ascii="Times New Roman" w:hAnsi="Times New Roman" w:cs="Times New Roman"/>
          <w:i/>
          <w:iCs/>
          <w:w w:val="105"/>
          <w:sz w:val="23"/>
          <w:szCs w:val="23"/>
        </w:rPr>
        <w:t>inmate</w:t>
      </w:r>
      <w:r>
        <w:rPr>
          <w:rFonts w:ascii="Times New Roman" w:hAnsi="Times New Roman" w:cs="Times New Roman"/>
          <w:i/>
          <w:iCs/>
          <w:spacing w:val="-18"/>
          <w:w w:val="105"/>
          <w:sz w:val="23"/>
          <w:szCs w:val="23"/>
        </w:rPr>
        <w:t xml:space="preserve"> </w:t>
      </w:r>
      <w:r>
        <w:rPr>
          <w:rFonts w:ascii="Times New Roman" w:hAnsi="Times New Roman" w:cs="Times New Roman"/>
          <w:i/>
          <w:iCs/>
          <w:w w:val="105"/>
          <w:sz w:val="23"/>
          <w:szCs w:val="23"/>
        </w:rPr>
        <w:t>is</w:t>
      </w:r>
      <w:r>
        <w:rPr>
          <w:rFonts w:ascii="Times New Roman" w:hAnsi="Times New Roman" w:cs="Times New Roman"/>
          <w:i/>
          <w:iCs/>
          <w:spacing w:val="-28"/>
          <w:w w:val="105"/>
          <w:sz w:val="23"/>
          <w:szCs w:val="23"/>
        </w:rPr>
        <w:t xml:space="preserve"> </w:t>
      </w:r>
      <w:r>
        <w:rPr>
          <w:rFonts w:ascii="Times New Roman" w:hAnsi="Times New Roman" w:cs="Times New Roman"/>
          <w:i/>
          <w:iCs/>
          <w:w w:val="105"/>
          <w:sz w:val="23"/>
          <w:szCs w:val="23"/>
        </w:rPr>
        <w:t>enrolled</w:t>
      </w:r>
      <w:r>
        <w:rPr>
          <w:rFonts w:ascii="Times New Roman" w:hAnsi="Times New Roman" w:cs="Times New Roman"/>
          <w:i/>
          <w:iCs/>
          <w:spacing w:val="-9"/>
          <w:w w:val="105"/>
          <w:sz w:val="23"/>
          <w:szCs w:val="23"/>
        </w:rPr>
        <w:t xml:space="preserve"> </w:t>
      </w:r>
      <w:r>
        <w:rPr>
          <w:rFonts w:ascii="Times New Roman" w:hAnsi="Times New Roman" w:cs="Times New Roman"/>
          <w:i/>
          <w:iCs/>
          <w:w w:val="105"/>
          <w:sz w:val="23"/>
          <w:szCs w:val="23"/>
        </w:rPr>
        <w:t>in</w:t>
      </w:r>
      <w:r>
        <w:rPr>
          <w:rFonts w:ascii="Times New Roman" w:hAnsi="Times New Roman" w:cs="Times New Roman"/>
          <w:i/>
          <w:iCs/>
          <w:spacing w:val="-28"/>
          <w:w w:val="105"/>
          <w:sz w:val="23"/>
          <w:szCs w:val="23"/>
        </w:rPr>
        <w:t xml:space="preserve"> </w:t>
      </w:r>
      <w:r>
        <w:rPr>
          <w:rFonts w:ascii="Times New Roman" w:hAnsi="Times New Roman" w:cs="Times New Roman"/>
          <w:i/>
          <w:iCs/>
          <w:w w:val="105"/>
          <w:sz w:val="23"/>
          <w:szCs w:val="23"/>
        </w:rPr>
        <w:t>Medicaid</w:t>
      </w:r>
      <w:r>
        <w:rPr>
          <w:rFonts w:ascii="Times New Roman" w:hAnsi="Times New Roman" w:cs="Times New Roman"/>
          <w:i/>
          <w:iCs/>
          <w:spacing w:val="1"/>
          <w:w w:val="105"/>
          <w:sz w:val="23"/>
          <w:szCs w:val="23"/>
        </w:rPr>
        <w:t xml:space="preserve"> </w:t>
      </w:r>
      <w:r>
        <w:rPr>
          <w:rFonts w:ascii="Times New Roman" w:hAnsi="Times New Roman" w:cs="Times New Roman"/>
          <w:i/>
          <w:iCs/>
          <w:w w:val="105"/>
          <w:sz w:val="23"/>
          <w:szCs w:val="23"/>
        </w:rPr>
        <w:t>in</w:t>
      </w:r>
      <w:r>
        <w:rPr>
          <w:rFonts w:ascii="Times New Roman" w:hAnsi="Times New Roman" w:cs="Times New Roman"/>
          <w:i/>
          <w:iCs/>
          <w:spacing w:val="-21"/>
          <w:w w:val="105"/>
          <w:sz w:val="23"/>
          <w:szCs w:val="23"/>
        </w:rPr>
        <w:t xml:space="preserve"> </w:t>
      </w:r>
      <w:r>
        <w:rPr>
          <w:rFonts w:ascii="Times New Roman" w:hAnsi="Times New Roman" w:cs="Times New Roman"/>
          <w:i/>
          <w:iCs/>
          <w:w w:val="105"/>
          <w:sz w:val="23"/>
          <w:szCs w:val="23"/>
        </w:rPr>
        <w:t>the</w:t>
      </w:r>
      <w:r>
        <w:rPr>
          <w:rFonts w:ascii="Times New Roman" w:hAnsi="Times New Roman" w:cs="Times New Roman"/>
          <w:i/>
          <w:iCs/>
          <w:spacing w:val="-31"/>
          <w:w w:val="105"/>
          <w:sz w:val="23"/>
          <w:szCs w:val="23"/>
        </w:rPr>
        <w:t xml:space="preserve"> </w:t>
      </w:r>
      <w:r>
        <w:rPr>
          <w:rFonts w:ascii="Times New Roman" w:hAnsi="Times New Roman" w:cs="Times New Roman"/>
          <w:i/>
          <w:iCs/>
          <w:w w:val="105"/>
          <w:sz w:val="23"/>
          <w:szCs w:val="23"/>
        </w:rPr>
        <w:t>state</w:t>
      </w:r>
      <w:r>
        <w:rPr>
          <w:rFonts w:ascii="Times New Roman" w:hAnsi="Times New Roman" w:cs="Times New Roman"/>
          <w:i/>
          <w:iCs/>
          <w:w w:val="102"/>
          <w:sz w:val="23"/>
          <w:szCs w:val="23"/>
        </w:rPr>
        <w:t xml:space="preserve"> </w:t>
      </w:r>
      <w:r>
        <w:rPr>
          <w:rFonts w:ascii="Times New Roman" w:hAnsi="Times New Roman" w:cs="Times New Roman"/>
          <w:i/>
          <w:iCs/>
          <w:w w:val="105"/>
          <w:sz w:val="23"/>
          <w:szCs w:val="23"/>
        </w:rPr>
        <w:t>in</w:t>
      </w:r>
      <w:r>
        <w:rPr>
          <w:rFonts w:ascii="Times New Roman" w:hAnsi="Times New Roman" w:cs="Times New Roman"/>
          <w:i/>
          <w:iCs/>
          <w:spacing w:val="-31"/>
          <w:w w:val="105"/>
          <w:sz w:val="23"/>
          <w:szCs w:val="23"/>
        </w:rPr>
        <w:t xml:space="preserve"> </w:t>
      </w:r>
      <w:r>
        <w:rPr>
          <w:rFonts w:ascii="Times New Roman" w:hAnsi="Times New Roman" w:cs="Times New Roman"/>
          <w:i/>
          <w:iCs/>
          <w:w w:val="105"/>
          <w:sz w:val="23"/>
          <w:szCs w:val="23"/>
        </w:rPr>
        <w:t>which</w:t>
      </w:r>
      <w:r>
        <w:rPr>
          <w:rFonts w:ascii="Times New Roman" w:hAnsi="Times New Roman" w:cs="Times New Roman"/>
          <w:i/>
          <w:iCs/>
          <w:spacing w:val="-22"/>
          <w:w w:val="105"/>
          <w:sz w:val="23"/>
          <w:szCs w:val="23"/>
        </w:rPr>
        <w:t xml:space="preserve"> </w:t>
      </w:r>
      <w:r>
        <w:rPr>
          <w:rFonts w:ascii="Times New Roman" w:hAnsi="Times New Roman" w:cs="Times New Roman"/>
          <w:i/>
          <w:iCs/>
          <w:w w:val="105"/>
          <w:sz w:val="23"/>
          <w:szCs w:val="23"/>
        </w:rPr>
        <w:t>he/she</w:t>
      </w:r>
      <w:r>
        <w:rPr>
          <w:rFonts w:ascii="Times New Roman" w:hAnsi="Times New Roman" w:cs="Times New Roman"/>
          <w:i/>
          <w:iCs/>
          <w:spacing w:val="-27"/>
          <w:w w:val="105"/>
          <w:sz w:val="23"/>
          <w:szCs w:val="23"/>
        </w:rPr>
        <w:t xml:space="preserve"> </w:t>
      </w:r>
      <w:r>
        <w:rPr>
          <w:rFonts w:ascii="Times New Roman" w:hAnsi="Times New Roman" w:cs="Times New Roman"/>
          <w:i/>
          <w:iCs/>
          <w:w w:val="105"/>
          <w:sz w:val="23"/>
          <w:szCs w:val="23"/>
        </w:rPr>
        <w:t>is</w:t>
      </w:r>
      <w:r>
        <w:rPr>
          <w:rFonts w:ascii="Times New Roman" w:hAnsi="Times New Roman" w:cs="Times New Roman"/>
          <w:i/>
          <w:iCs/>
          <w:spacing w:val="-37"/>
          <w:w w:val="105"/>
          <w:sz w:val="23"/>
          <w:szCs w:val="23"/>
        </w:rPr>
        <w:t xml:space="preserve"> </w:t>
      </w:r>
      <w:r>
        <w:rPr>
          <w:rFonts w:ascii="Times New Roman" w:hAnsi="Times New Roman" w:cs="Times New Roman"/>
          <w:i/>
          <w:iCs/>
          <w:w w:val="105"/>
          <w:sz w:val="23"/>
          <w:szCs w:val="23"/>
        </w:rPr>
        <w:t>incarcerated,</w:t>
      </w:r>
      <w:r>
        <w:rPr>
          <w:rFonts w:ascii="Times New Roman" w:hAnsi="Times New Roman" w:cs="Times New Roman"/>
          <w:i/>
          <w:iCs/>
          <w:spacing w:val="-25"/>
          <w:w w:val="105"/>
          <w:sz w:val="23"/>
          <w:szCs w:val="23"/>
        </w:rPr>
        <w:t xml:space="preserve"> </w:t>
      </w:r>
      <w:r>
        <w:rPr>
          <w:rFonts w:ascii="Times New Roman" w:hAnsi="Times New Roman" w:cs="Times New Roman"/>
          <w:i/>
          <w:iCs/>
          <w:w w:val="105"/>
          <w:sz w:val="23"/>
          <w:szCs w:val="23"/>
        </w:rPr>
        <w:t>does</w:t>
      </w:r>
      <w:r>
        <w:rPr>
          <w:rFonts w:ascii="Times New Roman" w:hAnsi="Times New Roman" w:cs="Times New Roman"/>
          <w:i/>
          <w:iCs/>
          <w:spacing w:val="-32"/>
          <w:w w:val="105"/>
          <w:sz w:val="23"/>
          <w:szCs w:val="23"/>
        </w:rPr>
        <w:t xml:space="preserve"> </w:t>
      </w:r>
      <w:r>
        <w:rPr>
          <w:rFonts w:ascii="Times New Roman" w:hAnsi="Times New Roman" w:cs="Times New Roman"/>
          <w:i/>
          <w:iCs/>
          <w:w w:val="105"/>
          <w:sz w:val="23"/>
          <w:szCs w:val="23"/>
        </w:rPr>
        <w:t>that</w:t>
      </w:r>
      <w:r>
        <w:rPr>
          <w:rFonts w:ascii="Times New Roman" w:hAnsi="Times New Roman" w:cs="Times New Roman"/>
          <w:i/>
          <w:iCs/>
          <w:spacing w:val="-35"/>
          <w:w w:val="105"/>
          <w:sz w:val="23"/>
          <w:szCs w:val="23"/>
        </w:rPr>
        <w:t xml:space="preserve"> </w:t>
      </w:r>
      <w:r>
        <w:rPr>
          <w:rFonts w:ascii="Times New Roman" w:hAnsi="Times New Roman" w:cs="Times New Roman"/>
          <w:i/>
          <w:iCs/>
          <w:w w:val="105"/>
          <w:sz w:val="23"/>
          <w:szCs w:val="23"/>
        </w:rPr>
        <w:t>Medicaid</w:t>
      </w:r>
      <w:r>
        <w:rPr>
          <w:rFonts w:ascii="Times New Roman" w:hAnsi="Times New Roman" w:cs="Times New Roman"/>
          <w:i/>
          <w:iCs/>
          <w:spacing w:val="-17"/>
          <w:w w:val="105"/>
          <w:sz w:val="23"/>
          <w:szCs w:val="23"/>
        </w:rPr>
        <w:t xml:space="preserve"> </w:t>
      </w:r>
      <w:r>
        <w:rPr>
          <w:rFonts w:ascii="Times New Roman" w:hAnsi="Times New Roman" w:cs="Times New Roman"/>
          <w:i/>
          <w:iCs/>
          <w:w w:val="105"/>
          <w:sz w:val="23"/>
          <w:szCs w:val="23"/>
        </w:rPr>
        <w:t>coverage</w:t>
      </w:r>
      <w:r>
        <w:rPr>
          <w:rFonts w:ascii="Times New Roman" w:hAnsi="Times New Roman" w:cs="Times New Roman"/>
          <w:i/>
          <w:iCs/>
          <w:spacing w:val="-27"/>
          <w:w w:val="105"/>
          <w:sz w:val="23"/>
          <w:szCs w:val="23"/>
        </w:rPr>
        <w:t xml:space="preserve"> </w:t>
      </w:r>
      <w:r>
        <w:rPr>
          <w:rFonts w:ascii="Times New Roman" w:hAnsi="Times New Roman" w:cs="Times New Roman"/>
          <w:i/>
          <w:iCs/>
          <w:w w:val="105"/>
          <w:sz w:val="23"/>
          <w:szCs w:val="23"/>
        </w:rPr>
        <w:t>need</w:t>
      </w:r>
      <w:r>
        <w:rPr>
          <w:rFonts w:ascii="Times New Roman" w:hAnsi="Times New Roman" w:cs="Times New Roman"/>
          <w:i/>
          <w:iCs/>
          <w:spacing w:val="-24"/>
          <w:w w:val="105"/>
          <w:sz w:val="23"/>
          <w:szCs w:val="23"/>
        </w:rPr>
        <w:t xml:space="preserve"> </w:t>
      </w:r>
      <w:r>
        <w:rPr>
          <w:rFonts w:ascii="Times New Roman" w:hAnsi="Times New Roman" w:cs="Times New Roman"/>
          <w:i/>
          <w:iCs/>
          <w:spacing w:val="5"/>
          <w:w w:val="105"/>
          <w:sz w:val="23"/>
          <w:szCs w:val="23"/>
        </w:rPr>
        <w:t>to</w:t>
      </w:r>
      <w:r w:rsidR="00344961">
        <w:rPr>
          <w:rFonts w:ascii="Times New Roman" w:hAnsi="Times New Roman" w:cs="Times New Roman"/>
          <w:i/>
          <w:iCs/>
          <w:spacing w:val="5"/>
          <w:w w:val="105"/>
          <w:sz w:val="23"/>
          <w:szCs w:val="23"/>
        </w:rPr>
        <w:t xml:space="preserve"> </w:t>
      </w:r>
      <w:r>
        <w:rPr>
          <w:rFonts w:ascii="Times New Roman" w:hAnsi="Times New Roman" w:cs="Times New Roman"/>
          <w:i/>
          <w:iCs/>
          <w:spacing w:val="5"/>
          <w:w w:val="105"/>
          <w:sz w:val="23"/>
          <w:szCs w:val="23"/>
        </w:rPr>
        <w:t>be</w:t>
      </w:r>
      <w:r w:rsidR="00344961">
        <w:rPr>
          <w:rFonts w:ascii="Times New Roman" w:hAnsi="Times New Roman" w:cs="Times New Roman"/>
          <w:i/>
          <w:iCs/>
          <w:spacing w:val="5"/>
          <w:w w:val="105"/>
          <w:sz w:val="23"/>
          <w:szCs w:val="23"/>
        </w:rPr>
        <w:t xml:space="preserve"> determin</w:t>
      </w:r>
      <w:r>
        <w:rPr>
          <w:rFonts w:ascii="Times New Roman" w:hAnsi="Times New Roman" w:cs="Times New Roman"/>
          <w:i/>
          <w:iCs/>
          <w:spacing w:val="5"/>
          <w:w w:val="105"/>
          <w:sz w:val="23"/>
          <w:szCs w:val="23"/>
        </w:rPr>
        <w:t>ed</w:t>
      </w:r>
      <w:r>
        <w:rPr>
          <w:rFonts w:ascii="Times New Roman" w:hAnsi="Times New Roman" w:cs="Times New Roman"/>
          <w:i/>
          <w:iCs/>
          <w:spacing w:val="-20"/>
          <w:w w:val="105"/>
          <w:sz w:val="23"/>
          <w:szCs w:val="23"/>
        </w:rPr>
        <w:t xml:space="preserve"> </w:t>
      </w:r>
      <w:r>
        <w:rPr>
          <w:rFonts w:ascii="Times New Roman" w:hAnsi="Times New Roman" w:cs="Times New Roman"/>
          <w:i/>
          <w:iCs/>
          <w:w w:val="105"/>
          <w:sz w:val="23"/>
          <w:szCs w:val="23"/>
        </w:rPr>
        <w:t>before he/she</w:t>
      </w:r>
      <w:r>
        <w:rPr>
          <w:rFonts w:ascii="Times New Roman" w:hAnsi="Times New Roman" w:cs="Times New Roman"/>
          <w:i/>
          <w:iCs/>
          <w:spacing w:val="-18"/>
          <w:w w:val="105"/>
          <w:sz w:val="23"/>
          <w:szCs w:val="23"/>
        </w:rPr>
        <w:t xml:space="preserve"> </w:t>
      </w:r>
      <w:r>
        <w:rPr>
          <w:rFonts w:ascii="Times New Roman" w:hAnsi="Times New Roman" w:cs="Times New Roman"/>
          <w:i/>
          <w:iCs/>
          <w:w w:val="105"/>
          <w:sz w:val="23"/>
          <w:szCs w:val="23"/>
        </w:rPr>
        <w:t>can</w:t>
      </w:r>
      <w:r>
        <w:rPr>
          <w:rFonts w:ascii="Times New Roman" w:hAnsi="Times New Roman" w:cs="Times New Roman"/>
          <w:i/>
          <w:iCs/>
          <w:spacing w:val="-17"/>
          <w:w w:val="105"/>
          <w:sz w:val="23"/>
          <w:szCs w:val="23"/>
        </w:rPr>
        <w:t xml:space="preserve"> </w:t>
      </w:r>
      <w:r>
        <w:rPr>
          <w:rFonts w:ascii="Times New Roman" w:hAnsi="Times New Roman" w:cs="Times New Roman"/>
          <w:i/>
          <w:iCs/>
          <w:w w:val="105"/>
          <w:sz w:val="23"/>
          <w:szCs w:val="23"/>
        </w:rPr>
        <w:t>begin</w:t>
      </w:r>
      <w:r>
        <w:rPr>
          <w:rFonts w:ascii="Times New Roman" w:hAnsi="Times New Roman" w:cs="Times New Roman"/>
          <w:i/>
          <w:iCs/>
          <w:spacing w:val="-17"/>
          <w:w w:val="105"/>
          <w:sz w:val="23"/>
          <w:szCs w:val="23"/>
        </w:rPr>
        <w:t xml:space="preserve"> </w:t>
      </w:r>
      <w:r>
        <w:rPr>
          <w:rFonts w:ascii="Times New Roman" w:hAnsi="Times New Roman" w:cs="Times New Roman"/>
          <w:i/>
          <w:iCs/>
          <w:spacing w:val="4"/>
          <w:w w:val="105"/>
          <w:sz w:val="23"/>
          <w:szCs w:val="23"/>
        </w:rPr>
        <w:t>the</w:t>
      </w:r>
      <w:r w:rsidR="00344961">
        <w:rPr>
          <w:rFonts w:ascii="Times New Roman" w:hAnsi="Times New Roman" w:cs="Times New Roman"/>
          <w:i/>
          <w:iCs/>
          <w:spacing w:val="4"/>
          <w:w w:val="105"/>
          <w:sz w:val="23"/>
          <w:szCs w:val="23"/>
        </w:rPr>
        <w:t xml:space="preserve"> </w:t>
      </w:r>
      <w:r>
        <w:rPr>
          <w:rFonts w:ascii="Times New Roman" w:hAnsi="Times New Roman" w:cs="Times New Roman"/>
          <w:i/>
          <w:iCs/>
          <w:spacing w:val="4"/>
          <w:w w:val="105"/>
          <w:sz w:val="23"/>
          <w:szCs w:val="23"/>
        </w:rPr>
        <w:t>process</w:t>
      </w:r>
      <w:r>
        <w:rPr>
          <w:rFonts w:ascii="Times New Roman" w:hAnsi="Times New Roman" w:cs="Times New Roman"/>
          <w:i/>
          <w:iCs/>
          <w:spacing w:val="1"/>
          <w:w w:val="105"/>
          <w:sz w:val="23"/>
          <w:szCs w:val="23"/>
        </w:rPr>
        <w:t xml:space="preserve"> </w:t>
      </w:r>
      <w:r>
        <w:rPr>
          <w:rFonts w:ascii="Times New Roman" w:hAnsi="Times New Roman" w:cs="Times New Roman"/>
          <w:i/>
          <w:iCs/>
          <w:w w:val="105"/>
          <w:sz w:val="23"/>
          <w:szCs w:val="23"/>
        </w:rPr>
        <w:t>of</w:t>
      </w:r>
      <w:r>
        <w:rPr>
          <w:rFonts w:ascii="Times New Roman" w:hAnsi="Times New Roman" w:cs="Times New Roman"/>
          <w:i/>
          <w:iCs/>
          <w:spacing w:val="-22"/>
          <w:w w:val="105"/>
          <w:sz w:val="23"/>
          <w:szCs w:val="23"/>
        </w:rPr>
        <w:t xml:space="preserve"> </w:t>
      </w:r>
      <w:r>
        <w:rPr>
          <w:rFonts w:ascii="Times New Roman" w:hAnsi="Times New Roman" w:cs="Times New Roman"/>
          <w:i/>
          <w:iCs/>
          <w:w w:val="105"/>
          <w:sz w:val="23"/>
          <w:szCs w:val="23"/>
        </w:rPr>
        <w:t>enrolling</w:t>
      </w:r>
      <w:r>
        <w:rPr>
          <w:rFonts w:ascii="Times New Roman" w:hAnsi="Times New Roman" w:cs="Times New Roman"/>
          <w:i/>
          <w:iCs/>
          <w:spacing w:val="-11"/>
          <w:w w:val="105"/>
          <w:sz w:val="23"/>
          <w:szCs w:val="23"/>
        </w:rPr>
        <w:t xml:space="preserve"> </w:t>
      </w:r>
      <w:r>
        <w:rPr>
          <w:rFonts w:ascii="Times New Roman" w:hAnsi="Times New Roman" w:cs="Times New Roman"/>
          <w:i/>
          <w:iCs/>
          <w:w w:val="105"/>
          <w:sz w:val="23"/>
          <w:szCs w:val="23"/>
        </w:rPr>
        <w:t>in</w:t>
      </w:r>
      <w:r>
        <w:rPr>
          <w:rFonts w:ascii="Times New Roman" w:hAnsi="Times New Roman" w:cs="Times New Roman"/>
          <w:i/>
          <w:iCs/>
          <w:spacing w:val="-30"/>
          <w:w w:val="105"/>
          <w:sz w:val="23"/>
          <w:szCs w:val="23"/>
        </w:rPr>
        <w:t xml:space="preserve"> </w:t>
      </w:r>
      <w:r>
        <w:rPr>
          <w:rFonts w:ascii="Times New Roman" w:hAnsi="Times New Roman" w:cs="Times New Roman"/>
          <w:i/>
          <w:iCs/>
          <w:w w:val="105"/>
          <w:sz w:val="23"/>
          <w:szCs w:val="23"/>
        </w:rPr>
        <w:t>Medicaid</w:t>
      </w:r>
      <w:r>
        <w:rPr>
          <w:rFonts w:ascii="Times New Roman" w:hAnsi="Times New Roman" w:cs="Times New Roman"/>
          <w:i/>
          <w:iCs/>
          <w:spacing w:val="-3"/>
          <w:w w:val="105"/>
          <w:sz w:val="23"/>
          <w:szCs w:val="23"/>
        </w:rPr>
        <w:t xml:space="preserve"> </w:t>
      </w:r>
      <w:r>
        <w:rPr>
          <w:rFonts w:ascii="Times New Roman" w:hAnsi="Times New Roman" w:cs="Times New Roman"/>
          <w:i/>
          <w:iCs/>
          <w:w w:val="105"/>
          <w:sz w:val="23"/>
          <w:szCs w:val="23"/>
        </w:rPr>
        <w:t>in</w:t>
      </w:r>
      <w:r>
        <w:rPr>
          <w:rFonts w:ascii="Times New Roman" w:hAnsi="Times New Roman" w:cs="Times New Roman"/>
          <w:i/>
          <w:iCs/>
          <w:spacing w:val="-23"/>
          <w:w w:val="105"/>
          <w:sz w:val="23"/>
          <w:szCs w:val="23"/>
        </w:rPr>
        <w:t xml:space="preserve"> </w:t>
      </w:r>
      <w:r>
        <w:rPr>
          <w:rFonts w:ascii="Times New Roman" w:hAnsi="Times New Roman" w:cs="Times New Roman"/>
          <w:i/>
          <w:iCs/>
          <w:w w:val="105"/>
          <w:sz w:val="23"/>
          <w:szCs w:val="23"/>
        </w:rPr>
        <w:t>the</w:t>
      </w:r>
      <w:r>
        <w:rPr>
          <w:rFonts w:ascii="Times New Roman" w:hAnsi="Times New Roman" w:cs="Times New Roman"/>
          <w:i/>
          <w:iCs/>
          <w:spacing w:val="-31"/>
          <w:w w:val="105"/>
          <w:sz w:val="23"/>
          <w:szCs w:val="23"/>
        </w:rPr>
        <w:t xml:space="preserve"> </w:t>
      </w:r>
      <w:r>
        <w:rPr>
          <w:rFonts w:ascii="Times New Roman" w:hAnsi="Times New Roman" w:cs="Times New Roman"/>
          <w:i/>
          <w:iCs/>
          <w:w w:val="105"/>
          <w:sz w:val="23"/>
          <w:szCs w:val="23"/>
        </w:rPr>
        <w:t>home</w:t>
      </w:r>
      <w:r>
        <w:rPr>
          <w:rFonts w:ascii="Times New Roman" w:hAnsi="Times New Roman" w:cs="Times New Roman"/>
          <w:i/>
          <w:iCs/>
          <w:spacing w:val="-29"/>
          <w:w w:val="105"/>
          <w:sz w:val="23"/>
          <w:szCs w:val="23"/>
        </w:rPr>
        <w:t xml:space="preserve"> </w:t>
      </w:r>
      <w:r>
        <w:rPr>
          <w:rFonts w:ascii="Times New Roman" w:hAnsi="Times New Roman" w:cs="Times New Roman"/>
          <w:i/>
          <w:iCs/>
          <w:w w:val="105"/>
          <w:sz w:val="23"/>
          <w:szCs w:val="23"/>
        </w:rPr>
        <w:t>state</w:t>
      </w:r>
      <w:r>
        <w:rPr>
          <w:rFonts w:ascii="Times New Roman" w:hAnsi="Times New Roman" w:cs="Times New Roman"/>
          <w:i/>
          <w:iCs/>
          <w:spacing w:val="-22"/>
          <w:w w:val="105"/>
          <w:sz w:val="23"/>
          <w:szCs w:val="23"/>
        </w:rPr>
        <w:t xml:space="preserve"> </w:t>
      </w:r>
      <w:r>
        <w:rPr>
          <w:rFonts w:ascii="Times New Roman" w:hAnsi="Times New Roman" w:cs="Times New Roman"/>
          <w:i/>
          <w:iCs/>
          <w:w w:val="105"/>
          <w:sz w:val="23"/>
          <w:szCs w:val="23"/>
        </w:rPr>
        <w:t>to</w:t>
      </w:r>
      <w:r>
        <w:rPr>
          <w:rFonts w:ascii="Times New Roman" w:hAnsi="Times New Roman" w:cs="Times New Roman"/>
          <w:i/>
          <w:iCs/>
          <w:spacing w:val="-23"/>
          <w:w w:val="105"/>
          <w:sz w:val="23"/>
          <w:szCs w:val="23"/>
        </w:rPr>
        <w:t xml:space="preserve"> </w:t>
      </w:r>
      <w:r>
        <w:rPr>
          <w:rFonts w:ascii="Times New Roman" w:hAnsi="Times New Roman" w:cs="Times New Roman"/>
          <w:i/>
          <w:iCs/>
          <w:w w:val="105"/>
          <w:sz w:val="23"/>
          <w:szCs w:val="23"/>
        </w:rPr>
        <w:t>which</w:t>
      </w:r>
      <w:r>
        <w:rPr>
          <w:rFonts w:ascii="Times New Roman" w:hAnsi="Times New Roman" w:cs="Times New Roman"/>
          <w:i/>
          <w:iCs/>
          <w:spacing w:val="-17"/>
          <w:w w:val="105"/>
          <w:sz w:val="23"/>
          <w:szCs w:val="23"/>
        </w:rPr>
        <w:t xml:space="preserve"> </w:t>
      </w:r>
      <w:r>
        <w:rPr>
          <w:rFonts w:ascii="Times New Roman" w:hAnsi="Times New Roman" w:cs="Times New Roman"/>
          <w:i/>
          <w:iCs/>
          <w:w w:val="105"/>
          <w:sz w:val="23"/>
          <w:szCs w:val="23"/>
        </w:rPr>
        <w:t>he/she</w:t>
      </w:r>
      <w:r>
        <w:rPr>
          <w:rFonts w:ascii="Times New Roman" w:hAnsi="Times New Roman" w:cs="Times New Roman"/>
          <w:i/>
          <w:iCs/>
          <w:spacing w:val="-14"/>
          <w:w w:val="105"/>
          <w:sz w:val="23"/>
          <w:szCs w:val="23"/>
        </w:rPr>
        <w:t xml:space="preserve"> </w:t>
      </w:r>
      <w:r>
        <w:rPr>
          <w:rFonts w:ascii="Times New Roman" w:hAnsi="Times New Roman" w:cs="Times New Roman"/>
          <w:i/>
          <w:iCs/>
          <w:w w:val="105"/>
          <w:sz w:val="23"/>
          <w:szCs w:val="23"/>
        </w:rPr>
        <w:t xml:space="preserve">will </w:t>
      </w:r>
      <w:r>
        <w:rPr>
          <w:rFonts w:ascii="Times New Roman" w:hAnsi="Times New Roman" w:cs="Times New Roman"/>
          <w:i/>
          <w:iCs/>
          <w:spacing w:val="3"/>
          <w:w w:val="105"/>
          <w:sz w:val="23"/>
          <w:szCs w:val="23"/>
        </w:rPr>
        <w:t>be</w:t>
      </w:r>
      <w:r w:rsidR="00344961">
        <w:rPr>
          <w:rFonts w:ascii="Times New Roman" w:hAnsi="Times New Roman" w:cs="Times New Roman"/>
          <w:i/>
          <w:iCs/>
          <w:spacing w:val="3"/>
          <w:w w:val="105"/>
          <w:sz w:val="23"/>
          <w:szCs w:val="23"/>
        </w:rPr>
        <w:t xml:space="preserve"> </w:t>
      </w:r>
      <w:r>
        <w:rPr>
          <w:rFonts w:ascii="Times New Roman" w:hAnsi="Times New Roman" w:cs="Times New Roman"/>
          <w:i/>
          <w:iCs/>
          <w:spacing w:val="3"/>
          <w:w w:val="105"/>
          <w:sz w:val="23"/>
          <w:szCs w:val="23"/>
        </w:rPr>
        <w:t>returning</w:t>
      </w:r>
      <w:r>
        <w:rPr>
          <w:rFonts w:ascii="Times New Roman" w:hAnsi="Times New Roman" w:cs="Times New Roman"/>
          <w:i/>
          <w:iCs/>
          <w:spacing w:val="-29"/>
          <w:w w:val="105"/>
          <w:sz w:val="23"/>
          <w:szCs w:val="23"/>
        </w:rPr>
        <w:t xml:space="preserve"> </w:t>
      </w:r>
      <w:r>
        <w:rPr>
          <w:rFonts w:ascii="Times New Roman" w:hAnsi="Times New Roman" w:cs="Times New Roman"/>
          <w:i/>
          <w:iCs/>
          <w:w w:val="105"/>
          <w:sz w:val="23"/>
          <w:szCs w:val="23"/>
        </w:rPr>
        <w:t>upon</w:t>
      </w:r>
      <w:r>
        <w:rPr>
          <w:rFonts w:ascii="Times New Roman" w:hAnsi="Times New Roman" w:cs="Times New Roman"/>
          <w:i/>
          <w:iCs/>
          <w:spacing w:val="-34"/>
          <w:w w:val="105"/>
          <w:sz w:val="23"/>
          <w:szCs w:val="23"/>
        </w:rPr>
        <w:t xml:space="preserve"> </w:t>
      </w:r>
      <w:r>
        <w:rPr>
          <w:rFonts w:ascii="Times New Roman" w:hAnsi="Times New Roman" w:cs="Times New Roman"/>
          <w:i/>
          <w:iCs/>
          <w:spacing w:val="3"/>
          <w:w w:val="105"/>
          <w:sz w:val="23"/>
          <w:szCs w:val="23"/>
        </w:rPr>
        <w:t>release</w:t>
      </w:r>
      <w:r w:rsidR="00344961">
        <w:rPr>
          <w:rFonts w:ascii="Times New Roman" w:hAnsi="Times New Roman" w:cs="Times New Roman"/>
          <w:i/>
          <w:iCs/>
          <w:spacing w:val="3"/>
          <w:w w:val="105"/>
          <w:sz w:val="23"/>
          <w:szCs w:val="23"/>
        </w:rPr>
        <w:t xml:space="preserve"> </w:t>
      </w:r>
      <w:r>
        <w:rPr>
          <w:rFonts w:ascii="Times New Roman" w:hAnsi="Times New Roman" w:cs="Times New Roman"/>
          <w:i/>
          <w:iCs/>
          <w:spacing w:val="3"/>
          <w:w w:val="105"/>
          <w:sz w:val="23"/>
          <w:szCs w:val="23"/>
        </w:rPr>
        <w:t>from</w:t>
      </w:r>
      <w:r>
        <w:rPr>
          <w:rFonts w:ascii="Times New Roman" w:hAnsi="Times New Roman" w:cs="Times New Roman"/>
          <w:i/>
          <w:iCs/>
          <w:spacing w:val="-19"/>
          <w:w w:val="105"/>
          <w:sz w:val="23"/>
          <w:szCs w:val="23"/>
        </w:rPr>
        <w:t xml:space="preserve"> </w:t>
      </w:r>
      <w:r>
        <w:rPr>
          <w:rFonts w:ascii="Times New Roman" w:hAnsi="Times New Roman" w:cs="Times New Roman"/>
          <w:i/>
          <w:iCs/>
          <w:w w:val="105"/>
          <w:sz w:val="23"/>
          <w:szCs w:val="23"/>
        </w:rPr>
        <w:t>the</w:t>
      </w:r>
      <w:r>
        <w:rPr>
          <w:rFonts w:ascii="Times New Roman" w:hAnsi="Times New Roman" w:cs="Times New Roman"/>
          <w:i/>
          <w:iCs/>
          <w:spacing w:val="-38"/>
          <w:w w:val="105"/>
          <w:sz w:val="23"/>
          <w:szCs w:val="23"/>
        </w:rPr>
        <w:t xml:space="preserve"> </w:t>
      </w:r>
      <w:r>
        <w:rPr>
          <w:rFonts w:ascii="Times New Roman" w:hAnsi="Times New Roman" w:cs="Times New Roman"/>
          <w:i/>
          <w:iCs/>
          <w:w w:val="105"/>
          <w:sz w:val="23"/>
          <w:szCs w:val="23"/>
        </w:rPr>
        <w:t>correctional</w:t>
      </w:r>
      <w:r>
        <w:rPr>
          <w:rFonts w:ascii="Times New Roman" w:hAnsi="Times New Roman" w:cs="Times New Roman"/>
          <w:i/>
          <w:iCs/>
          <w:spacing w:val="-29"/>
          <w:w w:val="105"/>
          <w:sz w:val="23"/>
          <w:szCs w:val="23"/>
        </w:rPr>
        <w:t xml:space="preserve"> </w:t>
      </w:r>
      <w:r>
        <w:rPr>
          <w:rFonts w:ascii="Times New Roman" w:hAnsi="Times New Roman" w:cs="Times New Roman"/>
          <w:i/>
          <w:iCs/>
          <w:w w:val="105"/>
          <w:sz w:val="23"/>
          <w:szCs w:val="23"/>
        </w:rPr>
        <w:t>institution?</w:t>
      </w:r>
    </w:p>
    <w:p w:rsidR="002C5025" w:rsidRDefault="002C5025">
      <w:pPr>
        <w:pStyle w:val="BodyText"/>
        <w:tabs>
          <w:tab w:val="left" w:pos="819"/>
        </w:tabs>
        <w:kinsoku w:val="0"/>
        <w:overflowPunct w:val="0"/>
        <w:spacing w:before="196" w:line="288" w:lineRule="auto"/>
        <w:ind w:left="130" w:right="2162"/>
        <w:rPr>
          <w:rFonts w:ascii="Times New Roman" w:hAnsi="Times New Roman" w:cs="Times New Roman"/>
        </w:rPr>
      </w:pPr>
      <w:r>
        <w:rPr>
          <w:rFonts w:ascii="Times New Roman" w:hAnsi="Times New Roman" w:cs="Times New Roman"/>
          <w:sz w:val="23"/>
          <w:szCs w:val="23"/>
        </w:rPr>
        <w:t>Al</w:t>
      </w:r>
      <w:r>
        <w:rPr>
          <w:rFonts w:ascii="Times New Roman" w:hAnsi="Times New Roman" w:cs="Times New Roman"/>
          <w:spacing w:val="-5"/>
          <w:sz w:val="23"/>
          <w:szCs w:val="23"/>
        </w:rPr>
        <w:t xml:space="preserve"> </w:t>
      </w:r>
      <w:r>
        <w:rPr>
          <w:rFonts w:ascii="Times New Roman" w:hAnsi="Times New Roman" w:cs="Times New Roman"/>
          <w:sz w:val="23"/>
          <w:szCs w:val="23"/>
        </w:rPr>
        <w:t>7.</w:t>
      </w:r>
      <w:r>
        <w:rPr>
          <w:rFonts w:ascii="Times New Roman" w:hAnsi="Times New Roman" w:cs="Times New Roman"/>
          <w:sz w:val="23"/>
          <w:szCs w:val="23"/>
        </w:rPr>
        <w:tab/>
      </w:r>
      <w:r>
        <w:rPr>
          <w:rFonts w:ascii="Times New Roman" w:hAnsi="Times New Roman" w:cs="Times New Roman"/>
        </w:rPr>
        <w:t xml:space="preserve">There should not be simultaneous Medicaid  coverage  in multiple  states.  </w:t>
      </w:r>
      <w:r>
        <w:rPr>
          <w:rFonts w:ascii="Times New Roman" w:hAnsi="Times New Roman" w:cs="Times New Roman"/>
          <w:spacing w:val="15"/>
        </w:rPr>
        <w:t xml:space="preserve"> </w:t>
      </w:r>
      <w:r>
        <w:rPr>
          <w:rFonts w:ascii="Times New Roman" w:hAnsi="Times New Roman" w:cs="Times New Roman"/>
        </w:rPr>
        <w:t>However,</w:t>
      </w:r>
      <w:r>
        <w:rPr>
          <w:rFonts w:ascii="Times New Roman" w:hAnsi="Times New Roman" w:cs="Times New Roman"/>
          <w:spacing w:val="37"/>
        </w:rPr>
        <w:t xml:space="preserve"> </w:t>
      </w:r>
      <w:r>
        <w:rPr>
          <w:rFonts w:ascii="Times New Roman" w:hAnsi="Times New Roman" w:cs="Times New Roman"/>
        </w:rPr>
        <w:t>it</w:t>
      </w:r>
      <w:r>
        <w:rPr>
          <w:rFonts w:ascii="Times New Roman" w:hAnsi="Times New Roman" w:cs="Times New Roman"/>
          <w:spacing w:val="1"/>
        </w:rPr>
        <w:t xml:space="preserve"> </w:t>
      </w:r>
      <w:r>
        <w:rPr>
          <w:rFonts w:ascii="Times New Roman" w:hAnsi="Times New Roman" w:cs="Times New Roman"/>
        </w:rPr>
        <w:t xml:space="preserve">would be possible to initiate an application for benefits in a second state prior to termination in  the first state. In this situation, there should be communication between the respective state agencies to ensure there are no overlapping  coverage </w:t>
      </w:r>
      <w:r>
        <w:rPr>
          <w:rFonts w:ascii="Times New Roman" w:hAnsi="Times New Roman" w:cs="Times New Roman"/>
          <w:spacing w:val="54"/>
        </w:rPr>
        <w:t xml:space="preserve"> </w:t>
      </w:r>
      <w:r>
        <w:rPr>
          <w:rFonts w:ascii="Times New Roman" w:hAnsi="Times New Roman" w:cs="Times New Roman"/>
        </w:rPr>
        <w:t>periods.</w:t>
      </w:r>
    </w:p>
    <w:p w:rsidR="002C5025" w:rsidRDefault="002C5025">
      <w:pPr>
        <w:pStyle w:val="BodyText"/>
        <w:tabs>
          <w:tab w:val="left" w:pos="826"/>
        </w:tabs>
        <w:kinsoku w:val="0"/>
        <w:overflowPunct w:val="0"/>
        <w:spacing w:before="190" w:line="273" w:lineRule="auto"/>
        <w:ind w:left="137" w:right="1958" w:firstLine="7"/>
        <w:rPr>
          <w:rFonts w:ascii="Times New Roman" w:hAnsi="Times New Roman" w:cs="Times New Roman"/>
          <w:i/>
          <w:iCs/>
          <w:sz w:val="23"/>
          <w:szCs w:val="23"/>
        </w:rPr>
      </w:pPr>
      <w:r>
        <w:rPr>
          <w:rFonts w:ascii="Times New Roman" w:hAnsi="Times New Roman" w:cs="Times New Roman"/>
          <w:spacing w:val="-4"/>
          <w:sz w:val="23"/>
          <w:szCs w:val="23"/>
        </w:rPr>
        <w:t>Q18.</w:t>
      </w:r>
      <w:r>
        <w:rPr>
          <w:rFonts w:ascii="Times New Roman" w:hAnsi="Times New Roman" w:cs="Times New Roman"/>
          <w:spacing w:val="-4"/>
          <w:sz w:val="23"/>
          <w:szCs w:val="23"/>
        </w:rPr>
        <w:tab/>
      </w:r>
      <w:r>
        <w:rPr>
          <w:rFonts w:ascii="Times New Roman" w:hAnsi="Times New Roman" w:cs="Times New Roman"/>
          <w:sz w:val="23"/>
          <w:szCs w:val="23"/>
          <w:u w:val="thick" w:color="000000"/>
        </w:rPr>
        <w:t xml:space="preserve">Applying  for Medicaid  in a Different  State: </w:t>
      </w:r>
      <w:r>
        <w:rPr>
          <w:rFonts w:ascii="Times New Roman" w:hAnsi="Times New Roman" w:cs="Times New Roman"/>
          <w:i/>
          <w:iCs/>
          <w:sz w:val="23"/>
          <w:szCs w:val="23"/>
        </w:rPr>
        <w:t>Prior  to release, can</w:t>
      </w:r>
      <w:r>
        <w:rPr>
          <w:rFonts w:ascii="Times New Roman" w:hAnsi="Times New Roman" w:cs="Times New Roman"/>
          <w:i/>
          <w:iCs/>
          <w:spacing w:val="47"/>
          <w:sz w:val="23"/>
          <w:szCs w:val="23"/>
        </w:rPr>
        <w:t xml:space="preserve"> </w:t>
      </w:r>
      <w:r>
        <w:rPr>
          <w:rFonts w:ascii="Times New Roman" w:hAnsi="Times New Roman" w:cs="Times New Roman"/>
          <w:i/>
          <w:iCs/>
          <w:sz w:val="23"/>
          <w:szCs w:val="23"/>
        </w:rPr>
        <w:t>an</w:t>
      </w:r>
      <w:r>
        <w:rPr>
          <w:rFonts w:ascii="Times New Roman" w:hAnsi="Times New Roman" w:cs="Times New Roman"/>
          <w:i/>
          <w:iCs/>
          <w:spacing w:val="14"/>
          <w:sz w:val="23"/>
          <w:szCs w:val="23"/>
        </w:rPr>
        <w:t xml:space="preserve"> </w:t>
      </w:r>
      <w:r>
        <w:rPr>
          <w:rFonts w:ascii="Times New Roman" w:hAnsi="Times New Roman" w:cs="Times New Roman"/>
          <w:i/>
          <w:iCs/>
          <w:sz w:val="23"/>
          <w:szCs w:val="23"/>
        </w:rPr>
        <w:t>individual incarcer</w:t>
      </w:r>
      <w:r w:rsidR="00344961">
        <w:rPr>
          <w:rFonts w:ascii="Times New Roman" w:hAnsi="Times New Roman" w:cs="Times New Roman"/>
          <w:i/>
          <w:iCs/>
          <w:sz w:val="23"/>
          <w:szCs w:val="23"/>
        </w:rPr>
        <w:t>a</w:t>
      </w:r>
      <w:r>
        <w:rPr>
          <w:rFonts w:ascii="Times New Roman" w:hAnsi="Times New Roman" w:cs="Times New Roman"/>
          <w:i/>
          <w:iCs/>
          <w:sz w:val="23"/>
          <w:szCs w:val="23"/>
        </w:rPr>
        <w:t>ted in a correctional institution apply for Medicaid in a different state in which the individual intends to reside upon</w:t>
      </w:r>
      <w:r>
        <w:rPr>
          <w:rFonts w:ascii="Times New Roman" w:hAnsi="Times New Roman" w:cs="Times New Roman"/>
          <w:i/>
          <w:iCs/>
          <w:spacing w:val="24"/>
          <w:sz w:val="23"/>
          <w:szCs w:val="23"/>
        </w:rPr>
        <w:t xml:space="preserve"> </w:t>
      </w:r>
      <w:r>
        <w:rPr>
          <w:rFonts w:ascii="Times New Roman" w:hAnsi="Times New Roman" w:cs="Times New Roman"/>
          <w:i/>
          <w:iCs/>
          <w:sz w:val="23"/>
          <w:szCs w:val="23"/>
        </w:rPr>
        <w:t>release?</w:t>
      </w:r>
    </w:p>
    <w:p w:rsidR="002C5025" w:rsidRDefault="002C5025">
      <w:pPr>
        <w:pStyle w:val="BodyText"/>
        <w:kinsoku w:val="0"/>
        <w:overflowPunct w:val="0"/>
        <w:spacing w:before="3"/>
        <w:rPr>
          <w:rFonts w:ascii="Times New Roman" w:hAnsi="Times New Roman" w:cs="Times New Roman"/>
          <w:i/>
          <w:iCs/>
          <w:sz w:val="17"/>
          <w:szCs w:val="17"/>
        </w:rPr>
      </w:pPr>
    </w:p>
    <w:p w:rsidR="002C5025" w:rsidRDefault="002C5025">
      <w:pPr>
        <w:pStyle w:val="BodyText"/>
        <w:tabs>
          <w:tab w:val="left" w:pos="833"/>
        </w:tabs>
        <w:kinsoku w:val="0"/>
        <w:overflowPunct w:val="0"/>
        <w:spacing w:line="283" w:lineRule="auto"/>
        <w:ind w:left="144" w:right="1867" w:hanging="10"/>
        <w:rPr>
          <w:rFonts w:ascii="Times New Roman" w:hAnsi="Times New Roman" w:cs="Times New Roman"/>
        </w:rPr>
      </w:pPr>
      <w:r>
        <w:rPr>
          <w:rFonts w:ascii="Times New Roman" w:hAnsi="Times New Roman" w:cs="Times New Roman"/>
          <w:sz w:val="23"/>
          <w:szCs w:val="23"/>
        </w:rPr>
        <w:t>A18.</w:t>
      </w:r>
      <w:r>
        <w:rPr>
          <w:rFonts w:ascii="Times New Roman" w:hAnsi="Times New Roman" w:cs="Times New Roman"/>
          <w:sz w:val="23"/>
          <w:szCs w:val="23"/>
        </w:rPr>
        <w:tab/>
      </w:r>
      <w:r>
        <w:rPr>
          <w:rFonts w:ascii="Times New Roman" w:hAnsi="Times New Roman" w:cs="Times New Roman"/>
        </w:rPr>
        <w:t>Yes.   States can process  applications  of incarcerated  individuals  prior to</w:t>
      </w:r>
      <w:r>
        <w:rPr>
          <w:rFonts w:ascii="Times New Roman" w:hAnsi="Times New Roman" w:cs="Times New Roman"/>
          <w:spacing w:val="3"/>
        </w:rPr>
        <w:t xml:space="preserve"> </w:t>
      </w:r>
      <w:r>
        <w:rPr>
          <w:rFonts w:ascii="Times New Roman" w:hAnsi="Times New Roman" w:cs="Times New Roman"/>
        </w:rPr>
        <w:t>the</w:t>
      </w:r>
      <w:r>
        <w:rPr>
          <w:rFonts w:ascii="Times New Roman" w:hAnsi="Times New Roman" w:cs="Times New Roman"/>
          <w:spacing w:val="26"/>
        </w:rPr>
        <w:t xml:space="preserve"> </w:t>
      </w:r>
      <w:r>
        <w:rPr>
          <w:rFonts w:ascii="Times New Roman" w:hAnsi="Times New Roman" w:cs="Times New Roman"/>
        </w:rPr>
        <w:t xml:space="preserve">individual's release, regardless  of whether the  individual  intends to reside in the same state or a  </w:t>
      </w:r>
      <w:r>
        <w:rPr>
          <w:rFonts w:ascii="Times New Roman" w:hAnsi="Times New Roman" w:cs="Times New Roman"/>
          <w:spacing w:val="9"/>
        </w:rPr>
        <w:t xml:space="preserve"> </w:t>
      </w:r>
      <w:r>
        <w:rPr>
          <w:rFonts w:ascii="Times New Roman" w:hAnsi="Times New Roman" w:cs="Times New Roman"/>
        </w:rPr>
        <w:t>different</w:t>
      </w:r>
    </w:p>
    <w:p w:rsidR="002C5025" w:rsidRDefault="002C5025">
      <w:pPr>
        <w:pStyle w:val="BodyText"/>
        <w:tabs>
          <w:tab w:val="left" w:pos="833"/>
        </w:tabs>
        <w:kinsoku w:val="0"/>
        <w:overflowPunct w:val="0"/>
        <w:spacing w:line="283" w:lineRule="auto"/>
        <w:ind w:left="144" w:right="1867" w:hanging="10"/>
        <w:rPr>
          <w:rFonts w:ascii="Times New Roman" w:hAnsi="Times New Roman" w:cs="Times New Roman"/>
        </w:rPr>
        <w:sectPr w:rsidR="002C5025">
          <w:pgSz w:w="12240" w:h="15840"/>
          <w:pgMar w:top="620" w:right="0" w:bottom="280" w:left="1480" w:header="720" w:footer="720" w:gutter="0"/>
          <w:cols w:space="720" w:equalWidth="0">
            <w:col w:w="10760"/>
          </w:cols>
          <w:noEndnote/>
        </w:sectPr>
      </w:pPr>
    </w:p>
    <w:p w:rsidR="002C5025" w:rsidRDefault="002C5025">
      <w:pPr>
        <w:pStyle w:val="BodyText"/>
        <w:kinsoku w:val="0"/>
        <w:overflowPunct w:val="0"/>
        <w:spacing w:before="63"/>
        <w:ind w:left="162" w:right="346"/>
        <w:rPr>
          <w:rFonts w:ascii="Times New Roman" w:hAnsi="Times New Roman" w:cs="Times New Roman"/>
          <w:sz w:val="20"/>
          <w:szCs w:val="20"/>
        </w:rPr>
      </w:pPr>
      <w:r>
        <w:rPr>
          <w:rFonts w:ascii="Times New Roman" w:hAnsi="Times New Roman" w:cs="Times New Roman"/>
          <w:sz w:val="20"/>
          <w:szCs w:val="20"/>
        </w:rPr>
        <w:lastRenderedPageBreak/>
        <w:t xml:space="preserve">Page 10-State </w:t>
      </w:r>
      <w:proofErr w:type="spellStart"/>
      <w:r>
        <w:rPr>
          <w:rFonts w:ascii="Times New Roman" w:hAnsi="Times New Roman" w:cs="Times New Roman"/>
          <w:sz w:val="20"/>
          <w:szCs w:val="20"/>
        </w:rPr>
        <w:t>Hea</w:t>
      </w:r>
      <w:proofErr w:type="spellEnd"/>
      <w:r>
        <w:rPr>
          <w:rFonts w:ascii="Times New Roman" w:hAnsi="Times New Roman" w:cs="Times New Roman"/>
          <w:sz w:val="20"/>
          <w:szCs w:val="20"/>
        </w:rPr>
        <w:t xml:space="preserve"> lth Off </w:t>
      </w:r>
      <w:proofErr w:type="spellStart"/>
      <w:r>
        <w:rPr>
          <w:rFonts w:ascii="Times New Roman" w:hAnsi="Times New Roman" w:cs="Times New Roman"/>
          <w:sz w:val="20"/>
          <w:szCs w:val="20"/>
        </w:rPr>
        <w:t>icia</w:t>
      </w:r>
      <w:proofErr w:type="spellEnd"/>
      <w:r>
        <w:rPr>
          <w:rFonts w:ascii="Times New Roman" w:hAnsi="Times New Roman" w:cs="Times New Roman"/>
          <w:sz w:val="20"/>
          <w:szCs w:val="20"/>
        </w:rPr>
        <w:t xml:space="preserve"> l and State M </w:t>
      </w:r>
      <w:proofErr w:type="spellStart"/>
      <w:r>
        <w:rPr>
          <w:rFonts w:ascii="Times New Roman" w:hAnsi="Times New Roman" w:cs="Times New Roman"/>
          <w:sz w:val="20"/>
          <w:szCs w:val="20"/>
        </w:rPr>
        <w:t>edica</w:t>
      </w:r>
      <w:proofErr w:type="spellEnd"/>
      <w:r>
        <w:rPr>
          <w:rFonts w:ascii="Times New Roman" w:hAnsi="Times New Roman" w:cs="Times New Roman"/>
          <w:sz w:val="20"/>
          <w:szCs w:val="20"/>
        </w:rPr>
        <w:t xml:space="preserve"> id Director</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6"/>
        <w:rPr>
          <w:rFonts w:ascii="Times New Roman" w:hAnsi="Times New Roman" w:cs="Times New Roman"/>
          <w:sz w:val="24"/>
          <w:szCs w:val="24"/>
        </w:rPr>
      </w:pPr>
    </w:p>
    <w:p w:rsidR="002C5025" w:rsidRDefault="002C5025">
      <w:pPr>
        <w:pStyle w:val="BodyText"/>
        <w:kinsoku w:val="0"/>
        <w:overflowPunct w:val="0"/>
        <w:spacing w:line="288" w:lineRule="auto"/>
        <w:ind w:left="147" w:right="346" w:firstLine="14"/>
        <w:rPr>
          <w:rFonts w:ascii="Times New Roman" w:hAnsi="Times New Roman" w:cs="Times New Roman"/>
        </w:rPr>
      </w:pPr>
      <w:r>
        <w:rPr>
          <w:rFonts w:ascii="Times New Roman" w:hAnsi="Times New Roman" w:cs="Times New Roman"/>
        </w:rPr>
        <w:t xml:space="preserve">state upon release. In the case of individuals who  intend to reside  in a different  state, the address where the individual being released intends to live or the address of a probation  </w:t>
      </w:r>
      <w:r>
        <w:rPr>
          <w:rFonts w:ascii="Times New Roman" w:hAnsi="Times New Roman" w:cs="Times New Roman"/>
          <w:spacing w:val="-3"/>
        </w:rPr>
        <w:t xml:space="preserve">or  </w:t>
      </w:r>
      <w:r>
        <w:rPr>
          <w:rFonts w:ascii="Times New Roman" w:hAnsi="Times New Roman" w:cs="Times New Roman"/>
        </w:rPr>
        <w:t>parole office or community residential facility may be used. We note that, in accordance with 1902(b)(2) of the Act and 42 CFR 435.403(h) and (</w:t>
      </w:r>
      <w:proofErr w:type="spellStart"/>
      <w:r>
        <w:rPr>
          <w:rFonts w:ascii="Times New Roman" w:hAnsi="Times New Roman" w:cs="Times New Roman"/>
        </w:rPr>
        <w:t>i</w:t>
      </w:r>
      <w:proofErr w:type="spellEnd"/>
      <w:r>
        <w:rPr>
          <w:rFonts w:ascii="Times New Roman" w:hAnsi="Times New Roman" w:cs="Times New Roman"/>
        </w:rPr>
        <w:t>), Medicaid  does not require  an individual  to</w:t>
      </w:r>
      <w:r>
        <w:rPr>
          <w:rFonts w:ascii="Times New Roman" w:hAnsi="Times New Roman" w:cs="Times New Roman"/>
          <w:spacing w:val="18"/>
        </w:rPr>
        <w:t xml:space="preserve"> </w:t>
      </w:r>
      <w:r>
        <w:rPr>
          <w:rFonts w:ascii="Times New Roman" w:hAnsi="Times New Roman" w:cs="Times New Roman"/>
        </w:rPr>
        <w:t>have</w:t>
      </w:r>
      <w:r>
        <w:rPr>
          <w:rFonts w:ascii="Times New Roman" w:hAnsi="Times New Roman" w:cs="Times New Roman"/>
          <w:spacing w:val="27"/>
        </w:rPr>
        <w:t xml:space="preserve"> </w:t>
      </w:r>
      <w:r>
        <w:rPr>
          <w:rFonts w:ascii="Times New Roman" w:hAnsi="Times New Roman" w:cs="Times New Roman"/>
        </w:rPr>
        <w:t>a</w:t>
      </w:r>
      <w:r>
        <w:rPr>
          <w:rFonts w:ascii="Times New Roman" w:hAnsi="Times New Roman" w:cs="Times New Roman"/>
          <w:spacing w:val="16"/>
        </w:rPr>
        <w:t xml:space="preserve"> </w:t>
      </w:r>
      <w:r>
        <w:rPr>
          <w:rFonts w:ascii="Times New Roman" w:hAnsi="Times New Roman" w:cs="Times New Roman"/>
        </w:rPr>
        <w:t>fixed</w:t>
      </w:r>
      <w:r>
        <w:rPr>
          <w:rFonts w:ascii="Times New Roman" w:hAnsi="Times New Roman" w:cs="Times New Roman"/>
          <w:spacing w:val="18"/>
        </w:rPr>
        <w:t xml:space="preserve"> </w:t>
      </w:r>
      <w:r>
        <w:rPr>
          <w:rFonts w:ascii="Times New Roman" w:hAnsi="Times New Roman" w:cs="Times New Roman"/>
        </w:rPr>
        <w:t>or</w:t>
      </w:r>
      <w:r>
        <w:rPr>
          <w:rFonts w:ascii="Times New Roman" w:hAnsi="Times New Roman" w:cs="Times New Roman"/>
          <w:spacing w:val="4"/>
        </w:rPr>
        <w:t xml:space="preserve"> </w:t>
      </w:r>
      <w:r>
        <w:rPr>
          <w:rFonts w:ascii="Times New Roman" w:hAnsi="Times New Roman" w:cs="Times New Roman"/>
        </w:rPr>
        <w:t>home</w:t>
      </w:r>
      <w:r>
        <w:rPr>
          <w:rFonts w:ascii="Times New Roman" w:hAnsi="Times New Roman" w:cs="Times New Roman"/>
          <w:spacing w:val="16"/>
        </w:rPr>
        <w:t xml:space="preserve"> </w:t>
      </w:r>
      <w:r>
        <w:rPr>
          <w:rFonts w:ascii="Times New Roman" w:hAnsi="Times New Roman" w:cs="Times New Roman"/>
        </w:rPr>
        <w:t>address</w:t>
      </w:r>
      <w:r>
        <w:rPr>
          <w:rFonts w:ascii="Times New Roman" w:hAnsi="Times New Roman" w:cs="Times New Roman"/>
          <w:spacing w:val="21"/>
        </w:rPr>
        <w:t xml:space="preserve"> </w:t>
      </w:r>
      <w:r>
        <w:rPr>
          <w:rFonts w:ascii="Times New Roman" w:hAnsi="Times New Roman" w:cs="Times New Roman"/>
        </w:rPr>
        <w:t>in</w:t>
      </w:r>
      <w:r>
        <w:rPr>
          <w:rFonts w:ascii="Times New Roman" w:hAnsi="Times New Roman" w:cs="Times New Roman"/>
          <w:spacing w:val="4"/>
        </w:rPr>
        <w:t xml:space="preserve"> </w:t>
      </w:r>
      <w:r>
        <w:rPr>
          <w:rFonts w:ascii="Times New Roman" w:hAnsi="Times New Roman" w:cs="Times New Roman"/>
        </w:rPr>
        <w:t>the</w:t>
      </w:r>
      <w:r>
        <w:rPr>
          <w:rFonts w:ascii="Times New Roman" w:hAnsi="Times New Roman" w:cs="Times New Roman"/>
          <w:spacing w:val="21"/>
        </w:rPr>
        <w:t xml:space="preserve"> </w:t>
      </w:r>
      <w:r>
        <w:rPr>
          <w:rFonts w:ascii="Times New Roman" w:hAnsi="Times New Roman" w:cs="Times New Roman"/>
        </w:rPr>
        <w:t>state,</w:t>
      </w:r>
      <w:r>
        <w:rPr>
          <w:rFonts w:ascii="Times New Roman" w:hAnsi="Times New Roman" w:cs="Times New Roman"/>
          <w:spacing w:val="16"/>
        </w:rPr>
        <w:t xml:space="preserve"> </w:t>
      </w:r>
      <w:r>
        <w:rPr>
          <w:rFonts w:ascii="Times New Roman" w:hAnsi="Times New Roman" w:cs="Times New Roman"/>
        </w:rPr>
        <w:t>but</w:t>
      </w:r>
      <w:r>
        <w:rPr>
          <w:rFonts w:ascii="Times New Roman" w:hAnsi="Times New Roman" w:cs="Times New Roman"/>
          <w:spacing w:val="23"/>
        </w:rPr>
        <w:t xml:space="preserve"> </w:t>
      </w:r>
      <w:r>
        <w:rPr>
          <w:rFonts w:ascii="Times New Roman" w:hAnsi="Times New Roman" w:cs="Times New Roman"/>
        </w:rPr>
        <w:t>in</w:t>
      </w:r>
      <w:r>
        <w:rPr>
          <w:rFonts w:ascii="Times New Roman" w:hAnsi="Times New Roman" w:cs="Times New Roman"/>
          <w:spacing w:val="1"/>
        </w:rPr>
        <w:t xml:space="preserve"> </w:t>
      </w:r>
      <w:r>
        <w:rPr>
          <w:rFonts w:ascii="Times New Roman" w:hAnsi="Times New Roman" w:cs="Times New Roman"/>
        </w:rPr>
        <w:t>that</w:t>
      </w:r>
      <w:r>
        <w:rPr>
          <w:rFonts w:ascii="Times New Roman" w:hAnsi="Times New Roman" w:cs="Times New Roman"/>
          <w:spacing w:val="23"/>
        </w:rPr>
        <w:t xml:space="preserve"> </w:t>
      </w:r>
      <w:r>
        <w:rPr>
          <w:rFonts w:ascii="Times New Roman" w:hAnsi="Times New Roman" w:cs="Times New Roman"/>
        </w:rPr>
        <w:t>situation</w:t>
      </w:r>
      <w:r>
        <w:rPr>
          <w:rFonts w:ascii="Times New Roman" w:hAnsi="Times New Roman" w:cs="Times New Roman"/>
          <w:spacing w:val="20"/>
        </w:rPr>
        <w:t xml:space="preserve"> </w:t>
      </w:r>
      <w:r>
        <w:rPr>
          <w:rFonts w:ascii="Times New Roman" w:hAnsi="Times New Roman" w:cs="Times New Roman"/>
        </w:rPr>
        <w:t>an</w:t>
      </w:r>
      <w:r>
        <w:rPr>
          <w:rFonts w:ascii="Times New Roman" w:hAnsi="Times New Roman" w:cs="Times New Roman"/>
          <w:spacing w:val="8"/>
        </w:rPr>
        <w:t xml:space="preserve"> </w:t>
      </w:r>
      <w:r>
        <w:rPr>
          <w:rFonts w:ascii="Times New Roman" w:hAnsi="Times New Roman" w:cs="Times New Roman"/>
        </w:rPr>
        <w:t>address</w:t>
      </w:r>
      <w:r>
        <w:rPr>
          <w:rFonts w:ascii="Times New Roman" w:hAnsi="Times New Roman" w:cs="Times New Roman"/>
          <w:spacing w:val="11"/>
        </w:rPr>
        <w:t xml:space="preserve"> </w:t>
      </w:r>
      <w:r>
        <w:rPr>
          <w:rFonts w:ascii="Times New Roman" w:hAnsi="Times New Roman" w:cs="Times New Roman"/>
        </w:rPr>
        <w:t>through</w:t>
      </w:r>
      <w:r>
        <w:rPr>
          <w:rFonts w:ascii="Times New Roman" w:hAnsi="Times New Roman" w:cs="Times New Roman"/>
          <w:spacing w:val="24"/>
        </w:rPr>
        <w:t xml:space="preserve"> </w:t>
      </w:r>
      <w:r>
        <w:rPr>
          <w:rFonts w:ascii="Times New Roman" w:hAnsi="Times New Roman" w:cs="Times New Roman"/>
        </w:rPr>
        <w:t>which</w:t>
      </w:r>
      <w:r>
        <w:rPr>
          <w:rFonts w:ascii="Times New Roman" w:hAnsi="Times New Roman" w:cs="Times New Roman"/>
          <w:spacing w:val="24"/>
        </w:rPr>
        <w:t xml:space="preserve"> </w:t>
      </w:r>
      <w:r>
        <w:rPr>
          <w:rFonts w:ascii="Times New Roman" w:hAnsi="Times New Roman" w:cs="Times New Roman"/>
        </w:rPr>
        <w:t>the</w:t>
      </w:r>
    </w:p>
    <w:p w:rsidR="002C5025" w:rsidRDefault="002C5025">
      <w:pPr>
        <w:pStyle w:val="BodyText"/>
        <w:kinsoku w:val="0"/>
        <w:overflowPunct w:val="0"/>
        <w:spacing w:before="3" w:line="290" w:lineRule="auto"/>
        <w:ind w:left="148" w:right="346" w:firstLine="7"/>
        <w:rPr>
          <w:rFonts w:ascii="Times New Roman" w:hAnsi="Times New Roman" w:cs="Times New Roman"/>
        </w:rPr>
      </w:pPr>
      <w:r>
        <w:rPr>
          <w:rFonts w:ascii="Times New Roman" w:hAnsi="Times New Roman" w:cs="Times New Roman"/>
        </w:rPr>
        <w:t>state can contact the individual after release is needed. The effective date of eligibility would  be  the date the individual arrives in their new state of</w:t>
      </w:r>
      <w:r w:rsidR="00344961">
        <w:rPr>
          <w:rFonts w:ascii="Times New Roman" w:hAnsi="Times New Roman" w:cs="Times New Roman"/>
        </w:rPr>
        <w:t xml:space="preserve"> </w:t>
      </w:r>
      <w:r>
        <w:rPr>
          <w:rFonts w:ascii="Times New Roman" w:hAnsi="Times New Roman" w:cs="Times New Roman"/>
        </w:rPr>
        <w:t>residence. Alternatively, if, for operational reasons, a state preferred to make  eligibility effective prior to the date of release  or arrival, the  state could cover these individuals as non-residents, if these individuals otherwise meet the eligibility  criteria  in the</w:t>
      </w:r>
      <w:r>
        <w:rPr>
          <w:rFonts w:ascii="Times New Roman" w:hAnsi="Times New Roman" w:cs="Times New Roman"/>
          <w:spacing w:val="-14"/>
        </w:rPr>
        <w:t xml:space="preserve"> </w:t>
      </w:r>
      <w:r>
        <w:rPr>
          <w:rFonts w:ascii="Times New Roman" w:hAnsi="Times New Roman" w:cs="Times New Roman"/>
        </w:rPr>
        <w:t>state.</w:t>
      </w:r>
    </w:p>
    <w:p w:rsidR="002C5025" w:rsidRDefault="002C5025">
      <w:pPr>
        <w:pStyle w:val="BodyText"/>
        <w:kinsoku w:val="0"/>
        <w:overflowPunct w:val="0"/>
        <w:spacing w:before="190" w:line="278" w:lineRule="auto"/>
        <w:ind w:left="111" w:right="288" w:firstLine="43"/>
        <w:jc w:val="both"/>
        <w:rPr>
          <w:rFonts w:ascii="Times New Roman" w:hAnsi="Times New Roman" w:cs="Times New Roman"/>
          <w:i/>
          <w:iCs/>
          <w:w w:val="105"/>
          <w:sz w:val="23"/>
          <w:szCs w:val="23"/>
        </w:rPr>
      </w:pPr>
      <w:r>
        <w:rPr>
          <w:rFonts w:ascii="Times New Roman" w:hAnsi="Times New Roman" w:cs="Times New Roman"/>
          <w:w w:val="105"/>
        </w:rPr>
        <w:t xml:space="preserve">Ql9.  </w:t>
      </w:r>
      <w:r>
        <w:rPr>
          <w:rFonts w:ascii="Times New Roman" w:hAnsi="Times New Roman" w:cs="Times New Roman"/>
          <w:w w:val="105"/>
          <w:u w:val="thick" w:color="000000"/>
        </w:rPr>
        <w:t xml:space="preserve">Filing an Application  for a Different State: </w:t>
      </w:r>
      <w:r>
        <w:rPr>
          <w:rFonts w:ascii="Times New Roman" w:hAnsi="Times New Roman" w:cs="Times New Roman"/>
          <w:i/>
          <w:iCs/>
          <w:spacing w:val="2"/>
          <w:w w:val="105"/>
          <w:sz w:val="23"/>
          <w:szCs w:val="23"/>
        </w:rPr>
        <w:t xml:space="preserve">How </w:t>
      </w:r>
      <w:r>
        <w:rPr>
          <w:rFonts w:ascii="Times New Roman" w:hAnsi="Times New Roman" w:cs="Times New Roman"/>
          <w:i/>
          <w:iCs/>
          <w:w w:val="105"/>
          <w:sz w:val="23"/>
          <w:szCs w:val="23"/>
        </w:rPr>
        <w:t>does the application process work for</w:t>
      </w:r>
      <w:r>
        <w:rPr>
          <w:rFonts w:ascii="Times New Roman" w:hAnsi="Times New Roman" w:cs="Times New Roman"/>
          <w:i/>
          <w:iCs/>
          <w:spacing w:val="16"/>
          <w:w w:val="105"/>
          <w:sz w:val="23"/>
          <w:szCs w:val="23"/>
        </w:rPr>
        <w:t xml:space="preserve"> </w:t>
      </w:r>
      <w:r>
        <w:rPr>
          <w:rFonts w:ascii="Times New Roman" w:hAnsi="Times New Roman" w:cs="Times New Roman"/>
          <w:i/>
          <w:iCs/>
          <w:w w:val="105"/>
          <w:sz w:val="23"/>
          <w:szCs w:val="23"/>
        </w:rPr>
        <w:t>an</w:t>
      </w:r>
      <w:r>
        <w:rPr>
          <w:rFonts w:ascii="Times New Roman" w:hAnsi="Times New Roman" w:cs="Times New Roman"/>
          <w:i/>
          <w:iCs/>
          <w:spacing w:val="-12"/>
          <w:w w:val="105"/>
          <w:sz w:val="23"/>
          <w:szCs w:val="23"/>
        </w:rPr>
        <w:t xml:space="preserve"> </w:t>
      </w:r>
      <w:r>
        <w:rPr>
          <w:rFonts w:ascii="Times New Roman" w:hAnsi="Times New Roman" w:cs="Times New Roman"/>
          <w:i/>
          <w:iCs/>
          <w:w w:val="105"/>
          <w:sz w:val="23"/>
          <w:szCs w:val="23"/>
        </w:rPr>
        <w:t>individual</w:t>
      </w:r>
      <w:r>
        <w:rPr>
          <w:rFonts w:ascii="Times New Roman" w:hAnsi="Times New Roman" w:cs="Times New Roman"/>
          <w:i/>
          <w:iCs/>
          <w:spacing w:val="-8"/>
          <w:w w:val="105"/>
          <w:sz w:val="23"/>
          <w:szCs w:val="23"/>
        </w:rPr>
        <w:t xml:space="preserve"> </w:t>
      </w:r>
      <w:r>
        <w:rPr>
          <w:rFonts w:ascii="Times New Roman" w:hAnsi="Times New Roman" w:cs="Times New Roman"/>
          <w:i/>
          <w:iCs/>
          <w:w w:val="105"/>
          <w:sz w:val="23"/>
          <w:szCs w:val="23"/>
        </w:rPr>
        <w:t>who</w:t>
      </w:r>
      <w:r>
        <w:rPr>
          <w:rFonts w:ascii="Times New Roman" w:hAnsi="Times New Roman" w:cs="Times New Roman"/>
          <w:i/>
          <w:iCs/>
          <w:spacing w:val="-12"/>
          <w:w w:val="105"/>
          <w:sz w:val="23"/>
          <w:szCs w:val="23"/>
        </w:rPr>
        <w:t xml:space="preserve"> </w:t>
      </w:r>
      <w:r>
        <w:rPr>
          <w:rFonts w:ascii="Times New Roman" w:hAnsi="Times New Roman" w:cs="Times New Roman"/>
          <w:spacing w:val="-6"/>
          <w:w w:val="105"/>
        </w:rPr>
        <w:t>is</w:t>
      </w:r>
      <w:r>
        <w:rPr>
          <w:rFonts w:ascii="Times New Roman" w:hAnsi="Times New Roman" w:cs="Times New Roman"/>
          <w:spacing w:val="-37"/>
          <w:w w:val="105"/>
        </w:rPr>
        <w:t xml:space="preserve"> </w:t>
      </w:r>
      <w:r>
        <w:rPr>
          <w:rFonts w:ascii="Times New Roman" w:hAnsi="Times New Roman" w:cs="Times New Roman"/>
          <w:i/>
          <w:iCs/>
          <w:w w:val="105"/>
          <w:sz w:val="23"/>
          <w:szCs w:val="23"/>
        </w:rPr>
        <w:t>incarcerated</w:t>
      </w:r>
      <w:r>
        <w:rPr>
          <w:rFonts w:ascii="Times New Roman" w:hAnsi="Times New Roman" w:cs="Times New Roman"/>
          <w:i/>
          <w:iCs/>
          <w:spacing w:val="-2"/>
          <w:w w:val="105"/>
          <w:sz w:val="23"/>
          <w:szCs w:val="23"/>
        </w:rPr>
        <w:t xml:space="preserve"> </w:t>
      </w:r>
      <w:r>
        <w:rPr>
          <w:rFonts w:ascii="Times New Roman" w:hAnsi="Times New Roman" w:cs="Times New Roman"/>
          <w:i/>
          <w:iCs/>
          <w:w w:val="105"/>
          <w:sz w:val="23"/>
          <w:szCs w:val="23"/>
        </w:rPr>
        <w:t>and</w:t>
      </w:r>
      <w:r>
        <w:rPr>
          <w:rFonts w:ascii="Times New Roman" w:hAnsi="Times New Roman" w:cs="Times New Roman"/>
          <w:i/>
          <w:iCs/>
          <w:spacing w:val="-12"/>
          <w:w w:val="105"/>
          <w:sz w:val="23"/>
          <w:szCs w:val="23"/>
        </w:rPr>
        <w:t xml:space="preserve"> </w:t>
      </w:r>
      <w:r>
        <w:rPr>
          <w:rFonts w:ascii="Times New Roman" w:hAnsi="Times New Roman" w:cs="Times New Roman"/>
          <w:w w:val="105"/>
        </w:rPr>
        <w:t>is</w:t>
      </w:r>
      <w:r w:rsidR="00344961">
        <w:rPr>
          <w:rFonts w:ascii="Times New Roman" w:hAnsi="Times New Roman" w:cs="Times New Roman"/>
          <w:w w:val="105"/>
        </w:rPr>
        <w:t xml:space="preserve"> </w:t>
      </w:r>
      <w:r>
        <w:rPr>
          <w:rFonts w:ascii="Times New Roman" w:hAnsi="Times New Roman" w:cs="Times New Roman"/>
          <w:i/>
          <w:iCs/>
          <w:w w:val="105"/>
          <w:sz w:val="23"/>
          <w:szCs w:val="23"/>
        </w:rPr>
        <w:t>preparing</w:t>
      </w:r>
      <w:r>
        <w:rPr>
          <w:rFonts w:ascii="Times New Roman" w:hAnsi="Times New Roman" w:cs="Times New Roman"/>
          <w:i/>
          <w:iCs/>
          <w:spacing w:val="-8"/>
          <w:w w:val="105"/>
          <w:sz w:val="23"/>
          <w:szCs w:val="23"/>
        </w:rPr>
        <w:t xml:space="preserve"> </w:t>
      </w:r>
      <w:r>
        <w:rPr>
          <w:rFonts w:ascii="Times New Roman" w:hAnsi="Times New Roman" w:cs="Times New Roman"/>
          <w:i/>
          <w:iCs/>
          <w:w w:val="105"/>
          <w:sz w:val="23"/>
          <w:szCs w:val="23"/>
        </w:rPr>
        <w:t>for</w:t>
      </w:r>
      <w:r>
        <w:rPr>
          <w:rFonts w:ascii="Times New Roman" w:hAnsi="Times New Roman" w:cs="Times New Roman"/>
          <w:i/>
          <w:iCs/>
          <w:spacing w:val="17"/>
          <w:w w:val="105"/>
          <w:sz w:val="23"/>
          <w:szCs w:val="23"/>
        </w:rPr>
        <w:t xml:space="preserve"> </w:t>
      </w:r>
      <w:r>
        <w:rPr>
          <w:rFonts w:ascii="Times New Roman" w:hAnsi="Times New Roman" w:cs="Times New Roman"/>
          <w:i/>
          <w:iCs/>
          <w:w w:val="105"/>
          <w:sz w:val="23"/>
          <w:szCs w:val="23"/>
        </w:rPr>
        <w:t>release,</w:t>
      </w:r>
      <w:r>
        <w:rPr>
          <w:rFonts w:ascii="Times New Roman" w:hAnsi="Times New Roman" w:cs="Times New Roman"/>
          <w:i/>
          <w:iCs/>
          <w:spacing w:val="-17"/>
          <w:w w:val="105"/>
          <w:sz w:val="23"/>
          <w:szCs w:val="23"/>
        </w:rPr>
        <w:t xml:space="preserve"> </w:t>
      </w:r>
      <w:r>
        <w:rPr>
          <w:rFonts w:ascii="Times New Roman" w:hAnsi="Times New Roman" w:cs="Times New Roman"/>
          <w:i/>
          <w:iCs/>
          <w:w w:val="105"/>
          <w:sz w:val="23"/>
          <w:szCs w:val="23"/>
        </w:rPr>
        <w:t>but</w:t>
      </w:r>
      <w:r>
        <w:rPr>
          <w:rFonts w:ascii="Times New Roman" w:hAnsi="Times New Roman" w:cs="Times New Roman"/>
          <w:i/>
          <w:iCs/>
          <w:spacing w:val="-16"/>
          <w:w w:val="105"/>
          <w:sz w:val="23"/>
          <w:szCs w:val="23"/>
        </w:rPr>
        <w:t xml:space="preserve"> </w:t>
      </w:r>
      <w:r>
        <w:rPr>
          <w:rFonts w:ascii="Times New Roman" w:hAnsi="Times New Roman" w:cs="Times New Roman"/>
          <w:spacing w:val="2"/>
          <w:w w:val="105"/>
        </w:rPr>
        <w:t>is</w:t>
      </w:r>
      <w:r w:rsidR="00344961">
        <w:rPr>
          <w:rFonts w:ascii="Times New Roman" w:hAnsi="Times New Roman" w:cs="Times New Roman"/>
          <w:spacing w:val="2"/>
          <w:w w:val="105"/>
        </w:rPr>
        <w:t xml:space="preserve"> </w:t>
      </w:r>
      <w:r>
        <w:rPr>
          <w:rFonts w:ascii="Times New Roman" w:hAnsi="Times New Roman" w:cs="Times New Roman"/>
          <w:i/>
          <w:iCs/>
          <w:spacing w:val="2"/>
          <w:w w:val="105"/>
          <w:sz w:val="23"/>
          <w:szCs w:val="23"/>
        </w:rPr>
        <w:t>not</w:t>
      </w:r>
      <w:r>
        <w:rPr>
          <w:rFonts w:ascii="Times New Roman" w:hAnsi="Times New Roman" w:cs="Times New Roman"/>
          <w:i/>
          <w:iCs/>
          <w:spacing w:val="-34"/>
          <w:w w:val="105"/>
          <w:sz w:val="23"/>
          <w:szCs w:val="23"/>
        </w:rPr>
        <w:t xml:space="preserve"> </w:t>
      </w:r>
      <w:r>
        <w:rPr>
          <w:rFonts w:ascii="Times New Roman" w:hAnsi="Times New Roman" w:cs="Times New Roman"/>
          <w:i/>
          <w:iCs/>
          <w:w w:val="105"/>
          <w:sz w:val="23"/>
          <w:szCs w:val="23"/>
        </w:rPr>
        <w:t>yet</w:t>
      </w:r>
      <w:r>
        <w:rPr>
          <w:rFonts w:ascii="Times New Roman" w:hAnsi="Times New Roman" w:cs="Times New Roman"/>
          <w:i/>
          <w:iCs/>
          <w:spacing w:val="3"/>
          <w:w w:val="105"/>
          <w:sz w:val="23"/>
          <w:szCs w:val="23"/>
        </w:rPr>
        <w:t xml:space="preserve"> </w:t>
      </w:r>
      <w:r>
        <w:rPr>
          <w:rFonts w:ascii="Times New Roman" w:hAnsi="Times New Roman" w:cs="Times New Roman"/>
          <w:i/>
          <w:iCs/>
          <w:w w:val="105"/>
          <w:sz w:val="23"/>
          <w:szCs w:val="23"/>
        </w:rPr>
        <w:t>living</w:t>
      </w:r>
      <w:r>
        <w:rPr>
          <w:rFonts w:ascii="Times New Roman" w:hAnsi="Times New Roman" w:cs="Times New Roman"/>
          <w:i/>
          <w:iCs/>
          <w:spacing w:val="-10"/>
          <w:w w:val="105"/>
          <w:sz w:val="23"/>
          <w:szCs w:val="23"/>
        </w:rPr>
        <w:t xml:space="preserve"> </w:t>
      </w:r>
      <w:r>
        <w:rPr>
          <w:rFonts w:ascii="Times New Roman" w:hAnsi="Times New Roman" w:cs="Times New Roman"/>
          <w:i/>
          <w:iCs/>
          <w:w w:val="105"/>
          <w:sz w:val="23"/>
          <w:szCs w:val="23"/>
        </w:rPr>
        <w:t>in</w:t>
      </w:r>
      <w:r>
        <w:rPr>
          <w:rFonts w:ascii="Times New Roman" w:hAnsi="Times New Roman" w:cs="Times New Roman"/>
          <w:i/>
          <w:iCs/>
          <w:spacing w:val="-21"/>
          <w:w w:val="105"/>
          <w:sz w:val="23"/>
          <w:szCs w:val="23"/>
        </w:rPr>
        <w:t xml:space="preserve"> </w:t>
      </w:r>
      <w:r>
        <w:rPr>
          <w:rFonts w:ascii="Times New Roman" w:hAnsi="Times New Roman" w:cs="Times New Roman"/>
          <w:i/>
          <w:iCs/>
          <w:w w:val="105"/>
          <w:sz w:val="23"/>
          <w:szCs w:val="23"/>
        </w:rPr>
        <w:t>the state</w:t>
      </w:r>
      <w:r>
        <w:rPr>
          <w:rFonts w:ascii="Times New Roman" w:hAnsi="Times New Roman" w:cs="Times New Roman"/>
          <w:i/>
          <w:iCs/>
          <w:spacing w:val="-16"/>
          <w:w w:val="105"/>
          <w:sz w:val="23"/>
          <w:szCs w:val="23"/>
        </w:rPr>
        <w:t xml:space="preserve"> </w:t>
      </w:r>
      <w:r>
        <w:rPr>
          <w:rFonts w:ascii="Times New Roman" w:hAnsi="Times New Roman" w:cs="Times New Roman"/>
          <w:i/>
          <w:iCs/>
          <w:w w:val="105"/>
          <w:sz w:val="23"/>
          <w:szCs w:val="23"/>
        </w:rPr>
        <w:t>to</w:t>
      </w:r>
      <w:r>
        <w:rPr>
          <w:rFonts w:ascii="Times New Roman" w:hAnsi="Times New Roman" w:cs="Times New Roman"/>
          <w:i/>
          <w:iCs/>
          <w:spacing w:val="-17"/>
          <w:w w:val="105"/>
          <w:sz w:val="23"/>
          <w:szCs w:val="23"/>
        </w:rPr>
        <w:t xml:space="preserve"> </w:t>
      </w:r>
      <w:r>
        <w:rPr>
          <w:rFonts w:ascii="Times New Roman" w:hAnsi="Times New Roman" w:cs="Times New Roman"/>
          <w:i/>
          <w:iCs/>
          <w:w w:val="105"/>
          <w:sz w:val="23"/>
          <w:szCs w:val="23"/>
        </w:rPr>
        <w:t>which</w:t>
      </w:r>
      <w:r>
        <w:rPr>
          <w:rFonts w:ascii="Times New Roman" w:hAnsi="Times New Roman" w:cs="Times New Roman"/>
          <w:i/>
          <w:iCs/>
          <w:spacing w:val="-11"/>
          <w:w w:val="105"/>
          <w:sz w:val="23"/>
          <w:szCs w:val="23"/>
        </w:rPr>
        <w:t xml:space="preserve"> </w:t>
      </w:r>
      <w:r>
        <w:rPr>
          <w:rFonts w:ascii="Times New Roman" w:hAnsi="Times New Roman" w:cs="Times New Roman"/>
          <w:i/>
          <w:iCs/>
          <w:w w:val="105"/>
          <w:sz w:val="23"/>
          <w:szCs w:val="23"/>
        </w:rPr>
        <w:t>he</w:t>
      </w:r>
      <w:r>
        <w:rPr>
          <w:rFonts w:ascii="Times New Roman" w:hAnsi="Times New Roman" w:cs="Times New Roman"/>
          <w:i/>
          <w:iCs/>
          <w:spacing w:val="-20"/>
          <w:w w:val="105"/>
          <w:sz w:val="23"/>
          <w:szCs w:val="23"/>
        </w:rPr>
        <w:t xml:space="preserve"> </w:t>
      </w:r>
      <w:r>
        <w:rPr>
          <w:rFonts w:ascii="Times New Roman" w:hAnsi="Times New Roman" w:cs="Times New Roman"/>
          <w:i/>
          <w:iCs/>
          <w:w w:val="105"/>
          <w:sz w:val="23"/>
          <w:szCs w:val="23"/>
        </w:rPr>
        <w:t>or</w:t>
      </w:r>
      <w:r>
        <w:rPr>
          <w:rFonts w:ascii="Times New Roman" w:hAnsi="Times New Roman" w:cs="Times New Roman"/>
          <w:i/>
          <w:iCs/>
          <w:spacing w:val="-28"/>
          <w:w w:val="105"/>
          <w:sz w:val="23"/>
          <w:szCs w:val="23"/>
        </w:rPr>
        <w:t xml:space="preserve"> </w:t>
      </w:r>
      <w:r>
        <w:rPr>
          <w:rFonts w:ascii="Times New Roman" w:hAnsi="Times New Roman" w:cs="Times New Roman"/>
          <w:i/>
          <w:iCs/>
          <w:w w:val="105"/>
          <w:sz w:val="23"/>
          <w:szCs w:val="23"/>
        </w:rPr>
        <w:t>she</w:t>
      </w:r>
      <w:r>
        <w:rPr>
          <w:rFonts w:ascii="Times New Roman" w:hAnsi="Times New Roman" w:cs="Times New Roman"/>
          <w:i/>
          <w:iCs/>
          <w:spacing w:val="-16"/>
          <w:w w:val="105"/>
          <w:sz w:val="23"/>
          <w:szCs w:val="23"/>
        </w:rPr>
        <w:t xml:space="preserve"> </w:t>
      </w:r>
      <w:r>
        <w:rPr>
          <w:rFonts w:ascii="Times New Roman" w:hAnsi="Times New Roman" w:cs="Times New Roman"/>
          <w:spacing w:val="-6"/>
          <w:w w:val="105"/>
        </w:rPr>
        <w:t>is</w:t>
      </w:r>
      <w:r>
        <w:rPr>
          <w:rFonts w:ascii="Times New Roman" w:hAnsi="Times New Roman" w:cs="Times New Roman"/>
          <w:spacing w:val="-37"/>
          <w:w w:val="105"/>
        </w:rPr>
        <w:t xml:space="preserve"> </w:t>
      </w:r>
      <w:r>
        <w:rPr>
          <w:rFonts w:ascii="Times New Roman" w:hAnsi="Times New Roman" w:cs="Times New Roman"/>
          <w:i/>
          <w:iCs/>
          <w:w w:val="105"/>
          <w:sz w:val="23"/>
          <w:szCs w:val="23"/>
        </w:rPr>
        <w:t>applying</w:t>
      </w:r>
      <w:r>
        <w:rPr>
          <w:rFonts w:ascii="Times New Roman" w:hAnsi="Times New Roman" w:cs="Times New Roman"/>
          <w:i/>
          <w:iCs/>
          <w:spacing w:val="-11"/>
          <w:w w:val="105"/>
          <w:sz w:val="23"/>
          <w:szCs w:val="23"/>
        </w:rPr>
        <w:t xml:space="preserve"> </w:t>
      </w:r>
      <w:r>
        <w:rPr>
          <w:rFonts w:ascii="Times New Roman" w:hAnsi="Times New Roman" w:cs="Times New Roman"/>
          <w:i/>
          <w:iCs/>
          <w:w w:val="105"/>
          <w:sz w:val="23"/>
          <w:szCs w:val="23"/>
        </w:rPr>
        <w:t>and</w:t>
      </w:r>
      <w:r>
        <w:rPr>
          <w:rFonts w:ascii="Times New Roman" w:hAnsi="Times New Roman" w:cs="Times New Roman"/>
          <w:i/>
          <w:iCs/>
          <w:spacing w:val="-17"/>
          <w:w w:val="105"/>
          <w:sz w:val="23"/>
          <w:szCs w:val="23"/>
        </w:rPr>
        <w:t xml:space="preserve"> </w:t>
      </w:r>
      <w:r>
        <w:rPr>
          <w:rFonts w:ascii="Times New Roman" w:hAnsi="Times New Roman" w:cs="Times New Roman"/>
          <w:i/>
          <w:iCs/>
          <w:w w:val="105"/>
          <w:sz w:val="23"/>
          <w:szCs w:val="23"/>
        </w:rPr>
        <w:t>intending</w:t>
      </w:r>
      <w:r>
        <w:rPr>
          <w:rFonts w:ascii="Times New Roman" w:hAnsi="Times New Roman" w:cs="Times New Roman"/>
          <w:i/>
          <w:iCs/>
          <w:spacing w:val="-21"/>
          <w:w w:val="105"/>
          <w:sz w:val="23"/>
          <w:szCs w:val="23"/>
        </w:rPr>
        <w:t xml:space="preserve"> </w:t>
      </w:r>
      <w:r>
        <w:rPr>
          <w:rFonts w:ascii="Times New Roman" w:hAnsi="Times New Roman" w:cs="Times New Roman"/>
          <w:i/>
          <w:iCs/>
          <w:w w:val="105"/>
          <w:sz w:val="23"/>
          <w:szCs w:val="23"/>
        </w:rPr>
        <w:t>to</w:t>
      </w:r>
      <w:r>
        <w:rPr>
          <w:rFonts w:ascii="Times New Roman" w:hAnsi="Times New Roman" w:cs="Times New Roman"/>
          <w:i/>
          <w:iCs/>
          <w:spacing w:val="-21"/>
          <w:w w:val="105"/>
          <w:sz w:val="23"/>
          <w:szCs w:val="23"/>
        </w:rPr>
        <w:t xml:space="preserve"> </w:t>
      </w:r>
      <w:r>
        <w:rPr>
          <w:rFonts w:ascii="Times New Roman" w:hAnsi="Times New Roman" w:cs="Times New Roman"/>
          <w:i/>
          <w:iCs/>
          <w:w w:val="105"/>
          <w:sz w:val="23"/>
          <w:szCs w:val="23"/>
        </w:rPr>
        <w:t>reside?</w:t>
      </w:r>
    </w:p>
    <w:p w:rsidR="002C5025" w:rsidRDefault="002C5025">
      <w:pPr>
        <w:pStyle w:val="BodyText"/>
        <w:kinsoku w:val="0"/>
        <w:overflowPunct w:val="0"/>
        <w:spacing w:before="5"/>
        <w:rPr>
          <w:rFonts w:ascii="Times New Roman" w:hAnsi="Times New Roman" w:cs="Times New Roman"/>
          <w:i/>
          <w:iCs/>
          <w:sz w:val="17"/>
          <w:szCs w:val="17"/>
        </w:rPr>
      </w:pPr>
    </w:p>
    <w:p w:rsidR="002C5025" w:rsidRDefault="002C5025">
      <w:pPr>
        <w:pStyle w:val="BodyText"/>
        <w:tabs>
          <w:tab w:val="left" w:pos="851"/>
        </w:tabs>
        <w:kinsoku w:val="0"/>
        <w:overflowPunct w:val="0"/>
        <w:spacing w:line="288" w:lineRule="auto"/>
        <w:ind w:left="147" w:right="346"/>
        <w:rPr>
          <w:rFonts w:ascii="Times New Roman" w:hAnsi="Times New Roman" w:cs="Times New Roman"/>
        </w:rPr>
      </w:pPr>
      <w:r>
        <w:rPr>
          <w:rFonts w:ascii="Times New Roman" w:hAnsi="Times New Roman" w:cs="Times New Roman"/>
        </w:rPr>
        <w:t>A19.</w:t>
      </w:r>
      <w:r>
        <w:rPr>
          <w:rFonts w:ascii="Times New Roman" w:hAnsi="Times New Roman" w:cs="Times New Roman"/>
        </w:rPr>
        <w:tab/>
        <w:t xml:space="preserve">Individuals who  are incarcerated  are permitted  to file applications </w:t>
      </w:r>
      <w:r>
        <w:rPr>
          <w:rFonts w:ascii="Times New Roman" w:hAnsi="Times New Roman" w:cs="Times New Roman"/>
          <w:spacing w:val="11"/>
        </w:rPr>
        <w:t xml:space="preserve"> </w:t>
      </w:r>
      <w:r>
        <w:rPr>
          <w:rFonts w:ascii="Times New Roman" w:hAnsi="Times New Roman" w:cs="Times New Roman"/>
        </w:rPr>
        <w:t>through</w:t>
      </w:r>
      <w:r>
        <w:rPr>
          <w:rFonts w:ascii="Times New Roman" w:hAnsi="Times New Roman" w:cs="Times New Roman"/>
          <w:spacing w:val="25"/>
        </w:rPr>
        <w:t xml:space="preserve"> </w:t>
      </w:r>
      <w:r>
        <w:rPr>
          <w:rFonts w:ascii="Times New Roman" w:hAnsi="Times New Roman" w:cs="Times New Roman"/>
        </w:rPr>
        <w:t xml:space="preserve">modalities generally available to applicants in accordance with §435.907- i.e., online, by telephone and by mail.  However,  as a practical  matter,  states may need to employ a variety of approaches to   assist with the determinations of eligibility and enrollment for individuals in this situation, depending on the systems' capability and operations in the state. We encourage states to work cooperatively with corrections  facilities  operated  in their own and other states, as well as with  the Federal Bureau of Prisons, to achieve as coordinated and seamless a process for these individuals  as possible.   CMS is available for technical </w:t>
      </w:r>
      <w:r>
        <w:rPr>
          <w:rFonts w:ascii="Times New Roman" w:hAnsi="Times New Roman" w:cs="Times New Roman"/>
          <w:spacing w:val="21"/>
        </w:rPr>
        <w:t xml:space="preserve"> </w:t>
      </w:r>
      <w:r>
        <w:rPr>
          <w:rFonts w:ascii="Times New Roman" w:hAnsi="Times New Roman" w:cs="Times New Roman"/>
        </w:rPr>
        <w:t>assistance.</w:t>
      </w:r>
    </w:p>
    <w:p w:rsidR="002C5025" w:rsidRDefault="002C5025">
      <w:pPr>
        <w:pStyle w:val="BodyText"/>
        <w:tabs>
          <w:tab w:val="left" w:pos="844"/>
          <w:tab w:val="left" w:pos="3527"/>
        </w:tabs>
        <w:kinsoku w:val="0"/>
        <w:overflowPunct w:val="0"/>
        <w:spacing w:before="190" w:line="273" w:lineRule="auto"/>
        <w:ind w:left="148" w:right="677" w:firstLine="7"/>
        <w:rPr>
          <w:rFonts w:ascii="Times New Roman" w:hAnsi="Times New Roman" w:cs="Times New Roman"/>
          <w:i/>
          <w:iCs/>
          <w:sz w:val="23"/>
          <w:szCs w:val="23"/>
        </w:rPr>
      </w:pPr>
      <w:r>
        <w:rPr>
          <w:rFonts w:ascii="Times New Roman" w:hAnsi="Times New Roman" w:cs="Times New Roman"/>
        </w:rPr>
        <w:t>Q20.</w:t>
      </w:r>
      <w:r>
        <w:rPr>
          <w:rFonts w:ascii="Times New Roman" w:hAnsi="Times New Roman" w:cs="Times New Roman"/>
        </w:rPr>
        <w:tab/>
      </w:r>
      <w:r>
        <w:rPr>
          <w:rFonts w:ascii="Times New Roman" w:hAnsi="Times New Roman" w:cs="Times New Roman"/>
          <w:u w:val="thick" w:color="000000"/>
        </w:rPr>
        <w:t>Agreements</w:t>
      </w:r>
      <w:r>
        <w:rPr>
          <w:rFonts w:ascii="Times New Roman" w:hAnsi="Times New Roman" w:cs="Times New Roman"/>
          <w:spacing w:val="36"/>
          <w:u w:val="thick" w:color="000000"/>
        </w:rPr>
        <w:t xml:space="preserve"> </w:t>
      </w:r>
      <w:r>
        <w:rPr>
          <w:rFonts w:ascii="Times New Roman" w:hAnsi="Times New Roman" w:cs="Times New Roman"/>
          <w:u w:val="thick" w:color="000000"/>
        </w:rPr>
        <w:t>with</w:t>
      </w:r>
      <w:r>
        <w:rPr>
          <w:rFonts w:ascii="Times New Roman" w:hAnsi="Times New Roman" w:cs="Times New Roman"/>
          <w:spacing w:val="43"/>
          <w:u w:val="thick" w:color="000000"/>
        </w:rPr>
        <w:t xml:space="preserve"> </w:t>
      </w:r>
      <w:r>
        <w:rPr>
          <w:rFonts w:ascii="Times New Roman" w:hAnsi="Times New Roman" w:cs="Times New Roman"/>
          <w:u w:val="thick" w:color="000000"/>
        </w:rPr>
        <w:t>Medicaid</w:t>
      </w:r>
      <w:r>
        <w:rPr>
          <w:rFonts w:ascii="Times New Roman" w:hAnsi="Times New Roman" w:cs="Times New Roman"/>
          <w:u w:val="thick" w:color="000000"/>
        </w:rPr>
        <w:tab/>
        <w:t>Managed    Care P</w:t>
      </w:r>
      <w:r>
        <w:rPr>
          <w:rFonts w:ascii="Times New Roman" w:hAnsi="Times New Roman" w:cs="Times New Roman"/>
        </w:rPr>
        <w:t xml:space="preserve">lans: </w:t>
      </w:r>
      <w:r>
        <w:rPr>
          <w:rFonts w:ascii="Times New Roman" w:hAnsi="Times New Roman" w:cs="Times New Roman"/>
          <w:i/>
          <w:iCs/>
          <w:sz w:val="23"/>
          <w:szCs w:val="23"/>
        </w:rPr>
        <w:t>How  can  states</w:t>
      </w:r>
      <w:r>
        <w:rPr>
          <w:rFonts w:ascii="Times New Roman" w:hAnsi="Times New Roman" w:cs="Times New Roman"/>
          <w:i/>
          <w:iCs/>
          <w:spacing w:val="31"/>
          <w:sz w:val="23"/>
          <w:szCs w:val="23"/>
        </w:rPr>
        <w:t xml:space="preserve"> </w:t>
      </w:r>
      <w:r>
        <w:rPr>
          <w:rFonts w:ascii="Times New Roman" w:hAnsi="Times New Roman" w:cs="Times New Roman"/>
          <w:i/>
          <w:iCs/>
          <w:sz w:val="23"/>
          <w:szCs w:val="23"/>
        </w:rPr>
        <w:t>that</w:t>
      </w:r>
      <w:r>
        <w:rPr>
          <w:rFonts w:ascii="Times New Roman" w:hAnsi="Times New Roman" w:cs="Times New Roman"/>
          <w:i/>
          <w:iCs/>
          <w:spacing w:val="40"/>
          <w:sz w:val="23"/>
          <w:szCs w:val="23"/>
        </w:rPr>
        <w:t xml:space="preserve"> </w:t>
      </w:r>
      <w:r>
        <w:rPr>
          <w:rFonts w:ascii="Times New Roman" w:hAnsi="Times New Roman" w:cs="Times New Roman"/>
          <w:i/>
          <w:iCs/>
          <w:spacing w:val="-3"/>
          <w:sz w:val="23"/>
          <w:szCs w:val="23"/>
        </w:rPr>
        <w:t>use</w:t>
      </w:r>
      <w:r>
        <w:rPr>
          <w:rFonts w:ascii="Times New Roman" w:hAnsi="Times New Roman" w:cs="Times New Roman"/>
          <w:i/>
          <w:iCs/>
          <w:spacing w:val="-4"/>
          <w:sz w:val="23"/>
          <w:szCs w:val="23"/>
        </w:rPr>
        <w:t xml:space="preserve"> </w:t>
      </w:r>
      <w:r>
        <w:rPr>
          <w:rFonts w:ascii="Times New Roman" w:hAnsi="Times New Roman" w:cs="Times New Roman"/>
          <w:i/>
          <w:iCs/>
          <w:sz w:val="23"/>
          <w:szCs w:val="23"/>
        </w:rPr>
        <w:t xml:space="preserve">Medicaid managed </w:t>
      </w:r>
      <w:r>
        <w:rPr>
          <w:rFonts w:ascii="Times New Roman" w:hAnsi="Times New Roman" w:cs="Times New Roman"/>
          <w:i/>
          <w:iCs/>
          <w:spacing w:val="2"/>
          <w:sz w:val="23"/>
          <w:szCs w:val="23"/>
        </w:rPr>
        <w:t>care</w:t>
      </w:r>
      <w:r w:rsidR="00344961">
        <w:rPr>
          <w:rFonts w:ascii="Times New Roman" w:hAnsi="Times New Roman" w:cs="Times New Roman"/>
          <w:i/>
          <w:iCs/>
          <w:spacing w:val="2"/>
          <w:sz w:val="23"/>
          <w:szCs w:val="23"/>
        </w:rPr>
        <w:t xml:space="preserve"> </w:t>
      </w:r>
      <w:r>
        <w:rPr>
          <w:rFonts w:ascii="Times New Roman" w:hAnsi="Times New Roman" w:cs="Times New Roman"/>
          <w:i/>
          <w:iCs/>
          <w:spacing w:val="2"/>
          <w:sz w:val="23"/>
          <w:szCs w:val="23"/>
        </w:rPr>
        <w:t xml:space="preserve">plans </w:t>
      </w:r>
      <w:r>
        <w:rPr>
          <w:rFonts w:ascii="Times New Roman" w:hAnsi="Times New Roman" w:cs="Times New Roman"/>
          <w:i/>
          <w:iCs/>
          <w:sz w:val="23"/>
          <w:szCs w:val="23"/>
        </w:rPr>
        <w:t xml:space="preserve">prevent capitated payments fi </w:t>
      </w:r>
      <w:r>
        <w:rPr>
          <w:rFonts w:ascii="Times New Roman" w:hAnsi="Times New Roman" w:cs="Times New Roman"/>
          <w:i/>
          <w:iCs/>
          <w:spacing w:val="-12"/>
          <w:sz w:val="23"/>
          <w:szCs w:val="23"/>
        </w:rPr>
        <w:t xml:space="preserve">·om </w:t>
      </w:r>
      <w:r>
        <w:rPr>
          <w:rFonts w:ascii="Times New Roman" w:hAnsi="Times New Roman" w:cs="Times New Roman"/>
          <w:i/>
          <w:iCs/>
          <w:sz w:val="23"/>
          <w:szCs w:val="23"/>
        </w:rPr>
        <w:t>being made on behalf of individuals who are</w:t>
      </w:r>
      <w:r>
        <w:rPr>
          <w:rFonts w:ascii="Times New Roman" w:hAnsi="Times New Roman" w:cs="Times New Roman"/>
          <w:i/>
          <w:iCs/>
          <w:spacing w:val="6"/>
          <w:sz w:val="23"/>
          <w:szCs w:val="23"/>
        </w:rPr>
        <w:t xml:space="preserve"> </w:t>
      </w:r>
      <w:r>
        <w:rPr>
          <w:rFonts w:ascii="Times New Roman" w:hAnsi="Times New Roman" w:cs="Times New Roman"/>
          <w:i/>
          <w:iCs/>
          <w:sz w:val="23"/>
          <w:szCs w:val="23"/>
        </w:rPr>
        <w:t>incarcerated?</w:t>
      </w:r>
    </w:p>
    <w:p w:rsidR="002C5025" w:rsidRDefault="002C5025">
      <w:pPr>
        <w:pStyle w:val="BodyText"/>
        <w:kinsoku w:val="0"/>
        <w:overflowPunct w:val="0"/>
        <w:spacing w:before="1"/>
        <w:rPr>
          <w:rFonts w:ascii="Times New Roman" w:hAnsi="Times New Roman" w:cs="Times New Roman"/>
          <w:i/>
          <w:iCs/>
          <w:sz w:val="18"/>
          <w:szCs w:val="18"/>
        </w:rPr>
      </w:pPr>
    </w:p>
    <w:p w:rsidR="002C5025" w:rsidRDefault="002C5025">
      <w:pPr>
        <w:pStyle w:val="BodyText"/>
        <w:tabs>
          <w:tab w:val="left" w:pos="858"/>
        </w:tabs>
        <w:kinsoku w:val="0"/>
        <w:overflowPunct w:val="0"/>
        <w:spacing w:line="288" w:lineRule="auto"/>
        <w:ind w:left="147" w:right="346" w:firstLine="7"/>
        <w:rPr>
          <w:rFonts w:ascii="Times New Roman" w:hAnsi="Times New Roman" w:cs="Times New Roman"/>
        </w:rPr>
      </w:pPr>
      <w:r>
        <w:rPr>
          <w:rFonts w:ascii="Times New Roman" w:hAnsi="Times New Roman" w:cs="Times New Roman"/>
        </w:rPr>
        <w:t>A20.</w:t>
      </w:r>
      <w:r>
        <w:rPr>
          <w:rFonts w:ascii="Times New Roman" w:hAnsi="Times New Roman" w:cs="Times New Roman"/>
        </w:rPr>
        <w:tab/>
        <w:t xml:space="preserve">States should establish agreements with their Medicaid  managed  care plans  </w:t>
      </w:r>
      <w:r>
        <w:rPr>
          <w:rFonts w:ascii="Times New Roman" w:hAnsi="Times New Roman" w:cs="Times New Roman"/>
          <w:spacing w:val="18"/>
        </w:rPr>
        <w:t xml:space="preserve"> </w:t>
      </w:r>
      <w:r>
        <w:rPr>
          <w:rFonts w:ascii="Times New Roman" w:hAnsi="Times New Roman" w:cs="Times New Roman"/>
        </w:rPr>
        <w:t>to</w:t>
      </w:r>
      <w:r>
        <w:rPr>
          <w:rFonts w:ascii="Times New Roman" w:hAnsi="Times New Roman" w:cs="Times New Roman"/>
          <w:spacing w:val="10"/>
        </w:rPr>
        <w:t xml:space="preserve"> </w:t>
      </w:r>
      <w:r>
        <w:rPr>
          <w:rFonts w:ascii="Times New Roman" w:hAnsi="Times New Roman" w:cs="Times New Roman"/>
        </w:rPr>
        <w:t>ensure timely reporting  in order to prevent  capitated  paymen</w:t>
      </w:r>
      <w:r w:rsidR="00344961">
        <w:rPr>
          <w:rFonts w:ascii="Times New Roman" w:hAnsi="Times New Roman" w:cs="Times New Roman"/>
        </w:rPr>
        <w:t>ts  being made on behalf of ind</w:t>
      </w:r>
      <w:r>
        <w:rPr>
          <w:rFonts w:ascii="Times New Roman" w:hAnsi="Times New Roman" w:cs="Times New Roman"/>
        </w:rPr>
        <w:t>ividuals who are incarcerated. Contracts should exclude individuals who are incarcerated from the  managed care plan, or provide for disenrollment from the plan when an enrollee becomes incarcerated. States should establish in their contracts  that the state will recoup a capitated payment made on behalf of an enroll</w:t>
      </w:r>
      <w:r w:rsidR="00344961">
        <w:rPr>
          <w:rFonts w:ascii="Times New Roman" w:hAnsi="Times New Roman" w:cs="Times New Roman"/>
        </w:rPr>
        <w:t>ee who is incarcerated or a port</w:t>
      </w:r>
      <w:r>
        <w:rPr>
          <w:rFonts w:ascii="Times New Roman" w:hAnsi="Times New Roman" w:cs="Times New Roman"/>
        </w:rPr>
        <w:t>ion of a capitation payment  for an individual  who  becomes  incarcerated</w:t>
      </w:r>
      <w:r>
        <w:rPr>
          <w:rFonts w:ascii="Times New Roman" w:hAnsi="Times New Roman" w:cs="Times New Roman"/>
          <w:spacing w:val="6"/>
        </w:rPr>
        <w:t xml:space="preserve"> </w:t>
      </w:r>
      <w:r>
        <w:rPr>
          <w:rFonts w:ascii="Times New Roman" w:hAnsi="Times New Roman" w:cs="Times New Roman"/>
        </w:rPr>
        <w:t>mid-month.</w:t>
      </w:r>
    </w:p>
    <w:p w:rsidR="002C5025" w:rsidRDefault="002C5025">
      <w:pPr>
        <w:pStyle w:val="BodyText"/>
        <w:tabs>
          <w:tab w:val="left" w:pos="844"/>
        </w:tabs>
        <w:kinsoku w:val="0"/>
        <w:overflowPunct w:val="0"/>
        <w:spacing w:before="193" w:line="273" w:lineRule="auto"/>
        <w:ind w:left="140" w:right="346" w:firstLine="14"/>
        <w:rPr>
          <w:rFonts w:ascii="Times New Roman" w:hAnsi="Times New Roman" w:cs="Times New Roman"/>
          <w:i/>
          <w:iCs/>
          <w:sz w:val="23"/>
          <w:szCs w:val="23"/>
        </w:rPr>
      </w:pPr>
      <w:r>
        <w:rPr>
          <w:rFonts w:ascii="Times New Roman" w:hAnsi="Times New Roman" w:cs="Times New Roman"/>
        </w:rPr>
        <w:t>Q21.</w:t>
      </w:r>
      <w:r>
        <w:rPr>
          <w:rFonts w:ascii="Times New Roman" w:hAnsi="Times New Roman" w:cs="Times New Roman"/>
        </w:rPr>
        <w:tab/>
      </w:r>
      <w:r>
        <w:rPr>
          <w:rFonts w:ascii="Times New Roman" w:hAnsi="Times New Roman" w:cs="Times New Roman"/>
          <w:u w:val="thick" w:color="000000"/>
        </w:rPr>
        <w:t xml:space="preserve">Eligibility  under  Alternative  Benefit  Plans:  </w:t>
      </w:r>
      <w:r>
        <w:rPr>
          <w:rFonts w:ascii="Times New Roman" w:hAnsi="Times New Roman" w:cs="Times New Roman"/>
          <w:i/>
          <w:iCs/>
          <w:sz w:val="23"/>
          <w:szCs w:val="23"/>
        </w:rPr>
        <w:t>Is  FFP  available for</w:t>
      </w:r>
      <w:r>
        <w:rPr>
          <w:rFonts w:ascii="Times New Roman" w:hAnsi="Times New Roman" w:cs="Times New Roman"/>
          <w:i/>
          <w:iCs/>
          <w:spacing w:val="26"/>
          <w:sz w:val="23"/>
          <w:szCs w:val="23"/>
        </w:rPr>
        <w:t xml:space="preserve"> </w:t>
      </w:r>
      <w:r>
        <w:rPr>
          <w:rFonts w:ascii="Times New Roman" w:hAnsi="Times New Roman" w:cs="Times New Roman"/>
          <w:i/>
          <w:iCs/>
          <w:sz w:val="23"/>
          <w:szCs w:val="23"/>
        </w:rPr>
        <w:t>inmates</w:t>
      </w:r>
      <w:r>
        <w:rPr>
          <w:rFonts w:ascii="Times New Roman" w:hAnsi="Times New Roman" w:cs="Times New Roman"/>
          <w:i/>
          <w:iCs/>
          <w:spacing w:val="21"/>
          <w:sz w:val="23"/>
          <w:szCs w:val="23"/>
        </w:rPr>
        <w:t xml:space="preserve"> </w:t>
      </w:r>
      <w:r>
        <w:rPr>
          <w:rFonts w:ascii="Times New Roman" w:hAnsi="Times New Roman" w:cs="Times New Roman"/>
          <w:i/>
          <w:iCs/>
          <w:sz w:val="23"/>
          <w:szCs w:val="23"/>
        </w:rPr>
        <w:t>eligible</w:t>
      </w:r>
      <w:r>
        <w:rPr>
          <w:rFonts w:ascii="Times New Roman" w:hAnsi="Times New Roman" w:cs="Times New Roman"/>
          <w:i/>
          <w:iCs/>
          <w:spacing w:val="-2"/>
          <w:sz w:val="23"/>
          <w:szCs w:val="23"/>
        </w:rPr>
        <w:t xml:space="preserve"> </w:t>
      </w:r>
      <w:r>
        <w:rPr>
          <w:rFonts w:ascii="Times New Roman" w:hAnsi="Times New Roman" w:cs="Times New Roman"/>
          <w:i/>
          <w:iCs/>
          <w:sz w:val="23"/>
          <w:szCs w:val="23"/>
        </w:rPr>
        <w:t>under the new adult group for inpatient services covered under Medicaid Alternative Benefit Plans</w:t>
      </w:r>
      <w:r>
        <w:rPr>
          <w:rFonts w:ascii="Times New Roman" w:hAnsi="Times New Roman" w:cs="Times New Roman"/>
          <w:i/>
          <w:iCs/>
          <w:spacing w:val="45"/>
          <w:sz w:val="23"/>
          <w:szCs w:val="23"/>
        </w:rPr>
        <w:t xml:space="preserve"> </w:t>
      </w:r>
      <w:r>
        <w:rPr>
          <w:rFonts w:ascii="Times New Roman" w:hAnsi="Times New Roman" w:cs="Times New Roman"/>
          <w:i/>
          <w:iCs/>
          <w:sz w:val="23"/>
          <w:szCs w:val="23"/>
        </w:rPr>
        <w:t>(ABPs)?</w:t>
      </w:r>
    </w:p>
    <w:p w:rsidR="002C5025" w:rsidRDefault="002C5025">
      <w:pPr>
        <w:pStyle w:val="BodyText"/>
        <w:kinsoku w:val="0"/>
        <w:overflowPunct w:val="0"/>
        <w:spacing w:before="1"/>
        <w:rPr>
          <w:rFonts w:ascii="Times New Roman" w:hAnsi="Times New Roman" w:cs="Times New Roman"/>
          <w:i/>
          <w:iCs/>
          <w:sz w:val="18"/>
          <w:szCs w:val="18"/>
        </w:rPr>
      </w:pPr>
    </w:p>
    <w:p w:rsidR="002C5025" w:rsidRDefault="002C5025">
      <w:pPr>
        <w:pStyle w:val="BodyText"/>
        <w:tabs>
          <w:tab w:val="left" w:pos="843"/>
        </w:tabs>
        <w:kinsoku w:val="0"/>
        <w:overflowPunct w:val="0"/>
        <w:spacing w:line="285" w:lineRule="auto"/>
        <w:ind w:left="155" w:right="421"/>
        <w:rPr>
          <w:rFonts w:ascii="Times New Roman" w:hAnsi="Times New Roman" w:cs="Times New Roman"/>
        </w:rPr>
      </w:pPr>
      <w:r>
        <w:rPr>
          <w:rFonts w:ascii="Times New Roman" w:hAnsi="Times New Roman" w:cs="Times New Roman"/>
        </w:rPr>
        <w:t>A21.</w:t>
      </w:r>
      <w:r>
        <w:rPr>
          <w:rFonts w:ascii="Times New Roman" w:hAnsi="Times New Roman" w:cs="Times New Roman"/>
        </w:rPr>
        <w:tab/>
        <w:t xml:space="preserve">The coverage  exclusion  applies generally to medical  assistance, </w:t>
      </w:r>
      <w:r>
        <w:rPr>
          <w:rFonts w:ascii="Times New Roman" w:hAnsi="Times New Roman" w:cs="Times New Roman"/>
          <w:spacing w:val="3"/>
        </w:rPr>
        <w:t xml:space="preserve"> </w:t>
      </w:r>
      <w:r>
        <w:rPr>
          <w:rFonts w:ascii="Times New Roman" w:hAnsi="Times New Roman" w:cs="Times New Roman"/>
        </w:rPr>
        <w:t>whether</w:t>
      </w:r>
      <w:r>
        <w:rPr>
          <w:rFonts w:ascii="Times New Roman" w:hAnsi="Times New Roman" w:cs="Times New Roman"/>
          <w:spacing w:val="25"/>
        </w:rPr>
        <w:t xml:space="preserve"> </w:t>
      </w:r>
      <w:r>
        <w:rPr>
          <w:rFonts w:ascii="Times New Roman" w:hAnsi="Times New Roman" w:cs="Times New Roman"/>
        </w:rPr>
        <w:t xml:space="preserve">provided through  an ABP or other coverage.   FFP  is available for services received  during an </w:t>
      </w:r>
      <w:r>
        <w:rPr>
          <w:rFonts w:ascii="Times New Roman" w:hAnsi="Times New Roman" w:cs="Times New Roman"/>
          <w:spacing w:val="19"/>
        </w:rPr>
        <w:t xml:space="preserve"> </w:t>
      </w:r>
      <w:r>
        <w:rPr>
          <w:rFonts w:ascii="Times New Roman" w:hAnsi="Times New Roman" w:cs="Times New Roman"/>
        </w:rPr>
        <w:t>inpatient</w:t>
      </w:r>
    </w:p>
    <w:p w:rsidR="002C5025" w:rsidRDefault="002C5025">
      <w:pPr>
        <w:pStyle w:val="BodyText"/>
        <w:tabs>
          <w:tab w:val="left" w:pos="843"/>
        </w:tabs>
        <w:kinsoku w:val="0"/>
        <w:overflowPunct w:val="0"/>
        <w:spacing w:line="285" w:lineRule="auto"/>
        <w:ind w:left="155" w:right="421"/>
        <w:rPr>
          <w:rFonts w:ascii="Times New Roman" w:hAnsi="Times New Roman" w:cs="Times New Roman"/>
        </w:rPr>
        <w:sectPr w:rsidR="002C5025">
          <w:pgSz w:w="12240" w:h="15840"/>
          <w:pgMar w:top="1080" w:right="1680" w:bottom="280" w:left="1460" w:header="720" w:footer="720" w:gutter="0"/>
          <w:cols w:space="720" w:equalWidth="0">
            <w:col w:w="9100"/>
          </w:cols>
          <w:noEndnote/>
        </w:sectPr>
      </w:pPr>
    </w:p>
    <w:p w:rsidR="002C5025" w:rsidRDefault="00FB027C">
      <w:pPr>
        <w:pStyle w:val="BodyText"/>
        <w:kinsoku w:val="0"/>
        <w:overflowPunct w:val="0"/>
        <w:spacing w:before="60"/>
        <w:ind w:left="151" w:right="1839"/>
        <w:rPr>
          <w:rFonts w:ascii="Times New Roman" w:hAnsi="Times New Roman" w:cs="Times New Roman"/>
          <w:sz w:val="20"/>
          <w:szCs w:val="20"/>
        </w:rPr>
      </w:pPr>
      <w:r>
        <w:rPr>
          <w:noProof/>
        </w:rPr>
        <w:lastRenderedPageBreak/>
        <mc:AlternateContent>
          <mc:Choice Requires="wps">
            <w:drawing>
              <wp:anchor distT="0" distB="0" distL="114300" distR="114300" simplePos="0" relativeHeight="251828736" behindDoc="0" locked="0" layoutInCell="0" allowOverlap="1">
                <wp:simplePos x="0" y="0"/>
                <wp:positionH relativeFrom="page">
                  <wp:posOffset>7769225</wp:posOffset>
                </wp:positionH>
                <wp:positionV relativeFrom="paragraph">
                  <wp:posOffset>198755</wp:posOffset>
                </wp:positionV>
                <wp:extent cx="12700" cy="713105"/>
                <wp:effectExtent l="0" t="0" r="0" b="0"/>
                <wp:wrapNone/>
                <wp:docPr id="224" name="Freeform 8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13105"/>
                        </a:xfrm>
                        <a:custGeom>
                          <a:avLst/>
                          <a:gdLst>
                            <a:gd name="T0" fmla="*/ 0 w 20"/>
                            <a:gd name="T1" fmla="*/ 1122 h 1123"/>
                            <a:gd name="T2" fmla="*/ 0 w 20"/>
                            <a:gd name="T3" fmla="*/ 0 h 1123"/>
                          </a:gdLst>
                          <a:ahLst/>
                          <a:cxnLst>
                            <a:cxn ang="0">
                              <a:pos x="T0" y="T1"/>
                            </a:cxn>
                            <a:cxn ang="0">
                              <a:pos x="T2" y="T3"/>
                            </a:cxn>
                          </a:cxnLst>
                          <a:rect l="0" t="0" r="r" b="b"/>
                          <a:pathLst>
                            <a:path w="20" h="1123">
                              <a:moveTo>
                                <a:pt x="0" y="1122"/>
                              </a:moveTo>
                              <a:lnTo>
                                <a:pt x="0"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850" o:spid="_x0000_s1026" style="position:absolute;z-index:251828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11.75pt,71.75pt,611.75pt,15.65pt" coordsize="20,1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" o:allowincell="f" filled="f" strokeweight=".36pt">
                <v:path arrowok="t" o:connecttype="custom" o:connectlocs="0,712470;0,0" o:connectangles="0,0"/>
                <w10:wrap anchorx="page"/>
              </v:polyline>
            </w:pict>
          </mc:Fallback>
        </mc:AlternateContent>
      </w:r>
      <w:r w:rsidR="002C5025">
        <w:rPr>
          <w:rFonts w:ascii="Times New Roman" w:hAnsi="Times New Roman" w:cs="Times New Roman"/>
          <w:sz w:val="20"/>
          <w:szCs w:val="20"/>
        </w:rPr>
        <w:t xml:space="preserve">Page  11-State </w:t>
      </w:r>
      <w:proofErr w:type="spellStart"/>
      <w:r w:rsidR="002C5025">
        <w:rPr>
          <w:rFonts w:ascii="Times New Roman" w:hAnsi="Times New Roman" w:cs="Times New Roman"/>
          <w:sz w:val="20"/>
          <w:szCs w:val="20"/>
        </w:rPr>
        <w:t>Hea</w:t>
      </w:r>
      <w:proofErr w:type="spellEnd"/>
      <w:r w:rsidR="002C5025">
        <w:rPr>
          <w:rFonts w:ascii="Times New Roman" w:hAnsi="Times New Roman" w:cs="Times New Roman"/>
          <w:sz w:val="20"/>
          <w:szCs w:val="20"/>
        </w:rPr>
        <w:t xml:space="preserve"> lth </w:t>
      </w:r>
      <w:proofErr w:type="spellStart"/>
      <w:r w:rsidR="002C5025">
        <w:rPr>
          <w:rFonts w:ascii="Times New Roman" w:hAnsi="Times New Roman" w:cs="Times New Roman"/>
          <w:sz w:val="20"/>
          <w:szCs w:val="20"/>
        </w:rPr>
        <w:t>Officia</w:t>
      </w:r>
      <w:proofErr w:type="spellEnd"/>
      <w:r w:rsidR="002C5025">
        <w:rPr>
          <w:rFonts w:ascii="Times New Roman" w:hAnsi="Times New Roman" w:cs="Times New Roman"/>
          <w:sz w:val="20"/>
          <w:szCs w:val="20"/>
        </w:rPr>
        <w:t xml:space="preserve"> l and State Med </w:t>
      </w:r>
      <w:proofErr w:type="spellStart"/>
      <w:r w:rsidR="002C5025">
        <w:rPr>
          <w:rFonts w:ascii="Times New Roman" w:hAnsi="Times New Roman" w:cs="Times New Roman"/>
          <w:sz w:val="20"/>
          <w:szCs w:val="20"/>
        </w:rPr>
        <w:t>ica</w:t>
      </w:r>
      <w:proofErr w:type="spellEnd"/>
      <w:r w:rsidR="002C5025">
        <w:rPr>
          <w:rFonts w:ascii="Times New Roman" w:hAnsi="Times New Roman" w:cs="Times New Roman"/>
          <w:sz w:val="20"/>
          <w:szCs w:val="20"/>
        </w:rPr>
        <w:t xml:space="preserve"> id Director</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7"/>
        <w:rPr>
          <w:rFonts w:ascii="Times New Roman" w:hAnsi="Times New Roman" w:cs="Times New Roman"/>
          <w:sz w:val="25"/>
          <w:szCs w:val="25"/>
        </w:rPr>
      </w:pPr>
    </w:p>
    <w:p w:rsidR="002C5025" w:rsidRDefault="002C5025">
      <w:pPr>
        <w:pStyle w:val="BodyText"/>
        <w:kinsoku w:val="0"/>
        <w:overflowPunct w:val="0"/>
        <w:spacing w:line="290" w:lineRule="auto"/>
        <w:ind w:left="143" w:right="2060"/>
        <w:rPr>
          <w:rFonts w:ascii="Times New Roman" w:hAnsi="Times New Roman" w:cs="Times New Roman"/>
        </w:rPr>
      </w:pPr>
      <w:r>
        <w:rPr>
          <w:rFonts w:ascii="Times New Roman" w:hAnsi="Times New Roman" w:cs="Times New Roman"/>
        </w:rPr>
        <w:t>stay only pursuant to the inmate payment  exclusion exception provided  in statute and described  in Section 3 of this document. States are not eligible for federal payments  for services  inconsistent  with the</w:t>
      </w:r>
      <w:r>
        <w:rPr>
          <w:rFonts w:ascii="Times New Roman" w:hAnsi="Times New Roman" w:cs="Times New Roman"/>
          <w:spacing w:val="31"/>
        </w:rPr>
        <w:t xml:space="preserve"> </w:t>
      </w:r>
      <w:r>
        <w:rPr>
          <w:rFonts w:ascii="Times New Roman" w:hAnsi="Times New Roman" w:cs="Times New Roman"/>
        </w:rPr>
        <w:t>exclusion.</w:t>
      </w:r>
    </w:p>
    <w:p w:rsidR="002C5025" w:rsidRDefault="002C5025">
      <w:pPr>
        <w:pStyle w:val="BodyText"/>
        <w:kinsoku w:val="0"/>
        <w:overflowPunct w:val="0"/>
        <w:spacing w:before="181"/>
        <w:ind w:left="144" w:right="1839"/>
        <w:rPr>
          <w:rFonts w:ascii="Times New Roman" w:hAnsi="Times New Roman" w:cs="Times New Roman"/>
          <w:w w:val="110"/>
        </w:rPr>
      </w:pPr>
      <w:r>
        <w:rPr>
          <w:rFonts w:ascii="Times New Roman" w:hAnsi="Times New Roman" w:cs="Times New Roman"/>
          <w:w w:val="110"/>
          <w:u w:val="thick" w:color="000000"/>
        </w:rPr>
        <w:t xml:space="preserve">Section 3:  Services Covered Under the Exception </w:t>
      </w:r>
      <w:r>
        <w:rPr>
          <w:rFonts w:ascii="Times New Roman" w:hAnsi="Times New Roman" w:cs="Times New Roman"/>
          <w:w w:val="110"/>
          <w:sz w:val="24"/>
          <w:szCs w:val="24"/>
          <w:u w:val="thick" w:color="000000"/>
        </w:rPr>
        <w:t xml:space="preserve">to </w:t>
      </w:r>
      <w:r>
        <w:rPr>
          <w:rFonts w:ascii="Times New Roman" w:hAnsi="Times New Roman" w:cs="Times New Roman"/>
          <w:w w:val="110"/>
          <w:u w:val="thick" w:color="000000"/>
        </w:rPr>
        <w:t>the General Coverage</w:t>
      </w:r>
    </w:p>
    <w:p w:rsidR="002C5025" w:rsidRDefault="002C5025">
      <w:pPr>
        <w:pStyle w:val="BodyText"/>
        <w:kinsoku w:val="0"/>
        <w:overflowPunct w:val="0"/>
        <w:spacing w:before="6"/>
        <w:rPr>
          <w:rFonts w:ascii="Times New Roman" w:hAnsi="Times New Roman" w:cs="Times New Roman"/>
          <w:sz w:val="14"/>
          <w:szCs w:val="14"/>
        </w:rPr>
      </w:pPr>
    </w:p>
    <w:p w:rsidR="002C5025" w:rsidRDefault="002C5025">
      <w:pPr>
        <w:pStyle w:val="BodyText"/>
        <w:kinsoku w:val="0"/>
        <w:overflowPunct w:val="0"/>
        <w:spacing w:before="72"/>
        <w:ind w:left="136" w:right="1839"/>
        <w:rPr>
          <w:rFonts w:ascii="Times New Roman" w:hAnsi="Times New Roman" w:cs="Times New Roman"/>
          <w:w w:val="110"/>
        </w:rPr>
      </w:pPr>
      <w:r>
        <w:rPr>
          <w:rFonts w:ascii="Times New Roman" w:hAnsi="Times New Roman" w:cs="Times New Roman"/>
          <w:w w:val="110"/>
          <w:u w:val="thick" w:color="000000"/>
        </w:rPr>
        <w:t>Exclusion for Inmates</w:t>
      </w:r>
    </w:p>
    <w:p w:rsidR="002C5025" w:rsidRDefault="002C5025">
      <w:pPr>
        <w:pStyle w:val="BodyText"/>
        <w:kinsoku w:val="0"/>
        <w:overflowPunct w:val="0"/>
        <w:spacing w:before="10"/>
        <w:rPr>
          <w:rFonts w:ascii="Times New Roman" w:hAnsi="Times New Roman" w:cs="Times New Roman"/>
          <w:sz w:val="14"/>
          <w:szCs w:val="14"/>
        </w:rPr>
      </w:pPr>
    </w:p>
    <w:p w:rsidR="002C5025" w:rsidRDefault="002C5025">
      <w:pPr>
        <w:pStyle w:val="BodyText"/>
        <w:tabs>
          <w:tab w:val="left" w:pos="842"/>
        </w:tabs>
        <w:kinsoku w:val="0"/>
        <w:overflowPunct w:val="0"/>
        <w:spacing w:before="70" w:line="273" w:lineRule="auto"/>
        <w:ind w:left="144" w:right="1885"/>
        <w:rPr>
          <w:rFonts w:ascii="Times New Roman" w:hAnsi="Times New Roman" w:cs="Times New Roman"/>
          <w:i/>
          <w:iCs/>
          <w:sz w:val="23"/>
          <w:szCs w:val="23"/>
        </w:rPr>
      </w:pPr>
      <w:r>
        <w:rPr>
          <w:rFonts w:ascii="Times New Roman" w:hAnsi="Times New Roman" w:cs="Times New Roman"/>
        </w:rPr>
        <w:t>Q22.</w:t>
      </w:r>
      <w:r>
        <w:rPr>
          <w:rFonts w:ascii="Times New Roman" w:hAnsi="Times New Roman" w:cs="Times New Roman"/>
        </w:rPr>
        <w:tab/>
      </w:r>
      <w:r>
        <w:rPr>
          <w:rFonts w:ascii="Times New Roman" w:hAnsi="Times New Roman" w:cs="Times New Roman"/>
          <w:u w:val="thick" w:color="000000"/>
        </w:rPr>
        <w:t xml:space="preserve">Services, Settings, and  Cond </w:t>
      </w:r>
      <w:proofErr w:type="spellStart"/>
      <w:r>
        <w:rPr>
          <w:rFonts w:ascii="Times New Roman" w:hAnsi="Times New Roman" w:cs="Times New Roman"/>
          <w:u w:val="thick" w:color="000000"/>
        </w:rPr>
        <w:t>itions</w:t>
      </w:r>
      <w:proofErr w:type="spellEnd"/>
      <w:r>
        <w:rPr>
          <w:rFonts w:ascii="Times New Roman" w:hAnsi="Times New Roman" w:cs="Times New Roman"/>
          <w:u w:val="thick" w:color="000000"/>
        </w:rPr>
        <w:t xml:space="preserve">:   </w:t>
      </w:r>
      <w:r>
        <w:rPr>
          <w:rFonts w:ascii="Times New Roman" w:hAnsi="Times New Roman" w:cs="Times New Roman"/>
          <w:i/>
          <w:iCs/>
          <w:sz w:val="23"/>
          <w:szCs w:val="23"/>
        </w:rPr>
        <w:t>For  which services  and settings  is</w:t>
      </w:r>
      <w:r>
        <w:rPr>
          <w:rFonts w:ascii="Times New Roman" w:hAnsi="Times New Roman" w:cs="Times New Roman"/>
          <w:i/>
          <w:iCs/>
          <w:spacing w:val="-14"/>
          <w:sz w:val="23"/>
          <w:szCs w:val="23"/>
        </w:rPr>
        <w:t xml:space="preserve"> </w:t>
      </w:r>
      <w:r>
        <w:rPr>
          <w:rFonts w:ascii="Times New Roman" w:hAnsi="Times New Roman" w:cs="Times New Roman"/>
          <w:i/>
          <w:iCs/>
          <w:sz w:val="23"/>
          <w:szCs w:val="23"/>
        </w:rPr>
        <w:t>FFP</w:t>
      </w:r>
      <w:r>
        <w:rPr>
          <w:rFonts w:ascii="Times New Roman" w:hAnsi="Times New Roman" w:cs="Times New Roman"/>
          <w:i/>
          <w:iCs/>
          <w:spacing w:val="3"/>
          <w:sz w:val="23"/>
          <w:szCs w:val="23"/>
        </w:rPr>
        <w:t xml:space="preserve"> </w:t>
      </w:r>
      <w:r>
        <w:rPr>
          <w:rFonts w:ascii="Times New Roman" w:hAnsi="Times New Roman" w:cs="Times New Roman"/>
          <w:i/>
          <w:iCs/>
          <w:sz w:val="23"/>
          <w:szCs w:val="23"/>
        </w:rPr>
        <w:t xml:space="preserve">generally available under the inpatient exception to the general coverage exclusion for  </w:t>
      </w:r>
      <w:r>
        <w:rPr>
          <w:rFonts w:ascii="Times New Roman" w:hAnsi="Times New Roman" w:cs="Times New Roman"/>
          <w:i/>
          <w:iCs/>
          <w:spacing w:val="1"/>
          <w:sz w:val="23"/>
          <w:szCs w:val="23"/>
        </w:rPr>
        <w:t xml:space="preserve"> </w:t>
      </w:r>
      <w:r>
        <w:rPr>
          <w:rFonts w:ascii="Times New Roman" w:hAnsi="Times New Roman" w:cs="Times New Roman"/>
          <w:i/>
          <w:iCs/>
          <w:sz w:val="23"/>
          <w:szCs w:val="23"/>
        </w:rPr>
        <w:t>inmates?</w:t>
      </w:r>
    </w:p>
    <w:p w:rsidR="002C5025" w:rsidRDefault="002C5025">
      <w:pPr>
        <w:pStyle w:val="BodyText"/>
        <w:kinsoku w:val="0"/>
        <w:overflowPunct w:val="0"/>
        <w:spacing w:before="1"/>
        <w:rPr>
          <w:rFonts w:ascii="Times New Roman" w:hAnsi="Times New Roman" w:cs="Times New Roman"/>
          <w:i/>
          <w:iCs/>
          <w:sz w:val="18"/>
          <w:szCs w:val="18"/>
        </w:rPr>
      </w:pPr>
    </w:p>
    <w:p w:rsidR="002C5025" w:rsidRDefault="002C5025">
      <w:pPr>
        <w:pStyle w:val="BodyText"/>
        <w:tabs>
          <w:tab w:val="left" w:pos="835"/>
        </w:tabs>
        <w:kinsoku w:val="0"/>
        <w:overflowPunct w:val="0"/>
        <w:spacing w:line="290" w:lineRule="auto"/>
        <w:ind w:left="136" w:right="2060"/>
        <w:rPr>
          <w:rFonts w:ascii="Times New Roman" w:hAnsi="Times New Roman" w:cs="Times New Roman"/>
        </w:rPr>
      </w:pPr>
      <w:r>
        <w:rPr>
          <w:rFonts w:ascii="Times New Roman" w:hAnsi="Times New Roman" w:cs="Times New Roman"/>
        </w:rPr>
        <w:t>A22.</w:t>
      </w:r>
      <w:r>
        <w:rPr>
          <w:rFonts w:ascii="Times New Roman" w:hAnsi="Times New Roman" w:cs="Times New Roman"/>
        </w:rPr>
        <w:tab/>
        <w:t>To qualify for the  inpatient  exception,  services must be  covered under</w:t>
      </w:r>
      <w:r>
        <w:rPr>
          <w:rFonts w:ascii="Times New Roman" w:hAnsi="Times New Roman" w:cs="Times New Roman"/>
          <w:spacing w:val="52"/>
        </w:rPr>
        <w:t xml:space="preserve"> </w:t>
      </w:r>
      <w:r>
        <w:rPr>
          <w:rFonts w:ascii="Times New Roman" w:hAnsi="Times New Roman" w:cs="Times New Roman"/>
        </w:rPr>
        <w:t>the</w:t>
      </w:r>
      <w:r>
        <w:rPr>
          <w:rFonts w:ascii="Times New Roman" w:hAnsi="Times New Roman" w:cs="Times New Roman"/>
          <w:spacing w:val="27"/>
        </w:rPr>
        <w:t xml:space="preserve"> </w:t>
      </w:r>
      <w:r>
        <w:rPr>
          <w:rFonts w:ascii="Times New Roman" w:hAnsi="Times New Roman" w:cs="Times New Roman"/>
        </w:rPr>
        <w:t xml:space="preserve">state's Medicaid Plan, delivered in a prescribed setting in a way that is consistent with other terms of  the state's Medicaid Plan, and provided by a </w:t>
      </w:r>
      <w:r>
        <w:rPr>
          <w:rFonts w:ascii="Times New Roman" w:hAnsi="Times New Roman" w:cs="Times New Roman"/>
          <w:spacing w:val="-8"/>
        </w:rPr>
        <w:t xml:space="preserve">ce1iified </w:t>
      </w:r>
      <w:r>
        <w:rPr>
          <w:rFonts w:ascii="Times New Roman" w:hAnsi="Times New Roman" w:cs="Times New Roman"/>
        </w:rPr>
        <w:t>or enrolled provider that maintains compliance with federal requirements.  In this  document, we use the term "federal   requirements" to refer to all federal requirements,  including the  CMS Conditions  of Pa</w:t>
      </w:r>
      <w:r w:rsidR="00344961">
        <w:rPr>
          <w:rFonts w:ascii="Times New Roman" w:hAnsi="Times New Roman" w:cs="Times New Roman"/>
        </w:rPr>
        <w:t>rticipation</w:t>
      </w:r>
      <w:r>
        <w:rPr>
          <w:rFonts w:ascii="Times New Roman" w:hAnsi="Times New Roman" w:cs="Times New Roman"/>
        </w:rPr>
        <w:t xml:space="preserve"> </w:t>
      </w:r>
      <w:r>
        <w:rPr>
          <w:rFonts w:ascii="Times New Roman" w:hAnsi="Times New Roman" w:cs="Times New Roman"/>
          <w:spacing w:val="28"/>
        </w:rPr>
        <w:t xml:space="preserve"> </w:t>
      </w:r>
      <w:r>
        <w:rPr>
          <w:rFonts w:ascii="Times New Roman" w:hAnsi="Times New Roman" w:cs="Times New Roman"/>
        </w:rPr>
        <w:t>(</w:t>
      </w:r>
      <w:proofErr w:type="spellStart"/>
      <w:r>
        <w:rPr>
          <w:rFonts w:ascii="Times New Roman" w:hAnsi="Times New Roman" w:cs="Times New Roman"/>
        </w:rPr>
        <w:t>CoPs</w:t>
      </w:r>
      <w:proofErr w:type="spellEnd"/>
      <w:r>
        <w:rPr>
          <w:rFonts w:ascii="Times New Roman" w:hAnsi="Times New Roman" w:cs="Times New Roman"/>
        </w:rPr>
        <w:t>).</w:t>
      </w:r>
    </w:p>
    <w:p w:rsidR="002C5025" w:rsidRDefault="002C5025">
      <w:pPr>
        <w:pStyle w:val="BodyText"/>
        <w:kinsoku w:val="0"/>
        <w:overflowPunct w:val="0"/>
        <w:spacing w:before="185" w:line="290" w:lineRule="auto"/>
        <w:ind w:left="144" w:right="2060"/>
        <w:rPr>
          <w:rFonts w:ascii="Times New Roman" w:hAnsi="Times New Roman" w:cs="Times New Roman"/>
        </w:rPr>
      </w:pPr>
      <w:r>
        <w:rPr>
          <w:rFonts w:ascii="Times New Roman" w:hAnsi="Times New Roman" w:cs="Times New Roman"/>
        </w:rPr>
        <w:t>Under the law at section l 905(a)(29)(A) of the Act, FFP is only available for inpatient services furnished to patients in a medical institution (including services furnished by  such providers during the inpatient stay, which is defined in CFR 435.1010  as a stay of 24 hours or more in  which there is an admission of the individual to the facility as an inpatient on the orders of the practitioner  responsible  for the care of the</w:t>
      </w:r>
      <w:r>
        <w:rPr>
          <w:rFonts w:ascii="Times New Roman" w:hAnsi="Times New Roman" w:cs="Times New Roman"/>
          <w:spacing w:val="50"/>
        </w:rPr>
        <w:t xml:space="preserve"> </w:t>
      </w:r>
      <w:r>
        <w:rPr>
          <w:rFonts w:ascii="Times New Roman" w:hAnsi="Times New Roman" w:cs="Times New Roman"/>
        </w:rPr>
        <w:t>patient).</w:t>
      </w:r>
    </w:p>
    <w:p w:rsidR="002C5025" w:rsidRDefault="002C5025">
      <w:pPr>
        <w:pStyle w:val="BodyText"/>
        <w:kinsoku w:val="0"/>
        <w:overflowPunct w:val="0"/>
        <w:spacing w:before="190" w:line="288" w:lineRule="auto"/>
        <w:ind w:left="144" w:right="1994" w:hanging="1"/>
        <w:rPr>
          <w:rFonts w:ascii="Times New Roman" w:hAnsi="Times New Roman" w:cs="Times New Roman"/>
        </w:rPr>
      </w:pPr>
      <w:r>
        <w:rPr>
          <w:rFonts w:ascii="Times New Roman" w:hAnsi="Times New Roman" w:cs="Times New Roman"/>
        </w:rPr>
        <w:t xml:space="preserve">Additional information about federal requirements for medical institutions  is available through the Center for Clinical Standards and Quality, Survey </w:t>
      </w:r>
      <w:r>
        <w:rPr>
          <w:rFonts w:ascii="Arial" w:hAnsi="Arial" w:cs="Arial"/>
          <w:sz w:val="21"/>
          <w:szCs w:val="21"/>
        </w:rPr>
        <w:t xml:space="preserve">&amp; </w:t>
      </w:r>
      <w:r>
        <w:rPr>
          <w:rFonts w:ascii="Times New Roman" w:hAnsi="Times New Roman" w:cs="Times New Roman"/>
        </w:rPr>
        <w:t xml:space="preserve">Certification Group and CMS  interpretive guidelines for surveyors at </w:t>
      </w:r>
      <w:hyperlink r:id="rId595" w:history="1">
        <w:r>
          <w:rPr>
            <w:rFonts w:ascii="Times New Roman" w:hAnsi="Times New Roman" w:cs="Times New Roman"/>
          </w:rPr>
          <w:t>https://www.cms.gov/Med</w:t>
        </w:r>
      </w:hyperlink>
      <w:r>
        <w:rPr>
          <w:rFonts w:ascii="Times New Roman" w:hAnsi="Times New Roman" w:cs="Times New Roman"/>
        </w:rPr>
        <w:t>icare/Provider-Enrollment- and-Certification/SurveyCertificationGenlnfo/Policy-and-Memos-to-States-and-Regions.html</w:t>
      </w:r>
    </w:p>
    <w:p w:rsidR="002C5025" w:rsidRDefault="002C5025">
      <w:pPr>
        <w:pStyle w:val="BodyText"/>
        <w:tabs>
          <w:tab w:val="left" w:pos="849"/>
        </w:tabs>
        <w:kinsoku w:val="0"/>
        <w:overflowPunct w:val="0"/>
        <w:spacing w:before="179" w:line="278" w:lineRule="auto"/>
        <w:ind w:left="107" w:right="1998" w:firstLine="43"/>
        <w:rPr>
          <w:rFonts w:ascii="Times New Roman" w:hAnsi="Times New Roman" w:cs="Times New Roman"/>
          <w:i/>
          <w:iCs/>
          <w:sz w:val="23"/>
          <w:szCs w:val="23"/>
        </w:rPr>
      </w:pPr>
      <w:r>
        <w:rPr>
          <w:rFonts w:ascii="Times New Roman" w:hAnsi="Times New Roman" w:cs="Times New Roman"/>
        </w:rPr>
        <w:t>Q23.</w:t>
      </w:r>
      <w:r>
        <w:rPr>
          <w:rFonts w:ascii="Times New Roman" w:hAnsi="Times New Roman" w:cs="Times New Roman"/>
        </w:rPr>
        <w:tab/>
        <w:t xml:space="preserve">Services Not  Available  </w:t>
      </w:r>
      <w:r>
        <w:rPr>
          <w:rFonts w:ascii="Times New Roman" w:hAnsi="Times New Roman" w:cs="Times New Roman"/>
          <w:sz w:val="24"/>
          <w:szCs w:val="24"/>
        </w:rPr>
        <w:t xml:space="preserve">to </w:t>
      </w:r>
      <w:r>
        <w:rPr>
          <w:rFonts w:ascii="Times New Roman" w:hAnsi="Times New Roman" w:cs="Times New Roman"/>
        </w:rPr>
        <w:t xml:space="preserve">Others: </w:t>
      </w:r>
      <w:r>
        <w:rPr>
          <w:rFonts w:ascii="Times New Roman" w:hAnsi="Times New Roman" w:cs="Times New Roman"/>
          <w:i/>
          <w:iCs/>
          <w:spacing w:val="-6"/>
          <w:sz w:val="23"/>
          <w:szCs w:val="23"/>
        </w:rPr>
        <w:t xml:space="preserve">ls </w:t>
      </w:r>
      <w:r>
        <w:rPr>
          <w:rFonts w:ascii="Times New Roman" w:hAnsi="Times New Roman" w:cs="Times New Roman"/>
          <w:i/>
          <w:iCs/>
          <w:sz w:val="23"/>
          <w:szCs w:val="23"/>
        </w:rPr>
        <w:t>FFP  available for   inpatient services</w:t>
      </w:r>
      <w:r>
        <w:rPr>
          <w:rFonts w:ascii="Times New Roman" w:hAnsi="Times New Roman" w:cs="Times New Roman"/>
          <w:i/>
          <w:iCs/>
          <w:spacing w:val="44"/>
          <w:sz w:val="23"/>
          <w:szCs w:val="23"/>
        </w:rPr>
        <w:t xml:space="preserve"> </w:t>
      </w:r>
      <w:r>
        <w:rPr>
          <w:rFonts w:ascii="Times New Roman" w:hAnsi="Times New Roman" w:cs="Times New Roman"/>
          <w:i/>
          <w:iCs/>
          <w:sz w:val="23"/>
          <w:szCs w:val="23"/>
        </w:rPr>
        <w:t>to</w:t>
      </w:r>
      <w:r>
        <w:rPr>
          <w:rFonts w:ascii="Times New Roman" w:hAnsi="Times New Roman" w:cs="Times New Roman"/>
          <w:i/>
          <w:iCs/>
          <w:spacing w:val="12"/>
          <w:sz w:val="23"/>
          <w:szCs w:val="23"/>
        </w:rPr>
        <w:t xml:space="preserve"> </w:t>
      </w:r>
      <w:r>
        <w:rPr>
          <w:rFonts w:ascii="Times New Roman" w:hAnsi="Times New Roman" w:cs="Times New Roman"/>
          <w:i/>
          <w:iCs/>
          <w:sz w:val="23"/>
          <w:szCs w:val="23"/>
        </w:rPr>
        <w:t>inmates for  conditions that Medicaid  would otherwise not reimburse in an inpatient</w:t>
      </w:r>
      <w:r>
        <w:rPr>
          <w:rFonts w:ascii="Times New Roman" w:hAnsi="Times New Roman" w:cs="Times New Roman"/>
          <w:i/>
          <w:iCs/>
          <w:spacing w:val="45"/>
          <w:sz w:val="23"/>
          <w:szCs w:val="23"/>
        </w:rPr>
        <w:t xml:space="preserve"> </w:t>
      </w:r>
      <w:r>
        <w:rPr>
          <w:rFonts w:ascii="Times New Roman" w:hAnsi="Times New Roman" w:cs="Times New Roman"/>
          <w:i/>
          <w:iCs/>
          <w:sz w:val="23"/>
          <w:szCs w:val="23"/>
        </w:rPr>
        <w:t>setting?</w:t>
      </w:r>
    </w:p>
    <w:p w:rsidR="002C5025" w:rsidRDefault="002C5025">
      <w:pPr>
        <w:pStyle w:val="BodyText"/>
        <w:tabs>
          <w:tab w:val="left" w:pos="835"/>
        </w:tabs>
        <w:kinsoku w:val="0"/>
        <w:overflowPunct w:val="0"/>
        <w:spacing w:before="193" w:line="290" w:lineRule="auto"/>
        <w:ind w:left="150" w:right="2060" w:hanging="7"/>
        <w:rPr>
          <w:rFonts w:ascii="Times New Roman" w:hAnsi="Times New Roman" w:cs="Times New Roman"/>
        </w:rPr>
      </w:pPr>
      <w:r>
        <w:rPr>
          <w:rFonts w:ascii="Times New Roman" w:hAnsi="Times New Roman" w:cs="Times New Roman"/>
        </w:rPr>
        <w:t>A23.</w:t>
      </w:r>
      <w:r>
        <w:rPr>
          <w:rFonts w:ascii="Times New Roman" w:hAnsi="Times New Roman" w:cs="Times New Roman"/>
        </w:rPr>
        <w:tab/>
        <w:t>No.   Covered Medicaid  inpatient  services are the same for all</w:t>
      </w:r>
      <w:r>
        <w:rPr>
          <w:rFonts w:ascii="Times New Roman" w:hAnsi="Times New Roman" w:cs="Times New Roman"/>
          <w:spacing w:val="54"/>
        </w:rPr>
        <w:t xml:space="preserve"> </w:t>
      </w:r>
      <w:r>
        <w:rPr>
          <w:rFonts w:ascii="Times New Roman" w:hAnsi="Times New Roman" w:cs="Times New Roman"/>
        </w:rPr>
        <w:t>Medicaid</w:t>
      </w:r>
      <w:r>
        <w:rPr>
          <w:rFonts w:ascii="Times New Roman" w:hAnsi="Times New Roman" w:cs="Times New Roman"/>
          <w:spacing w:val="43"/>
        </w:rPr>
        <w:t xml:space="preserve"> </w:t>
      </w:r>
      <w:r>
        <w:rPr>
          <w:rFonts w:ascii="Times New Roman" w:hAnsi="Times New Roman" w:cs="Times New Roman"/>
        </w:rPr>
        <w:t>eligible</w:t>
      </w:r>
      <w:r>
        <w:rPr>
          <w:rFonts w:ascii="Times New Roman" w:hAnsi="Times New Roman" w:cs="Times New Roman"/>
          <w:spacing w:val="-2"/>
        </w:rPr>
        <w:t xml:space="preserve"> </w:t>
      </w:r>
      <w:r>
        <w:rPr>
          <w:rFonts w:ascii="Times New Roman" w:hAnsi="Times New Roman" w:cs="Times New Roman"/>
        </w:rPr>
        <w:t xml:space="preserve">individuals, including individuals who are in a medical institution  but who would  otherwise be  in a correctional institution. FFP  is not available for services that are not  otherwise  covered under the state plan in that </w:t>
      </w:r>
      <w:r>
        <w:rPr>
          <w:rFonts w:ascii="Times New Roman" w:hAnsi="Times New Roman" w:cs="Times New Roman"/>
          <w:spacing w:val="45"/>
        </w:rPr>
        <w:t xml:space="preserve"> </w:t>
      </w:r>
      <w:r>
        <w:rPr>
          <w:rFonts w:ascii="Times New Roman" w:hAnsi="Times New Roman" w:cs="Times New Roman"/>
        </w:rPr>
        <w:t>setting.</w:t>
      </w:r>
    </w:p>
    <w:p w:rsidR="002C5025" w:rsidRDefault="002C5025">
      <w:pPr>
        <w:pStyle w:val="BodyText"/>
        <w:tabs>
          <w:tab w:val="left" w:pos="842"/>
        </w:tabs>
        <w:kinsoku w:val="0"/>
        <w:overflowPunct w:val="0"/>
        <w:spacing w:before="183" w:line="283" w:lineRule="auto"/>
        <w:ind w:left="151" w:right="1858" w:firstLine="7"/>
        <w:rPr>
          <w:rFonts w:ascii="Times New Roman" w:hAnsi="Times New Roman" w:cs="Times New Roman"/>
          <w:i/>
          <w:iCs/>
          <w:sz w:val="23"/>
          <w:szCs w:val="23"/>
        </w:rPr>
      </w:pPr>
      <w:bookmarkStart w:id="278" w:name="Q24._Third_Party_Resource:_Do_state,_loc"/>
      <w:bookmarkEnd w:id="278"/>
      <w:r>
        <w:rPr>
          <w:rFonts w:ascii="Times New Roman" w:hAnsi="Times New Roman" w:cs="Times New Roman"/>
        </w:rPr>
        <w:t>Q24.</w:t>
      </w:r>
      <w:r>
        <w:rPr>
          <w:rFonts w:ascii="Times New Roman" w:hAnsi="Times New Roman" w:cs="Times New Roman"/>
        </w:rPr>
        <w:tab/>
      </w:r>
      <w:r>
        <w:rPr>
          <w:rFonts w:ascii="Times New Roman" w:hAnsi="Times New Roman" w:cs="Times New Roman"/>
          <w:u w:val="thick" w:color="000000"/>
        </w:rPr>
        <w:t xml:space="preserve">Third  Party Resource: </w:t>
      </w:r>
      <w:r>
        <w:rPr>
          <w:rFonts w:ascii="Times New Roman" w:hAnsi="Times New Roman" w:cs="Times New Roman"/>
          <w:i/>
          <w:iCs/>
          <w:sz w:val="23"/>
          <w:szCs w:val="23"/>
        </w:rPr>
        <w:t>Do state, local, and  correctional  entities meet  the</w:t>
      </w:r>
      <w:r>
        <w:rPr>
          <w:rFonts w:ascii="Times New Roman" w:hAnsi="Times New Roman" w:cs="Times New Roman"/>
          <w:i/>
          <w:iCs/>
          <w:spacing w:val="55"/>
          <w:sz w:val="23"/>
          <w:szCs w:val="23"/>
        </w:rPr>
        <w:t xml:space="preserve"> </w:t>
      </w:r>
      <w:r>
        <w:rPr>
          <w:rFonts w:ascii="Times New Roman" w:hAnsi="Times New Roman" w:cs="Times New Roman"/>
          <w:i/>
          <w:iCs/>
          <w:sz w:val="23"/>
          <w:szCs w:val="23"/>
        </w:rPr>
        <w:t>definition</w:t>
      </w:r>
      <w:r>
        <w:rPr>
          <w:rFonts w:ascii="Times New Roman" w:hAnsi="Times New Roman" w:cs="Times New Roman"/>
          <w:i/>
          <w:iCs/>
          <w:spacing w:val="52"/>
          <w:sz w:val="23"/>
          <w:szCs w:val="23"/>
        </w:rPr>
        <w:t xml:space="preserve"> </w:t>
      </w:r>
      <w:r>
        <w:rPr>
          <w:rFonts w:ascii="Times New Roman" w:hAnsi="Times New Roman" w:cs="Times New Roman"/>
          <w:i/>
          <w:iCs/>
          <w:sz w:val="23"/>
          <w:szCs w:val="23"/>
        </w:rPr>
        <w:t>of a third party  resource, for purposes  of inpatient care</w:t>
      </w:r>
      <w:r w:rsidR="00344961">
        <w:rPr>
          <w:rFonts w:ascii="Times New Roman" w:hAnsi="Times New Roman" w:cs="Times New Roman"/>
          <w:i/>
          <w:iCs/>
          <w:sz w:val="23"/>
          <w:szCs w:val="23"/>
        </w:rPr>
        <w:t xml:space="preserve"> </w:t>
      </w:r>
      <w:r>
        <w:rPr>
          <w:rFonts w:ascii="Times New Roman" w:hAnsi="Times New Roman" w:cs="Times New Roman"/>
          <w:i/>
          <w:iCs/>
          <w:sz w:val="23"/>
          <w:szCs w:val="23"/>
        </w:rPr>
        <w:t>provided  to inmates of public institutions?</w:t>
      </w:r>
    </w:p>
    <w:p w:rsidR="002C5025" w:rsidRDefault="002C5025">
      <w:pPr>
        <w:pStyle w:val="BodyText"/>
        <w:tabs>
          <w:tab w:val="left" w:pos="849"/>
        </w:tabs>
        <w:kinsoku w:val="0"/>
        <w:overflowPunct w:val="0"/>
        <w:spacing w:before="191" w:line="285" w:lineRule="auto"/>
        <w:ind w:left="158" w:right="2218" w:hanging="7"/>
        <w:rPr>
          <w:rFonts w:ascii="Times New Roman" w:hAnsi="Times New Roman" w:cs="Times New Roman"/>
        </w:rPr>
      </w:pPr>
      <w:r>
        <w:rPr>
          <w:rFonts w:ascii="Times New Roman" w:hAnsi="Times New Roman" w:cs="Times New Roman"/>
        </w:rPr>
        <w:t>A24.</w:t>
      </w:r>
      <w:r>
        <w:rPr>
          <w:rFonts w:ascii="Times New Roman" w:hAnsi="Times New Roman" w:cs="Times New Roman"/>
        </w:rPr>
        <w:tab/>
        <w:t xml:space="preserve">We do not require  states to treat state, local, and tribal correctional  entities  </w:t>
      </w:r>
      <w:r>
        <w:rPr>
          <w:rFonts w:ascii="Times New Roman" w:hAnsi="Times New Roman" w:cs="Times New Roman"/>
          <w:spacing w:val="25"/>
        </w:rPr>
        <w:t xml:space="preserve"> </w:t>
      </w:r>
      <w:r>
        <w:rPr>
          <w:rFonts w:ascii="Times New Roman" w:hAnsi="Times New Roman" w:cs="Times New Roman"/>
        </w:rPr>
        <w:t>as</w:t>
      </w:r>
      <w:r>
        <w:rPr>
          <w:rFonts w:ascii="Times New Roman" w:hAnsi="Times New Roman" w:cs="Times New Roman"/>
          <w:spacing w:val="15"/>
        </w:rPr>
        <w:t xml:space="preserve"> </w:t>
      </w:r>
      <w:r>
        <w:rPr>
          <w:rFonts w:ascii="Times New Roman" w:hAnsi="Times New Roman" w:cs="Times New Roman"/>
        </w:rPr>
        <w:t xml:space="preserve">legally liable third parties, and Medicaid  may pay primary to such entities for covered   </w:t>
      </w:r>
      <w:r>
        <w:rPr>
          <w:rFonts w:ascii="Times New Roman" w:hAnsi="Times New Roman" w:cs="Times New Roman"/>
          <w:spacing w:val="51"/>
        </w:rPr>
        <w:t xml:space="preserve"> </w:t>
      </w:r>
      <w:r>
        <w:rPr>
          <w:rFonts w:ascii="Times New Roman" w:hAnsi="Times New Roman" w:cs="Times New Roman"/>
        </w:rPr>
        <w:t>inpatient</w:t>
      </w:r>
    </w:p>
    <w:p w:rsidR="002C5025" w:rsidRDefault="002C5025">
      <w:pPr>
        <w:pStyle w:val="BodyText"/>
        <w:tabs>
          <w:tab w:val="left" w:pos="849"/>
        </w:tabs>
        <w:kinsoku w:val="0"/>
        <w:overflowPunct w:val="0"/>
        <w:spacing w:before="191" w:line="285" w:lineRule="auto"/>
        <w:ind w:left="158" w:right="2218" w:hanging="7"/>
        <w:rPr>
          <w:rFonts w:ascii="Times New Roman" w:hAnsi="Times New Roman" w:cs="Times New Roman"/>
        </w:rPr>
        <w:sectPr w:rsidR="002C5025">
          <w:pgSz w:w="12240" w:h="15840"/>
          <w:pgMar w:top="1080" w:right="0" w:bottom="280" w:left="1440" w:header="720" w:footer="720" w:gutter="0"/>
          <w:cols w:space="720" w:equalWidth="0">
            <w:col w:w="10800"/>
          </w:cols>
          <w:noEndnote/>
        </w:sectPr>
      </w:pPr>
    </w:p>
    <w:p w:rsidR="002C5025" w:rsidRDefault="002C5025">
      <w:pPr>
        <w:pStyle w:val="BodyText"/>
        <w:kinsoku w:val="0"/>
        <w:overflowPunct w:val="0"/>
        <w:spacing w:before="60"/>
        <w:ind w:left="131" w:right="452"/>
        <w:rPr>
          <w:rFonts w:ascii="Times New Roman" w:hAnsi="Times New Roman" w:cs="Times New Roman"/>
          <w:sz w:val="20"/>
          <w:szCs w:val="20"/>
        </w:rPr>
      </w:pPr>
      <w:r>
        <w:rPr>
          <w:rFonts w:ascii="Times New Roman" w:hAnsi="Times New Roman" w:cs="Times New Roman"/>
          <w:sz w:val="20"/>
          <w:szCs w:val="20"/>
        </w:rPr>
        <w:lastRenderedPageBreak/>
        <w:t xml:space="preserve">Page  12-State </w:t>
      </w:r>
      <w:proofErr w:type="spellStart"/>
      <w:r>
        <w:rPr>
          <w:rFonts w:ascii="Times New Roman" w:hAnsi="Times New Roman" w:cs="Times New Roman"/>
          <w:sz w:val="20"/>
          <w:szCs w:val="20"/>
        </w:rPr>
        <w:t>Hea</w:t>
      </w:r>
      <w:proofErr w:type="spellEnd"/>
      <w:r>
        <w:rPr>
          <w:rFonts w:ascii="Times New Roman" w:hAnsi="Times New Roman" w:cs="Times New Roman"/>
          <w:sz w:val="20"/>
          <w:szCs w:val="20"/>
        </w:rPr>
        <w:t xml:space="preserve"> lth </w:t>
      </w:r>
      <w:proofErr w:type="spellStart"/>
      <w:r>
        <w:rPr>
          <w:rFonts w:ascii="Times New Roman" w:hAnsi="Times New Roman" w:cs="Times New Roman"/>
          <w:sz w:val="20"/>
          <w:szCs w:val="20"/>
        </w:rPr>
        <w:t>Officia</w:t>
      </w:r>
      <w:proofErr w:type="spellEnd"/>
      <w:r>
        <w:rPr>
          <w:rFonts w:ascii="Times New Roman" w:hAnsi="Times New Roman" w:cs="Times New Roman"/>
          <w:sz w:val="20"/>
          <w:szCs w:val="20"/>
        </w:rPr>
        <w:t xml:space="preserve"> l and State Med </w:t>
      </w:r>
      <w:proofErr w:type="spellStart"/>
      <w:r>
        <w:rPr>
          <w:rFonts w:ascii="Times New Roman" w:hAnsi="Times New Roman" w:cs="Times New Roman"/>
          <w:sz w:val="20"/>
          <w:szCs w:val="20"/>
        </w:rPr>
        <w:t>ica</w:t>
      </w:r>
      <w:proofErr w:type="spellEnd"/>
      <w:r>
        <w:rPr>
          <w:rFonts w:ascii="Times New Roman" w:hAnsi="Times New Roman" w:cs="Times New Roman"/>
          <w:sz w:val="20"/>
          <w:szCs w:val="20"/>
        </w:rPr>
        <w:t xml:space="preserve"> id Director</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2"/>
        <w:rPr>
          <w:rFonts w:ascii="Times New Roman" w:hAnsi="Times New Roman" w:cs="Times New Roman"/>
          <w:sz w:val="26"/>
          <w:szCs w:val="26"/>
        </w:rPr>
      </w:pPr>
    </w:p>
    <w:p w:rsidR="002C5025" w:rsidRDefault="002C5025">
      <w:pPr>
        <w:pStyle w:val="BodyText"/>
        <w:kinsoku w:val="0"/>
        <w:overflowPunct w:val="0"/>
        <w:spacing w:before="1" w:line="290" w:lineRule="auto"/>
        <w:ind w:left="123" w:right="452"/>
        <w:rPr>
          <w:rFonts w:ascii="Times New Roman" w:hAnsi="Times New Roman" w:cs="Times New Roman"/>
        </w:rPr>
      </w:pPr>
      <w:r>
        <w:rPr>
          <w:rFonts w:ascii="Times New Roman" w:hAnsi="Times New Roman" w:cs="Times New Roman"/>
        </w:rPr>
        <w:t>services, unless the state has elected under state law to consider these entities as legally liable third patties.</w:t>
      </w:r>
    </w:p>
    <w:p w:rsidR="002C5025" w:rsidRDefault="002C5025">
      <w:pPr>
        <w:pStyle w:val="BodyText"/>
        <w:kinsoku w:val="0"/>
        <w:overflowPunct w:val="0"/>
        <w:spacing w:before="195" w:line="290" w:lineRule="auto"/>
        <w:ind w:left="114" w:right="452" w:firstLine="14"/>
        <w:rPr>
          <w:rFonts w:ascii="Times New Roman" w:hAnsi="Times New Roman" w:cs="Times New Roman"/>
        </w:rPr>
      </w:pPr>
      <w:r>
        <w:rPr>
          <w:rFonts w:ascii="Times New Roman" w:hAnsi="Times New Roman" w:cs="Times New Roman"/>
        </w:rPr>
        <w:t xml:space="preserve">CMS maintains its policy that state and local correctional  entities are considered  a source of  third </w:t>
      </w:r>
      <w:proofErr w:type="spellStart"/>
      <w:r>
        <w:rPr>
          <w:rFonts w:ascii="Times New Roman" w:hAnsi="Times New Roman" w:cs="Times New Roman"/>
        </w:rPr>
        <w:t>patty</w:t>
      </w:r>
      <w:proofErr w:type="spellEnd"/>
      <w:r>
        <w:rPr>
          <w:rFonts w:ascii="Times New Roman" w:hAnsi="Times New Roman" w:cs="Times New Roman"/>
        </w:rPr>
        <w:t xml:space="preserve">  coverage  for purposes  of the hospital-specific  limit on disproportionate  share hospital (DSH) payments when they, in fact, are obligated to pay for the services because Medicaid payment is not available. To the extent that services are under the exception to the inmate coverage exclusion, and Medicaid pays primary, uncompensated costs not paid by state and local co</w:t>
      </w:r>
      <w:r w:rsidR="00344961">
        <w:rPr>
          <w:rFonts w:ascii="Times New Roman" w:hAnsi="Times New Roman" w:cs="Times New Roman"/>
        </w:rPr>
        <w:t>rrectional entities would be par</w:t>
      </w:r>
      <w:r>
        <w:rPr>
          <w:rFonts w:ascii="Times New Roman" w:hAnsi="Times New Roman" w:cs="Times New Roman"/>
        </w:rPr>
        <w:t xml:space="preserve">t of the Medicaid </w:t>
      </w:r>
      <w:r>
        <w:rPr>
          <w:rFonts w:ascii="Times New Roman" w:hAnsi="Times New Roman" w:cs="Times New Roman"/>
          <w:spacing w:val="-5"/>
        </w:rPr>
        <w:t xml:space="preserve">sh01tfall </w:t>
      </w:r>
      <w:r w:rsidR="00344961">
        <w:rPr>
          <w:rFonts w:ascii="Times New Roman" w:hAnsi="Times New Roman" w:cs="Times New Roman"/>
        </w:rPr>
        <w:t>and could suppor</w:t>
      </w:r>
      <w:r>
        <w:rPr>
          <w:rFonts w:ascii="Times New Roman" w:hAnsi="Times New Roman" w:cs="Times New Roman"/>
        </w:rPr>
        <w:t>t DSH payments.</w:t>
      </w:r>
    </w:p>
    <w:p w:rsidR="002C5025" w:rsidRDefault="002C5025">
      <w:pPr>
        <w:pStyle w:val="BodyText"/>
        <w:tabs>
          <w:tab w:val="left" w:pos="821"/>
        </w:tabs>
        <w:kinsoku w:val="0"/>
        <w:overflowPunct w:val="0"/>
        <w:spacing w:before="183" w:line="278" w:lineRule="auto"/>
        <w:ind w:left="121" w:right="265" w:firstLine="9"/>
        <w:rPr>
          <w:rFonts w:ascii="Times New Roman" w:hAnsi="Times New Roman" w:cs="Times New Roman"/>
          <w:i/>
          <w:iCs/>
          <w:sz w:val="23"/>
          <w:szCs w:val="23"/>
        </w:rPr>
      </w:pPr>
      <w:bookmarkStart w:id="279" w:name="Q25._Outpatient_Services:_ls_FFP_availab"/>
      <w:bookmarkEnd w:id="279"/>
      <w:r>
        <w:rPr>
          <w:rFonts w:ascii="Times New Roman" w:hAnsi="Times New Roman" w:cs="Times New Roman"/>
        </w:rPr>
        <w:t>Q25.</w:t>
      </w:r>
      <w:r>
        <w:rPr>
          <w:rFonts w:ascii="Times New Roman" w:hAnsi="Times New Roman" w:cs="Times New Roman"/>
        </w:rPr>
        <w:tab/>
        <w:t xml:space="preserve">Outpatient  Services: </w:t>
      </w:r>
      <w:r>
        <w:rPr>
          <w:rFonts w:ascii="Times New Roman" w:hAnsi="Times New Roman" w:cs="Times New Roman"/>
          <w:i/>
          <w:iCs/>
          <w:spacing w:val="-6"/>
          <w:sz w:val="23"/>
          <w:szCs w:val="23"/>
        </w:rPr>
        <w:t xml:space="preserve">ls </w:t>
      </w:r>
      <w:r>
        <w:rPr>
          <w:rFonts w:ascii="Times New Roman" w:hAnsi="Times New Roman" w:cs="Times New Roman"/>
          <w:i/>
          <w:iCs/>
          <w:sz w:val="23"/>
          <w:szCs w:val="23"/>
        </w:rPr>
        <w:t>FFP  available,  under  the inmate</w:t>
      </w:r>
      <w:r>
        <w:rPr>
          <w:rFonts w:ascii="Times New Roman" w:hAnsi="Times New Roman" w:cs="Times New Roman"/>
          <w:i/>
          <w:iCs/>
          <w:spacing w:val="37"/>
          <w:sz w:val="23"/>
          <w:szCs w:val="23"/>
        </w:rPr>
        <w:t xml:space="preserve"> </w:t>
      </w:r>
      <w:r>
        <w:rPr>
          <w:rFonts w:ascii="Times New Roman" w:hAnsi="Times New Roman" w:cs="Times New Roman"/>
          <w:i/>
          <w:iCs/>
          <w:sz w:val="23"/>
          <w:szCs w:val="23"/>
        </w:rPr>
        <w:t xml:space="preserve">coverage </w:t>
      </w:r>
      <w:r>
        <w:rPr>
          <w:rFonts w:ascii="Times New Roman" w:hAnsi="Times New Roman" w:cs="Times New Roman"/>
          <w:i/>
          <w:iCs/>
          <w:spacing w:val="1"/>
          <w:sz w:val="23"/>
          <w:szCs w:val="23"/>
        </w:rPr>
        <w:t xml:space="preserve"> </w:t>
      </w:r>
      <w:r>
        <w:rPr>
          <w:rFonts w:ascii="Times New Roman" w:hAnsi="Times New Roman" w:cs="Times New Roman"/>
          <w:i/>
          <w:iCs/>
          <w:sz w:val="23"/>
          <w:szCs w:val="23"/>
        </w:rPr>
        <w:t>exclusion exception,</w:t>
      </w:r>
      <w:r w:rsidR="00344961">
        <w:rPr>
          <w:rFonts w:ascii="Times New Roman" w:hAnsi="Times New Roman" w:cs="Times New Roman"/>
          <w:i/>
          <w:iCs/>
          <w:sz w:val="23"/>
          <w:szCs w:val="23"/>
        </w:rPr>
        <w:t xml:space="preserve"> </w:t>
      </w:r>
      <w:r>
        <w:rPr>
          <w:rFonts w:ascii="Times New Roman" w:hAnsi="Times New Roman" w:cs="Times New Roman"/>
          <w:i/>
          <w:iCs/>
          <w:sz w:val="23"/>
          <w:szCs w:val="23"/>
        </w:rPr>
        <w:t>for  outpatient services furnished  by or in a local hospital emergency department,  an urgent care center, a clinic, or a Federally  Qualified Health  Center/Rural Health</w:t>
      </w:r>
      <w:r>
        <w:rPr>
          <w:rFonts w:ascii="Times New Roman" w:hAnsi="Times New Roman" w:cs="Times New Roman"/>
          <w:i/>
          <w:iCs/>
          <w:spacing w:val="35"/>
          <w:sz w:val="23"/>
          <w:szCs w:val="23"/>
        </w:rPr>
        <w:t xml:space="preserve"> </w:t>
      </w:r>
      <w:r>
        <w:rPr>
          <w:rFonts w:ascii="Times New Roman" w:hAnsi="Times New Roman" w:cs="Times New Roman"/>
          <w:i/>
          <w:iCs/>
          <w:sz w:val="23"/>
          <w:szCs w:val="23"/>
        </w:rPr>
        <w:t>Clinic?</w:t>
      </w:r>
    </w:p>
    <w:p w:rsidR="002C5025" w:rsidRDefault="002C5025">
      <w:pPr>
        <w:pStyle w:val="BodyText"/>
        <w:kinsoku w:val="0"/>
        <w:overflowPunct w:val="0"/>
        <w:spacing w:before="5"/>
        <w:rPr>
          <w:rFonts w:ascii="Times New Roman" w:hAnsi="Times New Roman" w:cs="Times New Roman"/>
          <w:i/>
          <w:iCs/>
          <w:sz w:val="17"/>
          <w:szCs w:val="17"/>
        </w:rPr>
      </w:pPr>
    </w:p>
    <w:p w:rsidR="002C5025" w:rsidRDefault="002C5025">
      <w:pPr>
        <w:pStyle w:val="BodyText"/>
        <w:kinsoku w:val="0"/>
        <w:overflowPunct w:val="0"/>
        <w:spacing w:line="290" w:lineRule="auto"/>
        <w:ind w:left="131" w:right="155" w:hanging="10"/>
        <w:jc w:val="both"/>
        <w:rPr>
          <w:rFonts w:ascii="Times New Roman" w:hAnsi="Times New Roman" w:cs="Times New Roman"/>
        </w:rPr>
      </w:pPr>
      <w:r>
        <w:rPr>
          <w:rFonts w:ascii="Times New Roman" w:hAnsi="Times New Roman" w:cs="Times New Roman"/>
        </w:rPr>
        <w:t>A25. No. FFP is not available for outpatient services for inmates, including but not limited to services in a local hospital emergency department, an urgent care center, a clinic, or a Federally Qualified Health Center/Rural  Health  Clinic.</w:t>
      </w:r>
    </w:p>
    <w:p w:rsidR="002C5025" w:rsidRDefault="002C5025">
      <w:pPr>
        <w:pStyle w:val="BodyText"/>
        <w:kinsoku w:val="0"/>
        <w:overflowPunct w:val="0"/>
        <w:spacing w:before="183" w:line="278" w:lineRule="auto"/>
        <w:ind w:left="114" w:right="100" w:firstLine="14"/>
        <w:jc w:val="both"/>
        <w:rPr>
          <w:rFonts w:ascii="Times New Roman" w:hAnsi="Times New Roman" w:cs="Times New Roman"/>
          <w:i/>
          <w:iCs/>
          <w:sz w:val="23"/>
          <w:szCs w:val="23"/>
        </w:rPr>
      </w:pPr>
      <w:bookmarkStart w:id="280" w:name="Q26._Contracts_with_Health_Care_Manageme"/>
      <w:bookmarkEnd w:id="280"/>
      <w:r>
        <w:rPr>
          <w:rFonts w:ascii="Times New Roman" w:hAnsi="Times New Roman" w:cs="Times New Roman"/>
        </w:rPr>
        <w:t xml:space="preserve">Q26. </w:t>
      </w:r>
      <w:r>
        <w:rPr>
          <w:rFonts w:ascii="Times New Roman" w:hAnsi="Times New Roman" w:cs="Times New Roman"/>
          <w:u w:val="thick" w:color="000000"/>
        </w:rPr>
        <w:t xml:space="preserve">Contracts with Health Care Management Entities: </w:t>
      </w:r>
      <w:r>
        <w:rPr>
          <w:rFonts w:ascii="Times New Roman" w:hAnsi="Times New Roman" w:cs="Times New Roman"/>
          <w:i/>
          <w:iCs/>
          <w:sz w:val="23"/>
          <w:szCs w:val="23"/>
        </w:rPr>
        <w:t xml:space="preserve">Some state  and  local  correctional entities contract with a health care management  entity </w:t>
      </w:r>
      <w:r>
        <w:rPr>
          <w:rFonts w:ascii="Times New Roman" w:hAnsi="Times New Roman" w:cs="Times New Roman"/>
          <w:i/>
          <w:iCs/>
          <w:spacing w:val="2"/>
          <w:sz w:val="23"/>
          <w:szCs w:val="23"/>
        </w:rPr>
        <w:t>to</w:t>
      </w:r>
      <w:r w:rsidR="00344961">
        <w:rPr>
          <w:rFonts w:ascii="Times New Roman" w:hAnsi="Times New Roman" w:cs="Times New Roman"/>
          <w:i/>
          <w:iCs/>
          <w:spacing w:val="2"/>
          <w:sz w:val="23"/>
          <w:szCs w:val="23"/>
        </w:rPr>
        <w:t xml:space="preserve"> </w:t>
      </w:r>
      <w:r>
        <w:rPr>
          <w:rFonts w:ascii="Times New Roman" w:hAnsi="Times New Roman" w:cs="Times New Roman"/>
          <w:i/>
          <w:iCs/>
          <w:spacing w:val="2"/>
          <w:sz w:val="23"/>
          <w:szCs w:val="23"/>
        </w:rPr>
        <w:t xml:space="preserve">provide  </w:t>
      </w:r>
      <w:r>
        <w:rPr>
          <w:rFonts w:ascii="Times New Roman" w:hAnsi="Times New Roman" w:cs="Times New Roman"/>
          <w:i/>
          <w:iCs/>
          <w:sz w:val="23"/>
          <w:szCs w:val="23"/>
        </w:rPr>
        <w:t>medical services to inmates.  ls FFP available</w:t>
      </w:r>
      <w:r w:rsidR="00344961">
        <w:rPr>
          <w:rFonts w:ascii="Times New Roman" w:hAnsi="Times New Roman" w:cs="Times New Roman"/>
          <w:i/>
          <w:iCs/>
          <w:sz w:val="23"/>
          <w:szCs w:val="23"/>
        </w:rPr>
        <w:t xml:space="preserve"> </w:t>
      </w:r>
      <w:r>
        <w:rPr>
          <w:rFonts w:ascii="Times New Roman" w:hAnsi="Times New Roman" w:cs="Times New Roman"/>
          <w:i/>
          <w:iCs/>
          <w:sz w:val="23"/>
          <w:szCs w:val="23"/>
        </w:rPr>
        <w:t>for  services to inmates</w:t>
      </w:r>
      <w:r w:rsidR="00344961">
        <w:rPr>
          <w:rFonts w:ascii="Times New Roman" w:hAnsi="Times New Roman" w:cs="Times New Roman"/>
          <w:i/>
          <w:iCs/>
          <w:sz w:val="23"/>
          <w:szCs w:val="23"/>
        </w:rPr>
        <w:t xml:space="preserve"> </w:t>
      </w:r>
      <w:r>
        <w:rPr>
          <w:rFonts w:ascii="Times New Roman" w:hAnsi="Times New Roman" w:cs="Times New Roman"/>
          <w:i/>
          <w:iCs/>
          <w:sz w:val="23"/>
          <w:szCs w:val="23"/>
        </w:rPr>
        <w:t xml:space="preserve">provided  by the health care management  </w:t>
      </w:r>
      <w:r>
        <w:rPr>
          <w:rFonts w:ascii="Times New Roman" w:hAnsi="Times New Roman" w:cs="Times New Roman"/>
          <w:i/>
          <w:iCs/>
          <w:spacing w:val="16"/>
          <w:sz w:val="23"/>
          <w:szCs w:val="23"/>
        </w:rPr>
        <w:t xml:space="preserve"> </w:t>
      </w:r>
      <w:r>
        <w:rPr>
          <w:rFonts w:ascii="Times New Roman" w:hAnsi="Times New Roman" w:cs="Times New Roman"/>
          <w:i/>
          <w:iCs/>
          <w:sz w:val="23"/>
          <w:szCs w:val="23"/>
        </w:rPr>
        <w:t>entity?</w:t>
      </w:r>
    </w:p>
    <w:p w:rsidR="002C5025" w:rsidRDefault="002C5025">
      <w:pPr>
        <w:pStyle w:val="BodyText"/>
        <w:tabs>
          <w:tab w:val="left" w:pos="805"/>
        </w:tabs>
        <w:kinsoku w:val="0"/>
        <w:overflowPunct w:val="0"/>
        <w:spacing w:before="191" w:line="288" w:lineRule="auto"/>
        <w:ind w:left="122" w:right="265" w:firstLine="1"/>
        <w:rPr>
          <w:rFonts w:ascii="Times New Roman" w:hAnsi="Times New Roman" w:cs="Times New Roman"/>
        </w:rPr>
      </w:pPr>
      <w:r>
        <w:rPr>
          <w:rFonts w:ascii="Times New Roman" w:hAnsi="Times New Roman" w:cs="Times New Roman"/>
        </w:rPr>
        <w:t>A26.</w:t>
      </w:r>
      <w:r>
        <w:rPr>
          <w:rFonts w:ascii="Times New Roman" w:hAnsi="Times New Roman" w:cs="Times New Roman"/>
        </w:rPr>
        <w:tab/>
        <w:t xml:space="preserve">No. FFP  is not available for services furnished  in a correctional  institution  to </w:t>
      </w:r>
      <w:r>
        <w:rPr>
          <w:rFonts w:ascii="Times New Roman" w:hAnsi="Times New Roman" w:cs="Times New Roman"/>
          <w:spacing w:val="12"/>
        </w:rPr>
        <w:t xml:space="preserve"> </w:t>
      </w:r>
      <w:r>
        <w:rPr>
          <w:rFonts w:ascii="Times New Roman" w:hAnsi="Times New Roman" w:cs="Times New Roman"/>
        </w:rPr>
        <w:t>an</w:t>
      </w:r>
      <w:r>
        <w:rPr>
          <w:rFonts w:ascii="Times New Roman" w:hAnsi="Times New Roman" w:cs="Times New Roman"/>
          <w:spacing w:val="30"/>
        </w:rPr>
        <w:t xml:space="preserve"> </w:t>
      </w:r>
      <w:r>
        <w:rPr>
          <w:rFonts w:ascii="Times New Roman" w:hAnsi="Times New Roman" w:cs="Times New Roman"/>
        </w:rPr>
        <w:t>inmate</w:t>
      </w:r>
      <w:r>
        <w:rPr>
          <w:rFonts w:ascii="Times New Roman" w:hAnsi="Times New Roman" w:cs="Times New Roman"/>
          <w:spacing w:val="1"/>
        </w:rPr>
        <w:t xml:space="preserve"> </w:t>
      </w:r>
      <w:r>
        <w:rPr>
          <w:rFonts w:ascii="Times New Roman" w:hAnsi="Times New Roman" w:cs="Times New Roman"/>
        </w:rPr>
        <w:t>regardless of whether those  services are provided  through  a health care management  entity under contract with a correctional institution or between  the health care management  entity and the United States, a state, a territory, a political subdivision of a state or territory, or an Indian tribe. FFP is available for inpatient services in a medical institution furnished by qualified providers with a provider agreement with the State Medicaid Agency under the circumstances described  above.  To the extent that state or local  entities contract with a health care    management entity to provide medical services to inmates, that health care management entity would  be a liable third patty for services under  its contract.   To the extent that services   furnished  during an inpatient stay in a medical  institution affiliated with a health    care</w:t>
      </w:r>
    </w:p>
    <w:p w:rsidR="002C5025" w:rsidRDefault="002C5025">
      <w:pPr>
        <w:pStyle w:val="BodyText"/>
        <w:kinsoku w:val="0"/>
        <w:overflowPunct w:val="0"/>
        <w:spacing w:before="5" w:line="290" w:lineRule="auto"/>
        <w:ind w:left="124" w:firstLine="7"/>
        <w:rPr>
          <w:rFonts w:ascii="Times New Roman" w:hAnsi="Times New Roman" w:cs="Times New Roman"/>
          <w:w w:val="105"/>
        </w:rPr>
      </w:pPr>
      <w:r>
        <w:rPr>
          <w:rFonts w:ascii="Times New Roman" w:hAnsi="Times New Roman" w:cs="Times New Roman"/>
          <w:w w:val="105"/>
        </w:rPr>
        <w:t>management</w:t>
      </w:r>
      <w:r>
        <w:rPr>
          <w:rFonts w:ascii="Times New Roman" w:hAnsi="Times New Roman" w:cs="Times New Roman"/>
          <w:spacing w:val="-5"/>
          <w:w w:val="105"/>
        </w:rPr>
        <w:t xml:space="preserve"> </w:t>
      </w:r>
      <w:r>
        <w:rPr>
          <w:rFonts w:ascii="Times New Roman" w:hAnsi="Times New Roman" w:cs="Times New Roman"/>
          <w:w w:val="105"/>
        </w:rPr>
        <w:t>entity</w:t>
      </w:r>
      <w:r>
        <w:rPr>
          <w:rFonts w:ascii="Times New Roman" w:hAnsi="Times New Roman" w:cs="Times New Roman"/>
          <w:spacing w:val="-9"/>
          <w:w w:val="105"/>
        </w:rPr>
        <w:t xml:space="preserve"> </w:t>
      </w:r>
      <w:r>
        <w:rPr>
          <w:rFonts w:ascii="Times New Roman" w:hAnsi="Times New Roman" w:cs="Times New Roman"/>
          <w:w w:val="105"/>
        </w:rPr>
        <w:t>under</w:t>
      </w:r>
      <w:r>
        <w:rPr>
          <w:rFonts w:ascii="Times New Roman" w:hAnsi="Times New Roman" w:cs="Times New Roman"/>
          <w:spacing w:val="-6"/>
          <w:w w:val="105"/>
        </w:rPr>
        <w:t xml:space="preserve"> </w:t>
      </w:r>
      <w:r>
        <w:rPr>
          <w:rFonts w:ascii="Times New Roman" w:hAnsi="Times New Roman" w:cs="Times New Roman"/>
          <w:w w:val="105"/>
        </w:rPr>
        <w:t>contract</w:t>
      </w:r>
      <w:r>
        <w:rPr>
          <w:rFonts w:ascii="Times New Roman" w:hAnsi="Times New Roman" w:cs="Times New Roman"/>
          <w:spacing w:val="-11"/>
          <w:w w:val="105"/>
        </w:rPr>
        <w:t xml:space="preserve"> </w:t>
      </w:r>
      <w:r>
        <w:rPr>
          <w:rFonts w:ascii="Times New Roman" w:hAnsi="Times New Roman" w:cs="Times New Roman"/>
          <w:w w:val="105"/>
        </w:rPr>
        <w:t>with</w:t>
      </w:r>
      <w:r>
        <w:rPr>
          <w:rFonts w:ascii="Times New Roman" w:hAnsi="Times New Roman" w:cs="Times New Roman"/>
          <w:spacing w:val="-14"/>
          <w:w w:val="105"/>
        </w:rPr>
        <w:t xml:space="preserve"> </w:t>
      </w:r>
      <w:r>
        <w:rPr>
          <w:rFonts w:ascii="Times New Roman" w:hAnsi="Times New Roman" w:cs="Times New Roman"/>
          <w:w w:val="105"/>
        </w:rPr>
        <w:t>state</w:t>
      </w:r>
      <w:r>
        <w:rPr>
          <w:rFonts w:ascii="Times New Roman" w:hAnsi="Times New Roman" w:cs="Times New Roman"/>
          <w:spacing w:val="-15"/>
          <w:w w:val="105"/>
        </w:rPr>
        <w:t xml:space="preserve"> </w:t>
      </w:r>
      <w:r>
        <w:rPr>
          <w:rFonts w:ascii="Times New Roman" w:hAnsi="Times New Roman" w:cs="Times New Roman"/>
          <w:w w:val="105"/>
        </w:rPr>
        <w:t>or</w:t>
      </w:r>
      <w:r>
        <w:rPr>
          <w:rFonts w:ascii="Times New Roman" w:hAnsi="Times New Roman" w:cs="Times New Roman"/>
          <w:spacing w:val="-16"/>
          <w:w w:val="105"/>
        </w:rPr>
        <w:t xml:space="preserve"> </w:t>
      </w:r>
      <w:r>
        <w:rPr>
          <w:rFonts w:ascii="Times New Roman" w:hAnsi="Times New Roman" w:cs="Times New Roman"/>
          <w:w w:val="105"/>
        </w:rPr>
        <w:t>local</w:t>
      </w:r>
      <w:r>
        <w:rPr>
          <w:rFonts w:ascii="Times New Roman" w:hAnsi="Times New Roman" w:cs="Times New Roman"/>
          <w:spacing w:val="-14"/>
          <w:w w:val="105"/>
        </w:rPr>
        <w:t xml:space="preserve"> </w:t>
      </w:r>
      <w:r>
        <w:rPr>
          <w:rFonts w:ascii="Times New Roman" w:hAnsi="Times New Roman" w:cs="Times New Roman"/>
          <w:w w:val="105"/>
        </w:rPr>
        <w:t>entities</w:t>
      </w:r>
      <w:r>
        <w:rPr>
          <w:rFonts w:ascii="Times New Roman" w:hAnsi="Times New Roman" w:cs="Times New Roman"/>
          <w:spacing w:val="-13"/>
          <w:w w:val="105"/>
        </w:rPr>
        <w:t xml:space="preserve"> </w:t>
      </w:r>
      <w:r>
        <w:rPr>
          <w:rFonts w:ascii="Times New Roman" w:hAnsi="Times New Roman" w:cs="Times New Roman"/>
          <w:w w:val="105"/>
        </w:rPr>
        <w:t>are</w:t>
      </w:r>
      <w:r>
        <w:rPr>
          <w:rFonts w:ascii="Times New Roman" w:hAnsi="Times New Roman" w:cs="Times New Roman"/>
          <w:spacing w:val="-22"/>
          <w:w w:val="105"/>
        </w:rPr>
        <w:t xml:space="preserve"> </w:t>
      </w:r>
      <w:r>
        <w:rPr>
          <w:rFonts w:ascii="Times New Roman" w:hAnsi="Times New Roman" w:cs="Times New Roman"/>
          <w:w w:val="105"/>
        </w:rPr>
        <w:t>not</w:t>
      </w:r>
      <w:r>
        <w:rPr>
          <w:rFonts w:ascii="Times New Roman" w:hAnsi="Times New Roman" w:cs="Times New Roman"/>
          <w:spacing w:val="-11"/>
          <w:w w:val="105"/>
        </w:rPr>
        <w:t xml:space="preserve"> </w:t>
      </w:r>
      <w:r>
        <w:rPr>
          <w:rFonts w:ascii="Times New Roman" w:hAnsi="Times New Roman" w:cs="Times New Roman"/>
          <w:w w:val="105"/>
        </w:rPr>
        <w:t>included</w:t>
      </w:r>
      <w:r>
        <w:rPr>
          <w:rFonts w:ascii="Times New Roman" w:hAnsi="Times New Roman" w:cs="Times New Roman"/>
          <w:spacing w:val="-3"/>
          <w:w w:val="105"/>
        </w:rPr>
        <w:t xml:space="preserve"> </w:t>
      </w:r>
      <w:r>
        <w:rPr>
          <w:rFonts w:ascii="Times New Roman" w:hAnsi="Times New Roman" w:cs="Times New Roman"/>
          <w:w w:val="105"/>
        </w:rPr>
        <w:t>in</w:t>
      </w:r>
      <w:r>
        <w:rPr>
          <w:rFonts w:ascii="Times New Roman" w:hAnsi="Times New Roman" w:cs="Times New Roman"/>
          <w:spacing w:val="-22"/>
          <w:w w:val="105"/>
        </w:rPr>
        <w:t xml:space="preserve"> </w:t>
      </w:r>
      <w:r>
        <w:rPr>
          <w:rFonts w:ascii="Times New Roman" w:hAnsi="Times New Roman" w:cs="Times New Roman"/>
          <w:w w:val="105"/>
        </w:rPr>
        <w:t>the</w:t>
      </w:r>
      <w:r>
        <w:rPr>
          <w:rFonts w:ascii="Times New Roman" w:hAnsi="Times New Roman" w:cs="Times New Roman"/>
          <w:spacing w:val="-17"/>
          <w:w w:val="105"/>
        </w:rPr>
        <w:t xml:space="preserve"> </w:t>
      </w:r>
      <w:r>
        <w:rPr>
          <w:rFonts w:ascii="Times New Roman" w:hAnsi="Times New Roman" w:cs="Times New Roman"/>
          <w:w w:val="105"/>
        </w:rPr>
        <w:t>contract,</w:t>
      </w:r>
      <w:r>
        <w:rPr>
          <w:rFonts w:ascii="Times New Roman" w:hAnsi="Times New Roman" w:cs="Times New Roman"/>
          <w:spacing w:val="-14"/>
          <w:w w:val="105"/>
        </w:rPr>
        <w:t xml:space="preserve"> </w:t>
      </w:r>
      <w:r w:rsidR="00344961">
        <w:rPr>
          <w:rFonts w:ascii="Times New Roman" w:hAnsi="Times New Roman" w:cs="Times New Roman"/>
          <w:w w:val="105"/>
        </w:rPr>
        <w:t>th</w:t>
      </w:r>
      <w:r>
        <w:rPr>
          <w:rFonts w:ascii="Times New Roman" w:hAnsi="Times New Roman" w:cs="Times New Roman"/>
          <w:w w:val="105"/>
        </w:rPr>
        <w:t>e Medicaid program can pay for such services when within the scope of Medicaid coverage and provided to eligible individuals by a provider meeting federal and state requirements and Conditions</w:t>
      </w:r>
      <w:r>
        <w:rPr>
          <w:rFonts w:ascii="Times New Roman" w:hAnsi="Times New Roman" w:cs="Times New Roman"/>
          <w:spacing w:val="-25"/>
          <w:w w:val="105"/>
        </w:rPr>
        <w:t xml:space="preserve"> </w:t>
      </w:r>
      <w:r>
        <w:rPr>
          <w:rFonts w:ascii="Times New Roman" w:hAnsi="Times New Roman" w:cs="Times New Roman"/>
          <w:w w:val="105"/>
        </w:rPr>
        <w:t>of</w:t>
      </w:r>
      <w:r>
        <w:rPr>
          <w:rFonts w:ascii="Times New Roman" w:hAnsi="Times New Roman" w:cs="Times New Roman"/>
          <w:spacing w:val="-31"/>
          <w:w w:val="105"/>
        </w:rPr>
        <w:t xml:space="preserve"> </w:t>
      </w:r>
      <w:r w:rsidR="00344961">
        <w:rPr>
          <w:rFonts w:ascii="Times New Roman" w:hAnsi="Times New Roman" w:cs="Times New Roman"/>
          <w:w w:val="105"/>
        </w:rPr>
        <w:t>Par</w:t>
      </w:r>
      <w:r>
        <w:rPr>
          <w:rFonts w:ascii="Times New Roman" w:hAnsi="Times New Roman" w:cs="Times New Roman"/>
          <w:w w:val="105"/>
        </w:rPr>
        <w:t>ticipation.</w:t>
      </w:r>
    </w:p>
    <w:p w:rsidR="002C5025" w:rsidRDefault="002C5025">
      <w:pPr>
        <w:pStyle w:val="BodyText"/>
        <w:tabs>
          <w:tab w:val="left" w:pos="827"/>
        </w:tabs>
        <w:kinsoku w:val="0"/>
        <w:overflowPunct w:val="0"/>
        <w:spacing w:before="173" w:line="283" w:lineRule="auto"/>
        <w:ind w:left="131" w:right="452" w:firstLine="4"/>
        <w:rPr>
          <w:rFonts w:ascii="Times New Roman" w:hAnsi="Times New Roman" w:cs="Times New Roman"/>
          <w:i/>
          <w:iCs/>
          <w:w w:val="105"/>
          <w:sz w:val="23"/>
          <w:szCs w:val="23"/>
        </w:rPr>
      </w:pPr>
      <w:r>
        <w:rPr>
          <w:rFonts w:ascii="Times New Roman" w:hAnsi="Times New Roman" w:cs="Times New Roman"/>
          <w:w w:val="105"/>
        </w:rPr>
        <w:t>Q27.</w:t>
      </w:r>
      <w:r>
        <w:rPr>
          <w:rFonts w:ascii="Times New Roman" w:hAnsi="Times New Roman" w:cs="Times New Roman"/>
          <w:w w:val="105"/>
        </w:rPr>
        <w:tab/>
      </w:r>
      <w:r>
        <w:rPr>
          <w:rFonts w:ascii="Times New Roman" w:hAnsi="Times New Roman" w:cs="Times New Roman"/>
          <w:w w:val="105"/>
          <w:u w:val="thick" w:color="000000"/>
        </w:rPr>
        <w:t xml:space="preserve">Correctional Hospitals or Nursing Facilities: </w:t>
      </w:r>
      <w:r>
        <w:rPr>
          <w:rFonts w:ascii="Times New Roman" w:hAnsi="Times New Roman" w:cs="Times New Roman"/>
          <w:i/>
          <w:iCs/>
          <w:w w:val="105"/>
          <w:sz w:val="23"/>
          <w:szCs w:val="23"/>
        </w:rPr>
        <w:t xml:space="preserve">Can hospitals or nursing </w:t>
      </w:r>
      <w:r>
        <w:rPr>
          <w:rFonts w:ascii="Times New Roman" w:hAnsi="Times New Roman" w:cs="Times New Roman"/>
          <w:i/>
          <w:iCs/>
          <w:spacing w:val="33"/>
          <w:w w:val="105"/>
          <w:sz w:val="23"/>
          <w:szCs w:val="23"/>
        </w:rPr>
        <w:t xml:space="preserve"> </w:t>
      </w:r>
      <w:r>
        <w:rPr>
          <w:rFonts w:ascii="Times New Roman" w:hAnsi="Times New Roman" w:cs="Times New Roman"/>
          <w:i/>
          <w:iCs/>
          <w:spacing w:val="2"/>
          <w:w w:val="105"/>
          <w:sz w:val="23"/>
          <w:szCs w:val="23"/>
        </w:rPr>
        <w:t>homes</w:t>
      </w:r>
      <w:r>
        <w:rPr>
          <w:rFonts w:ascii="Times New Roman" w:hAnsi="Times New Roman" w:cs="Times New Roman"/>
          <w:i/>
          <w:iCs/>
          <w:spacing w:val="6"/>
          <w:w w:val="105"/>
          <w:sz w:val="23"/>
          <w:szCs w:val="23"/>
        </w:rPr>
        <w:t xml:space="preserve"> </w:t>
      </w:r>
      <w:r>
        <w:rPr>
          <w:rFonts w:ascii="Times New Roman" w:hAnsi="Times New Roman" w:cs="Times New Roman"/>
          <w:i/>
          <w:iCs/>
          <w:w w:val="105"/>
          <w:sz w:val="23"/>
          <w:szCs w:val="23"/>
        </w:rPr>
        <w:t>that</w:t>
      </w:r>
      <w:r>
        <w:rPr>
          <w:rFonts w:ascii="Times New Roman" w:hAnsi="Times New Roman" w:cs="Times New Roman"/>
          <w:i/>
          <w:iCs/>
          <w:spacing w:val="1"/>
          <w:w w:val="102"/>
          <w:sz w:val="23"/>
          <w:szCs w:val="23"/>
        </w:rPr>
        <w:t xml:space="preserve"> </w:t>
      </w:r>
      <w:r>
        <w:rPr>
          <w:rFonts w:ascii="Times New Roman" w:hAnsi="Times New Roman" w:cs="Times New Roman"/>
          <w:i/>
          <w:iCs/>
          <w:w w:val="105"/>
          <w:sz w:val="23"/>
          <w:szCs w:val="23"/>
        </w:rPr>
        <w:t>exclusively</w:t>
      </w:r>
      <w:r>
        <w:rPr>
          <w:rFonts w:ascii="Times New Roman" w:hAnsi="Times New Roman" w:cs="Times New Roman"/>
          <w:i/>
          <w:iCs/>
          <w:spacing w:val="-20"/>
          <w:w w:val="105"/>
          <w:sz w:val="23"/>
          <w:szCs w:val="23"/>
        </w:rPr>
        <w:t xml:space="preserve"> </w:t>
      </w:r>
      <w:r>
        <w:rPr>
          <w:rFonts w:ascii="Times New Roman" w:hAnsi="Times New Roman" w:cs="Times New Roman"/>
          <w:i/>
          <w:iCs/>
          <w:w w:val="105"/>
          <w:sz w:val="23"/>
          <w:szCs w:val="23"/>
        </w:rPr>
        <w:t>serve</w:t>
      </w:r>
      <w:r>
        <w:rPr>
          <w:rFonts w:ascii="Times New Roman" w:hAnsi="Times New Roman" w:cs="Times New Roman"/>
          <w:i/>
          <w:iCs/>
          <w:spacing w:val="-18"/>
          <w:w w:val="105"/>
          <w:sz w:val="23"/>
          <w:szCs w:val="23"/>
        </w:rPr>
        <w:t xml:space="preserve"> </w:t>
      </w:r>
      <w:r>
        <w:rPr>
          <w:rFonts w:ascii="Times New Roman" w:hAnsi="Times New Roman" w:cs="Times New Roman"/>
          <w:i/>
          <w:iCs/>
          <w:w w:val="105"/>
          <w:sz w:val="23"/>
          <w:szCs w:val="23"/>
        </w:rPr>
        <w:t>inmates</w:t>
      </w:r>
      <w:r>
        <w:rPr>
          <w:rFonts w:ascii="Times New Roman" w:hAnsi="Times New Roman" w:cs="Times New Roman"/>
          <w:i/>
          <w:iCs/>
          <w:spacing w:val="-17"/>
          <w:w w:val="105"/>
          <w:sz w:val="23"/>
          <w:szCs w:val="23"/>
        </w:rPr>
        <w:t xml:space="preserve"> </w:t>
      </w:r>
      <w:r w:rsidR="00344961">
        <w:rPr>
          <w:rFonts w:ascii="Times New Roman" w:hAnsi="Times New Roman" w:cs="Times New Roman"/>
          <w:i/>
          <w:iCs/>
          <w:spacing w:val="2"/>
          <w:w w:val="105"/>
          <w:sz w:val="23"/>
          <w:szCs w:val="23"/>
        </w:rPr>
        <w:t xml:space="preserve">qualify </w:t>
      </w:r>
      <w:r>
        <w:rPr>
          <w:rFonts w:ascii="Times New Roman" w:hAnsi="Times New Roman" w:cs="Times New Roman"/>
          <w:i/>
          <w:iCs/>
          <w:spacing w:val="2"/>
          <w:w w:val="105"/>
          <w:sz w:val="23"/>
          <w:szCs w:val="23"/>
        </w:rPr>
        <w:t>for</w:t>
      </w:r>
      <w:r>
        <w:rPr>
          <w:rFonts w:ascii="Times New Roman" w:hAnsi="Times New Roman" w:cs="Times New Roman"/>
          <w:i/>
          <w:iCs/>
          <w:spacing w:val="-1"/>
          <w:w w:val="105"/>
          <w:sz w:val="23"/>
          <w:szCs w:val="23"/>
        </w:rPr>
        <w:t xml:space="preserve"> </w:t>
      </w:r>
      <w:r>
        <w:rPr>
          <w:rFonts w:ascii="Times New Roman" w:hAnsi="Times New Roman" w:cs="Times New Roman"/>
          <w:i/>
          <w:iCs/>
          <w:w w:val="105"/>
          <w:sz w:val="23"/>
          <w:szCs w:val="23"/>
        </w:rPr>
        <w:t>FFP?</w:t>
      </w:r>
    </w:p>
    <w:p w:rsidR="002C5025" w:rsidRDefault="002C5025">
      <w:pPr>
        <w:pStyle w:val="BodyText"/>
        <w:tabs>
          <w:tab w:val="left" w:pos="827"/>
        </w:tabs>
        <w:kinsoku w:val="0"/>
        <w:overflowPunct w:val="0"/>
        <w:spacing w:before="173" w:line="283" w:lineRule="auto"/>
        <w:ind w:left="131" w:right="452" w:firstLine="4"/>
        <w:rPr>
          <w:rFonts w:ascii="Times New Roman" w:hAnsi="Times New Roman" w:cs="Times New Roman"/>
          <w:i/>
          <w:iCs/>
          <w:w w:val="105"/>
          <w:sz w:val="23"/>
          <w:szCs w:val="23"/>
        </w:rPr>
        <w:sectPr w:rsidR="002C5025">
          <w:pgSz w:w="12240" w:h="15840"/>
          <w:pgMar w:top="1080" w:right="1660" w:bottom="280" w:left="1460" w:header="720" w:footer="720" w:gutter="0"/>
          <w:cols w:space="720" w:equalWidth="0">
            <w:col w:w="9120"/>
          </w:cols>
          <w:noEndnote/>
        </w:sectPr>
      </w:pPr>
    </w:p>
    <w:p w:rsidR="002C5025" w:rsidRDefault="002C5025">
      <w:pPr>
        <w:pStyle w:val="BodyText"/>
        <w:kinsoku w:val="0"/>
        <w:overflowPunct w:val="0"/>
        <w:spacing w:before="60"/>
        <w:ind w:left="151" w:right="1839"/>
        <w:rPr>
          <w:rFonts w:ascii="Times New Roman" w:hAnsi="Times New Roman" w:cs="Times New Roman"/>
          <w:sz w:val="20"/>
          <w:szCs w:val="20"/>
        </w:rPr>
      </w:pPr>
      <w:r>
        <w:rPr>
          <w:rFonts w:ascii="Times New Roman" w:hAnsi="Times New Roman" w:cs="Times New Roman"/>
          <w:sz w:val="20"/>
          <w:szCs w:val="20"/>
        </w:rPr>
        <w:lastRenderedPageBreak/>
        <w:t xml:space="preserve">Page  13-State </w:t>
      </w:r>
      <w:proofErr w:type="spellStart"/>
      <w:r>
        <w:rPr>
          <w:rFonts w:ascii="Times New Roman" w:hAnsi="Times New Roman" w:cs="Times New Roman"/>
          <w:sz w:val="20"/>
          <w:szCs w:val="20"/>
        </w:rPr>
        <w:t>Hea</w:t>
      </w:r>
      <w:proofErr w:type="spellEnd"/>
      <w:r>
        <w:rPr>
          <w:rFonts w:ascii="Times New Roman" w:hAnsi="Times New Roman" w:cs="Times New Roman"/>
          <w:sz w:val="20"/>
          <w:szCs w:val="20"/>
        </w:rPr>
        <w:t xml:space="preserve"> lth </w:t>
      </w:r>
      <w:proofErr w:type="spellStart"/>
      <w:r>
        <w:rPr>
          <w:rFonts w:ascii="Times New Roman" w:hAnsi="Times New Roman" w:cs="Times New Roman"/>
          <w:sz w:val="20"/>
          <w:szCs w:val="20"/>
        </w:rPr>
        <w:t>Officia</w:t>
      </w:r>
      <w:proofErr w:type="spellEnd"/>
      <w:r>
        <w:rPr>
          <w:rFonts w:ascii="Times New Roman" w:hAnsi="Times New Roman" w:cs="Times New Roman"/>
          <w:sz w:val="20"/>
          <w:szCs w:val="20"/>
        </w:rPr>
        <w:t xml:space="preserve"> l and State Med </w:t>
      </w:r>
      <w:proofErr w:type="spellStart"/>
      <w:r>
        <w:rPr>
          <w:rFonts w:ascii="Times New Roman" w:hAnsi="Times New Roman" w:cs="Times New Roman"/>
          <w:sz w:val="20"/>
          <w:szCs w:val="20"/>
        </w:rPr>
        <w:t>ica</w:t>
      </w:r>
      <w:proofErr w:type="spellEnd"/>
      <w:r>
        <w:rPr>
          <w:rFonts w:ascii="Times New Roman" w:hAnsi="Times New Roman" w:cs="Times New Roman"/>
          <w:sz w:val="20"/>
          <w:szCs w:val="20"/>
        </w:rPr>
        <w:t xml:space="preserve"> id Director</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4"/>
        <w:rPr>
          <w:rFonts w:ascii="Times New Roman" w:hAnsi="Times New Roman" w:cs="Times New Roman"/>
          <w:sz w:val="24"/>
          <w:szCs w:val="24"/>
        </w:rPr>
      </w:pPr>
    </w:p>
    <w:p w:rsidR="002C5025" w:rsidRDefault="00FB027C">
      <w:pPr>
        <w:pStyle w:val="BodyText"/>
        <w:tabs>
          <w:tab w:val="left" w:pos="835"/>
        </w:tabs>
        <w:kinsoku w:val="0"/>
        <w:overflowPunct w:val="0"/>
        <w:spacing w:line="290" w:lineRule="auto"/>
        <w:ind w:left="143" w:right="1923" w:hanging="7"/>
        <w:rPr>
          <w:rFonts w:ascii="Times New Roman" w:hAnsi="Times New Roman" w:cs="Times New Roman"/>
          <w:w w:val="105"/>
        </w:rPr>
      </w:pPr>
      <w:r>
        <w:rPr>
          <w:noProof/>
        </w:rPr>
        <mc:AlternateContent>
          <mc:Choice Requires="wps">
            <w:drawing>
              <wp:anchor distT="0" distB="0" distL="114300" distR="114300" simplePos="0" relativeHeight="251829760" behindDoc="0" locked="0" layoutInCell="0" allowOverlap="1">
                <wp:simplePos x="0" y="0"/>
                <wp:positionH relativeFrom="page">
                  <wp:posOffset>7769225</wp:posOffset>
                </wp:positionH>
                <wp:positionV relativeFrom="paragraph">
                  <wp:posOffset>-99695</wp:posOffset>
                </wp:positionV>
                <wp:extent cx="12700" cy="826770"/>
                <wp:effectExtent l="0" t="0" r="0" b="0"/>
                <wp:wrapNone/>
                <wp:docPr id="31" name="Freeform 8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826770"/>
                        </a:xfrm>
                        <a:custGeom>
                          <a:avLst/>
                          <a:gdLst>
                            <a:gd name="T0" fmla="*/ 0 w 20"/>
                            <a:gd name="T1" fmla="*/ 1302 h 1302"/>
                            <a:gd name="T2" fmla="*/ 0 w 20"/>
                            <a:gd name="T3" fmla="*/ 0 h 1302"/>
                          </a:gdLst>
                          <a:ahLst/>
                          <a:cxnLst>
                            <a:cxn ang="0">
                              <a:pos x="T0" y="T1"/>
                            </a:cxn>
                            <a:cxn ang="0">
                              <a:pos x="T2" y="T3"/>
                            </a:cxn>
                          </a:cxnLst>
                          <a:rect l="0" t="0" r="r" b="b"/>
                          <a:pathLst>
                            <a:path w="20" h="1302">
                              <a:moveTo>
                                <a:pt x="0" y="1302"/>
                              </a:moveTo>
                              <a:lnTo>
                                <a:pt x="0"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851" o:spid="_x0000_s1026" style="position:absolute;z-index:251829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11.75pt,57.25pt,611.75pt,-7.85pt" coordsize="20,1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" o:allowincell="f" filled="f" strokeweight=".36pt">
                <v:path arrowok="t" o:connecttype="custom" o:connectlocs="0,826770;0,0" o:connectangles="0,0"/>
                <w10:wrap anchorx="page"/>
              </v:polyline>
            </w:pict>
          </mc:Fallback>
        </mc:AlternateContent>
      </w:r>
      <w:r>
        <w:rPr>
          <w:noProof/>
        </w:rPr>
        <mc:AlternateContent>
          <mc:Choice Requires="wps">
            <w:drawing>
              <wp:anchor distT="0" distB="0" distL="114300" distR="114300" simplePos="0" relativeHeight="251830784" behindDoc="0" locked="0" layoutInCell="0" allowOverlap="1">
                <wp:simplePos x="0" y="0"/>
                <wp:positionH relativeFrom="page">
                  <wp:posOffset>7769225</wp:posOffset>
                </wp:positionH>
                <wp:positionV relativeFrom="paragraph">
                  <wp:posOffset>1221105</wp:posOffset>
                </wp:positionV>
                <wp:extent cx="12700" cy="434340"/>
                <wp:effectExtent l="0" t="0" r="0" b="0"/>
                <wp:wrapNone/>
                <wp:docPr id="30" name="Freeform 8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434340"/>
                        </a:xfrm>
                        <a:custGeom>
                          <a:avLst/>
                          <a:gdLst>
                            <a:gd name="T0" fmla="*/ 0 w 20"/>
                            <a:gd name="T1" fmla="*/ 684 h 684"/>
                            <a:gd name="T2" fmla="*/ 0 w 20"/>
                            <a:gd name="T3" fmla="*/ 0 h 684"/>
                          </a:gdLst>
                          <a:ahLst/>
                          <a:cxnLst>
                            <a:cxn ang="0">
                              <a:pos x="T0" y="T1"/>
                            </a:cxn>
                            <a:cxn ang="0">
                              <a:pos x="T2" y="T3"/>
                            </a:cxn>
                          </a:cxnLst>
                          <a:rect l="0" t="0" r="r" b="b"/>
                          <a:pathLst>
                            <a:path w="20" h="684">
                              <a:moveTo>
                                <a:pt x="0" y="684"/>
                              </a:moveTo>
                              <a:lnTo>
                                <a:pt x="0"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852" o:spid="_x0000_s1026" style="position:absolute;z-index:251830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11.75pt,130.35pt,611.75pt,96.15pt" coordsize="20,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" o:allowincell="f" filled="f" strokeweight=".36pt">
                <v:path arrowok="t" o:connecttype="custom" o:connectlocs="0,434340;0,0" o:connectangles="0,0"/>
                <w10:wrap anchorx="page"/>
              </v:polyline>
            </w:pict>
          </mc:Fallback>
        </mc:AlternateContent>
      </w:r>
      <w:r w:rsidR="002C5025">
        <w:rPr>
          <w:rFonts w:ascii="Times New Roman" w:hAnsi="Times New Roman" w:cs="Times New Roman"/>
          <w:w w:val="105"/>
        </w:rPr>
        <w:t>A27.</w:t>
      </w:r>
      <w:r w:rsidR="002C5025">
        <w:rPr>
          <w:rFonts w:ascii="Times New Roman" w:hAnsi="Times New Roman" w:cs="Times New Roman"/>
          <w:w w:val="105"/>
        </w:rPr>
        <w:tab/>
        <w:t>No. Hospitals, nursing facilities, or other medical institutions operated</w:t>
      </w:r>
      <w:r w:rsidR="002C5025">
        <w:rPr>
          <w:rFonts w:ascii="Times New Roman" w:hAnsi="Times New Roman" w:cs="Times New Roman"/>
          <w:spacing w:val="-41"/>
          <w:w w:val="105"/>
        </w:rPr>
        <w:t xml:space="preserve"> </w:t>
      </w:r>
      <w:r w:rsidR="002C5025">
        <w:rPr>
          <w:rFonts w:ascii="Times New Roman" w:hAnsi="Times New Roman" w:cs="Times New Roman"/>
          <w:w w:val="105"/>
        </w:rPr>
        <w:t>primarily</w:t>
      </w:r>
      <w:r w:rsidR="002C5025">
        <w:rPr>
          <w:rFonts w:ascii="Times New Roman" w:hAnsi="Times New Roman" w:cs="Times New Roman"/>
          <w:spacing w:val="-6"/>
          <w:w w:val="105"/>
        </w:rPr>
        <w:t xml:space="preserve"> </w:t>
      </w:r>
      <w:r w:rsidR="002C5025">
        <w:rPr>
          <w:rFonts w:ascii="Times New Roman" w:hAnsi="Times New Roman" w:cs="Times New Roman"/>
          <w:w w:val="105"/>
        </w:rPr>
        <w:t>or</w:t>
      </w:r>
      <w:r w:rsidR="002C5025">
        <w:rPr>
          <w:rFonts w:ascii="Times New Roman" w:hAnsi="Times New Roman" w:cs="Times New Roman"/>
          <w:spacing w:val="1"/>
          <w:w w:val="103"/>
        </w:rPr>
        <w:t xml:space="preserve"> </w:t>
      </w:r>
      <w:r w:rsidR="002C5025">
        <w:rPr>
          <w:rFonts w:ascii="Times New Roman" w:hAnsi="Times New Roman" w:cs="Times New Roman"/>
          <w:w w:val="105"/>
        </w:rPr>
        <w:t>exclusively to serve inmates are considered correctional institutions and FFP would not be available</w:t>
      </w:r>
      <w:r w:rsidR="002C5025">
        <w:rPr>
          <w:rFonts w:ascii="Times New Roman" w:hAnsi="Times New Roman" w:cs="Times New Roman"/>
          <w:spacing w:val="-8"/>
          <w:w w:val="105"/>
        </w:rPr>
        <w:t xml:space="preserve"> </w:t>
      </w:r>
      <w:r w:rsidR="002C5025">
        <w:rPr>
          <w:rFonts w:ascii="Times New Roman" w:hAnsi="Times New Roman" w:cs="Times New Roman"/>
          <w:w w:val="105"/>
        </w:rPr>
        <w:t>for</w:t>
      </w:r>
      <w:r w:rsidR="002C5025">
        <w:rPr>
          <w:rFonts w:ascii="Times New Roman" w:hAnsi="Times New Roman" w:cs="Times New Roman"/>
          <w:spacing w:val="-13"/>
          <w:w w:val="105"/>
        </w:rPr>
        <w:t xml:space="preserve"> </w:t>
      </w:r>
      <w:r w:rsidR="002C5025">
        <w:rPr>
          <w:rFonts w:ascii="Times New Roman" w:hAnsi="Times New Roman" w:cs="Times New Roman"/>
          <w:w w:val="105"/>
        </w:rPr>
        <w:t>services.</w:t>
      </w:r>
      <w:r w:rsidR="002C5025">
        <w:rPr>
          <w:rFonts w:ascii="Times New Roman" w:hAnsi="Times New Roman" w:cs="Times New Roman"/>
          <w:spacing w:val="21"/>
          <w:w w:val="105"/>
        </w:rPr>
        <w:t xml:space="preserve"> </w:t>
      </w:r>
      <w:r w:rsidR="002C5025">
        <w:rPr>
          <w:rFonts w:ascii="Times New Roman" w:hAnsi="Times New Roman" w:cs="Times New Roman"/>
          <w:w w:val="105"/>
        </w:rPr>
        <w:t>Nursing</w:t>
      </w:r>
      <w:r w:rsidR="002C5025">
        <w:rPr>
          <w:rFonts w:ascii="Times New Roman" w:hAnsi="Times New Roman" w:cs="Times New Roman"/>
          <w:spacing w:val="-4"/>
          <w:w w:val="105"/>
        </w:rPr>
        <w:t xml:space="preserve"> </w:t>
      </w:r>
      <w:r w:rsidR="002C5025">
        <w:rPr>
          <w:rFonts w:ascii="Times New Roman" w:hAnsi="Times New Roman" w:cs="Times New Roman"/>
          <w:w w:val="105"/>
        </w:rPr>
        <w:t>facilities</w:t>
      </w:r>
      <w:r w:rsidR="002C5025">
        <w:rPr>
          <w:rFonts w:ascii="Times New Roman" w:hAnsi="Times New Roman" w:cs="Times New Roman"/>
          <w:spacing w:val="-5"/>
          <w:w w:val="105"/>
        </w:rPr>
        <w:t xml:space="preserve"> </w:t>
      </w:r>
      <w:r w:rsidR="002C5025">
        <w:rPr>
          <w:rFonts w:ascii="Times New Roman" w:hAnsi="Times New Roman" w:cs="Times New Roman"/>
          <w:w w:val="105"/>
        </w:rPr>
        <w:t>and</w:t>
      </w:r>
      <w:r w:rsidR="002C5025">
        <w:rPr>
          <w:rFonts w:ascii="Times New Roman" w:hAnsi="Times New Roman" w:cs="Times New Roman"/>
          <w:spacing w:val="-3"/>
          <w:w w:val="105"/>
        </w:rPr>
        <w:t xml:space="preserve"> </w:t>
      </w:r>
      <w:r w:rsidR="002C5025">
        <w:rPr>
          <w:rFonts w:ascii="Times New Roman" w:hAnsi="Times New Roman" w:cs="Times New Roman"/>
          <w:w w:val="105"/>
        </w:rPr>
        <w:t>all</w:t>
      </w:r>
      <w:r w:rsidR="002C5025">
        <w:rPr>
          <w:rFonts w:ascii="Times New Roman" w:hAnsi="Times New Roman" w:cs="Times New Roman"/>
          <w:spacing w:val="-11"/>
          <w:w w:val="105"/>
        </w:rPr>
        <w:t xml:space="preserve"> </w:t>
      </w:r>
      <w:r w:rsidR="002C5025">
        <w:rPr>
          <w:rFonts w:ascii="Times New Roman" w:hAnsi="Times New Roman" w:cs="Times New Roman"/>
          <w:w w:val="105"/>
        </w:rPr>
        <w:t>medical</w:t>
      </w:r>
      <w:r w:rsidR="002C5025">
        <w:rPr>
          <w:rFonts w:ascii="Times New Roman" w:hAnsi="Times New Roman" w:cs="Times New Roman"/>
          <w:spacing w:val="7"/>
          <w:w w:val="105"/>
        </w:rPr>
        <w:t xml:space="preserve"> </w:t>
      </w:r>
      <w:r w:rsidR="002C5025">
        <w:rPr>
          <w:rFonts w:ascii="Times New Roman" w:hAnsi="Times New Roman" w:cs="Times New Roman"/>
          <w:w w:val="105"/>
        </w:rPr>
        <w:t>institutions</w:t>
      </w:r>
      <w:r w:rsidR="002C5025">
        <w:rPr>
          <w:rFonts w:ascii="Times New Roman" w:hAnsi="Times New Roman" w:cs="Times New Roman"/>
          <w:spacing w:val="-8"/>
          <w:w w:val="105"/>
        </w:rPr>
        <w:t xml:space="preserve"> </w:t>
      </w:r>
      <w:r w:rsidR="002C5025">
        <w:rPr>
          <w:rFonts w:ascii="Times New Roman" w:hAnsi="Times New Roman" w:cs="Times New Roman"/>
          <w:w w:val="105"/>
        </w:rPr>
        <w:t>under</w:t>
      </w:r>
      <w:r w:rsidR="002C5025">
        <w:rPr>
          <w:rFonts w:ascii="Times New Roman" w:hAnsi="Times New Roman" w:cs="Times New Roman"/>
          <w:spacing w:val="-7"/>
          <w:w w:val="105"/>
        </w:rPr>
        <w:t xml:space="preserve"> </w:t>
      </w:r>
      <w:r w:rsidR="002C5025">
        <w:rPr>
          <w:rFonts w:ascii="Times New Roman" w:hAnsi="Times New Roman" w:cs="Times New Roman"/>
          <w:w w:val="105"/>
        </w:rPr>
        <w:t>this</w:t>
      </w:r>
      <w:r w:rsidR="002C5025">
        <w:rPr>
          <w:rFonts w:ascii="Times New Roman" w:hAnsi="Times New Roman" w:cs="Times New Roman"/>
          <w:spacing w:val="-8"/>
          <w:w w:val="105"/>
        </w:rPr>
        <w:t xml:space="preserve"> </w:t>
      </w:r>
      <w:r w:rsidR="002C5025">
        <w:rPr>
          <w:rFonts w:ascii="Times New Roman" w:hAnsi="Times New Roman" w:cs="Times New Roman"/>
          <w:w w:val="105"/>
        </w:rPr>
        <w:t>exception</w:t>
      </w:r>
      <w:r w:rsidR="002C5025">
        <w:rPr>
          <w:rFonts w:ascii="Times New Roman" w:hAnsi="Times New Roman" w:cs="Times New Roman"/>
          <w:spacing w:val="-6"/>
          <w:w w:val="105"/>
        </w:rPr>
        <w:t xml:space="preserve"> </w:t>
      </w:r>
      <w:r w:rsidR="002C5025">
        <w:rPr>
          <w:rFonts w:ascii="Times New Roman" w:hAnsi="Times New Roman" w:cs="Times New Roman"/>
          <w:w w:val="105"/>
        </w:rPr>
        <w:t>to</w:t>
      </w:r>
      <w:r w:rsidR="002C5025">
        <w:rPr>
          <w:rFonts w:ascii="Times New Roman" w:hAnsi="Times New Roman" w:cs="Times New Roman"/>
          <w:spacing w:val="-15"/>
          <w:w w:val="105"/>
        </w:rPr>
        <w:t xml:space="preserve"> </w:t>
      </w:r>
      <w:r w:rsidR="002C5025">
        <w:rPr>
          <w:rFonts w:ascii="Times New Roman" w:hAnsi="Times New Roman" w:cs="Times New Roman"/>
          <w:w w:val="105"/>
        </w:rPr>
        <w:t>the general exclusion must be operated as medical institutions generally available to the public, organized primarily for the provision of medical care, meet federal requirements discussed in A21, and meet the additional requirements of the definition of medical institution at 42 CFR 435.1010.</w:t>
      </w:r>
    </w:p>
    <w:p w:rsidR="002C5025" w:rsidRDefault="002C5025">
      <w:pPr>
        <w:pStyle w:val="BodyText"/>
        <w:tabs>
          <w:tab w:val="left" w:pos="842"/>
        </w:tabs>
        <w:kinsoku w:val="0"/>
        <w:overflowPunct w:val="0"/>
        <w:spacing w:before="185" w:line="278" w:lineRule="auto"/>
        <w:ind w:left="115" w:right="2060" w:firstLine="36"/>
        <w:rPr>
          <w:rFonts w:ascii="Times New Roman" w:hAnsi="Times New Roman" w:cs="Times New Roman"/>
          <w:i/>
          <w:iCs/>
          <w:sz w:val="23"/>
          <w:szCs w:val="23"/>
        </w:rPr>
      </w:pPr>
      <w:bookmarkStart w:id="281" w:name="Q28._Additional__Considerations:_In__add"/>
      <w:bookmarkEnd w:id="281"/>
      <w:r>
        <w:rPr>
          <w:rFonts w:ascii="Times New Roman" w:hAnsi="Times New Roman" w:cs="Times New Roman"/>
        </w:rPr>
        <w:t>Q28.</w:t>
      </w:r>
      <w:r>
        <w:rPr>
          <w:rFonts w:ascii="Times New Roman" w:hAnsi="Times New Roman" w:cs="Times New Roman"/>
        </w:rPr>
        <w:tab/>
      </w:r>
      <w:r>
        <w:rPr>
          <w:rFonts w:ascii="Times New Roman" w:hAnsi="Times New Roman" w:cs="Times New Roman"/>
          <w:u w:val="thick" w:color="000000"/>
        </w:rPr>
        <w:t>Additional  C</w:t>
      </w:r>
      <w:r>
        <w:rPr>
          <w:rFonts w:ascii="Times New Roman" w:hAnsi="Times New Roman" w:cs="Times New Roman"/>
        </w:rPr>
        <w:t xml:space="preserve">onsiderations:  </w:t>
      </w:r>
      <w:r>
        <w:rPr>
          <w:rFonts w:ascii="Times New Roman" w:hAnsi="Times New Roman" w:cs="Times New Roman"/>
          <w:i/>
          <w:iCs/>
          <w:sz w:val="23"/>
          <w:szCs w:val="23"/>
        </w:rPr>
        <w:t xml:space="preserve">In  addition  to the considerations  included </w:t>
      </w:r>
      <w:r>
        <w:rPr>
          <w:rFonts w:ascii="Times New Roman" w:hAnsi="Times New Roman" w:cs="Times New Roman"/>
          <w:i/>
          <w:iCs/>
          <w:spacing w:val="11"/>
          <w:sz w:val="23"/>
          <w:szCs w:val="23"/>
        </w:rPr>
        <w:t xml:space="preserve"> </w:t>
      </w:r>
      <w:r>
        <w:rPr>
          <w:rFonts w:ascii="Times New Roman" w:hAnsi="Times New Roman" w:cs="Times New Roman"/>
          <w:i/>
          <w:iCs/>
          <w:sz w:val="23"/>
          <w:szCs w:val="23"/>
        </w:rPr>
        <w:t>under</w:t>
      </w:r>
      <w:r>
        <w:rPr>
          <w:rFonts w:ascii="Times New Roman" w:hAnsi="Times New Roman" w:cs="Times New Roman"/>
          <w:i/>
          <w:iCs/>
          <w:spacing w:val="38"/>
          <w:sz w:val="23"/>
          <w:szCs w:val="23"/>
        </w:rPr>
        <w:t xml:space="preserve"> </w:t>
      </w:r>
      <w:r>
        <w:rPr>
          <w:rFonts w:ascii="Times New Roman" w:hAnsi="Times New Roman" w:cs="Times New Roman"/>
          <w:i/>
          <w:iCs/>
          <w:sz w:val="23"/>
          <w:szCs w:val="23"/>
        </w:rPr>
        <w:t xml:space="preserve">the previous Qs </w:t>
      </w:r>
      <w:r>
        <w:rPr>
          <w:rFonts w:ascii="Arial" w:hAnsi="Arial" w:cs="Arial"/>
          <w:i/>
          <w:iCs/>
          <w:sz w:val="21"/>
          <w:szCs w:val="21"/>
        </w:rPr>
        <w:t xml:space="preserve">&amp; </w:t>
      </w:r>
      <w:r>
        <w:rPr>
          <w:rFonts w:ascii="Times New Roman" w:hAnsi="Times New Roman" w:cs="Times New Roman"/>
          <w:i/>
          <w:iCs/>
          <w:sz w:val="23"/>
          <w:szCs w:val="23"/>
        </w:rPr>
        <w:t>As, what other criteria must be applied when determining whether FFP would be available for costs of inpatient care</w:t>
      </w:r>
      <w:r w:rsidR="00344961">
        <w:rPr>
          <w:rFonts w:ascii="Times New Roman" w:hAnsi="Times New Roman" w:cs="Times New Roman"/>
          <w:i/>
          <w:iCs/>
          <w:sz w:val="23"/>
          <w:szCs w:val="23"/>
        </w:rPr>
        <w:t xml:space="preserve"> </w:t>
      </w:r>
      <w:r>
        <w:rPr>
          <w:rFonts w:ascii="Times New Roman" w:hAnsi="Times New Roman" w:cs="Times New Roman"/>
          <w:i/>
          <w:iCs/>
          <w:sz w:val="23"/>
          <w:szCs w:val="23"/>
        </w:rPr>
        <w:t>provided to individuals otherwise in a correctional institution?</w:t>
      </w:r>
    </w:p>
    <w:p w:rsidR="002C5025" w:rsidRDefault="002C5025">
      <w:pPr>
        <w:pStyle w:val="BodyText"/>
        <w:tabs>
          <w:tab w:val="left" w:pos="849"/>
        </w:tabs>
        <w:kinsoku w:val="0"/>
        <w:overflowPunct w:val="0"/>
        <w:spacing w:before="196" w:line="290" w:lineRule="auto"/>
        <w:ind w:left="143" w:right="2422"/>
        <w:rPr>
          <w:rFonts w:ascii="Times New Roman" w:hAnsi="Times New Roman" w:cs="Times New Roman"/>
        </w:rPr>
      </w:pPr>
      <w:r>
        <w:rPr>
          <w:rFonts w:ascii="Times New Roman" w:hAnsi="Times New Roman" w:cs="Times New Roman"/>
        </w:rPr>
        <w:t>A28.</w:t>
      </w:r>
      <w:r>
        <w:rPr>
          <w:rFonts w:ascii="Times New Roman" w:hAnsi="Times New Roman" w:cs="Times New Roman"/>
        </w:rPr>
        <w:tab/>
        <w:t xml:space="preserve">FFP is available for such inpatient care when the other factors identified    </w:t>
      </w:r>
      <w:r>
        <w:rPr>
          <w:rFonts w:ascii="Times New Roman" w:hAnsi="Times New Roman" w:cs="Times New Roman"/>
          <w:spacing w:val="25"/>
        </w:rPr>
        <w:t xml:space="preserve"> </w:t>
      </w:r>
      <w:r>
        <w:rPr>
          <w:rFonts w:ascii="Times New Roman" w:hAnsi="Times New Roman" w:cs="Times New Roman"/>
        </w:rPr>
        <w:t>in</w:t>
      </w:r>
      <w:r>
        <w:rPr>
          <w:rFonts w:ascii="Times New Roman" w:hAnsi="Times New Roman" w:cs="Times New Roman"/>
          <w:spacing w:val="10"/>
        </w:rPr>
        <w:t xml:space="preserve"> </w:t>
      </w:r>
      <w:r>
        <w:rPr>
          <w:rFonts w:ascii="Times New Roman" w:hAnsi="Times New Roman" w:cs="Times New Roman"/>
        </w:rPr>
        <w:t>federal guidance  are met  and</w:t>
      </w:r>
      <w:r>
        <w:rPr>
          <w:rFonts w:ascii="Times New Roman" w:hAnsi="Times New Roman" w:cs="Times New Roman"/>
          <w:spacing w:val="-25"/>
        </w:rPr>
        <w:t xml:space="preserve"> </w:t>
      </w:r>
      <w:r>
        <w:rPr>
          <w:rFonts w:ascii="Times New Roman" w:hAnsi="Times New Roman" w:cs="Times New Roman"/>
        </w:rPr>
        <w:t>when:</w:t>
      </w:r>
    </w:p>
    <w:p w:rsidR="002C5025" w:rsidRDefault="002C5025">
      <w:pPr>
        <w:pStyle w:val="BodyText"/>
        <w:kinsoku w:val="0"/>
        <w:overflowPunct w:val="0"/>
        <w:spacing w:before="4"/>
        <w:rPr>
          <w:rFonts w:ascii="Times New Roman" w:hAnsi="Times New Roman" w:cs="Times New Roman"/>
          <w:sz w:val="17"/>
          <w:szCs w:val="17"/>
        </w:rPr>
      </w:pPr>
    </w:p>
    <w:p w:rsidR="002C5025" w:rsidRDefault="002C5025">
      <w:pPr>
        <w:pStyle w:val="ListParagraph"/>
        <w:numPr>
          <w:ilvl w:val="0"/>
          <w:numId w:val="1"/>
        </w:numPr>
        <w:tabs>
          <w:tab w:val="left" w:pos="843"/>
        </w:tabs>
        <w:kinsoku w:val="0"/>
        <w:overflowPunct w:val="0"/>
        <w:spacing w:line="290" w:lineRule="auto"/>
        <w:ind w:right="2048"/>
        <w:rPr>
          <w:color w:val="000000"/>
          <w:sz w:val="22"/>
          <w:szCs w:val="22"/>
        </w:rPr>
      </w:pPr>
      <w:r>
        <w:rPr>
          <w:sz w:val="22"/>
          <w:szCs w:val="22"/>
        </w:rPr>
        <w:t xml:space="preserve">The overall nature of the medical institution is one of community interaction such that members of the general public may be admitted to receive services and admission into  the medical institution or into specific beds within the institution is not limited to individuals  under the responsibility  of the correctional </w:t>
      </w:r>
      <w:r>
        <w:rPr>
          <w:spacing w:val="27"/>
          <w:sz w:val="22"/>
          <w:szCs w:val="22"/>
        </w:rPr>
        <w:t xml:space="preserve"> </w:t>
      </w:r>
      <w:r>
        <w:rPr>
          <w:sz w:val="22"/>
          <w:szCs w:val="22"/>
        </w:rPr>
        <w:t>facility.</w:t>
      </w:r>
    </w:p>
    <w:p w:rsidR="002C5025" w:rsidRDefault="002C5025">
      <w:pPr>
        <w:pStyle w:val="ListParagraph"/>
        <w:numPr>
          <w:ilvl w:val="1"/>
          <w:numId w:val="1"/>
        </w:numPr>
        <w:tabs>
          <w:tab w:val="left" w:pos="1520"/>
        </w:tabs>
        <w:kinsoku w:val="0"/>
        <w:overflowPunct w:val="0"/>
        <w:spacing w:before="188" w:line="290" w:lineRule="auto"/>
        <w:ind w:right="1942"/>
        <w:rPr>
          <w:color w:val="000000"/>
          <w:sz w:val="22"/>
          <w:szCs w:val="22"/>
        </w:rPr>
      </w:pPr>
      <w:r>
        <w:rPr>
          <w:sz w:val="22"/>
          <w:szCs w:val="22"/>
        </w:rPr>
        <w:t>For nursing facilities and Intermediate Care Facilities for Individuals with Intellectual Disabilities (ICFs/IID, the same staff (i.e., physicians, nurses,  aides) are generally available between  any unit or wing  and the remainder  of the medical institution (Note: this does not preclude the deployment of staff with specialized expertise or experience  working  with  individuals  under the jurisdiction  of the  correctional</w:t>
      </w:r>
      <w:r>
        <w:rPr>
          <w:spacing w:val="40"/>
          <w:sz w:val="22"/>
          <w:szCs w:val="22"/>
        </w:rPr>
        <w:t xml:space="preserve"> </w:t>
      </w:r>
      <w:r>
        <w:rPr>
          <w:sz w:val="22"/>
          <w:szCs w:val="22"/>
        </w:rPr>
        <w:t>system);</w:t>
      </w:r>
    </w:p>
    <w:p w:rsidR="002C5025" w:rsidRDefault="002C5025">
      <w:pPr>
        <w:pStyle w:val="ListParagraph"/>
        <w:numPr>
          <w:ilvl w:val="1"/>
          <w:numId w:val="1"/>
        </w:numPr>
        <w:tabs>
          <w:tab w:val="left" w:pos="1541"/>
        </w:tabs>
        <w:kinsoku w:val="0"/>
        <w:overflowPunct w:val="0"/>
        <w:spacing w:before="192" w:line="288" w:lineRule="auto"/>
        <w:ind w:left="1540" w:right="1789" w:hanging="331"/>
        <w:rPr>
          <w:color w:val="000000"/>
          <w:sz w:val="22"/>
          <w:szCs w:val="22"/>
        </w:rPr>
      </w:pPr>
      <w:r>
        <w:rPr>
          <w:sz w:val="22"/>
          <w:szCs w:val="22"/>
        </w:rPr>
        <w:t>For nursing facilities and ICFs/IID, the same services are provided between the units,  departments  or other locations  and the remainder  of the medical</w:t>
      </w:r>
      <w:r>
        <w:rPr>
          <w:spacing w:val="50"/>
          <w:sz w:val="22"/>
          <w:szCs w:val="22"/>
        </w:rPr>
        <w:t xml:space="preserve"> </w:t>
      </w:r>
      <w:r>
        <w:rPr>
          <w:sz w:val="22"/>
          <w:szCs w:val="22"/>
        </w:rPr>
        <w:t>institution;</w:t>
      </w:r>
    </w:p>
    <w:p w:rsidR="002C5025" w:rsidRDefault="002C5025">
      <w:pPr>
        <w:pStyle w:val="ListParagraph"/>
        <w:numPr>
          <w:ilvl w:val="1"/>
          <w:numId w:val="1"/>
        </w:numPr>
        <w:tabs>
          <w:tab w:val="left" w:pos="1541"/>
        </w:tabs>
        <w:kinsoku w:val="0"/>
        <w:overflowPunct w:val="0"/>
        <w:spacing w:before="195" w:line="290" w:lineRule="auto"/>
        <w:ind w:left="1540" w:right="1884" w:hanging="331"/>
        <w:rPr>
          <w:color w:val="000000"/>
          <w:sz w:val="22"/>
          <w:szCs w:val="22"/>
        </w:rPr>
      </w:pPr>
      <w:r>
        <w:rPr>
          <w:sz w:val="22"/>
          <w:szCs w:val="22"/>
        </w:rPr>
        <w:t xml:space="preserve">For hospitals, the individuals are admitted to specific medical units based not on their status as inmates of a correctional institution, but rather based on their treatment needs and plan of care and generally are placed in units also serving  other individuals  with similar treatment needs  and plans of care; </w:t>
      </w:r>
      <w:r>
        <w:rPr>
          <w:spacing w:val="54"/>
          <w:sz w:val="22"/>
          <w:szCs w:val="22"/>
        </w:rPr>
        <w:t xml:space="preserve"> </w:t>
      </w:r>
      <w:r>
        <w:rPr>
          <w:sz w:val="22"/>
          <w:szCs w:val="22"/>
        </w:rPr>
        <w:t>and</w:t>
      </w:r>
    </w:p>
    <w:p w:rsidR="002C5025" w:rsidRDefault="002C5025">
      <w:pPr>
        <w:pStyle w:val="BodyText"/>
        <w:kinsoku w:val="0"/>
        <w:overflowPunct w:val="0"/>
        <w:spacing w:before="2"/>
        <w:rPr>
          <w:rFonts w:ascii="Times New Roman" w:hAnsi="Times New Roman" w:cs="Times New Roman"/>
          <w:sz w:val="18"/>
          <w:szCs w:val="18"/>
        </w:rPr>
      </w:pPr>
    </w:p>
    <w:p w:rsidR="002C5025" w:rsidRDefault="002C5025">
      <w:pPr>
        <w:pStyle w:val="ListParagraph"/>
        <w:numPr>
          <w:ilvl w:val="0"/>
          <w:numId w:val="1"/>
        </w:numPr>
        <w:tabs>
          <w:tab w:val="left" w:pos="850"/>
        </w:tabs>
        <w:kinsoku w:val="0"/>
        <w:overflowPunct w:val="0"/>
        <w:spacing w:line="290" w:lineRule="auto"/>
        <w:ind w:left="856" w:right="2595" w:hanging="345"/>
        <w:rPr>
          <w:color w:val="000000"/>
          <w:sz w:val="22"/>
          <w:szCs w:val="22"/>
        </w:rPr>
      </w:pPr>
      <w:r>
        <w:rPr>
          <w:sz w:val="22"/>
          <w:szCs w:val="22"/>
        </w:rPr>
        <w:t>Allowable medical services are those provided under the state Medicaid Plan, at approved rates, as would be the case for any other similarly situated Medicaid beneficiary.</w:t>
      </w:r>
    </w:p>
    <w:p w:rsidR="002C5025" w:rsidRDefault="002C5025">
      <w:pPr>
        <w:pStyle w:val="ListParagraph"/>
        <w:numPr>
          <w:ilvl w:val="0"/>
          <w:numId w:val="1"/>
        </w:numPr>
        <w:tabs>
          <w:tab w:val="left" w:pos="850"/>
        </w:tabs>
        <w:kinsoku w:val="0"/>
        <w:overflowPunct w:val="0"/>
        <w:spacing w:line="290" w:lineRule="auto"/>
        <w:ind w:left="856" w:right="2595" w:hanging="345"/>
        <w:rPr>
          <w:color w:val="000000"/>
          <w:sz w:val="22"/>
          <w:szCs w:val="22"/>
        </w:rPr>
        <w:sectPr w:rsidR="002C5025">
          <w:pgSz w:w="12240" w:h="15840"/>
          <w:pgMar w:top="1080" w:right="0" w:bottom="280" w:left="1440" w:header="720" w:footer="720" w:gutter="0"/>
          <w:cols w:space="720" w:equalWidth="0">
            <w:col w:w="10800"/>
          </w:cols>
          <w:noEndnote/>
        </w:sectPr>
      </w:pPr>
    </w:p>
    <w:p w:rsidR="002C5025" w:rsidRDefault="002C5025">
      <w:pPr>
        <w:pStyle w:val="BodyText"/>
        <w:kinsoku w:val="0"/>
        <w:overflowPunct w:val="0"/>
        <w:spacing w:before="60"/>
        <w:ind w:left="111" w:right="701"/>
        <w:rPr>
          <w:rFonts w:ascii="Times New Roman" w:hAnsi="Times New Roman" w:cs="Times New Roman"/>
          <w:sz w:val="20"/>
          <w:szCs w:val="20"/>
        </w:rPr>
      </w:pPr>
      <w:r>
        <w:rPr>
          <w:rFonts w:ascii="Times New Roman" w:hAnsi="Times New Roman" w:cs="Times New Roman"/>
          <w:sz w:val="20"/>
          <w:szCs w:val="20"/>
        </w:rPr>
        <w:lastRenderedPageBreak/>
        <w:t xml:space="preserve">Page  14-State </w:t>
      </w:r>
      <w:proofErr w:type="spellStart"/>
      <w:r>
        <w:rPr>
          <w:rFonts w:ascii="Times New Roman" w:hAnsi="Times New Roman" w:cs="Times New Roman"/>
          <w:sz w:val="20"/>
          <w:szCs w:val="20"/>
        </w:rPr>
        <w:t>Hea</w:t>
      </w:r>
      <w:proofErr w:type="spellEnd"/>
      <w:r>
        <w:rPr>
          <w:rFonts w:ascii="Times New Roman" w:hAnsi="Times New Roman" w:cs="Times New Roman"/>
          <w:sz w:val="20"/>
          <w:szCs w:val="20"/>
        </w:rPr>
        <w:t xml:space="preserve"> lth </w:t>
      </w:r>
      <w:proofErr w:type="spellStart"/>
      <w:r>
        <w:rPr>
          <w:rFonts w:ascii="Times New Roman" w:hAnsi="Times New Roman" w:cs="Times New Roman"/>
          <w:sz w:val="20"/>
          <w:szCs w:val="20"/>
        </w:rPr>
        <w:t>Officia</w:t>
      </w:r>
      <w:proofErr w:type="spellEnd"/>
      <w:r>
        <w:rPr>
          <w:rFonts w:ascii="Times New Roman" w:hAnsi="Times New Roman" w:cs="Times New Roman"/>
          <w:sz w:val="20"/>
          <w:szCs w:val="20"/>
        </w:rPr>
        <w:t xml:space="preserve"> l and State Med </w:t>
      </w:r>
      <w:proofErr w:type="spellStart"/>
      <w:r>
        <w:rPr>
          <w:rFonts w:ascii="Times New Roman" w:hAnsi="Times New Roman" w:cs="Times New Roman"/>
          <w:sz w:val="20"/>
          <w:szCs w:val="20"/>
        </w:rPr>
        <w:t>ica</w:t>
      </w:r>
      <w:proofErr w:type="spellEnd"/>
      <w:r>
        <w:rPr>
          <w:rFonts w:ascii="Times New Roman" w:hAnsi="Times New Roman" w:cs="Times New Roman"/>
          <w:sz w:val="20"/>
          <w:szCs w:val="20"/>
        </w:rPr>
        <w:t xml:space="preserve"> id Director</w: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8"/>
        <w:rPr>
          <w:rFonts w:ascii="Times New Roman" w:hAnsi="Times New Roman" w:cs="Times New Roman"/>
        </w:rPr>
      </w:pPr>
    </w:p>
    <w:p w:rsidR="002C5025" w:rsidRDefault="002C5025">
      <w:pPr>
        <w:pStyle w:val="BodyText"/>
        <w:tabs>
          <w:tab w:val="left" w:pos="816"/>
        </w:tabs>
        <w:kinsoku w:val="0"/>
        <w:overflowPunct w:val="0"/>
        <w:spacing w:line="273" w:lineRule="auto"/>
        <w:ind w:left="118" w:right="424" w:firstLine="7"/>
        <w:rPr>
          <w:rFonts w:ascii="Times New Roman" w:hAnsi="Times New Roman" w:cs="Times New Roman"/>
          <w:i/>
          <w:iCs/>
          <w:sz w:val="23"/>
          <w:szCs w:val="23"/>
        </w:rPr>
      </w:pPr>
      <w:bookmarkStart w:id="282" w:name="Q29._Hospital__Conditions___of_Participa"/>
      <w:bookmarkEnd w:id="282"/>
      <w:r>
        <w:rPr>
          <w:rFonts w:ascii="Times New Roman" w:hAnsi="Times New Roman" w:cs="Times New Roman"/>
        </w:rPr>
        <w:t>Q29.</w:t>
      </w:r>
      <w:r>
        <w:rPr>
          <w:rFonts w:ascii="Times New Roman" w:hAnsi="Times New Roman" w:cs="Times New Roman"/>
        </w:rPr>
        <w:tab/>
      </w:r>
      <w:r>
        <w:rPr>
          <w:rFonts w:ascii="Times New Roman" w:hAnsi="Times New Roman" w:cs="Times New Roman"/>
          <w:u w:val="thick" w:color="000000"/>
        </w:rPr>
        <w:t xml:space="preserve">Hospital  Conditions   of Participation:   </w:t>
      </w:r>
      <w:r>
        <w:rPr>
          <w:rFonts w:ascii="Times New Roman" w:hAnsi="Times New Roman" w:cs="Times New Roman"/>
          <w:i/>
          <w:iCs/>
          <w:sz w:val="23"/>
          <w:szCs w:val="23"/>
        </w:rPr>
        <w:t>What requirements pertain   to</w:t>
      </w:r>
      <w:r>
        <w:rPr>
          <w:rFonts w:ascii="Times New Roman" w:hAnsi="Times New Roman" w:cs="Times New Roman"/>
          <w:i/>
          <w:iCs/>
          <w:spacing w:val="54"/>
          <w:sz w:val="23"/>
          <w:szCs w:val="23"/>
        </w:rPr>
        <w:t xml:space="preserve"> </w:t>
      </w:r>
      <w:r>
        <w:rPr>
          <w:rFonts w:ascii="Times New Roman" w:hAnsi="Times New Roman" w:cs="Times New Roman"/>
          <w:i/>
          <w:iCs/>
          <w:sz w:val="23"/>
          <w:szCs w:val="23"/>
        </w:rPr>
        <w:t>hospitals</w:t>
      </w:r>
      <w:r>
        <w:rPr>
          <w:rFonts w:ascii="Times New Roman" w:hAnsi="Times New Roman" w:cs="Times New Roman"/>
          <w:i/>
          <w:iCs/>
          <w:spacing w:val="45"/>
          <w:sz w:val="23"/>
          <w:szCs w:val="23"/>
        </w:rPr>
        <w:t xml:space="preserve"> </w:t>
      </w:r>
      <w:r>
        <w:rPr>
          <w:rFonts w:ascii="Times New Roman" w:hAnsi="Times New Roman" w:cs="Times New Roman"/>
          <w:i/>
          <w:iCs/>
          <w:sz w:val="23"/>
          <w:szCs w:val="23"/>
        </w:rPr>
        <w:t>and other medical institutions serving inpatients who otherwise would be in correctional institutions?  To which  Conditions of Participation should hospitals pay  special</w:t>
      </w:r>
      <w:r>
        <w:rPr>
          <w:rFonts w:ascii="Times New Roman" w:hAnsi="Times New Roman" w:cs="Times New Roman"/>
          <w:i/>
          <w:iCs/>
          <w:spacing w:val="10"/>
          <w:sz w:val="23"/>
          <w:szCs w:val="23"/>
        </w:rPr>
        <w:t xml:space="preserve"> </w:t>
      </w:r>
      <w:r>
        <w:rPr>
          <w:rFonts w:ascii="Times New Roman" w:hAnsi="Times New Roman" w:cs="Times New Roman"/>
          <w:i/>
          <w:iCs/>
          <w:sz w:val="23"/>
          <w:szCs w:val="23"/>
        </w:rPr>
        <w:t>attention?</w:t>
      </w:r>
    </w:p>
    <w:p w:rsidR="002C5025" w:rsidRDefault="002C5025">
      <w:pPr>
        <w:pStyle w:val="BodyText"/>
        <w:kinsoku w:val="0"/>
        <w:overflowPunct w:val="0"/>
        <w:spacing w:before="1"/>
        <w:rPr>
          <w:rFonts w:ascii="Times New Roman" w:hAnsi="Times New Roman" w:cs="Times New Roman"/>
          <w:i/>
          <w:iCs/>
          <w:sz w:val="18"/>
          <w:szCs w:val="18"/>
        </w:rPr>
      </w:pPr>
    </w:p>
    <w:p w:rsidR="002C5025" w:rsidRDefault="002C5025">
      <w:pPr>
        <w:pStyle w:val="BodyText"/>
        <w:tabs>
          <w:tab w:val="left" w:pos="809"/>
        </w:tabs>
        <w:kinsoku w:val="0"/>
        <w:overflowPunct w:val="0"/>
        <w:spacing w:line="290" w:lineRule="auto"/>
        <w:ind w:left="118" w:right="424"/>
        <w:rPr>
          <w:rFonts w:ascii="Times New Roman" w:hAnsi="Times New Roman" w:cs="Times New Roman"/>
        </w:rPr>
      </w:pPr>
      <w:r>
        <w:rPr>
          <w:rFonts w:ascii="Times New Roman" w:hAnsi="Times New Roman" w:cs="Times New Roman"/>
        </w:rPr>
        <w:t>A29.</w:t>
      </w:r>
      <w:r>
        <w:rPr>
          <w:rFonts w:ascii="Times New Roman" w:hAnsi="Times New Roman" w:cs="Times New Roman"/>
        </w:rPr>
        <w:tab/>
        <w:t xml:space="preserve">Hospitals and other medical  institutions must meet all Medicaid   </w:t>
      </w:r>
      <w:r>
        <w:rPr>
          <w:rFonts w:ascii="Times New Roman" w:hAnsi="Times New Roman" w:cs="Times New Roman"/>
          <w:spacing w:val="23"/>
        </w:rPr>
        <w:t xml:space="preserve"> </w:t>
      </w:r>
      <w:r>
        <w:rPr>
          <w:rFonts w:ascii="Times New Roman" w:hAnsi="Times New Roman" w:cs="Times New Roman"/>
        </w:rPr>
        <w:t>requirements</w:t>
      </w:r>
      <w:r>
        <w:rPr>
          <w:rFonts w:ascii="Times New Roman" w:hAnsi="Times New Roman" w:cs="Times New Roman"/>
          <w:spacing w:val="32"/>
        </w:rPr>
        <w:t xml:space="preserve"> </w:t>
      </w:r>
      <w:r>
        <w:rPr>
          <w:rFonts w:ascii="Times New Roman" w:hAnsi="Times New Roman" w:cs="Times New Roman"/>
        </w:rPr>
        <w:t>when serving patients who would otherwise be in correctional institutions as described above.  This will be discussed in more detail in an upcoming companion CMS Survey and Certification memorandum.</w:t>
      </w:r>
    </w:p>
    <w:p w:rsidR="002C5025" w:rsidRDefault="002C5025">
      <w:pPr>
        <w:pStyle w:val="BodyText"/>
        <w:tabs>
          <w:tab w:val="left" w:pos="874"/>
        </w:tabs>
        <w:kinsoku w:val="0"/>
        <w:overflowPunct w:val="0"/>
        <w:spacing w:before="176" w:line="283" w:lineRule="auto"/>
        <w:ind w:left="125" w:right="243"/>
        <w:rPr>
          <w:rFonts w:ascii="Times New Roman" w:hAnsi="Times New Roman" w:cs="Times New Roman"/>
          <w:i/>
          <w:iCs/>
          <w:spacing w:val="-3"/>
          <w:sz w:val="23"/>
          <w:szCs w:val="23"/>
        </w:rPr>
      </w:pPr>
      <w:bookmarkStart w:id="283" w:name="Q30._Compliance:___Willstates_be_able_to"/>
      <w:bookmarkEnd w:id="283"/>
      <w:r>
        <w:rPr>
          <w:rFonts w:ascii="Times New Roman" w:hAnsi="Times New Roman" w:cs="Times New Roman"/>
        </w:rPr>
        <w:t>Q30.</w:t>
      </w:r>
      <w:r>
        <w:rPr>
          <w:rFonts w:ascii="Times New Roman" w:hAnsi="Times New Roman" w:cs="Times New Roman"/>
        </w:rPr>
        <w:tab/>
        <w:t xml:space="preserve">Compliance:   </w:t>
      </w:r>
      <w:r>
        <w:rPr>
          <w:rFonts w:ascii="Times New Roman" w:hAnsi="Times New Roman" w:cs="Times New Roman"/>
          <w:i/>
          <w:iCs/>
          <w:sz w:val="23"/>
          <w:szCs w:val="23"/>
        </w:rPr>
        <w:t xml:space="preserve">Will states be able to take time to bring their claiming  </w:t>
      </w:r>
      <w:r>
        <w:rPr>
          <w:rFonts w:ascii="Times New Roman" w:hAnsi="Times New Roman" w:cs="Times New Roman"/>
          <w:i/>
          <w:iCs/>
          <w:spacing w:val="1"/>
          <w:sz w:val="23"/>
          <w:szCs w:val="23"/>
        </w:rPr>
        <w:t xml:space="preserve"> </w:t>
      </w:r>
      <w:r>
        <w:rPr>
          <w:rFonts w:ascii="Times New Roman" w:hAnsi="Times New Roman" w:cs="Times New Roman"/>
          <w:i/>
          <w:iCs/>
          <w:sz w:val="23"/>
          <w:szCs w:val="23"/>
        </w:rPr>
        <w:t>into compliance based on this</w:t>
      </w:r>
      <w:r>
        <w:rPr>
          <w:rFonts w:ascii="Times New Roman" w:hAnsi="Times New Roman" w:cs="Times New Roman"/>
          <w:i/>
          <w:iCs/>
          <w:spacing w:val="-6"/>
          <w:sz w:val="23"/>
          <w:szCs w:val="23"/>
        </w:rPr>
        <w:t xml:space="preserve"> </w:t>
      </w:r>
      <w:r w:rsidR="00344961">
        <w:rPr>
          <w:rFonts w:ascii="Times New Roman" w:hAnsi="Times New Roman" w:cs="Times New Roman"/>
          <w:i/>
          <w:iCs/>
          <w:spacing w:val="-3"/>
          <w:sz w:val="23"/>
          <w:szCs w:val="23"/>
        </w:rPr>
        <w:t>g</w:t>
      </w:r>
      <w:r>
        <w:rPr>
          <w:rFonts w:ascii="Times New Roman" w:hAnsi="Times New Roman" w:cs="Times New Roman"/>
          <w:i/>
          <w:iCs/>
          <w:spacing w:val="-3"/>
          <w:sz w:val="23"/>
          <w:szCs w:val="23"/>
        </w:rPr>
        <w:t>uidance?</w:t>
      </w:r>
    </w:p>
    <w:p w:rsidR="002C5025" w:rsidRDefault="002C5025">
      <w:pPr>
        <w:pStyle w:val="BodyText"/>
        <w:tabs>
          <w:tab w:val="left" w:pos="924"/>
        </w:tabs>
        <w:kinsoku w:val="0"/>
        <w:overflowPunct w:val="0"/>
        <w:spacing w:before="196" w:line="290" w:lineRule="auto"/>
        <w:ind w:left="117" w:right="117"/>
        <w:rPr>
          <w:rFonts w:ascii="Times New Roman" w:hAnsi="Times New Roman" w:cs="Times New Roman"/>
        </w:rPr>
      </w:pPr>
      <w:r>
        <w:rPr>
          <w:rFonts w:ascii="Times New Roman" w:hAnsi="Times New Roman" w:cs="Times New Roman"/>
        </w:rPr>
        <w:t>A30.</w:t>
      </w:r>
      <w:r>
        <w:rPr>
          <w:rFonts w:ascii="Times New Roman" w:hAnsi="Times New Roman" w:cs="Times New Roman"/>
        </w:rPr>
        <w:tab/>
        <w:t>This guidance  is intended to provide further clarification  of policy.   States that   find</w:t>
      </w:r>
      <w:r>
        <w:rPr>
          <w:rFonts w:ascii="Times New Roman" w:hAnsi="Times New Roman" w:cs="Times New Roman"/>
          <w:spacing w:val="20"/>
        </w:rPr>
        <w:t xml:space="preserve"> </w:t>
      </w:r>
      <w:r>
        <w:rPr>
          <w:rFonts w:ascii="Times New Roman" w:hAnsi="Times New Roman" w:cs="Times New Roman"/>
        </w:rPr>
        <w:t>that they are out of compliance with this guidance should contact their regional offices, including Medicaid Survey and Certification contacts, as soon as they are aware so that agreement can be reached  on a path</w:t>
      </w:r>
      <w:r>
        <w:rPr>
          <w:rFonts w:ascii="Times New Roman" w:hAnsi="Times New Roman" w:cs="Times New Roman"/>
          <w:spacing w:val="27"/>
        </w:rPr>
        <w:t xml:space="preserve"> </w:t>
      </w:r>
      <w:r>
        <w:rPr>
          <w:rFonts w:ascii="Times New Roman" w:hAnsi="Times New Roman" w:cs="Times New Roman"/>
        </w:rPr>
        <w:t>forward.</w:t>
      </w:r>
    </w:p>
    <w:p w:rsidR="002C5025" w:rsidRDefault="002C5025">
      <w:pPr>
        <w:pStyle w:val="BodyText"/>
        <w:tabs>
          <w:tab w:val="left" w:pos="924"/>
        </w:tabs>
        <w:kinsoku w:val="0"/>
        <w:overflowPunct w:val="0"/>
        <w:spacing w:before="196" w:line="290" w:lineRule="auto"/>
        <w:ind w:left="117" w:right="117"/>
        <w:rPr>
          <w:rFonts w:ascii="Times New Roman" w:hAnsi="Times New Roman" w:cs="Times New Roman"/>
        </w:rPr>
        <w:sectPr w:rsidR="002C5025">
          <w:pgSz w:w="12240" w:h="15840"/>
          <w:pgMar w:top="1080" w:right="1700" w:bottom="280" w:left="1480" w:header="720" w:footer="720" w:gutter="0"/>
          <w:cols w:space="720" w:equalWidth="0">
            <w:col w:w="9060"/>
          </w:cols>
          <w:noEndnote/>
        </w:sectPr>
      </w:pP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rPr>
          <w:rFonts w:ascii="Times New Roman" w:hAnsi="Times New Roman" w:cs="Times New Roman"/>
        </w:rPr>
      </w:pPr>
    </w:p>
    <w:p w:rsidR="002C5025" w:rsidRDefault="00FB027C">
      <w:pPr>
        <w:pStyle w:val="BodyText"/>
        <w:kinsoku w:val="0"/>
        <w:overflowPunct w:val="0"/>
        <w:spacing w:before="182"/>
        <w:ind w:left="123"/>
        <w:rPr>
          <w:rFonts w:ascii="Times New Roman" w:hAnsi="Times New Roman" w:cs="Times New Roman"/>
          <w:color w:val="343333"/>
          <w:w w:val="105"/>
          <w:sz w:val="23"/>
          <w:szCs w:val="23"/>
        </w:rPr>
      </w:pPr>
      <w:r>
        <w:rPr>
          <w:noProof/>
        </w:rPr>
        <mc:AlternateContent>
          <mc:Choice Requires="wps">
            <w:drawing>
              <wp:anchor distT="0" distB="0" distL="114300" distR="114300" simplePos="0" relativeHeight="251831808" behindDoc="0" locked="0" layoutInCell="0" allowOverlap="1">
                <wp:simplePos x="0" y="0"/>
                <wp:positionH relativeFrom="page">
                  <wp:posOffset>973455</wp:posOffset>
                </wp:positionH>
                <wp:positionV relativeFrom="paragraph">
                  <wp:posOffset>-1306830</wp:posOffset>
                </wp:positionV>
                <wp:extent cx="1625600" cy="1155700"/>
                <wp:effectExtent l="0" t="0" r="0" b="0"/>
                <wp:wrapNone/>
                <wp:docPr id="29" name="Rectangle 8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5600" cy="1155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1820" w:lineRule="atLeast"/>
                            </w:pPr>
                            <w:r>
                              <w:rPr>
                                <w:noProof/>
                              </w:rPr>
                              <w:drawing>
                                <wp:inline distT="0" distB="0" distL="0" distR="0">
                                  <wp:extent cx="1619250" cy="1162050"/>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596">
                                            <a:extLst>
                                              <a:ext uri="{28A0092B-C50C-407E-A947-70E740481C1C}">
                                                <a14:useLocalDpi xmlns:a14="http://schemas.microsoft.com/office/drawing/2010/main" val="0"/>
                                              </a:ext>
                                            </a:extLst>
                                          </a:blip>
                                          <a:srcRect/>
                                          <a:stretch>
                                            <a:fillRect/>
                                          </a:stretch>
                                        </pic:blipFill>
                                        <pic:spPr bwMode="auto">
                                          <a:xfrm>
                                            <a:off x="0" y="0"/>
                                            <a:ext cx="1619250" cy="1162050"/>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3" o:spid="_x0000_s1292" style="position:absolute;left:0;text-align:left;margin-left:76.65pt;margin-top:-102.9pt;width:128pt;height:91pt;z-index:251831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" o:allowincell="f" filled="f" stroked="f">
                <v:textbox inset="0,0,0,0">
                  <w:txbxContent>
                    <w:p w:rsidR="007B2B7B" w:rsidRDefault="007B2B7B">
                      <w:pPr>
                        <w:widowControl/>
                        <w:autoSpaceDE/>
                        <w:autoSpaceDN/>
                        <w:adjustRightInd/>
                        <w:spacing w:line="1820" w:lineRule="atLeast"/>
                      </w:pPr>
                      <w:r>
                        <w:rPr>
                          <w:noProof/>
                        </w:rPr>
                        <w:drawing>
                          <wp:inline distT="0" distB="0" distL="0" distR="0">
                            <wp:extent cx="1619250" cy="1162050"/>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597">
                                      <a:extLst>
                                        <a:ext uri="{28A0092B-C50C-407E-A947-70E740481C1C}">
                                          <a14:useLocalDpi xmlns:a14="http://schemas.microsoft.com/office/drawing/2010/main" val="0"/>
                                        </a:ext>
                                      </a:extLst>
                                    </a:blip>
                                    <a:srcRect/>
                                    <a:stretch>
                                      <a:fillRect/>
                                    </a:stretch>
                                  </pic:blipFill>
                                  <pic:spPr bwMode="auto">
                                    <a:xfrm>
                                      <a:off x="0" y="0"/>
                                      <a:ext cx="1619250" cy="1162050"/>
                                    </a:xfrm>
                                    <a:prstGeom prst="rect">
                                      <a:avLst/>
                                    </a:prstGeom>
                                    <a:noFill/>
                                    <a:ln>
                                      <a:noFill/>
                                    </a:ln>
                                  </pic:spPr>
                                </pic:pic>
                              </a:graphicData>
                            </a:graphic>
                          </wp:inline>
                        </w:drawing>
                      </w:r>
                    </w:p>
                    <w:p w:rsidR="007B2B7B" w:rsidRDefault="007B2B7B"/>
                  </w:txbxContent>
                </v:textbox>
                <w10:wrap anchorx="page"/>
              </v:rect>
            </w:pict>
          </mc:Fallback>
        </mc:AlternateContent>
      </w:r>
      <w:r>
        <w:rPr>
          <w:noProof/>
        </w:rPr>
        <mc:AlternateContent>
          <mc:Choice Requires="wps">
            <w:drawing>
              <wp:anchor distT="0" distB="0" distL="114300" distR="114300" simplePos="0" relativeHeight="251832832" behindDoc="0" locked="0" layoutInCell="0" allowOverlap="1">
                <wp:simplePos x="0" y="0"/>
                <wp:positionH relativeFrom="page">
                  <wp:posOffset>918210</wp:posOffset>
                </wp:positionH>
                <wp:positionV relativeFrom="paragraph">
                  <wp:posOffset>-729615</wp:posOffset>
                </wp:positionV>
                <wp:extent cx="12700" cy="561340"/>
                <wp:effectExtent l="0" t="0" r="0" b="0"/>
                <wp:wrapNone/>
                <wp:docPr id="28" name="Freeform 8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561340"/>
                        </a:xfrm>
                        <a:custGeom>
                          <a:avLst/>
                          <a:gdLst>
                            <a:gd name="T0" fmla="*/ 0 w 20"/>
                            <a:gd name="T1" fmla="*/ 884 h 884"/>
                            <a:gd name="T2" fmla="*/ 0 w 20"/>
                            <a:gd name="T3" fmla="*/ 0 h 884"/>
                          </a:gdLst>
                          <a:ahLst/>
                          <a:cxnLst>
                            <a:cxn ang="0">
                              <a:pos x="T0" y="T1"/>
                            </a:cxn>
                            <a:cxn ang="0">
                              <a:pos x="T2" y="T3"/>
                            </a:cxn>
                          </a:cxnLst>
                          <a:rect l="0" t="0" r="r" b="b"/>
                          <a:pathLst>
                            <a:path w="20" h="884">
                              <a:moveTo>
                                <a:pt x="0" y="884"/>
                              </a:moveTo>
                              <a:lnTo>
                                <a:pt x="0" y="0"/>
                              </a:lnTo>
                            </a:path>
                          </a:pathLst>
                        </a:custGeom>
                        <a:noFill/>
                        <a:ln w="13677">
                          <a:solidFill>
                            <a:srgbClr val="AFB3A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854" o:spid="_x0000_s1026" style="position:absolute;z-index:251832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72.3pt,-13.25pt,72.3pt,-57.45pt" coordsize="20,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" o:allowincell="f" filled="f" strokecolor="#afb3a8" strokeweight=".37992mm">
                <v:path arrowok="t" o:connecttype="custom" o:connectlocs="0,561340;0,0" o:connectangles="0,0"/>
                <w10:wrap anchorx="page"/>
              </v:polyline>
            </w:pict>
          </mc:Fallback>
        </mc:AlternateContent>
      </w:r>
      <w:bookmarkStart w:id="284" w:name="Steward_20160715150427325"/>
      <w:bookmarkEnd w:id="284"/>
      <w:r w:rsidR="002C5025">
        <w:rPr>
          <w:rFonts w:ascii="Times New Roman" w:hAnsi="Times New Roman" w:cs="Times New Roman"/>
          <w:color w:val="343333"/>
          <w:w w:val="105"/>
          <w:sz w:val="23"/>
          <w:szCs w:val="23"/>
        </w:rPr>
        <w:t>July 15</w:t>
      </w:r>
      <w:r w:rsidR="002C5025">
        <w:rPr>
          <w:rFonts w:ascii="Times New Roman" w:hAnsi="Times New Roman" w:cs="Times New Roman"/>
          <w:color w:val="696969"/>
          <w:w w:val="105"/>
          <w:sz w:val="23"/>
          <w:szCs w:val="23"/>
        </w:rPr>
        <w:t xml:space="preserve">, </w:t>
      </w:r>
      <w:r w:rsidR="002C5025">
        <w:rPr>
          <w:rFonts w:ascii="Times New Roman" w:hAnsi="Times New Roman" w:cs="Times New Roman"/>
          <w:color w:val="343333"/>
          <w:w w:val="105"/>
          <w:sz w:val="23"/>
          <w:szCs w:val="23"/>
        </w:rPr>
        <w:t>2016</w:t>
      </w:r>
    </w:p>
    <w:p w:rsidR="002C5025" w:rsidRDefault="002C5025">
      <w:pPr>
        <w:pStyle w:val="BodyText"/>
        <w:kinsoku w:val="0"/>
        <w:overflowPunct w:val="0"/>
        <w:rPr>
          <w:rFonts w:ascii="Times New Roman" w:hAnsi="Times New Roman" w:cs="Times New Roman"/>
          <w:sz w:val="18"/>
          <w:szCs w:val="18"/>
        </w:rPr>
      </w:pPr>
      <w:r>
        <w:rPr>
          <w:rFonts w:ascii="Times New Roman" w:hAnsi="Times New Roman" w:cs="Times New Roman"/>
          <w:sz w:val="24"/>
          <w:szCs w:val="24"/>
        </w:rPr>
        <w:br w:type="column"/>
      </w:r>
    </w:p>
    <w:p w:rsidR="002C5025" w:rsidRDefault="002C5025">
      <w:pPr>
        <w:pStyle w:val="BodyText"/>
        <w:kinsoku w:val="0"/>
        <w:overflowPunct w:val="0"/>
        <w:rPr>
          <w:rFonts w:ascii="Times New Roman" w:hAnsi="Times New Roman" w:cs="Times New Roman"/>
          <w:sz w:val="18"/>
          <w:szCs w:val="18"/>
        </w:rPr>
      </w:pPr>
    </w:p>
    <w:p w:rsidR="002C5025" w:rsidRDefault="002C5025">
      <w:pPr>
        <w:pStyle w:val="BodyText"/>
        <w:kinsoku w:val="0"/>
        <w:overflowPunct w:val="0"/>
        <w:rPr>
          <w:rFonts w:ascii="Times New Roman" w:hAnsi="Times New Roman" w:cs="Times New Roman"/>
          <w:sz w:val="18"/>
          <w:szCs w:val="18"/>
        </w:rPr>
      </w:pPr>
    </w:p>
    <w:p w:rsidR="002C5025" w:rsidRDefault="002C5025">
      <w:pPr>
        <w:pStyle w:val="BodyText"/>
        <w:kinsoku w:val="0"/>
        <w:overflowPunct w:val="0"/>
        <w:rPr>
          <w:rFonts w:ascii="Times New Roman" w:hAnsi="Times New Roman" w:cs="Times New Roman"/>
          <w:sz w:val="18"/>
          <w:szCs w:val="18"/>
        </w:rPr>
      </w:pPr>
    </w:p>
    <w:p w:rsidR="002C5025" w:rsidRDefault="002C5025">
      <w:pPr>
        <w:pStyle w:val="BodyText"/>
        <w:kinsoku w:val="0"/>
        <w:overflowPunct w:val="0"/>
        <w:rPr>
          <w:rFonts w:ascii="Times New Roman" w:hAnsi="Times New Roman" w:cs="Times New Roman"/>
          <w:sz w:val="18"/>
          <w:szCs w:val="18"/>
        </w:rPr>
      </w:pPr>
    </w:p>
    <w:p w:rsidR="002C5025" w:rsidRDefault="002C5025">
      <w:pPr>
        <w:pStyle w:val="BodyText"/>
        <w:kinsoku w:val="0"/>
        <w:overflowPunct w:val="0"/>
        <w:rPr>
          <w:rFonts w:ascii="Times New Roman" w:hAnsi="Times New Roman" w:cs="Times New Roman"/>
          <w:sz w:val="18"/>
          <w:szCs w:val="18"/>
        </w:rPr>
      </w:pPr>
    </w:p>
    <w:p w:rsidR="002C5025" w:rsidRDefault="002C5025">
      <w:pPr>
        <w:pStyle w:val="BodyText"/>
        <w:kinsoku w:val="0"/>
        <w:overflowPunct w:val="0"/>
        <w:rPr>
          <w:rFonts w:ascii="Times New Roman" w:hAnsi="Times New Roman" w:cs="Times New Roman"/>
          <w:sz w:val="18"/>
          <w:szCs w:val="18"/>
        </w:rPr>
      </w:pPr>
    </w:p>
    <w:p w:rsidR="002C5025" w:rsidRDefault="002C5025">
      <w:pPr>
        <w:pStyle w:val="BodyText"/>
        <w:kinsoku w:val="0"/>
        <w:overflowPunct w:val="0"/>
        <w:spacing w:before="11"/>
        <w:rPr>
          <w:rFonts w:ascii="Times New Roman" w:hAnsi="Times New Roman" w:cs="Times New Roman"/>
        </w:rPr>
      </w:pPr>
    </w:p>
    <w:p w:rsidR="002C5025" w:rsidRDefault="002C5025">
      <w:pPr>
        <w:pStyle w:val="BodyText"/>
        <w:tabs>
          <w:tab w:val="left" w:pos="1608"/>
          <w:tab w:val="left" w:pos="3076"/>
        </w:tabs>
        <w:kinsoku w:val="0"/>
        <w:overflowPunct w:val="0"/>
        <w:spacing w:line="249" w:lineRule="auto"/>
        <w:ind w:left="117" w:right="1361" w:firstLine="7"/>
        <w:rPr>
          <w:rFonts w:ascii="Arial" w:hAnsi="Arial" w:cs="Arial"/>
          <w:color w:val="343333"/>
          <w:sz w:val="18"/>
          <w:szCs w:val="18"/>
        </w:rPr>
      </w:pPr>
      <w:r>
        <w:rPr>
          <w:rFonts w:ascii="Arial" w:hAnsi="Arial" w:cs="Arial"/>
          <w:b/>
          <w:bCs/>
          <w:color w:val="232121"/>
          <w:w w:val="95"/>
          <w:sz w:val="19"/>
          <w:szCs w:val="19"/>
        </w:rPr>
        <w:t>Steward</w:t>
      </w:r>
      <w:r>
        <w:rPr>
          <w:rFonts w:ascii="Arial" w:hAnsi="Arial" w:cs="Arial"/>
          <w:b/>
          <w:bCs/>
          <w:color w:val="232121"/>
          <w:spacing w:val="-23"/>
          <w:w w:val="95"/>
          <w:sz w:val="19"/>
          <w:szCs w:val="19"/>
        </w:rPr>
        <w:t xml:space="preserve"> </w:t>
      </w:r>
      <w:r>
        <w:rPr>
          <w:rFonts w:ascii="Arial" w:hAnsi="Arial" w:cs="Arial"/>
          <w:b/>
          <w:bCs/>
          <w:color w:val="232121"/>
          <w:w w:val="95"/>
          <w:sz w:val="19"/>
          <w:szCs w:val="19"/>
        </w:rPr>
        <w:t>Health</w:t>
      </w:r>
      <w:r>
        <w:rPr>
          <w:rFonts w:ascii="Arial" w:hAnsi="Arial" w:cs="Arial"/>
          <w:b/>
          <w:bCs/>
          <w:color w:val="232121"/>
          <w:spacing w:val="-23"/>
          <w:w w:val="95"/>
          <w:sz w:val="19"/>
          <w:szCs w:val="19"/>
        </w:rPr>
        <w:t xml:space="preserve"> </w:t>
      </w:r>
      <w:r>
        <w:rPr>
          <w:rFonts w:ascii="Arial" w:hAnsi="Arial" w:cs="Arial"/>
          <w:b/>
          <w:bCs/>
          <w:color w:val="232121"/>
          <w:w w:val="95"/>
          <w:sz w:val="19"/>
          <w:szCs w:val="19"/>
        </w:rPr>
        <w:t>Care</w:t>
      </w:r>
      <w:r>
        <w:rPr>
          <w:rFonts w:ascii="Arial" w:hAnsi="Arial" w:cs="Arial"/>
          <w:b/>
          <w:bCs/>
          <w:color w:val="232121"/>
          <w:spacing w:val="-27"/>
          <w:w w:val="95"/>
          <w:sz w:val="19"/>
          <w:szCs w:val="19"/>
        </w:rPr>
        <w:t xml:space="preserve"> </w:t>
      </w:r>
      <w:r>
        <w:rPr>
          <w:rFonts w:ascii="Arial" w:hAnsi="Arial" w:cs="Arial"/>
          <w:b/>
          <w:bCs/>
          <w:color w:val="232121"/>
          <w:w w:val="95"/>
          <w:sz w:val="19"/>
          <w:szCs w:val="19"/>
        </w:rPr>
        <w:t>System</w:t>
      </w:r>
      <w:r>
        <w:rPr>
          <w:rFonts w:ascii="Arial" w:hAnsi="Arial" w:cs="Arial"/>
          <w:b/>
          <w:bCs/>
          <w:color w:val="232121"/>
          <w:spacing w:val="-23"/>
          <w:w w:val="95"/>
          <w:sz w:val="19"/>
          <w:szCs w:val="19"/>
        </w:rPr>
        <w:t xml:space="preserve"> </w:t>
      </w:r>
      <w:r>
        <w:rPr>
          <w:rFonts w:ascii="Arial" w:hAnsi="Arial" w:cs="Arial"/>
          <w:b/>
          <w:bCs/>
          <w:color w:val="232121"/>
          <w:w w:val="95"/>
          <w:sz w:val="19"/>
          <w:szCs w:val="19"/>
        </w:rPr>
        <w:t>LLC</w:t>
      </w:r>
      <w:r>
        <w:rPr>
          <w:rFonts w:ascii="Arial" w:hAnsi="Arial" w:cs="Arial"/>
          <w:b/>
          <w:bCs/>
          <w:color w:val="232121"/>
          <w:spacing w:val="24"/>
          <w:w w:val="95"/>
          <w:sz w:val="19"/>
          <w:szCs w:val="19"/>
        </w:rPr>
        <w:t xml:space="preserve"> </w:t>
      </w:r>
      <w:r>
        <w:rPr>
          <w:rFonts w:ascii="Arial" w:hAnsi="Arial" w:cs="Arial"/>
          <w:color w:val="343333"/>
          <w:w w:val="95"/>
          <w:sz w:val="18"/>
          <w:szCs w:val="18"/>
        </w:rPr>
        <w:t>500</w:t>
      </w:r>
      <w:r>
        <w:rPr>
          <w:rFonts w:ascii="Arial" w:hAnsi="Arial" w:cs="Arial"/>
          <w:color w:val="343333"/>
          <w:spacing w:val="-26"/>
          <w:w w:val="95"/>
          <w:sz w:val="18"/>
          <w:szCs w:val="18"/>
        </w:rPr>
        <w:t xml:space="preserve"> </w:t>
      </w:r>
      <w:r>
        <w:rPr>
          <w:rFonts w:ascii="Arial" w:hAnsi="Arial" w:cs="Arial"/>
          <w:color w:val="232121"/>
          <w:w w:val="95"/>
          <w:sz w:val="18"/>
          <w:szCs w:val="18"/>
        </w:rPr>
        <w:t>Boyl</w:t>
      </w:r>
      <w:r>
        <w:rPr>
          <w:rFonts w:ascii="Arial" w:hAnsi="Arial" w:cs="Arial"/>
          <w:color w:val="444444"/>
          <w:w w:val="95"/>
          <w:sz w:val="18"/>
          <w:szCs w:val="18"/>
        </w:rPr>
        <w:t>ston</w:t>
      </w:r>
      <w:r>
        <w:rPr>
          <w:rFonts w:ascii="Arial" w:hAnsi="Arial" w:cs="Arial"/>
          <w:color w:val="444444"/>
          <w:spacing w:val="-21"/>
          <w:w w:val="95"/>
          <w:sz w:val="18"/>
          <w:szCs w:val="18"/>
        </w:rPr>
        <w:t xml:space="preserve"> </w:t>
      </w:r>
      <w:r>
        <w:rPr>
          <w:rFonts w:ascii="Arial" w:hAnsi="Arial" w:cs="Arial"/>
          <w:color w:val="343333"/>
          <w:w w:val="95"/>
          <w:sz w:val="18"/>
          <w:szCs w:val="18"/>
        </w:rPr>
        <w:t>Street</w:t>
      </w:r>
      <w:r>
        <w:rPr>
          <w:rFonts w:ascii="Arial" w:hAnsi="Arial" w:cs="Arial"/>
          <w:color w:val="343333"/>
          <w:spacing w:val="37"/>
          <w:w w:val="95"/>
          <w:sz w:val="18"/>
          <w:szCs w:val="18"/>
        </w:rPr>
        <w:t xml:space="preserve"> </w:t>
      </w:r>
      <w:r>
        <w:rPr>
          <w:rFonts w:ascii="Arial" w:hAnsi="Arial" w:cs="Arial"/>
          <w:color w:val="343333"/>
          <w:w w:val="95"/>
          <w:sz w:val="18"/>
          <w:szCs w:val="18"/>
        </w:rPr>
        <w:t>Boston,</w:t>
      </w:r>
      <w:r>
        <w:rPr>
          <w:rFonts w:ascii="Arial" w:hAnsi="Arial" w:cs="Arial"/>
          <w:color w:val="343333"/>
          <w:spacing w:val="-12"/>
          <w:w w:val="95"/>
          <w:sz w:val="18"/>
          <w:szCs w:val="18"/>
        </w:rPr>
        <w:t xml:space="preserve"> </w:t>
      </w:r>
      <w:r>
        <w:rPr>
          <w:rFonts w:ascii="Arial" w:hAnsi="Arial" w:cs="Arial"/>
          <w:color w:val="343333"/>
          <w:w w:val="95"/>
          <w:sz w:val="18"/>
          <w:szCs w:val="18"/>
        </w:rPr>
        <w:t>Massachusetts</w:t>
      </w:r>
      <w:r>
        <w:rPr>
          <w:rFonts w:ascii="Arial" w:hAnsi="Arial" w:cs="Arial"/>
          <w:color w:val="343333"/>
          <w:spacing w:val="-17"/>
          <w:w w:val="95"/>
          <w:sz w:val="18"/>
          <w:szCs w:val="18"/>
        </w:rPr>
        <w:t xml:space="preserve"> </w:t>
      </w:r>
      <w:r>
        <w:rPr>
          <w:rFonts w:ascii="Arial" w:hAnsi="Arial" w:cs="Arial"/>
          <w:color w:val="343333"/>
          <w:spacing w:val="-5"/>
          <w:w w:val="95"/>
          <w:sz w:val="18"/>
          <w:szCs w:val="18"/>
        </w:rPr>
        <w:t xml:space="preserve">02116 </w:t>
      </w:r>
      <w:r>
        <w:rPr>
          <w:rFonts w:ascii="Arial" w:hAnsi="Arial" w:cs="Arial"/>
          <w:color w:val="343333"/>
          <w:sz w:val="18"/>
          <w:szCs w:val="18"/>
        </w:rPr>
        <w:t xml:space="preserve">t   </w:t>
      </w:r>
      <w:r>
        <w:rPr>
          <w:rFonts w:ascii="Arial" w:hAnsi="Arial" w:cs="Arial"/>
          <w:color w:val="343333"/>
          <w:spacing w:val="-5"/>
          <w:sz w:val="18"/>
          <w:szCs w:val="18"/>
        </w:rPr>
        <w:t>617</w:t>
      </w:r>
      <w:r>
        <w:rPr>
          <w:rFonts w:ascii="Arial" w:hAnsi="Arial" w:cs="Arial"/>
          <w:color w:val="343333"/>
          <w:spacing w:val="-12"/>
          <w:sz w:val="18"/>
          <w:szCs w:val="18"/>
        </w:rPr>
        <w:t xml:space="preserve"> </w:t>
      </w:r>
      <w:r>
        <w:rPr>
          <w:rFonts w:ascii="Arial" w:hAnsi="Arial" w:cs="Arial"/>
          <w:color w:val="343333"/>
          <w:spacing w:val="-4"/>
          <w:sz w:val="18"/>
          <w:szCs w:val="18"/>
        </w:rPr>
        <w:t>419</w:t>
      </w:r>
      <w:r>
        <w:rPr>
          <w:rFonts w:ascii="Arial" w:hAnsi="Arial" w:cs="Arial"/>
          <w:color w:val="343333"/>
          <w:spacing w:val="2"/>
          <w:sz w:val="18"/>
          <w:szCs w:val="18"/>
        </w:rPr>
        <w:t xml:space="preserve"> </w:t>
      </w:r>
      <w:r>
        <w:rPr>
          <w:rFonts w:ascii="Arial" w:hAnsi="Arial" w:cs="Arial"/>
          <w:color w:val="343333"/>
          <w:sz w:val="18"/>
          <w:szCs w:val="18"/>
        </w:rPr>
        <w:t>4700</w:t>
      </w:r>
      <w:r>
        <w:rPr>
          <w:rFonts w:ascii="Arial" w:hAnsi="Arial" w:cs="Arial"/>
          <w:color w:val="343333"/>
          <w:sz w:val="18"/>
          <w:szCs w:val="18"/>
        </w:rPr>
        <w:tab/>
        <w:t xml:space="preserve">f   </w:t>
      </w:r>
      <w:r>
        <w:rPr>
          <w:rFonts w:ascii="Arial" w:hAnsi="Arial" w:cs="Arial"/>
          <w:color w:val="343333"/>
          <w:spacing w:val="-5"/>
          <w:sz w:val="18"/>
          <w:szCs w:val="18"/>
        </w:rPr>
        <w:t>617</w:t>
      </w:r>
      <w:r>
        <w:rPr>
          <w:rFonts w:ascii="Arial" w:hAnsi="Arial" w:cs="Arial"/>
          <w:color w:val="343333"/>
          <w:spacing w:val="-12"/>
          <w:sz w:val="18"/>
          <w:szCs w:val="18"/>
        </w:rPr>
        <w:t xml:space="preserve"> </w:t>
      </w:r>
      <w:r>
        <w:rPr>
          <w:rFonts w:ascii="Arial" w:hAnsi="Arial" w:cs="Arial"/>
          <w:color w:val="343333"/>
          <w:spacing w:val="-5"/>
          <w:sz w:val="18"/>
          <w:szCs w:val="18"/>
        </w:rPr>
        <w:t>419</w:t>
      </w:r>
      <w:r>
        <w:rPr>
          <w:rFonts w:ascii="Arial" w:hAnsi="Arial" w:cs="Arial"/>
          <w:color w:val="343333"/>
          <w:spacing w:val="-4"/>
          <w:sz w:val="18"/>
          <w:szCs w:val="18"/>
        </w:rPr>
        <w:t xml:space="preserve"> </w:t>
      </w:r>
      <w:r>
        <w:rPr>
          <w:rFonts w:ascii="Arial" w:hAnsi="Arial" w:cs="Arial"/>
          <w:color w:val="343333"/>
          <w:sz w:val="18"/>
          <w:szCs w:val="18"/>
        </w:rPr>
        <w:t>4800</w:t>
      </w:r>
      <w:r>
        <w:rPr>
          <w:rFonts w:ascii="Arial" w:hAnsi="Arial" w:cs="Arial"/>
          <w:color w:val="343333"/>
          <w:sz w:val="18"/>
          <w:szCs w:val="18"/>
        </w:rPr>
        <w:tab/>
      </w:r>
      <w:hyperlink r:id="rId598" w:history="1">
        <w:r>
          <w:rPr>
            <w:rFonts w:ascii="Arial" w:hAnsi="Arial" w:cs="Arial"/>
            <w:color w:val="343333"/>
            <w:sz w:val="18"/>
            <w:szCs w:val="18"/>
          </w:rPr>
          <w:t>www.steward.org</w:t>
        </w:r>
      </w:hyperlink>
    </w:p>
    <w:p w:rsidR="002C5025" w:rsidRDefault="002C5025">
      <w:pPr>
        <w:pStyle w:val="BodyText"/>
        <w:tabs>
          <w:tab w:val="left" w:pos="1608"/>
          <w:tab w:val="left" w:pos="3076"/>
        </w:tabs>
        <w:kinsoku w:val="0"/>
        <w:overflowPunct w:val="0"/>
        <w:spacing w:line="249" w:lineRule="auto"/>
        <w:ind w:left="117" w:right="1361" w:firstLine="7"/>
        <w:rPr>
          <w:rFonts w:ascii="Arial" w:hAnsi="Arial" w:cs="Arial"/>
          <w:color w:val="343333"/>
          <w:sz w:val="18"/>
          <w:szCs w:val="18"/>
        </w:rPr>
        <w:sectPr w:rsidR="002C5025">
          <w:pgSz w:w="12240" w:h="15840"/>
          <w:pgMar w:top="0" w:right="0" w:bottom="0" w:left="1300" w:header="720" w:footer="720" w:gutter="0"/>
          <w:cols w:num="2" w:space="720" w:equalWidth="0">
            <w:col w:w="2788" w:space="40"/>
            <w:col w:w="8112"/>
          </w:cols>
          <w:noEndnote/>
        </w:sectPr>
      </w:pPr>
    </w:p>
    <w:p w:rsidR="002C5025" w:rsidRDefault="00FB027C">
      <w:pPr>
        <w:pStyle w:val="BodyText"/>
        <w:kinsoku w:val="0"/>
        <w:overflowPunct w:val="0"/>
        <w:spacing w:before="9"/>
        <w:rPr>
          <w:rFonts w:ascii="Arial" w:hAnsi="Arial" w:cs="Arial"/>
          <w:sz w:val="18"/>
          <w:szCs w:val="18"/>
        </w:rPr>
      </w:pPr>
      <w:r>
        <w:rPr>
          <w:noProof/>
        </w:rPr>
        <w:lastRenderedPageBreak/>
        <mc:AlternateContent>
          <mc:Choice Requires="wps">
            <w:drawing>
              <wp:anchor distT="0" distB="0" distL="114300" distR="114300" simplePos="0" relativeHeight="251833856" behindDoc="0" locked="0" layoutInCell="0" allowOverlap="1">
                <wp:simplePos x="0" y="0"/>
                <wp:positionH relativeFrom="page">
                  <wp:posOffset>7721600</wp:posOffset>
                </wp:positionH>
                <wp:positionV relativeFrom="page">
                  <wp:posOffset>0</wp:posOffset>
                </wp:positionV>
                <wp:extent cx="12700" cy="9994265"/>
                <wp:effectExtent l="0" t="0" r="0" b="0"/>
                <wp:wrapNone/>
                <wp:docPr id="26" name="Freeform 8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9994265"/>
                        </a:xfrm>
                        <a:custGeom>
                          <a:avLst/>
                          <a:gdLst>
                            <a:gd name="T0" fmla="*/ 0 w 20"/>
                            <a:gd name="T1" fmla="*/ 15739 h 15739"/>
                            <a:gd name="T2" fmla="*/ 0 w 20"/>
                            <a:gd name="T3" fmla="*/ 0 h 15739"/>
                          </a:gdLst>
                          <a:ahLst/>
                          <a:cxnLst>
                            <a:cxn ang="0">
                              <a:pos x="T0" y="T1"/>
                            </a:cxn>
                            <a:cxn ang="0">
                              <a:pos x="T2" y="T3"/>
                            </a:cxn>
                          </a:cxnLst>
                          <a:rect l="0" t="0" r="r" b="b"/>
                          <a:pathLst>
                            <a:path w="20" h="15739">
                              <a:moveTo>
                                <a:pt x="0" y="15739"/>
                              </a:moveTo>
                              <a:lnTo>
                                <a:pt x="0" y="0"/>
                              </a:lnTo>
                            </a:path>
                          </a:pathLst>
                        </a:custGeom>
                        <a:noFill/>
                        <a:ln w="18249">
                          <a:solidFill>
                            <a:srgbClr val="C9C9C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855" o:spid="_x0000_s1026" style="position:absolute;z-index:251833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08pt,786.95pt,608pt,0" coordsize="20,15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" o:allowincell="f" filled="f" strokecolor="#c9c9c9" strokeweight=".50692mm">
                <v:path arrowok="t" o:connecttype="custom" o:connectlocs="0,9994265;0,0" o:connectangles="0,0"/>
                <w10:wrap anchorx="page" anchory="page"/>
              </v:polyline>
            </w:pict>
          </mc:Fallback>
        </mc:AlternateContent>
      </w:r>
    </w:p>
    <w:p w:rsidR="002C5025" w:rsidRDefault="002C5025">
      <w:pPr>
        <w:pStyle w:val="BodyText"/>
        <w:kinsoku w:val="0"/>
        <w:overflowPunct w:val="0"/>
        <w:spacing w:before="71"/>
        <w:ind w:left="123" w:right="1546"/>
        <w:rPr>
          <w:rFonts w:ascii="Times New Roman" w:hAnsi="Times New Roman" w:cs="Times New Roman"/>
          <w:color w:val="343333"/>
          <w:w w:val="105"/>
          <w:sz w:val="23"/>
          <w:szCs w:val="23"/>
        </w:rPr>
      </w:pPr>
      <w:r>
        <w:rPr>
          <w:rFonts w:ascii="Times New Roman" w:hAnsi="Times New Roman" w:cs="Times New Roman"/>
          <w:color w:val="343333"/>
          <w:w w:val="105"/>
          <w:sz w:val="23"/>
          <w:szCs w:val="23"/>
        </w:rPr>
        <w:t>Daniel Tsai</w:t>
      </w:r>
    </w:p>
    <w:p w:rsidR="002C5025" w:rsidRDefault="002C5025">
      <w:pPr>
        <w:pStyle w:val="BodyText"/>
        <w:kinsoku w:val="0"/>
        <w:overflowPunct w:val="0"/>
        <w:spacing w:before="9"/>
        <w:ind w:left="123" w:right="1546"/>
        <w:rPr>
          <w:rFonts w:ascii="Times New Roman" w:hAnsi="Times New Roman" w:cs="Times New Roman"/>
          <w:color w:val="343333"/>
          <w:w w:val="105"/>
          <w:sz w:val="23"/>
          <w:szCs w:val="23"/>
        </w:rPr>
      </w:pPr>
      <w:r>
        <w:rPr>
          <w:rFonts w:ascii="Times New Roman" w:hAnsi="Times New Roman" w:cs="Times New Roman"/>
          <w:color w:val="343333"/>
          <w:w w:val="105"/>
          <w:sz w:val="23"/>
          <w:szCs w:val="23"/>
        </w:rPr>
        <w:t>Assistant Secretary of MassHealth</w:t>
      </w:r>
    </w:p>
    <w:p w:rsidR="002C5025" w:rsidRDefault="002C5025">
      <w:pPr>
        <w:pStyle w:val="BodyText"/>
        <w:kinsoku w:val="0"/>
        <w:overflowPunct w:val="0"/>
        <w:spacing w:before="16" w:line="247" w:lineRule="auto"/>
        <w:ind w:left="130" w:right="5672" w:hanging="10"/>
        <w:rPr>
          <w:rFonts w:ascii="Times New Roman" w:hAnsi="Times New Roman" w:cs="Times New Roman"/>
          <w:color w:val="343333"/>
          <w:w w:val="105"/>
          <w:sz w:val="23"/>
          <w:szCs w:val="23"/>
        </w:rPr>
      </w:pPr>
      <w:r>
        <w:rPr>
          <w:rFonts w:ascii="Times New Roman" w:hAnsi="Times New Roman" w:cs="Times New Roman"/>
          <w:color w:val="343333"/>
          <w:w w:val="105"/>
          <w:sz w:val="23"/>
          <w:szCs w:val="23"/>
        </w:rPr>
        <w:t>Executive</w:t>
      </w:r>
      <w:r>
        <w:rPr>
          <w:rFonts w:ascii="Times New Roman" w:hAnsi="Times New Roman" w:cs="Times New Roman"/>
          <w:color w:val="343333"/>
          <w:spacing w:val="-19"/>
          <w:w w:val="105"/>
          <w:sz w:val="23"/>
          <w:szCs w:val="23"/>
        </w:rPr>
        <w:t xml:space="preserve"> </w:t>
      </w:r>
      <w:r>
        <w:rPr>
          <w:rFonts w:ascii="Times New Roman" w:hAnsi="Times New Roman" w:cs="Times New Roman"/>
          <w:color w:val="343333"/>
          <w:w w:val="105"/>
          <w:sz w:val="23"/>
          <w:szCs w:val="23"/>
        </w:rPr>
        <w:t>Office</w:t>
      </w:r>
      <w:r>
        <w:rPr>
          <w:rFonts w:ascii="Times New Roman" w:hAnsi="Times New Roman" w:cs="Times New Roman"/>
          <w:color w:val="343333"/>
          <w:spacing w:val="-25"/>
          <w:w w:val="105"/>
          <w:sz w:val="23"/>
          <w:szCs w:val="23"/>
        </w:rPr>
        <w:t xml:space="preserve"> </w:t>
      </w:r>
      <w:r>
        <w:rPr>
          <w:rFonts w:ascii="Times New Roman" w:hAnsi="Times New Roman" w:cs="Times New Roman"/>
          <w:color w:val="343333"/>
          <w:w w:val="105"/>
          <w:sz w:val="23"/>
          <w:szCs w:val="23"/>
        </w:rPr>
        <w:t>of</w:t>
      </w:r>
      <w:r>
        <w:rPr>
          <w:rFonts w:ascii="Times New Roman" w:hAnsi="Times New Roman" w:cs="Times New Roman"/>
          <w:color w:val="343333"/>
          <w:spacing w:val="-30"/>
          <w:w w:val="105"/>
          <w:sz w:val="23"/>
          <w:szCs w:val="23"/>
        </w:rPr>
        <w:t xml:space="preserve"> </w:t>
      </w:r>
      <w:r>
        <w:rPr>
          <w:rFonts w:ascii="Times New Roman" w:hAnsi="Times New Roman" w:cs="Times New Roman"/>
          <w:color w:val="343333"/>
          <w:w w:val="105"/>
          <w:sz w:val="23"/>
          <w:szCs w:val="23"/>
        </w:rPr>
        <w:t>Health</w:t>
      </w:r>
      <w:r>
        <w:rPr>
          <w:rFonts w:ascii="Times New Roman" w:hAnsi="Times New Roman" w:cs="Times New Roman"/>
          <w:color w:val="343333"/>
          <w:spacing w:val="-17"/>
          <w:w w:val="105"/>
          <w:sz w:val="23"/>
          <w:szCs w:val="23"/>
        </w:rPr>
        <w:t xml:space="preserve"> </w:t>
      </w:r>
      <w:r>
        <w:rPr>
          <w:rFonts w:ascii="Times New Roman" w:hAnsi="Times New Roman" w:cs="Times New Roman"/>
          <w:color w:val="343333"/>
          <w:w w:val="105"/>
          <w:sz w:val="23"/>
          <w:szCs w:val="23"/>
        </w:rPr>
        <w:t>and</w:t>
      </w:r>
      <w:r>
        <w:rPr>
          <w:rFonts w:ascii="Times New Roman" w:hAnsi="Times New Roman" w:cs="Times New Roman"/>
          <w:color w:val="343333"/>
          <w:spacing w:val="-24"/>
          <w:w w:val="105"/>
          <w:sz w:val="23"/>
          <w:szCs w:val="23"/>
        </w:rPr>
        <w:t xml:space="preserve"> </w:t>
      </w:r>
      <w:r>
        <w:rPr>
          <w:rFonts w:ascii="Times New Roman" w:hAnsi="Times New Roman" w:cs="Times New Roman"/>
          <w:color w:val="343333"/>
          <w:spacing w:val="2"/>
          <w:w w:val="105"/>
          <w:sz w:val="23"/>
          <w:szCs w:val="23"/>
        </w:rPr>
        <w:t>Human</w:t>
      </w:r>
      <w:r>
        <w:rPr>
          <w:rFonts w:ascii="Times New Roman" w:hAnsi="Times New Roman" w:cs="Times New Roman"/>
          <w:color w:val="343333"/>
          <w:spacing w:val="-11"/>
          <w:w w:val="105"/>
          <w:sz w:val="23"/>
          <w:szCs w:val="23"/>
        </w:rPr>
        <w:t xml:space="preserve"> </w:t>
      </w:r>
      <w:r>
        <w:rPr>
          <w:rFonts w:ascii="Times New Roman" w:hAnsi="Times New Roman" w:cs="Times New Roman"/>
          <w:color w:val="444444"/>
          <w:w w:val="105"/>
          <w:sz w:val="23"/>
          <w:szCs w:val="23"/>
        </w:rPr>
        <w:t xml:space="preserve">Services </w:t>
      </w:r>
      <w:r>
        <w:rPr>
          <w:rFonts w:ascii="Times New Roman" w:hAnsi="Times New Roman" w:cs="Times New Roman"/>
          <w:color w:val="343333"/>
          <w:w w:val="105"/>
          <w:sz w:val="23"/>
          <w:szCs w:val="23"/>
        </w:rPr>
        <w:t>Office</w:t>
      </w:r>
      <w:r>
        <w:rPr>
          <w:rFonts w:ascii="Times New Roman" w:hAnsi="Times New Roman" w:cs="Times New Roman"/>
          <w:color w:val="343333"/>
          <w:spacing w:val="-36"/>
          <w:w w:val="105"/>
          <w:sz w:val="23"/>
          <w:szCs w:val="23"/>
        </w:rPr>
        <w:t xml:space="preserve"> </w:t>
      </w:r>
      <w:r>
        <w:rPr>
          <w:rFonts w:ascii="Times New Roman" w:hAnsi="Times New Roman" w:cs="Times New Roman"/>
          <w:color w:val="444444"/>
          <w:w w:val="105"/>
          <w:sz w:val="23"/>
          <w:szCs w:val="23"/>
        </w:rPr>
        <w:t>of</w:t>
      </w:r>
      <w:r>
        <w:rPr>
          <w:rFonts w:ascii="Times New Roman" w:hAnsi="Times New Roman" w:cs="Times New Roman"/>
          <w:color w:val="444444"/>
          <w:spacing w:val="-36"/>
          <w:w w:val="105"/>
          <w:sz w:val="23"/>
          <w:szCs w:val="23"/>
        </w:rPr>
        <w:t xml:space="preserve"> </w:t>
      </w:r>
      <w:r>
        <w:rPr>
          <w:rFonts w:ascii="Times New Roman" w:hAnsi="Times New Roman" w:cs="Times New Roman"/>
          <w:color w:val="343333"/>
          <w:w w:val="105"/>
          <w:sz w:val="23"/>
          <w:szCs w:val="23"/>
        </w:rPr>
        <w:t>MassHealth</w:t>
      </w:r>
    </w:p>
    <w:p w:rsidR="002C5025" w:rsidRDefault="002C5025">
      <w:pPr>
        <w:pStyle w:val="BodyText"/>
        <w:kinsoku w:val="0"/>
        <w:overflowPunct w:val="0"/>
        <w:spacing w:before="8"/>
        <w:ind w:left="151" w:right="1546"/>
        <w:rPr>
          <w:rFonts w:ascii="Times New Roman" w:hAnsi="Times New Roman" w:cs="Times New Roman"/>
          <w:color w:val="343333"/>
          <w:w w:val="105"/>
          <w:sz w:val="23"/>
          <w:szCs w:val="23"/>
        </w:rPr>
      </w:pPr>
      <w:r>
        <w:rPr>
          <w:rFonts w:ascii="Times New Roman" w:hAnsi="Times New Roman" w:cs="Times New Roman"/>
          <w:color w:val="343333"/>
          <w:w w:val="105"/>
          <w:sz w:val="23"/>
          <w:szCs w:val="23"/>
        </w:rPr>
        <w:t>1</w:t>
      </w:r>
      <w:r>
        <w:rPr>
          <w:rFonts w:ascii="Times New Roman" w:hAnsi="Times New Roman" w:cs="Times New Roman"/>
          <w:color w:val="444444"/>
          <w:w w:val="105"/>
          <w:sz w:val="23"/>
          <w:szCs w:val="23"/>
        </w:rPr>
        <w:t xml:space="preserve">Ashburton </w:t>
      </w:r>
      <w:r>
        <w:rPr>
          <w:rFonts w:ascii="Times New Roman" w:hAnsi="Times New Roman" w:cs="Times New Roman"/>
          <w:color w:val="343333"/>
          <w:w w:val="105"/>
          <w:sz w:val="23"/>
          <w:szCs w:val="23"/>
        </w:rPr>
        <w:t>Place</w:t>
      </w:r>
    </w:p>
    <w:p w:rsidR="002C5025" w:rsidRDefault="002C5025">
      <w:pPr>
        <w:pStyle w:val="BodyText"/>
        <w:kinsoku w:val="0"/>
        <w:overflowPunct w:val="0"/>
        <w:spacing w:before="6"/>
        <w:ind w:left="123" w:right="1546"/>
        <w:rPr>
          <w:rFonts w:ascii="Times New Roman" w:hAnsi="Times New Roman" w:cs="Times New Roman"/>
          <w:color w:val="343333"/>
          <w:sz w:val="23"/>
          <w:szCs w:val="23"/>
        </w:rPr>
      </w:pPr>
      <w:r>
        <w:rPr>
          <w:rFonts w:ascii="Times New Roman" w:hAnsi="Times New Roman" w:cs="Times New Roman"/>
          <w:color w:val="343333"/>
          <w:sz w:val="23"/>
          <w:szCs w:val="23"/>
        </w:rPr>
        <w:t>Boston,  MA 02108</w:t>
      </w:r>
    </w:p>
    <w:p w:rsidR="002C5025" w:rsidRDefault="002C5025">
      <w:pPr>
        <w:pStyle w:val="BodyText"/>
        <w:kinsoku w:val="0"/>
        <w:overflowPunct w:val="0"/>
        <w:spacing w:before="6"/>
        <w:rPr>
          <w:rFonts w:ascii="Times New Roman" w:hAnsi="Times New Roman" w:cs="Times New Roman"/>
          <w:sz w:val="24"/>
          <w:szCs w:val="24"/>
        </w:rPr>
      </w:pPr>
    </w:p>
    <w:p w:rsidR="002C5025" w:rsidRDefault="002C5025">
      <w:pPr>
        <w:pStyle w:val="BodyText"/>
        <w:kinsoku w:val="0"/>
        <w:overflowPunct w:val="0"/>
        <w:ind w:left="123" w:right="1546"/>
        <w:rPr>
          <w:rFonts w:ascii="Times New Roman" w:hAnsi="Times New Roman" w:cs="Times New Roman"/>
          <w:color w:val="343333"/>
          <w:sz w:val="23"/>
          <w:szCs w:val="23"/>
        </w:rPr>
      </w:pPr>
      <w:r>
        <w:rPr>
          <w:rFonts w:ascii="Times New Roman" w:hAnsi="Times New Roman" w:cs="Times New Roman"/>
          <w:color w:val="343333"/>
          <w:sz w:val="23"/>
          <w:szCs w:val="23"/>
        </w:rPr>
        <w:t xml:space="preserve">Dear  </w:t>
      </w:r>
      <w:r>
        <w:rPr>
          <w:rFonts w:ascii="Times New Roman" w:hAnsi="Times New Roman" w:cs="Times New Roman"/>
          <w:color w:val="444444"/>
          <w:sz w:val="23"/>
          <w:szCs w:val="23"/>
        </w:rPr>
        <w:t>Ass</w:t>
      </w:r>
      <w:r>
        <w:rPr>
          <w:rFonts w:ascii="Times New Roman" w:hAnsi="Times New Roman" w:cs="Times New Roman"/>
          <w:color w:val="232121"/>
          <w:sz w:val="23"/>
          <w:szCs w:val="23"/>
        </w:rPr>
        <w:t>i</w:t>
      </w:r>
      <w:r>
        <w:rPr>
          <w:rFonts w:ascii="Times New Roman" w:hAnsi="Times New Roman" w:cs="Times New Roman"/>
          <w:color w:val="444444"/>
          <w:sz w:val="23"/>
          <w:szCs w:val="23"/>
        </w:rPr>
        <w:t xml:space="preserve">stant </w:t>
      </w:r>
      <w:r>
        <w:rPr>
          <w:rFonts w:ascii="Times New Roman" w:hAnsi="Times New Roman" w:cs="Times New Roman"/>
          <w:color w:val="343333"/>
          <w:sz w:val="23"/>
          <w:szCs w:val="23"/>
        </w:rPr>
        <w:t>Secretary Tsai,</w:t>
      </w:r>
    </w:p>
    <w:p w:rsidR="002C5025" w:rsidRDefault="002C5025">
      <w:pPr>
        <w:pStyle w:val="BodyText"/>
        <w:kinsoku w:val="0"/>
        <w:overflowPunct w:val="0"/>
        <w:spacing w:before="10"/>
        <w:rPr>
          <w:rFonts w:ascii="Times New Roman" w:hAnsi="Times New Roman" w:cs="Times New Roman"/>
          <w:sz w:val="26"/>
          <w:szCs w:val="26"/>
        </w:rPr>
      </w:pPr>
    </w:p>
    <w:p w:rsidR="002C5025" w:rsidRDefault="002C5025">
      <w:pPr>
        <w:pStyle w:val="BodyText"/>
        <w:kinsoku w:val="0"/>
        <w:overflowPunct w:val="0"/>
        <w:spacing w:line="249" w:lineRule="auto"/>
        <w:ind w:left="123" w:right="1546" w:firstLine="14"/>
        <w:rPr>
          <w:rFonts w:ascii="Times New Roman" w:hAnsi="Times New Roman" w:cs="Times New Roman"/>
          <w:color w:val="343333"/>
          <w:w w:val="105"/>
          <w:sz w:val="23"/>
          <w:szCs w:val="23"/>
        </w:rPr>
      </w:pPr>
      <w:r>
        <w:rPr>
          <w:rFonts w:ascii="Times New Roman" w:hAnsi="Times New Roman" w:cs="Times New Roman"/>
          <w:color w:val="343333"/>
          <w:w w:val="105"/>
          <w:sz w:val="23"/>
          <w:szCs w:val="23"/>
        </w:rPr>
        <w:t xml:space="preserve">Steward Health Care System LLC (Steward) writes to offer </w:t>
      </w:r>
      <w:r>
        <w:rPr>
          <w:rFonts w:ascii="Times New Roman" w:hAnsi="Times New Roman" w:cs="Times New Roman"/>
          <w:color w:val="232121"/>
          <w:w w:val="105"/>
          <w:sz w:val="23"/>
          <w:szCs w:val="23"/>
        </w:rPr>
        <w:t xml:space="preserve">comments </w:t>
      </w:r>
      <w:r>
        <w:rPr>
          <w:rFonts w:ascii="Times New Roman" w:hAnsi="Times New Roman" w:cs="Times New Roman"/>
          <w:color w:val="343333"/>
          <w:w w:val="105"/>
          <w:sz w:val="23"/>
          <w:szCs w:val="23"/>
        </w:rPr>
        <w:t>regarding the Section 1115</w:t>
      </w:r>
      <w:r>
        <w:rPr>
          <w:rFonts w:ascii="Times New Roman" w:hAnsi="Times New Roman" w:cs="Times New Roman"/>
          <w:color w:val="343333"/>
          <w:spacing w:val="-34"/>
          <w:w w:val="105"/>
          <w:sz w:val="23"/>
          <w:szCs w:val="23"/>
        </w:rPr>
        <w:t xml:space="preserve"> </w:t>
      </w:r>
      <w:r>
        <w:rPr>
          <w:rFonts w:ascii="Times New Roman" w:hAnsi="Times New Roman" w:cs="Times New Roman"/>
          <w:color w:val="343333"/>
          <w:w w:val="105"/>
          <w:sz w:val="23"/>
          <w:szCs w:val="23"/>
        </w:rPr>
        <w:t>Demonstration</w:t>
      </w:r>
      <w:r>
        <w:rPr>
          <w:rFonts w:ascii="Times New Roman" w:hAnsi="Times New Roman" w:cs="Times New Roman"/>
          <w:color w:val="343333"/>
          <w:spacing w:val="-14"/>
          <w:w w:val="105"/>
          <w:sz w:val="23"/>
          <w:szCs w:val="23"/>
        </w:rPr>
        <w:t xml:space="preserve"> </w:t>
      </w:r>
      <w:r>
        <w:rPr>
          <w:rFonts w:ascii="Times New Roman" w:hAnsi="Times New Roman" w:cs="Times New Roman"/>
          <w:color w:val="232121"/>
          <w:w w:val="105"/>
          <w:sz w:val="23"/>
          <w:szCs w:val="23"/>
        </w:rPr>
        <w:t>Project</w:t>
      </w:r>
      <w:r>
        <w:rPr>
          <w:rFonts w:ascii="Times New Roman" w:hAnsi="Times New Roman" w:cs="Times New Roman"/>
          <w:color w:val="232121"/>
          <w:spacing w:val="-18"/>
          <w:w w:val="105"/>
          <w:sz w:val="23"/>
          <w:szCs w:val="23"/>
        </w:rPr>
        <w:t xml:space="preserve"> </w:t>
      </w:r>
      <w:r>
        <w:rPr>
          <w:rFonts w:ascii="Times New Roman" w:hAnsi="Times New Roman" w:cs="Times New Roman"/>
          <w:color w:val="343333"/>
          <w:spacing w:val="2"/>
          <w:w w:val="105"/>
          <w:sz w:val="23"/>
          <w:szCs w:val="23"/>
        </w:rPr>
        <w:t>Amendment</w:t>
      </w:r>
      <w:r>
        <w:rPr>
          <w:rFonts w:ascii="Times New Roman" w:hAnsi="Times New Roman" w:cs="Times New Roman"/>
          <w:color w:val="343333"/>
          <w:spacing w:val="-5"/>
          <w:w w:val="105"/>
          <w:sz w:val="23"/>
          <w:szCs w:val="23"/>
        </w:rPr>
        <w:t xml:space="preserve"> </w:t>
      </w:r>
      <w:r>
        <w:rPr>
          <w:rFonts w:ascii="Times New Roman" w:hAnsi="Times New Roman" w:cs="Times New Roman"/>
          <w:color w:val="343333"/>
          <w:w w:val="105"/>
          <w:sz w:val="23"/>
          <w:szCs w:val="23"/>
        </w:rPr>
        <w:t>and</w:t>
      </w:r>
      <w:r>
        <w:rPr>
          <w:rFonts w:ascii="Times New Roman" w:hAnsi="Times New Roman" w:cs="Times New Roman"/>
          <w:color w:val="343333"/>
          <w:spacing w:val="-20"/>
          <w:w w:val="105"/>
          <w:sz w:val="23"/>
          <w:szCs w:val="23"/>
        </w:rPr>
        <w:t xml:space="preserve"> </w:t>
      </w:r>
      <w:r>
        <w:rPr>
          <w:rFonts w:ascii="Times New Roman" w:hAnsi="Times New Roman" w:cs="Times New Roman"/>
          <w:color w:val="343333"/>
          <w:w w:val="105"/>
          <w:sz w:val="23"/>
          <w:szCs w:val="23"/>
        </w:rPr>
        <w:t>Extension</w:t>
      </w:r>
      <w:r>
        <w:rPr>
          <w:rFonts w:ascii="Times New Roman" w:hAnsi="Times New Roman" w:cs="Times New Roman"/>
          <w:color w:val="343333"/>
          <w:spacing w:val="-24"/>
          <w:w w:val="105"/>
          <w:sz w:val="23"/>
          <w:szCs w:val="23"/>
        </w:rPr>
        <w:t xml:space="preserve"> </w:t>
      </w:r>
      <w:r>
        <w:rPr>
          <w:rFonts w:ascii="Times New Roman" w:hAnsi="Times New Roman" w:cs="Times New Roman"/>
          <w:color w:val="232121"/>
          <w:w w:val="105"/>
          <w:sz w:val="23"/>
          <w:szCs w:val="23"/>
        </w:rPr>
        <w:t>Request</w:t>
      </w:r>
      <w:r>
        <w:rPr>
          <w:rFonts w:ascii="Times New Roman" w:hAnsi="Times New Roman" w:cs="Times New Roman"/>
          <w:color w:val="232121"/>
          <w:spacing w:val="-13"/>
          <w:w w:val="105"/>
          <w:sz w:val="23"/>
          <w:szCs w:val="23"/>
        </w:rPr>
        <w:t xml:space="preserve"> </w:t>
      </w:r>
      <w:r>
        <w:rPr>
          <w:rFonts w:ascii="Times New Roman" w:hAnsi="Times New Roman" w:cs="Times New Roman"/>
          <w:color w:val="343333"/>
          <w:spacing w:val="-3"/>
          <w:w w:val="105"/>
          <w:sz w:val="23"/>
          <w:szCs w:val="23"/>
        </w:rPr>
        <w:t>("Section</w:t>
      </w:r>
      <w:r>
        <w:rPr>
          <w:rFonts w:ascii="Times New Roman" w:hAnsi="Times New Roman" w:cs="Times New Roman"/>
          <w:color w:val="343333"/>
          <w:spacing w:val="-17"/>
          <w:w w:val="105"/>
          <w:sz w:val="23"/>
          <w:szCs w:val="23"/>
        </w:rPr>
        <w:t xml:space="preserve"> </w:t>
      </w:r>
      <w:r>
        <w:rPr>
          <w:rFonts w:ascii="Times New Roman" w:hAnsi="Times New Roman" w:cs="Times New Roman"/>
          <w:color w:val="232121"/>
          <w:w w:val="105"/>
          <w:sz w:val="23"/>
          <w:szCs w:val="23"/>
        </w:rPr>
        <w:t>1115</w:t>
      </w:r>
      <w:r>
        <w:rPr>
          <w:rFonts w:ascii="Times New Roman" w:hAnsi="Times New Roman" w:cs="Times New Roman"/>
          <w:color w:val="232121"/>
          <w:spacing w:val="-32"/>
          <w:w w:val="105"/>
          <w:sz w:val="23"/>
          <w:szCs w:val="23"/>
        </w:rPr>
        <w:t xml:space="preserve"> </w:t>
      </w:r>
      <w:r>
        <w:rPr>
          <w:rFonts w:ascii="Times New Roman" w:hAnsi="Times New Roman" w:cs="Times New Roman"/>
          <w:color w:val="343333"/>
          <w:w w:val="105"/>
          <w:sz w:val="23"/>
          <w:szCs w:val="23"/>
        </w:rPr>
        <w:t>Request").</w:t>
      </w:r>
      <w:r>
        <w:rPr>
          <w:rFonts w:ascii="Times New Roman" w:hAnsi="Times New Roman" w:cs="Times New Roman"/>
          <w:color w:val="343333"/>
          <w:spacing w:val="11"/>
          <w:w w:val="105"/>
          <w:sz w:val="23"/>
          <w:szCs w:val="23"/>
        </w:rPr>
        <w:t xml:space="preserve"> </w:t>
      </w:r>
      <w:r>
        <w:rPr>
          <w:rFonts w:ascii="Times New Roman" w:hAnsi="Times New Roman" w:cs="Times New Roman"/>
          <w:color w:val="343333"/>
          <w:w w:val="105"/>
          <w:sz w:val="23"/>
          <w:szCs w:val="23"/>
        </w:rPr>
        <w:t xml:space="preserve">We also write to express </w:t>
      </w:r>
      <w:r>
        <w:rPr>
          <w:rFonts w:ascii="Times New Roman" w:hAnsi="Times New Roman" w:cs="Times New Roman"/>
          <w:color w:val="232121"/>
          <w:w w:val="105"/>
          <w:sz w:val="23"/>
          <w:szCs w:val="23"/>
        </w:rPr>
        <w:t xml:space="preserve">our </w:t>
      </w:r>
      <w:r>
        <w:rPr>
          <w:rFonts w:ascii="Times New Roman" w:hAnsi="Times New Roman" w:cs="Times New Roman"/>
          <w:color w:val="343333"/>
          <w:w w:val="105"/>
          <w:sz w:val="23"/>
          <w:szCs w:val="23"/>
        </w:rPr>
        <w:t xml:space="preserve">strong </w:t>
      </w:r>
      <w:r>
        <w:rPr>
          <w:rFonts w:ascii="Times New Roman" w:hAnsi="Times New Roman" w:cs="Times New Roman"/>
          <w:color w:val="444444"/>
          <w:w w:val="105"/>
          <w:sz w:val="23"/>
          <w:szCs w:val="23"/>
        </w:rPr>
        <w:t>s</w:t>
      </w:r>
      <w:r>
        <w:rPr>
          <w:rFonts w:ascii="Times New Roman" w:hAnsi="Times New Roman" w:cs="Times New Roman"/>
          <w:color w:val="232121"/>
          <w:w w:val="105"/>
          <w:sz w:val="23"/>
          <w:szCs w:val="23"/>
        </w:rPr>
        <w:t xml:space="preserve">upport </w:t>
      </w:r>
      <w:r>
        <w:rPr>
          <w:rFonts w:ascii="Times New Roman" w:hAnsi="Times New Roman" w:cs="Times New Roman"/>
          <w:color w:val="343333"/>
          <w:w w:val="105"/>
          <w:sz w:val="23"/>
          <w:szCs w:val="23"/>
        </w:rPr>
        <w:t xml:space="preserve">for the Administration's Section </w:t>
      </w:r>
      <w:r>
        <w:rPr>
          <w:rFonts w:ascii="Times New Roman" w:hAnsi="Times New Roman" w:cs="Times New Roman"/>
          <w:color w:val="343333"/>
          <w:spacing w:val="2"/>
          <w:w w:val="105"/>
          <w:sz w:val="23"/>
          <w:szCs w:val="23"/>
        </w:rPr>
        <w:t xml:space="preserve">1115 </w:t>
      </w:r>
      <w:r>
        <w:rPr>
          <w:rFonts w:ascii="Times New Roman" w:hAnsi="Times New Roman" w:cs="Times New Roman"/>
          <w:color w:val="343333"/>
          <w:w w:val="105"/>
          <w:sz w:val="23"/>
          <w:szCs w:val="23"/>
        </w:rPr>
        <w:t xml:space="preserve">Request. The many innovative concepts </w:t>
      </w:r>
      <w:r>
        <w:rPr>
          <w:rFonts w:ascii="Times New Roman" w:hAnsi="Times New Roman" w:cs="Times New Roman"/>
          <w:color w:val="232121"/>
          <w:w w:val="105"/>
          <w:sz w:val="23"/>
          <w:szCs w:val="23"/>
        </w:rPr>
        <w:t xml:space="preserve">included </w:t>
      </w:r>
      <w:r>
        <w:rPr>
          <w:rFonts w:ascii="Times New Roman" w:hAnsi="Times New Roman" w:cs="Times New Roman"/>
          <w:color w:val="343333"/>
          <w:w w:val="105"/>
          <w:sz w:val="23"/>
          <w:szCs w:val="23"/>
        </w:rPr>
        <w:t xml:space="preserve">in this Section </w:t>
      </w:r>
      <w:r>
        <w:rPr>
          <w:rFonts w:ascii="Times New Roman" w:hAnsi="Times New Roman" w:cs="Times New Roman"/>
          <w:color w:val="232121"/>
          <w:w w:val="105"/>
          <w:sz w:val="23"/>
          <w:szCs w:val="23"/>
        </w:rPr>
        <w:t xml:space="preserve">1115 Request </w:t>
      </w:r>
      <w:r>
        <w:rPr>
          <w:rFonts w:ascii="Times New Roman" w:hAnsi="Times New Roman" w:cs="Times New Roman"/>
          <w:color w:val="343333"/>
          <w:w w:val="105"/>
          <w:sz w:val="23"/>
          <w:szCs w:val="23"/>
        </w:rPr>
        <w:t xml:space="preserve">represent </w:t>
      </w:r>
      <w:r>
        <w:rPr>
          <w:rFonts w:ascii="Times New Roman" w:hAnsi="Times New Roman" w:cs="Times New Roman"/>
          <w:color w:val="444444"/>
          <w:w w:val="105"/>
          <w:sz w:val="23"/>
          <w:szCs w:val="23"/>
        </w:rPr>
        <w:t xml:space="preserve">another </w:t>
      </w:r>
      <w:r>
        <w:rPr>
          <w:rFonts w:ascii="Times New Roman" w:hAnsi="Times New Roman" w:cs="Times New Roman"/>
          <w:color w:val="343333"/>
          <w:w w:val="105"/>
          <w:sz w:val="23"/>
          <w:szCs w:val="23"/>
        </w:rPr>
        <w:t>major milestone</w:t>
      </w:r>
      <w:r>
        <w:rPr>
          <w:rFonts w:ascii="Times New Roman" w:hAnsi="Times New Roman" w:cs="Times New Roman"/>
          <w:color w:val="343333"/>
          <w:spacing w:val="-16"/>
          <w:w w:val="105"/>
          <w:sz w:val="23"/>
          <w:szCs w:val="23"/>
        </w:rPr>
        <w:t xml:space="preserve"> </w:t>
      </w:r>
      <w:r>
        <w:rPr>
          <w:rFonts w:ascii="Times New Roman" w:hAnsi="Times New Roman" w:cs="Times New Roman"/>
          <w:color w:val="343333"/>
          <w:w w:val="105"/>
          <w:sz w:val="23"/>
          <w:szCs w:val="23"/>
        </w:rPr>
        <w:t>that</w:t>
      </w:r>
      <w:r>
        <w:rPr>
          <w:rFonts w:ascii="Times New Roman" w:hAnsi="Times New Roman" w:cs="Times New Roman"/>
          <w:color w:val="343333"/>
          <w:spacing w:val="-21"/>
          <w:w w:val="105"/>
          <w:sz w:val="23"/>
          <w:szCs w:val="23"/>
        </w:rPr>
        <w:t xml:space="preserve"> </w:t>
      </w:r>
      <w:r>
        <w:rPr>
          <w:rFonts w:ascii="Times New Roman" w:hAnsi="Times New Roman" w:cs="Times New Roman"/>
          <w:color w:val="343333"/>
          <w:w w:val="105"/>
          <w:sz w:val="23"/>
          <w:szCs w:val="23"/>
        </w:rPr>
        <w:t>the</w:t>
      </w:r>
      <w:r>
        <w:rPr>
          <w:rFonts w:ascii="Times New Roman" w:hAnsi="Times New Roman" w:cs="Times New Roman"/>
          <w:color w:val="343333"/>
          <w:spacing w:val="-12"/>
          <w:w w:val="105"/>
          <w:sz w:val="23"/>
          <w:szCs w:val="23"/>
        </w:rPr>
        <w:t xml:space="preserve"> </w:t>
      </w:r>
      <w:r>
        <w:rPr>
          <w:rFonts w:ascii="Times New Roman" w:hAnsi="Times New Roman" w:cs="Times New Roman"/>
          <w:color w:val="343333"/>
          <w:w w:val="105"/>
          <w:sz w:val="23"/>
          <w:szCs w:val="23"/>
        </w:rPr>
        <w:t>Governor</w:t>
      </w:r>
      <w:r>
        <w:rPr>
          <w:rFonts w:ascii="Times New Roman" w:hAnsi="Times New Roman" w:cs="Times New Roman"/>
          <w:color w:val="343333"/>
          <w:spacing w:val="-12"/>
          <w:w w:val="105"/>
          <w:sz w:val="23"/>
          <w:szCs w:val="23"/>
        </w:rPr>
        <w:t xml:space="preserve"> </w:t>
      </w:r>
      <w:r>
        <w:rPr>
          <w:rFonts w:ascii="Times New Roman" w:hAnsi="Times New Roman" w:cs="Times New Roman"/>
          <w:color w:val="343333"/>
          <w:w w:val="105"/>
          <w:sz w:val="23"/>
          <w:szCs w:val="23"/>
        </w:rPr>
        <w:t>Baker</w:t>
      </w:r>
      <w:r>
        <w:rPr>
          <w:rFonts w:ascii="Times New Roman" w:hAnsi="Times New Roman" w:cs="Times New Roman"/>
          <w:color w:val="343333"/>
          <w:spacing w:val="-19"/>
          <w:w w:val="105"/>
          <w:sz w:val="23"/>
          <w:szCs w:val="23"/>
        </w:rPr>
        <w:t xml:space="preserve"> </w:t>
      </w:r>
      <w:r>
        <w:rPr>
          <w:rFonts w:ascii="Times New Roman" w:hAnsi="Times New Roman" w:cs="Times New Roman"/>
          <w:color w:val="444444"/>
          <w:spacing w:val="2"/>
          <w:w w:val="105"/>
          <w:sz w:val="23"/>
          <w:szCs w:val="23"/>
        </w:rPr>
        <w:t>-</w:t>
      </w:r>
      <w:proofErr w:type="spellStart"/>
      <w:r>
        <w:rPr>
          <w:rFonts w:ascii="Times New Roman" w:hAnsi="Times New Roman" w:cs="Times New Roman"/>
          <w:color w:val="343333"/>
          <w:spacing w:val="2"/>
          <w:w w:val="105"/>
          <w:sz w:val="23"/>
          <w:szCs w:val="23"/>
        </w:rPr>
        <w:t>Polito</w:t>
      </w:r>
      <w:proofErr w:type="spellEnd"/>
      <w:r>
        <w:rPr>
          <w:rFonts w:ascii="Times New Roman" w:hAnsi="Times New Roman" w:cs="Times New Roman"/>
          <w:color w:val="343333"/>
          <w:spacing w:val="-4"/>
          <w:w w:val="105"/>
          <w:sz w:val="23"/>
          <w:szCs w:val="23"/>
        </w:rPr>
        <w:t xml:space="preserve"> </w:t>
      </w:r>
      <w:r>
        <w:rPr>
          <w:rFonts w:ascii="Times New Roman" w:hAnsi="Times New Roman" w:cs="Times New Roman"/>
          <w:color w:val="343333"/>
          <w:w w:val="105"/>
          <w:sz w:val="23"/>
          <w:szCs w:val="23"/>
        </w:rPr>
        <w:t>Administration</w:t>
      </w:r>
      <w:r>
        <w:rPr>
          <w:rFonts w:ascii="Times New Roman" w:hAnsi="Times New Roman" w:cs="Times New Roman"/>
          <w:color w:val="343333"/>
          <w:spacing w:val="4"/>
          <w:w w:val="105"/>
          <w:sz w:val="23"/>
          <w:szCs w:val="23"/>
        </w:rPr>
        <w:t xml:space="preserve"> </w:t>
      </w:r>
      <w:r>
        <w:rPr>
          <w:rFonts w:ascii="Times New Roman" w:hAnsi="Times New Roman" w:cs="Times New Roman"/>
          <w:color w:val="343333"/>
          <w:w w:val="105"/>
          <w:sz w:val="23"/>
          <w:szCs w:val="23"/>
        </w:rPr>
        <w:t>are</w:t>
      </w:r>
      <w:r>
        <w:rPr>
          <w:rFonts w:ascii="Times New Roman" w:hAnsi="Times New Roman" w:cs="Times New Roman"/>
          <w:color w:val="343333"/>
          <w:spacing w:val="-24"/>
          <w:w w:val="105"/>
          <w:sz w:val="23"/>
          <w:szCs w:val="23"/>
        </w:rPr>
        <w:t xml:space="preserve"> </w:t>
      </w:r>
      <w:r>
        <w:rPr>
          <w:rFonts w:ascii="Times New Roman" w:hAnsi="Times New Roman" w:cs="Times New Roman"/>
          <w:color w:val="343333"/>
          <w:w w:val="105"/>
          <w:sz w:val="23"/>
          <w:szCs w:val="23"/>
        </w:rPr>
        <w:t>advancing</w:t>
      </w:r>
      <w:r>
        <w:rPr>
          <w:rFonts w:ascii="Times New Roman" w:hAnsi="Times New Roman" w:cs="Times New Roman"/>
          <w:color w:val="343333"/>
          <w:spacing w:val="-17"/>
          <w:w w:val="105"/>
          <w:sz w:val="23"/>
          <w:szCs w:val="23"/>
        </w:rPr>
        <w:t xml:space="preserve"> </w:t>
      </w:r>
      <w:r>
        <w:rPr>
          <w:rFonts w:ascii="Times New Roman" w:hAnsi="Times New Roman" w:cs="Times New Roman"/>
          <w:color w:val="343333"/>
          <w:w w:val="105"/>
          <w:sz w:val="23"/>
          <w:szCs w:val="23"/>
        </w:rPr>
        <w:t>to</w:t>
      </w:r>
      <w:r>
        <w:rPr>
          <w:rFonts w:ascii="Times New Roman" w:hAnsi="Times New Roman" w:cs="Times New Roman"/>
          <w:color w:val="343333"/>
          <w:spacing w:val="-17"/>
          <w:w w:val="105"/>
          <w:sz w:val="23"/>
          <w:szCs w:val="23"/>
        </w:rPr>
        <w:t xml:space="preserve"> </w:t>
      </w:r>
      <w:r>
        <w:rPr>
          <w:rFonts w:ascii="Times New Roman" w:hAnsi="Times New Roman" w:cs="Times New Roman"/>
          <w:color w:val="343333"/>
          <w:w w:val="105"/>
          <w:sz w:val="23"/>
          <w:szCs w:val="23"/>
        </w:rPr>
        <w:t>improve</w:t>
      </w:r>
      <w:r>
        <w:rPr>
          <w:rFonts w:ascii="Times New Roman" w:hAnsi="Times New Roman" w:cs="Times New Roman"/>
          <w:color w:val="343333"/>
          <w:spacing w:val="-14"/>
          <w:w w:val="105"/>
          <w:sz w:val="23"/>
          <w:szCs w:val="23"/>
        </w:rPr>
        <w:t xml:space="preserve"> </w:t>
      </w:r>
      <w:r>
        <w:rPr>
          <w:rFonts w:ascii="Times New Roman" w:hAnsi="Times New Roman" w:cs="Times New Roman"/>
          <w:color w:val="343333"/>
          <w:w w:val="105"/>
          <w:sz w:val="23"/>
          <w:szCs w:val="23"/>
        </w:rPr>
        <w:t>health</w:t>
      </w:r>
      <w:r>
        <w:rPr>
          <w:rFonts w:ascii="Times New Roman" w:hAnsi="Times New Roman" w:cs="Times New Roman"/>
          <w:color w:val="343333"/>
          <w:spacing w:val="-9"/>
          <w:w w:val="105"/>
          <w:sz w:val="23"/>
          <w:szCs w:val="23"/>
        </w:rPr>
        <w:t xml:space="preserve"> </w:t>
      </w:r>
      <w:r>
        <w:rPr>
          <w:rFonts w:ascii="Times New Roman" w:hAnsi="Times New Roman" w:cs="Times New Roman"/>
          <w:color w:val="343333"/>
          <w:w w:val="105"/>
          <w:sz w:val="23"/>
          <w:szCs w:val="23"/>
        </w:rPr>
        <w:t xml:space="preserve">care </w:t>
      </w:r>
      <w:r>
        <w:rPr>
          <w:rFonts w:ascii="Times New Roman" w:hAnsi="Times New Roman" w:cs="Times New Roman"/>
          <w:color w:val="444444"/>
          <w:w w:val="105"/>
          <w:sz w:val="23"/>
          <w:szCs w:val="23"/>
        </w:rPr>
        <w:t>access</w:t>
      </w:r>
      <w:r>
        <w:rPr>
          <w:rFonts w:ascii="Times New Roman" w:hAnsi="Times New Roman" w:cs="Times New Roman"/>
          <w:color w:val="444444"/>
          <w:spacing w:val="-24"/>
          <w:w w:val="105"/>
          <w:sz w:val="23"/>
          <w:szCs w:val="23"/>
        </w:rPr>
        <w:t xml:space="preserve"> </w:t>
      </w:r>
      <w:r>
        <w:rPr>
          <w:rFonts w:ascii="Times New Roman" w:hAnsi="Times New Roman" w:cs="Times New Roman"/>
          <w:color w:val="343333"/>
          <w:w w:val="105"/>
          <w:sz w:val="23"/>
          <w:szCs w:val="23"/>
        </w:rPr>
        <w:t>and</w:t>
      </w:r>
      <w:r>
        <w:rPr>
          <w:rFonts w:ascii="Times New Roman" w:hAnsi="Times New Roman" w:cs="Times New Roman"/>
          <w:color w:val="343333"/>
          <w:spacing w:val="-21"/>
          <w:w w:val="105"/>
          <w:sz w:val="23"/>
          <w:szCs w:val="23"/>
        </w:rPr>
        <w:t xml:space="preserve"> </w:t>
      </w:r>
      <w:r>
        <w:rPr>
          <w:rFonts w:ascii="Times New Roman" w:hAnsi="Times New Roman" w:cs="Times New Roman"/>
          <w:color w:val="343333"/>
          <w:w w:val="105"/>
          <w:sz w:val="23"/>
          <w:szCs w:val="23"/>
        </w:rPr>
        <w:t>reforms</w:t>
      </w:r>
      <w:r>
        <w:rPr>
          <w:rFonts w:ascii="Times New Roman" w:hAnsi="Times New Roman" w:cs="Times New Roman"/>
          <w:color w:val="343333"/>
          <w:spacing w:val="-10"/>
          <w:w w:val="105"/>
          <w:sz w:val="23"/>
          <w:szCs w:val="23"/>
        </w:rPr>
        <w:t xml:space="preserve"> </w:t>
      </w:r>
      <w:r>
        <w:rPr>
          <w:rFonts w:ascii="Times New Roman" w:hAnsi="Times New Roman" w:cs="Times New Roman"/>
          <w:color w:val="343333"/>
          <w:w w:val="105"/>
          <w:sz w:val="23"/>
          <w:szCs w:val="23"/>
        </w:rPr>
        <w:t>for</w:t>
      </w:r>
      <w:r>
        <w:rPr>
          <w:rFonts w:ascii="Times New Roman" w:hAnsi="Times New Roman" w:cs="Times New Roman"/>
          <w:color w:val="343333"/>
          <w:spacing w:val="-24"/>
          <w:w w:val="105"/>
          <w:sz w:val="23"/>
          <w:szCs w:val="23"/>
        </w:rPr>
        <w:t xml:space="preserve"> </w:t>
      </w:r>
      <w:r>
        <w:rPr>
          <w:rFonts w:ascii="Times New Roman" w:hAnsi="Times New Roman" w:cs="Times New Roman"/>
          <w:color w:val="343333"/>
          <w:w w:val="105"/>
          <w:sz w:val="23"/>
          <w:szCs w:val="23"/>
        </w:rPr>
        <w:t>Massachusetts</w:t>
      </w:r>
      <w:r>
        <w:rPr>
          <w:rFonts w:ascii="Times New Roman" w:hAnsi="Times New Roman" w:cs="Times New Roman"/>
          <w:color w:val="343333"/>
          <w:spacing w:val="-10"/>
          <w:w w:val="105"/>
          <w:sz w:val="23"/>
          <w:szCs w:val="23"/>
        </w:rPr>
        <w:t xml:space="preserve"> </w:t>
      </w:r>
      <w:r>
        <w:rPr>
          <w:rFonts w:ascii="Times New Roman" w:hAnsi="Times New Roman" w:cs="Times New Roman"/>
          <w:color w:val="343333"/>
          <w:w w:val="105"/>
          <w:sz w:val="23"/>
          <w:szCs w:val="23"/>
        </w:rPr>
        <w:t>residents.</w:t>
      </w:r>
      <w:r>
        <w:rPr>
          <w:rFonts w:ascii="Times New Roman" w:hAnsi="Times New Roman" w:cs="Times New Roman"/>
          <w:color w:val="343333"/>
          <w:spacing w:val="32"/>
          <w:w w:val="105"/>
          <w:sz w:val="23"/>
          <w:szCs w:val="23"/>
        </w:rPr>
        <w:t xml:space="preserve"> </w:t>
      </w:r>
      <w:r>
        <w:rPr>
          <w:rFonts w:ascii="Times New Roman" w:hAnsi="Times New Roman" w:cs="Times New Roman"/>
          <w:color w:val="343333"/>
          <w:w w:val="105"/>
          <w:sz w:val="23"/>
          <w:szCs w:val="23"/>
        </w:rPr>
        <w:t>Steward</w:t>
      </w:r>
      <w:r>
        <w:rPr>
          <w:rFonts w:ascii="Times New Roman" w:hAnsi="Times New Roman" w:cs="Times New Roman"/>
          <w:color w:val="343333"/>
          <w:spacing w:val="-21"/>
          <w:w w:val="105"/>
          <w:sz w:val="23"/>
          <w:szCs w:val="23"/>
        </w:rPr>
        <w:t xml:space="preserve"> </w:t>
      </w:r>
      <w:r>
        <w:rPr>
          <w:rFonts w:ascii="Times New Roman" w:hAnsi="Times New Roman" w:cs="Times New Roman"/>
          <w:color w:val="343333"/>
          <w:w w:val="105"/>
          <w:sz w:val="23"/>
          <w:szCs w:val="23"/>
        </w:rPr>
        <w:t>continues</w:t>
      </w:r>
      <w:r>
        <w:rPr>
          <w:rFonts w:ascii="Times New Roman" w:hAnsi="Times New Roman" w:cs="Times New Roman"/>
          <w:color w:val="343333"/>
          <w:spacing w:val="-25"/>
          <w:w w:val="105"/>
          <w:sz w:val="23"/>
          <w:szCs w:val="23"/>
        </w:rPr>
        <w:t xml:space="preserve"> </w:t>
      </w:r>
      <w:r>
        <w:rPr>
          <w:rFonts w:ascii="Times New Roman" w:hAnsi="Times New Roman" w:cs="Times New Roman"/>
          <w:color w:val="232121"/>
          <w:w w:val="105"/>
          <w:sz w:val="23"/>
          <w:szCs w:val="23"/>
        </w:rPr>
        <w:t>to</w:t>
      </w:r>
      <w:r>
        <w:rPr>
          <w:rFonts w:ascii="Times New Roman" w:hAnsi="Times New Roman" w:cs="Times New Roman"/>
          <w:color w:val="232121"/>
          <w:spacing w:val="-12"/>
          <w:w w:val="105"/>
          <w:sz w:val="23"/>
          <w:szCs w:val="23"/>
        </w:rPr>
        <w:t xml:space="preserve"> </w:t>
      </w:r>
      <w:r>
        <w:rPr>
          <w:rFonts w:ascii="Times New Roman" w:hAnsi="Times New Roman" w:cs="Times New Roman"/>
          <w:color w:val="343333"/>
          <w:w w:val="105"/>
          <w:sz w:val="23"/>
          <w:szCs w:val="23"/>
        </w:rPr>
        <w:t>support</w:t>
      </w:r>
      <w:r>
        <w:rPr>
          <w:rFonts w:ascii="Times New Roman" w:hAnsi="Times New Roman" w:cs="Times New Roman"/>
          <w:color w:val="343333"/>
          <w:spacing w:val="-24"/>
          <w:w w:val="105"/>
          <w:sz w:val="23"/>
          <w:szCs w:val="23"/>
        </w:rPr>
        <w:t xml:space="preserve"> </w:t>
      </w:r>
      <w:r>
        <w:rPr>
          <w:rFonts w:ascii="Times New Roman" w:hAnsi="Times New Roman" w:cs="Times New Roman"/>
          <w:color w:val="343333"/>
          <w:w w:val="105"/>
          <w:sz w:val="23"/>
          <w:szCs w:val="23"/>
        </w:rPr>
        <w:t>these</w:t>
      </w:r>
      <w:r>
        <w:rPr>
          <w:rFonts w:ascii="Times New Roman" w:hAnsi="Times New Roman" w:cs="Times New Roman"/>
          <w:color w:val="343333"/>
          <w:spacing w:val="-11"/>
          <w:w w:val="105"/>
          <w:sz w:val="23"/>
          <w:szCs w:val="23"/>
        </w:rPr>
        <w:t xml:space="preserve"> </w:t>
      </w:r>
      <w:r>
        <w:rPr>
          <w:rFonts w:ascii="Times New Roman" w:hAnsi="Times New Roman" w:cs="Times New Roman"/>
          <w:color w:val="444444"/>
          <w:w w:val="105"/>
          <w:sz w:val="23"/>
          <w:szCs w:val="23"/>
        </w:rPr>
        <w:t>efforts,</w:t>
      </w:r>
      <w:r>
        <w:rPr>
          <w:rFonts w:ascii="Times New Roman" w:hAnsi="Times New Roman" w:cs="Times New Roman"/>
          <w:color w:val="444444"/>
          <w:spacing w:val="-28"/>
          <w:w w:val="105"/>
          <w:sz w:val="23"/>
          <w:szCs w:val="23"/>
        </w:rPr>
        <w:t xml:space="preserve"> </w:t>
      </w:r>
      <w:r>
        <w:rPr>
          <w:rFonts w:ascii="Times New Roman" w:hAnsi="Times New Roman" w:cs="Times New Roman"/>
          <w:color w:val="343333"/>
          <w:w w:val="105"/>
          <w:sz w:val="23"/>
          <w:szCs w:val="23"/>
        </w:rPr>
        <w:t>but also</w:t>
      </w:r>
      <w:r>
        <w:rPr>
          <w:rFonts w:ascii="Times New Roman" w:hAnsi="Times New Roman" w:cs="Times New Roman"/>
          <w:color w:val="343333"/>
          <w:spacing w:val="-15"/>
          <w:w w:val="105"/>
          <w:sz w:val="23"/>
          <w:szCs w:val="23"/>
        </w:rPr>
        <w:t xml:space="preserve"> </w:t>
      </w:r>
      <w:r>
        <w:rPr>
          <w:rFonts w:ascii="Times New Roman" w:hAnsi="Times New Roman" w:cs="Times New Roman"/>
          <w:color w:val="444444"/>
          <w:w w:val="105"/>
          <w:sz w:val="23"/>
          <w:szCs w:val="23"/>
        </w:rPr>
        <w:t>stands</w:t>
      </w:r>
      <w:r>
        <w:rPr>
          <w:rFonts w:ascii="Times New Roman" w:hAnsi="Times New Roman" w:cs="Times New Roman"/>
          <w:color w:val="444444"/>
          <w:spacing w:val="-26"/>
          <w:w w:val="105"/>
          <w:sz w:val="23"/>
          <w:szCs w:val="23"/>
        </w:rPr>
        <w:t xml:space="preserve"> </w:t>
      </w:r>
      <w:r>
        <w:rPr>
          <w:rFonts w:ascii="Times New Roman" w:hAnsi="Times New Roman" w:cs="Times New Roman"/>
          <w:color w:val="343333"/>
          <w:w w:val="105"/>
          <w:sz w:val="23"/>
          <w:szCs w:val="23"/>
        </w:rPr>
        <w:t>ready</w:t>
      </w:r>
      <w:r>
        <w:rPr>
          <w:rFonts w:ascii="Times New Roman" w:hAnsi="Times New Roman" w:cs="Times New Roman"/>
          <w:color w:val="343333"/>
          <w:spacing w:val="-21"/>
          <w:w w:val="105"/>
          <w:sz w:val="23"/>
          <w:szCs w:val="23"/>
        </w:rPr>
        <w:t xml:space="preserve"> </w:t>
      </w:r>
      <w:r>
        <w:rPr>
          <w:rFonts w:ascii="Times New Roman" w:hAnsi="Times New Roman" w:cs="Times New Roman"/>
          <w:color w:val="343333"/>
          <w:w w:val="105"/>
          <w:sz w:val="23"/>
          <w:szCs w:val="23"/>
        </w:rPr>
        <w:t>to</w:t>
      </w:r>
      <w:r>
        <w:rPr>
          <w:rFonts w:ascii="Times New Roman" w:hAnsi="Times New Roman" w:cs="Times New Roman"/>
          <w:color w:val="343333"/>
          <w:spacing w:val="-15"/>
          <w:w w:val="105"/>
          <w:sz w:val="23"/>
          <w:szCs w:val="23"/>
        </w:rPr>
        <w:t xml:space="preserve"> </w:t>
      </w:r>
      <w:r>
        <w:rPr>
          <w:rFonts w:ascii="Times New Roman" w:hAnsi="Times New Roman" w:cs="Times New Roman"/>
          <w:color w:val="232121"/>
          <w:w w:val="105"/>
          <w:sz w:val="23"/>
          <w:szCs w:val="23"/>
        </w:rPr>
        <w:t>implement</w:t>
      </w:r>
      <w:r>
        <w:rPr>
          <w:rFonts w:ascii="Times New Roman" w:hAnsi="Times New Roman" w:cs="Times New Roman"/>
          <w:color w:val="232121"/>
          <w:spacing w:val="-18"/>
          <w:w w:val="105"/>
          <w:sz w:val="23"/>
          <w:szCs w:val="23"/>
        </w:rPr>
        <w:t xml:space="preserve"> </w:t>
      </w:r>
      <w:r>
        <w:rPr>
          <w:rFonts w:ascii="Times New Roman" w:hAnsi="Times New Roman" w:cs="Times New Roman"/>
          <w:color w:val="343333"/>
          <w:w w:val="105"/>
          <w:sz w:val="23"/>
          <w:szCs w:val="23"/>
        </w:rPr>
        <w:t>these</w:t>
      </w:r>
      <w:r>
        <w:rPr>
          <w:rFonts w:ascii="Times New Roman" w:hAnsi="Times New Roman" w:cs="Times New Roman"/>
          <w:color w:val="343333"/>
          <w:spacing w:val="-16"/>
          <w:w w:val="105"/>
          <w:sz w:val="23"/>
          <w:szCs w:val="23"/>
        </w:rPr>
        <w:t xml:space="preserve"> </w:t>
      </w:r>
      <w:r>
        <w:rPr>
          <w:rFonts w:ascii="Times New Roman" w:hAnsi="Times New Roman" w:cs="Times New Roman"/>
          <w:color w:val="444444"/>
          <w:w w:val="105"/>
          <w:sz w:val="23"/>
          <w:szCs w:val="23"/>
        </w:rPr>
        <w:t>essent</w:t>
      </w:r>
      <w:r>
        <w:rPr>
          <w:rFonts w:ascii="Times New Roman" w:hAnsi="Times New Roman" w:cs="Times New Roman"/>
          <w:color w:val="232121"/>
          <w:w w:val="105"/>
          <w:sz w:val="23"/>
          <w:szCs w:val="23"/>
        </w:rPr>
        <w:t>ial</w:t>
      </w:r>
      <w:r>
        <w:rPr>
          <w:rFonts w:ascii="Times New Roman" w:hAnsi="Times New Roman" w:cs="Times New Roman"/>
          <w:color w:val="232121"/>
          <w:spacing w:val="-24"/>
          <w:w w:val="105"/>
          <w:sz w:val="23"/>
          <w:szCs w:val="23"/>
        </w:rPr>
        <w:t xml:space="preserve"> </w:t>
      </w:r>
      <w:r>
        <w:rPr>
          <w:rFonts w:ascii="Times New Roman" w:hAnsi="Times New Roman" w:cs="Times New Roman"/>
          <w:color w:val="232121"/>
          <w:w w:val="105"/>
          <w:sz w:val="23"/>
          <w:szCs w:val="23"/>
        </w:rPr>
        <w:t>health</w:t>
      </w:r>
      <w:r>
        <w:rPr>
          <w:rFonts w:ascii="Times New Roman" w:hAnsi="Times New Roman" w:cs="Times New Roman"/>
          <w:color w:val="232121"/>
          <w:spacing w:val="-17"/>
          <w:w w:val="105"/>
          <w:sz w:val="23"/>
          <w:szCs w:val="23"/>
        </w:rPr>
        <w:t xml:space="preserve"> </w:t>
      </w:r>
      <w:r>
        <w:rPr>
          <w:rFonts w:ascii="Times New Roman" w:hAnsi="Times New Roman" w:cs="Times New Roman"/>
          <w:color w:val="343333"/>
          <w:w w:val="105"/>
          <w:sz w:val="23"/>
          <w:szCs w:val="23"/>
        </w:rPr>
        <w:t>care</w:t>
      </w:r>
      <w:r>
        <w:rPr>
          <w:rFonts w:ascii="Times New Roman" w:hAnsi="Times New Roman" w:cs="Times New Roman"/>
          <w:color w:val="343333"/>
          <w:spacing w:val="-20"/>
          <w:w w:val="105"/>
          <w:sz w:val="23"/>
          <w:szCs w:val="23"/>
        </w:rPr>
        <w:t xml:space="preserve"> </w:t>
      </w:r>
      <w:r>
        <w:rPr>
          <w:rFonts w:ascii="Times New Roman" w:hAnsi="Times New Roman" w:cs="Times New Roman"/>
          <w:color w:val="232121"/>
          <w:w w:val="105"/>
          <w:sz w:val="23"/>
          <w:szCs w:val="23"/>
        </w:rPr>
        <w:t>delivery</w:t>
      </w:r>
      <w:r>
        <w:rPr>
          <w:rFonts w:ascii="Times New Roman" w:hAnsi="Times New Roman" w:cs="Times New Roman"/>
          <w:color w:val="232121"/>
          <w:spacing w:val="-6"/>
          <w:w w:val="105"/>
          <w:sz w:val="23"/>
          <w:szCs w:val="23"/>
        </w:rPr>
        <w:t xml:space="preserve"> </w:t>
      </w:r>
      <w:r>
        <w:rPr>
          <w:rFonts w:ascii="Times New Roman" w:hAnsi="Times New Roman" w:cs="Times New Roman"/>
          <w:color w:val="232121"/>
          <w:w w:val="105"/>
          <w:sz w:val="23"/>
          <w:szCs w:val="23"/>
        </w:rPr>
        <w:t>reform</w:t>
      </w:r>
      <w:r>
        <w:rPr>
          <w:rFonts w:ascii="Times New Roman" w:hAnsi="Times New Roman" w:cs="Times New Roman"/>
          <w:color w:val="444444"/>
          <w:w w:val="105"/>
          <w:sz w:val="23"/>
          <w:szCs w:val="23"/>
        </w:rPr>
        <w:t>s</w:t>
      </w:r>
      <w:r>
        <w:rPr>
          <w:rFonts w:ascii="Times New Roman" w:hAnsi="Times New Roman" w:cs="Times New Roman"/>
          <w:color w:val="444444"/>
          <w:spacing w:val="-21"/>
          <w:w w:val="105"/>
          <w:sz w:val="23"/>
          <w:szCs w:val="23"/>
        </w:rPr>
        <w:t xml:space="preserve"> </w:t>
      </w:r>
      <w:r>
        <w:rPr>
          <w:rFonts w:ascii="Times New Roman" w:hAnsi="Times New Roman" w:cs="Times New Roman"/>
          <w:color w:val="343333"/>
          <w:w w:val="105"/>
          <w:sz w:val="23"/>
          <w:szCs w:val="23"/>
        </w:rPr>
        <w:t>which</w:t>
      </w:r>
      <w:r>
        <w:rPr>
          <w:rFonts w:ascii="Times New Roman" w:hAnsi="Times New Roman" w:cs="Times New Roman"/>
          <w:color w:val="343333"/>
          <w:spacing w:val="-17"/>
          <w:w w:val="105"/>
          <w:sz w:val="23"/>
          <w:szCs w:val="23"/>
        </w:rPr>
        <w:t xml:space="preserve"> </w:t>
      </w:r>
      <w:r>
        <w:rPr>
          <w:rFonts w:ascii="Times New Roman" w:hAnsi="Times New Roman" w:cs="Times New Roman"/>
          <w:color w:val="343333"/>
          <w:w w:val="105"/>
          <w:sz w:val="23"/>
          <w:szCs w:val="23"/>
        </w:rPr>
        <w:t>will</w:t>
      </w:r>
      <w:r>
        <w:rPr>
          <w:rFonts w:ascii="Times New Roman" w:hAnsi="Times New Roman" w:cs="Times New Roman"/>
          <w:color w:val="343333"/>
          <w:spacing w:val="-9"/>
          <w:w w:val="105"/>
          <w:sz w:val="23"/>
          <w:szCs w:val="23"/>
        </w:rPr>
        <w:t xml:space="preserve"> </w:t>
      </w:r>
      <w:r>
        <w:rPr>
          <w:rFonts w:ascii="Times New Roman" w:hAnsi="Times New Roman" w:cs="Times New Roman"/>
          <w:color w:val="444444"/>
          <w:w w:val="105"/>
          <w:sz w:val="23"/>
          <w:szCs w:val="23"/>
        </w:rPr>
        <w:t>e</w:t>
      </w:r>
      <w:r>
        <w:rPr>
          <w:rFonts w:ascii="Times New Roman" w:hAnsi="Times New Roman" w:cs="Times New Roman"/>
          <w:color w:val="232121"/>
          <w:w w:val="105"/>
          <w:sz w:val="23"/>
          <w:szCs w:val="23"/>
        </w:rPr>
        <w:t>nhan</w:t>
      </w:r>
      <w:r>
        <w:rPr>
          <w:rFonts w:ascii="Times New Roman" w:hAnsi="Times New Roman" w:cs="Times New Roman"/>
          <w:color w:val="444444"/>
          <w:w w:val="105"/>
          <w:sz w:val="23"/>
          <w:szCs w:val="23"/>
        </w:rPr>
        <w:t>ce access,</w:t>
      </w:r>
      <w:r>
        <w:rPr>
          <w:rFonts w:ascii="Times New Roman" w:hAnsi="Times New Roman" w:cs="Times New Roman"/>
          <w:color w:val="444444"/>
          <w:spacing w:val="-23"/>
          <w:w w:val="105"/>
          <w:sz w:val="23"/>
          <w:szCs w:val="23"/>
        </w:rPr>
        <w:t xml:space="preserve"> </w:t>
      </w:r>
      <w:r>
        <w:rPr>
          <w:rFonts w:ascii="Times New Roman" w:hAnsi="Times New Roman" w:cs="Times New Roman"/>
          <w:color w:val="343333"/>
          <w:w w:val="105"/>
          <w:sz w:val="23"/>
          <w:szCs w:val="23"/>
        </w:rPr>
        <w:t>lower</w:t>
      </w:r>
      <w:r>
        <w:rPr>
          <w:rFonts w:ascii="Times New Roman" w:hAnsi="Times New Roman" w:cs="Times New Roman"/>
          <w:color w:val="343333"/>
          <w:spacing w:val="-23"/>
          <w:w w:val="105"/>
          <w:sz w:val="23"/>
          <w:szCs w:val="23"/>
        </w:rPr>
        <w:t xml:space="preserve"> </w:t>
      </w:r>
      <w:r>
        <w:rPr>
          <w:rFonts w:ascii="Times New Roman" w:hAnsi="Times New Roman" w:cs="Times New Roman"/>
          <w:color w:val="343333"/>
          <w:w w:val="105"/>
          <w:sz w:val="23"/>
          <w:szCs w:val="23"/>
        </w:rPr>
        <w:t>costs</w:t>
      </w:r>
      <w:r>
        <w:rPr>
          <w:rFonts w:ascii="Times New Roman" w:hAnsi="Times New Roman" w:cs="Times New Roman"/>
          <w:color w:val="343333"/>
          <w:spacing w:val="-23"/>
          <w:w w:val="105"/>
          <w:sz w:val="23"/>
          <w:szCs w:val="23"/>
        </w:rPr>
        <w:t xml:space="preserve"> </w:t>
      </w:r>
      <w:r>
        <w:rPr>
          <w:rFonts w:ascii="Times New Roman" w:hAnsi="Times New Roman" w:cs="Times New Roman"/>
          <w:color w:val="343333"/>
          <w:w w:val="105"/>
          <w:sz w:val="23"/>
          <w:szCs w:val="23"/>
        </w:rPr>
        <w:t>and</w:t>
      </w:r>
      <w:r>
        <w:rPr>
          <w:rFonts w:ascii="Times New Roman" w:hAnsi="Times New Roman" w:cs="Times New Roman"/>
          <w:color w:val="343333"/>
          <w:spacing w:val="-29"/>
          <w:w w:val="105"/>
          <w:sz w:val="23"/>
          <w:szCs w:val="23"/>
        </w:rPr>
        <w:t xml:space="preserve"> </w:t>
      </w:r>
      <w:r>
        <w:rPr>
          <w:rFonts w:ascii="Times New Roman" w:hAnsi="Times New Roman" w:cs="Times New Roman"/>
          <w:color w:val="232121"/>
          <w:w w:val="105"/>
          <w:sz w:val="23"/>
          <w:szCs w:val="23"/>
        </w:rPr>
        <w:t>impro</w:t>
      </w:r>
      <w:r>
        <w:rPr>
          <w:rFonts w:ascii="Times New Roman" w:hAnsi="Times New Roman" w:cs="Times New Roman"/>
          <w:color w:val="444444"/>
          <w:w w:val="105"/>
          <w:sz w:val="23"/>
          <w:szCs w:val="23"/>
        </w:rPr>
        <w:t>ve</w:t>
      </w:r>
      <w:r>
        <w:rPr>
          <w:rFonts w:ascii="Times New Roman" w:hAnsi="Times New Roman" w:cs="Times New Roman"/>
          <w:color w:val="444444"/>
          <w:spacing w:val="-19"/>
          <w:w w:val="105"/>
          <w:sz w:val="23"/>
          <w:szCs w:val="23"/>
        </w:rPr>
        <w:t xml:space="preserve"> </w:t>
      </w:r>
      <w:r>
        <w:rPr>
          <w:rFonts w:ascii="Times New Roman" w:hAnsi="Times New Roman" w:cs="Times New Roman"/>
          <w:color w:val="343333"/>
          <w:w w:val="105"/>
          <w:sz w:val="23"/>
          <w:szCs w:val="23"/>
        </w:rPr>
        <w:t>coordinated</w:t>
      </w:r>
      <w:r>
        <w:rPr>
          <w:rFonts w:ascii="Times New Roman" w:hAnsi="Times New Roman" w:cs="Times New Roman"/>
          <w:color w:val="343333"/>
          <w:spacing w:val="-15"/>
          <w:w w:val="105"/>
          <w:sz w:val="23"/>
          <w:szCs w:val="23"/>
        </w:rPr>
        <w:t xml:space="preserve"> </w:t>
      </w:r>
      <w:r>
        <w:rPr>
          <w:rFonts w:ascii="Times New Roman" w:hAnsi="Times New Roman" w:cs="Times New Roman"/>
          <w:color w:val="444444"/>
          <w:w w:val="105"/>
          <w:sz w:val="23"/>
          <w:szCs w:val="23"/>
        </w:rPr>
        <w:t>care</w:t>
      </w:r>
      <w:r>
        <w:rPr>
          <w:rFonts w:ascii="Times New Roman" w:hAnsi="Times New Roman" w:cs="Times New Roman"/>
          <w:color w:val="444444"/>
          <w:spacing w:val="-26"/>
          <w:w w:val="105"/>
          <w:sz w:val="23"/>
          <w:szCs w:val="23"/>
        </w:rPr>
        <w:t xml:space="preserve"> </w:t>
      </w:r>
      <w:r>
        <w:rPr>
          <w:rFonts w:ascii="Times New Roman" w:hAnsi="Times New Roman" w:cs="Times New Roman"/>
          <w:color w:val="343333"/>
          <w:w w:val="105"/>
          <w:sz w:val="23"/>
          <w:szCs w:val="23"/>
        </w:rPr>
        <w:t>for</w:t>
      </w:r>
      <w:r>
        <w:rPr>
          <w:rFonts w:ascii="Times New Roman" w:hAnsi="Times New Roman" w:cs="Times New Roman"/>
          <w:color w:val="343333"/>
          <w:spacing w:val="-28"/>
          <w:w w:val="105"/>
          <w:sz w:val="23"/>
          <w:szCs w:val="23"/>
        </w:rPr>
        <w:t xml:space="preserve"> </w:t>
      </w:r>
      <w:r>
        <w:rPr>
          <w:rFonts w:ascii="Times New Roman" w:hAnsi="Times New Roman" w:cs="Times New Roman"/>
          <w:color w:val="343333"/>
          <w:w w:val="105"/>
          <w:sz w:val="23"/>
          <w:szCs w:val="23"/>
        </w:rPr>
        <w:t>residents.</w:t>
      </w:r>
    </w:p>
    <w:p w:rsidR="002C5025" w:rsidRDefault="002C5025">
      <w:pPr>
        <w:pStyle w:val="BodyText"/>
        <w:kinsoku w:val="0"/>
        <w:overflowPunct w:val="0"/>
        <w:spacing w:before="9"/>
        <w:rPr>
          <w:rFonts w:ascii="Times New Roman" w:hAnsi="Times New Roman" w:cs="Times New Roman"/>
          <w:sz w:val="17"/>
          <w:szCs w:val="17"/>
        </w:rPr>
      </w:pPr>
    </w:p>
    <w:p w:rsidR="002C5025" w:rsidRDefault="002C5025">
      <w:pPr>
        <w:pStyle w:val="BodyText"/>
        <w:kinsoku w:val="0"/>
        <w:overflowPunct w:val="0"/>
        <w:spacing w:before="1" w:line="254" w:lineRule="auto"/>
        <w:ind w:left="123" w:right="1546" w:hanging="1"/>
        <w:rPr>
          <w:rFonts w:ascii="Times New Roman" w:hAnsi="Times New Roman" w:cs="Times New Roman"/>
          <w:color w:val="343333"/>
          <w:w w:val="105"/>
          <w:sz w:val="23"/>
          <w:szCs w:val="23"/>
        </w:rPr>
      </w:pPr>
      <w:r>
        <w:rPr>
          <w:rFonts w:ascii="Times New Roman" w:hAnsi="Times New Roman" w:cs="Times New Roman"/>
          <w:color w:val="343333"/>
          <w:w w:val="105"/>
          <w:sz w:val="23"/>
          <w:szCs w:val="23"/>
        </w:rPr>
        <w:t>In</w:t>
      </w:r>
      <w:r>
        <w:rPr>
          <w:rFonts w:ascii="Times New Roman" w:hAnsi="Times New Roman" w:cs="Times New Roman"/>
          <w:color w:val="343333"/>
          <w:spacing w:val="-24"/>
          <w:w w:val="105"/>
          <w:sz w:val="23"/>
          <w:szCs w:val="23"/>
        </w:rPr>
        <w:t xml:space="preserve"> </w:t>
      </w:r>
      <w:r>
        <w:rPr>
          <w:rFonts w:ascii="Times New Roman" w:hAnsi="Times New Roman" w:cs="Times New Roman"/>
          <w:color w:val="343333"/>
          <w:w w:val="105"/>
          <w:sz w:val="23"/>
          <w:szCs w:val="23"/>
        </w:rPr>
        <w:t>that</w:t>
      </w:r>
      <w:r>
        <w:rPr>
          <w:rFonts w:ascii="Times New Roman" w:hAnsi="Times New Roman" w:cs="Times New Roman"/>
          <w:color w:val="343333"/>
          <w:spacing w:val="-16"/>
          <w:w w:val="105"/>
          <w:sz w:val="23"/>
          <w:szCs w:val="23"/>
        </w:rPr>
        <w:t xml:space="preserve"> </w:t>
      </w:r>
      <w:r>
        <w:rPr>
          <w:rFonts w:ascii="Times New Roman" w:hAnsi="Times New Roman" w:cs="Times New Roman"/>
          <w:color w:val="444444"/>
          <w:spacing w:val="2"/>
          <w:w w:val="105"/>
          <w:sz w:val="23"/>
          <w:szCs w:val="23"/>
        </w:rPr>
        <w:t>same</w:t>
      </w:r>
      <w:r>
        <w:rPr>
          <w:rFonts w:ascii="Times New Roman" w:hAnsi="Times New Roman" w:cs="Times New Roman"/>
          <w:color w:val="444444"/>
          <w:spacing w:val="-25"/>
          <w:w w:val="105"/>
          <w:sz w:val="23"/>
          <w:szCs w:val="23"/>
        </w:rPr>
        <w:t xml:space="preserve"> </w:t>
      </w:r>
      <w:r>
        <w:rPr>
          <w:rFonts w:ascii="Times New Roman" w:hAnsi="Times New Roman" w:cs="Times New Roman"/>
          <w:color w:val="444444"/>
          <w:w w:val="105"/>
          <w:sz w:val="23"/>
          <w:szCs w:val="23"/>
        </w:rPr>
        <w:t>sp</w:t>
      </w:r>
      <w:r>
        <w:rPr>
          <w:rFonts w:ascii="Times New Roman" w:hAnsi="Times New Roman" w:cs="Times New Roman"/>
          <w:color w:val="232121"/>
          <w:w w:val="105"/>
          <w:sz w:val="23"/>
          <w:szCs w:val="23"/>
        </w:rPr>
        <w:t>irit</w:t>
      </w:r>
      <w:r>
        <w:rPr>
          <w:rFonts w:ascii="Times New Roman" w:hAnsi="Times New Roman" w:cs="Times New Roman"/>
          <w:color w:val="232121"/>
          <w:spacing w:val="-25"/>
          <w:w w:val="105"/>
          <w:sz w:val="23"/>
          <w:szCs w:val="23"/>
        </w:rPr>
        <w:t xml:space="preserve"> </w:t>
      </w:r>
      <w:r>
        <w:rPr>
          <w:rFonts w:ascii="Times New Roman" w:hAnsi="Times New Roman" w:cs="Times New Roman"/>
          <w:color w:val="343333"/>
          <w:w w:val="105"/>
          <w:sz w:val="23"/>
          <w:szCs w:val="23"/>
        </w:rPr>
        <w:t>of</w:t>
      </w:r>
      <w:r>
        <w:rPr>
          <w:rFonts w:ascii="Times New Roman" w:hAnsi="Times New Roman" w:cs="Times New Roman"/>
          <w:color w:val="343333"/>
          <w:spacing w:val="-23"/>
          <w:w w:val="105"/>
          <w:sz w:val="23"/>
          <w:szCs w:val="23"/>
        </w:rPr>
        <w:t xml:space="preserve"> </w:t>
      </w:r>
      <w:r>
        <w:rPr>
          <w:rFonts w:ascii="Times New Roman" w:hAnsi="Times New Roman" w:cs="Times New Roman"/>
          <w:color w:val="343333"/>
          <w:w w:val="105"/>
          <w:sz w:val="23"/>
          <w:szCs w:val="23"/>
        </w:rPr>
        <w:t>collaboration</w:t>
      </w:r>
      <w:r>
        <w:rPr>
          <w:rFonts w:ascii="Times New Roman" w:hAnsi="Times New Roman" w:cs="Times New Roman"/>
          <w:color w:val="343333"/>
          <w:spacing w:val="-6"/>
          <w:w w:val="105"/>
          <w:sz w:val="23"/>
          <w:szCs w:val="23"/>
        </w:rPr>
        <w:t xml:space="preserve"> </w:t>
      </w:r>
      <w:r>
        <w:rPr>
          <w:rFonts w:ascii="Times New Roman" w:hAnsi="Times New Roman" w:cs="Times New Roman"/>
          <w:color w:val="444444"/>
          <w:w w:val="105"/>
          <w:sz w:val="23"/>
          <w:szCs w:val="23"/>
        </w:rPr>
        <w:t>an</w:t>
      </w:r>
      <w:r>
        <w:rPr>
          <w:rFonts w:ascii="Times New Roman" w:hAnsi="Times New Roman" w:cs="Times New Roman"/>
          <w:color w:val="232121"/>
          <w:w w:val="105"/>
          <w:sz w:val="23"/>
          <w:szCs w:val="23"/>
        </w:rPr>
        <w:t>d</w:t>
      </w:r>
      <w:r>
        <w:rPr>
          <w:rFonts w:ascii="Times New Roman" w:hAnsi="Times New Roman" w:cs="Times New Roman"/>
          <w:color w:val="232121"/>
          <w:spacing w:val="-21"/>
          <w:w w:val="105"/>
          <w:sz w:val="23"/>
          <w:szCs w:val="23"/>
        </w:rPr>
        <w:t xml:space="preserve"> </w:t>
      </w:r>
      <w:r>
        <w:rPr>
          <w:rFonts w:ascii="Times New Roman" w:hAnsi="Times New Roman" w:cs="Times New Roman"/>
          <w:color w:val="343333"/>
          <w:w w:val="105"/>
          <w:sz w:val="23"/>
          <w:szCs w:val="23"/>
        </w:rPr>
        <w:t>partnership,</w:t>
      </w:r>
      <w:r>
        <w:rPr>
          <w:rFonts w:ascii="Times New Roman" w:hAnsi="Times New Roman" w:cs="Times New Roman"/>
          <w:color w:val="343333"/>
          <w:spacing w:val="-4"/>
          <w:w w:val="105"/>
          <w:sz w:val="23"/>
          <w:szCs w:val="23"/>
        </w:rPr>
        <w:t xml:space="preserve"> </w:t>
      </w:r>
      <w:r>
        <w:rPr>
          <w:rFonts w:ascii="Times New Roman" w:hAnsi="Times New Roman" w:cs="Times New Roman"/>
          <w:color w:val="343333"/>
          <w:w w:val="105"/>
          <w:sz w:val="23"/>
          <w:szCs w:val="23"/>
        </w:rPr>
        <w:t>Steward</w:t>
      </w:r>
      <w:r>
        <w:rPr>
          <w:rFonts w:ascii="Times New Roman" w:hAnsi="Times New Roman" w:cs="Times New Roman"/>
          <w:color w:val="343333"/>
          <w:spacing w:val="-22"/>
          <w:w w:val="105"/>
          <w:sz w:val="23"/>
          <w:szCs w:val="23"/>
        </w:rPr>
        <w:t xml:space="preserve"> </w:t>
      </w:r>
      <w:r>
        <w:rPr>
          <w:rFonts w:ascii="Times New Roman" w:hAnsi="Times New Roman" w:cs="Times New Roman"/>
          <w:color w:val="343333"/>
          <w:w w:val="105"/>
          <w:sz w:val="23"/>
          <w:szCs w:val="23"/>
        </w:rPr>
        <w:t>respectfully</w:t>
      </w:r>
      <w:r>
        <w:rPr>
          <w:rFonts w:ascii="Times New Roman" w:hAnsi="Times New Roman" w:cs="Times New Roman"/>
          <w:color w:val="343333"/>
          <w:spacing w:val="-8"/>
          <w:w w:val="105"/>
          <w:sz w:val="23"/>
          <w:szCs w:val="23"/>
        </w:rPr>
        <w:t xml:space="preserve"> </w:t>
      </w:r>
      <w:r>
        <w:rPr>
          <w:rFonts w:ascii="Times New Roman" w:hAnsi="Times New Roman" w:cs="Times New Roman"/>
          <w:color w:val="343333"/>
          <w:w w:val="105"/>
          <w:sz w:val="23"/>
          <w:szCs w:val="23"/>
        </w:rPr>
        <w:t>submits</w:t>
      </w:r>
      <w:r>
        <w:rPr>
          <w:rFonts w:ascii="Times New Roman" w:hAnsi="Times New Roman" w:cs="Times New Roman"/>
          <w:color w:val="343333"/>
          <w:spacing w:val="-24"/>
          <w:w w:val="105"/>
          <w:sz w:val="23"/>
          <w:szCs w:val="23"/>
        </w:rPr>
        <w:t xml:space="preserve"> </w:t>
      </w:r>
      <w:r>
        <w:rPr>
          <w:rFonts w:ascii="Times New Roman" w:hAnsi="Times New Roman" w:cs="Times New Roman"/>
          <w:color w:val="343333"/>
          <w:w w:val="105"/>
          <w:sz w:val="23"/>
          <w:szCs w:val="23"/>
        </w:rPr>
        <w:t>this</w:t>
      </w:r>
      <w:r>
        <w:rPr>
          <w:rFonts w:ascii="Times New Roman" w:hAnsi="Times New Roman" w:cs="Times New Roman"/>
          <w:color w:val="343333"/>
          <w:spacing w:val="-21"/>
          <w:w w:val="105"/>
          <w:sz w:val="23"/>
          <w:szCs w:val="23"/>
        </w:rPr>
        <w:t xml:space="preserve"> </w:t>
      </w:r>
      <w:r>
        <w:rPr>
          <w:rFonts w:ascii="Times New Roman" w:hAnsi="Times New Roman" w:cs="Times New Roman"/>
          <w:color w:val="343333"/>
          <w:w w:val="105"/>
          <w:sz w:val="23"/>
          <w:szCs w:val="23"/>
        </w:rPr>
        <w:t>letter</w:t>
      </w:r>
      <w:r>
        <w:rPr>
          <w:rFonts w:ascii="Times New Roman" w:hAnsi="Times New Roman" w:cs="Times New Roman"/>
          <w:color w:val="343333"/>
          <w:spacing w:val="-17"/>
          <w:w w:val="105"/>
          <w:sz w:val="23"/>
          <w:szCs w:val="23"/>
        </w:rPr>
        <w:t xml:space="preserve"> </w:t>
      </w:r>
      <w:r>
        <w:rPr>
          <w:rFonts w:ascii="Times New Roman" w:hAnsi="Times New Roman" w:cs="Times New Roman"/>
          <w:color w:val="343333"/>
          <w:w w:val="105"/>
          <w:sz w:val="23"/>
          <w:szCs w:val="23"/>
        </w:rPr>
        <w:t>and requests</w:t>
      </w:r>
      <w:r>
        <w:rPr>
          <w:rFonts w:ascii="Times New Roman" w:hAnsi="Times New Roman" w:cs="Times New Roman"/>
          <w:color w:val="343333"/>
          <w:spacing w:val="-13"/>
          <w:w w:val="105"/>
          <w:sz w:val="23"/>
          <w:szCs w:val="23"/>
        </w:rPr>
        <w:t xml:space="preserve"> </w:t>
      </w:r>
      <w:r>
        <w:rPr>
          <w:rFonts w:ascii="Times New Roman" w:hAnsi="Times New Roman" w:cs="Times New Roman"/>
          <w:color w:val="444444"/>
          <w:w w:val="105"/>
          <w:sz w:val="23"/>
          <w:szCs w:val="23"/>
        </w:rPr>
        <w:t>EOHHS'</w:t>
      </w:r>
      <w:r>
        <w:rPr>
          <w:rFonts w:ascii="Times New Roman" w:hAnsi="Times New Roman" w:cs="Times New Roman"/>
          <w:color w:val="444444"/>
          <w:spacing w:val="-10"/>
          <w:w w:val="105"/>
          <w:sz w:val="23"/>
          <w:szCs w:val="23"/>
        </w:rPr>
        <w:t xml:space="preserve"> </w:t>
      </w:r>
      <w:r>
        <w:rPr>
          <w:rFonts w:ascii="Times New Roman" w:hAnsi="Times New Roman" w:cs="Times New Roman"/>
          <w:color w:val="343333"/>
          <w:w w:val="105"/>
          <w:sz w:val="23"/>
          <w:szCs w:val="23"/>
        </w:rPr>
        <w:t>consideration</w:t>
      </w:r>
      <w:r>
        <w:rPr>
          <w:rFonts w:ascii="Times New Roman" w:hAnsi="Times New Roman" w:cs="Times New Roman"/>
          <w:color w:val="343333"/>
          <w:spacing w:val="-17"/>
          <w:w w:val="105"/>
          <w:sz w:val="23"/>
          <w:szCs w:val="23"/>
        </w:rPr>
        <w:t xml:space="preserve"> </w:t>
      </w:r>
      <w:r>
        <w:rPr>
          <w:rFonts w:ascii="Times New Roman" w:hAnsi="Times New Roman" w:cs="Times New Roman"/>
          <w:color w:val="343333"/>
          <w:w w:val="105"/>
          <w:sz w:val="23"/>
          <w:szCs w:val="23"/>
        </w:rPr>
        <w:t>of</w:t>
      </w:r>
      <w:r>
        <w:rPr>
          <w:rFonts w:ascii="Times New Roman" w:hAnsi="Times New Roman" w:cs="Times New Roman"/>
          <w:color w:val="343333"/>
          <w:spacing w:val="-31"/>
          <w:w w:val="105"/>
          <w:sz w:val="23"/>
          <w:szCs w:val="23"/>
        </w:rPr>
        <w:t xml:space="preserve"> </w:t>
      </w:r>
      <w:r>
        <w:rPr>
          <w:rFonts w:ascii="Times New Roman" w:hAnsi="Times New Roman" w:cs="Times New Roman"/>
          <w:color w:val="343333"/>
          <w:w w:val="105"/>
          <w:sz w:val="23"/>
          <w:szCs w:val="23"/>
        </w:rPr>
        <w:t>the</w:t>
      </w:r>
      <w:r>
        <w:rPr>
          <w:rFonts w:ascii="Times New Roman" w:hAnsi="Times New Roman" w:cs="Times New Roman"/>
          <w:color w:val="343333"/>
          <w:spacing w:val="-26"/>
          <w:w w:val="105"/>
          <w:sz w:val="23"/>
          <w:szCs w:val="23"/>
        </w:rPr>
        <w:t xml:space="preserve"> </w:t>
      </w:r>
      <w:r>
        <w:rPr>
          <w:rFonts w:ascii="Times New Roman" w:hAnsi="Times New Roman" w:cs="Times New Roman"/>
          <w:color w:val="343333"/>
          <w:w w:val="105"/>
          <w:sz w:val="23"/>
          <w:szCs w:val="23"/>
        </w:rPr>
        <w:t>following:</w:t>
      </w:r>
    </w:p>
    <w:p w:rsidR="002C5025" w:rsidRDefault="002C5025">
      <w:pPr>
        <w:pStyle w:val="BodyText"/>
        <w:kinsoku w:val="0"/>
        <w:overflowPunct w:val="0"/>
        <w:rPr>
          <w:rFonts w:ascii="Times New Roman" w:hAnsi="Times New Roman" w:cs="Times New Roman"/>
          <w:sz w:val="18"/>
          <w:szCs w:val="18"/>
        </w:rPr>
      </w:pPr>
    </w:p>
    <w:p w:rsidR="002C5025" w:rsidRDefault="002C5025">
      <w:pPr>
        <w:pStyle w:val="ListParagraph"/>
        <w:numPr>
          <w:ilvl w:val="0"/>
          <w:numId w:val="1"/>
        </w:numPr>
        <w:tabs>
          <w:tab w:val="left" w:pos="848"/>
        </w:tabs>
        <w:kinsoku w:val="0"/>
        <w:overflowPunct w:val="0"/>
        <w:ind w:left="848" w:hanging="353"/>
        <w:rPr>
          <w:color w:val="343333"/>
          <w:sz w:val="23"/>
          <w:szCs w:val="23"/>
        </w:rPr>
      </w:pPr>
      <w:r>
        <w:rPr>
          <w:color w:val="343333"/>
          <w:sz w:val="23"/>
          <w:szCs w:val="23"/>
        </w:rPr>
        <w:t xml:space="preserve">Publish </w:t>
      </w:r>
      <w:r>
        <w:rPr>
          <w:color w:val="232121"/>
          <w:sz w:val="23"/>
          <w:szCs w:val="23"/>
        </w:rPr>
        <w:t>d</w:t>
      </w:r>
      <w:r>
        <w:rPr>
          <w:color w:val="444444"/>
          <w:sz w:val="23"/>
          <w:szCs w:val="23"/>
        </w:rPr>
        <w:t>eta</w:t>
      </w:r>
      <w:r>
        <w:rPr>
          <w:color w:val="232121"/>
          <w:sz w:val="23"/>
          <w:szCs w:val="23"/>
        </w:rPr>
        <w:t xml:space="preserve">iled financial </w:t>
      </w:r>
      <w:r>
        <w:rPr>
          <w:color w:val="444444"/>
          <w:sz w:val="23"/>
          <w:szCs w:val="23"/>
        </w:rPr>
        <w:t xml:space="preserve">and spending </w:t>
      </w:r>
      <w:r>
        <w:rPr>
          <w:color w:val="232121"/>
          <w:sz w:val="23"/>
          <w:szCs w:val="23"/>
        </w:rPr>
        <w:t xml:space="preserve">information  </w:t>
      </w:r>
      <w:r>
        <w:rPr>
          <w:color w:val="343333"/>
          <w:sz w:val="23"/>
          <w:szCs w:val="23"/>
        </w:rPr>
        <w:t xml:space="preserve">for </w:t>
      </w:r>
      <w:r>
        <w:rPr>
          <w:color w:val="232121"/>
          <w:sz w:val="23"/>
          <w:szCs w:val="23"/>
        </w:rPr>
        <w:t>proposals  includ</w:t>
      </w:r>
      <w:r>
        <w:rPr>
          <w:color w:val="444444"/>
          <w:sz w:val="23"/>
          <w:szCs w:val="23"/>
        </w:rPr>
        <w:t xml:space="preserve">ed </w:t>
      </w:r>
      <w:r>
        <w:rPr>
          <w:color w:val="343333"/>
          <w:sz w:val="23"/>
          <w:szCs w:val="23"/>
        </w:rPr>
        <w:t xml:space="preserve">in the </w:t>
      </w:r>
      <w:r>
        <w:rPr>
          <w:color w:val="343333"/>
          <w:spacing w:val="9"/>
          <w:sz w:val="23"/>
          <w:szCs w:val="23"/>
        </w:rPr>
        <w:t xml:space="preserve"> </w:t>
      </w:r>
      <w:r>
        <w:rPr>
          <w:color w:val="232121"/>
          <w:sz w:val="23"/>
          <w:szCs w:val="23"/>
        </w:rPr>
        <w:t>r</w:t>
      </w:r>
      <w:r>
        <w:rPr>
          <w:color w:val="444444"/>
          <w:sz w:val="23"/>
          <w:szCs w:val="23"/>
        </w:rPr>
        <w:t>equest</w:t>
      </w:r>
    </w:p>
    <w:p w:rsidR="002C5025" w:rsidRDefault="002C5025">
      <w:pPr>
        <w:pStyle w:val="ListParagraph"/>
        <w:numPr>
          <w:ilvl w:val="0"/>
          <w:numId w:val="1"/>
        </w:numPr>
        <w:tabs>
          <w:tab w:val="left" w:pos="848"/>
        </w:tabs>
        <w:kinsoku w:val="0"/>
        <w:overflowPunct w:val="0"/>
        <w:spacing w:before="23"/>
        <w:ind w:left="848" w:hanging="353"/>
        <w:rPr>
          <w:color w:val="343333"/>
          <w:sz w:val="23"/>
          <w:szCs w:val="23"/>
        </w:rPr>
      </w:pPr>
      <w:r>
        <w:rPr>
          <w:color w:val="343333"/>
          <w:sz w:val="23"/>
          <w:szCs w:val="23"/>
        </w:rPr>
        <w:t xml:space="preserve">Provide additional </w:t>
      </w:r>
      <w:r>
        <w:rPr>
          <w:color w:val="232121"/>
          <w:sz w:val="23"/>
          <w:szCs w:val="23"/>
        </w:rPr>
        <w:t xml:space="preserve">details </w:t>
      </w:r>
      <w:r>
        <w:rPr>
          <w:color w:val="343333"/>
          <w:sz w:val="23"/>
          <w:szCs w:val="23"/>
        </w:rPr>
        <w:t xml:space="preserve">related </w:t>
      </w:r>
      <w:r>
        <w:rPr>
          <w:color w:val="343333"/>
          <w:spacing w:val="9"/>
          <w:sz w:val="23"/>
          <w:szCs w:val="23"/>
        </w:rPr>
        <w:t xml:space="preserve"> </w:t>
      </w:r>
      <w:r>
        <w:rPr>
          <w:color w:val="343333"/>
          <w:sz w:val="23"/>
          <w:szCs w:val="23"/>
        </w:rPr>
        <w:t>to:</w:t>
      </w:r>
    </w:p>
    <w:p w:rsidR="002C5025" w:rsidRDefault="002C5025">
      <w:pPr>
        <w:pStyle w:val="ListParagraph"/>
        <w:numPr>
          <w:ilvl w:val="1"/>
          <w:numId w:val="1"/>
        </w:numPr>
        <w:tabs>
          <w:tab w:val="left" w:pos="1559"/>
        </w:tabs>
        <w:kinsoku w:val="0"/>
        <w:overflowPunct w:val="0"/>
        <w:spacing w:before="6" w:line="254" w:lineRule="auto"/>
        <w:ind w:left="1215" w:right="2252" w:firstLine="0"/>
        <w:rPr>
          <w:color w:val="444444"/>
          <w:sz w:val="23"/>
          <w:szCs w:val="23"/>
        </w:rPr>
      </w:pPr>
      <w:r>
        <w:rPr>
          <w:color w:val="343333"/>
          <w:sz w:val="23"/>
          <w:szCs w:val="23"/>
        </w:rPr>
        <w:t xml:space="preserve">Total cost of care methodology </w:t>
      </w:r>
      <w:r>
        <w:rPr>
          <w:color w:val="444444"/>
          <w:sz w:val="23"/>
          <w:szCs w:val="23"/>
        </w:rPr>
        <w:t xml:space="preserve">for </w:t>
      </w:r>
      <w:r>
        <w:rPr>
          <w:color w:val="343333"/>
          <w:sz w:val="23"/>
          <w:szCs w:val="23"/>
        </w:rPr>
        <w:t xml:space="preserve">accountable care organizations (ACOs);  </w:t>
      </w:r>
      <w:r>
        <w:rPr>
          <w:color w:val="444444"/>
          <w:sz w:val="23"/>
          <w:szCs w:val="23"/>
        </w:rPr>
        <w:t>o</w:t>
      </w:r>
      <w:r>
        <w:rPr>
          <w:color w:val="444444"/>
          <w:sz w:val="23"/>
          <w:szCs w:val="23"/>
        </w:rPr>
        <w:tab/>
      </w:r>
      <w:r>
        <w:rPr>
          <w:color w:val="343333"/>
          <w:sz w:val="23"/>
          <w:szCs w:val="23"/>
        </w:rPr>
        <w:t xml:space="preserve">Expectations  for </w:t>
      </w:r>
      <w:r>
        <w:rPr>
          <w:color w:val="232121"/>
          <w:sz w:val="23"/>
          <w:szCs w:val="23"/>
        </w:rPr>
        <w:t xml:space="preserve">the intersection </w:t>
      </w:r>
      <w:r>
        <w:rPr>
          <w:color w:val="343333"/>
          <w:sz w:val="23"/>
          <w:szCs w:val="23"/>
        </w:rPr>
        <w:t xml:space="preserve">of </w:t>
      </w:r>
      <w:r>
        <w:rPr>
          <w:color w:val="232121"/>
          <w:sz w:val="23"/>
          <w:szCs w:val="23"/>
        </w:rPr>
        <w:t xml:space="preserve">managed  </w:t>
      </w:r>
      <w:r>
        <w:rPr>
          <w:color w:val="343333"/>
          <w:sz w:val="23"/>
          <w:szCs w:val="23"/>
        </w:rPr>
        <w:t xml:space="preserve">care </w:t>
      </w:r>
      <w:r>
        <w:rPr>
          <w:color w:val="232121"/>
          <w:sz w:val="23"/>
          <w:szCs w:val="23"/>
        </w:rPr>
        <w:t>organization</w:t>
      </w:r>
      <w:r>
        <w:rPr>
          <w:color w:val="444444"/>
          <w:sz w:val="23"/>
          <w:szCs w:val="23"/>
        </w:rPr>
        <w:t xml:space="preserve">s </w:t>
      </w:r>
      <w:r>
        <w:rPr>
          <w:color w:val="343333"/>
          <w:sz w:val="23"/>
          <w:szCs w:val="23"/>
        </w:rPr>
        <w:t>and</w:t>
      </w:r>
      <w:r>
        <w:rPr>
          <w:color w:val="343333"/>
          <w:spacing w:val="30"/>
          <w:sz w:val="23"/>
          <w:szCs w:val="23"/>
        </w:rPr>
        <w:t xml:space="preserve"> </w:t>
      </w:r>
      <w:r>
        <w:rPr>
          <w:color w:val="343333"/>
          <w:sz w:val="23"/>
          <w:szCs w:val="23"/>
        </w:rPr>
        <w:t>ACOs;</w:t>
      </w:r>
    </w:p>
    <w:p w:rsidR="002C5025" w:rsidRDefault="002C5025">
      <w:pPr>
        <w:pStyle w:val="ListParagraph"/>
        <w:numPr>
          <w:ilvl w:val="0"/>
          <w:numId w:val="1"/>
        </w:numPr>
        <w:tabs>
          <w:tab w:val="left" w:pos="856"/>
        </w:tabs>
        <w:kinsoku w:val="0"/>
        <w:overflowPunct w:val="0"/>
        <w:spacing w:before="15"/>
        <w:ind w:left="855" w:hanging="360"/>
        <w:rPr>
          <w:color w:val="343333"/>
          <w:sz w:val="23"/>
          <w:szCs w:val="23"/>
        </w:rPr>
      </w:pPr>
      <w:r>
        <w:rPr>
          <w:color w:val="444444"/>
          <w:sz w:val="23"/>
          <w:szCs w:val="23"/>
        </w:rPr>
        <w:t>C</w:t>
      </w:r>
      <w:r>
        <w:rPr>
          <w:color w:val="232121"/>
          <w:sz w:val="23"/>
          <w:szCs w:val="23"/>
        </w:rPr>
        <w:t xml:space="preserve">larify the </w:t>
      </w:r>
      <w:r>
        <w:rPr>
          <w:color w:val="343333"/>
          <w:sz w:val="23"/>
          <w:szCs w:val="23"/>
        </w:rPr>
        <w:t xml:space="preserve">role of MassHealth's  behavioral  </w:t>
      </w:r>
      <w:r>
        <w:rPr>
          <w:color w:val="232121"/>
          <w:sz w:val="23"/>
          <w:szCs w:val="23"/>
        </w:rPr>
        <w:t>health vendor  in th</w:t>
      </w:r>
      <w:r>
        <w:rPr>
          <w:color w:val="444444"/>
          <w:sz w:val="23"/>
          <w:szCs w:val="23"/>
        </w:rPr>
        <w:t xml:space="preserve">e </w:t>
      </w:r>
      <w:r>
        <w:rPr>
          <w:color w:val="343333"/>
          <w:sz w:val="23"/>
          <w:szCs w:val="23"/>
        </w:rPr>
        <w:t>ACO</w:t>
      </w:r>
      <w:r>
        <w:rPr>
          <w:color w:val="343333"/>
          <w:spacing w:val="21"/>
          <w:sz w:val="23"/>
          <w:szCs w:val="23"/>
        </w:rPr>
        <w:t xml:space="preserve"> </w:t>
      </w:r>
      <w:r>
        <w:rPr>
          <w:color w:val="232121"/>
          <w:sz w:val="23"/>
          <w:szCs w:val="23"/>
        </w:rPr>
        <w:t>pro</w:t>
      </w:r>
      <w:r>
        <w:rPr>
          <w:color w:val="444444"/>
          <w:sz w:val="23"/>
          <w:szCs w:val="23"/>
        </w:rPr>
        <w:t>gram;</w:t>
      </w:r>
    </w:p>
    <w:p w:rsidR="002C5025" w:rsidRDefault="002C5025">
      <w:pPr>
        <w:pStyle w:val="ListParagraph"/>
        <w:numPr>
          <w:ilvl w:val="0"/>
          <w:numId w:val="1"/>
        </w:numPr>
        <w:tabs>
          <w:tab w:val="left" w:pos="841"/>
        </w:tabs>
        <w:kinsoku w:val="0"/>
        <w:overflowPunct w:val="0"/>
        <w:spacing w:before="30" w:line="254" w:lineRule="auto"/>
        <w:ind w:left="855" w:right="2263" w:hanging="360"/>
        <w:rPr>
          <w:color w:val="343333"/>
          <w:sz w:val="23"/>
          <w:szCs w:val="23"/>
        </w:rPr>
      </w:pPr>
      <w:r>
        <w:rPr>
          <w:color w:val="343333"/>
          <w:sz w:val="23"/>
          <w:szCs w:val="23"/>
        </w:rPr>
        <w:t xml:space="preserve">Ensure adequate </w:t>
      </w:r>
      <w:r>
        <w:rPr>
          <w:color w:val="232121"/>
          <w:sz w:val="23"/>
          <w:szCs w:val="23"/>
        </w:rPr>
        <w:t xml:space="preserve">DSRIP </w:t>
      </w:r>
      <w:r>
        <w:rPr>
          <w:color w:val="343333"/>
          <w:sz w:val="23"/>
          <w:szCs w:val="23"/>
        </w:rPr>
        <w:t xml:space="preserve">funding for </w:t>
      </w:r>
      <w:r>
        <w:rPr>
          <w:color w:val="444444"/>
          <w:sz w:val="23"/>
          <w:szCs w:val="23"/>
        </w:rPr>
        <w:t xml:space="preserve">state </w:t>
      </w:r>
      <w:r>
        <w:rPr>
          <w:color w:val="343333"/>
          <w:sz w:val="23"/>
          <w:szCs w:val="23"/>
        </w:rPr>
        <w:t>operation/implementation is dedicated to appropriate  data</w:t>
      </w:r>
      <w:r>
        <w:rPr>
          <w:color w:val="343333"/>
          <w:spacing w:val="15"/>
          <w:sz w:val="23"/>
          <w:szCs w:val="23"/>
        </w:rPr>
        <w:t xml:space="preserve"> </w:t>
      </w:r>
      <w:r>
        <w:rPr>
          <w:color w:val="232121"/>
          <w:sz w:val="23"/>
          <w:szCs w:val="23"/>
        </w:rPr>
        <w:t>infrastructur</w:t>
      </w:r>
      <w:r>
        <w:rPr>
          <w:color w:val="444444"/>
          <w:sz w:val="23"/>
          <w:szCs w:val="23"/>
        </w:rPr>
        <w:t>e</w:t>
      </w:r>
      <w:r>
        <w:rPr>
          <w:color w:val="232121"/>
          <w:sz w:val="23"/>
          <w:szCs w:val="23"/>
        </w:rPr>
        <w:t>.</w:t>
      </w:r>
    </w:p>
    <w:p w:rsidR="002C5025" w:rsidRDefault="002C5025">
      <w:pPr>
        <w:pStyle w:val="BodyText"/>
        <w:kinsoku w:val="0"/>
        <w:overflowPunct w:val="0"/>
        <w:spacing w:before="183" w:line="249" w:lineRule="auto"/>
        <w:ind w:left="115" w:right="1765" w:firstLine="7"/>
        <w:rPr>
          <w:rFonts w:ascii="Times New Roman" w:hAnsi="Times New Roman" w:cs="Times New Roman"/>
          <w:color w:val="343333"/>
          <w:sz w:val="23"/>
          <w:szCs w:val="23"/>
        </w:rPr>
      </w:pPr>
      <w:r>
        <w:rPr>
          <w:rFonts w:ascii="Times New Roman" w:hAnsi="Times New Roman" w:cs="Times New Roman"/>
          <w:color w:val="343333"/>
          <w:sz w:val="23"/>
          <w:szCs w:val="23"/>
        </w:rPr>
        <w:t xml:space="preserve">As you </w:t>
      </w:r>
      <w:proofErr w:type="spellStart"/>
      <w:r>
        <w:rPr>
          <w:rFonts w:ascii="Times New Roman" w:hAnsi="Times New Roman" w:cs="Times New Roman"/>
          <w:color w:val="343333"/>
          <w:sz w:val="23"/>
          <w:szCs w:val="23"/>
        </w:rPr>
        <w:t>lmow</w:t>
      </w:r>
      <w:proofErr w:type="spellEnd"/>
      <w:r>
        <w:rPr>
          <w:rFonts w:ascii="Times New Roman" w:hAnsi="Times New Roman" w:cs="Times New Roman"/>
          <w:color w:val="343333"/>
          <w:sz w:val="23"/>
          <w:szCs w:val="23"/>
        </w:rPr>
        <w:t xml:space="preserve">,  Steward is New </w:t>
      </w:r>
      <w:r>
        <w:rPr>
          <w:rFonts w:ascii="Times New Roman" w:hAnsi="Times New Roman" w:cs="Times New Roman"/>
          <w:color w:val="444444"/>
          <w:sz w:val="23"/>
          <w:szCs w:val="23"/>
        </w:rPr>
        <w:t>Eng</w:t>
      </w:r>
      <w:r>
        <w:rPr>
          <w:rFonts w:ascii="Times New Roman" w:hAnsi="Times New Roman" w:cs="Times New Roman"/>
          <w:color w:val="232121"/>
          <w:sz w:val="23"/>
          <w:szCs w:val="23"/>
        </w:rPr>
        <w:t>land</w:t>
      </w:r>
      <w:r>
        <w:rPr>
          <w:rFonts w:ascii="Times New Roman" w:hAnsi="Times New Roman" w:cs="Times New Roman"/>
          <w:color w:val="444444"/>
          <w:sz w:val="23"/>
          <w:szCs w:val="23"/>
        </w:rPr>
        <w:t xml:space="preserve">'s </w:t>
      </w:r>
      <w:r>
        <w:rPr>
          <w:rFonts w:ascii="Times New Roman" w:hAnsi="Times New Roman" w:cs="Times New Roman"/>
          <w:color w:val="232121"/>
          <w:sz w:val="23"/>
          <w:szCs w:val="23"/>
        </w:rPr>
        <w:t>lar</w:t>
      </w:r>
      <w:r>
        <w:rPr>
          <w:rFonts w:ascii="Times New Roman" w:hAnsi="Times New Roman" w:cs="Times New Roman"/>
          <w:color w:val="444444"/>
          <w:sz w:val="23"/>
          <w:szCs w:val="23"/>
        </w:rPr>
        <w:t xml:space="preserve">gest </w:t>
      </w:r>
      <w:r>
        <w:rPr>
          <w:rFonts w:ascii="Times New Roman" w:hAnsi="Times New Roman" w:cs="Times New Roman"/>
          <w:color w:val="343333"/>
          <w:sz w:val="23"/>
          <w:szCs w:val="23"/>
        </w:rPr>
        <w:t xml:space="preserve">community-based  accountable </w:t>
      </w:r>
      <w:r>
        <w:rPr>
          <w:rFonts w:ascii="Times New Roman" w:hAnsi="Times New Roman" w:cs="Times New Roman"/>
          <w:color w:val="444444"/>
          <w:sz w:val="23"/>
          <w:szCs w:val="23"/>
        </w:rPr>
        <w:t xml:space="preserve">care  </w:t>
      </w:r>
      <w:r>
        <w:rPr>
          <w:rFonts w:ascii="Times New Roman" w:hAnsi="Times New Roman" w:cs="Times New Roman"/>
          <w:color w:val="343333"/>
          <w:sz w:val="23"/>
          <w:szCs w:val="23"/>
        </w:rPr>
        <w:t xml:space="preserve">organization, encompassing </w:t>
      </w:r>
      <w:r>
        <w:rPr>
          <w:rFonts w:ascii="Times New Roman" w:hAnsi="Times New Roman" w:cs="Times New Roman"/>
          <w:color w:val="232121"/>
          <w:sz w:val="23"/>
          <w:szCs w:val="23"/>
        </w:rPr>
        <w:t>ten ho</w:t>
      </w:r>
      <w:r>
        <w:rPr>
          <w:rFonts w:ascii="Times New Roman" w:hAnsi="Times New Roman" w:cs="Times New Roman"/>
          <w:color w:val="444444"/>
          <w:sz w:val="23"/>
          <w:szCs w:val="23"/>
        </w:rPr>
        <w:t>spita</w:t>
      </w:r>
      <w:r>
        <w:rPr>
          <w:rFonts w:ascii="Times New Roman" w:hAnsi="Times New Roman" w:cs="Times New Roman"/>
          <w:color w:val="232121"/>
          <w:sz w:val="23"/>
          <w:szCs w:val="23"/>
        </w:rPr>
        <w:t xml:space="preserve">l </w:t>
      </w:r>
      <w:r>
        <w:rPr>
          <w:rFonts w:ascii="Times New Roman" w:hAnsi="Times New Roman" w:cs="Times New Roman"/>
          <w:color w:val="444444"/>
          <w:sz w:val="23"/>
          <w:szCs w:val="23"/>
        </w:rPr>
        <w:t xml:space="preserve">campuses </w:t>
      </w:r>
      <w:r>
        <w:rPr>
          <w:rFonts w:ascii="Times New Roman" w:hAnsi="Times New Roman" w:cs="Times New Roman"/>
          <w:color w:val="343333"/>
          <w:sz w:val="23"/>
          <w:szCs w:val="23"/>
        </w:rPr>
        <w:t xml:space="preserve">and over 2,700 </w:t>
      </w:r>
      <w:r>
        <w:rPr>
          <w:rFonts w:ascii="Times New Roman" w:hAnsi="Times New Roman" w:cs="Times New Roman"/>
          <w:color w:val="232121"/>
          <w:sz w:val="23"/>
          <w:szCs w:val="23"/>
        </w:rPr>
        <w:t>physician</w:t>
      </w:r>
      <w:r>
        <w:rPr>
          <w:rFonts w:ascii="Times New Roman" w:hAnsi="Times New Roman" w:cs="Times New Roman"/>
          <w:color w:val="444444"/>
          <w:sz w:val="23"/>
          <w:szCs w:val="23"/>
        </w:rPr>
        <w:t xml:space="preserve">s </w:t>
      </w:r>
      <w:r>
        <w:rPr>
          <w:rFonts w:ascii="Times New Roman" w:hAnsi="Times New Roman" w:cs="Times New Roman"/>
          <w:color w:val="343333"/>
          <w:sz w:val="23"/>
          <w:szCs w:val="23"/>
        </w:rPr>
        <w:t xml:space="preserve">and </w:t>
      </w:r>
      <w:r>
        <w:rPr>
          <w:rFonts w:ascii="Times New Roman" w:hAnsi="Times New Roman" w:cs="Times New Roman"/>
          <w:color w:val="444444"/>
          <w:spacing w:val="-3"/>
          <w:sz w:val="23"/>
          <w:szCs w:val="23"/>
        </w:rPr>
        <w:t>spec</w:t>
      </w:r>
      <w:r>
        <w:rPr>
          <w:rFonts w:ascii="Times New Roman" w:hAnsi="Times New Roman" w:cs="Times New Roman"/>
          <w:color w:val="232121"/>
          <w:spacing w:val="-3"/>
          <w:sz w:val="23"/>
          <w:szCs w:val="23"/>
        </w:rPr>
        <w:t>iali</w:t>
      </w:r>
      <w:r>
        <w:rPr>
          <w:rFonts w:ascii="Times New Roman" w:hAnsi="Times New Roman" w:cs="Times New Roman"/>
          <w:color w:val="444444"/>
          <w:spacing w:val="-3"/>
          <w:sz w:val="23"/>
          <w:szCs w:val="23"/>
        </w:rPr>
        <w:t>s</w:t>
      </w:r>
      <w:r>
        <w:rPr>
          <w:rFonts w:ascii="Times New Roman" w:hAnsi="Times New Roman" w:cs="Times New Roman"/>
          <w:color w:val="232121"/>
          <w:spacing w:val="-3"/>
          <w:sz w:val="23"/>
          <w:szCs w:val="23"/>
        </w:rPr>
        <w:t>ts</w:t>
      </w:r>
      <w:r>
        <w:rPr>
          <w:rFonts w:ascii="Times New Roman" w:hAnsi="Times New Roman" w:cs="Times New Roman"/>
          <w:color w:val="444444"/>
          <w:spacing w:val="-3"/>
          <w:sz w:val="23"/>
          <w:szCs w:val="23"/>
        </w:rPr>
        <w:t xml:space="preserve">, </w:t>
      </w:r>
      <w:r>
        <w:rPr>
          <w:rFonts w:ascii="Times New Roman" w:hAnsi="Times New Roman" w:cs="Times New Roman"/>
          <w:color w:val="343333"/>
          <w:sz w:val="23"/>
          <w:szCs w:val="23"/>
        </w:rPr>
        <w:t xml:space="preserve">as </w:t>
      </w:r>
      <w:r>
        <w:rPr>
          <w:rFonts w:ascii="Times New Roman" w:hAnsi="Times New Roman" w:cs="Times New Roman"/>
          <w:color w:val="444444"/>
          <w:sz w:val="23"/>
          <w:szCs w:val="23"/>
        </w:rPr>
        <w:t>we</w:t>
      </w:r>
      <w:r>
        <w:rPr>
          <w:rFonts w:ascii="Times New Roman" w:hAnsi="Times New Roman" w:cs="Times New Roman"/>
          <w:color w:val="232121"/>
          <w:sz w:val="23"/>
          <w:szCs w:val="23"/>
        </w:rPr>
        <w:t xml:space="preserve">ll </w:t>
      </w:r>
      <w:r>
        <w:rPr>
          <w:rFonts w:ascii="Times New Roman" w:hAnsi="Times New Roman" w:cs="Times New Roman"/>
          <w:color w:val="444444"/>
          <w:sz w:val="23"/>
          <w:szCs w:val="23"/>
        </w:rPr>
        <w:t xml:space="preserve">as advanced </w:t>
      </w:r>
      <w:r>
        <w:rPr>
          <w:rFonts w:ascii="Times New Roman" w:hAnsi="Times New Roman" w:cs="Times New Roman"/>
          <w:color w:val="343333"/>
          <w:sz w:val="23"/>
          <w:szCs w:val="23"/>
        </w:rPr>
        <w:t xml:space="preserve">practitioners, nurses, </w:t>
      </w:r>
      <w:r>
        <w:rPr>
          <w:rFonts w:ascii="Times New Roman" w:hAnsi="Times New Roman" w:cs="Times New Roman"/>
          <w:color w:val="232121"/>
          <w:sz w:val="23"/>
          <w:szCs w:val="23"/>
        </w:rPr>
        <w:t>hom</w:t>
      </w:r>
      <w:r>
        <w:rPr>
          <w:rFonts w:ascii="Times New Roman" w:hAnsi="Times New Roman" w:cs="Times New Roman"/>
          <w:color w:val="444444"/>
          <w:sz w:val="23"/>
          <w:szCs w:val="23"/>
        </w:rPr>
        <w:t xml:space="preserve">e </w:t>
      </w:r>
      <w:r>
        <w:rPr>
          <w:rFonts w:ascii="Times New Roman" w:hAnsi="Times New Roman" w:cs="Times New Roman"/>
          <w:color w:val="343333"/>
          <w:sz w:val="23"/>
          <w:szCs w:val="23"/>
        </w:rPr>
        <w:t>health</w:t>
      </w:r>
      <w:r>
        <w:rPr>
          <w:rFonts w:ascii="Times New Roman" w:hAnsi="Times New Roman" w:cs="Times New Roman"/>
          <w:color w:val="696969"/>
          <w:sz w:val="23"/>
          <w:szCs w:val="23"/>
        </w:rPr>
        <w:t xml:space="preserve">, </w:t>
      </w:r>
      <w:r>
        <w:rPr>
          <w:rFonts w:ascii="Times New Roman" w:hAnsi="Times New Roman" w:cs="Times New Roman"/>
          <w:color w:val="343333"/>
          <w:sz w:val="23"/>
          <w:szCs w:val="23"/>
        </w:rPr>
        <w:t xml:space="preserve">behavioral </w:t>
      </w:r>
      <w:r>
        <w:rPr>
          <w:rFonts w:ascii="Times New Roman" w:hAnsi="Times New Roman" w:cs="Times New Roman"/>
          <w:color w:val="232121"/>
          <w:sz w:val="23"/>
          <w:szCs w:val="23"/>
        </w:rPr>
        <w:t xml:space="preserve">health </w:t>
      </w:r>
      <w:r>
        <w:rPr>
          <w:rFonts w:ascii="Times New Roman" w:hAnsi="Times New Roman" w:cs="Times New Roman"/>
          <w:color w:val="343333"/>
          <w:sz w:val="23"/>
          <w:szCs w:val="23"/>
        </w:rPr>
        <w:t xml:space="preserve">and </w:t>
      </w:r>
      <w:r>
        <w:rPr>
          <w:rFonts w:ascii="Times New Roman" w:hAnsi="Times New Roman" w:cs="Times New Roman"/>
          <w:color w:val="444444"/>
          <w:spacing w:val="-4"/>
          <w:sz w:val="23"/>
          <w:szCs w:val="23"/>
        </w:rPr>
        <w:t>a</w:t>
      </w:r>
      <w:r>
        <w:rPr>
          <w:rFonts w:ascii="Times New Roman" w:hAnsi="Times New Roman" w:cs="Times New Roman"/>
          <w:color w:val="232121"/>
          <w:spacing w:val="-4"/>
          <w:sz w:val="23"/>
          <w:szCs w:val="23"/>
        </w:rPr>
        <w:t>lli</w:t>
      </w:r>
      <w:r>
        <w:rPr>
          <w:rFonts w:ascii="Times New Roman" w:hAnsi="Times New Roman" w:cs="Times New Roman"/>
          <w:color w:val="444444"/>
          <w:spacing w:val="-4"/>
          <w:sz w:val="23"/>
          <w:szCs w:val="23"/>
        </w:rPr>
        <w:t>e</w:t>
      </w:r>
      <w:r>
        <w:rPr>
          <w:rFonts w:ascii="Times New Roman" w:hAnsi="Times New Roman" w:cs="Times New Roman"/>
          <w:color w:val="232121"/>
          <w:spacing w:val="-4"/>
          <w:sz w:val="23"/>
          <w:szCs w:val="23"/>
        </w:rPr>
        <w:t xml:space="preserve">d </w:t>
      </w:r>
      <w:r>
        <w:rPr>
          <w:rFonts w:ascii="Times New Roman" w:hAnsi="Times New Roman" w:cs="Times New Roman"/>
          <w:color w:val="444444"/>
          <w:sz w:val="23"/>
          <w:szCs w:val="23"/>
        </w:rPr>
        <w:t xml:space="preserve">services </w:t>
      </w:r>
      <w:r>
        <w:rPr>
          <w:rFonts w:ascii="Times New Roman" w:hAnsi="Times New Roman" w:cs="Times New Roman"/>
          <w:color w:val="343333"/>
          <w:sz w:val="23"/>
          <w:szCs w:val="23"/>
        </w:rPr>
        <w:t xml:space="preserve">professionals. All of Steward's acute care hospitals are classified as Medicaid disproportionate </w:t>
      </w:r>
      <w:r>
        <w:rPr>
          <w:rFonts w:ascii="Times New Roman" w:hAnsi="Times New Roman" w:cs="Times New Roman"/>
          <w:color w:val="444444"/>
          <w:sz w:val="23"/>
          <w:szCs w:val="23"/>
        </w:rPr>
        <w:t xml:space="preserve">share </w:t>
      </w:r>
      <w:r>
        <w:rPr>
          <w:rFonts w:ascii="Times New Roman" w:hAnsi="Times New Roman" w:cs="Times New Roman"/>
          <w:color w:val="232121"/>
          <w:sz w:val="23"/>
          <w:szCs w:val="23"/>
        </w:rPr>
        <w:t>ho</w:t>
      </w:r>
      <w:r>
        <w:rPr>
          <w:rFonts w:ascii="Times New Roman" w:hAnsi="Times New Roman" w:cs="Times New Roman"/>
          <w:color w:val="444444"/>
          <w:sz w:val="23"/>
          <w:szCs w:val="23"/>
        </w:rPr>
        <w:t>sp</w:t>
      </w:r>
      <w:r>
        <w:rPr>
          <w:rFonts w:ascii="Times New Roman" w:hAnsi="Times New Roman" w:cs="Times New Roman"/>
          <w:color w:val="232121"/>
          <w:sz w:val="23"/>
          <w:szCs w:val="23"/>
        </w:rPr>
        <w:t>ital</w:t>
      </w:r>
      <w:r>
        <w:rPr>
          <w:rFonts w:ascii="Times New Roman" w:hAnsi="Times New Roman" w:cs="Times New Roman"/>
          <w:color w:val="444444"/>
          <w:sz w:val="23"/>
          <w:szCs w:val="23"/>
        </w:rPr>
        <w:t xml:space="preserve">s (DSH).  </w:t>
      </w:r>
      <w:r>
        <w:rPr>
          <w:rFonts w:ascii="Times New Roman" w:hAnsi="Times New Roman" w:cs="Times New Roman"/>
          <w:color w:val="343333"/>
          <w:sz w:val="23"/>
          <w:szCs w:val="23"/>
        </w:rPr>
        <w:t xml:space="preserve">Steward </w:t>
      </w:r>
      <w:r>
        <w:rPr>
          <w:rFonts w:ascii="Times New Roman" w:hAnsi="Times New Roman" w:cs="Times New Roman"/>
          <w:color w:val="444444"/>
          <w:sz w:val="23"/>
          <w:szCs w:val="23"/>
        </w:rPr>
        <w:t xml:space="preserve">serves a </w:t>
      </w:r>
      <w:r>
        <w:rPr>
          <w:rFonts w:ascii="Times New Roman" w:hAnsi="Times New Roman" w:cs="Times New Roman"/>
          <w:color w:val="343333"/>
          <w:sz w:val="23"/>
          <w:szCs w:val="23"/>
        </w:rPr>
        <w:t xml:space="preserve">critical role providing  care to </w:t>
      </w:r>
      <w:r>
        <w:rPr>
          <w:rFonts w:ascii="Times New Roman" w:hAnsi="Times New Roman" w:cs="Times New Roman"/>
          <w:color w:val="232121"/>
          <w:sz w:val="23"/>
          <w:szCs w:val="23"/>
        </w:rPr>
        <w:t>low-incom</w:t>
      </w:r>
      <w:r>
        <w:rPr>
          <w:rFonts w:ascii="Times New Roman" w:hAnsi="Times New Roman" w:cs="Times New Roman"/>
          <w:color w:val="444444"/>
          <w:sz w:val="23"/>
          <w:szCs w:val="23"/>
        </w:rPr>
        <w:t xml:space="preserve">e </w:t>
      </w:r>
      <w:r>
        <w:rPr>
          <w:rFonts w:ascii="Times New Roman" w:hAnsi="Times New Roman" w:cs="Times New Roman"/>
          <w:color w:val="343333"/>
          <w:sz w:val="23"/>
          <w:szCs w:val="23"/>
        </w:rPr>
        <w:t xml:space="preserve">and  vulnerable populations </w:t>
      </w:r>
      <w:r>
        <w:rPr>
          <w:rFonts w:ascii="Times New Roman" w:hAnsi="Times New Roman" w:cs="Times New Roman"/>
          <w:color w:val="232121"/>
          <w:sz w:val="23"/>
          <w:szCs w:val="23"/>
        </w:rPr>
        <w:t xml:space="preserve">in </w:t>
      </w:r>
      <w:r>
        <w:rPr>
          <w:rFonts w:ascii="Times New Roman" w:hAnsi="Times New Roman" w:cs="Times New Roman"/>
          <w:color w:val="343333"/>
          <w:sz w:val="23"/>
          <w:szCs w:val="23"/>
        </w:rPr>
        <w:t xml:space="preserve">the communities </w:t>
      </w:r>
      <w:r>
        <w:rPr>
          <w:rFonts w:ascii="Times New Roman" w:hAnsi="Times New Roman" w:cs="Times New Roman"/>
          <w:color w:val="444444"/>
          <w:sz w:val="23"/>
          <w:szCs w:val="23"/>
        </w:rPr>
        <w:t xml:space="preserve">where  our </w:t>
      </w:r>
      <w:r>
        <w:rPr>
          <w:rFonts w:ascii="Times New Roman" w:hAnsi="Times New Roman" w:cs="Times New Roman"/>
          <w:color w:val="343333"/>
          <w:sz w:val="23"/>
          <w:szCs w:val="23"/>
        </w:rPr>
        <w:t xml:space="preserve">patients </w:t>
      </w:r>
      <w:r>
        <w:rPr>
          <w:rFonts w:ascii="Times New Roman" w:hAnsi="Times New Roman" w:cs="Times New Roman"/>
          <w:color w:val="232121"/>
          <w:sz w:val="23"/>
          <w:szCs w:val="23"/>
        </w:rPr>
        <w:t xml:space="preserve">live </w:t>
      </w:r>
      <w:r>
        <w:rPr>
          <w:rFonts w:ascii="Times New Roman" w:hAnsi="Times New Roman" w:cs="Times New Roman"/>
          <w:color w:val="343333"/>
          <w:sz w:val="23"/>
          <w:szCs w:val="23"/>
        </w:rPr>
        <w:t xml:space="preserve">and work.   Steward </w:t>
      </w:r>
      <w:r>
        <w:rPr>
          <w:rFonts w:ascii="Times New Roman" w:hAnsi="Times New Roman" w:cs="Times New Roman"/>
          <w:color w:val="444444"/>
          <w:sz w:val="23"/>
          <w:szCs w:val="23"/>
        </w:rPr>
        <w:t xml:space="preserve">was  </w:t>
      </w:r>
      <w:r>
        <w:rPr>
          <w:rFonts w:ascii="Times New Roman" w:hAnsi="Times New Roman" w:cs="Times New Roman"/>
          <w:color w:val="343333"/>
          <w:sz w:val="23"/>
          <w:szCs w:val="23"/>
        </w:rPr>
        <w:t xml:space="preserve">among the first </w:t>
      </w:r>
      <w:r>
        <w:rPr>
          <w:rFonts w:ascii="Times New Roman" w:hAnsi="Times New Roman" w:cs="Times New Roman"/>
          <w:color w:val="232121"/>
          <w:sz w:val="23"/>
          <w:szCs w:val="23"/>
        </w:rPr>
        <w:t xml:space="preserve">in the nation to </w:t>
      </w:r>
      <w:r>
        <w:rPr>
          <w:rFonts w:ascii="Times New Roman" w:hAnsi="Times New Roman" w:cs="Times New Roman"/>
          <w:color w:val="343333"/>
          <w:sz w:val="23"/>
          <w:szCs w:val="23"/>
        </w:rPr>
        <w:t xml:space="preserve">participate  in Medicare's  Pioneer ACO program  and we are  proud to </w:t>
      </w:r>
      <w:r>
        <w:rPr>
          <w:rFonts w:ascii="Times New Roman" w:hAnsi="Times New Roman" w:cs="Times New Roman"/>
          <w:color w:val="232121"/>
          <w:sz w:val="23"/>
          <w:szCs w:val="23"/>
        </w:rPr>
        <w:t>b</w:t>
      </w:r>
      <w:r>
        <w:rPr>
          <w:rFonts w:ascii="Times New Roman" w:hAnsi="Times New Roman" w:cs="Times New Roman"/>
          <w:color w:val="444444"/>
          <w:sz w:val="23"/>
          <w:szCs w:val="23"/>
        </w:rPr>
        <w:t xml:space="preserve">e </w:t>
      </w:r>
      <w:r>
        <w:rPr>
          <w:rFonts w:ascii="Times New Roman" w:hAnsi="Times New Roman" w:cs="Times New Roman"/>
          <w:color w:val="343333"/>
          <w:sz w:val="23"/>
          <w:szCs w:val="23"/>
        </w:rPr>
        <w:t xml:space="preserve">one of only  </w:t>
      </w:r>
      <w:r>
        <w:rPr>
          <w:rFonts w:ascii="Times New Roman" w:hAnsi="Times New Roman" w:cs="Times New Roman"/>
          <w:color w:val="232121"/>
          <w:sz w:val="23"/>
          <w:szCs w:val="23"/>
        </w:rPr>
        <w:t xml:space="preserve">18 </w:t>
      </w:r>
      <w:r>
        <w:rPr>
          <w:rFonts w:ascii="Times New Roman" w:hAnsi="Times New Roman" w:cs="Times New Roman"/>
          <w:color w:val="343333"/>
          <w:sz w:val="23"/>
          <w:szCs w:val="23"/>
        </w:rPr>
        <w:t xml:space="preserve">ACOs </w:t>
      </w:r>
      <w:r>
        <w:rPr>
          <w:rFonts w:ascii="Times New Roman" w:hAnsi="Times New Roman" w:cs="Times New Roman"/>
          <w:color w:val="232121"/>
          <w:sz w:val="23"/>
          <w:szCs w:val="23"/>
        </w:rPr>
        <w:t xml:space="preserve">in </w:t>
      </w:r>
      <w:r>
        <w:rPr>
          <w:rFonts w:ascii="Times New Roman" w:hAnsi="Times New Roman" w:cs="Times New Roman"/>
          <w:color w:val="343333"/>
          <w:sz w:val="23"/>
          <w:szCs w:val="23"/>
        </w:rPr>
        <w:t xml:space="preserve">the nation </w:t>
      </w:r>
      <w:r>
        <w:rPr>
          <w:rFonts w:ascii="Times New Roman" w:hAnsi="Times New Roman" w:cs="Times New Roman"/>
          <w:color w:val="444444"/>
          <w:spacing w:val="-4"/>
          <w:sz w:val="23"/>
          <w:szCs w:val="23"/>
        </w:rPr>
        <w:t>-</w:t>
      </w:r>
      <w:r>
        <w:rPr>
          <w:rFonts w:ascii="Times New Roman" w:hAnsi="Times New Roman" w:cs="Times New Roman"/>
          <w:color w:val="343333"/>
          <w:spacing w:val="-4"/>
          <w:sz w:val="23"/>
          <w:szCs w:val="23"/>
        </w:rPr>
        <w:t xml:space="preserve">just  </w:t>
      </w:r>
      <w:r>
        <w:rPr>
          <w:rFonts w:ascii="Times New Roman" w:hAnsi="Times New Roman" w:cs="Times New Roman"/>
          <w:color w:val="343333"/>
          <w:sz w:val="23"/>
          <w:szCs w:val="23"/>
        </w:rPr>
        <w:t xml:space="preserve">one </w:t>
      </w:r>
      <w:r>
        <w:rPr>
          <w:rFonts w:ascii="Times New Roman" w:hAnsi="Times New Roman" w:cs="Times New Roman"/>
          <w:color w:val="232121"/>
          <w:sz w:val="23"/>
          <w:szCs w:val="23"/>
        </w:rPr>
        <w:t xml:space="preserve">of </w:t>
      </w:r>
      <w:r>
        <w:rPr>
          <w:rFonts w:ascii="Times New Roman" w:hAnsi="Times New Roman" w:cs="Times New Roman"/>
          <w:color w:val="343333"/>
          <w:sz w:val="23"/>
          <w:szCs w:val="23"/>
        </w:rPr>
        <w:t xml:space="preserve">two  </w:t>
      </w:r>
      <w:r>
        <w:rPr>
          <w:rFonts w:ascii="Times New Roman" w:hAnsi="Times New Roman" w:cs="Times New Roman"/>
          <w:color w:val="232121"/>
          <w:sz w:val="23"/>
          <w:szCs w:val="23"/>
        </w:rPr>
        <w:t xml:space="preserve">in </w:t>
      </w:r>
      <w:r>
        <w:rPr>
          <w:rFonts w:ascii="Times New Roman" w:hAnsi="Times New Roman" w:cs="Times New Roman"/>
          <w:color w:val="343333"/>
          <w:sz w:val="23"/>
          <w:szCs w:val="23"/>
        </w:rPr>
        <w:t xml:space="preserve">Massachusetts  </w:t>
      </w:r>
      <w:r>
        <w:rPr>
          <w:rFonts w:ascii="Times New Roman" w:hAnsi="Times New Roman" w:cs="Times New Roman"/>
          <w:color w:val="696969"/>
          <w:sz w:val="23"/>
          <w:szCs w:val="23"/>
        </w:rPr>
        <w:t>-</w:t>
      </w:r>
      <w:r>
        <w:rPr>
          <w:rFonts w:ascii="Times New Roman" w:hAnsi="Times New Roman" w:cs="Times New Roman"/>
          <w:color w:val="343333"/>
          <w:sz w:val="23"/>
          <w:szCs w:val="23"/>
        </w:rPr>
        <w:t xml:space="preserve">participating  in Medicare's Next  Generation ACO program.  We </w:t>
      </w:r>
      <w:r>
        <w:rPr>
          <w:rFonts w:ascii="Times New Roman" w:hAnsi="Times New Roman" w:cs="Times New Roman"/>
          <w:color w:val="444444"/>
          <w:sz w:val="23"/>
          <w:szCs w:val="23"/>
        </w:rPr>
        <w:t>a</w:t>
      </w:r>
      <w:r>
        <w:rPr>
          <w:rFonts w:ascii="Times New Roman" w:hAnsi="Times New Roman" w:cs="Times New Roman"/>
          <w:color w:val="232121"/>
          <w:sz w:val="23"/>
          <w:szCs w:val="23"/>
        </w:rPr>
        <w:t>l</w:t>
      </w:r>
      <w:r>
        <w:rPr>
          <w:rFonts w:ascii="Times New Roman" w:hAnsi="Times New Roman" w:cs="Times New Roman"/>
          <w:color w:val="444444"/>
          <w:sz w:val="23"/>
          <w:szCs w:val="23"/>
        </w:rPr>
        <w:t xml:space="preserve">so </w:t>
      </w:r>
      <w:r>
        <w:rPr>
          <w:rFonts w:ascii="Times New Roman" w:hAnsi="Times New Roman" w:cs="Times New Roman"/>
          <w:color w:val="343333"/>
          <w:sz w:val="23"/>
          <w:szCs w:val="23"/>
        </w:rPr>
        <w:t xml:space="preserve">eagerly </w:t>
      </w:r>
      <w:r>
        <w:rPr>
          <w:rFonts w:ascii="Times New Roman" w:hAnsi="Times New Roman" w:cs="Times New Roman"/>
          <w:color w:val="232121"/>
          <w:sz w:val="23"/>
          <w:szCs w:val="23"/>
        </w:rPr>
        <w:t xml:space="preserve">anticipate </w:t>
      </w:r>
      <w:r>
        <w:rPr>
          <w:rFonts w:ascii="Times New Roman" w:hAnsi="Times New Roman" w:cs="Times New Roman"/>
          <w:color w:val="343333"/>
          <w:sz w:val="23"/>
          <w:szCs w:val="23"/>
        </w:rPr>
        <w:t xml:space="preserve">the opportunity  </w:t>
      </w:r>
      <w:r>
        <w:rPr>
          <w:rFonts w:ascii="Times New Roman" w:hAnsi="Times New Roman" w:cs="Times New Roman"/>
          <w:color w:val="343333"/>
          <w:spacing w:val="5"/>
          <w:sz w:val="23"/>
          <w:szCs w:val="23"/>
        </w:rPr>
        <w:t xml:space="preserve"> </w:t>
      </w:r>
      <w:r>
        <w:rPr>
          <w:rFonts w:ascii="Times New Roman" w:hAnsi="Times New Roman" w:cs="Times New Roman"/>
          <w:color w:val="343333"/>
          <w:sz w:val="23"/>
          <w:szCs w:val="23"/>
        </w:rPr>
        <w:t>to</w:t>
      </w:r>
    </w:p>
    <w:p w:rsidR="002C5025" w:rsidRDefault="002C5025">
      <w:pPr>
        <w:pStyle w:val="BodyText"/>
        <w:kinsoku w:val="0"/>
        <w:overflowPunct w:val="0"/>
        <w:spacing w:before="183" w:line="249" w:lineRule="auto"/>
        <w:ind w:left="115" w:right="1765" w:firstLine="7"/>
        <w:rPr>
          <w:rFonts w:ascii="Times New Roman" w:hAnsi="Times New Roman" w:cs="Times New Roman"/>
          <w:color w:val="343333"/>
          <w:sz w:val="23"/>
          <w:szCs w:val="23"/>
        </w:rPr>
        <w:sectPr w:rsidR="002C5025">
          <w:type w:val="continuous"/>
          <w:pgSz w:w="12240" w:h="15840"/>
          <w:pgMar w:top="720" w:right="0" w:bottom="280" w:left="1300" w:header="720" w:footer="720" w:gutter="0"/>
          <w:cols w:space="720" w:equalWidth="0">
            <w:col w:w="10940"/>
          </w:cols>
          <w:noEndnote/>
        </w:sectPr>
      </w:pPr>
    </w:p>
    <w:p w:rsidR="002C5025" w:rsidRDefault="00FB027C">
      <w:pPr>
        <w:pStyle w:val="BodyText"/>
        <w:kinsoku w:val="0"/>
        <w:overflowPunct w:val="0"/>
        <w:rPr>
          <w:rFonts w:ascii="Times New Roman" w:hAnsi="Times New Roman" w:cs="Times New Roman"/>
          <w:sz w:val="20"/>
          <w:szCs w:val="20"/>
        </w:rPr>
      </w:pPr>
      <w:r>
        <w:rPr>
          <w:noProof/>
        </w:rPr>
        <w:lastRenderedPageBreak/>
        <mc:AlternateContent>
          <mc:Choice Requires="wps">
            <w:drawing>
              <wp:anchor distT="0" distB="0" distL="114300" distR="114300" simplePos="0" relativeHeight="251834880" behindDoc="0" locked="0" layoutInCell="0" allowOverlap="1">
                <wp:simplePos x="0" y="0"/>
                <wp:positionH relativeFrom="page">
                  <wp:posOffset>7717790</wp:posOffset>
                </wp:positionH>
                <wp:positionV relativeFrom="page">
                  <wp:posOffset>8255</wp:posOffset>
                </wp:positionV>
                <wp:extent cx="12700" cy="9994900"/>
                <wp:effectExtent l="0" t="0" r="0" b="0"/>
                <wp:wrapNone/>
                <wp:docPr id="24" name="Freeform 8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9994900"/>
                        </a:xfrm>
                        <a:custGeom>
                          <a:avLst/>
                          <a:gdLst>
                            <a:gd name="T0" fmla="*/ 0 w 20"/>
                            <a:gd name="T1" fmla="*/ 15740 h 15740"/>
                            <a:gd name="T2" fmla="*/ 0 w 20"/>
                            <a:gd name="T3" fmla="*/ 0 h 15740"/>
                          </a:gdLst>
                          <a:ahLst/>
                          <a:cxnLst>
                            <a:cxn ang="0">
                              <a:pos x="T0" y="T1"/>
                            </a:cxn>
                            <a:cxn ang="0">
                              <a:pos x="T2" y="T3"/>
                            </a:cxn>
                          </a:cxnLst>
                          <a:rect l="0" t="0" r="r" b="b"/>
                          <a:pathLst>
                            <a:path w="20" h="15740">
                              <a:moveTo>
                                <a:pt x="0" y="15740"/>
                              </a:moveTo>
                              <a:lnTo>
                                <a:pt x="0" y="0"/>
                              </a:lnTo>
                            </a:path>
                          </a:pathLst>
                        </a:custGeom>
                        <a:noFill/>
                        <a:ln w="18249">
                          <a:solidFill>
                            <a:srgbClr val="C9C9C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856" o:spid="_x0000_s1026" style="position:absolute;z-index:251834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07.7pt,787.65pt,607.7pt,.65pt" coordsize="20,1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" o:allowincell="f" filled="f" strokecolor="#c9c9c9" strokeweight=".50692mm">
                <v:path arrowok="t" o:connecttype="custom" o:connectlocs="0,9994900;0,0" o:connectangles="0,0"/>
                <w10:wrap anchorx="page" anchory="page"/>
              </v:polyline>
            </w:pict>
          </mc:Fallback>
        </mc:AlternateConten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2"/>
        <w:rPr>
          <w:rFonts w:ascii="Times New Roman" w:hAnsi="Times New Roman" w:cs="Times New Roman"/>
          <w:sz w:val="25"/>
          <w:szCs w:val="25"/>
        </w:rPr>
      </w:pPr>
    </w:p>
    <w:p w:rsidR="002C5025" w:rsidRDefault="002C5025">
      <w:pPr>
        <w:pStyle w:val="BodyText"/>
        <w:kinsoku w:val="0"/>
        <w:overflowPunct w:val="0"/>
        <w:spacing w:before="71" w:line="254" w:lineRule="auto"/>
        <w:ind w:left="126" w:right="1817" w:hanging="1"/>
        <w:rPr>
          <w:rFonts w:ascii="Times New Roman" w:hAnsi="Times New Roman" w:cs="Times New Roman"/>
          <w:color w:val="2B2B2B"/>
          <w:sz w:val="23"/>
          <w:szCs w:val="23"/>
        </w:rPr>
      </w:pPr>
      <w:r>
        <w:rPr>
          <w:rFonts w:ascii="Times New Roman" w:hAnsi="Times New Roman" w:cs="Times New Roman"/>
          <w:color w:val="2B2B2B"/>
          <w:sz w:val="23"/>
          <w:szCs w:val="23"/>
        </w:rPr>
        <w:t xml:space="preserve">collaborate </w:t>
      </w:r>
      <w:r>
        <w:rPr>
          <w:rFonts w:ascii="Times New Roman" w:hAnsi="Times New Roman" w:cs="Times New Roman"/>
          <w:color w:val="3F3F3F"/>
          <w:sz w:val="23"/>
          <w:szCs w:val="23"/>
        </w:rPr>
        <w:t xml:space="preserve">with </w:t>
      </w:r>
      <w:proofErr w:type="spellStart"/>
      <w:r>
        <w:rPr>
          <w:rFonts w:ascii="Times New Roman" w:hAnsi="Times New Roman" w:cs="Times New Roman"/>
          <w:color w:val="3F3F3F"/>
          <w:sz w:val="23"/>
          <w:szCs w:val="23"/>
        </w:rPr>
        <w:t>MassHeath</w:t>
      </w:r>
      <w:proofErr w:type="spellEnd"/>
      <w:r>
        <w:rPr>
          <w:rFonts w:ascii="Times New Roman" w:hAnsi="Times New Roman" w:cs="Times New Roman"/>
          <w:color w:val="3F3F3F"/>
          <w:sz w:val="23"/>
          <w:szCs w:val="23"/>
        </w:rPr>
        <w:t xml:space="preserve"> </w:t>
      </w:r>
      <w:r>
        <w:rPr>
          <w:rFonts w:ascii="Times New Roman" w:hAnsi="Times New Roman" w:cs="Times New Roman"/>
          <w:color w:val="2B2B2B"/>
          <w:sz w:val="23"/>
          <w:szCs w:val="23"/>
        </w:rPr>
        <w:t xml:space="preserve">and </w:t>
      </w:r>
      <w:proofErr w:type="spellStart"/>
      <w:r>
        <w:rPr>
          <w:rFonts w:ascii="Times New Roman" w:hAnsi="Times New Roman" w:cs="Times New Roman"/>
          <w:color w:val="3F3F3F"/>
          <w:sz w:val="23"/>
          <w:szCs w:val="23"/>
        </w:rPr>
        <w:t>conununity</w:t>
      </w:r>
      <w:proofErr w:type="spellEnd"/>
      <w:r>
        <w:rPr>
          <w:rFonts w:ascii="Times New Roman" w:hAnsi="Times New Roman" w:cs="Times New Roman"/>
          <w:color w:val="3F3F3F"/>
          <w:sz w:val="23"/>
          <w:szCs w:val="23"/>
        </w:rPr>
        <w:t xml:space="preserve"> </w:t>
      </w:r>
      <w:r>
        <w:rPr>
          <w:rFonts w:ascii="Times New Roman" w:hAnsi="Times New Roman" w:cs="Times New Roman"/>
          <w:color w:val="2B2B2B"/>
          <w:sz w:val="23"/>
          <w:szCs w:val="23"/>
        </w:rPr>
        <w:t xml:space="preserve">providers to implement an </w:t>
      </w:r>
      <w:r>
        <w:rPr>
          <w:rFonts w:ascii="Times New Roman" w:hAnsi="Times New Roman" w:cs="Times New Roman"/>
          <w:color w:val="3F3F3F"/>
          <w:sz w:val="23"/>
          <w:szCs w:val="23"/>
        </w:rPr>
        <w:t xml:space="preserve">accountable care </w:t>
      </w:r>
      <w:r>
        <w:rPr>
          <w:rFonts w:ascii="Times New Roman" w:hAnsi="Times New Roman" w:cs="Times New Roman"/>
          <w:color w:val="2B2B2B"/>
          <w:sz w:val="23"/>
          <w:szCs w:val="23"/>
        </w:rPr>
        <w:t xml:space="preserve">model </w:t>
      </w:r>
      <w:r>
        <w:rPr>
          <w:rFonts w:ascii="Times New Roman" w:hAnsi="Times New Roman" w:cs="Times New Roman"/>
          <w:color w:val="3F3F3F"/>
          <w:sz w:val="23"/>
          <w:szCs w:val="23"/>
        </w:rPr>
        <w:t xml:space="preserve">for Medicaid </w:t>
      </w:r>
      <w:r>
        <w:rPr>
          <w:rFonts w:ascii="Times New Roman" w:hAnsi="Times New Roman" w:cs="Times New Roman"/>
          <w:color w:val="2B2B2B"/>
          <w:sz w:val="23"/>
          <w:szCs w:val="23"/>
        </w:rPr>
        <w:t>members.</w:t>
      </w:r>
    </w:p>
    <w:p w:rsidR="002C5025" w:rsidRDefault="002C5025">
      <w:pPr>
        <w:pStyle w:val="BodyText"/>
        <w:kinsoku w:val="0"/>
        <w:overflowPunct w:val="0"/>
        <w:spacing w:before="185" w:line="249" w:lineRule="auto"/>
        <w:ind w:left="119" w:right="1390" w:firstLine="14"/>
        <w:rPr>
          <w:rFonts w:ascii="Times New Roman" w:hAnsi="Times New Roman" w:cs="Times New Roman"/>
          <w:color w:val="2B2B2B"/>
          <w:spacing w:val="3"/>
          <w:sz w:val="23"/>
          <w:szCs w:val="23"/>
        </w:rPr>
      </w:pPr>
      <w:r>
        <w:rPr>
          <w:rFonts w:ascii="Times New Roman" w:hAnsi="Times New Roman" w:cs="Times New Roman"/>
          <w:color w:val="3F3F3F"/>
          <w:w w:val="105"/>
          <w:sz w:val="23"/>
          <w:szCs w:val="23"/>
        </w:rPr>
        <w:t xml:space="preserve">Since </w:t>
      </w:r>
      <w:r>
        <w:rPr>
          <w:rFonts w:ascii="Times New Roman" w:hAnsi="Times New Roman" w:cs="Times New Roman"/>
          <w:color w:val="2B2B2B"/>
          <w:w w:val="105"/>
          <w:sz w:val="23"/>
          <w:szCs w:val="23"/>
        </w:rPr>
        <w:t xml:space="preserve">2011, Steward has publicly advocated to both the Federal and State authorities regarding the inefficiency and quality shortfalls </w:t>
      </w:r>
      <w:r>
        <w:rPr>
          <w:rFonts w:ascii="Times New Roman" w:hAnsi="Times New Roman" w:cs="Times New Roman"/>
          <w:color w:val="3F3F3F"/>
          <w:w w:val="105"/>
          <w:sz w:val="23"/>
          <w:szCs w:val="23"/>
        </w:rPr>
        <w:t xml:space="preserve">inherent </w:t>
      </w:r>
      <w:r>
        <w:rPr>
          <w:rFonts w:ascii="Times New Roman" w:hAnsi="Times New Roman" w:cs="Times New Roman"/>
          <w:color w:val="2B2B2B"/>
          <w:w w:val="105"/>
          <w:sz w:val="23"/>
          <w:szCs w:val="23"/>
        </w:rPr>
        <w:t xml:space="preserve">in </w:t>
      </w:r>
      <w:r>
        <w:rPr>
          <w:rFonts w:ascii="Times New Roman" w:hAnsi="Times New Roman" w:cs="Times New Roman"/>
          <w:color w:val="2B2B2B"/>
          <w:spacing w:val="2"/>
          <w:w w:val="105"/>
          <w:sz w:val="23"/>
          <w:szCs w:val="23"/>
        </w:rPr>
        <w:t xml:space="preserve">the </w:t>
      </w:r>
      <w:r>
        <w:rPr>
          <w:rFonts w:ascii="Times New Roman" w:hAnsi="Times New Roman" w:cs="Times New Roman"/>
          <w:color w:val="2B2B2B"/>
          <w:w w:val="105"/>
          <w:sz w:val="23"/>
          <w:szCs w:val="23"/>
        </w:rPr>
        <w:t>Massachusetts Medicaid reimbursement model.</w:t>
      </w:r>
      <w:r>
        <w:rPr>
          <w:rFonts w:ascii="Times New Roman" w:hAnsi="Times New Roman" w:cs="Times New Roman"/>
          <w:color w:val="2B2B2B"/>
          <w:spacing w:val="-6"/>
          <w:w w:val="105"/>
          <w:sz w:val="23"/>
          <w:szCs w:val="23"/>
        </w:rPr>
        <w:t xml:space="preserve"> </w:t>
      </w:r>
      <w:r>
        <w:rPr>
          <w:rFonts w:ascii="Times New Roman" w:hAnsi="Times New Roman" w:cs="Times New Roman"/>
          <w:color w:val="2B2B2B"/>
          <w:w w:val="105"/>
          <w:sz w:val="23"/>
          <w:szCs w:val="23"/>
        </w:rPr>
        <w:t>The</w:t>
      </w:r>
      <w:r>
        <w:rPr>
          <w:rFonts w:ascii="Times New Roman" w:hAnsi="Times New Roman" w:cs="Times New Roman"/>
          <w:color w:val="2B2B2B"/>
          <w:spacing w:val="-13"/>
          <w:w w:val="105"/>
          <w:sz w:val="23"/>
          <w:szCs w:val="23"/>
        </w:rPr>
        <w:t xml:space="preserve"> </w:t>
      </w:r>
      <w:r>
        <w:rPr>
          <w:rFonts w:ascii="Times New Roman" w:hAnsi="Times New Roman" w:cs="Times New Roman"/>
          <w:color w:val="2B2B2B"/>
          <w:w w:val="105"/>
          <w:sz w:val="23"/>
          <w:szCs w:val="23"/>
        </w:rPr>
        <w:t>Section</w:t>
      </w:r>
      <w:r>
        <w:rPr>
          <w:rFonts w:ascii="Times New Roman" w:hAnsi="Times New Roman" w:cs="Times New Roman"/>
          <w:color w:val="2B2B2B"/>
          <w:spacing w:val="-14"/>
          <w:w w:val="105"/>
          <w:sz w:val="23"/>
          <w:szCs w:val="23"/>
        </w:rPr>
        <w:t xml:space="preserve"> </w:t>
      </w:r>
      <w:r>
        <w:rPr>
          <w:rFonts w:ascii="Times New Roman" w:hAnsi="Times New Roman" w:cs="Times New Roman"/>
          <w:color w:val="2B2B2B"/>
          <w:w w:val="105"/>
          <w:sz w:val="23"/>
          <w:szCs w:val="23"/>
        </w:rPr>
        <w:t>1115</w:t>
      </w:r>
      <w:r>
        <w:rPr>
          <w:rFonts w:ascii="Times New Roman" w:hAnsi="Times New Roman" w:cs="Times New Roman"/>
          <w:color w:val="2B2B2B"/>
          <w:spacing w:val="-31"/>
          <w:w w:val="105"/>
          <w:sz w:val="23"/>
          <w:szCs w:val="23"/>
        </w:rPr>
        <w:t xml:space="preserve"> </w:t>
      </w:r>
      <w:r>
        <w:rPr>
          <w:rFonts w:ascii="Times New Roman" w:hAnsi="Times New Roman" w:cs="Times New Roman"/>
          <w:color w:val="2B2B2B"/>
          <w:w w:val="105"/>
          <w:sz w:val="23"/>
          <w:szCs w:val="23"/>
        </w:rPr>
        <w:t>Request</w:t>
      </w:r>
      <w:r>
        <w:rPr>
          <w:rFonts w:ascii="Times New Roman" w:hAnsi="Times New Roman" w:cs="Times New Roman"/>
          <w:color w:val="2B2B2B"/>
          <w:spacing w:val="-8"/>
          <w:w w:val="105"/>
          <w:sz w:val="23"/>
          <w:szCs w:val="23"/>
        </w:rPr>
        <w:t xml:space="preserve"> </w:t>
      </w:r>
      <w:r>
        <w:rPr>
          <w:rFonts w:ascii="Times New Roman" w:hAnsi="Times New Roman" w:cs="Times New Roman"/>
          <w:color w:val="2B2B2B"/>
          <w:w w:val="105"/>
          <w:sz w:val="23"/>
          <w:szCs w:val="23"/>
        </w:rPr>
        <w:t>could</w:t>
      </w:r>
      <w:r>
        <w:rPr>
          <w:rFonts w:ascii="Times New Roman" w:hAnsi="Times New Roman" w:cs="Times New Roman"/>
          <w:color w:val="2B2B2B"/>
          <w:spacing w:val="-16"/>
          <w:w w:val="105"/>
          <w:sz w:val="23"/>
          <w:szCs w:val="23"/>
        </w:rPr>
        <w:t xml:space="preserve"> </w:t>
      </w:r>
      <w:r>
        <w:rPr>
          <w:rFonts w:ascii="Times New Roman" w:hAnsi="Times New Roman" w:cs="Times New Roman"/>
          <w:color w:val="2B2B2B"/>
          <w:w w:val="105"/>
          <w:sz w:val="23"/>
          <w:szCs w:val="23"/>
        </w:rPr>
        <w:t>not</w:t>
      </w:r>
      <w:r>
        <w:rPr>
          <w:rFonts w:ascii="Times New Roman" w:hAnsi="Times New Roman" w:cs="Times New Roman"/>
          <w:color w:val="2B2B2B"/>
          <w:spacing w:val="-14"/>
          <w:w w:val="105"/>
          <w:sz w:val="23"/>
          <w:szCs w:val="23"/>
        </w:rPr>
        <w:t xml:space="preserve"> </w:t>
      </w:r>
      <w:r>
        <w:rPr>
          <w:rFonts w:ascii="Times New Roman" w:hAnsi="Times New Roman" w:cs="Times New Roman"/>
          <w:color w:val="2B2B2B"/>
          <w:w w:val="105"/>
          <w:sz w:val="23"/>
          <w:szCs w:val="23"/>
        </w:rPr>
        <w:t>come</w:t>
      </w:r>
      <w:r>
        <w:rPr>
          <w:rFonts w:ascii="Times New Roman" w:hAnsi="Times New Roman" w:cs="Times New Roman"/>
          <w:color w:val="2B2B2B"/>
          <w:spacing w:val="-10"/>
          <w:w w:val="105"/>
          <w:sz w:val="23"/>
          <w:szCs w:val="23"/>
        </w:rPr>
        <w:t xml:space="preserve"> </w:t>
      </w:r>
      <w:r>
        <w:rPr>
          <w:rFonts w:ascii="Times New Roman" w:hAnsi="Times New Roman" w:cs="Times New Roman"/>
          <w:color w:val="3F3F3F"/>
          <w:w w:val="105"/>
          <w:sz w:val="23"/>
          <w:szCs w:val="23"/>
        </w:rPr>
        <w:t>at</w:t>
      </w:r>
      <w:r>
        <w:rPr>
          <w:rFonts w:ascii="Times New Roman" w:hAnsi="Times New Roman" w:cs="Times New Roman"/>
          <w:color w:val="3F3F3F"/>
          <w:spacing w:val="-17"/>
          <w:w w:val="105"/>
          <w:sz w:val="23"/>
          <w:szCs w:val="23"/>
        </w:rPr>
        <w:t xml:space="preserve"> </w:t>
      </w:r>
      <w:r>
        <w:rPr>
          <w:rFonts w:ascii="Times New Roman" w:hAnsi="Times New Roman" w:cs="Times New Roman"/>
          <w:color w:val="2B2B2B"/>
          <w:w w:val="105"/>
          <w:sz w:val="23"/>
          <w:szCs w:val="23"/>
        </w:rPr>
        <w:t>a</w:t>
      </w:r>
      <w:r>
        <w:rPr>
          <w:rFonts w:ascii="Times New Roman" w:hAnsi="Times New Roman" w:cs="Times New Roman"/>
          <w:color w:val="2B2B2B"/>
          <w:spacing w:val="-21"/>
          <w:w w:val="105"/>
          <w:sz w:val="23"/>
          <w:szCs w:val="23"/>
        </w:rPr>
        <w:t xml:space="preserve"> </w:t>
      </w:r>
      <w:r>
        <w:rPr>
          <w:rFonts w:ascii="Times New Roman" w:hAnsi="Times New Roman" w:cs="Times New Roman"/>
          <w:color w:val="2B2B2B"/>
          <w:w w:val="105"/>
          <w:sz w:val="23"/>
          <w:szCs w:val="23"/>
        </w:rPr>
        <w:t>more</w:t>
      </w:r>
      <w:r>
        <w:rPr>
          <w:rFonts w:ascii="Times New Roman" w:hAnsi="Times New Roman" w:cs="Times New Roman"/>
          <w:color w:val="2B2B2B"/>
          <w:spacing w:val="-13"/>
          <w:w w:val="105"/>
          <w:sz w:val="23"/>
          <w:szCs w:val="23"/>
        </w:rPr>
        <w:t xml:space="preserve"> </w:t>
      </w:r>
      <w:r>
        <w:rPr>
          <w:rFonts w:ascii="Times New Roman" w:hAnsi="Times New Roman" w:cs="Times New Roman"/>
          <w:color w:val="2B2B2B"/>
          <w:w w:val="105"/>
          <w:sz w:val="23"/>
          <w:szCs w:val="23"/>
        </w:rPr>
        <w:t>critical</w:t>
      </w:r>
      <w:r>
        <w:rPr>
          <w:rFonts w:ascii="Times New Roman" w:hAnsi="Times New Roman" w:cs="Times New Roman"/>
          <w:color w:val="2B2B2B"/>
          <w:spacing w:val="-20"/>
          <w:w w:val="105"/>
          <w:sz w:val="23"/>
          <w:szCs w:val="23"/>
        </w:rPr>
        <w:t xml:space="preserve"> </w:t>
      </w:r>
      <w:r>
        <w:rPr>
          <w:rFonts w:ascii="Times New Roman" w:hAnsi="Times New Roman" w:cs="Times New Roman"/>
          <w:color w:val="2B2B2B"/>
          <w:w w:val="105"/>
          <w:sz w:val="23"/>
          <w:szCs w:val="23"/>
        </w:rPr>
        <w:t>time.</w:t>
      </w:r>
      <w:r>
        <w:rPr>
          <w:rFonts w:ascii="Times New Roman" w:hAnsi="Times New Roman" w:cs="Times New Roman"/>
          <w:color w:val="2B2B2B"/>
          <w:spacing w:val="-12"/>
          <w:w w:val="105"/>
          <w:sz w:val="23"/>
          <w:szCs w:val="23"/>
        </w:rPr>
        <w:t xml:space="preserve"> </w:t>
      </w:r>
      <w:r>
        <w:rPr>
          <w:rFonts w:ascii="Times New Roman" w:hAnsi="Times New Roman" w:cs="Times New Roman"/>
          <w:color w:val="2B2B2B"/>
          <w:w w:val="105"/>
          <w:sz w:val="23"/>
          <w:szCs w:val="23"/>
        </w:rPr>
        <w:t>At</w:t>
      </w:r>
      <w:r>
        <w:rPr>
          <w:rFonts w:ascii="Times New Roman" w:hAnsi="Times New Roman" w:cs="Times New Roman"/>
          <w:color w:val="2B2B2B"/>
          <w:spacing w:val="-9"/>
          <w:w w:val="105"/>
          <w:sz w:val="23"/>
          <w:szCs w:val="23"/>
        </w:rPr>
        <w:t xml:space="preserve"> </w:t>
      </w:r>
      <w:r>
        <w:rPr>
          <w:rFonts w:ascii="Times New Roman" w:hAnsi="Times New Roman" w:cs="Times New Roman"/>
          <w:color w:val="3F3F3F"/>
          <w:w w:val="105"/>
          <w:sz w:val="23"/>
          <w:szCs w:val="23"/>
        </w:rPr>
        <w:t>over</w:t>
      </w:r>
      <w:r>
        <w:rPr>
          <w:rFonts w:ascii="Times New Roman" w:hAnsi="Times New Roman" w:cs="Times New Roman"/>
          <w:color w:val="3F3F3F"/>
          <w:spacing w:val="-13"/>
          <w:w w:val="105"/>
          <w:sz w:val="23"/>
          <w:szCs w:val="23"/>
        </w:rPr>
        <w:t xml:space="preserve"> </w:t>
      </w:r>
      <w:r>
        <w:rPr>
          <w:rFonts w:ascii="Times New Roman" w:hAnsi="Times New Roman" w:cs="Times New Roman"/>
          <w:color w:val="2B2B2B"/>
          <w:w w:val="105"/>
          <w:sz w:val="23"/>
          <w:szCs w:val="23"/>
        </w:rPr>
        <w:t>$16B</w:t>
      </w:r>
      <w:r>
        <w:rPr>
          <w:rFonts w:ascii="Times New Roman" w:hAnsi="Times New Roman" w:cs="Times New Roman"/>
          <w:color w:val="2B2B2B"/>
          <w:spacing w:val="-26"/>
          <w:w w:val="105"/>
          <w:sz w:val="23"/>
          <w:szCs w:val="23"/>
        </w:rPr>
        <w:t xml:space="preserve"> </w:t>
      </w:r>
      <w:r>
        <w:rPr>
          <w:rFonts w:ascii="Times New Roman" w:hAnsi="Times New Roman" w:cs="Times New Roman"/>
          <w:color w:val="2B2B2B"/>
          <w:w w:val="105"/>
          <w:sz w:val="23"/>
          <w:szCs w:val="23"/>
        </w:rPr>
        <w:t>in</w:t>
      </w:r>
      <w:r>
        <w:rPr>
          <w:rFonts w:ascii="Times New Roman" w:hAnsi="Times New Roman" w:cs="Times New Roman"/>
          <w:color w:val="2B2B2B"/>
          <w:spacing w:val="-16"/>
          <w:w w:val="105"/>
          <w:sz w:val="23"/>
          <w:szCs w:val="23"/>
        </w:rPr>
        <w:t xml:space="preserve"> </w:t>
      </w:r>
      <w:r>
        <w:rPr>
          <w:rFonts w:ascii="Times New Roman" w:hAnsi="Times New Roman" w:cs="Times New Roman"/>
          <w:color w:val="2B2B2B"/>
          <w:w w:val="105"/>
          <w:sz w:val="23"/>
          <w:szCs w:val="23"/>
        </w:rPr>
        <w:t xml:space="preserve">annual </w:t>
      </w:r>
      <w:r>
        <w:rPr>
          <w:rFonts w:ascii="Times New Roman" w:hAnsi="Times New Roman" w:cs="Times New Roman"/>
          <w:color w:val="3F3F3F"/>
          <w:w w:val="105"/>
          <w:sz w:val="23"/>
          <w:szCs w:val="23"/>
        </w:rPr>
        <w:t xml:space="preserve">spending </w:t>
      </w:r>
      <w:r>
        <w:rPr>
          <w:rFonts w:ascii="Times New Roman" w:hAnsi="Times New Roman" w:cs="Times New Roman"/>
          <w:color w:val="3F3F3F"/>
          <w:spacing w:val="2"/>
          <w:w w:val="105"/>
          <w:sz w:val="23"/>
          <w:szCs w:val="23"/>
        </w:rPr>
        <w:t>-</w:t>
      </w:r>
      <w:r>
        <w:rPr>
          <w:rFonts w:ascii="Times New Roman" w:hAnsi="Times New Roman" w:cs="Times New Roman"/>
          <w:color w:val="2B2B2B"/>
          <w:spacing w:val="2"/>
          <w:w w:val="105"/>
          <w:sz w:val="23"/>
          <w:szCs w:val="23"/>
        </w:rPr>
        <w:t xml:space="preserve">and </w:t>
      </w:r>
      <w:r>
        <w:rPr>
          <w:rFonts w:ascii="Times New Roman" w:hAnsi="Times New Roman" w:cs="Times New Roman"/>
          <w:color w:val="2B2B2B"/>
          <w:w w:val="105"/>
          <w:sz w:val="23"/>
          <w:szCs w:val="23"/>
        </w:rPr>
        <w:t xml:space="preserve">now the State's largest payer </w:t>
      </w:r>
      <w:r>
        <w:rPr>
          <w:rFonts w:ascii="Times New Roman" w:hAnsi="Times New Roman" w:cs="Times New Roman"/>
          <w:color w:val="3F3F3F"/>
          <w:w w:val="105"/>
          <w:sz w:val="23"/>
          <w:szCs w:val="23"/>
        </w:rPr>
        <w:t xml:space="preserve">with </w:t>
      </w:r>
      <w:r>
        <w:rPr>
          <w:rFonts w:ascii="Times New Roman" w:hAnsi="Times New Roman" w:cs="Times New Roman"/>
          <w:color w:val="2B2B2B"/>
          <w:w w:val="105"/>
          <w:sz w:val="23"/>
          <w:szCs w:val="23"/>
        </w:rPr>
        <w:t xml:space="preserve">1.8 million </w:t>
      </w:r>
      <w:r>
        <w:rPr>
          <w:rFonts w:ascii="Times New Roman" w:hAnsi="Times New Roman" w:cs="Times New Roman"/>
          <w:color w:val="2B2B2B"/>
          <w:spacing w:val="3"/>
          <w:w w:val="105"/>
          <w:sz w:val="23"/>
          <w:szCs w:val="23"/>
        </w:rPr>
        <w:t>member</w:t>
      </w:r>
      <w:r>
        <w:rPr>
          <w:rFonts w:ascii="Times New Roman" w:hAnsi="Times New Roman" w:cs="Times New Roman"/>
          <w:color w:val="565456"/>
          <w:spacing w:val="3"/>
          <w:w w:val="105"/>
          <w:sz w:val="23"/>
          <w:szCs w:val="23"/>
        </w:rPr>
        <w:t xml:space="preserve">s- </w:t>
      </w:r>
      <w:r>
        <w:rPr>
          <w:rFonts w:ascii="Times New Roman" w:hAnsi="Times New Roman" w:cs="Times New Roman"/>
          <w:color w:val="2B2B2B"/>
          <w:w w:val="105"/>
          <w:sz w:val="23"/>
          <w:szCs w:val="23"/>
        </w:rPr>
        <w:t>MassHealth provides coverage</w:t>
      </w:r>
      <w:r>
        <w:rPr>
          <w:rFonts w:ascii="Times New Roman" w:hAnsi="Times New Roman" w:cs="Times New Roman"/>
          <w:color w:val="2B2B2B"/>
          <w:spacing w:val="-9"/>
          <w:w w:val="105"/>
          <w:sz w:val="23"/>
          <w:szCs w:val="23"/>
        </w:rPr>
        <w:t xml:space="preserve"> </w:t>
      </w:r>
      <w:r>
        <w:rPr>
          <w:rFonts w:ascii="Times New Roman" w:hAnsi="Times New Roman" w:cs="Times New Roman"/>
          <w:color w:val="2B2B2B"/>
          <w:w w:val="105"/>
          <w:sz w:val="23"/>
          <w:szCs w:val="23"/>
        </w:rPr>
        <w:t>to</w:t>
      </w:r>
      <w:r>
        <w:rPr>
          <w:rFonts w:ascii="Times New Roman" w:hAnsi="Times New Roman" w:cs="Times New Roman"/>
          <w:color w:val="2B2B2B"/>
          <w:spacing w:val="-7"/>
          <w:w w:val="105"/>
          <w:sz w:val="23"/>
          <w:szCs w:val="23"/>
        </w:rPr>
        <w:t xml:space="preserve"> </w:t>
      </w:r>
      <w:r>
        <w:rPr>
          <w:rFonts w:ascii="Times New Roman" w:hAnsi="Times New Roman" w:cs="Times New Roman"/>
          <w:color w:val="2B2B2B"/>
          <w:w w:val="105"/>
          <w:sz w:val="23"/>
          <w:szCs w:val="23"/>
        </w:rPr>
        <w:t>about</w:t>
      </w:r>
      <w:r>
        <w:rPr>
          <w:rFonts w:ascii="Times New Roman" w:hAnsi="Times New Roman" w:cs="Times New Roman"/>
          <w:color w:val="2B2B2B"/>
          <w:spacing w:val="-13"/>
          <w:w w:val="105"/>
          <w:sz w:val="23"/>
          <w:szCs w:val="23"/>
        </w:rPr>
        <w:t xml:space="preserve"> </w:t>
      </w:r>
      <w:r>
        <w:rPr>
          <w:rFonts w:ascii="Times New Roman" w:hAnsi="Times New Roman" w:cs="Times New Roman"/>
          <w:color w:val="2B2B2B"/>
          <w:spacing w:val="2"/>
          <w:w w:val="105"/>
          <w:sz w:val="23"/>
          <w:szCs w:val="23"/>
        </w:rPr>
        <w:t>25%</w:t>
      </w:r>
      <w:r>
        <w:rPr>
          <w:rFonts w:ascii="Times New Roman" w:hAnsi="Times New Roman" w:cs="Times New Roman"/>
          <w:color w:val="2B2B2B"/>
          <w:spacing w:val="-5"/>
          <w:w w:val="105"/>
          <w:sz w:val="23"/>
          <w:szCs w:val="23"/>
        </w:rPr>
        <w:t xml:space="preserve"> </w:t>
      </w:r>
      <w:r>
        <w:rPr>
          <w:rFonts w:ascii="Times New Roman" w:hAnsi="Times New Roman" w:cs="Times New Roman"/>
          <w:color w:val="2B2B2B"/>
          <w:w w:val="105"/>
          <w:sz w:val="23"/>
          <w:szCs w:val="23"/>
        </w:rPr>
        <w:t>of</w:t>
      </w:r>
      <w:r>
        <w:rPr>
          <w:rFonts w:ascii="Times New Roman" w:hAnsi="Times New Roman" w:cs="Times New Roman"/>
          <w:color w:val="2B2B2B"/>
          <w:spacing w:val="-29"/>
          <w:w w:val="105"/>
          <w:sz w:val="23"/>
          <w:szCs w:val="23"/>
        </w:rPr>
        <w:t xml:space="preserve"> </w:t>
      </w:r>
      <w:r>
        <w:rPr>
          <w:rFonts w:ascii="Times New Roman" w:hAnsi="Times New Roman" w:cs="Times New Roman"/>
          <w:color w:val="2B2B2B"/>
          <w:w w:val="105"/>
          <w:sz w:val="23"/>
          <w:szCs w:val="23"/>
        </w:rPr>
        <w:t>the</w:t>
      </w:r>
      <w:r>
        <w:rPr>
          <w:rFonts w:ascii="Times New Roman" w:hAnsi="Times New Roman" w:cs="Times New Roman"/>
          <w:color w:val="2B2B2B"/>
          <w:spacing w:val="-5"/>
          <w:w w:val="105"/>
          <w:sz w:val="23"/>
          <w:szCs w:val="23"/>
        </w:rPr>
        <w:t xml:space="preserve"> </w:t>
      </w:r>
      <w:proofErr w:type="spellStart"/>
      <w:r>
        <w:rPr>
          <w:rFonts w:ascii="Times New Roman" w:hAnsi="Times New Roman" w:cs="Times New Roman"/>
          <w:color w:val="2B2B2B"/>
          <w:w w:val="105"/>
          <w:sz w:val="23"/>
          <w:szCs w:val="23"/>
        </w:rPr>
        <w:t>Conunonwealth's</w:t>
      </w:r>
      <w:proofErr w:type="spellEnd"/>
      <w:r>
        <w:rPr>
          <w:rFonts w:ascii="Times New Roman" w:hAnsi="Times New Roman" w:cs="Times New Roman"/>
          <w:color w:val="2B2B2B"/>
          <w:spacing w:val="-8"/>
          <w:w w:val="105"/>
          <w:sz w:val="23"/>
          <w:szCs w:val="23"/>
        </w:rPr>
        <w:t xml:space="preserve"> </w:t>
      </w:r>
      <w:r>
        <w:rPr>
          <w:rFonts w:ascii="Times New Roman" w:hAnsi="Times New Roman" w:cs="Times New Roman"/>
          <w:color w:val="2B2B2B"/>
          <w:w w:val="105"/>
          <w:sz w:val="23"/>
          <w:szCs w:val="23"/>
        </w:rPr>
        <w:t>residents</w:t>
      </w:r>
      <w:r>
        <w:rPr>
          <w:rFonts w:ascii="Times New Roman" w:hAnsi="Times New Roman" w:cs="Times New Roman"/>
          <w:color w:val="2B2B2B"/>
          <w:spacing w:val="3"/>
          <w:w w:val="105"/>
          <w:sz w:val="23"/>
          <w:szCs w:val="23"/>
        </w:rPr>
        <w:t xml:space="preserve"> </w:t>
      </w:r>
      <w:r>
        <w:rPr>
          <w:rFonts w:ascii="Times New Roman" w:hAnsi="Times New Roman" w:cs="Times New Roman"/>
          <w:color w:val="2B2B2B"/>
          <w:w w:val="105"/>
          <w:sz w:val="23"/>
          <w:szCs w:val="23"/>
        </w:rPr>
        <w:t>and</w:t>
      </w:r>
      <w:r>
        <w:rPr>
          <w:rFonts w:ascii="Times New Roman" w:hAnsi="Times New Roman" w:cs="Times New Roman"/>
          <w:color w:val="2B2B2B"/>
          <w:spacing w:val="-14"/>
          <w:w w:val="105"/>
          <w:sz w:val="23"/>
          <w:szCs w:val="23"/>
        </w:rPr>
        <w:t xml:space="preserve"> </w:t>
      </w:r>
      <w:r>
        <w:rPr>
          <w:rFonts w:ascii="Times New Roman" w:hAnsi="Times New Roman" w:cs="Times New Roman"/>
          <w:color w:val="1C1A1A"/>
          <w:w w:val="105"/>
          <w:sz w:val="23"/>
          <w:szCs w:val="23"/>
        </w:rPr>
        <w:t>makes</w:t>
      </w:r>
      <w:r>
        <w:rPr>
          <w:rFonts w:ascii="Times New Roman" w:hAnsi="Times New Roman" w:cs="Times New Roman"/>
          <w:color w:val="1C1A1A"/>
          <w:spacing w:val="-4"/>
          <w:w w:val="105"/>
          <w:sz w:val="23"/>
          <w:szCs w:val="23"/>
        </w:rPr>
        <w:t xml:space="preserve"> </w:t>
      </w:r>
      <w:r>
        <w:rPr>
          <w:rFonts w:ascii="Times New Roman" w:hAnsi="Times New Roman" w:cs="Times New Roman"/>
          <w:color w:val="2B2B2B"/>
          <w:w w:val="105"/>
          <w:sz w:val="23"/>
          <w:szCs w:val="23"/>
        </w:rPr>
        <w:t>up</w:t>
      </w:r>
      <w:r>
        <w:rPr>
          <w:rFonts w:ascii="Times New Roman" w:hAnsi="Times New Roman" w:cs="Times New Roman"/>
          <w:color w:val="2B2B2B"/>
          <w:spacing w:val="-12"/>
          <w:w w:val="105"/>
          <w:sz w:val="23"/>
          <w:szCs w:val="23"/>
        </w:rPr>
        <w:t xml:space="preserve"> </w:t>
      </w:r>
      <w:r>
        <w:rPr>
          <w:rFonts w:ascii="Times New Roman" w:hAnsi="Times New Roman" w:cs="Times New Roman"/>
          <w:color w:val="3F3F3F"/>
          <w:w w:val="105"/>
          <w:sz w:val="23"/>
          <w:szCs w:val="23"/>
        </w:rPr>
        <w:t>a</w:t>
      </w:r>
      <w:r>
        <w:rPr>
          <w:rFonts w:ascii="Times New Roman" w:hAnsi="Times New Roman" w:cs="Times New Roman"/>
          <w:color w:val="1C1A1A"/>
          <w:w w:val="105"/>
          <w:sz w:val="23"/>
          <w:szCs w:val="23"/>
        </w:rPr>
        <w:t>lm</w:t>
      </w:r>
      <w:r>
        <w:rPr>
          <w:rFonts w:ascii="Times New Roman" w:hAnsi="Times New Roman" w:cs="Times New Roman"/>
          <w:color w:val="3F3F3F"/>
          <w:w w:val="105"/>
          <w:sz w:val="23"/>
          <w:szCs w:val="23"/>
        </w:rPr>
        <w:t>ost</w:t>
      </w:r>
      <w:r>
        <w:rPr>
          <w:rFonts w:ascii="Times New Roman" w:hAnsi="Times New Roman" w:cs="Times New Roman"/>
          <w:color w:val="3F3F3F"/>
          <w:spacing w:val="-21"/>
          <w:w w:val="105"/>
          <w:sz w:val="23"/>
          <w:szCs w:val="23"/>
        </w:rPr>
        <w:t xml:space="preserve"> </w:t>
      </w:r>
      <w:r>
        <w:rPr>
          <w:rFonts w:ascii="Times New Roman" w:hAnsi="Times New Roman" w:cs="Times New Roman"/>
          <w:color w:val="2B2B2B"/>
          <w:w w:val="105"/>
          <w:sz w:val="23"/>
          <w:szCs w:val="23"/>
        </w:rPr>
        <w:t>half</w:t>
      </w:r>
      <w:r>
        <w:rPr>
          <w:rFonts w:ascii="Times New Roman" w:hAnsi="Times New Roman" w:cs="Times New Roman"/>
          <w:color w:val="2B2B2B"/>
          <w:spacing w:val="-14"/>
          <w:w w:val="105"/>
          <w:sz w:val="23"/>
          <w:szCs w:val="23"/>
        </w:rPr>
        <w:t xml:space="preserve"> </w:t>
      </w:r>
      <w:r>
        <w:rPr>
          <w:rFonts w:ascii="Times New Roman" w:hAnsi="Times New Roman" w:cs="Times New Roman"/>
          <w:color w:val="2B2B2B"/>
          <w:w w:val="105"/>
          <w:sz w:val="23"/>
          <w:szCs w:val="23"/>
        </w:rPr>
        <w:t>of</w:t>
      </w:r>
      <w:r>
        <w:rPr>
          <w:rFonts w:ascii="Times New Roman" w:hAnsi="Times New Roman" w:cs="Times New Roman"/>
          <w:color w:val="2B2B2B"/>
          <w:spacing w:val="-15"/>
          <w:w w:val="105"/>
          <w:sz w:val="23"/>
          <w:szCs w:val="23"/>
        </w:rPr>
        <w:t xml:space="preserve"> </w:t>
      </w:r>
      <w:r>
        <w:rPr>
          <w:rFonts w:ascii="Times New Roman" w:hAnsi="Times New Roman" w:cs="Times New Roman"/>
          <w:color w:val="2B2B2B"/>
          <w:w w:val="105"/>
          <w:sz w:val="23"/>
          <w:szCs w:val="23"/>
        </w:rPr>
        <w:t>the</w:t>
      </w:r>
      <w:r>
        <w:rPr>
          <w:rFonts w:ascii="Times New Roman" w:hAnsi="Times New Roman" w:cs="Times New Roman"/>
          <w:color w:val="2B2B2B"/>
          <w:spacing w:val="-5"/>
          <w:w w:val="105"/>
          <w:sz w:val="23"/>
          <w:szCs w:val="23"/>
        </w:rPr>
        <w:t xml:space="preserve"> </w:t>
      </w:r>
      <w:r>
        <w:rPr>
          <w:rFonts w:ascii="Times New Roman" w:hAnsi="Times New Roman" w:cs="Times New Roman"/>
          <w:color w:val="2B2B2B"/>
          <w:w w:val="105"/>
          <w:sz w:val="23"/>
          <w:szCs w:val="23"/>
        </w:rPr>
        <w:t xml:space="preserve">State's </w:t>
      </w:r>
      <w:r>
        <w:rPr>
          <w:rFonts w:ascii="Times New Roman" w:hAnsi="Times New Roman" w:cs="Times New Roman"/>
          <w:color w:val="2B2B2B"/>
          <w:sz w:val="23"/>
          <w:szCs w:val="23"/>
        </w:rPr>
        <w:t>annual</w:t>
      </w:r>
      <w:r>
        <w:rPr>
          <w:rFonts w:ascii="Times New Roman" w:hAnsi="Times New Roman" w:cs="Times New Roman"/>
          <w:color w:val="2B2B2B"/>
          <w:spacing w:val="39"/>
          <w:sz w:val="23"/>
          <w:szCs w:val="23"/>
        </w:rPr>
        <w:t xml:space="preserve"> </w:t>
      </w:r>
      <w:proofErr w:type="spellStart"/>
      <w:r>
        <w:rPr>
          <w:rFonts w:ascii="Times New Roman" w:hAnsi="Times New Roman" w:cs="Times New Roman"/>
          <w:color w:val="2B2B2B"/>
          <w:spacing w:val="3"/>
          <w:sz w:val="23"/>
          <w:szCs w:val="23"/>
        </w:rPr>
        <w:t>operatingbudget</w:t>
      </w:r>
      <w:proofErr w:type="spellEnd"/>
      <w:r>
        <w:rPr>
          <w:rFonts w:ascii="Times New Roman" w:hAnsi="Times New Roman" w:cs="Times New Roman"/>
          <w:color w:val="2B2B2B"/>
          <w:spacing w:val="3"/>
          <w:sz w:val="23"/>
          <w:szCs w:val="23"/>
        </w:rPr>
        <w:t>.</w:t>
      </w:r>
    </w:p>
    <w:p w:rsidR="002C5025" w:rsidRDefault="002C5025">
      <w:pPr>
        <w:pStyle w:val="BodyText"/>
        <w:kinsoku w:val="0"/>
        <w:overflowPunct w:val="0"/>
        <w:spacing w:before="1"/>
        <w:rPr>
          <w:rFonts w:ascii="Times New Roman" w:hAnsi="Times New Roman" w:cs="Times New Roman"/>
          <w:sz w:val="24"/>
          <w:szCs w:val="24"/>
        </w:rPr>
      </w:pPr>
    </w:p>
    <w:p w:rsidR="002C5025" w:rsidRDefault="002C5025">
      <w:pPr>
        <w:pStyle w:val="BodyText"/>
        <w:kinsoku w:val="0"/>
        <w:overflowPunct w:val="0"/>
        <w:spacing w:line="249" w:lineRule="auto"/>
        <w:ind w:left="117" w:right="1817" w:firstLine="8"/>
        <w:rPr>
          <w:rFonts w:ascii="Times New Roman" w:hAnsi="Times New Roman" w:cs="Times New Roman"/>
          <w:color w:val="2B2B2B"/>
          <w:w w:val="105"/>
          <w:sz w:val="23"/>
          <w:szCs w:val="23"/>
        </w:rPr>
      </w:pPr>
      <w:r>
        <w:rPr>
          <w:rFonts w:ascii="Times New Roman" w:hAnsi="Times New Roman" w:cs="Times New Roman"/>
          <w:color w:val="2B2B2B"/>
          <w:w w:val="105"/>
          <w:sz w:val="23"/>
          <w:szCs w:val="23"/>
        </w:rPr>
        <w:t xml:space="preserve">Steward </w:t>
      </w:r>
      <w:r>
        <w:rPr>
          <w:rFonts w:ascii="Times New Roman" w:hAnsi="Times New Roman" w:cs="Times New Roman"/>
          <w:color w:val="3F3F3F"/>
          <w:w w:val="105"/>
          <w:sz w:val="23"/>
          <w:szCs w:val="23"/>
        </w:rPr>
        <w:t xml:space="preserve">was </w:t>
      </w:r>
      <w:r>
        <w:rPr>
          <w:rFonts w:ascii="Times New Roman" w:hAnsi="Times New Roman" w:cs="Times New Roman"/>
          <w:color w:val="2B2B2B"/>
          <w:w w:val="105"/>
          <w:sz w:val="23"/>
          <w:szCs w:val="23"/>
        </w:rPr>
        <w:t>one of the first providers in Ma</w:t>
      </w:r>
      <w:r>
        <w:rPr>
          <w:rFonts w:ascii="Times New Roman" w:hAnsi="Times New Roman" w:cs="Times New Roman"/>
          <w:color w:val="565456"/>
          <w:w w:val="105"/>
          <w:sz w:val="23"/>
          <w:szCs w:val="23"/>
        </w:rPr>
        <w:t>ssa</w:t>
      </w:r>
      <w:r>
        <w:rPr>
          <w:rFonts w:ascii="Times New Roman" w:hAnsi="Times New Roman" w:cs="Times New Roman"/>
          <w:color w:val="2B2B2B"/>
          <w:w w:val="105"/>
          <w:sz w:val="23"/>
          <w:szCs w:val="23"/>
        </w:rPr>
        <w:t xml:space="preserve">chusetts to move away from </w:t>
      </w:r>
      <w:r>
        <w:rPr>
          <w:rFonts w:ascii="Times New Roman" w:hAnsi="Times New Roman" w:cs="Times New Roman"/>
          <w:color w:val="3F3F3F"/>
          <w:w w:val="105"/>
          <w:sz w:val="23"/>
          <w:szCs w:val="23"/>
        </w:rPr>
        <w:t>fee</w:t>
      </w:r>
      <w:r>
        <w:rPr>
          <w:rFonts w:ascii="Times New Roman" w:hAnsi="Times New Roman" w:cs="Times New Roman"/>
          <w:color w:val="1C1A1A"/>
          <w:w w:val="105"/>
          <w:sz w:val="23"/>
          <w:szCs w:val="23"/>
        </w:rPr>
        <w:t>-</w:t>
      </w:r>
      <w:r>
        <w:rPr>
          <w:rFonts w:ascii="Times New Roman" w:hAnsi="Times New Roman" w:cs="Times New Roman"/>
          <w:color w:val="3F3F3F"/>
          <w:w w:val="105"/>
          <w:sz w:val="23"/>
          <w:szCs w:val="23"/>
        </w:rPr>
        <w:t>for</w:t>
      </w:r>
      <w:r>
        <w:rPr>
          <w:rFonts w:ascii="Times New Roman" w:hAnsi="Times New Roman" w:cs="Times New Roman"/>
          <w:color w:val="1C1A1A"/>
          <w:w w:val="105"/>
          <w:sz w:val="23"/>
          <w:szCs w:val="23"/>
        </w:rPr>
        <w:t>-</w:t>
      </w:r>
      <w:r>
        <w:rPr>
          <w:rFonts w:ascii="Times New Roman" w:hAnsi="Times New Roman" w:cs="Times New Roman"/>
          <w:color w:val="3F3F3F"/>
          <w:w w:val="105"/>
          <w:sz w:val="23"/>
          <w:szCs w:val="23"/>
        </w:rPr>
        <w:t xml:space="preserve">service </w:t>
      </w:r>
      <w:r>
        <w:rPr>
          <w:rFonts w:ascii="Times New Roman" w:hAnsi="Times New Roman" w:cs="Times New Roman"/>
          <w:color w:val="2B2B2B"/>
          <w:w w:val="105"/>
          <w:sz w:val="23"/>
          <w:szCs w:val="23"/>
        </w:rPr>
        <w:t>reimbursements</w:t>
      </w:r>
      <w:r>
        <w:rPr>
          <w:rFonts w:ascii="Times New Roman" w:hAnsi="Times New Roman" w:cs="Times New Roman"/>
          <w:color w:val="2B2B2B"/>
          <w:spacing w:val="-21"/>
          <w:w w:val="105"/>
          <w:sz w:val="23"/>
          <w:szCs w:val="23"/>
        </w:rPr>
        <w:t xml:space="preserve"> </w:t>
      </w:r>
      <w:r>
        <w:rPr>
          <w:rFonts w:ascii="Times New Roman" w:hAnsi="Times New Roman" w:cs="Times New Roman"/>
          <w:color w:val="2B2B2B"/>
          <w:w w:val="105"/>
          <w:sz w:val="23"/>
          <w:szCs w:val="23"/>
        </w:rPr>
        <w:t>and</w:t>
      </w:r>
      <w:r>
        <w:rPr>
          <w:rFonts w:ascii="Times New Roman" w:hAnsi="Times New Roman" w:cs="Times New Roman"/>
          <w:color w:val="2B2B2B"/>
          <w:spacing w:val="-30"/>
          <w:w w:val="105"/>
          <w:sz w:val="23"/>
          <w:szCs w:val="23"/>
        </w:rPr>
        <w:t xml:space="preserve"> </w:t>
      </w:r>
      <w:proofErr w:type="spellStart"/>
      <w:r>
        <w:rPr>
          <w:rFonts w:ascii="Times New Roman" w:hAnsi="Times New Roman" w:cs="Times New Roman"/>
          <w:color w:val="2B2B2B"/>
          <w:spacing w:val="3"/>
          <w:w w:val="105"/>
          <w:sz w:val="23"/>
          <w:szCs w:val="23"/>
        </w:rPr>
        <w:t>adoptvalue</w:t>
      </w:r>
      <w:proofErr w:type="spellEnd"/>
      <w:r>
        <w:rPr>
          <w:rFonts w:ascii="Times New Roman" w:hAnsi="Times New Roman" w:cs="Times New Roman"/>
          <w:color w:val="2B2B2B"/>
          <w:spacing w:val="3"/>
          <w:w w:val="105"/>
          <w:sz w:val="23"/>
          <w:szCs w:val="23"/>
        </w:rPr>
        <w:t>-based</w:t>
      </w:r>
      <w:r>
        <w:rPr>
          <w:rFonts w:ascii="Times New Roman" w:hAnsi="Times New Roman" w:cs="Times New Roman"/>
          <w:color w:val="2B2B2B"/>
          <w:spacing w:val="-21"/>
          <w:w w:val="105"/>
          <w:sz w:val="23"/>
          <w:szCs w:val="23"/>
        </w:rPr>
        <w:t xml:space="preserve"> </w:t>
      </w:r>
      <w:r>
        <w:rPr>
          <w:rFonts w:ascii="Times New Roman" w:hAnsi="Times New Roman" w:cs="Times New Roman"/>
          <w:color w:val="3F3F3F"/>
          <w:w w:val="105"/>
          <w:sz w:val="23"/>
          <w:szCs w:val="23"/>
        </w:rPr>
        <w:t>contracts</w:t>
      </w:r>
      <w:r>
        <w:rPr>
          <w:rFonts w:ascii="Times New Roman" w:hAnsi="Times New Roman" w:cs="Times New Roman"/>
          <w:color w:val="3F3F3F"/>
          <w:spacing w:val="-29"/>
          <w:w w:val="105"/>
          <w:sz w:val="23"/>
          <w:szCs w:val="23"/>
        </w:rPr>
        <w:t xml:space="preserve"> </w:t>
      </w:r>
      <w:r>
        <w:rPr>
          <w:rFonts w:ascii="Times New Roman" w:hAnsi="Times New Roman" w:cs="Times New Roman"/>
          <w:color w:val="2B2B2B"/>
          <w:w w:val="105"/>
          <w:sz w:val="23"/>
          <w:szCs w:val="23"/>
        </w:rPr>
        <w:t>with</w:t>
      </w:r>
      <w:r>
        <w:rPr>
          <w:rFonts w:ascii="Times New Roman" w:hAnsi="Times New Roman" w:cs="Times New Roman"/>
          <w:color w:val="2B2B2B"/>
          <w:spacing w:val="-30"/>
          <w:w w:val="105"/>
          <w:sz w:val="23"/>
          <w:szCs w:val="23"/>
        </w:rPr>
        <w:t xml:space="preserve"> </w:t>
      </w:r>
      <w:r>
        <w:rPr>
          <w:rFonts w:ascii="Times New Roman" w:hAnsi="Times New Roman" w:cs="Times New Roman"/>
          <w:color w:val="2B2B2B"/>
          <w:w w:val="105"/>
          <w:sz w:val="23"/>
          <w:szCs w:val="23"/>
        </w:rPr>
        <w:t>commercial</w:t>
      </w:r>
      <w:r>
        <w:rPr>
          <w:rFonts w:ascii="Times New Roman" w:hAnsi="Times New Roman" w:cs="Times New Roman"/>
          <w:color w:val="2B2B2B"/>
          <w:spacing w:val="-34"/>
          <w:w w:val="105"/>
          <w:sz w:val="23"/>
          <w:szCs w:val="23"/>
        </w:rPr>
        <w:t xml:space="preserve"> </w:t>
      </w:r>
      <w:r>
        <w:rPr>
          <w:rFonts w:ascii="Times New Roman" w:hAnsi="Times New Roman" w:cs="Times New Roman"/>
          <w:color w:val="2B2B2B"/>
          <w:w w:val="105"/>
          <w:sz w:val="23"/>
          <w:szCs w:val="23"/>
        </w:rPr>
        <w:t>insurers,</w:t>
      </w:r>
      <w:r>
        <w:rPr>
          <w:rFonts w:ascii="Times New Roman" w:hAnsi="Times New Roman" w:cs="Times New Roman"/>
          <w:color w:val="2B2B2B"/>
          <w:spacing w:val="-35"/>
          <w:w w:val="105"/>
          <w:sz w:val="23"/>
          <w:szCs w:val="23"/>
        </w:rPr>
        <w:t xml:space="preserve"> </w:t>
      </w:r>
      <w:r>
        <w:rPr>
          <w:rFonts w:ascii="Times New Roman" w:hAnsi="Times New Roman" w:cs="Times New Roman"/>
          <w:color w:val="3F3F3F"/>
          <w:w w:val="105"/>
          <w:sz w:val="23"/>
          <w:szCs w:val="23"/>
        </w:rPr>
        <w:t>especially</w:t>
      </w:r>
      <w:r>
        <w:rPr>
          <w:rFonts w:ascii="Times New Roman" w:hAnsi="Times New Roman" w:cs="Times New Roman"/>
          <w:color w:val="3F3F3F"/>
          <w:spacing w:val="-30"/>
          <w:w w:val="105"/>
          <w:sz w:val="23"/>
          <w:szCs w:val="23"/>
        </w:rPr>
        <w:t xml:space="preserve"> </w:t>
      </w:r>
      <w:r>
        <w:rPr>
          <w:rFonts w:ascii="Times New Roman" w:hAnsi="Times New Roman" w:cs="Times New Roman"/>
          <w:color w:val="3F3F3F"/>
          <w:w w:val="105"/>
          <w:sz w:val="23"/>
          <w:szCs w:val="23"/>
        </w:rPr>
        <w:t xml:space="preserve">contracts </w:t>
      </w:r>
      <w:r>
        <w:rPr>
          <w:rFonts w:ascii="Times New Roman" w:hAnsi="Times New Roman" w:cs="Times New Roman"/>
          <w:color w:val="2B2B2B"/>
          <w:w w:val="105"/>
          <w:sz w:val="23"/>
          <w:szCs w:val="23"/>
        </w:rPr>
        <w:t xml:space="preserve">with </w:t>
      </w:r>
      <w:r>
        <w:rPr>
          <w:rFonts w:ascii="Times New Roman" w:hAnsi="Times New Roman" w:cs="Times New Roman"/>
          <w:color w:val="2B2B2B"/>
          <w:spacing w:val="2"/>
          <w:w w:val="105"/>
          <w:sz w:val="23"/>
          <w:szCs w:val="23"/>
        </w:rPr>
        <w:t xml:space="preserve">downside </w:t>
      </w:r>
      <w:r>
        <w:rPr>
          <w:rFonts w:ascii="Times New Roman" w:hAnsi="Times New Roman" w:cs="Times New Roman"/>
          <w:color w:val="2B2B2B"/>
          <w:w w:val="105"/>
          <w:sz w:val="23"/>
          <w:szCs w:val="23"/>
        </w:rPr>
        <w:t xml:space="preserve">risk. Steward </w:t>
      </w:r>
      <w:r>
        <w:rPr>
          <w:rFonts w:ascii="Times New Roman" w:hAnsi="Times New Roman" w:cs="Times New Roman"/>
          <w:color w:val="3F3F3F"/>
          <w:w w:val="105"/>
          <w:sz w:val="23"/>
          <w:szCs w:val="23"/>
        </w:rPr>
        <w:t xml:space="preserve">was also one of </w:t>
      </w:r>
      <w:r>
        <w:rPr>
          <w:rFonts w:ascii="Times New Roman" w:hAnsi="Times New Roman" w:cs="Times New Roman"/>
          <w:color w:val="2B2B2B"/>
          <w:w w:val="105"/>
          <w:sz w:val="23"/>
          <w:szCs w:val="23"/>
        </w:rPr>
        <w:t xml:space="preserve">the </w:t>
      </w:r>
      <w:r>
        <w:rPr>
          <w:rFonts w:ascii="Times New Roman" w:hAnsi="Times New Roman" w:cs="Times New Roman"/>
          <w:color w:val="3F3F3F"/>
          <w:w w:val="105"/>
          <w:sz w:val="23"/>
          <w:szCs w:val="23"/>
        </w:rPr>
        <w:t xml:space="preserve">first </w:t>
      </w:r>
      <w:r>
        <w:rPr>
          <w:rFonts w:ascii="Times New Roman" w:hAnsi="Times New Roman" w:cs="Times New Roman"/>
          <w:color w:val="2B2B2B"/>
          <w:w w:val="105"/>
          <w:sz w:val="23"/>
          <w:szCs w:val="23"/>
        </w:rPr>
        <w:t xml:space="preserve">providers in Massachusetts </w:t>
      </w:r>
      <w:r>
        <w:rPr>
          <w:rFonts w:ascii="Times New Roman" w:hAnsi="Times New Roman" w:cs="Times New Roman"/>
          <w:color w:val="3F3F3F"/>
          <w:w w:val="105"/>
          <w:sz w:val="23"/>
          <w:szCs w:val="23"/>
        </w:rPr>
        <w:t xml:space="preserve">to </w:t>
      </w:r>
      <w:r>
        <w:rPr>
          <w:rFonts w:ascii="Times New Roman" w:hAnsi="Times New Roman" w:cs="Times New Roman"/>
          <w:color w:val="2B2B2B"/>
          <w:w w:val="105"/>
          <w:sz w:val="23"/>
          <w:szCs w:val="23"/>
        </w:rPr>
        <w:t xml:space="preserve">publicly demonstrate that providers can deliver better care to patients at </w:t>
      </w:r>
      <w:r>
        <w:rPr>
          <w:rFonts w:ascii="Times New Roman" w:hAnsi="Times New Roman" w:cs="Times New Roman"/>
          <w:color w:val="1C1A1A"/>
          <w:w w:val="105"/>
          <w:sz w:val="23"/>
          <w:szCs w:val="23"/>
        </w:rPr>
        <w:t xml:space="preserve">lower </w:t>
      </w:r>
      <w:r>
        <w:rPr>
          <w:rFonts w:ascii="Times New Roman" w:hAnsi="Times New Roman" w:cs="Times New Roman"/>
          <w:color w:val="2B2B2B"/>
          <w:w w:val="105"/>
          <w:sz w:val="23"/>
          <w:szCs w:val="23"/>
        </w:rPr>
        <w:t xml:space="preserve">medical </w:t>
      </w:r>
      <w:r>
        <w:rPr>
          <w:rFonts w:ascii="Times New Roman" w:hAnsi="Times New Roman" w:cs="Times New Roman"/>
          <w:color w:val="3F3F3F"/>
          <w:w w:val="105"/>
          <w:sz w:val="23"/>
          <w:szCs w:val="23"/>
        </w:rPr>
        <w:t xml:space="preserve">cost over </w:t>
      </w:r>
      <w:r>
        <w:rPr>
          <w:rFonts w:ascii="Times New Roman" w:hAnsi="Times New Roman" w:cs="Times New Roman"/>
          <w:color w:val="2B2B2B"/>
          <w:w w:val="105"/>
          <w:sz w:val="23"/>
          <w:szCs w:val="23"/>
        </w:rPr>
        <w:t xml:space="preserve">time </w:t>
      </w:r>
      <w:r>
        <w:rPr>
          <w:rFonts w:ascii="Times New Roman" w:hAnsi="Times New Roman" w:cs="Times New Roman"/>
          <w:color w:val="3F3F3F"/>
          <w:w w:val="105"/>
          <w:sz w:val="23"/>
          <w:szCs w:val="23"/>
        </w:rPr>
        <w:t>when</w:t>
      </w:r>
      <w:r>
        <w:rPr>
          <w:rFonts w:ascii="Times New Roman" w:hAnsi="Times New Roman" w:cs="Times New Roman"/>
          <w:color w:val="3F3F3F"/>
          <w:spacing w:val="-21"/>
          <w:w w:val="105"/>
          <w:sz w:val="23"/>
          <w:szCs w:val="23"/>
        </w:rPr>
        <w:t xml:space="preserve"> </w:t>
      </w:r>
      <w:r>
        <w:rPr>
          <w:rFonts w:ascii="Times New Roman" w:hAnsi="Times New Roman" w:cs="Times New Roman"/>
          <w:color w:val="2B2B2B"/>
          <w:w w:val="105"/>
          <w:sz w:val="23"/>
          <w:szCs w:val="23"/>
        </w:rPr>
        <w:t>they</w:t>
      </w:r>
      <w:r>
        <w:rPr>
          <w:rFonts w:ascii="Times New Roman" w:hAnsi="Times New Roman" w:cs="Times New Roman"/>
          <w:color w:val="2B2B2B"/>
          <w:spacing w:val="-15"/>
          <w:w w:val="105"/>
          <w:sz w:val="23"/>
          <w:szCs w:val="23"/>
        </w:rPr>
        <w:t xml:space="preserve"> </w:t>
      </w:r>
      <w:r>
        <w:rPr>
          <w:rFonts w:ascii="Times New Roman" w:hAnsi="Times New Roman" w:cs="Times New Roman"/>
          <w:color w:val="2B2B2B"/>
          <w:w w:val="105"/>
          <w:sz w:val="23"/>
          <w:szCs w:val="23"/>
        </w:rPr>
        <w:t>are</w:t>
      </w:r>
      <w:r>
        <w:rPr>
          <w:rFonts w:ascii="Times New Roman" w:hAnsi="Times New Roman" w:cs="Times New Roman"/>
          <w:color w:val="2B2B2B"/>
          <w:spacing w:val="-33"/>
          <w:w w:val="105"/>
          <w:sz w:val="23"/>
          <w:szCs w:val="23"/>
        </w:rPr>
        <w:t xml:space="preserve"> </w:t>
      </w:r>
      <w:r>
        <w:rPr>
          <w:rFonts w:ascii="Times New Roman" w:hAnsi="Times New Roman" w:cs="Times New Roman"/>
          <w:color w:val="2B2B2B"/>
          <w:w w:val="105"/>
          <w:sz w:val="23"/>
          <w:szCs w:val="23"/>
        </w:rPr>
        <w:t>reimbursed</w:t>
      </w:r>
      <w:r>
        <w:rPr>
          <w:rFonts w:ascii="Times New Roman" w:hAnsi="Times New Roman" w:cs="Times New Roman"/>
          <w:color w:val="2B2B2B"/>
          <w:spacing w:val="-11"/>
          <w:w w:val="105"/>
          <w:sz w:val="23"/>
          <w:szCs w:val="23"/>
        </w:rPr>
        <w:t xml:space="preserve"> </w:t>
      </w:r>
      <w:r>
        <w:rPr>
          <w:rFonts w:ascii="Times New Roman" w:hAnsi="Times New Roman" w:cs="Times New Roman"/>
          <w:color w:val="2B2B2B"/>
          <w:w w:val="105"/>
          <w:sz w:val="23"/>
          <w:szCs w:val="23"/>
        </w:rPr>
        <w:t>under</w:t>
      </w:r>
      <w:r>
        <w:rPr>
          <w:rFonts w:ascii="Times New Roman" w:hAnsi="Times New Roman" w:cs="Times New Roman"/>
          <w:color w:val="2B2B2B"/>
          <w:spacing w:val="-16"/>
          <w:w w:val="105"/>
          <w:sz w:val="23"/>
          <w:szCs w:val="23"/>
        </w:rPr>
        <w:t xml:space="preserve"> </w:t>
      </w:r>
      <w:r>
        <w:rPr>
          <w:rFonts w:ascii="Times New Roman" w:hAnsi="Times New Roman" w:cs="Times New Roman"/>
          <w:color w:val="3F3F3F"/>
          <w:w w:val="105"/>
          <w:sz w:val="23"/>
          <w:szCs w:val="23"/>
        </w:rPr>
        <w:t>global,</w:t>
      </w:r>
      <w:r>
        <w:rPr>
          <w:rFonts w:ascii="Times New Roman" w:hAnsi="Times New Roman" w:cs="Times New Roman"/>
          <w:color w:val="3F3F3F"/>
          <w:spacing w:val="-28"/>
          <w:w w:val="105"/>
          <w:sz w:val="23"/>
          <w:szCs w:val="23"/>
        </w:rPr>
        <w:t xml:space="preserve"> </w:t>
      </w:r>
      <w:r>
        <w:rPr>
          <w:rFonts w:ascii="Times New Roman" w:hAnsi="Times New Roman" w:cs="Times New Roman"/>
          <w:color w:val="3F3F3F"/>
          <w:w w:val="105"/>
          <w:sz w:val="23"/>
          <w:szCs w:val="23"/>
        </w:rPr>
        <w:t>risk-based</w:t>
      </w:r>
      <w:r>
        <w:rPr>
          <w:rFonts w:ascii="Times New Roman" w:hAnsi="Times New Roman" w:cs="Times New Roman"/>
          <w:color w:val="3F3F3F"/>
          <w:spacing w:val="-21"/>
          <w:w w:val="105"/>
          <w:sz w:val="23"/>
          <w:szCs w:val="23"/>
        </w:rPr>
        <w:t xml:space="preserve"> </w:t>
      </w:r>
      <w:r>
        <w:rPr>
          <w:rFonts w:ascii="Times New Roman" w:hAnsi="Times New Roman" w:cs="Times New Roman"/>
          <w:color w:val="2B2B2B"/>
          <w:w w:val="105"/>
          <w:sz w:val="23"/>
          <w:szCs w:val="23"/>
        </w:rPr>
        <w:t>payments</w:t>
      </w:r>
      <w:r>
        <w:rPr>
          <w:rFonts w:ascii="Times New Roman" w:hAnsi="Times New Roman" w:cs="Times New Roman"/>
          <w:color w:val="2B2B2B"/>
          <w:spacing w:val="-17"/>
          <w:w w:val="105"/>
          <w:sz w:val="23"/>
          <w:szCs w:val="23"/>
        </w:rPr>
        <w:t xml:space="preserve"> </w:t>
      </w:r>
      <w:r>
        <w:rPr>
          <w:rFonts w:ascii="Times New Roman" w:hAnsi="Times New Roman" w:cs="Times New Roman"/>
          <w:color w:val="2B2B2B"/>
          <w:w w:val="105"/>
          <w:sz w:val="23"/>
          <w:szCs w:val="23"/>
        </w:rPr>
        <w:t>that</w:t>
      </w:r>
      <w:r>
        <w:rPr>
          <w:rFonts w:ascii="Times New Roman" w:hAnsi="Times New Roman" w:cs="Times New Roman"/>
          <w:color w:val="2B2B2B"/>
          <w:spacing w:val="-21"/>
          <w:w w:val="105"/>
          <w:sz w:val="23"/>
          <w:szCs w:val="23"/>
        </w:rPr>
        <w:t xml:space="preserve"> </w:t>
      </w:r>
      <w:r>
        <w:rPr>
          <w:rFonts w:ascii="Times New Roman" w:hAnsi="Times New Roman" w:cs="Times New Roman"/>
          <w:color w:val="2B2B2B"/>
          <w:w w:val="105"/>
          <w:sz w:val="23"/>
          <w:szCs w:val="23"/>
        </w:rPr>
        <w:t>align</w:t>
      </w:r>
      <w:r>
        <w:rPr>
          <w:rFonts w:ascii="Times New Roman" w:hAnsi="Times New Roman" w:cs="Times New Roman"/>
          <w:color w:val="2B2B2B"/>
          <w:spacing w:val="-27"/>
          <w:w w:val="105"/>
          <w:sz w:val="23"/>
          <w:szCs w:val="23"/>
        </w:rPr>
        <w:t xml:space="preserve"> </w:t>
      </w:r>
      <w:r>
        <w:rPr>
          <w:rFonts w:ascii="Times New Roman" w:hAnsi="Times New Roman" w:cs="Times New Roman"/>
          <w:color w:val="2B2B2B"/>
          <w:w w:val="105"/>
          <w:sz w:val="23"/>
          <w:szCs w:val="23"/>
        </w:rPr>
        <w:t>incentives</w:t>
      </w:r>
      <w:r>
        <w:rPr>
          <w:rFonts w:ascii="Times New Roman" w:hAnsi="Times New Roman" w:cs="Times New Roman"/>
          <w:color w:val="2B2B2B"/>
          <w:spacing w:val="-17"/>
          <w:w w:val="105"/>
          <w:sz w:val="23"/>
          <w:szCs w:val="23"/>
        </w:rPr>
        <w:t xml:space="preserve"> </w:t>
      </w:r>
      <w:r>
        <w:rPr>
          <w:rFonts w:ascii="Times New Roman" w:hAnsi="Times New Roman" w:cs="Times New Roman"/>
          <w:color w:val="3F3F3F"/>
          <w:w w:val="105"/>
          <w:sz w:val="23"/>
          <w:szCs w:val="23"/>
        </w:rPr>
        <w:t>for</w:t>
      </w:r>
      <w:r>
        <w:rPr>
          <w:rFonts w:ascii="Times New Roman" w:hAnsi="Times New Roman" w:cs="Times New Roman"/>
          <w:color w:val="3F3F3F"/>
          <w:spacing w:val="-27"/>
          <w:w w:val="105"/>
          <w:sz w:val="23"/>
          <w:szCs w:val="23"/>
        </w:rPr>
        <w:t xml:space="preserve"> </w:t>
      </w:r>
      <w:r>
        <w:rPr>
          <w:rFonts w:ascii="Times New Roman" w:hAnsi="Times New Roman" w:cs="Times New Roman"/>
          <w:color w:val="2B2B2B"/>
          <w:w w:val="105"/>
          <w:sz w:val="23"/>
          <w:szCs w:val="23"/>
        </w:rPr>
        <w:t xml:space="preserve">providers </w:t>
      </w:r>
      <w:r>
        <w:rPr>
          <w:rFonts w:ascii="Times New Roman" w:hAnsi="Times New Roman" w:cs="Times New Roman"/>
          <w:color w:val="3F3F3F"/>
          <w:w w:val="105"/>
          <w:sz w:val="23"/>
          <w:szCs w:val="23"/>
        </w:rPr>
        <w:t>across</w:t>
      </w:r>
      <w:r>
        <w:rPr>
          <w:rFonts w:ascii="Times New Roman" w:hAnsi="Times New Roman" w:cs="Times New Roman"/>
          <w:color w:val="3F3F3F"/>
          <w:spacing w:val="-28"/>
          <w:w w:val="105"/>
          <w:sz w:val="23"/>
          <w:szCs w:val="23"/>
        </w:rPr>
        <w:t xml:space="preserve"> </w:t>
      </w:r>
      <w:r>
        <w:rPr>
          <w:rFonts w:ascii="Times New Roman" w:hAnsi="Times New Roman" w:cs="Times New Roman"/>
          <w:color w:val="3F3F3F"/>
          <w:w w:val="105"/>
          <w:sz w:val="23"/>
          <w:szCs w:val="23"/>
        </w:rPr>
        <w:t>the</w:t>
      </w:r>
      <w:r>
        <w:rPr>
          <w:rFonts w:ascii="Times New Roman" w:hAnsi="Times New Roman" w:cs="Times New Roman"/>
          <w:color w:val="3F3F3F"/>
          <w:spacing w:val="-26"/>
          <w:w w:val="105"/>
          <w:sz w:val="23"/>
          <w:szCs w:val="23"/>
        </w:rPr>
        <w:t xml:space="preserve"> </w:t>
      </w:r>
      <w:r>
        <w:rPr>
          <w:rFonts w:ascii="Times New Roman" w:hAnsi="Times New Roman" w:cs="Times New Roman"/>
          <w:color w:val="2B2B2B"/>
          <w:w w:val="105"/>
          <w:sz w:val="23"/>
          <w:szCs w:val="23"/>
        </w:rPr>
        <w:t>care</w:t>
      </w:r>
      <w:r>
        <w:rPr>
          <w:rFonts w:ascii="Times New Roman" w:hAnsi="Times New Roman" w:cs="Times New Roman"/>
          <w:color w:val="2B2B2B"/>
          <w:spacing w:val="-20"/>
          <w:w w:val="105"/>
          <w:sz w:val="23"/>
          <w:szCs w:val="23"/>
        </w:rPr>
        <w:t xml:space="preserve"> </w:t>
      </w:r>
      <w:r>
        <w:rPr>
          <w:rFonts w:ascii="Times New Roman" w:hAnsi="Times New Roman" w:cs="Times New Roman"/>
          <w:color w:val="2B2B2B"/>
          <w:w w:val="105"/>
          <w:sz w:val="23"/>
          <w:szCs w:val="23"/>
        </w:rPr>
        <w:t>continuum.</w:t>
      </w:r>
    </w:p>
    <w:p w:rsidR="002C5025" w:rsidRDefault="002C5025">
      <w:pPr>
        <w:pStyle w:val="BodyText"/>
        <w:kinsoku w:val="0"/>
        <w:overflowPunct w:val="0"/>
        <w:spacing w:before="10"/>
        <w:rPr>
          <w:rFonts w:ascii="Times New Roman" w:hAnsi="Times New Roman" w:cs="Times New Roman"/>
          <w:sz w:val="23"/>
          <w:szCs w:val="23"/>
        </w:rPr>
      </w:pPr>
    </w:p>
    <w:p w:rsidR="002C5025" w:rsidRDefault="002C5025">
      <w:pPr>
        <w:pStyle w:val="BodyText"/>
        <w:kinsoku w:val="0"/>
        <w:overflowPunct w:val="0"/>
        <w:ind w:left="133" w:right="1817"/>
        <w:rPr>
          <w:rFonts w:ascii="Times New Roman" w:hAnsi="Times New Roman" w:cs="Times New Roman"/>
          <w:color w:val="2B2B2B"/>
          <w:w w:val="105"/>
          <w:sz w:val="23"/>
          <w:szCs w:val="23"/>
        </w:rPr>
      </w:pPr>
      <w:r>
        <w:rPr>
          <w:rFonts w:ascii="Times New Roman" w:hAnsi="Times New Roman" w:cs="Times New Roman"/>
          <w:color w:val="2B2B2B"/>
          <w:w w:val="105"/>
          <w:sz w:val="23"/>
          <w:szCs w:val="23"/>
        </w:rPr>
        <w:t>Steward fully supports the Section 1115 Request and its goals</w:t>
      </w:r>
      <w:r>
        <w:rPr>
          <w:rFonts w:ascii="Times New Roman" w:hAnsi="Times New Roman" w:cs="Times New Roman"/>
          <w:color w:val="565456"/>
          <w:w w:val="105"/>
          <w:sz w:val="23"/>
          <w:szCs w:val="23"/>
        </w:rPr>
        <w:t xml:space="preserve">, </w:t>
      </w:r>
      <w:r>
        <w:rPr>
          <w:rFonts w:ascii="Times New Roman" w:hAnsi="Times New Roman" w:cs="Times New Roman"/>
          <w:color w:val="3F3F3F"/>
          <w:w w:val="105"/>
          <w:sz w:val="23"/>
          <w:szCs w:val="23"/>
        </w:rPr>
        <w:t xml:space="preserve">which </w:t>
      </w:r>
      <w:r>
        <w:rPr>
          <w:rFonts w:ascii="Times New Roman" w:hAnsi="Times New Roman" w:cs="Times New Roman"/>
          <w:color w:val="2B2B2B"/>
          <w:w w:val="105"/>
          <w:sz w:val="23"/>
          <w:szCs w:val="23"/>
        </w:rPr>
        <w:t>include:</w:t>
      </w:r>
    </w:p>
    <w:p w:rsidR="002C5025" w:rsidRDefault="002C5025">
      <w:pPr>
        <w:pStyle w:val="ListParagraph"/>
        <w:numPr>
          <w:ilvl w:val="0"/>
          <w:numId w:val="19"/>
        </w:numPr>
        <w:tabs>
          <w:tab w:val="left" w:pos="847"/>
        </w:tabs>
        <w:kinsoku w:val="0"/>
        <w:overflowPunct w:val="0"/>
        <w:spacing w:before="6" w:line="252" w:lineRule="auto"/>
        <w:ind w:right="1608"/>
        <w:jc w:val="both"/>
        <w:rPr>
          <w:color w:val="565456"/>
          <w:sz w:val="23"/>
          <w:szCs w:val="23"/>
        </w:rPr>
      </w:pPr>
      <w:r>
        <w:rPr>
          <w:color w:val="3F3F3F"/>
          <w:sz w:val="23"/>
          <w:szCs w:val="23"/>
        </w:rPr>
        <w:t xml:space="preserve">Advance </w:t>
      </w:r>
      <w:r>
        <w:rPr>
          <w:color w:val="2B2B2B"/>
          <w:sz w:val="23"/>
          <w:szCs w:val="23"/>
        </w:rPr>
        <w:t xml:space="preserve">payment and delivery </w:t>
      </w:r>
      <w:r>
        <w:rPr>
          <w:color w:val="3F3F3F"/>
          <w:sz w:val="23"/>
          <w:szCs w:val="23"/>
        </w:rPr>
        <w:t xml:space="preserve">system reforms </w:t>
      </w:r>
      <w:r>
        <w:rPr>
          <w:color w:val="2B2B2B"/>
          <w:sz w:val="23"/>
          <w:szCs w:val="23"/>
        </w:rPr>
        <w:t xml:space="preserve">that </w:t>
      </w:r>
      <w:r>
        <w:rPr>
          <w:color w:val="1C1A1A"/>
          <w:sz w:val="23"/>
          <w:szCs w:val="23"/>
        </w:rPr>
        <w:t>promot</w:t>
      </w:r>
      <w:r>
        <w:rPr>
          <w:color w:val="3F3F3F"/>
          <w:sz w:val="23"/>
          <w:szCs w:val="23"/>
        </w:rPr>
        <w:t>e member</w:t>
      </w:r>
      <w:r>
        <w:rPr>
          <w:color w:val="1C1A1A"/>
          <w:sz w:val="23"/>
          <w:szCs w:val="23"/>
        </w:rPr>
        <w:t>-d</w:t>
      </w:r>
      <w:r>
        <w:rPr>
          <w:color w:val="3F3F3F"/>
          <w:sz w:val="23"/>
          <w:szCs w:val="23"/>
        </w:rPr>
        <w:t>riven accountab</w:t>
      </w:r>
      <w:r>
        <w:rPr>
          <w:color w:val="1C1A1A"/>
          <w:sz w:val="23"/>
          <w:szCs w:val="23"/>
        </w:rPr>
        <w:t xml:space="preserve">le </w:t>
      </w:r>
      <w:r>
        <w:rPr>
          <w:color w:val="2B2B2B"/>
          <w:sz w:val="23"/>
          <w:szCs w:val="23"/>
        </w:rPr>
        <w:t xml:space="preserve">care </w:t>
      </w:r>
      <w:r>
        <w:rPr>
          <w:color w:val="3F3F3F"/>
          <w:sz w:val="23"/>
          <w:szCs w:val="23"/>
        </w:rPr>
        <w:t xml:space="preserve">for </w:t>
      </w:r>
      <w:r>
        <w:rPr>
          <w:color w:val="2B2B2B"/>
          <w:sz w:val="23"/>
          <w:szCs w:val="23"/>
        </w:rPr>
        <w:t xml:space="preserve">MassHealth members that </w:t>
      </w:r>
      <w:r>
        <w:rPr>
          <w:color w:val="3F3F3F"/>
          <w:sz w:val="23"/>
          <w:szCs w:val="23"/>
        </w:rPr>
        <w:t xml:space="preserve">is </w:t>
      </w:r>
      <w:r>
        <w:rPr>
          <w:color w:val="2B2B2B"/>
          <w:sz w:val="23"/>
          <w:szCs w:val="23"/>
        </w:rPr>
        <w:t xml:space="preserve">coordinated and holds providers </w:t>
      </w:r>
      <w:r>
        <w:rPr>
          <w:color w:val="3F3F3F"/>
          <w:sz w:val="23"/>
          <w:szCs w:val="23"/>
        </w:rPr>
        <w:t xml:space="preserve">accountable </w:t>
      </w:r>
      <w:r>
        <w:rPr>
          <w:color w:val="2B2B2B"/>
          <w:sz w:val="23"/>
          <w:szCs w:val="23"/>
        </w:rPr>
        <w:t xml:space="preserve">for </w:t>
      </w:r>
      <w:r>
        <w:rPr>
          <w:color w:val="2B2B2B"/>
          <w:spacing w:val="-3"/>
          <w:sz w:val="23"/>
          <w:szCs w:val="23"/>
        </w:rPr>
        <w:t xml:space="preserve">the </w:t>
      </w:r>
      <w:r>
        <w:rPr>
          <w:color w:val="2B2B2B"/>
          <w:sz w:val="23"/>
          <w:szCs w:val="23"/>
        </w:rPr>
        <w:t xml:space="preserve">total cost </w:t>
      </w:r>
      <w:r>
        <w:rPr>
          <w:color w:val="3F3F3F"/>
          <w:sz w:val="23"/>
          <w:szCs w:val="23"/>
        </w:rPr>
        <w:t xml:space="preserve">and </w:t>
      </w:r>
      <w:r>
        <w:rPr>
          <w:color w:val="2B2B2B"/>
          <w:sz w:val="23"/>
          <w:szCs w:val="23"/>
        </w:rPr>
        <w:t xml:space="preserve">quality of </w:t>
      </w:r>
      <w:r>
        <w:rPr>
          <w:color w:val="2B2B2B"/>
          <w:spacing w:val="28"/>
          <w:sz w:val="23"/>
          <w:szCs w:val="23"/>
        </w:rPr>
        <w:t xml:space="preserve"> </w:t>
      </w:r>
      <w:r>
        <w:rPr>
          <w:color w:val="2B2B2B"/>
          <w:sz w:val="23"/>
          <w:szCs w:val="23"/>
        </w:rPr>
        <w:t>care</w:t>
      </w:r>
      <w:r>
        <w:rPr>
          <w:color w:val="565456"/>
          <w:sz w:val="23"/>
          <w:szCs w:val="23"/>
        </w:rPr>
        <w:t>;</w:t>
      </w:r>
    </w:p>
    <w:p w:rsidR="002C5025" w:rsidRDefault="002C5025">
      <w:pPr>
        <w:pStyle w:val="ListParagraph"/>
        <w:numPr>
          <w:ilvl w:val="0"/>
          <w:numId w:val="19"/>
        </w:numPr>
        <w:tabs>
          <w:tab w:val="left" w:pos="847"/>
        </w:tabs>
        <w:kinsoku w:val="0"/>
        <w:overflowPunct w:val="0"/>
        <w:spacing w:before="3" w:line="247" w:lineRule="auto"/>
        <w:ind w:right="1615" w:hanging="360"/>
        <w:rPr>
          <w:color w:val="2B2B2B"/>
          <w:sz w:val="23"/>
          <w:szCs w:val="23"/>
        </w:rPr>
      </w:pPr>
      <w:r>
        <w:rPr>
          <w:color w:val="2B2B2B"/>
          <w:sz w:val="23"/>
          <w:szCs w:val="23"/>
        </w:rPr>
        <w:t xml:space="preserve">Improve integration of physical health, behavioral </w:t>
      </w:r>
      <w:r>
        <w:rPr>
          <w:color w:val="1C1A1A"/>
          <w:sz w:val="23"/>
          <w:szCs w:val="23"/>
        </w:rPr>
        <w:t xml:space="preserve">health, long term </w:t>
      </w:r>
      <w:r>
        <w:rPr>
          <w:color w:val="2B2B2B"/>
          <w:sz w:val="23"/>
          <w:szCs w:val="23"/>
        </w:rPr>
        <w:t xml:space="preserve">care </w:t>
      </w:r>
      <w:r>
        <w:rPr>
          <w:color w:val="3F3F3F"/>
          <w:sz w:val="23"/>
          <w:szCs w:val="23"/>
        </w:rPr>
        <w:t xml:space="preserve">support </w:t>
      </w:r>
      <w:r>
        <w:rPr>
          <w:color w:val="2B2B2B"/>
          <w:sz w:val="23"/>
          <w:szCs w:val="23"/>
        </w:rPr>
        <w:t xml:space="preserve">services, and </w:t>
      </w:r>
      <w:r>
        <w:rPr>
          <w:color w:val="1C1A1A"/>
          <w:sz w:val="23"/>
          <w:szCs w:val="23"/>
        </w:rPr>
        <w:t xml:space="preserve">health </w:t>
      </w:r>
      <w:r>
        <w:rPr>
          <w:color w:val="2B2B2B"/>
          <w:sz w:val="23"/>
          <w:szCs w:val="23"/>
        </w:rPr>
        <w:t>related support</w:t>
      </w:r>
      <w:r>
        <w:rPr>
          <w:color w:val="2B2B2B"/>
          <w:spacing w:val="52"/>
          <w:sz w:val="23"/>
          <w:szCs w:val="23"/>
        </w:rPr>
        <w:t xml:space="preserve"> </w:t>
      </w:r>
      <w:r>
        <w:rPr>
          <w:color w:val="2B2B2B"/>
          <w:sz w:val="23"/>
          <w:szCs w:val="23"/>
        </w:rPr>
        <w:t>services;</w:t>
      </w:r>
    </w:p>
    <w:p w:rsidR="002C5025" w:rsidRDefault="002C5025">
      <w:pPr>
        <w:pStyle w:val="ListParagraph"/>
        <w:numPr>
          <w:ilvl w:val="0"/>
          <w:numId w:val="19"/>
        </w:numPr>
        <w:tabs>
          <w:tab w:val="left" w:pos="847"/>
        </w:tabs>
        <w:kinsoku w:val="0"/>
        <w:overflowPunct w:val="0"/>
        <w:spacing w:line="264" w:lineRule="exact"/>
        <w:ind w:hanging="360"/>
        <w:rPr>
          <w:color w:val="565456"/>
          <w:sz w:val="23"/>
          <w:szCs w:val="23"/>
        </w:rPr>
      </w:pPr>
      <w:r>
        <w:rPr>
          <w:color w:val="2B2B2B"/>
          <w:sz w:val="23"/>
          <w:szCs w:val="23"/>
        </w:rPr>
        <w:t xml:space="preserve">Maintain near universal </w:t>
      </w:r>
      <w:r>
        <w:rPr>
          <w:color w:val="2B2B2B"/>
          <w:spacing w:val="18"/>
          <w:sz w:val="23"/>
          <w:szCs w:val="23"/>
        </w:rPr>
        <w:t xml:space="preserve"> </w:t>
      </w:r>
      <w:r>
        <w:rPr>
          <w:color w:val="2B2B2B"/>
          <w:sz w:val="23"/>
          <w:szCs w:val="23"/>
        </w:rPr>
        <w:t>coverage</w:t>
      </w:r>
      <w:r>
        <w:rPr>
          <w:color w:val="565456"/>
          <w:sz w:val="23"/>
          <w:szCs w:val="23"/>
        </w:rPr>
        <w:t>;</w:t>
      </w:r>
    </w:p>
    <w:p w:rsidR="002C5025" w:rsidRDefault="002C5025">
      <w:pPr>
        <w:pStyle w:val="ListParagraph"/>
        <w:numPr>
          <w:ilvl w:val="0"/>
          <w:numId w:val="19"/>
        </w:numPr>
        <w:tabs>
          <w:tab w:val="left" w:pos="859"/>
        </w:tabs>
        <w:kinsoku w:val="0"/>
        <w:overflowPunct w:val="0"/>
        <w:spacing w:before="16"/>
        <w:ind w:left="858" w:hanging="372"/>
        <w:rPr>
          <w:color w:val="3F3F3F"/>
          <w:sz w:val="23"/>
          <w:szCs w:val="23"/>
        </w:rPr>
      </w:pPr>
      <w:r>
        <w:rPr>
          <w:color w:val="2B2B2B"/>
          <w:sz w:val="23"/>
          <w:szCs w:val="23"/>
        </w:rPr>
        <w:t xml:space="preserve">Sustainably  </w:t>
      </w:r>
      <w:r>
        <w:rPr>
          <w:color w:val="3F3F3F"/>
          <w:spacing w:val="-3"/>
          <w:sz w:val="23"/>
          <w:szCs w:val="23"/>
        </w:rPr>
        <w:t>su</w:t>
      </w:r>
      <w:r>
        <w:rPr>
          <w:color w:val="1C1A1A"/>
          <w:spacing w:val="-3"/>
          <w:sz w:val="23"/>
          <w:szCs w:val="23"/>
        </w:rPr>
        <w:t xml:space="preserve">pport  </w:t>
      </w:r>
      <w:r>
        <w:rPr>
          <w:color w:val="2B2B2B"/>
          <w:spacing w:val="-4"/>
          <w:sz w:val="23"/>
          <w:szCs w:val="23"/>
        </w:rPr>
        <w:t xml:space="preserve">safety </w:t>
      </w:r>
      <w:r>
        <w:rPr>
          <w:color w:val="2B2B2B"/>
          <w:sz w:val="23"/>
          <w:szCs w:val="23"/>
        </w:rPr>
        <w:t xml:space="preserve">net providers </w:t>
      </w:r>
      <w:r>
        <w:rPr>
          <w:color w:val="3F3F3F"/>
          <w:sz w:val="23"/>
          <w:szCs w:val="23"/>
        </w:rPr>
        <w:t xml:space="preserve">to </w:t>
      </w:r>
      <w:r>
        <w:rPr>
          <w:color w:val="2B2B2B"/>
          <w:sz w:val="23"/>
          <w:szCs w:val="23"/>
        </w:rPr>
        <w:t xml:space="preserve">ensure continued access to </w:t>
      </w:r>
      <w:r>
        <w:rPr>
          <w:color w:val="3F3F3F"/>
          <w:sz w:val="23"/>
          <w:szCs w:val="23"/>
        </w:rPr>
        <w:t xml:space="preserve">care; </w:t>
      </w:r>
      <w:r>
        <w:rPr>
          <w:color w:val="3F3F3F"/>
          <w:spacing w:val="23"/>
          <w:sz w:val="23"/>
          <w:szCs w:val="23"/>
        </w:rPr>
        <w:t xml:space="preserve"> </w:t>
      </w:r>
      <w:r>
        <w:rPr>
          <w:color w:val="3F3F3F"/>
          <w:sz w:val="23"/>
          <w:szCs w:val="23"/>
        </w:rPr>
        <w:t>and,</w:t>
      </w:r>
    </w:p>
    <w:p w:rsidR="002C5025" w:rsidRDefault="002C5025">
      <w:pPr>
        <w:pStyle w:val="ListParagraph"/>
        <w:numPr>
          <w:ilvl w:val="0"/>
          <w:numId w:val="19"/>
        </w:numPr>
        <w:tabs>
          <w:tab w:val="left" w:pos="847"/>
        </w:tabs>
        <w:kinsoku w:val="0"/>
        <w:overflowPunct w:val="0"/>
        <w:spacing w:before="6"/>
        <w:ind w:hanging="360"/>
        <w:rPr>
          <w:color w:val="3F3F3F"/>
          <w:sz w:val="23"/>
          <w:szCs w:val="23"/>
        </w:rPr>
      </w:pPr>
      <w:r>
        <w:rPr>
          <w:color w:val="3F3F3F"/>
          <w:sz w:val="23"/>
          <w:szCs w:val="23"/>
        </w:rPr>
        <w:t xml:space="preserve">Address </w:t>
      </w:r>
      <w:r>
        <w:rPr>
          <w:color w:val="2B2B2B"/>
          <w:sz w:val="23"/>
          <w:szCs w:val="23"/>
        </w:rPr>
        <w:t xml:space="preserve">the ongoing </w:t>
      </w:r>
      <w:r>
        <w:rPr>
          <w:color w:val="3F3F3F"/>
          <w:sz w:val="23"/>
          <w:szCs w:val="23"/>
        </w:rPr>
        <w:t xml:space="preserve">substance </w:t>
      </w:r>
      <w:r>
        <w:rPr>
          <w:color w:val="2B2B2B"/>
          <w:sz w:val="23"/>
          <w:szCs w:val="23"/>
        </w:rPr>
        <w:t xml:space="preserve">abuse </w:t>
      </w:r>
      <w:r>
        <w:rPr>
          <w:color w:val="3F3F3F"/>
          <w:sz w:val="23"/>
          <w:szCs w:val="23"/>
        </w:rPr>
        <w:t xml:space="preserve">crisis </w:t>
      </w:r>
      <w:r>
        <w:rPr>
          <w:color w:val="2B2B2B"/>
          <w:sz w:val="23"/>
          <w:szCs w:val="23"/>
        </w:rPr>
        <w:t xml:space="preserve">through enhanced access to  </w:t>
      </w:r>
      <w:r>
        <w:rPr>
          <w:color w:val="2B2B2B"/>
          <w:spacing w:val="41"/>
          <w:sz w:val="23"/>
          <w:szCs w:val="23"/>
        </w:rPr>
        <w:t xml:space="preserve"> </w:t>
      </w:r>
      <w:r>
        <w:rPr>
          <w:color w:val="3F3F3F"/>
          <w:sz w:val="23"/>
          <w:szCs w:val="23"/>
        </w:rPr>
        <w:t>services.</w:t>
      </w:r>
    </w:p>
    <w:p w:rsidR="002C5025" w:rsidRDefault="002C5025">
      <w:pPr>
        <w:pStyle w:val="BodyText"/>
        <w:kinsoku w:val="0"/>
        <w:overflowPunct w:val="0"/>
        <w:spacing w:before="2"/>
        <w:rPr>
          <w:rFonts w:ascii="Times New Roman" w:hAnsi="Times New Roman" w:cs="Times New Roman"/>
          <w:sz w:val="25"/>
          <w:szCs w:val="25"/>
        </w:rPr>
      </w:pPr>
    </w:p>
    <w:p w:rsidR="002C5025" w:rsidRDefault="002C5025">
      <w:pPr>
        <w:pStyle w:val="BodyText"/>
        <w:kinsoku w:val="0"/>
        <w:overflowPunct w:val="0"/>
        <w:spacing w:line="252" w:lineRule="auto"/>
        <w:ind w:left="111" w:right="1817" w:firstLine="14"/>
        <w:rPr>
          <w:rFonts w:ascii="Times New Roman" w:hAnsi="Times New Roman" w:cs="Times New Roman"/>
          <w:color w:val="2B2B2B"/>
          <w:sz w:val="23"/>
          <w:szCs w:val="23"/>
        </w:rPr>
      </w:pPr>
      <w:r>
        <w:rPr>
          <w:rFonts w:ascii="Times New Roman" w:hAnsi="Times New Roman" w:cs="Times New Roman"/>
          <w:color w:val="2B2B2B"/>
          <w:sz w:val="23"/>
          <w:szCs w:val="23"/>
        </w:rPr>
        <w:t>There are certain areas of the Section 1115 Reque</w:t>
      </w:r>
      <w:r>
        <w:rPr>
          <w:rFonts w:ascii="Times New Roman" w:hAnsi="Times New Roman" w:cs="Times New Roman"/>
          <w:color w:val="565456"/>
          <w:sz w:val="23"/>
          <w:szCs w:val="23"/>
        </w:rPr>
        <w:t>s</w:t>
      </w:r>
      <w:r>
        <w:rPr>
          <w:rFonts w:ascii="Times New Roman" w:hAnsi="Times New Roman" w:cs="Times New Roman"/>
          <w:color w:val="2B2B2B"/>
          <w:sz w:val="23"/>
          <w:szCs w:val="23"/>
        </w:rPr>
        <w:t xml:space="preserve">t </w:t>
      </w:r>
      <w:r>
        <w:rPr>
          <w:rFonts w:ascii="Times New Roman" w:hAnsi="Times New Roman" w:cs="Times New Roman"/>
          <w:color w:val="3F3F3F"/>
          <w:sz w:val="23"/>
          <w:szCs w:val="23"/>
        </w:rPr>
        <w:t xml:space="preserve">where </w:t>
      </w:r>
      <w:r>
        <w:rPr>
          <w:rFonts w:ascii="Times New Roman" w:hAnsi="Times New Roman" w:cs="Times New Roman"/>
          <w:color w:val="2B2B2B"/>
          <w:sz w:val="23"/>
          <w:szCs w:val="23"/>
        </w:rPr>
        <w:t xml:space="preserve">more information would be beneficial  </w:t>
      </w:r>
      <w:r>
        <w:rPr>
          <w:rFonts w:ascii="Times New Roman" w:hAnsi="Times New Roman" w:cs="Times New Roman"/>
          <w:color w:val="3F3F3F"/>
          <w:sz w:val="23"/>
          <w:szCs w:val="23"/>
        </w:rPr>
        <w:t xml:space="preserve">so </w:t>
      </w:r>
      <w:r>
        <w:rPr>
          <w:rFonts w:ascii="Times New Roman" w:hAnsi="Times New Roman" w:cs="Times New Roman"/>
          <w:color w:val="2B2B2B"/>
          <w:sz w:val="23"/>
          <w:szCs w:val="23"/>
        </w:rPr>
        <w:t xml:space="preserve">that health care providers and </w:t>
      </w:r>
      <w:r>
        <w:rPr>
          <w:rFonts w:ascii="Times New Roman" w:hAnsi="Times New Roman" w:cs="Times New Roman"/>
          <w:color w:val="3F3F3F"/>
          <w:sz w:val="23"/>
          <w:szCs w:val="23"/>
        </w:rPr>
        <w:t xml:space="preserve">community </w:t>
      </w:r>
      <w:r>
        <w:rPr>
          <w:rFonts w:ascii="Times New Roman" w:hAnsi="Times New Roman" w:cs="Times New Roman"/>
          <w:color w:val="2B2B2B"/>
          <w:sz w:val="23"/>
          <w:szCs w:val="23"/>
        </w:rPr>
        <w:t xml:space="preserve">partners can proactively plan ahead to </w:t>
      </w:r>
      <w:r>
        <w:rPr>
          <w:rFonts w:ascii="Times New Roman" w:hAnsi="Times New Roman" w:cs="Times New Roman"/>
          <w:color w:val="3F3F3F"/>
          <w:sz w:val="23"/>
          <w:szCs w:val="23"/>
        </w:rPr>
        <w:t xml:space="preserve">achieve </w:t>
      </w:r>
      <w:r>
        <w:rPr>
          <w:rFonts w:ascii="Times New Roman" w:hAnsi="Times New Roman" w:cs="Times New Roman"/>
          <w:color w:val="2B2B2B"/>
          <w:sz w:val="23"/>
          <w:szCs w:val="23"/>
        </w:rPr>
        <w:t xml:space="preserve">these delivery </w:t>
      </w:r>
      <w:r>
        <w:rPr>
          <w:rFonts w:ascii="Times New Roman" w:hAnsi="Times New Roman" w:cs="Times New Roman"/>
          <w:color w:val="3F3F3F"/>
          <w:sz w:val="23"/>
          <w:szCs w:val="23"/>
        </w:rPr>
        <w:t xml:space="preserve">system </w:t>
      </w:r>
      <w:r>
        <w:rPr>
          <w:rFonts w:ascii="Times New Roman" w:hAnsi="Times New Roman" w:cs="Times New Roman"/>
          <w:color w:val="2B2B2B"/>
          <w:sz w:val="23"/>
          <w:szCs w:val="23"/>
        </w:rPr>
        <w:t xml:space="preserve">transformation goals, </w:t>
      </w:r>
      <w:r>
        <w:rPr>
          <w:rFonts w:ascii="Times New Roman" w:hAnsi="Times New Roman" w:cs="Times New Roman"/>
          <w:color w:val="3F3F3F"/>
          <w:sz w:val="23"/>
          <w:szCs w:val="23"/>
        </w:rPr>
        <w:t xml:space="preserve">as well </w:t>
      </w:r>
      <w:r>
        <w:rPr>
          <w:rFonts w:ascii="Times New Roman" w:hAnsi="Times New Roman" w:cs="Times New Roman"/>
          <w:color w:val="2B2B2B"/>
          <w:sz w:val="23"/>
          <w:szCs w:val="23"/>
        </w:rPr>
        <w:t xml:space="preserve">as to comprehensively understand the intricacies of this timely transition to alternative payments  and </w:t>
      </w:r>
      <w:r>
        <w:rPr>
          <w:rFonts w:ascii="Times New Roman" w:hAnsi="Times New Roman" w:cs="Times New Roman"/>
          <w:color w:val="3F3F3F"/>
          <w:sz w:val="23"/>
          <w:szCs w:val="23"/>
        </w:rPr>
        <w:t xml:space="preserve">accountable  care </w:t>
      </w:r>
      <w:r>
        <w:rPr>
          <w:rFonts w:ascii="Times New Roman" w:hAnsi="Times New Roman" w:cs="Times New Roman"/>
          <w:color w:val="2B2B2B"/>
          <w:sz w:val="23"/>
          <w:szCs w:val="23"/>
        </w:rPr>
        <w:t xml:space="preserve">models.  We respectfully request  </w:t>
      </w:r>
      <w:r>
        <w:rPr>
          <w:rFonts w:ascii="Times New Roman" w:hAnsi="Times New Roman" w:cs="Times New Roman"/>
          <w:color w:val="3F3F3F"/>
          <w:sz w:val="23"/>
          <w:szCs w:val="23"/>
        </w:rPr>
        <w:t xml:space="preserve">EOHHS'  </w:t>
      </w:r>
      <w:r>
        <w:rPr>
          <w:rFonts w:ascii="Times New Roman" w:hAnsi="Times New Roman" w:cs="Times New Roman"/>
          <w:color w:val="2B2B2B"/>
          <w:sz w:val="23"/>
          <w:szCs w:val="23"/>
        </w:rPr>
        <w:t xml:space="preserve">consideration of the </w:t>
      </w:r>
      <w:r>
        <w:rPr>
          <w:rFonts w:ascii="Times New Roman" w:hAnsi="Times New Roman" w:cs="Times New Roman"/>
          <w:color w:val="3F3F3F"/>
          <w:sz w:val="23"/>
          <w:szCs w:val="23"/>
        </w:rPr>
        <w:t xml:space="preserve">following </w:t>
      </w:r>
      <w:r>
        <w:rPr>
          <w:rFonts w:ascii="Times New Roman" w:hAnsi="Times New Roman" w:cs="Times New Roman"/>
          <w:color w:val="2B2B2B"/>
          <w:sz w:val="23"/>
          <w:szCs w:val="23"/>
        </w:rPr>
        <w:t xml:space="preserve">for the final </w:t>
      </w:r>
      <w:r>
        <w:rPr>
          <w:rFonts w:ascii="Times New Roman" w:hAnsi="Times New Roman" w:cs="Times New Roman"/>
          <w:color w:val="2B2B2B"/>
          <w:spacing w:val="16"/>
          <w:sz w:val="23"/>
          <w:szCs w:val="23"/>
        </w:rPr>
        <w:t xml:space="preserve"> </w:t>
      </w:r>
      <w:r>
        <w:rPr>
          <w:rFonts w:ascii="Times New Roman" w:hAnsi="Times New Roman" w:cs="Times New Roman"/>
          <w:color w:val="2B2B2B"/>
          <w:sz w:val="23"/>
          <w:szCs w:val="23"/>
        </w:rPr>
        <w:t>document:</w:t>
      </w:r>
    </w:p>
    <w:p w:rsidR="002C5025" w:rsidRDefault="002C5025">
      <w:pPr>
        <w:pStyle w:val="BodyText"/>
        <w:kinsoku w:val="0"/>
        <w:overflowPunct w:val="0"/>
        <w:spacing w:before="6"/>
        <w:rPr>
          <w:rFonts w:ascii="Times New Roman" w:hAnsi="Times New Roman" w:cs="Times New Roman"/>
          <w:sz w:val="24"/>
          <w:szCs w:val="24"/>
        </w:rPr>
      </w:pPr>
    </w:p>
    <w:p w:rsidR="002C5025" w:rsidRDefault="002C5025">
      <w:pPr>
        <w:pStyle w:val="BodyText"/>
        <w:kinsoku w:val="0"/>
        <w:overflowPunct w:val="0"/>
        <w:spacing w:line="262" w:lineRule="exact"/>
        <w:ind w:left="119" w:right="1817"/>
        <w:rPr>
          <w:rFonts w:ascii="Times New Roman" w:hAnsi="Times New Roman" w:cs="Times New Roman"/>
          <w:b/>
          <w:bCs/>
          <w:color w:val="2B2B2B"/>
          <w:sz w:val="23"/>
          <w:szCs w:val="23"/>
        </w:rPr>
      </w:pPr>
      <w:bookmarkStart w:id="285" w:name="Publish_Detailed_Financial_and_Spending_"/>
      <w:bookmarkEnd w:id="285"/>
      <w:r>
        <w:rPr>
          <w:rFonts w:ascii="Times New Roman" w:hAnsi="Times New Roman" w:cs="Times New Roman"/>
          <w:b/>
          <w:bCs/>
          <w:color w:val="2B2B2B"/>
          <w:sz w:val="23"/>
          <w:szCs w:val="23"/>
          <w:u w:val="thick" w:color="000000"/>
        </w:rPr>
        <w:t>Publish Detailed Financial  and Spending Information</w:t>
      </w:r>
    </w:p>
    <w:p w:rsidR="002C5025" w:rsidRDefault="002C5025">
      <w:pPr>
        <w:pStyle w:val="BodyText"/>
        <w:kinsoku w:val="0"/>
        <w:overflowPunct w:val="0"/>
        <w:spacing w:line="252" w:lineRule="auto"/>
        <w:ind w:left="111" w:right="1817" w:firstLine="14"/>
        <w:rPr>
          <w:rFonts w:ascii="Times New Roman" w:hAnsi="Times New Roman" w:cs="Times New Roman"/>
          <w:color w:val="2B2B2B"/>
          <w:sz w:val="23"/>
          <w:szCs w:val="23"/>
        </w:rPr>
      </w:pPr>
      <w:r>
        <w:rPr>
          <w:rFonts w:ascii="Times New Roman" w:hAnsi="Times New Roman" w:cs="Times New Roman"/>
          <w:color w:val="2B2B2B"/>
          <w:sz w:val="23"/>
          <w:szCs w:val="23"/>
        </w:rPr>
        <w:t xml:space="preserve">Steward </w:t>
      </w:r>
      <w:r>
        <w:rPr>
          <w:rFonts w:ascii="Times New Roman" w:hAnsi="Times New Roman" w:cs="Times New Roman"/>
          <w:color w:val="3F3F3F"/>
          <w:sz w:val="23"/>
          <w:szCs w:val="23"/>
        </w:rPr>
        <w:t xml:space="preserve">recommends </w:t>
      </w:r>
      <w:r>
        <w:rPr>
          <w:rFonts w:ascii="Times New Roman" w:hAnsi="Times New Roman" w:cs="Times New Roman"/>
          <w:color w:val="2B2B2B"/>
          <w:sz w:val="23"/>
          <w:szCs w:val="23"/>
        </w:rPr>
        <w:t xml:space="preserve">that MassHealth supplement the Section 1115 Request with </w:t>
      </w:r>
      <w:r>
        <w:rPr>
          <w:rFonts w:ascii="Times New Roman" w:hAnsi="Times New Roman" w:cs="Times New Roman"/>
          <w:color w:val="3F3F3F"/>
          <w:sz w:val="23"/>
          <w:szCs w:val="23"/>
        </w:rPr>
        <w:t>additiona</w:t>
      </w:r>
      <w:r>
        <w:rPr>
          <w:rFonts w:ascii="Times New Roman" w:hAnsi="Times New Roman" w:cs="Times New Roman"/>
          <w:color w:val="1C1A1A"/>
          <w:sz w:val="23"/>
          <w:szCs w:val="23"/>
        </w:rPr>
        <w:t xml:space="preserve">l </w:t>
      </w:r>
      <w:r>
        <w:rPr>
          <w:rFonts w:ascii="Times New Roman" w:hAnsi="Times New Roman" w:cs="Times New Roman"/>
          <w:color w:val="2B2B2B"/>
          <w:sz w:val="23"/>
          <w:szCs w:val="23"/>
        </w:rPr>
        <w:t xml:space="preserve">financial data and detailed programmatic </w:t>
      </w:r>
      <w:r>
        <w:rPr>
          <w:rFonts w:ascii="Times New Roman" w:hAnsi="Times New Roman" w:cs="Times New Roman"/>
          <w:color w:val="3F3F3F"/>
          <w:sz w:val="23"/>
          <w:szCs w:val="23"/>
        </w:rPr>
        <w:t xml:space="preserve">spending </w:t>
      </w:r>
      <w:r>
        <w:rPr>
          <w:rFonts w:ascii="Times New Roman" w:hAnsi="Times New Roman" w:cs="Times New Roman"/>
          <w:color w:val="2B2B2B"/>
          <w:sz w:val="23"/>
          <w:szCs w:val="23"/>
        </w:rPr>
        <w:t xml:space="preserve">information to inform health </w:t>
      </w:r>
      <w:r>
        <w:rPr>
          <w:rFonts w:ascii="Times New Roman" w:hAnsi="Times New Roman" w:cs="Times New Roman"/>
          <w:color w:val="3F3F3F"/>
          <w:sz w:val="23"/>
          <w:szCs w:val="23"/>
        </w:rPr>
        <w:t xml:space="preserve">care </w:t>
      </w:r>
      <w:r>
        <w:rPr>
          <w:rFonts w:ascii="Times New Roman" w:hAnsi="Times New Roman" w:cs="Times New Roman"/>
          <w:color w:val="2B2B2B"/>
          <w:sz w:val="23"/>
          <w:szCs w:val="23"/>
        </w:rPr>
        <w:t xml:space="preserve">providers as they prepare for </w:t>
      </w:r>
      <w:r>
        <w:rPr>
          <w:rFonts w:ascii="Times New Roman" w:hAnsi="Times New Roman" w:cs="Times New Roman"/>
          <w:color w:val="1C1A1A"/>
          <w:sz w:val="23"/>
          <w:szCs w:val="23"/>
        </w:rPr>
        <w:t>thi</w:t>
      </w:r>
      <w:r>
        <w:rPr>
          <w:rFonts w:ascii="Times New Roman" w:hAnsi="Times New Roman" w:cs="Times New Roman"/>
          <w:color w:val="3F3F3F"/>
          <w:sz w:val="23"/>
          <w:szCs w:val="23"/>
        </w:rPr>
        <w:t xml:space="preserve">s </w:t>
      </w:r>
      <w:r>
        <w:rPr>
          <w:rFonts w:ascii="Times New Roman" w:hAnsi="Times New Roman" w:cs="Times New Roman"/>
          <w:color w:val="1C1A1A"/>
          <w:sz w:val="23"/>
          <w:szCs w:val="23"/>
        </w:rPr>
        <w:t>important transiti</w:t>
      </w:r>
      <w:r>
        <w:rPr>
          <w:rFonts w:ascii="Times New Roman" w:hAnsi="Times New Roman" w:cs="Times New Roman"/>
          <w:color w:val="3F3F3F"/>
          <w:sz w:val="23"/>
          <w:szCs w:val="23"/>
        </w:rPr>
        <w:t xml:space="preserve">on </w:t>
      </w:r>
      <w:r>
        <w:rPr>
          <w:rFonts w:ascii="Times New Roman" w:hAnsi="Times New Roman" w:cs="Times New Roman"/>
          <w:color w:val="2B2B2B"/>
          <w:sz w:val="23"/>
          <w:szCs w:val="23"/>
        </w:rPr>
        <w:t xml:space="preserve">to accountable care. For example, while the document states that $1.8B will available over the next 5 </w:t>
      </w:r>
      <w:r>
        <w:rPr>
          <w:rFonts w:ascii="Times New Roman" w:hAnsi="Times New Roman" w:cs="Times New Roman"/>
          <w:color w:val="3F3F3F"/>
          <w:sz w:val="23"/>
          <w:szCs w:val="23"/>
        </w:rPr>
        <w:t xml:space="preserve">years </w:t>
      </w:r>
      <w:r>
        <w:rPr>
          <w:rFonts w:ascii="Times New Roman" w:hAnsi="Times New Roman" w:cs="Times New Roman"/>
          <w:color w:val="2B2B2B"/>
          <w:sz w:val="23"/>
          <w:szCs w:val="23"/>
        </w:rPr>
        <w:t>for Delivery System Reform Incentive Payments</w:t>
      </w:r>
      <w:r>
        <w:rPr>
          <w:rFonts w:ascii="Times New Roman" w:hAnsi="Times New Roman" w:cs="Times New Roman"/>
          <w:color w:val="676767"/>
          <w:sz w:val="23"/>
          <w:szCs w:val="23"/>
        </w:rPr>
        <w:t xml:space="preserve">, </w:t>
      </w:r>
      <w:r>
        <w:rPr>
          <w:rFonts w:ascii="Times New Roman" w:hAnsi="Times New Roman" w:cs="Times New Roman"/>
          <w:color w:val="2B2B2B"/>
          <w:sz w:val="23"/>
          <w:szCs w:val="23"/>
        </w:rPr>
        <w:t>the following details would  be beneficial:</w:t>
      </w:r>
    </w:p>
    <w:p w:rsidR="002C5025" w:rsidRDefault="002C5025">
      <w:pPr>
        <w:pStyle w:val="BodyText"/>
        <w:kinsoku w:val="0"/>
        <w:overflowPunct w:val="0"/>
        <w:spacing w:before="11"/>
        <w:rPr>
          <w:rFonts w:ascii="Times New Roman" w:hAnsi="Times New Roman" w:cs="Times New Roman"/>
          <w:sz w:val="25"/>
          <w:szCs w:val="25"/>
        </w:rPr>
      </w:pPr>
    </w:p>
    <w:p w:rsidR="002C5025" w:rsidRDefault="002C5025">
      <w:pPr>
        <w:pStyle w:val="ListParagraph"/>
        <w:numPr>
          <w:ilvl w:val="0"/>
          <w:numId w:val="1"/>
        </w:numPr>
        <w:tabs>
          <w:tab w:val="left" w:pos="847"/>
        </w:tabs>
        <w:kinsoku w:val="0"/>
        <w:overflowPunct w:val="0"/>
        <w:spacing w:line="247" w:lineRule="auto"/>
        <w:ind w:left="846" w:right="1758" w:hanging="360"/>
        <w:rPr>
          <w:color w:val="343333"/>
          <w:sz w:val="23"/>
          <w:szCs w:val="23"/>
        </w:rPr>
      </w:pPr>
      <w:r>
        <w:rPr>
          <w:color w:val="2B2B2B"/>
          <w:sz w:val="23"/>
          <w:szCs w:val="23"/>
        </w:rPr>
        <w:t xml:space="preserve">The </w:t>
      </w:r>
      <w:r>
        <w:rPr>
          <w:color w:val="3F3F3F"/>
          <w:sz w:val="23"/>
          <w:szCs w:val="23"/>
        </w:rPr>
        <w:t xml:space="preserve">range </w:t>
      </w:r>
      <w:r>
        <w:rPr>
          <w:color w:val="2B2B2B"/>
          <w:sz w:val="23"/>
          <w:szCs w:val="23"/>
        </w:rPr>
        <w:t xml:space="preserve">of Per Member Per </w:t>
      </w:r>
      <w:r>
        <w:rPr>
          <w:color w:val="3F3F3F"/>
          <w:sz w:val="23"/>
          <w:szCs w:val="23"/>
        </w:rPr>
        <w:t xml:space="preserve">Year (PMPY) </w:t>
      </w:r>
      <w:r>
        <w:rPr>
          <w:color w:val="2B2B2B"/>
          <w:sz w:val="23"/>
          <w:szCs w:val="23"/>
        </w:rPr>
        <w:t xml:space="preserve">DSRIP payments </w:t>
      </w:r>
      <w:r>
        <w:rPr>
          <w:color w:val="3F3F3F"/>
          <w:sz w:val="23"/>
          <w:szCs w:val="23"/>
        </w:rPr>
        <w:t>for ACOs, and assoc</w:t>
      </w:r>
      <w:r>
        <w:rPr>
          <w:color w:val="1C1A1A"/>
          <w:sz w:val="23"/>
          <w:szCs w:val="23"/>
        </w:rPr>
        <w:t>iat</w:t>
      </w:r>
      <w:r>
        <w:rPr>
          <w:color w:val="3F3F3F"/>
          <w:sz w:val="23"/>
          <w:szCs w:val="23"/>
        </w:rPr>
        <w:t xml:space="preserve">ed </w:t>
      </w:r>
      <w:r>
        <w:rPr>
          <w:color w:val="2B2B2B"/>
          <w:sz w:val="23"/>
          <w:szCs w:val="23"/>
        </w:rPr>
        <w:t xml:space="preserve">increased </w:t>
      </w:r>
      <w:r>
        <w:rPr>
          <w:color w:val="3F3F3F"/>
          <w:sz w:val="23"/>
          <w:szCs w:val="23"/>
        </w:rPr>
        <w:t>sched</w:t>
      </w:r>
      <w:r>
        <w:rPr>
          <w:color w:val="1C1A1A"/>
          <w:sz w:val="23"/>
          <w:szCs w:val="23"/>
        </w:rPr>
        <w:t>ule</w:t>
      </w:r>
      <w:r>
        <w:rPr>
          <w:color w:val="3F3F3F"/>
          <w:sz w:val="23"/>
          <w:szCs w:val="23"/>
        </w:rPr>
        <w:t xml:space="preserve">s </w:t>
      </w:r>
      <w:r>
        <w:rPr>
          <w:color w:val="2B2B2B"/>
          <w:sz w:val="23"/>
          <w:szCs w:val="23"/>
        </w:rPr>
        <w:t xml:space="preserve">for </w:t>
      </w:r>
      <w:r>
        <w:rPr>
          <w:color w:val="565456"/>
          <w:spacing w:val="-7"/>
          <w:sz w:val="23"/>
          <w:szCs w:val="23"/>
        </w:rPr>
        <w:t>"</w:t>
      </w:r>
      <w:r>
        <w:rPr>
          <w:color w:val="2B2B2B"/>
          <w:spacing w:val="-7"/>
          <w:sz w:val="23"/>
          <w:szCs w:val="23"/>
        </w:rPr>
        <w:t xml:space="preserve">ACOs </w:t>
      </w:r>
      <w:r>
        <w:rPr>
          <w:color w:val="3F3F3F"/>
          <w:sz w:val="23"/>
          <w:szCs w:val="23"/>
        </w:rPr>
        <w:t xml:space="preserve">with a </w:t>
      </w:r>
      <w:r>
        <w:rPr>
          <w:color w:val="2B2B2B"/>
          <w:sz w:val="23"/>
          <w:szCs w:val="23"/>
        </w:rPr>
        <w:t>higher percentage of revenue derived from the MassHealth/uninsured   population</w:t>
      </w:r>
      <w:r>
        <w:rPr>
          <w:color w:val="565456"/>
          <w:sz w:val="23"/>
          <w:szCs w:val="23"/>
        </w:rPr>
        <w:t>"</w:t>
      </w:r>
      <w:r>
        <w:rPr>
          <w:color w:val="2B2B2B"/>
          <w:sz w:val="23"/>
          <w:szCs w:val="23"/>
        </w:rPr>
        <w:t>(pag</w:t>
      </w:r>
      <w:r>
        <w:rPr>
          <w:color w:val="565456"/>
          <w:sz w:val="23"/>
          <w:szCs w:val="23"/>
        </w:rPr>
        <w:t>e</w:t>
      </w:r>
      <w:r>
        <w:rPr>
          <w:color w:val="565456"/>
          <w:spacing w:val="30"/>
          <w:sz w:val="23"/>
          <w:szCs w:val="23"/>
        </w:rPr>
        <w:t xml:space="preserve"> </w:t>
      </w:r>
      <w:r>
        <w:rPr>
          <w:color w:val="2B2B2B"/>
          <w:sz w:val="23"/>
          <w:szCs w:val="23"/>
        </w:rPr>
        <w:t>43);</w:t>
      </w:r>
    </w:p>
    <w:p w:rsidR="002C5025" w:rsidRDefault="002C5025">
      <w:pPr>
        <w:pStyle w:val="ListParagraph"/>
        <w:numPr>
          <w:ilvl w:val="0"/>
          <w:numId w:val="1"/>
        </w:numPr>
        <w:tabs>
          <w:tab w:val="left" w:pos="840"/>
        </w:tabs>
        <w:kinsoku w:val="0"/>
        <w:overflowPunct w:val="0"/>
        <w:spacing w:before="20" w:line="247" w:lineRule="auto"/>
        <w:ind w:left="839" w:right="2039" w:hanging="353"/>
        <w:rPr>
          <w:color w:val="343333"/>
          <w:sz w:val="23"/>
          <w:szCs w:val="23"/>
        </w:rPr>
      </w:pPr>
      <w:r>
        <w:rPr>
          <w:color w:val="3F3F3F"/>
          <w:sz w:val="23"/>
          <w:szCs w:val="23"/>
        </w:rPr>
        <w:t xml:space="preserve">The amount </w:t>
      </w:r>
      <w:r>
        <w:rPr>
          <w:color w:val="2B2B2B"/>
          <w:sz w:val="23"/>
          <w:szCs w:val="23"/>
        </w:rPr>
        <w:t xml:space="preserve">that </w:t>
      </w:r>
      <w:r>
        <w:rPr>
          <w:color w:val="3F3F3F"/>
          <w:sz w:val="23"/>
          <w:szCs w:val="23"/>
        </w:rPr>
        <w:t xml:space="preserve">will </w:t>
      </w:r>
      <w:r>
        <w:rPr>
          <w:color w:val="2B2B2B"/>
          <w:sz w:val="23"/>
          <w:szCs w:val="23"/>
        </w:rPr>
        <w:t xml:space="preserve">be dedicated </w:t>
      </w:r>
      <w:r>
        <w:rPr>
          <w:color w:val="3F3F3F"/>
          <w:sz w:val="23"/>
          <w:szCs w:val="23"/>
        </w:rPr>
        <w:t xml:space="preserve">for a </w:t>
      </w:r>
      <w:r>
        <w:rPr>
          <w:color w:val="565456"/>
          <w:spacing w:val="-7"/>
          <w:sz w:val="23"/>
          <w:szCs w:val="23"/>
        </w:rPr>
        <w:t>"g</w:t>
      </w:r>
      <w:r>
        <w:rPr>
          <w:color w:val="2B2B2B"/>
          <w:spacing w:val="-7"/>
          <w:sz w:val="23"/>
          <w:szCs w:val="23"/>
        </w:rPr>
        <w:t xml:space="preserve">lide </w:t>
      </w:r>
      <w:proofErr w:type="spellStart"/>
      <w:r>
        <w:rPr>
          <w:color w:val="2B2B2B"/>
          <w:sz w:val="23"/>
          <w:szCs w:val="23"/>
        </w:rPr>
        <w:t>path</w:t>
      </w:r>
      <w:r>
        <w:rPr>
          <w:color w:val="565456"/>
          <w:sz w:val="23"/>
          <w:szCs w:val="23"/>
        </w:rPr>
        <w:t>"</w:t>
      </w:r>
      <w:r>
        <w:rPr>
          <w:color w:val="2B2B2B"/>
          <w:sz w:val="23"/>
          <w:szCs w:val="23"/>
        </w:rPr>
        <w:t>for</w:t>
      </w:r>
      <w:proofErr w:type="spellEnd"/>
      <w:r>
        <w:rPr>
          <w:color w:val="2B2B2B"/>
          <w:sz w:val="23"/>
          <w:szCs w:val="23"/>
        </w:rPr>
        <w:t xml:space="preserve"> certain </w:t>
      </w:r>
      <w:r>
        <w:rPr>
          <w:color w:val="3F3F3F"/>
          <w:spacing w:val="-4"/>
          <w:sz w:val="23"/>
          <w:szCs w:val="23"/>
        </w:rPr>
        <w:t xml:space="preserve">safety </w:t>
      </w:r>
      <w:r>
        <w:rPr>
          <w:color w:val="2B2B2B"/>
          <w:sz w:val="23"/>
          <w:szCs w:val="23"/>
        </w:rPr>
        <w:t>net hospitals to tran</w:t>
      </w:r>
      <w:r>
        <w:rPr>
          <w:color w:val="565456"/>
          <w:sz w:val="23"/>
          <w:szCs w:val="23"/>
        </w:rPr>
        <w:t>s</w:t>
      </w:r>
      <w:r>
        <w:rPr>
          <w:color w:val="2B2B2B"/>
          <w:sz w:val="23"/>
          <w:szCs w:val="23"/>
        </w:rPr>
        <w:t>ition to ACOs</w:t>
      </w:r>
      <w:r>
        <w:rPr>
          <w:color w:val="565456"/>
          <w:sz w:val="23"/>
          <w:szCs w:val="23"/>
        </w:rPr>
        <w:t xml:space="preserve">, </w:t>
      </w:r>
      <w:r>
        <w:rPr>
          <w:color w:val="2B2B2B"/>
          <w:sz w:val="23"/>
          <w:szCs w:val="23"/>
        </w:rPr>
        <w:t xml:space="preserve">in dollars </w:t>
      </w:r>
      <w:r>
        <w:rPr>
          <w:color w:val="3F3F3F"/>
          <w:sz w:val="23"/>
          <w:szCs w:val="23"/>
        </w:rPr>
        <w:t xml:space="preserve">or </w:t>
      </w:r>
      <w:r>
        <w:rPr>
          <w:color w:val="3F3F3F"/>
          <w:spacing w:val="8"/>
          <w:sz w:val="23"/>
          <w:szCs w:val="23"/>
        </w:rPr>
        <w:t xml:space="preserve"> </w:t>
      </w:r>
      <w:r>
        <w:rPr>
          <w:color w:val="2B2B2B"/>
          <w:sz w:val="23"/>
          <w:szCs w:val="23"/>
        </w:rPr>
        <w:t>percentage;</w:t>
      </w:r>
    </w:p>
    <w:p w:rsidR="002C5025" w:rsidRDefault="002C5025">
      <w:pPr>
        <w:pStyle w:val="ListParagraph"/>
        <w:numPr>
          <w:ilvl w:val="0"/>
          <w:numId w:val="1"/>
        </w:numPr>
        <w:tabs>
          <w:tab w:val="left" w:pos="830"/>
        </w:tabs>
        <w:kinsoku w:val="0"/>
        <w:overflowPunct w:val="0"/>
        <w:spacing w:before="23" w:line="247" w:lineRule="auto"/>
        <w:ind w:left="829" w:right="1710" w:hanging="343"/>
        <w:rPr>
          <w:color w:val="343333"/>
          <w:sz w:val="23"/>
          <w:szCs w:val="23"/>
        </w:rPr>
      </w:pPr>
      <w:r>
        <w:rPr>
          <w:color w:val="2B2B2B"/>
          <w:sz w:val="23"/>
          <w:szCs w:val="23"/>
        </w:rPr>
        <w:t xml:space="preserve">Percentage dedicated to investment in </w:t>
      </w:r>
      <w:r>
        <w:rPr>
          <w:color w:val="3F3F3F"/>
          <w:sz w:val="23"/>
          <w:szCs w:val="23"/>
        </w:rPr>
        <w:t xml:space="preserve">primary care </w:t>
      </w:r>
      <w:r>
        <w:rPr>
          <w:color w:val="2B2B2B"/>
          <w:sz w:val="23"/>
          <w:szCs w:val="23"/>
        </w:rPr>
        <w:t xml:space="preserve">and the associated </w:t>
      </w:r>
      <w:r>
        <w:rPr>
          <w:color w:val="3F3F3F"/>
          <w:sz w:val="23"/>
          <w:szCs w:val="23"/>
        </w:rPr>
        <w:t xml:space="preserve">activities </w:t>
      </w:r>
      <w:r>
        <w:rPr>
          <w:color w:val="2B2B2B"/>
          <w:sz w:val="23"/>
          <w:szCs w:val="23"/>
        </w:rPr>
        <w:t xml:space="preserve">fundable through those earmarked </w:t>
      </w:r>
      <w:r>
        <w:rPr>
          <w:color w:val="2B2B2B"/>
          <w:spacing w:val="14"/>
          <w:sz w:val="23"/>
          <w:szCs w:val="23"/>
        </w:rPr>
        <w:t xml:space="preserve"> </w:t>
      </w:r>
      <w:r>
        <w:rPr>
          <w:color w:val="2B2B2B"/>
          <w:sz w:val="23"/>
          <w:szCs w:val="23"/>
        </w:rPr>
        <w:t>funds;</w:t>
      </w:r>
    </w:p>
    <w:p w:rsidR="002C5025" w:rsidRDefault="002C5025">
      <w:pPr>
        <w:pStyle w:val="ListParagraph"/>
        <w:numPr>
          <w:ilvl w:val="0"/>
          <w:numId w:val="1"/>
        </w:numPr>
        <w:tabs>
          <w:tab w:val="left" w:pos="847"/>
        </w:tabs>
        <w:kinsoku w:val="0"/>
        <w:overflowPunct w:val="0"/>
        <w:spacing w:before="28" w:line="247" w:lineRule="auto"/>
        <w:ind w:left="845" w:right="1742" w:hanging="359"/>
        <w:rPr>
          <w:color w:val="343333"/>
          <w:sz w:val="23"/>
          <w:szCs w:val="23"/>
        </w:rPr>
      </w:pPr>
      <w:r>
        <w:rPr>
          <w:color w:val="2B2B2B"/>
          <w:sz w:val="23"/>
          <w:szCs w:val="23"/>
        </w:rPr>
        <w:t xml:space="preserve">Range </w:t>
      </w:r>
      <w:r>
        <w:rPr>
          <w:color w:val="3F3F3F"/>
          <w:sz w:val="23"/>
          <w:szCs w:val="23"/>
        </w:rPr>
        <w:t xml:space="preserve">of </w:t>
      </w:r>
      <w:r>
        <w:rPr>
          <w:color w:val="2B2B2B"/>
          <w:sz w:val="23"/>
          <w:szCs w:val="23"/>
        </w:rPr>
        <w:t xml:space="preserve">PMPY DSRIP payments by ACO model type, as well as for Behavioral Health </w:t>
      </w:r>
      <w:r>
        <w:rPr>
          <w:color w:val="3F3F3F"/>
          <w:sz w:val="23"/>
          <w:szCs w:val="23"/>
        </w:rPr>
        <w:t xml:space="preserve">and </w:t>
      </w:r>
      <w:r>
        <w:rPr>
          <w:color w:val="2B2B2B"/>
          <w:sz w:val="23"/>
          <w:szCs w:val="23"/>
        </w:rPr>
        <w:t xml:space="preserve">Long-Term  Care Support Services </w:t>
      </w:r>
      <w:r>
        <w:rPr>
          <w:color w:val="3F3F3F"/>
          <w:sz w:val="23"/>
          <w:szCs w:val="23"/>
        </w:rPr>
        <w:t>Commun</w:t>
      </w:r>
      <w:r>
        <w:rPr>
          <w:color w:val="1C1A1A"/>
          <w:sz w:val="23"/>
          <w:szCs w:val="23"/>
        </w:rPr>
        <w:t xml:space="preserve">ity Partners </w:t>
      </w:r>
      <w:r>
        <w:rPr>
          <w:color w:val="2B2B2B"/>
          <w:sz w:val="23"/>
          <w:szCs w:val="23"/>
        </w:rPr>
        <w:t xml:space="preserve">(CP), </w:t>
      </w:r>
      <w:r>
        <w:rPr>
          <w:color w:val="2B2B2B"/>
          <w:spacing w:val="8"/>
          <w:sz w:val="23"/>
          <w:szCs w:val="23"/>
        </w:rPr>
        <w:t xml:space="preserve"> </w:t>
      </w:r>
      <w:r>
        <w:rPr>
          <w:color w:val="2B2B2B"/>
          <w:sz w:val="23"/>
          <w:szCs w:val="23"/>
        </w:rPr>
        <w:t>respectively.</w:t>
      </w:r>
    </w:p>
    <w:p w:rsidR="002C5025" w:rsidRDefault="002C5025">
      <w:pPr>
        <w:pStyle w:val="ListParagraph"/>
        <w:numPr>
          <w:ilvl w:val="0"/>
          <w:numId w:val="1"/>
        </w:numPr>
        <w:tabs>
          <w:tab w:val="left" w:pos="847"/>
        </w:tabs>
        <w:kinsoku w:val="0"/>
        <w:overflowPunct w:val="0"/>
        <w:spacing w:before="28" w:line="247" w:lineRule="auto"/>
        <w:ind w:left="845" w:right="1742" w:hanging="359"/>
        <w:rPr>
          <w:color w:val="343333"/>
          <w:sz w:val="23"/>
          <w:szCs w:val="23"/>
        </w:rPr>
        <w:sectPr w:rsidR="002C5025">
          <w:pgSz w:w="12240" w:h="15840"/>
          <w:pgMar w:top="0" w:right="0" w:bottom="0" w:left="1280" w:header="720" w:footer="720" w:gutter="0"/>
          <w:cols w:space="720" w:equalWidth="0">
            <w:col w:w="10960"/>
          </w:cols>
          <w:noEndnote/>
        </w:sectPr>
      </w:pPr>
    </w:p>
    <w:p w:rsidR="002C5025" w:rsidRDefault="00FB027C">
      <w:pPr>
        <w:pStyle w:val="BodyText"/>
        <w:kinsoku w:val="0"/>
        <w:overflowPunct w:val="0"/>
        <w:rPr>
          <w:rFonts w:ascii="Times New Roman" w:hAnsi="Times New Roman" w:cs="Times New Roman"/>
          <w:sz w:val="20"/>
          <w:szCs w:val="20"/>
        </w:rPr>
      </w:pPr>
      <w:r>
        <w:rPr>
          <w:noProof/>
        </w:rPr>
        <w:lastRenderedPageBreak/>
        <mc:AlternateContent>
          <mc:Choice Requires="wps">
            <w:drawing>
              <wp:anchor distT="0" distB="0" distL="114300" distR="114300" simplePos="0" relativeHeight="251835904" behindDoc="0" locked="0" layoutInCell="0" allowOverlap="1">
                <wp:simplePos x="0" y="0"/>
                <wp:positionH relativeFrom="page">
                  <wp:posOffset>7721600</wp:posOffset>
                </wp:positionH>
                <wp:positionV relativeFrom="page">
                  <wp:posOffset>109220</wp:posOffset>
                </wp:positionV>
                <wp:extent cx="12700" cy="9916795"/>
                <wp:effectExtent l="0" t="0" r="0" b="0"/>
                <wp:wrapNone/>
                <wp:docPr id="16" name="Freeform 8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9916795"/>
                        </a:xfrm>
                        <a:custGeom>
                          <a:avLst/>
                          <a:gdLst>
                            <a:gd name="T0" fmla="*/ 0 w 20"/>
                            <a:gd name="T1" fmla="*/ 15617 h 15617"/>
                            <a:gd name="T2" fmla="*/ 0 w 20"/>
                            <a:gd name="T3" fmla="*/ 0 h 15617"/>
                          </a:gdLst>
                          <a:ahLst/>
                          <a:cxnLst>
                            <a:cxn ang="0">
                              <a:pos x="T0" y="T1"/>
                            </a:cxn>
                            <a:cxn ang="0">
                              <a:pos x="T2" y="T3"/>
                            </a:cxn>
                          </a:cxnLst>
                          <a:rect l="0" t="0" r="r" b="b"/>
                          <a:pathLst>
                            <a:path w="20" h="15617">
                              <a:moveTo>
                                <a:pt x="0" y="15617"/>
                              </a:moveTo>
                              <a:lnTo>
                                <a:pt x="0" y="0"/>
                              </a:lnTo>
                            </a:path>
                          </a:pathLst>
                        </a:custGeom>
                        <a:noFill/>
                        <a:ln w="22860">
                          <a:solidFill>
                            <a:srgbClr val="C4C4C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857" o:spid="_x0000_s1026" style="position:absolute;z-index:251835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08pt,789.45pt,608pt,8.6pt" coordsize="20,15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" o:allowincell="f" filled="f" strokecolor="#c4c4c4" strokeweight="1.8pt">
                <v:path arrowok="t" o:connecttype="custom" o:connectlocs="0,9916795;0,0" o:connectangles="0,0"/>
                <w10:wrap anchorx="page" anchory="page"/>
              </v:polyline>
            </w:pict>
          </mc:Fallback>
        </mc:AlternateConten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10"/>
        <w:rPr>
          <w:rFonts w:ascii="Times New Roman" w:hAnsi="Times New Roman" w:cs="Times New Roman"/>
          <w:sz w:val="15"/>
          <w:szCs w:val="15"/>
        </w:rPr>
      </w:pPr>
    </w:p>
    <w:p w:rsidR="002C5025" w:rsidRDefault="002C5025">
      <w:pPr>
        <w:pStyle w:val="BodyText"/>
        <w:kinsoku w:val="0"/>
        <w:overflowPunct w:val="0"/>
        <w:spacing w:before="71" w:line="247" w:lineRule="auto"/>
        <w:ind w:left="125" w:right="1765"/>
        <w:rPr>
          <w:rFonts w:ascii="Times New Roman" w:hAnsi="Times New Roman" w:cs="Times New Roman"/>
          <w:color w:val="211F1F"/>
          <w:sz w:val="23"/>
          <w:szCs w:val="23"/>
        </w:rPr>
      </w:pPr>
      <w:r>
        <w:rPr>
          <w:rFonts w:ascii="Times New Roman" w:hAnsi="Times New Roman" w:cs="Times New Roman"/>
          <w:color w:val="211F1F"/>
          <w:sz w:val="23"/>
          <w:szCs w:val="23"/>
        </w:rPr>
        <w:t>In addition, regarding the Safety Net Care Pool (SNCP), the following details would assist providers to better understand  the  SNCP's future</w:t>
      </w:r>
      <w:r>
        <w:rPr>
          <w:rFonts w:ascii="Times New Roman" w:hAnsi="Times New Roman" w:cs="Times New Roman"/>
          <w:color w:val="211F1F"/>
          <w:spacing w:val="51"/>
          <w:sz w:val="23"/>
          <w:szCs w:val="23"/>
        </w:rPr>
        <w:t xml:space="preserve"> </w:t>
      </w:r>
      <w:r>
        <w:rPr>
          <w:rFonts w:ascii="Times New Roman" w:hAnsi="Times New Roman" w:cs="Times New Roman"/>
          <w:color w:val="211F1F"/>
          <w:sz w:val="23"/>
          <w:szCs w:val="23"/>
        </w:rPr>
        <w:t>state:</w:t>
      </w:r>
    </w:p>
    <w:p w:rsidR="002C5025" w:rsidRDefault="002C5025">
      <w:pPr>
        <w:pStyle w:val="BodyText"/>
        <w:kinsoku w:val="0"/>
        <w:overflowPunct w:val="0"/>
        <w:spacing w:before="8"/>
        <w:rPr>
          <w:rFonts w:ascii="Times New Roman" w:hAnsi="Times New Roman" w:cs="Times New Roman"/>
          <w:sz w:val="19"/>
          <w:szCs w:val="19"/>
        </w:rPr>
      </w:pPr>
    </w:p>
    <w:p w:rsidR="002C5025" w:rsidRDefault="002C5025">
      <w:pPr>
        <w:pStyle w:val="ListParagraph"/>
        <w:numPr>
          <w:ilvl w:val="0"/>
          <w:numId w:val="1"/>
        </w:numPr>
        <w:tabs>
          <w:tab w:val="left" w:pos="846"/>
        </w:tabs>
        <w:kinsoku w:val="0"/>
        <w:overflowPunct w:val="0"/>
        <w:ind w:left="845" w:hanging="345"/>
        <w:rPr>
          <w:color w:val="343333"/>
          <w:sz w:val="23"/>
          <w:szCs w:val="23"/>
        </w:rPr>
      </w:pPr>
      <w:r>
        <w:rPr>
          <w:color w:val="211F1F"/>
          <w:sz w:val="23"/>
          <w:szCs w:val="23"/>
        </w:rPr>
        <w:t xml:space="preserve">The Safety Net Provider Payments funding distribution by  </w:t>
      </w:r>
      <w:r>
        <w:rPr>
          <w:color w:val="211F1F"/>
          <w:spacing w:val="23"/>
          <w:sz w:val="23"/>
          <w:szCs w:val="23"/>
        </w:rPr>
        <w:t xml:space="preserve"> </w:t>
      </w:r>
      <w:r>
        <w:rPr>
          <w:color w:val="211F1F"/>
          <w:sz w:val="23"/>
          <w:szCs w:val="23"/>
        </w:rPr>
        <w:t>hospital;</w:t>
      </w:r>
    </w:p>
    <w:p w:rsidR="002C5025" w:rsidRDefault="002C5025">
      <w:pPr>
        <w:pStyle w:val="ListParagraph"/>
        <w:numPr>
          <w:ilvl w:val="0"/>
          <w:numId w:val="1"/>
        </w:numPr>
        <w:tabs>
          <w:tab w:val="left" w:pos="846"/>
        </w:tabs>
        <w:kinsoku w:val="0"/>
        <w:overflowPunct w:val="0"/>
        <w:spacing w:before="28"/>
        <w:ind w:left="845" w:hanging="345"/>
        <w:rPr>
          <w:color w:val="343333"/>
          <w:sz w:val="23"/>
          <w:szCs w:val="23"/>
        </w:rPr>
      </w:pPr>
      <w:r>
        <w:rPr>
          <w:color w:val="313131"/>
          <w:sz w:val="23"/>
          <w:szCs w:val="23"/>
        </w:rPr>
        <w:t xml:space="preserve">The </w:t>
      </w:r>
      <w:r>
        <w:rPr>
          <w:color w:val="211F1F"/>
          <w:sz w:val="23"/>
          <w:szCs w:val="23"/>
        </w:rPr>
        <w:t xml:space="preserve">total HSN funding </w:t>
      </w:r>
      <w:r>
        <w:rPr>
          <w:color w:val="211F1F"/>
          <w:spacing w:val="16"/>
          <w:sz w:val="23"/>
          <w:szCs w:val="23"/>
        </w:rPr>
        <w:t xml:space="preserve"> </w:t>
      </w:r>
      <w:r>
        <w:rPr>
          <w:color w:val="211F1F"/>
          <w:sz w:val="23"/>
          <w:szCs w:val="23"/>
        </w:rPr>
        <w:t>amount;</w:t>
      </w:r>
    </w:p>
    <w:p w:rsidR="002C5025" w:rsidRDefault="002C5025">
      <w:pPr>
        <w:pStyle w:val="ListParagraph"/>
        <w:numPr>
          <w:ilvl w:val="0"/>
          <w:numId w:val="1"/>
        </w:numPr>
        <w:tabs>
          <w:tab w:val="left" w:pos="839"/>
        </w:tabs>
        <w:kinsoku w:val="0"/>
        <w:overflowPunct w:val="0"/>
        <w:spacing w:before="30"/>
        <w:ind w:left="838" w:hanging="338"/>
        <w:rPr>
          <w:color w:val="343333"/>
          <w:sz w:val="23"/>
          <w:szCs w:val="23"/>
        </w:rPr>
      </w:pPr>
      <w:r>
        <w:rPr>
          <w:color w:val="211F1F"/>
          <w:sz w:val="23"/>
          <w:szCs w:val="23"/>
        </w:rPr>
        <w:t xml:space="preserve">Uncompensated  Care Pool funding distribution by provider type (e.g. hospitals,  </w:t>
      </w:r>
      <w:r>
        <w:rPr>
          <w:color w:val="211F1F"/>
          <w:spacing w:val="35"/>
          <w:sz w:val="23"/>
          <w:szCs w:val="23"/>
        </w:rPr>
        <w:t xml:space="preserve"> </w:t>
      </w:r>
      <w:r>
        <w:rPr>
          <w:color w:val="211F1F"/>
          <w:sz w:val="23"/>
          <w:szCs w:val="23"/>
        </w:rPr>
        <w:t>CHCs)</w:t>
      </w:r>
    </w:p>
    <w:p w:rsidR="002C5025" w:rsidRDefault="002C5025">
      <w:pPr>
        <w:pStyle w:val="ListParagraph"/>
        <w:numPr>
          <w:ilvl w:val="0"/>
          <w:numId w:val="1"/>
        </w:numPr>
        <w:tabs>
          <w:tab w:val="left" w:pos="832"/>
        </w:tabs>
        <w:kinsoku w:val="0"/>
        <w:overflowPunct w:val="0"/>
        <w:spacing w:before="30" w:line="247" w:lineRule="auto"/>
        <w:ind w:left="831" w:right="2053" w:hanging="331"/>
        <w:rPr>
          <w:color w:val="343333"/>
          <w:sz w:val="23"/>
          <w:szCs w:val="23"/>
        </w:rPr>
      </w:pPr>
      <w:r>
        <w:rPr>
          <w:color w:val="211F1F"/>
          <w:sz w:val="23"/>
          <w:szCs w:val="23"/>
        </w:rPr>
        <w:t>MassHealth's methodology to determine hospitals that qualify for the Safety Net Provider Payments pool, including identification of the eleven hospitals that the state proposes will</w:t>
      </w:r>
      <w:r>
        <w:rPr>
          <w:color w:val="211F1F"/>
          <w:spacing w:val="48"/>
          <w:sz w:val="23"/>
          <w:szCs w:val="23"/>
        </w:rPr>
        <w:t xml:space="preserve"> </w:t>
      </w:r>
      <w:r>
        <w:rPr>
          <w:color w:val="211F1F"/>
          <w:sz w:val="23"/>
          <w:szCs w:val="23"/>
        </w:rPr>
        <w:t>qualify.</w:t>
      </w:r>
    </w:p>
    <w:p w:rsidR="002C5025" w:rsidRDefault="002C5025">
      <w:pPr>
        <w:pStyle w:val="BodyText"/>
        <w:kinsoku w:val="0"/>
        <w:overflowPunct w:val="0"/>
        <w:spacing w:before="10"/>
        <w:rPr>
          <w:rFonts w:ascii="Times New Roman" w:hAnsi="Times New Roman" w:cs="Times New Roman"/>
          <w:sz w:val="17"/>
          <w:szCs w:val="17"/>
        </w:rPr>
      </w:pPr>
    </w:p>
    <w:p w:rsidR="002C5025" w:rsidRDefault="002C5025">
      <w:pPr>
        <w:pStyle w:val="BodyText"/>
        <w:kinsoku w:val="0"/>
        <w:overflowPunct w:val="0"/>
        <w:ind w:left="140" w:right="1546"/>
        <w:rPr>
          <w:rFonts w:ascii="Times New Roman" w:hAnsi="Times New Roman" w:cs="Times New Roman"/>
          <w:color w:val="211F1F"/>
          <w:w w:val="105"/>
          <w:sz w:val="23"/>
          <w:szCs w:val="23"/>
        </w:rPr>
      </w:pPr>
      <w:r>
        <w:rPr>
          <w:rFonts w:ascii="Times New Roman" w:hAnsi="Times New Roman" w:cs="Times New Roman"/>
          <w:color w:val="211F1F"/>
          <w:w w:val="105"/>
          <w:sz w:val="23"/>
          <w:szCs w:val="23"/>
          <w:u w:val="thick" w:color="000000"/>
        </w:rPr>
        <w:t>Clarify Total Cost of  Care Methodology for  ACOs</w:t>
      </w:r>
    </w:p>
    <w:p w:rsidR="002C5025" w:rsidRDefault="002C5025">
      <w:pPr>
        <w:pStyle w:val="BodyText"/>
        <w:kinsoku w:val="0"/>
        <w:overflowPunct w:val="0"/>
        <w:spacing w:before="6" w:line="249" w:lineRule="auto"/>
        <w:ind w:left="125" w:right="1546"/>
        <w:rPr>
          <w:rFonts w:ascii="Times New Roman" w:hAnsi="Times New Roman" w:cs="Times New Roman"/>
          <w:color w:val="211F1F"/>
          <w:spacing w:val="2"/>
          <w:w w:val="105"/>
          <w:sz w:val="23"/>
          <w:szCs w:val="23"/>
        </w:rPr>
      </w:pPr>
      <w:r>
        <w:rPr>
          <w:rFonts w:ascii="Times New Roman" w:hAnsi="Times New Roman" w:cs="Times New Roman"/>
          <w:color w:val="211F1F"/>
          <w:w w:val="105"/>
          <w:sz w:val="23"/>
          <w:szCs w:val="23"/>
        </w:rPr>
        <w:t xml:space="preserve">While we strongly support </w:t>
      </w:r>
      <w:r>
        <w:rPr>
          <w:rFonts w:ascii="Times New Roman" w:hAnsi="Times New Roman" w:cs="Times New Roman"/>
          <w:color w:val="211F1F"/>
          <w:spacing w:val="3"/>
          <w:w w:val="105"/>
          <w:sz w:val="23"/>
          <w:szCs w:val="23"/>
        </w:rPr>
        <w:t>MassHealth</w:t>
      </w:r>
      <w:r>
        <w:rPr>
          <w:rFonts w:ascii="Times New Roman" w:hAnsi="Times New Roman" w:cs="Times New Roman"/>
          <w:color w:val="4C4C4C"/>
          <w:spacing w:val="3"/>
          <w:w w:val="105"/>
          <w:sz w:val="23"/>
          <w:szCs w:val="23"/>
        </w:rPr>
        <w:t>'</w:t>
      </w:r>
      <w:r>
        <w:rPr>
          <w:rFonts w:ascii="Times New Roman" w:hAnsi="Times New Roman" w:cs="Times New Roman"/>
          <w:color w:val="211F1F"/>
          <w:spacing w:val="3"/>
          <w:w w:val="105"/>
          <w:sz w:val="23"/>
          <w:szCs w:val="23"/>
        </w:rPr>
        <w:t xml:space="preserve">s </w:t>
      </w:r>
      <w:r>
        <w:rPr>
          <w:rFonts w:ascii="Times New Roman" w:hAnsi="Times New Roman" w:cs="Times New Roman"/>
          <w:color w:val="211F1F"/>
          <w:w w:val="105"/>
          <w:sz w:val="23"/>
          <w:szCs w:val="23"/>
        </w:rPr>
        <w:t>transition from fee-for-service to accountable care, additional</w:t>
      </w:r>
      <w:r>
        <w:rPr>
          <w:rFonts w:ascii="Times New Roman" w:hAnsi="Times New Roman" w:cs="Times New Roman"/>
          <w:color w:val="211F1F"/>
          <w:spacing w:val="-10"/>
          <w:w w:val="105"/>
          <w:sz w:val="23"/>
          <w:szCs w:val="23"/>
        </w:rPr>
        <w:t xml:space="preserve"> </w:t>
      </w:r>
      <w:r>
        <w:rPr>
          <w:rFonts w:ascii="Times New Roman" w:hAnsi="Times New Roman" w:cs="Times New Roman"/>
          <w:color w:val="211F1F"/>
          <w:spacing w:val="-3"/>
          <w:w w:val="105"/>
          <w:sz w:val="23"/>
          <w:szCs w:val="23"/>
        </w:rPr>
        <w:t>info1mation</w:t>
      </w:r>
      <w:r>
        <w:rPr>
          <w:rFonts w:ascii="Times New Roman" w:hAnsi="Times New Roman" w:cs="Times New Roman"/>
          <w:color w:val="211F1F"/>
          <w:spacing w:val="-10"/>
          <w:w w:val="105"/>
          <w:sz w:val="23"/>
          <w:szCs w:val="23"/>
        </w:rPr>
        <w:t xml:space="preserve"> </w:t>
      </w:r>
      <w:r>
        <w:rPr>
          <w:rFonts w:ascii="Times New Roman" w:hAnsi="Times New Roman" w:cs="Times New Roman"/>
          <w:color w:val="211F1F"/>
          <w:w w:val="105"/>
          <w:sz w:val="23"/>
          <w:szCs w:val="23"/>
        </w:rPr>
        <w:t>on</w:t>
      </w:r>
      <w:r>
        <w:rPr>
          <w:rFonts w:ascii="Times New Roman" w:hAnsi="Times New Roman" w:cs="Times New Roman"/>
          <w:color w:val="211F1F"/>
          <w:spacing w:val="-30"/>
          <w:w w:val="105"/>
          <w:sz w:val="23"/>
          <w:szCs w:val="23"/>
        </w:rPr>
        <w:t xml:space="preserve"> </w:t>
      </w:r>
      <w:r>
        <w:rPr>
          <w:rFonts w:ascii="Times New Roman" w:hAnsi="Times New Roman" w:cs="Times New Roman"/>
          <w:color w:val="211F1F"/>
          <w:w w:val="105"/>
          <w:sz w:val="23"/>
          <w:szCs w:val="23"/>
        </w:rPr>
        <w:t>how</w:t>
      </w:r>
      <w:r>
        <w:rPr>
          <w:rFonts w:ascii="Times New Roman" w:hAnsi="Times New Roman" w:cs="Times New Roman"/>
          <w:color w:val="211F1F"/>
          <w:spacing w:val="-21"/>
          <w:w w:val="105"/>
          <w:sz w:val="23"/>
          <w:szCs w:val="23"/>
        </w:rPr>
        <w:t xml:space="preserve"> </w:t>
      </w:r>
      <w:r>
        <w:rPr>
          <w:rFonts w:ascii="Times New Roman" w:hAnsi="Times New Roman" w:cs="Times New Roman"/>
          <w:color w:val="211F1F"/>
          <w:w w:val="105"/>
          <w:sz w:val="23"/>
          <w:szCs w:val="23"/>
        </w:rPr>
        <w:t>the</w:t>
      </w:r>
      <w:r>
        <w:rPr>
          <w:rFonts w:ascii="Times New Roman" w:hAnsi="Times New Roman" w:cs="Times New Roman"/>
          <w:color w:val="211F1F"/>
          <w:spacing w:val="-15"/>
          <w:w w:val="105"/>
          <w:sz w:val="23"/>
          <w:szCs w:val="23"/>
        </w:rPr>
        <w:t xml:space="preserve"> </w:t>
      </w:r>
      <w:r>
        <w:rPr>
          <w:rFonts w:ascii="Times New Roman" w:hAnsi="Times New Roman" w:cs="Times New Roman"/>
          <w:color w:val="211F1F"/>
          <w:w w:val="105"/>
          <w:sz w:val="23"/>
          <w:szCs w:val="23"/>
        </w:rPr>
        <w:t>Total</w:t>
      </w:r>
      <w:r>
        <w:rPr>
          <w:rFonts w:ascii="Times New Roman" w:hAnsi="Times New Roman" w:cs="Times New Roman"/>
          <w:color w:val="211F1F"/>
          <w:spacing w:val="-10"/>
          <w:w w:val="105"/>
          <w:sz w:val="23"/>
          <w:szCs w:val="23"/>
        </w:rPr>
        <w:t xml:space="preserve"> </w:t>
      </w:r>
      <w:r>
        <w:rPr>
          <w:rFonts w:ascii="Times New Roman" w:hAnsi="Times New Roman" w:cs="Times New Roman"/>
          <w:color w:val="211F1F"/>
          <w:w w:val="105"/>
          <w:sz w:val="23"/>
          <w:szCs w:val="23"/>
        </w:rPr>
        <w:t>Cost</w:t>
      </w:r>
      <w:r>
        <w:rPr>
          <w:rFonts w:ascii="Times New Roman" w:hAnsi="Times New Roman" w:cs="Times New Roman"/>
          <w:color w:val="211F1F"/>
          <w:spacing w:val="-21"/>
          <w:w w:val="105"/>
          <w:sz w:val="23"/>
          <w:szCs w:val="23"/>
        </w:rPr>
        <w:t xml:space="preserve"> </w:t>
      </w:r>
      <w:r>
        <w:rPr>
          <w:rFonts w:ascii="Times New Roman" w:hAnsi="Times New Roman" w:cs="Times New Roman"/>
          <w:color w:val="211F1F"/>
          <w:w w:val="105"/>
          <w:sz w:val="23"/>
          <w:szCs w:val="23"/>
        </w:rPr>
        <w:t>of</w:t>
      </w:r>
      <w:r>
        <w:rPr>
          <w:rFonts w:ascii="Times New Roman" w:hAnsi="Times New Roman" w:cs="Times New Roman"/>
          <w:color w:val="211F1F"/>
          <w:spacing w:val="-14"/>
          <w:w w:val="105"/>
          <w:sz w:val="23"/>
          <w:szCs w:val="23"/>
        </w:rPr>
        <w:t xml:space="preserve"> </w:t>
      </w:r>
      <w:r>
        <w:rPr>
          <w:rFonts w:ascii="Times New Roman" w:hAnsi="Times New Roman" w:cs="Times New Roman"/>
          <w:color w:val="211F1F"/>
          <w:w w:val="105"/>
          <w:sz w:val="23"/>
          <w:szCs w:val="23"/>
        </w:rPr>
        <w:t>Care</w:t>
      </w:r>
      <w:r>
        <w:rPr>
          <w:rFonts w:ascii="Times New Roman" w:hAnsi="Times New Roman" w:cs="Times New Roman"/>
          <w:color w:val="211F1F"/>
          <w:spacing w:val="-17"/>
          <w:w w:val="105"/>
          <w:sz w:val="23"/>
          <w:szCs w:val="23"/>
        </w:rPr>
        <w:t xml:space="preserve"> </w:t>
      </w:r>
      <w:r>
        <w:rPr>
          <w:rFonts w:ascii="Times New Roman" w:hAnsi="Times New Roman" w:cs="Times New Roman"/>
          <w:color w:val="211F1F"/>
          <w:spacing w:val="2"/>
          <w:w w:val="105"/>
          <w:sz w:val="23"/>
          <w:szCs w:val="23"/>
        </w:rPr>
        <w:t>(TCOC)</w:t>
      </w:r>
      <w:r>
        <w:rPr>
          <w:rFonts w:ascii="Times New Roman" w:hAnsi="Times New Roman" w:cs="Times New Roman"/>
          <w:color w:val="211F1F"/>
          <w:spacing w:val="-20"/>
          <w:w w:val="105"/>
          <w:sz w:val="23"/>
          <w:szCs w:val="23"/>
        </w:rPr>
        <w:t xml:space="preserve"> </w:t>
      </w:r>
      <w:r>
        <w:rPr>
          <w:rFonts w:ascii="Times New Roman" w:hAnsi="Times New Roman" w:cs="Times New Roman"/>
          <w:color w:val="211F1F"/>
          <w:w w:val="105"/>
          <w:sz w:val="23"/>
          <w:szCs w:val="23"/>
        </w:rPr>
        <w:t>benchmark</w:t>
      </w:r>
      <w:r>
        <w:rPr>
          <w:rFonts w:ascii="Times New Roman" w:hAnsi="Times New Roman" w:cs="Times New Roman"/>
          <w:color w:val="211F1F"/>
          <w:spacing w:val="-6"/>
          <w:w w:val="105"/>
          <w:sz w:val="23"/>
          <w:szCs w:val="23"/>
        </w:rPr>
        <w:t xml:space="preserve"> </w:t>
      </w:r>
      <w:r>
        <w:rPr>
          <w:rFonts w:ascii="Times New Roman" w:hAnsi="Times New Roman" w:cs="Times New Roman"/>
          <w:color w:val="211F1F"/>
          <w:w w:val="105"/>
          <w:sz w:val="23"/>
          <w:szCs w:val="23"/>
        </w:rPr>
        <w:t>will</w:t>
      </w:r>
      <w:r>
        <w:rPr>
          <w:rFonts w:ascii="Times New Roman" w:hAnsi="Times New Roman" w:cs="Times New Roman"/>
          <w:color w:val="211F1F"/>
          <w:spacing w:val="-12"/>
          <w:w w:val="105"/>
          <w:sz w:val="23"/>
          <w:szCs w:val="23"/>
        </w:rPr>
        <w:t xml:space="preserve"> </w:t>
      </w:r>
      <w:r>
        <w:rPr>
          <w:rFonts w:ascii="Times New Roman" w:hAnsi="Times New Roman" w:cs="Times New Roman"/>
          <w:color w:val="211F1F"/>
          <w:w w:val="105"/>
          <w:sz w:val="23"/>
          <w:szCs w:val="23"/>
        </w:rPr>
        <w:t>be</w:t>
      </w:r>
      <w:r>
        <w:rPr>
          <w:rFonts w:ascii="Times New Roman" w:hAnsi="Times New Roman" w:cs="Times New Roman"/>
          <w:color w:val="211F1F"/>
          <w:spacing w:val="-11"/>
          <w:w w:val="105"/>
          <w:sz w:val="23"/>
          <w:szCs w:val="23"/>
        </w:rPr>
        <w:t xml:space="preserve"> </w:t>
      </w:r>
      <w:r>
        <w:rPr>
          <w:rFonts w:ascii="Times New Roman" w:hAnsi="Times New Roman" w:cs="Times New Roman"/>
          <w:color w:val="211F1F"/>
          <w:w w:val="105"/>
          <w:sz w:val="23"/>
          <w:szCs w:val="23"/>
        </w:rPr>
        <w:t>calculated</w:t>
      </w:r>
      <w:r>
        <w:rPr>
          <w:rFonts w:ascii="Times New Roman" w:hAnsi="Times New Roman" w:cs="Times New Roman"/>
          <w:color w:val="211F1F"/>
          <w:spacing w:val="-19"/>
          <w:w w:val="105"/>
          <w:sz w:val="23"/>
          <w:szCs w:val="23"/>
        </w:rPr>
        <w:t xml:space="preserve"> </w:t>
      </w:r>
      <w:r>
        <w:rPr>
          <w:rFonts w:ascii="Times New Roman" w:hAnsi="Times New Roman" w:cs="Times New Roman"/>
          <w:color w:val="211F1F"/>
          <w:w w:val="105"/>
          <w:sz w:val="23"/>
          <w:szCs w:val="23"/>
        </w:rPr>
        <w:t xml:space="preserve">is essential as providers consider shifting to </w:t>
      </w:r>
      <w:r>
        <w:rPr>
          <w:rFonts w:ascii="Times New Roman" w:hAnsi="Times New Roman" w:cs="Times New Roman"/>
          <w:color w:val="211F1F"/>
          <w:spacing w:val="3"/>
          <w:w w:val="105"/>
          <w:sz w:val="23"/>
          <w:szCs w:val="23"/>
        </w:rPr>
        <w:t>ACOs</w:t>
      </w:r>
      <w:r>
        <w:rPr>
          <w:rFonts w:ascii="Times New Roman" w:hAnsi="Times New Roman" w:cs="Times New Roman"/>
          <w:color w:val="4C4C4C"/>
          <w:spacing w:val="3"/>
          <w:w w:val="105"/>
          <w:sz w:val="23"/>
          <w:szCs w:val="23"/>
        </w:rPr>
        <w:t xml:space="preserve">. </w:t>
      </w:r>
      <w:r>
        <w:rPr>
          <w:rFonts w:ascii="Times New Roman" w:hAnsi="Times New Roman" w:cs="Times New Roman"/>
          <w:color w:val="211F1F"/>
          <w:w w:val="105"/>
          <w:sz w:val="23"/>
          <w:szCs w:val="23"/>
        </w:rPr>
        <w:t xml:space="preserve">Steward </w:t>
      </w:r>
      <w:r>
        <w:rPr>
          <w:rFonts w:ascii="Times New Roman" w:hAnsi="Times New Roman" w:cs="Times New Roman"/>
          <w:color w:val="313131"/>
          <w:w w:val="105"/>
          <w:sz w:val="23"/>
          <w:szCs w:val="23"/>
        </w:rPr>
        <w:t xml:space="preserve">recommends </w:t>
      </w:r>
      <w:r>
        <w:rPr>
          <w:rFonts w:ascii="Times New Roman" w:hAnsi="Times New Roman" w:cs="Times New Roman"/>
          <w:color w:val="211F1F"/>
          <w:w w:val="105"/>
          <w:sz w:val="23"/>
          <w:szCs w:val="23"/>
        </w:rPr>
        <w:t>using MassHealth's newly</w:t>
      </w:r>
      <w:r>
        <w:rPr>
          <w:rFonts w:ascii="Times New Roman" w:hAnsi="Times New Roman" w:cs="Times New Roman"/>
          <w:color w:val="211F1F"/>
          <w:spacing w:val="-17"/>
          <w:w w:val="105"/>
          <w:sz w:val="23"/>
          <w:szCs w:val="23"/>
        </w:rPr>
        <w:t xml:space="preserve"> </w:t>
      </w:r>
      <w:r>
        <w:rPr>
          <w:rFonts w:ascii="Times New Roman" w:hAnsi="Times New Roman" w:cs="Times New Roman"/>
          <w:color w:val="211F1F"/>
          <w:w w:val="105"/>
          <w:sz w:val="23"/>
          <w:szCs w:val="23"/>
        </w:rPr>
        <w:t>proposed</w:t>
      </w:r>
      <w:r>
        <w:rPr>
          <w:rFonts w:ascii="Times New Roman" w:hAnsi="Times New Roman" w:cs="Times New Roman"/>
          <w:color w:val="211F1F"/>
          <w:spacing w:val="-8"/>
          <w:w w:val="105"/>
          <w:sz w:val="23"/>
          <w:szCs w:val="23"/>
        </w:rPr>
        <w:t xml:space="preserve"> </w:t>
      </w:r>
      <w:r>
        <w:rPr>
          <w:rFonts w:ascii="Times New Roman" w:hAnsi="Times New Roman" w:cs="Times New Roman"/>
          <w:color w:val="211F1F"/>
          <w:w w:val="105"/>
          <w:sz w:val="23"/>
          <w:szCs w:val="23"/>
        </w:rPr>
        <w:t>hospital</w:t>
      </w:r>
      <w:r>
        <w:rPr>
          <w:rFonts w:ascii="Times New Roman" w:hAnsi="Times New Roman" w:cs="Times New Roman"/>
          <w:color w:val="211F1F"/>
          <w:spacing w:val="-17"/>
          <w:w w:val="105"/>
          <w:sz w:val="23"/>
          <w:szCs w:val="23"/>
        </w:rPr>
        <w:t xml:space="preserve"> </w:t>
      </w:r>
      <w:r>
        <w:rPr>
          <w:rFonts w:ascii="Times New Roman" w:hAnsi="Times New Roman" w:cs="Times New Roman"/>
          <w:color w:val="211F1F"/>
          <w:w w:val="105"/>
          <w:sz w:val="23"/>
          <w:szCs w:val="23"/>
        </w:rPr>
        <w:t>rates</w:t>
      </w:r>
      <w:r>
        <w:rPr>
          <w:rFonts w:ascii="Times New Roman" w:hAnsi="Times New Roman" w:cs="Times New Roman"/>
          <w:color w:val="211F1F"/>
          <w:spacing w:val="-21"/>
          <w:w w:val="105"/>
          <w:sz w:val="23"/>
          <w:szCs w:val="23"/>
        </w:rPr>
        <w:t xml:space="preserve"> </w:t>
      </w:r>
      <w:r>
        <w:rPr>
          <w:rFonts w:ascii="Times New Roman" w:hAnsi="Times New Roman" w:cs="Times New Roman"/>
          <w:color w:val="211F1F"/>
          <w:w w:val="105"/>
          <w:sz w:val="23"/>
          <w:szCs w:val="23"/>
        </w:rPr>
        <w:t>resulting</w:t>
      </w:r>
      <w:r>
        <w:rPr>
          <w:rFonts w:ascii="Times New Roman" w:hAnsi="Times New Roman" w:cs="Times New Roman"/>
          <w:color w:val="211F1F"/>
          <w:spacing w:val="-12"/>
          <w:w w:val="105"/>
          <w:sz w:val="23"/>
          <w:szCs w:val="23"/>
        </w:rPr>
        <w:t xml:space="preserve"> </w:t>
      </w:r>
      <w:r>
        <w:rPr>
          <w:rFonts w:ascii="Times New Roman" w:hAnsi="Times New Roman" w:cs="Times New Roman"/>
          <w:color w:val="211F1F"/>
          <w:w w:val="105"/>
          <w:sz w:val="23"/>
          <w:szCs w:val="23"/>
        </w:rPr>
        <w:t>from</w:t>
      </w:r>
      <w:r>
        <w:rPr>
          <w:rFonts w:ascii="Times New Roman" w:hAnsi="Times New Roman" w:cs="Times New Roman"/>
          <w:color w:val="211F1F"/>
          <w:spacing w:val="-20"/>
          <w:w w:val="105"/>
          <w:sz w:val="23"/>
          <w:szCs w:val="23"/>
        </w:rPr>
        <w:t xml:space="preserve"> </w:t>
      </w:r>
      <w:r>
        <w:rPr>
          <w:rFonts w:ascii="Times New Roman" w:hAnsi="Times New Roman" w:cs="Times New Roman"/>
          <w:color w:val="211F1F"/>
          <w:w w:val="105"/>
          <w:sz w:val="23"/>
          <w:szCs w:val="23"/>
        </w:rPr>
        <w:t>the</w:t>
      </w:r>
      <w:r>
        <w:rPr>
          <w:rFonts w:ascii="Times New Roman" w:hAnsi="Times New Roman" w:cs="Times New Roman"/>
          <w:color w:val="211F1F"/>
          <w:spacing w:val="-16"/>
          <w:w w:val="105"/>
          <w:sz w:val="23"/>
          <w:szCs w:val="23"/>
        </w:rPr>
        <w:t xml:space="preserve"> </w:t>
      </w:r>
      <w:r>
        <w:rPr>
          <w:rFonts w:ascii="Times New Roman" w:hAnsi="Times New Roman" w:cs="Times New Roman"/>
          <w:color w:val="211F1F"/>
          <w:w w:val="105"/>
          <w:sz w:val="23"/>
          <w:szCs w:val="23"/>
        </w:rPr>
        <w:t>assessment</w:t>
      </w:r>
      <w:r>
        <w:rPr>
          <w:rFonts w:ascii="Times New Roman" w:hAnsi="Times New Roman" w:cs="Times New Roman"/>
          <w:color w:val="211F1F"/>
          <w:spacing w:val="-15"/>
          <w:w w:val="105"/>
          <w:sz w:val="23"/>
          <w:szCs w:val="23"/>
        </w:rPr>
        <w:t xml:space="preserve"> </w:t>
      </w:r>
      <w:r>
        <w:rPr>
          <w:rFonts w:ascii="Times New Roman" w:hAnsi="Times New Roman" w:cs="Times New Roman"/>
          <w:color w:val="211F1F"/>
          <w:w w:val="105"/>
          <w:sz w:val="23"/>
          <w:szCs w:val="23"/>
        </w:rPr>
        <w:t>impact</w:t>
      </w:r>
      <w:r>
        <w:rPr>
          <w:rFonts w:ascii="Times New Roman" w:hAnsi="Times New Roman" w:cs="Times New Roman"/>
          <w:color w:val="211F1F"/>
          <w:spacing w:val="-23"/>
          <w:w w:val="105"/>
          <w:sz w:val="23"/>
          <w:szCs w:val="23"/>
        </w:rPr>
        <w:t xml:space="preserve"> </w:t>
      </w:r>
      <w:r>
        <w:rPr>
          <w:rFonts w:ascii="Times New Roman" w:hAnsi="Times New Roman" w:cs="Times New Roman"/>
          <w:color w:val="211F1F"/>
          <w:w w:val="105"/>
          <w:sz w:val="23"/>
          <w:szCs w:val="23"/>
        </w:rPr>
        <w:t>to</w:t>
      </w:r>
      <w:r>
        <w:rPr>
          <w:rFonts w:ascii="Times New Roman" w:hAnsi="Times New Roman" w:cs="Times New Roman"/>
          <w:color w:val="211F1F"/>
          <w:spacing w:val="-10"/>
          <w:w w:val="105"/>
          <w:sz w:val="23"/>
          <w:szCs w:val="23"/>
        </w:rPr>
        <w:t xml:space="preserve"> </w:t>
      </w:r>
      <w:r>
        <w:rPr>
          <w:rFonts w:ascii="Times New Roman" w:hAnsi="Times New Roman" w:cs="Times New Roman"/>
          <w:color w:val="211F1F"/>
          <w:w w:val="105"/>
          <w:sz w:val="23"/>
          <w:szCs w:val="23"/>
        </w:rPr>
        <w:t>calculate</w:t>
      </w:r>
      <w:r>
        <w:rPr>
          <w:rFonts w:ascii="Times New Roman" w:hAnsi="Times New Roman" w:cs="Times New Roman"/>
          <w:color w:val="211F1F"/>
          <w:spacing w:val="-20"/>
          <w:w w:val="105"/>
          <w:sz w:val="23"/>
          <w:szCs w:val="23"/>
        </w:rPr>
        <w:t xml:space="preserve"> </w:t>
      </w:r>
      <w:r>
        <w:rPr>
          <w:rFonts w:ascii="Times New Roman" w:hAnsi="Times New Roman" w:cs="Times New Roman"/>
          <w:color w:val="211F1F"/>
          <w:w w:val="105"/>
          <w:sz w:val="23"/>
          <w:szCs w:val="23"/>
        </w:rPr>
        <w:t>the</w:t>
      </w:r>
      <w:r>
        <w:rPr>
          <w:rFonts w:ascii="Times New Roman" w:hAnsi="Times New Roman" w:cs="Times New Roman"/>
          <w:color w:val="211F1F"/>
          <w:spacing w:val="-22"/>
          <w:w w:val="105"/>
          <w:sz w:val="23"/>
          <w:szCs w:val="23"/>
        </w:rPr>
        <w:t xml:space="preserve"> </w:t>
      </w:r>
      <w:r>
        <w:rPr>
          <w:rFonts w:ascii="Times New Roman" w:hAnsi="Times New Roman" w:cs="Times New Roman"/>
          <w:color w:val="211F1F"/>
          <w:w w:val="105"/>
          <w:sz w:val="23"/>
          <w:szCs w:val="23"/>
        </w:rPr>
        <w:t>total</w:t>
      </w:r>
      <w:r>
        <w:rPr>
          <w:rFonts w:ascii="Times New Roman" w:hAnsi="Times New Roman" w:cs="Times New Roman"/>
          <w:color w:val="211F1F"/>
          <w:spacing w:val="-13"/>
          <w:w w:val="105"/>
          <w:sz w:val="23"/>
          <w:szCs w:val="23"/>
        </w:rPr>
        <w:t xml:space="preserve"> </w:t>
      </w:r>
      <w:r>
        <w:rPr>
          <w:rFonts w:ascii="Times New Roman" w:hAnsi="Times New Roman" w:cs="Times New Roman"/>
          <w:color w:val="211F1F"/>
          <w:w w:val="105"/>
          <w:sz w:val="23"/>
          <w:szCs w:val="23"/>
        </w:rPr>
        <w:t>cost</w:t>
      </w:r>
      <w:r>
        <w:rPr>
          <w:rFonts w:ascii="Times New Roman" w:hAnsi="Times New Roman" w:cs="Times New Roman"/>
          <w:color w:val="211F1F"/>
          <w:spacing w:val="-17"/>
          <w:w w:val="105"/>
          <w:sz w:val="23"/>
          <w:szCs w:val="23"/>
        </w:rPr>
        <w:t xml:space="preserve"> </w:t>
      </w:r>
      <w:r>
        <w:rPr>
          <w:rFonts w:ascii="Times New Roman" w:hAnsi="Times New Roman" w:cs="Times New Roman"/>
          <w:color w:val="211F1F"/>
          <w:spacing w:val="4"/>
          <w:w w:val="105"/>
          <w:sz w:val="23"/>
          <w:szCs w:val="23"/>
        </w:rPr>
        <w:t xml:space="preserve">of </w:t>
      </w:r>
      <w:r>
        <w:rPr>
          <w:rFonts w:ascii="Times New Roman" w:hAnsi="Times New Roman" w:cs="Times New Roman"/>
          <w:color w:val="211F1F"/>
          <w:w w:val="105"/>
          <w:sz w:val="23"/>
          <w:szCs w:val="23"/>
        </w:rPr>
        <w:t>care</w:t>
      </w:r>
      <w:r>
        <w:rPr>
          <w:rFonts w:ascii="Times New Roman" w:hAnsi="Times New Roman" w:cs="Times New Roman"/>
          <w:color w:val="211F1F"/>
          <w:spacing w:val="-29"/>
          <w:w w:val="105"/>
          <w:sz w:val="23"/>
          <w:szCs w:val="23"/>
        </w:rPr>
        <w:t xml:space="preserve"> </w:t>
      </w:r>
      <w:r>
        <w:rPr>
          <w:rFonts w:ascii="Times New Roman" w:hAnsi="Times New Roman" w:cs="Times New Roman"/>
          <w:color w:val="211F1F"/>
          <w:w w:val="105"/>
          <w:sz w:val="23"/>
          <w:szCs w:val="23"/>
        </w:rPr>
        <w:t>benchmark</w:t>
      </w:r>
      <w:r>
        <w:rPr>
          <w:rFonts w:ascii="Times New Roman" w:hAnsi="Times New Roman" w:cs="Times New Roman"/>
          <w:color w:val="211F1F"/>
          <w:spacing w:val="-35"/>
          <w:w w:val="105"/>
          <w:sz w:val="23"/>
          <w:szCs w:val="23"/>
        </w:rPr>
        <w:t xml:space="preserve"> </w:t>
      </w:r>
      <w:r>
        <w:rPr>
          <w:rFonts w:ascii="Times New Roman" w:hAnsi="Times New Roman" w:cs="Times New Roman"/>
          <w:color w:val="4C4C4C"/>
          <w:w w:val="105"/>
          <w:sz w:val="23"/>
          <w:szCs w:val="23"/>
        </w:rPr>
        <w:t>.</w:t>
      </w:r>
      <w:r>
        <w:rPr>
          <w:rFonts w:ascii="Times New Roman" w:hAnsi="Times New Roman" w:cs="Times New Roman"/>
          <w:color w:val="4C4C4C"/>
          <w:spacing w:val="-38"/>
          <w:w w:val="105"/>
          <w:sz w:val="23"/>
          <w:szCs w:val="23"/>
        </w:rPr>
        <w:t xml:space="preserve"> </w:t>
      </w:r>
      <w:r>
        <w:rPr>
          <w:rFonts w:ascii="Times New Roman" w:hAnsi="Times New Roman" w:cs="Times New Roman"/>
          <w:color w:val="211F1F"/>
          <w:w w:val="105"/>
          <w:sz w:val="23"/>
          <w:szCs w:val="23"/>
        </w:rPr>
        <w:t>We</w:t>
      </w:r>
      <w:r>
        <w:rPr>
          <w:rFonts w:ascii="Times New Roman" w:hAnsi="Times New Roman" w:cs="Times New Roman"/>
          <w:color w:val="211F1F"/>
          <w:spacing w:val="-14"/>
          <w:w w:val="105"/>
          <w:sz w:val="23"/>
          <w:szCs w:val="23"/>
        </w:rPr>
        <w:t xml:space="preserve"> </w:t>
      </w:r>
      <w:r>
        <w:rPr>
          <w:rFonts w:ascii="Times New Roman" w:hAnsi="Times New Roman" w:cs="Times New Roman"/>
          <w:color w:val="211F1F"/>
          <w:w w:val="105"/>
          <w:sz w:val="23"/>
          <w:szCs w:val="23"/>
        </w:rPr>
        <w:t>also</w:t>
      </w:r>
      <w:r>
        <w:rPr>
          <w:rFonts w:ascii="Times New Roman" w:hAnsi="Times New Roman" w:cs="Times New Roman"/>
          <w:color w:val="211F1F"/>
          <w:spacing w:val="-22"/>
          <w:w w:val="105"/>
          <w:sz w:val="23"/>
          <w:szCs w:val="23"/>
        </w:rPr>
        <w:t xml:space="preserve"> </w:t>
      </w:r>
      <w:r>
        <w:rPr>
          <w:rFonts w:ascii="Times New Roman" w:hAnsi="Times New Roman" w:cs="Times New Roman"/>
          <w:color w:val="211F1F"/>
          <w:w w:val="105"/>
          <w:sz w:val="23"/>
          <w:szCs w:val="23"/>
        </w:rPr>
        <w:t>urge</w:t>
      </w:r>
      <w:r>
        <w:rPr>
          <w:rFonts w:ascii="Times New Roman" w:hAnsi="Times New Roman" w:cs="Times New Roman"/>
          <w:color w:val="211F1F"/>
          <w:spacing w:val="-17"/>
          <w:w w:val="105"/>
          <w:sz w:val="23"/>
          <w:szCs w:val="23"/>
        </w:rPr>
        <w:t xml:space="preserve"> </w:t>
      </w:r>
      <w:r>
        <w:rPr>
          <w:rFonts w:ascii="Times New Roman" w:hAnsi="Times New Roman" w:cs="Times New Roman"/>
          <w:color w:val="211F1F"/>
          <w:w w:val="105"/>
          <w:sz w:val="23"/>
          <w:szCs w:val="23"/>
        </w:rPr>
        <w:t>MassHealth</w:t>
      </w:r>
      <w:r>
        <w:rPr>
          <w:rFonts w:ascii="Times New Roman" w:hAnsi="Times New Roman" w:cs="Times New Roman"/>
          <w:color w:val="211F1F"/>
          <w:spacing w:val="-18"/>
          <w:w w:val="105"/>
          <w:sz w:val="23"/>
          <w:szCs w:val="23"/>
        </w:rPr>
        <w:t xml:space="preserve"> </w:t>
      </w:r>
      <w:r>
        <w:rPr>
          <w:rFonts w:ascii="Times New Roman" w:hAnsi="Times New Roman" w:cs="Times New Roman"/>
          <w:color w:val="211F1F"/>
          <w:w w:val="105"/>
          <w:sz w:val="23"/>
          <w:szCs w:val="23"/>
        </w:rPr>
        <w:t>to</w:t>
      </w:r>
      <w:r>
        <w:rPr>
          <w:rFonts w:ascii="Times New Roman" w:hAnsi="Times New Roman" w:cs="Times New Roman"/>
          <w:color w:val="211F1F"/>
          <w:spacing w:val="-22"/>
          <w:w w:val="105"/>
          <w:sz w:val="23"/>
          <w:szCs w:val="23"/>
        </w:rPr>
        <w:t xml:space="preserve"> </w:t>
      </w:r>
      <w:r>
        <w:rPr>
          <w:rFonts w:ascii="Times New Roman" w:hAnsi="Times New Roman" w:cs="Times New Roman"/>
          <w:color w:val="211F1F"/>
          <w:w w:val="105"/>
          <w:sz w:val="23"/>
          <w:szCs w:val="23"/>
        </w:rPr>
        <w:t>make</w:t>
      </w:r>
      <w:r>
        <w:rPr>
          <w:rFonts w:ascii="Times New Roman" w:hAnsi="Times New Roman" w:cs="Times New Roman"/>
          <w:color w:val="211F1F"/>
          <w:spacing w:val="-12"/>
          <w:w w:val="105"/>
          <w:sz w:val="23"/>
          <w:szCs w:val="23"/>
        </w:rPr>
        <w:t xml:space="preserve"> </w:t>
      </w:r>
      <w:r>
        <w:rPr>
          <w:rFonts w:ascii="Times New Roman" w:hAnsi="Times New Roman" w:cs="Times New Roman"/>
          <w:color w:val="211F1F"/>
          <w:w w:val="105"/>
          <w:sz w:val="23"/>
          <w:szCs w:val="23"/>
        </w:rPr>
        <w:t>adjustments</w:t>
      </w:r>
      <w:r>
        <w:rPr>
          <w:rFonts w:ascii="Times New Roman" w:hAnsi="Times New Roman" w:cs="Times New Roman"/>
          <w:color w:val="211F1F"/>
          <w:spacing w:val="-20"/>
          <w:w w:val="105"/>
          <w:sz w:val="23"/>
          <w:szCs w:val="23"/>
        </w:rPr>
        <w:t xml:space="preserve"> </w:t>
      </w:r>
      <w:r>
        <w:rPr>
          <w:rFonts w:ascii="Times New Roman" w:hAnsi="Times New Roman" w:cs="Times New Roman"/>
          <w:color w:val="211F1F"/>
          <w:w w:val="105"/>
          <w:sz w:val="23"/>
          <w:szCs w:val="23"/>
        </w:rPr>
        <w:t>to</w:t>
      </w:r>
      <w:r>
        <w:rPr>
          <w:rFonts w:ascii="Times New Roman" w:hAnsi="Times New Roman" w:cs="Times New Roman"/>
          <w:color w:val="211F1F"/>
          <w:spacing w:val="-18"/>
          <w:w w:val="105"/>
          <w:sz w:val="23"/>
          <w:szCs w:val="23"/>
        </w:rPr>
        <w:t xml:space="preserve"> </w:t>
      </w:r>
      <w:r>
        <w:rPr>
          <w:rFonts w:ascii="Times New Roman" w:hAnsi="Times New Roman" w:cs="Times New Roman"/>
          <w:color w:val="211F1F"/>
          <w:w w:val="105"/>
          <w:sz w:val="23"/>
          <w:szCs w:val="23"/>
        </w:rPr>
        <w:t>account</w:t>
      </w:r>
      <w:r>
        <w:rPr>
          <w:rFonts w:ascii="Times New Roman" w:hAnsi="Times New Roman" w:cs="Times New Roman"/>
          <w:color w:val="211F1F"/>
          <w:spacing w:val="-16"/>
          <w:w w:val="105"/>
          <w:sz w:val="23"/>
          <w:szCs w:val="23"/>
        </w:rPr>
        <w:t xml:space="preserve"> </w:t>
      </w:r>
      <w:r>
        <w:rPr>
          <w:rFonts w:ascii="Times New Roman" w:hAnsi="Times New Roman" w:cs="Times New Roman"/>
          <w:color w:val="211F1F"/>
          <w:w w:val="105"/>
          <w:sz w:val="23"/>
          <w:szCs w:val="23"/>
        </w:rPr>
        <w:t>for</w:t>
      </w:r>
      <w:r>
        <w:rPr>
          <w:rFonts w:ascii="Times New Roman" w:hAnsi="Times New Roman" w:cs="Times New Roman"/>
          <w:color w:val="211F1F"/>
          <w:spacing w:val="-25"/>
          <w:w w:val="105"/>
          <w:sz w:val="23"/>
          <w:szCs w:val="23"/>
        </w:rPr>
        <w:t xml:space="preserve"> </w:t>
      </w:r>
      <w:r>
        <w:rPr>
          <w:rFonts w:ascii="Times New Roman" w:hAnsi="Times New Roman" w:cs="Times New Roman"/>
          <w:color w:val="211F1F"/>
          <w:w w:val="105"/>
          <w:sz w:val="23"/>
          <w:szCs w:val="23"/>
        </w:rPr>
        <w:t>behavioral</w:t>
      </w:r>
      <w:r>
        <w:rPr>
          <w:rFonts w:ascii="Times New Roman" w:hAnsi="Times New Roman" w:cs="Times New Roman"/>
          <w:color w:val="211F1F"/>
          <w:spacing w:val="-12"/>
          <w:w w:val="105"/>
          <w:sz w:val="23"/>
          <w:szCs w:val="23"/>
        </w:rPr>
        <w:t xml:space="preserve"> </w:t>
      </w:r>
      <w:r>
        <w:rPr>
          <w:rFonts w:ascii="Times New Roman" w:hAnsi="Times New Roman" w:cs="Times New Roman"/>
          <w:color w:val="211F1F"/>
          <w:w w:val="105"/>
          <w:sz w:val="23"/>
          <w:szCs w:val="23"/>
        </w:rPr>
        <w:t xml:space="preserve">health patients and publish information regarding the reimbursements associated with the </w:t>
      </w:r>
      <w:r>
        <w:rPr>
          <w:rFonts w:ascii="Times New Roman" w:hAnsi="Times New Roman" w:cs="Times New Roman"/>
          <w:color w:val="211F1F"/>
          <w:spacing w:val="2"/>
          <w:w w:val="105"/>
          <w:sz w:val="23"/>
          <w:szCs w:val="23"/>
        </w:rPr>
        <w:t>Commonwealth's</w:t>
      </w:r>
      <w:r>
        <w:rPr>
          <w:rFonts w:ascii="Times New Roman" w:hAnsi="Times New Roman" w:cs="Times New Roman"/>
          <w:color w:val="211F1F"/>
          <w:spacing w:val="-32"/>
          <w:w w:val="105"/>
          <w:sz w:val="23"/>
          <w:szCs w:val="23"/>
        </w:rPr>
        <w:t xml:space="preserve"> </w:t>
      </w:r>
      <w:r>
        <w:rPr>
          <w:rFonts w:ascii="Times New Roman" w:hAnsi="Times New Roman" w:cs="Times New Roman"/>
          <w:color w:val="211F1F"/>
          <w:w w:val="105"/>
          <w:sz w:val="23"/>
          <w:szCs w:val="23"/>
        </w:rPr>
        <w:t>behavioral</w:t>
      </w:r>
      <w:r>
        <w:rPr>
          <w:rFonts w:ascii="Times New Roman" w:hAnsi="Times New Roman" w:cs="Times New Roman"/>
          <w:color w:val="211F1F"/>
          <w:spacing w:val="-30"/>
          <w:w w:val="105"/>
          <w:sz w:val="23"/>
          <w:szCs w:val="23"/>
        </w:rPr>
        <w:t xml:space="preserve"> </w:t>
      </w:r>
      <w:r>
        <w:rPr>
          <w:rFonts w:ascii="Times New Roman" w:hAnsi="Times New Roman" w:cs="Times New Roman"/>
          <w:color w:val="211F1F"/>
          <w:w w:val="105"/>
          <w:sz w:val="23"/>
          <w:szCs w:val="23"/>
        </w:rPr>
        <w:t>health</w:t>
      </w:r>
      <w:r>
        <w:rPr>
          <w:rFonts w:ascii="Times New Roman" w:hAnsi="Times New Roman" w:cs="Times New Roman"/>
          <w:color w:val="211F1F"/>
          <w:spacing w:val="-32"/>
          <w:w w:val="105"/>
          <w:sz w:val="23"/>
          <w:szCs w:val="23"/>
        </w:rPr>
        <w:t xml:space="preserve"> </w:t>
      </w:r>
      <w:r>
        <w:rPr>
          <w:rFonts w:ascii="Times New Roman" w:hAnsi="Times New Roman" w:cs="Times New Roman"/>
          <w:color w:val="211F1F"/>
          <w:w w:val="105"/>
          <w:sz w:val="23"/>
          <w:szCs w:val="23"/>
        </w:rPr>
        <w:t>contractor</w:t>
      </w:r>
      <w:r>
        <w:rPr>
          <w:rFonts w:ascii="Times New Roman" w:hAnsi="Times New Roman" w:cs="Times New Roman"/>
          <w:color w:val="211F1F"/>
          <w:spacing w:val="-35"/>
          <w:w w:val="105"/>
          <w:sz w:val="23"/>
          <w:szCs w:val="23"/>
        </w:rPr>
        <w:t xml:space="preserve"> </w:t>
      </w:r>
      <w:r>
        <w:rPr>
          <w:rFonts w:ascii="Times New Roman" w:hAnsi="Times New Roman" w:cs="Times New Roman"/>
          <w:color w:val="211F1F"/>
          <w:w w:val="105"/>
          <w:sz w:val="23"/>
          <w:szCs w:val="23"/>
        </w:rPr>
        <w:t>when</w:t>
      </w:r>
      <w:r>
        <w:rPr>
          <w:rFonts w:ascii="Times New Roman" w:hAnsi="Times New Roman" w:cs="Times New Roman"/>
          <w:color w:val="211F1F"/>
          <w:spacing w:val="-36"/>
          <w:w w:val="105"/>
          <w:sz w:val="23"/>
          <w:szCs w:val="23"/>
        </w:rPr>
        <w:t xml:space="preserve"> </w:t>
      </w:r>
      <w:r>
        <w:rPr>
          <w:rFonts w:ascii="Times New Roman" w:hAnsi="Times New Roman" w:cs="Times New Roman"/>
          <w:color w:val="211F1F"/>
          <w:w w:val="105"/>
          <w:sz w:val="23"/>
          <w:szCs w:val="23"/>
        </w:rPr>
        <w:t>calculating</w:t>
      </w:r>
      <w:r>
        <w:rPr>
          <w:rFonts w:ascii="Times New Roman" w:hAnsi="Times New Roman" w:cs="Times New Roman"/>
          <w:color w:val="211F1F"/>
          <w:spacing w:val="-32"/>
          <w:w w:val="105"/>
          <w:sz w:val="23"/>
          <w:szCs w:val="23"/>
        </w:rPr>
        <w:t xml:space="preserve"> </w:t>
      </w:r>
      <w:r>
        <w:rPr>
          <w:rFonts w:ascii="Times New Roman" w:hAnsi="Times New Roman" w:cs="Times New Roman"/>
          <w:color w:val="211F1F"/>
          <w:spacing w:val="2"/>
          <w:w w:val="105"/>
          <w:sz w:val="23"/>
          <w:szCs w:val="23"/>
        </w:rPr>
        <w:t>TCOC.</w:t>
      </w:r>
    </w:p>
    <w:p w:rsidR="002C5025" w:rsidRDefault="002C5025">
      <w:pPr>
        <w:pStyle w:val="BodyText"/>
        <w:kinsoku w:val="0"/>
        <w:overflowPunct w:val="0"/>
        <w:spacing w:before="1"/>
        <w:rPr>
          <w:rFonts w:ascii="Times New Roman" w:hAnsi="Times New Roman" w:cs="Times New Roman"/>
          <w:sz w:val="25"/>
          <w:szCs w:val="25"/>
        </w:rPr>
      </w:pPr>
    </w:p>
    <w:p w:rsidR="002C5025" w:rsidRDefault="002C5025">
      <w:pPr>
        <w:pStyle w:val="BodyText"/>
        <w:kinsoku w:val="0"/>
        <w:overflowPunct w:val="0"/>
        <w:spacing w:before="1"/>
        <w:ind w:left="125" w:right="1546"/>
        <w:rPr>
          <w:rFonts w:ascii="Times New Roman" w:hAnsi="Times New Roman" w:cs="Times New Roman"/>
          <w:color w:val="211F1F"/>
          <w:w w:val="110"/>
          <w:sz w:val="23"/>
          <w:szCs w:val="23"/>
        </w:rPr>
      </w:pPr>
      <w:r>
        <w:rPr>
          <w:rFonts w:ascii="Times New Roman" w:hAnsi="Times New Roman" w:cs="Times New Roman"/>
          <w:color w:val="211F1F"/>
          <w:w w:val="110"/>
          <w:sz w:val="23"/>
          <w:szCs w:val="23"/>
          <w:u w:val="thick" w:color="000000"/>
        </w:rPr>
        <w:t>Clarify Expectations for the Intersection  of Managed  Care Organizations and ACOs</w:t>
      </w:r>
    </w:p>
    <w:p w:rsidR="002C5025" w:rsidRDefault="002C5025">
      <w:pPr>
        <w:pStyle w:val="BodyText"/>
        <w:kinsoku w:val="0"/>
        <w:overflowPunct w:val="0"/>
        <w:spacing w:before="2" w:line="252" w:lineRule="auto"/>
        <w:ind w:left="117" w:right="1546" w:firstLine="7"/>
        <w:rPr>
          <w:rFonts w:ascii="Times New Roman" w:hAnsi="Times New Roman" w:cs="Times New Roman"/>
          <w:color w:val="211F1F"/>
          <w:sz w:val="23"/>
          <w:szCs w:val="23"/>
        </w:rPr>
      </w:pPr>
      <w:r>
        <w:rPr>
          <w:rFonts w:ascii="Times New Roman" w:hAnsi="Times New Roman" w:cs="Times New Roman"/>
          <w:color w:val="211F1F"/>
          <w:sz w:val="23"/>
          <w:szCs w:val="23"/>
        </w:rPr>
        <w:t xml:space="preserve">As noted in the waiver  document,  Managed  Care Organizations  (MCOs) will play a significant role </w:t>
      </w:r>
      <w:r>
        <w:rPr>
          <w:rFonts w:ascii="Times New Roman" w:hAnsi="Times New Roman" w:cs="Times New Roman"/>
          <w:color w:val="313131"/>
          <w:sz w:val="23"/>
          <w:szCs w:val="23"/>
        </w:rPr>
        <w:t xml:space="preserve">in </w:t>
      </w:r>
      <w:r>
        <w:rPr>
          <w:rFonts w:ascii="Times New Roman" w:hAnsi="Times New Roman" w:cs="Times New Roman"/>
          <w:color w:val="211F1F"/>
          <w:sz w:val="23"/>
          <w:szCs w:val="23"/>
        </w:rPr>
        <w:t>the ACO models. Steward urges MassHealth to clarify if the budgeted total cost of care amount</w:t>
      </w:r>
      <w:r>
        <w:rPr>
          <w:rFonts w:ascii="Times New Roman" w:hAnsi="Times New Roman" w:cs="Times New Roman"/>
          <w:color w:val="4C4C4C"/>
          <w:sz w:val="23"/>
          <w:szCs w:val="23"/>
        </w:rPr>
        <w:t xml:space="preserve">, </w:t>
      </w:r>
      <w:r>
        <w:rPr>
          <w:rFonts w:ascii="Times New Roman" w:hAnsi="Times New Roman" w:cs="Times New Roman"/>
          <w:color w:val="211F1F"/>
          <w:sz w:val="23"/>
          <w:szCs w:val="23"/>
        </w:rPr>
        <w:t>including administrative functions required to support total cost of care management, for Models A and C will be higher compared to Model B. We also request additional clarity regarding how administrative  costs will be factored  into budgeted  rates for different models.</w:t>
      </w:r>
    </w:p>
    <w:p w:rsidR="002C5025" w:rsidRDefault="002C5025">
      <w:pPr>
        <w:pStyle w:val="BodyText"/>
        <w:kinsoku w:val="0"/>
        <w:overflowPunct w:val="0"/>
        <w:spacing w:line="249" w:lineRule="auto"/>
        <w:ind w:left="111" w:right="1612" w:firstLine="7"/>
        <w:rPr>
          <w:rFonts w:ascii="Times New Roman" w:hAnsi="Times New Roman" w:cs="Times New Roman"/>
          <w:color w:val="211F1F"/>
          <w:sz w:val="23"/>
          <w:szCs w:val="23"/>
        </w:rPr>
      </w:pPr>
      <w:r>
        <w:rPr>
          <w:rFonts w:ascii="Times New Roman" w:hAnsi="Times New Roman" w:cs="Times New Roman"/>
          <w:color w:val="211F1F"/>
          <w:sz w:val="23"/>
          <w:szCs w:val="23"/>
        </w:rPr>
        <w:t xml:space="preserve">Lastly Steward recommends  MassHealth  makes  clear who </w:t>
      </w:r>
      <w:r>
        <w:rPr>
          <w:rFonts w:ascii="Times New Roman" w:hAnsi="Times New Roman" w:cs="Times New Roman"/>
          <w:color w:val="313131"/>
          <w:spacing w:val="-4"/>
          <w:sz w:val="23"/>
          <w:szCs w:val="23"/>
        </w:rPr>
        <w:t xml:space="preserve">"drives" </w:t>
      </w:r>
      <w:r>
        <w:rPr>
          <w:rFonts w:ascii="Times New Roman" w:hAnsi="Times New Roman" w:cs="Times New Roman"/>
          <w:color w:val="211F1F"/>
          <w:sz w:val="23"/>
          <w:szCs w:val="23"/>
        </w:rPr>
        <w:t xml:space="preserve">the relationship  in the Model A and C </w:t>
      </w:r>
      <w:r>
        <w:rPr>
          <w:rFonts w:ascii="Times New Roman" w:hAnsi="Times New Roman" w:cs="Times New Roman"/>
          <w:color w:val="313131"/>
          <w:sz w:val="23"/>
          <w:szCs w:val="23"/>
        </w:rPr>
        <w:t xml:space="preserve">ACOs. </w:t>
      </w:r>
      <w:r>
        <w:rPr>
          <w:rFonts w:ascii="Times New Roman" w:hAnsi="Times New Roman" w:cs="Times New Roman"/>
          <w:color w:val="211F1F"/>
          <w:sz w:val="23"/>
          <w:szCs w:val="23"/>
        </w:rPr>
        <w:t xml:space="preserve">ACOs need clear authority to drive care management, utilization, data analytics, etc. and rely on MCOs for administrative support such as claims administration in order to successfully drive value for </w:t>
      </w:r>
      <w:r>
        <w:rPr>
          <w:rFonts w:ascii="Times New Roman" w:hAnsi="Times New Roman" w:cs="Times New Roman"/>
          <w:color w:val="211F1F"/>
          <w:spacing w:val="10"/>
          <w:sz w:val="23"/>
          <w:szCs w:val="23"/>
        </w:rPr>
        <w:t xml:space="preserve"> </w:t>
      </w:r>
      <w:r>
        <w:rPr>
          <w:rFonts w:ascii="Times New Roman" w:hAnsi="Times New Roman" w:cs="Times New Roman"/>
          <w:color w:val="211F1F"/>
          <w:sz w:val="23"/>
          <w:szCs w:val="23"/>
        </w:rPr>
        <w:t>patients.</w:t>
      </w:r>
    </w:p>
    <w:p w:rsidR="002C5025" w:rsidRDefault="002C5025">
      <w:pPr>
        <w:pStyle w:val="BodyText"/>
        <w:kinsoku w:val="0"/>
        <w:overflowPunct w:val="0"/>
        <w:spacing w:before="9"/>
        <w:rPr>
          <w:rFonts w:ascii="Times New Roman" w:hAnsi="Times New Roman" w:cs="Times New Roman"/>
          <w:sz w:val="17"/>
          <w:szCs w:val="17"/>
        </w:rPr>
      </w:pPr>
    </w:p>
    <w:p w:rsidR="002C5025" w:rsidRDefault="002C5025">
      <w:pPr>
        <w:pStyle w:val="BodyText"/>
        <w:kinsoku w:val="0"/>
        <w:overflowPunct w:val="0"/>
        <w:spacing w:before="1" w:line="249" w:lineRule="auto"/>
        <w:ind w:left="111" w:right="1715" w:firstLine="14"/>
        <w:rPr>
          <w:rFonts w:ascii="Times New Roman" w:hAnsi="Times New Roman" w:cs="Times New Roman"/>
          <w:color w:val="211F1F"/>
          <w:w w:val="105"/>
          <w:sz w:val="23"/>
          <w:szCs w:val="23"/>
        </w:rPr>
      </w:pPr>
      <w:r>
        <w:rPr>
          <w:rFonts w:ascii="Times New Roman" w:hAnsi="Times New Roman" w:cs="Times New Roman"/>
          <w:color w:val="211F1F"/>
          <w:w w:val="105"/>
          <w:sz w:val="23"/>
          <w:szCs w:val="23"/>
          <w:u w:val="thick" w:color="000000"/>
        </w:rPr>
        <w:t xml:space="preserve">Clarify the Role  of  MassHealth's  Behavioral  Health Vendor  in the </w:t>
      </w:r>
      <w:r>
        <w:rPr>
          <w:rFonts w:ascii="Times New Roman" w:hAnsi="Times New Roman" w:cs="Times New Roman"/>
          <w:color w:val="211F1F"/>
          <w:spacing w:val="2"/>
          <w:w w:val="105"/>
          <w:sz w:val="23"/>
          <w:szCs w:val="23"/>
          <w:u w:val="thick" w:color="000000"/>
        </w:rPr>
        <w:t xml:space="preserve">ACO </w:t>
      </w:r>
      <w:r>
        <w:rPr>
          <w:rFonts w:ascii="Times New Roman" w:hAnsi="Times New Roman" w:cs="Times New Roman"/>
          <w:color w:val="211F1F"/>
          <w:w w:val="105"/>
          <w:sz w:val="23"/>
          <w:szCs w:val="23"/>
          <w:u w:val="thick" w:color="000000"/>
        </w:rPr>
        <w:t xml:space="preserve">Program </w:t>
      </w:r>
      <w:r>
        <w:rPr>
          <w:rFonts w:ascii="Times New Roman" w:hAnsi="Times New Roman" w:cs="Times New Roman"/>
          <w:color w:val="211F1F"/>
          <w:w w:val="105"/>
          <w:sz w:val="23"/>
          <w:szCs w:val="23"/>
        </w:rPr>
        <w:t>According</w:t>
      </w:r>
      <w:r>
        <w:rPr>
          <w:rFonts w:ascii="Times New Roman" w:hAnsi="Times New Roman" w:cs="Times New Roman"/>
          <w:color w:val="211F1F"/>
          <w:spacing w:val="-14"/>
          <w:w w:val="105"/>
          <w:sz w:val="23"/>
          <w:szCs w:val="23"/>
        </w:rPr>
        <w:t xml:space="preserve"> </w:t>
      </w:r>
      <w:r>
        <w:rPr>
          <w:rFonts w:ascii="Times New Roman" w:hAnsi="Times New Roman" w:cs="Times New Roman"/>
          <w:color w:val="211F1F"/>
          <w:w w:val="105"/>
          <w:sz w:val="23"/>
          <w:szCs w:val="23"/>
        </w:rPr>
        <w:t>to</w:t>
      </w:r>
      <w:r>
        <w:rPr>
          <w:rFonts w:ascii="Times New Roman" w:hAnsi="Times New Roman" w:cs="Times New Roman"/>
          <w:color w:val="211F1F"/>
          <w:spacing w:val="-27"/>
          <w:w w:val="105"/>
          <w:sz w:val="23"/>
          <w:szCs w:val="23"/>
        </w:rPr>
        <w:t xml:space="preserve"> </w:t>
      </w:r>
      <w:r>
        <w:rPr>
          <w:rFonts w:ascii="Times New Roman" w:hAnsi="Times New Roman" w:cs="Times New Roman"/>
          <w:color w:val="211F1F"/>
          <w:w w:val="105"/>
          <w:sz w:val="23"/>
          <w:szCs w:val="23"/>
        </w:rPr>
        <w:t>the</w:t>
      </w:r>
      <w:r>
        <w:rPr>
          <w:rFonts w:ascii="Times New Roman" w:hAnsi="Times New Roman" w:cs="Times New Roman"/>
          <w:color w:val="211F1F"/>
          <w:spacing w:val="-11"/>
          <w:w w:val="105"/>
          <w:sz w:val="23"/>
          <w:szCs w:val="23"/>
        </w:rPr>
        <w:t xml:space="preserve"> </w:t>
      </w:r>
      <w:r>
        <w:rPr>
          <w:rFonts w:ascii="Times New Roman" w:hAnsi="Times New Roman" w:cs="Times New Roman"/>
          <w:color w:val="211F1F"/>
          <w:w w:val="105"/>
          <w:sz w:val="23"/>
          <w:szCs w:val="23"/>
        </w:rPr>
        <w:t>Section</w:t>
      </w:r>
      <w:r>
        <w:rPr>
          <w:rFonts w:ascii="Times New Roman" w:hAnsi="Times New Roman" w:cs="Times New Roman"/>
          <w:color w:val="211F1F"/>
          <w:spacing w:val="-5"/>
          <w:w w:val="105"/>
          <w:sz w:val="23"/>
          <w:szCs w:val="23"/>
        </w:rPr>
        <w:t xml:space="preserve"> </w:t>
      </w:r>
      <w:r>
        <w:rPr>
          <w:rFonts w:ascii="Times New Roman" w:hAnsi="Times New Roman" w:cs="Times New Roman"/>
          <w:color w:val="211F1F"/>
          <w:w w:val="105"/>
          <w:sz w:val="23"/>
          <w:szCs w:val="23"/>
        </w:rPr>
        <w:t>1115</w:t>
      </w:r>
      <w:r>
        <w:rPr>
          <w:rFonts w:ascii="Times New Roman" w:hAnsi="Times New Roman" w:cs="Times New Roman"/>
          <w:color w:val="211F1F"/>
          <w:spacing w:val="-31"/>
          <w:w w:val="105"/>
          <w:sz w:val="23"/>
          <w:szCs w:val="23"/>
        </w:rPr>
        <w:t xml:space="preserve"> </w:t>
      </w:r>
      <w:r>
        <w:rPr>
          <w:rFonts w:ascii="Times New Roman" w:hAnsi="Times New Roman" w:cs="Times New Roman"/>
          <w:color w:val="211F1F"/>
          <w:w w:val="105"/>
          <w:sz w:val="23"/>
          <w:szCs w:val="23"/>
        </w:rPr>
        <w:t>Request,</w:t>
      </w:r>
      <w:r>
        <w:rPr>
          <w:rFonts w:ascii="Times New Roman" w:hAnsi="Times New Roman" w:cs="Times New Roman"/>
          <w:color w:val="211F1F"/>
          <w:spacing w:val="-11"/>
          <w:w w:val="105"/>
          <w:sz w:val="23"/>
          <w:szCs w:val="23"/>
        </w:rPr>
        <w:t xml:space="preserve"> </w:t>
      </w:r>
      <w:r>
        <w:rPr>
          <w:rFonts w:ascii="Times New Roman" w:hAnsi="Times New Roman" w:cs="Times New Roman"/>
          <w:color w:val="211F1F"/>
          <w:w w:val="105"/>
          <w:sz w:val="23"/>
          <w:szCs w:val="23"/>
        </w:rPr>
        <w:t>behavioral</w:t>
      </w:r>
      <w:r>
        <w:rPr>
          <w:rFonts w:ascii="Times New Roman" w:hAnsi="Times New Roman" w:cs="Times New Roman"/>
          <w:color w:val="211F1F"/>
          <w:spacing w:val="-3"/>
          <w:w w:val="105"/>
          <w:sz w:val="23"/>
          <w:szCs w:val="23"/>
        </w:rPr>
        <w:t xml:space="preserve"> </w:t>
      </w:r>
      <w:r>
        <w:rPr>
          <w:rFonts w:ascii="Times New Roman" w:hAnsi="Times New Roman" w:cs="Times New Roman"/>
          <w:color w:val="211F1F"/>
          <w:w w:val="105"/>
          <w:sz w:val="23"/>
          <w:szCs w:val="23"/>
        </w:rPr>
        <w:t>health</w:t>
      </w:r>
      <w:r>
        <w:rPr>
          <w:rFonts w:ascii="Times New Roman" w:hAnsi="Times New Roman" w:cs="Times New Roman"/>
          <w:color w:val="211F1F"/>
          <w:spacing w:val="-8"/>
          <w:w w:val="105"/>
          <w:sz w:val="23"/>
          <w:szCs w:val="23"/>
        </w:rPr>
        <w:t xml:space="preserve"> </w:t>
      </w:r>
      <w:r>
        <w:rPr>
          <w:rFonts w:ascii="Times New Roman" w:hAnsi="Times New Roman" w:cs="Times New Roman"/>
          <w:color w:val="211F1F"/>
          <w:w w:val="105"/>
          <w:sz w:val="23"/>
          <w:szCs w:val="23"/>
        </w:rPr>
        <w:t>costs</w:t>
      </w:r>
      <w:r>
        <w:rPr>
          <w:rFonts w:ascii="Times New Roman" w:hAnsi="Times New Roman" w:cs="Times New Roman"/>
          <w:color w:val="211F1F"/>
          <w:spacing w:val="-14"/>
          <w:w w:val="105"/>
          <w:sz w:val="23"/>
          <w:szCs w:val="23"/>
        </w:rPr>
        <w:t xml:space="preserve"> </w:t>
      </w:r>
      <w:r>
        <w:rPr>
          <w:rFonts w:ascii="Times New Roman" w:hAnsi="Times New Roman" w:cs="Times New Roman"/>
          <w:color w:val="211F1F"/>
          <w:w w:val="105"/>
          <w:sz w:val="23"/>
          <w:szCs w:val="23"/>
        </w:rPr>
        <w:t>will</w:t>
      </w:r>
      <w:r>
        <w:rPr>
          <w:rFonts w:ascii="Times New Roman" w:hAnsi="Times New Roman" w:cs="Times New Roman"/>
          <w:color w:val="211F1F"/>
          <w:spacing w:val="-8"/>
          <w:w w:val="105"/>
          <w:sz w:val="23"/>
          <w:szCs w:val="23"/>
        </w:rPr>
        <w:t xml:space="preserve"> </w:t>
      </w:r>
      <w:r>
        <w:rPr>
          <w:rFonts w:ascii="Times New Roman" w:hAnsi="Times New Roman" w:cs="Times New Roman"/>
          <w:color w:val="211F1F"/>
          <w:w w:val="105"/>
          <w:sz w:val="23"/>
          <w:szCs w:val="23"/>
        </w:rPr>
        <w:t>be</w:t>
      </w:r>
      <w:r>
        <w:rPr>
          <w:rFonts w:ascii="Times New Roman" w:hAnsi="Times New Roman" w:cs="Times New Roman"/>
          <w:color w:val="211F1F"/>
          <w:spacing w:val="-17"/>
          <w:w w:val="105"/>
          <w:sz w:val="23"/>
          <w:szCs w:val="23"/>
        </w:rPr>
        <w:t xml:space="preserve"> </w:t>
      </w:r>
      <w:r>
        <w:rPr>
          <w:rFonts w:ascii="Times New Roman" w:hAnsi="Times New Roman" w:cs="Times New Roman"/>
          <w:color w:val="211F1F"/>
          <w:w w:val="105"/>
          <w:sz w:val="23"/>
          <w:szCs w:val="23"/>
        </w:rPr>
        <w:t>included</w:t>
      </w:r>
      <w:r>
        <w:rPr>
          <w:rFonts w:ascii="Times New Roman" w:hAnsi="Times New Roman" w:cs="Times New Roman"/>
          <w:color w:val="211F1F"/>
          <w:spacing w:val="-10"/>
          <w:w w:val="105"/>
          <w:sz w:val="23"/>
          <w:szCs w:val="23"/>
        </w:rPr>
        <w:t xml:space="preserve"> </w:t>
      </w:r>
      <w:r>
        <w:rPr>
          <w:rFonts w:ascii="Times New Roman" w:hAnsi="Times New Roman" w:cs="Times New Roman"/>
          <w:color w:val="211F1F"/>
          <w:w w:val="105"/>
          <w:sz w:val="23"/>
          <w:szCs w:val="23"/>
        </w:rPr>
        <w:t>in</w:t>
      </w:r>
      <w:r>
        <w:rPr>
          <w:rFonts w:ascii="Times New Roman" w:hAnsi="Times New Roman" w:cs="Times New Roman"/>
          <w:color w:val="211F1F"/>
          <w:spacing w:val="-22"/>
          <w:w w:val="105"/>
          <w:sz w:val="23"/>
          <w:szCs w:val="23"/>
        </w:rPr>
        <w:t xml:space="preserve"> </w:t>
      </w:r>
      <w:r>
        <w:rPr>
          <w:rFonts w:ascii="Times New Roman" w:hAnsi="Times New Roman" w:cs="Times New Roman"/>
          <w:color w:val="211F1F"/>
          <w:w w:val="105"/>
          <w:sz w:val="23"/>
          <w:szCs w:val="23"/>
        </w:rPr>
        <w:t>the</w:t>
      </w:r>
      <w:r>
        <w:rPr>
          <w:rFonts w:ascii="Times New Roman" w:hAnsi="Times New Roman" w:cs="Times New Roman"/>
          <w:color w:val="211F1F"/>
          <w:spacing w:val="-23"/>
          <w:w w:val="105"/>
          <w:sz w:val="23"/>
          <w:szCs w:val="23"/>
        </w:rPr>
        <w:t xml:space="preserve"> </w:t>
      </w:r>
      <w:r>
        <w:rPr>
          <w:rFonts w:ascii="Times New Roman" w:hAnsi="Times New Roman" w:cs="Times New Roman"/>
          <w:color w:val="211F1F"/>
          <w:w w:val="105"/>
          <w:sz w:val="23"/>
          <w:szCs w:val="23"/>
        </w:rPr>
        <w:t>total</w:t>
      </w:r>
      <w:r>
        <w:rPr>
          <w:rFonts w:ascii="Times New Roman" w:hAnsi="Times New Roman" w:cs="Times New Roman"/>
          <w:color w:val="211F1F"/>
          <w:spacing w:val="-14"/>
          <w:w w:val="105"/>
          <w:sz w:val="23"/>
          <w:szCs w:val="23"/>
        </w:rPr>
        <w:t xml:space="preserve"> </w:t>
      </w:r>
      <w:r>
        <w:rPr>
          <w:rFonts w:ascii="Times New Roman" w:hAnsi="Times New Roman" w:cs="Times New Roman"/>
          <w:color w:val="211F1F"/>
          <w:w w:val="105"/>
          <w:sz w:val="23"/>
          <w:szCs w:val="23"/>
        </w:rPr>
        <w:t>cost of care, but it is not clear how ACOs will have appropriate authority and control to meet Total Cost</w:t>
      </w:r>
      <w:r>
        <w:rPr>
          <w:rFonts w:ascii="Times New Roman" w:hAnsi="Times New Roman" w:cs="Times New Roman"/>
          <w:color w:val="211F1F"/>
          <w:spacing w:val="-24"/>
          <w:w w:val="105"/>
          <w:sz w:val="23"/>
          <w:szCs w:val="23"/>
        </w:rPr>
        <w:t xml:space="preserve"> </w:t>
      </w:r>
      <w:r>
        <w:rPr>
          <w:rFonts w:ascii="Times New Roman" w:hAnsi="Times New Roman" w:cs="Times New Roman"/>
          <w:color w:val="211F1F"/>
          <w:w w:val="105"/>
          <w:sz w:val="23"/>
          <w:szCs w:val="23"/>
        </w:rPr>
        <w:t>of</w:t>
      </w:r>
      <w:r>
        <w:rPr>
          <w:rFonts w:ascii="Times New Roman" w:hAnsi="Times New Roman" w:cs="Times New Roman"/>
          <w:color w:val="211F1F"/>
          <w:spacing w:val="-25"/>
          <w:w w:val="105"/>
          <w:sz w:val="23"/>
          <w:szCs w:val="23"/>
        </w:rPr>
        <w:t xml:space="preserve"> </w:t>
      </w:r>
      <w:r>
        <w:rPr>
          <w:rFonts w:ascii="Times New Roman" w:hAnsi="Times New Roman" w:cs="Times New Roman"/>
          <w:color w:val="211F1F"/>
          <w:w w:val="105"/>
          <w:sz w:val="23"/>
          <w:szCs w:val="23"/>
        </w:rPr>
        <w:t>Care</w:t>
      </w:r>
      <w:r>
        <w:rPr>
          <w:rFonts w:ascii="Times New Roman" w:hAnsi="Times New Roman" w:cs="Times New Roman"/>
          <w:color w:val="211F1F"/>
          <w:spacing w:val="-32"/>
          <w:w w:val="105"/>
          <w:sz w:val="23"/>
          <w:szCs w:val="23"/>
        </w:rPr>
        <w:t xml:space="preserve"> </w:t>
      </w:r>
      <w:r>
        <w:rPr>
          <w:rFonts w:ascii="Times New Roman" w:hAnsi="Times New Roman" w:cs="Times New Roman"/>
          <w:color w:val="211F1F"/>
          <w:w w:val="105"/>
          <w:sz w:val="23"/>
          <w:szCs w:val="23"/>
        </w:rPr>
        <w:t>targets</w:t>
      </w:r>
      <w:r>
        <w:rPr>
          <w:rFonts w:ascii="Times New Roman" w:hAnsi="Times New Roman" w:cs="Times New Roman"/>
          <w:color w:val="211F1F"/>
          <w:spacing w:val="-18"/>
          <w:w w:val="105"/>
          <w:sz w:val="23"/>
          <w:szCs w:val="23"/>
        </w:rPr>
        <w:t xml:space="preserve"> </w:t>
      </w:r>
      <w:r>
        <w:rPr>
          <w:rFonts w:ascii="Times New Roman" w:hAnsi="Times New Roman" w:cs="Times New Roman"/>
          <w:color w:val="211F1F"/>
          <w:w w:val="105"/>
          <w:sz w:val="23"/>
          <w:szCs w:val="23"/>
        </w:rPr>
        <w:t>for</w:t>
      </w:r>
      <w:r>
        <w:rPr>
          <w:rFonts w:ascii="Times New Roman" w:hAnsi="Times New Roman" w:cs="Times New Roman"/>
          <w:color w:val="211F1F"/>
          <w:spacing w:val="-27"/>
          <w:w w:val="105"/>
          <w:sz w:val="23"/>
          <w:szCs w:val="23"/>
        </w:rPr>
        <w:t xml:space="preserve"> </w:t>
      </w:r>
      <w:r>
        <w:rPr>
          <w:rFonts w:ascii="Times New Roman" w:hAnsi="Times New Roman" w:cs="Times New Roman"/>
          <w:color w:val="211F1F"/>
          <w:w w:val="105"/>
          <w:sz w:val="23"/>
          <w:szCs w:val="23"/>
        </w:rPr>
        <w:t>populations</w:t>
      </w:r>
      <w:r>
        <w:rPr>
          <w:rFonts w:ascii="Times New Roman" w:hAnsi="Times New Roman" w:cs="Times New Roman"/>
          <w:color w:val="211F1F"/>
          <w:spacing w:val="-5"/>
          <w:w w:val="105"/>
          <w:sz w:val="23"/>
          <w:szCs w:val="23"/>
        </w:rPr>
        <w:t xml:space="preserve"> </w:t>
      </w:r>
      <w:r>
        <w:rPr>
          <w:rFonts w:ascii="Times New Roman" w:hAnsi="Times New Roman" w:cs="Times New Roman"/>
          <w:color w:val="211F1F"/>
          <w:w w:val="105"/>
          <w:sz w:val="23"/>
          <w:szCs w:val="23"/>
        </w:rPr>
        <w:t>with</w:t>
      </w:r>
      <w:r>
        <w:rPr>
          <w:rFonts w:ascii="Times New Roman" w:hAnsi="Times New Roman" w:cs="Times New Roman"/>
          <w:color w:val="211F1F"/>
          <w:spacing w:val="-22"/>
          <w:w w:val="105"/>
          <w:sz w:val="23"/>
          <w:szCs w:val="23"/>
        </w:rPr>
        <w:t xml:space="preserve"> </w:t>
      </w:r>
      <w:r>
        <w:rPr>
          <w:rFonts w:ascii="Times New Roman" w:hAnsi="Times New Roman" w:cs="Times New Roman"/>
          <w:color w:val="211F1F"/>
          <w:w w:val="105"/>
          <w:sz w:val="23"/>
          <w:szCs w:val="23"/>
        </w:rPr>
        <w:t>behavioral</w:t>
      </w:r>
      <w:r>
        <w:rPr>
          <w:rFonts w:ascii="Times New Roman" w:hAnsi="Times New Roman" w:cs="Times New Roman"/>
          <w:color w:val="211F1F"/>
          <w:spacing w:val="-20"/>
          <w:w w:val="105"/>
          <w:sz w:val="23"/>
          <w:szCs w:val="23"/>
        </w:rPr>
        <w:t xml:space="preserve"> </w:t>
      </w:r>
      <w:r>
        <w:rPr>
          <w:rFonts w:ascii="Times New Roman" w:hAnsi="Times New Roman" w:cs="Times New Roman"/>
          <w:color w:val="211F1F"/>
          <w:w w:val="105"/>
          <w:sz w:val="23"/>
          <w:szCs w:val="23"/>
        </w:rPr>
        <w:t>health</w:t>
      </w:r>
      <w:r>
        <w:rPr>
          <w:rFonts w:ascii="Times New Roman" w:hAnsi="Times New Roman" w:cs="Times New Roman"/>
          <w:color w:val="211F1F"/>
          <w:spacing w:val="-26"/>
          <w:w w:val="105"/>
          <w:sz w:val="23"/>
          <w:szCs w:val="23"/>
        </w:rPr>
        <w:t xml:space="preserve"> </w:t>
      </w:r>
      <w:r>
        <w:rPr>
          <w:rFonts w:ascii="Times New Roman" w:hAnsi="Times New Roman" w:cs="Times New Roman"/>
          <w:color w:val="211F1F"/>
          <w:w w:val="105"/>
          <w:sz w:val="23"/>
          <w:szCs w:val="23"/>
        </w:rPr>
        <w:t>needs.</w:t>
      </w:r>
      <w:r>
        <w:rPr>
          <w:rFonts w:ascii="Times New Roman" w:hAnsi="Times New Roman" w:cs="Times New Roman"/>
          <w:color w:val="211F1F"/>
          <w:spacing w:val="-8"/>
          <w:w w:val="105"/>
          <w:sz w:val="23"/>
          <w:szCs w:val="23"/>
        </w:rPr>
        <w:t xml:space="preserve"> </w:t>
      </w:r>
      <w:r>
        <w:rPr>
          <w:rFonts w:ascii="Times New Roman" w:hAnsi="Times New Roman" w:cs="Times New Roman"/>
          <w:color w:val="211F1F"/>
          <w:w w:val="105"/>
          <w:sz w:val="23"/>
          <w:szCs w:val="23"/>
        </w:rPr>
        <w:t>Specifically:</w:t>
      </w:r>
    </w:p>
    <w:p w:rsidR="002C5025" w:rsidRDefault="002C5025">
      <w:pPr>
        <w:pStyle w:val="ListParagraph"/>
        <w:numPr>
          <w:ilvl w:val="0"/>
          <w:numId w:val="1"/>
        </w:numPr>
        <w:tabs>
          <w:tab w:val="left" w:pos="832"/>
        </w:tabs>
        <w:kinsoku w:val="0"/>
        <w:overflowPunct w:val="0"/>
        <w:spacing w:before="13" w:line="252" w:lineRule="auto"/>
        <w:ind w:left="831" w:right="1786"/>
        <w:rPr>
          <w:color w:val="343333"/>
          <w:sz w:val="23"/>
          <w:szCs w:val="23"/>
        </w:rPr>
      </w:pPr>
      <w:r>
        <w:rPr>
          <w:color w:val="211F1F"/>
          <w:sz w:val="23"/>
          <w:szCs w:val="23"/>
        </w:rPr>
        <w:t xml:space="preserve">ACOs need clear and tangible authority under a Medicaid </w:t>
      </w:r>
      <w:r>
        <w:rPr>
          <w:color w:val="313131"/>
          <w:sz w:val="23"/>
          <w:szCs w:val="23"/>
        </w:rPr>
        <w:t xml:space="preserve">ACO </w:t>
      </w:r>
      <w:r>
        <w:rPr>
          <w:color w:val="211F1F"/>
          <w:sz w:val="23"/>
          <w:szCs w:val="23"/>
        </w:rPr>
        <w:t>to control care management</w:t>
      </w:r>
      <w:r>
        <w:rPr>
          <w:color w:val="4C4C4C"/>
          <w:sz w:val="23"/>
          <w:szCs w:val="23"/>
        </w:rPr>
        <w:t xml:space="preserve">, </w:t>
      </w:r>
      <w:r>
        <w:rPr>
          <w:color w:val="211F1F"/>
          <w:sz w:val="23"/>
          <w:szCs w:val="23"/>
        </w:rPr>
        <w:t xml:space="preserve">care </w:t>
      </w:r>
      <w:r>
        <w:rPr>
          <w:color w:val="313131"/>
          <w:sz w:val="23"/>
          <w:szCs w:val="23"/>
        </w:rPr>
        <w:t xml:space="preserve">coordination, </w:t>
      </w:r>
      <w:r>
        <w:rPr>
          <w:color w:val="211F1F"/>
          <w:sz w:val="23"/>
          <w:szCs w:val="23"/>
        </w:rPr>
        <w:t>and transitions of care across the continuum,  as well as to be accountable for the communication/feedback loop between primary care and behavioral</w:t>
      </w:r>
      <w:r>
        <w:rPr>
          <w:color w:val="211F1F"/>
          <w:spacing w:val="30"/>
          <w:sz w:val="23"/>
          <w:szCs w:val="23"/>
        </w:rPr>
        <w:t xml:space="preserve"> </w:t>
      </w:r>
      <w:r>
        <w:rPr>
          <w:color w:val="211F1F"/>
          <w:sz w:val="23"/>
          <w:szCs w:val="23"/>
        </w:rPr>
        <w:t>health.</w:t>
      </w:r>
    </w:p>
    <w:p w:rsidR="002C5025" w:rsidRDefault="002C5025">
      <w:pPr>
        <w:pStyle w:val="ListParagraph"/>
        <w:numPr>
          <w:ilvl w:val="0"/>
          <w:numId w:val="1"/>
        </w:numPr>
        <w:tabs>
          <w:tab w:val="left" w:pos="832"/>
        </w:tabs>
        <w:kinsoku w:val="0"/>
        <w:overflowPunct w:val="0"/>
        <w:spacing w:before="18" w:line="249" w:lineRule="auto"/>
        <w:ind w:left="831" w:right="1650"/>
        <w:rPr>
          <w:color w:val="343333"/>
          <w:sz w:val="23"/>
          <w:szCs w:val="23"/>
        </w:rPr>
      </w:pPr>
      <w:r>
        <w:rPr>
          <w:color w:val="211F1F"/>
          <w:sz w:val="23"/>
          <w:szCs w:val="23"/>
        </w:rPr>
        <w:t xml:space="preserve">Especially for a population with high behavioral health needs, care management and care coordination should not have artificial barriers between behavioral health services and non-behavioral health services. When both a behavioral health carve out and an ACO are managing care for the same </w:t>
      </w:r>
      <w:r>
        <w:rPr>
          <w:color w:val="211F1F"/>
          <w:spacing w:val="2"/>
          <w:sz w:val="23"/>
          <w:szCs w:val="23"/>
        </w:rPr>
        <w:t>member</w:t>
      </w:r>
      <w:r>
        <w:rPr>
          <w:color w:val="4C4C4C"/>
          <w:spacing w:val="2"/>
          <w:sz w:val="23"/>
          <w:szCs w:val="23"/>
        </w:rPr>
        <w:t xml:space="preserve">, </w:t>
      </w:r>
      <w:r>
        <w:rPr>
          <w:color w:val="211F1F"/>
          <w:sz w:val="23"/>
          <w:szCs w:val="23"/>
        </w:rPr>
        <w:t>their care management approaches may be at odds with each other,  compromising  quality and increasing total cost of</w:t>
      </w:r>
      <w:r>
        <w:rPr>
          <w:color w:val="211F1F"/>
          <w:spacing w:val="41"/>
          <w:sz w:val="23"/>
          <w:szCs w:val="23"/>
        </w:rPr>
        <w:t xml:space="preserve"> </w:t>
      </w:r>
      <w:r>
        <w:rPr>
          <w:color w:val="211F1F"/>
          <w:sz w:val="23"/>
          <w:szCs w:val="23"/>
        </w:rPr>
        <w:t>care.</w:t>
      </w:r>
    </w:p>
    <w:p w:rsidR="002C5025" w:rsidRDefault="002C5025">
      <w:pPr>
        <w:pStyle w:val="ListParagraph"/>
        <w:numPr>
          <w:ilvl w:val="0"/>
          <w:numId w:val="1"/>
        </w:numPr>
        <w:tabs>
          <w:tab w:val="left" w:pos="817"/>
        </w:tabs>
        <w:kinsoku w:val="0"/>
        <w:overflowPunct w:val="0"/>
        <w:spacing w:before="18" w:line="247" w:lineRule="auto"/>
        <w:ind w:left="831" w:right="1628"/>
        <w:rPr>
          <w:color w:val="343333"/>
          <w:sz w:val="23"/>
          <w:szCs w:val="23"/>
        </w:rPr>
      </w:pPr>
      <w:r>
        <w:rPr>
          <w:color w:val="211F1F"/>
          <w:sz w:val="23"/>
          <w:szCs w:val="23"/>
        </w:rPr>
        <w:t xml:space="preserve">An ACO cannot drive financial alignment across providers throughout the full continuum  of care without responsibility  and authority for </w:t>
      </w:r>
      <w:r>
        <w:rPr>
          <w:color w:val="313131"/>
          <w:sz w:val="23"/>
          <w:szCs w:val="23"/>
        </w:rPr>
        <w:t xml:space="preserve">services </w:t>
      </w:r>
      <w:r>
        <w:rPr>
          <w:color w:val="211F1F"/>
          <w:sz w:val="23"/>
          <w:szCs w:val="23"/>
        </w:rPr>
        <w:t xml:space="preserve">across the full continuum of  </w:t>
      </w:r>
      <w:r>
        <w:rPr>
          <w:color w:val="211F1F"/>
          <w:spacing w:val="43"/>
          <w:sz w:val="23"/>
          <w:szCs w:val="23"/>
        </w:rPr>
        <w:t xml:space="preserve"> </w:t>
      </w:r>
      <w:r>
        <w:rPr>
          <w:color w:val="211F1F"/>
          <w:sz w:val="23"/>
          <w:szCs w:val="23"/>
        </w:rPr>
        <w:t>care</w:t>
      </w:r>
    </w:p>
    <w:p w:rsidR="002C5025" w:rsidRDefault="002C5025">
      <w:pPr>
        <w:pStyle w:val="BodyText"/>
        <w:kinsoku w:val="0"/>
        <w:overflowPunct w:val="0"/>
        <w:spacing w:before="4"/>
        <w:ind w:left="816" w:right="1546"/>
        <w:rPr>
          <w:rFonts w:ascii="Times New Roman" w:hAnsi="Times New Roman" w:cs="Times New Roman"/>
          <w:color w:val="211F1F"/>
          <w:w w:val="105"/>
          <w:sz w:val="23"/>
          <w:szCs w:val="23"/>
        </w:rPr>
      </w:pPr>
      <w:r>
        <w:rPr>
          <w:rFonts w:ascii="Times New Roman" w:hAnsi="Times New Roman" w:cs="Times New Roman"/>
          <w:color w:val="4C4C4C"/>
          <w:w w:val="105"/>
          <w:sz w:val="23"/>
          <w:szCs w:val="23"/>
        </w:rPr>
        <w:t>-</w:t>
      </w:r>
      <w:r>
        <w:rPr>
          <w:rFonts w:ascii="Times New Roman" w:hAnsi="Times New Roman" w:cs="Times New Roman"/>
          <w:color w:val="211F1F"/>
          <w:w w:val="105"/>
          <w:sz w:val="23"/>
          <w:szCs w:val="23"/>
        </w:rPr>
        <w:t>including both physical  and behavioral.</w:t>
      </w:r>
    </w:p>
    <w:p w:rsidR="002C5025" w:rsidRDefault="002C5025">
      <w:pPr>
        <w:pStyle w:val="BodyText"/>
        <w:kinsoku w:val="0"/>
        <w:overflowPunct w:val="0"/>
        <w:spacing w:before="4"/>
        <w:ind w:left="816" w:right="1546"/>
        <w:rPr>
          <w:rFonts w:ascii="Times New Roman" w:hAnsi="Times New Roman" w:cs="Times New Roman"/>
          <w:color w:val="211F1F"/>
          <w:w w:val="105"/>
          <w:sz w:val="23"/>
          <w:szCs w:val="23"/>
        </w:rPr>
        <w:sectPr w:rsidR="002C5025">
          <w:pgSz w:w="12240" w:h="15840"/>
          <w:pgMar w:top="160" w:right="0" w:bottom="0" w:left="1300" w:header="720" w:footer="720" w:gutter="0"/>
          <w:cols w:space="720" w:equalWidth="0">
            <w:col w:w="10940"/>
          </w:cols>
          <w:noEndnote/>
        </w:sectPr>
      </w:pPr>
    </w:p>
    <w:p w:rsidR="002C5025" w:rsidRDefault="00FB027C">
      <w:pPr>
        <w:pStyle w:val="BodyText"/>
        <w:kinsoku w:val="0"/>
        <w:overflowPunct w:val="0"/>
        <w:rPr>
          <w:rFonts w:ascii="Times New Roman" w:hAnsi="Times New Roman" w:cs="Times New Roman"/>
          <w:sz w:val="20"/>
          <w:szCs w:val="20"/>
        </w:rPr>
      </w:pPr>
      <w:r>
        <w:rPr>
          <w:noProof/>
        </w:rPr>
        <w:lastRenderedPageBreak/>
        <mc:AlternateContent>
          <mc:Choice Requires="wps">
            <w:drawing>
              <wp:anchor distT="0" distB="0" distL="114300" distR="114300" simplePos="0" relativeHeight="251836928" behindDoc="0" locked="0" layoutInCell="0" allowOverlap="1">
                <wp:simplePos x="0" y="0"/>
                <wp:positionH relativeFrom="page">
                  <wp:posOffset>7724775</wp:posOffset>
                </wp:positionH>
                <wp:positionV relativeFrom="page">
                  <wp:posOffset>0</wp:posOffset>
                </wp:positionV>
                <wp:extent cx="12700" cy="9994265"/>
                <wp:effectExtent l="0" t="0" r="0" b="0"/>
                <wp:wrapNone/>
                <wp:docPr id="14" name="Freeform 8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9994265"/>
                        </a:xfrm>
                        <a:custGeom>
                          <a:avLst/>
                          <a:gdLst>
                            <a:gd name="T0" fmla="*/ 0 w 20"/>
                            <a:gd name="T1" fmla="*/ 15739 h 15739"/>
                            <a:gd name="T2" fmla="*/ 0 w 20"/>
                            <a:gd name="T3" fmla="*/ 0 h 15739"/>
                          </a:gdLst>
                          <a:ahLst/>
                          <a:cxnLst>
                            <a:cxn ang="0">
                              <a:pos x="T0" y="T1"/>
                            </a:cxn>
                            <a:cxn ang="0">
                              <a:pos x="T2" y="T3"/>
                            </a:cxn>
                          </a:cxnLst>
                          <a:rect l="0" t="0" r="r" b="b"/>
                          <a:pathLst>
                            <a:path w="20" h="15739">
                              <a:moveTo>
                                <a:pt x="0" y="15739"/>
                              </a:moveTo>
                              <a:lnTo>
                                <a:pt x="0" y="0"/>
                              </a:lnTo>
                            </a:path>
                          </a:pathLst>
                        </a:custGeom>
                        <a:noFill/>
                        <a:ln w="18249">
                          <a:solidFill>
                            <a:srgbClr val="C9C9C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858" o:spid="_x0000_s1026" style="position:absolute;z-index:251836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08.25pt,786.95pt,608.25pt,0" coordsize="20,15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" o:allowincell="f" filled="f" strokecolor="#c9c9c9" strokeweight=".50692mm">
                <v:path arrowok="t" o:connecttype="custom" o:connectlocs="0,9994265;0,0" o:connectangles="0,0"/>
                <w10:wrap anchorx="page" anchory="page"/>
              </v:polyline>
            </w:pict>
          </mc:Fallback>
        </mc:AlternateContent>
      </w: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rPr>
          <w:rFonts w:ascii="Times New Roman" w:hAnsi="Times New Roman" w:cs="Times New Roman"/>
          <w:sz w:val="20"/>
          <w:szCs w:val="20"/>
        </w:rPr>
      </w:pPr>
    </w:p>
    <w:p w:rsidR="002C5025" w:rsidRDefault="002C5025">
      <w:pPr>
        <w:pStyle w:val="BodyText"/>
        <w:kinsoku w:val="0"/>
        <w:overflowPunct w:val="0"/>
        <w:spacing w:before="4"/>
        <w:rPr>
          <w:rFonts w:ascii="Times New Roman" w:hAnsi="Times New Roman" w:cs="Times New Roman"/>
          <w:sz w:val="29"/>
          <w:szCs w:val="29"/>
        </w:rPr>
      </w:pPr>
    </w:p>
    <w:p w:rsidR="002C5025" w:rsidRDefault="002C5025">
      <w:pPr>
        <w:pStyle w:val="BodyText"/>
        <w:kinsoku w:val="0"/>
        <w:overflowPunct w:val="0"/>
        <w:spacing w:before="71" w:line="254" w:lineRule="auto"/>
        <w:ind w:left="103" w:right="1304"/>
        <w:rPr>
          <w:rFonts w:ascii="Times New Roman" w:hAnsi="Times New Roman" w:cs="Times New Roman"/>
          <w:b/>
          <w:bCs/>
          <w:color w:val="262626"/>
          <w:sz w:val="23"/>
          <w:szCs w:val="23"/>
        </w:rPr>
      </w:pPr>
      <w:bookmarkStart w:id="286" w:name="Ensure_Adequate_DSRIP_Funding_for_State_"/>
      <w:bookmarkEnd w:id="286"/>
      <w:r>
        <w:rPr>
          <w:rFonts w:ascii="Times New Roman" w:hAnsi="Times New Roman" w:cs="Times New Roman"/>
          <w:b/>
          <w:bCs/>
          <w:color w:val="262626"/>
          <w:sz w:val="23"/>
          <w:szCs w:val="23"/>
          <w:u w:val="thick" w:color="000000"/>
        </w:rPr>
        <w:t xml:space="preserve">Ensure Adequate DSRIP Funding for </w:t>
      </w:r>
      <w:r>
        <w:rPr>
          <w:rFonts w:ascii="Times New Roman" w:hAnsi="Times New Roman" w:cs="Times New Roman"/>
          <w:b/>
          <w:bCs/>
          <w:color w:val="3A3A3A"/>
          <w:sz w:val="23"/>
          <w:szCs w:val="23"/>
          <w:u w:val="thick" w:color="000000"/>
        </w:rPr>
        <w:t xml:space="preserve">State </w:t>
      </w:r>
      <w:r>
        <w:rPr>
          <w:rFonts w:ascii="Times New Roman" w:hAnsi="Times New Roman" w:cs="Times New Roman"/>
          <w:b/>
          <w:bCs/>
          <w:color w:val="262626"/>
          <w:sz w:val="23"/>
          <w:szCs w:val="23"/>
          <w:u w:val="thick" w:color="000000"/>
        </w:rPr>
        <w:t>Operations/Implementation is Dedicated to Appropriate  Data Infrastructure</w:t>
      </w:r>
    </w:p>
    <w:p w:rsidR="002C5025" w:rsidRDefault="002C5025">
      <w:pPr>
        <w:pStyle w:val="BodyText"/>
        <w:kinsoku w:val="0"/>
        <w:overflowPunct w:val="0"/>
        <w:spacing w:line="249" w:lineRule="auto"/>
        <w:ind w:left="102" w:right="1792" w:firstLine="5"/>
        <w:rPr>
          <w:rFonts w:ascii="Times New Roman" w:hAnsi="Times New Roman" w:cs="Times New Roman"/>
          <w:color w:val="262626"/>
          <w:sz w:val="23"/>
          <w:szCs w:val="23"/>
        </w:rPr>
      </w:pPr>
      <w:r>
        <w:rPr>
          <w:rFonts w:ascii="Times New Roman" w:hAnsi="Times New Roman" w:cs="Times New Roman"/>
          <w:color w:val="262626"/>
          <w:sz w:val="23"/>
          <w:szCs w:val="23"/>
        </w:rPr>
        <w:t xml:space="preserve">Payment and delivery </w:t>
      </w:r>
      <w:r>
        <w:rPr>
          <w:rFonts w:ascii="Times New Roman" w:hAnsi="Times New Roman" w:cs="Times New Roman"/>
          <w:color w:val="3A3A3A"/>
          <w:sz w:val="23"/>
          <w:szCs w:val="23"/>
        </w:rPr>
        <w:t xml:space="preserve">system </w:t>
      </w:r>
      <w:r>
        <w:rPr>
          <w:rFonts w:ascii="Times New Roman" w:hAnsi="Times New Roman" w:cs="Times New Roman"/>
          <w:color w:val="262626"/>
          <w:sz w:val="23"/>
          <w:szCs w:val="23"/>
        </w:rPr>
        <w:t xml:space="preserve">reforms </w:t>
      </w:r>
      <w:r>
        <w:rPr>
          <w:rFonts w:ascii="Times New Roman" w:hAnsi="Times New Roman" w:cs="Times New Roman"/>
          <w:color w:val="3A3A3A"/>
          <w:sz w:val="23"/>
          <w:szCs w:val="23"/>
        </w:rPr>
        <w:t xml:space="preserve">outlined </w:t>
      </w:r>
      <w:r>
        <w:rPr>
          <w:rFonts w:ascii="Times New Roman" w:hAnsi="Times New Roman" w:cs="Times New Roman"/>
          <w:color w:val="262626"/>
          <w:sz w:val="23"/>
          <w:szCs w:val="23"/>
        </w:rPr>
        <w:t xml:space="preserve">in the Section  </w:t>
      </w:r>
      <w:r>
        <w:rPr>
          <w:rFonts w:ascii="Times New Roman" w:hAnsi="Times New Roman" w:cs="Times New Roman"/>
          <w:color w:val="3A3A3A"/>
          <w:sz w:val="23"/>
          <w:szCs w:val="23"/>
        </w:rPr>
        <w:t xml:space="preserve">1115 </w:t>
      </w:r>
      <w:r>
        <w:rPr>
          <w:rFonts w:ascii="Times New Roman" w:hAnsi="Times New Roman" w:cs="Times New Roman"/>
          <w:color w:val="262626"/>
          <w:sz w:val="23"/>
          <w:szCs w:val="23"/>
        </w:rPr>
        <w:t>Request requir</w:t>
      </w:r>
      <w:r>
        <w:rPr>
          <w:rFonts w:ascii="Times New Roman" w:hAnsi="Times New Roman" w:cs="Times New Roman"/>
          <w:color w:val="515151"/>
          <w:sz w:val="23"/>
          <w:szCs w:val="23"/>
        </w:rPr>
        <w:t xml:space="preserve">e </w:t>
      </w:r>
      <w:r>
        <w:rPr>
          <w:rFonts w:ascii="Times New Roman" w:hAnsi="Times New Roman" w:cs="Times New Roman"/>
          <w:color w:val="262626"/>
          <w:sz w:val="23"/>
          <w:szCs w:val="23"/>
        </w:rPr>
        <w:t xml:space="preserve">timely </w:t>
      </w:r>
      <w:r>
        <w:rPr>
          <w:rFonts w:ascii="Times New Roman" w:hAnsi="Times New Roman" w:cs="Times New Roman"/>
          <w:color w:val="3A3A3A"/>
          <w:sz w:val="23"/>
          <w:szCs w:val="23"/>
        </w:rPr>
        <w:t xml:space="preserve">access </w:t>
      </w:r>
      <w:r>
        <w:rPr>
          <w:rFonts w:ascii="Times New Roman" w:hAnsi="Times New Roman" w:cs="Times New Roman"/>
          <w:color w:val="262626"/>
          <w:sz w:val="23"/>
          <w:szCs w:val="23"/>
        </w:rPr>
        <w:t xml:space="preserve">to claims data for MassHealth patients in </w:t>
      </w:r>
      <w:r>
        <w:rPr>
          <w:rFonts w:ascii="Times New Roman" w:hAnsi="Times New Roman" w:cs="Times New Roman"/>
          <w:color w:val="3A3A3A"/>
          <w:sz w:val="23"/>
          <w:szCs w:val="23"/>
        </w:rPr>
        <w:t xml:space="preserve">order </w:t>
      </w:r>
      <w:r>
        <w:rPr>
          <w:rFonts w:ascii="Times New Roman" w:hAnsi="Times New Roman" w:cs="Times New Roman"/>
          <w:color w:val="262626"/>
          <w:sz w:val="23"/>
          <w:szCs w:val="23"/>
        </w:rPr>
        <w:t xml:space="preserve">to </w:t>
      </w:r>
      <w:r>
        <w:rPr>
          <w:rFonts w:ascii="Times New Roman" w:hAnsi="Times New Roman" w:cs="Times New Roman"/>
          <w:color w:val="3A3A3A"/>
          <w:sz w:val="23"/>
          <w:szCs w:val="23"/>
        </w:rPr>
        <w:t xml:space="preserve">accurately assess </w:t>
      </w:r>
      <w:r>
        <w:rPr>
          <w:rFonts w:ascii="Times New Roman" w:hAnsi="Times New Roman" w:cs="Times New Roman"/>
          <w:color w:val="262626"/>
          <w:sz w:val="23"/>
          <w:szCs w:val="23"/>
        </w:rPr>
        <w:t xml:space="preserve">member </w:t>
      </w:r>
      <w:r>
        <w:rPr>
          <w:rFonts w:ascii="Times New Roman" w:hAnsi="Times New Roman" w:cs="Times New Roman"/>
          <w:color w:val="3A3A3A"/>
          <w:sz w:val="23"/>
          <w:szCs w:val="23"/>
        </w:rPr>
        <w:t xml:space="preserve">risk </w:t>
      </w:r>
      <w:r>
        <w:rPr>
          <w:rFonts w:ascii="Times New Roman" w:hAnsi="Times New Roman" w:cs="Times New Roman"/>
          <w:color w:val="262626"/>
          <w:sz w:val="23"/>
          <w:szCs w:val="23"/>
        </w:rPr>
        <w:t xml:space="preserve">and </w:t>
      </w:r>
      <w:r>
        <w:rPr>
          <w:rFonts w:ascii="Times New Roman" w:hAnsi="Times New Roman" w:cs="Times New Roman"/>
          <w:color w:val="3A3A3A"/>
          <w:sz w:val="23"/>
          <w:szCs w:val="23"/>
        </w:rPr>
        <w:t xml:space="preserve">prioritize opportunities </w:t>
      </w:r>
      <w:r>
        <w:rPr>
          <w:rFonts w:ascii="Times New Roman" w:hAnsi="Times New Roman" w:cs="Times New Roman"/>
          <w:color w:val="262626"/>
          <w:sz w:val="23"/>
          <w:szCs w:val="23"/>
        </w:rPr>
        <w:t xml:space="preserve">for ACOs to drive </w:t>
      </w:r>
      <w:r>
        <w:rPr>
          <w:rFonts w:ascii="Times New Roman" w:hAnsi="Times New Roman" w:cs="Times New Roman"/>
          <w:color w:val="3A3A3A"/>
          <w:sz w:val="23"/>
          <w:szCs w:val="23"/>
        </w:rPr>
        <w:t xml:space="preserve">value for </w:t>
      </w:r>
      <w:r>
        <w:rPr>
          <w:rFonts w:ascii="Times New Roman" w:hAnsi="Times New Roman" w:cs="Times New Roman"/>
          <w:color w:val="262626"/>
          <w:sz w:val="23"/>
          <w:szCs w:val="23"/>
        </w:rPr>
        <w:t>Ma</w:t>
      </w:r>
      <w:r>
        <w:rPr>
          <w:rFonts w:ascii="Times New Roman" w:hAnsi="Times New Roman" w:cs="Times New Roman"/>
          <w:color w:val="515151"/>
          <w:sz w:val="23"/>
          <w:szCs w:val="23"/>
        </w:rPr>
        <w:t>ss</w:t>
      </w:r>
      <w:r>
        <w:rPr>
          <w:rFonts w:ascii="Times New Roman" w:hAnsi="Times New Roman" w:cs="Times New Roman"/>
          <w:color w:val="262626"/>
          <w:sz w:val="23"/>
          <w:szCs w:val="23"/>
        </w:rPr>
        <w:t>Health</w:t>
      </w:r>
      <w:r>
        <w:rPr>
          <w:rFonts w:ascii="Times New Roman" w:hAnsi="Times New Roman" w:cs="Times New Roman"/>
          <w:color w:val="515151"/>
          <w:sz w:val="23"/>
          <w:szCs w:val="23"/>
        </w:rPr>
        <w:t xml:space="preserve">. </w:t>
      </w:r>
      <w:r>
        <w:rPr>
          <w:rFonts w:ascii="Times New Roman" w:hAnsi="Times New Roman" w:cs="Times New Roman"/>
          <w:color w:val="262626"/>
          <w:sz w:val="23"/>
          <w:szCs w:val="23"/>
        </w:rPr>
        <w:t>When outlining investments in the State Operations</w:t>
      </w:r>
      <w:r>
        <w:rPr>
          <w:rFonts w:ascii="Times New Roman" w:hAnsi="Times New Roman" w:cs="Times New Roman"/>
          <w:color w:val="515151"/>
          <w:sz w:val="23"/>
          <w:szCs w:val="23"/>
        </w:rPr>
        <w:t>/</w:t>
      </w:r>
      <w:r>
        <w:rPr>
          <w:rFonts w:ascii="Times New Roman" w:hAnsi="Times New Roman" w:cs="Times New Roman"/>
          <w:color w:val="262626"/>
          <w:sz w:val="23"/>
          <w:szCs w:val="23"/>
        </w:rPr>
        <w:t xml:space="preserve">Implementation  </w:t>
      </w:r>
      <w:r>
        <w:rPr>
          <w:rFonts w:ascii="Times New Roman" w:hAnsi="Times New Roman" w:cs="Times New Roman"/>
          <w:color w:val="3A3A3A"/>
          <w:sz w:val="23"/>
          <w:szCs w:val="23"/>
        </w:rPr>
        <w:t xml:space="preserve">category, we encourage EOHHS </w:t>
      </w:r>
      <w:r>
        <w:rPr>
          <w:rFonts w:ascii="Times New Roman" w:hAnsi="Times New Roman" w:cs="Times New Roman"/>
          <w:color w:val="262626"/>
          <w:sz w:val="23"/>
          <w:szCs w:val="23"/>
        </w:rPr>
        <w:t xml:space="preserve">to invest in its data infrastructure  </w:t>
      </w:r>
      <w:r>
        <w:rPr>
          <w:rFonts w:ascii="Times New Roman" w:hAnsi="Times New Roman" w:cs="Times New Roman"/>
          <w:color w:val="3A3A3A"/>
          <w:sz w:val="23"/>
          <w:szCs w:val="23"/>
        </w:rPr>
        <w:t xml:space="preserve">and </w:t>
      </w:r>
      <w:r>
        <w:rPr>
          <w:rFonts w:ascii="Times New Roman" w:hAnsi="Times New Roman" w:cs="Times New Roman"/>
          <w:color w:val="262626"/>
          <w:sz w:val="23"/>
          <w:szCs w:val="23"/>
        </w:rPr>
        <w:t xml:space="preserve">resources to </w:t>
      </w:r>
      <w:r>
        <w:rPr>
          <w:rFonts w:ascii="Times New Roman" w:hAnsi="Times New Roman" w:cs="Times New Roman"/>
          <w:color w:val="3A3A3A"/>
          <w:sz w:val="23"/>
          <w:szCs w:val="23"/>
        </w:rPr>
        <w:t xml:space="preserve">share </w:t>
      </w:r>
      <w:r>
        <w:rPr>
          <w:rFonts w:ascii="Times New Roman" w:hAnsi="Times New Roman" w:cs="Times New Roman"/>
          <w:color w:val="262626"/>
          <w:sz w:val="23"/>
          <w:szCs w:val="23"/>
        </w:rPr>
        <w:t xml:space="preserve">accurate </w:t>
      </w:r>
      <w:r>
        <w:rPr>
          <w:rFonts w:ascii="Times New Roman" w:hAnsi="Times New Roman" w:cs="Times New Roman"/>
          <w:color w:val="3A3A3A"/>
          <w:sz w:val="23"/>
          <w:szCs w:val="23"/>
        </w:rPr>
        <w:t xml:space="preserve">and </w:t>
      </w:r>
      <w:r>
        <w:rPr>
          <w:rFonts w:ascii="Times New Roman" w:hAnsi="Times New Roman" w:cs="Times New Roman"/>
          <w:color w:val="262626"/>
          <w:sz w:val="23"/>
          <w:szCs w:val="23"/>
        </w:rPr>
        <w:t xml:space="preserve">timely </w:t>
      </w:r>
      <w:r>
        <w:rPr>
          <w:rFonts w:ascii="Times New Roman" w:hAnsi="Times New Roman" w:cs="Times New Roman"/>
          <w:color w:val="3A3A3A"/>
          <w:sz w:val="23"/>
          <w:szCs w:val="23"/>
        </w:rPr>
        <w:t xml:space="preserve">data with </w:t>
      </w:r>
      <w:r>
        <w:rPr>
          <w:rFonts w:ascii="Times New Roman" w:hAnsi="Times New Roman" w:cs="Times New Roman"/>
          <w:color w:val="262626"/>
          <w:sz w:val="23"/>
          <w:szCs w:val="23"/>
        </w:rPr>
        <w:t xml:space="preserve">ACOs as frequently  </w:t>
      </w:r>
      <w:r>
        <w:rPr>
          <w:rFonts w:ascii="Times New Roman" w:hAnsi="Times New Roman" w:cs="Times New Roman"/>
          <w:color w:val="3A3A3A"/>
          <w:sz w:val="23"/>
          <w:szCs w:val="23"/>
        </w:rPr>
        <w:t xml:space="preserve">as </w:t>
      </w:r>
      <w:r>
        <w:rPr>
          <w:rFonts w:ascii="Times New Roman" w:hAnsi="Times New Roman" w:cs="Times New Roman"/>
          <w:color w:val="262626"/>
          <w:sz w:val="23"/>
          <w:szCs w:val="23"/>
        </w:rPr>
        <w:t xml:space="preserve">possible regarding   the members for which ACOs are </w:t>
      </w:r>
      <w:r>
        <w:rPr>
          <w:rFonts w:ascii="Times New Roman" w:hAnsi="Times New Roman" w:cs="Times New Roman"/>
          <w:color w:val="262626"/>
          <w:spacing w:val="36"/>
          <w:sz w:val="23"/>
          <w:szCs w:val="23"/>
        </w:rPr>
        <w:t xml:space="preserve"> </w:t>
      </w:r>
      <w:r>
        <w:rPr>
          <w:rFonts w:ascii="Times New Roman" w:hAnsi="Times New Roman" w:cs="Times New Roman"/>
          <w:color w:val="262626"/>
          <w:sz w:val="23"/>
          <w:szCs w:val="23"/>
        </w:rPr>
        <w:t>accountable.</w:t>
      </w: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spacing w:before="4"/>
        <w:rPr>
          <w:rFonts w:ascii="Times New Roman" w:hAnsi="Times New Roman" w:cs="Times New Roman"/>
          <w:sz w:val="19"/>
          <w:szCs w:val="19"/>
        </w:rPr>
      </w:pPr>
    </w:p>
    <w:p w:rsidR="002C5025" w:rsidRDefault="002C5025">
      <w:pPr>
        <w:pStyle w:val="BodyText"/>
        <w:kinsoku w:val="0"/>
        <w:overflowPunct w:val="0"/>
        <w:spacing w:before="1" w:line="252" w:lineRule="auto"/>
        <w:ind w:left="114" w:right="1304"/>
        <w:rPr>
          <w:rFonts w:ascii="Times New Roman" w:hAnsi="Times New Roman" w:cs="Times New Roman"/>
          <w:color w:val="262626"/>
          <w:sz w:val="23"/>
          <w:szCs w:val="23"/>
        </w:rPr>
      </w:pPr>
      <w:r>
        <w:rPr>
          <w:rFonts w:ascii="Times New Roman" w:hAnsi="Times New Roman" w:cs="Times New Roman"/>
          <w:color w:val="3A3A3A"/>
          <w:w w:val="105"/>
          <w:sz w:val="23"/>
          <w:szCs w:val="23"/>
        </w:rPr>
        <w:t>Thank</w:t>
      </w:r>
      <w:r>
        <w:rPr>
          <w:rFonts w:ascii="Times New Roman" w:hAnsi="Times New Roman" w:cs="Times New Roman"/>
          <w:color w:val="3A3A3A"/>
          <w:spacing w:val="-17"/>
          <w:w w:val="105"/>
          <w:sz w:val="23"/>
          <w:szCs w:val="23"/>
        </w:rPr>
        <w:t xml:space="preserve"> </w:t>
      </w:r>
      <w:r>
        <w:rPr>
          <w:rFonts w:ascii="Times New Roman" w:hAnsi="Times New Roman" w:cs="Times New Roman"/>
          <w:color w:val="3A3A3A"/>
          <w:w w:val="105"/>
          <w:sz w:val="23"/>
          <w:szCs w:val="23"/>
        </w:rPr>
        <w:t>you</w:t>
      </w:r>
      <w:r>
        <w:rPr>
          <w:rFonts w:ascii="Times New Roman" w:hAnsi="Times New Roman" w:cs="Times New Roman"/>
          <w:color w:val="3A3A3A"/>
          <w:spacing w:val="-15"/>
          <w:w w:val="105"/>
          <w:sz w:val="23"/>
          <w:szCs w:val="23"/>
        </w:rPr>
        <w:t xml:space="preserve"> </w:t>
      </w:r>
      <w:r>
        <w:rPr>
          <w:rFonts w:ascii="Times New Roman" w:hAnsi="Times New Roman" w:cs="Times New Roman"/>
          <w:color w:val="262626"/>
          <w:w w:val="105"/>
          <w:sz w:val="23"/>
          <w:szCs w:val="23"/>
        </w:rPr>
        <w:t>for</w:t>
      </w:r>
      <w:r>
        <w:rPr>
          <w:rFonts w:ascii="Times New Roman" w:hAnsi="Times New Roman" w:cs="Times New Roman"/>
          <w:color w:val="262626"/>
          <w:spacing w:val="-28"/>
          <w:w w:val="105"/>
          <w:sz w:val="23"/>
          <w:szCs w:val="23"/>
        </w:rPr>
        <w:t xml:space="preserve"> </w:t>
      </w:r>
      <w:r>
        <w:rPr>
          <w:rFonts w:ascii="Times New Roman" w:hAnsi="Times New Roman" w:cs="Times New Roman"/>
          <w:color w:val="262626"/>
          <w:w w:val="105"/>
          <w:sz w:val="23"/>
          <w:szCs w:val="23"/>
        </w:rPr>
        <w:t>the</w:t>
      </w:r>
      <w:r>
        <w:rPr>
          <w:rFonts w:ascii="Times New Roman" w:hAnsi="Times New Roman" w:cs="Times New Roman"/>
          <w:color w:val="262626"/>
          <w:spacing w:val="-22"/>
          <w:w w:val="105"/>
          <w:sz w:val="23"/>
          <w:szCs w:val="23"/>
        </w:rPr>
        <w:t xml:space="preserve"> </w:t>
      </w:r>
      <w:r>
        <w:rPr>
          <w:rFonts w:ascii="Times New Roman" w:hAnsi="Times New Roman" w:cs="Times New Roman"/>
          <w:color w:val="262626"/>
          <w:w w:val="105"/>
          <w:sz w:val="23"/>
          <w:szCs w:val="23"/>
        </w:rPr>
        <w:t>opportunity</w:t>
      </w:r>
      <w:r>
        <w:rPr>
          <w:rFonts w:ascii="Times New Roman" w:hAnsi="Times New Roman" w:cs="Times New Roman"/>
          <w:color w:val="262626"/>
          <w:spacing w:val="-13"/>
          <w:w w:val="105"/>
          <w:sz w:val="23"/>
          <w:szCs w:val="23"/>
        </w:rPr>
        <w:t xml:space="preserve"> </w:t>
      </w:r>
      <w:r>
        <w:rPr>
          <w:rFonts w:ascii="Times New Roman" w:hAnsi="Times New Roman" w:cs="Times New Roman"/>
          <w:color w:val="3A3A3A"/>
          <w:w w:val="105"/>
          <w:sz w:val="23"/>
          <w:szCs w:val="23"/>
        </w:rPr>
        <w:t>to</w:t>
      </w:r>
      <w:r>
        <w:rPr>
          <w:rFonts w:ascii="Times New Roman" w:hAnsi="Times New Roman" w:cs="Times New Roman"/>
          <w:color w:val="3A3A3A"/>
          <w:spacing w:val="-18"/>
          <w:w w:val="105"/>
          <w:sz w:val="23"/>
          <w:szCs w:val="23"/>
        </w:rPr>
        <w:t xml:space="preserve"> </w:t>
      </w:r>
      <w:r>
        <w:rPr>
          <w:rFonts w:ascii="Times New Roman" w:hAnsi="Times New Roman" w:cs="Times New Roman"/>
          <w:color w:val="3A3A3A"/>
          <w:w w:val="105"/>
          <w:sz w:val="23"/>
          <w:szCs w:val="23"/>
        </w:rPr>
        <w:t>comment</w:t>
      </w:r>
      <w:r>
        <w:rPr>
          <w:rFonts w:ascii="Times New Roman" w:hAnsi="Times New Roman" w:cs="Times New Roman"/>
          <w:color w:val="3A3A3A"/>
          <w:spacing w:val="-13"/>
          <w:w w:val="105"/>
          <w:sz w:val="23"/>
          <w:szCs w:val="23"/>
        </w:rPr>
        <w:t xml:space="preserve"> </w:t>
      </w:r>
      <w:r>
        <w:rPr>
          <w:rFonts w:ascii="Times New Roman" w:hAnsi="Times New Roman" w:cs="Times New Roman"/>
          <w:color w:val="3A3A3A"/>
          <w:w w:val="105"/>
          <w:sz w:val="23"/>
          <w:szCs w:val="23"/>
        </w:rPr>
        <w:t>on</w:t>
      </w:r>
      <w:r>
        <w:rPr>
          <w:rFonts w:ascii="Times New Roman" w:hAnsi="Times New Roman" w:cs="Times New Roman"/>
          <w:color w:val="3A3A3A"/>
          <w:spacing w:val="-30"/>
          <w:w w:val="105"/>
          <w:sz w:val="23"/>
          <w:szCs w:val="23"/>
        </w:rPr>
        <w:t xml:space="preserve"> </w:t>
      </w:r>
      <w:r>
        <w:rPr>
          <w:rFonts w:ascii="Times New Roman" w:hAnsi="Times New Roman" w:cs="Times New Roman"/>
          <w:color w:val="3A3A3A"/>
          <w:w w:val="105"/>
          <w:sz w:val="23"/>
          <w:szCs w:val="23"/>
        </w:rPr>
        <w:t>the</w:t>
      </w:r>
      <w:r>
        <w:rPr>
          <w:rFonts w:ascii="Times New Roman" w:hAnsi="Times New Roman" w:cs="Times New Roman"/>
          <w:color w:val="3A3A3A"/>
          <w:spacing w:val="-11"/>
          <w:w w:val="105"/>
          <w:sz w:val="23"/>
          <w:szCs w:val="23"/>
        </w:rPr>
        <w:t xml:space="preserve"> </w:t>
      </w:r>
      <w:r>
        <w:rPr>
          <w:rFonts w:ascii="Times New Roman" w:hAnsi="Times New Roman" w:cs="Times New Roman"/>
          <w:color w:val="3A3A3A"/>
          <w:w w:val="105"/>
          <w:sz w:val="23"/>
          <w:szCs w:val="23"/>
        </w:rPr>
        <w:t>Section</w:t>
      </w:r>
      <w:r>
        <w:rPr>
          <w:rFonts w:ascii="Times New Roman" w:hAnsi="Times New Roman" w:cs="Times New Roman"/>
          <w:color w:val="3A3A3A"/>
          <w:spacing w:val="-2"/>
          <w:w w:val="105"/>
          <w:sz w:val="23"/>
          <w:szCs w:val="23"/>
        </w:rPr>
        <w:t xml:space="preserve"> </w:t>
      </w:r>
      <w:r>
        <w:rPr>
          <w:rFonts w:ascii="Times New Roman" w:hAnsi="Times New Roman" w:cs="Times New Roman"/>
          <w:color w:val="262626"/>
          <w:w w:val="105"/>
          <w:sz w:val="23"/>
          <w:szCs w:val="23"/>
        </w:rPr>
        <w:t>1115</w:t>
      </w:r>
      <w:r>
        <w:rPr>
          <w:rFonts w:ascii="Times New Roman" w:hAnsi="Times New Roman" w:cs="Times New Roman"/>
          <w:color w:val="262626"/>
          <w:spacing w:val="-27"/>
          <w:w w:val="105"/>
          <w:sz w:val="23"/>
          <w:szCs w:val="23"/>
        </w:rPr>
        <w:t xml:space="preserve"> </w:t>
      </w:r>
      <w:r>
        <w:rPr>
          <w:rFonts w:ascii="Times New Roman" w:hAnsi="Times New Roman" w:cs="Times New Roman"/>
          <w:color w:val="262626"/>
          <w:w w:val="105"/>
          <w:sz w:val="23"/>
          <w:szCs w:val="23"/>
        </w:rPr>
        <w:t>Request.</w:t>
      </w:r>
      <w:r>
        <w:rPr>
          <w:rFonts w:ascii="Times New Roman" w:hAnsi="Times New Roman" w:cs="Times New Roman"/>
          <w:color w:val="262626"/>
          <w:spacing w:val="-2"/>
          <w:w w:val="105"/>
          <w:sz w:val="23"/>
          <w:szCs w:val="23"/>
        </w:rPr>
        <w:t xml:space="preserve"> </w:t>
      </w:r>
      <w:r>
        <w:rPr>
          <w:rFonts w:ascii="Times New Roman" w:hAnsi="Times New Roman" w:cs="Times New Roman"/>
          <w:color w:val="262626"/>
          <w:w w:val="105"/>
          <w:sz w:val="23"/>
          <w:szCs w:val="23"/>
        </w:rPr>
        <w:t>Steward</w:t>
      </w:r>
      <w:r>
        <w:rPr>
          <w:rFonts w:ascii="Times New Roman" w:hAnsi="Times New Roman" w:cs="Times New Roman"/>
          <w:color w:val="262626"/>
          <w:spacing w:val="-17"/>
          <w:w w:val="105"/>
          <w:sz w:val="23"/>
          <w:szCs w:val="23"/>
        </w:rPr>
        <w:t xml:space="preserve"> </w:t>
      </w:r>
      <w:r>
        <w:rPr>
          <w:rFonts w:ascii="Times New Roman" w:hAnsi="Times New Roman" w:cs="Times New Roman"/>
          <w:color w:val="262626"/>
          <w:w w:val="105"/>
          <w:sz w:val="23"/>
          <w:szCs w:val="23"/>
        </w:rPr>
        <w:t>i</w:t>
      </w:r>
      <w:r>
        <w:rPr>
          <w:rFonts w:ascii="Times New Roman" w:hAnsi="Times New Roman" w:cs="Times New Roman"/>
          <w:color w:val="515151"/>
          <w:w w:val="105"/>
          <w:sz w:val="23"/>
          <w:szCs w:val="23"/>
        </w:rPr>
        <w:t>s</w:t>
      </w:r>
      <w:r>
        <w:rPr>
          <w:rFonts w:ascii="Times New Roman" w:hAnsi="Times New Roman" w:cs="Times New Roman"/>
          <w:color w:val="515151"/>
          <w:spacing w:val="-23"/>
          <w:w w:val="105"/>
          <w:sz w:val="23"/>
          <w:szCs w:val="23"/>
        </w:rPr>
        <w:t xml:space="preserve"> </w:t>
      </w:r>
      <w:r>
        <w:rPr>
          <w:rFonts w:ascii="Times New Roman" w:hAnsi="Times New Roman" w:cs="Times New Roman"/>
          <w:color w:val="3A3A3A"/>
          <w:w w:val="105"/>
          <w:sz w:val="23"/>
          <w:szCs w:val="23"/>
        </w:rPr>
        <w:t xml:space="preserve">strongly supports </w:t>
      </w:r>
      <w:r>
        <w:rPr>
          <w:rFonts w:ascii="Times New Roman" w:hAnsi="Times New Roman" w:cs="Times New Roman"/>
          <w:color w:val="262626"/>
          <w:w w:val="105"/>
          <w:sz w:val="23"/>
          <w:szCs w:val="23"/>
        </w:rPr>
        <w:t xml:space="preserve">the </w:t>
      </w:r>
      <w:r>
        <w:rPr>
          <w:rFonts w:ascii="Times New Roman" w:hAnsi="Times New Roman" w:cs="Times New Roman"/>
          <w:color w:val="3A3A3A"/>
          <w:w w:val="105"/>
          <w:sz w:val="23"/>
          <w:szCs w:val="23"/>
        </w:rPr>
        <w:t xml:space="preserve">Administration's </w:t>
      </w:r>
      <w:r>
        <w:rPr>
          <w:rFonts w:ascii="Times New Roman" w:hAnsi="Times New Roman" w:cs="Times New Roman"/>
          <w:color w:val="262626"/>
          <w:w w:val="105"/>
          <w:sz w:val="23"/>
          <w:szCs w:val="23"/>
        </w:rPr>
        <w:t xml:space="preserve">Section </w:t>
      </w:r>
      <w:r>
        <w:rPr>
          <w:rFonts w:ascii="Times New Roman" w:hAnsi="Times New Roman" w:cs="Times New Roman"/>
          <w:color w:val="3A3A3A"/>
          <w:w w:val="105"/>
          <w:sz w:val="23"/>
          <w:szCs w:val="23"/>
        </w:rPr>
        <w:t xml:space="preserve">1115 Request </w:t>
      </w:r>
      <w:r>
        <w:rPr>
          <w:rFonts w:ascii="Times New Roman" w:hAnsi="Times New Roman" w:cs="Times New Roman"/>
          <w:color w:val="262626"/>
          <w:w w:val="105"/>
          <w:sz w:val="23"/>
          <w:szCs w:val="23"/>
        </w:rPr>
        <w:t xml:space="preserve">and is committed to </w:t>
      </w:r>
      <w:r>
        <w:rPr>
          <w:rFonts w:ascii="Times New Roman" w:hAnsi="Times New Roman" w:cs="Times New Roman"/>
          <w:color w:val="3A3A3A"/>
          <w:w w:val="105"/>
          <w:sz w:val="23"/>
          <w:szCs w:val="23"/>
        </w:rPr>
        <w:t xml:space="preserve">continuing its </w:t>
      </w:r>
      <w:r>
        <w:rPr>
          <w:rFonts w:ascii="Times New Roman" w:hAnsi="Times New Roman" w:cs="Times New Roman"/>
          <w:color w:val="3A3A3A"/>
          <w:sz w:val="23"/>
          <w:szCs w:val="23"/>
        </w:rPr>
        <w:t>collaboration with</w:t>
      </w:r>
      <w:r>
        <w:rPr>
          <w:rFonts w:ascii="Times New Roman" w:hAnsi="Times New Roman" w:cs="Times New Roman"/>
          <w:color w:val="3A3A3A"/>
          <w:spacing w:val="43"/>
          <w:sz w:val="23"/>
          <w:szCs w:val="23"/>
        </w:rPr>
        <w:t xml:space="preserve"> </w:t>
      </w:r>
      <w:r>
        <w:rPr>
          <w:rFonts w:ascii="Times New Roman" w:hAnsi="Times New Roman" w:cs="Times New Roman"/>
          <w:color w:val="262626"/>
          <w:sz w:val="23"/>
          <w:szCs w:val="23"/>
        </w:rPr>
        <w:t>MassHealth.</w:t>
      </w: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spacing w:before="2"/>
        <w:rPr>
          <w:rFonts w:ascii="Times New Roman" w:hAnsi="Times New Roman" w:cs="Times New Roman"/>
          <w:sz w:val="23"/>
          <w:szCs w:val="23"/>
        </w:rPr>
      </w:pPr>
    </w:p>
    <w:p w:rsidR="002C5025" w:rsidRDefault="00FB027C">
      <w:pPr>
        <w:pStyle w:val="BodyText"/>
        <w:kinsoku w:val="0"/>
        <w:overflowPunct w:val="0"/>
        <w:ind w:left="115" w:right="1304"/>
        <w:rPr>
          <w:rFonts w:ascii="Times New Roman" w:hAnsi="Times New Roman" w:cs="Times New Roman"/>
          <w:color w:val="3A3A3A"/>
          <w:sz w:val="23"/>
          <w:szCs w:val="23"/>
        </w:rPr>
      </w:pPr>
      <w:r>
        <w:rPr>
          <w:noProof/>
        </w:rPr>
        <mc:AlternateContent>
          <mc:Choice Requires="wps">
            <w:drawing>
              <wp:anchor distT="0" distB="0" distL="114300" distR="114300" simplePos="0" relativeHeight="251837952" behindDoc="1" locked="0" layoutInCell="0" allowOverlap="1">
                <wp:simplePos x="0" y="0"/>
                <wp:positionH relativeFrom="page">
                  <wp:posOffset>951230</wp:posOffset>
                </wp:positionH>
                <wp:positionV relativeFrom="paragraph">
                  <wp:posOffset>179070</wp:posOffset>
                </wp:positionV>
                <wp:extent cx="508000" cy="508000"/>
                <wp:effectExtent l="0" t="0" r="0" b="0"/>
                <wp:wrapNone/>
                <wp:docPr id="12" name="Rectangle 8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50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B7B" w:rsidRDefault="007B2B7B">
                            <w:pPr>
                              <w:widowControl/>
                              <w:autoSpaceDE/>
                              <w:autoSpaceDN/>
                              <w:adjustRightInd/>
                              <w:spacing w:line="800" w:lineRule="atLeast"/>
                            </w:pPr>
                            <w:r>
                              <w:rPr>
                                <w:noProof/>
                              </w:rPr>
                              <w:drawing>
                                <wp:inline distT="0" distB="0" distL="0" distR="0">
                                  <wp:extent cx="514350" cy="504825"/>
                                  <wp:effectExtent l="0" t="0" r="0" b="9525"/>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599">
                                            <a:extLst>
                                              <a:ext uri="{28A0092B-C50C-407E-A947-70E740481C1C}">
                                                <a14:useLocalDpi xmlns:a14="http://schemas.microsoft.com/office/drawing/2010/main" val="0"/>
                                              </a:ext>
                                            </a:extLst>
                                          </a:blip>
                                          <a:srcRect/>
                                          <a:stretch>
                                            <a:fillRect/>
                                          </a:stretch>
                                        </pic:blipFill>
                                        <pic:spPr bwMode="auto">
                                          <a:xfrm>
                                            <a:off x="0" y="0"/>
                                            <a:ext cx="514350" cy="504825"/>
                                          </a:xfrm>
                                          <a:prstGeom prst="rect">
                                            <a:avLst/>
                                          </a:prstGeom>
                                          <a:noFill/>
                                          <a:ln>
                                            <a:noFill/>
                                          </a:ln>
                                        </pic:spPr>
                                      </pic:pic>
                                    </a:graphicData>
                                  </a:graphic>
                                </wp:inline>
                              </w:drawing>
                            </w:r>
                          </w:p>
                          <w:p w:rsidR="007B2B7B" w:rsidRDefault="007B2B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9" o:spid="_x0000_s1293" style="position:absolute;left:0;text-align:left;margin-left:74.9pt;margin-top:14.1pt;width:40pt;height:40pt;z-index:-251478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" o:allowincell="f" filled="f" stroked="f">
                <v:textbox inset="0,0,0,0">
                  <w:txbxContent>
                    <w:p w:rsidR="007B2B7B" w:rsidRDefault="007B2B7B">
                      <w:pPr>
                        <w:widowControl/>
                        <w:autoSpaceDE/>
                        <w:autoSpaceDN/>
                        <w:adjustRightInd/>
                        <w:spacing w:line="800" w:lineRule="atLeast"/>
                      </w:pPr>
                      <w:r>
                        <w:rPr>
                          <w:noProof/>
                        </w:rPr>
                        <w:drawing>
                          <wp:inline distT="0" distB="0" distL="0" distR="0">
                            <wp:extent cx="514350" cy="504825"/>
                            <wp:effectExtent l="0" t="0" r="0" b="9525"/>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600">
                                      <a:extLst>
                                        <a:ext uri="{28A0092B-C50C-407E-A947-70E740481C1C}">
                                          <a14:useLocalDpi xmlns:a14="http://schemas.microsoft.com/office/drawing/2010/main" val="0"/>
                                        </a:ext>
                                      </a:extLst>
                                    </a:blip>
                                    <a:srcRect/>
                                    <a:stretch>
                                      <a:fillRect/>
                                    </a:stretch>
                                  </pic:blipFill>
                                  <pic:spPr bwMode="auto">
                                    <a:xfrm>
                                      <a:off x="0" y="0"/>
                                      <a:ext cx="514350" cy="504825"/>
                                    </a:xfrm>
                                    <a:prstGeom prst="rect">
                                      <a:avLst/>
                                    </a:prstGeom>
                                    <a:noFill/>
                                    <a:ln>
                                      <a:noFill/>
                                    </a:ln>
                                  </pic:spPr>
                                </pic:pic>
                              </a:graphicData>
                            </a:graphic>
                          </wp:inline>
                        </w:drawing>
                      </w:r>
                    </w:p>
                    <w:p w:rsidR="007B2B7B" w:rsidRDefault="007B2B7B"/>
                  </w:txbxContent>
                </v:textbox>
                <w10:wrap anchorx="page"/>
              </v:rect>
            </w:pict>
          </mc:Fallback>
        </mc:AlternateContent>
      </w:r>
      <w:r>
        <w:rPr>
          <w:noProof/>
        </w:rPr>
        <mc:AlternateContent>
          <mc:Choice Requires="wpg">
            <w:drawing>
              <wp:anchor distT="0" distB="0" distL="114300" distR="114300" simplePos="0" relativeHeight="251838976" behindDoc="1" locked="0" layoutInCell="0" allowOverlap="1">
                <wp:simplePos x="0" y="0"/>
                <wp:positionH relativeFrom="page">
                  <wp:posOffset>1595120</wp:posOffset>
                </wp:positionH>
                <wp:positionV relativeFrom="paragraph">
                  <wp:posOffset>-12700</wp:posOffset>
                </wp:positionV>
                <wp:extent cx="1845945" cy="963930"/>
                <wp:effectExtent l="0" t="0" r="0" b="0"/>
                <wp:wrapNone/>
                <wp:docPr id="3" name="Group 8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5945" cy="963930"/>
                          <a:chOff x="2512" y="-20"/>
                          <a:chExt cx="2907" cy="1518"/>
                        </a:xfrm>
                      </wpg:grpSpPr>
                      <pic:pic xmlns:pic="http://schemas.openxmlformats.org/drawingml/2006/picture">
                        <pic:nvPicPr>
                          <pic:cNvPr id="1117" name="Picture 861"/>
                          <pic:cNvPicPr>
                            <a:picLocks noChangeAspect="1" noChangeArrowheads="1"/>
                          </pic:cNvPicPr>
                        </pic:nvPicPr>
                        <pic:blipFill>
                          <a:blip r:embed="rId601">
                            <a:extLst>
                              <a:ext uri="{28A0092B-C50C-407E-A947-70E740481C1C}">
                                <a14:useLocalDpi xmlns:a14="http://schemas.microsoft.com/office/drawing/2010/main" val="0"/>
                              </a:ext>
                            </a:extLst>
                          </a:blip>
                          <a:srcRect/>
                          <a:stretch>
                            <a:fillRect/>
                          </a:stretch>
                        </pic:blipFill>
                        <pic:spPr bwMode="auto">
                          <a:xfrm>
                            <a:off x="2513" y="-21"/>
                            <a:ext cx="1780" cy="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84" name="Freeform 862"/>
                        <wps:cNvSpPr>
                          <a:spLocks/>
                        </wps:cNvSpPr>
                        <wps:spPr bwMode="auto">
                          <a:xfrm>
                            <a:off x="4260" y="562"/>
                            <a:ext cx="1149" cy="20"/>
                          </a:xfrm>
                          <a:custGeom>
                            <a:avLst/>
                            <a:gdLst>
                              <a:gd name="T0" fmla="*/ 0 w 1149"/>
                              <a:gd name="T1" fmla="*/ 0 h 20"/>
                              <a:gd name="T2" fmla="*/ 1149 w 1149"/>
                              <a:gd name="T3" fmla="*/ 0 h 20"/>
                            </a:gdLst>
                            <a:ahLst/>
                            <a:cxnLst>
                              <a:cxn ang="0">
                                <a:pos x="T0" y="T1"/>
                              </a:cxn>
                              <a:cxn ang="0">
                                <a:pos x="T2" y="T3"/>
                              </a:cxn>
                            </a:cxnLst>
                            <a:rect l="0" t="0" r="r" b="b"/>
                            <a:pathLst>
                              <a:path w="1149" h="20">
                                <a:moveTo>
                                  <a:pt x="0" y="0"/>
                                </a:moveTo>
                                <a:lnTo>
                                  <a:pt x="1149" y="0"/>
                                </a:lnTo>
                              </a:path>
                            </a:pathLst>
                          </a:custGeom>
                          <a:noFill/>
                          <a:ln w="13677">
                            <a:solidFill>
                              <a:srgbClr val="4A4A4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60" o:spid="_x0000_s1026" style="position:absolute;margin-left:125.6pt;margin-top:-1pt;width:145.35pt;height:75.9pt;z-index:-251477504;mso-position-horizontal-relative:page" coordorigin="2512,-20" coordsize="2907,15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" o:allowincell="f">
                <v:shape id="Picture 861" o:spid="_x0000_s1027" type="#_x0000_t75" style="position:absolute;left:2513;top:-21;width:1780;height:15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GTti/AAAA2gAAAA8AAABkcnMvZG93bnJldi54bWxET8tqAjEU3Qv9h3AL7jSjC5GpUdpC0Y2K&#10;j9LtZXKbmXZyMyRxjH9vFoLLw3kvVsm2oicfGscKJuMCBHHldMNGwfn0NZqDCBFZY+uYFNwowGr5&#10;Mlhgqd2VD9QfoxE5hEOJCuoYu1LKUNVkMYxdR5y5X+ctxgy9kdrjNYfbVk6LYiYtNpwbauzos6bq&#10;/3ixCtIubfv9R0o/u4mfpr9vE/Zro9TwNb2/gYiU4lP8cG+0grw1X8k3QC7v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khk7YvwAAANoAAAAPAAAAAAAAAAAAAAAAAJ8CAABk&#10;cnMvZG93bnJldi54bWxQSwUGAAAAAAQABAD3AAAAiwMAAAAA&#10;">
                  <v:imagedata r:id="rId602" o:title=""/>
                </v:shape>
                <v:shape id="Freeform 862" o:spid="_x0000_s1028" style="position:absolute;left:4260;top:562;width:1149;height:20;visibility:visible;mso-wrap-style:square;v-text-anchor:top" coordsize="114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AuRcQA&#10;AADbAAAADwAAAGRycy9kb3ducmV2LnhtbESPQWvCQBCF7wX/wzJCb3Wjh1JSVymCoEKh1ZbibchO&#10;k5DsbMyOGv9951DwNsN789438+UQWnOhPtWRHUwnGRjiIvqaSwdfh/XTC5gkyB7byOTgRgmWi9HD&#10;HHMfr/xJl72URkM45eigEulya1NRUcA0iR2xar+xDyi69qX1PV41PLR2lmXPNmDN2lBhR6uKimZ/&#10;Dg6a7w/bpG33zut4jLfdj5zqozj3OB7eXsEIDXI3/19vvOIrvf6iA9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gLkXEAAAA2wAAAA8AAAAAAAAAAAAAAAAAmAIAAGRycy9k&#10;b3ducmV2LnhtbFBLBQYAAAAABAAEAPUAAACJAwAAAAA=&#10;" path="m,l1149,e" filled="f" strokecolor="#4a4a4a" strokeweight=".37992mm">
                  <v:path arrowok="t" o:connecttype="custom" o:connectlocs="0,0;1149,0" o:connectangles="0,0"/>
                </v:shape>
                <w10:wrap anchorx="page"/>
              </v:group>
            </w:pict>
          </mc:Fallback>
        </mc:AlternateContent>
      </w:r>
      <w:r w:rsidR="002C5025">
        <w:rPr>
          <w:rFonts w:ascii="Times New Roman" w:hAnsi="Times New Roman" w:cs="Times New Roman"/>
          <w:color w:val="3A3A3A"/>
          <w:sz w:val="23"/>
          <w:szCs w:val="23"/>
        </w:rPr>
        <w:t>Sincerely,</w:t>
      </w: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rPr>
          <w:rFonts w:ascii="Times New Roman" w:hAnsi="Times New Roman" w:cs="Times New Roman"/>
        </w:rPr>
      </w:pPr>
    </w:p>
    <w:p w:rsidR="002C5025" w:rsidRDefault="002C5025">
      <w:pPr>
        <w:pStyle w:val="BodyText"/>
        <w:kinsoku w:val="0"/>
        <w:overflowPunct w:val="0"/>
        <w:spacing w:before="3"/>
        <w:rPr>
          <w:rFonts w:ascii="Times New Roman" w:hAnsi="Times New Roman" w:cs="Times New Roman"/>
        </w:rPr>
      </w:pPr>
    </w:p>
    <w:p w:rsidR="002C5025" w:rsidRDefault="002C5025">
      <w:pPr>
        <w:pStyle w:val="BodyText"/>
        <w:kinsoku w:val="0"/>
        <w:overflowPunct w:val="0"/>
        <w:spacing w:before="1"/>
        <w:ind w:left="108" w:right="1304"/>
        <w:rPr>
          <w:rFonts w:ascii="Times New Roman" w:hAnsi="Times New Roman" w:cs="Times New Roman"/>
          <w:color w:val="262626"/>
          <w:w w:val="105"/>
          <w:sz w:val="23"/>
          <w:szCs w:val="23"/>
        </w:rPr>
      </w:pPr>
      <w:proofErr w:type="spellStart"/>
      <w:r>
        <w:rPr>
          <w:rFonts w:ascii="Times New Roman" w:hAnsi="Times New Roman" w:cs="Times New Roman"/>
          <w:color w:val="262626"/>
          <w:w w:val="105"/>
          <w:sz w:val="23"/>
          <w:szCs w:val="23"/>
        </w:rPr>
        <w:t>Davia</w:t>
      </w:r>
      <w:proofErr w:type="spellEnd"/>
      <w:r>
        <w:rPr>
          <w:rFonts w:ascii="Times New Roman" w:hAnsi="Times New Roman" w:cs="Times New Roman"/>
          <w:color w:val="262626"/>
          <w:w w:val="105"/>
          <w:sz w:val="23"/>
          <w:szCs w:val="23"/>
        </w:rPr>
        <w:t xml:space="preserve"> Morales</w:t>
      </w:r>
    </w:p>
    <w:p w:rsidR="002C5025" w:rsidRDefault="002C5025">
      <w:pPr>
        <w:pStyle w:val="BodyText"/>
        <w:kinsoku w:val="0"/>
        <w:overflowPunct w:val="0"/>
        <w:spacing w:before="6" w:line="252" w:lineRule="auto"/>
        <w:ind w:left="108" w:right="7995" w:firstLine="6"/>
        <w:rPr>
          <w:rFonts w:ascii="Times New Roman" w:hAnsi="Times New Roman" w:cs="Times New Roman"/>
          <w:color w:val="262626"/>
          <w:sz w:val="23"/>
          <w:szCs w:val="23"/>
        </w:rPr>
      </w:pPr>
      <w:r>
        <w:rPr>
          <w:rFonts w:ascii="Times New Roman" w:hAnsi="Times New Roman" w:cs="Times New Roman"/>
          <w:color w:val="3A3A3A"/>
          <w:sz w:val="23"/>
          <w:szCs w:val="23"/>
        </w:rPr>
        <w:t xml:space="preserve">Chief Strategy Officer Steward Health </w:t>
      </w:r>
      <w:r>
        <w:rPr>
          <w:rFonts w:ascii="Times New Roman" w:hAnsi="Times New Roman" w:cs="Times New Roman"/>
          <w:color w:val="262626"/>
          <w:sz w:val="23"/>
          <w:szCs w:val="23"/>
        </w:rPr>
        <w:t xml:space="preserve">System </w:t>
      </w:r>
      <w:r>
        <w:rPr>
          <w:rFonts w:ascii="Times New Roman" w:hAnsi="Times New Roman" w:cs="Times New Roman"/>
          <w:color w:val="262626"/>
          <w:spacing w:val="-4"/>
          <w:sz w:val="23"/>
          <w:szCs w:val="23"/>
        </w:rPr>
        <w:t xml:space="preserve">LLC </w:t>
      </w:r>
      <w:r>
        <w:rPr>
          <w:rFonts w:ascii="Arial" w:hAnsi="Arial" w:cs="Arial"/>
          <w:color w:val="262626"/>
          <w:sz w:val="23"/>
          <w:szCs w:val="23"/>
        </w:rPr>
        <w:t xml:space="preserve">500 </w:t>
      </w:r>
      <w:r>
        <w:rPr>
          <w:rFonts w:ascii="Times New Roman" w:hAnsi="Times New Roman" w:cs="Times New Roman"/>
          <w:color w:val="262626"/>
          <w:sz w:val="23"/>
          <w:szCs w:val="23"/>
        </w:rPr>
        <w:t xml:space="preserve">Boylston Street, </w:t>
      </w:r>
      <w:r>
        <w:rPr>
          <w:rFonts w:ascii="Arial" w:hAnsi="Arial" w:cs="Arial"/>
          <w:color w:val="262626"/>
          <w:sz w:val="23"/>
          <w:szCs w:val="23"/>
        </w:rPr>
        <w:t>5th</w:t>
      </w:r>
      <w:r>
        <w:rPr>
          <w:rFonts w:ascii="Times New Roman" w:hAnsi="Times New Roman" w:cs="Times New Roman"/>
          <w:color w:val="262626"/>
          <w:sz w:val="23"/>
          <w:szCs w:val="23"/>
        </w:rPr>
        <w:t>Floor Boston</w:t>
      </w:r>
      <w:r>
        <w:rPr>
          <w:rFonts w:ascii="Times New Roman" w:hAnsi="Times New Roman" w:cs="Times New Roman"/>
          <w:color w:val="515151"/>
          <w:sz w:val="23"/>
          <w:szCs w:val="23"/>
        </w:rPr>
        <w:t xml:space="preserve">, </w:t>
      </w:r>
      <w:r>
        <w:rPr>
          <w:rFonts w:ascii="Times New Roman" w:hAnsi="Times New Roman" w:cs="Times New Roman"/>
          <w:color w:val="3A3A3A"/>
          <w:sz w:val="23"/>
          <w:szCs w:val="23"/>
        </w:rPr>
        <w:t>MA.</w:t>
      </w:r>
      <w:r>
        <w:rPr>
          <w:rFonts w:ascii="Times New Roman" w:hAnsi="Times New Roman" w:cs="Times New Roman"/>
          <w:color w:val="3A3A3A"/>
          <w:spacing w:val="54"/>
          <w:sz w:val="23"/>
          <w:szCs w:val="23"/>
        </w:rPr>
        <w:t xml:space="preserve"> </w:t>
      </w:r>
      <w:r>
        <w:rPr>
          <w:rFonts w:ascii="Times New Roman" w:hAnsi="Times New Roman" w:cs="Times New Roman"/>
          <w:color w:val="262626"/>
          <w:sz w:val="23"/>
          <w:szCs w:val="23"/>
        </w:rPr>
        <w:t>02116</w:t>
      </w:r>
    </w:p>
    <w:sectPr w:rsidR="002C5025">
      <w:pgSz w:w="12240" w:h="15840"/>
      <w:pgMar w:top="0" w:right="0" w:bottom="0" w:left="1320" w:header="720" w:footer="720" w:gutter="0"/>
      <w:cols w:space="720" w:equalWidth="0">
        <w:col w:w="1092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Brush Script MT">
    <w:panose1 w:val="03060802040406070304"/>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Elephant">
    <w:panose1 w:val="02020904090505020303"/>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numFmt w:val="bullet"/>
      <w:lvlText w:val=""/>
      <w:lvlJc w:val="left"/>
      <w:pPr>
        <w:ind w:left="839" w:hanging="361"/>
      </w:pPr>
      <w:rPr>
        <w:rFonts w:ascii="Symbol" w:hAnsi="Symbol"/>
        <w:b w:val="0"/>
        <w:w w:val="100"/>
        <w:sz w:val="22"/>
      </w:rPr>
    </w:lvl>
    <w:lvl w:ilvl="1">
      <w:numFmt w:val="bullet"/>
      <w:lvlText w:val="•"/>
      <w:lvlJc w:val="left"/>
      <w:pPr>
        <w:ind w:left="1774" w:hanging="361"/>
      </w:pPr>
    </w:lvl>
    <w:lvl w:ilvl="2">
      <w:numFmt w:val="bullet"/>
      <w:lvlText w:val="•"/>
      <w:lvlJc w:val="left"/>
      <w:pPr>
        <w:ind w:left="2708" w:hanging="361"/>
      </w:pPr>
    </w:lvl>
    <w:lvl w:ilvl="3">
      <w:numFmt w:val="bullet"/>
      <w:lvlText w:val="•"/>
      <w:lvlJc w:val="left"/>
      <w:pPr>
        <w:ind w:left="3642" w:hanging="361"/>
      </w:pPr>
    </w:lvl>
    <w:lvl w:ilvl="4">
      <w:numFmt w:val="bullet"/>
      <w:lvlText w:val="•"/>
      <w:lvlJc w:val="left"/>
      <w:pPr>
        <w:ind w:left="4576" w:hanging="361"/>
      </w:pPr>
    </w:lvl>
    <w:lvl w:ilvl="5">
      <w:numFmt w:val="bullet"/>
      <w:lvlText w:val="•"/>
      <w:lvlJc w:val="left"/>
      <w:pPr>
        <w:ind w:left="5510" w:hanging="361"/>
      </w:pPr>
    </w:lvl>
    <w:lvl w:ilvl="6">
      <w:numFmt w:val="bullet"/>
      <w:lvlText w:val="•"/>
      <w:lvlJc w:val="left"/>
      <w:pPr>
        <w:ind w:left="6444" w:hanging="361"/>
      </w:pPr>
    </w:lvl>
    <w:lvl w:ilvl="7">
      <w:numFmt w:val="bullet"/>
      <w:lvlText w:val="•"/>
      <w:lvlJc w:val="left"/>
      <w:pPr>
        <w:ind w:left="7378" w:hanging="361"/>
      </w:pPr>
    </w:lvl>
    <w:lvl w:ilvl="8">
      <w:numFmt w:val="bullet"/>
      <w:lvlText w:val="•"/>
      <w:lvlJc w:val="left"/>
      <w:pPr>
        <w:ind w:left="8312" w:hanging="361"/>
      </w:pPr>
    </w:lvl>
  </w:abstractNum>
  <w:abstractNum w:abstractNumId="1">
    <w:nsid w:val="00000403"/>
    <w:multiLevelType w:val="multilevel"/>
    <w:tmpl w:val="00000886"/>
    <w:lvl w:ilvl="0">
      <w:numFmt w:val="bullet"/>
      <w:lvlText w:val=""/>
      <w:lvlJc w:val="left"/>
      <w:pPr>
        <w:ind w:left="836" w:hanging="361"/>
      </w:pPr>
      <w:rPr>
        <w:rFonts w:ascii="Symbol" w:hAnsi="Symbol"/>
        <w:b w:val="0"/>
        <w:w w:val="100"/>
        <w:sz w:val="22"/>
      </w:rPr>
    </w:lvl>
    <w:lvl w:ilvl="1">
      <w:numFmt w:val="bullet"/>
      <w:lvlText w:val="•"/>
      <w:lvlJc w:val="left"/>
      <w:pPr>
        <w:ind w:left="1704" w:hanging="361"/>
      </w:pPr>
    </w:lvl>
    <w:lvl w:ilvl="2">
      <w:numFmt w:val="bullet"/>
      <w:lvlText w:val="•"/>
      <w:lvlJc w:val="left"/>
      <w:pPr>
        <w:ind w:left="2568" w:hanging="361"/>
      </w:pPr>
    </w:lvl>
    <w:lvl w:ilvl="3">
      <w:numFmt w:val="bullet"/>
      <w:lvlText w:val="•"/>
      <w:lvlJc w:val="left"/>
      <w:pPr>
        <w:ind w:left="3432" w:hanging="361"/>
      </w:pPr>
    </w:lvl>
    <w:lvl w:ilvl="4">
      <w:numFmt w:val="bullet"/>
      <w:lvlText w:val="•"/>
      <w:lvlJc w:val="left"/>
      <w:pPr>
        <w:ind w:left="4296" w:hanging="361"/>
      </w:pPr>
    </w:lvl>
    <w:lvl w:ilvl="5">
      <w:numFmt w:val="bullet"/>
      <w:lvlText w:val="•"/>
      <w:lvlJc w:val="left"/>
      <w:pPr>
        <w:ind w:left="5160" w:hanging="361"/>
      </w:pPr>
    </w:lvl>
    <w:lvl w:ilvl="6">
      <w:numFmt w:val="bullet"/>
      <w:lvlText w:val="•"/>
      <w:lvlJc w:val="left"/>
      <w:pPr>
        <w:ind w:left="6024" w:hanging="361"/>
      </w:pPr>
    </w:lvl>
    <w:lvl w:ilvl="7">
      <w:numFmt w:val="bullet"/>
      <w:lvlText w:val="•"/>
      <w:lvlJc w:val="left"/>
      <w:pPr>
        <w:ind w:left="6888" w:hanging="361"/>
      </w:pPr>
    </w:lvl>
    <w:lvl w:ilvl="8">
      <w:numFmt w:val="bullet"/>
      <w:lvlText w:val="•"/>
      <w:lvlJc w:val="left"/>
      <w:pPr>
        <w:ind w:left="7752" w:hanging="361"/>
      </w:pPr>
    </w:lvl>
  </w:abstractNum>
  <w:abstractNum w:abstractNumId="2">
    <w:nsid w:val="00000404"/>
    <w:multiLevelType w:val="multilevel"/>
    <w:tmpl w:val="00000887"/>
    <w:lvl w:ilvl="0">
      <w:start w:val="2"/>
      <w:numFmt w:val="decimal"/>
      <w:lvlText w:val="%1"/>
      <w:lvlJc w:val="left"/>
      <w:pPr>
        <w:ind w:left="347" w:hanging="188"/>
      </w:pPr>
      <w:rPr>
        <w:rFonts w:ascii="Arial" w:hAnsi="Arial" w:cs="Arial"/>
        <w:b w:val="0"/>
        <w:bCs w:val="0"/>
        <w:w w:val="99"/>
      </w:rPr>
    </w:lvl>
    <w:lvl w:ilvl="1">
      <w:numFmt w:val="bullet"/>
      <w:lvlText w:val="•"/>
      <w:lvlJc w:val="left"/>
      <w:pPr>
        <w:ind w:left="480" w:hanging="188"/>
      </w:pPr>
    </w:lvl>
    <w:lvl w:ilvl="2">
      <w:numFmt w:val="bullet"/>
      <w:lvlText w:val="•"/>
      <w:lvlJc w:val="left"/>
      <w:pPr>
        <w:ind w:left="1488" w:hanging="188"/>
      </w:pPr>
    </w:lvl>
    <w:lvl w:ilvl="3">
      <w:numFmt w:val="bullet"/>
      <w:lvlText w:val="•"/>
      <w:lvlJc w:val="left"/>
      <w:pPr>
        <w:ind w:left="2497" w:hanging="188"/>
      </w:pPr>
    </w:lvl>
    <w:lvl w:ilvl="4">
      <w:numFmt w:val="bullet"/>
      <w:lvlText w:val="•"/>
      <w:lvlJc w:val="left"/>
      <w:pPr>
        <w:ind w:left="3506" w:hanging="188"/>
      </w:pPr>
    </w:lvl>
    <w:lvl w:ilvl="5">
      <w:numFmt w:val="bullet"/>
      <w:lvlText w:val="•"/>
      <w:lvlJc w:val="left"/>
      <w:pPr>
        <w:ind w:left="4515" w:hanging="188"/>
      </w:pPr>
    </w:lvl>
    <w:lvl w:ilvl="6">
      <w:numFmt w:val="bullet"/>
      <w:lvlText w:val="•"/>
      <w:lvlJc w:val="left"/>
      <w:pPr>
        <w:ind w:left="5524" w:hanging="188"/>
      </w:pPr>
    </w:lvl>
    <w:lvl w:ilvl="7">
      <w:numFmt w:val="bullet"/>
      <w:lvlText w:val="•"/>
      <w:lvlJc w:val="left"/>
      <w:pPr>
        <w:ind w:left="6533" w:hanging="188"/>
      </w:pPr>
    </w:lvl>
    <w:lvl w:ilvl="8">
      <w:numFmt w:val="bullet"/>
      <w:lvlText w:val="•"/>
      <w:lvlJc w:val="left"/>
      <w:pPr>
        <w:ind w:left="7542" w:hanging="188"/>
      </w:pPr>
    </w:lvl>
  </w:abstractNum>
  <w:abstractNum w:abstractNumId="3">
    <w:nsid w:val="00000405"/>
    <w:multiLevelType w:val="multilevel"/>
    <w:tmpl w:val="00000888"/>
    <w:lvl w:ilvl="0">
      <w:start w:val="2"/>
      <w:numFmt w:val="upperRoman"/>
      <w:lvlText w:val="%1."/>
      <w:lvlJc w:val="left"/>
      <w:pPr>
        <w:ind w:left="422" w:hanging="238"/>
      </w:pPr>
      <w:rPr>
        <w:rFonts w:ascii="Times New Roman" w:hAnsi="Times New Roman" w:cs="Times New Roman"/>
        <w:b/>
        <w:bCs/>
        <w:spacing w:val="-1"/>
        <w:w w:val="75"/>
        <w:sz w:val="22"/>
        <w:szCs w:val="22"/>
      </w:rPr>
    </w:lvl>
    <w:lvl w:ilvl="1">
      <w:numFmt w:val="bullet"/>
      <w:lvlText w:val="•"/>
      <w:lvlJc w:val="left"/>
      <w:pPr>
        <w:ind w:left="847" w:hanging="346"/>
      </w:pPr>
      <w:rPr>
        <w:rFonts w:ascii="Times New Roman" w:hAnsi="Times New Roman"/>
        <w:b w:val="0"/>
        <w:w w:val="152"/>
        <w:sz w:val="21"/>
      </w:rPr>
    </w:lvl>
    <w:lvl w:ilvl="2">
      <w:numFmt w:val="bullet"/>
      <w:lvlText w:val="•"/>
      <w:lvlJc w:val="left"/>
      <w:pPr>
        <w:ind w:left="1788" w:hanging="346"/>
      </w:pPr>
    </w:lvl>
    <w:lvl w:ilvl="3">
      <w:numFmt w:val="bullet"/>
      <w:lvlText w:val="•"/>
      <w:lvlJc w:val="left"/>
      <w:pPr>
        <w:ind w:left="2737" w:hanging="346"/>
      </w:pPr>
    </w:lvl>
    <w:lvl w:ilvl="4">
      <w:numFmt w:val="bullet"/>
      <w:lvlText w:val="•"/>
      <w:lvlJc w:val="left"/>
      <w:pPr>
        <w:ind w:left="3686" w:hanging="346"/>
      </w:pPr>
    </w:lvl>
    <w:lvl w:ilvl="5">
      <w:numFmt w:val="bullet"/>
      <w:lvlText w:val="•"/>
      <w:lvlJc w:val="left"/>
      <w:pPr>
        <w:ind w:left="4635" w:hanging="346"/>
      </w:pPr>
    </w:lvl>
    <w:lvl w:ilvl="6">
      <w:numFmt w:val="bullet"/>
      <w:lvlText w:val="•"/>
      <w:lvlJc w:val="left"/>
      <w:pPr>
        <w:ind w:left="5584" w:hanging="346"/>
      </w:pPr>
    </w:lvl>
    <w:lvl w:ilvl="7">
      <w:numFmt w:val="bullet"/>
      <w:lvlText w:val="•"/>
      <w:lvlJc w:val="left"/>
      <w:pPr>
        <w:ind w:left="6533" w:hanging="346"/>
      </w:pPr>
    </w:lvl>
    <w:lvl w:ilvl="8">
      <w:numFmt w:val="bullet"/>
      <w:lvlText w:val="•"/>
      <w:lvlJc w:val="left"/>
      <w:pPr>
        <w:ind w:left="7482" w:hanging="346"/>
      </w:pPr>
    </w:lvl>
  </w:abstractNum>
  <w:abstractNum w:abstractNumId="4">
    <w:nsid w:val="00000406"/>
    <w:multiLevelType w:val="multilevel"/>
    <w:tmpl w:val="00000889"/>
    <w:lvl w:ilvl="0">
      <w:numFmt w:val="bullet"/>
      <w:lvlText w:val="'"/>
      <w:lvlJc w:val="left"/>
      <w:pPr>
        <w:ind w:left="600" w:hanging="202"/>
      </w:pPr>
      <w:rPr>
        <w:rFonts w:ascii="Arial" w:hAnsi="Arial"/>
        <w:b w:val="0"/>
        <w:w w:val="139"/>
        <w:sz w:val="17"/>
      </w:rPr>
    </w:lvl>
    <w:lvl w:ilvl="1">
      <w:numFmt w:val="bullet"/>
      <w:lvlText w:val="'"/>
      <w:lvlJc w:val="left"/>
      <w:pPr>
        <w:ind w:left="631" w:hanging="133"/>
      </w:pPr>
      <w:rPr>
        <w:rFonts w:ascii="Arial" w:hAnsi="Arial"/>
        <w:b w:val="0"/>
        <w:w w:val="118"/>
      </w:rPr>
    </w:lvl>
    <w:lvl w:ilvl="2">
      <w:numFmt w:val="bullet"/>
      <w:lvlText w:val="•"/>
      <w:lvlJc w:val="left"/>
      <w:pPr>
        <w:ind w:left="1673" w:hanging="133"/>
      </w:pPr>
    </w:lvl>
    <w:lvl w:ilvl="3">
      <w:numFmt w:val="bullet"/>
      <w:lvlText w:val="•"/>
      <w:lvlJc w:val="left"/>
      <w:pPr>
        <w:ind w:left="2706" w:hanging="133"/>
      </w:pPr>
    </w:lvl>
    <w:lvl w:ilvl="4">
      <w:numFmt w:val="bullet"/>
      <w:lvlText w:val="•"/>
      <w:lvlJc w:val="left"/>
      <w:pPr>
        <w:ind w:left="3740" w:hanging="133"/>
      </w:pPr>
    </w:lvl>
    <w:lvl w:ilvl="5">
      <w:numFmt w:val="bullet"/>
      <w:lvlText w:val="•"/>
      <w:lvlJc w:val="left"/>
      <w:pPr>
        <w:ind w:left="4773" w:hanging="133"/>
      </w:pPr>
    </w:lvl>
    <w:lvl w:ilvl="6">
      <w:numFmt w:val="bullet"/>
      <w:lvlText w:val="•"/>
      <w:lvlJc w:val="left"/>
      <w:pPr>
        <w:ind w:left="5806" w:hanging="133"/>
      </w:pPr>
    </w:lvl>
    <w:lvl w:ilvl="7">
      <w:numFmt w:val="bullet"/>
      <w:lvlText w:val="•"/>
      <w:lvlJc w:val="left"/>
      <w:pPr>
        <w:ind w:left="6840" w:hanging="133"/>
      </w:pPr>
    </w:lvl>
    <w:lvl w:ilvl="8">
      <w:numFmt w:val="bullet"/>
      <w:lvlText w:val="•"/>
      <w:lvlJc w:val="left"/>
      <w:pPr>
        <w:ind w:left="7873" w:hanging="133"/>
      </w:pPr>
    </w:lvl>
  </w:abstractNum>
  <w:abstractNum w:abstractNumId="5">
    <w:nsid w:val="00000407"/>
    <w:multiLevelType w:val="multilevel"/>
    <w:tmpl w:val="0000088A"/>
    <w:lvl w:ilvl="0">
      <w:start w:val="2"/>
      <w:numFmt w:val="decimal"/>
      <w:lvlText w:val="%1"/>
      <w:lvlJc w:val="left"/>
      <w:pPr>
        <w:ind w:left="285" w:hanging="168"/>
      </w:pPr>
      <w:rPr>
        <w:rFonts w:ascii="Arial" w:hAnsi="Arial" w:cs="Arial"/>
        <w:b w:val="0"/>
        <w:bCs w:val="0"/>
        <w:w w:val="99"/>
        <w:sz w:val="19"/>
        <w:szCs w:val="19"/>
      </w:rPr>
    </w:lvl>
    <w:lvl w:ilvl="1">
      <w:numFmt w:val="bullet"/>
      <w:lvlText w:val="•"/>
      <w:lvlJc w:val="left"/>
      <w:pPr>
        <w:ind w:left="1182" w:hanging="168"/>
      </w:pPr>
    </w:lvl>
    <w:lvl w:ilvl="2">
      <w:numFmt w:val="bullet"/>
      <w:lvlText w:val="•"/>
      <w:lvlJc w:val="left"/>
      <w:pPr>
        <w:ind w:left="2084" w:hanging="168"/>
      </w:pPr>
    </w:lvl>
    <w:lvl w:ilvl="3">
      <w:numFmt w:val="bullet"/>
      <w:lvlText w:val="•"/>
      <w:lvlJc w:val="left"/>
      <w:pPr>
        <w:ind w:left="2986" w:hanging="168"/>
      </w:pPr>
    </w:lvl>
    <w:lvl w:ilvl="4">
      <w:numFmt w:val="bullet"/>
      <w:lvlText w:val="•"/>
      <w:lvlJc w:val="left"/>
      <w:pPr>
        <w:ind w:left="3888" w:hanging="168"/>
      </w:pPr>
    </w:lvl>
    <w:lvl w:ilvl="5">
      <w:numFmt w:val="bullet"/>
      <w:lvlText w:val="•"/>
      <w:lvlJc w:val="left"/>
      <w:pPr>
        <w:ind w:left="4790" w:hanging="168"/>
      </w:pPr>
    </w:lvl>
    <w:lvl w:ilvl="6">
      <w:numFmt w:val="bullet"/>
      <w:lvlText w:val="•"/>
      <w:lvlJc w:val="left"/>
      <w:pPr>
        <w:ind w:left="5692" w:hanging="168"/>
      </w:pPr>
    </w:lvl>
    <w:lvl w:ilvl="7">
      <w:numFmt w:val="bullet"/>
      <w:lvlText w:val="•"/>
      <w:lvlJc w:val="left"/>
      <w:pPr>
        <w:ind w:left="6594" w:hanging="168"/>
      </w:pPr>
    </w:lvl>
    <w:lvl w:ilvl="8">
      <w:numFmt w:val="bullet"/>
      <w:lvlText w:val="•"/>
      <w:lvlJc w:val="left"/>
      <w:pPr>
        <w:ind w:left="7496" w:hanging="168"/>
      </w:pPr>
    </w:lvl>
  </w:abstractNum>
  <w:abstractNum w:abstractNumId="6">
    <w:nsid w:val="00000408"/>
    <w:multiLevelType w:val="multilevel"/>
    <w:tmpl w:val="0000088B"/>
    <w:lvl w:ilvl="0">
      <w:start w:val="5"/>
      <w:numFmt w:val="upperLetter"/>
      <w:lvlText w:val="(%1)"/>
      <w:lvlJc w:val="left"/>
      <w:pPr>
        <w:ind w:left="496" w:hanging="377"/>
      </w:pPr>
      <w:rPr>
        <w:rFonts w:ascii="Verdana" w:hAnsi="Verdana" w:cs="Verdana"/>
        <w:b w:val="0"/>
        <w:bCs w:val="0"/>
        <w:spacing w:val="-2"/>
        <w:w w:val="99"/>
        <w:sz w:val="20"/>
        <w:szCs w:val="20"/>
      </w:rPr>
    </w:lvl>
    <w:lvl w:ilvl="1">
      <w:numFmt w:val="bullet"/>
      <w:lvlText w:val=""/>
      <w:lvlJc w:val="left"/>
      <w:pPr>
        <w:ind w:left="2072" w:hanging="361"/>
      </w:pPr>
      <w:rPr>
        <w:rFonts w:ascii="Symbol" w:hAnsi="Symbol"/>
        <w:b w:val="0"/>
        <w:w w:val="100"/>
        <w:sz w:val="22"/>
      </w:rPr>
    </w:lvl>
    <w:lvl w:ilvl="2">
      <w:numFmt w:val="bullet"/>
      <w:lvlText w:val="•"/>
      <w:lvlJc w:val="left"/>
      <w:pPr>
        <w:ind w:left="2904" w:hanging="361"/>
      </w:pPr>
    </w:lvl>
    <w:lvl w:ilvl="3">
      <w:numFmt w:val="bullet"/>
      <w:lvlText w:val="•"/>
      <w:lvlJc w:val="left"/>
      <w:pPr>
        <w:ind w:left="3728" w:hanging="361"/>
      </w:pPr>
    </w:lvl>
    <w:lvl w:ilvl="4">
      <w:numFmt w:val="bullet"/>
      <w:lvlText w:val="•"/>
      <w:lvlJc w:val="left"/>
      <w:pPr>
        <w:ind w:left="4553" w:hanging="361"/>
      </w:pPr>
    </w:lvl>
    <w:lvl w:ilvl="5">
      <w:numFmt w:val="bullet"/>
      <w:lvlText w:val="•"/>
      <w:lvlJc w:val="left"/>
      <w:pPr>
        <w:ind w:left="5377" w:hanging="361"/>
      </w:pPr>
    </w:lvl>
    <w:lvl w:ilvl="6">
      <w:numFmt w:val="bullet"/>
      <w:lvlText w:val="•"/>
      <w:lvlJc w:val="left"/>
      <w:pPr>
        <w:ind w:left="6202" w:hanging="361"/>
      </w:pPr>
    </w:lvl>
    <w:lvl w:ilvl="7">
      <w:numFmt w:val="bullet"/>
      <w:lvlText w:val="•"/>
      <w:lvlJc w:val="left"/>
      <w:pPr>
        <w:ind w:left="7026" w:hanging="361"/>
      </w:pPr>
    </w:lvl>
    <w:lvl w:ilvl="8">
      <w:numFmt w:val="bullet"/>
      <w:lvlText w:val="•"/>
      <w:lvlJc w:val="left"/>
      <w:pPr>
        <w:ind w:left="7851" w:hanging="361"/>
      </w:pPr>
    </w:lvl>
  </w:abstractNum>
  <w:abstractNum w:abstractNumId="7">
    <w:nsid w:val="00000409"/>
    <w:multiLevelType w:val="multilevel"/>
    <w:tmpl w:val="0000088C"/>
    <w:lvl w:ilvl="0">
      <w:start w:val="1"/>
      <w:numFmt w:val="decimal"/>
      <w:lvlText w:val="%1."/>
      <w:lvlJc w:val="left"/>
      <w:pPr>
        <w:ind w:left="833" w:hanging="360"/>
      </w:pPr>
      <w:rPr>
        <w:rFonts w:ascii="Arial" w:hAnsi="Arial" w:cs="Arial"/>
        <w:b w:val="0"/>
        <w:bCs w:val="0"/>
        <w:spacing w:val="-1"/>
        <w:w w:val="100"/>
        <w:sz w:val="22"/>
        <w:szCs w:val="22"/>
      </w:rPr>
    </w:lvl>
    <w:lvl w:ilvl="1">
      <w:numFmt w:val="bullet"/>
      <w:lvlText w:val="o"/>
      <w:lvlJc w:val="left"/>
      <w:pPr>
        <w:ind w:left="833" w:hanging="361"/>
      </w:pPr>
      <w:rPr>
        <w:rFonts w:ascii="Courier New" w:hAnsi="Courier New"/>
        <w:b w:val="0"/>
        <w:w w:val="100"/>
        <w:sz w:val="22"/>
      </w:rPr>
    </w:lvl>
    <w:lvl w:ilvl="2">
      <w:numFmt w:val="bullet"/>
      <w:lvlText w:val="•"/>
      <w:lvlJc w:val="left"/>
      <w:pPr>
        <w:ind w:left="2151" w:hanging="361"/>
      </w:pPr>
    </w:lvl>
    <w:lvl w:ilvl="3">
      <w:numFmt w:val="bullet"/>
      <w:lvlText w:val="•"/>
      <w:lvlJc w:val="left"/>
      <w:pPr>
        <w:ind w:left="3102" w:hanging="361"/>
      </w:pPr>
    </w:lvl>
    <w:lvl w:ilvl="4">
      <w:numFmt w:val="bullet"/>
      <w:lvlText w:val="•"/>
      <w:lvlJc w:val="left"/>
      <w:pPr>
        <w:ind w:left="4053" w:hanging="361"/>
      </w:pPr>
    </w:lvl>
    <w:lvl w:ilvl="5">
      <w:numFmt w:val="bullet"/>
      <w:lvlText w:val="•"/>
      <w:lvlJc w:val="left"/>
      <w:pPr>
        <w:ind w:left="5004" w:hanging="361"/>
      </w:pPr>
    </w:lvl>
    <w:lvl w:ilvl="6">
      <w:numFmt w:val="bullet"/>
      <w:lvlText w:val="•"/>
      <w:lvlJc w:val="left"/>
      <w:pPr>
        <w:ind w:left="5955" w:hanging="361"/>
      </w:pPr>
    </w:lvl>
    <w:lvl w:ilvl="7">
      <w:numFmt w:val="bullet"/>
      <w:lvlText w:val="•"/>
      <w:lvlJc w:val="left"/>
      <w:pPr>
        <w:ind w:left="6906" w:hanging="361"/>
      </w:pPr>
    </w:lvl>
    <w:lvl w:ilvl="8">
      <w:numFmt w:val="bullet"/>
      <w:lvlText w:val="•"/>
      <w:lvlJc w:val="left"/>
      <w:pPr>
        <w:ind w:left="7857" w:hanging="361"/>
      </w:pPr>
    </w:lvl>
  </w:abstractNum>
  <w:abstractNum w:abstractNumId="8">
    <w:nsid w:val="0000040A"/>
    <w:multiLevelType w:val="multilevel"/>
    <w:tmpl w:val="0000088D"/>
    <w:lvl w:ilvl="0">
      <w:numFmt w:val="bullet"/>
      <w:lvlText w:val=""/>
      <w:lvlJc w:val="left"/>
      <w:pPr>
        <w:ind w:left="833" w:hanging="361"/>
      </w:pPr>
      <w:rPr>
        <w:rFonts w:ascii="Symbol" w:hAnsi="Symbol"/>
        <w:b w:val="0"/>
        <w:w w:val="100"/>
        <w:sz w:val="22"/>
      </w:rPr>
    </w:lvl>
    <w:lvl w:ilvl="1">
      <w:numFmt w:val="bullet"/>
      <w:lvlText w:val=""/>
      <w:lvlJc w:val="left"/>
      <w:pPr>
        <w:ind w:left="1013" w:hanging="449"/>
      </w:pPr>
      <w:rPr>
        <w:rFonts w:ascii="Symbol" w:hAnsi="Symbol"/>
        <w:b w:val="0"/>
        <w:w w:val="100"/>
        <w:sz w:val="22"/>
      </w:rPr>
    </w:lvl>
    <w:lvl w:ilvl="2">
      <w:numFmt w:val="bullet"/>
      <w:lvlText w:val="•"/>
      <w:lvlJc w:val="left"/>
      <w:pPr>
        <w:ind w:left="1426" w:hanging="449"/>
      </w:pPr>
    </w:lvl>
    <w:lvl w:ilvl="3">
      <w:numFmt w:val="bullet"/>
      <w:lvlText w:val="•"/>
      <w:lvlJc w:val="left"/>
      <w:pPr>
        <w:ind w:left="1833" w:hanging="449"/>
      </w:pPr>
    </w:lvl>
    <w:lvl w:ilvl="4">
      <w:numFmt w:val="bullet"/>
      <w:lvlText w:val="•"/>
      <w:lvlJc w:val="left"/>
      <w:pPr>
        <w:ind w:left="2240" w:hanging="449"/>
      </w:pPr>
    </w:lvl>
    <w:lvl w:ilvl="5">
      <w:numFmt w:val="bullet"/>
      <w:lvlText w:val="•"/>
      <w:lvlJc w:val="left"/>
      <w:pPr>
        <w:ind w:left="2647" w:hanging="449"/>
      </w:pPr>
    </w:lvl>
    <w:lvl w:ilvl="6">
      <w:numFmt w:val="bullet"/>
      <w:lvlText w:val="•"/>
      <w:lvlJc w:val="left"/>
      <w:pPr>
        <w:ind w:left="3054" w:hanging="449"/>
      </w:pPr>
    </w:lvl>
    <w:lvl w:ilvl="7">
      <w:numFmt w:val="bullet"/>
      <w:lvlText w:val="•"/>
      <w:lvlJc w:val="left"/>
      <w:pPr>
        <w:ind w:left="3461" w:hanging="449"/>
      </w:pPr>
    </w:lvl>
    <w:lvl w:ilvl="8">
      <w:numFmt w:val="bullet"/>
      <w:lvlText w:val="•"/>
      <w:lvlJc w:val="left"/>
      <w:pPr>
        <w:ind w:left="3868" w:hanging="449"/>
      </w:pPr>
    </w:lvl>
  </w:abstractNum>
  <w:abstractNum w:abstractNumId="9">
    <w:nsid w:val="0000040B"/>
    <w:multiLevelType w:val="multilevel"/>
    <w:tmpl w:val="0000088E"/>
    <w:lvl w:ilvl="0">
      <w:start w:val="5"/>
      <w:numFmt w:val="decimal"/>
      <w:lvlText w:val="%1"/>
      <w:lvlJc w:val="left"/>
      <w:pPr>
        <w:ind w:left="598" w:hanging="485"/>
      </w:pPr>
      <w:rPr>
        <w:rFonts w:cs="Times New Roman"/>
      </w:rPr>
    </w:lvl>
    <w:lvl w:ilvl="1">
      <w:start w:val="5"/>
      <w:numFmt w:val="decimal"/>
      <w:lvlText w:val="%1.%2."/>
      <w:lvlJc w:val="left"/>
      <w:pPr>
        <w:ind w:left="598" w:hanging="485"/>
      </w:pPr>
      <w:rPr>
        <w:rFonts w:ascii="Arial" w:hAnsi="Arial" w:cs="Arial"/>
        <w:b w:val="0"/>
        <w:bCs w:val="0"/>
        <w:spacing w:val="-1"/>
        <w:w w:val="100"/>
        <w:sz w:val="22"/>
        <w:szCs w:val="22"/>
      </w:rPr>
    </w:lvl>
    <w:lvl w:ilvl="2">
      <w:numFmt w:val="bullet"/>
      <w:lvlText w:val=""/>
      <w:lvlJc w:val="left"/>
      <w:pPr>
        <w:ind w:left="833" w:hanging="361"/>
      </w:pPr>
      <w:rPr>
        <w:rFonts w:ascii="Symbol" w:hAnsi="Symbol"/>
        <w:b w:val="0"/>
        <w:w w:val="100"/>
        <w:sz w:val="22"/>
      </w:rPr>
    </w:lvl>
    <w:lvl w:ilvl="3">
      <w:numFmt w:val="bullet"/>
      <w:lvlText w:val="•"/>
      <w:lvlJc w:val="left"/>
      <w:pPr>
        <w:ind w:left="2822" w:hanging="361"/>
      </w:pPr>
    </w:lvl>
    <w:lvl w:ilvl="4">
      <w:numFmt w:val="bullet"/>
      <w:lvlText w:val="•"/>
      <w:lvlJc w:val="left"/>
      <w:pPr>
        <w:ind w:left="3813" w:hanging="361"/>
      </w:pPr>
    </w:lvl>
    <w:lvl w:ilvl="5">
      <w:numFmt w:val="bullet"/>
      <w:lvlText w:val="•"/>
      <w:lvlJc w:val="left"/>
      <w:pPr>
        <w:ind w:left="4804" w:hanging="361"/>
      </w:pPr>
    </w:lvl>
    <w:lvl w:ilvl="6">
      <w:numFmt w:val="bullet"/>
      <w:lvlText w:val="•"/>
      <w:lvlJc w:val="left"/>
      <w:pPr>
        <w:ind w:left="5795" w:hanging="361"/>
      </w:pPr>
    </w:lvl>
    <w:lvl w:ilvl="7">
      <w:numFmt w:val="bullet"/>
      <w:lvlText w:val="•"/>
      <w:lvlJc w:val="left"/>
      <w:pPr>
        <w:ind w:left="6786" w:hanging="361"/>
      </w:pPr>
    </w:lvl>
    <w:lvl w:ilvl="8">
      <w:numFmt w:val="bullet"/>
      <w:lvlText w:val="•"/>
      <w:lvlJc w:val="left"/>
      <w:pPr>
        <w:ind w:left="7777" w:hanging="361"/>
      </w:pPr>
    </w:lvl>
  </w:abstractNum>
  <w:abstractNum w:abstractNumId="10">
    <w:nsid w:val="0000040C"/>
    <w:multiLevelType w:val="multilevel"/>
    <w:tmpl w:val="6AC2F0B0"/>
    <w:lvl w:ilvl="0">
      <w:start w:val="1"/>
      <w:numFmt w:val="decimal"/>
      <w:lvlText w:val="%1."/>
      <w:lvlJc w:val="left"/>
      <w:pPr>
        <w:ind w:left="480" w:hanging="360"/>
      </w:pPr>
      <w:rPr>
        <w:rFonts w:ascii="Arial Narrow" w:hAnsi="Arial Narrow" w:cs="Arial Narrow"/>
        <w:b/>
        <w:bCs/>
        <w:color w:val="001F5F"/>
        <w:spacing w:val="0"/>
        <w:w w:val="114"/>
        <w:sz w:val="22"/>
        <w:szCs w:val="22"/>
      </w:rPr>
    </w:lvl>
    <w:lvl w:ilvl="1">
      <w:start w:val="1"/>
      <w:numFmt w:val="decimal"/>
      <w:lvlText w:val="%2."/>
      <w:lvlJc w:val="left"/>
      <w:pPr>
        <w:ind w:left="1180" w:hanging="361"/>
      </w:pPr>
      <w:rPr>
        <w:b w:val="0"/>
        <w:w w:val="100"/>
        <w:sz w:val="22"/>
      </w:rPr>
    </w:lvl>
    <w:lvl w:ilvl="2">
      <w:numFmt w:val="bullet"/>
      <w:lvlText w:val="•"/>
      <w:lvlJc w:val="left"/>
      <w:pPr>
        <w:ind w:left="2115" w:hanging="361"/>
      </w:pPr>
    </w:lvl>
    <w:lvl w:ilvl="3">
      <w:numFmt w:val="bullet"/>
      <w:lvlText w:val="•"/>
      <w:lvlJc w:val="left"/>
      <w:pPr>
        <w:ind w:left="3051" w:hanging="361"/>
      </w:pPr>
    </w:lvl>
    <w:lvl w:ilvl="4">
      <w:numFmt w:val="bullet"/>
      <w:lvlText w:val="•"/>
      <w:lvlJc w:val="left"/>
      <w:pPr>
        <w:ind w:left="3986" w:hanging="361"/>
      </w:pPr>
    </w:lvl>
    <w:lvl w:ilvl="5">
      <w:numFmt w:val="bullet"/>
      <w:lvlText w:val="•"/>
      <w:lvlJc w:val="left"/>
      <w:pPr>
        <w:ind w:left="4922" w:hanging="361"/>
      </w:pPr>
    </w:lvl>
    <w:lvl w:ilvl="6">
      <w:numFmt w:val="bullet"/>
      <w:lvlText w:val="•"/>
      <w:lvlJc w:val="left"/>
      <w:pPr>
        <w:ind w:left="5857" w:hanging="361"/>
      </w:pPr>
    </w:lvl>
    <w:lvl w:ilvl="7">
      <w:numFmt w:val="bullet"/>
      <w:lvlText w:val="•"/>
      <w:lvlJc w:val="left"/>
      <w:pPr>
        <w:ind w:left="6793" w:hanging="361"/>
      </w:pPr>
    </w:lvl>
    <w:lvl w:ilvl="8">
      <w:numFmt w:val="bullet"/>
      <w:lvlText w:val="•"/>
      <w:lvlJc w:val="left"/>
      <w:pPr>
        <w:ind w:left="7728" w:hanging="361"/>
      </w:pPr>
    </w:lvl>
  </w:abstractNum>
  <w:abstractNum w:abstractNumId="11">
    <w:nsid w:val="0000040D"/>
    <w:multiLevelType w:val="multilevel"/>
    <w:tmpl w:val="00000890"/>
    <w:lvl w:ilvl="0">
      <w:numFmt w:val="bullet"/>
      <w:lvlText w:val=""/>
      <w:lvlJc w:val="left"/>
      <w:pPr>
        <w:ind w:left="839" w:hanging="361"/>
      </w:pPr>
      <w:rPr>
        <w:rFonts w:ascii="Symbol" w:hAnsi="Symbol"/>
        <w:b w:val="0"/>
        <w:w w:val="100"/>
        <w:sz w:val="22"/>
      </w:rPr>
    </w:lvl>
    <w:lvl w:ilvl="1">
      <w:numFmt w:val="bullet"/>
      <w:lvlText w:val="•"/>
      <w:lvlJc w:val="left"/>
      <w:pPr>
        <w:ind w:left="1716" w:hanging="361"/>
      </w:pPr>
    </w:lvl>
    <w:lvl w:ilvl="2">
      <w:numFmt w:val="bullet"/>
      <w:lvlText w:val="•"/>
      <w:lvlJc w:val="left"/>
      <w:pPr>
        <w:ind w:left="2592" w:hanging="361"/>
      </w:pPr>
    </w:lvl>
    <w:lvl w:ilvl="3">
      <w:numFmt w:val="bullet"/>
      <w:lvlText w:val="•"/>
      <w:lvlJc w:val="left"/>
      <w:pPr>
        <w:ind w:left="3468" w:hanging="361"/>
      </w:pPr>
    </w:lvl>
    <w:lvl w:ilvl="4">
      <w:numFmt w:val="bullet"/>
      <w:lvlText w:val="•"/>
      <w:lvlJc w:val="left"/>
      <w:pPr>
        <w:ind w:left="4344" w:hanging="361"/>
      </w:pPr>
    </w:lvl>
    <w:lvl w:ilvl="5">
      <w:numFmt w:val="bullet"/>
      <w:lvlText w:val="•"/>
      <w:lvlJc w:val="left"/>
      <w:pPr>
        <w:ind w:left="5220" w:hanging="361"/>
      </w:pPr>
    </w:lvl>
    <w:lvl w:ilvl="6">
      <w:numFmt w:val="bullet"/>
      <w:lvlText w:val="•"/>
      <w:lvlJc w:val="left"/>
      <w:pPr>
        <w:ind w:left="6096" w:hanging="361"/>
      </w:pPr>
    </w:lvl>
    <w:lvl w:ilvl="7">
      <w:numFmt w:val="bullet"/>
      <w:lvlText w:val="•"/>
      <w:lvlJc w:val="left"/>
      <w:pPr>
        <w:ind w:left="6972" w:hanging="361"/>
      </w:pPr>
    </w:lvl>
    <w:lvl w:ilvl="8">
      <w:numFmt w:val="bullet"/>
      <w:lvlText w:val="•"/>
      <w:lvlJc w:val="left"/>
      <w:pPr>
        <w:ind w:left="7848" w:hanging="361"/>
      </w:pPr>
    </w:lvl>
  </w:abstractNum>
  <w:abstractNum w:abstractNumId="12">
    <w:nsid w:val="0000040E"/>
    <w:multiLevelType w:val="multilevel"/>
    <w:tmpl w:val="00000891"/>
    <w:lvl w:ilvl="0">
      <w:numFmt w:val="bullet"/>
      <w:lvlText w:val=""/>
      <w:lvlJc w:val="left"/>
      <w:pPr>
        <w:ind w:left="480" w:hanging="361"/>
      </w:pPr>
      <w:rPr>
        <w:rFonts w:ascii="Symbol" w:hAnsi="Symbol"/>
        <w:b w:val="0"/>
        <w:w w:val="100"/>
        <w:sz w:val="22"/>
      </w:rPr>
    </w:lvl>
    <w:lvl w:ilvl="1">
      <w:numFmt w:val="bullet"/>
      <w:lvlText w:val=""/>
      <w:lvlJc w:val="left"/>
      <w:pPr>
        <w:ind w:left="820" w:hanging="360"/>
      </w:pPr>
      <w:rPr>
        <w:rFonts w:ascii="Symbol" w:hAnsi="Symbol"/>
        <w:b w:val="0"/>
        <w:w w:val="99"/>
        <w:sz w:val="20"/>
      </w:rPr>
    </w:lvl>
    <w:lvl w:ilvl="2">
      <w:numFmt w:val="bullet"/>
      <w:lvlText w:val="•"/>
      <w:lvlJc w:val="left"/>
      <w:pPr>
        <w:ind w:left="1746" w:hanging="360"/>
      </w:pPr>
    </w:lvl>
    <w:lvl w:ilvl="3">
      <w:numFmt w:val="bullet"/>
      <w:lvlText w:val="•"/>
      <w:lvlJc w:val="left"/>
      <w:pPr>
        <w:ind w:left="2673" w:hanging="360"/>
      </w:pPr>
    </w:lvl>
    <w:lvl w:ilvl="4">
      <w:numFmt w:val="bullet"/>
      <w:lvlText w:val="•"/>
      <w:lvlJc w:val="left"/>
      <w:pPr>
        <w:ind w:left="3600" w:hanging="360"/>
      </w:pPr>
    </w:lvl>
    <w:lvl w:ilvl="5">
      <w:numFmt w:val="bullet"/>
      <w:lvlText w:val="•"/>
      <w:lvlJc w:val="left"/>
      <w:pPr>
        <w:ind w:left="4526" w:hanging="360"/>
      </w:pPr>
    </w:lvl>
    <w:lvl w:ilvl="6">
      <w:numFmt w:val="bullet"/>
      <w:lvlText w:val="•"/>
      <w:lvlJc w:val="left"/>
      <w:pPr>
        <w:ind w:left="5453" w:hanging="360"/>
      </w:pPr>
    </w:lvl>
    <w:lvl w:ilvl="7">
      <w:numFmt w:val="bullet"/>
      <w:lvlText w:val="•"/>
      <w:lvlJc w:val="left"/>
      <w:pPr>
        <w:ind w:left="6380" w:hanging="360"/>
      </w:pPr>
    </w:lvl>
    <w:lvl w:ilvl="8">
      <w:numFmt w:val="bullet"/>
      <w:lvlText w:val="•"/>
      <w:lvlJc w:val="left"/>
      <w:pPr>
        <w:ind w:left="7306" w:hanging="360"/>
      </w:pPr>
    </w:lvl>
  </w:abstractNum>
  <w:abstractNum w:abstractNumId="13">
    <w:nsid w:val="0000040F"/>
    <w:multiLevelType w:val="multilevel"/>
    <w:tmpl w:val="00000892"/>
    <w:lvl w:ilvl="0">
      <w:numFmt w:val="bullet"/>
      <w:lvlText w:val=""/>
      <w:lvlJc w:val="left"/>
      <w:pPr>
        <w:ind w:left="1180" w:hanging="353"/>
      </w:pPr>
      <w:rPr>
        <w:strike/>
        <w:w w:val="100"/>
      </w:rPr>
    </w:lvl>
    <w:lvl w:ilvl="1">
      <w:numFmt w:val="bullet"/>
      <w:lvlText w:val="•"/>
      <w:lvlJc w:val="left"/>
      <w:pPr>
        <w:ind w:left="2056" w:hanging="353"/>
      </w:pPr>
    </w:lvl>
    <w:lvl w:ilvl="2">
      <w:numFmt w:val="bullet"/>
      <w:lvlText w:val="•"/>
      <w:lvlJc w:val="left"/>
      <w:pPr>
        <w:ind w:left="2932" w:hanging="353"/>
      </w:pPr>
    </w:lvl>
    <w:lvl w:ilvl="3">
      <w:numFmt w:val="bullet"/>
      <w:lvlText w:val="•"/>
      <w:lvlJc w:val="left"/>
      <w:pPr>
        <w:ind w:left="3808" w:hanging="353"/>
      </w:pPr>
    </w:lvl>
    <w:lvl w:ilvl="4">
      <w:numFmt w:val="bullet"/>
      <w:lvlText w:val="•"/>
      <w:lvlJc w:val="left"/>
      <w:pPr>
        <w:ind w:left="4684" w:hanging="353"/>
      </w:pPr>
    </w:lvl>
    <w:lvl w:ilvl="5">
      <w:numFmt w:val="bullet"/>
      <w:lvlText w:val="•"/>
      <w:lvlJc w:val="left"/>
      <w:pPr>
        <w:ind w:left="5560" w:hanging="353"/>
      </w:pPr>
    </w:lvl>
    <w:lvl w:ilvl="6">
      <w:numFmt w:val="bullet"/>
      <w:lvlText w:val="•"/>
      <w:lvlJc w:val="left"/>
      <w:pPr>
        <w:ind w:left="6436" w:hanging="353"/>
      </w:pPr>
    </w:lvl>
    <w:lvl w:ilvl="7">
      <w:numFmt w:val="bullet"/>
      <w:lvlText w:val="•"/>
      <w:lvlJc w:val="left"/>
      <w:pPr>
        <w:ind w:left="7312" w:hanging="353"/>
      </w:pPr>
    </w:lvl>
    <w:lvl w:ilvl="8">
      <w:numFmt w:val="bullet"/>
      <w:lvlText w:val="•"/>
      <w:lvlJc w:val="left"/>
      <w:pPr>
        <w:ind w:left="8188" w:hanging="353"/>
      </w:pPr>
    </w:lvl>
  </w:abstractNum>
  <w:abstractNum w:abstractNumId="14">
    <w:nsid w:val="00000410"/>
    <w:multiLevelType w:val="multilevel"/>
    <w:tmpl w:val="00000893"/>
    <w:lvl w:ilvl="0">
      <w:start w:val="1"/>
      <w:numFmt w:val="decimal"/>
      <w:lvlText w:val="%1."/>
      <w:lvlJc w:val="left"/>
      <w:pPr>
        <w:ind w:left="442" w:hanging="360"/>
      </w:pPr>
      <w:rPr>
        <w:rFonts w:ascii="Arial" w:hAnsi="Arial" w:cs="Arial"/>
        <w:b w:val="0"/>
        <w:bCs w:val="0"/>
        <w:spacing w:val="-1"/>
        <w:w w:val="99"/>
        <w:sz w:val="20"/>
        <w:szCs w:val="20"/>
      </w:rPr>
    </w:lvl>
    <w:lvl w:ilvl="1">
      <w:numFmt w:val="bullet"/>
      <w:lvlText w:val="•"/>
      <w:lvlJc w:val="left"/>
      <w:pPr>
        <w:ind w:left="1114" w:hanging="360"/>
      </w:pPr>
    </w:lvl>
    <w:lvl w:ilvl="2">
      <w:numFmt w:val="bullet"/>
      <w:lvlText w:val="•"/>
      <w:lvlJc w:val="left"/>
      <w:pPr>
        <w:ind w:left="1789" w:hanging="360"/>
      </w:pPr>
    </w:lvl>
    <w:lvl w:ilvl="3">
      <w:numFmt w:val="bullet"/>
      <w:lvlText w:val="•"/>
      <w:lvlJc w:val="left"/>
      <w:pPr>
        <w:ind w:left="2464" w:hanging="360"/>
      </w:pPr>
    </w:lvl>
    <w:lvl w:ilvl="4">
      <w:numFmt w:val="bullet"/>
      <w:lvlText w:val="•"/>
      <w:lvlJc w:val="left"/>
      <w:pPr>
        <w:ind w:left="3139" w:hanging="360"/>
      </w:pPr>
    </w:lvl>
    <w:lvl w:ilvl="5">
      <w:numFmt w:val="bullet"/>
      <w:lvlText w:val="•"/>
      <w:lvlJc w:val="left"/>
      <w:pPr>
        <w:ind w:left="3814" w:hanging="360"/>
      </w:pPr>
    </w:lvl>
    <w:lvl w:ilvl="6">
      <w:numFmt w:val="bullet"/>
      <w:lvlText w:val="•"/>
      <w:lvlJc w:val="left"/>
      <w:pPr>
        <w:ind w:left="4488" w:hanging="360"/>
      </w:pPr>
    </w:lvl>
    <w:lvl w:ilvl="7">
      <w:numFmt w:val="bullet"/>
      <w:lvlText w:val="•"/>
      <w:lvlJc w:val="left"/>
      <w:pPr>
        <w:ind w:left="5163" w:hanging="360"/>
      </w:pPr>
    </w:lvl>
    <w:lvl w:ilvl="8">
      <w:numFmt w:val="bullet"/>
      <w:lvlText w:val="•"/>
      <w:lvlJc w:val="left"/>
      <w:pPr>
        <w:ind w:left="5838" w:hanging="360"/>
      </w:pPr>
    </w:lvl>
  </w:abstractNum>
  <w:abstractNum w:abstractNumId="15">
    <w:nsid w:val="00000411"/>
    <w:multiLevelType w:val="multilevel"/>
    <w:tmpl w:val="00000894"/>
    <w:lvl w:ilvl="0">
      <w:numFmt w:val="bullet"/>
      <w:lvlText w:val=""/>
      <w:lvlJc w:val="left"/>
      <w:pPr>
        <w:ind w:left="443" w:hanging="360"/>
      </w:pPr>
      <w:rPr>
        <w:rFonts w:ascii="Symbol" w:hAnsi="Symbol"/>
        <w:b w:val="0"/>
        <w:w w:val="99"/>
        <w:sz w:val="20"/>
      </w:rPr>
    </w:lvl>
    <w:lvl w:ilvl="1">
      <w:numFmt w:val="bullet"/>
      <w:lvlText w:val="•"/>
      <w:lvlJc w:val="left"/>
      <w:pPr>
        <w:ind w:left="1114" w:hanging="360"/>
      </w:pPr>
    </w:lvl>
    <w:lvl w:ilvl="2">
      <w:numFmt w:val="bullet"/>
      <w:lvlText w:val="•"/>
      <w:lvlJc w:val="left"/>
      <w:pPr>
        <w:ind w:left="1789" w:hanging="360"/>
      </w:pPr>
    </w:lvl>
    <w:lvl w:ilvl="3">
      <w:numFmt w:val="bullet"/>
      <w:lvlText w:val="•"/>
      <w:lvlJc w:val="left"/>
      <w:pPr>
        <w:ind w:left="2464" w:hanging="360"/>
      </w:pPr>
    </w:lvl>
    <w:lvl w:ilvl="4">
      <w:numFmt w:val="bullet"/>
      <w:lvlText w:val="•"/>
      <w:lvlJc w:val="left"/>
      <w:pPr>
        <w:ind w:left="3139" w:hanging="360"/>
      </w:pPr>
    </w:lvl>
    <w:lvl w:ilvl="5">
      <w:numFmt w:val="bullet"/>
      <w:lvlText w:val="•"/>
      <w:lvlJc w:val="left"/>
      <w:pPr>
        <w:ind w:left="3814" w:hanging="360"/>
      </w:pPr>
    </w:lvl>
    <w:lvl w:ilvl="6">
      <w:numFmt w:val="bullet"/>
      <w:lvlText w:val="•"/>
      <w:lvlJc w:val="left"/>
      <w:pPr>
        <w:ind w:left="4488" w:hanging="360"/>
      </w:pPr>
    </w:lvl>
    <w:lvl w:ilvl="7">
      <w:numFmt w:val="bullet"/>
      <w:lvlText w:val="•"/>
      <w:lvlJc w:val="left"/>
      <w:pPr>
        <w:ind w:left="5163" w:hanging="360"/>
      </w:pPr>
    </w:lvl>
    <w:lvl w:ilvl="8">
      <w:numFmt w:val="bullet"/>
      <w:lvlText w:val="•"/>
      <w:lvlJc w:val="left"/>
      <w:pPr>
        <w:ind w:left="5838" w:hanging="360"/>
      </w:pPr>
    </w:lvl>
  </w:abstractNum>
  <w:abstractNum w:abstractNumId="16">
    <w:nsid w:val="00000412"/>
    <w:multiLevelType w:val="multilevel"/>
    <w:tmpl w:val="00000895"/>
    <w:lvl w:ilvl="0">
      <w:numFmt w:val="bullet"/>
      <w:lvlText w:val=""/>
      <w:lvlJc w:val="left"/>
      <w:pPr>
        <w:ind w:left="443" w:hanging="360"/>
      </w:pPr>
      <w:rPr>
        <w:rFonts w:ascii="Symbol" w:hAnsi="Symbol"/>
        <w:b w:val="0"/>
        <w:w w:val="99"/>
        <w:sz w:val="20"/>
      </w:rPr>
    </w:lvl>
    <w:lvl w:ilvl="1">
      <w:numFmt w:val="bullet"/>
      <w:lvlText w:val="•"/>
      <w:lvlJc w:val="left"/>
      <w:pPr>
        <w:ind w:left="1114" w:hanging="360"/>
      </w:pPr>
    </w:lvl>
    <w:lvl w:ilvl="2">
      <w:numFmt w:val="bullet"/>
      <w:lvlText w:val="•"/>
      <w:lvlJc w:val="left"/>
      <w:pPr>
        <w:ind w:left="1789" w:hanging="360"/>
      </w:pPr>
    </w:lvl>
    <w:lvl w:ilvl="3">
      <w:numFmt w:val="bullet"/>
      <w:lvlText w:val="•"/>
      <w:lvlJc w:val="left"/>
      <w:pPr>
        <w:ind w:left="2464" w:hanging="360"/>
      </w:pPr>
    </w:lvl>
    <w:lvl w:ilvl="4">
      <w:numFmt w:val="bullet"/>
      <w:lvlText w:val="•"/>
      <w:lvlJc w:val="left"/>
      <w:pPr>
        <w:ind w:left="3139" w:hanging="360"/>
      </w:pPr>
    </w:lvl>
    <w:lvl w:ilvl="5">
      <w:numFmt w:val="bullet"/>
      <w:lvlText w:val="•"/>
      <w:lvlJc w:val="left"/>
      <w:pPr>
        <w:ind w:left="3814" w:hanging="360"/>
      </w:pPr>
    </w:lvl>
    <w:lvl w:ilvl="6">
      <w:numFmt w:val="bullet"/>
      <w:lvlText w:val="•"/>
      <w:lvlJc w:val="left"/>
      <w:pPr>
        <w:ind w:left="4488" w:hanging="360"/>
      </w:pPr>
    </w:lvl>
    <w:lvl w:ilvl="7">
      <w:numFmt w:val="bullet"/>
      <w:lvlText w:val="•"/>
      <w:lvlJc w:val="left"/>
      <w:pPr>
        <w:ind w:left="5163" w:hanging="360"/>
      </w:pPr>
    </w:lvl>
    <w:lvl w:ilvl="8">
      <w:numFmt w:val="bullet"/>
      <w:lvlText w:val="•"/>
      <w:lvlJc w:val="left"/>
      <w:pPr>
        <w:ind w:left="5838" w:hanging="360"/>
      </w:pPr>
    </w:lvl>
  </w:abstractNum>
  <w:abstractNum w:abstractNumId="17">
    <w:nsid w:val="00000413"/>
    <w:multiLevelType w:val="multilevel"/>
    <w:tmpl w:val="00000896"/>
    <w:lvl w:ilvl="0">
      <w:numFmt w:val="bullet"/>
      <w:lvlText w:val=""/>
      <w:lvlJc w:val="left"/>
      <w:pPr>
        <w:ind w:left="443" w:hanging="360"/>
      </w:pPr>
      <w:rPr>
        <w:rFonts w:ascii="Symbol" w:hAnsi="Symbol"/>
        <w:b w:val="0"/>
        <w:w w:val="99"/>
        <w:sz w:val="20"/>
      </w:rPr>
    </w:lvl>
    <w:lvl w:ilvl="1">
      <w:numFmt w:val="bullet"/>
      <w:lvlText w:val="•"/>
      <w:lvlJc w:val="left"/>
      <w:pPr>
        <w:ind w:left="1114" w:hanging="360"/>
      </w:pPr>
    </w:lvl>
    <w:lvl w:ilvl="2">
      <w:numFmt w:val="bullet"/>
      <w:lvlText w:val="•"/>
      <w:lvlJc w:val="left"/>
      <w:pPr>
        <w:ind w:left="1789" w:hanging="360"/>
      </w:pPr>
    </w:lvl>
    <w:lvl w:ilvl="3">
      <w:numFmt w:val="bullet"/>
      <w:lvlText w:val="•"/>
      <w:lvlJc w:val="left"/>
      <w:pPr>
        <w:ind w:left="2464" w:hanging="360"/>
      </w:pPr>
    </w:lvl>
    <w:lvl w:ilvl="4">
      <w:numFmt w:val="bullet"/>
      <w:lvlText w:val="•"/>
      <w:lvlJc w:val="left"/>
      <w:pPr>
        <w:ind w:left="3139" w:hanging="360"/>
      </w:pPr>
    </w:lvl>
    <w:lvl w:ilvl="5">
      <w:numFmt w:val="bullet"/>
      <w:lvlText w:val="•"/>
      <w:lvlJc w:val="left"/>
      <w:pPr>
        <w:ind w:left="3814" w:hanging="360"/>
      </w:pPr>
    </w:lvl>
    <w:lvl w:ilvl="6">
      <w:numFmt w:val="bullet"/>
      <w:lvlText w:val="•"/>
      <w:lvlJc w:val="left"/>
      <w:pPr>
        <w:ind w:left="4488" w:hanging="360"/>
      </w:pPr>
    </w:lvl>
    <w:lvl w:ilvl="7">
      <w:numFmt w:val="bullet"/>
      <w:lvlText w:val="•"/>
      <w:lvlJc w:val="left"/>
      <w:pPr>
        <w:ind w:left="5163" w:hanging="360"/>
      </w:pPr>
    </w:lvl>
    <w:lvl w:ilvl="8">
      <w:numFmt w:val="bullet"/>
      <w:lvlText w:val="•"/>
      <w:lvlJc w:val="left"/>
      <w:pPr>
        <w:ind w:left="5838" w:hanging="360"/>
      </w:pPr>
    </w:lvl>
  </w:abstractNum>
  <w:abstractNum w:abstractNumId="18">
    <w:nsid w:val="00000414"/>
    <w:multiLevelType w:val="multilevel"/>
    <w:tmpl w:val="00000897"/>
    <w:lvl w:ilvl="0">
      <w:start w:val="1"/>
      <w:numFmt w:val="decimal"/>
      <w:lvlText w:val="%1."/>
      <w:lvlJc w:val="left"/>
      <w:pPr>
        <w:ind w:left="444" w:hanging="360"/>
      </w:pPr>
      <w:rPr>
        <w:rFonts w:ascii="Arial" w:hAnsi="Arial" w:cs="Arial"/>
        <w:b w:val="0"/>
        <w:bCs w:val="0"/>
        <w:spacing w:val="-1"/>
        <w:w w:val="99"/>
        <w:sz w:val="20"/>
        <w:szCs w:val="20"/>
      </w:rPr>
    </w:lvl>
    <w:lvl w:ilvl="1">
      <w:numFmt w:val="bullet"/>
      <w:lvlText w:val="•"/>
      <w:lvlJc w:val="left"/>
      <w:pPr>
        <w:ind w:left="1114" w:hanging="360"/>
      </w:pPr>
    </w:lvl>
    <w:lvl w:ilvl="2">
      <w:numFmt w:val="bullet"/>
      <w:lvlText w:val="•"/>
      <w:lvlJc w:val="left"/>
      <w:pPr>
        <w:ind w:left="1789" w:hanging="360"/>
      </w:pPr>
    </w:lvl>
    <w:lvl w:ilvl="3">
      <w:numFmt w:val="bullet"/>
      <w:lvlText w:val="•"/>
      <w:lvlJc w:val="left"/>
      <w:pPr>
        <w:ind w:left="2464" w:hanging="360"/>
      </w:pPr>
    </w:lvl>
    <w:lvl w:ilvl="4">
      <w:numFmt w:val="bullet"/>
      <w:lvlText w:val="•"/>
      <w:lvlJc w:val="left"/>
      <w:pPr>
        <w:ind w:left="3139" w:hanging="360"/>
      </w:pPr>
    </w:lvl>
    <w:lvl w:ilvl="5">
      <w:numFmt w:val="bullet"/>
      <w:lvlText w:val="•"/>
      <w:lvlJc w:val="left"/>
      <w:pPr>
        <w:ind w:left="3814" w:hanging="360"/>
      </w:pPr>
    </w:lvl>
    <w:lvl w:ilvl="6">
      <w:numFmt w:val="bullet"/>
      <w:lvlText w:val="•"/>
      <w:lvlJc w:val="left"/>
      <w:pPr>
        <w:ind w:left="4488" w:hanging="360"/>
      </w:pPr>
    </w:lvl>
    <w:lvl w:ilvl="7">
      <w:numFmt w:val="bullet"/>
      <w:lvlText w:val="•"/>
      <w:lvlJc w:val="left"/>
      <w:pPr>
        <w:ind w:left="5163" w:hanging="360"/>
      </w:pPr>
    </w:lvl>
    <w:lvl w:ilvl="8">
      <w:numFmt w:val="bullet"/>
      <w:lvlText w:val="•"/>
      <w:lvlJc w:val="left"/>
      <w:pPr>
        <w:ind w:left="5838" w:hanging="360"/>
      </w:pPr>
    </w:lvl>
  </w:abstractNum>
  <w:abstractNum w:abstractNumId="19">
    <w:nsid w:val="00000415"/>
    <w:multiLevelType w:val="multilevel"/>
    <w:tmpl w:val="00000898"/>
    <w:lvl w:ilvl="0">
      <w:numFmt w:val="bullet"/>
      <w:lvlText w:val=""/>
      <w:lvlJc w:val="left"/>
      <w:pPr>
        <w:ind w:left="840" w:hanging="360"/>
      </w:pPr>
      <w:rPr>
        <w:rFonts w:ascii="Symbol" w:hAnsi="Symbol"/>
        <w:b w:val="0"/>
        <w:w w:val="99"/>
        <w:sz w:val="24"/>
      </w:rPr>
    </w:lvl>
    <w:lvl w:ilvl="1">
      <w:numFmt w:val="bullet"/>
      <w:lvlText w:val="•"/>
      <w:lvlJc w:val="left"/>
      <w:pPr>
        <w:ind w:left="1710" w:hanging="360"/>
      </w:pPr>
    </w:lvl>
    <w:lvl w:ilvl="2">
      <w:numFmt w:val="bullet"/>
      <w:lvlText w:val="•"/>
      <w:lvlJc w:val="left"/>
      <w:pPr>
        <w:ind w:left="2580" w:hanging="360"/>
      </w:pPr>
    </w:lvl>
    <w:lvl w:ilvl="3">
      <w:numFmt w:val="bullet"/>
      <w:lvlText w:val="•"/>
      <w:lvlJc w:val="left"/>
      <w:pPr>
        <w:ind w:left="3450" w:hanging="360"/>
      </w:pPr>
    </w:lvl>
    <w:lvl w:ilvl="4">
      <w:numFmt w:val="bullet"/>
      <w:lvlText w:val="•"/>
      <w:lvlJc w:val="left"/>
      <w:pPr>
        <w:ind w:left="4320" w:hanging="360"/>
      </w:pPr>
    </w:lvl>
    <w:lvl w:ilvl="5">
      <w:numFmt w:val="bullet"/>
      <w:lvlText w:val="•"/>
      <w:lvlJc w:val="left"/>
      <w:pPr>
        <w:ind w:left="5190" w:hanging="360"/>
      </w:pPr>
    </w:lvl>
    <w:lvl w:ilvl="6">
      <w:numFmt w:val="bullet"/>
      <w:lvlText w:val="•"/>
      <w:lvlJc w:val="left"/>
      <w:pPr>
        <w:ind w:left="6060" w:hanging="360"/>
      </w:pPr>
    </w:lvl>
    <w:lvl w:ilvl="7">
      <w:numFmt w:val="bullet"/>
      <w:lvlText w:val="•"/>
      <w:lvlJc w:val="left"/>
      <w:pPr>
        <w:ind w:left="6930" w:hanging="360"/>
      </w:pPr>
    </w:lvl>
    <w:lvl w:ilvl="8">
      <w:numFmt w:val="bullet"/>
      <w:lvlText w:val="•"/>
      <w:lvlJc w:val="left"/>
      <w:pPr>
        <w:ind w:left="7800" w:hanging="360"/>
      </w:pPr>
    </w:lvl>
  </w:abstractNum>
  <w:abstractNum w:abstractNumId="20">
    <w:nsid w:val="00000416"/>
    <w:multiLevelType w:val="multilevel"/>
    <w:tmpl w:val="00000899"/>
    <w:lvl w:ilvl="0">
      <w:start w:val="1"/>
      <w:numFmt w:val="lowerRoman"/>
      <w:lvlText w:val="%1."/>
      <w:lvlJc w:val="left"/>
      <w:pPr>
        <w:ind w:left="840" w:hanging="488"/>
      </w:pPr>
      <w:rPr>
        <w:rFonts w:ascii="Times New Roman" w:hAnsi="Times New Roman" w:cs="Times New Roman"/>
        <w:b w:val="0"/>
        <w:bCs w:val="0"/>
        <w:i/>
        <w:iCs/>
        <w:spacing w:val="-6"/>
        <w:w w:val="99"/>
        <w:sz w:val="24"/>
        <w:szCs w:val="24"/>
      </w:rPr>
    </w:lvl>
    <w:lvl w:ilvl="1">
      <w:numFmt w:val="bullet"/>
      <w:lvlText w:val="•"/>
      <w:lvlJc w:val="left"/>
      <w:pPr>
        <w:ind w:left="1716" w:hanging="488"/>
      </w:pPr>
    </w:lvl>
    <w:lvl w:ilvl="2">
      <w:numFmt w:val="bullet"/>
      <w:lvlText w:val="•"/>
      <w:lvlJc w:val="left"/>
      <w:pPr>
        <w:ind w:left="2592" w:hanging="488"/>
      </w:pPr>
    </w:lvl>
    <w:lvl w:ilvl="3">
      <w:numFmt w:val="bullet"/>
      <w:lvlText w:val="•"/>
      <w:lvlJc w:val="left"/>
      <w:pPr>
        <w:ind w:left="3468" w:hanging="488"/>
      </w:pPr>
    </w:lvl>
    <w:lvl w:ilvl="4">
      <w:numFmt w:val="bullet"/>
      <w:lvlText w:val="•"/>
      <w:lvlJc w:val="left"/>
      <w:pPr>
        <w:ind w:left="4344" w:hanging="488"/>
      </w:pPr>
    </w:lvl>
    <w:lvl w:ilvl="5">
      <w:numFmt w:val="bullet"/>
      <w:lvlText w:val="•"/>
      <w:lvlJc w:val="left"/>
      <w:pPr>
        <w:ind w:left="5220" w:hanging="488"/>
      </w:pPr>
    </w:lvl>
    <w:lvl w:ilvl="6">
      <w:numFmt w:val="bullet"/>
      <w:lvlText w:val="•"/>
      <w:lvlJc w:val="left"/>
      <w:pPr>
        <w:ind w:left="6096" w:hanging="488"/>
      </w:pPr>
    </w:lvl>
    <w:lvl w:ilvl="7">
      <w:numFmt w:val="bullet"/>
      <w:lvlText w:val="•"/>
      <w:lvlJc w:val="left"/>
      <w:pPr>
        <w:ind w:left="6972" w:hanging="488"/>
      </w:pPr>
    </w:lvl>
    <w:lvl w:ilvl="8">
      <w:numFmt w:val="bullet"/>
      <w:lvlText w:val="•"/>
      <w:lvlJc w:val="left"/>
      <w:pPr>
        <w:ind w:left="7848" w:hanging="488"/>
      </w:pPr>
    </w:lvl>
  </w:abstractNum>
  <w:abstractNum w:abstractNumId="21">
    <w:nsid w:val="00000417"/>
    <w:multiLevelType w:val="multilevel"/>
    <w:tmpl w:val="0000089A"/>
    <w:lvl w:ilvl="0">
      <w:numFmt w:val="bullet"/>
      <w:lvlText w:val="•"/>
      <w:lvlJc w:val="left"/>
      <w:pPr>
        <w:ind w:left="266" w:hanging="161"/>
      </w:pPr>
      <w:rPr>
        <w:rFonts w:ascii="Calibri" w:hAnsi="Calibri"/>
        <w:b w:val="0"/>
        <w:w w:val="100"/>
        <w:sz w:val="22"/>
      </w:rPr>
    </w:lvl>
    <w:lvl w:ilvl="1">
      <w:numFmt w:val="bullet"/>
      <w:lvlText w:val="•"/>
      <w:lvlJc w:val="left"/>
      <w:pPr>
        <w:ind w:left="1276" w:hanging="161"/>
      </w:pPr>
    </w:lvl>
    <w:lvl w:ilvl="2">
      <w:numFmt w:val="bullet"/>
      <w:lvlText w:val="•"/>
      <w:lvlJc w:val="left"/>
      <w:pPr>
        <w:ind w:left="2292" w:hanging="161"/>
      </w:pPr>
    </w:lvl>
    <w:lvl w:ilvl="3">
      <w:numFmt w:val="bullet"/>
      <w:lvlText w:val="•"/>
      <w:lvlJc w:val="left"/>
      <w:pPr>
        <w:ind w:left="3308" w:hanging="161"/>
      </w:pPr>
    </w:lvl>
    <w:lvl w:ilvl="4">
      <w:numFmt w:val="bullet"/>
      <w:lvlText w:val="•"/>
      <w:lvlJc w:val="left"/>
      <w:pPr>
        <w:ind w:left="4324" w:hanging="161"/>
      </w:pPr>
    </w:lvl>
    <w:lvl w:ilvl="5">
      <w:numFmt w:val="bullet"/>
      <w:lvlText w:val="•"/>
      <w:lvlJc w:val="left"/>
      <w:pPr>
        <w:ind w:left="5340" w:hanging="161"/>
      </w:pPr>
    </w:lvl>
    <w:lvl w:ilvl="6">
      <w:numFmt w:val="bullet"/>
      <w:lvlText w:val="•"/>
      <w:lvlJc w:val="left"/>
      <w:pPr>
        <w:ind w:left="6356" w:hanging="161"/>
      </w:pPr>
    </w:lvl>
    <w:lvl w:ilvl="7">
      <w:numFmt w:val="bullet"/>
      <w:lvlText w:val="•"/>
      <w:lvlJc w:val="left"/>
      <w:pPr>
        <w:ind w:left="7372" w:hanging="161"/>
      </w:pPr>
    </w:lvl>
    <w:lvl w:ilvl="8">
      <w:numFmt w:val="bullet"/>
      <w:lvlText w:val="•"/>
      <w:lvlJc w:val="left"/>
      <w:pPr>
        <w:ind w:left="8388" w:hanging="161"/>
      </w:pPr>
    </w:lvl>
  </w:abstractNum>
  <w:abstractNum w:abstractNumId="22">
    <w:nsid w:val="00000418"/>
    <w:multiLevelType w:val="multilevel"/>
    <w:tmpl w:val="0000089B"/>
    <w:lvl w:ilvl="0">
      <w:numFmt w:val="bullet"/>
      <w:lvlText w:val=""/>
      <w:lvlJc w:val="left"/>
      <w:pPr>
        <w:ind w:left="825" w:hanging="360"/>
      </w:pPr>
      <w:rPr>
        <w:rFonts w:ascii="Symbol" w:hAnsi="Symbol"/>
        <w:b w:val="0"/>
        <w:w w:val="100"/>
        <w:sz w:val="22"/>
      </w:rPr>
    </w:lvl>
    <w:lvl w:ilvl="1">
      <w:numFmt w:val="bullet"/>
      <w:lvlText w:val="•"/>
      <w:lvlJc w:val="left"/>
      <w:pPr>
        <w:ind w:left="1048" w:hanging="360"/>
      </w:pPr>
    </w:lvl>
    <w:lvl w:ilvl="2">
      <w:numFmt w:val="bullet"/>
      <w:lvlText w:val="•"/>
      <w:lvlJc w:val="left"/>
      <w:pPr>
        <w:ind w:left="1277" w:hanging="360"/>
      </w:pPr>
    </w:lvl>
    <w:lvl w:ilvl="3">
      <w:numFmt w:val="bullet"/>
      <w:lvlText w:val="•"/>
      <w:lvlJc w:val="left"/>
      <w:pPr>
        <w:ind w:left="1505" w:hanging="360"/>
      </w:pPr>
    </w:lvl>
    <w:lvl w:ilvl="4">
      <w:numFmt w:val="bullet"/>
      <w:lvlText w:val="•"/>
      <w:lvlJc w:val="left"/>
      <w:pPr>
        <w:ind w:left="1734" w:hanging="360"/>
      </w:pPr>
    </w:lvl>
    <w:lvl w:ilvl="5">
      <w:numFmt w:val="bullet"/>
      <w:lvlText w:val="•"/>
      <w:lvlJc w:val="left"/>
      <w:pPr>
        <w:ind w:left="1962" w:hanging="360"/>
      </w:pPr>
    </w:lvl>
    <w:lvl w:ilvl="6">
      <w:numFmt w:val="bullet"/>
      <w:lvlText w:val="•"/>
      <w:lvlJc w:val="left"/>
      <w:pPr>
        <w:ind w:left="2191" w:hanging="360"/>
      </w:pPr>
    </w:lvl>
    <w:lvl w:ilvl="7">
      <w:numFmt w:val="bullet"/>
      <w:lvlText w:val="•"/>
      <w:lvlJc w:val="left"/>
      <w:pPr>
        <w:ind w:left="2419" w:hanging="360"/>
      </w:pPr>
    </w:lvl>
    <w:lvl w:ilvl="8">
      <w:numFmt w:val="bullet"/>
      <w:lvlText w:val="•"/>
      <w:lvlJc w:val="left"/>
      <w:pPr>
        <w:ind w:left="2648" w:hanging="360"/>
      </w:pPr>
    </w:lvl>
  </w:abstractNum>
  <w:abstractNum w:abstractNumId="23">
    <w:nsid w:val="00000419"/>
    <w:multiLevelType w:val="multilevel"/>
    <w:tmpl w:val="0000089C"/>
    <w:lvl w:ilvl="0">
      <w:numFmt w:val="bullet"/>
      <w:lvlText w:val=""/>
      <w:lvlJc w:val="left"/>
      <w:pPr>
        <w:ind w:left="824" w:hanging="360"/>
      </w:pPr>
      <w:rPr>
        <w:rFonts w:ascii="Symbol" w:hAnsi="Symbol"/>
        <w:b w:val="0"/>
        <w:w w:val="100"/>
        <w:sz w:val="22"/>
      </w:rPr>
    </w:lvl>
    <w:lvl w:ilvl="1">
      <w:numFmt w:val="bullet"/>
      <w:lvlText w:val="•"/>
      <w:lvlJc w:val="left"/>
      <w:pPr>
        <w:ind w:left="1048" w:hanging="360"/>
      </w:pPr>
    </w:lvl>
    <w:lvl w:ilvl="2">
      <w:numFmt w:val="bullet"/>
      <w:lvlText w:val="•"/>
      <w:lvlJc w:val="left"/>
      <w:pPr>
        <w:ind w:left="1277" w:hanging="360"/>
      </w:pPr>
    </w:lvl>
    <w:lvl w:ilvl="3">
      <w:numFmt w:val="bullet"/>
      <w:lvlText w:val="•"/>
      <w:lvlJc w:val="left"/>
      <w:pPr>
        <w:ind w:left="1505" w:hanging="360"/>
      </w:pPr>
    </w:lvl>
    <w:lvl w:ilvl="4">
      <w:numFmt w:val="bullet"/>
      <w:lvlText w:val="•"/>
      <w:lvlJc w:val="left"/>
      <w:pPr>
        <w:ind w:left="1734" w:hanging="360"/>
      </w:pPr>
    </w:lvl>
    <w:lvl w:ilvl="5">
      <w:numFmt w:val="bullet"/>
      <w:lvlText w:val="•"/>
      <w:lvlJc w:val="left"/>
      <w:pPr>
        <w:ind w:left="1962" w:hanging="360"/>
      </w:pPr>
    </w:lvl>
    <w:lvl w:ilvl="6">
      <w:numFmt w:val="bullet"/>
      <w:lvlText w:val="•"/>
      <w:lvlJc w:val="left"/>
      <w:pPr>
        <w:ind w:left="2191" w:hanging="360"/>
      </w:pPr>
    </w:lvl>
    <w:lvl w:ilvl="7">
      <w:numFmt w:val="bullet"/>
      <w:lvlText w:val="•"/>
      <w:lvlJc w:val="left"/>
      <w:pPr>
        <w:ind w:left="2419" w:hanging="360"/>
      </w:pPr>
    </w:lvl>
    <w:lvl w:ilvl="8">
      <w:numFmt w:val="bullet"/>
      <w:lvlText w:val="•"/>
      <w:lvlJc w:val="left"/>
      <w:pPr>
        <w:ind w:left="2648" w:hanging="360"/>
      </w:pPr>
    </w:lvl>
  </w:abstractNum>
  <w:abstractNum w:abstractNumId="24">
    <w:nsid w:val="0000041A"/>
    <w:multiLevelType w:val="multilevel"/>
    <w:tmpl w:val="0000089D"/>
    <w:lvl w:ilvl="0">
      <w:numFmt w:val="bullet"/>
      <w:lvlText w:val=""/>
      <w:lvlJc w:val="left"/>
      <w:pPr>
        <w:ind w:left="825" w:hanging="361"/>
      </w:pPr>
      <w:rPr>
        <w:rFonts w:ascii="Symbol" w:hAnsi="Symbol"/>
        <w:b w:val="0"/>
        <w:w w:val="100"/>
        <w:sz w:val="22"/>
      </w:rPr>
    </w:lvl>
    <w:lvl w:ilvl="1">
      <w:numFmt w:val="bullet"/>
      <w:lvlText w:val="•"/>
      <w:lvlJc w:val="left"/>
      <w:pPr>
        <w:ind w:left="1048" w:hanging="361"/>
      </w:pPr>
    </w:lvl>
    <w:lvl w:ilvl="2">
      <w:numFmt w:val="bullet"/>
      <w:lvlText w:val="•"/>
      <w:lvlJc w:val="left"/>
      <w:pPr>
        <w:ind w:left="1277" w:hanging="361"/>
      </w:pPr>
    </w:lvl>
    <w:lvl w:ilvl="3">
      <w:numFmt w:val="bullet"/>
      <w:lvlText w:val="•"/>
      <w:lvlJc w:val="left"/>
      <w:pPr>
        <w:ind w:left="1505" w:hanging="361"/>
      </w:pPr>
    </w:lvl>
    <w:lvl w:ilvl="4">
      <w:numFmt w:val="bullet"/>
      <w:lvlText w:val="•"/>
      <w:lvlJc w:val="left"/>
      <w:pPr>
        <w:ind w:left="1734" w:hanging="361"/>
      </w:pPr>
    </w:lvl>
    <w:lvl w:ilvl="5">
      <w:numFmt w:val="bullet"/>
      <w:lvlText w:val="•"/>
      <w:lvlJc w:val="left"/>
      <w:pPr>
        <w:ind w:left="1962" w:hanging="361"/>
      </w:pPr>
    </w:lvl>
    <w:lvl w:ilvl="6">
      <w:numFmt w:val="bullet"/>
      <w:lvlText w:val="•"/>
      <w:lvlJc w:val="left"/>
      <w:pPr>
        <w:ind w:left="2191" w:hanging="361"/>
      </w:pPr>
    </w:lvl>
    <w:lvl w:ilvl="7">
      <w:numFmt w:val="bullet"/>
      <w:lvlText w:val="•"/>
      <w:lvlJc w:val="left"/>
      <w:pPr>
        <w:ind w:left="2419" w:hanging="361"/>
      </w:pPr>
    </w:lvl>
    <w:lvl w:ilvl="8">
      <w:numFmt w:val="bullet"/>
      <w:lvlText w:val="•"/>
      <w:lvlJc w:val="left"/>
      <w:pPr>
        <w:ind w:left="2648" w:hanging="361"/>
      </w:pPr>
    </w:lvl>
  </w:abstractNum>
  <w:abstractNum w:abstractNumId="25">
    <w:nsid w:val="0000041B"/>
    <w:multiLevelType w:val="multilevel"/>
    <w:tmpl w:val="0000089E"/>
    <w:lvl w:ilvl="0">
      <w:start w:val="1"/>
      <w:numFmt w:val="decimal"/>
      <w:lvlText w:val="%1."/>
      <w:lvlJc w:val="left"/>
      <w:pPr>
        <w:ind w:left="840" w:hanging="360"/>
      </w:pPr>
      <w:rPr>
        <w:rFonts w:ascii="Times New Roman" w:hAnsi="Times New Roman" w:cs="Times New Roman"/>
        <w:b/>
        <w:bCs/>
        <w:spacing w:val="-4"/>
        <w:w w:val="99"/>
        <w:sz w:val="24"/>
        <w:szCs w:val="24"/>
      </w:rPr>
    </w:lvl>
    <w:lvl w:ilvl="1">
      <w:numFmt w:val="bullet"/>
      <w:lvlText w:val="•"/>
      <w:lvlJc w:val="left"/>
      <w:pPr>
        <w:ind w:left="1716" w:hanging="360"/>
      </w:pPr>
    </w:lvl>
    <w:lvl w:ilvl="2">
      <w:numFmt w:val="bullet"/>
      <w:lvlText w:val="•"/>
      <w:lvlJc w:val="left"/>
      <w:pPr>
        <w:ind w:left="2592" w:hanging="360"/>
      </w:pPr>
    </w:lvl>
    <w:lvl w:ilvl="3">
      <w:numFmt w:val="bullet"/>
      <w:lvlText w:val="•"/>
      <w:lvlJc w:val="left"/>
      <w:pPr>
        <w:ind w:left="3468" w:hanging="360"/>
      </w:pPr>
    </w:lvl>
    <w:lvl w:ilvl="4">
      <w:numFmt w:val="bullet"/>
      <w:lvlText w:val="•"/>
      <w:lvlJc w:val="left"/>
      <w:pPr>
        <w:ind w:left="4344" w:hanging="360"/>
      </w:pPr>
    </w:lvl>
    <w:lvl w:ilvl="5">
      <w:numFmt w:val="bullet"/>
      <w:lvlText w:val="•"/>
      <w:lvlJc w:val="left"/>
      <w:pPr>
        <w:ind w:left="5220" w:hanging="360"/>
      </w:pPr>
    </w:lvl>
    <w:lvl w:ilvl="6">
      <w:numFmt w:val="bullet"/>
      <w:lvlText w:val="•"/>
      <w:lvlJc w:val="left"/>
      <w:pPr>
        <w:ind w:left="6096" w:hanging="360"/>
      </w:pPr>
    </w:lvl>
    <w:lvl w:ilvl="7">
      <w:numFmt w:val="bullet"/>
      <w:lvlText w:val="•"/>
      <w:lvlJc w:val="left"/>
      <w:pPr>
        <w:ind w:left="6972" w:hanging="360"/>
      </w:pPr>
    </w:lvl>
    <w:lvl w:ilvl="8">
      <w:numFmt w:val="bullet"/>
      <w:lvlText w:val="•"/>
      <w:lvlJc w:val="left"/>
      <w:pPr>
        <w:ind w:left="7848" w:hanging="360"/>
      </w:pPr>
    </w:lvl>
  </w:abstractNum>
  <w:abstractNum w:abstractNumId="26">
    <w:nsid w:val="0000041C"/>
    <w:multiLevelType w:val="multilevel"/>
    <w:tmpl w:val="0000089F"/>
    <w:lvl w:ilvl="0">
      <w:start w:val="10"/>
      <w:numFmt w:val="decimal"/>
      <w:lvlText w:val="%1."/>
      <w:lvlJc w:val="left"/>
      <w:pPr>
        <w:ind w:left="999" w:hanging="360"/>
      </w:pPr>
      <w:rPr>
        <w:rFonts w:cs="Times New Roman"/>
        <w:spacing w:val="-2"/>
        <w:w w:val="100"/>
      </w:rPr>
    </w:lvl>
    <w:lvl w:ilvl="1">
      <w:start w:val="1"/>
      <w:numFmt w:val="lowerLetter"/>
      <w:lvlText w:val="%2."/>
      <w:lvlJc w:val="left"/>
      <w:pPr>
        <w:ind w:left="1540" w:hanging="361"/>
      </w:pPr>
      <w:rPr>
        <w:rFonts w:ascii="Century Gothic" w:hAnsi="Century Gothic" w:cs="Century Gothic"/>
        <w:b w:val="0"/>
        <w:bCs w:val="0"/>
        <w:w w:val="100"/>
        <w:sz w:val="22"/>
        <w:szCs w:val="22"/>
      </w:rPr>
    </w:lvl>
    <w:lvl w:ilvl="2">
      <w:numFmt w:val="bullet"/>
      <w:lvlText w:val="•"/>
      <w:lvlJc w:val="left"/>
      <w:pPr>
        <w:ind w:left="2588" w:hanging="361"/>
      </w:pPr>
    </w:lvl>
    <w:lvl w:ilvl="3">
      <w:numFmt w:val="bullet"/>
      <w:lvlText w:val="•"/>
      <w:lvlJc w:val="left"/>
      <w:pPr>
        <w:ind w:left="3637" w:hanging="361"/>
      </w:pPr>
    </w:lvl>
    <w:lvl w:ilvl="4">
      <w:numFmt w:val="bullet"/>
      <w:lvlText w:val="•"/>
      <w:lvlJc w:val="left"/>
      <w:pPr>
        <w:ind w:left="4686" w:hanging="361"/>
      </w:pPr>
    </w:lvl>
    <w:lvl w:ilvl="5">
      <w:numFmt w:val="bullet"/>
      <w:lvlText w:val="•"/>
      <w:lvlJc w:val="left"/>
      <w:pPr>
        <w:ind w:left="5735" w:hanging="361"/>
      </w:pPr>
    </w:lvl>
    <w:lvl w:ilvl="6">
      <w:numFmt w:val="bullet"/>
      <w:lvlText w:val="•"/>
      <w:lvlJc w:val="left"/>
      <w:pPr>
        <w:ind w:left="6784" w:hanging="361"/>
      </w:pPr>
    </w:lvl>
    <w:lvl w:ilvl="7">
      <w:numFmt w:val="bullet"/>
      <w:lvlText w:val="•"/>
      <w:lvlJc w:val="left"/>
      <w:pPr>
        <w:ind w:left="7833" w:hanging="361"/>
      </w:pPr>
    </w:lvl>
    <w:lvl w:ilvl="8">
      <w:numFmt w:val="bullet"/>
      <w:lvlText w:val="•"/>
      <w:lvlJc w:val="left"/>
      <w:pPr>
        <w:ind w:left="8882" w:hanging="361"/>
      </w:pPr>
    </w:lvl>
  </w:abstractNum>
  <w:abstractNum w:abstractNumId="27">
    <w:nsid w:val="0000041D"/>
    <w:multiLevelType w:val="multilevel"/>
    <w:tmpl w:val="000008A0"/>
    <w:lvl w:ilvl="0">
      <w:start w:val="4"/>
      <w:numFmt w:val="lowerLetter"/>
      <w:lvlText w:val="%1."/>
      <w:lvlJc w:val="left"/>
      <w:pPr>
        <w:ind w:left="1540" w:hanging="361"/>
      </w:pPr>
      <w:rPr>
        <w:rFonts w:ascii="Century Gothic" w:hAnsi="Century Gothic" w:cs="Century Gothic"/>
        <w:b w:val="0"/>
        <w:bCs w:val="0"/>
        <w:w w:val="100"/>
        <w:sz w:val="22"/>
        <w:szCs w:val="22"/>
      </w:rPr>
    </w:lvl>
    <w:lvl w:ilvl="1">
      <w:numFmt w:val="bullet"/>
      <w:lvlText w:val="•"/>
      <w:lvlJc w:val="left"/>
      <w:pPr>
        <w:ind w:left="2484" w:hanging="361"/>
      </w:pPr>
    </w:lvl>
    <w:lvl w:ilvl="2">
      <w:numFmt w:val="bullet"/>
      <w:lvlText w:val="•"/>
      <w:lvlJc w:val="left"/>
      <w:pPr>
        <w:ind w:left="3428" w:hanging="361"/>
      </w:pPr>
    </w:lvl>
    <w:lvl w:ilvl="3">
      <w:numFmt w:val="bullet"/>
      <w:lvlText w:val="•"/>
      <w:lvlJc w:val="left"/>
      <w:pPr>
        <w:ind w:left="4372" w:hanging="361"/>
      </w:pPr>
    </w:lvl>
    <w:lvl w:ilvl="4">
      <w:numFmt w:val="bullet"/>
      <w:lvlText w:val="•"/>
      <w:lvlJc w:val="left"/>
      <w:pPr>
        <w:ind w:left="5316" w:hanging="361"/>
      </w:pPr>
    </w:lvl>
    <w:lvl w:ilvl="5">
      <w:numFmt w:val="bullet"/>
      <w:lvlText w:val="•"/>
      <w:lvlJc w:val="left"/>
      <w:pPr>
        <w:ind w:left="6260" w:hanging="361"/>
      </w:pPr>
    </w:lvl>
    <w:lvl w:ilvl="6">
      <w:numFmt w:val="bullet"/>
      <w:lvlText w:val="•"/>
      <w:lvlJc w:val="left"/>
      <w:pPr>
        <w:ind w:left="7204" w:hanging="361"/>
      </w:pPr>
    </w:lvl>
    <w:lvl w:ilvl="7">
      <w:numFmt w:val="bullet"/>
      <w:lvlText w:val="•"/>
      <w:lvlJc w:val="left"/>
      <w:pPr>
        <w:ind w:left="8148" w:hanging="361"/>
      </w:pPr>
    </w:lvl>
    <w:lvl w:ilvl="8">
      <w:numFmt w:val="bullet"/>
      <w:lvlText w:val="•"/>
      <w:lvlJc w:val="left"/>
      <w:pPr>
        <w:ind w:left="9092" w:hanging="361"/>
      </w:pPr>
    </w:lvl>
  </w:abstractNum>
  <w:abstractNum w:abstractNumId="28">
    <w:nsid w:val="0000041E"/>
    <w:multiLevelType w:val="multilevel"/>
    <w:tmpl w:val="000008A1"/>
    <w:lvl w:ilvl="0">
      <w:start w:val="11"/>
      <w:numFmt w:val="decimal"/>
      <w:lvlText w:val="%1."/>
      <w:lvlJc w:val="left"/>
      <w:pPr>
        <w:ind w:left="1000" w:hanging="360"/>
      </w:pPr>
      <w:rPr>
        <w:rFonts w:ascii="Century Gothic" w:hAnsi="Century Gothic" w:cs="Century Gothic"/>
        <w:b w:val="0"/>
        <w:bCs w:val="0"/>
        <w:w w:val="100"/>
        <w:sz w:val="22"/>
        <w:szCs w:val="22"/>
      </w:rPr>
    </w:lvl>
    <w:lvl w:ilvl="1">
      <w:numFmt w:val="bullet"/>
      <w:lvlText w:val="•"/>
      <w:lvlJc w:val="left"/>
      <w:pPr>
        <w:ind w:left="1998" w:hanging="360"/>
      </w:pPr>
    </w:lvl>
    <w:lvl w:ilvl="2">
      <w:numFmt w:val="bullet"/>
      <w:lvlText w:val="•"/>
      <w:lvlJc w:val="left"/>
      <w:pPr>
        <w:ind w:left="2996" w:hanging="360"/>
      </w:pPr>
    </w:lvl>
    <w:lvl w:ilvl="3">
      <w:numFmt w:val="bullet"/>
      <w:lvlText w:val="•"/>
      <w:lvlJc w:val="left"/>
      <w:pPr>
        <w:ind w:left="3994" w:hanging="360"/>
      </w:pPr>
    </w:lvl>
    <w:lvl w:ilvl="4">
      <w:numFmt w:val="bullet"/>
      <w:lvlText w:val="•"/>
      <w:lvlJc w:val="left"/>
      <w:pPr>
        <w:ind w:left="4992" w:hanging="360"/>
      </w:pPr>
    </w:lvl>
    <w:lvl w:ilvl="5">
      <w:numFmt w:val="bullet"/>
      <w:lvlText w:val="•"/>
      <w:lvlJc w:val="left"/>
      <w:pPr>
        <w:ind w:left="5990" w:hanging="360"/>
      </w:pPr>
    </w:lvl>
    <w:lvl w:ilvl="6">
      <w:numFmt w:val="bullet"/>
      <w:lvlText w:val="•"/>
      <w:lvlJc w:val="left"/>
      <w:pPr>
        <w:ind w:left="6988" w:hanging="360"/>
      </w:pPr>
    </w:lvl>
    <w:lvl w:ilvl="7">
      <w:numFmt w:val="bullet"/>
      <w:lvlText w:val="•"/>
      <w:lvlJc w:val="left"/>
      <w:pPr>
        <w:ind w:left="7986" w:hanging="360"/>
      </w:pPr>
    </w:lvl>
    <w:lvl w:ilvl="8">
      <w:numFmt w:val="bullet"/>
      <w:lvlText w:val="•"/>
      <w:lvlJc w:val="left"/>
      <w:pPr>
        <w:ind w:left="8984" w:hanging="360"/>
      </w:pPr>
    </w:lvl>
  </w:abstractNum>
  <w:abstractNum w:abstractNumId="29">
    <w:nsid w:val="0000041F"/>
    <w:multiLevelType w:val="multilevel"/>
    <w:tmpl w:val="000008A2"/>
    <w:lvl w:ilvl="0">
      <w:start w:val="1"/>
      <w:numFmt w:val="decimal"/>
      <w:lvlText w:val="%1."/>
      <w:lvlJc w:val="left"/>
      <w:pPr>
        <w:ind w:left="119" w:hanging="219"/>
      </w:pPr>
      <w:rPr>
        <w:rFonts w:ascii="Calibri" w:hAnsi="Calibri" w:cs="Calibri"/>
        <w:b w:val="0"/>
        <w:bCs w:val="0"/>
        <w:color w:val="1F497D"/>
        <w:w w:val="100"/>
        <w:sz w:val="22"/>
        <w:szCs w:val="22"/>
      </w:rPr>
    </w:lvl>
    <w:lvl w:ilvl="1">
      <w:numFmt w:val="bullet"/>
      <w:lvlText w:val=""/>
      <w:lvlJc w:val="left"/>
      <w:pPr>
        <w:ind w:left="860" w:hanging="360"/>
      </w:pPr>
      <w:rPr>
        <w:rFonts w:ascii="Symbol" w:hAnsi="Symbol"/>
        <w:b w:val="0"/>
        <w:w w:val="100"/>
        <w:sz w:val="24"/>
      </w:rPr>
    </w:lvl>
    <w:lvl w:ilvl="2">
      <w:numFmt w:val="bullet"/>
      <w:lvlText w:val="•"/>
      <w:lvlJc w:val="left"/>
      <w:pPr>
        <w:ind w:left="1828" w:hanging="360"/>
      </w:pPr>
    </w:lvl>
    <w:lvl w:ilvl="3">
      <w:numFmt w:val="bullet"/>
      <w:lvlText w:val="•"/>
      <w:lvlJc w:val="left"/>
      <w:pPr>
        <w:ind w:left="2797" w:hanging="360"/>
      </w:pPr>
    </w:lvl>
    <w:lvl w:ilvl="4">
      <w:numFmt w:val="bullet"/>
      <w:lvlText w:val="•"/>
      <w:lvlJc w:val="left"/>
      <w:pPr>
        <w:ind w:left="3766" w:hanging="360"/>
      </w:pPr>
    </w:lvl>
    <w:lvl w:ilvl="5">
      <w:numFmt w:val="bullet"/>
      <w:lvlText w:val="•"/>
      <w:lvlJc w:val="left"/>
      <w:pPr>
        <w:ind w:left="4735" w:hanging="360"/>
      </w:pPr>
    </w:lvl>
    <w:lvl w:ilvl="6">
      <w:numFmt w:val="bullet"/>
      <w:lvlText w:val="•"/>
      <w:lvlJc w:val="left"/>
      <w:pPr>
        <w:ind w:left="5704" w:hanging="360"/>
      </w:pPr>
    </w:lvl>
    <w:lvl w:ilvl="7">
      <w:numFmt w:val="bullet"/>
      <w:lvlText w:val="•"/>
      <w:lvlJc w:val="left"/>
      <w:pPr>
        <w:ind w:left="6673" w:hanging="360"/>
      </w:pPr>
    </w:lvl>
    <w:lvl w:ilvl="8">
      <w:numFmt w:val="bullet"/>
      <w:lvlText w:val="•"/>
      <w:lvlJc w:val="left"/>
      <w:pPr>
        <w:ind w:left="7642" w:hanging="360"/>
      </w:pPr>
    </w:lvl>
  </w:abstractNum>
  <w:abstractNum w:abstractNumId="30">
    <w:nsid w:val="00000420"/>
    <w:multiLevelType w:val="multilevel"/>
    <w:tmpl w:val="000008A3"/>
    <w:lvl w:ilvl="0">
      <w:start w:val="1"/>
      <w:numFmt w:val="decimal"/>
      <w:lvlText w:val="%1"/>
      <w:lvlJc w:val="left"/>
      <w:pPr>
        <w:ind w:left="303" w:hanging="164"/>
      </w:pPr>
      <w:rPr>
        <w:rFonts w:ascii="Calibri" w:hAnsi="Calibri" w:cs="Calibri"/>
        <w:b/>
        <w:bCs/>
        <w:w w:val="100"/>
        <w:sz w:val="22"/>
        <w:szCs w:val="22"/>
      </w:rPr>
    </w:lvl>
    <w:lvl w:ilvl="1">
      <w:numFmt w:val="bullet"/>
      <w:lvlText w:val=""/>
      <w:lvlJc w:val="left"/>
      <w:pPr>
        <w:ind w:left="860" w:hanging="360"/>
      </w:pPr>
      <w:rPr>
        <w:rFonts w:ascii="Symbol" w:hAnsi="Symbol"/>
        <w:b w:val="0"/>
        <w:w w:val="100"/>
        <w:sz w:val="24"/>
      </w:rPr>
    </w:lvl>
    <w:lvl w:ilvl="2">
      <w:numFmt w:val="bullet"/>
      <w:lvlText w:val="•"/>
      <w:lvlJc w:val="left"/>
      <w:pPr>
        <w:ind w:left="1220" w:hanging="360"/>
      </w:pPr>
    </w:lvl>
    <w:lvl w:ilvl="3">
      <w:numFmt w:val="bullet"/>
      <w:lvlText w:val="•"/>
      <w:lvlJc w:val="left"/>
      <w:pPr>
        <w:ind w:left="1580" w:hanging="360"/>
      </w:pPr>
    </w:lvl>
    <w:lvl w:ilvl="4">
      <w:numFmt w:val="bullet"/>
      <w:lvlText w:val="•"/>
      <w:lvlJc w:val="left"/>
      <w:pPr>
        <w:ind w:left="2731" w:hanging="360"/>
      </w:pPr>
    </w:lvl>
    <w:lvl w:ilvl="5">
      <w:numFmt w:val="bullet"/>
      <w:lvlText w:val="•"/>
      <w:lvlJc w:val="left"/>
      <w:pPr>
        <w:ind w:left="3882" w:hanging="360"/>
      </w:pPr>
    </w:lvl>
    <w:lvl w:ilvl="6">
      <w:numFmt w:val="bullet"/>
      <w:lvlText w:val="•"/>
      <w:lvlJc w:val="left"/>
      <w:pPr>
        <w:ind w:left="5034" w:hanging="360"/>
      </w:pPr>
    </w:lvl>
    <w:lvl w:ilvl="7">
      <w:numFmt w:val="bullet"/>
      <w:lvlText w:val="•"/>
      <w:lvlJc w:val="left"/>
      <w:pPr>
        <w:ind w:left="6185" w:hanging="360"/>
      </w:pPr>
    </w:lvl>
    <w:lvl w:ilvl="8">
      <w:numFmt w:val="bullet"/>
      <w:lvlText w:val="•"/>
      <w:lvlJc w:val="left"/>
      <w:pPr>
        <w:ind w:left="7337" w:hanging="360"/>
      </w:pPr>
    </w:lvl>
  </w:abstractNum>
  <w:abstractNum w:abstractNumId="31">
    <w:nsid w:val="00000421"/>
    <w:multiLevelType w:val="multilevel"/>
    <w:tmpl w:val="000008A4"/>
    <w:lvl w:ilvl="0">
      <w:numFmt w:val="bullet"/>
      <w:lvlText w:val=""/>
      <w:lvlJc w:val="left"/>
      <w:pPr>
        <w:ind w:left="500" w:hanging="360"/>
      </w:pPr>
      <w:rPr>
        <w:rFonts w:ascii="Symbol" w:hAnsi="Symbol"/>
        <w:b w:val="0"/>
        <w:w w:val="100"/>
        <w:sz w:val="24"/>
      </w:rPr>
    </w:lvl>
    <w:lvl w:ilvl="1">
      <w:numFmt w:val="bullet"/>
      <w:lvlText w:val="o"/>
      <w:lvlJc w:val="left"/>
      <w:pPr>
        <w:ind w:left="860" w:hanging="360"/>
      </w:pPr>
      <w:rPr>
        <w:rFonts w:ascii="Courier New" w:hAnsi="Courier New"/>
        <w:b w:val="0"/>
        <w:w w:val="99"/>
        <w:sz w:val="24"/>
      </w:rPr>
    </w:lvl>
    <w:lvl w:ilvl="2">
      <w:numFmt w:val="bullet"/>
      <w:lvlText w:val=""/>
      <w:lvlJc w:val="left"/>
      <w:pPr>
        <w:ind w:left="1940" w:hanging="360"/>
      </w:pPr>
      <w:rPr>
        <w:rFonts w:ascii="Wingdings" w:hAnsi="Wingdings"/>
        <w:b w:val="0"/>
        <w:w w:val="100"/>
        <w:sz w:val="24"/>
      </w:rPr>
    </w:lvl>
    <w:lvl w:ilvl="3">
      <w:numFmt w:val="bullet"/>
      <w:lvlText w:val="•"/>
      <w:lvlJc w:val="left"/>
      <w:pPr>
        <w:ind w:left="1940" w:hanging="360"/>
      </w:pPr>
    </w:lvl>
    <w:lvl w:ilvl="4">
      <w:numFmt w:val="bullet"/>
      <w:lvlText w:val="•"/>
      <w:lvlJc w:val="left"/>
      <w:pPr>
        <w:ind w:left="3040" w:hanging="360"/>
      </w:pPr>
    </w:lvl>
    <w:lvl w:ilvl="5">
      <w:numFmt w:val="bullet"/>
      <w:lvlText w:val="•"/>
      <w:lvlJc w:val="left"/>
      <w:pPr>
        <w:ind w:left="4140" w:hanging="360"/>
      </w:pPr>
    </w:lvl>
    <w:lvl w:ilvl="6">
      <w:numFmt w:val="bullet"/>
      <w:lvlText w:val="•"/>
      <w:lvlJc w:val="left"/>
      <w:pPr>
        <w:ind w:left="5240" w:hanging="360"/>
      </w:pPr>
    </w:lvl>
    <w:lvl w:ilvl="7">
      <w:numFmt w:val="bullet"/>
      <w:lvlText w:val="•"/>
      <w:lvlJc w:val="left"/>
      <w:pPr>
        <w:ind w:left="6340" w:hanging="360"/>
      </w:pPr>
    </w:lvl>
    <w:lvl w:ilvl="8">
      <w:numFmt w:val="bullet"/>
      <w:lvlText w:val="•"/>
      <w:lvlJc w:val="left"/>
      <w:pPr>
        <w:ind w:left="7440" w:hanging="360"/>
      </w:pPr>
    </w:lvl>
  </w:abstractNum>
  <w:abstractNum w:abstractNumId="32">
    <w:nsid w:val="00000422"/>
    <w:multiLevelType w:val="multilevel"/>
    <w:tmpl w:val="000008A5"/>
    <w:lvl w:ilvl="0">
      <w:numFmt w:val="bullet"/>
      <w:lvlText w:val="o"/>
      <w:lvlJc w:val="left"/>
      <w:pPr>
        <w:ind w:left="860" w:hanging="360"/>
      </w:pPr>
      <w:rPr>
        <w:rFonts w:ascii="Courier New" w:hAnsi="Courier New"/>
        <w:b w:val="0"/>
        <w:w w:val="99"/>
        <w:sz w:val="24"/>
      </w:rPr>
    </w:lvl>
    <w:lvl w:ilvl="1">
      <w:numFmt w:val="bullet"/>
      <w:lvlText w:val="•"/>
      <w:lvlJc w:val="left"/>
      <w:pPr>
        <w:ind w:left="1738" w:hanging="360"/>
      </w:pPr>
    </w:lvl>
    <w:lvl w:ilvl="2">
      <w:numFmt w:val="bullet"/>
      <w:lvlText w:val="•"/>
      <w:lvlJc w:val="left"/>
      <w:pPr>
        <w:ind w:left="2616" w:hanging="360"/>
      </w:pPr>
    </w:lvl>
    <w:lvl w:ilvl="3">
      <w:numFmt w:val="bullet"/>
      <w:lvlText w:val="•"/>
      <w:lvlJc w:val="left"/>
      <w:pPr>
        <w:ind w:left="3494" w:hanging="360"/>
      </w:pPr>
    </w:lvl>
    <w:lvl w:ilvl="4">
      <w:numFmt w:val="bullet"/>
      <w:lvlText w:val="•"/>
      <w:lvlJc w:val="left"/>
      <w:pPr>
        <w:ind w:left="4372" w:hanging="360"/>
      </w:pPr>
    </w:lvl>
    <w:lvl w:ilvl="5">
      <w:numFmt w:val="bullet"/>
      <w:lvlText w:val="•"/>
      <w:lvlJc w:val="left"/>
      <w:pPr>
        <w:ind w:left="5250" w:hanging="360"/>
      </w:pPr>
    </w:lvl>
    <w:lvl w:ilvl="6">
      <w:numFmt w:val="bullet"/>
      <w:lvlText w:val="•"/>
      <w:lvlJc w:val="left"/>
      <w:pPr>
        <w:ind w:left="6128" w:hanging="360"/>
      </w:pPr>
    </w:lvl>
    <w:lvl w:ilvl="7">
      <w:numFmt w:val="bullet"/>
      <w:lvlText w:val="•"/>
      <w:lvlJc w:val="left"/>
      <w:pPr>
        <w:ind w:left="7006" w:hanging="360"/>
      </w:pPr>
    </w:lvl>
    <w:lvl w:ilvl="8">
      <w:numFmt w:val="bullet"/>
      <w:lvlText w:val="•"/>
      <w:lvlJc w:val="left"/>
      <w:pPr>
        <w:ind w:left="7884" w:hanging="360"/>
      </w:pPr>
    </w:lvl>
  </w:abstractNum>
  <w:abstractNum w:abstractNumId="33">
    <w:nsid w:val="00000423"/>
    <w:multiLevelType w:val="multilevel"/>
    <w:tmpl w:val="000008A6"/>
    <w:lvl w:ilvl="0">
      <w:numFmt w:val="bullet"/>
      <w:lvlText w:val=""/>
      <w:lvlJc w:val="left"/>
      <w:pPr>
        <w:ind w:left="1940" w:hanging="360"/>
      </w:pPr>
      <w:rPr>
        <w:rFonts w:ascii="Wingdings" w:hAnsi="Wingdings"/>
        <w:b w:val="0"/>
        <w:w w:val="100"/>
        <w:sz w:val="24"/>
      </w:rPr>
    </w:lvl>
    <w:lvl w:ilvl="1">
      <w:numFmt w:val="bullet"/>
      <w:lvlText w:val="-"/>
      <w:lvlJc w:val="left"/>
      <w:pPr>
        <w:ind w:left="2300" w:hanging="360"/>
      </w:pPr>
      <w:rPr>
        <w:rFonts w:ascii="Times New Roman" w:hAnsi="Times New Roman"/>
        <w:b w:val="0"/>
        <w:spacing w:val="-5"/>
        <w:w w:val="99"/>
        <w:sz w:val="24"/>
      </w:rPr>
    </w:lvl>
    <w:lvl w:ilvl="2">
      <w:numFmt w:val="bullet"/>
      <w:lvlText w:val="•"/>
      <w:lvlJc w:val="left"/>
      <w:pPr>
        <w:ind w:left="3115" w:hanging="360"/>
      </w:pPr>
    </w:lvl>
    <w:lvl w:ilvl="3">
      <w:numFmt w:val="bullet"/>
      <w:lvlText w:val="•"/>
      <w:lvlJc w:val="left"/>
      <w:pPr>
        <w:ind w:left="3931" w:hanging="360"/>
      </w:pPr>
    </w:lvl>
    <w:lvl w:ilvl="4">
      <w:numFmt w:val="bullet"/>
      <w:lvlText w:val="•"/>
      <w:lvlJc w:val="left"/>
      <w:pPr>
        <w:ind w:left="4746" w:hanging="360"/>
      </w:pPr>
    </w:lvl>
    <w:lvl w:ilvl="5">
      <w:numFmt w:val="bullet"/>
      <w:lvlText w:val="•"/>
      <w:lvlJc w:val="left"/>
      <w:pPr>
        <w:ind w:left="5562" w:hanging="360"/>
      </w:pPr>
    </w:lvl>
    <w:lvl w:ilvl="6">
      <w:numFmt w:val="bullet"/>
      <w:lvlText w:val="•"/>
      <w:lvlJc w:val="left"/>
      <w:pPr>
        <w:ind w:left="6377" w:hanging="360"/>
      </w:pPr>
    </w:lvl>
    <w:lvl w:ilvl="7">
      <w:numFmt w:val="bullet"/>
      <w:lvlText w:val="•"/>
      <w:lvlJc w:val="left"/>
      <w:pPr>
        <w:ind w:left="7193" w:hanging="360"/>
      </w:pPr>
    </w:lvl>
    <w:lvl w:ilvl="8">
      <w:numFmt w:val="bullet"/>
      <w:lvlText w:val="•"/>
      <w:lvlJc w:val="left"/>
      <w:pPr>
        <w:ind w:left="8008" w:hanging="360"/>
      </w:pPr>
    </w:lvl>
  </w:abstractNum>
  <w:abstractNum w:abstractNumId="34">
    <w:nsid w:val="00000424"/>
    <w:multiLevelType w:val="multilevel"/>
    <w:tmpl w:val="000008A7"/>
    <w:lvl w:ilvl="0">
      <w:numFmt w:val="bullet"/>
      <w:lvlText w:val=""/>
      <w:lvlJc w:val="left"/>
      <w:pPr>
        <w:ind w:left="1940" w:hanging="360"/>
      </w:pPr>
      <w:rPr>
        <w:rFonts w:ascii="Wingdings" w:hAnsi="Wingdings"/>
        <w:b w:val="0"/>
        <w:w w:val="100"/>
        <w:sz w:val="24"/>
      </w:rPr>
    </w:lvl>
    <w:lvl w:ilvl="1">
      <w:numFmt w:val="bullet"/>
      <w:lvlText w:val="•"/>
      <w:lvlJc w:val="left"/>
      <w:pPr>
        <w:ind w:left="2710" w:hanging="360"/>
      </w:pPr>
    </w:lvl>
    <w:lvl w:ilvl="2">
      <w:numFmt w:val="bullet"/>
      <w:lvlText w:val="•"/>
      <w:lvlJc w:val="left"/>
      <w:pPr>
        <w:ind w:left="3480" w:hanging="360"/>
      </w:pPr>
    </w:lvl>
    <w:lvl w:ilvl="3">
      <w:numFmt w:val="bullet"/>
      <w:lvlText w:val="•"/>
      <w:lvlJc w:val="left"/>
      <w:pPr>
        <w:ind w:left="4250" w:hanging="360"/>
      </w:pPr>
    </w:lvl>
    <w:lvl w:ilvl="4">
      <w:numFmt w:val="bullet"/>
      <w:lvlText w:val="•"/>
      <w:lvlJc w:val="left"/>
      <w:pPr>
        <w:ind w:left="5020" w:hanging="360"/>
      </w:pPr>
    </w:lvl>
    <w:lvl w:ilvl="5">
      <w:numFmt w:val="bullet"/>
      <w:lvlText w:val="•"/>
      <w:lvlJc w:val="left"/>
      <w:pPr>
        <w:ind w:left="5790" w:hanging="360"/>
      </w:pPr>
    </w:lvl>
    <w:lvl w:ilvl="6">
      <w:numFmt w:val="bullet"/>
      <w:lvlText w:val="•"/>
      <w:lvlJc w:val="left"/>
      <w:pPr>
        <w:ind w:left="6560" w:hanging="360"/>
      </w:pPr>
    </w:lvl>
    <w:lvl w:ilvl="7">
      <w:numFmt w:val="bullet"/>
      <w:lvlText w:val="•"/>
      <w:lvlJc w:val="left"/>
      <w:pPr>
        <w:ind w:left="7330" w:hanging="360"/>
      </w:pPr>
    </w:lvl>
    <w:lvl w:ilvl="8">
      <w:numFmt w:val="bullet"/>
      <w:lvlText w:val="•"/>
      <w:lvlJc w:val="left"/>
      <w:pPr>
        <w:ind w:left="8100" w:hanging="360"/>
      </w:pPr>
    </w:lvl>
  </w:abstractNum>
  <w:abstractNum w:abstractNumId="35">
    <w:nsid w:val="00000425"/>
    <w:multiLevelType w:val="multilevel"/>
    <w:tmpl w:val="000008A8"/>
    <w:lvl w:ilvl="0">
      <w:numFmt w:val="bullet"/>
      <w:lvlText w:val=""/>
      <w:lvlJc w:val="left"/>
      <w:pPr>
        <w:ind w:left="1940" w:hanging="360"/>
      </w:pPr>
      <w:rPr>
        <w:rFonts w:ascii="Wingdings" w:hAnsi="Wingdings"/>
        <w:b w:val="0"/>
        <w:w w:val="100"/>
        <w:sz w:val="24"/>
      </w:rPr>
    </w:lvl>
    <w:lvl w:ilvl="1">
      <w:numFmt w:val="bullet"/>
      <w:lvlText w:val="-"/>
      <w:lvlJc w:val="left"/>
      <w:pPr>
        <w:ind w:left="2300" w:hanging="360"/>
      </w:pPr>
      <w:rPr>
        <w:rFonts w:ascii="Times New Roman" w:hAnsi="Times New Roman"/>
        <w:b w:val="0"/>
        <w:spacing w:val="-5"/>
        <w:w w:val="99"/>
        <w:sz w:val="24"/>
      </w:rPr>
    </w:lvl>
    <w:lvl w:ilvl="2">
      <w:numFmt w:val="bullet"/>
      <w:lvlText w:val="•"/>
      <w:lvlJc w:val="left"/>
      <w:pPr>
        <w:ind w:left="3115" w:hanging="360"/>
      </w:pPr>
    </w:lvl>
    <w:lvl w:ilvl="3">
      <w:numFmt w:val="bullet"/>
      <w:lvlText w:val="•"/>
      <w:lvlJc w:val="left"/>
      <w:pPr>
        <w:ind w:left="3931" w:hanging="360"/>
      </w:pPr>
    </w:lvl>
    <w:lvl w:ilvl="4">
      <w:numFmt w:val="bullet"/>
      <w:lvlText w:val="•"/>
      <w:lvlJc w:val="left"/>
      <w:pPr>
        <w:ind w:left="4746" w:hanging="360"/>
      </w:pPr>
    </w:lvl>
    <w:lvl w:ilvl="5">
      <w:numFmt w:val="bullet"/>
      <w:lvlText w:val="•"/>
      <w:lvlJc w:val="left"/>
      <w:pPr>
        <w:ind w:left="5562" w:hanging="360"/>
      </w:pPr>
    </w:lvl>
    <w:lvl w:ilvl="6">
      <w:numFmt w:val="bullet"/>
      <w:lvlText w:val="•"/>
      <w:lvlJc w:val="left"/>
      <w:pPr>
        <w:ind w:left="6377" w:hanging="360"/>
      </w:pPr>
    </w:lvl>
    <w:lvl w:ilvl="7">
      <w:numFmt w:val="bullet"/>
      <w:lvlText w:val="•"/>
      <w:lvlJc w:val="left"/>
      <w:pPr>
        <w:ind w:left="7193" w:hanging="360"/>
      </w:pPr>
    </w:lvl>
    <w:lvl w:ilvl="8">
      <w:numFmt w:val="bullet"/>
      <w:lvlText w:val="•"/>
      <w:lvlJc w:val="left"/>
      <w:pPr>
        <w:ind w:left="8008" w:hanging="360"/>
      </w:pPr>
    </w:lvl>
  </w:abstractNum>
  <w:abstractNum w:abstractNumId="36">
    <w:nsid w:val="00000426"/>
    <w:multiLevelType w:val="multilevel"/>
    <w:tmpl w:val="000008A9"/>
    <w:lvl w:ilvl="0">
      <w:numFmt w:val="bullet"/>
      <w:lvlText w:val=""/>
      <w:lvlJc w:val="left"/>
      <w:pPr>
        <w:ind w:left="1851" w:hanging="272"/>
      </w:pPr>
      <w:rPr>
        <w:rFonts w:ascii="Wingdings" w:hAnsi="Wingdings"/>
        <w:b w:val="0"/>
        <w:w w:val="100"/>
        <w:sz w:val="24"/>
      </w:rPr>
    </w:lvl>
    <w:lvl w:ilvl="1">
      <w:numFmt w:val="bullet"/>
      <w:lvlText w:val="-"/>
      <w:lvlJc w:val="left"/>
      <w:pPr>
        <w:ind w:left="2300" w:hanging="360"/>
      </w:pPr>
      <w:rPr>
        <w:rFonts w:ascii="Times New Roman" w:hAnsi="Times New Roman"/>
        <w:b w:val="0"/>
        <w:spacing w:val="-3"/>
        <w:w w:val="99"/>
        <w:sz w:val="24"/>
      </w:rPr>
    </w:lvl>
    <w:lvl w:ilvl="2">
      <w:numFmt w:val="bullet"/>
      <w:lvlText w:val="•"/>
      <w:lvlJc w:val="left"/>
      <w:pPr>
        <w:ind w:left="3115" w:hanging="360"/>
      </w:pPr>
    </w:lvl>
    <w:lvl w:ilvl="3">
      <w:numFmt w:val="bullet"/>
      <w:lvlText w:val="•"/>
      <w:lvlJc w:val="left"/>
      <w:pPr>
        <w:ind w:left="3931" w:hanging="360"/>
      </w:pPr>
    </w:lvl>
    <w:lvl w:ilvl="4">
      <w:numFmt w:val="bullet"/>
      <w:lvlText w:val="•"/>
      <w:lvlJc w:val="left"/>
      <w:pPr>
        <w:ind w:left="4746" w:hanging="360"/>
      </w:pPr>
    </w:lvl>
    <w:lvl w:ilvl="5">
      <w:numFmt w:val="bullet"/>
      <w:lvlText w:val="•"/>
      <w:lvlJc w:val="left"/>
      <w:pPr>
        <w:ind w:left="5562" w:hanging="360"/>
      </w:pPr>
    </w:lvl>
    <w:lvl w:ilvl="6">
      <w:numFmt w:val="bullet"/>
      <w:lvlText w:val="•"/>
      <w:lvlJc w:val="left"/>
      <w:pPr>
        <w:ind w:left="6377" w:hanging="360"/>
      </w:pPr>
    </w:lvl>
    <w:lvl w:ilvl="7">
      <w:numFmt w:val="bullet"/>
      <w:lvlText w:val="•"/>
      <w:lvlJc w:val="left"/>
      <w:pPr>
        <w:ind w:left="7193" w:hanging="360"/>
      </w:pPr>
    </w:lvl>
    <w:lvl w:ilvl="8">
      <w:numFmt w:val="bullet"/>
      <w:lvlText w:val="•"/>
      <w:lvlJc w:val="left"/>
      <w:pPr>
        <w:ind w:left="8008" w:hanging="360"/>
      </w:pPr>
    </w:lvl>
  </w:abstractNum>
  <w:abstractNum w:abstractNumId="37">
    <w:nsid w:val="00000427"/>
    <w:multiLevelType w:val="multilevel"/>
    <w:tmpl w:val="000008AA"/>
    <w:lvl w:ilvl="0">
      <w:numFmt w:val="bullet"/>
      <w:lvlText w:val="-"/>
      <w:lvlJc w:val="left"/>
      <w:pPr>
        <w:ind w:left="2300" w:hanging="360"/>
      </w:pPr>
      <w:rPr>
        <w:rFonts w:ascii="Times New Roman" w:hAnsi="Times New Roman"/>
        <w:b w:val="0"/>
        <w:spacing w:val="-8"/>
        <w:w w:val="99"/>
        <w:sz w:val="24"/>
      </w:rPr>
    </w:lvl>
    <w:lvl w:ilvl="1">
      <w:numFmt w:val="bullet"/>
      <w:lvlText w:val="•"/>
      <w:lvlJc w:val="left"/>
      <w:pPr>
        <w:ind w:left="3034" w:hanging="360"/>
      </w:pPr>
    </w:lvl>
    <w:lvl w:ilvl="2">
      <w:numFmt w:val="bullet"/>
      <w:lvlText w:val="•"/>
      <w:lvlJc w:val="left"/>
      <w:pPr>
        <w:ind w:left="3768" w:hanging="360"/>
      </w:pPr>
    </w:lvl>
    <w:lvl w:ilvl="3">
      <w:numFmt w:val="bullet"/>
      <w:lvlText w:val="•"/>
      <w:lvlJc w:val="left"/>
      <w:pPr>
        <w:ind w:left="4502" w:hanging="360"/>
      </w:pPr>
    </w:lvl>
    <w:lvl w:ilvl="4">
      <w:numFmt w:val="bullet"/>
      <w:lvlText w:val="•"/>
      <w:lvlJc w:val="left"/>
      <w:pPr>
        <w:ind w:left="5236" w:hanging="360"/>
      </w:pPr>
    </w:lvl>
    <w:lvl w:ilvl="5">
      <w:numFmt w:val="bullet"/>
      <w:lvlText w:val="•"/>
      <w:lvlJc w:val="left"/>
      <w:pPr>
        <w:ind w:left="5970" w:hanging="360"/>
      </w:pPr>
    </w:lvl>
    <w:lvl w:ilvl="6">
      <w:numFmt w:val="bullet"/>
      <w:lvlText w:val="•"/>
      <w:lvlJc w:val="left"/>
      <w:pPr>
        <w:ind w:left="6704" w:hanging="360"/>
      </w:pPr>
    </w:lvl>
    <w:lvl w:ilvl="7">
      <w:numFmt w:val="bullet"/>
      <w:lvlText w:val="•"/>
      <w:lvlJc w:val="left"/>
      <w:pPr>
        <w:ind w:left="7438" w:hanging="360"/>
      </w:pPr>
    </w:lvl>
    <w:lvl w:ilvl="8">
      <w:numFmt w:val="bullet"/>
      <w:lvlText w:val="•"/>
      <w:lvlJc w:val="left"/>
      <w:pPr>
        <w:ind w:left="8172" w:hanging="360"/>
      </w:pPr>
    </w:lvl>
  </w:abstractNum>
  <w:abstractNum w:abstractNumId="38">
    <w:nsid w:val="00000428"/>
    <w:multiLevelType w:val="multilevel"/>
    <w:tmpl w:val="000008AB"/>
    <w:lvl w:ilvl="0">
      <w:numFmt w:val="bullet"/>
      <w:lvlText w:val=""/>
      <w:lvlJc w:val="left"/>
      <w:pPr>
        <w:ind w:left="414" w:hanging="224"/>
      </w:pPr>
      <w:rPr>
        <w:rFonts w:ascii="Symbol" w:hAnsi="Symbol"/>
        <w:b w:val="0"/>
        <w:w w:val="99"/>
        <w:sz w:val="24"/>
      </w:rPr>
    </w:lvl>
    <w:lvl w:ilvl="1">
      <w:numFmt w:val="bullet"/>
      <w:lvlText w:val="•"/>
      <w:lvlJc w:val="left"/>
      <w:pPr>
        <w:ind w:left="1440" w:hanging="224"/>
      </w:pPr>
    </w:lvl>
    <w:lvl w:ilvl="2">
      <w:numFmt w:val="bullet"/>
      <w:lvlText w:val="•"/>
      <w:lvlJc w:val="left"/>
      <w:pPr>
        <w:ind w:left="2460" w:hanging="224"/>
      </w:pPr>
    </w:lvl>
    <w:lvl w:ilvl="3">
      <w:numFmt w:val="bullet"/>
      <w:lvlText w:val="•"/>
      <w:lvlJc w:val="left"/>
      <w:pPr>
        <w:ind w:left="3480" w:hanging="224"/>
      </w:pPr>
    </w:lvl>
    <w:lvl w:ilvl="4">
      <w:numFmt w:val="bullet"/>
      <w:lvlText w:val="•"/>
      <w:lvlJc w:val="left"/>
      <w:pPr>
        <w:ind w:left="4500" w:hanging="224"/>
      </w:pPr>
    </w:lvl>
    <w:lvl w:ilvl="5">
      <w:numFmt w:val="bullet"/>
      <w:lvlText w:val="•"/>
      <w:lvlJc w:val="left"/>
      <w:pPr>
        <w:ind w:left="5520" w:hanging="224"/>
      </w:pPr>
    </w:lvl>
    <w:lvl w:ilvl="6">
      <w:numFmt w:val="bullet"/>
      <w:lvlText w:val="•"/>
      <w:lvlJc w:val="left"/>
      <w:pPr>
        <w:ind w:left="6540" w:hanging="224"/>
      </w:pPr>
    </w:lvl>
    <w:lvl w:ilvl="7">
      <w:numFmt w:val="bullet"/>
      <w:lvlText w:val="•"/>
      <w:lvlJc w:val="left"/>
      <w:pPr>
        <w:ind w:left="7560" w:hanging="224"/>
      </w:pPr>
    </w:lvl>
    <w:lvl w:ilvl="8">
      <w:numFmt w:val="bullet"/>
      <w:lvlText w:val="•"/>
      <w:lvlJc w:val="left"/>
      <w:pPr>
        <w:ind w:left="8580" w:hanging="224"/>
      </w:pPr>
    </w:lvl>
  </w:abstractNum>
  <w:abstractNum w:abstractNumId="39">
    <w:nsid w:val="00000429"/>
    <w:multiLevelType w:val="multilevel"/>
    <w:tmpl w:val="000008AC"/>
    <w:lvl w:ilvl="0">
      <w:numFmt w:val="bullet"/>
      <w:lvlText w:val="•"/>
      <w:lvlJc w:val="left"/>
      <w:pPr>
        <w:ind w:left="364" w:hanging="221"/>
      </w:pPr>
      <w:rPr>
        <w:rFonts w:ascii="Times New Roman" w:hAnsi="Times New Roman"/>
        <w:b w:val="0"/>
        <w:w w:val="99"/>
        <w:sz w:val="24"/>
      </w:rPr>
    </w:lvl>
    <w:lvl w:ilvl="1">
      <w:numFmt w:val="bullet"/>
      <w:lvlText w:val="•"/>
      <w:lvlJc w:val="left"/>
      <w:pPr>
        <w:ind w:left="1386" w:hanging="221"/>
      </w:pPr>
    </w:lvl>
    <w:lvl w:ilvl="2">
      <w:numFmt w:val="bullet"/>
      <w:lvlText w:val="•"/>
      <w:lvlJc w:val="left"/>
      <w:pPr>
        <w:ind w:left="2412" w:hanging="221"/>
      </w:pPr>
    </w:lvl>
    <w:lvl w:ilvl="3">
      <w:numFmt w:val="bullet"/>
      <w:lvlText w:val="•"/>
      <w:lvlJc w:val="left"/>
      <w:pPr>
        <w:ind w:left="3438" w:hanging="221"/>
      </w:pPr>
    </w:lvl>
    <w:lvl w:ilvl="4">
      <w:numFmt w:val="bullet"/>
      <w:lvlText w:val="•"/>
      <w:lvlJc w:val="left"/>
      <w:pPr>
        <w:ind w:left="4464" w:hanging="221"/>
      </w:pPr>
    </w:lvl>
    <w:lvl w:ilvl="5">
      <w:numFmt w:val="bullet"/>
      <w:lvlText w:val="•"/>
      <w:lvlJc w:val="left"/>
      <w:pPr>
        <w:ind w:left="5490" w:hanging="221"/>
      </w:pPr>
    </w:lvl>
    <w:lvl w:ilvl="6">
      <w:numFmt w:val="bullet"/>
      <w:lvlText w:val="•"/>
      <w:lvlJc w:val="left"/>
      <w:pPr>
        <w:ind w:left="6516" w:hanging="221"/>
      </w:pPr>
    </w:lvl>
    <w:lvl w:ilvl="7">
      <w:numFmt w:val="bullet"/>
      <w:lvlText w:val="•"/>
      <w:lvlJc w:val="left"/>
      <w:pPr>
        <w:ind w:left="7542" w:hanging="221"/>
      </w:pPr>
    </w:lvl>
    <w:lvl w:ilvl="8">
      <w:numFmt w:val="bullet"/>
      <w:lvlText w:val="•"/>
      <w:lvlJc w:val="left"/>
      <w:pPr>
        <w:ind w:left="8568" w:hanging="221"/>
      </w:pPr>
    </w:lvl>
  </w:abstractNum>
  <w:abstractNum w:abstractNumId="40">
    <w:nsid w:val="0000042A"/>
    <w:multiLevelType w:val="multilevel"/>
    <w:tmpl w:val="000008AD"/>
    <w:lvl w:ilvl="0">
      <w:numFmt w:val="bullet"/>
      <w:lvlText w:val="▪"/>
      <w:lvlJc w:val="left"/>
      <w:pPr>
        <w:ind w:left="144" w:hanging="144"/>
      </w:pPr>
      <w:rPr>
        <w:w w:val="99"/>
      </w:rPr>
    </w:lvl>
    <w:lvl w:ilvl="1">
      <w:numFmt w:val="bullet"/>
      <w:lvlText w:val="•"/>
      <w:lvlJc w:val="left"/>
      <w:pPr>
        <w:ind w:left="1171" w:hanging="144"/>
      </w:pPr>
    </w:lvl>
    <w:lvl w:ilvl="2">
      <w:numFmt w:val="bullet"/>
      <w:lvlText w:val="•"/>
      <w:lvlJc w:val="left"/>
      <w:pPr>
        <w:ind w:left="2202" w:hanging="144"/>
      </w:pPr>
    </w:lvl>
    <w:lvl w:ilvl="3">
      <w:numFmt w:val="bullet"/>
      <w:lvlText w:val="•"/>
      <w:lvlJc w:val="left"/>
      <w:pPr>
        <w:ind w:left="3233" w:hanging="144"/>
      </w:pPr>
    </w:lvl>
    <w:lvl w:ilvl="4">
      <w:numFmt w:val="bullet"/>
      <w:lvlText w:val="•"/>
      <w:lvlJc w:val="left"/>
      <w:pPr>
        <w:ind w:left="4264" w:hanging="144"/>
      </w:pPr>
    </w:lvl>
    <w:lvl w:ilvl="5">
      <w:numFmt w:val="bullet"/>
      <w:lvlText w:val="•"/>
      <w:lvlJc w:val="left"/>
      <w:pPr>
        <w:ind w:left="5295" w:hanging="144"/>
      </w:pPr>
    </w:lvl>
    <w:lvl w:ilvl="6">
      <w:numFmt w:val="bullet"/>
      <w:lvlText w:val="•"/>
      <w:lvlJc w:val="left"/>
      <w:pPr>
        <w:ind w:left="6326" w:hanging="144"/>
      </w:pPr>
    </w:lvl>
    <w:lvl w:ilvl="7">
      <w:numFmt w:val="bullet"/>
      <w:lvlText w:val="•"/>
      <w:lvlJc w:val="left"/>
      <w:pPr>
        <w:ind w:left="7357" w:hanging="144"/>
      </w:pPr>
    </w:lvl>
    <w:lvl w:ilvl="8">
      <w:numFmt w:val="bullet"/>
      <w:lvlText w:val="•"/>
      <w:lvlJc w:val="left"/>
      <w:pPr>
        <w:ind w:left="8388" w:hanging="144"/>
      </w:pPr>
    </w:lvl>
  </w:abstractNum>
  <w:abstractNum w:abstractNumId="41">
    <w:nsid w:val="0000042B"/>
    <w:multiLevelType w:val="multilevel"/>
    <w:tmpl w:val="000008AE"/>
    <w:lvl w:ilvl="0">
      <w:numFmt w:val="bullet"/>
      <w:lvlText w:val="▪"/>
      <w:lvlJc w:val="left"/>
      <w:pPr>
        <w:ind w:left="144" w:hanging="144"/>
      </w:pPr>
      <w:rPr>
        <w:rFonts w:ascii="Times New Roman" w:hAnsi="Times New Roman"/>
        <w:b w:val="0"/>
        <w:w w:val="99"/>
        <w:sz w:val="24"/>
      </w:rPr>
    </w:lvl>
    <w:lvl w:ilvl="1">
      <w:numFmt w:val="bullet"/>
      <w:lvlText w:val="•"/>
      <w:lvlJc w:val="left"/>
      <w:pPr>
        <w:ind w:left="1171" w:hanging="144"/>
      </w:pPr>
    </w:lvl>
    <w:lvl w:ilvl="2">
      <w:numFmt w:val="bullet"/>
      <w:lvlText w:val="•"/>
      <w:lvlJc w:val="left"/>
      <w:pPr>
        <w:ind w:left="2202" w:hanging="144"/>
      </w:pPr>
    </w:lvl>
    <w:lvl w:ilvl="3">
      <w:numFmt w:val="bullet"/>
      <w:lvlText w:val="•"/>
      <w:lvlJc w:val="left"/>
      <w:pPr>
        <w:ind w:left="3233" w:hanging="144"/>
      </w:pPr>
    </w:lvl>
    <w:lvl w:ilvl="4">
      <w:numFmt w:val="bullet"/>
      <w:lvlText w:val="•"/>
      <w:lvlJc w:val="left"/>
      <w:pPr>
        <w:ind w:left="4264" w:hanging="144"/>
      </w:pPr>
    </w:lvl>
    <w:lvl w:ilvl="5">
      <w:numFmt w:val="bullet"/>
      <w:lvlText w:val="•"/>
      <w:lvlJc w:val="left"/>
      <w:pPr>
        <w:ind w:left="5295" w:hanging="144"/>
      </w:pPr>
    </w:lvl>
    <w:lvl w:ilvl="6">
      <w:numFmt w:val="bullet"/>
      <w:lvlText w:val="•"/>
      <w:lvlJc w:val="left"/>
      <w:pPr>
        <w:ind w:left="6326" w:hanging="144"/>
      </w:pPr>
    </w:lvl>
    <w:lvl w:ilvl="7">
      <w:numFmt w:val="bullet"/>
      <w:lvlText w:val="•"/>
      <w:lvlJc w:val="left"/>
      <w:pPr>
        <w:ind w:left="7357" w:hanging="144"/>
      </w:pPr>
    </w:lvl>
    <w:lvl w:ilvl="8">
      <w:numFmt w:val="bullet"/>
      <w:lvlText w:val="•"/>
      <w:lvlJc w:val="left"/>
      <w:pPr>
        <w:ind w:left="8388" w:hanging="144"/>
      </w:pPr>
    </w:lvl>
  </w:abstractNum>
  <w:abstractNum w:abstractNumId="42">
    <w:nsid w:val="0000042C"/>
    <w:multiLevelType w:val="multilevel"/>
    <w:tmpl w:val="000008AF"/>
    <w:lvl w:ilvl="0">
      <w:numFmt w:val="bullet"/>
      <w:lvlText w:val="▪"/>
      <w:lvlJc w:val="left"/>
      <w:pPr>
        <w:ind w:left="145" w:hanging="147"/>
      </w:pPr>
      <w:rPr>
        <w:w w:val="99"/>
      </w:rPr>
    </w:lvl>
    <w:lvl w:ilvl="1">
      <w:numFmt w:val="bullet"/>
      <w:lvlText w:val="•"/>
      <w:lvlJc w:val="left"/>
      <w:pPr>
        <w:ind w:left="1196" w:hanging="147"/>
      </w:pPr>
    </w:lvl>
    <w:lvl w:ilvl="2">
      <w:numFmt w:val="bullet"/>
      <w:lvlText w:val="•"/>
      <w:lvlJc w:val="left"/>
      <w:pPr>
        <w:ind w:left="2252" w:hanging="147"/>
      </w:pPr>
    </w:lvl>
    <w:lvl w:ilvl="3">
      <w:numFmt w:val="bullet"/>
      <w:lvlText w:val="•"/>
      <w:lvlJc w:val="left"/>
      <w:pPr>
        <w:ind w:left="3308" w:hanging="147"/>
      </w:pPr>
    </w:lvl>
    <w:lvl w:ilvl="4">
      <w:numFmt w:val="bullet"/>
      <w:lvlText w:val="•"/>
      <w:lvlJc w:val="left"/>
      <w:pPr>
        <w:ind w:left="4364" w:hanging="147"/>
      </w:pPr>
    </w:lvl>
    <w:lvl w:ilvl="5">
      <w:numFmt w:val="bullet"/>
      <w:lvlText w:val="•"/>
      <w:lvlJc w:val="left"/>
      <w:pPr>
        <w:ind w:left="5420" w:hanging="147"/>
      </w:pPr>
    </w:lvl>
    <w:lvl w:ilvl="6">
      <w:numFmt w:val="bullet"/>
      <w:lvlText w:val="•"/>
      <w:lvlJc w:val="left"/>
      <w:pPr>
        <w:ind w:left="6476" w:hanging="147"/>
      </w:pPr>
    </w:lvl>
    <w:lvl w:ilvl="7">
      <w:numFmt w:val="bullet"/>
      <w:lvlText w:val="•"/>
      <w:lvlJc w:val="left"/>
      <w:pPr>
        <w:ind w:left="7532" w:hanging="147"/>
      </w:pPr>
    </w:lvl>
    <w:lvl w:ilvl="8">
      <w:numFmt w:val="bullet"/>
      <w:lvlText w:val="•"/>
      <w:lvlJc w:val="left"/>
      <w:pPr>
        <w:ind w:left="8588" w:hanging="147"/>
      </w:pPr>
    </w:lvl>
  </w:abstractNum>
  <w:abstractNum w:abstractNumId="43">
    <w:nsid w:val="0000042D"/>
    <w:multiLevelType w:val="multilevel"/>
    <w:tmpl w:val="000008B0"/>
    <w:lvl w:ilvl="0">
      <w:numFmt w:val="bullet"/>
      <w:lvlText w:val="▪"/>
      <w:lvlJc w:val="left"/>
      <w:pPr>
        <w:ind w:left="144" w:hanging="144"/>
      </w:pPr>
      <w:rPr>
        <w:rFonts w:ascii="Times New Roman" w:hAnsi="Times New Roman"/>
        <w:b w:val="0"/>
        <w:w w:val="99"/>
        <w:sz w:val="24"/>
      </w:rPr>
    </w:lvl>
    <w:lvl w:ilvl="1">
      <w:numFmt w:val="bullet"/>
      <w:lvlText w:val="•"/>
      <w:lvlJc w:val="left"/>
      <w:pPr>
        <w:ind w:left="1151" w:hanging="144"/>
      </w:pPr>
    </w:lvl>
    <w:lvl w:ilvl="2">
      <w:numFmt w:val="bullet"/>
      <w:lvlText w:val="•"/>
      <w:lvlJc w:val="left"/>
      <w:pPr>
        <w:ind w:left="2163" w:hanging="144"/>
      </w:pPr>
    </w:lvl>
    <w:lvl w:ilvl="3">
      <w:numFmt w:val="bullet"/>
      <w:lvlText w:val="•"/>
      <w:lvlJc w:val="left"/>
      <w:pPr>
        <w:ind w:left="3175" w:hanging="144"/>
      </w:pPr>
    </w:lvl>
    <w:lvl w:ilvl="4">
      <w:numFmt w:val="bullet"/>
      <w:lvlText w:val="•"/>
      <w:lvlJc w:val="left"/>
      <w:pPr>
        <w:ind w:left="4187" w:hanging="144"/>
      </w:pPr>
    </w:lvl>
    <w:lvl w:ilvl="5">
      <w:numFmt w:val="bullet"/>
      <w:lvlText w:val="•"/>
      <w:lvlJc w:val="left"/>
      <w:pPr>
        <w:ind w:left="5198" w:hanging="144"/>
      </w:pPr>
    </w:lvl>
    <w:lvl w:ilvl="6">
      <w:numFmt w:val="bullet"/>
      <w:lvlText w:val="•"/>
      <w:lvlJc w:val="left"/>
      <w:pPr>
        <w:ind w:left="6210" w:hanging="144"/>
      </w:pPr>
    </w:lvl>
    <w:lvl w:ilvl="7">
      <w:numFmt w:val="bullet"/>
      <w:lvlText w:val="•"/>
      <w:lvlJc w:val="left"/>
      <w:pPr>
        <w:ind w:left="7222" w:hanging="144"/>
      </w:pPr>
    </w:lvl>
    <w:lvl w:ilvl="8">
      <w:numFmt w:val="bullet"/>
      <w:lvlText w:val="•"/>
      <w:lvlJc w:val="left"/>
      <w:pPr>
        <w:ind w:left="8234" w:hanging="144"/>
      </w:pPr>
    </w:lvl>
  </w:abstractNum>
  <w:abstractNum w:abstractNumId="44">
    <w:nsid w:val="0000042E"/>
    <w:multiLevelType w:val="multilevel"/>
    <w:tmpl w:val="000008B1"/>
    <w:lvl w:ilvl="0">
      <w:start w:val="37"/>
      <w:numFmt w:val="decimal"/>
      <w:lvlText w:val="%1"/>
      <w:lvlJc w:val="left"/>
      <w:pPr>
        <w:ind w:left="364" w:hanging="221"/>
      </w:pPr>
      <w:rPr>
        <w:rFonts w:ascii="Times New Roman" w:hAnsi="Times New Roman" w:cs="Times New Roman"/>
        <w:b w:val="0"/>
        <w:bCs w:val="0"/>
        <w:w w:val="98"/>
        <w:position w:val="11"/>
        <w:sz w:val="16"/>
        <w:szCs w:val="16"/>
      </w:rPr>
    </w:lvl>
    <w:lvl w:ilvl="1">
      <w:start w:val="1"/>
      <w:numFmt w:val="decimal"/>
      <w:lvlText w:val="%2."/>
      <w:lvlJc w:val="left"/>
      <w:pPr>
        <w:ind w:left="839" w:hanging="411"/>
      </w:pPr>
      <w:rPr>
        <w:rFonts w:ascii="Calibri" w:hAnsi="Calibri" w:cs="Calibri"/>
        <w:b w:val="0"/>
        <w:bCs w:val="0"/>
        <w:w w:val="100"/>
        <w:sz w:val="22"/>
        <w:szCs w:val="22"/>
      </w:rPr>
    </w:lvl>
    <w:lvl w:ilvl="2">
      <w:numFmt w:val="bullet"/>
      <w:lvlText w:val="•"/>
      <w:lvlJc w:val="left"/>
      <w:pPr>
        <w:ind w:left="1806" w:hanging="411"/>
      </w:pPr>
    </w:lvl>
    <w:lvl w:ilvl="3">
      <w:numFmt w:val="bullet"/>
      <w:lvlText w:val="•"/>
      <w:lvlJc w:val="left"/>
      <w:pPr>
        <w:ind w:left="2773" w:hanging="411"/>
      </w:pPr>
    </w:lvl>
    <w:lvl w:ilvl="4">
      <w:numFmt w:val="bullet"/>
      <w:lvlText w:val="•"/>
      <w:lvlJc w:val="left"/>
      <w:pPr>
        <w:ind w:left="3740" w:hanging="411"/>
      </w:pPr>
    </w:lvl>
    <w:lvl w:ilvl="5">
      <w:numFmt w:val="bullet"/>
      <w:lvlText w:val="•"/>
      <w:lvlJc w:val="left"/>
      <w:pPr>
        <w:ind w:left="4706" w:hanging="411"/>
      </w:pPr>
    </w:lvl>
    <w:lvl w:ilvl="6">
      <w:numFmt w:val="bullet"/>
      <w:lvlText w:val="•"/>
      <w:lvlJc w:val="left"/>
      <w:pPr>
        <w:ind w:left="5673" w:hanging="411"/>
      </w:pPr>
    </w:lvl>
    <w:lvl w:ilvl="7">
      <w:numFmt w:val="bullet"/>
      <w:lvlText w:val="•"/>
      <w:lvlJc w:val="left"/>
      <w:pPr>
        <w:ind w:left="6640" w:hanging="411"/>
      </w:pPr>
    </w:lvl>
    <w:lvl w:ilvl="8">
      <w:numFmt w:val="bullet"/>
      <w:lvlText w:val="•"/>
      <w:lvlJc w:val="left"/>
      <w:pPr>
        <w:ind w:left="7606" w:hanging="411"/>
      </w:pPr>
    </w:lvl>
  </w:abstractNum>
  <w:abstractNum w:abstractNumId="45">
    <w:nsid w:val="0000042F"/>
    <w:multiLevelType w:val="multilevel"/>
    <w:tmpl w:val="000008B2"/>
    <w:lvl w:ilvl="0">
      <w:numFmt w:val="bullet"/>
      <w:lvlText w:val="o"/>
      <w:lvlJc w:val="left"/>
      <w:pPr>
        <w:ind w:left="1701" w:hanging="346"/>
      </w:pPr>
      <w:rPr>
        <w:rFonts w:ascii="Times New Roman" w:hAnsi="Times New Roman"/>
        <w:b w:val="0"/>
        <w:w w:val="118"/>
        <w:sz w:val="23"/>
      </w:rPr>
    </w:lvl>
    <w:lvl w:ilvl="1">
      <w:numFmt w:val="bullet"/>
      <w:lvlText w:val="•"/>
      <w:lvlJc w:val="left"/>
      <w:pPr>
        <w:ind w:left="2742" w:hanging="346"/>
      </w:pPr>
    </w:lvl>
    <w:lvl w:ilvl="2">
      <w:numFmt w:val="bullet"/>
      <w:lvlText w:val="•"/>
      <w:lvlJc w:val="left"/>
      <w:pPr>
        <w:ind w:left="3784" w:hanging="346"/>
      </w:pPr>
    </w:lvl>
    <w:lvl w:ilvl="3">
      <w:numFmt w:val="bullet"/>
      <w:lvlText w:val="•"/>
      <w:lvlJc w:val="left"/>
      <w:pPr>
        <w:ind w:left="4826" w:hanging="346"/>
      </w:pPr>
    </w:lvl>
    <w:lvl w:ilvl="4">
      <w:numFmt w:val="bullet"/>
      <w:lvlText w:val="•"/>
      <w:lvlJc w:val="left"/>
      <w:pPr>
        <w:ind w:left="5868" w:hanging="346"/>
      </w:pPr>
    </w:lvl>
    <w:lvl w:ilvl="5">
      <w:numFmt w:val="bullet"/>
      <w:lvlText w:val="•"/>
      <w:lvlJc w:val="left"/>
      <w:pPr>
        <w:ind w:left="6910" w:hanging="346"/>
      </w:pPr>
    </w:lvl>
    <w:lvl w:ilvl="6">
      <w:numFmt w:val="bullet"/>
      <w:lvlText w:val="•"/>
      <w:lvlJc w:val="left"/>
      <w:pPr>
        <w:ind w:left="7952" w:hanging="346"/>
      </w:pPr>
    </w:lvl>
    <w:lvl w:ilvl="7">
      <w:numFmt w:val="bullet"/>
      <w:lvlText w:val="•"/>
      <w:lvlJc w:val="left"/>
      <w:pPr>
        <w:ind w:left="8994" w:hanging="346"/>
      </w:pPr>
    </w:lvl>
    <w:lvl w:ilvl="8">
      <w:numFmt w:val="bullet"/>
      <w:lvlText w:val="•"/>
      <w:lvlJc w:val="left"/>
      <w:pPr>
        <w:ind w:left="10036" w:hanging="346"/>
      </w:pPr>
    </w:lvl>
  </w:abstractNum>
  <w:abstractNum w:abstractNumId="46">
    <w:nsid w:val="00000430"/>
    <w:multiLevelType w:val="multilevel"/>
    <w:tmpl w:val="000008B3"/>
    <w:lvl w:ilvl="0">
      <w:numFmt w:val="bullet"/>
      <w:lvlText w:val="o"/>
      <w:lvlJc w:val="left"/>
      <w:pPr>
        <w:ind w:left="2030" w:hanging="346"/>
      </w:pPr>
      <w:rPr>
        <w:rFonts w:ascii="Times New Roman" w:hAnsi="Times New Roman"/>
        <w:b w:val="0"/>
        <w:w w:val="118"/>
        <w:sz w:val="23"/>
      </w:rPr>
    </w:lvl>
    <w:lvl w:ilvl="1">
      <w:numFmt w:val="bullet"/>
      <w:lvlText w:val="•"/>
      <w:lvlJc w:val="left"/>
      <w:pPr>
        <w:ind w:left="3042" w:hanging="346"/>
      </w:pPr>
    </w:lvl>
    <w:lvl w:ilvl="2">
      <w:numFmt w:val="bullet"/>
      <w:lvlText w:val="•"/>
      <w:lvlJc w:val="left"/>
      <w:pPr>
        <w:ind w:left="4044" w:hanging="346"/>
      </w:pPr>
    </w:lvl>
    <w:lvl w:ilvl="3">
      <w:numFmt w:val="bullet"/>
      <w:lvlText w:val="•"/>
      <w:lvlJc w:val="left"/>
      <w:pPr>
        <w:ind w:left="5046" w:hanging="346"/>
      </w:pPr>
    </w:lvl>
    <w:lvl w:ilvl="4">
      <w:numFmt w:val="bullet"/>
      <w:lvlText w:val="•"/>
      <w:lvlJc w:val="left"/>
      <w:pPr>
        <w:ind w:left="6048" w:hanging="346"/>
      </w:pPr>
    </w:lvl>
    <w:lvl w:ilvl="5">
      <w:numFmt w:val="bullet"/>
      <w:lvlText w:val="•"/>
      <w:lvlJc w:val="left"/>
      <w:pPr>
        <w:ind w:left="7050" w:hanging="346"/>
      </w:pPr>
    </w:lvl>
    <w:lvl w:ilvl="6">
      <w:numFmt w:val="bullet"/>
      <w:lvlText w:val="•"/>
      <w:lvlJc w:val="left"/>
      <w:pPr>
        <w:ind w:left="8052" w:hanging="346"/>
      </w:pPr>
    </w:lvl>
    <w:lvl w:ilvl="7">
      <w:numFmt w:val="bullet"/>
      <w:lvlText w:val="•"/>
      <w:lvlJc w:val="left"/>
      <w:pPr>
        <w:ind w:left="9054" w:hanging="346"/>
      </w:pPr>
    </w:lvl>
    <w:lvl w:ilvl="8">
      <w:numFmt w:val="bullet"/>
      <w:lvlText w:val="•"/>
      <w:lvlJc w:val="left"/>
      <w:pPr>
        <w:ind w:left="10056" w:hanging="346"/>
      </w:pPr>
    </w:lvl>
  </w:abstractNum>
  <w:abstractNum w:abstractNumId="47">
    <w:nsid w:val="00000431"/>
    <w:multiLevelType w:val="multilevel"/>
    <w:tmpl w:val="000008B4"/>
    <w:lvl w:ilvl="0">
      <w:start w:val="21"/>
      <w:numFmt w:val="upperLetter"/>
      <w:lvlText w:val="%1"/>
      <w:lvlJc w:val="left"/>
      <w:pPr>
        <w:ind w:left="119" w:hanging="447"/>
      </w:pPr>
      <w:rPr>
        <w:rFonts w:cs="Times New Roman"/>
      </w:rPr>
    </w:lvl>
    <w:lvl w:ilvl="1">
      <w:start w:val="19"/>
      <w:numFmt w:val="upperLetter"/>
      <w:lvlText w:val="%1.%2."/>
      <w:lvlJc w:val="left"/>
      <w:pPr>
        <w:ind w:left="119" w:hanging="447"/>
      </w:pPr>
      <w:rPr>
        <w:rFonts w:ascii="Constantia" w:hAnsi="Constantia" w:cs="Constantia"/>
        <w:b w:val="0"/>
        <w:bCs w:val="0"/>
        <w:spacing w:val="-1"/>
        <w:w w:val="100"/>
        <w:sz w:val="22"/>
        <w:szCs w:val="22"/>
      </w:rPr>
    </w:lvl>
    <w:lvl w:ilvl="2">
      <w:numFmt w:val="bullet"/>
      <w:lvlText w:val=""/>
      <w:lvlJc w:val="left"/>
      <w:pPr>
        <w:ind w:left="838" w:hanging="361"/>
      </w:pPr>
      <w:rPr>
        <w:rFonts w:ascii="Symbol" w:hAnsi="Symbol"/>
        <w:b w:val="0"/>
        <w:w w:val="100"/>
        <w:sz w:val="22"/>
      </w:rPr>
    </w:lvl>
    <w:lvl w:ilvl="3">
      <w:numFmt w:val="bullet"/>
      <w:lvlText w:val="o"/>
      <w:lvlJc w:val="left"/>
      <w:pPr>
        <w:ind w:left="1559" w:hanging="361"/>
      </w:pPr>
      <w:rPr>
        <w:rFonts w:ascii="Courier New" w:hAnsi="Courier New"/>
        <w:b w:val="0"/>
        <w:w w:val="100"/>
        <w:sz w:val="22"/>
      </w:rPr>
    </w:lvl>
    <w:lvl w:ilvl="4">
      <w:numFmt w:val="bullet"/>
      <w:lvlText w:val="•"/>
      <w:lvlJc w:val="left"/>
      <w:pPr>
        <w:ind w:left="3540" w:hanging="361"/>
      </w:pPr>
    </w:lvl>
    <w:lvl w:ilvl="5">
      <w:numFmt w:val="bullet"/>
      <w:lvlText w:val="•"/>
      <w:lvlJc w:val="left"/>
      <w:pPr>
        <w:ind w:left="4530" w:hanging="361"/>
      </w:pPr>
    </w:lvl>
    <w:lvl w:ilvl="6">
      <w:numFmt w:val="bullet"/>
      <w:lvlText w:val="•"/>
      <w:lvlJc w:val="left"/>
      <w:pPr>
        <w:ind w:left="5520" w:hanging="361"/>
      </w:pPr>
    </w:lvl>
    <w:lvl w:ilvl="7">
      <w:numFmt w:val="bullet"/>
      <w:lvlText w:val="•"/>
      <w:lvlJc w:val="left"/>
      <w:pPr>
        <w:ind w:left="6510" w:hanging="361"/>
      </w:pPr>
    </w:lvl>
    <w:lvl w:ilvl="8">
      <w:numFmt w:val="bullet"/>
      <w:lvlText w:val="•"/>
      <w:lvlJc w:val="left"/>
      <w:pPr>
        <w:ind w:left="7500" w:hanging="361"/>
      </w:pPr>
    </w:lvl>
  </w:abstractNum>
  <w:abstractNum w:abstractNumId="48">
    <w:nsid w:val="00000432"/>
    <w:multiLevelType w:val="multilevel"/>
    <w:tmpl w:val="000008B5"/>
    <w:lvl w:ilvl="0">
      <w:numFmt w:val="bullet"/>
      <w:lvlText w:val=""/>
      <w:lvlJc w:val="left"/>
      <w:pPr>
        <w:ind w:left="1026" w:hanging="360"/>
      </w:pPr>
      <w:rPr>
        <w:rFonts w:ascii="Symbol" w:hAnsi="Symbol"/>
        <w:b w:val="0"/>
        <w:w w:val="100"/>
      </w:rPr>
    </w:lvl>
    <w:lvl w:ilvl="1">
      <w:numFmt w:val="bullet"/>
      <w:lvlText w:val="•"/>
      <w:lvlJc w:val="left"/>
      <w:pPr>
        <w:ind w:left="1674" w:hanging="360"/>
      </w:pPr>
    </w:lvl>
    <w:lvl w:ilvl="2">
      <w:numFmt w:val="bullet"/>
      <w:lvlText w:val="•"/>
      <w:lvlJc w:val="left"/>
      <w:pPr>
        <w:ind w:left="2328" w:hanging="360"/>
      </w:pPr>
    </w:lvl>
    <w:lvl w:ilvl="3">
      <w:numFmt w:val="bullet"/>
      <w:lvlText w:val="•"/>
      <w:lvlJc w:val="left"/>
      <w:pPr>
        <w:ind w:left="2982" w:hanging="360"/>
      </w:pPr>
    </w:lvl>
    <w:lvl w:ilvl="4">
      <w:numFmt w:val="bullet"/>
      <w:lvlText w:val="•"/>
      <w:lvlJc w:val="left"/>
      <w:pPr>
        <w:ind w:left="3636" w:hanging="360"/>
      </w:pPr>
    </w:lvl>
    <w:lvl w:ilvl="5">
      <w:numFmt w:val="bullet"/>
      <w:lvlText w:val="•"/>
      <w:lvlJc w:val="left"/>
      <w:pPr>
        <w:ind w:left="4290" w:hanging="360"/>
      </w:pPr>
    </w:lvl>
    <w:lvl w:ilvl="6">
      <w:numFmt w:val="bullet"/>
      <w:lvlText w:val="•"/>
      <w:lvlJc w:val="left"/>
      <w:pPr>
        <w:ind w:left="4944" w:hanging="360"/>
      </w:pPr>
    </w:lvl>
    <w:lvl w:ilvl="7">
      <w:numFmt w:val="bullet"/>
      <w:lvlText w:val="•"/>
      <w:lvlJc w:val="left"/>
      <w:pPr>
        <w:ind w:left="5599" w:hanging="360"/>
      </w:pPr>
    </w:lvl>
    <w:lvl w:ilvl="8">
      <w:numFmt w:val="bullet"/>
      <w:lvlText w:val="•"/>
      <w:lvlJc w:val="left"/>
      <w:pPr>
        <w:ind w:left="6253" w:hanging="360"/>
      </w:pPr>
    </w:lvl>
  </w:abstractNum>
  <w:abstractNum w:abstractNumId="49">
    <w:nsid w:val="00000433"/>
    <w:multiLevelType w:val="multilevel"/>
    <w:tmpl w:val="000008B6"/>
    <w:lvl w:ilvl="0">
      <w:start w:val="1"/>
      <w:numFmt w:val="decimal"/>
      <w:lvlText w:val="%1)"/>
      <w:lvlJc w:val="left"/>
      <w:pPr>
        <w:ind w:left="480" w:hanging="360"/>
      </w:pPr>
      <w:rPr>
        <w:rFonts w:ascii="Times New Roman" w:hAnsi="Times New Roman" w:cs="Times New Roman"/>
        <w:b w:val="0"/>
        <w:bCs w:val="0"/>
        <w:i/>
        <w:iCs/>
        <w:spacing w:val="-25"/>
        <w:w w:val="99"/>
        <w:sz w:val="24"/>
        <w:szCs w:val="24"/>
      </w:rPr>
    </w:lvl>
    <w:lvl w:ilvl="1">
      <w:numFmt w:val="bullet"/>
      <w:lvlText w:val="•"/>
      <w:lvlJc w:val="left"/>
      <w:pPr>
        <w:ind w:left="1392" w:hanging="360"/>
      </w:pPr>
    </w:lvl>
    <w:lvl w:ilvl="2">
      <w:numFmt w:val="bullet"/>
      <w:lvlText w:val="•"/>
      <w:lvlJc w:val="left"/>
      <w:pPr>
        <w:ind w:left="2304" w:hanging="360"/>
      </w:pPr>
    </w:lvl>
    <w:lvl w:ilvl="3">
      <w:numFmt w:val="bullet"/>
      <w:lvlText w:val="•"/>
      <w:lvlJc w:val="left"/>
      <w:pPr>
        <w:ind w:left="3216" w:hanging="360"/>
      </w:pPr>
    </w:lvl>
    <w:lvl w:ilvl="4">
      <w:numFmt w:val="bullet"/>
      <w:lvlText w:val="•"/>
      <w:lvlJc w:val="left"/>
      <w:pPr>
        <w:ind w:left="4128" w:hanging="360"/>
      </w:pPr>
    </w:lvl>
    <w:lvl w:ilvl="5">
      <w:numFmt w:val="bullet"/>
      <w:lvlText w:val="•"/>
      <w:lvlJc w:val="left"/>
      <w:pPr>
        <w:ind w:left="5040" w:hanging="360"/>
      </w:pPr>
    </w:lvl>
    <w:lvl w:ilvl="6">
      <w:numFmt w:val="bullet"/>
      <w:lvlText w:val="•"/>
      <w:lvlJc w:val="left"/>
      <w:pPr>
        <w:ind w:left="5952" w:hanging="360"/>
      </w:pPr>
    </w:lvl>
    <w:lvl w:ilvl="7">
      <w:numFmt w:val="bullet"/>
      <w:lvlText w:val="•"/>
      <w:lvlJc w:val="left"/>
      <w:pPr>
        <w:ind w:left="6864" w:hanging="360"/>
      </w:pPr>
    </w:lvl>
    <w:lvl w:ilvl="8">
      <w:numFmt w:val="bullet"/>
      <w:lvlText w:val="•"/>
      <w:lvlJc w:val="left"/>
      <w:pPr>
        <w:ind w:left="7776" w:hanging="360"/>
      </w:pPr>
    </w:lvl>
  </w:abstractNum>
  <w:abstractNum w:abstractNumId="50">
    <w:nsid w:val="00000434"/>
    <w:multiLevelType w:val="multilevel"/>
    <w:tmpl w:val="000008B7"/>
    <w:lvl w:ilvl="0">
      <w:start w:val="1"/>
      <w:numFmt w:val="decimal"/>
      <w:lvlText w:val="%1."/>
      <w:lvlJc w:val="left"/>
      <w:pPr>
        <w:ind w:left="860" w:hanging="361"/>
      </w:pPr>
      <w:rPr>
        <w:rFonts w:ascii="Calibri" w:hAnsi="Calibri" w:cs="Calibri"/>
        <w:b w:val="0"/>
        <w:bCs w:val="0"/>
        <w:w w:val="100"/>
        <w:sz w:val="22"/>
        <w:szCs w:val="22"/>
      </w:rPr>
    </w:lvl>
    <w:lvl w:ilvl="1">
      <w:numFmt w:val="bullet"/>
      <w:lvlText w:val="•"/>
      <w:lvlJc w:val="left"/>
      <w:pPr>
        <w:ind w:left="1738" w:hanging="361"/>
      </w:pPr>
    </w:lvl>
    <w:lvl w:ilvl="2">
      <w:numFmt w:val="bullet"/>
      <w:lvlText w:val="•"/>
      <w:lvlJc w:val="left"/>
      <w:pPr>
        <w:ind w:left="2616" w:hanging="361"/>
      </w:pPr>
    </w:lvl>
    <w:lvl w:ilvl="3">
      <w:numFmt w:val="bullet"/>
      <w:lvlText w:val="•"/>
      <w:lvlJc w:val="left"/>
      <w:pPr>
        <w:ind w:left="3494" w:hanging="361"/>
      </w:pPr>
    </w:lvl>
    <w:lvl w:ilvl="4">
      <w:numFmt w:val="bullet"/>
      <w:lvlText w:val="•"/>
      <w:lvlJc w:val="left"/>
      <w:pPr>
        <w:ind w:left="4372" w:hanging="361"/>
      </w:pPr>
    </w:lvl>
    <w:lvl w:ilvl="5">
      <w:numFmt w:val="bullet"/>
      <w:lvlText w:val="•"/>
      <w:lvlJc w:val="left"/>
      <w:pPr>
        <w:ind w:left="5250" w:hanging="361"/>
      </w:pPr>
    </w:lvl>
    <w:lvl w:ilvl="6">
      <w:numFmt w:val="bullet"/>
      <w:lvlText w:val="•"/>
      <w:lvlJc w:val="left"/>
      <w:pPr>
        <w:ind w:left="6128" w:hanging="361"/>
      </w:pPr>
    </w:lvl>
    <w:lvl w:ilvl="7">
      <w:numFmt w:val="bullet"/>
      <w:lvlText w:val="•"/>
      <w:lvlJc w:val="left"/>
      <w:pPr>
        <w:ind w:left="7006" w:hanging="361"/>
      </w:pPr>
    </w:lvl>
    <w:lvl w:ilvl="8">
      <w:numFmt w:val="bullet"/>
      <w:lvlText w:val="•"/>
      <w:lvlJc w:val="left"/>
      <w:pPr>
        <w:ind w:left="7884" w:hanging="361"/>
      </w:pPr>
    </w:lvl>
  </w:abstractNum>
  <w:abstractNum w:abstractNumId="51">
    <w:nsid w:val="00000435"/>
    <w:multiLevelType w:val="multilevel"/>
    <w:tmpl w:val="000008B8"/>
    <w:lvl w:ilvl="0">
      <w:start w:val="1"/>
      <w:numFmt w:val="decimal"/>
      <w:lvlText w:val="%1"/>
      <w:lvlJc w:val="left"/>
      <w:pPr>
        <w:ind w:left="303" w:hanging="164"/>
      </w:pPr>
      <w:rPr>
        <w:rFonts w:ascii="Calibri" w:hAnsi="Calibri" w:cs="Calibri"/>
        <w:b/>
        <w:bCs/>
        <w:w w:val="100"/>
        <w:sz w:val="22"/>
        <w:szCs w:val="22"/>
      </w:rPr>
    </w:lvl>
    <w:lvl w:ilvl="1">
      <w:start w:val="1"/>
      <w:numFmt w:val="decimal"/>
      <w:lvlText w:val="%2."/>
      <w:lvlJc w:val="left"/>
      <w:pPr>
        <w:ind w:left="859" w:hanging="361"/>
      </w:pPr>
      <w:rPr>
        <w:rFonts w:ascii="Calibri" w:hAnsi="Calibri" w:cs="Calibri"/>
        <w:b w:val="0"/>
        <w:bCs w:val="0"/>
        <w:w w:val="100"/>
        <w:sz w:val="22"/>
        <w:szCs w:val="22"/>
      </w:rPr>
    </w:lvl>
    <w:lvl w:ilvl="2">
      <w:numFmt w:val="bullet"/>
      <w:lvlText w:val="•"/>
      <w:lvlJc w:val="left"/>
      <w:pPr>
        <w:ind w:left="860" w:hanging="361"/>
      </w:pPr>
    </w:lvl>
    <w:lvl w:ilvl="3">
      <w:numFmt w:val="bullet"/>
      <w:lvlText w:val="•"/>
      <w:lvlJc w:val="left"/>
      <w:pPr>
        <w:ind w:left="1957" w:hanging="361"/>
      </w:pPr>
    </w:lvl>
    <w:lvl w:ilvl="4">
      <w:numFmt w:val="bullet"/>
      <w:lvlText w:val="•"/>
      <w:lvlJc w:val="left"/>
      <w:pPr>
        <w:ind w:left="3055" w:hanging="361"/>
      </w:pPr>
    </w:lvl>
    <w:lvl w:ilvl="5">
      <w:numFmt w:val="bullet"/>
      <w:lvlText w:val="•"/>
      <w:lvlJc w:val="left"/>
      <w:pPr>
        <w:ind w:left="4152" w:hanging="361"/>
      </w:pPr>
    </w:lvl>
    <w:lvl w:ilvl="6">
      <w:numFmt w:val="bullet"/>
      <w:lvlText w:val="•"/>
      <w:lvlJc w:val="left"/>
      <w:pPr>
        <w:ind w:left="5250" w:hanging="361"/>
      </w:pPr>
    </w:lvl>
    <w:lvl w:ilvl="7">
      <w:numFmt w:val="bullet"/>
      <w:lvlText w:val="•"/>
      <w:lvlJc w:val="left"/>
      <w:pPr>
        <w:ind w:left="6347" w:hanging="361"/>
      </w:pPr>
    </w:lvl>
    <w:lvl w:ilvl="8">
      <w:numFmt w:val="bullet"/>
      <w:lvlText w:val="•"/>
      <w:lvlJc w:val="left"/>
      <w:pPr>
        <w:ind w:left="7445" w:hanging="361"/>
      </w:pPr>
    </w:lvl>
  </w:abstractNum>
  <w:abstractNum w:abstractNumId="52">
    <w:nsid w:val="00000436"/>
    <w:multiLevelType w:val="multilevel"/>
    <w:tmpl w:val="000008B9"/>
    <w:lvl w:ilvl="0">
      <w:numFmt w:val="bullet"/>
      <w:lvlText w:val="•"/>
      <w:lvlJc w:val="left"/>
      <w:pPr>
        <w:ind w:left="892" w:hanging="329"/>
      </w:pPr>
      <w:rPr>
        <w:rFonts w:ascii="Times New Roman" w:hAnsi="Times New Roman"/>
        <w:b w:val="0"/>
        <w:w w:val="150"/>
        <w:sz w:val="23"/>
      </w:rPr>
    </w:lvl>
    <w:lvl w:ilvl="1">
      <w:numFmt w:val="bullet"/>
      <w:lvlText w:val="•"/>
      <w:lvlJc w:val="left"/>
      <w:pPr>
        <w:ind w:left="1752" w:hanging="329"/>
      </w:pPr>
    </w:lvl>
    <w:lvl w:ilvl="2">
      <w:numFmt w:val="bullet"/>
      <w:lvlText w:val="•"/>
      <w:lvlJc w:val="left"/>
      <w:pPr>
        <w:ind w:left="2604" w:hanging="329"/>
      </w:pPr>
    </w:lvl>
    <w:lvl w:ilvl="3">
      <w:numFmt w:val="bullet"/>
      <w:lvlText w:val="•"/>
      <w:lvlJc w:val="left"/>
      <w:pPr>
        <w:ind w:left="3456" w:hanging="329"/>
      </w:pPr>
    </w:lvl>
    <w:lvl w:ilvl="4">
      <w:numFmt w:val="bullet"/>
      <w:lvlText w:val="•"/>
      <w:lvlJc w:val="left"/>
      <w:pPr>
        <w:ind w:left="4308" w:hanging="329"/>
      </w:pPr>
    </w:lvl>
    <w:lvl w:ilvl="5">
      <w:numFmt w:val="bullet"/>
      <w:lvlText w:val="•"/>
      <w:lvlJc w:val="left"/>
      <w:pPr>
        <w:ind w:left="5160" w:hanging="329"/>
      </w:pPr>
    </w:lvl>
    <w:lvl w:ilvl="6">
      <w:numFmt w:val="bullet"/>
      <w:lvlText w:val="•"/>
      <w:lvlJc w:val="left"/>
      <w:pPr>
        <w:ind w:left="6012" w:hanging="329"/>
      </w:pPr>
    </w:lvl>
    <w:lvl w:ilvl="7">
      <w:numFmt w:val="bullet"/>
      <w:lvlText w:val="•"/>
      <w:lvlJc w:val="left"/>
      <w:pPr>
        <w:ind w:left="6864" w:hanging="329"/>
      </w:pPr>
    </w:lvl>
    <w:lvl w:ilvl="8">
      <w:numFmt w:val="bullet"/>
      <w:lvlText w:val="•"/>
      <w:lvlJc w:val="left"/>
      <w:pPr>
        <w:ind w:left="7716" w:hanging="329"/>
      </w:pPr>
    </w:lvl>
  </w:abstractNum>
  <w:abstractNum w:abstractNumId="53">
    <w:nsid w:val="00000437"/>
    <w:multiLevelType w:val="multilevel"/>
    <w:tmpl w:val="000008BA"/>
    <w:lvl w:ilvl="0">
      <w:start w:val="1"/>
      <w:numFmt w:val="decimal"/>
      <w:lvlText w:val="%1."/>
      <w:lvlJc w:val="left"/>
      <w:pPr>
        <w:ind w:left="973" w:hanging="339"/>
      </w:pPr>
      <w:rPr>
        <w:rFonts w:ascii="Arial" w:hAnsi="Arial" w:cs="Arial"/>
        <w:b w:val="0"/>
        <w:bCs w:val="0"/>
        <w:w w:val="110"/>
        <w:sz w:val="20"/>
        <w:szCs w:val="20"/>
      </w:rPr>
    </w:lvl>
    <w:lvl w:ilvl="1">
      <w:start w:val="1"/>
      <w:numFmt w:val="lowerLetter"/>
      <w:lvlText w:val="%2."/>
      <w:lvlJc w:val="left"/>
      <w:pPr>
        <w:ind w:left="1519" w:hanging="346"/>
      </w:pPr>
      <w:rPr>
        <w:rFonts w:ascii="Arial" w:hAnsi="Arial" w:cs="Arial"/>
        <w:b w:val="0"/>
        <w:bCs w:val="0"/>
        <w:w w:val="98"/>
        <w:sz w:val="20"/>
        <w:szCs w:val="20"/>
      </w:rPr>
    </w:lvl>
    <w:lvl w:ilvl="2">
      <w:numFmt w:val="bullet"/>
      <w:lvlText w:val="•"/>
      <w:lvlJc w:val="left"/>
      <w:pPr>
        <w:ind w:left="1540" w:hanging="346"/>
      </w:pPr>
    </w:lvl>
    <w:lvl w:ilvl="3">
      <w:numFmt w:val="bullet"/>
      <w:lvlText w:val="•"/>
      <w:lvlJc w:val="left"/>
      <w:pPr>
        <w:ind w:left="2657" w:hanging="346"/>
      </w:pPr>
    </w:lvl>
    <w:lvl w:ilvl="4">
      <w:numFmt w:val="bullet"/>
      <w:lvlText w:val="•"/>
      <w:lvlJc w:val="left"/>
      <w:pPr>
        <w:ind w:left="3775" w:hanging="346"/>
      </w:pPr>
    </w:lvl>
    <w:lvl w:ilvl="5">
      <w:numFmt w:val="bullet"/>
      <w:lvlText w:val="•"/>
      <w:lvlJc w:val="left"/>
      <w:pPr>
        <w:ind w:left="4892" w:hanging="346"/>
      </w:pPr>
    </w:lvl>
    <w:lvl w:ilvl="6">
      <w:numFmt w:val="bullet"/>
      <w:lvlText w:val="•"/>
      <w:lvlJc w:val="left"/>
      <w:pPr>
        <w:ind w:left="6010" w:hanging="346"/>
      </w:pPr>
    </w:lvl>
    <w:lvl w:ilvl="7">
      <w:numFmt w:val="bullet"/>
      <w:lvlText w:val="•"/>
      <w:lvlJc w:val="left"/>
      <w:pPr>
        <w:ind w:left="7127" w:hanging="346"/>
      </w:pPr>
    </w:lvl>
    <w:lvl w:ilvl="8">
      <w:numFmt w:val="bullet"/>
      <w:lvlText w:val="•"/>
      <w:lvlJc w:val="left"/>
      <w:pPr>
        <w:ind w:left="8245" w:hanging="346"/>
      </w:pPr>
    </w:lvl>
  </w:abstractNum>
  <w:abstractNum w:abstractNumId="54">
    <w:nsid w:val="00000438"/>
    <w:multiLevelType w:val="multilevel"/>
    <w:tmpl w:val="000008BB"/>
    <w:lvl w:ilvl="0">
      <w:start w:val="4"/>
      <w:numFmt w:val="lowerLetter"/>
      <w:lvlText w:val="%1."/>
      <w:lvlJc w:val="left"/>
      <w:pPr>
        <w:ind w:left="1540" w:hanging="332"/>
      </w:pPr>
      <w:rPr>
        <w:rFonts w:ascii="Arial" w:hAnsi="Arial" w:cs="Arial"/>
        <w:b w:val="0"/>
        <w:bCs w:val="0"/>
        <w:w w:val="103"/>
        <w:sz w:val="20"/>
        <w:szCs w:val="20"/>
      </w:rPr>
    </w:lvl>
    <w:lvl w:ilvl="1">
      <w:numFmt w:val="bullet"/>
      <w:lvlText w:val="•"/>
      <w:lvlJc w:val="left"/>
      <w:pPr>
        <w:ind w:left="2436" w:hanging="332"/>
      </w:pPr>
    </w:lvl>
    <w:lvl w:ilvl="2">
      <w:numFmt w:val="bullet"/>
      <w:lvlText w:val="•"/>
      <w:lvlJc w:val="left"/>
      <w:pPr>
        <w:ind w:left="3332" w:hanging="332"/>
      </w:pPr>
    </w:lvl>
    <w:lvl w:ilvl="3">
      <w:numFmt w:val="bullet"/>
      <w:lvlText w:val="•"/>
      <w:lvlJc w:val="left"/>
      <w:pPr>
        <w:ind w:left="4228" w:hanging="332"/>
      </w:pPr>
    </w:lvl>
    <w:lvl w:ilvl="4">
      <w:numFmt w:val="bullet"/>
      <w:lvlText w:val="•"/>
      <w:lvlJc w:val="left"/>
      <w:pPr>
        <w:ind w:left="5124" w:hanging="332"/>
      </w:pPr>
    </w:lvl>
    <w:lvl w:ilvl="5">
      <w:numFmt w:val="bullet"/>
      <w:lvlText w:val="•"/>
      <w:lvlJc w:val="left"/>
      <w:pPr>
        <w:ind w:left="6020" w:hanging="332"/>
      </w:pPr>
    </w:lvl>
    <w:lvl w:ilvl="6">
      <w:numFmt w:val="bullet"/>
      <w:lvlText w:val="•"/>
      <w:lvlJc w:val="left"/>
      <w:pPr>
        <w:ind w:left="6916" w:hanging="332"/>
      </w:pPr>
    </w:lvl>
    <w:lvl w:ilvl="7">
      <w:numFmt w:val="bullet"/>
      <w:lvlText w:val="•"/>
      <w:lvlJc w:val="left"/>
      <w:pPr>
        <w:ind w:left="7812" w:hanging="332"/>
      </w:pPr>
    </w:lvl>
    <w:lvl w:ilvl="8">
      <w:numFmt w:val="bullet"/>
      <w:lvlText w:val="•"/>
      <w:lvlJc w:val="left"/>
      <w:pPr>
        <w:ind w:left="8708" w:hanging="332"/>
      </w:pPr>
    </w:lvl>
  </w:abstractNum>
  <w:abstractNum w:abstractNumId="55">
    <w:nsid w:val="00000439"/>
    <w:multiLevelType w:val="multilevel"/>
    <w:tmpl w:val="000008BC"/>
    <w:lvl w:ilvl="0">
      <w:start w:val="11"/>
      <w:numFmt w:val="decimal"/>
      <w:lvlText w:val="%1."/>
      <w:lvlJc w:val="left"/>
      <w:pPr>
        <w:ind w:left="1008" w:hanging="346"/>
      </w:pPr>
      <w:rPr>
        <w:rFonts w:ascii="Arial" w:hAnsi="Arial" w:cs="Arial"/>
        <w:b w:val="0"/>
        <w:bCs w:val="0"/>
        <w:w w:val="105"/>
        <w:sz w:val="20"/>
        <w:szCs w:val="20"/>
      </w:rPr>
    </w:lvl>
    <w:lvl w:ilvl="1">
      <w:numFmt w:val="bullet"/>
      <w:lvlText w:val="•"/>
      <w:lvlJc w:val="left"/>
      <w:pPr>
        <w:ind w:left="1950" w:hanging="346"/>
      </w:pPr>
    </w:lvl>
    <w:lvl w:ilvl="2">
      <w:numFmt w:val="bullet"/>
      <w:lvlText w:val="•"/>
      <w:lvlJc w:val="left"/>
      <w:pPr>
        <w:ind w:left="2900" w:hanging="346"/>
      </w:pPr>
    </w:lvl>
    <w:lvl w:ilvl="3">
      <w:numFmt w:val="bullet"/>
      <w:lvlText w:val="•"/>
      <w:lvlJc w:val="left"/>
      <w:pPr>
        <w:ind w:left="3850" w:hanging="346"/>
      </w:pPr>
    </w:lvl>
    <w:lvl w:ilvl="4">
      <w:numFmt w:val="bullet"/>
      <w:lvlText w:val="•"/>
      <w:lvlJc w:val="left"/>
      <w:pPr>
        <w:ind w:left="4800" w:hanging="346"/>
      </w:pPr>
    </w:lvl>
    <w:lvl w:ilvl="5">
      <w:numFmt w:val="bullet"/>
      <w:lvlText w:val="•"/>
      <w:lvlJc w:val="left"/>
      <w:pPr>
        <w:ind w:left="5750" w:hanging="346"/>
      </w:pPr>
    </w:lvl>
    <w:lvl w:ilvl="6">
      <w:numFmt w:val="bullet"/>
      <w:lvlText w:val="•"/>
      <w:lvlJc w:val="left"/>
      <w:pPr>
        <w:ind w:left="6700" w:hanging="346"/>
      </w:pPr>
    </w:lvl>
    <w:lvl w:ilvl="7">
      <w:numFmt w:val="bullet"/>
      <w:lvlText w:val="•"/>
      <w:lvlJc w:val="left"/>
      <w:pPr>
        <w:ind w:left="7650" w:hanging="346"/>
      </w:pPr>
    </w:lvl>
    <w:lvl w:ilvl="8">
      <w:numFmt w:val="bullet"/>
      <w:lvlText w:val="•"/>
      <w:lvlJc w:val="left"/>
      <w:pPr>
        <w:ind w:left="8600" w:hanging="346"/>
      </w:pPr>
    </w:lvl>
  </w:abstractNum>
  <w:abstractNum w:abstractNumId="56">
    <w:nsid w:val="0000043A"/>
    <w:multiLevelType w:val="multilevel"/>
    <w:tmpl w:val="000008BD"/>
    <w:lvl w:ilvl="0">
      <w:start w:val="2"/>
      <w:numFmt w:val="upperLetter"/>
      <w:lvlText w:val="%1"/>
      <w:lvlJc w:val="left"/>
      <w:pPr>
        <w:ind w:left="107" w:hanging="262"/>
      </w:pPr>
      <w:rPr>
        <w:rFonts w:cs="Times New Roman"/>
      </w:rPr>
    </w:lvl>
    <w:lvl w:ilvl="1">
      <w:start w:val="1"/>
      <w:numFmt w:val="upperRoman"/>
      <w:lvlText w:val="%1.%2."/>
      <w:lvlJc w:val="left"/>
      <w:pPr>
        <w:ind w:left="107" w:hanging="262"/>
      </w:pPr>
      <w:rPr>
        <w:rFonts w:ascii="Arial Narrow" w:hAnsi="Arial Narrow" w:cs="Arial Narrow"/>
        <w:b w:val="0"/>
        <w:bCs w:val="0"/>
        <w:spacing w:val="-1"/>
        <w:w w:val="98"/>
        <w:sz w:val="18"/>
        <w:szCs w:val="18"/>
      </w:rPr>
    </w:lvl>
    <w:lvl w:ilvl="2">
      <w:numFmt w:val="bullet"/>
      <w:lvlText w:val=""/>
      <w:lvlJc w:val="left"/>
      <w:pPr>
        <w:ind w:left="827" w:hanging="360"/>
      </w:pPr>
      <w:rPr>
        <w:rFonts w:ascii="Wingdings" w:hAnsi="Wingdings"/>
        <w:b w:val="0"/>
        <w:w w:val="99"/>
        <w:sz w:val="24"/>
      </w:rPr>
    </w:lvl>
    <w:lvl w:ilvl="3">
      <w:numFmt w:val="bullet"/>
      <w:lvlText w:val=""/>
      <w:lvlJc w:val="left"/>
      <w:pPr>
        <w:ind w:left="1611" w:hanging="360"/>
      </w:pPr>
      <w:rPr>
        <w:rFonts w:ascii="Wingdings" w:hAnsi="Wingdings"/>
        <w:b w:val="0"/>
        <w:w w:val="99"/>
        <w:sz w:val="24"/>
      </w:rPr>
    </w:lvl>
    <w:lvl w:ilvl="4">
      <w:numFmt w:val="bullet"/>
      <w:lvlText w:val="•"/>
      <w:lvlJc w:val="left"/>
      <w:pPr>
        <w:ind w:left="1189" w:hanging="360"/>
      </w:pPr>
    </w:lvl>
    <w:lvl w:ilvl="5">
      <w:numFmt w:val="bullet"/>
      <w:lvlText w:val="•"/>
      <w:lvlJc w:val="left"/>
      <w:pPr>
        <w:ind w:left="974" w:hanging="360"/>
      </w:pPr>
    </w:lvl>
    <w:lvl w:ilvl="6">
      <w:numFmt w:val="bullet"/>
      <w:lvlText w:val="•"/>
      <w:lvlJc w:val="left"/>
      <w:pPr>
        <w:ind w:left="759" w:hanging="360"/>
      </w:pPr>
    </w:lvl>
    <w:lvl w:ilvl="7">
      <w:numFmt w:val="bullet"/>
      <w:lvlText w:val="•"/>
      <w:lvlJc w:val="left"/>
      <w:pPr>
        <w:ind w:left="544" w:hanging="360"/>
      </w:pPr>
    </w:lvl>
    <w:lvl w:ilvl="8">
      <w:numFmt w:val="bullet"/>
      <w:lvlText w:val="•"/>
      <w:lvlJc w:val="left"/>
      <w:pPr>
        <w:ind w:left="329" w:hanging="360"/>
      </w:pPr>
    </w:lvl>
  </w:abstractNum>
  <w:abstractNum w:abstractNumId="57">
    <w:nsid w:val="0000043B"/>
    <w:multiLevelType w:val="multilevel"/>
    <w:tmpl w:val="000008BE"/>
    <w:lvl w:ilvl="0">
      <w:start w:val="1"/>
      <w:numFmt w:val="decimal"/>
      <w:lvlText w:val="%1."/>
      <w:lvlJc w:val="left"/>
      <w:pPr>
        <w:ind w:left="460" w:hanging="394"/>
      </w:pPr>
      <w:rPr>
        <w:rFonts w:ascii="Calibri" w:hAnsi="Calibri" w:cs="Calibri"/>
        <w:b w:val="0"/>
        <w:bCs w:val="0"/>
        <w:spacing w:val="-4"/>
        <w:w w:val="100"/>
        <w:sz w:val="24"/>
        <w:szCs w:val="24"/>
      </w:rPr>
    </w:lvl>
    <w:lvl w:ilvl="1">
      <w:numFmt w:val="bullet"/>
      <w:lvlText w:val="•"/>
      <w:lvlJc w:val="left"/>
      <w:pPr>
        <w:ind w:left="1364" w:hanging="394"/>
      </w:pPr>
    </w:lvl>
    <w:lvl w:ilvl="2">
      <w:numFmt w:val="bullet"/>
      <w:lvlText w:val="•"/>
      <w:lvlJc w:val="left"/>
      <w:pPr>
        <w:ind w:left="2268" w:hanging="394"/>
      </w:pPr>
    </w:lvl>
    <w:lvl w:ilvl="3">
      <w:numFmt w:val="bullet"/>
      <w:lvlText w:val="•"/>
      <w:lvlJc w:val="left"/>
      <w:pPr>
        <w:ind w:left="3172" w:hanging="394"/>
      </w:pPr>
    </w:lvl>
    <w:lvl w:ilvl="4">
      <w:numFmt w:val="bullet"/>
      <w:lvlText w:val="•"/>
      <w:lvlJc w:val="left"/>
      <w:pPr>
        <w:ind w:left="4076" w:hanging="394"/>
      </w:pPr>
    </w:lvl>
    <w:lvl w:ilvl="5">
      <w:numFmt w:val="bullet"/>
      <w:lvlText w:val="•"/>
      <w:lvlJc w:val="left"/>
      <w:pPr>
        <w:ind w:left="4980" w:hanging="394"/>
      </w:pPr>
    </w:lvl>
    <w:lvl w:ilvl="6">
      <w:numFmt w:val="bullet"/>
      <w:lvlText w:val="•"/>
      <w:lvlJc w:val="left"/>
      <w:pPr>
        <w:ind w:left="5884" w:hanging="394"/>
      </w:pPr>
    </w:lvl>
    <w:lvl w:ilvl="7">
      <w:numFmt w:val="bullet"/>
      <w:lvlText w:val="•"/>
      <w:lvlJc w:val="left"/>
      <w:pPr>
        <w:ind w:left="6788" w:hanging="394"/>
      </w:pPr>
    </w:lvl>
    <w:lvl w:ilvl="8">
      <w:numFmt w:val="bullet"/>
      <w:lvlText w:val="•"/>
      <w:lvlJc w:val="left"/>
      <w:pPr>
        <w:ind w:left="7692" w:hanging="394"/>
      </w:pPr>
    </w:lvl>
  </w:abstractNum>
  <w:abstractNum w:abstractNumId="58">
    <w:nsid w:val="0000043C"/>
    <w:multiLevelType w:val="multilevel"/>
    <w:tmpl w:val="000008BF"/>
    <w:lvl w:ilvl="0">
      <w:start w:val="5"/>
      <w:numFmt w:val="upperLetter"/>
      <w:lvlText w:val="%1."/>
      <w:lvlJc w:val="left"/>
      <w:pPr>
        <w:ind w:left="283" w:hanging="164"/>
      </w:pPr>
      <w:rPr>
        <w:rFonts w:ascii="Georgia" w:hAnsi="Georgia" w:cs="Georgia"/>
        <w:b w:val="0"/>
        <w:bCs w:val="0"/>
        <w:spacing w:val="-1"/>
        <w:w w:val="97"/>
        <w:sz w:val="14"/>
        <w:szCs w:val="14"/>
      </w:rPr>
    </w:lvl>
    <w:lvl w:ilvl="1">
      <w:numFmt w:val="bullet"/>
      <w:lvlText w:val=""/>
      <w:lvlJc w:val="left"/>
      <w:pPr>
        <w:ind w:left="1200" w:hanging="360"/>
      </w:pPr>
      <w:rPr>
        <w:rFonts w:ascii="Symbol" w:hAnsi="Symbol"/>
        <w:b w:val="0"/>
        <w:w w:val="100"/>
        <w:sz w:val="24"/>
      </w:rPr>
    </w:lvl>
    <w:lvl w:ilvl="2">
      <w:numFmt w:val="bullet"/>
      <w:lvlText w:val="•"/>
      <w:lvlJc w:val="left"/>
      <w:pPr>
        <w:ind w:left="1253" w:hanging="360"/>
      </w:pPr>
    </w:lvl>
    <w:lvl w:ilvl="3">
      <w:numFmt w:val="bullet"/>
      <w:lvlText w:val="•"/>
      <w:lvlJc w:val="left"/>
      <w:pPr>
        <w:ind w:left="1306" w:hanging="360"/>
      </w:pPr>
    </w:lvl>
    <w:lvl w:ilvl="4">
      <w:numFmt w:val="bullet"/>
      <w:lvlText w:val="•"/>
      <w:lvlJc w:val="left"/>
      <w:pPr>
        <w:ind w:left="1360" w:hanging="360"/>
      </w:pPr>
    </w:lvl>
    <w:lvl w:ilvl="5">
      <w:numFmt w:val="bullet"/>
      <w:lvlText w:val="•"/>
      <w:lvlJc w:val="left"/>
      <w:pPr>
        <w:ind w:left="1413" w:hanging="360"/>
      </w:pPr>
    </w:lvl>
    <w:lvl w:ilvl="6">
      <w:numFmt w:val="bullet"/>
      <w:lvlText w:val="•"/>
      <w:lvlJc w:val="left"/>
      <w:pPr>
        <w:ind w:left="1467" w:hanging="360"/>
      </w:pPr>
    </w:lvl>
    <w:lvl w:ilvl="7">
      <w:numFmt w:val="bullet"/>
      <w:lvlText w:val="•"/>
      <w:lvlJc w:val="left"/>
      <w:pPr>
        <w:ind w:left="1520" w:hanging="360"/>
      </w:pPr>
    </w:lvl>
    <w:lvl w:ilvl="8">
      <w:numFmt w:val="bullet"/>
      <w:lvlText w:val="•"/>
      <w:lvlJc w:val="left"/>
      <w:pPr>
        <w:ind w:left="1574" w:hanging="360"/>
      </w:pPr>
    </w:lvl>
  </w:abstractNum>
  <w:abstractNum w:abstractNumId="59">
    <w:nsid w:val="0000043D"/>
    <w:multiLevelType w:val="multilevel"/>
    <w:tmpl w:val="000008C0"/>
    <w:lvl w:ilvl="0">
      <w:start w:val="1"/>
      <w:numFmt w:val="decimal"/>
      <w:lvlText w:val="%1."/>
      <w:lvlJc w:val="left"/>
      <w:pPr>
        <w:ind w:left="480" w:hanging="360"/>
      </w:pPr>
      <w:rPr>
        <w:rFonts w:ascii="Times New Roman" w:hAnsi="Times New Roman" w:cs="Times New Roman"/>
        <w:b w:val="0"/>
        <w:bCs w:val="0"/>
        <w:spacing w:val="-12"/>
        <w:w w:val="99"/>
        <w:sz w:val="24"/>
        <w:szCs w:val="24"/>
      </w:rPr>
    </w:lvl>
    <w:lvl w:ilvl="1">
      <w:numFmt w:val="bullet"/>
      <w:lvlText w:val="•"/>
      <w:lvlJc w:val="left"/>
      <w:pPr>
        <w:ind w:left="1422" w:hanging="360"/>
      </w:pPr>
    </w:lvl>
    <w:lvl w:ilvl="2">
      <w:numFmt w:val="bullet"/>
      <w:lvlText w:val="•"/>
      <w:lvlJc w:val="left"/>
      <w:pPr>
        <w:ind w:left="2364" w:hanging="360"/>
      </w:pPr>
    </w:lvl>
    <w:lvl w:ilvl="3">
      <w:numFmt w:val="bullet"/>
      <w:lvlText w:val="•"/>
      <w:lvlJc w:val="left"/>
      <w:pPr>
        <w:ind w:left="3306" w:hanging="360"/>
      </w:pPr>
    </w:lvl>
    <w:lvl w:ilvl="4">
      <w:numFmt w:val="bullet"/>
      <w:lvlText w:val="•"/>
      <w:lvlJc w:val="left"/>
      <w:pPr>
        <w:ind w:left="4248" w:hanging="360"/>
      </w:pPr>
    </w:lvl>
    <w:lvl w:ilvl="5">
      <w:numFmt w:val="bullet"/>
      <w:lvlText w:val="•"/>
      <w:lvlJc w:val="left"/>
      <w:pPr>
        <w:ind w:left="5190" w:hanging="360"/>
      </w:pPr>
    </w:lvl>
    <w:lvl w:ilvl="6">
      <w:numFmt w:val="bullet"/>
      <w:lvlText w:val="•"/>
      <w:lvlJc w:val="left"/>
      <w:pPr>
        <w:ind w:left="6132" w:hanging="360"/>
      </w:pPr>
    </w:lvl>
    <w:lvl w:ilvl="7">
      <w:numFmt w:val="bullet"/>
      <w:lvlText w:val="•"/>
      <w:lvlJc w:val="left"/>
      <w:pPr>
        <w:ind w:left="7074" w:hanging="360"/>
      </w:pPr>
    </w:lvl>
    <w:lvl w:ilvl="8">
      <w:numFmt w:val="bullet"/>
      <w:lvlText w:val="•"/>
      <w:lvlJc w:val="left"/>
      <w:pPr>
        <w:ind w:left="8016" w:hanging="360"/>
      </w:pPr>
    </w:lvl>
  </w:abstractNum>
  <w:abstractNum w:abstractNumId="60">
    <w:nsid w:val="0000043E"/>
    <w:multiLevelType w:val="multilevel"/>
    <w:tmpl w:val="000008C1"/>
    <w:lvl w:ilvl="0">
      <w:start w:val="1"/>
      <w:numFmt w:val="decimal"/>
      <w:lvlText w:val="%1)"/>
      <w:lvlJc w:val="left"/>
      <w:pPr>
        <w:ind w:left="120" w:hanging="540"/>
      </w:pPr>
      <w:rPr>
        <w:rFonts w:ascii="Calibri" w:hAnsi="Calibri" w:cs="Calibri"/>
        <w:b w:val="0"/>
        <w:bCs w:val="0"/>
        <w:spacing w:val="-4"/>
        <w:w w:val="100"/>
        <w:sz w:val="24"/>
        <w:szCs w:val="24"/>
      </w:rPr>
    </w:lvl>
    <w:lvl w:ilvl="1">
      <w:numFmt w:val="bullet"/>
      <w:lvlText w:val="•"/>
      <w:lvlJc w:val="left"/>
      <w:pPr>
        <w:ind w:left="1084" w:hanging="540"/>
      </w:pPr>
    </w:lvl>
    <w:lvl w:ilvl="2">
      <w:numFmt w:val="bullet"/>
      <w:lvlText w:val="•"/>
      <w:lvlJc w:val="left"/>
      <w:pPr>
        <w:ind w:left="2048" w:hanging="540"/>
      </w:pPr>
    </w:lvl>
    <w:lvl w:ilvl="3">
      <w:numFmt w:val="bullet"/>
      <w:lvlText w:val="•"/>
      <w:lvlJc w:val="left"/>
      <w:pPr>
        <w:ind w:left="3012" w:hanging="540"/>
      </w:pPr>
    </w:lvl>
    <w:lvl w:ilvl="4">
      <w:numFmt w:val="bullet"/>
      <w:lvlText w:val="•"/>
      <w:lvlJc w:val="left"/>
      <w:pPr>
        <w:ind w:left="3976" w:hanging="540"/>
      </w:pPr>
    </w:lvl>
    <w:lvl w:ilvl="5">
      <w:numFmt w:val="bullet"/>
      <w:lvlText w:val="•"/>
      <w:lvlJc w:val="left"/>
      <w:pPr>
        <w:ind w:left="4940" w:hanging="540"/>
      </w:pPr>
    </w:lvl>
    <w:lvl w:ilvl="6">
      <w:numFmt w:val="bullet"/>
      <w:lvlText w:val="•"/>
      <w:lvlJc w:val="left"/>
      <w:pPr>
        <w:ind w:left="5904" w:hanging="540"/>
      </w:pPr>
    </w:lvl>
    <w:lvl w:ilvl="7">
      <w:numFmt w:val="bullet"/>
      <w:lvlText w:val="•"/>
      <w:lvlJc w:val="left"/>
      <w:pPr>
        <w:ind w:left="6868" w:hanging="540"/>
      </w:pPr>
    </w:lvl>
    <w:lvl w:ilvl="8">
      <w:numFmt w:val="bullet"/>
      <w:lvlText w:val="•"/>
      <w:lvlJc w:val="left"/>
      <w:pPr>
        <w:ind w:left="7832" w:hanging="540"/>
      </w:pPr>
    </w:lvl>
  </w:abstractNum>
  <w:abstractNum w:abstractNumId="61">
    <w:nsid w:val="0000043F"/>
    <w:multiLevelType w:val="multilevel"/>
    <w:tmpl w:val="000008C2"/>
    <w:lvl w:ilvl="0">
      <w:start w:val="1"/>
      <w:numFmt w:val="decimal"/>
      <w:lvlText w:val="%1."/>
      <w:lvlJc w:val="left"/>
      <w:pPr>
        <w:ind w:left="839" w:hanging="361"/>
      </w:pPr>
      <w:rPr>
        <w:rFonts w:ascii="Calibri" w:hAnsi="Calibri" w:cs="Calibri"/>
        <w:b w:val="0"/>
        <w:bCs w:val="0"/>
        <w:w w:val="100"/>
        <w:sz w:val="22"/>
        <w:szCs w:val="22"/>
      </w:rPr>
    </w:lvl>
    <w:lvl w:ilvl="1">
      <w:numFmt w:val="bullet"/>
      <w:lvlText w:val="•"/>
      <w:lvlJc w:val="left"/>
      <w:pPr>
        <w:ind w:left="1708" w:hanging="361"/>
      </w:pPr>
    </w:lvl>
    <w:lvl w:ilvl="2">
      <w:numFmt w:val="bullet"/>
      <w:lvlText w:val="•"/>
      <w:lvlJc w:val="left"/>
      <w:pPr>
        <w:ind w:left="2576" w:hanging="361"/>
      </w:pPr>
    </w:lvl>
    <w:lvl w:ilvl="3">
      <w:numFmt w:val="bullet"/>
      <w:lvlText w:val="•"/>
      <w:lvlJc w:val="left"/>
      <w:pPr>
        <w:ind w:left="3444" w:hanging="361"/>
      </w:pPr>
    </w:lvl>
    <w:lvl w:ilvl="4">
      <w:numFmt w:val="bullet"/>
      <w:lvlText w:val="•"/>
      <w:lvlJc w:val="left"/>
      <w:pPr>
        <w:ind w:left="4312" w:hanging="361"/>
      </w:pPr>
    </w:lvl>
    <w:lvl w:ilvl="5">
      <w:numFmt w:val="bullet"/>
      <w:lvlText w:val="•"/>
      <w:lvlJc w:val="left"/>
      <w:pPr>
        <w:ind w:left="5180" w:hanging="361"/>
      </w:pPr>
    </w:lvl>
    <w:lvl w:ilvl="6">
      <w:numFmt w:val="bullet"/>
      <w:lvlText w:val="•"/>
      <w:lvlJc w:val="left"/>
      <w:pPr>
        <w:ind w:left="6048" w:hanging="361"/>
      </w:pPr>
    </w:lvl>
    <w:lvl w:ilvl="7">
      <w:numFmt w:val="bullet"/>
      <w:lvlText w:val="•"/>
      <w:lvlJc w:val="left"/>
      <w:pPr>
        <w:ind w:left="6916" w:hanging="361"/>
      </w:pPr>
    </w:lvl>
    <w:lvl w:ilvl="8">
      <w:numFmt w:val="bullet"/>
      <w:lvlText w:val="•"/>
      <w:lvlJc w:val="left"/>
      <w:pPr>
        <w:ind w:left="7784" w:hanging="361"/>
      </w:pPr>
    </w:lvl>
  </w:abstractNum>
  <w:abstractNum w:abstractNumId="62">
    <w:nsid w:val="00000440"/>
    <w:multiLevelType w:val="multilevel"/>
    <w:tmpl w:val="000008C3"/>
    <w:lvl w:ilvl="0">
      <w:start w:val="8"/>
      <w:numFmt w:val="decimal"/>
      <w:lvlText w:val="%1"/>
      <w:lvlJc w:val="left"/>
      <w:pPr>
        <w:ind w:left="659" w:hanging="540"/>
      </w:pPr>
      <w:rPr>
        <w:rFonts w:cs="Times New Roman"/>
      </w:rPr>
    </w:lvl>
    <w:lvl w:ilvl="1">
      <w:start w:val="3"/>
      <w:numFmt w:val="decimal"/>
      <w:lvlText w:val="%1.%2"/>
      <w:lvlJc w:val="left"/>
      <w:pPr>
        <w:ind w:left="659" w:hanging="540"/>
      </w:pPr>
      <w:rPr>
        <w:rFonts w:cs="Times New Roman"/>
      </w:rPr>
    </w:lvl>
    <w:lvl w:ilvl="2">
      <w:start w:val="1"/>
      <w:numFmt w:val="decimal"/>
      <w:lvlText w:val="%1.%2.%3"/>
      <w:lvlJc w:val="left"/>
      <w:pPr>
        <w:ind w:left="659" w:hanging="540"/>
      </w:pPr>
      <w:rPr>
        <w:rFonts w:ascii="Cambria" w:hAnsi="Cambria" w:cs="Cambria"/>
        <w:b/>
        <w:bCs/>
        <w:spacing w:val="-2"/>
        <w:w w:val="100"/>
        <w:sz w:val="22"/>
        <w:szCs w:val="22"/>
      </w:rPr>
    </w:lvl>
    <w:lvl w:ilvl="3">
      <w:numFmt w:val="bullet"/>
      <w:lvlText w:val="•"/>
      <w:lvlJc w:val="left"/>
      <w:pPr>
        <w:ind w:left="3336" w:hanging="540"/>
      </w:pPr>
    </w:lvl>
    <w:lvl w:ilvl="4">
      <w:numFmt w:val="bullet"/>
      <w:lvlText w:val="•"/>
      <w:lvlJc w:val="left"/>
      <w:pPr>
        <w:ind w:left="4228" w:hanging="540"/>
      </w:pPr>
    </w:lvl>
    <w:lvl w:ilvl="5">
      <w:numFmt w:val="bullet"/>
      <w:lvlText w:val="•"/>
      <w:lvlJc w:val="left"/>
      <w:pPr>
        <w:ind w:left="5120" w:hanging="540"/>
      </w:pPr>
    </w:lvl>
    <w:lvl w:ilvl="6">
      <w:numFmt w:val="bullet"/>
      <w:lvlText w:val="•"/>
      <w:lvlJc w:val="left"/>
      <w:pPr>
        <w:ind w:left="6012" w:hanging="540"/>
      </w:pPr>
    </w:lvl>
    <w:lvl w:ilvl="7">
      <w:numFmt w:val="bullet"/>
      <w:lvlText w:val="•"/>
      <w:lvlJc w:val="left"/>
      <w:pPr>
        <w:ind w:left="6904" w:hanging="540"/>
      </w:pPr>
    </w:lvl>
    <w:lvl w:ilvl="8">
      <w:numFmt w:val="bullet"/>
      <w:lvlText w:val="•"/>
      <w:lvlJc w:val="left"/>
      <w:pPr>
        <w:ind w:left="7796" w:hanging="540"/>
      </w:pPr>
    </w:lvl>
  </w:abstractNum>
  <w:abstractNum w:abstractNumId="63">
    <w:nsid w:val="00000441"/>
    <w:multiLevelType w:val="multilevel"/>
    <w:tmpl w:val="000008C4"/>
    <w:lvl w:ilvl="0">
      <w:start w:val="8"/>
      <w:numFmt w:val="decimal"/>
      <w:lvlText w:val="%1"/>
      <w:lvlJc w:val="left"/>
      <w:pPr>
        <w:ind w:left="120" w:hanging="425"/>
      </w:pPr>
      <w:rPr>
        <w:rFonts w:cs="Times New Roman"/>
      </w:rPr>
    </w:lvl>
    <w:lvl w:ilvl="1">
      <w:start w:val="4"/>
      <w:numFmt w:val="decimal"/>
      <w:lvlText w:val="%1.%2"/>
      <w:lvlJc w:val="left"/>
      <w:pPr>
        <w:ind w:left="120" w:hanging="425"/>
      </w:pPr>
      <w:rPr>
        <w:rFonts w:ascii="Cambria" w:hAnsi="Cambria" w:cs="Cambria"/>
        <w:b/>
        <w:bCs/>
        <w:spacing w:val="-1"/>
        <w:w w:val="99"/>
        <w:sz w:val="26"/>
        <w:szCs w:val="26"/>
      </w:rPr>
    </w:lvl>
    <w:lvl w:ilvl="2">
      <w:numFmt w:val="bullet"/>
      <w:lvlText w:val="•"/>
      <w:lvlJc w:val="left"/>
      <w:pPr>
        <w:ind w:left="2012" w:hanging="425"/>
      </w:pPr>
    </w:lvl>
    <w:lvl w:ilvl="3">
      <w:numFmt w:val="bullet"/>
      <w:lvlText w:val="•"/>
      <w:lvlJc w:val="left"/>
      <w:pPr>
        <w:ind w:left="2958" w:hanging="425"/>
      </w:pPr>
    </w:lvl>
    <w:lvl w:ilvl="4">
      <w:numFmt w:val="bullet"/>
      <w:lvlText w:val="•"/>
      <w:lvlJc w:val="left"/>
      <w:pPr>
        <w:ind w:left="3904" w:hanging="425"/>
      </w:pPr>
    </w:lvl>
    <w:lvl w:ilvl="5">
      <w:numFmt w:val="bullet"/>
      <w:lvlText w:val="•"/>
      <w:lvlJc w:val="left"/>
      <w:pPr>
        <w:ind w:left="4850" w:hanging="425"/>
      </w:pPr>
    </w:lvl>
    <w:lvl w:ilvl="6">
      <w:numFmt w:val="bullet"/>
      <w:lvlText w:val="•"/>
      <w:lvlJc w:val="left"/>
      <w:pPr>
        <w:ind w:left="5796" w:hanging="425"/>
      </w:pPr>
    </w:lvl>
    <w:lvl w:ilvl="7">
      <w:numFmt w:val="bullet"/>
      <w:lvlText w:val="•"/>
      <w:lvlJc w:val="left"/>
      <w:pPr>
        <w:ind w:left="6742" w:hanging="425"/>
      </w:pPr>
    </w:lvl>
    <w:lvl w:ilvl="8">
      <w:numFmt w:val="bullet"/>
      <w:lvlText w:val="•"/>
      <w:lvlJc w:val="left"/>
      <w:pPr>
        <w:ind w:left="7688" w:hanging="425"/>
      </w:pPr>
    </w:lvl>
  </w:abstractNum>
  <w:abstractNum w:abstractNumId="64">
    <w:nsid w:val="00000442"/>
    <w:multiLevelType w:val="multilevel"/>
    <w:tmpl w:val="000008C5"/>
    <w:lvl w:ilvl="0">
      <w:start w:val="12"/>
      <w:numFmt w:val="decimal"/>
      <w:lvlText w:val="%1-"/>
      <w:lvlJc w:val="left"/>
      <w:pPr>
        <w:ind w:left="120" w:hanging="322"/>
      </w:pPr>
      <w:rPr>
        <w:rFonts w:ascii="Times New Roman" w:hAnsi="Times New Roman" w:cs="Times New Roman"/>
        <w:b/>
        <w:bCs/>
        <w:w w:val="100"/>
        <w:sz w:val="24"/>
        <w:szCs w:val="24"/>
      </w:rPr>
    </w:lvl>
    <w:lvl w:ilvl="1">
      <w:start w:val="1"/>
      <w:numFmt w:val="decimal"/>
      <w:lvlText w:val="%2)"/>
      <w:lvlJc w:val="left"/>
      <w:pPr>
        <w:ind w:left="2159" w:hanging="360"/>
      </w:pPr>
      <w:rPr>
        <w:rFonts w:ascii="Calibri" w:hAnsi="Calibri" w:cs="Calibri"/>
        <w:b/>
        <w:bCs/>
        <w:w w:val="100"/>
        <w:sz w:val="22"/>
        <w:szCs w:val="22"/>
      </w:rPr>
    </w:lvl>
    <w:lvl w:ilvl="2">
      <w:start w:val="1"/>
      <w:numFmt w:val="decimal"/>
      <w:lvlText w:val="%3."/>
      <w:lvlJc w:val="left"/>
      <w:pPr>
        <w:ind w:left="1440" w:hanging="360"/>
      </w:pPr>
      <w:rPr>
        <w:rFonts w:ascii="Times New Roman" w:hAnsi="Times New Roman" w:cs="Times New Roman"/>
        <w:b w:val="0"/>
        <w:bCs w:val="0"/>
        <w:spacing w:val="-12"/>
        <w:w w:val="99"/>
        <w:sz w:val="24"/>
        <w:szCs w:val="24"/>
      </w:rPr>
    </w:lvl>
    <w:lvl w:ilvl="3">
      <w:numFmt w:val="bullet"/>
      <w:lvlText w:val="•"/>
      <w:lvlJc w:val="left"/>
      <w:pPr>
        <w:ind w:left="3090" w:hanging="360"/>
      </w:pPr>
    </w:lvl>
    <w:lvl w:ilvl="4">
      <w:numFmt w:val="bullet"/>
      <w:lvlText w:val="•"/>
      <w:lvlJc w:val="left"/>
      <w:pPr>
        <w:ind w:left="4020" w:hanging="360"/>
      </w:pPr>
    </w:lvl>
    <w:lvl w:ilvl="5">
      <w:numFmt w:val="bullet"/>
      <w:lvlText w:val="•"/>
      <w:lvlJc w:val="left"/>
      <w:pPr>
        <w:ind w:left="4950" w:hanging="360"/>
      </w:pPr>
    </w:lvl>
    <w:lvl w:ilvl="6">
      <w:numFmt w:val="bullet"/>
      <w:lvlText w:val="•"/>
      <w:lvlJc w:val="left"/>
      <w:pPr>
        <w:ind w:left="5880" w:hanging="360"/>
      </w:pPr>
    </w:lvl>
    <w:lvl w:ilvl="7">
      <w:numFmt w:val="bullet"/>
      <w:lvlText w:val="•"/>
      <w:lvlJc w:val="left"/>
      <w:pPr>
        <w:ind w:left="6810" w:hanging="360"/>
      </w:pPr>
    </w:lvl>
    <w:lvl w:ilvl="8">
      <w:numFmt w:val="bullet"/>
      <w:lvlText w:val="•"/>
      <w:lvlJc w:val="left"/>
      <w:pPr>
        <w:ind w:left="7740" w:hanging="360"/>
      </w:pPr>
    </w:lvl>
  </w:abstractNum>
  <w:abstractNum w:abstractNumId="65">
    <w:nsid w:val="00000443"/>
    <w:multiLevelType w:val="multilevel"/>
    <w:tmpl w:val="000008C6"/>
    <w:lvl w:ilvl="0">
      <w:numFmt w:val="bullet"/>
      <w:lvlText w:val=""/>
      <w:lvlJc w:val="left"/>
      <w:pPr>
        <w:ind w:left="1049" w:hanging="361"/>
      </w:pPr>
      <w:rPr>
        <w:rFonts w:ascii="Symbol" w:hAnsi="Symbol"/>
        <w:b w:val="0"/>
        <w:w w:val="100"/>
        <w:sz w:val="21"/>
      </w:rPr>
    </w:lvl>
    <w:lvl w:ilvl="1">
      <w:numFmt w:val="bullet"/>
      <w:lvlText w:val=""/>
      <w:lvlJc w:val="left"/>
      <w:pPr>
        <w:ind w:left="1363" w:hanging="361"/>
      </w:pPr>
      <w:rPr>
        <w:rFonts w:ascii="Symbol" w:hAnsi="Symbol"/>
        <w:b w:val="0"/>
        <w:w w:val="100"/>
        <w:sz w:val="21"/>
      </w:rPr>
    </w:lvl>
    <w:lvl w:ilvl="2">
      <w:numFmt w:val="bullet"/>
      <w:lvlText w:val="•"/>
      <w:lvlJc w:val="left"/>
      <w:pPr>
        <w:ind w:left="2138" w:hanging="361"/>
      </w:pPr>
    </w:lvl>
    <w:lvl w:ilvl="3">
      <w:numFmt w:val="bullet"/>
      <w:lvlText w:val="•"/>
      <w:lvlJc w:val="left"/>
      <w:pPr>
        <w:ind w:left="2917" w:hanging="361"/>
      </w:pPr>
    </w:lvl>
    <w:lvl w:ilvl="4">
      <w:numFmt w:val="bullet"/>
      <w:lvlText w:val="•"/>
      <w:lvlJc w:val="left"/>
      <w:pPr>
        <w:ind w:left="3696" w:hanging="361"/>
      </w:pPr>
    </w:lvl>
    <w:lvl w:ilvl="5">
      <w:numFmt w:val="bullet"/>
      <w:lvlText w:val="•"/>
      <w:lvlJc w:val="left"/>
      <w:pPr>
        <w:ind w:left="4475" w:hanging="361"/>
      </w:pPr>
    </w:lvl>
    <w:lvl w:ilvl="6">
      <w:numFmt w:val="bullet"/>
      <w:lvlText w:val="•"/>
      <w:lvlJc w:val="left"/>
      <w:pPr>
        <w:ind w:left="5253" w:hanging="361"/>
      </w:pPr>
    </w:lvl>
    <w:lvl w:ilvl="7">
      <w:numFmt w:val="bullet"/>
      <w:lvlText w:val="•"/>
      <w:lvlJc w:val="left"/>
      <w:pPr>
        <w:ind w:left="6032" w:hanging="361"/>
      </w:pPr>
    </w:lvl>
    <w:lvl w:ilvl="8">
      <w:numFmt w:val="bullet"/>
      <w:lvlText w:val="•"/>
      <w:lvlJc w:val="left"/>
      <w:pPr>
        <w:ind w:left="6811" w:hanging="361"/>
      </w:pPr>
    </w:lvl>
  </w:abstractNum>
  <w:abstractNum w:abstractNumId="66">
    <w:nsid w:val="00000444"/>
    <w:multiLevelType w:val="multilevel"/>
    <w:tmpl w:val="000008C7"/>
    <w:lvl w:ilvl="0">
      <w:numFmt w:val="bullet"/>
      <w:lvlText w:val="•"/>
      <w:lvlJc w:val="left"/>
      <w:pPr>
        <w:ind w:left="815" w:hanging="351"/>
      </w:pPr>
      <w:rPr>
        <w:rFonts w:ascii="Times New Roman" w:hAnsi="Times New Roman"/>
        <w:b w:val="0"/>
        <w:color w:val="4F4F4F"/>
        <w:w w:val="147"/>
        <w:sz w:val="27"/>
      </w:rPr>
    </w:lvl>
    <w:lvl w:ilvl="1">
      <w:numFmt w:val="bullet"/>
      <w:lvlText w:val="•"/>
      <w:lvlJc w:val="left"/>
      <w:pPr>
        <w:ind w:left="1184" w:hanging="346"/>
      </w:pPr>
      <w:rPr>
        <w:rFonts w:ascii="Times New Roman" w:hAnsi="Times New Roman"/>
        <w:b w:val="0"/>
        <w:color w:val="595958"/>
        <w:w w:val="153"/>
        <w:sz w:val="27"/>
      </w:rPr>
    </w:lvl>
    <w:lvl w:ilvl="2">
      <w:numFmt w:val="bullet"/>
      <w:lvlText w:val="•"/>
      <w:lvlJc w:val="left"/>
      <w:pPr>
        <w:ind w:left="1520" w:hanging="346"/>
      </w:pPr>
    </w:lvl>
    <w:lvl w:ilvl="3">
      <w:numFmt w:val="bullet"/>
      <w:lvlText w:val="•"/>
      <w:lvlJc w:val="left"/>
      <w:pPr>
        <w:ind w:left="1540" w:hanging="346"/>
      </w:pPr>
    </w:lvl>
    <w:lvl w:ilvl="4">
      <w:numFmt w:val="bullet"/>
      <w:lvlText w:val="•"/>
      <w:lvlJc w:val="left"/>
      <w:pPr>
        <w:ind w:left="2662" w:hanging="346"/>
      </w:pPr>
    </w:lvl>
    <w:lvl w:ilvl="5">
      <w:numFmt w:val="bullet"/>
      <w:lvlText w:val="•"/>
      <w:lvlJc w:val="left"/>
      <w:pPr>
        <w:ind w:left="3785" w:hanging="346"/>
      </w:pPr>
    </w:lvl>
    <w:lvl w:ilvl="6">
      <w:numFmt w:val="bullet"/>
      <w:lvlText w:val="•"/>
      <w:lvlJc w:val="left"/>
      <w:pPr>
        <w:ind w:left="4908" w:hanging="346"/>
      </w:pPr>
    </w:lvl>
    <w:lvl w:ilvl="7">
      <w:numFmt w:val="bullet"/>
      <w:lvlText w:val="•"/>
      <w:lvlJc w:val="left"/>
      <w:pPr>
        <w:ind w:left="6031" w:hanging="346"/>
      </w:pPr>
    </w:lvl>
    <w:lvl w:ilvl="8">
      <w:numFmt w:val="bullet"/>
      <w:lvlText w:val="•"/>
      <w:lvlJc w:val="left"/>
      <w:pPr>
        <w:ind w:left="7154" w:hanging="346"/>
      </w:pPr>
    </w:lvl>
  </w:abstractNum>
  <w:abstractNum w:abstractNumId="67">
    <w:nsid w:val="00000445"/>
    <w:multiLevelType w:val="multilevel"/>
    <w:tmpl w:val="000008C8"/>
    <w:lvl w:ilvl="0">
      <w:start w:val="2"/>
      <w:numFmt w:val="decimal"/>
      <w:lvlText w:val="%1."/>
      <w:lvlJc w:val="left"/>
      <w:pPr>
        <w:ind w:left="1194" w:hanging="360"/>
      </w:pPr>
      <w:rPr>
        <w:rFonts w:ascii="Times New Roman" w:hAnsi="Times New Roman" w:cs="Times New Roman"/>
        <w:b w:val="0"/>
        <w:bCs w:val="0"/>
        <w:color w:val="626262"/>
        <w:w w:val="102"/>
        <w:sz w:val="27"/>
        <w:szCs w:val="27"/>
      </w:rPr>
    </w:lvl>
    <w:lvl w:ilvl="1">
      <w:numFmt w:val="bullet"/>
      <w:lvlText w:val="•"/>
      <w:lvlJc w:val="left"/>
      <w:pPr>
        <w:ind w:left="2050" w:hanging="360"/>
      </w:pPr>
    </w:lvl>
    <w:lvl w:ilvl="2">
      <w:numFmt w:val="bullet"/>
      <w:lvlText w:val="•"/>
      <w:lvlJc w:val="left"/>
      <w:pPr>
        <w:ind w:left="2900" w:hanging="360"/>
      </w:pPr>
    </w:lvl>
    <w:lvl w:ilvl="3">
      <w:numFmt w:val="bullet"/>
      <w:lvlText w:val="•"/>
      <w:lvlJc w:val="left"/>
      <w:pPr>
        <w:ind w:left="3750" w:hanging="360"/>
      </w:pPr>
    </w:lvl>
    <w:lvl w:ilvl="4">
      <w:numFmt w:val="bullet"/>
      <w:lvlText w:val="•"/>
      <w:lvlJc w:val="left"/>
      <w:pPr>
        <w:ind w:left="4600" w:hanging="360"/>
      </w:pPr>
    </w:lvl>
    <w:lvl w:ilvl="5">
      <w:numFmt w:val="bullet"/>
      <w:lvlText w:val="•"/>
      <w:lvlJc w:val="left"/>
      <w:pPr>
        <w:ind w:left="5450" w:hanging="360"/>
      </w:pPr>
    </w:lvl>
    <w:lvl w:ilvl="6">
      <w:numFmt w:val="bullet"/>
      <w:lvlText w:val="•"/>
      <w:lvlJc w:val="left"/>
      <w:pPr>
        <w:ind w:left="6300" w:hanging="360"/>
      </w:pPr>
    </w:lvl>
    <w:lvl w:ilvl="7">
      <w:numFmt w:val="bullet"/>
      <w:lvlText w:val="•"/>
      <w:lvlJc w:val="left"/>
      <w:pPr>
        <w:ind w:left="7150" w:hanging="360"/>
      </w:pPr>
    </w:lvl>
    <w:lvl w:ilvl="8">
      <w:numFmt w:val="bullet"/>
      <w:lvlText w:val="•"/>
      <w:lvlJc w:val="left"/>
      <w:pPr>
        <w:ind w:left="8000" w:hanging="360"/>
      </w:pPr>
    </w:lvl>
  </w:abstractNum>
  <w:abstractNum w:abstractNumId="68">
    <w:nsid w:val="00000446"/>
    <w:multiLevelType w:val="multilevel"/>
    <w:tmpl w:val="000008C9"/>
    <w:lvl w:ilvl="0">
      <w:start w:val="10"/>
      <w:numFmt w:val="decimal"/>
      <w:lvlText w:val="%1."/>
      <w:lvlJc w:val="left"/>
      <w:pPr>
        <w:ind w:left="833" w:hanging="343"/>
      </w:pPr>
      <w:rPr>
        <w:rFonts w:ascii="Times New Roman" w:hAnsi="Times New Roman" w:cs="Times New Roman"/>
        <w:b w:val="0"/>
        <w:bCs w:val="0"/>
        <w:color w:val="5E5E5E"/>
        <w:spacing w:val="-3"/>
        <w:w w:val="100"/>
        <w:sz w:val="27"/>
        <w:szCs w:val="27"/>
      </w:rPr>
    </w:lvl>
    <w:lvl w:ilvl="1">
      <w:numFmt w:val="bullet"/>
      <w:lvlText w:val="•"/>
      <w:lvlJc w:val="left"/>
      <w:pPr>
        <w:ind w:left="1820" w:hanging="343"/>
      </w:pPr>
    </w:lvl>
    <w:lvl w:ilvl="2">
      <w:numFmt w:val="bullet"/>
      <w:lvlText w:val="•"/>
      <w:lvlJc w:val="left"/>
      <w:pPr>
        <w:ind w:left="2800" w:hanging="343"/>
      </w:pPr>
    </w:lvl>
    <w:lvl w:ilvl="3">
      <w:numFmt w:val="bullet"/>
      <w:lvlText w:val="•"/>
      <w:lvlJc w:val="left"/>
      <w:pPr>
        <w:ind w:left="3780" w:hanging="343"/>
      </w:pPr>
    </w:lvl>
    <w:lvl w:ilvl="4">
      <w:numFmt w:val="bullet"/>
      <w:lvlText w:val="•"/>
      <w:lvlJc w:val="left"/>
      <w:pPr>
        <w:ind w:left="4760" w:hanging="343"/>
      </w:pPr>
    </w:lvl>
    <w:lvl w:ilvl="5">
      <w:numFmt w:val="bullet"/>
      <w:lvlText w:val="•"/>
      <w:lvlJc w:val="left"/>
      <w:pPr>
        <w:ind w:left="5740" w:hanging="343"/>
      </w:pPr>
    </w:lvl>
    <w:lvl w:ilvl="6">
      <w:numFmt w:val="bullet"/>
      <w:lvlText w:val="•"/>
      <w:lvlJc w:val="left"/>
      <w:pPr>
        <w:ind w:left="6720" w:hanging="343"/>
      </w:pPr>
    </w:lvl>
    <w:lvl w:ilvl="7">
      <w:numFmt w:val="bullet"/>
      <w:lvlText w:val="•"/>
      <w:lvlJc w:val="left"/>
      <w:pPr>
        <w:ind w:left="7700" w:hanging="343"/>
      </w:pPr>
    </w:lvl>
    <w:lvl w:ilvl="8">
      <w:numFmt w:val="bullet"/>
      <w:lvlText w:val="•"/>
      <w:lvlJc w:val="left"/>
      <w:pPr>
        <w:ind w:left="8680" w:hanging="343"/>
      </w:pPr>
    </w:lvl>
  </w:abstractNum>
  <w:abstractNum w:abstractNumId="69">
    <w:nsid w:val="00000447"/>
    <w:multiLevelType w:val="multilevel"/>
    <w:tmpl w:val="000008CA"/>
    <w:lvl w:ilvl="0">
      <w:numFmt w:val="bullet"/>
      <w:lvlText w:val="•"/>
      <w:lvlJc w:val="left"/>
      <w:pPr>
        <w:ind w:left="1177" w:hanging="344"/>
      </w:pPr>
      <w:rPr>
        <w:rFonts w:ascii="Times New Roman" w:hAnsi="Times New Roman"/>
        <w:b w:val="0"/>
        <w:color w:val="606060"/>
        <w:w w:val="160"/>
        <w:sz w:val="27"/>
      </w:rPr>
    </w:lvl>
    <w:lvl w:ilvl="1">
      <w:numFmt w:val="bullet"/>
      <w:lvlText w:val="•"/>
      <w:lvlJc w:val="left"/>
      <w:pPr>
        <w:ind w:left="2136" w:hanging="344"/>
      </w:pPr>
    </w:lvl>
    <w:lvl w:ilvl="2">
      <w:numFmt w:val="bullet"/>
      <w:lvlText w:val="•"/>
      <w:lvlJc w:val="left"/>
      <w:pPr>
        <w:ind w:left="3092" w:hanging="344"/>
      </w:pPr>
    </w:lvl>
    <w:lvl w:ilvl="3">
      <w:numFmt w:val="bullet"/>
      <w:lvlText w:val="•"/>
      <w:lvlJc w:val="left"/>
      <w:pPr>
        <w:ind w:left="4048" w:hanging="344"/>
      </w:pPr>
    </w:lvl>
    <w:lvl w:ilvl="4">
      <w:numFmt w:val="bullet"/>
      <w:lvlText w:val="•"/>
      <w:lvlJc w:val="left"/>
      <w:pPr>
        <w:ind w:left="5004" w:hanging="344"/>
      </w:pPr>
    </w:lvl>
    <w:lvl w:ilvl="5">
      <w:numFmt w:val="bullet"/>
      <w:lvlText w:val="•"/>
      <w:lvlJc w:val="left"/>
      <w:pPr>
        <w:ind w:left="5960" w:hanging="344"/>
      </w:pPr>
    </w:lvl>
    <w:lvl w:ilvl="6">
      <w:numFmt w:val="bullet"/>
      <w:lvlText w:val="•"/>
      <w:lvlJc w:val="left"/>
      <w:pPr>
        <w:ind w:left="6916" w:hanging="344"/>
      </w:pPr>
    </w:lvl>
    <w:lvl w:ilvl="7">
      <w:numFmt w:val="bullet"/>
      <w:lvlText w:val="•"/>
      <w:lvlJc w:val="left"/>
      <w:pPr>
        <w:ind w:left="7872" w:hanging="344"/>
      </w:pPr>
    </w:lvl>
    <w:lvl w:ilvl="8">
      <w:numFmt w:val="bullet"/>
      <w:lvlText w:val="•"/>
      <w:lvlJc w:val="left"/>
      <w:pPr>
        <w:ind w:left="8828" w:hanging="344"/>
      </w:pPr>
    </w:lvl>
  </w:abstractNum>
  <w:abstractNum w:abstractNumId="70">
    <w:nsid w:val="00000448"/>
    <w:multiLevelType w:val="multilevel"/>
    <w:tmpl w:val="000008CB"/>
    <w:lvl w:ilvl="0">
      <w:numFmt w:val="bullet"/>
      <w:lvlText w:val=""/>
      <w:lvlJc w:val="left"/>
      <w:pPr>
        <w:ind w:left="839" w:hanging="360"/>
      </w:pPr>
      <w:rPr>
        <w:rFonts w:ascii="Symbol" w:hAnsi="Symbol"/>
        <w:b w:val="0"/>
        <w:w w:val="100"/>
        <w:sz w:val="23"/>
      </w:rPr>
    </w:lvl>
    <w:lvl w:ilvl="1">
      <w:numFmt w:val="bullet"/>
      <w:lvlText w:val="•"/>
      <w:lvlJc w:val="left"/>
      <w:pPr>
        <w:ind w:left="1716" w:hanging="360"/>
      </w:pPr>
    </w:lvl>
    <w:lvl w:ilvl="2">
      <w:numFmt w:val="bullet"/>
      <w:lvlText w:val="•"/>
      <w:lvlJc w:val="left"/>
      <w:pPr>
        <w:ind w:left="2592" w:hanging="360"/>
      </w:pPr>
    </w:lvl>
    <w:lvl w:ilvl="3">
      <w:numFmt w:val="bullet"/>
      <w:lvlText w:val="•"/>
      <w:lvlJc w:val="left"/>
      <w:pPr>
        <w:ind w:left="3468" w:hanging="360"/>
      </w:pPr>
    </w:lvl>
    <w:lvl w:ilvl="4">
      <w:numFmt w:val="bullet"/>
      <w:lvlText w:val="•"/>
      <w:lvlJc w:val="left"/>
      <w:pPr>
        <w:ind w:left="4344" w:hanging="360"/>
      </w:pPr>
    </w:lvl>
    <w:lvl w:ilvl="5">
      <w:numFmt w:val="bullet"/>
      <w:lvlText w:val="•"/>
      <w:lvlJc w:val="left"/>
      <w:pPr>
        <w:ind w:left="5220" w:hanging="360"/>
      </w:pPr>
    </w:lvl>
    <w:lvl w:ilvl="6">
      <w:numFmt w:val="bullet"/>
      <w:lvlText w:val="•"/>
      <w:lvlJc w:val="left"/>
      <w:pPr>
        <w:ind w:left="6096" w:hanging="360"/>
      </w:pPr>
    </w:lvl>
    <w:lvl w:ilvl="7">
      <w:numFmt w:val="bullet"/>
      <w:lvlText w:val="•"/>
      <w:lvlJc w:val="left"/>
      <w:pPr>
        <w:ind w:left="6972" w:hanging="360"/>
      </w:pPr>
    </w:lvl>
    <w:lvl w:ilvl="8">
      <w:numFmt w:val="bullet"/>
      <w:lvlText w:val="•"/>
      <w:lvlJc w:val="left"/>
      <w:pPr>
        <w:ind w:left="7848" w:hanging="360"/>
      </w:pPr>
    </w:lvl>
  </w:abstractNum>
  <w:abstractNum w:abstractNumId="71">
    <w:nsid w:val="00000449"/>
    <w:multiLevelType w:val="multilevel"/>
    <w:tmpl w:val="000008CC"/>
    <w:lvl w:ilvl="0">
      <w:numFmt w:val="bullet"/>
      <w:lvlText w:val="-"/>
      <w:lvlJc w:val="left"/>
      <w:pPr>
        <w:ind w:left="839" w:hanging="620"/>
      </w:pPr>
      <w:rPr>
        <w:rFonts w:ascii="Calibri" w:hAnsi="Calibri"/>
        <w:b w:val="0"/>
        <w:w w:val="100"/>
      </w:rPr>
    </w:lvl>
    <w:lvl w:ilvl="1">
      <w:numFmt w:val="bullet"/>
      <w:lvlText w:val="o"/>
      <w:lvlJc w:val="left"/>
      <w:pPr>
        <w:ind w:left="1437" w:hanging="238"/>
      </w:pPr>
      <w:rPr>
        <w:rFonts w:ascii="Courier New" w:hAnsi="Courier New"/>
        <w:b w:val="0"/>
        <w:w w:val="100"/>
      </w:rPr>
    </w:lvl>
    <w:lvl w:ilvl="2">
      <w:numFmt w:val="bullet"/>
      <w:lvlText w:val=""/>
      <w:lvlJc w:val="left"/>
      <w:pPr>
        <w:ind w:left="2259" w:hanging="212"/>
      </w:pPr>
      <w:rPr>
        <w:rFonts w:ascii="Wingdings" w:hAnsi="Wingdings"/>
        <w:b w:val="0"/>
        <w:color w:val="1F4E79"/>
        <w:w w:val="100"/>
        <w:sz w:val="22"/>
      </w:rPr>
    </w:lvl>
    <w:lvl w:ilvl="3">
      <w:numFmt w:val="bullet"/>
      <w:lvlText w:val="•"/>
      <w:lvlJc w:val="left"/>
      <w:pPr>
        <w:ind w:left="2260" w:hanging="212"/>
      </w:pPr>
    </w:lvl>
    <w:lvl w:ilvl="4">
      <w:numFmt w:val="bullet"/>
      <w:lvlText w:val="•"/>
      <w:lvlJc w:val="left"/>
      <w:pPr>
        <w:ind w:left="3297" w:hanging="212"/>
      </w:pPr>
    </w:lvl>
    <w:lvl w:ilvl="5">
      <w:numFmt w:val="bullet"/>
      <w:lvlText w:val="•"/>
      <w:lvlJc w:val="left"/>
      <w:pPr>
        <w:ind w:left="4334" w:hanging="212"/>
      </w:pPr>
    </w:lvl>
    <w:lvl w:ilvl="6">
      <w:numFmt w:val="bullet"/>
      <w:lvlText w:val="•"/>
      <w:lvlJc w:val="left"/>
      <w:pPr>
        <w:ind w:left="5371" w:hanging="212"/>
      </w:pPr>
    </w:lvl>
    <w:lvl w:ilvl="7">
      <w:numFmt w:val="bullet"/>
      <w:lvlText w:val="•"/>
      <w:lvlJc w:val="left"/>
      <w:pPr>
        <w:ind w:left="6408" w:hanging="212"/>
      </w:pPr>
    </w:lvl>
    <w:lvl w:ilvl="8">
      <w:numFmt w:val="bullet"/>
      <w:lvlText w:val="•"/>
      <w:lvlJc w:val="left"/>
      <w:pPr>
        <w:ind w:left="7445" w:hanging="212"/>
      </w:pPr>
    </w:lvl>
  </w:abstractNum>
  <w:abstractNum w:abstractNumId="72">
    <w:nsid w:val="0000044A"/>
    <w:multiLevelType w:val="multilevel"/>
    <w:tmpl w:val="000008CD"/>
    <w:lvl w:ilvl="0">
      <w:numFmt w:val="bullet"/>
      <w:lvlText w:val="o"/>
      <w:lvlJc w:val="left"/>
      <w:pPr>
        <w:ind w:left="1417" w:hanging="238"/>
      </w:pPr>
      <w:rPr>
        <w:rFonts w:ascii="Courier New" w:hAnsi="Courier New"/>
        <w:b w:val="0"/>
        <w:color w:val="1F497D"/>
        <w:w w:val="100"/>
        <w:sz w:val="22"/>
      </w:rPr>
    </w:lvl>
    <w:lvl w:ilvl="1">
      <w:numFmt w:val="bullet"/>
      <w:lvlText w:val="•"/>
      <w:lvlJc w:val="left"/>
      <w:pPr>
        <w:ind w:left="2234" w:hanging="238"/>
      </w:pPr>
    </w:lvl>
    <w:lvl w:ilvl="2">
      <w:numFmt w:val="bullet"/>
      <w:lvlText w:val="•"/>
      <w:lvlJc w:val="left"/>
      <w:pPr>
        <w:ind w:left="3048" w:hanging="238"/>
      </w:pPr>
    </w:lvl>
    <w:lvl w:ilvl="3">
      <w:numFmt w:val="bullet"/>
      <w:lvlText w:val="•"/>
      <w:lvlJc w:val="left"/>
      <w:pPr>
        <w:ind w:left="3862" w:hanging="238"/>
      </w:pPr>
    </w:lvl>
    <w:lvl w:ilvl="4">
      <w:numFmt w:val="bullet"/>
      <w:lvlText w:val="•"/>
      <w:lvlJc w:val="left"/>
      <w:pPr>
        <w:ind w:left="4676" w:hanging="238"/>
      </w:pPr>
    </w:lvl>
    <w:lvl w:ilvl="5">
      <w:numFmt w:val="bullet"/>
      <w:lvlText w:val="•"/>
      <w:lvlJc w:val="left"/>
      <w:pPr>
        <w:ind w:left="5490" w:hanging="238"/>
      </w:pPr>
    </w:lvl>
    <w:lvl w:ilvl="6">
      <w:numFmt w:val="bullet"/>
      <w:lvlText w:val="•"/>
      <w:lvlJc w:val="left"/>
      <w:pPr>
        <w:ind w:left="6304" w:hanging="238"/>
      </w:pPr>
    </w:lvl>
    <w:lvl w:ilvl="7">
      <w:numFmt w:val="bullet"/>
      <w:lvlText w:val="•"/>
      <w:lvlJc w:val="left"/>
      <w:pPr>
        <w:ind w:left="7118" w:hanging="238"/>
      </w:pPr>
    </w:lvl>
    <w:lvl w:ilvl="8">
      <w:numFmt w:val="bullet"/>
      <w:lvlText w:val="•"/>
      <w:lvlJc w:val="left"/>
      <w:pPr>
        <w:ind w:left="7932" w:hanging="238"/>
      </w:pPr>
    </w:lvl>
  </w:abstractNum>
  <w:abstractNum w:abstractNumId="73">
    <w:nsid w:val="0000044B"/>
    <w:multiLevelType w:val="multilevel"/>
    <w:tmpl w:val="000008CE"/>
    <w:lvl w:ilvl="0">
      <w:numFmt w:val="bullet"/>
      <w:lvlText w:val=""/>
      <w:lvlJc w:val="left"/>
      <w:pPr>
        <w:ind w:left="2260" w:hanging="212"/>
      </w:pPr>
      <w:rPr>
        <w:rFonts w:ascii="Wingdings" w:hAnsi="Wingdings"/>
        <w:b w:val="0"/>
        <w:color w:val="1F4E79"/>
        <w:w w:val="100"/>
        <w:sz w:val="22"/>
      </w:rPr>
    </w:lvl>
    <w:lvl w:ilvl="1">
      <w:numFmt w:val="bullet"/>
      <w:lvlText w:val="•"/>
      <w:lvlJc w:val="left"/>
      <w:pPr>
        <w:ind w:left="2990" w:hanging="212"/>
      </w:pPr>
    </w:lvl>
    <w:lvl w:ilvl="2">
      <w:numFmt w:val="bullet"/>
      <w:lvlText w:val="•"/>
      <w:lvlJc w:val="left"/>
      <w:pPr>
        <w:ind w:left="3720" w:hanging="212"/>
      </w:pPr>
    </w:lvl>
    <w:lvl w:ilvl="3">
      <w:numFmt w:val="bullet"/>
      <w:lvlText w:val="•"/>
      <w:lvlJc w:val="left"/>
      <w:pPr>
        <w:ind w:left="4450" w:hanging="212"/>
      </w:pPr>
    </w:lvl>
    <w:lvl w:ilvl="4">
      <w:numFmt w:val="bullet"/>
      <w:lvlText w:val="•"/>
      <w:lvlJc w:val="left"/>
      <w:pPr>
        <w:ind w:left="5180" w:hanging="212"/>
      </w:pPr>
    </w:lvl>
    <w:lvl w:ilvl="5">
      <w:numFmt w:val="bullet"/>
      <w:lvlText w:val="•"/>
      <w:lvlJc w:val="left"/>
      <w:pPr>
        <w:ind w:left="5910" w:hanging="212"/>
      </w:pPr>
    </w:lvl>
    <w:lvl w:ilvl="6">
      <w:numFmt w:val="bullet"/>
      <w:lvlText w:val="•"/>
      <w:lvlJc w:val="left"/>
      <w:pPr>
        <w:ind w:left="6640" w:hanging="212"/>
      </w:pPr>
    </w:lvl>
    <w:lvl w:ilvl="7">
      <w:numFmt w:val="bullet"/>
      <w:lvlText w:val="•"/>
      <w:lvlJc w:val="left"/>
      <w:pPr>
        <w:ind w:left="7370" w:hanging="212"/>
      </w:pPr>
    </w:lvl>
    <w:lvl w:ilvl="8">
      <w:numFmt w:val="bullet"/>
      <w:lvlText w:val="•"/>
      <w:lvlJc w:val="left"/>
      <w:pPr>
        <w:ind w:left="8100" w:hanging="212"/>
      </w:pPr>
    </w:lvl>
  </w:abstractNum>
  <w:abstractNum w:abstractNumId="74">
    <w:nsid w:val="0000044C"/>
    <w:multiLevelType w:val="multilevel"/>
    <w:tmpl w:val="000008CF"/>
    <w:lvl w:ilvl="0">
      <w:numFmt w:val="bullet"/>
      <w:lvlText w:val="-"/>
      <w:lvlJc w:val="left"/>
      <w:pPr>
        <w:ind w:left="119" w:hanging="620"/>
      </w:pPr>
      <w:rPr>
        <w:rFonts w:ascii="Calibri" w:hAnsi="Calibri"/>
        <w:b w:val="0"/>
        <w:color w:val="1F4E79"/>
        <w:w w:val="100"/>
        <w:sz w:val="22"/>
      </w:rPr>
    </w:lvl>
    <w:lvl w:ilvl="1">
      <w:numFmt w:val="bullet"/>
      <w:lvlText w:val="o"/>
      <w:lvlJc w:val="left"/>
      <w:pPr>
        <w:ind w:left="1497" w:hanging="298"/>
      </w:pPr>
      <w:rPr>
        <w:rFonts w:ascii="Courier New" w:hAnsi="Courier New"/>
        <w:b w:val="0"/>
        <w:color w:val="1F4E79"/>
        <w:w w:val="100"/>
        <w:sz w:val="22"/>
      </w:rPr>
    </w:lvl>
    <w:lvl w:ilvl="2">
      <w:numFmt w:val="bullet"/>
      <w:lvlText w:val=""/>
      <w:lvlJc w:val="left"/>
      <w:pPr>
        <w:ind w:left="2279" w:hanging="212"/>
      </w:pPr>
      <w:rPr>
        <w:rFonts w:ascii="Wingdings" w:hAnsi="Wingdings"/>
        <w:b w:val="0"/>
        <w:color w:val="1F4E79"/>
        <w:w w:val="100"/>
        <w:sz w:val="22"/>
      </w:rPr>
    </w:lvl>
    <w:lvl w:ilvl="3">
      <w:numFmt w:val="bullet"/>
      <w:lvlText w:val="•"/>
      <w:lvlJc w:val="left"/>
      <w:pPr>
        <w:ind w:left="3192" w:hanging="212"/>
      </w:pPr>
    </w:lvl>
    <w:lvl w:ilvl="4">
      <w:numFmt w:val="bullet"/>
      <w:lvlText w:val="•"/>
      <w:lvlJc w:val="left"/>
      <w:pPr>
        <w:ind w:left="4105" w:hanging="212"/>
      </w:pPr>
    </w:lvl>
    <w:lvl w:ilvl="5">
      <w:numFmt w:val="bullet"/>
      <w:lvlText w:val="•"/>
      <w:lvlJc w:val="left"/>
      <w:pPr>
        <w:ind w:left="5017" w:hanging="212"/>
      </w:pPr>
    </w:lvl>
    <w:lvl w:ilvl="6">
      <w:numFmt w:val="bullet"/>
      <w:lvlText w:val="•"/>
      <w:lvlJc w:val="left"/>
      <w:pPr>
        <w:ind w:left="5930" w:hanging="212"/>
      </w:pPr>
    </w:lvl>
    <w:lvl w:ilvl="7">
      <w:numFmt w:val="bullet"/>
      <w:lvlText w:val="•"/>
      <w:lvlJc w:val="left"/>
      <w:pPr>
        <w:ind w:left="6842" w:hanging="212"/>
      </w:pPr>
    </w:lvl>
    <w:lvl w:ilvl="8">
      <w:numFmt w:val="bullet"/>
      <w:lvlText w:val="•"/>
      <w:lvlJc w:val="left"/>
      <w:pPr>
        <w:ind w:left="7755" w:hanging="212"/>
      </w:pPr>
    </w:lvl>
  </w:abstractNum>
  <w:abstractNum w:abstractNumId="75">
    <w:nsid w:val="0000044D"/>
    <w:multiLevelType w:val="multilevel"/>
    <w:tmpl w:val="000008D0"/>
    <w:lvl w:ilvl="0">
      <w:numFmt w:val="bullet"/>
      <w:lvlText w:val="-"/>
      <w:lvlJc w:val="left"/>
      <w:pPr>
        <w:ind w:left="885" w:hanging="455"/>
      </w:pPr>
      <w:rPr>
        <w:rFonts w:ascii="Calibri" w:hAnsi="Calibri"/>
        <w:b w:val="0"/>
        <w:color w:val="1F497D"/>
        <w:w w:val="100"/>
        <w:sz w:val="22"/>
      </w:rPr>
    </w:lvl>
    <w:lvl w:ilvl="1">
      <w:numFmt w:val="bullet"/>
      <w:lvlText w:val="•"/>
      <w:lvlJc w:val="left"/>
      <w:pPr>
        <w:ind w:left="1750" w:hanging="455"/>
      </w:pPr>
    </w:lvl>
    <w:lvl w:ilvl="2">
      <w:numFmt w:val="bullet"/>
      <w:lvlText w:val="•"/>
      <w:lvlJc w:val="left"/>
      <w:pPr>
        <w:ind w:left="2620" w:hanging="455"/>
      </w:pPr>
    </w:lvl>
    <w:lvl w:ilvl="3">
      <w:numFmt w:val="bullet"/>
      <w:lvlText w:val="•"/>
      <w:lvlJc w:val="left"/>
      <w:pPr>
        <w:ind w:left="3490" w:hanging="455"/>
      </w:pPr>
    </w:lvl>
    <w:lvl w:ilvl="4">
      <w:numFmt w:val="bullet"/>
      <w:lvlText w:val="•"/>
      <w:lvlJc w:val="left"/>
      <w:pPr>
        <w:ind w:left="4360" w:hanging="455"/>
      </w:pPr>
    </w:lvl>
    <w:lvl w:ilvl="5">
      <w:numFmt w:val="bullet"/>
      <w:lvlText w:val="•"/>
      <w:lvlJc w:val="left"/>
      <w:pPr>
        <w:ind w:left="5230" w:hanging="455"/>
      </w:pPr>
    </w:lvl>
    <w:lvl w:ilvl="6">
      <w:numFmt w:val="bullet"/>
      <w:lvlText w:val="•"/>
      <w:lvlJc w:val="left"/>
      <w:pPr>
        <w:ind w:left="6100" w:hanging="455"/>
      </w:pPr>
    </w:lvl>
    <w:lvl w:ilvl="7">
      <w:numFmt w:val="bullet"/>
      <w:lvlText w:val="•"/>
      <w:lvlJc w:val="left"/>
      <w:pPr>
        <w:ind w:left="6970" w:hanging="455"/>
      </w:pPr>
    </w:lvl>
    <w:lvl w:ilvl="8">
      <w:numFmt w:val="bullet"/>
      <w:lvlText w:val="•"/>
      <w:lvlJc w:val="left"/>
      <w:pPr>
        <w:ind w:left="7840" w:hanging="455"/>
      </w:pPr>
    </w:lvl>
  </w:abstractNum>
  <w:abstractNum w:abstractNumId="76">
    <w:nsid w:val="0000044E"/>
    <w:multiLevelType w:val="multilevel"/>
    <w:tmpl w:val="000008D1"/>
    <w:lvl w:ilvl="0">
      <w:numFmt w:val="bullet"/>
      <w:lvlText w:val=""/>
      <w:lvlJc w:val="left"/>
      <w:pPr>
        <w:ind w:left="883" w:hanging="361"/>
      </w:pPr>
      <w:rPr>
        <w:rFonts w:ascii="Symbol" w:hAnsi="Symbol"/>
        <w:b w:val="0"/>
        <w:w w:val="100"/>
        <w:sz w:val="22"/>
      </w:rPr>
    </w:lvl>
    <w:lvl w:ilvl="1">
      <w:numFmt w:val="bullet"/>
      <w:lvlText w:val="o"/>
      <w:lvlJc w:val="left"/>
      <w:pPr>
        <w:ind w:left="1559" w:hanging="361"/>
      </w:pPr>
      <w:rPr>
        <w:rFonts w:ascii="Courier New" w:hAnsi="Courier New"/>
        <w:b w:val="0"/>
        <w:w w:val="100"/>
        <w:sz w:val="22"/>
      </w:rPr>
    </w:lvl>
    <w:lvl w:ilvl="2">
      <w:numFmt w:val="bullet"/>
      <w:lvlText w:val="•"/>
      <w:lvlJc w:val="left"/>
      <w:pPr>
        <w:ind w:left="2371" w:hanging="361"/>
      </w:pPr>
    </w:lvl>
    <w:lvl w:ilvl="3">
      <w:numFmt w:val="bullet"/>
      <w:lvlText w:val="•"/>
      <w:lvlJc w:val="left"/>
      <w:pPr>
        <w:ind w:left="3182" w:hanging="361"/>
      </w:pPr>
    </w:lvl>
    <w:lvl w:ilvl="4">
      <w:numFmt w:val="bullet"/>
      <w:lvlText w:val="•"/>
      <w:lvlJc w:val="left"/>
      <w:pPr>
        <w:ind w:left="3993" w:hanging="361"/>
      </w:pPr>
    </w:lvl>
    <w:lvl w:ilvl="5">
      <w:numFmt w:val="bullet"/>
      <w:lvlText w:val="•"/>
      <w:lvlJc w:val="left"/>
      <w:pPr>
        <w:ind w:left="4804" w:hanging="361"/>
      </w:pPr>
    </w:lvl>
    <w:lvl w:ilvl="6">
      <w:numFmt w:val="bullet"/>
      <w:lvlText w:val="•"/>
      <w:lvlJc w:val="left"/>
      <w:pPr>
        <w:ind w:left="5615" w:hanging="361"/>
      </w:pPr>
    </w:lvl>
    <w:lvl w:ilvl="7">
      <w:numFmt w:val="bullet"/>
      <w:lvlText w:val="•"/>
      <w:lvlJc w:val="left"/>
      <w:pPr>
        <w:ind w:left="6426" w:hanging="361"/>
      </w:pPr>
    </w:lvl>
    <w:lvl w:ilvl="8">
      <w:numFmt w:val="bullet"/>
      <w:lvlText w:val="•"/>
      <w:lvlJc w:val="left"/>
      <w:pPr>
        <w:ind w:left="7237" w:hanging="361"/>
      </w:pPr>
    </w:lvl>
  </w:abstractNum>
  <w:abstractNum w:abstractNumId="77">
    <w:nsid w:val="0000044F"/>
    <w:multiLevelType w:val="multilevel"/>
    <w:tmpl w:val="000008D2"/>
    <w:lvl w:ilvl="0">
      <w:start w:val="1"/>
      <w:numFmt w:val="decimal"/>
      <w:lvlText w:val="%1."/>
      <w:lvlJc w:val="left"/>
      <w:pPr>
        <w:ind w:left="846" w:hanging="346"/>
      </w:pPr>
      <w:rPr>
        <w:rFonts w:ascii="Times New Roman" w:hAnsi="Times New Roman" w:cs="Times New Roman"/>
        <w:b w:val="0"/>
        <w:bCs w:val="0"/>
        <w:color w:val="2B2B2B"/>
        <w:spacing w:val="-1"/>
        <w:w w:val="113"/>
        <w:sz w:val="23"/>
        <w:szCs w:val="23"/>
      </w:rPr>
    </w:lvl>
    <w:lvl w:ilvl="1">
      <w:numFmt w:val="bullet"/>
      <w:lvlText w:val="•"/>
      <w:lvlJc w:val="left"/>
      <w:pPr>
        <w:ind w:left="1852" w:hanging="346"/>
      </w:pPr>
    </w:lvl>
    <w:lvl w:ilvl="2">
      <w:numFmt w:val="bullet"/>
      <w:lvlText w:val="•"/>
      <w:lvlJc w:val="left"/>
      <w:pPr>
        <w:ind w:left="2864" w:hanging="346"/>
      </w:pPr>
    </w:lvl>
    <w:lvl w:ilvl="3">
      <w:numFmt w:val="bullet"/>
      <w:lvlText w:val="•"/>
      <w:lvlJc w:val="left"/>
      <w:pPr>
        <w:ind w:left="3876" w:hanging="346"/>
      </w:pPr>
    </w:lvl>
    <w:lvl w:ilvl="4">
      <w:numFmt w:val="bullet"/>
      <w:lvlText w:val="•"/>
      <w:lvlJc w:val="left"/>
      <w:pPr>
        <w:ind w:left="4888" w:hanging="346"/>
      </w:pPr>
    </w:lvl>
    <w:lvl w:ilvl="5">
      <w:numFmt w:val="bullet"/>
      <w:lvlText w:val="•"/>
      <w:lvlJc w:val="left"/>
      <w:pPr>
        <w:ind w:left="5900" w:hanging="346"/>
      </w:pPr>
    </w:lvl>
    <w:lvl w:ilvl="6">
      <w:numFmt w:val="bullet"/>
      <w:lvlText w:val="•"/>
      <w:lvlJc w:val="left"/>
      <w:pPr>
        <w:ind w:left="6912" w:hanging="346"/>
      </w:pPr>
    </w:lvl>
    <w:lvl w:ilvl="7">
      <w:numFmt w:val="bullet"/>
      <w:lvlText w:val="•"/>
      <w:lvlJc w:val="left"/>
      <w:pPr>
        <w:ind w:left="7924" w:hanging="346"/>
      </w:pPr>
    </w:lvl>
    <w:lvl w:ilvl="8">
      <w:numFmt w:val="bullet"/>
      <w:lvlText w:val="•"/>
      <w:lvlJc w:val="left"/>
      <w:pPr>
        <w:ind w:left="8936" w:hanging="346"/>
      </w:pPr>
    </w:lvl>
  </w:abstractNum>
  <w:abstractNum w:abstractNumId="78">
    <w:nsid w:val="00000450"/>
    <w:multiLevelType w:val="multilevel"/>
    <w:tmpl w:val="000008D3"/>
    <w:lvl w:ilvl="0">
      <w:start w:val="1"/>
      <w:numFmt w:val="upperRoman"/>
      <w:lvlText w:val="%1."/>
      <w:lvlJc w:val="left"/>
      <w:pPr>
        <w:ind w:left="412" w:hanging="180"/>
      </w:pPr>
      <w:rPr>
        <w:rFonts w:ascii="Arial" w:hAnsi="Arial" w:cs="Arial"/>
        <w:b/>
        <w:bCs/>
        <w:spacing w:val="-1"/>
        <w:w w:val="112"/>
        <w:sz w:val="21"/>
        <w:szCs w:val="21"/>
      </w:rPr>
    </w:lvl>
    <w:lvl w:ilvl="1">
      <w:numFmt w:val="bullet"/>
      <w:lvlText w:val="•"/>
      <w:lvlJc w:val="left"/>
      <w:pPr>
        <w:ind w:left="1334" w:hanging="180"/>
      </w:pPr>
    </w:lvl>
    <w:lvl w:ilvl="2">
      <w:numFmt w:val="bullet"/>
      <w:lvlText w:val="•"/>
      <w:lvlJc w:val="left"/>
      <w:pPr>
        <w:ind w:left="2248" w:hanging="180"/>
      </w:pPr>
    </w:lvl>
    <w:lvl w:ilvl="3">
      <w:numFmt w:val="bullet"/>
      <w:lvlText w:val="•"/>
      <w:lvlJc w:val="left"/>
      <w:pPr>
        <w:ind w:left="3162" w:hanging="180"/>
      </w:pPr>
    </w:lvl>
    <w:lvl w:ilvl="4">
      <w:numFmt w:val="bullet"/>
      <w:lvlText w:val="•"/>
      <w:lvlJc w:val="left"/>
      <w:pPr>
        <w:ind w:left="4076" w:hanging="180"/>
      </w:pPr>
    </w:lvl>
    <w:lvl w:ilvl="5">
      <w:numFmt w:val="bullet"/>
      <w:lvlText w:val="•"/>
      <w:lvlJc w:val="left"/>
      <w:pPr>
        <w:ind w:left="4990" w:hanging="180"/>
      </w:pPr>
    </w:lvl>
    <w:lvl w:ilvl="6">
      <w:numFmt w:val="bullet"/>
      <w:lvlText w:val="•"/>
      <w:lvlJc w:val="left"/>
      <w:pPr>
        <w:ind w:left="5904" w:hanging="180"/>
      </w:pPr>
    </w:lvl>
    <w:lvl w:ilvl="7">
      <w:numFmt w:val="bullet"/>
      <w:lvlText w:val="•"/>
      <w:lvlJc w:val="left"/>
      <w:pPr>
        <w:ind w:left="6818" w:hanging="180"/>
      </w:pPr>
    </w:lvl>
    <w:lvl w:ilvl="8">
      <w:numFmt w:val="bullet"/>
      <w:lvlText w:val="•"/>
      <w:lvlJc w:val="left"/>
      <w:pPr>
        <w:ind w:left="7732" w:hanging="180"/>
      </w:pPr>
    </w:lvl>
  </w:abstractNum>
  <w:abstractNum w:abstractNumId="79">
    <w:nsid w:val="00000451"/>
    <w:multiLevelType w:val="multilevel"/>
    <w:tmpl w:val="000008D4"/>
    <w:lvl w:ilvl="0">
      <w:numFmt w:val="bullet"/>
      <w:lvlText w:val="•"/>
      <w:lvlJc w:val="left"/>
      <w:pPr>
        <w:ind w:left="748" w:hanging="368"/>
      </w:pPr>
      <w:rPr>
        <w:rFonts w:ascii="Times New Roman" w:hAnsi="Times New Roman"/>
        <w:b w:val="0"/>
        <w:w w:val="163"/>
        <w:sz w:val="23"/>
      </w:rPr>
    </w:lvl>
    <w:lvl w:ilvl="1">
      <w:numFmt w:val="bullet"/>
      <w:lvlText w:val=""/>
      <w:lvlJc w:val="left"/>
      <w:pPr>
        <w:ind w:left="820" w:hanging="360"/>
      </w:pPr>
      <w:rPr>
        <w:rFonts w:ascii="Symbol" w:hAnsi="Symbol"/>
        <w:b w:val="0"/>
        <w:w w:val="99"/>
        <w:sz w:val="20"/>
      </w:rPr>
    </w:lvl>
    <w:lvl w:ilvl="2">
      <w:numFmt w:val="bullet"/>
      <w:lvlText w:val="•"/>
      <w:lvlJc w:val="left"/>
      <w:pPr>
        <w:ind w:left="1784" w:hanging="360"/>
      </w:pPr>
    </w:lvl>
    <w:lvl w:ilvl="3">
      <w:numFmt w:val="bullet"/>
      <w:lvlText w:val="•"/>
      <w:lvlJc w:val="left"/>
      <w:pPr>
        <w:ind w:left="2748" w:hanging="360"/>
      </w:pPr>
    </w:lvl>
    <w:lvl w:ilvl="4">
      <w:numFmt w:val="bullet"/>
      <w:lvlText w:val="•"/>
      <w:lvlJc w:val="left"/>
      <w:pPr>
        <w:ind w:left="3713" w:hanging="360"/>
      </w:pPr>
    </w:lvl>
    <w:lvl w:ilvl="5">
      <w:numFmt w:val="bullet"/>
      <w:lvlText w:val="•"/>
      <w:lvlJc w:val="left"/>
      <w:pPr>
        <w:ind w:left="4677" w:hanging="360"/>
      </w:pPr>
    </w:lvl>
    <w:lvl w:ilvl="6">
      <w:numFmt w:val="bullet"/>
      <w:lvlText w:val="•"/>
      <w:lvlJc w:val="left"/>
      <w:pPr>
        <w:ind w:left="5642" w:hanging="360"/>
      </w:pPr>
    </w:lvl>
    <w:lvl w:ilvl="7">
      <w:numFmt w:val="bullet"/>
      <w:lvlText w:val="•"/>
      <w:lvlJc w:val="left"/>
      <w:pPr>
        <w:ind w:left="6606" w:hanging="360"/>
      </w:pPr>
    </w:lvl>
    <w:lvl w:ilvl="8">
      <w:numFmt w:val="bullet"/>
      <w:lvlText w:val="•"/>
      <w:lvlJc w:val="left"/>
      <w:pPr>
        <w:ind w:left="7571" w:hanging="360"/>
      </w:pPr>
    </w:lvl>
  </w:abstractNum>
  <w:abstractNum w:abstractNumId="80">
    <w:nsid w:val="00000452"/>
    <w:multiLevelType w:val="multilevel"/>
    <w:tmpl w:val="000008D5"/>
    <w:lvl w:ilvl="0">
      <w:numFmt w:val="bullet"/>
      <w:lvlText w:val=""/>
      <w:lvlJc w:val="left"/>
      <w:pPr>
        <w:ind w:left="860" w:hanging="360"/>
      </w:pPr>
      <w:rPr>
        <w:rFonts w:ascii="Symbol" w:hAnsi="Symbol"/>
        <w:b w:val="0"/>
        <w:w w:val="99"/>
        <w:sz w:val="22"/>
      </w:rPr>
    </w:lvl>
    <w:lvl w:ilvl="1">
      <w:numFmt w:val="bullet"/>
      <w:lvlText w:val="o"/>
      <w:lvlJc w:val="left"/>
      <w:pPr>
        <w:ind w:left="1580" w:hanging="360"/>
      </w:pPr>
      <w:rPr>
        <w:rFonts w:ascii="Courier New" w:hAnsi="Courier New"/>
        <w:b w:val="0"/>
        <w:w w:val="99"/>
        <w:sz w:val="22"/>
      </w:rPr>
    </w:lvl>
    <w:lvl w:ilvl="2">
      <w:numFmt w:val="bullet"/>
      <w:lvlText w:val="•"/>
      <w:lvlJc w:val="left"/>
      <w:pPr>
        <w:ind w:left="2473" w:hanging="360"/>
      </w:pPr>
    </w:lvl>
    <w:lvl w:ilvl="3">
      <w:numFmt w:val="bullet"/>
      <w:lvlText w:val="•"/>
      <w:lvlJc w:val="left"/>
      <w:pPr>
        <w:ind w:left="3366" w:hanging="360"/>
      </w:pPr>
    </w:lvl>
    <w:lvl w:ilvl="4">
      <w:numFmt w:val="bullet"/>
      <w:lvlText w:val="•"/>
      <w:lvlJc w:val="left"/>
      <w:pPr>
        <w:ind w:left="4260" w:hanging="360"/>
      </w:pPr>
    </w:lvl>
    <w:lvl w:ilvl="5">
      <w:numFmt w:val="bullet"/>
      <w:lvlText w:val="•"/>
      <w:lvlJc w:val="left"/>
      <w:pPr>
        <w:ind w:left="5153" w:hanging="360"/>
      </w:pPr>
    </w:lvl>
    <w:lvl w:ilvl="6">
      <w:numFmt w:val="bullet"/>
      <w:lvlText w:val="•"/>
      <w:lvlJc w:val="left"/>
      <w:pPr>
        <w:ind w:left="6046" w:hanging="360"/>
      </w:pPr>
    </w:lvl>
    <w:lvl w:ilvl="7">
      <w:numFmt w:val="bullet"/>
      <w:lvlText w:val="•"/>
      <w:lvlJc w:val="left"/>
      <w:pPr>
        <w:ind w:left="6940" w:hanging="360"/>
      </w:pPr>
    </w:lvl>
    <w:lvl w:ilvl="8">
      <w:numFmt w:val="bullet"/>
      <w:lvlText w:val="•"/>
      <w:lvlJc w:val="left"/>
      <w:pPr>
        <w:ind w:left="7833" w:hanging="360"/>
      </w:pPr>
    </w:lvl>
  </w:abstractNum>
  <w:abstractNum w:abstractNumId="81">
    <w:nsid w:val="00000453"/>
    <w:multiLevelType w:val="multilevel"/>
    <w:tmpl w:val="000008D6"/>
    <w:lvl w:ilvl="0">
      <w:start w:val="1"/>
      <w:numFmt w:val="decimal"/>
      <w:lvlText w:val="%1."/>
      <w:lvlJc w:val="left"/>
      <w:pPr>
        <w:ind w:left="840" w:hanging="360"/>
      </w:pPr>
      <w:rPr>
        <w:rFonts w:ascii="Times New Roman" w:hAnsi="Times New Roman" w:cs="Times New Roman"/>
        <w:b/>
        <w:bCs/>
        <w:spacing w:val="-4"/>
        <w:w w:val="99"/>
        <w:sz w:val="24"/>
        <w:szCs w:val="24"/>
      </w:rPr>
    </w:lvl>
    <w:lvl w:ilvl="1">
      <w:numFmt w:val="bullet"/>
      <w:lvlText w:val="•"/>
      <w:lvlJc w:val="left"/>
      <w:pPr>
        <w:ind w:left="1716" w:hanging="360"/>
      </w:pPr>
    </w:lvl>
    <w:lvl w:ilvl="2">
      <w:numFmt w:val="bullet"/>
      <w:lvlText w:val="•"/>
      <w:lvlJc w:val="left"/>
      <w:pPr>
        <w:ind w:left="2592" w:hanging="360"/>
      </w:pPr>
    </w:lvl>
    <w:lvl w:ilvl="3">
      <w:numFmt w:val="bullet"/>
      <w:lvlText w:val="•"/>
      <w:lvlJc w:val="left"/>
      <w:pPr>
        <w:ind w:left="3468" w:hanging="360"/>
      </w:pPr>
    </w:lvl>
    <w:lvl w:ilvl="4">
      <w:numFmt w:val="bullet"/>
      <w:lvlText w:val="•"/>
      <w:lvlJc w:val="left"/>
      <w:pPr>
        <w:ind w:left="4344" w:hanging="360"/>
      </w:pPr>
    </w:lvl>
    <w:lvl w:ilvl="5">
      <w:numFmt w:val="bullet"/>
      <w:lvlText w:val="•"/>
      <w:lvlJc w:val="left"/>
      <w:pPr>
        <w:ind w:left="5220" w:hanging="360"/>
      </w:pPr>
    </w:lvl>
    <w:lvl w:ilvl="6">
      <w:numFmt w:val="bullet"/>
      <w:lvlText w:val="•"/>
      <w:lvlJc w:val="left"/>
      <w:pPr>
        <w:ind w:left="6096" w:hanging="360"/>
      </w:pPr>
    </w:lvl>
    <w:lvl w:ilvl="7">
      <w:numFmt w:val="bullet"/>
      <w:lvlText w:val="•"/>
      <w:lvlJc w:val="left"/>
      <w:pPr>
        <w:ind w:left="6972" w:hanging="360"/>
      </w:pPr>
    </w:lvl>
    <w:lvl w:ilvl="8">
      <w:numFmt w:val="bullet"/>
      <w:lvlText w:val="•"/>
      <w:lvlJc w:val="left"/>
      <w:pPr>
        <w:ind w:left="7848" w:hanging="360"/>
      </w:pPr>
    </w:lvl>
  </w:abstractNum>
  <w:abstractNum w:abstractNumId="82">
    <w:nsid w:val="00000454"/>
    <w:multiLevelType w:val="multilevel"/>
    <w:tmpl w:val="000008D7"/>
    <w:lvl w:ilvl="0">
      <w:start w:val="1"/>
      <w:numFmt w:val="lowerRoman"/>
      <w:lvlText w:val="%1."/>
      <w:lvlJc w:val="left"/>
      <w:pPr>
        <w:ind w:left="820" w:hanging="488"/>
      </w:pPr>
      <w:rPr>
        <w:rFonts w:ascii="Times New Roman" w:hAnsi="Times New Roman" w:cs="Times New Roman"/>
        <w:b w:val="0"/>
        <w:bCs w:val="0"/>
        <w:i/>
        <w:iCs/>
        <w:spacing w:val="-4"/>
        <w:w w:val="99"/>
        <w:sz w:val="24"/>
        <w:szCs w:val="24"/>
      </w:rPr>
    </w:lvl>
    <w:lvl w:ilvl="1">
      <w:numFmt w:val="bullet"/>
      <w:lvlText w:val="•"/>
      <w:lvlJc w:val="left"/>
      <w:pPr>
        <w:ind w:left="1696" w:hanging="488"/>
      </w:pPr>
    </w:lvl>
    <w:lvl w:ilvl="2">
      <w:numFmt w:val="bullet"/>
      <w:lvlText w:val="•"/>
      <w:lvlJc w:val="left"/>
      <w:pPr>
        <w:ind w:left="2572" w:hanging="488"/>
      </w:pPr>
    </w:lvl>
    <w:lvl w:ilvl="3">
      <w:numFmt w:val="bullet"/>
      <w:lvlText w:val="•"/>
      <w:lvlJc w:val="left"/>
      <w:pPr>
        <w:ind w:left="3448" w:hanging="488"/>
      </w:pPr>
    </w:lvl>
    <w:lvl w:ilvl="4">
      <w:numFmt w:val="bullet"/>
      <w:lvlText w:val="•"/>
      <w:lvlJc w:val="left"/>
      <w:pPr>
        <w:ind w:left="4324" w:hanging="488"/>
      </w:pPr>
    </w:lvl>
    <w:lvl w:ilvl="5">
      <w:numFmt w:val="bullet"/>
      <w:lvlText w:val="•"/>
      <w:lvlJc w:val="left"/>
      <w:pPr>
        <w:ind w:left="5200" w:hanging="488"/>
      </w:pPr>
    </w:lvl>
    <w:lvl w:ilvl="6">
      <w:numFmt w:val="bullet"/>
      <w:lvlText w:val="•"/>
      <w:lvlJc w:val="left"/>
      <w:pPr>
        <w:ind w:left="6076" w:hanging="488"/>
      </w:pPr>
    </w:lvl>
    <w:lvl w:ilvl="7">
      <w:numFmt w:val="bullet"/>
      <w:lvlText w:val="•"/>
      <w:lvlJc w:val="left"/>
      <w:pPr>
        <w:ind w:left="6952" w:hanging="488"/>
      </w:pPr>
    </w:lvl>
    <w:lvl w:ilvl="8">
      <w:numFmt w:val="bullet"/>
      <w:lvlText w:val="•"/>
      <w:lvlJc w:val="left"/>
      <w:pPr>
        <w:ind w:left="7828" w:hanging="488"/>
      </w:pPr>
    </w:lvl>
  </w:abstractNum>
  <w:abstractNum w:abstractNumId="83">
    <w:nsid w:val="00000455"/>
    <w:multiLevelType w:val="multilevel"/>
    <w:tmpl w:val="000008D8"/>
    <w:lvl w:ilvl="0">
      <w:start w:val="1"/>
      <w:numFmt w:val="decimal"/>
      <w:lvlText w:val="%1."/>
      <w:lvlJc w:val="left"/>
      <w:pPr>
        <w:ind w:left="1020" w:hanging="360"/>
      </w:pPr>
      <w:rPr>
        <w:rFonts w:ascii="Century Gothic" w:hAnsi="Century Gothic" w:cs="Century Gothic"/>
        <w:b w:val="0"/>
        <w:bCs w:val="0"/>
        <w:w w:val="100"/>
        <w:sz w:val="22"/>
        <w:szCs w:val="22"/>
      </w:rPr>
    </w:lvl>
    <w:lvl w:ilvl="1">
      <w:start w:val="1"/>
      <w:numFmt w:val="lowerLetter"/>
      <w:lvlText w:val="%2."/>
      <w:lvlJc w:val="left"/>
      <w:pPr>
        <w:ind w:left="1539" w:hanging="361"/>
      </w:pPr>
      <w:rPr>
        <w:rFonts w:ascii="Century Gothic" w:hAnsi="Century Gothic" w:cs="Century Gothic"/>
        <w:b w:val="0"/>
        <w:bCs w:val="0"/>
        <w:w w:val="100"/>
        <w:sz w:val="22"/>
        <w:szCs w:val="22"/>
      </w:rPr>
    </w:lvl>
    <w:lvl w:ilvl="2">
      <w:numFmt w:val="bullet"/>
      <w:lvlText w:val="•"/>
      <w:lvlJc w:val="left"/>
      <w:pPr>
        <w:ind w:left="2588" w:hanging="361"/>
      </w:pPr>
    </w:lvl>
    <w:lvl w:ilvl="3">
      <w:numFmt w:val="bullet"/>
      <w:lvlText w:val="•"/>
      <w:lvlJc w:val="left"/>
      <w:pPr>
        <w:ind w:left="3637" w:hanging="361"/>
      </w:pPr>
    </w:lvl>
    <w:lvl w:ilvl="4">
      <w:numFmt w:val="bullet"/>
      <w:lvlText w:val="•"/>
      <w:lvlJc w:val="left"/>
      <w:pPr>
        <w:ind w:left="4686" w:hanging="361"/>
      </w:pPr>
    </w:lvl>
    <w:lvl w:ilvl="5">
      <w:numFmt w:val="bullet"/>
      <w:lvlText w:val="•"/>
      <w:lvlJc w:val="left"/>
      <w:pPr>
        <w:ind w:left="5735" w:hanging="361"/>
      </w:pPr>
    </w:lvl>
    <w:lvl w:ilvl="6">
      <w:numFmt w:val="bullet"/>
      <w:lvlText w:val="•"/>
      <w:lvlJc w:val="left"/>
      <w:pPr>
        <w:ind w:left="6784" w:hanging="361"/>
      </w:pPr>
    </w:lvl>
    <w:lvl w:ilvl="7">
      <w:numFmt w:val="bullet"/>
      <w:lvlText w:val="•"/>
      <w:lvlJc w:val="left"/>
      <w:pPr>
        <w:ind w:left="7833" w:hanging="361"/>
      </w:pPr>
    </w:lvl>
    <w:lvl w:ilvl="8">
      <w:numFmt w:val="bullet"/>
      <w:lvlText w:val="•"/>
      <w:lvlJc w:val="left"/>
      <w:pPr>
        <w:ind w:left="8882" w:hanging="361"/>
      </w:pPr>
    </w:lvl>
  </w:abstractNum>
  <w:abstractNum w:abstractNumId="84">
    <w:nsid w:val="00000456"/>
    <w:multiLevelType w:val="multilevel"/>
    <w:tmpl w:val="000008D9"/>
    <w:lvl w:ilvl="0">
      <w:numFmt w:val="bullet"/>
      <w:lvlText w:val="•"/>
      <w:lvlJc w:val="left"/>
      <w:pPr>
        <w:ind w:left="813" w:hanging="699"/>
      </w:pPr>
      <w:rPr>
        <w:rFonts w:ascii="Times New Roman" w:hAnsi="Times New Roman"/>
        <w:b w:val="0"/>
        <w:w w:val="99"/>
        <w:sz w:val="23"/>
      </w:rPr>
    </w:lvl>
    <w:lvl w:ilvl="1">
      <w:numFmt w:val="bullet"/>
      <w:lvlText w:val="•"/>
      <w:lvlJc w:val="left"/>
      <w:pPr>
        <w:ind w:left="1688" w:hanging="699"/>
      </w:pPr>
    </w:lvl>
    <w:lvl w:ilvl="2">
      <w:numFmt w:val="bullet"/>
      <w:lvlText w:val="•"/>
      <w:lvlJc w:val="left"/>
      <w:pPr>
        <w:ind w:left="2556" w:hanging="699"/>
      </w:pPr>
    </w:lvl>
    <w:lvl w:ilvl="3">
      <w:numFmt w:val="bullet"/>
      <w:lvlText w:val="•"/>
      <w:lvlJc w:val="left"/>
      <w:pPr>
        <w:ind w:left="3424" w:hanging="699"/>
      </w:pPr>
    </w:lvl>
    <w:lvl w:ilvl="4">
      <w:numFmt w:val="bullet"/>
      <w:lvlText w:val="•"/>
      <w:lvlJc w:val="left"/>
      <w:pPr>
        <w:ind w:left="4292" w:hanging="699"/>
      </w:pPr>
    </w:lvl>
    <w:lvl w:ilvl="5">
      <w:numFmt w:val="bullet"/>
      <w:lvlText w:val="•"/>
      <w:lvlJc w:val="left"/>
      <w:pPr>
        <w:ind w:left="5160" w:hanging="699"/>
      </w:pPr>
    </w:lvl>
    <w:lvl w:ilvl="6">
      <w:numFmt w:val="bullet"/>
      <w:lvlText w:val="•"/>
      <w:lvlJc w:val="left"/>
      <w:pPr>
        <w:ind w:left="6028" w:hanging="699"/>
      </w:pPr>
    </w:lvl>
    <w:lvl w:ilvl="7">
      <w:numFmt w:val="bullet"/>
      <w:lvlText w:val="•"/>
      <w:lvlJc w:val="left"/>
      <w:pPr>
        <w:ind w:left="6896" w:hanging="699"/>
      </w:pPr>
    </w:lvl>
    <w:lvl w:ilvl="8">
      <w:numFmt w:val="bullet"/>
      <w:lvlText w:val="•"/>
      <w:lvlJc w:val="left"/>
      <w:pPr>
        <w:ind w:left="7764" w:hanging="699"/>
      </w:pPr>
    </w:lvl>
  </w:abstractNum>
  <w:abstractNum w:abstractNumId="85">
    <w:nsid w:val="00000457"/>
    <w:multiLevelType w:val="multilevel"/>
    <w:tmpl w:val="000008DA"/>
    <w:lvl w:ilvl="0">
      <w:numFmt w:val="bullet"/>
      <w:lvlText w:val="●"/>
      <w:lvlJc w:val="left"/>
      <w:pPr>
        <w:ind w:left="863" w:hanging="360"/>
      </w:pPr>
      <w:rPr>
        <w:rFonts w:ascii="Times New Roman" w:hAnsi="Times New Roman"/>
        <w:b w:val="0"/>
        <w:spacing w:val="-6"/>
        <w:w w:val="99"/>
        <w:sz w:val="24"/>
      </w:rPr>
    </w:lvl>
    <w:lvl w:ilvl="1">
      <w:numFmt w:val="bullet"/>
      <w:lvlText w:val="•"/>
      <w:lvlJc w:val="left"/>
      <w:pPr>
        <w:ind w:left="1836" w:hanging="360"/>
      </w:pPr>
    </w:lvl>
    <w:lvl w:ilvl="2">
      <w:numFmt w:val="bullet"/>
      <w:lvlText w:val="•"/>
      <w:lvlJc w:val="left"/>
      <w:pPr>
        <w:ind w:left="2812" w:hanging="360"/>
      </w:pPr>
    </w:lvl>
    <w:lvl w:ilvl="3">
      <w:numFmt w:val="bullet"/>
      <w:lvlText w:val="•"/>
      <w:lvlJc w:val="left"/>
      <w:pPr>
        <w:ind w:left="3788" w:hanging="360"/>
      </w:pPr>
    </w:lvl>
    <w:lvl w:ilvl="4">
      <w:numFmt w:val="bullet"/>
      <w:lvlText w:val="•"/>
      <w:lvlJc w:val="left"/>
      <w:pPr>
        <w:ind w:left="4764" w:hanging="360"/>
      </w:pPr>
    </w:lvl>
    <w:lvl w:ilvl="5">
      <w:numFmt w:val="bullet"/>
      <w:lvlText w:val="•"/>
      <w:lvlJc w:val="left"/>
      <w:pPr>
        <w:ind w:left="5740" w:hanging="360"/>
      </w:pPr>
    </w:lvl>
    <w:lvl w:ilvl="6">
      <w:numFmt w:val="bullet"/>
      <w:lvlText w:val="•"/>
      <w:lvlJc w:val="left"/>
      <w:pPr>
        <w:ind w:left="6716" w:hanging="360"/>
      </w:pPr>
    </w:lvl>
    <w:lvl w:ilvl="7">
      <w:numFmt w:val="bullet"/>
      <w:lvlText w:val="•"/>
      <w:lvlJc w:val="left"/>
      <w:pPr>
        <w:ind w:left="7692" w:hanging="360"/>
      </w:pPr>
    </w:lvl>
    <w:lvl w:ilvl="8">
      <w:numFmt w:val="bullet"/>
      <w:lvlText w:val="•"/>
      <w:lvlJc w:val="left"/>
      <w:pPr>
        <w:ind w:left="8668" w:hanging="360"/>
      </w:pPr>
    </w:lvl>
  </w:abstractNum>
  <w:abstractNum w:abstractNumId="86">
    <w:nsid w:val="00000458"/>
    <w:multiLevelType w:val="multilevel"/>
    <w:tmpl w:val="000008DB"/>
    <w:lvl w:ilvl="0">
      <w:numFmt w:val="bullet"/>
      <w:lvlText w:val=""/>
      <w:lvlJc w:val="left"/>
      <w:pPr>
        <w:ind w:left="842" w:hanging="363"/>
      </w:pPr>
      <w:rPr>
        <w:rFonts w:ascii="Symbol" w:hAnsi="Symbol"/>
        <w:b w:val="0"/>
        <w:w w:val="100"/>
        <w:sz w:val="24"/>
      </w:rPr>
    </w:lvl>
    <w:lvl w:ilvl="1">
      <w:numFmt w:val="bullet"/>
      <w:lvlText w:val="•"/>
      <w:lvlJc w:val="left"/>
      <w:pPr>
        <w:ind w:left="1716" w:hanging="363"/>
      </w:pPr>
    </w:lvl>
    <w:lvl w:ilvl="2">
      <w:numFmt w:val="bullet"/>
      <w:lvlText w:val="•"/>
      <w:lvlJc w:val="left"/>
      <w:pPr>
        <w:ind w:left="2592" w:hanging="363"/>
      </w:pPr>
    </w:lvl>
    <w:lvl w:ilvl="3">
      <w:numFmt w:val="bullet"/>
      <w:lvlText w:val="•"/>
      <w:lvlJc w:val="left"/>
      <w:pPr>
        <w:ind w:left="3468" w:hanging="363"/>
      </w:pPr>
    </w:lvl>
    <w:lvl w:ilvl="4">
      <w:numFmt w:val="bullet"/>
      <w:lvlText w:val="•"/>
      <w:lvlJc w:val="left"/>
      <w:pPr>
        <w:ind w:left="4344" w:hanging="363"/>
      </w:pPr>
    </w:lvl>
    <w:lvl w:ilvl="5">
      <w:numFmt w:val="bullet"/>
      <w:lvlText w:val="•"/>
      <w:lvlJc w:val="left"/>
      <w:pPr>
        <w:ind w:left="5220" w:hanging="363"/>
      </w:pPr>
    </w:lvl>
    <w:lvl w:ilvl="6">
      <w:numFmt w:val="bullet"/>
      <w:lvlText w:val="•"/>
      <w:lvlJc w:val="left"/>
      <w:pPr>
        <w:ind w:left="6096" w:hanging="363"/>
      </w:pPr>
    </w:lvl>
    <w:lvl w:ilvl="7">
      <w:numFmt w:val="bullet"/>
      <w:lvlText w:val="•"/>
      <w:lvlJc w:val="left"/>
      <w:pPr>
        <w:ind w:left="6972" w:hanging="363"/>
      </w:pPr>
    </w:lvl>
    <w:lvl w:ilvl="8">
      <w:numFmt w:val="bullet"/>
      <w:lvlText w:val="•"/>
      <w:lvlJc w:val="left"/>
      <w:pPr>
        <w:ind w:left="7848" w:hanging="363"/>
      </w:pPr>
    </w:lvl>
  </w:abstractNum>
  <w:abstractNum w:abstractNumId="87">
    <w:nsid w:val="00000459"/>
    <w:multiLevelType w:val="multilevel"/>
    <w:tmpl w:val="000008DC"/>
    <w:lvl w:ilvl="0">
      <w:numFmt w:val="bullet"/>
      <w:lvlText w:val=""/>
      <w:lvlJc w:val="left"/>
      <w:pPr>
        <w:ind w:left="820" w:hanging="360"/>
      </w:pPr>
      <w:rPr>
        <w:rFonts w:ascii="Symbol" w:hAnsi="Symbol"/>
        <w:b w:val="0"/>
        <w:w w:val="100"/>
        <w:sz w:val="22"/>
      </w:rPr>
    </w:lvl>
    <w:lvl w:ilvl="1">
      <w:numFmt w:val="bullet"/>
      <w:lvlText w:val="•"/>
      <w:lvlJc w:val="left"/>
      <w:pPr>
        <w:ind w:left="1530" w:hanging="344"/>
      </w:pPr>
      <w:rPr>
        <w:rFonts w:ascii="Times New Roman" w:hAnsi="Times New Roman"/>
        <w:b w:val="0"/>
        <w:w w:val="150"/>
        <w:sz w:val="23"/>
      </w:rPr>
    </w:lvl>
    <w:lvl w:ilvl="2">
      <w:numFmt w:val="bullet"/>
      <w:lvlText w:val="•"/>
      <w:lvlJc w:val="left"/>
      <w:pPr>
        <w:ind w:left="2431" w:hanging="344"/>
      </w:pPr>
    </w:lvl>
    <w:lvl w:ilvl="3">
      <w:numFmt w:val="bullet"/>
      <w:lvlText w:val="•"/>
      <w:lvlJc w:val="left"/>
      <w:pPr>
        <w:ind w:left="3322" w:hanging="344"/>
      </w:pPr>
    </w:lvl>
    <w:lvl w:ilvl="4">
      <w:numFmt w:val="bullet"/>
      <w:lvlText w:val="•"/>
      <w:lvlJc w:val="left"/>
      <w:pPr>
        <w:ind w:left="4213" w:hanging="344"/>
      </w:pPr>
    </w:lvl>
    <w:lvl w:ilvl="5">
      <w:numFmt w:val="bullet"/>
      <w:lvlText w:val="•"/>
      <w:lvlJc w:val="left"/>
      <w:pPr>
        <w:ind w:left="5104" w:hanging="344"/>
      </w:pPr>
    </w:lvl>
    <w:lvl w:ilvl="6">
      <w:numFmt w:val="bullet"/>
      <w:lvlText w:val="•"/>
      <w:lvlJc w:val="left"/>
      <w:pPr>
        <w:ind w:left="5995" w:hanging="344"/>
      </w:pPr>
    </w:lvl>
    <w:lvl w:ilvl="7">
      <w:numFmt w:val="bullet"/>
      <w:lvlText w:val="•"/>
      <w:lvlJc w:val="left"/>
      <w:pPr>
        <w:ind w:left="6886" w:hanging="344"/>
      </w:pPr>
    </w:lvl>
    <w:lvl w:ilvl="8">
      <w:numFmt w:val="bullet"/>
      <w:lvlText w:val="•"/>
      <w:lvlJc w:val="left"/>
      <w:pPr>
        <w:ind w:left="7777" w:hanging="344"/>
      </w:pPr>
    </w:lvl>
  </w:abstractNum>
  <w:abstractNum w:abstractNumId="88">
    <w:nsid w:val="0000045A"/>
    <w:multiLevelType w:val="multilevel"/>
    <w:tmpl w:val="000008DD"/>
    <w:lvl w:ilvl="0">
      <w:numFmt w:val="bullet"/>
      <w:lvlText w:val="•"/>
      <w:lvlJc w:val="left"/>
      <w:pPr>
        <w:ind w:left="800" w:hanging="353"/>
      </w:pPr>
      <w:rPr>
        <w:rFonts w:ascii="Arial" w:hAnsi="Arial"/>
        <w:b w:val="0"/>
        <w:w w:val="174"/>
      </w:rPr>
    </w:lvl>
    <w:lvl w:ilvl="1">
      <w:numFmt w:val="bullet"/>
      <w:lvlText w:val="•"/>
      <w:lvlJc w:val="left"/>
      <w:pPr>
        <w:ind w:left="1768" w:hanging="353"/>
      </w:pPr>
    </w:lvl>
    <w:lvl w:ilvl="2">
      <w:numFmt w:val="bullet"/>
      <w:lvlText w:val="•"/>
      <w:lvlJc w:val="left"/>
      <w:pPr>
        <w:ind w:left="2736" w:hanging="353"/>
      </w:pPr>
    </w:lvl>
    <w:lvl w:ilvl="3">
      <w:numFmt w:val="bullet"/>
      <w:lvlText w:val="•"/>
      <w:lvlJc w:val="left"/>
      <w:pPr>
        <w:ind w:left="3704" w:hanging="353"/>
      </w:pPr>
    </w:lvl>
    <w:lvl w:ilvl="4">
      <w:numFmt w:val="bullet"/>
      <w:lvlText w:val="•"/>
      <w:lvlJc w:val="left"/>
      <w:pPr>
        <w:ind w:left="4672" w:hanging="353"/>
      </w:pPr>
    </w:lvl>
    <w:lvl w:ilvl="5">
      <w:numFmt w:val="bullet"/>
      <w:lvlText w:val="•"/>
      <w:lvlJc w:val="left"/>
      <w:pPr>
        <w:ind w:left="5640" w:hanging="353"/>
      </w:pPr>
    </w:lvl>
    <w:lvl w:ilvl="6">
      <w:numFmt w:val="bullet"/>
      <w:lvlText w:val="•"/>
      <w:lvlJc w:val="left"/>
      <w:pPr>
        <w:ind w:left="6608" w:hanging="353"/>
      </w:pPr>
    </w:lvl>
    <w:lvl w:ilvl="7">
      <w:numFmt w:val="bullet"/>
      <w:lvlText w:val="•"/>
      <w:lvlJc w:val="left"/>
      <w:pPr>
        <w:ind w:left="7576" w:hanging="353"/>
      </w:pPr>
    </w:lvl>
    <w:lvl w:ilvl="8">
      <w:numFmt w:val="bullet"/>
      <w:lvlText w:val="•"/>
      <w:lvlJc w:val="left"/>
      <w:pPr>
        <w:ind w:left="8544" w:hanging="353"/>
      </w:pPr>
    </w:lvl>
  </w:abstractNum>
  <w:abstractNum w:abstractNumId="89">
    <w:nsid w:val="0000045B"/>
    <w:multiLevelType w:val="multilevel"/>
    <w:tmpl w:val="000008DE"/>
    <w:lvl w:ilvl="0">
      <w:numFmt w:val="bullet"/>
      <w:lvlText w:val=""/>
      <w:lvlJc w:val="left"/>
      <w:pPr>
        <w:ind w:left="840" w:hanging="361"/>
      </w:pPr>
      <w:rPr>
        <w:rFonts w:ascii="Symbol" w:hAnsi="Symbol"/>
        <w:b w:val="0"/>
        <w:w w:val="100"/>
        <w:sz w:val="22"/>
      </w:rPr>
    </w:lvl>
    <w:lvl w:ilvl="1">
      <w:numFmt w:val="bullet"/>
      <w:lvlText w:val="•"/>
      <w:lvlJc w:val="left"/>
      <w:pPr>
        <w:ind w:left="1714" w:hanging="361"/>
      </w:pPr>
    </w:lvl>
    <w:lvl w:ilvl="2">
      <w:numFmt w:val="bullet"/>
      <w:lvlText w:val="•"/>
      <w:lvlJc w:val="left"/>
      <w:pPr>
        <w:ind w:left="2588" w:hanging="361"/>
      </w:pPr>
    </w:lvl>
    <w:lvl w:ilvl="3">
      <w:numFmt w:val="bullet"/>
      <w:lvlText w:val="•"/>
      <w:lvlJc w:val="left"/>
      <w:pPr>
        <w:ind w:left="3462" w:hanging="361"/>
      </w:pPr>
    </w:lvl>
    <w:lvl w:ilvl="4">
      <w:numFmt w:val="bullet"/>
      <w:lvlText w:val="•"/>
      <w:lvlJc w:val="left"/>
      <w:pPr>
        <w:ind w:left="4336" w:hanging="361"/>
      </w:pPr>
    </w:lvl>
    <w:lvl w:ilvl="5">
      <w:numFmt w:val="bullet"/>
      <w:lvlText w:val="•"/>
      <w:lvlJc w:val="left"/>
      <w:pPr>
        <w:ind w:left="5210" w:hanging="361"/>
      </w:pPr>
    </w:lvl>
    <w:lvl w:ilvl="6">
      <w:numFmt w:val="bullet"/>
      <w:lvlText w:val="•"/>
      <w:lvlJc w:val="left"/>
      <w:pPr>
        <w:ind w:left="6084" w:hanging="361"/>
      </w:pPr>
    </w:lvl>
    <w:lvl w:ilvl="7">
      <w:numFmt w:val="bullet"/>
      <w:lvlText w:val="•"/>
      <w:lvlJc w:val="left"/>
      <w:pPr>
        <w:ind w:left="6958" w:hanging="361"/>
      </w:pPr>
    </w:lvl>
    <w:lvl w:ilvl="8">
      <w:numFmt w:val="bullet"/>
      <w:lvlText w:val="•"/>
      <w:lvlJc w:val="left"/>
      <w:pPr>
        <w:ind w:left="7832" w:hanging="361"/>
      </w:pPr>
    </w:lvl>
  </w:abstractNum>
  <w:abstractNum w:abstractNumId="90">
    <w:nsid w:val="0000045C"/>
    <w:multiLevelType w:val="multilevel"/>
    <w:tmpl w:val="000008DF"/>
    <w:lvl w:ilvl="0">
      <w:start w:val="1"/>
      <w:numFmt w:val="lowerLetter"/>
      <w:lvlText w:val="(%1)"/>
      <w:lvlJc w:val="left"/>
      <w:pPr>
        <w:ind w:left="260" w:hanging="298"/>
      </w:pPr>
      <w:rPr>
        <w:rFonts w:ascii="Gill Sans MT" w:hAnsi="Gill Sans MT" w:cs="Gill Sans MT"/>
        <w:b w:val="0"/>
        <w:bCs w:val="0"/>
        <w:color w:val="161616"/>
        <w:spacing w:val="-2"/>
        <w:w w:val="99"/>
        <w:sz w:val="22"/>
        <w:szCs w:val="22"/>
      </w:rPr>
    </w:lvl>
    <w:lvl w:ilvl="1">
      <w:numFmt w:val="bullet"/>
      <w:lvlText w:val=""/>
      <w:lvlJc w:val="left"/>
      <w:pPr>
        <w:ind w:left="980" w:hanging="360"/>
      </w:pPr>
      <w:rPr>
        <w:rFonts w:ascii="Symbol" w:hAnsi="Symbol"/>
        <w:b w:val="0"/>
        <w:color w:val="161616"/>
        <w:w w:val="99"/>
        <w:sz w:val="22"/>
      </w:rPr>
    </w:lvl>
    <w:lvl w:ilvl="2">
      <w:numFmt w:val="bullet"/>
      <w:lvlText w:val=""/>
      <w:lvlJc w:val="left"/>
      <w:pPr>
        <w:ind w:left="1100" w:hanging="360"/>
      </w:pPr>
      <w:rPr>
        <w:rFonts w:ascii="Symbol" w:hAnsi="Symbol"/>
        <w:b w:val="0"/>
        <w:color w:val="161616"/>
        <w:w w:val="99"/>
        <w:sz w:val="22"/>
      </w:rPr>
    </w:lvl>
    <w:lvl w:ilvl="3">
      <w:numFmt w:val="bullet"/>
      <w:lvlText w:val="•"/>
      <w:lvlJc w:val="left"/>
      <w:pPr>
        <w:ind w:left="1287" w:hanging="348"/>
      </w:pPr>
      <w:rPr>
        <w:rFonts w:ascii="Times New Roman" w:hAnsi="Times New Roman"/>
        <w:b w:val="0"/>
        <w:color w:val="535353"/>
        <w:w w:val="149"/>
        <w:sz w:val="27"/>
      </w:rPr>
    </w:lvl>
    <w:lvl w:ilvl="4">
      <w:numFmt w:val="bullet"/>
      <w:lvlText w:val="•"/>
      <w:lvlJc w:val="left"/>
      <w:pPr>
        <w:ind w:left="2505" w:hanging="348"/>
      </w:pPr>
    </w:lvl>
    <w:lvl w:ilvl="5">
      <w:numFmt w:val="bullet"/>
      <w:lvlText w:val="•"/>
      <w:lvlJc w:val="left"/>
      <w:pPr>
        <w:ind w:left="3731" w:hanging="348"/>
      </w:pPr>
    </w:lvl>
    <w:lvl w:ilvl="6">
      <w:numFmt w:val="bullet"/>
      <w:lvlText w:val="•"/>
      <w:lvlJc w:val="left"/>
      <w:pPr>
        <w:ind w:left="4957" w:hanging="348"/>
      </w:pPr>
    </w:lvl>
    <w:lvl w:ilvl="7">
      <w:numFmt w:val="bullet"/>
      <w:lvlText w:val="•"/>
      <w:lvlJc w:val="left"/>
      <w:pPr>
        <w:ind w:left="6182" w:hanging="348"/>
      </w:pPr>
    </w:lvl>
    <w:lvl w:ilvl="8">
      <w:numFmt w:val="bullet"/>
      <w:lvlText w:val="•"/>
      <w:lvlJc w:val="left"/>
      <w:pPr>
        <w:ind w:left="7408" w:hanging="348"/>
      </w:pPr>
    </w:lvl>
  </w:abstractNum>
  <w:abstractNum w:abstractNumId="91">
    <w:nsid w:val="0000045D"/>
    <w:multiLevelType w:val="multilevel"/>
    <w:tmpl w:val="000008E0"/>
    <w:lvl w:ilvl="0">
      <w:numFmt w:val="bullet"/>
      <w:lvlText w:val="-"/>
      <w:lvlJc w:val="left"/>
      <w:pPr>
        <w:ind w:left="836" w:hanging="620"/>
      </w:pPr>
      <w:rPr>
        <w:rFonts w:ascii="Calibri" w:hAnsi="Calibri"/>
        <w:b w:val="0"/>
        <w:w w:val="100"/>
      </w:rPr>
    </w:lvl>
    <w:lvl w:ilvl="1">
      <w:numFmt w:val="bullet"/>
      <w:lvlText w:val="•"/>
      <w:lvlJc w:val="left"/>
      <w:pPr>
        <w:ind w:left="1714" w:hanging="620"/>
      </w:pPr>
    </w:lvl>
    <w:lvl w:ilvl="2">
      <w:numFmt w:val="bullet"/>
      <w:lvlText w:val="•"/>
      <w:lvlJc w:val="left"/>
      <w:pPr>
        <w:ind w:left="2588" w:hanging="620"/>
      </w:pPr>
    </w:lvl>
    <w:lvl w:ilvl="3">
      <w:numFmt w:val="bullet"/>
      <w:lvlText w:val="•"/>
      <w:lvlJc w:val="left"/>
      <w:pPr>
        <w:ind w:left="3462" w:hanging="620"/>
      </w:pPr>
    </w:lvl>
    <w:lvl w:ilvl="4">
      <w:numFmt w:val="bullet"/>
      <w:lvlText w:val="•"/>
      <w:lvlJc w:val="left"/>
      <w:pPr>
        <w:ind w:left="4336" w:hanging="620"/>
      </w:pPr>
    </w:lvl>
    <w:lvl w:ilvl="5">
      <w:numFmt w:val="bullet"/>
      <w:lvlText w:val="•"/>
      <w:lvlJc w:val="left"/>
      <w:pPr>
        <w:ind w:left="5210" w:hanging="620"/>
      </w:pPr>
    </w:lvl>
    <w:lvl w:ilvl="6">
      <w:numFmt w:val="bullet"/>
      <w:lvlText w:val="•"/>
      <w:lvlJc w:val="left"/>
      <w:pPr>
        <w:ind w:left="6084" w:hanging="620"/>
      </w:pPr>
    </w:lvl>
    <w:lvl w:ilvl="7">
      <w:numFmt w:val="bullet"/>
      <w:lvlText w:val="•"/>
      <w:lvlJc w:val="left"/>
      <w:pPr>
        <w:ind w:left="6958" w:hanging="620"/>
      </w:pPr>
    </w:lvl>
    <w:lvl w:ilvl="8">
      <w:numFmt w:val="bullet"/>
      <w:lvlText w:val="•"/>
      <w:lvlJc w:val="left"/>
      <w:pPr>
        <w:ind w:left="7832" w:hanging="620"/>
      </w:pPr>
    </w:lvl>
  </w:abstractNum>
  <w:abstractNum w:abstractNumId="92">
    <w:nsid w:val="0000045E"/>
    <w:multiLevelType w:val="multilevel"/>
    <w:tmpl w:val="000008E1"/>
    <w:lvl w:ilvl="0">
      <w:numFmt w:val="bullet"/>
      <w:lvlText w:val="•"/>
      <w:lvlJc w:val="left"/>
      <w:pPr>
        <w:ind w:left="1937" w:hanging="437"/>
      </w:pPr>
      <w:rPr>
        <w:rFonts w:ascii="Arial" w:hAnsi="Arial"/>
        <w:b w:val="0"/>
        <w:w w:val="117"/>
        <w:sz w:val="41"/>
      </w:rPr>
    </w:lvl>
    <w:lvl w:ilvl="1">
      <w:numFmt w:val="bullet"/>
      <w:lvlText w:val="•"/>
      <w:lvlJc w:val="left"/>
      <w:pPr>
        <w:ind w:left="3216" w:hanging="437"/>
      </w:pPr>
    </w:lvl>
    <w:lvl w:ilvl="2">
      <w:numFmt w:val="bullet"/>
      <w:lvlText w:val="•"/>
      <w:lvlJc w:val="left"/>
      <w:pPr>
        <w:ind w:left="4492" w:hanging="437"/>
      </w:pPr>
    </w:lvl>
    <w:lvl w:ilvl="3">
      <w:numFmt w:val="bullet"/>
      <w:lvlText w:val="•"/>
      <w:lvlJc w:val="left"/>
      <w:pPr>
        <w:ind w:left="5768" w:hanging="437"/>
      </w:pPr>
    </w:lvl>
    <w:lvl w:ilvl="4">
      <w:numFmt w:val="bullet"/>
      <w:lvlText w:val="•"/>
      <w:lvlJc w:val="left"/>
      <w:pPr>
        <w:ind w:left="7044" w:hanging="437"/>
      </w:pPr>
    </w:lvl>
    <w:lvl w:ilvl="5">
      <w:numFmt w:val="bullet"/>
      <w:lvlText w:val="•"/>
      <w:lvlJc w:val="left"/>
      <w:pPr>
        <w:ind w:left="8320" w:hanging="437"/>
      </w:pPr>
    </w:lvl>
    <w:lvl w:ilvl="6">
      <w:numFmt w:val="bullet"/>
      <w:lvlText w:val="•"/>
      <w:lvlJc w:val="left"/>
      <w:pPr>
        <w:ind w:left="9596" w:hanging="437"/>
      </w:pPr>
    </w:lvl>
    <w:lvl w:ilvl="7">
      <w:numFmt w:val="bullet"/>
      <w:lvlText w:val="•"/>
      <w:lvlJc w:val="left"/>
      <w:pPr>
        <w:ind w:left="10872" w:hanging="437"/>
      </w:pPr>
    </w:lvl>
    <w:lvl w:ilvl="8">
      <w:numFmt w:val="bullet"/>
      <w:lvlText w:val="•"/>
      <w:lvlJc w:val="left"/>
      <w:pPr>
        <w:ind w:left="12148" w:hanging="437"/>
      </w:pPr>
    </w:lvl>
  </w:abstractNum>
  <w:abstractNum w:abstractNumId="93">
    <w:nsid w:val="0000045F"/>
    <w:multiLevelType w:val="multilevel"/>
    <w:tmpl w:val="000008E2"/>
    <w:lvl w:ilvl="0">
      <w:start w:val="1"/>
      <w:numFmt w:val="decimal"/>
      <w:lvlText w:val="%1."/>
      <w:lvlJc w:val="left"/>
      <w:pPr>
        <w:ind w:left="820" w:hanging="360"/>
      </w:pPr>
      <w:rPr>
        <w:rFonts w:ascii="Garamond" w:hAnsi="Garamond" w:cs="Garamond"/>
        <w:b w:val="0"/>
        <w:bCs w:val="0"/>
        <w:spacing w:val="-1"/>
        <w:w w:val="98"/>
        <w:sz w:val="24"/>
        <w:szCs w:val="24"/>
      </w:rPr>
    </w:lvl>
    <w:lvl w:ilvl="1">
      <w:numFmt w:val="bullet"/>
      <w:lvlText w:val="•"/>
      <w:lvlJc w:val="left"/>
      <w:pPr>
        <w:ind w:left="1678" w:hanging="360"/>
      </w:pPr>
    </w:lvl>
    <w:lvl w:ilvl="2">
      <w:numFmt w:val="bullet"/>
      <w:lvlText w:val="•"/>
      <w:lvlJc w:val="left"/>
      <w:pPr>
        <w:ind w:left="2536" w:hanging="360"/>
      </w:pPr>
    </w:lvl>
    <w:lvl w:ilvl="3">
      <w:numFmt w:val="bullet"/>
      <w:lvlText w:val="•"/>
      <w:lvlJc w:val="left"/>
      <w:pPr>
        <w:ind w:left="3394" w:hanging="360"/>
      </w:pPr>
    </w:lvl>
    <w:lvl w:ilvl="4">
      <w:numFmt w:val="bullet"/>
      <w:lvlText w:val="•"/>
      <w:lvlJc w:val="left"/>
      <w:pPr>
        <w:ind w:left="4252" w:hanging="360"/>
      </w:pPr>
    </w:lvl>
    <w:lvl w:ilvl="5">
      <w:numFmt w:val="bullet"/>
      <w:lvlText w:val="•"/>
      <w:lvlJc w:val="left"/>
      <w:pPr>
        <w:ind w:left="5110" w:hanging="360"/>
      </w:pPr>
    </w:lvl>
    <w:lvl w:ilvl="6">
      <w:numFmt w:val="bullet"/>
      <w:lvlText w:val="•"/>
      <w:lvlJc w:val="left"/>
      <w:pPr>
        <w:ind w:left="5968" w:hanging="360"/>
      </w:pPr>
    </w:lvl>
    <w:lvl w:ilvl="7">
      <w:numFmt w:val="bullet"/>
      <w:lvlText w:val="•"/>
      <w:lvlJc w:val="left"/>
      <w:pPr>
        <w:ind w:left="6826" w:hanging="360"/>
      </w:pPr>
    </w:lvl>
    <w:lvl w:ilvl="8">
      <w:numFmt w:val="bullet"/>
      <w:lvlText w:val="•"/>
      <w:lvlJc w:val="left"/>
      <w:pPr>
        <w:ind w:left="7684" w:hanging="360"/>
      </w:pPr>
    </w:lvl>
  </w:abstractNum>
  <w:abstractNum w:abstractNumId="94">
    <w:nsid w:val="00000460"/>
    <w:multiLevelType w:val="multilevel"/>
    <w:tmpl w:val="000008E3"/>
    <w:lvl w:ilvl="0">
      <w:numFmt w:val="bullet"/>
      <w:lvlText w:val="•"/>
      <w:lvlJc w:val="left"/>
      <w:pPr>
        <w:ind w:left="816" w:hanging="339"/>
      </w:pPr>
      <w:rPr>
        <w:rFonts w:ascii="Times New Roman" w:hAnsi="Times New Roman"/>
        <w:b w:val="0"/>
        <w:w w:val="152"/>
        <w:sz w:val="21"/>
      </w:rPr>
    </w:lvl>
    <w:lvl w:ilvl="1">
      <w:numFmt w:val="bullet"/>
      <w:lvlText w:val="•"/>
      <w:lvlJc w:val="left"/>
      <w:pPr>
        <w:ind w:left="1904" w:hanging="339"/>
      </w:pPr>
    </w:lvl>
    <w:lvl w:ilvl="2">
      <w:numFmt w:val="bullet"/>
      <w:lvlText w:val="•"/>
      <w:lvlJc w:val="left"/>
      <w:pPr>
        <w:ind w:left="2988" w:hanging="339"/>
      </w:pPr>
    </w:lvl>
    <w:lvl w:ilvl="3">
      <w:numFmt w:val="bullet"/>
      <w:lvlText w:val="•"/>
      <w:lvlJc w:val="left"/>
      <w:pPr>
        <w:ind w:left="4072" w:hanging="339"/>
      </w:pPr>
    </w:lvl>
    <w:lvl w:ilvl="4">
      <w:numFmt w:val="bullet"/>
      <w:lvlText w:val="•"/>
      <w:lvlJc w:val="left"/>
      <w:pPr>
        <w:ind w:left="5156" w:hanging="339"/>
      </w:pPr>
    </w:lvl>
    <w:lvl w:ilvl="5">
      <w:numFmt w:val="bullet"/>
      <w:lvlText w:val="•"/>
      <w:lvlJc w:val="left"/>
      <w:pPr>
        <w:ind w:left="6240" w:hanging="339"/>
      </w:pPr>
    </w:lvl>
    <w:lvl w:ilvl="6">
      <w:numFmt w:val="bullet"/>
      <w:lvlText w:val="•"/>
      <w:lvlJc w:val="left"/>
      <w:pPr>
        <w:ind w:left="7324" w:hanging="339"/>
      </w:pPr>
    </w:lvl>
    <w:lvl w:ilvl="7">
      <w:numFmt w:val="bullet"/>
      <w:lvlText w:val="•"/>
      <w:lvlJc w:val="left"/>
      <w:pPr>
        <w:ind w:left="8408" w:hanging="339"/>
      </w:pPr>
    </w:lvl>
    <w:lvl w:ilvl="8">
      <w:numFmt w:val="bullet"/>
      <w:lvlText w:val="•"/>
      <w:lvlJc w:val="left"/>
      <w:pPr>
        <w:ind w:left="9492" w:hanging="339"/>
      </w:pPr>
    </w:lvl>
  </w:abstractNum>
  <w:abstractNum w:abstractNumId="95">
    <w:nsid w:val="00000461"/>
    <w:multiLevelType w:val="multilevel"/>
    <w:tmpl w:val="000008E4"/>
    <w:lvl w:ilvl="0">
      <w:numFmt w:val="bullet"/>
      <w:lvlText w:val="•"/>
      <w:lvlJc w:val="left"/>
      <w:pPr>
        <w:ind w:left="842" w:hanging="346"/>
      </w:pPr>
      <w:rPr>
        <w:rFonts w:ascii="Times New Roman" w:hAnsi="Times New Roman"/>
        <w:b w:val="0"/>
        <w:w w:val="157"/>
      </w:rPr>
    </w:lvl>
    <w:lvl w:ilvl="1">
      <w:numFmt w:val="bullet"/>
      <w:lvlText w:val="o"/>
      <w:lvlJc w:val="left"/>
      <w:pPr>
        <w:ind w:left="1519" w:hanging="317"/>
      </w:pPr>
      <w:rPr>
        <w:rFonts w:ascii="Times New Roman" w:hAnsi="Times New Roman"/>
        <w:b w:val="0"/>
        <w:w w:val="111"/>
      </w:rPr>
    </w:lvl>
    <w:lvl w:ilvl="2">
      <w:numFmt w:val="bullet"/>
      <w:lvlText w:val="•"/>
      <w:lvlJc w:val="left"/>
      <w:pPr>
        <w:ind w:left="1520" w:hanging="317"/>
      </w:pPr>
    </w:lvl>
    <w:lvl w:ilvl="3">
      <w:numFmt w:val="bullet"/>
      <w:lvlText w:val="•"/>
      <w:lvlJc w:val="left"/>
      <w:pPr>
        <w:ind w:left="2680" w:hanging="317"/>
      </w:pPr>
    </w:lvl>
    <w:lvl w:ilvl="4">
      <w:numFmt w:val="bullet"/>
      <w:lvlText w:val="•"/>
      <w:lvlJc w:val="left"/>
      <w:pPr>
        <w:ind w:left="3840" w:hanging="317"/>
      </w:pPr>
    </w:lvl>
    <w:lvl w:ilvl="5">
      <w:numFmt w:val="bullet"/>
      <w:lvlText w:val="•"/>
      <w:lvlJc w:val="left"/>
      <w:pPr>
        <w:ind w:left="5000" w:hanging="317"/>
      </w:pPr>
    </w:lvl>
    <w:lvl w:ilvl="6">
      <w:numFmt w:val="bullet"/>
      <w:lvlText w:val="•"/>
      <w:lvlJc w:val="left"/>
      <w:pPr>
        <w:ind w:left="6160" w:hanging="317"/>
      </w:pPr>
    </w:lvl>
    <w:lvl w:ilvl="7">
      <w:numFmt w:val="bullet"/>
      <w:lvlText w:val="•"/>
      <w:lvlJc w:val="left"/>
      <w:pPr>
        <w:ind w:left="7320" w:hanging="317"/>
      </w:pPr>
    </w:lvl>
    <w:lvl w:ilvl="8">
      <w:numFmt w:val="bullet"/>
      <w:lvlText w:val="•"/>
      <w:lvlJc w:val="left"/>
      <w:pPr>
        <w:ind w:left="8480" w:hanging="317"/>
      </w:pPr>
    </w:lvl>
  </w:abstractNum>
  <w:abstractNum w:abstractNumId="96">
    <w:nsid w:val="060777B7"/>
    <w:multiLevelType w:val="multilevel"/>
    <w:tmpl w:val="8266EE70"/>
    <w:lvl w:ilvl="0">
      <w:start w:val="1"/>
      <w:numFmt w:val="bullet"/>
      <w:lvlText w:val="•"/>
      <w:lvlJc w:val="left"/>
      <w:pPr>
        <w:ind w:left="1180" w:hanging="353"/>
      </w:pPr>
      <w:rPr>
        <w:rFonts w:ascii="Arial" w:hAnsi="Arial" w:hint="default"/>
        <w:strike/>
        <w:w w:val="100"/>
      </w:rPr>
    </w:lvl>
    <w:lvl w:ilvl="1">
      <w:numFmt w:val="bullet"/>
      <w:lvlText w:val="•"/>
      <w:lvlJc w:val="left"/>
      <w:pPr>
        <w:ind w:left="2056" w:hanging="353"/>
      </w:pPr>
    </w:lvl>
    <w:lvl w:ilvl="2">
      <w:numFmt w:val="bullet"/>
      <w:lvlText w:val="•"/>
      <w:lvlJc w:val="left"/>
      <w:pPr>
        <w:ind w:left="2932" w:hanging="353"/>
      </w:pPr>
    </w:lvl>
    <w:lvl w:ilvl="3">
      <w:numFmt w:val="bullet"/>
      <w:lvlText w:val="•"/>
      <w:lvlJc w:val="left"/>
      <w:pPr>
        <w:ind w:left="3808" w:hanging="353"/>
      </w:pPr>
    </w:lvl>
    <w:lvl w:ilvl="4">
      <w:numFmt w:val="bullet"/>
      <w:lvlText w:val="•"/>
      <w:lvlJc w:val="left"/>
      <w:pPr>
        <w:ind w:left="4684" w:hanging="353"/>
      </w:pPr>
    </w:lvl>
    <w:lvl w:ilvl="5">
      <w:numFmt w:val="bullet"/>
      <w:lvlText w:val="•"/>
      <w:lvlJc w:val="left"/>
      <w:pPr>
        <w:ind w:left="5560" w:hanging="353"/>
      </w:pPr>
    </w:lvl>
    <w:lvl w:ilvl="6">
      <w:numFmt w:val="bullet"/>
      <w:lvlText w:val="•"/>
      <w:lvlJc w:val="left"/>
      <w:pPr>
        <w:ind w:left="6436" w:hanging="353"/>
      </w:pPr>
    </w:lvl>
    <w:lvl w:ilvl="7">
      <w:numFmt w:val="bullet"/>
      <w:lvlText w:val="•"/>
      <w:lvlJc w:val="left"/>
      <w:pPr>
        <w:ind w:left="7312" w:hanging="353"/>
      </w:pPr>
    </w:lvl>
    <w:lvl w:ilvl="8">
      <w:numFmt w:val="bullet"/>
      <w:lvlText w:val="•"/>
      <w:lvlJc w:val="left"/>
      <w:pPr>
        <w:ind w:left="8188" w:hanging="353"/>
      </w:pPr>
    </w:lvl>
  </w:abstractNum>
  <w:abstractNum w:abstractNumId="97">
    <w:nsid w:val="1A2950A1"/>
    <w:multiLevelType w:val="multilevel"/>
    <w:tmpl w:val="4AF297C0"/>
    <w:lvl w:ilvl="0">
      <w:start w:val="3"/>
      <w:numFmt w:val="decimal"/>
      <w:lvlText w:val="%1."/>
      <w:lvlJc w:val="left"/>
      <w:pPr>
        <w:ind w:left="480" w:hanging="360"/>
      </w:pPr>
      <w:rPr>
        <w:rFonts w:ascii="Arial Narrow" w:hAnsi="Arial Narrow" w:cs="Arial Narrow" w:hint="default"/>
        <w:b/>
        <w:bCs/>
        <w:color w:val="001F5F"/>
        <w:spacing w:val="0"/>
        <w:w w:val="114"/>
        <w:sz w:val="22"/>
        <w:szCs w:val="22"/>
      </w:rPr>
    </w:lvl>
    <w:lvl w:ilvl="1">
      <w:start w:val="4"/>
      <w:numFmt w:val="decimal"/>
      <w:lvlText w:val="%2."/>
      <w:lvlJc w:val="left"/>
      <w:pPr>
        <w:ind w:left="1180" w:hanging="361"/>
      </w:pPr>
      <w:rPr>
        <w:rFonts w:hint="default"/>
        <w:b w:val="0"/>
        <w:w w:val="100"/>
        <w:sz w:val="22"/>
      </w:rPr>
    </w:lvl>
    <w:lvl w:ilvl="2">
      <w:numFmt w:val="bullet"/>
      <w:lvlText w:val="•"/>
      <w:lvlJc w:val="left"/>
      <w:pPr>
        <w:ind w:left="2115" w:hanging="361"/>
      </w:pPr>
      <w:rPr>
        <w:rFonts w:hint="default"/>
      </w:rPr>
    </w:lvl>
    <w:lvl w:ilvl="3">
      <w:numFmt w:val="bullet"/>
      <w:lvlText w:val="•"/>
      <w:lvlJc w:val="left"/>
      <w:pPr>
        <w:ind w:left="3051" w:hanging="361"/>
      </w:pPr>
      <w:rPr>
        <w:rFonts w:hint="default"/>
      </w:rPr>
    </w:lvl>
    <w:lvl w:ilvl="4">
      <w:numFmt w:val="bullet"/>
      <w:lvlText w:val="•"/>
      <w:lvlJc w:val="left"/>
      <w:pPr>
        <w:ind w:left="3986" w:hanging="361"/>
      </w:pPr>
      <w:rPr>
        <w:rFonts w:hint="default"/>
      </w:rPr>
    </w:lvl>
    <w:lvl w:ilvl="5">
      <w:numFmt w:val="bullet"/>
      <w:lvlText w:val="•"/>
      <w:lvlJc w:val="left"/>
      <w:pPr>
        <w:ind w:left="4922" w:hanging="361"/>
      </w:pPr>
      <w:rPr>
        <w:rFonts w:hint="default"/>
      </w:rPr>
    </w:lvl>
    <w:lvl w:ilvl="6">
      <w:numFmt w:val="bullet"/>
      <w:lvlText w:val="•"/>
      <w:lvlJc w:val="left"/>
      <w:pPr>
        <w:ind w:left="5857" w:hanging="361"/>
      </w:pPr>
      <w:rPr>
        <w:rFonts w:hint="default"/>
      </w:rPr>
    </w:lvl>
    <w:lvl w:ilvl="7">
      <w:numFmt w:val="bullet"/>
      <w:lvlText w:val="•"/>
      <w:lvlJc w:val="left"/>
      <w:pPr>
        <w:ind w:left="6793" w:hanging="361"/>
      </w:pPr>
      <w:rPr>
        <w:rFonts w:hint="default"/>
      </w:rPr>
    </w:lvl>
    <w:lvl w:ilvl="8">
      <w:numFmt w:val="bullet"/>
      <w:lvlText w:val="•"/>
      <w:lvlJc w:val="left"/>
      <w:pPr>
        <w:ind w:left="7728" w:hanging="361"/>
      </w:pPr>
      <w:rPr>
        <w:rFonts w:hint="default"/>
      </w:rPr>
    </w:lvl>
  </w:abstractNum>
  <w:abstractNum w:abstractNumId="98">
    <w:nsid w:val="1FFE0967"/>
    <w:multiLevelType w:val="multilevel"/>
    <w:tmpl w:val="33D6FE10"/>
    <w:lvl w:ilvl="0">
      <w:start w:val="5"/>
      <w:numFmt w:val="decimal"/>
      <w:lvlText w:val="%1."/>
      <w:lvlJc w:val="left"/>
      <w:pPr>
        <w:ind w:left="1072" w:hanging="360"/>
      </w:pPr>
      <w:rPr>
        <w:rFonts w:ascii="Arial Narrow" w:hAnsi="Arial Narrow" w:cs="Arial Narrow" w:hint="default"/>
        <w:b/>
        <w:bCs/>
        <w:color w:val="001F5F"/>
        <w:spacing w:val="0"/>
        <w:w w:val="114"/>
        <w:sz w:val="22"/>
        <w:szCs w:val="22"/>
      </w:rPr>
    </w:lvl>
    <w:lvl w:ilvl="1">
      <w:start w:val="4"/>
      <w:numFmt w:val="decimal"/>
      <w:lvlText w:val="%2."/>
      <w:lvlJc w:val="left"/>
      <w:pPr>
        <w:ind w:left="1772" w:hanging="361"/>
      </w:pPr>
      <w:rPr>
        <w:rFonts w:hint="default"/>
        <w:b w:val="0"/>
        <w:w w:val="100"/>
        <w:sz w:val="22"/>
      </w:rPr>
    </w:lvl>
    <w:lvl w:ilvl="2">
      <w:numFmt w:val="bullet"/>
      <w:lvlText w:val="•"/>
      <w:lvlJc w:val="left"/>
      <w:pPr>
        <w:ind w:left="2707" w:hanging="361"/>
      </w:pPr>
      <w:rPr>
        <w:rFonts w:hint="default"/>
      </w:rPr>
    </w:lvl>
    <w:lvl w:ilvl="3">
      <w:numFmt w:val="bullet"/>
      <w:lvlText w:val="•"/>
      <w:lvlJc w:val="left"/>
      <w:pPr>
        <w:ind w:left="3643" w:hanging="361"/>
      </w:pPr>
      <w:rPr>
        <w:rFonts w:hint="default"/>
      </w:rPr>
    </w:lvl>
    <w:lvl w:ilvl="4">
      <w:numFmt w:val="bullet"/>
      <w:lvlText w:val="•"/>
      <w:lvlJc w:val="left"/>
      <w:pPr>
        <w:ind w:left="4578" w:hanging="361"/>
      </w:pPr>
      <w:rPr>
        <w:rFonts w:hint="default"/>
      </w:rPr>
    </w:lvl>
    <w:lvl w:ilvl="5">
      <w:numFmt w:val="bullet"/>
      <w:lvlText w:val="•"/>
      <w:lvlJc w:val="left"/>
      <w:pPr>
        <w:ind w:left="5514" w:hanging="361"/>
      </w:pPr>
      <w:rPr>
        <w:rFonts w:hint="default"/>
      </w:rPr>
    </w:lvl>
    <w:lvl w:ilvl="6">
      <w:numFmt w:val="bullet"/>
      <w:lvlText w:val="•"/>
      <w:lvlJc w:val="left"/>
      <w:pPr>
        <w:ind w:left="6449" w:hanging="361"/>
      </w:pPr>
      <w:rPr>
        <w:rFonts w:hint="default"/>
      </w:rPr>
    </w:lvl>
    <w:lvl w:ilvl="7">
      <w:numFmt w:val="bullet"/>
      <w:lvlText w:val="•"/>
      <w:lvlJc w:val="left"/>
      <w:pPr>
        <w:ind w:left="7385" w:hanging="361"/>
      </w:pPr>
      <w:rPr>
        <w:rFonts w:hint="default"/>
      </w:rPr>
    </w:lvl>
    <w:lvl w:ilvl="8">
      <w:numFmt w:val="bullet"/>
      <w:lvlText w:val="•"/>
      <w:lvlJc w:val="left"/>
      <w:pPr>
        <w:ind w:left="8320" w:hanging="361"/>
      </w:pPr>
      <w:rPr>
        <w:rFonts w:hint="default"/>
      </w:rPr>
    </w:lvl>
  </w:abstractNum>
  <w:abstractNum w:abstractNumId="99">
    <w:nsid w:val="399E1CCE"/>
    <w:multiLevelType w:val="multilevel"/>
    <w:tmpl w:val="8266EE70"/>
    <w:lvl w:ilvl="0">
      <w:start w:val="1"/>
      <w:numFmt w:val="bullet"/>
      <w:lvlText w:val="•"/>
      <w:lvlJc w:val="left"/>
      <w:pPr>
        <w:ind w:left="1180" w:hanging="353"/>
      </w:pPr>
      <w:rPr>
        <w:rFonts w:ascii="Arial" w:hAnsi="Arial" w:hint="default"/>
        <w:strike/>
        <w:w w:val="100"/>
      </w:rPr>
    </w:lvl>
    <w:lvl w:ilvl="1">
      <w:numFmt w:val="bullet"/>
      <w:lvlText w:val="•"/>
      <w:lvlJc w:val="left"/>
      <w:pPr>
        <w:ind w:left="2056" w:hanging="353"/>
      </w:pPr>
    </w:lvl>
    <w:lvl w:ilvl="2">
      <w:numFmt w:val="bullet"/>
      <w:lvlText w:val="•"/>
      <w:lvlJc w:val="left"/>
      <w:pPr>
        <w:ind w:left="2932" w:hanging="353"/>
      </w:pPr>
    </w:lvl>
    <w:lvl w:ilvl="3">
      <w:numFmt w:val="bullet"/>
      <w:lvlText w:val="•"/>
      <w:lvlJc w:val="left"/>
      <w:pPr>
        <w:ind w:left="3808" w:hanging="353"/>
      </w:pPr>
    </w:lvl>
    <w:lvl w:ilvl="4">
      <w:numFmt w:val="bullet"/>
      <w:lvlText w:val="•"/>
      <w:lvlJc w:val="left"/>
      <w:pPr>
        <w:ind w:left="4684" w:hanging="353"/>
      </w:pPr>
    </w:lvl>
    <w:lvl w:ilvl="5">
      <w:numFmt w:val="bullet"/>
      <w:lvlText w:val="•"/>
      <w:lvlJc w:val="left"/>
      <w:pPr>
        <w:ind w:left="5560" w:hanging="353"/>
      </w:pPr>
    </w:lvl>
    <w:lvl w:ilvl="6">
      <w:numFmt w:val="bullet"/>
      <w:lvlText w:val="•"/>
      <w:lvlJc w:val="left"/>
      <w:pPr>
        <w:ind w:left="6436" w:hanging="353"/>
      </w:pPr>
    </w:lvl>
    <w:lvl w:ilvl="7">
      <w:numFmt w:val="bullet"/>
      <w:lvlText w:val="•"/>
      <w:lvlJc w:val="left"/>
      <w:pPr>
        <w:ind w:left="7312" w:hanging="353"/>
      </w:pPr>
    </w:lvl>
    <w:lvl w:ilvl="8">
      <w:numFmt w:val="bullet"/>
      <w:lvlText w:val="•"/>
      <w:lvlJc w:val="left"/>
      <w:pPr>
        <w:ind w:left="8188" w:hanging="353"/>
      </w:pPr>
    </w:lvl>
  </w:abstractNum>
  <w:abstractNum w:abstractNumId="100">
    <w:nsid w:val="3C873C30"/>
    <w:multiLevelType w:val="multilevel"/>
    <w:tmpl w:val="8266EE70"/>
    <w:lvl w:ilvl="0">
      <w:start w:val="1"/>
      <w:numFmt w:val="bullet"/>
      <w:lvlText w:val="•"/>
      <w:lvlJc w:val="left"/>
      <w:pPr>
        <w:ind w:left="1180" w:hanging="353"/>
      </w:pPr>
      <w:rPr>
        <w:rFonts w:ascii="Arial" w:hAnsi="Arial" w:hint="default"/>
        <w:strike/>
        <w:w w:val="100"/>
      </w:rPr>
    </w:lvl>
    <w:lvl w:ilvl="1">
      <w:numFmt w:val="bullet"/>
      <w:lvlText w:val="•"/>
      <w:lvlJc w:val="left"/>
      <w:pPr>
        <w:ind w:left="2056" w:hanging="353"/>
      </w:pPr>
    </w:lvl>
    <w:lvl w:ilvl="2">
      <w:numFmt w:val="bullet"/>
      <w:lvlText w:val="•"/>
      <w:lvlJc w:val="left"/>
      <w:pPr>
        <w:ind w:left="2932" w:hanging="353"/>
      </w:pPr>
    </w:lvl>
    <w:lvl w:ilvl="3">
      <w:numFmt w:val="bullet"/>
      <w:lvlText w:val="•"/>
      <w:lvlJc w:val="left"/>
      <w:pPr>
        <w:ind w:left="3808" w:hanging="353"/>
      </w:pPr>
    </w:lvl>
    <w:lvl w:ilvl="4">
      <w:numFmt w:val="bullet"/>
      <w:lvlText w:val="•"/>
      <w:lvlJc w:val="left"/>
      <w:pPr>
        <w:ind w:left="4684" w:hanging="353"/>
      </w:pPr>
    </w:lvl>
    <w:lvl w:ilvl="5">
      <w:numFmt w:val="bullet"/>
      <w:lvlText w:val="•"/>
      <w:lvlJc w:val="left"/>
      <w:pPr>
        <w:ind w:left="5560" w:hanging="353"/>
      </w:pPr>
    </w:lvl>
    <w:lvl w:ilvl="6">
      <w:numFmt w:val="bullet"/>
      <w:lvlText w:val="•"/>
      <w:lvlJc w:val="left"/>
      <w:pPr>
        <w:ind w:left="6436" w:hanging="353"/>
      </w:pPr>
    </w:lvl>
    <w:lvl w:ilvl="7">
      <w:numFmt w:val="bullet"/>
      <w:lvlText w:val="•"/>
      <w:lvlJc w:val="left"/>
      <w:pPr>
        <w:ind w:left="7312" w:hanging="353"/>
      </w:pPr>
    </w:lvl>
    <w:lvl w:ilvl="8">
      <w:numFmt w:val="bullet"/>
      <w:lvlText w:val="•"/>
      <w:lvlJc w:val="left"/>
      <w:pPr>
        <w:ind w:left="8188" w:hanging="353"/>
      </w:pPr>
    </w:lvl>
  </w:abstractNum>
  <w:num w:numId="1">
    <w:abstractNumId w:val="95"/>
  </w:num>
  <w:num w:numId="2">
    <w:abstractNumId w:val="94"/>
  </w:num>
  <w:num w:numId="3">
    <w:abstractNumId w:val="93"/>
  </w:num>
  <w:num w:numId="4">
    <w:abstractNumId w:val="92"/>
  </w:num>
  <w:num w:numId="5">
    <w:abstractNumId w:val="91"/>
  </w:num>
  <w:num w:numId="6">
    <w:abstractNumId w:val="90"/>
  </w:num>
  <w:num w:numId="7">
    <w:abstractNumId w:val="89"/>
  </w:num>
  <w:num w:numId="8">
    <w:abstractNumId w:val="88"/>
  </w:num>
  <w:num w:numId="9">
    <w:abstractNumId w:val="87"/>
  </w:num>
  <w:num w:numId="10">
    <w:abstractNumId w:val="86"/>
  </w:num>
  <w:num w:numId="11">
    <w:abstractNumId w:val="85"/>
  </w:num>
  <w:num w:numId="12">
    <w:abstractNumId w:val="84"/>
  </w:num>
  <w:num w:numId="13">
    <w:abstractNumId w:val="83"/>
  </w:num>
  <w:num w:numId="14">
    <w:abstractNumId w:val="82"/>
  </w:num>
  <w:num w:numId="15">
    <w:abstractNumId w:val="81"/>
  </w:num>
  <w:num w:numId="16">
    <w:abstractNumId w:val="80"/>
  </w:num>
  <w:num w:numId="17">
    <w:abstractNumId w:val="79"/>
  </w:num>
  <w:num w:numId="18">
    <w:abstractNumId w:val="78"/>
  </w:num>
  <w:num w:numId="19">
    <w:abstractNumId w:val="77"/>
  </w:num>
  <w:num w:numId="20">
    <w:abstractNumId w:val="76"/>
  </w:num>
  <w:num w:numId="21">
    <w:abstractNumId w:val="75"/>
  </w:num>
  <w:num w:numId="22">
    <w:abstractNumId w:val="74"/>
  </w:num>
  <w:num w:numId="23">
    <w:abstractNumId w:val="73"/>
  </w:num>
  <w:num w:numId="24">
    <w:abstractNumId w:val="72"/>
  </w:num>
  <w:num w:numId="25">
    <w:abstractNumId w:val="71"/>
  </w:num>
  <w:num w:numId="26">
    <w:abstractNumId w:val="70"/>
  </w:num>
  <w:num w:numId="27">
    <w:abstractNumId w:val="69"/>
  </w:num>
  <w:num w:numId="28">
    <w:abstractNumId w:val="68"/>
  </w:num>
  <w:num w:numId="29">
    <w:abstractNumId w:val="67"/>
  </w:num>
  <w:num w:numId="30">
    <w:abstractNumId w:val="66"/>
  </w:num>
  <w:num w:numId="31">
    <w:abstractNumId w:val="65"/>
  </w:num>
  <w:num w:numId="32">
    <w:abstractNumId w:val="64"/>
  </w:num>
  <w:num w:numId="33">
    <w:abstractNumId w:val="63"/>
  </w:num>
  <w:num w:numId="34">
    <w:abstractNumId w:val="62"/>
  </w:num>
  <w:num w:numId="35">
    <w:abstractNumId w:val="61"/>
  </w:num>
  <w:num w:numId="36">
    <w:abstractNumId w:val="60"/>
  </w:num>
  <w:num w:numId="37">
    <w:abstractNumId w:val="59"/>
  </w:num>
  <w:num w:numId="38">
    <w:abstractNumId w:val="58"/>
  </w:num>
  <w:num w:numId="39">
    <w:abstractNumId w:val="57"/>
  </w:num>
  <w:num w:numId="40">
    <w:abstractNumId w:val="56"/>
  </w:num>
  <w:num w:numId="41">
    <w:abstractNumId w:val="55"/>
  </w:num>
  <w:num w:numId="42">
    <w:abstractNumId w:val="54"/>
  </w:num>
  <w:num w:numId="43">
    <w:abstractNumId w:val="53"/>
  </w:num>
  <w:num w:numId="44">
    <w:abstractNumId w:val="52"/>
  </w:num>
  <w:num w:numId="45">
    <w:abstractNumId w:val="51"/>
  </w:num>
  <w:num w:numId="46">
    <w:abstractNumId w:val="50"/>
  </w:num>
  <w:num w:numId="47">
    <w:abstractNumId w:val="49"/>
  </w:num>
  <w:num w:numId="48">
    <w:abstractNumId w:val="48"/>
  </w:num>
  <w:num w:numId="49">
    <w:abstractNumId w:val="47"/>
  </w:num>
  <w:num w:numId="50">
    <w:abstractNumId w:val="46"/>
  </w:num>
  <w:num w:numId="51">
    <w:abstractNumId w:val="45"/>
  </w:num>
  <w:num w:numId="52">
    <w:abstractNumId w:val="44"/>
  </w:num>
  <w:num w:numId="53">
    <w:abstractNumId w:val="43"/>
  </w:num>
  <w:num w:numId="54">
    <w:abstractNumId w:val="42"/>
  </w:num>
  <w:num w:numId="55">
    <w:abstractNumId w:val="41"/>
  </w:num>
  <w:num w:numId="56">
    <w:abstractNumId w:val="40"/>
  </w:num>
  <w:num w:numId="57">
    <w:abstractNumId w:val="39"/>
  </w:num>
  <w:num w:numId="58">
    <w:abstractNumId w:val="38"/>
  </w:num>
  <w:num w:numId="59">
    <w:abstractNumId w:val="37"/>
  </w:num>
  <w:num w:numId="60">
    <w:abstractNumId w:val="36"/>
  </w:num>
  <w:num w:numId="61">
    <w:abstractNumId w:val="35"/>
  </w:num>
  <w:num w:numId="62">
    <w:abstractNumId w:val="34"/>
  </w:num>
  <w:num w:numId="63">
    <w:abstractNumId w:val="33"/>
  </w:num>
  <w:num w:numId="64">
    <w:abstractNumId w:val="32"/>
  </w:num>
  <w:num w:numId="65">
    <w:abstractNumId w:val="31"/>
  </w:num>
  <w:num w:numId="66">
    <w:abstractNumId w:val="30"/>
  </w:num>
  <w:num w:numId="67">
    <w:abstractNumId w:val="29"/>
  </w:num>
  <w:num w:numId="68">
    <w:abstractNumId w:val="28"/>
  </w:num>
  <w:num w:numId="69">
    <w:abstractNumId w:val="27"/>
  </w:num>
  <w:num w:numId="70">
    <w:abstractNumId w:val="26"/>
  </w:num>
  <w:num w:numId="71">
    <w:abstractNumId w:val="25"/>
  </w:num>
  <w:num w:numId="72">
    <w:abstractNumId w:val="24"/>
  </w:num>
  <w:num w:numId="73">
    <w:abstractNumId w:val="23"/>
  </w:num>
  <w:num w:numId="74">
    <w:abstractNumId w:val="22"/>
  </w:num>
  <w:num w:numId="75">
    <w:abstractNumId w:val="21"/>
  </w:num>
  <w:num w:numId="76">
    <w:abstractNumId w:val="20"/>
  </w:num>
  <w:num w:numId="77">
    <w:abstractNumId w:val="19"/>
  </w:num>
  <w:num w:numId="78">
    <w:abstractNumId w:val="18"/>
  </w:num>
  <w:num w:numId="79">
    <w:abstractNumId w:val="17"/>
  </w:num>
  <w:num w:numId="80">
    <w:abstractNumId w:val="16"/>
  </w:num>
  <w:num w:numId="81">
    <w:abstractNumId w:val="15"/>
  </w:num>
  <w:num w:numId="82">
    <w:abstractNumId w:val="14"/>
  </w:num>
  <w:num w:numId="83">
    <w:abstractNumId w:val="13"/>
  </w:num>
  <w:num w:numId="84">
    <w:abstractNumId w:val="12"/>
  </w:num>
  <w:num w:numId="85">
    <w:abstractNumId w:val="11"/>
  </w:num>
  <w:num w:numId="86">
    <w:abstractNumId w:val="10"/>
  </w:num>
  <w:num w:numId="87">
    <w:abstractNumId w:val="9"/>
  </w:num>
  <w:num w:numId="88">
    <w:abstractNumId w:val="8"/>
  </w:num>
  <w:num w:numId="89">
    <w:abstractNumId w:val="7"/>
  </w:num>
  <w:num w:numId="90">
    <w:abstractNumId w:val="6"/>
  </w:num>
  <w:num w:numId="91">
    <w:abstractNumId w:val="5"/>
  </w:num>
  <w:num w:numId="92">
    <w:abstractNumId w:val="4"/>
  </w:num>
  <w:num w:numId="93">
    <w:abstractNumId w:val="3"/>
  </w:num>
  <w:num w:numId="94">
    <w:abstractNumId w:val="2"/>
  </w:num>
  <w:num w:numId="95">
    <w:abstractNumId w:val="1"/>
  </w:num>
  <w:num w:numId="96">
    <w:abstractNumId w:val="0"/>
  </w:num>
  <w:num w:numId="97">
    <w:abstractNumId w:val="99"/>
  </w:num>
  <w:num w:numId="98">
    <w:abstractNumId w:val="100"/>
  </w:num>
  <w:num w:numId="99">
    <w:abstractNumId w:val="97"/>
  </w:num>
  <w:num w:numId="100">
    <w:abstractNumId w:val="98"/>
  </w:num>
  <w:num w:numId="101">
    <w:abstractNumId w:val="96"/>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GrammaticalErrors/>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845"/>
    <w:rsid w:val="000F3942"/>
    <w:rsid w:val="00121845"/>
    <w:rsid w:val="002C5025"/>
    <w:rsid w:val="00344961"/>
    <w:rsid w:val="00347C9E"/>
    <w:rsid w:val="005632B1"/>
    <w:rsid w:val="00607624"/>
    <w:rsid w:val="007B2B7B"/>
    <w:rsid w:val="00AA6F2E"/>
    <w:rsid w:val="00B27397"/>
    <w:rsid w:val="00B92FCC"/>
    <w:rsid w:val="00CF30C1"/>
    <w:rsid w:val="00FB027C"/>
    <w:rsid w:val="00FB05C1"/>
    <w:rsid w:val="00FD19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1" w:unhideWhenUsed="0" w:qFormat="1"/>
    <w:lsdException w:name="heading 6" w:semiHidden="0" w:uiPriority="1" w:unhideWhenUsed="0" w:qFormat="1"/>
    <w:lsdException w:name="heading 7" w:semiHidden="0" w:uiPriority="1" w:unhideWhenUsed="0" w:qFormat="1"/>
    <w:lsdException w:name="heading 8" w:semiHidden="0" w:uiPriority="1" w:unhideWhenUsed="0" w:qFormat="1"/>
    <w:lsdException w:name="heading 9" w:semiHidden="0" w:uiPriority="1"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sz w:val="24"/>
      <w:szCs w:val="24"/>
    </w:rPr>
  </w:style>
  <w:style w:type="paragraph" w:styleId="Heading1">
    <w:name w:val="heading 1"/>
    <w:basedOn w:val="Normal"/>
    <w:next w:val="Normal"/>
    <w:link w:val="Heading1Char"/>
    <w:uiPriority w:val="1"/>
    <w:qFormat/>
    <w:pPr>
      <w:spacing w:before="30"/>
      <w:ind w:left="574"/>
      <w:jc w:val="center"/>
      <w:outlineLvl w:val="0"/>
    </w:pPr>
    <w:rPr>
      <w:rFonts w:ascii="Arial" w:hAnsi="Arial" w:cs="Arial"/>
      <w:b/>
      <w:bCs/>
      <w:sz w:val="41"/>
      <w:szCs w:val="41"/>
    </w:rPr>
  </w:style>
  <w:style w:type="paragraph" w:styleId="Heading2">
    <w:name w:val="heading 2"/>
    <w:basedOn w:val="Normal"/>
    <w:next w:val="Normal"/>
    <w:link w:val="Heading2Char"/>
    <w:uiPriority w:val="1"/>
    <w:qFormat/>
    <w:pPr>
      <w:spacing w:before="48"/>
      <w:ind w:left="1937" w:hanging="437"/>
      <w:outlineLvl w:val="1"/>
    </w:pPr>
    <w:rPr>
      <w:rFonts w:ascii="Arial" w:hAnsi="Arial" w:cs="Arial"/>
      <w:sz w:val="41"/>
      <w:szCs w:val="41"/>
    </w:rPr>
  </w:style>
  <w:style w:type="paragraph" w:styleId="Heading3">
    <w:name w:val="heading 3"/>
    <w:basedOn w:val="Normal"/>
    <w:next w:val="Normal"/>
    <w:link w:val="Heading3Char"/>
    <w:uiPriority w:val="1"/>
    <w:qFormat/>
    <w:pPr>
      <w:spacing w:line="456" w:lineRule="exact"/>
      <w:ind w:left="94" w:right="435"/>
      <w:jc w:val="center"/>
      <w:outlineLvl w:val="2"/>
    </w:pPr>
    <w:rPr>
      <w:sz w:val="40"/>
      <w:szCs w:val="40"/>
    </w:rPr>
  </w:style>
  <w:style w:type="paragraph" w:styleId="Heading4">
    <w:name w:val="heading 4"/>
    <w:basedOn w:val="Normal"/>
    <w:next w:val="Normal"/>
    <w:link w:val="Heading4Char"/>
    <w:uiPriority w:val="1"/>
    <w:qFormat/>
    <w:pPr>
      <w:spacing w:line="271" w:lineRule="exact"/>
      <w:outlineLvl w:val="3"/>
    </w:pPr>
    <w:rPr>
      <w:sz w:val="37"/>
      <w:szCs w:val="37"/>
    </w:rPr>
  </w:style>
  <w:style w:type="paragraph" w:styleId="Heading5">
    <w:name w:val="heading 5"/>
    <w:basedOn w:val="Normal"/>
    <w:next w:val="Normal"/>
    <w:link w:val="Heading5Char"/>
    <w:uiPriority w:val="1"/>
    <w:qFormat/>
    <w:pPr>
      <w:spacing w:before="36"/>
      <w:ind w:left="168" w:right="128"/>
      <w:outlineLvl w:val="4"/>
    </w:pPr>
    <w:rPr>
      <w:rFonts w:ascii="Arial" w:hAnsi="Arial" w:cs="Arial"/>
      <w:b/>
      <w:bCs/>
      <w:i/>
      <w:iCs/>
      <w:sz w:val="36"/>
      <w:szCs w:val="36"/>
    </w:rPr>
  </w:style>
  <w:style w:type="paragraph" w:styleId="Heading6">
    <w:name w:val="heading 6"/>
    <w:basedOn w:val="Normal"/>
    <w:next w:val="Normal"/>
    <w:link w:val="Heading6Char"/>
    <w:uiPriority w:val="1"/>
    <w:qFormat/>
    <w:pPr>
      <w:ind w:left="904" w:right="355"/>
      <w:outlineLvl w:val="5"/>
    </w:pPr>
    <w:rPr>
      <w:rFonts w:ascii="Arial" w:hAnsi="Arial" w:cs="Arial"/>
      <w:b/>
      <w:bCs/>
      <w:i/>
      <w:iCs/>
      <w:sz w:val="33"/>
      <w:szCs w:val="33"/>
    </w:rPr>
  </w:style>
  <w:style w:type="paragraph" w:styleId="Heading7">
    <w:name w:val="heading 7"/>
    <w:basedOn w:val="Normal"/>
    <w:next w:val="Normal"/>
    <w:link w:val="Heading7Char"/>
    <w:uiPriority w:val="1"/>
    <w:qFormat/>
    <w:pPr>
      <w:ind w:left="140" w:right="254"/>
      <w:outlineLvl w:val="6"/>
    </w:pPr>
    <w:rPr>
      <w:rFonts w:ascii="Calibri Light" w:hAnsi="Calibri Light" w:cs="Calibri Light"/>
      <w:sz w:val="32"/>
      <w:szCs w:val="32"/>
    </w:rPr>
  </w:style>
  <w:style w:type="paragraph" w:styleId="Heading8">
    <w:name w:val="heading 8"/>
    <w:basedOn w:val="Normal"/>
    <w:next w:val="Normal"/>
    <w:link w:val="Heading8Char"/>
    <w:uiPriority w:val="1"/>
    <w:qFormat/>
    <w:pPr>
      <w:spacing w:line="300" w:lineRule="exact"/>
      <w:outlineLvl w:val="7"/>
    </w:pPr>
    <w:rPr>
      <w:sz w:val="30"/>
      <w:szCs w:val="30"/>
    </w:rPr>
  </w:style>
  <w:style w:type="paragraph" w:styleId="Heading9">
    <w:name w:val="heading 9"/>
    <w:basedOn w:val="Normal"/>
    <w:next w:val="Normal"/>
    <w:link w:val="Heading9Char"/>
    <w:uiPriority w:val="1"/>
    <w:qFormat/>
    <w:pPr>
      <w:ind w:left="1473" w:right="2036" w:hanging="1004"/>
      <w:outlineLvl w:val="8"/>
    </w:pPr>
    <w:rPr>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paragraph" w:styleId="BodyText">
    <w:name w:val="Body Text"/>
    <w:basedOn w:val="Normal"/>
    <w:link w:val="BodyTextChar"/>
    <w:uiPriority w:val="1"/>
    <w:qFormat/>
    <w:rPr>
      <w:rFonts w:ascii="Calibri" w:hAnsi="Calibri" w:cs="Calibri"/>
      <w:sz w:val="22"/>
      <w:szCs w:val="22"/>
    </w:rPr>
  </w:style>
  <w:style w:type="character" w:customStyle="1" w:styleId="BodyTextChar">
    <w:name w:val="Body Text Char"/>
    <w:basedOn w:val="DefaultParagraphFont"/>
    <w:link w:val="BodyText"/>
    <w:uiPriority w:val="99"/>
    <w:semiHidden/>
    <w:locked/>
    <w:rPr>
      <w:rFonts w:ascii="Times New Roman" w:hAnsi="Times New Roman" w:cs="Times New Roman"/>
      <w:sz w:val="24"/>
      <w:szCs w:val="24"/>
    </w:rPr>
  </w:style>
  <w:style w:type="paragraph" w:styleId="ListParagraph">
    <w:name w:val="List Paragraph"/>
    <w:basedOn w:val="Normal"/>
    <w:uiPriority w:val="34"/>
    <w:qFormat/>
    <w:pPr>
      <w:ind w:left="839" w:hanging="360"/>
    </w:pPr>
  </w:style>
  <w:style w:type="paragraph" w:customStyle="1" w:styleId="TableParagraph">
    <w:name w:val="Table Paragraph"/>
    <w:basedOn w:val="Normal"/>
    <w:uiPriority w:val="1"/>
    <w:qFormat/>
    <w:pPr>
      <w:ind w:left="103"/>
    </w:pPr>
    <w:rPr>
      <w:rFonts w:ascii="Arial" w:hAnsi="Arial" w:cs="Arial"/>
    </w:rPr>
  </w:style>
  <w:style w:type="paragraph" w:styleId="BalloonText">
    <w:name w:val="Balloon Text"/>
    <w:basedOn w:val="Normal"/>
    <w:link w:val="BalloonTextChar"/>
    <w:uiPriority w:val="99"/>
    <w:semiHidden/>
    <w:unhideWhenUsed/>
    <w:rsid w:val="007B2B7B"/>
    <w:rPr>
      <w:rFonts w:ascii="Tahoma" w:hAnsi="Tahoma" w:cs="Tahoma"/>
      <w:sz w:val="16"/>
      <w:szCs w:val="16"/>
    </w:rPr>
  </w:style>
  <w:style w:type="character" w:customStyle="1" w:styleId="BalloonTextChar">
    <w:name w:val="Balloon Text Char"/>
    <w:basedOn w:val="DefaultParagraphFont"/>
    <w:link w:val="BalloonText"/>
    <w:uiPriority w:val="99"/>
    <w:semiHidden/>
    <w:rsid w:val="007B2B7B"/>
    <w:rPr>
      <w:rFonts w:ascii="Tahoma" w:hAnsi="Tahoma" w:cs="Tahoma"/>
      <w:sz w:val="16"/>
      <w:szCs w:val="16"/>
    </w:rPr>
  </w:style>
  <w:style w:type="paragraph" w:customStyle="1" w:styleId="Default">
    <w:name w:val="Default"/>
    <w:rsid w:val="007B2B7B"/>
    <w:pPr>
      <w:autoSpaceDE w:val="0"/>
      <w:autoSpaceDN w:val="0"/>
      <w:adjustRightInd w:val="0"/>
      <w:spacing w:after="0" w:line="240" w:lineRule="auto"/>
    </w:pPr>
    <w:rPr>
      <w:rFonts w:ascii="Times New Roman" w:eastAsia="MS Mincho" w:hAnsi="Times New Roman"/>
      <w:color w:val="000000"/>
      <w:sz w:val="24"/>
      <w:szCs w:val="24"/>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1" w:unhideWhenUsed="0" w:qFormat="1"/>
    <w:lsdException w:name="heading 6" w:semiHidden="0" w:uiPriority="1" w:unhideWhenUsed="0" w:qFormat="1"/>
    <w:lsdException w:name="heading 7" w:semiHidden="0" w:uiPriority="1" w:unhideWhenUsed="0" w:qFormat="1"/>
    <w:lsdException w:name="heading 8" w:semiHidden="0" w:uiPriority="1" w:unhideWhenUsed="0" w:qFormat="1"/>
    <w:lsdException w:name="heading 9" w:semiHidden="0" w:uiPriority="1"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sz w:val="24"/>
      <w:szCs w:val="24"/>
    </w:rPr>
  </w:style>
  <w:style w:type="paragraph" w:styleId="Heading1">
    <w:name w:val="heading 1"/>
    <w:basedOn w:val="Normal"/>
    <w:next w:val="Normal"/>
    <w:link w:val="Heading1Char"/>
    <w:uiPriority w:val="1"/>
    <w:qFormat/>
    <w:pPr>
      <w:spacing w:before="30"/>
      <w:ind w:left="574"/>
      <w:jc w:val="center"/>
      <w:outlineLvl w:val="0"/>
    </w:pPr>
    <w:rPr>
      <w:rFonts w:ascii="Arial" w:hAnsi="Arial" w:cs="Arial"/>
      <w:b/>
      <w:bCs/>
      <w:sz w:val="41"/>
      <w:szCs w:val="41"/>
    </w:rPr>
  </w:style>
  <w:style w:type="paragraph" w:styleId="Heading2">
    <w:name w:val="heading 2"/>
    <w:basedOn w:val="Normal"/>
    <w:next w:val="Normal"/>
    <w:link w:val="Heading2Char"/>
    <w:uiPriority w:val="1"/>
    <w:qFormat/>
    <w:pPr>
      <w:spacing w:before="48"/>
      <w:ind w:left="1937" w:hanging="437"/>
      <w:outlineLvl w:val="1"/>
    </w:pPr>
    <w:rPr>
      <w:rFonts w:ascii="Arial" w:hAnsi="Arial" w:cs="Arial"/>
      <w:sz w:val="41"/>
      <w:szCs w:val="41"/>
    </w:rPr>
  </w:style>
  <w:style w:type="paragraph" w:styleId="Heading3">
    <w:name w:val="heading 3"/>
    <w:basedOn w:val="Normal"/>
    <w:next w:val="Normal"/>
    <w:link w:val="Heading3Char"/>
    <w:uiPriority w:val="1"/>
    <w:qFormat/>
    <w:pPr>
      <w:spacing w:line="456" w:lineRule="exact"/>
      <w:ind w:left="94" w:right="435"/>
      <w:jc w:val="center"/>
      <w:outlineLvl w:val="2"/>
    </w:pPr>
    <w:rPr>
      <w:sz w:val="40"/>
      <w:szCs w:val="40"/>
    </w:rPr>
  </w:style>
  <w:style w:type="paragraph" w:styleId="Heading4">
    <w:name w:val="heading 4"/>
    <w:basedOn w:val="Normal"/>
    <w:next w:val="Normal"/>
    <w:link w:val="Heading4Char"/>
    <w:uiPriority w:val="1"/>
    <w:qFormat/>
    <w:pPr>
      <w:spacing w:line="271" w:lineRule="exact"/>
      <w:outlineLvl w:val="3"/>
    </w:pPr>
    <w:rPr>
      <w:sz w:val="37"/>
      <w:szCs w:val="37"/>
    </w:rPr>
  </w:style>
  <w:style w:type="paragraph" w:styleId="Heading5">
    <w:name w:val="heading 5"/>
    <w:basedOn w:val="Normal"/>
    <w:next w:val="Normal"/>
    <w:link w:val="Heading5Char"/>
    <w:uiPriority w:val="1"/>
    <w:qFormat/>
    <w:pPr>
      <w:spacing w:before="36"/>
      <w:ind w:left="168" w:right="128"/>
      <w:outlineLvl w:val="4"/>
    </w:pPr>
    <w:rPr>
      <w:rFonts w:ascii="Arial" w:hAnsi="Arial" w:cs="Arial"/>
      <w:b/>
      <w:bCs/>
      <w:i/>
      <w:iCs/>
      <w:sz w:val="36"/>
      <w:szCs w:val="36"/>
    </w:rPr>
  </w:style>
  <w:style w:type="paragraph" w:styleId="Heading6">
    <w:name w:val="heading 6"/>
    <w:basedOn w:val="Normal"/>
    <w:next w:val="Normal"/>
    <w:link w:val="Heading6Char"/>
    <w:uiPriority w:val="1"/>
    <w:qFormat/>
    <w:pPr>
      <w:ind w:left="904" w:right="355"/>
      <w:outlineLvl w:val="5"/>
    </w:pPr>
    <w:rPr>
      <w:rFonts w:ascii="Arial" w:hAnsi="Arial" w:cs="Arial"/>
      <w:b/>
      <w:bCs/>
      <w:i/>
      <w:iCs/>
      <w:sz w:val="33"/>
      <w:szCs w:val="33"/>
    </w:rPr>
  </w:style>
  <w:style w:type="paragraph" w:styleId="Heading7">
    <w:name w:val="heading 7"/>
    <w:basedOn w:val="Normal"/>
    <w:next w:val="Normal"/>
    <w:link w:val="Heading7Char"/>
    <w:uiPriority w:val="1"/>
    <w:qFormat/>
    <w:pPr>
      <w:ind w:left="140" w:right="254"/>
      <w:outlineLvl w:val="6"/>
    </w:pPr>
    <w:rPr>
      <w:rFonts w:ascii="Calibri Light" w:hAnsi="Calibri Light" w:cs="Calibri Light"/>
      <w:sz w:val="32"/>
      <w:szCs w:val="32"/>
    </w:rPr>
  </w:style>
  <w:style w:type="paragraph" w:styleId="Heading8">
    <w:name w:val="heading 8"/>
    <w:basedOn w:val="Normal"/>
    <w:next w:val="Normal"/>
    <w:link w:val="Heading8Char"/>
    <w:uiPriority w:val="1"/>
    <w:qFormat/>
    <w:pPr>
      <w:spacing w:line="300" w:lineRule="exact"/>
      <w:outlineLvl w:val="7"/>
    </w:pPr>
    <w:rPr>
      <w:sz w:val="30"/>
      <w:szCs w:val="30"/>
    </w:rPr>
  </w:style>
  <w:style w:type="paragraph" w:styleId="Heading9">
    <w:name w:val="heading 9"/>
    <w:basedOn w:val="Normal"/>
    <w:next w:val="Normal"/>
    <w:link w:val="Heading9Char"/>
    <w:uiPriority w:val="1"/>
    <w:qFormat/>
    <w:pPr>
      <w:ind w:left="1473" w:right="2036" w:hanging="1004"/>
      <w:outlineLvl w:val="8"/>
    </w:pPr>
    <w:rPr>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paragraph" w:styleId="BodyText">
    <w:name w:val="Body Text"/>
    <w:basedOn w:val="Normal"/>
    <w:link w:val="BodyTextChar"/>
    <w:uiPriority w:val="1"/>
    <w:qFormat/>
    <w:rPr>
      <w:rFonts w:ascii="Calibri" w:hAnsi="Calibri" w:cs="Calibri"/>
      <w:sz w:val="22"/>
      <w:szCs w:val="22"/>
    </w:rPr>
  </w:style>
  <w:style w:type="character" w:customStyle="1" w:styleId="BodyTextChar">
    <w:name w:val="Body Text Char"/>
    <w:basedOn w:val="DefaultParagraphFont"/>
    <w:link w:val="BodyText"/>
    <w:uiPriority w:val="99"/>
    <w:semiHidden/>
    <w:locked/>
    <w:rPr>
      <w:rFonts w:ascii="Times New Roman" w:hAnsi="Times New Roman" w:cs="Times New Roman"/>
      <w:sz w:val="24"/>
      <w:szCs w:val="24"/>
    </w:rPr>
  </w:style>
  <w:style w:type="paragraph" w:styleId="ListParagraph">
    <w:name w:val="List Paragraph"/>
    <w:basedOn w:val="Normal"/>
    <w:uiPriority w:val="34"/>
    <w:qFormat/>
    <w:pPr>
      <w:ind w:left="839" w:hanging="360"/>
    </w:pPr>
  </w:style>
  <w:style w:type="paragraph" w:customStyle="1" w:styleId="TableParagraph">
    <w:name w:val="Table Paragraph"/>
    <w:basedOn w:val="Normal"/>
    <w:uiPriority w:val="1"/>
    <w:qFormat/>
    <w:pPr>
      <w:ind w:left="103"/>
    </w:pPr>
    <w:rPr>
      <w:rFonts w:ascii="Arial" w:hAnsi="Arial" w:cs="Arial"/>
    </w:rPr>
  </w:style>
  <w:style w:type="paragraph" w:styleId="BalloonText">
    <w:name w:val="Balloon Text"/>
    <w:basedOn w:val="Normal"/>
    <w:link w:val="BalloonTextChar"/>
    <w:uiPriority w:val="99"/>
    <w:semiHidden/>
    <w:unhideWhenUsed/>
    <w:rsid w:val="007B2B7B"/>
    <w:rPr>
      <w:rFonts w:ascii="Tahoma" w:hAnsi="Tahoma" w:cs="Tahoma"/>
      <w:sz w:val="16"/>
      <w:szCs w:val="16"/>
    </w:rPr>
  </w:style>
  <w:style w:type="character" w:customStyle="1" w:styleId="BalloonTextChar">
    <w:name w:val="Balloon Text Char"/>
    <w:basedOn w:val="DefaultParagraphFont"/>
    <w:link w:val="BalloonText"/>
    <w:uiPriority w:val="99"/>
    <w:semiHidden/>
    <w:rsid w:val="007B2B7B"/>
    <w:rPr>
      <w:rFonts w:ascii="Tahoma" w:hAnsi="Tahoma" w:cs="Tahoma"/>
      <w:sz w:val="16"/>
      <w:szCs w:val="16"/>
    </w:rPr>
  </w:style>
  <w:style w:type="paragraph" w:customStyle="1" w:styleId="Default">
    <w:name w:val="Default"/>
    <w:rsid w:val="007B2B7B"/>
    <w:pPr>
      <w:autoSpaceDE w:val="0"/>
      <w:autoSpaceDN w:val="0"/>
      <w:adjustRightInd w:val="0"/>
      <w:spacing w:after="0" w:line="240" w:lineRule="auto"/>
    </w:pPr>
    <w:rPr>
      <w:rFonts w:ascii="Times New Roman" w:eastAsia="MS Mincho" w:hAnsi="Times New Roman"/>
      <w:color w:val="000000"/>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image" Target="media/image5.png"/>
  <Relationship Id="rId100" Type="http://schemas.openxmlformats.org/officeDocument/2006/relationships/hyperlink" TargetMode="External" Target="http://www.bostonabcd.org/"/>
  <Relationship Id="rId101" Type="http://schemas.openxmlformats.org/officeDocument/2006/relationships/image" Target="media/image52.png"/>
  <Relationship Id="rId102" Type="http://schemas.openxmlformats.org/officeDocument/2006/relationships/image" Target="media/image53.png"/>
  <Relationship Id="rId103" Type="http://schemas.openxmlformats.org/officeDocument/2006/relationships/image" Target="media/image54.png"/>
  <Relationship Id="rId104" Type="http://schemas.openxmlformats.org/officeDocument/2006/relationships/hyperlink" TargetMode="External" Target="http://www.mass.gov/hhs/masshealth-innovations"/>
  <Relationship Id="rId105" Type="http://schemas.openxmlformats.org/officeDocument/2006/relationships/image" Target="media/image55.png"/>
  <Relationship Id="rId106" Type="http://schemas.openxmlformats.org/officeDocument/2006/relationships/image" Target="media/image550.png"/>
  <Relationship Id="rId107" Type="http://schemas.openxmlformats.org/officeDocument/2006/relationships/image" Target="media/image56.png"/>
  <Relationship Id="rId108" Type="http://schemas.openxmlformats.org/officeDocument/2006/relationships/image" Target="media/image560.png"/>
  <Relationship Id="rId109" Type="http://schemas.openxmlformats.org/officeDocument/2006/relationships/hyperlink" TargetMode="External" Target="http://www.autismhousingpathways.org/"/>
  <Relationship Id="rId11" Type="http://schemas.openxmlformats.org/officeDocument/2006/relationships/image" Target="media/image6.jpeg"/>
  <Relationship Id="rId110" Type="http://schemas.openxmlformats.org/officeDocument/2006/relationships/hyperlink" TargetMode="External" Target="mailto:peter.doliber@maymca.com"/>
  <Relationship Id="rId111" Type="http://schemas.openxmlformats.org/officeDocument/2006/relationships/hyperlink" TargetMode="External" Target="http://www.maymca.com/"/>
  <Relationship Id="rId112" Type="http://schemas.openxmlformats.org/officeDocument/2006/relationships/image" Target="media/image57.jpeg"/>
  <Relationship Id="rId113" Type="http://schemas.openxmlformats.org/officeDocument/2006/relationships/image" Target="media/image58.jpeg"/>
  <Relationship Id="rId114" Type="http://schemas.openxmlformats.org/officeDocument/2006/relationships/image" Target="media/image580.jpeg"/>
  <Relationship Id="rId115" Type="http://schemas.openxmlformats.org/officeDocument/2006/relationships/hyperlink" TargetMode="External" Target="http://www.chcs.org/media/ACO111313_Final.pdf"/>
  <Relationship Id="rId116" Type="http://schemas.openxmlformats.org/officeDocument/2006/relationships/hyperlink" TargetMode="External" Target="http://www.mass.gov/eohhs/docs/dph/quality/drugcontrol/county-level-pmp/data-brief-overdose-deaths-may-2016.pdf"/>
  <Relationship Id="rId117" Type="http://schemas.openxmlformats.org/officeDocument/2006/relationships/hyperlink" TargetMode="External" Target="http://www.mass.gov/eohhs/docs/dph/quality/drugcontrol/county-level-pmp/data-brief-overdose-deaths-may-2016.pdf"/>
  <Relationship Id="rId118" Type="http://schemas.openxmlformats.org/officeDocument/2006/relationships/image" Target="media/image59.jpeg"/>
  <Relationship Id="rId119" Type="http://schemas.openxmlformats.org/officeDocument/2006/relationships/image" Target="media/image590.jpeg"/>
  <Relationship Id="rId12" Type="http://schemas.openxmlformats.org/officeDocument/2006/relationships/image" Target="media/image7.jpeg"/>
  <Relationship Id="rId120" Type="http://schemas.openxmlformats.org/officeDocument/2006/relationships/image" Target="media/image60.png"/>
  <Relationship Id="rId121" Type="http://schemas.openxmlformats.org/officeDocument/2006/relationships/image" Target="media/image61.png"/>
  <Relationship Id="rId122" Type="http://schemas.openxmlformats.org/officeDocument/2006/relationships/image" Target="media/image62.jpeg"/>
  <Relationship Id="rId123" Type="http://schemas.openxmlformats.org/officeDocument/2006/relationships/hyperlink" TargetMode="External" Target="http://www.autismhousingpathways.org/"/>
  <Relationship Id="rId124" Type="http://schemas.openxmlformats.org/officeDocument/2006/relationships/image" Target="media/image63.png"/>
  <Relationship Id="rId125" Type="http://schemas.openxmlformats.org/officeDocument/2006/relationships/image" Target="media/image630.png"/>
  <Relationship Id="rId126" Type="http://schemas.openxmlformats.org/officeDocument/2006/relationships/image" Target="media/image64.jpeg"/>
  <Relationship Id="rId127" Type="http://schemas.openxmlformats.org/officeDocument/2006/relationships/image" Target="media/image65.jpeg"/>
  <Relationship Id="rId128" Type="http://schemas.openxmlformats.org/officeDocument/2006/relationships/hyperlink" TargetMode="External" Target="http://content.healthaffairs.org/content/34/12/2077"/>
  <Relationship Id="rId129" Type="http://schemas.openxmlformats.org/officeDocument/2006/relationships/hyperlink" TargetMode="External" Target="https://www.beaconhealthoptions.com/integration-white-paper/"/>
  <Relationship Id="rId13" Type="http://schemas.openxmlformats.org/officeDocument/2006/relationships/image" Target="media/image8.png"/>
  <Relationship Id="rId130" Type="http://schemas.openxmlformats.org/officeDocument/2006/relationships/hyperlink" TargetMode="External" Target="http://www.asam.org/quality-practice/guidelines-and-consensus-documents/the-asam-criteria"/>
  <Relationship Id="rId131" Type="http://schemas.openxmlformats.org/officeDocument/2006/relationships/image" Target="media/image65.png"/>
  <Relationship Id="rId132" Type="http://schemas.openxmlformats.org/officeDocument/2006/relationships/hyperlink" TargetMode="External" Target="mailto:Christie.Hager@beaconhealthoptions.com"/>
  <Relationship Id="rId133" Type="http://schemas.openxmlformats.org/officeDocument/2006/relationships/image" Target="media/image66.png"/>
  <Relationship Id="rId134" Type="http://schemas.openxmlformats.org/officeDocument/2006/relationships/image" Target="media/image67.png"/>
  <Relationship Id="rId135" Type="http://schemas.openxmlformats.org/officeDocument/2006/relationships/image" Target="media/image68.png"/>
  <Relationship Id="rId136" Type="http://schemas.openxmlformats.org/officeDocument/2006/relationships/image" Target="media/image69.jpeg"/>
  <Relationship Id="rId137" Type="http://schemas.openxmlformats.org/officeDocument/2006/relationships/image" Target="media/image690.jpeg"/>
  <Relationship Id="rId138" Type="http://schemas.openxmlformats.org/officeDocument/2006/relationships/image" Target="media/image70.png"/>
  <Relationship Id="rId139" Type="http://schemas.openxmlformats.org/officeDocument/2006/relationships/image" Target="media/image71.png"/>
  <Relationship Id="rId14" Type="http://schemas.openxmlformats.org/officeDocument/2006/relationships/image" Target="media/image6.png"/>
  <Relationship Id="rId140" Type="http://schemas.openxmlformats.org/officeDocument/2006/relationships/image" Target="media/image710.png"/>
  <Relationship Id="rId141" Type="http://schemas.openxmlformats.org/officeDocument/2006/relationships/image" Target="media/image72.png"/>
  <Relationship Id="rId142" Type="http://schemas.openxmlformats.org/officeDocument/2006/relationships/image" Target="media/image73.png"/>
  <Relationship Id="rId143" Type="http://schemas.openxmlformats.org/officeDocument/2006/relationships/image" Target="media/image730.png"/>
  <Relationship Id="rId144" Type="http://schemas.openxmlformats.org/officeDocument/2006/relationships/image" Target="media/image74.jpeg"/>
  <Relationship Id="rId145" Type="http://schemas.openxmlformats.org/officeDocument/2006/relationships/hyperlink" TargetMode="External" Target="mailto:masshealth.innovations@state.ma.us"/>
  <Relationship Id="rId146" Type="http://schemas.openxmlformats.org/officeDocument/2006/relationships/hyperlink" TargetMode="External" Target="http://www.cigna.com/assets/docs/life-wall-library/Whygooddentalcareisimportant_whitepaper.pdf"/>
  <Relationship Id="rId147" Type="http://schemas.openxmlformats.org/officeDocument/2006/relationships/hyperlink" TargetMode="External" Target="http://www.uhc.com/content/dam/uhcdotcom/en/Private%20Label%20Administrators/100-"/>
  <Relationship Id="rId148" Type="http://schemas.openxmlformats.org/officeDocument/2006/relationships/image" Target="media/image75.png"/>
  <Relationship Id="rId149" Type="http://schemas.openxmlformats.org/officeDocument/2006/relationships/image" Target="media/image750.png"/>
  <Relationship Id="rId15" Type="http://schemas.openxmlformats.org/officeDocument/2006/relationships/image" Target="media/image8.jpeg"/>
  <Relationship Id="rId150" Type="http://schemas.openxmlformats.org/officeDocument/2006/relationships/hyperlink" TargetMode="External" Target="mailto:Carole.Upshur@umassmed.edu"/>
  <Relationship Id="rId151" Type="http://schemas.openxmlformats.org/officeDocument/2006/relationships/hyperlink" TargetMode="External" Target="mailto:John.May@MassMail.State.MA.US"/>
  <Relationship Id="rId152" Type="http://schemas.openxmlformats.org/officeDocument/2006/relationships/hyperlink" TargetMode="External" Target="mailto:BettyFunk@rcn.com"/>
  <Relationship Id="rId153" Type="http://schemas.openxmlformats.org/officeDocument/2006/relationships/hyperlink" TargetMode="External" Target="mailto:vdigravio@abhmass.org"/>
  <Relationship Id="rId154" Type="http://schemas.openxmlformats.org/officeDocument/2006/relationships/hyperlink" TargetMode="External" Target="mailto:MReynolds@rmf.harvard.edu"/>
  <Relationship Id="rId155" Type="http://schemas.openxmlformats.org/officeDocument/2006/relationships/hyperlink" TargetMode="External" Target="mailto:raymond.mccarthy@baystatehealth.org"/>
  <Relationship Id="rId156" Type="http://schemas.openxmlformats.org/officeDocument/2006/relationships/hyperlink" TargetMode="External" Target="mailto:robertlebow@yahoo.com"/>
  <Relationship Id="rId157" Type="http://schemas.openxmlformats.org/officeDocument/2006/relationships/hyperlink" TargetMode="External" Target="mailto:moran87@charter.net"/>
  <Relationship Id="rId158" Type="http://schemas.openxmlformats.org/officeDocument/2006/relationships/hyperlink" TargetMode="External" Target="http://www.mass.gov/hhs/masshealth-innovations"/>
  <Relationship Id="rId159" Type="http://schemas.openxmlformats.org/officeDocument/2006/relationships/image" Target="media/image76.png"/>
  <Relationship Id="rId16" Type="http://schemas.openxmlformats.org/officeDocument/2006/relationships/image" Target="media/image9.jpeg"/>
  <Relationship Id="rId160" Type="http://schemas.openxmlformats.org/officeDocument/2006/relationships/image" Target="media/image85.png"/>
  <Relationship Id="rId161" Type="http://schemas.openxmlformats.org/officeDocument/2006/relationships/image" Target="media/image760.png"/>
  <Relationship Id="rId162" Type="http://schemas.openxmlformats.org/officeDocument/2006/relationships/image" Target="media/image77.png"/>
  <Relationship Id="rId163" Type="http://schemas.openxmlformats.org/officeDocument/2006/relationships/image" Target="media/image87.png"/>
  <Relationship Id="rId164" Type="http://schemas.openxmlformats.org/officeDocument/2006/relationships/image" Target="media/image78.jpeg"/>
  <Relationship Id="rId165" Type="http://schemas.openxmlformats.org/officeDocument/2006/relationships/image" Target="media/image79.jpeg"/>
  <Relationship Id="rId166" Type="http://schemas.openxmlformats.org/officeDocument/2006/relationships/hyperlink" TargetMode="External" Target="mailto:masshealth.innovations@state.ma.gov"/>
  <Relationship Id="rId167" Type="http://schemas.openxmlformats.org/officeDocument/2006/relationships/hyperlink" TargetMode="External" Target="http://www.clinicalnutritionjournal.com/article/S0261-5614(11)00199-3/pdf%3B"/>
  <Relationship Id="rId168" Type="http://schemas.openxmlformats.org/officeDocument/2006/relationships/hyperlink" TargetMode="External" Target="http://www.nyhiv.org/pdfs/chain/CHAIN%202011-"/>
  <Relationship Id="rId169" Type="http://schemas.openxmlformats.org/officeDocument/2006/relationships/hyperlink" TargetMode="External" Target="http://www.nyhiv.org/pdfs/chain/CHAIN%202013-"/>
  <Relationship Id="rId17" Type="http://schemas.openxmlformats.org/officeDocument/2006/relationships/image" Target="media/image10.png"/>
  <Relationship Id="rId170" Type="http://schemas.openxmlformats.org/officeDocument/2006/relationships/hyperlink" TargetMode="External" Target="http://www.health.ny.gov/diseases/aids/ending_the_epidemic/docs/key_resources/housing_and_supportive_service"/>
  <Relationship Id="rId171" Type="http://schemas.openxmlformats.org/officeDocument/2006/relationships/hyperlink" TargetMode="External" Target="http://futureofchildren.org/futureofchildren/publications/docs/ResearchReport-Fall2014.pdf"/>
  <Relationship Id="rId172" Type="http://schemas.openxmlformats.org/officeDocument/2006/relationships/image" Target="media/image80.jpeg"/>
  <Relationship Id="rId173" Type="http://schemas.openxmlformats.org/officeDocument/2006/relationships/image" Target="media/image800.jpeg"/>
  <Relationship Id="rId174" Type="http://schemas.openxmlformats.org/officeDocument/2006/relationships/image" Target="media/image81.png"/>
  <Relationship Id="rId175" Type="http://schemas.openxmlformats.org/officeDocument/2006/relationships/image" Target="media/image810.png"/>
  <Relationship Id="rId176" Type="http://schemas.openxmlformats.org/officeDocument/2006/relationships/image" Target="media/image82.png"/>
  <Relationship Id="rId177" Type="http://schemas.openxmlformats.org/officeDocument/2006/relationships/image" Target="media/image83.png"/>
  <Relationship Id="rId178" Type="http://schemas.openxmlformats.org/officeDocument/2006/relationships/image" Target="media/image830.png"/>
  <Relationship Id="rId179" Type="http://schemas.openxmlformats.org/officeDocument/2006/relationships/hyperlink" TargetMode="External" Target="http://www.chapa.org/"/>
  <Relationship Id="rId18" Type="http://schemas.openxmlformats.org/officeDocument/2006/relationships/image" Target="media/image11.jpeg"/>
  <Relationship Id="rId180" Type="http://schemas.openxmlformats.org/officeDocument/2006/relationships/image" Target="media/image84.jpeg"/>
  <Relationship Id="rId181" Type="http://schemas.openxmlformats.org/officeDocument/2006/relationships/hyperlink" TargetMode="External" Target="mailto:MassHealth.Innovations@state.ma.us"/>
  <Relationship Id="rId182" Type="http://schemas.openxmlformats.org/officeDocument/2006/relationships/hyperlink" TargetMode="External" Target="mailto:sedc@bu.edu"/>
  <Relationship Id="rId183" Type="http://schemas.openxmlformats.org/officeDocument/2006/relationships/hyperlink" TargetMode="External" Target="mailto:richard.sheward@gmail.com"/>
  <Relationship Id="rId184" Type="http://schemas.openxmlformats.org/officeDocument/2006/relationships/image" Target="media/image85.jpeg"/>
  <Relationship Id="rId185" Type="http://schemas.openxmlformats.org/officeDocument/2006/relationships/image" Target="media/image850.jpeg"/>
  <Relationship Id="rId186" Type="http://schemas.openxmlformats.org/officeDocument/2006/relationships/image" Target="media/image86.jpeg"/>
  <Relationship Id="rId187" Type="http://schemas.openxmlformats.org/officeDocument/2006/relationships/image" Target="media/image860.jpeg"/>
  <Relationship Id="rId188" Type="http://schemas.openxmlformats.org/officeDocument/2006/relationships/image" Target="media/image87.jpeg"/>
  <Relationship Id="rId189" Type="http://schemas.openxmlformats.org/officeDocument/2006/relationships/image" Target="media/image870.jpeg"/>
  <Relationship Id="rId19" Type="http://schemas.openxmlformats.org/officeDocument/2006/relationships/image" Target="media/image14.png"/>
  <Relationship Id="rId190" Type="http://schemas.openxmlformats.org/officeDocument/2006/relationships/image" Target="media/image88.jpeg"/>
  <Relationship Id="rId191" Type="http://schemas.openxmlformats.org/officeDocument/2006/relationships/hyperlink" TargetMode="External" Target="http://www.chlldrensmentalhealthcampaign.org/"/>
  <Relationship Id="rId192" Type="http://schemas.openxmlformats.org/officeDocument/2006/relationships/image" Target="media/image89.jpeg"/>
  <Relationship Id="rId193" Type="http://schemas.openxmlformats.org/officeDocument/2006/relationships/image" Target="media/image890.jpeg"/>
  <Relationship Id="rId194" Type="http://schemas.openxmlformats.org/officeDocument/2006/relationships/hyperlink" TargetMode="External" Target="mailto:MassHealth.Innovations@state.ma.us"/>
  <Relationship Id="rId195" Type="http://schemas.openxmlformats.org/officeDocument/2006/relationships/image" Target="media/image90.jpeg"/>
  <Relationship Id="rId196" Type="http://schemas.openxmlformats.org/officeDocument/2006/relationships/image" Target="media/image900.jpeg"/>
  <Relationship Id="rId197" Type="http://schemas.openxmlformats.org/officeDocument/2006/relationships/image" Target="media/image91.jpeg"/>
  <Relationship Id="rId198" Type="http://schemas.openxmlformats.org/officeDocument/2006/relationships/image" Target="media/image92.jpeg"/>
  <Relationship Id="rId199" Type="http://schemas.openxmlformats.org/officeDocument/2006/relationships/image" Target="media/image93.jpeg"/>
  <Relationship Id="rId2" Type="http://schemas.openxmlformats.org/officeDocument/2006/relationships/styles" Target="styles.xml"/>
  <Relationship Id="rId20" Type="http://schemas.openxmlformats.org/officeDocument/2006/relationships/image" Target="media/image15.jpeg"/>
  <Relationship Id="rId200" Type="http://schemas.openxmlformats.org/officeDocument/2006/relationships/hyperlink" TargetMode="External" Target="mailto:masshealth.innovations@state.ma.gov"/>
  <Relationship Id="rId201" Type="http://schemas.openxmlformats.org/officeDocument/2006/relationships/hyperlink" TargetMode="External" Target="http://www.clinicalnutritionjournal.com/article/S0261-5614(11)00199-3/pdf%3B"/>
  <Relationship Id="rId202" Type="http://schemas.openxmlformats.org/officeDocument/2006/relationships/hyperlink" TargetMode="External" Target="http://www.nyhiv.org/pdfs/chain/CHAIN%202011-"/>
  <Relationship Id="rId203" Type="http://schemas.openxmlformats.org/officeDocument/2006/relationships/hyperlink" TargetMode="External" Target="http://www.nyhiv.org/pdfs/chain/CHAIN%202013-"/>
  <Relationship Id="rId204" Type="http://schemas.openxmlformats.org/officeDocument/2006/relationships/hyperlink" TargetMode="External" Target="http://www.health.ny.gov/diseases/aids/ending_the_epidemic/docs/key_resources/housing_and_supportive_service"/>
  <Relationship Id="rId205" Type="http://schemas.openxmlformats.org/officeDocument/2006/relationships/hyperlink" TargetMode="External" Target="http://futureofchildren.org/futureofchildren/publications/docs/ResearchReport-Fall2014.pdf"/>
  <Relationship Id="rId206" Type="http://schemas.openxmlformats.org/officeDocument/2006/relationships/image" Target="media/image94.jpeg"/>
  <Relationship Id="rId207" Type="http://schemas.openxmlformats.org/officeDocument/2006/relationships/image" Target="media/image940.jpeg"/>
  <Relationship Id="rId208" Type="http://schemas.openxmlformats.org/officeDocument/2006/relationships/image" Target="media/image95.png"/>
  <Relationship Id="rId209" Type="http://schemas.openxmlformats.org/officeDocument/2006/relationships/image" Target="media/image950.png"/>
  <Relationship Id="rId21" Type="http://schemas.openxmlformats.org/officeDocument/2006/relationships/image" Target="media/image16.jpeg"/>
  <Relationship Id="rId210" Type="http://schemas.openxmlformats.org/officeDocument/2006/relationships/hyperlink" TargetMode="External" Target="mailto:gcraven@policystrategists.com"/>
  <Relationship Id="rId211" Type="http://schemas.openxmlformats.org/officeDocument/2006/relationships/hyperlink" TargetMode="External" Target="mailto:Amanda.CasselKraft@MassMail.State.MA.US"/>
  <Relationship Id="rId212" Type="http://schemas.openxmlformats.org/officeDocument/2006/relationships/hyperlink" TargetMode="External" Target="mailto:sober@policystrategists.com"/>
  <Relationship Id="rId213" Type="http://schemas.openxmlformats.org/officeDocument/2006/relationships/hyperlink" TargetMode="External" Target="http://www.policystrategists.com/"/>
  <Relationship Id="rId214" Type="http://schemas.openxmlformats.org/officeDocument/2006/relationships/hyperlink" TargetMode="External" Target="mailto:gcraven@policystrategists.com"/>
  <Relationship Id="rId215" Type="http://schemas.openxmlformats.org/officeDocument/2006/relationships/hyperlink" TargetMode="External" Target="mailto:Amanda.CasselKraft@MassMail.State.MA.US"/>
  <Relationship Id="rId216" Type="http://schemas.openxmlformats.org/officeDocument/2006/relationships/hyperlink" TargetMode="External" Target="mailto:sober@policystrategists.com"/>
  <Relationship Id="rId217" Type="http://schemas.openxmlformats.org/officeDocument/2006/relationships/hyperlink" TargetMode="External" Target="http://www.policystrategists.com/"/>
  <Relationship Id="rId218" Type="http://schemas.openxmlformats.org/officeDocument/2006/relationships/hyperlink" TargetMode="External" Target="mailto:gcraven@policystrategists.com"/>
  <Relationship Id="rId219" Type="http://schemas.openxmlformats.org/officeDocument/2006/relationships/hyperlink" TargetMode="External" Target="mailto:amanda.casselkraft@state.ma.us"/>
  <Relationship Id="rId22" Type="http://schemas.openxmlformats.org/officeDocument/2006/relationships/image" Target="media/image17.png"/>
  <Relationship Id="rId220" Type="http://schemas.openxmlformats.org/officeDocument/2006/relationships/hyperlink" TargetMode="External" Target="mailto:sober@policystrategists.com"/>
  <Relationship Id="rId221" Type="http://schemas.openxmlformats.org/officeDocument/2006/relationships/hyperlink" TargetMode="External" Target="http://www.policystrategists.com/"/>
  <Relationship Id="rId222" Type="http://schemas.openxmlformats.org/officeDocument/2006/relationships/hyperlink" TargetMode="External" Target="http://www.floridanurse.org/arnpcorner/ARNPDocs/OPPAGAScopeofPracticeMemo.pdf"/>
  <Relationship Id="rId223" Type="http://schemas.openxmlformats.org/officeDocument/2006/relationships/hyperlink" TargetMode="External" Target="http://www.texasnurses.org/associations/8080/files/PerrymanAPRN_UltilizationEconomicImpactReport.pdf"/>
  <Relationship Id="rId224" Type="http://schemas.openxmlformats.org/officeDocument/2006/relationships/image" Target="media/image96.png"/>
  <Relationship Id="rId225" Type="http://schemas.openxmlformats.org/officeDocument/2006/relationships/image" Target="media/image960.png"/>
  <Relationship Id="rId226" Type="http://schemas.openxmlformats.org/officeDocument/2006/relationships/image" Target="media/image97.png"/>
  <Relationship Id="rId227" Type="http://schemas.openxmlformats.org/officeDocument/2006/relationships/image" Target="media/image970.png"/>
  <Relationship Id="rId228" Type="http://schemas.openxmlformats.org/officeDocument/2006/relationships/image" Target="media/image98.png"/>
  <Relationship Id="rId229" Type="http://schemas.openxmlformats.org/officeDocument/2006/relationships/image" Target="media/image980.png"/>
  <Relationship Id="rId23" Type="http://schemas.openxmlformats.org/officeDocument/2006/relationships/image" Target="media/image18.jpeg"/>
  <Relationship Id="rId230" Type="http://schemas.openxmlformats.org/officeDocument/2006/relationships/hyperlink" TargetMode="External" Target="mailto:dheaphy@dpcma.org"/>
  <Relationship Id="rId231" Type="http://schemas.openxmlformats.org/officeDocument/2006/relationships/hyperlink" TargetMode="External" Target="mailto:Daniel.Tsai@MassMail.State.MA.US"/>
  <Relationship Id="rId232" Type="http://schemas.openxmlformats.org/officeDocument/2006/relationships/hyperlink" TargetMode="External" Target="mailto:dheaphy@dpcma.org"/>
  <Relationship Id="rId233" Type="http://schemas.openxmlformats.org/officeDocument/2006/relationships/hyperlink" TargetMode="External" Target="mailto:ipek.demirsoy@state.ma.us"/>
  <Relationship Id="rId234" Type="http://schemas.openxmlformats.org/officeDocument/2006/relationships/hyperlink" TargetMode="External" Target="mailto:dheaphy@dpcma.org"/>
  <Relationship Id="rId235" Type="http://schemas.openxmlformats.org/officeDocument/2006/relationships/hyperlink" TargetMode="External" Target="mailto:dheaphy@dpcma.org"/>
  <Relationship Id="rId236" Type="http://schemas.openxmlformats.org/officeDocument/2006/relationships/hyperlink" TargetMode="External" Target="http://www.avg.com/"/>
  <Relationship Id="rId237" Type="http://schemas.openxmlformats.org/officeDocument/2006/relationships/hyperlink" TargetMode="External" Target="mailto:MassHealth.Innovations@state.ma.us"/>
  <Relationship Id="rId238" Type="http://schemas.openxmlformats.org/officeDocument/2006/relationships/hyperlink" TargetMode="External" Target="http://www.commonwealthfund.org/publications/in-the-literature/2015/jul/reducing-medicaid-churning"/>
  <Relationship Id="rId239" Type="http://schemas.openxmlformats.org/officeDocument/2006/relationships/hyperlink" TargetMode="External" Target="http://www.ncbi.nlm.nih.gov/pmc/articles/PMC4664196/"/>
  <Relationship Id="rId24" Type="http://schemas.openxmlformats.org/officeDocument/2006/relationships/image" Target="media/image12.jpeg"/>
  <Relationship Id="rId240" Type="http://schemas.openxmlformats.org/officeDocument/2006/relationships/hyperlink" TargetMode="External" Target="http://www.economist.com/news/united-states/21663262-why-low-income-americans-often-have-pay-more-"/>
  <Relationship Id="rId241" Type="http://schemas.openxmlformats.org/officeDocument/2006/relationships/hyperlink" TargetMode="External" Target="http://www.governing.com/topics/urban/gov-urban-affordable-housing-families.html"/>
  <Relationship Id="rId242" Type="http://schemas.openxmlformats.org/officeDocument/2006/relationships/hyperlink" TargetMode="External" Target="http://www.ers.usda.gov/media/921672/aer759.pdf"/>
  <Relationship Id="rId243" Type="http://schemas.openxmlformats.org/officeDocument/2006/relationships/hyperlink" TargetMode="External" Target="http://www.wsj.com/articles/more-cost-of-health-care-shifts-to-members-1417640559"/>
  <Relationship Id="rId244" Type="http://schemas.openxmlformats.org/officeDocument/2006/relationships/hyperlink" TargetMode="External" Target="http://www.usatoday.com/story/news/nation/2015/01/01/middle-class-workers-struggle-to-pay-for-care-"/>
  <Relationship Id="rId245" Type="http://schemas.openxmlformats.org/officeDocument/2006/relationships/hyperlink" TargetMode="External" Target="http://www.ncd.gov/publications/2016/medicaid-managed-care-community-forums-final-report"/>
  <Relationship Id="rId246" Type="http://schemas.openxmlformats.org/officeDocument/2006/relationships/hyperlink" TargetMode="External" Target="http://www.mass.gov/eohhs/docs/dph/com-health/prev-wellness-advisory-board/annual-report-2014.pdf"/>
  <Relationship Id="rId247" Type="http://schemas.openxmlformats.org/officeDocument/2006/relationships/hyperlink" TargetMode="External" Target="http://www.commonwealthfund.org/publications/newsletters/quality-matters/2015/february-march/in-focus"/>
  <Relationship Id="rId248" Type="http://schemas.openxmlformats.org/officeDocument/2006/relationships/hyperlink" TargetMode="External" Target="http://www.healthreform.ct.gov/ohri/site/default.asp"/>
  <Relationship Id="rId249" Type="http://schemas.openxmlformats.org/officeDocument/2006/relationships/hyperlink" TargetMode="External" Target="http://www.valuewalk.com/2015/10/alternate-payment-models-why-the-healthcare-industry-will-never-look-"/>
  <Relationship Id="rId25" Type="http://schemas.openxmlformats.org/officeDocument/2006/relationships/image" Target="media/image13.jpeg"/>
  <Relationship Id="rId250" Type="http://schemas.openxmlformats.org/officeDocument/2006/relationships/hyperlink" TargetMode="External" Target="http://www.chcs.org/media/Healthy-Behavior-Incentives_Opportunities-for-Medicaid_1.pdf"/>
  <Relationship Id="rId251" Type="http://schemas.openxmlformats.org/officeDocument/2006/relationships/hyperlink" TargetMode="External" Target="http://www.chcs.org/media/Healthy-Behavior-Incentives_Opportunities-for-Medicaid_1.pdf"/>
  <Relationship Id="rId252" Type="http://schemas.openxmlformats.org/officeDocument/2006/relationships/hyperlink" TargetMode="External" Target="mailto:dheaphy@dpcma.org"/>
  <Relationship Id="rId253" Type="http://schemas.openxmlformats.org/officeDocument/2006/relationships/hyperlink" TargetMode="External" Target="mailto:bhenning@bostoncil.org"/>
  <Relationship Id="rId254" Type="http://schemas.openxmlformats.org/officeDocument/2006/relationships/image" Target="media/image99.jpeg"/>
  <Relationship Id="rId255" Type="http://schemas.openxmlformats.org/officeDocument/2006/relationships/image" Target="media/image100.png"/>
  <Relationship Id="rId256" Type="http://schemas.openxmlformats.org/officeDocument/2006/relationships/image" Target="media/image1000.png"/>
  <Relationship Id="rId257" Type="http://schemas.openxmlformats.org/officeDocument/2006/relationships/image" Target="media/image101.png"/>
  <Relationship Id="rId258" Type="http://schemas.openxmlformats.org/officeDocument/2006/relationships/hyperlink" TargetMode="External" Target="http://www.dlc-ma.org/"/>
  <Relationship Id="rId259" Type="http://schemas.openxmlformats.org/officeDocument/2006/relationships/hyperlink" TargetMode="External" Target="mailto:mail@dlc-ma.org"/>
  <Relationship Id="rId26" Type="http://schemas.openxmlformats.org/officeDocument/2006/relationships/image" Target="media/image14.jpeg"/>
  <Relationship Id="rId260" Type="http://schemas.openxmlformats.org/officeDocument/2006/relationships/hyperlink" TargetMode="External" Target="http://www.gbls.org/"/>
  <Relationship Id="rId261" Type="http://schemas.openxmlformats.org/officeDocument/2006/relationships/image" Target="media/image102.jpeg"/>
  <Relationship Id="rId262" Type="http://schemas.openxmlformats.org/officeDocument/2006/relationships/hyperlink" TargetMode="External" Target="http://www.drsforamerica.org/"/>
  <Relationship Id="rId263" Type="http://schemas.openxmlformats.org/officeDocument/2006/relationships/hyperlink" TargetMode="External" Target="mailto:massachusetts@drsforamerica.org"/>
  <Relationship Id="rId264" Type="http://schemas.openxmlformats.org/officeDocument/2006/relationships/hyperlink" TargetMode="External" Target="http://healthaffairs.org/blog/2016/04/21/make-the-clinician-burnout-epidemic-a-national-priority/"/>
  <Relationship Id="rId265" Type="http://schemas.openxmlformats.org/officeDocument/2006/relationships/hyperlink" TargetMode="External" Target="http://www.annfammed.org/content/11/3/272.full"/>
  <Relationship Id="rId266" Type="http://schemas.openxmlformats.org/officeDocument/2006/relationships/hyperlink" TargetMode="External" Target="http://www.ncbi.nlm.nih.gov/pubmed/25985320"/>
  <Relationship Id="rId267" Type="http://schemas.openxmlformats.org/officeDocument/2006/relationships/hyperlink" TargetMode="External" Target="http://healthaffairs.org/blog/2015/06/23/the-core-quality-measures-collaborative-a-rationale-and-framework-for-public-private-"/>
  <Relationship Id="rId268" Type="http://schemas.openxmlformats.org/officeDocument/2006/relationships/hyperlink" TargetMode="External" Target="http://www.nap.edu/catalog/23513/accounting-for-social-risk-factors-in-medicare-payment-criteria-factors"/>
  <Relationship Id="rId269" Type="http://schemas.openxmlformats.org/officeDocument/2006/relationships/hyperlink" TargetMode="External" Target="http://www.nap.edu/catalog/23513/accounting-for-social-risk-factors-in-medicare-payment-criteria-factors"/>
  <Relationship Id="rId27" Type="http://schemas.openxmlformats.org/officeDocument/2006/relationships/image" Target="media/image17.jpeg"/>
  <Relationship Id="rId270" Type="http://schemas.openxmlformats.org/officeDocument/2006/relationships/hyperlink" TargetMode="External" Target="http://www.beckershospitalreview.com/accountable-care-organizations/supporting-aco-success-with-meaningful-patient-"/>
  <Relationship Id="rId271" Type="http://schemas.openxmlformats.org/officeDocument/2006/relationships/hyperlink" TargetMode="External" Target="http://www.ncbi.nlm.nih.gov/pubmed/24622387"/>
  <Relationship Id="rId272" Type="http://schemas.openxmlformats.org/officeDocument/2006/relationships/hyperlink" TargetMode="External" Target="http://www.nejm.org/doi/full/10.1056/NEJMsa043878"/>
  <Relationship Id="rId273" Type="http://schemas.openxmlformats.org/officeDocument/2006/relationships/hyperlink" TargetMode="External" Target="http://kff.org/private-insurance/issue-brief/surprise-medical-bills/"/>
  <Relationship Id="rId274" Type="http://schemas.openxmlformats.org/officeDocument/2006/relationships/hyperlink" TargetMode="External" Target="http://www.npr.org/sections/health-shots/2015/12/24/460829936/er-docs-say-rule-change-could-raise-patients-out-of-network-"/>
  <Relationship Id="rId275" Type="http://schemas.openxmlformats.org/officeDocument/2006/relationships/hyperlink" TargetMode="External" Target="http://health.gov/communication/literacy/quickguide/factsbasic.htm"/>
  <Relationship Id="rId276" Type="http://schemas.openxmlformats.org/officeDocument/2006/relationships/hyperlink" TargetMode="External" Target="http://www.cms.gov/About-CMS/Agency-Information/OMH/OMH-Coverage2Care.html"/>
  <Relationship Id="rId277" Type="http://schemas.openxmlformats.org/officeDocument/2006/relationships/hyperlink" TargetMode="External" Target="http://kff.org/medicaid/issue-brief/profiles-of-medicaid-outreach-and-enrollment-strategies-using-text-messaging-to-reach-"/>
  <Relationship Id="rId278" Type="http://schemas.openxmlformats.org/officeDocument/2006/relationships/hyperlink" TargetMode="External" Target="http://health.gov/communication/hlactionplan/pdf/Health_Literacy_Action_Plan.pdf"/>
  <Relationship Id="rId279" Type="http://schemas.openxmlformats.org/officeDocument/2006/relationships/hyperlink" TargetMode="External" Target="http://www.cthealth.org/wp-content/uploads/2011/04/Policy-Brief-2-Proposed-Medicaid-Cost-Sharing-Evaluating-The-"/>
  <Relationship Id="rId28" Type="http://schemas.openxmlformats.org/officeDocument/2006/relationships/image" Target="media/image19.jpeg"/>
  <Relationship Id="rId280" Type="http://schemas.openxmlformats.org/officeDocument/2006/relationships/hyperlink" TargetMode="External" Target="http://content.healthaffairs.org/content/24/4/1106.full"/>
  <Relationship Id="rId281" Type="http://schemas.openxmlformats.org/officeDocument/2006/relationships/hyperlink" TargetMode="External" Target="http://www.baystatehealth.org/services/pediatrics/family-support-services/4c-program"/>
  <Relationship Id="rId282" Type="http://schemas.openxmlformats.org/officeDocument/2006/relationships/hyperlink" TargetMode="External" Target="http://content.healthaffairs.org/content/29/7/1338.full"/>
  <Relationship Id="rId283" Type="http://schemas.openxmlformats.org/officeDocument/2006/relationships/hyperlink" TargetMode="External" Target="http://www.nehi.net/writable/publication_files/file/jhf-nehi_chw_issue_brief_web_ready_.pdf"/>
  <Relationship Id="rId284" Type="http://schemas.openxmlformats.org/officeDocument/2006/relationships/hyperlink" TargetMode="External" Target="http://org.salsalabs.com/o/307/images/Physician%20admin%20time_IJHS.pdf"/>
  <Relationship Id="rId285" Type="http://schemas.openxmlformats.org/officeDocument/2006/relationships/hyperlink" TargetMode="External" Target="http://www.aap.org/en-us/advocacy-and-policy/aap-health-initiatives/Mental-Health/Pages/HIPAA-Privacy-Rule-and-"/>
  <Relationship Id="rId286" Type="http://schemas.openxmlformats.org/officeDocument/2006/relationships/hyperlink" TargetMode="External" Target="http://www.mass.gov/eohhs/gov/laws-regs/privacy-security/school-health/hipaa-and-school-health-frequently-asked-"/>
  <Relationship Id="rId287" Type="http://schemas.openxmlformats.org/officeDocument/2006/relationships/hyperlink" TargetMode="External" Target="http://hub.jhu.edu/2016/05/03/medical-errors-third-leading-cause-of-death/"/>
  <Relationship Id="rId288" Type="http://schemas.openxmlformats.org/officeDocument/2006/relationships/hyperlink" TargetMode="External" Target="http://www.jointcommission.org/assets/1/18/SEA_54.pdf"/>
  <Relationship Id="rId289" Type="http://schemas.openxmlformats.org/officeDocument/2006/relationships/hyperlink" TargetMode="External" Target="http://www.qualityforum.org/ProjectDescription.aspx?projectID=77689"/>
  <Relationship Id="rId29" Type="http://schemas.openxmlformats.org/officeDocument/2006/relationships/image" Target="media/image20.jpeg"/>
  <Relationship Id="rId290" Type="http://schemas.openxmlformats.org/officeDocument/2006/relationships/hyperlink" TargetMode="External" Target="http://www.healthit.gov/sites/default/files/safety_plan_master.pdf"/>
  <Relationship Id="rId291" Type="http://schemas.openxmlformats.org/officeDocument/2006/relationships/hyperlink" TargetMode="External" Target="http://www.innovation.va.gov/innovatorsnetwork/"/>
  <Relationship Id="rId292" Type="http://schemas.openxmlformats.org/officeDocument/2006/relationships/hyperlink" TargetMode="External" Target="http://www.blogs.va.gov/VAntage/28017/san-francisco-vamc-shark-tank/"/>
  <Relationship Id="rId293" Type="http://schemas.openxmlformats.org/officeDocument/2006/relationships/hyperlink" TargetMode="External" Target="mailto:massachusetts@drsforamerica.org"/>
  <Relationship Id="rId294" Type="http://schemas.openxmlformats.org/officeDocument/2006/relationships/image" Target="media/image103.png"/>
  <Relationship Id="rId295" Type="http://schemas.openxmlformats.org/officeDocument/2006/relationships/image" Target="media/image1030.png"/>
  <Relationship Id="rId296" Type="http://schemas.openxmlformats.org/officeDocument/2006/relationships/image" Target="media/image104.png"/>
  <Relationship Id="rId297" Type="http://schemas.openxmlformats.org/officeDocument/2006/relationships/image" Target="media/image1040.png"/>
  <Relationship Id="rId298" Type="http://schemas.openxmlformats.org/officeDocument/2006/relationships/image" Target="media/image105.png"/>
  <Relationship Id="rId299" Type="http://schemas.openxmlformats.org/officeDocument/2006/relationships/image" Target="media/image1050.png"/>
  <Relationship Id="rId3" Type="http://schemas.microsoft.com/office/2007/relationships/stylesWithEffects" Target="stylesWithEffects.xml"/>
  <Relationship Id="rId30" Type="http://schemas.openxmlformats.org/officeDocument/2006/relationships/image" Target="media/image21.jpeg"/>
  <Relationship Id="rId300" Type="http://schemas.openxmlformats.org/officeDocument/2006/relationships/image" Target="media/image106.png"/>
  <Relationship Id="rId301" Type="http://schemas.openxmlformats.org/officeDocument/2006/relationships/image" Target="media/image1060.png"/>
  <Relationship Id="rId302" Type="http://schemas.openxmlformats.org/officeDocument/2006/relationships/image" Target="media/image107.png"/>
  <Relationship Id="rId303" Type="http://schemas.openxmlformats.org/officeDocument/2006/relationships/image" Target="media/image108.png"/>
  <Relationship Id="rId304" Type="http://schemas.openxmlformats.org/officeDocument/2006/relationships/image" Target="media/image1080.png"/>
  <Relationship Id="rId305" Type="http://schemas.openxmlformats.org/officeDocument/2006/relationships/image" Target="media/image109.jpeg"/>
  <Relationship Id="rId306" Type="http://schemas.openxmlformats.org/officeDocument/2006/relationships/image" Target="media/image1090.jpeg"/>
  <Relationship Id="rId307" Type="http://schemas.openxmlformats.org/officeDocument/2006/relationships/image" Target="media/image110.jpeg"/>
  <Relationship Id="rId308" Type="http://schemas.openxmlformats.org/officeDocument/2006/relationships/image" Target="media/image111.jpeg"/>
  <Relationship Id="rId309" Type="http://schemas.openxmlformats.org/officeDocument/2006/relationships/image" Target="media/image1110.jpeg"/>
  <Relationship Id="rId31" Type="http://schemas.openxmlformats.org/officeDocument/2006/relationships/image" Target="media/image26.jpeg"/>
  <Relationship Id="rId310" Type="http://schemas.openxmlformats.org/officeDocument/2006/relationships/image" Target="media/image112.jpeg"/>
  <Relationship Id="rId311" Type="http://schemas.openxmlformats.org/officeDocument/2006/relationships/hyperlink" TargetMode="External" Target="http://www.mass.gov/anf/budget-taxes-and-procurement/oversight-agencies/health-policy-commission/certification-programs/aco-certification-final-criteria-and-requirements.pdf"/>
  <Relationship Id="rId312" Type="http://schemas.openxmlformats.org/officeDocument/2006/relationships/hyperlink" TargetMode="External" Target="http://www.mass.gov/anf/budget-taxes-and-procurement/oversight-agencies/health-policy-commission/certification-programs/aco-certification-final-criteria-and-requirements.pdf"/>
  <Relationship Id="rId313" Type="http://schemas.openxmlformats.org/officeDocument/2006/relationships/hyperlink" TargetMode="External" Target="http://www.mass.gov/anf/budget-taxes-and-procurement/oversight-agencies/health-policy-commission/regulations/20160506-bulletin-rbpo-appeals-final.pdf"/>
  <Relationship Id="rId314" Type="http://schemas.openxmlformats.org/officeDocument/2006/relationships/hyperlink" TargetMode="External" Target="http://www.mass.gov/anf/budget-taxes-and-procurement/oversight-agencies/health-policy-commission/regulations/20160506-bulletin-rbpo-appeals-final.pdf"/>
  <Relationship Id="rId315" Type="http://schemas.openxmlformats.org/officeDocument/2006/relationships/hyperlink" TargetMode="External" Target="http://www.mass.gov/anf/budget-taxes-and-procurement/oversight-agencies/health-policy-commission/regulations/20160506-sample-notice-rbpo-appeals-final.pdf"/>
  <Relationship Id="rId316" Type="http://schemas.openxmlformats.org/officeDocument/2006/relationships/hyperlink" TargetMode="External" Target="http://www.mass.gov/anf/budget-taxes-and-procurement/oversight-agencies/health-policy-commission/regulations/20160506-sample-notice-rbpo-appeals-final.pdf"/>
  <Relationship Id="rId317" Type="http://schemas.openxmlformats.org/officeDocument/2006/relationships/hyperlink" TargetMode="External" Target="http://www.nationalpartnership.org/research-library/health-care/building-patient-centeredness-in-the-real-world.pdf"/>
  <Relationship Id="rId318" Type="http://schemas.openxmlformats.org/officeDocument/2006/relationships/hyperlink" TargetMode="External" Target="http://www.ncmhr.org/downloads/References-on-why-peer-support-works-4.16.2014.pdf"/>
  <Relationship Id="rId319" Type="http://schemas.openxmlformats.org/officeDocument/2006/relationships/hyperlink" TargetMode="External" Target="http://www.mass.gov/eohhs/gov/departments/dph/programs/community-health/prevention-and-wellness/comm-health-wkrs/"/>
  <Relationship Id="rId32" Type="http://schemas.openxmlformats.org/officeDocument/2006/relationships/image" Target="media/image27.jpeg"/>
  <Relationship Id="rId320" Type="http://schemas.openxmlformats.org/officeDocument/2006/relationships/hyperlink" TargetMode="External" Target="http://www.mass.gov/eohhs/gov/departments/dph/programs/community-health/prevention-and-wellness/comm-health-wkrs/"/>
  <Relationship Id="rId321" Type="http://schemas.openxmlformats.org/officeDocument/2006/relationships/hyperlink" TargetMode="External" Target="http://www.ada.org/en/science-research/health-policy-institute/oral-health-and-well-being/Massachusetts-facts"/>
  <Relationship Id="rId322" Type="http://schemas.openxmlformats.org/officeDocument/2006/relationships/hyperlink" TargetMode="External" Target="http://www.mass.gov/anf/budget-taxes-and-procurement/oversight-agencies/health-policy-commission/public-meetings/committee-meetings/20160401-public-presentation-dental-findings.pdf"/>
  <Relationship Id="rId323" Type="http://schemas.openxmlformats.org/officeDocument/2006/relationships/hyperlink" TargetMode="External" Target="http://www.mass.gov/anf/budget-taxes-and-procurement/oversight-agencies/health-policy-commission/public-meetings/committee-meetings/20160401-public-presentation-dental-findings.pdf"/>
  <Relationship Id="rId324" Type="http://schemas.openxmlformats.org/officeDocument/2006/relationships/hyperlink" TargetMode="External" Target="http://www.mass.gov/anf/budget-taxes-and-procurement/oversight-agencies/health-policy-commission/public-meetings/committee-meetings/20160401-public-presentation-dental-findings.pdf"/>
  <Relationship Id="rId325" Type="http://schemas.openxmlformats.org/officeDocument/2006/relationships/hyperlink" TargetMode="External" Target="http://www.bluecrossfoundation.org/sites/default/files/download/publication/MassHealthBasics_Chartpack_FY2015_FINAL_1.pdf"/>
  <Relationship Id="rId326" Type="http://schemas.openxmlformats.org/officeDocument/2006/relationships/hyperlink" TargetMode="External" Target="http://www.bluecrossfoundation.org/sites/default/files/download/publication/MassHealthBasics_Chartpack_FY2015_FINAL_1.pdf"/>
  <Relationship Id="rId327" Type="http://schemas.openxmlformats.org/officeDocument/2006/relationships/hyperlink" TargetMode="External" Target="http://www.mass.gov/eohhs/gov/departments/dph/programs/family-health/home-visiting/the-massachusetts-home-visiting-initiative.html"/>
  <Relationship Id="rId328" Type="http://schemas.openxmlformats.org/officeDocument/2006/relationships/hyperlink" TargetMode="External" Target="http://www.mass.gov/eohhs/gov/departments/dph/programs/family-health/home-visiting/the-massachusetts-home-visiting-initiative.html"/>
  <Relationship Id="rId329" Type="http://schemas.openxmlformats.org/officeDocument/2006/relationships/hyperlink" TargetMode="External" Target="http://www.mass.gov/eohhs/gov/commissions-and-initiatives/cbhi/"/>
  <Relationship Id="rId33" Type="http://schemas.openxmlformats.org/officeDocument/2006/relationships/image" Target="media/image28.jpeg"/>
  <Relationship Id="rId330" Type="http://schemas.openxmlformats.org/officeDocument/2006/relationships/hyperlink" TargetMode="External" Target="http://www.childrenshospital.org/centers-and-services/community-asthma-initiative-program"/>
  <Relationship Id="rId331" Type="http://schemas.openxmlformats.org/officeDocument/2006/relationships/hyperlink" TargetMode="External" Target="http://www.childrenshospital.org/centers-and-services/community-asthma-initiative-program"/>
  <Relationship Id="rId332" Type="http://schemas.openxmlformats.org/officeDocument/2006/relationships/hyperlink" TargetMode="External" Target="http://www.ahrq.gov/policymakers/chipra/pqmpback.html"/>
  <Relationship Id="rId333" Type="http://schemas.openxmlformats.org/officeDocument/2006/relationships/hyperlink" TargetMode="External" Target="https://www.childrenshospitals.org/%7E/media/Files/CHA/Main/Research_and_Data/Research_Initiatives_and_Findings/CWMC/summary_of_medically_complex_children_and_total_children_in_medicaid_07012013.pdf"/>
  <Relationship Id="rId334" Type="http://schemas.openxmlformats.org/officeDocument/2006/relationships/hyperlink" TargetMode="External" Target="https://www.childrenshospitals.org/%7E/media/Files/CHA/Main/Research_and_Data/Research_Initiatives_and_Findings/CWMC/summary_of_medically_complex_children_and_total_children_in_medicaid_07012013.pdf"/>
  <Relationship Id="rId335" Type="http://schemas.openxmlformats.org/officeDocument/2006/relationships/hyperlink" TargetMode="External" Target="http://www.lpfch.org/publication/what-children-medical-complexity-their-families-and-healthcare-providers-deserve-ideal"/>
  <Relationship Id="rId336" Type="http://schemas.openxmlformats.org/officeDocument/2006/relationships/hyperlink" TargetMode="External" Target="http://www.lpfch.org/publication/what-children-medical-complexity-their-families-and-healthcare-providers-deserve-ideal"/>
  <Relationship Id="rId337" Type="http://schemas.openxmlformats.org/officeDocument/2006/relationships/hyperlink" TargetMode="External" Target="http://bluecrossfoundation.org/sites/default/files/download/publication/Manatt_MMPI_ChartPack_FINAL_v05.pdf"/>
  <Relationship Id="rId338" Type="http://schemas.openxmlformats.org/officeDocument/2006/relationships/hyperlink" TargetMode="External" Target="http://commed.umassmed.edu/sites/default/files/8504_Health%20Needs%20Assessment%20PWD%20EHS%20Appr%2001-16-2014_0.pdf"/>
  <Relationship Id="rId339" Type="http://schemas.openxmlformats.org/officeDocument/2006/relationships/hyperlink" TargetMode="External" Target="http://commed.umassmed.edu/sites/default/files/8504_Health%20Needs%20Assessment%20PWD%20EHS%20Appr%2001-16-2014_0.pdf"/>
  <Relationship Id="rId34" Type="http://schemas.openxmlformats.org/officeDocument/2006/relationships/image" Target="media/image29.jpeg"/>
  <Relationship Id="rId340" Type="http://schemas.openxmlformats.org/officeDocument/2006/relationships/hyperlink" TargetMode="External" Target="http://www.ncmhr.org/downloads/References-on-why-peer-support-works-4.16.2014.pdf"/>
  <Relationship Id="rId341" Type="http://schemas.openxmlformats.org/officeDocument/2006/relationships/hyperlink" TargetMode="External" Target="http://www.mass.gov/eohhs/docs/masshealth/cbhi/ps-family-support-and-training-ps.pdf"/>
  <Relationship Id="rId342" Type="http://schemas.openxmlformats.org/officeDocument/2006/relationships/hyperlink" TargetMode="External" Target="http://www.nationalpartnership.org/research-library/health-care/HIT/consumer-principles-for-1.pdf"/>
  <Relationship Id="rId343" Type="http://schemas.openxmlformats.org/officeDocument/2006/relationships/hyperlink" TargetMode="External" Target="http://www.bluecrossfoundation.org/publication/updated-masshealth-basics-june-2016"/>
  <Relationship Id="rId344" Type="http://schemas.openxmlformats.org/officeDocument/2006/relationships/hyperlink" TargetMode="External" Target="http://www.medicaid.gov/Medicaid-CHIP-Program-Information/ByTopics/Benefits/Early-and-Periodic-Screening-Diagnostic-and-Treatment.html"/>
  <Relationship Id="rId345" Type="http://schemas.openxmlformats.org/officeDocument/2006/relationships/hyperlink" TargetMode="External" Target="http://www.medicaid.gov/Medicaid-CHIP-Program-Information/ByTopics/Benefits/Early-and-Periodic-Screening-Diagnostic-and-Treatment.html"/>
  <Relationship Id="rId346" Type="http://schemas.openxmlformats.org/officeDocument/2006/relationships/hyperlink" TargetMode="External" Target="https://www.cthealth.org/wp-content/uploads/2011/04/Policy-Brief-2-Proposed-Medicaid-Cost-Sharing-Evaluating-The-Impact.pdf"/>
  <Relationship Id="rId347" Type="http://schemas.openxmlformats.org/officeDocument/2006/relationships/hyperlink" TargetMode="External" Target="https://www.cthealth.org/wp-content/uploads/2011/04/Policy-Brief-2-Proposed-Medicaid-Cost-Sharing-Evaluating-The-Impact.pdf"/>
  <Relationship Id="rId348" Type="http://schemas.openxmlformats.org/officeDocument/2006/relationships/hyperlink" TargetMode="External" Target="http://content.healthaffairs.org/content/24/4/1106.full"/>
  <Relationship Id="rId349" Type="http://schemas.openxmlformats.org/officeDocument/2006/relationships/hyperlink" TargetMode="External" Target="https://kaiserhealthnews.files.wordpress.com/2014/07/8417.pdf"/>
  <Relationship Id="rId35" Type="http://schemas.openxmlformats.org/officeDocument/2006/relationships/image" Target="media/image30.jpeg"/>
  <Relationship Id="rId350" Type="http://schemas.openxmlformats.org/officeDocument/2006/relationships/hyperlink" TargetMode="External" Target="http://www.medicaid.gov/medicaid-chip-program-information/by-topics/outreach-and-enrollment/continuous.html"/>
  <Relationship Id="rId351" Type="http://schemas.openxmlformats.org/officeDocument/2006/relationships/hyperlink" TargetMode="External" Target="http://www.medicaid.gov/medicaid-chip-program-information/by-topics/outreach-and-enrollment/continuous.html"/>
  <Relationship Id="rId352" Type="http://schemas.openxmlformats.org/officeDocument/2006/relationships/hyperlink" TargetMode="External" Target="http://kff.org/report-section/medicaid-and-chip-eligibility-enrollment-renewal-and-cost-sharing-policies-as-of-january-2016-medicaid-and-chip-enrollment-and-renewal-processes/"/>
  <Relationship Id="rId353" Type="http://schemas.openxmlformats.org/officeDocument/2006/relationships/hyperlink" TargetMode="External" Target="http://kff.org/report-section/medicaid-and-chip-eligibility-enrollment-renewal-and-cost-sharing-policies-as-of-january-2016-medicaid-and-chip-enrollment-and-renewal-processes/"/>
  <Relationship Id="rId354" Type="http://schemas.openxmlformats.org/officeDocument/2006/relationships/hyperlink" TargetMode="External" Target="https://www.universityhealthplans.com/pdf/UMB_BenefitsSummary-1617.pdf"/>
  <Relationship Id="rId355" Type="http://schemas.openxmlformats.org/officeDocument/2006/relationships/hyperlink" TargetMode="External" Target="http://www.ncd.gov/publications/2013/20130315/20130315Ch3"/>
  <Relationship Id="rId356" Type="http://schemas.openxmlformats.org/officeDocument/2006/relationships/hyperlink" TargetMode="External" Target="http://www.qualityforum.org/projects/Healthcare_Disparities_and_Cultural_Competency.aspx"/>
  <Relationship Id="rId357" Type="http://schemas.openxmlformats.org/officeDocument/2006/relationships/hyperlink" TargetMode="External" Target="http://www.milliman.com/uploadedFiles/insight/2013/risk-adjustment-for-pediatric-populations-healthcare-reform-bulletin.pdf"/>
  <Relationship Id="rId358" Type="http://schemas.openxmlformats.org/officeDocument/2006/relationships/hyperlink" TargetMode="External" Target="http://www.milliman.com/uploadedFiles/insight/2013/risk-adjustment-for-pediatric-populations-healthcare-reform-bulletin.pdf"/>
  <Relationship Id="rId359" Type="http://schemas.openxmlformats.org/officeDocument/2006/relationships/hyperlink" TargetMode="External" Target="http://www.qualityforum.org/Publications/2014/08/Risk_Adjustment_for_Socioeconomic_Status_or_Other_Sociodemographic_Factors.aspx"/>
  <Relationship Id="rId36" Type="http://schemas.openxmlformats.org/officeDocument/2006/relationships/image" Target="media/image31.jpeg"/>
  <Relationship Id="rId360" Type="http://schemas.openxmlformats.org/officeDocument/2006/relationships/hyperlink" TargetMode="External" Target="mailto:avangeli@hcfama.org"/>
  <Relationship Id="rId361" Type="http://schemas.openxmlformats.org/officeDocument/2006/relationships/hyperlink" TargetMode="External" Target="mailto:scurry@hcfama.org"/>
  <Relationship Id="rId362" Type="http://schemas.openxmlformats.org/officeDocument/2006/relationships/image" Target="media/image113.jpeg"/>
  <Relationship Id="rId363" Type="http://schemas.openxmlformats.org/officeDocument/2006/relationships/image" Target="media/image1130.jpeg"/>
  <Relationship Id="rId364" Type="http://schemas.openxmlformats.org/officeDocument/2006/relationships/hyperlink" TargetMode="External" Target="http://www.qualityforum.org/Publications/2014/08/Risk_Adjustment_for_Socioeconomic_Status_or_Other_Sociodemographic_Factors.aspx"/>
  <Relationship Id="rId365" Type="http://schemas.openxmlformats.org/officeDocument/2006/relationships/hyperlink" TargetMode="External" Target="http://essentialhospitals.org/institute/sociodemographic-factors-and-socioeconomic-status-ses-affect-health-outcomes/"/>
  <Relationship Id="rId366" Type="http://schemas.openxmlformats.org/officeDocument/2006/relationships/hyperlink" TargetMode="External" Target="http://essentialhospitals.org/institute/sociodemographic-factors-and-socioeconomic-status-ses-affect-health-outcomes/"/>
  <Relationship Id="rId367" Type="http://schemas.openxmlformats.org/officeDocument/2006/relationships/image" Target="media/image114.jpeg"/>
  <Relationship Id="rId368" Type="http://schemas.openxmlformats.org/officeDocument/2006/relationships/hyperlink" TargetMode="External" Target="http://www.healthlawadvocates.org/"/>
  <Relationship Id="rId369" Type="http://schemas.openxmlformats.org/officeDocument/2006/relationships/hyperlink" TargetMode="External" Target="http://icirr.org/content/immigrant-family-resource-program"/>
  <Relationship Id="rId37" Type="http://schemas.openxmlformats.org/officeDocument/2006/relationships/image" Target="media/image32.jpeg"/>
  <Relationship Id="rId370" Type="http://schemas.openxmlformats.org/officeDocument/2006/relationships/hyperlink" TargetMode="External" Target="https://downloads.cms.gov/cmsgov/archived-downloads/SMDL/downloads/SHO10007.pdf"/>
  <Relationship Id="rId371" Type="http://schemas.openxmlformats.org/officeDocument/2006/relationships/hyperlink" TargetMode="External" Target="https://downloads.cms.gov/cmsgov/archived-downloads/CMCSBulletins/downloads/Info-Bulletin-4-26-11.pdf"/>
  <Relationship Id="rId372" Type="http://schemas.openxmlformats.org/officeDocument/2006/relationships/hyperlink" TargetMode="External" Target="http://www.cdc.gov/ncbddd/disabilityandhealth/relatedconditions.html"/>
  <Relationship Id="rId373" Type="http://schemas.openxmlformats.org/officeDocument/2006/relationships/hyperlink" TargetMode="External" Target="mailto:acohen@hla-inc.org"/>
  <Relationship Id="rId374" Type="http://schemas.openxmlformats.org/officeDocument/2006/relationships/image" Target="media/image115.jpeg"/>
  <Relationship Id="rId375" Type="http://schemas.openxmlformats.org/officeDocument/2006/relationships/hyperlink" TargetMode="External" Target="mailto:kballantine@hms.com"/>
  <Relationship Id="rId376" Type="http://schemas.openxmlformats.org/officeDocument/2006/relationships/image" Target="media/image116.png"/>
  <Relationship Id="rId377" Type="http://schemas.openxmlformats.org/officeDocument/2006/relationships/hyperlink" TargetMode="External" Target="mailto:lgurgone@hcacouncil.org"/>
  <Relationship Id="rId378" Type="http://schemas.openxmlformats.org/officeDocument/2006/relationships/image" Target="media/image117.jpeg"/>
  <Relationship Id="rId379" Type="http://schemas.openxmlformats.org/officeDocument/2006/relationships/image" Target="media/image118.png"/>
  <Relationship Id="rId38" Type="http://schemas.openxmlformats.org/officeDocument/2006/relationships/image" Target="media/image22.jpeg"/>
  <Relationship Id="rId380" Type="http://schemas.openxmlformats.org/officeDocument/2006/relationships/image" Target="media/image1180.png"/>
  <Relationship Id="rId381" Type="http://schemas.openxmlformats.org/officeDocument/2006/relationships/image" Target="media/image119.jpeg"/>
  <Relationship Id="rId382" Type="http://schemas.openxmlformats.org/officeDocument/2006/relationships/image" Target="media/image1190.jpeg"/>
  <Relationship Id="rId383" Type="http://schemas.openxmlformats.org/officeDocument/2006/relationships/hyperlink" TargetMode="External" Target="http://www.janedoe.org/"/>
  <Relationship Id="rId384" Type="http://schemas.openxmlformats.org/officeDocument/2006/relationships/image" Target="media/image120.png"/>
  <Relationship Id="rId385" Type="http://schemas.openxmlformats.org/officeDocument/2006/relationships/image" Target="media/image1200.png"/>
  <Relationship Id="rId386" Type="http://schemas.openxmlformats.org/officeDocument/2006/relationships/hyperlink" TargetMode="External" Target="http://www.janedoe.org/find"/>
  <Relationship Id="rId387" Type="http://schemas.openxmlformats.org/officeDocument/2006/relationships/image" Target="media/image121.png"/>
  <Relationship Id="rId388" Type="http://schemas.openxmlformats.org/officeDocument/2006/relationships/image" Target="media/image122.png"/>
  <Relationship Id="rId389" Type="http://schemas.openxmlformats.org/officeDocument/2006/relationships/image" Target="media/image123.png"/>
  <Relationship Id="rId39" Type="http://schemas.openxmlformats.org/officeDocument/2006/relationships/image" Target="media/image23.jpeg"/>
  <Relationship Id="rId390" Type="http://schemas.openxmlformats.org/officeDocument/2006/relationships/image" Target="media/image124.png"/>
  <Relationship Id="rId391" Type="http://schemas.openxmlformats.org/officeDocument/2006/relationships/hyperlink" TargetMode="External" Target="http://www.janedoe.org/"/>
  <Relationship Id="rId392" Type="http://schemas.openxmlformats.org/officeDocument/2006/relationships/hyperlink" TargetMode="External" Target="http://www.janedoe.org/"/>
  <Relationship Id="rId393" Type="http://schemas.openxmlformats.org/officeDocument/2006/relationships/hyperlink" TargetMode="External" Target="http://pnhp.org/blog/2015/09/14/medicare-yet-to-save-money-through-acos/"/>
  <Relationship Id="rId394" Type="http://schemas.openxmlformats.org/officeDocument/2006/relationships/hyperlink" TargetMode="External" Target="http://pnhp.org/"/>
  <Relationship Id="rId395" Type="http://schemas.openxmlformats.org/officeDocument/2006/relationships/hyperlink" TargetMode="External" Target="http://www.performancepediatrics.com/"/>
  <Relationship Id="rId396" Type="http://schemas.openxmlformats.org/officeDocument/2006/relationships/hyperlink" TargetMode="External" Target="http://www.physicianspractice.com/authors/leann-didomenico-mcallister"/>
  <Relationship Id="rId397" Type="http://schemas.openxmlformats.org/officeDocument/2006/relationships/hyperlink" TargetMode="External" Target="mailto:ksullivan@lynchassociates.com"/>
  <Relationship Id="rId398" Type="http://schemas.openxmlformats.org/officeDocument/2006/relationships/hyperlink" TargetMode="External" Target="http://www.lynchassociates.com/"/>
  <Relationship Id="rId399" Type="http://schemas.openxmlformats.org/officeDocument/2006/relationships/hyperlink" TargetMode="External" Target="http://masshomecare.info/wp/"/>
  <Relationship Id="rId4" Type="http://schemas.openxmlformats.org/officeDocument/2006/relationships/settings" Target="settings.xml"/>
  <Relationship Id="rId40" Type="http://schemas.openxmlformats.org/officeDocument/2006/relationships/image" Target="media/image24.jpeg"/>
  <Relationship Id="rId400" Type="http://schemas.openxmlformats.org/officeDocument/2006/relationships/image" Target="media/image123.jpeg"/>
  <Relationship Id="rId401" Type="http://schemas.openxmlformats.org/officeDocument/2006/relationships/image" Target="media/image124.emf"/>
  <Relationship Id="rId402" Type="http://schemas.openxmlformats.org/officeDocument/2006/relationships/image" Target="media/image125.emf"/>
  <Relationship Id="rId403" Type="http://schemas.openxmlformats.org/officeDocument/2006/relationships/image" Target="media/image126.emf"/>
  <Relationship Id="rId404" Type="http://schemas.openxmlformats.org/officeDocument/2006/relationships/image" Target="media/image127.png"/>
  <Relationship Id="rId405" Type="http://schemas.openxmlformats.org/officeDocument/2006/relationships/image" Target="media/image128.png"/>
  <Relationship Id="rId406" Type="http://schemas.openxmlformats.org/officeDocument/2006/relationships/image" Target="media/image130.png"/>
  <Relationship Id="rId407" Type="http://schemas.openxmlformats.org/officeDocument/2006/relationships/image" Target="media/image129.png"/>
  <Relationship Id="rId408" Type="http://schemas.openxmlformats.org/officeDocument/2006/relationships/image" Target="media/image130.jpeg"/>
  <Relationship Id="rId409" Type="http://schemas.openxmlformats.org/officeDocument/2006/relationships/hyperlink" TargetMode="External" Target="mailto:DMatteodo@aol.com"/>
  <Relationship Id="rId41" Type="http://schemas.openxmlformats.org/officeDocument/2006/relationships/image" Target="media/image25.jpeg"/>
  <Relationship Id="rId410" Type="http://schemas.openxmlformats.org/officeDocument/2006/relationships/image" Target="media/image131.jpeg"/>
  <Relationship Id="rId411" Type="http://schemas.openxmlformats.org/officeDocument/2006/relationships/image" Target="media/image132.jpeg"/>
  <Relationship Id="rId412" Type="http://schemas.openxmlformats.org/officeDocument/2006/relationships/image" Target="media/image133.jpeg"/>
  <Relationship Id="rId413" Type="http://schemas.openxmlformats.org/officeDocument/2006/relationships/hyperlink" TargetMode="External" Target="mailto:chaggerty@mcaap.org"/>
  <Relationship Id="rId414" Type="http://schemas.openxmlformats.org/officeDocument/2006/relationships/hyperlink" TargetMode="External" Target="mailto:mmcmanus@mcaap.org"/>
  <Relationship Id="rId415" Type="http://schemas.openxmlformats.org/officeDocument/2006/relationships/hyperlink" TargetMode="External" Target="mailto:dpursley@mcaap.org"/>
  <Relationship Id="rId416" Type="http://schemas.openxmlformats.org/officeDocument/2006/relationships/hyperlink" TargetMode="External" Target="mailto:egoodman@mcaap.org"/>
  <Relationship Id="rId417" Type="http://schemas.openxmlformats.org/officeDocument/2006/relationships/hyperlink" TargetMode="External" Target="mailto:lfisher@mcaap.org"/>
  <Relationship Id="rId418" Type="http://schemas.openxmlformats.org/officeDocument/2006/relationships/hyperlink" TargetMode="External" Target="mailto:bpring@mcaap.org"/>
  <Relationship Id="rId419" Type="http://schemas.openxmlformats.org/officeDocument/2006/relationships/hyperlink" TargetMode="External" Target="https://www.aap.org/en-us/advocacy-and-policy/state-advocacy/Documents/NetworkAdequacyGuidance.pdf"/>
  <Relationship Id="rId42" Type="http://schemas.openxmlformats.org/officeDocument/2006/relationships/image" Target="media/image33.jpeg"/>
  <Relationship Id="rId420" Type="http://schemas.openxmlformats.org/officeDocument/2006/relationships/hyperlink" TargetMode="External" Target="https://www.aap.org/en-us/advocacy-and-policy/state-advocacy/Documents/NetworkAdequacyGuidance.pdf"/>
  <Relationship Id="rId421" Type="http://schemas.openxmlformats.org/officeDocument/2006/relationships/hyperlink" TargetMode="External" Target="https://www.aap.org/en-us/advocacy-and-policy/state-advocacy/Documents/NetworkAdequacyGuidance.pdf"/>
  <Relationship Id="rId422" Type="http://schemas.openxmlformats.org/officeDocument/2006/relationships/hyperlink" TargetMode="External" Target="https://www.aap.org/en-us/advocacy-and-policy/state-advocacy/Documents/NetworkAdequacyGuidance.pdf"/>
  <Relationship Id="rId423" Type="http://schemas.openxmlformats.org/officeDocument/2006/relationships/hyperlink" TargetMode="External" Target="mailto:chaggerty@mcaap.org"/>
  <Relationship Id="rId424" Type="http://schemas.openxmlformats.org/officeDocument/2006/relationships/image" Target="media/image134.jpeg"/>
  <Relationship Id="rId425" Type="http://schemas.openxmlformats.org/officeDocument/2006/relationships/image" Target="media/image136.jpeg"/>
  <Relationship Id="rId426" Type="http://schemas.openxmlformats.org/officeDocument/2006/relationships/image" Target="media/image135.jpeg"/>
  <Relationship Id="rId427" Type="http://schemas.openxmlformats.org/officeDocument/2006/relationships/image" Target="media/image137.jpeg"/>
  <Relationship Id="rId428" Type="http://schemas.openxmlformats.org/officeDocument/2006/relationships/image" Target="media/image138.jpeg"/>
  <Relationship Id="rId429" Type="http://schemas.openxmlformats.org/officeDocument/2006/relationships/image" Target="media/image139.jpeg"/>
  <Relationship Id="rId43" Type="http://schemas.openxmlformats.org/officeDocument/2006/relationships/image" Target="media/image34.png"/>
  <Relationship Id="rId430" Type="http://schemas.openxmlformats.org/officeDocument/2006/relationships/image" Target="media/image140.png"/>
  <Relationship Id="rId431" Type="http://schemas.openxmlformats.org/officeDocument/2006/relationships/image" Target="media/image1400.png"/>
  <Relationship Id="rId432" Type="http://schemas.openxmlformats.org/officeDocument/2006/relationships/image" Target="media/image141.jpeg"/>
  <Relationship Id="rId433" Type="http://schemas.openxmlformats.org/officeDocument/2006/relationships/image" Target="media/image142.jpeg"/>
  <Relationship Id="rId434" Type="http://schemas.openxmlformats.org/officeDocument/2006/relationships/image" Target="media/image1420.jpeg"/>
  <Relationship Id="rId435" Type="http://schemas.openxmlformats.org/officeDocument/2006/relationships/hyperlink" TargetMode="External" Target="mailto:deng@masshousing.com"/>
  <Relationship Id="rId436" Type="http://schemas.openxmlformats.org/officeDocument/2006/relationships/image" Target="media/image143.png"/>
  <Relationship Id="rId437" Type="http://schemas.openxmlformats.org/officeDocument/2006/relationships/image" Target="media/image153.png"/>
  <Relationship Id="rId438" Type="http://schemas.openxmlformats.org/officeDocument/2006/relationships/image" Target="media/image144.png"/>
  <Relationship Id="rId439" Type="http://schemas.openxmlformats.org/officeDocument/2006/relationships/image" Target="media/image155.png"/>
  <Relationship Id="rId44" Type="http://schemas.openxmlformats.org/officeDocument/2006/relationships/image" Target="media/image35.jpeg"/>
  <Relationship Id="rId440" Type="http://schemas.openxmlformats.org/officeDocument/2006/relationships/image" Target="media/image145.png"/>
  <Relationship Id="rId441" Type="http://schemas.openxmlformats.org/officeDocument/2006/relationships/image" Target="media/image1450.png"/>
  <Relationship Id="rId442" Type="http://schemas.openxmlformats.org/officeDocument/2006/relationships/image" Target="media/image146.png"/>
  <Relationship Id="rId443" Type="http://schemas.openxmlformats.org/officeDocument/2006/relationships/image" Target="media/image147.png"/>
  <Relationship Id="rId444" Type="http://schemas.openxmlformats.org/officeDocument/2006/relationships/image" Target="media/image159.png"/>
  <Relationship Id="rId445" Type="http://schemas.openxmlformats.org/officeDocument/2006/relationships/image" Target="media/image160.png"/>
  <Relationship Id="rId446" Type="http://schemas.openxmlformats.org/officeDocument/2006/relationships/image" Target="media/image148.png"/>
  <Relationship Id="rId447" Type="http://schemas.openxmlformats.org/officeDocument/2006/relationships/image" Target="media/image149.png"/>
  <Relationship Id="rId448" Type="http://schemas.openxmlformats.org/officeDocument/2006/relationships/image" Target="media/image163.png"/>
  <Relationship Id="rId449" Type="http://schemas.openxmlformats.org/officeDocument/2006/relationships/image" Target="media/image164.png"/>
  <Relationship Id="rId45" Type="http://schemas.openxmlformats.org/officeDocument/2006/relationships/image" Target="media/image36.jpeg"/>
  <Relationship Id="rId450" Type="http://schemas.openxmlformats.org/officeDocument/2006/relationships/hyperlink" TargetMode="External" Target="http://WWW.MLRI.ORG/"/>
  <Relationship Id="rId451" Type="http://schemas.openxmlformats.org/officeDocument/2006/relationships/hyperlink" TargetMode="External" Target="mailto:MassHealth.Innovations@state.ma.us"/>
  <Relationship Id="rId452" Type="http://schemas.openxmlformats.org/officeDocument/2006/relationships/hyperlink" TargetMode="External" Target="mailto:vpulos@mlri.org"/>
  <Relationship Id="rId453" Type="http://schemas.openxmlformats.org/officeDocument/2006/relationships/image" Target="media/image150.jpeg"/>
  <Relationship Id="rId454" Type="http://schemas.openxmlformats.org/officeDocument/2006/relationships/image" Target="media/image1500.jpeg"/>
  <Relationship Id="rId455" Type="http://schemas.openxmlformats.org/officeDocument/2006/relationships/hyperlink" TargetMode="External" Target="mailto:MassHealth.Innovations@state.ma.us"/>
  <Relationship Id="rId456" Type="http://schemas.openxmlformats.org/officeDocument/2006/relationships/image" Target="media/image151.jpeg"/>
  <Relationship Id="rId457" Type="http://schemas.openxmlformats.org/officeDocument/2006/relationships/image" Target="media/image152.png"/>
  <Relationship Id="rId458" Type="http://schemas.openxmlformats.org/officeDocument/2006/relationships/image" Target="media/image1520.png"/>
  <Relationship Id="rId459" Type="http://schemas.openxmlformats.org/officeDocument/2006/relationships/image" Target="media/image153.jpeg"/>
  <Relationship Id="rId46" Type="http://schemas.openxmlformats.org/officeDocument/2006/relationships/image" Target="media/image37.jpeg"/>
  <Relationship Id="rId460" Type="http://schemas.openxmlformats.org/officeDocument/2006/relationships/image" Target="media/image1530.jpeg"/>
  <Relationship Id="rId461" Type="http://schemas.openxmlformats.org/officeDocument/2006/relationships/image" Target="media/image154.png"/>
  <Relationship Id="rId462" Type="http://schemas.openxmlformats.org/officeDocument/2006/relationships/image" Target="media/image1540.png"/>
  <Relationship Id="rId463" Type="http://schemas.openxmlformats.org/officeDocument/2006/relationships/hyperlink" TargetMode="External" Target="https://kaiserfamilyfoundation.files.wordpress.com/2013/02/8417-premiums-and-cost-sharing-in-medicaid.pdf"/>
  <Relationship Id="rId464" Type="http://schemas.openxmlformats.org/officeDocument/2006/relationships/hyperlink" TargetMode="External" Target="https://kaiserfamilyfoundation.files.wordpress.com/2013/02/8417-premiums-and-cost-sharing-in-medicaid.pdf"/>
  <Relationship Id="rId465" Type="http://schemas.openxmlformats.org/officeDocument/2006/relationships/hyperlink" TargetMode="External" Target="https://aspe.hhs.gov/basic-report/financial-condition-and-health-care-burdens-people-deep-poverty"/>
  <Relationship Id="rId466" Type="http://schemas.openxmlformats.org/officeDocument/2006/relationships/hyperlink" TargetMode="External" Target="https://aspe.hhs.gov/basic-report/financial-condition-and-health-care-burdens-people-deep-poverty"/>
  <Relationship Id="rId467" Type="http://schemas.openxmlformats.org/officeDocument/2006/relationships/hyperlink" TargetMode="External" Target="http://www.nationaldisabilitynavigator.org/wp-content/uploads/resources-links/NHeLP_IssueBriefMedicaidCostSharing_03262014.pdf"/>
  <Relationship Id="rId468" Type="http://schemas.openxmlformats.org/officeDocument/2006/relationships/hyperlink" TargetMode="External" Target="http://www.nationaldisabilitynavigator.org/wp-content/uploads/resources-links/NHeLP_IssueBriefMedicaidCostSharing_03262014.pdf"/>
  <Relationship Id="rId469" Type="http://schemas.openxmlformats.org/officeDocument/2006/relationships/image" Target="media/image155.jpeg"/>
  <Relationship Id="rId47" Type="http://schemas.openxmlformats.org/officeDocument/2006/relationships/image" Target="media/image42.jpeg"/>
  <Relationship Id="rId470" Type="http://schemas.openxmlformats.org/officeDocument/2006/relationships/image" Target="media/image156.png"/>
  <Relationship Id="rId471" Type="http://schemas.openxmlformats.org/officeDocument/2006/relationships/image" Target="media/image1560.png"/>
  <Relationship Id="rId472" Type="http://schemas.openxmlformats.org/officeDocument/2006/relationships/image" Target="media/image157.png"/>
  <Relationship Id="rId473" Type="http://schemas.openxmlformats.org/officeDocument/2006/relationships/image" Target="media/image1570.png"/>
  <Relationship Id="rId474" Type="http://schemas.openxmlformats.org/officeDocument/2006/relationships/hyperlink" TargetMode="External" Target="mailto:admin@massneuropsychology.org"/>
  <Relationship Id="rId475" Type="http://schemas.openxmlformats.org/officeDocument/2006/relationships/image" Target="media/image158.png"/>
  <Relationship Id="rId476" Type="http://schemas.openxmlformats.org/officeDocument/2006/relationships/image" Target="media/image1580.png"/>
  <Relationship Id="rId477" Type="http://schemas.openxmlformats.org/officeDocument/2006/relationships/hyperlink" TargetMode="External" Target="http://www.massneuropsychology.org/"/>
  <Relationship Id="rId478" Type="http://schemas.openxmlformats.org/officeDocument/2006/relationships/image" Target="media/image161.png"/>
  <Relationship Id="rId479" Type="http://schemas.openxmlformats.org/officeDocument/2006/relationships/image" Target="media/image1610.png"/>
  <Relationship Id="rId48" Type="http://schemas.openxmlformats.org/officeDocument/2006/relationships/image" Target="media/image43.png"/>
  <Relationship Id="rId480" Type="http://schemas.openxmlformats.org/officeDocument/2006/relationships/image" Target="media/image162.png"/>
  <Relationship Id="rId481" Type="http://schemas.openxmlformats.org/officeDocument/2006/relationships/image" Target="media/image165.png"/>
  <Relationship Id="rId482" Type="http://schemas.openxmlformats.org/officeDocument/2006/relationships/hyperlink" TargetMode="External" Target="mailto:MassHealth.Innovations@state.ma.us"/>
  <Relationship Id="rId483" Type="http://schemas.openxmlformats.org/officeDocument/2006/relationships/hyperlink" TargetMode="External" Target="mailto:admin@massneuropsychology.org"/>
  <Relationship Id="rId484" Type="http://schemas.openxmlformats.org/officeDocument/2006/relationships/hyperlink" TargetMode="External" Target="http://www.massneuropsychology.org/"/>
  <Relationship Id="rId485" Type="http://schemas.openxmlformats.org/officeDocument/2006/relationships/image" Target="media/image166.png"/>
  <Relationship Id="rId486" Type="http://schemas.openxmlformats.org/officeDocument/2006/relationships/image" Target="media/image167.png"/>
  <Relationship Id="rId487" Type="http://schemas.openxmlformats.org/officeDocument/2006/relationships/hyperlink" TargetMode="External" Target="mailto:coakleywelch@verizon.net"/>
  <Relationship Id="rId488" Type="http://schemas.openxmlformats.org/officeDocument/2006/relationships/image" Target="media/image168.jpeg"/>
  <Relationship Id="rId489" Type="http://schemas.openxmlformats.org/officeDocument/2006/relationships/hyperlink" TargetMode="External" Target="mailto:MassHealth.Innovations@state.ma.us"/>
  <Relationship Id="rId49" Type="http://schemas.openxmlformats.org/officeDocument/2006/relationships/image" Target="media/image44.jpeg"/>
  <Relationship Id="rId490" Type="http://schemas.openxmlformats.org/officeDocument/2006/relationships/image" Target="media/image169.png"/>
  <Relationship Id="rId491" Type="http://schemas.openxmlformats.org/officeDocument/2006/relationships/image" Target="media/image1690.png"/>
  <Relationship Id="rId492" Type="http://schemas.openxmlformats.org/officeDocument/2006/relationships/image" Target="media/image170.jpeg"/>
  <Relationship Id="rId493" Type="http://schemas.openxmlformats.org/officeDocument/2006/relationships/image" Target="media/image1700.jpeg"/>
  <Relationship Id="rId494" Type="http://schemas.openxmlformats.org/officeDocument/2006/relationships/image" Target="media/image171.jpeg"/>
  <Relationship Id="rId495" Type="http://schemas.openxmlformats.org/officeDocument/2006/relationships/hyperlink" TargetMode="External" Target="mailto:mribble@mapublicheath.org"/>
  <Relationship Id="rId496" Type="http://schemas.openxmlformats.org/officeDocument/2006/relationships/image" Target="media/image172.jpeg"/>
  <Relationship Id="rId497" Type="http://schemas.openxmlformats.org/officeDocument/2006/relationships/image" Target="media/image1720.jpeg"/>
  <Relationship Id="rId498" Type="http://schemas.openxmlformats.org/officeDocument/2006/relationships/image" Target="media/image173.png"/>
  <Relationship Id="rId499" Type="http://schemas.openxmlformats.org/officeDocument/2006/relationships/image" Target="media/image1730.png"/>
  <Relationship Id="rId5" Type="http://schemas.openxmlformats.org/officeDocument/2006/relationships/webSettings" Target="webSettings.xml"/>
  <Relationship Id="rId50" Type="http://schemas.openxmlformats.org/officeDocument/2006/relationships/image" Target="media/image45.jpeg"/>
  <Relationship Id="rId500" Type="http://schemas.openxmlformats.org/officeDocument/2006/relationships/image" Target="media/image174.jpeg"/>
  <Relationship Id="rId501" Type="http://schemas.openxmlformats.org/officeDocument/2006/relationships/image" Target="media/image1740.jpeg"/>
  <Relationship Id="rId502" Type="http://schemas.openxmlformats.org/officeDocument/2006/relationships/image" Target="media/image175.jpeg"/>
  <Relationship Id="rId503" Type="http://schemas.openxmlformats.org/officeDocument/2006/relationships/image" Target="media/image1750.jpeg"/>
  <Relationship Id="rId504" Type="http://schemas.openxmlformats.org/officeDocument/2006/relationships/hyperlink" TargetMode="External" Target="http://www.mlpboston.org/"/>
  <Relationship Id="rId505" Type="http://schemas.openxmlformats.org/officeDocument/2006/relationships/hyperlink" TargetMode="External" Target="mailto:masshealth.innovations@state.ma.us"/>
  <Relationship Id="rId506" Type="http://schemas.openxmlformats.org/officeDocument/2006/relationships/hyperlink" TargetMode="External" Target="http://www.mlpboston.org/news/298"/>
  <Relationship Id="rId507" Type="http://schemas.openxmlformats.org/officeDocument/2006/relationships/image" Target="media/image176.jpeg"/>
  <Relationship Id="rId508" Type="http://schemas.openxmlformats.org/officeDocument/2006/relationships/image" Target="media/image1760.jpeg"/>
  <Relationship Id="rId509" Type="http://schemas.openxmlformats.org/officeDocument/2006/relationships/image" Target="media/image177.jpeg"/>
  <Relationship Id="rId51" Type="http://schemas.openxmlformats.org/officeDocument/2006/relationships/image" Target="media/image46.jpeg"/>
  <Relationship Id="rId510" Type="http://schemas.openxmlformats.org/officeDocument/2006/relationships/image" Target="media/image1770.jpeg"/>
  <Relationship Id="rId511" Type="http://schemas.openxmlformats.org/officeDocument/2006/relationships/hyperlink" TargetMode="External" Target="http://nationalaidshousing.org/PDF/FactSheet.pdf"/>
  <Relationship Id="rId512" Type="http://schemas.openxmlformats.org/officeDocument/2006/relationships/hyperlink" TargetMode="External" Target="http://www.doorwayshousing.org/about-housing-hiv/housing-and-hiv/"/>
  <Relationship Id="rId513" Type="http://schemas.openxmlformats.org/officeDocument/2006/relationships/hyperlink" TargetMode="External" Target="http://www.doorwayshousing.org/about-housing-hiv/housing-and-hiv/"/>
  <Relationship Id="rId514" Type="http://schemas.openxmlformats.org/officeDocument/2006/relationships/image" Target="media/image178.png"/>
  <Relationship Id="rId515" Type="http://schemas.openxmlformats.org/officeDocument/2006/relationships/image" Target="media/image1780.png"/>
  <Relationship Id="rId516" Type="http://schemas.openxmlformats.org/officeDocument/2006/relationships/hyperlink" TargetMode="External" Target="http://www.mhlac.org/"/>
  <Relationship Id="rId517" Type="http://schemas.openxmlformats.org/officeDocument/2006/relationships/image" Target="media/image179.png"/>
  <Relationship Id="rId518" Type="http://schemas.openxmlformats.org/officeDocument/2006/relationships/image" Target="media/image180.png"/>
  <Relationship Id="rId519" Type="http://schemas.openxmlformats.org/officeDocument/2006/relationships/image" Target="media/image181.png"/>
  <Relationship Id="rId52" Type="http://schemas.openxmlformats.org/officeDocument/2006/relationships/image" Target="media/image38.jpeg"/>
  <Relationship Id="rId520" Type="http://schemas.openxmlformats.org/officeDocument/2006/relationships/image" Target="media/image1810.png"/>
  <Relationship Id="rId521" Type="http://schemas.openxmlformats.org/officeDocument/2006/relationships/hyperlink" TargetMode="External" Target="http://www.mhlac.org/"/>
  <Relationship Id="rId522" Type="http://schemas.openxmlformats.org/officeDocument/2006/relationships/image" Target="media/image182.png"/>
  <Relationship Id="rId523" Type="http://schemas.openxmlformats.org/officeDocument/2006/relationships/image" Target="media/image183.png"/>
  <Relationship Id="rId524" Type="http://schemas.openxmlformats.org/officeDocument/2006/relationships/image" Target="media/image184.png"/>
  <Relationship Id="rId525" Type="http://schemas.openxmlformats.org/officeDocument/2006/relationships/image" Target="media/image1840.png"/>
  <Relationship Id="rId526" Type="http://schemas.openxmlformats.org/officeDocument/2006/relationships/hyperlink" TargetMode="External" Target="http://www.pcori.org/research-results/2016/improving-methods-incorporating-racialethnic-minority-"/>
  <Relationship Id="rId527" Type="http://schemas.openxmlformats.org/officeDocument/2006/relationships/hyperlink" TargetMode="External" Target="http://www.pcori.org/"/>
  <Relationship Id="rId528" Type="http://schemas.openxmlformats.org/officeDocument/2006/relationships/hyperlink" TargetMode="External" Target="http://www.thelancet.com/pdfs/joumals/lancet"/>
  <Relationship Id="rId529" Type="http://schemas.openxmlformats.org/officeDocument/2006/relationships/hyperlink" TargetMode="External" Target="http://newsroom.acep.org/"/>
  <Relationship Id="rId53" Type="http://schemas.openxmlformats.org/officeDocument/2006/relationships/image" Target="media/image380.jpeg"/>
  <Relationship Id="rId530" Type="http://schemas.openxmlformats.org/officeDocument/2006/relationships/hyperlink" TargetMode="External" Target="http://www/"/>
  <Relationship Id="rId531" Type="http://schemas.openxmlformats.org/officeDocument/2006/relationships/hyperlink" TargetMode="External" Target="http://www/"/>
  <Relationship Id="rId532" Type="http://schemas.openxmlformats.org/officeDocument/2006/relationships/image" Target="media/image185.png"/>
  <Relationship Id="rId533" Type="http://schemas.openxmlformats.org/officeDocument/2006/relationships/image" Target="media/image1850.png"/>
  <Relationship Id="rId534" Type="http://schemas.openxmlformats.org/officeDocument/2006/relationships/image" Target="media/image186.jpeg"/>
  <Relationship Id="rId535" Type="http://schemas.openxmlformats.org/officeDocument/2006/relationships/hyperlink" TargetMode="External" Target="mailto:scottc@neco.edu"/>
  <Relationship Id="rId536" Type="http://schemas.openxmlformats.org/officeDocument/2006/relationships/image" Target="media/image187.png"/>
  <Relationship Id="rId537" Type="http://schemas.openxmlformats.org/officeDocument/2006/relationships/image" Target="media/image1870.png"/>
  <Relationship Id="rId538" Type="http://schemas.openxmlformats.org/officeDocument/2006/relationships/image" Target="media/image188.png"/>
  <Relationship Id="rId539" Type="http://schemas.openxmlformats.org/officeDocument/2006/relationships/image" Target="media/image189.jpeg"/>
  <Relationship Id="rId54" Type="http://schemas.openxmlformats.org/officeDocument/2006/relationships/image" Target="media/image39.jpeg"/>
  <Relationship Id="rId540" Type="http://schemas.openxmlformats.org/officeDocument/2006/relationships/hyperlink" TargetMode="External" Target="http://www.mass.gov/anf/budget-taxes-and-procurement/oversight-"/>
  <Relationship Id="rId541" Type="http://schemas.openxmlformats.org/officeDocument/2006/relationships/hyperlink" TargetMode="External" Target="http://www.ada.org/en/science-research/health-policy-institute/oral-health-and-well-being/Massachusetts-facts"/>
  <Relationship Id="rId542" Type="http://schemas.openxmlformats.org/officeDocument/2006/relationships/hyperlink" TargetMode="External" Target="http://www.ada.org/%7E/media/ADA/Science%20and%20Research/HPI/Files/HPIBrief_0413_2.ashx"/>
  <Relationship Id="rId543" Type="http://schemas.openxmlformats.org/officeDocument/2006/relationships/hyperlink" TargetMode="External" Target="http://www.mass.gov/eohhs/docs/masshealth/onecare/eip-survey-"/>
  <Relationship Id="rId544" Type="http://schemas.openxmlformats.org/officeDocument/2006/relationships/hyperlink" TargetMode="External" Target="http://doi.org/10.1155/2014/327801"/>
  <Relationship Id="rId545" Type="http://schemas.openxmlformats.org/officeDocument/2006/relationships/hyperlink" TargetMode="External" Target="http://www.nationaloralhealthconference.com/docs/presentations/2016/04-"/>
  <Relationship Id="rId546" Type="http://schemas.openxmlformats.org/officeDocument/2006/relationships/hyperlink" TargetMode="External" Target="http://www.mass.gov/anf/budget-taxes-and-procurement/oversight-"/>
  <Relationship Id="rId547" Type="http://schemas.openxmlformats.org/officeDocument/2006/relationships/hyperlink" TargetMode="External" Target="http://www.safetynetmedicalhome.org/resources-tools/white-papers"/>
  <Relationship Id="rId548" Type="http://schemas.openxmlformats.org/officeDocument/2006/relationships/hyperlink" TargetMode="External" Target="http://www.mass.gov/anf/budget-taxes-and-procurement/oversight-"/>
  <Relationship Id="rId549" Type="http://schemas.openxmlformats.org/officeDocument/2006/relationships/hyperlink" TargetMode="External" Target="http://www.oregon.gov/oha/Metrics/Documents/2015_performance_report.pdf"/>
  <Relationship Id="rId55" Type="http://schemas.openxmlformats.org/officeDocument/2006/relationships/image" Target="media/image390.jpeg"/>
  <Relationship Id="rId550" Type="http://schemas.openxmlformats.org/officeDocument/2006/relationships/hyperlink" TargetMode="External" Target="mailto:hhendrickson@hcfama.org"/>
  <Relationship Id="rId551" Type="http://schemas.openxmlformats.org/officeDocument/2006/relationships/image" Target="media/image190.jpeg"/>
  <Relationship Id="rId552" Type="http://schemas.openxmlformats.org/officeDocument/2006/relationships/image" Target="media/image191.png"/>
  <Relationship Id="rId553" Type="http://schemas.openxmlformats.org/officeDocument/2006/relationships/image" Target="media/image1910.png"/>
  <Relationship Id="rId554" Type="http://schemas.openxmlformats.org/officeDocument/2006/relationships/image" Target="media/image192.png"/>
  <Relationship Id="rId555" Type="http://schemas.openxmlformats.org/officeDocument/2006/relationships/image" Target="media/image1920.png"/>
  <Relationship Id="rId556" Type="http://schemas.openxmlformats.org/officeDocument/2006/relationships/hyperlink" TargetMode="External" Target="http://www.ama-assn.org/ama/pub/news/news/2016/2016-07-07-preserve-independent-medical-practices.page"/>
  <Relationship Id="rId557" Type="http://schemas.openxmlformats.org/officeDocument/2006/relationships/hyperlink" TargetMode="External" Target="http://www.ama-assn.org/ama/pub/news/news/2016/2016-07-07-preserve-independent-medical-practices.page"/>
  <Relationship Id="rId558" Type="http://schemas.openxmlformats.org/officeDocument/2006/relationships/hyperlink" TargetMode="External" Target="http://www.ama-assn.org/ama/pub/news/news/2016/2016-07-07-preserve-independent-medical-practices.page"/>
  <Relationship Id="rId559" Type="http://schemas.openxmlformats.org/officeDocument/2006/relationships/hyperlink" TargetMode="External" Target="mailto:mmckenna@pags.com"/>
  <Relationship Id="rId56" Type="http://schemas.openxmlformats.org/officeDocument/2006/relationships/image" Target="media/image40.png"/>
  <Relationship Id="rId560" Type="http://schemas.openxmlformats.org/officeDocument/2006/relationships/image" Target="media/image193.png"/>
  <Relationship Id="rId561" Type="http://schemas.openxmlformats.org/officeDocument/2006/relationships/hyperlink" TargetMode="External" Target="mailto:aimee.coolidge@pinestreetinn.org"/>
  <Relationship Id="rId562" Type="http://schemas.openxmlformats.org/officeDocument/2006/relationships/hyperlink" TargetMode="External" Target="http://www.pinestreetinn.org/"/>
  <Relationship Id="rId563" Type="http://schemas.openxmlformats.org/officeDocument/2006/relationships/image" Target="media/image194.png"/>
  <Relationship Id="rId564" Type="http://schemas.openxmlformats.org/officeDocument/2006/relationships/image" Target="media/image195.png"/>
  <Relationship Id="rId565" Type="http://schemas.openxmlformats.org/officeDocument/2006/relationships/image" Target="media/image196.png"/>
  <Relationship Id="rId566" Type="http://schemas.openxmlformats.org/officeDocument/2006/relationships/image" Target="media/image208.png"/>
  <Relationship Id="rId567" Type="http://schemas.openxmlformats.org/officeDocument/2006/relationships/image" Target="media/image209.png"/>
  <Relationship Id="rId568" Type="http://schemas.openxmlformats.org/officeDocument/2006/relationships/image" Target="media/image210.png"/>
  <Relationship Id="rId569" Type="http://schemas.openxmlformats.org/officeDocument/2006/relationships/image" Target="media/image197.png"/>
  <Relationship Id="rId57" Type="http://schemas.openxmlformats.org/officeDocument/2006/relationships/image" Target="media/image400.png"/>
  <Relationship Id="rId570" Type="http://schemas.openxmlformats.org/officeDocument/2006/relationships/image" Target="media/image198.png"/>
  <Relationship Id="rId571" Type="http://schemas.openxmlformats.org/officeDocument/2006/relationships/image" Target="media/image199.png"/>
  <Relationship Id="rId572" Type="http://schemas.openxmlformats.org/officeDocument/2006/relationships/image" Target="media/image200.png"/>
  <Relationship Id="rId573" Type="http://schemas.openxmlformats.org/officeDocument/2006/relationships/hyperlink" TargetMode="External" Target="mailto:landerson@pplm.org"/>
  <Relationship Id="rId574" Type="http://schemas.openxmlformats.org/officeDocument/2006/relationships/image" Target="media/image201.png"/>
  <Relationship Id="rId575" Type="http://schemas.openxmlformats.org/officeDocument/2006/relationships/image" Target="media/image202.png"/>
  <Relationship Id="rId576" Type="http://schemas.openxmlformats.org/officeDocument/2006/relationships/image" Target="media/image2020.png"/>
  <Relationship Id="rId577" Type="http://schemas.openxmlformats.org/officeDocument/2006/relationships/hyperlink" TargetMode="External" Target="mailto:Liz.Malia@mahouse.gov"/>
  <Relationship Id="rId578" Type="http://schemas.openxmlformats.org/officeDocument/2006/relationships/image" Target="media/image203.png"/>
  <Relationship Id="rId579" Type="http://schemas.openxmlformats.org/officeDocument/2006/relationships/image" Target="media/image2030.png"/>
  <Relationship Id="rId58" Type="http://schemas.openxmlformats.org/officeDocument/2006/relationships/image" Target="media/image41.jpeg"/>
  <Relationship Id="rId580" Type="http://schemas.openxmlformats.org/officeDocument/2006/relationships/image" Target="media/image204.jpeg"/>
  <Relationship Id="rId581" Type="http://schemas.openxmlformats.org/officeDocument/2006/relationships/hyperlink" TargetMode="External" Target="mailto:masshealth.innovations@state.ma.us"/>
  <Relationship Id="rId582" Type="http://schemas.openxmlformats.org/officeDocument/2006/relationships/image" Target="media/image205.jpeg"/>
  <Relationship Id="rId583" Type="http://schemas.openxmlformats.org/officeDocument/2006/relationships/image" Target="media/image2050.jpeg"/>
  <Relationship Id="rId584" Type="http://schemas.openxmlformats.org/officeDocument/2006/relationships/image" Target="media/image206.jpeg"/>
  <Relationship Id="rId585" Type="http://schemas.openxmlformats.org/officeDocument/2006/relationships/image" Target="media/image2060.jpeg"/>
  <Relationship Id="rId586" Type="http://schemas.openxmlformats.org/officeDocument/2006/relationships/image" Target="media/image207.png"/>
  <Relationship Id="rId587" Type="http://schemas.openxmlformats.org/officeDocument/2006/relationships/image" Target="media/image2070.png"/>
  <Relationship Id="rId588" Type="http://schemas.openxmlformats.org/officeDocument/2006/relationships/hyperlink" TargetMode="External" Target="http://www.middlesexsheriff.com/"/>
  <Relationship Id="rId589" Type="http://schemas.openxmlformats.org/officeDocument/2006/relationships/image" Target="media/image211.png"/>
  <Relationship Id="rId59" Type="http://schemas.openxmlformats.org/officeDocument/2006/relationships/image" Target="media/image410.jpeg"/>
  <Relationship Id="rId590" Type="http://schemas.openxmlformats.org/officeDocument/2006/relationships/image" Target="media/image2110.png"/>
  <Relationship Id="rId591" Type="http://schemas.openxmlformats.org/officeDocument/2006/relationships/image" Target="media/image212.png"/>
  <Relationship Id="rId592" Type="http://schemas.openxmlformats.org/officeDocument/2006/relationships/image" Target="media/image213.png"/>
  <Relationship Id="rId593" Type="http://schemas.openxmlformats.org/officeDocument/2006/relationships/hyperlink" TargetMode="External" Target="mailto:CMCSMedicaidQAinmates@cms.hhs.gov"/>
  <Relationship Id="rId594" Type="http://schemas.openxmlformats.org/officeDocument/2006/relationships/hyperlink" TargetMode="External" Target="http://www.healthcare.gov/"/>
  <Relationship Id="rId595" Type="http://schemas.openxmlformats.org/officeDocument/2006/relationships/hyperlink" TargetMode="External" Target="http://www.cms.gov/Med"/>
  <Relationship Id="rId596" Type="http://schemas.openxmlformats.org/officeDocument/2006/relationships/image" Target="media/image213.jpeg"/>
  <Relationship Id="rId597" Type="http://schemas.openxmlformats.org/officeDocument/2006/relationships/image" Target="media/image214.jpeg"/>
  <Relationship Id="rId598" Type="http://schemas.openxmlformats.org/officeDocument/2006/relationships/hyperlink" TargetMode="External" Target="http://www.steward.org/"/>
  <Relationship Id="rId599" Type="http://schemas.openxmlformats.org/officeDocument/2006/relationships/image" Target="media/image215.jpeg"/>
  <Relationship Id="rId6" Type="http://schemas.openxmlformats.org/officeDocument/2006/relationships/image" Target="media/image1.jpeg"/>
  <Relationship Id="rId60" Type="http://schemas.openxmlformats.org/officeDocument/2006/relationships/image" Target="media/image43.jpeg"/>
  <Relationship Id="rId600" Type="http://schemas.openxmlformats.org/officeDocument/2006/relationships/image" Target="media/image2150.jpeg"/>
  <Relationship Id="rId601" Type="http://schemas.openxmlformats.org/officeDocument/2006/relationships/image" Target="media/image216.jpeg"/>
  <Relationship Id="rId602" Type="http://schemas.openxmlformats.org/officeDocument/2006/relationships/image" Target="media/image228.jpeg"/>
  <Relationship Id="rId603" Type="http://schemas.openxmlformats.org/officeDocument/2006/relationships/fontTable" Target="fontTable.xml"/>
  <Relationship Id="rId604" Type="http://schemas.openxmlformats.org/officeDocument/2006/relationships/theme" Target="theme/theme1.xml"/>
  <Relationship Id="rId61" Type="http://schemas.openxmlformats.org/officeDocument/2006/relationships/image" Target="media/image430.jpeg"/>
  <Relationship Id="rId62" Type="http://schemas.openxmlformats.org/officeDocument/2006/relationships/hyperlink" TargetMode="External" Target="mailto:MassHealth.Innovations@state.ma.us"/>
  <Relationship Id="rId63" Type="http://schemas.openxmlformats.org/officeDocument/2006/relationships/hyperlink" TargetMode="External" Target="http://www.bluecrossfoundation.org/publication/updated-masshealth-basics-june-2016"/>
  <Relationship Id="rId64" Type="http://schemas.openxmlformats.org/officeDocument/2006/relationships/hyperlink" TargetMode="External" Target="http://www.medicaid.gov/Medicaid-CHIP-Program-Information/ByTopics/Benefits/Early-and-Periodic-Screening-Diagnostic-and-Treatment.html"/>
  <Relationship Id="rId65" Type="http://schemas.openxmlformats.org/officeDocument/2006/relationships/hyperlink" TargetMode="External" Target="http://www.medicaid.gov/Medicaid-CHIP-Program-Information/ByTopics/Benefits/Early-and-Periodic-Screening-Diagnostic-and-Treatment.html"/>
  <Relationship Id="rId66" Type="http://schemas.openxmlformats.org/officeDocument/2006/relationships/hyperlink" TargetMode="External" Target="http://www.bluecrossfoundation.org/sites/default/files/download/publication/MassHealthBasics_Chartpack_FY2015_FINAL_1.pdf"/>
  <Relationship Id="rId67" Type="http://schemas.openxmlformats.org/officeDocument/2006/relationships/hyperlink" TargetMode="External" Target="http://www.mass.gov/eohhs/docs/dph/com-health/com-health-workers/achieving-the-triple-aim.pdf"/>
  <Relationship Id="rId68" Type="http://schemas.openxmlformats.org/officeDocument/2006/relationships/hyperlink" TargetMode="External" Target="mailto:scurry@hcfama.org"/>
  <Relationship Id="rId69" Type="http://schemas.openxmlformats.org/officeDocument/2006/relationships/image" Target="media/image44.png"/>
  <Relationship Id="rId7" Type="http://schemas.openxmlformats.org/officeDocument/2006/relationships/image" Target="media/image2.jpeg"/>
  <Relationship Id="rId70" Type="http://schemas.openxmlformats.org/officeDocument/2006/relationships/hyperlink" TargetMode="External" Target="mailto:jcostantino@aarp.org"/>
  <Relationship Id="rId71" Type="http://schemas.openxmlformats.org/officeDocument/2006/relationships/image" Target="media/image45.png"/>
  <Relationship Id="rId72" Type="http://schemas.openxmlformats.org/officeDocument/2006/relationships/image" Target="media/image46.png"/>
  <Relationship Id="rId73" Type="http://schemas.openxmlformats.org/officeDocument/2006/relationships/image" Target="media/image47.jpeg"/>
  <Relationship Id="rId74" Type="http://schemas.openxmlformats.org/officeDocument/2006/relationships/hyperlink" TargetMode="External" Target="mailto:MassHealth.Innovations@state.ma.us"/>
  <Relationship Id="rId75" Type="http://schemas.openxmlformats.org/officeDocument/2006/relationships/hyperlink" TargetMode="External" Target="http://www.medicaid.gov/Medicaid-CHIP-Program-Information/ByTopics/Benefits/Early-and-Periodic-Screening-Diagnostic-and-Treatment.html"/>
  <Relationship Id="rId76" Type="http://schemas.openxmlformats.org/officeDocument/2006/relationships/hyperlink" TargetMode="External" Target="http://www.medicaid.gov/Medicaid-CHIP-Program-Information/ByTopics/Benefits/Early-and-Periodic-Screening-Diagnostic-and-Treatment.html"/>
  <Relationship Id="rId77" Type="http://schemas.openxmlformats.org/officeDocument/2006/relationships/hyperlink" TargetMode="External" Target="https://www.cthealth.org/wp-content/uploads/2011/04/Policy-Brief-2-Proposed-Medicaid-Cost-Sharing-Evaluating-The-Impact.pdf"/>
  <Relationship Id="rId78" Type="http://schemas.openxmlformats.org/officeDocument/2006/relationships/hyperlink" TargetMode="External" Target="https://www.cthealth.org/wp-content/uploads/2011/04/Policy-Brief-2-Proposed-Medicaid-Cost-Sharing-Evaluating-The-Impact.pdf"/>
  <Relationship Id="rId79" Type="http://schemas.openxmlformats.org/officeDocument/2006/relationships/hyperlink" TargetMode="External" Target="http://content.healthaffairs.org/content/24/4/1106.full"/>
  <Relationship Id="rId8" Type="http://schemas.openxmlformats.org/officeDocument/2006/relationships/image" Target="media/image3.jpeg"/>
  <Relationship Id="rId80" Type="http://schemas.openxmlformats.org/officeDocument/2006/relationships/hyperlink" TargetMode="External" Target="https://kaiserhealthnews.files.wordpress.com/2014/07/8417.pdf"/>
  <Relationship Id="rId81" Type="http://schemas.openxmlformats.org/officeDocument/2006/relationships/hyperlink" TargetMode="External" Target="http://www.medicaid.gov/medicaid-chip-program-information/by-topics/outreach-and-enrollment/continuous.html"/>
  <Relationship Id="rId82" Type="http://schemas.openxmlformats.org/officeDocument/2006/relationships/hyperlink" TargetMode="External" Target="http://www.medicaid.gov/medicaid-chip-program-information/by-topics/outreach-and-enrollment/continuous.html"/>
  <Relationship Id="rId83" Type="http://schemas.openxmlformats.org/officeDocument/2006/relationships/hyperlink" TargetMode="External" Target="http://kff.org/report-section/medicaid-and-chip-eligibility-enrollment-renewal-and-cost-sharing-policies-as-of-january-2016-medicaid-and-chip-enrollment-and-renewal-processes/"/>
  <Relationship Id="rId84" Type="http://schemas.openxmlformats.org/officeDocument/2006/relationships/hyperlink" TargetMode="External" Target="http://kff.org/report-section/medicaid-and-chip-eligibility-enrollment-renewal-and-cost-sharing-policies-as-of-january-2016-medicaid-and-chip-enrollment-and-renewal-processes/"/>
  <Relationship Id="rId85" Type="http://schemas.openxmlformats.org/officeDocument/2006/relationships/hyperlink" TargetMode="External" Target="mailto:scurry@hcfama.org"/>
  <Relationship Id="rId86" Type="http://schemas.openxmlformats.org/officeDocument/2006/relationships/image" Target="media/image48.jpeg"/>
  <Relationship Id="rId87" Type="http://schemas.openxmlformats.org/officeDocument/2006/relationships/image" Target="media/image49.jpeg"/>
  <Relationship Id="rId88" Type="http://schemas.openxmlformats.org/officeDocument/2006/relationships/image" Target="media/image50.png"/>
  <Relationship Id="rId89" Type="http://schemas.openxmlformats.org/officeDocument/2006/relationships/image" Target="media/image500.png"/>
  <Relationship Id="rId9" Type="http://schemas.openxmlformats.org/officeDocument/2006/relationships/image" Target="media/image4.jpeg"/>
  <Relationship Id="rId90" Type="http://schemas.openxmlformats.org/officeDocument/2006/relationships/hyperlink" TargetMode="External" Target="http://www/"/>
  <Relationship Id="rId91" Type="http://schemas.openxmlformats.org/officeDocument/2006/relationships/hyperlink" TargetMode="External" Target="http://www/"/>
  <Relationship Id="rId92" Type="http://schemas.openxmlformats.org/officeDocument/2006/relationships/image" Target="media/image51.png"/>
  <Relationship Id="rId93" Type="http://schemas.openxmlformats.org/officeDocument/2006/relationships/hyperlink" TargetMode="External" Target="http://www.healthtransformation.ohio.gov/"/>
  <Relationship Id="rId94" Type="http://schemas.openxmlformats.org/officeDocument/2006/relationships/hyperlink" TargetMode="External" Target="http://www.oregon.gov/oha/Metrics/Documents/report-november-2013.pdf"/>
  <Relationship Id="rId95" Type="http://schemas.openxmlformats.org/officeDocument/2006/relationships/hyperlink" TargetMode="External" Target="http://healthyamericans.org/health-issues/prevention"/>
  <Relationship Id="rId96" Type="http://schemas.openxmlformats.org/officeDocument/2006/relationships/hyperlink" TargetMode="External" Target="http://www.montefiore.org/body"/>
  <Relationship Id="rId97" Type="http://schemas.openxmlformats.org/officeDocument/2006/relationships/hyperlink" TargetMode="External" Target="http://www.indianahimss.org/Brehm"/>
  <Relationship Id="rId98" Type="http://schemas.openxmlformats.org/officeDocument/2006/relationships/hyperlink" TargetMode="External" Target="http://www.modernhealthcare.com/article/20"/>
  <Relationship Id="rId99" Type="http://schemas.openxmlformats.org/officeDocument/2006/relationships/hyperlink" TargetMode="External" Target="http://www.kff.org/uninsured/upload/8279-02.pd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398</Pages>
  <Words>163942</Words>
  <Characters>934476</Characters>
  <Application>Microsoft Office Word</Application>
  <DocSecurity>4</DocSecurity>
  <Lines>7787</Lines>
  <Paragraphs>2192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1096226</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2016-08-16T20:39:00Z</dcterms:created>
  <dc:creator>Carey, Margaret</dc:creator>
  <lastModifiedBy>AutoBVT</lastModifiedBy>
  <lastPrinted>2016-08-16T16:59:00Z</lastPrinted>
  <dcterms:modified xsi:type="dcterms:W3CDTF">2016-08-16T20:39:00Z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Acrobat Pro 11.0.17</vt:lpwstr>
  </property>
</Properties>
</file>